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C1F" w:rsidRDefault="000C5C1F" w:rsidP="004349B5">
      <w:pPr>
        <w:ind w:firstLine="0"/>
      </w:pPr>
    </w:p>
    <w:p w:rsidR="000C5C1F" w:rsidRDefault="000C5C1F" w:rsidP="000C5C1F">
      <w:pPr>
        <w:rPr>
          <w:rFonts w:asciiTheme="minorHAnsi" w:hAnsiTheme="minorHAnsi" w:cstheme="minorBidi"/>
        </w:rPr>
      </w:pPr>
      <w:r>
        <w:rPr>
          <w:rFonts w:hint="cs"/>
          <w:rtl/>
        </w:rPr>
        <w:t>דברי הכנסת</w:t>
      </w:r>
    </w:p>
    <w:p w:rsidR="000C5C1F" w:rsidRDefault="000C5C1F" w:rsidP="000C5C1F">
      <w:pPr>
        <w:rPr>
          <w:rtl/>
        </w:rPr>
      </w:pPr>
      <w:r>
        <w:rPr>
          <w:rFonts w:hint="cs"/>
          <w:rtl/>
        </w:rPr>
        <w:t>לה / מושב ראשון / ישיבה צ"ז /</w:t>
      </w:r>
    </w:p>
    <w:p w:rsidR="000C5C1F" w:rsidRDefault="000C5C1F" w:rsidP="000C5C1F">
      <w:r>
        <w:rPr>
          <w:rFonts w:hint="cs"/>
          <w:rtl/>
        </w:rPr>
        <w:t>ה'–ח' באב התשפ"ג / 23–26 ביולי 2023 / 35</w:t>
      </w:r>
    </w:p>
    <w:p w:rsidR="000C5C1F" w:rsidRDefault="000C5C1F" w:rsidP="000C5C1F">
      <w:r>
        <w:rPr>
          <w:rFonts w:hint="cs"/>
          <w:rtl/>
        </w:rPr>
        <w:t>חוברת ל"ה</w:t>
      </w:r>
    </w:p>
    <w:p w:rsidR="000C5C1F" w:rsidRDefault="000C5C1F" w:rsidP="000C5C1F">
      <w:r>
        <w:rPr>
          <w:rFonts w:hint="cs"/>
          <w:rtl/>
        </w:rPr>
        <w:t>ישיבה פ"ז</w:t>
      </w:r>
    </w:p>
    <w:p w:rsidR="000C5C1F" w:rsidRDefault="000C5C1F" w:rsidP="000C5C1F">
      <w:pPr>
        <w:rPr>
          <w:rtl/>
        </w:rPr>
      </w:pPr>
    </w:p>
    <w:p w:rsidR="000C5C1F" w:rsidRDefault="000C5C1F" w:rsidP="000C5C1F"/>
    <w:p w:rsidR="000C5C1F" w:rsidRDefault="000C5C1F" w:rsidP="000C5C1F">
      <w:pPr>
        <w:rPr>
          <w:rtl/>
        </w:rPr>
      </w:pPr>
    </w:p>
    <w:p w:rsidR="000C5C1F" w:rsidRDefault="000C5C1F" w:rsidP="000C5C1F"/>
    <w:p w:rsidR="000C5C1F" w:rsidRDefault="000C5C1F" w:rsidP="000C5C1F"/>
    <w:p w:rsidR="000C5C1F" w:rsidRDefault="000C5C1F" w:rsidP="000C5C1F"/>
    <w:p w:rsidR="000C5C1F" w:rsidRDefault="000C5C1F" w:rsidP="000C5C1F"/>
    <w:p w:rsidR="000C5C1F" w:rsidRDefault="000C5C1F" w:rsidP="000C5C1F"/>
    <w:p w:rsidR="000C5C1F" w:rsidRDefault="000C5C1F" w:rsidP="000C5C1F"/>
    <w:p w:rsidR="000C5C1F" w:rsidRDefault="000C5C1F" w:rsidP="000C5C1F"/>
    <w:p w:rsidR="000C5C1F" w:rsidRPr="00E36C96" w:rsidRDefault="000C5C1F" w:rsidP="000C5C1F"/>
    <w:p w:rsidR="000C5C1F" w:rsidRDefault="000C5C1F" w:rsidP="000C5C1F"/>
    <w:p w:rsidR="000C5C1F" w:rsidRDefault="000C5C1F" w:rsidP="000C5C1F"/>
    <w:p w:rsidR="000C5C1F" w:rsidRDefault="000C5C1F" w:rsidP="000C5C1F"/>
    <w:p w:rsidR="000C5C1F" w:rsidRDefault="000C5C1F" w:rsidP="000C5C1F"/>
    <w:p w:rsidR="000C5C1F" w:rsidRDefault="000C5C1F" w:rsidP="000C5C1F"/>
    <w:p w:rsidR="000C5C1F" w:rsidRDefault="000C5C1F" w:rsidP="000C5C1F">
      <w:pPr>
        <w:pStyle w:val="ae"/>
      </w:pPr>
      <w:bookmarkStart w:id="0" w:name="_Toc141031410"/>
      <w:bookmarkStart w:id="1" w:name="_Toc141040449"/>
      <w:bookmarkStart w:id="2" w:name="_Toc141196858"/>
      <w:bookmarkStart w:id="3" w:name="_Toc141197122"/>
      <w:r>
        <w:rPr>
          <w:rFonts w:hint="cs"/>
          <w:rtl/>
        </w:rPr>
        <w:t>הישיבה התשעים-ושבע של הכנסת העשרים-וחמש</w:t>
      </w:r>
      <w:bookmarkEnd w:id="0"/>
      <w:bookmarkEnd w:id="1"/>
      <w:bookmarkEnd w:id="2"/>
      <w:bookmarkEnd w:id="3"/>
    </w:p>
    <w:p w:rsidR="000C5C1F" w:rsidRDefault="000C5C1F" w:rsidP="000C5C1F">
      <w:pPr>
        <w:pStyle w:val="af"/>
      </w:pPr>
      <w:bookmarkStart w:id="4" w:name="_Toc141031411"/>
      <w:bookmarkStart w:id="5" w:name="_Toc141040450"/>
      <w:bookmarkStart w:id="6" w:name="_Toc141196859"/>
      <w:bookmarkStart w:id="7" w:name="_Toc141197123"/>
      <w:r>
        <w:rPr>
          <w:rFonts w:hint="cs"/>
          <w:rtl/>
        </w:rPr>
        <w:t>יום ראשון, ה' באב התשפ"ג (23 ביולי 2023)</w:t>
      </w:r>
      <w:bookmarkEnd w:id="4"/>
      <w:bookmarkEnd w:id="5"/>
      <w:bookmarkEnd w:id="6"/>
      <w:bookmarkEnd w:id="7"/>
    </w:p>
    <w:p w:rsidR="000C5C1F" w:rsidRDefault="000C5C1F" w:rsidP="000C5C1F">
      <w:pPr>
        <w:pStyle w:val="af0"/>
        <w:rPr>
          <w:rtl/>
        </w:rPr>
      </w:pPr>
      <w:r>
        <w:rPr>
          <w:rFonts w:hint="cs"/>
          <w:rtl/>
        </w:rPr>
        <w:t>ירושלים, הכנסת, שעה 10:00</w:t>
      </w:r>
    </w:p>
    <w:p w:rsidR="000C5C1F" w:rsidRDefault="000C5C1F" w:rsidP="000C5C1F">
      <w:pPr>
        <w:bidi w:val="0"/>
        <w:spacing w:line="240" w:lineRule="auto"/>
        <w:ind w:firstLine="0"/>
        <w:jc w:val="left"/>
        <w:rPr>
          <w:rtl/>
        </w:rPr>
      </w:pPr>
      <w:r>
        <w:rPr>
          <w:rtl/>
        </w:rPr>
        <w:br w:type="page"/>
      </w:r>
    </w:p>
    <w:p w:rsidR="000C5C1F" w:rsidRDefault="000C5C1F" w:rsidP="000C5C1F">
      <w:pPr>
        <w:pStyle w:val="aff0"/>
        <w:rPr>
          <w:rFonts w:asciiTheme="minorHAnsi" w:eastAsiaTheme="minorEastAsia" w:hAnsiTheme="minorHAnsi" w:cstheme="minorBidi"/>
          <w:noProof/>
          <w:rtl/>
        </w:rPr>
      </w:pPr>
      <w:r>
        <w:rPr>
          <w:rFonts w:hint="cs"/>
          <w:rtl/>
        </w:rPr>
        <w:lastRenderedPageBreak/>
        <w:t>תוכן העניינים</w:t>
      </w:r>
      <w:r>
        <w:rPr>
          <w:rFonts w:eastAsiaTheme="minorHAnsi" w:hint="cs"/>
          <w:rtl/>
        </w:rPr>
        <w:fldChar w:fldCharType="begin"/>
      </w:r>
      <w:r>
        <w:rPr>
          <w:rFonts w:hint="cs"/>
          <w:rtl/>
        </w:rPr>
        <w:instrText xml:space="preserve"> </w:instrText>
      </w:r>
      <w:r>
        <w:instrText>TOC</w:instrText>
      </w:r>
      <w:r>
        <w:rPr>
          <w:rFonts w:hint="cs"/>
          <w:rtl/>
        </w:rPr>
        <w:instrText xml:space="preserve"> \</w:instrText>
      </w:r>
      <w:r>
        <w:instrText>o "1-9" \h \z \t</w:instrText>
      </w:r>
      <w:r>
        <w:rPr>
          <w:rFonts w:hint="cs"/>
          <w:rtl/>
        </w:rPr>
        <w:instrText xml:space="preserve"> "דובר,2,נושא,1,שאילתה,1" </w:instrText>
      </w:r>
      <w:r>
        <w:rPr>
          <w:rFonts w:eastAsiaTheme="minorHAnsi" w:hint="cs"/>
          <w:rtl/>
        </w:rPr>
        <w:fldChar w:fldCharType="separate"/>
      </w:r>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7" w:anchor="_Toc141197124" w:history="1">
        <w:r w:rsidR="000C5C1F">
          <w:rPr>
            <w:rStyle w:val="Hyperlink"/>
            <w:rFonts w:hint="cs"/>
            <w:noProof/>
            <w:rtl/>
          </w:rPr>
          <w:t>הצעת חוק-יסוד: השפיטה (תיקון מס' 4)</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_Toc141197124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8" w:anchor="_Toc141197125" w:history="1">
        <w:r w:rsidR="000C5C1F">
          <w:rPr>
            <w:rStyle w:val="Hyperlink"/>
            <w:rFonts w:hint="cs"/>
            <w:noProof/>
            <w:rtl/>
          </w:rPr>
          <w:t>שמחה רוטמן (יו"ר ועדת החוקה, חוק ומשפט):</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_Toc141197125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8</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9" w:anchor="_Toc141197126" w:history="1">
        <w:r w:rsidR="000C5C1F">
          <w:rPr>
            <w:rStyle w:val="Hyperlink"/>
            <w:rFonts w:hint="cs"/>
            <w:noProof/>
            <w:rtl/>
          </w:rPr>
          <w:t>יאיר לפיד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_Toc141197126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16</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10" w:anchor="_Toc141197127" w:history="1">
        <w:r w:rsidR="000C5C1F">
          <w:rPr>
            <w:rStyle w:val="Hyperlink"/>
            <w:rFonts w:hint="cs"/>
            <w:noProof/>
            <w:rtl/>
          </w:rPr>
          <w:t>יואב סגלוביץ'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_Toc141197127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18</w:t>
        </w:r>
        <w:r w:rsidR="000C5C1F">
          <w:rPr>
            <w:rStyle w:val="Hyperlink"/>
            <w:noProof/>
            <w:webHidden/>
          </w:rPr>
          <w:fldChar w:fldCharType="end"/>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11" w:anchor="_Toc141197128" w:history="1">
        <w:r w:rsidR="000C5C1F">
          <w:rPr>
            <w:rStyle w:val="Hyperlink"/>
            <w:rFonts w:hint="cs"/>
            <w:noProof/>
            <w:rtl/>
            <w:lang w:eastAsia="he-IL"/>
          </w:rPr>
          <w:t>מסמכים שהונחו על שולחן הכנסת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_Toc141197128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37</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12" w:anchor="_Toc141197135" w:history="1">
        <w:r w:rsidR="000C5C1F">
          <w:rPr>
            <w:rStyle w:val="Hyperlink"/>
            <w:rFonts w:hint="cs"/>
            <w:noProof/>
            <w:rtl/>
          </w:rPr>
          <w:t>סגנית מזכיר הכנסת ראדה חסייסי:</w:t>
        </w:r>
        <w:r w:rsidR="000C5C1F">
          <w:rPr>
            <w:rStyle w:val="Hyperlink"/>
            <w:noProof/>
            <w:webHidden/>
          </w:rPr>
          <w:tab/>
        </w:r>
        <w:r w:rsidR="000C5C1F">
          <w:rPr>
            <w:rStyle w:val="Hyperlink"/>
            <w:rFonts w:hint="cs"/>
            <w:noProof/>
            <w:webHidden/>
            <w:rtl/>
          </w:rPr>
          <w:t>37</w:t>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13" w:anchor="_Toc141197129" w:history="1">
        <w:r w:rsidR="000C5C1F">
          <w:rPr>
            <w:rStyle w:val="Hyperlink"/>
            <w:rFonts w:hint="cs"/>
            <w:noProof/>
            <w:rtl/>
            <w:lang w:eastAsia="he-IL"/>
          </w:rPr>
          <w:t>הצעת חוק-יסוד: השפיטה (תיקון מס' 4)</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_Toc141197129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37</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14" w:anchor="_Toc141197130" w:history="1">
        <w:r w:rsidR="000C5C1F">
          <w:rPr>
            <w:rStyle w:val="Hyperlink"/>
            <w:rFonts w:hint="cs"/>
            <w:noProof/>
            <w:rtl/>
          </w:rPr>
          <w:t>אורית פרקש הכהן (המחנה הממלכתי):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_Toc141197130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37</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15" w:anchor="_Toc141197131" w:history="1">
        <w:r w:rsidR="000C5C1F">
          <w:rPr>
            <w:rStyle w:val="Hyperlink"/>
            <w:rFonts w:hint="cs"/>
            <w:noProof/>
            <w:rtl/>
          </w:rPr>
          <w:t>יוליה מלינובסקי (ישראל ביתנו):</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_Toc141197131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44</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16" w:anchor="_Toc141197132" w:history="1">
        <w:r w:rsidR="000C5C1F">
          <w:rPr>
            <w:rStyle w:val="Hyperlink"/>
            <w:rFonts w:hint="cs"/>
            <w:noProof/>
            <w:rtl/>
          </w:rPr>
          <w:t>אחמד טיבי (חד"ש-תע"ל):</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_Toc141197132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48</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17" w:anchor="_Toc141197133" w:history="1">
        <w:r w:rsidR="000C5C1F">
          <w:rPr>
            <w:rStyle w:val="Hyperlink"/>
            <w:rFonts w:hint="cs"/>
            <w:noProof/>
            <w:rtl/>
          </w:rPr>
          <w:t>בנימין גנץ (המחנה הממלכתי):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_Toc141197133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53</w:t>
        </w:r>
        <w:r w:rsidR="000C5C1F">
          <w:rPr>
            <w:rStyle w:val="Hyperlink"/>
            <w:noProof/>
            <w:webHidden/>
          </w:rPr>
          <w:fldChar w:fldCharType="end"/>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18" w:anchor="_Toc141197134" w:history="1">
        <w:r w:rsidR="000C5C1F">
          <w:rPr>
            <w:rStyle w:val="Hyperlink"/>
            <w:rFonts w:hint="cs"/>
            <w:noProof/>
            <w:rtl/>
          </w:rPr>
          <w:t>מסמכים שהונחו על שולחן הכנסת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_Toc141197134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56</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19" w:anchor="_Toc141197135" w:history="1">
        <w:r w:rsidR="000C5C1F">
          <w:rPr>
            <w:rStyle w:val="Hyperlink"/>
            <w:rFonts w:hint="cs"/>
            <w:noProof/>
            <w:rtl/>
          </w:rPr>
          <w:t>סגנית מזכיר הכנסת ראדה חסייסי: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_Toc141197135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56</w:t>
        </w:r>
        <w:r w:rsidR="000C5C1F">
          <w:rPr>
            <w:rStyle w:val="Hyperlink"/>
            <w:noProof/>
            <w:webHidden/>
          </w:rPr>
          <w:fldChar w:fldCharType="end"/>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20" w:anchor="_Toc141197136" w:history="1">
        <w:r w:rsidR="000C5C1F">
          <w:rPr>
            <w:rStyle w:val="Hyperlink"/>
            <w:rFonts w:hint="cs"/>
            <w:noProof/>
            <w:rtl/>
          </w:rPr>
          <w:t>הצעת חוק-יסוד: השפיטה (תיקון מס' 4)</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_Toc141197136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56</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21" w:anchor="_Toc141197137" w:history="1">
        <w:r w:rsidR="000C5C1F">
          <w:rPr>
            <w:rStyle w:val="Hyperlink"/>
            <w:rFonts w:hint="cs"/>
            <w:noProof/>
            <w:rtl/>
          </w:rPr>
          <w:t>גלעד קריב (העבודה):</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_Toc141197137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57</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22" w:anchor="_Toc141197138" w:history="1">
        <w:r w:rsidR="000C5C1F">
          <w:rPr>
            <w:rStyle w:val="Hyperlink"/>
            <w:rFonts w:hint="cs"/>
            <w:noProof/>
            <w:rtl/>
          </w:rPr>
          <w:t>רם בן ברק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_Toc141197138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73</w:t>
        </w:r>
        <w:r w:rsidR="000C5C1F">
          <w:rPr>
            <w:rStyle w:val="Hyperlink"/>
            <w:noProof/>
            <w:webHidden/>
          </w:rPr>
          <w:fldChar w:fldCharType="end"/>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23" w:anchor="_Toc141197139" w:history="1">
        <w:r w:rsidR="000C5C1F">
          <w:rPr>
            <w:rStyle w:val="Hyperlink"/>
            <w:rFonts w:hint="cs"/>
            <w:noProof/>
            <w:rtl/>
            <w:lang w:eastAsia="he-IL"/>
          </w:rPr>
          <w:t>מסמכים שהונחו על שולחן הכנסת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_Toc141197139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80</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24" w:anchor="_Toc141197140" w:history="1">
        <w:r w:rsidR="000C5C1F">
          <w:rPr>
            <w:rStyle w:val="Hyperlink"/>
            <w:rFonts w:hint="cs"/>
            <w:noProof/>
            <w:rtl/>
          </w:rPr>
          <w:t>סגנית מזכיר הכנסת ראדה חסייסי: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_Toc141197140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80</w:t>
        </w:r>
        <w:r w:rsidR="000C5C1F">
          <w:rPr>
            <w:rStyle w:val="Hyperlink"/>
            <w:noProof/>
            <w:webHidden/>
          </w:rPr>
          <w:fldChar w:fldCharType="end"/>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25" w:anchor="_Toc141197141" w:history="1">
        <w:r w:rsidR="000C5C1F">
          <w:rPr>
            <w:rStyle w:val="Hyperlink"/>
            <w:rFonts w:hint="cs"/>
            <w:noProof/>
            <w:rtl/>
            <w:lang w:eastAsia="he-IL"/>
          </w:rPr>
          <w:t>הצעת חוק-יסוד: השפיטה (תיקון מס' 4)</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_Toc141197141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81</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26" w:anchor="_Toc141197142" w:history="1">
        <w:r w:rsidR="000C5C1F">
          <w:rPr>
            <w:rStyle w:val="Hyperlink"/>
            <w:rFonts w:hint="cs"/>
            <w:noProof/>
            <w:rtl/>
          </w:rPr>
          <w:t>יבגני סובה (ישראל ביתנו):</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_Toc141197142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81</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27" w:anchor="_Toc141197143" w:history="1">
        <w:r w:rsidR="000C5C1F">
          <w:rPr>
            <w:rStyle w:val="Hyperlink"/>
            <w:rFonts w:hint="cs"/>
            <w:noProof/>
            <w:rtl/>
          </w:rPr>
          <w:t>עופר כסיף (חד"ש-תע"ל):</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_Toc141197143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102</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28" w:anchor="_Toc141197144" w:history="1">
        <w:r w:rsidR="000C5C1F">
          <w:rPr>
            <w:rStyle w:val="Hyperlink"/>
            <w:rFonts w:hint="cs"/>
            <w:noProof/>
            <w:rtl/>
          </w:rPr>
          <w:t>ואליד אלהואשלה (רע"מ – הרשימה הערבית המאוחדת):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_Toc141197144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112</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29" w:anchor="_Toc141197145" w:history="1">
        <w:r w:rsidR="000C5C1F">
          <w:rPr>
            <w:rStyle w:val="Hyperlink"/>
            <w:rFonts w:hint="cs"/>
            <w:noProof/>
            <w:rtl/>
          </w:rPr>
          <w:t>מרב מיכאלי (העבודה):</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_Toc141197145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115</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30" w:anchor="_Toc141197146" w:history="1">
        <w:r w:rsidR="000C5C1F">
          <w:rPr>
            <w:rStyle w:val="Hyperlink"/>
            <w:rFonts w:hint="cs"/>
            <w:noProof/>
            <w:rtl/>
          </w:rPr>
          <w:t>מאיר כהן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_Toc141197146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117</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31" w:anchor="_Toc141197147" w:history="1">
        <w:r w:rsidR="000C5C1F">
          <w:rPr>
            <w:rStyle w:val="Hyperlink"/>
            <w:rFonts w:hint="cs"/>
            <w:noProof/>
            <w:rtl/>
          </w:rPr>
          <w:t>מירב כהן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_Toc141197147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122</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32" w:anchor="_Toc141197148" w:history="1">
        <w:r w:rsidR="000C5C1F">
          <w:rPr>
            <w:rStyle w:val="Hyperlink"/>
            <w:rFonts w:hint="cs"/>
            <w:noProof/>
            <w:rtl/>
          </w:rPr>
          <w:t>נעמה לזימי (העבודה):</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_Toc141197148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132</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33" w:anchor="_Toc141197149" w:history="1">
        <w:r w:rsidR="000C5C1F">
          <w:rPr>
            <w:rStyle w:val="Hyperlink"/>
            <w:rFonts w:hint="cs"/>
            <w:noProof/>
            <w:rtl/>
          </w:rPr>
          <w:t>חמד עמאר (ישראל ביתנו):</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_Toc141197149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161</w:t>
        </w:r>
        <w:r w:rsidR="000C5C1F">
          <w:rPr>
            <w:rStyle w:val="Hyperlink"/>
            <w:noProof/>
            <w:webHidden/>
          </w:rPr>
          <w:fldChar w:fldCharType="end"/>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34" w:anchor="_Toc141197150" w:history="1">
        <w:r w:rsidR="000C5C1F">
          <w:rPr>
            <w:rStyle w:val="Hyperlink"/>
            <w:rFonts w:hint="cs"/>
            <w:noProof/>
            <w:rtl/>
            <w:lang w:eastAsia="he-IL"/>
          </w:rPr>
          <w:t>מסמכים שהונחו על שולחן הכנסת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_Toc141197150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171</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35" w:anchor="_Toc141197151" w:history="1">
        <w:r w:rsidR="000C5C1F">
          <w:rPr>
            <w:rStyle w:val="Hyperlink"/>
            <w:rFonts w:hint="cs"/>
            <w:noProof/>
            <w:rtl/>
          </w:rPr>
          <w:t>סגנית מזכיר הכנסת אלינור ימין:</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_Toc141197151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171</w:t>
        </w:r>
        <w:r w:rsidR="000C5C1F">
          <w:rPr>
            <w:rStyle w:val="Hyperlink"/>
            <w:noProof/>
            <w:webHidden/>
          </w:rPr>
          <w:fldChar w:fldCharType="end"/>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36" w:anchor="_Toc141197152" w:history="1">
        <w:r w:rsidR="000C5C1F">
          <w:rPr>
            <w:rStyle w:val="Hyperlink"/>
            <w:rFonts w:hint="cs"/>
            <w:noProof/>
            <w:rtl/>
            <w:lang w:eastAsia="he-IL"/>
          </w:rPr>
          <w:t>הצעת חוק-יסוד: השפיטה (תיקון מס' 4)</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_Toc141197152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171</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37" w:anchor="_Toc141197153" w:history="1">
        <w:r w:rsidR="000C5C1F">
          <w:rPr>
            <w:rStyle w:val="Hyperlink"/>
            <w:rFonts w:hint="cs"/>
            <w:noProof/>
            <w:rtl/>
          </w:rPr>
          <w:t>איימן עודה (חד"ש-תע"ל):</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_Toc141197153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172</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38" w:anchor="_Toc141197154" w:history="1">
        <w:r w:rsidR="000C5C1F">
          <w:rPr>
            <w:rStyle w:val="Hyperlink"/>
            <w:rFonts w:hint="cs"/>
            <w:noProof/>
            <w:rtl/>
          </w:rPr>
          <w:t>פנינה תמנו (המחנה הממלכתי):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_Toc141197154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179</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39" w:anchor="_Toc141197155" w:history="1">
        <w:r w:rsidR="000C5C1F">
          <w:rPr>
            <w:rStyle w:val="Hyperlink"/>
            <w:rFonts w:hint="cs"/>
            <w:noProof/>
            <w:rtl/>
          </w:rPr>
          <w:t>עודד פורר (ישראל ביתנו):</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_Toc141197155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187</w:t>
        </w:r>
        <w:r w:rsidR="000C5C1F">
          <w:rPr>
            <w:rStyle w:val="Hyperlink"/>
            <w:noProof/>
            <w:webHidden/>
          </w:rPr>
          <w:fldChar w:fldCharType="end"/>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40" w:anchor="_Toc141197156" w:history="1">
        <w:r w:rsidR="000C5C1F">
          <w:rPr>
            <w:rStyle w:val="Hyperlink"/>
            <w:rFonts w:hint="cs"/>
            <w:noProof/>
            <w:rtl/>
          </w:rPr>
          <w:t>מסמכים שהונחו על שולחן הכנסת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_Toc141197156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198</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41" w:anchor="_Toc141197161" w:history="1">
        <w:r w:rsidR="000C5C1F">
          <w:rPr>
            <w:rStyle w:val="Hyperlink"/>
            <w:rFonts w:hint="cs"/>
            <w:noProof/>
            <w:rtl/>
          </w:rPr>
          <w:t>סגנית מזכיר הכנסת אלינור ימין:</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_Toc141197161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213</w:t>
        </w:r>
        <w:r w:rsidR="000C5C1F">
          <w:rPr>
            <w:rStyle w:val="Hyperlink"/>
            <w:noProof/>
            <w:webHidden/>
          </w:rPr>
          <w:fldChar w:fldCharType="end"/>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42" w:anchor="_Toc141197157" w:history="1">
        <w:r w:rsidR="000C5C1F">
          <w:rPr>
            <w:rStyle w:val="Hyperlink"/>
            <w:rFonts w:hint="cs"/>
            <w:noProof/>
            <w:rtl/>
          </w:rPr>
          <w:t>הצעת חוק-יסוד: השפיטה (תיקון מס' 4)</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_Toc141197157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199</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43" w:anchor="_Toc141197158" w:history="1">
        <w:r w:rsidR="000C5C1F">
          <w:rPr>
            <w:rStyle w:val="Hyperlink"/>
            <w:rFonts w:hint="cs"/>
            <w:noProof/>
            <w:rtl/>
          </w:rPr>
          <w:t>יסמין פרידמן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_Toc141197158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199</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44" w:anchor="_Toc141197159" w:history="1">
        <w:r w:rsidR="000C5C1F">
          <w:rPr>
            <w:rStyle w:val="Hyperlink"/>
            <w:rFonts w:hint="cs"/>
            <w:noProof/>
            <w:rtl/>
          </w:rPr>
          <w:t>גדעון סער (המחנה הממלכתי):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_Toc141197159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206</w:t>
        </w:r>
        <w:r w:rsidR="000C5C1F">
          <w:rPr>
            <w:rStyle w:val="Hyperlink"/>
            <w:noProof/>
            <w:webHidden/>
          </w:rPr>
          <w:fldChar w:fldCharType="end"/>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45" w:anchor="_Toc141197160" w:history="1">
        <w:r w:rsidR="000C5C1F">
          <w:rPr>
            <w:rStyle w:val="Hyperlink"/>
            <w:rFonts w:hint="cs"/>
            <w:noProof/>
            <w:rtl/>
            <w:lang w:eastAsia="he-IL"/>
          </w:rPr>
          <w:t>מסמכים שהונחו על שולחן הכנסת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_Toc141197160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213</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46" w:anchor="_Toc141197161" w:history="1">
        <w:r w:rsidR="000C5C1F">
          <w:rPr>
            <w:rStyle w:val="Hyperlink"/>
            <w:rFonts w:hint="cs"/>
            <w:noProof/>
            <w:rtl/>
          </w:rPr>
          <w:t>סגנית מזכיר הכנסת אלינור ימין:</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_Toc141197161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213</w:t>
        </w:r>
        <w:r w:rsidR="000C5C1F">
          <w:rPr>
            <w:rStyle w:val="Hyperlink"/>
            <w:noProof/>
            <w:webHidden/>
          </w:rPr>
          <w:fldChar w:fldCharType="end"/>
        </w:r>
      </w:hyperlink>
    </w:p>
    <w:p w:rsidR="000C5C1F" w:rsidRDefault="00E36C96" w:rsidP="000C5C1F">
      <w:pPr>
        <w:pStyle w:val="TOC1"/>
        <w:tabs>
          <w:tab w:val="right" w:leader="dot" w:pos="8296"/>
        </w:tabs>
        <w:ind w:firstLine="0"/>
        <w:rPr>
          <w:rFonts w:asciiTheme="minorHAnsi" w:eastAsiaTheme="minorEastAsia" w:hAnsiTheme="minorHAnsi" w:cstheme="minorBidi"/>
          <w:noProof/>
        </w:rPr>
      </w:pPr>
      <w:hyperlink r:id="rId47" w:anchor="_Toc141197162" w:history="1">
        <w:r w:rsidR="000C5C1F">
          <w:rPr>
            <w:rStyle w:val="Hyperlink"/>
            <w:rFonts w:hint="cs"/>
            <w:noProof/>
            <w:rtl/>
            <w:lang w:eastAsia="he-IL"/>
          </w:rPr>
          <w:t>הצעת חוק-יסוד: השפיטה (תיקון מס' 4)</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_Toc141197162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213</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48" w:anchor="_Toc141197163" w:history="1">
        <w:r w:rsidR="000C5C1F">
          <w:rPr>
            <w:rStyle w:val="Hyperlink"/>
            <w:rFonts w:hint="cs"/>
            <w:noProof/>
            <w:rtl/>
          </w:rPr>
          <w:t>משה טור פז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_Toc141197163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213</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49" w:anchor="_Toc141197164" w:history="1">
        <w:r w:rsidR="000C5C1F">
          <w:rPr>
            <w:rStyle w:val="Hyperlink"/>
            <w:rFonts w:hint="cs"/>
            <w:noProof/>
            <w:rtl/>
          </w:rPr>
          <w:t>שרון ניר (ישראל ביתנו):</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_Toc141197164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220</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50" w:anchor="_Toc141197165" w:history="1">
        <w:r w:rsidR="000C5C1F">
          <w:rPr>
            <w:rStyle w:val="Hyperlink"/>
            <w:rFonts w:hint="cs"/>
            <w:noProof/>
            <w:rtl/>
          </w:rPr>
          <w:t>מיכאל מרדכי ביטון (המחנה הממלכתי):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_Toc141197165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225</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51" w:anchor="_Toc141197166" w:history="1">
        <w:r w:rsidR="000C5C1F">
          <w:rPr>
            <w:rStyle w:val="Hyperlink"/>
            <w:rFonts w:hint="cs"/>
            <w:noProof/>
            <w:rtl/>
          </w:rPr>
          <w:t>מטי צרפתי הרכבי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_Toc141197166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241</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52" w:anchor="_Toc141197167" w:history="1">
        <w:r w:rsidR="000C5C1F">
          <w:rPr>
            <w:rStyle w:val="Hyperlink"/>
            <w:rFonts w:hint="cs"/>
            <w:noProof/>
            <w:rtl/>
          </w:rPr>
          <w:t>ולדימיר בליאק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_Toc141197167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249</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53" w:anchor="_Toc141197168" w:history="1">
        <w:r w:rsidR="000C5C1F">
          <w:rPr>
            <w:rStyle w:val="Hyperlink"/>
            <w:rFonts w:hint="cs"/>
            <w:noProof/>
            <w:rtl/>
          </w:rPr>
          <w:t>גלעד קריב (העבודה):</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_Toc141197168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258</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54" w:anchor="_Toc141197169" w:history="1">
        <w:r w:rsidR="000C5C1F">
          <w:rPr>
            <w:rStyle w:val="Hyperlink"/>
            <w:rFonts w:hint="cs"/>
            <w:noProof/>
            <w:rtl/>
          </w:rPr>
          <w:t>חילי טרופר (המחנה הממלכתי):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_Toc141197169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260</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55" w:anchor="_Toc141197170" w:history="1">
        <w:r w:rsidR="000C5C1F">
          <w:rPr>
            <w:rStyle w:val="Hyperlink"/>
            <w:rFonts w:hint="cs"/>
            <w:noProof/>
            <w:rtl/>
          </w:rPr>
          <w:t>יפעת שאשא ביטון (המחנה הממלכתי):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_Toc141197170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265</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56" w:anchor="_Toc141197171" w:history="1">
        <w:r w:rsidR="000C5C1F">
          <w:rPr>
            <w:rStyle w:val="Hyperlink"/>
            <w:rFonts w:hint="cs"/>
            <w:noProof/>
            <w:rtl/>
          </w:rPr>
          <w:t>סימון דוידסון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_Toc141197171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274</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57" w:anchor="_Toc141197172" w:history="1">
        <w:r w:rsidR="000C5C1F">
          <w:rPr>
            <w:rStyle w:val="Hyperlink"/>
            <w:rFonts w:hint="cs"/>
            <w:noProof/>
            <w:rtl/>
          </w:rPr>
          <w:t>אלעזר שטרן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_Toc141197172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284</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58" w:anchor="_Toc141197173" w:history="1">
        <w:r w:rsidR="000C5C1F">
          <w:rPr>
            <w:rStyle w:val="Hyperlink"/>
            <w:rFonts w:hint="cs"/>
            <w:noProof/>
            <w:rtl/>
          </w:rPr>
          <w:t>אלון שוסטר (המחנה הממלכתי):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_Toc141197173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290</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59" w:anchor="_Toc141197174" w:history="1">
        <w:r w:rsidR="000C5C1F">
          <w:rPr>
            <w:rStyle w:val="Hyperlink"/>
            <w:rFonts w:hint="cs"/>
            <w:noProof/>
            <w:rtl/>
          </w:rPr>
          <w:t>מנסור עבאס (רע"מ – הרשימה הערבית המאוחדת):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_Toc141197174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296</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60" w:anchor="_Toc141197175" w:history="1">
        <w:r w:rsidR="000C5C1F">
          <w:rPr>
            <w:rStyle w:val="Hyperlink"/>
            <w:rFonts w:hint="cs"/>
            <w:noProof/>
            <w:rtl/>
          </w:rPr>
          <w:t>יוראי להב הרצנו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_Toc141197175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298</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61" w:anchor="_Toc141197176" w:history="1">
        <w:r w:rsidR="000C5C1F">
          <w:rPr>
            <w:rStyle w:val="Hyperlink"/>
            <w:rFonts w:hint="cs"/>
            <w:noProof/>
            <w:rtl/>
          </w:rPr>
          <w:t>שלי טל מירון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_Toc141197176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315</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62" w:anchor="_Toc141197177" w:history="1">
        <w:r w:rsidR="000C5C1F">
          <w:rPr>
            <w:rStyle w:val="Hyperlink"/>
            <w:rFonts w:hint="cs"/>
            <w:noProof/>
            <w:rtl/>
          </w:rPr>
          <w:t>עידן רול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_Toc141197177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337</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63" w:anchor="_Toc141197178" w:history="1">
        <w:r w:rsidR="000C5C1F">
          <w:rPr>
            <w:rStyle w:val="Hyperlink"/>
            <w:rFonts w:hint="cs"/>
            <w:noProof/>
            <w:rtl/>
          </w:rPr>
          <w:t>נאור שירי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_Toc141197178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360</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64" w:anchor="_Toc141197179" w:history="1">
        <w:r w:rsidR="000C5C1F">
          <w:rPr>
            <w:rStyle w:val="Hyperlink"/>
            <w:rFonts w:hint="cs"/>
            <w:noProof/>
            <w:rtl/>
          </w:rPr>
          <w:t>נאור שירי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_Toc141197179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363</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65" w:anchor="_Toc141197180" w:history="1">
        <w:r w:rsidR="000C5C1F">
          <w:rPr>
            <w:rStyle w:val="Hyperlink"/>
            <w:rFonts w:hint="cs"/>
            <w:noProof/>
            <w:rtl/>
          </w:rPr>
          <w:t>מיכל שיר סגמן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_Toc141197180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401</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66" w:anchor="_Toc141197181" w:history="1">
        <w:r w:rsidR="000C5C1F">
          <w:rPr>
            <w:rStyle w:val="Hyperlink"/>
            <w:rFonts w:hint="cs"/>
            <w:noProof/>
            <w:rtl/>
          </w:rPr>
          <w:t>דבי ביטון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_Toc141197181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412</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67" w:anchor="_Toc141197182" w:history="1">
        <w:r w:rsidR="000C5C1F">
          <w:rPr>
            <w:rStyle w:val="Hyperlink"/>
            <w:rFonts w:hint="cs"/>
            <w:noProof/>
            <w:rtl/>
          </w:rPr>
          <w:t>דבי ביטון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_Toc141197182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417</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68" w:anchor="_Toc141197183" w:history="1">
        <w:r w:rsidR="000C5C1F">
          <w:rPr>
            <w:rStyle w:val="Hyperlink"/>
            <w:rFonts w:hint="cs"/>
            <w:noProof/>
            <w:rtl/>
          </w:rPr>
          <w:t>יאסר חוג'יראת (רע"מ – הרשימה הערבית המאוחדת):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_Toc141197183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420</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69" w:anchor="_Toc141197184" w:history="1">
        <w:r w:rsidR="000C5C1F">
          <w:rPr>
            <w:rStyle w:val="Hyperlink"/>
            <w:rFonts w:hint="cs"/>
            <w:noProof/>
            <w:rtl/>
          </w:rPr>
          <w:t>יוסף עטאונה (חד"ש-תע"ל):</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_Toc141197184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426</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70" w:anchor="_Toc141197185" w:history="1">
        <w:r w:rsidR="000C5C1F">
          <w:rPr>
            <w:rStyle w:val="Hyperlink"/>
            <w:rFonts w:hint="cs"/>
            <w:noProof/>
            <w:rtl/>
          </w:rPr>
          <w:t>אימאן ח'טיב יאסין (רע"מ – הרשימה הערבית המאוחדת):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_Toc141197185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432</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71" w:anchor="_Toc141197186" w:history="1">
        <w:r w:rsidR="000C5C1F">
          <w:rPr>
            <w:rStyle w:val="Hyperlink"/>
            <w:rFonts w:hint="cs"/>
            <w:noProof/>
            <w:rtl/>
          </w:rPr>
          <w:t>עאידה תומא סלימאן (חד"ש-תע"ל):</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_Toc141197186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436</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72" w:anchor="_Toc141197187" w:history="1">
        <w:r w:rsidR="000C5C1F">
          <w:rPr>
            <w:rStyle w:val="Hyperlink"/>
            <w:rFonts w:hint="cs"/>
            <w:noProof/>
            <w:rtl/>
          </w:rPr>
          <w:t>גדי איזנקוט (המחנה הממלכתי):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_Toc141197187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442</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73" w:anchor="_Toc141197188" w:history="1">
        <w:r w:rsidR="000C5C1F">
          <w:rPr>
            <w:rStyle w:val="Hyperlink"/>
            <w:rFonts w:hint="cs"/>
            <w:noProof/>
            <w:rtl/>
          </w:rPr>
          <w:t>מיקי לוי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_Toc141197188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445</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74" w:anchor="_Toc141197189" w:history="1">
        <w:r w:rsidR="000C5C1F">
          <w:rPr>
            <w:rStyle w:val="Hyperlink"/>
            <w:rFonts w:hint="cs"/>
            <w:noProof/>
            <w:rtl/>
          </w:rPr>
          <w:t>רון כץ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_Toc141197189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449</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75" w:anchor="_Toc141197190" w:history="1">
        <w:r w:rsidR="000C5C1F">
          <w:rPr>
            <w:rStyle w:val="Hyperlink"/>
            <w:rFonts w:hint="cs"/>
            <w:noProof/>
            <w:rtl/>
          </w:rPr>
          <w:t>אורנה ברביבאי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_Toc141197190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454</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76" w:anchor="_Toc141197191" w:history="1">
        <w:r w:rsidR="000C5C1F">
          <w:rPr>
            <w:rStyle w:val="Hyperlink"/>
            <w:rFonts w:hint="cs"/>
            <w:noProof/>
            <w:rtl/>
          </w:rPr>
          <w:t>מירב בן ארי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_Toc141197191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462</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77" w:anchor="_Toc141197192" w:history="1">
        <w:r w:rsidR="000C5C1F">
          <w:rPr>
            <w:rStyle w:val="Hyperlink"/>
            <w:rFonts w:hint="cs"/>
            <w:noProof/>
            <w:rtl/>
          </w:rPr>
          <w:t>אחמד טיבי (חד"ש-תע"ל):</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_Toc141197192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480</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78" w:anchor="_Toc141197193" w:history="1">
        <w:r w:rsidR="000C5C1F">
          <w:rPr>
            <w:rStyle w:val="Hyperlink"/>
            <w:rFonts w:hint="cs"/>
            <w:noProof/>
            <w:rtl/>
          </w:rPr>
          <w:t>זאב אלקין (המחנה הממלכתי):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_Toc141197193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489</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79" w:anchor="_Toc141197194" w:history="1">
        <w:r w:rsidR="000C5C1F">
          <w:rPr>
            <w:rStyle w:val="Hyperlink"/>
            <w:rFonts w:hint="cs"/>
            <w:noProof/>
            <w:rtl/>
          </w:rPr>
          <w:t>בועז טופורובסקי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_Toc141197194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494</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80" w:anchor="_Toc141197195" w:history="1">
        <w:r w:rsidR="000C5C1F">
          <w:rPr>
            <w:rStyle w:val="Hyperlink"/>
            <w:rFonts w:hint="cs"/>
            <w:noProof/>
            <w:rtl/>
          </w:rPr>
          <w:t>אפרת רייטן מרום (העבודה):</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_Toc141197195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496</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81" w:anchor="_Toc141197196" w:history="1">
        <w:r w:rsidR="000C5C1F">
          <w:rPr>
            <w:rStyle w:val="Hyperlink"/>
            <w:rFonts w:hint="cs"/>
            <w:noProof/>
            <w:rtl/>
          </w:rPr>
          <w:t>ווליד טאהא (רע"מ – הרשימה הערבית המאוחדת):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_Toc141197196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503</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82" w:anchor="_Toc141197197" w:history="1">
        <w:r w:rsidR="000C5C1F">
          <w:rPr>
            <w:rStyle w:val="Hyperlink"/>
            <w:rFonts w:hint="cs"/>
            <w:noProof/>
            <w:rtl/>
          </w:rPr>
          <w:t>מרב מיכאלי (העבודה):</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_Toc141197197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516</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83" w:anchor="_Toc141197198" w:history="1">
        <w:r w:rsidR="000C5C1F">
          <w:rPr>
            <w:rStyle w:val="Hyperlink"/>
            <w:rFonts w:hint="cs"/>
            <w:noProof/>
            <w:rtl/>
          </w:rPr>
          <w:t>איימן עודה (חד"ש-תע"ל):</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_Toc141197198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520</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84" w:anchor="_Toc141197199" w:history="1">
        <w:r w:rsidR="000C5C1F">
          <w:rPr>
            <w:rStyle w:val="Hyperlink"/>
            <w:rFonts w:hint="cs"/>
            <w:noProof/>
            <w:rtl/>
          </w:rPr>
          <w:t>מנסור עבאס (רע"מ – הרשימה הערבית המאוחדת):</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_Toc141197199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522</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85" w:anchor="_Toc141197200" w:history="1">
        <w:r w:rsidR="000C5C1F">
          <w:rPr>
            <w:rStyle w:val="Hyperlink"/>
            <w:rFonts w:hint="cs"/>
            <w:noProof/>
            <w:rtl/>
          </w:rPr>
          <w:t>אביגדור ליברמן (ישראל ביתנו):</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_Toc141197200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528</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86" w:anchor="_Toc141197201" w:history="1">
        <w:r w:rsidR="000C5C1F">
          <w:rPr>
            <w:rStyle w:val="Hyperlink"/>
            <w:rFonts w:hint="cs"/>
            <w:noProof/>
            <w:rtl/>
          </w:rPr>
          <w:t>בנימין גנץ (המחנה הממלכתי):</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_Toc141197201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531</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87" w:anchor="_Toc141197202" w:history="1">
        <w:r w:rsidR="000C5C1F">
          <w:rPr>
            <w:rStyle w:val="Hyperlink"/>
            <w:rFonts w:hint="cs"/>
            <w:noProof/>
            <w:rtl/>
          </w:rPr>
          <w:t>יאיר לפיד (יש עתיד):</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_Toc141197202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534</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88" w:anchor="_Toc141197203" w:history="1">
        <w:r w:rsidR="000C5C1F">
          <w:rPr>
            <w:rStyle w:val="Hyperlink"/>
            <w:rFonts w:hint="cs"/>
            <w:noProof/>
            <w:rtl/>
          </w:rPr>
          <w:t>שר המשפטים יריב לוין:</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_Toc141197203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540</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89" w:anchor="_Toc141197204" w:history="1">
        <w:r w:rsidR="000C5C1F">
          <w:rPr>
            <w:rStyle w:val="Hyperlink"/>
            <w:rFonts w:hint="cs"/>
            <w:noProof/>
            <w:rtl/>
          </w:rPr>
          <w:t>שמחה רוטמן (יו"ר ועדת החוקה, חוק ומשפט):</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_Toc141197204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547</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90" w:anchor="_Toc141197205" w:history="1">
        <w:r w:rsidR="000C5C1F">
          <w:rPr>
            <w:rStyle w:val="Hyperlink"/>
            <w:rFonts w:hint="cs"/>
            <w:noProof/>
            <w:rtl/>
          </w:rPr>
          <w:t>שר המשפטים יריב לוין:</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_Toc141197205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672</w:t>
        </w:r>
        <w:r w:rsidR="000C5C1F">
          <w:rPr>
            <w:rStyle w:val="Hyperlink"/>
            <w:noProof/>
            <w:webHidden/>
          </w:rPr>
          <w:fldChar w:fldCharType="end"/>
        </w:r>
      </w:hyperlink>
    </w:p>
    <w:p w:rsidR="000C5C1F" w:rsidRDefault="00E36C96" w:rsidP="000C5C1F">
      <w:pPr>
        <w:pStyle w:val="TOC2"/>
        <w:tabs>
          <w:tab w:val="right" w:leader="dot" w:pos="8296"/>
        </w:tabs>
        <w:ind w:firstLine="0"/>
        <w:rPr>
          <w:rFonts w:asciiTheme="minorHAnsi" w:eastAsiaTheme="minorEastAsia" w:hAnsiTheme="minorHAnsi" w:cstheme="minorBidi"/>
          <w:noProof/>
        </w:rPr>
      </w:pPr>
      <w:hyperlink r:id="rId91" w:anchor="_Toc141197206" w:history="1">
        <w:r w:rsidR="000C5C1F">
          <w:rPr>
            <w:rStyle w:val="Hyperlink"/>
            <w:rFonts w:hint="cs"/>
            <w:noProof/>
            <w:rtl/>
          </w:rPr>
          <w:t>שמחה רוטמן (יו"ר ועדת החוקה, חוק ומשפט):</w:t>
        </w:r>
        <w:r w:rsidR="000C5C1F">
          <w:rPr>
            <w:rStyle w:val="Hyperlink"/>
            <w:noProof/>
            <w:webHidden/>
          </w:rPr>
          <w:tab/>
        </w:r>
        <w:r w:rsidR="000C5C1F">
          <w:rPr>
            <w:rStyle w:val="Hyperlink"/>
            <w:noProof/>
            <w:webHidden/>
          </w:rPr>
          <w:fldChar w:fldCharType="begin"/>
        </w:r>
        <w:r w:rsidR="000C5C1F">
          <w:rPr>
            <w:rStyle w:val="Hyperlink"/>
            <w:noProof/>
            <w:webHidden/>
          </w:rPr>
          <w:instrText xml:space="preserve"> PAGEREF _Toc141197206 \h </w:instrText>
        </w:r>
        <w:r w:rsidR="000C5C1F">
          <w:rPr>
            <w:rStyle w:val="Hyperlink"/>
            <w:noProof/>
            <w:webHidden/>
          </w:rPr>
        </w:r>
        <w:r w:rsidR="000C5C1F">
          <w:rPr>
            <w:rStyle w:val="Hyperlink"/>
            <w:noProof/>
            <w:webHidden/>
          </w:rPr>
          <w:fldChar w:fldCharType="separate"/>
        </w:r>
        <w:r w:rsidR="000C5C1F">
          <w:rPr>
            <w:rStyle w:val="Hyperlink"/>
            <w:rFonts w:hint="cs"/>
            <w:noProof/>
            <w:webHidden/>
            <w:rtl/>
          </w:rPr>
          <w:t>674</w:t>
        </w:r>
        <w:r w:rsidR="000C5C1F">
          <w:rPr>
            <w:rStyle w:val="Hyperlink"/>
            <w:noProof/>
            <w:webHidden/>
          </w:rPr>
          <w:fldChar w:fldCharType="end"/>
        </w:r>
      </w:hyperlink>
    </w:p>
    <w:p w:rsidR="000C5C1F" w:rsidRDefault="000C5C1F" w:rsidP="000C5C1F">
      <w:pPr>
        <w:pStyle w:val="af0"/>
        <w:ind w:firstLine="0"/>
      </w:pPr>
      <w:r>
        <w:rPr>
          <w:rFonts w:hint="cs"/>
          <w:rtl/>
        </w:rPr>
        <w:fldChar w:fldCharType="end"/>
      </w:r>
      <w:r>
        <w:rPr>
          <w:rFonts w:hint="cs"/>
          <w:rtl/>
        </w:rPr>
        <w:br w:type="page"/>
      </w:r>
    </w:p>
    <w:p w:rsidR="000C5C1F" w:rsidRDefault="000C5C1F" w:rsidP="000C5C1F">
      <w:pPr>
        <w:pStyle w:val="a7"/>
        <w:rPr>
          <w:rtl/>
        </w:rPr>
      </w:pPr>
      <w:bookmarkStart w:id="8" w:name="ET_hatsach_640328_31"/>
      <w:bookmarkStart w:id="9" w:name="_GoBack"/>
      <w:bookmarkEnd w:id="9"/>
      <w:r>
        <w:rPr>
          <w:rStyle w:val="TagStyle"/>
          <w:rFonts w:hint="cs"/>
          <w:rtl/>
        </w:rPr>
        <w:t xml:space="preserve">&lt;&lt; הצח &gt;&gt; </w:t>
      </w:r>
      <w:bookmarkStart w:id="10" w:name="_Toc141031412"/>
      <w:bookmarkStart w:id="11" w:name="_Toc141040451"/>
      <w:bookmarkStart w:id="12" w:name="_Toc141196860"/>
      <w:bookmarkStart w:id="13" w:name="_Toc141197124"/>
      <w:r>
        <w:rPr>
          <w:rFonts w:hint="cs"/>
          <w:rtl/>
        </w:rPr>
        <w:t>הצעת חוק-יסוד: השפיטה (תיקון מס' 4)</w:t>
      </w:r>
      <w:bookmarkEnd w:id="10"/>
      <w:bookmarkEnd w:id="11"/>
      <w:bookmarkEnd w:id="12"/>
      <w:bookmarkEnd w:id="13"/>
      <w:r>
        <w:rPr>
          <w:rStyle w:val="TagStyle"/>
          <w:rFonts w:hint="cs"/>
          <w:rtl/>
        </w:rPr>
        <w:t xml:space="preserve"> &lt;&lt; הצח &gt;&gt;</w:t>
      </w:r>
      <w:bookmarkEnd w:id="8"/>
      <w:r>
        <w:rPr>
          <w:rStyle w:val="TagStyle"/>
          <w:rFonts w:hint="cs"/>
          <w:rtl/>
        </w:rPr>
        <w:t xml:space="preserve">  </w:t>
      </w:r>
    </w:p>
    <w:p w:rsidR="000C5C1F" w:rsidRDefault="000C5C1F" w:rsidP="000C5C1F">
      <w:pPr>
        <w:rPr>
          <w:rtl/>
        </w:rPr>
      </w:pPr>
      <w:r>
        <w:rPr>
          <w:rFonts w:hint="cs"/>
          <w:rtl/>
        </w:rPr>
        <w:t>[מס' כ/968; דברי הכנסת, חוב' ל"ג, ישיבה 81; נספחות.]</w:t>
      </w:r>
    </w:p>
    <w:p w:rsidR="000C5C1F" w:rsidRDefault="000C5C1F" w:rsidP="000C5C1F">
      <w:pPr>
        <w:pStyle w:val="-1"/>
        <w:rPr>
          <w:rtl/>
        </w:rPr>
      </w:pPr>
      <w:r>
        <w:rPr>
          <w:rFonts w:hint="cs"/>
          <w:rtl/>
        </w:rPr>
        <w:t>(קריאה שנייה וקריאה שלישית)</w:t>
      </w:r>
    </w:p>
    <w:p w:rsidR="000C5C1F" w:rsidRDefault="000C5C1F" w:rsidP="000C5C1F">
      <w:pPr>
        <w:rPr>
          <w:rtl/>
        </w:rPr>
      </w:pPr>
    </w:p>
    <w:p w:rsidR="000C5C1F" w:rsidRDefault="000C5C1F" w:rsidP="000C5C1F">
      <w:pPr>
        <w:pStyle w:val="af9"/>
        <w:keepNext/>
      </w:pPr>
      <w:bookmarkStart w:id="14" w:name="ET_yor_6423_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4"/>
    </w:p>
    <w:p w:rsidR="000C5C1F" w:rsidRDefault="000C5C1F" w:rsidP="000C5C1F">
      <w:pPr>
        <w:rPr>
          <w:rtl/>
          <w:lang w:eastAsia="he-IL"/>
        </w:rPr>
      </w:pPr>
    </w:p>
    <w:p w:rsidR="000C5C1F" w:rsidRDefault="000C5C1F" w:rsidP="000C5C1F">
      <w:pPr>
        <w:rPr>
          <w:rtl/>
          <w:lang w:eastAsia="he-IL"/>
        </w:rPr>
      </w:pPr>
      <w:r>
        <w:rPr>
          <w:rFonts w:hint="cs"/>
          <w:rtl/>
          <w:lang w:eastAsia="he-IL"/>
        </w:rPr>
        <w:t>חברי הכנסת, אני מתכבד לפתוח את ישיבת הכנסת. היום יום ראשון ה' באב התשפ"ג, 23 ביולי 2023.</w:t>
      </w:r>
    </w:p>
    <w:p w:rsidR="000C5C1F" w:rsidRDefault="000C5C1F" w:rsidP="000C5C1F">
      <w:pPr>
        <w:rPr>
          <w:rtl/>
          <w:lang w:eastAsia="he-IL"/>
        </w:rPr>
      </w:pPr>
    </w:p>
    <w:p w:rsidR="000C5C1F" w:rsidRDefault="000C5C1F" w:rsidP="000C5C1F">
      <w:pPr>
        <w:rPr>
          <w:rtl/>
          <w:lang w:eastAsia="he-IL"/>
        </w:rPr>
      </w:pPr>
      <w:r>
        <w:rPr>
          <w:rFonts w:hint="cs"/>
          <w:rtl/>
          <w:lang w:eastAsia="he-IL"/>
        </w:rPr>
        <w:t xml:space="preserve">  איפה השר התורן?</w:t>
      </w:r>
      <w:bookmarkStart w:id="15" w:name="_ETM_Q1_99823"/>
      <w:bookmarkEnd w:id="15"/>
    </w:p>
    <w:p w:rsidR="000C5C1F" w:rsidRDefault="000C5C1F" w:rsidP="000C5C1F">
      <w:pPr>
        <w:rPr>
          <w:rtl/>
          <w:lang w:eastAsia="he-IL"/>
        </w:rPr>
      </w:pPr>
      <w:bookmarkStart w:id="16" w:name="_ETM_Q1_99919"/>
      <w:bookmarkEnd w:id="16"/>
    </w:p>
    <w:p w:rsidR="000C5C1F" w:rsidRDefault="000C5C1F" w:rsidP="000C5C1F">
      <w:pPr>
        <w:pStyle w:val="af8"/>
        <w:keepNext/>
        <w:rPr>
          <w:rtl/>
        </w:rPr>
      </w:pPr>
      <w:bookmarkStart w:id="17" w:name="ET_interruption_6156_10"/>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7"/>
    </w:p>
    <w:p w:rsidR="000C5C1F" w:rsidRDefault="000C5C1F" w:rsidP="00337201">
      <w:pPr>
        <w:rPr>
          <w:rtl/>
          <w:lang w:eastAsia="he-IL"/>
        </w:rPr>
      </w:pPr>
    </w:p>
    <w:p w:rsidR="000C5C1F" w:rsidRDefault="000C5C1F" w:rsidP="000C5C1F">
      <w:pPr>
        <w:rPr>
          <w:rtl/>
          <w:lang w:eastAsia="he-IL"/>
        </w:rPr>
      </w:pPr>
      <w:bookmarkStart w:id="18" w:name="_ETM_Q1_106370"/>
      <w:bookmarkEnd w:id="18"/>
      <w:r>
        <w:rPr>
          <w:rFonts w:hint="cs"/>
          <w:rtl/>
          <w:lang w:eastAsia="he-IL"/>
        </w:rPr>
        <w:t xml:space="preserve">כמה סמלי שאנחנו פותחים את הדיון בלי שר. מתאים, לא? </w:t>
      </w:r>
    </w:p>
    <w:p w:rsidR="000C5C1F" w:rsidRDefault="000C5C1F" w:rsidP="000C5C1F">
      <w:pPr>
        <w:rPr>
          <w:rtl/>
          <w:lang w:eastAsia="he-IL"/>
        </w:rPr>
      </w:pPr>
    </w:p>
    <w:p w:rsidR="000C5C1F" w:rsidRDefault="000C5C1F" w:rsidP="000C5C1F">
      <w:pPr>
        <w:pStyle w:val="af8"/>
        <w:keepNext/>
        <w:rPr>
          <w:rtl/>
        </w:rPr>
      </w:pPr>
      <w:bookmarkStart w:id="19" w:name="ET_interruption_6128_11"/>
      <w:r>
        <w:rPr>
          <w:rStyle w:val="TagStyle"/>
          <w:rFonts w:hint="cs"/>
          <w:rtl/>
        </w:rPr>
        <w:t xml:space="preserve"> &lt;&lt; קריאה &gt;&gt; </w:t>
      </w:r>
      <w:r>
        <w:rPr>
          <w:rFonts w:hint="cs"/>
          <w:rtl/>
        </w:rPr>
        <w:t>משה טור פז (יש עתיד):</w:t>
      </w:r>
      <w:r>
        <w:rPr>
          <w:rStyle w:val="TagStyle"/>
          <w:rtl/>
        </w:rPr>
        <w:t xml:space="preserve"> &lt;&lt; קריאה &gt;&gt;</w:t>
      </w:r>
      <w:r>
        <w:rPr>
          <w:rFonts w:hint="cs"/>
          <w:rtl/>
        </w:rPr>
        <w:t xml:space="preserve">   </w:t>
      </w:r>
      <w:bookmarkEnd w:id="19"/>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בימים ההם אין מלך בישראל. </w:t>
      </w:r>
    </w:p>
    <w:p w:rsidR="000C5C1F" w:rsidRDefault="000C5C1F" w:rsidP="000C5C1F">
      <w:pPr>
        <w:rPr>
          <w:rtl/>
          <w:lang w:eastAsia="he-IL"/>
        </w:rPr>
      </w:pPr>
      <w:bookmarkStart w:id="20" w:name="_ETM_Q1_116739"/>
      <w:bookmarkStart w:id="21" w:name="_ETM_Q1_116843"/>
      <w:bookmarkEnd w:id="20"/>
      <w:bookmarkEnd w:id="21"/>
    </w:p>
    <w:p w:rsidR="000C5C1F" w:rsidRDefault="000C5C1F" w:rsidP="000C5C1F">
      <w:pPr>
        <w:pStyle w:val="af8"/>
        <w:keepNext/>
        <w:rPr>
          <w:rtl/>
        </w:rPr>
      </w:pPr>
      <w:bookmarkStart w:id="22" w:name="ET_interruption_6156_12"/>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2"/>
    </w:p>
    <w:p w:rsidR="000C5C1F" w:rsidRDefault="000C5C1F" w:rsidP="00337201">
      <w:pPr>
        <w:rPr>
          <w:rtl/>
          <w:lang w:eastAsia="he-IL"/>
        </w:rPr>
      </w:pPr>
    </w:p>
    <w:p w:rsidR="000C5C1F" w:rsidRDefault="000C5C1F" w:rsidP="000C5C1F">
      <w:pPr>
        <w:rPr>
          <w:rtl/>
          <w:lang w:eastAsia="he-IL"/>
        </w:rPr>
      </w:pPr>
      <w:r>
        <w:rPr>
          <w:rFonts w:hint="cs"/>
          <w:rtl/>
          <w:lang w:eastAsia="he-IL"/>
        </w:rPr>
        <w:t>בימים ההם אין מלך, ו</w:t>
      </w:r>
      <w:bookmarkStart w:id="23" w:name="_ETM_Q1_118840"/>
      <w:bookmarkEnd w:id="23"/>
      <w:r>
        <w:rPr>
          <w:rFonts w:hint="cs"/>
          <w:rtl/>
          <w:lang w:eastAsia="he-IL"/>
        </w:rPr>
        <w:t xml:space="preserve">שמחה הישר בעיניו יעשה. </w:t>
      </w:r>
    </w:p>
    <w:p w:rsidR="000C5C1F" w:rsidRDefault="000C5C1F" w:rsidP="000C5C1F">
      <w:pPr>
        <w:rPr>
          <w:rtl/>
          <w:lang w:eastAsia="he-IL"/>
        </w:rPr>
      </w:pPr>
      <w:bookmarkStart w:id="24" w:name="_ETM_Q1_125433"/>
      <w:bookmarkStart w:id="25" w:name="_ETM_Q1_125540"/>
      <w:bookmarkEnd w:id="24"/>
      <w:bookmarkEnd w:id="25"/>
    </w:p>
    <w:p w:rsidR="000C5C1F" w:rsidRDefault="000C5C1F" w:rsidP="000C5C1F">
      <w:pPr>
        <w:pStyle w:val="af8"/>
        <w:keepNext/>
        <w:rPr>
          <w:rtl/>
        </w:rPr>
      </w:pPr>
      <w:bookmarkStart w:id="26" w:name="ET_interruption_6128_13"/>
      <w:r>
        <w:rPr>
          <w:rStyle w:val="TagStyle"/>
          <w:rFonts w:hint="cs"/>
          <w:rtl/>
        </w:rPr>
        <w:t xml:space="preserve"> &lt;&lt; קריאה &gt;&gt; </w:t>
      </w:r>
      <w:r>
        <w:rPr>
          <w:rFonts w:hint="cs"/>
          <w:rtl/>
        </w:rPr>
        <w:t>משה טור פז (יש עתיד):</w:t>
      </w:r>
      <w:r>
        <w:rPr>
          <w:rStyle w:val="TagStyle"/>
          <w:rtl/>
        </w:rPr>
        <w:t xml:space="preserve"> &lt;&lt; קריאה &gt;&gt;</w:t>
      </w:r>
      <w:r>
        <w:rPr>
          <w:rFonts w:hint="cs"/>
          <w:rtl/>
        </w:rPr>
        <w:t xml:space="preserve">   </w:t>
      </w:r>
      <w:bookmarkEnd w:id="26"/>
    </w:p>
    <w:p w:rsidR="000C5C1F" w:rsidRDefault="000C5C1F" w:rsidP="00337201">
      <w:pPr>
        <w:rPr>
          <w:rtl/>
          <w:lang w:eastAsia="he-IL"/>
        </w:rPr>
      </w:pPr>
    </w:p>
    <w:p w:rsidR="000C5C1F" w:rsidRDefault="000C5C1F" w:rsidP="000C5C1F">
      <w:pPr>
        <w:rPr>
          <w:rtl/>
          <w:lang w:eastAsia="he-IL"/>
        </w:rPr>
      </w:pPr>
      <w:bookmarkStart w:id="27" w:name="_ETM_Q1_127644"/>
      <w:bookmarkEnd w:id="27"/>
      <w:r>
        <w:rPr>
          <w:rFonts w:hint="cs"/>
          <w:rtl/>
          <w:lang w:eastAsia="he-IL"/>
        </w:rPr>
        <w:t xml:space="preserve">ישר? </w:t>
      </w:r>
    </w:p>
    <w:p w:rsidR="000C5C1F" w:rsidRDefault="000C5C1F" w:rsidP="000C5C1F">
      <w:pPr>
        <w:rPr>
          <w:rtl/>
          <w:lang w:eastAsia="he-IL"/>
        </w:rPr>
      </w:pPr>
      <w:bookmarkStart w:id="28" w:name="_ETM_Q1_127734"/>
      <w:bookmarkEnd w:id="28"/>
    </w:p>
    <w:p w:rsidR="000C5C1F" w:rsidRDefault="000C5C1F" w:rsidP="000C5C1F">
      <w:pPr>
        <w:pStyle w:val="af9"/>
        <w:keepNext/>
        <w:rPr>
          <w:rtl/>
        </w:rPr>
      </w:pPr>
      <w:bookmarkStart w:id="29" w:name="ET_yor_6423_1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29"/>
    </w:p>
    <w:p w:rsidR="000C5C1F" w:rsidRDefault="000C5C1F" w:rsidP="00337201">
      <w:pPr>
        <w:rPr>
          <w:rtl/>
          <w:lang w:eastAsia="he-IL"/>
        </w:rPr>
      </w:pPr>
    </w:p>
    <w:p w:rsidR="000C5C1F" w:rsidRDefault="000C5C1F" w:rsidP="000C5C1F">
      <w:pPr>
        <w:rPr>
          <w:rtl/>
          <w:lang w:eastAsia="he-IL"/>
        </w:rPr>
      </w:pPr>
      <w:bookmarkStart w:id="30" w:name="_ETM_Q1_130337"/>
      <w:bookmarkStart w:id="31" w:name="_ETM_Q1_86844"/>
      <w:bookmarkStart w:id="32" w:name="_ETM_Q1_86958"/>
      <w:bookmarkStart w:id="33" w:name="_ETM_Q1_97080"/>
      <w:bookmarkStart w:id="34" w:name="_ETM_Q1_97193"/>
      <w:bookmarkEnd w:id="30"/>
      <w:bookmarkEnd w:id="31"/>
      <w:bookmarkEnd w:id="32"/>
      <w:bookmarkEnd w:id="33"/>
      <w:bookmarkEnd w:id="34"/>
      <w:r>
        <w:rPr>
          <w:rFonts w:hint="cs"/>
          <w:rtl/>
          <w:lang w:eastAsia="he-IL"/>
        </w:rPr>
        <w:t xml:space="preserve">מי השר התורן? </w:t>
      </w:r>
    </w:p>
    <w:p w:rsidR="000C5C1F" w:rsidRDefault="000C5C1F" w:rsidP="000C5C1F">
      <w:pPr>
        <w:rPr>
          <w:rtl/>
          <w:lang w:eastAsia="he-IL"/>
        </w:rPr>
      </w:pPr>
    </w:p>
    <w:p w:rsidR="000C5C1F" w:rsidRDefault="000C5C1F" w:rsidP="000C5C1F">
      <w:pPr>
        <w:pStyle w:val="af8"/>
        <w:keepNext/>
        <w:rPr>
          <w:rtl/>
        </w:rPr>
      </w:pPr>
      <w:bookmarkStart w:id="35" w:name="ET_interruption_קר_אה_3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5"/>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אלי כהן. </w:t>
      </w:r>
    </w:p>
    <w:p w:rsidR="000C5C1F" w:rsidRDefault="000C5C1F" w:rsidP="000C5C1F">
      <w:pPr>
        <w:rPr>
          <w:rtl/>
          <w:lang w:eastAsia="he-IL"/>
        </w:rPr>
      </w:pPr>
    </w:p>
    <w:p w:rsidR="000C5C1F" w:rsidRDefault="000C5C1F" w:rsidP="000C5C1F">
      <w:pPr>
        <w:pStyle w:val="af9"/>
        <w:keepNext/>
        <w:rPr>
          <w:rtl/>
        </w:rPr>
      </w:pPr>
      <w:bookmarkStart w:id="36" w:name="ET_yor_6423_3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6"/>
    </w:p>
    <w:p w:rsidR="000C5C1F" w:rsidRDefault="000C5C1F" w:rsidP="00337201">
      <w:pPr>
        <w:rPr>
          <w:rtl/>
          <w:lang w:eastAsia="he-IL"/>
        </w:rPr>
      </w:pPr>
    </w:p>
    <w:p w:rsidR="000C5C1F" w:rsidRDefault="000C5C1F" w:rsidP="000C5C1F">
      <w:pPr>
        <w:rPr>
          <w:rtl/>
          <w:lang w:eastAsia="he-IL"/>
        </w:rPr>
      </w:pPr>
      <w:bookmarkStart w:id="37" w:name="_ETM_Q1_126989"/>
      <w:bookmarkEnd w:id="37"/>
      <w:r>
        <w:rPr>
          <w:rFonts w:hint="cs"/>
          <w:rtl/>
          <w:lang w:eastAsia="he-IL"/>
        </w:rPr>
        <w:t xml:space="preserve">השר אלי כהן? מישהו דיבר איתו? אני לא יודע למה בדיון כזה אנחנו צריכים להמתין לשר. אין מספיק שרים בממשלה, נראה לי. </w:t>
      </w:r>
    </w:p>
    <w:p w:rsidR="000C5C1F" w:rsidRDefault="000C5C1F" w:rsidP="000C5C1F">
      <w:pPr>
        <w:rPr>
          <w:rtl/>
          <w:lang w:eastAsia="he-IL"/>
        </w:rPr>
      </w:pPr>
      <w:bookmarkStart w:id="38" w:name="_ETM_Q1_148998"/>
      <w:bookmarkStart w:id="39" w:name="_ETM_Q1_149090"/>
      <w:bookmarkEnd w:id="38"/>
      <w:bookmarkEnd w:id="39"/>
    </w:p>
    <w:p w:rsidR="000C5C1F" w:rsidRDefault="000C5C1F" w:rsidP="000C5C1F">
      <w:pPr>
        <w:pStyle w:val="af8"/>
        <w:keepNext/>
        <w:rPr>
          <w:rtl/>
        </w:rPr>
      </w:pPr>
      <w:bookmarkStart w:id="40" w:name="ET_interruption_6156_15"/>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40"/>
    </w:p>
    <w:p w:rsidR="000C5C1F" w:rsidRDefault="000C5C1F" w:rsidP="00337201">
      <w:pPr>
        <w:rPr>
          <w:rtl/>
          <w:lang w:eastAsia="he-IL"/>
        </w:rPr>
      </w:pPr>
    </w:p>
    <w:p w:rsidR="000C5C1F" w:rsidRDefault="000C5C1F" w:rsidP="000C5C1F">
      <w:pPr>
        <w:rPr>
          <w:rtl/>
          <w:lang w:eastAsia="he-IL"/>
        </w:rPr>
      </w:pPr>
      <w:bookmarkStart w:id="41" w:name="_ETM_Q1_158825"/>
      <w:bookmarkStart w:id="42" w:name="_ETM_Q1_149685"/>
      <w:bookmarkStart w:id="43" w:name="_ETM_Q1_149757"/>
      <w:bookmarkEnd w:id="41"/>
      <w:bookmarkEnd w:id="42"/>
      <w:bookmarkEnd w:id="43"/>
      <w:r>
        <w:rPr>
          <w:rFonts w:hint="cs"/>
          <w:rtl/>
          <w:lang w:eastAsia="he-IL"/>
        </w:rPr>
        <w:t xml:space="preserve">זהו. בדיוק. יש מיעוט שרים, ומי ששר יש לו המון עבודה. </w:t>
      </w:r>
      <w:bookmarkStart w:id="44" w:name="_ETM_Q1_188063"/>
      <w:bookmarkEnd w:id="44"/>
      <w:r>
        <w:rPr>
          <w:rFonts w:hint="cs"/>
          <w:rtl/>
          <w:lang w:eastAsia="he-IL"/>
        </w:rPr>
        <w:t>אין ספק שזאת ממשלה - - -</w:t>
      </w:r>
    </w:p>
    <w:p w:rsidR="000C5C1F" w:rsidRDefault="000C5C1F" w:rsidP="000C5C1F">
      <w:pPr>
        <w:rPr>
          <w:rtl/>
          <w:lang w:eastAsia="he-IL"/>
        </w:rPr>
      </w:pPr>
      <w:bookmarkStart w:id="45" w:name="_ETM_Q1_188271"/>
      <w:bookmarkStart w:id="46" w:name="_ETM_Q1_188371"/>
      <w:bookmarkEnd w:id="45"/>
      <w:bookmarkEnd w:id="46"/>
    </w:p>
    <w:p w:rsidR="000C5C1F" w:rsidRDefault="000C5C1F" w:rsidP="000C5C1F">
      <w:pPr>
        <w:pStyle w:val="af8"/>
        <w:keepNext/>
        <w:rPr>
          <w:rtl/>
        </w:rPr>
      </w:pPr>
      <w:bookmarkStart w:id="47" w:name="ET_interruption_6128_16"/>
      <w:r>
        <w:rPr>
          <w:rStyle w:val="TagStyle"/>
          <w:rFonts w:hint="cs"/>
          <w:rtl/>
        </w:rPr>
        <w:t xml:space="preserve"> &lt;&lt; קריאה &gt;&gt; </w:t>
      </w:r>
      <w:r>
        <w:rPr>
          <w:rFonts w:hint="cs"/>
          <w:rtl/>
        </w:rPr>
        <w:t>משה טור פז (יש עתיד):</w:t>
      </w:r>
      <w:r>
        <w:rPr>
          <w:rStyle w:val="TagStyle"/>
          <w:rtl/>
        </w:rPr>
        <w:t xml:space="preserve"> &lt;&lt; קריאה &gt;&gt;</w:t>
      </w:r>
      <w:r>
        <w:rPr>
          <w:rFonts w:hint="cs"/>
          <w:rtl/>
        </w:rPr>
        <w:t xml:space="preserve">   </w:t>
      </w:r>
      <w:bookmarkEnd w:id="47"/>
    </w:p>
    <w:p w:rsidR="000C5C1F" w:rsidRDefault="000C5C1F" w:rsidP="000C5C1F">
      <w:pPr>
        <w:rPr>
          <w:rtl/>
          <w:lang w:eastAsia="he-IL"/>
        </w:rPr>
      </w:pPr>
      <w:bookmarkStart w:id="48" w:name="_ETM_Q1_192143"/>
      <w:bookmarkStart w:id="49" w:name="_ETM_Q1_192265"/>
      <w:bookmarkStart w:id="50" w:name="_ETM_Q1_192336"/>
      <w:bookmarkEnd w:id="48"/>
      <w:bookmarkEnd w:id="49"/>
      <w:bookmarkEnd w:id="50"/>
    </w:p>
    <w:p w:rsidR="000C5C1F" w:rsidRDefault="000C5C1F" w:rsidP="000C5C1F">
      <w:pPr>
        <w:rPr>
          <w:rtl/>
          <w:lang w:eastAsia="he-IL"/>
        </w:rPr>
      </w:pPr>
      <w:bookmarkStart w:id="51" w:name="_ETM_Q1_192473"/>
      <w:bookmarkEnd w:id="51"/>
      <w:r>
        <w:rPr>
          <w:rFonts w:hint="cs"/>
          <w:rtl/>
          <w:lang w:eastAsia="he-IL"/>
        </w:rPr>
        <w:t xml:space="preserve">אני בעד למנות את </w:t>
      </w:r>
      <w:bookmarkStart w:id="52" w:name="_ETM_Q1_193630"/>
      <w:bookmarkEnd w:id="52"/>
      <w:r>
        <w:rPr>
          <w:rFonts w:hint="cs"/>
          <w:rtl/>
          <w:lang w:eastAsia="he-IL"/>
        </w:rPr>
        <w:t xml:space="preserve">גלעד קריב לשר </w:t>
      </w:r>
      <w:bookmarkStart w:id="53" w:name="_ETM_Q1_188920"/>
      <w:bookmarkStart w:id="54" w:name="_ETM_Q1_194919"/>
      <w:bookmarkStart w:id="55" w:name="_ETM_Q1_195074"/>
      <w:bookmarkStart w:id="56" w:name="_ETM_Q1_204830"/>
      <w:bookmarkEnd w:id="53"/>
      <w:bookmarkEnd w:id="54"/>
      <w:bookmarkEnd w:id="55"/>
      <w:bookmarkEnd w:id="56"/>
      <w:r>
        <w:rPr>
          <w:rFonts w:hint="cs"/>
          <w:rtl/>
          <w:lang w:eastAsia="he-IL"/>
        </w:rPr>
        <w:t xml:space="preserve">- - </w:t>
      </w:r>
      <w:bookmarkStart w:id="57" w:name="_ETM_Q1_201921"/>
      <w:bookmarkEnd w:id="57"/>
      <w:r>
        <w:rPr>
          <w:rFonts w:hint="cs"/>
          <w:rtl/>
          <w:lang w:eastAsia="he-IL"/>
        </w:rPr>
        <w:t xml:space="preserve">- לעצבן את שמחה. </w:t>
      </w:r>
      <w:bookmarkStart w:id="58" w:name="_ETM_Q1_203784"/>
      <w:bookmarkEnd w:id="58"/>
    </w:p>
    <w:p w:rsidR="000C5C1F" w:rsidRDefault="000C5C1F" w:rsidP="000C5C1F">
      <w:pPr>
        <w:rPr>
          <w:rtl/>
          <w:lang w:eastAsia="he-IL"/>
        </w:rPr>
      </w:pPr>
      <w:bookmarkStart w:id="59" w:name="_ETM_Q1_203925"/>
      <w:bookmarkEnd w:id="59"/>
    </w:p>
    <w:p w:rsidR="000C5C1F" w:rsidRDefault="000C5C1F" w:rsidP="000C5C1F">
      <w:pPr>
        <w:pStyle w:val="af8"/>
        <w:keepNext/>
        <w:rPr>
          <w:rtl/>
        </w:rPr>
      </w:pPr>
      <w:bookmarkStart w:id="60" w:name="ET_interruption_6156_3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60"/>
    </w:p>
    <w:p w:rsidR="000C5C1F" w:rsidRDefault="000C5C1F" w:rsidP="00337201">
      <w:pPr>
        <w:rPr>
          <w:rtl/>
          <w:lang w:eastAsia="he-IL"/>
        </w:rPr>
      </w:pPr>
    </w:p>
    <w:p w:rsidR="000C5C1F" w:rsidRDefault="000C5C1F" w:rsidP="000C5C1F">
      <w:pPr>
        <w:rPr>
          <w:rtl/>
          <w:lang w:eastAsia="he-IL"/>
        </w:rPr>
      </w:pPr>
      <w:bookmarkStart w:id="61" w:name="_ETM_Q1_209049"/>
      <w:bookmarkEnd w:id="61"/>
      <w:r>
        <w:rPr>
          <w:rFonts w:hint="cs"/>
          <w:rtl/>
          <w:lang w:eastAsia="he-IL"/>
        </w:rPr>
        <w:t xml:space="preserve">אופיר, </w:t>
      </w:r>
      <w:bookmarkStart w:id="62" w:name="_ETM_Q1_195918"/>
      <w:bookmarkStart w:id="63" w:name="_ETM_Q1_196038"/>
      <w:bookmarkEnd w:id="62"/>
      <w:bookmarkEnd w:id="63"/>
      <w:r>
        <w:rPr>
          <w:rFonts w:hint="cs"/>
          <w:rtl/>
          <w:lang w:eastAsia="he-IL"/>
        </w:rPr>
        <w:t xml:space="preserve">אני מבין שגלית </w:t>
      </w:r>
      <w:bookmarkStart w:id="64" w:name="_ETM_Q1_211558"/>
      <w:bookmarkEnd w:id="64"/>
      <w:r>
        <w:rPr>
          <w:rFonts w:hint="cs"/>
          <w:rtl/>
          <w:lang w:eastAsia="he-IL"/>
        </w:rPr>
        <w:t xml:space="preserve">בדיוק מחברת את המדפסת. </w:t>
      </w:r>
    </w:p>
    <w:p w:rsidR="000C5C1F" w:rsidRDefault="000C5C1F" w:rsidP="000C5C1F">
      <w:pPr>
        <w:rPr>
          <w:rtl/>
          <w:lang w:eastAsia="he-IL"/>
        </w:rPr>
      </w:pPr>
      <w:bookmarkStart w:id="65" w:name="_ETM_Q1_213663"/>
      <w:bookmarkStart w:id="66" w:name="_ETM_Q1_213799"/>
      <w:bookmarkEnd w:id="65"/>
      <w:bookmarkEnd w:id="66"/>
    </w:p>
    <w:p w:rsidR="000C5C1F" w:rsidRDefault="000C5C1F" w:rsidP="000C5C1F">
      <w:pPr>
        <w:pStyle w:val="af8"/>
        <w:keepNext/>
        <w:rPr>
          <w:rtl/>
        </w:rPr>
      </w:pPr>
      <w:bookmarkStart w:id="67" w:name="ET_interruption_6128_35"/>
      <w:r>
        <w:rPr>
          <w:rStyle w:val="TagStyle"/>
          <w:rFonts w:hint="cs"/>
          <w:rtl/>
        </w:rPr>
        <w:t xml:space="preserve"> &lt;&lt; קריאה &gt;&gt; </w:t>
      </w:r>
      <w:r>
        <w:rPr>
          <w:rFonts w:hint="cs"/>
          <w:rtl/>
        </w:rPr>
        <w:t>משה טור פז (יש עתיד):</w:t>
      </w:r>
      <w:r>
        <w:rPr>
          <w:rStyle w:val="TagStyle"/>
          <w:rtl/>
        </w:rPr>
        <w:t xml:space="preserve"> &lt;&lt; קריאה &gt;&gt;</w:t>
      </w:r>
      <w:r>
        <w:rPr>
          <w:rFonts w:hint="cs"/>
          <w:rtl/>
        </w:rPr>
        <w:t xml:space="preserve">   </w:t>
      </w:r>
      <w:bookmarkEnd w:id="67"/>
    </w:p>
    <w:p w:rsidR="000C5C1F" w:rsidRDefault="000C5C1F" w:rsidP="00337201">
      <w:pPr>
        <w:rPr>
          <w:rtl/>
          <w:lang w:eastAsia="he-IL"/>
        </w:rPr>
      </w:pPr>
    </w:p>
    <w:p w:rsidR="000C5C1F" w:rsidRDefault="000C5C1F" w:rsidP="000C5C1F">
      <w:pPr>
        <w:rPr>
          <w:rtl/>
          <w:lang w:eastAsia="he-IL"/>
        </w:rPr>
      </w:pPr>
      <w:r>
        <w:rPr>
          <w:rFonts w:hint="cs"/>
          <w:rtl/>
          <w:lang w:eastAsia="he-IL"/>
        </w:rPr>
        <w:t>לא, לא. ואטורי, היא -</w:t>
      </w:r>
      <w:bookmarkStart w:id="68" w:name="_ETM_Q1_215613"/>
      <w:bookmarkEnd w:id="68"/>
      <w:r>
        <w:rPr>
          <w:rFonts w:hint="cs"/>
          <w:rtl/>
          <w:lang w:eastAsia="he-IL"/>
        </w:rPr>
        <w:t xml:space="preserve"> - - לשר ניסים ואטורי. </w:t>
      </w:r>
    </w:p>
    <w:p w:rsidR="000C5C1F" w:rsidRDefault="000C5C1F" w:rsidP="000C5C1F">
      <w:pPr>
        <w:rPr>
          <w:rtl/>
          <w:lang w:eastAsia="he-IL"/>
        </w:rPr>
      </w:pPr>
      <w:bookmarkStart w:id="69" w:name="_ETM_Q1_216227"/>
      <w:bookmarkStart w:id="70" w:name="_ETM_Q1_216346"/>
      <w:bookmarkEnd w:id="69"/>
      <w:bookmarkEnd w:id="70"/>
    </w:p>
    <w:p w:rsidR="000C5C1F" w:rsidRDefault="000C5C1F" w:rsidP="000C5C1F">
      <w:pPr>
        <w:pStyle w:val="af9"/>
        <w:keepNext/>
        <w:rPr>
          <w:rtl/>
        </w:rPr>
      </w:pPr>
      <w:bookmarkStart w:id="71" w:name="ET_yor_6423_1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1"/>
    </w:p>
    <w:p w:rsidR="000C5C1F" w:rsidRDefault="000C5C1F" w:rsidP="00337201">
      <w:pPr>
        <w:rPr>
          <w:rtl/>
          <w:lang w:eastAsia="he-IL"/>
        </w:rPr>
      </w:pPr>
    </w:p>
    <w:p w:rsidR="000C5C1F" w:rsidRDefault="000C5C1F" w:rsidP="000C5C1F">
      <w:pPr>
        <w:rPr>
          <w:rtl/>
          <w:lang w:eastAsia="he-IL"/>
        </w:rPr>
      </w:pPr>
      <w:bookmarkStart w:id="72" w:name="_ETM_Q1_218003"/>
      <w:bookmarkEnd w:id="72"/>
      <w:r>
        <w:rPr>
          <w:rFonts w:hint="cs"/>
          <w:rtl/>
          <w:lang w:eastAsia="he-IL"/>
        </w:rPr>
        <w:t xml:space="preserve">אגב, </w:t>
      </w:r>
      <w:bookmarkStart w:id="73" w:name="_ETM_Q1_219172"/>
      <w:bookmarkEnd w:id="73"/>
      <w:r>
        <w:rPr>
          <w:rFonts w:hint="cs"/>
          <w:rtl/>
          <w:lang w:eastAsia="he-IL"/>
        </w:rPr>
        <w:t xml:space="preserve">גם על זה צריך להצביע, ובשביל זה צריך שר. </w:t>
      </w:r>
      <w:bookmarkStart w:id="74" w:name="_ETM_Q1_190404"/>
      <w:bookmarkEnd w:id="74"/>
    </w:p>
    <w:p w:rsidR="000C5C1F" w:rsidRDefault="000C5C1F" w:rsidP="000C5C1F">
      <w:pPr>
        <w:rPr>
          <w:rtl/>
          <w:lang w:eastAsia="he-IL"/>
        </w:rPr>
      </w:pPr>
      <w:bookmarkStart w:id="75" w:name="_ETM_Q1_225396"/>
      <w:bookmarkStart w:id="76" w:name="_ETM_Q1_225490"/>
      <w:bookmarkEnd w:id="75"/>
      <w:bookmarkEnd w:id="76"/>
    </w:p>
    <w:p w:rsidR="000C5C1F" w:rsidRDefault="000C5C1F" w:rsidP="000C5C1F">
      <w:pPr>
        <w:pStyle w:val="af8"/>
        <w:keepNext/>
        <w:rPr>
          <w:rtl/>
        </w:rPr>
      </w:pPr>
      <w:bookmarkStart w:id="77" w:name="_ETM_Q1_222626"/>
      <w:bookmarkStart w:id="78" w:name="_ETM_Q1_222725"/>
      <w:bookmarkStart w:id="79" w:name="ET_interruption_6156_19"/>
      <w:bookmarkEnd w:id="77"/>
      <w:bookmarkEnd w:id="78"/>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79"/>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אבל אם היא תחבר את </w:t>
      </w:r>
      <w:bookmarkStart w:id="80" w:name="_ETM_Q1_222341"/>
      <w:bookmarkEnd w:id="80"/>
      <w:r>
        <w:rPr>
          <w:rFonts w:hint="cs"/>
          <w:rtl/>
          <w:lang w:eastAsia="he-IL"/>
        </w:rPr>
        <w:t xml:space="preserve">המדפסת מה היא מפרקת את הרשות? </w:t>
      </w:r>
    </w:p>
    <w:p w:rsidR="000C5C1F" w:rsidRDefault="000C5C1F" w:rsidP="000C5C1F">
      <w:pPr>
        <w:rPr>
          <w:rtl/>
          <w:lang w:eastAsia="he-IL"/>
        </w:rPr>
      </w:pPr>
      <w:bookmarkStart w:id="81" w:name="_ETM_Q1_228387"/>
      <w:bookmarkStart w:id="82" w:name="_ETM_Q1_228514"/>
      <w:bookmarkEnd w:id="81"/>
      <w:bookmarkEnd w:id="82"/>
    </w:p>
    <w:p w:rsidR="000C5C1F" w:rsidRDefault="000C5C1F" w:rsidP="000C5C1F">
      <w:pPr>
        <w:pStyle w:val="af8"/>
        <w:keepNext/>
        <w:rPr>
          <w:rtl/>
        </w:rPr>
      </w:pPr>
      <w:bookmarkStart w:id="83" w:name="ET_interruption_6128_36"/>
      <w:r>
        <w:rPr>
          <w:rStyle w:val="TagStyle"/>
          <w:rFonts w:hint="cs"/>
          <w:rtl/>
        </w:rPr>
        <w:t xml:space="preserve"> &lt;&lt; קריאה &gt;&gt; </w:t>
      </w:r>
      <w:r>
        <w:rPr>
          <w:rFonts w:hint="cs"/>
          <w:rtl/>
        </w:rPr>
        <w:t>משה טור פז (יש עתיד):</w:t>
      </w:r>
      <w:r>
        <w:rPr>
          <w:rStyle w:val="TagStyle"/>
          <w:rtl/>
        </w:rPr>
        <w:t xml:space="preserve"> &lt;&lt; קריאה &gt;&gt;</w:t>
      </w:r>
      <w:r>
        <w:rPr>
          <w:rFonts w:hint="cs"/>
          <w:rtl/>
        </w:rPr>
        <w:t xml:space="preserve">   </w:t>
      </w:r>
      <w:bookmarkEnd w:id="83"/>
    </w:p>
    <w:p w:rsidR="000C5C1F" w:rsidRDefault="000C5C1F" w:rsidP="00337201">
      <w:pPr>
        <w:rPr>
          <w:rtl/>
          <w:lang w:eastAsia="he-IL"/>
        </w:rPr>
      </w:pPr>
    </w:p>
    <w:p w:rsidR="000C5C1F" w:rsidRDefault="000C5C1F" w:rsidP="000C5C1F">
      <w:pPr>
        <w:rPr>
          <w:rtl/>
          <w:lang w:eastAsia="he-IL"/>
        </w:rPr>
      </w:pPr>
      <w:bookmarkStart w:id="84" w:name="_ETM_Q1_228157"/>
      <w:bookmarkStart w:id="85" w:name="_ETM_Q1_232948"/>
      <w:bookmarkStart w:id="86" w:name="_ETM_Q1_233058"/>
      <w:bookmarkEnd w:id="84"/>
      <w:bookmarkEnd w:id="85"/>
      <w:bookmarkEnd w:id="86"/>
      <w:r>
        <w:rPr>
          <w:rFonts w:hint="cs"/>
          <w:rtl/>
          <w:lang w:eastAsia="he-IL"/>
        </w:rPr>
        <w:t xml:space="preserve">בדיוק. שר השיכון, אני בעד. ניסים ואטורי, גולדקנופ ייקח </w:t>
      </w:r>
      <w:bookmarkStart w:id="87" w:name="_ETM_Q1_232782"/>
      <w:bookmarkEnd w:id="87"/>
      <w:r>
        <w:rPr>
          <w:rFonts w:hint="cs"/>
          <w:rtl/>
          <w:lang w:eastAsia="he-IL"/>
        </w:rPr>
        <w:t xml:space="preserve">את שר </w:t>
      </w:r>
      <w:bookmarkStart w:id="88" w:name="_ETM_Q1_237708"/>
      <w:bookmarkEnd w:id="88"/>
      <w:r>
        <w:rPr>
          <w:rFonts w:hint="cs"/>
          <w:rtl/>
          <w:lang w:eastAsia="he-IL"/>
        </w:rPr>
        <w:t>השיכון - - -</w:t>
      </w:r>
    </w:p>
    <w:p w:rsidR="000C5C1F" w:rsidRDefault="000C5C1F" w:rsidP="000C5C1F">
      <w:pPr>
        <w:rPr>
          <w:rtl/>
          <w:lang w:eastAsia="he-IL"/>
        </w:rPr>
      </w:pPr>
      <w:bookmarkStart w:id="89" w:name="_ETM_Q1_239792"/>
      <w:bookmarkStart w:id="90" w:name="_ETM_Q1_239908"/>
      <w:bookmarkEnd w:id="89"/>
      <w:bookmarkEnd w:id="90"/>
    </w:p>
    <w:p w:rsidR="000C5C1F" w:rsidRDefault="000C5C1F" w:rsidP="000C5C1F">
      <w:pPr>
        <w:pStyle w:val="af8"/>
        <w:keepNext/>
        <w:rPr>
          <w:rtl/>
        </w:rPr>
      </w:pPr>
      <w:bookmarkStart w:id="91" w:name="ET_interruption_6156_37"/>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91"/>
    </w:p>
    <w:p w:rsidR="000C5C1F" w:rsidRDefault="000C5C1F" w:rsidP="00337201">
      <w:pPr>
        <w:rPr>
          <w:rtl/>
          <w:lang w:eastAsia="he-IL"/>
        </w:rPr>
      </w:pPr>
    </w:p>
    <w:p w:rsidR="000C5C1F" w:rsidRDefault="000C5C1F" w:rsidP="000C5C1F">
      <w:pPr>
        <w:rPr>
          <w:rtl/>
          <w:lang w:eastAsia="he-IL"/>
        </w:rPr>
      </w:pPr>
      <w:bookmarkStart w:id="92" w:name="_ETM_Q1_237872"/>
      <w:bookmarkEnd w:id="92"/>
      <w:r>
        <w:rPr>
          <w:rFonts w:hint="cs"/>
          <w:rtl/>
          <w:lang w:eastAsia="he-IL"/>
        </w:rPr>
        <w:t xml:space="preserve">זה רעיון. גולדקנופ </w:t>
      </w:r>
      <w:bookmarkStart w:id="93" w:name="_ETM_Q1_240999"/>
      <w:bookmarkEnd w:id="93"/>
      <w:r>
        <w:rPr>
          <w:rFonts w:hint="cs"/>
          <w:rtl/>
          <w:lang w:eastAsia="he-IL"/>
        </w:rPr>
        <w:t xml:space="preserve">יהיה שר השיכון וואטורי שר הבינוי. </w:t>
      </w:r>
      <w:bookmarkStart w:id="94" w:name="_ETM_Q1_244076"/>
      <w:bookmarkStart w:id="95" w:name="_ETM_Q1_244174"/>
      <w:bookmarkEnd w:id="94"/>
      <w:bookmarkEnd w:id="95"/>
      <w:r>
        <w:rPr>
          <w:rFonts w:hint="cs"/>
          <w:rtl/>
          <w:lang w:eastAsia="he-IL"/>
        </w:rPr>
        <w:t xml:space="preserve">מיקי </w:t>
      </w:r>
      <w:bookmarkStart w:id="96" w:name="_ETM_Q1_245174"/>
      <w:bookmarkEnd w:id="96"/>
      <w:r>
        <w:rPr>
          <w:rFonts w:hint="cs"/>
          <w:rtl/>
          <w:lang w:eastAsia="he-IL"/>
        </w:rPr>
        <w:t xml:space="preserve">שר התרבות, ומישהו אחר שר הספורט. </w:t>
      </w:r>
      <w:bookmarkStart w:id="97" w:name="_ETM_Q1_250101"/>
      <w:bookmarkStart w:id="98" w:name="_ETM_Q1_250193"/>
      <w:bookmarkEnd w:id="97"/>
      <w:bookmarkEnd w:id="98"/>
      <w:r>
        <w:rPr>
          <w:rFonts w:hint="cs"/>
          <w:rtl/>
          <w:lang w:eastAsia="he-IL"/>
        </w:rPr>
        <w:t xml:space="preserve">אני רק אציין שראש האופוזיציה כן כיבד את הכנסת והגיע לדיון. </w:t>
      </w:r>
      <w:bookmarkStart w:id="99" w:name="_ETM_Q1_307884"/>
      <w:bookmarkEnd w:id="99"/>
    </w:p>
    <w:p w:rsidR="000C5C1F" w:rsidRDefault="000C5C1F" w:rsidP="000C5C1F">
      <w:pPr>
        <w:rPr>
          <w:rtl/>
          <w:lang w:eastAsia="he-IL"/>
        </w:rPr>
      </w:pPr>
      <w:bookmarkStart w:id="100" w:name="_ETM_Q1_308036"/>
      <w:bookmarkStart w:id="101" w:name="_ETM_Q1_310426"/>
      <w:bookmarkStart w:id="102" w:name="_ETM_Q1_311437"/>
      <w:bookmarkStart w:id="103" w:name="_ETM_Q1_311517"/>
      <w:bookmarkStart w:id="104" w:name="_ETM_Q1_260393"/>
      <w:bookmarkStart w:id="105" w:name="_ETM_Q1_260506"/>
      <w:bookmarkStart w:id="106" w:name="_ETM_Q1_328057"/>
      <w:bookmarkStart w:id="107" w:name="_ETM_Q1_354081"/>
      <w:bookmarkStart w:id="108" w:name="_ETM_Q1_354944"/>
      <w:bookmarkStart w:id="109" w:name="_ETM_Q1_355074"/>
      <w:bookmarkEnd w:id="100"/>
      <w:bookmarkEnd w:id="101"/>
      <w:bookmarkEnd w:id="102"/>
      <w:bookmarkEnd w:id="103"/>
      <w:bookmarkEnd w:id="104"/>
      <w:bookmarkEnd w:id="105"/>
      <w:bookmarkEnd w:id="106"/>
      <w:bookmarkEnd w:id="107"/>
      <w:bookmarkEnd w:id="108"/>
      <w:bookmarkEnd w:id="109"/>
    </w:p>
    <w:p w:rsidR="000C5C1F" w:rsidRDefault="000C5C1F" w:rsidP="000C5C1F">
      <w:pPr>
        <w:pStyle w:val="af9"/>
        <w:keepNext/>
        <w:rPr>
          <w:rtl/>
        </w:rPr>
      </w:pPr>
      <w:bookmarkStart w:id="110" w:name="ET_yor_6423_2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10"/>
    </w:p>
    <w:p w:rsidR="000C5C1F" w:rsidRDefault="000C5C1F" w:rsidP="00337201">
      <w:pPr>
        <w:rPr>
          <w:rtl/>
          <w:lang w:eastAsia="he-IL"/>
        </w:rPr>
      </w:pPr>
    </w:p>
    <w:p w:rsidR="000C5C1F" w:rsidRDefault="000C5C1F" w:rsidP="000C5C1F">
      <w:pPr>
        <w:rPr>
          <w:rtl/>
          <w:lang w:eastAsia="he-IL"/>
        </w:rPr>
      </w:pPr>
      <w:bookmarkStart w:id="111" w:name="_ETM_Q1_261881"/>
      <w:bookmarkEnd w:id="111"/>
      <w:r>
        <w:rPr>
          <w:rFonts w:hint="cs"/>
          <w:rtl/>
          <w:lang w:eastAsia="he-IL"/>
        </w:rPr>
        <w:t>ראש האופו</w:t>
      </w:r>
      <w:bookmarkStart w:id="112" w:name="_ETM_Q1_244115"/>
      <w:bookmarkStart w:id="113" w:name="_ETM_Q1_244212"/>
      <w:bookmarkStart w:id="114" w:name="_ETM_Q1_219844"/>
      <w:bookmarkStart w:id="115" w:name="_ETM_Q1_219934"/>
      <w:bookmarkEnd w:id="112"/>
      <w:bookmarkEnd w:id="113"/>
      <w:bookmarkEnd w:id="114"/>
      <w:bookmarkEnd w:id="115"/>
      <w:r>
        <w:rPr>
          <w:rFonts w:hint="cs"/>
          <w:rtl/>
          <w:lang w:eastAsia="he-IL"/>
        </w:rPr>
        <w:t xml:space="preserve">זיציה אכן נוכח באולם. </w:t>
      </w:r>
    </w:p>
    <w:p w:rsidR="000C5C1F" w:rsidRDefault="000C5C1F" w:rsidP="000C5C1F">
      <w:pPr>
        <w:rPr>
          <w:rtl/>
          <w:lang w:eastAsia="he-IL"/>
        </w:rPr>
      </w:pPr>
      <w:bookmarkStart w:id="116" w:name="_ETM_Q1_266729"/>
      <w:bookmarkStart w:id="117" w:name="_ETM_Q1_266814"/>
      <w:bookmarkEnd w:id="116"/>
      <w:bookmarkEnd w:id="117"/>
    </w:p>
    <w:p w:rsidR="000C5C1F" w:rsidRDefault="000C5C1F" w:rsidP="000C5C1F">
      <w:pPr>
        <w:pStyle w:val="af8"/>
        <w:keepNext/>
        <w:rPr>
          <w:rtl/>
        </w:rPr>
      </w:pPr>
      <w:bookmarkStart w:id="118" w:name="ET_interruption_6156_21"/>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18"/>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חבל שדגל </w:t>
      </w:r>
      <w:bookmarkStart w:id="119" w:name="_ETM_Q1_268596"/>
      <w:bookmarkEnd w:id="119"/>
      <w:r>
        <w:rPr>
          <w:rFonts w:hint="cs"/>
          <w:rtl/>
          <w:lang w:eastAsia="he-IL"/>
        </w:rPr>
        <w:t xml:space="preserve">התורה לא - - - לשרים, אולי הם היו מגיעים. אולי השרים בתפילת </w:t>
      </w:r>
      <w:bookmarkStart w:id="120" w:name="_ETM_Q1_283227"/>
      <w:bookmarkEnd w:id="120"/>
      <w:r>
        <w:rPr>
          <w:rFonts w:hint="cs"/>
          <w:rtl/>
          <w:lang w:eastAsia="he-IL"/>
        </w:rPr>
        <w:t xml:space="preserve">האחדות בכותל. </w:t>
      </w:r>
    </w:p>
    <w:p w:rsidR="000C5C1F" w:rsidRDefault="000C5C1F" w:rsidP="000C5C1F">
      <w:pPr>
        <w:rPr>
          <w:rtl/>
          <w:lang w:eastAsia="he-IL"/>
        </w:rPr>
      </w:pPr>
      <w:bookmarkStart w:id="121" w:name="_ETM_Q1_281017"/>
      <w:bookmarkStart w:id="122" w:name="_ETM_Q1_281105"/>
      <w:bookmarkEnd w:id="121"/>
      <w:bookmarkEnd w:id="122"/>
    </w:p>
    <w:p w:rsidR="000C5C1F" w:rsidRDefault="000C5C1F" w:rsidP="000C5C1F">
      <w:pPr>
        <w:pStyle w:val="af8"/>
        <w:keepNext/>
        <w:rPr>
          <w:rtl/>
        </w:rPr>
      </w:pPr>
      <w:bookmarkStart w:id="123" w:name="ET_interruption_6157_22"/>
      <w:r>
        <w:rPr>
          <w:rStyle w:val="TagStyle"/>
          <w:rFonts w:hint="cs"/>
          <w:rtl/>
        </w:rPr>
        <w:t xml:space="preserve"> &lt;&lt; קריאה &gt;&gt; </w:t>
      </w:r>
      <w:r>
        <w:rPr>
          <w:rFonts w:hint="cs"/>
          <w:rtl/>
        </w:rPr>
        <w:t>שמחה רוטמן (יו"ר ועדת החוקה, חוק ומשפט):</w:t>
      </w:r>
      <w:r>
        <w:rPr>
          <w:rStyle w:val="TagStyle"/>
          <w:rtl/>
        </w:rPr>
        <w:t xml:space="preserve"> &lt;&lt; קריאה &gt;&gt;</w:t>
      </w:r>
      <w:r>
        <w:rPr>
          <w:rFonts w:hint="cs"/>
          <w:rtl/>
        </w:rPr>
        <w:t xml:space="preserve">   </w:t>
      </w:r>
      <w:bookmarkEnd w:id="123"/>
    </w:p>
    <w:p w:rsidR="000C5C1F" w:rsidRDefault="000C5C1F" w:rsidP="00337201">
      <w:pPr>
        <w:rPr>
          <w:rtl/>
          <w:lang w:eastAsia="he-IL"/>
        </w:rPr>
      </w:pPr>
    </w:p>
    <w:p w:rsidR="000C5C1F" w:rsidRDefault="000C5C1F" w:rsidP="000C5C1F">
      <w:pPr>
        <w:rPr>
          <w:rtl/>
          <w:lang w:eastAsia="he-IL"/>
        </w:rPr>
      </w:pPr>
      <w:bookmarkStart w:id="124" w:name="_ETM_Q1_283721"/>
      <w:bookmarkEnd w:id="124"/>
      <w:r>
        <w:rPr>
          <w:rFonts w:hint="cs"/>
          <w:rtl/>
          <w:lang w:eastAsia="he-IL"/>
        </w:rPr>
        <w:t xml:space="preserve">אולי הם נחסמו על ידי כל מיני אנשים - - </w:t>
      </w:r>
      <w:bookmarkStart w:id="125" w:name="_ETM_Q1_280752"/>
      <w:bookmarkEnd w:id="125"/>
      <w:r>
        <w:rPr>
          <w:rFonts w:hint="cs"/>
          <w:rtl/>
          <w:lang w:eastAsia="he-IL"/>
        </w:rPr>
        <w:t xml:space="preserve">-  </w:t>
      </w:r>
    </w:p>
    <w:p w:rsidR="000C5C1F" w:rsidRDefault="000C5C1F" w:rsidP="000C5C1F">
      <w:pPr>
        <w:rPr>
          <w:rtl/>
          <w:lang w:eastAsia="he-IL"/>
        </w:rPr>
      </w:pPr>
      <w:bookmarkStart w:id="126" w:name="_ETM_Q1_283203"/>
      <w:bookmarkStart w:id="127" w:name="_ETM_Q1_283320"/>
      <w:bookmarkEnd w:id="126"/>
      <w:bookmarkEnd w:id="127"/>
    </w:p>
    <w:p w:rsidR="000C5C1F" w:rsidRDefault="000C5C1F" w:rsidP="000C5C1F">
      <w:pPr>
        <w:pStyle w:val="af8"/>
        <w:keepNext/>
        <w:rPr>
          <w:rtl/>
        </w:rPr>
      </w:pPr>
      <w:bookmarkStart w:id="128" w:name="ET_interruption_6128_23"/>
      <w:r>
        <w:rPr>
          <w:rStyle w:val="TagStyle"/>
          <w:rFonts w:hint="cs"/>
          <w:rtl/>
        </w:rPr>
        <w:t xml:space="preserve"> &lt;&lt; קריאה &gt;&gt; </w:t>
      </w:r>
      <w:r>
        <w:rPr>
          <w:rFonts w:hint="cs"/>
          <w:rtl/>
        </w:rPr>
        <w:t>משה טור פז (יש עתיד):</w:t>
      </w:r>
      <w:r>
        <w:rPr>
          <w:rStyle w:val="TagStyle"/>
          <w:rtl/>
        </w:rPr>
        <w:t xml:space="preserve"> &lt;&lt; קריאה &gt;&gt;</w:t>
      </w:r>
      <w:r>
        <w:rPr>
          <w:rFonts w:hint="cs"/>
          <w:rtl/>
        </w:rPr>
        <w:t xml:space="preserve">   </w:t>
      </w:r>
      <w:bookmarkEnd w:id="128"/>
    </w:p>
    <w:p w:rsidR="000C5C1F" w:rsidRDefault="000C5C1F" w:rsidP="00337201">
      <w:pPr>
        <w:rPr>
          <w:rtl/>
          <w:lang w:eastAsia="he-IL"/>
        </w:rPr>
      </w:pPr>
    </w:p>
    <w:p w:rsidR="000C5C1F" w:rsidRDefault="000C5C1F" w:rsidP="000C5C1F">
      <w:pPr>
        <w:rPr>
          <w:rtl/>
          <w:lang w:eastAsia="he-IL"/>
        </w:rPr>
      </w:pPr>
      <w:bookmarkStart w:id="129" w:name="_ETM_Q1_287815"/>
      <w:bookmarkEnd w:id="129"/>
      <w:r>
        <w:rPr>
          <w:rFonts w:hint="cs"/>
          <w:rtl/>
          <w:lang w:eastAsia="he-IL"/>
        </w:rPr>
        <w:t xml:space="preserve">כן, כן. ברור, אי-אפשר להגיע. </w:t>
      </w:r>
    </w:p>
    <w:p w:rsidR="000C5C1F" w:rsidRDefault="000C5C1F" w:rsidP="000C5C1F">
      <w:pPr>
        <w:rPr>
          <w:rtl/>
          <w:lang w:eastAsia="he-IL"/>
        </w:rPr>
      </w:pPr>
      <w:bookmarkStart w:id="130" w:name="_ETM_Q1_288075"/>
      <w:bookmarkStart w:id="131" w:name="_ETM_Q1_288199"/>
      <w:bookmarkEnd w:id="130"/>
      <w:bookmarkEnd w:id="131"/>
    </w:p>
    <w:p w:rsidR="000C5C1F" w:rsidRDefault="000C5C1F" w:rsidP="000C5C1F">
      <w:pPr>
        <w:pStyle w:val="af8"/>
        <w:keepNext/>
        <w:rPr>
          <w:rtl/>
        </w:rPr>
      </w:pPr>
      <w:bookmarkStart w:id="132" w:name="ET_interruption_6156_2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32"/>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רוטמן, </w:t>
      </w:r>
      <w:bookmarkStart w:id="133" w:name="_ETM_Q1_289376"/>
      <w:bookmarkEnd w:id="133"/>
      <w:r>
        <w:rPr>
          <w:rFonts w:hint="cs"/>
          <w:rtl/>
          <w:lang w:eastAsia="he-IL"/>
        </w:rPr>
        <w:t xml:space="preserve">אם אתה הגעת, כולם יכולים להגיע.  </w:t>
      </w:r>
    </w:p>
    <w:p w:rsidR="000C5C1F" w:rsidRDefault="000C5C1F" w:rsidP="000C5C1F">
      <w:pPr>
        <w:rPr>
          <w:rtl/>
          <w:lang w:eastAsia="he-IL"/>
        </w:rPr>
      </w:pPr>
      <w:bookmarkStart w:id="134" w:name="_ETM_Q1_295551"/>
      <w:bookmarkStart w:id="135" w:name="_ETM_Q1_295666"/>
      <w:bookmarkEnd w:id="134"/>
      <w:bookmarkEnd w:id="135"/>
    </w:p>
    <w:p w:rsidR="000C5C1F" w:rsidRDefault="000C5C1F" w:rsidP="000C5C1F">
      <w:pPr>
        <w:pStyle w:val="af9"/>
        <w:keepNext/>
        <w:rPr>
          <w:rtl/>
        </w:rPr>
      </w:pPr>
      <w:bookmarkStart w:id="136" w:name="ET_yor_6423_2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36"/>
    </w:p>
    <w:p w:rsidR="000C5C1F" w:rsidRDefault="000C5C1F" w:rsidP="00337201">
      <w:pPr>
        <w:rPr>
          <w:rtl/>
          <w:lang w:eastAsia="he-IL"/>
        </w:rPr>
      </w:pPr>
    </w:p>
    <w:p w:rsidR="000C5C1F" w:rsidRDefault="000C5C1F" w:rsidP="000C5C1F">
      <w:pPr>
        <w:rPr>
          <w:rtl/>
          <w:lang w:eastAsia="he-IL"/>
        </w:rPr>
      </w:pPr>
      <w:bookmarkStart w:id="137" w:name="_ETM_Q1_282023"/>
      <w:bookmarkStart w:id="138" w:name="_ETM_Q1_282123"/>
      <w:bookmarkStart w:id="139" w:name="_ETM_Q1_270890"/>
      <w:bookmarkStart w:id="140" w:name="_ETM_Q1_270964"/>
      <w:bookmarkEnd w:id="137"/>
      <w:bookmarkEnd w:id="138"/>
      <w:bookmarkEnd w:id="139"/>
      <w:bookmarkEnd w:id="140"/>
      <w:r>
        <w:rPr>
          <w:rFonts w:hint="cs"/>
          <w:rtl/>
          <w:lang w:eastAsia="he-IL"/>
        </w:rPr>
        <w:t xml:space="preserve">בשעה טובה השר התורן הגיע, חבל שבאיחור. אנחנו מתחילים. </w:t>
      </w:r>
    </w:p>
    <w:p w:rsidR="000C5C1F" w:rsidRDefault="000C5C1F" w:rsidP="000C5C1F">
      <w:pPr>
        <w:rPr>
          <w:rtl/>
          <w:lang w:eastAsia="he-IL"/>
        </w:rPr>
      </w:pPr>
      <w:bookmarkStart w:id="141" w:name="_ETM_Q1_406780"/>
      <w:bookmarkEnd w:id="141"/>
    </w:p>
    <w:p w:rsidR="000C5C1F" w:rsidRDefault="000C5C1F" w:rsidP="000C5C1F">
      <w:pPr>
        <w:rPr>
          <w:rtl/>
          <w:lang w:eastAsia="he-IL"/>
        </w:rPr>
      </w:pPr>
      <w:bookmarkStart w:id="142" w:name="_ETM_Q1_407046"/>
      <w:bookmarkStart w:id="143" w:name="_ETM_Q1_407082"/>
      <w:bookmarkStart w:id="144" w:name="_ETM_Q1_407159"/>
      <w:bookmarkEnd w:id="142"/>
      <w:bookmarkEnd w:id="143"/>
      <w:bookmarkEnd w:id="144"/>
      <w:r>
        <w:rPr>
          <w:rFonts w:hint="cs"/>
          <w:rtl/>
          <w:lang w:eastAsia="he-IL"/>
        </w:rPr>
        <w:t xml:space="preserve">הנושא הראשון על סדר-היום הוא הצעת חוק-יסוד: השפיטה (תיקון מס' 4), לקריאה השנייה והשלישית. </w:t>
      </w:r>
      <w:bookmarkStart w:id="145" w:name="_ETM_Q1_401112"/>
      <w:bookmarkStart w:id="146" w:name="_ETM_Q1_401212"/>
      <w:bookmarkStart w:id="147" w:name="_ETM_Q1_401574"/>
      <w:bookmarkStart w:id="148" w:name="_ETM_Q1_401656"/>
      <w:bookmarkEnd w:id="145"/>
      <w:bookmarkEnd w:id="146"/>
      <w:bookmarkEnd w:id="147"/>
      <w:bookmarkEnd w:id="148"/>
      <w:r>
        <w:rPr>
          <w:rFonts w:hint="cs"/>
          <w:rtl/>
          <w:lang w:eastAsia="he-IL"/>
        </w:rPr>
        <w:t xml:space="preserve">יעלה ויבוא חבר הכנסת רוטמן להציג את הצעת החוק. הדיון יתקיים בהתאם לסדרי הדיון המיוחדים שקבעה ועדת הכנסת. בבקשה, חבר הכנסת רוטמן. </w:t>
      </w:r>
    </w:p>
    <w:p w:rsidR="000C5C1F" w:rsidRDefault="000C5C1F" w:rsidP="000C5C1F">
      <w:pPr>
        <w:rPr>
          <w:rtl/>
          <w:lang w:eastAsia="he-IL"/>
        </w:rPr>
      </w:pPr>
    </w:p>
    <w:p w:rsidR="000C5C1F" w:rsidRDefault="000C5C1F" w:rsidP="000C5C1F">
      <w:pPr>
        <w:pStyle w:val="a5"/>
        <w:keepNext/>
        <w:rPr>
          <w:rtl/>
        </w:rPr>
      </w:pPr>
      <w:bookmarkStart w:id="149" w:name="ET_speaker_6157_27"/>
      <w:r>
        <w:rPr>
          <w:rStyle w:val="TagStyle"/>
          <w:rFonts w:hint="cs"/>
          <w:rtl/>
        </w:rPr>
        <w:t xml:space="preserve"> &lt;&lt; דובר &gt;&gt; </w:t>
      </w:r>
      <w:bookmarkStart w:id="150" w:name="_Toc141031413"/>
      <w:bookmarkStart w:id="151" w:name="_Toc141040452"/>
      <w:bookmarkStart w:id="152" w:name="_Toc141196861"/>
      <w:bookmarkStart w:id="153" w:name="_Toc141197125"/>
      <w:r>
        <w:rPr>
          <w:rFonts w:hint="cs"/>
          <w:rtl/>
        </w:rPr>
        <w:t>שמחה רוטמן (יו"ר ועדת החוקה, חוק ומשפט):</w:t>
      </w:r>
      <w:bookmarkEnd w:id="150"/>
      <w:bookmarkEnd w:id="151"/>
      <w:bookmarkEnd w:id="152"/>
      <w:bookmarkEnd w:id="153"/>
      <w:r>
        <w:rPr>
          <w:rStyle w:val="TagStyle"/>
          <w:rFonts w:hint="cs"/>
          <w:rtl/>
        </w:rPr>
        <w:t xml:space="preserve"> &lt;&lt; דובר &gt;&gt;</w:t>
      </w:r>
      <w:r>
        <w:rPr>
          <w:rFonts w:hint="cs"/>
          <w:rtl/>
        </w:rPr>
        <w:t xml:space="preserve">   </w:t>
      </w:r>
      <w:bookmarkEnd w:id="149"/>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תודה רבה, אדוני היושב-ראש. כנסת נכבדה, חבריי חברי הכנסת, כבוד השר, אנחנו עוסקים בהצעת חוק-יסוד: השפיטה (תיקון מס' 4), שמנסה להשיב מעט הפרדת רשויות ודמוקרטיה למדינת ישראל. הסעיף הוא קצר ופשוט: "על אף האמור בחוק-יסוד זה" – מתקנים את סעיף 15 לחוק-יסוד: השפיטה – "מי שבידו סמכות שפיטה על פי דין, לרבות בית המשפט העליון בשבתו כבית משפט גבוה לצדק, לא ידון בעניין סבירות ההחלטה של הממשלה, של ראש הממשלה או של שר אחר, ולא ייתן צו בעניין כאמור; בסעיף זה 'החלטה' – כל החלטה, לרבות בענייני מינויים או החלטה להימנע מהפעלת כל סמכות". </w:t>
      </w:r>
    </w:p>
    <w:p w:rsidR="000C5C1F" w:rsidRDefault="000C5C1F" w:rsidP="000C5C1F">
      <w:pPr>
        <w:rPr>
          <w:rtl/>
          <w:lang w:eastAsia="he-IL"/>
        </w:rPr>
      </w:pPr>
      <w:bookmarkStart w:id="154" w:name="_ETM_Q1_462616"/>
      <w:bookmarkStart w:id="155" w:name="_ETM_Q1_462723"/>
      <w:bookmarkEnd w:id="154"/>
      <w:bookmarkEnd w:id="155"/>
    </w:p>
    <w:p w:rsidR="000C5C1F" w:rsidRDefault="000C5C1F" w:rsidP="000C5C1F">
      <w:pPr>
        <w:rPr>
          <w:rtl/>
          <w:lang w:eastAsia="he-IL"/>
        </w:rPr>
      </w:pPr>
      <w:bookmarkStart w:id="156" w:name="_ETM_Q1_463656"/>
      <w:bookmarkStart w:id="157" w:name="_ETM_Q1_463722"/>
      <w:bookmarkEnd w:id="156"/>
      <w:bookmarkEnd w:id="157"/>
      <w:r>
        <w:rPr>
          <w:rFonts w:hint="cs"/>
          <w:rtl/>
          <w:lang w:eastAsia="he-IL"/>
        </w:rPr>
        <w:t>הסעיף הקצר והפשוט הזה, כמו שאמרתי, נועד להשיב את הדמוקרטיה למדינת ישראל. אני לא מרים כדי לא להציג דברים במהלך דבריי</w:t>
      </w:r>
      <w:bookmarkStart w:id="158" w:name="_ETM_Q1_484874"/>
      <w:bookmarkEnd w:id="158"/>
      <w:r>
        <w:rPr>
          <w:rFonts w:hint="cs"/>
          <w:rtl/>
          <w:lang w:eastAsia="he-IL"/>
        </w:rPr>
        <w:t xml:space="preserve"> – על שולחני בשבועות האחרונים כאן במליאה מונח ספר ישן שנקרא "אקטיביזם שיפוטי – בעד ונגד:</w:t>
      </w:r>
      <w:bookmarkStart w:id="159" w:name="_ETM_Q1_488641"/>
      <w:bookmarkEnd w:id="159"/>
      <w:r>
        <w:rPr>
          <w:rFonts w:hint="cs"/>
          <w:rtl/>
          <w:lang w:eastAsia="he-IL"/>
        </w:rPr>
        <w:t xml:space="preserve"> מקומו של בג"ץ בחברה הישראלית", שחתומים עליו שלושה אנשים: פרופ' יואב דותן, אני לא זוכר אם הוא היה אז פרופסור; פרופ' רות גביזון, זיכרונה לברכה; ופרופ' מוטה קרמניצר. כמובן שפרופ' יואב דותן ופרופ' קרמניצר ייבדלו, בעזרת השם, לחיים ארוכים וטובים. </w:t>
      </w:r>
      <w:bookmarkStart w:id="160" w:name="_ETM_Q1_515293"/>
      <w:bookmarkStart w:id="161" w:name="_ETM_Q1_511741"/>
      <w:bookmarkStart w:id="162" w:name="_ETM_Q1_511895"/>
      <w:bookmarkStart w:id="163" w:name="_ETM_Q1_511918"/>
      <w:bookmarkStart w:id="164" w:name="_ETM_Q1_512038"/>
      <w:bookmarkStart w:id="165" w:name="_ETM_Q1_514833"/>
      <w:bookmarkStart w:id="166" w:name="_ETM_Q1_514944"/>
      <w:bookmarkEnd w:id="160"/>
      <w:bookmarkEnd w:id="161"/>
      <w:bookmarkEnd w:id="162"/>
      <w:bookmarkEnd w:id="163"/>
      <w:bookmarkEnd w:id="164"/>
      <w:bookmarkEnd w:id="165"/>
      <w:bookmarkEnd w:id="166"/>
      <w:r>
        <w:rPr>
          <w:rFonts w:hint="cs"/>
          <w:rtl/>
          <w:lang w:eastAsia="he-IL"/>
        </w:rPr>
        <w:t xml:space="preserve">הם דנים בסוגיה. דפיו המצהיבים של הספר הזה, שאני מחזיק בו כבר שנים רבות, מעידים שהמחלוקת הזאת היא לא מחלוקת חדשה. היא לא מחלוקת חדשה לגבי מקומו של בג"ץ בחברה הישראלית, היא לא מחלוקת חדשה לגבי גבולות הביקורת השיפוטית. </w:t>
      </w:r>
      <w:bookmarkStart w:id="167" w:name="_ETM_Q1_532330"/>
      <w:bookmarkStart w:id="168" w:name="_ETM_Q1_532428"/>
      <w:bookmarkStart w:id="169" w:name="_ETM_Q1_532489"/>
      <w:bookmarkStart w:id="170" w:name="_ETM_Q1_532574"/>
      <w:bookmarkEnd w:id="167"/>
      <w:bookmarkEnd w:id="168"/>
      <w:bookmarkEnd w:id="169"/>
      <w:bookmarkEnd w:id="170"/>
      <w:r>
        <w:rPr>
          <w:rFonts w:hint="cs"/>
          <w:rtl/>
          <w:lang w:eastAsia="he-IL"/>
        </w:rPr>
        <w:t xml:space="preserve">אבל אני רוצה שכולנו נדע מאיפה אנחנו יוצאים. </w:t>
      </w:r>
    </w:p>
    <w:p w:rsidR="000C5C1F" w:rsidRDefault="000C5C1F" w:rsidP="000C5C1F">
      <w:pPr>
        <w:rPr>
          <w:rtl/>
          <w:lang w:eastAsia="he-IL"/>
        </w:rPr>
      </w:pPr>
      <w:bookmarkStart w:id="171" w:name="_ETM_Q1_538209"/>
      <w:bookmarkStart w:id="172" w:name="_ETM_Q1_538324"/>
      <w:bookmarkEnd w:id="171"/>
      <w:bookmarkEnd w:id="172"/>
    </w:p>
    <w:p w:rsidR="000C5C1F" w:rsidRDefault="000C5C1F" w:rsidP="000C5C1F">
      <w:pPr>
        <w:rPr>
          <w:rtl/>
          <w:lang w:eastAsia="he-IL"/>
        </w:rPr>
      </w:pPr>
      <w:bookmarkStart w:id="173" w:name="_ETM_Q1_538358"/>
      <w:bookmarkStart w:id="174" w:name="_ETM_Q1_538443"/>
      <w:bookmarkEnd w:id="173"/>
      <w:bookmarkEnd w:id="174"/>
      <w:r>
        <w:rPr>
          <w:rFonts w:hint="cs"/>
          <w:rtl/>
          <w:lang w:eastAsia="he-IL"/>
        </w:rPr>
        <w:t xml:space="preserve">פרופ' יואב דותן בספר הזה מדבר על עילת הסבירות, מביא את הדוגמאות שהיו אז. מאז כמובן התווספו דוגמאות רבות ולא טובות לשימוש של בית המשפט בעילת הסבירות, כדי לפגוע בדמוקרטיה של כולנו. את הציטוטים של חברי הכנסת השונים שנמצאים היום באופוזיציה כנגד עילת הסבירות כבר כולנו אמרנו, אין טעם לחזור עליהם. לא מדובר בתפיסת קצה, משהו חדש שהגיע לשולחן בכנסת הזאת או </w:t>
      </w:r>
      <w:bookmarkStart w:id="175" w:name="_ETM_Q1_565518"/>
      <w:bookmarkEnd w:id="175"/>
      <w:r>
        <w:rPr>
          <w:rFonts w:hint="cs"/>
          <w:rtl/>
          <w:lang w:eastAsia="he-IL"/>
        </w:rPr>
        <w:t xml:space="preserve">בממשלה הזאת; מדובר בנושא שנמצא על השולחן ובלב הדיון הציבורי בישראל, ובוודאי בלב הדיון המשפטי הציבורי, זה שנים רבות. </w:t>
      </w:r>
    </w:p>
    <w:p w:rsidR="000C5C1F" w:rsidRDefault="000C5C1F" w:rsidP="000C5C1F">
      <w:pPr>
        <w:rPr>
          <w:rtl/>
          <w:lang w:eastAsia="he-IL"/>
        </w:rPr>
      </w:pPr>
      <w:bookmarkStart w:id="176" w:name="_ETM_Q1_579020"/>
      <w:bookmarkStart w:id="177" w:name="_ETM_Q1_579117"/>
      <w:bookmarkEnd w:id="176"/>
      <w:bookmarkEnd w:id="177"/>
    </w:p>
    <w:p w:rsidR="000C5C1F" w:rsidRDefault="000C5C1F" w:rsidP="000C5C1F">
      <w:pPr>
        <w:rPr>
          <w:rtl/>
        </w:rPr>
      </w:pPr>
      <w:bookmarkStart w:id="178" w:name="_ETM_Q1_579196"/>
      <w:bookmarkStart w:id="179" w:name="_ETM_Q1_579285"/>
      <w:bookmarkEnd w:id="178"/>
      <w:bookmarkEnd w:id="179"/>
      <w:r>
        <w:rPr>
          <w:rFonts w:hint="cs"/>
          <w:rtl/>
          <w:lang w:eastAsia="he-IL"/>
        </w:rPr>
        <w:t xml:space="preserve">אבל אני רוצה לקרוא באמת פסקה קצרה. אחרי שפרופ' יואב דותן מסביר את כוחה האדיר של עילת הסבירות, שמאפשרת בעצם להיות מפתח המאסטר של מדינת ישראל בידיו של בית המשפט העליון – הוא מסביר זאת שוב ושוב, כיצד הם מתערבים גם בשיקולי מינויים וגם בשיקולי החלטות מדיניות – </w:t>
      </w:r>
      <w:bookmarkStart w:id="180" w:name="_ETM_Q1_598675"/>
      <w:bookmarkStart w:id="181" w:name="_ETM_Q1_598785"/>
      <w:bookmarkStart w:id="182" w:name="_ETM_Q1_598866"/>
      <w:bookmarkStart w:id="183" w:name="_ETM_Q1_598967"/>
      <w:bookmarkEnd w:id="180"/>
      <w:bookmarkEnd w:id="181"/>
      <w:bookmarkEnd w:id="182"/>
      <w:bookmarkEnd w:id="183"/>
      <w:r>
        <w:rPr>
          <w:rFonts w:hint="cs"/>
          <w:rtl/>
          <w:lang w:eastAsia="he-IL"/>
        </w:rPr>
        <w:t xml:space="preserve">כותב </w:t>
      </w:r>
      <w:bookmarkStart w:id="184" w:name="_ETM_Q1_387310"/>
      <w:bookmarkStart w:id="185" w:name="_ETM_Q1_387729"/>
      <w:bookmarkStart w:id="186" w:name="_ETM_Q1_388210"/>
      <w:bookmarkEnd w:id="184"/>
      <w:bookmarkEnd w:id="185"/>
      <w:bookmarkEnd w:id="186"/>
      <w:r>
        <w:rPr>
          <w:rFonts w:hint="cs"/>
          <w:rtl/>
          <w:lang w:eastAsia="he-IL"/>
        </w:rPr>
        <w:t>פרופ' דותן</w:t>
      </w:r>
      <w:bookmarkStart w:id="187" w:name="_ETM_Q1_592987"/>
      <w:bookmarkStart w:id="188" w:name="_ETM_Q1_388479"/>
      <w:bookmarkStart w:id="189" w:name="_ETM_Q1_389140"/>
      <w:bookmarkStart w:id="190" w:name="_ETM_Q1_391510"/>
      <w:bookmarkStart w:id="191" w:name="_ETM_Q1_391930"/>
      <w:bookmarkEnd w:id="187"/>
      <w:bookmarkEnd w:id="188"/>
      <w:bookmarkEnd w:id="189"/>
      <w:bookmarkEnd w:id="190"/>
      <w:bookmarkEnd w:id="191"/>
      <w:r>
        <w:rPr>
          <w:rFonts w:hint="cs"/>
          <w:rtl/>
          <w:lang w:eastAsia="he-IL"/>
        </w:rPr>
        <w:t xml:space="preserve">: לא ייפלא אפוא שדוקטרינת הסבירות זכתה לביקורת ולהתנגדות נמרצת </w:t>
      </w:r>
      <w:bookmarkStart w:id="192" w:name="_ETM_Q1_604939"/>
      <w:bookmarkEnd w:id="192"/>
      <w:r>
        <w:rPr>
          <w:rFonts w:hint="cs"/>
          <w:rtl/>
          <w:lang w:eastAsia="he-IL"/>
        </w:rPr>
        <w:t xml:space="preserve">מצד שורה של גורמים. הדור הוותיק של השופטים בבית המשפט </w:t>
      </w:r>
      <w:bookmarkStart w:id="193" w:name="_ETM_Q1_610497"/>
      <w:bookmarkEnd w:id="193"/>
      <w:r>
        <w:rPr>
          <w:rFonts w:hint="cs"/>
          <w:rtl/>
          <w:lang w:eastAsia="he-IL"/>
        </w:rPr>
        <w:t xml:space="preserve">העליון בשנות השמונים התנגד נמרצות לפיתוחה. </w:t>
      </w:r>
      <w:bookmarkStart w:id="194" w:name="_ETM_Q1_629019"/>
      <w:bookmarkStart w:id="195" w:name="_ETM_Q1_629120"/>
      <w:bookmarkStart w:id="196" w:name="_ETM_Q1_629192"/>
      <w:bookmarkStart w:id="197" w:name="_ETM_Q1_629300"/>
      <w:bookmarkStart w:id="198" w:name="TOR_Q2"/>
      <w:bookmarkStart w:id="199" w:name="_ETM_Q2_180580"/>
      <w:bookmarkEnd w:id="194"/>
      <w:bookmarkEnd w:id="195"/>
      <w:bookmarkEnd w:id="196"/>
      <w:bookmarkEnd w:id="197"/>
      <w:bookmarkEnd w:id="198"/>
      <w:bookmarkEnd w:id="199"/>
      <w:r>
        <w:rPr>
          <w:rFonts w:hint="cs"/>
          <w:rtl/>
          <w:lang w:eastAsia="he-IL"/>
        </w:rPr>
        <w:t xml:space="preserve">שימו לב, הדור </w:t>
      </w:r>
      <w:bookmarkStart w:id="200" w:name="_ETM_Q1_620021"/>
      <w:bookmarkEnd w:id="200"/>
      <w:r>
        <w:rPr>
          <w:rFonts w:hint="cs"/>
          <w:rtl/>
          <w:lang w:eastAsia="he-IL"/>
        </w:rPr>
        <w:t xml:space="preserve">הוותיק של השופטים בבית המשפט העליון – אם תשאלו חלק מהאנשים </w:t>
      </w:r>
      <w:bookmarkStart w:id="201" w:name="_ETM_Q1_623719"/>
      <w:bookmarkEnd w:id="201"/>
      <w:r>
        <w:rPr>
          <w:rFonts w:hint="cs"/>
          <w:rtl/>
          <w:lang w:eastAsia="he-IL"/>
        </w:rPr>
        <w:t xml:space="preserve">שעומדים פה או שעומדים בחוץ – מי? השופט מנחם </w:t>
      </w:r>
      <w:bookmarkStart w:id="202" w:name="_ETM_Q1_628488"/>
      <w:bookmarkEnd w:id="202"/>
      <w:r>
        <w:rPr>
          <w:rFonts w:hint="cs"/>
          <w:rtl/>
          <w:lang w:eastAsia="he-IL"/>
        </w:rPr>
        <w:t xml:space="preserve">אלון תמך בדיקטטורה? השופט לנדוי תמך בדיקטטורה? השופט לנדוי, שפסק </w:t>
      </w:r>
      <w:bookmarkStart w:id="203" w:name="_ETM_Q1_632788"/>
      <w:bookmarkEnd w:id="203"/>
      <w:r>
        <w:rPr>
          <w:rFonts w:hint="cs"/>
          <w:rtl/>
          <w:lang w:eastAsia="he-IL"/>
        </w:rPr>
        <w:t xml:space="preserve">הדין שלו הוא פסק הדין המפורסם, שעליו אמר בגין: יש </w:t>
      </w:r>
      <w:bookmarkStart w:id="204" w:name="_ETM_Q1_640070"/>
      <w:bookmarkEnd w:id="204"/>
      <w:r>
        <w:rPr>
          <w:rFonts w:hint="cs"/>
          <w:rtl/>
          <w:lang w:eastAsia="he-IL"/>
        </w:rPr>
        <w:t xml:space="preserve">שופטים בירושלים – או בישראל, תלוי באיזו גרסה </w:t>
      </w:r>
      <w:bookmarkStart w:id="205" w:name="_ETM_Q1_639945"/>
      <w:bookmarkEnd w:id="205"/>
      <w:r>
        <w:rPr>
          <w:rFonts w:hint="cs"/>
          <w:rtl/>
          <w:lang w:eastAsia="he-IL"/>
        </w:rPr>
        <w:t xml:space="preserve">של הביטוי משתמשים בדיוק – הוא זה שהתנגד לדמוקרטיה, שרוצה כאן </w:t>
      </w:r>
      <w:bookmarkStart w:id="206" w:name="_ETM_Q1_650282"/>
      <w:bookmarkEnd w:id="206"/>
      <w:r>
        <w:rPr>
          <w:rFonts w:hint="cs"/>
          <w:rtl/>
          <w:lang w:eastAsia="he-IL"/>
        </w:rPr>
        <w:t xml:space="preserve">דיקטטורה? העובדה שהשיח הזה בכלל מתקיים בציבוריות הישראלית – על </w:t>
      </w:r>
      <w:bookmarkStart w:id="207" w:name="_ETM_Q1_654509"/>
      <w:bookmarkEnd w:id="207"/>
      <w:r>
        <w:rPr>
          <w:rFonts w:hint="cs"/>
          <w:rtl/>
          <w:lang w:eastAsia="he-IL"/>
        </w:rPr>
        <w:t xml:space="preserve">אחת כמה וכמה בעידודם של חברי האופוזיציה – הוא בעיניי עלבון; </w:t>
      </w:r>
      <w:bookmarkStart w:id="208" w:name="_ETM_Q1_662112"/>
      <w:bookmarkEnd w:id="208"/>
      <w:r>
        <w:rPr>
          <w:rFonts w:hint="cs"/>
          <w:rtl/>
          <w:lang w:eastAsia="he-IL"/>
        </w:rPr>
        <w:t xml:space="preserve">עלבון לשיח הציבורי בישראל. לשיטתם של שופטים אלו העילה של </w:t>
      </w:r>
      <w:bookmarkStart w:id="209" w:name="_ETM_Q1_665967"/>
      <w:bookmarkEnd w:id="209"/>
      <w:r>
        <w:rPr>
          <w:rFonts w:hint="cs"/>
          <w:rtl/>
          <w:lang w:eastAsia="he-IL"/>
        </w:rPr>
        <w:t xml:space="preserve">חוסר סבירות לא צריכה הייתה להיחשב כעילה עצמאית אלא </w:t>
      </w:r>
      <w:bookmarkStart w:id="210" w:name="_ETM_Q1_670505"/>
      <w:bookmarkEnd w:id="210"/>
      <w:r>
        <w:rPr>
          <w:rFonts w:hint="cs"/>
          <w:rtl/>
          <w:lang w:eastAsia="he-IL"/>
        </w:rPr>
        <w:t xml:space="preserve">רק שם חדש לפגמים מוכרים וישנים. </w:t>
      </w:r>
    </w:p>
    <w:p w:rsidR="000C5C1F" w:rsidRDefault="000C5C1F" w:rsidP="000C5C1F">
      <w:pPr>
        <w:rPr>
          <w:rtl/>
        </w:rPr>
      </w:pPr>
    </w:p>
    <w:p w:rsidR="000C5C1F" w:rsidRDefault="000C5C1F" w:rsidP="000C5C1F">
      <w:pPr>
        <w:pStyle w:val="af8"/>
        <w:keepNext/>
        <w:rPr>
          <w:rtl/>
        </w:rPr>
      </w:pPr>
      <w:bookmarkStart w:id="211" w:name="ET_interruption_קר_אה_1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11"/>
    </w:p>
    <w:p w:rsidR="000C5C1F" w:rsidRDefault="000C5C1F" w:rsidP="00337201">
      <w:pPr>
        <w:rPr>
          <w:rtl/>
        </w:rPr>
      </w:pPr>
    </w:p>
    <w:p w:rsidR="000C5C1F" w:rsidRDefault="000C5C1F" w:rsidP="000C5C1F">
      <w:pPr>
        <w:rPr>
          <w:rtl/>
          <w:lang w:eastAsia="he-IL"/>
        </w:rPr>
      </w:pPr>
      <w:r>
        <w:rPr>
          <w:rFonts w:hint="cs"/>
          <w:rtl/>
          <w:lang w:eastAsia="he-IL"/>
        </w:rPr>
        <w:t xml:space="preserve">אתה מיתמם. מיתמם. </w:t>
      </w:r>
    </w:p>
    <w:p w:rsidR="000C5C1F" w:rsidRDefault="000C5C1F" w:rsidP="000C5C1F">
      <w:pPr>
        <w:rPr>
          <w:rtl/>
          <w:lang w:eastAsia="he-IL"/>
        </w:rPr>
      </w:pPr>
      <w:bookmarkStart w:id="212" w:name="_ETM_Q1_667895"/>
      <w:bookmarkStart w:id="213" w:name="_ETM_Q1_667990"/>
      <w:bookmarkEnd w:id="212"/>
      <w:bookmarkEnd w:id="213"/>
    </w:p>
    <w:p w:rsidR="000C5C1F" w:rsidRDefault="000C5C1F" w:rsidP="000C5C1F">
      <w:pPr>
        <w:pStyle w:val="-"/>
        <w:keepNext/>
        <w:rPr>
          <w:rtl/>
        </w:rPr>
      </w:pPr>
      <w:bookmarkStart w:id="214" w:name="ET_speakercontinue_6157_28"/>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214"/>
    </w:p>
    <w:p w:rsidR="000C5C1F" w:rsidRDefault="000C5C1F" w:rsidP="00337201">
      <w:pPr>
        <w:rPr>
          <w:rtl/>
          <w:lang w:eastAsia="he-IL"/>
        </w:rPr>
      </w:pPr>
    </w:p>
    <w:p w:rsidR="000C5C1F" w:rsidRDefault="000C5C1F" w:rsidP="000C5C1F">
      <w:pPr>
        <w:rPr>
          <w:rtl/>
          <w:lang w:eastAsia="he-IL"/>
        </w:rPr>
      </w:pPr>
      <w:bookmarkStart w:id="215" w:name="_ETM_Q1_676623"/>
      <w:bookmarkEnd w:id="215"/>
      <w:r>
        <w:rPr>
          <w:rFonts w:hint="cs"/>
          <w:rtl/>
          <w:lang w:eastAsia="he-IL"/>
        </w:rPr>
        <w:t xml:space="preserve">היינו, מבחינתם לא </w:t>
      </w:r>
      <w:bookmarkStart w:id="216" w:name="_ETM_Q1_673067"/>
      <w:bookmarkEnd w:id="216"/>
      <w:r>
        <w:rPr>
          <w:rFonts w:hint="cs"/>
          <w:rtl/>
          <w:lang w:eastAsia="he-IL"/>
        </w:rPr>
        <w:t xml:space="preserve">די היה שהאקט אינו סביר על מנת להצדיק התערבות </w:t>
      </w:r>
      <w:bookmarkStart w:id="217" w:name="_ETM_Q1_679972"/>
      <w:bookmarkEnd w:id="217"/>
      <w:r>
        <w:rPr>
          <w:rFonts w:hint="cs"/>
          <w:rtl/>
          <w:lang w:eastAsia="he-IL"/>
        </w:rPr>
        <w:t xml:space="preserve">בית המשפט, אלא לצד חוסר הסבירות היה על הטוען להצביע </w:t>
      </w:r>
      <w:bookmarkStart w:id="218" w:name="_ETM_Q1_684198"/>
      <w:bookmarkEnd w:id="218"/>
      <w:r>
        <w:rPr>
          <w:rFonts w:hint="cs"/>
          <w:rtl/>
          <w:lang w:eastAsia="he-IL"/>
        </w:rPr>
        <w:t xml:space="preserve">על פגם אחר – שיקול זר, חוסר הגינות דיונית, שרירות </w:t>
      </w:r>
      <w:bookmarkStart w:id="219" w:name="_ETM_Q1_685167"/>
      <w:bookmarkEnd w:id="219"/>
      <w:r>
        <w:rPr>
          <w:rFonts w:hint="cs"/>
          <w:rtl/>
          <w:lang w:eastAsia="he-IL"/>
        </w:rPr>
        <w:t>קיצונית וכדומה. גם פרופ' דותן בספר, אז, מסביר שהשימוש בעיל</w:t>
      </w:r>
      <w:bookmarkStart w:id="220" w:name="_ETM_Q1_691188"/>
      <w:bookmarkEnd w:id="220"/>
      <w:r>
        <w:rPr>
          <w:rFonts w:hint="cs"/>
          <w:rtl/>
          <w:lang w:eastAsia="he-IL"/>
        </w:rPr>
        <w:t xml:space="preserve">ת הסבירות צריך להיות, ככל שמשתמשים בו, רק לצידן של </w:t>
      </w:r>
      <w:bookmarkStart w:id="221" w:name="_ETM_Q1_698471"/>
      <w:bookmarkEnd w:id="221"/>
      <w:r>
        <w:rPr>
          <w:rFonts w:hint="cs"/>
          <w:rtl/>
          <w:lang w:eastAsia="he-IL"/>
        </w:rPr>
        <w:t xml:space="preserve">עילות הביקורת האחרות. גם כאן, כל טענות הפייק </w:t>
      </w:r>
      <w:bookmarkStart w:id="222" w:name="_ETM_Q1_701165"/>
      <w:bookmarkEnd w:id="222"/>
      <w:r>
        <w:rPr>
          <w:rFonts w:hint="cs"/>
          <w:rtl/>
          <w:lang w:eastAsia="he-IL"/>
        </w:rPr>
        <w:t xml:space="preserve">שרצות בכל מיני כלי תקשורת ובכל מיני הפגנות כאילו אם </w:t>
      </w:r>
      <w:bookmarkStart w:id="223" w:name="_ETM_Q1_708172"/>
      <w:bookmarkEnd w:id="223"/>
      <w:r>
        <w:rPr>
          <w:rFonts w:hint="cs"/>
          <w:rtl/>
          <w:lang w:eastAsia="he-IL"/>
        </w:rPr>
        <w:t xml:space="preserve">מבטלים – כמובן שלא מבטלים, אלא מצמצמים – אבל אם </w:t>
      </w:r>
      <w:bookmarkStart w:id="224" w:name="_ETM_Q1_712398"/>
      <w:bookmarkEnd w:id="224"/>
      <w:r>
        <w:rPr>
          <w:rFonts w:hint="cs"/>
          <w:rtl/>
          <w:lang w:eastAsia="he-IL"/>
        </w:rPr>
        <w:t xml:space="preserve">נוגעים בעילת הסבירות, ממילא לבית המשפט אין כלים להתמודד עם </w:t>
      </w:r>
      <w:bookmarkStart w:id="225" w:name="_ETM_Q1_717957"/>
      <w:bookmarkEnd w:id="225"/>
      <w:r>
        <w:rPr>
          <w:rFonts w:hint="cs"/>
          <w:rtl/>
          <w:lang w:eastAsia="he-IL"/>
        </w:rPr>
        <w:t xml:space="preserve">מינויי קרובי משפחה, למשל, נניח מינוי של גיסה לאיזשהו </w:t>
      </w:r>
      <w:bookmarkStart w:id="226" w:name="_ETM_Q1_721024"/>
      <w:bookmarkEnd w:id="226"/>
      <w:r>
        <w:rPr>
          <w:rFonts w:hint="cs"/>
          <w:rtl/>
          <w:lang w:eastAsia="he-IL"/>
        </w:rPr>
        <w:t xml:space="preserve">תפקיד, אז לא, זה לא קשור לעילת הסבירות; הדבר </w:t>
      </w:r>
      <w:bookmarkStart w:id="227" w:name="_ETM_Q1_727363"/>
      <w:bookmarkEnd w:id="227"/>
      <w:r>
        <w:rPr>
          <w:rFonts w:hint="cs"/>
          <w:rtl/>
          <w:lang w:eastAsia="he-IL"/>
        </w:rPr>
        <w:t xml:space="preserve">הזה קשור לשיקולים זרים. </w:t>
      </w:r>
    </w:p>
    <w:p w:rsidR="000C5C1F" w:rsidRDefault="000C5C1F" w:rsidP="000C5C1F">
      <w:pPr>
        <w:rPr>
          <w:rtl/>
          <w:lang w:eastAsia="he-IL"/>
        </w:rPr>
      </w:pPr>
      <w:bookmarkStart w:id="228" w:name="_ETM_Q2_310499"/>
      <w:bookmarkStart w:id="229" w:name="_ETM_Q2_310632"/>
      <w:bookmarkEnd w:id="228"/>
      <w:bookmarkEnd w:id="229"/>
    </w:p>
    <w:p w:rsidR="000C5C1F" w:rsidRDefault="000C5C1F" w:rsidP="000C5C1F">
      <w:pPr>
        <w:pStyle w:val="af8"/>
        <w:keepNext/>
        <w:rPr>
          <w:rtl/>
        </w:rPr>
      </w:pPr>
      <w:bookmarkStart w:id="230" w:name="ET_interruption_6156_1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0"/>
    </w:p>
    <w:p w:rsidR="000C5C1F" w:rsidRDefault="000C5C1F" w:rsidP="00337201">
      <w:pPr>
        <w:rPr>
          <w:rtl/>
          <w:lang w:eastAsia="he-IL"/>
        </w:rPr>
      </w:pPr>
    </w:p>
    <w:p w:rsidR="000C5C1F" w:rsidRDefault="000C5C1F" w:rsidP="000C5C1F">
      <w:pPr>
        <w:rPr>
          <w:rtl/>
          <w:lang w:eastAsia="he-IL"/>
        </w:rPr>
      </w:pPr>
      <w:r>
        <w:rPr>
          <w:rFonts w:hint="cs"/>
          <w:rtl/>
          <w:lang w:eastAsia="he-IL"/>
        </w:rPr>
        <w:t>לא. עדיף שר שעובד למנות את אח שלו</w:t>
      </w:r>
      <w:bookmarkStart w:id="231" w:name="_ETM_Q2_306688"/>
      <w:bookmarkEnd w:id="231"/>
      <w:r>
        <w:rPr>
          <w:rFonts w:hint="cs"/>
          <w:rtl/>
          <w:lang w:eastAsia="he-IL"/>
        </w:rPr>
        <w:t xml:space="preserve"> לרב ראשי ומשנה בשביל זה את חוקי הבחירות. </w:t>
      </w:r>
    </w:p>
    <w:p w:rsidR="000C5C1F" w:rsidRDefault="000C5C1F" w:rsidP="000C5C1F">
      <w:pPr>
        <w:rPr>
          <w:rtl/>
          <w:lang w:eastAsia="he-IL"/>
        </w:rPr>
      </w:pPr>
      <w:bookmarkStart w:id="232" w:name="_ETM_Q2_310293"/>
      <w:bookmarkStart w:id="233" w:name="_ETM_Q2_310397"/>
      <w:bookmarkEnd w:id="232"/>
      <w:bookmarkEnd w:id="233"/>
    </w:p>
    <w:p w:rsidR="000C5C1F" w:rsidRDefault="000C5C1F" w:rsidP="000C5C1F">
      <w:pPr>
        <w:pStyle w:val="-"/>
        <w:keepNext/>
        <w:rPr>
          <w:rtl/>
        </w:rPr>
      </w:pPr>
      <w:bookmarkStart w:id="234" w:name="ET_speakercontinue_6157_16"/>
      <w:r>
        <w:rPr>
          <w:rStyle w:val="TagStyle"/>
          <w:rFonts w:hint="cs"/>
          <w:rtl/>
        </w:rPr>
        <w:t xml:space="preserve">&lt;&lt;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234"/>
    </w:p>
    <w:p w:rsidR="000C5C1F" w:rsidRDefault="000C5C1F" w:rsidP="00337201">
      <w:pPr>
        <w:rPr>
          <w:rtl/>
          <w:lang w:eastAsia="he-IL"/>
        </w:rPr>
      </w:pPr>
    </w:p>
    <w:p w:rsidR="000C5C1F" w:rsidRDefault="000C5C1F" w:rsidP="000C5C1F">
      <w:pPr>
        <w:rPr>
          <w:rtl/>
        </w:rPr>
      </w:pPr>
      <w:bookmarkStart w:id="235" w:name="_ETM_Q2_311517"/>
      <w:bookmarkStart w:id="236" w:name="_ETM_Q2_311642"/>
      <w:bookmarkEnd w:id="235"/>
      <w:bookmarkEnd w:id="236"/>
      <w:r>
        <w:rPr>
          <w:rFonts w:hint="cs"/>
          <w:rtl/>
          <w:lang w:eastAsia="he-IL"/>
        </w:rPr>
        <w:t xml:space="preserve">אומר פרופ' יואב דותן בספר הזה: הביקורת </w:t>
      </w:r>
      <w:bookmarkStart w:id="237" w:name="_ETM_Q2_322313"/>
      <w:bookmarkStart w:id="238" w:name="_ETM_Q2_322416"/>
      <w:bookmarkStart w:id="239" w:name="_ETM_Q2_248569"/>
      <w:bookmarkStart w:id="240" w:name="_ETM_Q2_314940"/>
      <w:bookmarkStart w:id="241" w:name="_ETM_Q2_315389"/>
      <w:bookmarkStart w:id="242" w:name="_ETM_Q2_315570"/>
      <w:bookmarkStart w:id="243" w:name="_ETM_Q2_315900"/>
      <w:bookmarkStart w:id="244" w:name="_ETM_Q2_316380"/>
      <w:bookmarkStart w:id="245" w:name="_ETM_Q2_317130"/>
      <w:bookmarkStart w:id="246" w:name="_ETM_Q2_317790"/>
      <w:bookmarkEnd w:id="237"/>
      <w:bookmarkEnd w:id="238"/>
      <w:bookmarkEnd w:id="239"/>
      <w:bookmarkEnd w:id="240"/>
      <w:bookmarkEnd w:id="241"/>
      <w:bookmarkEnd w:id="242"/>
      <w:bookmarkEnd w:id="243"/>
      <w:bookmarkEnd w:id="244"/>
      <w:bookmarkEnd w:id="245"/>
      <w:bookmarkEnd w:id="246"/>
      <w:r>
        <w:rPr>
          <w:rFonts w:hint="cs"/>
          <w:rtl/>
        </w:rPr>
        <w:t xml:space="preserve">על </w:t>
      </w:r>
      <w:bookmarkStart w:id="247" w:name="_ETM_Q2_317910"/>
      <w:bookmarkEnd w:id="247"/>
      <w:r>
        <w:rPr>
          <w:rFonts w:hint="cs"/>
          <w:rtl/>
        </w:rPr>
        <w:t xml:space="preserve">גישת </w:t>
      </w:r>
      <w:bookmarkStart w:id="248" w:name="_ETM_Q2_318300"/>
      <w:bookmarkEnd w:id="248"/>
      <w:r>
        <w:rPr>
          <w:rFonts w:hint="cs"/>
          <w:rtl/>
        </w:rPr>
        <w:t xml:space="preserve">הסבירות </w:t>
      </w:r>
      <w:bookmarkStart w:id="249" w:name="_ETM_Q2_318930"/>
      <w:bookmarkEnd w:id="249"/>
      <w:r>
        <w:rPr>
          <w:rFonts w:hint="cs"/>
          <w:rtl/>
        </w:rPr>
        <w:t xml:space="preserve">לא </w:t>
      </w:r>
      <w:bookmarkStart w:id="250" w:name="_ETM_Q2_319110"/>
      <w:bookmarkEnd w:id="250"/>
      <w:r>
        <w:rPr>
          <w:rFonts w:hint="cs"/>
          <w:rtl/>
        </w:rPr>
        <w:t xml:space="preserve">נשארה </w:t>
      </w:r>
      <w:bookmarkStart w:id="251" w:name="_ETM_Q2_319530"/>
      <w:bookmarkEnd w:id="251"/>
      <w:r>
        <w:rPr>
          <w:rFonts w:hint="cs"/>
          <w:rtl/>
        </w:rPr>
        <w:t xml:space="preserve">נחלתם </w:t>
      </w:r>
      <w:bookmarkStart w:id="252" w:name="_ETM_Q2_320130"/>
      <w:bookmarkEnd w:id="252"/>
      <w:r>
        <w:rPr>
          <w:rFonts w:hint="cs"/>
          <w:rtl/>
        </w:rPr>
        <w:t xml:space="preserve">בלבד; </w:t>
      </w:r>
      <w:bookmarkStart w:id="253" w:name="_ETM_Q2_321070"/>
      <w:bookmarkEnd w:id="253"/>
      <w:r>
        <w:rPr>
          <w:rFonts w:hint="cs"/>
          <w:rtl/>
        </w:rPr>
        <w:t xml:space="preserve">היא </w:t>
      </w:r>
      <w:bookmarkStart w:id="254" w:name="_ETM_Q2_321310"/>
      <w:bookmarkEnd w:id="254"/>
      <w:r>
        <w:rPr>
          <w:rFonts w:hint="cs"/>
          <w:rtl/>
        </w:rPr>
        <w:t xml:space="preserve">המשיכה </w:t>
      </w:r>
      <w:bookmarkStart w:id="255" w:name="_ETM_Q2_321880"/>
      <w:bookmarkEnd w:id="255"/>
      <w:r>
        <w:rPr>
          <w:rFonts w:hint="cs"/>
          <w:rtl/>
        </w:rPr>
        <w:t xml:space="preserve">לעורר </w:t>
      </w:r>
      <w:bookmarkStart w:id="256" w:name="_ETM_Q2_322360"/>
      <w:bookmarkEnd w:id="256"/>
      <w:r>
        <w:rPr>
          <w:rFonts w:hint="cs"/>
          <w:rtl/>
        </w:rPr>
        <w:t xml:space="preserve">התנגדות </w:t>
      </w:r>
      <w:bookmarkStart w:id="257" w:name="_ETM_Q2_322900"/>
      <w:bookmarkEnd w:id="257"/>
      <w:r>
        <w:rPr>
          <w:rFonts w:hint="cs"/>
          <w:rtl/>
        </w:rPr>
        <w:t xml:space="preserve">חריפה </w:t>
      </w:r>
      <w:bookmarkStart w:id="258" w:name="_ETM_Q2_323470"/>
      <w:bookmarkEnd w:id="258"/>
      <w:r>
        <w:rPr>
          <w:rFonts w:hint="cs"/>
          <w:rtl/>
        </w:rPr>
        <w:t xml:space="preserve">בבית </w:t>
      </w:r>
      <w:bookmarkStart w:id="259" w:name="_ETM_Q2_323800"/>
      <w:bookmarkEnd w:id="259"/>
      <w:r>
        <w:rPr>
          <w:rFonts w:hint="cs"/>
          <w:rtl/>
        </w:rPr>
        <w:t xml:space="preserve">המשפט </w:t>
      </w:r>
      <w:bookmarkStart w:id="260" w:name="_ETM_Q2_324820"/>
      <w:bookmarkEnd w:id="260"/>
      <w:r>
        <w:rPr>
          <w:rFonts w:hint="cs"/>
          <w:rtl/>
        </w:rPr>
        <w:t xml:space="preserve">גם </w:t>
      </w:r>
      <w:bookmarkStart w:id="261" w:name="_ETM_Q2_325210"/>
      <w:bookmarkEnd w:id="261"/>
      <w:r>
        <w:rPr>
          <w:rFonts w:hint="cs"/>
          <w:rtl/>
        </w:rPr>
        <w:t xml:space="preserve">בשנות </w:t>
      </w:r>
      <w:bookmarkStart w:id="262" w:name="_ETM_Q2_325660"/>
      <w:bookmarkEnd w:id="262"/>
      <w:r>
        <w:rPr>
          <w:rFonts w:hint="cs"/>
          <w:rtl/>
        </w:rPr>
        <w:t>ה</w:t>
      </w:r>
      <w:bookmarkStart w:id="263" w:name="_ETM_Q2_328400"/>
      <w:bookmarkEnd w:id="263"/>
      <w:r>
        <w:rPr>
          <w:rFonts w:hint="cs"/>
          <w:rtl/>
        </w:rPr>
        <w:t xml:space="preserve">תשעים – </w:t>
      </w:r>
      <w:bookmarkStart w:id="264" w:name="_ETM_Q2_326200"/>
      <w:bookmarkEnd w:id="264"/>
      <w:r>
        <w:rPr>
          <w:rFonts w:hint="cs"/>
          <w:rtl/>
        </w:rPr>
        <w:t xml:space="preserve">והוא כמובן </w:t>
      </w:r>
      <w:bookmarkStart w:id="265" w:name="_ETM_Q2_326740"/>
      <w:bookmarkEnd w:id="265"/>
      <w:r>
        <w:rPr>
          <w:rFonts w:hint="cs"/>
          <w:rtl/>
        </w:rPr>
        <w:t xml:space="preserve">מפנה </w:t>
      </w:r>
      <w:bookmarkStart w:id="266" w:name="_ETM_Q2_327040"/>
      <w:bookmarkEnd w:id="266"/>
      <w:r>
        <w:rPr>
          <w:rFonts w:hint="cs"/>
          <w:rtl/>
        </w:rPr>
        <w:t xml:space="preserve">לשופט </w:t>
      </w:r>
      <w:bookmarkStart w:id="267" w:name="_ETM_Q2_327460"/>
      <w:bookmarkEnd w:id="267"/>
      <w:r>
        <w:rPr>
          <w:rFonts w:hint="cs"/>
          <w:rtl/>
        </w:rPr>
        <w:t xml:space="preserve">אלון, </w:t>
      </w:r>
      <w:bookmarkStart w:id="268" w:name="_ETM_Q2_327790"/>
      <w:bookmarkEnd w:id="268"/>
      <w:r>
        <w:rPr>
          <w:rFonts w:hint="cs"/>
          <w:rtl/>
        </w:rPr>
        <w:t xml:space="preserve">כפי </w:t>
      </w:r>
      <w:bookmarkStart w:id="269" w:name="_ETM_Q2_328060"/>
      <w:bookmarkEnd w:id="269"/>
      <w:r>
        <w:rPr>
          <w:rFonts w:hint="cs"/>
          <w:rtl/>
        </w:rPr>
        <w:t xml:space="preserve">שאמרתי </w:t>
      </w:r>
      <w:bookmarkStart w:id="270" w:name="_ETM_Q2_329160"/>
      <w:bookmarkEnd w:id="270"/>
      <w:r>
        <w:rPr>
          <w:rFonts w:hint="cs"/>
          <w:rtl/>
        </w:rPr>
        <w:t xml:space="preserve">– וגם </w:t>
      </w:r>
      <w:bookmarkStart w:id="271" w:name="_ETM_Q2_330410"/>
      <w:bookmarkEnd w:id="271"/>
      <w:r>
        <w:rPr>
          <w:rFonts w:hint="cs"/>
          <w:rtl/>
        </w:rPr>
        <w:t xml:space="preserve">זכתה </w:t>
      </w:r>
      <w:bookmarkStart w:id="272" w:name="_ETM_Q2_330889"/>
      <w:bookmarkEnd w:id="272"/>
      <w:r>
        <w:rPr>
          <w:rFonts w:hint="cs"/>
          <w:rtl/>
        </w:rPr>
        <w:t xml:space="preserve">לביקורת </w:t>
      </w:r>
      <w:bookmarkStart w:id="273" w:name="_ETM_Q2_331489"/>
      <w:bookmarkEnd w:id="273"/>
      <w:r>
        <w:rPr>
          <w:rFonts w:hint="cs"/>
          <w:rtl/>
        </w:rPr>
        <w:t xml:space="preserve">מצד </w:t>
      </w:r>
      <w:bookmarkStart w:id="274" w:name="_ETM_Q2_331880"/>
      <w:bookmarkEnd w:id="274"/>
      <w:r>
        <w:rPr>
          <w:rFonts w:hint="cs"/>
          <w:rtl/>
        </w:rPr>
        <w:t xml:space="preserve">אנשי </w:t>
      </w:r>
      <w:bookmarkStart w:id="275" w:name="_ETM_Q2_332180"/>
      <w:bookmarkEnd w:id="275"/>
      <w:r>
        <w:rPr>
          <w:rFonts w:hint="cs"/>
          <w:rtl/>
        </w:rPr>
        <w:t xml:space="preserve">אקדמיה. </w:t>
      </w:r>
      <w:bookmarkStart w:id="276" w:name="_ETM_Q2_333319"/>
      <w:bookmarkEnd w:id="276"/>
      <w:r>
        <w:rPr>
          <w:rFonts w:hint="cs"/>
          <w:rtl/>
        </w:rPr>
        <w:t xml:space="preserve">הוא </w:t>
      </w:r>
      <w:bookmarkStart w:id="277" w:name="_ETM_Q2_333530"/>
      <w:bookmarkEnd w:id="277"/>
      <w:r>
        <w:rPr>
          <w:rFonts w:hint="cs"/>
          <w:rtl/>
        </w:rPr>
        <w:t xml:space="preserve">מפנה </w:t>
      </w:r>
      <w:bookmarkStart w:id="278" w:name="_ETM_Q2_333919"/>
      <w:bookmarkEnd w:id="278"/>
      <w:r>
        <w:rPr>
          <w:rFonts w:hint="cs"/>
          <w:rtl/>
        </w:rPr>
        <w:t xml:space="preserve">למאמר </w:t>
      </w:r>
      <w:bookmarkStart w:id="279" w:name="_ETM_Q2_335730"/>
      <w:bookmarkEnd w:id="279"/>
      <w:r>
        <w:rPr>
          <w:rFonts w:hint="cs"/>
          <w:rtl/>
        </w:rPr>
        <w:t xml:space="preserve">של </w:t>
      </w:r>
      <w:bookmarkStart w:id="280" w:name="_ETM_Q2_336030"/>
      <w:bookmarkEnd w:id="280"/>
      <w:r>
        <w:rPr>
          <w:rFonts w:hint="cs"/>
          <w:rtl/>
        </w:rPr>
        <w:t xml:space="preserve">מ' שקד – </w:t>
      </w:r>
      <w:bookmarkStart w:id="281" w:name="_ETM_Q2_336780"/>
      <w:bookmarkEnd w:id="281"/>
      <w:r>
        <w:rPr>
          <w:rFonts w:hint="cs"/>
          <w:rtl/>
        </w:rPr>
        <w:t xml:space="preserve">מיכל </w:t>
      </w:r>
      <w:bookmarkStart w:id="282" w:name="_ETM_Q2_337080"/>
      <w:bookmarkEnd w:id="282"/>
      <w:r>
        <w:rPr>
          <w:rFonts w:hint="cs"/>
          <w:rtl/>
        </w:rPr>
        <w:t xml:space="preserve">למיטב </w:t>
      </w:r>
      <w:bookmarkStart w:id="283" w:name="_ETM_Q2_337410"/>
      <w:bookmarkEnd w:id="283"/>
      <w:r>
        <w:rPr>
          <w:rFonts w:hint="cs"/>
          <w:rtl/>
        </w:rPr>
        <w:t>זיכרוני, "</w:t>
      </w:r>
      <w:bookmarkStart w:id="284" w:name="_ETM_Q2_338340"/>
      <w:bookmarkEnd w:id="284"/>
      <w:r>
        <w:rPr>
          <w:rFonts w:hint="cs"/>
          <w:rtl/>
        </w:rPr>
        <w:t xml:space="preserve">הערות </w:t>
      </w:r>
      <w:bookmarkStart w:id="285" w:name="_ETM_Q2_338820"/>
      <w:bookmarkEnd w:id="285"/>
      <w:r>
        <w:rPr>
          <w:rFonts w:hint="cs"/>
          <w:rtl/>
        </w:rPr>
        <w:t xml:space="preserve">על </w:t>
      </w:r>
      <w:bookmarkStart w:id="286" w:name="_ETM_Q2_338910"/>
      <w:bookmarkEnd w:id="286"/>
      <w:r>
        <w:rPr>
          <w:rFonts w:hint="cs"/>
          <w:rtl/>
        </w:rPr>
        <w:t xml:space="preserve">ביקורת </w:t>
      </w:r>
      <w:bookmarkStart w:id="287" w:name="_ETM_Q2_339330"/>
      <w:bookmarkEnd w:id="287"/>
      <w:r>
        <w:rPr>
          <w:rFonts w:hint="cs"/>
          <w:rtl/>
        </w:rPr>
        <w:t xml:space="preserve">הסבירות </w:t>
      </w:r>
      <w:bookmarkStart w:id="288" w:name="_ETM_Q2_339690"/>
      <w:bookmarkEnd w:id="288"/>
      <w:r>
        <w:rPr>
          <w:rFonts w:hint="cs"/>
          <w:rtl/>
        </w:rPr>
        <w:t xml:space="preserve">במשפט </w:t>
      </w:r>
      <w:bookmarkStart w:id="289" w:name="_ETM_Q2_340410"/>
      <w:bookmarkEnd w:id="289"/>
      <w:r>
        <w:rPr>
          <w:rFonts w:hint="cs"/>
          <w:rtl/>
        </w:rPr>
        <w:t xml:space="preserve">המינהלי". </w:t>
      </w:r>
      <w:bookmarkStart w:id="290" w:name="_ETM_Q2_342300"/>
      <w:bookmarkStart w:id="291" w:name="_ETM_Q2_347175"/>
      <w:bookmarkStart w:id="292" w:name="_ETM_Q2_347269"/>
      <w:bookmarkStart w:id="293" w:name="_ETM_Q2_347336"/>
      <w:bookmarkStart w:id="294" w:name="_ETM_Q2_347412"/>
      <w:bookmarkStart w:id="295" w:name="_ETM_Q2_347863"/>
      <w:bookmarkStart w:id="296" w:name="_ETM_Q2_347940"/>
      <w:bookmarkStart w:id="297" w:name="_ETM_Q2_347987"/>
      <w:bookmarkStart w:id="298" w:name="_ETM_Q2_348069"/>
      <w:bookmarkEnd w:id="290"/>
      <w:bookmarkEnd w:id="291"/>
      <w:bookmarkEnd w:id="292"/>
      <w:bookmarkEnd w:id="293"/>
      <w:bookmarkEnd w:id="294"/>
      <w:bookmarkEnd w:id="295"/>
      <w:bookmarkEnd w:id="296"/>
      <w:bookmarkEnd w:id="297"/>
      <w:bookmarkEnd w:id="298"/>
      <w:r>
        <w:rPr>
          <w:rFonts w:hint="cs"/>
          <w:rtl/>
        </w:rPr>
        <w:t xml:space="preserve">כבוד </w:t>
      </w:r>
      <w:bookmarkStart w:id="299" w:name="_ETM_Q2_342930"/>
      <w:bookmarkEnd w:id="299"/>
      <w:r>
        <w:rPr>
          <w:rFonts w:hint="cs"/>
          <w:rtl/>
        </w:rPr>
        <w:t xml:space="preserve">יושב-ראש </w:t>
      </w:r>
      <w:bookmarkStart w:id="300" w:name="_ETM_Q2_343500"/>
      <w:bookmarkEnd w:id="300"/>
      <w:r>
        <w:rPr>
          <w:rFonts w:hint="cs"/>
          <w:rtl/>
        </w:rPr>
        <w:t xml:space="preserve">הכנסת, </w:t>
      </w:r>
      <w:bookmarkStart w:id="301" w:name="_ETM_Q2_344950"/>
      <w:bookmarkEnd w:id="301"/>
      <w:r>
        <w:rPr>
          <w:rFonts w:hint="cs"/>
          <w:rtl/>
        </w:rPr>
        <w:t xml:space="preserve">אם </w:t>
      </w:r>
      <w:bookmarkStart w:id="302" w:name="_ETM_Q2_345219"/>
      <w:bookmarkStart w:id="303" w:name="_ETM_Q2_345430"/>
      <w:bookmarkEnd w:id="302"/>
      <w:bookmarkEnd w:id="303"/>
      <w:r>
        <w:rPr>
          <w:rFonts w:hint="cs"/>
          <w:rtl/>
        </w:rPr>
        <w:t xml:space="preserve">אני אבקש </w:t>
      </w:r>
      <w:bookmarkStart w:id="304" w:name="_ETM_Q2_345790"/>
      <w:bookmarkEnd w:id="304"/>
      <w:r>
        <w:rPr>
          <w:rFonts w:hint="cs"/>
          <w:rtl/>
        </w:rPr>
        <w:t xml:space="preserve">ממך </w:t>
      </w:r>
      <w:bookmarkStart w:id="305" w:name="_ETM_Q2_346030"/>
      <w:bookmarkEnd w:id="305"/>
      <w:r>
        <w:rPr>
          <w:rFonts w:hint="cs"/>
          <w:rtl/>
        </w:rPr>
        <w:t xml:space="preserve">לנחש מתי </w:t>
      </w:r>
      <w:bookmarkStart w:id="306" w:name="_ETM_Q2_359361"/>
      <w:bookmarkEnd w:id="306"/>
      <w:r>
        <w:rPr>
          <w:rFonts w:hint="cs"/>
          <w:rtl/>
        </w:rPr>
        <w:t xml:space="preserve">נכתב אותו מאמר – הרי </w:t>
      </w:r>
      <w:bookmarkStart w:id="307" w:name="_ETM_Q2_349220"/>
      <w:bookmarkStart w:id="308" w:name="_ETM_Q2_349400"/>
      <w:bookmarkEnd w:id="307"/>
      <w:bookmarkEnd w:id="308"/>
      <w:r>
        <w:rPr>
          <w:rFonts w:hint="cs"/>
          <w:rtl/>
        </w:rPr>
        <w:t xml:space="preserve">כל </w:t>
      </w:r>
      <w:bookmarkStart w:id="309" w:name="_ETM_Q2_349580"/>
      <w:bookmarkEnd w:id="309"/>
      <w:r>
        <w:rPr>
          <w:rFonts w:hint="cs"/>
          <w:rtl/>
        </w:rPr>
        <w:t xml:space="preserve">הטענות </w:t>
      </w:r>
      <w:bookmarkStart w:id="310" w:name="_ETM_Q2_350120"/>
      <w:bookmarkEnd w:id="310"/>
      <w:r>
        <w:rPr>
          <w:rFonts w:hint="cs"/>
          <w:rtl/>
        </w:rPr>
        <w:t xml:space="preserve">פה </w:t>
      </w:r>
      <w:bookmarkStart w:id="311" w:name="_ETM_Q2_350239"/>
      <w:bookmarkEnd w:id="311"/>
      <w:r>
        <w:rPr>
          <w:rFonts w:hint="cs"/>
          <w:rtl/>
        </w:rPr>
        <w:t xml:space="preserve">שאנחנו </w:t>
      </w:r>
      <w:bookmarkStart w:id="312" w:name="_ETM_Q2_350780"/>
      <w:bookmarkEnd w:id="312"/>
      <w:r>
        <w:rPr>
          <w:rFonts w:hint="cs"/>
          <w:rtl/>
        </w:rPr>
        <w:t xml:space="preserve">דנים </w:t>
      </w:r>
      <w:bookmarkStart w:id="313" w:name="_ETM_Q2_351349"/>
      <w:bookmarkEnd w:id="313"/>
      <w:r>
        <w:rPr>
          <w:rFonts w:hint="cs"/>
          <w:rtl/>
        </w:rPr>
        <w:t xml:space="preserve">בנושא </w:t>
      </w:r>
      <w:bookmarkStart w:id="314" w:name="_ETM_Q2_351860"/>
      <w:bookmarkEnd w:id="314"/>
      <w:r>
        <w:rPr>
          <w:rFonts w:hint="cs"/>
          <w:rtl/>
        </w:rPr>
        <w:t xml:space="preserve">מהרגע </w:t>
      </w:r>
      <w:bookmarkStart w:id="315" w:name="_ETM_Q2_352370"/>
      <w:bookmarkEnd w:id="315"/>
      <w:r>
        <w:rPr>
          <w:rFonts w:hint="cs"/>
          <w:rtl/>
        </w:rPr>
        <w:t xml:space="preserve">לרגע, </w:t>
      </w:r>
      <w:bookmarkStart w:id="316" w:name="_ETM_Q2_353000"/>
      <w:bookmarkEnd w:id="316"/>
      <w:r>
        <w:rPr>
          <w:rFonts w:hint="cs"/>
          <w:rtl/>
        </w:rPr>
        <w:t>בבליץ –</w:t>
      </w:r>
      <w:bookmarkStart w:id="317" w:name="_ETM_Q2_356030"/>
      <w:bookmarkEnd w:id="317"/>
      <w:r>
        <w:rPr>
          <w:rFonts w:hint="cs"/>
          <w:rtl/>
        </w:rPr>
        <w:t xml:space="preserve"> מתי נכתב אותו מאמר שאליו </w:t>
      </w:r>
      <w:bookmarkStart w:id="318" w:name="_ETM_Q2_356330"/>
      <w:bookmarkEnd w:id="318"/>
      <w:r>
        <w:rPr>
          <w:rFonts w:hint="cs"/>
          <w:rtl/>
        </w:rPr>
        <w:t xml:space="preserve">מפנה </w:t>
      </w:r>
      <w:bookmarkStart w:id="319" w:name="_ETM_Q2_356750"/>
      <w:bookmarkEnd w:id="319"/>
      <w:r>
        <w:rPr>
          <w:rFonts w:hint="cs"/>
          <w:rtl/>
        </w:rPr>
        <w:t xml:space="preserve">הספר </w:t>
      </w:r>
      <w:bookmarkStart w:id="320" w:name="_ETM_Q2_357260"/>
      <w:bookmarkEnd w:id="320"/>
      <w:r>
        <w:rPr>
          <w:rFonts w:hint="cs"/>
          <w:rtl/>
        </w:rPr>
        <w:t xml:space="preserve">ופרופ' </w:t>
      </w:r>
      <w:bookmarkStart w:id="321" w:name="_ETM_Q2_357889"/>
      <w:bookmarkStart w:id="322" w:name="_ETM_Q2_358100"/>
      <w:bookmarkEnd w:id="321"/>
      <w:bookmarkEnd w:id="322"/>
      <w:r>
        <w:rPr>
          <w:rFonts w:hint="cs"/>
          <w:rtl/>
        </w:rPr>
        <w:t xml:space="preserve">יואב דותן? </w:t>
      </w:r>
      <w:bookmarkStart w:id="323" w:name="_ETM_Q2_359190"/>
      <w:bookmarkEnd w:id="323"/>
      <w:r>
        <w:rPr>
          <w:rFonts w:hint="cs"/>
          <w:rtl/>
        </w:rPr>
        <w:t xml:space="preserve">בשנת </w:t>
      </w:r>
      <w:bookmarkStart w:id="324" w:name="_ETM_Q2_360150"/>
      <w:bookmarkEnd w:id="324"/>
      <w:r>
        <w:rPr>
          <w:rFonts w:hint="cs"/>
          <w:rtl/>
        </w:rPr>
        <w:t xml:space="preserve">תשמ"ב, </w:t>
      </w:r>
      <w:bookmarkStart w:id="325" w:name="_ETM_Q2_361770"/>
      <w:bookmarkEnd w:id="325"/>
      <w:r>
        <w:rPr>
          <w:rFonts w:hint="cs"/>
          <w:rtl/>
        </w:rPr>
        <w:t xml:space="preserve">אדוני </w:t>
      </w:r>
      <w:bookmarkStart w:id="326" w:name="_ETM_Q2_362190"/>
      <w:bookmarkEnd w:id="326"/>
      <w:r>
        <w:rPr>
          <w:rFonts w:hint="cs"/>
          <w:rtl/>
        </w:rPr>
        <w:t xml:space="preserve">היושב-ראש. </w:t>
      </w:r>
      <w:bookmarkStart w:id="327" w:name="_ETM_Q2_363650"/>
      <w:bookmarkEnd w:id="327"/>
      <w:r>
        <w:rPr>
          <w:rFonts w:hint="cs"/>
          <w:rtl/>
        </w:rPr>
        <w:t xml:space="preserve">אינני </w:t>
      </w:r>
      <w:bookmarkStart w:id="328" w:name="_ETM_Q2_364040"/>
      <w:bookmarkEnd w:id="328"/>
      <w:r>
        <w:rPr>
          <w:rFonts w:hint="cs"/>
          <w:rtl/>
        </w:rPr>
        <w:t xml:space="preserve">רוצה </w:t>
      </w:r>
      <w:bookmarkStart w:id="329" w:name="_ETM_Q2_364310"/>
      <w:bookmarkEnd w:id="329"/>
      <w:r>
        <w:rPr>
          <w:rFonts w:hint="cs"/>
          <w:rtl/>
        </w:rPr>
        <w:t xml:space="preserve">לחשוף </w:t>
      </w:r>
      <w:bookmarkStart w:id="330" w:name="_ETM_Q2_364760"/>
      <w:bookmarkEnd w:id="330"/>
      <w:r>
        <w:rPr>
          <w:rFonts w:hint="cs"/>
          <w:rtl/>
        </w:rPr>
        <w:t xml:space="preserve">את </w:t>
      </w:r>
      <w:bookmarkStart w:id="331" w:name="_ETM_Q2_364909"/>
      <w:bookmarkEnd w:id="331"/>
      <w:r>
        <w:rPr>
          <w:rFonts w:hint="cs"/>
          <w:rtl/>
        </w:rPr>
        <w:t xml:space="preserve">גילך, </w:t>
      </w:r>
      <w:bookmarkStart w:id="332" w:name="_ETM_Q2_365489"/>
      <w:bookmarkEnd w:id="332"/>
      <w:r>
        <w:rPr>
          <w:rFonts w:hint="cs"/>
          <w:rtl/>
        </w:rPr>
        <w:t xml:space="preserve">חלילה </w:t>
      </w:r>
      <w:bookmarkStart w:id="333" w:name="_ETM_Q2_365939"/>
      <w:bookmarkEnd w:id="333"/>
      <w:r>
        <w:rPr>
          <w:rFonts w:hint="cs"/>
          <w:rtl/>
        </w:rPr>
        <w:t xml:space="preserve">וחס, </w:t>
      </w:r>
      <w:bookmarkStart w:id="334" w:name="_ETM_Q2_366209"/>
      <w:bookmarkEnd w:id="334"/>
      <w:r>
        <w:rPr>
          <w:rFonts w:hint="cs"/>
          <w:rtl/>
        </w:rPr>
        <w:t xml:space="preserve">אבל </w:t>
      </w:r>
      <w:bookmarkStart w:id="335" w:name="_ETM_Q2_366389"/>
      <w:bookmarkEnd w:id="335"/>
      <w:r>
        <w:rPr>
          <w:rFonts w:hint="cs"/>
          <w:rtl/>
        </w:rPr>
        <w:t xml:space="preserve">את </w:t>
      </w:r>
      <w:bookmarkStart w:id="336" w:name="_ETM_Q2_366540"/>
      <w:bookmarkEnd w:id="336"/>
      <w:r>
        <w:rPr>
          <w:rFonts w:hint="cs"/>
          <w:rtl/>
        </w:rPr>
        <w:t xml:space="preserve">גילי </w:t>
      </w:r>
      <w:bookmarkStart w:id="337" w:name="_ETM_Q2_366870"/>
      <w:bookmarkEnd w:id="337"/>
      <w:r>
        <w:rPr>
          <w:rFonts w:hint="cs"/>
          <w:rtl/>
        </w:rPr>
        <w:t xml:space="preserve">אני </w:t>
      </w:r>
      <w:bookmarkStart w:id="338" w:name="_ETM_Q2_367019"/>
      <w:bookmarkEnd w:id="338"/>
      <w:r>
        <w:rPr>
          <w:rFonts w:hint="cs"/>
          <w:rtl/>
        </w:rPr>
        <w:t xml:space="preserve">אחשוף: </w:t>
      </w:r>
      <w:bookmarkStart w:id="339" w:name="_ETM_Q2_367950"/>
      <w:bookmarkEnd w:id="339"/>
      <w:r>
        <w:rPr>
          <w:rFonts w:hint="cs"/>
          <w:rtl/>
        </w:rPr>
        <w:t xml:space="preserve">בשנת </w:t>
      </w:r>
      <w:bookmarkStart w:id="340" w:name="_ETM_Q2_368430"/>
      <w:bookmarkEnd w:id="340"/>
      <w:r>
        <w:rPr>
          <w:rFonts w:hint="cs"/>
          <w:rtl/>
        </w:rPr>
        <w:t xml:space="preserve">תשמ"ב </w:t>
      </w:r>
      <w:bookmarkStart w:id="341" w:name="_ETM_Q2_369840"/>
      <w:bookmarkEnd w:id="341"/>
      <w:r>
        <w:rPr>
          <w:rFonts w:hint="cs"/>
          <w:rtl/>
        </w:rPr>
        <w:t xml:space="preserve">הייתי </w:t>
      </w:r>
      <w:bookmarkStart w:id="342" w:name="_ETM_Q2_370200"/>
      <w:bookmarkEnd w:id="342"/>
      <w:r>
        <w:rPr>
          <w:rFonts w:hint="cs"/>
          <w:rtl/>
        </w:rPr>
        <w:t xml:space="preserve">תינוק </w:t>
      </w:r>
      <w:bookmarkStart w:id="343" w:name="_ETM_Q2_370560"/>
      <w:bookmarkEnd w:id="343"/>
      <w:r>
        <w:rPr>
          <w:rFonts w:hint="cs"/>
          <w:rtl/>
        </w:rPr>
        <w:t xml:space="preserve">בן </w:t>
      </w:r>
      <w:bookmarkStart w:id="344" w:name="_ETM_Q2_370739"/>
      <w:bookmarkEnd w:id="344"/>
      <w:r>
        <w:rPr>
          <w:rFonts w:hint="cs"/>
          <w:rtl/>
        </w:rPr>
        <w:t xml:space="preserve">שנתיים, </w:t>
      </w:r>
      <w:bookmarkStart w:id="345" w:name="_ETM_Q2_372260"/>
      <w:bookmarkEnd w:id="345"/>
      <w:r>
        <w:rPr>
          <w:rFonts w:hint="cs"/>
          <w:rtl/>
        </w:rPr>
        <w:t xml:space="preserve">וכבר </w:t>
      </w:r>
      <w:bookmarkStart w:id="346" w:name="_ETM_Q2_372980"/>
      <w:bookmarkEnd w:id="346"/>
      <w:r>
        <w:rPr>
          <w:rFonts w:hint="cs"/>
          <w:rtl/>
        </w:rPr>
        <w:t xml:space="preserve">אז, </w:t>
      </w:r>
      <w:bookmarkStart w:id="347" w:name="_ETM_Q2_374040"/>
      <w:bookmarkStart w:id="348" w:name="_ETM_Q2_374669"/>
      <w:bookmarkEnd w:id="347"/>
      <w:bookmarkEnd w:id="348"/>
      <w:r>
        <w:rPr>
          <w:rFonts w:hint="cs"/>
          <w:rtl/>
        </w:rPr>
        <w:t xml:space="preserve">בעודי תינוק </w:t>
      </w:r>
      <w:bookmarkStart w:id="349" w:name="_ETM_Q2_375029"/>
      <w:bookmarkEnd w:id="349"/>
      <w:r>
        <w:rPr>
          <w:rFonts w:hint="cs"/>
          <w:rtl/>
        </w:rPr>
        <w:t xml:space="preserve">בן </w:t>
      </w:r>
      <w:bookmarkStart w:id="350" w:name="_ETM_Q2_375239"/>
      <w:bookmarkEnd w:id="350"/>
      <w:r>
        <w:rPr>
          <w:rFonts w:hint="cs"/>
          <w:rtl/>
        </w:rPr>
        <w:t xml:space="preserve">שנתיים, </w:t>
      </w:r>
      <w:bookmarkStart w:id="351" w:name="_ETM_Q2_375779"/>
      <w:bookmarkEnd w:id="351"/>
      <w:r>
        <w:rPr>
          <w:rFonts w:hint="cs"/>
          <w:rtl/>
        </w:rPr>
        <w:t xml:space="preserve">קראתי </w:t>
      </w:r>
      <w:bookmarkStart w:id="352" w:name="_ETM_Q2_376200"/>
      <w:bookmarkEnd w:id="352"/>
      <w:r>
        <w:rPr>
          <w:rFonts w:hint="cs"/>
          <w:rtl/>
        </w:rPr>
        <w:t xml:space="preserve">את </w:t>
      </w:r>
      <w:bookmarkStart w:id="353" w:name="_ETM_Q2_376319"/>
      <w:bookmarkEnd w:id="353"/>
      <w:r>
        <w:rPr>
          <w:rFonts w:hint="cs"/>
          <w:rtl/>
        </w:rPr>
        <w:t xml:space="preserve">המאמר </w:t>
      </w:r>
      <w:bookmarkStart w:id="354" w:name="_ETM_Q2_377010"/>
      <w:bookmarkEnd w:id="354"/>
      <w:r>
        <w:rPr>
          <w:rFonts w:hint="cs"/>
          <w:rtl/>
        </w:rPr>
        <w:t xml:space="preserve">על </w:t>
      </w:r>
      <w:bookmarkStart w:id="355" w:name="_ETM_Q2_377249"/>
      <w:bookmarkEnd w:id="355"/>
      <w:r>
        <w:rPr>
          <w:rFonts w:hint="cs"/>
          <w:rtl/>
        </w:rPr>
        <w:t xml:space="preserve">סבירות </w:t>
      </w:r>
      <w:bookmarkStart w:id="356" w:name="_ETM_Q2_377700"/>
      <w:bookmarkEnd w:id="356"/>
      <w:r>
        <w:rPr>
          <w:rFonts w:hint="cs"/>
          <w:rtl/>
        </w:rPr>
        <w:t xml:space="preserve">ואמרתי: </w:t>
      </w:r>
      <w:bookmarkStart w:id="357" w:name="_ETM_Q2_378629"/>
      <w:bookmarkEnd w:id="357"/>
      <w:r>
        <w:rPr>
          <w:rFonts w:hint="cs"/>
          <w:rtl/>
        </w:rPr>
        <w:t xml:space="preserve">לא </w:t>
      </w:r>
      <w:bookmarkStart w:id="358" w:name="_ETM_Q2_378959"/>
      <w:bookmarkEnd w:id="358"/>
      <w:r>
        <w:rPr>
          <w:rFonts w:hint="cs"/>
          <w:rtl/>
        </w:rPr>
        <w:t xml:space="preserve">עוד. </w:t>
      </w:r>
      <w:bookmarkStart w:id="359" w:name="_ETM_Q2_379469"/>
      <w:bookmarkEnd w:id="359"/>
    </w:p>
    <w:p w:rsidR="000C5C1F" w:rsidRDefault="000C5C1F" w:rsidP="000C5C1F">
      <w:pPr>
        <w:rPr>
          <w:rtl/>
        </w:rPr>
      </w:pPr>
      <w:bookmarkStart w:id="360" w:name="_ETM_Q2_391233"/>
      <w:bookmarkStart w:id="361" w:name="_ETM_Q2_391358"/>
      <w:bookmarkEnd w:id="360"/>
      <w:bookmarkEnd w:id="361"/>
    </w:p>
    <w:p w:rsidR="000C5C1F" w:rsidRDefault="000C5C1F" w:rsidP="000C5C1F">
      <w:pPr>
        <w:rPr>
          <w:rtl/>
        </w:rPr>
      </w:pPr>
      <w:bookmarkStart w:id="362" w:name="_ETM_Q2_391423"/>
      <w:bookmarkStart w:id="363" w:name="_ETM_Q2_391522"/>
      <w:bookmarkEnd w:id="362"/>
      <w:bookmarkEnd w:id="363"/>
      <w:r>
        <w:rPr>
          <w:rFonts w:hint="cs"/>
          <w:rtl/>
        </w:rPr>
        <w:t xml:space="preserve">חברים, </w:t>
      </w:r>
      <w:bookmarkStart w:id="364" w:name="_ETM_Q2_380189"/>
      <w:bookmarkEnd w:id="364"/>
      <w:r>
        <w:rPr>
          <w:rFonts w:hint="cs"/>
          <w:rtl/>
        </w:rPr>
        <w:t xml:space="preserve">תפסיקו </w:t>
      </w:r>
      <w:bookmarkStart w:id="365" w:name="_ETM_Q2_380939"/>
      <w:bookmarkEnd w:id="365"/>
      <w:r>
        <w:rPr>
          <w:rFonts w:hint="cs"/>
          <w:rtl/>
        </w:rPr>
        <w:t xml:space="preserve">לעבוד </w:t>
      </w:r>
      <w:bookmarkStart w:id="366" w:name="_ETM_Q2_381540"/>
      <w:bookmarkEnd w:id="366"/>
      <w:r>
        <w:rPr>
          <w:rFonts w:hint="cs"/>
          <w:rtl/>
        </w:rPr>
        <w:t xml:space="preserve">על </w:t>
      </w:r>
      <w:bookmarkStart w:id="367" w:name="_ETM_Q2_381659"/>
      <w:bookmarkEnd w:id="367"/>
      <w:r>
        <w:rPr>
          <w:rFonts w:hint="cs"/>
          <w:rtl/>
        </w:rPr>
        <w:t xml:space="preserve">הציבור </w:t>
      </w:r>
      <w:bookmarkStart w:id="368" w:name="_ETM_Q2_382079"/>
      <w:bookmarkEnd w:id="368"/>
      <w:r>
        <w:rPr>
          <w:rFonts w:hint="cs"/>
          <w:rtl/>
        </w:rPr>
        <w:t xml:space="preserve">בישראל. </w:t>
      </w:r>
      <w:bookmarkStart w:id="369" w:name="_ETM_Q2_383159"/>
      <w:bookmarkEnd w:id="369"/>
      <w:r>
        <w:rPr>
          <w:rFonts w:hint="cs"/>
          <w:rtl/>
        </w:rPr>
        <w:t xml:space="preserve">עילת </w:t>
      </w:r>
      <w:bookmarkStart w:id="370" w:name="_ETM_Q2_383700"/>
      <w:bookmarkEnd w:id="370"/>
      <w:r>
        <w:rPr>
          <w:rFonts w:hint="cs"/>
          <w:rtl/>
        </w:rPr>
        <w:t xml:space="preserve">הסבירות </w:t>
      </w:r>
      <w:bookmarkStart w:id="371" w:name="_ETM_Q2_385129"/>
      <w:bookmarkEnd w:id="371"/>
      <w:r>
        <w:rPr>
          <w:rFonts w:hint="cs"/>
          <w:rtl/>
        </w:rPr>
        <w:t xml:space="preserve">היא </w:t>
      </w:r>
      <w:bookmarkStart w:id="372" w:name="_ETM_Q2_385339"/>
      <w:bookmarkEnd w:id="372"/>
      <w:r>
        <w:rPr>
          <w:rFonts w:hint="cs"/>
          <w:rtl/>
        </w:rPr>
        <w:t xml:space="preserve">דבר </w:t>
      </w:r>
      <w:bookmarkStart w:id="373" w:name="_ETM_Q2_385849"/>
      <w:bookmarkEnd w:id="373"/>
      <w:r>
        <w:rPr>
          <w:rFonts w:hint="cs"/>
          <w:rtl/>
        </w:rPr>
        <w:t xml:space="preserve">שזכה </w:t>
      </w:r>
      <w:bookmarkStart w:id="374" w:name="_ETM_Q2_386389"/>
      <w:bookmarkEnd w:id="374"/>
      <w:r>
        <w:rPr>
          <w:rFonts w:hint="cs"/>
          <w:rtl/>
        </w:rPr>
        <w:t xml:space="preserve">לביקורת </w:t>
      </w:r>
      <w:bookmarkStart w:id="375" w:name="_ETM_Q2_387529"/>
      <w:bookmarkEnd w:id="375"/>
      <w:r>
        <w:rPr>
          <w:rFonts w:hint="cs"/>
          <w:rtl/>
        </w:rPr>
        <w:t xml:space="preserve">כבר </w:t>
      </w:r>
      <w:bookmarkStart w:id="376" w:name="_ETM_Q2_387859"/>
      <w:bookmarkEnd w:id="376"/>
      <w:r>
        <w:rPr>
          <w:rFonts w:hint="cs"/>
          <w:rtl/>
        </w:rPr>
        <w:t xml:space="preserve">לפני למעלה </w:t>
      </w:r>
      <w:bookmarkStart w:id="377" w:name="_ETM_Q2_388339"/>
      <w:bookmarkEnd w:id="377"/>
      <w:r>
        <w:rPr>
          <w:rFonts w:hint="cs"/>
          <w:rtl/>
        </w:rPr>
        <w:t xml:space="preserve">מ-40 </w:t>
      </w:r>
      <w:bookmarkStart w:id="378" w:name="_ETM_Q2_390896"/>
      <w:bookmarkEnd w:id="378"/>
      <w:r>
        <w:rPr>
          <w:rFonts w:hint="cs"/>
          <w:rtl/>
        </w:rPr>
        <w:t xml:space="preserve">שנה. </w:t>
      </w:r>
      <w:bookmarkStart w:id="379" w:name="_ETM_Q2_390349"/>
      <w:bookmarkStart w:id="380" w:name="_ETM_Q2_391160"/>
      <w:bookmarkEnd w:id="379"/>
      <w:bookmarkEnd w:id="380"/>
      <w:r>
        <w:rPr>
          <w:rFonts w:hint="cs"/>
          <w:rtl/>
        </w:rPr>
        <w:t xml:space="preserve">אין שום </w:t>
      </w:r>
      <w:bookmarkStart w:id="381" w:name="_ETM_Q2_392180"/>
      <w:bookmarkEnd w:id="381"/>
      <w:r>
        <w:rPr>
          <w:rFonts w:hint="cs"/>
          <w:rtl/>
        </w:rPr>
        <w:t xml:space="preserve">יסוד </w:t>
      </w:r>
      <w:bookmarkStart w:id="382" w:name="_ETM_Q2_393680"/>
      <w:bookmarkEnd w:id="382"/>
      <w:r>
        <w:rPr>
          <w:rFonts w:hint="cs"/>
          <w:rtl/>
        </w:rPr>
        <w:t xml:space="preserve">לטענה </w:t>
      </w:r>
      <w:bookmarkStart w:id="383" w:name="_ETM_Q2_394580"/>
      <w:bookmarkEnd w:id="383"/>
      <w:r>
        <w:rPr>
          <w:rFonts w:hint="cs"/>
          <w:rtl/>
        </w:rPr>
        <w:t xml:space="preserve">שבקשה </w:t>
      </w:r>
      <w:bookmarkStart w:id="384" w:name="_ETM_Q2_395300"/>
      <w:bookmarkEnd w:id="384"/>
      <w:r>
        <w:rPr>
          <w:rFonts w:hint="cs"/>
          <w:rtl/>
        </w:rPr>
        <w:t xml:space="preserve">לצמצומה </w:t>
      </w:r>
      <w:bookmarkStart w:id="385" w:name="_ETM_Q2_395990"/>
      <w:bookmarkEnd w:id="385"/>
      <w:r>
        <w:rPr>
          <w:rFonts w:hint="cs"/>
          <w:rtl/>
        </w:rPr>
        <w:t xml:space="preserve">כך </w:t>
      </w:r>
      <w:bookmarkStart w:id="386" w:name="_ETM_Q2_396140"/>
      <w:bookmarkEnd w:id="386"/>
      <w:r>
        <w:rPr>
          <w:rFonts w:hint="cs"/>
          <w:rtl/>
        </w:rPr>
        <w:t xml:space="preserve">שלא </w:t>
      </w:r>
      <w:bookmarkStart w:id="387" w:name="_ETM_Q2_396350"/>
      <w:bookmarkEnd w:id="387"/>
      <w:r>
        <w:rPr>
          <w:rFonts w:hint="cs"/>
          <w:rtl/>
        </w:rPr>
        <w:t xml:space="preserve">תחול </w:t>
      </w:r>
      <w:bookmarkStart w:id="388" w:name="_ETM_Q2_396650"/>
      <w:bookmarkEnd w:id="388"/>
      <w:r>
        <w:rPr>
          <w:rFonts w:hint="cs"/>
          <w:rtl/>
        </w:rPr>
        <w:t xml:space="preserve">על </w:t>
      </w:r>
      <w:bookmarkStart w:id="389" w:name="_ETM_Q2_396740"/>
      <w:bookmarkEnd w:id="389"/>
      <w:r>
        <w:rPr>
          <w:rFonts w:hint="cs"/>
          <w:rtl/>
        </w:rPr>
        <w:t xml:space="preserve">נבחרי </w:t>
      </w:r>
      <w:bookmarkStart w:id="390" w:name="_ETM_Q2_397130"/>
      <w:bookmarkEnd w:id="390"/>
      <w:r>
        <w:rPr>
          <w:rFonts w:hint="cs"/>
          <w:rtl/>
        </w:rPr>
        <w:t xml:space="preserve">ציבור, </w:t>
      </w:r>
      <w:bookmarkStart w:id="391" w:name="_ETM_Q2_397460"/>
      <w:bookmarkEnd w:id="391"/>
      <w:r>
        <w:rPr>
          <w:rFonts w:hint="cs"/>
          <w:rtl/>
        </w:rPr>
        <w:t xml:space="preserve">נובעת </w:t>
      </w:r>
      <w:bookmarkStart w:id="392" w:name="_ETM_Q2_397820"/>
      <w:bookmarkEnd w:id="392"/>
      <w:r>
        <w:rPr>
          <w:rFonts w:hint="cs"/>
          <w:rtl/>
        </w:rPr>
        <w:t xml:space="preserve">מאיזה </w:t>
      </w:r>
      <w:bookmarkStart w:id="393" w:name="_ETM_Q2_398240"/>
      <w:bookmarkEnd w:id="393"/>
      <w:r>
        <w:rPr>
          <w:rFonts w:hint="cs"/>
          <w:rtl/>
        </w:rPr>
        <w:t xml:space="preserve">אינטרס </w:t>
      </w:r>
      <w:bookmarkStart w:id="394" w:name="_ETM_Q2_398720"/>
      <w:bookmarkEnd w:id="394"/>
      <w:r>
        <w:rPr>
          <w:rFonts w:hint="cs"/>
          <w:rtl/>
        </w:rPr>
        <w:t xml:space="preserve">קצר </w:t>
      </w:r>
      <w:bookmarkStart w:id="395" w:name="_ETM_Q2_399140"/>
      <w:bookmarkEnd w:id="395"/>
      <w:r>
        <w:rPr>
          <w:rFonts w:hint="cs"/>
          <w:rtl/>
        </w:rPr>
        <w:t xml:space="preserve">טווח </w:t>
      </w:r>
      <w:bookmarkStart w:id="396" w:name="_ETM_Q2_399470"/>
      <w:bookmarkEnd w:id="396"/>
      <w:r>
        <w:rPr>
          <w:rFonts w:hint="cs"/>
          <w:rtl/>
        </w:rPr>
        <w:t xml:space="preserve">של </w:t>
      </w:r>
      <w:bookmarkStart w:id="397" w:name="_ETM_Q2_399620"/>
      <w:bookmarkEnd w:id="397"/>
      <w:r>
        <w:rPr>
          <w:rFonts w:hint="cs"/>
          <w:rtl/>
        </w:rPr>
        <w:t xml:space="preserve">הקואליציה </w:t>
      </w:r>
      <w:bookmarkStart w:id="398" w:name="_ETM_Q2_400190"/>
      <w:bookmarkEnd w:id="398"/>
      <w:r>
        <w:rPr>
          <w:rFonts w:hint="cs"/>
          <w:rtl/>
        </w:rPr>
        <w:t xml:space="preserve">הזאת. </w:t>
      </w:r>
      <w:bookmarkStart w:id="399" w:name="_ETM_Q2_401560"/>
      <w:bookmarkEnd w:id="399"/>
      <w:r>
        <w:rPr>
          <w:rFonts w:hint="cs"/>
          <w:rtl/>
        </w:rPr>
        <w:t xml:space="preserve">מדובר </w:t>
      </w:r>
      <w:bookmarkStart w:id="400" w:name="_ETM_Q2_402220"/>
      <w:bookmarkEnd w:id="400"/>
      <w:r>
        <w:rPr>
          <w:rFonts w:hint="cs"/>
          <w:rtl/>
        </w:rPr>
        <w:t xml:space="preserve">בהשמצה </w:t>
      </w:r>
      <w:bookmarkStart w:id="401" w:name="_ETM_Q2_402970"/>
      <w:bookmarkEnd w:id="401"/>
      <w:r>
        <w:rPr>
          <w:rFonts w:hint="cs"/>
          <w:rtl/>
        </w:rPr>
        <w:t xml:space="preserve">פרועה, </w:t>
      </w:r>
      <w:bookmarkStart w:id="402" w:name="_ETM_Q2_403480"/>
      <w:bookmarkEnd w:id="402"/>
      <w:r>
        <w:rPr>
          <w:rFonts w:hint="cs"/>
          <w:rtl/>
        </w:rPr>
        <w:t xml:space="preserve">שהסיבה </w:t>
      </w:r>
      <w:bookmarkStart w:id="403" w:name="_ETM_Q2_404050"/>
      <w:bookmarkEnd w:id="403"/>
      <w:r>
        <w:rPr>
          <w:rFonts w:hint="cs"/>
          <w:rtl/>
        </w:rPr>
        <w:t xml:space="preserve">היחידה </w:t>
      </w:r>
      <w:bookmarkStart w:id="404" w:name="_ETM_Q2_404440"/>
      <w:bookmarkEnd w:id="404"/>
      <w:r>
        <w:rPr>
          <w:rFonts w:hint="cs"/>
          <w:rtl/>
        </w:rPr>
        <w:t xml:space="preserve">שיש </w:t>
      </w:r>
      <w:bookmarkStart w:id="405" w:name="_ETM_Q2_404650"/>
      <w:bookmarkEnd w:id="405"/>
      <w:r>
        <w:rPr>
          <w:rFonts w:hint="cs"/>
          <w:rtl/>
        </w:rPr>
        <w:t xml:space="preserve">מישהו </w:t>
      </w:r>
      <w:bookmarkStart w:id="406" w:name="_ETM_Q2_404920"/>
      <w:bookmarkEnd w:id="406"/>
      <w:r>
        <w:rPr>
          <w:rFonts w:hint="cs"/>
          <w:rtl/>
        </w:rPr>
        <w:t xml:space="preserve">שמאמין </w:t>
      </w:r>
      <w:bookmarkStart w:id="407" w:name="_ETM_Q2_405370"/>
      <w:bookmarkEnd w:id="407"/>
      <w:r>
        <w:rPr>
          <w:rFonts w:hint="cs"/>
          <w:rtl/>
        </w:rPr>
        <w:t xml:space="preserve">לה </w:t>
      </w:r>
      <w:bookmarkStart w:id="408" w:name="_ETM_Q2_405460"/>
      <w:bookmarkEnd w:id="408"/>
      <w:r>
        <w:rPr>
          <w:rFonts w:hint="cs"/>
          <w:rtl/>
        </w:rPr>
        <w:t xml:space="preserve">במדינת </w:t>
      </w:r>
      <w:bookmarkStart w:id="409" w:name="_ETM_Q2_405850"/>
      <w:bookmarkEnd w:id="409"/>
      <w:r>
        <w:rPr>
          <w:rFonts w:hint="cs"/>
          <w:rtl/>
        </w:rPr>
        <w:t xml:space="preserve">ישראל </w:t>
      </w:r>
      <w:bookmarkStart w:id="410" w:name="_ETM_Q2_406750"/>
      <w:bookmarkEnd w:id="410"/>
      <w:r>
        <w:rPr>
          <w:rFonts w:hint="cs"/>
          <w:rtl/>
        </w:rPr>
        <w:t xml:space="preserve">היא </w:t>
      </w:r>
      <w:bookmarkStart w:id="411" w:name="_ETM_Q2_406960"/>
      <w:bookmarkStart w:id="412" w:name="_ETM_Q2_409250"/>
      <w:bookmarkEnd w:id="411"/>
      <w:bookmarkEnd w:id="412"/>
      <w:r>
        <w:rPr>
          <w:rFonts w:hint="cs"/>
          <w:rtl/>
        </w:rPr>
        <w:t xml:space="preserve">בגלל </w:t>
      </w:r>
      <w:bookmarkStart w:id="413" w:name="_ETM_Q2_415278"/>
      <w:bookmarkEnd w:id="413"/>
      <w:r>
        <w:rPr>
          <w:rFonts w:hint="cs"/>
          <w:rtl/>
        </w:rPr>
        <w:t xml:space="preserve">טפטוף </w:t>
      </w:r>
      <w:bookmarkStart w:id="414" w:name="_ETM_Q2_410000"/>
      <w:bookmarkEnd w:id="414"/>
      <w:r>
        <w:rPr>
          <w:rFonts w:hint="cs"/>
          <w:rtl/>
        </w:rPr>
        <w:t xml:space="preserve">– הם </w:t>
      </w:r>
      <w:bookmarkStart w:id="415" w:name="_ETM_Q2_410090"/>
      <w:bookmarkEnd w:id="415"/>
      <w:r>
        <w:rPr>
          <w:rFonts w:hint="cs"/>
          <w:rtl/>
        </w:rPr>
        <w:t xml:space="preserve">דיברו </w:t>
      </w:r>
      <w:bookmarkStart w:id="416" w:name="_ETM_Q2_410420"/>
      <w:bookmarkEnd w:id="416"/>
      <w:r>
        <w:rPr>
          <w:rFonts w:hint="cs"/>
          <w:rtl/>
        </w:rPr>
        <w:t xml:space="preserve">על </w:t>
      </w:r>
      <w:bookmarkStart w:id="417" w:name="_ETM_Q2_410510"/>
      <w:bookmarkEnd w:id="417"/>
      <w:r>
        <w:rPr>
          <w:rFonts w:hint="cs"/>
          <w:rtl/>
        </w:rPr>
        <w:t xml:space="preserve">מכונת </w:t>
      </w:r>
      <w:bookmarkStart w:id="418" w:name="_ETM_Q2_411020"/>
      <w:bookmarkEnd w:id="418"/>
      <w:r>
        <w:rPr>
          <w:rFonts w:hint="cs"/>
          <w:rtl/>
        </w:rPr>
        <w:t>רעל</w:t>
      </w:r>
      <w:bookmarkStart w:id="419" w:name="_ETM_Q2_411829"/>
      <w:bookmarkEnd w:id="419"/>
      <w:r>
        <w:rPr>
          <w:rFonts w:hint="cs"/>
          <w:rtl/>
        </w:rPr>
        <w:t xml:space="preserve">? טפטוף </w:t>
      </w:r>
      <w:bookmarkStart w:id="420" w:name="_ETM_Q2_413300"/>
      <w:bookmarkEnd w:id="420"/>
      <w:r>
        <w:rPr>
          <w:rFonts w:hint="cs"/>
          <w:rtl/>
        </w:rPr>
        <w:t>אין</w:t>
      </w:r>
      <w:bookmarkStart w:id="421" w:name="_ETM_Q2_413540"/>
      <w:bookmarkEnd w:id="421"/>
      <w:r>
        <w:rPr>
          <w:rFonts w:hint="cs"/>
          <w:rtl/>
        </w:rPr>
        <w:t xml:space="preserve">-סופי, </w:t>
      </w:r>
      <w:bookmarkStart w:id="422" w:name="_ETM_Q2_414260"/>
      <w:bookmarkEnd w:id="422"/>
      <w:r>
        <w:rPr>
          <w:rFonts w:hint="cs"/>
          <w:rtl/>
        </w:rPr>
        <w:t xml:space="preserve">טפטוף </w:t>
      </w:r>
      <w:bookmarkStart w:id="423" w:name="_ETM_Q2_414710"/>
      <w:bookmarkEnd w:id="423"/>
      <w:r>
        <w:rPr>
          <w:rFonts w:hint="cs"/>
          <w:rtl/>
        </w:rPr>
        <w:t xml:space="preserve">שהפך </w:t>
      </w:r>
      <w:bookmarkStart w:id="424" w:name="_ETM_Q2_415040"/>
      <w:bookmarkEnd w:id="424"/>
      <w:r>
        <w:rPr>
          <w:rFonts w:hint="cs"/>
          <w:rtl/>
        </w:rPr>
        <w:t xml:space="preserve">לזרם </w:t>
      </w:r>
      <w:bookmarkStart w:id="425" w:name="_ETM_Q2_416240"/>
      <w:bookmarkEnd w:id="425"/>
      <w:r>
        <w:rPr>
          <w:rFonts w:hint="cs"/>
          <w:rtl/>
        </w:rPr>
        <w:t xml:space="preserve">של </w:t>
      </w:r>
      <w:bookmarkStart w:id="426" w:name="_ETM_Q2_416540"/>
      <w:bookmarkEnd w:id="426"/>
      <w:r>
        <w:rPr>
          <w:rFonts w:hint="cs"/>
          <w:rtl/>
        </w:rPr>
        <w:t xml:space="preserve">רעל </w:t>
      </w:r>
      <w:bookmarkStart w:id="427" w:name="_ETM_Q2_416870"/>
      <w:bookmarkEnd w:id="427"/>
      <w:r>
        <w:rPr>
          <w:rFonts w:hint="cs"/>
          <w:rtl/>
        </w:rPr>
        <w:t xml:space="preserve">ופייק. </w:t>
      </w:r>
      <w:bookmarkStart w:id="428" w:name="_ETM_Q2_418760"/>
      <w:bookmarkStart w:id="429" w:name="_ETM_Q2_422034"/>
      <w:bookmarkStart w:id="430" w:name="_ETM_Q2_422152"/>
      <w:bookmarkStart w:id="431" w:name="_ETM_Q2_422188"/>
      <w:bookmarkStart w:id="432" w:name="_ETM_Q2_422252"/>
      <w:bookmarkEnd w:id="428"/>
      <w:bookmarkEnd w:id="429"/>
      <w:bookmarkEnd w:id="430"/>
      <w:bookmarkEnd w:id="431"/>
      <w:bookmarkEnd w:id="432"/>
    </w:p>
    <w:p w:rsidR="000C5C1F" w:rsidRDefault="000C5C1F" w:rsidP="000C5C1F">
      <w:pPr>
        <w:rPr>
          <w:rtl/>
        </w:rPr>
      </w:pPr>
      <w:bookmarkStart w:id="433" w:name="_ETM_Q2_425622"/>
      <w:bookmarkEnd w:id="433"/>
    </w:p>
    <w:p w:rsidR="000C5C1F" w:rsidRDefault="000C5C1F" w:rsidP="000C5C1F">
      <w:pPr>
        <w:rPr>
          <w:rtl/>
        </w:rPr>
      </w:pPr>
      <w:bookmarkStart w:id="434" w:name="_ETM_Q2_425825"/>
      <w:bookmarkStart w:id="435" w:name="_ETM_Q2_425844"/>
      <w:bookmarkStart w:id="436" w:name="_ETM_Q2_425873"/>
      <w:bookmarkEnd w:id="434"/>
      <w:bookmarkEnd w:id="435"/>
      <w:bookmarkEnd w:id="436"/>
      <w:r>
        <w:rPr>
          <w:rFonts w:hint="cs"/>
          <w:rtl/>
        </w:rPr>
        <w:t>אי</w:t>
      </w:r>
      <w:bookmarkStart w:id="437" w:name="_ETM_Q2_419060"/>
      <w:bookmarkEnd w:id="437"/>
      <w:r>
        <w:rPr>
          <w:rFonts w:hint="cs"/>
          <w:rtl/>
        </w:rPr>
        <w:t xml:space="preserve">-אפשר </w:t>
      </w:r>
      <w:bookmarkStart w:id="438" w:name="_ETM_Q2_419540"/>
      <w:bookmarkEnd w:id="438"/>
      <w:r>
        <w:rPr>
          <w:rFonts w:hint="cs"/>
          <w:rtl/>
        </w:rPr>
        <w:t xml:space="preserve">לקבל </w:t>
      </w:r>
      <w:bookmarkStart w:id="439" w:name="_ETM_Q2_419900"/>
      <w:bookmarkEnd w:id="439"/>
      <w:r>
        <w:rPr>
          <w:rFonts w:hint="cs"/>
          <w:rtl/>
        </w:rPr>
        <w:t xml:space="preserve">את </w:t>
      </w:r>
      <w:bookmarkStart w:id="440" w:name="_ETM_Q2_419990"/>
      <w:bookmarkEnd w:id="440"/>
      <w:r>
        <w:rPr>
          <w:rFonts w:hint="cs"/>
          <w:rtl/>
        </w:rPr>
        <w:t xml:space="preserve">המציאות </w:t>
      </w:r>
      <w:bookmarkStart w:id="441" w:name="_ETM_Q2_420410"/>
      <w:bookmarkEnd w:id="441"/>
      <w:r>
        <w:rPr>
          <w:rFonts w:hint="cs"/>
          <w:rtl/>
        </w:rPr>
        <w:t xml:space="preserve">הזאת. </w:t>
      </w:r>
      <w:bookmarkStart w:id="442" w:name="_ETM_Q2_420950"/>
      <w:bookmarkStart w:id="443" w:name="_ETM_Q2_422099"/>
      <w:bookmarkStart w:id="444" w:name="_ETM_Q2_422228"/>
      <w:bookmarkStart w:id="445" w:name="_ETM_Q2_422292"/>
      <w:bookmarkStart w:id="446" w:name="_ETM_Q2_422361"/>
      <w:bookmarkEnd w:id="442"/>
      <w:bookmarkEnd w:id="443"/>
      <w:bookmarkEnd w:id="444"/>
      <w:bookmarkEnd w:id="445"/>
      <w:bookmarkEnd w:id="446"/>
      <w:r>
        <w:rPr>
          <w:rFonts w:hint="cs"/>
          <w:rtl/>
        </w:rPr>
        <w:t xml:space="preserve">מדובר </w:t>
      </w:r>
      <w:bookmarkStart w:id="447" w:name="_ETM_Q2_421460"/>
      <w:bookmarkEnd w:id="447"/>
      <w:r>
        <w:rPr>
          <w:rFonts w:hint="cs"/>
          <w:rtl/>
        </w:rPr>
        <w:t xml:space="preserve">בתיקון </w:t>
      </w:r>
      <w:bookmarkStart w:id="448" w:name="_ETM_Q2_422360"/>
      <w:bookmarkEnd w:id="448"/>
      <w:r>
        <w:rPr>
          <w:rFonts w:hint="cs"/>
          <w:rtl/>
        </w:rPr>
        <w:t xml:space="preserve">שבימים </w:t>
      </w:r>
      <w:bookmarkStart w:id="449" w:name="_ETM_Q2_422930"/>
      <w:bookmarkEnd w:id="449"/>
      <w:r>
        <w:rPr>
          <w:rFonts w:hint="cs"/>
          <w:rtl/>
        </w:rPr>
        <w:t xml:space="preserve">כתיקונם – </w:t>
      </w:r>
      <w:bookmarkStart w:id="450" w:name="_ETM_Q2_423680"/>
      <w:bookmarkEnd w:id="450"/>
      <w:r>
        <w:rPr>
          <w:rFonts w:hint="cs"/>
          <w:rtl/>
        </w:rPr>
        <w:t xml:space="preserve">וסליחה </w:t>
      </w:r>
      <w:bookmarkStart w:id="451" w:name="_ETM_Q2_424100"/>
      <w:bookmarkEnd w:id="451"/>
      <w:r>
        <w:rPr>
          <w:rFonts w:hint="cs"/>
          <w:rtl/>
        </w:rPr>
        <w:t xml:space="preserve">על </w:t>
      </w:r>
      <w:bookmarkStart w:id="452" w:name="_ETM_Q2_424190"/>
      <w:bookmarkEnd w:id="452"/>
      <w:r>
        <w:rPr>
          <w:rFonts w:hint="cs"/>
          <w:rtl/>
        </w:rPr>
        <w:t xml:space="preserve">משחק </w:t>
      </w:r>
      <w:bookmarkStart w:id="453" w:name="_ETM_Q2_424610"/>
      <w:bookmarkEnd w:id="453"/>
      <w:r>
        <w:rPr>
          <w:rFonts w:hint="cs"/>
          <w:rtl/>
        </w:rPr>
        <w:t xml:space="preserve">המילים </w:t>
      </w:r>
      <w:bookmarkStart w:id="454" w:name="_ETM_Q2_425790"/>
      <w:bookmarkEnd w:id="454"/>
      <w:r>
        <w:rPr>
          <w:rFonts w:hint="cs"/>
          <w:rtl/>
        </w:rPr>
        <w:t xml:space="preserve">– לא </w:t>
      </w:r>
      <w:bookmarkStart w:id="455" w:name="_ETM_Q2_426029"/>
      <w:bookmarkEnd w:id="455"/>
      <w:r>
        <w:rPr>
          <w:rFonts w:hint="cs"/>
          <w:rtl/>
        </w:rPr>
        <w:t xml:space="preserve">היה </w:t>
      </w:r>
      <w:bookmarkStart w:id="456" w:name="_ETM_Q2_426239"/>
      <w:bookmarkEnd w:id="456"/>
      <w:r>
        <w:rPr>
          <w:rFonts w:hint="cs"/>
          <w:rtl/>
        </w:rPr>
        <w:t xml:space="preserve">מעורר </w:t>
      </w:r>
      <w:bookmarkStart w:id="457" w:name="_ETM_Q2_426599"/>
      <w:bookmarkEnd w:id="457"/>
      <w:r>
        <w:rPr>
          <w:rFonts w:hint="cs"/>
          <w:rtl/>
        </w:rPr>
        <w:t xml:space="preserve">שום </w:t>
      </w:r>
      <w:bookmarkStart w:id="458" w:name="_ETM_Q2_426809"/>
      <w:bookmarkEnd w:id="458"/>
      <w:r>
        <w:rPr>
          <w:rFonts w:hint="cs"/>
          <w:rtl/>
        </w:rPr>
        <w:t xml:space="preserve">אמוציות. </w:t>
      </w:r>
      <w:bookmarkStart w:id="459" w:name="_ETM_Q2_427230"/>
      <w:bookmarkEnd w:id="459"/>
      <w:r>
        <w:rPr>
          <w:rFonts w:hint="cs"/>
          <w:rtl/>
        </w:rPr>
        <w:t xml:space="preserve">הסיבה </w:t>
      </w:r>
      <w:bookmarkStart w:id="460" w:name="_ETM_Q2_427650"/>
      <w:bookmarkEnd w:id="460"/>
      <w:r>
        <w:rPr>
          <w:rFonts w:hint="cs"/>
          <w:rtl/>
        </w:rPr>
        <w:t xml:space="preserve">היחידה </w:t>
      </w:r>
      <w:bookmarkStart w:id="461" w:name="_ETM_Q2_428010"/>
      <w:bookmarkEnd w:id="461"/>
      <w:r>
        <w:rPr>
          <w:rFonts w:hint="cs"/>
          <w:rtl/>
        </w:rPr>
        <w:t xml:space="preserve">שהוא </w:t>
      </w:r>
      <w:bookmarkStart w:id="462" w:name="_ETM_Q2_428189"/>
      <w:bookmarkEnd w:id="462"/>
      <w:r>
        <w:rPr>
          <w:rFonts w:hint="cs"/>
          <w:rtl/>
        </w:rPr>
        <w:t xml:space="preserve">מעורר </w:t>
      </w:r>
      <w:bookmarkStart w:id="463" w:name="_ETM_Q2_428519"/>
      <w:bookmarkEnd w:id="463"/>
      <w:r>
        <w:rPr>
          <w:rFonts w:hint="cs"/>
          <w:rtl/>
        </w:rPr>
        <w:t xml:space="preserve">אמוציות </w:t>
      </w:r>
      <w:bookmarkStart w:id="464" w:name="_ETM_Q2_428969"/>
      <w:bookmarkEnd w:id="464"/>
      <w:r>
        <w:rPr>
          <w:rFonts w:hint="cs"/>
          <w:rtl/>
        </w:rPr>
        <w:t xml:space="preserve">מפי </w:t>
      </w:r>
      <w:bookmarkStart w:id="465" w:name="_ETM_Q2_429299"/>
      <w:bookmarkEnd w:id="465"/>
      <w:r>
        <w:rPr>
          <w:rFonts w:hint="cs"/>
          <w:rtl/>
        </w:rPr>
        <w:t xml:space="preserve">האנשים </w:t>
      </w:r>
      <w:bookmarkStart w:id="466" w:name="_ETM_Q2_430439"/>
      <w:bookmarkEnd w:id="466"/>
      <w:r>
        <w:rPr>
          <w:rFonts w:hint="cs"/>
          <w:rtl/>
        </w:rPr>
        <w:t xml:space="preserve">שדיברו </w:t>
      </w:r>
      <w:bookmarkStart w:id="467" w:name="_ETM_Q2_431129"/>
      <w:bookmarkEnd w:id="467"/>
      <w:r>
        <w:rPr>
          <w:rFonts w:hint="cs"/>
          <w:rtl/>
        </w:rPr>
        <w:t xml:space="preserve">ותמכו </w:t>
      </w:r>
      <w:bookmarkStart w:id="468" w:name="_ETM_Q2_431699"/>
      <w:bookmarkEnd w:id="468"/>
      <w:r>
        <w:rPr>
          <w:rFonts w:hint="cs"/>
          <w:rtl/>
        </w:rPr>
        <w:t xml:space="preserve">בו, </w:t>
      </w:r>
      <w:bookmarkStart w:id="469" w:name="_ETM_Q2_432239"/>
      <w:bookmarkEnd w:id="469"/>
      <w:r>
        <w:rPr>
          <w:rFonts w:hint="cs"/>
          <w:rtl/>
        </w:rPr>
        <w:t xml:space="preserve">כמו יושב-ראש </w:t>
      </w:r>
      <w:bookmarkStart w:id="470" w:name="_ETM_Q2_432900"/>
      <w:bookmarkEnd w:id="470"/>
      <w:r>
        <w:rPr>
          <w:rFonts w:hint="cs"/>
          <w:rtl/>
        </w:rPr>
        <w:t xml:space="preserve">האופוזיציה </w:t>
      </w:r>
      <w:bookmarkStart w:id="471" w:name="_ETM_Q2_434339"/>
      <w:bookmarkEnd w:id="471"/>
      <w:r>
        <w:rPr>
          <w:rFonts w:hint="cs"/>
          <w:rtl/>
        </w:rPr>
        <w:t xml:space="preserve">יאיר </w:t>
      </w:r>
      <w:bookmarkStart w:id="472" w:name="_ETM_Q2_434699"/>
      <w:bookmarkEnd w:id="472"/>
      <w:r>
        <w:rPr>
          <w:rFonts w:hint="cs"/>
          <w:rtl/>
        </w:rPr>
        <w:t xml:space="preserve">לפיד, </w:t>
      </w:r>
      <w:bookmarkStart w:id="473" w:name="_ETM_Q2_435629"/>
      <w:bookmarkEnd w:id="473"/>
      <w:r>
        <w:rPr>
          <w:rFonts w:hint="cs"/>
          <w:rtl/>
        </w:rPr>
        <w:t xml:space="preserve">היא </w:t>
      </w:r>
      <w:bookmarkStart w:id="474" w:name="_ETM_Q2_436440"/>
      <w:bookmarkEnd w:id="474"/>
      <w:r>
        <w:rPr>
          <w:rFonts w:hint="cs"/>
          <w:rtl/>
        </w:rPr>
        <w:t xml:space="preserve">סיבה </w:t>
      </w:r>
      <w:bookmarkStart w:id="475" w:name="_ETM_Q2_436889"/>
      <w:bookmarkEnd w:id="475"/>
      <w:r>
        <w:rPr>
          <w:rFonts w:hint="cs"/>
          <w:rtl/>
        </w:rPr>
        <w:t xml:space="preserve">אחת </w:t>
      </w:r>
      <w:bookmarkStart w:id="476" w:name="_ETM_Q2_437250"/>
      <w:bookmarkEnd w:id="476"/>
      <w:r>
        <w:rPr>
          <w:rFonts w:hint="cs"/>
          <w:rtl/>
        </w:rPr>
        <w:t>ויחידה:</w:t>
      </w:r>
      <w:bookmarkStart w:id="477" w:name="_ETM_Q2_438419"/>
      <w:bookmarkEnd w:id="477"/>
      <w:r>
        <w:rPr>
          <w:rFonts w:hint="cs"/>
          <w:rtl/>
        </w:rPr>
        <w:t xml:space="preserve"> הם </w:t>
      </w:r>
      <w:bookmarkStart w:id="478" w:name="_ETM_Q2_438600"/>
      <w:bookmarkEnd w:id="478"/>
      <w:r>
        <w:rPr>
          <w:rFonts w:hint="cs"/>
          <w:rtl/>
        </w:rPr>
        <w:t xml:space="preserve">הפסידו </w:t>
      </w:r>
      <w:bookmarkStart w:id="479" w:name="_ETM_Q2_439020"/>
      <w:bookmarkEnd w:id="479"/>
      <w:r>
        <w:rPr>
          <w:rFonts w:hint="cs"/>
          <w:rtl/>
        </w:rPr>
        <w:t xml:space="preserve">בבחירות, </w:t>
      </w:r>
      <w:bookmarkStart w:id="480" w:name="_ETM_Q2_440010"/>
      <w:bookmarkEnd w:id="480"/>
      <w:r>
        <w:rPr>
          <w:rFonts w:hint="cs"/>
          <w:rtl/>
        </w:rPr>
        <w:t xml:space="preserve">והם </w:t>
      </w:r>
      <w:bookmarkStart w:id="481" w:name="_ETM_Q2_440190"/>
      <w:bookmarkEnd w:id="481"/>
      <w:r>
        <w:rPr>
          <w:rFonts w:hint="cs"/>
          <w:rtl/>
        </w:rPr>
        <w:t xml:space="preserve">יצאו </w:t>
      </w:r>
      <w:bookmarkStart w:id="482" w:name="_ETM_Q2_440430"/>
      <w:bookmarkEnd w:id="482"/>
      <w:r>
        <w:rPr>
          <w:rFonts w:hint="cs"/>
          <w:rtl/>
        </w:rPr>
        <w:t xml:space="preserve">לרחובות </w:t>
      </w:r>
      <w:bookmarkStart w:id="483" w:name="_ETM_Q2_441000"/>
      <w:bookmarkEnd w:id="483"/>
      <w:r>
        <w:rPr>
          <w:rFonts w:hint="cs"/>
          <w:rtl/>
        </w:rPr>
        <w:t xml:space="preserve">כנגד </w:t>
      </w:r>
      <w:bookmarkStart w:id="484" w:name="_ETM_Q2_441779"/>
      <w:bookmarkEnd w:id="484"/>
      <w:r>
        <w:rPr>
          <w:rFonts w:hint="cs"/>
          <w:rtl/>
        </w:rPr>
        <w:t xml:space="preserve">תוצאות </w:t>
      </w:r>
      <w:bookmarkStart w:id="485" w:name="_ETM_Q2_442260"/>
      <w:bookmarkEnd w:id="485"/>
      <w:r>
        <w:rPr>
          <w:rFonts w:hint="cs"/>
          <w:rtl/>
        </w:rPr>
        <w:t xml:space="preserve">הבחירות </w:t>
      </w:r>
      <w:bookmarkStart w:id="486" w:name="_ETM_Q2_442389"/>
      <w:bookmarkStart w:id="487" w:name="_ETM_Q2_442659"/>
      <w:bookmarkEnd w:id="486"/>
      <w:bookmarkEnd w:id="487"/>
      <w:r>
        <w:rPr>
          <w:rFonts w:hint="cs"/>
          <w:rtl/>
        </w:rPr>
        <w:t xml:space="preserve">וכנגד </w:t>
      </w:r>
      <w:bookmarkStart w:id="488" w:name="_ETM_Q2_443080"/>
      <w:bookmarkEnd w:id="488"/>
      <w:r>
        <w:rPr>
          <w:rFonts w:hint="cs"/>
          <w:rtl/>
        </w:rPr>
        <w:t xml:space="preserve">הכרעת </w:t>
      </w:r>
      <w:bookmarkStart w:id="489" w:name="_ETM_Q2_443560"/>
      <w:bookmarkEnd w:id="489"/>
      <w:r>
        <w:rPr>
          <w:rFonts w:hint="cs"/>
          <w:rtl/>
        </w:rPr>
        <w:t xml:space="preserve">העם, </w:t>
      </w:r>
      <w:bookmarkStart w:id="490" w:name="_ETM_Q2_444290"/>
      <w:bookmarkEnd w:id="490"/>
      <w:r>
        <w:rPr>
          <w:rFonts w:hint="cs"/>
          <w:rtl/>
        </w:rPr>
        <w:t xml:space="preserve">לא </w:t>
      </w:r>
      <w:bookmarkStart w:id="491" w:name="_ETM_Q2_445040"/>
      <w:bookmarkEnd w:id="491"/>
      <w:r>
        <w:rPr>
          <w:rFonts w:hint="cs"/>
          <w:rtl/>
        </w:rPr>
        <w:t xml:space="preserve">כנגד </w:t>
      </w:r>
      <w:bookmarkStart w:id="492" w:name="_ETM_Q2_445790"/>
      <w:bookmarkEnd w:id="492"/>
      <w:r>
        <w:rPr>
          <w:rFonts w:hint="cs"/>
          <w:rtl/>
        </w:rPr>
        <w:t xml:space="preserve">תיקון </w:t>
      </w:r>
      <w:bookmarkStart w:id="493" w:name="_ETM_Q2_446120"/>
      <w:bookmarkEnd w:id="493"/>
      <w:r>
        <w:rPr>
          <w:rFonts w:hint="cs"/>
          <w:rtl/>
        </w:rPr>
        <w:t xml:space="preserve">עילת </w:t>
      </w:r>
      <w:bookmarkStart w:id="494" w:name="_ETM_Q2_444743"/>
      <w:bookmarkEnd w:id="494"/>
      <w:r>
        <w:rPr>
          <w:rFonts w:hint="cs"/>
          <w:rtl/>
        </w:rPr>
        <w:t xml:space="preserve">הסבירות, </w:t>
      </w:r>
      <w:bookmarkStart w:id="495" w:name="_ETM_Q2_446300"/>
      <w:bookmarkStart w:id="496" w:name="_ETM_Q2_446360"/>
      <w:bookmarkStart w:id="497" w:name="_ETM_Q2_446779"/>
      <w:bookmarkEnd w:id="495"/>
      <w:bookmarkEnd w:id="496"/>
      <w:bookmarkEnd w:id="497"/>
      <w:r>
        <w:rPr>
          <w:rFonts w:hint="cs"/>
          <w:rtl/>
        </w:rPr>
        <w:t xml:space="preserve">אדוני </w:t>
      </w:r>
      <w:bookmarkStart w:id="498" w:name="_ETM_Q2_447080"/>
      <w:bookmarkEnd w:id="498"/>
      <w:r>
        <w:rPr>
          <w:rFonts w:hint="cs"/>
          <w:rtl/>
        </w:rPr>
        <w:t xml:space="preserve">היושב-ראש. </w:t>
      </w:r>
      <w:bookmarkStart w:id="499" w:name="_ETM_Q2_448569"/>
      <w:bookmarkEnd w:id="499"/>
    </w:p>
    <w:p w:rsidR="000C5C1F" w:rsidRDefault="000C5C1F" w:rsidP="000C5C1F">
      <w:pPr>
        <w:rPr>
          <w:rtl/>
        </w:rPr>
      </w:pPr>
      <w:bookmarkStart w:id="500" w:name="_ETM_Q2_452663"/>
      <w:bookmarkStart w:id="501" w:name="_ETM_Q2_452757"/>
      <w:bookmarkEnd w:id="500"/>
      <w:bookmarkEnd w:id="501"/>
    </w:p>
    <w:p w:rsidR="000C5C1F" w:rsidRDefault="000C5C1F" w:rsidP="000C5C1F">
      <w:pPr>
        <w:rPr>
          <w:rtl/>
        </w:rPr>
      </w:pPr>
      <w:bookmarkStart w:id="502" w:name="_ETM_Q2_452838"/>
      <w:bookmarkStart w:id="503" w:name="_ETM_Q2_452910"/>
      <w:bookmarkEnd w:id="502"/>
      <w:bookmarkEnd w:id="503"/>
      <w:r>
        <w:rPr>
          <w:rFonts w:hint="cs"/>
          <w:rtl/>
        </w:rPr>
        <w:t xml:space="preserve">בכל </w:t>
      </w:r>
      <w:bookmarkStart w:id="504" w:name="_ETM_Q2_448990"/>
      <w:bookmarkEnd w:id="504"/>
      <w:r>
        <w:rPr>
          <w:rFonts w:hint="cs"/>
          <w:rtl/>
        </w:rPr>
        <w:t xml:space="preserve">זאת, </w:t>
      </w:r>
      <w:bookmarkStart w:id="505" w:name="_ETM_Q2_450820"/>
      <w:bookmarkStart w:id="506" w:name="_ETM_Q2_451060"/>
      <w:bookmarkStart w:id="507" w:name="_ETM_Q2_451870"/>
      <w:bookmarkEnd w:id="505"/>
      <w:bookmarkEnd w:id="506"/>
      <w:bookmarkEnd w:id="507"/>
      <w:r>
        <w:rPr>
          <w:rFonts w:hint="cs"/>
          <w:rtl/>
        </w:rPr>
        <w:t xml:space="preserve">אחת </w:t>
      </w:r>
      <w:bookmarkStart w:id="508" w:name="_ETM_Q2_452170"/>
      <w:bookmarkEnd w:id="508"/>
      <w:r>
        <w:rPr>
          <w:rFonts w:hint="cs"/>
          <w:rtl/>
        </w:rPr>
        <w:t xml:space="preserve">השאלות </w:t>
      </w:r>
      <w:bookmarkStart w:id="509" w:name="_ETM_Q2_452560"/>
      <w:bookmarkEnd w:id="509"/>
      <w:r>
        <w:rPr>
          <w:rFonts w:hint="cs"/>
          <w:rtl/>
        </w:rPr>
        <w:t xml:space="preserve">ששאלו </w:t>
      </w:r>
      <w:bookmarkStart w:id="510" w:name="_ETM_Q2_452950"/>
      <w:bookmarkEnd w:id="510"/>
      <w:r>
        <w:rPr>
          <w:rFonts w:hint="cs"/>
          <w:rtl/>
        </w:rPr>
        <w:t xml:space="preserve">אותי </w:t>
      </w:r>
      <w:bookmarkStart w:id="511" w:name="_ETM_Q2_453670"/>
      <w:bookmarkEnd w:id="511"/>
      <w:r>
        <w:rPr>
          <w:rFonts w:hint="cs"/>
          <w:rtl/>
        </w:rPr>
        <w:t xml:space="preserve">פעמים </w:t>
      </w:r>
      <w:bookmarkStart w:id="512" w:name="_ETM_Q2_454089"/>
      <w:bookmarkEnd w:id="512"/>
      <w:r>
        <w:rPr>
          <w:rFonts w:hint="cs"/>
          <w:rtl/>
        </w:rPr>
        <w:t xml:space="preserve">רבות </w:t>
      </w:r>
      <w:bookmarkStart w:id="513" w:name="_ETM_Q2_455029"/>
      <w:bookmarkStart w:id="514" w:name="_ETM_Q2_456480"/>
      <w:bookmarkEnd w:id="513"/>
      <w:bookmarkEnd w:id="514"/>
      <w:r>
        <w:rPr>
          <w:rFonts w:hint="cs"/>
          <w:rtl/>
        </w:rPr>
        <w:t xml:space="preserve">היא: למה </w:t>
      </w:r>
      <w:bookmarkStart w:id="515" w:name="_ETM_Q2_456900"/>
      <w:bookmarkEnd w:id="515"/>
      <w:r>
        <w:rPr>
          <w:rFonts w:hint="cs"/>
          <w:rtl/>
        </w:rPr>
        <w:t xml:space="preserve">אתם </w:t>
      </w:r>
      <w:bookmarkStart w:id="516" w:name="_ETM_Q2_457080"/>
      <w:bookmarkEnd w:id="516"/>
      <w:r>
        <w:rPr>
          <w:rFonts w:hint="cs"/>
          <w:rtl/>
        </w:rPr>
        <w:t xml:space="preserve">צריכים </w:t>
      </w:r>
      <w:bookmarkStart w:id="517" w:name="_ETM_Q2_457440"/>
      <w:bookmarkEnd w:id="517"/>
      <w:r>
        <w:rPr>
          <w:rFonts w:hint="cs"/>
          <w:rtl/>
        </w:rPr>
        <w:t xml:space="preserve">לבטל </w:t>
      </w:r>
      <w:bookmarkStart w:id="518" w:name="_ETM_Q2_458070"/>
      <w:bookmarkEnd w:id="518"/>
      <w:r>
        <w:rPr>
          <w:rFonts w:hint="cs"/>
          <w:rtl/>
        </w:rPr>
        <w:t xml:space="preserve">את </w:t>
      </w:r>
      <w:bookmarkStart w:id="519" w:name="_ETM_Q2_458130"/>
      <w:bookmarkEnd w:id="519"/>
      <w:r>
        <w:rPr>
          <w:rFonts w:hint="cs"/>
          <w:rtl/>
        </w:rPr>
        <w:t xml:space="preserve">הסבירות? </w:t>
      </w:r>
      <w:bookmarkStart w:id="520" w:name="_ETM_Q2_458550"/>
      <w:bookmarkEnd w:id="520"/>
      <w:r>
        <w:rPr>
          <w:rFonts w:hint="cs"/>
          <w:rtl/>
        </w:rPr>
        <w:t>אילו</w:t>
      </w:r>
      <w:bookmarkStart w:id="521" w:name="_ETM_Q2_458880"/>
      <w:bookmarkEnd w:id="521"/>
      <w:r>
        <w:rPr>
          <w:rFonts w:hint="cs"/>
          <w:rtl/>
        </w:rPr>
        <w:t xml:space="preserve"> דברים </w:t>
      </w:r>
      <w:bookmarkStart w:id="522" w:name="_ETM_Q2_459210"/>
      <w:bookmarkEnd w:id="522"/>
      <w:r>
        <w:rPr>
          <w:rFonts w:hint="cs"/>
          <w:rtl/>
        </w:rPr>
        <w:t xml:space="preserve">שאתם </w:t>
      </w:r>
      <w:bookmarkStart w:id="523" w:name="_ETM_Q2_459419"/>
      <w:bookmarkEnd w:id="523"/>
      <w:r>
        <w:rPr>
          <w:rFonts w:hint="cs"/>
          <w:rtl/>
        </w:rPr>
        <w:t xml:space="preserve">רוצים </w:t>
      </w:r>
      <w:bookmarkStart w:id="524" w:name="_ETM_Q2_459720"/>
      <w:bookmarkEnd w:id="524"/>
      <w:r>
        <w:rPr>
          <w:rFonts w:hint="cs"/>
          <w:rtl/>
        </w:rPr>
        <w:t xml:space="preserve">לעשות? </w:t>
      </w:r>
      <w:bookmarkStart w:id="525" w:name="_ETM_Q2_460450"/>
      <w:bookmarkEnd w:id="525"/>
      <w:r>
        <w:rPr>
          <w:rFonts w:hint="cs"/>
          <w:rtl/>
        </w:rPr>
        <w:t xml:space="preserve">אתם </w:t>
      </w:r>
      <w:bookmarkStart w:id="526" w:name="_ETM_Q2_460870"/>
      <w:bookmarkEnd w:id="526"/>
      <w:r>
        <w:rPr>
          <w:rFonts w:hint="cs"/>
          <w:rtl/>
        </w:rPr>
        <w:t xml:space="preserve">רוצים </w:t>
      </w:r>
      <w:bookmarkStart w:id="527" w:name="_ETM_Q2_461110"/>
      <w:bookmarkEnd w:id="527"/>
      <w:r>
        <w:rPr>
          <w:rFonts w:hint="cs"/>
          <w:rtl/>
        </w:rPr>
        <w:t xml:space="preserve">להיות </w:t>
      </w:r>
      <w:bookmarkStart w:id="528" w:name="_ETM_Q2_461320"/>
      <w:bookmarkEnd w:id="528"/>
      <w:r>
        <w:rPr>
          <w:rFonts w:hint="cs"/>
          <w:rtl/>
        </w:rPr>
        <w:t xml:space="preserve">לא </w:t>
      </w:r>
      <w:bookmarkStart w:id="529" w:name="_ETM_Q2_461440"/>
      <w:bookmarkEnd w:id="529"/>
      <w:r>
        <w:rPr>
          <w:rFonts w:hint="cs"/>
          <w:rtl/>
        </w:rPr>
        <w:t xml:space="preserve">סבירים? </w:t>
      </w:r>
      <w:bookmarkStart w:id="530" w:name="_ETM_Q2_461950"/>
      <w:bookmarkEnd w:id="530"/>
      <w:r>
        <w:rPr>
          <w:rFonts w:hint="cs"/>
          <w:rtl/>
        </w:rPr>
        <w:t xml:space="preserve">לא </w:t>
      </w:r>
      <w:bookmarkStart w:id="531" w:name="_ETM_Q2_462070"/>
      <w:bookmarkEnd w:id="531"/>
      <w:r>
        <w:rPr>
          <w:rFonts w:hint="cs"/>
          <w:rtl/>
        </w:rPr>
        <w:t xml:space="preserve">הבנתי. </w:t>
      </w:r>
      <w:bookmarkStart w:id="532" w:name="_ETM_Q2_463120"/>
      <w:bookmarkEnd w:id="532"/>
      <w:r>
        <w:rPr>
          <w:rFonts w:hint="cs"/>
          <w:rtl/>
        </w:rPr>
        <w:t xml:space="preserve">אם </w:t>
      </w:r>
      <w:bookmarkStart w:id="533" w:name="_ETM_Q2_463330"/>
      <w:bookmarkEnd w:id="533"/>
      <w:r>
        <w:rPr>
          <w:rFonts w:hint="cs"/>
          <w:rtl/>
        </w:rPr>
        <w:t xml:space="preserve">נבטל </w:t>
      </w:r>
      <w:bookmarkStart w:id="534" w:name="_ETM_Q2_464080"/>
      <w:bookmarkEnd w:id="534"/>
      <w:r>
        <w:rPr>
          <w:rFonts w:hint="cs"/>
          <w:rtl/>
        </w:rPr>
        <w:t xml:space="preserve">את </w:t>
      </w:r>
      <w:bookmarkStart w:id="535" w:name="_ETM_Q2_464230"/>
      <w:bookmarkEnd w:id="535"/>
      <w:r>
        <w:rPr>
          <w:rFonts w:hint="cs"/>
          <w:rtl/>
        </w:rPr>
        <w:t xml:space="preserve">עילת </w:t>
      </w:r>
      <w:bookmarkStart w:id="536" w:name="_ETM_Q2_464500"/>
      <w:bookmarkEnd w:id="536"/>
      <w:r>
        <w:rPr>
          <w:rFonts w:hint="cs"/>
          <w:rtl/>
        </w:rPr>
        <w:t xml:space="preserve">הסבירות </w:t>
      </w:r>
      <w:bookmarkStart w:id="537" w:name="_ETM_Q2_464950"/>
      <w:bookmarkEnd w:id="537"/>
      <w:r>
        <w:rPr>
          <w:rFonts w:hint="cs"/>
          <w:rtl/>
        </w:rPr>
        <w:t xml:space="preserve">– כמובן, </w:t>
      </w:r>
      <w:bookmarkStart w:id="538" w:name="_ETM_Q2_465580"/>
      <w:bookmarkEnd w:id="538"/>
      <w:r>
        <w:rPr>
          <w:rFonts w:hint="cs"/>
          <w:rtl/>
        </w:rPr>
        <w:t xml:space="preserve">לא </w:t>
      </w:r>
      <w:bookmarkStart w:id="539" w:name="_ETM_Q2_465760"/>
      <w:bookmarkEnd w:id="539"/>
      <w:r>
        <w:rPr>
          <w:rFonts w:hint="cs"/>
          <w:rtl/>
        </w:rPr>
        <w:t xml:space="preserve">נבטל; </w:t>
      </w:r>
      <w:bookmarkStart w:id="540" w:name="_ETM_Q2_466660"/>
      <w:bookmarkEnd w:id="540"/>
      <w:r>
        <w:rPr>
          <w:rFonts w:hint="cs"/>
          <w:rtl/>
        </w:rPr>
        <w:t xml:space="preserve">נצמצם </w:t>
      </w:r>
      <w:bookmarkStart w:id="541" w:name="_ETM_Q2_467560"/>
      <w:bookmarkEnd w:id="541"/>
      <w:r>
        <w:rPr>
          <w:rFonts w:hint="cs"/>
          <w:rtl/>
        </w:rPr>
        <w:t xml:space="preserve">כך </w:t>
      </w:r>
      <w:bookmarkStart w:id="542" w:name="_ETM_Q2_467740"/>
      <w:bookmarkEnd w:id="542"/>
      <w:r>
        <w:rPr>
          <w:rFonts w:hint="cs"/>
          <w:rtl/>
        </w:rPr>
        <w:t xml:space="preserve">שהיא </w:t>
      </w:r>
      <w:bookmarkStart w:id="543" w:name="_ETM_Q2_467890"/>
      <w:bookmarkEnd w:id="543"/>
      <w:r>
        <w:rPr>
          <w:rFonts w:hint="cs"/>
          <w:rtl/>
        </w:rPr>
        <w:t xml:space="preserve">לא </w:t>
      </w:r>
      <w:bookmarkStart w:id="544" w:name="_ETM_Q2_467980"/>
      <w:bookmarkEnd w:id="544"/>
      <w:r>
        <w:rPr>
          <w:rFonts w:hint="cs"/>
          <w:rtl/>
        </w:rPr>
        <w:t xml:space="preserve">תחול </w:t>
      </w:r>
      <w:bookmarkStart w:id="545" w:name="_ETM_Q2_468790"/>
      <w:bookmarkEnd w:id="545"/>
      <w:r>
        <w:rPr>
          <w:rFonts w:hint="cs"/>
          <w:rtl/>
        </w:rPr>
        <w:t xml:space="preserve">על </w:t>
      </w:r>
      <w:bookmarkStart w:id="546" w:name="_ETM_Q2_468940"/>
      <w:bookmarkEnd w:id="546"/>
      <w:r>
        <w:rPr>
          <w:rFonts w:hint="cs"/>
          <w:rtl/>
        </w:rPr>
        <w:t xml:space="preserve">החלטות </w:t>
      </w:r>
      <w:bookmarkStart w:id="547" w:name="_ETM_Q2_469420"/>
      <w:bookmarkEnd w:id="547"/>
      <w:r>
        <w:rPr>
          <w:rFonts w:hint="cs"/>
          <w:rtl/>
        </w:rPr>
        <w:t xml:space="preserve">של </w:t>
      </w:r>
      <w:bookmarkStart w:id="548" w:name="_ETM_Q2_469570"/>
      <w:bookmarkEnd w:id="548"/>
      <w:r>
        <w:rPr>
          <w:rFonts w:hint="cs"/>
          <w:rtl/>
        </w:rPr>
        <w:t xml:space="preserve">נבחרי </w:t>
      </w:r>
      <w:bookmarkStart w:id="549" w:name="_ETM_Q2_469960"/>
      <w:bookmarkEnd w:id="549"/>
      <w:r>
        <w:rPr>
          <w:rFonts w:hint="cs"/>
          <w:rtl/>
        </w:rPr>
        <w:t xml:space="preserve">ציבור </w:t>
      </w:r>
      <w:bookmarkStart w:id="550" w:name="_ETM_Q2_470970"/>
      <w:bookmarkEnd w:id="550"/>
      <w:r>
        <w:rPr>
          <w:rFonts w:hint="cs"/>
          <w:rtl/>
        </w:rPr>
        <w:t>– מה</w:t>
      </w:r>
      <w:bookmarkStart w:id="551" w:name="_ETM_Q2_471300"/>
      <w:bookmarkEnd w:id="551"/>
      <w:r>
        <w:rPr>
          <w:rFonts w:hint="cs"/>
          <w:rtl/>
        </w:rPr>
        <w:t xml:space="preserve">ן </w:t>
      </w:r>
      <w:bookmarkStart w:id="552" w:name="_ETM_Q2_471449"/>
      <w:bookmarkEnd w:id="552"/>
      <w:r>
        <w:rPr>
          <w:rFonts w:hint="cs"/>
          <w:rtl/>
        </w:rPr>
        <w:t xml:space="preserve">אותן </w:t>
      </w:r>
      <w:bookmarkStart w:id="553" w:name="_ETM_Q2_471750"/>
      <w:bookmarkEnd w:id="553"/>
      <w:r>
        <w:rPr>
          <w:rFonts w:hint="cs"/>
          <w:rtl/>
        </w:rPr>
        <w:t xml:space="preserve">החלטות? </w:t>
      </w:r>
      <w:bookmarkStart w:id="554" w:name="_ETM_Q2_472770"/>
      <w:bookmarkEnd w:id="554"/>
      <w:r>
        <w:rPr>
          <w:rFonts w:hint="cs"/>
          <w:rtl/>
        </w:rPr>
        <w:t xml:space="preserve">אדוני </w:t>
      </w:r>
      <w:bookmarkStart w:id="555" w:name="_ETM_Q2_473160"/>
      <w:bookmarkEnd w:id="555"/>
      <w:r>
        <w:rPr>
          <w:rFonts w:hint="cs"/>
          <w:rtl/>
        </w:rPr>
        <w:t xml:space="preserve">השר </w:t>
      </w:r>
      <w:bookmarkStart w:id="556" w:name="_ETM_Q2_473490"/>
      <w:bookmarkEnd w:id="556"/>
      <w:r>
        <w:rPr>
          <w:rFonts w:hint="cs"/>
          <w:rtl/>
        </w:rPr>
        <w:t xml:space="preserve">אלי </w:t>
      </w:r>
      <w:bookmarkStart w:id="557" w:name="_ETM_Q2_473699"/>
      <w:bookmarkEnd w:id="557"/>
      <w:r>
        <w:rPr>
          <w:rFonts w:hint="cs"/>
          <w:rtl/>
        </w:rPr>
        <w:t xml:space="preserve">כהן, </w:t>
      </w:r>
      <w:bookmarkStart w:id="558" w:name="_ETM_Q2_473940"/>
      <w:bookmarkEnd w:id="558"/>
      <w:r>
        <w:rPr>
          <w:rFonts w:hint="cs"/>
          <w:rtl/>
        </w:rPr>
        <w:t xml:space="preserve">יש </w:t>
      </w:r>
      <w:bookmarkStart w:id="559" w:name="_ETM_Q2_474060"/>
      <w:bookmarkEnd w:id="559"/>
      <w:r>
        <w:rPr>
          <w:rFonts w:hint="cs"/>
          <w:rtl/>
        </w:rPr>
        <w:t xml:space="preserve">לי </w:t>
      </w:r>
      <w:bookmarkStart w:id="560" w:name="_ETM_Q2_474180"/>
      <w:bookmarkEnd w:id="560"/>
      <w:r>
        <w:rPr>
          <w:rFonts w:hint="cs"/>
          <w:rtl/>
        </w:rPr>
        <w:t xml:space="preserve">שאלה </w:t>
      </w:r>
      <w:bookmarkStart w:id="561" w:name="_ETM_Q2_474510"/>
      <w:bookmarkEnd w:id="561"/>
      <w:r>
        <w:rPr>
          <w:rFonts w:hint="cs"/>
          <w:rtl/>
        </w:rPr>
        <w:t xml:space="preserve">אליך: </w:t>
      </w:r>
      <w:bookmarkStart w:id="562" w:name="_ETM_Q2_475680"/>
      <w:bookmarkEnd w:id="562"/>
      <w:r>
        <w:rPr>
          <w:rFonts w:hint="cs"/>
          <w:rtl/>
        </w:rPr>
        <w:t xml:space="preserve">איזה </w:t>
      </w:r>
      <w:bookmarkStart w:id="563" w:name="_ETM_Q2_475949"/>
      <w:bookmarkEnd w:id="563"/>
      <w:r>
        <w:rPr>
          <w:rFonts w:hint="cs"/>
          <w:rtl/>
        </w:rPr>
        <w:t xml:space="preserve">דבר </w:t>
      </w:r>
      <w:bookmarkStart w:id="564" w:name="_ETM_Q2_476249"/>
      <w:bookmarkEnd w:id="564"/>
      <w:r>
        <w:rPr>
          <w:rFonts w:hint="cs"/>
          <w:rtl/>
        </w:rPr>
        <w:t xml:space="preserve">בלתי </w:t>
      </w:r>
      <w:bookmarkStart w:id="565" w:name="_ETM_Q2_476580"/>
      <w:bookmarkEnd w:id="565"/>
      <w:r>
        <w:rPr>
          <w:rFonts w:hint="cs"/>
          <w:rtl/>
        </w:rPr>
        <w:t xml:space="preserve">סביר </w:t>
      </w:r>
      <w:bookmarkStart w:id="566" w:name="_ETM_Q2_476879"/>
      <w:bookmarkEnd w:id="566"/>
      <w:r>
        <w:rPr>
          <w:rFonts w:hint="cs"/>
          <w:rtl/>
        </w:rPr>
        <w:t xml:space="preserve">אתה </w:t>
      </w:r>
      <w:bookmarkStart w:id="567" w:name="_ETM_Q2_477029"/>
      <w:bookmarkEnd w:id="567"/>
      <w:r>
        <w:rPr>
          <w:rFonts w:hint="cs"/>
          <w:rtl/>
        </w:rPr>
        <w:t xml:space="preserve">מתכנן </w:t>
      </w:r>
      <w:bookmarkStart w:id="568" w:name="_ETM_Q2_477389"/>
      <w:bookmarkEnd w:id="568"/>
      <w:r>
        <w:rPr>
          <w:rFonts w:hint="cs"/>
          <w:rtl/>
        </w:rPr>
        <w:t xml:space="preserve">לעשות </w:t>
      </w:r>
      <w:bookmarkStart w:id="569" w:name="_ETM_Q2_477749"/>
      <w:bookmarkEnd w:id="569"/>
      <w:r>
        <w:rPr>
          <w:rFonts w:hint="cs"/>
          <w:rtl/>
        </w:rPr>
        <w:t xml:space="preserve">מייד </w:t>
      </w:r>
      <w:bookmarkStart w:id="570" w:name="_ETM_Q2_477990"/>
      <w:bookmarkEnd w:id="570"/>
      <w:r>
        <w:rPr>
          <w:rFonts w:hint="cs"/>
          <w:rtl/>
        </w:rPr>
        <w:t xml:space="preserve">אחרי </w:t>
      </w:r>
      <w:bookmarkStart w:id="571" w:name="_ETM_Q2_478169"/>
      <w:bookmarkEnd w:id="571"/>
      <w:r>
        <w:rPr>
          <w:rFonts w:hint="cs"/>
          <w:rtl/>
        </w:rPr>
        <w:t xml:space="preserve">שהחוק </w:t>
      </w:r>
      <w:bookmarkStart w:id="572" w:name="_ETM_Q2_478499"/>
      <w:bookmarkEnd w:id="572"/>
      <w:r>
        <w:rPr>
          <w:rFonts w:hint="cs"/>
          <w:rtl/>
        </w:rPr>
        <w:t xml:space="preserve">הזה </w:t>
      </w:r>
      <w:bookmarkStart w:id="573" w:name="_ETM_Q2_478680"/>
      <w:bookmarkEnd w:id="573"/>
      <w:r>
        <w:rPr>
          <w:rFonts w:hint="cs"/>
          <w:rtl/>
        </w:rPr>
        <w:t xml:space="preserve">עובר? </w:t>
      </w:r>
      <w:bookmarkStart w:id="574" w:name="_ETM_Q2_478949"/>
      <w:bookmarkEnd w:id="574"/>
      <w:r>
        <w:rPr>
          <w:rFonts w:hint="cs"/>
          <w:rtl/>
        </w:rPr>
        <w:t xml:space="preserve">והתשובה </w:t>
      </w:r>
      <w:bookmarkStart w:id="575" w:name="_ETM_Q2_479430"/>
      <w:bookmarkEnd w:id="575"/>
      <w:r>
        <w:rPr>
          <w:rFonts w:hint="cs"/>
          <w:rtl/>
        </w:rPr>
        <w:t xml:space="preserve">היא: </w:t>
      </w:r>
      <w:bookmarkStart w:id="576" w:name="_ETM_Q2_479939"/>
      <w:bookmarkEnd w:id="576"/>
      <w:r>
        <w:rPr>
          <w:rFonts w:hint="cs"/>
          <w:rtl/>
        </w:rPr>
        <w:t xml:space="preserve">אתה </w:t>
      </w:r>
      <w:bookmarkStart w:id="577" w:name="_ETM_Q2_480150"/>
      <w:bookmarkEnd w:id="577"/>
      <w:r>
        <w:rPr>
          <w:rFonts w:hint="cs"/>
          <w:rtl/>
        </w:rPr>
        <w:t xml:space="preserve">מתכנן </w:t>
      </w:r>
      <w:bookmarkStart w:id="578" w:name="_ETM_Q2_480509"/>
      <w:bookmarkEnd w:id="578"/>
      <w:r>
        <w:rPr>
          <w:rFonts w:hint="cs"/>
          <w:rtl/>
        </w:rPr>
        <w:t xml:space="preserve">לעשות </w:t>
      </w:r>
      <w:bookmarkStart w:id="579" w:name="_ETM_Q2_480749"/>
      <w:bookmarkEnd w:id="579"/>
      <w:r>
        <w:rPr>
          <w:rFonts w:hint="cs"/>
          <w:rtl/>
        </w:rPr>
        <w:t xml:space="preserve">את </w:t>
      </w:r>
      <w:bookmarkStart w:id="580" w:name="_ETM_Q2_480869"/>
      <w:bookmarkEnd w:id="580"/>
      <w:r>
        <w:rPr>
          <w:rFonts w:hint="cs"/>
          <w:rtl/>
        </w:rPr>
        <w:t xml:space="preserve">כל </w:t>
      </w:r>
      <w:bookmarkStart w:id="581" w:name="_ETM_Q2_481020"/>
      <w:bookmarkEnd w:id="581"/>
      <w:r>
        <w:rPr>
          <w:rFonts w:hint="cs"/>
          <w:rtl/>
        </w:rPr>
        <w:t xml:space="preserve">הדברים </w:t>
      </w:r>
      <w:bookmarkStart w:id="582" w:name="_ETM_Q2_480000"/>
      <w:bookmarkEnd w:id="582"/>
      <w:r>
        <w:rPr>
          <w:rFonts w:hint="cs"/>
          <w:rtl/>
        </w:rPr>
        <w:t xml:space="preserve">הסבירים, </w:t>
      </w:r>
      <w:bookmarkStart w:id="583" w:name="_ETM_Q2_480539"/>
      <w:bookmarkStart w:id="584" w:name="_ETM_Q2_480779"/>
      <w:bookmarkStart w:id="585" w:name="_ETM_Q2_481110"/>
      <w:bookmarkStart w:id="586" w:name="_ETM_Q2_481350"/>
      <w:bookmarkStart w:id="587" w:name="_ETM_Q2_481469"/>
      <w:bookmarkStart w:id="588" w:name="_ETM_Q2_481650"/>
      <w:bookmarkStart w:id="589" w:name="_ETM_Q2_481979"/>
      <w:bookmarkStart w:id="590" w:name="_ETM_Q2_482460"/>
      <w:bookmarkEnd w:id="583"/>
      <w:bookmarkEnd w:id="584"/>
      <w:bookmarkEnd w:id="585"/>
      <w:bookmarkEnd w:id="586"/>
      <w:bookmarkEnd w:id="587"/>
      <w:bookmarkEnd w:id="588"/>
      <w:bookmarkEnd w:id="589"/>
      <w:bookmarkEnd w:id="590"/>
      <w:r>
        <w:rPr>
          <w:rFonts w:hint="cs"/>
          <w:rtl/>
        </w:rPr>
        <w:t xml:space="preserve">רק </w:t>
      </w:r>
      <w:bookmarkStart w:id="591" w:name="_ETM_Q2_482610"/>
      <w:bookmarkEnd w:id="591"/>
      <w:r>
        <w:rPr>
          <w:rFonts w:hint="cs"/>
          <w:rtl/>
        </w:rPr>
        <w:t xml:space="preserve">שאתה </w:t>
      </w:r>
      <w:bookmarkStart w:id="592" w:name="_ETM_Q2_483399"/>
      <w:bookmarkEnd w:id="592"/>
      <w:r>
        <w:rPr>
          <w:rFonts w:hint="cs"/>
          <w:rtl/>
        </w:rPr>
        <w:t xml:space="preserve">וציבור </w:t>
      </w:r>
      <w:bookmarkStart w:id="593" w:name="_ETM_Q2_483969"/>
      <w:bookmarkEnd w:id="593"/>
      <w:r>
        <w:rPr>
          <w:rFonts w:hint="cs"/>
          <w:rtl/>
        </w:rPr>
        <w:t xml:space="preserve">בוחריך </w:t>
      </w:r>
      <w:bookmarkStart w:id="594" w:name="_ETM_Q2_484960"/>
      <w:bookmarkEnd w:id="594"/>
      <w:r>
        <w:rPr>
          <w:rFonts w:hint="cs"/>
          <w:rtl/>
        </w:rPr>
        <w:t xml:space="preserve">יחליטו </w:t>
      </w:r>
      <w:bookmarkStart w:id="595" w:name="_ETM_Q2_486069"/>
      <w:bookmarkEnd w:id="595"/>
      <w:r>
        <w:rPr>
          <w:rFonts w:hint="cs"/>
          <w:rtl/>
        </w:rPr>
        <w:t xml:space="preserve">מהו </w:t>
      </w:r>
      <w:bookmarkStart w:id="596" w:name="_ETM_Q2_486460"/>
      <w:bookmarkEnd w:id="596"/>
      <w:r>
        <w:rPr>
          <w:rFonts w:hint="cs"/>
          <w:rtl/>
        </w:rPr>
        <w:t xml:space="preserve">הדבר </w:t>
      </w:r>
      <w:bookmarkStart w:id="597" w:name="_ETM_Q2_486819"/>
      <w:bookmarkEnd w:id="597"/>
      <w:r>
        <w:rPr>
          <w:rFonts w:hint="cs"/>
          <w:rtl/>
        </w:rPr>
        <w:t xml:space="preserve">הסביר. </w:t>
      </w:r>
      <w:bookmarkStart w:id="598" w:name="_ETM_Q2_487509"/>
      <w:bookmarkEnd w:id="598"/>
    </w:p>
    <w:p w:rsidR="000C5C1F" w:rsidRDefault="000C5C1F" w:rsidP="000C5C1F">
      <w:pPr>
        <w:rPr>
          <w:rtl/>
        </w:rPr>
      </w:pPr>
      <w:bookmarkStart w:id="599" w:name="_ETM_Q2_490325"/>
      <w:bookmarkStart w:id="600" w:name="_ETM_Q2_490405"/>
      <w:bookmarkEnd w:id="599"/>
      <w:bookmarkEnd w:id="600"/>
    </w:p>
    <w:p w:rsidR="000C5C1F" w:rsidRDefault="000C5C1F" w:rsidP="000C5C1F">
      <w:pPr>
        <w:rPr>
          <w:rtl/>
        </w:rPr>
      </w:pPr>
      <w:bookmarkStart w:id="601" w:name="_ETM_Q2_490501"/>
      <w:bookmarkStart w:id="602" w:name="_ETM_Q2_490566"/>
      <w:bookmarkEnd w:id="601"/>
      <w:bookmarkEnd w:id="602"/>
      <w:r>
        <w:rPr>
          <w:rFonts w:hint="cs"/>
          <w:rtl/>
        </w:rPr>
        <w:t xml:space="preserve">אז </w:t>
      </w:r>
      <w:bookmarkStart w:id="603" w:name="_ETM_Q2_487689"/>
      <w:bookmarkEnd w:id="603"/>
      <w:r>
        <w:rPr>
          <w:rFonts w:hint="cs"/>
          <w:rtl/>
        </w:rPr>
        <w:t xml:space="preserve">אני </w:t>
      </w:r>
      <w:bookmarkStart w:id="604" w:name="_ETM_Q2_487810"/>
      <w:bookmarkEnd w:id="604"/>
      <w:r>
        <w:rPr>
          <w:rFonts w:hint="cs"/>
          <w:rtl/>
        </w:rPr>
        <w:t xml:space="preserve">רוצה </w:t>
      </w:r>
      <w:bookmarkStart w:id="605" w:name="_ETM_Q2_488019"/>
      <w:bookmarkEnd w:id="605"/>
      <w:r>
        <w:rPr>
          <w:rFonts w:hint="cs"/>
          <w:rtl/>
        </w:rPr>
        <w:t xml:space="preserve">לתת </w:t>
      </w:r>
      <w:bookmarkStart w:id="606" w:name="_ETM_Q2_488260"/>
      <w:bookmarkEnd w:id="606"/>
      <w:r>
        <w:rPr>
          <w:rFonts w:hint="cs"/>
          <w:rtl/>
        </w:rPr>
        <w:t xml:space="preserve">דוגמאות </w:t>
      </w:r>
      <w:bookmarkStart w:id="607" w:name="_ETM_Q2_488740"/>
      <w:bookmarkEnd w:id="607"/>
      <w:r>
        <w:rPr>
          <w:rFonts w:hint="cs"/>
          <w:rtl/>
        </w:rPr>
        <w:t xml:space="preserve">בקצרה, </w:t>
      </w:r>
      <w:bookmarkStart w:id="608" w:name="_ETM_Q2_489250"/>
      <w:bookmarkEnd w:id="608"/>
      <w:r>
        <w:rPr>
          <w:rFonts w:hint="cs"/>
          <w:rtl/>
        </w:rPr>
        <w:t xml:space="preserve">וכמובן </w:t>
      </w:r>
      <w:bookmarkStart w:id="609" w:name="_ETM_Q2_490150"/>
      <w:bookmarkEnd w:id="609"/>
      <w:r>
        <w:rPr>
          <w:rFonts w:hint="cs"/>
          <w:rtl/>
        </w:rPr>
        <w:t>להודות</w:t>
      </w:r>
      <w:bookmarkStart w:id="610" w:name="_ETM_Q2_491610"/>
      <w:bookmarkEnd w:id="610"/>
      <w:r>
        <w:rPr>
          <w:rFonts w:hint="cs"/>
          <w:rtl/>
        </w:rPr>
        <w:t xml:space="preserve"> במסגרת </w:t>
      </w:r>
      <w:bookmarkStart w:id="611" w:name="_ETM_Q2_492360"/>
      <w:bookmarkEnd w:id="611"/>
      <w:r>
        <w:rPr>
          <w:rFonts w:hint="cs"/>
          <w:rtl/>
        </w:rPr>
        <w:t xml:space="preserve">הגילוי </w:t>
      </w:r>
      <w:bookmarkStart w:id="612" w:name="_ETM_Q2_492690"/>
      <w:bookmarkEnd w:id="612"/>
      <w:r>
        <w:rPr>
          <w:rFonts w:hint="cs"/>
          <w:rtl/>
        </w:rPr>
        <w:t xml:space="preserve">הנאות </w:t>
      </w:r>
      <w:bookmarkStart w:id="613" w:name="_ETM_Q2_493410"/>
      <w:bookmarkEnd w:id="613"/>
      <w:r>
        <w:rPr>
          <w:rFonts w:hint="cs"/>
          <w:rtl/>
        </w:rPr>
        <w:t xml:space="preserve">לתנועה </w:t>
      </w:r>
      <w:bookmarkStart w:id="614" w:name="_ETM_Q2_493769"/>
      <w:bookmarkEnd w:id="614"/>
      <w:r>
        <w:rPr>
          <w:rFonts w:hint="cs"/>
          <w:rtl/>
        </w:rPr>
        <w:t xml:space="preserve">שאני </w:t>
      </w:r>
      <w:bookmarkStart w:id="615" w:name="_ETM_Q2_494039"/>
      <w:bookmarkEnd w:id="615"/>
      <w:r>
        <w:rPr>
          <w:rFonts w:hint="cs"/>
          <w:rtl/>
        </w:rPr>
        <w:t xml:space="preserve">הקמתי </w:t>
      </w:r>
      <w:bookmarkStart w:id="616" w:name="_ETM_Q2_494459"/>
      <w:bookmarkEnd w:id="616"/>
      <w:r>
        <w:rPr>
          <w:rFonts w:hint="cs"/>
          <w:rtl/>
        </w:rPr>
        <w:t xml:space="preserve">והייתי </w:t>
      </w:r>
      <w:bookmarkStart w:id="617" w:name="_ETM_Q2_494699"/>
      <w:bookmarkEnd w:id="617"/>
      <w:r>
        <w:rPr>
          <w:rFonts w:hint="cs"/>
          <w:rtl/>
        </w:rPr>
        <w:t xml:space="preserve">היועץ </w:t>
      </w:r>
      <w:bookmarkStart w:id="618" w:name="_ETM_Q2_494879"/>
      <w:bookmarkEnd w:id="618"/>
      <w:r>
        <w:rPr>
          <w:rFonts w:hint="cs"/>
          <w:rtl/>
        </w:rPr>
        <w:t xml:space="preserve">המשפטי </w:t>
      </w:r>
      <w:bookmarkStart w:id="619" w:name="_ETM_Q2_495269"/>
      <w:bookmarkEnd w:id="619"/>
      <w:r>
        <w:rPr>
          <w:rFonts w:hint="cs"/>
          <w:rtl/>
        </w:rPr>
        <w:t>שלה</w:t>
      </w:r>
      <w:bookmarkStart w:id="620" w:name="_ETM_Q2_495449"/>
      <w:bookmarkEnd w:id="620"/>
      <w:r>
        <w:rPr>
          <w:rFonts w:hint="cs"/>
          <w:rtl/>
        </w:rPr>
        <w:t xml:space="preserve">, התנועה </w:t>
      </w:r>
      <w:bookmarkStart w:id="621" w:name="_ETM_Q2_495689"/>
      <w:bookmarkEnd w:id="621"/>
      <w:r>
        <w:rPr>
          <w:rFonts w:hint="cs"/>
          <w:rtl/>
        </w:rPr>
        <w:t xml:space="preserve">למשילות, </w:t>
      </w:r>
      <w:bookmarkStart w:id="622" w:name="_ETM_Q2_496109"/>
      <w:bookmarkEnd w:id="622"/>
      <w:r>
        <w:rPr>
          <w:rFonts w:hint="cs"/>
          <w:rtl/>
        </w:rPr>
        <w:t xml:space="preserve">שהכינה </w:t>
      </w:r>
      <w:bookmarkStart w:id="623" w:name="_ETM_Q2_496410"/>
      <w:bookmarkEnd w:id="623"/>
      <w:r>
        <w:rPr>
          <w:rFonts w:hint="cs"/>
          <w:rtl/>
        </w:rPr>
        <w:t xml:space="preserve">גם </w:t>
      </w:r>
      <w:bookmarkStart w:id="624" w:name="_ETM_Q2_496560"/>
      <w:bookmarkEnd w:id="624"/>
      <w:r>
        <w:rPr>
          <w:rFonts w:hint="cs"/>
          <w:rtl/>
        </w:rPr>
        <w:t xml:space="preserve">רשימה </w:t>
      </w:r>
      <w:bookmarkStart w:id="625" w:name="_ETM_Q2_497430"/>
      <w:bookmarkEnd w:id="625"/>
      <w:r>
        <w:rPr>
          <w:rFonts w:hint="cs"/>
          <w:rtl/>
        </w:rPr>
        <w:t xml:space="preserve">של </w:t>
      </w:r>
      <w:bookmarkStart w:id="626" w:name="_ETM_Q2_497640"/>
      <w:bookmarkEnd w:id="626"/>
      <w:r>
        <w:rPr>
          <w:rFonts w:hint="cs"/>
          <w:rtl/>
        </w:rPr>
        <w:t xml:space="preserve">פסקי </w:t>
      </w:r>
      <w:bookmarkStart w:id="627" w:name="_ETM_Q2_498029"/>
      <w:bookmarkEnd w:id="627"/>
      <w:r>
        <w:rPr>
          <w:rFonts w:hint="cs"/>
          <w:rtl/>
        </w:rPr>
        <w:t xml:space="preserve">הדין </w:t>
      </w:r>
      <w:bookmarkStart w:id="628" w:name="_ETM_Q2_498630"/>
      <w:bookmarkEnd w:id="628"/>
      <w:r>
        <w:rPr>
          <w:rFonts w:hint="cs"/>
          <w:rtl/>
        </w:rPr>
        <w:t xml:space="preserve">בנושא </w:t>
      </w:r>
      <w:bookmarkStart w:id="629" w:name="_ETM_Q2_499140"/>
      <w:bookmarkEnd w:id="629"/>
      <w:r>
        <w:rPr>
          <w:rFonts w:hint="cs"/>
          <w:rtl/>
        </w:rPr>
        <w:t xml:space="preserve">הזה: </w:t>
      </w:r>
      <w:bookmarkStart w:id="630" w:name="_ETM_Q2_499720"/>
      <w:bookmarkEnd w:id="630"/>
      <w:r>
        <w:rPr>
          <w:rFonts w:hint="cs"/>
          <w:rtl/>
        </w:rPr>
        <w:t xml:space="preserve">גירוש </w:t>
      </w:r>
      <w:bookmarkStart w:id="631" w:name="_ETM_Q2_500109"/>
      <w:bookmarkEnd w:id="631"/>
      <w:r>
        <w:rPr>
          <w:rFonts w:hint="cs"/>
          <w:rtl/>
        </w:rPr>
        <w:t xml:space="preserve">משפחות </w:t>
      </w:r>
      <w:bookmarkStart w:id="632" w:name="_ETM_Q2_500529"/>
      <w:bookmarkEnd w:id="632"/>
      <w:r>
        <w:rPr>
          <w:rFonts w:hint="cs"/>
          <w:rtl/>
        </w:rPr>
        <w:t xml:space="preserve">מחבלים </w:t>
      </w:r>
      <w:bookmarkStart w:id="633" w:name="_ETM_Q2_500949"/>
      <w:bookmarkEnd w:id="633"/>
      <w:r>
        <w:rPr>
          <w:rFonts w:hint="cs"/>
          <w:rtl/>
        </w:rPr>
        <w:t xml:space="preserve">לרצועת </w:t>
      </w:r>
      <w:bookmarkStart w:id="634" w:name="_ETM_Q2_501400"/>
      <w:bookmarkEnd w:id="634"/>
      <w:r>
        <w:rPr>
          <w:rFonts w:hint="cs"/>
          <w:rtl/>
        </w:rPr>
        <w:t xml:space="preserve">עזה </w:t>
      </w:r>
      <w:bookmarkStart w:id="635" w:name="_ETM_Q2_501640"/>
      <w:bookmarkEnd w:id="635"/>
      <w:r>
        <w:rPr>
          <w:rFonts w:hint="cs"/>
          <w:rtl/>
        </w:rPr>
        <w:t xml:space="preserve">במהלך </w:t>
      </w:r>
      <w:bookmarkStart w:id="636" w:name="_ETM_Q2_501999"/>
      <w:bookmarkEnd w:id="636"/>
      <w:r>
        <w:rPr>
          <w:rFonts w:hint="cs"/>
          <w:rtl/>
        </w:rPr>
        <w:t xml:space="preserve">האינתיפאדה </w:t>
      </w:r>
      <w:bookmarkStart w:id="637" w:name="_ETM_Q2_502539"/>
      <w:bookmarkEnd w:id="637"/>
      <w:r>
        <w:rPr>
          <w:rFonts w:hint="cs"/>
          <w:rtl/>
        </w:rPr>
        <w:t xml:space="preserve">השנייה </w:t>
      </w:r>
      <w:bookmarkStart w:id="638" w:name="_ETM_Q2_503109"/>
      <w:bookmarkEnd w:id="638"/>
      <w:r>
        <w:rPr>
          <w:rFonts w:hint="cs"/>
          <w:rtl/>
        </w:rPr>
        <w:t xml:space="preserve">– לא </w:t>
      </w:r>
      <w:bookmarkStart w:id="639" w:name="_ETM_Q2_503259"/>
      <w:bookmarkEnd w:id="639"/>
      <w:r>
        <w:rPr>
          <w:rFonts w:hint="cs"/>
          <w:rtl/>
        </w:rPr>
        <w:t xml:space="preserve">סביר, </w:t>
      </w:r>
      <w:bookmarkStart w:id="640" w:name="_ETM_Q2_504070"/>
      <w:bookmarkEnd w:id="640"/>
      <w:r>
        <w:rPr>
          <w:rFonts w:hint="cs"/>
          <w:rtl/>
        </w:rPr>
        <w:t xml:space="preserve">חברים, </w:t>
      </w:r>
      <w:bookmarkStart w:id="641" w:name="_ETM_Q2_504519"/>
      <w:bookmarkEnd w:id="641"/>
      <w:r>
        <w:rPr>
          <w:rFonts w:hint="cs"/>
          <w:rtl/>
        </w:rPr>
        <w:t xml:space="preserve">זה </w:t>
      </w:r>
      <w:bookmarkStart w:id="642" w:name="_ETM_Q2_504640"/>
      <w:bookmarkEnd w:id="642"/>
      <w:r>
        <w:rPr>
          <w:rFonts w:hint="cs"/>
          <w:rtl/>
        </w:rPr>
        <w:t xml:space="preserve">לא </w:t>
      </w:r>
      <w:bookmarkStart w:id="643" w:name="_ETM_Q2_504730"/>
      <w:bookmarkEnd w:id="643"/>
      <w:r>
        <w:rPr>
          <w:rFonts w:hint="cs"/>
          <w:rtl/>
        </w:rPr>
        <w:t xml:space="preserve">סביר, </w:t>
      </w:r>
      <w:bookmarkStart w:id="644" w:name="_ETM_Q2_505960"/>
      <w:bookmarkEnd w:id="644"/>
      <w:r>
        <w:rPr>
          <w:rFonts w:hint="cs"/>
          <w:rtl/>
        </w:rPr>
        <w:t xml:space="preserve">חס </w:t>
      </w:r>
      <w:bookmarkStart w:id="645" w:name="_ETM_Q2_506199"/>
      <w:bookmarkEnd w:id="645"/>
      <w:r>
        <w:rPr>
          <w:rFonts w:hint="cs"/>
          <w:rtl/>
        </w:rPr>
        <w:t xml:space="preserve">ושלום; </w:t>
      </w:r>
      <w:bookmarkStart w:id="646" w:name="_ETM_Q2_507749"/>
      <w:bookmarkStart w:id="647" w:name="_ETM_Q2_508670"/>
      <w:bookmarkStart w:id="648" w:name="_ETM_Q2_508970"/>
      <w:bookmarkEnd w:id="646"/>
      <w:bookmarkEnd w:id="647"/>
      <w:bookmarkEnd w:id="648"/>
      <w:r>
        <w:rPr>
          <w:rFonts w:hint="cs"/>
          <w:rtl/>
        </w:rPr>
        <w:t xml:space="preserve">לתת </w:t>
      </w:r>
      <w:bookmarkStart w:id="649" w:name="_ETM_Q2_509510"/>
      <w:bookmarkEnd w:id="649"/>
      <w:r>
        <w:rPr>
          <w:rFonts w:hint="cs"/>
          <w:rtl/>
        </w:rPr>
        <w:t xml:space="preserve">פרס </w:t>
      </w:r>
      <w:bookmarkStart w:id="650" w:name="_ETM_Q2_509810"/>
      <w:bookmarkEnd w:id="650"/>
      <w:r>
        <w:rPr>
          <w:rFonts w:hint="cs"/>
          <w:rtl/>
        </w:rPr>
        <w:t xml:space="preserve">ישראל </w:t>
      </w:r>
      <w:bookmarkStart w:id="651" w:name="_ETM_Q2_510320"/>
      <w:bookmarkEnd w:id="651"/>
      <w:r>
        <w:rPr>
          <w:rFonts w:hint="cs"/>
          <w:rtl/>
        </w:rPr>
        <w:t xml:space="preserve">לתומך </w:t>
      </w:r>
      <w:bookmarkStart w:id="652" w:name="_ETM_Q2_510740"/>
      <w:bookmarkEnd w:id="652"/>
      <w:r>
        <w:t>BDS</w:t>
      </w:r>
      <w:bookmarkStart w:id="653" w:name="_ETM_Q2_512680"/>
      <w:bookmarkEnd w:id="653"/>
      <w:r>
        <w:rPr>
          <w:rFonts w:hint="cs"/>
          <w:rtl/>
        </w:rPr>
        <w:t xml:space="preserve">, זה </w:t>
      </w:r>
      <w:bookmarkStart w:id="654" w:name="_ETM_Q2_513100"/>
      <w:bookmarkEnd w:id="654"/>
      <w:r>
        <w:rPr>
          <w:rFonts w:hint="cs"/>
          <w:rtl/>
        </w:rPr>
        <w:t xml:space="preserve">דבר </w:t>
      </w:r>
      <w:bookmarkStart w:id="655" w:name="_ETM_Q2_513489"/>
      <w:bookmarkEnd w:id="655"/>
      <w:r>
        <w:rPr>
          <w:rFonts w:hint="cs"/>
          <w:rtl/>
        </w:rPr>
        <w:t xml:space="preserve">שבעיני </w:t>
      </w:r>
      <w:bookmarkStart w:id="656" w:name="_ETM_Q2_513850"/>
      <w:bookmarkEnd w:id="656"/>
      <w:r>
        <w:rPr>
          <w:rFonts w:hint="cs"/>
          <w:rtl/>
        </w:rPr>
        <w:t xml:space="preserve">בית </w:t>
      </w:r>
      <w:bookmarkStart w:id="657" w:name="_ETM_Q2_514029"/>
      <w:bookmarkEnd w:id="657"/>
      <w:r>
        <w:rPr>
          <w:rFonts w:hint="cs"/>
          <w:rtl/>
        </w:rPr>
        <w:t xml:space="preserve">המשפט </w:t>
      </w:r>
      <w:bookmarkStart w:id="658" w:name="_ETM_Q2_514510"/>
      <w:bookmarkEnd w:id="658"/>
      <w:r>
        <w:rPr>
          <w:rFonts w:hint="cs"/>
          <w:rtl/>
        </w:rPr>
        <w:t xml:space="preserve">העליון </w:t>
      </w:r>
      <w:bookmarkStart w:id="659" w:name="_ETM_Q2_515170"/>
      <w:bookmarkStart w:id="660" w:name="_ETM_Q2_515230"/>
      <w:bookmarkEnd w:id="659"/>
      <w:bookmarkEnd w:id="660"/>
      <w:r>
        <w:rPr>
          <w:rFonts w:hint="cs"/>
          <w:rtl/>
        </w:rPr>
        <w:t xml:space="preserve">הוא דבר </w:t>
      </w:r>
      <w:bookmarkStart w:id="661" w:name="_ETM_Q2_515529"/>
      <w:bookmarkEnd w:id="661"/>
      <w:r>
        <w:rPr>
          <w:rFonts w:hint="cs"/>
          <w:rtl/>
        </w:rPr>
        <w:t xml:space="preserve">סביר, </w:t>
      </w:r>
      <w:bookmarkStart w:id="662" w:name="_ETM_Q2_516129"/>
      <w:bookmarkEnd w:id="662"/>
      <w:r>
        <w:rPr>
          <w:rFonts w:hint="cs"/>
          <w:rtl/>
        </w:rPr>
        <w:t xml:space="preserve">בעיני </w:t>
      </w:r>
      <w:bookmarkStart w:id="663" w:name="_ETM_Q2_516519"/>
      <w:bookmarkEnd w:id="663"/>
      <w:r>
        <w:rPr>
          <w:rFonts w:hint="cs"/>
          <w:rtl/>
        </w:rPr>
        <w:t xml:space="preserve">השר </w:t>
      </w:r>
      <w:bookmarkStart w:id="664" w:name="_ETM_Q2_516789"/>
      <w:bookmarkEnd w:id="664"/>
      <w:r>
        <w:rPr>
          <w:rFonts w:hint="cs"/>
          <w:rtl/>
        </w:rPr>
        <w:t xml:space="preserve">הרלוונטי </w:t>
      </w:r>
      <w:bookmarkStart w:id="665" w:name="_ETM_Q2_517850"/>
      <w:bookmarkEnd w:id="665"/>
      <w:r>
        <w:rPr>
          <w:rFonts w:hint="cs"/>
          <w:rtl/>
        </w:rPr>
        <w:t xml:space="preserve">לא; </w:t>
      </w:r>
      <w:bookmarkStart w:id="666" w:name="_ETM_Q2_518629"/>
      <w:bookmarkEnd w:id="666"/>
      <w:r>
        <w:rPr>
          <w:rFonts w:hint="cs"/>
          <w:rtl/>
        </w:rPr>
        <w:t xml:space="preserve">להגביל </w:t>
      </w:r>
      <w:bookmarkStart w:id="667" w:name="_ETM_Q2_519379"/>
      <w:bookmarkEnd w:id="667"/>
      <w:r>
        <w:rPr>
          <w:rFonts w:hint="cs"/>
          <w:rtl/>
        </w:rPr>
        <w:t xml:space="preserve">את </w:t>
      </w:r>
      <w:bookmarkStart w:id="668" w:name="_ETM_Q2_519529"/>
      <w:bookmarkEnd w:id="668"/>
      <w:r>
        <w:rPr>
          <w:rFonts w:hint="cs"/>
          <w:rtl/>
        </w:rPr>
        <w:t xml:space="preserve">הכניסה </w:t>
      </w:r>
      <w:bookmarkStart w:id="669" w:name="_ETM_Q2_519980"/>
      <w:bookmarkEnd w:id="669"/>
      <w:r>
        <w:rPr>
          <w:rFonts w:hint="cs"/>
          <w:rtl/>
        </w:rPr>
        <w:t xml:space="preserve">של </w:t>
      </w:r>
      <w:bookmarkStart w:id="670" w:name="_ETM_Q2_520190"/>
      <w:bookmarkEnd w:id="670"/>
      <w:r>
        <w:rPr>
          <w:rFonts w:hint="cs"/>
          <w:rtl/>
        </w:rPr>
        <w:t xml:space="preserve">פעילת </w:t>
      </w:r>
      <w:bookmarkStart w:id="671" w:name="_ETM_Q2_520579"/>
      <w:bookmarkEnd w:id="671"/>
      <w:r>
        <w:t>BDS</w:t>
      </w:r>
      <w:r>
        <w:rPr>
          <w:rtl/>
        </w:rPr>
        <w:t xml:space="preserve"> </w:t>
      </w:r>
      <w:bookmarkStart w:id="672" w:name="_ETM_Q2_521059"/>
      <w:bookmarkStart w:id="673" w:name="_ETM_Q2_521300"/>
      <w:bookmarkEnd w:id="672"/>
      <w:bookmarkEnd w:id="673"/>
      <w:r>
        <w:rPr>
          <w:rFonts w:hint="cs"/>
          <w:rtl/>
        </w:rPr>
        <w:t xml:space="preserve">לארה אל-קאסם </w:t>
      </w:r>
      <w:bookmarkStart w:id="674" w:name="_ETM_Q2_521779"/>
      <w:bookmarkEnd w:id="674"/>
      <w:r>
        <w:rPr>
          <w:rFonts w:hint="cs"/>
          <w:rtl/>
        </w:rPr>
        <w:t xml:space="preserve">לישראל </w:t>
      </w:r>
      <w:r>
        <w:t>–</w:t>
      </w:r>
      <w:r>
        <w:rPr>
          <w:rFonts w:hint="cs"/>
          <w:rtl/>
        </w:rPr>
        <w:t xml:space="preserve"> </w:t>
      </w:r>
      <w:bookmarkStart w:id="675" w:name="_ETM_Q2_522900"/>
      <w:bookmarkEnd w:id="675"/>
      <w:r>
        <w:rPr>
          <w:rFonts w:hint="cs"/>
          <w:rtl/>
        </w:rPr>
        <w:t xml:space="preserve">בעיני </w:t>
      </w:r>
      <w:bookmarkStart w:id="676" w:name="_ETM_Q2_523320"/>
      <w:bookmarkEnd w:id="676"/>
      <w:r>
        <w:rPr>
          <w:rFonts w:hint="cs"/>
          <w:rtl/>
        </w:rPr>
        <w:t xml:space="preserve">השר </w:t>
      </w:r>
      <w:bookmarkStart w:id="677" w:name="_ETM_Q2_523620"/>
      <w:bookmarkEnd w:id="677"/>
      <w:r>
        <w:rPr>
          <w:rFonts w:hint="cs"/>
          <w:rtl/>
        </w:rPr>
        <w:t xml:space="preserve">זה </w:t>
      </w:r>
      <w:bookmarkStart w:id="678" w:name="_ETM_Q2_523740"/>
      <w:bookmarkEnd w:id="678"/>
      <w:r>
        <w:rPr>
          <w:rFonts w:hint="cs"/>
          <w:rtl/>
        </w:rPr>
        <w:t xml:space="preserve">סביר, </w:t>
      </w:r>
      <w:bookmarkStart w:id="679" w:name="_ETM_Q2_524610"/>
      <w:bookmarkEnd w:id="679"/>
      <w:r>
        <w:rPr>
          <w:rFonts w:hint="cs"/>
          <w:rtl/>
        </w:rPr>
        <w:t xml:space="preserve">בעיני </w:t>
      </w:r>
      <w:bookmarkStart w:id="680" w:name="_ETM_Q2_525000"/>
      <w:bookmarkEnd w:id="680"/>
      <w:r>
        <w:rPr>
          <w:rFonts w:hint="cs"/>
          <w:rtl/>
        </w:rPr>
        <w:t xml:space="preserve">בג"ץ </w:t>
      </w:r>
      <w:bookmarkStart w:id="681" w:name="_ETM_Q2_525810"/>
      <w:bookmarkEnd w:id="681"/>
      <w:r>
        <w:rPr>
          <w:rFonts w:hint="cs"/>
          <w:rtl/>
        </w:rPr>
        <w:t xml:space="preserve">זה </w:t>
      </w:r>
      <w:bookmarkStart w:id="682" w:name="_ETM_Q2_525960"/>
      <w:bookmarkEnd w:id="682"/>
      <w:r>
        <w:rPr>
          <w:rFonts w:hint="cs"/>
          <w:rtl/>
        </w:rPr>
        <w:t xml:space="preserve">לא </w:t>
      </w:r>
      <w:bookmarkStart w:id="683" w:name="_ETM_Q2_526110"/>
      <w:bookmarkEnd w:id="683"/>
      <w:r>
        <w:rPr>
          <w:rFonts w:hint="cs"/>
          <w:rtl/>
        </w:rPr>
        <w:t xml:space="preserve">סביר; </w:t>
      </w:r>
      <w:bookmarkStart w:id="684" w:name="_ETM_Q2_527539"/>
      <w:bookmarkEnd w:id="684"/>
      <w:r>
        <w:rPr>
          <w:rFonts w:hint="cs"/>
          <w:rtl/>
        </w:rPr>
        <w:t xml:space="preserve">ההחלטה </w:t>
      </w:r>
      <w:bookmarkStart w:id="685" w:name="_ETM_Q2_530279"/>
      <w:bookmarkEnd w:id="685"/>
      <w:r>
        <w:rPr>
          <w:rFonts w:hint="cs"/>
          <w:rtl/>
        </w:rPr>
        <w:t xml:space="preserve">של </w:t>
      </w:r>
      <w:bookmarkStart w:id="686" w:name="_ETM_Q2_530550"/>
      <w:bookmarkEnd w:id="686"/>
      <w:r>
        <w:rPr>
          <w:rFonts w:hint="cs"/>
          <w:rtl/>
        </w:rPr>
        <w:t xml:space="preserve">המועצה </w:t>
      </w:r>
      <w:bookmarkStart w:id="687" w:name="_ETM_Q2_531060"/>
      <w:bookmarkEnd w:id="687"/>
      <w:r>
        <w:rPr>
          <w:rFonts w:hint="cs"/>
          <w:rtl/>
        </w:rPr>
        <w:t xml:space="preserve">לביקורת </w:t>
      </w:r>
      <w:bookmarkStart w:id="688" w:name="_ETM_Q2_531540"/>
      <w:bookmarkEnd w:id="688"/>
      <w:r>
        <w:rPr>
          <w:rFonts w:hint="cs"/>
          <w:rtl/>
        </w:rPr>
        <w:t xml:space="preserve">סרטים </w:t>
      </w:r>
      <w:bookmarkStart w:id="689" w:name="_ETM_Q2_532410"/>
      <w:bookmarkEnd w:id="689"/>
      <w:r>
        <w:rPr>
          <w:rFonts w:hint="cs"/>
          <w:rtl/>
        </w:rPr>
        <w:t xml:space="preserve">– אומנם </w:t>
      </w:r>
      <w:bookmarkStart w:id="690" w:name="_ETM_Q2_532770"/>
      <w:bookmarkEnd w:id="690"/>
      <w:r>
        <w:rPr>
          <w:rFonts w:hint="cs"/>
          <w:rtl/>
        </w:rPr>
        <w:t xml:space="preserve">שם </w:t>
      </w:r>
      <w:bookmarkStart w:id="691" w:name="_ETM_Q2_532980"/>
      <w:bookmarkEnd w:id="691"/>
      <w:r>
        <w:rPr>
          <w:rFonts w:hint="cs"/>
          <w:rtl/>
        </w:rPr>
        <w:t xml:space="preserve">זה </w:t>
      </w:r>
      <w:bookmarkStart w:id="692" w:name="_ETM_Q2_533800"/>
      <w:bookmarkEnd w:id="692"/>
      <w:r>
        <w:rPr>
          <w:rFonts w:hint="cs"/>
          <w:rtl/>
        </w:rPr>
        <w:t xml:space="preserve">לא </w:t>
      </w:r>
      <w:bookmarkStart w:id="693" w:name="_ETM_Q2_534010"/>
      <w:bookmarkEnd w:id="693"/>
      <w:r>
        <w:rPr>
          <w:rFonts w:hint="cs"/>
          <w:rtl/>
        </w:rPr>
        <w:t xml:space="preserve">גוף </w:t>
      </w:r>
      <w:bookmarkStart w:id="694" w:name="_ETM_Q2_534279"/>
      <w:bookmarkEnd w:id="694"/>
      <w:r>
        <w:rPr>
          <w:rFonts w:hint="cs"/>
          <w:rtl/>
        </w:rPr>
        <w:t xml:space="preserve">שהוא </w:t>
      </w:r>
      <w:bookmarkStart w:id="695" w:name="_ETM_Q2_534700"/>
      <w:bookmarkEnd w:id="695"/>
      <w:r>
        <w:rPr>
          <w:rFonts w:hint="cs"/>
          <w:rtl/>
        </w:rPr>
        <w:t xml:space="preserve">נבחר </w:t>
      </w:r>
      <w:bookmarkStart w:id="696" w:name="_ETM_Q2_535089"/>
      <w:bookmarkEnd w:id="696"/>
      <w:r>
        <w:rPr>
          <w:rFonts w:hint="cs"/>
          <w:rtl/>
        </w:rPr>
        <w:t xml:space="preserve">ציבור, </w:t>
      </w:r>
      <w:bookmarkStart w:id="697" w:name="_ETM_Q2_535839"/>
      <w:bookmarkEnd w:id="697"/>
      <w:r>
        <w:rPr>
          <w:rFonts w:hint="cs"/>
          <w:rtl/>
        </w:rPr>
        <w:t xml:space="preserve">אבל </w:t>
      </w:r>
      <w:bookmarkStart w:id="698" w:name="_ETM_Q2_536110"/>
      <w:bookmarkEnd w:id="698"/>
      <w:r>
        <w:rPr>
          <w:rFonts w:hint="cs"/>
          <w:rtl/>
        </w:rPr>
        <w:t xml:space="preserve">זו </w:t>
      </w:r>
      <w:bookmarkStart w:id="699" w:name="_ETM_Q2_536200"/>
      <w:bookmarkEnd w:id="699"/>
      <w:r>
        <w:rPr>
          <w:rFonts w:hint="cs"/>
          <w:rtl/>
        </w:rPr>
        <w:t xml:space="preserve">דוגמה </w:t>
      </w:r>
      <w:bookmarkStart w:id="700" w:name="_ETM_Q2_536500"/>
      <w:bookmarkEnd w:id="700"/>
      <w:r>
        <w:rPr>
          <w:rFonts w:hint="cs"/>
          <w:rtl/>
        </w:rPr>
        <w:t xml:space="preserve">בולטת </w:t>
      </w:r>
      <w:bookmarkStart w:id="701" w:name="_ETM_Q2_536920"/>
      <w:bookmarkEnd w:id="701"/>
      <w:r>
        <w:rPr>
          <w:rFonts w:hint="cs"/>
          <w:rtl/>
        </w:rPr>
        <w:t xml:space="preserve">מאוד </w:t>
      </w:r>
      <w:bookmarkStart w:id="702" w:name="_ETM_Q2_537890"/>
      <w:bookmarkEnd w:id="702"/>
      <w:r>
        <w:rPr>
          <w:rFonts w:hint="cs"/>
          <w:rtl/>
        </w:rPr>
        <w:t xml:space="preserve">– לאסור </w:t>
      </w:r>
      <w:bookmarkStart w:id="703" w:name="_ETM_Q2_538370"/>
      <w:bookmarkEnd w:id="703"/>
      <w:r>
        <w:rPr>
          <w:rFonts w:hint="cs"/>
          <w:rtl/>
        </w:rPr>
        <w:t xml:space="preserve">את </w:t>
      </w:r>
      <w:bookmarkStart w:id="704" w:name="_ETM_Q2_538489"/>
      <w:bookmarkEnd w:id="704"/>
      <w:r>
        <w:rPr>
          <w:rFonts w:hint="cs"/>
          <w:rtl/>
        </w:rPr>
        <w:t xml:space="preserve">הקרנת </w:t>
      </w:r>
      <w:bookmarkStart w:id="705" w:name="_ETM_Q2_538880"/>
      <w:bookmarkEnd w:id="705"/>
      <w:r>
        <w:rPr>
          <w:rFonts w:hint="cs"/>
          <w:rtl/>
        </w:rPr>
        <w:t xml:space="preserve">הסרט </w:t>
      </w:r>
      <w:bookmarkStart w:id="706" w:name="_ETM_Q2_539210"/>
      <w:bookmarkEnd w:id="706"/>
      <w:r>
        <w:rPr>
          <w:rFonts w:hint="cs"/>
          <w:rtl/>
        </w:rPr>
        <w:t xml:space="preserve">"ג'נין, </w:t>
      </w:r>
      <w:bookmarkStart w:id="707" w:name="_ETM_Q2_539510"/>
      <w:bookmarkEnd w:id="707"/>
      <w:r>
        <w:rPr>
          <w:rFonts w:hint="cs"/>
          <w:rtl/>
        </w:rPr>
        <w:t xml:space="preserve">ג'נין" </w:t>
      </w:r>
      <w:bookmarkStart w:id="708" w:name="_ETM_Q2_539870"/>
      <w:bookmarkEnd w:id="708"/>
      <w:r>
        <w:rPr>
          <w:rFonts w:hint="cs"/>
          <w:rtl/>
        </w:rPr>
        <w:t xml:space="preserve">אשר </w:t>
      </w:r>
      <w:bookmarkStart w:id="709" w:name="_ETM_Q2_540320"/>
      <w:bookmarkEnd w:id="709"/>
      <w:r>
        <w:rPr>
          <w:rFonts w:hint="cs"/>
          <w:rtl/>
        </w:rPr>
        <w:t xml:space="preserve">הפיץ דיבה </w:t>
      </w:r>
      <w:bookmarkStart w:id="710" w:name="_ETM_Q2_540589"/>
      <w:bookmarkEnd w:id="710"/>
      <w:r>
        <w:rPr>
          <w:rFonts w:hint="cs"/>
          <w:rtl/>
        </w:rPr>
        <w:t xml:space="preserve">על </w:t>
      </w:r>
      <w:bookmarkStart w:id="711" w:name="_ETM_Q2_540680"/>
      <w:bookmarkEnd w:id="711"/>
      <w:r>
        <w:rPr>
          <w:rFonts w:hint="cs"/>
          <w:rtl/>
        </w:rPr>
        <w:t xml:space="preserve">חיילי </w:t>
      </w:r>
      <w:bookmarkStart w:id="712" w:name="_ETM_Q2_541070"/>
      <w:bookmarkEnd w:id="712"/>
      <w:r>
        <w:rPr>
          <w:rFonts w:hint="cs"/>
          <w:rtl/>
        </w:rPr>
        <w:t xml:space="preserve">צה"ל </w:t>
      </w:r>
      <w:bookmarkStart w:id="713" w:name="_ETM_Q2_541309"/>
      <w:bookmarkEnd w:id="713"/>
      <w:r>
        <w:rPr>
          <w:rFonts w:hint="cs"/>
          <w:rtl/>
        </w:rPr>
        <w:t xml:space="preserve">ומדינת </w:t>
      </w:r>
      <w:bookmarkStart w:id="714" w:name="_ETM_Q2_541850"/>
      <w:bookmarkEnd w:id="714"/>
      <w:r>
        <w:rPr>
          <w:rFonts w:hint="cs"/>
          <w:rtl/>
        </w:rPr>
        <w:t xml:space="preserve">ישראל. עכשיו, </w:t>
      </w:r>
      <w:bookmarkStart w:id="715" w:name="_ETM_Q2_542690"/>
      <w:bookmarkStart w:id="716" w:name="_ETM_Q2_543320"/>
      <w:bookmarkEnd w:id="715"/>
      <w:bookmarkEnd w:id="716"/>
      <w:r>
        <w:rPr>
          <w:rFonts w:hint="cs"/>
          <w:rtl/>
        </w:rPr>
        <w:t xml:space="preserve">האם </w:t>
      </w:r>
      <w:bookmarkStart w:id="717" w:name="_ETM_Q2_543620"/>
      <w:bookmarkEnd w:id="717"/>
      <w:r>
        <w:rPr>
          <w:rFonts w:hint="cs"/>
          <w:rtl/>
        </w:rPr>
        <w:t xml:space="preserve">ההחלטה </w:t>
      </w:r>
      <w:bookmarkStart w:id="718" w:name="_ETM_Q2_544130"/>
      <w:bookmarkEnd w:id="718"/>
      <w:r>
        <w:rPr>
          <w:rFonts w:hint="cs"/>
          <w:rtl/>
        </w:rPr>
        <w:t xml:space="preserve">הזאת </w:t>
      </w:r>
      <w:bookmarkStart w:id="719" w:name="_ETM_Q2_544820"/>
      <w:bookmarkEnd w:id="719"/>
      <w:r>
        <w:rPr>
          <w:rFonts w:hint="cs"/>
          <w:rtl/>
        </w:rPr>
        <w:t xml:space="preserve">פוגעת </w:t>
      </w:r>
      <w:bookmarkStart w:id="720" w:name="_ETM_Q2_545300"/>
      <w:bookmarkEnd w:id="720"/>
      <w:r>
        <w:rPr>
          <w:rFonts w:hint="cs"/>
          <w:rtl/>
        </w:rPr>
        <w:t xml:space="preserve">בחופש </w:t>
      </w:r>
      <w:bookmarkStart w:id="721" w:name="_ETM_Q2_545750"/>
      <w:bookmarkEnd w:id="721"/>
      <w:r>
        <w:rPr>
          <w:rFonts w:hint="cs"/>
          <w:rtl/>
        </w:rPr>
        <w:t xml:space="preserve">הביטוי? </w:t>
      </w:r>
      <w:bookmarkStart w:id="722" w:name="_ETM_Q2_546350"/>
      <w:bookmarkEnd w:id="722"/>
      <w:r>
        <w:rPr>
          <w:rFonts w:hint="cs"/>
          <w:rtl/>
        </w:rPr>
        <w:t xml:space="preserve">ייתכן. </w:t>
      </w:r>
      <w:bookmarkStart w:id="723" w:name="_ETM_Q2_546920"/>
      <w:bookmarkEnd w:id="723"/>
      <w:r>
        <w:rPr>
          <w:rFonts w:hint="cs"/>
          <w:rtl/>
        </w:rPr>
        <w:t xml:space="preserve">האם </w:t>
      </w:r>
      <w:bookmarkStart w:id="724" w:name="_ETM_Q2_547130"/>
      <w:bookmarkEnd w:id="724"/>
      <w:r>
        <w:rPr>
          <w:rFonts w:hint="cs"/>
          <w:rtl/>
        </w:rPr>
        <w:t xml:space="preserve">בית </w:t>
      </w:r>
      <w:bookmarkStart w:id="725" w:name="_ETM_Q2_547279"/>
      <w:bookmarkEnd w:id="725"/>
      <w:r>
        <w:rPr>
          <w:rFonts w:hint="cs"/>
          <w:rtl/>
        </w:rPr>
        <w:t xml:space="preserve">המשפט </w:t>
      </w:r>
      <w:bookmarkStart w:id="726" w:name="_ETM_Q2_547640"/>
      <w:bookmarkEnd w:id="726"/>
      <w:r>
        <w:rPr>
          <w:rFonts w:hint="cs"/>
          <w:rtl/>
        </w:rPr>
        <w:t xml:space="preserve">מצא </w:t>
      </w:r>
      <w:bookmarkStart w:id="727" w:name="_ETM_Q2_547880"/>
      <w:bookmarkEnd w:id="727"/>
      <w:r>
        <w:rPr>
          <w:rFonts w:hint="cs"/>
          <w:rtl/>
        </w:rPr>
        <w:t xml:space="preserve">לעצמו </w:t>
      </w:r>
      <w:bookmarkStart w:id="728" w:name="_ETM_Q2_548180"/>
      <w:bookmarkEnd w:id="728"/>
      <w:r>
        <w:rPr>
          <w:rFonts w:hint="cs"/>
          <w:rtl/>
        </w:rPr>
        <w:t xml:space="preserve">כלים </w:t>
      </w:r>
      <w:bookmarkStart w:id="729" w:name="_ETM_Q2_548839"/>
      <w:bookmarkEnd w:id="729"/>
      <w:r>
        <w:rPr>
          <w:rFonts w:hint="cs"/>
          <w:rtl/>
        </w:rPr>
        <w:t xml:space="preserve">להגן </w:t>
      </w:r>
      <w:bookmarkStart w:id="730" w:name="_ETM_Q2_549229"/>
      <w:bookmarkEnd w:id="730"/>
      <w:r>
        <w:rPr>
          <w:rFonts w:hint="cs"/>
          <w:rtl/>
        </w:rPr>
        <w:t xml:space="preserve">על </w:t>
      </w:r>
      <w:bookmarkStart w:id="731" w:name="_ETM_Q2_549350"/>
      <w:bookmarkEnd w:id="731"/>
      <w:r>
        <w:rPr>
          <w:rFonts w:hint="cs"/>
          <w:rtl/>
        </w:rPr>
        <w:t xml:space="preserve">חופש </w:t>
      </w:r>
      <w:bookmarkStart w:id="732" w:name="_ETM_Q2_549650"/>
      <w:bookmarkEnd w:id="732"/>
      <w:r>
        <w:rPr>
          <w:rFonts w:hint="cs"/>
          <w:rtl/>
        </w:rPr>
        <w:t xml:space="preserve">ביטוי </w:t>
      </w:r>
      <w:bookmarkStart w:id="733" w:name="_ETM_Q2_550220"/>
      <w:bookmarkEnd w:id="733"/>
      <w:r>
        <w:rPr>
          <w:rFonts w:hint="cs"/>
          <w:rtl/>
        </w:rPr>
        <w:t xml:space="preserve">גם </w:t>
      </w:r>
      <w:bookmarkStart w:id="734" w:name="_ETM_Q2_550550"/>
      <w:bookmarkEnd w:id="734"/>
      <w:r>
        <w:rPr>
          <w:rFonts w:hint="cs"/>
          <w:rtl/>
        </w:rPr>
        <w:t xml:space="preserve">בלי </w:t>
      </w:r>
      <w:bookmarkStart w:id="735" w:name="_ETM_Q2_550729"/>
      <w:bookmarkEnd w:id="735"/>
      <w:r>
        <w:rPr>
          <w:rFonts w:hint="cs"/>
          <w:rtl/>
        </w:rPr>
        <w:t xml:space="preserve">שימוש </w:t>
      </w:r>
      <w:bookmarkStart w:id="736" w:name="_ETM_Q2_551000"/>
      <w:bookmarkEnd w:id="736"/>
      <w:r>
        <w:rPr>
          <w:rFonts w:hint="cs"/>
          <w:rtl/>
        </w:rPr>
        <w:t xml:space="preserve">בעילת </w:t>
      </w:r>
      <w:bookmarkStart w:id="737" w:name="_ETM_Q2_551330"/>
      <w:bookmarkEnd w:id="737"/>
      <w:r>
        <w:rPr>
          <w:rFonts w:hint="cs"/>
          <w:rtl/>
        </w:rPr>
        <w:t xml:space="preserve">הסבירות? </w:t>
      </w:r>
      <w:bookmarkStart w:id="738" w:name="_ETM_Q2_551990"/>
      <w:bookmarkEnd w:id="738"/>
      <w:r>
        <w:rPr>
          <w:rFonts w:hint="cs"/>
          <w:rtl/>
        </w:rPr>
        <w:t xml:space="preserve">בוודאי. </w:t>
      </w:r>
      <w:bookmarkStart w:id="739" w:name="_ETM_Q2_553730"/>
      <w:bookmarkEnd w:id="739"/>
      <w:r>
        <w:rPr>
          <w:rFonts w:hint="cs"/>
          <w:rtl/>
        </w:rPr>
        <w:t xml:space="preserve">תראו את </w:t>
      </w:r>
      <w:bookmarkStart w:id="740" w:name="_ETM_Q2_554300"/>
      <w:bookmarkEnd w:id="740"/>
      <w:r>
        <w:rPr>
          <w:rFonts w:hint="cs"/>
          <w:rtl/>
        </w:rPr>
        <w:t xml:space="preserve">פסק </w:t>
      </w:r>
      <w:bookmarkStart w:id="741" w:name="_ETM_Q2_554570"/>
      <w:bookmarkEnd w:id="741"/>
      <w:r>
        <w:rPr>
          <w:rFonts w:hint="cs"/>
          <w:rtl/>
        </w:rPr>
        <w:t xml:space="preserve">דין </w:t>
      </w:r>
      <w:bookmarkStart w:id="742" w:name="_ETM_Q2_554779"/>
      <w:bookmarkEnd w:id="742"/>
      <w:r>
        <w:rPr>
          <w:rFonts w:hint="cs"/>
          <w:rtl/>
        </w:rPr>
        <w:t xml:space="preserve">קול </w:t>
      </w:r>
      <w:bookmarkStart w:id="743" w:name="_ETM_Q2_555050"/>
      <w:bookmarkEnd w:id="743"/>
      <w:r>
        <w:rPr>
          <w:rFonts w:hint="cs"/>
          <w:rtl/>
        </w:rPr>
        <w:t xml:space="preserve">העם, </w:t>
      </w:r>
      <w:bookmarkStart w:id="744" w:name="_ETM_Q2_555320"/>
      <w:bookmarkEnd w:id="744"/>
      <w:r>
        <w:rPr>
          <w:rFonts w:hint="cs"/>
          <w:rtl/>
        </w:rPr>
        <w:t xml:space="preserve">אין </w:t>
      </w:r>
      <w:bookmarkStart w:id="745" w:name="_ETM_Q2_555440"/>
      <w:bookmarkEnd w:id="745"/>
      <w:r>
        <w:rPr>
          <w:rFonts w:hint="cs"/>
          <w:rtl/>
        </w:rPr>
        <w:t xml:space="preserve">בו </w:t>
      </w:r>
      <w:bookmarkStart w:id="746" w:name="_ETM_Q2_554087"/>
      <w:bookmarkEnd w:id="746"/>
      <w:r>
        <w:rPr>
          <w:rFonts w:hint="cs"/>
          <w:rtl/>
        </w:rPr>
        <w:t xml:space="preserve">מילה </w:t>
      </w:r>
      <w:bookmarkStart w:id="747" w:name="_ETM_Q2_555890"/>
      <w:bookmarkEnd w:id="747"/>
      <w:r>
        <w:rPr>
          <w:rFonts w:hint="cs"/>
          <w:rtl/>
        </w:rPr>
        <w:t xml:space="preserve">אחת </w:t>
      </w:r>
      <w:bookmarkStart w:id="748" w:name="_ETM_Q2_556160"/>
      <w:bookmarkEnd w:id="748"/>
      <w:r>
        <w:rPr>
          <w:rFonts w:hint="cs"/>
          <w:rtl/>
        </w:rPr>
        <w:t xml:space="preserve">על עילת </w:t>
      </w:r>
      <w:bookmarkStart w:id="749" w:name="_ETM_Q2_556520"/>
      <w:bookmarkEnd w:id="749"/>
      <w:r>
        <w:rPr>
          <w:rFonts w:hint="cs"/>
          <w:rtl/>
        </w:rPr>
        <w:t xml:space="preserve">הסבירות. </w:t>
      </w:r>
      <w:bookmarkStart w:id="750" w:name="_ETM_Q2_557029"/>
      <w:bookmarkEnd w:id="750"/>
      <w:r>
        <w:rPr>
          <w:rFonts w:hint="cs"/>
          <w:rtl/>
        </w:rPr>
        <w:t xml:space="preserve">אפשר </w:t>
      </w:r>
      <w:bookmarkStart w:id="751" w:name="_ETM_Q2_557300"/>
      <w:bookmarkEnd w:id="751"/>
      <w:r>
        <w:rPr>
          <w:rFonts w:hint="cs"/>
          <w:rtl/>
        </w:rPr>
        <w:t xml:space="preserve">היה </w:t>
      </w:r>
      <w:bookmarkStart w:id="752" w:name="_ETM_Q2_557420"/>
      <w:bookmarkEnd w:id="752"/>
      <w:r>
        <w:rPr>
          <w:rFonts w:hint="cs"/>
          <w:rtl/>
        </w:rPr>
        <w:t xml:space="preserve">לעשות </w:t>
      </w:r>
      <w:bookmarkStart w:id="753" w:name="_ETM_Q2_557779"/>
      <w:bookmarkEnd w:id="753"/>
      <w:r>
        <w:rPr>
          <w:rFonts w:hint="cs"/>
          <w:rtl/>
        </w:rPr>
        <w:t xml:space="preserve">זאת. </w:t>
      </w:r>
      <w:bookmarkStart w:id="754" w:name="_ETM_Q2_558680"/>
      <w:bookmarkStart w:id="755" w:name="_ETM_Q2_559070"/>
      <w:bookmarkEnd w:id="754"/>
      <w:bookmarkEnd w:id="755"/>
      <w:r>
        <w:rPr>
          <w:rFonts w:hint="cs"/>
          <w:rtl/>
        </w:rPr>
        <w:t xml:space="preserve">אבל </w:t>
      </w:r>
      <w:bookmarkStart w:id="756" w:name="_ETM_Q2_559310"/>
      <w:bookmarkEnd w:id="756"/>
      <w:r>
        <w:rPr>
          <w:rFonts w:hint="cs"/>
          <w:rtl/>
        </w:rPr>
        <w:t xml:space="preserve">לבוא </w:t>
      </w:r>
      <w:bookmarkStart w:id="757" w:name="_ETM_Q2_559520"/>
      <w:bookmarkEnd w:id="757"/>
      <w:r>
        <w:rPr>
          <w:rFonts w:hint="cs"/>
          <w:rtl/>
        </w:rPr>
        <w:t xml:space="preserve">ולהגיד </w:t>
      </w:r>
      <w:bookmarkStart w:id="758" w:name="_ETM_Q2_560710"/>
      <w:bookmarkStart w:id="759" w:name="_ETM_Q2_561490"/>
      <w:bookmarkStart w:id="760" w:name="_ETM_Q2_561789"/>
      <w:bookmarkStart w:id="761" w:name="_ETM_Q2_562810"/>
      <w:bookmarkEnd w:id="758"/>
      <w:bookmarkEnd w:id="759"/>
      <w:bookmarkEnd w:id="760"/>
      <w:bookmarkEnd w:id="761"/>
      <w:r>
        <w:rPr>
          <w:rFonts w:hint="cs"/>
          <w:rtl/>
        </w:rPr>
        <w:t xml:space="preserve">- - </w:t>
      </w:r>
    </w:p>
    <w:p w:rsidR="000C5C1F" w:rsidRDefault="000C5C1F" w:rsidP="000C5C1F">
      <w:pPr>
        <w:rPr>
          <w:rtl/>
        </w:rPr>
      </w:pPr>
      <w:bookmarkStart w:id="762" w:name="_ETM_Q2_561270"/>
      <w:bookmarkStart w:id="763" w:name="_ETM_Q2_561383"/>
      <w:bookmarkEnd w:id="762"/>
      <w:bookmarkEnd w:id="763"/>
    </w:p>
    <w:p w:rsidR="000C5C1F" w:rsidRDefault="000C5C1F" w:rsidP="000C5C1F">
      <w:pPr>
        <w:pStyle w:val="af8"/>
        <w:keepNext/>
        <w:rPr>
          <w:rtl/>
        </w:rPr>
      </w:pPr>
      <w:bookmarkStart w:id="764" w:name="ET_interruption_6156_17"/>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764"/>
    </w:p>
    <w:p w:rsidR="000C5C1F" w:rsidRDefault="000C5C1F" w:rsidP="00337201">
      <w:pPr>
        <w:rPr>
          <w:rtl/>
        </w:rPr>
      </w:pPr>
    </w:p>
    <w:p w:rsidR="000C5C1F" w:rsidRDefault="000C5C1F" w:rsidP="000C5C1F">
      <w:pPr>
        <w:rPr>
          <w:rtl/>
        </w:rPr>
      </w:pPr>
      <w:r>
        <w:rPr>
          <w:rFonts w:hint="cs"/>
          <w:rtl/>
        </w:rPr>
        <w:t xml:space="preserve">- </w:t>
      </w:r>
      <w:bookmarkStart w:id="765" w:name="_ETM_Q2_560069"/>
      <w:bookmarkEnd w:id="765"/>
      <w:r>
        <w:rPr>
          <w:rFonts w:hint="cs"/>
          <w:rtl/>
        </w:rPr>
        <w:t xml:space="preserve">- - </w:t>
      </w:r>
    </w:p>
    <w:p w:rsidR="000C5C1F" w:rsidRDefault="000C5C1F" w:rsidP="000C5C1F">
      <w:pPr>
        <w:rPr>
          <w:rtl/>
        </w:rPr>
      </w:pPr>
      <w:bookmarkStart w:id="766" w:name="_ETM_Q2_559344"/>
      <w:bookmarkStart w:id="767" w:name="_ETM_Q2_559417"/>
      <w:bookmarkEnd w:id="766"/>
      <w:bookmarkEnd w:id="767"/>
    </w:p>
    <w:p w:rsidR="000C5C1F" w:rsidRDefault="000C5C1F" w:rsidP="000C5C1F">
      <w:pPr>
        <w:pStyle w:val="-"/>
        <w:keepNext/>
        <w:rPr>
          <w:rtl/>
        </w:rPr>
      </w:pPr>
      <w:bookmarkStart w:id="768" w:name="_ETM_Q2_559984"/>
      <w:bookmarkStart w:id="769" w:name="_ETM_Q2_560053"/>
      <w:bookmarkStart w:id="770" w:name="ET_speakercontinue_6157_18"/>
      <w:bookmarkEnd w:id="768"/>
      <w:bookmarkEnd w:id="769"/>
      <w:r>
        <w:rPr>
          <w:rStyle w:val="TagStyle"/>
          <w:rFonts w:hint="cs"/>
          <w:rtl/>
        </w:rPr>
        <w:t xml:space="preserve">&lt;&lt;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770"/>
    </w:p>
    <w:p w:rsidR="000C5C1F" w:rsidRDefault="000C5C1F" w:rsidP="00337201">
      <w:pPr>
        <w:rPr>
          <w:rtl/>
        </w:rPr>
      </w:pPr>
    </w:p>
    <w:p w:rsidR="000C5C1F" w:rsidRDefault="000C5C1F" w:rsidP="000C5C1F">
      <w:pPr>
        <w:rPr>
          <w:rtl/>
        </w:rPr>
      </w:pPr>
      <w:bookmarkStart w:id="771" w:name="_ETM_Q2_563818"/>
      <w:bookmarkEnd w:id="771"/>
      <w:r>
        <w:rPr>
          <w:rFonts w:hint="cs"/>
          <w:rtl/>
        </w:rPr>
        <w:t xml:space="preserve">- </w:t>
      </w:r>
      <w:bookmarkStart w:id="772" w:name="_ETM_Q2_581054"/>
      <w:bookmarkEnd w:id="772"/>
      <w:r>
        <w:rPr>
          <w:rFonts w:hint="cs"/>
          <w:rtl/>
        </w:rPr>
        <w:t xml:space="preserve">- שביטול </w:t>
      </w:r>
      <w:bookmarkStart w:id="773" w:name="_ETM_Q2_563350"/>
      <w:bookmarkEnd w:id="773"/>
      <w:r>
        <w:rPr>
          <w:rFonts w:hint="cs"/>
          <w:rtl/>
        </w:rPr>
        <w:t xml:space="preserve">עילת </w:t>
      </w:r>
      <w:bookmarkStart w:id="774" w:name="_ETM_Q2_563619"/>
      <w:bookmarkEnd w:id="774"/>
      <w:r>
        <w:rPr>
          <w:rFonts w:hint="cs"/>
          <w:rtl/>
        </w:rPr>
        <w:t xml:space="preserve">הסבירות </w:t>
      </w:r>
      <w:bookmarkStart w:id="775" w:name="_ETM_Q2_564639"/>
      <w:bookmarkEnd w:id="775"/>
      <w:r>
        <w:rPr>
          <w:rFonts w:hint="cs"/>
          <w:rtl/>
        </w:rPr>
        <w:t xml:space="preserve">הוא </w:t>
      </w:r>
      <w:bookmarkStart w:id="776" w:name="_ETM_Q2_564850"/>
      <w:bookmarkEnd w:id="776"/>
      <w:r>
        <w:rPr>
          <w:rFonts w:hint="cs"/>
          <w:rtl/>
        </w:rPr>
        <w:t xml:space="preserve">זה </w:t>
      </w:r>
      <w:bookmarkStart w:id="777" w:name="_ETM_Q2_565089"/>
      <w:bookmarkEnd w:id="777"/>
      <w:r>
        <w:rPr>
          <w:rFonts w:hint="cs"/>
          <w:rtl/>
        </w:rPr>
        <w:t xml:space="preserve">שגרם </w:t>
      </w:r>
      <w:bookmarkStart w:id="778" w:name="_ETM_Q2_565600"/>
      <w:bookmarkEnd w:id="778"/>
      <w:r>
        <w:rPr>
          <w:rFonts w:hint="cs"/>
          <w:rtl/>
        </w:rPr>
        <w:t xml:space="preserve">לעלילת </w:t>
      </w:r>
      <w:bookmarkStart w:id="779" w:name="_ETM_Q2_566109"/>
      <w:bookmarkEnd w:id="779"/>
      <w:r>
        <w:rPr>
          <w:rFonts w:hint="cs"/>
          <w:rtl/>
        </w:rPr>
        <w:t xml:space="preserve">דם </w:t>
      </w:r>
      <w:bookmarkStart w:id="780" w:name="_ETM_Q2_566439"/>
      <w:bookmarkEnd w:id="780"/>
      <w:r>
        <w:rPr>
          <w:rFonts w:hint="cs"/>
          <w:rtl/>
        </w:rPr>
        <w:t xml:space="preserve">שפלה </w:t>
      </w:r>
      <w:bookmarkStart w:id="781" w:name="_ETM_Q2_567189"/>
      <w:bookmarkEnd w:id="781"/>
      <w:r>
        <w:rPr>
          <w:rFonts w:hint="cs"/>
          <w:rtl/>
        </w:rPr>
        <w:t xml:space="preserve">כנגד </w:t>
      </w:r>
      <w:bookmarkStart w:id="782" w:name="_ETM_Q2_567579"/>
      <w:bookmarkEnd w:id="782"/>
      <w:r>
        <w:rPr>
          <w:rFonts w:hint="cs"/>
          <w:rtl/>
        </w:rPr>
        <w:t xml:space="preserve">חיילי </w:t>
      </w:r>
      <w:bookmarkStart w:id="783" w:name="_ETM_Q2_567939"/>
      <w:bookmarkEnd w:id="783"/>
      <w:r>
        <w:rPr>
          <w:rFonts w:hint="cs"/>
          <w:rtl/>
        </w:rPr>
        <w:t xml:space="preserve">צה"ל </w:t>
      </w:r>
      <w:bookmarkStart w:id="784" w:name="_ETM_Q2_568939"/>
      <w:bookmarkEnd w:id="784"/>
      <w:r>
        <w:rPr>
          <w:rFonts w:hint="cs"/>
          <w:rtl/>
        </w:rPr>
        <w:t xml:space="preserve">לצבור </w:t>
      </w:r>
      <w:bookmarkStart w:id="785" w:name="_ETM_Q2_569540"/>
      <w:bookmarkEnd w:id="785"/>
      <w:r>
        <w:rPr>
          <w:rFonts w:hint="cs"/>
          <w:rtl/>
        </w:rPr>
        <w:t xml:space="preserve">תאוצה </w:t>
      </w:r>
      <w:bookmarkStart w:id="786" w:name="_ETM_Q2_570470"/>
      <w:bookmarkEnd w:id="786"/>
      <w:r>
        <w:rPr>
          <w:rFonts w:hint="cs"/>
          <w:rtl/>
        </w:rPr>
        <w:t xml:space="preserve">– מי </w:t>
      </w:r>
      <w:bookmarkStart w:id="787" w:name="_ETM_Q2_570680"/>
      <w:bookmarkEnd w:id="787"/>
      <w:r>
        <w:rPr>
          <w:rFonts w:hint="cs"/>
          <w:rtl/>
        </w:rPr>
        <w:t xml:space="preserve">יודע </w:t>
      </w:r>
      <w:bookmarkStart w:id="788" w:name="_ETM_Q2_571009"/>
      <w:bookmarkEnd w:id="788"/>
      <w:r>
        <w:rPr>
          <w:rFonts w:hint="cs"/>
          <w:rtl/>
        </w:rPr>
        <w:t xml:space="preserve">כמה </w:t>
      </w:r>
      <w:bookmarkStart w:id="789" w:name="_ETM_Q2_571820"/>
      <w:bookmarkEnd w:id="789"/>
      <w:r>
        <w:rPr>
          <w:rFonts w:hint="cs"/>
          <w:rtl/>
        </w:rPr>
        <w:t xml:space="preserve">הסתה, </w:t>
      </w:r>
      <w:bookmarkStart w:id="790" w:name="_ETM_Q2_572509"/>
      <w:bookmarkEnd w:id="790"/>
      <w:r>
        <w:rPr>
          <w:rFonts w:hint="cs"/>
          <w:rtl/>
        </w:rPr>
        <w:t xml:space="preserve">כמה </w:t>
      </w:r>
      <w:bookmarkStart w:id="791" w:name="_ETM_Q2_572869"/>
      <w:bookmarkEnd w:id="791"/>
      <w:r>
        <w:rPr>
          <w:rFonts w:hint="cs"/>
          <w:rtl/>
        </w:rPr>
        <w:t xml:space="preserve">אנשים </w:t>
      </w:r>
      <w:bookmarkStart w:id="792" w:name="_ETM_Q2_573229"/>
      <w:bookmarkEnd w:id="792"/>
      <w:r>
        <w:rPr>
          <w:rFonts w:hint="cs"/>
          <w:rtl/>
        </w:rPr>
        <w:t xml:space="preserve">בעולם </w:t>
      </w:r>
      <w:bookmarkStart w:id="793" w:name="_ETM_Q2_573589"/>
      <w:bookmarkEnd w:id="793"/>
      <w:r>
        <w:rPr>
          <w:rFonts w:hint="cs"/>
          <w:rtl/>
        </w:rPr>
        <w:t xml:space="preserve">סבלו </w:t>
      </w:r>
      <w:bookmarkStart w:id="794" w:name="_ETM_Q2_574460"/>
      <w:bookmarkEnd w:id="794"/>
      <w:r>
        <w:rPr>
          <w:rFonts w:hint="cs"/>
          <w:rtl/>
        </w:rPr>
        <w:t xml:space="preserve">מאנטישמיות, </w:t>
      </w:r>
      <w:bookmarkStart w:id="795" w:name="_ETM_Q2_575810"/>
      <w:bookmarkEnd w:id="795"/>
      <w:r>
        <w:rPr>
          <w:rFonts w:hint="cs"/>
          <w:rtl/>
        </w:rPr>
        <w:t xml:space="preserve">כמה </w:t>
      </w:r>
      <w:bookmarkStart w:id="796" w:name="_ETM_Q2_576500"/>
      <w:bookmarkEnd w:id="796"/>
      <w:r>
        <w:rPr>
          <w:rFonts w:hint="cs"/>
          <w:rtl/>
        </w:rPr>
        <w:t xml:space="preserve">חיילי </w:t>
      </w:r>
      <w:bookmarkStart w:id="797" w:name="_ETM_Q2_576920"/>
      <w:bookmarkEnd w:id="797"/>
      <w:r>
        <w:rPr>
          <w:rFonts w:hint="cs"/>
          <w:rtl/>
        </w:rPr>
        <w:t xml:space="preserve">צה"ל </w:t>
      </w:r>
      <w:bookmarkStart w:id="798" w:name="_ETM_Q2_577730"/>
      <w:bookmarkEnd w:id="798"/>
      <w:r>
        <w:rPr>
          <w:rFonts w:hint="cs"/>
          <w:rtl/>
        </w:rPr>
        <w:t xml:space="preserve">סבלו </w:t>
      </w:r>
      <w:bookmarkStart w:id="799" w:name="_ETM_Q2_578240"/>
      <w:bookmarkEnd w:id="799"/>
      <w:r>
        <w:rPr>
          <w:rFonts w:hint="cs"/>
          <w:rtl/>
        </w:rPr>
        <w:t xml:space="preserve">ביזויים </w:t>
      </w:r>
      <w:bookmarkStart w:id="800" w:name="_ETM_Q2_579359"/>
      <w:bookmarkEnd w:id="800"/>
      <w:r>
        <w:rPr>
          <w:rFonts w:hint="cs"/>
          <w:rtl/>
        </w:rPr>
        <w:t xml:space="preserve">בגלל </w:t>
      </w:r>
      <w:bookmarkStart w:id="801" w:name="_ETM_Q2_580109"/>
      <w:bookmarkEnd w:id="801"/>
      <w:r>
        <w:rPr>
          <w:rFonts w:hint="cs"/>
          <w:rtl/>
        </w:rPr>
        <w:t xml:space="preserve">אותה </w:t>
      </w:r>
      <w:bookmarkStart w:id="802" w:name="_ETM_Q2_580439"/>
      <w:bookmarkEnd w:id="802"/>
      <w:r>
        <w:rPr>
          <w:rFonts w:hint="cs"/>
          <w:rtl/>
        </w:rPr>
        <w:t xml:space="preserve">החלטה </w:t>
      </w:r>
      <w:bookmarkStart w:id="803" w:name="_ETM_Q2_580920"/>
      <w:bookmarkEnd w:id="803"/>
      <w:r>
        <w:rPr>
          <w:rFonts w:hint="cs"/>
          <w:rtl/>
        </w:rPr>
        <w:t>ש</w:t>
      </w:r>
      <w:bookmarkStart w:id="804" w:name="_ETM_Q2_581069"/>
      <w:bookmarkEnd w:id="804"/>
      <w:r>
        <w:rPr>
          <w:rFonts w:hint="cs"/>
          <w:rtl/>
        </w:rPr>
        <w:t xml:space="preserve">החליטה המועצה </w:t>
      </w:r>
      <w:bookmarkStart w:id="805" w:name="_ETM_Q2_581520"/>
      <w:bookmarkEnd w:id="805"/>
      <w:r>
        <w:rPr>
          <w:rFonts w:hint="cs"/>
          <w:rtl/>
        </w:rPr>
        <w:t xml:space="preserve">לביקורת </w:t>
      </w:r>
      <w:bookmarkStart w:id="806" w:name="_ETM_Q2_581939"/>
      <w:bookmarkEnd w:id="806"/>
      <w:r>
        <w:rPr>
          <w:rFonts w:hint="cs"/>
          <w:rtl/>
        </w:rPr>
        <w:t xml:space="preserve">סרטים </w:t>
      </w:r>
      <w:bookmarkStart w:id="807" w:name="_ETM_Q2_582270"/>
      <w:bookmarkEnd w:id="807"/>
      <w:r>
        <w:rPr>
          <w:rFonts w:hint="cs"/>
          <w:rtl/>
        </w:rPr>
        <w:t xml:space="preserve">ספרים </w:t>
      </w:r>
      <w:bookmarkStart w:id="808" w:name="_ETM_Q2_582600"/>
      <w:bookmarkEnd w:id="808"/>
      <w:r>
        <w:rPr>
          <w:rFonts w:hint="cs"/>
          <w:rtl/>
        </w:rPr>
        <w:t xml:space="preserve">ומחזות, </w:t>
      </w:r>
      <w:bookmarkStart w:id="809" w:name="_ETM_Q2_583679"/>
      <w:bookmarkEnd w:id="809"/>
      <w:r>
        <w:rPr>
          <w:rFonts w:hint="cs"/>
          <w:rtl/>
        </w:rPr>
        <w:t xml:space="preserve">שכבר </w:t>
      </w:r>
      <w:bookmarkStart w:id="810" w:name="_ETM_Q2_584039"/>
      <w:bookmarkEnd w:id="810"/>
      <w:r>
        <w:rPr>
          <w:rFonts w:hint="cs"/>
          <w:rtl/>
        </w:rPr>
        <w:t xml:space="preserve">לא </w:t>
      </w:r>
      <w:bookmarkStart w:id="811" w:name="_ETM_Q2_584130"/>
      <w:bookmarkEnd w:id="811"/>
      <w:r>
        <w:rPr>
          <w:rFonts w:hint="cs"/>
          <w:rtl/>
        </w:rPr>
        <w:t xml:space="preserve">מבקרת </w:t>
      </w:r>
      <w:bookmarkStart w:id="812" w:name="_ETM_Q2_584609"/>
      <w:bookmarkEnd w:id="812"/>
      <w:r>
        <w:rPr>
          <w:rFonts w:hint="cs"/>
          <w:rtl/>
        </w:rPr>
        <w:t xml:space="preserve">לא ספרים </w:t>
      </w:r>
      <w:bookmarkStart w:id="813" w:name="_ETM_Q2_585029"/>
      <w:bookmarkEnd w:id="813"/>
      <w:r>
        <w:rPr>
          <w:rFonts w:hint="cs"/>
          <w:rtl/>
        </w:rPr>
        <w:t xml:space="preserve">ולא </w:t>
      </w:r>
      <w:bookmarkStart w:id="814" w:name="_ETM_Q2_585179"/>
      <w:bookmarkEnd w:id="814"/>
      <w:r>
        <w:rPr>
          <w:rFonts w:hint="cs"/>
          <w:rtl/>
        </w:rPr>
        <w:t xml:space="preserve">מחזות. </w:t>
      </w:r>
      <w:bookmarkStart w:id="815" w:name="_ETM_Q2_589659"/>
      <w:bookmarkEnd w:id="815"/>
    </w:p>
    <w:p w:rsidR="000C5C1F" w:rsidRDefault="000C5C1F" w:rsidP="000C5C1F">
      <w:pPr>
        <w:rPr>
          <w:rtl/>
        </w:rPr>
      </w:pPr>
    </w:p>
    <w:p w:rsidR="000C5C1F" w:rsidRDefault="000C5C1F" w:rsidP="000C5C1F">
      <w:pPr>
        <w:rPr>
          <w:rtl/>
        </w:rPr>
      </w:pPr>
      <w:r>
        <w:rPr>
          <w:rFonts w:hint="cs"/>
          <w:rtl/>
        </w:rPr>
        <w:t xml:space="preserve">בית </w:t>
      </w:r>
      <w:bookmarkStart w:id="816" w:name="_ETM_Q2_590169"/>
      <w:bookmarkEnd w:id="816"/>
      <w:r>
        <w:rPr>
          <w:rFonts w:hint="cs"/>
          <w:rtl/>
        </w:rPr>
        <w:t xml:space="preserve">המשפט </w:t>
      </w:r>
      <w:bookmarkStart w:id="817" w:name="_ETM_Q2_590529"/>
      <w:bookmarkEnd w:id="817"/>
      <w:r>
        <w:rPr>
          <w:rFonts w:hint="cs"/>
          <w:rtl/>
        </w:rPr>
        <w:t xml:space="preserve">פסק </w:t>
      </w:r>
      <w:bookmarkStart w:id="818" w:name="_ETM_Q2_590950"/>
      <w:bookmarkEnd w:id="818"/>
      <w:r>
        <w:rPr>
          <w:rFonts w:hint="cs"/>
          <w:rtl/>
        </w:rPr>
        <w:t xml:space="preserve">שההחלטה – </w:t>
      </w:r>
      <w:bookmarkStart w:id="819" w:name="_ETM_Q2_591759"/>
      <w:bookmarkEnd w:id="819"/>
      <w:r>
        <w:rPr>
          <w:rFonts w:hint="cs"/>
          <w:rtl/>
        </w:rPr>
        <w:t xml:space="preserve">אגב, </w:t>
      </w:r>
      <w:bookmarkStart w:id="820" w:name="_ETM_Q2_592350"/>
      <w:bookmarkEnd w:id="820"/>
      <w:r>
        <w:rPr>
          <w:rFonts w:hint="cs"/>
          <w:rtl/>
        </w:rPr>
        <w:t xml:space="preserve">באיחור </w:t>
      </w:r>
      <w:bookmarkStart w:id="821" w:name="_ETM_Q2_592920"/>
      <w:bookmarkEnd w:id="821"/>
      <w:r>
        <w:rPr>
          <w:rFonts w:hint="cs"/>
          <w:rtl/>
        </w:rPr>
        <w:t xml:space="preserve">רב </w:t>
      </w:r>
      <w:bookmarkStart w:id="822" w:name="_ETM_Q2_593670"/>
      <w:bookmarkEnd w:id="822"/>
      <w:r>
        <w:rPr>
          <w:rFonts w:hint="cs"/>
          <w:rtl/>
        </w:rPr>
        <w:t xml:space="preserve">קבע </w:t>
      </w:r>
      <w:bookmarkStart w:id="823" w:name="_ETM_Q2_594000"/>
      <w:bookmarkEnd w:id="823"/>
      <w:r>
        <w:rPr>
          <w:rFonts w:hint="cs"/>
          <w:rtl/>
        </w:rPr>
        <w:t xml:space="preserve">בית </w:t>
      </w:r>
      <w:bookmarkStart w:id="824" w:name="_ETM_Q2_594180"/>
      <w:bookmarkEnd w:id="824"/>
      <w:r>
        <w:rPr>
          <w:rFonts w:hint="cs"/>
          <w:rtl/>
        </w:rPr>
        <w:t xml:space="preserve">המשפט </w:t>
      </w:r>
      <w:bookmarkStart w:id="825" w:name="_ETM_Q2_594600"/>
      <w:bookmarkEnd w:id="825"/>
      <w:r>
        <w:rPr>
          <w:rFonts w:hint="cs"/>
          <w:rtl/>
        </w:rPr>
        <w:t xml:space="preserve">למעשה </w:t>
      </w:r>
      <w:bookmarkStart w:id="826" w:name="_ETM_Q2_595290"/>
      <w:bookmarkEnd w:id="826"/>
      <w:r>
        <w:rPr>
          <w:rFonts w:hint="cs"/>
          <w:rtl/>
        </w:rPr>
        <w:t xml:space="preserve">את </w:t>
      </w:r>
      <w:bookmarkStart w:id="827" w:name="_ETM_Q2_595380"/>
      <w:bookmarkEnd w:id="827"/>
      <w:r>
        <w:rPr>
          <w:rFonts w:hint="cs"/>
          <w:rtl/>
        </w:rPr>
        <w:t xml:space="preserve">אותו </w:t>
      </w:r>
      <w:bookmarkStart w:id="828" w:name="_ETM_Q2_595589"/>
      <w:bookmarkEnd w:id="828"/>
      <w:r>
        <w:rPr>
          <w:rFonts w:hint="cs"/>
          <w:rtl/>
        </w:rPr>
        <w:t>דב</w:t>
      </w:r>
      <w:bookmarkStart w:id="829" w:name="_ETM_Q1_669433"/>
      <w:bookmarkStart w:id="830" w:name="_ETM_Q1_669576"/>
      <w:bookmarkStart w:id="831" w:name="_ETM_Q1_582020"/>
      <w:bookmarkStart w:id="832" w:name="_ETM_Q1_128250"/>
      <w:bookmarkStart w:id="833" w:name="_ETM_Q1_665100"/>
      <w:bookmarkStart w:id="834" w:name="_ETM_Q1_665221"/>
      <w:bookmarkStart w:id="835" w:name="_ETM_Q2_596469"/>
      <w:bookmarkEnd w:id="829"/>
      <w:bookmarkEnd w:id="830"/>
      <w:bookmarkEnd w:id="831"/>
      <w:bookmarkEnd w:id="832"/>
      <w:bookmarkEnd w:id="833"/>
      <w:bookmarkEnd w:id="834"/>
      <w:bookmarkEnd w:id="835"/>
      <w:r>
        <w:rPr>
          <w:rFonts w:hint="cs"/>
          <w:rtl/>
        </w:rPr>
        <w:t>ר. אם נסתכל</w:t>
      </w:r>
      <w:bookmarkStart w:id="836" w:name="_ETM_Q2_597394"/>
      <w:bookmarkEnd w:id="836"/>
      <w:r>
        <w:rPr>
          <w:rFonts w:hint="cs"/>
          <w:rtl/>
        </w:rPr>
        <w:t xml:space="preserve"> על פסק הדין הסופי בעניין "ג'נין, ג'נין", בית המשפט למעשה, </w:t>
      </w:r>
      <w:bookmarkStart w:id="837" w:name="_ETM_Q2_604826"/>
      <w:bookmarkEnd w:id="837"/>
      <w:r>
        <w:rPr>
          <w:rFonts w:hint="cs"/>
          <w:rtl/>
        </w:rPr>
        <w:t xml:space="preserve">דה פקטו, הגביל מאוד באמצעות חוק לשון הרע את ההקרנה </w:t>
      </w:r>
      <w:bookmarkStart w:id="838" w:name="_ETM_Q2_606984"/>
      <w:bookmarkEnd w:id="838"/>
      <w:r>
        <w:rPr>
          <w:rFonts w:hint="cs"/>
          <w:rtl/>
        </w:rPr>
        <w:t xml:space="preserve">של הסרט "ג'נין, גנ'ין". זאת אומרת שהמועצה החליטה בזמנו </w:t>
      </w:r>
      <w:bookmarkStart w:id="839" w:name="_ETM_Q2_611899"/>
      <w:bookmarkEnd w:id="839"/>
      <w:r>
        <w:rPr>
          <w:rFonts w:hint="cs"/>
          <w:rtl/>
        </w:rPr>
        <w:t xml:space="preserve">את ההחלטה שאפילו בית המשפט בסוף התהליך חשב </w:t>
      </w:r>
      <w:bookmarkStart w:id="840" w:name="_ETM_Q2_613021"/>
      <w:bookmarkEnd w:id="840"/>
      <w:r>
        <w:rPr>
          <w:rFonts w:hint="cs"/>
          <w:rtl/>
        </w:rPr>
        <w:t xml:space="preserve">שהיא נכונה, והוויכוח כאן הוא אפילו לא על נכונות ההחלטה. </w:t>
      </w:r>
      <w:bookmarkStart w:id="841" w:name="_ETM_Q2_621619"/>
      <w:bookmarkEnd w:id="841"/>
      <w:r>
        <w:rPr>
          <w:rFonts w:hint="cs"/>
          <w:rtl/>
        </w:rPr>
        <w:t>זה כוח פוליטי נטו; זה לא ויכוח על</w:t>
      </w:r>
      <w:bookmarkStart w:id="842" w:name="_ETM_Q2_622626"/>
      <w:bookmarkEnd w:id="842"/>
      <w:r>
        <w:rPr>
          <w:rFonts w:hint="cs"/>
          <w:rtl/>
        </w:rPr>
        <w:t xml:space="preserve"> השאלה מהי ההחלטה הנכונה, זו שאלה מי יחליט. מי </w:t>
      </w:r>
      <w:bookmarkStart w:id="843" w:name="_ETM_Q2_624342"/>
      <w:bookmarkEnd w:id="843"/>
      <w:r>
        <w:rPr>
          <w:rFonts w:hint="cs"/>
          <w:rtl/>
        </w:rPr>
        <w:t xml:space="preserve">אתם, המועצה, שקיבלתם סמכות בחוק לעשות זאת? אנחנו </w:t>
      </w:r>
      <w:bookmarkStart w:id="844" w:name="_ETM_Q2_626440"/>
      <w:bookmarkEnd w:id="844"/>
      <w:r>
        <w:rPr>
          <w:rFonts w:hint="cs"/>
          <w:rtl/>
        </w:rPr>
        <w:t xml:space="preserve">נחליט. כל זמן שאנחנו בבית המשפט העליון לא נחליט, </w:t>
      </w:r>
      <w:bookmarkStart w:id="845" w:name="_ETM_Q2_631904"/>
      <w:bookmarkEnd w:id="845"/>
      <w:r>
        <w:rPr>
          <w:rFonts w:hint="cs"/>
          <w:rtl/>
        </w:rPr>
        <w:t xml:space="preserve">זה לא סביר; ובשנייה שאנחנו נחליט, זה יהפוך לסביר. </w:t>
      </w:r>
      <w:bookmarkStart w:id="846" w:name="_ETM_Q2_637139"/>
      <w:bookmarkStart w:id="847" w:name="_ETM_Q2_637221"/>
      <w:bookmarkStart w:id="848" w:name="_ETM_Q2_637339"/>
      <w:bookmarkStart w:id="849" w:name="_ETM_Q2_637411"/>
      <w:bookmarkEnd w:id="846"/>
      <w:bookmarkEnd w:id="847"/>
      <w:bookmarkEnd w:id="848"/>
      <w:bookmarkEnd w:id="849"/>
      <w:r>
        <w:rPr>
          <w:rFonts w:hint="cs"/>
          <w:rtl/>
        </w:rPr>
        <w:t xml:space="preserve">זו לא דמוקרטיה, זה לא שלטון החוק. זה לא </w:t>
      </w:r>
      <w:bookmarkStart w:id="850" w:name="_ETM_Q2_638542"/>
      <w:bookmarkEnd w:id="850"/>
      <w:r>
        <w:rPr>
          <w:rFonts w:hint="cs"/>
          <w:rtl/>
        </w:rPr>
        <w:t xml:space="preserve">שלטון של חוקים, זה שלטון של אנשים, ואת זה צריך </w:t>
      </w:r>
      <w:bookmarkStart w:id="851" w:name="_ETM_Q2_643654"/>
      <w:bookmarkEnd w:id="851"/>
      <w:r>
        <w:rPr>
          <w:rFonts w:hint="cs"/>
          <w:rtl/>
        </w:rPr>
        <w:t xml:space="preserve">לעצור. </w:t>
      </w:r>
    </w:p>
    <w:p w:rsidR="000C5C1F" w:rsidRDefault="000C5C1F" w:rsidP="000C5C1F">
      <w:pPr>
        <w:rPr>
          <w:rtl/>
        </w:rPr>
      </w:pPr>
    </w:p>
    <w:p w:rsidR="000C5C1F" w:rsidRDefault="000C5C1F" w:rsidP="000C5C1F">
      <w:pPr>
        <w:rPr>
          <w:rtl/>
        </w:rPr>
      </w:pPr>
      <w:r>
        <w:rPr>
          <w:rFonts w:hint="cs"/>
          <w:rtl/>
        </w:rPr>
        <w:t>ה</w:t>
      </w:r>
      <w:bookmarkStart w:id="852" w:name="_ETM_Q2_646614"/>
      <w:bookmarkStart w:id="853" w:name="_ETM_Q2_646727"/>
      <w:bookmarkStart w:id="854" w:name="_ETM_Q2_646789"/>
      <w:bookmarkStart w:id="855" w:name="_ETM_Q2_646884"/>
      <w:bookmarkEnd w:id="852"/>
      <w:bookmarkEnd w:id="853"/>
      <w:bookmarkEnd w:id="854"/>
      <w:bookmarkEnd w:id="855"/>
      <w:r>
        <w:rPr>
          <w:rFonts w:hint="cs"/>
          <w:rtl/>
        </w:rPr>
        <w:t xml:space="preserve">החלטה של שר הביטחון לאסור כניסת משפחות פלסטיניות </w:t>
      </w:r>
      <w:bookmarkStart w:id="856" w:name="_ETM_Q2_645307"/>
      <w:bookmarkEnd w:id="856"/>
      <w:r>
        <w:rPr>
          <w:rFonts w:hint="cs"/>
          <w:rtl/>
        </w:rPr>
        <w:t xml:space="preserve">מיהודה ושומרון לטקס יום הזיכרון האלטרנטיבי – לא סביר; בלימה של </w:t>
      </w:r>
      <w:bookmarkStart w:id="857" w:name="_ETM_Q2_654417"/>
      <w:bookmarkEnd w:id="857"/>
      <w:r>
        <w:rPr>
          <w:rFonts w:hint="cs"/>
          <w:rtl/>
        </w:rPr>
        <w:t>תוכנית הממשלה לפתרון משבר הדיור – לא ס</w:t>
      </w:r>
      <w:bookmarkStart w:id="858" w:name="_ETM_Q2_656893"/>
      <w:bookmarkEnd w:id="858"/>
      <w:r>
        <w:rPr>
          <w:rFonts w:hint="cs"/>
          <w:rtl/>
        </w:rPr>
        <w:t xml:space="preserve">ביר. מחירי הדירות שאתם משלמים כנראה סבירים </w:t>
      </w:r>
      <w:bookmarkStart w:id="859" w:name="_ETM_Q2_664125"/>
      <w:bookmarkEnd w:id="859"/>
      <w:r>
        <w:rPr>
          <w:rFonts w:hint="cs"/>
          <w:rtl/>
        </w:rPr>
        <w:t xml:space="preserve">בעיני בית המשפט העליון, אבל הפעולות של הממשלה לבלום את </w:t>
      </w:r>
      <w:bookmarkStart w:id="860" w:name="_ETM_Q2_662702"/>
      <w:bookmarkEnd w:id="860"/>
      <w:r>
        <w:rPr>
          <w:rFonts w:hint="cs"/>
          <w:rtl/>
        </w:rPr>
        <w:t xml:space="preserve">התייקרות המחירים זה מה שלא סביר. </w:t>
      </w:r>
    </w:p>
    <w:p w:rsidR="000C5C1F" w:rsidRDefault="000C5C1F" w:rsidP="000C5C1F">
      <w:pPr>
        <w:rPr>
          <w:rtl/>
        </w:rPr>
      </w:pPr>
      <w:bookmarkStart w:id="861" w:name="_ETM_Q2_667361"/>
      <w:bookmarkStart w:id="862" w:name="_ETM_Q2_667489"/>
      <w:bookmarkEnd w:id="861"/>
      <w:bookmarkEnd w:id="862"/>
    </w:p>
    <w:p w:rsidR="000C5C1F" w:rsidRDefault="000C5C1F" w:rsidP="000C5C1F">
      <w:pPr>
        <w:pStyle w:val="af8"/>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0C5C1F" w:rsidRDefault="000C5C1F" w:rsidP="00337201">
      <w:pPr>
        <w:rPr>
          <w:rtl/>
        </w:rPr>
      </w:pPr>
    </w:p>
    <w:p w:rsidR="000C5C1F" w:rsidRDefault="000C5C1F" w:rsidP="000C5C1F">
      <w:pPr>
        <w:rPr>
          <w:rtl/>
        </w:rPr>
      </w:pPr>
      <w:r>
        <w:rPr>
          <w:rFonts w:hint="cs"/>
          <w:rtl/>
        </w:rPr>
        <w:t xml:space="preserve">- - - "ג'נין, ג'נין" היה - - </w:t>
      </w:r>
      <w:bookmarkStart w:id="863" w:name="_ETM_Q2_671011"/>
      <w:bookmarkEnd w:id="863"/>
      <w:r>
        <w:rPr>
          <w:rFonts w:hint="cs"/>
          <w:rtl/>
        </w:rPr>
        <w:t xml:space="preserve">- לא </w:t>
      </w:r>
      <w:bookmarkStart w:id="864" w:name="_ETM_Q2_669980"/>
      <w:bookmarkEnd w:id="864"/>
      <w:r>
        <w:rPr>
          <w:rFonts w:hint="cs"/>
          <w:rtl/>
        </w:rPr>
        <w:t xml:space="preserve">יודע מה העובדות. </w:t>
      </w:r>
    </w:p>
    <w:p w:rsidR="000C5C1F" w:rsidRDefault="000C5C1F" w:rsidP="000C5C1F">
      <w:pPr>
        <w:rPr>
          <w:rtl/>
        </w:rPr>
      </w:pPr>
      <w:bookmarkStart w:id="865" w:name="_ETM_Q2_671460"/>
      <w:bookmarkStart w:id="866" w:name="_ETM_Q2_671584"/>
      <w:bookmarkEnd w:id="865"/>
      <w:bookmarkEnd w:id="866"/>
    </w:p>
    <w:p w:rsidR="000C5C1F" w:rsidRDefault="000C5C1F" w:rsidP="000C5C1F">
      <w:pPr>
        <w:pStyle w:val="-"/>
        <w:keepNext/>
        <w:rPr>
          <w:rtl/>
        </w:rPr>
      </w:pPr>
      <w:bookmarkStart w:id="867" w:name="ET_speakercontinue_6157_22"/>
      <w:r>
        <w:rPr>
          <w:rStyle w:val="TagStyle"/>
          <w:rFonts w:hint="cs"/>
          <w:rtl/>
        </w:rPr>
        <w:t xml:space="preserve">&lt;&lt;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67"/>
    </w:p>
    <w:p w:rsidR="000C5C1F" w:rsidRDefault="000C5C1F" w:rsidP="00337201">
      <w:pPr>
        <w:rPr>
          <w:rtl/>
        </w:rPr>
      </w:pPr>
    </w:p>
    <w:p w:rsidR="000C5C1F" w:rsidRDefault="000C5C1F" w:rsidP="000C5C1F">
      <w:pPr>
        <w:rPr>
          <w:rtl/>
        </w:rPr>
      </w:pPr>
      <w:bookmarkStart w:id="868" w:name="_ETM_Q2_672803"/>
      <w:bookmarkEnd w:id="868"/>
      <w:r>
        <w:rPr>
          <w:rFonts w:hint="cs"/>
          <w:rtl/>
        </w:rPr>
        <w:t xml:space="preserve">חיוב שר המדע למנות לתפקיד בכיר פרופסור שתמכה בעצומות של </w:t>
      </w:r>
      <w:bookmarkStart w:id="869" w:name="_ETM_Q2_672349"/>
      <w:bookmarkEnd w:id="869"/>
      <w:r>
        <w:rPr>
          <w:rFonts w:hint="cs"/>
          <w:rtl/>
        </w:rPr>
        <w:t xml:space="preserve">סרבנות – סביר או לא סביר? למנות פרקליט מדינה </w:t>
      </w:r>
      <w:bookmarkStart w:id="870" w:name="_ETM_Q2_678053"/>
      <w:bookmarkEnd w:id="870"/>
      <w:r>
        <w:rPr>
          <w:rFonts w:hint="cs"/>
          <w:rtl/>
        </w:rPr>
        <w:t xml:space="preserve">לשלושה חודשים בתקופה של ממשלה יוצאת </w:t>
      </w:r>
      <w:r>
        <w:t>–</w:t>
      </w:r>
      <w:r>
        <w:rPr>
          <w:rFonts w:hint="cs"/>
          <w:rtl/>
        </w:rPr>
        <w:t xml:space="preserve"> מה פתאום? </w:t>
      </w:r>
      <w:bookmarkStart w:id="871" w:name="_ETM_Q2_689797"/>
      <w:bookmarkStart w:id="872" w:name="_ETM_Q2_689493"/>
      <w:bookmarkStart w:id="873" w:name="_ETM_Q2_689588"/>
      <w:bookmarkStart w:id="874" w:name="_ETM_Q2_689685"/>
      <w:bookmarkStart w:id="875" w:name="_ETM_Q2_689761"/>
      <w:bookmarkStart w:id="876" w:name="_ETM_Q2_688066"/>
      <w:bookmarkStart w:id="877" w:name="_ETM_Q2_688157"/>
      <w:bookmarkStart w:id="878" w:name="_ETM_Q2_688240"/>
      <w:bookmarkStart w:id="879" w:name="_ETM_Q2_688325"/>
      <w:bookmarkEnd w:id="871"/>
      <w:bookmarkEnd w:id="872"/>
      <w:bookmarkEnd w:id="873"/>
      <w:bookmarkEnd w:id="874"/>
      <w:bookmarkEnd w:id="875"/>
      <w:bookmarkEnd w:id="876"/>
      <w:bookmarkEnd w:id="877"/>
      <w:bookmarkEnd w:id="878"/>
      <w:bookmarkEnd w:id="879"/>
      <w:r>
        <w:rPr>
          <w:rFonts w:hint="cs"/>
          <w:rtl/>
        </w:rPr>
        <w:t xml:space="preserve">אדוני יושב-ראש הכנסת, אני מצטער שאני מזכיר משהו ששנינו היינו </w:t>
      </w:r>
      <w:bookmarkStart w:id="880" w:name="_ETM_Q2_686946"/>
      <w:bookmarkEnd w:id="880"/>
      <w:r>
        <w:rPr>
          <w:rFonts w:hint="cs"/>
          <w:rtl/>
        </w:rPr>
        <w:t xml:space="preserve">מעורבים בו, אתה כשר ואני כעורך הדין המייצג; אז </w:t>
      </w:r>
      <w:bookmarkStart w:id="881" w:name="_ETM_Q2_696283"/>
      <w:bookmarkEnd w:id="881"/>
      <w:r>
        <w:rPr>
          <w:rFonts w:hint="cs"/>
          <w:rtl/>
        </w:rPr>
        <w:t>גם לטובת הגילוי הנאות.</w:t>
      </w:r>
      <w:bookmarkStart w:id="882" w:name="_ETM_Q2_701014"/>
      <w:bookmarkStart w:id="883" w:name="_ETM_Q2_701103"/>
      <w:bookmarkStart w:id="884" w:name="_ETM_Q2_701166"/>
      <w:bookmarkStart w:id="885" w:name="_ETM_Q2_701257"/>
      <w:bookmarkEnd w:id="882"/>
      <w:bookmarkEnd w:id="883"/>
      <w:bookmarkEnd w:id="884"/>
      <w:bookmarkEnd w:id="885"/>
      <w:r>
        <w:rPr>
          <w:rFonts w:hint="cs"/>
          <w:rtl/>
        </w:rPr>
        <w:t xml:space="preserve"> למנות פרקליט מדינה לשלושה חודשים </w:t>
      </w:r>
      <w:bookmarkStart w:id="886" w:name="_ETM_Q2_697009"/>
      <w:bookmarkEnd w:id="886"/>
      <w:r>
        <w:rPr>
          <w:rFonts w:hint="cs"/>
          <w:rtl/>
        </w:rPr>
        <w:t xml:space="preserve">לפי ראות עיני השר ובהתאם לסמכות שקבועה לו בחוק – לא </w:t>
      </w:r>
      <w:bookmarkStart w:id="887" w:name="_ETM_Q2_704605"/>
      <w:bookmarkEnd w:id="887"/>
      <w:r>
        <w:rPr>
          <w:rFonts w:hint="cs"/>
          <w:rtl/>
        </w:rPr>
        <w:t xml:space="preserve">סביר; למנות לשמונה שנים, לשמונה </w:t>
      </w:r>
      <w:bookmarkStart w:id="888" w:name="_ETM_Q2_706653"/>
      <w:bookmarkEnd w:id="888"/>
      <w:r>
        <w:rPr>
          <w:rFonts w:hint="cs"/>
          <w:rtl/>
        </w:rPr>
        <w:t xml:space="preserve">שנים, את מני מזוז, אותו שופט שדן בתיק </w:t>
      </w:r>
      <w:bookmarkStart w:id="889" w:name="_ETM_Q2_709758"/>
      <w:bookmarkEnd w:id="889"/>
      <w:r>
        <w:rPr>
          <w:rFonts w:hint="cs"/>
          <w:rtl/>
        </w:rPr>
        <w:t xml:space="preserve">וחשב שזה לא סביר – סברה היועצת המשפטית שזה סביר. ברוך </w:t>
      </w:r>
      <w:bookmarkStart w:id="890" w:name="_ETM_Q2_713845"/>
      <w:bookmarkEnd w:id="890"/>
      <w:r>
        <w:rPr>
          <w:rFonts w:hint="cs"/>
          <w:rtl/>
        </w:rPr>
        <w:t xml:space="preserve">השם שבבג"ץ הגיעו למסקנה שזה לא סביר. </w:t>
      </w:r>
      <w:bookmarkStart w:id="891" w:name="_ETM_Q2_719869"/>
      <w:bookmarkStart w:id="892" w:name="_ETM_Q2_719953"/>
      <w:bookmarkStart w:id="893" w:name="_ETM_Q2_720028"/>
      <w:bookmarkStart w:id="894" w:name="_ETM_Q2_720087"/>
      <w:bookmarkEnd w:id="891"/>
      <w:bookmarkEnd w:id="892"/>
      <w:bookmarkEnd w:id="893"/>
      <w:bookmarkEnd w:id="894"/>
      <w:r>
        <w:rPr>
          <w:rFonts w:hint="cs"/>
          <w:rtl/>
        </w:rPr>
        <w:t xml:space="preserve">זה רק מראה עד כמה הסטנדרטים הם פלואידיים. למנות </w:t>
      </w:r>
      <w:bookmarkStart w:id="895" w:name="_ETM_Q2_723248"/>
      <w:bookmarkEnd w:id="895"/>
      <w:r>
        <w:rPr>
          <w:rFonts w:hint="cs"/>
          <w:rtl/>
        </w:rPr>
        <w:t xml:space="preserve">רמטכ"ל לפני בחירות למרות שהוא ייכנס לתפקידו רק אחרי הבחירות </w:t>
      </w:r>
      <w:bookmarkStart w:id="896" w:name="_ETM_Q2_727570"/>
      <w:bookmarkEnd w:id="896"/>
      <w:r>
        <w:rPr>
          <w:rFonts w:hint="cs"/>
          <w:rtl/>
        </w:rPr>
        <w:t xml:space="preserve">– סביר; למנות מפכ"ל כמעט שנה לפני בחירות או שלושה חודשים </w:t>
      </w:r>
      <w:bookmarkStart w:id="897" w:name="_ETM_Q2_730242"/>
      <w:bookmarkEnd w:id="897"/>
      <w:r>
        <w:rPr>
          <w:rFonts w:hint="cs"/>
          <w:rtl/>
        </w:rPr>
        <w:t xml:space="preserve">לפני בחירות – זה לא סביר. </w:t>
      </w:r>
    </w:p>
    <w:p w:rsidR="000C5C1F" w:rsidRDefault="000C5C1F" w:rsidP="000C5C1F">
      <w:pPr>
        <w:rPr>
          <w:rtl/>
        </w:rPr>
      </w:pPr>
      <w:bookmarkStart w:id="898" w:name="_ETM_Q2_733626"/>
      <w:bookmarkStart w:id="899" w:name="_ETM_Q2_733731"/>
      <w:bookmarkStart w:id="900" w:name="_ETM_Q2_733771"/>
      <w:bookmarkEnd w:id="898"/>
      <w:bookmarkEnd w:id="899"/>
      <w:bookmarkEnd w:id="900"/>
    </w:p>
    <w:p w:rsidR="000C5C1F" w:rsidRDefault="000C5C1F" w:rsidP="000C5C1F">
      <w:pPr>
        <w:rPr>
          <w:rtl/>
        </w:rPr>
      </w:pPr>
      <w:bookmarkStart w:id="901" w:name="_ETM_Q2_733855"/>
      <w:bookmarkEnd w:id="901"/>
      <w:r>
        <w:rPr>
          <w:rFonts w:hint="cs"/>
          <w:rtl/>
        </w:rPr>
        <w:t xml:space="preserve">הסטנדרטים לא קיימים. בסופו של </w:t>
      </w:r>
      <w:bookmarkStart w:id="902" w:name="_ETM_Q2_735859"/>
      <w:bookmarkEnd w:id="902"/>
      <w:r>
        <w:rPr>
          <w:rFonts w:hint="cs"/>
          <w:rtl/>
        </w:rPr>
        <w:t xml:space="preserve">דבר כל פסקי הדין בנושא הסבירות הם: אנחנו נחליט, אנחנו </w:t>
      </w:r>
      <w:bookmarkStart w:id="903" w:name="_ETM_Q2_739704"/>
      <w:bookmarkEnd w:id="903"/>
      <w:r>
        <w:rPr>
          <w:rFonts w:hint="cs"/>
          <w:rtl/>
        </w:rPr>
        <w:t xml:space="preserve">נקבע, אנחנו ננווט. כאשר במדינה דמוקרטית ה"אנחנו" הזה אמור </w:t>
      </w:r>
      <w:bookmarkStart w:id="904" w:name="_ETM_Q2_748203"/>
      <w:bookmarkEnd w:id="904"/>
      <w:r>
        <w:rPr>
          <w:rFonts w:hint="cs"/>
          <w:rtl/>
        </w:rPr>
        <w:t>להיות הציבור ונבחריו, במדינת ישראל של היום ה"אנחנו</w:t>
      </w:r>
      <w:bookmarkStart w:id="905" w:name="_ETM_Q2_753269"/>
      <w:bookmarkEnd w:id="905"/>
      <w:r>
        <w:rPr>
          <w:rFonts w:hint="cs"/>
          <w:rtl/>
        </w:rPr>
        <w:t xml:space="preserve">" הזה הם שופטי בג"ץ. </w:t>
      </w:r>
      <w:bookmarkStart w:id="906" w:name="_ETM_Q2_756269"/>
      <w:bookmarkStart w:id="907" w:name="_ETM_Q2_756383"/>
      <w:bookmarkStart w:id="908" w:name="TOR_Q3"/>
      <w:bookmarkStart w:id="909" w:name="_ETM_Q3_180000"/>
      <w:bookmarkEnd w:id="906"/>
      <w:bookmarkEnd w:id="907"/>
      <w:bookmarkEnd w:id="908"/>
      <w:bookmarkEnd w:id="909"/>
      <w:r>
        <w:rPr>
          <w:rFonts w:hint="cs"/>
          <w:rtl/>
        </w:rPr>
        <w:t>אלו רק דוגמאות מעטות</w:t>
      </w:r>
      <w:bookmarkStart w:id="910" w:name="_ETM_Q3_150886"/>
      <w:bookmarkStart w:id="911" w:name="_ETM_Q3_151013"/>
      <w:bookmarkEnd w:id="910"/>
      <w:bookmarkEnd w:id="911"/>
      <w:r>
        <w:rPr>
          <w:rFonts w:hint="cs"/>
          <w:rtl/>
        </w:rPr>
        <w:t xml:space="preserve"> לכל ההחלטות ה"בלתי-סבירות" </w:t>
      </w:r>
      <w:bookmarkStart w:id="912" w:name="_ETM_Q3_163661"/>
      <w:bookmarkEnd w:id="912"/>
      <w:r>
        <w:rPr>
          <w:rFonts w:hint="cs"/>
          <w:rtl/>
        </w:rPr>
        <w:t xml:space="preserve">שהממשלה, או כל ממשלה, רוצה לקבל. אני </w:t>
      </w:r>
      <w:bookmarkStart w:id="913" w:name="_ETM_Q3_169034"/>
      <w:bookmarkEnd w:id="913"/>
      <w:r>
        <w:rPr>
          <w:rFonts w:hint="cs"/>
          <w:rtl/>
        </w:rPr>
        <w:t xml:space="preserve">אפילו לא מדבר על מראות מבישים כמו קצינים בכירים </w:t>
      </w:r>
      <w:bookmarkStart w:id="914" w:name="_ETM_Q3_170698"/>
      <w:bookmarkEnd w:id="914"/>
      <w:r>
        <w:rPr>
          <w:rFonts w:hint="cs"/>
          <w:rtl/>
        </w:rPr>
        <w:t>שכתנאי למינוים צריכים לעבור בעתירות שמוגשות על בסיס עילת הסבירות</w:t>
      </w:r>
      <w:bookmarkStart w:id="915" w:name="_ETM_Q3_175303"/>
      <w:bookmarkEnd w:id="915"/>
      <w:r>
        <w:rPr>
          <w:rFonts w:hint="cs"/>
          <w:rtl/>
        </w:rPr>
        <w:t xml:space="preserve">; כתנאי למינוים לתפקידם הם צריכים לעבור איזושהי ויה דולורוזה בבג"ץ שבה </w:t>
      </w:r>
      <w:bookmarkStart w:id="916" w:name="_ETM_Q3_180437"/>
      <w:bookmarkEnd w:id="916"/>
      <w:r>
        <w:rPr>
          <w:rFonts w:hint="cs"/>
          <w:rtl/>
        </w:rPr>
        <w:t xml:space="preserve">עוברים על התבטאויות עבר שלהם, בין אם מדובר בדן </w:t>
      </w:r>
      <w:bookmarkStart w:id="917" w:name="_ETM_Q3_188232"/>
      <w:bookmarkEnd w:id="917"/>
      <w:r>
        <w:rPr>
          <w:rFonts w:hint="cs"/>
          <w:rtl/>
        </w:rPr>
        <w:t xml:space="preserve">חלוץ, שצריך להסביר את האמירה על מכה קלה בכנף, ובין </w:t>
      </w:r>
      <w:bookmarkStart w:id="918" w:name="_ETM_Q3_191278"/>
      <w:bookmarkStart w:id="919" w:name="_ETM_Q3_163690"/>
      <w:bookmarkStart w:id="920" w:name="_ETM_Q3_163793"/>
      <w:bookmarkStart w:id="921" w:name="_ETM_Q3_154835"/>
      <w:bookmarkStart w:id="922" w:name="_ETM_Q3_154966"/>
      <w:bookmarkStart w:id="923" w:name="_ETM_Q3_180149"/>
      <w:bookmarkStart w:id="924" w:name="_ETM_Q3_180960"/>
      <w:bookmarkStart w:id="925" w:name="_ETM_Q3_181290"/>
      <w:bookmarkStart w:id="926" w:name="_ETM_Q3_182310"/>
      <w:bookmarkStart w:id="927" w:name="_ETM_Q3_183029"/>
      <w:bookmarkStart w:id="928" w:name="_ETM_Q3_183300"/>
      <w:bookmarkStart w:id="929" w:name="_ETM_Q3_183600"/>
      <w:bookmarkStart w:id="930" w:name="_ETM_Q3_183689"/>
      <w:bookmarkStart w:id="931" w:name="_ETM_Q3_184259"/>
      <w:bookmarkStart w:id="932" w:name="_ETM_Q3_184529"/>
      <w:bookmarkStart w:id="933" w:name="_ETM_Q3_185549"/>
      <w:bookmarkStart w:id="934" w:name="_ETM_Q3_185819"/>
      <w:bookmarkStart w:id="935" w:name="_ETM_Q3_185939"/>
      <w:bookmarkStart w:id="936" w:name="_ETM_Q3_186720"/>
      <w:bookmarkStart w:id="937" w:name="_ETM_Q3_187169"/>
      <w:bookmarkStart w:id="938" w:name="_ETM_Q3_187709"/>
      <w:bookmarkStart w:id="939" w:name="_ETM_Q3_188160"/>
      <w:bookmarkStart w:id="940" w:name="_ETM_Q3_189150"/>
      <w:bookmarkStart w:id="941" w:name="_ETM_Q3_189360"/>
      <w:bookmarkStart w:id="942" w:name="_ETM_Q3_189840"/>
      <w:bookmarkStart w:id="943" w:name="_ETM_Q3_189930"/>
      <w:bookmarkStart w:id="944" w:name="_ETM_Q3_190170"/>
      <w:bookmarkStart w:id="945" w:name="_ETM_Q3_190440"/>
      <w:bookmarkStart w:id="946" w:name="_ETM_Q3_191429"/>
      <w:bookmarkStart w:id="947" w:name="_ETM_Q3_191699"/>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r>
        <w:rPr>
          <w:rFonts w:hint="cs"/>
          <w:rtl/>
        </w:rPr>
        <w:t xml:space="preserve">אם </w:t>
      </w:r>
      <w:bookmarkStart w:id="948" w:name="_ETM_Q3_191820"/>
      <w:bookmarkEnd w:id="948"/>
      <w:r>
        <w:rPr>
          <w:rFonts w:hint="cs"/>
          <w:rtl/>
        </w:rPr>
        <w:t xml:space="preserve">מדובר </w:t>
      </w:r>
      <w:bookmarkStart w:id="949" w:name="_ETM_Q3_192599"/>
      <w:bookmarkEnd w:id="949"/>
      <w:r>
        <w:rPr>
          <w:rFonts w:hint="cs"/>
          <w:rtl/>
        </w:rPr>
        <w:t xml:space="preserve">ברב </w:t>
      </w:r>
      <w:bookmarkStart w:id="950" w:name="_ETM_Q3_192929"/>
      <w:bookmarkEnd w:id="950"/>
      <w:r>
        <w:rPr>
          <w:rFonts w:hint="cs"/>
          <w:rtl/>
        </w:rPr>
        <w:t xml:space="preserve">הצבאי </w:t>
      </w:r>
      <w:bookmarkStart w:id="951" w:name="_ETM_Q3_193289"/>
      <w:bookmarkEnd w:id="951"/>
      <w:r>
        <w:rPr>
          <w:rFonts w:hint="cs"/>
          <w:rtl/>
        </w:rPr>
        <w:t xml:space="preserve">הראשי, </w:t>
      </w:r>
      <w:bookmarkStart w:id="952" w:name="_ETM_Q3_193590"/>
      <w:bookmarkEnd w:id="952"/>
      <w:r>
        <w:rPr>
          <w:rFonts w:hint="cs"/>
          <w:rtl/>
        </w:rPr>
        <w:t xml:space="preserve">שצריך </w:t>
      </w:r>
      <w:bookmarkStart w:id="953" w:name="_ETM_Q3_194039"/>
      <w:bookmarkEnd w:id="953"/>
      <w:r>
        <w:rPr>
          <w:rFonts w:hint="cs"/>
          <w:rtl/>
        </w:rPr>
        <w:t xml:space="preserve">להסביר </w:t>
      </w:r>
      <w:bookmarkStart w:id="954" w:name="_ETM_Q3_194850"/>
      <w:bookmarkEnd w:id="954"/>
      <w:r>
        <w:rPr>
          <w:rFonts w:hint="cs"/>
          <w:rtl/>
        </w:rPr>
        <w:t xml:space="preserve">לחבורת </w:t>
      </w:r>
      <w:bookmarkStart w:id="955" w:name="_ETM_Q3_195389"/>
      <w:bookmarkEnd w:id="955"/>
      <w:r>
        <w:rPr>
          <w:rFonts w:hint="cs"/>
          <w:rtl/>
        </w:rPr>
        <w:t xml:space="preserve">שופטים </w:t>
      </w:r>
      <w:bookmarkStart w:id="956" w:name="_ETM_Q3_195779"/>
      <w:bookmarkEnd w:id="956"/>
      <w:r>
        <w:rPr>
          <w:rFonts w:hint="cs"/>
          <w:rtl/>
        </w:rPr>
        <w:t xml:space="preserve">שאין </w:t>
      </w:r>
      <w:bookmarkStart w:id="957" w:name="_ETM_Q3_195990"/>
      <w:bookmarkEnd w:id="957"/>
      <w:r>
        <w:rPr>
          <w:rFonts w:hint="cs"/>
          <w:rtl/>
        </w:rPr>
        <w:t xml:space="preserve">להם </w:t>
      </w:r>
      <w:bookmarkStart w:id="958" w:name="_ETM_Q3_196260"/>
      <w:bookmarkEnd w:id="958"/>
      <w:r>
        <w:rPr>
          <w:rFonts w:hint="cs"/>
          <w:rtl/>
        </w:rPr>
        <w:t xml:space="preserve">מושג </w:t>
      </w:r>
      <w:bookmarkStart w:id="959" w:name="_ETM_Q3_196829"/>
      <w:bookmarkEnd w:id="959"/>
      <w:r>
        <w:rPr>
          <w:rFonts w:hint="cs"/>
          <w:rtl/>
        </w:rPr>
        <w:t xml:space="preserve">ירוק </w:t>
      </w:r>
      <w:bookmarkStart w:id="960" w:name="_ETM_Q3_197220"/>
      <w:bookmarkEnd w:id="960"/>
      <w:r>
        <w:rPr>
          <w:rFonts w:hint="cs"/>
          <w:rtl/>
        </w:rPr>
        <w:t xml:space="preserve">במה </w:t>
      </w:r>
      <w:bookmarkStart w:id="961" w:name="_ETM_Q3_197460"/>
      <w:bookmarkEnd w:id="961"/>
      <w:r>
        <w:rPr>
          <w:rFonts w:hint="cs"/>
          <w:rtl/>
        </w:rPr>
        <w:t xml:space="preserve">הם </w:t>
      </w:r>
      <w:bookmarkStart w:id="962" w:name="_ETM_Q3_197789"/>
      <w:bookmarkEnd w:id="962"/>
      <w:r>
        <w:rPr>
          <w:rFonts w:hint="cs"/>
          <w:rtl/>
        </w:rPr>
        <w:t xml:space="preserve">עוסקים </w:t>
      </w:r>
      <w:bookmarkStart w:id="963" w:name="_ETM_Q3_198239"/>
      <w:bookmarkEnd w:id="963"/>
      <w:r>
        <w:rPr>
          <w:rFonts w:hint="cs"/>
          <w:rtl/>
        </w:rPr>
        <w:t xml:space="preserve">בכלל </w:t>
      </w:r>
      <w:bookmarkStart w:id="964" w:name="_ETM_Q3_198960"/>
      <w:bookmarkStart w:id="965" w:name="_ETM_Q3_199739"/>
      <w:bookmarkEnd w:id="964"/>
      <w:bookmarkEnd w:id="965"/>
      <w:r>
        <w:rPr>
          <w:rFonts w:hint="cs"/>
          <w:rtl/>
        </w:rPr>
        <w:t xml:space="preserve">איזושהי </w:t>
      </w:r>
      <w:bookmarkStart w:id="966" w:name="_ETM_Q3_200160"/>
      <w:bookmarkEnd w:id="966"/>
      <w:r>
        <w:rPr>
          <w:rFonts w:hint="cs"/>
          <w:rtl/>
        </w:rPr>
        <w:t xml:space="preserve">תשובה </w:t>
      </w:r>
      <w:bookmarkStart w:id="967" w:name="_ETM_Q3_200519"/>
      <w:bookmarkEnd w:id="967"/>
      <w:r>
        <w:rPr>
          <w:rFonts w:hint="cs"/>
          <w:rtl/>
        </w:rPr>
        <w:t xml:space="preserve">שהוא </w:t>
      </w:r>
      <w:bookmarkStart w:id="968" w:name="_ETM_Q3_200670"/>
      <w:bookmarkEnd w:id="968"/>
      <w:r>
        <w:rPr>
          <w:rFonts w:hint="cs"/>
          <w:rtl/>
        </w:rPr>
        <w:t xml:space="preserve">נתן </w:t>
      </w:r>
      <w:bookmarkStart w:id="969" w:name="_ETM_Q3_201000"/>
      <w:bookmarkStart w:id="970" w:name="_ETM_Q3_201329"/>
      <w:bookmarkEnd w:id="969"/>
      <w:bookmarkEnd w:id="970"/>
      <w:r>
        <w:rPr>
          <w:rFonts w:hint="cs"/>
          <w:rtl/>
        </w:rPr>
        <w:t xml:space="preserve">בשו"ת לפני </w:t>
      </w:r>
      <w:bookmarkStart w:id="971" w:name="_ETM_Q3_201599"/>
      <w:bookmarkEnd w:id="971"/>
      <w:r>
        <w:rPr>
          <w:rFonts w:hint="cs"/>
          <w:rtl/>
        </w:rPr>
        <w:t xml:space="preserve">כמה </w:t>
      </w:r>
      <w:bookmarkStart w:id="972" w:name="_ETM_Q3_201839"/>
      <w:bookmarkEnd w:id="972"/>
      <w:r>
        <w:rPr>
          <w:rFonts w:hint="cs"/>
          <w:rtl/>
        </w:rPr>
        <w:t>שנים</w:t>
      </w:r>
      <w:bookmarkStart w:id="973" w:name="_ETM_Q3_202529"/>
      <w:bookmarkEnd w:id="973"/>
      <w:r>
        <w:rPr>
          <w:rFonts w:hint="cs"/>
          <w:rtl/>
        </w:rPr>
        <w:t xml:space="preserve">. והכול, </w:t>
      </w:r>
      <w:bookmarkStart w:id="974" w:name="_ETM_Q3_202919"/>
      <w:bookmarkEnd w:id="974"/>
      <w:r>
        <w:rPr>
          <w:rFonts w:hint="cs"/>
          <w:rtl/>
        </w:rPr>
        <w:t xml:space="preserve">על </w:t>
      </w:r>
      <w:bookmarkStart w:id="975" w:name="_ETM_Q3_203039"/>
      <w:bookmarkEnd w:id="975"/>
      <w:r>
        <w:rPr>
          <w:rFonts w:hint="cs"/>
          <w:rtl/>
        </w:rPr>
        <w:t xml:space="preserve">בסיס </w:t>
      </w:r>
      <w:bookmarkStart w:id="976" w:name="_ETM_Q3_203400"/>
      <w:bookmarkEnd w:id="976"/>
      <w:r>
        <w:rPr>
          <w:rFonts w:hint="cs"/>
          <w:rtl/>
        </w:rPr>
        <w:t xml:space="preserve">מה? </w:t>
      </w:r>
      <w:bookmarkStart w:id="977" w:name="_ETM_Q3_203820"/>
      <w:bookmarkEnd w:id="977"/>
      <w:r>
        <w:rPr>
          <w:rFonts w:hint="cs"/>
          <w:rtl/>
        </w:rPr>
        <w:t xml:space="preserve">על </w:t>
      </w:r>
      <w:bookmarkStart w:id="978" w:name="_ETM_Q3_203970"/>
      <w:bookmarkEnd w:id="978"/>
      <w:r>
        <w:rPr>
          <w:rFonts w:hint="cs"/>
          <w:rtl/>
        </w:rPr>
        <w:t xml:space="preserve">בסיס </w:t>
      </w:r>
      <w:bookmarkStart w:id="979" w:name="_ETM_Q3_204329"/>
      <w:bookmarkEnd w:id="979"/>
      <w:r>
        <w:rPr>
          <w:rFonts w:hint="cs"/>
          <w:rtl/>
        </w:rPr>
        <w:t xml:space="preserve">האמירה </w:t>
      </w:r>
      <w:bookmarkStart w:id="980" w:name="_ETM_Q3_204750"/>
      <w:bookmarkEnd w:id="980"/>
      <w:r>
        <w:rPr>
          <w:rFonts w:hint="cs"/>
          <w:rtl/>
        </w:rPr>
        <w:t xml:space="preserve">פשוטה: </w:t>
      </w:r>
      <w:bookmarkStart w:id="981" w:name="_ETM_Q3_205320"/>
      <w:bookmarkEnd w:id="981"/>
      <w:r>
        <w:rPr>
          <w:rFonts w:hint="cs"/>
          <w:rtl/>
        </w:rPr>
        <w:t xml:space="preserve">אנחנו </w:t>
      </w:r>
      <w:bookmarkStart w:id="982" w:name="_ETM_Q3_205829"/>
      <w:bookmarkEnd w:id="982"/>
      <w:r>
        <w:rPr>
          <w:rFonts w:hint="cs"/>
          <w:rtl/>
        </w:rPr>
        <w:t xml:space="preserve">נחליט, </w:t>
      </w:r>
      <w:bookmarkStart w:id="983" w:name="_ETM_Q3_206220"/>
      <w:bookmarkEnd w:id="983"/>
      <w:r>
        <w:rPr>
          <w:rFonts w:hint="cs"/>
          <w:rtl/>
        </w:rPr>
        <w:t xml:space="preserve">אנחנו </w:t>
      </w:r>
      <w:bookmarkStart w:id="984" w:name="_ETM_Q3_206640"/>
      <w:bookmarkEnd w:id="984"/>
      <w:r>
        <w:rPr>
          <w:rFonts w:hint="cs"/>
          <w:rtl/>
        </w:rPr>
        <w:t xml:space="preserve">בבית </w:t>
      </w:r>
      <w:bookmarkStart w:id="985" w:name="_ETM_Q3_206880"/>
      <w:bookmarkEnd w:id="985"/>
      <w:r>
        <w:rPr>
          <w:rFonts w:hint="cs"/>
          <w:rtl/>
        </w:rPr>
        <w:t xml:space="preserve">המשפט </w:t>
      </w:r>
      <w:bookmarkStart w:id="986" w:name="_ETM_Q3_207300"/>
      <w:bookmarkEnd w:id="986"/>
      <w:r>
        <w:rPr>
          <w:rFonts w:hint="cs"/>
          <w:rtl/>
        </w:rPr>
        <w:t xml:space="preserve">העליון </w:t>
      </w:r>
      <w:bookmarkStart w:id="987" w:name="_ETM_Q3_207630"/>
      <w:bookmarkEnd w:id="987"/>
      <w:r>
        <w:rPr>
          <w:rFonts w:hint="cs"/>
          <w:rtl/>
        </w:rPr>
        <w:t xml:space="preserve">נחליט, </w:t>
      </w:r>
      <w:bookmarkStart w:id="988" w:name="_ETM_Q3_208259"/>
      <w:bookmarkEnd w:id="988"/>
      <w:r>
        <w:rPr>
          <w:rFonts w:hint="cs"/>
          <w:rtl/>
        </w:rPr>
        <w:t xml:space="preserve">ולא </w:t>
      </w:r>
      <w:bookmarkStart w:id="989" w:name="_ETM_Q3_208679"/>
      <w:bookmarkEnd w:id="989"/>
      <w:r>
        <w:rPr>
          <w:rFonts w:hint="cs"/>
          <w:rtl/>
        </w:rPr>
        <w:t xml:space="preserve">אתם, </w:t>
      </w:r>
      <w:bookmarkStart w:id="990" w:name="_ETM_Q3_209009"/>
      <w:bookmarkEnd w:id="990"/>
      <w:r>
        <w:rPr>
          <w:rFonts w:hint="cs"/>
          <w:rtl/>
        </w:rPr>
        <w:t xml:space="preserve">הציבור. </w:t>
      </w:r>
      <w:bookmarkStart w:id="991" w:name="_ETM_Q3_209849"/>
      <w:bookmarkStart w:id="992" w:name="_ETM_Q3_208569"/>
      <w:bookmarkStart w:id="993" w:name="_ETM_Q3_208692"/>
      <w:bookmarkStart w:id="994" w:name="_ETM_Q3_208809"/>
      <w:bookmarkStart w:id="995" w:name="_ETM_Q3_208893"/>
      <w:bookmarkEnd w:id="991"/>
      <w:bookmarkEnd w:id="992"/>
      <w:bookmarkEnd w:id="993"/>
      <w:bookmarkEnd w:id="994"/>
      <w:bookmarkEnd w:id="995"/>
      <w:r>
        <w:rPr>
          <w:rFonts w:hint="cs"/>
          <w:rtl/>
        </w:rPr>
        <w:t xml:space="preserve">לכן </w:t>
      </w:r>
      <w:bookmarkStart w:id="996" w:name="_ETM_Q3_210359"/>
      <w:bookmarkEnd w:id="996"/>
      <w:r>
        <w:rPr>
          <w:rFonts w:hint="cs"/>
          <w:rtl/>
        </w:rPr>
        <w:t xml:space="preserve">עילת </w:t>
      </w:r>
      <w:bookmarkStart w:id="997" w:name="_ETM_Q3_210630"/>
      <w:bookmarkEnd w:id="997"/>
      <w:r>
        <w:rPr>
          <w:rFonts w:hint="cs"/>
          <w:rtl/>
        </w:rPr>
        <w:t xml:space="preserve">הסבירות </w:t>
      </w:r>
      <w:bookmarkStart w:id="998" w:name="_ETM_Q3_211559"/>
      <w:bookmarkEnd w:id="998"/>
      <w:r>
        <w:rPr>
          <w:rFonts w:hint="cs"/>
          <w:rtl/>
        </w:rPr>
        <w:t xml:space="preserve">היא </w:t>
      </w:r>
      <w:bookmarkStart w:id="999" w:name="_ETM_Q3_211710"/>
      <w:bookmarkEnd w:id="999"/>
      <w:r>
        <w:rPr>
          <w:rFonts w:hint="cs"/>
          <w:rtl/>
        </w:rPr>
        <w:t xml:space="preserve">התיקון </w:t>
      </w:r>
      <w:bookmarkStart w:id="1000" w:name="_ETM_Q3_212430"/>
      <w:bookmarkEnd w:id="1000"/>
      <w:r>
        <w:rPr>
          <w:rFonts w:hint="cs"/>
          <w:rtl/>
        </w:rPr>
        <w:t xml:space="preserve">הדמוקרטי </w:t>
      </w:r>
      <w:bookmarkStart w:id="1001" w:name="_ETM_Q3_213690"/>
      <w:bookmarkEnd w:id="1001"/>
      <w:r>
        <w:rPr>
          <w:rFonts w:hint="cs"/>
          <w:rtl/>
        </w:rPr>
        <w:t xml:space="preserve">ההכרחי </w:t>
      </w:r>
      <w:bookmarkStart w:id="1002" w:name="_ETM_Q3_214320"/>
      <w:bookmarkEnd w:id="1002"/>
      <w:r>
        <w:rPr>
          <w:rFonts w:hint="cs"/>
          <w:rtl/>
        </w:rPr>
        <w:t xml:space="preserve">ביותר. </w:t>
      </w:r>
      <w:bookmarkStart w:id="1003" w:name="_ETM_Q3_217370"/>
      <w:bookmarkEnd w:id="1003"/>
    </w:p>
    <w:p w:rsidR="000C5C1F" w:rsidRDefault="000C5C1F" w:rsidP="000C5C1F">
      <w:pPr>
        <w:rPr>
          <w:rtl/>
        </w:rPr>
      </w:pPr>
      <w:bookmarkStart w:id="1004" w:name="_ETM_Q3_216265"/>
      <w:bookmarkStart w:id="1005" w:name="_ETM_Q3_216369"/>
      <w:bookmarkEnd w:id="1004"/>
      <w:bookmarkEnd w:id="1005"/>
    </w:p>
    <w:p w:rsidR="000C5C1F" w:rsidRDefault="000C5C1F" w:rsidP="000C5C1F">
      <w:pPr>
        <w:rPr>
          <w:rtl/>
        </w:rPr>
      </w:pPr>
      <w:bookmarkStart w:id="1006" w:name="_ETM_Q3_216473"/>
      <w:bookmarkStart w:id="1007" w:name="_ETM_Q3_216557"/>
      <w:bookmarkEnd w:id="1006"/>
      <w:bookmarkEnd w:id="1007"/>
      <w:r>
        <w:rPr>
          <w:rFonts w:hint="cs"/>
          <w:rtl/>
        </w:rPr>
        <w:t xml:space="preserve">אני </w:t>
      </w:r>
      <w:bookmarkStart w:id="1008" w:name="_ETM_Q3_217609"/>
      <w:bookmarkEnd w:id="1008"/>
      <w:r>
        <w:rPr>
          <w:rFonts w:hint="cs"/>
          <w:rtl/>
        </w:rPr>
        <w:t xml:space="preserve">אשמור </w:t>
      </w:r>
      <w:bookmarkStart w:id="1009" w:name="_ETM_Q3_218030"/>
      <w:bookmarkEnd w:id="1009"/>
      <w:r>
        <w:rPr>
          <w:rFonts w:hint="cs"/>
          <w:rtl/>
        </w:rPr>
        <w:t xml:space="preserve">כמובן </w:t>
      </w:r>
      <w:bookmarkStart w:id="1010" w:name="_ETM_Q3_218629"/>
      <w:bookmarkEnd w:id="1010"/>
      <w:r>
        <w:rPr>
          <w:rFonts w:hint="cs"/>
          <w:rtl/>
        </w:rPr>
        <w:t xml:space="preserve">לדברי </w:t>
      </w:r>
      <w:bookmarkStart w:id="1011" w:name="_ETM_Q3_219079"/>
      <w:bookmarkEnd w:id="1011"/>
      <w:r>
        <w:rPr>
          <w:rFonts w:hint="cs"/>
          <w:rtl/>
        </w:rPr>
        <w:t xml:space="preserve">הסיכום </w:t>
      </w:r>
      <w:bookmarkStart w:id="1012" w:name="_ETM_Q3_219829"/>
      <w:bookmarkEnd w:id="1012"/>
      <w:r>
        <w:rPr>
          <w:rFonts w:hint="cs"/>
          <w:rtl/>
        </w:rPr>
        <w:t xml:space="preserve">כמה </w:t>
      </w:r>
      <w:bookmarkStart w:id="1013" w:name="_ETM_Q3_220100"/>
      <w:bookmarkEnd w:id="1013"/>
      <w:r>
        <w:rPr>
          <w:rFonts w:hint="cs"/>
          <w:rtl/>
        </w:rPr>
        <w:t xml:space="preserve">וכמה </w:t>
      </w:r>
      <w:bookmarkStart w:id="1014" w:name="_ETM_Q3_220820"/>
      <w:bookmarkEnd w:id="1014"/>
      <w:r>
        <w:rPr>
          <w:rFonts w:hint="cs"/>
          <w:rtl/>
        </w:rPr>
        <w:t xml:space="preserve">נקודות </w:t>
      </w:r>
      <w:bookmarkStart w:id="1015" w:name="_ETM_Q3_221390"/>
      <w:bookmarkEnd w:id="1015"/>
      <w:r>
        <w:rPr>
          <w:rFonts w:hint="cs"/>
          <w:rtl/>
        </w:rPr>
        <w:t xml:space="preserve">שעלו </w:t>
      </w:r>
      <w:bookmarkStart w:id="1016" w:name="_ETM_Q3_221659"/>
      <w:bookmarkEnd w:id="1016"/>
      <w:r>
        <w:rPr>
          <w:rFonts w:hint="cs"/>
          <w:rtl/>
        </w:rPr>
        <w:t xml:space="preserve">גם </w:t>
      </w:r>
      <w:bookmarkStart w:id="1017" w:name="_ETM_Q3_221839"/>
      <w:bookmarkEnd w:id="1017"/>
      <w:r>
        <w:rPr>
          <w:rFonts w:hint="cs"/>
          <w:rtl/>
        </w:rPr>
        <w:t xml:space="preserve">במסגרת </w:t>
      </w:r>
      <w:bookmarkStart w:id="1018" w:name="_ETM_Q3_222289"/>
      <w:bookmarkEnd w:id="1018"/>
      <w:r>
        <w:rPr>
          <w:rFonts w:hint="cs"/>
          <w:rtl/>
        </w:rPr>
        <w:t xml:space="preserve">דיוני </w:t>
      </w:r>
      <w:bookmarkStart w:id="1019" w:name="_ETM_Q3_222620"/>
      <w:bookmarkEnd w:id="1019"/>
      <w:r>
        <w:rPr>
          <w:rFonts w:hint="cs"/>
          <w:rtl/>
        </w:rPr>
        <w:t xml:space="preserve">הוועדה, </w:t>
      </w:r>
      <w:bookmarkStart w:id="1020" w:name="_ETM_Q3_223650"/>
      <w:bookmarkEnd w:id="1020"/>
      <w:r>
        <w:rPr>
          <w:rFonts w:hint="cs"/>
          <w:rtl/>
        </w:rPr>
        <w:t xml:space="preserve">אבל </w:t>
      </w:r>
      <w:bookmarkStart w:id="1021" w:name="_ETM_Q3_224159"/>
      <w:bookmarkEnd w:id="1021"/>
      <w:r>
        <w:rPr>
          <w:rFonts w:hint="cs"/>
          <w:rtl/>
        </w:rPr>
        <w:t xml:space="preserve">ההבנה </w:t>
      </w:r>
      <w:bookmarkStart w:id="1022" w:name="_ETM_Q3_224790"/>
      <w:bookmarkEnd w:id="1022"/>
      <w:r>
        <w:rPr>
          <w:rFonts w:hint="cs"/>
          <w:rtl/>
        </w:rPr>
        <w:t xml:space="preserve">הזאת, </w:t>
      </w:r>
      <w:bookmarkStart w:id="1023" w:name="_ETM_Q3_225570"/>
      <w:bookmarkEnd w:id="1023"/>
      <w:r>
        <w:rPr>
          <w:rFonts w:hint="cs"/>
          <w:rtl/>
        </w:rPr>
        <w:t xml:space="preserve">שאומרת </w:t>
      </w:r>
      <w:bookmarkStart w:id="1024" w:name="_ETM_Q3_226320"/>
      <w:bookmarkEnd w:id="1024"/>
      <w:r>
        <w:rPr>
          <w:rFonts w:hint="cs"/>
          <w:rtl/>
        </w:rPr>
        <w:t xml:space="preserve">שעילת </w:t>
      </w:r>
      <w:bookmarkStart w:id="1025" w:name="_ETM_Q3_226740"/>
      <w:bookmarkEnd w:id="1025"/>
      <w:r>
        <w:rPr>
          <w:rFonts w:hint="cs"/>
          <w:rtl/>
        </w:rPr>
        <w:t xml:space="preserve">הסבירות, </w:t>
      </w:r>
      <w:bookmarkStart w:id="1026" w:name="_ETM_Q3_227550"/>
      <w:bookmarkEnd w:id="1026"/>
      <w:r>
        <w:rPr>
          <w:rFonts w:hint="cs"/>
          <w:rtl/>
        </w:rPr>
        <w:t xml:space="preserve">גם </w:t>
      </w:r>
      <w:bookmarkStart w:id="1027" w:name="_ETM_Q3_227790"/>
      <w:bookmarkEnd w:id="1027"/>
      <w:r>
        <w:rPr>
          <w:rFonts w:hint="cs"/>
          <w:rtl/>
        </w:rPr>
        <w:t xml:space="preserve">כאשר </w:t>
      </w:r>
      <w:bookmarkStart w:id="1028" w:name="_ETM_Q3_228120"/>
      <w:bookmarkEnd w:id="1028"/>
      <w:r>
        <w:rPr>
          <w:rFonts w:hint="cs"/>
          <w:rtl/>
        </w:rPr>
        <w:t xml:space="preserve">מפעילים </w:t>
      </w:r>
      <w:bookmarkStart w:id="1029" w:name="_ETM_Q3_228540"/>
      <w:bookmarkEnd w:id="1029"/>
      <w:r>
        <w:rPr>
          <w:rFonts w:hint="cs"/>
          <w:rtl/>
        </w:rPr>
        <w:t xml:space="preserve">אותה </w:t>
      </w:r>
      <w:bookmarkStart w:id="1030" w:name="_ETM_Q3_228810"/>
      <w:bookmarkEnd w:id="1030"/>
      <w:r>
        <w:rPr>
          <w:rFonts w:hint="cs"/>
          <w:rtl/>
        </w:rPr>
        <w:t xml:space="preserve">על פקידות </w:t>
      </w:r>
      <w:bookmarkStart w:id="1031" w:name="_ETM_Q3_229200"/>
      <w:bookmarkEnd w:id="1031"/>
      <w:r>
        <w:rPr>
          <w:rFonts w:hint="cs"/>
          <w:rtl/>
        </w:rPr>
        <w:t xml:space="preserve">בדרג </w:t>
      </w:r>
      <w:bookmarkStart w:id="1032" w:name="_ETM_Q3_229590"/>
      <w:bookmarkEnd w:id="1032"/>
      <w:r>
        <w:rPr>
          <w:rFonts w:hint="cs"/>
          <w:rtl/>
        </w:rPr>
        <w:t xml:space="preserve">נמוך, </w:t>
      </w:r>
      <w:bookmarkStart w:id="1033" w:name="_ETM_Q3_230540"/>
      <w:bookmarkEnd w:id="1033"/>
      <w:r>
        <w:rPr>
          <w:rFonts w:hint="cs"/>
          <w:rtl/>
        </w:rPr>
        <w:t xml:space="preserve">מהווה </w:t>
      </w:r>
      <w:bookmarkStart w:id="1034" w:name="_ETM_Q3_231159"/>
      <w:bookmarkEnd w:id="1034"/>
      <w:r>
        <w:rPr>
          <w:rFonts w:hint="cs"/>
          <w:rtl/>
        </w:rPr>
        <w:t xml:space="preserve">פגיעה </w:t>
      </w:r>
      <w:bookmarkStart w:id="1035" w:name="_ETM_Q3_231400"/>
      <w:bookmarkEnd w:id="1035"/>
      <w:r>
        <w:rPr>
          <w:rFonts w:hint="cs"/>
          <w:rtl/>
        </w:rPr>
        <w:t xml:space="preserve">בעקרון </w:t>
      </w:r>
      <w:bookmarkStart w:id="1036" w:name="_ETM_Q3_231760"/>
      <w:bookmarkEnd w:id="1036"/>
      <w:r>
        <w:rPr>
          <w:rFonts w:hint="cs"/>
          <w:rtl/>
        </w:rPr>
        <w:t xml:space="preserve">הפרדת </w:t>
      </w:r>
      <w:bookmarkStart w:id="1037" w:name="_ETM_Q3_232150"/>
      <w:bookmarkEnd w:id="1037"/>
      <w:r>
        <w:rPr>
          <w:rFonts w:hint="cs"/>
          <w:rtl/>
        </w:rPr>
        <w:t xml:space="preserve">הרשויות </w:t>
      </w:r>
      <w:bookmarkStart w:id="1038" w:name="_ETM_Q3_233750"/>
      <w:bookmarkEnd w:id="1038"/>
      <w:r>
        <w:rPr>
          <w:rFonts w:hint="cs"/>
          <w:rtl/>
        </w:rPr>
        <w:t xml:space="preserve">– גם </w:t>
      </w:r>
      <w:bookmarkStart w:id="1039" w:name="_ETM_Q3_234230"/>
      <w:bookmarkEnd w:id="1039"/>
      <w:r>
        <w:rPr>
          <w:rFonts w:hint="cs"/>
          <w:rtl/>
        </w:rPr>
        <w:t xml:space="preserve">יועץ </w:t>
      </w:r>
      <w:bookmarkStart w:id="1040" w:name="_ETM_Q3_234590"/>
      <w:bookmarkEnd w:id="1040"/>
      <w:r>
        <w:rPr>
          <w:rFonts w:hint="cs"/>
          <w:rtl/>
        </w:rPr>
        <w:t xml:space="preserve">משפטי </w:t>
      </w:r>
      <w:bookmarkStart w:id="1041" w:name="_ETM_Q3_235040"/>
      <w:bookmarkEnd w:id="1041"/>
      <w:r>
        <w:rPr>
          <w:rFonts w:hint="cs"/>
          <w:rtl/>
        </w:rPr>
        <w:t xml:space="preserve">לממשלה </w:t>
      </w:r>
      <w:bookmarkStart w:id="1042" w:name="_ETM_Q3_235550"/>
      <w:bookmarkEnd w:id="1042"/>
      <w:r>
        <w:rPr>
          <w:rFonts w:hint="cs"/>
          <w:rtl/>
        </w:rPr>
        <w:t xml:space="preserve">הוא </w:t>
      </w:r>
      <w:bookmarkStart w:id="1043" w:name="_ETM_Q3_235640"/>
      <w:bookmarkEnd w:id="1043"/>
      <w:r>
        <w:rPr>
          <w:rFonts w:hint="cs"/>
          <w:rtl/>
        </w:rPr>
        <w:t xml:space="preserve">חלק </w:t>
      </w:r>
      <w:bookmarkStart w:id="1044" w:name="_ETM_Q3_235910"/>
      <w:bookmarkEnd w:id="1044"/>
      <w:r>
        <w:rPr>
          <w:rFonts w:hint="cs"/>
          <w:rtl/>
        </w:rPr>
        <w:t xml:space="preserve">מהרשות </w:t>
      </w:r>
      <w:bookmarkStart w:id="1045" w:name="_ETM_Q3_236329"/>
      <w:bookmarkEnd w:id="1045"/>
      <w:r>
        <w:rPr>
          <w:rFonts w:hint="cs"/>
          <w:rtl/>
        </w:rPr>
        <w:t xml:space="preserve">המבצעת, </w:t>
      </w:r>
      <w:bookmarkStart w:id="1046" w:name="_ETM_Q3_237390"/>
      <w:bookmarkEnd w:id="1046"/>
      <w:r>
        <w:rPr>
          <w:rFonts w:hint="cs"/>
          <w:rtl/>
        </w:rPr>
        <w:t xml:space="preserve">גם </w:t>
      </w:r>
      <w:bookmarkStart w:id="1047" w:name="_ETM_Q3_237690"/>
      <w:bookmarkEnd w:id="1047"/>
      <w:r>
        <w:rPr>
          <w:rFonts w:hint="cs"/>
          <w:rtl/>
        </w:rPr>
        <w:t xml:space="preserve">רמטכ"ל </w:t>
      </w:r>
      <w:bookmarkStart w:id="1048" w:name="_ETM_Q3_238170"/>
      <w:bookmarkEnd w:id="1048"/>
      <w:r>
        <w:rPr>
          <w:rFonts w:hint="cs"/>
          <w:rtl/>
        </w:rPr>
        <w:t xml:space="preserve">הוא </w:t>
      </w:r>
      <w:bookmarkStart w:id="1049" w:name="_ETM_Q3_238230"/>
      <w:bookmarkEnd w:id="1049"/>
      <w:r>
        <w:rPr>
          <w:rFonts w:hint="cs"/>
          <w:rtl/>
        </w:rPr>
        <w:t xml:space="preserve">חלק </w:t>
      </w:r>
      <w:bookmarkStart w:id="1050" w:name="_ETM_Q3_238470"/>
      <w:bookmarkEnd w:id="1050"/>
      <w:r>
        <w:rPr>
          <w:rFonts w:hint="cs"/>
          <w:rtl/>
        </w:rPr>
        <w:t xml:space="preserve">מהרשות </w:t>
      </w:r>
      <w:bookmarkStart w:id="1051" w:name="_ETM_Q3_238890"/>
      <w:bookmarkEnd w:id="1051"/>
      <w:r>
        <w:rPr>
          <w:rFonts w:hint="cs"/>
          <w:rtl/>
        </w:rPr>
        <w:t xml:space="preserve">המבצעת; </w:t>
      </w:r>
      <w:bookmarkStart w:id="1052" w:name="_ETM_Q3_239730"/>
      <w:bookmarkEnd w:id="1052"/>
      <w:r>
        <w:rPr>
          <w:rFonts w:hint="cs"/>
          <w:rtl/>
        </w:rPr>
        <w:t xml:space="preserve">כאשר </w:t>
      </w:r>
      <w:bookmarkStart w:id="1053" w:name="_ETM_Q3_240390"/>
      <w:bookmarkEnd w:id="1053"/>
      <w:r>
        <w:rPr>
          <w:rFonts w:hint="cs"/>
          <w:rtl/>
        </w:rPr>
        <w:t xml:space="preserve">בא </w:t>
      </w:r>
      <w:bookmarkStart w:id="1054" w:name="_ETM_Q3_240600"/>
      <w:bookmarkEnd w:id="1054"/>
      <w:r>
        <w:rPr>
          <w:rFonts w:hint="cs"/>
          <w:rtl/>
        </w:rPr>
        <w:t xml:space="preserve">בית </w:t>
      </w:r>
      <w:bookmarkStart w:id="1055" w:name="_ETM_Q3_240780"/>
      <w:bookmarkEnd w:id="1055"/>
      <w:r>
        <w:rPr>
          <w:rFonts w:hint="cs"/>
          <w:rtl/>
        </w:rPr>
        <w:t xml:space="preserve">המשפט </w:t>
      </w:r>
      <w:bookmarkStart w:id="1056" w:name="_ETM_Q3_241200"/>
      <w:bookmarkEnd w:id="1056"/>
      <w:r>
        <w:rPr>
          <w:rFonts w:hint="cs"/>
          <w:rtl/>
        </w:rPr>
        <w:t xml:space="preserve">ומעביר </w:t>
      </w:r>
      <w:bookmarkStart w:id="1057" w:name="_ETM_Q3_241980"/>
      <w:bookmarkEnd w:id="1057"/>
      <w:r>
        <w:rPr>
          <w:rFonts w:hint="cs"/>
          <w:rtl/>
        </w:rPr>
        <w:t xml:space="preserve">במבחני </w:t>
      </w:r>
      <w:bookmarkStart w:id="1058" w:name="_ETM_Q3_242910"/>
      <w:bookmarkEnd w:id="1058"/>
      <w:r>
        <w:rPr>
          <w:rFonts w:hint="cs"/>
          <w:rtl/>
        </w:rPr>
        <w:t xml:space="preserve">הסבירות </w:t>
      </w:r>
      <w:bookmarkStart w:id="1059" w:name="_ETM_Q3_243690"/>
      <w:bookmarkEnd w:id="1059"/>
      <w:r>
        <w:rPr>
          <w:rFonts w:hint="cs"/>
          <w:rtl/>
        </w:rPr>
        <w:t xml:space="preserve">את </w:t>
      </w:r>
      <w:bookmarkStart w:id="1060" w:name="_ETM_Q3_243870"/>
      <w:bookmarkEnd w:id="1060"/>
      <w:r>
        <w:rPr>
          <w:rFonts w:hint="cs"/>
          <w:rtl/>
        </w:rPr>
        <w:t xml:space="preserve">החלטותיהם, </w:t>
      </w:r>
      <w:bookmarkStart w:id="1061" w:name="_ETM_Q3_244830"/>
      <w:bookmarkEnd w:id="1061"/>
      <w:r>
        <w:rPr>
          <w:rFonts w:hint="cs"/>
          <w:rtl/>
        </w:rPr>
        <w:t xml:space="preserve">הוא </w:t>
      </w:r>
      <w:bookmarkStart w:id="1062" w:name="_ETM_Q3_244980"/>
      <w:bookmarkEnd w:id="1062"/>
      <w:r>
        <w:rPr>
          <w:rFonts w:hint="cs"/>
          <w:rtl/>
        </w:rPr>
        <w:t xml:space="preserve">מסיג </w:t>
      </w:r>
      <w:bookmarkStart w:id="1063" w:name="_ETM_Q3_245310"/>
      <w:bookmarkEnd w:id="1063"/>
      <w:r>
        <w:rPr>
          <w:rFonts w:hint="cs"/>
          <w:rtl/>
        </w:rPr>
        <w:t xml:space="preserve">את </w:t>
      </w:r>
      <w:bookmarkStart w:id="1064" w:name="_ETM_Q3_245430"/>
      <w:bookmarkEnd w:id="1064"/>
      <w:r>
        <w:rPr>
          <w:rFonts w:hint="cs"/>
          <w:rtl/>
        </w:rPr>
        <w:t xml:space="preserve">גבולם. </w:t>
      </w:r>
      <w:bookmarkStart w:id="1065" w:name="_ETM_Q3_246359"/>
      <w:bookmarkStart w:id="1066" w:name="_ETM_Q3_249066"/>
      <w:bookmarkStart w:id="1067" w:name="_ETM_Q3_249168"/>
      <w:bookmarkStart w:id="1068" w:name="_ETM_Q3_249242"/>
      <w:bookmarkStart w:id="1069" w:name="_ETM_Q3_249329"/>
      <w:bookmarkEnd w:id="1065"/>
      <w:bookmarkEnd w:id="1066"/>
      <w:bookmarkEnd w:id="1067"/>
      <w:bookmarkEnd w:id="1068"/>
      <w:bookmarkEnd w:id="1069"/>
      <w:r>
        <w:rPr>
          <w:rFonts w:hint="cs"/>
          <w:rtl/>
        </w:rPr>
        <w:t xml:space="preserve">אבל </w:t>
      </w:r>
      <w:bookmarkStart w:id="1070" w:name="_ETM_Q3_246719"/>
      <w:bookmarkEnd w:id="1070"/>
      <w:r>
        <w:rPr>
          <w:rFonts w:hint="cs"/>
          <w:rtl/>
        </w:rPr>
        <w:t xml:space="preserve">כאשר </w:t>
      </w:r>
      <w:bookmarkStart w:id="1071" w:name="_ETM_Q3_247109"/>
      <w:bookmarkEnd w:id="1071"/>
      <w:r>
        <w:rPr>
          <w:rFonts w:hint="cs"/>
          <w:rtl/>
        </w:rPr>
        <w:t xml:space="preserve">אנחנו </w:t>
      </w:r>
      <w:bookmarkStart w:id="1072" w:name="_ETM_Q3_247380"/>
      <w:bookmarkEnd w:id="1072"/>
      <w:r>
        <w:rPr>
          <w:rFonts w:hint="cs"/>
          <w:rtl/>
        </w:rPr>
        <w:t xml:space="preserve">עוסקים </w:t>
      </w:r>
      <w:bookmarkStart w:id="1073" w:name="_ETM_Q3_247649"/>
      <w:bookmarkEnd w:id="1073"/>
      <w:r>
        <w:rPr>
          <w:rFonts w:hint="cs"/>
          <w:rtl/>
        </w:rPr>
        <w:t xml:space="preserve">בנבחרי </w:t>
      </w:r>
      <w:bookmarkStart w:id="1074" w:name="_ETM_Q3_248219"/>
      <w:bookmarkEnd w:id="1074"/>
      <w:r>
        <w:rPr>
          <w:rFonts w:hint="cs"/>
          <w:rtl/>
        </w:rPr>
        <w:t xml:space="preserve">ציבור, </w:t>
      </w:r>
      <w:bookmarkStart w:id="1075" w:name="_ETM_Q3_248999"/>
      <w:bookmarkStart w:id="1076" w:name="_ETM_Q3_249630"/>
      <w:bookmarkEnd w:id="1075"/>
      <w:bookmarkEnd w:id="1076"/>
      <w:r>
        <w:rPr>
          <w:rFonts w:hint="cs"/>
          <w:rtl/>
        </w:rPr>
        <w:t xml:space="preserve">בנוסף </w:t>
      </w:r>
      <w:bookmarkStart w:id="1077" w:name="_ETM_Q3_250780"/>
      <w:bookmarkEnd w:id="1077"/>
      <w:r>
        <w:rPr>
          <w:rFonts w:hint="cs"/>
          <w:rtl/>
        </w:rPr>
        <w:t xml:space="preserve">לפגיעה </w:t>
      </w:r>
      <w:bookmarkStart w:id="1078" w:name="_ETM_Q3_251350"/>
      <w:bookmarkEnd w:id="1078"/>
      <w:r>
        <w:rPr>
          <w:rFonts w:hint="cs"/>
          <w:rtl/>
        </w:rPr>
        <w:t xml:space="preserve">בעקרון </w:t>
      </w:r>
      <w:bookmarkStart w:id="1079" w:name="_ETM_Q3_251740"/>
      <w:bookmarkEnd w:id="1079"/>
      <w:r>
        <w:rPr>
          <w:rFonts w:hint="cs"/>
          <w:rtl/>
        </w:rPr>
        <w:t xml:space="preserve">הפרדת </w:t>
      </w:r>
      <w:bookmarkStart w:id="1080" w:name="_ETM_Q3_252160"/>
      <w:bookmarkEnd w:id="1080"/>
      <w:r>
        <w:rPr>
          <w:rFonts w:hint="cs"/>
          <w:rtl/>
        </w:rPr>
        <w:t xml:space="preserve">הרשויות </w:t>
      </w:r>
      <w:bookmarkStart w:id="1081" w:name="_ETM_Q3_252610"/>
      <w:bookmarkEnd w:id="1081"/>
      <w:r>
        <w:rPr>
          <w:rFonts w:hint="cs"/>
          <w:rtl/>
        </w:rPr>
        <w:t xml:space="preserve">הכללי </w:t>
      </w:r>
      <w:bookmarkStart w:id="1082" w:name="_ETM_Q3_253360"/>
      <w:bookmarkEnd w:id="1082"/>
      <w:r>
        <w:rPr>
          <w:rFonts w:hint="cs"/>
          <w:rtl/>
        </w:rPr>
        <w:t xml:space="preserve">מדובר </w:t>
      </w:r>
      <w:bookmarkStart w:id="1083" w:name="_ETM_Q3_254050"/>
      <w:bookmarkEnd w:id="1083"/>
      <w:r>
        <w:rPr>
          <w:rFonts w:hint="cs"/>
          <w:rtl/>
        </w:rPr>
        <w:t xml:space="preserve">גם </w:t>
      </w:r>
      <w:bookmarkStart w:id="1084" w:name="_ETM_Q3_254860"/>
      <w:bookmarkEnd w:id="1084"/>
      <w:r>
        <w:rPr>
          <w:rFonts w:hint="cs"/>
          <w:rtl/>
        </w:rPr>
        <w:t xml:space="preserve">בפגיעה </w:t>
      </w:r>
      <w:bookmarkStart w:id="1085" w:name="_ETM_Q3_255400"/>
      <w:bookmarkEnd w:id="1085"/>
      <w:r>
        <w:rPr>
          <w:rFonts w:hint="cs"/>
          <w:rtl/>
        </w:rPr>
        <w:t xml:space="preserve">בעקרון </w:t>
      </w:r>
      <w:bookmarkStart w:id="1086" w:name="_ETM_Q3_255880"/>
      <w:bookmarkEnd w:id="1086"/>
      <w:r>
        <w:rPr>
          <w:rFonts w:hint="cs"/>
          <w:rtl/>
        </w:rPr>
        <w:t xml:space="preserve">הדמוקרטי </w:t>
      </w:r>
      <w:bookmarkStart w:id="1087" w:name="_ETM_Q3_256720"/>
      <w:bookmarkEnd w:id="1087"/>
      <w:r>
        <w:rPr>
          <w:rFonts w:hint="cs"/>
          <w:rtl/>
        </w:rPr>
        <w:t xml:space="preserve">והייצוגי </w:t>
      </w:r>
      <w:bookmarkStart w:id="1088" w:name="_ETM_Q3_257740"/>
      <w:bookmarkEnd w:id="1088"/>
      <w:r>
        <w:rPr>
          <w:rFonts w:hint="cs"/>
          <w:rtl/>
        </w:rPr>
        <w:t xml:space="preserve">של </w:t>
      </w:r>
      <w:bookmarkStart w:id="1089" w:name="_ETM_Q3_258250"/>
      <w:bookmarkEnd w:id="1089"/>
      <w:r>
        <w:rPr>
          <w:rFonts w:hint="cs"/>
          <w:rtl/>
        </w:rPr>
        <w:t xml:space="preserve">כל </w:t>
      </w:r>
      <w:bookmarkStart w:id="1090" w:name="_ETM_Q3_258670"/>
      <w:bookmarkEnd w:id="1090"/>
      <w:r>
        <w:rPr>
          <w:rFonts w:hint="cs"/>
          <w:rtl/>
        </w:rPr>
        <w:t xml:space="preserve">מדינה </w:t>
      </w:r>
      <w:bookmarkStart w:id="1091" w:name="_ETM_Q3_259060"/>
      <w:bookmarkEnd w:id="1091"/>
      <w:r>
        <w:rPr>
          <w:rFonts w:hint="cs"/>
          <w:rtl/>
        </w:rPr>
        <w:t xml:space="preserve">דמוקרטית </w:t>
      </w:r>
      <w:bookmarkStart w:id="1092" w:name="_ETM_Q3_259690"/>
      <w:bookmarkEnd w:id="1092"/>
      <w:r>
        <w:rPr>
          <w:rFonts w:hint="cs"/>
          <w:rtl/>
        </w:rPr>
        <w:t xml:space="preserve">באשר </w:t>
      </w:r>
      <w:bookmarkStart w:id="1093" w:name="_ETM_Q3_260140"/>
      <w:bookmarkEnd w:id="1093"/>
      <w:r>
        <w:rPr>
          <w:rFonts w:hint="cs"/>
          <w:rtl/>
        </w:rPr>
        <w:t xml:space="preserve">היא. </w:t>
      </w:r>
      <w:bookmarkStart w:id="1094" w:name="_ETM_Q3_261010"/>
      <w:bookmarkEnd w:id="1094"/>
    </w:p>
    <w:p w:rsidR="000C5C1F" w:rsidRDefault="000C5C1F" w:rsidP="000C5C1F">
      <w:pPr>
        <w:rPr>
          <w:rtl/>
        </w:rPr>
      </w:pPr>
      <w:bookmarkStart w:id="1095" w:name="_ETM_Q3_261962"/>
      <w:bookmarkStart w:id="1096" w:name="_ETM_Q3_262069"/>
      <w:bookmarkEnd w:id="1095"/>
      <w:bookmarkEnd w:id="1096"/>
    </w:p>
    <w:p w:rsidR="000C5C1F" w:rsidRDefault="000C5C1F" w:rsidP="000C5C1F">
      <w:pPr>
        <w:rPr>
          <w:rtl/>
        </w:rPr>
      </w:pPr>
      <w:bookmarkStart w:id="1097" w:name="_ETM_Q3_262138"/>
      <w:bookmarkStart w:id="1098" w:name="_ETM_Q3_262227"/>
      <w:bookmarkEnd w:id="1097"/>
      <w:bookmarkEnd w:id="1098"/>
      <w:r>
        <w:rPr>
          <w:rFonts w:hint="cs"/>
          <w:rtl/>
        </w:rPr>
        <w:t xml:space="preserve">לכן </w:t>
      </w:r>
      <w:bookmarkStart w:id="1099" w:name="_ETM_Q3_262090"/>
      <w:bookmarkStart w:id="1100" w:name="_ETM_Q3_263390"/>
      <w:bookmarkStart w:id="1101" w:name="_ETM_Q3_263720"/>
      <w:bookmarkEnd w:id="1099"/>
      <w:bookmarkEnd w:id="1100"/>
      <w:bookmarkEnd w:id="1101"/>
      <w:r>
        <w:rPr>
          <w:rFonts w:hint="cs"/>
          <w:rtl/>
        </w:rPr>
        <w:t xml:space="preserve">הציע </w:t>
      </w:r>
      <w:bookmarkStart w:id="1102" w:name="_ETM_Q3_264170"/>
      <w:bookmarkEnd w:id="1102"/>
      <w:r>
        <w:rPr>
          <w:rFonts w:hint="cs"/>
          <w:rtl/>
        </w:rPr>
        <w:t xml:space="preserve">במאמרו </w:t>
      </w:r>
      <w:bookmarkStart w:id="1103" w:name="_ETM_Q3_264860"/>
      <w:bookmarkEnd w:id="1103"/>
      <w:r>
        <w:rPr>
          <w:rFonts w:hint="cs"/>
          <w:rtl/>
        </w:rPr>
        <w:t xml:space="preserve">ואחר </w:t>
      </w:r>
      <w:bookmarkStart w:id="1104" w:name="_ETM_Q3_265160"/>
      <w:bookmarkEnd w:id="1104"/>
      <w:r>
        <w:rPr>
          <w:rFonts w:hint="cs"/>
          <w:rtl/>
        </w:rPr>
        <w:t xml:space="preserve">כך </w:t>
      </w:r>
      <w:bookmarkStart w:id="1105" w:name="_ETM_Q3_265310"/>
      <w:bookmarkEnd w:id="1105"/>
      <w:r>
        <w:rPr>
          <w:rFonts w:hint="cs"/>
          <w:rtl/>
        </w:rPr>
        <w:t xml:space="preserve">גם </w:t>
      </w:r>
      <w:bookmarkStart w:id="1106" w:name="_ETM_Q3_265490"/>
      <w:bookmarkEnd w:id="1106"/>
      <w:r>
        <w:rPr>
          <w:rFonts w:hint="cs"/>
          <w:rtl/>
        </w:rPr>
        <w:t xml:space="preserve">בפסיקותיו </w:t>
      </w:r>
      <w:bookmarkStart w:id="1107" w:name="_ETM_Q3_267090"/>
      <w:bookmarkEnd w:id="1107"/>
      <w:r>
        <w:rPr>
          <w:rFonts w:hint="cs"/>
          <w:rtl/>
        </w:rPr>
        <w:t xml:space="preserve">השופט </w:t>
      </w:r>
      <w:bookmarkStart w:id="1108" w:name="_ETM_Q3_267569"/>
      <w:bookmarkEnd w:id="1108"/>
      <w:r>
        <w:rPr>
          <w:rFonts w:hint="cs"/>
          <w:rtl/>
        </w:rPr>
        <w:t>סולברג</w:t>
      </w:r>
      <w:bookmarkStart w:id="1109" w:name="_ETM_Q3_268380"/>
      <w:bookmarkStart w:id="1110" w:name="_ETM_Q3_268950"/>
      <w:bookmarkStart w:id="1111" w:name="_ETM_Q3_269069"/>
      <w:bookmarkEnd w:id="1109"/>
      <w:bookmarkEnd w:id="1110"/>
      <w:bookmarkEnd w:id="1111"/>
      <w:r>
        <w:rPr>
          <w:rFonts w:hint="cs"/>
          <w:rtl/>
        </w:rPr>
        <w:t xml:space="preserve"> </w:t>
      </w:r>
      <w:bookmarkStart w:id="1112" w:name="_ETM_Q3_270040"/>
      <w:bookmarkEnd w:id="1112"/>
      <w:r>
        <w:rPr>
          <w:rFonts w:hint="cs"/>
          <w:rtl/>
        </w:rPr>
        <w:t xml:space="preserve">– למרות </w:t>
      </w:r>
      <w:bookmarkStart w:id="1113" w:name="_ETM_Q3_270369"/>
      <w:bookmarkEnd w:id="1113"/>
      <w:r>
        <w:rPr>
          <w:rFonts w:hint="cs"/>
          <w:rtl/>
        </w:rPr>
        <w:t xml:space="preserve">שמבחינה </w:t>
      </w:r>
      <w:bookmarkStart w:id="1114" w:name="_ETM_Q3_270819"/>
      <w:bookmarkEnd w:id="1114"/>
      <w:r>
        <w:rPr>
          <w:rFonts w:hint="cs"/>
          <w:rtl/>
        </w:rPr>
        <w:t xml:space="preserve">אנליטית </w:t>
      </w:r>
      <w:bookmarkStart w:id="1115" w:name="_ETM_Q3_271299"/>
      <w:bookmarkEnd w:id="1115"/>
      <w:r>
        <w:rPr>
          <w:rFonts w:hint="cs"/>
          <w:rtl/>
        </w:rPr>
        <w:t xml:space="preserve">אין </w:t>
      </w:r>
      <w:bookmarkStart w:id="1116" w:name="_ETM_Q3_271420"/>
      <w:bookmarkEnd w:id="1116"/>
      <w:r>
        <w:rPr>
          <w:rFonts w:hint="cs"/>
          <w:rtl/>
        </w:rPr>
        <w:t xml:space="preserve">הבדל – להעביר </w:t>
      </w:r>
      <w:bookmarkStart w:id="1117" w:name="_ETM_Q3_272950"/>
      <w:bookmarkEnd w:id="1117"/>
      <w:r>
        <w:rPr>
          <w:rFonts w:hint="cs"/>
          <w:rtl/>
        </w:rPr>
        <w:t xml:space="preserve">את </w:t>
      </w:r>
      <w:bookmarkStart w:id="1118" w:name="_ETM_Q3_273039"/>
      <w:bookmarkEnd w:id="1118"/>
      <w:r>
        <w:rPr>
          <w:rFonts w:hint="cs"/>
          <w:rtl/>
        </w:rPr>
        <w:t xml:space="preserve">הקו </w:t>
      </w:r>
      <w:bookmarkStart w:id="1119" w:name="_ETM_Q3_273340"/>
      <w:bookmarkEnd w:id="1119"/>
      <w:r>
        <w:rPr>
          <w:rFonts w:hint="cs"/>
          <w:rtl/>
        </w:rPr>
        <w:t xml:space="preserve">בנבחרי </w:t>
      </w:r>
      <w:bookmarkStart w:id="1120" w:name="_ETM_Q3_273819"/>
      <w:bookmarkEnd w:id="1120"/>
      <w:r>
        <w:rPr>
          <w:rFonts w:hint="cs"/>
          <w:rtl/>
        </w:rPr>
        <w:t xml:space="preserve">הציבור. </w:t>
      </w:r>
      <w:bookmarkStart w:id="1121" w:name="_ETM_Q3_274719"/>
      <w:bookmarkEnd w:id="1121"/>
      <w:r>
        <w:rPr>
          <w:rFonts w:hint="cs"/>
          <w:rtl/>
        </w:rPr>
        <w:t xml:space="preserve">מבחינה </w:t>
      </w:r>
      <w:bookmarkStart w:id="1122" w:name="_ETM_Q3_275289"/>
      <w:bookmarkEnd w:id="1122"/>
      <w:r>
        <w:rPr>
          <w:rFonts w:hint="cs"/>
          <w:rtl/>
        </w:rPr>
        <w:t xml:space="preserve">אנליטית </w:t>
      </w:r>
      <w:bookmarkStart w:id="1123" w:name="_ETM_Q3_275770"/>
      <w:bookmarkEnd w:id="1123"/>
      <w:r>
        <w:rPr>
          <w:rFonts w:hint="cs"/>
          <w:rtl/>
        </w:rPr>
        <w:t xml:space="preserve">אין </w:t>
      </w:r>
      <w:bookmarkStart w:id="1124" w:name="_ETM_Q3_275920"/>
      <w:bookmarkEnd w:id="1124"/>
      <w:r>
        <w:rPr>
          <w:rFonts w:hint="cs"/>
          <w:rtl/>
        </w:rPr>
        <w:t xml:space="preserve">הבדל </w:t>
      </w:r>
      <w:bookmarkStart w:id="1125" w:name="_ETM_Q3_276280"/>
      <w:bookmarkEnd w:id="1125"/>
      <w:r>
        <w:rPr>
          <w:rFonts w:hint="cs"/>
          <w:rtl/>
        </w:rPr>
        <w:t xml:space="preserve">בין </w:t>
      </w:r>
      <w:bookmarkStart w:id="1126" w:name="_ETM_Q3_276459"/>
      <w:bookmarkStart w:id="1127" w:name="_ETM_Q3_276880"/>
      <w:bookmarkStart w:id="1128" w:name="_ETM_Q3_277119"/>
      <w:bookmarkEnd w:id="1126"/>
      <w:bookmarkEnd w:id="1127"/>
      <w:bookmarkEnd w:id="1128"/>
      <w:r>
        <w:rPr>
          <w:rFonts w:hint="cs"/>
          <w:rtl/>
        </w:rPr>
        <w:t xml:space="preserve">התערבות </w:t>
      </w:r>
      <w:bookmarkStart w:id="1129" w:name="_ETM_Q3_277569"/>
      <w:bookmarkEnd w:id="1129"/>
      <w:r>
        <w:rPr>
          <w:rFonts w:hint="cs"/>
          <w:rtl/>
        </w:rPr>
        <w:t xml:space="preserve">בהחלטה, </w:t>
      </w:r>
      <w:bookmarkStart w:id="1130" w:name="_ETM_Q3_277959"/>
      <w:bookmarkEnd w:id="1130"/>
      <w:r>
        <w:rPr>
          <w:rFonts w:hint="cs"/>
          <w:rtl/>
        </w:rPr>
        <w:t xml:space="preserve">ולכן </w:t>
      </w:r>
      <w:bookmarkStart w:id="1131" w:name="_ETM_Q3_278229"/>
      <w:bookmarkEnd w:id="1131"/>
      <w:r>
        <w:rPr>
          <w:rFonts w:hint="cs"/>
          <w:rtl/>
        </w:rPr>
        <w:t xml:space="preserve">גם </w:t>
      </w:r>
      <w:bookmarkStart w:id="1132" w:name="_ETM_Q3_278350"/>
      <w:bookmarkEnd w:id="1132"/>
      <w:r>
        <w:rPr>
          <w:rFonts w:hint="cs"/>
          <w:rtl/>
        </w:rPr>
        <w:t xml:space="preserve">הבאתי </w:t>
      </w:r>
      <w:bookmarkStart w:id="1133" w:name="_ETM_Q3_278619"/>
      <w:bookmarkEnd w:id="1133"/>
      <w:r>
        <w:rPr>
          <w:rFonts w:hint="cs"/>
          <w:rtl/>
        </w:rPr>
        <w:t xml:space="preserve">את </w:t>
      </w:r>
      <w:bookmarkStart w:id="1134" w:name="_ETM_Q3_278709"/>
      <w:bookmarkEnd w:id="1134"/>
      <w:r>
        <w:rPr>
          <w:rFonts w:hint="cs"/>
          <w:rtl/>
        </w:rPr>
        <w:t xml:space="preserve">הדוגמה </w:t>
      </w:r>
      <w:bookmarkStart w:id="1135" w:name="_ETM_Q3_279369"/>
      <w:bookmarkEnd w:id="1135"/>
      <w:r>
        <w:rPr>
          <w:rFonts w:hint="cs"/>
          <w:rtl/>
        </w:rPr>
        <w:t xml:space="preserve">של </w:t>
      </w:r>
      <w:bookmarkStart w:id="1136" w:name="_ETM_Q3_279579"/>
      <w:bookmarkEnd w:id="1136"/>
      <w:r>
        <w:rPr>
          <w:rFonts w:hint="cs"/>
          <w:rtl/>
        </w:rPr>
        <w:t xml:space="preserve">המועצה </w:t>
      </w:r>
      <w:bookmarkStart w:id="1137" w:name="_ETM_Q3_279939"/>
      <w:bookmarkEnd w:id="1137"/>
      <w:r>
        <w:rPr>
          <w:rFonts w:hint="cs"/>
          <w:rtl/>
        </w:rPr>
        <w:t xml:space="preserve">לביקורת </w:t>
      </w:r>
      <w:bookmarkStart w:id="1138" w:name="_ETM_Q3_280390"/>
      <w:bookmarkEnd w:id="1138"/>
      <w:r>
        <w:rPr>
          <w:rFonts w:hint="cs"/>
          <w:rtl/>
        </w:rPr>
        <w:t>סרטים</w:t>
      </w:r>
      <w:bookmarkStart w:id="1139" w:name="_ETM_Q3_281799"/>
      <w:bookmarkEnd w:id="1139"/>
      <w:r>
        <w:rPr>
          <w:rFonts w:hint="cs"/>
          <w:rtl/>
        </w:rPr>
        <w:t xml:space="preserve">, שהיא </w:t>
      </w:r>
      <w:bookmarkStart w:id="1140" w:name="_ETM_Q3_282069"/>
      <w:bookmarkEnd w:id="1140"/>
      <w:r>
        <w:rPr>
          <w:rFonts w:hint="cs"/>
          <w:rtl/>
        </w:rPr>
        <w:t xml:space="preserve">איננה </w:t>
      </w:r>
      <w:bookmarkStart w:id="1141" w:name="_ETM_Q3_282369"/>
      <w:bookmarkEnd w:id="1141"/>
      <w:r>
        <w:rPr>
          <w:rFonts w:hint="cs"/>
          <w:rtl/>
        </w:rPr>
        <w:t xml:space="preserve">נבחרת </w:t>
      </w:r>
      <w:bookmarkStart w:id="1142" w:name="_ETM_Q3_282759"/>
      <w:bookmarkEnd w:id="1142"/>
      <w:r>
        <w:rPr>
          <w:rFonts w:hint="cs"/>
          <w:rtl/>
        </w:rPr>
        <w:t xml:space="preserve">ציבור, </w:t>
      </w:r>
      <w:bookmarkStart w:id="1143" w:name="_ETM_Q3_283670"/>
      <w:bookmarkEnd w:id="1143"/>
      <w:r>
        <w:rPr>
          <w:rFonts w:hint="cs"/>
          <w:rtl/>
        </w:rPr>
        <w:t xml:space="preserve">לבין </w:t>
      </w:r>
      <w:bookmarkStart w:id="1144" w:name="_ETM_Q3_283970"/>
      <w:bookmarkEnd w:id="1144"/>
      <w:r>
        <w:rPr>
          <w:rFonts w:hint="cs"/>
          <w:rtl/>
        </w:rPr>
        <w:t xml:space="preserve">החלטה </w:t>
      </w:r>
      <w:bookmarkStart w:id="1145" w:name="_ETM_Q3_284330"/>
      <w:bookmarkEnd w:id="1145"/>
      <w:r>
        <w:rPr>
          <w:rFonts w:hint="cs"/>
          <w:rtl/>
        </w:rPr>
        <w:t xml:space="preserve">של </w:t>
      </w:r>
      <w:bookmarkStart w:id="1146" w:name="_ETM_Q3_284540"/>
      <w:bookmarkEnd w:id="1146"/>
      <w:r>
        <w:rPr>
          <w:rFonts w:hint="cs"/>
          <w:rtl/>
        </w:rPr>
        <w:t xml:space="preserve">שר. </w:t>
      </w:r>
      <w:bookmarkStart w:id="1147" w:name="_ETM_Q3_285170"/>
      <w:bookmarkEnd w:id="1147"/>
      <w:r>
        <w:rPr>
          <w:rFonts w:hint="cs"/>
          <w:rtl/>
        </w:rPr>
        <w:t xml:space="preserve">אין </w:t>
      </w:r>
      <w:bookmarkStart w:id="1148" w:name="_ETM_Q3_285409"/>
      <w:bookmarkStart w:id="1149" w:name="_ETM_Q3_285650"/>
      <w:bookmarkStart w:id="1150" w:name="_ETM_Q3_285860"/>
      <w:bookmarkEnd w:id="1148"/>
      <w:bookmarkEnd w:id="1149"/>
      <w:bookmarkEnd w:id="1150"/>
      <w:r>
        <w:rPr>
          <w:rFonts w:hint="cs"/>
          <w:rtl/>
        </w:rPr>
        <w:t xml:space="preserve">הבדל </w:t>
      </w:r>
      <w:bookmarkStart w:id="1151" w:name="_ETM_Q3_286130"/>
      <w:bookmarkEnd w:id="1151"/>
      <w:r>
        <w:rPr>
          <w:rFonts w:hint="cs"/>
          <w:rtl/>
        </w:rPr>
        <w:t xml:space="preserve">אנליטי, </w:t>
      </w:r>
      <w:bookmarkStart w:id="1152" w:name="_ETM_Q3_287060"/>
      <w:bookmarkEnd w:id="1152"/>
      <w:r>
        <w:rPr>
          <w:rFonts w:hint="cs"/>
          <w:rtl/>
        </w:rPr>
        <w:t xml:space="preserve">ההבדל </w:t>
      </w:r>
      <w:bookmarkStart w:id="1153" w:name="_ETM_Q3_287510"/>
      <w:bookmarkEnd w:id="1153"/>
      <w:r>
        <w:rPr>
          <w:rFonts w:hint="cs"/>
          <w:rtl/>
        </w:rPr>
        <w:t xml:space="preserve">הוא </w:t>
      </w:r>
      <w:bookmarkStart w:id="1154" w:name="_ETM_Q3_287570"/>
      <w:bookmarkEnd w:id="1154"/>
      <w:r>
        <w:rPr>
          <w:rFonts w:hint="cs"/>
          <w:rtl/>
        </w:rPr>
        <w:t xml:space="preserve">פרקטי </w:t>
      </w:r>
      <w:bookmarkStart w:id="1155" w:name="_ETM_Q3_288500"/>
      <w:bookmarkEnd w:id="1155"/>
      <w:r>
        <w:rPr>
          <w:rFonts w:hint="cs"/>
          <w:rtl/>
        </w:rPr>
        <w:t xml:space="preserve">וההבדל </w:t>
      </w:r>
      <w:bookmarkStart w:id="1156" w:name="_ETM_Q3_289010"/>
      <w:bookmarkEnd w:id="1156"/>
      <w:r>
        <w:rPr>
          <w:rFonts w:hint="cs"/>
          <w:rtl/>
        </w:rPr>
        <w:t xml:space="preserve">הוא </w:t>
      </w:r>
      <w:bookmarkStart w:id="1157" w:name="_ETM_Q3_289070"/>
      <w:bookmarkEnd w:id="1157"/>
      <w:r>
        <w:rPr>
          <w:rFonts w:hint="cs"/>
          <w:rtl/>
        </w:rPr>
        <w:t xml:space="preserve">דמוקרטי. </w:t>
      </w:r>
      <w:bookmarkStart w:id="1158" w:name="_ETM_Q3_290520"/>
      <w:bookmarkEnd w:id="1158"/>
      <w:r>
        <w:rPr>
          <w:rFonts w:hint="cs"/>
          <w:rtl/>
        </w:rPr>
        <w:t xml:space="preserve">בדמוקרטיה, </w:t>
      </w:r>
      <w:bookmarkStart w:id="1159" w:name="_ETM_Q3_291950"/>
      <w:bookmarkEnd w:id="1159"/>
      <w:r>
        <w:rPr>
          <w:rFonts w:hint="cs"/>
          <w:rtl/>
        </w:rPr>
        <w:t xml:space="preserve">כאשר </w:t>
      </w:r>
      <w:bookmarkStart w:id="1160" w:name="_ETM_Q3_292430"/>
      <w:bookmarkEnd w:id="1160"/>
      <w:r>
        <w:rPr>
          <w:rFonts w:hint="cs"/>
          <w:rtl/>
        </w:rPr>
        <w:t xml:space="preserve">סמכות </w:t>
      </w:r>
      <w:bookmarkStart w:id="1161" w:name="_ETM_Q3_292820"/>
      <w:bookmarkEnd w:id="1161"/>
      <w:r>
        <w:rPr>
          <w:rFonts w:hint="cs"/>
          <w:rtl/>
        </w:rPr>
        <w:t xml:space="preserve">ניתנת </w:t>
      </w:r>
      <w:bookmarkStart w:id="1162" w:name="_ETM_Q3_293210"/>
      <w:bookmarkEnd w:id="1162"/>
      <w:r>
        <w:rPr>
          <w:rFonts w:hint="cs"/>
          <w:rtl/>
        </w:rPr>
        <w:t xml:space="preserve">לנבחר </w:t>
      </w:r>
      <w:bookmarkStart w:id="1163" w:name="_ETM_Q3_293689"/>
      <w:bookmarkEnd w:id="1163"/>
      <w:r>
        <w:rPr>
          <w:rFonts w:hint="cs"/>
          <w:rtl/>
        </w:rPr>
        <w:t xml:space="preserve">ציבור, </w:t>
      </w:r>
      <w:bookmarkStart w:id="1164" w:name="_ETM_Q3_294409"/>
      <w:bookmarkEnd w:id="1164"/>
      <w:r>
        <w:rPr>
          <w:rFonts w:hint="cs"/>
          <w:rtl/>
        </w:rPr>
        <w:t xml:space="preserve">צריך </w:t>
      </w:r>
      <w:bookmarkStart w:id="1165" w:name="_ETM_Q3_294979"/>
      <w:bookmarkEnd w:id="1165"/>
      <w:r>
        <w:rPr>
          <w:rFonts w:hint="cs"/>
          <w:rtl/>
        </w:rPr>
        <w:t xml:space="preserve">היה </w:t>
      </w:r>
      <w:bookmarkStart w:id="1166" w:name="_ETM_Q3_295250"/>
      <w:bookmarkEnd w:id="1166"/>
      <w:r>
        <w:rPr>
          <w:rFonts w:hint="cs"/>
          <w:rtl/>
        </w:rPr>
        <w:t xml:space="preserve">בית </w:t>
      </w:r>
      <w:bookmarkStart w:id="1167" w:name="_ETM_Q3_295490"/>
      <w:bookmarkEnd w:id="1167"/>
      <w:r>
        <w:rPr>
          <w:rFonts w:hint="cs"/>
          <w:rtl/>
        </w:rPr>
        <w:t xml:space="preserve">המשפט </w:t>
      </w:r>
      <w:bookmarkStart w:id="1168" w:name="_ETM_Q3_296030"/>
      <w:bookmarkEnd w:id="1168"/>
      <w:r>
        <w:rPr>
          <w:rFonts w:hint="cs"/>
          <w:rtl/>
        </w:rPr>
        <w:t xml:space="preserve">העליון </w:t>
      </w:r>
      <w:bookmarkStart w:id="1169" w:name="_ETM_Q3_296869"/>
      <w:bookmarkEnd w:id="1169"/>
      <w:r>
        <w:rPr>
          <w:rFonts w:hint="cs"/>
          <w:rtl/>
        </w:rPr>
        <w:t xml:space="preserve">לגשת </w:t>
      </w:r>
      <w:bookmarkStart w:id="1170" w:name="_ETM_Q3_297560"/>
      <w:bookmarkEnd w:id="1170"/>
      <w:r>
        <w:rPr>
          <w:rFonts w:hint="cs"/>
          <w:rtl/>
        </w:rPr>
        <w:t xml:space="preserve">אליה </w:t>
      </w:r>
      <w:bookmarkStart w:id="1171" w:name="_ETM_Q3_298070"/>
      <w:bookmarkEnd w:id="1171"/>
      <w:r>
        <w:rPr>
          <w:rFonts w:hint="cs"/>
          <w:rtl/>
        </w:rPr>
        <w:t xml:space="preserve">בדחילו </w:t>
      </w:r>
      <w:bookmarkStart w:id="1172" w:name="_ETM_Q3_298700"/>
      <w:bookmarkEnd w:id="1172"/>
      <w:r>
        <w:rPr>
          <w:rFonts w:hint="cs"/>
          <w:rtl/>
        </w:rPr>
        <w:t xml:space="preserve">ורחימו </w:t>
      </w:r>
      <w:bookmarkStart w:id="1173" w:name="_ETM_Q3_299670"/>
      <w:bookmarkEnd w:id="1173"/>
      <w:r>
        <w:rPr>
          <w:rFonts w:hint="cs"/>
          <w:rtl/>
        </w:rPr>
        <w:t xml:space="preserve">ולהגיד: </w:t>
      </w:r>
      <w:bookmarkStart w:id="1174" w:name="_ETM_Q3_300270"/>
      <w:bookmarkEnd w:id="1174"/>
      <w:r>
        <w:rPr>
          <w:rFonts w:hint="cs"/>
          <w:rtl/>
        </w:rPr>
        <w:t xml:space="preserve">כאשר </w:t>
      </w:r>
      <w:bookmarkStart w:id="1175" w:name="_ETM_Q3_300570"/>
      <w:bookmarkEnd w:id="1175"/>
      <w:r>
        <w:rPr>
          <w:rFonts w:hint="cs"/>
          <w:rtl/>
        </w:rPr>
        <w:t xml:space="preserve">אני </w:t>
      </w:r>
      <w:bookmarkStart w:id="1176" w:name="_ETM_Q3_300720"/>
      <w:bookmarkEnd w:id="1176"/>
      <w:r>
        <w:rPr>
          <w:rFonts w:hint="cs"/>
          <w:rtl/>
        </w:rPr>
        <w:t xml:space="preserve">מתערב </w:t>
      </w:r>
      <w:bookmarkStart w:id="1177" w:name="_ETM_Q3_301110"/>
      <w:bookmarkEnd w:id="1177"/>
      <w:r>
        <w:rPr>
          <w:rFonts w:hint="cs"/>
          <w:rtl/>
        </w:rPr>
        <w:t xml:space="preserve">בהחלטה </w:t>
      </w:r>
      <w:bookmarkStart w:id="1178" w:name="_ETM_Q3_301680"/>
      <w:bookmarkEnd w:id="1178"/>
      <w:r>
        <w:rPr>
          <w:rFonts w:hint="cs"/>
          <w:rtl/>
        </w:rPr>
        <w:t xml:space="preserve">הזאת </w:t>
      </w:r>
      <w:bookmarkStart w:id="1179" w:name="_ETM_Q3_302409"/>
      <w:bookmarkEnd w:id="1179"/>
      <w:r>
        <w:rPr>
          <w:rFonts w:hint="cs"/>
          <w:rtl/>
        </w:rPr>
        <w:t xml:space="preserve">אני </w:t>
      </w:r>
      <w:bookmarkStart w:id="1180" w:name="_ETM_Q3_302770"/>
      <w:bookmarkEnd w:id="1180"/>
      <w:r>
        <w:rPr>
          <w:rFonts w:hint="cs"/>
          <w:rtl/>
        </w:rPr>
        <w:t xml:space="preserve">פוגע </w:t>
      </w:r>
      <w:bookmarkStart w:id="1181" w:name="_ETM_Q3_303190"/>
      <w:bookmarkEnd w:id="1181"/>
      <w:r>
        <w:rPr>
          <w:rFonts w:hint="cs"/>
          <w:rtl/>
        </w:rPr>
        <w:t xml:space="preserve">בעקרון </w:t>
      </w:r>
      <w:bookmarkStart w:id="1182" w:name="_ETM_Q3_303610"/>
      <w:bookmarkEnd w:id="1182"/>
      <w:r>
        <w:rPr>
          <w:rFonts w:hint="cs"/>
          <w:rtl/>
        </w:rPr>
        <w:t xml:space="preserve">הדמוקרטי, </w:t>
      </w:r>
      <w:bookmarkStart w:id="1183" w:name="_ETM_Q3_304579"/>
      <w:bookmarkEnd w:id="1183"/>
      <w:r>
        <w:rPr>
          <w:rFonts w:hint="cs"/>
          <w:rtl/>
        </w:rPr>
        <w:t xml:space="preserve">אסור </w:t>
      </w:r>
      <w:bookmarkStart w:id="1184" w:name="_ETM_Q3_305240"/>
      <w:bookmarkEnd w:id="1184"/>
      <w:r>
        <w:rPr>
          <w:rFonts w:hint="cs"/>
          <w:rtl/>
        </w:rPr>
        <w:t xml:space="preserve">לי </w:t>
      </w:r>
      <w:bookmarkStart w:id="1185" w:name="_ETM_Q3_305360"/>
      <w:bookmarkEnd w:id="1185"/>
      <w:r>
        <w:rPr>
          <w:rFonts w:hint="cs"/>
          <w:rtl/>
        </w:rPr>
        <w:t xml:space="preserve">לעשות </w:t>
      </w:r>
      <w:bookmarkStart w:id="1186" w:name="_ETM_Q3_306499"/>
      <w:bookmarkEnd w:id="1186"/>
      <w:r>
        <w:rPr>
          <w:rFonts w:hint="cs"/>
          <w:rtl/>
        </w:rPr>
        <w:t xml:space="preserve">את זה. במקום </w:t>
      </w:r>
      <w:bookmarkStart w:id="1187" w:name="_ETM_Q3_307099"/>
      <w:bookmarkEnd w:id="1187"/>
      <w:r>
        <w:rPr>
          <w:rFonts w:hint="cs"/>
          <w:rtl/>
        </w:rPr>
        <w:t xml:space="preserve">שבית </w:t>
      </w:r>
      <w:bookmarkStart w:id="1188" w:name="_ETM_Q3_307429"/>
      <w:bookmarkEnd w:id="1188"/>
      <w:r>
        <w:rPr>
          <w:rFonts w:hint="cs"/>
          <w:rtl/>
        </w:rPr>
        <w:t xml:space="preserve">המשפט </w:t>
      </w:r>
      <w:bookmarkStart w:id="1189" w:name="_ETM_Q3_307909"/>
      <w:bookmarkEnd w:id="1189"/>
      <w:r>
        <w:rPr>
          <w:rFonts w:hint="cs"/>
          <w:rtl/>
        </w:rPr>
        <w:t xml:space="preserve">העליון </w:t>
      </w:r>
      <w:bookmarkStart w:id="1190" w:name="_ETM_Q3_308269"/>
      <w:bookmarkEnd w:id="1190"/>
      <w:r>
        <w:rPr>
          <w:rFonts w:hint="cs"/>
          <w:rtl/>
        </w:rPr>
        <w:t xml:space="preserve">יאמץ את </w:t>
      </w:r>
      <w:bookmarkStart w:id="1191" w:name="_ETM_Q3_310879"/>
      <w:bookmarkEnd w:id="1191"/>
      <w:r>
        <w:rPr>
          <w:rFonts w:hint="cs"/>
          <w:rtl/>
        </w:rPr>
        <w:t xml:space="preserve">עמדתו </w:t>
      </w:r>
      <w:bookmarkStart w:id="1192" w:name="_ETM_Q3_308900"/>
      <w:bookmarkEnd w:id="1192"/>
      <w:r>
        <w:rPr>
          <w:rFonts w:hint="cs"/>
          <w:rtl/>
        </w:rPr>
        <w:t xml:space="preserve">של </w:t>
      </w:r>
      <w:bookmarkStart w:id="1193" w:name="_ETM_Q3_309560"/>
      <w:bookmarkEnd w:id="1193"/>
      <w:r>
        <w:rPr>
          <w:rFonts w:hint="cs"/>
          <w:rtl/>
        </w:rPr>
        <w:t xml:space="preserve">השופט </w:t>
      </w:r>
      <w:bookmarkStart w:id="1194" w:name="_ETM_Q3_309889"/>
      <w:bookmarkEnd w:id="1194"/>
      <w:r>
        <w:rPr>
          <w:rFonts w:hint="cs"/>
          <w:rtl/>
        </w:rPr>
        <w:t xml:space="preserve">סולברג, </w:t>
      </w:r>
      <w:bookmarkStart w:id="1195" w:name="_ETM_Q3_310669"/>
      <w:bookmarkStart w:id="1196" w:name="_ETM_Q3_311850"/>
      <w:bookmarkEnd w:id="1195"/>
      <w:bookmarkEnd w:id="1196"/>
      <w:r>
        <w:rPr>
          <w:rFonts w:hint="cs"/>
          <w:rtl/>
        </w:rPr>
        <w:t xml:space="preserve">במקום </w:t>
      </w:r>
      <w:bookmarkStart w:id="1197" w:name="_ETM_Q3_312389"/>
      <w:bookmarkEnd w:id="1197"/>
      <w:r>
        <w:rPr>
          <w:rFonts w:hint="cs"/>
          <w:rtl/>
        </w:rPr>
        <w:t xml:space="preserve">שעמדתו </w:t>
      </w:r>
      <w:bookmarkStart w:id="1198" w:name="_ETM_Q3_312870"/>
      <w:bookmarkEnd w:id="1198"/>
      <w:r>
        <w:rPr>
          <w:rFonts w:hint="cs"/>
          <w:rtl/>
        </w:rPr>
        <w:t xml:space="preserve">של </w:t>
      </w:r>
      <w:bookmarkStart w:id="1199" w:name="_ETM_Q3_313050"/>
      <w:bookmarkEnd w:id="1199"/>
      <w:r>
        <w:rPr>
          <w:rFonts w:hint="cs"/>
          <w:rtl/>
        </w:rPr>
        <w:t xml:space="preserve">השופט </w:t>
      </w:r>
      <w:bookmarkStart w:id="1200" w:name="_ETM_Q3_313410"/>
      <w:bookmarkEnd w:id="1200"/>
      <w:r>
        <w:rPr>
          <w:rFonts w:hint="cs"/>
          <w:rtl/>
        </w:rPr>
        <w:t xml:space="preserve">סולברג </w:t>
      </w:r>
      <w:bookmarkStart w:id="1201" w:name="_ETM_Q3_313800"/>
      <w:bookmarkStart w:id="1202" w:name="_ETM_Q3_314820"/>
      <w:bookmarkEnd w:id="1201"/>
      <w:bookmarkEnd w:id="1202"/>
      <w:r>
        <w:rPr>
          <w:rFonts w:hint="cs"/>
          <w:rtl/>
        </w:rPr>
        <w:t xml:space="preserve">תהפוך מדעת </w:t>
      </w:r>
      <w:bookmarkStart w:id="1203" w:name="_ETM_Q3_315360"/>
      <w:bookmarkEnd w:id="1203"/>
      <w:r>
        <w:rPr>
          <w:rFonts w:hint="cs"/>
          <w:rtl/>
        </w:rPr>
        <w:t xml:space="preserve">מיעוט </w:t>
      </w:r>
      <w:bookmarkStart w:id="1204" w:name="_ETM_Q3_316020"/>
      <w:bookmarkEnd w:id="1204"/>
      <w:r>
        <w:rPr>
          <w:rFonts w:hint="cs"/>
          <w:rtl/>
        </w:rPr>
        <w:t xml:space="preserve">לדעת </w:t>
      </w:r>
      <w:bookmarkStart w:id="1205" w:name="_ETM_Q3_316560"/>
      <w:bookmarkEnd w:id="1205"/>
      <w:r>
        <w:rPr>
          <w:rFonts w:hint="cs"/>
          <w:rtl/>
        </w:rPr>
        <w:t xml:space="preserve">רוב </w:t>
      </w:r>
      <w:bookmarkStart w:id="1206" w:name="_ETM_Q3_316800"/>
      <w:bookmarkEnd w:id="1206"/>
      <w:r>
        <w:rPr>
          <w:rFonts w:hint="cs"/>
          <w:rtl/>
        </w:rPr>
        <w:t xml:space="preserve">בבית </w:t>
      </w:r>
      <w:bookmarkStart w:id="1207" w:name="_ETM_Q3_317100"/>
      <w:bookmarkEnd w:id="1207"/>
      <w:r>
        <w:rPr>
          <w:rFonts w:hint="cs"/>
          <w:rtl/>
        </w:rPr>
        <w:t xml:space="preserve">המשפט </w:t>
      </w:r>
      <w:bookmarkStart w:id="1208" w:name="_ETM_Q3_317490"/>
      <w:bookmarkEnd w:id="1208"/>
      <w:r>
        <w:rPr>
          <w:rFonts w:hint="cs"/>
          <w:rtl/>
        </w:rPr>
        <w:t xml:space="preserve">העליון </w:t>
      </w:r>
      <w:bookmarkStart w:id="1209" w:name="_ETM_Q3_318180"/>
      <w:bookmarkStart w:id="1210" w:name="_ETM_Q3_319169"/>
      <w:bookmarkEnd w:id="1209"/>
      <w:bookmarkEnd w:id="1210"/>
      <w:r>
        <w:rPr>
          <w:rFonts w:hint="cs"/>
          <w:rtl/>
        </w:rPr>
        <w:t xml:space="preserve">ותאושרר בהרכב </w:t>
      </w:r>
      <w:bookmarkStart w:id="1211" w:name="_ETM_Q3_319560"/>
      <w:bookmarkEnd w:id="1211"/>
      <w:r>
        <w:rPr>
          <w:rFonts w:hint="cs"/>
          <w:rtl/>
        </w:rPr>
        <w:t xml:space="preserve">מורחב </w:t>
      </w:r>
      <w:bookmarkStart w:id="1212" w:name="_ETM_Q3_320310"/>
      <w:bookmarkEnd w:id="1212"/>
      <w:r>
        <w:rPr>
          <w:rFonts w:hint="cs"/>
          <w:rtl/>
        </w:rPr>
        <w:t xml:space="preserve">וגם תנחה </w:t>
      </w:r>
      <w:bookmarkStart w:id="1213" w:name="_ETM_Q3_321120"/>
      <w:bookmarkStart w:id="1214" w:name="_ETM_Q3_321330"/>
      <w:bookmarkEnd w:id="1213"/>
      <w:bookmarkEnd w:id="1214"/>
      <w:r>
        <w:rPr>
          <w:rFonts w:hint="cs"/>
          <w:rtl/>
        </w:rPr>
        <w:t xml:space="preserve">את </w:t>
      </w:r>
      <w:bookmarkStart w:id="1215" w:name="_ETM_Q3_321450"/>
      <w:bookmarkStart w:id="1216" w:name="_ETM_Q3_321900"/>
      <w:bookmarkEnd w:id="1215"/>
      <w:bookmarkEnd w:id="1216"/>
      <w:r>
        <w:rPr>
          <w:rFonts w:hint="cs"/>
          <w:rtl/>
        </w:rPr>
        <w:t xml:space="preserve">כל </w:t>
      </w:r>
      <w:bookmarkStart w:id="1217" w:name="_ETM_Q3_322139"/>
      <w:bookmarkEnd w:id="1217"/>
      <w:r>
        <w:rPr>
          <w:rFonts w:hint="cs"/>
          <w:rtl/>
        </w:rPr>
        <w:t xml:space="preserve">בתי </w:t>
      </w:r>
      <w:bookmarkStart w:id="1218" w:name="_ETM_Q3_322410"/>
      <w:bookmarkEnd w:id="1218"/>
      <w:r>
        <w:rPr>
          <w:rFonts w:hint="cs"/>
          <w:rtl/>
        </w:rPr>
        <w:t xml:space="preserve">המשפט </w:t>
      </w:r>
      <w:bookmarkStart w:id="1219" w:name="_ETM_Q3_322860"/>
      <w:bookmarkStart w:id="1220" w:name="_ETM_Q3_323070"/>
      <w:bookmarkEnd w:id="1219"/>
      <w:bookmarkEnd w:id="1220"/>
      <w:r>
        <w:rPr>
          <w:rFonts w:hint="cs"/>
          <w:rtl/>
        </w:rPr>
        <w:t xml:space="preserve">בערכאות </w:t>
      </w:r>
      <w:bookmarkStart w:id="1221" w:name="_ETM_Q3_323550"/>
      <w:bookmarkEnd w:id="1221"/>
      <w:r>
        <w:rPr>
          <w:rFonts w:hint="cs"/>
          <w:rtl/>
        </w:rPr>
        <w:t xml:space="preserve">הנמוכות, </w:t>
      </w:r>
      <w:bookmarkStart w:id="1222" w:name="_ETM_Q3_324380"/>
      <w:bookmarkEnd w:id="1222"/>
      <w:r>
        <w:rPr>
          <w:rFonts w:hint="cs"/>
          <w:rtl/>
        </w:rPr>
        <w:t xml:space="preserve">במקום </w:t>
      </w:r>
      <w:bookmarkStart w:id="1223" w:name="_ETM_Q3_324919"/>
      <w:bookmarkEnd w:id="1223"/>
      <w:r>
        <w:rPr>
          <w:rFonts w:hint="cs"/>
          <w:rtl/>
        </w:rPr>
        <w:t xml:space="preserve">זאת </w:t>
      </w:r>
      <w:bookmarkStart w:id="1224" w:name="_ETM_Q3_325160"/>
      <w:bookmarkEnd w:id="1224"/>
      <w:r>
        <w:rPr>
          <w:rFonts w:hint="cs"/>
          <w:rtl/>
        </w:rPr>
        <w:t xml:space="preserve">בית </w:t>
      </w:r>
      <w:bookmarkStart w:id="1225" w:name="_ETM_Q3_325370"/>
      <w:bookmarkEnd w:id="1225"/>
      <w:r>
        <w:rPr>
          <w:rFonts w:hint="cs"/>
          <w:rtl/>
        </w:rPr>
        <w:t xml:space="preserve">המשפט </w:t>
      </w:r>
      <w:bookmarkStart w:id="1226" w:name="_ETM_Q3_325850"/>
      <w:bookmarkEnd w:id="1226"/>
      <w:r>
        <w:rPr>
          <w:rFonts w:hint="cs"/>
          <w:rtl/>
        </w:rPr>
        <w:t xml:space="preserve">העליון, </w:t>
      </w:r>
      <w:bookmarkStart w:id="1227" w:name="_ETM_Q3_326570"/>
      <w:bookmarkEnd w:id="1227"/>
      <w:r>
        <w:rPr>
          <w:rFonts w:hint="cs"/>
          <w:rtl/>
        </w:rPr>
        <w:t xml:space="preserve">בשנים </w:t>
      </w:r>
      <w:bookmarkStart w:id="1228" w:name="_ETM_Q3_327080"/>
      <w:bookmarkEnd w:id="1228"/>
      <w:r>
        <w:rPr>
          <w:rFonts w:hint="cs"/>
          <w:rtl/>
        </w:rPr>
        <w:t xml:space="preserve">שחלפו </w:t>
      </w:r>
      <w:bookmarkStart w:id="1229" w:name="_ETM_Q3_327500"/>
      <w:bookmarkEnd w:id="1229"/>
      <w:r>
        <w:rPr>
          <w:rFonts w:hint="cs"/>
          <w:rtl/>
        </w:rPr>
        <w:t xml:space="preserve">מאז </w:t>
      </w:r>
      <w:bookmarkStart w:id="1230" w:name="_ETM_Q3_327740"/>
      <w:bookmarkEnd w:id="1230"/>
      <w:r>
        <w:rPr>
          <w:rFonts w:hint="cs"/>
          <w:rtl/>
        </w:rPr>
        <w:t xml:space="preserve">פרסם </w:t>
      </w:r>
      <w:bookmarkStart w:id="1231" w:name="_ETM_Q3_328130"/>
      <w:bookmarkEnd w:id="1231"/>
      <w:r>
        <w:rPr>
          <w:rFonts w:hint="cs"/>
          <w:rtl/>
        </w:rPr>
        <w:t xml:space="preserve">השופט </w:t>
      </w:r>
      <w:bookmarkStart w:id="1232" w:name="_ETM_Q3_328490"/>
      <w:bookmarkEnd w:id="1232"/>
      <w:r>
        <w:rPr>
          <w:rFonts w:hint="cs"/>
          <w:rtl/>
        </w:rPr>
        <w:t xml:space="preserve">סולברג </w:t>
      </w:r>
      <w:bookmarkStart w:id="1233" w:name="_ETM_Q3_328880"/>
      <w:bookmarkEnd w:id="1233"/>
      <w:r>
        <w:rPr>
          <w:rFonts w:hint="cs"/>
          <w:rtl/>
        </w:rPr>
        <w:t xml:space="preserve">את </w:t>
      </w:r>
      <w:bookmarkStart w:id="1234" w:name="_ETM_Q3_329000"/>
      <w:bookmarkEnd w:id="1234"/>
      <w:r>
        <w:rPr>
          <w:rFonts w:hint="cs"/>
          <w:rtl/>
        </w:rPr>
        <w:t xml:space="preserve">מאמרו, </w:t>
      </w:r>
      <w:bookmarkStart w:id="1235" w:name="_ETM_Q3_329840"/>
      <w:bookmarkEnd w:id="1235"/>
      <w:r>
        <w:rPr>
          <w:rFonts w:hint="cs"/>
          <w:rtl/>
        </w:rPr>
        <w:t xml:space="preserve">רק </w:t>
      </w:r>
      <w:bookmarkStart w:id="1236" w:name="_ETM_Q3_330230"/>
      <w:bookmarkEnd w:id="1236"/>
      <w:r>
        <w:rPr>
          <w:rFonts w:hint="cs"/>
          <w:rtl/>
        </w:rPr>
        <w:t xml:space="preserve">הלך </w:t>
      </w:r>
      <w:bookmarkStart w:id="1237" w:name="_ETM_Q3_330650"/>
      <w:bookmarkEnd w:id="1237"/>
      <w:r>
        <w:rPr>
          <w:rFonts w:hint="cs"/>
          <w:rtl/>
        </w:rPr>
        <w:t xml:space="preserve">והחריף </w:t>
      </w:r>
      <w:bookmarkStart w:id="1238" w:name="_ETM_Q3_331820"/>
      <w:bookmarkEnd w:id="1238"/>
      <w:r>
        <w:rPr>
          <w:rFonts w:hint="cs"/>
          <w:rtl/>
        </w:rPr>
        <w:t xml:space="preserve">את </w:t>
      </w:r>
      <w:bookmarkStart w:id="1239" w:name="_ETM_Q3_332030"/>
      <w:bookmarkEnd w:id="1239"/>
      <w:r>
        <w:rPr>
          <w:rFonts w:hint="cs"/>
          <w:rtl/>
        </w:rPr>
        <w:t xml:space="preserve">התערבותו, </w:t>
      </w:r>
      <w:bookmarkStart w:id="1240" w:name="_ETM_Q3_333110"/>
      <w:bookmarkEnd w:id="1240"/>
      <w:r>
        <w:rPr>
          <w:rFonts w:hint="cs"/>
          <w:rtl/>
        </w:rPr>
        <w:t xml:space="preserve">רק </w:t>
      </w:r>
      <w:bookmarkStart w:id="1241" w:name="_ETM_Q3_333410"/>
      <w:bookmarkEnd w:id="1241"/>
      <w:r>
        <w:rPr>
          <w:rFonts w:hint="cs"/>
          <w:rtl/>
        </w:rPr>
        <w:t xml:space="preserve">הלך </w:t>
      </w:r>
      <w:bookmarkStart w:id="1242" w:name="_ETM_Q3_333680"/>
      <w:bookmarkEnd w:id="1242"/>
      <w:r>
        <w:rPr>
          <w:rFonts w:hint="cs"/>
          <w:rtl/>
        </w:rPr>
        <w:t xml:space="preserve">והעצים </w:t>
      </w:r>
      <w:bookmarkStart w:id="1243" w:name="_ETM_Q3_334220"/>
      <w:bookmarkEnd w:id="1243"/>
      <w:r>
        <w:rPr>
          <w:rFonts w:hint="cs"/>
          <w:rtl/>
        </w:rPr>
        <w:t xml:space="preserve">אותה. </w:t>
      </w:r>
      <w:bookmarkStart w:id="1244" w:name="_ETM_Q3_336069"/>
      <w:bookmarkEnd w:id="1244"/>
    </w:p>
    <w:p w:rsidR="000C5C1F" w:rsidRDefault="000C5C1F" w:rsidP="000C5C1F">
      <w:pPr>
        <w:rPr>
          <w:rtl/>
        </w:rPr>
      </w:pPr>
      <w:bookmarkStart w:id="1245" w:name="_ETM_Q3_340157"/>
      <w:bookmarkStart w:id="1246" w:name="_ETM_Q3_340272"/>
      <w:bookmarkEnd w:id="1245"/>
      <w:bookmarkEnd w:id="1246"/>
    </w:p>
    <w:p w:rsidR="000C5C1F" w:rsidRDefault="000C5C1F" w:rsidP="000C5C1F">
      <w:pPr>
        <w:rPr>
          <w:rtl/>
        </w:rPr>
      </w:pPr>
      <w:bookmarkStart w:id="1247" w:name="_ETM_Q3_340332"/>
      <w:bookmarkStart w:id="1248" w:name="_ETM_Q3_340413"/>
      <w:bookmarkEnd w:id="1247"/>
      <w:bookmarkEnd w:id="1248"/>
      <w:r>
        <w:rPr>
          <w:rFonts w:hint="cs"/>
          <w:rtl/>
        </w:rPr>
        <w:t xml:space="preserve">מרבית </w:t>
      </w:r>
      <w:bookmarkStart w:id="1249" w:name="_ETM_Q3_336790"/>
      <w:bookmarkEnd w:id="1249"/>
      <w:r>
        <w:rPr>
          <w:rFonts w:hint="cs"/>
          <w:rtl/>
        </w:rPr>
        <w:t xml:space="preserve">פסקי </w:t>
      </w:r>
      <w:bookmarkStart w:id="1250" w:name="_ETM_Q3_337269"/>
      <w:bookmarkEnd w:id="1250"/>
      <w:r>
        <w:rPr>
          <w:rFonts w:hint="cs"/>
          <w:rtl/>
        </w:rPr>
        <w:t xml:space="preserve">הדין </w:t>
      </w:r>
      <w:bookmarkStart w:id="1251" w:name="_ETM_Q3_337719"/>
      <w:bookmarkEnd w:id="1251"/>
      <w:r>
        <w:rPr>
          <w:rFonts w:hint="cs"/>
          <w:rtl/>
        </w:rPr>
        <w:t xml:space="preserve">וההתערבויות </w:t>
      </w:r>
      <w:bookmarkStart w:id="1252" w:name="_ETM_Q3_338530"/>
      <w:bookmarkEnd w:id="1252"/>
      <w:r>
        <w:rPr>
          <w:rFonts w:hint="cs"/>
          <w:rtl/>
        </w:rPr>
        <w:t xml:space="preserve">של </w:t>
      </w:r>
      <w:bookmarkStart w:id="1253" w:name="_ETM_Q3_338680"/>
      <w:bookmarkEnd w:id="1253"/>
      <w:r>
        <w:rPr>
          <w:rFonts w:hint="cs"/>
          <w:rtl/>
        </w:rPr>
        <w:t xml:space="preserve">הייעוץ </w:t>
      </w:r>
      <w:bookmarkStart w:id="1254" w:name="_ETM_Q3_339010"/>
      <w:bookmarkEnd w:id="1254"/>
      <w:r>
        <w:rPr>
          <w:rFonts w:hint="cs"/>
          <w:rtl/>
        </w:rPr>
        <w:t xml:space="preserve">המשפטי </w:t>
      </w:r>
      <w:bookmarkStart w:id="1255" w:name="_ETM_Q3_339579"/>
      <w:bookmarkEnd w:id="1255"/>
      <w:r>
        <w:rPr>
          <w:rFonts w:hint="cs"/>
          <w:rtl/>
        </w:rPr>
        <w:t xml:space="preserve">בהחלטות </w:t>
      </w:r>
      <w:bookmarkStart w:id="1256" w:name="_ETM_Q3_341230"/>
      <w:bookmarkEnd w:id="1256"/>
      <w:r>
        <w:rPr>
          <w:rFonts w:hint="cs"/>
          <w:rtl/>
        </w:rPr>
        <w:t xml:space="preserve">בצורה </w:t>
      </w:r>
      <w:bookmarkStart w:id="1257" w:name="_ETM_Q3_341919"/>
      <w:bookmarkEnd w:id="1257"/>
      <w:r>
        <w:rPr>
          <w:rFonts w:hint="cs"/>
          <w:rtl/>
        </w:rPr>
        <w:t xml:space="preserve">הדוקרת </w:t>
      </w:r>
      <w:bookmarkStart w:id="1258" w:name="_ETM_Q3_342550"/>
      <w:bookmarkEnd w:id="1258"/>
      <w:r>
        <w:rPr>
          <w:rFonts w:hint="cs"/>
          <w:rtl/>
        </w:rPr>
        <w:t xml:space="preserve">את </w:t>
      </w:r>
      <w:bookmarkStart w:id="1259" w:name="_ETM_Q3_342760"/>
      <w:bookmarkEnd w:id="1259"/>
      <w:r>
        <w:rPr>
          <w:rFonts w:hint="cs"/>
          <w:rtl/>
        </w:rPr>
        <w:t xml:space="preserve">העין </w:t>
      </w:r>
      <w:bookmarkStart w:id="1260" w:name="_ETM_Q3_344020"/>
      <w:bookmarkStart w:id="1261" w:name="_ETM_Q3_344169"/>
      <w:bookmarkEnd w:id="1260"/>
      <w:bookmarkEnd w:id="1261"/>
      <w:r>
        <w:rPr>
          <w:rFonts w:hint="cs"/>
          <w:rtl/>
        </w:rPr>
        <w:t xml:space="preserve">ואת </w:t>
      </w:r>
      <w:bookmarkStart w:id="1262" w:name="_ETM_Q3_344260"/>
      <w:bookmarkEnd w:id="1262"/>
      <w:r>
        <w:rPr>
          <w:rFonts w:hint="cs"/>
          <w:rtl/>
        </w:rPr>
        <w:t xml:space="preserve">הלב </w:t>
      </w:r>
      <w:bookmarkStart w:id="1263" w:name="_ETM_Q3_344500"/>
      <w:bookmarkEnd w:id="1263"/>
      <w:r>
        <w:rPr>
          <w:rFonts w:hint="cs"/>
          <w:rtl/>
        </w:rPr>
        <w:t xml:space="preserve">של </w:t>
      </w:r>
      <w:bookmarkStart w:id="1264" w:name="_ETM_Q3_344680"/>
      <w:bookmarkEnd w:id="1264"/>
      <w:r>
        <w:rPr>
          <w:rFonts w:hint="cs"/>
          <w:rtl/>
        </w:rPr>
        <w:t xml:space="preserve">כל </w:t>
      </w:r>
      <w:bookmarkStart w:id="1265" w:name="_ETM_Q3_344860"/>
      <w:bookmarkEnd w:id="1265"/>
      <w:r>
        <w:rPr>
          <w:rFonts w:hint="cs"/>
          <w:rtl/>
        </w:rPr>
        <w:t xml:space="preserve">מי </w:t>
      </w:r>
      <w:bookmarkStart w:id="1266" w:name="_ETM_Q3_345010"/>
      <w:bookmarkEnd w:id="1266"/>
      <w:r>
        <w:rPr>
          <w:rFonts w:hint="cs"/>
          <w:rtl/>
        </w:rPr>
        <w:t xml:space="preserve">שדמוקרטיה </w:t>
      </w:r>
      <w:bookmarkStart w:id="1267" w:name="_ETM_Q3_345669"/>
      <w:bookmarkEnd w:id="1267"/>
      <w:r>
        <w:rPr>
          <w:rFonts w:hint="cs"/>
          <w:rtl/>
        </w:rPr>
        <w:t xml:space="preserve">יקרה </w:t>
      </w:r>
      <w:bookmarkStart w:id="1268" w:name="_ETM_Q3_346060"/>
      <w:bookmarkEnd w:id="1268"/>
      <w:r>
        <w:rPr>
          <w:rFonts w:hint="cs"/>
          <w:rtl/>
        </w:rPr>
        <w:t xml:space="preserve">לליבו </w:t>
      </w:r>
      <w:bookmarkStart w:id="1269" w:name="_ETM_Q3_346480"/>
      <w:bookmarkEnd w:id="1269"/>
      <w:r>
        <w:rPr>
          <w:rFonts w:hint="cs"/>
          <w:rtl/>
        </w:rPr>
        <w:t xml:space="preserve">התרחשו </w:t>
      </w:r>
      <w:bookmarkStart w:id="1270" w:name="_ETM_Q3_347020"/>
      <w:bookmarkEnd w:id="1270"/>
      <w:r>
        <w:rPr>
          <w:rFonts w:hint="cs"/>
          <w:rtl/>
        </w:rPr>
        <w:t xml:space="preserve">בשלוש </w:t>
      </w:r>
      <w:bookmarkStart w:id="1271" w:name="_ETM_Q3_347410"/>
      <w:bookmarkEnd w:id="1271"/>
      <w:r>
        <w:rPr>
          <w:rFonts w:hint="cs"/>
          <w:rtl/>
        </w:rPr>
        <w:t xml:space="preserve">השנים </w:t>
      </w:r>
      <w:bookmarkStart w:id="1272" w:name="_ETM_Q3_347740"/>
      <w:bookmarkEnd w:id="1272"/>
      <w:r>
        <w:rPr>
          <w:rFonts w:hint="cs"/>
          <w:rtl/>
        </w:rPr>
        <w:t xml:space="preserve">האחרונות. </w:t>
      </w:r>
      <w:bookmarkStart w:id="1273" w:name="_ETM_Q3_348760"/>
      <w:bookmarkStart w:id="1274" w:name="_ETM_Q3_349270"/>
      <w:bookmarkStart w:id="1275" w:name="_ETM_Q3_349540"/>
      <w:bookmarkStart w:id="1276" w:name="_ETM_Q3_349720"/>
      <w:bookmarkStart w:id="1277" w:name="_ETM_Q3_350349"/>
      <w:bookmarkEnd w:id="1273"/>
      <w:bookmarkEnd w:id="1274"/>
      <w:bookmarkEnd w:id="1275"/>
      <w:bookmarkEnd w:id="1276"/>
      <w:bookmarkEnd w:id="1277"/>
      <w:r>
        <w:rPr>
          <w:rFonts w:hint="cs"/>
          <w:rtl/>
        </w:rPr>
        <w:t xml:space="preserve">תרמה </w:t>
      </w:r>
      <w:bookmarkStart w:id="1278" w:name="_ETM_Q3_350770"/>
      <w:bookmarkEnd w:id="1278"/>
      <w:r>
        <w:rPr>
          <w:rFonts w:hint="cs"/>
          <w:rtl/>
        </w:rPr>
        <w:t xml:space="preserve">לעובדה </w:t>
      </w:r>
      <w:bookmarkStart w:id="1279" w:name="_ETM_Q3_351610"/>
      <w:bookmarkEnd w:id="1279"/>
      <w:r>
        <w:rPr>
          <w:rFonts w:hint="cs"/>
          <w:rtl/>
        </w:rPr>
        <w:t xml:space="preserve">הזאת, בין היתר, </w:t>
      </w:r>
      <w:bookmarkStart w:id="1280" w:name="_ETM_Q3_352569"/>
      <w:bookmarkEnd w:id="1280"/>
      <w:r>
        <w:rPr>
          <w:rFonts w:hint="cs"/>
          <w:rtl/>
        </w:rPr>
        <w:t xml:space="preserve">המציאות </w:t>
      </w:r>
      <w:bookmarkStart w:id="1281" w:name="_ETM_Q3_353950"/>
      <w:bookmarkEnd w:id="1281"/>
      <w:r>
        <w:rPr>
          <w:rFonts w:hint="cs"/>
          <w:rtl/>
        </w:rPr>
        <w:t xml:space="preserve">הקשה </w:t>
      </w:r>
      <w:bookmarkStart w:id="1282" w:name="_ETM_Q3_354489"/>
      <w:bookmarkEnd w:id="1282"/>
      <w:r>
        <w:rPr>
          <w:rFonts w:hint="cs"/>
          <w:rtl/>
        </w:rPr>
        <w:t xml:space="preserve">של </w:t>
      </w:r>
      <w:bookmarkStart w:id="1283" w:name="_ETM_Q3_354700"/>
      <w:bookmarkEnd w:id="1283"/>
      <w:r>
        <w:rPr>
          <w:rFonts w:hint="cs"/>
          <w:rtl/>
        </w:rPr>
        <w:t xml:space="preserve">הרבה </w:t>
      </w:r>
      <w:bookmarkStart w:id="1284" w:name="_ETM_Q3_354939"/>
      <w:bookmarkEnd w:id="1284"/>
      <w:r>
        <w:rPr>
          <w:rFonts w:hint="cs"/>
          <w:rtl/>
        </w:rPr>
        <w:t xml:space="preserve">מאוד </w:t>
      </w:r>
      <w:bookmarkStart w:id="1285" w:name="_ETM_Q3_355180"/>
      <w:bookmarkEnd w:id="1285"/>
      <w:r>
        <w:rPr>
          <w:rFonts w:hint="cs"/>
          <w:rtl/>
        </w:rPr>
        <w:t xml:space="preserve">מערכות </w:t>
      </w:r>
      <w:bookmarkStart w:id="1286" w:name="_ETM_Q3_355569"/>
      <w:bookmarkEnd w:id="1286"/>
      <w:r>
        <w:rPr>
          <w:rFonts w:hint="cs"/>
          <w:rtl/>
        </w:rPr>
        <w:t xml:space="preserve">בחירות, </w:t>
      </w:r>
      <w:bookmarkStart w:id="1287" w:name="_ETM_Q3_355989"/>
      <w:bookmarkEnd w:id="1287"/>
      <w:r>
        <w:rPr>
          <w:rFonts w:hint="cs"/>
          <w:rtl/>
        </w:rPr>
        <w:t xml:space="preserve">ששם </w:t>
      </w:r>
      <w:bookmarkStart w:id="1288" w:name="_ETM_Q3_356829"/>
      <w:bookmarkEnd w:id="1288"/>
      <w:r>
        <w:rPr>
          <w:rFonts w:hint="cs"/>
          <w:rtl/>
        </w:rPr>
        <w:t xml:space="preserve">בית </w:t>
      </w:r>
      <w:bookmarkStart w:id="1289" w:name="_ETM_Q3_357040"/>
      <w:bookmarkEnd w:id="1289"/>
      <w:r>
        <w:rPr>
          <w:rFonts w:hint="cs"/>
          <w:rtl/>
        </w:rPr>
        <w:t xml:space="preserve">המשפט </w:t>
      </w:r>
      <w:bookmarkStart w:id="1290" w:name="_ETM_Q3_357430"/>
      <w:bookmarkEnd w:id="1290"/>
      <w:r>
        <w:rPr>
          <w:rFonts w:hint="cs"/>
          <w:rtl/>
        </w:rPr>
        <w:t xml:space="preserve">העליון </w:t>
      </w:r>
      <w:bookmarkStart w:id="1291" w:name="_ETM_Q3_357669"/>
      <w:bookmarkEnd w:id="1291"/>
      <w:r>
        <w:rPr>
          <w:rFonts w:hint="cs"/>
          <w:rtl/>
        </w:rPr>
        <w:t xml:space="preserve">והיועץ </w:t>
      </w:r>
      <w:bookmarkStart w:id="1292" w:name="_ETM_Q3_357879"/>
      <w:bookmarkEnd w:id="1292"/>
      <w:r>
        <w:rPr>
          <w:rFonts w:hint="cs"/>
          <w:rtl/>
        </w:rPr>
        <w:t xml:space="preserve">המשפטי </w:t>
      </w:r>
      <w:bookmarkStart w:id="1293" w:name="_ETM_Q3_358299"/>
      <w:bookmarkEnd w:id="1293"/>
      <w:r>
        <w:rPr>
          <w:rFonts w:hint="cs"/>
          <w:rtl/>
        </w:rPr>
        <w:t xml:space="preserve">מרחיבים </w:t>
      </w:r>
      <w:bookmarkStart w:id="1294" w:name="_ETM_Q3_359270"/>
      <w:bookmarkEnd w:id="1294"/>
      <w:r>
        <w:rPr>
          <w:rFonts w:hint="cs"/>
          <w:rtl/>
        </w:rPr>
        <w:t xml:space="preserve">עוד </w:t>
      </w:r>
      <w:bookmarkStart w:id="1295" w:name="_ETM_Q3_359480"/>
      <w:bookmarkEnd w:id="1295"/>
      <w:r>
        <w:rPr>
          <w:rFonts w:hint="cs"/>
          <w:rtl/>
        </w:rPr>
        <w:t xml:space="preserve">ועוד </w:t>
      </w:r>
      <w:bookmarkStart w:id="1296" w:name="_ETM_Q3_359750"/>
      <w:bookmarkEnd w:id="1296"/>
      <w:r>
        <w:rPr>
          <w:rFonts w:hint="cs"/>
          <w:rtl/>
        </w:rPr>
        <w:t xml:space="preserve">את </w:t>
      </w:r>
      <w:bookmarkStart w:id="1297" w:name="_ETM_Q3_359840"/>
      <w:bookmarkEnd w:id="1297"/>
      <w:r>
        <w:rPr>
          <w:rFonts w:hint="cs"/>
          <w:rtl/>
        </w:rPr>
        <w:t xml:space="preserve">סמכותו, </w:t>
      </w:r>
      <w:bookmarkStart w:id="1298" w:name="_ETM_Q3_361610"/>
      <w:bookmarkEnd w:id="1298"/>
      <w:r>
        <w:rPr>
          <w:rFonts w:hint="cs"/>
          <w:rtl/>
        </w:rPr>
        <w:t xml:space="preserve">אבל </w:t>
      </w:r>
      <w:bookmarkStart w:id="1299" w:name="_ETM_Q3_361909"/>
      <w:bookmarkEnd w:id="1299"/>
      <w:r>
        <w:rPr>
          <w:rFonts w:hint="cs"/>
          <w:rtl/>
        </w:rPr>
        <w:t xml:space="preserve">גם </w:t>
      </w:r>
      <w:bookmarkStart w:id="1300" w:name="_ETM_Q3_362389"/>
      <w:bookmarkEnd w:id="1300"/>
      <w:r>
        <w:rPr>
          <w:rFonts w:hint="cs"/>
          <w:rtl/>
        </w:rPr>
        <w:t xml:space="preserve">תרמה </w:t>
      </w:r>
      <w:bookmarkStart w:id="1301" w:name="_ETM_Q3_362750"/>
      <w:bookmarkEnd w:id="1301"/>
      <w:r>
        <w:rPr>
          <w:rFonts w:hint="cs"/>
          <w:rtl/>
        </w:rPr>
        <w:t xml:space="preserve">לזה </w:t>
      </w:r>
      <w:bookmarkStart w:id="1302" w:name="_ETM_Q3_363740"/>
      <w:bookmarkEnd w:id="1302"/>
      <w:r>
        <w:rPr>
          <w:rFonts w:hint="cs"/>
          <w:rtl/>
        </w:rPr>
        <w:t xml:space="preserve">המציאות </w:t>
      </w:r>
      <w:bookmarkStart w:id="1303" w:name="_ETM_Q3_364310"/>
      <w:bookmarkEnd w:id="1303"/>
      <w:r>
        <w:rPr>
          <w:rFonts w:hint="cs"/>
          <w:rtl/>
        </w:rPr>
        <w:t xml:space="preserve">שבה </w:t>
      </w:r>
      <w:bookmarkStart w:id="1304" w:name="_ETM_Q3_364550"/>
      <w:bookmarkEnd w:id="1304"/>
      <w:r>
        <w:rPr>
          <w:rFonts w:hint="cs"/>
          <w:rtl/>
        </w:rPr>
        <w:t xml:space="preserve">בית </w:t>
      </w:r>
      <w:bookmarkStart w:id="1305" w:name="_ETM_Q3_364760"/>
      <w:bookmarkEnd w:id="1305"/>
      <w:r>
        <w:rPr>
          <w:rFonts w:hint="cs"/>
          <w:rtl/>
        </w:rPr>
        <w:t xml:space="preserve">המשפט </w:t>
      </w:r>
      <w:bookmarkStart w:id="1306" w:name="_ETM_Q3_365180"/>
      <w:bookmarkEnd w:id="1306"/>
      <w:r>
        <w:rPr>
          <w:rFonts w:hint="cs"/>
          <w:rtl/>
        </w:rPr>
        <w:t xml:space="preserve">העליון </w:t>
      </w:r>
      <w:bookmarkStart w:id="1307" w:name="_ETM_Q3_366099"/>
      <w:bookmarkEnd w:id="1307"/>
      <w:r>
        <w:rPr>
          <w:rFonts w:hint="cs"/>
          <w:rtl/>
        </w:rPr>
        <w:t xml:space="preserve">מעצים </w:t>
      </w:r>
      <w:bookmarkStart w:id="1308" w:name="_ETM_Q3_366669"/>
      <w:bookmarkEnd w:id="1308"/>
      <w:r>
        <w:rPr>
          <w:rFonts w:hint="cs"/>
          <w:rtl/>
        </w:rPr>
        <w:t xml:space="preserve">את </w:t>
      </w:r>
      <w:bookmarkStart w:id="1309" w:name="_ETM_Q3_366760"/>
      <w:bookmarkEnd w:id="1309"/>
      <w:r>
        <w:rPr>
          <w:rFonts w:hint="cs"/>
          <w:rtl/>
        </w:rPr>
        <w:t xml:space="preserve">התערבותו </w:t>
      </w:r>
      <w:bookmarkStart w:id="1310" w:name="_ETM_Q3_367239"/>
      <w:bookmarkEnd w:id="1310"/>
      <w:r>
        <w:rPr>
          <w:rFonts w:hint="cs"/>
          <w:rtl/>
        </w:rPr>
        <w:t xml:space="preserve">גם </w:t>
      </w:r>
      <w:bookmarkStart w:id="1311" w:name="_ETM_Q3_367389"/>
      <w:bookmarkEnd w:id="1311"/>
      <w:r>
        <w:rPr>
          <w:rFonts w:hint="cs"/>
          <w:rtl/>
        </w:rPr>
        <w:t>בחקיקת</w:t>
      </w:r>
      <w:bookmarkStart w:id="1312" w:name="_ETM_Q3_367810"/>
      <w:bookmarkEnd w:id="1312"/>
      <w:r>
        <w:rPr>
          <w:rFonts w:hint="cs"/>
          <w:rtl/>
        </w:rPr>
        <w:t xml:space="preserve"> </w:t>
      </w:r>
      <w:bookmarkStart w:id="1313" w:name="_ETM_Q3_367870"/>
      <w:bookmarkEnd w:id="1313"/>
      <w:r>
        <w:rPr>
          <w:rFonts w:hint="cs"/>
          <w:rtl/>
        </w:rPr>
        <w:t xml:space="preserve">הכנסת </w:t>
      </w:r>
      <w:bookmarkStart w:id="1314" w:name="_ETM_Q3_368349"/>
      <w:bookmarkEnd w:id="1314"/>
      <w:r>
        <w:rPr>
          <w:rFonts w:hint="cs"/>
          <w:rtl/>
        </w:rPr>
        <w:t xml:space="preserve">עוד </w:t>
      </w:r>
      <w:bookmarkStart w:id="1315" w:name="_ETM_Q3_368530"/>
      <w:bookmarkEnd w:id="1315"/>
      <w:r>
        <w:rPr>
          <w:rFonts w:hint="cs"/>
          <w:rtl/>
        </w:rPr>
        <w:t xml:space="preserve">ועוד. </w:t>
      </w:r>
      <w:bookmarkStart w:id="1316" w:name="_ETM_Q3_369750"/>
      <w:bookmarkStart w:id="1317" w:name="_ETM_Q3_389571"/>
      <w:bookmarkStart w:id="1318" w:name="_ETM_Q3_389760"/>
      <w:bookmarkStart w:id="1319" w:name="_ETM_Q3_389822"/>
      <w:bookmarkStart w:id="1320" w:name="_ETM_Q3_389884"/>
      <w:bookmarkEnd w:id="1316"/>
      <w:bookmarkEnd w:id="1317"/>
      <w:bookmarkEnd w:id="1318"/>
      <w:bookmarkEnd w:id="1319"/>
      <w:bookmarkEnd w:id="1320"/>
      <w:r>
        <w:rPr>
          <w:rFonts w:hint="cs"/>
          <w:rtl/>
        </w:rPr>
        <w:t xml:space="preserve">רק </w:t>
      </w:r>
      <w:bookmarkStart w:id="1321" w:name="_ETM_Q3_370020"/>
      <w:bookmarkEnd w:id="1321"/>
      <w:r>
        <w:rPr>
          <w:rFonts w:hint="cs"/>
          <w:rtl/>
        </w:rPr>
        <w:t xml:space="preserve">לאחרונה </w:t>
      </w:r>
      <w:bookmarkStart w:id="1322" w:name="_ETM_Q3_370770"/>
      <w:bookmarkEnd w:id="1322"/>
      <w:r>
        <w:rPr>
          <w:rFonts w:hint="cs"/>
          <w:rtl/>
        </w:rPr>
        <w:t xml:space="preserve">הוציא </w:t>
      </w:r>
      <w:bookmarkStart w:id="1323" w:name="_ETM_Q3_371010"/>
      <w:bookmarkEnd w:id="1323"/>
      <w:r>
        <w:rPr>
          <w:rFonts w:hint="cs"/>
          <w:rtl/>
        </w:rPr>
        <w:t xml:space="preserve">בית </w:t>
      </w:r>
      <w:bookmarkStart w:id="1324" w:name="_ETM_Q3_371190"/>
      <w:bookmarkEnd w:id="1324"/>
      <w:r>
        <w:rPr>
          <w:rFonts w:hint="cs"/>
          <w:rtl/>
        </w:rPr>
        <w:t xml:space="preserve">המשפט </w:t>
      </w:r>
      <w:bookmarkStart w:id="1325" w:name="_ETM_Q3_371639"/>
      <w:bookmarkEnd w:id="1325"/>
      <w:r>
        <w:rPr>
          <w:rFonts w:hint="cs"/>
          <w:rtl/>
        </w:rPr>
        <w:t xml:space="preserve">העליון </w:t>
      </w:r>
      <w:bookmarkStart w:id="1326" w:name="_ETM_Q3_371970"/>
      <w:bookmarkEnd w:id="1326"/>
      <w:r>
        <w:rPr>
          <w:rFonts w:hint="cs"/>
          <w:rtl/>
        </w:rPr>
        <w:t xml:space="preserve">צו </w:t>
      </w:r>
      <w:bookmarkStart w:id="1327" w:name="_ETM_Q3_372330"/>
      <w:bookmarkEnd w:id="1327"/>
      <w:r>
        <w:rPr>
          <w:rFonts w:hint="cs"/>
          <w:rtl/>
        </w:rPr>
        <w:t xml:space="preserve">שלמעשה </w:t>
      </w:r>
      <w:bookmarkStart w:id="1328" w:name="_ETM_Q3_372810"/>
      <w:bookmarkEnd w:id="1328"/>
      <w:r>
        <w:rPr>
          <w:rFonts w:hint="cs"/>
          <w:rtl/>
        </w:rPr>
        <w:t xml:space="preserve">מבטל </w:t>
      </w:r>
      <w:bookmarkStart w:id="1329" w:name="_ETM_Q3_373290"/>
      <w:bookmarkEnd w:id="1329"/>
      <w:r>
        <w:rPr>
          <w:rFonts w:hint="cs"/>
          <w:rtl/>
        </w:rPr>
        <w:t xml:space="preserve">חוק </w:t>
      </w:r>
      <w:bookmarkStart w:id="1330" w:name="_ETM_Q3_374130"/>
      <w:bookmarkStart w:id="1331" w:name="_ETM_Q3_375400"/>
      <w:bookmarkEnd w:id="1330"/>
      <w:bookmarkEnd w:id="1331"/>
      <w:r>
        <w:rPr>
          <w:rFonts w:hint="cs"/>
          <w:rtl/>
        </w:rPr>
        <w:t xml:space="preserve">– סליחה </w:t>
      </w:r>
      <w:bookmarkStart w:id="1332" w:name="_ETM_Q3_375939"/>
      <w:bookmarkEnd w:id="1332"/>
      <w:r>
        <w:rPr>
          <w:rFonts w:hint="cs"/>
          <w:rtl/>
        </w:rPr>
        <w:t xml:space="preserve">על הרפרנס, </w:t>
      </w:r>
      <w:bookmarkStart w:id="1333" w:name="_ETM_Q3_376779"/>
      <w:bookmarkEnd w:id="1333"/>
      <w:r>
        <w:rPr>
          <w:rFonts w:hint="cs"/>
          <w:rtl/>
        </w:rPr>
        <w:t xml:space="preserve">אדוני </w:t>
      </w:r>
      <w:bookmarkStart w:id="1334" w:name="_ETM_Q3_377079"/>
      <w:bookmarkEnd w:id="1334"/>
      <w:r>
        <w:rPr>
          <w:rFonts w:hint="cs"/>
          <w:rtl/>
        </w:rPr>
        <w:t>היושב-ראש</w:t>
      </w:r>
      <w:bookmarkStart w:id="1335" w:name="_ETM_Q3_377859"/>
      <w:bookmarkEnd w:id="1335"/>
      <w:r>
        <w:rPr>
          <w:rFonts w:hint="cs"/>
          <w:rtl/>
        </w:rPr>
        <w:t xml:space="preserve">, אפילו </w:t>
      </w:r>
      <w:bookmarkStart w:id="1336" w:name="_ETM_Q3_378219"/>
      <w:bookmarkEnd w:id="1336"/>
      <w:r>
        <w:rPr>
          <w:rFonts w:hint="cs"/>
          <w:rtl/>
        </w:rPr>
        <w:t xml:space="preserve">עם </w:t>
      </w:r>
      <w:bookmarkStart w:id="1337" w:name="_ETM_Q3_378309"/>
      <w:bookmarkEnd w:id="1337"/>
      <w:r>
        <w:rPr>
          <w:rFonts w:hint="cs"/>
          <w:rtl/>
        </w:rPr>
        <w:t xml:space="preserve">זכוכית </w:t>
      </w:r>
      <w:bookmarkStart w:id="1338" w:name="_ETM_Q3_378699"/>
      <w:bookmarkStart w:id="1339" w:name="_ETM_Q3_379239"/>
      <w:bookmarkEnd w:id="1338"/>
      <w:bookmarkEnd w:id="1339"/>
      <w:r>
        <w:rPr>
          <w:rFonts w:hint="cs"/>
          <w:rtl/>
        </w:rPr>
        <w:t xml:space="preserve">מגדלת </w:t>
      </w:r>
      <w:bookmarkStart w:id="1340" w:name="_ETM_Q3_379779"/>
      <w:bookmarkEnd w:id="1340"/>
      <w:r>
        <w:rPr>
          <w:rFonts w:hint="cs"/>
          <w:rtl/>
        </w:rPr>
        <w:t xml:space="preserve">של </w:t>
      </w:r>
      <w:bookmarkStart w:id="1341" w:name="_ETM_Q3_379930"/>
      <w:bookmarkEnd w:id="1341"/>
      <w:r>
        <w:rPr>
          <w:rFonts w:hint="cs"/>
          <w:rtl/>
        </w:rPr>
        <w:t xml:space="preserve">שען </w:t>
      </w:r>
      <w:bookmarkStart w:id="1342" w:name="_ETM_Q3_380169"/>
      <w:bookmarkStart w:id="1343" w:name="_ETM_Q3_380260"/>
      <w:bookmarkEnd w:id="1342"/>
      <w:bookmarkEnd w:id="1343"/>
      <w:r>
        <w:rPr>
          <w:rFonts w:hint="cs"/>
          <w:rtl/>
        </w:rPr>
        <w:t xml:space="preserve">חירש </w:t>
      </w:r>
      <w:bookmarkStart w:id="1344" w:name="_ETM_Q3_380769"/>
      <w:bookmarkEnd w:id="1344"/>
      <w:r>
        <w:rPr>
          <w:rFonts w:hint="cs"/>
          <w:rtl/>
        </w:rPr>
        <w:t xml:space="preserve">לא </w:t>
      </w:r>
      <w:bookmarkStart w:id="1345" w:name="_ETM_Q3_380919"/>
      <w:bookmarkEnd w:id="1345"/>
      <w:r>
        <w:rPr>
          <w:rFonts w:hint="cs"/>
          <w:rtl/>
        </w:rPr>
        <w:t xml:space="preserve">ניתן </w:t>
      </w:r>
      <w:bookmarkStart w:id="1346" w:name="_ETM_Q3_381249"/>
      <w:bookmarkEnd w:id="1346"/>
      <w:r>
        <w:rPr>
          <w:rFonts w:hint="cs"/>
          <w:rtl/>
        </w:rPr>
        <w:t xml:space="preserve">לאתר </w:t>
      </w:r>
      <w:bookmarkStart w:id="1347" w:name="_ETM_Q3_381669"/>
      <w:bookmarkEnd w:id="1347"/>
      <w:r>
        <w:rPr>
          <w:rFonts w:hint="cs"/>
          <w:rtl/>
        </w:rPr>
        <w:t xml:space="preserve">את </w:t>
      </w:r>
      <w:bookmarkStart w:id="1348" w:name="_ETM_Q3_381819"/>
      <w:bookmarkEnd w:id="1348"/>
      <w:r>
        <w:rPr>
          <w:rFonts w:hint="cs"/>
          <w:rtl/>
        </w:rPr>
        <w:t xml:space="preserve">ההנמקה </w:t>
      </w:r>
      <w:bookmarkStart w:id="1349" w:name="_ETM_Q3_382689"/>
      <w:bookmarkEnd w:id="1349"/>
      <w:r>
        <w:rPr>
          <w:rFonts w:hint="cs"/>
          <w:rtl/>
        </w:rPr>
        <w:t xml:space="preserve">מדוע </w:t>
      </w:r>
      <w:bookmarkStart w:id="1350" w:name="_ETM_Q3_383019"/>
      <w:bookmarkEnd w:id="1350"/>
      <w:r>
        <w:rPr>
          <w:rFonts w:hint="cs"/>
          <w:rtl/>
        </w:rPr>
        <w:t xml:space="preserve">בוטל </w:t>
      </w:r>
      <w:bookmarkStart w:id="1351" w:name="_ETM_Q3_383349"/>
      <w:bookmarkEnd w:id="1351"/>
      <w:r>
        <w:rPr>
          <w:rFonts w:hint="cs"/>
          <w:rtl/>
        </w:rPr>
        <w:t xml:space="preserve">חוק </w:t>
      </w:r>
      <w:bookmarkStart w:id="1352" w:name="_ETM_Q3_383559"/>
      <w:bookmarkEnd w:id="1352"/>
      <w:r>
        <w:rPr>
          <w:rFonts w:hint="cs"/>
          <w:rtl/>
        </w:rPr>
        <w:t xml:space="preserve">של </w:t>
      </w:r>
      <w:bookmarkStart w:id="1353" w:name="_ETM_Q3_383709"/>
      <w:bookmarkEnd w:id="1353"/>
      <w:r>
        <w:rPr>
          <w:rFonts w:hint="cs"/>
          <w:rtl/>
        </w:rPr>
        <w:t xml:space="preserve">הכנסת </w:t>
      </w:r>
      <w:bookmarkStart w:id="1354" w:name="_ETM_Q3_384129"/>
      <w:bookmarkEnd w:id="1354"/>
      <w:r>
        <w:rPr>
          <w:rFonts w:hint="cs"/>
          <w:rtl/>
        </w:rPr>
        <w:t xml:space="preserve">העוסק </w:t>
      </w:r>
      <w:bookmarkStart w:id="1355" w:name="_ETM_Q3_384430"/>
      <w:bookmarkEnd w:id="1355"/>
      <w:r>
        <w:rPr>
          <w:rFonts w:hint="cs"/>
          <w:rtl/>
        </w:rPr>
        <w:t xml:space="preserve">במדיניות </w:t>
      </w:r>
      <w:bookmarkStart w:id="1356" w:name="_ETM_Q3_385029"/>
      <w:bookmarkEnd w:id="1356"/>
      <w:r>
        <w:rPr>
          <w:rFonts w:hint="cs"/>
          <w:rtl/>
        </w:rPr>
        <w:t xml:space="preserve">ההגירה. </w:t>
      </w:r>
      <w:bookmarkStart w:id="1357" w:name="_ETM_Q3_385930"/>
      <w:bookmarkEnd w:id="1357"/>
      <w:r>
        <w:rPr>
          <w:rFonts w:hint="cs"/>
          <w:rtl/>
        </w:rPr>
        <w:t xml:space="preserve">זה </w:t>
      </w:r>
      <w:bookmarkStart w:id="1358" w:name="_ETM_Q3_386109"/>
      <w:bookmarkEnd w:id="1358"/>
      <w:r>
        <w:rPr>
          <w:rFonts w:hint="cs"/>
          <w:rtl/>
        </w:rPr>
        <w:t xml:space="preserve">מצטרף </w:t>
      </w:r>
      <w:bookmarkStart w:id="1359" w:name="_ETM_Q3_388239"/>
      <w:bookmarkEnd w:id="1359"/>
      <w:r>
        <w:rPr>
          <w:rFonts w:hint="cs"/>
          <w:rtl/>
        </w:rPr>
        <w:t xml:space="preserve">לביטולים </w:t>
      </w:r>
      <w:bookmarkStart w:id="1360" w:name="_ETM_Q3_388779"/>
      <w:bookmarkEnd w:id="1360"/>
      <w:r>
        <w:rPr>
          <w:rFonts w:hint="cs"/>
          <w:rtl/>
        </w:rPr>
        <w:t xml:space="preserve">רבים </w:t>
      </w:r>
      <w:bookmarkStart w:id="1361" w:name="_ETM_Q3_389379"/>
      <w:bookmarkEnd w:id="1361"/>
      <w:r>
        <w:rPr>
          <w:rFonts w:hint="cs"/>
          <w:rtl/>
        </w:rPr>
        <w:t xml:space="preserve">של </w:t>
      </w:r>
      <w:bookmarkStart w:id="1362" w:name="_ETM_Q3_389559"/>
      <w:bookmarkEnd w:id="1362"/>
      <w:r>
        <w:rPr>
          <w:rFonts w:hint="cs"/>
          <w:rtl/>
        </w:rPr>
        <w:t xml:space="preserve">החלטות </w:t>
      </w:r>
      <w:bookmarkStart w:id="1363" w:name="_ETM_Q3_389980"/>
      <w:bookmarkEnd w:id="1363"/>
      <w:r>
        <w:rPr>
          <w:rFonts w:hint="cs"/>
          <w:rtl/>
        </w:rPr>
        <w:t xml:space="preserve">פרטניות, </w:t>
      </w:r>
      <w:bookmarkStart w:id="1364" w:name="_ETM_Q3_390879"/>
      <w:bookmarkEnd w:id="1364"/>
      <w:r>
        <w:rPr>
          <w:rFonts w:hint="cs"/>
          <w:rtl/>
        </w:rPr>
        <w:t xml:space="preserve">כשגרגר </w:t>
      </w:r>
      <w:bookmarkStart w:id="1365" w:name="_ETM_Q3_391599"/>
      <w:bookmarkEnd w:id="1365"/>
      <w:r>
        <w:rPr>
          <w:rFonts w:hint="cs"/>
          <w:rtl/>
        </w:rPr>
        <w:t xml:space="preserve">חול </w:t>
      </w:r>
      <w:bookmarkStart w:id="1366" w:name="_ETM_Q3_391900"/>
      <w:bookmarkEnd w:id="1366"/>
      <w:r>
        <w:rPr>
          <w:rFonts w:hint="cs"/>
          <w:rtl/>
        </w:rPr>
        <w:t xml:space="preserve">ועוד </w:t>
      </w:r>
      <w:bookmarkStart w:id="1367" w:name="_ETM_Q3_392139"/>
      <w:bookmarkEnd w:id="1367"/>
      <w:r>
        <w:rPr>
          <w:rFonts w:hint="cs"/>
          <w:rtl/>
        </w:rPr>
        <w:t xml:space="preserve">גרגר </w:t>
      </w:r>
      <w:bookmarkStart w:id="1368" w:name="_ETM_Q3_392529"/>
      <w:bookmarkEnd w:id="1368"/>
      <w:r>
        <w:rPr>
          <w:rFonts w:hint="cs"/>
          <w:rtl/>
        </w:rPr>
        <w:t xml:space="preserve">חול </w:t>
      </w:r>
      <w:bookmarkStart w:id="1369" w:name="_ETM_Q3_392799"/>
      <w:bookmarkEnd w:id="1369"/>
      <w:r>
        <w:rPr>
          <w:rFonts w:hint="cs"/>
          <w:rtl/>
        </w:rPr>
        <w:t xml:space="preserve">ועוד </w:t>
      </w:r>
      <w:bookmarkStart w:id="1370" w:name="_ETM_Q3_393010"/>
      <w:bookmarkEnd w:id="1370"/>
      <w:r>
        <w:rPr>
          <w:rFonts w:hint="cs"/>
          <w:rtl/>
        </w:rPr>
        <w:t xml:space="preserve">גרגר </w:t>
      </w:r>
      <w:bookmarkStart w:id="1371" w:name="_ETM_Q3_393340"/>
      <w:bookmarkEnd w:id="1371"/>
      <w:r>
        <w:rPr>
          <w:rFonts w:hint="cs"/>
          <w:rtl/>
        </w:rPr>
        <w:t xml:space="preserve">חול </w:t>
      </w:r>
      <w:bookmarkStart w:id="1372" w:name="_ETM_Q3_394090"/>
      <w:bookmarkEnd w:id="1372"/>
      <w:r>
        <w:rPr>
          <w:rFonts w:hint="cs"/>
          <w:rtl/>
        </w:rPr>
        <w:t xml:space="preserve">הופכים </w:t>
      </w:r>
      <w:bookmarkStart w:id="1373" w:name="_ETM_Q3_394510"/>
      <w:bookmarkEnd w:id="1373"/>
      <w:r>
        <w:rPr>
          <w:rFonts w:hint="cs"/>
          <w:rtl/>
        </w:rPr>
        <w:t xml:space="preserve">לערמה, </w:t>
      </w:r>
      <w:bookmarkStart w:id="1374" w:name="_ETM_Q3_395519"/>
      <w:bookmarkEnd w:id="1374"/>
      <w:r>
        <w:rPr>
          <w:rFonts w:hint="cs"/>
          <w:rtl/>
        </w:rPr>
        <w:t xml:space="preserve">ומונעים </w:t>
      </w:r>
      <w:bookmarkStart w:id="1375" w:name="_ETM_Q3_396299"/>
      <w:bookmarkEnd w:id="1375"/>
      <w:r>
        <w:rPr>
          <w:rFonts w:hint="cs"/>
          <w:rtl/>
        </w:rPr>
        <w:t xml:space="preserve">את </w:t>
      </w:r>
      <w:bookmarkStart w:id="1376" w:name="_ETM_Q3_396420"/>
      <w:bookmarkEnd w:id="1376"/>
      <w:r>
        <w:rPr>
          <w:rFonts w:hint="cs"/>
          <w:rtl/>
        </w:rPr>
        <w:t xml:space="preserve">הדרך </w:t>
      </w:r>
      <w:bookmarkStart w:id="1377" w:name="_ETM_Q3_396780"/>
      <w:bookmarkEnd w:id="1377"/>
      <w:r>
        <w:rPr>
          <w:rFonts w:hint="cs"/>
          <w:rtl/>
        </w:rPr>
        <w:t xml:space="preserve">של </w:t>
      </w:r>
      <w:bookmarkStart w:id="1378" w:name="_ETM_Q3_396930"/>
      <w:bookmarkEnd w:id="1378"/>
      <w:r>
        <w:rPr>
          <w:rFonts w:hint="cs"/>
          <w:rtl/>
        </w:rPr>
        <w:t xml:space="preserve">מדינת </w:t>
      </w:r>
      <w:bookmarkStart w:id="1379" w:name="_ETM_Q3_397230"/>
      <w:bookmarkEnd w:id="1379"/>
      <w:r>
        <w:rPr>
          <w:rFonts w:hint="cs"/>
          <w:rtl/>
        </w:rPr>
        <w:t xml:space="preserve">ישראל </w:t>
      </w:r>
      <w:bookmarkStart w:id="1380" w:name="_ETM_Q3_397590"/>
      <w:bookmarkEnd w:id="1380"/>
      <w:r>
        <w:rPr>
          <w:rFonts w:hint="cs"/>
          <w:rtl/>
        </w:rPr>
        <w:t xml:space="preserve">להתמודד </w:t>
      </w:r>
      <w:bookmarkStart w:id="1381" w:name="_ETM_Q3_398700"/>
      <w:bookmarkEnd w:id="1381"/>
      <w:r>
        <w:rPr>
          <w:rFonts w:hint="cs"/>
          <w:rtl/>
        </w:rPr>
        <w:t xml:space="preserve">עם </w:t>
      </w:r>
      <w:bookmarkStart w:id="1382" w:name="_ETM_Q3_399420"/>
      <w:bookmarkEnd w:id="1382"/>
      <w:r>
        <w:rPr>
          <w:rFonts w:hint="cs"/>
          <w:rtl/>
        </w:rPr>
        <w:t xml:space="preserve">תופעת </w:t>
      </w:r>
      <w:bookmarkStart w:id="1383" w:name="_ETM_Q3_399930"/>
      <w:bookmarkEnd w:id="1383"/>
      <w:r>
        <w:rPr>
          <w:rFonts w:hint="cs"/>
          <w:rtl/>
        </w:rPr>
        <w:t xml:space="preserve">ההגירה </w:t>
      </w:r>
      <w:bookmarkStart w:id="1384" w:name="_ETM_Q3_400439"/>
      <w:bookmarkEnd w:id="1384"/>
      <w:r>
        <w:rPr>
          <w:rFonts w:hint="cs"/>
          <w:rtl/>
        </w:rPr>
        <w:t xml:space="preserve">וההסתננות </w:t>
      </w:r>
      <w:bookmarkStart w:id="1385" w:name="_ETM_Q3_401760"/>
      <w:bookmarkEnd w:id="1385"/>
      <w:r>
        <w:rPr>
          <w:rFonts w:hint="cs"/>
          <w:rtl/>
        </w:rPr>
        <w:t>הבלתי</w:t>
      </w:r>
      <w:bookmarkStart w:id="1386" w:name="_ETM_Q3_402209"/>
      <w:bookmarkEnd w:id="1386"/>
      <w:r>
        <w:rPr>
          <w:rFonts w:hint="cs"/>
          <w:rtl/>
        </w:rPr>
        <w:t xml:space="preserve">-חוקית </w:t>
      </w:r>
      <w:bookmarkStart w:id="1387" w:name="_ETM_Q3_403110"/>
      <w:bookmarkEnd w:id="1387"/>
      <w:r>
        <w:rPr>
          <w:rFonts w:hint="cs"/>
          <w:rtl/>
        </w:rPr>
        <w:t xml:space="preserve">לישראל. </w:t>
      </w:r>
      <w:bookmarkStart w:id="1388" w:name="_ETM_Q3_405430"/>
      <w:bookmarkEnd w:id="1388"/>
    </w:p>
    <w:p w:rsidR="000C5C1F" w:rsidRDefault="000C5C1F" w:rsidP="000C5C1F">
      <w:pPr>
        <w:rPr>
          <w:rtl/>
        </w:rPr>
      </w:pPr>
      <w:bookmarkStart w:id="1389" w:name="_ETM_Q3_404468"/>
      <w:bookmarkStart w:id="1390" w:name="_ETM_Q3_404567"/>
      <w:bookmarkStart w:id="1391" w:name="_ETM_Q3_404867"/>
      <w:bookmarkEnd w:id="1389"/>
      <w:bookmarkEnd w:id="1390"/>
      <w:bookmarkEnd w:id="1391"/>
    </w:p>
    <w:p w:rsidR="000C5C1F" w:rsidRDefault="000C5C1F" w:rsidP="000C5C1F">
      <w:pPr>
        <w:rPr>
          <w:rtl/>
        </w:rPr>
      </w:pPr>
      <w:bookmarkStart w:id="1392" w:name="_ETM_Q3_404945"/>
      <w:bookmarkEnd w:id="1392"/>
      <w:r>
        <w:rPr>
          <w:rFonts w:hint="cs"/>
          <w:rtl/>
        </w:rPr>
        <w:t xml:space="preserve">אני </w:t>
      </w:r>
      <w:bookmarkStart w:id="1393" w:name="_ETM_Q3_406299"/>
      <w:bookmarkEnd w:id="1393"/>
      <w:r>
        <w:rPr>
          <w:rFonts w:hint="cs"/>
          <w:rtl/>
        </w:rPr>
        <w:t xml:space="preserve">אשמור </w:t>
      </w:r>
      <w:bookmarkStart w:id="1394" w:name="_ETM_Q3_406719"/>
      <w:bookmarkEnd w:id="1394"/>
      <w:r>
        <w:rPr>
          <w:rFonts w:hint="cs"/>
          <w:rtl/>
        </w:rPr>
        <w:t xml:space="preserve">חלק </w:t>
      </w:r>
      <w:bookmarkStart w:id="1395" w:name="_ETM_Q3_407139"/>
      <w:bookmarkEnd w:id="1395"/>
      <w:r>
        <w:rPr>
          <w:rFonts w:hint="cs"/>
          <w:rtl/>
        </w:rPr>
        <w:t>מדבר</w:t>
      </w:r>
      <w:bookmarkStart w:id="1396" w:name="_ETM_Q3_407590"/>
      <w:bookmarkEnd w:id="1396"/>
      <w:r>
        <w:rPr>
          <w:rFonts w:hint="cs"/>
          <w:rtl/>
        </w:rPr>
        <w:t xml:space="preserve">יי לדברי </w:t>
      </w:r>
      <w:bookmarkStart w:id="1397" w:name="_ETM_Q3_409090"/>
      <w:bookmarkEnd w:id="1397"/>
      <w:r>
        <w:rPr>
          <w:rFonts w:hint="cs"/>
          <w:rtl/>
        </w:rPr>
        <w:t xml:space="preserve">הסיכום </w:t>
      </w:r>
      <w:bookmarkStart w:id="1398" w:name="_ETM_Q3_409510"/>
      <w:bookmarkEnd w:id="1398"/>
      <w:r>
        <w:rPr>
          <w:rFonts w:hint="cs"/>
          <w:rtl/>
        </w:rPr>
        <w:t xml:space="preserve">שלי, </w:t>
      </w:r>
      <w:bookmarkStart w:id="1399" w:name="_ETM_Q3_407859"/>
      <w:bookmarkEnd w:id="1399"/>
      <w:r>
        <w:rPr>
          <w:rFonts w:hint="cs"/>
          <w:rtl/>
        </w:rPr>
        <w:t xml:space="preserve">כמו </w:t>
      </w:r>
      <w:bookmarkStart w:id="1400" w:name="_ETM_Q3_408040"/>
      <w:bookmarkEnd w:id="1400"/>
      <w:r>
        <w:rPr>
          <w:rFonts w:hint="cs"/>
          <w:rtl/>
        </w:rPr>
        <w:t xml:space="preserve">שאמרתי, </w:t>
      </w:r>
      <w:bookmarkStart w:id="1401" w:name="_ETM_Q3_408639"/>
      <w:bookmarkStart w:id="1402" w:name="_ETM_Q3_410049"/>
      <w:bookmarkEnd w:id="1401"/>
      <w:bookmarkEnd w:id="1402"/>
      <w:r>
        <w:rPr>
          <w:rFonts w:hint="cs"/>
          <w:rtl/>
        </w:rPr>
        <w:t xml:space="preserve">אבל </w:t>
      </w:r>
      <w:bookmarkStart w:id="1403" w:name="_ETM_Q3_410290"/>
      <w:bookmarkEnd w:id="1403"/>
      <w:r>
        <w:rPr>
          <w:rFonts w:hint="cs"/>
          <w:rtl/>
        </w:rPr>
        <w:t xml:space="preserve">אני </w:t>
      </w:r>
      <w:bookmarkStart w:id="1404" w:name="_ETM_Q3_410409"/>
      <w:bookmarkEnd w:id="1404"/>
      <w:r>
        <w:rPr>
          <w:rFonts w:hint="cs"/>
          <w:rtl/>
        </w:rPr>
        <w:t xml:space="preserve">רוצה </w:t>
      </w:r>
      <w:bookmarkStart w:id="1405" w:name="_ETM_Q3_410739"/>
      <w:bookmarkEnd w:id="1405"/>
      <w:r>
        <w:rPr>
          <w:rFonts w:hint="cs"/>
          <w:rtl/>
        </w:rPr>
        <w:t xml:space="preserve">רק </w:t>
      </w:r>
      <w:bookmarkStart w:id="1406" w:name="_ETM_Q3_410919"/>
      <w:bookmarkEnd w:id="1406"/>
      <w:r>
        <w:rPr>
          <w:rFonts w:hint="cs"/>
          <w:rtl/>
        </w:rPr>
        <w:t xml:space="preserve">לומר </w:t>
      </w:r>
      <w:bookmarkStart w:id="1407" w:name="_ETM_Q3_411999"/>
      <w:bookmarkEnd w:id="1407"/>
      <w:r>
        <w:rPr>
          <w:rFonts w:hint="cs"/>
          <w:rtl/>
        </w:rPr>
        <w:t xml:space="preserve">משפט </w:t>
      </w:r>
      <w:bookmarkStart w:id="1408" w:name="_ETM_Q3_412389"/>
      <w:bookmarkEnd w:id="1408"/>
      <w:r>
        <w:rPr>
          <w:rFonts w:hint="cs"/>
          <w:rtl/>
        </w:rPr>
        <w:t xml:space="preserve">קצר </w:t>
      </w:r>
      <w:bookmarkStart w:id="1409" w:name="_ETM_Q3_412749"/>
      <w:bookmarkEnd w:id="1409"/>
      <w:r>
        <w:rPr>
          <w:rFonts w:hint="cs"/>
          <w:rtl/>
        </w:rPr>
        <w:t xml:space="preserve">בנוגע </w:t>
      </w:r>
      <w:bookmarkStart w:id="1410" w:name="_ETM_Q3_413809"/>
      <w:bookmarkEnd w:id="1410"/>
      <w:r>
        <w:rPr>
          <w:rFonts w:hint="cs"/>
          <w:rtl/>
        </w:rPr>
        <w:t xml:space="preserve">להליך. </w:t>
      </w:r>
      <w:bookmarkStart w:id="1411" w:name="_ETM_Q3_416090"/>
      <w:bookmarkEnd w:id="1411"/>
      <w:r>
        <w:rPr>
          <w:rFonts w:hint="cs"/>
          <w:rtl/>
        </w:rPr>
        <w:t xml:space="preserve">הצעת </w:t>
      </w:r>
      <w:bookmarkStart w:id="1412" w:name="_ETM_Q3_416540"/>
      <w:bookmarkEnd w:id="1412"/>
      <w:r>
        <w:rPr>
          <w:rFonts w:hint="cs"/>
          <w:rtl/>
        </w:rPr>
        <w:t xml:space="preserve">החוק </w:t>
      </w:r>
      <w:bookmarkStart w:id="1413" w:name="_ETM_Q3_416810"/>
      <w:bookmarkEnd w:id="1413"/>
      <w:r>
        <w:rPr>
          <w:rFonts w:hint="cs"/>
          <w:rtl/>
        </w:rPr>
        <w:t xml:space="preserve">הזאת </w:t>
      </w:r>
      <w:bookmarkStart w:id="1414" w:name="_ETM_Q3_417109"/>
      <w:bookmarkEnd w:id="1414"/>
      <w:r>
        <w:rPr>
          <w:rFonts w:hint="cs"/>
          <w:rtl/>
        </w:rPr>
        <w:t xml:space="preserve">הוצעה </w:t>
      </w:r>
      <w:bookmarkStart w:id="1415" w:name="_ETM_Q3_417409"/>
      <w:bookmarkEnd w:id="1415"/>
      <w:r>
        <w:rPr>
          <w:rFonts w:hint="cs"/>
          <w:rtl/>
        </w:rPr>
        <w:t xml:space="preserve">מטעם </w:t>
      </w:r>
      <w:bookmarkStart w:id="1416" w:name="_ETM_Q3_417829"/>
      <w:bookmarkEnd w:id="1416"/>
      <w:r>
        <w:rPr>
          <w:rFonts w:hint="cs"/>
          <w:rtl/>
        </w:rPr>
        <w:t xml:space="preserve">ועדה. </w:t>
      </w:r>
      <w:bookmarkStart w:id="1417" w:name="_ETM_Q3_418920"/>
      <w:bookmarkEnd w:id="1417"/>
      <w:r>
        <w:rPr>
          <w:rFonts w:hint="cs"/>
          <w:rtl/>
        </w:rPr>
        <w:t xml:space="preserve">הנוסח </w:t>
      </w:r>
      <w:bookmarkStart w:id="1418" w:name="_ETM_Q3_419830"/>
      <w:bookmarkEnd w:id="1418"/>
      <w:r>
        <w:rPr>
          <w:rFonts w:hint="cs"/>
          <w:rtl/>
        </w:rPr>
        <w:t xml:space="preserve">הונח </w:t>
      </w:r>
      <w:bookmarkStart w:id="1419" w:name="_ETM_Q3_420220"/>
      <w:bookmarkEnd w:id="1419"/>
      <w:r>
        <w:rPr>
          <w:rFonts w:hint="cs"/>
          <w:rtl/>
        </w:rPr>
        <w:t xml:space="preserve">על </w:t>
      </w:r>
      <w:bookmarkStart w:id="1420" w:name="_ETM_Q3_420310"/>
      <w:bookmarkEnd w:id="1420"/>
      <w:r>
        <w:rPr>
          <w:rFonts w:hint="cs"/>
          <w:rtl/>
        </w:rPr>
        <w:t xml:space="preserve">שולחן </w:t>
      </w:r>
      <w:bookmarkStart w:id="1421" w:name="_ETM_Q3_420760"/>
      <w:bookmarkEnd w:id="1421"/>
      <w:r>
        <w:rPr>
          <w:rFonts w:hint="cs"/>
          <w:rtl/>
        </w:rPr>
        <w:t xml:space="preserve">הוועדה </w:t>
      </w:r>
      <w:bookmarkStart w:id="1422" w:name="_ETM_Q3_421390"/>
      <w:bookmarkEnd w:id="1422"/>
      <w:r>
        <w:rPr>
          <w:rFonts w:hint="cs"/>
          <w:rtl/>
        </w:rPr>
        <w:t xml:space="preserve">כבר </w:t>
      </w:r>
      <w:bookmarkStart w:id="1423" w:name="_ETM_Q3_421660"/>
      <w:bookmarkEnd w:id="1423"/>
      <w:r>
        <w:rPr>
          <w:rFonts w:hint="cs"/>
          <w:rtl/>
        </w:rPr>
        <w:t xml:space="preserve">בחודש </w:t>
      </w:r>
      <w:bookmarkStart w:id="1424" w:name="_ETM_Q3_422140"/>
      <w:bookmarkEnd w:id="1424"/>
      <w:r>
        <w:rPr>
          <w:rFonts w:hint="cs"/>
          <w:rtl/>
        </w:rPr>
        <w:t xml:space="preserve">ינואר </w:t>
      </w:r>
      <w:bookmarkStart w:id="1425" w:name="_ETM_Q3_422560"/>
      <w:bookmarkEnd w:id="1425"/>
      <w:r>
        <w:rPr>
          <w:rFonts w:hint="cs"/>
          <w:rtl/>
        </w:rPr>
        <w:t xml:space="preserve">השנה </w:t>
      </w:r>
      <w:r>
        <w:t>–</w:t>
      </w:r>
      <w:r>
        <w:rPr>
          <w:rFonts w:hint="cs"/>
          <w:rtl/>
        </w:rPr>
        <w:t xml:space="preserve"> </w:t>
      </w:r>
      <w:bookmarkStart w:id="1426" w:name="_ETM_Q3_423360"/>
      <w:bookmarkEnd w:id="1426"/>
      <w:r>
        <w:rPr>
          <w:rFonts w:hint="cs"/>
          <w:rtl/>
        </w:rPr>
        <w:t xml:space="preserve">שוב, </w:t>
      </w:r>
      <w:bookmarkStart w:id="1427" w:name="_ETM_Q3_424170"/>
      <w:bookmarkEnd w:id="1427"/>
      <w:r>
        <w:rPr>
          <w:rFonts w:hint="cs"/>
          <w:rtl/>
        </w:rPr>
        <w:t xml:space="preserve">לכל </w:t>
      </w:r>
      <w:bookmarkStart w:id="1428" w:name="_ETM_Q3_424590"/>
      <w:bookmarkStart w:id="1429" w:name="_ETM_Q3_424739"/>
      <w:bookmarkEnd w:id="1428"/>
      <w:bookmarkEnd w:id="1429"/>
      <w:r>
        <w:rPr>
          <w:rFonts w:hint="cs"/>
          <w:rtl/>
        </w:rPr>
        <w:t xml:space="preserve">זועקי </w:t>
      </w:r>
      <w:bookmarkStart w:id="1430" w:name="_ETM_Q3_425099"/>
      <w:bookmarkEnd w:id="1430"/>
      <w:r>
        <w:rPr>
          <w:rFonts w:hint="cs"/>
          <w:rtl/>
        </w:rPr>
        <w:t xml:space="preserve">הבליץ </w:t>
      </w:r>
      <w:bookmarkStart w:id="1431" w:name="_ETM_Q3_425930"/>
      <w:bookmarkEnd w:id="1431"/>
      <w:r>
        <w:rPr>
          <w:rFonts w:hint="cs"/>
          <w:rtl/>
        </w:rPr>
        <w:t xml:space="preserve">למיניהם. </w:t>
      </w:r>
      <w:bookmarkStart w:id="1432" w:name="_ETM_Q3_428480"/>
      <w:bookmarkEnd w:id="1432"/>
      <w:r>
        <w:rPr>
          <w:rFonts w:hint="cs"/>
          <w:rtl/>
        </w:rPr>
        <w:t xml:space="preserve">בעקבות </w:t>
      </w:r>
      <w:bookmarkStart w:id="1433" w:name="_ETM_Q3_429049"/>
      <w:bookmarkEnd w:id="1433"/>
      <w:r>
        <w:rPr>
          <w:rFonts w:hint="cs"/>
          <w:rtl/>
        </w:rPr>
        <w:t xml:space="preserve">הנוסח </w:t>
      </w:r>
      <w:bookmarkStart w:id="1434" w:name="_ETM_Q3_429470"/>
      <w:bookmarkEnd w:id="1434"/>
      <w:r>
        <w:rPr>
          <w:rFonts w:hint="cs"/>
          <w:rtl/>
        </w:rPr>
        <w:t xml:space="preserve">הזה </w:t>
      </w:r>
      <w:bookmarkStart w:id="1435" w:name="_ETM_Q3_429890"/>
      <w:bookmarkEnd w:id="1435"/>
      <w:r>
        <w:rPr>
          <w:rFonts w:hint="cs"/>
          <w:rtl/>
        </w:rPr>
        <w:t xml:space="preserve">הוגשו </w:t>
      </w:r>
      <w:bookmarkStart w:id="1436" w:name="_ETM_Q3_430310"/>
      <w:bookmarkEnd w:id="1436"/>
      <w:r>
        <w:rPr>
          <w:rFonts w:hint="cs"/>
          <w:rtl/>
        </w:rPr>
        <w:t xml:space="preserve">כבר </w:t>
      </w:r>
      <w:bookmarkStart w:id="1437" w:name="_ETM_Q3_430610"/>
      <w:bookmarkEnd w:id="1437"/>
      <w:r>
        <w:rPr>
          <w:rFonts w:hint="cs"/>
          <w:rtl/>
        </w:rPr>
        <w:t xml:space="preserve">בחודש </w:t>
      </w:r>
      <w:bookmarkStart w:id="1438" w:name="_ETM_Q3_431030"/>
      <w:bookmarkEnd w:id="1438"/>
      <w:r>
        <w:rPr>
          <w:rFonts w:hint="cs"/>
          <w:rtl/>
        </w:rPr>
        <w:t xml:space="preserve">ינואר </w:t>
      </w:r>
      <w:bookmarkStart w:id="1439" w:name="_ETM_Q3_432159"/>
      <w:bookmarkEnd w:id="1439"/>
      <w:r>
        <w:rPr>
          <w:rFonts w:hint="cs"/>
          <w:rtl/>
        </w:rPr>
        <w:t xml:space="preserve">ניירות </w:t>
      </w:r>
      <w:bookmarkStart w:id="1440" w:name="_ETM_Q3_432730"/>
      <w:bookmarkEnd w:id="1440"/>
      <w:r>
        <w:rPr>
          <w:rFonts w:hint="cs"/>
          <w:rtl/>
        </w:rPr>
        <w:t xml:space="preserve">עמדה </w:t>
      </w:r>
      <w:bookmarkStart w:id="1441" w:name="_ETM_Q3_433239"/>
      <w:bookmarkEnd w:id="1441"/>
      <w:r>
        <w:rPr>
          <w:rFonts w:hint="cs"/>
          <w:rtl/>
        </w:rPr>
        <w:t xml:space="preserve">מגופים </w:t>
      </w:r>
      <w:bookmarkStart w:id="1442" w:name="_ETM_Q3_433720"/>
      <w:bookmarkEnd w:id="1442"/>
      <w:r>
        <w:rPr>
          <w:rFonts w:hint="cs"/>
          <w:rtl/>
        </w:rPr>
        <w:t xml:space="preserve">שונים, </w:t>
      </w:r>
      <w:bookmarkStart w:id="1443" w:name="_ETM_Q3_434379"/>
      <w:bookmarkEnd w:id="1443"/>
      <w:r>
        <w:rPr>
          <w:rFonts w:hint="cs"/>
          <w:rtl/>
        </w:rPr>
        <w:t xml:space="preserve">הגיעו </w:t>
      </w:r>
      <w:bookmarkStart w:id="1444" w:name="_ETM_Q3_434739"/>
      <w:bookmarkEnd w:id="1444"/>
      <w:r>
        <w:rPr>
          <w:rFonts w:hint="cs"/>
          <w:rtl/>
        </w:rPr>
        <w:t xml:space="preserve">מומחים </w:t>
      </w:r>
      <w:bookmarkStart w:id="1445" w:name="_ETM_Q3_435700"/>
      <w:bookmarkEnd w:id="1445"/>
      <w:r>
        <w:rPr>
          <w:rFonts w:hint="cs"/>
          <w:rtl/>
        </w:rPr>
        <w:t xml:space="preserve">ודיברו </w:t>
      </w:r>
      <w:bookmarkStart w:id="1446" w:name="_ETM_Q3_436300"/>
      <w:bookmarkEnd w:id="1446"/>
      <w:r>
        <w:rPr>
          <w:rFonts w:hint="cs"/>
          <w:rtl/>
        </w:rPr>
        <w:t xml:space="preserve">על כך </w:t>
      </w:r>
      <w:bookmarkStart w:id="1447" w:name="_ETM_Q3_437589"/>
      <w:bookmarkEnd w:id="1447"/>
      <w:r>
        <w:rPr>
          <w:rFonts w:hint="cs"/>
          <w:rtl/>
        </w:rPr>
        <w:t xml:space="preserve">כבר </w:t>
      </w:r>
      <w:bookmarkStart w:id="1448" w:name="_ETM_Q3_438669"/>
      <w:bookmarkEnd w:id="1448"/>
      <w:r>
        <w:rPr>
          <w:rFonts w:hint="cs"/>
          <w:rtl/>
        </w:rPr>
        <w:t xml:space="preserve">לפני </w:t>
      </w:r>
      <w:bookmarkStart w:id="1449" w:name="_ETM_Q3_439539"/>
      <w:bookmarkEnd w:id="1449"/>
      <w:r>
        <w:rPr>
          <w:rFonts w:hint="cs"/>
          <w:rtl/>
        </w:rPr>
        <w:t xml:space="preserve">חצי </w:t>
      </w:r>
      <w:bookmarkStart w:id="1450" w:name="_ETM_Q3_439990"/>
      <w:bookmarkEnd w:id="1450"/>
      <w:r>
        <w:rPr>
          <w:rFonts w:hint="cs"/>
          <w:rtl/>
        </w:rPr>
        <w:t xml:space="preserve">שנה. </w:t>
      </w:r>
      <w:bookmarkStart w:id="1451" w:name="_ETM_Q3_441470"/>
      <w:bookmarkStart w:id="1452" w:name="_ETM_Q3_443518"/>
      <w:bookmarkStart w:id="1453" w:name="_ETM_Q3_443608"/>
      <w:bookmarkStart w:id="1454" w:name="_ETM_Q3_443662"/>
      <w:bookmarkStart w:id="1455" w:name="_ETM_Q3_443732"/>
      <w:bookmarkEnd w:id="1451"/>
      <w:bookmarkEnd w:id="1452"/>
      <w:bookmarkEnd w:id="1453"/>
      <w:bookmarkEnd w:id="1454"/>
      <w:bookmarkEnd w:id="1455"/>
      <w:r>
        <w:rPr>
          <w:rFonts w:hint="cs"/>
          <w:rtl/>
        </w:rPr>
        <w:t xml:space="preserve">כאשר </w:t>
      </w:r>
      <w:bookmarkStart w:id="1456" w:name="_ETM_Q3_442779"/>
      <w:bookmarkEnd w:id="1456"/>
      <w:r>
        <w:rPr>
          <w:rFonts w:hint="cs"/>
          <w:rtl/>
        </w:rPr>
        <w:t xml:space="preserve">חזרנו </w:t>
      </w:r>
      <w:bookmarkStart w:id="1457" w:name="_ETM_Q3_443379"/>
      <w:bookmarkEnd w:id="1457"/>
      <w:r>
        <w:rPr>
          <w:rFonts w:hint="cs"/>
          <w:rtl/>
        </w:rPr>
        <w:t xml:space="preserve">לעסוק </w:t>
      </w:r>
      <w:bookmarkStart w:id="1458" w:name="_ETM_Q3_443800"/>
      <w:bookmarkEnd w:id="1458"/>
      <w:r>
        <w:rPr>
          <w:rFonts w:hint="cs"/>
          <w:rtl/>
        </w:rPr>
        <w:t xml:space="preserve">בנושא </w:t>
      </w:r>
      <w:bookmarkStart w:id="1459" w:name="_ETM_Q3_444219"/>
      <w:bookmarkEnd w:id="1459"/>
      <w:r>
        <w:rPr>
          <w:rFonts w:hint="cs"/>
          <w:rtl/>
        </w:rPr>
        <w:t xml:space="preserve">ונכנסנו </w:t>
      </w:r>
      <w:bookmarkStart w:id="1460" w:name="_ETM_Q3_444879"/>
      <w:bookmarkEnd w:id="1460"/>
      <w:r>
        <w:rPr>
          <w:rFonts w:hint="cs"/>
          <w:rtl/>
        </w:rPr>
        <w:t xml:space="preserve">אליו </w:t>
      </w:r>
      <w:bookmarkStart w:id="1461" w:name="_ETM_Q3_445120"/>
      <w:bookmarkEnd w:id="1461"/>
      <w:r>
        <w:rPr>
          <w:rFonts w:hint="cs"/>
          <w:rtl/>
        </w:rPr>
        <w:t xml:space="preserve">בצורה </w:t>
      </w:r>
      <w:bookmarkStart w:id="1462" w:name="_ETM_Q3_445449"/>
      <w:bookmarkEnd w:id="1462"/>
      <w:r>
        <w:rPr>
          <w:rFonts w:hint="cs"/>
          <w:rtl/>
        </w:rPr>
        <w:t xml:space="preserve">יותר </w:t>
      </w:r>
      <w:bookmarkStart w:id="1463" w:name="_ETM_Q3_445779"/>
      <w:bookmarkEnd w:id="1463"/>
      <w:r>
        <w:rPr>
          <w:rFonts w:hint="cs"/>
          <w:rtl/>
        </w:rPr>
        <w:t xml:space="preserve">אינטנסיבית, </w:t>
      </w:r>
      <w:bookmarkStart w:id="1464" w:name="_ETM_Q3_447409"/>
      <w:bookmarkEnd w:id="1464"/>
      <w:r>
        <w:rPr>
          <w:rFonts w:hint="cs"/>
          <w:rtl/>
        </w:rPr>
        <w:t xml:space="preserve">התקיימו </w:t>
      </w:r>
      <w:bookmarkStart w:id="1465" w:name="_ETM_Q3_447949"/>
      <w:bookmarkEnd w:id="1465"/>
      <w:r>
        <w:rPr>
          <w:rFonts w:hint="cs"/>
          <w:rtl/>
        </w:rPr>
        <w:t xml:space="preserve">בנושא </w:t>
      </w:r>
      <w:bookmarkStart w:id="1466" w:name="_ETM_Q3_448430"/>
      <w:bookmarkEnd w:id="1466"/>
      <w:r>
        <w:rPr>
          <w:rFonts w:hint="cs"/>
          <w:rtl/>
        </w:rPr>
        <w:t xml:space="preserve">מאז </w:t>
      </w:r>
      <w:bookmarkStart w:id="1467" w:name="_ETM_Q3_450180"/>
      <w:bookmarkEnd w:id="1467"/>
      <w:r>
        <w:rPr>
          <w:rFonts w:hint="cs"/>
          <w:rtl/>
        </w:rPr>
        <w:t xml:space="preserve">14 </w:t>
      </w:r>
      <w:bookmarkStart w:id="1468" w:name="_ETM_Q3_450810"/>
      <w:bookmarkEnd w:id="1468"/>
      <w:r>
        <w:rPr>
          <w:rFonts w:hint="cs"/>
          <w:rtl/>
        </w:rPr>
        <w:t xml:space="preserve">ישיבות </w:t>
      </w:r>
      <w:bookmarkStart w:id="1469" w:name="_ETM_Q3_451289"/>
      <w:bookmarkEnd w:id="1469"/>
      <w:r>
        <w:rPr>
          <w:rFonts w:hint="cs"/>
          <w:rtl/>
        </w:rPr>
        <w:t xml:space="preserve">בהיקף </w:t>
      </w:r>
      <w:bookmarkStart w:id="1470" w:name="_ETM_Q3_451710"/>
      <w:bookmarkEnd w:id="1470"/>
      <w:r>
        <w:rPr>
          <w:rFonts w:hint="cs"/>
          <w:rtl/>
        </w:rPr>
        <w:t xml:space="preserve">כולל </w:t>
      </w:r>
      <w:bookmarkStart w:id="1471" w:name="_ETM_Q3_452009"/>
      <w:bookmarkEnd w:id="1471"/>
      <w:r>
        <w:rPr>
          <w:rFonts w:hint="cs"/>
          <w:rtl/>
        </w:rPr>
        <w:t xml:space="preserve">של </w:t>
      </w:r>
      <w:bookmarkStart w:id="1472" w:name="_ETM_Q3_452190"/>
      <w:bookmarkEnd w:id="1472"/>
      <w:r>
        <w:rPr>
          <w:rFonts w:hint="cs"/>
          <w:rtl/>
        </w:rPr>
        <w:t xml:space="preserve">73 </w:t>
      </w:r>
      <w:bookmarkStart w:id="1473" w:name="_ETM_Q3_453120"/>
      <w:bookmarkEnd w:id="1473"/>
      <w:r>
        <w:rPr>
          <w:rFonts w:hint="cs"/>
          <w:rtl/>
        </w:rPr>
        <w:t xml:space="preserve">שעות, </w:t>
      </w:r>
      <w:bookmarkStart w:id="1474" w:name="_ETM_Q3_454170"/>
      <w:bookmarkEnd w:id="1474"/>
      <w:r>
        <w:rPr>
          <w:rFonts w:hint="cs"/>
          <w:rtl/>
        </w:rPr>
        <w:t xml:space="preserve">עם </w:t>
      </w:r>
      <w:bookmarkStart w:id="1475" w:name="_ETM_Q3_454320"/>
      <w:bookmarkEnd w:id="1475"/>
      <w:r>
        <w:rPr>
          <w:rFonts w:hint="cs"/>
          <w:rtl/>
        </w:rPr>
        <w:t xml:space="preserve">השתתפות </w:t>
      </w:r>
      <w:bookmarkStart w:id="1476" w:name="_ETM_Q3_454800"/>
      <w:bookmarkEnd w:id="1476"/>
      <w:r>
        <w:rPr>
          <w:rFonts w:hint="cs"/>
          <w:rtl/>
        </w:rPr>
        <w:t xml:space="preserve">של </w:t>
      </w:r>
      <w:bookmarkStart w:id="1477" w:name="_ETM_Q3_454920"/>
      <w:bookmarkEnd w:id="1477"/>
      <w:r>
        <w:rPr>
          <w:rFonts w:hint="cs"/>
          <w:rtl/>
        </w:rPr>
        <w:t xml:space="preserve">48 </w:t>
      </w:r>
      <w:bookmarkStart w:id="1478" w:name="_ETM_Q3_455670"/>
      <w:bookmarkEnd w:id="1478"/>
      <w:r>
        <w:rPr>
          <w:rFonts w:hint="cs"/>
          <w:rtl/>
        </w:rPr>
        <w:t xml:space="preserve">מומחים </w:t>
      </w:r>
      <w:bookmarkStart w:id="1479" w:name="_ETM_Q3_455970"/>
      <w:bookmarkEnd w:id="1479"/>
      <w:r>
        <w:rPr>
          <w:rFonts w:hint="cs"/>
          <w:rtl/>
        </w:rPr>
        <w:t xml:space="preserve">חיצוניים – </w:t>
      </w:r>
      <w:bookmarkStart w:id="1480" w:name="_ETM_Q3_456720"/>
      <w:bookmarkEnd w:id="1480"/>
      <w:r>
        <w:rPr>
          <w:rFonts w:hint="cs"/>
          <w:rtl/>
        </w:rPr>
        <w:t xml:space="preserve">להערכתי </w:t>
      </w:r>
      <w:bookmarkStart w:id="1481" w:name="_ETM_Q3_457320"/>
      <w:bookmarkEnd w:id="1481"/>
      <w:r>
        <w:rPr>
          <w:rFonts w:hint="cs"/>
          <w:rtl/>
        </w:rPr>
        <w:t xml:space="preserve">אפילו </w:t>
      </w:r>
      <w:bookmarkStart w:id="1482" w:name="_ETM_Q3_457620"/>
      <w:bookmarkEnd w:id="1482"/>
      <w:r>
        <w:rPr>
          <w:rFonts w:hint="cs"/>
          <w:rtl/>
        </w:rPr>
        <w:t xml:space="preserve">קצת </w:t>
      </w:r>
      <w:bookmarkStart w:id="1483" w:name="_ETM_Q3_457860"/>
      <w:bookmarkEnd w:id="1483"/>
      <w:r>
        <w:rPr>
          <w:rFonts w:hint="cs"/>
          <w:rtl/>
        </w:rPr>
        <w:t xml:space="preserve">פספסנו </w:t>
      </w:r>
      <w:bookmarkStart w:id="1484" w:name="_ETM_Q3_458339"/>
      <w:bookmarkEnd w:id="1484"/>
      <w:r>
        <w:rPr>
          <w:rFonts w:hint="cs"/>
          <w:rtl/>
        </w:rPr>
        <w:t xml:space="preserve">בספירה </w:t>
      </w:r>
      <w:bookmarkStart w:id="1485" w:name="_ETM_Q3_458820"/>
      <w:bookmarkEnd w:id="1485"/>
      <w:r>
        <w:rPr>
          <w:rFonts w:hint="cs"/>
          <w:rtl/>
        </w:rPr>
        <w:t xml:space="preserve">ולא </w:t>
      </w:r>
      <w:bookmarkStart w:id="1486" w:name="_ETM_Q3_459000"/>
      <w:bookmarkEnd w:id="1486"/>
      <w:r>
        <w:rPr>
          <w:rFonts w:hint="cs"/>
          <w:rtl/>
        </w:rPr>
        <w:t xml:space="preserve">ספרנו </w:t>
      </w:r>
      <w:bookmarkStart w:id="1487" w:name="_ETM_Q3_459420"/>
      <w:bookmarkEnd w:id="1487"/>
      <w:r>
        <w:rPr>
          <w:rFonts w:hint="cs"/>
          <w:rtl/>
        </w:rPr>
        <w:t xml:space="preserve">את </w:t>
      </w:r>
      <w:bookmarkStart w:id="1488" w:name="_ETM_Q3_459510"/>
      <w:bookmarkEnd w:id="1488"/>
      <w:r>
        <w:rPr>
          <w:rFonts w:hint="cs"/>
          <w:rtl/>
        </w:rPr>
        <w:t xml:space="preserve">כולם. </w:t>
      </w:r>
      <w:bookmarkStart w:id="1489" w:name="_ETM_Q3_461380"/>
      <w:bookmarkEnd w:id="1489"/>
      <w:r>
        <w:rPr>
          <w:rFonts w:hint="cs"/>
          <w:rtl/>
        </w:rPr>
        <w:t xml:space="preserve">בהכנה </w:t>
      </w:r>
      <w:bookmarkStart w:id="1490" w:name="_ETM_Q3_461890"/>
      <w:bookmarkEnd w:id="1490"/>
      <w:r>
        <w:rPr>
          <w:rFonts w:hint="cs"/>
          <w:rtl/>
        </w:rPr>
        <w:t xml:space="preserve">לקריאה </w:t>
      </w:r>
      <w:bookmarkStart w:id="1491" w:name="_ETM_Q3_462279"/>
      <w:bookmarkEnd w:id="1491"/>
      <w:r>
        <w:rPr>
          <w:rFonts w:hint="cs"/>
          <w:rtl/>
        </w:rPr>
        <w:t xml:space="preserve">הראשונה </w:t>
      </w:r>
      <w:bookmarkStart w:id="1492" w:name="_ETM_Q3_463029"/>
      <w:bookmarkEnd w:id="1492"/>
      <w:r>
        <w:rPr>
          <w:rFonts w:hint="cs"/>
          <w:rtl/>
        </w:rPr>
        <w:t>היו</w:t>
      </w:r>
      <w:bookmarkStart w:id="1493" w:name="_ETM_Q3_463300"/>
      <w:bookmarkEnd w:id="1493"/>
      <w:r>
        <w:rPr>
          <w:rFonts w:hint="cs"/>
          <w:rtl/>
        </w:rPr>
        <w:t xml:space="preserve"> חמש </w:t>
      </w:r>
      <w:bookmarkStart w:id="1494" w:name="_ETM_Q3_463630"/>
      <w:bookmarkEnd w:id="1494"/>
      <w:r>
        <w:rPr>
          <w:rFonts w:hint="cs"/>
          <w:rtl/>
        </w:rPr>
        <w:t xml:space="preserve">ישיבות </w:t>
      </w:r>
      <w:bookmarkStart w:id="1495" w:name="_ETM_Q3_464170"/>
      <w:bookmarkEnd w:id="1495"/>
      <w:r>
        <w:rPr>
          <w:rFonts w:hint="cs"/>
          <w:rtl/>
        </w:rPr>
        <w:t xml:space="preserve">עם </w:t>
      </w:r>
      <w:bookmarkStart w:id="1496" w:name="_ETM_Q3_464320"/>
      <w:bookmarkEnd w:id="1496"/>
      <w:r>
        <w:rPr>
          <w:rFonts w:hint="cs"/>
          <w:rtl/>
        </w:rPr>
        <w:t xml:space="preserve">17 </w:t>
      </w:r>
      <w:bookmarkStart w:id="1497" w:name="_ETM_Q3_464830"/>
      <w:bookmarkEnd w:id="1497"/>
      <w:r>
        <w:rPr>
          <w:rFonts w:hint="cs"/>
          <w:rtl/>
        </w:rPr>
        <w:t xml:space="preserve">שעות </w:t>
      </w:r>
      <w:bookmarkStart w:id="1498" w:name="_ETM_Q3_465160"/>
      <w:bookmarkEnd w:id="1498"/>
      <w:r>
        <w:rPr>
          <w:rFonts w:hint="cs"/>
          <w:rtl/>
        </w:rPr>
        <w:t xml:space="preserve">ו-25 </w:t>
      </w:r>
      <w:bookmarkStart w:id="1499" w:name="_ETM_Q3_465910"/>
      <w:bookmarkEnd w:id="1499"/>
      <w:r>
        <w:rPr>
          <w:rFonts w:hint="cs"/>
          <w:rtl/>
        </w:rPr>
        <w:t xml:space="preserve">מומחים. </w:t>
      </w:r>
      <w:bookmarkStart w:id="1500" w:name="_ETM_Q3_467250"/>
      <w:bookmarkEnd w:id="1500"/>
      <w:r>
        <w:rPr>
          <w:rFonts w:hint="cs"/>
          <w:rtl/>
        </w:rPr>
        <w:t xml:space="preserve">בהכנה </w:t>
      </w:r>
      <w:bookmarkStart w:id="1501" w:name="_ETM_Q3_467880"/>
      <w:bookmarkEnd w:id="1501"/>
      <w:r>
        <w:rPr>
          <w:rFonts w:hint="cs"/>
          <w:rtl/>
        </w:rPr>
        <w:t xml:space="preserve">לקריאה </w:t>
      </w:r>
      <w:bookmarkStart w:id="1502" w:name="_ETM_Q3_468270"/>
      <w:bookmarkEnd w:id="1502"/>
      <w:r>
        <w:rPr>
          <w:rFonts w:hint="cs"/>
          <w:rtl/>
        </w:rPr>
        <w:t xml:space="preserve">השנייה </w:t>
      </w:r>
      <w:bookmarkStart w:id="1503" w:name="_ETM_Q3_468630"/>
      <w:bookmarkEnd w:id="1503"/>
      <w:r>
        <w:rPr>
          <w:rFonts w:hint="cs"/>
          <w:rtl/>
        </w:rPr>
        <w:t xml:space="preserve">והשלישית </w:t>
      </w:r>
      <w:bookmarkStart w:id="1504" w:name="_ETM_Q3_469199"/>
      <w:bookmarkEnd w:id="1504"/>
      <w:r>
        <w:rPr>
          <w:rFonts w:hint="cs"/>
          <w:rtl/>
        </w:rPr>
        <w:t xml:space="preserve">היו </w:t>
      </w:r>
      <w:bookmarkStart w:id="1505" w:name="_ETM_Q3_469380"/>
      <w:bookmarkEnd w:id="1505"/>
      <w:r>
        <w:rPr>
          <w:rFonts w:hint="cs"/>
          <w:rtl/>
        </w:rPr>
        <w:t xml:space="preserve">תשע </w:t>
      </w:r>
      <w:bookmarkStart w:id="1506" w:name="_ETM_Q3_469740"/>
      <w:bookmarkEnd w:id="1506"/>
      <w:r>
        <w:rPr>
          <w:rFonts w:hint="cs"/>
          <w:rtl/>
        </w:rPr>
        <w:t xml:space="preserve">ישיבות </w:t>
      </w:r>
      <w:bookmarkStart w:id="1507" w:name="_ETM_Q3_470160"/>
      <w:bookmarkEnd w:id="1507"/>
      <w:r>
        <w:rPr>
          <w:rFonts w:hint="cs"/>
          <w:rtl/>
        </w:rPr>
        <w:t xml:space="preserve">עם </w:t>
      </w:r>
      <w:bookmarkStart w:id="1508" w:name="_ETM_Q3_470279"/>
      <w:bookmarkEnd w:id="1508"/>
      <w:r>
        <w:rPr>
          <w:rFonts w:hint="cs"/>
          <w:rtl/>
        </w:rPr>
        <w:t xml:space="preserve">56 </w:t>
      </w:r>
      <w:bookmarkStart w:id="1509" w:name="_ETM_Q3_471060"/>
      <w:bookmarkEnd w:id="1509"/>
      <w:r>
        <w:rPr>
          <w:rFonts w:hint="cs"/>
          <w:rtl/>
        </w:rPr>
        <w:t xml:space="preserve">שעות </w:t>
      </w:r>
      <w:bookmarkStart w:id="1510" w:name="_ETM_Q3_471300"/>
      <w:bookmarkEnd w:id="1510"/>
      <w:r>
        <w:rPr>
          <w:rFonts w:hint="cs"/>
          <w:rtl/>
        </w:rPr>
        <w:t xml:space="preserve">ו-23 </w:t>
      </w:r>
      <w:bookmarkStart w:id="1511" w:name="_ETM_Q3_472050"/>
      <w:bookmarkEnd w:id="1511"/>
      <w:r>
        <w:rPr>
          <w:rFonts w:hint="cs"/>
          <w:rtl/>
        </w:rPr>
        <w:t xml:space="preserve">מומחים. </w:t>
      </w:r>
      <w:bookmarkStart w:id="1512" w:name="_ETM_Q3_472830"/>
      <w:bookmarkEnd w:id="1512"/>
      <w:r>
        <w:rPr>
          <w:rFonts w:hint="cs"/>
          <w:rtl/>
        </w:rPr>
        <w:t xml:space="preserve">בספירה </w:t>
      </w:r>
      <w:bookmarkStart w:id="1513" w:name="_ETM_Q3_473370"/>
      <w:bookmarkEnd w:id="1513"/>
      <w:r>
        <w:rPr>
          <w:rFonts w:hint="cs"/>
          <w:rtl/>
        </w:rPr>
        <w:t xml:space="preserve">הזאת </w:t>
      </w:r>
      <w:bookmarkStart w:id="1514" w:name="_ETM_Q3_473610"/>
      <w:bookmarkEnd w:id="1514"/>
      <w:r>
        <w:rPr>
          <w:rFonts w:hint="cs"/>
          <w:rtl/>
        </w:rPr>
        <w:t xml:space="preserve">כמובן </w:t>
      </w:r>
      <w:bookmarkStart w:id="1515" w:name="_ETM_Q3_474599"/>
      <w:bookmarkEnd w:id="1515"/>
      <w:r>
        <w:rPr>
          <w:rFonts w:hint="cs"/>
          <w:rtl/>
        </w:rPr>
        <w:t xml:space="preserve">נספרות </w:t>
      </w:r>
      <w:bookmarkStart w:id="1516" w:name="_ETM_Q3_475169"/>
      <w:bookmarkEnd w:id="1516"/>
      <w:r>
        <w:rPr>
          <w:rFonts w:hint="cs"/>
          <w:rtl/>
        </w:rPr>
        <w:t xml:space="preserve">גם </w:t>
      </w:r>
      <w:bookmarkStart w:id="1517" w:name="_ETM_Q3_475589"/>
      <w:bookmarkStart w:id="1518" w:name="_ETM_Q3_475919"/>
      <w:bookmarkStart w:id="1519" w:name="_ETM_Q3_477029"/>
      <w:bookmarkStart w:id="1520" w:name="_ETM_Q3_477539"/>
      <w:bookmarkEnd w:id="1517"/>
      <w:bookmarkEnd w:id="1518"/>
      <w:bookmarkEnd w:id="1519"/>
      <w:bookmarkEnd w:id="1520"/>
      <w:r>
        <w:rPr>
          <w:rFonts w:hint="cs"/>
          <w:rtl/>
        </w:rPr>
        <w:t xml:space="preserve">18 </w:t>
      </w:r>
      <w:bookmarkStart w:id="1521" w:name="_ETM_Q3_478050"/>
      <w:bookmarkEnd w:id="1521"/>
      <w:r>
        <w:rPr>
          <w:rFonts w:hint="cs"/>
          <w:rtl/>
        </w:rPr>
        <w:t xml:space="preserve">שעות הישיבות – </w:t>
      </w:r>
      <w:bookmarkStart w:id="1522" w:name="_ETM_Q3_478469"/>
      <w:bookmarkEnd w:id="1522"/>
      <w:r>
        <w:rPr>
          <w:rFonts w:hint="cs"/>
          <w:rtl/>
        </w:rPr>
        <w:t xml:space="preserve">למעשה </w:t>
      </w:r>
      <w:bookmarkStart w:id="1523" w:name="_ETM_Q3_478830"/>
      <w:bookmarkEnd w:id="1523"/>
      <w:r>
        <w:rPr>
          <w:rFonts w:hint="cs"/>
          <w:rtl/>
        </w:rPr>
        <w:t xml:space="preserve">19 </w:t>
      </w:r>
      <w:bookmarkStart w:id="1524" w:name="_ETM_Q3_479279"/>
      <w:bookmarkEnd w:id="1524"/>
      <w:r>
        <w:rPr>
          <w:rFonts w:hint="cs"/>
          <w:rtl/>
        </w:rPr>
        <w:t xml:space="preserve">שעות </w:t>
      </w:r>
      <w:bookmarkStart w:id="1525" w:name="_ETM_Q3_479939"/>
      <w:bookmarkEnd w:id="1525"/>
      <w:r>
        <w:rPr>
          <w:rFonts w:hint="cs"/>
          <w:rtl/>
        </w:rPr>
        <w:t xml:space="preserve">– </w:t>
      </w:r>
      <w:bookmarkStart w:id="1526" w:name="_ETM_Q3_480180"/>
      <w:bookmarkEnd w:id="1526"/>
      <w:r>
        <w:rPr>
          <w:rFonts w:hint="cs"/>
          <w:rtl/>
        </w:rPr>
        <w:t xml:space="preserve">של הנמקת </w:t>
      </w:r>
      <w:bookmarkStart w:id="1527" w:name="_ETM_Q3_480719"/>
      <w:bookmarkEnd w:id="1527"/>
      <w:r>
        <w:rPr>
          <w:rFonts w:hint="cs"/>
          <w:rtl/>
        </w:rPr>
        <w:t xml:space="preserve">הסתייגויות </w:t>
      </w:r>
      <w:bookmarkStart w:id="1528" w:name="_ETM_Q3_480000"/>
      <w:bookmarkStart w:id="1529" w:name="_ETM_Q3_480240"/>
      <w:bookmarkStart w:id="1530" w:name="_ETM_Q3_480329"/>
      <w:bookmarkStart w:id="1531" w:name="_ETM_Q3_480930"/>
      <w:bookmarkEnd w:id="1528"/>
      <w:bookmarkEnd w:id="1529"/>
      <w:bookmarkEnd w:id="1530"/>
      <w:bookmarkEnd w:id="1531"/>
      <w:r>
        <w:rPr>
          <w:rFonts w:hint="cs"/>
          <w:rtl/>
        </w:rPr>
        <w:t xml:space="preserve">מרוכזת </w:t>
      </w:r>
      <w:bookmarkStart w:id="1532" w:name="_ETM_Q3_481529"/>
      <w:bookmarkEnd w:id="1532"/>
      <w:r>
        <w:rPr>
          <w:rFonts w:hint="cs"/>
          <w:rtl/>
        </w:rPr>
        <w:t xml:space="preserve">על ידי </w:t>
      </w:r>
      <w:bookmarkStart w:id="1533" w:name="_ETM_Q3_481417"/>
      <w:bookmarkStart w:id="1534" w:name="_ETM_Q3_482429"/>
      <w:bookmarkEnd w:id="1533"/>
      <w:bookmarkEnd w:id="1534"/>
      <w:r>
        <w:rPr>
          <w:rFonts w:hint="cs"/>
          <w:rtl/>
        </w:rPr>
        <w:t xml:space="preserve">האופוזיציה </w:t>
      </w:r>
      <w:bookmarkStart w:id="1535" w:name="_ETM_Q3_483120"/>
      <w:bookmarkEnd w:id="1535"/>
      <w:r>
        <w:rPr>
          <w:rFonts w:hint="cs"/>
          <w:rtl/>
        </w:rPr>
        <w:t xml:space="preserve">וגם </w:t>
      </w:r>
      <w:bookmarkStart w:id="1536" w:name="_ETM_Q3_483449"/>
      <w:bookmarkEnd w:id="1536"/>
      <w:r>
        <w:rPr>
          <w:rFonts w:hint="cs"/>
          <w:rtl/>
        </w:rPr>
        <w:t xml:space="preserve">ההצבעות, </w:t>
      </w:r>
      <w:bookmarkStart w:id="1537" w:name="_ETM_Q3_484259"/>
      <w:bookmarkEnd w:id="1537"/>
      <w:r>
        <w:rPr>
          <w:rFonts w:hint="cs"/>
          <w:rtl/>
        </w:rPr>
        <w:t xml:space="preserve">אבל </w:t>
      </w:r>
      <w:bookmarkStart w:id="1538" w:name="_ETM_Q3_484529"/>
      <w:bookmarkEnd w:id="1538"/>
      <w:r>
        <w:rPr>
          <w:rFonts w:hint="cs"/>
          <w:rtl/>
        </w:rPr>
        <w:t xml:space="preserve">עדיין </w:t>
      </w:r>
      <w:bookmarkStart w:id="1539" w:name="_ETM_Q3_484830"/>
      <w:bookmarkEnd w:id="1539"/>
      <w:r>
        <w:rPr>
          <w:rFonts w:hint="cs"/>
          <w:rtl/>
        </w:rPr>
        <w:t xml:space="preserve">מבחינת </w:t>
      </w:r>
      <w:bookmarkStart w:id="1540" w:name="_ETM_Q3_485250"/>
      <w:bookmarkEnd w:id="1540"/>
      <w:r>
        <w:rPr>
          <w:rFonts w:hint="cs"/>
          <w:rtl/>
        </w:rPr>
        <w:t xml:space="preserve">מספר </w:t>
      </w:r>
      <w:bookmarkStart w:id="1541" w:name="_ETM_Q3_485700"/>
      <w:bookmarkEnd w:id="1541"/>
      <w:r>
        <w:rPr>
          <w:rFonts w:hint="cs"/>
          <w:rtl/>
        </w:rPr>
        <w:t xml:space="preserve">המומחים </w:t>
      </w:r>
      <w:bookmarkStart w:id="1542" w:name="_ETM_Q3_486120"/>
      <w:bookmarkEnd w:id="1542"/>
      <w:r>
        <w:rPr>
          <w:rFonts w:hint="cs"/>
          <w:rtl/>
        </w:rPr>
        <w:t xml:space="preserve">שנשמעו, </w:t>
      </w:r>
      <w:bookmarkStart w:id="1543" w:name="_ETM_Q3_486960"/>
      <w:bookmarkEnd w:id="1543"/>
      <w:r>
        <w:rPr>
          <w:rFonts w:hint="cs"/>
          <w:rtl/>
        </w:rPr>
        <w:t xml:space="preserve">חלק </w:t>
      </w:r>
      <w:bookmarkStart w:id="1544" w:name="_ETM_Q3_487230"/>
      <w:bookmarkEnd w:id="1544"/>
      <w:r>
        <w:rPr>
          <w:rFonts w:hint="cs"/>
          <w:rtl/>
        </w:rPr>
        <w:t xml:space="preserve">מהמומחים </w:t>
      </w:r>
      <w:bookmarkStart w:id="1545" w:name="_ETM_Q3_487710"/>
      <w:bookmarkEnd w:id="1545"/>
      <w:r>
        <w:rPr>
          <w:rFonts w:hint="cs"/>
          <w:rtl/>
        </w:rPr>
        <w:t xml:space="preserve">נשמעו </w:t>
      </w:r>
      <w:bookmarkStart w:id="1546" w:name="_ETM_Q3_487980"/>
      <w:bookmarkEnd w:id="1546"/>
      <w:r>
        <w:rPr>
          <w:rFonts w:hint="cs"/>
          <w:rtl/>
        </w:rPr>
        <w:t xml:space="preserve">גם </w:t>
      </w:r>
      <w:bookmarkStart w:id="1547" w:name="_ETM_Q3_488160"/>
      <w:bookmarkEnd w:id="1547"/>
      <w:r>
        <w:rPr>
          <w:rFonts w:hint="cs"/>
          <w:rtl/>
        </w:rPr>
        <w:t xml:space="preserve">לפני </w:t>
      </w:r>
      <w:bookmarkStart w:id="1548" w:name="_ETM_Q3_488400"/>
      <w:bookmarkEnd w:id="1548"/>
      <w:r>
        <w:rPr>
          <w:rFonts w:hint="cs"/>
          <w:rtl/>
        </w:rPr>
        <w:t xml:space="preserve">הקריאה </w:t>
      </w:r>
      <w:bookmarkStart w:id="1549" w:name="_ETM_Q3_488670"/>
      <w:bookmarkEnd w:id="1549"/>
      <w:r>
        <w:rPr>
          <w:rFonts w:hint="cs"/>
          <w:rtl/>
        </w:rPr>
        <w:t xml:space="preserve">הראשונה </w:t>
      </w:r>
      <w:bookmarkStart w:id="1550" w:name="_ETM_Q3_489059"/>
      <w:bookmarkStart w:id="1551" w:name="_ETM_Q3_489630"/>
      <w:bookmarkStart w:id="1552" w:name="_ETM_Q3_490099"/>
      <w:bookmarkEnd w:id="1550"/>
      <w:bookmarkEnd w:id="1551"/>
      <w:bookmarkEnd w:id="1552"/>
      <w:r>
        <w:rPr>
          <w:rFonts w:hint="cs"/>
          <w:rtl/>
        </w:rPr>
        <w:t xml:space="preserve">ושבו לפני </w:t>
      </w:r>
      <w:bookmarkStart w:id="1553" w:name="_ETM_Q3_490639"/>
      <w:bookmarkEnd w:id="1553"/>
      <w:r>
        <w:rPr>
          <w:rFonts w:hint="cs"/>
          <w:rtl/>
        </w:rPr>
        <w:t xml:space="preserve">הקריאה </w:t>
      </w:r>
      <w:bookmarkStart w:id="1554" w:name="_ETM_Q3_491000"/>
      <w:bookmarkEnd w:id="1554"/>
      <w:r>
        <w:rPr>
          <w:rFonts w:hint="cs"/>
          <w:rtl/>
        </w:rPr>
        <w:t xml:space="preserve">השנייה. </w:t>
      </w:r>
      <w:bookmarkStart w:id="1555" w:name="_ETM_Q3_492449"/>
      <w:bookmarkStart w:id="1556" w:name="_ETM_Q3_496063"/>
      <w:bookmarkStart w:id="1557" w:name="_ETM_Q3_496151"/>
      <w:bookmarkStart w:id="1558" w:name="_ETM_Q3_496255"/>
      <w:bookmarkStart w:id="1559" w:name="_ETM_Q3_496322"/>
      <w:bookmarkEnd w:id="1555"/>
      <w:bookmarkEnd w:id="1556"/>
      <w:bookmarkEnd w:id="1557"/>
      <w:bookmarkEnd w:id="1558"/>
      <w:bookmarkEnd w:id="1559"/>
      <w:r>
        <w:rPr>
          <w:rFonts w:hint="cs"/>
          <w:rtl/>
        </w:rPr>
        <w:t xml:space="preserve">מבדיקה </w:t>
      </w:r>
      <w:bookmarkStart w:id="1560" w:name="_ETM_Q3_493529"/>
      <w:bookmarkEnd w:id="1560"/>
      <w:r>
        <w:rPr>
          <w:rFonts w:hint="cs"/>
          <w:rtl/>
        </w:rPr>
        <w:t xml:space="preserve">שערכתי – </w:t>
      </w:r>
      <w:bookmarkStart w:id="1561" w:name="_ETM_Q3_495419"/>
      <w:bookmarkEnd w:id="1561"/>
      <w:r>
        <w:rPr>
          <w:rFonts w:hint="cs"/>
          <w:rtl/>
        </w:rPr>
        <w:t xml:space="preserve">יכול </w:t>
      </w:r>
      <w:bookmarkStart w:id="1562" w:name="_ETM_Q3_495599"/>
      <w:bookmarkEnd w:id="1562"/>
      <w:r>
        <w:rPr>
          <w:rFonts w:hint="cs"/>
          <w:rtl/>
        </w:rPr>
        <w:t xml:space="preserve">להיות </w:t>
      </w:r>
      <w:bookmarkStart w:id="1563" w:name="_ETM_Q3_495749"/>
      <w:bookmarkEnd w:id="1563"/>
      <w:r>
        <w:rPr>
          <w:rFonts w:hint="cs"/>
          <w:rtl/>
        </w:rPr>
        <w:t>שפספסתי</w:t>
      </w:r>
      <w:bookmarkStart w:id="1564" w:name="_ETM_Q3_496500"/>
      <w:bookmarkEnd w:id="1564"/>
      <w:r>
        <w:rPr>
          <w:rFonts w:hint="cs"/>
          <w:rtl/>
        </w:rPr>
        <w:t xml:space="preserve">, "שגיאות מי יבין מנסתרות נקני" – </w:t>
      </w:r>
      <w:bookmarkStart w:id="1565" w:name="_ETM_Q3_499720"/>
      <w:bookmarkEnd w:id="1565"/>
      <w:r>
        <w:rPr>
          <w:rFonts w:hint="cs"/>
          <w:rtl/>
        </w:rPr>
        <w:t xml:space="preserve">לא </w:t>
      </w:r>
      <w:bookmarkStart w:id="1566" w:name="_ETM_Q3_500050"/>
      <w:bookmarkEnd w:id="1566"/>
      <w:r>
        <w:rPr>
          <w:rFonts w:hint="cs"/>
          <w:rtl/>
        </w:rPr>
        <w:t xml:space="preserve">היה </w:t>
      </w:r>
      <w:bookmarkStart w:id="1567" w:name="_ETM_Q3_500410"/>
      <w:bookmarkEnd w:id="1567"/>
      <w:r>
        <w:rPr>
          <w:rFonts w:hint="cs"/>
          <w:rtl/>
        </w:rPr>
        <w:t>חוק</w:t>
      </w:r>
      <w:bookmarkStart w:id="1568" w:name="_ETM_Q3_500740"/>
      <w:bookmarkEnd w:id="1568"/>
      <w:r>
        <w:rPr>
          <w:rFonts w:hint="cs"/>
          <w:rtl/>
        </w:rPr>
        <w:t xml:space="preserve">-יסוד </w:t>
      </w:r>
      <w:bookmarkStart w:id="1569" w:name="_ETM_Q3_501730"/>
      <w:bookmarkEnd w:id="1569"/>
      <w:r>
        <w:rPr>
          <w:rFonts w:hint="cs"/>
          <w:rtl/>
        </w:rPr>
        <w:t xml:space="preserve">בתולדותיה </w:t>
      </w:r>
      <w:bookmarkStart w:id="1570" w:name="_ETM_Q3_502480"/>
      <w:bookmarkEnd w:id="1570"/>
      <w:r>
        <w:rPr>
          <w:rFonts w:hint="cs"/>
          <w:rtl/>
        </w:rPr>
        <w:t xml:space="preserve">של </w:t>
      </w:r>
      <w:bookmarkStart w:id="1571" w:name="_ETM_Q3_502660"/>
      <w:bookmarkEnd w:id="1571"/>
      <w:r>
        <w:rPr>
          <w:rFonts w:hint="cs"/>
          <w:rtl/>
        </w:rPr>
        <w:t xml:space="preserve">מדינת </w:t>
      </w:r>
      <w:bookmarkStart w:id="1572" w:name="_ETM_Q3_503080"/>
      <w:bookmarkEnd w:id="1572"/>
      <w:r>
        <w:rPr>
          <w:rFonts w:hint="cs"/>
          <w:rtl/>
        </w:rPr>
        <w:t xml:space="preserve">ישראל </w:t>
      </w:r>
      <w:bookmarkStart w:id="1573" w:name="_ETM_Q3_504220"/>
      <w:bookmarkEnd w:id="1573"/>
      <w:r>
        <w:rPr>
          <w:rFonts w:hint="cs"/>
          <w:rtl/>
        </w:rPr>
        <w:t xml:space="preserve">שהושקעו </w:t>
      </w:r>
      <w:bookmarkStart w:id="1574" w:name="_ETM_Q3_504970"/>
      <w:bookmarkStart w:id="1575" w:name="_ETM_Q3_505330"/>
      <w:bookmarkEnd w:id="1574"/>
      <w:bookmarkEnd w:id="1575"/>
      <w:r>
        <w:rPr>
          <w:rFonts w:hint="cs"/>
          <w:rtl/>
        </w:rPr>
        <w:t xml:space="preserve">בו </w:t>
      </w:r>
      <w:bookmarkStart w:id="1576" w:name="_ETM_Q3_505689"/>
      <w:bookmarkEnd w:id="1576"/>
      <w:r>
        <w:rPr>
          <w:rFonts w:hint="cs"/>
          <w:rtl/>
        </w:rPr>
        <w:t xml:space="preserve">פר </w:t>
      </w:r>
      <w:bookmarkStart w:id="1577" w:name="_ETM_Q3_505960"/>
      <w:bookmarkEnd w:id="1577"/>
      <w:r>
        <w:rPr>
          <w:rFonts w:hint="cs"/>
          <w:rtl/>
        </w:rPr>
        <w:t xml:space="preserve">מילה, </w:t>
      </w:r>
      <w:bookmarkStart w:id="1578" w:name="_ETM_Q3_506800"/>
      <w:bookmarkEnd w:id="1578"/>
      <w:r>
        <w:rPr>
          <w:rFonts w:hint="cs"/>
          <w:rtl/>
        </w:rPr>
        <w:t xml:space="preserve">פר </w:t>
      </w:r>
      <w:bookmarkStart w:id="1579" w:name="_ETM_Q3_507039"/>
      <w:bookmarkStart w:id="1580" w:name="_ETM_Q3_507849"/>
      <w:bookmarkEnd w:id="1579"/>
      <w:bookmarkEnd w:id="1580"/>
      <w:r>
        <w:rPr>
          <w:rFonts w:hint="cs"/>
          <w:rtl/>
        </w:rPr>
        <w:t xml:space="preserve">סעיף, פר </w:t>
      </w:r>
      <w:bookmarkStart w:id="1581" w:name="_ETM_Q3_508119"/>
      <w:bookmarkEnd w:id="1581"/>
      <w:r>
        <w:rPr>
          <w:rFonts w:hint="cs"/>
          <w:rtl/>
        </w:rPr>
        <w:t>נושא</w:t>
      </w:r>
      <w:bookmarkStart w:id="1582" w:name="_ETM_Q3_508789"/>
      <w:bookmarkEnd w:id="1582"/>
      <w:r>
        <w:rPr>
          <w:rFonts w:hint="cs"/>
          <w:rtl/>
        </w:rPr>
        <w:t xml:space="preserve">, לפי </w:t>
      </w:r>
      <w:bookmarkStart w:id="1583" w:name="_ETM_Q3_509300"/>
      <w:bookmarkEnd w:id="1583"/>
      <w:r>
        <w:rPr>
          <w:rFonts w:hint="cs"/>
          <w:rtl/>
        </w:rPr>
        <w:t xml:space="preserve">איזו </w:t>
      </w:r>
      <w:bookmarkStart w:id="1584" w:name="_ETM_Q3_509539"/>
      <w:bookmarkEnd w:id="1584"/>
      <w:r>
        <w:rPr>
          <w:rFonts w:hint="cs"/>
          <w:rtl/>
        </w:rPr>
        <w:t xml:space="preserve">חלוקה </w:t>
      </w:r>
      <w:bookmarkStart w:id="1585" w:name="_ETM_Q3_509960"/>
      <w:bookmarkEnd w:id="1585"/>
      <w:r>
        <w:rPr>
          <w:rFonts w:hint="cs"/>
          <w:rtl/>
        </w:rPr>
        <w:t xml:space="preserve">שתרצו, </w:t>
      </w:r>
      <w:bookmarkStart w:id="1586" w:name="_ETM_Q3_511009"/>
      <w:bookmarkEnd w:id="1586"/>
      <w:r>
        <w:rPr>
          <w:rFonts w:hint="cs"/>
          <w:rtl/>
        </w:rPr>
        <w:t xml:space="preserve">יותר </w:t>
      </w:r>
      <w:bookmarkStart w:id="1587" w:name="_ETM_Q3_511490"/>
      <w:bookmarkEnd w:id="1587"/>
      <w:r>
        <w:rPr>
          <w:rFonts w:hint="cs"/>
          <w:rtl/>
        </w:rPr>
        <w:t xml:space="preserve">זמן, </w:t>
      </w:r>
      <w:bookmarkStart w:id="1588" w:name="_ETM_Q3_512270"/>
      <w:bookmarkEnd w:id="1588"/>
      <w:r>
        <w:rPr>
          <w:rFonts w:hint="cs"/>
          <w:rtl/>
        </w:rPr>
        <w:t xml:space="preserve">יותר </w:t>
      </w:r>
      <w:bookmarkStart w:id="1589" w:name="_ETM_Q3_512690"/>
      <w:bookmarkEnd w:id="1589"/>
      <w:r>
        <w:rPr>
          <w:rFonts w:hint="cs"/>
          <w:rtl/>
        </w:rPr>
        <w:t xml:space="preserve">מומחים, </w:t>
      </w:r>
      <w:bookmarkStart w:id="1590" w:name="_ETM_Q3_513559"/>
      <w:bookmarkEnd w:id="1590"/>
      <w:r>
        <w:rPr>
          <w:rFonts w:hint="cs"/>
          <w:rtl/>
        </w:rPr>
        <w:t xml:space="preserve">יותר </w:t>
      </w:r>
      <w:bookmarkStart w:id="1591" w:name="_ETM_Q3_514010"/>
      <w:bookmarkEnd w:id="1591"/>
      <w:r>
        <w:rPr>
          <w:rFonts w:hint="cs"/>
          <w:rtl/>
        </w:rPr>
        <w:t xml:space="preserve">רצינות, </w:t>
      </w:r>
      <w:bookmarkStart w:id="1592" w:name="_ETM_Q3_515180"/>
      <w:bookmarkEnd w:id="1592"/>
      <w:r>
        <w:rPr>
          <w:rFonts w:hint="cs"/>
          <w:rtl/>
        </w:rPr>
        <w:t xml:space="preserve">יותר </w:t>
      </w:r>
      <w:bookmarkStart w:id="1593" w:name="_ETM_Q3_515540"/>
      <w:bookmarkEnd w:id="1593"/>
      <w:r>
        <w:rPr>
          <w:rFonts w:hint="cs"/>
          <w:rtl/>
        </w:rPr>
        <w:t xml:space="preserve">השקעה, </w:t>
      </w:r>
      <w:bookmarkStart w:id="1594" w:name="_ETM_Q3_516650"/>
      <w:bookmarkEnd w:id="1594"/>
      <w:r>
        <w:rPr>
          <w:rFonts w:hint="cs"/>
          <w:rtl/>
        </w:rPr>
        <w:t xml:space="preserve">יותר </w:t>
      </w:r>
      <w:bookmarkStart w:id="1595" w:name="_ETM_Q3_517070"/>
      <w:bookmarkEnd w:id="1595"/>
      <w:r>
        <w:rPr>
          <w:rFonts w:hint="cs"/>
          <w:rtl/>
        </w:rPr>
        <w:t xml:space="preserve">שיח </w:t>
      </w:r>
      <w:bookmarkStart w:id="1596" w:name="_ETM_Q3_517400"/>
      <w:bookmarkEnd w:id="1596"/>
      <w:r>
        <w:rPr>
          <w:rFonts w:hint="cs"/>
          <w:rtl/>
        </w:rPr>
        <w:t>ציבורי</w:t>
      </w:r>
      <w:bookmarkStart w:id="1597" w:name="_ETM_Q3_518450"/>
      <w:bookmarkEnd w:id="1597"/>
      <w:r>
        <w:rPr>
          <w:rFonts w:hint="cs"/>
          <w:rtl/>
        </w:rPr>
        <w:t xml:space="preserve">; לא </w:t>
      </w:r>
      <w:bookmarkStart w:id="1598" w:name="_ETM_Q3_518720"/>
      <w:bookmarkEnd w:id="1598"/>
      <w:r>
        <w:rPr>
          <w:rFonts w:hint="cs"/>
          <w:rtl/>
        </w:rPr>
        <w:t xml:space="preserve">היה </w:t>
      </w:r>
      <w:bookmarkStart w:id="1599" w:name="_ETM_Q3_519080"/>
      <w:bookmarkEnd w:id="1599"/>
      <w:r>
        <w:rPr>
          <w:rFonts w:hint="cs"/>
          <w:rtl/>
        </w:rPr>
        <w:t xml:space="preserve">בתולדותיה </w:t>
      </w:r>
      <w:bookmarkStart w:id="1600" w:name="_ETM_Q3_519680"/>
      <w:bookmarkEnd w:id="1600"/>
      <w:r>
        <w:rPr>
          <w:rFonts w:hint="cs"/>
          <w:rtl/>
        </w:rPr>
        <w:t xml:space="preserve">של </w:t>
      </w:r>
      <w:bookmarkStart w:id="1601" w:name="_ETM_Q3_519830"/>
      <w:bookmarkEnd w:id="1601"/>
      <w:r>
        <w:rPr>
          <w:rFonts w:hint="cs"/>
          <w:rtl/>
        </w:rPr>
        <w:t xml:space="preserve">מדינת </w:t>
      </w:r>
      <w:bookmarkStart w:id="1602" w:name="_ETM_Q3_520190"/>
      <w:bookmarkEnd w:id="1602"/>
      <w:r>
        <w:rPr>
          <w:rFonts w:hint="cs"/>
          <w:rtl/>
        </w:rPr>
        <w:t xml:space="preserve">ישראל. </w:t>
      </w:r>
      <w:bookmarkStart w:id="1603" w:name="_ETM_Q3_521579"/>
      <w:bookmarkStart w:id="1604" w:name="_ETM_Q3_520305"/>
      <w:bookmarkStart w:id="1605" w:name="_ETM_Q3_520409"/>
      <w:bookmarkStart w:id="1606" w:name="_ETM_Q3_520465"/>
      <w:bookmarkStart w:id="1607" w:name="_ETM_Q3_520546"/>
      <w:bookmarkStart w:id="1608" w:name="_ETM_Q3_523160"/>
      <w:bookmarkStart w:id="1609" w:name="_ETM_Q3_523400"/>
      <w:bookmarkStart w:id="1610" w:name="_ETM_Q3_523850"/>
      <w:bookmarkStart w:id="1611" w:name="_ETM_Q3_524270"/>
      <w:bookmarkStart w:id="1612" w:name="_ETM_Q3_524540"/>
      <w:bookmarkStart w:id="1613" w:name="_ETM_Q3_525080"/>
      <w:bookmarkEnd w:id="1603"/>
      <w:bookmarkEnd w:id="1604"/>
      <w:bookmarkEnd w:id="1605"/>
      <w:bookmarkEnd w:id="1606"/>
      <w:bookmarkEnd w:id="1607"/>
      <w:bookmarkEnd w:id="1608"/>
      <w:bookmarkEnd w:id="1609"/>
      <w:bookmarkEnd w:id="1610"/>
      <w:bookmarkEnd w:id="1611"/>
      <w:bookmarkEnd w:id="1612"/>
      <w:bookmarkEnd w:id="1613"/>
    </w:p>
    <w:p w:rsidR="000C5C1F" w:rsidRDefault="000C5C1F" w:rsidP="000C5C1F">
      <w:pPr>
        <w:rPr>
          <w:rtl/>
        </w:rPr>
      </w:pPr>
      <w:bookmarkStart w:id="1614" w:name="_ETM_Q3_531980"/>
      <w:bookmarkStart w:id="1615" w:name="_ETM_Q3_532066"/>
      <w:bookmarkEnd w:id="1614"/>
      <w:bookmarkEnd w:id="1615"/>
    </w:p>
    <w:p w:rsidR="000C5C1F" w:rsidRDefault="000C5C1F" w:rsidP="000C5C1F">
      <w:pPr>
        <w:rPr>
          <w:rtl/>
        </w:rPr>
      </w:pPr>
      <w:bookmarkStart w:id="1616" w:name="_ETM_Q3_532102"/>
      <w:bookmarkStart w:id="1617" w:name="_ETM_Q3_532156"/>
      <w:bookmarkEnd w:id="1616"/>
      <w:bookmarkEnd w:id="1617"/>
      <w:r>
        <w:rPr>
          <w:rFonts w:hint="cs"/>
          <w:rtl/>
        </w:rPr>
        <w:t xml:space="preserve">עקב השבוע </w:t>
      </w:r>
      <w:bookmarkStart w:id="1618" w:name="_ETM_Q3_525470"/>
      <w:bookmarkEnd w:id="1618"/>
      <w:r>
        <w:rPr>
          <w:rFonts w:hint="cs"/>
          <w:rtl/>
        </w:rPr>
        <w:t xml:space="preserve">שבו </w:t>
      </w:r>
      <w:bookmarkStart w:id="1619" w:name="_ETM_Q3_525710"/>
      <w:bookmarkEnd w:id="1619"/>
      <w:r>
        <w:rPr>
          <w:rFonts w:hint="cs"/>
          <w:rtl/>
        </w:rPr>
        <w:t xml:space="preserve">אנחנו </w:t>
      </w:r>
      <w:bookmarkStart w:id="1620" w:name="_ETM_Q3_525920"/>
      <w:bookmarkEnd w:id="1620"/>
      <w:r>
        <w:rPr>
          <w:rFonts w:hint="cs"/>
          <w:rtl/>
        </w:rPr>
        <w:t xml:space="preserve">נמצאים </w:t>
      </w:r>
      <w:bookmarkStart w:id="1621" w:name="_ETM_Q3_526339"/>
      <w:bookmarkEnd w:id="1621"/>
      <w:r>
        <w:rPr>
          <w:rFonts w:hint="cs"/>
          <w:rtl/>
        </w:rPr>
        <w:t xml:space="preserve">אני </w:t>
      </w:r>
      <w:bookmarkStart w:id="1622" w:name="_ETM_Q3_526490"/>
      <w:bookmarkEnd w:id="1622"/>
      <w:r>
        <w:rPr>
          <w:rFonts w:hint="cs"/>
          <w:rtl/>
        </w:rPr>
        <w:t xml:space="preserve">לא </w:t>
      </w:r>
      <w:bookmarkStart w:id="1623" w:name="_ETM_Q3_526610"/>
      <w:bookmarkEnd w:id="1623"/>
      <w:r>
        <w:rPr>
          <w:rFonts w:hint="cs"/>
          <w:rtl/>
        </w:rPr>
        <w:t xml:space="preserve">אנצל </w:t>
      </w:r>
      <w:bookmarkStart w:id="1624" w:name="_ETM_Q3_526970"/>
      <w:bookmarkEnd w:id="1624"/>
      <w:r>
        <w:rPr>
          <w:rFonts w:hint="cs"/>
          <w:rtl/>
        </w:rPr>
        <w:t xml:space="preserve">את </w:t>
      </w:r>
      <w:bookmarkStart w:id="1625" w:name="_ETM_Q3_527089"/>
      <w:bookmarkEnd w:id="1625"/>
      <w:r>
        <w:rPr>
          <w:rFonts w:hint="cs"/>
          <w:rtl/>
        </w:rPr>
        <w:t xml:space="preserve">הזמן </w:t>
      </w:r>
      <w:bookmarkStart w:id="1626" w:name="_ETM_Q3_527450"/>
      <w:bookmarkEnd w:id="1626"/>
      <w:r>
        <w:rPr>
          <w:rFonts w:hint="cs"/>
          <w:rtl/>
        </w:rPr>
        <w:t xml:space="preserve">כדי </w:t>
      </w:r>
      <w:bookmarkStart w:id="1627" w:name="_ETM_Q3_528020"/>
      <w:bookmarkEnd w:id="1627"/>
      <w:r>
        <w:rPr>
          <w:rFonts w:hint="cs"/>
          <w:rtl/>
        </w:rPr>
        <w:t xml:space="preserve">לבקר </w:t>
      </w:r>
      <w:bookmarkStart w:id="1628" w:name="_ETM_Q3_528890"/>
      <w:bookmarkEnd w:id="1628"/>
      <w:r>
        <w:rPr>
          <w:rFonts w:hint="cs"/>
          <w:rtl/>
        </w:rPr>
        <w:t xml:space="preserve">את </w:t>
      </w:r>
      <w:bookmarkStart w:id="1629" w:name="_ETM_Q3_529100"/>
      <w:bookmarkEnd w:id="1629"/>
      <w:r>
        <w:rPr>
          <w:rFonts w:hint="cs"/>
          <w:rtl/>
        </w:rPr>
        <w:t xml:space="preserve">ההתנהלות </w:t>
      </w:r>
      <w:bookmarkStart w:id="1630" w:name="_ETM_Q3_530150"/>
      <w:bookmarkEnd w:id="1630"/>
      <w:r>
        <w:rPr>
          <w:rFonts w:hint="cs"/>
          <w:rtl/>
        </w:rPr>
        <w:t xml:space="preserve">של </w:t>
      </w:r>
      <w:bookmarkStart w:id="1631" w:name="_ETM_Q3_530420"/>
      <w:bookmarkEnd w:id="1631"/>
      <w:r>
        <w:rPr>
          <w:rFonts w:hint="cs"/>
          <w:rtl/>
        </w:rPr>
        <w:t xml:space="preserve">חברי </w:t>
      </w:r>
      <w:bookmarkStart w:id="1632" w:name="_ETM_Q3_530750"/>
      <w:bookmarkEnd w:id="1632"/>
      <w:r>
        <w:rPr>
          <w:rFonts w:hint="cs"/>
          <w:rtl/>
        </w:rPr>
        <w:t xml:space="preserve">האופוזיציה </w:t>
      </w:r>
      <w:bookmarkStart w:id="1633" w:name="_ETM_Q3_531290"/>
      <w:bookmarkStart w:id="1634" w:name="_ETM_Q3_531740"/>
      <w:bookmarkStart w:id="1635" w:name="_ETM_Q3_532370"/>
      <w:bookmarkStart w:id="1636" w:name="_ETM_Q3_533000"/>
      <w:bookmarkEnd w:id="1633"/>
      <w:bookmarkEnd w:id="1634"/>
      <w:bookmarkEnd w:id="1635"/>
      <w:bookmarkEnd w:id="1636"/>
      <w:r>
        <w:rPr>
          <w:rFonts w:hint="cs"/>
          <w:rtl/>
        </w:rPr>
        <w:t xml:space="preserve">בישיבות </w:t>
      </w:r>
      <w:bookmarkStart w:id="1637" w:name="_ETM_Q3_534260"/>
      <w:bookmarkEnd w:id="1637"/>
      <w:r>
        <w:rPr>
          <w:rFonts w:hint="cs"/>
          <w:rtl/>
        </w:rPr>
        <w:t xml:space="preserve">הוועדה </w:t>
      </w:r>
      <w:bookmarkStart w:id="1638" w:name="_ETM_Q3_535160"/>
      <w:bookmarkEnd w:id="1638"/>
      <w:r>
        <w:rPr>
          <w:rFonts w:hint="cs"/>
          <w:rtl/>
        </w:rPr>
        <w:t xml:space="preserve">ובזמן </w:t>
      </w:r>
      <w:bookmarkStart w:id="1639" w:name="_ETM_Q3_535730"/>
      <w:bookmarkEnd w:id="1639"/>
      <w:r>
        <w:rPr>
          <w:rFonts w:hint="cs"/>
          <w:rtl/>
        </w:rPr>
        <w:t xml:space="preserve">ההצבעות, </w:t>
      </w:r>
      <w:bookmarkStart w:id="1640" w:name="_ETM_Q3_537109"/>
      <w:bookmarkEnd w:id="1640"/>
      <w:r>
        <w:rPr>
          <w:rFonts w:hint="cs"/>
          <w:rtl/>
        </w:rPr>
        <w:t xml:space="preserve">אבל </w:t>
      </w:r>
      <w:bookmarkStart w:id="1641" w:name="_ETM_Q3_537499"/>
      <w:bookmarkEnd w:id="1641"/>
      <w:r>
        <w:rPr>
          <w:rFonts w:hint="cs"/>
          <w:rtl/>
        </w:rPr>
        <w:t xml:space="preserve">הטענות </w:t>
      </w:r>
      <w:bookmarkStart w:id="1642" w:name="_ETM_Q3_538100"/>
      <w:bookmarkEnd w:id="1642"/>
      <w:r>
        <w:rPr>
          <w:rFonts w:hint="cs"/>
          <w:rtl/>
        </w:rPr>
        <w:t xml:space="preserve">הללו, </w:t>
      </w:r>
      <w:bookmarkStart w:id="1643" w:name="_ETM_Q3_538760"/>
      <w:bookmarkEnd w:id="1643"/>
      <w:r>
        <w:rPr>
          <w:rFonts w:hint="cs"/>
          <w:rtl/>
        </w:rPr>
        <w:t xml:space="preserve">צר </w:t>
      </w:r>
      <w:bookmarkStart w:id="1644" w:name="_ETM_Q3_539119"/>
      <w:bookmarkEnd w:id="1644"/>
      <w:r>
        <w:rPr>
          <w:rFonts w:hint="cs"/>
          <w:rtl/>
        </w:rPr>
        <w:t xml:space="preserve">לי </w:t>
      </w:r>
      <w:bookmarkStart w:id="1645" w:name="_ETM_Q3_539239"/>
      <w:bookmarkEnd w:id="1645"/>
      <w:r>
        <w:rPr>
          <w:rFonts w:hint="cs"/>
          <w:rtl/>
        </w:rPr>
        <w:t xml:space="preserve">לומר, </w:t>
      </w:r>
      <w:bookmarkStart w:id="1646" w:name="_ETM_Q3_539749"/>
      <w:bookmarkEnd w:id="1646"/>
      <w:r>
        <w:rPr>
          <w:rFonts w:hint="cs"/>
          <w:rtl/>
        </w:rPr>
        <w:t xml:space="preserve">בוודאי </w:t>
      </w:r>
      <w:bookmarkStart w:id="1647" w:name="_ETM_Q3_540229"/>
      <w:bookmarkEnd w:id="1647"/>
      <w:r>
        <w:rPr>
          <w:rFonts w:hint="cs"/>
          <w:rtl/>
        </w:rPr>
        <w:t xml:space="preserve">אלה שנשמעו </w:t>
      </w:r>
      <w:bookmarkStart w:id="1648" w:name="_ETM_Q3_540649"/>
      <w:bookmarkEnd w:id="1648"/>
      <w:r>
        <w:rPr>
          <w:rFonts w:hint="cs"/>
          <w:rtl/>
        </w:rPr>
        <w:t xml:space="preserve">גם </w:t>
      </w:r>
      <w:bookmarkStart w:id="1649" w:name="_ETM_Q3_540829"/>
      <w:bookmarkEnd w:id="1649"/>
      <w:r>
        <w:rPr>
          <w:rFonts w:hint="cs"/>
          <w:rtl/>
        </w:rPr>
        <w:t xml:space="preserve">חלקן </w:t>
      </w:r>
      <w:bookmarkStart w:id="1650" w:name="_ETM_Q3_541829"/>
      <w:bookmarkEnd w:id="1650"/>
      <w:r>
        <w:rPr>
          <w:rFonts w:hint="cs"/>
          <w:rtl/>
        </w:rPr>
        <w:t xml:space="preserve">כנגד </w:t>
      </w:r>
      <w:bookmarkStart w:id="1651" w:name="_ETM_Q3_542250"/>
      <w:bookmarkEnd w:id="1651"/>
      <w:r>
        <w:rPr>
          <w:rFonts w:hint="cs"/>
          <w:rtl/>
        </w:rPr>
        <w:t xml:space="preserve">הייעוץ </w:t>
      </w:r>
      <w:bookmarkStart w:id="1652" w:name="_ETM_Q3_542550"/>
      <w:bookmarkEnd w:id="1652"/>
      <w:r>
        <w:rPr>
          <w:rFonts w:hint="cs"/>
          <w:rtl/>
        </w:rPr>
        <w:t xml:space="preserve">המשפטי </w:t>
      </w:r>
      <w:bookmarkStart w:id="1653" w:name="_ETM_Q3_543800"/>
      <w:bookmarkEnd w:id="1653"/>
      <w:r>
        <w:rPr>
          <w:rFonts w:hint="cs"/>
          <w:rtl/>
        </w:rPr>
        <w:t xml:space="preserve">לכנסת </w:t>
      </w:r>
      <w:bookmarkStart w:id="1654" w:name="_ETM_Q3_544460"/>
      <w:bookmarkEnd w:id="1654"/>
      <w:r>
        <w:rPr>
          <w:rFonts w:hint="cs"/>
          <w:rtl/>
        </w:rPr>
        <w:t xml:space="preserve">וכנגד </w:t>
      </w:r>
      <w:bookmarkStart w:id="1655" w:name="_ETM_Q3_544880"/>
      <w:bookmarkEnd w:id="1655"/>
      <w:r>
        <w:rPr>
          <w:rFonts w:hint="cs"/>
          <w:rtl/>
        </w:rPr>
        <w:t xml:space="preserve">הייעוץ </w:t>
      </w:r>
      <w:bookmarkStart w:id="1656" w:name="_ETM_Q3_545120"/>
      <w:bookmarkEnd w:id="1656"/>
      <w:r>
        <w:rPr>
          <w:rFonts w:hint="cs"/>
          <w:rtl/>
        </w:rPr>
        <w:t xml:space="preserve">המשפטי </w:t>
      </w:r>
      <w:bookmarkStart w:id="1657" w:name="_ETM_Q3_545540"/>
      <w:bookmarkEnd w:id="1657"/>
      <w:r>
        <w:rPr>
          <w:rFonts w:hint="cs"/>
          <w:rtl/>
        </w:rPr>
        <w:t xml:space="preserve">לוועדה, </w:t>
      </w:r>
      <w:bookmarkStart w:id="1658" w:name="_ETM_Q3_546680"/>
      <w:bookmarkEnd w:id="1658"/>
      <w:r>
        <w:rPr>
          <w:rFonts w:hint="cs"/>
          <w:rtl/>
        </w:rPr>
        <w:t xml:space="preserve">טוב </w:t>
      </w:r>
      <w:bookmarkStart w:id="1659" w:name="_ETM_Q3_547010"/>
      <w:bookmarkEnd w:id="1659"/>
      <w:r>
        <w:rPr>
          <w:rFonts w:hint="cs"/>
          <w:rtl/>
        </w:rPr>
        <w:t xml:space="preserve">היה </w:t>
      </w:r>
      <w:bookmarkStart w:id="1660" w:name="_ETM_Q3_547250"/>
      <w:bookmarkEnd w:id="1660"/>
      <w:r>
        <w:rPr>
          <w:rFonts w:hint="cs"/>
          <w:rtl/>
        </w:rPr>
        <w:t xml:space="preserve">להן </w:t>
      </w:r>
      <w:bookmarkStart w:id="1661" w:name="_ETM_Q3_547790"/>
      <w:bookmarkEnd w:id="1661"/>
      <w:r>
        <w:rPr>
          <w:rFonts w:hint="cs"/>
          <w:rtl/>
        </w:rPr>
        <w:t xml:space="preserve">שלא </w:t>
      </w:r>
      <w:bookmarkStart w:id="1662" w:name="_ETM_Q3_548150"/>
      <w:bookmarkEnd w:id="1662"/>
      <w:r>
        <w:rPr>
          <w:rFonts w:hint="cs"/>
          <w:rtl/>
        </w:rPr>
        <w:t xml:space="preserve">ייאמרו. </w:t>
      </w:r>
      <w:bookmarkStart w:id="1663" w:name="_ETM_Q3_549119"/>
      <w:bookmarkStart w:id="1664" w:name="_ETM_Q3_551199"/>
      <w:bookmarkStart w:id="1665" w:name="_ETM_Q3_551295"/>
      <w:bookmarkStart w:id="1666" w:name="_ETM_Q3_551358"/>
      <w:bookmarkStart w:id="1667" w:name="_ETM_Q3_551447"/>
      <w:bookmarkStart w:id="1668" w:name="_ETM_Q3_549360"/>
      <w:bookmarkStart w:id="1669" w:name="_ETM_Q3_549659"/>
      <w:bookmarkStart w:id="1670" w:name="_ETM_Q3_550110"/>
      <w:bookmarkEnd w:id="1663"/>
      <w:bookmarkEnd w:id="1664"/>
      <w:bookmarkEnd w:id="1665"/>
      <w:bookmarkEnd w:id="1666"/>
      <w:bookmarkEnd w:id="1667"/>
      <w:bookmarkEnd w:id="1668"/>
      <w:bookmarkEnd w:id="1669"/>
      <w:bookmarkEnd w:id="1670"/>
      <w:r>
        <w:rPr>
          <w:rFonts w:hint="cs"/>
          <w:rtl/>
        </w:rPr>
        <w:t xml:space="preserve">אני </w:t>
      </w:r>
      <w:bookmarkStart w:id="1671" w:name="_ETM_Q3_550350"/>
      <w:bookmarkEnd w:id="1671"/>
      <w:r>
        <w:rPr>
          <w:rFonts w:hint="cs"/>
          <w:rtl/>
        </w:rPr>
        <w:t xml:space="preserve">אומר </w:t>
      </w:r>
      <w:bookmarkStart w:id="1672" w:name="_ETM_Q3_550799"/>
      <w:bookmarkEnd w:id="1672"/>
      <w:r>
        <w:rPr>
          <w:rFonts w:hint="cs"/>
          <w:rtl/>
        </w:rPr>
        <w:t xml:space="preserve">עוד </w:t>
      </w:r>
      <w:bookmarkStart w:id="1673" w:name="_ETM_Q3_551130"/>
      <w:bookmarkEnd w:id="1673"/>
      <w:r>
        <w:rPr>
          <w:rFonts w:hint="cs"/>
          <w:rtl/>
        </w:rPr>
        <w:t xml:space="preserve">שתי </w:t>
      </w:r>
      <w:bookmarkStart w:id="1674" w:name="_ETM_Q3_551399"/>
      <w:bookmarkEnd w:id="1674"/>
      <w:r>
        <w:rPr>
          <w:rFonts w:hint="cs"/>
          <w:rtl/>
        </w:rPr>
        <w:t xml:space="preserve">אמירות </w:t>
      </w:r>
      <w:bookmarkStart w:id="1675" w:name="_ETM_Q3_551729"/>
      <w:bookmarkEnd w:id="1675"/>
      <w:r>
        <w:rPr>
          <w:rFonts w:hint="cs"/>
          <w:rtl/>
        </w:rPr>
        <w:t>לפרוטוקול</w:t>
      </w:r>
      <w:bookmarkStart w:id="1676" w:name="_ETM_Q3_553268"/>
      <w:bookmarkEnd w:id="1676"/>
      <w:r>
        <w:rPr>
          <w:rFonts w:hint="cs"/>
          <w:rtl/>
        </w:rPr>
        <w:t>: אחת,</w:t>
      </w:r>
      <w:bookmarkStart w:id="1677" w:name="_ETM_Q3_553020"/>
      <w:bookmarkEnd w:id="1677"/>
      <w:r>
        <w:rPr>
          <w:rFonts w:hint="cs"/>
          <w:rtl/>
        </w:rPr>
        <w:t xml:space="preserve"> </w:t>
      </w:r>
      <w:bookmarkStart w:id="1678" w:name="_ETM_Q3_553710"/>
      <w:bookmarkEnd w:id="1678"/>
      <w:r>
        <w:rPr>
          <w:rFonts w:hint="cs"/>
          <w:rtl/>
        </w:rPr>
        <w:t xml:space="preserve">חבר </w:t>
      </w:r>
      <w:bookmarkStart w:id="1679" w:name="_ETM_Q3_553979"/>
      <w:bookmarkEnd w:id="1679"/>
      <w:r>
        <w:rPr>
          <w:rFonts w:hint="cs"/>
          <w:rtl/>
        </w:rPr>
        <w:t xml:space="preserve">הכנסת </w:t>
      </w:r>
      <w:bookmarkStart w:id="1680" w:name="_ETM_Q3_554369"/>
      <w:bookmarkStart w:id="1681" w:name="_ETM_Q3_554610"/>
      <w:bookmarkEnd w:id="1680"/>
      <w:bookmarkEnd w:id="1681"/>
      <w:r>
        <w:rPr>
          <w:rFonts w:hint="cs"/>
          <w:rtl/>
        </w:rPr>
        <w:t xml:space="preserve">עמית הלוי </w:t>
      </w:r>
      <w:bookmarkStart w:id="1682" w:name="_ETM_Q3_554939"/>
      <w:bookmarkStart w:id="1683" w:name="_ETM_Q3_555390"/>
      <w:bookmarkEnd w:id="1682"/>
      <w:bookmarkEnd w:id="1683"/>
      <w:r>
        <w:rPr>
          <w:rFonts w:hint="cs"/>
          <w:rtl/>
        </w:rPr>
        <w:t xml:space="preserve">ביקש </w:t>
      </w:r>
      <w:bookmarkStart w:id="1684" w:name="_ETM_Q3_555720"/>
      <w:bookmarkEnd w:id="1684"/>
      <w:r>
        <w:rPr>
          <w:rFonts w:hint="cs"/>
          <w:rtl/>
        </w:rPr>
        <w:t xml:space="preserve">ממני </w:t>
      </w:r>
      <w:bookmarkStart w:id="1685" w:name="_ETM_Q3_556079"/>
      <w:bookmarkEnd w:id="1685"/>
      <w:r>
        <w:rPr>
          <w:rFonts w:hint="cs"/>
          <w:rtl/>
        </w:rPr>
        <w:t>להודיע</w:t>
      </w:r>
      <w:bookmarkStart w:id="1686" w:name="_ETM_Q3_556439"/>
      <w:bookmarkEnd w:id="1686"/>
      <w:r>
        <w:rPr>
          <w:rFonts w:hint="cs"/>
          <w:rtl/>
        </w:rPr>
        <w:t xml:space="preserve"> – הוא </w:t>
      </w:r>
      <w:bookmarkStart w:id="1687" w:name="_ETM_Q3_556500"/>
      <w:bookmarkEnd w:id="1687"/>
      <w:r>
        <w:rPr>
          <w:rFonts w:hint="cs"/>
          <w:rtl/>
        </w:rPr>
        <w:t xml:space="preserve">גם </w:t>
      </w:r>
      <w:bookmarkStart w:id="1688" w:name="_ETM_Q3_556680"/>
      <w:bookmarkEnd w:id="1688"/>
      <w:r>
        <w:rPr>
          <w:rFonts w:hint="cs"/>
          <w:rtl/>
        </w:rPr>
        <w:t xml:space="preserve">יודיע </w:t>
      </w:r>
      <w:bookmarkStart w:id="1689" w:name="_ETM_Q3_557009"/>
      <w:bookmarkEnd w:id="1689"/>
      <w:r>
        <w:rPr>
          <w:rFonts w:hint="cs"/>
          <w:rtl/>
        </w:rPr>
        <w:t xml:space="preserve">את </w:t>
      </w:r>
      <w:bookmarkStart w:id="1690" w:name="_ETM_Q3_557100"/>
      <w:bookmarkEnd w:id="1690"/>
      <w:r>
        <w:rPr>
          <w:rFonts w:hint="cs"/>
          <w:rtl/>
        </w:rPr>
        <w:t xml:space="preserve">זה </w:t>
      </w:r>
      <w:bookmarkStart w:id="1691" w:name="_ETM_Q3_557220"/>
      <w:bookmarkEnd w:id="1691"/>
      <w:r>
        <w:rPr>
          <w:rFonts w:hint="cs"/>
          <w:rtl/>
        </w:rPr>
        <w:t xml:space="preserve">בעצמו </w:t>
      </w:r>
      <w:bookmarkStart w:id="1692" w:name="_ETM_Q3_557580"/>
      <w:bookmarkEnd w:id="1692"/>
      <w:r>
        <w:rPr>
          <w:rFonts w:hint="cs"/>
          <w:rtl/>
        </w:rPr>
        <w:t xml:space="preserve">באופן </w:t>
      </w:r>
      <w:bookmarkStart w:id="1693" w:name="_ETM_Q3_558029"/>
      <w:bookmarkEnd w:id="1693"/>
      <w:r>
        <w:rPr>
          <w:rFonts w:hint="cs"/>
          <w:rtl/>
        </w:rPr>
        <w:t>פרטני –</w:t>
      </w:r>
      <w:bookmarkStart w:id="1694" w:name="_ETM_Q3_559140"/>
      <w:bookmarkEnd w:id="1694"/>
      <w:r>
        <w:rPr>
          <w:rFonts w:hint="cs"/>
          <w:rtl/>
        </w:rPr>
        <w:t xml:space="preserve"> שההסתייגות </w:t>
      </w:r>
      <w:bookmarkStart w:id="1695" w:name="_ETM_Q3_560170"/>
      <w:bookmarkEnd w:id="1695"/>
      <w:r>
        <w:rPr>
          <w:rFonts w:hint="cs"/>
          <w:rtl/>
        </w:rPr>
        <w:t xml:space="preserve">שנפלה </w:t>
      </w:r>
      <w:bookmarkStart w:id="1696" w:name="_ETM_Q3_560710"/>
      <w:bookmarkEnd w:id="1696"/>
      <w:r>
        <w:rPr>
          <w:rFonts w:hint="cs"/>
          <w:rtl/>
        </w:rPr>
        <w:t xml:space="preserve">בוועדה היא </w:t>
      </w:r>
      <w:bookmarkStart w:id="1697" w:name="_ETM_Q3_561159"/>
      <w:bookmarkEnd w:id="1697"/>
      <w:r>
        <w:rPr>
          <w:rFonts w:hint="cs"/>
          <w:rtl/>
        </w:rPr>
        <w:t xml:space="preserve">הסתייגות </w:t>
      </w:r>
      <w:bookmarkStart w:id="1698" w:name="_ETM_Q3_561579"/>
      <w:bookmarkEnd w:id="1698"/>
      <w:r>
        <w:rPr>
          <w:rFonts w:hint="cs"/>
          <w:rtl/>
        </w:rPr>
        <w:t xml:space="preserve">שהוא </w:t>
      </w:r>
      <w:bookmarkStart w:id="1699" w:name="_ETM_Q3_561700"/>
      <w:bookmarkEnd w:id="1699"/>
      <w:r>
        <w:rPr>
          <w:rFonts w:hint="cs"/>
          <w:rtl/>
        </w:rPr>
        <w:t xml:space="preserve">חתום </w:t>
      </w:r>
      <w:bookmarkStart w:id="1700" w:name="_ETM_Q3_562029"/>
      <w:bookmarkEnd w:id="1700"/>
      <w:r>
        <w:rPr>
          <w:rFonts w:hint="cs"/>
          <w:rtl/>
        </w:rPr>
        <w:t xml:space="preserve">עליה, </w:t>
      </w:r>
      <w:bookmarkStart w:id="1701" w:name="_ETM_Q3_562270"/>
      <w:bookmarkEnd w:id="1701"/>
      <w:r>
        <w:rPr>
          <w:rFonts w:hint="cs"/>
          <w:rtl/>
        </w:rPr>
        <w:t xml:space="preserve">ומאחר </w:t>
      </w:r>
      <w:bookmarkStart w:id="1702" w:name="_ETM_Q3_562689"/>
      <w:bookmarkEnd w:id="1702"/>
      <w:r>
        <w:rPr>
          <w:rFonts w:hint="cs"/>
          <w:rtl/>
        </w:rPr>
        <w:t xml:space="preserve">שהוא </w:t>
      </w:r>
      <w:bookmarkStart w:id="1703" w:name="_ETM_Q3_563639"/>
      <w:bookmarkEnd w:id="1703"/>
      <w:r>
        <w:rPr>
          <w:rFonts w:hint="cs"/>
          <w:rtl/>
        </w:rPr>
        <w:t xml:space="preserve">לא </w:t>
      </w:r>
      <w:bookmarkStart w:id="1704" w:name="_ETM_Q3_563789"/>
      <w:bookmarkEnd w:id="1704"/>
      <w:r>
        <w:rPr>
          <w:rFonts w:hint="cs"/>
          <w:rtl/>
        </w:rPr>
        <w:t xml:space="preserve">רצה </w:t>
      </w:r>
      <w:bookmarkStart w:id="1705" w:name="_ETM_Q3_564089"/>
      <w:bookmarkEnd w:id="1705"/>
      <w:r>
        <w:rPr>
          <w:rFonts w:hint="cs"/>
          <w:rtl/>
        </w:rPr>
        <w:t xml:space="preserve">להעלות </w:t>
      </w:r>
      <w:bookmarkStart w:id="1706" w:name="_ETM_Q3_564389"/>
      <w:bookmarkEnd w:id="1706"/>
      <w:r>
        <w:rPr>
          <w:rFonts w:hint="cs"/>
          <w:rtl/>
        </w:rPr>
        <w:t xml:space="preserve">אותה </w:t>
      </w:r>
      <w:bookmarkStart w:id="1707" w:name="_ETM_Q3_564569"/>
      <w:bookmarkEnd w:id="1707"/>
      <w:r>
        <w:rPr>
          <w:rFonts w:hint="cs"/>
          <w:rtl/>
        </w:rPr>
        <w:t xml:space="preserve">למליאה </w:t>
      </w:r>
      <w:bookmarkStart w:id="1708" w:name="_ETM_Q3_565139"/>
      <w:bookmarkEnd w:id="1708"/>
      <w:r>
        <w:rPr>
          <w:rFonts w:hint="cs"/>
          <w:rtl/>
        </w:rPr>
        <w:t xml:space="preserve">אז </w:t>
      </w:r>
      <w:bookmarkStart w:id="1709" w:name="_ETM_Q3_565259"/>
      <w:bookmarkStart w:id="1710" w:name="_ETM_Q3_565529"/>
      <w:bookmarkStart w:id="1711" w:name="_ETM_Q3_565679"/>
      <w:bookmarkEnd w:id="1709"/>
      <w:bookmarkEnd w:id="1710"/>
      <w:bookmarkEnd w:id="1711"/>
      <w:r>
        <w:rPr>
          <w:rFonts w:hint="cs"/>
          <w:rtl/>
        </w:rPr>
        <w:t xml:space="preserve">נשארים </w:t>
      </w:r>
      <w:bookmarkStart w:id="1712" w:name="_ETM_Q3_566039"/>
      <w:bookmarkEnd w:id="1712"/>
      <w:r>
        <w:rPr>
          <w:rFonts w:hint="cs"/>
          <w:rtl/>
        </w:rPr>
        <w:t xml:space="preserve">עליה </w:t>
      </w:r>
      <w:bookmarkStart w:id="1713" w:name="_ETM_Q3_566279"/>
      <w:bookmarkEnd w:id="1713"/>
      <w:r>
        <w:rPr>
          <w:rFonts w:hint="cs"/>
          <w:rtl/>
        </w:rPr>
        <w:t xml:space="preserve">רק </w:t>
      </w:r>
      <w:bookmarkStart w:id="1714" w:name="_ETM_Q3_566429"/>
      <w:bookmarkEnd w:id="1714"/>
      <w:r>
        <w:rPr>
          <w:rFonts w:hint="cs"/>
          <w:rtl/>
        </w:rPr>
        <w:t xml:space="preserve">חבר </w:t>
      </w:r>
      <w:bookmarkStart w:id="1715" w:name="_ETM_Q3_566670"/>
      <w:bookmarkEnd w:id="1715"/>
      <w:r>
        <w:rPr>
          <w:rFonts w:hint="cs"/>
          <w:rtl/>
        </w:rPr>
        <w:t xml:space="preserve">הכנסת </w:t>
      </w:r>
      <w:bookmarkStart w:id="1716" w:name="_ETM_Q3_566999"/>
      <w:bookmarkEnd w:id="1716"/>
      <w:r>
        <w:rPr>
          <w:rFonts w:hint="cs"/>
          <w:rtl/>
        </w:rPr>
        <w:t xml:space="preserve">פינדרוס </w:t>
      </w:r>
      <w:bookmarkStart w:id="1717" w:name="_ETM_Q3_567719"/>
      <w:bookmarkEnd w:id="1717"/>
      <w:r>
        <w:rPr>
          <w:rFonts w:hint="cs"/>
          <w:rtl/>
        </w:rPr>
        <w:t xml:space="preserve">ואני. </w:t>
      </w:r>
      <w:bookmarkStart w:id="1718" w:name="_ETM_Q3_568170"/>
      <w:bookmarkEnd w:id="1718"/>
      <w:r>
        <w:rPr>
          <w:rFonts w:hint="cs"/>
          <w:rtl/>
        </w:rPr>
        <w:t xml:space="preserve">הוא </w:t>
      </w:r>
      <w:bookmarkStart w:id="1719" w:name="_ETM_Q3_568469"/>
      <w:bookmarkStart w:id="1720" w:name="_ETM_Q3_568740"/>
      <w:bookmarkEnd w:id="1719"/>
      <w:bookmarkEnd w:id="1720"/>
      <w:r>
        <w:rPr>
          <w:rFonts w:hint="cs"/>
          <w:rtl/>
        </w:rPr>
        <w:t xml:space="preserve">רק </w:t>
      </w:r>
      <w:bookmarkStart w:id="1721" w:name="_ETM_Q3_569189"/>
      <w:bookmarkEnd w:id="1721"/>
      <w:r>
        <w:rPr>
          <w:rFonts w:hint="cs"/>
          <w:rtl/>
        </w:rPr>
        <w:t xml:space="preserve">הגיש </w:t>
      </w:r>
      <w:bookmarkStart w:id="1722" w:name="_ETM_Q3_569490"/>
      <w:bookmarkEnd w:id="1722"/>
      <w:r>
        <w:rPr>
          <w:rFonts w:hint="cs"/>
          <w:rtl/>
        </w:rPr>
        <w:t xml:space="preserve">את </w:t>
      </w:r>
      <w:bookmarkStart w:id="1723" w:name="_ETM_Q3_569609"/>
      <w:bookmarkEnd w:id="1723"/>
      <w:r>
        <w:rPr>
          <w:rFonts w:hint="cs"/>
          <w:rtl/>
        </w:rPr>
        <w:t xml:space="preserve">שמו </w:t>
      </w:r>
      <w:bookmarkStart w:id="1724" w:name="_ETM_Q3_570179"/>
      <w:bookmarkEnd w:id="1724"/>
      <w:r>
        <w:rPr>
          <w:rFonts w:hint="cs"/>
          <w:rtl/>
        </w:rPr>
        <w:t xml:space="preserve">לעניין </w:t>
      </w:r>
      <w:bookmarkStart w:id="1725" w:name="_ETM_Q3_570539"/>
      <w:bookmarkEnd w:id="1725"/>
      <w:r>
        <w:rPr>
          <w:rFonts w:hint="cs"/>
          <w:rtl/>
        </w:rPr>
        <w:t xml:space="preserve">הוועדה, </w:t>
      </w:r>
      <w:bookmarkStart w:id="1726" w:name="_ETM_Q3_570869"/>
      <w:bookmarkEnd w:id="1726"/>
      <w:r>
        <w:rPr>
          <w:rFonts w:hint="cs"/>
          <w:rtl/>
        </w:rPr>
        <w:t xml:space="preserve">הוא </w:t>
      </w:r>
      <w:bookmarkStart w:id="1727" w:name="_ETM_Q3_570929"/>
      <w:bookmarkEnd w:id="1727"/>
      <w:r>
        <w:rPr>
          <w:rFonts w:hint="cs"/>
          <w:rtl/>
        </w:rPr>
        <w:t xml:space="preserve">גם </w:t>
      </w:r>
      <w:bookmarkStart w:id="1728" w:name="_ETM_Q3_571109"/>
      <w:bookmarkEnd w:id="1728"/>
      <w:r>
        <w:rPr>
          <w:rFonts w:hint="cs"/>
          <w:rtl/>
        </w:rPr>
        <w:t xml:space="preserve">יודיע </w:t>
      </w:r>
      <w:bookmarkStart w:id="1729" w:name="_ETM_Q3_571409"/>
      <w:bookmarkEnd w:id="1729"/>
      <w:r>
        <w:rPr>
          <w:rFonts w:hint="cs"/>
          <w:rtl/>
        </w:rPr>
        <w:t xml:space="preserve">על </w:t>
      </w:r>
      <w:bookmarkStart w:id="1730" w:name="_ETM_Q3_575903"/>
      <w:bookmarkEnd w:id="1730"/>
      <w:r>
        <w:rPr>
          <w:rFonts w:hint="cs"/>
          <w:rtl/>
        </w:rPr>
        <w:t xml:space="preserve">כך </w:t>
      </w:r>
      <w:bookmarkStart w:id="1731" w:name="_ETM_Q3_572069"/>
      <w:bookmarkEnd w:id="1731"/>
      <w:r>
        <w:rPr>
          <w:rFonts w:hint="cs"/>
          <w:rtl/>
        </w:rPr>
        <w:t xml:space="preserve">בעצמו. </w:t>
      </w:r>
      <w:bookmarkStart w:id="1732" w:name="_ETM_Q3_573210"/>
      <w:bookmarkEnd w:id="1732"/>
    </w:p>
    <w:p w:rsidR="000C5C1F" w:rsidRDefault="000C5C1F" w:rsidP="000C5C1F">
      <w:pPr>
        <w:rPr>
          <w:rtl/>
        </w:rPr>
      </w:pPr>
      <w:bookmarkStart w:id="1733" w:name="_ETM_Q3_577984"/>
      <w:bookmarkStart w:id="1734" w:name="_ETM_Q3_578071"/>
      <w:bookmarkEnd w:id="1733"/>
      <w:bookmarkEnd w:id="1734"/>
    </w:p>
    <w:p w:rsidR="000C5C1F" w:rsidRDefault="000C5C1F" w:rsidP="000C5C1F">
      <w:pPr>
        <w:rPr>
          <w:rtl/>
        </w:rPr>
      </w:pPr>
      <w:bookmarkStart w:id="1735" w:name="_ETM_Q3_578254"/>
      <w:bookmarkStart w:id="1736" w:name="_ETM_Q3_578325"/>
      <w:bookmarkEnd w:id="1735"/>
      <w:bookmarkEnd w:id="1736"/>
      <w:r>
        <w:rPr>
          <w:rFonts w:hint="cs"/>
          <w:rtl/>
        </w:rPr>
        <w:t xml:space="preserve">אני </w:t>
      </w:r>
      <w:bookmarkStart w:id="1737" w:name="_ETM_Q3_574200"/>
      <w:bookmarkEnd w:id="1737"/>
      <w:r>
        <w:rPr>
          <w:rFonts w:hint="cs"/>
          <w:rtl/>
        </w:rPr>
        <w:t xml:space="preserve">רוצה </w:t>
      </w:r>
      <w:bookmarkStart w:id="1738" w:name="_ETM_Q3_575639"/>
      <w:bookmarkEnd w:id="1738"/>
      <w:r>
        <w:rPr>
          <w:rFonts w:hint="cs"/>
          <w:rtl/>
        </w:rPr>
        <w:t xml:space="preserve">כבר </w:t>
      </w:r>
      <w:bookmarkStart w:id="1739" w:name="_ETM_Q3_575939"/>
      <w:bookmarkEnd w:id="1739"/>
      <w:r>
        <w:rPr>
          <w:rFonts w:hint="cs"/>
          <w:rtl/>
        </w:rPr>
        <w:t xml:space="preserve">בשלב </w:t>
      </w:r>
      <w:bookmarkStart w:id="1740" w:name="_ETM_Q3_576420"/>
      <w:bookmarkEnd w:id="1740"/>
      <w:r>
        <w:rPr>
          <w:rFonts w:hint="cs"/>
          <w:rtl/>
        </w:rPr>
        <w:t xml:space="preserve">זה </w:t>
      </w:r>
      <w:bookmarkStart w:id="1741" w:name="_ETM_Q3_577390"/>
      <w:bookmarkEnd w:id="1741"/>
      <w:r>
        <w:rPr>
          <w:rFonts w:hint="cs"/>
          <w:rtl/>
        </w:rPr>
        <w:t xml:space="preserve">להודות </w:t>
      </w:r>
      <w:bookmarkStart w:id="1742" w:name="_ETM_Q3_578409"/>
      <w:bookmarkEnd w:id="1742"/>
      <w:r>
        <w:rPr>
          <w:rFonts w:hint="cs"/>
          <w:rtl/>
        </w:rPr>
        <w:t xml:space="preserve">מקרב </w:t>
      </w:r>
      <w:bookmarkStart w:id="1743" w:name="_ETM_Q3_578920"/>
      <w:bookmarkEnd w:id="1743"/>
      <w:r>
        <w:rPr>
          <w:rFonts w:hint="cs"/>
          <w:rtl/>
        </w:rPr>
        <w:t xml:space="preserve">לב </w:t>
      </w:r>
      <w:bookmarkStart w:id="1744" w:name="_ETM_Q3_579979"/>
      <w:bookmarkEnd w:id="1744"/>
      <w:r>
        <w:rPr>
          <w:rFonts w:hint="cs"/>
          <w:rtl/>
        </w:rPr>
        <w:t xml:space="preserve">לצוות </w:t>
      </w:r>
      <w:bookmarkStart w:id="1745" w:name="_ETM_Q3_580520"/>
      <w:bookmarkEnd w:id="1745"/>
      <w:r>
        <w:rPr>
          <w:rFonts w:hint="cs"/>
          <w:rtl/>
        </w:rPr>
        <w:t xml:space="preserve">הוועדה </w:t>
      </w:r>
      <w:bookmarkStart w:id="1746" w:name="_ETM_Q3_581850"/>
      <w:bookmarkEnd w:id="1746"/>
      <w:r>
        <w:rPr>
          <w:rFonts w:hint="cs"/>
          <w:rtl/>
        </w:rPr>
        <w:t xml:space="preserve">על </w:t>
      </w:r>
      <w:bookmarkStart w:id="1747" w:name="_ETM_Q3_582060"/>
      <w:bookmarkEnd w:id="1747"/>
      <w:r>
        <w:rPr>
          <w:rFonts w:hint="cs"/>
          <w:rtl/>
        </w:rPr>
        <w:t xml:space="preserve">העבודה </w:t>
      </w:r>
      <w:bookmarkStart w:id="1748" w:name="_ETM_Q3_582479"/>
      <w:bookmarkEnd w:id="1748"/>
      <w:r>
        <w:rPr>
          <w:rFonts w:hint="cs"/>
          <w:rtl/>
        </w:rPr>
        <w:t xml:space="preserve">המסורה </w:t>
      </w:r>
      <w:bookmarkStart w:id="1749" w:name="_ETM_Q3_582990"/>
      <w:bookmarkEnd w:id="1749"/>
      <w:r>
        <w:rPr>
          <w:rFonts w:hint="cs"/>
          <w:rtl/>
        </w:rPr>
        <w:t xml:space="preserve">שהוא </w:t>
      </w:r>
      <w:bookmarkStart w:id="1750" w:name="_ETM_Q3_583170"/>
      <w:bookmarkEnd w:id="1750"/>
      <w:r>
        <w:rPr>
          <w:rFonts w:hint="cs"/>
          <w:rtl/>
        </w:rPr>
        <w:t xml:space="preserve">עשה, </w:t>
      </w:r>
      <w:bookmarkStart w:id="1751" w:name="_ETM_Q3_583439"/>
      <w:bookmarkStart w:id="1752" w:name="_ETM_Q3_584100"/>
      <w:bookmarkStart w:id="1753" w:name="_ETM_Q3_584729"/>
      <w:bookmarkEnd w:id="1751"/>
      <w:bookmarkEnd w:id="1752"/>
      <w:bookmarkEnd w:id="1753"/>
      <w:r>
        <w:rPr>
          <w:rFonts w:hint="cs"/>
          <w:rtl/>
        </w:rPr>
        <w:t xml:space="preserve">בהנהגתו </w:t>
      </w:r>
      <w:bookmarkStart w:id="1754" w:name="_ETM_Q3_585450"/>
      <w:bookmarkStart w:id="1755" w:name="_ETM_Q3_585689"/>
      <w:bookmarkEnd w:id="1754"/>
      <w:bookmarkEnd w:id="1755"/>
      <w:r>
        <w:rPr>
          <w:rFonts w:hint="cs"/>
          <w:rtl/>
        </w:rPr>
        <w:t xml:space="preserve">של איל, </w:t>
      </w:r>
      <w:bookmarkStart w:id="1756" w:name="_ETM_Q3_586860"/>
      <w:bookmarkEnd w:id="1756"/>
      <w:r>
        <w:rPr>
          <w:rFonts w:hint="cs"/>
          <w:rtl/>
        </w:rPr>
        <w:t xml:space="preserve">מנהל </w:t>
      </w:r>
      <w:bookmarkStart w:id="1757" w:name="_ETM_Q3_587279"/>
      <w:bookmarkEnd w:id="1757"/>
      <w:r>
        <w:rPr>
          <w:rFonts w:hint="cs"/>
          <w:rtl/>
        </w:rPr>
        <w:t xml:space="preserve">הוועדה, </w:t>
      </w:r>
      <w:bookmarkStart w:id="1758" w:name="_ETM_Q3_587909"/>
      <w:bookmarkEnd w:id="1758"/>
      <w:r>
        <w:rPr>
          <w:rFonts w:hint="cs"/>
          <w:rtl/>
        </w:rPr>
        <w:t xml:space="preserve">שעשה </w:t>
      </w:r>
      <w:bookmarkStart w:id="1759" w:name="_ETM_Q3_588950"/>
      <w:bookmarkEnd w:id="1759"/>
      <w:r>
        <w:rPr>
          <w:rFonts w:hint="cs"/>
          <w:rtl/>
        </w:rPr>
        <w:t xml:space="preserve">לילות </w:t>
      </w:r>
      <w:bookmarkStart w:id="1760" w:name="_ETM_Q3_589460"/>
      <w:bookmarkEnd w:id="1760"/>
      <w:r>
        <w:rPr>
          <w:rFonts w:hint="cs"/>
          <w:rtl/>
        </w:rPr>
        <w:t xml:space="preserve">כימים </w:t>
      </w:r>
      <w:bookmarkStart w:id="1761" w:name="_ETM_Q3_589970"/>
      <w:bookmarkEnd w:id="1761"/>
      <w:r>
        <w:rPr>
          <w:rFonts w:hint="cs"/>
          <w:rtl/>
        </w:rPr>
        <w:t xml:space="preserve">וימים </w:t>
      </w:r>
      <w:bookmarkStart w:id="1762" w:name="_ETM_Q3_590210"/>
      <w:bookmarkEnd w:id="1762"/>
      <w:r>
        <w:rPr>
          <w:rFonts w:hint="cs"/>
          <w:rtl/>
        </w:rPr>
        <w:t xml:space="preserve">כלילות, </w:t>
      </w:r>
      <w:bookmarkStart w:id="1763" w:name="_ETM_Q3_590600"/>
      <w:bookmarkEnd w:id="1763"/>
      <w:r>
        <w:rPr>
          <w:rFonts w:hint="cs"/>
          <w:rtl/>
        </w:rPr>
        <w:t xml:space="preserve">ואנחנו </w:t>
      </w:r>
      <w:bookmarkStart w:id="1764" w:name="_ETM_Q3_590870"/>
      <w:bookmarkEnd w:id="1764"/>
      <w:r>
        <w:rPr>
          <w:rFonts w:hint="cs"/>
          <w:rtl/>
        </w:rPr>
        <w:t xml:space="preserve">כבר </w:t>
      </w:r>
      <w:bookmarkStart w:id="1765" w:name="_ETM_Q3_591050"/>
      <w:bookmarkEnd w:id="1765"/>
      <w:r>
        <w:rPr>
          <w:rFonts w:hint="cs"/>
          <w:rtl/>
        </w:rPr>
        <w:t xml:space="preserve">לא </w:t>
      </w:r>
      <w:bookmarkStart w:id="1766" w:name="_ETM_Q3_591170"/>
      <w:bookmarkEnd w:id="1766"/>
      <w:r>
        <w:rPr>
          <w:rFonts w:hint="cs"/>
          <w:rtl/>
        </w:rPr>
        <w:t xml:space="preserve">זוכרים </w:t>
      </w:r>
      <w:bookmarkStart w:id="1767" w:name="_ETM_Q3_591839"/>
      <w:bookmarkEnd w:id="1767"/>
      <w:r>
        <w:rPr>
          <w:rFonts w:hint="cs"/>
          <w:rtl/>
        </w:rPr>
        <w:t xml:space="preserve">מה </w:t>
      </w:r>
      <w:bookmarkStart w:id="1768" w:name="_ETM_Q3_592170"/>
      <w:bookmarkStart w:id="1769" w:name="_ETM_Q3_592320"/>
      <w:bookmarkStart w:id="1770" w:name="_ETM_Q3_594180"/>
      <w:bookmarkStart w:id="1771" w:name="_ETM_Q3_594330"/>
      <w:bookmarkEnd w:id="1768"/>
      <w:bookmarkEnd w:id="1769"/>
      <w:bookmarkEnd w:id="1770"/>
      <w:bookmarkEnd w:id="1771"/>
      <w:r>
        <w:rPr>
          <w:rFonts w:hint="cs"/>
          <w:rtl/>
        </w:rPr>
        <w:t xml:space="preserve">יותר </w:t>
      </w:r>
      <w:bookmarkStart w:id="1772" w:name="_ETM_Q3_595529"/>
      <w:bookmarkEnd w:id="1772"/>
      <w:r>
        <w:rPr>
          <w:rFonts w:hint="cs"/>
          <w:rtl/>
        </w:rPr>
        <w:t xml:space="preserve">משמעותי </w:t>
      </w:r>
      <w:bookmarkStart w:id="1773" w:name="_ETM_Q3_596220"/>
      <w:bookmarkEnd w:id="1773"/>
      <w:r>
        <w:rPr>
          <w:rFonts w:hint="cs"/>
          <w:rtl/>
        </w:rPr>
        <w:t xml:space="preserve">ומרשים </w:t>
      </w:r>
      <w:bookmarkStart w:id="1774" w:name="_ETM_Q3_597089"/>
      <w:bookmarkEnd w:id="1774"/>
      <w:r>
        <w:rPr>
          <w:rFonts w:hint="cs"/>
          <w:rtl/>
        </w:rPr>
        <w:t xml:space="preserve">בהקשר </w:t>
      </w:r>
      <w:bookmarkStart w:id="1775" w:name="_ETM_Q3_597600"/>
      <w:bookmarkEnd w:id="1775"/>
      <w:r>
        <w:rPr>
          <w:rFonts w:hint="cs"/>
          <w:rtl/>
        </w:rPr>
        <w:t xml:space="preserve">הזה; </w:t>
      </w:r>
      <w:bookmarkStart w:id="1776" w:name="_ETM_Q3_598470"/>
      <w:bookmarkEnd w:id="1776"/>
      <w:r>
        <w:rPr>
          <w:rFonts w:hint="cs"/>
          <w:rtl/>
        </w:rPr>
        <w:t xml:space="preserve">ליועץ </w:t>
      </w:r>
      <w:bookmarkStart w:id="1777" w:name="_ETM_Q3_598920"/>
      <w:bookmarkEnd w:id="1777"/>
      <w:r>
        <w:rPr>
          <w:rFonts w:hint="cs"/>
          <w:rtl/>
        </w:rPr>
        <w:t xml:space="preserve">המשפטי </w:t>
      </w:r>
      <w:bookmarkStart w:id="1778" w:name="_ETM_Q3_599490"/>
      <w:bookmarkEnd w:id="1778"/>
      <w:r>
        <w:rPr>
          <w:rFonts w:hint="cs"/>
          <w:rtl/>
        </w:rPr>
        <w:t xml:space="preserve">לוועדה, עו"ד </w:t>
      </w:r>
      <w:bookmarkStart w:id="1779" w:name="_ETM_Q3_600060"/>
      <w:bookmarkStart w:id="1780" w:name="_ETM_Q3_600570"/>
      <w:bookmarkStart w:id="1781" w:name="_ETM_Q3_600810"/>
      <w:bookmarkEnd w:id="1779"/>
      <w:bookmarkEnd w:id="1780"/>
      <w:bookmarkEnd w:id="1781"/>
      <w:r>
        <w:rPr>
          <w:rFonts w:hint="cs"/>
          <w:rtl/>
        </w:rPr>
        <w:t xml:space="preserve">ד"ר </w:t>
      </w:r>
      <w:bookmarkStart w:id="1782" w:name="_ETM_Q3_601229"/>
      <w:bookmarkEnd w:id="1782"/>
      <w:r>
        <w:rPr>
          <w:rFonts w:hint="cs"/>
          <w:rtl/>
        </w:rPr>
        <w:t xml:space="preserve">גור </w:t>
      </w:r>
      <w:bookmarkStart w:id="1783" w:name="_ETM_Q3_601440"/>
      <w:bookmarkEnd w:id="1783"/>
      <w:r>
        <w:rPr>
          <w:rFonts w:hint="cs"/>
          <w:rtl/>
        </w:rPr>
        <w:t xml:space="preserve">בליי, </w:t>
      </w:r>
      <w:bookmarkStart w:id="1784" w:name="_ETM_Q3_602190"/>
      <w:bookmarkEnd w:id="1784"/>
      <w:r>
        <w:rPr>
          <w:rFonts w:hint="cs"/>
          <w:rtl/>
        </w:rPr>
        <w:t xml:space="preserve">שהשקיע </w:t>
      </w:r>
      <w:bookmarkStart w:id="1785" w:name="_ETM_Q3_604969"/>
      <w:bookmarkEnd w:id="1785"/>
      <w:r>
        <w:rPr>
          <w:rFonts w:hint="cs"/>
          <w:rtl/>
        </w:rPr>
        <w:t xml:space="preserve">באמת </w:t>
      </w:r>
      <w:bookmarkStart w:id="1786" w:name="_ETM_Q3_605749"/>
      <w:bookmarkEnd w:id="1786"/>
      <w:r>
        <w:rPr>
          <w:rFonts w:hint="cs"/>
          <w:rtl/>
        </w:rPr>
        <w:t xml:space="preserve">מעל </w:t>
      </w:r>
      <w:bookmarkStart w:id="1787" w:name="_ETM_Q3_606109"/>
      <w:bookmarkEnd w:id="1787"/>
      <w:r>
        <w:rPr>
          <w:rFonts w:hint="cs"/>
          <w:rtl/>
        </w:rPr>
        <w:t xml:space="preserve">ומעבר </w:t>
      </w:r>
      <w:bookmarkStart w:id="1788" w:name="_ETM_Q3_607100"/>
      <w:bookmarkEnd w:id="1788"/>
      <w:r>
        <w:rPr>
          <w:rFonts w:hint="cs"/>
          <w:rtl/>
        </w:rPr>
        <w:t xml:space="preserve">בהכנה </w:t>
      </w:r>
      <w:bookmarkStart w:id="1789" w:name="_ETM_Q3_607789"/>
      <w:bookmarkEnd w:id="1789"/>
      <w:r>
        <w:rPr>
          <w:rFonts w:hint="cs"/>
          <w:rtl/>
        </w:rPr>
        <w:t xml:space="preserve">גם </w:t>
      </w:r>
      <w:bookmarkStart w:id="1790" w:name="_ETM_Q3_607999"/>
      <w:bookmarkEnd w:id="1790"/>
      <w:r>
        <w:rPr>
          <w:rFonts w:hint="cs"/>
          <w:rtl/>
        </w:rPr>
        <w:t xml:space="preserve">בדיוני </w:t>
      </w:r>
      <w:bookmarkStart w:id="1791" w:name="_ETM_Q3_608420"/>
      <w:bookmarkEnd w:id="1791"/>
      <w:r>
        <w:rPr>
          <w:rFonts w:hint="cs"/>
          <w:rtl/>
        </w:rPr>
        <w:t xml:space="preserve">הוועדה, </w:t>
      </w:r>
      <w:bookmarkStart w:id="1792" w:name="_ETM_Q3_608779"/>
      <w:bookmarkEnd w:id="1792"/>
      <w:r>
        <w:rPr>
          <w:rFonts w:hint="cs"/>
          <w:rtl/>
        </w:rPr>
        <w:t xml:space="preserve">גם </w:t>
      </w:r>
      <w:bookmarkStart w:id="1793" w:name="_ETM_Q3_608930"/>
      <w:bookmarkEnd w:id="1793"/>
      <w:r>
        <w:rPr>
          <w:rFonts w:hint="cs"/>
          <w:rtl/>
        </w:rPr>
        <w:t xml:space="preserve">במסמכי </w:t>
      </w:r>
      <w:bookmarkStart w:id="1794" w:name="_ETM_Q3_609379"/>
      <w:bookmarkEnd w:id="1794"/>
      <w:r>
        <w:rPr>
          <w:rFonts w:hint="cs"/>
          <w:rtl/>
        </w:rPr>
        <w:t xml:space="preserve">ההכנה; </w:t>
      </w:r>
      <w:bookmarkStart w:id="1795" w:name="_ETM_Q3_610280"/>
      <w:bookmarkEnd w:id="1795"/>
      <w:r>
        <w:rPr>
          <w:rFonts w:hint="cs"/>
          <w:rtl/>
        </w:rPr>
        <w:t xml:space="preserve">כמובן, </w:t>
      </w:r>
      <w:bookmarkStart w:id="1796" w:name="_ETM_Q3_611390"/>
      <w:bookmarkEnd w:id="1796"/>
      <w:r>
        <w:rPr>
          <w:rFonts w:hint="cs"/>
          <w:rtl/>
        </w:rPr>
        <w:t xml:space="preserve">לכל </w:t>
      </w:r>
      <w:bookmarkStart w:id="1797" w:name="_ETM_Q3_611870"/>
      <w:bookmarkEnd w:id="1797"/>
      <w:r>
        <w:rPr>
          <w:rFonts w:hint="cs"/>
          <w:rtl/>
        </w:rPr>
        <w:t xml:space="preserve">צוות </w:t>
      </w:r>
      <w:bookmarkStart w:id="1798" w:name="_ETM_Q3_612200"/>
      <w:bookmarkEnd w:id="1798"/>
      <w:r>
        <w:rPr>
          <w:rFonts w:hint="cs"/>
          <w:rtl/>
        </w:rPr>
        <w:t xml:space="preserve">הייעוץ </w:t>
      </w:r>
      <w:bookmarkStart w:id="1799" w:name="_ETM_Q3_612470"/>
      <w:bookmarkEnd w:id="1799"/>
      <w:r>
        <w:rPr>
          <w:rFonts w:hint="cs"/>
          <w:rtl/>
        </w:rPr>
        <w:t xml:space="preserve">המשפטי </w:t>
      </w:r>
      <w:bookmarkStart w:id="1800" w:name="_ETM_Q3_613690"/>
      <w:bookmarkEnd w:id="1800"/>
      <w:r>
        <w:rPr>
          <w:rFonts w:hint="cs"/>
          <w:rtl/>
        </w:rPr>
        <w:t>ש</w:t>
      </w:r>
      <w:bookmarkStart w:id="1801" w:name="_ETM_Q3_614530"/>
      <w:bookmarkEnd w:id="1801"/>
      <w:r>
        <w:rPr>
          <w:rFonts w:hint="cs"/>
          <w:rtl/>
        </w:rPr>
        <w:t xml:space="preserve">פועל </w:t>
      </w:r>
      <w:bookmarkStart w:id="1802" w:name="_ETM_Q3_614980"/>
      <w:bookmarkEnd w:id="1802"/>
      <w:r>
        <w:rPr>
          <w:rFonts w:hint="cs"/>
          <w:rtl/>
        </w:rPr>
        <w:t xml:space="preserve">תחתיו, </w:t>
      </w:r>
      <w:bookmarkStart w:id="1803" w:name="_ETM_Q3_615610"/>
      <w:bookmarkEnd w:id="1803"/>
      <w:r>
        <w:rPr>
          <w:rFonts w:hint="cs"/>
          <w:rtl/>
        </w:rPr>
        <w:t xml:space="preserve">וליועצת </w:t>
      </w:r>
      <w:bookmarkStart w:id="1804" w:name="_ETM_Q3_616060"/>
      <w:bookmarkEnd w:id="1804"/>
      <w:r>
        <w:rPr>
          <w:rFonts w:hint="cs"/>
          <w:rtl/>
        </w:rPr>
        <w:t xml:space="preserve">המשפטית </w:t>
      </w:r>
      <w:bookmarkStart w:id="1805" w:name="_ETM_Q3_616510"/>
      <w:bookmarkEnd w:id="1805"/>
      <w:r>
        <w:rPr>
          <w:rFonts w:hint="cs"/>
          <w:rtl/>
        </w:rPr>
        <w:t xml:space="preserve">לכנסת </w:t>
      </w:r>
      <w:bookmarkStart w:id="1806" w:name="_ETM_Q3_617050"/>
      <w:bookmarkEnd w:id="1806"/>
      <w:r>
        <w:rPr>
          <w:rFonts w:hint="cs"/>
          <w:rtl/>
        </w:rPr>
        <w:t xml:space="preserve">שליוותה </w:t>
      </w:r>
      <w:bookmarkStart w:id="1807" w:name="_ETM_Q3_617950"/>
      <w:bookmarkEnd w:id="1807"/>
      <w:r>
        <w:rPr>
          <w:rFonts w:hint="cs"/>
          <w:rtl/>
        </w:rPr>
        <w:t xml:space="preserve">גם </w:t>
      </w:r>
      <w:bookmarkStart w:id="1808" w:name="_ETM_Q3_618189"/>
      <w:bookmarkEnd w:id="1808"/>
      <w:r>
        <w:rPr>
          <w:rFonts w:hint="cs"/>
          <w:rtl/>
        </w:rPr>
        <w:t xml:space="preserve">את </w:t>
      </w:r>
      <w:bookmarkStart w:id="1809" w:name="_ETM_Q3_618340"/>
      <w:bookmarkEnd w:id="1809"/>
      <w:r>
        <w:rPr>
          <w:rFonts w:hint="cs"/>
          <w:rtl/>
        </w:rPr>
        <w:t xml:space="preserve">ההצבעות </w:t>
      </w:r>
      <w:bookmarkStart w:id="1810" w:name="_ETM_Q3_619239"/>
      <w:bookmarkEnd w:id="1810"/>
      <w:r>
        <w:rPr>
          <w:rFonts w:hint="cs"/>
          <w:rtl/>
        </w:rPr>
        <w:t xml:space="preserve">וגם </w:t>
      </w:r>
      <w:bookmarkStart w:id="1811" w:name="_ETM_Q3_619870"/>
      <w:bookmarkEnd w:id="1811"/>
      <w:r>
        <w:rPr>
          <w:rFonts w:hint="cs"/>
          <w:rtl/>
        </w:rPr>
        <w:t xml:space="preserve">את </w:t>
      </w:r>
      <w:bookmarkStart w:id="1812" w:name="_ETM_Q3_620560"/>
      <w:bookmarkEnd w:id="1812"/>
      <w:r>
        <w:rPr>
          <w:rFonts w:hint="cs"/>
          <w:rtl/>
        </w:rPr>
        <w:t xml:space="preserve">דיוני </w:t>
      </w:r>
      <w:bookmarkStart w:id="1813" w:name="_ETM_Q3_621249"/>
      <w:bookmarkEnd w:id="1813"/>
      <w:r>
        <w:rPr>
          <w:rFonts w:hint="cs"/>
          <w:rtl/>
        </w:rPr>
        <w:t>הוועדה.</w:t>
      </w:r>
    </w:p>
    <w:p w:rsidR="000C5C1F" w:rsidRDefault="000C5C1F" w:rsidP="000C5C1F">
      <w:pPr>
        <w:rPr>
          <w:rtl/>
        </w:rPr>
      </w:pPr>
    </w:p>
    <w:p w:rsidR="000C5C1F" w:rsidRDefault="000C5C1F" w:rsidP="000C5C1F">
      <w:pPr>
        <w:pStyle w:val="af8"/>
        <w:keepNext/>
        <w:rPr>
          <w:rtl/>
        </w:rPr>
      </w:pPr>
      <w:bookmarkStart w:id="1814" w:name="ET_interruption_6156_9"/>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814"/>
    </w:p>
    <w:p w:rsidR="000C5C1F" w:rsidRDefault="000C5C1F" w:rsidP="00337201">
      <w:pPr>
        <w:rPr>
          <w:rtl/>
        </w:rPr>
      </w:pPr>
    </w:p>
    <w:p w:rsidR="000C5C1F" w:rsidRDefault="000C5C1F" w:rsidP="000C5C1F">
      <w:pPr>
        <w:rPr>
          <w:rtl/>
        </w:rPr>
      </w:pPr>
      <w:r>
        <w:rPr>
          <w:rFonts w:hint="cs"/>
          <w:rtl/>
        </w:rPr>
        <w:t xml:space="preserve">בגלל זה הבוקר סתמת עוד פעם לייעוץ המשפטי את היכולת לדבר בוועדה? </w:t>
      </w:r>
    </w:p>
    <w:p w:rsidR="000C5C1F" w:rsidRDefault="000C5C1F" w:rsidP="000C5C1F">
      <w:pPr>
        <w:rPr>
          <w:rtl/>
        </w:rPr>
      </w:pPr>
    </w:p>
    <w:p w:rsidR="000C5C1F" w:rsidRDefault="000C5C1F" w:rsidP="000C5C1F">
      <w:pPr>
        <w:pStyle w:val="-"/>
        <w:rPr>
          <w:rtl/>
        </w:rPr>
      </w:pPr>
      <w:bookmarkStart w:id="1815" w:name="ET_speakercontinue_6464_55"/>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bookmarkEnd w:id="1815"/>
      <w:r>
        <w:rPr>
          <w:rStyle w:val="TagStyle"/>
          <w:rFonts w:hint="cs"/>
          <w:rtl/>
        </w:rPr>
        <w:t xml:space="preserve"> </w:t>
      </w:r>
    </w:p>
    <w:p w:rsidR="000C5C1F" w:rsidRDefault="000C5C1F" w:rsidP="000C5C1F">
      <w:pPr>
        <w:rPr>
          <w:rtl/>
          <w:lang w:eastAsia="he-IL"/>
        </w:rPr>
      </w:pPr>
    </w:p>
    <w:p w:rsidR="000C5C1F" w:rsidRDefault="000C5C1F" w:rsidP="000C5C1F">
      <w:pPr>
        <w:rPr>
          <w:rtl/>
        </w:rPr>
      </w:pPr>
      <w:bookmarkStart w:id="1816" w:name="_ETM_Q3_622340"/>
      <w:bookmarkStart w:id="1817" w:name="_ETM_Q3_622409"/>
      <w:bookmarkStart w:id="1818" w:name="_ETM_Q3_628720"/>
      <w:bookmarkStart w:id="1819" w:name="_ETM_Q3_629319"/>
      <w:bookmarkStart w:id="1820" w:name="_ETM_Q3_629650"/>
      <w:bookmarkStart w:id="1821" w:name="_ETM_Q3_630159"/>
      <w:bookmarkStart w:id="1822" w:name="_ETM_Q3_630579"/>
      <w:bookmarkStart w:id="1823" w:name="_ETM_Q3_630909"/>
      <w:bookmarkEnd w:id="1816"/>
      <w:bookmarkEnd w:id="1817"/>
      <w:bookmarkEnd w:id="1818"/>
      <w:bookmarkEnd w:id="1819"/>
      <w:bookmarkEnd w:id="1820"/>
      <w:bookmarkEnd w:id="1821"/>
      <w:bookmarkEnd w:id="1822"/>
      <w:bookmarkEnd w:id="1823"/>
      <w:r>
        <w:rPr>
          <w:rFonts w:hint="cs"/>
          <w:rtl/>
        </w:rPr>
        <w:t xml:space="preserve">אני רואה שאתה רואה שלא </w:t>
      </w:r>
      <w:bookmarkStart w:id="1824" w:name="_ETM_Q3_631150"/>
      <w:bookmarkEnd w:id="1824"/>
      <w:r>
        <w:rPr>
          <w:rFonts w:hint="cs"/>
          <w:rtl/>
        </w:rPr>
        <w:t xml:space="preserve">הזכרתי </w:t>
      </w:r>
      <w:bookmarkStart w:id="1825" w:name="_ETM_Q3_631510"/>
      <w:bookmarkEnd w:id="1825"/>
      <w:r>
        <w:rPr>
          <w:rFonts w:hint="cs"/>
          <w:rtl/>
        </w:rPr>
        <w:t xml:space="preserve">את </w:t>
      </w:r>
      <w:bookmarkStart w:id="1826" w:name="_ETM_Q3_631569"/>
      <w:bookmarkEnd w:id="1826"/>
      <w:r>
        <w:rPr>
          <w:rFonts w:hint="cs"/>
          <w:rtl/>
        </w:rPr>
        <w:t>שמ</w:t>
      </w:r>
      <w:bookmarkStart w:id="1827" w:name="_ETM_Q3_634113"/>
      <w:bookmarkStart w:id="1828" w:name="_ETM_Q3_631930"/>
      <w:bookmarkEnd w:id="1827"/>
      <w:bookmarkEnd w:id="1828"/>
      <w:r>
        <w:rPr>
          <w:rFonts w:hint="cs"/>
          <w:rtl/>
        </w:rPr>
        <w:t xml:space="preserve">ך – תודה </w:t>
      </w:r>
      <w:bookmarkStart w:id="1829" w:name="_ETM_Q3_632200"/>
      <w:bookmarkEnd w:id="1829"/>
      <w:r>
        <w:rPr>
          <w:rFonts w:hint="cs"/>
          <w:rtl/>
        </w:rPr>
        <w:t xml:space="preserve">מיוחדת </w:t>
      </w:r>
      <w:bookmarkStart w:id="1830" w:name="_ETM_Q3_632650"/>
      <w:bookmarkEnd w:id="1830"/>
      <w:r>
        <w:rPr>
          <w:rFonts w:hint="cs"/>
          <w:rtl/>
        </w:rPr>
        <w:t xml:space="preserve">לחבר </w:t>
      </w:r>
      <w:bookmarkStart w:id="1831" w:name="_ETM_Q3_633010"/>
      <w:bookmarkEnd w:id="1831"/>
      <w:r>
        <w:rPr>
          <w:rFonts w:hint="cs"/>
          <w:rtl/>
        </w:rPr>
        <w:t xml:space="preserve">הכנסת </w:t>
      </w:r>
      <w:bookmarkStart w:id="1832" w:name="_ETM_Q3_633340"/>
      <w:bookmarkEnd w:id="1832"/>
      <w:r>
        <w:rPr>
          <w:rFonts w:hint="cs"/>
          <w:rtl/>
        </w:rPr>
        <w:t xml:space="preserve">גלעד </w:t>
      </w:r>
      <w:bookmarkStart w:id="1833" w:name="_ETM_Q3_633670"/>
      <w:bookmarkEnd w:id="1833"/>
      <w:r>
        <w:rPr>
          <w:rFonts w:hint="cs"/>
          <w:rtl/>
        </w:rPr>
        <w:t xml:space="preserve">קריב, </w:t>
      </w:r>
      <w:bookmarkStart w:id="1834" w:name="_ETM_Q3_634599"/>
      <w:bookmarkEnd w:id="1834"/>
      <w:r>
        <w:rPr>
          <w:rFonts w:hint="cs"/>
          <w:rtl/>
        </w:rPr>
        <w:t xml:space="preserve">ששעות </w:t>
      </w:r>
      <w:bookmarkStart w:id="1835" w:name="_ETM_Q3_635319"/>
      <w:bookmarkEnd w:id="1835"/>
      <w:r>
        <w:rPr>
          <w:rFonts w:hint="cs"/>
          <w:rtl/>
        </w:rPr>
        <w:t xml:space="preserve">רבות </w:t>
      </w:r>
      <w:bookmarkStart w:id="1836" w:name="_ETM_Q3_635709"/>
      <w:bookmarkEnd w:id="1836"/>
      <w:r>
        <w:rPr>
          <w:rFonts w:hint="cs"/>
          <w:rtl/>
        </w:rPr>
        <w:t xml:space="preserve">מתוך </w:t>
      </w:r>
      <w:bookmarkStart w:id="1837" w:name="_ETM_Q3_636189"/>
      <w:bookmarkEnd w:id="1837"/>
      <w:r>
        <w:rPr>
          <w:rFonts w:hint="cs"/>
          <w:rtl/>
        </w:rPr>
        <w:t>ש</w:t>
      </w:r>
      <w:bookmarkStart w:id="1838" w:name="_ETM_Q3_636459"/>
      <w:bookmarkEnd w:id="1838"/>
      <w:r>
        <w:rPr>
          <w:rFonts w:hint="cs"/>
          <w:rtl/>
        </w:rPr>
        <w:t xml:space="preserve">עות דיוני </w:t>
      </w:r>
      <w:bookmarkStart w:id="1839" w:name="_ETM_Q3_636760"/>
      <w:bookmarkEnd w:id="1839"/>
      <w:r>
        <w:rPr>
          <w:rFonts w:hint="cs"/>
          <w:rtl/>
        </w:rPr>
        <w:t xml:space="preserve">הוועדה </w:t>
      </w:r>
      <w:bookmarkStart w:id="1840" w:name="_ETM_Q3_637269"/>
      <w:bookmarkEnd w:id="1840"/>
      <w:r>
        <w:rPr>
          <w:rFonts w:hint="cs"/>
          <w:rtl/>
        </w:rPr>
        <w:t xml:space="preserve">הוקדשו </w:t>
      </w:r>
      <w:bookmarkStart w:id="1841" w:name="_ETM_Q3_637750"/>
      <w:bookmarkEnd w:id="1841"/>
      <w:r>
        <w:rPr>
          <w:rFonts w:hint="cs"/>
          <w:rtl/>
        </w:rPr>
        <w:t xml:space="preserve">לשמוע </w:t>
      </w:r>
      <w:bookmarkStart w:id="1842" w:name="_ETM_Q3_638110"/>
      <w:bookmarkEnd w:id="1842"/>
      <w:r>
        <w:rPr>
          <w:rFonts w:hint="cs"/>
          <w:rtl/>
        </w:rPr>
        <w:t xml:space="preserve">את </w:t>
      </w:r>
      <w:bookmarkStart w:id="1843" w:name="_ETM_Q3_638200"/>
      <w:bookmarkEnd w:id="1843"/>
      <w:r>
        <w:rPr>
          <w:rFonts w:hint="cs"/>
          <w:rtl/>
        </w:rPr>
        <w:t xml:space="preserve">דבריו, </w:t>
      </w:r>
      <w:bookmarkStart w:id="1844" w:name="_ETM_Q3_639159"/>
      <w:bookmarkStart w:id="1845" w:name="_ETM_Q3_639370"/>
      <w:bookmarkEnd w:id="1844"/>
      <w:bookmarkEnd w:id="1845"/>
      <w:r>
        <w:rPr>
          <w:rFonts w:hint="cs"/>
          <w:rtl/>
        </w:rPr>
        <w:t xml:space="preserve">וכמובן </w:t>
      </w:r>
      <w:bookmarkStart w:id="1846" w:name="_ETM_Q3_639760"/>
      <w:bookmarkEnd w:id="1846"/>
      <w:r>
        <w:rPr>
          <w:rFonts w:hint="cs"/>
          <w:rtl/>
        </w:rPr>
        <w:t xml:space="preserve">אנחנו </w:t>
      </w:r>
      <w:bookmarkStart w:id="1847" w:name="_ETM_Q3_640720"/>
      <w:bookmarkEnd w:id="1847"/>
      <w:r>
        <w:rPr>
          <w:rFonts w:hint="cs"/>
          <w:rtl/>
        </w:rPr>
        <w:t xml:space="preserve">שמחים </w:t>
      </w:r>
      <w:bookmarkStart w:id="1848" w:name="_ETM_Q3_641200"/>
      <w:bookmarkEnd w:id="1848"/>
      <w:r>
        <w:rPr>
          <w:rFonts w:hint="cs"/>
          <w:rtl/>
        </w:rPr>
        <w:t xml:space="preserve">על </w:t>
      </w:r>
      <w:bookmarkStart w:id="1849" w:name="_ETM_Q3_641290"/>
      <w:bookmarkEnd w:id="1849"/>
      <w:r>
        <w:rPr>
          <w:rFonts w:hint="cs"/>
          <w:rtl/>
        </w:rPr>
        <w:t xml:space="preserve">תרומתו </w:t>
      </w:r>
      <w:bookmarkStart w:id="1850" w:name="_ETM_Q3_642520"/>
      <w:bookmarkEnd w:id="1850"/>
      <w:r>
        <w:rPr>
          <w:rFonts w:hint="cs"/>
          <w:rtl/>
        </w:rPr>
        <w:t xml:space="preserve">לקידום </w:t>
      </w:r>
      <w:bookmarkStart w:id="1851" w:name="_ETM_Q3_643240"/>
      <w:bookmarkEnd w:id="1851"/>
      <w:r>
        <w:rPr>
          <w:rFonts w:hint="cs"/>
          <w:rtl/>
        </w:rPr>
        <w:t xml:space="preserve">החקיקה. </w:t>
      </w:r>
      <w:bookmarkStart w:id="1852" w:name="_ETM_Q3_644500"/>
      <w:bookmarkEnd w:id="1852"/>
    </w:p>
    <w:p w:rsidR="000C5C1F" w:rsidRDefault="000C5C1F" w:rsidP="000C5C1F">
      <w:pPr>
        <w:rPr>
          <w:rtl/>
        </w:rPr>
      </w:pPr>
    </w:p>
    <w:p w:rsidR="000C5C1F" w:rsidRDefault="000C5C1F" w:rsidP="000C5C1F">
      <w:pPr>
        <w:pStyle w:val="af8"/>
        <w:keepNext/>
        <w:rPr>
          <w:rtl/>
        </w:rPr>
      </w:pPr>
      <w:bookmarkStart w:id="1853" w:name="ET_interruption_6156_13"/>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853"/>
    </w:p>
    <w:p w:rsidR="000C5C1F" w:rsidRDefault="000C5C1F" w:rsidP="00337201">
      <w:pPr>
        <w:rPr>
          <w:rtl/>
        </w:rPr>
      </w:pPr>
    </w:p>
    <w:p w:rsidR="000C5C1F" w:rsidRDefault="000C5C1F" w:rsidP="000C5C1F">
      <w:pPr>
        <w:rPr>
          <w:rtl/>
        </w:rPr>
      </w:pPr>
      <w:r>
        <w:rPr>
          <w:rFonts w:hint="cs"/>
          <w:rtl/>
        </w:rPr>
        <w:t xml:space="preserve">תכף </w:t>
      </w:r>
      <w:bookmarkStart w:id="1854" w:name="_ETM_Q3_641589"/>
      <w:bookmarkEnd w:id="1854"/>
      <w:r>
        <w:rPr>
          <w:rFonts w:hint="cs"/>
          <w:rtl/>
        </w:rPr>
        <w:t xml:space="preserve">תשמע אותי. </w:t>
      </w:r>
    </w:p>
    <w:p w:rsidR="000C5C1F" w:rsidRDefault="000C5C1F" w:rsidP="000C5C1F">
      <w:pPr>
        <w:rPr>
          <w:rtl/>
        </w:rPr>
      </w:pPr>
      <w:bookmarkStart w:id="1855" w:name="_ETM_Q3_644975"/>
      <w:bookmarkStart w:id="1856" w:name="_ETM_Q3_645042"/>
      <w:bookmarkEnd w:id="1855"/>
      <w:bookmarkEnd w:id="1856"/>
    </w:p>
    <w:p w:rsidR="000C5C1F" w:rsidRDefault="000C5C1F" w:rsidP="000C5C1F">
      <w:pPr>
        <w:pStyle w:val="-"/>
        <w:keepNext/>
        <w:rPr>
          <w:rtl/>
        </w:rPr>
      </w:pPr>
      <w:bookmarkStart w:id="1857" w:name="ET_speakercontinue_6157_14"/>
      <w:r>
        <w:rPr>
          <w:rStyle w:val="TagStyle"/>
          <w:rFonts w:hint="cs"/>
          <w:rtl/>
        </w:rPr>
        <w:t xml:space="preserve">&lt;&lt;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1857"/>
    </w:p>
    <w:p w:rsidR="000C5C1F" w:rsidRDefault="000C5C1F" w:rsidP="00337201">
      <w:pPr>
        <w:rPr>
          <w:rtl/>
        </w:rPr>
      </w:pPr>
    </w:p>
    <w:p w:rsidR="000C5C1F" w:rsidRDefault="000C5C1F" w:rsidP="000C5C1F">
      <w:pPr>
        <w:rPr>
          <w:rtl/>
        </w:rPr>
      </w:pPr>
      <w:bookmarkStart w:id="1858" w:name="_ETM_Q3_646598"/>
      <w:bookmarkEnd w:id="1858"/>
      <w:r>
        <w:rPr>
          <w:rFonts w:hint="cs"/>
          <w:rtl/>
        </w:rPr>
        <w:t xml:space="preserve">אני </w:t>
      </w:r>
      <w:bookmarkStart w:id="1859" w:name="_ETM_Q3_645460"/>
      <w:bookmarkEnd w:id="1859"/>
      <w:r>
        <w:rPr>
          <w:rFonts w:hint="cs"/>
          <w:rtl/>
        </w:rPr>
        <w:t>בטוח.</w:t>
      </w:r>
    </w:p>
    <w:p w:rsidR="000C5C1F" w:rsidRDefault="000C5C1F" w:rsidP="000C5C1F">
      <w:pPr>
        <w:rPr>
          <w:rtl/>
        </w:rPr>
      </w:pPr>
      <w:bookmarkStart w:id="1860" w:name="_ETM_Q3_651820"/>
      <w:bookmarkEnd w:id="1860"/>
    </w:p>
    <w:p w:rsidR="000C5C1F" w:rsidRDefault="000C5C1F" w:rsidP="000C5C1F">
      <w:pPr>
        <w:rPr>
          <w:rtl/>
        </w:rPr>
      </w:pPr>
      <w:bookmarkStart w:id="1861" w:name="_ETM_Q3_652018"/>
      <w:bookmarkStart w:id="1862" w:name="_ETM_Q3_652049"/>
      <w:bookmarkStart w:id="1863" w:name="_ETM_Q3_652140"/>
      <w:bookmarkStart w:id="1864" w:name="_ETM_Q3_646620"/>
      <w:bookmarkEnd w:id="1861"/>
      <w:bookmarkEnd w:id="1862"/>
      <w:bookmarkEnd w:id="1863"/>
      <w:bookmarkEnd w:id="1864"/>
      <w:r>
        <w:rPr>
          <w:rFonts w:hint="cs"/>
          <w:rtl/>
        </w:rPr>
        <w:t xml:space="preserve">וכמובן </w:t>
      </w:r>
      <w:bookmarkStart w:id="1865" w:name="_ETM_Q3_647190"/>
      <w:bookmarkEnd w:id="1865"/>
      <w:r>
        <w:rPr>
          <w:rFonts w:hint="cs"/>
          <w:rtl/>
        </w:rPr>
        <w:t xml:space="preserve">לצוות </w:t>
      </w:r>
      <w:bookmarkStart w:id="1866" w:name="_ETM_Q3_647610"/>
      <w:bookmarkEnd w:id="1866"/>
      <w:r>
        <w:rPr>
          <w:rFonts w:hint="cs"/>
          <w:rtl/>
        </w:rPr>
        <w:t xml:space="preserve">שלי, </w:t>
      </w:r>
      <w:bookmarkStart w:id="1867" w:name="_ETM_Q3_649450"/>
      <w:bookmarkEnd w:id="1867"/>
      <w:r>
        <w:rPr>
          <w:rFonts w:hint="cs"/>
          <w:rtl/>
        </w:rPr>
        <w:t xml:space="preserve">ובראשם </w:t>
      </w:r>
      <w:bookmarkStart w:id="1868" w:name="_ETM_Q3_650770"/>
      <w:bookmarkEnd w:id="1868"/>
      <w:r>
        <w:rPr>
          <w:rFonts w:hint="cs"/>
          <w:rtl/>
        </w:rPr>
        <w:t xml:space="preserve">לגלי, </w:t>
      </w:r>
      <w:bookmarkStart w:id="1869" w:name="_ETM_Q3_651220"/>
      <w:bookmarkStart w:id="1870" w:name="_ETM_Q3_651580"/>
      <w:bookmarkEnd w:id="1869"/>
      <w:bookmarkEnd w:id="1870"/>
      <w:r>
        <w:rPr>
          <w:rFonts w:hint="cs"/>
          <w:rtl/>
        </w:rPr>
        <w:t xml:space="preserve">שריכזה </w:t>
      </w:r>
      <w:bookmarkStart w:id="1871" w:name="_ETM_Q3_651910"/>
      <w:bookmarkEnd w:id="1871"/>
      <w:r>
        <w:rPr>
          <w:rFonts w:hint="cs"/>
          <w:rtl/>
        </w:rPr>
        <w:t xml:space="preserve">את </w:t>
      </w:r>
      <w:bookmarkStart w:id="1872" w:name="_ETM_Q3_652180"/>
      <w:bookmarkEnd w:id="1872"/>
      <w:r>
        <w:rPr>
          <w:rFonts w:hint="cs"/>
          <w:rtl/>
        </w:rPr>
        <w:t xml:space="preserve">דיוני </w:t>
      </w:r>
      <w:bookmarkStart w:id="1873" w:name="_ETM_Q3_652480"/>
      <w:bookmarkEnd w:id="1873"/>
      <w:r>
        <w:rPr>
          <w:rFonts w:hint="cs"/>
          <w:rtl/>
        </w:rPr>
        <w:t xml:space="preserve">הוועדה </w:t>
      </w:r>
      <w:bookmarkStart w:id="1874" w:name="_ETM_Q3_652989"/>
      <w:bookmarkEnd w:id="1874"/>
      <w:r>
        <w:rPr>
          <w:rFonts w:hint="cs"/>
          <w:rtl/>
        </w:rPr>
        <w:t xml:space="preserve">בשעות </w:t>
      </w:r>
      <w:bookmarkStart w:id="1875" w:name="_ETM_Q3_653680"/>
      <w:bookmarkEnd w:id="1875"/>
      <w:r>
        <w:rPr>
          <w:rFonts w:hint="cs"/>
          <w:rtl/>
        </w:rPr>
        <w:t xml:space="preserve">לא </w:t>
      </w:r>
      <w:bookmarkStart w:id="1876" w:name="_ETM_Q3_653830"/>
      <w:bookmarkEnd w:id="1876"/>
      <w:r>
        <w:rPr>
          <w:rFonts w:hint="cs"/>
          <w:rtl/>
        </w:rPr>
        <w:t xml:space="preserve">שעות. </w:t>
      </w:r>
      <w:bookmarkStart w:id="1877" w:name="_ETM_Q3_654160"/>
      <w:bookmarkEnd w:id="1877"/>
      <w:r>
        <w:rPr>
          <w:rFonts w:hint="cs"/>
          <w:rtl/>
        </w:rPr>
        <w:t xml:space="preserve">אני </w:t>
      </w:r>
      <w:bookmarkStart w:id="1878" w:name="_ETM_Q3_654250"/>
      <w:bookmarkEnd w:id="1878"/>
      <w:r>
        <w:rPr>
          <w:rFonts w:hint="cs"/>
          <w:rtl/>
        </w:rPr>
        <w:t xml:space="preserve">לא </w:t>
      </w:r>
      <w:bookmarkStart w:id="1879" w:name="_ETM_Q3_654340"/>
      <w:bookmarkEnd w:id="1879"/>
      <w:r>
        <w:rPr>
          <w:rFonts w:hint="cs"/>
          <w:rtl/>
        </w:rPr>
        <w:t xml:space="preserve">אזכיר </w:t>
      </w:r>
      <w:bookmarkStart w:id="1880" w:name="_ETM_Q3_654610"/>
      <w:bookmarkEnd w:id="1880"/>
      <w:r>
        <w:rPr>
          <w:rFonts w:hint="cs"/>
          <w:rtl/>
        </w:rPr>
        <w:t xml:space="preserve">את </w:t>
      </w:r>
      <w:bookmarkStart w:id="1881" w:name="_ETM_Q3_654700"/>
      <w:bookmarkEnd w:id="1881"/>
      <w:r>
        <w:rPr>
          <w:rFonts w:hint="cs"/>
          <w:rtl/>
        </w:rPr>
        <w:t xml:space="preserve">כולם </w:t>
      </w:r>
      <w:bookmarkStart w:id="1882" w:name="_ETM_Q3_654940"/>
      <w:bookmarkEnd w:id="1882"/>
      <w:r>
        <w:rPr>
          <w:rFonts w:hint="cs"/>
          <w:rtl/>
        </w:rPr>
        <w:t>בשמות</w:t>
      </w:r>
      <w:bookmarkStart w:id="1883" w:name="_ETM_Q3_655209"/>
      <w:bookmarkEnd w:id="1883"/>
      <w:r>
        <w:rPr>
          <w:rFonts w:hint="cs"/>
          <w:rtl/>
        </w:rPr>
        <w:t xml:space="preserve">יהם, </w:t>
      </w:r>
      <w:bookmarkStart w:id="1884" w:name="_ETM_Q3_655420"/>
      <w:bookmarkEnd w:id="1884"/>
      <w:r>
        <w:rPr>
          <w:rFonts w:hint="cs"/>
          <w:rtl/>
        </w:rPr>
        <w:t xml:space="preserve">זה </w:t>
      </w:r>
      <w:bookmarkStart w:id="1885" w:name="_ETM_Q3_655569"/>
      <w:bookmarkEnd w:id="1885"/>
      <w:r>
        <w:rPr>
          <w:rFonts w:hint="cs"/>
          <w:rtl/>
        </w:rPr>
        <w:t xml:space="preserve">אולי </w:t>
      </w:r>
      <w:bookmarkStart w:id="1886" w:name="_ETM_Q3_655780"/>
      <w:bookmarkEnd w:id="1886"/>
      <w:r>
        <w:rPr>
          <w:rFonts w:hint="cs"/>
          <w:rtl/>
        </w:rPr>
        <w:t xml:space="preserve">בסוף, </w:t>
      </w:r>
      <w:bookmarkStart w:id="1887" w:name="_ETM_Q3_656200"/>
      <w:bookmarkEnd w:id="1887"/>
      <w:r>
        <w:rPr>
          <w:rFonts w:hint="cs"/>
          <w:rtl/>
        </w:rPr>
        <w:t xml:space="preserve">אבל </w:t>
      </w:r>
      <w:bookmarkStart w:id="1888" w:name="_ETM_Q3_657160"/>
      <w:bookmarkEnd w:id="1888"/>
      <w:r>
        <w:rPr>
          <w:rFonts w:hint="cs"/>
          <w:rtl/>
        </w:rPr>
        <w:t xml:space="preserve">מי </w:t>
      </w:r>
      <w:bookmarkStart w:id="1889" w:name="_ETM_Q3_657310"/>
      <w:bookmarkEnd w:id="1889"/>
      <w:r>
        <w:rPr>
          <w:rFonts w:hint="cs"/>
          <w:rtl/>
        </w:rPr>
        <w:t xml:space="preserve">שמרכזת </w:t>
      </w:r>
      <w:bookmarkStart w:id="1890" w:name="_ETM_Q3_657970"/>
      <w:bookmarkEnd w:id="1890"/>
      <w:r>
        <w:rPr>
          <w:rFonts w:hint="cs"/>
          <w:rtl/>
        </w:rPr>
        <w:t xml:space="preserve">את </w:t>
      </w:r>
      <w:bookmarkStart w:id="1891" w:name="_ETM_Q3_658120"/>
      <w:bookmarkEnd w:id="1891"/>
      <w:r>
        <w:rPr>
          <w:rFonts w:hint="cs"/>
          <w:rtl/>
        </w:rPr>
        <w:t xml:space="preserve">הוועדה </w:t>
      </w:r>
      <w:bookmarkStart w:id="1892" w:name="_ETM_Q3_658629"/>
      <w:bookmarkEnd w:id="1892"/>
      <w:r>
        <w:rPr>
          <w:rFonts w:hint="cs"/>
          <w:rtl/>
        </w:rPr>
        <w:t xml:space="preserve">ואת </w:t>
      </w:r>
      <w:bookmarkStart w:id="1893" w:name="_ETM_Q3_658840"/>
      <w:bookmarkEnd w:id="1893"/>
      <w:r>
        <w:rPr>
          <w:rFonts w:hint="cs"/>
          <w:rtl/>
        </w:rPr>
        <w:t xml:space="preserve">עבודתה </w:t>
      </w:r>
      <w:bookmarkStart w:id="1894" w:name="_ETM_Q3_659260"/>
      <w:bookmarkEnd w:id="1894"/>
      <w:r>
        <w:rPr>
          <w:rFonts w:hint="cs"/>
          <w:rtl/>
        </w:rPr>
        <w:t xml:space="preserve">אצלי </w:t>
      </w:r>
      <w:bookmarkStart w:id="1895" w:name="_ETM_Q3_660610"/>
      <w:bookmarkEnd w:id="1895"/>
      <w:r>
        <w:rPr>
          <w:rFonts w:hint="cs"/>
          <w:rtl/>
        </w:rPr>
        <w:t xml:space="preserve">עשתה </w:t>
      </w:r>
      <w:bookmarkStart w:id="1896" w:name="_ETM_Q3_661209"/>
      <w:bookmarkEnd w:id="1896"/>
      <w:r>
        <w:rPr>
          <w:rFonts w:hint="cs"/>
          <w:rtl/>
        </w:rPr>
        <w:t xml:space="preserve">והשקיעה </w:t>
      </w:r>
      <w:bookmarkStart w:id="1897" w:name="_ETM_Q3_661720"/>
      <w:bookmarkEnd w:id="1897"/>
      <w:r>
        <w:rPr>
          <w:rFonts w:hint="cs"/>
          <w:rtl/>
        </w:rPr>
        <w:t xml:space="preserve">רבות </w:t>
      </w:r>
      <w:bookmarkStart w:id="1898" w:name="_ETM_Q3_662319"/>
      <w:bookmarkEnd w:id="1898"/>
      <w:r>
        <w:rPr>
          <w:rFonts w:hint="cs"/>
          <w:rtl/>
        </w:rPr>
        <w:t xml:space="preserve">בנושא </w:t>
      </w:r>
      <w:bookmarkStart w:id="1899" w:name="_ETM_Q3_662709"/>
      <w:bookmarkEnd w:id="1899"/>
      <w:r>
        <w:rPr>
          <w:rFonts w:hint="cs"/>
          <w:rtl/>
        </w:rPr>
        <w:t xml:space="preserve">זה. </w:t>
      </w:r>
      <w:bookmarkStart w:id="1900" w:name="_ETM_Q3_663430"/>
      <w:bookmarkEnd w:id="1900"/>
    </w:p>
    <w:p w:rsidR="000C5C1F" w:rsidRDefault="000C5C1F" w:rsidP="000C5C1F">
      <w:pPr>
        <w:rPr>
          <w:rtl/>
        </w:rPr>
      </w:pPr>
      <w:bookmarkStart w:id="1901" w:name="_ETM_Q3_666466"/>
      <w:bookmarkStart w:id="1902" w:name="_ETM_Q3_666537"/>
      <w:bookmarkEnd w:id="1901"/>
      <w:bookmarkEnd w:id="1902"/>
    </w:p>
    <w:p w:rsidR="000C5C1F" w:rsidRDefault="000C5C1F" w:rsidP="000C5C1F">
      <w:pPr>
        <w:pStyle w:val="af8"/>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0C5C1F" w:rsidRDefault="000C5C1F" w:rsidP="00337201">
      <w:pPr>
        <w:rPr>
          <w:rtl/>
        </w:rPr>
      </w:pPr>
    </w:p>
    <w:p w:rsidR="000C5C1F" w:rsidRDefault="000C5C1F" w:rsidP="000C5C1F">
      <w:pPr>
        <w:rPr>
          <w:rtl/>
        </w:rPr>
      </w:pPr>
      <w:r>
        <w:rPr>
          <w:rFonts w:hint="cs"/>
          <w:rtl/>
        </w:rPr>
        <w:t xml:space="preserve">שכחת את התודה לפורום </w:t>
      </w:r>
      <w:bookmarkStart w:id="1903" w:name="_ETM_Q3_667892"/>
      <w:bookmarkEnd w:id="1903"/>
      <w:r>
        <w:rPr>
          <w:rFonts w:hint="cs"/>
          <w:rtl/>
        </w:rPr>
        <w:t>קהלת.</w:t>
      </w:r>
    </w:p>
    <w:p w:rsidR="000C5C1F" w:rsidRDefault="000C5C1F" w:rsidP="000C5C1F">
      <w:pPr>
        <w:rPr>
          <w:rtl/>
        </w:rPr>
      </w:pPr>
      <w:bookmarkStart w:id="1904" w:name="_ETM_Q3_665686"/>
      <w:bookmarkStart w:id="1905" w:name="_ETM_Q3_665773"/>
      <w:bookmarkEnd w:id="1904"/>
      <w:bookmarkEnd w:id="1905"/>
    </w:p>
    <w:p w:rsidR="000C5C1F" w:rsidRDefault="000C5C1F" w:rsidP="000C5C1F">
      <w:pPr>
        <w:pStyle w:val="-"/>
        <w:keepNext/>
        <w:rPr>
          <w:rtl/>
        </w:rPr>
      </w:pPr>
      <w:r>
        <w:rPr>
          <w:rStyle w:val="TagStyle"/>
          <w:rFonts w:hint="cs"/>
          <w:rtl/>
        </w:rPr>
        <w:t xml:space="preserve">&lt;&lt;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p>
    <w:p w:rsidR="000C5C1F" w:rsidRDefault="000C5C1F" w:rsidP="00337201">
      <w:pPr>
        <w:rPr>
          <w:rtl/>
        </w:rPr>
      </w:pPr>
    </w:p>
    <w:p w:rsidR="000C5C1F" w:rsidRDefault="000C5C1F" w:rsidP="000C5C1F">
      <w:pPr>
        <w:rPr>
          <w:rtl/>
        </w:rPr>
      </w:pPr>
      <w:bookmarkStart w:id="1906" w:name="_ETM_Q3_667417"/>
      <w:bookmarkStart w:id="1907" w:name="_ETM_Q3_667010"/>
      <w:bookmarkStart w:id="1908" w:name="_ETM_Q3_667077"/>
      <w:bookmarkStart w:id="1909" w:name="_ETM_Q3_664180"/>
      <w:bookmarkStart w:id="1910" w:name="_ETM_Q3_666250"/>
      <w:bookmarkStart w:id="1911" w:name="_ETM_Q3_667330"/>
      <w:bookmarkStart w:id="1912" w:name="_ETM_Q3_667870"/>
      <w:bookmarkEnd w:id="1906"/>
      <w:bookmarkEnd w:id="1907"/>
      <w:bookmarkEnd w:id="1908"/>
      <w:bookmarkEnd w:id="1909"/>
      <w:bookmarkEnd w:id="1910"/>
      <w:bookmarkEnd w:id="1911"/>
      <w:bookmarkEnd w:id="1912"/>
      <w:r>
        <w:rPr>
          <w:rFonts w:hint="cs"/>
          <w:rtl/>
        </w:rPr>
        <w:t xml:space="preserve">זה </w:t>
      </w:r>
      <w:bookmarkStart w:id="1913" w:name="_ETM_Q3_668019"/>
      <w:bookmarkEnd w:id="1913"/>
      <w:r>
        <w:rPr>
          <w:rFonts w:hint="cs"/>
          <w:rtl/>
        </w:rPr>
        <w:t xml:space="preserve">בדברי </w:t>
      </w:r>
      <w:bookmarkStart w:id="1914" w:name="_ETM_Q3_668379"/>
      <w:bookmarkEnd w:id="1914"/>
      <w:r>
        <w:rPr>
          <w:rFonts w:hint="cs"/>
          <w:rtl/>
        </w:rPr>
        <w:t xml:space="preserve">הסיכום. </w:t>
      </w:r>
      <w:bookmarkStart w:id="1915" w:name="_ETM_Q3_668769"/>
      <w:bookmarkEnd w:id="1915"/>
      <w:r>
        <w:rPr>
          <w:rFonts w:hint="cs"/>
          <w:rtl/>
        </w:rPr>
        <w:t xml:space="preserve">אני </w:t>
      </w:r>
      <w:bookmarkStart w:id="1916" w:name="_ETM_Q3_668890"/>
      <w:bookmarkEnd w:id="1916"/>
      <w:r>
        <w:rPr>
          <w:rFonts w:hint="cs"/>
          <w:rtl/>
        </w:rPr>
        <w:t xml:space="preserve">סומך </w:t>
      </w:r>
      <w:bookmarkStart w:id="1917" w:name="_ETM_Q3_669190"/>
      <w:bookmarkEnd w:id="1917"/>
      <w:r>
        <w:rPr>
          <w:rFonts w:hint="cs"/>
          <w:rtl/>
        </w:rPr>
        <w:t xml:space="preserve">עליך </w:t>
      </w:r>
      <w:bookmarkStart w:id="1918" w:name="_ETM_Q3_669459"/>
      <w:bookmarkEnd w:id="1918"/>
      <w:r>
        <w:rPr>
          <w:rFonts w:hint="cs"/>
          <w:rtl/>
        </w:rPr>
        <w:t xml:space="preserve">שאתה </w:t>
      </w:r>
      <w:bookmarkStart w:id="1919" w:name="_ETM_Q3_669790"/>
      <w:bookmarkEnd w:id="1919"/>
      <w:r>
        <w:rPr>
          <w:rFonts w:hint="cs"/>
          <w:rtl/>
        </w:rPr>
        <w:t xml:space="preserve">תודה. </w:t>
      </w:r>
      <w:bookmarkStart w:id="1920" w:name="_ETM_Q3_671370"/>
      <w:bookmarkStart w:id="1921" w:name="_ETM_Q3_673340"/>
      <w:bookmarkStart w:id="1922" w:name="_ETM_Q3_673425"/>
      <w:bookmarkStart w:id="1923" w:name="_ETM_Q3_673676"/>
      <w:bookmarkStart w:id="1924" w:name="_ETM_Q3_673769"/>
      <w:bookmarkEnd w:id="1920"/>
      <w:bookmarkEnd w:id="1921"/>
      <w:bookmarkEnd w:id="1922"/>
      <w:bookmarkEnd w:id="1923"/>
      <w:bookmarkEnd w:id="1924"/>
    </w:p>
    <w:p w:rsidR="000C5C1F" w:rsidRDefault="000C5C1F" w:rsidP="000C5C1F">
      <w:pPr>
        <w:rPr>
          <w:rtl/>
        </w:rPr>
      </w:pPr>
      <w:bookmarkStart w:id="1925" w:name="_ETM_Q3_677802"/>
      <w:bookmarkStart w:id="1926" w:name="_ETM_Q3_677904"/>
      <w:bookmarkStart w:id="1927" w:name="_ETM_Q3_677965"/>
      <w:bookmarkEnd w:id="1925"/>
      <w:bookmarkEnd w:id="1926"/>
      <w:bookmarkEnd w:id="1927"/>
    </w:p>
    <w:p w:rsidR="000C5C1F" w:rsidRDefault="000C5C1F" w:rsidP="000C5C1F">
      <w:pPr>
        <w:rPr>
          <w:rtl/>
        </w:rPr>
      </w:pPr>
      <w:bookmarkStart w:id="1928" w:name="_ETM_Q3_678035"/>
      <w:bookmarkEnd w:id="1928"/>
      <w:r>
        <w:rPr>
          <w:rFonts w:hint="cs"/>
          <w:rtl/>
        </w:rPr>
        <w:t xml:space="preserve">כמובן </w:t>
      </w:r>
      <w:bookmarkStart w:id="1929" w:name="_ETM_Q3_672900"/>
      <w:bookmarkEnd w:id="1929"/>
      <w:r>
        <w:rPr>
          <w:rFonts w:hint="cs"/>
          <w:rtl/>
        </w:rPr>
        <w:t xml:space="preserve">להצעה </w:t>
      </w:r>
      <w:bookmarkStart w:id="1930" w:name="_ETM_Q3_673859"/>
      <w:bookmarkEnd w:id="1930"/>
      <w:r>
        <w:rPr>
          <w:rFonts w:hint="cs"/>
          <w:rtl/>
        </w:rPr>
        <w:t xml:space="preserve">הוגשו </w:t>
      </w:r>
      <w:bookmarkStart w:id="1931" w:name="_ETM_Q3_674430"/>
      <w:bookmarkEnd w:id="1931"/>
      <w:r>
        <w:rPr>
          <w:rFonts w:hint="cs"/>
          <w:rtl/>
        </w:rPr>
        <w:t xml:space="preserve">הסתייגויות </w:t>
      </w:r>
      <w:bookmarkStart w:id="1932" w:name="_ETM_Q3_675180"/>
      <w:bookmarkEnd w:id="1932"/>
      <w:r>
        <w:rPr>
          <w:rFonts w:hint="cs"/>
          <w:rtl/>
        </w:rPr>
        <w:t xml:space="preserve">רבות, </w:t>
      </w:r>
      <w:bookmarkStart w:id="1933" w:name="_ETM_Q3_676459"/>
      <w:bookmarkEnd w:id="1933"/>
      <w:r>
        <w:rPr>
          <w:rFonts w:hint="cs"/>
          <w:rtl/>
        </w:rPr>
        <w:t xml:space="preserve">רובן </w:t>
      </w:r>
      <w:bookmarkStart w:id="1934" w:name="_ETM_Q3_676849"/>
      <w:bookmarkEnd w:id="1934"/>
      <w:r>
        <w:rPr>
          <w:rFonts w:hint="cs"/>
          <w:rtl/>
        </w:rPr>
        <w:t xml:space="preserve">המוחלט </w:t>
      </w:r>
      <w:bookmarkStart w:id="1935" w:name="_ETM_Q3_678650"/>
      <w:bookmarkEnd w:id="1935"/>
      <w:r>
        <w:rPr>
          <w:rFonts w:hint="cs"/>
          <w:rtl/>
        </w:rPr>
        <w:t xml:space="preserve">הן הסתייגויות </w:t>
      </w:r>
      <w:bookmarkStart w:id="1936" w:name="_ETM_Q3_679340"/>
      <w:bookmarkEnd w:id="1936"/>
      <w:r>
        <w:rPr>
          <w:rFonts w:hint="cs"/>
          <w:rtl/>
        </w:rPr>
        <w:t xml:space="preserve">לא </w:t>
      </w:r>
      <w:bookmarkStart w:id="1937" w:name="_ETM_Q3_679489"/>
      <w:bookmarkEnd w:id="1937"/>
      <w:r>
        <w:rPr>
          <w:rFonts w:hint="cs"/>
          <w:rtl/>
        </w:rPr>
        <w:t>ענייניות.</w:t>
      </w:r>
    </w:p>
    <w:p w:rsidR="000C5C1F" w:rsidRDefault="000C5C1F" w:rsidP="000C5C1F">
      <w:pPr>
        <w:rPr>
          <w:rtl/>
        </w:rPr>
      </w:pPr>
      <w:bookmarkStart w:id="1938" w:name="_ETM_Q3_683293"/>
      <w:bookmarkStart w:id="1939" w:name="_ETM_Q3_683407"/>
      <w:bookmarkEnd w:id="1938"/>
      <w:bookmarkEnd w:id="1939"/>
    </w:p>
    <w:p w:rsidR="000C5C1F" w:rsidRDefault="000C5C1F" w:rsidP="000C5C1F">
      <w:pPr>
        <w:pStyle w:val="af8"/>
        <w:keepNext/>
        <w:rPr>
          <w:rtl/>
        </w:rPr>
      </w:pPr>
      <w:bookmarkStart w:id="1940" w:name="ET_interruption_6128_17"/>
      <w:r>
        <w:rPr>
          <w:rStyle w:val="TagStyle"/>
          <w:rFonts w:hint="cs"/>
          <w:rtl/>
        </w:rPr>
        <w:t xml:space="preserve"> &lt;&lt; קריאה &gt;&gt; </w:t>
      </w:r>
      <w:r>
        <w:rPr>
          <w:rFonts w:hint="cs"/>
          <w:rtl/>
        </w:rPr>
        <w:t>משה טור פז (יש עתיד):</w:t>
      </w:r>
      <w:r>
        <w:rPr>
          <w:rStyle w:val="TagStyle"/>
          <w:rtl/>
        </w:rPr>
        <w:t xml:space="preserve"> &lt;&lt; קריאה &gt;&gt;</w:t>
      </w:r>
      <w:r>
        <w:rPr>
          <w:rFonts w:hint="cs"/>
          <w:rtl/>
        </w:rPr>
        <w:t xml:space="preserve">   </w:t>
      </w:r>
      <w:bookmarkEnd w:id="1940"/>
    </w:p>
    <w:p w:rsidR="000C5C1F" w:rsidRDefault="000C5C1F" w:rsidP="00337201">
      <w:pPr>
        <w:rPr>
          <w:rtl/>
        </w:rPr>
      </w:pPr>
    </w:p>
    <w:p w:rsidR="000C5C1F" w:rsidRDefault="000C5C1F" w:rsidP="000C5C1F">
      <w:pPr>
        <w:rPr>
          <w:rtl/>
        </w:rPr>
      </w:pPr>
      <w:bookmarkStart w:id="1941" w:name="_ETM_Q3_681929"/>
      <w:bookmarkStart w:id="1942" w:name="_ETM_Q3_682084"/>
      <w:bookmarkEnd w:id="1941"/>
      <w:bookmarkEnd w:id="1942"/>
      <w:r>
        <w:rPr>
          <w:rFonts w:hint="cs"/>
          <w:rtl/>
        </w:rPr>
        <w:t xml:space="preserve">מעט מאוד הסתייגויות לעומת מה שהיה צריך. </w:t>
      </w:r>
    </w:p>
    <w:p w:rsidR="000C5C1F" w:rsidRDefault="000C5C1F" w:rsidP="000C5C1F">
      <w:pPr>
        <w:rPr>
          <w:rtl/>
        </w:rPr>
      </w:pPr>
      <w:bookmarkStart w:id="1943" w:name="_ETM_Q3_679722"/>
      <w:bookmarkStart w:id="1944" w:name="_ETM_Q3_679833"/>
      <w:bookmarkEnd w:id="1943"/>
      <w:bookmarkEnd w:id="1944"/>
    </w:p>
    <w:p w:rsidR="000C5C1F" w:rsidRDefault="000C5C1F" w:rsidP="000C5C1F">
      <w:pPr>
        <w:pStyle w:val="-"/>
        <w:keepNext/>
        <w:rPr>
          <w:rtl/>
        </w:rPr>
      </w:pPr>
      <w:r>
        <w:rPr>
          <w:rStyle w:val="TagStyle"/>
          <w:rFonts w:hint="cs"/>
          <w:rtl/>
        </w:rPr>
        <w:t xml:space="preserve">&lt;&lt;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p>
    <w:p w:rsidR="000C5C1F" w:rsidRDefault="000C5C1F" w:rsidP="00337201">
      <w:pPr>
        <w:rPr>
          <w:rtl/>
        </w:rPr>
      </w:pPr>
    </w:p>
    <w:p w:rsidR="000C5C1F" w:rsidRDefault="000C5C1F" w:rsidP="000C5C1F">
      <w:pPr>
        <w:rPr>
          <w:rtl/>
        </w:rPr>
      </w:pPr>
      <w:bookmarkStart w:id="1945" w:name="_ETM_Q3_681208"/>
      <w:bookmarkStart w:id="1946" w:name="_ETM_Q3_681120"/>
      <w:bookmarkStart w:id="1947" w:name="_ETM_Q3_682640"/>
      <w:bookmarkEnd w:id="1945"/>
      <w:bookmarkEnd w:id="1946"/>
      <w:bookmarkEnd w:id="1947"/>
      <w:r>
        <w:rPr>
          <w:rFonts w:hint="cs"/>
          <w:rtl/>
        </w:rPr>
        <w:t xml:space="preserve">רובן </w:t>
      </w:r>
      <w:bookmarkStart w:id="1948" w:name="_ETM_Q3_683120"/>
      <w:bookmarkEnd w:id="1948"/>
      <w:r>
        <w:rPr>
          <w:rFonts w:hint="cs"/>
          <w:rtl/>
        </w:rPr>
        <w:t xml:space="preserve">המוחלט </w:t>
      </w:r>
      <w:bookmarkStart w:id="1949" w:name="_ETM_Q3_683510"/>
      <w:bookmarkEnd w:id="1949"/>
      <w:r>
        <w:rPr>
          <w:rFonts w:hint="cs"/>
          <w:rtl/>
        </w:rPr>
        <w:t xml:space="preserve">הן הסתייגויות </w:t>
      </w:r>
      <w:bookmarkStart w:id="1950" w:name="_ETM_Q3_683989"/>
      <w:bookmarkEnd w:id="1950"/>
      <w:r>
        <w:rPr>
          <w:rFonts w:hint="cs"/>
          <w:rtl/>
        </w:rPr>
        <w:t xml:space="preserve">לא </w:t>
      </w:r>
      <w:bookmarkStart w:id="1951" w:name="_ETM_Q3_684110"/>
      <w:bookmarkEnd w:id="1951"/>
      <w:r>
        <w:rPr>
          <w:rFonts w:hint="cs"/>
          <w:rtl/>
        </w:rPr>
        <w:t xml:space="preserve">ענייניות. </w:t>
      </w:r>
      <w:bookmarkStart w:id="1952" w:name="_ETM_Q3_685239"/>
      <w:bookmarkStart w:id="1953" w:name="_ETM_Q3_685839"/>
      <w:bookmarkEnd w:id="1952"/>
      <w:bookmarkEnd w:id="1953"/>
      <w:r>
        <w:rPr>
          <w:rFonts w:hint="cs"/>
          <w:rtl/>
        </w:rPr>
        <w:t xml:space="preserve">אני </w:t>
      </w:r>
      <w:bookmarkStart w:id="1954" w:name="_ETM_Q3_686349"/>
      <w:bookmarkEnd w:id="1954"/>
      <w:r>
        <w:rPr>
          <w:rFonts w:hint="cs"/>
          <w:rtl/>
        </w:rPr>
        <w:t xml:space="preserve">קורא </w:t>
      </w:r>
      <w:bookmarkStart w:id="1955" w:name="_ETM_Q3_686979"/>
      <w:bookmarkEnd w:id="1955"/>
      <w:r>
        <w:rPr>
          <w:rFonts w:hint="cs"/>
          <w:rtl/>
        </w:rPr>
        <w:t xml:space="preserve">לחברי </w:t>
      </w:r>
      <w:bookmarkStart w:id="1956" w:name="_ETM_Q3_687459"/>
      <w:bookmarkEnd w:id="1956"/>
      <w:r>
        <w:rPr>
          <w:rFonts w:hint="cs"/>
          <w:rtl/>
        </w:rPr>
        <w:t xml:space="preserve">הכנסת </w:t>
      </w:r>
      <w:bookmarkStart w:id="1957" w:name="_ETM_Q3_688029"/>
      <w:bookmarkEnd w:id="1957"/>
      <w:r>
        <w:rPr>
          <w:rFonts w:hint="cs"/>
          <w:rtl/>
        </w:rPr>
        <w:t xml:space="preserve">לאשר </w:t>
      </w:r>
      <w:bookmarkStart w:id="1958" w:name="_ETM_Q3_688540"/>
      <w:bookmarkEnd w:id="1958"/>
      <w:r>
        <w:rPr>
          <w:rFonts w:hint="cs"/>
          <w:rtl/>
        </w:rPr>
        <w:t xml:space="preserve">את </w:t>
      </w:r>
      <w:bookmarkStart w:id="1959" w:name="_ETM_Q3_688689"/>
      <w:bookmarkEnd w:id="1959"/>
      <w:r>
        <w:rPr>
          <w:rFonts w:hint="cs"/>
          <w:rtl/>
        </w:rPr>
        <w:t xml:space="preserve">נוסח </w:t>
      </w:r>
      <w:bookmarkStart w:id="1960" w:name="_ETM_Q3_689109"/>
      <w:bookmarkEnd w:id="1960"/>
      <w:r>
        <w:rPr>
          <w:rFonts w:hint="cs"/>
          <w:rtl/>
        </w:rPr>
        <w:t xml:space="preserve">החוק, </w:t>
      </w:r>
      <w:bookmarkStart w:id="1961" w:name="_ETM_Q3_689919"/>
      <w:bookmarkEnd w:id="1961"/>
      <w:r>
        <w:rPr>
          <w:rFonts w:hint="cs"/>
          <w:rtl/>
        </w:rPr>
        <w:t xml:space="preserve">לדחות </w:t>
      </w:r>
      <w:bookmarkStart w:id="1962" w:name="_ETM_Q3_690400"/>
      <w:bookmarkEnd w:id="1962"/>
      <w:r>
        <w:rPr>
          <w:rFonts w:hint="cs"/>
          <w:rtl/>
        </w:rPr>
        <w:t xml:space="preserve">את </w:t>
      </w:r>
      <w:bookmarkStart w:id="1963" w:name="_ETM_Q3_690519"/>
      <w:bookmarkEnd w:id="1963"/>
      <w:r>
        <w:rPr>
          <w:rFonts w:hint="cs"/>
          <w:rtl/>
        </w:rPr>
        <w:t xml:space="preserve">ההסתייגויות </w:t>
      </w:r>
      <w:bookmarkStart w:id="1964" w:name="_ETM_Q3_691850"/>
      <w:bookmarkEnd w:id="1964"/>
      <w:r>
        <w:rPr>
          <w:rFonts w:hint="cs"/>
          <w:rtl/>
        </w:rPr>
        <w:t xml:space="preserve">ולהצביע </w:t>
      </w:r>
      <w:bookmarkStart w:id="1965" w:name="_ETM_Q3_693200"/>
      <w:bookmarkEnd w:id="1965"/>
      <w:r>
        <w:rPr>
          <w:rFonts w:hint="cs"/>
          <w:rtl/>
        </w:rPr>
        <w:t xml:space="preserve">בקריאה </w:t>
      </w:r>
      <w:bookmarkStart w:id="1966" w:name="_ETM_Q3_693679"/>
      <w:bookmarkEnd w:id="1966"/>
      <w:r>
        <w:rPr>
          <w:rFonts w:hint="cs"/>
          <w:rtl/>
        </w:rPr>
        <w:t xml:space="preserve">שנייה </w:t>
      </w:r>
      <w:bookmarkStart w:id="1967" w:name="_ETM_Q3_694040"/>
      <w:bookmarkEnd w:id="1967"/>
      <w:r>
        <w:rPr>
          <w:rFonts w:hint="cs"/>
          <w:rtl/>
        </w:rPr>
        <w:t xml:space="preserve">ושלישית </w:t>
      </w:r>
      <w:bookmarkStart w:id="1968" w:name="_ETM_Q3_695059"/>
      <w:bookmarkEnd w:id="1968"/>
      <w:r>
        <w:rPr>
          <w:rFonts w:hint="cs"/>
          <w:rtl/>
        </w:rPr>
        <w:t xml:space="preserve">בעד </w:t>
      </w:r>
      <w:bookmarkStart w:id="1969" w:name="_ETM_Q3_695420"/>
      <w:bookmarkEnd w:id="1969"/>
      <w:r>
        <w:rPr>
          <w:rFonts w:hint="cs"/>
          <w:rtl/>
        </w:rPr>
        <w:t xml:space="preserve">החוק, </w:t>
      </w:r>
      <w:bookmarkStart w:id="1970" w:name="_ETM_Q3_695809"/>
      <w:bookmarkEnd w:id="1970"/>
      <w:r>
        <w:rPr>
          <w:rFonts w:hint="cs"/>
          <w:rtl/>
        </w:rPr>
        <w:t xml:space="preserve">שישיב </w:t>
      </w:r>
      <w:bookmarkStart w:id="1971" w:name="_ETM_Q3_696559"/>
      <w:bookmarkEnd w:id="1971"/>
      <w:r>
        <w:rPr>
          <w:rFonts w:hint="cs"/>
          <w:rtl/>
        </w:rPr>
        <w:t xml:space="preserve">את </w:t>
      </w:r>
      <w:bookmarkStart w:id="1972" w:name="_ETM_Q3_696740"/>
      <w:bookmarkEnd w:id="1972"/>
      <w:r>
        <w:rPr>
          <w:rFonts w:hint="cs"/>
          <w:rtl/>
        </w:rPr>
        <w:t xml:space="preserve">הדמוקרטיה </w:t>
      </w:r>
      <w:bookmarkStart w:id="1973" w:name="_ETM_Q3_697640"/>
      <w:bookmarkEnd w:id="1973"/>
      <w:r>
        <w:rPr>
          <w:rFonts w:hint="cs"/>
          <w:rtl/>
        </w:rPr>
        <w:t xml:space="preserve">למדינת </w:t>
      </w:r>
      <w:bookmarkStart w:id="1974" w:name="_ETM_Q3_698150"/>
      <w:bookmarkEnd w:id="1974"/>
      <w:r>
        <w:rPr>
          <w:rFonts w:hint="cs"/>
          <w:rtl/>
        </w:rPr>
        <w:t xml:space="preserve">ישראל. </w:t>
      </w:r>
      <w:bookmarkStart w:id="1975" w:name="_ETM_Q3_698870"/>
      <w:bookmarkEnd w:id="1975"/>
      <w:r>
        <w:rPr>
          <w:rFonts w:hint="cs"/>
          <w:rtl/>
        </w:rPr>
        <w:t xml:space="preserve">תודה </w:t>
      </w:r>
      <w:bookmarkStart w:id="1976" w:name="_ETM_Q3_699200"/>
      <w:bookmarkEnd w:id="1976"/>
      <w:r>
        <w:rPr>
          <w:rFonts w:hint="cs"/>
          <w:rtl/>
        </w:rPr>
        <w:t xml:space="preserve">רבה. </w:t>
      </w:r>
      <w:bookmarkStart w:id="1977" w:name="_ETM_Q3_699890"/>
      <w:bookmarkEnd w:id="1977"/>
    </w:p>
    <w:p w:rsidR="000C5C1F" w:rsidRDefault="000C5C1F" w:rsidP="000C5C1F">
      <w:pPr>
        <w:rPr>
          <w:rtl/>
        </w:rPr>
      </w:pPr>
      <w:bookmarkStart w:id="1978" w:name="_ETM_Q3_704391"/>
      <w:bookmarkStart w:id="1979" w:name="_ETM_Q3_704517"/>
      <w:bookmarkEnd w:id="1978"/>
      <w:bookmarkEnd w:id="1979"/>
    </w:p>
    <w:p w:rsidR="000C5C1F" w:rsidRDefault="000C5C1F" w:rsidP="000C5C1F">
      <w:pPr>
        <w:pStyle w:val="af8"/>
        <w:keepNext/>
        <w:rPr>
          <w:rtl/>
        </w:rPr>
      </w:pPr>
      <w:bookmarkStart w:id="1980" w:name="ET_interruption_5084_14"/>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1980"/>
    </w:p>
    <w:p w:rsidR="000C5C1F" w:rsidRDefault="000C5C1F" w:rsidP="00337201">
      <w:pPr>
        <w:rPr>
          <w:rtl/>
        </w:rPr>
      </w:pPr>
    </w:p>
    <w:p w:rsidR="000C5C1F" w:rsidRDefault="000C5C1F" w:rsidP="000C5C1F">
      <w:pPr>
        <w:rPr>
          <w:rtl/>
        </w:rPr>
      </w:pPr>
      <w:bookmarkStart w:id="1981" w:name="_ETM_Q3_701242"/>
      <w:bookmarkStart w:id="1982" w:name="_ETM_Q3_701308"/>
      <w:bookmarkEnd w:id="1981"/>
      <w:bookmarkEnd w:id="1982"/>
      <w:r>
        <w:rPr>
          <w:rFonts w:hint="cs"/>
          <w:rtl/>
        </w:rPr>
        <w:t xml:space="preserve">דיקטטורה, לא דמוקרטיה. </w:t>
      </w:r>
      <w:bookmarkStart w:id="1983" w:name="_ETM_Q3_698691"/>
      <w:bookmarkEnd w:id="1983"/>
      <w:r>
        <w:rPr>
          <w:rFonts w:hint="cs"/>
          <w:rtl/>
        </w:rPr>
        <w:t xml:space="preserve">הדיקטטורה שלכם זה מה שיקרה פה במדינה. </w:t>
      </w:r>
      <w:bookmarkStart w:id="1984" w:name="_ETM_Q3_703544"/>
      <w:bookmarkEnd w:id="1984"/>
      <w:r>
        <w:rPr>
          <w:rFonts w:hint="cs"/>
          <w:rtl/>
        </w:rPr>
        <w:t xml:space="preserve">דמוקרטיה? חתיכת דיקטטור. </w:t>
      </w:r>
    </w:p>
    <w:p w:rsidR="000C5C1F" w:rsidRDefault="000C5C1F" w:rsidP="000C5C1F">
      <w:pPr>
        <w:rPr>
          <w:rtl/>
        </w:rPr>
      </w:pPr>
      <w:bookmarkStart w:id="1985" w:name="_ETM_Q3_705763"/>
      <w:bookmarkStart w:id="1986" w:name="_ETM_Q3_705873"/>
      <w:bookmarkEnd w:id="1985"/>
      <w:bookmarkEnd w:id="1986"/>
    </w:p>
    <w:p w:rsidR="000C5C1F" w:rsidRDefault="000C5C1F" w:rsidP="000C5C1F">
      <w:pPr>
        <w:pStyle w:val="af9"/>
        <w:keepNext/>
        <w:rPr>
          <w:rtl/>
        </w:rPr>
      </w:pPr>
      <w:bookmarkStart w:id="1987" w:name="ET_yor_6423_1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987"/>
    </w:p>
    <w:p w:rsidR="000C5C1F" w:rsidRDefault="000C5C1F" w:rsidP="00337201">
      <w:pPr>
        <w:rPr>
          <w:rtl/>
        </w:rPr>
      </w:pPr>
    </w:p>
    <w:p w:rsidR="000C5C1F" w:rsidRDefault="000C5C1F" w:rsidP="000C5C1F">
      <w:pPr>
        <w:rPr>
          <w:rtl/>
        </w:rPr>
      </w:pPr>
      <w:bookmarkStart w:id="1988" w:name="_ETM_Q3_702703"/>
      <w:bookmarkEnd w:id="1988"/>
      <w:r>
        <w:rPr>
          <w:rFonts w:hint="cs"/>
          <w:rtl/>
        </w:rPr>
        <w:t xml:space="preserve">אני </w:t>
      </w:r>
      <w:bookmarkStart w:id="1989" w:name="_ETM_Q3_700130"/>
      <w:bookmarkEnd w:id="1989"/>
      <w:r>
        <w:rPr>
          <w:rFonts w:hint="cs"/>
          <w:rtl/>
        </w:rPr>
        <w:t xml:space="preserve">מודה </w:t>
      </w:r>
      <w:bookmarkStart w:id="1990" w:name="_ETM_Q3_700370"/>
      <w:bookmarkEnd w:id="1990"/>
      <w:r>
        <w:rPr>
          <w:rFonts w:hint="cs"/>
          <w:rtl/>
        </w:rPr>
        <w:t xml:space="preserve">ליושב-ראש </w:t>
      </w:r>
      <w:bookmarkStart w:id="1991" w:name="_ETM_Q3_700910"/>
      <w:bookmarkEnd w:id="1991"/>
      <w:r>
        <w:rPr>
          <w:rFonts w:hint="cs"/>
          <w:rtl/>
        </w:rPr>
        <w:t xml:space="preserve">ועדת </w:t>
      </w:r>
      <w:bookmarkStart w:id="1992" w:name="_ETM_Q3_701240"/>
      <w:bookmarkEnd w:id="1992"/>
      <w:r>
        <w:rPr>
          <w:rFonts w:hint="cs"/>
          <w:rtl/>
        </w:rPr>
        <w:t xml:space="preserve">החוקה, </w:t>
      </w:r>
      <w:bookmarkStart w:id="1993" w:name="_ETM_Q3_701600"/>
      <w:bookmarkEnd w:id="1993"/>
      <w:r>
        <w:rPr>
          <w:rFonts w:hint="cs"/>
          <w:rtl/>
        </w:rPr>
        <w:t xml:space="preserve">חוק </w:t>
      </w:r>
      <w:bookmarkStart w:id="1994" w:name="_ETM_Q3_701900"/>
      <w:bookmarkEnd w:id="1994"/>
      <w:r>
        <w:rPr>
          <w:rFonts w:hint="cs"/>
          <w:rtl/>
        </w:rPr>
        <w:t xml:space="preserve">ומשפט </w:t>
      </w:r>
      <w:bookmarkStart w:id="1995" w:name="_ETM_Q3_702620"/>
      <w:bookmarkEnd w:id="1995"/>
      <w:r>
        <w:rPr>
          <w:rFonts w:hint="cs"/>
          <w:rtl/>
        </w:rPr>
        <w:t xml:space="preserve">חבר </w:t>
      </w:r>
      <w:bookmarkStart w:id="1996" w:name="_ETM_Q3_702920"/>
      <w:bookmarkEnd w:id="1996"/>
      <w:r>
        <w:rPr>
          <w:rFonts w:hint="cs"/>
          <w:rtl/>
        </w:rPr>
        <w:t xml:space="preserve">הכנסת </w:t>
      </w:r>
      <w:bookmarkStart w:id="1997" w:name="_ETM_Q3_703280"/>
      <w:bookmarkEnd w:id="1997"/>
      <w:r>
        <w:rPr>
          <w:rFonts w:hint="cs"/>
          <w:rtl/>
        </w:rPr>
        <w:t xml:space="preserve">שמחה </w:t>
      </w:r>
      <w:bookmarkStart w:id="1998" w:name="_ETM_Q3_703700"/>
      <w:bookmarkEnd w:id="1998"/>
      <w:r>
        <w:rPr>
          <w:rFonts w:hint="cs"/>
          <w:rtl/>
        </w:rPr>
        <w:t xml:space="preserve">רוטמן. </w:t>
      </w:r>
      <w:bookmarkStart w:id="1999" w:name="_ETM_Q3_704929"/>
      <w:bookmarkEnd w:id="1999"/>
      <w:r>
        <w:rPr>
          <w:rFonts w:hint="cs"/>
          <w:rtl/>
        </w:rPr>
        <w:t xml:space="preserve">אנחנו </w:t>
      </w:r>
      <w:bookmarkStart w:id="2000" w:name="_ETM_Q3_705350"/>
      <w:bookmarkEnd w:id="2000"/>
      <w:r>
        <w:rPr>
          <w:rFonts w:hint="cs"/>
          <w:rtl/>
        </w:rPr>
        <w:t xml:space="preserve">נעבור </w:t>
      </w:r>
      <w:bookmarkStart w:id="2001" w:name="_ETM_Q3_706250"/>
      <w:bookmarkEnd w:id="2001"/>
      <w:r>
        <w:rPr>
          <w:rFonts w:hint="cs"/>
          <w:rtl/>
        </w:rPr>
        <w:t>ל</w:t>
      </w:r>
      <w:bookmarkStart w:id="2002" w:name="_ETM_Q3_706670"/>
      <w:bookmarkEnd w:id="2002"/>
      <w:r>
        <w:rPr>
          <w:rFonts w:hint="cs"/>
          <w:rtl/>
        </w:rPr>
        <w:t xml:space="preserve">הנמקת </w:t>
      </w:r>
      <w:bookmarkStart w:id="2003" w:name="_ETM_Q3_707420"/>
      <w:bookmarkEnd w:id="2003"/>
      <w:r>
        <w:rPr>
          <w:rFonts w:hint="cs"/>
          <w:rtl/>
        </w:rPr>
        <w:t xml:space="preserve">ההסתייגויות </w:t>
      </w:r>
      <w:bookmarkStart w:id="2004" w:name="_ETM_Q3_708140"/>
      <w:bookmarkEnd w:id="2004"/>
      <w:r>
        <w:rPr>
          <w:rFonts w:hint="cs"/>
          <w:rtl/>
        </w:rPr>
        <w:t xml:space="preserve">מטעם </w:t>
      </w:r>
      <w:bookmarkStart w:id="2005" w:name="_ETM_Q3_708530"/>
      <w:bookmarkEnd w:id="2005"/>
      <w:r>
        <w:rPr>
          <w:rFonts w:hint="cs"/>
          <w:rtl/>
        </w:rPr>
        <w:t xml:space="preserve">סיעות </w:t>
      </w:r>
      <w:bookmarkStart w:id="2006" w:name="_ETM_Q3_708950"/>
      <w:bookmarkEnd w:id="2006"/>
      <w:r>
        <w:rPr>
          <w:rFonts w:hint="cs"/>
          <w:rtl/>
        </w:rPr>
        <w:t xml:space="preserve">האופוזיציה. </w:t>
      </w:r>
      <w:bookmarkStart w:id="2007" w:name="_ETM_Q3_710360"/>
      <w:bookmarkEnd w:id="2007"/>
      <w:r>
        <w:rPr>
          <w:rFonts w:hint="cs"/>
          <w:rtl/>
        </w:rPr>
        <w:t xml:space="preserve">לפני </w:t>
      </w:r>
      <w:bookmarkStart w:id="2008" w:name="_ETM_Q3_710840"/>
      <w:bookmarkEnd w:id="2008"/>
      <w:r>
        <w:rPr>
          <w:rFonts w:hint="cs"/>
          <w:rtl/>
        </w:rPr>
        <w:t xml:space="preserve">כן </w:t>
      </w:r>
      <w:bookmarkStart w:id="2009" w:name="_ETM_Q3_711050"/>
      <w:bookmarkEnd w:id="2009"/>
      <w:r>
        <w:rPr>
          <w:rFonts w:hint="cs"/>
          <w:rtl/>
        </w:rPr>
        <w:t xml:space="preserve">אני </w:t>
      </w:r>
      <w:bookmarkStart w:id="2010" w:name="_ETM_Q3_711200"/>
      <w:bookmarkEnd w:id="2010"/>
      <w:r>
        <w:rPr>
          <w:rFonts w:hint="cs"/>
          <w:rtl/>
        </w:rPr>
        <w:t xml:space="preserve">מבקש </w:t>
      </w:r>
      <w:bookmarkStart w:id="2011" w:name="_ETM_Q3_711650"/>
      <w:bookmarkEnd w:id="2011"/>
      <w:r>
        <w:rPr>
          <w:rFonts w:hint="cs"/>
          <w:rtl/>
        </w:rPr>
        <w:t xml:space="preserve">להבהיר: </w:t>
      </w:r>
      <w:bookmarkStart w:id="2012" w:name="_ETM_Q3_712970"/>
      <w:bookmarkEnd w:id="2012"/>
      <w:r>
        <w:rPr>
          <w:rFonts w:hint="cs"/>
          <w:rtl/>
        </w:rPr>
        <w:t xml:space="preserve">הועברה </w:t>
      </w:r>
      <w:bookmarkStart w:id="2013" w:name="_ETM_Q3_713239"/>
      <w:bookmarkEnd w:id="2013"/>
      <w:r>
        <w:rPr>
          <w:rFonts w:hint="cs"/>
          <w:rtl/>
        </w:rPr>
        <w:t xml:space="preserve">אלינו </w:t>
      </w:r>
      <w:bookmarkStart w:id="2014" w:name="_ETM_Q3_713510"/>
      <w:bookmarkEnd w:id="2014"/>
      <w:r>
        <w:rPr>
          <w:rFonts w:hint="cs"/>
          <w:rtl/>
        </w:rPr>
        <w:t xml:space="preserve">רשימת </w:t>
      </w:r>
      <w:bookmarkStart w:id="2015" w:name="_ETM_Q3_713989"/>
      <w:bookmarkEnd w:id="2015"/>
      <w:r>
        <w:rPr>
          <w:rFonts w:hint="cs"/>
          <w:rtl/>
        </w:rPr>
        <w:t xml:space="preserve">דוברים </w:t>
      </w:r>
      <w:bookmarkStart w:id="2016" w:name="_ETM_Q3_714440"/>
      <w:bookmarkEnd w:id="2016"/>
      <w:r>
        <w:rPr>
          <w:rFonts w:hint="cs"/>
          <w:rtl/>
        </w:rPr>
        <w:t xml:space="preserve">עד </w:t>
      </w:r>
      <w:bookmarkStart w:id="2017" w:name="_ETM_Q3_714650"/>
      <w:bookmarkEnd w:id="2017"/>
      <w:r>
        <w:rPr>
          <w:rFonts w:hint="cs"/>
          <w:rtl/>
        </w:rPr>
        <w:t xml:space="preserve">השעה </w:t>
      </w:r>
      <w:bookmarkStart w:id="2018" w:name="_ETM_Q3_714920"/>
      <w:bookmarkEnd w:id="2018"/>
      <w:r>
        <w:rPr>
          <w:rFonts w:hint="cs"/>
          <w:rtl/>
        </w:rPr>
        <w:t xml:space="preserve">19:50, </w:t>
      </w:r>
      <w:bookmarkStart w:id="2019" w:name="_ETM_Q3_715940"/>
      <w:bookmarkEnd w:id="2019"/>
      <w:r>
        <w:rPr>
          <w:rFonts w:hint="cs"/>
          <w:rtl/>
        </w:rPr>
        <w:t xml:space="preserve">בהמשך </w:t>
      </w:r>
      <w:bookmarkStart w:id="2020" w:name="_ETM_Q3_716360"/>
      <w:bookmarkStart w:id="2021" w:name="_ETM_Q3_716780"/>
      <w:bookmarkEnd w:id="2020"/>
      <w:bookmarkEnd w:id="2021"/>
      <w:r>
        <w:rPr>
          <w:rFonts w:hint="cs"/>
          <w:rtl/>
        </w:rPr>
        <w:t xml:space="preserve">תועבר רשימת </w:t>
      </w:r>
      <w:bookmarkStart w:id="2022" w:name="_ETM_Q3_717260"/>
      <w:bookmarkEnd w:id="2022"/>
      <w:r>
        <w:rPr>
          <w:rFonts w:hint="cs"/>
          <w:rtl/>
        </w:rPr>
        <w:t xml:space="preserve">הדוברים </w:t>
      </w:r>
      <w:bookmarkStart w:id="2023" w:name="_ETM_Q3_717679"/>
      <w:bookmarkEnd w:id="2023"/>
      <w:r>
        <w:rPr>
          <w:rFonts w:hint="cs"/>
          <w:rtl/>
        </w:rPr>
        <w:t xml:space="preserve">לגבי </w:t>
      </w:r>
      <w:bookmarkStart w:id="2024" w:name="_ETM_Q3_718069"/>
      <w:bookmarkEnd w:id="2024"/>
      <w:r>
        <w:rPr>
          <w:rFonts w:hint="cs"/>
          <w:rtl/>
        </w:rPr>
        <w:t xml:space="preserve">ההמשך. </w:t>
      </w:r>
      <w:bookmarkStart w:id="2025" w:name="_ETM_Q3_720200"/>
      <w:bookmarkEnd w:id="2025"/>
      <w:r>
        <w:rPr>
          <w:rFonts w:hint="cs"/>
          <w:rtl/>
        </w:rPr>
        <w:t xml:space="preserve">דובר </w:t>
      </w:r>
      <w:bookmarkStart w:id="2026" w:name="_ETM_Q3_720860"/>
      <w:bookmarkEnd w:id="2026"/>
      <w:r>
        <w:rPr>
          <w:rFonts w:hint="cs"/>
          <w:rtl/>
        </w:rPr>
        <w:t xml:space="preserve">שלא </w:t>
      </w:r>
      <w:bookmarkStart w:id="2027" w:name="_ETM_Q3_721280"/>
      <w:bookmarkEnd w:id="2027"/>
      <w:r>
        <w:rPr>
          <w:rFonts w:hint="cs"/>
          <w:rtl/>
        </w:rPr>
        <w:t xml:space="preserve">יהיה </w:t>
      </w:r>
      <w:bookmarkStart w:id="2028" w:name="_ETM_Q3_721519"/>
      <w:bookmarkEnd w:id="2028"/>
      <w:r>
        <w:rPr>
          <w:rFonts w:hint="cs"/>
          <w:rtl/>
        </w:rPr>
        <w:t xml:space="preserve">נוכח, </w:t>
      </w:r>
      <w:bookmarkStart w:id="2029" w:name="_ETM_Q3_722059"/>
      <w:bookmarkEnd w:id="2029"/>
      <w:r>
        <w:rPr>
          <w:rFonts w:hint="cs"/>
          <w:rtl/>
        </w:rPr>
        <w:t xml:space="preserve">אנחנו </w:t>
      </w:r>
      <w:bookmarkStart w:id="2030" w:name="_ETM_Q3_722299"/>
      <w:bookmarkEnd w:id="2030"/>
      <w:r>
        <w:rPr>
          <w:rFonts w:hint="cs"/>
          <w:rtl/>
        </w:rPr>
        <w:t xml:space="preserve">פשוט </w:t>
      </w:r>
      <w:bookmarkStart w:id="2031" w:name="_ETM_Q3_722540"/>
      <w:bookmarkEnd w:id="2031"/>
      <w:r>
        <w:rPr>
          <w:rFonts w:hint="cs"/>
          <w:rtl/>
        </w:rPr>
        <w:t xml:space="preserve">נעבור </w:t>
      </w:r>
      <w:bookmarkStart w:id="2032" w:name="_ETM_Q3_722840"/>
      <w:bookmarkEnd w:id="2032"/>
      <w:r>
        <w:rPr>
          <w:rFonts w:hint="cs"/>
          <w:rtl/>
        </w:rPr>
        <w:t xml:space="preserve">לדובר </w:t>
      </w:r>
      <w:bookmarkStart w:id="2033" w:name="_ETM_Q3_723230"/>
      <w:bookmarkEnd w:id="2033"/>
      <w:r>
        <w:rPr>
          <w:rFonts w:hint="cs"/>
          <w:rtl/>
        </w:rPr>
        <w:t xml:space="preserve">הבא. קחו </w:t>
      </w:r>
      <w:bookmarkStart w:id="2034" w:name="_ETM_Q3_724129"/>
      <w:bookmarkEnd w:id="2034"/>
      <w:r>
        <w:rPr>
          <w:rFonts w:hint="cs"/>
          <w:rtl/>
        </w:rPr>
        <w:t xml:space="preserve">את </w:t>
      </w:r>
      <w:bookmarkStart w:id="2035" w:name="_ETM_Q3_724220"/>
      <w:bookmarkEnd w:id="2035"/>
      <w:r>
        <w:rPr>
          <w:rFonts w:hint="cs"/>
          <w:rtl/>
        </w:rPr>
        <w:t xml:space="preserve">זה, </w:t>
      </w:r>
      <w:bookmarkStart w:id="2036" w:name="_ETM_Q3_724309"/>
      <w:bookmarkEnd w:id="2036"/>
      <w:r>
        <w:rPr>
          <w:rFonts w:hint="cs"/>
          <w:rtl/>
        </w:rPr>
        <w:t xml:space="preserve">בבקשה, </w:t>
      </w:r>
      <w:bookmarkStart w:id="2037" w:name="_ETM_Q3_724790"/>
      <w:bookmarkEnd w:id="2037"/>
      <w:r>
        <w:rPr>
          <w:rFonts w:hint="cs"/>
          <w:rtl/>
        </w:rPr>
        <w:t xml:space="preserve">בחשבון </w:t>
      </w:r>
      <w:bookmarkStart w:id="2038" w:name="_ETM_Q3_725940"/>
      <w:bookmarkEnd w:id="2038"/>
      <w:r>
        <w:rPr>
          <w:rFonts w:hint="cs"/>
          <w:rtl/>
        </w:rPr>
        <w:t xml:space="preserve">במסגרת </w:t>
      </w:r>
      <w:bookmarkStart w:id="2039" w:name="_ETM_Q3_726540"/>
      <w:bookmarkEnd w:id="2039"/>
      <w:r>
        <w:rPr>
          <w:rFonts w:hint="cs"/>
          <w:rtl/>
        </w:rPr>
        <w:t xml:space="preserve">השיקולים </w:t>
      </w:r>
      <w:bookmarkStart w:id="2040" w:name="_ETM_Q3_727080"/>
      <w:bookmarkEnd w:id="2040"/>
      <w:r>
        <w:rPr>
          <w:rFonts w:hint="cs"/>
          <w:rtl/>
        </w:rPr>
        <w:t xml:space="preserve">שלכם </w:t>
      </w:r>
      <w:bookmarkStart w:id="2041" w:name="_ETM_Q3_727440"/>
      <w:bookmarkEnd w:id="2041"/>
      <w:r>
        <w:rPr>
          <w:rFonts w:hint="cs"/>
          <w:rtl/>
        </w:rPr>
        <w:t xml:space="preserve">וניהול </w:t>
      </w:r>
      <w:bookmarkStart w:id="2042" w:name="_ETM_Q3_727740"/>
      <w:bookmarkEnd w:id="2042"/>
      <w:r>
        <w:rPr>
          <w:rFonts w:hint="cs"/>
          <w:rtl/>
        </w:rPr>
        <w:t xml:space="preserve">הזמנים </w:t>
      </w:r>
      <w:bookmarkStart w:id="2043" w:name="_ETM_Q3_728130"/>
      <w:bookmarkEnd w:id="2043"/>
      <w:r>
        <w:rPr>
          <w:rFonts w:hint="cs"/>
          <w:rtl/>
        </w:rPr>
        <w:t xml:space="preserve">שלכם. </w:t>
      </w:r>
      <w:bookmarkStart w:id="2044" w:name="_ETM_Q3_729030"/>
      <w:bookmarkEnd w:id="2044"/>
      <w:r>
        <w:rPr>
          <w:rFonts w:hint="cs"/>
          <w:rtl/>
        </w:rPr>
        <w:t xml:space="preserve">אדוני </w:t>
      </w:r>
      <w:bookmarkStart w:id="2045" w:name="_ETM_Q3_729390"/>
      <w:bookmarkEnd w:id="2045"/>
      <w:r>
        <w:rPr>
          <w:rFonts w:hint="cs"/>
          <w:rtl/>
        </w:rPr>
        <w:t xml:space="preserve">ראש </w:t>
      </w:r>
      <w:bookmarkStart w:id="2046" w:name="_ETM_Q3_729630"/>
      <w:bookmarkEnd w:id="2046"/>
      <w:r>
        <w:rPr>
          <w:rFonts w:hint="cs"/>
          <w:rtl/>
        </w:rPr>
        <w:t xml:space="preserve">האופוזיציה </w:t>
      </w:r>
      <w:bookmarkStart w:id="2047" w:name="_ETM_Q3_730290"/>
      <w:bookmarkEnd w:id="2047"/>
      <w:r>
        <w:rPr>
          <w:rFonts w:hint="cs"/>
          <w:rtl/>
        </w:rPr>
        <w:t xml:space="preserve">חבר </w:t>
      </w:r>
      <w:bookmarkStart w:id="2048" w:name="_ETM_Q3_730559"/>
      <w:bookmarkEnd w:id="2048"/>
      <w:r>
        <w:rPr>
          <w:rFonts w:hint="cs"/>
          <w:rtl/>
        </w:rPr>
        <w:t xml:space="preserve">הכנסת </w:t>
      </w:r>
      <w:bookmarkStart w:id="2049" w:name="_ETM_Q3_730890"/>
      <w:bookmarkEnd w:id="2049"/>
      <w:r>
        <w:rPr>
          <w:rFonts w:hint="cs"/>
          <w:rtl/>
        </w:rPr>
        <w:t xml:space="preserve">יאיר </w:t>
      </w:r>
      <w:bookmarkStart w:id="2050" w:name="_ETM_Q3_731100"/>
      <w:bookmarkEnd w:id="2050"/>
      <w:r>
        <w:rPr>
          <w:rFonts w:hint="cs"/>
          <w:rtl/>
        </w:rPr>
        <w:t xml:space="preserve">לפיד, </w:t>
      </w:r>
      <w:bookmarkStart w:id="2051" w:name="_ETM_Q3_731700"/>
      <w:bookmarkEnd w:id="2051"/>
      <w:r>
        <w:rPr>
          <w:rFonts w:hint="cs"/>
          <w:rtl/>
        </w:rPr>
        <w:t xml:space="preserve">בבקשה. </w:t>
      </w:r>
      <w:bookmarkStart w:id="2052" w:name="_ETM_Q3_738650"/>
      <w:bookmarkStart w:id="2053" w:name="_ETM_Q3_739590"/>
      <w:bookmarkStart w:id="2054" w:name="_ETM_Q3_740160"/>
      <w:bookmarkEnd w:id="2052"/>
      <w:bookmarkEnd w:id="2053"/>
      <w:bookmarkEnd w:id="2054"/>
    </w:p>
    <w:p w:rsidR="000C5C1F" w:rsidRDefault="000C5C1F" w:rsidP="000C5C1F">
      <w:pPr>
        <w:rPr>
          <w:rtl/>
        </w:rPr>
      </w:pPr>
      <w:bookmarkStart w:id="2055" w:name="_ETM_Q3_739511"/>
      <w:bookmarkStart w:id="2056" w:name="_ETM_Q3_739571"/>
      <w:bookmarkEnd w:id="2055"/>
      <w:bookmarkEnd w:id="2056"/>
    </w:p>
    <w:p w:rsidR="000C5C1F" w:rsidRDefault="000C5C1F" w:rsidP="000C5C1F">
      <w:pPr>
        <w:pStyle w:val="af8"/>
        <w:keepNext/>
        <w:rPr>
          <w:rtl/>
        </w:rPr>
      </w:pPr>
      <w:bookmarkStart w:id="2057" w:name="ET_interruption_5084_20"/>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2057"/>
    </w:p>
    <w:p w:rsidR="000C5C1F" w:rsidRDefault="000C5C1F" w:rsidP="00337201">
      <w:pPr>
        <w:rPr>
          <w:rtl/>
        </w:rPr>
      </w:pPr>
    </w:p>
    <w:p w:rsidR="000C5C1F" w:rsidRDefault="000C5C1F" w:rsidP="000C5C1F">
      <w:pPr>
        <w:rPr>
          <w:rtl/>
        </w:rPr>
      </w:pPr>
      <w:r>
        <w:rPr>
          <w:rFonts w:hint="cs"/>
          <w:rtl/>
        </w:rPr>
        <w:t xml:space="preserve">אבל אפשר להעביר זמנים מאחד לשני </w:t>
      </w:r>
      <w:bookmarkStart w:id="2058" w:name="_ETM_Q3_737900"/>
      <w:bookmarkEnd w:id="2058"/>
      <w:r>
        <w:rPr>
          <w:rFonts w:hint="cs"/>
          <w:rtl/>
        </w:rPr>
        <w:t>- - -</w:t>
      </w:r>
    </w:p>
    <w:p w:rsidR="000C5C1F" w:rsidRDefault="000C5C1F" w:rsidP="000C5C1F">
      <w:pPr>
        <w:rPr>
          <w:rtl/>
        </w:rPr>
      </w:pPr>
    </w:p>
    <w:p w:rsidR="000C5C1F" w:rsidRDefault="000C5C1F" w:rsidP="000C5C1F">
      <w:pPr>
        <w:pStyle w:val="af9"/>
        <w:keepNext/>
        <w:rPr>
          <w:rtl/>
        </w:rPr>
      </w:pPr>
      <w:bookmarkStart w:id="2059" w:name="ET_yor_6423_1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2059"/>
    </w:p>
    <w:p w:rsidR="000C5C1F" w:rsidRDefault="000C5C1F" w:rsidP="00337201">
      <w:pPr>
        <w:rPr>
          <w:rtl/>
        </w:rPr>
      </w:pPr>
    </w:p>
    <w:p w:rsidR="000C5C1F" w:rsidRDefault="000C5C1F" w:rsidP="000C5C1F">
      <w:pPr>
        <w:rPr>
          <w:rtl/>
        </w:rPr>
      </w:pPr>
      <w:bookmarkStart w:id="2060" w:name="_ETM_Q3_740086"/>
      <w:bookmarkStart w:id="2061" w:name="_ETM_Q3_740147"/>
      <w:bookmarkEnd w:id="2060"/>
      <w:bookmarkEnd w:id="2061"/>
      <w:r>
        <w:rPr>
          <w:rFonts w:hint="cs"/>
          <w:rtl/>
        </w:rPr>
        <w:t xml:space="preserve">מראש </w:t>
      </w:r>
      <w:bookmarkStart w:id="2062" w:name="_ETM_Q3_740550"/>
      <w:bookmarkEnd w:id="2062"/>
      <w:r>
        <w:rPr>
          <w:rFonts w:hint="cs"/>
          <w:rtl/>
        </w:rPr>
        <w:t xml:space="preserve">כן. </w:t>
      </w:r>
      <w:bookmarkStart w:id="2063" w:name="_ETM_Q3_741290"/>
      <w:bookmarkEnd w:id="2063"/>
      <w:r>
        <w:rPr>
          <w:rFonts w:hint="cs"/>
          <w:rtl/>
        </w:rPr>
        <w:t xml:space="preserve">אם </w:t>
      </w:r>
      <w:bookmarkStart w:id="2064" w:name="_ETM_Q3_741440"/>
      <w:bookmarkEnd w:id="2064"/>
      <w:r>
        <w:rPr>
          <w:rFonts w:hint="cs"/>
          <w:rtl/>
        </w:rPr>
        <w:t xml:space="preserve">מודיעים </w:t>
      </w:r>
      <w:bookmarkStart w:id="2065" w:name="_ETM_Q3_741740"/>
      <w:bookmarkEnd w:id="2065"/>
      <w:r>
        <w:rPr>
          <w:rFonts w:hint="cs"/>
          <w:rtl/>
        </w:rPr>
        <w:t xml:space="preserve">מראש, </w:t>
      </w:r>
      <w:bookmarkStart w:id="2066" w:name="_ETM_Q3_742040"/>
      <w:bookmarkEnd w:id="2066"/>
      <w:r>
        <w:rPr>
          <w:rFonts w:hint="cs"/>
          <w:rtl/>
        </w:rPr>
        <w:t xml:space="preserve">אין </w:t>
      </w:r>
      <w:bookmarkStart w:id="2067" w:name="_ETM_Q3_742190"/>
      <w:bookmarkEnd w:id="2067"/>
      <w:r>
        <w:rPr>
          <w:rFonts w:hint="cs"/>
          <w:rtl/>
        </w:rPr>
        <w:t xml:space="preserve">בעיה. </w:t>
      </w:r>
      <w:bookmarkStart w:id="2068" w:name="_ETM_Q3_744800"/>
      <w:bookmarkEnd w:id="2068"/>
    </w:p>
    <w:p w:rsidR="000C5C1F" w:rsidRDefault="000C5C1F" w:rsidP="000C5C1F">
      <w:pPr>
        <w:rPr>
          <w:rtl/>
        </w:rPr>
      </w:pPr>
      <w:bookmarkStart w:id="2069" w:name="_ETM_Q3_742995"/>
      <w:bookmarkStart w:id="2070" w:name="_ETM_Q3_743054"/>
      <w:bookmarkStart w:id="2071" w:name="_ETM_Q3_745746"/>
      <w:bookmarkEnd w:id="2069"/>
      <w:bookmarkEnd w:id="2070"/>
      <w:bookmarkEnd w:id="2071"/>
    </w:p>
    <w:p w:rsidR="000C5C1F" w:rsidRDefault="000C5C1F" w:rsidP="000C5C1F">
      <w:pPr>
        <w:pStyle w:val="a5"/>
        <w:keepNext/>
        <w:rPr>
          <w:rtl/>
        </w:rPr>
      </w:pPr>
      <w:bookmarkStart w:id="2072" w:name="ET_speaker_5087_23"/>
      <w:r>
        <w:rPr>
          <w:rStyle w:val="TagStyle"/>
          <w:rFonts w:hint="cs"/>
          <w:rtl/>
        </w:rPr>
        <w:t xml:space="preserve"> &lt;&lt; דובר &gt;&gt; </w:t>
      </w:r>
      <w:bookmarkStart w:id="2073" w:name="_Toc141031414"/>
      <w:bookmarkStart w:id="2074" w:name="_Toc141040453"/>
      <w:bookmarkStart w:id="2075" w:name="_Toc141196862"/>
      <w:bookmarkStart w:id="2076" w:name="_Toc141197126"/>
      <w:r>
        <w:rPr>
          <w:rFonts w:hint="cs"/>
          <w:rtl/>
        </w:rPr>
        <w:t>יאיר לפיד (יש עתיד):</w:t>
      </w:r>
      <w:bookmarkEnd w:id="2073"/>
      <w:bookmarkEnd w:id="2074"/>
      <w:bookmarkEnd w:id="2075"/>
      <w:bookmarkEnd w:id="2076"/>
      <w:r>
        <w:rPr>
          <w:rStyle w:val="TagStyle"/>
          <w:rFonts w:hint="cs"/>
          <w:rtl/>
        </w:rPr>
        <w:t xml:space="preserve"> &lt;&lt; דובר &gt;&gt;</w:t>
      </w:r>
      <w:r>
        <w:rPr>
          <w:rFonts w:hint="cs"/>
          <w:rtl/>
        </w:rPr>
        <w:t xml:space="preserve">   </w:t>
      </w:r>
      <w:bookmarkEnd w:id="2072"/>
    </w:p>
    <w:p w:rsidR="000C5C1F" w:rsidRDefault="000C5C1F" w:rsidP="00337201">
      <w:pPr>
        <w:rPr>
          <w:rtl/>
        </w:rPr>
      </w:pPr>
    </w:p>
    <w:p w:rsidR="000C5C1F" w:rsidRDefault="000C5C1F" w:rsidP="000C5C1F">
      <w:pPr>
        <w:rPr>
          <w:rtl/>
        </w:rPr>
      </w:pPr>
      <w:bookmarkStart w:id="2077" w:name="_ETM_Q3_746429"/>
      <w:bookmarkStart w:id="2078" w:name="_ETM_Q3_746478"/>
      <w:bookmarkStart w:id="2079" w:name="_ETM_Q3_744925"/>
      <w:bookmarkStart w:id="2080" w:name="_ETM_Q3_745020"/>
      <w:bookmarkEnd w:id="2077"/>
      <w:bookmarkEnd w:id="2078"/>
      <w:bookmarkEnd w:id="2079"/>
      <w:bookmarkEnd w:id="2080"/>
      <w:r>
        <w:rPr>
          <w:rFonts w:hint="cs"/>
          <w:rtl/>
        </w:rPr>
        <w:t xml:space="preserve">אדוני </w:t>
      </w:r>
      <w:bookmarkStart w:id="2081" w:name="_ETM_Q3_745100"/>
      <w:bookmarkEnd w:id="2081"/>
      <w:r>
        <w:rPr>
          <w:rFonts w:hint="cs"/>
          <w:rtl/>
        </w:rPr>
        <w:t xml:space="preserve">היושב-ראש, </w:t>
      </w:r>
      <w:bookmarkStart w:id="2082" w:name="_ETM_Q3_745669"/>
      <w:bookmarkEnd w:id="2082"/>
      <w:r>
        <w:rPr>
          <w:rFonts w:hint="cs"/>
          <w:rtl/>
        </w:rPr>
        <w:t xml:space="preserve">כנסת </w:t>
      </w:r>
      <w:bookmarkStart w:id="2083" w:name="_ETM_Q3_746030"/>
      <w:bookmarkEnd w:id="2083"/>
      <w:r>
        <w:rPr>
          <w:rFonts w:hint="cs"/>
          <w:rtl/>
        </w:rPr>
        <w:t xml:space="preserve">נכבדה, </w:t>
      </w:r>
      <w:bookmarkStart w:id="2084" w:name="_ETM_Q3_748069"/>
      <w:bookmarkEnd w:id="2084"/>
      <w:r>
        <w:rPr>
          <w:rFonts w:hint="cs"/>
          <w:rtl/>
        </w:rPr>
        <w:t xml:space="preserve">צעדתי </w:t>
      </w:r>
      <w:bookmarkStart w:id="2085" w:name="_ETM_Q3_748669"/>
      <w:bookmarkEnd w:id="2085"/>
      <w:r>
        <w:rPr>
          <w:rFonts w:hint="cs"/>
          <w:rtl/>
        </w:rPr>
        <w:t xml:space="preserve">אתמול </w:t>
      </w:r>
      <w:bookmarkStart w:id="2086" w:name="_ETM_Q3_749150"/>
      <w:bookmarkEnd w:id="2086"/>
      <w:r>
        <w:rPr>
          <w:rFonts w:hint="cs"/>
          <w:rtl/>
        </w:rPr>
        <w:t xml:space="preserve">על </w:t>
      </w:r>
      <w:bookmarkStart w:id="2087" w:name="_ETM_Q3_749270"/>
      <w:bookmarkEnd w:id="2087"/>
      <w:r>
        <w:rPr>
          <w:rFonts w:hint="cs"/>
          <w:rtl/>
        </w:rPr>
        <w:t xml:space="preserve">הכביש </w:t>
      </w:r>
      <w:bookmarkStart w:id="2088" w:name="_ETM_Q3_749599"/>
      <w:bookmarkEnd w:id="2088"/>
      <w:r>
        <w:rPr>
          <w:rFonts w:hint="cs"/>
          <w:rtl/>
        </w:rPr>
        <w:t xml:space="preserve">לירושלים </w:t>
      </w:r>
      <w:bookmarkStart w:id="2089" w:name="_ETM_Q3_750319"/>
      <w:bookmarkEnd w:id="2089"/>
      <w:r>
        <w:rPr>
          <w:rFonts w:hint="cs"/>
          <w:rtl/>
        </w:rPr>
        <w:t xml:space="preserve">יחד </w:t>
      </w:r>
      <w:bookmarkStart w:id="2090" w:name="_ETM_Q3_750650"/>
      <w:bookmarkEnd w:id="2090"/>
      <w:r>
        <w:rPr>
          <w:rFonts w:hint="cs"/>
          <w:rtl/>
        </w:rPr>
        <w:t xml:space="preserve">עם </w:t>
      </w:r>
      <w:bookmarkStart w:id="2091" w:name="_ETM_Q3_750800"/>
      <w:bookmarkEnd w:id="2091"/>
      <w:r>
        <w:rPr>
          <w:rFonts w:hint="cs"/>
          <w:rtl/>
        </w:rPr>
        <w:t xml:space="preserve">עשרות </w:t>
      </w:r>
      <w:bookmarkStart w:id="2092" w:name="_ETM_Q3_751309"/>
      <w:bookmarkEnd w:id="2092"/>
      <w:r>
        <w:rPr>
          <w:rFonts w:hint="cs"/>
          <w:rtl/>
        </w:rPr>
        <w:t xml:space="preserve">אלפי </w:t>
      </w:r>
      <w:bookmarkStart w:id="2093" w:name="_ETM_Q3_751639"/>
      <w:bookmarkEnd w:id="2093"/>
      <w:r>
        <w:rPr>
          <w:rFonts w:hint="cs"/>
          <w:rtl/>
        </w:rPr>
        <w:t xml:space="preserve">אנשים, </w:t>
      </w:r>
      <w:bookmarkStart w:id="2094" w:name="_ETM_Q3_753380"/>
      <w:bookmarkEnd w:id="2094"/>
      <w:r>
        <w:rPr>
          <w:rFonts w:hint="cs"/>
          <w:rtl/>
        </w:rPr>
        <w:t xml:space="preserve">צעדתי </w:t>
      </w:r>
      <w:bookmarkStart w:id="2095" w:name="_ETM_Q3_753890"/>
      <w:bookmarkEnd w:id="2095"/>
      <w:r>
        <w:rPr>
          <w:rFonts w:hint="cs"/>
          <w:rtl/>
        </w:rPr>
        <w:t xml:space="preserve">ונזכרתי </w:t>
      </w:r>
      <w:bookmarkStart w:id="2096" w:name="_ETM_Q3_754730"/>
      <w:bookmarkEnd w:id="2096"/>
      <w:r>
        <w:rPr>
          <w:rFonts w:hint="cs"/>
          <w:rtl/>
        </w:rPr>
        <w:t xml:space="preserve">במה </w:t>
      </w:r>
      <w:bookmarkStart w:id="2097" w:name="_ETM_Q3_755059"/>
      <w:bookmarkEnd w:id="2097"/>
      <w:r>
        <w:rPr>
          <w:rFonts w:hint="cs"/>
          <w:rtl/>
        </w:rPr>
        <w:t xml:space="preserve">שאמר </w:t>
      </w:r>
      <w:bookmarkStart w:id="2098" w:name="_ETM_Q3_755960"/>
      <w:bookmarkEnd w:id="2098"/>
      <w:r>
        <w:rPr>
          <w:rFonts w:hint="cs"/>
          <w:rtl/>
        </w:rPr>
        <w:t xml:space="preserve">הרב </w:t>
      </w:r>
      <w:bookmarkStart w:id="2099" w:name="_ETM_Q3_756290"/>
      <w:bookmarkEnd w:id="2099"/>
      <w:r>
        <w:rPr>
          <w:rFonts w:hint="cs"/>
          <w:rtl/>
        </w:rPr>
        <w:t xml:space="preserve">אברהם </w:t>
      </w:r>
      <w:bookmarkStart w:id="2100" w:name="_ETM_Q3_756650"/>
      <w:bookmarkEnd w:id="2100"/>
      <w:r>
        <w:rPr>
          <w:rFonts w:hint="cs"/>
          <w:rtl/>
        </w:rPr>
        <w:t xml:space="preserve">יהושע </w:t>
      </w:r>
      <w:bookmarkStart w:id="2101" w:name="_ETM_Q3_756950"/>
      <w:bookmarkEnd w:id="2101"/>
      <w:r>
        <w:rPr>
          <w:rFonts w:hint="cs"/>
          <w:rtl/>
        </w:rPr>
        <w:t xml:space="preserve">השל </w:t>
      </w:r>
      <w:bookmarkStart w:id="2102" w:name="_ETM_Q3_758030"/>
      <w:bookmarkEnd w:id="2102"/>
      <w:r>
        <w:rPr>
          <w:rFonts w:hint="cs"/>
          <w:rtl/>
        </w:rPr>
        <w:t xml:space="preserve">אחרי </w:t>
      </w:r>
      <w:bookmarkStart w:id="2103" w:name="_ETM_Q3_758240"/>
      <w:bookmarkEnd w:id="2103"/>
      <w:r>
        <w:rPr>
          <w:rFonts w:hint="cs"/>
          <w:rtl/>
        </w:rPr>
        <w:t xml:space="preserve">שהוא </w:t>
      </w:r>
      <w:bookmarkStart w:id="2104" w:name="_ETM_Q3_758420"/>
      <w:bookmarkEnd w:id="2104"/>
      <w:r>
        <w:rPr>
          <w:rFonts w:hint="cs"/>
          <w:rtl/>
        </w:rPr>
        <w:t xml:space="preserve">צעד </w:t>
      </w:r>
      <w:bookmarkStart w:id="2105" w:name="_ETM_Q3_758809"/>
      <w:bookmarkStart w:id="2106" w:name="_ETM_Q3_759170"/>
      <w:bookmarkStart w:id="2107" w:name="_ETM_Q3_759320"/>
      <w:bookmarkStart w:id="2108" w:name="_ETM_Q3_759740"/>
      <w:bookmarkEnd w:id="2105"/>
      <w:bookmarkEnd w:id="2106"/>
      <w:bookmarkEnd w:id="2107"/>
      <w:bookmarkEnd w:id="2108"/>
      <w:r>
        <w:rPr>
          <w:rFonts w:hint="cs"/>
          <w:rtl/>
        </w:rPr>
        <w:t xml:space="preserve">עם </w:t>
      </w:r>
      <w:bookmarkStart w:id="2109" w:name="_ETM_Q3_758445"/>
      <w:bookmarkEnd w:id="2109"/>
      <w:r>
        <w:rPr>
          <w:rFonts w:hint="cs"/>
          <w:rtl/>
        </w:rPr>
        <w:t xml:space="preserve">מרטין לותר קינג מסלמה </w:t>
      </w:r>
      <w:bookmarkStart w:id="2110" w:name="_ETM_Q3_760340"/>
      <w:bookmarkEnd w:id="2110"/>
      <w:r>
        <w:rPr>
          <w:rFonts w:hint="cs"/>
          <w:rtl/>
        </w:rPr>
        <w:t xml:space="preserve">למונטגומרי. </w:t>
      </w:r>
      <w:bookmarkStart w:id="2111" w:name="_ETM_Q3_761759"/>
      <w:bookmarkStart w:id="2112" w:name="TOR_Q4"/>
      <w:bookmarkStart w:id="2113" w:name="_ETM_Q4_181180"/>
      <w:bookmarkEnd w:id="2111"/>
      <w:bookmarkEnd w:id="2112"/>
      <w:bookmarkEnd w:id="2113"/>
      <w:r>
        <w:rPr>
          <w:rFonts w:hint="cs"/>
          <w:rtl/>
        </w:rPr>
        <w:t xml:space="preserve">הוא אמר: רגליי נשאו היום תפילה. רגלינו התפללו אתמול </w:t>
      </w:r>
      <w:bookmarkStart w:id="2114" w:name="_ETM_Q4_168000"/>
      <w:bookmarkEnd w:id="2114"/>
      <w:r>
        <w:rPr>
          <w:rFonts w:hint="cs"/>
          <w:rtl/>
        </w:rPr>
        <w:t xml:space="preserve">לשלומה של מדינת ישראל, לאחדותה של מדינת ישראל, לביטחונה </w:t>
      </w:r>
      <w:bookmarkStart w:id="2115" w:name="_ETM_Q4_173000"/>
      <w:bookmarkEnd w:id="2115"/>
      <w:r>
        <w:rPr>
          <w:rFonts w:hint="cs"/>
          <w:rtl/>
        </w:rPr>
        <w:t xml:space="preserve">של מדינת ישראל. זו הייתה צעדה שמחה של </w:t>
      </w:r>
      <w:bookmarkStart w:id="2116" w:name="_ETM_Q4_175000"/>
      <w:bookmarkEnd w:id="2116"/>
      <w:r>
        <w:rPr>
          <w:rFonts w:hint="cs"/>
          <w:rtl/>
        </w:rPr>
        <w:t xml:space="preserve">אנשים עצובים. הם </w:t>
      </w:r>
      <w:bookmarkStart w:id="2117" w:name="_ETM_Q4_181329"/>
      <w:bookmarkEnd w:id="2117"/>
      <w:r>
        <w:rPr>
          <w:rFonts w:hint="cs"/>
          <w:rtl/>
        </w:rPr>
        <w:t xml:space="preserve">רואים </w:t>
      </w:r>
      <w:bookmarkStart w:id="2118" w:name="_ETM_Q4_181870"/>
      <w:bookmarkEnd w:id="2118"/>
      <w:r>
        <w:rPr>
          <w:rFonts w:hint="cs"/>
          <w:rtl/>
        </w:rPr>
        <w:t xml:space="preserve">איך </w:t>
      </w:r>
      <w:bookmarkStart w:id="2119" w:name="_ETM_Q4_182050"/>
      <w:bookmarkEnd w:id="2119"/>
      <w:r>
        <w:rPr>
          <w:rFonts w:hint="cs"/>
          <w:rtl/>
        </w:rPr>
        <w:t xml:space="preserve">הממשלה </w:t>
      </w:r>
      <w:bookmarkStart w:id="2120" w:name="_ETM_Q4_182590"/>
      <w:bookmarkEnd w:id="2120"/>
      <w:r>
        <w:rPr>
          <w:rFonts w:hint="cs"/>
          <w:rtl/>
        </w:rPr>
        <w:t xml:space="preserve">מרסקת </w:t>
      </w:r>
      <w:bookmarkStart w:id="2121" w:name="_ETM_Q4_183129"/>
      <w:bookmarkStart w:id="2122" w:name="_ETM_Q4_183250"/>
      <w:bookmarkEnd w:id="2121"/>
      <w:bookmarkEnd w:id="2122"/>
      <w:r>
        <w:rPr>
          <w:rFonts w:hint="cs"/>
          <w:rtl/>
        </w:rPr>
        <w:t xml:space="preserve">כל </w:t>
      </w:r>
      <w:bookmarkStart w:id="2123" w:name="_ETM_Q4_183460"/>
      <w:bookmarkEnd w:id="2123"/>
      <w:r>
        <w:rPr>
          <w:rFonts w:hint="cs"/>
          <w:rtl/>
        </w:rPr>
        <w:t xml:space="preserve">מה </w:t>
      </w:r>
      <w:bookmarkStart w:id="2124" w:name="_ETM_Q4_183580"/>
      <w:bookmarkEnd w:id="2124"/>
      <w:r>
        <w:rPr>
          <w:rFonts w:hint="cs"/>
          <w:rtl/>
        </w:rPr>
        <w:t xml:space="preserve">שקדוש </w:t>
      </w:r>
      <w:bookmarkStart w:id="2125" w:name="_ETM_Q4_184150"/>
      <w:bookmarkEnd w:id="2125"/>
      <w:r>
        <w:rPr>
          <w:rFonts w:hint="cs"/>
          <w:rtl/>
        </w:rPr>
        <w:t xml:space="preserve">להם, </w:t>
      </w:r>
      <w:bookmarkStart w:id="2126" w:name="_ETM_Q4_184390"/>
      <w:bookmarkEnd w:id="2126"/>
      <w:r>
        <w:rPr>
          <w:rFonts w:hint="cs"/>
          <w:rtl/>
        </w:rPr>
        <w:t xml:space="preserve">והם </w:t>
      </w:r>
      <w:bookmarkStart w:id="2127" w:name="_ETM_Q4_184600"/>
      <w:bookmarkEnd w:id="2127"/>
      <w:r>
        <w:rPr>
          <w:rFonts w:hint="cs"/>
          <w:rtl/>
        </w:rPr>
        <w:t xml:space="preserve">החליטו </w:t>
      </w:r>
      <w:bookmarkStart w:id="2128" w:name="_ETM_Q4_185019"/>
      <w:bookmarkEnd w:id="2128"/>
      <w:r>
        <w:rPr>
          <w:rFonts w:hint="cs"/>
          <w:rtl/>
        </w:rPr>
        <w:t xml:space="preserve">לא </w:t>
      </w:r>
      <w:bookmarkStart w:id="2129" w:name="_ETM_Q4_185170"/>
      <w:bookmarkEnd w:id="2129"/>
      <w:r>
        <w:rPr>
          <w:rFonts w:hint="cs"/>
          <w:rtl/>
        </w:rPr>
        <w:t xml:space="preserve">לשתוק. </w:t>
      </w:r>
      <w:bookmarkStart w:id="2130" w:name="_ETM_Q4_186490"/>
      <w:bookmarkEnd w:id="2130"/>
    </w:p>
    <w:p w:rsidR="000C5C1F" w:rsidRDefault="000C5C1F" w:rsidP="000C5C1F">
      <w:pPr>
        <w:ind w:firstLine="0"/>
        <w:rPr>
          <w:rtl/>
        </w:rPr>
      </w:pPr>
      <w:bookmarkStart w:id="2131" w:name="_ETM_Q4_191000"/>
      <w:bookmarkEnd w:id="2131"/>
    </w:p>
    <w:p w:rsidR="000C5C1F" w:rsidRDefault="000C5C1F" w:rsidP="000C5C1F">
      <w:pPr>
        <w:rPr>
          <w:rtl/>
        </w:rPr>
      </w:pPr>
      <w:bookmarkStart w:id="2132" w:name="_ETM_Q4_192000"/>
      <w:bookmarkEnd w:id="2132"/>
      <w:r>
        <w:rPr>
          <w:rFonts w:hint="cs"/>
          <w:rtl/>
        </w:rPr>
        <w:t xml:space="preserve">אני </w:t>
      </w:r>
      <w:bookmarkStart w:id="2133" w:name="_ETM_Q4_186700"/>
      <w:bookmarkEnd w:id="2133"/>
      <w:r>
        <w:rPr>
          <w:rFonts w:hint="cs"/>
          <w:rtl/>
        </w:rPr>
        <w:t xml:space="preserve">אומר </w:t>
      </w:r>
      <w:bookmarkStart w:id="2134" w:name="_ETM_Q4_186880"/>
      <w:bookmarkEnd w:id="2134"/>
      <w:r>
        <w:rPr>
          <w:rFonts w:hint="cs"/>
          <w:rtl/>
        </w:rPr>
        <w:t xml:space="preserve">מפה </w:t>
      </w:r>
      <w:bookmarkStart w:id="2135" w:name="_ETM_Q4_188550"/>
      <w:bookmarkEnd w:id="2135"/>
      <w:r>
        <w:rPr>
          <w:rFonts w:hint="cs"/>
          <w:rtl/>
        </w:rPr>
        <w:t xml:space="preserve">לאלה </w:t>
      </w:r>
      <w:bookmarkStart w:id="2136" w:name="_ETM_Q4_189000"/>
      <w:bookmarkEnd w:id="2136"/>
      <w:r>
        <w:rPr>
          <w:rFonts w:hint="cs"/>
          <w:rtl/>
        </w:rPr>
        <w:t xml:space="preserve">שצעדו </w:t>
      </w:r>
      <w:bookmarkStart w:id="2137" w:name="_ETM_Q4_189690"/>
      <w:bookmarkEnd w:id="2137"/>
      <w:r>
        <w:rPr>
          <w:rFonts w:hint="cs"/>
          <w:rtl/>
        </w:rPr>
        <w:t xml:space="preserve">במשך </w:t>
      </w:r>
      <w:bookmarkStart w:id="2138" w:name="_ETM_Q4_190110"/>
      <w:bookmarkEnd w:id="2138"/>
      <w:r>
        <w:rPr>
          <w:rFonts w:hint="cs"/>
          <w:rtl/>
        </w:rPr>
        <w:t xml:space="preserve">כל </w:t>
      </w:r>
      <w:bookmarkStart w:id="2139" w:name="_ETM_Q4_190320"/>
      <w:bookmarkEnd w:id="2139"/>
      <w:r>
        <w:rPr>
          <w:rFonts w:hint="cs"/>
          <w:rtl/>
        </w:rPr>
        <w:t xml:space="preserve">סוף </w:t>
      </w:r>
      <w:bookmarkStart w:id="2140" w:name="_ETM_Q4_190559"/>
      <w:bookmarkEnd w:id="2140"/>
      <w:r>
        <w:rPr>
          <w:rFonts w:hint="cs"/>
          <w:rtl/>
        </w:rPr>
        <w:t xml:space="preserve">השבוע, </w:t>
      </w:r>
      <w:bookmarkStart w:id="2141" w:name="_ETM_Q4_191460"/>
      <w:bookmarkEnd w:id="2141"/>
      <w:r>
        <w:rPr>
          <w:rFonts w:hint="cs"/>
          <w:rtl/>
        </w:rPr>
        <w:t xml:space="preserve">לאלה </w:t>
      </w:r>
      <w:bookmarkStart w:id="2142" w:name="_ETM_Q4_191730"/>
      <w:bookmarkEnd w:id="2142"/>
      <w:r>
        <w:rPr>
          <w:rFonts w:hint="cs"/>
          <w:rtl/>
        </w:rPr>
        <w:t xml:space="preserve">שהגיעו </w:t>
      </w:r>
      <w:bookmarkStart w:id="2143" w:name="_ETM_Q4_192240"/>
      <w:bookmarkEnd w:id="2143"/>
      <w:r>
        <w:rPr>
          <w:rFonts w:hint="cs"/>
          <w:rtl/>
        </w:rPr>
        <w:t xml:space="preserve">היום </w:t>
      </w:r>
      <w:bookmarkStart w:id="2144" w:name="_ETM_Q4_192809"/>
      <w:bookmarkEnd w:id="2144"/>
      <w:r>
        <w:rPr>
          <w:rFonts w:hint="cs"/>
          <w:rtl/>
        </w:rPr>
        <w:t xml:space="preserve">לירושלים: </w:t>
      </w:r>
      <w:bookmarkStart w:id="2145" w:name="_ETM_Q4_194469"/>
      <w:bookmarkEnd w:id="2145"/>
      <w:r>
        <w:rPr>
          <w:rFonts w:hint="cs"/>
          <w:rtl/>
        </w:rPr>
        <w:t xml:space="preserve">קולכם </w:t>
      </w:r>
      <w:bookmarkStart w:id="2146" w:name="_ETM_Q4_195490"/>
      <w:bookmarkEnd w:id="2146"/>
      <w:r>
        <w:rPr>
          <w:rFonts w:hint="cs"/>
          <w:rtl/>
        </w:rPr>
        <w:t xml:space="preserve">נשמע. </w:t>
      </w:r>
      <w:bookmarkStart w:id="2147" w:name="_ETM_Q4_197930"/>
      <w:bookmarkEnd w:id="2147"/>
      <w:r>
        <w:rPr>
          <w:rFonts w:hint="cs"/>
          <w:rtl/>
        </w:rPr>
        <w:t xml:space="preserve">הם </w:t>
      </w:r>
      <w:bookmarkStart w:id="2148" w:name="_ETM_Q4_198079"/>
      <w:bookmarkEnd w:id="2148"/>
      <w:r>
        <w:rPr>
          <w:rFonts w:hint="cs"/>
          <w:rtl/>
        </w:rPr>
        <w:t xml:space="preserve">יעמידו </w:t>
      </w:r>
      <w:bookmarkStart w:id="2149" w:name="_ETM_Q4_198560"/>
      <w:bookmarkEnd w:id="2149"/>
      <w:r>
        <w:rPr>
          <w:rFonts w:hint="cs"/>
          <w:rtl/>
        </w:rPr>
        <w:t xml:space="preserve">פנים </w:t>
      </w:r>
      <w:bookmarkStart w:id="2150" w:name="_ETM_Q4_198890"/>
      <w:bookmarkEnd w:id="2150"/>
      <w:r>
        <w:rPr>
          <w:rFonts w:hint="cs"/>
          <w:rtl/>
        </w:rPr>
        <w:t xml:space="preserve">שלא </w:t>
      </w:r>
      <w:bookmarkStart w:id="2151" w:name="_ETM_Q4_199130"/>
      <w:bookmarkEnd w:id="2151"/>
      <w:r>
        <w:rPr>
          <w:rFonts w:hint="cs"/>
          <w:rtl/>
        </w:rPr>
        <w:t xml:space="preserve">אכפת </w:t>
      </w:r>
      <w:bookmarkStart w:id="2152" w:name="_ETM_Q4_199550"/>
      <w:bookmarkEnd w:id="2152"/>
      <w:r>
        <w:rPr>
          <w:rFonts w:hint="cs"/>
          <w:rtl/>
        </w:rPr>
        <w:t>להם</w:t>
      </w:r>
      <w:bookmarkStart w:id="2153" w:name="_ETM_Q4_199850"/>
      <w:bookmarkEnd w:id="2153"/>
      <w:r>
        <w:rPr>
          <w:rFonts w:hint="cs"/>
          <w:rtl/>
        </w:rPr>
        <w:t xml:space="preserve"> </w:t>
      </w:r>
      <w:r>
        <w:t>–</w:t>
      </w:r>
      <w:r>
        <w:rPr>
          <w:rtl/>
        </w:rPr>
        <w:t xml:space="preserve"> </w:t>
      </w:r>
      <w:r>
        <w:rPr>
          <w:rFonts w:hint="cs"/>
          <w:rtl/>
        </w:rPr>
        <w:t xml:space="preserve">אכפת </w:t>
      </w:r>
      <w:bookmarkStart w:id="2154" w:name="_ETM_Q4_200239"/>
      <w:bookmarkEnd w:id="2154"/>
      <w:r>
        <w:rPr>
          <w:rFonts w:hint="cs"/>
          <w:rtl/>
        </w:rPr>
        <w:t xml:space="preserve">להם; </w:t>
      </w:r>
      <w:bookmarkStart w:id="2155" w:name="_ETM_Q4_201420"/>
      <w:bookmarkEnd w:id="2155"/>
      <w:r>
        <w:rPr>
          <w:rFonts w:hint="cs"/>
          <w:rtl/>
        </w:rPr>
        <w:t xml:space="preserve">הם </w:t>
      </w:r>
      <w:bookmarkStart w:id="2156" w:name="_ETM_Q4_201570"/>
      <w:bookmarkEnd w:id="2156"/>
      <w:r>
        <w:rPr>
          <w:rFonts w:hint="cs"/>
          <w:rtl/>
        </w:rPr>
        <w:t xml:space="preserve">יעמידו </w:t>
      </w:r>
      <w:bookmarkStart w:id="2157" w:name="_ETM_Q4_201960"/>
      <w:bookmarkEnd w:id="2157"/>
      <w:r>
        <w:rPr>
          <w:rFonts w:hint="cs"/>
          <w:rtl/>
        </w:rPr>
        <w:t xml:space="preserve">פנים </w:t>
      </w:r>
      <w:bookmarkStart w:id="2158" w:name="_ETM_Q4_202320"/>
      <w:bookmarkEnd w:id="2158"/>
      <w:r>
        <w:rPr>
          <w:rFonts w:hint="cs"/>
          <w:rtl/>
        </w:rPr>
        <w:t xml:space="preserve">שזה </w:t>
      </w:r>
      <w:bookmarkStart w:id="2159" w:name="_ETM_Q4_202620"/>
      <w:bookmarkEnd w:id="2159"/>
      <w:r>
        <w:rPr>
          <w:rFonts w:hint="cs"/>
          <w:rtl/>
        </w:rPr>
        <w:t xml:space="preserve">לא </w:t>
      </w:r>
      <w:bookmarkStart w:id="2160" w:name="_ETM_Q4_202710"/>
      <w:bookmarkEnd w:id="2160"/>
      <w:r>
        <w:rPr>
          <w:rFonts w:hint="cs"/>
          <w:rtl/>
        </w:rPr>
        <w:t xml:space="preserve">משנה </w:t>
      </w:r>
      <w:bookmarkStart w:id="2161" w:name="_ETM_Q4_203130"/>
      <w:bookmarkEnd w:id="2161"/>
      <w:r>
        <w:rPr>
          <w:rFonts w:hint="cs"/>
          <w:rtl/>
        </w:rPr>
        <w:t xml:space="preserve">כלום </w:t>
      </w:r>
      <w:r>
        <w:t>–</w:t>
      </w:r>
      <w:r>
        <w:rPr>
          <w:rFonts w:hint="cs"/>
          <w:rtl/>
        </w:rPr>
        <w:t xml:space="preserve"> </w:t>
      </w:r>
      <w:bookmarkStart w:id="2162" w:name="_ETM_Q4_203880"/>
      <w:bookmarkEnd w:id="2162"/>
      <w:r>
        <w:rPr>
          <w:rFonts w:hint="cs"/>
          <w:rtl/>
        </w:rPr>
        <w:t xml:space="preserve">זה </w:t>
      </w:r>
      <w:bookmarkStart w:id="2163" w:name="_ETM_Q4_204090"/>
      <w:bookmarkEnd w:id="2163"/>
      <w:r>
        <w:rPr>
          <w:rFonts w:hint="cs"/>
          <w:rtl/>
        </w:rPr>
        <w:t xml:space="preserve">משנה </w:t>
      </w:r>
      <w:bookmarkStart w:id="2164" w:name="_ETM_Q4_204630"/>
      <w:bookmarkEnd w:id="2164"/>
      <w:r>
        <w:rPr>
          <w:rFonts w:hint="cs"/>
          <w:rtl/>
        </w:rPr>
        <w:t xml:space="preserve">הכול. </w:t>
      </w:r>
      <w:bookmarkStart w:id="2165" w:name="_ETM_Q4_206680"/>
      <w:bookmarkStart w:id="2166" w:name="_ETM_Q4_208000"/>
      <w:bookmarkEnd w:id="2165"/>
      <w:bookmarkEnd w:id="2166"/>
      <w:r>
        <w:rPr>
          <w:rFonts w:hint="cs"/>
          <w:rtl/>
        </w:rPr>
        <w:t xml:space="preserve">גם </w:t>
      </w:r>
      <w:bookmarkStart w:id="2167" w:name="_ETM_Q4_207190"/>
      <w:bookmarkEnd w:id="2167"/>
      <w:r>
        <w:rPr>
          <w:rFonts w:hint="cs"/>
          <w:rtl/>
        </w:rPr>
        <w:t xml:space="preserve">אם </w:t>
      </w:r>
      <w:bookmarkStart w:id="2168" w:name="_ETM_Q4_207340"/>
      <w:bookmarkEnd w:id="2168"/>
      <w:r>
        <w:rPr>
          <w:rFonts w:hint="cs"/>
          <w:rtl/>
        </w:rPr>
        <w:t xml:space="preserve">חס </w:t>
      </w:r>
      <w:bookmarkStart w:id="2169" w:name="_ETM_Q4_207730"/>
      <w:bookmarkEnd w:id="2169"/>
      <w:r>
        <w:rPr>
          <w:rFonts w:hint="cs"/>
          <w:rtl/>
        </w:rPr>
        <w:t xml:space="preserve">וחלילה </w:t>
      </w:r>
      <w:bookmarkStart w:id="2170" w:name="_ETM_Q4_208330"/>
      <w:bookmarkEnd w:id="2170"/>
      <w:r>
        <w:rPr>
          <w:rFonts w:hint="cs"/>
          <w:rtl/>
        </w:rPr>
        <w:t xml:space="preserve">הסבירות </w:t>
      </w:r>
      <w:bookmarkStart w:id="2171" w:name="_ETM_Q4_208810"/>
      <w:bookmarkEnd w:id="2171"/>
      <w:r>
        <w:rPr>
          <w:rFonts w:hint="cs"/>
          <w:rtl/>
        </w:rPr>
        <w:t xml:space="preserve">תעבור </w:t>
      </w:r>
      <w:bookmarkStart w:id="2172" w:name="_ETM_Q4_209260"/>
      <w:bookmarkEnd w:id="2172"/>
      <w:r>
        <w:rPr>
          <w:rFonts w:hint="cs"/>
          <w:rtl/>
        </w:rPr>
        <w:t xml:space="preserve">מחר, </w:t>
      </w:r>
      <w:bookmarkStart w:id="2173" w:name="_ETM_Q4_210650"/>
      <w:bookmarkEnd w:id="2173"/>
      <w:r>
        <w:rPr>
          <w:rFonts w:hint="cs"/>
          <w:rtl/>
        </w:rPr>
        <w:t xml:space="preserve">הם </w:t>
      </w:r>
      <w:bookmarkStart w:id="2174" w:name="_ETM_Q4_210830"/>
      <w:bookmarkEnd w:id="2174"/>
      <w:r>
        <w:rPr>
          <w:rFonts w:hint="cs"/>
          <w:rtl/>
        </w:rPr>
        <w:t xml:space="preserve">כבר יודעים </w:t>
      </w:r>
      <w:bookmarkStart w:id="2175" w:name="_ETM_Q4_211189"/>
      <w:bookmarkStart w:id="2176" w:name="_ETM_Q4_211429"/>
      <w:bookmarkEnd w:id="2175"/>
      <w:bookmarkEnd w:id="2176"/>
      <w:r>
        <w:rPr>
          <w:rFonts w:hint="cs"/>
          <w:rtl/>
        </w:rPr>
        <w:t xml:space="preserve">שהם </w:t>
      </w:r>
      <w:bookmarkStart w:id="2177" w:name="_ETM_Q4_211670"/>
      <w:bookmarkEnd w:id="2177"/>
      <w:r>
        <w:rPr>
          <w:rFonts w:hint="cs"/>
          <w:rtl/>
        </w:rPr>
        <w:t xml:space="preserve">נכשלו. </w:t>
      </w:r>
      <w:bookmarkStart w:id="2178" w:name="_ETM_Q4_213130"/>
      <w:bookmarkEnd w:id="2178"/>
      <w:r>
        <w:rPr>
          <w:rFonts w:hint="cs"/>
          <w:rtl/>
        </w:rPr>
        <w:t xml:space="preserve">ממשלת </w:t>
      </w:r>
      <w:bookmarkStart w:id="2179" w:name="_ETM_Q4_213640"/>
      <w:bookmarkEnd w:id="2179"/>
      <w:r>
        <w:rPr>
          <w:rFonts w:hint="cs"/>
          <w:rtl/>
        </w:rPr>
        <w:t xml:space="preserve">ישראל </w:t>
      </w:r>
      <w:bookmarkStart w:id="2180" w:name="_ETM_Q4_214030"/>
      <w:bookmarkEnd w:id="2180"/>
      <w:r>
        <w:rPr>
          <w:rFonts w:hint="cs"/>
          <w:rtl/>
        </w:rPr>
        <w:t xml:space="preserve">יצאה </w:t>
      </w:r>
      <w:bookmarkStart w:id="2181" w:name="_ETM_Q4_214510"/>
      <w:bookmarkEnd w:id="2181"/>
      <w:r>
        <w:rPr>
          <w:rFonts w:hint="cs"/>
          <w:rtl/>
        </w:rPr>
        <w:t xml:space="preserve">למלחמת </w:t>
      </w:r>
      <w:bookmarkStart w:id="2182" w:name="_ETM_Q4_215440"/>
      <w:bookmarkEnd w:id="2182"/>
      <w:r>
        <w:rPr>
          <w:rFonts w:hint="cs"/>
          <w:rtl/>
        </w:rPr>
        <w:t xml:space="preserve">התשה </w:t>
      </w:r>
      <w:bookmarkStart w:id="2183" w:name="_ETM_Q4_216680"/>
      <w:bookmarkEnd w:id="2183"/>
      <w:r>
        <w:rPr>
          <w:rFonts w:hint="cs"/>
          <w:rtl/>
        </w:rPr>
        <w:t xml:space="preserve">נגד </w:t>
      </w:r>
      <w:bookmarkStart w:id="2184" w:name="_ETM_Q4_216979"/>
      <w:bookmarkEnd w:id="2184"/>
      <w:r>
        <w:rPr>
          <w:rFonts w:hint="cs"/>
          <w:rtl/>
        </w:rPr>
        <w:t xml:space="preserve">אזרחי </w:t>
      </w:r>
      <w:bookmarkStart w:id="2185" w:name="_ETM_Q4_217490"/>
      <w:bookmarkEnd w:id="2185"/>
      <w:r>
        <w:rPr>
          <w:rFonts w:hint="cs"/>
          <w:rtl/>
        </w:rPr>
        <w:t xml:space="preserve">ישראל, </w:t>
      </w:r>
      <w:bookmarkStart w:id="2186" w:name="_ETM_Q4_218270"/>
      <w:bookmarkEnd w:id="2186"/>
      <w:r>
        <w:rPr>
          <w:rFonts w:hint="cs"/>
          <w:rtl/>
        </w:rPr>
        <w:t xml:space="preserve">וגילתה </w:t>
      </w:r>
      <w:bookmarkStart w:id="2187" w:name="_ETM_Q4_218810"/>
      <w:bookmarkEnd w:id="2187"/>
      <w:r>
        <w:rPr>
          <w:rFonts w:hint="cs"/>
          <w:rtl/>
        </w:rPr>
        <w:t>שאי</w:t>
      </w:r>
      <w:bookmarkStart w:id="2188" w:name="_ETM_Q4_219020"/>
      <w:bookmarkEnd w:id="2188"/>
      <w:r>
        <w:rPr>
          <w:rFonts w:hint="cs"/>
          <w:rtl/>
        </w:rPr>
        <w:t xml:space="preserve">-אפשר </w:t>
      </w:r>
      <w:bookmarkStart w:id="2189" w:name="_ETM_Q4_219260"/>
      <w:bookmarkEnd w:id="2189"/>
      <w:r>
        <w:rPr>
          <w:rFonts w:hint="cs"/>
          <w:rtl/>
        </w:rPr>
        <w:t xml:space="preserve">להתיש </w:t>
      </w:r>
      <w:bookmarkStart w:id="2190" w:name="_ETM_Q4_219620"/>
      <w:bookmarkEnd w:id="2190"/>
      <w:r>
        <w:rPr>
          <w:rFonts w:hint="cs"/>
          <w:rtl/>
        </w:rPr>
        <w:t xml:space="preserve">אותם. </w:t>
      </w:r>
      <w:bookmarkStart w:id="2191" w:name="_ETM_Q4_220640"/>
      <w:bookmarkEnd w:id="2191"/>
      <w:r>
        <w:rPr>
          <w:rFonts w:hint="cs"/>
          <w:rtl/>
        </w:rPr>
        <w:t xml:space="preserve">אנחנו </w:t>
      </w:r>
      <w:bookmarkStart w:id="2192" w:name="_ETM_Q4_220940"/>
      <w:bookmarkEnd w:id="2192"/>
      <w:r>
        <w:rPr>
          <w:rFonts w:hint="cs"/>
          <w:rtl/>
        </w:rPr>
        <w:t xml:space="preserve">לא </w:t>
      </w:r>
      <w:bookmarkStart w:id="2193" w:name="_ETM_Q4_222420"/>
      <w:bookmarkEnd w:id="2193"/>
      <w:r>
        <w:rPr>
          <w:rFonts w:hint="cs"/>
          <w:rtl/>
        </w:rPr>
        <w:t xml:space="preserve">נוותר </w:t>
      </w:r>
      <w:bookmarkStart w:id="2194" w:name="_ETM_Q4_223079"/>
      <w:bookmarkEnd w:id="2194"/>
      <w:r>
        <w:rPr>
          <w:rFonts w:hint="cs"/>
          <w:rtl/>
        </w:rPr>
        <w:t xml:space="preserve">על </w:t>
      </w:r>
      <w:bookmarkStart w:id="2195" w:name="_ETM_Q4_223229"/>
      <w:bookmarkEnd w:id="2195"/>
      <w:r>
        <w:rPr>
          <w:rFonts w:hint="cs"/>
          <w:rtl/>
        </w:rPr>
        <w:t xml:space="preserve">עתיד </w:t>
      </w:r>
      <w:bookmarkStart w:id="2196" w:name="_ETM_Q4_223559"/>
      <w:bookmarkEnd w:id="2196"/>
      <w:r>
        <w:rPr>
          <w:rFonts w:hint="cs"/>
          <w:rtl/>
        </w:rPr>
        <w:t xml:space="preserve">הילדים </w:t>
      </w:r>
      <w:bookmarkStart w:id="2197" w:name="_ETM_Q4_223979"/>
      <w:bookmarkEnd w:id="2197"/>
      <w:r>
        <w:rPr>
          <w:rFonts w:hint="cs"/>
          <w:rtl/>
        </w:rPr>
        <w:t xml:space="preserve">שלנו. </w:t>
      </w:r>
      <w:bookmarkStart w:id="2198" w:name="_ETM_Q4_225479"/>
      <w:bookmarkEnd w:id="2198"/>
    </w:p>
    <w:p w:rsidR="000C5C1F" w:rsidRDefault="000C5C1F" w:rsidP="000C5C1F">
      <w:pPr>
        <w:rPr>
          <w:rtl/>
        </w:rPr>
      </w:pPr>
    </w:p>
    <w:p w:rsidR="000C5C1F" w:rsidRDefault="000C5C1F" w:rsidP="000C5C1F">
      <w:pPr>
        <w:rPr>
          <w:rtl/>
        </w:rPr>
      </w:pPr>
      <w:bookmarkStart w:id="2199" w:name="_ETM_Q4_224000"/>
      <w:bookmarkEnd w:id="2199"/>
      <w:r>
        <w:rPr>
          <w:rFonts w:hint="cs"/>
          <w:rtl/>
        </w:rPr>
        <w:t xml:space="preserve">הממשלה </w:t>
      </w:r>
      <w:bookmarkStart w:id="2200" w:name="_ETM_Q4_225930"/>
      <w:bookmarkEnd w:id="2200"/>
      <w:r>
        <w:rPr>
          <w:rFonts w:hint="cs"/>
          <w:rtl/>
        </w:rPr>
        <w:t xml:space="preserve">הזו </w:t>
      </w:r>
      <w:bookmarkStart w:id="2201" w:name="_ETM_Q4_226170"/>
      <w:bookmarkEnd w:id="2201"/>
      <w:r>
        <w:rPr>
          <w:rFonts w:hint="cs"/>
          <w:rtl/>
        </w:rPr>
        <w:t xml:space="preserve">רוצה </w:t>
      </w:r>
      <w:bookmarkStart w:id="2202" w:name="_ETM_Q4_226620"/>
      <w:bookmarkEnd w:id="2202"/>
      <w:r>
        <w:rPr>
          <w:rFonts w:hint="cs"/>
          <w:rtl/>
        </w:rPr>
        <w:t xml:space="preserve">להפוך </w:t>
      </w:r>
      <w:bookmarkStart w:id="2203" w:name="_ETM_Q4_227070"/>
      <w:bookmarkEnd w:id="2203"/>
      <w:r>
        <w:rPr>
          <w:rFonts w:hint="cs"/>
          <w:rtl/>
        </w:rPr>
        <w:t xml:space="preserve">אותנו </w:t>
      </w:r>
      <w:bookmarkStart w:id="2204" w:name="_ETM_Q4_228200"/>
      <w:bookmarkEnd w:id="2204"/>
      <w:r>
        <w:rPr>
          <w:rFonts w:hint="cs"/>
          <w:rtl/>
        </w:rPr>
        <w:t xml:space="preserve">להונגריה </w:t>
      </w:r>
      <w:bookmarkStart w:id="2205" w:name="_ETM_Q4_228830"/>
      <w:bookmarkEnd w:id="2205"/>
      <w:r>
        <w:rPr>
          <w:rFonts w:hint="cs"/>
          <w:rtl/>
        </w:rPr>
        <w:t xml:space="preserve">– אנחנו </w:t>
      </w:r>
      <w:bookmarkStart w:id="2206" w:name="_ETM_Q4_230200"/>
      <w:bookmarkEnd w:id="2206"/>
      <w:r>
        <w:rPr>
          <w:rFonts w:hint="cs"/>
          <w:rtl/>
        </w:rPr>
        <w:t xml:space="preserve">לא </w:t>
      </w:r>
      <w:bookmarkStart w:id="2207" w:name="_ETM_Q4_230350"/>
      <w:bookmarkEnd w:id="2207"/>
      <w:r>
        <w:rPr>
          <w:rFonts w:hint="cs"/>
          <w:rtl/>
        </w:rPr>
        <w:t xml:space="preserve">הונגריה, </w:t>
      </w:r>
      <w:bookmarkStart w:id="2208" w:name="_ETM_Q4_231190"/>
      <w:bookmarkEnd w:id="2208"/>
      <w:r>
        <w:rPr>
          <w:rFonts w:hint="cs"/>
          <w:rtl/>
        </w:rPr>
        <w:t xml:space="preserve">אנחנו </w:t>
      </w:r>
      <w:bookmarkStart w:id="2209" w:name="_ETM_Q4_231490"/>
      <w:bookmarkEnd w:id="2209"/>
      <w:r>
        <w:rPr>
          <w:rFonts w:hint="cs"/>
          <w:rtl/>
        </w:rPr>
        <w:t xml:space="preserve">לא </w:t>
      </w:r>
      <w:bookmarkStart w:id="2210" w:name="_ETM_Q4_231640"/>
      <w:bookmarkEnd w:id="2210"/>
      <w:r>
        <w:rPr>
          <w:rFonts w:hint="cs"/>
          <w:rtl/>
        </w:rPr>
        <w:t xml:space="preserve">פולין, </w:t>
      </w:r>
      <w:bookmarkStart w:id="2211" w:name="_ETM_Q4_232150"/>
      <w:bookmarkEnd w:id="2211"/>
      <w:r>
        <w:rPr>
          <w:rFonts w:hint="cs"/>
          <w:rtl/>
        </w:rPr>
        <w:t xml:space="preserve">ואנחנו </w:t>
      </w:r>
      <w:bookmarkStart w:id="2212" w:name="_ETM_Q4_232420"/>
      <w:bookmarkEnd w:id="2212"/>
      <w:r>
        <w:rPr>
          <w:rFonts w:hint="cs"/>
          <w:rtl/>
        </w:rPr>
        <w:t xml:space="preserve">גם </w:t>
      </w:r>
      <w:bookmarkStart w:id="2213" w:name="_ETM_Q4_232600"/>
      <w:bookmarkEnd w:id="2213"/>
      <w:r>
        <w:rPr>
          <w:rFonts w:hint="cs"/>
          <w:rtl/>
        </w:rPr>
        <w:t xml:space="preserve">לא </w:t>
      </w:r>
      <w:bookmarkStart w:id="2214" w:name="_ETM_Q4_232720"/>
      <w:bookmarkEnd w:id="2214"/>
      <w:r>
        <w:rPr>
          <w:rFonts w:hint="cs"/>
          <w:rtl/>
        </w:rPr>
        <w:t xml:space="preserve">נהיה. </w:t>
      </w:r>
      <w:bookmarkStart w:id="2215" w:name="_ETM_Q4_233920"/>
      <w:bookmarkEnd w:id="2215"/>
      <w:r>
        <w:rPr>
          <w:rFonts w:hint="cs"/>
          <w:rtl/>
        </w:rPr>
        <w:t xml:space="preserve">אלו </w:t>
      </w:r>
      <w:bookmarkStart w:id="2216" w:name="_ETM_Q4_234160"/>
      <w:bookmarkEnd w:id="2216"/>
      <w:r>
        <w:rPr>
          <w:rFonts w:hint="cs"/>
          <w:rtl/>
        </w:rPr>
        <w:t xml:space="preserve">מדינות </w:t>
      </w:r>
      <w:bookmarkStart w:id="2217" w:name="_ETM_Q4_234550"/>
      <w:bookmarkEnd w:id="2217"/>
      <w:r>
        <w:rPr>
          <w:rFonts w:hint="cs"/>
          <w:rtl/>
        </w:rPr>
        <w:t xml:space="preserve">שרוב </w:t>
      </w:r>
      <w:bookmarkStart w:id="2218" w:name="_ETM_Q4_234880"/>
      <w:bookmarkEnd w:id="2218"/>
      <w:r>
        <w:rPr>
          <w:rFonts w:hint="cs"/>
          <w:rtl/>
        </w:rPr>
        <w:t xml:space="preserve">ההיסטוריה </w:t>
      </w:r>
      <w:bookmarkStart w:id="2219" w:name="_ETM_Q4_235420"/>
      <w:bookmarkEnd w:id="2219"/>
      <w:r>
        <w:rPr>
          <w:rFonts w:hint="cs"/>
          <w:rtl/>
        </w:rPr>
        <w:t xml:space="preserve">שלהן </w:t>
      </w:r>
      <w:bookmarkStart w:id="2220" w:name="_ETM_Q4_235780"/>
      <w:bookmarkEnd w:id="2220"/>
      <w:r>
        <w:rPr>
          <w:rFonts w:hint="cs"/>
          <w:rtl/>
        </w:rPr>
        <w:t xml:space="preserve">היא </w:t>
      </w:r>
      <w:bookmarkStart w:id="2221" w:name="_ETM_Q4_235840"/>
      <w:bookmarkEnd w:id="2221"/>
      <w:r>
        <w:rPr>
          <w:rFonts w:hint="cs"/>
          <w:rtl/>
        </w:rPr>
        <w:t xml:space="preserve">לא </w:t>
      </w:r>
      <w:bookmarkStart w:id="2222" w:name="_ETM_Q4_235960"/>
      <w:bookmarkEnd w:id="2222"/>
      <w:r>
        <w:rPr>
          <w:rFonts w:hint="cs"/>
          <w:rtl/>
        </w:rPr>
        <w:t xml:space="preserve">דמוקרטית. </w:t>
      </w:r>
      <w:bookmarkStart w:id="2223" w:name="_ETM_Q4_237680"/>
      <w:bookmarkEnd w:id="2223"/>
      <w:r>
        <w:rPr>
          <w:rFonts w:hint="cs"/>
          <w:rtl/>
        </w:rPr>
        <w:t xml:space="preserve">ישראל </w:t>
      </w:r>
      <w:bookmarkStart w:id="2224" w:name="_ETM_Q4_238190"/>
      <w:bookmarkEnd w:id="2224"/>
      <w:r>
        <w:rPr>
          <w:rFonts w:hint="cs"/>
          <w:rtl/>
        </w:rPr>
        <w:t xml:space="preserve">היא </w:t>
      </w:r>
      <w:bookmarkStart w:id="2225" w:name="_ETM_Q4_238250"/>
      <w:bookmarkEnd w:id="2225"/>
      <w:r>
        <w:rPr>
          <w:rFonts w:hint="cs"/>
          <w:rtl/>
        </w:rPr>
        <w:t xml:space="preserve">מדינה </w:t>
      </w:r>
      <w:bookmarkStart w:id="2226" w:name="_ETM_Q4_238789"/>
      <w:bookmarkEnd w:id="2226"/>
      <w:r>
        <w:rPr>
          <w:rFonts w:hint="cs"/>
          <w:rtl/>
        </w:rPr>
        <w:t xml:space="preserve">שנולדה </w:t>
      </w:r>
      <w:bookmarkStart w:id="2227" w:name="_ETM_Q4_239360"/>
      <w:bookmarkEnd w:id="2227"/>
      <w:r>
        <w:rPr>
          <w:rFonts w:hint="cs"/>
          <w:rtl/>
        </w:rPr>
        <w:t xml:space="preserve">דמוקרטית </w:t>
      </w:r>
      <w:bookmarkStart w:id="2228" w:name="_ETM_Q4_240079"/>
      <w:bookmarkEnd w:id="2228"/>
      <w:r>
        <w:rPr>
          <w:rFonts w:hint="cs"/>
          <w:rtl/>
        </w:rPr>
        <w:t xml:space="preserve">ולאזרחיה </w:t>
      </w:r>
      <w:bookmarkStart w:id="2229" w:name="_ETM_Q4_240739"/>
      <w:bookmarkEnd w:id="2229"/>
      <w:r>
        <w:rPr>
          <w:rFonts w:hint="cs"/>
          <w:rtl/>
        </w:rPr>
        <w:t xml:space="preserve">יש </w:t>
      </w:r>
      <w:bookmarkStart w:id="2230" w:name="_ETM_Q4_241010"/>
      <w:bookmarkEnd w:id="2230"/>
      <w:r>
        <w:rPr>
          <w:rFonts w:hint="cs"/>
          <w:rtl/>
        </w:rPr>
        <w:t xml:space="preserve">אינסטינקט </w:t>
      </w:r>
      <w:bookmarkStart w:id="2231" w:name="_ETM_Q4_241430"/>
      <w:bookmarkEnd w:id="2231"/>
      <w:r>
        <w:rPr>
          <w:rFonts w:hint="cs"/>
          <w:rtl/>
        </w:rPr>
        <w:t>דמוקרטי. האינסטינקט</w:t>
      </w:r>
      <w:bookmarkStart w:id="2232" w:name="_ETM_Q4_242739"/>
      <w:bookmarkStart w:id="2233" w:name="_ETM_Q4_242920"/>
      <w:bookmarkStart w:id="2234" w:name="_ETM_Q4_243129"/>
      <w:bookmarkEnd w:id="2232"/>
      <w:bookmarkEnd w:id="2233"/>
      <w:bookmarkEnd w:id="2234"/>
      <w:r>
        <w:rPr>
          <w:rFonts w:hint="cs"/>
          <w:rtl/>
        </w:rPr>
        <w:t xml:space="preserve"> הדמוקרטי </w:t>
      </w:r>
      <w:bookmarkStart w:id="2235" w:name="_ETM_Q4_243789"/>
      <w:bookmarkEnd w:id="2235"/>
      <w:r>
        <w:rPr>
          <w:rFonts w:hint="cs"/>
          <w:rtl/>
        </w:rPr>
        <w:t xml:space="preserve">הזה הוא </w:t>
      </w:r>
      <w:bookmarkStart w:id="2236" w:name="_ETM_Q4_244840"/>
      <w:bookmarkEnd w:id="2236"/>
      <w:r>
        <w:rPr>
          <w:rFonts w:hint="cs"/>
          <w:rtl/>
        </w:rPr>
        <w:t xml:space="preserve">הסוד </w:t>
      </w:r>
      <w:bookmarkStart w:id="2237" w:name="_ETM_Q4_246090"/>
      <w:bookmarkEnd w:id="2237"/>
      <w:r>
        <w:rPr>
          <w:rFonts w:hint="cs"/>
          <w:rtl/>
        </w:rPr>
        <w:t xml:space="preserve">של </w:t>
      </w:r>
      <w:bookmarkStart w:id="2238" w:name="_ETM_Q4_246390"/>
      <w:bookmarkEnd w:id="2238"/>
      <w:r>
        <w:rPr>
          <w:rFonts w:hint="cs"/>
          <w:rtl/>
        </w:rPr>
        <w:t xml:space="preserve">כלכלת </w:t>
      </w:r>
      <w:bookmarkStart w:id="2239" w:name="_ETM_Q4_246959"/>
      <w:bookmarkEnd w:id="2239"/>
      <w:r>
        <w:rPr>
          <w:rFonts w:hint="cs"/>
          <w:rtl/>
        </w:rPr>
        <w:t xml:space="preserve">ההייטק </w:t>
      </w:r>
      <w:bookmarkStart w:id="2240" w:name="_ETM_Q4_247319"/>
      <w:bookmarkEnd w:id="2240"/>
      <w:r>
        <w:rPr>
          <w:rFonts w:hint="cs"/>
          <w:rtl/>
        </w:rPr>
        <w:t>שלנו</w:t>
      </w:r>
      <w:bookmarkStart w:id="2241" w:name="_ETM_Q4_247649"/>
      <w:bookmarkEnd w:id="2241"/>
      <w:r>
        <w:rPr>
          <w:rFonts w:hint="cs"/>
          <w:rtl/>
        </w:rPr>
        <w:t xml:space="preserve">, שבנויה </w:t>
      </w:r>
      <w:bookmarkStart w:id="2242" w:name="_ETM_Q4_248130"/>
      <w:bookmarkEnd w:id="2242"/>
      <w:r>
        <w:rPr>
          <w:rFonts w:hint="cs"/>
          <w:rtl/>
        </w:rPr>
        <w:t xml:space="preserve">כולה </w:t>
      </w:r>
      <w:bookmarkStart w:id="2243" w:name="_ETM_Q4_249140"/>
      <w:bookmarkEnd w:id="2243"/>
      <w:r>
        <w:rPr>
          <w:rFonts w:hint="cs"/>
          <w:rtl/>
        </w:rPr>
        <w:t xml:space="preserve">על </w:t>
      </w:r>
      <w:bookmarkStart w:id="2244" w:name="_ETM_Q4_249380"/>
      <w:bookmarkEnd w:id="2244"/>
      <w:r>
        <w:rPr>
          <w:rFonts w:hint="cs"/>
          <w:rtl/>
        </w:rPr>
        <w:t xml:space="preserve">אנשים </w:t>
      </w:r>
      <w:bookmarkStart w:id="2245" w:name="_ETM_Q4_249770"/>
      <w:bookmarkEnd w:id="2245"/>
      <w:r>
        <w:rPr>
          <w:rFonts w:hint="cs"/>
          <w:rtl/>
        </w:rPr>
        <w:t xml:space="preserve">שחושבים </w:t>
      </w:r>
      <w:bookmarkStart w:id="2246" w:name="_ETM_Q4_250369"/>
      <w:bookmarkEnd w:id="2246"/>
      <w:r>
        <w:rPr>
          <w:rFonts w:hint="cs"/>
          <w:rtl/>
        </w:rPr>
        <w:t xml:space="preserve">מחוץ </w:t>
      </w:r>
      <w:bookmarkStart w:id="2247" w:name="_ETM_Q4_250670"/>
      <w:bookmarkEnd w:id="2247"/>
      <w:r>
        <w:rPr>
          <w:rFonts w:hint="cs"/>
          <w:rtl/>
        </w:rPr>
        <w:t xml:space="preserve">לקופסה; </w:t>
      </w:r>
      <w:bookmarkStart w:id="2248" w:name="_ETM_Q4_252130"/>
      <w:bookmarkEnd w:id="2248"/>
      <w:r>
        <w:rPr>
          <w:rFonts w:hint="cs"/>
          <w:rtl/>
        </w:rPr>
        <w:t xml:space="preserve">והוא </w:t>
      </w:r>
      <w:bookmarkStart w:id="2249" w:name="_ETM_Q4_252340"/>
      <w:bookmarkEnd w:id="2249"/>
      <w:r>
        <w:rPr>
          <w:rFonts w:hint="cs"/>
          <w:rtl/>
        </w:rPr>
        <w:t xml:space="preserve">הסוד </w:t>
      </w:r>
      <w:bookmarkStart w:id="2250" w:name="_ETM_Q4_252670"/>
      <w:bookmarkEnd w:id="2250"/>
      <w:r>
        <w:rPr>
          <w:rFonts w:hint="cs"/>
          <w:rtl/>
        </w:rPr>
        <w:t xml:space="preserve">של </w:t>
      </w:r>
      <w:bookmarkStart w:id="2251" w:name="_ETM_Q4_252850"/>
      <w:bookmarkEnd w:id="2251"/>
      <w:r>
        <w:rPr>
          <w:rFonts w:hint="cs"/>
          <w:rtl/>
        </w:rPr>
        <w:t xml:space="preserve">צה"ל, </w:t>
      </w:r>
      <w:bookmarkStart w:id="2252" w:name="_ETM_Q4_254280"/>
      <w:bookmarkEnd w:id="2252"/>
      <w:r>
        <w:rPr>
          <w:rFonts w:hint="cs"/>
          <w:rtl/>
        </w:rPr>
        <w:t xml:space="preserve">צבא </w:t>
      </w:r>
      <w:bookmarkStart w:id="2253" w:name="_ETM_Q4_254670"/>
      <w:bookmarkEnd w:id="2253"/>
      <w:r>
        <w:rPr>
          <w:rFonts w:hint="cs"/>
          <w:rtl/>
        </w:rPr>
        <w:t xml:space="preserve">שבו </w:t>
      </w:r>
      <w:bookmarkStart w:id="2254" w:name="_ETM_Q4_255390"/>
      <w:bookmarkEnd w:id="2254"/>
      <w:r>
        <w:rPr>
          <w:rFonts w:hint="cs"/>
          <w:rtl/>
        </w:rPr>
        <w:t xml:space="preserve">גם </w:t>
      </w:r>
      <w:bookmarkStart w:id="2255" w:name="_ETM_Q4_255750"/>
      <w:bookmarkEnd w:id="2255"/>
      <w:r>
        <w:rPr>
          <w:rFonts w:hint="cs"/>
          <w:rtl/>
        </w:rPr>
        <w:t xml:space="preserve">החייל </w:t>
      </w:r>
      <w:bookmarkStart w:id="2256" w:name="_ETM_Q4_256290"/>
      <w:bookmarkEnd w:id="2256"/>
      <w:r>
        <w:rPr>
          <w:rFonts w:hint="cs"/>
          <w:rtl/>
        </w:rPr>
        <w:t xml:space="preserve">האחרון </w:t>
      </w:r>
      <w:bookmarkStart w:id="2257" w:name="_ETM_Q4_256890"/>
      <w:bookmarkEnd w:id="2257"/>
      <w:r>
        <w:rPr>
          <w:rFonts w:hint="cs"/>
          <w:rtl/>
        </w:rPr>
        <w:t>בפלוגה</w:t>
      </w:r>
      <w:bookmarkStart w:id="2258" w:name="_ETM_Q4_258530"/>
      <w:bookmarkStart w:id="2259" w:name="_ETM_Q4_258620"/>
      <w:bookmarkEnd w:id="2258"/>
      <w:bookmarkEnd w:id="2259"/>
      <w:r>
        <w:rPr>
          <w:rFonts w:hint="cs"/>
          <w:rtl/>
        </w:rPr>
        <w:t xml:space="preserve"> יודע </w:t>
      </w:r>
      <w:bookmarkStart w:id="2260" w:name="_ETM_Q4_258890"/>
      <w:bookmarkEnd w:id="2260"/>
      <w:r>
        <w:rPr>
          <w:rFonts w:hint="cs"/>
          <w:rtl/>
        </w:rPr>
        <w:t xml:space="preserve">שאם משהו </w:t>
      </w:r>
      <w:bookmarkStart w:id="2261" w:name="_ETM_Q4_259459"/>
      <w:bookmarkEnd w:id="2261"/>
      <w:r>
        <w:rPr>
          <w:rFonts w:hint="cs"/>
          <w:rtl/>
        </w:rPr>
        <w:t xml:space="preserve">נראה </w:t>
      </w:r>
      <w:bookmarkStart w:id="2262" w:name="_ETM_Q4_259700"/>
      <w:bookmarkEnd w:id="2262"/>
      <w:r>
        <w:rPr>
          <w:rFonts w:hint="cs"/>
          <w:rtl/>
        </w:rPr>
        <w:t xml:space="preserve">לו </w:t>
      </w:r>
      <w:bookmarkStart w:id="2263" w:name="_ETM_Q4_259819"/>
      <w:bookmarkEnd w:id="2263"/>
      <w:r>
        <w:rPr>
          <w:rFonts w:hint="cs"/>
          <w:rtl/>
        </w:rPr>
        <w:t xml:space="preserve">לא </w:t>
      </w:r>
      <w:bookmarkStart w:id="2264" w:name="_ETM_Q4_259940"/>
      <w:bookmarkEnd w:id="2264"/>
      <w:r>
        <w:rPr>
          <w:rFonts w:hint="cs"/>
          <w:rtl/>
        </w:rPr>
        <w:t xml:space="preserve">נכון, </w:t>
      </w:r>
      <w:bookmarkStart w:id="2265" w:name="_ETM_Q4_260450"/>
      <w:bookmarkEnd w:id="2265"/>
      <w:r>
        <w:rPr>
          <w:rFonts w:hint="cs"/>
          <w:rtl/>
        </w:rPr>
        <w:t xml:space="preserve">הוא </w:t>
      </w:r>
      <w:bookmarkStart w:id="2266" w:name="_ETM_Q4_260540"/>
      <w:bookmarkEnd w:id="2266"/>
      <w:r>
        <w:rPr>
          <w:rFonts w:hint="cs"/>
          <w:rtl/>
        </w:rPr>
        <w:t xml:space="preserve">יכול </w:t>
      </w:r>
      <w:bookmarkStart w:id="2267" w:name="_ETM_Q4_261020"/>
      <w:bookmarkEnd w:id="2267"/>
      <w:r>
        <w:rPr>
          <w:rFonts w:hint="cs"/>
          <w:rtl/>
        </w:rPr>
        <w:t xml:space="preserve">לבוא </w:t>
      </w:r>
      <w:bookmarkStart w:id="2268" w:name="_ETM_Q4_261260"/>
      <w:bookmarkEnd w:id="2268"/>
      <w:r>
        <w:rPr>
          <w:rFonts w:hint="cs"/>
          <w:rtl/>
        </w:rPr>
        <w:t xml:space="preserve">ולהגיד </w:t>
      </w:r>
      <w:bookmarkStart w:id="2269" w:name="_ETM_Q4_261680"/>
      <w:bookmarkEnd w:id="2269"/>
      <w:r>
        <w:rPr>
          <w:rFonts w:hint="cs"/>
          <w:rtl/>
        </w:rPr>
        <w:t xml:space="preserve">את </w:t>
      </w:r>
      <w:bookmarkStart w:id="2270" w:name="_ETM_Q4_261800"/>
      <w:bookmarkEnd w:id="2270"/>
      <w:r>
        <w:rPr>
          <w:rFonts w:hint="cs"/>
          <w:rtl/>
        </w:rPr>
        <w:t>זה.</w:t>
      </w:r>
    </w:p>
    <w:p w:rsidR="000C5C1F" w:rsidRDefault="000C5C1F" w:rsidP="000C5C1F">
      <w:pPr>
        <w:rPr>
          <w:rtl/>
        </w:rPr>
      </w:pPr>
      <w:bookmarkStart w:id="2271" w:name="_ETM_Q4_260000"/>
      <w:bookmarkEnd w:id="2271"/>
    </w:p>
    <w:p w:rsidR="000C5C1F" w:rsidRDefault="000C5C1F" w:rsidP="000C5C1F">
      <w:pPr>
        <w:rPr>
          <w:rtl/>
        </w:rPr>
      </w:pPr>
      <w:bookmarkStart w:id="2272" w:name="_ETM_Q4_265000"/>
      <w:bookmarkStart w:id="2273" w:name="_ETM_Q4_263829"/>
      <w:bookmarkEnd w:id="2272"/>
      <w:bookmarkEnd w:id="2273"/>
      <w:r>
        <w:rPr>
          <w:rFonts w:hint="cs"/>
          <w:rtl/>
        </w:rPr>
        <w:t xml:space="preserve">הממשלה </w:t>
      </w:r>
      <w:bookmarkStart w:id="2274" w:name="_ETM_Q4_264399"/>
      <w:bookmarkEnd w:id="2274"/>
      <w:r>
        <w:rPr>
          <w:rFonts w:hint="cs"/>
          <w:rtl/>
        </w:rPr>
        <w:t>הזו</w:t>
      </w:r>
      <w:bookmarkStart w:id="2275" w:name="_ETM_Q4_264670"/>
      <w:bookmarkEnd w:id="2275"/>
      <w:r>
        <w:rPr>
          <w:rFonts w:hint="cs"/>
          <w:rtl/>
        </w:rPr>
        <w:t xml:space="preserve">, החוק - - </w:t>
      </w:r>
    </w:p>
    <w:p w:rsidR="000C5C1F" w:rsidRDefault="000C5C1F" w:rsidP="000C5C1F">
      <w:pPr>
        <w:rPr>
          <w:rtl/>
        </w:rPr>
      </w:pPr>
      <w:bookmarkStart w:id="2276" w:name="_ETM_Q4_262000"/>
      <w:bookmarkEnd w:id="2276"/>
    </w:p>
    <w:p w:rsidR="000C5C1F" w:rsidRDefault="000C5C1F" w:rsidP="000C5C1F">
      <w:pPr>
        <w:pStyle w:val="af8"/>
        <w:keepNext/>
        <w:rPr>
          <w:rtl/>
        </w:rPr>
      </w:pPr>
      <w:bookmarkStart w:id="2277" w:name="_ETM_Q4_263000"/>
      <w:bookmarkStart w:id="2278" w:name="ET_interruption_6164_3"/>
      <w:bookmarkEnd w:id="2277"/>
      <w:r>
        <w:rPr>
          <w:rStyle w:val="TagStyle"/>
          <w:rFonts w:hint="cs"/>
          <w:rtl/>
        </w:rPr>
        <w:t xml:space="preserve">&lt;&lt; קריאה &gt;&gt; </w:t>
      </w:r>
      <w:r>
        <w:rPr>
          <w:rFonts w:hint="cs"/>
          <w:rtl/>
        </w:rPr>
        <w:t>עמית הלוי (הליכוד):</w:t>
      </w:r>
      <w:r>
        <w:rPr>
          <w:rStyle w:val="TagStyle"/>
          <w:rtl/>
        </w:rPr>
        <w:t xml:space="preserve"> &lt;&lt; קריאה &gt;&gt;</w:t>
      </w:r>
      <w:r>
        <w:rPr>
          <w:rFonts w:hint="cs"/>
          <w:rtl/>
        </w:rPr>
        <w:t xml:space="preserve">   </w:t>
      </w:r>
      <w:bookmarkEnd w:id="2278"/>
    </w:p>
    <w:p w:rsidR="000C5C1F" w:rsidRDefault="000C5C1F" w:rsidP="00337201">
      <w:pPr>
        <w:rPr>
          <w:rtl/>
          <w:lang w:eastAsia="he-IL"/>
        </w:rPr>
      </w:pPr>
    </w:p>
    <w:p w:rsidR="000C5C1F" w:rsidRDefault="000C5C1F" w:rsidP="00337201">
      <w:pPr>
        <w:rPr>
          <w:rtl/>
          <w:lang w:eastAsia="he-IL"/>
        </w:rPr>
      </w:pPr>
      <w:r>
        <w:rPr>
          <w:rFonts w:hint="cs"/>
          <w:rtl/>
          <w:lang w:eastAsia="he-IL"/>
        </w:rPr>
        <w:t xml:space="preserve">לא נראה שאתם מתחשבים בחיילים.  </w:t>
      </w:r>
    </w:p>
    <w:p w:rsidR="000C5C1F" w:rsidRDefault="000C5C1F" w:rsidP="000C5C1F">
      <w:pPr>
        <w:rPr>
          <w:b/>
          <w:bCs/>
          <w:u w:val="single"/>
          <w:rtl/>
          <w:lang w:eastAsia="he-IL"/>
        </w:rPr>
      </w:pPr>
    </w:p>
    <w:p w:rsidR="000C5C1F" w:rsidRDefault="000C5C1F" w:rsidP="000C5C1F">
      <w:pPr>
        <w:pStyle w:val="-"/>
        <w:keepNext/>
        <w:rPr>
          <w:rtl/>
        </w:rPr>
      </w:pPr>
      <w:bookmarkStart w:id="2279" w:name="ET_speakercontinue_5087_9"/>
      <w:r>
        <w:rPr>
          <w:rStyle w:val="TagStyle"/>
          <w:rFonts w:hint="cs"/>
          <w:rtl/>
        </w:rPr>
        <w:t xml:space="preserve"> &lt;&lt; דובר_המשך &gt;&gt; </w:t>
      </w:r>
      <w:r>
        <w:rPr>
          <w:rFonts w:hint="cs"/>
          <w:rtl/>
        </w:rPr>
        <w:t>יאיר לפיד (יש עתיד):</w:t>
      </w:r>
      <w:r>
        <w:rPr>
          <w:rStyle w:val="TagStyle"/>
          <w:rtl/>
        </w:rPr>
        <w:t xml:space="preserve"> &lt;&lt; דובר_המשך &gt;&gt;</w:t>
      </w:r>
      <w:r>
        <w:rPr>
          <w:rFonts w:hint="cs"/>
          <w:rtl/>
        </w:rPr>
        <w:t xml:space="preserve">   </w:t>
      </w:r>
      <w:bookmarkEnd w:id="2279"/>
    </w:p>
    <w:p w:rsidR="000C5C1F" w:rsidRDefault="000C5C1F" w:rsidP="00337201">
      <w:pPr>
        <w:rPr>
          <w:rtl/>
          <w:lang w:eastAsia="he-IL"/>
        </w:rPr>
      </w:pPr>
    </w:p>
    <w:p w:rsidR="000C5C1F" w:rsidRDefault="000C5C1F" w:rsidP="000C5C1F">
      <w:pPr>
        <w:rPr>
          <w:rtl/>
        </w:rPr>
      </w:pPr>
      <w:r>
        <w:rPr>
          <w:rFonts w:hint="cs"/>
          <w:rtl/>
        </w:rPr>
        <w:t xml:space="preserve">- - </w:t>
      </w:r>
      <w:bookmarkStart w:id="2280" w:name="_ETM_Q4_266040"/>
      <w:bookmarkEnd w:id="2280"/>
      <w:r>
        <w:rPr>
          <w:rFonts w:hint="cs"/>
          <w:rtl/>
        </w:rPr>
        <w:t xml:space="preserve">שהם </w:t>
      </w:r>
      <w:bookmarkStart w:id="2281" w:name="_ETM_Q4_266340"/>
      <w:bookmarkEnd w:id="2281"/>
      <w:r>
        <w:rPr>
          <w:rFonts w:hint="cs"/>
          <w:rtl/>
        </w:rPr>
        <w:t xml:space="preserve">רוצים </w:t>
      </w:r>
      <w:bookmarkStart w:id="2282" w:name="_ETM_Q4_266670"/>
      <w:bookmarkEnd w:id="2282"/>
      <w:r>
        <w:rPr>
          <w:rFonts w:hint="cs"/>
          <w:rtl/>
        </w:rPr>
        <w:t xml:space="preserve">להעביר, </w:t>
      </w:r>
      <w:bookmarkStart w:id="2283" w:name="_ETM_Q4_267149"/>
      <w:bookmarkEnd w:id="2283"/>
      <w:r>
        <w:rPr>
          <w:rFonts w:hint="cs"/>
          <w:rtl/>
        </w:rPr>
        <w:t xml:space="preserve">החוקים </w:t>
      </w:r>
      <w:bookmarkStart w:id="2284" w:name="_ETM_Q4_267540"/>
      <w:bookmarkEnd w:id="2284"/>
      <w:r>
        <w:rPr>
          <w:rFonts w:hint="cs"/>
          <w:rtl/>
        </w:rPr>
        <w:t xml:space="preserve">שהם </w:t>
      </w:r>
      <w:bookmarkStart w:id="2285" w:name="_ETM_Q4_267750"/>
      <w:bookmarkEnd w:id="2285"/>
      <w:r>
        <w:rPr>
          <w:rFonts w:hint="cs"/>
          <w:rtl/>
        </w:rPr>
        <w:t xml:space="preserve">רוצים </w:t>
      </w:r>
      <w:bookmarkStart w:id="2286" w:name="_ETM_Q4_268049"/>
      <w:bookmarkEnd w:id="2286"/>
      <w:r>
        <w:rPr>
          <w:rFonts w:hint="cs"/>
          <w:rtl/>
        </w:rPr>
        <w:t xml:space="preserve">להעביר </w:t>
      </w:r>
      <w:bookmarkStart w:id="2287" w:name="_ETM_Q4_268439"/>
      <w:bookmarkEnd w:id="2287"/>
      <w:r>
        <w:rPr>
          <w:rFonts w:hint="cs"/>
          <w:rtl/>
        </w:rPr>
        <w:t xml:space="preserve">אחריו, </w:t>
      </w:r>
      <w:bookmarkStart w:id="2288" w:name="_ETM_Q4_270220"/>
      <w:bookmarkEnd w:id="2288"/>
      <w:r>
        <w:rPr>
          <w:rFonts w:hint="cs"/>
          <w:rtl/>
        </w:rPr>
        <w:t xml:space="preserve">בנויים </w:t>
      </w:r>
      <w:bookmarkStart w:id="2289" w:name="_ETM_Q4_270550"/>
      <w:bookmarkEnd w:id="2289"/>
      <w:r>
        <w:rPr>
          <w:rFonts w:hint="cs"/>
          <w:rtl/>
        </w:rPr>
        <w:t xml:space="preserve">על </w:t>
      </w:r>
      <w:bookmarkStart w:id="2290" w:name="_ETM_Q4_270670"/>
      <w:bookmarkEnd w:id="2290"/>
      <w:r>
        <w:rPr>
          <w:rFonts w:hint="cs"/>
          <w:rtl/>
        </w:rPr>
        <w:t xml:space="preserve">זה </w:t>
      </w:r>
      <w:bookmarkStart w:id="2291" w:name="_ETM_Q4_270850"/>
      <w:bookmarkEnd w:id="2291"/>
      <w:r>
        <w:rPr>
          <w:rFonts w:hint="cs"/>
          <w:rtl/>
        </w:rPr>
        <w:t xml:space="preserve">שהם </w:t>
      </w:r>
      <w:bookmarkStart w:id="2292" w:name="_ETM_Q4_271090"/>
      <w:bookmarkEnd w:id="2292"/>
      <w:r>
        <w:rPr>
          <w:rFonts w:hint="cs"/>
          <w:rtl/>
        </w:rPr>
        <w:t xml:space="preserve">רוצים </w:t>
      </w:r>
      <w:bookmarkStart w:id="2293" w:name="_ETM_Q4_271390"/>
      <w:bookmarkEnd w:id="2293"/>
      <w:r>
        <w:rPr>
          <w:rFonts w:hint="cs"/>
          <w:rtl/>
        </w:rPr>
        <w:t xml:space="preserve">שיהיו </w:t>
      </w:r>
      <w:bookmarkStart w:id="2294" w:name="_ETM_Q4_271690"/>
      <w:bookmarkEnd w:id="2294"/>
      <w:r>
        <w:rPr>
          <w:rFonts w:hint="cs"/>
          <w:rtl/>
        </w:rPr>
        <w:t xml:space="preserve">להם </w:t>
      </w:r>
      <w:bookmarkStart w:id="2295" w:name="_ETM_Q4_273600"/>
      <w:bookmarkEnd w:id="2295"/>
      <w:r>
        <w:rPr>
          <w:rFonts w:hint="cs"/>
          <w:rtl/>
        </w:rPr>
        <w:t xml:space="preserve">אזרחים </w:t>
      </w:r>
      <w:bookmarkStart w:id="2296" w:name="_ETM_Q4_274260"/>
      <w:bookmarkEnd w:id="2296"/>
      <w:r>
        <w:rPr>
          <w:rFonts w:hint="cs"/>
          <w:rtl/>
        </w:rPr>
        <w:t xml:space="preserve">בנאמנות </w:t>
      </w:r>
      <w:bookmarkStart w:id="2297" w:name="_ETM_Q4_274920"/>
      <w:bookmarkEnd w:id="2297"/>
      <w:r>
        <w:rPr>
          <w:rFonts w:hint="cs"/>
          <w:rtl/>
        </w:rPr>
        <w:t xml:space="preserve">עיוורת, </w:t>
      </w:r>
      <w:bookmarkStart w:id="2298" w:name="_ETM_Q4_276550"/>
      <w:bookmarkEnd w:id="2298"/>
      <w:r>
        <w:rPr>
          <w:rFonts w:hint="cs"/>
          <w:rtl/>
        </w:rPr>
        <w:t xml:space="preserve">אנשים </w:t>
      </w:r>
      <w:bookmarkStart w:id="2299" w:name="_ETM_Q4_277060"/>
      <w:bookmarkEnd w:id="2299"/>
      <w:r>
        <w:rPr>
          <w:rFonts w:hint="cs"/>
          <w:rtl/>
        </w:rPr>
        <w:t xml:space="preserve">שמצייתים </w:t>
      </w:r>
      <w:bookmarkStart w:id="2300" w:name="_ETM_Q4_278200"/>
      <w:bookmarkEnd w:id="2300"/>
      <w:r>
        <w:rPr>
          <w:rFonts w:hint="cs"/>
          <w:rtl/>
        </w:rPr>
        <w:t xml:space="preserve">בלי </w:t>
      </w:r>
      <w:bookmarkStart w:id="2301" w:name="_ETM_Q4_278440"/>
      <w:bookmarkEnd w:id="2301"/>
      <w:r>
        <w:rPr>
          <w:rFonts w:hint="cs"/>
          <w:rtl/>
        </w:rPr>
        <w:t xml:space="preserve">לחשוב, </w:t>
      </w:r>
      <w:bookmarkStart w:id="2302" w:name="_ETM_Q4_278980"/>
      <w:bookmarkEnd w:id="2302"/>
      <w:r>
        <w:rPr>
          <w:rFonts w:hint="cs"/>
          <w:rtl/>
        </w:rPr>
        <w:t xml:space="preserve">נתינים </w:t>
      </w:r>
      <w:bookmarkStart w:id="2303" w:name="_ETM_Q4_280390"/>
      <w:bookmarkEnd w:id="2303"/>
      <w:r>
        <w:rPr>
          <w:rFonts w:hint="cs"/>
          <w:rtl/>
        </w:rPr>
        <w:t xml:space="preserve">חסרי </w:t>
      </w:r>
      <w:bookmarkStart w:id="2304" w:name="_ETM_Q4_280899"/>
      <w:bookmarkEnd w:id="2304"/>
      <w:r>
        <w:rPr>
          <w:rFonts w:hint="cs"/>
          <w:rtl/>
        </w:rPr>
        <w:t xml:space="preserve">פנים </w:t>
      </w:r>
      <w:bookmarkStart w:id="2305" w:name="_ETM_Q4_281259"/>
      <w:bookmarkEnd w:id="2305"/>
      <w:r>
        <w:rPr>
          <w:rFonts w:hint="cs"/>
          <w:rtl/>
        </w:rPr>
        <w:t xml:space="preserve">ונטולי </w:t>
      </w:r>
      <w:bookmarkStart w:id="2306" w:name="_ETM_Q4_281799"/>
      <w:bookmarkEnd w:id="2306"/>
      <w:r>
        <w:rPr>
          <w:rFonts w:hint="cs"/>
          <w:rtl/>
        </w:rPr>
        <w:t xml:space="preserve">דעה. </w:t>
      </w:r>
      <w:bookmarkStart w:id="2307" w:name="_ETM_Q4_282529"/>
      <w:bookmarkEnd w:id="2307"/>
      <w:r>
        <w:rPr>
          <w:rFonts w:hint="cs"/>
          <w:rtl/>
        </w:rPr>
        <w:t xml:space="preserve">זה </w:t>
      </w:r>
      <w:bookmarkStart w:id="2308" w:name="_ETM_Q4_282799"/>
      <w:bookmarkEnd w:id="2308"/>
      <w:r>
        <w:rPr>
          <w:rFonts w:hint="cs"/>
          <w:rtl/>
        </w:rPr>
        <w:t xml:space="preserve">לא </w:t>
      </w:r>
      <w:bookmarkStart w:id="2309" w:name="_ETM_Q4_282920"/>
      <w:bookmarkEnd w:id="2309"/>
      <w:r>
        <w:rPr>
          <w:rFonts w:hint="cs"/>
          <w:rtl/>
        </w:rPr>
        <w:t xml:space="preserve">יקרה. </w:t>
      </w:r>
      <w:bookmarkStart w:id="2310" w:name="_ETM_Q4_284920"/>
      <w:bookmarkEnd w:id="2310"/>
      <w:r>
        <w:rPr>
          <w:rFonts w:hint="cs"/>
          <w:rtl/>
        </w:rPr>
        <w:t xml:space="preserve">הילדים </w:t>
      </w:r>
      <w:bookmarkStart w:id="2311" w:name="_ETM_Q4_285399"/>
      <w:bookmarkEnd w:id="2311"/>
      <w:r>
        <w:rPr>
          <w:rFonts w:hint="cs"/>
          <w:rtl/>
        </w:rPr>
        <w:t xml:space="preserve">הלכו </w:t>
      </w:r>
      <w:bookmarkStart w:id="2312" w:name="_ETM_Q4_285640"/>
      <w:bookmarkEnd w:id="2312"/>
      <w:r>
        <w:rPr>
          <w:rFonts w:hint="cs"/>
          <w:rtl/>
        </w:rPr>
        <w:t xml:space="preserve">אתמול </w:t>
      </w:r>
      <w:bookmarkStart w:id="2313" w:name="_ETM_Q4_285939"/>
      <w:bookmarkEnd w:id="2313"/>
      <w:r>
        <w:rPr>
          <w:rFonts w:hint="cs"/>
          <w:rtl/>
        </w:rPr>
        <w:t xml:space="preserve">בצעדה </w:t>
      </w:r>
      <w:bookmarkStart w:id="2314" w:name="_ETM_Q4_286600"/>
      <w:bookmarkEnd w:id="2314"/>
      <w:r>
        <w:rPr>
          <w:rFonts w:hint="cs"/>
          <w:rtl/>
        </w:rPr>
        <w:t xml:space="preserve">ושרו: </w:t>
      </w:r>
      <w:bookmarkStart w:id="2315" w:name="_ETM_Q4_287530"/>
      <w:bookmarkEnd w:id="2315"/>
      <w:r>
        <w:rPr>
          <w:rFonts w:hint="cs"/>
          <w:rtl/>
        </w:rPr>
        <w:t>נפל</w:t>
      </w:r>
      <w:bookmarkStart w:id="2316" w:name="_ETM_Q4_287950"/>
      <w:bookmarkEnd w:id="2316"/>
      <w:r>
        <w:rPr>
          <w:rFonts w:hint="cs"/>
          <w:rtl/>
        </w:rPr>
        <w:t xml:space="preserve">תם </w:t>
      </w:r>
      <w:bookmarkStart w:id="2317" w:name="_ETM_Q4_288130"/>
      <w:bookmarkEnd w:id="2317"/>
      <w:r>
        <w:rPr>
          <w:rFonts w:hint="cs"/>
          <w:rtl/>
        </w:rPr>
        <w:t xml:space="preserve">על </w:t>
      </w:r>
      <w:bookmarkStart w:id="2318" w:name="_ETM_Q4_288219"/>
      <w:bookmarkEnd w:id="2318"/>
      <w:r>
        <w:rPr>
          <w:rFonts w:hint="cs"/>
          <w:rtl/>
        </w:rPr>
        <w:t xml:space="preserve">הדור </w:t>
      </w:r>
      <w:bookmarkStart w:id="2319" w:name="_ETM_Q4_288520"/>
      <w:bookmarkEnd w:id="2319"/>
      <w:r>
        <w:rPr>
          <w:rFonts w:hint="cs"/>
          <w:rtl/>
        </w:rPr>
        <w:t>הלא</w:t>
      </w:r>
      <w:bookmarkStart w:id="2320" w:name="_ETM_Q4_288670"/>
      <w:bookmarkEnd w:id="2320"/>
      <w:r>
        <w:rPr>
          <w:rFonts w:hint="cs"/>
          <w:rtl/>
        </w:rPr>
        <w:t xml:space="preserve">-נכון, </w:t>
      </w:r>
      <w:bookmarkStart w:id="2321" w:name="_ETM_Q4_289090"/>
      <w:bookmarkEnd w:id="2321"/>
      <w:r>
        <w:rPr>
          <w:rFonts w:hint="cs"/>
          <w:rtl/>
        </w:rPr>
        <w:t xml:space="preserve">וההורים </w:t>
      </w:r>
      <w:bookmarkStart w:id="2322" w:name="_ETM_Q4_289479"/>
      <w:bookmarkEnd w:id="2322"/>
      <w:r>
        <w:rPr>
          <w:rFonts w:hint="cs"/>
          <w:rtl/>
        </w:rPr>
        <w:t xml:space="preserve">שלהם </w:t>
      </w:r>
      <w:bookmarkStart w:id="2323" w:name="_ETM_Q4_289869"/>
      <w:bookmarkEnd w:id="2323"/>
      <w:r>
        <w:rPr>
          <w:rFonts w:hint="cs"/>
          <w:rtl/>
        </w:rPr>
        <w:t xml:space="preserve">הלכו </w:t>
      </w:r>
      <w:bookmarkStart w:id="2324" w:name="_ETM_Q4_290109"/>
      <w:bookmarkEnd w:id="2324"/>
      <w:r>
        <w:rPr>
          <w:rFonts w:hint="cs"/>
          <w:rtl/>
        </w:rPr>
        <w:t xml:space="preserve">אחריהם </w:t>
      </w:r>
      <w:bookmarkStart w:id="2325" w:name="_ETM_Q4_290530"/>
      <w:bookmarkEnd w:id="2325"/>
      <w:r>
        <w:rPr>
          <w:rFonts w:hint="cs"/>
          <w:rtl/>
        </w:rPr>
        <w:t xml:space="preserve">בצעדה </w:t>
      </w:r>
      <w:bookmarkStart w:id="2326" w:name="_ETM_Q4_291069"/>
      <w:bookmarkEnd w:id="2326"/>
      <w:r>
        <w:rPr>
          <w:rFonts w:hint="cs"/>
          <w:rtl/>
        </w:rPr>
        <w:t xml:space="preserve">ושרו: </w:t>
      </w:r>
      <w:bookmarkStart w:id="2327" w:name="_ETM_Q4_291520"/>
      <w:bookmarkEnd w:id="2327"/>
      <w:r>
        <w:rPr>
          <w:rFonts w:hint="cs"/>
          <w:rtl/>
        </w:rPr>
        <w:t>נפל</w:t>
      </w:r>
      <w:bookmarkStart w:id="2328" w:name="_ETM_Q4_292280"/>
      <w:bookmarkEnd w:id="2328"/>
      <w:r>
        <w:rPr>
          <w:rFonts w:hint="cs"/>
          <w:rtl/>
        </w:rPr>
        <w:t xml:space="preserve">תם </w:t>
      </w:r>
      <w:bookmarkStart w:id="2329" w:name="_ETM_Q4_292430"/>
      <w:bookmarkEnd w:id="2329"/>
      <w:r>
        <w:rPr>
          <w:rFonts w:hint="cs"/>
          <w:rtl/>
        </w:rPr>
        <w:t xml:space="preserve">על </w:t>
      </w:r>
      <w:bookmarkStart w:id="2330" w:name="_ETM_Q4_292520"/>
      <w:bookmarkEnd w:id="2330"/>
      <w:r>
        <w:rPr>
          <w:rFonts w:hint="cs"/>
          <w:rtl/>
        </w:rPr>
        <w:t xml:space="preserve">הדור </w:t>
      </w:r>
      <w:bookmarkStart w:id="2331" w:name="_ETM_Q4_292820"/>
      <w:bookmarkEnd w:id="2331"/>
      <w:r>
        <w:rPr>
          <w:rFonts w:hint="cs"/>
          <w:rtl/>
        </w:rPr>
        <w:t>הלא</w:t>
      </w:r>
      <w:bookmarkStart w:id="2332" w:name="_ETM_Q4_292970"/>
      <w:bookmarkEnd w:id="2332"/>
      <w:r>
        <w:rPr>
          <w:rFonts w:hint="cs"/>
          <w:rtl/>
        </w:rPr>
        <w:t xml:space="preserve">-נכון, </w:t>
      </w:r>
      <w:bookmarkStart w:id="2333" w:name="_ETM_Q4_293810"/>
      <w:bookmarkEnd w:id="2333"/>
      <w:r>
        <w:rPr>
          <w:rFonts w:hint="cs"/>
          <w:rtl/>
        </w:rPr>
        <w:t xml:space="preserve">והסבים </w:t>
      </w:r>
      <w:bookmarkStart w:id="2334" w:name="_ETM_Q4_294409"/>
      <w:bookmarkEnd w:id="2334"/>
      <w:r>
        <w:rPr>
          <w:rFonts w:hint="cs"/>
          <w:rtl/>
        </w:rPr>
        <w:t xml:space="preserve">והסבתות </w:t>
      </w:r>
      <w:bookmarkStart w:id="2335" w:name="_ETM_Q4_295010"/>
      <w:bookmarkEnd w:id="2335"/>
      <w:r>
        <w:rPr>
          <w:rFonts w:hint="cs"/>
          <w:rtl/>
        </w:rPr>
        <w:t xml:space="preserve">שלהם </w:t>
      </w:r>
      <w:bookmarkStart w:id="2336" w:name="_ETM_Q4_295340"/>
      <w:bookmarkEnd w:id="2336"/>
      <w:r>
        <w:rPr>
          <w:rFonts w:hint="cs"/>
          <w:rtl/>
        </w:rPr>
        <w:t xml:space="preserve">הלכו </w:t>
      </w:r>
      <w:bookmarkStart w:id="2337" w:name="_ETM_Q4_295610"/>
      <w:bookmarkEnd w:id="2337"/>
      <w:r>
        <w:rPr>
          <w:rFonts w:hint="cs"/>
          <w:rtl/>
        </w:rPr>
        <w:t>ושרו</w:t>
      </w:r>
      <w:bookmarkStart w:id="2338" w:name="_ETM_Q4_296030"/>
      <w:bookmarkStart w:id="2339" w:name="_ETM_Q4_296180"/>
      <w:bookmarkEnd w:id="2338"/>
      <w:bookmarkEnd w:id="2339"/>
      <w:r>
        <w:rPr>
          <w:rFonts w:hint="cs"/>
          <w:rtl/>
        </w:rPr>
        <w:t>: נפל</w:t>
      </w:r>
      <w:bookmarkStart w:id="2340" w:name="_ETM_Q4_296570"/>
      <w:bookmarkEnd w:id="2340"/>
      <w:r>
        <w:rPr>
          <w:rFonts w:hint="cs"/>
          <w:rtl/>
        </w:rPr>
        <w:t xml:space="preserve">תם </w:t>
      </w:r>
      <w:bookmarkStart w:id="2341" w:name="_ETM_Q4_296750"/>
      <w:bookmarkEnd w:id="2341"/>
      <w:r>
        <w:rPr>
          <w:rFonts w:hint="cs"/>
          <w:rtl/>
        </w:rPr>
        <w:t xml:space="preserve">על </w:t>
      </w:r>
      <w:bookmarkStart w:id="2342" w:name="_ETM_Q4_296840"/>
      <w:bookmarkEnd w:id="2342"/>
      <w:r>
        <w:rPr>
          <w:rFonts w:hint="cs"/>
          <w:rtl/>
        </w:rPr>
        <w:t xml:space="preserve">הדור </w:t>
      </w:r>
      <w:bookmarkStart w:id="2343" w:name="_ETM_Q4_297110"/>
      <w:bookmarkEnd w:id="2343"/>
      <w:r>
        <w:rPr>
          <w:rFonts w:hint="cs"/>
          <w:rtl/>
        </w:rPr>
        <w:t>הלא</w:t>
      </w:r>
      <w:bookmarkStart w:id="2344" w:name="_ETM_Q4_297260"/>
      <w:bookmarkEnd w:id="2344"/>
      <w:r>
        <w:rPr>
          <w:rFonts w:hint="cs"/>
          <w:rtl/>
        </w:rPr>
        <w:t>-נכון.</w:t>
      </w:r>
      <w:bookmarkStart w:id="2345" w:name="_ETM_Q4_297890"/>
      <w:bookmarkEnd w:id="2345"/>
      <w:r>
        <w:rPr>
          <w:rFonts w:hint="cs"/>
          <w:rtl/>
        </w:rPr>
        <w:t xml:space="preserve"> נפל</w:t>
      </w:r>
      <w:bookmarkStart w:id="2346" w:name="_ETM_Q4_298250"/>
      <w:bookmarkEnd w:id="2346"/>
      <w:r>
        <w:rPr>
          <w:rFonts w:hint="cs"/>
          <w:rtl/>
        </w:rPr>
        <w:t xml:space="preserve">תם </w:t>
      </w:r>
      <w:bookmarkStart w:id="2347" w:name="_ETM_Q4_298430"/>
      <w:bookmarkEnd w:id="2347"/>
      <w:r>
        <w:rPr>
          <w:rFonts w:hint="cs"/>
          <w:rtl/>
        </w:rPr>
        <w:t xml:space="preserve">על </w:t>
      </w:r>
      <w:bookmarkStart w:id="2348" w:name="_ETM_Q4_298670"/>
      <w:bookmarkEnd w:id="2348"/>
      <w:r>
        <w:rPr>
          <w:rFonts w:hint="cs"/>
          <w:rtl/>
        </w:rPr>
        <w:t xml:space="preserve">העם </w:t>
      </w:r>
      <w:bookmarkStart w:id="2349" w:name="_ETM_Q4_299180"/>
      <w:bookmarkEnd w:id="2349"/>
      <w:r>
        <w:rPr>
          <w:rFonts w:hint="cs"/>
          <w:rtl/>
        </w:rPr>
        <w:t xml:space="preserve">הלא-נכון. </w:t>
      </w:r>
    </w:p>
    <w:p w:rsidR="000C5C1F" w:rsidRDefault="000C5C1F" w:rsidP="000C5C1F">
      <w:pPr>
        <w:rPr>
          <w:rtl/>
        </w:rPr>
      </w:pPr>
    </w:p>
    <w:p w:rsidR="000C5C1F" w:rsidRDefault="000C5C1F" w:rsidP="000C5C1F">
      <w:pPr>
        <w:rPr>
          <w:rtl/>
        </w:rPr>
      </w:pPr>
      <w:bookmarkStart w:id="2350" w:name="_ETM_Q4_297000"/>
      <w:bookmarkStart w:id="2351" w:name="_ETM_Q4_301930"/>
      <w:bookmarkEnd w:id="2350"/>
      <w:bookmarkEnd w:id="2351"/>
      <w:r>
        <w:rPr>
          <w:rFonts w:hint="cs"/>
          <w:rtl/>
        </w:rPr>
        <w:t xml:space="preserve">אני </w:t>
      </w:r>
      <w:bookmarkStart w:id="2352" w:name="_ETM_Q4_302079"/>
      <w:bookmarkEnd w:id="2352"/>
      <w:r>
        <w:rPr>
          <w:rFonts w:hint="cs"/>
          <w:rtl/>
        </w:rPr>
        <w:t xml:space="preserve">לא </w:t>
      </w:r>
      <w:bookmarkStart w:id="2353" w:name="_ETM_Q4_302170"/>
      <w:bookmarkEnd w:id="2353"/>
      <w:r>
        <w:rPr>
          <w:rFonts w:hint="cs"/>
          <w:rtl/>
        </w:rPr>
        <w:t xml:space="preserve">יודע </w:t>
      </w:r>
      <w:bookmarkStart w:id="2354" w:name="_ETM_Q4_302380"/>
      <w:bookmarkEnd w:id="2354"/>
      <w:r>
        <w:rPr>
          <w:rFonts w:hint="cs"/>
          <w:rtl/>
        </w:rPr>
        <w:t xml:space="preserve">מי </w:t>
      </w:r>
      <w:bookmarkStart w:id="2355" w:name="_ETM_Q4_302500"/>
      <w:bookmarkEnd w:id="2355"/>
      <w:r>
        <w:rPr>
          <w:rFonts w:hint="cs"/>
          <w:rtl/>
        </w:rPr>
        <w:t xml:space="preserve">חושב, </w:t>
      </w:r>
      <w:bookmarkStart w:id="2356" w:name="_ETM_Q4_303100"/>
      <w:bookmarkEnd w:id="2356"/>
      <w:r>
        <w:rPr>
          <w:rFonts w:hint="cs"/>
          <w:rtl/>
        </w:rPr>
        <w:t xml:space="preserve">מי עד </w:t>
      </w:r>
      <w:bookmarkStart w:id="2357" w:name="_ETM_Q4_303610"/>
      <w:bookmarkEnd w:id="2357"/>
      <w:r>
        <w:rPr>
          <w:rFonts w:hint="cs"/>
          <w:rtl/>
        </w:rPr>
        <w:t xml:space="preserve">כדי כך </w:t>
      </w:r>
      <w:bookmarkStart w:id="2358" w:name="_ETM_Q4_303880"/>
      <w:bookmarkEnd w:id="2358"/>
      <w:r>
        <w:rPr>
          <w:rFonts w:hint="cs"/>
          <w:rtl/>
        </w:rPr>
        <w:t xml:space="preserve">מנותק, </w:t>
      </w:r>
      <w:bookmarkStart w:id="2359" w:name="_ETM_Q4_305600"/>
      <w:bookmarkEnd w:id="2359"/>
      <w:r>
        <w:rPr>
          <w:rFonts w:hint="cs"/>
          <w:rtl/>
        </w:rPr>
        <w:t xml:space="preserve">שהוא </w:t>
      </w:r>
      <w:bookmarkStart w:id="2360" w:name="_ETM_Q4_305869"/>
      <w:bookmarkEnd w:id="2360"/>
      <w:r>
        <w:rPr>
          <w:rFonts w:hint="cs"/>
          <w:rtl/>
        </w:rPr>
        <w:t xml:space="preserve">מאמין </w:t>
      </w:r>
      <w:bookmarkStart w:id="2361" w:name="_ETM_Q4_307520"/>
      <w:bookmarkEnd w:id="2361"/>
      <w:r>
        <w:rPr>
          <w:rFonts w:hint="cs"/>
          <w:rtl/>
        </w:rPr>
        <w:t xml:space="preserve">שהוא </w:t>
      </w:r>
      <w:bookmarkStart w:id="2362" w:name="_ETM_Q4_307759"/>
      <w:bookmarkEnd w:id="2362"/>
      <w:r>
        <w:rPr>
          <w:rFonts w:hint="cs"/>
          <w:rtl/>
        </w:rPr>
        <w:t xml:space="preserve">יוכל </w:t>
      </w:r>
      <w:bookmarkStart w:id="2363" w:name="_ETM_Q4_308030"/>
      <w:bookmarkEnd w:id="2363"/>
      <w:r>
        <w:rPr>
          <w:rFonts w:hint="cs"/>
          <w:rtl/>
        </w:rPr>
        <w:t xml:space="preserve">לקחת </w:t>
      </w:r>
      <w:bookmarkStart w:id="2364" w:name="_ETM_Q4_308419"/>
      <w:bookmarkEnd w:id="2364"/>
      <w:r>
        <w:rPr>
          <w:rFonts w:hint="cs"/>
          <w:rtl/>
        </w:rPr>
        <w:t xml:space="preserve">את </w:t>
      </w:r>
      <w:bookmarkStart w:id="2365" w:name="_ETM_Q4_308569"/>
      <w:bookmarkEnd w:id="2365"/>
      <w:r>
        <w:rPr>
          <w:rFonts w:hint="cs"/>
          <w:rtl/>
        </w:rPr>
        <w:t xml:space="preserve">כל </w:t>
      </w:r>
      <w:bookmarkStart w:id="2366" w:name="_ETM_Q4_308840"/>
      <w:bookmarkEnd w:id="2366"/>
      <w:r>
        <w:rPr>
          <w:rFonts w:hint="cs"/>
          <w:rtl/>
        </w:rPr>
        <w:t xml:space="preserve">המרחב </w:t>
      </w:r>
      <w:bookmarkStart w:id="2367" w:name="_ETM_Q4_310580"/>
      <w:bookmarkEnd w:id="2367"/>
      <w:r>
        <w:rPr>
          <w:rFonts w:hint="cs"/>
          <w:rtl/>
        </w:rPr>
        <w:t xml:space="preserve">האנושי </w:t>
      </w:r>
      <w:bookmarkStart w:id="2368" w:name="_ETM_Q4_311209"/>
      <w:bookmarkEnd w:id="2368"/>
      <w:r>
        <w:rPr>
          <w:rFonts w:hint="cs"/>
          <w:rtl/>
        </w:rPr>
        <w:t xml:space="preserve">העצום </w:t>
      </w:r>
      <w:bookmarkStart w:id="2369" w:name="_ETM_Q4_311690"/>
      <w:bookmarkEnd w:id="2369"/>
      <w:r>
        <w:rPr>
          <w:rFonts w:hint="cs"/>
          <w:rtl/>
        </w:rPr>
        <w:t xml:space="preserve">והמופלא </w:t>
      </w:r>
      <w:bookmarkStart w:id="2370" w:name="_ETM_Q4_312349"/>
      <w:bookmarkEnd w:id="2370"/>
      <w:r>
        <w:rPr>
          <w:rFonts w:hint="cs"/>
          <w:rtl/>
        </w:rPr>
        <w:t xml:space="preserve">הזה </w:t>
      </w:r>
      <w:bookmarkStart w:id="2371" w:name="_ETM_Q4_312620"/>
      <w:bookmarkEnd w:id="2371"/>
      <w:r>
        <w:rPr>
          <w:rFonts w:hint="cs"/>
          <w:rtl/>
        </w:rPr>
        <w:t xml:space="preserve">ולהודיע </w:t>
      </w:r>
      <w:bookmarkStart w:id="2372" w:name="_ETM_Q4_313129"/>
      <w:bookmarkEnd w:id="2372"/>
      <w:r>
        <w:rPr>
          <w:rFonts w:hint="cs"/>
          <w:rtl/>
        </w:rPr>
        <w:t xml:space="preserve">לו </w:t>
      </w:r>
      <w:bookmarkStart w:id="2373" w:name="_ETM_Q4_313250"/>
      <w:bookmarkEnd w:id="2373"/>
      <w:r>
        <w:rPr>
          <w:rFonts w:hint="cs"/>
          <w:rtl/>
        </w:rPr>
        <w:t xml:space="preserve">שמעכשיו </w:t>
      </w:r>
      <w:bookmarkStart w:id="2374" w:name="_ETM_Q4_313970"/>
      <w:bookmarkEnd w:id="2374"/>
      <w:r>
        <w:rPr>
          <w:rFonts w:hint="cs"/>
          <w:rtl/>
        </w:rPr>
        <w:t xml:space="preserve">הוא </w:t>
      </w:r>
      <w:bookmarkStart w:id="2375" w:name="_ETM_Q4_314060"/>
      <w:bookmarkEnd w:id="2375"/>
      <w:r>
        <w:rPr>
          <w:rFonts w:hint="cs"/>
          <w:rtl/>
        </w:rPr>
        <w:t xml:space="preserve">לא </w:t>
      </w:r>
      <w:bookmarkStart w:id="2376" w:name="_ETM_Q4_314180"/>
      <w:bookmarkEnd w:id="2376"/>
      <w:r>
        <w:rPr>
          <w:rFonts w:hint="cs"/>
          <w:rtl/>
        </w:rPr>
        <w:t xml:space="preserve">חי </w:t>
      </w:r>
      <w:bookmarkStart w:id="2377" w:name="_ETM_Q4_314419"/>
      <w:bookmarkEnd w:id="2377"/>
      <w:r>
        <w:rPr>
          <w:rFonts w:hint="cs"/>
          <w:rtl/>
        </w:rPr>
        <w:t xml:space="preserve">בדמוקרטיה, </w:t>
      </w:r>
      <w:bookmarkStart w:id="2378" w:name="_ETM_Q4_315590"/>
      <w:bookmarkEnd w:id="2378"/>
      <w:r>
        <w:rPr>
          <w:rFonts w:hint="cs"/>
          <w:rtl/>
        </w:rPr>
        <w:t xml:space="preserve">ולקוות </w:t>
      </w:r>
      <w:bookmarkStart w:id="2379" w:name="_ETM_Q4_316220"/>
      <w:bookmarkEnd w:id="2379"/>
      <w:r>
        <w:rPr>
          <w:rFonts w:hint="cs"/>
          <w:rtl/>
        </w:rPr>
        <w:t xml:space="preserve">שזה </w:t>
      </w:r>
      <w:bookmarkStart w:id="2380" w:name="_ETM_Q4_316549"/>
      <w:bookmarkEnd w:id="2380"/>
      <w:r>
        <w:rPr>
          <w:rFonts w:hint="cs"/>
          <w:rtl/>
        </w:rPr>
        <w:t xml:space="preserve">יצליח. </w:t>
      </w:r>
      <w:bookmarkStart w:id="2381" w:name="_ETM_Q4_317030"/>
      <w:bookmarkEnd w:id="2381"/>
      <w:r>
        <w:rPr>
          <w:rFonts w:hint="cs"/>
          <w:rtl/>
        </w:rPr>
        <w:t xml:space="preserve">זה </w:t>
      </w:r>
      <w:bookmarkStart w:id="2382" w:name="_ETM_Q4_317209"/>
      <w:bookmarkEnd w:id="2382"/>
      <w:r>
        <w:rPr>
          <w:rFonts w:hint="cs"/>
          <w:rtl/>
        </w:rPr>
        <w:t xml:space="preserve">לא </w:t>
      </w:r>
      <w:bookmarkStart w:id="2383" w:name="_ETM_Q4_317299"/>
      <w:bookmarkEnd w:id="2383"/>
      <w:r>
        <w:rPr>
          <w:rFonts w:hint="cs"/>
          <w:rtl/>
        </w:rPr>
        <w:t>י</w:t>
      </w:r>
      <w:bookmarkStart w:id="2384" w:name="_ETM_Q4_317389"/>
      <w:bookmarkEnd w:id="2384"/>
      <w:r>
        <w:rPr>
          <w:rFonts w:hint="cs"/>
          <w:rtl/>
        </w:rPr>
        <w:t xml:space="preserve">צליח. </w:t>
      </w:r>
      <w:bookmarkStart w:id="2385" w:name="_ETM_Q4_319180"/>
      <w:bookmarkEnd w:id="2385"/>
      <w:r>
        <w:rPr>
          <w:rFonts w:hint="cs"/>
          <w:rtl/>
        </w:rPr>
        <w:t xml:space="preserve">זה </w:t>
      </w:r>
      <w:bookmarkStart w:id="2386" w:name="_ETM_Q4_319359"/>
      <w:bookmarkEnd w:id="2386"/>
      <w:r>
        <w:rPr>
          <w:rFonts w:hint="cs"/>
          <w:rtl/>
        </w:rPr>
        <w:t xml:space="preserve">עושה </w:t>
      </w:r>
      <w:bookmarkStart w:id="2387" w:name="_ETM_Q4_320319"/>
      <w:bookmarkEnd w:id="2387"/>
      <w:r>
        <w:rPr>
          <w:rFonts w:hint="cs"/>
          <w:rtl/>
        </w:rPr>
        <w:t xml:space="preserve">בדיוק </w:t>
      </w:r>
      <w:bookmarkStart w:id="2388" w:name="_ETM_Q4_320739"/>
      <w:bookmarkEnd w:id="2388"/>
      <w:r>
        <w:rPr>
          <w:rFonts w:hint="cs"/>
          <w:rtl/>
        </w:rPr>
        <w:t xml:space="preserve">את </w:t>
      </w:r>
      <w:bookmarkStart w:id="2389" w:name="_ETM_Q4_320889"/>
      <w:bookmarkEnd w:id="2389"/>
      <w:r>
        <w:rPr>
          <w:rFonts w:hint="cs"/>
          <w:rtl/>
        </w:rPr>
        <w:t xml:space="preserve">ההפך, </w:t>
      </w:r>
      <w:bookmarkStart w:id="2390" w:name="_ETM_Q4_322450"/>
      <w:bookmarkEnd w:id="2390"/>
      <w:r>
        <w:rPr>
          <w:rFonts w:hint="cs"/>
          <w:rtl/>
        </w:rPr>
        <w:t xml:space="preserve">זה </w:t>
      </w:r>
      <w:bookmarkStart w:id="2391" w:name="_ETM_Q4_322630"/>
      <w:bookmarkEnd w:id="2391"/>
      <w:r>
        <w:rPr>
          <w:rFonts w:hint="cs"/>
          <w:rtl/>
        </w:rPr>
        <w:t xml:space="preserve">מגדיר </w:t>
      </w:r>
      <w:bookmarkStart w:id="2392" w:name="_ETM_Q4_323080"/>
      <w:bookmarkEnd w:id="2392"/>
      <w:r>
        <w:rPr>
          <w:rFonts w:hint="cs"/>
          <w:rtl/>
        </w:rPr>
        <w:t xml:space="preserve">מחדש </w:t>
      </w:r>
      <w:bookmarkStart w:id="2393" w:name="_ETM_Q4_324470"/>
      <w:bookmarkEnd w:id="2393"/>
      <w:r>
        <w:rPr>
          <w:rFonts w:hint="cs"/>
          <w:rtl/>
        </w:rPr>
        <w:t xml:space="preserve">את </w:t>
      </w:r>
      <w:bookmarkStart w:id="2394" w:name="_ETM_Q4_324680"/>
      <w:bookmarkEnd w:id="2394"/>
      <w:r>
        <w:rPr>
          <w:rFonts w:hint="cs"/>
          <w:rtl/>
        </w:rPr>
        <w:t xml:space="preserve">עם </w:t>
      </w:r>
      <w:bookmarkStart w:id="2395" w:name="_ETM_Q4_324800"/>
      <w:bookmarkEnd w:id="2395"/>
      <w:r>
        <w:rPr>
          <w:rFonts w:hint="cs"/>
          <w:rtl/>
        </w:rPr>
        <w:t xml:space="preserve">ישראל. </w:t>
      </w:r>
      <w:bookmarkStart w:id="2396" w:name="_ETM_Q4_325959"/>
      <w:bookmarkEnd w:id="2396"/>
      <w:r>
        <w:rPr>
          <w:rFonts w:hint="cs"/>
          <w:rtl/>
        </w:rPr>
        <w:t xml:space="preserve">אנחנו </w:t>
      </w:r>
      <w:bookmarkStart w:id="2397" w:name="_ETM_Q4_326290"/>
      <w:bookmarkEnd w:id="2397"/>
      <w:r>
        <w:rPr>
          <w:rFonts w:hint="cs"/>
          <w:rtl/>
        </w:rPr>
        <w:t xml:space="preserve">נזכרנו </w:t>
      </w:r>
      <w:bookmarkStart w:id="2398" w:name="_ETM_Q4_328389"/>
      <w:bookmarkEnd w:id="2398"/>
      <w:r>
        <w:rPr>
          <w:rFonts w:hint="cs"/>
          <w:rtl/>
        </w:rPr>
        <w:t xml:space="preserve">שאנחנו </w:t>
      </w:r>
      <w:bookmarkStart w:id="2399" w:name="_ETM_Q4_328750"/>
      <w:bookmarkEnd w:id="2399"/>
      <w:r>
        <w:rPr>
          <w:rFonts w:hint="cs"/>
          <w:rtl/>
        </w:rPr>
        <w:t xml:space="preserve">לא </w:t>
      </w:r>
      <w:bookmarkStart w:id="2400" w:name="_ETM_Q4_328900"/>
      <w:bookmarkEnd w:id="2400"/>
      <w:r>
        <w:rPr>
          <w:rFonts w:hint="cs"/>
          <w:rtl/>
        </w:rPr>
        <w:t xml:space="preserve">מוכנים </w:t>
      </w:r>
      <w:bookmarkStart w:id="2401" w:name="_ETM_Q4_329379"/>
      <w:bookmarkEnd w:id="2401"/>
      <w:r>
        <w:rPr>
          <w:rFonts w:hint="cs"/>
          <w:rtl/>
        </w:rPr>
        <w:t xml:space="preserve">להשאיר </w:t>
      </w:r>
      <w:bookmarkStart w:id="2402" w:name="_ETM_Q4_329769"/>
      <w:bookmarkEnd w:id="2402"/>
      <w:r>
        <w:rPr>
          <w:rFonts w:hint="cs"/>
          <w:rtl/>
        </w:rPr>
        <w:t xml:space="preserve">בידי </w:t>
      </w:r>
      <w:bookmarkStart w:id="2403" w:name="_ETM_Q4_330159"/>
      <w:bookmarkEnd w:id="2403"/>
      <w:r>
        <w:rPr>
          <w:rFonts w:hint="cs"/>
          <w:rtl/>
        </w:rPr>
        <w:t xml:space="preserve">הקיצוניים </w:t>
      </w:r>
      <w:bookmarkStart w:id="2404" w:name="_ETM_Q4_330819"/>
      <w:bookmarkEnd w:id="2404"/>
      <w:r>
        <w:rPr>
          <w:rFonts w:hint="cs"/>
          <w:rtl/>
        </w:rPr>
        <w:t xml:space="preserve">את </w:t>
      </w:r>
      <w:bookmarkStart w:id="2405" w:name="_ETM_Q4_330939"/>
      <w:bookmarkEnd w:id="2405"/>
      <w:r>
        <w:rPr>
          <w:rFonts w:hint="cs"/>
          <w:rtl/>
        </w:rPr>
        <w:t xml:space="preserve">היהדות. </w:t>
      </w:r>
      <w:bookmarkStart w:id="2406" w:name="_ETM_Q4_332169"/>
      <w:bookmarkEnd w:id="2406"/>
      <w:r>
        <w:rPr>
          <w:rFonts w:hint="cs"/>
          <w:rtl/>
        </w:rPr>
        <w:t xml:space="preserve">הם </w:t>
      </w:r>
      <w:bookmarkStart w:id="2407" w:name="_ETM_Q4_332349"/>
      <w:bookmarkEnd w:id="2407"/>
      <w:r>
        <w:rPr>
          <w:rFonts w:hint="cs"/>
          <w:rtl/>
        </w:rPr>
        <w:t xml:space="preserve">לא </w:t>
      </w:r>
      <w:bookmarkStart w:id="2408" w:name="_ETM_Q4_332469"/>
      <w:bookmarkEnd w:id="2408"/>
      <w:r>
        <w:rPr>
          <w:rFonts w:hint="cs"/>
          <w:rtl/>
        </w:rPr>
        <w:t xml:space="preserve">יגידו </w:t>
      </w:r>
      <w:bookmarkStart w:id="2409" w:name="_ETM_Q4_332829"/>
      <w:bookmarkEnd w:id="2409"/>
      <w:r>
        <w:rPr>
          <w:rFonts w:hint="cs"/>
          <w:rtl/>
        </w:rPr>
        <w:t xml:space="preserve">לנו </w:t>
      </w:r>
      <w:bookmarkStart w:id="2410" w:name="_ETM_Q4_333129"/>
      <w:bookmarkEnd w:id="2410"/>
      <w:r>
        <w:rPr>
          <w:rFonts w:hint="cs"/>
          <w:rtl/>
        </w:rPr>
        <w:t xml:space="preserve">מיהו </w:t>
      </w:r>
      <w:bookmarkStart w:id="2411" w:name="_ETM_Q4_333430"/>
      <w:bookmarkEnd w:id="2411"/>
      <w:r>
        <w:rPr>
          <w:rFonts w:hint="cs"/>
          <w:rtl/>
        </w:rPr>
        <w:t xml:space="preserve">יהודי </w:t>
      </w:r>
      <w:bookmarkStart w:id="2412" w:name="_ETM_Q4_333879"/>
      <w:bookmarkEnd w:id="2412"/>
      <w:r>
        <w:rPr>
          <w:rFonts w:hint="cs"/>
          <w:rtl/>
        </w:rPr>
        <w:t xml:space="preserve">או </w:t>
      </w:r>
      <w:bookmarkStart w:id="2413" w:name="_ETM_Q4_334000"/>
      <w:bookmarkEnd w:id="2413"/>
      <w:r>
        <w:rPr>
          <w:rFonts w:hint="cs"/>
          <w:rtl/>
        </w:rPr>
        <w:t xml:space="preserve">מהו </w:t>
      </w:r>
      <w:bookmarkStart w:id="2414" w:name="_ETM_Q4_334269"/>
      <w:bookmarkEnd w:id="2414"/>
      <w:r>
        <w:rPr>
          <w:rFonts w:hint="cs"/>
          <w:rtl/>
        </w:rPr>
        <w:t xml:space="preserve">יהודי </w:t>
      </w:r>
      <w:bookmarkStart w:id="2415" w:name="_ETM_Q4_334719"/>
      <w:bookmarkEnd w:id="2415"/>
      <w:r>
        <w:rPr>
          <w:rFonts w:hint="cs"/>
          <w:rtl/>
        </w:rPr>
        <w:t xml:space="preserve">ומה </w:t>
      </w:r>
      <w:bookmarkStart w:id="2416" w:name="_ETM_Q4_334989"/>
      <w:bookmarkEnd w:id="2416"/>
      <w:r>
        <w:rPr>
          <w:rFonts w:hint="cs"/>
          <w:rtl/>
        </w:rPr>
        <w:t xml:space="preserve">לא </w:t>
      </w:r>
      <w:bookmarkStart w:id="2417" w:name="_ETM_Q4_335169"/>
      <w:bookmarkEnd w:id="2417"/>
      <w:r>
        <w:rPr>
          <w:rFonts w:hint="cs"/>
          <w:rtl/>
        </w:rPr>
        <w:t xml:space="preserve">יהודי. </w:t>
      </w:r>
      <w:bookmarkStart w:id="2418" w:name="_ETM_Q4_335859"/>
      <w:bookmarkEnd w:id="2418"/>
      <w:r>
        <w:rPr>
          <w:rFonts w:hint="cs"/>
          <w:rtl/>
        </w:rPr>
        <w:t xml:space="preserve">התנ"ך הוא </w:t>
      </w:r>
      <w:bookmarkStart w:id="2419" w:name="_ETM_Q4_336519"/>
      <w:bookmarkEnd w:id="2419"/>
      <w:r>
        <w:rPr>
          <w:rFonts w:hint="cs"/>
          <w:rtl/>
        </w:rPr>
        <w:t xml:space="preserve">גם </w:t>
      </w:r>
      <w:bookmarkStart w:id="2420" w:name="_ETM_Q4_336730"/>
      <w:bookmarkEnd w:id="2420"/>
      <w:r>
        <w:rPr>
          <w:rFonts w:hint="cs"/>
          <w:rtl/>
        </w:rPr>
        <w:t xml:space="preserve">שלנו, </w:t>
      </w:r>
      <w:bookmarkStart w:id="2421" w:name="_ETM_Q4_337659"/>
      <w:bookmarkEnd w:id="2421"/>
      <w:r>
        <w:rPr>
          <w:rFonts w:hint="cs"/>
          <w:rtl/>
        </w:rPr>
        <w:t xml:space="preserve">שולחן </w:t>
      </w:r>
      <w:bookmarkStart w:id="2422" w:name="_ETM_Q4_338109"/>
      <w:bookmarkEnd w:id="2422"/>
      <w:r>
        <w:rPr>
          <w:rFonts w:hint="cs"/>
          <w:rtl/>
        </w:rPr>
        <w:t xml:space="preserve">השבת </w:t>
      </w:r>
      <w:bookmarkStart w:id="2423" w:name="_ETM_Q4_339129"/>
      <w:bookmarkEnd w:id="2423"/>
      <w:r>
        <w:rPr>
          <w:rFonts w:hint="cs"/>
          <w:rtl/>
        </w:rPr>
        <w:t xml:space="preserve">הוא </w:t>
      </w:r>
      <w:bookmarkStart w:id="2424" w:name="_ETM_Q4_339250"/>
      <w:bookmarkEnd w:id="2424"/>
      <w:r>
        <w:rPr>
          <w:rFonts w:hint="cs"/>
          <w:rtl/>
        </w:rPr>
        <w:t xml:space="preserve">גם </w:t>
      </w:r>
      <w:bookmarkStart w:id="2425" w:name="_ETM_Q4_339519"/>
      <w:bookmarkEnd w:id="2425"/>
      <w:r>
        <w:rPr>
          <w:rFonts w:hint="cs"/>
          <w:rtl/>
        </w:rPr>
        <w:t xml:space="preserve">שלנו, </w:t>
      </w:r>
      <w:bookmarkStart w:id="2426" w:name="_ETM_Q4_340329"/>
      <w:bookmarkEnd w:id="2426"/>
      <w:r>
        <w:rPr>
          <w:rFonts w:hint="cs"/>
          <w:rtl/>
        </w:rPr>
        <w:t xml:space="preserve">המסורת </w:t>
      </w:r>
      <w:bookmarkStart w:id="2427" w:name="_ETM_Q4_341049"/>
      <w:bookmarkEnd w:id="2427"/>
      <w:r>
        <w:rPr>
          <w:rFonts w:hint="cs"/>
          <w:rtl/>
        </w:rPr>
        <w:t xml:space="preserve">הזו </w:t>
      </w:r>
      <w:bookmarkStart w:id="2428" w:name="_ETM_Q4_341379"/>
      <w:bookmarkEnd w:id="2428"/>
      <w:r>
        <w:rPr>
          <w:rFonts w:hint="cs"/>
          <w:rtl/>
        </w:rPr>
        <w:t xml:space="preserve">היא </w:t>
      </w:r>
      <w:bookmarkStart w:id="2429" w:name="_ETM_Q4_341500"/>
      <w:bookmarkEnd w:id="2429"/>
      <w:r>
        <w:rPr>
          <w:rFonts w:hint="cs"/>
          <w:rtl/>
        </w:rPr>
        <w:t xml:space="preserve">גם </w:t>
      </w:r>
      <w:bookmarkStart w:id="2430" w:name="_ETM_Q4_341739"/>
      <w:bookmarkEnd w:id="2430"/>
      <w:r>
        <w:rPr>
          <w:rFonts w:hint="cs"/>
          <w:rtl/>
        </w:rPr>
        <w:t xml:space="preserve">שלנו, </w:t>
      </w:r>
      <w:bookmarkStart w:id="2431" w:name="_ETM_Q4_343280"/>
      <w:bookmarkEnd w:id="2431"/>
      <w:r>
        <w:rPr>
          <w:rFonts w:hint="cs"/>
          <w:rtl/>
        </w:rPr>
        <w:t xml:space="preserve">העושר </w:t>
      </w:r>
      <w:bookmarkStart w:id="2432" w:name="_ETM_Q4_343730"/>
      <w:bookmarkEnd w:id="2432"/>
      <w:r>
        <w:rPr>
          <w:rFonts w:hint="cs"/>
          <w:rtl/>
        </w:rPr>
        <w:t xml:space="preserve">התרבותי </w:t>
      </w:r>
      <w:bookmarkStart w:id="2433" w:name="_ETM_Q4_344419"/>
      <w:bookmarkEnd w:id="2433"/>
      <w:r>
        <w:rPr>
          <w:rFonts w:hint="cs"/>
          <w:rtl/>
        </w:rPr>
        <w:t xml:space="preserve">העצום </w:t>
      </w:r>
      <w:bookmarkStart w:id="2434" w:name="_ETM_Q4_344960"/>
      <w:bookmarkEnd w:id="2434"/>
      <w:r>
        <w:rPr>
          <w:rFonts w:hint="cs"/>
          <w:rtl/>
        </w:rPr>
        <w:t xml:space="preserve">והמופלא </w:t>
      </w:r>
      <w:bookmarkStart w:id="2435" w:name="_ETM_Q4_346130"/>
      <w:bookmarkEnd w:id="2435"/>
      <w:r>
        <w:rPr>
          <w:rFonts w:hint="cs"/>
          <w:rtl/>
        </w:rPr>
        <w:t xml:space="preserve">של </w:t>
      </w:r>
      <w:bookmarkStart w:id="2436" w:name="_ETM_Q4_346340"/>
      <w:bookmarkEnd w:id="2436"/>
      <w:r>
        <w:rPr>
          <w:rFonts w:hint="cs"/>
          <w:rtl/>
        </w:rPr>
        <w:t xml:space="preserve">ההיסטוריה </w:t>
      </w:r>
      <w:bookmarkStart w:id="2437" w:name="_ETM_Q4_346880"/>
      <w:bookmarkEnd w:id="2437"/>
      <w:r>
        <w:rPr>
          <w:rFonts w:hint="cs"/>
          <w:rtl/>
        </w:rPr>
        <w:t xml:space="preserve">והמחשבה </w:t>
      </w:r>
      <w:bookmarkStart w:id="2438" w:name="_ETM_Q4_347480"/>
      <w:bookmarkEnd w:id="2438"/>
      <w:r>
        <w:rPr>
          <w:rFonts w:hint="cs"/>
          <w:rtl/>
        </w:rPr>
        <w:t xml:space="preserve">היהודית </w:t>
      </w:r>
      <w:bookmarkStart w:id="2439" w:name="_ETM_Q4_347900"/>
      <w:bookmarkEnd w:id="2439"/>
      <w:r>
        <w:rPr>
          <w:rFonts w:hint="cs"/>
          <w:rtl/>
        </w:rPr>
        <w:t xml:space="preserve">הם </w:t>
      </w:r>
      <w:bookmarkStart w:id="2440" w:name="_ETM_Q4_348020"/>
      <w:bookmarkStart w:id="2441" w:name="_ETM_Q4_349000"/>
      <w:bookmarkEnd w:id="2440"/>
      <w:bookmarkEnd w:id="2441"/>
      <w:r>
        <w:rPr>
          <w:rFonts w:hint="cs"/>
          <w:rtl/>
        </w:rPr>
        <w:t xml:space="preserve">גם </w:t>
      </w:r>
      <w:bookmarkStart w:id="2442" w:name="_ETM_Q4_348230"/>
      <w:bookmarkEnd w:id="2442"/>
      <w:r>
        <w:rPr>
          <w:rFonts w:hint="cs"/>
          <w:rtl/>
        </w:rPr>
        <w:t>שלנו.</w:t>
      </w:r>
    </w:p>
    <w:p w:rsidR="000C5C1F" w:rsidRDefault="000C5C1F" w:rsidP="000C5C1F">
      <w:pPr>
        <w:rPr>
          <w:rtl/>
        </w:rPr>
      </w:pPr>
    </w:p>
    <w:p w:rsidR="000C5C1F" w:rsidRDefault="000C5C1F" w:rsidP="000C5C1F">
      <w:pPr>
        <w:rPr>
          <w:rtl/>
        </w:rPr>
      </w:pPr>
      <w:r>
        <w:rPr>
          <w:rFonts w:hint="cs"/>
          <w:rtl/>
        </w:rPr>
        <w:t xml:space="preserve"> </w:t>
      </w:r>
      <w:bookmarkStart w:id="2443" w:name="_ETM_Q4_349569"/>
      <w:bookmarkEnd w:id="2443"/>
      <w:r>
        <w:rPr>
          <w:rFonts w:hint="cs"/>
          <w:rtl/>
        </w:rPr>
        <w:t xml:space="preserve">תפקידו </w:t>
      </w:r>
      <w:bookmarkStart w:id="2444" w:name="_ETM_Q4_350739"/>
      <w:bookmarkEnd w:id="2444"/>
      <w:r>
        <w:rPr>
          <w:rFonts w:hint="cs"/>
          <w:rtl/>
        </w:rPr>
        <w:t xml:space="preserve">של </w:t>
      </w:r>
      <w:bookmarkStart w:id="2445" w:name="_ETM_Q4_351010"/>
      <w:bookmarkEnd w:id="2445"/>
      <w:r>
        <w:rPr>
          <w:rFonts w:hint="cs"/>
          <w:rtl/>
        </w:rPr>
        <w:t xml:space="preserve">היהודי </w:t>
      </w:r>
      <w:bookmarkStart w:id="2446" w:name="_ETM_Q4_351549"/>
      <w:bookmarkEnd w:id="2446"/>
      <w:r>
        <w:rPr>
          <w:rFonts w:hint="cs"/>
          <w:rtl/>
        </w:rPr>
        <w:t xml:space="preserve">בעולם </w:t>
      </w:r>
      <w:bookmarkStart w:id="2447" w:name="_ETM_Q4_353280"/>
      <w:bookmarkEnd w:id="2447"/>
      <w:r>
        <w:rPr>
          <w:rFonts w:hint="cs"/>
          <w:rtl/>
        </w:rPr>
        <w:t xml:space="preserve">הוא </w:t>
      </w:r>
      <w:bookmarkStart w:id="2448" w:name="_ETM_Q4_353459"/>
      <w:bookmarkEnd w:id="2448"/>
      <w:r>
        <w:rPr>
          <w:rFonts w:hint="cs"/>
          <w:rtl/>
        </w:rPr>
        <w:t xml:space="preserve">לתת </w:t>
      </w:r>
      <w:bookmarkStart w:id="2449" w:name="_ETM_Q4_353880"/>
      <w:bookmarkEnd w:id="2449"/>
      <w:r>
        <w:rPr>
          <w:rFonts w:hint="cs"/>
          <w:rtl/>
        </w:rPr>
        <w:t xml:space="preserve">מעצמו </w:t>
      </w:r>
      <w:bookmarkStart w:id="2450" w:name="_ETM_Q4_354569"/>
      <w:bookmarkEnd w:id="2450"/>
      <w:r>
        <w:rPr>
          <w:rFonts w:hint="cs"/>
          <w:rtl/>
        </w:rPr>
        <w:t xml:space="preserve">לאלוהים, </w:t>
      </w:r>
      <w:bookmarkStart w:id="2451" w:name="_ETM_Q4_355139"/>
      <w:bookmarkEnd w:id="2451"/>
      <w:r>
        <w:rPr>
          <w:rFonts w:hint="cs"/>
          <w:rtl/>
        </w:rPr>
        <w:t xml:space="preserve">לא </w:t>
      </w:r>
      <w:bookmarkStart w:id="2452" w:name="_ETM_Q4_355260"/>
      <w:bookmarkEnd w:id="2452"/>
      <w:r>
        <w:rPr>
          <w:rFonts w:hint="cs"/>
          <w:rtl/>
        </w:rPr>
        <w:t xml:space="preserve">להשתמש </w:t>
      </w:r>
      <w:bookmarkStart w:id="2453" w:name="_ETM_Q4_355950"/>
      <w:bookmarkEnd w:id="2453"/>
      <w:r>
        <w:rPr>
          <w:rFonts w:hint="cs"/>
          <w:rtl/>
        </w:rPr>
        <w:t xml:space="preserve">באלוהים </w:t>
      </w:r>
      <w:bookmarkStart w:id="2454" w:name="_ETM_Q4_356790"/>
      <w:bookmarkEnd w:id="2454"/>
      <w:r>
        <w:rPr>
          <w:rFonts w:hint="cs"/>
          <w:rtl/>
        </w:rPr>
        <w:t xml:space="preserve">כדי </w:t>
      </w:r>
      <w:bookmarkStart w:id="2455" w:name="_ETM_Q4_357000"/>
      <w:bookmarkEnd w:id="2455"/>
      <w:r>
        <w:rPr>
          <w:rFonts w:hint="cs"/>
          <w:rtl/>
        </w:rPr>
        <w:t xml:space="preserve">לקבל </w:t>
      </w:r>
      <w:bookmarkStart w:id="2456" w:name="_ETM_Q4_357480"/>
      <w:bookmarkEnd w:id="2456"/>
      <w:r>
        <w:rPr>
          <w:rFonts w:hint="cs"/>
          <w:rtl/>
        </w:rPr>
        <w:t xml:space="preserve">הנחות </w:t>
      </w:r>
      <w:bookmarkStart w:id="2457" w:name="_ETM_Q4_357930"/>
      <w:bookmarkEnd w:id="2457"/>
      <w:r>
        <w:rPr>
          <w:rFonts w:hint="cs"/>
          <w:rtl/>
        </w:rPr>
        <w:t xml:space="preserve">והטבות; </w:t>
      </w:r>
      <w:bookmarkStart w:id="2458" w:name="_ETM_Q4_359080"/>
      <w:bookmarkEnd w:id="2458"/>
      <w:r>
        <w:rPr>
          <w:rFonts w:hint="cs"/>
          <w:rtl/>
        </w:rPr>
        <w:t xml:space="preserve">לא </w:t>
      </w:r>
      <w:bookmarkStart w:id="2459" w:name="_ETM_Q4_359290"/>
      <w:bookmarkEnd w:id="2459"/>
      <w:r>
        <w:rPr>
          <w:rFonts w:hint="cs"/>
          <w:rtl/>
        </w:rPr>
        <w:t xml:space="preserve">לצאת </w:t>
      </w:r>
      <w:bookmarkStart w:id="2460" w:name="_ETM_Q4_360500"/>
      <w:bookmarkEnd w:id="2460"/>
      <w:r>
        <w:rPr>
          <w:rFonts w:hint="cs"/>
          <w:rtl/>
        </w:rPr>
        <w:t xml:space="preserve">בשם </w:t>
      </w:r>
      <w:bookmarkStart w:id="2461" w:name="_ETM_Q4_361310"/>
      <w:bookmarkEnd w:id="2461"/>
      <w:r>
        <w:rPr>
          <w:rFonts w:hint="cs"/>
          <w:rtl/>
        </w:rPr>
        <w:t xml:space="preserve">האלוהים </w:t>
      </w:r>
      <w:bookmarkStart w:id="2462" w:name="_ETM_Q4_362260"/>
      <w:bookmarkEnd w:id="2462"/>
      <w:r>
        <w:rPr>
          <w:rFonts w:hint="cs"/>
          <w:rtl/>
        </w:rPr>
        <w:t xml:space="preserve">למלחמה </w:t>
      </w:r>
      <w:bookmarkStart w:id="2463" w:name="_ETM_Q4_363010"/>
      <w:bookmarkEnd w:id="2463"/>
      <w:r>
        <w:rPr>
          <w:rFonts w:hint="cs"/>
          <w:rtl/>
        </w:rPr>
        <w:t xml:space="preserve">בין </w:t>
      </w:r>
      <w:bookmarkStart w:id="2464" w:name="_ETM_Q4_363160"/>
      <w:bookmarkEnd w:id="2464"/>
      <w:r>
        <w:rPr>
          <w:rFonts w:hint="cs"/>
          <w:rtl/>
        </w:rPr>
        <w:t xml:space="preserve">גברים </w:t>
      </w:r>
      <w:bookmarkStart w:id="2465" w:name="_ETM_Q4_363580"/>
      <w:bookmarkEnd w:id="2465"/>
      <w:r>
        <w:rPr>
          <w:rFonts w:hint="cs"/>
          <w:rtl/>
        </w:rPr>
        <w:t xml:space="preserve">יהודים </w:t>
      </w:r>
      <w:bookmarkStart w:id="2466" w:name="_ETM_Q4_363970"/>
      <w:bookmarkEnd w:id="2466"/>
      <w:r>
        <w:rPr>
          <w:rFonts w:hint="cs"/>
          <w:rtl/>
        </w:rPr>
        <w:t xml:space="preserve">לנשים </w:t>
      </w:r>
      <w:bookmarkStart w:id="2467" w:name="_ETM_Q4_364419"/>
      <w:bookmarkEnd w:id="2467"/>
      <w:r>
        <w:rPr>
          <w:rFonts w:hint="cs"/>
          <w:rtl/>
        </w:rPr>
        <w:t xml:space="preserve">יהודיות, </w:t>
      </w:r>
      <w:bookmarkStart w:id="2468" w:name="_ETM_Q4_366159"/>
      <w:bookmarkEnd w:id="2468"/>
      <w:r>
        <w:rPr>
          <w:rFonts w:hint="cs"/>
          <w:rtl/>
        </w:rPr>
        <w:t xml:space="preserve">בין </w:t>
      </w:r>
      <w:bookmarkStart w:id="2469" w:name="_ETM_Q4_366400"/>
      <w:bookmarkEnd w:id="2469"/>
      <w:r>
        <w:rPr>
          <w:rFonts w:hint="cs"/>
          <w:rtl/>
        </w:rPr>
        <w:t xml:space="preserve">סטרייטים </w:t>
      </w:r>
      <w:bookmarkStart w:id="2470" w:name="_ETM_Q4_367000"/>
      <w:bookmarkEnd w:id="2470"/>
      <w:r>
        <w:rPr>
          <w:rFonts w:hint="cs"/>
          <w:rtl/>
        </w:rPr>
        <w:t xml:space="preserve">יהודים </w:t>
      </w:r>
      <w:bookmarkStart w:id="2471" w:name="_ETM_Q4_367419"/>
      <w:bookmarkEnd w:id="2471"/>
      <w:r>
        <w:rPr>
          <w:rFonts w:hint="cs"/>
          <w:rtl/>
        </w:rPr>
        <w:t xml:space="preserve">ללהט"בים </w:t>
      </w:r>
      <w:bookmarkStart w:id="2472" w:name="_ETM_Q4_368109"/>
      <w:bookmarkEnd w:id="2472"/>
      <w:r>
        <w:rPr>
          <w:rFonts w:hint="cs"/>
          <w:rtl/>
        </w:rPr>
        <w:t xml:space="preserve">יהודים, </w:t>
      </w:r>
      <w:bookmarkStart w:id="2473" w:name="_ETM_Q4_369220"/>
      <w:bookmarkEnd w:id="2473"/>
      <w:r>
        <w:rPr>
          <w:rFonts w:hint="cs"/>
          <w:rtl/>
        </w:rPr>
        <w:t xml:space="preserve">בין </w:t>
      </w:r>
      <w:bookmarkStart w:id="2474" w:name="_ETM_Q4_369490"/>
      <w:bookmarkEnd w:id="2474"/>
      <w:r>
        <w:rPr>
          <w:rFonts w:hint="cs"/>
          <w:rtl/>
        </w:rPr>
        <w:t xml:space="preserve">יהודים </w:t>
      </w:r>
      <w:bookmarkStart w:id="2475" w:name="_ETM_Q4_370450"/>
      <w:bookmarkStart w:id="2476" w:name="_ETM_Q4_350000"/>
      <w:bookmarkEnd w:id="2475"/>
      <w:bookmarkEnd w:id="2476"/>
      <w:r>
        <w:rPr>
          <w:rFonts w:hint="cs"/>
          <w:rtl/>
        </w:rPr>
        <w:t xml:space="preserve">לשאינם </w:t>
      </w:r>
      <w:bookmarkStart w:id="2477" w:name="_ETM_Q4_370959"/>
      <w:bookmarkEnd w:id="2477"/>
      <w:r>
        <w:rPr>
          <w:rFonts w:hint="cs"/>
          <w:rtl/>
        </w:rPr>
        <w:t>יהודים</w:t>
      </w:r>
      <w:bookmarkStart w:id="2478" w:name="_ETM_Q4_372900"/>
      <w:bookmarkEnd w:id="2478"/>
      <w:r>
        <w:rPr>
          <w:rFonts w:hint="cs"/>
          <w:rtl/>
        </w:rPr>
        <w:t xml:space="preserve">. </w:t>
      </w:r>
    </w:p>
    <w:p w:rsidR="000C5C1F" w:rsidRDefault="000C5C1F" w:rsidP="000C5C1F">
      <w:pPr>
        <w:rPr>
          <w:rtl/>
        </w:rPr>
      </w:pPr>
    </w:p>
    <w:p w:rsidR="000C5C1F" w:rsidRDefault="000C5C1F" w:rsidP="000C5C1F">
      <w:pPr>
        <w:rPr>
          <w:rtl/>
        </w:rPr>
      </w:pPr>
      <w:bookmarkStart w:id="2479" w:name="_ETM_Q4_370000"/>
      <w:bookmarkEnd w:id="2479"/>
      <w:r>
        <w:rPr>
          <w:rFonts w:hint="cs"/>
          <w:rtl/>
        </w:rPr>
        <w:t xml:space="preserve">הממשלה </w:t>
      </w:r>
      <w:bookmarkStart w:id="2480" w:name="_ETM_Q4_373349"/>
      <w:bookmarkEnd w:id="2480"/>
      <w:r>
        <w:rPr>
          <w:rFonts w:hint="cs"/>
          <w:rtl/>
        </w:rPr>
        <w:t xml:space="preserve">מנסה </w:t>
      </w:r>
      <w:bookmarkStart w:id="2481" w:name="_ETM_Q4_374340"/>
      <w:bookmarkEnd w:id="2481"/>
      <w:r>
        <w:rPr>
          <w:rFonts w:hint="cs"/>
          <w:rtl/>
        </w:rPr>
        <w:t xml:space="preserve">להציג </w:t>
      </w:r>
      <w:bookmarkStart w:id="2482" w:name="_ETM_Q4_374819"/>
      <w:bookmarkEnd w:id="2482"/>
      <w:r>
        <w:rPr>
          <w:rFonts w:hint="cs"/>
          <w:rtl/>
        </w:rPr>
        <w:t xml:space="preserve">את </w:t>
      </w:r>
      <w:bookmarkStart w:id="2483" w:name="_ETM_Q4_374939"/>
      <w:bookmarkEnd w:id="2483"/>
      <w:r>
        <w:rPr>
          <w:rFonts w:hint="cs"/>
          <w:rtl/>
        </w:rPr>
        <w:t xml:space="preserve">המאבק </w:t>
      </w:r>
      <w:bookmarkStart w:id="2484" w:name="_ETM_Q4_375419"/>
      <w:bookmarkEnd w:id="2484"/>
      <w:r>
        <w:rPr>
          <w:rFonts w:hint="cs"/>
          <w:rtl/>
        </w:rPr>
        <w:t xml:space="preserve">הזה </w:t>
      </w:r>
      <w:bookmarkStart w:id="2485" w:name="_ETM_Q4_375689"/>
      <w:bookmarkEnd w:id="2485"/>
      <w:r>
        <w:rPr>
          <w:rFonts w:hint="cs"/>
          <w:rtl/>
        </w:rPr>
        <w:t xml:space="preserve">כמאבק </w:t>
      </w:r>
      <w:bookmarkStart w:id="2486" w:name="_ETM_Q4_376379"/>
      <w:bookmarkEnd w:id="2486"/>
      <w:r>
        <w:rPr>
          <w:rFonts w:hint="cs"/>
          <w:rtl/>
        </w:rPr>
        <w:t xml:space="preserve">בין </w:t>
      </w:r>
      <w:bookmarkStart w:id="2487" w:name="_ETM_Q4_377189"/>
      <w:bookmarkEnd w:id="2487"/>
      <w:r>
        <w:rPr>
          <w:rFonts w:hint="cs"/>
          <w:rtl/>
        </w:rPr>
        <w:t xml:space="preserve">הפריפריה </w:t>
      </w:r>
      <w:bookmarkStart w:id="2488" w:name="_ETM_Q4_378030"/>
      <w:bookmarkEnd w:id="2488"/>
      <w:r>
        <w:rPr>
          <w:rFonts w:hint="cs"/>
          <w:rtl/>
        </w:rPr>
        <w:t xml:space="preserve">למרכז. </w:t>
      </w:r>
      <w:bookmarkStart w:id="2489" w:name="_ETM_Q4_379510"/>
      <w:bookmarkEnd w:id="2489"/>
      <w:r>
        <w:rPr>
          <w:rFonts w:hint="cs"/>
          <w:rtl/>
        </w:rPr>
        <w:t xml:space="preserve">הפריפריה </w:t>
      </w:r>
      <w:bookmarkStart w:id="2490" w:name="_ETM_Q4_380799"/>
      <w:bookmarkEnd w:id="2490"/>
      <w:r>
        <w:rPr>
          <w:rFonts w:hint="cs"/>
          <w:rtl/>
        </w:rPr>
        <w:t>ענתה על זה.</w:t>
      </w:r>
      <w:bookmarkStart w:id="2491" w:name="_ETM_Q4_382870"/>
      <w:bookmarkEnd w:id="2491"/>
      <w:r>
        <w:rPr>
          <w:rFonts w:hint="cs"/>
          <w:rtl/>
        </w:rPr>
        <w:t xml:space="preserve"> כבר </w:t>
      </w:r>
      <w:bookmarkStart w:id="2492" w:name="_ETM_Q4_383109"/>
      <w:bookmarkEnd w:id="2492"/>
      <w:r>
        <w:rPr>
          <w:rFonts w:hint="cs"/>
          <w:rtl/>
        </w:rPr>
        <w:t xml:space="preserve">29 </w:t>
      </w:r>
      <w:bookmarkStart w:id="2493" w:name="_ETM_Q4_383950"/>
      <w:bookmarkEnd w:id="2493"/>
      <w:r>
        <w:rPr>
          <w:rFonts w:hint="cs"/>
          <w:rtl/>
        </w:rPr>
        <w:t xml:space="preserve">שבועות </w:t>
      </w:r>
      <w:bookmarkStart w:id="2494" w:name="_ETM_Q4_384750"/>
      <w:bookmarkEnd w:id="2494"/>
      <w:r>
        <w:rPr>
          <w:rFonts w:hint="cs"/>
          <w:rtl/>
        </w:rPr>
        <w:t xml:space="preserve">היא </w:t>
      </w:r>
      <w:bookmarkStart w:id="2495" w:name="_ETM_Q4_384990"/>
      <w:bookmarkEnd w:id="2495"/>
      <w:r>
        <w:rPr>
          <w:rFonts w:hint="cs"/>
          <w:rtl/>
        </w:rPr>
        <w:t xml:space="preserve">עונה </w:t>
      </w:r>
      <w:bookmarkStart w:id="2496" w:name="_ETM_Q4_385380"/>
      <w:bookmarkEnd w:id="2496"/>
      <w:r>
        <w:rPr>
          <w:rFonts w:hint="cs"/>
          <w:rtl/>
        </w:rPr>
        <w:t xml:space="preserve">על זה </w:t>
      </w:r>
      <w:bookmarkStart w:id="2497" w:name="_ETM_Q4_386840"/>
      <w:bookmarkEnd w:id="2497"/>
      <w:r>
        <w:rPr>
          <w:rFonts w:hint="cs"/>
          <w:rtl/>
        </w:rPr>
        <w:t xml:space="preserve">בהפגנות </w:t>
      </w:r>
      <w:bookmarkStart w:id="2498" w:name="_ETM_Q4_387470"/>
      <w:bookmarkEnd w:id="2498"/>
      <w:r>
        <w:rPr>
          <w:rFonts w:hint="cs"/>
          <w:rtl/>
        </w:rPr>
        <w:t xml:space="preserve">המחאה </w:t>
      </w:r>
      <w:bookmarkStart w:id="2499" w:name="_ETM_Q4_387919"/>
      <w:bookmarkEnd w:id="2499"/>
      <w:r>
        <w:rPr>
          <w:rFonts w:hint="cs"/>
          <w:rtl/>
        </w:rPr>
        <w:t xml:space="preserve">בבאר שבע, </w:t>
      </w:r>
      <w:bookmarkStart w:id="2500" w:name="_ETM_Q4_388639"/>
      <w:bookmarkEnd w:id="2500"/>
      <w:r>
        <w:rPr>
          <w:rFonts w:hint="cs"/>
          <w:rtl/>
        </w:rPr>
        <w:t xml:space="preserve">באשדוד, </w:t>
      </w:r>
      <w:bookmarkStart w:id="2501" w:name="_ETM_Q4_389360"/>
      <w:bookmarkEnd w:id="2501"/>
      <w:r>
        <w:rPr>
          <w:rFonts w:hint="cs"/>
          <w:rtl/>
        </w:rPr>
        <w:t xml:space="preserve">בעוטף </w:t>
      </w:r>
      <w:bookmarkStart w:id="2502" w:name="_ETM_Q4_389930"/>
      <w:bookmarkEnd w:id="2502"/>
      <w:r>
        <w:rPr>
          <w:rFonts w:hint="cs"/>
          <w:rtl/>
        </w:rPr>
        <w:t xml:space="preserve">עזה, </w:t>
      </w:r>
      <w:bookmarkStart w:id="2503" w:name="_ETM_Q4_390290"/>
      <w:bookmarkEnd w:id="2503"/>
      <w:r>
        <w:rPr>
          <w:rFonts w:hint="cs"/>
          <w:rtl/>
        </w:rPr>
        <w:t xml:space="preserve">בכרמיאל </w:t>
      </w:r>
      <w:bookmarkStart w:id="2504" w:name="_ETM_Q4_391130"/>
      <w:bookmarkEnd w:id="2504"/>
      <w:r>
        <w:rPr>
          <w:rFonts w:hint="cs"/>
          <w:rtl/>
        </w:rPr>
        <w:t xml:space="preserve">ובחצור </w:t>
      </w:r>
      <w:bookmarkStart w:id="2505" w:name="_ETM_Q4_391610"/>
      <w:bookmarkEnd w:id="2505"/>
      <w:r>
        <w:rPr>
          <w:rFonts w:hint="cs"/>
          <w:rtl/>
        </w:rPr>
        <w:t xml:space="preserve">הגלילית. </w:t>
      </w:r>
      <w:bookmarkStart w:id="2506" w:name="_ETM_Q4_393639"/>
      <w:bookmarkEnd w:id="2506"/>
    </w:p>
    <w:p w:rsidR="000C5C1F" w:rsidRDefault="000C5C1F" w:rsidP="000C5C1F">
      <w:pPr>
        <w:rPr>
          <w:rtl/>
        </w:rPr>
      </w:pPr>
    </w:p>
    <w:p w:rsidR="000C5C1F" w:rsidRDefault="000C5C1F" w:rsidP="000C5C1F">
      <w:pPr>
        <w:pStyle w:val="af8"/>
        <w:keepNext/>
        <w:rPr>
          <w:rtl/>
        </w:rPr>
      </w:pPr>
      <w:bookmarkStart w:id="2507" w:name="ET_interruption_5786_12"/>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507"/>
    </w:p>
    <w:p w:rsidR="000C5C1F" w:rsidRDefault="000C5C1F" w:rsidP="00337201">
      <w:pPr>
        <w:rPr>
          <w:rtl/>
        </w:rPr>
      </w:pPr>
    </w:p>
    <w:p w:rsidR="000C5C1F" w:rsidRDefault="000C5C1F" w:rsidP="000C5C1F">
      <w:pPr>
        <w:rPr>
          <w:rtl/>
        </w:rPr>
      </w:pPr>
      <w:r>
        <w:rPr>
          <w:rFonts w:hint="cs"/>
          <w:rtl/>
        </w:rPr>
        <w:t xml:space="preserve">בקיבוצים. </w:t>
      </w:r>
    </w:p>
    <w:p w:rsidR="000C5C1F" w:rsidRDefault="000C5C1F" w:rsidP="000C5C1F">
      <w:pPr>
        <w:rPr>
          <w:b/>
          <w:bCs/>
          <w:u w:val="single"/>
          <w:rtl/>
          <w:lang w:eastAsia="he-IL"/>
        </w:rPr>
      </w:pPr>
      <w:bookmarkStart w:id="2508" w:name="_ETM_Q4_388000"/>
      <w:bookmarkEnd w:id="2508"/>
    </w:p>
    <w:p w:rsidR="000C5C1F" w:rsidRDefault="000C5C1F" w:rsidP="000C5C1F">
      <w:pPr>
        <w:pStyle w:val="-"/>
        <w:keepNext/>
        <w:rPr>
          <w:rtl/>
        </w:rPr>
      </w:pPr>
      <w:bookmarkStart w:id="2509" w:name="ET_speakercontinue_5087_14"/>
      <w:r>
        <w:rPr>
          <w:rStyle w:val="TagStyle"/>
          <w:rFonts w:hint="cs"/>
          <w:rtl/>
        </w:rPr>
        <w:t xml:space="preserve"> &lt;&lt; דובר_המשך &gt;&gt; </w:t>
      </w:r>
      <w:r>
        <w:rPr>
          <w:rFonts w:hint="cs"/>
          <w:rtl/>
        </w:rPr>
        <w:t>יאיר לפיד (יש עתיד):</w:t>
      </w:r>
      <w:r>
        <w:rPr>
          <w:rStyle w:val="TagStyle"/>
          <w:rtl/>
        </w:rPr>
        <w:t xml:space="preserve"> &lt;&lt; דובר_המשך &gt;&gt;</w:t>
      </w:r>
      <w:r>
        <w:rPr>
          <w:rFonts w:hint="cs"/>
          <w:rtl/>
        </w:rPr>
        <w:t xml:space="preserve">   </w:t>
      </w:r>
      <w:bookmarkEnd w:id="2509"/>
    </w:p>
    <w:p w:rsidR="000C5C1F" w:rsidRDefault="000C5C1F" w:rsidP="00337201">
      <w:pPr>
        <w:rPr>
          <w:rtl/>
          <w:lang w:eastAsia="he-IL"/>
        </w:rPr>
      </w:pPr>
    </w:p>
    <w:p w:rsidR="000C5C1F" w:rsidRDefault="000C5C1F" w:rsidP="000C5C1F">
      <w:pPr>
        <w:rPr>
          <w:rtl/>
        </w:rPr>
      </w:pPr>
      <w:bookmarkStart w:id="2510" w:name="_ETM_Q4_401000"/>
      <w:bookmarkStart w:id="2511" w:name="_ETM_Q4_396000"/>
      <w:bookmarkStart w:id="2512" w:name="_ETM_Q4_397000"/>
      <w:bookmarkEnd w:id="2510"/>
      <w:bookmarkEnd w:id="2511"/>
      <w:bookmarkEnd w:id="2512"/>
      <w:r>
        <w:rPr>
          <w:rFonts w:hint="cs"/>
          <w:rtl/>
        </w:rPr>
        <w:t xml:space="preserve">הפריפריה </w:t>
      </w:r>
      <w:bookmarkStart w:id="2513" w:name="_ETM_Q4_395599"/>
      <w:bookmarkEnd w:id="2513"/>
      <w:r>
        <w:rPr>
          <w:rFonts w:hint="cs"/>
          <w:rtl/>
        </w:rPr>
        <w:t xml:space="preserve">צעדה </w:t>
      </w:r>
      <w:bookmarkStart w:id="2514" w:name="_ETM_Q4_396079"/>
      <w:bookmarkEnd w:id="2514"/>
      <w:r>
        <w:rPr>
          <w:rFonts w:hint="cs"/>
          <w:rtl/>
        </w:rPr>
        <w:t xml:space="preserve">אתמול </w:t>
      </w:r>
      <w:bookmarkStart w:id="2515" w:name="_ETM_Q4_396650"/>
      <w:bookmarkEnd w:id="2515"/>
      <w:r>
        <w:rPr>
          <w:rFonts w:hint="cs"/>
          <w:rtl/>
        </w:rPr>
        <w:t xml:space="preserve">עם </w:t>
      </w:r>
      <w:bookmarkStart w:id="2516" w:name="_ETM_Q4_396799"/>
      <w:bookmarkEnd w:id="2516"/>
      <w:r>
        <w:rPr>
          <w:rFonts w:hint="cs"/>
          <w:rtl/>
        </w:rPr>
        <w:t xml:space="preserve">המרכז. </w:t>
      </w:r>
      <w:bookmarkStart w:id="2517" w:name="_ETM_Q4_397590"/>
      <w:bookmarkEnd w:id="2517"/>
      <w:r>
        <w:rPr>
          <w:rFonts w:hint="cs"/>
          <w:rtl/>
        </w:rPr>
        <w:t xml:space="preserve">גם </w:t>
      </w:r>
      <w:bookmarkStart w:id="2518" w:name="_ETM_Q4_397830"/>
      <w:bookmarkEnd w:id="2518"/>
      <w:r>
        <w:rPr>
          <w:rFonts w:hint="cs"/>
          <w:rtl/>
        </w:rPr>
        <w:t xml:space="preserve">רגליה </w:t>
      </w:r>
      <w:bookmarkStart w:id="2519" w:name="_ETM_Q4_398280"/>
      <w:bookmarkEnd w:id="2519"/>
      <w:r>
        <w:rPr>
          <w:rFonts w:hint="cs"/>
          <w:rtl/>
        </w:rPr>
        <w:t xml:space="preserve">נשאו </w:t>
      </w:r>
      <w:bookmarkStart w:id="2520" w:name="_ETM_Q4_398640"/>
      <w:bookmarkEnd w:id="2520"/>
      <w:r>
        <w:rPr>
          <w:rFonts w:hint="cs"/>
          <w:rtl/>
        </w:rPr>
        <w:t>תפילה</w:t>
      </w:r>
      <w:bookmarkStart w:id="2521" w:name="_ETM_Q4_399090"/>
      <w:bookmarkEnd w:id="2521"/>
      <w:r>
        <w:rPr>
          <w:rFonts w:hint="cs"/>
          <w:rtl/>
        </w:rPr>
        <w:t xml:space="preserve">. היא </w:t>
      </w:r>
      <w:bookmarkStart w:id="2522" w:name="_ETM_Q4_399209"/>
      <w:bookmarkEnd w:id="2522"/>
      <w:r>
        <w:rPr>
          <w:rFonts w:hint="cs"/>
          <w:rtl/>
        </w:rPr>
        <w:t xml:space="preserve">אמרה: </w:t>
      </w:r>
      <w:bookmarkStart w:id="2523" w:name="_ETM_Q4_399480"/>
      <w:bookmarkEnd w:id="2523"/>
      <w:r>
        <w:rPr>
          <w:rFonts w:hint="cs"/>
          <w:rtl/>
        </w:rPr>
        <w:t xml:space="preserve">אנחנו </w:t>
      </w:r>
      <w:bookmarkStart w:id="2524" w:name="_ETM_Q4_399780"/>
      <w:bookmarkEnd w:id="2524"/>
      <w:r>
        <w:rPr>
          <w:rFonts w:hint="cs"/>
          <w:rtl/>
        </w:rPr>
        <w:t xml:space="preserve">יחד, </w:t>
      </w:r>
      <w:bookmarkStart w:id="2525" w:name="_ETM_Q4_400989"/>
      <w:bookmarkEnd w:id="2525"/>
      <w:r>
        <w:rPr>
          <w:rFonts w:hint="cs"/>
          <w:rtl/>
        </w:rPr>
        <w:t xml:space="preserve">אנחנו </w:t>
      </w:r>
      <w:bookmarkStart w:id="2526" w:name="_ETM_Q4_401260"/>
      <w:bookmarkEnd w:id="2526"/>
      <w:r>
        <w:rPr>
          <w:rFonts w:hint="cs"/>
          <w:rtl/>
        </w:rPr>
        <w:t xml:space="preserve">גאים </w:t>
      </w:r>
      <w:bookmarkStart w:id="2527" w:name="_ETM_Q4_401620"/>
      <w:bookmarkEnd w:id="2527"/>
      <w:r>
        <w:rPr>
          <w:rFonts w:hint="cs"/>
          <w:rtl/>
        </w:rPr>
        <w:t xml:space="preserve">במה </w:t>
      </w:r>
      <w:bookmarkStart w:id="2528" w:name="_ETM_Q4_401859"/>
      <w:bookmarkEnd w:id="2528"/>
      <w:r>
        <w:rPr>
          <w:rFonts w:hint="cs"/>
          <w:rtl/>
        </w:rPr>
        <w:t xml:space="preserve">שהשגנו </w:t>
      </w:r>
      <w:bookmarkStart w:id="2529" w:name="_ETM_Q4_402430"/>
      <w:bookmarkEnd w:id="2529"/>
      <w:r>
        <w:rPr>
          <w:rFonts w:hint="cs"/>
          <w:rtl/>
        </w:rPr>
        <w:t xml:space="preserve">עד </w:t>
      </w:r>
      <w:bookmarkStart w:id="2530" w:name="_ETM_Q4_402549"/>
      <w:bookmarkEnd w:id="2530"/>
      <w:r>
        <w:rPr>
          <w:rFonts w:hint="cs"/>
          <w:rtl/>
        </w:rPr>
        <w:t xml:space="preserve">היום, </w:t>
      </w:r>
      <w:bookmarkStart w:id="2531" w:name="_ETM_Q4_403530"/>
      <w:bookmarkEnd w:id="2531"/>
      <w:r>
        <w:rPr>
          <w:rFonts w:hint="cs"/>
          <w:rtl/>
        </w:rPr>
        <w:t xml:space="preserve">אנחנו </w:t>
      </w:r>
      <w:bookmarkStart w:id="2532" w:name="_ETM_Q4_403769"/>
      <w:bookmarkEnd w:id="2532"/>
      <w:r>
        <w:rPr>
          <w:rFonts w:hint="cs"/>
          <w:rtl/>
        </w:rPr>
        <w:t xml:space="preserve">גאים </w:t>
      </w:r>
      <w:bookmarkStart w:id="2533" w:name="_ETM_Q4_404040"/>
      <w:bookmarkEnd w:id="2533"/>
      <w:r>
        <w:rPr>
          <w:rFonts w:hint="cs"/>
          <w:rtl/>
        </w:rPr>
        <w:t xml:space="preserve">בדרך </w:t>
      </w:r>
      <w:bookmarkStart w:id="2534" w:name="_ETM_Q4_404370"/>
      <w:bookmarkEnd w:id="2534"/>
      <w:r>
        <w:rPr>
          <w:rFonts w:hint="cs"/>
          <w:rtl/>
        </w:rPr>
        <w:t xml:space="preserve">שכבר </w:t>
      </w:r>
      <w:bookmarkStart w:id="2535" w:name="_ETM_Q4_404730"/>
      <w:bookmarkEnd w:id="2535"/>
      <w:r>
        <w:rPr>
          <w:rFonts w:hint="cs"/>
          <w:rtl/>
        </w:rPr>
        <w:t xml:space="preserve">עשינו, </w:t>
      </w:r>
      <w:bookmarkStart w:id="2536" w:name="_ETM_Q4_405810"/>
      <w:bookmarkEnd w:id="2536"/>
      <w:r>
        <w:rPr>
          <w:rFonts w:hint="cs"/>
          <w:rtl/>
        </w:rPr>
        <w:t xml:space="preserve">אנחנו </w:t>
      </w:r>
      <w:bookmarkStart w:id="2537" w:name="_ETM_Q4_406110"/>
      <w:bookmarkEnd w:id="2537"/>
      <w:r>
        <w:rPr>
          <w:rFonts w:hint="cs"/>
          <w:rtl/>
        </w:rPr>
        <w:t xml:space="preserve">בוחרים </w:t>
      </w:r>
      <w:bookmarkStart w:id="2538" w:name="_ETM_Q4_407480"/>
      <w:bookmarkEnd w:id="2538"/>
      <w:r>
        <w:rPr>
          <w:rFonts w:hint="cs"/>
          <w:rtl/>
        </w:rPr>
        <w:t xml:space="preserve">לבנות </w:t>
      </w:r>
      <w:bookmarkStart w:id="2539" w:name="_ETM_Q4_407930"/>
      <w:bookmarkEnd w:id="2539"/>
      <w:r>
        <w:rPr>
          <w:rFonts w:hint="cs"/>
          <w:rtl/>
        </w:rPr>
        <w:t xml:space="preserve">יחד </w:t>
      </w:r>
      <w:bookmarkStart w:id="2540" w:name="_ETM_Q4_408349"/>
      <w:bookmarkEnd w:id="2540"/>
      <w:r>
        <w:rPr>
          <w:rFonts w:hint="cs"/>
          <w:rtl/>
        </w:rPr>
        <w:t xml:space="preserve">את </w:t>
      </w:r>
      <w:bookmarkStart w:id="2541" w:name="_ETM_Q4_408500"/>
      <w:bookmarkEnd w:id="2541"/>
      <w:r>
        <w:rPr>
          <w:rFonts w:hint="cs"/>
          <w:rtl/>
        </w:rPr>
        <w:t xml:space="preserve">העתיד </w:t>
      </w:r>
      <w:bookmarkStart w:id="2542" w:name="_ETM_Q4_408890"/>
      <w:bookmarkEnd w:id="2542"/>
      <w:r>
        <w:rPr>
          <w:rFonts w:hint="cs"/>
          <w:rtl/>
        </w:rPr>
        <w:t xml:space="preserve">הישראלי. </w:t>
      </w:r>
      <w:bookmarkStart w:id="2543" w:name="_ETM_Q4_410040"/>
      <w:bookmarkEnd w:id="2543"/>
      <w:r>
        <w:rPr>
          <w:rFonts w:hint="cs"/>
          <w:rtl/>
        </w:rPr>
        <w:t>כן</w:t>
      </w:r>
      <w:bookmarkStart w:id="2544" w:name="_ETM_Q4_410460"/>
      <w:bookmarkEnd w:id="2544"/>
      <w:r>
        <w:rPr>
          <w:rFonts w:hint="cs"/>
          <w:rtl/>
        </w:rPr>
        <w:t xml:space="preserve">, היו </w:t>
      </w:r>
      <w:bookmarkStart w:id="2545" w:name="_ETM_Q4_410640"/>
      <w:bookmarkEnd w:id="2545"/>
      <w:r>
        <w:rPr>
          <w:rFonts w:hint="cs"/>
          <w:rtl/>
        </w:rPr>
        <w:t xml:space="preserve">הרבה </w:t>
      </w:r>
      <w:bookmarkStart w:id="2546" w:name="_ETM_Q4_410880"/>
      <w:bookmarkEnd w:id="2546"/>
      <w:r>
        <w:rPr>
          <w:rFonts w:hint="cs"/>
          <w:rtl/>
        </w:rPr>
        <w:t xml:space="preserve">שנים </w:t>
      </w:r>
      <w:bookmarkStart w:id="2547" w:name="_ETM_Q4_411240"/>
      <w:bookmarkEnd w:id="2547"/>
      <w:r>
        <w:rPr>
          <w:rFonts w:hint="cs"/>
          <w:rtl/>
        </w:rPr>
        <w:t xml:space="preserve">של </w:t>
      </w:r>
      <w:bookmarkStart w:id="2548" w:name="_ETM_Q4_411420"/>
      <w:bookmarkEnd w:id="2548"/>
      <w:r>
        <w:rPr>
          <w:rFonts w:hint="cs"/>
          <w:rtl/>
        </w:rPr>
        <w:t xml:space="preserve">קיפוח, </w:t>
      </w:r>
      <w:bookmarkStart w:id="2549" w:name="_ETM_Q4_411960"/>
      <w:bookmarkEnd w:id="2549"/>
      <w:r>
        <w:rPr>
          <w:rFonts w:hint="cs"/>
          <w:rtl/>
        </w:rPr>
        <w:t xml:space="preserve">עדיין </w:t>
      </w:r>
      <w:bookmarkStart w:id="2550" w:name="_ETM_Q4_412380"/>
      <w:bookmarkEnd w:id="2550"/>
      <w:r>
        <w:rPr>
          <w:rFonts w:hint="cs"/>
          <w:rtl/>
        </w:rPr>
        <w:t xml:space="preserve">יש </w:t>
      </w:r>
      <w:bookmarkStart w:id="2551" w:name="_ETM_Q4_412740"/>
      <w:bookmarkEnd w:id="2551"/>
      <w:r>
        <w:rPr>
          <w:rFonts w:hint="cs"/>
          <w:rtl/>
        </w:rPr>
        <w:t xml:space="preserve">אי-שוויון, </w:t>
      </w:r>
      <w:bookmarkStart w:id="2552" w:name="_ETM_Q4_413639"/>
      <w:bookmarkEnd w:id="2552"/>
      <w:r>
        <w:rPr>
          <w:rFonts w:hint="cs"/>
          <w:rtl/>
        </w:rPr>
        <w:t xml:space="preserve">עדיין </w:t>
      </w:r>
      <w:bookmarkStart w:id="2553" w:name="_ETM_Q4_414120"/>
      <w:bookmarkEnd w:id="2553"/>
      <w:r>
        <w:rPr>
          <w:rFonts w:hint="cs"/>
          <w:rtl/>
        </w:rPr>
        <w:t xml:space="preserve">יש </w:t>
      </w:r>
      <w:bookmarkStart w:id="2554" w:name="_ETM_Q4_414299"/>
      <w:bookmarkEnd w:id="2554"/>
      <w:r>
        <w:rPr>
          <w:rFonts w:hint="cs"/>
          <w:rtl/>
        </w:rPr>
        <w:t xml:space="preserve">פערים, </w:t>
      </w:r>
      <w:bookmarkStart w:id="2555" w:name="_ETM_Q4_414749"/>
      <w:bookmarkEnd w:id="2555"/>
      <w:r>
        <w:rPr>
          <w:rFonts w:hint="cs"/>
          <w:rtl/>
        </w:rPr>
        <w:t xml:space="preserve">אבל אנחנו </w:t>
      </w:r>
      <w:bookmarkStart w:id="2556" w:name="_ETM_Q4_415079"/>
      <w:bookmarkEnd w:id="2556"/>
      <w:r>
        <w:rPr>
          <w:rFonts w:hint="cs"/>
          <w:rtl/>
        </w:rPr>
        <w:t xml:space="preserve">לא </w:t>
      </w:r>
      <w:bookmarkStart w:id="2557" w:name="_ETM_Q4_415200"/>
      <w:bookmarkEnd w:id="2557"/>
      <w:r>
        <w:rPr>
          <w:rFonts w:hint="cs"/>
          <w:rtl/>
        </w:rPr>
        <w:t xml:space="preserve">רוצים </w:t>
      </w:r>
      <w:bookmarkStart w:id="2558" w:name="_ETM_Q4_415859"/>
      <w:bookmarkEnd w:id="2558"/>
      <w:r>
        <w:rPr>
          <w:rFonts w:hint="cs"/>
          <w:rtl/>
        </w:rPr>
        <w:t xml:space="preserve">לריב </w:t>
      </w:r>
      <w:bookmarkStart w:id="2559" w:name="_ETM_Q4_416249"/>
      <w:bookmarkEnd w:id="2559"/>
      <w:r>
        <w:rPr>
          <w:rFonts w:hint="cs"/>
          <w:rtl/>
        </w:rPr>
        <w:t xml:space="preserve">על </w:t>
      </w:r>
      <w:bookmarkStart w:id="2560" w:name="_ETM_Q4_416370"/>
      <w:bookmarkEnd w:id="2560"/>
      <w:r>
        <w:rPr>
          <w:rFonts w:hint="cs"/>
          <w:rtl/>
        </w:rPr>
        <w:t xml:space="preserve">זה, </w:t>
      </w:r>
      <w:bookmarkStart w:id="2561" w:name="_ETM_Q4_416549"/>
      <w:bookmarkEnd w:id="2561"/>
      <w:r>
        <w:rPr>
          <w:rFonts w:hint="cs"/>
          <w:rtl/>
        </w:rPr>
        <w:t xml:space="preserve">אנחנו </w:t>
      </w:r>
      <w:bookmarkStart w:id="2562" w:name="_ETM_Q4_416730"/>
      <w:bookmarkEnd w:id="2562"/>
      <w:r>
        <w:rPr>
          <w:rFonts w:hint="cs"/>
          <w:rtl/>
        </w:rPr>
        <w:t xml:space="preserve">רוצים </w:t>
      </w:r>
      <w:bookmarkStart w:id="2563" w:name="_ETM_Q4_416969"/>
      <w:bookmarkEnd w:id="2563"/>
      <w:r>
        <w:rPr>
          <w:rFonts w:hint="cs"/>
          <w:rtl/>
        </w:rPr>
        <w:t xml:space="preserve">לתקן </w:t>
      </w:r>
      <w:bookmarkStart w:id="2564" w:name="_ETM_Q4_417419"/>
      <w:bookmarkEnd w:id="2564"/>
      <w:r>
        <w:rPr>
          <w:rFonts w:hint="cs"/>
          <w:rtl/>
        </w:rPr>
        <w:t xml:space="preserve">את </w:t>
      </w:r>
      <w:bookmarkStart w:id="2565" w:name="_ETM_Q4_417510"/>
      <w:bookmarkEnd w:id="2565"/>
      <w:r>
        <w:rPr>
          <w:rFonts w:hint="cs"/>
          <w:rtl/>
        </w:rPr>
        <w:t xml:space="preserve">זה </w:t>
      </w:r>
      <w:bookmarkStart w:id="2566" w:name="_ETM_Q4_417629"/>
      <w:bookmarkEnd w:id="2566"/>
      <w:r>
        <w:rPr>
          <w:rFonts w:hint="cs"/>
          <w:rtl/>
        </w:rPr>
        <w:t>ביחד.</w:t>
      </w:r>
    </w:p>
    <w:p w:rsidR="000C5C1F" w:rsidRDefault="000C5C1F" w:rsidP="000C5C1F">
      <w:pPr>
        <w:rPr>
          <w:rtl/>
        </w:rPr>
      </w:pPr>
    </w:p>
    <w:p w:rsidR="000C5C1F" w:rsidRDefault="000C5C1F" w:rsidP="000C5C1F">
      <w:pPr>
        <w:rPr>
          <w:rtl/>
        </w:rPr>
      </w:pPr>
      <w:bookmarkStart w:id="2567" w:name="_ETM_Q4_419000"/>
      <w:bookmarkStart w:id="2568" w:name="_ETM_Q4_419980"/>
      <w:bookmarkEnd w:id="2567"/>
      <w:bookmarkEnd w:id="2568"/>
      <w:r>
        <w:rPr>
          <w:rFonts w:hint="cs"/>
          <w:rtl/>
        </w:rPr>
        <w:t xml:space="preserve">אנחנו </w:t>
      </w:r>
      <w:bookmarkStart w:id="2569" w:name="_ETM_Q4_420280"/>
      <w:bookmarkEnd w:id="2569"/>
      <w:r>
        <w:rPr>
          <w:rFonts w:hint="cs"/>
          <w:rtl/>
        </w:rPr>
        <w:t xml:space="preserve">נזכרנו </w:t>
      </w:r>
      <w:bookmarkStart w:id="2570" w:name="_ETM_Q4_422150"/>
      <w:bookmarkEnd w:id="2570"/>
      <w:r>
        <w:rPr>
          <w:rFonts w:hint="cs"/>
          <w:rtl/>
        </w:rPr>
        <w:t xml:space="preserve">שאנשים </w:t>
      </w:r>
      <w:bookmarkStart w:id="2571" w:name="_ETM_Q4_423219"/>
      <w:bookmarkEnd w:id="2571"/>
      <w:r>
        <w:rPr>
          <w:rFonts w:hint="cs"/>
          <w:rtl/>
        </w:rPr>
        <w:t xml:space="preserve">יודעים </w:t>
      </w:r>
      <w:bookmarkStart w:id="2572" w:name="_ETM_Q4_423700"/>
      <w:bookmarkEnd w:id="2572"/>
      <w:r>
        <w:rPr>
          <w:rFonts w:hint="cs"/>
          <w:rtl/>
        </w:rPr>
        <w:t xml:space="preserve">לדבר </w:t>
      </w:r>
      <w:bookmarkStart w:id="2573" w:name="_ETM_Q4_424150"/>
      <w:bookmarkEnd w:id="2573"/>
      <w:r>
        <w:rPr>
          <w:rFonts w:hint="cs"/>
          <w:rtl/>
        </w:rPr>
        <w:t xml:space="preserve">על </w:t>
      </w:r>
      <w:bookmarkStart w:id="2574" w:name="_ETM_Q4_424269"/>
      <w:bookmarkEnd w:id="2574"/>
      <w:r>
        <w:rPr>
          <w:rFonts w:hint="cs"/>
          <w:rtl/>
        </w:rPr>
        <w:t xml:space="preserve">עובדות </w:t>
      </w:r>
      <w:bookmarkStart w:id="2575" w:name="_ETM_Q4_425060"/>
      <w:bookmarkEnd w:id="2575"/>
      <w:r>
        <w:rPr>
          <w:rFonts w:hint="cs"/>
          <w:rtl/>
        </w:rPr>
        <w:t xml:space="preserve">ועל </w:t>
      </w:r>
      <w:bookmarkStart w:id="2576" w:name="_ETM_Q4_425269"/>
      <w:bookmarkEnd w:id="2576"/>
      <w:r>
        <w:rPr>
          <w:rFonts w:hint="cs"/>
          <w:rtl/>
        </w:rPr>
        <w:t xml:space="preserve">רעיונות </w:t>
      </w:r>
      <w:bookmarkStart w:id="2577" w:name="_ETM_Q4_425719"/>
      <w:bookmarkEnd w:id="2577"/>
      <w:r>
        <w:rPr>
          <w:rFonts w:hint="cs"/>
          <w:rtl/>
        </w:rPr>
        <w:t xml:space="preserve">מורכבים, </w:t>
      </w:r>
      <w:bookmarkStart w:id="2578" w:name="_ETM_Q4_427069"/>
      <w:bookmarkEnd w:id="2578"/>
      <w:r>
        <w:rPr>
          <w:rFonts w:hint="cs"/>
          <w:rtl/>
        </w:rPr>
        <w:t xml:space="preserve">ולהתמודד </w:t>
      </w:r>
      <w:bookmarkStart w:id="2579" w:name="_ETM_Q4_427819"/>
      <w:bookmarkEnd w:id="2579"/>
      <w:r>
        <w:rPr>
          <w:rFonts w:hint="cs"/>
          <w:rtl/>
        </w:rPr>
        <w:t xml:space="preserve">עם </w:t>
      </w:r>
      <w:bookmarkStart w:id="2580" w:name="_ETM_Q4_427939"/>
      <w:bookmarkEnd w:id="2580"/>
      <w:r>
        <w:rPr>
          <w:rFonts w:hint="cs"/>
          <w:rtl/>
        </w:rPr>
        <w:t xml:space="preserve">מכונת </w:t>
      </w:r>
      <w:bookmarkStart w:id="2581" w:name="_ETM_Q4_428390"/>
      <w:bookmarkEnd w:id="2581"/>
      <w:r>
        <w:rPr>
          <w:rFonts w:hint="cs"/>
          <w:rtl/>
        </w:rPr>
        <w:t>הפייק</w:t>
      </w:r>
      <w:bookmarkStart w:id="2582" w:name="_ETM_Q4_428810"/>
      <w:bookmarkEnd w:id="2582"/>
      <w:r>
        <w:rPr>
          <w:rFonts w:hint="cs"/>
          <w:rtl/>
        </w:rPr>
        <w:t xml:space="preserve"> </w:t>
      </w:r>
      <w:bookmarkStart w:id="2583" w:name="_ETM_Q4_426000"/>
      <w:bookmarkEnd w:id="2583"/>
      <w:r>
        <w:rPr>
          <w:rFonts w:hint="cs"/>
          <w:rtl/>
        </w:rPr>
        <w:t xml:space="preserve">והרעל. </w:t>
      </w:r>
      <w:bookmarkStart w:id="2584" w:name="_ETM_Q4_429530"/>
      <w:bookmarkEnd w:id="2584"/>
      <w:r>
        <w:rPr>
          <w:rFonts w:hint="cs"/>
          <w:rtl/>
        </w:rPr>
        <w:t xml:space="preserve">אנשים </w:t>
      </w:r>
      <w:bookmarkStart w:id="2585" w:name="_ETM_Q4_430040"/>
      <w:bookmarkEnd w:id="2585"/>
      <w:r>
        <w:rPr>
          <w:rFonts w:hint="cs"/>
          <w:rtl/>
        </w:rPr>
        <w:t xml:space="preserve">לימדו </w:t>
      </w:r>
      <w:bookmarkStart w:id="2586" w:name="_ETM_Q4_430370"/>
      <w:bookmarkEnd w:id="2586"/>
      <w:r>
        <w:rPr>
          <w:rFonts w:hint="cs"/>
          <w:rtl/>
        </w:rPr>
        <w:t xml:space="preserve">את </w:t>
      </w:r>
      <w:bookmarkStart w:id="2587" w:name="_ETM_Q4_430490"/>
      <w:bookmarkEnd w:id="2587"/>
      <w:r>
        <w:rPr>
          <w:rFonts w:hint="cs"/>
          <w:rtl/>
        </w:rPr>
        <w:t xml:space="preserve">עצמם </w:t>
      </w:r>
      <w:bookmarkStart w:id="2588" w:name="_ETM_Q4_430850"/>
      <w:bookmarkEnd w:id="2588"/>
      <w:r>
        <w:rPr>
          <w:rFonts w:hint="cs"/>
          <w:rtl/>
        </w:rPr>
        <w:t xml:space="preserve">ולימדו </w:t>
      </w:r>
      <w:bookmarkStart w:id="2589" w:name="_ETM_Q4_431300"/>
      <w:bookmarkEnd w:id="2589"/>
      <w:r>
        <w:rPr>
          <w:rFonts w:hint="cs"/>
          <w:rtl/>
        </w:rPr>
        <w:t xml:space="preserve">אחרים </w:t>
      </w:r>
      <w:bookmarkStart w:id="2590" w:name="_ETM_Q4_432469"/>
      <w:bookmarkEnd w:id="2590"/>
      <w:r>
        <w:rPr>
          <w:rFonts w:hint="cs"/>
          <w:rtl/>
        </w:rPr>
        <w:t>על</w:t>
      </w:r>
      <w:bookmarkStart w:id="2591" w:name="_ETM_Q4_433129"/>
      <w:bookmarkEnd w:id="2591"/>
      <w:r>
        <w:rPr>
          <w:rFonts w:hint="cs"/>
          <w:rtl/>
        </w:rPr>
        <w:t xml:space="preserve"> עילת הסבירות, </w:t>
      </w:r>
      <w:bookmarkStart w:id="2592" w:name="_ETM_Q4_433700"/>
      <w:bookmarkEnd w:id="2592"/>
      <w:r>
        <w:rPr>
          <w:rFonts w:hint="cs"/>
          <w:rtl/>
        </w:rPr>
        <w:t xml:space="preserve">על </w:t>
      </w:r>
      <w:bookmarkStart w:id="2593" w:name="_ETM_Q4_433819"/>
      <w:bookmarkEnd w:id="2593"/>
      <w:r>
        <w:rPr>
          <w:rFonts w:hint="cs"/>
          <w:rtl/>
        </w:rPr>
        <w:t xml:space="preserve">הוועדה </w:t>
      </w:r>
      <w:bookmarkStart w:id="2594" w:name="_ETM_Q4_434180"/>
      <w:bookmarkEnd w:id="2594"/>
      <w:r>
        <w:rPr>
          <w:rFonts w:hint="cs"/>
          <w:rtl/>
        </w:rPr>
        <w:t xml:space="preserve">לבחירת </w:t>
      </w:r>
      <w:bookmarkStart w:id="2595" w:name="_ETM_Q4_434629"/>
      <w:bookmarkEnd w:id="2595"/>
      <w:r>
        <w:rPr>
          <w:rFonts w:hint="cs"/>
          <w:rtl/>
        </w:rPr>
        <w:t xml:space="preserve">שופטים, </w:t>
      </w:r>
      <w:bookmarkStart w:id="2596" w:name="_ETM_Q4_435379"/>
      <w:bookmarkEnd w:id="2596"/>
      <w:r>
        <w:rPr>
          <w:rFonts w:hint="cs"/>
          <w:rtl/>
        </w:rPr>
        <w:t xml:space="preserve">על </w:t>
      </w:r>
      <w:bookmarkStart w:id="2597" w:name="_ETM_Q4_435560"/>
      <w:bookmarkEnd w:id="2597"/>
      <w:r>
        <w:rPr>
          <w:rFonts w:hint="cs"/>
          <w:rtl/>
        </w:rPr>
        <w:t xml:space="preserve">גלגלי </w:t>
      </w:r>
      <w:bookmarkStart w:id="2598" w:name="_ETM_Q4_436070"/>
      <w:bookmarkEnd w:id="2598"/>
      <w:r>
        <w:rPr>
          <w:rFonts w:hint="cs"/>
          <w:rtl/>
        </w:rPr>
        <w:t>השיניים</w:t>
      </w:r>
      <w:bookmarkStart w:id="2599" w:name="_ETM_Q4_437479"/>
      <w:bookmarkEnd w:id="2599"/>
      <w:r>
        <w:rPr>
          <w:rFonts w:hint="cs"/>
          <w:rtl/>
        </w:rPr>
        <w:t xml:space="preserve"> והמכניקה </w:t>
      </w:r>
      <w:bookmarkStart w:id="2600" w:name="_ETM_Q4_438229"/>
      <w:bookmarkEnd w:id="2600"/>
      <w:r>
        <w:rPr>
          <w:rFonts w:hint="cs"/>
          <w:rtl/>
        </w:rPr>
        <w:t xml:space="preserve">המורכבת </w:t>
      </w:r>
      <w:bookmarkStart w:id="2601" w:name="_ETM_Q4_438860"/>
      <w:bookmarkEnd w:id="2601"/>
      <w:r>
        <w:rPr>
          <w:rFonts w:hint="cs"/>
          <w:rtl/>
        </w:rPr>
        <w:t xml:space="preserve">של </w:t>
      </w:r>
      <w:bookmarkStart w:id="2602" w:name="_ETM_Q4_439009"/>
      <w:bookmarkEnd w:id="2602"/>
      <w:r>
        <w:rPr>
          <w:rFonts w:hint="cs"/>
          <w:rtl/>
        </w:rPr>
        <w:t xml:space="preserve">הדמוקרטיה. </w:t>
      </w:r>
      <w:bookmarkStart w:id="2603" w:name="_ETM_Q4_440790"/>
      <w:bookmarkEnd w:id="2603"/>
      <w:r>
        <w:rPr>
          <w:rFonts w:hint="cs"/>
          <w:rtl/>
        </w:rPr>
        <w:t xml:space="preserve">הממשלה </w:t>
      </w:r>
      <w:bookmarkStart w:id="2604" w:name="_ETM_Q4_441720"/>
      <w:bookmarkEnd w:id="2604"/>
      <w:r>
        <w:rPr>
          <w:rFonts w:hint="cs"/>
          <w:rtl/>
        </w:rPr>
        <w:t xml:space="preserve">בנתה </w:t>
      </w:r>
      <w:bookmarkStart w:id="2605" w:name="_ETM_Q4_442260"/>
      <w:bookmarkEnd w:id="2605"/>
      <w:r>
        <w:rPr>
          <w:rFonts w:hint="cs"/>
          <w:rtl/>
        </w:rPr>
        <w:t xml:space="preserve">על </w:t>
      </w:r>
      <w:bookmarkStart w:id="2606" w:name="_ETM_Q4_442380"/>
      <w:bookmarkEnd w:id="2606"/>
      <w:r>
        <w:rPr>
          <w:rFonts w:hint="cs"/>
          <w:rtl/>
        </w:rPr>
        <w:t>הבורות.</w:t>
      </w:r>
      <w:bookmarkStart w:id="2607" w:name="_ETM_Q4_443040"/>
      <w:bookmarkEnd w:id="2607"/>
      <w:r>
        <w:rPr>
          <w:rFonts w:hint="cs"/>
          <w:rtl/>
        </w:rPr>
        <w:t xml:space="preserve"> אין </w:t>
      </w:r>
      <w:bookmarkStart w:id="2608" w:name="_ETM_Q4_443250"/>
      <w:bookmarkEnd w:id="2608"/>
      <w:r>
        <w:rPr>
          <w:rFonts w:hint="cs"/>
          <w:rtl/>
        </w:rPr>
        <w:t xml:space="preserve">בורות. </w:t>
      </w:r>
      <w:bookmarkStart w:id="2609" w:name="_ETM_Q4_444539"/>
      <w:bookmarkEnd w:id="2609"/>
      <w:r>
        <w:rPr>
          <w:rFonts w:hint="cs"/>
          <w:rtl/>
        </w:rPr>
        <w:t xml:space="preserve">הממשלה </w:t>
      </w:r>
      <w:bookmarkStart w:id="2610" w:name="_ETM_Q4_445020"/>
      <w:bookmarkEnd w:id="2610"/>
      <w:r>
        <w:rPr>
          <w:rFonts w:hint="cs"/>
          <w:rtl/>
        </w:rPr>
        <w:t xml:space="preserve">בנתה </w:t>
      </w:r>
      <w:bookmarkStart w:id="2611" w:name="_ETM_Q4_445620"/>
      <w:bookmarkEnd w:id="2611"/>
      <w:r>
        <w:rPr>
          <w:rFonts w:hint="cs"/>
          <w:rtl/>
        </w:rPr>
        <w:t xml:space="preserve">על </w:t>
      </w:r>
      <w:bookmarkStart w:id="2612" w:name="_ETM_Q4_445770"/>
      <w:bookmarkEnd w:id="2612"/>
      <w:r>
        <w:rPr>
          <w:rFonts w:hint="cs"/>
          <w:rtl/>
        </w:rPr>
        <w:t xml:space="preserve">זה </w:t>
      </w:r>
      <w:bookmarkStart w:id="2613" w:name="_ETM_Q4_446249"/>
      <w:bookmarkEnd w:id="2613"/>
      <w:r>
        <w:rPr>
          <w:rFonts w:hint="cs"/>
          <w:rtl/>
        </w:rPr>
        <w:t xml:space="preserve">שאנשים </w:t>
      </w:r>
      <w:bookmarkStart w:id="2614" w:name="_ETM_Q4_446819"/>
      <w:bookmarkEnd w:id="2614"/>
      <w:r>
        <w:rPr>
          <w:rFonts w:hint="cs"/>
          <w:rtl/>
        </w:rPr>
        <w:t xml:space="preserve">לא </w:t>
      </w:r>
      <w:bookmarkStart w:id="2615" w:name="_ETM_Q4_446909"/>
      <w:bookmarkEnd w:id="2615"/>
      <w:r>
        <w:rPr>
          <w:rFonts w:hint="cs"/>
          <w:rtl/>
        </w:rPr>
        <w:t xml:space="preserve">יטרחו </w:t>
      </w:r>
      <w:bookmarkStart w:id="2616" w:name="_ETM_Q4_447419"/>
      <w:bookmarkEnd w:id="2616"/>
      <w:r>
        <w:rPr>
          <w:rFonts w:hint="cs"/>
          <w:rtl/>
        </w:rPr>
        <w:t xml:space="preserve">לבדוק </w:t>
      </w:r>
      <w:bookmarkStart w:id="2617" w:name="_ETM_Q4_447839"/>
      <w:bookmarkEnd w:id="2617"/>
      <w:r>
        <w:rPr>
          <w:rFonts w:hint="cs"/>
          <w:rtl/>
        </w:rPr>
        <w:t xml:space="preserve">את </w:t>
      </w:r>
      <w:bookmarkStart w:id="2618" w:name="_ETM_Q4_447990"/>
      <w:bookmarkEnd w:id="2618"/>
      <w:r>
        <w:rPr>
          <w:rFonts w:hint="cs"/>
          <w:rtl/>
        </w:rPr>
        <w:t xml:space="preserve">העובדות, </w:t>
      </w:r>
      <w:bookmarkStart w:id="2619" w:name="_ETM_Q4_449529"/>
      <w:bookmarkEnd w:id="2619"/>
      <w:r>
        <w:rPr>
          <w:rFonts w:hint="cs"/>
          <w:rtl/>
        </w:rPr>
        <w:t xml:space="preserve">והם </w:t>
      </w:r>
      <w:bookmarkStart w:id="2620" w:name="_ETM_Q4_449770"/>
      <w:bookmarkEnd w:id="2620"/>
      <w:r>
        <w:rPr>
          <w:rFonts w:hint="cs"/>
          <w:rtl/>
        </w:rPr>
        <w:t xml:space="preserve">הפכו </w:t>
      </w:r>
      <w:bookmarkStart w:id="2621" w:name="_ETM_Q4_450100"/>
      <w:bookmarkEnd w:id="2621"/>
      <w:r>
        <w:rPr>
          <w:rFonts w:hint="cs"/>
          <w:rtl/>
        </w:rPr>
        <w:t xml:space="preserve">את </w:t>
      </w:r>
      <w:bookmarkStart w:id="2622" w:name="_ETM_Q4_450220"/>
      <w:bookmarkEnd w:id="2622"/>
      <w:r>
        <w:rPr>
          <w:rFonts w:hint="cs"/>
          <w:rtl/>
        </w:rPr>
        <w:t xml:space="preserve">העובדות </w:t>
      </w:r>
      <w:bookmarkStart w:id="2623" w:name="_ETM_Q4_450700"/>
      <w:bookmarkEnd w:id="2623"/>
      <w:r>
        <w:rPr>
          <w:rFonts w:hint="cs"/>
          <w:rtl/>
        </w:rPr>
        <w:t xml:space="preserve">לנשק </w:t>
      </w:r>
      <w:bookmarkStart w:id="2624" w:name="_ETM_Q4_451150"/>
      <w:bookmarkEnd w:id="2624"/>
      <w:r>
        <w:rPr>
          <w:rFonts w:hint="cs"/>
          <w:rtl/>
        </w:rPr>
        <w:t xml:space="preserve">הכי </w:t>
      </w:r>
      <w:bookmarkStart w:id="2625" w:name="_ETM_Q4_451360"/>
      <w:bookmarkEnd w:id="2625"/>
      <w:r>
        <w:rPr>
          <w:rFonts w:hint="cs"/>
          <w:rtl/>
        </w:rPr>
        <w:t xml:space="preserve">חזק </w:t>
      </w:r>
      <w:bookmarkStart w:id="2626" w:name="_ETM_Q4_451750"/>
      <w:bookmarkEnd w:id="2626"/>
      <w:r>
        <w:rPr>
          <w:rFonts w:hint="cs"/>
          <w:rtl/>
        </w:rPr>
        <w:t xml:space="preserve">שלהם. </w:t>
      </w:r>
      <w:bookmarkStart w:id="2627" w:name="_ETM_Q4_453070"/>
      <w:bookmarkEnd w:id="2627"/>
      <w:r>
        <w:rPr>
          <w:rFonts w:hint="cs"/>
          <w:rtl/>
        </w:rPr>
        <w:t xml:space="preserve">הממשלה </w:t>
      </w:r>
      <w:bookmarkStart w:id="2628" w:name="_ETM_Q4_453520"/>
      <w:bookmarkEnd w:id="2628"/>
      <w:r>
        <w:rPr>
          <w:rFonts w:hint="cs"/>
          <w:rtl/>
        </w:rPr>
        <w:t xml:space="preserve">חושבת </w:t>
      </w:r>
      <w:bookmarkStart w:id="2629" w:name="_ETM_Q4_454029"/>
      <w:bookmarkEnd w:id="2629"/>
      <w:r>
        <w:rPr>
          <w:rFonts w:hint="cs"/>
          <w:rtl/>
        </w:rPr>
        <w:t xml:space="preserve">שאם </w:t>
      </w:r>
      <w:bookmarkStart w:id="2630" w:name="_ETM_Q4_454210"/>
      <w:bookmarkEnd w:id="2630"/>
      <w:r>
        <w:rPr>
          <w:rFonts w:hint="cs"/>
          <w:rtl/>
        </w:rPr>
        <w:t xml:space="preserve">היא </w:t>
      </w:r>
      <w:bookmarkStart w:id="2631" w:name="_ETM_Q4_454270"/>
      <w:bookmarkEnd w:id="2631"/>
      <w:r>
        <w:rPr>
          <w:rFonts w:hint="cs"/>
          <w:rtl/>
        </w:rPr>
        <w:t xml:space="preserve">תצעק </w:t>
      </w:r>
      <w:bookmarkStart w:id="2632" w:name="_ETM_Q4_454750"/>
      <w:bookmarkEnd w:id="2632"/>
      <w:r>
        <w:rPr>
          <w:rFonts w:hint="cs"/>
          <w:rtl/>
        </w:rPr>
        <w:t xml:space="preserve">עלינו </w:t>
      </w:r>
      <w:bookmarkStart w:id="2633" w:name="_ETM_Q4_455610"/>
      <w:bookmarkEnd w:id="2633"/>
      <w:r>
        <w:rPr>
          <w:rFonts w:hint="cs"/>
          <w:rtl/>
        </w:rPr>
        <w:t xml:space="preserve">חזק, </w:t>
      </w:r>
      <w:bookmarkStart w:id="2634" w:name="_ETM_Q4_456240"/>
      <w:bookmarkEnd w:id="2634"/>
      <w:r>
        <w:rPr>
          <w:rFonts w:hint="cs"/>
          <w:rtl/>
        </w:rPr>
        <w:t xml:space="preserve">גס </w:t>
      </w:r>
      <w:bookmarkStart w:id="2635" w:name="_ETM_Q4_457300"/>
      <w:bookmarkEnd w:id="2635"/>
      <w:r>
        <w:rPr>
          <w:rFonts w:hint="cs"/>
          <w:rtl/>
        </w:rPr>
        <w:t xml:space="preserve">ואלים </w:t>
      </w:r>
      <w:bookmarkStart w:id="2636" w:name="_ETM_Q4_457930"/>
      <w:bookmarkEnd w:id="2636"/>
      <w:r>
        <w:rPr>
          <w:rFonts w:hint="cs"/>
          <w:rtl/>
        </w:rPr>
        <w:t xml:space="preserve">אנחנו </w:t>
      </w:r>
      <w:bookmarkStart w:id="2637" w:name="_ETM_Q4_458199"/>
      <w:bookmarkEnd w:id="2637"/>
      <w:r>
        <w:rPr>
          <w:rFonts w:hint="cs"/>
          <w:rtl/>
        </w:rPr>
        <w:t xml:space="preserve">ניבהל </w:t>
      </w:r>
      <w:bookmarkStart w:id="2638" w:name="_ETM_Q4_458740"/>
      <w:bookmarkEnd w:id="2638"/>
      <w:r>
        <w:rPr>
          <w:rFonts w:hint="cs"/>
          <w:rtl/>
        </w:rPr>
        <w:t>ונשתוק</w:t>
      </w:r>
      <w:bookmarkStart w:id="2639" w:name="_ETM_Q4_459610"/>
      <w:bookmarkEnd w:id="2639"/>
      <w:r>
        <w:rPr>
          <w:rFonts w:hint="cs"/>
          <w:rtl/>
        </w:rPr>
        <w:t>.</w:t>
      </w:r>
      <w:bookmarkStart w:id="2640" w:name="_ETM_Q4_458744"/>
      <w:bookmarkEnd w:id="2640"/>
      <w:r>
        <w:rPr>
          <w:rFonts w:hint="cs"/>
          <w:rtl/>
        </w:rPr>
        <w:t xml:space="preserve"> אנחנו </w:t>
      </w:r>
      <w:bookmarkStart w:id="2641" w:name="_ETM_Q4_459819"/>
      <w:bookmarkEnd w:id="2641"/>
      <w:r>
        <w:rPr>
          <w:rFonts w:hint="cs"/>
          <w:rtl/>
        </w:rPr>
        <w:t xml:space="preserve"> </w:t>
      </w:r>
      <w:bookmarkStart w:id="2642" w:name="_ETM_Q4_459909"/>
      <w:bookmarkEnd w:id="2642"/>
      <w:r>
        <w:rPr>
          <w:rFonts w:hint="cs"/>
          <w:rtl/>
        </w:rPr>
        <w:t xml:space="preserve">לא </w:t>
      </w:r>
      <w:bookmarkStart w:id="2643" w:name="_ETM_Q4_460029"/>
      <w:bookmarkEnd w:id="2643"/>
      <w:r>
        <w:rPr>
          <w:rFonts w:hint="cs"/>
          <w:rtl/>
        </w:rPr>
        <w:t xml:space="preserve">ניבהל, </w:t>
      </w:r>
      <w:bookmarkStart w:id="2644" w:name="_ETM_Q4_461710"/>
      <w:bookmarkEnd w:id="2644"/>
      <w:r>
        <w:rPr>
          <w:rFonts w:hint="cs"/>
          <w:rtl/>
        </w:rPr>
        <w:t xml:space="preserve">אנחנו </w:t>
      </w:r>
      <w:bookmarkStart w:id="2645" w:name="_ETM_Q4_462010"/>
      <w:bookmarkEnd w:id="2645"/>
      <w:r>
        <w:rPr>
          <w:rFonts w:hint="cs"/>
          <w:rtl/>
        </w:rPr>
        <w:t xml:space="preserve">לא </w:t>
      </w:r>
      <w:bookmarkStart w:id="2646" w:name="_ETM_Q4_462160"/>
      <w:bookmarkEnd w:id="2646"/>
      <w:r>
        <w:rPr>
          <w:rFonts w:hint="cs"/>
          <w:rtl/>
        </w:rPr>
        <w:t xml:space="preserve">נשתוק. </w:t>
      </w:r>
    </w:p>
    <w:p w:rsidR="000C5C1F" w:rsidRDefault="000C5C1F" w:rsidP="000C5C1F">
      <w:pPr>
        <w:rPr>
          <w:rtl/>
        </w:rPr>
      </w:pPr>
    </w:p>
    <w:p w:rsidR="000C5C1F" w:rsidRDefault="000C5C1F" w:rsidP="000C5C1F">
      <w:pPr>
        <w:rPr>
          <w:rtl/>
        </w:rPr>
      </w:pPr>
      <w:bookmarkStart w:id="2647" w:name="_ETM_Q4_465000"/>
      <w:bookmarkStart w:id="2648" w:name="_ETM_Q4_463870"/>
      <w:bookmarkEnd w:id="2647"/>
      <w:bookmarkEnd w:id="2648"/>
      <w:r>
        <w:rPr>
          <w:rFonts w:hint="cs"/>
          <w:rtl/>
        </w:rPr>
        <w:t xml:space="preserve">אנחנו </w:t>
      </w:r>
      <w:bookmarkStart w:id="2649" w:name="_ETM_Q4_464110"/>
      <w:bookmarkEnd w:id="2649"/>
      <w:r>
        <w:rPr>
          <w:rFonts w:hint="cs"/>
          <w:rtl/>
        </w:rPr>
        <w:t xml:space="preserve">נזכרנו </w:t>
      </w:r>
      <w:bookmarkStart w:id="2650" w:name="_ETM_Q4_465300"/>
      <w:bookmarkEnd w:id="2650"/>
      <w:r>
        <w:rPr>
          <w:rFonts w:hint="cs"/>
          <w:rtl/>
        </w:rPr>
        <w:t xml:space="preserve">והזכרנו </w:t>
      </w:r>
      <w:bookmarkStart w:id="2651" w:name="_ETM_Q4_466080"/>
      <w:bookmarkEnd w:id="2651"/>
      <w:r>
        <w:rPr>
          <w:rFonts w:hint="cs"/>
          <w:rtl/>
        </w:rPr>
        <w:t xml:space="preserve">למערכת </w:t>
      </w:r>
      <w:bookmarkStart w:id="2652" w:name="_ETM_Q4_466529"/>
      <w:bookmarkEnd w:id="2652"/>
      <w:r>
        <w:rPr>
          <w:rFonts w:hint="cs"/>
          <w:rtl/>
        </w:rPr>
        <w:t>הפוליטית</w:t>
      </w:r>
      <w:bookmarkStart w:id="2653" w:name="_ETM_Q4_467130"/>
      <w:bookmarkEnd w:id="2653"/>
      <w:r>
        <w:rPr>
          <w:rFonts w:hint="cs"/>
          <w:rtl/>
        </w:rPr>
        <w:t xml:space="preserve">: התפקיד </w:t>
      </w:r>
      <w:bookmarkStart w:id="2654" w:name="_ETM_Q4_467610"/>
      <w:bookmarkEnd w:id="2654"/>
      <w:r>
        <w:rPr>
          <w:rFonts w:hint="cs"/>
          <w:rtl/>
        </w:rPr>
        <w:t xml:space="preserve">של </w:t>
      </w:r>
      <w:bookmarkStart w:id="2655" w:name="_ETM_Q4_467790"/>
      <w:bookmarkEnd w:id="2655"/>
      <w:r>
        <w:rPr>
          <w:rFonts w:hint="cs"/>
          <w:rtl/>
        </w:rPr>
        <w:t xml:space="preserve">ממשלה </w:t>
      </w:r>
      <w:bookmarkStart w:id="2656" w:name="_ETM_Q4_469409"/>
      <w:bookmarkEnd w:id="2656"/>
      <w:r>
        <w:rPr>
          <w:rFonts w:hint="cs"/>
          <w:rtl/>
        </w:rPr>
        <w:t xml:space="preserve">הוא לעבוד; </w:t>
      </w:r>
      <w:bookmarkStart w:id="2657" w:name="_ETM_Q4_471810"/>
      <w:bookmarkEnd w:id="2657"/>
      <w:r>
        <w:rPr>
          <w:rFonts w:hint="cs"/>
          <w:rtl/>
        </w:rPr>
        <w:t xml:space="preserve">לא </w:t>
      </w:r>
      <w:bookmarkStart w:id="2658" w:name="_ETM_Q4_471960"/>
      <w:bookmarkEnd w:id="2658"/>
      <w:r>
        <w:rPr>
          <w:rFonts w:hint="cs"/>
          <w:rtl/>
        </w:rPr>
        <w:t xml:space="preserve">לצרוח </w:t>
      </w:r>
      <w:bookmarkStart w:id="2659" w:name="_ETM_Q4_472529"/>
      <w:bookmarkEnd w:id="2659"/>
      <w:r>
        <w:rPr>
          <w:rFonts w:hint="cs"/>
          <w:rtl/>
        </w:rPr>
        <w:t xml:space="preserve">ולריב </w:t>
      </w:r>
      <w:bookmarkStart w:id="2660" w:name="_ETM_Q4_472979"/>
      <w:bookmarkEnd w:id="2660"/>
      <w:r>
        <w:rPr>
          <w:rFonts w:hint="cs"/>
          <w:rtl/>
        </w:rPr>
        <w:t xml:space="preserve">כל </w:t>
      </w:r>
      <w:bookmarkStart w:id="2661" w:name="_ETM_Q4_473160"/>
      <w:bookmarkEnd w:id="2661"/>
      <w:r>
        <w:rPr>
          <w:rFonts w:hint="cs"/>
          <w:rtl/>
        </w:rPr>
        <w:t xml:space="preserve">היום, </w:t>
      </w:r>
      <w:bookmarkStart w:id="2662" w:name="_ETM_Q4_473370"/>
      <w:bookmarkEnd w:id="2662"/>
      <w:r>
        <w:rPr>
          <w:rFonts w:hint="cs"/>
          <w:rtl/>
        </w:rPr>
        <w:t xml:space="preserve">אלא </w:t>
      </w:r>
      <w:bookmarkStart w:id="2663" w:name="_ETM_Q4_473520"/>
      <w:bookmarkEnd w:id="2663"/>
      <w:r>
        <w:rPr>
          <w:rFonts w:hint="cs"/>
          <w:rtl/>
        </w:rPr>
        <w:t xml:space="preserve">לקום </w:t>
      </w:r>
      <w:bookmarkStart w:id="2664" w:name="_ETM_Q4_473850"/>
      <w:bookmarkEnd w:id="2664"/>
      <w:r>
        <w:rPr>
          <w:rFonts w:hint="cs"/>
          <w:rtl/>
        </w:rPr>
        <w:t xml:space="preserve">בבוקר </w:t>
      </w:r>
      <w:bookmarkStart w:id="2665" w:name="_ETM_Q4_474270"/>
      <w:bookmarkEnd w:id="2665"/>
      <w:r>
        <w:rPr>
          <w:rFonts w:hint="cs"/>
          <w:rtl/>
        </w:rPr>
        <w:t xml:space="preserve">וללכת </w:t>
      </w:r>
      <w:bookmarkStart w:id="2666" w:name="_ETM_Q4_474630"/>
      <w:bookmarkEnd w:id="2666"/>
      <w:r>
        <w:rPr>
          <w:rFonts w:hint="cs"/>
          <w:rtl/>
        </w:rPr>
        <w:t xml:space="preserve">לטפל </w:t>
      </w:r>
      <w:bookmarkStart w:id="2667" w:name="_ETM_Q4_475110"/>
      <w:bookmarkEnd w:id="2667"/>
      <w:r>
        <w:rPr>
          <w:rFonts w:hint="cs"/>
          <w:rtl/>
        </w:rPr>
        <w:t xml:space="preserve">בכלכלה, </w:t>
      </w:r>
      <w:bookmarkStart w:id="2668" w:name="_ETM_Q4_476130"/>
      <w:bookmarkEnd w:id="2668"/>
      <w:r>
        <w:rPr>
          <w:rFonts w:hint="cs"/>
          <w:rtl/>
        </w:rPr>
        <w:t xml:space="preserve">בביטחון </w:t>
      </w:r>
      <w:bookmarkStart w:id="2669" w:name="_ETM_Q4_476729"/>
      <w:bookmarkEnd w:id="2669"/>
      <w:r>
        <w:rPr>
          <w:rFonts w:hint="cs"/>
          <w:rtl/>
        </w:rPr>
        <w:t xml:space="preserve">האישי, </w:t>
      </w:r>
      <w:bookmarkStart w:id="2670" w:name="_ETM_Q4_477150"/>
      <w:bookmarkEnd w:id="2670"/>
      <w:r>
        <w:rPr>
          <w:rFonts w:hint="cs"/>
          <w:rtl/>
        </w:rPr>
        <w:t xml:space="preserve">במשכנתאות </w:t>
      </w:r>
      <w:bookmarkStart w:id="2671" w:name="_ETM_Q4_477960"/>
      <w:bookmarkEnd w:id="2671"/>
      <w:r>
        <w:rPr>
          <w:rFonts w:hint="cs"/>
          <w:rtl/>
        </w:rPr>
        <w:t xml:space="preserve">ובחיזבאללה, </w:t>
      </w:r>
      <w:bookmarkStart w:id="2672" w:name="_ETM_Q4_479229"/>
      <w:bookmarkEnd w:id="2672"/>
      <w:r>
        <w:rPr>
          <w:rFonts w:hint="cs"/>
          <w:rtl/>
        </w:rPr>
        <w:t xml:space="preserve">במערכת </w:t>
      </w:r>
      <w:bookmarkStart w:id="2673" w:name="_ETM_Q4_479830"/>
      <w:bookmarkEnd w:id="2673"/>
      <w:r>
        <w:rPr>
          <w:rFonts w:hint="cs"/>
          <w:rtl/>
        </w:rPr>
        <w:t xml:space="preserve">החינוך </w:t>
      </w:r>
      <w:bookmarkStart w:id="2674" w:name="_ETM_Q4_480400"/>
      <w:bookmarkEnd w:id="2674"/>
      <w:r>
        <w:rPr>
          <w:rFonts w:hint="cs"/>
          <w:rtl/>
        </w:rPr>
        <w:t xml:space="preserve">וביחסים </w:t>
      </w:r>
      <w:bookmarkStart w:id="2675" w:name="_ETM_Q4_480909"/>
      <w:bookmarkEnd w:id="2675"/>
      <w:r>
        <w:rPr>
          <w:rFonts w:hint="cs"/>
          <w:rtl/>
        </w:rPr>
        <w:t xml:space="preserve">עם </w:t>
      </w:r>
      <w:bookmarkStart w:id="2676" w:name="_ETM_Q4_481029"/>
      <w:bookmarkEnd w:id="2676"/>
      <w:r>
        <w:rPr>
          <w:rFonts w:hint="cs"/>
          <w:rtl/>
        </w:rPr>
        <w:t xml:space="preserve">ארצות </w:t>
      </w:r>
      <w:bookmarkStart w:id="2677" w:name="_ETM_Q4_480000"/>
      <w:bookmarkStart w:id="2678" w:name="_ETM_Q4_480570"/>
      <w:bookmarkStart w:id="2679" w:name="_ETM_Q4_480690"/>
      <w:bookmarkStart w:id="2680" w:name="_ETM_Q4_481020"/>
      <w:bookmarkEnd w:id="2677"/>
      <w:bookmarkEnd w:id="2678"/>
      <w:bookmarkEnd w:id="2679"/>
      <w:bookmarkEnd w:id="2680"/>
      <w:r>
        <w:rPr>
          <w:rFonts w:hint="cs"/>
          <w:rtl/>
        </w:rPr>
        <w:t>הברית.</w:t>
      </w:r>
    </w:p>
    <w:p w:rsidR="000C5C1F" w:rsidRDefault="000C5C1F" w:rsidP="000C5C1F">
      <w:pPr>
        <w:rPr>
          <w:rtl/>
        </w:rPr>
      </w:pPr>
      <w:bookmarkStart w:id="2681" w:name="_ETM_Q4_484000"/>
      <w:bookmarkEnd w:id="2681"/>
    </w:p>
    <w:p w:rsidR="000C5C1F" w:rsidRDefault="000C5C1F" w:rsidP="000C5C1F">
      <w:pPr>
        <w:rPr>
          <w:rtl/>
        </w:rPr>
      </w:pPr>
      <w:bookmarkStart w:id="2682" w:name="_ETM_Q4_485000"/>
      <w:bookmarkStart w:id="2683" w:name="_ETM_Q4_482290"/>
      <w:bookmarkEnd w:id="2682"/>
      <w:bookmarkEnd w:id="2683"/>
      <w:r>
        <w:rPr>
          <w:rFonts w:hint="cs"/>
          <w:rtl/>
        </w:rPr>
        <w:t xml:space="preserve">מעל </w:t>
      </w:r>
      <w:bookmarkStart w:id="2684" w:name="_ETM_Q4_482650"/>
      <w:bookmarkEnd w:id="2684"/>
      <w:r>
        <w:rPr>
          <w:rFonts w:hint="cs"/>
          <w:rtl/>
        </w:rPr>
        <w:t xml:space="preserve">הכול, </w:t>
      </w:r>
      <w:bookmarkStart w:id="2685" w:name="_ETM_Q4_483539"/>
      <w:bookmarkEnd w:id="2685"/>
      <w:r>
        <w:rPr>
          <w:rFonts w:hint="cs"/>
          <w:rtl/>
        </w:rPr>
        <w:t xml:space="preserve">החברה </w:t>
      </w:r>
      <w:bookmarkStart w:id="2686" w:name="_ETM_Q4_484020"/>
      <w:bookmarkEnd w:id="2686"/>
      <w:r>
        <w:rPr>
          <w:rFonts w:hint="cs"/>
          <w:rtl/>
        </w:rPr>
        <w:t xml:space="preserve">הישראלית, </w:t>
      </w:r>
      <w:bookmarkStart w:id="2687" w:name="_ETM_Q4_484500"/>
      <w:bookmarkEnd w:id="2687"/>
      <w:r>
        <w:rPr>
          <w:rFonts w:hint="cs"/>
          <w:rtl/>
        </w:rPr>
        <w:t xml:space="preserve">הרוב </w:t>
      </w:r>
      <w:bookmarkStart w:id="2688" w:name="_ETM_Q4_484769"/>
      <w:bookmarkEnd w:id="2688"/>
      <w:r>
        <w:rPr>
          <w:rFonts w:hint="cs"/>
          <w:rtl/>
        </w:rPr>
        <w:t xml:space="preserve">הישראלי </w:t>
      </w:r>
      <w:bookmarkStart w:id="2689" w:name="_ETM_Q4_486180"/>
      <w:bookmarkEnd w:id="2689"/>
      <w:r>
        <w:rPr>
          <w:rFonts w:hint="cs"/>
          <w:rtl/>
        </w:rPr>
        <w:t xml:space="preserve">נזכר </w:t>
      </w:r>
      <w:bookmarkStart w:id="2690" w:name="_ETM_Q4_486779"/>
      <w:bookmarkEnd w:id="2690"/>
      <w:r>
        <w:rPr>
          <w:rFonts w:hint="cs"/>
          <w:rtl/>
        </w:rPr>
        <w:t xml:space="preserve">ואמר </w:t>
      </w:r>
      <w:bookmarkStart w:id="2691" w:name="_ETM_Q4_487170"/>
      <w:bookmarkEnd w:id="2691"/>
      <w:r>
        <w:rPr>
          <w:rFonts w:hint="cs"/>
          <w:rtl/>
        </w:rPr>
        <w:t xml:space="preserve">לעצמו: </w:t>
      </w:r>
      <w:bookmarkStart w:id="2692" w:name="_ETM_Q4_488640"/>
      <w:bookmarkEnd w:id="2692"/>
      <w:r>
        <w:rPr>
          <w:rFonts w:hint="cs"/>
          <w:rtl/>
        </w:rPr>
        <w:t xml:space="preserve">אנחנו </w:t>
      </w:r>
      <w:bookmarkStart w:id="2693" w:name="_ETM_Q4_488940"/>
      <w:bookmarkEnd w:id="2693"/>
      <w:r>
        <w:rPr>
          <w:rFonts w:hint="cs"/>
          <w:rtl/>
        </w:rPr>
        <w:t xml:space="preserve">לא </w:t>
      </w:r>
      <w:bookmarkStart w:id="2694" w:name="_ETM_Q4_489089"/>
      <w:bookmarkEnd w:id="2694"/>
      <w:r>
        <w:rPr>
          <w:rFonts w:hint="cs"/>
          <w:rtl/>
        </w:rPr>
        <w:t xml:space="preserve">בובות, </w:t>
      </w:r>
      <w:bookmarkStart w:id="2695" w:name="_ETM_Q4_490499"/>
      <w:bookmarkEnd w:id="2695"/>
      <w:r>
        <w:rPr>
          <w:rFonts w:hint="cs"/>
          <w:rtl/>
        </w:rPr>
        <w:t xml:space="preserve">אנחנו </w:t>
      </w:r>
      <w:bookmarkStart w:id="2696" w:name="_ETM_Q4_490709"/>
      <w:bookmarkStart w:id="2697" w:name="_ETM_Q4_490799"/>
      <w:bookmarkEnd w:id="2696"/>
      <w:bookmarkEnd w:id="2697"/>
      <w:r>
        <w:rPr>
          <w:rFonts w:hint="cs"/>
          <w:rtl/>
        </w:rPr>
        <w:t xml:space="preserve">לא </w:t>
      </w:r>
      <w:bookmarkStart w:id="2698" w:name="_ETM_Q4_491039"/>
      <w:bookmarkEnd w:id="2698"/>
      <w:r>
        <w:rPr>
          <w:rFonts w:hint="cs"/>
          <w:rtl/>
        </w:rPr>
        <w:t xml:space="preserve">סטטיסטים, </w:t>
      </w:r>
      <w:bookmarkStart w:id="2699" w:name="_ETM_Q4_493589"/>
      <w:bookmarkEnd w:id="2699"/>
      <w:r>
        <w:rPr>
          <w:rFonts w:hint="cs"/>
          <w:rtl/>
        </w:rPr>
        <w:t xml:space="preserve">אנחנו </w:t>
      </w:r>
      <w:bookmarkStart w:id="2700" w:name="_ETM_Q4_493889"/>
      <w:bookmarkEnd w:id="2700"/>
      <w:r>
        <w:rPr>
          <w:rFonts w:hint="cs"/>
          <w:rtl/>
        </w:rPr>
        <w:t xml:space="preserve">אנשים </w:t>
      </w:r>
      <w:bookmarkStart w:id="2701" w:name="_ETM_Q4_494339"/>
      <w:bookmarkEnd w:id="2701"/>
      <w:r>
        <w:rPr>
          <w:rFonts w:hint="cs"/>
          <w:rtl/>
        </w:rPr>
        <w:t xml:space="preserve">שעובדים </w:t>
      </w:r>
      <w:bookmarkStart w:id="2702" w:name="_ETM_Q4_494879"/>
      <w:bookmarkEnd w:id="2702"/>
      <w:r>
        <w:rPr>
          <w:rFonts w:hint="cs"/>
          <w:rtl/>
        </w:rPr>
        <w:t xml:space="preserve">ומשרתים, </w:t>
      </w:r>
      <w:bookmarkStart w:id="2703" w:name="_ETM_Q4_495629"/>
      <w:bookmarkEnd w:id="2703"/>
      <w:r>
        <w:rPr>
          <w:rFonts w:hint="cs"/>
          <w:rtl/>
        </w:rPr>
        <w:t xml:space="preserve">ואנחנו </w:t>
      </w:r>
      <w:bookmarkStart w:id="2704" w:name="_ETM_Q4_495929"/>
      <w:bookmarkEnd w:id="2704"/>
      <w:r>
        <w:rPr>
          <w:rFonts w:hint="cs"/>
          <w:rtl/>
        </w:rPr>
        <w:t xml:space="preserve">לא </w:t>
      </w:r>
      <w:bookmarkStart w:id="2705" w:name="_ETM_Q4_496050"/>
      <w:bookmarkEnd w:id="2705"/>
      <w:r>
        <w:rPr>
          <w:rFonts w:hint="cs"/>
          <w:rtl/>
        </w:rPr>
        <w:t xml:space="preserve">מוכנים </w:t>
      </w:r>
      <w:bookmarkStart w:id="2706" w:name="_ETM_Q4_496529"/>
      <w:bookmarkEnd w:id="2706"/>
      <w:r>
        <w:rPr>
          <w:rFonts w:hint="cs"/>
          <w:rtl/>
        </w:rPr>
        <w:t xml:space="preserve">שידרסו </w:t>
      </w:r>
      <w:bookmarkStart w:id="2707" w:name="_ETM_Q4_497099"/>
      <w:bookmarkEnd w:id="2707"/>
      <w:r>
        <w:rPr>
          <w:rFonts w:hint="cs"/>
          <w:rtl/>
        </w:rPr>
        <w:t xml:space="preserve">את </w:t>
      </w:r>
      <w:bookmarkStart w:id="2708" w:name="_ETM_Q4_497220"/>
      <w:bookmarkEnd w:id="2708"/>
      <w:r>
        <w:rPr>
          <w:rFonts w:hint="cs"/>
          <w:rtl/>
        </w:rPr>
        <w:t xml:space="preserve">הערכים </w:t>
      </w:r>
      <w:bookmarkStart w:id="2709" w:name="_ETM_Q4_497699"/>
      <w:bookmarkEnd w:id="2709"/>
      <w:r>
        <w:rPr>
          <w:rFonts w:hint="cs"/>
          <w:rtl/>
        </w:rPr>
        <w:t xml:space="preserve">שלנו. </w:t>
      </w:r>
      <w:bookmarkStart w:id="2710" w:name="_ETM_Q4_498770"/>
      <w:bookmarkEnd w:id="2710"/>
      <w:r>
        <w:rPr>
          <w:rFonts w:hint="cs"/>
          <w:rtl/>
        </w:rPr>
        <w:t xml:space="preserve">אנחנו </w:t>
      </w:r>
      <w:bookmarkStart w:id="2711" w:name="_ETM_Q4_499039"/>
      <w:bookmarkEnd w:id="2711"/>
      <w:r>
        <w:rPr>
          <w:rFonts w:hint="cs"/>
          <w:rtl/>
        </w:rPr>
        <w:t xml:space="preserve">רוצים </w:t>
      </w:r>
      <w:bookmarkStart w:id="2712" w:name="_ETM_Q4_499400"/>
      <w:bookmarkEnd w:id="2712"/>
      <w:r>
        <w:rPr>
          <w:rFonts w:hint="cs"/>
          <w:rtl/>
        </w:rPr>
        <w:t xml:space="preserve">לחיות </w:t>
      </w:r>
      <w:bookmarkStart w:id="2713" w:name="_ETM_Q4_500240"/>
      <w:bookmarkEnd w:id="2713"/>
      <w:r>
        <w:rPr>
          <w:rFonts w:hint="cs"/>
          <w:rtl/>
        </w:rPr>
        <w:t xml:space="preserve">במדינה </w:t>
      </w:r>
      <w:bookmarkStart w:id="2714" w:name="_ETM_Q4_500750"/>
      <w:bookmarkEnd w:id="2714"/>
      <w:r>
        <w:rPr>
          <w:rFonts w:hint="cs"/>
          <w:rtl/>
        </w:rPr>
        <w:t xml:space="preserve">יהודית </w:t>
      </w:r>
      <w:bookmarkStart w:id="2715" w:name="_ETM_Q4_501170"/>
      <w:bookmarkEnd w:id="2715"/>
      <w:r>
        <w:rPr>
          <w:rFonts w:hint="cs"/>
          <w:rtl/>
        </w:rPr>
        <w:t xml:space="preserve">ודמוקרטית, </w:t>
      </w:r>
      <w:bookmarkStart w:id="2716" w:name="_ETM_Q4_501950"/>
      <w:bookmarkEnd w:id="2716"/>
      <w:r>
        <w:rPr>
          <w:rFonts w:hint="cs"/>
          <w:rtl/>
        </w:rPr>
        <w:t xml:space="preserve">ואנחנו </w:t>
      </w:r>
      <w:bookmarkStart w:id="2717" w:name="_ETM_Q4_502189"/>
      <w:bookmarkEnd w:id="2717"/>
      <w:r>
        <w:rPr>
          <w:rFonts w:hint="cs"/>
          <w:rtl/>
        </w:rPr>
        <w:t xml:space="preserve">רוצים </w:t>
      </w:r>
      <w:bookmarkStart w:id="2718" w:name="_ETM_Q4_502460"/>
      <w:bookmarkEnd w:id="2718"/>
      <w:r>
        <w:rPr>
          <w:rFonts w:hint="cs"/>
          <w:rtl/>
        </w:rPr>
        <w:t xml:space="preserve">לחיות </w:t>
      </w:r>
      <w:bookmarkStart w:id="2719" w:name="_ETM_Q4_502790"/>
      <w:bookmarkEnd w:id="2719"/>
      <w:r>
        <w:rPr>
          <w:rFonts w:hint="cs"/>
          <w:rtl/>
        </w:rPr>
        <w:t xml:space="preserve">במדינה </w:t>
      </w:r>
      <w:bookmarkStart w:id="2720" w:name="_ETM_Q4_504869"/>
      <w:bookmarkEnd w:id="2720"/>
      <w:r>
        <w:rPr>
          <w:rFonts w:hint="cs"/>
          <w:rtl/>
        </w:rPr>
        <w:t xml:space="preserve">חיובית </w:t>
      </w:r>
      <w:bookmarkStart w:id="2721" w:name="_ETM_Q4_506800"/>
      <w:bookmarkEnd w:id="2721"/>
      <w:r>
        <w:rPr>
          <w:rFonts w:hint="cs"/>
          <w:rtl/>
        </w:rPr>
        <w:t xml:space="preserve">ואופטימית; </w:t>
      </w:r>
      <w:bookmarkStart w:id="2722" w:name="_ETM_Q4_508400"/>
      <w:bookmarkEnd w:id="2722"/>
      <w:r>
        <w:rPr>
          <w:rFonts w:hint="cs"/>
          <w:rtl/>
        </w:rPr>
        <w:t xml:space="preserve">לשמור </w:t>
      </w:r>
      <w:bookmarkStart w:id="2723" w:name="_ETM_Q4_508910"/>
      <w:bookmarkEnd w:id="2723"/>
      <w:r>
        <w:rPr>
          <w:rFonts w:hint="cs"/>
          <w:rtl/>
        </w:rPr>
        <w:t xml:space="preserve">על </w:t>
      </w:r>
      <w:bookmarkStart w:id="2724" w:name="_ETM_Q4_509000"/>
      <w:bookmarkEnd w:id="2724"/>
      <w:r>
        <w:rPr>
          <w:rFonts w:hint="cs"/>
          <w:rtl/>
        </w:rPr>
        <w:t xml:space="preserve">יחסינו </w:t>
      </w:r>
      <w:bookmarkStart w:id="2725" w:name="_ETM_Q4_509510"/>
      <w:bookmarkEnd w:id="2725"/>
      <w:r>
        <w:rPr>
          <w:rFonts w:hint="cs"/>
          <w:rtl/>
        </w:rPr>
        <w:t xml:space="preserve">עם </w:t>
      </w:r>
      <w:bookmarkStart w:id="2726" w:name="_ETM_Q4_509630"/>
      <w:bookmarkEnd w:id="2726"/>
      <w:r>
        <w:rPr>
          <w:rFonts w:hint="cs"/>
          <w:rtl/>
        </w:rPr>
        <w:t xml:space="preserve">העולם, </w:t>
      </w:r>
      <w:bookmarkStart w:id="2727" w:name="_ETM_Q4_510529"/>
      <w:bookmarkEnd w:id="2727"/>
      <w:r>
        <w:rPr>
          <w:rFonts w:hint="cs"/>
          <w:rtl/>
        </w:rPr>
        <w:t xml:space="preserve">לשמור </w:t>
      </w:r>
      <w:bookmarkStart w:id="2728" w:name="_ETM_Q4_511010"/>
      <w:bookmarkEnd w:id="2728"/>
      <w:r>
        <w:rPr>
          <w:rFonts w:hint="cs"/>
          <w:rtl/>
        </w:rPr>
        <w:t xml:space="preserve">על </w:t>
      </w:r>
      <w:bookmarkStart w:id="2729" w:name="_ETM_Q4_511160"/>
      <w:bookmarkEnd w:id="2729"/>
      <w:r>
        <w:rPr>
          <w:rFonts w:hint="cs"/>
          <w:rtl/>
        </w:rPr>
        <w:t xml:space="preserve">הרוח </w:t>
      </w:r>
      <w:bookmarkStart w:id="2730" w:name="_ETM_Q4_512620"/>
      <w:bookmarkEnd w:id="2730"/>
      <w:r>
        <w:rPr>
          <w:rFonts w:hint="cs"/>
          <w:rtl/>
        </w:rPr>
        <w:t xml:space="preserve">היזמית </w:t>
      </w:r>
      <w:bookmarkStart w:id="2731" w:name="_ETM_Q4_513190"/>
      <w:bookmarkEnd w:id="2731"/>
      <w:r>
        <w:rPr>
          <w:rFonts w:hint="cs"/>
          <w:rtl/>
        </w:rPr>
        <w:t>ש</w:t>
      </w:r>
      <w:bookmarkStart w:id="2732" w:name="_ETM_Q4_513309"/>
      <w:bookmarkEnd w:id="2732"/>
      <w:r>
        <w:rPr>
          <w:rFonts w:hint="cs"/>
          <w:rtl/>
        </w:rPr>
        <w:t xml:space="preserve">ל הסטרטאפ ניישן </w:t>
      </w:r>
      <w:bookmarkStart w:id="2733" w:name="_ETM_Q4_513000"/>
      <w:bookmarkStart w:id="2734" w:name="_ETM_Q4_513789"/>
      <w:bookmarkStart w:id="2735" w:name="_ETM_Q4_514239"/>
      <w:bookmarkEnd w:id="2733"/>
      <w:bookmarkEnd w:id="2734"/>
      <w:bookmarkEnd w:id="2735"/>
      <w:r>
        <w:rPr>
          <w:rFonts w:hint="cs"/>
          <w:rtl/>
        </w:rPr>
        <w:t xml:space="preserve">ועל </w:t>
      </w:r>
      <w:bookmarkStart w:id="2736" w:name="_ETM_Q4_514449"/>
      <w:bookmarkEnd w:id="2736"/>
      <w:r>
        <w:rPr>
          <w:rFonts w:hint="cs"/>
          <w:rtl/>
        </w:rPr>
        <w:t xml:space="preserve">צה"ל </w:t>
      </w:r>
      <w:bookmarkStart w:id="2737" w:name="_ETM_Q4_514899"/>
      <w:bookmarkEnd w:id="2737"/>
      <w:r>
        <w:rPr>
          <w:rFonts w:hint="cs"/>
          <w:rtl/>
        </w:rPr>
        <w:t xml:space="preserve">כצבא </w:t>
      </w:r>
      <w:bookmarkStart w:id="2738" w:name="_ETM_Q4_515440"/>
      <w:bookmarkEnd w:id="2738"/>
      <w:r>
        <w:rPr>
          <w:rFonts w:hint="cs"/>
          <w:rtl/>
        </w:rPr>
        <w:t>העם</w:t>
      </w:r>
      <w:bookmarkStart w:id="2739" w:name="_ETM_Q4_516370"/>
      <w:bookmarkEnd w:id="2739"/>
      <w:r>
        <w:rPr>
          <w:rFonts w:hint="cs"/>
          <w:rtl/>
        </w:rPr>
        <w:t xml:space="preserve">; לזכור </w:t>
      </w:r>
      <w:bookmarkStart w:id="2740" w:name="_ETM_Q4_516879"/>
      <w:bookmarkEnd w:id="2740"/>
      <w:r>
        <w:rPr>
          <w:rFonts w:hint="cs"/>
          <w:rtl/>
        </w:rPr>
        <w:t>שה</w:t>
      </w:r>
      <w:bookmarkStart w:id="2741" w:name="_ETM_Q4_517390"/>
      <w:bookmarkEnd w:id="2741"/>
      <w:r>
        <w:rPr>
          <w:rFonts w:hint="cs"/>
          <w:rtl/>
        </w:rPr>
        <w:t xml:space="preserve">אויבים הם </w:t>
      </w:r>
      <w:bookmarkStart w:id="2742" w:name="_ETM_Q4_517510"/>
      <w:bookmarkEnd w:id="2742"/>
      <w:r>
        <w:rPr>
          <w:rFonts w:hint="cs"/>
          <w:rtl/>
        </w:rPr>
        <w:t xml:space="preserve">בחוץ, </w:t>
      </w:r>
      <w:bookmarkStart w:id="2743" w:name="_ETM_Q4_517899"/>
      <w:bookmarkEnd w:id="2743"/>
      <w:r>
        <w:rPr>
          <w:rFonts w:hint="cs"/>
          <w:rtl/>
        </w:rPr>
        <w:t xml:space="preserve">לא </w:t>
      </w:r>
      <w:bookmarkStart w:id="2744" w:name="_ETM_Q4_518019"/>
      <w:bookmarkEnd w:id="2744"/>
      <w:r>
        <w:rPr>
          <w:rFonts w:hint="cs"/>
          <w:rtl/>
        </w:rPr>
        <w:t xml:space="preserve">פה </w:t>
      </w:r>
      <w:bookmarkStart w:id="2745" w:name="_ETM_Q4_518199"/>
      <w:bookmarkEnd w:id="2745"/>
      <w:r>
        <w:rPr>
          <w:rFonts w:hint="cs"/>
          <w:rtl/>
        </w:rPr>
        <w:t xml:space="preserve">בבית. </w:t>
      </w:r>
      <w:bookmarkStart w:id="2746" w:name="_ETM_Q4_518949"/>
      <w:bookmarkEnd w:id="2746"/>
      <w:r>
        <w:rPr>
          <w:rFonts w:hint="cs"/>
          <w:rtl/>
        </w:rPr>
        <w:t xml:space="preserve">שנאה </w:t>
      </w:r>
      <w:bookmarkStart w:id="2747" w:name="_ETM_Q4_520089"/>
      <w:bookmarkEnd w:id="2747"/>
      <w:r>
        <w:rPr>
          <w:rFonts w:hint="cs"/>
          <w:rtl/>
        </w:rPr>
        <w:t xml:space="preserve">היא </w:t>
      </w:r>
      <w:bookmarkStart w:id="2748" w:name="_ETM_Q4_520239"/>
      <w:bookmarkEnd w:id="2748"/>
      <w:r>
        <w:rPr>
          <w:rFonts w:hint="cs"/>
          <w:rtl/>
        </w:rPr>
        <w:t xml:space="preserve">לא </w:t>
      </w:r>
      <w:bookmarkStart w:id="2749" w:name="_ETM_Q4_520390"/>
      <w:bookmarkEnd w:id="2749"/>
      <w:r>
        <w:rPr>
          <w:rFonts w:hint="cs"/>
          <w:rtl/>
        </w:rPr>
        <w:t xml:space="preserve">דרך </w:t>
      </w:r>
      <w:bookmarkStart w:id="2750" w:name="_ETM_Q4_520839"/>
      <w:bookmarkEnd w:id="2750"/>
      <w:r>
        <w:rPr>
          <w:rFonts w:hint="cs"/>
          <w:rtl/>
        </w:rPr>
        <w:t xml:space="preserve">חיים, </w:t>
      </w:r>
      <w:bookmarkStart w:id="2751" w:name="_ETM_Q4_522010"/>
      <w:bookmarkEnd w:id="2751"/>
      <w:r>
        <w:rPr>
          <w:rFonts w:hint="cs"/>
          <w:rtl/>
        </w:rPr>
        <w:t xml:space="preserve">שנאה היא </w:t>
      </w:r>
      <w:bookmarkStart w:id="2752" w:name="_ETM_Q4_522460"/>
      <w:bookmarkEnd w:id="2752"/>
      <w:r>
        <w:rPr>
          <w:rFonts w:hint="cs"/>
          <w:rtl/>
        </w:rPr>
        <w:t xml:space="preserve">בטח </w:t>
      </w:r>
      <w:bookmarkStart w:id="2753" w:name="_ETM_Q4_522879"/>
      <w:bookmarkEnd w:id="2753"/>
      <w:r>
        <w:rPr>
          <w:rFonts w:hint="cs"/>
          <w:rtl/>
        </w:rPr>
        <w:t xml:space="preserve">לא </w:t>
      </w:r>
      <w:bookmarkStart w:id="2754" w:name="_ETM_Q4_523029"/>
      <w:bookmarkEnd w:id="2754"/>
      <w:r>
        <w:rPr>
          <w:rFonts w:hint="cs"/>
          <w:rtl/>
        </w:rPr>
        <w:t xml:space="preserve">צורת </w:t>
      </w:r>
      <w:bookmarkStart w:id="2755" w:name="_ETM_Q4_523390"/>
      <w:bookmarkEnd w:id="2755"/>
      <w:r>
        <w:rPr>
          <w:rFonts w:hint="cs"/>
          <w:rtl/>
        </w:rPr>
        <w:t>שלטון.</w:t>
      </w:r>
    </w:p>
    <w:p w:rsidR="000C5C1F" w:rsidRDefault="000C5C1F" w:rsidP="000C5C1F">
      <w:pPr>
        <w:rPr>
          <w:rtl/>
        </w:rPr>
      </w:pPr>
    </w:p>
    <w:p w:rsidR="000C5C1F" w:rsidRDefault="000C5C1F" w:rsidP="000C5C1F">
      <w:pPr>
        <w:rPr>
          <w:rtl/>
        </w:rPr>
      </w:pPr>
      <w:bookmarkStart w:id="2756" w:name="_ETM_Q4_527000"/>
      <w:bookmarkStart w:id="2757" w:name="_ETM_Q4_525779"/>
      <w:bookmarkEnd w:id="2756"/>
      <w:bookmarkEnd w:id="2757"/>
      <w:r>
        <w:rPr>
          <w:rFonts w:hint="cs"/>
          <w:rtl/>
        </w:rPr>
        <w:t xml:space="preserve">אנחנו </w:t>
      </w:r>
      <w:bookmarkStart w:id="2758" w:name="_ETM_Q4_526079"/>
      <w:bookmarkEnd w:id="2758"/>
      <w:r>
        <w:rPr>
          <w:rFonts w:hint="cs"/>
          <w:rtl/>
        </w:rPr>
        <w:t xml:space="preserve">לא </w:t>
      </w:r>
      <w:bookmarkStart w:id="2759" w:name="_ETM_Q4_526199"/>
      <w:bookmarkEnd w:id="2759"/>
      <w:r>
        <w:rPr>
          <w:rFonts w:hint="cs"/>
          <w:rtl/>
        </w:rPr>
        <w:t xml:space="preserve">צעדנו </w:t>
      </w:r>
      <w:bookmarkStart w:id="2760" w:name="_ETM_Q4_526710"/>
      <w:bookmarkEnd w:id="2760"/>
      <w:r>
        <w:rPr>
          <w:rFonts w:hint="cs"/>
          <w:rtl/>
        </w:rPr>
        <w:t xml:space="preserve">אתמול </w:t>
      </w:r>
      <w:bookmarkStart w:id="2761" w:name="_ETM_Q4_528690"/>
      <w:bookmarkEnd w:id="2761"/>
      <w:r>
        <w:rPr>
          <w:rFonts w:hint="cs"/>
          <w:rtl/>
        </w:rPr>
        <w:t xml:space="preserve">כדי </w:t>
      </w:r>
      <w:bookmarkStart w:id="2762" w:name="_ETM_Q4_528960"/>
      <w:bookmarkEnd w:id="2762"/>
      <w:r>
        <w:rPr>
          <w:rFonts w:hint="cs"/>
          <w:rtl/>
        </w:rPr>
        <w:t xml:space="preserve">להכריז </w:t>
      </w:r>
      <w:bookmarkStart w:id="2763" w:name="_ETM_Q4_529409"/>
      <w:bookmarkEnd w:id="2763"/>
      <w:r>
        <w:rPr>
          <w:rFonts w:hint="cs"/>
          <w:rtl/>
        </w:rPr>
        <w:t xml:space="preserve">מלחמה </w:t>
      </w:r>
      <w:bookmarkStart w:id="2764" w:name="_ETM_Q4_530069"/>
      <w:bookmarkEnd w:id="2764"/>
      <w:r>
        <w:rPr>
          <w:rFonts w:hint="cs"/>
          <w:rtl/>
        </w:rPr>
        <w:t xml:space="preserve">אלא </w:t>
      </w:r>
      <w:bookmarkStart w:id="2765" w:name="_ETM_Q4_530249"/>
      <w:bookmarkEnd w:id="2765"/>
      <w:r>
        <w:rPr>
          <w:rFonts w:hint="cs"/>
          <w:rtl/>
        </w:rPr>
        <w:t xml:space="preserve">כדי </w:t>
      </w:r>
      <w:bookmarkStart w:id="2766" w:name="_ETM_Q4_530460"/>
      <w:bookmarkEnd w:id="2766"/>
      <w:r>
        <w:rPr>
          <w:rFonts w:hint="cs"/>
          <w:rtl/>
        </w:rPr>
        <w:t xml:space="preserve">למנוע </w:t>
      </w:r>
      <w:bookmarkStart w:id="2767" w:name="_ETM_Q4_530879"/>
      <w:bookmarkEnd w:id="2767"/>
      <w:r>
        <w:rPr>
          <w:rFonts w:hint="cs"/>
          <w:rtl/>
        </w:rPr>
        <w:t xml:space="preserve">מלחמה, </w:t>
      </w:r>
      <w:bookmarkStart w:id="2768" w:name="_ETM_Q4_532149"/>
      <w:bookmarkEnd w:id="2768"/>
      <w:r>
        <w:rPr>
          <w:rFonts w:hint="cs"/>
          <w:rtl/>
        </w:rPr>
        <w:t xml:space="preserve">כדי </w:t>
      </w:r>
      <w:bookmarkStart w:id="2769" w:name="_ETM_Q4_532389"/>
      <w:bookmarkEnd w:id="2769"/>
      <w:r>
        <w:rPr>
          <w:rFonts w:hint="cs"/>
          <w:rtl/>
        </w:rPr>
        <w:t xml:space="preserve">להגיד </w:t>
      </w:r>
      <w:bookmarkStart w:id="2770" w:name="_ETM_Q4_532719"/>
      <w:bookmarkEnd w:id="2770"/>
      <w:r>
        <w:rPr>
          <w:rFonts w:hint="cs"/>
          <w:rtl/>
        </w:rPr>
        <w:t xml:space="preserve">לממשלה: </w:t>
      </w:r>
      <w:bookmarkStart w:id="2771" w:name="_ETM_Q4_533289"/>
      <w:bookmarkEnd w:id="2771"/>
      <w:r>
        <w:rPr>
          <w:rFonts w:hint="cs"/>
          <w:rtl/>
        </w:rPr>
        <w:t xml:space="preserve">אם </w:t>
      </w:r>
      <w:bookmarkStart w:id="2772" w:name="_ETM_Q4_533409"/>
      <w:bookmarkEnd w:id="2772"/>
      <w:r>
        <w:rPr>
          <w:rFonts w:hint="cs"/>
          <w:rtl/>
        </w:rPr>
        <w:t xml:space="preserve">יש </w:t>
      </w:r>
      <w:bookmarkStart w:id="2773" w:name="_ETM_Q4_533829"/>
      <w:bookmarkEnd w:id="2773"/>
      <w:r>
        <w:rPr>
          <w:rFonts w:hint="cs"/>
          <w:rtl/>
        </w:rPr>
        <w:t xml:space="preserve">בכם </w:t>
      </w:r>
      <w:bookmarkStart w:id="2774" w:name="_ETM_Q4_534399"/>
      <w:bookmarkEnd w:id="2774"/>
      <w:r>
        <w:rPr>
          <w:rFonts w:hint="cs"/>
          <w:rtl/>
        </w:rPr>
        <w:t xml:space="preserve">עדיין </w:t>
      </w:r>
      <w:bookmarkStart w:id="2775" w:name="_ETM_Q4_535449"/>
      <w:bookmarkEnd w:id="2775"/>
      <w:r>
        <w:rPr>
          <w:rFonts w:hint="cs"/>
          <w:rtl/>
        </w:rPr>
        <w:t xml:space="preserve">הגינות </w:t>
      </w:r>
      <w:r>
        <w:t>–</w:t>
      </w:r>
      <w:r>
        <w:rPr>
          <w:rFonts w:hint="cs"/>
          <w:rtl/>
        </w:rPr>
        <w:t xml:space="preserve"> </w:t>
      </w:r>
      <w:bookmarkStart w:id="2776" w:name="_ETM_Q4_537390"/>
      <w:bookmarkEnd w:id="2776"/>
      <w:r>
        <w:rPr>
          <w:rFonts w:hint="cs"/>
          <w:rtl/>
        </w:rPr>
        <w:t xml:space="preserve">תעצרו; </w:t>
      </w:r>
      <w:bookmarkStart w:id="2777" w:name="_ETM_Q4_539010"/>
      <w:bookmarkEnd w:id="2777"/>
      <w:r>
        <w:rPr>
          <w:rFonts w:hint="cs"/>
          <w:rtl/>
        </w:rPr>
        <w:t xml:space="preserve">אם </w:t>
      </w:r>
      <w:bookmarkStart w:id="2778" w:name="_ETM_Q4_539279"/>
      <w:bookmarkEnd w:id="2778"/>
      <w:r>
        <w:rPr>
          <w:rFonts w:hint="cs"/>
          <w:rtl/>
        </w:rPr>
        <w:t xml:space="preserve">התכוונתם </w:t>
      </w:r>
      <w:bookmarkStart w:id="2779" w:name="_ETM_Q4_540329"/>
      <w:bookmarkEnd w:id="2779"/>
      <w:r>
        <w:rPr>
          <w:rFonts w:hint="cs"/>
          <w:rtl/>
        </w:rPr>
        <w:t>למילה</w:t>
      </w:r>
      <w:bookmarkStart w:id="2780" w:name="_ETM_Q4_540779"/>
      <w:bookmarkEnd w:id="2780"/>
      <w:r>
        <w:rPr>
          <w:rFonts w:hint="cs"/>
          <w:rtl/>
        </w:rPr>
        <w:t xml:space="preserve"> אחת </w:t>
      </w:r>
      <w:bookmarkStart w:id="2781" w:name="_ETM_Q4_541245"/>
      <w:bookmarkEnd w:id="2781"/>
      <w:r>
        <w:rPr>
          <w:rFonts w:hint="cs"/>
          <w:rtl/>
        </w:rPr>
        <w:t xml:space="preserve">שאמרתם </w:t>
      </w:r>
      <w:bookmarkStart w:id="2782" w:name="_ETM_Q4_541710"/>
      <w:bookmarkEnd w:id="2782"/>
      <w:r>
        <w:rPr>
          <w:rFonts w:hint="cs"/>
          <w:rtl/>
        </w:rPr>
        <w:t xml:space="preserve">כשדיברתם </w:t>
      </w:r>
      <w:bookmarkStart w:id="2783" w:name="_ETM_Q4_542640"/>
      <w:bookmarkEnd w:id="2783"/>
      <w:r>
        <w:rPr>
          <w:rFonts w:hint="cs"/>
          <w:rtl/>
        </w:rPr>
        <w:t xml:space="preserve">על </w:t>
      </w:r>
      <w:bookmarkStart w:id="2784" w:name="_ETM_Q4_542760"/>
      <w:bookmarkEnd w:id="2784"/>
      <w:r>
        <w:rPr>
          <w:rFonts w:hint="cs"/>
          <w:rtl/>
        </w:rPr>
        <w:t xml:space="preserve">אחדות </w:t>
      </w:r>
      <w:bookmarkStart w:id="2785" w:name="_ETM_Q4_543210"/>
      <w:bookmarkEnd w:id="2785"/>
      <w:r>
        <w:rPr>
          <w:rFonts w:hint="cs"/>
          <w:rtl/>
        </w:rPr>
        <w:t xml:space="preserve">העם </w:t>
      </w:r>
      <w:bookmarkStart w:id="2786" w:name="_ETM_Q4_544700"/>
      <w:bookmarkEnd w:id="2786"/>
      <w:r>
        <w:rPr>
          <w:rFonts w:hint="cs"/>
          <w:rtl/>
        </w:rPr>
        <w:t>– תעצרו</w:t>
      </w:r>
      <w:bookmarkStart w:id="2787" w:name="_ETM_Q4_546460"/>
      <w:bookmarkEnd w:id="2787"/>
      <w:r>
        <w:rPr>
          <w:rFonts w:hint="cs"/>
          <w:rtl/>
        </w:rPr>
        <w:t xml:space="preserve">. אם </w:t>
      </w:r>
      <w:bookmarkStart w:id="2788" w:name="_ETM_Q4_546609"/>
      <w:bookmarkEnd w:id="2788"/>
      <w:r>
        <w:rPr>
          <w:rFonts w:hint="cs"/>
          <w:rtl/>
        </w:rPr>
        <w:t xml:space="preserve">תעצרו, </w:t>
      </w:r>
      <w:bookmarkStart w:id="2789" w:name="_ETM_Q4_547089"/>
      <w:bookmarkEnd w:id="2789"/>
      <w:r>
        <w:rPr>
          <w:rFonts w:hint="cs"/>
          <w:rtl/>
        </w:rPr>
        <w:t xml:space="preserve">אנחנו </w:t>
      </w:r>
      <w:bookmarkStart w:id="2790" w:name="_ETM_Q4_543000"/>
      <w:bookmarkEnd w:id="2790"/>
      <w:r>
        <w:rPr>
          <w:rFonts w:hint="cs"/>
          <w:rtl/>
        </w:rPr>
        <w:t xml:space="preserve">כאן. </w:t>
      </w:r>
      <w:bookmarkStart w:id="2791" w:name="_ETM_Q4_547210"/>
      <w:bookmarkStart w:id="2792" w:name="_ETM_Q4_548960"/>
      <w:bookmarkStart w:id="2793" w:name="_ETM_Q4_545000"/>
      <w:bookmarkEnd w:id="2791"/>
      <w:bookmarkEnd w:id="2792"/>
      <w:bookmarkEnd w:id="2793"/>
      <w:r>
        <w:rPr>
          <w:rFonts w:hint="cs"/>
          <w:rtl/>
        </w:rPr>
        <w:t xml:space="preserve">דיברנו </w:t>
      </w:r>
      <w:bookmarkStart w:id="2794" w:name="_ETM_Q4_549470"/>
      <w:bookmarkEnd w:id="2794"/>
      <w:r>
        <w:rPr>
          <w:rFonts w:hint="cs"/>
          <w:rtl/>
        </w:rPr>
        <w:t xml:space="preserve">עם </w:t>
      </w:r>
      <w:bookmarkStart w:id="2795" w:name="_ETM_Q4_549560"/>
      <w:bookmarkEnd w:id="2795"/>
      <w:r>
        <w:rPr>
          <w:rFonts w:hint="cs"/>
          <w:rtl/>
        </w:rPr>
        <w:t xml:space="preserve">בית </w:t>
      </w:r>
      <w:bookmarkStart w:id="2796" w:name="_ETM_Q4_549740"/>
      <w:bookmarkEnd w:id="2796"/>
      <w:r>
        <w:rPr>
          <w:rFonts w:hint="cs"/>
          <w:rtl/>
        </w:rPr>
        <w:t xml:space="preserve">הנשיא, </w:t>
      </w:r>
      <w:bookmarkStart w:id="2797" w:name="_ETM_Q4_550610"/>
      <w:bookmarkEnd w:id="2797"/>
      <w:r>
        <w:rPr>
          <w:rFonts w:hint="cs"/>
          <w:rtl/>
        </w:rPr>
        <w:t xml:space="preserve">הדלתות </w:t>
      </w:r>
      <w:bookmarkStart w:id="2798" w:name="_ETM_Q4_551299"/>
      <w:bookmarkEnd w:id="2798"/>
      <w:r>
        <w:rPr>
          <w:rFonts w:hint="cs"/>
          <w:rtl/>
        </w:rPr>
        <w:t xml:space="preserve">שם </w:t>
      </w:r>
      <w:bookmarkStart w:id="2799" w:name="_ETM_Q4_551930"/>
      <w:bookmarkEnd w:id="2799"/>
      <w:r>
        <w:rPr>
          <w:rFonts w:hint="cs"/>
          <w:rtl/>
        </w:rPr>
        <w:t xml:space="preserve">פתוחות </w:t>
      </w:r>
      <w:bookmarkStart w:id="2800" w:name="_ETM_Q4_552470"/>
      <w:bookmarkEnd w:id="2800"/>
      <w:r>
        <w:rPr>
          <w:rFonts w:hint="cs"/>
          <w:rtl/>
        </w:rPr>
        <w:t xml:space="preserve">לרווחה, </w:t>
      </w:r>
      <w:bookmarkStart w:id="2801" w:name="_ETM_Q4_553830"/>
      <w:bookmarkEnd w:id="2801"/>
      <w:r>
        <w:rPr>
          <w:rFonts w:hint="cs"/>
          <w:rtl/>
        </w:rPr>
        <w:t xml:space="preserve">מחכות </w:t>
      </w:r>
      <w:bookmarkStart w:id="2802" w:name="_ETM_Q4_554400"/>
      <w:bookmarkEnd w:id="2802"/>
      <w:r>
        <w:rPr>
          <w:rFonts w:hint="cs"/>
          <w:rtl/>
        </w:rPr>
        <w:t xml:space="preserve">לכולנו, </w:t>
      </w:r>
      <w:bookmarkStart w:id="2803" w:name="_ETM_Q4_554940"/>
      <w:bookmarkEnd w:id="2803"/>
      <w:r>
        <w:rPr>
          <w:rFonts w:hint="cs"/>
          <w:rtl/>
        </w:rPr>
        <w:t xml:space="preserve">מחכות </w:t>
      </w:r>
      <w:bookmarkStart w:id="2804" w:name="_ETM_Q4_555420"/>
      <w:bookmarkEnd w:id="2804"/>
      <w:r>
        <w:rPr>
          <w:rFonts w:hint="cs"/>
          <w:rtl/>
        </w:rPr>
        <w:t xml:space="preserve">לנו </w:t>
      </w:r>
      <w:bookmarkStart w:id="2805" w:name="_ETM_Q4_555990"/>
      <w:bookmarkEnd w:id="2805"/>
      <w:r>
        <w:rPr>
          <w:rFonts w:hint="cs"/>
          <w:rtl/>
        </w:rPr>
        <w:t xml:space="preserve">שנחזור </w:t>
      </w:r>
      <w:bookmarkStart w:id="2806" w:name="_ETM_Q4_556589"/>
      <w:bookmarkEnd w:id="2806"/>
      <w:r>
        <w:rPr>
          <w:rFonts w:hint="cs"/>
          <w:rtl/>
        </w:rPr>
        <w:t xml:space="preserve">לדבר, </w:t>
      </w:r>
      <w:bookmarkStart w:id="2807" w:name="_ETM_Q4_557159"/>
      <w:bookmarkEnd w:id="2807"/>
      <w:r>
        <w:rPr>
          <w:rFonts w:hint="cs"/>
          <w:rtl/>
        </w:rPr>
        <w:t xml:space="preserve">שנמנע </w:t>
      </w:r>
      <w:bookmarkStart w:id="2808" w:name="_ETM_Q4_557670"/>
      <w:bookmarkEnd w:id="2808"/>
      <w:r>
        <w:rPr>
          <w:rFonts w:hint="cs"/>
          <w:rtl/>
        </w:rPr>
        <w:t xml:space="preserve">את </w:t>
      </w:r>
      <w:bookmarkStart w:id="2809" w:name="_ETM_Q4_557820"/>
      <w:bookmarkEnd w:id="2809"/>
      <w:r>
        <w:rPr>
          <w:rFonts w:hint="cs"/>
          <w:rtl/>
        </w:rPr>
        <w:t xml:space="preserve">האסון, </w:t>
      </w:r>
      <w:bookmarkStart w:id="2810" w:name="_ETM_Q4_558729"/>
      <w:bookmarkEnd w:id="2810"/>
      <w:r>
        <w:rPr>
          <w:rFonts w:hint="cs"/>
          <w:rtl/>
        </w:rPr>
        <w:t xml:space="preserve">שנמנע </w:t>
      </w:r>
      <w:bookmarkStart w:id="2811" w:name="_ETM_Q4_559210"/>
      <w:bookmarkEnd w:id="2811"/>
      <w:r>
        <w:rPr>
          <w:rFonts w:hint="cs"/>
          <w:rtl/>
        </w:rPr>
        <w:t xml:space="preserve">את </w:t>
      </w:r>
      <w:bookmarkStart w:id="2812" w:name="_ETM_Q4_559360"/>
      <w:bookmarkEnd w:id="2812"/>
      <w:r>
        <w:rPr>
          <w:rFonts w:hint="cs"/>
          <w:rtl/>
        </w:rPr>
        <w:t xml:space="preserve">ההתפרקות, </w:t>
      </w:r>
      <w:bookmarkStart w:id="2813" w:name="_ETM_Q4_560550"/>
      <w:bookmarkEnd w:id="2813"/>
      <w:r>
        <w:rPr>
          <w:rFonts w:hint="cs"/>
          <w:rtl/>
        </w:rPr>
        <w:t xml:space="preserve">שנמנע </w:t>
      </w:r>
      <w:bookmarkStart w:id="2814" w:name="_ETM_Q4_561120"/>
      <w:bookmarkEnd w:id="2814"/>
      <w:r>
        <w:rPr>
          <w:rFonts w:hint="cs"/>
          <w:rtl/>
        </w:rPr>
        <w:t xml:space="preserve">את </w:t>
      </w:r>
      <w:bookmarkStart w:id="2815" w:name="_ETM_Q4_561240"/>
      <w:bookmarkEnd w:id="2815"/>
      <w:r>
        <w:rPr>
          <w:rFonts w:hint="cs"/>
          <w:rtl/>
        </w:rPr>
        <w:t xml:space="preserve">השתלטות </w:t>
      </w:r>
      <w:bookmarkStart w:id="2816" w:name="_ETM_Q4_562860"/>
      <w:bookmarkEnd w:id="2816"/>
      <w:r>
        <w:rPr>
          <w:rFonts w:hint="cs"/>
          <w:rtl/>
        </w:rPr>
        <w:t xml:space="preserve">המיעוט </w:t>
      </w:r>
      <w:bookmarkStart w:id="2817" w:name="_ETM_Q4_563310"/>
      <w:bookmarkEnd w:id="2817"/>
      <w:r>
        <w:rPr>
          <w:rFonts w:hint="cs"/>
          <w:rtl/>
        </w:rPr>
        <w:t xml:space="preserve">הקיצוני </w:t>
      </w:r>
      <w:bookmarkStart w:id="2818" w:name="_ETM_Q4_564150"/>
      <w:bookmarkEnd w:id="2818"/>
      <w:r>
        <w:rPr>
          <w:rFonts w:hint="cs"/>
          <w:rtl/>
        </w:rPr>
        <w:t xml:space="preserve">על </w:t>
      </w:r>
      <w:bookmarkStart w:id="2819" w:name="_ETM_Q4_564300"/>
      <w:bookmarkEnd w:id="2819"/>
      <w:r>
        <w:rPr>
          <w:rFonts w:hint="cs"/>
          <w:rtl/>
        </w:rPr>
        <w:t xml:space="preserve">הרוב </w:t>
      </w:r>
      <w:bookmarkStart w:id="2820" w:name="_ETM_Q4_564570"/>
      <w:bookmarkEnd w:id="2820"/>
      <w:r>
        <w:rPr>
          <w:rFonts w:hint="cs"/>
          <w:rtl/>
        </w:rPr>
        <w:t xml:space="preserve">הישראלי. </w:t>
      </w:r>
    </w:p>
    <w:p w:rsidR="000C5C1F" w:rsidRDefault="000C5C1F" w:rsidP="000C5C1F">
      <w:pPr>
        <w:rPr>
          <w:rtl/>
        </w:rPr>
      </w:pPr>
      <w:bookmarkStart w:id="2821" w:name="_ETM_Q4_547000"/>
      <w:bookmarkEnd w:id="2821"/>
    </w:p>
    <w:p w:rsidR="000C5C1F" w:rsidRDefault="000C5C1F" w:rsidP="000C5C1F">
      <w:pPr>
        <w:rPr>
          <w:rtl/>
        </w:rPr>
      </w:pPr>
      <w:bookmarkStart w:id="2822" w:name="_ETM_Q4_548000"/>
      <w:bookmarkStart w:id="2823" w:name="_ETM_Q4_566430"/>
      <w:bookmarkEnd w:id="2822"/>
      <w:bookmarkEnd w:id="2823"/>
      <w:r>
        <w:rPr>
          <w:rFonts w:hint="cs"/>
          <w:rtl/>
        </w:rPr>
        <w:t xml:space="preserve">אני </w:t>
      </w:r>
      <w:bookmarkStart w:id="2824" w:name="_ETM_Q4_566610"/>
      <w:bookmarkEnd w:id="2824"/>
      <w:r>
        <w:rPr>
          <w:rFonts w:hint="cs"/>
          <w:rtl/>
        </w:rPr>
        <w:t xml:space="preserve">רוצה </w:t>
      </w:r>
      <w:bookmarkStart w:id="2825" w:name="_ETM_Q4_566820"/>
      <w:bookmarkEnd w:id="2825"/>
      <w:r>
        <w:rPr>
          <w:rFonts w:hint="cs"/>
          <w:rtl/>
        </w:rPr>
        <w:t xml:space="preserve">להגיד </w:t>
      </w:r>
      <w:bookmarkStart w:id="2826" w:name="_ETM_Q4_567180"/>
      <w:bookmarkEnd w:id="2826"/>
      <w:r>
        <w:rPr>
          <w:rFonts w:hint="cs"/>
          <w:rtl/>
        </w:rPr>
        <w:t xml:space="preserve">לממשלת </w:t>
      </w:r>
      <w:bookmarkStart w:id="2827" w:name="_ETM_Q4_567600"/>
      <w:bookmarkEnd w:id="2827"/>
      <w:r>
        <w:rPr>
          <w:rFonts w:hint="cs"/>
          <w:rtl/>
        </w:rPr>
        <w:t xml:space="preserve">ישראל </w:t>
      </w:r>
      <w:bookmarkStart w:id="2828" w:name="_ETM_Q4_567990"/>
      <w:bookmarkEnd w:id="2828"/>
      <w:r>
        <w:rPr>
          <w:rFonts w:hint="cs"/>
          <w:rtl/>
        </w:rPr>
        <w:t xml:space="preserve">מכאן, </w:t>
      </w:r>
      <w:bookmarkStart w:id="2829" w:name="_ETM_Q4_568410"/>
      <w:bookmarkEnd w:id="2829"/>
      <w:r>
        <w:rPr>
          <w:rFonts w:hint="cs"/>
          <w:rtl/>
        </w:rPr>
        <w:t xml:space="preserve">מהדוכן </w:t>
      </w:r>
      <w:bookmarkStart w:id="2830" w:name="_ETM_Q4_568920"/>
      <w:bookmarkEnd w:id="2830"/>
      <w:r>
        <w:rPr>
          <w:rFonts w:hint="cs"/>
          <w:rtl/>
        </w:rPr>
        <w:t xml:space="preserve">הזה: </w:t>
      </w:r>
      <w:bookmarkStart w:id="2831" w:name="_ETM_Q4_569520"/>
      <w:bookmarkEnd w:id="2831"/>
      <w:r>
        <w:rPr>
          <w:rFonts w:hint="cs"/>
          <w:rtl/>
        </w:rPr>
        <w:t xml:space="preserve">אנחנו </w:t>
      </w:r>
      <w:bookmarkStart w:id="2832" w:name="_ETM_Q4_569820"/>
      <w:bookmarkEnd w:id="2832"/>
      <w:r>
        <w:rPr>
          <w:rFonts w:hint="cs"/>
          <w:rtl/>
        </w:rPr>
        <w:t xml:space="preserve">לא </w:t>
      </w:r>
      <w:bookmarkStart w:id="2833" w:name="_ETM_Q4_569970"/>
      <w:bookmarkEnd w:id="2833"/>
      <w:r>
        <w:rPr>
          <w:rFonts w:hint="cs"/>
          <w:rtl/>
        </w:rPr>
        <w:t xml:space="preserve">רוצים </w:t>
      </w:r>
      <w:bookmarkStart w:id="2834" w:name="_ETM_Q4_570330"/>
      <w:bookmarkEnd w:id="2834"/>
      <w:r>
        <w:rPr>
          <w:rFonts w:hint="cs"/>
          <w:rtl/>
        </w:rPr>
        <w:t xml:space="preserve">לנצח </w:t>
      </w:r>
      <w:bookmarkStart w:id="2835" w:name="_ETM_Q4_570900"/>
      <w:bookmarkEnd w:id="2835"/>
      <w:r>
        <w:rPr>
          <w:rFonts w:hint="cs"/>
          <w:rtl/>
        </w:rPr>
        <w:t xml:space="preserve">אף </w:t>
      </w:r>
      <w:bookmarkStart w:id="2836" w:name="_ETM_Q4_571050"/>
      <w:bookmarkEnd w:id="2836"/>
      <w:r>
        <w:rPr>
          <w:rFonts w:hint="cs"/>
          <w:rtl/>
        </w:rPr>
        <w:t xml:space="preserve">אחד, </w:t>
      </w:r>
      <w:bookmarkStart w:id="2837" w:name="_ETM_Q4_571305"/>
      <w:bookmarkEnd w:id="2837"/>
      <w:r>
        <w:rPr>
          <w:rFonts w:hint="cs"/>
          <w:rtl/>
        </w:rPr>
        <w:t xml:space="preserve">כי </w:t>
      </w:r>
      <w:bookmarkStart w:id="2838" w:name="_ETM_Q4_571560"/>
      <w:bookmarkEnd w:id="2838"/>
      <w:r>
        <w:rPr>
          <w:rFonts w:hint="cs"/>
          <w:rtl/>
        </w:rPr>
        <w:t xml:space="preserve">כולנו </w:t>
      </w:r>
      <w:bookmarkStart w:id="2839" w:name="_ETM_Q4_571950"/>
      <w:bookmarkEnd w:id="2839"/>
      <w:r>
        <w:rPr>
          <w:rFonts w:hint="cs"/>
          <w:rtl/>
        </w:rPr>
        <w:t xml:space="preserve">נפסיד. </w:t>
      </w:r>
      <w:bookmarkStart w:id="2840" w:name="_ETM_Q4_573189"/>
      <w:bookmarkEnd w:id="2840"/>
      <w:r>
        <w:rPr>
          <w:rFonts w:hint="cs"/>
          <w:rtl/>
        </w:rPr>
        <w:t xml:space="preserve">האמת </w:t>
      </w:r>
      <w:bookmarkStart w:id="2841" w:name="_ETM_Q4_573579"/>
      <w:bookmarkEnd w:id="2841"/>
      <w:r>
        <w:rPr>
          <w:rFonts w:hint="cs"/>
          <w:rtl/>
        </w:rPr>
        <w:t xml:space="preserve">היא </w:t>
      </w:r>
      <w:bookmarkStart w:id="2842" w:name="_ETM_Q4_573700"/>
      <w:bookmarkEnd w:id="2842"/>
      <w:r>
        <w:rPr>
          <w:rFonts w:hint="cs"/>
          <w:rtl/>
        </w:rPr>
        <w:t xml:space="preserve">שכולם </w:t>
      </w:r>
      <w:bookmarkStart w:id="2843" w:name="_ETM_Q4_574630"/>
      <w:bookmarkEnd w:id="2843"/>
      <w:r>
        <w:rPr>
          <w:rFonts w:hint="cs"/>
          <w:rtl/>
        </w:rPr>
        <w:t xml:space="preserve">רוצים </w:t>
      </w:r>
      <w:bookmarkStart w:id="2844" w:name="_ETM_Q4_575049"/>
      <w:bookmarkEnd w:id="2844"/>
      <w:r>
        <w:rPr>
          <w:rFonts w:hint="cs"/>
          <w:rtl/>
        </w:rPr>
        <w:t xml:space="preserve">פשרה, </w:t>
      </w:r>
      <w:bookmarkStart w:id="2845" w:name="_ETM_Q4_576250"/>
      <w:bookmarkEnd w:id="2845"/>
      <w:r>
        <w:rPr>
          <w:rFonts w:hint="cs"/>
          <w:rtl/>
        </w:rPr>
        <w:t xml:space="preserve">אבל </w:t>
      </w:r>
      <w:bookmarkStart w:id="2846" w:name="_ETM_Q4_576550"/>
      <w:bookmarkEnd w:id="2846"/>
      <w:r>
        <w:rPr>
          <w:rFonts w:hint="cs"/>
          <w:rtl/>
        </w:rPr>
        <w:t>אף</w:t>
      </w:r>
      <w:bookmarkStart w:id="2847" w:name="_ETM_Q4_576700"/>
      <w:bookmarkEnd w:id="2847"/>
      <w:r>
        <w:rPr>
          <w:rFonts w:hint="cs"/>
          <w:rtl/>
        </w:rPr>
        <w:t xml:space="preserve"> אחד </w:t>
      </w:r>
      <w:bookmarkStart w:id="2848" w:name="_ETM_Q4_576909"/>
      <w:bookmarkEnd w:id="2848"/>
      <w:r>
        <w:rPr>
          <w:rFonts w:hint="cs"/>
          <w:rtl/>
        </w:rPr>
        <w:t xml:space="preserve">לא </w:t>
      </w:r>
      <w:bookmarkStart w:id="2849" w:name="_ETM_Q4_577120"/>
      <w:bookmarkEnd w:id="2849"/>
      <w:r>
        <w:rPr>
          <w:rFonts w:hint="cs"/>
          <w:rtl/>
        </w:rPr>
        <w:t xml:space="preserve">יודע </w:t>
      </w:r>
      <w:bookmarkStart w:id="2850" w:name="_ETM_Q4_577360"/>
      <w:bookmarkEnd w:id="2850"/>
      <w:r>
        <w:rPr>
          <w:rFonts w:hint="cs"/>
          <w:rtl/>
        </w:rPr>
        <w:t xml:space="preserve">איך </w:t>
      </w:r>
      <w:bookmarkStart w:id="2851" w:name="_ETM_Q4_577540"/>
      <w:bookmarkEnd w:id="2851"/>
      <w:r>
        <w:rPr>
          <w:rFonts w:hint="cs"/>
          <w:rtl/>
        </w:rPr>
        <w:t xml:space="preserve">להשיג </w:t>
      </w:r>
      <w:bookmarkStart w:id="2852" w:name="_ETM_Q4_577990"/>
      <w:bookmarkEnd w:id="2852"/>
      <w:r>
        <w:rPr>
          <w:rFonts w:hint="cs"/>
          <w:rtl/>
        </w:rPr>
        <w:t xml:space="preserve">אותה </w:t>
      </w:r>
      <w:bookmarkStart w:id="2853" w:name="_ETM_Q4_579410"/>
      <w:bookmarkStart w:id="2854" w:name="_ETM_Q4_579529"/>
      <w:bookmarkEnd w:id="2853"/>
      <w:bookmarkEnd w:id="2854"/>
      <w:r>
        <w:rPr>
          <w:rFonts w:hint="cs"/>
          <w:rtl/>
        </w:rPr>
        <w:t xml:space="preserve">או איך </w:t>
      </w:r>
      <w:bookmarkStart w:id="2855" w:name="_ETM_Q4_579710"/>
      <w:bookmarkEnd w:id="2855"/>
      <w:r>
        <w:rPr>
          <w:rFonts w:hint="cs"/>
          <w:rtl/>
        </w:rPr>
        <w:t xml:space="preserve">היא </w:t>
      </w:r>
      <w:bookmarkStart w:id="2856" w:name="_ETM_Q4_579800"/>
      <w:bookmarkEnd w:id="2856"/>
      <w:r>
        <w:rPr>
          <w:rFonts w:hint="cs"/>
          <w:rtl/>
        </w:rPr>
        <w:t xml:space="preserve">תיראה. </w:t>
      </w:r>
      <w:bookmarkStart w:id="2857" w:name="_ETM_Q4_581330"/>
      <w:bookmarkEnd w:id="2857"/>
      <w:r>
        <w:rPr>
          <w:rFonts w:hint="cs"/>
          <w:rtl/>
        </w:rPr>
        <w:t xml:space="preserve">יש </w:t>
      </w:r>
      <w:bookmarkStart w:id="2858" w:name="_ETM_Q4_581630"/>
      <w:bookmarkEnd w:id="2858"/>
      <w:r>
        <w:rPr>
          <w:rFonts w:hint="cs"/>
          <w:rtl/>
        </w:rPr>
        <w:t xml:space="preserve">רק </w:t>
      </w:r>
      <w:bookmarkStart w:id="2859" w:name="_ETM_Q4_582140"/>
      <w:bookmarkEnd w:id="2859"/>
      <w:r>
        <w:rPr>
          <w:rFonts w:hint="cs"/>
          <w:rtl/>
        </w:rPr>
        <w:t>דרך</w:t>
      </w:r>
      <w:bookmarkStart w:id="2860" w:name="_ETM_Q4_582710"/>
      <w:bookmarkEnd w:id="2860"/>
      <w:r>
        <w:rPr>
          <w:rFonts w:hint="cs"/>
          <w:rtl/>
        </w:rPr>
        <w:t xml:space="preserve"> אחת </w:t>
      </w:r>
      <w:bookmarkStart w:id="2861" w:name="_ETM_Q4_583175"/>
      <w:bookmarkEnd w:id="2861"/>
      <w:r>
        <w:rPr>
          <w:rFonts w:hint="cs"/>
          <w:rtl/>
        </w:rPr>
        <w:t xml:space="preserve">לגלות: </w:t>
      </w:r>
      <w:bookmarkStart w:id="2862" w:name="_ETM_Q4_584670"/>
      <w:bookmarkEnd w:id="2862"/>
      <w:r>
        <w:rPr>
          <w:rFonts w:hint="cs"/>
          <w:rtl/>
        </w:rPr>
        <w:t xml:space="preserve">להמשיך </w:t>
      </w:r>
      <w:bookmarkStart w:id="2863" w:name="_ETM_Q4_585119"/>
      <w:bookmarkEnd w:id="2863"/>
      <w:r>
        <w:rPr>
          <w:rFonts w:hint="cs"/>
          <w:rtl/>
        </w:rPr>
        <w:t>להת</w:t>
      </w:r>
      <w:bookmarkStart w:id="2864" w:name="_ETM_Q4_586409"/>
      <w:bookmarkEnd w:id="2864"/>
      <w:r>
        <w:rPr>
          <w:rFonts w:hint="cs"/>
          <w:rtl/>
        </w:rPr>
        <w:t xml:space="preserve">אמץ, לעצור </w:t>
      </w:r>
      <w:bookmarkStart w:id="2865" w:name="_ETM_Q4_587100"/>
      <w:bookmarkEnd w:id="2865"/>
      <w:r>
        <w:rPr>
          <w:rFonts w:hint="cs"/>
          <w:rtl/>
        </w:rPr>
        <w:t xml:space="preserve">את </w:t>
      </w:r>
      <w:bookmarkStart w:id="2866" w:name="_ETM_Q4_587250"/>
      <w:bookmarkEnd w:id="2866"/>
      <w:r>
        <w:rPr>
          <w:rFonts w:hint="cs"/>
          <w:rtl/>
        </w:rPr>
        <w:t xml:space="preserve">החקיקה </w:t>
      </w:r>
      <w:bookmarkStart w:id="2867" w:name="_ETM_Q4_587820"/>
      <w:bookmarkEnd w:id="2867"/>
      <w:r>
        <w:rPr>
          <w:rFonts w:hint="cs"/>
          <w:rtl/>
        </w:rPr>
        <w:t xml:space="preserve">הזו, </w:t>
      </w:r>
      <w:bookmarkStart w:id="2868" w:name="_ETM_Q4_588590"/>
      <w:bookmarkEnd w:id="2868"/>
      <w:r>
        <w:rPr>
          <w:rFonts w:hint="cs"/>
          <w:rtl/>
        </w:rPr>
        <w:t xml:space="preserve">ללכת </w:t>
      </w:r>
      <w:bookmarkStart w:id="2869" w:name="_ETM_Q4_589040"/>
      <w:bookmarkEnd w:id="2869"/>
      <w:r>
        <w:rPr>
          <w:rFonts w:hint="cs"/>
          <w:rtl/>
        </w:rPr>
        <w:t xml:space="preserve">לבית </w:t>
      </w:r>
      <w:bookmarkStart w:id="2870" w:name="_ETM_Q4_589370"/>
      <w:bookmarkEnd w:id="2870"/>
      <w:r>
        <w:rPr>
          <w:rFonts w:hint="cs"/>
          <w:rtl/>
        </w:rPr>
        <w:t xml:space="preserve">הנשיא. </w:t>
      </w:r>
      <w:bookmarkStart w:id="2871" w:name="_ETM_Q4_589910"/>
      <w:bookmarkEnd w:id="2871"/>
      <w:r>
        <w:rPr>
          <w:rFonts w:hint="cs"/>
          <w:rtl/>
        </w:rPr>
        <w:t xml:space="preserve">רגלינו </w:t>
      </w:r>
      <w:bookmarkStart w:id="2872" w:name="_ETM_Q4_591290"/>
      <w:bookmarkEnd w:id="2872"/>
      <w:r>
        <w:rPr>
          <w:rFonts w:hint="cs"/>
          <w:rtl/>
        </w:rPr>
        <w:t xml:space="preserve">יישאו </w:t>
      </w:r>
      <w:bookmarkStart w:id="2873" w:name="_ETM_Q4_589000"/>
      <w:bookmarkEnd w:id="2873"/>
      <w:r>
        <w:rPr>
          <w:rFonts w:hint="cs"/>
          <w:rtl/>
        </w:rPr>
        <w:t xml:space="preserve">תפילה </w:t>
      </w:r>
      <w:bookmarkStart w:id="2874" w:name="_ETM_Q4_591890"/>
      <w:bookmarkEnd w:id="2874"/>
      <w:r>
        <w:rPr>
          <w:rFonts w:hint="cs"/>
          <w:rtl/>
        </w:rPr>
        <w:t xml:space="preserve">כל </w:t>
      </w:r>
      <w:bookmarkStart w:id="2875" w:name="_ETM_Q4_592130"/>
      <w:bookmarkEnd w:id="2875"/>
      <w:r>
        <w:rPr>
          <w:rFonts w:hint="cs"/>
          <w:rtl/>
        </w:rPr>
        <w:t xml:space="preserve">הדרך. </w:t>
      </w:r>
      <w:bookmarkStart w:id="2876" w:name="_ETM_Q4_593650"/>
      <w:bookmarkEnd w:id="2876"/>
      <w:r>
        <w:rPr>
          <w:rFonts w:hint="cs"/>
          <w:rtl/>
        </w:rPr>
        <w:t xml:space="preserve">אנחנו </w:t>
      </w:r>
      <w:bookmarkStart w:id="2877" w:name="_ETM_Q4_593950"/>
      <w:bookmarkEnd w:id="2877"/>
      <w:r>
        <w:rPr>
          <w:rFonts w:hint="cs"/>
          <w:rtl/>
        </w:rPr>
        <w:t xml:space="preserve">צריכים </w:t>
      </w:r>
      <w:bookmarkStart w:id="2878" w:name="_ETM_Q4_594310"/>
      <w:bookmarkEnd w:id="2878"/>
      <w:r>
        <w:rPr>
          <w:rFonts w:hint="cs"/>
          <w:rtl/>
        </w:rPr>
        <w:t xml:space="preserve">ללכת </w:t>
      </w:r>
      <w:bookmarkStart w:id="2879" w:name="_ETM_Q4_594730"/>
      <w:bookmarkEnd w:id="2879"/>
      <w:r>
        <w:rPr>
          <w:rFonts w:hint="cs"/>
          <w:rtl/>
        </w:rPr>
        <w:t xml:space="preserve">לשם </w:t>
      </w:r>
      <w:bookmarkStart w:id="2880" w:name="_ETM_Q4_596000"/>
      <w:bookmarkEnd w:id="2880"/>
      <w:r>
        <w:rPr>
          <w:rFonts w:hint="cs"/>
          <w:rtl/>
        </w:rPr>
        <w:t xml:space="preserve">ולדבר </w:t>
      </w:r>
      <w:bookmarkStart w:id="2881" w:name="_ETM_Q4_596869"/>
      <w:bookmarkEnd w:id="2881"/>
      <w:r>
        <w:rPr>
          <w:rFonts w:hint="cs"/>
          <w:rtl/>
        </w:rPr>
        <w:t xml:space="preserve">ולהתווכח </w:t>
      </w:r>
      <w:bookmarkStart w:id="2882" w:name="_ETM_Q4_597649"/>
      <w:bookmarkEnd w:id="2882"/>
      <w:r>
        <w:rPr>
          <w:rFonts w:hint="cs"/>
          <w:rtl/>
        </w:rPr>
        <w:t xml:space="preserve">ולריב </w:t>
      </w:r>
      <w:bookmarkStart w:id="2883" w:name="_ETM_Q4_598130"/>
      <w:bookmarkEnd w:id="2883"/>
      <w:r>
        <w:rPr>
          <w:rFonts w:hint="cs"/>
          <w:rtl/>
        </w:rPr>
        <w:t xml:space="preserve">ולדבר </w:t>
      </w:r>
      <w:bookmarkStart w:id="2884" w:name="_ETM_Q4_598670"/>
      <w:bookmarkEnd w:id="2884"/>
      <w:r>
        <w:rPr>
          <w:rFonts w:hint="cs"/>
          <w:rtl/>
        </w:rPr>
        <w:t xml:space="preserve">שוב, </w:t>
      </w:r>
      <w:bookmarkStart w:id="2885" w:name="_ETM_Q4_599000"/>
      <w:bookmarkEnd w:id="2885"/>
      <w:r>
        <w:rPr>
          <w:rFonts w:hint="cs"/>
          <w:rtl/>
        </w:rPr>
        <w:t xml:space="preserve">ולעולם, </w:t>
      </w:r>
      <w:bookmarkStart w:id="2886" w:name="_ETM_Q4_599600"/>
      <w:bookmarkEnd w:id="2886"/>
      <w:r>
        <w:rPr>
          <w:rFonts w:hint="cs"/>
          <w:rtl/>
        </w:rPr>
        <w:t xml:space="preserve">לעולם, </w:t>
      </w:r>
      <w:bookmarkStart w:id="2887" w:name="_ETM_Q4_600079"/>
      <w:bookmarkEnd w:id="2887"/>
      <w:r>
        <w:rPr>
          <w:rFonts w:hint="cs"/>
          <w:rtl/>
        </w:rPr>
        <w:t xml:space="preserve">לעולם </w:t>
      </w:r>
      <w:bookmarkStart w:id="2888" w:name="_ETM_Q4_600469"/>
      <w:bookmarkEnd w:id="2888"/>
      <w:r>
        <w:rPr>
          <w:rFonts w:hint="cs"/>
          <w:rtl/>
        </w:rPr>
        <w:t xml:space="preserve">לא </w:t>
      </w:r>
      <w:bookmarkStart w:id="2889" w:name="_ETM_Q4_600619"/>
      <w:bookmarkEnd w:id="2889"/>
      <w:r>
        <w:rPr>
          <w:rFonts w:hint="cs"/>
          <w:rtl/>
        </w:rPr>
        <w:t xml:space="preserve">להפסיק </w:t>
      </w:r>
      <w:bookmarkStart w:id="2890" w:name="_ETM_Q4_601039"/>
      <w:bookmarkEnd w:id="2890"/>
      <w:r>
        <w:rPr>
          <w:rFonts w:hint="cs"/>
          <w:rtl/>
        </w:rPr>
        <w:t xml:space="preserve">לנסות, </w:t>
      </w:r>
      <w:bookmarkStart w:id="2891" w:name="_ETM_Q4_601950"/>
      <w:bookmarkEnd w:id="2891"/>
      <w:r>
        <w:rPr>
          <w:rFonts w:hint="cs"/>
          <w:rtl/>
        </w:rPr>
        <w:t xml:space="preserve">כי גורלו </w:t>
      </w:r>
      <w:bookmarkStart w:id="2892" w:name="_ETM_Q4_603000"/>
      <w:bookmarkEnd w:id="2892"/>
      <w:r>
        <w:rPr>
          <w:rFonts w:hint="cs"/>
          <w:rtl/>
        </w:rPr>
        <w:t xml:space="preserve">של </w:t>
      </w:r>
      <w:bookmarkStart w:id="2893" w:name="_ETM_Q4_603270"/>
      <w:bookmarkEnd w:id="2893"/>
      <w:r>
        <w:rPr>
          <w:rFonts w:hint="cs"/>
          <w:rtl/>
        </w:rPr>
        <w:t xml:space="preserve">עם </w:t>
      </w:r>
      <w:bookmarkStart w:id="2894" w:name="_ETM_Q4_603450"/>
      <w:bookmarkEnd w:id="2894"/>
      <w:r>
        <w:rPr>
          <w:rFonts w:hint="cs"/>
          <w:rtl/>
        </w:rPr>
        <w:t xml:space="preserve">ישראל </w:t>
      </w:r>
      <w:bookmarkStart w:id="2895" w:name="_ETM_Q4_604409"/>
      <w:bookmarkEnd w:id="2895"/>
      <w:r>
        <w:rPr>
          <w:rFonts w:hint="cs"/>
          <w:rtl/>
        </w:rPr>
        <w:t xml:space="preserve">תלוי </w:t>
      </w:r>
      <w:bookmarkStart w:id="2896" w:name="_ETM_Q4_604799"/>
      <w:bookmarkEnd w:id="2896"/>
      <w:r>
        <w:rPr>
          <w:rFonts w:hint="cs"/>
          <w:rtl/>
        </w:rPr>
        <w:t xml:space="preserve">בדבר. </w:t>
      </w:r>
      <w:bookmarkStart w:id="2897" w:name="_ETM_Q4_606390"/>
      <w:bookmarkEnd w:id="2897"/>
      <w:r>
        <w:rPr>
          <w:rFonts w:hint="cs"/>
          <w:rtl/>
        </w:rPr>
        <w:t xml:space="preserve">תודה </w:t>
      </w:r>
      <w:bookmarkStart w:id="2898" w:name="_ETM_Q4_606719"/>
      <w:bookmarkEnd w:id="2898"/>
      <w:r>
        <w:rPr>
          <w:rFonts w:hint="cs"/>
          <w:rtl/>
        </w:rPr>
        <w:t xml:space="preserve">רבה. </w:t>
      </w:r>
    </w:p>
    <w:p w:rsidR="000C5C1F" w:rsidRDefault="000C5C1F" w:rsidP="000C5C1F">
      <w:pPr>
        <w:rPr>
          <w:rtl/>
        </w:rPr>
      </w:pPr>
    </w:p>
    <w:p w:rsidR="000C5C1F" w:rsidRDefault="000C5C1F" w:rsidP="000C5C1F">
      <w:pPr>
        <w:pStyle w:val="af9"/>
        <w:keepNext/>
        <w:rPr>
          <w:rtl/>
        </w:rPr>
      </w:pPr>
      <w:bookmarkStart w:id="2899" w:name="_ETM_Q4_607000"/>
      <w:bookmarkStart w:id="2900" w:name="_ETM_Q4_607930"/>
      <w:bookmarkStart w:id="2901" w:name="ET_yor_6423_10"/>
      <w:bookmarkEnd w:id="2899"/>
      <w:bookmarkEnd w:id="290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2901"/>
    </w:p>
    <w:p w:rsidR="000C5C1F" w:rsidRDefault="000C5C1F" w:rsidP="00337201">
      <w:pPr>
        <w:rPr>
          <w:rtl/>
        </w:rPr>
      </w:pPr>
    </w:p>
    <w:p w:rsidR="000C5C1F" w:rsidRDefault="000C5C1F" w:rsidP="000C5C1F">
      <w:pPr>
        <w:rPr>
          <w:rtl/>
        </w:rPr>
      </w:pPr>
      <w:bookmarkStart w:id="2902" w:name="_ETM_Q4_609000"/>
      <w:bookmarkEnd w:id="2902"/>
      <w:r>
        <w:rPr>
          <w:rFonts w:hint="cs"/>
          <w:rtl/>
        </w:rPr>
        <w:t xml:space="preserve">תודה </w:t>
      </w:r>
      <w:bookmarkStart w:id="2903" w:name="_ETM_Q4_608230"/>
      <w:bookmarkEnd w:id="2903"/>
      <w:r>
        <w:rPr>
          <w:rFonts w:hint="cs"/>
          <w:rtl/>
        </w:rPr>
        <w:t xml:space="preserve">לראש </w:t>
      </w:r>
      <w:bookmarkStart w:id="2904" w:name="_ETM_Q4_608529"/>
      <w:bookmarkEnd w:id="2904"/>
      <w:r>
        <w:rPr>
          <w:rFonts w:hint="cs"/>
          <w:rtl/>
        </w:rPr>
        <w:t xml:space="preserve">האופוזיציה. </w:t>
      </w:r>
      <w:bookmarkStart w:id="2905" w:name="_ETM_Q4_609700"/>
      <w:bookmarkEnd w:id="2905"/>
      <w:r>
        <w:rPr>
          <w:rFonts w:hint="cs"/>
          <w:rtl/>
        </w:rPr>
        <w:t xml:space="preserve">אני רק </w:t>
      </w:r>
      <w:bookmarkStart w:id="2906" w:name="_ETM_Q4_611379"/>
      <w:bookmarkEnd w:id="2906"/>
      <w:r>
        <w:rPr>
          <w:rFonts w:hint="cs"/>
          <w:rtl/>
        </w:rPr>
        <w:t xml:space="preserve">אעדכן </w:t>
      </w:r>
      <w:bookmarkStart w:id="2907" w:name="_ETM_Q4_611889"/>
      <w:bookmarkEnd w:id="2907"/>
      <w:r>
        <w:rPr>
          <w:rFonts w:hint="cs"/>
          <w:rtl/>
        </w:rPr>
        <w:t xml:space="preserve">שאדוני </w:t>
      </w:r>
      <w:bookmarkStart w:id="2908" w:name="_ETM_Q4_612340"/>
      <w:bookmarkEnd w:id="2908"/>
      <w:r>
        <w:rPr>
          <w:rFonts w:hint="cs"/>
          <w:rtl/>
        </w:rPr>
        <w:t xml:space="preserve">קצת </w:t>
      </w:r>
      <w:bookmarkStart w:id="2909" w:name="_ETM_Q4_612549"/>
      <w:bookmarkEnd w:id="2909"/>
      <w:r>
        <w:rPr>
          <w:rFonts w:hint="cs"/>
          <w:rtl/>
        </w:rPr>
        <w:t xml:space="preserve">חרג </w:t>
      </w:r>
      <w:bookmarkStart w:id="2910" w:name="_ETM_Q4_612849"/>
      <w:bookmarkEnd w:id="2910"/>
      <w:r>
        <w:rPr>
          <w:rFonts w:hint="cs"/>
          <w:rtl/>
        </w:rPr>
        <w:t xml:space="preserve">ממסגרת </w:t>
      </w:r>
      <w:bookmarkStart w:id="2911" w:name="_ETM_Q4_613269"/>
      <w:bookmarkEnd w:id="2911"/>
      <w:r>
        <w:rPr>
          <w:rFonts w:hint="cs"/>
          <w:rtl/>
        </w:rPr>
        <w:t xml:space="preserve">הזמנים. </w:t>
      </w:r>
      <w:bookmarkStart w:id="2912" w:name="_ETM_Q4_613749"/>
      <w:bookmarkEnd w:id="2912"/>
      <w:r>
        <w:rPr>
          <w:rFonts w:hint="cs"/>
          <w:rtl/>
        </w:rPr>
        <w:t xml:space="preserve">לא </w:t>
      </w:r>
      <w:bookmarkStart w:id="2913" w:name="_ETM_Q4_613959"/>
      <w:bookmarkEnd w:id="2913"/>
      <w:r>
        <w:rPr>
          <w:rFonts w:hint="cs"/>
          <w:rtl/>
        </w:rPr>
        <w:t>הפסקתי</w:t>
      </w:r>
      <w:bookmarkStart w:id="2914" w:name="_ETM_Q4_614390"/>
      <w:bookmarkStart w:id="2915" w:name="_ETM_Q4_614600"/>
      <w:bookmarkEnd w:id="2914"/>
      <w:bookmarkEnd w:id="2915"/>
      <w:r>
        <w:rPr>
          <w:rFonts w:hint="cs"/>
          <w:rtl/>
        </w:rPr>
        <w:t xml:space="preserve">. אנחנו </w:t>
      </w:r>
      <w:bookmarkStart w:id="2916" w:name="_ETM_Q4_614960"/>
      <w:bookmarkEnd w:id="2916"/>
      <w:r>
        <w:rPr>
          <w:rFonts w:hint="cs"/>
          <w:rtl/>
        </w:rPr>
        <w:t xml:space="preserve">ניקח </w:t>
      </w:r>
      <w:bookmarkStart w:id="2917" w:name="_ETM_Q4_615380"/>
      <w:bookmarkEnd w:id="2917"/>
      <w:r>
        <w:rPr>
          <w:rFonts w:hint="cs"/>
          <w:rtl/>
        </w:rPr>
        <w:t xml:space="preserve">את </w:t>
      </w:r>
      <w:bookmarkStart w:id="2918" w:name="_ETM_Q4_615500"/>
      <w:bookmarkEnd w:id="2918"/>
      <w:r>
        <w:rPr>
          <w:rFonts w:hint="cs"/>
          <w:rtl/>
        </w:rPr>
        <w:t xml:space="preserve">זה </w:t>
      </w:r>
      <w:bookmarkStart w:id="2919" w:name="_ETM_Q4_615650"/>
      <w:bookmarkEnd w:id="2919"/>
      <w:r>
        <w:rPr>
          <w:rFonts w:hint="cs"/>
          <w:rtl/>
        </w:rPr>
        <w:t xml:space="preserve">מהדובר </w:t>
      </w:r>
      <w:bookmarkStart w:id="2920" w:name="_ETM_Q4_616069"/>
      <w:bookmarkEnd w:id="2920"/>
      <w:r>
        <w:rPr>
          <w:rFonts w:hint="cs"/>
          <w:rtl/>
        </w:rPr>
        <w:t xml:space="preserve">הבא, </w:t>
      </w:r>
      <w:bookmarkStart w:id="2921" w:name="_ETM_Q4_616310"/>
      <w:bookmarkEnd w:id="2921"/>
      <w:r>
        <w:rPr>
          <w:rFonts w:hint="cs"/>
          <w:rtl/>
        </w:rPr>
        <w:t>שגם הוא מ</w:t>
      </w:r>
      <w:bookmarkStart w:id="2922" w:name="_ETM_Q4_617720"/>
      <w:bookmarkEnd w:id="2922"/>
      <w:r>
        <w:rPr>
          <w:rFonts w:hint="cs"/>
          <w:rtl/>
        </w:rPr>
        <w:t xml:space="preserve">מפלגת </w:t>
      </w:r>
      <w:bookmarkStart w:id="2923" w:name="_ETM_Q4_618170"/>
      <w:bookmarkEnd w:id="2923"/>
      <w:r>
        <w:rPr>
          <w:rFonts w:hint="cs"/>
          <w:rtl/>
        </w:rPr>
        <w:t xml:space="preserve">יש </w:t>
      </w:r>
      <w:bookmarkStart w:id="2924" w:name="_ETM_Q4_618380"/>
      <w:bookmarkEnd w:id="2924"/>
      <w:r>
        <w:rPr>
          <w:rFonts w:hint="cs"/>
          <w:rtl/>
        </w:rPr>
        <w:t xml:space="preserve">עתיד. </w:t>
      </w:r>
      <w:bookmarkStart w:id="2925" w:name="_ETM_Q4_619980"/>
      <w:bookmarkEnd w:id="2925"/>
      <w:r>
        <w:rPr>
          <w:rFonts w:hint="cs"/>
          <w:rtl/>
        </w:rPr>
        <w:t xml:space="preserve">בבקשה, </w:t>
      </w:r>
      <w:bookmarkStart w:id="2926" w:name="_ETM_Q4_620520"/>
      <w:bookmarkEnd w:id="2926"/>
      <w:r>
        <w:rPr>
          <w:rFonts w:hint="cs"/>
          <w:rtl/>
        </w:rPr>
        <w:t xml:space="preserve">חבר </w:t>
      </w:r>
      <w:bookmarkStart w:id="2927" w:name="_ETM_Q4_620790"/>
      <w:bookmarkEnd w:id="2927"/>
      <w:r>
        <w:rPr>
          <w:rFonts w:hint="cs"/>
          <w:rtl/>
        </w:rPr>
        <w:t xml:space="preserve">הכנסת </w:t>
      </w:r>
      <w:bookmarkStart w:id="2928" w:name="_ETM_Q4_621030"/>
      <w:bookmarkEnd w:id="2928"/>
      <w:r>
        <w:rPr>
          <w:rFonts w:hint="cs"/>
          <w:rtl/>
        </w:rPr>
        <w:t>סגלוביץ'.</w:t>
      </w:r>
    </w:p>
    <w:p w:rsidR="000C5C1F" w:rsidRDefault="000C5C1F" w:rsidP="000C5C1F">
      <w:pPr>
        <w:rPr>
          <w:rtl/>
        </w:rPr>
      </w:pPr>
      <w:bookmarkStart w:id="2929" w:name="_ETM_Q4_620000"/>
      <w:bookmarkEnd w:id="2929"/>
    </w:p>
    <w:p w:rsidR="000C5C1F" w:rsidRDefault="000C5C1F" w:rsidP="000C5C1F">
      <w:pPr>
        <w:pStyle w:val="a5"/>
        <w:keepNext/>
        <w:rPr>
          <w:rtl/>
        </w:rPr>
      </w:pPr>
      <w:bookmarkStart w:id="2930" w:name="ET_speaker_5791_11"/>
      <w:r>
        <w:rPr>
          <w:rStyle w:val="TagStyle"/>
          <w:rFonts w:hint="cs"/>
          <w:rtl/>
        </w:rPr>
        <w:t xml:space="preserve"> &lt;&lt; דובר &gt;&gt; </w:t>
      </w:r>
      <w:bookmarkStart w:id="2931" w:name="_Toc141031415"/>
      <w:bookmarkStart w:id="2932" w:name="_Toc141040454"/>
      <w:bookmarkStart w:id="2933" w:name="_Toc141196863"/>
      <w:bookmarkStart w:id="2934" w:name="_Toc141197127"/>
      <w:r>
        <w:rPr>
          <w:rFonts w:hint="cs"/>
          <w:rtl/>
        </w:rPr>
        <w:t>יואב סגלוביץ' (יש עתיד):</w:t>
      </w:r>
      <w:bookmarkEnd w:id="2931"/>
      <w:bookmarkEnd w:id="2932"/>
      <w:bookmarkEnd w:id="2933"/>
      <w:bookmarkEnd w:id="2934"/>
      <w:r>
        <w:rPr>
          <w:rStyle w:val="TagStyle"/>
          <w:rFonts w:hint="cs"/>
          <w:rtl/>
        </w:rPr>
        <w:t xml:space="preserve"> &lt;&lt; דובר &gt;&gt;</w:t>
      </w:r>
      <w:r>
        <w:rPr>
          <w:rFonts w:hint="cs"/>
          <w:rtl/>
        </w:rPr>
        <w:t xml:space="preserve">   </w:t>
      </w:r>
      <w:bookmarkEnd w:id="2930"/>
    </w:p>
    <w:p w:rsidR="000C5C1F" w:rsidRDefault="000C5C1F" w:rsidP="00337201">
      <w:pPr>
        <w:rPr>
          <w:rtl/>
        </w:rPr>
      </w:pPr>
    </w:p>
    <w:p w:rsidR="000C5C1F" w:rsidRDefault="000C5C1F" w:rsidP="000C5C1F">
      <w:pPr>
        <w:rPr>
          <w:rtl/>
        </w:rPr>
      </w:pPr>
      <w:bookmarkStart w:id="2935" w:name="_ETM_Q4_627000"/>
      <w:bookmarkStart w:id="2936" w:name="_ETM_Q4_621000"/>
      <w:bookmarkStart w:id="2937" w:name="_ETM_Q4_632930"/>
      <w:bookmarkEnd w:id="2935"/>
      <w:bookmarkEnd w:id="2936"/>
      <w:bookmarkEnd w:id="2937"/>
      <w:r>
        <w:rPr>
          <w:rFonts w:hint="cs"/>
          <w:rtl/>
        </w:rPr>
        <w:t xml:space="preserve">אדוני </w:t>
      </w:r>
      <w:bookmarkStart w:id="2938" w:name="_ETM_Q4_633290"/>
      <w:bookmarkEnd w:id="2938"/>
      <w:r>
        <w:rPr>
          <w:rFonts w:hint="cs"/>
          <w:rtl/>
        </w:rPr>
        <w:t>היושב-</w:t>
      </w:r>
      <w:bookmarkStart w:id="2939" w:name="_ETM_Q4_634340"/>
      <w:bookmarkEnd w:id="2939"/>
      <w:r>
        <w:rPr>
          <w:rFonts w:hint="cs"/>
          <w:rtl/>
        </w:rPr>
        <w:t xml:space="preserve">ראש, </w:t>
      </w:r>
      <w:bookmarkStart w:id="2940" w:name="_ETM_Q4_634670"/>
      <w:bookmarkEnd w:id="2940"/>
      <w:r>
        <w:rPr>
          <w:rFonts w:hint="cs"/>
          <w:rtl/>
        </w:rPr>
        <w:t xml:space="preserve">חבריי </w:t>
      </w:r>
      <w:bookmarkStart w:id="2941" w:name="_ETM_Q4_635030"/>
      <w:bookmarkEnd w:id="2941"/>
      <w:r>
        <w:rPr>
          <w:rFonts w:hint="cs"/>
          <w:rtl/>
        </w:rPr>
        <w:t xml:space="preserve">חברי </w:t>
      </w:r>
      <w:bookmarkStart w:id="2942" w:name="_ETM_Q4_635300"/>
      <w:bookmarkEnd w:id="2942"/>
      <w:r>
        <w:rPr>
          <w:rFonts w:hint="cs"/>
          <w:rtl/>
        </w:rPr>
        <w:t xml:space="preserve">הכנסת, </w:t>
      </w:r>
      <w:bookmarkStart w:id="2943" w:name="_ETM_Q4_636680"/>
      <w:bookmarkEnd w:id="2943"/>
      <w:r>
        <w:rPr>
          <w:rFonts w:hint="cs"/>
          <w:rtl/>
        </w:rPr>
        <w:t xml:space="preserve">חוקים </w:t>
      </w:r>
      <w:bookmarkStart w:id="2944" w:name="_ETM_Q4_637189"/>
      <w:bookmarkEnd w:id="2944"/>
      <w:r>
        <w:rPr>
          <w:rFonts w:hint="cs"/>
          <w:rtl/>
        </w:rPr>
        <w:t xml:space="preserve">זה </w:t>
      </w:r>
      <w:bookmarkStart w:id="2945" w:name="_ETM_Q4_637909"/>
      <w:bookmarkEnd w:id="2945"/>
      <w:r>
        <w:rPr>
          <w:rFonts w:hint="cs"/>
          <w:rtl/>
        </w:rPr>
        <w:t xml:space="preserve">תמיד </w:t>
      </w:r>
      <w:bookmarkStart w:id="2946" w:name="_ETM_Q4_638239"/>
      <w:bookmarkEnd w:id="2946"/>
      <w:r>
        <w:rPr>
          <w:rFonts w:hint="cs"/>
          <w:rtl/>
        </w:rPr>
        <w:t xml:space="preserve">נראה </w:t>
      </w:r>
      <w:bookmarkStart w:id="2947" w:name="_ETM_Q4_638450"/>
      <w:bookmarkEnd w:id="2947"/>
      <w:r>
        <w:rPr>
          <w:rFonts w:hint="cs"/>
          <w:rtl/>
        </w:rPr>
        <w:t xml:space="preserve">דבר </w:t>
      </w:r>
      <w:bookmarkStart w:id="2948" w:name="_ETM_Q4_638779"/>
      <w:bookmarkEnd w:id="2948"/>
      <w:r>
        <w:rPr>
          <w:rFonts w:hint="cs"/>
          <w:rtl/>
        </w:rPr>
        <w:t xml:space="preserve">יבש. </w:t>
      </w:r>
      <w:bookmarkStart w:id="2949" w:name="_ETM_Q4_639200"/>
      <w:bookmarkEnd w:id="2949"/>
      <w:r>
        <w:rPr>
          <w:rFonts w:hint="cs"/>
          <w:rtl/>
        </w:rPr>
        <w:t xml:space="preserve">רואים </w:t>
      </w:r>
      <w:bookmarkStart w:id="2950" w:name="_ETM_Q4_639559"/>
      <w:bookmarkEnd w:id="2950"/>
      <w:r>
        <w:rPr>
          <w:rFonts w:hint="cs"/>
          <w:rtl/>
        </w:rPr>
        <w:t xml:space="preserve">פה – </w:t>
      </w:r>
      <w:bookmarkStart w:id="2951" w:name="_ETM_Q4_639739"/>
      <w:bookmarkEnd w:id="2951"/>
      <w:r>
        <w:rPr>
          <w:rFonts w:hint="cs"/>
          <w:rtl/>
        </w:rPr>
        <w:t xml:space="preserve">הצעת </w:t>
      </w:r>
      <w:bookmarkStart w:id="2952" w:name="_ETM_Q4_640159"/>
      <w:bookmarkEnd w:id="2952"/>
      <w:r>
        <w:rPr>
          <w:rFonts w:hint="cs"/>
          <w:rtl/>
        </w:rPr>
        <w:t>חוק-</w:t>
      </w:r>
      <w:bookmarkStart w:id="2953" w:name="_ETM_Q4_640459"/>
      <w:bookmarkEnd w:id="2953"/>
      <w:r>
        <w:rPr>
          <w:rFonts w:hint="cs"/>
          <w:rtl/>
        </w:rPr>
        <w:t xml:space="preserve">היסוד: </w:t>
      </w:r>
      <w:bookmarkStart w:id="2954" w:name="_ETM_Q4_640760"/>
      <w:bookmarkEnd w:id="2954"/>
      <w:r>
        <w:rPr>
          <w:rFonts w:hint="cs"/>
          <w:rtl/>
        </w:rPr>
        <w:t xml:space="preserve">השפיטה </w:t>
      </w:r>
      <w:bookmarkStart w:id="2955" w:name="_ETM_Q4_641329"/>
      <w:bookmarkEnd w:id="2955"/>
      <w:r>
        <w:rPr>
          <w:rFonts w:hint="cs"/>
          <w:rtl/>
        </w:rPr>
        <w:t xml:space="preserve">(תיקון </w:t>
      </w:r>
      <w:bookmarkStart w:id="2956" w:name="_ETM_Q4_641659"/>
      <w:bookmarkEnd w:id="2956"/>
      <w:r>
        <w:rPr>
          <w:rFonts w:hint="cs"/>
          <w:rtl/>
        </w:rPr>
        <w:t>מס'</w:t>
      </w:r>
      <w:bookmarkStart w:id="2957" w:name="_ETM_Q4_642049"/>
      <w:bookmarkEnd w:id="2957"/>
      <w:r>
        <w:rPr>
          <w:rFonts w:hint="cs"/>
          <w:rtl/>
        </w:rPr>
        <w:t xml:space="preserve"> 4). </w:t>
      </w:r>
      <w:bookmarkStart w:id="2958" w:name="_ETM_Q4_643130"/>
      <w:bookmarkEnd w:id="2958"/>
      <w:r>
        <w:rPr>
          <w:rFonts w:hint="cs"/>
          <w:rtl/>
        </w:rPr>
        <w:t xml:space="preserve">מאחורי </w:t>
      </w:r>
      <w:bookmarkStart w:id="2959" w:name="_ETM_Q4_644210"/>
      <w:bookmarkEnd w:id="2959"/>
      <w:r>
        <w:rPr>
          <w:rFonts w:hint="cs"/>
          <w:rtl/>
        </w:rPr>
        <w:t xml:space="preserve">הדבר </w:t>
      </w:r>
      <w:bookmarkStart w:id="2960" w:name="_ETM_Q4_644540"/>
      <w:bookmarkEnd w:id="2960"/>
      <w:r>
        <w:rPr>
          <w:rFonts w:hint="cs"/>
          <w:rtl/>
        </w:rPr>
        <w:t xml:space="preserve">הזה </w:t>
      </w:r>
      <w:bookmarkStart w:id="2961" w:name="_ETM_Q4_646500"/>
      <w:bookmarkEnd w:id="2961"/>
      <w:r>
        <w:rPr>
          <w:rFonts w:hint="cs"/>
          <w:rtl/>
        </w:rPr>
        <w:t xml:space="preserve">יש </w:t>
      </w:r>
      <w:bookmarkStart w:id="2962" w:name="_ETM_Q4_646680"/>
      <w:bookmarkEnd w:id="2962"/>
      <w:r>
        <w:rPr>
          <w:rFonts w:hint="cs"/>
          <w:rtl/>
        </w:rPr>
        <w:t xml:space="preserve">נשמה, </w:t>
      </w:r>
      <w:bookmarkStart w:id="2963" w:name="_ETM_Q4_647280"/>
      <w:bookmarkEnd w:id="2963"/>
      <w:r>
        <w:rPr>
          <w:rFonts w:hint="cs"/>
          <w:rtl/>
        </w:rPr>
        <w:t xml:space="preserve">מאחורי </w:t>
      </w:r>
      <w:bookmarkStart w:id="2964" w:name="_ETM_Q4_647700"/>
      <w:bookmarkEnd w:id="2964"/>
      <w:r>
        <w:rPr>
          <w:rFonts w:hint="cs"/>
          <w:rtl/>
        </w:rPr>
        <w:t xml:space="preserve">חוקים </w:t>
      </w:r>
      <w:bookmarkStart w:id="2965" w:name="_ETM_Q4_648329"/>
      <w:bookmarkEnd w:id="2965"/>
      <w:r>
        <w:rPr>
          <w:rFonts w:hint="cs"/>
          <w:rtl/>
        </w:rPr>
        <w:t xml:space="preserve">יש </w:t>
      </w:r>
      <w:bookmarkStart w:id="2966" w:name="_ETM_Q4_648540"/>
      <w:bookmarkEnd w:id="2966"/>
      <w:r>
        <w:rPr>
          <w:rFonts w:hint="cs"/>
          <w:rtl/>
        </w:rPr>
        <w:t xml:space="preserve">הוויה, </w:t>
      </w:r>
      <w:bookmarkStart w:id="2967" w:name="_ETM_Q4_649019"/>
      <w:bookmarkStart w:id="2968" w:name="_ETM_Q4_649469"/>
      <w:bookmarkEnd w:id="2967"/>
      <w:bookmarkEnd w:id="2968"/>
      <w:r>
        <w:rPr>
          <w:rFonts w:hint="cs"/>
          <w:rtl/>
        </w:rPr>
        <w:t xml:space="preserve">מאחורי חוקים </w:t>
      </w:r>
      <w:bookmarkStart w:id="2969" w:name="_ETM_Q4_651560"/>
      <w:bookmarkEnd w:id="2969"/>
      <w:r>
        <w:rPr>
          <w:rFonts w:hint="cs"/>
          <w:rtl/>
        </w:rPr>
        <w:t xml:space="preserve">נמצאת </w:t>
      </w:r>
      <w:bookmarkStart w:id="2970" w:name="_ETM_Q4_651950"/>
      <w:bookmarkEnd w:id="2970"/>
      <w:r>
        <w:rPr>
          <w:rFonts w:hint="cs"/>
          <w:rtl/>
        </w:rPr>
        <w:t xml:space="preserve">אומה </w:t>
      </w:r>
      <w:bookmarkStart w:id="2971" w:name="_ETM_Q4_652400"/>
      <w:bookmarkEnd w:id="2971"/>
      <w:r>
        <w:rPr>
          <w:rFonts w:hint="cs"/>
          <w:rtl/>
        </w:rPr>
        <w:t xml:space="preserve">שמחליטה </w:t>
      </w:r>
      <w:bookmarkStart w:id="2972" w:name="_ETM_Q4_653120"/>
      <w:bookmarkEnd w:id="2972"/>
      <w:r>
        <w:rPr>
          <w:rFonts w:hint="cs"/>
          <w:rtl/>
        </w:rPr>
        <w:t xml:space="preserve">שזה </w:t>
      </w:r>
      <w:bookmarkStart w:id="2973" w:name="_ETM_Q4_653420"/>
      <w:bookmarkEnd w:id="2973"/>
      <w:r>
        <w:rPr>
          <w:rFonts w:hint="cs"/>
          <w:rtl/>
        </w:rPr>
        <w:t xml:space="preserve">מה </w:t>
      </w:r>
      <w:bookmarkStart w:id="2974" w:name="_ETM_Q4_653510"/>
      <w:bookmarkEnd w:id="2974"/>
      <w:r>
        <w:rPr>
          <w:rFonts w:hint="cs"/>
          <w:rtl/>
        </w:rPr>
        <w:t xml:space="preserve">שהיא </w:t>
      </w:r>
      <w:bookmarkStart w:id="2975" w:name="_ETM_Q4_653659"/>
      <w:bookmarkEnd w:id="2975"/>
      <w:r>
        <w:rPr>
          <w:rFonts w:hint="cs"/>
          <w:rtl/>
        </w:rPr>
        <w:t xml:space="preserve">רוצה </w:t>
      </w:r>
      <w:bookmarkStart w:id="2976" w:name="_ETM_Q4_653959"/>
      <w:bookmarkEnd w:id="2976"/>
      <w:r>
        <w:rPr>
          <w:rFonts w:hint="cs"/>
          <w:rtl/>
        </w:rPr>
        <w:t xml:space="preserve">שיהיה. </w:t>
      </w:r>
      <w:bookmarkStart w:id="2977" w:name="_ETM_Q4_654290"/>
      <w:bookmarkEnd w:id="2977"/>
      <w:r>
        <w:rPr>
          <w:rFonts w:hint="cs"/>
          <w:rtl/>
        </w:rPr>
        <w:t xml:space="preserve">אז </w:t>
      </w:r>
      <w:bookmarkStart w:id="2978" w:name="_ETM_Q4_654379"/>
      <w:bookmarkStart w:id="2979" w:name="_ETM_Q4_655400"/>
      <w:bookmarkEnd w:id="2978"/>
      <w:bookmarkEnd w:id="2979"/>
      <w:r>
        <w:rPr>
          <w:rFonts w:hint="cs"/>
          <w:rtl/>
        </w:rPr>
        <w:t xml:space="preserve">הצעת </w:t>
      </w:r>
      <w:bookmarkStart w:id="2980" w:name="_ETM_Q4_655790"/>
      <w:bookmarkEnd w:id="2980"/>
      <w:r>
        <w:rPr>
          <w:rFonts w:hint="cs"/>
          <w:rtl/>
        </w:rPr>
        <w:t xml:space="preserve">חוק-יסוד: </w:t>
      </w:r>
      <w:bookmarkStart w:id="2981" w:name="_ETM_Q4_656239"/>
      <w:bookmarkEnd w:id="2981"/>
      <w:r>
        <w:rPr>
          <w:rFonts w:hint="cs"/>
          <w:rtl/>
        </w:rPr>
        <w:t xml:space="preserve">השפיטה </w:t>
      </w:r>
      <w:bookmarkStart w:id="2982" w:name="_ETM_Q4_656719"/>
      <w:bookmarkEnd w:id="2982"/>
      <w:r>
        <w:rPr>
          <w:rFonts w:hint="cs"/>
          <w:rtl/>
        </w:rPr>
        <w:t xml:space="preserve">(תיקון </w:t>
      </w:r>
      <w:bookmarkStart w:id="2983" w:name="_ETM_Q4_656989"/>
      <w:bookmarkEnd w:id="2983"/>
      <w:r>
        <w:rPr>
          <w:rFonts w:hint="cs"/>
          <w:rtl/>
        </w:rPr>
        <w:t xml:space="preserve">מס' </w:t>
      </w:r>
      <w:bookmarkStart w:id="2984" w:name="_ETM_Q4_657379"/>
      <w:bookmarkEnd w:id="2984"/>
      <w:r>
        <w:rPr>
          <w:rFonts w:hint="cs"/>
          <w:rtl/>
        </w:rPr>
        <w:t xml:space="preserve">4), </w:t>
      </w:r>
      <w:bookmarkStart w:id="2985" w:name="_ETM_Q4_658324"/>
      <w:bookmarkEnd w:id="2985"/>
      <w:r>
        <w:rPr>
          <w:rFonts w:hint="cs"/>
          <w:rtl/>
        </w:rPr>
        <w:t xml:space="preserve">חוק </w:t>
      </w:r>
      <w:bookmarkStart w:id="2986" w:name="_ETM_Q4_659269"/>
      <w:bookmarkEnd w:id="2986"/>
      <w:r>
        <w:rPr>
          <w:rFonts w:hint="cs"/>
          <w:rtl/>
        </w:rPr>
        <w:t xml:space="preserve">משחית </w:t>
      </w:r>
      <w:bookmarkStart w:id="2987" w:name="_ETM_Q4_659689"/>
      <w:bookmarkEnd w:id="2987"/>
      <w:r>
        <w:rPr>
          <w:rFonts w:hint="cs"/>
          <w:rtl/>
        </w:rPr>
        <w:t xml:space="preserve">מושחת, </w:t>
      </w:r>
      <w:bookmarkStart w:id="2988" w:name="_ETM_Q4_661430"/>
      <w:bookmarkEnd w:id="2988"/>
      <w:r>
        <w:rPr>
          <w:rFonts w:hint="cs"/>
          <w:rtl/>
        </w:rPr>
        <w:t xml:space="preserve">לא </w:t>
      </w:r>
      <w:bookmarkStart w:id="2989" w:name="_ETM_Q4_661730"/>
      <w:bookmarkEnd w:id="2989"/>
      <w:r>
        <w:rPr>
          <w:rFonts w:hint="cs"/>
          <w:rtl/>
        </w:rPr>
        <w:t xml:space="preserve">מידתי, </w:t>
      </w:r>
      <w:bookmarkStart w:id="2990" w:name="_ETM_Q4_662180"/>
      <w:bookmarkEnd w:id="2990"/>
      <w:r>
        <w:rPr>
          <w:rFonts w:hint="cs"/>
          <w:rtl/>
        </w:rPr>
        <w:t xml:space="preserve">לא </w:t>
      </w:r>
      <w:bookmarkStart w:id="2991" w:name="_ETM_Q4_662359"/>
      <w:bookmarkEnd w:id="2991"/>
      <w:r>
        <w:rPr>
          <w:rFonts w:hint="cs"/>
          <w:rtl/>
        </w:rPr>
        <w:t xml:space="preserve">ענייני, </w:t>
      </w:r>
      <w:bookmarkStart w:id="2992" w:name="_ETM_Q4_662750"/>
      <w:bookmarkEnd w:id="2992"/>
      <w:r>
        <w:rPr>
          <w:rFonts w:hint="cs"/>
          <w:rtl/>
        </w:rPr>
        <w:t xml:space="preserve">לא </w:t>
      </w:r>
      <w:bookmarkStart w:id="2993" w:name="_ETM_Q4_662900"/>
      <w:bookmarkEnd w:id="2993"/>
      <w:r>
        <w:rPr>
          <w:rFonts w:hint="cs"/>
          <w:rtl/>
        </w:rPr>
        <w:t xml:space="preserve">מקצועי, </w:t>
      </w:r>
      <w:bookmarkStart w:id="2994" w:name="_ETM_Q4_664150"/>
      <w:bookmarkEnd w:id="2994"/>
      <w:r>
        <w:rPr>
          <w:rFonts w:hint="cs"/>
          <w:rtl/>
        </w:rPr>
        <w:t xml:space="preserve">שכל </w:t>
      </w:r>
      <w:bookmarkStart w:id="2995" w:name="_ETM_Q4_664540"/>
      <w:bookmarkEnd w:id="2995"/>
      <w:r>
        <w:rPr>
          <w:rFonts w:hint="cs"/>
          <w:rtl/>
        </w:rPr>
        <w:t xml:space="preserve">המומחים </w:t>
      </w:r>
      <w:bookmarkStart w:id="2996" w:name="_ETM_Q4_664989"/>
      <w:bookmarkEnd w:id="2996"/>
      <w:r>
        <w:rPr>
          <w:rFonts w:hint="cs"/>
          <w:rtl/>
        </w:rPr>
        <w:t xml:space="preserve">שהגיעו </w:t>
      </w:r>
      <w:r>
        <w:t>–</w:t>
      </w:r>
      <w:r>
        <w:rPr>
          <w:rFonts w:hint="cs"/>
          <w:rtl/>
        </w:rPr>
        <w:t xml:space="preserve"> </w:t>
      </w:r>
      <w:bookmarkStart w:id="2997" w:name="_ETM_Q4_665439"/>
      <w:bookmarkEnd w:id="2997"/>
      <w:r>
        <w:rPr>
          <w:rFonts w:hint="cs"/>
          <w:rtl/>
        </w:rPr>
        <w:t xml:space="preserve">ופה </w:t>
      </w:r>
      <w:bookmarkStart w:id="2998" w:name="_ETM_Q4_665709"/>
      <w:bookmarkEnd w:id="2998"/>
      <w:r>
        <w:rPr>
          <w:rFonts w:hint="cs"/>
          <w:rtl/>
        </w:rPr>
        <w:t xml:space="preserve">צריך </w:t>
      </w:r>
      <w:bookmarkStart w:id="2999" w:name="_ETM_Q4_665889"/>
      <w:bookmarkEnd w:id="2999"/>
      <w:r>
        <w:rPr>
          <w:rFonts w:hint="cs"/>
          <w:rtl/>
        </w:rPr>
        <w:t xml:space="preserve">להגיד </w:t>
      </w:r>
      <w:bookmarkStart w:id="3000" w:name="_ETM_Q4_666099"/>
      <w:bookmarkEnd w:id="3000"/>
      <w:r>
        <w:rPr>
          <w:rFonts w:hint="cs"/>
          <w:rtl/>
        </w:rPr>
        <w:t xml:space="preserve">לחבר </w:t>
      </w:r>
      <w:bookmarkStart w:id="3001" w:name="_ETM_Q4_666430"/>
      <w:bookmarkEnd w:id="3001"/>
      <w:r>
        <w:rPr>
          <w:rFonts w:hint="cs"/>
          <w:rtl/>
        </w:rPr>
        <w:t xml:space="preserve">הכנסת </w:t>
      </w:r>
      <w:bookmarkStart w:id="3002" w:name="_ETM_Q4_666760"/>
      <w:bookmarkEnd w:id="3002"/>
      <w:r>
        <w:rPr>
          <w:rFonts w:hint="cs"/>
          <w:rtl/>
        </w:rPr>
        <w:t xml:space="preserve">רוטמן, </w:t>
      </w:r>
      <w:bookmarkStart w:id="3003" w:name="_ETM_Q4_667090"/>
      <w:bookmarkEnd w:id="3003"/>
      <w:r>
        <w:rPr>
          <w:rFonts w:hint="cs"/>
          <w:rtl/>
        </w:rPr>
        <w:t xml:space="preserve">אני </w:t>
      </w:r>
      <w:bookmarkStart w:id="3004" w:name="_ETM_Q4_667239"/>
      <w:bookmarkEnd w:id="3004"/>
      <w:r>
        <w:rPr>
          <w:rFonts w:hint="cs"/>
          <w:rtl/>
        </w:rPr>
        <w:t xml:space="preserve">הייתי </w:t>
      </w:r>
      <w:bookmarkStart w:id="3005" w:name="_ETM_Q4_667419"/>
      <w:bookmarkEnd w:id="3005"/>
      <w:r>
        <w:rPr>
          <w:rFonts w:hint="cs"/>
          <w:rtl/>
        </w:rPr>
        <w:t xml:space="preserve">איתו </w:t>
      </w:r>
      <w:bookmarkStart w:id="3006" w:name="_ETM_Q4_667569"/>
      <w:bookmarkEnd w:id="3006"/>
      <w:r>
        <w:rPr>
          <w:rFonts w:hint="cs"/>
          <w:rtl/>
        </w:rPr>
        <w:t xml:space="preserve">שם: </w:t>
      </w:r>
      <w:bookmarkStart w:id="3007" w:name="_ETM_Q4_668420"/>
      <w:bookmarkEnd w:id="3007"/>
      <w:r>
        <w:rPr>
          <w:rFonts w:hint="cs"/>
          <w:rtl/>
        </w:rPr>
        <w:t>אף</w:t>
      </w:r>
      <w:bookmarkStart w:id="3008" w:name="_ETM_Q4_668629"/>
      <w:bookmarkEnd w:id="3008"/>
      <w:r>
        <w:rPr>
          <w:rFonts w:hint="cs"/>
          <w:rtl/>
        </w:rPr>
        <w:t xml:space="preserve"> אחד </w:t>
      </w:r>
      <w:bookmarkStart w:id="3009" w:name="_ETM_Q4_668840"/>
      <w:bookmarkEnd w:id="3009"/>
      <w:r>
        <w:rPr>
          <w:rFonts w:hint="cs"/>
          <w:rtl/>
        </w:rPr>
        <w:t xml:space="preserve">לא </w:t>
      </w:r>
      <w:bookmarkStart w:id="3010" w:name="_ETM_Q4_669049"/>
      <w:bookmarkEnd w:id="3010"/>
      <w:r>
        <w:rPr>
          <w:rFonts w:hint="cs"/>
          <w:rtl/>
        </w:rPr>
        <w:t xml:space="preserve">אמר </w:t>
      </w:r>
      <w:bookmarkStart w:id="3011" w:name="_ETM_Q4_669860"/>
      <w:bookmarkEnd w:id="3011"/>
      <w:r>
        <w:rPr>
          <w:rFonts w:hint="cs"/>
          <w:rtl/>
        </w:rPr>
        <w:t xml:space="preserve">שהחוק </w:t>
      </w:r>
      <w:bookmarkStart w:id="3012" w:name="_ETM_Q4_670220"/>
      <w:bookmarkEnd w:id="3012"/>
      <w:r>
        <w:rPr>
          <w:rFonts w:hint="cs"/>
          <w:rtl/>
        </w:rPr>
        <w:t xml:space="preserve">הזה </w:t>
      </w:r>
      <w:bookmarkStart w:id="3013" w:name="_ETM_Q4_670370"/>
      <w:bookmarkEnd w:id="3013"/>
      <w:r>
        <w:rPr>
          <w:rFonts w:hint="cs"/>
          <w:rtl/>
        </w:rPr>
        <w:t xml:space="preserve">שווה </w:t>
      </w:r>
      <w:bookmarkStart w:id="3014" w:name="_ETM_Q4_670670"/>
      <w:bookmarkEnd w:id="3014"/>
      <w:r>
        <w:rPr>
          <w:rFonts w:hint="cs"/>
          <w:rtl/>
        </w:rPr>
        <w:t>משהו</w:t>
      </w:r>
      <w:bookmarkStart w:id="3015" w:name="_ETM_Q4_672050"/>
      <w:bookmarkEnd w:id="3015"/>
      <w:r>
        <w:rPr>
          <w:rFonts w:hint="cs"/>
          <w:rtl/>
        </w:rPr>
        <w:t xml:space="preserve">. </w:t>
      </w:r>
      <w:bookmarkStart w:id="3016" w:name="_ETM_Q4_671000"/>
      <w:bookmarkStart w:id="3017" w:name="_ETM_Q4_672000"/>
      <w:bookmarkEnd w:id="3016"/>
      <w:bookmarkEnd w:id="3017"/>
      <w:r>
        <w:rPr>
          <w:rFonts w:hint="cs"/>
          <w:rtl/>
        </w:rPr>
        <w:t xml:space="preserve">חוק </w:t>
      </w:r>
      <w:bookmarkStart w:id="3018" w:name="_ETM_Q4_672290"/>
      <w:bookmarkEnd w:id="3018"/>
      <w:r>
        <w:rPr>
          <w:rFonts w:hint="cs"/>
          <w:rtl/>
        </w:rPr>
        <w:t xml:space="preserve">של </w:t>
      </w:r>
      <w:bookmarkStart w:id="3019" w:name="_ETM_Q4_672440"/>
      <w:bookmarkEnd w:id="3019"/>
      <w:r>
        <w:rPr>
          <w:rFonts w:hint="cs"/>
          <w:rtl/>
        </w:rPr>
        <w:t xml:space="preserve">שימוש </w:t>
      </w:r>
      <w:bookmarkStart w:id="3020" w:name="_ETM_Q4_672769"/>
      <w:bookmarkEnd w:id="3020"/>
      <w:r>
        <w:rPr>
          <w:rFonts w:hint="cs"/>
          <w:rtl/>
        </w:rPr>
        <w:t>בכוח</w:t>
      </w:r>
      <w:bookmarkStart w:id="3021" w:name="_ETM_Q4_673400"/>
      <w:bookmarkStart w:id="3022" w:name="_ETM_Q4_675000"/>
      <w:bookmarkEnd w:id="3021"/>
      <w:bookmarkEnd w:id="3022"/>
      <w:r>
        <w:rPr>
          <w:rFonts w:hint="cs"/>
          <w:rtl/>
        </w:rPr>
        <w:t xml:space="preserve">, זה </w:t>
      </w:r>
      <w:bookmarkStart w:id="3023" w:name="_ETM_Q4_673580"/>
      <w:bookmarkEnd w:id="3023"/>
      <w:r>
        <w:rPr>
          <w:rFonts w:hint="cs"/>
          <w:rtl/>
        </w:rPr>
        <w:t>החוק</w:t>
      </w:r>
      <w:bookmarkStart w:id="3024" w:name="_ETM_Q4_674930"/>
      <w:bookmarkEnd w:id="3024"/>
      <w:r>
        <w:rPr>
          <w:rFonts w:hint="cs"/>
          <w:rtl/>
        </w:rPr>
        <w:t xml:space="preserve"> וזו </w:t>
      </w:r>
      <w:bookmarkStart w:id="3025" w:name="_ETM_Q4_675200"/>
      <w:bookmarkEnd w:id="3025"/>
      <w:r>
        <w:rPr>
          <w:rFonts w:hint="cs"/>
          <w:rtl/>
        </w:rPr>
        <w:t xml:space="preserve">תכליתו. </w:t>
      </w:r>
      <w:bookmarkStart w:id="3026" w:name="_ETM_Q4_675620"/>
      <w:bookmarkEnd w:id="3026"/>
      <w:r>
        <w:rPr>
          <w:rFonts w:hint="cs"/>
          <w:rtl/>
        </w:rPr>
        <w:t xml:space="preserve">והוא גם </w:t>
      </w:r>
      <w:bookmarkStart w:id="3027" w:name="_ETM_Q4_675860"/>
      <w:bookmarkEnd w:id="3027"/>
      <w:r>
        <w:rPr>
          <w:rFonts w:hint="cs"/>
          <w:rtl/>
        </w:rPr>
        <w:t xml:space="preserve">לא </w:t>
      </w:r>
      <w:bookmarkStart w:id="3028" w:name="_ETM_Q4_675950"/>
      <w:bookmarkEnd w:id="3028"/>
      <w:r>
        <w:rPr>
          <w:rFonts w:hint="cs"/>
          <w:rtl/>
        </w:rPr>
        <w:t xml:space="preserve">עומד </w:t>
      </w:r>
      <w:bookmarkStart w:id="3029" w:name="_ETM_Q4_676160"/>
      <w:bookmarkEnd w:id="3029"/>
      <w:r>
        <w:rPr>
          <w:rFonts w:hint="cs"/>
          <w:rtl/>
        </w:rPr>
        <w:t xml:space="preserve">לבד, </w:t>
      </w:r>
      <w:bookmarkStart w:id="3030" w:name="_ETM_Q4_676520"/>
      <w:bookmarkEnd w:id="3030"/>
      <w:r>
        <w:rPr>
          <w:rFonts w:hint="cs"/>
          <w:rtl/>
        </w:rPr>
        <w:t xml:space="preserve">בואו </w:t>
      </w:r>
      <w:bookmarkStart w:id="3031" w:name="_ETM_Q4_676670"/>
      <w:bookmarkEnd w:id="3031"/>
      <w:r>
        <w:rPr>
          <w:rFonts w:hint="cs"/>
          <w:rtl/>
        </w:rPr>
        <w:t xml:space="preserve">לא </w:t>
      </w:r>
      <w:bookmarkStart w:id="3032" w:name="_ETM_Q4_676790"/>
      <w:bookmarkEnd w:id="3032"/>
      <w:r>
        <w:rPr>
          <w:rFonts w:hint="cs"/>
          <w:rtl/>
        </w:rPr>
        <w:t>ניתמם.</w:t>
      </w:r>
    </w:p>
    <w:p w:rsidR="000C5C1F" w:rsidRDefault="000C5C1F" w:rsidP="000C5C1F">
      <w:pPr>
        <w:rPr>
          <w:rtl/>
        </w:rPr>
      </w:pPr>
      <w:bookmarkStart w:id="3033" w:name="_ETM_Q4_676000"/>
      <w:bookmarkEnd w:id="3033"/>
    </w:p>
    <w:p w:rsidR="000C5C1F" w:rsidRDefault="000C5C1F" w:rsidP="000C5C1F">
      <w:pPr>
        <w:rPr>
          <w:rtl/>
        </w:rPr>
      </w:pPr>
      <w:bookmarkStart w:id="3034" w:name="_ETM_Q4_677000"/>
      <w:bookmarkStart w:id="3035" w:name="_ETM_Q4_678660"/>
      <w:bookmarkEnd w:id="3034"/>
      <w:bookmarkEnd w:id="3035"/>
      <w:r>
        <w:rPr>
          <w:rFonts w:hint="cs"/>
          <w:rtl/>
        </w:rPr>
        <w:t xml:space="preserve">29 </w:t>
      </w:r>
      <w:bookmarkStart w:id="3036" w:name="_ETM_Q4_679395"/>
      <w:bookmarkEnd w:id="3036"/>
      <w:r>
        <w:rPr>
          <w:rFonts w:hint="cs"/>
          <w:rtl/>
        </w:rPr>
        <w:t xml:space="preserve">שבועות </w:t>
      </w:r>
      <w:bookmarkStart w:id="3037" w:name="_ETM_Q4_680959"/>
      <w:bookmarkEnd w:id="3037"/>
      <w:r>
        <w:rPr>
          <w:rFonts w:hint="cs"/>
          <w:rtl/>
        </w:rPr>
        <w:t xml:space="preserve">יוצאים </w:t>
      </w:r>
      <w:bookmarkStart w:id="3038" w:name="_ETM_Q4_681319"/>
      <w:bookmarkEnd w:id="3038"/>
      <w:r>
        <w:rPr>
          <w:rFonts w:hint="cs"/>
          <w:rtl/>
        </w:rPr>
        <w:t xml:space="preserve">מפגינים </w:t>
      </w:r>
      <w:bookmarkStart w:id="3039" w:name="_ETM_Q4_681799"/>
      <w:bookmarkEnd w:id="3039"/>
      <w:r>
        <w:rPr>
          <w:rFonts w:hint="cs"/>
          <w:rtl/>
        </w:rPr>
        <w:t xml:space="preserve">להגיד </w:t>
      </w:r>
      <w:bookmarkStart w:id="3040" w:name="_ETM_Q4_682099"/>
      <w:bookmarkEnd w:id="3040"/>
      <w:r>
        <w:rPr>
          <w:rFonts w:hint="cs"/>
          <w:rtl/>
        </w:rPr>
        <w:t xml:space="preserve">לממשלה: </w:t>
      </w:r>
      <w:bookmarkStart w:id="3041" w:name="_ETM_Q4_682700"/>
      <w:bookmarkEnd w:id="3041"/>
      <w:r>
        <w:rPr>
          <w:rFonts w:hint="cs"/>
          <w:rtl/>
        </w:rPr>
        <w:t xml:space="preserve">עד </w:t>
      </w:r>
      <w:bookmarkStart w:id="3042" w:name="_ETM_Q4_682879"/>
      <w:bookmarkEnd w:id="3042"/>
      <w:r>
        <w:rPr>
          <w:rFonts w:hint="cs"/>
          <w:rtl/>
        </w:rPr>
        <w:t xml:space="preserve">כאן. </w:t>
      </w:r>
      <w:bookmarkStart w:id="3043" w:name="_ETM_Q4_684819"/>
      <w:bookmarkEnd w:id="3043"/>
      <w:r>
        <w:rPr>
          <w:rFonts w:hint="cs"/>
          <w:rtl/>
        </w:rPr>
        <w:t xml:space="preserve">במהלך </w:t>
      </w:r>
      <w:bookmarkStart w:id="3044" w:name="_ETM_Q4_685239"/>
      <w:bookmarkEnd w:id="3044"/>
      <w:r>
        <w:rPr>
          <w:rFonts w:hint="cs"/>
          <w:rtl/>
        </w:rPr>
        <w:t xml:space="preserve">השבוע </w:t>
      </w:r>
      <w:bookmarkStart w:id="3045" w:name="_ETM_Q4_685659"/>
      <w:bookmarkEnd w:id="3045"/>
      <w:r>
        <w:rPr>
          <w:rFonts w:hint="cs"/>
          <w:rtl/>
        </w:rPr>
        <w:t xml:space="preserve">האחרון </w:t>
      </w:r>
      <w:bookmarkStart w:id="3046" w:name="_ETM_Q4_686959"/>
      <w:bookmarkEnd w:id="3046"/>
      <w:r>
        <w:rPr>
          <w:rFonts w:hint="cs"/>
          <w:rtl/>
        </w:rPr>
        <w:t xml:space="preserve">– עלייה </w:t>
      </w:r>
      <w:bookmarkStart w:id="3047" w:name="_ETM_Q4_687290"/>
      <w:bookmarkEnd w:id="3047"/>
      <w:r>
        <w:rPr>
          <w:rFonts w:hint="cs"/>
          <w:rtl/>
        </w:rPr>
        <w:t xml:space="preserve">לרגל </w:t>
      </w:r>
      <w:bookmarkStart w:id="3048" w:name="_ETM_Q4_688219"/>
      <w:bookmarkEnd w:id="3048"/>
      <w:r>
        <w:rPr>
          <w:rFonts w:hint="cs"/>
          <w:rtl/>
        </w:rPr>
        <w:t xml:space="preserve">מודרנית, </w:t>
      </w:r>
      <w:bookmarkStart w:id="3049" w:name="_ETM_Q4_689209"/>
      <w:bookmarkEnd w:id="3049"/>
      <w:r>
        <w:rPr>
          <w:rFonts w:hint="cs"/>
          <w:rtl/>
        </w:rPr>
        <w:t xml:space="preserve">סמלית </w:t>
      </w:r>
      <w:bookmarkStart w:id="3050" w:name="_ETM_Q4_690049"/>
      <w:bookmarkEnd w:id="3050"/>
      <w:r>
        <w:rPr>
          <w:rFonts w:hint="cs"/>
          <w:rtl/>
        </w:rPr>
        <w:t xml:space="preserve">ומתחדשת </w:t>
      </w:r>
      <w:bookmarkStart w:id="3051" w:name="_ETM_Q4_691540"/>
      <w:bookmarkEnd w:id="3051"/>
      <w:r>
        <w:rPr>
          <w:rFonts w:hint="cs"/>
          <w:rtl/>
        </w:rPr>
        <w:t xml:space="preserve">של </w:t>
      </w:r>
      <w:bookmarkStart w:id="3052" w:name="_ETM_Q4_691750"/>
      <w:bookmarkEnd w:id="3052"/>
      <w:r>
        <w:rPr>
          <w:rFonts w:hint="cs"/>
          <w:rtl/>
        </w:rPr>
        <w:t xml:space="preserve">עשרות </w:t>
      </w:r>
      <w:bookmarkStart w:id="3053" w:name="_ETM_Q4_692050"/>
      <w:bookmarkEnd w:id="3053"/>
      <w:r>
        <w:rPr>
          <w:rFonts w:hint="cs"/>
          <w:rtl/>
        </w:rPr>
        <w:t xml:space="preserve">אלפים </w:t>
      </w:r>
      <w:bookmarkStart w:id="3054" w:name="_ETM_Q4_692710"/>
      <w:bookmarkEnd w:id="3054"/>
      <w:r>
        <w:rPr>
          <w:rFonts w:hint="cs"/>
          <w:rtl/>
        </w:rPr>
        <w:t xml:space="preserve">לירושלים; </w:t>
      </w:r>
      <w:bookmarkStart w:id="3055" w:name="_ETM_Q4_694450"/>
      <w:bookmarkEnd w:id="3055"/>
      <w:r>
        <w:rPr>
          <w:rFonts w:hint="cs"/>
          <w:rtl/>
        </w:rPr>
        <w:t xml:space="preserve">הפגנות </w:t>
      </w:r>
      <w:bookmarkStart w:id="3056" w:name="_ETM_Q4_694840"/>
      <w:bookmarkEnd w:id="3056"/>
      <w:r>
        <w:rPr>
          <w:rFonts w:hint="cs"/>
          <w:rtl/>
        </w:rPr>
        <w:t xml:space="preserve">בכל </w:t>
      </w:r>
      <w:bookmarkStart w:id="3057" w:name="_ETM_Q4_695140"/>
      <w:bookmarkEnd w:id="3057"/>
      <w:r>
        <w:rPr>
          <w:rFonts w:hint="cs"/>
          <w:rtl/>
        </w:rPr>
        <w:t xml:space="preserve">רחבי </w:t>
      </w:r>
      <w:bookmarkStart w:id="3058" w:name="_ETM_Q4_695559"/>
      <w:bookmarkEnd w:id="3058"/>
      <w:r>
        <w:rPr>
          <w:rFonts w:hint="cs"/>
          <w:rtl/>
        </w:rPr>
        <w:t xml:space="preserve">הארץ, </w:t>
      </w:r>
      <w:bookmarkStart w:id="3059" w:name="_ETM_Q4_695830"/>
      <w:bookmarkEnd w:id="3059"/>
      <w:r>
        <w:rPr>
          <w:rFonts w:hint="cs"/>
          <w:rtl/>
        </w:rPr>
        <w:t xml:space="preserve">ביותר </w:t>
      </w:r>
      <w:bookmarkStart w:id="3060" w:name="_ETM_Q4_696130"/>
      <w:bookmarkEnd w:id="3060"/>
      <w:r>
        <w:rPr>
          <w:rFonts w:hint="cs"/>
          <w:rtl/>
        </w:rPr>
        <w:t xml:space="preserve">מ-150 </w:t>
      </w:r>
      <w:bookmarkStart w:id="3061" w:name="_ETM_Q4_696820"/>
      <w:bookmarkEnd w:id="3061"/>
      <w:r>
        <w:rPr>
          <w:rFonts w:hint="cs"/>
          <w:rtl/>
        </w:rPr>
        <w:t xml:space="preserve">מוקדים. </w:t>
      </w:r>
      <w:bookmarkStart w:id="3062" w:name="_ETM_Q4_698550"/>
      <w:bookmarkEnd w:id="3062"/>
      <w:r>
        <w:rPr>
          <w:rFonts w:hint="cs"/>
          <w:rtl/>
        </w:rPr>
        <w:t xml:space="preserve">על </w:t>
      </w:r>
      <w:bookmarkStart w:id="3063" w:name="_ETM_Q4_698730"/>
      <w:bookmarkEnd w:id="3063"/>
      <w:r>
        <w:rPr>
          <w:rFonts w:hint="cs"/>
          <w:rtl/>
        </w:rPr>
        <w:t xml:space="preserve">מה </w:t>
      </w:r>
      <w:bookmarkStart w:id="3064" w:name="_ETM_Q4_698849"/>
      <w:bookmarkEnd w:id="3064"/>
      <w:r>
        <w:rPr>
          <w:rFonts w:hint="cs"/>
          <w:rtl/>
        </w:rPr>
        <w:t xml:space="preserve">הם </w:t>
      </w:r>
      <w:bookmarkStart w:id="3065" w:name="_ETM_Q4_698940"/>
      <w:bookmarkEnd w:id="3065"/>
      <w:r>
        <w:rPr>
          <w:rFonts w:hint="cs"/>
          <w:rtl/>
        </w:rPr>
        <w:t xml:space="preserve">יוצאים? </w:t>
      </w:r>
      <w:bookmarkStart w:id="3066" w:name="_ETM_Q4_701159"/>
      <w:bookmarkEnd w:id="3066"/>
      <w:r>
        <w:rPr>
          <w:rFonts w:hint="cs"/>
          <w:rtl/>
        </w:rPr>
        <w:t xml:space="preserve">אני </w:t>
      </w:r>
      <w:bookmarkStart w:id="3067" w:name="_ETM_Q4_701370"/>
      <w:bookmarkEnd w:id="3067"/>
      <w:r>
        <w:rPr>
          <w:rFonts w:hint="cs"/>
          <w:rtl/>
        </w:rPr>
        <w:t xml:space="preserve">אגיד </w:t>
      </w:r>
      <w:bookmarkStart w:id="3068" w:name="_ETM_Q4_701549"/>
      <w:bookmarkEnd w:id="3068"/>
      <w:r>
        <w:rPr>
          <w:rFonts w:hint="cs"/>
          <w:rtl/>
        </w:rPr>
        <w:t xml:space="preserve">לכם </w:t>
      </w:r>
      <w:bookmarkStart w:id="3069" w:name="_ETM_Q4_701819"/>
      <w:bookmarkEnd w:id="3069"/>
      <w:r>
        <w:rPr>
          <w:rFonts w:hint="cs"/>
          <w:rtl/>
        </w:rPr>
        <w:t xml:space="preserve">על </w:t>
      </w:r>
      <w:bookmarkStart w:id="3070" w:name="_ETM_Q4_701909"/>
      <w:bookmarkEnd w:id="3070"/>
      <w:r>
        <w:rPr>
          <w:rFonts w:hint="cs"/>
          <w:rtl/>
        </w:rPr>
        <w:t xml:space="preserve">מה </w:t>
      </w:r>
      <w:bookmarkStart w:id="3071" w:name="_ETM_Q4_702059"/>
      <w:bookmarkEnd w:id="3071"/>
      <w:r>
        <w:rPr>
          <w:rFonts w:hint="cs"/>
          <w:rtl/>
        </w:rPr>
        <w:t xml:space="preserve">הם </w:t>
      </w:r>
      <w:bookmarkStart w:id="3072" w:name="_ETM_Q4_702150"/>
      <w:bookmarkEnd w:id="3072"/>
      <w:r>
        <w:rPr>
          <w:rFonts w:hint="cs"/>
          <w:rtl/>
        </w:rPr>
        <w:t xml:space="preserve">יוצאים, </w:t>
      </w:r>
      <w:bookmarkStart w:id="3073" w:name="_ETM_Q4_703150"/>
      <w:bookmarkEnd w:id="3073"/>
      <w:r>
        <w:rPr>
          <w:rFonts w:hint="cs"/>
          <w:rtl/>
        </w:rPr>
        <w:t xml:space="preserve">וזה </w:t>
      </w:r>
      <w:bookmarkStart w:id="3074" w:name="_ETM_Q4_703480"/>
      <w:bookmarkEnd w:id="3074"/>
      <w:r>
        <w:rPr>
          <w:rFonts w:hint="cs"/>
          <w:rtl/>
        </w:rPr>
        <w:t xml:space="preserve">לא </w:t>
      </w:r>
      <w:bookmarkStart w:id="3075" w:name="_ETM_Q4_703809"/>
      <w:bookmarkEnd w:id="3075"/>
      <w:r>
        <w:rPr>
          <w:rFonts w:hint="cs"/>
          <w:rtl/>
        </w:rPr>
        <w:t xml:space="preserve">קל </w:t>
      </w:r>
      <w:bookmarkStart w:id="3076" w:name="_ETM_Q4_704930"/>
      <w:bookmarkEnd w:id="3076"/>
      <w:r>
        <w:rPr>
          <w:rFonts w:hint="cs"/>
          <w:rtl/>
        </w:rPr>
        <w:t xml:space="preserve">ולא </w:t>
      </w:r>
      <w:bookmarkStart w:id="3077" w:name="_ETM_Q4_705200"/>
      <w:bookmarkEnd w:id="3077"/>
      <w:r>
        <w:rPr>
          <w:rFonts w:hint="cs"/>
          <w:rtl/>
        </w:rPr>
        <w:t xml:space="preserve">פשוט, </w:t>
      </w:r>
      <w:bookmarkStart w:id="3078" w:name="_ETM_Q4_705530"/>
      <w:bookmarkEnd w:id="3078"/>
      <w:r>
        <w:rPr>
          <w:rFonts w:hint="cs"/>
          <w:rtl/>
        </w:rPr>
        <w:t xml:space="preserve">אבל </w:t>
      </w:r>
      <w:bookmarkStart w:id="3079" w:name="_ETM_Q4_705650"/>
      <w:bookmarkEnd w:id="3079"/>
      <w:r>
        <w:rPr>
          <w:rFonts w:hint="cs"/>
          <w:rtl/>
        </w:rPr>
        <w:t xml:space="preserve">בואו </w:t>
      </w:r>
      <w:bookmarkStart w:id="3080" w:name="_ETM_Q4_705800"/>
      <w:bookmarkEnd w:id="3080"/>
      <w:r>
        <w:rPr>
          <w:rFonts w:hint="cs"/>
          <w:rtl/>
        </w:rPr>
        <w:t xml:space="preserve">נסתכל </w:t>
      </w:r>
      <w:bookmarkStart w:id="3081" w:name="_ETM_Q4_706160"/>
      <w:bookmarkEnd w:id="3081"/>
      <w:r>
        <w:rPr>
          <w:rFonts w:hint="cs"/>
          <w:rtl/>
        </w:rPr>
        <w:t xml:space="preserve">קצת </w:t>
      </w:r>
      <w:bookmarkStart w:id="3082" w:name="_ETM_Q4_706400"/>
      <w:bookmarkEnd w:id="3082"/>
      <w:r>
        <w:rPr>
          <w:rFonts w:hint="cs"/>
          <w:rtl/>
        </w:rPr>
        <w:t xml:space="preserve">אחורה. </w:t>
      </w:r>
      <w:bookmarkStart w:id="3083" w:name="_ETM_Q4_707620"/>
      <w:bookmarkEnd w:id="3083"/>
      <w:r>
        <w:rPr>
          <w:rFonts w:hint="cs"/>
          <w:rtl/>
        </w:rPr>
        <w:t xml:space="preserve">בואו </w:t>
      </w:r>
      <w:bookmarkStart w:id="3084" w:name="_ETM_Q4_707890"/>
      <w:bookmarkEnd w:id="3084"/>
      <w:r>
        <w:rPr>
          <w:rFonts w:hint="cs"/>
          <w:rtl/>
        </w:rPr>
        <w:t xml:space="preserve">נלך </w:t>
      </w:r>
      <w:bookmarkStart w:id="3085" w:name="_ETM_Q4_708309"/>
      <w:bookmarkEnd w:id="3085"/>
      <w:r>
        <w:rPr>
          <w:rFonts w:hint="cs"/>
          <w:rtl/>
        </w:rPr>
        <w:t xml:space="preserve">להקמת </w:t>
      </w:r>
      <w:bookmarkStart w:id="3086" w:name="_ETM_Q4_708760"/>
      <w:bookmarkEnd w:id="3086"/>
      <w:r>
        <w:rPr>
          <w:rFonts w:hint="cs"/>
          <w:rtl/>
        </w:rPr>
        <w:t xml:space="preserve">הממשלה. </w:t>
      </w:r>
      <w:bookmarkStart w:id="3087" w:name="_ETM_Q4_710600"/>
      <w:bookmarkEnd w:id="3087"/>
      <w:r>
        <w:rPr>
          <w:rFonts w:hint="cs"/>
          <w:rtl/>
        </w:rPr>
        <w:t xml:space="preserve">כדי להבין </w:t>
      </w:r>
      <w:bookmarkStart w:id="3088" w:name="_ETM_Q4_711050"/>
      <w:bookmarkEnd w:id="3088"/>
      <w:r>
        <w:rPr>
          <w:rFonts w:hint="cs"/>
          <w:rtl/>
        </w:rPr>
        <w:t xml:space="preserve">את </w:t>
      </w:r>
      <w:bookmarkStart w:id="3089" w:name="_ETM_Q4_711200"/>
      <w:bookmarkEnd w:id="3089"/>
      <w:r>
        <w:rPr>
          <w:rFonts w:hint="cs"/>
          <w:rtl/>
        </w:rPr>
        <w:t>ההווה</w:t>
      </w:r>
      <w:bookmarkStart w:id="3090" w:name="_ETM_Q4_712580"/>
      <w:bookmarkEnd w:id="3090"/>
      <w:r>
        <w:rPr>
          <w:rFonts w:hint="cs"/>
          <w:rtl/>
        </w:rPr>
        <w:t xml:space="preserve"> צריך </w:t>
      </w:r>
      <w:bookmarkStart w:id="3091" w:name="_ETM_Q4_712819"/>
      <w:bookmarkEnd w:id="3091"/>
      <w:r>
        <w:rPr>
          <w:rFonts w:hint="cs"/>
          <w:rtl/>
        </w:rPr>
        <w:t xml:space="preserve">ללכת </w:t>
      </w:r>
      <w:bookmarkStart w:id="3092" w:name="_ETM_Q4_713090"/>
      <w:bookmarkEnd w:id="3092"/>
      <w:r>
        <w:rPr>
          <w:rFonts w:hint="cs"/>
          <w:rtl/>
        </w:rPr>
        <w:t xml:space="preserve">למועד </w:t>
      </w:r>
      <w:bookmarkStart w:id="3093" w:name="_ETM_Q4_713540"/>
      <w:bookmarkEnd w:id="3093"/>
      <w:r>
        <w:rPr>
          <w:rFonts w:hint="cs"/>
          <w:rtl/>
        </w:rPr>
        <w:t xml:space="preserve">הזה </w:t>
      </w:r>
      <w:bookmarkStart w:id="3094" w:name="_ETM_Q4_713809"/>
      <w:bookmarkEnd w:id="3094"/>
      <w:r>
        <w:rPr>
          <w:rFonts w:hint="cs"/>
          <w:rtl/>
        </w:rPr>
        <w:t xml:space="preserve">של </w:t>
      </w:r>
      <w:bookmarkStart w:id="3095" w:name="_ETM_Q4_714020"/>
      <w:bookmarkEnd w:id="3095"/>
      <w:r>
        <w:rPr>
          <w:rFonts w:hint="cs"/>
          <w:rtl/>
        </w:rPr>
        <w:t xml:space="preserve">כינון </w:t>
      </w:r>
      <w:bookmarkStart w:id="3096" w:name="_ETM_Q4_714350"/>
      <w:bookmarkEnd w:id="3096"/>
      <w:r>
        <w:rPr>
          <w:rFonts w:hint="cs"/>
          <w:rtl/>
        </w:rPr>
        <w:t xml:space="preserve">הממשלה, </w:t>
      </w:r>
      <w:bookmarkStart w:id="3097" w:name="_ETM_Q4_716319"/>
      <w:bookmarkEnd w:id="3097"/>
      <w:r>
        <w:rPr>
          <w:rFonts w:hint="cs"/>
          <w:rtl/>
        </w:rPr>
        <w:t xml:space="preserve">29 </w:t>
      </w:r>
      <w:bookmarkStart w:id="3098" w:name="_ETM_Q4_716900"/>
      <w:bookmarkEnd w:id="3098"/>
      <w:r>
        <w:rPr>
          <w:rFonts w:hint="cs"/>
          <w:rtl/>
        </w:rPr>
        <w:t>בדצמבר.</w:t>
      </w:r>
      <w:bookmarkStart w:id="3099" w:name="_ETM_Q4_719010"/>
      <w:bookmarkEnd w:id="3099"/>
      <w:r>
        <w:rPr>
          <w:rFonts w:hint="cs"/>
          <w:rtl/>
        </w:rPr>
        <w:t xml:space="preserve"> אתם </w:t>
      </w:r>
      <w:bookmarkStart w:id="3100" w:name="_ETM_Q4_719279"/>
      <w:bookmarkEnd w:id="3100"/>
      <w:r>
        <w:rPr>
          <w:rFonts w:hint="cs"/>
          <w:rtl/>
        </w:rPr>
        <w:t xml:space="preserve">הקמתם </w:t>
      </w:r>
      <w:bookmarkStart w:id="3101" w:name="_ETM_Q4_719669"/>
      <w:bookmarkEnd w:id="3101"/>
      <w:r>
        <w:rPr>
          <w:rFonts w:hint="cs"/>
          <w:rtl/>
        </w:rPr>
        <w:t xml:space="preserve">ממשלה </w:t>
      </w:r>
      <w:bookmarkStart w:id="3102" w:name="_ETM_Q4_720739"/>
      <w:bookmarkEnd w:id="3102"/>
      <w:r>
        <w:rPr>
          <w:rFonts w:hint="cs"/>
          <w:rtl/>
        </w:rPr>
        <w:t xml:space="preserve">שאתם </w:t>
      </w:r>
      <w:bookmarkStart w:id="3103" w:name="_ETM_Q4_721219"/>
      <w:bookmarkEnd w:id="3103"/>
      <w:r>
        <w:rPr>
          <w:rFonts w:hint="cs"/>
          <w:rtl/>
        </w:rPr>
        <w:t xml:space="preserve">קוראים </w:t>
      </w:r>
      <w:bookmarkStart w:id="3104" w:name="_ETM_Q4_721579"/>
      <w:bookmarkEnd w:id="3104"/>
      <w:r>
        <w:rPr>
          <w:rFonts w:hint="cs"/>
          <w:rtl/>
        </w:rPr>
        <w:t xml:space="preserve">לה </w:t>
      </w:r>
      <w:bookmarkStart w:id="3105" w:name="_ETM_Q4_721879"/>
      <w:bookmarkEnd w:id="3105"/>
      <w:r>
        <w:rPr>
          <w:rFonts w:hint="cs"/>
          <w:rtl/>
        </w:rPr>
        <w:t xml:space="preserve">ימין </w:t>
      </w:r>
      <w:bookmarkStart w:id="3106" w:name="_ETM_Q4_722779"/>
      <w:bookmarkEnd w:id="3106"/>
      <w:r>
        <w:rPr>
          <w:rFonts w:hint="cs"/>
          <w:rtl/>
        </w:rPr>
        <w:t xml:space="preserve">על </w:t>
      </w:r>
      <w:bookmarkStart w:id="3107" w:name="_ETM_Q4_722959"/>
      <w:bookmarkEnd w:id="3107"/>
      <w:r>
        <w:rPr>
          <w:rFonts w:hint="cs"/>
          <w:rtl/>
        </w:rPr>
        <w:t xml:space="preserve">מלא, </w:t>
      </w:r>
      <w:bookmarkStart w:id="3108" w:name="_ETM_Q4_725040"/>
      <w:bookmarkEnd w:id="3108"/>
      <w:r>
        <w:rPr>
          <w:rFonts w:hint="cs"/>
          <w:rtl/>
        </w:rPr>
        <w:t xml:space="preserve">אבל </w:t>
      </w:r>
      <w:bookmarkStart w:id="3109" w:name="_ETM_Q4_725309"/>
      <w:bookmarkEnd w:id="3109"/>
      <w:r>
        <w:rPr>
          <w:rFonts w:hint="cs"/>
          <w:rtl/>
        </w:rPr>
        <w:t xml:space="preserve">זאת </w:t>
      </w:r>
      <w:bookmarkStart w:id="3110" w:name="_ETM_Q4_725459"/>
      <w:bookmarkStart w:id="3111" w:name="_ETM_Q4_725910"/>
      <w:bookmarkEnd w:id="3110"/>
      <w:bookmarkEnd w:id="3111"/>
      <w:r>
        <w:rPr>
          <w:rFonts w:hint="cs"/>
          <w:rtl/>
        </w:rPr>
        <w:t xml:space="preserve">ממשלה </w:t>
      </w:r>
      <w:bookmarkStart w:id="3112" w:name="_ETM_Q4_726390"/>
      <w:bookmarkEnd w:id="3112"/>
      <w:r>
        <w:rPr>
          <w:rFonts w:hint="cs"/>
          <w:rtl/>
        </w:rPr>
        <w:t xml:space="preserve">שיש </w:t>
      </w:r>
      <w:bookmarkStart w:id="3113" w:name="_ETM_Q4_726599"/>
      <w:bookmarkEnd w:id="3113"/>
      <w:r>
        <w:rPr>
          <w:rFonts w:hint="cs"/>
          <w:rtl/>
        </w:rPr>
        <w:t xml:space="preserve">בה </w:t>
      </w:r>
      <w:bookmarkStart w:id="3114" w:name="_ETM_Q4_726750"/>
      <w:bookmarkEnd w:id="3114"/>
      <w:r>
        <w:rPr>
          <w:rFonts w:hint="cs"/>
          <w:rtl/>
        </w:rPr>
        <w:t xml:space="preserve">מרכיבים </w:t>
      </w:r>
      <w:bookmarkStart w:id="3115" w:name="_ETM_Q4_727470"/>
      <w:bookmarkEnd w:id="3115"/>
      <w:r>
        <w:rPr>
          <w:rFonts w:hint="cs"/>
          <w:rtl/>
        </w:rPr>
        <w:t xml:space="preserve">גזעניים, </w:t>
      </w:r>
      <w:bookmarkStart w:id="3116" w:name="_ETM_Q4_728819"/>
      <w:bookmarkEnd w:id="3116"/>
      <w:r>
        <w:rPr>
          <w:rFonts w:hint="cs"/>
          <w:rtl/>
        </w:rPr>
        <w:t xml:space="preserve">לאומניים, </w:t>
      </w:r>
      <w:bookmarkStart w:id="3117" w:name="_ETM_Q4_730170"/>
      <w:bookmarkEnd w:id="3117"/>
      <w:r>
        <w:rPr>
          <w:rFonts w:hint="cs"/>
          <w:rtl/>
        </w:rPr>
        <w:t>הומופוביים</w:t>
      </w:r>
      <w:bookmarkStart w:id="3118" w:name="_ETM_Q4_730830"/>
      <w:bookmarkEnd w:id="3118"/>
      <w:r>
        <w:rPr>
          <w:rFonts w:hint="cs"/>
          <w:rtl/>
        </w:rPr>
        <w:t xml:space="preserve"> </w:t>
      </w:r>
      <w:bookmarkStart w:id="3119" w:name="_ETM_Q4_730890"/>
      <w:bookmarkEnd w:id="3119"/>
      <w:r>
        <w:rPr>
          <w:rFonts w:hint="cs"/>
          <w:rtl/>
        </w:rPr>
        <w:t xml:space="preserve">קשים, </w:t>
      </w:r>
      <w:bookmarkStart w:id="3120" w:name="_ETM_Q4_732300"/>
      <w:bookmarkEnd w:id="3120"/>
      <w:r>
        <w:rPr>
          <w:rFonts w:hint="cs"/>
          <w:rtl/>
        </w:rPr>
        <w:t xml:space="preserve">תוך </w:t>
      </w:r>
      <w:bookmarkStart w:id="3121" w:name="_ETM_Q4_732540"/>
      <w:bookmarkEnd w:id="3121"/>
      <w:r>
        <w:rPr>
          <w:rFonts w:hint="cs"/>
          <w:rtl/>
        </w:rPr>
        <w:t xml:space="preserve">ביטול </w:t>
      </w:r>
      <w:bookmarkStart w:id="3122" w:name="_ETM_Q4_733059"/>
      <w:bookmarkEnd w:id="3122"/>
      <w:r>
        <w:rPr>
          <w:rFonts w:hint="cs"/>
          <w:rtl/>
        </w:rPr>
        <w:t xml:space="preserve">והתבטלות </w:t>
      </w:r>
      <w:bookmarkStart w:id="3123" w:name="_ETM_Q4_733780"/>
      <w:bookmarkEnd w:id="3123"/>
      <w:r>
        <w:rPr>
          <w:rFonts w:hint="cs"/>
          <w:rtl/>
        </w:rPr>
        <w:t xml:space="preserve">של </w:t>
      </w:r>
      <w:bookmarkStart w:id="3124" w:name="_ETM_Q4_733900"/>
      <w:bookmarkEnd w:id="3124"/>
      <w:r>
        <w:rPr>
          <w:rFonts w:hint="cs"/>
          <w:rtl/>
        </w:rPr>
        <w:t xml:space="preserve">המרכיב </w:t>
      </w:r>
      <w:bookmarkStart w:id="3125" w:name="_ETM_Q4_734290"/>
      <w:bookmarkEnd w:id="3125"/>
      <w:r>
        <w:rPr>
          <w:rFonts w:hint="cs"/>
          <w:rtl/>
        </w:rPr>
        <w:t xml:space="preserve">הליברלי. </w:t>
      </w:r>
      <w:bookmarkStart w:id="3126" w:name="_ETM_Q4_735189"/>
      <w:bookmarkEnd w:id="3126"/>
      <w:r>
        <w:rPr>
          <w:rFonts w:hint="cs"/>
          <w:rtl/>
        </w:rPr>
        <w:t xml:space="preserve">ביטול </w:t>
      </w:r>
      <w:bookmarkStart w:id="3127" w:name="_ETM_Q4_735640"/>
      <w:bookmarkEnd w:id="3127"/>
      <w:r>
        <w:rPr>
          <w:rFonts w:hint="cs"/>
          <w:rtl/>
        </w:rPr>
        <w:t xml:space="preserve">והתבטלות. </w:t>
      </w:r>
      <w:bookmarkStart w:id="3128" w:name="_ETM_Q4_737309"/>
      <w:bookmarkStart w:id="3129" w:name="_ETM_Q4_736000"/>
      <w:bookmarkStart w:id="3130" w:name="_ETM_Q4_737460"/>
      <w:bookmarkEnd w:id="3128"/>
      <w:bookmarkEnd w:id="3129"/>
      <w:bookmarkEnd w:id="3130"/>
      <w:r>
        <w:rPr>
          <w:rFonts w:hint="cs"/>
          <w:rtl/>
        </w:rPr>
        <w:t xml:space="preserve">חברי </w:t>
      </w:r>
      <w:bookmarkStart w:id="3131" w:name="_ETM_Q4_737849"/>
      <w:bookmarkEnd w:id="3131"/>
      <w:r>
        <w:rPr>
          <w:rFonts w:hint="cs"/>
          <w:rtl/>
        </w:rPr>
        <w:t xml:space="preserve">כנסת </w:t>
      </w:r>
      <w:bookmarkStart w:id="3132" w:name="_ETM_Q4_738419"/>
      <w:bookmarkEnd w:id="3132"/>
      <w:r>
        <w:rPr>
          <w:rFonts w:hint="cs"/>
          <w:rtl/>
        </w:rPr>
        <w:t xml:space="preserve">ושרים </w:t>
      </w:r>
      <w:bookmarkStart w:id="3133" w:name="_ETM_Q4_739050"/>
      <w:bookmarkEnd w:id="3133"/>
      <w:r>
        <w:rPr>
          <w:rFonts w:hint="cs"/>
          <w:rtl/>
        </w:rPr>
        <w:t xml:space="preserve">פה דבוקים </w:t>
      </w:r>
      <w:bookmarkStart w:id="3134" w:name="_ETM_Q4_739469"/>
      <w:bookmarkEnd w:id="3134"/>
      <w:r>
        <w:rPr>
          <w:rFonts w:hint="cs"/>
          <w:rtl/>
        </w:rPr>
        <w:t xml:space="preserve">לקיר. </w:t>
      </w:r>
      <w:bookmarkStart w:id="3135" w:name="_ETM_Q4_740530"/>
      <w:bookmarkEnd w:id="3135"/>
      <w:r>
        <w:rPr>
          <w:rFonts w:hint="cs"/>
          <w:rtl/>
        </w:rPr>
        <w:t xml:space="preserve">אני </w:t>
      </w:r>
      <w:bookmarkStart w:id="3136" w:name="_ETM_Q4_740740"/>
      <w:bookmarkEnd w:id="3136"/>
      <w:r>
        <w:rPr>
          <w:rFonts w:hint="cs"/>
          <w:rtl/>
        </w:rPr>
        <w:t xml:space="preserve">רואה </w:t>
      </w:r>
      <w:bookmarkStart w:id="3137" w:name="_ETM_Q4_740889"/>
      <w:bookmarkEnd w:id="3137"/>
      <w:r>
        <w:rPr>
          <w:rFonts w:hint="cs"/>
          <w:rtl/>
        </w:rPr>
        <w:t xml:space="preserve">את </w:t>
      </w:r>
      <w:bookmarkStart w:id="3138" w:name="_ETM_Q4_740949"/>
      <w:bookmarkEnd w:id="3138"/>
      <w:r>
        <w:rPr>
          <w:rFonts w:hint="cs"/>
          <w:rtl/>
        </w:rPr>
        <w:t xml:space="preserve">אבי </w:t>
      </w:r>
      <w:bookmarkStart w:id="3139" w:name="_ETM_Q4_741160"/>
      <w:bookmarkEnd w:id="3139"/>
      <w:r>
        <w:rPr>
          <w:rFonts w:hint="cs"/>
          <w:rtl/>
        </w:rPr>
        <w:t xml:space="preserve">דיכטר, </w:t>
      </w:r>
      <w:bookmarkStart w:id="3140" w:name="_ETM_Q4_742110"/>
      <w:bookmarkEnd w:id="3140"/>
      <w:r>
        <w:rPr>
          <w:rFonts w:hint="cs"/>
          <w:rtl/>
        </w:rPr>
        <w:t xml:space="preserve">שרואה </w:t>
      </w:r>
      <w:bookmarkStart w:id="3141" w:name="_ETM_Q4_742499"/>
      <w:bookmarkEnd w:id="3141"/>
      <w:r>
        <w:rPr>
          <w:rFonts w:hint="cs"/>
          <w:rtl/>
        </w:rPr>
        <w:t xml:space="preserve">שעל </w:t>
      </w:r>
      <w:bookmarkStart w:id="3142" w:name="_ETM_Q4_742559"/>
      <w:bookmarkEnd w:id="3142"/>
      <w:r>
        <w:rPr>
          <w:rFonts w:hint="cs"/>
          <w:rtl/>
        </w:rPr>
        <w:t xml:space="preserve">כיסאו </w:t>
      </w:r>
      <w:bookmarkStart w:id="3143" w:name="_ETM_Q4_742919"/>
      <w:bookmarkEnd w:id="3143"/>
      <w:r>
        <w:rPr>
          <w:rFonts w:hint="cs"/>
          <w:rtl/>
        </w:rPr>
        <w:t xml:space="preserve">יושב </w:t>
      </w:r>
      <w:bookmarkStart w:id="3144" w:name="_ETM_Q4_743159"/>
      <w:bookmarkEnd w:id="3144"/>
      <w:r>
        <w:rPr>
          <w:rFonts w:hint="cs"/>
          <w:rtl/>
        </w:rPr>
        <w:t xml:space="preserve">השר </w:t>
      </w:r>
      <w:bookmarkStart w:id="3145" w:name="_ETM_Q4_743429"/>
      <w:bookmarkEnd w:id="3145"/>
      <w:r>
        <w:rPr>
          <w:rFonts w:hint="cs"/>
          <w:rtl/>
        </w:rPr>
        <w:t>לביטחון</w:t>
      </w:r>
      <w:bookmarkStart w:id="3146" w:name="_ETM_Q4_744660"/>
      <w:bookmarkStart w:id="3147" w:name="_ETM_Q4_747000"/>
      <w:bookmarkEnd w:id="3146"/>
      <w:bookmarkEnd w:id="3147"/>
      <w:r>
        <w:rPr>
          <w:rFonts w:hint="cs"/>
          <w:rtl/>
        </w:rPr>
        <w:t xml:space="preserve"> </w:t>
      </w:r>
      <w:r>
        <w:t>–</w:t>
      </w:r>
      <w:r>
        <w:rPr>
          <w:rtl/>
        </w:rPr>
        <w:t xml:space="preserve"> </w:t>
      </w:r>
      <w:r>
        <w:rPr>
          <w:rFonts w:hint="cs"/>
          <w:rtl/>
        </w:rPr>
        <w:t xml:space="preserve">היום </w:t>
      </w:r>
      <w:bookmarkStart w:id="3148" w:name="_ETM_Q4_744990"/>
      <w:bookmarkEnd w:id="3148"/>
      <w:r>
        <w:rPr>
          <w:rFonts w:hint="cs"/>
          <w:rtl/>
        </w:rPr>
        <w:t xml:space="preserve">ביטחון </w:t>
      </w:r>
      <w:bookmarkStart w:id="3149" w:name="_ETM_Q4_745410"/>
      <w:bookmarkEnd w:id="3149"/>
      <w:r>
        <w:rPr>
          <w:rFonts w:hint="cs"/>
          <w:rtl/>
        </w:rPr>
        <w:t xml:space="preserve">לאומי. </w:t>
      </w:r>
      <w:bookmarkStart w:id="3150" w:name="_ETM_Q4_745920"/>
      <w:bookmarkEnd w:id="3150"/>
      <w:r>
        <w:rPr>
          <w:rFonts w:hint="cs"/>
          <w:rtl/>
        </w:rPr>
        <w:t xml:space="preserve">מה </w:t>
      </w:r>
      <w:bookmarkStart w:id="3151" w:name="_ETM_Q4_746130"/>
      <w:bookmarkEnd w:id="3151"/>
      <w:r>
        <w:rPr>
          <w:rFonts w:hint="cs"/>
          <w:rtl/>
        </w:rPr>
        <w:t xml:space="preserve">הוא </w:t>
      </w:r>
      <w:bookmarkStart w:id="3152" w:name="_ETM_Q4_746220"/>
      <w:bookmarkEnd w:id="3152"/>
      <w:r>
        <w:rPr>
          <w:rFonts w:hint="cs"/>
          <w:rtl/>
        </w:rPr>
        <w:t xml:space="preserve">חושב? </w:t>
      </w:r>
      <w:bookmarkStart w:id="3153" w:name="_ETM_Q4_748590"/>
      <w:bookmarkEnd w:id="3153"/>
      <w:r>
        <w:rPr>
          <w:rFonts w:hint="cs"/>
          <w:rtl/>
        </w:rPr>
        <w:t xml:space="preserve">אני </w:t>
      </w:r>
      <w:bookmarkStart w:id="3154" w:name="_ETM_Q4_748830"/>
      <w:bookmarkEnd w:id="3154"/>
      <w:r>
        <w:rPr>
          <w:rFonts w:hint="cs"/>
          <w:rtl/>
        </w:rPr>
        <w:t xml:space="preserve">לא </w:t>
      </w:r>
      <w:bookmarkStart w:id="3155" w:name="_ETM_Q4_748949"/>
      <w:bookmarkEnd w:id="3155"/>
      <w:r>
        <w:rPr>
          <w:rFonts w:hint="cs"/>
          <w:rtl/>
        </w:rPr>
        <w:t xml:space="preserve">יודע </w:t>
      </w:r>
      <w:bookmarkStart w:id="3156" w:name="_ETM_Q4_749159"/>
      <w:bookmarkEnd w:id="3156"/>
      <w:r>
        <w:rPr>
          <w:rFonts w:hint="cs"/>
          <w:rtl/>
        </w:rPr>
        <w:t xml:space="preserve">מה </w:t>
      </w:r>
      <w:bookmarkStart w:id="3157" w:name="_ETM_Q4_749280"/>
      <w:bookmarkEnd w:id="3157"/>
      <w:r>
        <w:rPr>
          <w:rFonts w:hint="cs"/>
          <w:rtl/>
        </w:rPr>
        <w:t xml:space="preserve">הוא </w:t>
      </w:r>
      <w:bookmarkStart w:id="3158" w:name="_ETM_Q4_749400"/>
      <w:bookmarkEnd w:id="3158"/>
      <w:r>
        <w:rPr>
          <w:rFonts w:hint="cs"/>
          <w:rtl/>
        </w:rPr>
        <w:t xml:space="preserve">חושב, </w:t>
      </w:r>
      <w:bookmarkStart w:id="3159" w:name="_ETM_Q4_749759"/>
      <w:bookmarkEnd w:id="3159"/>
      <w:r>
        <w:rPr>
          <w:rFonts w:hint="cs"/>
          <w:rtl/>
        </w:rPr>
        <w:t xml:space="preserve">אני </w:t>
      </w:r>
      <w:bookmarkStart w:id="3160" w:name="_ETM_Q4_749849"/>
      <w:bookmarkEnd w:id="3160"/>
      <w:r>
        <w:rPr>
          <w:rFonts w:hint="cs"/>
          <w:rtl/>
        </w:rPr>
        <w:t xml:space="preserve">יודע </w:t>
      </w:r>
      <w:bookmarkStart w:id="3161" w:name="_ETM_Q4_750000"/>
      <w:bookmarkEnd w:id="3161"/>
      <w:r>
        <w:rPr>
          <w:rFonts w:hint="cs"/>
          <w:rtl/>
        </w:rPr>
        <w:t xml:space="preserve">מה </w:t>
      </w:r>
      <w:bookmarkStart w:id="3162" w:name="_ETM_Q4_750120"/>
      <w:bookmarkEnd w:id="3162"/>
      <w:r>
        <w:rPr>
          <w:rFonts w:hint="cs"/>
          <w:rtl/>
        </w:rPr>
        <w:t xml:space="preserve">הוא </w:t>
      </w:r>
      <w:bookmarkStart w:id="3163" w:name="_ETM_Q4_750210"/>
      <w:bookmarkEnd w:id="3163"/>
      <w:r>
        <w:rPr>
          <w:rFonts w:hint="cs"/>
          <w:rtl/>
        </w:rPr>
        <w:t xml:space="preserve">עושה </w:t>
      </w:r>
      <w:bookmarkStart w:id="3164" w:name="_ETM_Q4_751400"/>
      <w:bookmarkEnd w:id="3164"/>
      <w:r>
        <w:rPr>
          <w:rFonts w:hint="cs"/>
          <w:rtl/>
        </w:rPr>
        <w:t xml:space="preserve">– הוא </w:t>
      </w:r>
      <w:bookmarkStart w:id="3165" w:name="_ETM_Q4_751520"/>
      <w:bookmarkEnd w:id="3165"/>
      <w:r>
        <w:rPr>
          <w:rFonts w:hint="cs"/>
          <w:rtl/>
        </w:rPr>
        <w:t xml:space="preserve">לא </w:t>
      </w:r>
      <w:bookmarkStart w:id="3166" w:name="_ETM_Q4_751610"/>
      <w:bookmarkEnd w:id="3166"/>
      <w:r>
        <w:rPr>
          <w:rFonts w:hint="cs"/>
          <w:rtl/>
        </w:rPr>
        <w:t xml:space="preserve">עושה </w:t>
      </w:r>
      <w:bookmarkStart w:id="3167" w:name="_ETM_Q4_751790"/>
      <w:bookmarkEnd w:id="3167"/>
      <w:r>
        <w:rPr>
          <w:rFonts w:hint="cs"/>
          <w:rtl/>
        </w:rPr>
        <w:t xml:space="preserve">כלום. </w:t>
      </w:r>
      <w:bookmarkStart w:id="3168" w:name="_ETM_Q4_753000"/>
      <w:bookmarkEnd w:id="3168"/>
      <w:r>
        <w:rPr>
          <w:rFonts w:hint="cs"/>
          <w:rtl/>
        </w:rPr>
        <w:t xml:space="preserve">ואני </w:t>
      </w:r>
      <w:bookmarkStart w:id="3169" w:name="_ETM_Q4_753240"/>
      <w:bookmarkEnd w:id="3169"/>
      <w:r>
        <w:rPr>
          <w:rFonts w:hint="cs"/>
          <w:rtl/>
        </w:rPr>
        <w:t xml:space="preserve">רואה </w:t>
      </w:r>
      <w:bookmarkStart w:id="3170" w:name="_ETM_Q4_753330"/>
      <w:bookmarkEnd w:id="3170"/>
      <w:r>
        <w:rPr>
          <w:rFonts w:hint="cs"/>
          <w:rtl/>
        </w:rPr>
        <w:t xml:space="preserve">את </w:t>
      </w:r>
      <w:bookmarkStart w:id="3171" w:name="_ETM_Q4_753389"/>
      <w:bookmarkEnd w:id="3171"/>
      <w:r>
        <w:rPr>
          <w:rFonts w:hint="cs"/>
          <w:rtl/>
        </w:rPr>
        <w:t xml:space="preserve">ניר </w:t>
      </w:r>
      <w:bookmarkStart w:id="3172" w:name="_ETM_Q4_753569"/>
      <w:bookmarkEnd w:id="3172"/>
      <w:r>
        <w:rPr>
          <w:rFonts w:hint="cs"/>
          <w:rtl/>
        </w:rPr>
        <w:t>ברקת</w:t>
      </w:r>
      <w:bookmarkStart w:id="3173" w:name="_ETM_Q4_754990"/>
      <w:bookmarkEnd w:id="3173"/>
      <w:r>
        <w:rPr>
          <w:rFonts w:hint="cs"/>
          <w:rtl/>
        </w:rPr>
        <w:t xml:space="preserve"> יושב </w:t>
      </w:r>
      <w:bookmarkStart w:id="3174" w:name="_ETM_Q4_755349"/>
      <w:bookmarkEnd w:id="3174"/>
      <w:r>
        <w:rPr>
          <w:rFonts w:hint="cs"/>
          <w:rtl/>
        </w:rPr>
        <w:t xml:space="preserve">פה </w:t>
      </w:r>
      <w:bookmarkStart w:id="3175" w:name="_ETM_Q4_756679"/>
      <w:bookmarkEnd w:id="3175"/>
      <w:r>
        <w:rPr>
          <w:rFonts w:hint="cs"/>
          <w:rtl/>
        </w:rPr>
        <w:t xml:space="preserve">ורואה </w:t>
      </w:r>
      <w:bookmarkStart w:id="3176" w:name="_ETM_Q4_757040"/>
      <w:bookmarkEnd w:id="3176"/>
      <w:r>
        <w:rPr>
          <w:rFonts w:hint="cs"/>
          <w:rtl/>
        </w:rPr>
        <w:t xml:space="preserve">את </w:t>
      </w:r>
      <w:bookmarkStart w:id="3177" w:name="_ETM_Q4_757100"/>
      <w:bookmarkEnd w:id="3177"/>
      <w:r>
        <w:rPr>
          <w:rFonts w:hint="cs"/>
          <w:rtl/>
        </w:rPr>
        <w:t xml:space="preserve">שר </w:t>
      </w:r>
      <w:bookmarkStart w:id="3178" w:name="_ETM_Q4_757340"/>
      <w:bookmarkEnd w:id="3178"/>
      <w:r>
        <w:rPr>
          <w:rFonts w:hint="cs"/>
          <w:rtl/>
        </w:rPr>
        <w:t xml:space="preserve">האוצר, </w:t>
      </w:r>
      <w:bookmarkStart w:id="3179" w:name="_ETM_Q4_758120"/>
      <w:bookmarkEnd w:id="3179"/>
      <w:r>
        <w:rPr>
          <w:rFonts w:hint="cs"/>
          <w:rtl/>
        </w:rPr>
        <w:t xml:space="preserve">ושומע </w:t>
      </w:r>
      <w:bookmarkStart w:id="3180" w:name="_ETM_Q4_758690"/>
      <w:bookmarkEnd w:id="3180"/>
      <w:r>
        <w:rPr>
          <w:rFonts w:hint="cs"/>
          <w:rtl/>
        </w:rPr>
        <w:t xml:space="preserve">שהוא </w:t>
      </w:r>
      <w:bookmarkStart w:id="3181" w:name="_ETM_Q4_758809"/>
      <w:bookmarkEnd w:id="3181"/>
      <w:r>
        <w:rPr>
          <w:rFonts w:hint="cs"/>
          <w:rtl/>
        </w:rPr>
        <w:t xml:space="preserve">אומר </w:t>
      </w:r>
      <w:bookmarkStart w:id="3182" w:name="_ETM_Q4_758960"/>
      <w:bookmarkEnd w:id="3182"/>
      <w:r>
        <w:rPr>
          <w:rFonts w:hint="cs"/>
          <w:rtl/>
        </w:rPr>
        <w:t xml:space="preserve">לשרוף </w:t>
      </w:r>
      <w:bookmarkStart w:id="3183" w:name="_ETM_Q4_759320"/>
      <w:bookmarkEnd w:id="3183"/>
      <w:r>
        <w:rPr>
          <w:rFonts w:hint="cs"/>
          <w:rtl/>
        </w:rPr>
        <w:t xml:space="preserve">את </w:t>
      </w:r>
      <w:bookmarkStart w:id="3184" w:name="_ETM_Q4_759410"/>
      <w:bookmarkEnd w:id="3184"/>
      <w:r>
        <w:rPr>
          <w:rFonts w:hint="cs"/>
          <w:rtl/>
        </w:rPr>
        <w:t xml:space="preserve">חווארה. </w:t>
      </w:r>
      <w:bookmarkStart w:id="3185" w:name="_ETM_Q4_759830"/>
      <w:bookmarkStart w:id="3186" w:name="TOR_Q5"/>
      <w:bookmarkEnd w:id="3185"/>
      <w:bookmarkEnd w:id="3186"/>
      <w:r>
        <w:rPr>
          <w:rFonts w:hint="cs"/>
          <w:rtl/>
        </w:rPr>
        <w:t xml:space="preserve">ומה </w:t>
      </w:r>
      <w:bookmarkStart w:id="3187" w:name="_ETM_Q4_760100"/>
      <w:bookmarkEnd w:id="3187"/>
      <w:r>
        <w:rPr>
          <w:rFonts w:hint="cs"/>
          <w:rtl/>
        </w:rPr>
        <w:t xml:space="preserve">הוא </w:t>
      </w:r>
      <w:bookmarkStart w:id="3188" w:name="_ETM_Q4_760220"/>
      <w:bookmarkEnd w:id="3188"/>
      <w:r>
        <w:rPr>
          <w:rFonts w:hint="cs"/>
          <w:rtl/>
        </w:rPr>
        <w:t xml:space="preserve">עושה? </w:t>
      </w:r>
      <w:bookmarkStart w:id="3189" w:name="_ETM_Q4_762250"/>
      <w:bookmarkEnd w:id="3189"/>
      <w:r>
        <w:rPr>
          <w:rFonts w:hint="cs"/>
          <w:rtl/>
        </w:rPr>
        <w:t>כלום</w:t>
      </w:r>
      <w:bookmarkStart w:id="3190" w:name="_ETM_Q4_764020"/>
      <w:bookmarkEnd w:id="3190"/>
      <w:r>
        <w:rPr>
          <w:rFonts w:hint="cs"/>
          <w:rtl/>
        </w:rPr>
        <w:t xml:space="preserve"> ושום </w:t>
      </w:r>
      <w:bookmarkStart w:id="3191" w:name="_ETM_Q4_764319"/>
      <w:bookmarkEnd w:id="3191"/>
      <w:r>
        <w:rPr>
          <w:rFonts w:hint="cs"/>
          <w:rtl/>
        </w:rPr>
        <w:t xml:space="preserve">דבר. </w:t>
      </w:r>
      <w:bookmarkStart w:id="3192" w:name="_ETM_Q4_765460"/>
      <w:bookmarkEnd w:id="3192"/>
      <w:r>
        <w:rPr>
          <w:rFonts w:hint="cs"/>
          <w:rtl/>
        </w:rPr>
        <w:t xml:space="preserve">ואותו </w:t>
      </w:r>
      <w:bookmarkStart w:id="3193" w:name="_ETM_Q4_765729"/>
      <w:bookmarkEnd w:id="3193"/>
      <w:r>
        <w:rPr>
          <w:rFonts w:hint="cs"/>
          <w:rtl/>
        </w:rPr>
        <w:t xml:space="preserve">דבר </w:t>
      </w:r>
      <w:bookmarkStart w:id="3194" w:name="_ETM_Q4_765970"/>
      <w:bookmarkEnd w:id="3194"/>
      <w:r>
        <w:rPr>
          <w:rFonts w:hint="cs"/>
          <w:rtl/>
        </w:rPr>
        <w:t xml:space="preserve">ישראל </w:t>
      </w:r>
      <w:bookmarkStart w:id="3195" w:name="_ETM_Q4_766330"/>
      <w:bookmarkEnd w:id="3195"/>
      <w:r>
        <w:rPr>
          <w:rFonts w:hint="cs"/>
          <w:rtl/>
        </w:rPr>
        <w:t xml:space="preserve">כץ, </w:t>
      </w:r>
      <w:bookmarkStart w:id="3196" w:name="_ETM_Q4_767199"/>
      <w:bookmarkEnd w:id="3196"/>
      <w:r>
        <w:rPr>
          <w:rFonts w:hint="cs"/>
          <w:rtl/>
        </w:rPr>
        <w:t xml:space="preserve">ואותו </w:t>
      </w:r>
      <w:bookmarkStart w:id="3197" w:name="_ETM_Q4_767500"/>
      <w:bookmarkEnd w:id="3197"/>
      <w:r>
        <w:rPr>
          <w:rFonts w:hint="cs"/>
          <w:rtl/>
        </w:rPr>
        <w:t xml:space="preserve">דבר </w:t>
      </w:r>
      <w:bookmarkStart w:id="3198" w:name="_ETM_Q4_767770"/>
      <w:bookmarkEnd w:id="3198"/>
      <w:r>
        <w:rPr>
          <w:rFonts w:hint="cs"/>
          <w:rtl/>
        </w:rPr>
        <w:t xml:space="preserve">גם </w:t>
      </w:r>
      <w:bookmarkStart w:id="3199" w:name="_ETM_Q4_767919"/>
      <w:bookmarkEnd w:id="3199"/>
      <w:r>
        <w:rPr>
          <w:rFonts w:hint="cs"/>
          <w:rtl/>
        </w:rPr>
        <w:t xml:space="preserve">אתה, </w:t>
      </w:r>
      <w:bookmarkStart w:id="3200" w:name="_ETM_Q4_768130"/>
      <w:bookmarkEnd w:id="3200"/>
      <w:r>
        <w:rPr>
          <w:rFonts w:hint="cs"/>
          <w:rtl/>
        </w:rPr>
        <w:t xml:space="preserve">אדוני </w:t>
      </w:r>
      <w:bookmarkStart w:id="3201" w:name="_ETM_Q4_768400"/>
      <w:bookmarkEnd w:id="3201"/>
      <w:r>
        <w:rPr>
          <w:rFonts w:hint="cs"/>
          <w:rtl/>
        </w:rPr>
        <w:t xml:space="preserve">היושב-ראש </w:t>
      </w:r>
      <w:r>
        <w:t>–</w:t>
      </w:r>
      <w:r>
        <w:rPr>
          <w:rFonts w:hint="cs"/>
          <w:rtl/>
        </w:rPr>
        <w:t xml:space="preserve"> </w:t>
      </w:r>
      <w:bookmarkStart w:id="3202" w:name="_ETM_Q4_769360"/>
      <w:bookmarkEnd w:id="3202"/>
      <w:r>
        <w:rPr>
          <w:rFonts w:hint="cs"/>
          <w:rtl/>
        </w:rPr>
        <w:t xml:space="preserve">כלום </w:t>
      </w:r>
      <w:bookmarkStart w:id="3203" w:name="_ETM_Q4_770169"/>
      <w:bookmarkEnd w:id="3203"/>
      <w:r>
        <w:rPr>
          <w:rFonts w:hint="cs"/>
          <w:rtl/>
        </w:rPr>
        <w:t xml:space="preserve">ושום </w:t>
      </w:r>
      <w:bookmarkStart w:id="3204" w:name="_ETM_Q4_770500"/>
      <w:bookmarkEnd w:id="3204"/>
      <w:r>
        <w:rPr>
          <w:rFonts w:hint="cs"/>
          <w:rtl/>
        </w:rPr>
        <w:t>דבר.</w:t>
      </w:r>
      <w:bookmarkStart w:id="3205" w:name="_ETM_Q5_168000"/>
      <w:bookmarkStart w:id="3206" w:name="_ETM_Q4_771580"/>
      <w:bookmarkEnd w:id="3205"/>
      <w:bookmarkEnd w:id="3206"/>
      <w:r>
        <w:rPr>
          <w:rFonts w:hint="cs"/>
          <w:rtl/>
        </w:rPr>
        <w:t xml:space="preserve"> אתם </w:t>
      </w:r>
      <w:bookmarkStart w:id="3207" w:name="_ETM_Q4_771849"/>
      <w:bookmarkEnd w:id="3207"/>
      <w:r>
        <w:rPr>
          <w:rFonts w:hint="cs"/>
          <w:rtl/>
        </w:rPr>
        <w:t xml:space="preserve">הקמתם </w:t>
      </w:r>
      <w:bookmarkStart w:id="3208" w:name="_ETM_Q4_772240"/>
      <w:bookmarkEnd w:id="3208"/>
      <w:r>
        <w:rPr>
          <w:rFonts w:hint="cs"/>
          <w:rtl/>
        </w:rPr>
        <w:t xml:space="preserve">ממשלה </w:t>
      </w:r>
      <w:bookmarkStart w:id="3209" w:name="_ETM_Q4_773020"/>
      <w:bookmarkEnd w:id="3209"/>
      <w:r>
        <w:rPr>
          <w:rFonts w:hint="cs"/>
          <w:rtl/>
        </w:rPr>
        <w:t>גזענית</w:t>
      </w:r>
      <w:bookmarkStart w:id="3210" w:name="_ETM_Q4_773949"/>
      <w:bookmarkEnd w:id="3210"/>
      <w:r>
        <w:rPr>
          <w:rFonts w:hint="cs"/>
          <w:rtl/>
        </w:rPr>
        <w:t xml:space="preserve">, הומופובית, </w:t>
      </w:r>
      <w:bookmarkStart w:id="3211" w:name="_ETM_Q4_774699"/>
      <w:bookmarkEnd w:id="3211"/>
      <w:r>
        <w:rPr>
          <w:rFonts w:hint="cs"/>
          <w:rtl/>
        </w:rPr>
        <w:t xml:space="preserve">קיצונית, </w:t>
      </w:r>
      <w:bookmarkStart w:id="3212" w:name="_ETM_Q4_776730"/>
      <w:bookmarkEnd w:id="3212"/>
      <w:r>
        <w:rPr>
          <w:rFonts w:hint="cs"/>
          <w:rtl/>
        </w:rPr>
        <w:t xml:space="preserve">הקמתם </w:t>
      </w:r>
      <w:bookmarkStart w:id="3213" w:name="_ETM_Q4_777090"/>
      <w:bookmarkEnd w:id="3213"/>
      <w:r>
        <w:rPr>
          <w:rFonts w:hint="cs"/>
          <w:rtl/>
        </w:rPr>
        <w:t xml:space="preserve">אותה </w:t>
      </w:r>
      <w:bookmarkStart w:id="3214" w:name="_ETM_Q4_777210"/>
      <w:bookmarkEnd w:id="3214"/>
      <w:r>
        <w:rPr>
          <w:rFonts w:hint="cs"/>
          <w:rtl/>
        </w:rPr>
        <w:t xml:space="preserve">על סמך </w:t>
      </w:r>
      <w:bookmarkStart w:id="3215" w:name="_ETM_Q4_778000"/>
      <w:bookmarkEnd w:id="3215"/>
      <w:r>
        <w:rPr>
          <w:rFonts w:hint="cs"/>
          <w:rtl/>
        </w:rPr>
        <w:t xml:space="preserve">הסכמים </w:t>
      </w:r>
      <w:bookmarkStart w:id="3216" w:name="_ETM_Q4_778389"/>
      <w:bookmarkEnd w:id="3216"/>
      <w:r>
        <w:rPr>
          <w:rFonts w:hint="cs"/>
          <w:rtl/>
        </w:rPr>
        <w:t xml:space="preserve">קואליציוניים, </w:t>
      </w:r>
      <w:bookmarkStart w:id="3217" w:name="_ETM_Q4_780350"/>
      <w:bookmarkEnd w:id="3217"/>
      <w:r>
        <w:rPr>
          <w:rFonts w:hint="cs"/>
          <w:rtl/>
        </w:rPr>
        <w:t xml:space="preserve">בואו </w:t>
      </w:r>
      <w:bookmarkStart w:id="3218" w:name="_ETM_Q4_780620"/>
      <w:bookmarkEnd w:id="3218"/>
      <w:r>
        <w:rPr>
          <w:rFonts w:hint="cs"/>
          <w:rtl/>
        </w:rPr>
        <w:t xml:space="preserve">ניזכר, </w:t>
      </w:r>
      <w:bookmarkStart w:id="3219" w:name="_ETM_Q5_69000"/>
      <w:bookmarkStart w:id="3220" w:name="_ETM_Q5_180329"/>
      <w:bookmarkStart w:id="3221" w:name="_ETM_Q5_181560"/>
      <w:bookmarkEnd w:id="3219"/>
      <w:bookmarkEnd w:id="3220"/>
      <w:bookmarkEnd w:id="3221"/>
      <w:r>
        <w:rPr>
          <w:rFonts w:hint="cs"/>
          <w:rtl/>
        </w:rPr>
        <w:t xml:space="preserve">כי </w:t>
      </w:r>
      <w:bookmarkStart w:id="3222" w:name="_ETM_Q5_181710"/>
      <w:bookmarkEnd w:id="3222"/>
      <w:r>
        <w:rPr>
          <w:rFonts w:hint="cs"/>
          <w:rtl/>
        </w:rPr>
        <w:t xml:space="preserve">זה </w:t>
      </w:r>
      <w:bookmarkStart w:id="3223" w:name="_ETM_Q5_181859"/>
      <w:bookmarkEnd w:id="3223"/>
      <w:r>
        <w:rPr>
          <w:rFonts w:hint="cs"/>
          <w:rtl/>
        </w:rPr>
        <w:t xml:space="preserve">לא </w:t>
      </w:r>
      <w:bookmarkStart w:id="3224" w:name="_ETM_Q5_181980"/>
      <w:bookmarkEnd w:id="3224"/>
      <w:r>
        <w:rPr>
          <w:rFonts w:hint="cs"/>
          <w:rtl/>
        </w:rPr>
        <w:t xml:space="preserve">נולד </w:t>
      </w:r>
      <w:bookmarkStart w:id="3225" w:name="_ETM_Q5_182279"/>
      <w:bookmarkEnd w:id="3225"/>
      <w:r>
        <w:rPr>
          <w:rFonts w:hint="cs"/>
          <w:rtl/>
        </w:rPr>
        <w:t xml:space="preserve">סתם, אותה </w:t>
      </w:r>
      <w:bookmarkStart w:id="3226" w:name="_ETM_Q5_182610"/>
      <w:bookmarkStart w:id="3227" w:name="_ETM_Q5_182940"/>
      <w:bookmarkEnd w:id="3226"/>
      <w:bookmarkEnd w:id="3227"/>
      <w:r>
        <w:rPr>
          <w:rFonts w:hint="cs"/>
          <w:rtl/>
        </w:rPr>
        <w:t xml:space="preserve">מהפכה </w:t>
      </w:r>
      <w:bookmarkStart w:id="3228" w:name="_ETM_Q5_183389"/>
      <w:bookmarkEnd w:id="3228"/>
      <w:r>
        <w:rPr>
          <w:rFonts w:hint="cs"/>
          <w:rtl/>
        </w:rPr>
        <w:t xml:space="preserve">משטרית, </w:t>
      </w:r>
      <w:bookmarkStart w:id="3229" w:name="_ETM_Q5_184440"/>
      <w:bookmarkEnd w:id="3229"/>
      <w:r>
        <w:rPr>
          <w:rFonts w:hint="cs"/>
          <w:rtl/>
        </w:rPr>
        <w:t xml:space="preserve">הם </w:t>
      </w:r>
      <w:bookmarkStart w:id="3230" w:name="_ETM_Q5_184620"/>
      <w:bookmarkEnd w:id="3230"/>
      <w:r>
        <w:rPr>
          <w:rFonts w:hint="cs"/>
          <w:rtl/>
        </w:rPr>
        <w:t xml:space="preserve">באו </w:t>
      </w:r>
      <w:bookmarkStart w:id="3231" w:name="_ETM_Q5_184799"/>
      <w:bookmarkEnd w:id="3231"/>
      <w:r>
        <w:rPr>
          <w:rFonts w:hint="cs"/>
          <w:rtl/>
        </w:rPr>
        <w:t xml:space="preserve">לממש </w:t>
      </w:r>
      <w:bookmarkStart w:id="3232" w:name="_ETM_Q5_185279"/>
      <w:bookmarkEnd w:id="3232"/>
      <w:r>
        <w:rPr>
          <w:rFonts w:hint="cs"/>
          <w:rtl/>
        </w:rPr>
        <w:t xml:space="preserve">אותה. </w:t>
      </w:r>
      <w:bookmarkStart w:id="3233" w:name="_ETM_Q5_186680"/>
      <w:bookmarkEnd w:id="3233"/>
    </w:p>
    <w:p w:rsidR="000C5C1F" w:rsidRDefault="000C5C1F" w:rsidP="00337201">
      <w:pPr>
        <w:rPr>
          <w:rtl/>
        </w:rPr>
      </w:pPr>
    </w:p>
    <w:p w:rsidR="000C5C1F" w:rsidRDefault="000C5C1F" w:rsidP="00337201">
      <w:pPr>
        <w:rPr>
          <w:rtl/>
        </w:rPr>
      </w:pPr>
      <w:r>
        <w:rPr>
          <w:rFonts w:hint="cs"/>
          <w:rtl/>
        </w:rPr>
        <w:t xml:space="preserve">בואו </w:t>
      </w:r>
      <w:bookmarkStart w:id="3234" w:name="_ETM_Q5_186890"/>
      <w:bookmarkEnd w:id="3234"/>
      <w:r>
        <w:rPr>
          <w:rFonts w:hint="cs"/>
          <w:rtl/>
        </w:rPr>
        <w:t xml:space="preserve">נראה </w:t>
      </w:r>
      <w:bookmarkStart w:id="3235" w:name="_ETM_Q5_187070"/>
      <w:bookmarkEnd w:id="3235"/>
      <w:r>
        <w:rPr>
          <w:rFonts w:hint="cs"/>
          <w:rtl/>
        </w:rPr>
        <w:t xml:space="preserve">את </w:t>
      </w:r>
      <w:bookmarkStart w:id="3236" w:name="_ETM_Q5_187130"/>
      <w:bookmarkStart w:id="3237" w:name="_ETM_Q5_195201"/>
      <w:bookmarkStart w:id="3238" w:name="_ETM_Q5_195406"/>
      <w:bookmarkEnd w:id="3236"/>
      <w:r>
        <w:rPr>
          <w:rFonts w:hint="cs"/>
          <w:rtl/>
        </w:rPr>
        <w:t>תיקון</w:t>
      </w:r>
      <w:bookmarkEnd w:id="3237"/>
      <w:bookmarkEnd w:id="3238"/>
      <w:r>
        <w:rPr>
          <w:rFonts w:hint="cs"/>
          <w:rtl/>
        </w:rPr>
        <w:t xml:space="preserve"> </w:t>
      </w:r>
      <w:bookmarkStart w:id="3239" w:name="_ETM_Q5_187400"/>
      <w:bookmarkEnd w:id="3239"/>
      <w:r>
        <w:rPr>
          <w:rFonts w:hint="cs"/>
          <w:rtl/>
        </w:rPr>
        <w:t xml:space="preserve">פקודת </w:t>
      </w:r>
      <w:bookmarkStart w:id="3240" w:name="_ETM_Q5_187730"/>
      <w:bookmarkEnd w:id="3240"/>
      <w:r>
        <w:rPr>
          <w:rFonts w:hint="cs"/>
          <w:rtl/>
        </w:rPr>
        <w:t xml:space="preserve">המשטרה. </w:t>
      </w:r>
      <w:bookmarkStart w:id="3241" w:name="_ETM_Q5_189410"/>
      <w:bookmarkEnd w:id="3241"/>
      <w:r>
        <w:rPr>
          <w:rFonts w:hint="cs"/>
          <w:rtl/>
        </w:rPr>
        <w:t xml:space="preserve">היושב-ראש, </w:t>
      </w:r>
      <w:bookmarkStart w:id="3242" w:name="_ETM_Q5_189950"/>
      <w:bookmarkEnd w:id="3242"/>
      <w:r>
        <w:rPr>
          <w:rFonts w:hint="cs"/>
          <w:rtl/>
        </w:rPr>
        <w:t xml:space="preserve">היית </w:t>
      </w:r>
      <w:bookmarkStart w:id="3243" w:name="_ETM_Q5_190190"/>
      <w:bookmarkEnd w:id="3243"/>
      <w:r>
        <w:rPr>
          <w:rFonts w:hint="cs"/>
          <w:rtl/>
        </w:rPr>
        <w:t>השר</w:t>
      </w:r>
      <w:bookmarkStart w:id="3244" w:name="_ETM_Q5_190969"/>
      <w:bookmarkEnd w:id="3244"/>
      <w:r>
        <w:rPr>
          <w:rFonts w:hint="cs"/>
          <w:rtl/>
        </w:rPr>
        <w:t xml:space="preserve"> לביטחון </w:t>
      </w:r>
      <w:bookmarkStart w:id="3245" w:name="_ETM_Q5_191449"/>
      <w:bookmarkEnd w:id="3245"/>
      <w:r>
        <w:rPr>
          <w:rFonts w:hint="cs"/>
          <w:rtl/>
        </w:rPr>
        <w:t xml:space="preserve">פנים </w:t>
      </w:r>
      <w:bookmarkStart w:id="3246" w:name="_ETM_Q5_191749"/>
      <w:bookmarkEnd w:id="3246"/>
      <w:r>
        <w:rPr>
          <w:rFonts w:hint="cs"/>
          <w:rtl/>
        </w:rPr>
        <w:t xml:space="preserve">דאז. </w:t>
      </w:r>
      <w:bookmarkStart w:id="3247" w:name="_ETM_Q5_192960"/>
      <w:bookmarkEnd w:id="3247"/>
      <w:r>
        <w:rPr>
          <w:rFonts w:hint="cs"/>
          <w:rtl/>
        </w:rPr>
        <w:t xml:space="preserve">הייתה </w:t>
      </w:r>
      <w:bookmarkStart w:id="3248" w:name="_ETM_Q5_193200"/>
      <w:bookmarkEnd w:id="3248"/>
      <w:r>
        <w:rPr>
          <w:rFonts w:hint="cs"/>
          <w:rtl/>
        </w:rPr>
        <w:t xml:space="preserve">לך </w:t>
      </w:r>
      <w:bookmarkStart w:id="3249" w:name="_ETM_Q5_193410"/>
      <w:bookmarkEnd w:id="3249"/>
      <w:r>
        <w:rPr>
          <w:rFonts w:hint="cs"/>
          <w:rtl/>
        </w:rPr>
        <w:t xml:space="preserve">בעיה </w:t>
      </w:r>
      <w:bookmarkStart w:id="3250" w:name="_ETM_Q5_193650"/>
      <w:bookmarkEnd w:id="3250"/>
      <w:r>
        <w:rPr>
          <w:rFonts w:hint="cs"/>
          <w:rtl/>
        </w:rPr>
        <w:t xml:space="preserve">ליישם </w:t>
      </w:r>
      <w:bookmarkStart w:id="3251" w:name="_ETM_Q5_194010"/>
      <w:bookmarkEnd w:id="3251"/>
      <w:r>
        <w:rPr>
          <w:rFonts w:hint="cs"/>
          <w:rtl/>
        </w:rPr>
        <w:t xml:space="preserve">מדיניות? </w:t>
      </w:r>
      <w:bookmarkStart w:id="3252" w:name="_ETM_Q5_194850"/>
      <w:bookmarkEnd w:id="3252"/>
      <w:r>
        <w:rPr>
          <w:rFonts w:hint="cs"/>
          <w:rtl/>
        </w:rPr>
        <w:t xml:space="preserve">אני </w:t>
      </w:r>
      <w:bookmarkStart w:id="3253" w:name="_ETM_Q5_195059"/>
      <w:bookmarkEnd w:id="3253"/>
      <w:r>
        <w:rPr>
          <w:rFonts w:hint="cs"/>
          <w:rtl/>
        </w:rPr>
        <w:t xml:space="preserve">יודע </w:t>
      </w:r>
      <w:bookmarkStart w:id="3254" w:name="_ETM_Q5_195300"/>
      <w:bookmarkEnd w:id="3254"/>
      <w:r>
        <w:rPr>
          <w:rFonts w:hint="cs"/>
          <w:rtl/>
        </w:rPr>
        <w:t xml:space="preserve">שלא, </w:t>
      </w:r>
      <w:bookmarkStart w:id="3255" w:name="_ETM_Q5_196060"/>
      <w:bookmarkEnd w:id="3255"/>
      <w:r>
        <w:rPr>
          <w:rFonts w:hint="cs"/>
          <w:rtl/>
        </w:rPr>
        <w:t xml:space="preserve">גם </w:t>
      </w:r>
      <w:bookmarkStart w:id="3256" w:name="_ETM_Q5_196360"/>
      <w:bookmarkEnd w:id="3256"/>
      <w:r>
        <w:rPr>
          <w:rFonts w:hint="cs"/>
          <w:rtl/>
        </w:rPr>
        <w:t xml:space="preserve">אם </w:t>
      </w:r>
      <w:bookmarkStart w:id="3257" w:name="_ETM_Q5_196510"/>
      <w:bookmarkEnd w:id="3257"/>
      <w:r>
        <w:rPr>
          <w:rFonts w:hint="cs"/>
          <w:rtl/>
        </w:rPr>
        <w:t xml:space="preserve">בינינו </w:t>
      </w:r>
      <w:bookmarkStart w:id="3258" w:name="_ETM_Q5_196869"/>
      <w:bookmarkEnd w:id="3258"/>
      <w:r>
        <w:rPr>
          <w:rFonts w:hint="cs"/>
          <w:rtl/>
        </w:rPr>
        <w:t xml:space="preserve">יכלו </w:t>
      </w:r>
      <w:bookmarkStart w:id="3259" w:name="_ETM_Q5_197260"/>
      <w:bookmarkEnd w:id="3259"/>
      <w:r>
        <w:rPr>
          <w:rFonts w:hint="cs"/>
          <w:rtl/>
        </w:rPr>
        <w:t xml:space="preserve">להיות מחלוקות </w:t>
      </w:r>
      <w:bookmarkStart w:id="3260" w:name="_ETM_Q5_197829"/>
      <w:bookmarkEnd w:id="3260"/>
      <w:r>
        <w:rPr>
          <w:rFonts w:hint="cs"/>
          <w:rtl/>
        </w:rPr>
        <w:t xml:space="preserve">כבעלי </w:t>
      </w:r>
      <w:bookmarkStart w:id="3261" w:name="_ETM_Q5_198190"/>
      <w:bookmarkEnd w:id="3261"/>
      <w:r>
        <w:rPr>
          <w:rFonts w:hint="cs"/>
          <w:rtl/>
        </w:rPr>
        <w:t xml:space="preserve">מקצוע </w:t>
      </w:r>
      <w:bookmarkStart w:id="3262" w:name="_ETM_Q5_198880"/>
      <w:bookmarkEnd w:id="3262"/>
      <w:r>
        <w:rPr>
          <w:rFonts w:hint="cs"/>
          <w:rtl/>
        </w:rPr>
        <w:t xml:space="preserve">או </w:t>
      </w:r>
      <w:bookmarkStart w:id="3263" w:name="_ETM_Q5_198970"/>
      <w:bookmarkEnd w:id="3263"/>
      <w:r>
        <w:rPr>
          <w:rFonts w:hint="cs"/>
          <w:rtl/>
        </w:rPr>
        <w:t xml:space="preserve">כפוליטיקאים. </w:t>
      </w:r>
      <w:bookmarkStart w:id="3264" w:name="_ETM_Q5_200020"/>
      <w:bookmarkEnd w:id="3264"/>
      <w:r>
        <w:rPr>
          <w:rFonts w:hint="cs"/>
          <w:rtl/>
        </w:rPr>
        <w:t xml:space="preserve">הייתה </w:t>
      </w:r>
      <w:bookmarkStart w:id="3265" w:name="_ETM_Q5_200170"/>
      <w:bookmarkEnd w:id="3265"/>
      <w:r>
        <w:rPr>
          <w:rFonts w:hint="cs"/>
          <w:rtl/>
        </w:rPr>
        <w:t xml:space="preserve">לך </w:t>
      </w:r>
      <w:bookmarkStart w:id="3266" w:name="_ETM_Q5_200380"/>
      <w:bookmarkEnd w:id="3266"/>
      <w:r>
        <w:rPr>
          <w:rFonts w:hint="cs"/>
          <w:rtl/>
        </w:rPr>
        <w:t xml:space="preserve">בעיה </w:t>
      </w:r>
      <w:bookmarkStart w:id="3267" w:name="_ETM_Q5_200560"/>
      <w:bookmarkEnd w:id="3267"/>
      <w:r>
        <w:rPr>
          <w:rFonts w:hint="cs"/>
          <w:rtl/>
        </w:rPr>
        <w:t xml:space="preserve">ליישם </w:t>
      </w:r>
      <w:bookmarkStart w:id="3268" w:name="_ETM_Q5_200800"/>
      <w:bookmarkEnd w:id="3268"/>
      <w:r>
        <w:rPr>
          <w:rFonts w:hint="cs"/>
          <w:rtl/>
        </w:rPr>
        <w:t xml:space="preserve">מדיניות? </w:t>
      </w:r>
      <w:bookmarkStart w:id="3269" w:name="_ETM_Q5_201100"/>
      <w:bookmarkEnd w:id="3269"/>
      <w:r>
        <w:rPr>
          <w:rFonts w:hint="cs"/>
          <w:rtl/>
        </w:rPr>
        <w:t xml:space="preserve">לא. </w:t>
      </w:r>
      <w:bookmarkStart w:id="3270" w:name="_ETM_Q5_200000"/>
      <w:bookmarkStart w:id="3271" w:name="_ETM_Q5_201000"/>
      <w:bookmarkStart w:id="3272" w:name="_ETM_Q5_201940"/>
      <w:bookmarkEnd w:id="3270"/>
      <w:bookmarkEnd w:id="3271"/>
      <w:bookmarkEnd w:id="3272"/>
      <w:r>
        <w:rPr>
          <w:rFonts w:hint="cs"/>
          <w:rtl/>
        </w:rPr>
        <w:t xml:space="preserve">השר </w:t>
      </w:r>
      <w:bookmarkStart w:id="3273" w:name="_ETM_Q5_202750"/>
      <w:bookmarkEnd w:id="3273"/>
      <w:r>
        <w:rPr>
          <w:rFonts w:hint="cs"/>
          <w:rtl/>
        </w:rPr>
        <w:t xml:space="preserve">לביטחון </w:t>
      </w:r>
      <w:bookmarkStart w:id="3274" w:name="_ETM_Q5_203439"/>
      <w:bookmarkEnd w:id="3274"/>
      <w:r>
        <w:rPr>
          <w:rFonts w:hint="cs"/>
          <w:rtl/>
        </w:rPr>
        <w:t xml:space="preserve">לאומי </w:t>
      </w:r>
      <w:bookmarkStart w:id="3275" w:name="_ETM_Q5_203890"/>
      <w:bookmarkEnd w:id="3275"/>
      <w:r>
        <w:rPr>
          <w:rFonts w:hint="cs"/>
          <w:rtl/>
        </w:rPr>
        <w:t xml:space="preserve">או </w:t>
      </w:r>
      <w:bookmarkStart w:id="3276" w:name="_ETM_Q5_204010"/>
      <w:bookmarkEnd w:id="3276"/>
      <w:r>
        <w:rPr>
          <w:rFonts w:hint="cs"/>
          <w:rtl/>
        </w:rPr>
        <w:t xml:space="preserve">לביטחון </w:t>
      </w:r>
      <w:bookmarkStart w:id="3277" w:name="_ETM_Q5_204520"/>
      <w:bookmarkEnd w:id="3277"/>
      <w:r>
        <w:rPr>
          <w:rFonts w:hint="cs"/>
          <w:rtl/>
        </w:rPr>
        <w:t xml:space="preserve">כלום </w:t>
      </w:r>
      <w:bookmarkStart w:id="3278" w:name="_ETM_Q5_204760"/>
      <w:bookmarkEnd w:id="3278"/>
      <w:r>
        <w:rPr>
          <w:rFonts w:hint="cs"/>
          <w:rtl/>
        </w:rPr>
        <w:t xml:space="preserve">ושום </w:t>
      </w:r>
      <w:bookmarkStart w:id="3279" w:name="_ETM_Q5_205029"/>
      <w:bookmarkEnd w:id="3279"/>
      <w:r>
        <w:rPr>
          <w:rFonts w:hint="cs"/>
          <w:rtl/>
        </w:rPr>
        <w:t xml:space="preserve">דבר </w:t>
      </w:r>
      <w:bookmarkStart w:id="3280" w:name="_ETM_Q5_206159"/>
      <w:bookmarkEnd w:id="3280"/>
      <w:r>
        <w:rPr>
          <w:rFonts w:hint="cs"/>
          <w:rtl/>
        </w:rPr>
        <w:t xml:space="preserve">רצה </w:t>
      </w:r>
      <w:bookmarkStart w:id="3281" w:name="_ETM_Q5_206519"/>
      <w:bookmarkEnd w:id="3281"/>
      <w:r>
        <w:rPr>
          <w:rFonts w:hint="cs"/>
          <w:rtl/>
        </w:rPr>
        <w:t xml:space="preserve">טרם </w:t>
      </w:r>
      <w:bookmarkStart w:id="3282" w:name="_ETM_Q5_206939"/>
      <w:bookmarkEnd w:id="3282"/>
      <w:r>
        <w:rPr>
          <w:rFonts w:hint="cs"/>
          <w:rtl/>
        </w:rPr>
        <w:t xml:space="preserve">הקמת </w:t>
      </w:r>
      <w:bookmarkStart w:id="3283" w:name="_ETM_Q5_207300"/>
      <w:bookmarkEnd w:id="3283"/>
      <w:r>
        <w:rPr>
          <w:rFonts w:hint="cs"/>
          <w:rtl/>
        </w:rPr>
        <w:t xml:space="preserve">הממשלה </w:t>
      </w:r>
      <w:bookmarkStart w:id="3284" w:name="_ETM_Q5_207749"/>
      <w:bookmarkEnd w:id="3284"/>
      <w:r>
        <w:rPr>
          <w:rFonts w:hint="cs"/>
          <w:rtl/>
        </w:rPr>
        <w:t xml:space="preserve">שישנו </w:t>
      </w:r>
      <w:bookmarkStart w:id="3285" w:name="_ETM_Q5_208199"/>
      <w:bookmarkEnd w:id="3285"/>
      <w:r>
        <w:rPr>
          <w:rFonts w:hint="cs"/>
          <w:rtl/>
        </w:rPr>
        <w:t xml:space="preserve">את </w:t>
      </w:r>
      <w:bookmarkStart w:id="3286" w:name="_ETM_Q5_208259"/>
      <w:bookmarkEnd w:id="3286"/>
      <w:r>
        <w:rPr>
          <w:rFonts w:hint="cs"/>
          <w:rtl/>
        </w:rPr>
        <w:t xml:space="preserve">פקודת </w:t>
      </w:r>
      <w:bookmarkStart w:id="3287" w:name="_ETM_Q5_208589"/>
      <w:bookmarkEnd w:id="3287"/>
      <w:r>
        <w:rPr>
          <w:rFonts w:hint="cs"/>
          <w:rtl/>
        </w:rPr>
        <w:t xml:space="preserve">המשטרה, </w:t>
      </w:r>
      <w:bookmarkStart w:id="3288" w:name="_ETM_Q5_209009"/>
      <w:bookmarkEnd w:id="3288"/>
      <w:r>
        <w:rPr>
          <w:rFonts w:hint="cs"/>
          <w:rtl/>
        </w:rPr>
        <w:t xml:space="preserve">כי הוא אמר </w:t>
      </w:r>
      <w:bookmarkStart w:id="3289" w:name="_ETM_Q5_209609"/>
      <w:bookmarkEnd w:id="3289"/>
      <w:r>
        <w:rPr>
          <w:rFonts w:hint="cs"/>
          <w:rtl/>
        </w:rPr>
        <w:t xml:space="preserve">שהוא </w:t>
      </w:r>
      <w:bookmarkStart w:id="3290" w:name="_ETM_Q5_209819"/>
      <w:bookmarkEnd w:id="3290"/>
      <w:r>
        <w:rPr>
          <w:rFonts w:hint="cs"/>
          <w:rtl/>
        </w:rPr>
        <w:t xml:space="preserve">לא </w:t>
      </w:r>
      <w:bookmarkStart w:id="3291" w:name="_ETM_Q5_209909"/>
      <w:bookmarkEnd w:id="3291"/>
      <w:r>
        <w:rPr>
          <w:rFonts w:hint="cs"/>
          <w:rtl/>
        </w:rPr>
        <w:t xml:space="preserve">יכול </w:t>
      </w:r>
      <w:bookmarkStart w:id="3292" w:name="_ETM_Q5_210149"/>
      <w:bookmarkEnd w:id="3292"/>
      <w:r>
        <w:rPr>
          <w:rFonts w:hint="cs"/>
          <w:rtl/>
        </w:rPr>
        <w:t xml:space="preserve">ליישם </w:t>
      </w:r>
      <w:bookmarkStart w:id="3293" w:name="_ETM_Q5_210449"/>
      <w:bookmarkEnd w:id="3293"/>
      <w:r>
        <w:rPr>
          <w:rFonts w:hint="cs"/>
          <w:rtl/>
        </w:rPr>
        <w:t xml:space="preserve">מדיניות. </w:t>
      </w:r>
      <w:bookmarkStart w:id="3294" w:name="_ETM_Q5_211429"/>
      <w:bookmarkEnd w:id="3294"/>
      <w:r>
        <w:rPr>
          <w:rFonts w:hint="cs"/>
          <w:rtl/>
        </w:rPr>
        <w:t xml:space="preserve">כל </w:t>
      </w:r>
      <w:bookmarkStart w:id="3295" w:name="_ETM_Q5_211669"/>
      <w:bookmarkEnd w:id="3295"/>
      <w:r>
        <w:rPr>
          <w:rFonts w:hint="cs"/>
          <w:rtl/>
        </w:rPr>
        <w:t xml:space="preserve">השרים </w:t>
      </w:r>
      <w:bookmarkStart w:id="3296" w:name="_ETM_Q5_212030"/>
      <w:bookmarkEnd w:id="3296"/>
      <w:r>
        <w:rPr>
          <w:rFonts w:hint="cs"/>
          <w:rtl/>
        </w:rPr>
        <w:t xml:space="preserve">לפניו </w:t>
      </w:r>
      <w:bookmarkStart w:id="3297" w:name="_ETM_Q5_213079"/>
      <w:bookmarkEnd w:id="3297"/>
      <w:r>
        <w:rPr>
          <w:rFonts w:hint="cs"/>
          <w:rtl/>
        </w:rPr>
        <w:t xml:space="preserve">יישמו </w:t>
      </w:r>
      <w:bookmarkStart w:id="3298" w:name="_ETM_Q5_213530"/>
      <w:bookmarkEnd w:id="3298"/>
      <w:r>
        <w:rPr>
          <w:rFonts w:hint="cs"/>
          <w:rtl/>
        </w:rPr>
        <w:t>מדיניות</w:t>
      </w:r>
      <w:bookmarkStart w:id="3299" w:name="_ETM_Q5_215129"/>
      <w:bookmarkEnd w:id="3299"/>
      <w:r>
        <w:rPr>
          <w:rFonts w:hint="cs"/>
          <w:rtl/>
        </w:rPr>
        <w:t xml:space="preserve">. </w:t>
      </w:r>
    </w:p>
    <w:p w:rsidR="000C5C1F" w:rsidRDefault="000C5C1F" w:rsidP="000C5C1F">
      <w:pPr>
        <w:rPr>
          <w:b/>
          <w:bCs/>
          <w:u w:val="single"/>
          <w:rtl/>
          <w:lang w:eastAsia="he-IL"/>
        </w:rPr>
      </w:pPr>
    </w:p>
    <w:p w:rsidR="000C5C1F" w:rsidRDefault="000C5C1F" w:rsidP="000C5C1F">
      <w:pPr>
        <w:pStyle w:val="af8"/>
        <w:keepNext/>
        <w:rPr>
          <w:rtl/>
        </w:rPr>
      </w:pPr>
      <w:bookmarkStart w:id="3300" w:name="ET_interruption_6164_5"/>
      <w:r>
        <w:rPr>
          <w:rStyle w:val="TagStyle"/>
          <w:rFonts w:hint="cs"/>
          <w:rtl/>
        </w:rPr>
        <w:t xml:space="preserve"> &lt;&lt; קריאה &gt;&gt; </w:t>
      </w:r>
      <w:r>
        <w:rPr>
          <w:rFonts w:hint="cs"/>
          <w:rtl/>
        </w:rPr>
        <w:t>עמית הלוי (הליכוד):</w:t>
      </w:r>
      <w:r>
        <w:rPr>
          <w:rStyle w:val="TagStyle"/>
          <w:rtl/>
        </w:rPr>
        <w:t xml:space="preserve"> &lt;&lt; קריאה &gt;&gt;</w:t>
      </w:r>
      <w:r>
        <w:rPr>
          <w:rFonts w:hint="cs"/>
          <w:rtl/>
        </w:rPr>
        <w:t xml:space="preserve">   </w:t>
      </w:r>
      <w:bookmarkEnd w:id="3300"/>
    </w:p>
    <w:p w:rsidR="000C5C1F" w:rsidRDefault="000C5C1F" w:rsidP="00337201">
      <w:pPr>
        <w:rPr>
          <w:rtl/>
        </w:rPr>
      </w:pPr>
    </w:p>
    <w:p w:rsidR="000C5C1F" w:rsidRDefault="000C5C1F" w:rsidP="00337201">
      <w:pPr>
        <w:rPr>
          <w:rtl/>
        </w:rPr>
      </w:pPr>
      <w:r>
        <w:rPr>
          <w:rFonts w:hint="cs"/>
          <w:rtl/>
        </w:rPr>
        <w:t xml:space="preserve">לא רק שהייתה לו בעיה, גם היועץ </w:t>
      </w:r>
      <w:bookmarkStart w:id="3301" w:name="_ETM_Q5_213000"/>
      <w:bookmarkEnd w:id="3301"/>
      <w:r>
        <w:rPr>
          <w:rFonts w:hint="cs"/>
          <w:rtl/>
        </w:rPr>
        <w:t xml:space="preserve">המשפטי הודיע לו שהוא לא יכול. </w:t>
      </w:r>
    </w:p>
    <w:p w:rsidR="000C5C1F" w:rsidRDefault="000C5C1F" w:rsidP="00337201">
      <w:pPr>
        <w:rPr>
          <w:rtl/>
        </w:rPr>
      </w:pPr>
    </w:p>
    <w:p w:rsidR="000C5C1F" w:rsidRDefault="000C5C1F" w:rsidP="000C5C1F">
      <w:pPr>
        <w:pStyle w:val="-"/>
        <w:keepNext/>
        <w:rPr>
          <w:rtl/>
        </w:rPr>
      </w:pPr>
      <w:bookmarkStart w:id="3302" w:name="_ETM_Q5_215000"/>
      <w:bookmarkStart w:id="3303" w:name="ET_speakercontinue_5791_7"/>
      <w:bookmarkEnd w:id="3302"/>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3303"/>
    </w:p>
    <w:p w:rsidR="000C5C1F" w:rsidRDefault="000C5C1F" w:rsidP="00337201">
      <w:pPr>
        <w:rPr>
          <w:rtl/>
          <w:lang w:eastAsia="he-IL"/>
        </w:rPr>
      </w:pPr>
    </w:p>
    <w:p w:rsidR="000C5C1F" w:rsidRDefault="000C5C1F" w:rsidP="000C5C1F">
      <w:pPr>
        <w:rPr>
          <w:rtl/>
        </w:rPr>
      </w:pPr>
      <w:r>
        <w:rPr>
          <w:rFonts w:hint="cs"/>
          <w:rtl/>
        </w:rPr>
        <w:t xml:space="preserve">כולם </w:t>
      </w:r>
      <w:bookmarkStart w:id="3304" w:name="_ETM_Q5_215519"/>
      <w:bookmarkEnd w:id="3304"/>
      <w:r>
        <w:rPr>
          <w:rFonts w:hint="cs"/>
          <w:rtl/>
        </w:rPr>
        <w:t xml:space="preserve">יישמו </w:t>
      </w:r>
      <w:bookmarkStart w:id="3305" w:name="_ETM_Q5_215820"/>
      <w:bookmarkEnd w:id="3305"/>
      <w:r>
        <w:rPr>
          <w:rFonts w:hint="cs"/>
          <w:rtl/>
        </w:rPr>
        <w:t xml:space="preserve">מדיניות. </w:t>
      </w:r>
      <w:bookmarkStart w:id="3306" w:name="_ETM_Q5_217010"/>
      <w:bookmarkEnd w:id="3306"/>
      <w:r>
        <w:rPr>
          <w:rFonts w:hint="cs"/>
          <w:rtl/>
        </w:rPr>
        <w:t xml:space="preserve">אבל </w:t>
      </w:r>
      <w:bookmarkStart w:id="3307" w:name="_ETM_Q5_217250"/>
      <w:bookmarkEnd w:id="3307"/>
      <w:r>
        <w:rPr>
          <w:rFonts w:hint="cs"/>
          <w:rtl/>
        </w:rPr>
        <w:t xml:space="preserve">השר </w:t>
      </w:r>
      <w:bookmarkStart w:id="3308" w:name="_ETM_Q5_217610"/>
      <w:bookmarkEnd w:id="3308"/>
      <w:r>
        <w:rPr>
          <w:rFonts w:hint="cs"/>
          <w:rtl/>
        </w:rPr>
        <w:t xml:space="preserve">הזה </w:t>
      </w:r>
      <w:bookmarkStart w:id="3309" w:name="_ETM_Q5_217970"/>
      <w:bookmarkEnd w:id="3309"/>
      <w:r>
        <w:rPr>
          <w:rFonts w:hint="cs"/>
          <w:rtl/>
        </w:rPr>
        <w:t xml:space="preserve">רצה </w:t>
      </w:r>
      <w:bookmarkStart w:id="3310" w:name="_ETM_Q5_218270"/>
      <w:bookmarkEnd w:id="3310"/>
      <w:r>
        <w:rPr>
          <w:rFonts w:hint="cs"/>
          <w:rtl/>
        </w:rPr>
        <w:t xml:space="preserve">לעשות </w:t>
      </w:r>
      <w:bookmarkStart w:id="3311" w:name="_ETM_Q5_218510"/>
      <w:bookmarkEnd w:id="3311"/>
      <w:r>
        <w:rPr>
          <w:rFonts w:hint="cs"/>
          <w:rtl/>
        </w:rPr>
        <w:t xml:space="preserve">תיקון </w:t>
      </w:r>
      <w:bookmarkStart w:id="3312" w:name="_ETM_Q5_218840"/>
      <w:bookmarkEnd w:id="3312"/>
      <w:r>
        <w:rPr>
          <w:rFonts w:hint="cs"/>
          <w:rtl/>
        </w:rPr>
        <w:t xml:space="preserve">של פקודת </w:t>
      </w:r>
      <w:bookmarkStart w:id="3313" w:name="_ETM_Q5_219229"/>
      <w:bookmarkEnd w:id="3313"/>
      <w:r>
        <w:rPr>
          <w:rFonts w:hint="cs"/>
          <w:rtl/>
        </w:rPr>
        <w:t xml:space="preserve">המשטרה, </w:t>
      </w:r>
      <w:bookmarkStart w:id="3314" w:name="_ETM_Q5_219740"/>
      <w:bookmarkEnd w:id="3314"/>
      <w:r>
        <w:rPr>
          <w:rFonts w:hint="cs"/>
          <w:rtl/>
        </w:rPr>
        <w:t xml:space="preserve">וישבנו </w:t>
      </w:r>
      <w:bookmarkStart w:id="3315" w:name="_ETM_Q5_220340"/>
      <w:bookmarkEnd w:id="3315"/>
      <w:r>
        <w:rPr>
          <w:rFonts w:hint="cs"/>
          <w:rtl/>
        </w:rPr>
        <w:t xml:space="preserve">פה </w:t>
      </w:r>
      <w:bookmarkStart w:id="3316" w:name="_ETM_Q5_220550"/>
      <w:bookmarkEnd w:id="3316"/>
      <w:r>
        <w:rPr>
          <w:rFonts w:hint="cs"/>
          <w:rtl/>
        </w:rPr>
        <w:t xml:space="preserve">לילות </w:t>
      </w:r>
      <w:bookmarkStart w:id="3317" w:name="_ETM_Q5_220970"/>
      <w:bookmarkEnd w:id="3317"/>
      <w:r>
        <w:rPr>
          <w:rFonts w:hint="cs"/>
          <w:rtl/>
        </w:rPr>
        <w:t xml:space="preserve">וימים, </w:t>
      </w:r>
      <w:bookmarkStart w:id="3318" w:name="_ETM_Q5_221420"/>
      <w:bookmarkEnd w:id="3318"/>
      <w:r>
        <w:rPr>
          <w:rFonts w:hint="cs"/>
          <w:rtl/>
        </w:rPr>
        <w:t xml:space="preserve">ואני </w:t>
      </w:r>
      <w:bookmarkStart w:id="3319" w:name="_ETM_Q5_221659"/>
      <w:bookmarkEnd w:id="3319"/>
      <w:r>
        <w:rPr>
          <w:rFonts w:hint="cs"/>
          <w:rtl/>
        </w:rPr>
        <w:t xml:space="preserve">אמרתי </w:t>
      </w:r>
      <w:bookmarkStart w:id="3320" w:name="_ETM_Q5_222409"/>
      <w:bookmarkEnd w:id="3320"/>
      <w:r>
        <w:rPr>
          <w:rFonts w:hint="cs"/>
          <w:rtl/>
        </w:rPr>
        <w:t xml:space="preserve">בצורה </w:t>
      </w:r>
      <w:bookmarkStart w:id="3321" w:name="_ETM_Q5_222890"/>
      <w:bookmarkEnd w:id="3321"/>
      <w:r>
        <w:rPr>
          <w:rFonts w:hint="cs"/>
          <w:rtl/>
        </w:rPr>
        <w:t xml:space="preserve">מקצועית </w:t>
      </w:r>
      <w:bookmarkStart w:id="3322" w:name="_ETM_Q5_224300"/>
      <w:bookmarkEnd w:id="3322"/>
      <w:r>
        <w:rPr>
          <w:rFonts w:hint="cs"/>
          <w:rtl/>
        </w:rPr>
        <w:t xml:space="preserve">לאנשים </w:t>
      </w:r>
      <w:bookmarkStart w:id="3323" w:name="_ETM_Q5_224960"/>
      <w:bookmarkEnd w:id="3323"/>
      <w:r>
        <w:rPr>
          <w:rFonts w:hint="cs"/>
          <w:rtl/>
        </w:rPr>
        <w:t xml:space="preserve">שישבו </w:t>
      </w:r>
      <w:bookmarkStart w:id="3324" w:name="_ETM_Q5_225350"/>
      <w:bookmarkEnd w:id="3324"/>
      <w:r>
        <w:rPr>
          <w:rFonts w:hint="cs"/>
          <w:rtl/>
        </w:rPr>
        <w:t xml:space="preserve">שם, </w:t>
      </w:r>
      <w:bookmarkStart w:id="3325" w:name="_ETM_Q5_225680"/>
      <w:bookmarkEnd w:id="3325"/>
      <w:r>
        <w:rPr>
          <w:rFonts w:hint="cs"/>
          <w:rtl/>
        </w:rPr>
        <w:t xml:space="preserve">אנשי </w:t>
      </w:r>
      <w:bookmarkStart w:id="3326" w:name="_ETM_Q5_225950"/>
      <w:bookmarkEnd w:id="3326"/>
      <w:r>
        <w:rPr>
          <w:rFonts w:hint="cs"/>
          <w:rtl/>
        </w:rPr>
        <w:t xml:space="preserve">הקואליציה, </w:t>
      </w:r>
      <w:bookmarkStart w:id="3327" w:name="_ETM_Q5_226610"/>
      <w:bookmarkEnd w:id="3327"/>
      <w:r>
        <w:rPr>
          <w:rFonts w:hint="cs"/>
          <w:rtl/>
        </w:rPr>
        <w:t xml:space="preserve">אנשי </w:t>
      </w:r>
      <w:bookmarkStart w:id="3328" w:name="_ETM_Q5_226850"/>
      <w:bookmarkEnd w:id="3328"/>
      <w:r>
        <w:rPr>
          <w:rFonts w:hint="cs"/>
          <w:rtl/>
        </w:rPr>
        <w:t xml:space="preserve">הליכוד: </w:t>
      </w:r>
      <w:bookmarkStart w:id="3329" w:name="_ETM_Q5_227479"/>
      <w:bookmarkEnd w:id="3329"/>
      <w:r>
        <w:rPr>
          <w:rFonts w:hint="cs"/>
          <w:rtl/>
        </w:rPr>
        <w:t xml:space="preserve">חברים, </w:t>
      </w:r>
      <w:bookmarkStart w:id="3330" w:name="_ETM_Q5_228229"/>
      <w:bookmarkEnd w:id="3330"/>
      <w:r>
        <w:rPr>
          <w:rFonts w:hint="cs"/>
          <w:rtl/>
        </w:rPr>
        <w:t xml:space="preserve">הרי </w:t>
      </w:r>
      <w:bookmarkStart w:id="3331" w:name="_ETM_Q5_228499"/>
      <w:bookmarkEnd w:id="3331"/>
      <w:r>
        <w:rPr>
          <w:rFonts w:hint="cs"/>
          <w:rtl/>
        </w:rPr>
        <w:t xml:space="preserve">שרים </w:t>
      </w:r>
      <w:bookmarkStart w:id="3332" w:name="_ETM_Q5_228829"/>
      <w:bookmarkEnd w:id="3332"/>
      <w:r>
        <w:rPr>
          <w:rFonts w:hint="cs"/>
          <w:rtl/>
        </w:rPr>
        <w:t xml:space="preserve">לביטחון </w:t>
      </w:r>
      <w:bookmarkStart w:id="3333" w:name="_ETM_Q5_229280"/>
      <w:bookmarkEnd w:id="3333"/>
      <w:r>
        <w:rPr>
          <w:rFonts w:hint="cs"/>
          <w:rtl/>
        </w:rPr>
        <w:t xml:space="preserve">פנים </w:t>
      </w:r>
      <w:bookmarkStart w:id="3334" w:name="_ETM_Q5_229550"/>
      <w:bookmarkEnd w:id="3334"/>
      <w:r>
        <w:rPr>
          <w:rFonts w:hint="cs"/>
          <w:rtl/>
        </w:rPr>
        <w:t xml:space="preserve">לדורותיהם </w:t>
      </w:r>
      <w:bookmarkStart w:id="3335" w:name="_ETM_Q5_230570"/>
      <w:bookmarkEnd w:id="3335"/>
      <w:r>
        <w:rPr>
          <w:rFonts w:hint="cs"/>
          <w:rtl/>
        </w:rPr>
        <w:t xml:space="preserve">יישמו </w:t>
      </w:r>
      <w:bookmarkStart w:id="3336" w:name="_ETM_Q5_230929"/>
      <w:bookmarkEnd w:id="3336"/>
      <w:r>
        <w:rPr>
          <w:rFonts w:hint="cs"/>
          <w:rtl/>
        </w:rPr>
        <w:t xml:space="preserve">מדיניות. השר </w:t>
      </w:r>
      <w:bookmarkStart w:id="3337" w:name="_ETM_Q5_232270"/>
      <w:bookmarkStart w:id="3338" w:name="_ETM_Q5_232570"/>
      <w:bookmarkStart w:id="3339" w:name="_ETM_Q5_232000"/>
      <w:bookmarkEnd w:id="3337"/>
      <w:bookmarkEnd w:id="3338"/>
      <w:bookmarkEnd w:id="3339"/>
      <w:r>
        <w:rPr>
          <w:rFonts w:hint="cs"/>
          <w:rtl/>
        </w:rPr>
        <w:t xml:space="preserve">אוחנה יישם מדיניות, השר צחי </w:t>
      </w:r>
      <w:bookmarkStart w:id="3340" w:name="_ETM_Q5_232930"/>
      <w:bookmarkStart w:id="3341" w:name="_ETM_Q5_233470"/>
      <w:bookmarkStart w:id="3342" w:name="_ETM_Q5_234170"/>
      <w:bookmarkStart w:id="3343" w:name="_ETM_Q5_234530"/>
      <w:bookmarkStart w:id="3344" w:name="_ETM_Q5_235280"/>
      <w:bookmarkEnd w:id="3340"/>
      <w:bookmarkEnd w:id="3341"/>
      <w:bookmarkEnd w:id="3342"/>
      <w:bookmarkEnd w:id="3343"/>
      <w:bookmarkEnd w:id="3344"/>
      <w:r>
        <w:rPr>
          <w:rFonts w:hint="cs"/>
          <w:rtl/>
        </w:rPr>
        <w:t xml:space="preserve">הנגבי </w:t>
      </w:r>
      <w:bookmarkStart w:id="3345" w:name="_ETM_Q5_235730"/>
      <w:bookmarkEnd w:id="3345"/>
      <w:r>
        <w:rPr>
          <w:rFonts w:hint="cs"/>
          <w:rtl/>
        </w:rPr>
        <w:t xml:space="preserve">יישם </w:t>
      </w:r>
      <w:bookmarkStart w:id="3346" w:name="_ETM_Q5_236000"/>
      <w:bookmarkEnd w:id="3346"/>
      <w:r>
        <w:rPr>
          <w:rFonts w:hint="cs"/>
          <w:rtl/>
        </w:rPr>
        <w:t xml:space="preserve">מדיניות, </w:t>
      </w:r>
      <w:bookmarkStart w:id="3347" w:name="_ETM_Q5_236750"/>
      <w:bookmarkEnd w:id="3347"/>
      <w:r>
        <w:rPr>
          <w:rFonts w:hint="cs"/>
          <w:rtl/>
        </w:rPr>
        <w:t xml:space="preserve">השר </w:t>
      </w:r>
      <w:bookmarkStart w:id="3348" w:name="_ETM_Q5_237590"/>
      <w:bookmarkEnd w:id="3348"/>
      <w:r>
        <w:rPr>
          <w:rFonts w:hint="cs"/>
          <w:rtl/>
        </w:rPr>
        <w:t xml:space="preserve">דיכטר </w:t>
      </w:r>
      <w:bookmarkStart w:id="3349" w:name="_ETM_Q5_237950"/>
      <w:bookmarkEnd w:id="3349"/>
      <w:r>
        <w:rPr>
          <w:rFonts w:hint="cs"/>
          <w:rtl/>
        </w:rPr>
        <w:t xml:space="preserve">יישם </w:t>
      </w:r>
      <w:bookmarkStart w:id="3350" w:name="_ETM_Q5_238460"/>
      <w:bookmarkEnd w:id="3350"/>
      <w:r>
        <w:rPr>
          <w:rFonts w:hint="cs"/>
          <w:rtl/>
        </w:rPr>
        <w:t>מ</w:t>
      </w:r>
      <w:bookmarkStart w:id="3351" w:name="_ETM_Q5_238790"/>
      <w:bookmarkEnd w:id="3351"/>
      <w:r>
        <w:rPr>
          <w:rFonts w:hint="cs"/>
          <w:rtl/>
        </w:rPr>
        <w:t xml:space="preserve">דיניות. מי עשה </w:t>
      </w:r>
      <w:bookmarkStart w:id="3352" w:name="_ETM_Q5_238970"/>
      <w:bookmarkEnd w:id="3352"/>
      <w:r>
        <w:rPr>
          <w:rFonts w:hint="cs"/>
          <w:rtl/>
        </w:rPr>
        <w:t xml:space="preserve">את </w:t>
      </w:r>
      <w:bookmarkStart w:id="3353" w:name="_ETM_Q5_239030"/>
      <w:bookmarkEnd w:id="3353"/>
      <w:r>
        <w:rPr>
          <w:rFonts w:hint="cs"/>
          <w:rtl/>
        </w:rPr>
        <w:t xml:space="preserve">כל </w:t>
      </w:r>
      <w:bookmarkStart w:id="3354" w:name="_ETM_Q5_239180"/>
      <w:bookmarkEnd w:id="3354"/>
      <w:r>
        <w:rPr>
          <w:rFonts w:hint="cs"/>
          <w:rtl/>
        </w:rPr>
        <w:t xml:space="preserve">הדברים </w:t>
      </w:r>
      <w:bookmarkStart w:id="3355" w:name="_ETM_Q5_239510"/>
      <w:bookmarkEnd w:id="3355"/>
      <w:r>
        <w:rPr>
          <w:rFonts w:hint="cs"/>
          <w:rtl/>
        </w:rPr>
        <w:t xml:space="preserve">האלה? </w:t>
      </w:r>
      <w:bookmarkStart w:id="3356" w:name="_ETM_Q5_240050"/>
      <w:bookmarkEnd w:id="3356"/>
      <w:r>
        <w:rPr>
          <w:rFonts w:hint="cs"/>
          <w:rtl/>
        </w:rPr>
        <w:t xml:space="preserve">מי </w:t>
      </w:r>
      <w:bookmarkStart w:id="3357" w:name="_ETM_Q5_240230"/>
      <w:bookmarkEnd w:id="3357"/>
      <w:r>
        <w:rPr>
          <w:rFonts w:hint="cs"/>
          <w:rtl/>
        </w:rPr>
        <w:t xml:space="preserve">הכניס </w:t>
      </w:r>
      <w:bookmarkStart w:id="3358" w:name="_ETM_Q5_240440"/>
      <w:bookmarkEnd w:id="3358"/>
      <w:r>
        <w:rPr>
          <w:rFonts w:hint="cs"/>
          <w:rtl/>
        </w:rPr>
        <w:t xml:space="preserve">את </w:t>
      </w:r>
      <w:bookmarkStart w:id="3359" w:name="_ETM_Q5_240500"/>
      <w:bookmarkEnd w:id="3359"/>
      <w:r>
        <w:rPr>
          <w:rFonts w:hint="cs"/>
          <w:rtl/>
        </w:rPr>
        <w:t xml:space="preserve">הדנ"א? </w:t>
      </w:r>
      <w:bookmarkStart w:id="3360" w:name="_ETM_Q5_241990"/>
      <w:bookmarkEnd w:id="3360"/>
      <w:r>
        <w:rPr>
          <w:rFonts w:hint="cs"/>
          <w:rtl/>
        </w:rPr>
        <w:t xml:space="preserve">מי </w:t>
      </w:r>
      <w:bookmarkStart w:id="3361" w:name="_ETM_Q5_242170"/>
      <w:bookmarkEnd w:id="3361"/>
      <w:r>
        <w:rPr>
          <w:rFonts w:hint="cs"/>
          <w:rtl/>
        </w:rPr>
        <w:t xml:space="preserve">הקים </w:t>
      </w:r>
      <w:bookmarkStart w:id="3362" w:name="_ETM_Q5_242350"/>
      <w:bookmarkEnd w:id="3362"/>
      <w:r>
        <w:rPr>
          <w:rFonts w:hint="cs"/>
          <w:rtl/>
        </w:rPr>
        <w:t xml:space="preserve">את </w:t>
      </w:r>
      <w:bookmarkStart w:id="3363" w:name="_ETM_Q5_242440"/>
      <w:bookmarkEnd w:id="3363"/>
      <w:r>
        <w:rPr>
          <w:rFonts w:hint="cs"/>
          <w:rtl/>
        </w:rPr>
        <w:t xml:space="preserve">יחידת </w:t>
      </w:r>
      <w:bookmarkStart w:id="3364" w:name="_ETM_Q5_242739"/>
      <w:bookmarkEnd w:id="3364"/>
      <w:r>
        <w:rPr>
          <w:rFonts w:hint="cs"/>
          <w:rtl/>
        </w:rPr>
        <w:t xml:space="preserve">להב </w:t>
      </w:r>
      <w:bookmarkStart w:id="3365" w:name="_ETM_Q5_242950"/>
      <w:bookmarkEnd w:id="3365"/>
      <w:r>
        <w:rPr>
          <w:rFonts w:hint="cs"/>
          <w:rtl/>
        </w:rPr>
        <w:t>433</w:t>
      </w:r>
      <w:bookmarkStart w:id="3366" w:name="_ETM_Q5_243670"/>
      <w:bookmarkEnd w:id="3366"/>
      <w:r>
        <w:rPr>
          <w:rFonts w:hint="cs"/>
          <w:rtl/>
        </w:rPr>
        <w:t xml:space="preserve">, שאני </w:t>
      </w:r>
      <w:bookmarkStart w:id="3367" w:name="_ETM_Q5_243910"/>
      <w:bookmarkEnd w:id="3367"/>
      <w:r>
        <w:rPr>
          <w:rFonts w:hint="cs"/>
          <w:rtl/>
        </w:rPr>
        <w:t xml:space="preserve">זכיתי </w:t>
      </w:r>
      <w:bookmarkStart w:id="3368" w:name="_ETM_Q5_244300"/>
      <w:bookmarkEnd w:id="3368"/>
      <w:r>
        <w:rPr>
          <w:rFonts w:hint="cs"/>
          <w:rtl/>
        </w:rPr>
        <w:t xml:space="preserve">להיות </w:t>
      </w:r>
      <w:bookmarkStart w:id="3369" w:name="_ETM_Q5_244480"/>
      <w:bookmarkEnd w:id="3369"/>
      <w:r>
        <w:rPr>
          <w:rFonts w:hint="cs"/>
          <w:rtl/>
        </w:rPr>
        <w:t xml:space="preserve">הראשון </w:t>
      </w:r>
      <w:bookmarkStart w:id="3370" w:name="_ETM_Q5_244750"/>
      <w:bookmarkEnd w:id="3370"/>
      <w:r>
        <w:rPr>
          <w:rFonts w:hint="cs"/>
          <w:rtl/>
        </w:rPr>
        <w:t xml:space="preserve">שעמד </w:t>
      </w:r>
      <w:bookmarkStart w:id="3371" w:name="_ETM_Q5_245050"/>
      <w:bookmarkEnd w:id="3371"/>
      <w:r>
        <w:rPr>
          <w:rFonts w:hint="cs"/>
          <w:rtl/>
        </w:rPr>
        <w:t xml:space="preserve">בראשה? </w:t>
      </w:r>
      <w:bookmarkStart w:id="3372" w:name="_ETM_Q5_245350"/>
      <w:bookmarkEnd w:id="3372"/>
      <w:r>
        <w:rPr>
          <w:rFonts w:hint="cs"/>
          <w:rtl/>
        </w:rPr>
        <w:t xml:space="preserve">השר </w:t>
      </w:r>
      <w:bookmarkStart w:id="3373" w:name="_ETM_Q5_245590"/>
      <w:bookmarkEnd w:id="3373"/>
      <w:r>
        <w:rPr>
          <w:rFonts w:hint="cs"/>
          <w:rtl/>
        </w:rPr>
        <w:t xml:space="preserve">דיכטר, </w:t>
      </w:r>
      <w:bookmarkStart w:id="3374" w:name="_ETM_Q5_246370"/>
      <w:bookmarkEnd w:id="3374"/>
      <w:r>
        <w:rPr>
          <w:rFonts w:hint="cs"/>
          <w:rtl/>
        </w:rPr>
        <w:t xml:space="preserve">שהיום </w:t>
      </w:r>
      <w:bookmarkStart w:id="3375" w:name="_ETM_Q5_246640"/>
      <w:bookmarkEnd w:id="3375"/>
      <w:r>
        <w:rPr>
          <w:rFonts w:hint="cs"/>
          <w:rtl/>
        </w:rPr>
        <w:t xml:space="preserve">שותק </w:t>
      </w:r>
      <w:bookmarkStart w:id="3376" w:name="_ETM_Q5_247030"/>
      <w:bookmarkEnd w:id="3376"/>
      <w:r>
        <w:rPr>
          <w:rFonts w:hint="cs"/>
          <w:rtl/>
        </w:rPr>
        <w:t xml:space="preserve">מול </w:t>
      </w:r>
      <w:bookmarkStart w:id="3377" w:name="_ETM_Q5_247209"/>
      <w:bookmarkEnd w:id="3377"/>
      <w:r>
        <w:rPr>
          <w:rFonts w:hint="cs"/>
          <w:rtl/>
        </w:rPr>
        <w:t xml:space="preserve">השר </w:t>
      </w:r>
      <w:bookmarkStart w:id="3378" w:name="_ETM_Q5_247420"/>
      <w:bookmarkEnd w:id="3378"/>
      <w:r>
        <w:rPr>
          <w:rFonts w:hint="cs"/>
          <w:rtl/>
        </w:rPr>
        <w:t xml:space="preserve">בן </w:t>
      </w:r>
      <w:bookmarkStart w:id="3379" w:name="_ETM_Q5_247600"/>
      <w:bookmarkEnd w:id="3379"/>
      <w:r>
        <w:rPr>
          <w:rFonts w:hint="cs"/>
          <w:rtl/>
        </w:rPr>
        <w:t>גביר.</w:t>
      </w:r>
      <w:bookmarkStart w:id="3380" w:name="_ETM_Q5_249200"/>
      <w:bookmarkEnd w:id="3380"/>
      <w:r>
        <w:rPr>
          <w:rFonts w:hint="cs"/>
          <w:rtl/>
        </w:rPr>
        <w:t xml:space="preserve"> אז </w:t>
      </w:r>
      <w:bookmarkStart w:id="3381" w:name="_ETM_Q5_249350"/>
      <w:bookmarkEnd w:id="3381"/>
      <w:r>
        <w:rPr>
          <w:rFonts w:hint="cs"/>
          <w:rtl/>
        </w:rPr>
        <w:t xml:space="preserve">הטענה </w:t>
      </w:r>
      <w:bookmarkStart w:id="3382" w:name="_ETM_Q5_249740"/>
      <w:bookmarkEnd w:id="3382"/>
      <w:r>
        <w:rPr>
          <w:rFonts w:hint="cs"/>
          <w:rtl/>
        </w:rPr>
        <w:t xml:space="preserve">היא שהוא לא </w:t>
      </w:r>
      <w:bookmarkStart w:id="3383" w:name="_ETM_Q5_249830"/>
      <w:bookmarkEnd w:id="3383"/>
      <w:r>
        <w:rPr>
          <w:rFonts w:hint="cs"/>
          <w:rtl/>
        </w:rPr>
        <w:t xml:space="preserve">יכול </w:t>
      </w:r>
      <w:bookmarkStart w:id="3384" w:name="_ETM_Q5_250040"/>
      <w:bookmarkEnd w:id="3384"/>
      <w:r>
        <w:rPr>
          <w:rFonts w:hint="cs"/>
          <w:rtl/>
        </w:rPr>
        <w:t xml:space="preserve">ליישם </w:t>
      </w:r>
      <w:bookmarkStart w:id="3385" w:name="_ETM_Q5_250310"/>
      <w:bookmarkEnd w:id="3385"/>
      <w:r>
        <w:rPr>
          <w:rFonts w:hint="cs"/>
          <w:rtl/>
        </w:rPr>
        <w:t xml:space="preserve">מדיניות? </w:t>
      </w:r>
      <w:bookmarkStart w:id="3386" w:name="_ETM_Q5_251600"/>
      <w:bookmarkStart w:id="3387" w:name="_ETM_Q5_250000"/>
      <w:bookmarkEnd w:id="3386"/>
      <w:bookmarkEnd w:id="3387"/>
      <w:r>
        <w:rPr>
          <w:rFonts w:hint="cs"/>
          <w:rtl/>
        </w:rPr>
        <w:t xml:space="preserve">יש </w:t>
      </w:r>
      <w:bookmarkStart w:id="3388" w:name="_ETM_Q5_251870"/>
      <w:bookmarkEnd w:id="3388"/>
      <w:r>
        <w:rPr>
          <w:rFonts w:hint="cs"/>
          <w:rtl/>
        </w:rPr>
        <w:t xml:space="preserve">הבדל </w:t>
      </w:r>
      <w:bookmarkStart w:id="3389" w:name="_ETM_Q5_252200"/>
      <w:bookmarkEnd w:id="3389"/>
      <w:r>
        <w:rPr>
          <w:rFonts w:hint="cs"/>
          <w:rtl/>
        </w:rPr>
        <w:t xml:space="preserve">בין </w:t>
      </w:r>
      <w:bookmarkStart w:id="3390" w:name="_ETM_Q5_252350"/>
      <w:bookmarkEnd w:id="3390"/>
      <w:r>
        <w:rPr>
          <w:rFonts w:hint="cs"/>
          <w:rtl/>
        </w:rPr>
        <w:t xml:space="preserve">הפעלת </w:t>
      </w:r>
      <w:bookmarkStart w:id="3391" w:name="_ETM_Q5_252800"/>
      <w:bookmarkEnd w:id="3391"/>
      <w:r>
        <w:rPr>
          <w:rFonts w:hint="cs"/>
          <w:rtl/>
        </w:rPr>
        <w:t xml:space="preserve">כוח </w:t>
      </w:r>
      <w:bookmarkStart w:id="3392" w:name="_ETM_Q5_253770"/>
      <w:bookmarkEnd w:id="3392"/>
      <w:r>
        <w:rPr>
          <w:rFonts w:hint="cs"/>
          <w:rtl/>
        </w:rPr>
        <w:t xml:space="preserve">לבין </w:t>
      </w:r>
      <w:bookmarkStart w:id="3393" w:name="_ETM_Q5_254369"/>
      <w:bookmarkEnd w:id="3393"/>
      <w:r>
        <w:rPr>
          <w:rFonts w:hint="cs"/>
          <w:rtl/>
        </w:rPr>
        <w:t xml:space="preserve">מדיניות. </w:t>
      </w:r>
      <w:bookmarkStart w:id="3394" w:name="_ETM_Q5_255630"/>
      <w:bookmarkEnd w:id="3394"/>
      <w:r>
        <w:rPr>
          <w:rFonts w:hint="cs"/>
          <w:rtl/>
        </w:rPr>
        <w:t xml:space="preserve">איתמר </w:t>
      </w:r>
      <w:bookmarkStart w:id="3395" w:name="_ETM_Q5_256079"/>
      <w:bookmarkEnd w:id="3395"/>
      <w:r>
        <w:rPr>
          <w:rFonts w:hint="cs"/>
          <w:rtl/>
        </w:rPr>
        <w:t xml:space="preserve">בן </w:t>
      </w:r>
      <w:bookmarkStart w:id="3396" w:name="_ETM_Q5_256319"/>
      <w:bookmarkEnd w:id="3396"/>
      <w:r>
        <w:rPr>
          <w:rFonts w:hint="cs"/>
          <w:rtl/>
        </w:rPr>
        <w:t xml:space="preserve">גביר, </w:t>
      </w:r>
      <w:bookmarkStart w:id="3397" w:name="_ETM_Q5_256530"/>
      <w:bookmarkEnd w:id="3397"/>
      <w:r>
        <w:rPr>
          <w:rFonts w:hint="cs"/>
          <w:rtl/>
        </w:rPr>
        <w:t xml:space="preserve">עבריין </w:t>
      </w:r>
      <w:bookmarkStart w:id="3398" w:name="_ETM_Q5_256979"/>
      <w:bookmarkEnd w:id="3398"/>
      <w:r>
        <w:rPr>
          <w:rFonts w:hint="cs"/>
          <w:rtl/>
        </w:rPr>
        <w:t xml:space="preserve">מורשע, </w:t>
      </w:r>
      <w:bookmarkStart w:id="3399" w:name="_ETM_Q5_258319"/>
      <w:bookmarkEnd w:id="3399"/>
      <w:r>
        <w:rPr>
          <w:rFonts w:hint="cs"/>
          <w:rtl/>
        </w:rPr>
        <w:t xml:space="preserve">טרוריסט </w:t>
      </w:r>
      <w:bookmarkStart w:id="3400" w:name="_ETM_Q5_258950"/>
      <w:bookmarkEnd w:id="3400"/>
      <w:r>
        <w:rPr>
          <w:rFonts w:hint="cs"/>
          <w:rtl/>
        </w:rPr>
        <w:t xml:space="preserve">בעברו </w:t>
      </w:r>
      <w:bookmarkStart w:id="3401" w:name="_ETM_Q5_260260"/>
      <w:bookmarkEnd w:id="3401"/>
      <w:r>
        <w:rPr>
          <w:rFonts w:hint="cs"/>
          <w:rtl/>
        </w:rPr>
        <w:t xml:space="preserve">שהורשע, </w:t>
      </w:r>
      <w:bookmarkStart w:id="3402" w:name="_ETM_Q5_261610"/>
      <w:bookmarkEnd w:id="3402"/>
      <w:r>
        <w:rPr>
          <w:rFonts w:hint="cs"/>
          <w:rtl/>
        </w:rPr>
        <w:t xml:space="preserve">הוא </w:t>
      </w:r>
      <w:bookmarkStart w:id="3403" w:name="_ETM_Q5_261759"/>
      <w:bookmarkEnd w:id="3403"/>
      <w:r>
        <w:rPr>
          <w:rFonts w:hint="cs"/>
          <w:rtl/>
        </w:rPr>
        <w:t xml:space="preserve">היום </w:t>
      </w:r>
      <w:bookmarkStart w:id="3404" w:name="_ETM_Q5_262060"/>
      <w:bookmarkEnd w:id="3404"/>
      <w:r>
        <w:rPr>
          <w:rFonts w:hint="cs"/>
          <w:rtl/>
        </w:rPr>
        <w:t xml:space="preserve">השר </w:t>
      </w:r>
      <w:bookmarkStart w:id="3405" w:name="_ETM_Q5_262330"/>
      <w:bookmarkEnd w:id="3405"/>
      <w:r>
        <w:rPr>
          <w:rFonts w:hint="cs"/>
          <w:rtl/>
        </w:rPr>
        <w:t xml:space="preserve">לביטחון </w:t>
      </w:r>
      <w:bookmarkStart w:id="3406" w:name="_ETM_Q5_262720"/>
      <w:bookmarkEnd w:id="3406"/>
      <w:r>
        <w:rPr>
          <w:rFonts w:hint="cs"/>
          <w:rtl/>
        </w:rPr>
        <w:t xml:space="preserve">לאומי, </w:t>
      </w:r>
      <w:bookmarkStart w:id="3407" w:name="_ETM_Q5_262900"/>
      <w:bookmarkEnd w:id="3407"/>
      <w:r>
        <w:rPr>
          <w:rFonts w:hint="cs"/>
          <w:rtl/>
        </w:rPr>
        <w:t xml:space="preserve">ואתם </w:t>
      </w:r>
      <w:bookmarkStart w:id="3408" w:name="_ETM_Q5_263170"/>
      <w:bookmarkEnd w:id="3408"/>
      <w:r>
        <w:rPr>
          <w:rFonts w:hint="cs"/>
          <w:rtl/>
        </w:rPr>
        <w:t xml:space="preserve">יושבים </w:t>
      </w:r>
      <w:bookmarkStart w:id="3409" w:name="_ETM_Q5_263409"/>
      <w:bookmarkEnd w:id="3409"/>
      <w:r>
        <w:rPr>
          <w:rFonts w:hint="cs"/>
          <w:rtl/>
        </w:rPr>
        <w:t xml:space="preserve">ושותקים, </w:t>
      </w:r>
      <w:bookmarkStart w:id="3410" w:name="_ETM_Q5_264530"/>
      <w:bookmarkEnd w:id="3410"/>
      <w:r>
        <w:rPr>
          <w:rFonts w:hint="cs"/>
          <w:rtl/>
        </w:rPr>
        <w:t xml:space="preserve">לא </w:t>
      </w:r>
      <w:bookmarkStart w:id="3411" w:name="_ETM_Q5_264740"/>
      <w:bookmarkEnd w:id="3411"/>
      <w:r>
        <w:rPr>
          <w:rFonts w:hint="cs"/>
          <w:rtl/>
        </w:rPr>
        <w:t xml:space="preserve">אומרים </w:t>
      </w:r>
      <w:bookmarkStart w:id="3412" w:name="_ETM_Q5_265009"/>
      <w:bookmarkEnd w:id="3412"/>
      <w:r>
        <w:rPr>
          <w:rFonts w:hint="cs"/>
          <w:rtl/>
        </w:rPr>
        <w:t xml:space="preserve">מילה. </w:t>
      </w:r>
      <w:bookmarkStart w:id="3413" w:name="_ETM_Q5_265700"/>
      <w:bookmarkEnd w:id="3413"/>
      <w:r>
        <w:rPr>
          <w:rFonts w:hint="cs"/>
          <w:rtl/>
        </w:rPr>
        <w:t xml:space="preserve">ראש הממשלה, </w:t>
      </w:r>
      <w:bookmarkStart w:id="3414" w:name="_ETM_Q5_266149"/>
      <w:bookmarkStart w:id="3415" w:name="_ETM_Q5_267110"/>
      <w:bookmarkEnd w:id="3414"/>
      <w:bookmarkEnd w:id="3415"/>
      <w:r>
        <w:rPr>
          <w:rFonts w:hint="cs"/>
          <w:rtl/>
        </w:rPr>
        <w:t xml:space="preserve">לדיוני </w:t>
      </w:r>
      <w:bookmarkStart w:id="3416" w:name="_ETM_Q5_267560"/>
      <w:bookmarkEnd w:id="3416"/>
      <w:r>
        <w:rPr>
          <w:rFonts w:hint="cs"/>
          <w:rtl/>
        </w:rPr>
        <w:t xml:space="preserve">הקבינט </w:t>
      </w:r>
      <w:bookmarkStart w:id="3417" w:name="_ETM_Q5_268009"/>
      <w:bookmarkEnd w:id="3417"/>
      <w:r>
        <w:rPr>
          <w:rFonts w:hint="cs"/>
          <w:rtl/>
        </w:rPr>
        <w:t xml:space="preserve">הוא לא </w:t>
      </w:r>
      <w:bookmarkStart w:id="3418" w:name="_ETM_Q5_268130"/>
      <w:bookmarkEnd w:id="3418"/>
      <w:r>
        <w:rPr>
          <w:rFonts w:hint="cs"/>
          <w:rtl/>
        </w:rPr>
        <w:t xml:space="preserve">מביא </w:t>
      </w:r>
      <w:bookmarkStart w:id="3419" w:name="_ETM_Q5_268399"/>
      <w:bookmarkEnd w:id="3419"/>
      <w:r>
        <w:rPr>
          <w:rFonts w:hint="cs"/>
          <w:rtl/>
        </w:rPr>
        <w:t xml:space="preserve">אותו. </w:t>
      </w:r>
      <w:bookmarkStart w:id="3420" w:name="_ETM_Q5_268640"/>
      <w:bookmarkEnd w:id="3420"/>
      <w:r>
        <w:rPr>
          <w:rFonts w:hint="cs"/>
          <w:rtl/>
        </w:rPr>
        <w:t xml:space="preserve">אז </w:t>
      </w:r>
      <w:bookmarkStart w:id="3421" w:name="_ETM_Q5_268729"/>
      <w:bookmarkEnd w:id="3421"/>
      <w:r>
        <w:rPr>
          <w:rFonts w:hint="cs"/>
          <w:rtl/>
        </w:rPr>
        <w:t xml:space="preserve">מה </w:t>
      </w:r>
      <w:bookmarkStart w:id="3422" w:name="_ETM_Q5_268850"/>
      <w:bookmarkEnd w:id="3422"/>
      <w:r>
        <w:rPr>
          <w:rFonts w:hint="cs"/>
          <w:rtl/>
        </w:rPr>
        <w:t xml:space="preserve">הוא </w:t>
      </w:r>
      <w:bookmarkStart w:id="3423" w:name="_ETM_Q5_268969"/>
      <w:bookmarkEnd w:id="3423"/>
      <w:r>
        <w:rPr>
          <w:rFonts w:hint="cs"/>
          <w:rtl/>
        </w:rPr>
        <w:t xml:space="preserve">עושה? </w:t>
      </w:r>
      <w:bookmarkStart w:id="3424" w:name="_ETM_Q5_269209"/>
      <w:bookmarkEnd w:id="3424"/>
      <w:r>
        <w:rPr>
          <w:rFonts w:hint="cs"/>
          <w:rtl/>
        </w:rPr>
        <w:t xml:space="preserve">לא </w:t>
      </w:r>
      <w:bookmarkStart w:id="3425" w:name="_ETM_Q5_269299"/>
      <w:bookmarkEnd w:id="3425"/>
      <w:r>
        <w:rPr>
          <w:rFonts w:hint="cs"/>
          <w:rtl/>
        </w:rPr>
        <w:t xml:space="preserve">מכנס </w:t>
      </w:r>
      <w:bookmarkStart w:id="3426" w:name="_ETM_Q5_269630"/>
      <w:bookmarkEnd w:id="3426"/>
      <w:r>
        <w:rPr>
          <w:rFonts w:hint="cs"/>
          <w:rtl/>
        </w:rPr>
        <w:t xml:space="preserve">קבינט. </w:t>
      </w:r>
      <w:bookmarkStart w:id="3427" w:name="_ETM_Q5_271450"/>
      <w:bookmarkEnd w:id="3427"/>
      <w:r>
        <w:rPr>
          <w:rFonts w:hint="cs"/>
          <w:rtl/>
        </w:rPr>
        <w:t xml:space="preserve">וזה </w:t>
      </w:r>
      <w:bookmarkStart w:id="3428" w:name="_ETM_Q5_271690"/>
      <w:bookmarkEnd w:id="3428"/>
      <w:r>
        <w:rPr>
          <w:rFonts w:hint="cs"/>
          <w:rtl/>
        </w:rPr>
        <w:t xml:space="preserve">היה </w:t>
      </w:r>
      <w:bookmarkStart w:id="3429" w:name="_ETM_Q5_271780"/>
      <w:bookmarkEnd w:id="3429"/>
      <w:r>
        <w:rPr>
          <w:rFonts w:hint="cs"/>
          <w:rtl/>
        </w:rPr>
        <w:t xml:space="preserve">בהסכמים </w:t>
      </w:r>
      <w:bookmarkStart w:id="3430" w:name="_ETM_Q5_272140"/>
      <w:bookmarkEnd w:id="3430"/>
      <w:r>
        <w:rPr>
          <w:rFonts w:hint="cs"/>
          <w:rtl/>
        </w:rPr>
        <w:t xml:space="preserve">הקואליציוניים. </w:t>
      </w:r>
      <w:bookmarkStart w:id="3431" w:name="_ETM_Q5_272740"/>
      <w:bookmarkStart w:id="3432" w:name="_ETM_Q5_273069"/>
      <w:bookmarkStart w:id="3433" w:name="_ETM_Q5_274690"/>
      <w:bookmarkEnd w:id="3431"/>
      <w:bookmarkEnd w:id="3432"/>
      <w:bookmarkEnd w:id="3433"/>
    </w:p>
    <w:p w:rsidR="000C5C1F" w:rsidRDefault="000C5C1F" w:rsidP="000C5C1F">
      <w:pPr>
        <w:rPr>
          <w:rtl/>
        </w:rPr>
      </w:pPr>
      <w:bookmarkStart w:id="3434" w:name="_ETM_Q5_272000"/>
      <w:bookmarkEnd w:id="3434"/>
    </w:p>
    <w:p w:rsidR="000C5C1F" w:rsidRDefault="000C5C1F" w:rsidP="000C5C1F">
      <w:pPr>
        <w:rPr>
          <w:rtl/>
        </w:rPr>
      </w:pPr>
      <w:bookmarkStart w:id="3435" w:name="_ETM_Q5_273000"/>
      <w:bookmarkEnd w:id="3435"/>
      <w:r>
        <w:rPr>
          <w:rFonts w:hint="cs"/>
          <w:rtl/>
        </w:rPr>
        <w:t xml:space="preserve">הבא </w:t>
      </w:r>
      <w:bookmarkStart w:id="3436" w:name="_ETM_Q5_273369"/>
      <w:bookmarkEnd w:id="3436"/>
      <w:r>
        <w:rPr>
          <w:rFonts w:hint="cs"/>
          <w:rtl/>
        </w:rPr>
        <w:t xml:space="preserve">בתור, </w:t>
      </w:r>
      <w:bookmarkStart w:id="3437" w:name="_ETM_Q5_273700"/>
      <w:bookmarkEnd w:id="3437"/>
      <w:r>
        <w:rPr>
          <w:rFonts w:hint="cs"/>
          <w:rtl/>
        </w:rPr>
        <w:t xml:space="preserve">השר </w:t>
      </w:r>
      <w:bookmarkStart w:id="3438" w:name="_ETM_Q5_273940"/>
      <w:bookmarkEnd w:id="3438"/>
      <w:r>
        <w:rPr>
          <w:rFonts w:hint="cs"/>
          <w:rtl/>
        </w:rPr>
        <w:t xml:space="preserve">סמוטריץ'. אני מזמין </w:t>
      </w:r>
      <w:bookmarkStart w:id="3439" w:name="_ETM_Q5_275110"/>
      <w:bookmarkEnd w:id="3439"/>
      <w:r>
        <w:rPr>
          <w:rFonts w:hint="cs"/>
          <w:rtl/>
        </w:rPr>
        <w:t>אות</w:t>
      </w:r>
      <w:bookmarkStart w:id="3440" w:name="_ETM_Q5_275440"/>
      <w:bookmarkEnd w:id="3440"/>
      <w:r>
        <w:rPr>
          <w:rFonts w:hint="cs"/>
          <w:rtl/>
        </w:rPr>
        <w:t xml:space="preserve">ך, השר אוחנה, </w:t>
      </w:r>
      <w:bookmarkStart w:id="3441" w:name="_ETM_Q5_275650"/>
      <w:bookmarkStart w:id="3442" w:name="_ETM_Q5_276649"/>
      <w:bookmarkEnd w:id="3441"/>
      <w:bookmarkEnd w:id="3442"/>
      <w:r>
        <w:rPr>
          <w:rFonts w:hint="cs"/>
          <w:rtl/>
        </w:rPr>
        <w:t xml:space="preserve">ומזמין </w:t>
      </w:r>
      <w:bookmarkStart w:id="3443" w:name="_ETM_Q5_276920"/>
      <w:bookmarkEnd w:id="3443"/>
      <w:r>
        <w:rPr>
          <w:rFonts w:hint="cs"/>
          <w:rtl/>
        </w:rPr>
        <w:t xml:space="preserve">אותך, </w:t>
      </w:r>
      <w:bookmarkStart w:id="3444" w:name="_ETM_Q5_277219"/>
      <w:bookmarkEnd w:id="3444"/>
      <w:r>
        <w:rPr>
          <w:rFonts w:hint="cs"/>
          <w:rtl/>
        </w:rPr>
        <w:t xml:space="preserve">השר </w:t>
      </w:r>
      <w:bookmarkStart w:id="3445" w:name="_ETM_Q5_277459"/>
      <w:bookmarkEnd w:id="3445"/>
      <w:r>
        <w:rPr>
          <w:rFonts w:hint="cs"/>
          <w:rtl/>
        </w:rPr>
        <w:t xml:space="preserve">אלי </w:t>
      </w:r>
      <w:bookmarkStart w:id="3446" w:name="_ETM_Q5_277609"/>
      <w:bookmarkEnd w:id="3446"/>
      <w:r>
        <w:rPr>
          <w:rFonts w:hint="cs"/>
          <w:rtl/>
        </w:rPr>
        <w:t xml:space="preserve">כהן, </w:t>
      </w:r>
      <w:bookmarkStart w:id="3447" w:name="_ETM_Q5_277850"/>
      <w:bookmarkEnd w:id="3447"/>
      <w:r>
        <w:rPr>
          <w:rFonts w:hint="cs"/>
          <w:rtl/>
        </w:rPr>
        <w:t xml:space="preserve">שר </w:t>
      </w:r>
      <w:bookmarkStart w:id="3448" w:name="_ETM_Q5_278030"/>
      <w:bookmarkEnd w:id="3448"/>
      <w:r>
        <w:rPr>
          <w:rFonts w:hint="cs"/>
          <w:rtl/>
        </w:rPr>
        <w:t xml:space="preserve">החוץ </w:t>
      </w:r>
      <w:bookmarkStart w:id="3449" w:name="_ETM_Q5_279209"/>
      <w:bookmarkEnd w:id="3449"/>
      <w:r>
        <w:rPr>
          <w:rFonts w:hint="cs"/>
          <w:rtl/>
        </w:rPr>
        <w:t xml:space="preserve">– תקרא </w:t>
      </w:r>
      <w:bookmarkStart w:id="3450" w:name="_ETM_Q5_279630"/>
      <w:bookmarkEnd w:id="3450"/>
      <w:r>
        <w:rPr>
          <w:rFonts w:hint="cs"/>
          <w:rtl/>
        </w:rPr>
        <w:t xml:space="preserve">את </w:t>
      </w:r>
      <w:bookmarkStart w:id="3451" w:name="_ETM_Q5_279720"/>
      <w:bookmarkEnd w:id="3451"/>
      <w:r>
        <w:rPr>
          <w:rFonts w:hint="cs"/>
          <w:rtl/>
        </w:rPr>
        <w:t xml:space="preserve">תוכנית </w:t>
      </w:r>
      <w:bookmarkStart w:id="3452" w:name="_ETM_Q5_280049"/>
      <w:bookmarkEnd w:id="3452"/>
      <w:r>
        <w:rPr>
          <w:rFonts w:hint="cs"/>
          <w:rtl/>
        </w:rPr>
        <w:t xml:space="preserve">ההכרעה </w:t>
      </w:r>
      <w:bookmarkStart w:id="3453" w:name="_ETM_Q5_280380"/>
      <w:bookmarkEnd w:id="3453"/>
      <w:r>
        <w:rPr>
          <w:rFonts w:hint="cs"/>
          <w:rtl/>
        </w:rPr>
        <w:t xml:space="preserve">מ-2007. </w:t>
      </w:r>
      <w:bookmarkStart w:id="3454" w:name="_ETM_Q5_281189"/>
      <w:bookmarkEnd w:id="3454"/>
      <w:r>
        <w:rPr>
          <w:rFonts w:hint="cs"/>
          <w:rtl/>
        </w:rPr>
        <w:t xml:space="preserve">הוא </w:t>
      </w:r>
      <w:bookmarkStart w:id="3455" w:name="_ETM_Q5_281250"/>
      <w:bookmarkEnd w:id="3455"/>
      <w:r>
        <w:rPr>
          <w:rFonts w:hint="cs"/>
          <w:rtl/>
        </w:rPr>
        <w:t xml:space="preserve">אומר </w:t>
      </w:r>
      <w:bookmarkStart w:id="3456" w:name="_ETM_Q5_281430"/>
      <w:bookmarkEnd w:id="3456"/>
      <w:r>
        <w:rPr>
          <w:rFonts w:hint="cs"/>
          <w:rtl/>
        </w:rPr>
        <w:t xml:space="preserve">בדיוק </w:t>
      </w:r>
      <w:bookmarkStart w:id="3457" w:name="_ETM_Q5_281729"/>
      <w:bookmarkEnd w:id="3457"/>
      <w:r>
        <w:rPr>
          <w:rFonts w:hint="cs"/>
          <w:rtl/>
        </w:rPr>
        <w:t xml:space="preserve">מה </w:t>
      </w:r>
      <w:bookmarkStart w:id="3458" w:name="_ETM_Q5_281850"/>
      <w:bookmarkEnd w:id="3458"/>
      <w:r>
        <w:rPr>
          <w:rFonts w:hint="cs"/>
          <w:rtl/>
        </w:rPr>
        <w:t xml:space="preserve">הולך </w:t>
      </w:r>
      <w:bookmarkStart w:id="3459" w:name="_ETM_Q5_282060"/>
      <w:bookmarkEnd w:id="3459"/>
      <w:r>
        <w:rPr>
          <w:rFonts w:hint="cs"/>
          <w:rtl/>
        </w:rPr>
        <w:t xml:space="preserve">להיות </w:t>
      </w:r>
      <w:bookmarkStart w:id="3460" w:name="_ETM_Q5_282329"/>
      <w:bookmarkEnd w:id="3460"/>
      <w:r>
        <w:rPr>
          <w:rFonts w:hint="cs"/>
          <w:rtl/>
        </w:rPr>
        <w:t xml:space="preserve">פה </w:t>
      </w:r>
      <w:bookmarkStart w:id="3461" w:name="_ETM_Q5_282659"/>
      <w:bookmarkStart w:id="3462" w:name="_ETM_Q5_282899"/>
      <w:bookmarkEnd w:id="3461"/>
      <w:bookmarkEnd w:id="3462"/>
      <w:r>
        <w:rPr>
          <w:rFonts w:hint="cs"/>
          <w:rtl/>
        </w:rPr>
        <w:t xml:space="preserve">– להשקפתו, </w:t>
      </w:r>
      <w:bookmarkStart w:id="3463" w:name="_ETM_Q5_284409"/>
      <w:bookmarkEnd w:id="3463"/>
      <w:r>
        <w:rPr>
          <w:rFonts w:hint="cs"/>
          <w:rtl/>
        </w:rPr>
        <w:t xml:space="preserve">לא </w:t>
      </w:r>
      <w:bookmarkStart w:id="3464" w:name="_ETM_Q5_284560"/>
      <w:bookmarkEnd w:id="3464"/>
      <w:r>
        <w:rPr>
          <w:rFonts w:hint="cs"/>
          <w:rtl/>
        </w:rPr>
        <w:t>להשקפתכם</w:t>
      </w:r>
      <w:bookmarkStart w:id="3465" w:name="_ETM_Q5_285280"/>
      <w:bookmarkEnd w:id="3465"/>
      <w:r>
        <w:rPr>
          <w:rFonts w:hint="cs"/>
          <w:rtl/>
        </w:rPr>
        <w:t xml:space="preserve">; אני </w:t>
      </w:r>
      <w:bookmarkStart w:id="3466" w:name="_ETM_Q5_285490"/>
      <w:bookmarkEnd w:id="3466"/>
      <w:r>
        <w:rPr>
          <w:rFonts w:hint="cs"/>
          <w:rtl/>
        </w:rPr>
        <w:t xml:space="preserve">יודע, </w:t>
      </w:r>
      <w:bookmarkStart w:id="3467" w:name="_ETM_Q5_285729"/>
      <w:bookmarkEnd w:id="3467"/>
      <w:r>
        <w:rPr>
          <w:rFonts w:hint="cs"/>
          <w:rtl/>
        </w:rPr>
        <w:t xml:space="preserve">לא </w:t>
      </w:r>
      <w:bookmarkStart w:id="3468" w:name="_ETM_Q5_285819"/>
      <w:bookmarkEnd w:id="3468"/>
      <w:r>
        <w:rPr>
          <w:rFonts w:hint="cs"/>
          <w:rtl/>
        </w:rPr>
        <w:t xml:space="preserve">להשקפתכם. </w:t>
      </w:r>
      <w:bookmarkStart w:id="3469" w:name="_ETM_Q5_287250"/>
      <w:bookmarkEnd w:id="3469"/>
      <w:r>
        <w:rPr>
          <w:rFonts w:hint="cs"/>
          <w:rtl/>
        </w:rPr>
        <w:t xml:space="preserve">להשקפתו </w:t>
      </w:r>
      <w:bookmarkStart w:id="3470" w:name="_ETM_Q5_287939"/>
      <w:bookmarkEnd w:id="3470"/>
      <w:r>
        <w:rPr>
          <w:rFonts w:hint="cs"/>
          <w:rtl/>
        </w:rPr>
        <w:t xml:space="preserve">– מדינת </w:t>
      </w:r>
      <w:bookmarkStart w:id="3471" w:name="_ETM_Q5_288329"/>
      <w:bookmarkEnd w:id="3471"/>
      <w:r>
        <w:rPr>
          <w:rFonts w:hint="cs"/>
          <w:rtl/>
        </w:rPr>
        <w:t>אפרטהייד</w:t>
      </w:r>
      <w:bookmarkStart w:id="3472" w:name="_ETM_Q5_289179"/>
      <w:bookmarkEnd w:id="3472"/>
      <w:r>
        <w:rPr>
          <w:rFonts w:hint="cs"/>
          <w:rtl/>
        </w:rPr>
        <w:t xml:space="preserve">, זה </w:t>
      </w:r>
      <w:bookmarkStart w:id="3473" w:name="_ETM_Q5_289420"/>
      <w:bookmarkEnd w:id="3473"/>
      <w:r>
        <w:rPr>
          <w:rFonts w:hint="cs"/>
          <w:rtl/>
        </w:rPr>
        <w:t xml:space="preserve">מה </w:t>
      </w:r>
      <w:bookmarkStart w:id="3474" w:name="_ETM_Q5_289539"/>
      <w:bookmarkEnd w:id="3474"/>
      <w:r>
        <w:rPr>
          <w:rFonts w:hint="cs"/>
          <w:rtl/>
        </w:rPr>
        <w:t xml:space="preserve">שהוא </w:t>
      </w:r>
      <w:bookmarkStart w:id="3475" w:name="_ETM_Q5_289719"/>
      <w:bookmarkEnd w:id="3475"/>
      <w:r>
        <w:rPr>
          <w:rFonts w:hint="cs"/>
          <w:rtl/>
        </w:rPr>
        <w:t xml:space="preserve">רוצה </w:t>
      </w:r>
      <w:bookmarkStart w:id="3476" w:name="_ETM_Q5_289990"/>
      <w:bookmarkEnd w:id="3476"/>
      <w:r>
        <w:rPr>
          <w:rFonts w:hint="cs"/>
          <w:rtl/>
        </w:rPr>
        <w:t xml:space="preserve">ליישם. </w:t>
      </w:r>
      <w:bookmarkStart w:id="3477" w:name="_ETM_Q5_290319"/>
      <w:bookmarkStart w:id="3478" w:name="_ETM_Q5_290439"/>
      <w:bookmarkEnd w:id="3477"/>
      <w:bookmarkEnd w:id="3478"/>
      <w:r>
        <w:rPr>
          <w:rFonts w:hint="cs"/>
          <w:rtl/>
        </w:rPr>
        <w:t xml:space="preserve">אז </w:t>
      </w:r>
      <w:bookmarkStart w:id="3479" w:name="_ETM_Q5_290530"/>
      <w:bookmarkEnd w:id="3479"/>
      <w:r>
        <w:rPr>
          <w:rFonts w:hint="cs"/>
          <w:rtl/>
        </w:rPr>
        <w:t xml:space="preserve">על </w:t>
      </w:r>
      <w:bookmarkStart w:id="3480" w:name="_ETM_Q5_290590"/>
      <w:bookmarkEnd w:id="3480"/>
      <w:r>
        <w:rPr>
          <w:rFonts w:hint="cs"/>
          <w:rtl/>
        </w:rPr>
        <w:t xml:space="preserve">מה </w:t>
      </w:r>
      <w:bookmarkStart w:id="3481" w:name="_ETM_Q5_290710"/>
      <w:bookmarkEnd w:id="3481"/>
      <w:r>
        <w:rPr>
          <w:rFonts w:hint="cs"/>
          <w:rtl/>
        </w:rPr>
        <w:t xml:space="preserve">הוא </w:t>
      </w:r>
      <w:bookmarkStart w:id="3482" w:name="_ETM_Q5_290770"/>
      <w:bookmarkEnd w:id="3482"/>
      <w:r>
        <w:rPr>
          <w:rFonts w:hint="cs"/>
          <w:rtl/>
        </w:rPr>
        <w:t xml:space="preserve">מתעקש? </w:t>
      </w:r>
      <w:bookmarkStart w:id="3483" w:name="_ETM_Q5_291549"/>
      <w:bookmarkEnd w:id="3483"/>
      <w:r>
        <w:rPr>
          <w:rFonts w:hint="cs"/>
          <w:rtl/>
        </w:rPr>
        <w:t xml:space="preserve">על להיות שר </w:t>
      </w:r>
      <w:bookmarkStart w:id="3484" w:name="_ETM_Q5_292090"/>
      <w:bookmarkEnd w:id="3484"/>
      <w:r>
        <w:rPr>
          <w:rFonts w:hint="cs"/>
          <w:rtl/>
        </w:rPr>
        <w:t xml:space="preserve">במשרד </w:t>
      </w:r>
      <w:bookmarkStart w:id="3485" w:name="_ETM_Q5_292479"/>
      <w:bookmarkEnd w:id="3485"/>
      <w:r>
        <w:rPr>
          <w:rFonts w:hint="cs"/>
          <w:rtl/>
        </w:rPr>
        <w:t xml:space="preserve">הביטחון, </w:t>
      </w:r>
      <w:bookmarkStart w:id="3486" w:name="_ETM_Q5_293630"/>
      <w:bookmarkEnd w:id="3486"/>
      <w:r>
        <w:rPr>
          <w:rFonts w:hint="cs"/>
          <w:rtl/>
        </w:rPr>
        <w:t xml:space="preserve">ומשנים </w:t>
      </w:r>
      <w:bookmarkStart w:id="3487" w:name="_ETM_Q5_294140"/>
      <w:bookmarkEnd w:id="3487"/>
      <w:r>
        <w:rPr>
          <w:rFonts w:hint="cs"/>
          <w:rtl/>
        </w:rPr>
        <w:t xml:space="preserve">חוק </w:t>
      </w:r>
      <w:bookmarkStart w:id="3488" w:name="_ETM_Q5_294350"/>
      <w:bookmarkEnd w:id="3488"/>
      <w:r>
        <w:rPr>
          <w:rFonts w:hint="cs"/>
          <w:rtl/>
        </w:rPr>
        <w:t xml:space="preserve">לצורך </w:t>
      </w:r>
      <w:bookmarkStart w:id="3489" w:name="_ETM_Q5_294710"/>
      <w:bookmarkEnd w:id="3489"/>
      <w:r>
        <w:rPr>
          <w:rFonts w:hint="cs"/>
          <w:rtl/>
        </w:rPr>
        <w:t xml:space="preserve">העניין </w:t>
      </w:r>
      <w:bookmarkStart w:id="3490" w:name="_ETM_Q5_294980"/>
      <w:bookmarkEnd w:id="3490"/>
      <w:r>
        <w:rPr>
          <w:rFonts w:hint="cs"/>
          <w:rtl/>
        </w:rPr>
        <w:t xml:space="preserve">הזה, </w:t>
      </w:r>
      <w:bookmarkStart w:id="3491" w:name="_ETM_Q5_295900"/>
      <w:bookmarkEnd w:id="3491"/>
      <w:r>
        <w:rPr>
          <w:rFonts w:hint="cs"/>
          <w:rtl/>
        </w:rPr>
        <w:t xml:space="preserve">ויושבים </w:t>
      </w:r>
      <w:bookmarkStart w:id="3492" w:name="_ETM_Q5_296350"/>
      <w:bookmarkEnd w:id="3492"/>
      <w:r>
        <w:rPr>
          <w:rFonts w:hint="cs"/>
          <w:rtl/>
        </w:rPr>
        <w:t xml:space="preserve">עוד </w:t>
      </w:r>
      <w:bookmarkStart w:id="3493" w:name="_ETM_Q5_296470"/>
      <w:bookmarkEnd w:id="3493"/>
      <w:r>
        <w:rPr>
          <w:rFonts w:hint="cs"/>
          <w:rtl/>
        </w:rPr>
        <w:t xml:space="preserve">פעם </w:t>
      </w:r>
      <w:bookmarkStart w:id="3494" w:name="_ETM_Q5_296650"/>
      <w:bookmarkEnd w:id="3494"/>
      <w:r>
        <w:rPr>
          <w:rFonts w:hint="cs"/>
          <w:rtl/>
        </w:rPr>
        <w:t xml:space="preserve">ימים </w:t>
      </w:r>
      <w:bookmarkStart w:id="3495" w:name="_ETM_Q5_296920"/>
      <w:bookmarkEnd w:id="3495"/>
      <w:r>
        <w:rPr>
          <w:rFonts w:hint="cs"/>
          <w:rtl/>
        </w:rPr>
        <w:t xml:space="preserve">ולילות. </w:t>
      </w:r>
      <w:bookmarkStart w:id="3496" w:name="_ETM_Q5_297369"/>
      <w:bookmarkEnd w:id="3496"/>
      <w:r>
        <w:rPr>
          <w:rFonts w:hint="cs"/>
          <w:rtl/>
        </w:rPr>
        <w:t xml:space="preserve">מה </w:t>
      </w:r>
      <w:bookmarkStart w:id="3497" w:name="_ETM_Q5_297549"/>
      <w:bookmarkEnd w:id="3497"/>
      <w:r>
        <w:rPr>
          <w:rFonts w:hint="cs"/>
          <w:rtl/>
        </w:rPr>
        <w:t xml:space="preserve">הקשר בין </w:t>
      </w:r>
      <w:bookmarkStart w:id="3498" w:name="_ETM_Q5_298180"/>
      <w:bookmarkEnd w:id="3498"/>
      <w:r>
        <w:rPr>
          <w:rFonts w:hint="cs"/>
          <w:rtl/>
        </w:rPr>
        <w:t xml:space="preserve">זה </w:t>
      </w:r>
      <w:bookmarkStart w:id="3499" w:name="_ETM_Q5_298390"/>
      <w:bookmarkEnd w:id="3499"/>
      <w:r>
        <w:rPr>
          <w:rFonts w:hint="cs"/>
          <w:rtl/>
        </w:rPr>
        <w:t xml:space="preserve">לבין </w:t>
      </w:r>
      <w:bookmarkStart w:id="3500" w:name="_ETM_Q5_298600"/>
      <w:bookmarkEnd w:id="3500"/>
      <w:r>
        <w:rPr>
          <w:rFonts w:hint="cs"/>
          <w:rtl/>
        </w:rPr>
        <w:t xml:space="preserve">טובת </w:t>
      </w:r>
      <w:bookmarkStart w:id="3501" w:name="_ETM_Q5_298869"/>
      <w:bookmarkEnd w:id="3501"/>
      <w:r>
        <w:rPr>
          <w:rFonts w:hint="cs"/>
          <w:rtl/>
        </w:rPr>
        <w:t xml:space="preserve">אזרחי </w:t>
      </w:r>
      <w:bookmarkStart w:id="3502" w:name="_ETM_Q5_299170"/>
      <w:bookmarkEnd w:id="3502"/>
      <w:r>
        <w:rPr>
          <w:rFonts w:hint="cs"/>
          <w:rtl/>
        </w:rPr>
        <w:t xml:space="preserve">מדינת </w:t>
      </w:r>
      <w:bookmarkStart w:id="3503" w:name="_ETM_Q5_299500"/>
      <w:bookmarkEnd w:id="3503"/>
      <w:r>
        <w:rPr>
          <w:rFonts w:hint="cs"/>
          <w:rtl/>
        </w:rPr>
        <w:t>ישראל?</w:t>
      </w:r>
    </w:p>
    <w:p w:rsidR="000C5C1F" w:rsidRDefault="000C5C1F" w:rsidP="000C5C1F">
      <w:pPr>
        <w:rPr>
          <w:rtl/>
        </w:rPr>
      </w:pPr>
      <w:bookmarkStart w:id="3504" w:name="_ETM_Q5_298000"/>
      <w:bookmarkEnd w:id="3504"/>
    </w:p>
    <w:p w:rsidR="000C5C1F" w:rsidRDefault="000C5C1F" w:rsidP="000C5C1F">
      <w:pPr>
        <w:rPr>
          <w:rtl/>
        </w:rPr>
      </w:pPr>
      <w:bookmarkStart w:id="3505" w:name="_ETM_Q5_299000"/>
      <w:bookmarkStart w:id="3506" w:name="_ETM_Q5_301049"/>
      <w:bookmarkEnd w:id="3505"/>
      <w:bookmarkEnd w:id="3506"/>
      <w:r>
        <w:rPr>
          <w:rFonts w:hint="cs"/>
          <w:rtl/>
        </w:rPr>
        <w:t xml:space="preserve">אבל </w:t>
      </w:r>
      <w:bookmarkStart w:id="3507" w:name="_ETM_Q5_301350"/>
      <w:bookmarkEnd w:id="3507"/>
      <w:r>
        <w:rPr>
          <w:rFonts w:hint="cs"/>
          <w:rtl/>
        </w:rPr>
        <w:t>אי</w:t>
      </w:r>
      <w:bookmarkStart w:id="3508" w:name="_ETM_Q5_301469"/>
      <w:bookmarkEnd w:id="3508"/>
      <w:r>
        <w:rPr>
          <w:rFonts w:hint="cs"/>
          <w:rtl/>
        </w:rPr>
        <w:t xml:space="preserve">-אפשר </w:t>
      </w:r>
      <w:bookmarkStart w:id="3509" w:name="_ETM_Q5_301709"/>
      <w:bookmarkEnd w:id="3509"/>
      <w:r>
        <w:rPr>
          <w:rFonts w:hint="cs"/>
          <w:rtl/>
        </w:rPr>
        <w:t xml:space="preserve">ליישם </w:t>
      </w:r>
      <w:bookmarkStart w:id="3510" w:name="_ETM_Q5_302039"/>
      <w:bookmarkEnd w:id="3510"/>
      <w:r>
        <w:rPr>
          <w:rFonts w:hint="cs"/>
          <w:rtl/>
        </w:rPr>
        <w:t xml:space="preserve">את </w:t>
      </w:r>
      <w:bookmarkStart w:id="3511" w:name="_ETM_Q5_302099"/>
      <w:bookmarkEnd w:id="3511"/>
      <w:r>
        <w:rPr>
          <w:rFonts w:hint="cs"/>
          <w:rtl/>
        </w:rPr>
        <w:t xml:space="preserve">המדיניות </w:t>
      </w:r>
      <w:bookmarkStart w:id="3512" w:name="_ETM_Q5_302520"/>
      <w:bookmarkEnd w:id="3512"/>
      <w:r>
        <w:rPr>
          <w:rFonts w:hint="cs"/>
          <w:rtl/>
        </w:rPr>
        <w:t xml:space="preserve">של </w:t>
      </w:r>
      <w:bookmarkStart w:id="3513" w:name="_ETM_Q5_302729"/>
      <w:bookmarkEnd w:id="3513"/>
      <w:r>
        <w:rPr>
          <w:rFonts w:hint="cs"/>
          <w:rtl/>
        </w:rPr>
        <w:t xml:space="preserve">זה </w:t>
      </w:r>
      <w:bookmarkStart w:id="3514" w:name="_ETM_Q5_303270"/>
      <w:bookmarkEnd w:id="3514"/>
      <w:r>
        <w:rPr>
          <w:rFonts w:hint="cs"/>
          <w:rtl/>
        </w:rPr>
        <w:t xml:space="preserve">ושל </w:t>
      </w:r>
      <w:bookmarkStart w:id="3515" w:name="_ETM_Q5_303630"/>
      <w:bookmarkEnd w:id="3515"/>
      <w:r>
        <w:rPr>
          <w:rFonts w:hint="cs"/>
          <w:rtl/>
        </w:rPr>
        <w:t xml:space="preserve">זה </w:t>
      </w:r>
      <w:bookmarkStart w:id="3516" w:name="_ETM_Q5_304259"/>
      <w:bookmarkEnd w:id="3516"/>
      <w:r>
        <w:rPr>
          <w:rFonts w:hint="cs"/>
          <w:rtl/>
        </w:rPr>
        <w:t xml:space="preserve">ושל </w:t>
      </w:r>
      <w:bookmarkStart w:id="3517" w:name="_ETM_Q5_304619"/>
      <w:bookmarkEnd w:id="3517"/>
      <w:r>
        <w:rPr>
          <w:rFonts w:hint="cs"/>
          <w:rtl/>
        </w:rPr>
        <w:t xml:space="preserve">ההוא </w:t>
      </w:r>
      <w:bookmarkStart w:id="3518" w:name="_ETM_Q5_306170"/>
      <w:bookmarkEnd w:id="3518"/>
      <w:r>
        <w:rPr>
          <w:rFonts w:hint="cs"/>
          <w:rtl/>
        </w:rPr>
        <w:t xml:space="preserve">אם </w:t>
      </w:r>
      <w:bookmarkStart w:id="3519" w:name="_ETM_Q5_306350"/>
      <w:bookmarkEnd w:id="3519"/>
      <w:r>
        <w:rPr>
          <w:rFonts w:hint="cs"/>
          <w:rtl/>
        </w:rPr>
        <w:t xml:space="preserve">לא </w:t>
      </w:r>
      <w:bookmarkStart w:id="3520" w:name="_ETM_Q5_306590"/>
      <w:bookmarkEnd w:id="3520"/>
      <w:r>
        <w:rPr>
          <w:rFonts w:hint="cs"/>
          <w:rtl/>
        </w:rPr>
        <w:t xml:space="preserve">יהיה </w:t>
      </w:r>
      <w:bookmarkStart w:id="3521" w:name="_ETM_Q5_306860"/>
      <w:bookmarkEnd w:id="3521"/>
      <w:r>
        <w:rPr>
          <w:rFonts w:hint="cs"/>
          <w:rtl/>
        </w:rPr>
        <w:t xml:space="preserve">פה </w:t>
      </w:r>
      <w:bookmarkStart w:id="3522" w:name="_ETM_Q5_307040"/>
      <w:bookmarkEnd w:id="3522"/>
      <w:r>
        <w:rPr>
          <w:rFonts w:hint="cs"/>
          <w:rtl/>
        </w:rPr>
        <w:t xml:space="preserve">ריסוק </w:t>
      </w:r>
      <w:bookmarkStart w:id="3523" w:name="_ETM_Q5_307640"/>
      <w:bookmarkEnd w:id="3523"/>
      <w:r>
        <w:rPr>
          <w:rFonts w:hint="cs"/>
          <w:rtl/>
        </w:rPr>
        <w:t xml:space="preserve">משמעותי </w:t>
      </w:r>
      <w:bookmarkStart w:id="3524" w:name="_ETM_Q5_308240"/>
      <w:bookmarkEnd w:id="3524"/>
      <w:r>
        <w:rPr>
          <w:rFonts w:hint="cs"/>
          <w:rtl/>
        </w:rPr>
        <w:t xml:space="preserve">של המערכת </w:t>
      </w:r>
      <w:bookmarkStart w:id="3525" w:name="_ETM_Q5_308600"/>
      <w:bookmarkEnd w:id="3525"/>
      <w:r>
        <w:rPr>
          <w:rFonts w:hint="cs"/>
          <w:rtl/>
        </w:rPr>
        <w:t>המשפטית</w:t>
      </w:r>
      <w:bookmarkStart w:id="3526" w:name="_ETM_Q5_309810"/>
      <w:bookmarkEnd w:id="3526"/>
      <w:r>
        <w:rPr>
          <w:rFonts w:hint="cs"/>
          <w:rtl/>
        </w:rPr>
        <w:t xml:space="preserve">. פשוט </w:t>
      </w:r>
      <w:bookmarkStart w:id="3527" w:name="_ETM_Q5_310110"/>
      <w:bookmarkEnd w:id="3527"/>
      <w:r>
        <w:rPr>
          <w:rFonts w:hint="cs"/>
          <w:rtl/>
        </w:rPr>
        <w:t>אי</w:t>
      </w:r>
      <w:bookmarkStart w:id="3528" w:name="_ETM_Q5_310200"/>
      <w:bookmarkEnd w:id="3528"/>
      <w:r>
        <w:rPr>
          <w:rFonts w:hint="cs"/>
          <w:rtl/>
        </w:rPr>
        <w:t xml:space="preserve">-אפשר. </w:t>
      </w:r>
      <w:bookmarkStart w:id="3529" w:name="_ETM_Q5_311239"/>
      <w:bookmarkEnd w:id="3529"/>
      <w:r>
        <w:rPr>
          <w:rFonts w:hint="cs"/>
          <w:rtl/>
        </w:rPr>
        <w:t xml:space="preserve">אז </w:t>
      </w:r>
      <w:bookmarkStart w:id="3530" w:name="_ETM_Q5_311450"/>
      <w:bookmarkEnd w:id="3530"/>
      <w:r>
        <w:rPr>
          <w:rFonts w:hint="cs"/>
          <w:rtl/>
        </w:rPr>
        <w:t xml:space="preserve">מי </w:t>
      </w:r>
      <w:bookmarkStart w:id="3531" w:name="_ETM_Q5_311780"/>
      <w:bookmarkEnd w:id="3531"/>
      <w:r>
        <w:rPr>
          <w:rFonts w:hint="cs"/>
          <w:rtl/>
        </w:rPr>
        <w:t xml:space="preserve">תופר </w:t>
      </w:r>
      <w:bookmarkStart w:id="3532" w:name="_ETM_Q5_312139"/>
      <w:bookmarkEnd w:id="3532"/>
      <w:r>
        <w:rPr>
          <w:rFonts w:hint="cs"/>
          <w:rtl/>
        </w:rPr>
        <w:t xml:space="preserve">את </w:t>
      </w:r>
      <w:bookmarkStart w:id="3533" w:name="_ETM_Q5_312230"/>
      <w:bookmarkEnd w:id="3533"/>
      <w:r>
        <w:rPr>
          <w:rFonts w:hint="cs"/>
          <w:rtl/>
        </w:rPr>
        <w:t xml:space="preserve">ההסכמים </w:t>
      </w:r>
      <w:bookmarkStart w:id="3534" w:name="_ETM_Q5_312590"/>
      <w:bookmarkEnd w:id="3534"/>
      <w:r>
        <w:rPr>
          <w:rFonts w:hint="cs"/>
          <w:rtl/>
        </w:rPr>
        <w:t xml:space="preserve">הקואליציוניים? </w:t>
      </w:r>
      <w:bookmarkStart w:id="3535" w:name="_ETM_Q5_313310"/>
      <w:bookmarkEnd w:id="3535"/>
      <w:r>
        <w:rPr>
          <w:rFonts w:hint="cs"/>
          <w:rtl/>
        </w:rPr>
        <w:t xml:space="preserve">מי </w:t>
      </w:r>
      <w:bookmarkStart w:id="3536" w:name="_ETM_Q5_313489"/>
      <w:bookmarkEnd w:id="3536"/>
      <w:r>
        <w:rPr>
          <w:rFonts w:hint="cs"/>
          <w:rtl/>
        </w:rPr>
        <w:t xml:space="preserve">יושב </w:t>
      </w:r>
      <w:bookmarkStart w:id="3537" w:name="_ETM_Q5_313879"/>
      <w:bookmarkEnd w:id="3537"/>
      <w:r>
        <w:rPr>
          <w:rFonts w:hint="cs"/>
          <w:rtl/>
        </w:rPr>
        <w:t xml:space="preserve">בראש </w:t>
      </w:r>
      <w:bookmarkStart w:id="3538" w:name="_ETM_Q5_314209"/>
      <w:bookmarkEnd w:id="3538"/>
      <w:r>
        <w:rPr>
          <w:rFonts w:hint="cs"/>
          <w:rtl/>
        </w:rPr>
        <w:t xml:space="preserve">השולחן </w:t>
      </w:r>
      <w:bookmarkStart w:id="3539" w:name="_ETM_Q5_315049"/>
      <w:bookmarkEnd w:id="3539"/>
      <w:r>
        <w:rPr>
          <w:rFonts w:hint="cs"/>
          <w:rtl/>
        </w:rPr>
        <w:t xml:space="preserve">שסוגר </w:t>
      </w:r>
      <w:bookmarkStart w:id="3540" w:name="_ETM_Q5_315530"/>
      <w:bookmarkEnd w:id="3540"/>
      <w:r>
        <w:rPr>
          <w:rFonts w:hint="cs"/>
          <w:rtl/>
        </w:rPr>
        <w:t xml:space="preserve">את </w:t>
      </w:r>
      <w:bookmarkStart w:id="3541" w:name="_ETM_Q5_315620"/>
      <w:bookmarkEnd w:id="3541"/>
      <w:r>
        <w:rPr>
          <w:rFonts w:hint="cs"/>
          <w:rtl/>
        </w:rPr>
        <w:t xml:space="preserve">ההסכמים </w:t>
      </w:r>
      <w:bookmarkStart w:id="3542" w:name="_ETM_Q5_315919"/>
      <w:bookmarkEnd w:id="3542"/>
      <w:r>
        <w:rPr>
          <w:rFonts w:hint="cs"/>
          <w:rtl/>
        </w:rPr>
        <w:t xml:space="preserve">הקואליציוניים? </w:t>
      </w:r>
      <w:bookmarkStart w:id="3543" w:name="_ETM_Q5_317250"/>
      <w:bookmarkEnd w:id="3543"/>
      <w:r>
        <w:rPr>
          <w:rFonts w:hint="cs"/>
          <w:rtl/>
        </w:rPr>
        <w:t xml:space="preserve">שר </w:t>
      </w:r>
      <w:bookmarkStart w:id="3544" w:name="_ETM_Q5_317490"/>
      <w:bookmarkEnd w:id="3544"/>
      <w:r>
        <w:rPr>
          <w:rFonts w:hint="cs"/>
          <w:rtl/>
        </w:rPr>
        <w:t xml:space="preserve">המשפטים </w:t>
      </w:r>
      <w:bookmarkStart w:id="3545" w:name="_ETM_Q5_317940"/>
      <w:bookmarkEnd w:id="3545"/>
      <w:r>
        <w:rPr>
          <w:rFonts w:hint="cs"/>
          <w:rtl/>
        </w:rPr>
        <w:t xml:space="preserve">דהיום </w:t>
      </w:r>
      <w:bookmarkStart w:id="3546" w:name="_ETM_Q5_318240"/>
      <w:bookmarkEnd w:id="3546"/>
      <w:r>
        <w:rPr>
          <w:rFonts w:hint="cs"/>
          <w:rtl/>
        </w:rPr>
        <w:t xml:space="preserve">יריב </w:t>
      </w:r>
      <w:bookmarkStart w:id="3547" w:name="_ETM_Q5_318480"/>
      <w:bookmarkEnd w:id="3547"/>
      <w:r>
        <w:rPr>
          <w:rFonts w:hint="cs"/>
          <w:rtl/>
        </w:rPr>
        <w:t xml:space="preserve">לוין. </w:t>
      </w:r>
      <w:bookmarkStart w:id="3548" w:name="_ETM_Q5_320590"/>
      <w:bookmarkEnd w:id="3548"/>
      <w:r>
        <w:rPr>
          <w:rFonts w:hint="cs"/>
          <w:rtl/>
        </w:rPr>
        <w:t xml:space="preserve">זה </w:t>
      </w:r>
      <w:bookmarkStart w:id="3549" w:name="_ETM_Q5_320889"/>
      <w:bookmarkEnd w:id="3549"/>
      <w:r>
        <w:rPr>
          <w:rFonts w:hint="cs"/>
          <w:rtl/>
        </w:rPr>
        <w:t xml:space="preserve">האירוע. </w:t>
      </w:r>
      <w:bookmarkStart w:id="3550" w:name="_ETM_Q5_322020"/>
      <w:bookmarkEnd w:id="3550"/>
      <w:r>
        <w:rPr>
          <w:rFonts w:hint="cs"/>
          <w:rtl/>
        </w:rPr>
        <w:t xml:space="preserve">וגם </w:t>
      </w:r>
      <w:bookmarkStart w:id="3551" w:name="_ETM_Q5_322440"/>
      <w:bookmarkEnd w:id="3551"/>
      <w:r>
        <w:rPr>
          <w:rFonts w:hint="cs"/>
          <w:rtl/>
        </w:rPr>
        <w:t xml:space="preserve">חלקכם, </w:t>
      </w:r>
      <w:bookmarkStart w:id="3552" w:name="_ETM_Q5_323100"/>
      <w:bookmarkEnd w:id="3552"/>
      <w:r>
        <w:rPr>
          <w:rFonts w:hint="cs"/>
          <w:rtl/>
        </w:rPr>
        <w:t xml:space="preserve">תודו </w:t>
      </w:r>
      <w:r>
        <w:t>–</w:t>
      </w:r>
      <w:r>
        <w:rPr>
          <w:rFonts w:hint="cs"/>
          <w:rtl/>
        </w:rPr>
        <w:t xml:space="preserve"> </w:t>
      </w:r>
      <w:bookmarkStart w:id="3553" w:name="_ETM_Q5_323790"/>
      <w:bookmarkEnd w:id="3553"/>
      <w:r>
        <w:rPr>
          <w:rFonts w:hint="cs"/>
          <w:rtl/>
        </w:rPr>
        <w:t xml:space="preserve">בוודאי </w:t>
      </w:r>
      <w:bookmarkStart w:id="3554" w:name="_ETM_Q5_324210"/>
      <w:bookmarkEnd w:id="3554"/>
      <w:r>
        <w:rPr>
          <w:rFonts w:hint="cs"/>
          <w:rtl/>
        </w:rPr>
        <w:t xml:space="preserve">לא </w:t>
      </w:r>
      <w:bookmarkStart w:id="3555" w:name="_ETM_Q5_324300"/>
      <w:bookmarkEnd w:id="3555"/>
      <w:r>
        <w:rPr>
          <w:rFonts w:hint="cs"/>
          <w:rtl/>
        </w:rPr>
        <w:t xml:space="preserve">תודו </w:t>
      </w:r>
      <w:bookmarkStart w:id="3556" w:name="_ETM_Q5_324570"/>
      <w:bookmarkEnd w:id="3556"/>
      <w:r>
        <w:rPr>
          <w:rFonts w:hint="cs"/>
          <w:rtl/>
        </w:rPr>
        <w:t xml:space="preserve">כאן </w:t>
      </w:r>
      <w:r>
        <w:t>–</w:t>
      </w:r>
      <w:r>
        <w:rPr>
          <w:rFonts w:hint="cs"/>
          <w:rtl/>
        </w:rPr>
        <w:t xml:space="preserve"> </w:t>
      </w:r>
      <w:bookmarkStart w:id="3557" w:name="_ETM_Q5_325840"/>
      <w:bookmarkEnd w:id="3557"/>
      <w:r>
        <w:rPr>
          <w:rFonts w:hint="cs"/>
          <w:rtl/>
        </w:rPr>
        <w:t xml:space="preserve">הוליכו </w:t>
      </w:r>
      <w:bookmarkStart w:id="3558" w:name="_ETM_Q5_326200"/>
      <w:bookmarkEnd w:id="3558"/>
      <w:r>
        <w:rPr>
          <w:rFonts w:hint="cs"/>
          <w:rtl/>
        </w:rPr>
        <w:t xml:space="preserve">אתכם </w:t>
      </w:r>
      <w:bookmarkStart w:id="3559" w:name="_ETM_Q5_326379"/>
      <w:bookmarkEnd w:id="3559"/>
      <w:r>
        <w:rPr>
          <w:rFonts w:hint="cs"/>
          <w:rtl/>
        </w:rPr>
        <w:t xml:space="preserve">בכחש </w:t>
      </w:r>
      <w:bookmarkStart w:id="3560" w:name="_ETM_Q5_327870"/>
      <w:bookmarkEnd w:id="3560"/>
      <w:r>
        <w:rPr>
          <w:rFonts w:hint="cs"/>
          <w:rtl/>
        </w:rPr>
        <w:t xml:space="preserve">גם </w:t>
      </w:r>
      <w:bookmarkStart w:id="3561" w:name="_ETM_Q5_328260"/>
      <w:bookmarkEnd w:id="3561"/>
      <w:r>
        <w:rPr>
          <w:rFonts w:hint="cs"/>
          <w:rtl/>
        </w:rPr>
        <w:t xml:space="preserve">בהסכמים </w:t>
      </w:r>
      <w:bookmarkStart w:id="3562" w:name="_ETM_Q5_328620"/>
      <w:bookmarkEnd w:id="3562"/>
      <w:r>
        <w:rPr>
          <w:rFonts w:hint="cs"/>
          <w:rtl/>
        </w:rPr>
        <w:t xml:space="preserve">הקואליציוניים, </w:t>
      </w:r>
      <w:bookmarkStart w:id="3563" w:name="_ETM_Q5_329639"/>
      <w:bookmarkEnd w:id="3563"/>
      <w:r>
        <w:rPr>
          <w:rFonts w:hint="cs"/>
          <w:rtl/>
        </w:rPr>
        <w:t xml:space="preserve">גם </w:t>
      </w:r>
      <w:bookmarkStart w:id="3564" w:name="_ETM_Q5_329909"/>
      <w:bookmarkEnd w:id="3564"/>
      <w:r>
        <w:rPr>
          <w:rFonts w:hint="cs"/>
          <w:rtl/>
        </w:rPr>
        <w:t xml:space="preserve">במה </w:t>
      </w:r>
      <w:bookmarkStart w:id="3565" w:name="_ETM_Q5_330120"/>
      <w:bookmarkEnd w:id="3565"/>
      <w:r>
        <w:rPr>
          <w:rFonts w:hint="cs"/>
          <w:rtl/>
        </w:rPr>
        <w:t xml:space="preserve">שנחתם, </w:t>
      </w:r>
      <w:bookmarkStart w:id="3566" w:name="_ETM_Q5_330659"/>
      <w:bookmarkEnd w:id="3566"/>
      <w:r>
        <w:rPr>
          <w:rFonts w:hint="cs"/>
          <w:rtl/>
        </w:rPr>
        <w:t xml:space="preserve">גם </w:t>
      </w:r>
      <w:bookmarkStart w:id="3567" w:name="_ETM_Q5_330870"/>
      <w:bookmarkEnd w:id="3567"/>
      <w:r>
        <w:rPr>
          <w:rFonts w:hint="cs"/>
          <w:rtl/>
        </w:rPr>
        <w:t xml:space="preserve">בסמכויות. </w:t>
      </w:r>
      <w:bookmarkStart w:id="3568" w:name="_ETM_Q5_331769"/>
      <w:bookmarkStart w:id="3569" w:name="_ETM_Q5_331000"/>
      <w:bookmarkEnd w:id="3568"/>
      <w:bookmarkEnd w:id="3569"/>
      <w:r>
        <w:rPr>
          <w:rFonts w:hint="cs"/>
          <w:rtl/>
        </w:rPr>
        <w:t xml:space="preserve">הגיוני </w:t>
      </w:r>
      <w:bookmarkStart w:id="3570" w:name="_ETM_Q5_332219"/>
      <w:bookmarkEnd w:id="3570"/>
      <w:r>
        <w:rPr>
          <w:rFonts w:hint="cs"/>
          <w:rtl/>
        </w:rPr>
        <w:t xml:space="preserve">שיהיה </w:t>
      </w:r>
      <w:bookmarkStart w:id="3571" w:name="_ETM_Q5_332459"/>
      <w:bookmarkEnd w:id="3571"/>
      <w:r>
        <w:rPr>
          <w:rFonts w:hint="cs"/>
          <w:rtl/>
        </w:rPr>
        <w:t xml:space="preserve">פיצול </w:t>
      </w:r>
      <w:bookmarkStart w:id="3572" w:name="_ETM_Q5_332819"/>
      <w:bookmarkEnd w:id="3572"/>
      <w:r>
        <w:rPr>
          <w:rFonts w:hint="cs"/>
          <w:rtl/>
        </w:rPr>
        <w:t xml:space="preserve">סמכויות </w:t>
      </w:r>
      <w:bookmarkStart w:id="3573" w:name="_ETM_Q5_333359"/>
      <w:bookmarkEnd w:id="3573"/>
      <w:r>
        <w:rPr>
          <w:rFonts w:hint="cs"/>
          <w:rtl/>
        </w:rPr>
        <w:t xml:space="preserve">במשרד </w:t>
      </w:r>
      <w:bookmarkStart w:id="3574" w:name="_ETM_Q5_333749"/>
      <w:bookmarkEnd w:id="3574"/>
      <w:r>
        <w:rPr>
          <w:rFonts w:hint="cs"/>
          <w:rtl/>
        </w:rPr>
        <w:t xml:space="preserve">הביטחון? </w:t>
      </w:r>
      <w:bookmarkStart w:id="3575" w:name="_ETM_Q5_334230"/>
      <w:bookmarkEnd w:id="3575"/>
      <w:r>
        <w:rPr>
          <w:rFonts w:hint="cs"/>
          <w:rtl/>
        </w:rPr>
        <w:t xml:space="preserve">לא </w:t>
      </w:r>
      <w:bookmarkStart w:id="3576" w:name="_ETM_Q5_334319"/>
      <w:bookmarkEnd w:id="3576"/>
      <w:r>
        <w:rPr>
          <w:rFonts w:hint="cs"/>
          <w:rtl/>
        </w:rPr>
        <w:t xml:space="preserve">היה </w:t>
      </w:r>
      <w:bookmarkStart w:id="3577" w:name="_ETM_Q5_334409"/>
      <w:bookmarkEnd w:id="3577"/>
      <w:r>
        <w:rPr>
          <w:rFonts w:hint="cs"/>
          <w:rtl/>
        </w:rPr>
        <w:t xml:space="preserve">מעולם. </w:t>
      </w:r>
      <w:bookmarkStart w:id="3578" w:name="_ETM_Q5_336930"/>
      <w:bookmarkEnd w:id="3578"/>
    </w:p>
    <w:p w:rsidR="000C5C1F" w:rsidRDefault="000C5C1F" w:rsidP="000C5C1F">
      <w:pPr>
        <w:rPr>
          <w:rtl/>
        </w:rPr>
      </w:pPr>
      <w:bookmarkStart w:id="3579" w:name="_ETM_Q5_339981"/>
      <w:bookmarkEnd w:id="3579"/>
    </w:p>
    <w:p w:rsidR="000C5C1F" w:rsidRDefault="000C5C1F" w:rsidP="000C5C1F">
      <w:pPr>
        <w:rPr>
          <w:rtl/>
        </w:rPr>
      </w:pPr>
      <w:bookmarkStart w:id="3580" w:name="_ETM_Q5_340139"/>
      <w:bookmarkStart w:id="3581" w:name="_ETM_Q5_340221"/>
      <w:bookmarkStart w:id="3582" w:name="_ETM_Q5_340312"/>
      <w:bookmarkEnd w:id="3580"/>
      <w:bookmarkEnd w:id="3581"/>
      <w:bookmarkEnd w:id="3582"/>
      <w:r>
        <w:rPr>
          <w:rFonts w:hint="cs"/>
          <w:rtl/>
        </w:rPr>
        <w:t xml:space="preserve">שומעים </w:t>
      </w:r>
      <w:bookmarkStart w:id="3583" w:name="_ETM_Q5_337440"/>
      <w:bookmarkEnd w:id="3583"/>
      <w:r>
        <w:rPr>
          <w:rFonts w:hint="cs"/>
          <w:rtl/>
        </w:rPr>
        <w:t xml:space="preserve">את </w:t>
      </w:r>
      <w:bookmarkStart w:id="3584" w:name="_ETM_Q5_337500"/>
      <w:bookmarkEnd w:id="3584"/>
      <w:r>
        <w:rPr>
          <w:rFonts w:hint="cs"/>
          <w:rtl/>
        </w:rPr>
        <w:t xml:space="preserve">הכוונות </w:t>
      </w:r>
      <w:r>
        <w:t>–</w:t>
      </w:r>
      <w:r>
        <w:rPr>
          <w:rFonts w:hint="cs"/>
          <w:rtl/>
        </w:rPr>
        <w:t xml:space="preserve"> </w:t>
      </w:r>
      <w:bookmarkStart w:id="3585" w:name="_ETM_Q5_338190"/>
      <w:bookmarkEnd w:id="3585"/>
      <w:r>
        <w:rPr>
          <w:rFonts w:hint="cs"/>
          <w:rtl/>
        </w:rPr>
        <w:t xml:space="preserve">לא </w:t>
      </w:r>
      <w:bookmarkStart w:id="3586" w:name="_ETM_Q5_338340"/>
      <w:bookmarkEnd w:id="3586"/>
      <w:r>
        <w:rPr>
          <w:rFonts w:hint="cs"/>
          <w:rtl/>
        </w:rPr>
        <w:t xml:space="preserve">כולן </w:t>
      </w:r>
      <w:bookmarkStart w:id="3587" w:name="_ETM_Q5_338610"/>
      <w:bookmarkEnd w:id="3587"/>
      <w:r>
        <w:rPr>
          <w:rFonts w:hint="cs"/>
          <w:rtl/>
        </w:rPr>
        <w:t xml:space="preserve">יושמו </w:t>
      </w:r>
      <w:bookmarkStart w:id="3588" w:name="_ETM_Q5_339180"/>
      <w:bookmarkEnd w:id="3588"/>
      <w:r>
        <w:rPr>
          <w:rFonts w:hint="cs"/>
          <w:rtl/>
        </w:rPr>
        <w:t xml:space="preserve">בינתיים. </w:t>
      </w:r>
      <w:bookmarkStart w:id="3589" w:name="_ETM_Q5_341349"/>
      <w:bookmarkStart w:id="3590" w:name="_ETM_Q5_336000"/>
      <w:bookmarkEnd w:id="3589"/>
      <w:bookmarkEnd w:id="3590"/>
      <w:r>
        <w:rPr>
          <w:rFonts w:hint="cs"/>
          <w:rtl/>
        </w:rPr>
        <w:t>השר בן גביר</w:t>
      </w:r>
      <w:bookmarkStart w:id="3591" w:name="_ETM_Q5_341769"/>
      <w:bookmarkEnd w:id="3591"/>
      <w:r>
        <w:rPr>
          <w:rFonts w:hint="cs"/>
          <w:rtl/>
        </w:rPr>
        <w:t xml:space="preserve"> </w:t>
      </w:r>
      <w:bookmarkStart w:id="3592" w:name="_ETM_Q5_339000"/>
      <w:bookmarkEnd w:id="3592"/>
      <w:r>
        <w:rPr>
          <w:rFonts w:hint="cs"/>
          <w:rtl/>
        </w:rPr>
        <w:t xml:space="preserve">רוצה </w:t>
      </w:r>
      <w:bookmarkStart w:id="3593" w:name="_ETM_Q5_342099"/>
      <w:bookmarkEnd w:id="3593"/>
      <w:r>
        <w:rPr>
          <w:rFonts w:hint="cs"/>
          <w:rtl/>
        </w:rPr>
        <w:t xml:space="preserve">אחריות </w:t>
      </w:r>
      <w:bookmarkStart w:id="3594" w:name="_ETM_Q5_342400"/>
      <w:bookmarkEnd w:id="3594"/>
      <w:r>
        <w:rPr>
          <w:rFonts w:hint="cs"/>
          <w:rtl/>
        </w:rPr>
        <w:t xml:space="preserve">על </w:t>
      </w:r>
      <w:bookmarkStart w:id="3595" w:name="_ETM_Q5_342459"/>
      <w:bookmarkEnd w:id="3595"/>
      <w:r>
        <w:rPr>
          <w:rFonts w:hint="cs"/>
          <w:rtl/>
        </w:rPr>
        <w:t xml:space="preserve">פלוגות </w:t>
      </w:r>
      <w:bookmarkStart w:id="3596" w:name="_ETM_Q5_342760"/>
      <w:bookmarkEnd w:id="3596"/>
      <w:r>
        <w:rPr>
          <w:rFonts w:hint="cs"/>
          <w:rtl/>
        </w:rPr>
        <w:t xml:space="preserve">מג"ב </w:t>
      </w:r>
      <w:bookmarkStart w:id="3597" w:name="_ETM_Q5_343919"/>
      <w:bookmarkEnd w:id="3597"/>
      <w:r>
        <w:rPr>
          <w:rFonts w:hint="cs"/>
          <w:rtl/>
        </w:rPr>
        <w:t xml:space="preserve">באיו"ש. </w:t>
      </w:r>
      <w:bookmarkStart w:id="3598" w:name="_ETM_Q5_345519"/>
      <w:bookmarkEnd w:id="3598"/>
      <w:r>
        <w:rPr>
          <w:rFonts w:hint="cs"/>
          <w:rtl/>
        </w:rPr>
        <w:t xml:space="preserve">למה? </w:t>
      </w:r>
      <w:bookmarkStart w:id="3599" w:name="_ETM_Q5_345939"/>
      <w:bookmarkEnd w:id="3599"/>
      <w:r>
        <w:rPr>
          <w:rFonts w:hint="cs"/>
          <w:rtl/>
        </w:rPr>
        <w:t xml:space="preserve">כי הוא </w:t>
      </w:r>
      <w:bookmarkStart w:id="3600" w:name="_ETM_Q5_346090"/>
      <w:bookmarkEnd w:id="3600"/>
      <w:r>
        <w:rPr>
          <w:rFonts w:hint="cs"/>
          <w:rtl/>
        </w:rPr>
        <w:t xml:space="preserve">הריבון. </w:t>
      </w:r>
      <w:bookmarkStart w:id="3601" w:name="_ETM_Q5_347169"/>
      <w:bookmarkEnd w:id="3601"/>
      <w:r>
        <w:rPr>
          <w:rFonts w:hint="cs"/>
          <w:rtl/>
        </w:rPr>
        <w:t xml:space="preserve">הוא </w:t>
      </w:r>
      <w:bookmarkStart w:id="3602" w:name="_ETM_Q5_347290"/>
      <w:bookmarkEnd w:id="3602"/>
      <w:r>
        <w:rPr>
          <w:rFonts w:hint="cs"/>
          <w:rtl/>
        </w:rPr>
        <w:t xml:space="preserve">לא </w:t>
      </w:r>
      <w:bookmarkStart w:id="3603" w:name="_ETM_Q5_347410"/>
      <w:bookmarkEnd w:id="3603"/>
      <w:r>
        <w:rPr>
          <w:rFonts w:hint="cs"/>
          <w:rtl/>
        </w:rPr>
        <w:t xml:space="preserve">ריבון </w:t>
      </w:r>
      <w:bookmarkStart w:id="3604" w:name="_ETM_Q5_347739"/>
      <w:bookmarkEnd w:id="3604"/>
      <w:r>
        <w:rPr>
          <w:rFonts w:hint="cs"/>
          <w:rtl/>
        </w:rPr>
        <w:t xml:space="preserve">ולא </w:t>
      </w:r>
      <w:bookmarkStart w:id="3605" w:name="_ETM_Q5_347919"/>
      <w:bookmarkEnd w:id="3605"/>
      <w:r>
        <w:rPr>
          <w:rFonts w:hint="cs"/>
          <w:rtl/>
        </w:rPr>
        <w:t xml:space="preserve">שום </w:t>
      </w:r>
      <w:bookmarkStart w:id="3606" w:name="_ETM_Q5_348099"/>
      <w:bookmarkEnd w:id="3606"/>
      <w:r>
        <w:rPr>
          <w:rFonts w:hint="cs"/>
          <w:rtl/>
        </w:rPr>
        <w:t xml:space="preserve">דבר, </w:t>
      </w:r>
      <w:bookmarkStart w:id="3607" w:name="_ETM_Q5_348669"/>
      <w:bookmarkEnd w:id="3607"/>
      <w:r>
        <w:rPr>
          <w:rFonts w:hint="cs"/>
          <w:rtl/>
        </w:rPr>
        <w:t xml:space="preserve">אבל </w:t>
      </w:r>
      <w:bookmarkStart w:id="3608" w:name="_ETM_Q5_348849"/>
      <w:bookmarkEnd w:id="3608"/>
      <w:r>
        <w:rPr>
          <w:rFonts w:hint="cs"/>
          <w:rtl/>
        </w:rPr>
        <w:t xml:space="preserve">זה </w:t>
      </w:r>
      <w:bookmarkStart w:id="3609" w:name="_ETM_Q5_348940"/>
      <w:bookmarkEnd w:id="3609"/>
      <w:r>
        <w:rPr>
          <w:rFonts w:hint="cs"/>
          <w:rtl/>
        </w:rPr>
        <w:t xml:space="preserve">כתוב </w:t>
      </w:r>
      <w:bookmarkStart w:id="3610" w:name="_ETM_Q5_349180"/>
      <w:bookmarkEnd w:id="3610"/>
      <w:r>
        <w:rPr>
          <w:rFonts w:hint="cs"/>
          <w:rtl/>
        </w:rPr>
        <w:t xml:space="preserve">בהסכם. </w:t>
      </w:r>
      <w:bookmarkStart w:id="3611" w:name="_ETM_Q5_351560"/>
      <w:bookmarkEnd w:id="3611"/>
      <w:r>
        <w:rPr>
          <w:rFonts w:hint="cs"/>
          <w:rtl/>
        </w:rPr>
        <w:t xml:space="preserve">לכן, </w:t>
      </w:r>
      <w:bookmarkStart w:id="3612" w:name="_ETM_Q5_351889"/>
      <w:bookmarkStart w:id="3613" w:name="_ETM_Q5_351950"/>
      <w:bookmarkEnd w:id="3612"/>
      <w:bookmarkEnd w:id="3613"/>
      <w:r>
        <w:rPr>
          <w:rFonts w:hint="cs"/>
          <w:rtl/>
        </w:rPr>
        <w:t xml:space="preserve">יש את העטיפה </w:t>
      </w:r>
      <w:bookmarkStart w:id="3614" w:name="_ETM_Q5_352519"/>
      <w:bookmarkEnd w:id="3614"/>
      <w:r>
        <w:rPr>
          <w:rFonts w:hint="cs"/>
          <w:rtl/>
        </w:rPr>
        <w:t xml:space="preserve">הראשונה, </w:t>
      </w:r>
      <w:bookmarkStart w:id="3615" w:name="_ETM_Q5_352909"/>
      <w:bookmarkEnd w:id="3615"/>
      <w:r>
        <w:rPr>
          <w:rFonts w:hint="cs"/>
          <w:rtl/>
        </w:rPr>
        <w:t xml:space="preserve">אלה </w:t>
      </w:r>
      <w:bookmarkStart w:id="3616" w:name="_ETM_Q5_353029"/>
      <w:bookmarkEnd w:id="3616"/>
      <w:r>
        <w:rPr>
          <w:rFonts w:hint="cs"/>
          <w:rtl/>
        </w:rPr>
        <w:t xml:space="preserve">ההסכמים </w:t>
      </w:r>
      <w:bookmarkStart w:id="3617" w:name="_ETM_Q5_353419"/>
      <w:bookmarkEnd w:id="3617"/>
      <w:r>
        <w:rPr>
          <w:rFonts w:hint="cs"/>
          <w:rtl/>
        </w:rPr>
        <w:t xml:space="preserve">הקואליציוניים </w:t>
      </w:r>
      <w:bookmarkStart w:id="3618" w:name="_ETM_Q5_354349"/>
      <w:bookmarkEnd w:id="3618"/>
      <w:r>
        <w:rPr>
          <w:rFonts w:hint="cs"/>
          <w:rtl/>
        </w:rPr>
        <w:t xml:space="preserve">– מושחתים, </w:t>
      </w:r>
      <w:bookmarkStart w:id="3619" w:name="_ETM_Q5_355069"/>
      <w:bookmarkEnd w:id="3619"/>
      <w:r>
        <w:rPr>
          <w:rFonts w:hint="cs"/>
          <w:rtl/>
        </w:rPr>
        <w:t xml:space="preserve">משחיתים </w:t>
      </w:r>
      <w:bookmarkStart w:id="3620" w:name="_ETM_Q5_355549"/>
      <w:bookmarkEnd w:id="3620"/>
      <w:r>
        <w:rPr>
          <w:rFonts w:hint="cs"/>
          <w:rtl/>
        </w:rPr>
        <w:t xml:space="preserve">ומסוכנים </w:t>
      </w:r>
      <w:bookmarkStart w:id="3621" w:name="_ETM_Q5_356299"/>
      <w:bookmarkEnd w:id="3621"/>
      <w:r>
        <w:rPr>
          <w:rFonts w:hint="cs"/>
          <w:rtl/>
        </w:rPr>
        <w:t xml:space="preserve">גם </w:t>
      </w:r>
      <w:bookmarkStart w:id="3622" w:name="_ETM_Q5_356569"/>
      <w:bookmarkEnd w:id="3622"/>
      <w:r>
        <w:rPr>
          <w:rFonts w:hint="cs"/>
          <w:rtl/>
        </w:rPr>
        <w:t xml:space="preserve">לכם, </w:t>
      </w:r>
      <w:bookmarkStart w:id="3623" w:name="_ETM_Q5_357019"/>
      <w:bookmarkStart w:id="3624" w:name="_ETM_Q5_357349"/>
      <w:bookmarkEnd w:id="3623"/>
      <w:bookmarkEnd w:id="3624"/>
      <w:r>
        <w:rPr>
          <w:rFonts w:hint="cs"/>
          <w:rtl/>
        </w:rPr>
        <w:t xml:space="preserve">חברי </w:t>
      </w:r>
      <w:bookmarkStart w:id="3625" w:name="_ETM_Q5_357680"/>
      <w:bookmarkEnd w:id="3625"/>
      <w:r>
        <w:rPr>
          <w:rFonts w:hint="cs"/>
          <w:rtl/>
        </w:rPr>
        <w:t>הליכוד</w:t>
      </w:r>
      <w:bookmarkStart w:id="3626" w:name="_ETM_Q5_359710"/>
      <w:bookmarkEnd w:id="3626"/>
      <w:r>
        <w:rPr>
          <w:rFonts w:hint="cs"/>
          <w:rtl/>
        </w:rPr>
        <w:t xml:space="preserve">, שנקראה </w:t>
      </w:r>
      <w:bookmarkStart w:id="3627" w:name="_ETM_Q5_360370"/>
      <w:bookmarkEnd w:id="3627"/>
      <w:r>
        <w:rPr>
          <w:rFonts w:hint="cs"/>
          <w:rtl/>
        </w:rPr>
        <w:t xml:space="preserve">בזמנו </w:t>
      </w:r>
      <w:bookmarkStart w:id="3628" w:name="_ETM_Q5_360760"/>
      <w:bookmarkEnd w:id="3628"/>
      <w:r>
        <w:rPr>
          <w:rFonts w:hint="cs"/>
          <w:rtl/>
        </w:rPr>
        <w:t xml:space="preserve">מפלגה </w:t>
      </w:r>
      <w:bookmarkStart w:id="3629" w:name="_ETM_Q5_361120"/>
      <w:bookmarkEnd w:id="3629"/>
      <w:r>
        <w:rPr>
          <w:rFonts w:hint="cs"/>
          <w:rtl/>
        </w:rPr>
        <w:t>ליברלית, ו</w:t>
      </w:r>
      <w:bookmarkStart w:id="3630" w:name="_ETM_Q5_361570"/>
      <w:bookmarkStart w:id="3631" w:name="_ETM_Q5_363849"/>
      <w:bookmarkEnd w:id="3630"/>
      <w:bookmarkEnd w:id="3631"/>
      <w:r>
        <w:rPr>
          <w:rFonts w:hint="cs"/>
          <w:rtl/>
        </w:rPr>
        <w:t xml:space="preserve">לא עוד, לא עוד. </w:t>
      </w:r>
      <w:bookmarkStart w:id="3632" w:name="_ETM_Q5_364970"/>
      <w:bookmarkEnd w:id="3632"/>
      <w:r>
        <w:rPr>
          <w:rFonts w:hint="cs"/>
          <w:rtl/>
        </w:rPr>
        <w:t xml:space="preserve">איך </w:t>
      </w:r>
      <w:bookmarkStart w:id="3633" w:name="_ETM_Q5_365120"/>
      <w:bookmarkEnd w:id="3633"/>
      <w:r>
        <w:rPr>
          <w:rFonts w:hint="cs"/>
          <w:rtl/>
        </w:rPr>
        <w:t xml:space="preserve">תהיו </w:t>
      </w:r>
      <w:bookmarkStart w:id="3634" w:name="_ETM_Q5_366000"/>
      <w:bookmarkStart w:id="3635" w:name="_ETM_Q5_365330"/>
      <w:bookmarkEnd w:id="3634"/>
      <w:bookmarkEnd w:id="3635"/>
      <w:r>
        <w:rPr>
          <w:rFonts w:hint="cs"/>
          <w:rtl/>
        </w:rPr>
        <w:t>ליברליים</w:t>
      </w:r>
      <w:bookmarkStart w:id="3636" w:name="_ETM_Q5_365780"/>
      <w:bookmarkEnd w:id="3636"/>
      <w:r>
        <w:rPr>
          <w:rFonts w:hint="cs"/>
          <w:rtl/>
        </w:rPr>
        <w:t xml:space="preserve"> </w:t>
      </w:r>
      <w:bookmarkStart w:id="3637" w:name="_ETM_Q5_372000"/>
      <w:bookmarkEnd w:id="3637"/>
      <w:r>
        <w:rPr>
          <w:rFonts w:hint="cs"/>
          <w:rtl/>
        </w:rPr>
        <w:t>כשסמוטריץ</w:t>
      </w:r>
      <w:bookmarkStart w:id="3638" w:name="_ETM_Q5_366650"/>
      <w:bookmarkEnd w:id="3638"/>
      <w:r>
        <w:rPr>
          <w:rFonts w:hint="cs"/>
          <w:rtl/>
        </w:rPr>
        <w:t xml:space="preserve">' ובן </w:t>
      </w:r>
      <w:bookmarkStart w:id="3639" w:name="_ETM_Q5_366980"/>
      <w:bookmarkEnd w:id="3639"/>
      <w:r>
        <w:rPr>
          <w:rFonts w:hint="cs"/>
          <w:rtl/>
        </w:rPr>
        <w:t xml:space="preserve">גביר </w:t>
      </w:r>
      <w:bookmarkStart w:id="3640" w:name="_ETM_Q5_367160"/>
      <w:bookmarkEnd w:id="3640"/>
      <w:r>
        <w:rPr>
          <w:rFonts w:hint="cs"/>
          <w:rtl/>
        </w:rPr>
        <w:t xml:space="preserve">מדברים </w:t>
      </w:r>
      <w:bookmarkStart w:id="3641" w:name="_ETM_Q5_367460"/>
      <w:bookmarkEnd w:id="3641"/>
      <w:r>
        <w:rPr>
          <w:rFonts w:hint="cs"/>
          <w:rtl/>
        </w:rPr>
        <w:t xml:space="preserve">כמו </w:t>
      </w:r>
      <w:bookmarkStart w:id="3642" w:name="_ETM_Q5_367610"/>
      <w:bookmarkEnd w:id="3642"/>
      <w:r>
        <w:rPr>
          <w:rFonts w:hint="cs"/>
          <w:rtl/>
        </w:rPr>
        <w:t xml:space="preserve">שהם מדברים? </w:t>
      </w:r>
      <w:bookmarkStart w:id="3643" w:name="_ETM_Q5_368300"/>
      <w:bookmarkEnd w:id="3643"/>
      <w:r>
        <w:rPr>
          <w:rFonts w:hint="cs"/>
          <w:rtl/>
        </w:rPr>
        <w:t xml:space="preserve">איך </w:t>
      </w:r>
      <w:bookmarkStart w:id="3644" w:name="_ETM_Q5_368510"/>
      <w:bookmarkStart w:id="3645" w:name="_ETM_Q5_368690"/>
      <w:bookmarkEnd w:id="3644"/>
      <w:bookmarkEnd w:id="3645"/>
      <w:r>
        <w:rPr>
          <w:rFonts w:hint="cs"/>
          <w:rtl/>
        </w:rPr>
        <w:t xml:space="preserve">אתם יכולים לשבת </w:t>
      </w:r>
      <w:bookmarkStart w:id="3646" w:name="_ETM_Q5_368960"/>
      <w:bookmarkEnd w:id="3646"/>
      <w:r>
        <w:rPr>
          <w:rFonts w:hint="cs"/>
          <w:rtl/>
        </w:rPr>
        <w:t xml:space="preserve">שם? </w:t>
      </w:r>
      <w:bookmarkStart w:id="3647" w:name="_ETM_Q5_370419"/>
      <w:bookmarkEnd w:id="3647"/>
      <w:r>
        <w:rPr>
          <w:rFonts w:hint="cs"/>
          <w:rtl/>
        </w:rPr>
        <w:t xml:space="preserve">לא </w:t>
      </w:r>
      <w:bookmarkStart w:id="3648" w:name="_ETM_Q5_370569"/>
      <w:bookmarkEnd w:id="3648"/>
      <w:r>
        <w:rPr>
          <w:rFonts w:hint="cs"/>
          <w:rtl/>
        </w:rPr>
        <w:t>רק שאתם יושבים שם</w:t>
      </w:r>
      <w:bookmarkStart w:id="3649" w:name="_ETM_Q5_370000"/>
      <w:bookmarkStart w:id="3650" w:name="_ETM_Q5_370779"/>
      <w:bookmarkStart w:id="3651" w:name="_ETM_Q5_371049"/>
      <w:bookmarkEnd w:id="3649"/>
      <w:bookmarkEnd w:id="3650"/>
      <w:bookmarkEnd w:id="3651"/>
      <w:r>
        <w:rPr>
          <w:rFonts w:hint="cs"/>
          <w:rtl/>
        </w:rPr>
        <w:t>,</w:t>
      </w:r>
      <w:bookmarkStart w:id="3652" w:name="_ETM_Q5_371169"/>
      <w:bookmarkEnd w:id="3652"/>
      <w:r>
        <w:rPr>
          <w:rFonts w:hint="cs"/>
          <w:rtl/>
        </w:rPr>
        <w:t xml:space="preserve"> אתם </w:t>
      </w:r>
      <w:bookmarkStart w:id="3653" w:name="_ETM_Q5_371319"/>
      <w:bookmarkEnd w:id="3653"/>
      <w:r>
        <w:rPr>
          <w:rFonts w:hint="cs"/>
          <w:rtl/>
        </w:rPr>
        <w:t xml:space="preserve">הקמתם </w:t>
      </w:r>
      <w:bookmarkStart w:id="3654" w:name="_ETM_Q5_371739"/>
      <w:bookmarkEnd w:id="3654"/>
      <w:r>
        <w:rPr>
          <w:rFonts w:hint="cs"/>
          <w:rtl/>
        </w:rPr>
        <w:t xml:space="preserve">את </w:t>
      </w:r>
      <w:bookmarkStart w:id="3655" w:name="_ETM_Q5_371799"/>
      <w:bookmarkEnd w:id="3655"/>
      <w:r>
        <w:rPr>
          <w:rFonts w:hint="cs"/>
          <w:rtl/>
        </w:rPr>
        <w:t xml:space="preserve">הדבר </w:t>
      </w:r>
      <w:bookmarkStart w:id="3656" w:name="_ETM_Q5_372159"/>
      <w:bookmarkEnd w:id="3656"/>
      <w:r>
        <w:rPr>
          <w:rFonts w:hint="cs"/>
          <w:rtl/>
        </w:rPr>
        <w:t xml:space="preserve">הזה. </w:t>
      </w:r>
    </w:p>
    <w:p w:rsidR="000C5C1F" w:rsidRDefault="000C5C1F" w:rsidP="000C5C1F">
      <w:pPr>
        <w:rPr>
          <w:rtl/>
        </w:rPr>
      </w:pPr>
    </w:p>
    <w:p w:rsidR="000C5C1F" w:rsidRDefault="000C5C1F" w:rsidP="000C5C1F">
      <w:pPr>
        <w:rPr>
          <w:rtl/>
        </w:rPr>
      </w:pPr>
      <w:bookmarkStart w:id="3657" w:name="_ETM_Q5_374000"/>
      <w:bookmarkStart w:id="3658" w:name="_ETM_Q5_373970"/>
      <w:bookmarkEnd w:id="3657"/>
      <w:bookmarkEnd w:id="3658"/>
      <w:r>
        <w:rPr>
          <w:rFonts w:hint="cs"/>
          <w:rtl/>
        </w:rPr>
        <w:t xml:space="preserve">בהמשך </w:t>
      </w:r>
      <w:bookmarkStart w:id="3659" w:name="_ETM_Q5_374389"/>
      <w:bookmarkEnd w:id="3659"/>
      <w:r>
        <w:rPr>
          <w:rFonts w:hint="cs"/>
          <w:rtl/>
        </w:rPr>
        <w:t xml:space="preserve">הדרך, </w:t>
      </w:r>
      <w:bookmarkStart w:id="3660" w:name="_ETM_Q5_375139"/>
      <w:bookmarkEnd w:id="3660"/>
      <w:r>
        <w:rPr>
          <w:rFonts w:hint="cs"/>
          <w:rtl/>
        </w:rPr>
        <w:t xml:space="preserve">ב-4 </w:t>
      </w:r>
      <w:bookmarkStart w:id="3661" w:name="_ETM_Q5_375680"/>
      <w:bookmarkEnd w:id="3661"/>
      <w:r>
        <w:rPr>
          <w:rFonts w:hint="cs"/>
          <w:rtl/>
        </w:rPr>
        <w:t xml:space="preserve">בינואר, </w:t>
      </w:r>
      <w:bookmarkStart w:id="3662" w:name="_ETM_Q5_377270"/>
      <w:bookmarkEnd w:id="3662"/>
      <w:r>
        <w:rPr>
          <w:rFonts w:hint="cs"/>
          <w:rtl/>
        </w:rPr>
        <w:t xml:space="preserve">לוין </w:t>
      </w:r>
      <w:bookmarkStart w:id="3663" w:name="_ETM_Q5_378020"/>
      <w:bookmarkEnd w:id="3663"/>
      <w:r>
        <w:rPr>
          <w:rFonts w:hint="cs"/>
          <w:rtl/>
        </w:rPr>
        <w:t xml:space="preserve">הציג </w:t>
      </w:r>
      <w:bookmarkStart w:id="3664" w:name="_ETM_Q5_378379"/>
      <w:bookmarkEnd w:id="3664"/>
      <w:r>
        <w:rPr>
          <w:rFonts w:hint="cs"/>
          <w:rtl/>
        </w:rPr>
        <w:t xml:space="preserve">את </w:t>
      </w:r>
      <w:bookmarkStart w:id="3665" w:name="_ETM_Q5_378470"/>
      <w:bookmarkEnd w:id="3665"/>
      <w:r>
        <w:rPr>
          <w:rFonts w:hint="cs"/>
          <w:rtl/>
        </w:rPr>
        <w:t xml:space="preserve">המהפכה </w:t>
      </w:r>
      <w:bookmarkStart w:id="3666" w:name="_ETM_Q5_378980"/>
      <w:bookmarkEnd w:id="3666"/>
      <w:r>
        <w:rPr>
          <w:rFonts w:hint="cs"/>
          <w:rtl/>
        </w:rPr>
        <w:t xml:space="preserve">המשטרית, </w:t>
      </w:r>
      <w:bookmarkStart w:id="3667" w:name="_ETM_Q5_379550"/>
      <w:bookmarkEnd w:id="3667"/>
      <w:r>
        <w:rPr>
          <w:rFonts w:hint="cs"/>
          <w:rtl/>
        </w:rPr>
        <w:t xml:space="preserve">שכוללת </w:t>
      </w:r>
      <w:bookmarkStart w:id="3668" w:name="_ETM_Q5_380120"/>
      <w:bookmarkEnd w:id="3668"/>
      <w:r>
        <w:rPr>
          <w:rFonts w:hint="cs"/>
          <w:rtl/>
        </w:rPr>
        <w:t xml:space="preserve">פסקת </w:t>
      </w:r>
      <w:bookmarkStart w:id="3669" w:name="_ETM_Q5_380569"/>
      <w:bookmarkEnd w:id="3669"/>
      <w:r>
        <w:rPr>
          <w:rFonts w:hint="cs"/>
          <w:rtl/>
        </w:rPr>
        <w:t xml:space="preserve">התגברות, </w:t>
      </w:r>
      <w:bookmarkStart w:id="3670" w:name="_ETM_Q5_381169"/>
      <w:bookmarkEnd w:id="3670"/>
      <w:r>
        <w:rPr>
          <w:rFonts w:hint="cs"/>
          <w:rtl/>
        </w:rPr>
        <w:t xml:space="preserve">שינוי </w:t>
      </w:r>
      <w:bookmarkStart w:id="3671" w:name="_ETM_Q5_381590"/>
      <w:bookmarkEnd w:id="3671"/>
      <w:r>
        <w:rPr>
          <w:rFonts w:hint="cs"/>
          <w:rtl/>
        </w:rPr>
        <w:t xml:space="preserve">שיטת </w:t>
      </w:r>
      <w:bookmarkStart w:id="3672" w:name="_ETM_Q5_381950"/>
      <w:bookmarkEnd w:id="3672"/>
      <w:r>
        <w:rPr>
          <w:rFonts w:hint="cs"/>
          <w:rtl/>
        </w:rPr>
        <w:t xml:space="preserve">בחירת </w:t>
      </w:r>
      <w:bookmarkStart w:id="3673" w:name="_ETM_Q5_382280"/>
      <w:bookmarkEnd w:id="3673"/>
      <w:r>
        <w:rPr>
          <w:rFonts w:hint="cs"/>
          <w:rtl/>
        </w:rPr>
        <w:t xml:space="preserve">שופטים, </w:t>
      </w:r>
      <w:bookmarkStart w:id="3674" w:name="_ETM_Q5_382819"/>
      <w:bookmarkEnd w:id="3674"/>
      <w:r>
        <w:rPr>
          <w:rFonts w:hint="cs"/>
          <w:rtl/>
        </w:rPr>
        <w:t xml:space="preserve">שינוי </w:t>
      </w:r>
      <w:bookmarkStart w:id="3675" w:name="_ETM_Q5_383120"/>
      <w:bookmarkEnd w:id="3675"/>
      <w:r>
        <w:rPr>
          <w:rFonts w:hint="cs"/>
          <w:rtl/>
        </w:rPr>
        <w:t xml:space="preserve">מעמד </w:t>
      </w:r>
      <w:bookmarkStart w:id="3676" w:name="_ETM_Q5_383480"/>
      <w:bookmarkEnd w:id="3676"/>
      <w:r>
        <w:rPr>
          <w:rFonts w:hint="cs"/>
          <w:rtl/>
        </w:rPr>
        <w:t xml:space="preserve">יועצים </w:t>
      </w:r>
      <w:bookmarkStart w:id="3677" w:name="_ETM_Q5_383780"/>
      <w:bookmarkEnd w:id="3677"/>
      <w:r>
        <w:rPr>
          <w:rFonts w:hint="cs"/>
          <w:rtl/>
        </w:rPr>
        <w:t xml:space="preserve">משפטיים, </w:t>
      </w:r>
      <w:bookmarkStart w:id="3678" w:name="_ETM_Q5_384440"/>
      <w:bookmarkEnd w:id="3678"/>
      <w:r>
        <w:rPr>
          <w:rFonts w:hint="cs"/>
          <w:rtl/>
        </w:rPr>
        <w:t xml:space="preserve">ביטול </w:t>
      </w:r>
      <w:bookmarkStart w:id="3679" w:name="_ETM_Q5_384769"/>
      <w:bookmarkEnd w:id="3679"/>
      <w:r>
        <w:rPr>
          <w:rFonts w:hint="cs"/>
          <w:rtl/>
        </w:rPr>
        <w:t xml:space="preserve">עילת </w:t>
      </w:r>
      <w:bookmarkStart w:id="3680" w:name="_ETM_Q5_385010"/>
      <w:bookmarkEnd w:id="3680"/>
      <w:r>
        <w:rPr>
          <w:rFonts w:hint="cs"/>
          <w:rtl/>
        </w:rPr>
        <w:t xml:space="preserve">הסבירות. </w:t>
      </w:r>
      <w:bookmarkStart w:id="3681" w:name="_ETM_Q5_386620"/>
      <w:bookmarkEnd w:id="3681"/>
      <w:r>
        <w:rPr>
          <w:rFonts w:hint="cs"/>
          <w:rtl/>
        </w:rPr>
        <w:t xml:space="preserve">לא </w:t>
      </w:r>
      <w:bookmarkStart w:id="3682" w:name="_ETM_Q5_386800"/>
      <w:bookmarkEnd w:id="3682"/>
      <w:r>
        <w:rPr>
          <w:rFonts w:hint="cs"/>
          <w:rtl/>
        </w:rPr>
        <w:t xml:space="preserve">קדם </w:t>
      </w:r>
      <w:bookmarkStart w:id="3683" w:name="_ETM_Q5_387250"/>
      <w:bookmarkEnd w:id="3683"/>
      <w:r>
        <w:rPr>
          <w:rFonts w:hint="cs"/>
          <w:rtl/>
        </w:rPr>
        <w:t xml:space="preserve">לדבר </w:t>
      </w:r>
      <w:bookmarkStart w:id="3684" w:name="_ETM_Q5_387669"/>
      <w:bookmarkEnd w:id="3684"/>
      <w:r>
        <w:rPr>
          <w:rFonts w:hint="cs"/>
          <w:rtl/>
        </w:rPr>
        <w:t xml:space="preserve">הזה </w:t>
      </w:r>
      <w:bookmarkStart w:id="3685" w:name="_ETM_Q5_388270"/>
      <w:bookmarkEnd w:id="3685"/>
      <w:r>
        <w:rPr>
          <w:rFonts w:hint="cs"/>
          <w:rtl/>
        </w:rPr>
        <w:t xml:space="preserve">שום </w:t>
      </w:r>
      <w:bookmarkStart w:id="3686" w:name="_ETM_Q5_388810"/>
      <w:bookmarkEnd w:id="3686"/>
      <w:r>
        <w:rPr>
          <w:rFonts w:hint="cs"/>
          <w:rtl/>
        </w:rPr>
        <w:t xml:space="preserve">דבר, </w:t>
      </w:r>
      <w:bookmarkStart w:id="3687" w:name="_ETM_Q5_389780"/>
      <w:bookmarkEnd w:id="3687"/>
      <w:r>
        <w:rPr>
          <w:rFonts w:hint="cs"/>
          <w:rtl/>
        </w:rPr>
        <w:t xml:space="preserve">הוא לא </w:t>
      </w:r>
      <w:bookmarkStart w:id="3688" w:name="_ETM_Q5_389989"/>
      <w:bookmarkEnd w:id="3688"/>
      <w:r>
        <w:rPr>
          <w:rFonts w:hint="cs"/>
          <w:rtl/>
        </w:rPr>
        <w:t xml:space="preserve">קיים </w:t>
      </w:r>
      <w:bookmarkStart w:id="3689" w:name="_ETM_Q5_390470"/>
      <w:bookmarkEnd w:id="3689"/>
      <w:r>
        <w:rPr>
          <w:rFonts w:hint="cs"/>
          <w:rtl/>
        </w:rPr>
        <w:t xml:space="preserve">דיון </w:t>
      </w:r>
      <w:bookmarkStart w:id="3690" w:name="_ETM_Q5_391010"/>
      <w:bookmarkEnd w:id="3690"/>
      <w:r>
        <w:rPr>
          <w:rFonts w:hint="cs"/>
          <w:rtl/>
        </w:rPr>
        <w:t xml:space="preserve">בישיבת </w:t>
      </w:r>
      <w:bookmarkStart w:id="3691" w:name="_ETM_Q5_391520"/>
      <w:bookmarkEnd w:id="3691"/>
      <w:r>
        <w:rPr>
          <w:rFonts w:hint="cs"/>
          <w:rtl/>
        </w:rPr>
        <w:t xml:space="preserve">ממשלה, </w:t>
      </w:r>
      <w:bookmarkStart w:id="3692" w:name="_ETM_Q5_392900"/>
      <w:bookmarkEnd w:id="3692"/>
      <w:r>
        <w:rPr>
          <w:rFonts w:hint="cs"/>
          <w:rtl/>
        </w:rPr>
        <w:t xml:space="preserve">לא </w:t>
      </w:r>
      <w:bookmarkStart w:id="3693" w:name="_ETM_Q5_393139"/>
      <w:bookmarkEnd w:id="3693"/>
      <w:r>
        <w:rPr>
          <w:rFonts w:hint="cs"/>
          <w:rtl/>
        </w:rPr>
        <w:t xml:space="preserve">קיים </w:t>
      </w:r>
      <w:bookmarkStart w:id="3694" w:name="_ETM_Q5_393440"/>
      <w:bookmarkEnd w:id="3694"/>
      <w:r>
        <w:rPr>
          <w:rFonts w:hint="cs"/>
          <w:rtl/>
        </w:rPr>
        <w:t xml:space="preserve">דיון </w:t>
      </w:r>
      <w:bookmarkStart w:id="3695" w:name="_ETM_Q5_393769"/>
      <w:bookmarkEnd w:id="3695"/>
      <w:r>
        <w:rPr>
          <w:rFonts w:hint="cs"/>
          <w:rtl/>
        </w:rPr>
        <w:t xml:space="preserve">אפילו </w:t>
      </w:r>
      <w:bookmarkStart w:id="3696" w:name="_ETM_Q5_394069"/>
      <w:bookmarkEnd w:id="3696"/>
      <w:r>
        <w:rPr>
          <w:rFonts w:hint="cs"/>
          <w:rtl/>
        </w:rPr>
        <w:t xml:space="preserve">בסיעת </w:t>
      </w:r>
      <w:bookmarkStart w:id="3697" w:name="_ETM_Q5_394459"/>
      <w:bookmarkEnd w:id="3697"/>
      <w:r>
        <w:rPr>
          <w:rFonts w:hint="cs"/>
          <w:rtl/>
        </w:rPr>
        <w:t xml:space="preserve">הליכוד. </w:t>
      </w:r>
      <w:bookmarkStart w:id="3698" w:name="_ETM_Q5_394909"/>
      <w:bookmarkEnd w:id="3698"/>
      <w:r>
        <w:rPr>
          <w:rFonts w:hint="cs"/>
          <w:rtl/>
        </w:rPr>
        <w:t xml:space="preserve">ואני רוצה להגיד </w:t>
      </w:r>
      <w:bookmarkStart w:id="3699" w:name="_ETM_Q5_395390"/>
      <w:bookmarkEnd w:id="3699"/>
      <w:r>
        <w:rPr>
          <w:rFonts w:hint="cs"/>
          <w:rtl/>
        </w:rPr>
        <w:t xml:space="preserve">לכם, </w:t>
      </w:r>
      <w:bookmarkStart w:id="3700" w:name="_ETM_Q5_395750"/>
      <w:bookmarkEnd w:id="3700"/>
      <w:r>
        <w:rPr>
          <w:rFonts w:hint="cs"/>
          <w:rtl/>
        </w:rPr>
        <w:t xml:space="preserve">לא </w:t>
      </w:r>
      <w:bookmarkStart w:id="3701" w:name="_ETM_Q5_395959"/>
      <w:bookmarkEnd w:id="3701"/>
      <w:r>
        <w:rPr>
          <w:rFonts w:hint="cs"/>
          <w:rtl/>
        </w:rPr>
        <w:t xml:space="preserve">קיים </w:t>
      </w:r>
      <w:bookmarkStart w:id="3702" w:name="_ETM_Q5_396349"/>
      <w:bookmarkEnd w:id="3702"/>
      <w:r>
        <w:rPr>
          <w:rFonts w:hint="cs"/>
          <w:rtl/>
        </w:rPr>
        <w:t xml:space="preserve">לזה </w:t>
      </w:r>
      <w:bookmarkStart w:id="3703" w:name="_ETM_Q5_396560"/>
      <w:bookmarkEnd w:id="3703"/>
      <w:r>
        <w:rPr>
          <w:rFonts w:hint="cs"/>
          <w:rtl/>
        </w:rPr>
        <w:t xml:space="preserve">זכר </w:t>
      </w:r>
      <w:bookmarkStart w:id="3704" w:name="_ETM_Q5_397069"/>
      <w:bookmarkEnd w:id="3704"/>
      <w:r>
        <w:rPr>
          <w:rFonts w:hint="cs"/>
          <w:rtl/>
        </w:rPr>
        <w:t xml:space="preserve">במצע </w:t>
      </w:r>
      <w:bookmarkStart w:id="3705" w:name="_ETM_Q5_397519"/>
      <w:bookmarkEnd w:id="3705"/>
      <w:r>
        <w:rPr>
          <w:rFonts w:hint="cs"/>
          <w:rtl/>
        </w:rPr>
        <w:t xml:space="preserve">הליכוד. </w:t>
      </w:r>
      <w:bookmarkStart w:id="3706" w:name="_ETM_Q5_398620"/>
      <w:bookmarkEnd w:id="3706"/>
      <w:r>
        <w:rPr>
          <w:rFonts w:hint="cs"/>
          <w:rtl/>
        </w:rPr>
        <w:t xml:space="preserve">זכר </w:t>
      </w:r>
      <w:bookmarkStart w:id="3707" w:name="_ETM_Q5_399040"/>
      <w:bookmarkEnd w:id="3707"/>
      <w:r>
        <w:rPr>
          <w:rFonts w:hint="cs"/>
          <w:rtl/>
        </w:rPr>
        <w:t xml:space="preserve">לא </w:t>
      </w:r>
      <w:bookmarkStart w:id="3708" w:name="_ETM_Q5_399129"/>
      <w:bookmarkEnd w:id="3708"/>
      <w:r>
        <w:rPr>
          <w:rFonts w:hint="cs"/>
          <w:rtl/>
        </w:rPr>
        <w:t xml:space="preserve">קיים </w:t>
      </w:r>
      <w:bookmarkStart w:id="3709" w:name="_ETM_Q5_399400"/>
      <w:bookmarkEnd w:id="3709"/>
      <w:r>
        <w:rPr>
          <w:rFonts w:hint="cs"/>
          <w:rtl/>
        </w:rPr>
        <w:t xml:space="preserve">לזה. </w:t>
      </w:r>
      <w:bookmarkStart w:id="3710" w:name="_ETM_Q5_399879"/>
      <w:bookmarkStart w:id="3711" w:name="_ETM_Q5_400239"/>
      <w:bookmarkEnd w:id="3710"/>
      <w:bookmarkEnd w:id="3711"/>
      <w:r>
        <w:rPr>
          <w:rFonts w:hint="cs"/>
          <w:rtl/>
        </w:rPr>
        <w:t xml:space="preserve">יריב </w:t>
      </w:r>
      <w:bookmarkStart w:id="3712" w:name="_ETM_Q5_400659"/>
      <w:bookmarkEnd w:id="3712"/>
      <w:r>
        <w:rPr>
          <w:rFonts w:hint="cs"/>
          <w:rtl/>
        </w:rPr>
        <w:t xml:space="preserve">לוין, </w:t>
      </w:r>
      <w:bookmarkStart w:id="3713" w:name="_ETM_Q5_400930"/>
      <w:bookmarkEnd w:id="3713"/>
      <w:r>
        <w:rPr>
          <w:rFonts w:hint="cs"/>
          <w:rtl/>
        </w:rPr>
        <w:t xml:space="preserve">לזכותו </w:t>
      </w:r>
      <w:bookmarkStart w:id="3714" w:name="_ETM_Q5_401349"/>
      <w:bookmarkEnd w:id="3714"/>
      <w:r>
        <w:rPr>
          <w:rFonts w:hint="cs"/>
          <w:rtl/>
        </w:rPr>
        <w:t xml:space="preserve">ייאמר, </w:t>
      </w:r>
      <w:bookmarkStart w:id="3715" w:name="_ETM_Q5_402380"/>
      <w:bookmarkEnd w:id="3715"/>
      <w:r>
        <w:rPr>
          <w:rFonts w:hint="cs"/>
          <w:rtl/>
        </w:rPr>
        <w:t xml:space="preserve">לא </w:t>
      </w:r>
      <w:bookmarkStart w:id="3716" w:name="_ETM_Q5_402620"/>
      <w:bookmarkStart w:id="3717" w:name="_ETM_Q5_403010"/>
      <w:bookmarkStart w:id="3718" w:name="_ETM_Q5_403340"/>
      <w:bookmarkEnd w:id="3716"/>
      <w:bookmarkEnd w:id="3717"/>
      <w:bookmarkEnd w:id="3718"/>
      <w:r>
        <w:rPr>
          <w:rFonts w:hint="cs"/>
          <w:rtl/>
        </w:rPr>
        <w:t xml:space="preserve">שזאת </w:t>
      </w:r>
      <w:bookmarkStart w:id="3719" w:name="_ETM_Q5_403490"/>
      <w:bookmarkEnd w:id="3719"/>
      <w:r>
        <w:rPr>
          <w:rFonts w:hint="cs"/>
          <w:rtl/>
        </w:rPr>
        <w:t xml:space="preserve">לא </w:t>
      </w:r>
      <w:bookmarkStart w:id="3720" w:name="_ETM_Q5_403610"/>
      <w:bookmarkEnd w:id="3720"/>
      <w:r>
        <w:rPr>
          <w:rFonts w:hint="cs"/>
          <w:rtl/>
        </w:rPr>
        <w:t xml:space="preserve">תפיסת </w:t>
      </w:r>
      <w:bookmarkStart w:id="3721" w:name="_ETM_Q5_404060"/>
      <w:bookmarkEnd w:id="3721"/>
      <w:r>
        <w:rPr>
          <w:rFonts w:hint="cs"/>
          <w:rtl/>
        </w:rPr>
        <w:t xml:space="preserve">עולמו של יריב </w:t>
      </w:r>
      <w:bookmarkStart w:id="3722" w:name="_ETM_Q5_402637"/>
      <w:bookmarkEnd w:id="3722"/>
      <w:r>
        <w:rPr>
          <w:rFonts w:hint="cs"/>
          <w:rtl/>
        </w:rPr>
        <w:t xml:space="preserve">לוין. </w:t>
      </w:r>
      <w:bookmarkStart w:id="3723" w:name="_ETM_Q5_404870"/>
      <w:bookmarkEnd w:id="3723"/>
      <w:r>
        <w:rPr>
          <w:rFonts w:hint="cs"/>
          <w:rtl/>
        </w:rPr>
        <w:t xml:space="preserve">אני </w:t>
      </w:r>
      <w:bookmarkStart w:id="3724" w:name="_ETM_Q5_405080"/>
      <w:bookmarkEnd w:id="3724"/>
      <w:r>
        <w:rPr>
          <w:rFonts w:hint="cs"/>
          <w:rtl/>
        </w:rPr>
        <w:t xml:space="preserve">לא </w:t>
      </w:r>
      <w:bookmarkStart w:id="3725" w:name="_ETM_Q5_405170"/>
      <w:bookmarkEnd w:id="3725"/>
      <w:r>
        <w:rPr>
          <w:rFonts w:hint="cs"/>
          <w:rtl/>
        </w:rPr>
        <w:t xml:space="preserve">מתווכח </w:t>
      </w:r>
      <w:bookmarkStart w:id="3726" w:name="_ETM_Q5_405620"/>
      <w:bookmarkEnd w:id="3726"/>
      <w:r>
        <w:rPr>
          <w:rFonts w:hint="cs"/>
          <w:rtl/>
        </w:rPr>
        <w:t xml:space="preserve">עם </w:t>
      </w:r>
      <w:bookmarkStart w:id="3727" w:name="_ETM_Q5_405709"/>
      <w:bookmarkEnd w:id="3727"/>
      <w:r>
        <w:rPr>
          <w:rFonts w:hint="cs"/>
          <w:rtl/>
        </w:rPr>
        <w:t xml:space="preserve">תפיסת </w:t>
      </w:r>
      <w:bookmarkStart w:id="3728" w:name="_ETM_Q5_406100"/>
      <w:bookmarkEnd w:id="3728"/>
      <w:r>
        <w:rPr>
          <w:rFonts w:hint="cs"/>
          <w:rtl/>
        </w:rPr>
        <w:t>עולמו</w:t>
      </w:r>
      <w:bookmarkStart w:id="3729" w:name="_ETM_Q5_406430"/>
      <w:bookmarkEnd w:id="3729"/>
      <w:r>
        <w:rPr>
          <w:rFonts w:hint="cs"/>
          <w:rtl/>
        </w:rPr>
        <w:t xml:space="preserve">, אני </w:t>
      </w:r>
      <w:bookmarkStart w:id="3730" w:name="_ETM_Q5_406550"/>
      <w:bookmarkEnd w:id="3730"/>
      <w:r>
        <w:rPr>
          <w:rFonts w:hint="cs"/>
          <w:rtl/>
        </w:rPr>
        <w:t xml:space="preserve">מתווכח </w:t>
      </w:r>
      <w:bookmarkStart w:id="3731" w:name="_ETM_Q5_406940"/>
      <w:bookmarkEnd w:id="3731"/>
      <w:r>
        <w:rPr>
          <w:rFonts w:hint="cs"/>
          <w:rtl/>
        </w:rPr>
        <w:t xml:space="preserve">עם </w:t>
      </w:r>
      <w:bookmarkStart w:id="3732" w:name="_ETM_Q5_407030"/>
      <w:bookmarkEnd w:id="3732"/>
      <w:r>
        <w:rPr>
          <w:rFonts w:hint="cs"/>
          <w:rtl/>
        </w:rPr>
        <w:t xml:space="preserve">תפיסת </w:t>
      </w:r>
      <w:bookmarkStart w:id="3733" w:name="_ETM_Q5_407390"/>
      <w:bookmarkEnd w:id="3733"/>
      <w:r>
        <w:rPr>
          <w:rFonts w:hint="cs"/>
          <w:rtl/>
        </w:rPr>
        <w:t xml:space="preserve">עולמכם: </w:t>
      </w:r>
      <w:bookmarkStart w:id="3734" w:name="_ETM_Q5_408290"/>
      <w:bookmarkEnd w:id="3734"/>
      <w:r>
        <w:rPr>
          <w:rFonts w:hint="cs"/>
          <w:rtl/>
        </w:rPr>
        <w:t xml:space="preserve">מה, </w:t>
      </w:r>
      <w:bookmarkStart w:id="3735" w:name="_ETM_Q5_408470"/>
      <w:bookmarkEnd w:id="3735"/>
      <w:r>
        <w:rPr>
          <w:rFonts w:hint="cs"/>
          <w:rtl/>
        </w:rPr>
        <w:t xml:space="preserve">הִשְׁבַּתֶּם </w:t>
      </w:r>
      <w:bookmarkStart w:id="3736" w:name="_ETM_Q5_409250"/>
      <w:bookmarkEnd w:id="3736"/>
      <w:r>
        <w:rPr>
          <w:rFonts w:hint="cs"/>
          <w:rtl/>
        </w:rPr>
        <w:t xml:space="preserve">את </w:t>
      </w:r>
      <w:bookmarkStart w:id="3737" w:name="_ETM_Q5_409370"/>
      <w:bookmarkEnd w:id="3737"/>
      <w:r>
        <w:rPr>
          <w:rFonts w:hint="cs"/>
          <w:rtl/>
        </w:rPr>
        <w:t xml:space="preserve">תפיסת </w:t>
      </w:r>
      <w:bookmarkStart w:id="3738" w:name="_ETM_Q5_409790"/>
      <w:bookmarkEnd w:id="3738"/>
      <w:r>
        <w:rPr>
          <w:rFonts w:hint="cs"/>
          <w:rtl/>
        </w:rPr>
        <w:t xml:space="preserve">עולמכם </w:t>
      </w:r>
      <w:bookmarkStart w:id="3739" w:name="_ETM_Q5_410270"/>
      <w:bookmarkEnd w:id="3739"/>
      <w:r>
        <w:rPr>
          <w:rFonts w:hint="cs"/>
          <w:rtl/>
        </w:rPr>
        <w:t xml:space="preserve">לתפיסת </w:t>
      </w:r>
      <w:bookmarkStart w:id="3740" w:name="_ETM_Q5_410720"/>
      <w:bookmarkEnd w:id="3740"/>
      <w:r>
        <w:rPr>
          <w:rFonts w:hint="cs"/>
          <w:rtl/>
        </w:rPr>
        <w:t xml:space="preserve">עולמו? </w:t>
      </w:r>
      <w:bookmarkStart w:id="3741" w:name="_ETM_Q5_413280"/>
      <w:bookmarkEnd w:id="3741"/>
      <w:r>
        <w:rPr>
          <w:rFonts w:hint="cs"/>
          <w:rtl/>
        </w:rPr>
        <w:t xml:space="preserve">האם </w:t>
      </w:r>
      <w:bookmarkStart w:id="3742" w:name="_ETM_Q5_413549"/>
      <w:bookmarkEnd w:id="3742"/>
      <w:r>
        <w:rPr>
          <w:rFonts w:hint="cs"/>
          <w:rtl/>
        </w:rPr>
        <w:t xml:space="preserve">עד </w:t>
      </w:r>
      <w:bookmarkStart w:id="3743" w:name="_ETM_Q5_413730"/>
      <w:bookmarkEnd w:id="3743"/>
      <w:r>
        <w:rPr>
          <w:rFonts w:hint="cs"/>
          <w:rtl/>
        </w:rPr>
        <w:t xml:space="preserve">כדי </w:t>
      </w:r>
      <w:bookmarkStart w:id="3744" w:name="_ETM_Q5_413939"/>
      <w:bookmarkEnd w:id="3744"/>
      <w:r>
        <w:rPr>
          <w:rFonts w:hint="cs"/>
          <w:rtl/>
        </w:rPr>
        <w:t xml:space="preserve">כך </w:t>
      </w:r>
      <w:bookmarkStart w:id="3745" w:name="_ETM_Q5_414180"/>
      <w:bookmarkEnd w:id="3745"/>
      <w:r>
        <w:rPr>
          <w:rFonts w:hint="cs"/>
          <w:rtl/>
        </w:rPr>
        <w:t xml:space="preserve">אין </w:t>
      </w:r>
      <w:bookmarkStart w:id="3746" w:name="_ETM_Q5_414299"/>
      <w:bookmarkEnd w:id="3746"/>
      <w:r>
        <w:rPr>
          <w:rFonts w:hint="cs"/>
          <w:rtl/>
        </w:rPr>
        <w:t xml:space="preserve">לכם </w:t>
      </w:r>
      <w:bookmarkStart w:id="3747" w:name="_ETM_Q5_414569"/>
      <w:bookmarkEnd w:id="3747"/>
      <w:r>
        <w:rPr>
          <w:rFonts w:hint="cs"/>
          <w:rtl/>
        </w:rPr>
        <w:t xml:space="preserve">דעה </w:t>
      </w:r>
      <w:bookmarkStart w:id="3748" w:name="_ETM_Q5_416120"/>
      <w:bookmarkEnd w:id="3748"/>
      <w:r>
        <w:rPr>
          <w:rFonts w:hint="cs"/>
          <w:rtl/>
        </w:rPr>
        <w:t xml:space="preserve">שהוא מוביל </w:t>
      </w:r>
      <w:bookmarkStart w:id="3749" w:name="_ETM_Q5_416569"/>
      <w:bookmarkEnd w:id="3749"/>
      <w:r>
        <w:rPr>
          <w:rFonts w:hint="cs"/>
          <w:rtl/>
        </w:rPr>
        <w:t xml:space="preserve">אתכם </w:t>
      </w:r>
      <w:bookmarkStart w:id="3750" w:name="_ETM_Q5_416840"/>
      <w:bookmarkEnd w:id="3750"/>
      <w:r>
        <w:rPr>
          <w:rFonts w:hint="cs"/>
          <w:rtl/>
        </w:rPr>
        <w:t xml:space="preserve">באף, </w:t>
      </w:r>
      <w:bookmarkStart w:id="3751" w:name="_ETM_Q5_417170"/>
      <w:bookmarkEnd w:id="3751"/>
      <w:r>
        <w:rPr>
          <w:rFonts w:hint="cs"/>
          <w:rtl/>
        </w:rPr>
        <w:t xml:space="preserve">מוביל </w:t>
      </w:r>
      <w:bookmarkStart w:id="3752" w:name="_ETM_Q5_417440"/>
      <w:bookmarkEnd w:id="3752"/>
      <w:r>
        <w:rPr>
          <w:rFonts w:hint="cs"/>
          <w:rtl/>
        </w:rPr>
        <w:t xml:space="preserve">אתכם </w:t>
      </w:r>
      <w:bookmarkStart w:id="3753" w:name="_ETM_Q5_417680"/>
      <w:bookmarkEnd w:id="3753"/>
      <w:r>
        <w:rPr>
          <w:rFonts w:hint="cs"/>
          <w:rtl/>
        </w:rPr>
        <w:t>בכחש?</w:t>
      </w:r>
    </w:p>
    <w:p w:rsidR="000C5C1F" w:rsidRDefault="000C5C1F" w:rsidP="000C5C1F">
      <w:pPr>
        <w:rPr>
          <w:rtl/>
        </w:rPr>
      </w:pPr>
    </w:p>
    <w:p w:rsidR="000C5C1F" w:rsidRDefault="000C5C1F" w:rsidP="000C5C1F">
      <w:pPr>
        <w:rPr>
          <w:rtl/>
        </w:rPr>
      </w:pPr>
      <w:bookmarkStart w:id="3754" w:name="_ETM_Q5_418000"/>
      <w:bookmarkStart w:id="3755" w:name="_ETM_Q5_421230"/>
      <w:bookmarkEnd w:id="3754"/>
      <w:bookmarkEnd w:id="3755"/>
      <w:r>
        <w:rPr>
          <w:rFonts w:hint="cs"/>
          <w:rtl/>
        </w:rPr>
        <w:t xml:space="preserve">אבל </w:t>
      </w:r>
      <w:bookmarkStart w:id="3756" w:name="_ETM_Q5_422159"/>
      <w:bookmarkEnd w:id="3756"/>
      <w:r>
        <w:rPr>
          <w:rFonts w:hint="cs"/>
          <w:rtl/>
        </w:rPr>
        <w:t xml:space="preserve">זה </w:t>
      </w:r>
      <w:bookmarkStart w:id="3757" w:name="_ETM_Q5_422280"/>
      <w:bookmarkEnd w:id="3757"/>
      <w:r>
        <w:rPr>
          <w:rFonts w:hint="cs"/>
          <w:rtl/>
        </w:rPr>
        <w:t xml:space="preserve">לא </w:t>
      </w:r>
      <w:bookmarkStart w:id="3758" w:name="_ETM_Q5_422400"/>
      <w:bookmarkEnd w:id="3758"/>
      <w:r>
        <w:rPr>
          <w:rFonts w:hint="cs"/>
          <w:rtl/>
        </w:rPr>
        <w:t xml:space="preserve">נעצר </w:t>
      </w:r>
      <w:bookmarkStart w:id="3759" w:name="_ETM_Q5_422730"/>
      <w:bookmarkEnd w:id="3759"/>
      <w:r>
        <w:rPr>
          <w:rFonts w:hint="cs"/>
          <w:rtl/>
        </w:rPr>
        <w:t xml:space="preserve">בזה. </w:t>
      </w:r>
      <w:bookmarkStart w:id="3760" w:name="_ETM_Q5_423769"/>
      <w:bookmarkEnd w:id="3760"/>
      <w:r>
        <w:rPr>
          <w:rFonts w:hint="cs"/>
          <w:rtl/>
        </w:rPr>
        <w:t xml:space="preserve">שומעים </w:t>
      </w:r>
      <w:bookmarkStart w:id="3761" w:name="_ETM_Q5_424159"/>
      <w:bookmarkEnd w:id="3761"/>
      <w:r>
        <w:rPr>
          <w:rFonts w:hint="cs"/>
          <w:rtl/>
        </w:rPr>
        <w:t xml:space="preserve">כל </w:t>
      </w:r>
      <w:bookmarkStart w:id="3762" w:name="_ETM_Q5_424369"/>
      <w:bookmarkEnd w:id="3762"/>
      <w:r>
        <w:rPr>
          <w:rFonts w:hint="cs"/>
          <w:rtl/>
        </w:rPr>
        <w:t xml:space="preserve">הזמן, </w:t>
      </w:r>
      <w:bookmarkStart w:id="3763" w:name="_ETM_Q5_424639"/>
      <w:bookmarkEnd w:id="3763"/>
      <w:r>
        <w:rPr>
          <w:rFonts w:hint="cs"/>
          <w:rtl/>
        </w:rPr>
        <w:t xml:space="preserve">ואני </w:t>
      </w:r>
      <w:bookmarkStart w:id="3764" w:name="_ETM_Q5_424760"/>
      <w:bookmarkEnd w:id="3764"/>
      <w:r>
        <w:rPr>
          <w:rFonts w:hint="cs"/>
          <w:rtl/>
        </w:rPr>
        <w:t xml:space="preserve">שומע </w:t>
      </w:r>
      <w:bookmarkStart w:id="3765" w:name="_ETM_Q5_425059"/>
      <w:bookmarkEnd w:id="3765"/>
      <w:r>
        <w:rPr>
          <w:rFonts w:hint="cs"/>
          <w:rtl/>
        </w:rPr>
        <w:t xml:space="preserve">לא </w:t>
      </w:r>
      <w:bookmarkStart w:id="3766" w:name="_ETM_Q5_425180"/>
      <w:bookmarkEnd w:id="3766"/>
      <w:r>
        <w:rPr>
          <w:rFonts w:hint="cs"/>
          <w:rtl/>
        </w:rPr>
        <w:t xml:space="preserve">פעם </w:t>
      </w:r>
      <w:bookmarkStart w:id="3767" w:name="_ETM_Q5_425419"/>
      <w:bookmarkEnd w:id="3767"/>
      <w:r>
        <w:rPr>
          <w:rFonts w:hint="cs"/>
          <w:rtl/>
        </w:rPr>
        <w:t xml:space="preserve">ולא </w:t>
      </w:r>
      <w:bookmarkStart w:id="3768" w:name="_ETM_Q5_425629"/>
      <w:bookmarkEnd w:id="3768"/>
      <w:r>
        <w:rPr>
          <w:rFonts w:hint="cs"/>
          <w:rtl/>
        </w:rPr>
        <w:t xml:space="preserve">פעמיים </w:t>
      </w:r>
      <w:bookmarkStart w:id="3769" w:name="_ETM_Q5_426139"/>
      <w:bookmarkEnd w:id="3769"/>
      <w:r>
        <w:rPr>
          <w:rFonts w:hint="cs"/>
          <w:rtl/>
        </w:rPr>
        <w:t xml:space="preserve">מחברי </w:t>
      </w:r>
      <w:bookmarkStart w:id="3770" w:name="_ETM_Q5_426559"/>
      <w:bookmarkEnd w:id="3770"/>
      <w:r>
        <w:rPr>
          <w:rFonts w:hint="cs"/>
          <w:rtl/>
        </w:rPr>
        <w:t xml:space="preserve">הקואליציה, </w:t>
      </w:r>
      <w:bookmarkStart w:id="3771" w:name="_ETM_Q5_428010"/>
      <w:bookmarkEnd w:id="3771"/>
      <w:r>
        <w:rPr>
          <w:rFonts w:hint="cs"/>
          <w:rtl/>
        </w:rPr>
        <w:t xml:space="preserve">על </w:t>
      </w:r>
      <w:bookmarkStart w:id="3772" w:name="_ETM_Q5_428189"/>
      <w:bookmarkEnd w:id="3772"/>
      <w:r>
        <w:rPr>
          <w:rFonts w:hint="cs"/>
          <w:rtl/>
        </w:rPr>
        <w:t xml:space="preserve">המשילות </w:t>
      </w:r>
      <w:bookmarkStart w:id="3773" w:name="_ETM_Q5_428760"/>
      <w:bookmarkEnd w:id="3773"/>
      <w:r>
        <w:rPr>
          <w:rFonts w:hint="cs"/>
          <w:rtl/>
        </w:rPr>
        <w:t xml:space="preserve">הנעלמת, </w:t>
      </w:r>
      <w:bookmarkStart w:id="3774" w:name="_ETM_Q5_429510"/>
      <w:bookmarkEnd w:id="3774"/>
      <w:r>
        <w:rPr>
          <w:rFonts w:hint="cs"/>
          <w:rtl/>
        </w:rPr>
        <w:t xml:space="preserve">ושאנחנו </w:t>
      </w:r>
      <w:bookmarkStart w:id="3775" w:name="_ETM_Q5_429870"/>
      <w:bookmarkEnd w:id="3775"/>
      <w:r>
        <w:rPr>
          <w:rFonts w:hint="cs"/>
          <w:rtl/>
        </w:rPr>
        <w:t xml:space="preserve">צריכים </w:t>
      </w:r>
      <w:bookmarkStart w:id="3776" w:name="_ETM_Q5_430109"/>
      <w:bookmarkEnd w:id="3776"/>
      <w:r>
        <w:rPr>
          <w:rFonts w:hint="cs"/>
          <w:rtl/>
        </w:rPr>
        <w:t xml:space="preserve">להחזיר </w:t>
      </w:r>
      <w:bookmarkStart w:id="3777" w:name="_ETM_Q5_430409"/>
      <w:bookmarkEnd w:id="3777"/>
      <w:r>
        <w:rPr>
          <w:rFonts w:hint="cs"/>
          <w:rtl/>
        </w:rPr>
        <w:t xml:space="preserve">את </w:t>
      </w:r>
      <w:bookmarkStart w:id="3778" w:name="_ETM_Q5_430469"/>
      <w:bookmarkEnd w:id="3778"/>
      <w:r>
        <w:rPr>
          <w:rFonts w:hint="cs"/>
          <w:rtl/>
        </w:rPr>
        <w:t xml:space="preserve">המשילות, </w:t>
      </w:r>
      <w:bookmarkStart w:id="3779" w:name="_ETM_Q5_431549"/>
      <w:bookmarkEnd w:id="3779"/>
      <w:r>
        <w:rPr>
          <w:rFonts w:hint="cs"/>
          <w:rtl/>
        </w:rPr>
        <w:t>ושמי</w:t>
      </w:r>
      <w:bookmarkStart w:id="3780" w:name="_ETM_Q5_431879"/>
      <w:bookmarkEnd w:id="3780"/>
      <w:r>
        <w:rPr>
          <w:rFonts w:hint="cs"/>
          <w:rtl/>
        </w:rPr>
        <w:t xml:space="preserve"> שמונע </w:t>
      </w:r>
      <w:bookmarkStart w:id="3781" w:name="_ETM_Q5_432269"/>
      <w:bookmarkEnd w:id="3781"/>
      <w:r>
        <w:rPr>
          <w:rFonts w:hint="cs"/>
          <w:rtl/>
        </w:rPr>
        <w:t xml:space="preserve">זה </w:t>
      </w:r>
      <w:bookmarkStart w:id="3782" w:name="_ETM_Q5_432420"/>
      <w:bookmarkEnd w:id="3782"/>
      <w:r>
        <w:rPr>
          <w:rFonts w:hint="cs"/>
          <w:rtl/>
        </w:rPr>
        <w:t xml:space="preserve">בית </w:t>
      </w:r>
      <w:bookmarkStart w:id="3783" w:name="_ETM_Q5_432599"/>
      <w:bookmarkEnd w:id="3783"/>
      <w:r>
        <w:rPr>
          <w:rFonts w:hint="cs"/>
          <w:rtl/>
        </w:rPr>
        <w:t xml:space="preserve">המשפט </w:t>
      </w:r>
      <w:bookmarkStart w:id="3784" w:name="_ETM_Q5_433049"/>
      <w:bookmarkEnd w:id="3784"/>
      <w:r>
        <w:rPr>
          <w:rFonts w:hint="cs"/>
          <w:rtl/>
        </w:rPr>
        <w:t xml:space="preserve">העליון. </w:t>
      </w:r>
      <w:bookmarkStart w:id="3785" w:name="_ETM_Q5_434620"/>
      <w:bookmarkEnd w:id="3785"/>
      <w:r>
        <w:rPr>
          <w:rFonts w:hint="cs"/>
          <w:rtl/>
        </w:rPr>
        <w:t xml:space="preserve">אז </w:t>
      </w:r>
      <w:bookmarkStart w:id="3786" w:name="_ETM_Q5_434770"/>
      <w:bookmarkEnd w:id="3786"/>
      <w:r>
        <w:rPr>
          <w:rFonts w:hint="cs"/>
          <w:rtl/>
        </w:rPr>
        <w:t xml:space="preserve">בואו </w:t>
      </w:r>
      <w:bookmarkStart w:id="3787" w:name="_ETM_Q5_434920"/>
      <w:bookmarkEnd w:id="3787"/>
      <w:r>
        <w:rPr>
          <w:rFonts w:hint="cs"/>
          <w:rtl/>
        </w:rPr>
        <w:t xml:space="preserve">נתחיל </w:t>
      </w:r>
      <w:bookmarkStart w:id="3788" w:name="_ETM_Q5_435190"/>
      <w:bookmarkEnd w:id="3788"/>
      <w:r>
        <w:rPr>
          <w:rFonts w:hint="cs"/>
          <w:rtl/>
        </w:rPr>
        <w:t>במשילות</w:t>
      </w:r>
      <w:bookmarkStart w:id="3789" w:name="_ETM_Q5_435670"/>
      <w:bookmarkStart w:id="3790" w:name="_ETM_Q5_436000"/>
      <w:bookmarkEnd w:id="3789"/>
      <w:bookmarkEnd w:id="3790"/>
      <w:r>
        <w:rPr>
          <w:rFonts w:hint="cs"/>
          <w:rtl/>
        </w:rPr>
        <w:t xml:space="preserve">: שלוש רשויות </w:t>
      </w:r>
      <w:bookmarkStart w:id="3791" w:name="_ETM_Q5_436360"/>
      <w:bookmarkEnd w:id="3791"/>
      <w:r>
        <w:rPr>
          <w:rFonts w:hint="cs"/>
          <w:rtl/>
        </w:rPr>
        <w:t xml:space="preserve">במדינת </w:t>
      </w:r>
      <w:bookmarkStart w:id="3792" w:name="_ETM_Q5_436720"/>
      <w:bookmarkEnd w:id="3792"/>
      <w:r>
        <w:rPr>
          <w:rFonts w:hint="cs"/>
          <w:rtl/>
        </w:rPr>
        <w:t xml:space="preserve">ישראל. </w:t>
      </w:r>
      <w:bookmarkStart w:id="3793" w:name="_ETM_Q5_438360"/>
      <w:bookmarkEnd w:id="3793"/>
      <w:r>
        <w:rPr>
          <w:rFonts w:hint="cs"/>
          <w:rtl/>
        </w:rPr>
        <w:t xml:space="preserve">מי </w:t>
      </w:r>
      <w:bookmarkStart w:id="3794" w:name="_ETM_Q5_438659"/>
      <w:bookmarkEnd w:id="3794"/>
      <w:r>
        <w:rPr>
          <w:rFonts w:hint="cs"/>
          <w:rtl/>
        </w:rPr>
        <w:t xml:space="preserve">החזקה </w:t>
      </w:r>
      <w:bookmarkStart w:id="3795" w:name="_ETM_Q5_439169"/>
      <w:bookmarkEnd w:id="3795"/>
      <w:r>
        <w:rPr>
          <w:rFonts w:hint="cs"/>
          <w:rtl/>
        </w:rPr>
        <w:t xml:space="preserve">ביניהן? </w:t>
      </w:r>
      <w:bookmarkStart w:id="3796" w:name="_ETM_Q5_440650"/>
      <w:bookmarkEnd w:id="3796"/>
      <w:r>
        <w:rPr>
          <w:rFonts w:hint="cs"/>
          <w:rtl/>
        </w:rPr>
        <w:t xml:space="preserve">האם </w:t>
      </w:r>
      <w:bookmarkStart w:id="3797" w:name="_ETM_Q5_441480"/>
      <w:bookmarkEnd w:id="3797"/>
      <w:r>
        <w:rPr>
          <w:rFonts w:hint="cs"/>
          <w:rtl/>
        </w:rPr>
        <w:t xml:space="preserve">בית </w:t>
      </w:r>
      <w:bookmarkStart w:id="3798" w:name="_ETM_Q5_441779"/>
      <w:bookmarkEnd w:id="3798"/>
      <w:r>
        <w:rPr>
          <w:rFonts w:hint="cs"/>
          <w:rtl/>
        </w:rPr>
        <w:t xml:space="preserve">המשפט? </w:t>
      </w:r>
      <w:bookmarkStart w:id="3799" w:name="_ETM_Q5_444029"/>
      <w:bookmarkEnd w:id="3799"/>
      <w:r>
        <w:rPr>
          <w:rFonts w:hint="cs"/>
          <w:rtl/>
        </w:rPr>
        <w:t xml:space="preserve">על </w:t>
      </w:r>
      <w:bookmarkStart w:id="3800" w:name="_ETM_Q5_444270"/>
      <w:bookmarkEnd w:id="3800"/>
      <w:r>
        <w:rPr>
          <w:rFonts w:hint="cs"/>
          <w:rtl/>
        </w:rPr>
        <w:t xml:space="preserve">מי </w:t>
      </w:r>
      <w:bookmarkStart w:id="3801" w:name="_ETM_Q5_444360"/>
      <w:bookmarkEnd w:id="3801"/>
      <w:r>
        <w:rPr>
          <w:rFonts w:hint="cs"/>
          <w:rtl/>
        </w:rPr>
        <w:t xml:space="preserve">אתם </w:t>
      </w:r>
      <w:bookmarkStart w:id="3802" w:name="_ETM_Q5_444509"/>
      <w:bookmarkEnd w:id="3802"/>
      <w:r>
        <w:rPr>
          <w:rFonts w:hint="cs"/>
          <w:rtl/>
        </w:rPr>
        <w:t xml:space="preserve">עובדים? </w:t>
      </w:r>
      <w:bookmarkStart w:id="3803" w:name="_ETM_Q5_446070"/>
      <w:bookmarkEnd w:id="3803"/>
      <w:r>
        <w:rPr>
          <w:rFonts w:hint="cs"/>
          <w:rtl/>
        </w:rPr>
        <w:t xml:space="preserve">הממשלה, </w:t>
      </w:r>
      <w:bookmarkStart w:id="3804" w:name="_ETM_Q5_446790"/>
      <w:bookmarkEnd w:id="3804"/>
      <w:r>
        <w:rPr>
          <w:rFonts w:hint="cs"/>
          <w:rtl/>
        </w:rPr>
        <w:t xml:space="preserve">כל </w:t>
      </w:r>
      <w:bookmarkStart w:id="3805" w:name="_ETM_Q5_447089"/>
      <w:bookmarkEnd w:id="3805"/>
      <w:r>
        <w:rPr>
          <w:rFonts w:hint="cs"/>
          <w:rtl/>
        </w:rPr>
        <w:t xml:space="preserve">ממשלה </w:t>
      </w:r>
      <w:bookmarkStart w:id="3806" w:name="_ETM_Q5_447540"/>
      <w:bookmarkEnd w:id="3806"/>
      <w:r>
        <w:rPr>
          <w:rFonts w:hint="cs"/>
          <w:rtl/>
        </w:rPr>
        <w:t xml:space="preserve">במדינת </w:t>
      </w:r>
      <w:bookmarkStart w:id="3807" w:name="_ETM_Q5_447930"/>
      <w:bookmarkEnd w:id="3807"/>
      <w:r>
        <w:rPr>
          <w:rFonts w:hint="cs"/>
          <w:rtl/>
        </w:rPr>
        <w:t xml:space="preserve">ישראל, </w:t>
      </w:r>
      <w:bookmarkStart w:id="3808" w:name="_ETM_Q5_448260"/>
      <w:bookmarkEnd w:id="3808"/>
      <w:r>
        <w:rPr>
          <w:rFonts w:hint="cs"/>
          <w:rtl/>
        </w:rPr>
        <w:t>במשטר</w:t>
      </w:r>
      <w:bookmarkStart w:id="3809" w:name="_ETM_Q5_448740"/>
      <w:bookmarkEnd w:id="3809"/>
      <w:r>
        <w:rPr>
          <w:rFonts w:hint="cs"/>
          <w:rtl/>
        </w:rPr>
        <w:t xml:space="preserve"> הקואליציוני, </w:t>
      </w:r>
      <w:bookmarkStart w:id="3810" w:name="_ETM_Q5_449279"/>
      <w:bookmarkStart w:id="3811" w:name="_ETM_Q5_449460"/>
      <w:bookmarkStart w:id="3812" w:name="_ETM_Q5_449670"/>
      <w:bookmarkEnd w:id="3810"/>
      <w:bookmarkEnd w:id="3811"/>
      <w:bookmarkEnd w:id="3812"/>
      <w:r>
        <w:rPr>
          <w:rFonts w:hint="cs"/>
          <w:rtl/>
        </w:rPr>
        <w:t xml:space="preserve">יש </w:t>
      </w:r>
      <w:bookmarkStart w:id="3813" w:name="_ETM_Q5_449820"/>
      <w:bookmarkEnd w:id="3813"/>
      <w:r>
        <w:rPr>
          <w:rFonts w:hint="cs"/>
          <w:rtl/>
        </w:rPr>
        <w:t xml:space="preserve">לה </w:t>
      </w:r>
      <w:bookmarkStart w:id="3814" w:name="_ETM_Q5_449940"/>
      <w:bookmarkEnd w:id="3814"/>
      <w:r>
        <w:rPr>
          <w:rFonts w:hint="cs"/>
          <w:rtl/>
        </w:rPr>
        <w:t xml:space="preserve">את </w:t>
      </w:r>
      <w:bookmarkStart w:id="3815" w:name="_ETM_Q5_450000"/>
      <w:bookmarkEnd w:id="3815"/>
      <w:r>
        <w:rPr>
          <w:rFonts w:hint="cs"/>
          <w:rtl/>
        </w:rPr>
        <w:t xml:space="preserve">הכוח </w:t>
      </w:r>
      <w:bookmarkStart w:id="3816" w:name="_ETM_Q5_450420"/>
      <w:bookmarkEnd w:id="3816"/>
      <w:r>
        <w:rPr>
          <w:rFonts w:hint="cs"/>
          <w:rtl/>
        </w:rPr>
        <w:t xml:space="preserve">העודף. </w:t>
      </w:r>
      <w:bookmarkStart w:id="3817" w:name="_ETM_Q5_452370"/>
      <w:bookmarkEnd w:id="3817"/>
      <w:r>
        <w:rPr>
          <w:rFonts w:hint="cs"/>
          <w:rtl/>
        </w:rPr>
        <w:t xml:space="preserve">בשנים </w:t>
      </w:r>
      <w:bookmarkStart w:id="3818" w:name="_ETM_Q5_452849"/>
      <w:bookmarkEnd w:id="3818"/>
      <w:r>
        <w:rPr>
          <w:rFonts w:hint="cs"/>
          <w:rtl/>
        </w:rPr>
        <w:t xml:space="preserve">האחרונות </w:t>
      </w:r>
      <w:bookmarkStart w:id="3819" w:name="_ETM_Q5_453419"/>
      <w:bookmarkEnd w:id="3819"/>
      <w:r>
        <w:rPr>
          <w:rFonts w:hint="cs"/>
          <w:rtl/>
        </w:rPr>
        <w:t xml:space="preserve">ובממשלה </w:t>
      </w:r>
      <w:bookmarkStart w:id="3820" w:name="_ETM_Q5_453930"/>
      <w:bookmarkEnd w:id="3820"/>
      <w:r>
        <w:rPr>
          <w:rFonts w:hint="cs"/>
          <w:rtl/>
        </w:rPr>
        <w:t xml:space="preserve">האחרונה </w:t>
      </w:r>
      <w:bookmarkStart w:id="3821" w:name="_ETM_Q5_454800"/>
      <w:bookmarkEnd w:id="3821"/>
      <w:r>
        <w:rPr>
          <w:rFonts w:hint="cs"/>
          <w:rtl/>
        </w:rPr>
        <w:t xml:space="preserve">הכוח </w:t>
      </w:r>
      <w:bookmarkStart w:id="3822" w:name="_ETM_Q5_455310"/>
      <w:bookmarkEnd w:id="3822"/>
      <w:r>
        <w:rPr>
          <w:rFonts w:hint="cs"/>
          <w:rtl/>
        </w:rPr>
        <w:t xml:space="preserve">העודף </w:t>
      </w:r>
      <w:bookmarkStart w:id="3823" w:name="_ETM_Q5_455699"/>
      <w:bookmarkEnd w:id="3823"/>
      <w:r>
        <w:rPr>
          <w:rFonts w:hint="cs"/>
          <w:rtl/>
        </w:rPr>
        <w:t xml:space="preserve">הוא אפילו </w:t>
      </w:r>
      <w:bookmarkStart w:id="3824" w:name="_ETM_Q5_456060"/>
      <w:bookmarkEnd w:id="3824"/>
      <w:r>
        <w:rPr>
          <w:rFonts w:hint="cs"/>
          <w:rtl/>
        </w:rPr>
        <w:t xml:space="preserve">יותר. </w:t>
      </w:r>
      <w:bookmarkStart w:id="3825" w:name="_ETM_Q5_456479"/>
      <w:bookmarkEnd w:id="3825"/>
      <w:r>
        <w:rPr>
          <w:rFonts w:hint="cs"/>
          <w:rtl/>
        </w:rPr>
        <w:t xml:space="preserve">יש </w:t>
      </w:r>
      <w:bookmarkStart w:id="3826" w:name="_ETM_Q5_456629"/>
      <w:bookmarkEnd w:id="3826"/>
      <w:r>
        <w:rPr>
          <w:rFonts w:hint="cs"/>
          <w:rtl/>
        </w:rPr>
        <w:t xml:space="preserve">לנו </w:t>
      </w:r>
      <w:bookmarkStart w:id="3827" w:name="_ETM_Q5_456839"/>
      <w:bookmarkEnd w:id="3827"/>
      <w:r>
        <w:rPr>
          <w:rFonts w:hint="cs"/>
          <w:rtl/>
        </w:rPr>
        <w:t xml:space="preserve">היום, </w:t>
      </w:r>
      <w:bookmarkStart w:id="3828" w:name="_ETM_Q5_457470"/>
      <w:bookmarkEnd w:id="3828"/>
      <w:r>
        <w:rPr>
          <w:rFonts w:hint="cs"/>
          <w:rtl/>
        </w:rPr>
        <w:t>בהגדרה</w:t>
      </w:r>
      <w:bookmarkStart w:id="3829" w:name="_ETM_Q5_459000"/>
      <w:bookmarkEnd w:id="3829"/>
      <w:r>
        <w:rPr>
          <w:rFonts w:hint="cs"/>
          <w:rtl/>
        </w:rPr>
        <w:t xml:space="preserve">, בהגדרה, </w:t>
      </w:r>
      <w:bookmarkStart w:id="3830" w:name="_ETM_Q5_461930"/>
      <w:bookmarkEnd w:id="3830"/>
      <w:r>
        <w:rPr>
          <w:rFonts w:hint="cs"/>
          <w:rtl/>
        </w:rPr>
        <w:t xml:space="preserve">ממשלה </w:t>
      </w:r>
      <w:bookmarkStart w:id="3831" w:name="_ETM_Q5_462710"/>
      <w:bookmarkEnd w:id="3831"/>
      <w:r>
        <w:rPr>
          <w:rFonts w:hint="cs"/>
          <w:rtl/>
        </w:rPr>
        <w:t xml:space="preserve">שיש </w:t>
      </w:r>
      <w:bookmarkStart w:id="3832" w:name="_ETM_Q5_463070"/>
      <w:bookmarkEnd w:id="3832"/>
      <w:r>
        <w:rPr>
          <w:rFonts w:hint="cs"/>
          <w:rtl/>
        </w:rPr>
        <w:t xml:space="preserve">לה כנסת </w:t>
      </w:r>
      <w:bookmarkStart w:id="3833" w:name="_ETM_Q5_463670"/>
      <w:bookmarkEnd w:id="3833"/>
      <w:r>
        <w:rPr>
          <w:rFonts w:hint="cs"/>
          <w:rtl/>
        </w:rPr>
        <w:t xml:space="preserve">ולא </w:t>
      </w:r>
      <w:bookmarkStart w:id="3834" w:name="_ETM_Q5_463880"/>
      <w:bookmarkStart w:id="3835" w:name="_ETM_Q5_464240"/>
      <w:bookmarkEnd w:id="3834"/>
      <w:bookmarkEnd w:id="3835"/>
      <w:r>
        <w:rPr>
          <w:rFonts w:hint="cs"/>
          <w:rtl/>
        </w:rPr>
        <w:t xml:space="preserve">כנסת </w:t>
      </w:r>
      <w:bookmarkStart w:id="3836" w:name="_ETM_Q5_464630"/>
      <w:bookmarkEnd w:id="3836"/>
      <w:r>
        <w:rPr>
          <w:rFonts w:hint="cs"/>
          <w:rtl/>
        </w:rPr>
        <w:t xml:space="preserve">שיש </w:t>
      </w:r>
      <w:bookmarkStart w:id="3837" w:name="_ETM_Q5_464839"/>
      <w:bookmarkEnd w:id="3837"/>
      <w:r>
        <w:rPr>
          <w:rFonts w:hint="cs"/>
          <w:rtl/>
        </w:rPr>
        <w:t xml:space="preserve">לה ממשלה. </w:t>
      </w:r>
      <w:bookmarkStart w:id="3838" w:name="_ETM_Q5_465920"/>
      <w:bookmarkEnd w:id="3838"/>
      <w:r>
        <w:rPr>
          <w:rFonts w:hint="cs"/>
          <w:rtl/>
        </w:rPr>
        <w:t xml:space="preserve">ואתה </w:t>
      </w:r>
      <w:bookmarkStart w:id="3839" w:name="_ETM_Q5_466279"/>
      <w:bookmarkEnd w:id="3839"/>
      <w:r>
        <w:rPr>
          <w:rFonts w:hint="cs"/>
          <w:rtl/>
        </w:rPr>
        <w:t xml:space="preserve">יכול </w:t>
      </w:r>
      <w:bookmarkStart w:id="3840" w:name="_ETM_Q5_466460"/>
      <w:bookmarkEnd w:id="3840"/>
      <w:r>
        <w:rPr>
          <w:rFonts w:hint="cs"/>
          <w:rtl/>
        </w:rPr>
        <w:t xml:space="preserve">לראות </w:t>
      </w:r>
      <w:bookmarkStart w:id="3841" w:name="_ETM_Q5_466670"/>
      <w:bookmarkEnd w:id="3841"/>
      <w:r>
        <w:rPr>
          <w:rFonts w:hint="cs"/>
          <w:rtl/>
        </w:rPr>
        <w:t xml:space="preserve">את </w:t>
      </w:r>
      <w:bookmarkStart w:id="3842" w:name="_ETM_Q5_466730"/>
      <w:bookmarkEnd w:id="3842"/>
      <w:r>
        <w:rPr>
          <w:rFonts w:hint="cs"/>
          <w:rtl/>
        </w:rPr>
        <w:t xml:space="preserve">זה </w:t>
      </w:r>
      <w:bookmarkStart w:id="3843" w:name="_ETM_Q5_466790"/>
      <w:bookmarkEnd w:id="3843"/>
      <w:r>
        <w:rPr>
          <w:rFonts w:hint="cs"/>
          <w:rtl/>
        </w:rPr>
        <w:t xml:space="preserve">גם </w:t>
      </w:r>
      <w:bookmarkStart w:id="3844" w:name="_ETM_Q5_466910"/>
      <w:bookmarkEnd w:id="3844"/>
      <w:r>
        <w:rPr>
          <w:rFonts w:hint="cs"/>
          <w:rtl/>
        </w:rPr>
        <w:t xml:space="preserve">בתהליכי </w:t>
      </w:r>
      <w:bookmarkStart w:id="3845" w:name="_ETM_Q5_467330"/>
      <w:bookmarkEnd w:id="3845"/>
      <w:r>
        <w:rPr>
          <w:rFonts w:hint="cs"/>
          <w:rtl/>
        </w:rPr>
        <w:t xml:space="preserve">החקיקה. </w:t>
      </w:r>
      <w:bookmarkStart w:id="3846" w:name="_ETM_Q5_468159"/>
      <w:bookmarkStart w:id="3847" w:name="_ETM_Q5_476000"/>
      <w:bookmarkStart w:id="3848" w:name="_ETM_Q5_477000"/>
      <w:bookmarkEnd w:id="3846"/>
      <w:bookmarkEnd w:id="3847"/>
      <w:bookmarkEnd w:id="3848"/>
      <w:r>
        <w:rPr>
          <w:rFonts w:hint="cs"/>
          <w:rtl/>
        </w:rPr>
        <w:t xml:space="preserve">הרי </w:t>
      </w:r>
      <w:bookmarkStart w:id="3849" w:name="_ETM_Q5_468400"/>
      <w:bookmarkEnd w:id="3849"/>
      <w:r>
        <w:rPr>
          <w:rFonts w:hint="cs"/>
          <w:rtl/>
        </w:rPr>
        <w:t xml:space="preserve">איך </w:t>
      </w:r>
      <w:bookmarkStart w:id="3850" w:name="_ETM_Q5_468580"/>
      <w:bookmarkEnd w:id="3850"/>
      <w:r>
        <w:rPr>
          <w:rFonts w:hint="cs"/>
          <w:rtl/>
        </w:rPr>
        <w:t xml:space="preserve">כל </w:t>
      </w:r>
      <w:bookmarkStart w:id="3851" w:name="_ETM_Q5_468789"/>
      <w:bookmarkEnd w:id="3851"/>
      <w:r>
        <w:rPr>
          <w:rFonts w:hint="cs"/>
          <w:rtl/>
        </w:rPr>
        <w:t xml:space="preserve">התהליך </w:t>
      </w:r>
      <w:bookmarkStart w:id="3852" w:name="_ETM_Q5_469180"/>
      <w:bookmarkEnd w:id="3852"/>
      <w:r>
        <w:rPr>
          <w:rFonts w:hint="cs"/>
          <w:rtl/>
        </w:rPr>
        <w:t xml:space="preserve">הזה </w:t>
      </w:r>
      <w:bookmarkStart w:id="3853" w:name="_ETM_Q5_469419"/>
      <w:bookmarkEnd w:id="3853"/>
      <w:r>
        <w:rPr>
          <w:rFonts w:hint="cs"/>
          <w:rtl/>
        </w:rPr>
        <w:t xml:space="preserve">עבר? </w:t>
      </w:r>
      <w:bookmarkStart w:id="3854" w:name="_ETM_Q5_470199"/>
      <w:bookmarkStart w:id="3855" w:name="_ETM_Q5_470529"/>
      <w:bookmarkEnd w:id="3854"/>
      <w:bookmarkEnd w:id="3855"/>
      <w:r>
        <w:rPr>
          <w:rFonts w:hint="cs"/>
          <w:rtl/>
        </w:rPr>
        <w:t xml:space="preserve">עומד </w:t>
      </w:r>
      <w:bookmarkStart w:id="3856" w:name="_ETM_Q5_470800"/>
      <w:bookmarkEnd w:id="3856"/>
      <w:r>
        <w:rPr>
          <w:rFonts w:hint="cs"/>
          <w:rtl/>
        </w:rPr>
        <w:t xml:space="preserve">פה </w:t>
      </w:r>
      <w:bookmarkStart w:id="3857" w:name="_ETM_Q5_471039"/>
      <w:bookmarkEnd w:id="3857"/>
      <w:r>
        <w:rPr>
          <w:rFonts w:hint="cs"/>
          <w:rtl/>
        </w:rPr>
        <w:t xml:space="preserve">יושב-ראש </w:t>
      </w:r>
      <w:bookmarkStart w:id="3858" w:name="_ETM_Q5_471370"/>
      <w:bookmarkEnd w:id="3858"/>
      <w:r>
        <w:rPr>
          <w:rFonts w:hint="cs"/>
          <w:rtl/>
        </w:rPr>
        <w:t xml:space="preserve">ועדת </w:t>
      </w:r>
      <w:bookmarkStart w:id="3859" w:name="_ETM_Q5_471639"/>
      <w:bookmarkEnd w:id="3859"/>
      <w:r>
        <w:rPr>
          <w:rFonts w:hint="cs"/>
          <w:rtl/>
        </w:rPr>
        <w:t xml:space="preserve">החוקה, </w:t>
      </w:r>
      <w:bookmarkStart w:id="3860" w:name="_ETM_Q5_471879"/>
      <w:bookmarkEnd w:id="3860"/>
      <w:r>
        <w:rPr>
          <w:rFonts w:hint="cs"/>
          <w:rtl/>
        </w:rPr>
        <w:t xml:space="preserve">חוק </w:t>
      </w:r>
      <w:bookmarkStart w:id="3861" w:name="_ETM_Q5_472029"/>
      <w:bookmarkEnd w:id="3861"/>
      <w:r>
        <w:rPr>
          <w:rFonts w:hint="cs"/>
          <w:rtl/>
        </w:rPr>
        <w:t xml:space="preserve">ומשפט </w:t>
      </w:r>
      <w:bookmarkStart w:id="3862" w:name="_ETM_Q5_472389"/>
      <w:bookmarkEnd w:id="3862"/>
      <w:r>
        <w:rPr>
          <w:rFonts w:hint="cs"/>
          <w:rtl/>
        </w:rPr>
        <w:t xml:space="preserve">שמחה </w:t>
      </w:r>
      <w:bookmarkStart w:id="3863" w:name="_ETM_Q5_472659"/>
      <w:bookmarkEnd w:id="3863"/>
      <w:r>
        <w:rPr>
          <w:rFonts w:hint="cs"/>
          <w:rtl/>
        </w:rPr>
        <w:t xml:space="preserve">רוטמן </w:t>
      </w:r>
      <w:bookmarkStart w:id="3864" w:name="_ETM_Q5_474110"/>
      <w:bookmarkEnd w:id="3864"/>
      <w:r>
        <w:rPr>
          <w:rFonts w:hint="cs"/>
          <w:rtl/>
        </w:rPr>
        <w:t xml:space="preserve">ומספר </w:t>
      </w:r>
      <w:bookmarkStart w:id="3865" w:name="_ETM_Q5_474620"/>
      <w:bookmarkEnd w:id="3865"/>
      <w:r>
        <w:rPr>
          <w:rFonts w:hint="cs"/>
          <w:rtl/>
        </w:rPr>
        <w:t xml:space="preserve">סיפור </w:t>
      </w:r>
      <w:bookmarkStart w:id="3866" w:name="_ETM_Q5_475009"/>
      <w:bookmarkEnd w:id="3866"/>
      <w:r>
        <w:rPr>
          <w:rFonts w:hint="cs"/>
          <w:rtl/>
        </w:rPr>
        <w:t xml:space="preserve">כאילו </w:t>
      </w:r>
      <w:bookmarkStart w:id="3867" w:name="_ETM_Q5_475639"/>
      <w:bookmarkEnd w:id="3867"/>
      <w:r>
        <w:rPr>
          <w:rFonts w:hint="cs"/>
          <w:rtl/>
        </w:rPr>
        <w:t xml:space="preserve">זה </w:t>
      </w:r>
      <w:bookmarkStart w:id="3868" w:name="_ETM_Q5_475759"/>
      <w:bookmarkEnd w:id="3868"/>
      <w:r>
        <w:rPr>
          <w:rFonts w:hint="cs"/>
          <w:rtl/>
        </w:rPr>
        <w:t xml:space="preserve">תמיד </w:t>
      </w:r>
      <w:bookmarkStart w:id="3869" w:name="_ETM_Q5_476060"/>
      <w:bookmarkEnd w:id="3869"/>
      <w:r>
        <w:rPr>
          <w:rFonts w:hint="cs"/>
          <w:rtl/>
        </w:rPr>
        <w:t xml:space="preserve">היה, </w:t>
      </w:r>
      <w:bookmarkStart w:id="3870" w:name="_ETM_Q5_476389"/>
      <w:bookmarkEnd w:id="3870"/>
      <w:r>
        <w:rPr>
          <w:rFonts w:hint="cs"/>
          <w:rtl/>
        </w:rPr>
        <w:t xml:space="preserve">ככה </w:t>
      </w:r>
      <w:bookmarkStart w:id="3871" w:name="_ETM_Q5_476629"/>
      <w:bookmarkEnd w:id="3871"/>
      <w:r>
        <w:rPr>
          <w:rFonts w:hint="cs"/>
          <w:rtl/>
        </w:rPr>
        <w:t xml:space="preserve">זה </w:t>
      </w:r>
      <w:bookmarkStart w:id="3872" w:name="_ETM_Q5_476750"/>
      <w:bookmarkEnd w:id="3872"/>
      <w:r>
        <w:rPr>
          <w:rFonts w:hint="cs"/>
          <w:rtl/>
        </w:rPr>
        <w:t>עובד</w:t>
      </w:r>
      <w:bookmarkStart w:id="3873" w:name="_ETM_Q5_478190"/>
      <w:bookmarkEnd w:id="3873"/>
      <w:r>
        <w:rPr>
          <w:rFonts w:hint="cs"/>
          <w:rtl/>
        </w:rPr>
        <w:t xml:space="preserve">, זו </w:t>
      </w:r>
      <w:bookmarkStart w:id="3874" w:name="_ETM_Q5_478400"/>
      <w:bookmarkEnd w:id="3874"/>
      <w:r>
        <w:rPr>
          <w:rFonts w:hint="cs"/>
          <w:rtl/>
        </w:rPr>
        <w:t xml:space="preserve">הצעת </w:t>
      </w:r>
      <w:bookmarkStart w:id="3875" w:name="_ETM_Q5_478669"/>
      <w:bookmarkEnd w:id="3875"/>
      <w:r>
        <w:rPr>
          <w:rFonts w:hint="cs"/>
          <w:rtl/>
        </w:rPr>
        <w:t xml:space="preserve">חוק </w:t>
      </w:r>
      <w:bookmarkStart w:id="3876" w:name="_ETM_Q5_478880"/>
      <w:bookmarkEnd w:id="3876"/>
      <w:r>
        <w:rPr>
          <w:rFonts w:hint="cs"/>
          <w:rtl/>
        </w:rPr>
        <w:t xml:space="preserve">מטעם </w:t>
      </w:r>
      <w:bookmarkStart w:id="3877" w:name="_ETM_Q5_479300"/>
      <w:bookmarkEnd w:id="3877"/>
      <w:r>
        <w:rPr>
          <w:rFonts w:hint="cs"/>
          <w:rtl/>
        </w:rPr>
        <w:t xml:space="preserve">הוועדה. </w:t>
      </w:r>
      <w:bookmarkStart w:id="3878" w:name="_ETM_Q5_480080"/>
      <w:bookmarkEnd w:id="3878"/>
      <w:r>
        <w:rPr>
          <w:rFonts w:hint="cs"/>
          <w:rtl/>
        </w:rPr>
        <w:t xml:space="preserve">אני </w:t>
      </w:r>
      <w:bookmarkStart w:id="3879" w:name="_ETM_Q5_480289"/>
      <w:bookmarkEnd w:id="3879"/>
      <w:r>
        <w:rPr>
          <w:rFonts w:hint="cs"/>
          <w:rtl/>
        </w:rPr>
        <w:t xml:space="preserve">אומר </w:t>
      </w:r>
      <w:bookmarkStart w:id="3880" w:name="_ETM_Q5_480410"/>
      <w:bookmarkEnd w:id="3880"/>
      <w:r>
        <w:rPr>
          <w:rFonts w:hint="cs"/>
          <w:rtl/>
        </w:rPr>
        <w:t xml:space="preserve">לכם: </w:t>
      </w:r>
      <w:bookmarkStart w:id="3881" w:name="_ETM_Q5_480589"/>
      <w:bookmarkEnd w:id="3881"/>
      <w:r>
        <w:rPr>
          <w:rFonts w:hint="cs"/>
          <w:rtl/>
        </w:rPr>
        <w:t xml:space="preserve">זה </w:t>
      </w:r>
      <w:bookmarkStart w:id="3882" w:name="_ETM_Q5_480800"/>
      <w:bookmarkEnd w:id="3882"/>
      <w:r>
        <w:rPr>
          <w:rFonts w:hint="cs"/>
          <w:rtl/>
        </w:rPr>
        <w:t xml:space="preserve">חריג </w:t>
      </w:r>
      <w:bookmarkStart w:id="3883" w:name="_ETM_Q5_480000"/>
      <w:bookmarkStart w:id="3884" w:name="_ETM_Q5_480719"/>
      <w:bookmarkStart w:id="3885" w:name="_ETM_Q5_480930"/>
      <w:bookmarkStart w:id="3886" w:name="_ETM_Q5_481050"/>
      <w:bookmarkStart w:id="3887" w:name="_ETM_Q5_481230"/>
      <w:bookmarkStart w:id="3888" w:name="_ETM_Q5_481439"/>
      <w:bookmarkStart w:id="3889" w:name="_ETM_Q5_482040"/>
      <w:bookmarkEnd w:id="3883"/>
      <w:bookmarkEnd w:id="3884"/>
      <w:bookmarkEnd w:id="3885"/>
      <w:bookmarkEnd w:id="3886"/>
      <w:bookmarkEnd w:id="3887"/>
      <w:bookmarkEnd w:id="3888"/>
      <w:bookmarkEnd w:id="3889"/>
      <w:r>
        <w:rPr>
          <w:rFonts w:hint="cs"/>
          <w:rtl/>
        </w:rPr>
        <w:t xml:space="preserve">על </w:t>
      </w:r>
      <w:bookmarkStart w:id="3890" w:name="_ETM_Q5_482190"/>
      <w:bookmarkEnd w:id="3890"/>
      <w:r>
        <w:rPr>
          <w:rFonts w:hint="cs"/>
          <w:rtl/>
        </w:rPr>
        <w:t xml:space="preserve">חריג </w:t>
      </w:r>
      <w:bookmarkStart w:id="3891" w:name="_ETM_Q5_482639"/>
      <w:bookmarkEnd w:id="3891"/>
      <w:r>
        <w:rPr>
          <w:rFonts w:hint="cs"/>
          <w:rtl/>
        </w:rPr>
        <w:t xml:space="preserve">על </w:t>
      </w:r>
      <w:bookmarkStart w:id="3892" w:name="_ETM_Q5_482760"/>
      <w:bookmarkEnd w:id="3892"/>
      <w:r>
        <w:rPr>
          <w:rFonts w:hint="cs"/>
          <w:rtl/>
        </w:rPr>
        <w:t xml:space="preserve">חריג. </w:t>
      </w:r>
      <w:bookmarkStart w:id="3893" w:name="_ETM_Q5_483600"/>
      <w:bookmarkEnd w:id="3893"/>
      <w:r>
        <w:rPr>
          <w:rFonts w:hint="cs"/>
          <w:rtl/>
        </w:rPr>
        <w:t xml:space="preserve">לא </w:t>
      </w:r>
      <w:bookmarkStart w:id="3894" w:name="_ETM_Q5_483870"/>
      <w:bookmarkEnd w:id="3894"/>
      <w:r>
        <w:rPr>
          <w:rFonts w:hint="cs"/>
          <w:rtl/>
        </w:rPr>
        <w:t xml:space="preserve">שלא </w:t>
      </w:r>
      <w:bookmarkStart w:id="3895" w:name="_ETM_Q5_484080"/>
      <w:bookmarkEnd w:id="3895"/>
      <w:r>
        <w:rPr>
          <w:rFonts w:hint="cs"/>
          <w:rtl/>
        </w:rPr>
        <w:t xml:space="preserve">היו </w:t>
      </w:r>
      <w:bookmarkStart w:id="3896" w:name="_ETM_Q5_484200"/>
      <w:bookmarkEnd w:id="3896"/>
      <w:r>
        <w:rPr>
          <w:rFonts w:hint="cs"/>
          <w:rtl/>
        </w:rPr>
        <w:t xml:space="preserve">מקרים </w:t>
      </w:r>
      <w:bookmarkStart w:id="3897" w:name="_ETM_Q5_484500"/>
      <w:bookmarkEnd w:id="3897"/>
      <w:r>
        <w:rPr>
          <w:rFonts w:hint="cs"/>
          <w:rtl/>
        </w:rPr>
        <w:t xml:space="preserve">כאלה, </w:t>
      </w:r>
      <w:bookmarkStart w:id="3898" w:name="_ETM_Q5_484979"/>
      <w:bookmarkEnd w:id="3898"/>
      <w:r>
        <w:rPr>
          <w:rFonts w:hint="cs"/>
          <w:rtl/>
        </w:rPr>
        <w:t xml:space="preserve">אבל </w:t>
      </w:r>
      <w:bookmarkStart w:id="3899" w:name="_ETM_Q5_485189"/>
      <w:bookmarkEnd w:id="3899"/>
      <w:r>
        <w:rPr>
          <w:rFonts w:hint="cs"/>
          <w:rtl/>
        </w:rPr>
        <w:t xml:space="preserve">בדקנו </w:t>
      </w:r>
      <w:bookmarkStart w:id="3900" w:name="_ETM_Q5_485609"/>
      <w:bookmarkEnd w:id="3900"/>
      <w:r>
        <w:rPr>
          <w:rFonts w:hint="cs"/>
          <w:rtl/>
        </w:rPr>
        <w:t xml:space="preserve">גם </w:t>
      </w:r>
      <w:bookmarkStart w:id="3901" w:name="_ETM_Q5_485819"/>
      <w:bookmarkEnd w:id="3901"/>
      <w:r>
        <w:rPr>
          <w:rFonts w:hint="cs"/>
          <w:rtl/>
        </w:rPr>
        <w:t xml:space="preserve">בתהליכי </w:t>
      </w:r>
      <w:bookmarkStart w:id="3902" w:name="_ETM_Q5_486240"/>
      <w:bookmarkEnd w:id="3902"/>
      <w:r>
        <w:rPr>
          <w:rFonts w:hint="cs"/>
          <w:rtl/>
        </w:rPr>
        <w:t>החקיקה</w:t>
      </w:r>
      <w:bookmarkStart w:id="3903" w:name="_ETM_Q5_486990"/>
      <w:bookmarkEnd w:id="3903"/>
      <w:r>
        <w:rPr>
          <w:rFonts w:hint="cs"/>
          <w:rtl/>
        </w:rPr>
        <w:t xml:space="preserve"> ושאלנו, ו</w:t>
      </w:r>
      <w:bookmarkStart w:id="3904" w:name="_ETM_Q5_488779"/>
      <w:bookmarkEnd w:id="3904"/>
      <w:r>
        <w:rPr>
          <w:rFonts w:hint="cs"/>
          <w:rtl/>
        </w:rPr>
        <w:t xml:space="preserve">זה </w:t>
      </w:r>
      <w:bookmarkStart w:id="3905" w:name="_ETM_Q5_489020"/>
      <w:bookmarkEnd w:id="3905"/>
      <w:r>
        <w:rPr>
          <w:rFonts w:hint="cs"/>
          <w:rtl/>
        </w:rPr>
        <w:t>חריג.</w:t>
      </w:r>
      <w:bookmarkStart w:id="3906" w:name="_ETM_Q5_488000"/>
      <w:bookmarkStart w:id="3907" w:name="_ETM_Q5_490900"/>
      <w:bookmarkEnd w:id="3906"/>
      <w:bookmarkEnd w:id="3907"/>
      <w:r>
        <w:rPr>
          <w:rFonts w:hint="cs"/>
          <w:rtl/>
        </w:rPr>
        <w:t xml:space="preserve"> </w:t>
      </w:r>
    </w:p>
    <w:p w:rsidR="000C5C1F" w:rsidRDefault="000C5C1F" w:rsidP="000C5C1F">
      <w:pPr>
        <w:rPr>
          <w:rtl/>
        </w:rPr>
      </w:pPr>
    </w:p>
    <w:p w:rsidR="000C5C1F" w:rsidRDefault="000C5C1F" w:rsidP="000C5C1F">
      <w:pPr>
        <w:rPr>
          <w:rtl/>
        </w:rPr>
      </w:pPr>
      <w:r>
        <w:rPr>
          <w:rFonts w:hint="cs"/>
          <w:rtl/>
        </w:rPr>
        <w:t xml:space="preserve">אבל </w:t>
      </w:r>
      <w:bookmarkStart w:id="3908" w:name="_ETM_Q5_491140"/>
      <w:bookmarkStart w:id="3909" w:name="_ETM_Q5_491410"/>
      <w:bookmarkEnd w:id="3908"/>
      <w:bookmarkEnd w:id="3909"/>
      <w:r>
        <w:rPr>
          <w:rFonts w:hint="cs"/>
          <w:rtl/>
        </w:rPr>
        <w:t xml:space="preserve">הממשלה, </w:t>
      </w:r>
      <w:bookmarkStart w:id="3910" w:name="_ETM_Q5_492070"/>
      <w:bookmarkEnd w:id="3910"/>
      <w:r>
        <w:rPr>
          <w:rFonts w:hint="cs"/>
          <w:rtl/>
        </w:rPr>
        <w:t xml:space="preserve">הרי </w:t>
      </w:r>
      <w:bookmarkStart w:id="3911" w:name="_ETM_Q5_492279"/>
      <w:bookmarkEnd w:id="3911"/>
      <w:r>
        <w:rPr>
          <w:rFonts w:hint="cs"/>
          <w:rtl/>
        </w:rPr>
        <w:t>אם</w:t>
      </w:r>
      <w:bookmarkStart w:id="3912" w:name="_ETM_Q5_498264"/>
      <w:bookmarkEnd w:id="3912"/>
      <w:r>
        <w:rPr>
          <w:rFonts w:hint="cs"/>
          <w:rtl/>
        </w:rPr>
        <w:t xml:space="preserve"> הממשלה </w:t>
      </w:r>
      <w:bookmarkStart w:id="3913" w:name="_ETM_Q5_492700"/>
      <w:bookmarkEnd w:id="3913"/>
      <w:r>
        <w:rPr>
          <w:rFonts w:hint="cs"/>
          <w:rtl/>
        </w:rPr>
        <w:t xml:space="preserve">אומרת, </w:t>
      </w:r>
      <w:bookmarkStart w:id="3914" w:name="_ETM_Q5_493180"/>
      <w:bookmarkEnd w:id="3914"/>
      <w:r>
        <w:rPr>
          <w:rFonts w:hint="cs"/>
          <w:rtl/>
        </w:rPr>
        <w:t xml:space="preserve">אומר </w:t>
      </w:r>
      <w:bookmarkStart w:id="3915" w:name="_ETM_Q5_493480"/>
      <w:bookmarkEnd w:id="3915"/>
      <w:r>
        <w:rPr>
          <w:rFonts w:hint="cs"/>
          <w:rtl/>
        </w:rPr>
        <w:t xml:space="preserve">ראש הממשלה, </w:t>
      </w:r>
      <w:bookmarkStart w:id="3916" w:name="_ETM_Q5_494540"/>
      <w:bookmarkEnd w:id="3916"/>
      <w:r>
        <w:rPr>
          <w:rFonts w:hint="cs"/>
          <w:rtl/>
        </w:rPr>
        <w:t xml:space="preserve">אומר </w:t>
      </w:r>
      <w:bookmarkStart w:id="3917" w:name="_ETM_Q5_494990"/>
      <w:bookmarkEnd w:id="3917"/>
      <w:r>
        <w:rPr>
          <w:rFonts w:hint="cs"/>
          <w:rtl/>
        </w:rPr>
        <w:t xml:space="preserve">שר </w:t>
      </w:r>
      <w:bookmarkStart w:id="3918" w:name="_ETM_Q5_495170"/>
      <w:bookmarkEnd w:id="3918"/>
      <w:r>
        <w:rPr>
          <w:rFonts w:hint="cs"/>
          <w:rtl/>
        </w:rPr>
        <w:t xml:space="preserve">המשפטים </w:t>
      </w:r>
      <w:bookmarkStart w:id="3919" w:name="_ETM_Q5_496189"/>
      <w:bookmarkEnd w:id="3919"/>
      <w:r>
        <w:rPr>
          <w:rFonts w:hint="cs"/>
          <w:rtl/>
        </w:rPr>
        <w:t xml:space="preserve">– יבוא </w:t>
      </w:r>
      <w:bookmarkStart w:id="3920" w:name="_ETM_Q5_496490"/>
      <w:bookmarkEnd w:id="3920"/>
      <w:r>
        <w:rPr>
          <w:rFonts w:hint="cs"/>
          <w:rtl/>
        </w:rPr>
        <w:t xml:space="preserve">מישהו </w:t>
      </w:r>
      <w:bookmarkStart w:id="3921" w:name="_ETM_Q5_496760"/>
      <w:bookmarkEnd w:id="3921"/>
      <w:r>
        <w:rPr>
          <w:rFonts w:hint="cs"/>
          <w:rtl/>
        </w:rPr>
        <w:t xml:space="preserve">מהחלל </w:t>
      </w:r>
      <w:bookmarkStart w:id="3922" w:name="_ETM_Q5_497180"/>
      <w:bookmarkEnd w:id="3922"/>
      <w:r>
        <w:rPr>
          <w:rFonts w:hint="cs"/>
          <w:rtl/>
        </w:rPr>
        <w:t xml:space="preserve">החיצון, </w:t>
      </w:r>
      <w:bookmarkStart w:id="3923" w:name="_ETM_Q5_498109"/>
      <w:bookmarkEnd w:id="3923"/>
      <w:r>
        <w:rPr>
          <w:rFonts w:hint="cs"/>
          <w:rtl/>
        </w:rPr>
        <w:t xml:space="preserve">יעמוד </w:t>
      </w:r>
      <w:bookmarkStart w:id="3924" w:name="_ETM_Q5_498500"/>
      <w:bookmarkEnd w:id="3924"/>
      <w:r>
        <w:rPr>
          <w:rFonts w:hint="cs"/>
          <w:rtl/>
        </w:rPr>
        <w:t>מלמעלה</w:t>
      </w:r>
      <w:bookmarkStart w:id="3925" w:name="_ETM_Q5_498949"/>
      <w:bookmarkEnd w:id="3925"/>
      <w:r>
        <w:rPr>
          <w:rFonts w:hint="cs"/>
          <w:rtl/>
        </w:rPr>
        <w:t xml:space="preserve">, יחשוב </w:t>
      </w:r>
      <w:bookmarkStart w:id="3926" w:name="_ETM_Q5_499339"/>
      <w:bookmarkEnd w:id="3926"/>
      <w:r>
        <w:rPr>
          <w:rFonts w:hint="cs"/>
          <w:rtl/>
        </w:rPr>
        <w:t xml:space="preserve">שזאת </w:t>
      </w:r>
      <w:bookmarkStart w:id="3927" w:name="_ETM_Q5_499519"/>
      <w:bookmarkEnd w:id="3927"/>
      <w:r>
        <w:rPr>
          <w:rFonts w:hint="cs"/>
          <w:rtl/>
        </w:rPr>
        <w:t xml:space="preserve">תוכנית </w:t>
      </w:r>
      <w:bookmarkStart w:id="3928" w:name="_ETM_Q5_499939"/>
      <w:bookmarkEnd w:id="3928"/>
      <w:r>
        <w:rPr>
          <w:rFonts w:hint="cs"/>
          <w:rtl/>
        </w:rPr>
        <w:t xml:space="preserve">של </w:t>
      </w:r>
      <w:bookmarkStart w:id="3929" w:name="_ETM_Q5_500300"/>
      <w:bookmarkEnd w:id="3929"/>
      <w:r>
        <w:rPr>
          <w:rFonts w:hint="cs"/>
          <w:rtl/>
        </w:rPr>
        <w:t xml:space="preserve">שר </w:t>
      </w:r>
      <w:bookmarkStart w:id="3930" w:name="_ETM_Q5_500570"/>
      <w:bookmarkEnd w:id="3930"/>
      <w:r>
        <w:rPr>
          <w:rFonts w:hint="cs"/>
          <w:rtl/>
        </w:rPr>
        <w:t xml:space="preserve">המשפטים </w:t>
      </w:r>
      <w:bookmarkStart w:id="3931" w:name="_ETM_Q5_501439"/>
      <w:bookmarkEnd w:id="3931"/>
      <w:r>
        <w:rPr>
          <w:rFonts w:hint="cs"/>
          <w:rtl/>
        </w:rPr>
        <w:t xml:space="preserve">שעברה </w:t>
      </w:r>
      <w:bookmarkStart w:id="3932" w:name="_ETM_Q5_501859"/>
      <w:bookmarkEnd w:id="3932"/>
      <w:r>
        <w:rPr>
          <w:rFonts w:hint="cs"/>
          <w:rtl/>
        </w:rPr>
        <w:t xml:space="preserve">את </w:t>
      </w:r>
      <w:bookmarkStart w:id="3933" w:name="_ETM_Q5_502009"/>
      <w:bookmarkEnd w:id="3933"/>
      <w:r>
        <w:rPr>
          <w:rFonts w:hint="cs"/>
          <w:rtl/>
        </w:rPr>
        <w:t xml:space="preserve">הממשלה. </w:t>
      </w:r>
      <w:bookmarkStart w:id="3934" w:name="_ETM_Q5_502900"/>
      <w:bookmarkEnd w:id="3934"/>
      <w:r>
        <w:rPr>
          <w:rFonts w:hint="cs"/>
          <w:rtl/>
        </w:rPr>
        <w:t xml:space="preserve">גם </w:t>
      </w:r>
      <w:bookmarkStart w:id="3935" w:name="_ETM_Q5_503259"/>
      <w:bookmarkEnd w:id="3935"/>
      <w:r>
        <w:rPr>
          <w:rFonts w:hint="cs"/>
          <w:rtl/>
        </w:rPr>
        <w:t xml:space="preserve">פה </w:t>
      </w:r>
      <w:bookmarkStart w:id="3936" w:name="_ETM_Q5_503470"/>
      <w:bookmarkEnd w:id="3936"/>
      <w:r>
        <w:rPr>
          <w:rFonts w:hint="cs"/>
          <w:rtl/>
        </w:rPr>
        <w:t xml:space="preserve">יש </w:t>
      </w:r>
      <w:bookmarkStart w:id="3937" w:name="_ETM_Q5_504009"/>
      <w:bookmarkEnd w:id="3937"/>
      <w:r>
        <w:rPr>
          <w:rFonts w:hint="cs"/>
          <w:rtl/>
        </w:rPr>
        <w:t xml:space="preserve">שקר, </w:t>
      </w:r>
      <w:bookmarkStart w:id="3938" w:name="_ETM_Q5_504550"/>
      <w:bookmarkEnd w:id="3938"/>
      <w:r>
        <w:rPr>
          <w:rFonts w:hint="cs"/>
          <w:rtl/>
        </w:rPr>
        <w:t xml:space="preserve">מרמה </w:t>
      </w:r>
      <w:bookmarkStart w:id="3939" w:name="_ETM_Q5_504939"/>
      <w:bookmarkEnd w:id="3939"/>
      <w:r>
        <w:rPr>
          <w:rFonts w:hint="cs"/>
          <w:rtl/>
        </w:rPr>
        <w:t xml:space="preserve">והפרת </w:t>
      </w:r>
      <w:bookmarkStart w:id="3940" w:name="_ETM_Q5_505359"/>
      <w:bookmarkEnd w:id="3940"/>
      <w:r>
        <w:rPr>
          <w:rFonts w:hint="cs"/>
          <w:rtl/>
        </w:rPr>
        <w:t xml:space="preserve">אמונים. </w:t>
      </w:r>
      <w:bookmarkStart w:id="3941" w:name="_ETM_Q5_506300"/>
      <w:bookmarkEnd w:id="3941"/>
      <w:r>
        <w:rPr>
          <w:rFonts w:hint="cs"/>
          <w:rtl/>
        </w:rPr>
        <w:t xml:space="preserve">זה </w:t>
      </w:r>
      <w:bookmarkStart w:id="3942" w:name="_ETM_Q5_506600"/>
      <w:bookmarkEnd w:id="3942"/>
      <w:r>
        <w:rPr>
          <w:rFonts w:hint="cs"/>
          <w:rtl/>
        </w:rPr>
        <w:t xml:space="preserve">לא </w:t>
      </w:r>
      <w:bookmarkStart w:id="3943" w:name="_ETM_Q5_506689"/>
      <w:bookmarkStart w:id="3944" w:name="_ETM_Q5_506990"/>
      <w:bookmarkEnd w:id="3943"/>
      <w:bookmarkEnd w:id="3944"/>
      <w:r>
        <w:rPr>
          <w:rFonts w:hint="cs"/>
          <w:rtl/>
        </w:rPr>
        <w:t xml:space="preserve">עבר את </w:t>
      </w:r>
      <w:bookmarkStart w:id="3945" w:name="_ETM_Q5_505000"/>
      <w:bookmarkEnd w:id="3945"/>
      <w:r>
        <w:rPr>
          <w:rFonts w:hint="cs"/>
          <w:rtl/>
        </w:rPr>
        <w:t xml:space="preserve">הממשלה, </w:t>
      </w:r>
      <w:bookmarkStart w:id="3946" w:name="_ETM_Q5_507050"/>
      <w:bookmarkStart w:id="3947" w:name="_ETM_Q5_508050"/>
      <w:bookmarkEnd w:id="3946"/>
      <w:bookmarkEnd w:id="3947"/>
      <w:r>
        <w:rPr>
          <w:rFonts w:hint="cs"/>
          <w:rtl/>
        </w:rPr>
        <w:t xml:space="preserve">זה </w:t>
      </w:r>
      <w:bookmarkStart w:id="3948" w:name="_ETM_Q5_508260"/>
      <w:bookmarkEnd w:id="3948"/>
      <w:r>
        <w:rPr>
          <w:rFonts w:hint="cs"/>
          <w:rtl/>
        </w:rPr>
        <w:t xml:space="preserve">לא </w:t>
      </w:r>
      <w:bookmarkStart w:id="3949" w:name="_ETM_Q5_508380"/>
      <w:bookmarkEnd w:id="3949"/>
      <w:r>
        <w:rPr>
          <w:rFonts w:hint="cs"/>
          <w:rtl/>
        </w:rPr>
        <w:t xml:space="preserve">עבר </w:t>
      </w:r>
      <w:bookmarkStart w:id="3950" w:name="_ETM_Q5_508589"/>
      <w:bookmarkEnd w:id="3950"/>
      <w:r>
        <w:rPr>
          <w:rFonts w:hint="cs"/>
          <w:rtl/>
        </w:rPr>
        <w:t xml:space="preserve">אף </w:t>
      </w:r>
      <w:bookmarkStart w:id="3951" w:name="_ETM_Q5_508710"/>
      <w:bookmarkEnd w:id="3951"/>
      <w:r>
        <w:rPr>
          <w:rFonts w:hint="cs"/>
          <w:rtl/>
        </w:rPr>
        <w:t xml:space="preserve">משרד </w:t>
      </w:r>
      <w:bookmarkStart w:id="3952" w:name="_ETM_Q5_509039"/>
      <w:bookmarkEnd w:id="3952"/>
      <w:r>
        <w:rPr>
          <w:rFonts w:hint="cs"/>
          <w:rtl/>
        </w:rPr>
        <w:t xml:space="preserve">ממשלתי, </w:t>
      </w:r>
      <w:bookmarkStart w:id="3953" w:name="_ETM_Q5_510130"/>
      <w:bookmarkEnd w:id="3953"/>
      <w:r>
        <w:rPr>
          <w:rFonts w:hint="cs"/>
          <w:rtl/>
        </w:rPr>
        <w:t xml:space="preserve">אף </w:t>
      </w:r>
      <w:bookmarkStart w:id="3954" w:name="_ETM_Q5_510339"/>
      <w:bookmarkEnd w:id="3954"/>
      <w:r>
        <w:rPr>
          <w:rFonts w:hint="cs"/>
          <w:rtl/>
        </w:rPr>
        <w:t xml:space="preserve">אחד </w:t>
      </w:r>
      <w:bookmarkStart w:id="3955" w:name="_ETM_Q5_510640"/>
      <w:bookmarkEnd w:id="3955"/>
      <w:r>
        <w:rPr>
          <w:rFonts w:hint="cs"/>
          <w:rtl/>
        </w:rPr>
        <w:t xml:space="preserve">לא </w:t>
      </w:r>
      <w:bookmarkStart w:id="3956" w:name="_ETM_Q5_510730"/>
      <w:bookmarkEnd w:id="3956"/>
      <w:r>
        <w:rPr>
          <w:rFonts w:hint="cs"/>
          <w:rtl/>
        </w:rPr>
        <w:t xml:space="preserve">נתן </w:t>
      </w:r>
      <w:bookmarkStart w:id="3957" w:name="_ETM_Q5_511029"/>
      <w:bookmarkEnd w:id="3957"/>
      <w:r>
        <w:rPr>
          <w:rFonts w:hint="cs"/>
          <w:rtl/>
        </w:rPr>
        <w:t xml:space="preserve">את </w:t>
      </w:r>
      <w:bookmarkStart w:id="3958" w:name="_ETM_Q5_511119"/>
      <w:bookmarkEnd w:id="3958"/>
      <w:r>
        <w:rPr>
          <w:rFonts w:hint="cs"/>
          <w:rtl/>
        </w:rPr>
        <w:t xml:space="preserve">דעתו </w:t>
      </w:r>
      <w:bookmarkStart w:id="3959" w:name="_ETM_Q5_511480"/>
      <w:bookmarkEnd w:id="3959"/>
      <w:r>
        <w:rPr>
          <w:rFonts w:hint="cs"/>
          <w:rtl/>
        </w:rPr>
        <w:t xml:space="preserve">על </w:t>
      </w:r>
      <w:bookmarkStart w:id="3960" w:name="_ETM_Q5_511570"/>
      <w:bookmarkEnd w:id="3960"/>
      <w:r>
        <w:rPr>
          <w:rFonts w:hint="cs"/>
          <w:rtl/>
        </w:rPr>
        <w:t>ההשלכות</w:t>
      </w:r>
      <w:bookmarkStart w:id="3961" w:name="_ETM_Q5_512110"/>
      <w:bookmarkEnd w:id="3961"/>
      <w:r>
        <w:rPr>
          <w:rFonts w:hint="cs"/>
          <w:rtl/>
        </w:rPr>
        <w:t xml:space="preserve"> באמת</w:t>
      </w:r>
      <w:bookmarkStart w:id="3962" w:name="_ETM_Q5_512559"/>
      <w:bookmarkEnd w:id="3962"/>
      <w:r>
        <w:rPr>
          <w:rFonts w:hint="cs"/>
          <w:rtl/>
        </w:rPr>
        <w:t xml:space="preserve"> של </w:t>
      </w:r>
      <w:bookmarkStart w:id="3963" w:name="_ETM_Q5_512710"/>
      <w:bookmarkEnd w:id="3963"/>
      <w:r>
        <w:rPr>
          <w:rFonts w:hint="cs"/>
          <w:rtl/>
        </w:rPr>
        <w:t xml:space="preserve">העניין </w:t>
      </w:r>
      <w:bookmarkStart w:id="3964" w:name="_ETM_Q5_513040"/>
      <w:bookmarkEnd w:id="3964"/>
      <w:r>
        <w:rPr>
          <w:rFonts w:hint="cs"/>
          <w:rtl/>
        </w:rPr>
        <w:t xml:space="preserve">הזה. </w:t>
      </w:r>
      <w:bookmarkStart w:id="3965" w:name="_ETM_Q5_513520"/>
      <w:bookmarkEnd w:id="3965"/>
      <w:r>
        <w:rPr>
          <w:rFonts w:hint="cs"/>
          <w:rtl/>
        </w:rPr>
        <w:t xml:space="preserve">ואז </w:t>
      </w:r>
      <w:bookmarkStart w:id="3966" w:name="_ETM_Q5_513790"/>
      <w:bookmarkEnd w:id="3966"/>
      <w:r>
        <w:rPr>
          <w:rFonts w:hint="cs"/>
          <w:rtl/>
        </w:rPr>
        <w:t xml:space="preserve">באים ואומרים: </w:t>
      </w:r>
      <w:bookmarkStart w:id="3967" w:name="_ETM_Q5_514540"/>
      <w:bookmarkEnd w:id="3967"/>
      <w:r>
        <w:rPr>
          <w:rFonts w:hint="cs"/>
          <w:rtl/>
        </w:rPr>
        <w:t xml:space="preserve">הצעת </w:t>
      </w:r>
      <w:bookmarkStart w:id="3968" w:name="_ETM_Q5_514899"/>
      <w:bookmarkEnd w:id="3968"/>
      <w:r>
        <w:rPr>
          <w:rFonts w:hint="cs"/>
          <w:rtl/>
        </w:rPr>
        <w:t xml:space="preserve">חוק </w:t>
      </w:r>
      <w:bookmarkStart w:id="3969" w:name="_ETM_Q5_515079"/>
      <w:bookmarkEnd w:id="3969"/>
      <w:r>
        <w:rPr>
          <w:rFonts w:hint="cs"/>
          <w:rtl/>
        </w:rPr>
        <w:t xml:space="preserve">מטעם </w:t>
      </w:r>
      <w:bookmarkStart w:id="3970" w:name="_ETM_Q5_515440"/>
      <w:bookmarkEnd w:id="3970"/>
      <w:r>
        <w:rPr>
          <w:rFonts w:hint="cs"/>
          <w:rtl/>
        </w:rPr>
        <w:t xml:space="preserve">הוועדה. </w:t>
      </w:r>
      <w:bookmarkStart w:id="3971" w:name="_ETM_Q5_515860"/>
      <w:bookmarkEnd w:id="3971"/>
      <w:r>
        <w:rPr>
          <w:rFonts w:hint="cs"/>
          <w:rtl/>
        </w:rPr>
        <w:t xml:space="preserve">זה </w:t>
      </w:r>
      <w:bookmarkStart w:id="3972" w:name="_ETM_Q5_516100"/>
      <w:bookmarkEnd w:id="3972"/>
      <w:r>
        <w:rPr>
          <w:rFonts w:hint="cs"/>
          <w:rtl/>
        </w:rPr>
        <w:t xml:space="preserve">חריג, </w:t>
      </w:r>
      <w:bookmarkStart w:id="3973" w:name="_ETM_Q5_516520"/>
      <w:bookmarkEnd w:id="3973"/>
      <w:r>
        <w:rPr>
          <w:rFonts w:hint="cs"/>
          <w:rtl/>
        </w:rPr>
        <w:t xml:space="preserve">מעולם </w:t>
      </w:r>
      <w:bookmarkStart w:id="3974" w:name="_ETM_Q5_516910"/>
      <w:bookmarkEnd w:id="3974"/>
      <w:r>
        <w:rPr>
          <w:rFonts w:hint="cs"/>
          <w:rtl/>
        </w:rPr>
        <w:t xml:space="preserve">לא </w:t>
      </w:r>
      <w:bookmarkStart w:id="3975" w:name="_ETM_Q5_517000"/>
      <w:bookmarkEnd w:id="3975"/>
      <w:r>
        <w:rPr>
          <w:rFonts w:hint="cs"/>
          <w:rtl/>
        </w:rPr>
        <w:t xml:space="preserve">הייתה </w:t>
      </w:r>
      <w:bookmarkStart w:id="3976" w:name="_ETM_Q5_517239"/>
      <w:bookmarkEnd w:id="3976"/>
      <w:r>
        <w:rPr>
          <w:rFonts w:hint="cs"/>
          <w:rtl/>
        </w:rPr>
        <w:t xml:space="preserve">הצעת </w:t>
      </w:r>
      <w:bookmarkStart w:id="3977" w:name="_ETM_Q5_517540"/>
      <w:bookmarkEnd w:id="3977"/>
      <w:r>
        <w:rPr>
          <w:rFonts w:hint="cs"/>
          <w:rtl/>
        </w:rPr>
        <w:t xml:space="preserve">חוק </w:t>
      </w:r>
      <w:bookmarkStart w:id="3978" w:name="_ETM_Q5_517720"/>
      <w:bookmarkEnd w:id="3978"/>
      <w:r>
        <w:rPr>
          <w:rFonts w:hint="cs"/>
          <w:rtl/>
        </w:rPr>
        <w:t xml:space="preserve">מטעם </w:t>
      </w:r>
      <w:bookmarkStart w:id="3979" w:name="_ETM_Q5_518079"/>
      <w:bookmarkEnd w:id="3979"/>
      <w:r>
        <w:rPr>
          <w:rFonts w:hint="cs"/>
          <w:rtl/>
        </w:rPr>
        <w:t xml:space="preserve">הוועדה </w:t>
      </w:r>
      <w:bookmarkStart w:id="3980" w:name="_ETM_Q5_519910"/>
      <w:bookmarkEnd w:id="3980"/>
      <w:r>
        <w:rPr>
          <w:rFonts w:hint="cs"/>
          <w:rtl/>
        </w:rPr>
        <w:t>שאף</w:t>
      </w:r>
      <w:bookmarkStart w:id="3981" w:name="_ETM_Q5_520270"/>
      <w:bookmarkEnd w:id="3981"/>
      <w:r>
        <w:rPr>
          <w:rFonts w:hint="cs"/>
          <w:rtl/>
        </w:rPr>
        <w:t xml:space="preserve"> אחד </w:t>
      </w:r>
      <w:bookmarkStart w:id="3982" w:name="_ETM_Q5_520540"/>
      <w:bookmarkEnd w:id="3982"/>
      <w:r>
        <w:rPr>
          <w:rFonts w:hint="cs"/>
          <w:rtl/>
        </w:rPr>
        <w:t xml:space="preserve">מחברי </w:t>
      </w:r>
      <w:bookmarkStart w:id="3983" w:name="_ETM_Q5_520900"/>
      <w:bookmarkEnd w:id="3983"/>
      <w:r>
        <w:rPr>
          <w:rFonts w:hint="cs"/>
          <w:rtl/>
        </w:rPr>
        <w:t xml:space="preserve">האופוזיציה </w:t>
      </w:r>
      <w:bookmarkStart w:id="3984" w:name="_ETM_Q5_521949"/>
      <w:bookmarkEnd w:id="3984"/>
      <w:r>
        <w:rPr>
          <w:rFonts w:hint="cs"/>
          <w:rtl/>
        </w:rPr>
        <w:t xml:space="preserve">לא </w:t>
      </w:r>
      <w:bookmarkStart w:id="3985" w:name="_ETM_Q5_522160"/>
      <w:bookmarkEnd w:id="3985"/>
      <w:r>
        <w:rPr>
          <w:rFonts w:hint="cs"/>
          <w:rtl/>
        </w:rPr>
        <w:t>שותף לה, לאותה הצעת</w:t>
      </w:r>
      <w:bookmarkStart w:id="3986" w:name="_ETM_Q5_523180"/>
      <w:bookmarkEnd w:id="3986"/>
      <w:r>
        <w:rPr>
          <w:rFonts w:hint="cs"/>
          <w:rtl/>
        </w:rPr>
        <w:t xml:space="preserve"> </w:t>
      </w:r>
      <w:bookmarkStart w:id="3987" w:name="_ETM_Q5_523392"/>
      <w:bookmarkEnd w:id="3987"/>
      <w:r>
        <w:rPr>
          <w:rFonts w:hint="cs"/>
          <w:rtl/>
        </w:rPr>
        <w:t xml:space="preserve">חוק </w:t>
      </w:r>
      <w:bookmarkStart w:id="3988" w:name="_ETM_Q5_523390"/>
      <w:bookmarkEnd w:id="3988"/>
      <w:r>
        <w:rPr>
          <w:rFonts w:hint="cs"/>
          <w:rtl/>
        </w:rPr>
        <w:t xml:space="preserve">מטעם </w:t>
      </w:r>
      <w:bookmarkStart w:id="3989" w:name="_ETM_Q5_523690"/>
      <w:bookmarkEnd w:id="3989"/>
      <w:r>
        <w:rPr>
          <w:rFonts w:hint="cs"/>
          <w:rtl/>
        </w:rPr>
        <w:t>הוועדה.</w:t>
      </w:r>
      <w:bookmarkStart w:id="3990" w:name="_ETM_Q5_525000"/>
      <w:bookmarkStart w:id="3991" w:name="_ETM_Q5_525680"/>
      <w:bookmarkEnd w:id="3990"/>
      <w:bookmarkEnd w:id="3991"/>
      <w:r>
        <w:rPr>
          <w:rFonts w:hint="cs"/>
          <w:rtl/>
        </w:rPr>
        <w:t xml:space="preserve"> אבל </w:t>
      </w:r>
      <w:bookmarkStart w:id="3992" w:name="_ETM_Q5_525860"/>
      <w:bookmarkEnd w:id="3992"/>
      <w:r>
        <w:rPr>
          <w:rFonts w:hint="cs"/>
          <w:rtl/>
        </w:rPr>
        <w:t xml:space="preserve">זה </w:t>
      </w:r>
      <w:bookmarkStart w:id="3993" w:name="_ETM_Q5_526010"/>
      <w:bookmarkEnd w:id="3993"/>
      <w:r>
        <w:rPr>
          <w:rFonts w:hint="cs"/>
          <w:rtl/>
        </w:rPr>
        <w:t xml:space="preserve">התהליך </w:t>
      </w:r>
      <w:bookmarkStart w:id="3994" w:name="_ETM_Q5_526339"/>
      <w:bookmarkEnd w:id="3994"/>
      <w:r>
        <w:rPr>
          <w:rFonts w:hint="cs"/>
          <w:rtl/>
        </w:rPr>
        <w:t xml:space="preserve">שאנחנו </w:t>
      </w:r>
      <w:bookmarkStart w:id="3995" w:name="_ETM_Q5_526579"/>
      <w:bookmarkEnd w:id="3995"/>
      <w:r>
        <w:rPr>
          <w:rFonts w:hint="cs"/>
          <w:rtl/>
        </w:rPr>
        <w:t xml:space="preserve">מלווים </w:t>
      </w:r>
      <w:bookmarkStart w:id="3996" w:name="_ETM_Q5_526850"/>
      <w:bookmarkEnd w:id="3996"/>
      <w:r>
        <w:rPr>
          <w:rFonts w:hint="cs"/>
          <w:rtl/>
        </w:rPr>
        <w:t xml:space="preserve">אותו </w:t>
      </w:r>
      <w:bookmarkStart w:id="3997" w:name="_ETM_Q5_526940"/>
      <w:bookmarkEnd w:id="3997"/>
      <w:r>
        <w:rPr>
          <w:rFonts w:hint="cs"/>
          <w:rtl/>
        </w:rPr>
        <w:t xml:space="preserve">כבר </w:t>
      </w:r>
      <w:bookmarkStart w:id="3998" w:name="_ETM_Q5_527120"/>
      <w:bookmarkEnd w:id="3998"/>
      <w:r>
        <w:rPr>
          <w:rFonts w:hint="cs"/>
          <w:rtl/>
        </w:rPr>
        <w:t xml:space="preserve">חצי </w:t>
      </w:r>
      <w:bookmarkStart w:id="3999" w:name="_ETM_Q5_527390"/>
      <w:bookmarkEnd w:id="3999"/>
      <w:r>
        <w:rPr>
          <w:rFonts w:hint="cs"/>
          <w:rtl/>
        </w:rPr>
        <w:t xml:space="preserve">שנה, </w:t>
      </w:r>
      <w:bookmarkStart w:id="4000" w:name="_ETM_Q5_528640"/>
      <w:bookmarkEnd w:id="4000"/>
      <w:r>
        <w:rPr>
          <w:rFonts w:hint="cs"/>
          <w:rtl/>
        </w:rPr>
        <w:t xml:space="preserve">וכאילו </w:t>
      </w:r>
      <w:bookmarkStart w:id="4001" w:name="_ETM_Q5_529329"/>
      <w:bookmarkEnd w:id="4001"/>
      <w:r>
        <w:rPr>
          <w:rFonts w:hint="cs"/>
          <w:rtl/>
        </w:rPr>
        <w:t xml:space="preserve">הכנסת </w:t>
      </w:r>
      <w:bookmarkStart w:id="4002" w:name="_ETM_Q5_529960"/>
      <w:bookmarkEnd w:id="4002"/>
      <w:r>
        <w:rPr>
          <w:rFonts w:hint="cs"/>
          <w:rtl/>
        </w:rPr>
        <w:t xml:space="preserve">מנהלת </w:t>
      </w:r>
      <w:bookmarkStart w:id="4003" w:name="_ETM_Q5_530410"/>
      <w:bookmarkEnd w:id="4003"/>
      <w:r>
        <w:rPr>
          <w:rFonts w:hint="cs"/>
          <w:rtl/>
        </w:rPr>
        <w:t xml:space="preserve">את </w:t>
      </w:r>
      <w:bookmarkStart w:id="4004" w:name="_ETM_Q5_530529"/>
      <w:bookmarkEnd w:id="4004"/>
      <w:r>
        <w:rPr>
          <w:rFonts w:hint="cs"/>
          <w:rtl/>
        </w:rPr>
        <w:t xml:space="preserve">האירוע </w:t>
      </w:r>
      <w:bookmarkStart w:id="4005" w:name="_ETM_Q5_530980"/>
      <w:bookmarkEnd w:id="4005"/>
      <w:r>
        <w:rPr>
          <w:rFonts w:hint="cs"/>
          <w:rtl/>
        </w:rPr>
        <w:t xml:space="preserve">הזה, </w:t>
      </w:r>
      <w:bookmarkStart w:id="4006" w:name="_ETM_Q5_531859"/>
      <w:bookmarkEnd w:id="4006"/>
      <w:r>
        <w:rPr>
          <w:rFonts w:hint="cs"/>
          <w:rtl/>
        </w:rPr>
        <w:t xml:space="preserve">אבל </w:t>
      </w:r>
      <w:bookmarkStart w:id="4007" w:name="_ETM_Q5_532070"/>
      <w:bookmarkEnd w:id="4007"/>
      <w:r>
        <w:rPr>
          <w:rFonts w:hint="cs"/>
          <w:rtl/>
        </w:rPr>
        <w:t xml:space="preserve">מי </w:t>
      </w:r>
      <w:bookmarkStart w:id="4008" w:name="_ETM_Q5_532190"/>
      <w:bookmarkEnd w:id="4008"/>
      <w:r>
        <w:rPr>
          <w:rFonts w:hint="cs"/>
          <w:rtl/>
        </w:rPr>
        <w:t xml:space="preserve">שמנהלת </w:t>
      </w:r>
      <w:bookmarkStart w:id="4009" w:name="_ETM_Q5_532699"/>
      <w:bookmarkEnd w:id="4009"/>
      <w:r>
        <w:rPr>
          <w:rFonts w:hint="cs"/>
          <w:rtl/>
        </w:rPr>
        <w:t xml:space="preserve">את </w:t>
      </w:r>
      <w:bookmarkStart w:id="4010" w:name="_ETM_Q5_532820"/>
      <w:bookmarkEnd w:id="4010"/>
      <w:r>
        <w:rPr>
          <w:rFonts w:hint="cs"/>
          <w:rtl/>
        </w:rPr>
        <w:t xml:space="preserve">זה </w:t>
      </w:r>
      <w:bookmarkStart w:id="4011" w:name="_ETM_Q5_532969"/>
      <w:bookmarkEnd w:id="4011"/>
      <w:r>
        <w:rPr>
          <w:rFonts w:hint="cs"/>
          <w:rtl/>
        </w:rPr>
        <w:t xml:space="preserve">זו </w:t>
      </w:r>
      <w:bookmarkStart w:id="4012" w:name="_ETM_Q5_533120"/>
      <w:bookmarkEnd w:id="4012"/>
      <w:r>
        <w:rPr>
          <w:rFonts w:hint="cs"/>
          <w:rtl/>
        </w:rPr>
        <w:t xml:space="preserve">הממשלה, כדי </w:t>
      </w:r>
      <w:bookmarkStart w:id="4013" w:name="_ETM_Q5_535080"/>
      <w:bookmarkEnd w:id="4013"/>
      <w:r>
        <w:rPr>
          <w:rFonts w:hint="cs"/>
          <w:rtl/>
        </w:rPr>
        <w:t xml:space="preserve">שבסופו </w:t>
      </w:r>
      <w:bookmarkStart w:id="4014" w:name="_ETM_Q5_535560"/>
      <w:bookmarkEnd w:id="4014"/>
      <w:r>
        <w:rPr>
          <w:rFonts w:hint="cs"/>
          <w:rtl/>
        </w:rPr>
        <w:t xml:space="preserve">של </w:t>
      </w:r>
      <w:bookmarkStart w:id="4015" w:name="_ETM_Q5_535710"/>
      <w:bookmarkEnd w:id="4015"/>
      <w:r>
        <w:rPr>
          <w:rFonts w:hint="cs"/>
          <w:rtl/>
        </w:rPr>
        <w:t xml:space="preserve">דבר, </w:t>
      </w:r>
      <w:bookmarkStart w:id="4016" w:name="_ETM_Q5_536400"/>
      <w:bookmarkEnd w:id="4016"/>
      <w:r>
        <w:rPr>
          <w:rFonts w:hint="cs"/>
          <w:rtl/>
        </w:rPr>
        <w:t xml:space="preserve">בסופו </w:t>
      </w:r>
      <w:bookmarkStart w:id="4017" w:name="_ETM_Q5_536850"/>
      <w:bookmarkEnd w:id="4017"/>
      <w:r>
        <w:rPr>
          <w:rFonts w:hint="cs"/>
          <w:rtl/>
        </w:rPr>
        <w:t xml:space="preserve">של </w:t>
      </w:r>
      <w:bookmarkStart w:id="4018" w:name="_ETM_Q5_537000"/>
      <w:bookmarkEnd w:id="4018"/>
      <w:r>
        <w:rPr>
          <w:rFonts w:hint="cs"/>
          <w:rtl/>
        </w:rPr>
        <w:t xml:space="preserve">דבר, </w:t>
      </w:r>
      <w:bookmarkStart w:id="4019" w:name="_ETM_Q5_537720"/>
      <w:bookmarkEnd w:id="4019"/>
      <w:r>
        <w:rPr>
          <w:rFonts w:hint="cs"/>
          <w:rtl/>
        </w:rPr>
        <w:t xml:space="preserve">הסכמים </w:t>
      </w:r>
      <w:bookmarkStart w:id="4020" w:name="_ETM_Q5_538260"/>
      <w:bookmarkEnd w:id="4020"/>
      <w:r>
        <w:rPr>
          <w:rFonts w:hint="cs"/>
          <w:rtl/>
        </w:rPr>
        <w:t xml:space="preserve">קואליציוניים </w:t>
      </w:r>
      <w:bookmarkStart w:id="4021" w:name="_ETM_Q5_538920"/>
      <w:bookmarkEnd w:id="4021"/>
      <w:r>
        <w:rPr>
          <w:rFonts w:hint="cs"/>
          <w:rtl/>
        </w:rPr>
        <w:t xml:space="preserve">רעים </w:t>
      </w:r>
      <w:bookmarkStart w:id="4022" w:name="_ETM_Q5_539250"/>
      <w:bookmarkEnd w:id="4022"/>
      <w:r>
        <w:rPr>
          <w:rFonts w:hint="cs"/>
          <w:rtl/>
        </w:rPr>
        <w:t xml:space="preserve">ומושחתים </w:t>
      </w:r>
      <w:bookmarkStart w:id="4023" w:name="_ETM_Q5_539850"/>
      <w:bookmarkEnd w:id="4023"/>
      <w:r>
        <w:rPr>
          <w:rFonts w:hint="cs"/>
          <w:rtl/>
        </w:rPr>
        <w:t xml:space="preserve">ותקציב </w:t>
      </w:r>
      <w:bookmarkStart w:id="4024" w:name="_ETM_Q5_540300"/>
      <w:bookmarkEnd w:id="4024"/>
      <w:r>
        <w:rPr>
          <w:rFonts w:hint="cs"/>
          <w:rtl/>
        </w:rPr>
        <w:t xml:space="preserve">מגונה, </w:t>
      </w:r>
      <w:bookmarkStart w:id="4025" w:name="_ETM_Q5_541620"/>
      <w:bookmarkEnd w:id="4025"/>
      <w:r>
        <w:rPr>
          <w:rFonts w:hint="cs"/>
          <w:rtl/>
        </w:rPr>
        <w:t xml:space="preserve">מגונה, </w:t>
      </w:r>
      <w:bookmarkStart w:id="4026" w:name="_ETM_Q5_543520"/>
      <w:bookmarkEnd w:id="4026"/>
      <w:r>
        <w:rPr>
          <w:rFonts w:hint="cs"/>
          <w:rtl/>
        </w:rPr>
        <w:t xml:space="preserve">יעברו </w:t>
      </w:r>
      <w:bookmarkStart w:id="4027" w:name="_ETM_Q5_544480"/>
      <w:bookmarkEnd w:id="4027"/>
      <w:r>
        <w:rPr>
          <w:rFonts w:hint="cs"/>
          <w:rtl/>
        </w:rPr>
        <w:t xml:space="preserve">בלי </w:t>
      </w:r>
      <w:bookmarkStart w:id="4028" w:name="_ETM_Q5_544720"/>
      <w:bookmarkEnd w:id="4028"/>
      <w:r>
        <w:rPr>
          <w:rFonts w:hint="cs"/>
          <w:rtl/>
        </w:rPr>
        <w:t xml:space="preserve">שום </w:t>
      </w:r>
      <w:bookmarkStart w:id="4029" w:name="_ETM_Q5_544930"/>
      <w:bookmarkEnd w:id="4029"/>
      <w:r>
        <w:rPr>
          <w:rFonts w:hint="cs"/>
          <w:rtl/>
        </w:rPr>
        <w:t xml:space="preserve">ביקורת, </w:t>
      </w:r>
      <w:bookmarkStart w:id="4030" w:name="_ETM_Q5_546479"/>
      <w:bookmarkEnd w:id="4030"/>
      <w:r>
        <w:rPr>
          <w:rFonts w:hint="cs"/>
          <w:rtl/>
        </w:rPr>
        <w:t xml:space="preserve">אם </w:t>
      </w:r>
      <w:bookmarkStart w:id="4031" w:name="_ETM_Q5_546630"/>
      <w:bookmarkEnd w:id="4031"/>
      <w:r>
        <w:rPr>
          <w:rFonts w:hint="cs"/>
          <w:rtl/>
        </w:rPr>
        <w:t xml:space="preserve">הדבר </w:t>
      </w:r>
      <w:bookmarkStart w:id="4032" w:name="_ETM_Q5_546929"/>
      <w:bookmarkEnd w:id="4032"/>
      <w:r>
        <w:rPr>
          <w:rFonts w:hint="cs"/>
          <w:rtl/>
        </w:rPr>
        <w:t xml:space="preserve">הזה </w:t>
      </w:r>
      <w:bookmarkStart w:id="4033" w:name="_ETM_Q5_547079"/>
      <w:bookmarkEnd w:id="4033"/>
      <w:r>
        <w:rPr>
          <w:rFonts w:hint="cs"/>
          <w:rtl/>
        </w:rPr>
        <w:t xml:space="preserve">היה </w:t>
      </w:r>
      <w:bookmarkStart w:id="4034" w:name="_ETM_Q5_547200"/>
      <w:bookmarkEnd w:id="4034"/>
      <w:r>
        <w:rPr>
          <w:rFonts w:hint="cs"/>
          <w:rtl/>
        </w:rPr>
        <w:t xml:space="preserve">מצליח. </w:t>
      </w:r>
      <w:bookmarkStart w:id="4035" w:name="_ETM_Q5_547560"/>
      <w:bookmarkEnd w:id="4035"/>
    </w:p>
    <w:p w:rsidR="000C5C1F" w:rsidRDefault="000C5C1F" w:rsidP="000C5C1F">
      <w:pPr>
        <w:rPr>
          <w:rtl/>
        </w:rPr>
      </w:pPr>
    </w:p>
    <w:p w:rsidR="000C5C1F" w:rsidRDefault="000C5C1F" w:rsidP="000C5C1F">
      <w:pPr>
        <w:rPr>
          <w:rtl/>
        </w:rPr>
      </w:pPr>
      <w:r>
        <w:rPr>
          <w:rFonts w:hint="cs"/>
          <w:rtl/>
        </w:rPr>
        <w:t xml:space="preserve">אנחנו </w:t>
      </w:r>
      <w:bookmarkStart w:id="4036" w:name="_ETM_Q5_547889"/>
      <w:bookmarkEnd w:id="4036"/>
      <w:r>
        <w:rPr>
          <w:rFonts w:hint="cs"/>
          <w:rtl/>
        </w:rPr>
        <w:t xml:space="preserve">מדברים </w:t>
      </w:r>
      <w:bookmarkStart w:id="4037" w:name="_ETM_Q5_548219"/>
      <w:bookmarkEnd w:id="4037"/>
      <w:r>
        <w:rPr>
          <w:rFonts w:hint="cs"/>
          <w:rtl/>
        </w:rPr>
        <w:t xml:space="preserve">היום </w:t>
      </w:r>
      <w:bookmarkStart w:id="4038" w:name="_ETM_Q5_548490"/>
      <w:bookmarkEnd w:id="4038"/>
      <w:r>
        <w:rPr>
          <w:rFonts w:hint="cs"/>
          <w:rtl/>
        </w:rPr>
        <w:t xml:space="preserve">על </w:t>
      </w:r>
      <w:bookmarkStart w:id="4039" w:name="_ETM_Q5_548939"/>
      <w:bookmarkEnd w:id="4039"/>
      <w:r>
        <w:rPr>
          <w:rFonts w:hint="cs"/>
          <w:rtl/>
        </w:rPr>
        <w:t>הצעת</w:t>
      </w:r>
      <w:bookmarkStart w:id="4040" w:name="_ETM_Q5_549450"/>
      <w:bookmarkEnd w:id="4040"/>
      <w:r>
        <w:rPr>
          <w:rFonts w:hint="cs"/>
          <w:rtl/>
        </w:rPr>
        <w:t xml:space="preserve"> </w:t>
      </w:r>
      <w:bookmarkStart w:id="4041" w:name="_ETM_Q5_549720"/>
      <w:bookmarkEnd w:id="4041"/>
      <w:r>
        <w:rPr>
          <w:rFonts w:hint="cs"/>
          <w:rtl/>
        </w:rPr>
        <w:t xml:space="preserve">חוק-יסוד: </w:t>
      </w:r>
      <w:bookmarkStart w:id="4042" w:name="_ETM_Q5_550049"/>
      <w:bookmarkEnd w:id="4042"/>
      <w:r>
        <w:rPr>
          <w:rFonts w:hint="cs"/>
          <w:rtl/>
        </w:rPr>
        <w:t>השפיטה (</w:t>
      </w:r>
      <w:bookmarkStart w:id="4043" w:name="_ETM_Q5_550439"/>
      <w:bookmarkEnd w:id="4043"/>
      <w:r>
        <w:rPr>
          <w:rFonts w:hint="cs"/>
          <w:rtl/>
        </w:rPr>
        <w:t xml:space="preserve">תיקון </w:t>
      </w:r>
      <w:bookmarkStart w:id="4044" w:name="_ETM_Q5_550740"/>
      <w:bookmarkEnd w:id="4044"/>
      <w:r>
        <w:rPr>
          <w:rFonts w:hint="cs"/>
          <w:rtl/>
        </w:rPr>
        <w:t xml:space="preserve">מס' </w:t>
      </w:r>
      <w:bookmarkStart w:id="4045" w:name="_ETM_Q5_551070"/>
      <w:bookmarkEnd w:id="4045"/>
      <w:r>
        <w:rPr>
          <w:rFonts w:hint="cs"/>
          <w:rtl/>
        </w:rPr>
        <w:t xml:space="preserve">4), </w:t>
      </w:r>
      <w:bookmarkStart w:id="4046" w:name="_ETM_Q5_551790"/>
      <w:bookmarkEnd w:id="4046"/>
      <w:r>
        <w:rPr>
          <w:rFonts w:hint="cs"/>
          <w:rtl/>
        </w:rPr>
        <w:t xml:space="preserve">כאילו </w:t>
      </w:r>
      <w:bookmarkStart w:id="4047" w:name="_ETM_Q5_552089"/>
      <w:bookmarkEnd w:id="4047"/>
      <w:r>
        <w:rPr>
          <w:rFonts w:hint="cs"/>
          <w:rtl/>
        </w:rPr>
        <w:t xml:space="preserve">הדבר </w:t>
      </w:r>
      <w:bookmarkStart w:id="4048" w:name="_ETM_Q5_552360"/>
      <w:bookmarkEnd w:id="4048"/>
      <w:r>
        <w:rPr>
          <w:rFonts w:hint="cs"/>
          <w:rtl/>
        </w:rPr>
        <w:t xml:space="preserve">הזה </w:t>
      </w:r>
      <w:bookmarkStart w:id="4049" w:name="_ETM_Q5_552570"/>
      <w:bookmarkEnd w:id="4049"/>
      <w:r>
        <w:rPr>
          <w:rFonts w:hint="cs"/>
          <w:rtl/>
        </w:rPr>
        <w:t xml:space="preserve">מנותק </w:t>
      </w:r>
      <w:bookmarkStart w:id="4050" w:name="_ETM_Q5_553079"/>
      <w:bookmarkEnd w:id="4050"/>
      <w:r>
        <w:rPr>
          <w:rFonts w:hint="cs"/>
          <w:rtl/>
        </w:rPr>
        <w:t xml:space="preserve">מאיזושהי </w:t>
      </w:r>
      <w:bookmarkStart w:id="4051" w:name="_ETM_Q5_553380"/>
      <w:bookmarkEnd w:id="4051"/>
      <w:r>
        <w:rPr>
          <w:rFonts w:hint="cs"/>
          <w:rtl/>
        </w:rPr>
        <w:t xml:space="preserve">מציאות </w:t>
      </w:r>
      <w:bookmarkStart w:id="4052" w:name="_ETM_Q5_553740"/>
      <w:bookmarkEnd w:id="4052"/>
      <w:r>
        <w:rPr>
          <w:rFonts w:hint="cs"/>
          <w:rtl/>
        </w:rPr>
        <w:t xml:space="preserve">חיים, </w:t>
      </w:r>
      <w:bookmarkStart w:id="4053" w:name="_ETM_Q5_554009"/>
      <w:bookmarkEnd w:id="4053"/>
      <w:r>
        <w:rPr>
          <w:rFonts w:hint="cs"/>
          <w:rtl/>
        </w:rPr>
        <w:t xml:space="preserve">כאילו </w:t>
      </w:r>
      <w:bookmarkStart w:id="4054" w:name="_ETM_Q5_554279"/>
      <w:bookmarkEnd w:id="4054"/>
      <w:r>
        <w:rPr>
          <w:rFonts w:hint="cs"/>
          <w:rtl/>
        </w:rPr>
        <w:t xml:space="preserve">לא </w:t>
      </w:r>
      <w:bookmarkStart w:id="4055" w:name="_ETM_Q5_554369"/>
      <w:bookmarkEnd w:id="4055"/>
      <w:r>
        <w:rPr>
          <w:rFonts w:hint="cs"/>
          <w:rtl/>
        </w:rPr>
        <w:t xml:space="preserve">יודעים </w:t>
      </w:r>
      <w:bookmarkStart w:id="4056" w:name="_ETM_Q5_554670"/>
      <w:bookmarkEnd w:id="4056"/>
      <w:r>
        <w:rPr>
          <w:rFonts w:hint="cs"/>
          <w:rtl/>
        </w:rPr>
        <w:t xml:space="preserve">בדיוק </w:t>
      </w:r>
      <w:bookmarkStart w:id="4057" w:name="_ETM_Q5_554939"/>
      <w:bookmarkEnd w:id="4057"/>
      <w:r>
        <w:rPr>
          <w:rFonts w:hint="cs"/>
          <w:rtl/>
        </w:rPr>
        <w:t xml:space="preserve">מה </w:t>
      </w:r>
      <w:bookmarkStart w:id="4058" w:name="_ETM_Q5_555089"/>
      <w:bookmarkEnd w:id="4058"/>
      <w:r>
        <w:rPr>
          <w:rFonts w:hint="cs"/>
          <w:rtl/>
        </w:rPr>
        <w:t xml:space="preserve">הכוונות. </w:t>
      </w:r>
      <w:bookmarkStart w:id="4059" w:name="_ETM_Q5_556170"/>
      <w:bookmarkEnd w:id="4059"/>
      <w:r>
        <w:rPr>
          <w:rFonts w:hint="cs"/>
          <w:rtl/>
        </w:rPr>
        <w:t xml:space="preserve">יודעים. </w:t>
      </w:r>
      <w:bookmarkStart w:id="4060" w:name="_ETM_Q5_554000"/>
      <w:bookmarkStart w:id="4061" w:name="_ETM_Q5_556770"/>
      <w:bookmarkEnd w:id="4060"/>
      <w:bookmarkEnd w:id="4061"/>
      <w:r>
        <w:rPr>
          <w:rFonts w:hint="cs"/>
          <w:rtl/>
        </w:rPr>
        <w:t xml:space="preserve">איך </w:t>
      </w:r>
      <w:bookmarkStart w:id="4062" w:name="_ETM_Q5_557009"/>
      <w:bookmarkEnd w:id="4062"/>
      <w:r>
        <w:rPr>
          <w:rFonts w:hint="cs"/>
          <w:rtl/>
        </w:rPr>
        <w:t xml:space="preserve">יודעים? </w:t>
      </w:r>
      <w:bookmarkStart w:id="4063" w:name="_ETM_Q5_557619"/>
      <w:bookmarkEnd w:id="4063"/>
      <w:r>
        <w:rPr>
          <w:rFonts w:hint="cs"/>
          <w:rtl/>
        </w:rPr>
        <w:t>אומרים.</w:t>
      </w:r>
      <w:bookmarkStart w:id="4064" w:name="_ETM_Q5_556000"/>
      <w:bookmarkEnd w:id="4064"/>
      <w:r>
        <w:rPr>
          <w:rFonts w:hint="cs"/>
          <w:rtl/>
        </w:rPr>
        <w:t xml:space="preserve"> </w:t>
      </w:r>
      <w:bookmarkStart w:id="4065" w:name="_ETM_Q5_557000"/>
      <w:bookmarkStart w:id="4066" w:name="_ETM_Q5_558250"/>
      <w:bookmarkEnd w:id="4065"/>
      <w:bookmarkEnd w:id="4066"/>
      <w:r>
        <w:rPr>
          <w:rFonts w:hint="cs"/>
          <w:rtl/>
        </w:rPr>
        <w:t xml:space="preserve">מי </w:t>
      </w:r>
      <w:bookmarkStart w:id="4067" w:name="_ETM_Q5_558490"/>
      <w:bookmarkEnd w:id="4067"/>
      <w:r>
        <w:rPr>
          <w:rFonts w:hint="cs"/>
          <w:rtl/>
        </w:rPr>
        <w:t xml:space="preserve">אומר? </w:t>
      </w:r>
      <w:bookmarkStart w:id="4068" w:name="_ETM_Q5_559029"/>
      <w:bookmarkEnd w:id="4068"/>
      <w:r>
        <w:rPr>
          <w:rFonts w:hint="cs"/>
          <w:rtl/>
        </w:rPr>
        <w:t>אתם.</w:t>
      </w:r>
      <w:bookmarkStart w:id="4069" w:name="_ETM_Q5_560000"/>
      <w:bookmarkEnd w:id="4069"/>
      <w:r>
        <w:rPr>
          <w:rFonts w:hint="cs"/>
          <w:rtl/>
        </w:rPr>
        <w:t xml:space="preserve"> </w:t>
      </w:r>
      <w:bookmarkStart w:id="4070" w:name="_ETM_Q5_561000"/>
      <w:bookmarkStart w:id="4071" w:name="_ETM_Q5_562880"/>
      <w:bookmarkEnd w:id="4070"/>
      <w:bookmarkEnd w:id="4071"/>
      <w:r>
        <w:rPr>
          <w:rFonts w:hint="cs"/>
          <w:rtl/>
        </w:rPr>
        <w:t xml:space="preserve">תחילת </w:t>
      </w:r>
      <w:bookmarkStart w:id="4072" w:name="_ETM_Q5_563210"/>
      <w:bookmarkEnd w:id="4072"/>
      <w:r>
        <w:rPr>
          <w:rFonts w:hint="cs"/>
          <w:rtl/>
        </w:rPr>
        <w:t xml:space="preserve">הדרך </w:t>
      </w:r>
      <w:bookmarkStart w:id="4073" w:name="_ETM_Q5_563570"/>
      <w:bookmarkEnd w:id="4073"/>
      <w:r>
        <w:rPr>
          <w:rFonts w:hint="cs"/>
          <w:rtl/>
        </w:rPr>
        <w:t xml:space="preserve">הייתה, </w:t>
      </w:r>
      <w:bookmarkStart w:id="4074" w:name="_ETM_Q5_563990"/>
      <w:bookmarkEnd w:id="4074"/>
      <w:r>
        <w:rPr>
          <w:rFonts w:hint="cs"/>
          <w:rtl/>
        </w:rPr>
        <w:t xml:space="preserve">למי </w:t>
      </w:r>
      <w:bookmarkStart w:id="4075" w:name="_ETM_Q5_564229"/>
      <w:bookmarkEnd w:id="4075"/>
      <w:r>
        <w:rPr>
          <w:rFonts w:hint="cs"/>
          <w:rtl/>
        </w:rPr>
        <w:t xml:space="preserve">ששכח, </w:t>
      </w:r>
      <w:bookmarkStart w:id="4076" w:name="_ETM_Q5_565399"/>
      <w:bookmarkEnd w:id="4076"/>
      <w:r>
        <w:rPr>
          <w:rFonts w:hint="cs"/>
          <w:rtl/>
        </w:rPr>
        <w:t xml:space="preserve">לא </w:t>
      </w:r>
      <w:bookmarkStart w:id="4077" w:name="_ETM_Q5_566089"/>
      <w:bookmarkEnd w:id="4077"/>
      <w:r>
        <w:rPr>
          <w:rFonts w:hint="cs"/>
          <w:rtl/>
        </w:rPr>
        <w:t xml:space="preserve">הצעת </w:t>
      </w:r>
      <w:bookmarkStart w:id="4078" w:name="_ETM_Q5_566450"/>
      <w:bookmarkEnd w:id="4078"/>
      <w:r>
        <w:rPr>
          <w:rFonts w:hint="cs"/>
          <w:rtl/>
        </w:rPr>
        <w:t xml:space="preserve">חוק-יסוד: </w:t>
      </w:r>
      <w:bookmarkStart w:id="4079" w:name="_ETM_Q5_566869"/>
      <w:bookmarkEnd w:id="4079"/>
      <w:r>
        <w:rPr>
          <w:rFonts w:hint="cs"/>
          <w:rtl/>
        </w:rPr>
        <w:t xml:space="preserve">השפיטה </w:t>
      </w:r>
      <w:bookmarkStart w:id="4080" w:name="_ETM_Q5_567200"/>
      <w:bookmarkEnd w:id="4080"/>
      <w:r>
        <w:rPr>
          <w:rFonts w:hint="cs"/>
          <w:rtl/>
        </w:rPr>
        <w:t xml:space="preserve">(תיקון </w:t>
      </w:r>
      <w:bookmarkStart w:id="4081" w:name="_ETM_Q5_567439"/>
      <w:bookmarkEnd w:id="4081"/>
      <w:r>
        <w:rPr>
          <w:rFonts w:hint="cs"/>
          <w:rtl/>
        </w:rPr>
        <w:t xml:space="preserve">מס' </w:t>
      </w:r>
      <w:bookmarkStart w:id="4082" w:name="_ETM_Q5_567799"/>
      <w:bookmarkEnd w:id="4082"/>
      <w:r>
        <w:rPr>
          <w:rFonts w:hint="cs"/>
          <w:rtl/>
        </w:rPr>
        <w:t xml:space="preserve">4); </w:t>
      </w:r>
      <w:bookmarkStart w:id="4083" w:name="_ETM_Q5_568549"/>
      <w:bookmarkStart w:id="4084" w:name="_ETM_Q5_569029"/>
      <w:bookmarkEnd w:id="4083"/>
      <w:bookmarkEnd w:id="4084"/>
      <w:r>
        <w:rPr>
          <w:rFonts w:hint="cs"/>
          <w:rtl/>
        </w:rPr>
        <w:t xml:space="preserve">הנושא </w:t>
      </w:r>
      <w:bookmarkStart w:id="4085" w:name="_ETM_Q5_569479"/>
      <w:bookmarkEnd w:id="4085"/>
      <w:r>
        <w:rPr>
          <w:rFonts w:hint="cs"/>
          <w:rtl/>
        </w:rPr>
        <w:t xml:space="preserve">שהתחילה </w:t>
      </w:r>
      <w:bookmarkStart w:id="4086" w:name="_ETM_Q5_570049"/>
      <w:bookmarkEnd w:id="4086"/>
      <w:r>
        <w:rPr>
          <w:rFonts w:hint="cs"/>
          <w:rtl/>
        </w:rPr>
        <w:t xml:space="preserve">איתו </w:t>
      </w:r>
      <w:bookmarkStart w:id="4087" w:name="_ETM_Q5_570319"/>
      <w:bookmarkStart w:id="4088" w:name="_ETM_Q5_570589"/>
      <w:bookmarkEnd w:id="4087"/>
      <w:bookmarkEnd w:id="4088"/>
      <w:r>
        <w:rPr>
          <w:rFonts w:hint="cs"/>
          <w:rtl/>
        </w:rPr>
        <w:t xml:space="preserve">ועדת </w:t>
      </w:r>
      <w:bookmarkStart w:id="4089" w:name="_ETM_Q5_570889"/>
      <w:bookmarkEnd w:id="4089"/>
      <w:r>
        <w:rPr>
          <w:rFonts w:hint="cs"/>
          <w:rtl/>
        </w:rPr>
        <w:t xml:space="preserve">החוקה </w:t>
      </w:r>
      <w:bookmarkStart w:id="4090" w:name="_ETM_Q5_571399"/>
      <w:bookmarkEnd w:id="4090"/>
      <w:r>
        <w:rPr>
          <w:rFonts w:hint="cs"/>
          <w:rtl/>
        </w:rPr>
        <w:t xml:space="preserve">במצוותו </w:t>
      </w:r>
      <w:bookmarkStart w:id="4091" w:name="_ETM_Q5_572149"/>
      <w:bookmarkEnd w:id="4091"/>
      <w:r>
        <w:rPr>
          <w:rFonts w:hint="cs"/>
          <w:rtl/>
        </w:rPr>
        <w:t xml:space="preserve">של </w:t>
      </w:r>
      <w:bookmarkStart w:id="4092" w:name="_ETM_Q5_572509"/>
      <w:bookmarkEnd w:id="4092"/>
      <w:r>
        <w:rPr>
          <w:rFonts w:hint="cs"/>
          <w:rtl/>
        </w:rPr>
        <w:t xml:space="preserve">שר </w:t>
      </w:r>
      <w:bookmarkStart w:id="4093" w:name="_ETM_Q5_572810"/>
      <w:bookmarkEnd w:id="4093"/>
      <w:r>
        <w:rPr>
          <w:rFonts w:hint="cs"/>
          <w:rtl/>
        </w:rPr>
        <w:t xml:space="preserve">המשפטים, </w:t>
      </w:r>
      <w:bookmarkStart w:id="4094" w:name="_ETM_Q5_573770"/>
      <w:bookmarkEnd w:id="4094"/>
      <w:r>
        <w:rPr>
          <w:rFonts w:hint="cs"/>
          <w:rtl/>
        </w:rPr>
        <w:t xml:space="preserve">כאילו </w:t>
      </w:r>
      <w:bookmarkStart w:id="4095" w:name="_ETM_Q5_574249"/>
      <w:bookmarkEnd w:id="4095"/>
      <w:r>
        <w:rPr>
          <w:rFonts w:hint="cs"/>
          <w:rtl/>
        </w:rPr>
        <w:t xml:space="preserve">במצוותה </w:t>
      </w:r>
      <w:bookmarkStart w:id="4096" w:name="_ETM_Q5_574789"/>
      <w:bookmarkEnd w:id="4096"/>
      <w:r>
        <w:rPr>
          <w:rFonts w:hint="cs"/>
          <w:rtl/>
        </w:rPr>
        <w:t xml:space="preserve">של </w:t>
      </w:r>
      <w:bookmarkStart w:id="4097" w:name="_ETM_Q5_574969"/>
      <w:bookmarkEnd w:id="4097"/>
      <w:r>
        <w:rPr>
          <w:rFonts w:hint="cs"/>
          <w:rtl/>
        </w:rPr>
        <w:t xml:space="preserve">הכנסת, </w:t>
      </w:r>
      <w:bookmarkStart w:id="4098" w:name="_ETM_Q5_575810"/>
      <w:bookmarkEnd w:id="4098"/>
      <w:r>
        <w:rPr>
          <w:rFonts w:hint="cs"/>
          <w:rtl/>
        </w:rPr>
        <w:t xml:space="preserve">כאילו </w:t>
      </w:r>
      <w:bookmarkStart w:id="4099" w:name="_ETM_Q5_576319"/>
      <w:bookmarkEnd w:id="4099"/>
      <w:r>
        <w:rPr>
          <w:rFonts w:hint="cs"/>
          <w:rtl/>
        </w:rPr>
        <w:t xml:space="preserve">במצוותה </w:t>
      </w:r>
      <w:bookmarkStart w:id="4100" w:name="_ETM_Q5_576859"/>
      <w:bookmarkEnd w:id="4100"/>
      <w:r>
        <w:rPr>
          <w:rFonts w:hint="cs"/>
          <w:rtl/>
        </w:rPr>
        <w:t xml:space="preserve">של הממשלה, </w:t>
      </w:r>
      <w:bookmarkStart w:id="4101" w:name="_ETM_Q5_577999"/>
      <w:bookmarkEnd w:id="4101"/>
      <w:r>
        <w:rPr>
          <w:rFonts w:hint="cs"/>
          <w:rtl/>
        </w:rPr>
        <w:t xml:space="preserve">הוא מעמד </w:t>
      </w:r>
      <w:bookmarkStart w:id="4102" w:name="_ETM_Q5_578509"/>
      <w:bookmarkEnd w:id="4102"/>
      <w:r>
        <w:rPr>
          <w:rFonts w:hint="cs"/>
          <w:rtl/>
        </w:rPr>
        <w:t xml:space="preserve">היועצים </w:t>
      </w:r>
      <w:bookmarkStart w:id="4103" w:name="_ETM_Q5_578869"/>
      <w:bookmarkEnd w:id="4103"/>
      <w:r>
        <w:rPr>
          <w:rFonts w:hint="cs"/>
          <w:rtl/>
        </w:rPr>
        <w:t xml:space="preserve">המשפטיים. </w:t>
      </w:r>
      <w:bookmarkStart w:id="4104" w:name="_ETM_Q5_580510"/>
      <w:bookmarkStart w:id="4105" w:name="_ETM_Q5_579000"/>
      <w:bookmarkStart w:id="4106" w:name="_ETM_Q5_580000"/>
      <w:bookmarkEnd w:id="4104"/>
      <w:bookmarkEnd w:id="4105"/>
      <w:bookmarkEnd w:id="4106"/>
      <w:r>
        <w:rPr>
          <w:rFonts w:hint="cs"/>
          <w:rtl/>
        </w:rPr>
        <w:t xml:space="preserve">בזבזנו </w:t>
      </w:r>
      <w:bookmarkStart w:id="4107" w:name="_ETM_Q5_581500"/>
      <w:bookmarkEnd w:id="4107"/>
      <w:r>
        <w:rPr>
          <w:rFonts w:hint="cs"/>
          <w:rtl/>
        </w:rPr>
        <w:t xml:space="preserve">זמן </w:t>
      </w:r>
      <w:bookmarkStart w:id="4108" w:name="_ETM_Q5_581890"/>
      <w:bookmarkEnd w:id="4108"/>
      <w:r>
        <w:rPr>
          <w:rFonts w:hint="cs"/>
          <w:rtl/>
        </w:rPr>
        <w:t xml:space="preserve">רב </w:t>
      </w:r>
      <w:bookmarkStart w:id="4109" w:name="_ETM_Q5_582220"/>
      <w:bookmarkEnd w:id="4109"/>
      <w:r>
        <w:rPr>
          <w:rFonts w:hint="cs"/>
          <w:rtl/>
        </w:rPr>
        <w:t xml:space="preserve">מתוך </w:t>
      </w:r>
      <w:bookmarkStart w:id="4110" w:name="_ETM_Q5_582580"/>
      <w:bookmarkEnd w:id="4110"/>
      <w:r>
        <w:rPr>
          <w:rFonts w:hint="cs"/>
          <w:rtl/>
        </w:rPr>
        <w:t xml:space="preserve">שכנוע, </w:t>
      </w:r>
      <w:bookmarkStart w:id="4111" w:name="_ETM_Q5_583089"/>
      <w:bookmarkEnd w:id="4111"/>
      <w:r>
        <w:rPr>
          <w:rFonts w:hint="cs"/>
          <w:rtl/>
        </w:rPr>
        <w:t xml:space="preserve">ומנסים </w:t>
      </w:r>
      <w:bookmarkStart w:id="4112" w:name="_ETM_Q5_583510"/>
      <w:bookmarkEnd w:id="4112"/>
      <w:r>
        <w:rPr>
          <w:rFonts w:hint="cs"/>
          <w:rtl/>
        </w:rPr>
        <w:t xml:space="preserve">לשכנע </w:t>
      </w:r>
      <w:bookmarkStart w:id="4113" w:name="_ETM_Q5_584020"/>
      <w:bookmarkEnd w:id="4113"/>
      <w:r>
        <w:rPr>
          <w:rFonts w:hint="cs"/>
          <w:rtl/>
        </w:rPr>
        <w:t xml:space="preserve">גם </w:t>
      </w:r>
      <w:bookmarkStart w:id="4114" w:name="_ETM_Q5_584170"/>
      <w:bookmarkEnd w:id="4114"/>
      <w:r>
        <w:rPr>
          <w:rFonts w:hint="cs"/>
          <w:rtl/>
        </w:rPr>
        <w:t xml:space="preserve">את </w:t>
      </w:r>
      <w:bookmarkStart w:id="4115" w:name="_ETM_Q5_584230"/>
      <w:bookmarkEnd w:id="4115"/>
      <w:r>
        <w:rPr>
          <w:rFonts w:hint="cs"/>
          <w:rtl/>
        </w:rPr>
        <w:t xml:space="preserve">הייעוץ </w:t>
      </w:r>
      <w:bookmarkStart w:id="4116" w:name="_ETM_Q5_584380"/>
      <w:bookmarkEnd w:id="4116"/>
      <w:r>
        <w:rPr>
          <w:rFonts w:hint="cs"/>
          <w:rtl/>
        </w:rPr>
        <w:t xml:space="preserve">המשפטי </w:t>
      </w:r>
      <w:bookmarkStart w:id="4117" w:name="_ETM_Q5_584740"/>
      <w:bookmarkEnd w:id="4117"/>
      <w:r>
        <w:rPr>
          <w:rFonts w:hint="cs"/>
          <w:rtl/>
        </w:rPr>
        <w:t xml:space="preserve">של </w:t>
      </w:r>
      <w:bookmarkStart w:id="4118" w:name="_ETM_Q5_584890"/>
      <w:bookmarkEnd w:id="4118"/>
      <w:r>
        <w:rPr>
          <w:rFonts w:hint="cs"/>
          <w:rtl/>
        </w:rPr>
        <w:t xml:space="preserve">הכנסת </w:t>
      </w:r>
      <w:bookmarkStart w:id="4119" w:name="_ETM_Q5_585700"/>
      <w:bookmarkEnd w:id="4119"/>
      <w:r>
        <w:rPr>
          <w:rFonts w:hint="cs"/>
          <w:rtl/>
        </w:rPr>
        <w:t xml:space="preserve">שזה </w:t>
      </w:r>
      <w:bookmarkStart w:id="4120" w:name="_ETM_Q5_586000"/>
      <w:bookmarkEnd w:id="4120"/>
      <w:r>
        <w:rPr>
          <w:rFonts w:hint="cs"/>
          <w:rtl/>
        </w:rPr>
        <w:t xml:space="preserve">לא </w:t>
      </w:r>
      <w:bookmarkStart w:id="4121" w:name="_ETM_Q5_586119"/>
      <w:bookmarkEnd w:id="4121"/>
      <w:r>
        <w:rPr>
          <w:rFonts w:hint="cs"/>
          <w:rtl/>
        </w:rPr>
        <w:t xml:space="preserve">ראוי, </w:t>
      </w:r>
      <w:bookmarkStart w:id="4122" w:name="_ETM_Q5_586360"/>
      <w:bookmarkEnd w:id="4122"/>
      <w:r>
        <w:rPr>
          <w:rFonts w:hint="cs"/>
          <w:rtl/>
        </w:rPr>
        <w:t xml:space="preserve">כי </w:t>
      </w:r>
      <w:bookmarkStart w:id="4123" w:name="_ETM_Q5_586509"/>
      <w:bookmarkStart w:id="4124" w:name="_ETM_Q5_586630"/>
      <w:bookmarkEnd w:id="4123"/>
      <w:bookmarkEnd w:id="4124"/>
      <w:r>
        <w:rPr>
          <w:rFonts w:hint="cs"/>
          <w:rtl/>
        </w:rPr>
        <w:t xml:space="preserve">היועצים </w:t>
      </w:r>
      <w:bookmarkStart w:id="4125" w:name="_ETM_Q5_586900"/>
      <w:bookmarkEnd w:id="4125"/>
      <w:r>
        <w:rPr>
          <w:rFonts w:hint="cs"/>
          <w:rtl/>
        </w:rPr>
        <w:t xml:space="preserve">המשפטיים </w:t>
      </w:r>
      <w:bookmarkStart w:id="4126" w:name="_ETM_Q5_587320"/>
      <w:bookmarkStart w:id="4127" w:name="_ETM_Q5_587500"/>
      <w:bookmarkEnd w:id="4126"/>
      <w:bookmarkEnd w:id="4127"/>
      <w:r>
        <w:rPr>
          <w:rFonts w:hint="cs"/>
          <w:rtl/>
        </w:rPr>
        <w:t xml:space="preserve">הם לא </w:t>
      </w:r>
      <w:bookmarkStart w:id="4128" w:name="_ETM_Q5_587649"/>
      <w:bookmarkEnd w:id="4128"/>
      <w:r>
        <w:rPr>
          <w:rFonts w:hint="cs"/>
          <w:rtl/>
        </w:rPr>
        <w:t xml:space="preserve">באמת </w:t>
      </w:r>
      <w:bookmarkStart w:id="4129" w:name="_ETM_Q5_587950"/>
      <w:bookmarkEnd w:id="4129"/>
      <w:r>
        <w:rPr>
          <w:rFonts w:hint="cs"/>
          <w:rtl/>
        </w:rPr>
        <w:t xml:space="preserve">דברים </w:t>
      </w:r>
      <w:bookmarkStart w:id="4130" w:name="_ETM_Q5_588250"/>
      <w:bookmarkEnd w:id="4130"/>
      <w:r>
        <w:rPr>
          <w:rFonts w:hint="cs"/>
          <w:rtl/>
        </w:rPr>
        <w:t xml:space="preserve">שקשורים </w:t>
      </w:r>
      <w:bookmarkStart w:id="4131" w:name="_ETM_Q5_588790"/>
      <w:bookmarkEnd w:id="4131"/>
      <w:r>
        <w:rPr>
          <w:rFonts w:hint="cs"/>
          <w:rtl/>
        </w:rPr>
        <w:t xml:space="preserve">לסמכותה </w:t>
      </w:r>
      <w:bookmarkStart w:id="4132" w:name="_ETM_Q5_589299"/>
      <w:bookmarkEnd w:id="4132"/>
      <w:r>
        <w:rPr>
          <w:rFonts w:hint="cs"/>
          <w:rtl/>
        </w:rPr>
        <w:t xml:space="preserve">המכוננת </w:t>
      </w:r>
      <w:bookmarkStart w:id="4133" w:name="_ETM_Q5_589810"/>
      <w:bookmarkEnd w:id="4133"/>
      <w:r>
        <w:rPr>
          <w:rFonts w:hint="cs"/>
          <w:rtl/>
        </w:rPr>
        <w:t xml:space="preserve">של </w:t>
      </w:r>
      <w:bookmarkStart w:id="4134" w:name="_ETM_Q5_589930"/>
      <w:bookmarkEnd w:id="4134"/>
      <w:r>
        <w:rPr>
          <w:rFonts w:hint="cs"/>
          <w:rtl/>
        </w:rPr>
        <w:t xml:space="preserve">הכנסת. </w:t>
      </w:r>
      <w:bookmarkStart w:id="4135" w:name="_ETM_Q5_591669"/>
      <w:bookmarkEnd w:id="4135"/>
      <w:r>
        <w:rPr>
          <w:rFonts w:hint="cs"/>
          <w:rtl/>
        </w:rPr>
        <w:t xml:space="preserve">בסוף </w:t>
      </w:r>
      <w:bookmarkStart w:id="4136" w:name="_ETM_Q5_591999"/>
      <w:bookmarkEnd w:id="4136"/>
      <w:r>
        <w:rPr>
          <w:rFonts w:hint="cs"/>
          <w:rtl/>
        </w:rPr>
        <w:t xml:space="preserve">התהליך </w:t>
      </w:r>
      <w:bookmarkStart w:id="4137" w:name="_ETM_Q5_592329"/>
      <w:bookmarkEnd w:id="4137"/>
      <w:r>
        <w:rPr>
          <w:rFonts w:hint="cs"/>
          <w:rtl/>
        </w:rPr>
        <w:t xml:space="preserve">הזה </w:t>
      </w:r>
      <w:bookmarkStart w:id="4138" w:name="_ETM_Q5_592539"/>
      <w:bookmarkEnd w:id="4138"/>
      <w:r>
        <w:rPr>
          <w:rFonts w:hint="cs"/>
          <w:rtl/>
        </w:rPr>
        <w:t xml:space="preserve">הפסיק. </w:t>
      </w:r>
      <w:bookmarkStart w:id="4139" w:name="_ETM_Q5_594250"/>
      <w:bookmarkEnd w:id="4139"/>
      <w:r>
        <w:rPr>
          <w:rFonts w:hint="cs"/>
          <w:rtl/>
        </w:rPr>
        <w:t xml:space="preserve">ואם </w:t>
      </w:r>
      <w:bookmarkStart w:id="4140" w:name="_ETM_Q5_594460"/>
      <w:bookmarkEnd w:id="4140"/>
      <w:r>
        <w:rPr>
          <w:rFonts w:hint="cs"/>
          <w:rtl/>
        </w:rPr>
        <w:t xml:space="preserve">הוא </w:t>
      </w:r>
      <w:bookmarkStart w:id="4141" w:name="_ETM_Q5_594549"/>
      <w:bookmarkEnd w:id="4141"/>
      <w:r>
        <w:rPr>
          <w:rFonts w:hint="cs"/>
          <w:rtl/>
        </w:rPr>
        <w:t xml:space="preserve">ימשיך, </w:t>
      </w:r>
      <w:bookmarkStart w:id="4142" w:name="_ETM_Q5_594880"/>
      <w:bookmarkEnd w:id="4142"/>
      <w:r>
        <w:rPr>
          <w:rFonts w:hint="cs"/>
          <w:rtl/>
        </w:rPr>
        <w:t xml:space="preserve">הוא </w:t>
      </w:r>
      <w:bookmarkStart w:id="4143" w:name="_ETM_Q5_594970"/>
      <w:bookmarkEnd w:id="4143"/>
      <w:r>
        <w:rPr>
          <w:rFonts w:hint="cs"/>
          <w:rtl/>
        </w:rPr>
        <w:t xml:space="preserve">כנראה </w:t>
      </w:r>
      <w:bookmarkStart w:id="4144" w:name="_ETM_Q5_595240"/>
      <w:bookmarkEnd w:id="4144"/>
      <w:r>
        <w:rPr>
          <w:rFonts w:hint="cs"/>
          <w:rtl/>
        </w:rPr>
        <w:t xml:space="preserve">ימשיך </w:t>
      </w:r>
      <w:bookmarkStart w:id="4145" w:name="_ETM_Q5_595509"/>
      <w:bookmarkEnd w:id="4145"/>
      <w:r>
        <w:rPr>
          <w:rFonts w:hint="cs"/>
          <w:rtl/>
        </w:rPr>
        <w:t xml:space="preserve">דרך </w:t>
      </w:r>
      <w:bookmarkStart w:id="4146" w:name="_ETM_Q5_595750"/>
      <w:bookmarkEnd w:id="4146"/>
      <w:r>
        <w:rPr>
          <w:rFonts w:hint="cs"/>
          <w:rtl/>
        </w:rPr>
        <w:t xml:space="preserve">הצעת </w:t>
      </w:r>
      <w:bookmarkStart w:id="4147" w:name="_ETM_Q5_596049"/>
      <w:bookmarkEnd w:id="4147"/>
      <w:r>
        <w:rPr>
          <w:rFonts w:hint="cs"/>
          <w:rtl/>
        </w:rPr>
        <w:t xml:space="preserve">חוק </w:t>
      </w:r>
      <w:bookmarkStart w:id="4148" w:name="_ETM_Q5_596200"/>
      <w:bookmarkEnd w:id="4148"/>
      <w:r>
        <w:rPr>
          <w:rFonts w:hint="cs"/>
          <w:rtl/>
        </w:rPr>
        <w:t xml:space="preserve">ממשלתית </w:t>
      </w:r>
      <w:bookmarkStart w:id="4149" w:name="_ETM_Q5_596680"/>
      <w:bookmarkEnd w:id="4149"/>
      <w:r>
        <w:rPr>
          <w:rFonts w:hint="cs"/>
          <w:rtl/>
        </w:rPr>
        <w:t xml:space="preserve">ולא </w:t>
      </w:r>
      <w:bookmarkStart w:id="4150" w:name="_ETM_Q5_596860"/>
      <w:bookmarkEnd w:id="4150"/>
      <w:r>
        <w:rPr>
          <w:rFonts w:hint="cs"/>
          <w:rtl/>
        </w:rPr>
        <w:t xml:space="preserve">בדרך </w:t>
      </w:r>
      <w:bookmarkStart w:id="4151" w:name="_ETM_Q5_597670"/>
      <w:bookmarkEnd w:id="4151"/>
      <w:r>
        <w:rPr>
          <w:rFonts w:hint="cs"/>
          <w:rtl/>
        </w:rPr>
        <w:t xml:space="preserve">הקלוקלת </w:t>
      </w:r>
      <w:bookmarkStart w:id="4152" w:name="_ETM_Q5_598240"/>
      <w:bookmarkEnd w:id="4152"/>
      <w:r>
        <w:rPr>
          <w:rFonts w:hint="cs"/>
          <w:rtl/>
        </w:rPr>
        <w:t xml:space="preserve">שבה </w:t>
      </w:r>
      <w:bookmarkStart w:id="4153" w:name="_ETM_Q5_598479"/>
      <w:bookmarkEnd w:id="4153"/>
      <w:r>
        <w:rPr>
          <w:rFonts w:hint="cs"/>
          <w:rtl/>
        </w:rPr>
        <w:t xml:space="preserve">ניסו </w:t>
      </w:r>
      <w:bookmarkStart w:id="4154" w:name="_ETM_Q5_598750"/>
      <w:bookmarkEnd w:id="4154"/>
      <w:r>
        <w:rPr>
          <w:rFonts w:hint="cs"/>
          <w:rtl/>
        </w:rPr>
        <w:t xml:space="preserve">ללכת </w:t>
      </w:r>
      <w:bookmarkStart w:id="4155" w:name="_ETM_Q5_599110"/>
      <w:bookmarkEnd w:id="4155"/>
      <w:r>
        <w:rPr>
          <w:rFonts w:hint="cs"/>
          <w:rtl/>
        </w:rPr>
        <w:t>בהתחלה.</w:t>
      </w:r>
    </w:p>
    <w:p w:rsidR="000C5C1F" w:rsidRDefault="000C5C1F" w:rsidP="000C5C1F">
      <w:pPr>
        <w:rPr>
          <w:rtl/>
        </w:rPr>
      </w:pPr>
    </w:p>
    <w:p w:rsidR="000C5C1F" w:rsidRDefault="000C5C1F" w:rsidP="000C5C1F">
      <w:pPr>
        <w:rPr>
          <w:rtl/>
        </w:rPr>
      </w:pPr>
      <w:bookmarkStart w:id="4156" w:name="_ETM_Q5_601000"/>
      <w:bookmarkStart w:id="4157" w:name="_ETM_Q5_600909"/>
      <w:bookmarkEnd w:id="4156"/>
      <w:bookmarkEnd w:id="4157"/>
      <w:r>
        <w:rPr>
          <w:rFonts w:hint="cs"/>
          <w:rtl/>
        </w:rPr>
        <w:t xml:space="preserve">המשך </w:t>
      </w:r>
      <w:bookmarkStart w:id="4158" w:name="_ETM_Q5_601329"/>
      <w:bookmarkEnd w:id="4158"/>
      <w:r>
        <w:rPr>
          <w:rFonts w:hint="cs"/>
          <w:rtl/>
        </w:rPr>
        <w:t xml:space="preserve">העניין </w:t>
      </w:r>
      <w:r>
        <w:t>–</w:t>
      </w:r>
      <w:r>
        <w:rPr>
          <w:rFonts w:hint="cs"/>
          <w:rtl/>
        </w:rPr>
        <w:t xml:space="preserve"> </w:t>
      </w:r>
      <w:bookmarkStart w:id="4159" w:name="_ETM_Q5_602169"/>
      <w:bookmarkStart w:id="4160" w:name="_ETM_Q5_602409"/>
      <w:bookmarkEnd w:id="4159"/>
      <w:bookmarkEnd w:id="4160"/>
      <w:r>
        <w:rPr>
          <w:rFonts w:hint="cs"/>
          <w:rtl/>
        </w:rPr>
        <w:t xml:space="preserve">מה </w:t>
      </w:r>
      <w:bookmarkStart w:id="4161" w:name="_ETM_Q5_602529"/>
      <w:bookmarkEnd w:id="4161"/>
      <w:r>
        <w:rPr>
          <w:rFonts w:hint="cs"/>
          <w:rtl/>
        </w:rPr>
        <w:t xml:space="preserve">כן </w:t>
      </w:r>
      <w:bookmarkStart w:id="4162" w:name="_ETM_Q5_602770"/>
      <w:bookmarkEnd w:id="4162"/>
      <w:r>
        <w:rPr>
          <w:rFonts w:hint="cs"/>
          <w:rtl/>
        </w:rPr>
        <w:t xml:space="preserve">מעסיק </w:t>
      </w:r>
      <w:bookmarkStart w:id="4163" w:name="_ETM_Q5_603159"/>
      <w:bookmarkEnd w:id="4163"/>
      <w:r>
        <w:rPr>
          <w:rFonts w:hint="cs"/>
          <w:rtl/>
        </w:rPr>
        <w:t xml:space="preserve">אותנו </w:t>
      </w:r>
      <w:bookmarkStart w:id="4164" w:name="_ETM_Q5_604100"/>
      <w:bookmarkEnd w:id="4164"/>
      <w:r>
        <w:rPr>
          <w:rFonts w:hint="cs"/>
          <w:rtl/>
        </w:rPr>
        <w:t xml:space="preserve">בזמנים </w:t>
      </w:r>
      <w:bookmarkStart w:id="4165" w:name="_ETM_Q5_604730"/>
      <w:bookmarkEnd w:id="4165"/>
      <w:r>
        <w:rPr>
          <w:rFonts w:hint="cs"/>
          <w:rtl/>
        </w:rPr>
        <w:t xml:space="preserve">האלה? </w:t>
      </w:r>
      <w:bookmarkStart w:id="4166" w:name="_ETM_Q5_605500"/>
      <w:bookmarkEnd w:id="4166"/>
      <w:r>
        <w:rPr>
          <w:rFonts w:hint="cs"/>
          <w:rtl/>
        </w:rPr>
        <w:t>מ</w:t>
      </w:r>
      <w:bookmarkStart w:id="4167" w:name="_ETM_Q5_605830"/>
      <w:bookmarkEnd w:id="4167"/>
      <w:r>
        <w:rPr>
          <w:rFonts w:hint="cs"/>
          <w:rtl/>
        </w:rPr>
        <w:t xml:space="preserve">הי </w:t>
      </w:r>
      <w:bookmarkStart w:id="4168" w:name="_ETM_Q5_605920"/>
      <w:bookmarkEnd w:id="4168"/>
      <w:r>
        <w:rPr>
          <w:rFonts w:hint="cs"/>
          <w:rtl/>
        </w:rPr>
        <w:t xml:space="preserve">רשימת </w:t>
      </w:r>
      <w:bookmarkStart w:id="4169" w:name="_ETM_Q5_606400"/>
      <w:bookmarkEnd w:id="4169"/>
      <w:r>
        <w:rPr>
          <w:rFonts w:hint="cs"/>
          <w:rtl/>
        </w:rPr>
        <w:t xml:space="preserve">החוקים </w:t>
      </w:r>
      <w:bookmarkStart w:id="4170" w:name="_ETM_Q5_606880"/>
      <w:bookmarkEnd w:id="4170"/>
      <w:r>
        <w:rPr>
          <w:rFonts w:hint="cs"/>
          <w:rtl/>
        </w:rPr>
        <w:t xml:space="preserve">שהכנסת </w:t>
      </w:r>
      <w:bookmarkStart w:id="4171" w:name="_ETM_Q5_607420"/>
      <w:bookmarkEnd w:id="4171"/>
      <w:r>
        <w:rPr>
          <w:rFonts w:hint="cs"/>
          <w:rtl/>
        </w:rPr>
        <w:t>ה</w:t>
      </w:r>
      <w:bookmarkStart w:id="4172" w:name="_ETM_Q5_607479"/>
      <w:bookmarkEnd w:id="4172"/>
      <w:r>
        <w:rPr>
          <w:rFonts w:hint="cs"/>
          <w:rtl/>
        </w:rPr>
        <w:t xml:space="preserve">תעסקה </w:t>
      </w:r>
      <w:bookmarkStart w:id="4173" w:name="_ETM_Q5_607839"/>
      <w:bookmarkEnd w:id="4173"/>
      <w:r>
        <w:rPr>
          <w:rFonts w:hint="cs"/>
          <w:rtl/>
        </w:rPr>
        <w:t xml:space="preserve">בהם יום </w:t>
      </w:r>
      <w:bookmarkStart w:id="4174" w:name="_ETM_Q5_608110"/>
      <w:bookmarkEnd w:id="4174"/>
      <w:r>
        <w:rPr>
          <w:rFonts w:hint="cs"/>
          <w:rtl/>
        </w:rPr>
        <w:t xml:space="preserve">ולילה </w:t>
      </w:r>
      <w:bookmarkStart w:id="4175" w:name="_ETM_Q5_608560"/>
      <w:bookmarkEnd w:id="4175"/>
      <w:r>
        <w:rPr>
          <w:rFonts w:hint="cs"/>
          <w:rtl/>
        </w:rPr>
        <w:t xml:space="preserve">כאן, </w:t>
      </w:r>
      <w:bookmarkStart w:id="4176" w:name="_ETM_Q5_608860"/>
      <w:bookmarkEnd w:id="4176"/>
      <w:r>
        <w:rPr>
          <w:rFonts w:hint="cs"/>
          <w:rtl/>
        </w:rPr>
        <w:t xml:space="preserve">כאן </w:t>
      </w:r>
      <w:bookmarkStart w:id="4177" w:name="_ETM_Q5_609100"/>
      <w:bookmarkEnd w:id="4177"/>
      <w:r>
        <w:rPr>
          <w:rFonts w:hint="cs"/>
          <w:rtl/>
        </w:rPr>
        <w:t xml:space="preserve">בכנסת </w:t>
      </w:r>
      <w:bookmarkStart w:id="4178" w:name="_ETM_Q5_609550"/>
      <w:bookmarkEnd w:id="4178"/>
      <w:r>
        <w:rPr>
          <w:rFonts w:hint="cs"/>
          <w:rtl/>
        </w:rPr>
        <w:t xml:space="preserve">הזו? </w:t>
      </w:r>
      <w:bookmarkStart w:id="4179" w:name="_ETM_Q5_610549"/>
      <w:bookmarkEnd w:id="4179"/>
      <w:r>
        <w:rPr>
          <w:rFonts w:hint="cs"/>
          <w:rtl/>
        </w:rPr>
        <w:t xml:space="preserve">חוק </w:t>
      </w:r>
      <w:bookmarkStart w:id="4180" w:name="_ETM_Q5_610879"/>
      <w:bookmarkEnd w:id="4180"/>
      <w:r>
        <w:rPr>
          <w:rFonts w:hint="cs"/>
          <w:rtl/>
        </w:rPr>
        <w:t>דרעי</w:t>
      </w:r>
      <w:bookmarkStart w:id="4181" w:name="_ETM_Q5_612780"/>
      <w:bookmarkStart w:id="4182" w:name="_ETM_Q5_613020"/>
      <w:bookmarkStart w:id="4183" w:name="_ETM_Q5_614639"/>
      <w:bookmarkStart w:id="4184" w:name="_ETM_Q5_614939"/>
      <w:bookmarkEnd w:id="4181"/>
      <w:bookmarkEnd w:id="4182"/>
      <w:bookmarkEnd w:id="4183"/>
      <w:bookmarkEnd w:id="4184"/>
      <w:r>
        <w:rPr>
          <w:rFonts w:hint="cs"/>
          <w:rtl/>
        </w:rPr>
        <w:t xml:space="preserve"> 1 ו-2, </w:t>
      </w:r>
      <w:bookmarkStart w:id="4185" w:name="_ETM_Q5_616599"/>
      <w:bookmarkEnd w:id="4185"/>
      <w:r>
        <w:rPr>
          <w:rFonts w:hint="cs"/>
          <w:rtl/>
        </w:rPr>
        <w:t xml:space="preserve">חוק </w:t>
      </w:r>
      <w:bookmarkStart w:id="4186" w:name="_ETM_Q5_616870"/>
      <w:bookmarkEnd w:id="4186"/>
      <w:r>
        <w:rPr>
          <w:rFonts w:hint="cs"/>
          <w:rtl/>
        </w:rPr>
        <w:t>המתנות</w:t>
      </w:r>
      <w:bookmarkStart w:id="4187" w:name="_ETM_Q5_618800"/>
      <w:bookmarkStart w:id="4188" w:name="_ETM_Q5_619010"/>
      <w:bookmarkStart w:id="4189" w:name="_ETM_Q5_619459"/>
      <w:bookmarkEnd w:id="4187"/>
      <w:bookmarkEnd w:id="4188"/>
      <w:bookmarkEnd w:id="4189"/>
      <w:r>
        <w:rPr>
          <w:rFonts w:hint="cs"/>
          <w:rtl/>
        </w:rPr>
        <w:t>, שככה</w:t>
      </w:r>
      <w:bookmarkStart w:id="4190" w:name="_ETM_Q5_620030"/>
      <w:bookmarkStart w:id="4191" w:name="_ETM_Q5_620240"/>
      <w:bookmarkEnd w:id="4190"/>
      <w:bookmarkEnd w:id="4191"/>
      <w:r>
        <w:t>out of the blue</w:t>
      </w:r>
      <w:r>
        <w:rPr>
          <w:rFonts w:hint="cs"/>
          <w:rtl/>
        </w:rPr>
        <w:t xml:space="preserve"> </w:t>
      </w:r>
      <w:bookmarkStart w:id="4192" w:name="_ETM_Q5_620720"/>
      <w:bookmarkEnd w:id="4192"/>
      <w:r>
        <w:rPr>
          <w:rFonts w:hint="cs"/>
          <w:rtl/>
        </w:rPr>
        <w:t xml:space="preserve">עליו </w:t>
      </w:r>
      <w:bookmarkStart w:id="4193" w:name="_ETM_Q5_621050"/>
      <w:bookmarkEnd w:id="4193"/>
      <w:r>
        <w:rPr>
          <w:rFonts w:hint="cs"/>
          <w:rtl/>
        </w:rPr>
        <w:t xml:space="preserve">מבזבזים </w:t>
      </w:r>
      <w:bookmarkStart w:id="4194" w:name="_ETM_Q5_621650"/>
      <w:bookmarkEnd w:id="4194"/>
      <w:r>
        <w:rPr>
          <w:rFonts w:hint="cs"/>
          <w:rtl/>
        </w:rPr>
        <w:t xml:space="preserve">את </w:t>
      </w:r>
      <w:bookmarkStart w:id="4195" w:name="_ETM_Q5_621800"/>
      <w:bookmarkEnd w:id="4195"/>
      <w:r>
        <w:rPr>
          <w:rFonts w:hint="cs"/>
          <w:rtl/>
        </w:rPr>
        <w:t xml:space="preserve">הזמן, </w:t>
      </w:r>
      <w:bookmarkStart w:id="4196" w:name="_ETM_Q5_622430"/>
      <w:bookmarkEnd w:id="4196"/>
      <w:r>
        <w:rPr>
          <w:rFonts w:hint="cs"/>
          <w:rtl/>
        </w:rPr>
        <w:t xml:space="preserve">זה </w:t>
      </w:r>
      <w:bookmarkStart w:id="4197" w:name="_ETM_Q5_622610"/>
      <w:bookmarkEnd w:id="4197"/>
      <w:r>
        <w:rPr>
          <w:rFonts w:hint="cs"/>
          <w:rtl/>
        </w:rPr>
        <w:t xml:space="preserve">הדבר </w:t>
      </w:r>
      <w:bookmarkStart w:id="4198" w:name="_ETM_Q5_622910"/>
      <w:bookmarkEnd w:id="4198"/>
      <w:r>
        <w:rPr>
          <w:rFonts w:hint="cs"/>
          <w:rtl/>
        </w:rPr>
        <w:t xml:space="preserve">המרכזי </w:t>
      </w:r>
      <w:bookmarkStart w:id="4199" w:name="_ETM_Q5_623360"/>
      <w:bookmarkEnd w:id="4199"/>
      <w:r>
        <w:rPr>
          <w:rFonts w:hint="cs"/>
          <w:rtl/>
        </w:rPr>
        <w:t xml:space="preserve">שמפריע </w:t>
      </w:r>
      <w:bookmarkStart w:id="4200" w:name="_ETM_Q5_623780"/>
      <w:bookmarkEnd w:id="4200"/>
      <w:r>
        <w:rPr>
          <w:rFonts w:hint="cs"/>
          <w:rtl/>
        </w:rPr>
        <w:t xml:space="preserve">לאזרחי </w:t>
      </w:r>
      <w:bookmarkStart w:id="4201" w:name="_ETM_Q5_624170"/>
      <w:bookmarkEnd w:id="4201"/>
      <w:r>
        <w:rPr>
          <w:rFonts w:hint="cs"/>
          <w:rtl/>
        </w:rPr>
        <w:t xml:space="preserve">מדינת </w:t>
      </w:r>
      <w:bookmarkStart w:id="4202" w:name="_ETM_Q5_624470"/>
      <w:bookmarkEnd w:id="4202"/>
      <w:r>
        <w:rPr>
          <w:rFonts w:hint="cs"/>
          <w:rtl/>
        </w:rPr>
        <w:t xml:space="preserve">ישראל. </w:t>
      </w:r>
      <w:bookmarkStart w:id="4203" w:name="_ETM_Q5_625069"/>
      <w:bookmarkEnd w:id="4203"/>
      <w:r>
        <w:rPr>
          <w:rFonts w:hint="cs"/>
          <w:rtl/>
        </w:rPr>
        <w:t xml:space="preserve">כאילו </w:t>
      </w:r>
      <w:bookmarkStart w:id="4204" w:name="_ETM_Q5_625340"/>
      <w:bookmarkEnd w:id="4204"/>
      <w:r>
        <w:rPr>
          <w:rFonts w:hint="cs"/>
          <w:rtl/>
        </w:rPr>
        <w:t xml:space="preserve">שאין </w:t>
      </w:r>
      <w:bookmarkStart w:id="4205" w:name="_ETM_Q5_625610"/>
      <w:bookmarkStart w:id="4206" w:name="_ETM_Q5_625970"/>
      <w:bookmarkEnd w:id="4205"/>
      <w:bookmarkEnd w:id="4206"/>
      <w:r>
        <w:rPr>
          <w:rFonts w:hint="cs"/>
          <w:rtl/>
        </w:rPr>
        <w:t xml:space="preserve">כוונת </w:t>
      </w:r>
      <w:bookmarkStart w:id="4207" w:name="_ETM_Q5_624000"/>
      <w:bookmarkEnd w:id="4207"/>
      <w:r>
        <w:rPr>
          <w:rFonts w:hint="cs"/>
          <w:rtl/>
        </w:rPr>
        <w:t xml:space="preserve">מכוון, </w:t>
      </w:r>
      <w:bookmarkStart w:id="4208" w:name="_ETM_Q5_626450"/>
      <w:bookmarkEnd w:id="4208"/>
      <w:r>
        <w:rPr>
          <w:rFonts w:hint="cs"/>
          <w:rtl/>
        </w:rPr>
        <w:t xml:space="preserve">כאילו </w:t>
      </w:r>
      <w:bookmarkStart w:id="4209" w:name="_ETM_Q5_626690"/>
      <w:bookmarkEnd w:id="4209"/>
      <w:r>
        <w:rPr>
          <w:rFonts w:hint="cs"/>
          <w:rtl/>
        </w:rPr>
        <w:t xml:space="preserve">לא </w:t>
      </w:r>
      <w:bookmarkStart w:id="4210" w:name="_ETM_Q5_626810"/>
      <w:bookmarkEnd w:id="4210"/>
      <w:r>
        <w:rPr>
          <w:rFonts w:hint="cs"/>
          <w:rtl/>
        </w:rPr>
        <w:t xml:space="preserve">יודעים </w:t>
      </w:r>
      <w:bookmarkStart w:id="4211" w:name="_ETM_Q5_627020"/>
      <w:bookmarkEnd w:id="4211"/>
      <w:r>
        <w:rPr>
          <w:rFonts w:hint="cs"/>
          <w:rtl/>
        </w:rPr>
        <w:t xml:space="preserve">מי </w:t>
      </w:r>
      <w:bookmarkStart w:id="4212" w:name="_ETM_Q5_627110"/>
      <w:bookmarkEnd w:id="4212"/>
      <w:r>
        <w:rPr>
          <w:rFonts w:hint="cs"/>
          <w:rtl/>
        </w:rPr>
        <w:t xml:space="preserve">עומד </w:t>
      </w:r>
      <w:bookmarkStart w:id="4213" w:name="_ETM_Q5_627350"/>
      <w:bookmarkEnd w:id="4213"/>
      <w:r>
        <w:rPr>
          <w:rFonts w:hint="cs"/>
          <w:rtl/>
        </w:rPr>
        <w:t xml:space="preserve">מאחורי </w:t>
      </w:r>
      <w:bookmarkStart w:id="4214" w:name="_ETM_Q5_627740"/>
      <w:bookmarkEnd w:id="4214"/>
      <w:r>
        <w:rPr>
          <w:rFonts w:hint="cs"/>
          <w:rtl/>
        </w:rPr>
        <w:t xml:space="preserve">העניין </w:t>
      </w:r>
      <w:bookmarkStart w:id="4215" w:name="_ETM_Q5_628069"/>
      <w:bookmarkEnd w:id="4215"/>
      <w:r>
        <w:rPr>
          <w:rFonts w:hint="cs"/>
          <w:rtl/>
        </w:rPr>
        <w:t xml:space="preserve">הזה. </w:t>
      </w:r>
      <w:bookmarkStart w:id="4216" w:name="_ETM_Q5_628840"/>
      <w:bookmarkEnd w:id="4216"/>
      <w:r>
        <w:rPr>
          <w:rFonts w:hint="cs"/>
          <w:rtl/>
        </w:rPr>
        <w:t xml:space="preserve">וכולם </w:t>
      </w:r>
      <w:bookmarkStart w:id="4217" w:name="_ETM_Q5_629260"/>
      <w:bookmarkEnd w:id="4217"/>
      <w:r>
        <w:rPr>
          <w:rFonts w:hint="cs"/>
          <w:rtl/>
        </w:rPr>
        <w:t xml:space="preserve">פה </w:t>
      </w:r>
      <w:bookmarkStart w:id="4218" w:name="_ETM_Q5_629379"/>
      <w:bookmarkEnd w:id="4218"/>
      <w:r>
        <w:rPr>
          <w:rFonts w:hint="cs"/>
          <w:rtl/>
        </w:rPr>
        <w:t xml:space="preserve">מיתממים, </w:t>
      </w:r>
      <w:bookmarkStart w:id="4219" w:name="_ETM_Q5_629829"/>
      <w:bookmarkEnd w:id="4219"/>
      <w:r>
        <w:rPr>
          <w:rFonts w:hint="cs"/>
          <w:rtl/>
        </w:rPr>
        <w:t xml:space="preserve">מגלגלים </w:t>
      </w:r>
      <w:bookmarkStart w:id="4220" w:name="_ETM_Q5_630219"/>
      <w:bookmarkEnd w:id="4220"/>
      <w:r>
        <w:rPr>
          <w:rFonts w:hint="cs"/>
          <w:rtl/>
        </w:rPr>
        <w:t xml:space="preserve">עיניים </w:t>
      </w:r>
      <w:bookmarkStart w:id="4221" w:name="_ETM_Q5_630489"/>
      <w:bookmarkEnd w:id="4221"/>
      <w:r>
        <w:rPr>
          <w:rFonts w:hint="cs"/>
          <w:rtl/>
        </w:rPr>
        <w:t>לשמיים.</w:t>
      </w:r>
      <w:bookmarkStart w:id="4222" w:name="_ETM_Q5_632000"/>
      <w:bookmarkStart w:id="4223" w:name="_ETM_Q5_634000"/>
      <w:bookmarkStart w:id="4224" w:name="_ETM_Q5_631180"/>
      <w:bookmarkEnd w:id="4222"/>
      <w:bookmarkEnd w:id="4223"/>
      <w:bookmarkEnd w:id="4224"/>
      <w:r>
        <w:rPr>
          <w:rFonts w:hint="cs"/>
          <w:rtl/>
        </w:rPr>
        <w:t xml:space="preserve"> ואתם </w:t>
      </w:r>
      <w:bookmarkStart w:id="4225" w:name="_ETM_Q5_631540"/>
      <w:bookmarkEnd w:id="4225"/>
      <w:r>
        <w:rPr>
          <w:rFonts w:hint="cs"/>
          <w:rtl/>
        </w:rPr>
        <w:t xml:space="preserve">מדברים? </w:t>
      </w:r>
      <w:bookmarkStart w:id="4226" w:name="_ETM_Q5_632349"/>
      <w:bookmarkEnd w:id="4226"/>
      <w:r>
        <w:rPr>
          <w:rFonts w:hint="cs"/>
          <w:rtl/>
        </w:rPr>
        <w:t xml:space="preserve">אתם, </w:t>
      </w:r>
      <w:bookmarkStart w:id="4227" w:name="_ETM_Q5_632650"/>
      <w:bookmarkEnd w:id="4227"/>
      <w:r>
        <w:rPr>
          <w:rFonts w:hint="cs"/>
          <w:rtl/>
        </w:rPr>
        <w:t xml:space="preserve">שרי </w:t>
      </w:r>
      <w:bookmarkStart w:id="4228" w:name="_ETM_Q5_632950"/>
      <w:bookmarkEnd w:id="4228"/>
      <w:r>
        <w:rPr>
          <w:rFonts w:hint="cs"/>
          <w:rtl/>
        </w:rPr>
        <w:t xml:space="preserve">הליכוד, </w:t>
      </w:r>
      <w:bookmarkStart w:id="4229" w:name="_ETM_Q5_633310"/>
      <w:bookmarkEnd w:id="4229"/>
      <w:r>
        <w:rPr>
          <w:rFonts w:hint="cs"/>
          <w:rtl/>
        </w:rPr>
        <w:t xml:space="preserve">לא </w:t>
      </w:r>
      <w:bookmarkStart w:id="4230" w:name="_ETM_Q5_633400"/>
      <w:bookmarkEnd w:id="4230"/>
      <w:r>
        <w:rPr>
          <w:rFonts w:hint="cs"/>
          <w:rtl/>
        </w:rPr>
        <w:t xml:space="preserve">יודעים </w:t>
      </w:r>
      <w:bookmarkStart w:id="4231" w:name="_ETM_Q5_633579"/>
      <w:bookmarkEnd w:id="4231"/>
      <w:r>
        <w:rPr>
          <w:rFonts w:hint="cs"/>
          <w:rtl/>
        </w:rPr>
        <w:t xml:space="preserve">להגיד: </w:t>
      </w:r>
      <w:bookmarkStart w:id="4232" w:name="_ETM_Q5_633879"/>
      <w:bookmarkEnd w:id="4232"/>
      <w:r>
        <w:rPr>
          <w:rFonts w:hint="cs"/>
          <w:rtl/>
        </w:rPr>
        <w:t xml:space="preserve">עד </w:t>
      </w:r>
      <w:bookmarkStart w:id="4233" w:name="_ETM_Q5_634030"/>
      <w:bookmarkEnd w:id="4233"/>
      <w:r>
        <w:rPr>
          <w:rFonts w:hint="cs"/>
          <w:rtl/>
        </w:rPr>
        <w:t xml:space="preserve">כאן? </w:t>
      </w:r>
      <w:bookmarkStart w:id="4234" w:name="_ETM_Q5_634750"/>
      <w:bookmarkEnd w:id="4234"/>
      <w:r>
        <w:rPr>
          <w:rFonts w:hint="cs"/>
          <w:rtl/>
        </w:rPr>
        <w:t xml:space="preserve">לא, </w:t>
      </w:r>
      <w:bookmarkStart w:id="4235" w:name="_ETM_Q5_634959"/>
      <w:bookmarkEnd w:id="4235"/>
      <w:r>
        <w:rPr>
          <w:rFonts w:hint="cs"/>
          <w:rtl/>
        </w:rPr>
        <w:t xml:space="preserve">אתם </w:t>
      </w:r>
      <w:bookmarkStart w:id="4236" w:name="_ETM_Q5_635170"/>
      <w:bookmarkEnd w:id="4236"/>
      <w:r>
        <w:rPr>
          <w:rFonts w:hint="cs"/>
          <w:rtl/>
        </w:rPr>
        <w:t xml:space="preserve">לא </w:t>
      </w:r>
      <w:bookmarkStart w:id="4237" w:name="_ETM_Q5_635230"/>
      <w:bookmarkEnd w:id="4237"/>
      <w:r>
        <w:rPr>
          <w:rFonts w:hint="cs"/>
          <w:rtl/>
        </w:rPr>
        <w:t xml:space="preserve">יודעים, </w:t>
      </w:r>
      <w:bookmarkStart w:id="4238" w:name="_ETM_Q5_636440"/>
      <w:bookmarkEnd w:id="4238"/>
      <w:r>
        <w:rPr>
          <w:rFonts w:hint="cs"/>
          <w:rtl/>
        </w:rPr>
        <w:t xml:space="preserve">לא </w:t>
      </w:r>
      <w:bookmarkStart w:id="4239" w:name="_ETM_Q5_636620"/>
      <w:bookmarkEnd w:id="4239"/>
      <w:r>
        <w:rPr>
          <w:rFonts w:hint="cs"/>
          <w:rtl/>
        </w:rPr>
        <w:t xml:space="preserve">יודעים </w:t>
      </w:r>
      <w:bookmarkStart w:id="4240" w:name="_ETM_Q5_636890"/>
      <w:bookmarkEnd w:id="4240"/>
      <w:r>
        <w:rPr>
          <w:rFonts w:hint="cs"/>
          <w:rtl/>
        </w:rPr>
        <w:t xml:space="preserve">ולא </w:t>
      </w:r>
      <w:bookmarkStart w:id="4241" w:name="_ETM_Q5_637070"/>
      <w:bookmarkEnd w:id="4241"/>
      <w:r>
        <w:rPr>
          <w:rFonts w:hint="cs"/>
          <w:rtl/>
        </w:rPr>
        <w:t xml:space="preserve">ידעתם, </w:t>
      </w:r>
      <w:bookmarkStart w:id="4242" w:name="_ETM_Q5_637430"/>
      <w:bookmarkEnd w:id="4242"/>
      <w:r>
        <w:rPr>
          <w:rFonts w:hint="cs"/>
          <w:rtl/>
        </w:rPr>
        <w:t>כנראה.</w:t>
      </w:r>
    </w:p>
    <w:p w:rsidR="000C5C1F" w:rsidRDefault="000C5C1F" w:rsidP="000C5C1F">
      <w:pPr>
        <w:rPr>
          <w:rtl/>
        </w:rPr>
      </w:pPr>
    </w:p>
    <w:p w:rsidR="000C5C1F" w:rsidRDefault="000C5C1F" w:rsidP="000C5C1F">
      <w:pPr>
        <w:rPr>
          <w:rtl/>
        </w:rPr>
      </w:pPr>
      <w:bookmarkStart w:id="4243" w:name="_ETM_Q5_640000"/>
      <w:bookmarkStart w:id="4244" w:name="_ETM_Q5_639130"/>
      <w:bookmarkEnd w:id="4243"/>
      <w:bookmarkEnd w:id="4244"/>
      <w:r>
        <w:rPr>
          <w:rFonts w:hint="cs"/>
          <w:rtl/>
        </w:rPr>
        <w:t xml:space="preserve">וחוק </w:t>
      </w:r>
      <w:bookmarkStart w:id="4245" w:name="_ETM_Q5_639459"/>
      <w:bookmarkEnd w:id="4245"/>
      <w:r>
        <w:rPr>
          <w:rFonts w:hint="cs"/>
          <w:rtl/>
        </w:rPr>
        <w:t xml:space="preserve">טבריה, </w:t>
      </w:r>
      <w:bookmarkStart w:id="4246" w:name="_ETM_Q5_643350"/>
      <w:bookmarkStart w:id="4247" w:name="_ETM_Q5_643770"/>
      <w:bookmarkEnd w:id="4246"/>
      <w:bookmarkEnd w:id="4247"/>
      <w:r>
        <w:rPr>
          <w:rFonts w:hint="cs"/>
          <w:rtl/>
        </w:rPr>
        <w:t xml:space="preserve">ודחיית בחירת </w:t>
      </w:r>
      <w:bookmarkStart w:id="4248" w:name="_ETM_Q5_644340"/>
      <w:bookmarkEnd w:id="4248"/>
      <w:r>
        <w:rPr>
          <w:rFonts w:hint="cs"/>
          <w:rtl/>
        </w:rPr>
        <w:t xml:space="preserve">הרבנים </w:t>
      </w:r>
      <w:bookmarkStart w:id="4249" w:name="_ETM_Q5_644730"/>
      <w:bookmarkEnd w:id="4249"/>
      <w:r>
        <w:rPr>
          <w:rFonts w:hint="cs"/>
          <w:rtl/>
        </w:rPr>
        <w:t xml:space="preserve">הראשיים </w:t>
      </w:r>
      <w:bookmarkStart w:id="4250" w:name="_ETM_Q5_646329"/>
      <w:bookmarkEnd w:id="4250"/>
      <w:r>
        <w:rPr>
          <w:rFonts w:hint="cs"/>
          <w:rtl/>
        </w:rPr>
        <w:t>–</w:t>
      </w:r>
      <w:r>
        <w:rPr>
          <w:rFonts w:hint="cs"/>
        </w:rPr>
        <w:t xml:space="preserve"> </w:t>
      </w:r>
      <w:r>
        <w:rPr>
          <w:rFonts w:hint="cs"/>
          <w:rtl/>
        </w:rPr>
        <w:t xml:space="preserve">אני </w:t>
      </w:r>
      <w:bookmarkStart w:id="4251" w:name="_ETM_Q5_646510"/>
      <w:bookmarkEnd w:id="4251"/>
      <w:r>
        <w:rPr>
          <w:rFonts w:hint="cs"/>
          <w:rtl/>
        </w:rPr>
        <w:t xml:space="preserve">הייתי </w:t>
      </w:r>
      <w:bookmarkStart w:id="4252" w:name="_ETM_Q5_646659"/>
      <w:bookmarkEnd w:id="4252"/>
      <w:r>
        <w:rPr>
          <w:rFonts w:hint="cs"/>
          <w:rtl/>
        </w:rPr>
        <w:t xml:space="preserve">בדיון </w:t>
      </w:r>
      <w:bookmarkStart w:id="4253" w:name="_ETM_Q5_646989"/>
      <w:bookmarkEnd w:id="4253"/>
      <w:r>
        <w:rPr>
          <w:rFonts w:hint="cs"/>
          <w:rtl/>
        </w:rPr>
        <w:t xml:space="preserve">בוועדה </w:t>
      </w:r>
      <w:bookmarkStart w:id="4254" w:name="_ETM_Q5_647409"/>
      <w:bookmarkEnd w:id="4254"/>
      <w:r>
        <w:rPr>
          <w:rFonts w:hint="cs"/>
          <w:rtl/>
        </w:rPr>
        <w:t xml:space="preserve">ואמרתי: </w:t>
      </w:r>
      <w:bookmarkStart w:id="4255" w:name="_ETM_Q5_647769"/>
      <w:bookmarkEnd w:id="4255"/>
      <w:r>
        <w:rPr>
          <w:rFonts w:hint="cs"/>
          <w:rtl/>
        </w:rPr>
        <w:t xml:space="preserve">מדוע </w:t>
      </w:r>
      <w:bookmarkStart w:id="4256" w:name="_ETM_Q5_648129"/>
      <w:bookmarkEnd w:id="4256"/>
      <w:r>
        <w:rPr>
          <w:rFonts w:hint="cs"/>
          <w:rtl/>
        </w:rPr>
        <w:t xml:space="preserve">אתם </w:t>
      </w:r>
      <w:bookmarkStart w:id="4257" w:name="_ETM_Q5_648340"/>
      <w:bookmarkEnd w:id="4257"/>
      <w:r>
        <w:rPr>
          <w:rFonts w:hint="cs"/>
          <w:rtl/>
        </w:rPr>
        <w:t xml:space="preserve">עושים </w:t>
      </w:r>
      <w:bookmarkStart w:id="4258" w:name="_ETM_Q5_648669"/>
      <w:bookmarkEnd w:id="4258"/>
      <w:r>
        <w:rPr>
          <w:rFonts w:hint="cs"/>
          <w:rtl/>
        </w:rPr>
        <w:t xml:space="preserve">את </w:t>
      </w:r>
      <w:bookmarkStart w:id="4259" w:name="_ETM_Q5_648760"/>
      <w:bookmarkEnd w:id="4259"/>
      <w:r>
        <w:rPr>
          <w:rFonts w:hint="cs"/>
          <w:rtl/>
        </w:rPr>
        <w:t xml:space="preserve">זה, </w:t>
      </w:r>
      <w:bookmarkStart w:id="4260" w:name="_ETM_Q5_648939"/>
      <w:bookmarkEnd w:id="4260"/>
      <w:r>
        <w:rPr>
          <w:rFonts w:hint="cs"/>
          <w:rtl/>
        </w:rPr>
        <w:t xml:space="preserve">מדוע </w:t>
      </w:r>
      <w:bookmarkStart w:id="4261" w:name="_ETM_Q5_649419"/>
      <w:bookmarkEnd w:id="4261"/>
      <w:r>
        <w:rPr>
          <w:rFonts w:hint="cs"/>
          <w:rtl/>
        </w:rPr>
        <w:t xml:space="preserve">אתם </w:t>
      </w:r>
      <w:bookmarkStart w:id="4262" w:name="_ETM_Q5_649599"/>
      <w:bookmarkEnd w:id="4262"/>
      <w:r>
        <w:rPr>
          <w:rFonts w:hint="cs"/>
          <w:rtl/>
        </w:rPr>
        <w:t xml:space="preserve">צובעים </w:t>
      </w:r>
      <w:bookmarkStart w:id="4263" w:name="_ETM_Q5_649989"/>
      <w:bookmarkEnd w:id="4263"/>
      <w:r>
        <w:rPr>
          <w:rFonts w:hint="cs"/>
          <w:rtl/>
        </w:rPr>
        <w:t xml:space="preserve">בצבע </w:t>
      </w:r>
      <w:bookmarkStart w:id="4264" w:name="_ETM_Q5_651069"/>
      <w:bookmarkEnd w:id="4264"/>
      <w:r>
        <w:rPr>
          <w:rFonts w:hint="cs"/>
          <w:rtl/>
        </w:rPr>
        <w:t xml:space="preserve">את </w:t>
      </w:r>
      <w:bookmarkStart w:id="4265" w:name="_ETM_Q5_651249"/>
      <w:bookmarkEnd w:id="4265"/>
      <w:r>
        <w:rPr>
          <w:rFonts w:hint="cs"/>
          <w:rtl/>
        </w:rPr>
        <w:t xml:space="preserve">הרבנים? </w:t>
      </w:r>
      <w:bookmarkStart w:id="4266" w:name="_ETM_Q5_651699"/>
      <w:bookmarkEnd w:id="4266"/>
      <w:r>
        <w:rPr>
          <w:rFonts w:hint="cs"/>
          <w:rtl/>
        </w:rPr>
        <w:t xml:space="preserve">אני </w:t>
      </w:r>
      <w:bookmarkStart w:id="4267" w:name="_ETM_Q5_651849"/>
      <w:bookmarkEnd w:id="4267"/>
      <w:r>
        <w:rPr>
          <w:rFonts w:hint="cs"/>
          <w:rtl/>
        </w:rPr>
        <w:t xml:space="preserve">אינני </w:t>
      </w:r>
      <w:bookmarkStart w:id="4268" w:name="_ETM_Q5_652209"/>
      <w:bookmarkEnd w:id="4268"/>
      <w:r>
        <w:rPr>
          <w:rFonts w:hint="cs"/>
          <w:rtl/>
        </w:rPr>
        <w:t xml:space="preserve">אדם </w:t>
      </w:r>
      <w:bookmarkStart w:id="4269" w:name="_ETM_Q5_652480"/>
      <w:bookmarkEnd w:id="4269"/>
      <w:r>
        <w:rPr>
          <w:rFonts w:hint="cs"/>
          <w:rtl/>
        </w:rPr>
        <w:t xml:space="preserve">דתי, </w:t>
      </w:r>
      <w:bookmarkStart w:id="4270" w:name="_ETM_Q5_652809"/>
      <w:bookmarkEnd w:id="4270"/>
      <w:r>
        <w:rPr>
          <w:rFonts w:hint="cs"/>
          <w:rtl/>
        </w:rPr>
        <w:t xml:space="preserve">אבל </w:t>
      </w:r>
      <w:bookmarkStart w:id="4271" w:name="_ETM_Q5_653019"/>
      <w:bookmarkEnd w:id="4271"/>
      <w:r>
        <w:rPr>
          <w:rFonts w:hint="cs"/>
          <w:rtl/>
        </w:rPr>
        <w:t xml:space="preserve">למה </w:t>
      </w:r>
      <w:bookmarkStart w:id="4272" w:name="_ETM_Q5_653230"/>
      <w:bookmarkEnd w:id="4272"/>
      <w:r>
        <w:rPr>
          <w:rFonts w:hint="cs"/>
          <w:rtl/>
        </w:rPr>
        <w:t xml:space="preserve">לצבוע </w:t>
      </w:r>
      <w:bookmarkStart w:id="4273" w:name="_ETM_Q5_653650"/>
      <w:bookmarkEnd w:id="4273"/>
      <w:r>
        <w:rPr>
          <w:rFonts w:hint="cs"/>
          <w:rtl/>
        </w:rPr>
        <w:t xml:space="preserve">בצבע </w:t>
      </w:r>
      <w:bookmarkStart w:id="4274" w:name="_ETM_Q5_654189"/>
      <w:bookmarkEnd w:id="4274"/>
      <w:r>
        <w:rPr>
          <w:rFonts w:hint="cs"/>
          <w:rtl/>
        </w:rPr>
        <w:t xml:space="preserve">רבנים </w:t>
      </w:r>
      <w:bookmarkStart w:id="4275" w:name="_ETM_Q5_654579"/>
      <w:bookmarkEnd w:id="4275"/>
      <w:r>
        <w:rPr>
          <w:rFonts w:hint="cs"/>
          <w:rtl/>
        </w:rPr>
        <w:t xml:space="preserve">ראשיים, </w:t>
      </w:r>
      <w:bookmarkStart w:id="4276" w:name="_ETM_Q5_655269"/>
      <w:bookmarkEnd w:id="4276"/>
      <w:r>
        <w:rPr>
          <w:rFonts w:hint="cs"/>
          <w:rtl/>
        </w:rPr>
        <w:t xml:space="preserve">שכולם </w:t>
      </w:r>
      <w:bookmarkStart w:id="4277" w:name="_ETM_Q5_655809"/>
      <w:bookmarkEnd w:id="4277"/>
      <w:r>
        <w:rPr>
          <w:rFonts w:hint="cs"/>
          <w:rtl/>
        </w:rPr>
        <w:t xml:space="preserve">יודעים </w:t>
      </w:r>
      <w:r>
        <w:t>–</w:t>
      </w:r>
      <w:r>
        <w:rPr>
          <w:rFonts w:hint="cs"/>
          <w:rtl/>
        </w:rPr>
        <w:t xml:space="preserve"> </w:t>
      </w:r>
      <w:bookmarkStart w:id="4278" w:name="_ETM_Q5_656650"/>
      <w:bookmarkEnd w:id="4278"/>
      <w:r>
        <w:rPr>
          <w:rFonts w:hint="cs"/>
          <w:rtl/>
        </w:rPr>
        <w:t xml:space="preserve">כי </w:t>
      </w:r>
      <w:bookmarkStart w:id="4279" w:name="_ETM_Q5_656800"/>
      <w:bookmarkEnd w:id="4279"/>
      <w:r>
        <w:rPr>
          <w:rFonts w:hint="cs"/>
          <w:rtl/>
        </w:rPr>
        <w:t xml:space="preserve">אתם </w:t>
      </w:r>
      <w:bookmarkStart w:id="4280" w:name="_ETM_Q5_657010"/>
      <w:bookmarkEnd w:id="4280"/>
      <w:r>
        <w:rPr>
          <w:rFonts w:hint="cs"/>
          <w:rtl/>
        </w:rPr>
        <w:t xml:space="preserve">אומרים; </w:t>
      </w:r>
      <w:bookmarkStart w:id="4281" w:name="_ETM_Q5_657370"/>
      <w:bookmarkEnd w:id="4281"/>
      <w:r>
        <w:rPr>
          <w:rFonts w:hint="cs"/>
          <w:rtl/>
        </w:rPr>
        <w:t xml:space="preserve">לא </w:t>
      </w:r>
      <w:bookmarkStart w:id="4282" w:name="_ETM_Q5_657460"/>
      <w:bookmarkEnd w:id="4282"/>
      <w:r>
        <w:rPr>
          <w:rFonts w:hint="cs"/>
          <w:rtl/>
        </w:rPr>
        <w:t xml:space="preserve">כי </w:t>
      </w:r>
      <w:bookmarkStart w:id="4283" w:name="_ETM_Q5_657580"/>
      <w:bookmarkEnd w:id="4283"/>
      <w:r>
        <w:rPr>
          <w:rFonts w:hint="cs"/>
          <w:rtl/>
        </w:rPr>
        <w:t xml:space="preserve">אני </w:t>
      </w:r>
      <w:bookmarkStart w:id="4284" w:name="_ETM_Q5_657730"/>
      <w:bookmarkEnd w:id="4284"/>
      <w:r>
        <w:rPr>
          <w:rFonts w:hint="cs"/>
          <w:rtl/>
        </w:rPr>
        <w:t xml:space="preserve">אומר, </w:t>
      </w:r>
      <w:bookmarkStart w:id="4285" w:name="_ETM_Q5_658180"/>
      <w:bookmarkEnd w:id="4285"/>
      <w:r>
        <w:rPr>
          <w:rFonts w:hint="cs"/>
          <w:rtl/>
        </w:rPr>
        <w:t xml:space="preserve">כי אתם </w:t>
      </w:r>
      <w:bookmarkStart w:id="4286" w:name="_ETM_Q5_658420"/>
      <w:bookmarkEnd w:id="4286"/>
      <w:r>
        <w:rPr>
          <w:rFonts w:hint="cs"/>
          <w:rtl/>
        </w:rPr>
        <w:t xml:space="preserve">אומרים </w:t>
      </w:r>
      <w:bookmarkStart w:id="4287" w:name="_ETM_Q5_658720"/>
      <w:bookmarkEnd w:id="4287"/>
      <w:r>
        <w:rPr>
          <w:rFonts w:hint="cs"/>
          <w:rtl/>
        </w:rPr>
        <w:t xml:space="preserve">על </w:t>
      </w:r>
      <w:bookmarkStart w:id="4288" w:name="_ETM_Q5_658840"/>
      <w:bookmarkEnd w:id="4288"/>
      <w:r>
        <w:rPr>
          <w:rFonts w:hint="cs"/>
          <w:rtl/>
        </w:rPr>
        <w:t xml:space="preserve">הדילים </w:t>
      </w:r>
      <w:bookmarkStart w:id="4289" w:name="_ETM_Q5_659200"/>
      <w:bookmarkEnd w:id="4289"/>
      <w:r>
        <w:rPr>
          <w:rFonts w:hint="cs"/>
          <w:rtl/>
        </w:rPr>
        <w:t xml:space="preserve">המושחתים </w:t>
      </w:r>
      <w:bookmarkStart w:id="4290" w:name="_ETM_Q5_659920"/>
      <w:bookmarkEnd w:id="4290"/>
      <w:r>
        <w:rPr>
          <w:rFonts w:hint="cs"/>
          <w:rtl/>
        </w:rPr>
        <w:t xml:space="preserve">שקורים </w:t>
      </w:r>
      <w:bookmarkStart w:id="4291" w:name="_ETM_Q5_660400"/>
      <w:bookmarkEnd w:id="4291"/>
      <w:r>
        <w:rPr>
          <w:rFonts w:hint="cs"/>
          <w:rtl/>
        </w:rPr>
        <w:t xml:space="preserve">בהקשר </w:t>
      </w:r>
      <w:bookmarkStart w:id="4292" w:name="_ETM_Q5_660760"/>
      <w:bookmarkEnd w:id="4292"/>
      <w:r>
        <w:rPr>
          <w:rFonts w:hint="cs"/>
          <w:rtl/>
        </w:rPr>
        <w:t xml:space="preserve">של </w:t>
      </w:r>
      <w:bookmarkStart w:id="4293" w:name="_ETM_Q5_660910"/>
      <w:bookmarkEnd w:id="4293"/>
      <w:r>
        <w:rPr>
          <w:rFonts w:hint="cs"/>
          <w:rtl/>
        </w:rPr>
        <w:t xml:space="preserve">מינוי </w:t>
      </w:r>
      <w:bookmarkStart w:id="4294" w:name="_ETM_Q5_661150"/>
      <w:bookmarkEnd w:id="4294"/>
      <w:r>
        <w:rPr>
          <w:rFonts w:hint="cs"/>
          <w:rtl/>
        </w:rPr>
        <w:t xml:space="preserve">הרבנים </w:t>
      </w:r>
      <w:bookmarkStart w:id="4295" w:name="_ETM_Q5_661540"/>
      <w:bookmarkEnd w:id="4295"/>
      <w:r>
        <w:rPr>
          <w:rFonts w:hint="cs"/>
          <w:rtl/>
        </w:rPr>
        <w:t xml:space="preserve">הראשיים </w:t>
      </w:r>
      <w:bookmarkStart w:id="4296" w:name="_ETM_Q5_662110"/>
      <w:bookmarkEnd w:id="4296"/>
      <w:r>
        <w:rPr>
          <w:rFonts w:hint="cs"/>
          <w:rtl/>
        </w:rPr>
        <w:t xml:space="preserve">והדילים </w:t>
      </w:r>
      <w:bookmarkStart w:id="4297" w:name="_ETM_Q5_662710"/>
      <w:bookmarkEnd w:id="4297"/>
      <w:r>
        <w:rPr>
          <w:rFonts w:hint="cs"/>
          <w:rtl/>
        </w:rPr>
        <w:t xml:space="preserve">שעושים </w:t>
      </w:r>
      <w:bookmarkStart w:id="4298" w:name="_ETM_Q5_663100"/>
      <w:bookmarkEnd w:id="4298"/>
      <w:r>
        <w:rPr>
          <w:rFonts w:hint="cs"/>
          <w:rtl/>
        </w:rPr>
        <w:t xml:space="preserve">מאחורי </w:t>
      </w:r>
      <w:bookmarkStart w:id="4299" w:name="_ETM_Q5_663520"/>
      <w:bookmarkEnd w:id="4299"/>
      <w:r>
        <w:rPr>
          <w:rFonts w:hint="cs"/>
          <w:rtl/>
        </w:rPr>
        <w:t xml:space="preserve">הקלעים; </w:t>
      </w:r>
      <w:bookmarkStart w:id="4300" w:name="_ETM_Q5_663880"/>
      <w:bookmarkEnd w:id="4300"/>
      <w:r>
        <w:rPr>
          <w:rFonts w:hint="cs"/>
          <w:rtl/>
        </w:rPr>
        <w:t xml:space="preserve">אתם </w:t>
      </w:r>
      <w:bookmarkStart w:id="4301" w:name="_ETM_Q5_664030"/>
      <w:bookmarkEnd w:id="4301"/>
      <w:r>
        <w:rPr>
          <w:rFonts w:hint="cs"/>
          <w:rtl/>
        </w:rPr>
        <w:t xml:space="preserve">אומרים </w:t>
      </w:r>
      <w:bookmarkStart w:id="4302" w:name="_ETM_Q5_664270"/>
      <w:bookmarkEnd w:id="4302"/>
      <w:r>
        <w:rPr>
          <w:rFonts w:hint="cs"/>
          <w:rtl/>
        </w:rPr>
        <w:t xml:space="preserve">את </w:t>
      </w:r>
      <w:bookmarkStart w:id="4303" w:name="_ETM_Q5_664330"/>
      <w:bookmarkEnd w:id="4303"/>
      <w:r>
        <w:rPr>
          <w:rFonts w:hint="cs"/>
          <w:rtl/>
        </w:rPr>
        <w:t xml:space="preserve">זה </w:t>
      </w:r>
      <w:bookmarkStart w:id="4304" w:name="_ETM_Q5_664390"/>
      <w:bookmarkEnd w:id="4304"/>
      <w:r>
        <w:rPr>
          <w:rFonts w:hint="cs"/>
          <w:rtl/>
        </w:rPr>
        <w:t xml:space="preserve">בקול </w:t>
      </w:r>
      <w:bookmarkStart w:id="4305" w:name="_ETM_Q5_664660"/>
      <w:bookmarkEnd w:id="4305"/>
      <w:r>
        <w:rPr>
          <w:rFonts w:hint="cs"/>
          <w:rtl/>
        </w:rPr>
        <w:t xml:space="preserve">רם. </w:t>
      </w:r>
      <w:bookmarkStart w:id="4306" w:name="_ETM_Q5_666390"/>
      <w:bookmarkEnd w:id="4306"/>
      <w:r>
        <w:rPr>
          <w:rFonts w:hint="cs"/>
          <w:rtl/>
        </w:rPr>
        <w:t xml:space="preserve">אז </w:t>
      </w:r>
      <w:bookmarkStart w:id="4307" w:name="_ETM_Q5_666510"/>
      <w:bookmarkEnd w:id="4307"/>
      <w:r>
        <w:rPr>
          <w:rFonts w:hint="cs"/>
          <w:rtl/>
        </w:rPr>
        <w:t xml:space="preserve">למה </w:t>
      </w:r>
      <w:bookmarkStart w:id="4308" w:name="_ETM_Q5_666719"/>
      <w:bookmarkEnd w:id="4308"/>
      <w:r>
        <w:rPr>
          <w:rFonts w:hint="cs"/>
          <w:rtl/>
        </w:rPr>
        <w:t xml:space="preserve">אתם </w:t>
      </w:r>
      <w:bookmarkStart w:id="4309" w:name="_ETM_Q5_666870"/>
      <w:bookmarkEnd w:id="4309"/>
      <w:r>
        <w:rPr>
          <w:rFonts w:hint="cs"/>
          <w:rtl/>
        </w:rPr>
        <w:t xml:space="preserve">עושים </w:t>
      </w:r>
      <w:bookmarkStart w:id="4310" w:name="_ETM_Q5_667140"/>
      <w:bookmarkEnd w:id="4310"/>
      <w:r>
        <w:rPr>
          <w:rFonts w:hint="cs"/>
          <w:rtl/>
        </w:rPr>
        <w:t xml:space="preserve">את </w:t>
      </w:r>
      <w:bookmarkStart w:id="4311" w:name="_ETM_Q5_667230"/>
      <w:bookmarkEnd w:id="4311"/>
      <w:r>
        <w:rPr>
          <w:rFonts w:hint="cs"/>
          <w:rtl/>
        </w:rPr>
        <w:t xml:space="preserve">זה? </w:t>
      </w:r>
      <w:bookmarkStart w:id="4312" w:name="_ETM_Q5_668960"/>
      <w:bookmarkEnd w:id="4312"/>
      <w:r>
        <w:rPr>
          <w:rFonts w:hint="cs"/>
          <w:rtl/>
        </w:rPr>
        <w:t xml:space="preserve">כי </w:t>
      </w:r>
      <w:bookmarkStart w:id="4313" w:name="_ETM_Q5_669260"/>
      <w:bookmarkEnd w:id="4313"/>
      <w:r>
        <w:rPr>
          <w:rFonts w:hint="cs"/>
          <w:rtl/>
        </w:rPr>
        <w:t xml:space="preserve">אין </w:t>
      </w:r>
      <w:bookmarkStart w:id="4314" w:name="_ETM_Q5_669380"/>
      <w:bookmarkEnd w:id="4314"/>
      <w:r>
        <w:rPr>
          <w:rFonts w:hint="cs"/>
          <w:rtl/>
        </w:rPr>
        <w:t xml:space="preserve">עכבות, </w:t>
      </w:r>
      <w:bookmarkStart w:id="4315" w:name="_ETM_Q5_671680"/>
      <w:bookmarkEnd w:id="4315"/>
      <w:r>
        <w:rPr>
          <w:rFonts w:hint="cs"/>
          <w:rtl/>
        </w:rPr>
        <w:t xml:space="preserve">כי </w:t>
      </w:r>
      <w:bookmarkStart w:id="4316" w:name="_ETM_Q5_671890"/>
      <w:bookmarkEnd w:id="4316"/>
      <w:r>
        <w:rPr>
          <w:rFonts w:hint="cs"/>
          <w:rtl/>
        </w:rPr>
        <w:t xml:space="preserve">אין </w:t>
      </w:r>
      <w:bookmarkStart w:id="4317" w:name="_ETM_Q5_672040"/>
      <w:bookmarkEnd w:id="4317"/>
      <w:r>
        <w:rPr>
          <w:rFonts w:hint="cs"/>
          <w:rtl/>
        </w:rPr>
        <w:t>עכבות.</w:t>
      </w:r>
    </w:p>
    <w:p w:rsidR="000C5C1F" w:rsidRDefault="000C5C1F" w:rsidP="000C5C1F">
      <w:pPr>
        <w:rPr>
          <w:rtl/>
        </w:rPr>
      </w:pPr>
    </w:p>
    <w:p w:rsidR="000C5C1F" w:rsidRDefault="000C5C1F" w:rsidP="000C5C1F">
      <w:pPr>
        <w:rPr>
          <w:rtl/>
        </w:rPr>
      </w:pPr>
      <w:bookmarkStart w:id="4318" w:name="_ETM_Q5_675000"/>
      <w:bookmarkStart w:id="4319" w:name="_ETM_Q5_674820"/>
      <w:bookmarkEnd w:id="4318"/>
      <w:bookmarkEnd w:id="4319"/>
      <w:r>
        <w:rPr>
          <w:rFonts w:hint="cs"/>
          <w:rtl/>
        </w:rPr>
        <w:t xml:space="preserve">ועילת </w:t>
      </w:r>
      <w:bookmarkStart w:id="4320" w:name="_ETM_Q5_675210"/>
      <w:bookmarkEnd w:id="4320"/>
      <w:r>
        <w:rPr>
          <w:rFonts w:hint="cs"/>
          <w:rtl/>
        </w:rPr>
        <w:t xml:space="preserve">הסבירות, </w:t>
      </w:r>
      <w:bookmarkStart w:id="4321" w:name="_ETM_Q5_675720"/>
      <w:bookmarkStart w:id="4322" w:name="_ETM_Q5_677030"/>
      <w:bookmarkEnd w:id="4321"/>
      <w:bookmarkEnd w:id="4322"/>
      <w:r>
        <w:rPr>
          <w:rFonts w:hint="cs"/>
          <w:rtl/>
        </w:rPr>
        <w:t xml:space="preserve">אותו </w:t>
      </w:r>
      <w:bookmarkStart w:id="4323" w:name="_ETM_Q5_677480"/>
      <w:bookmarkEnd w:id="4323"/>
      <w:r>
        <w:rPr>
          <w:rFonts w:hint="cs"/>
          <w:rtl/>
        </w:rPr>
        <w:t xml:space="preserve">חוק </w:t>
      </w:r>
      <w:bookmarkStart w:id="4324" w:name="_ETM_Q5_677750"/>
      <w:bookmarkEnd w:id="4324"/>
      <w:r>
        <w:rPr>
          <w:rFonts w:hint="cs"/>
          <w:rtl/>
        </w:rPr>
        <w:t>בן ארבע</w:t>
      </w:r>
      <w:bookmarkStart w:id="4325" w:name="_ETM_Q5_678870"/>
      <w:bookmarkEnd w:id="4325"/>
      <w:r>
        <w:rPr>
          <w:rFonts w:hint="cs"/>
          <w:rtl/>
        </w:rPr>
        <w:t xml:space="preserve"> </w:t>
      </w:r>
      <w:bookmarkStart w:id="4326" w:name="_ETM_Q5_679170"/>
      <w:bookmarkEnd w:id="4326"/>
      <w:r>
        <w:rPr>
          <w:rFonts w:hint="cs"/>
          <w:rtl/>
        </w:rPr>
        <w:t xml:space="preserve">שורות </w:t>
      </w:r>
      <w:bookmarkStart w:id="4327" w:name="_ETM_Q5_680829"/>
      <w:bookmarkEnd w:id="4327"/>
      <w:r>
        <w:rPr>
          <w:rFonts w:hint="cs"/>
          <w:rtl/>
        </w:rPr>
        <w:t xml:space="preserve">שככל </w:t>
      </w:r>
      <w:bookmarkStart w:id="4328" w:name="_ETM_Q5_681340"/>
      <w:bookmarkEnd w:id="4328"/>
      <w:r>
        <w:rPr>
          <w:rFonts w:hint="cs"/>
          <w:rtl/>
        </w:rPr>
        <w:t xml:space="preserve">שמנסים </w:t>
      </w:r>
      <w:bookmarkStart w:id="4329" w:name="_ETM_Q5_681849"/>
      <w:bookmarkEnd w:id="4329"/>
      <w:r>
        <w:rPr>
          <w:rFonts w:hint="cs"/>
          <w:rtl/>
        </w:rPr>
        <w:t xml:space="preserve">להקטין </w:t>
      </w:r>
      <w:bookmarkStart w:id="4330" w:name="_ETM_Q5_682299"/>
      <w:bookmarkEnd w:id="4330"/>
      <w:r>
        <w:rPr>
          <w:rFonts w:hint="cs"/>
          <w:rtl/>
        </w:rPr>
        <w:t xml:space="preserve">אותו </w:t>
      </w:r>
      <w:r>
        <w:t>–</w:t>
      </w:r>
      <w:r>
        <w:rPr>
          <w:rFonts w:hint="cs"/>
          <w:rtl/>
        </w:rPr>
        <w:t xml:space="preserve"> </w:t>
      </w:r>
      <w:bookmarkStart w:id="4331" w:name="_ETM_Q5_682569"/>
      <w:bookmarkEnd w:id="4331"/>
      <w:r>
        <w:rPr>
          <w:rFonts w:hint="cs"/>
          <w:rtl/>
        </w:rPr>
        <w:t xml:space="preserve">הרי </w:t>
      </w:r>
      <w:bookmarkStart w:id="4332" w:name="_ETM_Q5_682900"/>
      <w:bookmarkEnd w:id="4332"/>
      <w:r>
        <w:rPr>
          <w:rFonts w:hint="cs"/>
          <w:rtl/>
        </w:rPr>
        <w:t>פ</w:t>
      </w:r>
      <w:bookmarkStart w:id="4333" w:name="_ETM_Q5_683290"/>
      <w:bookmarkEnd w:id="4333"/>
      <w:r>
        <w:rPr>
          <w:rFonts w:hint="cs"/>
          <w:rtl/>
        </w:rPr>
        <w:t xml:space="preserve">ה </w:t>
      </w:r>
      <w:bookmarkStart w:id="4334" w:name="_ETM_Q5_683439"/>
      <w:bookmarkEnd w:id="4334"/>
      <w:r>
        <w:rPr>
          <w:rFonts w:hint="cs"/>
          <w:rtl/>
        </w:rPr>
        <w:t xml:space="preserve">אומרים: מה אתם </w:t>
      </w:r>
      <w:bookmarkStart w:id="4335" w:name="_ETM_Q5_683650"/>
      <w:bookmarkEnd w:id="4335"/>
      <w:r>
        <w:rPr>
          <w:rFonts w:hint="cs"/>
          <w:rtl/>
        </w:rPr>
        <w:t xml:space="preserve">רוצים, </w:t>
      </w:r>
      <w:bookmarkStart w:id="4336" w:name="_ETM_Q5_684040"/>
      <w:bookmarkEnd w:id="4336"/>
      <w:r>
        <w:rPr>
          <w:rFonts w:hint="cs"/>
          <w:rtl/>
        </w:rPr>
        <w:t xml:space="preserve">הכול </w:t>
      </w:r>
      <w:bookmarkStart w:id="4337" w:name="_ETM_Q5_684280"/>
      <w:bookmarkEnd w:id="4337"/>
      <w:r>
        <w:rPr>
          <w:rFonts w:hint="cs"/>
          <w:rtl/>
        </w:rPr>
        <w:t xml:space="preserve">בסדר, </w:t>
      </w:r>
      <w:bookmarkStart w:id="4338" w:name="_ETM_Q5_684700"/>
      <w:bookmarkEnd w:id="4338"/>
      <w:r>
        <w:rPr>
          <w:rFonts w:hint="cs"/>
          <w:rtl/>
        </w:rPr>
        <w:t xml:space="preserve">כולם </w:t>
      </w:r>
      <w:bookmarkStart w:id="4339" w:name="_ETM_Q5_685030"/>
      <w:bookmarkEnd w:id="4339"/>
      <w:r>
        <w:rPr>
          <w:rFonts w:hint="cs"/>
          <w:rtl/>
        </w:rPr>
        <w:t xml:space="preserve">רצו </w:t>
      </w:r>
      <w:r>
        <w:t>–</w:t>
      </w:r>
      <w:r>
        <w:rPr>
          <w:rFonts w:hint="cs"/>
          <w:rtl/>
        </w:rPr>
        <w:t xml:space="preserve"> </w:t>
      </w:r>
      <w:bookmarkStart w:id="4340" w:name="_ETM_Q5_687280"/>
      <w:bookmarkEnd w:id="4340"/>
      <w:r>
        <w:rPr>
          <w:rFonts w:hint="cs"/>
          <w:rtl/>
        </w:rPr>
        <w:t xml:space="preserve">הוא </w:t>
      </w:r>
      <w:bookmarkStart w:id="4341" w:name="_ETM_Q5_687400"/>
      <w:bookmarkEnd w:id="4341"/>
      <w:r>
        <w:rPr>
          <w:rFonts w:hint="cs"/>
          <w:rtl/>
        </w:rPr>
        <w:t xml:space="preserve">הופך </w:t>
      </w:r>
      <w:bookmarkStart w:id="4342" w:name="_ETM_Q5_687700"/>
      <w:bookmarkEnd w:id="4342"/>
      <w:r>
        <w:rPr>
          <w:rFonts w:hint="cs"/>
          <w:rtl/>
        </w:rPr>
        <w:t xml:space="preserve">על </w:t>
      </w:r>
      <w:bookmarkStart w:id="4343" w:name="_ETM_Q5_687790"/>
      <w:bookmarkEnd w:id="4343"/>
      <w:r>
        <w:rPr>
          <w:rFonts w:hint="cs"/>
          <w:rtl/>
        </w:rPr>
        <w:t xml:space="preserve">ראשנו </w:t>
      </w:r>
      <w:bookmarkStart w:id="4344" w:name="_ETM_Q5_688120"/>
      <w:bookmarkEnd w:id="4344"/>
      <w:r>
        <w:rPr>
          <w:rFonts w:hint="cs"/>
          <w:rtl/>
        </w:rPr>
        <w:t xml:space="preserve">את </w:t>
      </w:r>
      <w:bookmarkStart w:id="4345" w:name="_ETM_Q5_688180"/>
      <w:bookmarkEnd w:id="4345"/>
      <w:r>
        <w:rPr>
          <w:rFonts w:hint="cs"/>
          <w:rtl/>
        </w:rPr>
        <w:t xml:space="preserve">התנהלותם </w:t>
      </w:r>
      <w:bookmarkStart w:id="4346" w:name="_ETM_Q5_688630"/>
      <w:bookmarkEnd w:id="4346"/>
      <w:r>
        <w:rPr>
          <w:rFonts w:hint="cs"/>
          <w:rtl/>
        </w:rPr>
        <w:t xml:space="preserve">וכוחם </w:t>
      </w:r>
      <w:bookmarkStart w:id="4347" w:name="_ETM_Q5_689050"/>
      <w:bookmarkEnd w:id="4347"/>
      <w:r>
        <w:rPr>
          <w:rFonts w:hint="cs"/>
          <w:rtl/>
        </w:rPr>
        <w:t xml:space="preserve">של </w:t>
      </w:r>
      <w:bookmarkStart w:id="4348" w:name="_ETM_Q5_689230"/>
      <w:bookmarkEnd w:id="4348"/>
      <w:r>
        <w:rPr>
          <w:rFonts w:hint="cs"/>
          <w:rtl/>
        </w:rPr>
        <w:t xml:space="preserve">שרים. </w:t>
      </w:r>
      <w:bookmarkStart w:id="4349" w:name="_ETM_Q5_690939"/>
      <w:bookmarkEnd w:id="4349"/>
      <w:r>
        <w:rPr>
          <w:rFonts w:hint="cs"/>
          <w:rtl/>
        </w:rPr>
        <w:t xml:space="preserve">יותר </w:t>
      </w:r>
      <w:bookmarkStart w:id="4350" w:name="_ETM_Q5_691540"/>
      <w:bookmarkStart w:id="4351" w:name="_ETM_Q5_691749"/>
      <w:bookmarkEnd w:id="4350"/>
      <w:bookmarkEnd w:id="4351"/>
      <w:r>
        <w:rPr>
          <w:rFonts w:hint="cs"/>
          <w:rtl/>
        </w:rPr>
        <w:t xml:space="preserve">נכון </w:t>
      </w:r>
      <w:bookmarkStart w:id="4352" w:name="_ETM_Q5_692019"/>
      <w:bookmarkEnd w:id="4352"/>
      <w:r>
        <w:rPr>
          <w:rFonts w:hint="cs"/>
          <w:rtl/>
        </w:rPr>
        <w:t xml:space="preserve">לקרוא </w:t>
      </w:r>
      <w:bookmarkStart w:id="4353" w:name="_ETM_Q5_692349"/>
      <w:bookmarkEnd w:id="4353"/>
      <w:r>
        <w:rPr>
          <w:rFonts w:hint="cs"/>
          <w:rtl/>
        </w:rPr>
        <w:t xml:space="preserve">לחוק </w:t>
      </w:r>
      <w:bookmarkStart w:id="4354" w:name="_ETM_Q5_692709"/>
      <w:bookmarkEnd w:id="4354"/>
      <w:r>
        <w:rPr>
          <w:rFonts w:hint="cs"/>
          <w:rtl/>
        </w:rPr>
        <w:t xml:space="preserve">הזה </w:t>
      </w:r>
      <w:bookmarkStart w:id="4355" w:name="_ETM_Q5_692980"/>
      <w:bookmarkEnd w:id="4355"/>
      <w:r>
        <w:rPr>
          <w:rFonts w:hint="cs"/>
          <w:rtl/>
        </w:rPr>
        <w:t xml:space="preserve">בשם </w:t>
      </w:r>
      <w:bookmarkStart w:id="4356" w:name="_ETM_Q5_693309"/>
      <w:bookmarkEnd w:id="4356"/>
      <w:r>
        <w:rPr>
          <w:rFonts w:hint="cs"/>
          <w:rtl/>
        </w:rPr>
        <w:t xml:space="preserve">האמיתי </w:t>
      </w:r>
      <w:bookmarkStart w:id="4357" w:name="_ETM_Q5_693699"/>
      <w:bookmarkEnd w:id="4357"/>
      <w:r>
        <w:rPr>
          <w:rFonts w:hint="cs"/>
          <w:rtl/>
        </w:rPr>
        <w:t>שלו</w:t>
      </w:r>
      <w:bookmarkStart w:id="4358" w:name="_ETM_Q5_694439"/>
      <w:bookmarkEnd w:id="4358"/>
      <w:r>
        <w:rPr>
          <w:rFonts w:hint="cs"/>
          <w:rtl/>
        </w:rPr>
        <w:t xml:space="preserve">: החוק </w:t>
      </w:r>
      <w:bookmarkStart w:id="4359" w:name="_ETM_Q5_694769"/>
      <w:bookmarkEnd w:id="4359"/>
      <w:r>
        <w:rPr>
          <w:rFonts w:hint="cs"/>
          <w:rtl/>
        </w:rPr>
        <w:t xml:space="preserve">לעיגון </w:t>
      </w:r>
      <w:bookmarkStart w:id="4360" w:name="_ETM_Q5_695189"/>
      <w:bookmarkEnd w:id="4360"/>
      <w:r>
        <w:rPr>
          <w:rFonts w:hint="cs"/>
          <w:rtl/>
        </w:rPr>
        <w:t xml:space="preserve">שרירות </w:t>
      </w:r>
      <w:bookmarkStart w:id="4361" w:name="_ETM_Q5_695700"/>
      <w:bookmarkEnd w:id="4361"/>
      <w:r>
        <w:rPr>
          <w:rFonts w:hint="cs"/>
          <w:rtl/>
        </w:rPr>
        <w:t xml:space="preserve">הלב </w:t>
      </w:r>
      <w:bookmarkStart w:id="4362" w:name="_ETM_Q5_696790"/>
      <w:bookmarkEnd w:id="4362"/>
      <w:r>
        <w:rPr>
          <w:rFonts w:hint="cs"/>
          <w:rtl/>
        </w:rPr>
        <w:t xml:space="preserve">וקידום </w:t>
      </w:r>
      <w:bookmarkStart w:id="4363" w:name="_ETM_Q5_697239"/>
      <w:bookmarkEnd w:id="4363"/>
      <w:r>
        <w:rPr>
          <w:rFonts w:hint="cs"/>
          <w:rtl/>
        </w:rPr>
        <w:t xml:space="preserve">השחיתות. </w:t>
      </w:r>
      <w:bookmarkStart w:id="4364" w:name="_ETM_Q5_697870"/>
      <w:bookmarkEnd w:id="4364"/>
      <w:r>
        <w:rPr>
          <w:rFonts w:hint="cs"/>
          <w:rtl/>
        </w:rPr>
        <w:t xml:space="preserve">זה </w:t>
      </w:r>
      <w:bookmarkStart w:id="4365" w:name="_ETM_Q5_698170"/>
      <w:bookmarkEnd w:id="4365"/>
      <w:r>
        <w:rPr>
          <w:rFonts w:hint="cs"/>
          <w:rtl/>
        </w:rPr>
        <w:t xml:space="preserve">בדיוק </w:t>
      </w:r>
      <w:bookmarkStart w:id="4366" w:name="_ETM_Q5_698469"/>
      <w:bookmarkEnd w:id="4366"/>
      <w:r>
        <w:rPr>
          <w:rFonts w:hint="cs"/>
          <w:rtl/>
        </w:rPr>
        <w:t xml:space="preserve">מה </w:t>
      </w:r>
      <w:bookmarkStart w:id="4367" w:name="_ETM_Q5_698620"/>
      <w:bookmarkEnd w:id="4367"/>
      <w:r>
        <w:rPr>
          <w:rFonts w:hint="cs"/>
          <w:rtl/>
        </w:rPr>
        <w:t xml:space="preserve">שהולך </w:t>
      </w:r>
      <w:bookmarkStart w:id="4368" w:name="_ETM_Q5_698860"/>
      <w:bookmarkEnd w:id="4368"/>
      <w:r>
        <w:rPr>
          <w:rFonts w:hint="cs"/>
          <w:rtl/>
        </w:rPr>
        <w:t xml:space="preserve">לקרות </w:t>
      </w:r>
      <w:bookmarkStart w:id="4369" w:name="_ETM_Q5_699069"/>
      <w:bookmarkEnd w:id="4369"/>
      <w:r>
        <w:rPr>
          <w:rFonts w:hint="cs"/>
          <w:rtl/>
        </w:rPr>
        <w:t xml:space="preserve">בחוק </w:t>
      </w:r>
      <w:bookmarkStart w:id="4370" w:name="_ETM_Q5_699370"/>
      <w:bookmarkEnd w:id="4370"/>
      <w:r>
        <w:rPr>
          <w:rFonts w:hint="cs"/>
          <w:rtl/>
        </w:rPr>
        <w:t xml:space="preserve">הזה. </w:t>
      </w:r>
      <w:bookmarkStart w:id="4371" w:name="_ETM_Q5_701830"/>
      <w:bookmarkEnd w:id="4371"/>
      <w:r>
        <w:rPr>
          <w:rFonts w:hint="cs"/>
          <w:rtl/>
        </w:rPr>
        <w:t xml:space="preserve">החוק </w:t>
      </w:r>
      <w:bookmarkStart w:id="4372" w:name="_ETM_Q5_702069"/>
      <w:bookmarkEnd w:id="4372"/>
      <w:r>
        <w:rPr>
          <w:rFonts w:hint="cs"/>
          <w:rtl/>
        </w:rPr>
        <w:t xml:space="preserve">קובע </w:t>
      </w:r>
      <w:bookmarkStart w:id="4373" w:name="_ETM_Q5_702819"/>
      <w:bookmarkEnd w:id="4373"/>
      <w:r>
        <w:rPr>
          <w:rFonts w:hint="cs"/>
          <w:rtl/>
        </w:rPr>
        <w:t xml:space="preserve">שבית </w:t>
      </w:r>
      <w:bookmarkStart w:id="4374" w:name="_ETM_Q5_703150"/>
      <w:bookmarkEnd w:id="4374"/>
      <w:r>
        <w:rPr>
          <w:rFonts w:hint="cs"/>
          <w:rtl/>
        </w:rPr>
        <w:t xml:space="preserve">המשפט </w:t>
      </w:r>
      <w:bookmarkStart w:id="4375" w:name="_ETM_Q5_703480"/>
      <w:bookmarkEnd w:id="4375"/>
      <w:r>
        <w:rPr>
          <w:rFonts w:hint="cs"/>
          <w:rtl/>
        </w:rPr>
        <w:t xml:space="preserve">העליון, </w:t>
      </w:r>
      <w:bookmarkStart w:id="4376" w:name="_ETM_Q5_704370"/>
      <w:bookmarkEnd w:id="4376"/>
      <w:r>
        <w:rPr>
          <w:rFonts w:hint="cs"/>
          <w:rtl/>
        </w:rPr>
        <w:t xml:space="preserve">לא </w:t>
      </w:r>
      <w:bookmarkStart w:id="4377" w:name="_ETM_Q5_704549"/>
      <w:bookmarkEnd w:id="4377"/>
      <w:r>
        <w:rPr>
          <w:rFonts w:hint="cs"/>
          <w:rtl/>
        </w:rPr>
        <w:t xml:space="preserve">רק </w:t>
      </w:r>
      <w:bookmarkStart w:id="4378" w:name="_ETM_Q5_704700"/>
      <w:bookmarkEnd w:id="4378"/>
      <w:r>
        <w:rPr>
          <w:rFonts w:hint="cs"/>
          <w:rtl/>
        </w:rPr>
        <w:t xml:space="preserve">שהוא לא </w:t>
      </w:r>
      <w:bookmarkStart w:id="4379" w:name="_ETM_Q5_705029"/>
      <w:bookmarkEnd w:id="4379"/>
      <w:r>
        <w:rPr>
          <w:rFonts w:hint="cs"/>
          <w:rtl/>
        </w:rPr>
        <w:t xml:space="preserve">יוכל, אלא יהיה </w:t>
      </w:r>
      <w:bookmarkStart w:id="4380" w:name="_ETM_Q5_705269"/>
      <w:bookmarkEnd w:id="4380"/>
      <w:r>
        <w:rPr>
          <w:rFonts w:hint="cs"/>
          <w:rtl/>
        </w:rPr>
        <w:t xml:space="preserve">אסור </w:t>
      </w:r>
      <w:bookmarkStart w:id="4381" w:name="_ETM_Q5_705629"/>
      <w:bookmarkEnd w:id="4381"/>
      <w:r>
        <w:rPr>
          <w:rFonts w:hint="cs"/>
          <w:rtl/>
        </w:rPr>
        <w:t xml:space="preserve">עליו </w:t>
      </w:r>
      <w:bookmarkStart w:id="4382" w:name="_ETM_Q5_705900"/>
      <w:bookmarkEnd w:id="4382"/>
      <w:r>
        <w:rPr>
          <w:rFonts w:hint="cs"/>
          <w:rtl/>
        </w:rPr>
        <w:t xml:space="preserve">לדון </w:t>
      </w:r>
      <w:bookmarkStart w:id="4383" w:name="_ETM_Q5_706260"/>
      <w:bookmarkEnd w:id="4383"/>
      <w:r>
        <w:rPr>
          <w:rFonts w:hint="cs"/>
          <w:rtl/>
        </w:rPr>
        <w:t xml:space="preserve">בעניין </w:t>
      </w:r>
      <w:bookmarkStart w:id="4384" w:name="_ETM_Q5_706590"/>
      <w:bookmarkEnd w:id="4384"/>
      <w:r>
        <w:rPr>
          <w:rFonts w:hint="cs"/>
          <w:rtl/>
        </w:rPr>
        <w:t xml:space="preserve">סבירות </w:t>
      </w:r>
      <w:bookmarkStart w:id="4385" w:name="_ETM_Q5_707010"/>
      <w:bookmarkEnd w:id="4385"/>
      <w:r>
        <w:rPr>
          <w:rFonts w:hint="cs"/>
          <w:rtl/>
        </w:rPr>
        <w:t xml:space="preserve">ההחלטה </w:t>
      </w:r>
      <w:bookmarkStart w:id="4386" w:name="_ETM_Q5_707669"/>
      <w:bookmarkEnd w:id="4386"/>
      <w:r>
        <w:rPr>
          <w:rFonts w:hint="cs"/>
          <w:rtl/>
        </w:rPr>
        <w:t xml:space="preserve">של </w:t>
      </w:r>
      <w:bookmarkStart w:id="4387" w:name="_ETM_Q5_707909"/>
      <w:bookmarkEnd w:id="4387"/>
      <w:r>
        <w:rPr>
          <w:rFonts w:hint="cs"/>
          <w:rtl/>
        </w:rPr>
        <w:t xml:space="preserve">ממשלה, </w:t>
      </w:r>
      <w:bookmarkStart w:id="4388" w:name="_ETM_Q5_708419"/>
      <w:bookmarkEnd w:id="4388"/>
      <w:r>
        <w:rPr>
          <w:rFonts w:hint="cs"/>
          <w:rtl/>
        </w:rPr>
        <w:t xml:space="preserve">של </w:t>
      </w:r>
      <w:bookmarkStart w:id="4389" w:name="_ETM_Q5_708599"/>
      <w:bookmarkEnd w:id="4389"/>
      <w:r>
        <w:rPr>
          <w:rFonts w:hint="cs"/>
          <w:rtl/>
        </w:rPr>
        <w:t xml:space="preserve">ראש </w:t>
      </w:r>
      <w:bookmarkStart w:id="4390" w:name="_ETM_Q5_708779"/>
      <w:bookmarkEnd w:id="4390"/>
      <w:r>
        <w:rPr>
          <w:rFonts w:hint="cs"/>
          <w:rtl/>
        </w:rPr>
        <w:t xml:space="preserve">ממשלה </w:t>
      </w:r>
      <w:bookmarkStart w:id="4391" w:name="_ETM_Q5_709230"/>
      <w:bookmarkEnd w:id="4391"/>
      <w:r>
        <w:rPr>
          <w:rFonts w:hint="cs"/>
          <w:rtl/>
        </w:rPr>
        <w:t xml:space="preserve">או של </w:t>
      </w:r>
      <w:bookmarkStart w:id="4392" w:name="_ETM_Q5_709379"/>
      <w:bookmarkEnd w:id="4392"/>
      <w:r>
        <w:rPr>
          <w:rFonts w:hint="cs"/>
          <w:rtl/>
        </w:rPr>
        <w:t xml:space="preserve">שר </w:t>
      </w:r>
      <w:bookmarkStart w:id="4393" w:name="_ETM_Q5_709620"/>
      <w:bookmarkEnd w:id="4393"/>
      <w:r>
        <w:rPr>
          <w:rFonts w:hint="cs"/>
          <w:rtl/>
        </w:rPr>
        <w:t xml:space="preserve">אחר </w:t>
      </w:r>
      <w:bookmarkStart w:id="4394" w:name="_ETM_Q5_710249"/>
      <w:bookmarkEnd w:id="4394"/>
      <w:r>
        <w:rPr>
          <w:rFonts w:hint="cs"/>
          <w:rtl/>
        </w:rPr>
        <w:t xml:space="preserve">– כל </w:t>
      </w:r>
      <w:bookmarkStart w:id="4395" w:name="_ETM_Q5_710489"/>
      <w:bookmarkEnd w:id="4395"/>
      <w:r>
        <w:rPr>
          <w:rFonts w:hint="cs"/>
          <w:rtl/>
        </w:rPr>
        <w:t xml:space="preserve">החלטה, </w:t>
      </w:r>
      <w:bookmarkStart w:id="4396" w:name="_ETM_Q5_710849"/>
      <w:bookmarkEnd w:id="4396"/>
      <w:r>
        <w:rPr>
          <w:rFonts w:hint="cs"/>
          <w:rtl/>
        </w:rPr>
        <w:t xml:space="preserve">לרבות </w:t>
      </w:r>
      <w:bookmarkStart w:id="4397" w:name="_ETM_Q5_711209"/>
      <w:bookmarkEnd w:id="4397"/>
      <w:r>
        <w:rPr>
          <w:rFonts w:hint="cs"/>
          <w:rtl/>
        </w:rPr>
        <w:t xml:space="preserve">בענייני </w:t>
      </w:r>
      <w:bookmarkStart w:id="4398" w:name="_ETM_Q5_711569"/>
      <w:bookmarkEnd w:id="4398"/>
      <w:r>
        <w:rPr>
          <w:rFonts w:hint="cs"/>
          <w:rtl/>
        </w:rPr>
        <w:t xml:space="preserve">מינויים </w:t>
      </w:r>
      <w:bookmarkStart w:id="4399" w:name="_ETM_Q5_712169"/>
      <w:bookmarkEnd w:id="4399"/>
      <w:r>
        <w:rPr>
          <w:rFonts w:hint="cs"/>
          <w:rtl/>
        </w:rPr>
        <w:t xml:space="preserve">או </w:t>
      </w:r>
      <w:bookmarkStart w:id="4400" w:name="_ETM_Q5_712230"/>
      <w:bookmarkEnd w:id="4400"/>
      <w:r>
        <w:rPr>
          <w:rFonts w:hint="cs"/>
          <w:rtl/>
        </w:rPr>
        <w:t xml:space="preserve">החלטה </w:t>
      </w:r>
      <w:bookmarkStart w:id="4401" w:name="_ETM_Q5_712590"/>
      <w:bookmarkEnd w:id="4401"/>
      <w:r>
        <w:rPr>
          <w:rFonts w:hint="cs"/>
          <w:rtl/>
        </w:rPr>
        <w:t xml:space="preserve">להימנע </w:t>
      </w:r>
      <w:bookmarkStart w:id="4402" w:name="_ETM_Q5_712980"/>
      <w:bookmarkEnd w:id="4402"/>
      <w:r>
        <w:rPr>
          <w:rFonts w:hint="cs"/>
          <w:rtl/>
        </w:rPr>
        <w:t xml:space="preserve">מהפעלת </w:t>
      </w:r>
      <w:bookmarkStart w:id="4403" w:name="_ETM_Q5_713429"/>
      <w:bookmarkEnd w:id="4403"/>
      <w:r>
        <w:rPr>
          <w:rFonts w:hint="cs"/>
          <w:rtl/>
        </w:rPr>
        <w:t xml:space="preserve">כל </w:t>
      </w:r>
      <w:bookmarkStart w:id="4404" w:name="_ETM_Q5_713609"/>
      <w:bookmarkEnd w:id="4404"/>
      <w:r>
        <w:rPr>
          <w:rFonts w:hint="cs"/>
          <w:rtl/>
        </w:rPr>
        <w:t xml:space="preserve">סמכות. </w:t>
      </w:r>
      <w:bookmarkStart w:id="4405" w:name="_ETM_Q5_714450"/>
      <w:bookmarkEnd w:id="4405"/>
    </w:p>
    <w:p w:rsidR="000C5C1F" w:rsidRDefault="000C5C1F" w:rsidP="000C5C1F">
      <w:pPr>
        <w:rPr>
          <w:rtl/>
        </w:rPr>
      </w:pPr>
    </w:p>
    <w:p w:rsidR="000C5C1F" w:rsidRDefault="000C5C1F" w:rsidP="000C5C1F">
      <w:pPr>
        <w:rPr>
          <w:rtl/>
        </w:rPr>
      </w:pPr>
      <w:bookmarkStart w:id="4406" w:name="_ETM_Q5_712000"/>
      <w:bookmarkEnd w:id="4406"/>
      <w:r>
        <w:rPr>
          <w:rFonts w:hint="cs"/>
          <w:rtl/>
        </w:rPr>
        <w:t xml:space="preserve">בדרך </w:t>
      </w:r>
      <w:bookmarkStart w:id="4407" w:name="_ETM_Q5_715169"/>
      <w:bookmarkStart w:id="4408" w:name="_ETM_Q5_715529"/>
      <w:bookmarkEnd w:id="4407"/>
      <w:bookmarkEnd w:id="4408"/>
      <w:r>
        <w:rPr>
          <w:rFonts w:hint="cs"/>
          <w:rtl/>
        </w:rPr>
        <w:t xml:space="preserve">כלל </w:t>
      </w:r>
      <w:bookmarkStart w:id="4409" w:name="_ETM_Q5_715799"/>
      <w:bookmarkEnd w:id="4409"/>
      <w:r>
        <w:rPr>
          <w:rFonts w:hint="cs"/>
          <w:rtl/>
        </w:rPr>
        <w:t xml:space="preserve">חקיקה </w:t>
      </w:r>
      <w:bookmarkStart w:id="4410" w:name="_ETM_Q5_716219"/>
      <w:bookmarkEnd w:id="4410"/>
      <w:r>
        <w:rPr>
          <w:rFonts w:hint="cs"/>
          <w:rtl/>
        </w:rPr>
        <w:t xml:space="preserve">מנותקת </w:t>
      </w:r>
      <w:bookmarkStart w:id="4411" w:name="_ETM_Q5_716790"/>
      <w:bookmarkEnd w:id="4411"/>
      <w:r>
        <w:rPr>
          <w:rFonts w:hint="cs"/>
          <w:rtl/>
        </w:rPr>
        <w:t xml:space="preserve">מהדמויות. </w:t>
      </w:r>
      <w:bookmarkStart w:id="4412" w:name="_ETM_Q5_717609"/>
      <w:bookmarkEnd w:id="4412"/>
      <w:r>
        <w:rPr>
          <w:rFonts w:hint="cs"/>
          <w:rtl/>
        </w:rPr>
        <w:t xml:space="preserve">בדרך </w:t>
      </w:r>
      <w:bookmarkStart w:id="4413" w:name="_ETM_Q5_717969"/>
      <w:bookmarkEnd w:id="4413"/>
      <w:r>
        <w:rPr>
          <w:rFonts w:hint="cs"/>
          <w:rtl/>
        </w:rPr>
        <w:t xml:space="preserve">כלל היא </w:t>
      </w:r>
      <w:bookmarkStart w:id="4414" w:name="_ETM_Q5_718089"/>
      <w:bookmarkEnd w:id="4414"/>
      <w:r>
        <w:rPr>
          <w:rFonts w:hint="cs"/>
          <w:rtl/>
        </w:rPr>
        <w:t>מנותקת</w:t>
      </w:r>
      <w:bookmarkStart w:id="4415" w:name="_ETM_Q5_718629"/>
      <w:bookmarkEnd w:id="4415"/>
      <w:r>
        <w:rPr>
          <w:rFonts w:hint="cs"/>
          <w:rtl/>
        </w:rPr>
        <w:t xml:space="preserve">. יש </w:t>
      </w:r>
      <w:bookmarkStart w:id="4416" w:name="_ETM_Q5_718929"/>
      <w:bookmarkEnd w:id="4416"/>
      <w:r>
        <w:rPr>
          <w:rFonts w:hint="cs"/>
          <w:rtl/>
        </w:rPr>
        <w:t xml:space="preserve">כבר חקיקה, </w:t>
      </w:r>
      <w:bookmarkStart w:id="4417" w:name="_ETM_Q5_719709"/>
      <w:bookmarkEnd w:id="4417"/>
      <w:r>
        <w:rPr>
          <w:rFonts w:hint="cs"/>
          <w:rtl/>
        </w:rPr>
        <w:t xml:space="preserve">אנחנו </w:t>
      </w:r>
      <w:bookmarkStart w:id="4418" w:name="_ETM_Q5_719949"/>
      <w:bookmarkEnd w:id="4418"/>
      <w:r>
        <w:rPr>
          <w:rFonts w:hint="cs"/>
          <w:rtl/>
        </w:rPr>
        <w:t xml:space="preserve">מדברים </w:t>
      </w:r>
      <w:bookmarkStart w:id="4419" w:name="_ETM_Q5_720429"/>
      <w:bookmarkEnd w:id="4419"/>
      <w:r>
        <w:rPr>
          <w:rFonts w:hint="cs"/>
          <w:rtl/>
        </w:rPr>
        <w:t xml:space="preserve">והדברים </w:t>
      </w:r>
      <w:bookmarkStart w:id="4420" w:name="_ETM_Q5_721059"/>
      <w:bookmarkEnd w:id="4420"/>
      <w:r>
        <w:rPr>
          <w:rFonts w:hint="cs"/>
          <w:rtl/>
        </w:rPr>
        <w:t xml:space="preserve">הם </w:t>
      </w:r>
      <w:bookmarkStart w:id="4421" w:name="_ETM_Q5_721329"/>
      <w:bookmarkEnd w:id="4421"/>
      <w:r>
        <w:rPr>
          <w:rFonts w:hint="cs"/>
          <w:rtl/>
        </w:rPr>
        <w:t xml:space="preserve">ברמה </w:t>
      </w:r>
      <w:bookmarkStart w:id="4422" w:name="_ETM_Q5_721749"/>
      <w:bookmarkEnd w:id="4422"/>
      <w:r>
        <w:rPr>
          <w:rFonts w:hint="cs"/>
          <w:rtl/>
        </w:rPr>
        <w:t xml:space="preserve">התיאורטית. </w:t>
      </w:r>
      <w:bookmarkStart w:id="4423" w:name="_ETM_Q5_722349"/>
      <w:bookmarkEnd w:id="4423"/>
      <w:r>
        <w:rPr>
          <w:rFonts w:hint="cs"/>
          <w:rtl/>
        </w:rPr>
        <w:t xml:space="preserve">יש </w:t>
      </w:r>
      <w:bookmarkStart w:id="4424" w:name="_ETM_Q5_722529"/>
      <w:bookmarkEnd w:id="4424"/>
      <w:r>
        <w:rPr>
          <w:rFonts w:hint="cs"/>
          <w:rtl/>
        </w:rPr>
        <w:t xml:space="preserve">תמיד </w:t>
      </w:r>
      <w:bookmarkStart w:id="4425" w:name="_ETM_Q5_722769"/>
      <w:bookmarkEnd w:id="4425"/>
      <w:r>
        <w:rPr>
          <w:rFonts w:hint="cs"/>
          <w:rtl/>
        </w:rPr>
        <w:t xml:space="preserve">מי </w:t>
      </w:r>
      <w:bookmarkStart w:id="4426" w:name="_ETM_Q5_722889"/>
      <w:bookmarkEnd w:id="4426"/>
      <w:r>
        <w:rPr>
          <w:rFonts w:hint="cs"/>
          <w:rtl/>
        </w:rPr>
        <w:t>ש</w:t>
      </w:r>
      <w:bookmarkStart w:id="4427" w:name="_ETM_Q5_723189"/>
      <w:bookmarkEnd w:id="4427"/>
      <w:r>
        <w:rPr>
          <w:rFonts w:hint="cs"/>
          <w:rtl/>
        </w:rPr>
        <w:t xml:space="preserve">מציע, </w:t>
      </w:r>
      <w:bookmarkStart w:id="4428" w:name="_ETM_Q5_723760"/>
      <w:bookmarkEnd w:id="4428"/>
      <w:r>
        <w:rPr>
          <w:rFonts w:hint="cs"/>
          <w:rtl/>
        </w:rPr>
        <w:t xml:space="preserve">אבל </w:t>
      </w:r>
      <w:bookmarkStart w:id="4429" w:name="_ETM_Q5_724029"/>
      <w:bookmarkEnd w:id="4429"/>
      <w:r>
        <w:rPr>
          <w:rFonts w:hint="cs"/>
          <w:rtl/>
        </w:rPr>
        <w:t xml:space="preserve">זה </w:t>
      </w:r>
      <w:bookmarkStart w:id="4430" w:name="_ETM_Q5_724150"/>
      <w:bookmarkEnd w:id="4430"/>
      <w:r>
        <w:rPr>
          <w:rFonts w:hint="cs"/>
          <w:rtl/>
        </w:rPr>
        <w:t xml:space="preserve">תיאורטי. </w:t>
      </w:r>
      <w:bookmarkStart w:id="4431" w:name="_ETM_Q5_726209"/>
      <w:bookmarkEnd w:id="4431"/>
      <w:r>
        <w:rPr>
          <w:rFonts w:hint="cs"/>
          <w:rtl/>
        </w:rPr>
        <w:t xml:space="preserve">אבל </w:t>
      </w:r>
      <w:bookmarkStart w:id="4432" w:name="_ETM_Q5_726419"/>
      <w:bookmarkEnd w:id="4432"/>
      <w:r>
        <w:rPr>
          <w:rFonts w:hint="cs"/>
          <w:rtl/>
        </w:rPr>
        <w:t>באמת</w:t>
      </w:r>
      <w:bookmarkStart w:id="4433" w:name="_ETM_Q5_726689"/>
      <w:bookmarkEnd w:id="4433"/>
      <w:r>
        <w:rPr>
          <w:rFonts w:hint="cs"/>
          <w:rtl/>
        </w:rPr>
        <w:t xml:space="preserve">, בממשלה </w:t>
      </w:r>
      <w:bookmarkStart w:id="4434" w:name="_ETM_Q5_727109"/>
      <w:bookmarkEnd w:id="4434"/>
      <w:r>
        <w:rPr>
          <w:rFonts w:hint="cs"/>
          <w:rtl/>
        </w:rPr>
        <w:t>הבאמת</w:t>
      </w:r>
      <w:bookmarkStart w:id="4435" w:name="_ETM_Q5_727409"/>
      <w:bookmarkEnd w:id="4435"/>
      <w:r>
        <w:rPr>
          <w:rFonts w:hint="cs"/>
          <w:rtl/>
        </w:rPr>
        <w:t xml:space="preserve">-מופרעת </w:t>
      </w:r>
      <w:bookmarkStart w:id="4436" w:name="_ETM_Q5_727980"/>
      <w:bookmarkEnd w:id="4436"/>
      <w:r>
        <w:rPr>
          <w:rFonts w:hint="cs"/>
          <w:rtl/>
        </w:rPr>
        <w:t xml:space="preserve">הזאת </w:t>
      </w:r>
      <w:bookmarkStart w:id="4437" w:name="_ETM_Q5_729160"/>
      <w:bookmarkEnd w:id="4437"/>
      <w:r>
        <w:rPr>
          <w:rFonts w:hint="cs"/>
          <w:rtl/>
        </w:rPr>
        <w:t xml:space="preserve">תיקון </w:t>
      </w:r>
      <w:bookmarkStart w:id="4438" w:name="_ETM_Q5_729580"/>
      <w:bookmarkEnd w:id="4438"/>
      <w:r>
        <w:rPr>
          <w:rFonts w:hint="cs"/>
          <w:rtl/>
        </w:rPr>
        <w:t xml:space="preserve">החקיקה </w:t>
      </w:r>
      <w:bookmarkStart w:id="4439" w:name="_ETM_Q5_730059"/>
      <w:bookmarkEnd w:id="4439"/>
      <w:r>
        <w:rPr>
          <w:rFonts w:hint="cs"/>
          <w:rtl/>
        </w:rPr>
        <w:t xml:space="preserve">אינו </w:t>
      </w:r>
      <w:bookmarkStart w:id="4440" w:name="_ETM_Q5_730270"/>
      <w:bookmarkEnd w:id="4440"/>
      <w:r>
        <w:rPr>
          <w:rFonts w:hint="cs"/>
          <w:rtl/>
        </w:rPr>
        <w:t xml:space="preserve">תיאורטי. </w:t>
      </w:r>
      <w:bookmarkStart w:id="4441" w:name="_ETM_Q5_731890"/>
      <w:bookmarkEnd w:id="4441"/>
      <w:r>
        <w:rPr>
          <w:rFonts w:hint="cs"/>
          <w:rtl/>
        </w:rPr>
        <w:t xml:space="preserve">די </w:t>
      </w:r>
      <w:bookmarkStart w:id="4442" w:name="_ETM_Q5_732190"/>
      <w:bookmarkEnd w:id="4442"/>
      <w:r>
        <w:rPr>
          <w:rFonts w:hint="cs"/>
          <w:rtl/>
        </w:rPr>
        <w:t xml:space="preserve">להקשיב </w:t>
      </w:r>
      <w:bookmarkStart w:id="4443" w:name="_ETM_Q5_733400"/>
      <w:bookmarkEnd w:id="4443"/>
      <w:r>
        <w:rPr>
          <w:rFonts w:hint="cs"/>
          <w:rtl/>
        </w:rPr>
        <w:t xml:space="preserve">למה </w:t>
      </w:r>
      <w:bookmarkStart w:id="4444" w:name="_ETM_Q5_734059"/>
      <w:bookmarkEnd w:id="4444"/>
      <w:r>
        <w:rPr>
          <w:rFonts w:hint="cs"/>
          <w:rtl/>
        </w:rPr>
        <w:t xml:space="preserve">ששרי </w:t>
      </w:r>
      <w:bookmarkStart w:id="4445" w:name="_ETM_Q5_734599"/>
      <w:bookmarkEnd w:id="4445"/>
      <w:r>
        <w:rPr>
          <w:rFonts w:hint="cs"/>
          <w:rtl/>
        </w:rPr>
        <w:t xml:space="preserve">הממשלה </w:t>
      </w:r>
      <w:bookmarkStart w:id="4446" w:name="_ETM_Q5_735109"/>
      <w:bookmarkEnd w:id="4446"/>
      <w:r>
        <w:rPr>
          <w:rFonts w:hint="cs"/>
          <w:rtl/>
        </w:rPr>
        <w:t xml:space="preserve">אומרים, לקט קטן. </w:t>
      </w:r>
      <w:bookmarkStart w:id="4447" w:name="_ETM_Q5_735000"/>
      <w:bookmarkStart w:id="4448" w:name="_ETM_Q5_736070"/>
      <w:bookmarkStart w:id="4449" w:name="_ETM_Q5_736550"/>
      <w:bookmarkStart w:id="4450" w:name="_ETM_Q5_737620"/>
      <w:bookmarkEnd w:id="4447"/>
      <w:bookmarkEnd w:id="4448"/>
      <w:bookmarkEnd w:id="4449"/>
      <w:bookmarkEnd w:id="4450"/>
      <w:r>
        <w:rPr>
          <w:rFonts w:hint="cs"/>
          <w:rtl/>
        </w:rPr>
        <w:t xml:space="preserve">השר </w:t>
      </w:r>
      <w:bookmarkStart w:id="4451" w:name="_ETM_Q5_737950"/>
      <w:bookmarkEnd w:id="4451"/>
      <w:r>
        <w:rPr>
          <w:rFonts w:hint="cs"/>
          <w:rtl/>
        </w:rPr>
        <w:t xml:space="preserve">אמסלם </w:t>
      </w:r>
      <w:bookmarkStart w:id="4452" w:name="_ETM_Q5_739520"/>
      <w:bookmarkEnd w:id="4452"/>
      <w:r>
        <w:rPr>
          <w:rFonts w:hint="cs"/>
          <w:rtl/>
        </w:rPr>
        <w:t xml:space="preserve">נגד </w:t>
      </w:r>
      <w:bookmarkStart w:id="4453" w:name="_ETM_Q5_739850"/>
      <w:bookmarkEnd w:id="4453"/>
      <w:r>
        <w:rPr>
          <w:rFonts w:hint="cs"/>
          <w:rtl/>
        </w:rPr>
        <w:t xml:space="preserve">היועצת </w:t>
      </w:r>
      <w:bookmarkStart w:id="4454" w:name="_ETM_Q5_740059"/>
      <w:bookmarkEnd w:id="4454"/>
      <w:r>
        <w:rPr>
          <w:rFonts w:hint="cs"/>
          <w:rtl/>
        </w:rPr>
        <w:t xml:space="preserve">המשפטית </w:t>
      </w:r>
      <w:bookmarkStart w:id="4455" w:name="_ETM_Q5_740419"/>
      <w:bookmarkEnd w:id="4455"/>
      <w:r>
        <w:rPr>
          <w:rFonts w:hint="cs"/>
          <w:rtl/>
        </w:rPr>
        <w:t xml:space="preserve">לממשלה: </w:t>
      </w:r>
      <w:bookmarkStart w:id="4456" w:name="_ETM_Q5_741320"/>
      <w:bookmarkEnd w:id="4456"/>
      <w:r>
        <w:rPr>
          <w:rFonts w:hint="cs"/>
          <w:rtl/>
        </w:rPr>
        <w:t xml:space="preserve">היא </w:t>
      </w:r>
      <w:bookmarkStart w:id="4457" w:name="_ETM_Q5_741470"/>
      <w:bookmarkEnd w:id="4457"/>
      <w:r>
        <w:rPr>
          <w:rFonts w:hint="cs"/>
          <w:rtl/>
        </w:rPr>
        <w:t xml:space="preserve">האדם </w:t>
      </w:r>
      <w:bookmarkStart w:id="4458" w:name="_ETM_Q5_741800"/>
      <w:bookmarkEnd w:id="4458"/>
      <w:r>
        <w:rPr>
          <w:rFonts w:hint="cs"/>
          <w:rtl/>
        </w:rPr>
        <w:t xml:space="preserve">הכי </w:t>
      </w:r>
      <w:bookmarkStart w:id="4459" w:name="_ETM_Q5_741980"/>
      <w:bookmarkEnd w:id="4459"/>
      <w:r>
        <w:rPr>
          <w:rFonts w:hint="cs"/>
          <w:rtl/>
        </w:rPr>
        <w:t xml:space="preserve">מסוכן </w:t>
      </w:r>
      <w:bookmarkStart w:id="4460" w:name="_ETM_Q5_742400"/>
      <w:bookmarkEnd w:id="4460"/>
      <w:r>
        <w:rPr>
          <w:rFonts w:hint="cs"/>
          <w:rtl/>
        </w:rPr>
        <w:t xml:space="preserve">במדינת </w:t>
      </w:r>
      <w:bookmarkStart w:id="4461" w:name="_ETM_Q5_742790"/>
      <w:bookmarkEnd w:id="4461"/>
      <w:r>
        <w:rPr>
          <w:rFonts w:hint="cs"/>
          <w:rtl/>
        </w:rPr>
        <w:t xml:space="preserve">ישראל. </w:t>
      </w:r>
      <w:bookmarkStart w:id="4462" w:name="_ETM_Q5_744050"/>
      <w:bookmarkEnd w:id="4462"/>
      <w:r>
        <w:rPr>
          <w:rFonts w:hint="cs"/>
          <w:rtl/>
        </w:rPr>
        <w:t xml:space="preserve">השר עמיחי שיקלי, הגאון התורן, </w:t>
      </w:r>
      <w:bookmarkStart w:id="4463" w:name="_ETM_Q5_744380"/>
      <w:bookmarkStart w:id="4464" w:name="_ETM_Q5_744470"/>
      <w:bookmarkStart w:id="4465" w:name="_ETM_Q5_744770"/>
      <w:bookmarkStart w:id="4466" w:name="_ETM_Q5_745010"/>
      <w:bookmarkStart w:id="4467" w:name="_ETM_Q5_746690"/>
      <w:bookmarkStart w:id="4468" w:name="_ETM_Q5_747620"/>
      <w:bookmarkEnd w:id="4463"/>
      <w:bookmarkEnd w:id="4464"/>
      <w:bookmarkEnd w:id="4465"/>
      <w:bookmarkEnd w:id="4466"/>
      <w:bookmarkEnd w:id="4467"/>
      <w:bookmarkEnd w:id="4468"/>
      <w:r>
        <w:rPr>
          <w:rFonts w:hint="cs"/>
          <w:rtl/>
        </w:rPr>
        <w:t xml:space="preserve">נגד </w:t>
      </w:r>
      <w:bookmarkStart w:id="4469" w:name="_ETM_Q5_747950"/>
      <w:bookmarkEnd w:id="4469"/>
      <w:r>
        <w:rPr>
          <w:rFonts w:hint="cs"/>
          <w:rtl/>
        </w:rPr>
        <w:t xml:space="preserve">ניצב </w:t>
      </w:r>
      <w:bookmarkStart w:id="4470" w:name="_ETM_Q5_748280"/>
      <w:bookmarkEnd w:id="4470"/>
      <w:r>
        <w:rPr>
          <w:rFonts w:hint="cs"/>
          <w:rtl/>
        </w:rPr>
        <w:t xml:space="preserve">עמי </w:t>
      </w:r>
      <w:bookmarkStart w:id="4471" w:name="_ETM_Q5_748490"/>
      <w:bookmarkEnd w:id="4471"/>
      <w:r>
        <w:rPr>
          <w:rFonts w:hint="cs"/>
          <w:rtl/>
        </w:rPr>
        <w:t xml:space="preserve">אשד: </w:t>
      </w:r>
      <w:bookmarkStart w:id="4472" w:name="_ETM_Q5_749000"/>
      <w:bookmarkEnd w:id="4472"/>
      <w:r>
        <w:rPr>
          <w:rFonts w:hint="cs"/>
          <w:rtl/>
        </w:rPr>
        <w:t xml:space="preserve">הוא </w:t>
      </w:r>
      <w:bookmarkStart w:id="4473" w:name="_ETM_Q5_749120"/>
      <w:bookmarkEnd w:id="4473"/>
      <w:r>
        <w:rPr>
          <w:rFonts w:hint="cs"/>
          <w:rtl/>
        </w:rPr>
        <w:t xml:space="preserve">קצין </w:t>
      </w:r>
      <w:bookmarkStart w:id="4474" w:name="_ETM_Q5_749480"/>
      <w:bookmarkEnd w:id="4474"/>
      <w:r>
        <w:rPr>
          <w:rFonts w:hint="cs"/>
          <w:rtl/>
        </w:rPr>
        <w:t xml:space="preserve">סורר </w:t>
      </w:r>
      <w:bookmarkStart w:id="4475" w:name="_ETM_Q5_749900"/>
      <w:bookmarkEnd w:id="4475"/>
      <w:r>
        <w:rPr>
          <w:rFonts w:hint="cs"/>
          <w:rtl/>
        </w:rPr>
        <w:t xml:space="preserve">שמועל </w:t>
      </w:r>
      <w:bookmarkStart w:id="4476" w:name="_ETM_Q5_750260"/>
      <w:bookmarkEnd w:id="4476"/>
      <w:r>
        <w:rPr>
          <w:rFonts w:hint="cs"/>
          <w:rtl/>
        </w:rPr>
        <w:t xml:space="preserve">בתפקידו </w:t>
      </w:r>
      <w:bookmarkStart w:id="4477" w:name="_ETM_Q5_750770"/>
      <w:bookmarkEnd w:id="4477"/>
      <w:r>
        <w:rPr>
          <w:rFonts w:hint="cs"/>
          <w:rtl/>
        </w:rPr>
        <w:t xml:space="preserve">ומחבל </w:t>
      </w:r>
      <w:bookmarkStart w:id="4478" w:name="_ETM_Q5_751190"/>
      <w:bookmarkEnd w:id="4478"/>
      <w:r>
        <w:rPr>
          <w:rFonts w:hint="cs"/>
          <w:rtl/>
        </w:rPr>
        <w:t xml:space="preserve">בסדר </w:t>
      </w:r>
      <w:bookmarkStart w:id="4479" w:name="_ETM_Q5_751580"/>
      <w:bookmarkEnd w:id="4479"/>
      <w:r>
        <w:rPr>
          <w:rFonts w:hint="cs"/>
          <w:rtl/>
        </w:rPr>
        <w:t xml:space="preserve">הציבורי. </w:t>
      </w:r>
      <w:bookmarkStart w:id="4480" w:name="_ETM_Q5_752760"/>
      <w:bookmarkEnd w:id="4480"/>
      <w:r>
        <w:rPr>
          <w:rFonts w:hint="cs"/>
          <w:rtl/>
        </w:rPr>
        <w:t xml:space="preserve">שר </w:t>
      </w:r>
      <w:bookmarkStart w:id="4481" w:name="_ETM_Q5_753030"/>
      <w:bookmarkEnd w:id="4481"/>
      <w:r>
        <w:rPr>
          <w:rFonts w:hint="cs"/>
          <w:rtl/>
        </w:rPr>
        <w:t xml:space="preserve">המורשת </w:t>
      </w:r>
      <w:bookmarkStart w:id="4482" w:name="_ETM_Q5_753660"/>
      <w:bookmarkEnd w:id="4482"/>
      <w:r>
        <w:rPr>
          <w:rFonts w:hint="cs"/>
          <w:rtl/>
        </w:rPr>
        <w:t xml:space="preserve">עמיחי </w:t>
      </w:r>
      <w:bookmarkStart w:id="4483" w:name="_ETM_Q5_754050"/>
      <w:bookmarkEnd w:id="4483"/>
      <w:r>
        <w:rPr>
          <w:rFonts w:hint="cs"/>
          <w:rtl/>
        </w:rPr>
        <w:t xml:space="preserve">אליהו </w:t>
      </w:r>
      <w:bookmarkStart w:id="4484" w:name="_ETM_Q5_755210"/>
      <w:bookmarkEnd w:id="4484"/>
      <w:r>
        <w:rPr>
          <w:rFonts w:hint="cs"/>
          <w:rtl/>
        </w:rPr>
        <w:t xml:space="preserve">כלפי </w:t>
      </w:r>
      <w:bookmarkStart w:id="4485" w:name="_ETM_Q5_755600"/>
      <w:bookmarkEnd w:id="4485"/>
      <w:r>
        <w:rPr>
          <w:rFonts w:hint="cs"/>
          <w:rtl/>
        </w:rPr>
        <w:t xml:space="preserve">נגיד </w:t>
      </w:r>
      <w:bookmarkStart w:id="4486" w:name="_ETM_Q5_755960"/>
      <w:bookmarkEnd w:id="4486"/>
      <w:r>
        <w:rPr>
          <w:rFonts w:hint="cs"/>
          <w:rtl/>
        </w:rPr>
        <w:t xml:space="preserve">בנק </w:t>
      </w:r>
      <w:bookmarkStart w:id="4487" w:name="_ETM_Q5_756230"/>
      <w:bookmarkEnd w:id="4487"/>
      <w:r>
        <w:rPr>
          <w:rFonts w:hint="cs"/>
          <w:rtl/>
        </w:rPr>
        <w:t xml:space="preserve">ישראל </w:t>
      </w:r>
      <w:bookmarkStart w:id="4488" w:name="_ETM_Q5_756620"/>
      <w:bookmarkEnd w:id="4488"/>
      <w:r>
        <w:rPr>
          <w:rFonts w:hint="cs"/>
          <w:rtl/>
        </w:rPr>
        <w:t xml:space="preserve">פרופ' </w:t>
      </w:r>
      <w:bookmarkStart w:id="4489" w:name="_ETM_Q5_757040"/>
      <w:bookmarkEnd w:id="4489"/>
      <w:r>
        <w:rPr>
          <w:rFonts w:hint="cs"/>
          <w:rtl/>
        </w:rPr>
        <w:t xml:space="preserve">אמיר </w:t>
      </w:r>
      <w:bookmarkStart w:id="4490" w:name="_ETM_Q5_757220"/>
      <w:bookmarkEnd w:id="4490"/>
      <w:r>
        <w:rPr>
          <w:rFonts w:hint="cs"/>
          <w:rtl/>
        </w:rPr>
        <w:t>ירון</w:t>
      </w:r>
      <w:bookmarkStart w:id="4491" w:name="_ETM_Q5_758090"/>
      <w:bookmarkEnd w:id="4491"/>
      <w:r>
        <w:rPr>
          <w:rFonts w:hint="cs"/>
          <w:rtl/>
        </w:rPr>
        <w:t xml:space="preserve">: פרא </w:t>
      </w:r>
      <w:bookmarkStart w:id="4492" w:name="_ETM_Q5_758420"/>
      <w:bookmarkEnd w:id="4492"/>
      <w:r>
        <w:rPr>
          <w:rFonts w:hint="cs"/>
          <w:rtl/>
        </w:rPr>
        <w:t xml:space="preserve">אדם, </w:t>
      </w:r>
      <w:bookmarkStart w:id="4493" w:name="_ETM_Q5_758780"/>
      <w:bookmarkEnd w:id="4493"/>
      <w:r>
        <w:rPr>
          <w:rFonts w:hint="cs"/>
          <w:rtl/>
        </w:rPr>
        <w:t xml:space="preserve">שהיה </w:t>
      </w:r>
      <w:bookmarkStart w:id="4494" w:name="_ETM_Q5_759020"/>
      <w:bookmarkEnd w:id="4494"/>
      <w:r>
        <w:rPr>
          <w:rFonts w:hint="cs"/>
          <w:rtl/>
        </w:rPr>
        <w:t xml:space="preserve">צריך </w:t>
      </w:r>
      <w:bookmarkStart w:id="4495" w:name="_ETM_Q5_759170"/>
      <w:bookmarkEnd w:id="4495"/>
      <w:r>
        <w:rPr>
          <w:rFonts w:hint="cs"/>
          <w:rtl/>
        </w:rPr>
        <w:t xml:space="preserve">לגלגל </w:t>
      </w:r>
      <w:bookmarkStart w:id="4496" w:name="_ETM_Q5_759590"/>
      <w:bookmarkEnd w:id="4496"/>
      <w:r>
        <w:rPr>
          <w:rFonts w:hint="cs"/>
          <w:rtl/>
        </w:rPr>
        <w:t xml:space="preserve">אותו </w:t>
      </w:r>
      <w:bookmarkStart w:id="4497" w:name="_ETM_Q5_759770"/>
      <w:bookmarkEnd w:id="4497"/>
      <w:r>
        <w:rPr>
          <w:rFonts w:hint="cs"/>
          <w:rtl/>
        </w:rPr>
        <w:t xml:space="preserve">מכל </w:t>
      </w:r>
      <w:bookmarkStart w:id="4498" w:name="_ETM_Q5_760070"/>
      <w:bookmarkEnd w:id="4498"/>
      <w:r>
        <w:rPr>
          <w:rFonts w:hint="cs"/>
          <w:rtl/>
        </w:rPr>
        <w:t xml:space="preserve">המדרגות. אחלה </w:t>
      </w:r>
      <w:bookmarkStart w:id="4499" w:name="_ETM_Q5_761090"/>
      <w:bookmarkStart w:id="4500" w:name="_ETM_Q5_761300"/>
      <w:bookmarkEnd w:id="4499"/>
      <w:bookmarkEnd w:id="4500"/>
      <w:r>
        <w:rPr>
          <w:rFonts w:hint="cs"/>
          <w:rtl/>
        </w:rPr>
        <w:t xml:space="preserve">מורשת </w:t>
      </w:r>
      <w:bookmarkStart w:id="4501" w:name="_ETM_Q5_761809"/>
      <w:bookmarkEnd w:id="4501"/>
      <w:r>
        <w:rPr>
          <w:rFonts w:hint="cs"/>
          <w:rtl/>
        </w:rPr>
        <w:t xml:space="preserve">יש </w:t>
      </w:r>
      <w:bookmarkStart w:id="4502" w:name="_ETM_Q5_761960"/>
      <w:bookmarkEnd w:id="4502"/>
      <w:r>
        <w:rPr>
          <w:rFonts w:hint="cs"/>
          <w:rtl/>
        </w:rPr>
        <w:t xml:space="preserve">לשר </w:t>
      </w:r>
      <w:bookmarkStart w:id="4503" w:name="_ETM_Q5_762230"/>
      <w:bookmarkEnd w:id="4503"/>
      <w:r>
        <w:rPr>
          <w:rFonts w:hint="cs"/>
          <w:rtl/>
        </w:rPr>
        <w:t>המורשת</w:t>
      </w:r>
      <w:bookmarkStart w:id="4504" w:name="_ETM_Q5_763500"/>
      <w:bookmarkEnd w:id="4504"/>
      <w:r>
        <w:rPr>
          <w:rFonts w:hint="cs"/>
          <w:rtl/>
        </w:rPr>
        <w:t>.</w:t>
      </w:r>
      <w:bookmarkStart w:id="4505" w:name="_ETM_Q5_101000"/>
      <w:bookmarkStart w:id="4506" w:name="TOR_Q6"/>
      <w:bookmarkStart w:id="4507" w:name="_ETM_Q5_137000"/>
      <w:bookmarkEnd w:id="4505"/>
      <w:bookmarkEnd w:id="4506"/>
      <w:bookmarkEnd w:id="4507"/>
      <w:r>
        <w:rPr>
          <w:rFonts w:hint="cs"/>
          <w:rtl/>
        </w:rPr>
        <w:t xml:space="preserve"> בן </w:t>
      </w:r>
      <w:bookmarkStart w:id="4508" w:name="_ETM_Q5_763800"/>
      <w:bookmarkEnd w:id="4508"/>
      <w:r>
        <w:rPr>
          <w:rFonts w:hint="cs"/>
          <w:rtl/>
        </w:rPr>
        <w:t xml:space="preserve">גביר </w:t>
      </w:r>
      <w:bookmarkStart w:id="4509" w:name="_ETM_Q5_764039"/>
      <w:bookmarkEnd w:id="4509"/>
      <w:r>
        <w:rPr>
          <w:rFonts w:hint="cs"/>
          <w:rtl/>
        </w:rPr>
        <w:t xml:space="preserve">נגד </w:t>
      </w:r>
      <w:bookmarkStart w:id="4510" w:name="_ETM_Q5_764280"/>
      <w:bookmarkEnd w:id="4510"/>
      <w:r>
        <w:rPr>
          <w:rFonts w:hint="cs"/>
          <w:rtl/>
        </w:rPr>
        <w:t>היוע</w:t>
      </w:r>
      <w:bookmarkStart w:id="4511" w:name="_ETM_Q5_764460"/>
      <w:bookmarkEnd w:id="4511"/>
      <w:r>
        <w:rPr>
          <w:rFonts w:hint="cs"/>
          <w:rtl/>
        </w:rPr>
        <w:t xml:space="preserve">צת המשפטית </w:t>
      </w:r>
      <w:bookmarkStart w:id="4512" w:name="_ETM_Q5_764939"/>
      <w:bookmarkEnd w:id="4512"/>
      <w:r>
        <w:rPr>
          <w:rFonts w:hint="cs"/>
          <w:rtl/>
        </w:rPr>
        <w:t xml:space="preserve">לממשלה: </w:t>
      </w:r>
      <w:bookmarkStart w:id="4513" w:name="_ETM_Q5_766070"/>
      <w:bookmarkEnd w:id="4513"/>
      <w:r>
        <w:rPr>
          <w:rFonts w:hint="cs"/>
          <w:rtl/>
        </w:rPr>
        <w:t xml:space="preserve">הגיע </w:t>
      </w:r>
      <w:bookmarkStart w:id="4514" w:name="_ETM_Q5_766370"/>
      <w:bookmarkEnd w:id="4514"/>
      <w:r>
        <w:rPr>
          <w:rFonts w:hint="cs"/>
          <w:rtl/>
        </w:rPr>
        <w:t xml:space="preserve">הזמן </w:t>
      </w:r>
      <w:bookmarkStart w:id="4515" w:name="_ETM_Q5_766580"/>
      <w:bookmarkEnd w:id="4515"/>
      <w:r>
        <w:rPr>
          <w:rFonts w:hint="cs"/>
          <w:rtl/>
        </w:rPr>
        <w:t xml:space="preserve">שתפסיק </w:t>
      </w:r>
      <w:bookmarkStart w:id="4516" w:name="_ETM_Q5_766940"/>
      <w:bookmarkEnd w:id="4516"/>
      <w:r>
        <w:rPr>
          <w:rFonts w:hint="cs"/>
          <w:rtl/>
        </w:rPr>
        <w:t xml:space="preserve">לפגוע, </w:t>
      </w:r>
      <w:bookmarkStart w:id="4517" w:name="_ETM_Q5_767990"/>
      <w:bookmarkEnd w:id="4517"/>
      <w:r>
        <w:rPr>
          <w:rFonts w:hint="cs"/>
          <w:rtl/>
        </w:rPr>
        <w:t xml:space="preserve">ניתן </w:t>
      </w:r>
      <w:bookmarkStart w:id="4518" w:name="_ETM_Q5_768319"/>
      <w:bookmarkEnd w:id="4518"/>
      <w:r>
        <w:rPr>
          <w:rFonts w:hint="cs"/>
          <w:rtl/>
        </w:rPr>
        <w:t xml:space="preserve">היה </w:t>
      </w:r>
      <w:bookmarkStart w:id="4519" w:name="_ETM_Q5_768409"/>
      <w:bookmarkEnd w:id="4519"/>
      <w:r>
        <w:rPr>
          <w:rFonts w:hint="cs"/>
          <w:rtl/>
        </w:rPr>
        <w:t xml:space="preserve">למנוע </w:t>
      </w:r>
      <w:bookmarkStart w:id="4520" w:name="_ETM_Q5_768740"/>
      <w:bookmarkEnd w:id="4520"/>
      <w:r>
        <w:rPr>
          <w:rFonts w:hint="cs"/>
          <w:rtl/>
        </w:rPr>
        <w:t xml:space="preserve">מקרי </w:t>
      </w:r>
      <w:bookmarkStart w:id="4521" w:name="_ETM_Q5_769039"/>
      <w:bookmarkEnd w:id="4521"/>
      <w:r>
        <w:rPr>
          <w:rFonts w:hint="cs"/>
          <w:rtl/>
        </w:rPr>
        <w:t xml:space="preserve">רצח </w:t>
      </w:r>
      <w:bookmarkStart w:id="4522" w:name="_ETM_Q5_770000"/>
      <w:bookmarkEnd w:id="4522"/>
      <w:r>
        <w:rPr>
          <w:rFonts w:hint="cs"/>
          <w:rtl/>
        </w:rPr>
        <w:t xml:space="preserve">אם </w:t>
      </w:r>
      <w:bookmarkStart w:id="4523" w:name="_ETM_Q5_770179"/>
      <w:bookmarkEnd w:id="4523"/>
      <w:r>
        <w:rPr>
          <w:rFonts w:hint="cs"/>
          <w:rtl/>
        </w:rPr>
        <w:t xml:space="preserve">לא </w:t>
      </w:r>
      <w:bookmarkStart w:id="4524" w:name="_ETM_Q5_770300"/>
      <w:bookmarkEnd w:id="4524"/>
      <w:r>
        <w:rPr>
          <w:rFonts w:hint="cs"/>
          <w:rtl/>
        </w:rPr>
        <w:t xml:space="preserve">הייתה </w:t>
      </w:r>
      <w:bookmarkStart w:id="4525" w:name="_ETM_Q5_770569"/>
      <w:bookmarkEnd w:id="4525"/>
      <w:r>
        <w:rPr>
          <w:rFonts w:hint="cs"/>
          <w:rtl/>
        </w:rPr>
        <w:t xml:space="preserve">מטרפדת </w:t>
      </w:r>
      <w:bookmarkStart w:id="4526" w:name="_ETM_Q5_771169"/>
      <w:bookmarkEnd w:id="4526"/>
      <w:r>
        <w:rPr>
          <w:rFonts w:hint="cs"/>
          <w:rtl/>
        </w:rPr>
        <w:t xml:space="preserve">מעצרים </w:t>
      </w:r>
      <w:bookmarkStart w:id="4527" w:name="_ETM_Q5_771679"/>
      <w:bookmarkEnd w:id="4527"/>
      <w:r>
        <w:rPr>
          <w:rFonts w:hint="cs"/>
          <w:rtl/>
        </w:rPr>
        <w:t xml:space="preserve">מינהליים. </w:t>
      </w:r>
      <w:bookmarkStart w:id="4528" w:name="_ETM_Q5_773039"/>
      <w:bookmarkEnd w:id="4528"/>
      <w:r>
        <w:rPr>
          <w:rFonts w:hint="cs"/>
          <w:rtl/>
        </w:rPr>
        <w:t xml:space="preserve">השר </w:t>
      </w:r>
      <w:bookmarkStart w:id="4529" w:name="_ETM_Q5_773340"/>
      <w:bookmarkEnd w:id="4529"/>
      <w:r>
        <w:rPr>
          <w:rFonts w:hint="cs"/>
          <w:rtl/>
        </w:rPr>
        <w:t xml:space="preserve">קרעי </w:t>
      </w:r>
      <w:bookmarkStart w:id="4530" w:name="_ETM_Q5_775140"/>
      <w:bookmarkEnd w:id="4530"/>
      <w:r>
        <w:rPr>
          <w:rFonts w:hint="cs"/>
          <w:rtl/>
        </w:rPr>
        <w:t xml:space="preserve">נגד </w:t>
      </w:r>
      <w:bookmarkStart w:id="4531" w:name="_ETM_Q5_775410"/>
      <w:bookmarkEnd w:id="4531"/>
      <w:r>
        <w:rPr>
          <w:rFonts w:hint="cs"/>
          <w:rtl/>
        </w:rPr>
        <w:t xml:space="preserve">היועץ </w:t>
      </w:r>
      <w:bookmarkStart w:id="4532" w:name="_ETM_Q5_775590"/>
      <w:bookmarkEnd w:id="4532"/>
      <w:r>
        <w:rPr>
          <w:rFonts w:hint="cs"/>
          <w:rtl/>
        </w:rPr>
        <w:t xml:space="preserve">המשפטי </w:t>
      </w:r>
      <w:bookmarkStart w:id="4533" w:name="_ETM_Q5_775980"/>
      <w:bookmarkEnd w:id="4533"/>
      <w:r>
        <w:rPr>
          <w:rFonts w:hint="cs"/>
          <w:rtl/>
        </w:rPr>
        <w:t xml:space="preserve">של </w:t>
      </w:r>
      <w:bookmarkStart w:id="4534" w:name="_ETM_Q5_776130"/>
      <w:bookmarkEnd w:id="4534"/>
      <w:r>
        <w:rPr>
          <w:rFonts w:hint="cs"/>
          <w:rtl/>
        </w:rPr>
        <w:t xml:space="preserve">משרד </w:t>
      </w:r>
      <w:bookmarkStart w:id="4535" w:name="_ETM_Q5_776460"/>
      <w:bookmarkEnd w:id="4535"/>
      <w:r>
        <w:rPr>
          <w:rFonts w:hint="cs"/>
          <w:rtl/>
        </w:rPr>
        <w:t xml:space="preserve">האוצר </w:t>
      </w:r>
      <w:bookmarkStart w:id="4536" w:name="_ETM_Q5_776850"/>
      <w:bookmarkEnd w:id="4536"/>
      <w:r>
        <w:rPr>
          <w:rFonts w:hint="cs"/>
          <w:rtl/>
        </w:rPr>
        <w:t>אסי מסינג</w:t>
      </w:r>
      <w:bookmarkStart w:id="4537" w:name="_ETM_Q5_777180"/>
      <w:bookmarkEnd w:id="4537"/>
      <w:r>
        <w:rPr>
          <w:rFonts w:hint="cs"/>
          <w:rtl/>
        </w:rPr>
        <w:t xml:space="preserve">: חתרנות </w:t>
      </w:r>
      <w:bookmarkStart w:id="4538" w:name="_ETM_Q5_778510"/>
      <w:bookmarkEnd w:id="4538"/>
      <w:r>
        <w:rPr>
          <w:rFonts w:hint="cs"/>
          <w:rtl/>
        </w:rPr>
        <w:t xml:space="preserve">פקידותית </w:t>
      </w:r>
      <w:bookmarkStart w:id="4539" w:name="_ETM_Q5_779080"/>
      <w:bookmarkEnd w:id="4539"/>
      <w:r>
        <w:rPr>
          <w:rFonts w:hint="cs"/>
          <w:rtl/>
        </w:rPr>
        <w:t xml:space="preserve">מהסוג </w:t>
      </w:r>
      <w:bookmarkStart w:id="4540" w:name="_ETM_Q5_779470"/>
      <w:bookmarkEnd w:id="4540"/>
      <w:r>
        <w:rPr>
          <w:rFonts w:hint="cs"/>
          <w:rtl/>
        </w:rPr>
        <w:t xml:space="preserve">שנבחרנו </w:t>
      </w:r>
      <w:bookmarkStart w:id="4541" w:name="_ETM_Q5_780070"/>
      <w:bookmarkEnd w:id="4541"/>
      <w:r>
        <w:rPr>
          <w:rFonts w:hint="cs"/>
          <w:rtl/>
        </w:rPr>
        <w:t xml:space="preserve">למגר. </w:t>
      </w:r>
      <w:bookmarkStart w:id="4542" w:name="_ETM_Q6_180850"/>
      <w:bookmarkEnd w:id="4542"/>
      <w:r>
        <w:rPr>
          <w:rFonts w:hint="cs"/>
          <w:rtl/>
        </w:rPr>
        <w:t xml:space="preserve">גלית </w:t>
      </w:r>
      <w:bookmarkStart w:id="4543" w:name="_ETM_Q6_181180"/>
      <w:bookmarkEnd w:id="4543"/>
      <w:r>
        <w:rPr>
          <w:rFonts w:hint="cs"/>
          <w:rtl/>
        </w:rPr>
        <w:t xml:space="preserve">דיסטל </w:t>
      </w:r>
      <w:bookmarkStart w:id="4544" w:name="_ETM_Q6_183440"/>
      <w:bookmarkEnd w:id="4544"/>
      <w:r>
        <w:rPr>
          <w:rFonts w:hint="cs"/>
          <w:rtl/>
        </w:rPr>
        <w:t xml:space="preserve">נגד </w:t>
      </w:r>
      <w:bookmarkStart w:id="4545" w:name="_ETM_Q6_183739"/>
      <w:bookmarkStart w:id="4546" w:name="_ETM_Q6_183949"/>
      <w:bookmarkEnd w:id="4545"/>
      <w:bookmarkEnd w:id="4546"/>
      <w:r>
        <w:rPr>
          <w:rFonts w:hint="cs"/>
          <w:rtl/>
        </w:rPr>
        <w:t xml:space="preserve">היועצת </w:t>
      </w:r>
      <w:bookmarkStart w:id="4547" w:name="_ETM_Q6_184000"/>
      <w:bookmarkEnd w:id="4547"/>
      <w:r>
        <w:rPr>
          <w:rFonts w:hint="cs"/>
          <w:rtl/>
        </w:rPr>
        <w:t xml:space="preserve">המשפטית: </w:t>
      </w:r>
      <w:bookmarkStart w:id="4548" w:name="_ETM_Q6_185050"/>
      <w:bookmarkEnd w:id="4548"/>
      <w:r>
        <w:rPr>
          <w:rFonts w:hint="cs"/>
          <w:rtl/>
        </w:rPr>
        <w:t xml:space="preserve">כשהרגע </w:t>
      </w:r>
      <w:bookmarkStart w:id="4549" w:name="_ETM_Q6_185559"/>
      <w:bookmarkEnd w:id="4549"/>
      <w:r>
        <w:rPr>
          <w:rFonts w:hint="cs"/>
          <w:rtl/>
        </w:rPr>
        <w:t xml:space="preserve">הנכון </w:t>
      </w:r>
      <w:bookmarkStart w:id="4550" w:name="_ETM_Q6_185860"/>
      <w:bookmarkEnd w:id="4550"/>
      <w:r>
        <w:rPr>
          <w:rFonts w:hint="cs"/>
          <w:rtl/>
        </w:rPr>
        <w:t xml:space="preserve">יגיע </w:t>
      </w:r>
      <w:bookmarkStart w:id="4551" w:name="_ETM_Q6_186190"/>
      <w:bookmarkEnd w:id="4551"/>
      <w:r>
        <w:rPr>
          <w:rFonts w:hint="cs"/>
          <w:rtl/>
        </w:rPr>
        <w:t xml:space="preserve">צריך </w:t>
      </w:r>
      <w:bookmarkStart w:id="4552" w:name="_ETM_Q6_186340"/>
      <w:bookmarkEnd w:id="4552"/>
      <w:r>
        <w:rPr>
          <w:rFonts w:hint="cs"/>
          <w:rtl/>
        </w:rPr>
        <w:t xml:space="preserve">לפטר </w:t>
      </w:r>
      <w:bookmarkStart w:id="4553" w:name="_ETM_Q6_186760"/>
      <w:bookmarkEnd w:id="4553"/>
      <w:r>
        <w:rPr>
          <w:rFonts w:hint="cs"/>
          <w:rtl/>
        </w:rPr>
        <w:t xml:space="preserve">את </w:t>
      </w:r>
      <w:bookmarkStart w:id="4554" w:name="_ETM_Q6_186850"/>
      <w:bookmarkEnd w:id="4554"/>
      <w:r>
        <w:rPr>
          <w:rFonts w:hint="cs"/>
          <w:rtl/>
        </w:rPr>
        <w:t xml:space="preserve">היועמ"שית. </w:t>
      </w:r>
      <w:bookmarkStart w:id="4555" w:name="_ETM_Q6_187840"/>
      <w:bookmarkEnd w:id="4555"/>
      <w:r>
        <w:rPr>
          <w:rFonts w:hint="cs"/>
          <w:rtl/>
        </w:rPr>
        <w:t xml:space="preserve">אלה </w:t>
      </w:r>
      <w:bookmarkStart w:id="4556" w:name="_ETM_Q6_188080"/>
      <w:bookmarkEnd w:id="4556"/>
      <w:r>
        <w:rPr>
          <w:rFonts w:hint="cs"/>
          <w:rtl/>
        </w:rPr>
        <w:t xml:space="preserve">השרים </w:t>
      </w:r>
      <w:bookmarkStart w:id="4557" w:name="_ETM_Q6_188500"/>
      <w:bookmarkEnd w:id="4557"/>
      <w:r>
        <w:rPr>
          <w:rFonts w:hint="cs"/>
          <w:rtl/>
        </w:rPr>
        <w:t xml:space="preserve">שרוצים </w:t>
      </w:r>
      <w:bookmarkStart w:id="4558" w:name="_ETM_Q6_188889"/>
      <w:bookmarkEnd w:id="4558"/>
      <w:r>
        <w:rPr>
          <w:rFonts w:hint="cs"/>
          <w:rtl/>
        </w:rPr>
        <w:t xml:space="preserve">שחרור </w:t>
      </w:r>
      <w:bookmarkStart w:id="4559" w:name="_ETM_Q6_189520"/>
      <w:bookmarkEnd w:id="4559"/>
      <w:r>
        <w:rPr>
          <w:rFonts w:hint="cs"/>
          <w:rtl/>
        </w:rPr>
        <w:t xml:space="preserve">בחוק </w:t>
      </w:r>
      <w:r>
        <w:t>–</w:t>
      </w:r>
      <w:r>
        <w:rPr>
          <w:rFonts w:hint="cs"/>
          <w:rtl/>
        </w:rPr>
        <w:t xml:space="preserve"> </w:t>
      </w:r>
      <w:bookmarkStart w:id="4560" w:name="_ETM_Q6_190330"/>
      <w:bookmarkEnd w:id="4560"/>
      <w:r>
        <w:rPr>
          <w:rFonts w:hint="cs"/>
          <w:rtl/>
        </w:rPr>
        <w:t>בחוק,</w:t>
      </w:r>
      <w:bookmarkStart w:id="4561" w:name="_ETM_Q6_190750"/>
      <w:bookmarkEnd w:id="4561"/>
      <w:r>
        <w:rPr>
          <w:rFonts w:hint="cs"/>
          <w:rtl/>
        </w:rPr>
        <w:t xml:space="preserve"> בדין </w:t>
      </w:r>
      <w:bookmarkStart w:id="4562" w:name="_ETM_Q6_191559"/>
      <w:bookmarkEnd w:id="4562"/>
      <w:r>
        <w:rPr>
          <w:rFonts w:hint="cs"/>
          <w:rtl/>
        </w:rPr>
        <w:t xml:space="preserve">– מביקורת </w:t>
      </w:r>
      <w:bookmarkStart w:id="4563" w:name="_ETM_Q6_192160"/>
      <w:bookmarkEnd w:id="4563"/>
      <w:r>
        <w:rPr>
          <w:rFonts w:hint="cs"/>
          <w:rtl/>
        </w:rPr>
        <w:t xml:space="preserve">על </w:t>
      </w:r>
      <w:bookmarkStart w:id="4564" w:name="_ETM_Q6_192250"/>
      <w:bookmarkEnd w:id="4564"/>
      <w:r>
        <w:rPr>
          <w:rFonts w:hint="cs"/>
          <w:rtl/>
        </w:rPr>
        <w:t xml:space="preserve">סבירות </w:t>
      </w:r>
      <w:bookmarkStart w:id="4565" w:name="_ETM_Q6_192670"/>
      <w:bookmarkEnd w:id="4565"/>
      <w:r>
        <w:rPr>
          <w:rFonts w:hint="cs"/>
          <w:rtl/>
        </w:rPr>
        <w:t>החלטותיהם.</w:t>
      </w:r>
      <w:bookmarkStart w:id="4566" w:name="_ETM_Q6_193000"/>
      <w:bookmarkStart w:id="4567" w:name="_ETM_Q6_193820"/>
      <w:bookmarkEnd w:id="4566"/>
      <w:bookmarkEnd w:id="4567"/>
      <w:r>
        <w:rPr>
          <w:rFonts w:hint="cs"/>
          <w:rtl/>
        </w:rPr>
        <w:t xml:space="preserve"> שרים </w:t>
      </w:r>
      <w:bookmarkStart w:id="4568" w:name="_ETM_Q6_194240"/>
      <w:bookmarkEnd w:id="4568"/>
      <w:r>
        <w:rPr>
          <w:rFonts w:hint="cs"/>
          <w:rtl/>
        </w:rPr>
        <w:t xml:space="preserve">סוררים </w:t>
      </w:r>
      <w:bookmarkStart w:id="4569" w:name="_ETM_Q6_195290"/>
      <w:bookmarkEnd w:id="4569"/>
      <w:r>
        <w:rPr>
          <w:rFonts w:hint="cs"/>
          <w:rtl/>
        </w:rPr>
        <w:t xml:space="preserve">בממשלה </w:t>
      </w:r>
      <w:bookmarkStart w:id="4570" w:name="_ETM_Q6_195799"/>
      <w:bookmarkEnd w:id="4570"/>
      <w:r>
        <w:rPr>
          <w:rFonts w:hint="cs"/>
          <w:rtl/>
        </w:rPr>
        <w:t xml:space="preserve">מופקרת </w:t>
      </w:r>
      <w:bookmarkStart w:id="4571" w:name="_ETM_Q6_196340"/>
      <w:bookmarkEnd w:id="4571"/>
      <w:r>
        <w:rPr>
          <w:rFonts w:hint="cs"/>
          <w:rtl/>
        </w:rPr>
        <w:t xml:space="preserve">ומסוכנת. </w:t>
      </w:r>
      <w:bookmarkStart w:id="4572" w:name="_ETM_Q6_197060"/>
      <w:bookmarkEnd w:id="4572"/>
    </w:p>
    <w:p w:rsidR="000C5C1F" w:rsidRDefault="000C5C1F" w:rsidP="00337201">
      <w:pPr>
        <w:rPr>
          <w:rtl/>
        </w:rPr>
      </w:pPr>
      <w:bookmarkStart w:id="4573" w:name="_ETM_Q6_202797"/>
      <w:bookmarkStart w:id="4574" w:name="_ETM_Q6_202892"/>
      <w:bookmarkEnd w:id="4573"/>
      <w:bookmarkEnd w:id="4574"/>
    </w:p>
    <w:p w:rsidR="000C5C1F" w:rsidRDefault="000C5C1F" w:rsidP="00337201">
      <w:pPr>
        <w:rPr>
          <w:rtl/>
        </w:rPr>
      </w:pPr>
      <w:bookmarkStart w:id="4575" w:name="_ETM_Q6_202936"/>
      <w:bookmarkStart w:id="4576" w:name="_ETM_Q6_202995"/>
      <w:bookmarkEnd w:id="4575"/>
      <w:bookmarkEnd w:id="4576"/>
      <w:r>
        <w:rPr>
          <w:rFonts w:hint="cs"/>
          <w:rtl/>
        </w:rPr>
        <w:t xml:space="preserve">זה </w:t>
      </w:r>
      <w:bookmarkStart w:id="4577" w:name="_ETM_Q6_197239"/>
      <w:bookmarkEnd w:id="4577"/>
      <w:r>
        <w:rPr>
          <w:rFonts w:hint="cs"/>
          <w:rtl/>
        </w:rPr>
        <w:t xml:space="preserve">לא </w:t>
      </w:r>
      <w:bookmarkStart w:id="4578" w:name="_ETM_Q6_197300"/>
      <w:bookmarkEnd w:id="4578"/>
      <w:r>
        <w:rPr>
          <w:rFonts w:hint="cs"/>
          <w:rtl/>
        </w:rPr>
        <w:t xml:space="preserve">סיפור </w:t>
      </w:r>
      <w:bookmarkStart w:id="4579" w:name="_ETM_Q6_197600"/>
      <w:bookmarkEnd w:id="4579"/>
      <w:r>
        <w:rPr>
          <w:rFonts w:hint="cs"/>
          <w:rtl/>
        </w:rPr>
        <w:t xml:space="preserve">תיאורטי, </w:t>
      </w:r>
      <w:bookmarkStart w:id="4580" w:name="_ETM_Q6_198960"/>
      <w:bookmarkEnd w:id="4580"/>
      <w:r>
        <w:rPr>
          <w:rFonts w:hint="cs"/>
          <w:rtl/>
        </w:rPr>
        <w:t xml:space="preserve">זה </w:t>
      </w:r>
      <w:bookmarkStart w:id="4581" w:name="_ETM_Q6_199170"/>
      <w:bookmarkEnd w:id="4581"/>
      <w:r>
        <w:rPr>
          <w:rFonts w:hint="cs"/>
          <w:rtl/>
        </w:rPr>
        <w:t xml:space="preserve">סיפור </w:t>
      </w:r>
      <w:bookmarkStart w:id="4582" w:name="_ETM_Q6_199470"/>
      <w:bookmarkEnd w:id="4582"/>
      <w:r>
        <w:rPr>
          <w:rFonts w:hint="cs"/>
          <w:rtl/>
        </w:rPr>
        <w:t xml:space="preserve">מעשי. </w:t>
      </w:r>
      <w:bookmarkStart w:id="4583" w:name="_ETM_Q6_201099"/>
      <w:bookmarkEnd w:id="4583"/>
      <w:r>
        <w:rPr>
          <w:rFonts w:hint="cs"/>
          <w:rtl/>
        </w:rPr>
        <w:t xml:space="preserve">יש </w:t>
      </w:r>
      <w:bookmarkStart w:id="4584" w:name="_ETM_Q6_201310"/>
      <w:bookmarkEnd w:id="4584"/>
      <w:r>
        <w:rPr>
          <w:rFonts w:hint="cs"/>
          <w:rtl/>
        </w:rPr>
        <w:t xml:space="preserve">הכוונה, </w:t>
      </w:r>
      <w:bookmarkStart w:id="4585" w:name="_ETM_Q6_202640"/>
      <w:bookmarkEnd w:id="4585"/>
      <w:r>
        <w:rPr>
          <w:rFonts w:hint="cs"/>
          <w:rtl/>
        </w:rPr>
        <w:t xml:space="preserve">יש </w:t>
      </w:r>
      <w:bookmarkStart w:id="4586" w:name="_ETM_Q6_202880"/>
      <w:bookmarkStart w:id="4587" w:name="_ETM_Q6_203179"/>
      <w:bookmarkEnd w:id="4586"/>
      <w:bookmarkEnd w:id="4587"/>
      <w:r>
        <w:rPr>
          <w:rFonts w:hint="cs"/>
          <w:rtl/>
        </w:rPr>
        <w:t xml:space="preserve">השיטה, </w:t>
      </w:r>
      <w:bookmarkStart w:id="4588" w:name="_ETM_Q6_204269"/>
      <w:bookmarkEnd w:id="4588"/>
      <w:r>
        <w:rPr>
          <w:rFonts w:hint="cs"/>
          <w:rtl/>
        </w:rPr>
        <w:t xml:space="preserve">ונתניהו </w:t>
      </w:r>
      <w:bookmarkStart w:id="4589" w:name="_ETM_Q6_204900"/>
      <w:bookmarkEnd w:id="4589"/>
      <w:r>
        <w:rPr>
          <w:rFonts w:hint="cs"/>
          <w:rtl/>
        </w:rPr>
        <w:t xml:space="preserve">גם </w:t>
      </w:r>
      <w:bookmarkStart w:id="4590" w:name="_ETM_Q6_205079"/>
      <w:bookmarkEnd w:id="4590"/>
      <w:r>
        <w:rPr>
          <w:rFonts w:hint="cs"/>
          <w:rtl/>
        </w:rPr>
        <w:t xml:space="preserve">מילא </w:t>
      </w:r>
      <w:bookmarkStart w:id="4591" w:name="_ETM_Q6_205589"/>
      <w:bookmarkEnd w:id="4591"/>
      <w:r>
        <w:rPr>
          <w:rFonts w:hint="cs"/>
          <w:rtl/>
        </w:rPr>
        <w:t xml:space="preserve">טבלה, </w:t>
      </w:r>
      <w:bookmarkStart w:id="4592" w:name="_ETM_Q6_206099"/>
      <w:bookmarkEnd w:id="4592"/>
      <w:r>
        <w:rPr>
          <w:rFonts w:hint="cs"/>
          <w:rtl/>
        </w:rPr>
        <w:t xml:space="preserve">מילא </w:t>
      </w:r>
      <w:bookmarkStart w:id="4593" w:name="_ETM_Q6_206429"/>
      <w:bookmarkEnd w:id="4593"/>
      <w:r>
        <w:rPr>
          <w:rFonts w:hint="cs"/>
          <w:rtl/>
        </w:rPr>
        <w:t xml:space="preserve">אותה </w:t>
      </w:r>
      <w:bookmarkStart w:id="4594" w:name="_ETM_Q6_206579"/>
      <w:bookmarkEnd w:id="4594"/>
      <w:r>
        <w:rPr>
          <w:rFonts w:hint="cs"/>
          <w:rtl/>
        </w:rPr>
        <w:t xml:space="preserve">בכוחות </w:t>
      </w:r>
      <w:bookmarkStart w:id="4595" w:name="_ETM_Q6_206970"/>
      <w:bookmarkEnd w:id="4595"/>
      <w:r>
        <w:rPr>
          <w:rFonts w:hint="cs"/>
          <w:rtl/>
        </w:rPr>
        <w:t>ומשימות</w:t>
      </w:r>
      <w:bookmarkStart w:id="4596" w:name="_ETM_Q6_207000"/>
      <w:bookmarkEnd w:id="4596"/>
      <w:r>
        <w:rPr>
          <w:rFonts w:hint="cs"/>
          <w:rtl/>
        </w:rPr>
        <w:t xml:space="preserve">, </w:t>
      </w:r>
      <w:bookmarkStart w:id="4597" w:name="_ETM_Q6_207630"/>
      <w:bookmarkEnd w:id="4597"/>
      <w:r>
        <w:rPr>
          <w:rFonts w:hint="cs"/>
          <w:rtl/>
        </w:rPr>
        <w:t xml:space="preserve">מי </w:t>
      </w:r>
      <w:bookmarkStart w:id="4598" w:name="_ETM_Q6_207869"/>
      <w:bookmarkEnd w:id="4598"/>
      <w:r>
        <w:rPr>
          <w:rFonts w:hint="cs"/>
          <w:rtl/>
        </w:rPr>
        <w:t xml:space="preserve">יעשה </w:t>
      </w:r>
      <w:bookmarkStart w:id="4599" w:name="_ETM_Q6_208199"/>
      <w:bookmarkEnd w:id="4599"/>
      <w:r>
        <w:rPr>
          <w:rFonts w:hint="cs"/>
          <w:rtl/>
        </w:rPr>
        <w:t xml:space="preserve">מה </w:t>
      </w:r>
      <w:bookmarkStart w:id="4600" w:name="_ETM_Q6_208439"/>
      <w:bookmarkEnd w:id="4600"/>
      <w:r>
        <w:rPr>
          <w:rFonts w:hint="cs"/>
          <w:rtl/>
        </w:rPr>
        <w:t xml:space="preserve">ואיך. </w:t>
      </w:r>
      <w:bookmarkStart w:id="4601" w:name="_ETM_Q6_209580"/>
      <w:bookmarkEnd w:id="4601"/>
      <w:r>
        <w:rPr>
          <w:rFonts w:hint="cs"/>
          <w:rtl/>
        </w:rPr>
        <w:t xml:space="preserve">זאת </w:t>
      </w:r>
      <w:bookmarkStart w:id="4602" w:name="_ETM_Q6_209849"/>
      <w:bookmarkEnd w:id="4602"/>
      <w:r>
        <w:rPr>
          <w:rFonts w:hint="cs"/>
          <w:rtl/>
        </w:rPr>
        <w:t xml:space="preserve">המציאות. </w:t>
      </w:r>
      <w:bookmarkStart w:id="4603" w:name="_ETM_Q6_210720"/>
      <w:bookmarkEnd w:id="4603"/>
      <w:r>
        <w:rPr>
          <w:rFonts w:hint="cs"/>
          <w:rtl/>
        </w:rPr>
        <w:t xml:space="preserve">ואתם </w:t>
      </w:r>
      <w:bookmarkStart w:id="4604" w:name="_ETM_Q6_211019"/>
      <w:bookmarkEnd w:id="4604"/>
      <w:r>
        <w:rPr>
          <w:rFonts w:hint="cs"/>
          <w:rtl/>
        </w:rPr>
        <w:t xml:space="preserve">מתפלאים </w:t>
      </w:r>
      <w:bookmarkStart w:id="4605" w:name="_ETM_Q6_211410"/>
      <w:bookmarkEnd w:id="4605"/>
      <w:r>
        <w:rPr>
          <w:rFonts w:hint="cs"/>
          <w:rtl/>
        </w:rPr>
        <w:t xml:space="preserve">מדוע </w:t>
      </w:r>
      <w:bookmarkStart w:id="4606" w:name="_ETM_Q6_211980"/>
      <w:bookmarkEnd w:id="4606"/>
      <w:r>
        <w:rPr>
          <w:rFonts w:hint="cs"/>
          <w:rtl/>
        </w:rPr>
        <w:t xml:space="preserve">29 </w:t>
      </w:r>
      <w:bookmarkStart w:id="4607" w:name="_ETM_Q6_212790"/>
      <w:bookmarkEnd w:id="4607"/>
      <w:r>
        <w:rPr>
          <w:rFonts w:hint="cs"/>
          <w:rtl/>
        </w:rPr>
        <w:t xml:space="preserve">שבועות </w:t>
      </w:r>
      <w:bookmarkStart w:id="4608" w:name="_ETM_Q6_213540"/>
      <w:bookmarkEnd w:id="4608"/>
      <w:r>
        <w:rPr>
          <w:rFonts w:hint="cs"/>
          <w:rtl/>
        </w:rPr>
        <w:t xml:space="preserve">אנשים </w:t>
      </w:r>
      <w:bookmarkStart w:id="4609" w:name="_ETM_Q6_213960"/>
      <w:bookmarkEnd w:id="4609"/>
      <w:r>
        <w:rPr>
          <w:rFonts w:hint="cs"/>
          <w:rtl/>
        </w:rPr>
        <w:t xml:space="preserve">יוצאים </w:t>
      </w:r>
      <w:bookmarkStart w:id="4610" w:name="_ETM_Q6_214290"/>
      <w:bookmarkEnd w:id="4610"/>
      <w:r>
        <w:rPr>
          <w:rFonts w:hint="cs"/>
          <w:rtl/>
        </w:rPr>
        <w:t xml:space="preserve">מהבית? </w:t>
      </w:r>
      <w:bookmarkStart w:id="4611" w:name="_ETM_Q6_215270"/>
      <w:bookmarkEnd w:id="4611"/>
      <w:r>
        <w:rPr>
          <w:rFonts w:hint="cs"/>
          <w:rtl/>
        </w:rPr>
        <w:t xml:space="preserve">הם </w:t>
      </w:r>
      <w:bookmarkStart w:id="4612" w:name="_ETM_Q6_215420"/>
      <w:bookmarkEnd w:id="4612"/>
      <w:r>
        <w:rPr>
          <w:rFonts w:hint="cs"/>
          <w:rtl/>
        </w:rPr>
        <w:t xml:space="preserve">יוצאים </w:t>
      </w:r>
      <w:bookmarkStart w:id="4613" w:name="_ETM_Q6_215690"/>
      <w:bookmarkEnd w:id="4613"/>
      <w:r>
        <w:rPr>
          <w:rFonts w:hint="cs"/>
          <w:rtl/>
        </w:rPr>
        <w:t xml:space="preserve">כי </w:t>
      </w:r>
      <w:bookmarkStart w:id="4614" w:name="_ETM_Q6_215840"/>
      <w:bookmarkEnd w:id="4614"/>
      <w:r>
        <w:rPr>
          <w:rFonts w:hint="cs"/>
          <w:rtl/>
        </w:rPr>
        <w:t xml:space="preserve">הם </w:t>
      </w:r>
      <w:bookmarkStart w:id="4615" w:name="_ETM_Q6_215930"/>
      <w:bookmarkEnd w:id="4615"/>
      <w:r>
        <w:rPr>
          <w:rFonts w:hint="cs"/>
          <w:rtl/>
        </w:rPr>
        <w:t xml:space="preserve">רואים, </w:t>
      </w:r>
      <w:bookmarkStart w:id="4616" w:name="_ETM_Q6_216670"/>
      <w:bookmarkEnd w:id="4616"/>
      <w:r>
        <w:rPr>
          <w:rFonts w:hint="cs"/>
          <w:rtl/>
        </w:rPr>
        <w:t xml:space="preserve">הם </w:t>
      </w:r>
      <w:bookmarkStart w:id="4617" w:name="_ETM_Q6_216909"/>
      <w:bookmarkEnd w:id="4617"/>
      <w:r>
        <w:rPr>
          <w:rFonts w:hint="cs"/>
          <w:rtl/>
        </w:rPr>
        <w:t xml:space="preserve">יוצאים </w:t>
      </w:r>
      <w:bookmarkStart w:id="4618" w:name="_ETM_Q6_217120"/>
      <w:bookmarkEnd w:id="4618"/>
      <w:r>
        <w:rPr>
          <w:rFonts w:hint="cs"/>
          <w:rtl/>
        </w:rPr>
        <w:t xml:space="preserve">כי </w:t>
      </w:r>
      <w:bookmarkStart w:id="4619" w:name="_ETM_Q6_217239"/>
      <w:bookmarkEnd w:id="4619"/>
      <w:r>
        <w:rPr>
          <w:rFonts w:hint="cs"/>
          <w:rtl/>
        </w:rPr>
        <w:t xml:space="preserve">הם </w:t>
      </w:r>
      <w:bookmarkStart w:id="4620" w:name="_ETM_Q6_217329"/>
      <w:bookmarkEnd w:id="4620"/>
      <w:r>
        <w:rPr>
          <w:rFonts w:hint="cs"/>
          <w:rtl/>
        </w:rPr>
        <w:t xml:space="preserve">מבינים, </w:t>
      </w:r>
      <w:bookmarkStart w:id="4621" w:name="_ETM_Q6_218559"/>
      <w:bookmarkEnd w:id="4621"/>
      <w:r>
        <w:rPr>
          <w:rFonts w:hint="cs"/>
          <w:rtl/>
        </w:rPr>
        <w:t xml:space="preserve">הם </w:t>
      </w:r>
      <w:bookmarkStart w:id="4622" w:name="_ETM_Q6_218710"/>
      <w:bookmarkEnd w:id="4622"/>
      <w:r>
        <w:rPr>
          <w:rFonts w:hint="cs"/>
          <w:rtl/>
        </w:rPr>
        <w:t xml:space="preserve">יוצאים </w:t>
      </w:r>
      <w:bookmarkStart w:id="4623" w:name="_ETM_Q6_219159"/>
      <w:bookmarkEnd w:id="4623"/>
      <w:r>
        <w:rPr>
          <w:rFonts w:hint="cs"/>
          <w:rtl/>
        </w:rPr>
        <w:t xml:space="preserve">כי </w:t>
      </w:r>
      <w:bookmarkStart w:id="4624" w:name="_ETM_Q6_219280"/>
      <w:bookmarkEnd w:id="4624"/>
      <w:r>
        <w:rPr>
          <w:rFonts w:hint="cs"/>
          <w:rtl/>
        </w:rPr>
        <w:t xml:space="preserve">הם </w:t>
      </w:r>
      <w:bookmarkStart w:id="4625" w:name="_ETM_Q6_219370"/>
      <w:bookmarkEnd w:id="4625"/>
      <w:r>
        <w:rPr>
          <w:rFonts w:hint="cs"/>
          <w:rtl/>
        </w:rPr>
        <w:t xml:space="preserve">מבינים </w:t>
      </w:r>
      <w:bookmarkStart w:id="4626" w:name="_ETM_Q6_219729"/>
      <w:bookmarkEnd w:id="4626"/>
      <w:r>
        <w:rPr>
          <w:rFonts w:hint="cs"/>
          <w:rtl/>
        </w:rPr>
        <w:t xml:space="preserve">שאתם </w:t>
      </w:r>
      <w:bookmarkStart w:id="4627" w:name="_ETM_Q6_220000"/>
      <w:bookmarkEnd w:id="4627"/>
      <w:r>
        <w:rPr>
          <w:rFonts w:hint="cs"/>
          <w:rtl/>
        </w:rPr>
        <w:t xml:space="preserve">הולכים </w:t>
      </w:r>
      <w:bookmarkStart w:id="4628" w:name="_ETM_Q6_220210"/>
      <w:bookmarkEnd w:id="4628"/>
      <w:r>
        <w:rPr>
          <w:rFonts w:hint="cs"/>
          <w:rtl/>
        </w:rPr>
        <w:t xml:space="preserve">לפגוע </w:t>
      </w:r>
      <w:bookmarkStart w:id="4629" w:name="_ETM_Q6_221019"/>
      <w:bookmarkEnd w:id="4629"/>
      <w:r>
        <w:rPr>
          <w:rFonts w:hint="cs"/>
          <w:rtl/>
        </w:rPr>
        <w:t xml:space="preserve">לא </w:t>
      </w:r>
      <w:bookmarkStart w:id="4630" w:name="_ETM_Q6_221289"/>
      <w:bookmarkEnd w:id="4630"/>
      <w:r>
        <w:rPr>
          <w:rFonts w:hint="cs"/>
          <w:rtl/>
        </w:rPr>
        <w:t xml:space="preserve">בשאלה </w:t>
      </w:r>
      <w:bookmarkStart w:id="4631" w:name="_ETM_Q6_221829"/>
      <w:bookmarkEnd w:id="4631"/>
      <w:r>
        <w:rPr>
          <w:rFonts w:hint="cs"/>
          <w:rtl/>
        </w:rPr>
        <w:t xml:space="preserve">פוליטית </w:t>
      </w:r>
      <w:bookmarkStart w:id="4632" w:name="_ETM_Q6_222370"/>
      <w:bookmarkEnd w:id="4632"/>
      <w:r>
        <w:rPr>
          <w:rFonts w:hint="cs"/>
          <w:rtl/>
        </w:rPr>
        <w:t xml:space="preserve">של </w:t>
      </w:r>
      <w:bookmarkStart w:id="4633" w:name="_ETM_Q6_222550"/>
      <w:bookmarkEnd w:id="4633"/>
      <w:r>
        <w:rPr>
          <w:rFonts w:hint="cs"/>
          <w:rtl/>
        </w:rPr>
        <w:t>שמאל</w:t>
      </w:r>
      <w:bookmarkStart w:id="4634" w:name="_ETM_Q6_223000"/>
      <w:bookmarkEnd w:id="4634"/>
      <w:r>
        <w:rPr>
          <w:rFonts w:hint="cs"/>
          <w:rtl/>
        </w:rPr>
        <w:t xml:space="preserve">–ימין </w:t>
      </w:r>
      <w:bookmarkStart w:id="4635" w:name="_ETM_Q6_223359"/>
      <w:bookmarkEnd w:id="4635"/>
      <w:r>
        <w:rPr>
          <w:rFonts w:hint="cs"/>
          <w:rtl/>
        </w:rPr>
        <w:t xml:space="preserve">או </w:t>
      </w:r>
      <w:bookmarkStart w:id="4636" w:name="_ETM_Q6_223420"/>
      <w:bookmarkEnd w:id="4636"/>
      <w:r>
        <w:rPr>
          <w:rFonts w:hint="cs"/>
          <w:rtl/>
        </w:rPr>
        <w:t xml:space="preserve">דעות </w:t>
      </w:r>
      <w:bookmarkStart w:id="4637" w:name="_ETM_Q6_223690"/>
      <w:bookmarkEnd w:id="4637"/>
      <w:r>
        <w:rPr>
          <w:rFonts w:hint="cs"/>
          <w:rtl/>
        </w:rPr>
        <w:t xml:space="preserve">פוליטיות; </w:t>
      </w:r>
      <w:bookmarkStart w:id="4638" w:name="_ETM_Q6_224620"/>
      <w:bookmarkStart w:id="4639" w:name="_ETM_Q6_224769"/>
      <w:bookmarkEnd w:id="4638"/>
      <w:bookmarkEnd w:id="4639"/>
      <w:r>
        <w:rPr>
          <w:rFonts w:hint="cs"/>
          <w:rtl/>
        </w:rPr>
        <w:t xml:space="preserve">פוגעים </w:t>
      </w:r>
      <w:bookmarkStart w:id="4640" w:name="_ETM_Q6_225129"/>
      <w:bookmarkEnd w:id="4640"/>
      <w:r>
        <w:rPr>
          <w:rFonts w:hint="cs"/>
          <w:rtl/>
        </w:rPr>
        <w:t xml:space="preserve">בתשתית </w:t>
      </w:r>
      <w:bookmarkStart w:id="4641" w:name="_ETM_Q6_225699"/>
      <w:bookmarkEnd w:id="4641"/>
      <w:r>
        <w:rPr>
          <w:rFonts w:hint="cs"/>
          <w:rtl/>
        </w:rPr>
        <w:t xml:space="preserve">הכי </w:t>
      </w:r>
      <w:bookmarkStart w:id="4642" w:name="_ETM_Q6_225999"/>
      <w:bookmarkEnd w:id="4642"/>
      <w:r>
        <w:rPr>
          <w:rFonts w:hint="cs"/>
          <w:rtl/>
        </w:rPr>
        <w:t xml:space="preserve">בסיסית </w:t>
      </w:r>
      <w:bookmarkStart w:id="4643" w:name="_ETM_Q6_226870"/>
      <w:bookmarkEnd w:id="4643"/>
      <w:r>
        <w:rPr>
          <w:rFonts w:hint="cs"/>
          <w:rtl/>
        </w:rPr>
        <w:t xml:space="preserve">רק </w:t>
      </w:r>
      <w:bookmarkStart w:id="4644" w:name="_ETM_Q6_227109"/>
      <w:bookmarkEnd w:id="4644"/>
      <w:r>
        <w:rPr>
          <w:rFonts w:hint="cs"/>
          <w:rtl/>
        </w:rPr>
        <w:t xml:space="preserve">בגלל </w:t>
      </w:r>
      <w:bookmarkStart w:id="4645" w:name="_ETM_Q6_227319"/>
      <w:bookmarkEnd w:id="4645"/>
      <w:r>
        <w:rPr>
          <w:rFonts w:hint="cs"/>
          <w:rtl/>
        </w:rPr>
        <w:t>דבר</w:t>
      </w:r>
      <w:bookmarkStart w:id="4646" w:name="_ETM_Q6_227559"/>
      <w:bookmarkEnd w:id="4646"/>
      <w:r>
        <w:rPr>
          <w:rFonts w:hint="cs"/>
          <w:rtl/>
        </w:rPr>
        <w:t xml:space="preserve"> אחד, </w:t>
      </w:r>
      <w:bookmarkStart w:id="4647" w:name="_ETM_Q6_228570"/>
      <w:bookmarkEnd w:id="4647"/>
      <w:r>
        <w:rPr>
          <w:rFonts w:hint="cs"/>
          <w:rtl/>
        </w:rPr>
        <w:t xml:space="preserve">בגלל </w:t>
      </w:r>
      <w:bookmarkStart w:id="4648" w:name="_ETM_Q6_228899"/>
      <w:bookmarkEnd w:id="4648"/>
      <w:r>
        <w:rPr>
          <w:rFonts w:hint="cs"/>
          <w:rtl/>
        </w:rPr>
        <w:t xml:space="preserve">שימוש </w:t>
      </w:r>
      <w:bookmarkStart w:id="4649" w:name="_ETM_Q6_229289"/>
      <w:bookmarkEnd w:id="4649"/>
      <w:r>
        <w:rPr>
          <w:rFonts w:hint="cs"/>
          <w:rtl/>
        </w:rPr>
        <w:t xml:space="preserve">בכוח </w:t>
      </w:r>
      <w:bookmarkStart w:id="4650" w:name="_ETM_Q6_229979"/>
      <w:bookmarkEnd w:id="4650"/>
      <w:r>
        <w:rPr>
          <w:rFonts w:hint="cs"/>
          <w:rtl/>
        </w:rPr>
        <w:t xml:space="preserve">מופרז. </w:t>
      </w:r>
      <w:bookmarkStart w:id="4651" w:name="_ETM_Q6_231079"/>
      <w:bookmarkEnd w:id="4651"/>
      <w:r>
        <w:rPr>
          <w:rFonts w:hint="cs"/>
          <w:rtl/>
        </w:rPr>
        <w:t xml:space="preserve">וכשאנשים </w:t>
      </w:r>
      <w:bookmarkStart w:id="4652" w:name="_ETM_Q6_231649"/>
      <w:bookmarkEnd w:id="4652"/>
      <w:r>
        <w:rPr>
          <w:rFonts w:hint="cs"/>
          <w:rtl/>
        </w:rPr>
        <w:t xml:space="preserve">משתמשים </w:t>
      </w:r>
      <w:bookmarkStart w:id="4653" w:name="_ETM_Q6_232010"/>
      <w:bookmarkEnd w:id="4653"/>
      <w:r>
        <w:rPr>
          <w:rFonts w:hint="cs"/>
          <w:rtl/>
        </w:rPr>
        <w:t xml:space="preserve">בכוח </w:t>
      </w:r>
      <w:bookmarkStart w:id="4654" w:name="_ETM_Q6_232309"/>
      <w:bookmarkEnd w:id="4654"/>
      <w:r>
        <w:rPr>
          <w:rFonts w:hint="cs"/>
          <w:rtl/>
        </w:rPr>
        <w:t xml:space="preserve">מופרז, </w:t>
      </w:r>
      <w:bookmarkStart w:id="4655" w:name="_ETM_Q6_233269"/>
      <w:bookmarkEnd w:id="4655"/>
      <w:r>
        <w:rPr>
          <w:rFonts w:hint="cs"/>
          <w:rtl/>
        </w:rPr>
        <w:t xml:space="preserve">העולם </w:t>
      </w:r>
      <w:bookmarkStart w:id="4656" w:name="_ETM_Q6_233600"/>
      <w:bookmarkEnd w:id="4656"/>
      <w:r>
        <w:rPr>
          <w:rFonts w:hint="cs"/>
          <w:rtl/>
        </w:rPr>
        <w:t xml:space="preserve">מתהפך </w:t>
      </w:r>
      <w:bookmarkStart w:id="4657" w:name="_ETM_Q6_234019"/>
      <w:bookmarkEnd w:id="4657"/>
      <w:r>
        <w:rPr>
          <w:rFonts w:hint="cs"/>
          <w:rtl/>
        </w:rPr>
        <w:t>עליהם.</w:t>
      </w:r>
    </w:p>
    <w:p w:rsidR="000C5C1F" w:rsidRDefault="000C5C1F" w:rsidP="00337201">
      <w:pPr>
        <w:rPr>
          <w:rtl/>
        </w:rPr>
      </w:pPr>
    </w:p>
    <w:p w:rsidR="000C5C1F" w:rsidRDefault="000C5C1F" w:rsidP="00337201">
      <w:pPr>
        <w:rPr>
          <w:rtl/>
        </w:rPr>
      </w:pPr>
      <w:bookmarkStart w:id="4658" w:name="_ETM_Q6_237000"/>
      <w:bookmarkStart w:id="4659" w:name="_ETM_Q6_235829"/>
      <w:bookmarkEnd w:id="4658"/>
      <w:bookmarkEnd w:id="4659"/>
      <w:r>
        <w:rPr>
          <w:rFonts w:hint="cs"/>
          <w:rtl/>
        </w:rPr>
        <w:t xml:space="preserve">סמכות </w:t>
      </w:r>
      <w:bookmarkStart w:id="4660" w:name="_ETM_Q6_236309"/>
      <w:bookmarkEnd w:id="4660"/>
      <w:r>
        <w:rPr>
          <w:rFonts w:hint="cs"/>
          <w:rtl/>
        </w:rPr>
        <w:t>הביקורת</w:t>
      </w:r>
      <w:bookmarkStart w:id="4661" w:name="_ETM_Q6_238170"/>
      <w:bookmarkEnd w:id="4661"/>
      <w:r>
        <w:rPr>
          <w:rFonts w:hint="cs"/>
          <w:rtl/>
        </w:rPr>
        <w:t xml:space="preserve">, גם </w:t>
      </w:r>
      <w:bookmarkStart w:id="4662" w:name="_ETM_Q6_238530"/>
      <w:bookmarkEnd w:id="4662"/>
      <w:r>
        <w:rPr>
          <w:rFonts w:hint="cs"/>
          <w:rtl/>
        </w:rPr>
        <w:t xml:space="preserve">לגבי </w:t>
      </w:r>
      <w:bookmarkStart w:id="4663" w:name="_ETM_Q6_238739"/>
      <w:bookmarkEnd w:id="4663"/>
      <w:r>
        <w:rPr>
          <w:rFonts w:hint="cs"/>
          <w:rtl/>
        </w:rPr>
        <w:t>עילת הסבירות</w:t>
      </w:r>
      <w:bookmarkStart w:id="4664" w:name="_ETM_Q6_239010"/>
      <w:bookmarkEnd w:id="4664"/>
      <w:r>
        <w:rPr>
          <w:rFonts w:hint="cs"/>
          <w:rtl/>
        </w:rPr>
        <w:t xml:space="preserve">, </w:t>
      </w:r>
      <w:bookmarkStart w:id="4665" w:name="_ETM_Q6_239730"/>
      <w:bookmarkEnd w:id="4665"/>
      <w:r>
        <w:rPr>
          <w:rFonts w:hint="cs"/>
          <w:rtl/>
        </w:rPr>
        <w:t xml:space="preserve">הוקנתה </w:t>
      </w:r>
      <w:bookmarkStart w:id="4666" w:name="_ETM_Q6_240789"/>
      <w:bookmarkEnd w:id="4666"/>
      <w:r>
        <w:rPr>
          <w:rFonts w:hint="cs"/>
          <w:rtl/>
        </w:rPr>
        <w:t xml:space="preserve">לבית </w:t>
      </w:r>
      <w:bookmarkStart w:id="4667" w:name="_ETM_Q6_241239"/>
      <w:bookmarkEnd w:id="4667"/>
      <w:r>
        <w:rPr>
          <w:rFonts w:hint="cs"/>
          <w:rtl/>
        </w:rPr>
        <w:t xml:space="preserve">המשפט </w:t>
      </w:r>
      <w:bookmarkStart w:id="4668" w:name="_ETM_Q6_241629"/>
      <w:bookmarkEnd w:id="4668"/>
      <w:r>
        <w:rPr>
          <w:rFonts w:hint="cs"/>
          <w:rtl/>
        </w:rPr>
        <w:t xml:space="preserve">העליון </w:t>
      </w:r>
      <w:bookmarkStart w:id="4669" w:name="_ETM_Q6_241989"/>
      <w:bookmarkEnd w:id="4669"/>
      <w:r>
        <w:rPr>
          <w:rFonts w:hint="cs"/>
          <w:rtl/>
        </w:rPr>
        <w:t xml:space="preserve">בשבתו </w:t>
      </w:r>
      <w:bookmarkStart w:id="4670" w:name="_ETM_Q6_242469"/>
      <w:bookmarkEnd w:id="4670"/>
      <w:r>
        <w:rPr>
          <w:rFonts w:hint="cs"/>
          <w:rtl/>
        </w:rPr>
        <w:t xml:space="preserve">כבית </w:t>
      </w:r>
      <w:bookmarkStart w:id="4671" w:name="_ETM_Q6_242709"/>
      <w:bookmarkEnd w:id="4671"/>
      <w:r>
        <w:rPr>
          <w:rFonts w:hint="cs"/>
          <w:rtl/>
        </w:rPr>
        <w:t xml:space="preserve">המשפט </w:t>
      </w:r>
      <w:bookmarkStart w:id="4672" w:name="_ETM_Q6_243100"/>
      <w:bookmarkEnd w:id="4672"/>
      <w:r>
        <w:rPr>
          <w:rFonts w:hint="cs"/>
          <w:rtl/>
        </w:rPr>
        <w:t xml:space="preserve">הגבוה </w:t>
      </w:r>
      <w:bookmarkStart w:id="4673" w:name="_ETM_Q6_243399"/>
      <w:bookmarkEnd w:id="4673"/>
      <w:r>
        <w:rPr>
          <w:rFonts w:hint="cs"/>
          <w:rtl/>
        </w:rPr>
        <w:t xml:space="preserve">לצדק </w:t>
      </w:r>
      <w:bookmarkStart w:id="4674" w:name="_ETM_Q6_244340"/>
      <w:bookmarkEnd w:id="4674"/>
      <w:r>
        <w:rPr>
          <w:rFonts w:hint="cs"/>
          <w:rtl/>
        </w:rPr>
        <w:t xml:space="preserve">עוד </w:t>
      </w:r>
      <w:bookmarkStart w:id="4675" w:name="_ETM_Q6_244520"/>
      <w:bookmarkEnd w:id="4675"/>
      <w:r>
        <w:rPr>
          <w:rFonts w:hint="cs"/>
          <w:rtl/>
        </w:rPr>
        <w:t xml:space="preserve">בתקופת </w:t>
      </w:r>
      <w:bookmarkStart w:id="4676" w:name="_ETM_Q6_245000"/>
      <w:bookmarkEnd w:id="4676"/>
      <w:r>
        <w:rPr>
          <w:rFonts w:hint="cs"/>
          <w:rtl/>
        </w:rPr>
        <w:t xml:space="preserve">המנדט, </w:t>
      </w:r>
      <w:bookmarkStart w:id="4677" w:name="_ETM_Q6_246490"/>
      <w:bookmarkEnd w:id="4677"/>
      <w:r>
        <w:rPr>
          <w:rFonts w:hint="cs"/>
          <w:rtl/>
        </w:rPr>
        <w:t xml:space="preserve">עם </w:t>
      </w:r>
      <w:bookmarkStart w:id="4678" w:name="_ETM_Q6_246640"/>
      <w:bookmarkEnd w:id="4678"/>
      <w:r>
        <w:rPr>
          <w:rFonts w:hint="cs"/>
          <w:rtl/>
        </w:rPr>
        <w:t xml:space="preserve">קום </w:t>
      </w:r>
      <w:bookmarkStart w:id="4679" w:name="_ETM_Q6_246850"/>
      <w:bookmarkEnd w:id="4679"/>
      <w:r>
        <w:rPr>
          <w:rFonts w:hint="cs"/>
          <w:rtl/>
        </w:rPr>
        <w:t xml:space="preserve">המדינה. </w:t>
      </w:r>
      <w:bookmarkStart w:id="4680" w:name="_ETM_Q6_247780"/>
      <w:bookmarkEnd w:id="4680"/>
      <w:r>
        <w:rPr>
          <w:rFonts w:hint="cs"/>
          <w:rtl/>
        </w:rPr>
        <w:t xml:space="preserve">היא </w:t>
      </w:r>
      <w:bookmarkStart w:id="4681" w:name="_ETM_Q6_247899"/>
      <w:bookmarkEnd w:id="4681"/>
      <w:r>
        <w:rPr>
          <w:rFonts w:hint="cs"/>
          <w:rtl/>
        </w:rPr>
        <w:t xml:space="preserve">עוגנה </w:t>
      </w:r>
      <w:bookmarkStart w:id="4682" w:name="_ETM_Q6_248259"/>
      <w:bookmarkEnd w:id="4682"/>
      <w:r>
        <w:rPr>
          <w:rFonts w:hint="cs"/>
          <w:rtl/>
        </w:rPr>
        <w:t xml:space="preserve">בפקודת </w:t>
      </w:r>
      <w:bookmarkStart w:id="4683" w:name="_ETM_Q6_248649"/>
      <w:bookmarkEnd w:id="4683"/>
      <w:r>
        <w:rPr>
          <w:rFonts w:hint="cs"/>
          <w:rtl/>
        </w:rPr>
        <w:t xml:space="preserve">סדרי </w:t>
      </w:r>
      <w:bookmarkStart w:id="4684" w:name="_ETM_Q6_248979"/>
      <w:bookmarkEnd w:id="4684"/>
      <w:r>
        <w:rPr>
          <w:rFonts w:hint="cs"/>
          <w:rtl/>
        </w:rPr>
        <w:t xml:space="preserve">השלטון </w:t>
      </w:r>
      <w:bookmarkStart w:id="4685" w:name="_ETM_Q6_249369"/>
      <w:bookmarkEnd w:id="4685"/>
      <w:r>
        <w:rPr>
          <w:rFonts w:hint="cs"/>
          <w:rtl/>
        </w:rPr>
        <w:t xml:space="preserve">והמשפט, </w:t>
      </w:r>
      <w:bookmarkStart w:id="4686" w:name="_ETM_Q6_250060"/>
      <w:bookmarkEnd w:id="4686"/>
      <w:r>
        <w:rPr>
          <w:rFonts w:hint="cs"/>
          <w:rtl/>
        </w:rPr>
        <w:t xml:space="preserve">1948; </w:t>
      </w:r>
      <w:bookmarkStart w:id="4687" w:name="_ETM_Q6_251900"/>
      <w:bookmarkEnd w:id="4687"/>
      <w:r>
        <w:rPr>
          <w:rFonts w:hint="cs"/>
          <w:rtl/>
        </w:rPr>
        <w:t xml:space="preserve">בהמשך, </w:t>
      </w:r>
      <w:bookmarkStart w:id="4688" w:name="_ETM_Q6_252350"/>
      <w:bookmarkEnd w:id="4688"/>
      <w:r>
        <w:rPr>
          <w:rFonts w:hint="cs"/>
          <w:rtl/>
        </w:rPr>
        <w:t xml:space="preserve">בחוק </w:t>
      </w:r>
      <w:bookmarkStart w:id="4689" w:name="_ETM_Q6_252620"/>
      <w:bookmarkEnd w:id="4689"/>
      <w:r>
        <w:rPr>
          <w:rFonts w:hint="cs"/>
          <w:rtl/>
        </w:rPr>
        <w:t xml:space="preserve">בתי </w:t>
      </w:r>
      <w:bookmarkStart w:id="4690" w:name="_ETM_Q6_252890"/>
      <w:bookmarkEnd w:id="4690"/>
      <w:r>
        <w:rPr>
          <w:rFonts w:hint="cs"/>
          <w:rtl/>
        </w:rPr>
        <w:t xml:space="preserve">המשפט; </w:t>
      </w:r>
      <w:bookmarkStart w:id="4691" w:name="_ETM_Q6_253490"/>
      <w:bookmarkEnd w:id="4691"/>
      <w:r>
        <w:rPr>
          <w:rFonts w:hint="cs"/>
          <w:rtl/>
        </w:rPr>
        <w:t xml:space="preserve">לבסוף, </w:t>
      </w:r>
      <w:bookmarkStart w:id="4692" w:name="_ETM_Q6_253940"/>
      <w:bookmarkEnd w:id="4692"/>
      <w:r>
        <w:rPr>
          <w:rFonts w:hint="cs"/>
          <w:rtl/>
        </w:rPr>
        <w:t xml:space="preserve">בשנת </w:t>
      </w:r>
      <w:bookmarkStart w:id="4693" w:name="_ETM_Q6_254209"/>
      <w:bookmarkEnd w:id="4693"/>
      <w:r>
        <w:rPr>
          <w:rFonts w:hint="cs"/>
          <w:rtl/>
        </w:rPr>
        <w:t xml:space="preserve">1984 </w:t>
      </w:r>
      <w:bookmarkStart w:id="4694" w:name="_ETM_Q6_255140"/>
      <w:bookmarkEnd w:id="4694"/>
      <w:r>
        <w:rPr>
          <w:rFonts w:hint="cs"/>
          <w:rtl/>
        </w:rPr>
        <w:t xml:space="preserve">בסעיף </w:t>
      </w:r>
      <w:bookmarkStart w:id="4695" w:name="_ETM_Q6_255470"/>
      <w:bookmarkEnd w:id="4695"/>
      <w:r>
        <w:rPr>
          <w:rFonts w:hint="cs"/>
          <w:rtl/>
        </w:rPr>
        <w:t xml:space="preserve">15 </w:t>
      </w:r>
      <w:bookmarkStart w:id="4696" w:name="_ETM_Q6_255890"/>
      <w:bookmarkEnd w:id="4696"/>
      <w:r>
        <w:rPr>
          <w:rFonts w:hint="cs"/>
          <w:rtl/>
        </w:rPr>
        <w:t>לחוק-</w:t>
      </w:r>
      <w:bookmarkStart w:id="4697" w:name="_ETM_Q6_256159"/>
      <w:bookmarkEnd w:id="4697"/>
      <w:r>
        <w:rPr>
          <w:rFonts w:hint="cs"/>
          <w:rtl/>
        </w:rPr>
        <w:t>יסוד</w:t>
      </w:r>
      <w:bookmarkStart w:id="4698" w:name="_ETM_Q6_256689"/>
      <w:bookmarkEnd w:id="4698"/>
      <w:r>
        <w:rPr>
          <w:rFonts w:hint="cs"/>
          <w:rtl/>
        </w:rPr>
        <w:t xml:space="preserve">: השפיטה </w:t>
      </w:r>
      <w:bookmarkStart w:id="4699" w:name="_ETM_Q6_257289"/>
      <w:bookmarkEnd w:id="4699"/>
      <w:r>
        <w:rPr>
          <w:rFonts w:hint="cs"/>
          <w:rtl/>
        </w:rPr>
        <w:t>כיום.</w:t>
      </w:r>
      <w:bookmarkStart w:id="4700" w:name="_ETM_Q6_259000"/>
      <w:bookmarkStart w:id="4701" w:name="_ETM_Q6_258250"/>
      <w:bookmarkEnd w:id="4700"/>
      <w:bookmarkEnd w:id="4701"/>
      <w:r>
        <w:rPr>
          <w:rFonts w:hint="cs"/>
          <w:rtl/>
        </w:rPr>
        <w:t xml:space="preserve"> כיום </w:t>
      </w:r>
      <w:bookmarkStart w:id="4702" w:name="_ETM_Q6_258580"/>
      <w:bookmarkEnd w:id="4702"/>
      <w:r>
        <w:rPr>
          <w:rFonts w:hint="cs"/>
          <w:rtl/>
        </w:rPr>
        <w:t xml:space="preserve">סמכותו </w:t>
      </w:r>
      <w:bookmarkStart w:id="4703" w:name="_ETM_Q6_259030"/>
      <w:bookmarkEnd w:id="4703"/>
      <w:r>
        <w:rPr>
          <w:rFonts w:hint="cs"/>
          <w:rtl/>
        </w:rPr>
        <w:t xml:space="preserve">של </w:t>
      </w:r>
      <w:bookmarkStart w:id="4704" w:name="_ETM_Q6_259180"/>
      <w:bookmarkEnd w:id="4704"/>
      <w:r>
        <w:rPr>
          <w:rFonts w:hint="cs"/>
          <w:rtl/>
        </w:rPr>
        <w:t xml:space="preserve">בית </w:t>
      </w:r>
      <w:bookmarkStart w:id="4705" w:name="_ETM_Q6_259360"/>
      <w:bookmarkEnd w:id="4705"/>
      <w:r>
        <w:rPr>
          <w:rFonts w:hint="cs"/>
          <w:rtl/>
        </w:rPr>
        <w:t xml:space="preserve">המשפט </w:t>
      </w:r>
      <w:bookmarkStart w:id="4706" w:name="_ETM_Q6_259750"/>
      <w:bookmarkEnd w:id="4706"/>
      <w:r>
        <w:rPr>
          <w:rFonts w:hint="cs"/>
          <w:rtl/>
        </w:rPr>
        <w:t xml:space="preserve">לקיים </w:t>
      </w:r>
      <w:bookmarkStart w:id="4707" w:name="_ETM_Q6_260110"/>
      <w:bookmarkEnd w:id="4707"/>
      <w:r>
        <w:rPr>
          <w:rFonts w:hint="cs"/>
          <w:rtl/>
        </w:rPr>
        <w:t xml:space="preserve">ביקורת </w:t>
      </w:r>
      <w:bookmarkStart w:id="4708" w:name="_ETM_Q6_260470"/>
      <w:bookmarkEnd w:id="4708"/>
      <w:r>
        <w:rPr>
          <w:rFonts w:hint="cs"/>
          <w:rtl/>
        </w:rPr>
        <w:t xml:space="preserve">שיפוטית </w:t>
      </w:r>
      <w:bookmarkStart w:id="4709" w:name="_ETM_Q6_260890"/>
      <w:bookmarkEnd w:id="4709"/>
      <w:r>
        <w:rPr>
          <w:rFonts w:hint="cs"/>
          <w:rtl/>
        </w:rPr>
        <w:t xml:space="preserve">על </w:t>
      </w:r>
      <w:bookmarkStart w:id="4710" w:name="_ETM_Q6_260980"/>
      <w:bookmarkEnd w:id="4710"/>
      <w:r>
        <w:rPr>
          <w:rFonts w:hint="cs"/>
          <w:rtl/>
        </w:rPr>
        <w:t xml:space="preserve">החלטות </w:t>
      </w:r>
      <w:bookmarkStart w:id="4711" w:name="_ETM_Q6_261370"/>
      <w:bookmarkEnd w:id="4711"/>
      <w:r>
        <w:rPr>
          <w:rFonts w:hint="cs"/>
          <w:rtl/>
        </w:rPr>
        <w:t xml:space="preserve">של </w:t>
      </w:r>
      <w:bookmarkStart w:id="4712" w:name="_ETM_Q6_261520"/>
      <w:bookmarkEnd w:id="4712"/>
      <w:r>
        <w:rPr>
          <w:rFonts w:hint="cs"/>
          <w:rtl/>
        </w:rPr>
        <w:t xml:space="preserve">רשויות </w:t>
      </w:r>
      <w:bookmarkStart w:id="4713" w:name="_ETM_Q6_262060"/>
      <w:bookmarkEnd w:id="4713"/>
      <w:r>
        <w:rPr>
          <w:rFonts w:hint="cs"/>
          <w:rtl/>
        </w:rPr>
        <w:t xml:space="preserve">המדינה </w:t>
      </w:r>
      <w:bookmarkStart w:id="4714" w:name="_ETM_Q6_263020"/>
      <w:bookmarkEnd w:id="4714"/>
      <w:r>
        <w:rPr>
          <w:rFonts w:hint="cs"/>
          <w:rtl/>
        </w:rPr>
        <w:t xml:space="preserve">נובעת </w:t>
      </w:r>
      <w:bookmarkStart w:id="4715" w:name="_ETM_Q6_263440"/>
      <w:bookmarkEnd w:id="4715"/>
      <w:r>
        <w:rPr>
          <w:rFonts w:hint="cs"/>
          <w:rtl/>
        </w:rPr>
        <w:t xml:space="preserve">בעיקרה </w:t>
      </w:r>
      <w:bookmarkStart w:id="4716" w:name="_ETM_Q6_264010"/>
      <w:bookmarkEnd w:id="4716"/>
      <w:r>
        <w:rPr>
          <w:rFonts w:hint="cs"/>
          <w:rtl/>
        </w:rPr>
        <w:t xml:space="preserve">מסעיפים </w:t>
      </w:r>
      <w:bookmarkStart w:id="4717" w:name="_ETM_Q6_264490"/>
      <w:bookmarkEnd w:id="4717"/>
      <w:r>
        <w:rPr>
          <w:rFonts w:hint="cs"/>
          <w:rtl/>
        </w:rPr>
        <w:t>15</w:t>
      </w:r>
      <w:bookmarkStart w:id="4718" w:name="_ETM_Q6_264940"/>
      <w:bookmarkEnd w:id="4718"/>
      <w:r>
        <w:rPr>
          <w:rFonts w:hint="cs"/>
          <w:rtl/>
        </w:rPr>
        <w:t xml:space="preserve">(ג) </w:t>
      </w:r>
      <w:bookmarkStart w:id="4719" w:name="_ETM_Q6_265450"/>
      <w:bookmarkEnd w:id="4719"/>
      <w:r>
        <w:rPr>
          <w:rFonts w:hint="cs"/>
          <w:rtl/>
        </w:rPr>
        <w:t xml:space="preserve">ו-(ד) </w:t>
      </w:r>
      <w:bookmarkStart w:id="4720" w:name="_ETM_Q6_266470"/>
      <w:bookmarkEnd w:id="4720"/>
      <w:r>
        <w:rPr>
          <w:rFonts w:hint="cs"/>
          <w:rtl/>
        </w:rPr>
        <w:t>לחוק-</w:t>
      </w:r>
      <w:bookmarkStart w:id="4721" w:name="_ETM_Q6_266980"/>
      <w:bookmarkEnd w:id="4721"/>
      <w:r>
        <w:rPr>
          <w:rFonts w:hint="cs"/>
          <w:rtl/>
        </w:rPr>
        <w:t xml:space="preserve">יסוד: </w:t>
      </w:r>
      <w:bookmarkStart w:id="4722" w:name="_ETM_Q6_268030"/>
      <w:bookmarkEnd w:id="4722"/>
      <w:r>
        <w:rPr>
          <w:rFonts w:hint="cs"/>
          <w:rtl/>
        </w:rPr>
        <w:t>השפיטה</w:t>
      </w:r>
      <w:bookmarkStart w:id="4723" w:name="_ETM_Q6_270220"/>
      <w:bookmarkEnd w:id="4723"/>
      <w:r>
        <w:rPr>
          <w:rFonts w:hint="cs"/>
          <w:rtl/>
        </w:rPr>
        <w:t xml:space="preserve">, המעניקים </w:t>
      </w:r>
      <w:bookmarkStart w:id="4724" w:name="_ETM_Q6_270729"/>
      <w:bookmarkEnd w:id="4724"/>
      <w:r>
        <w:rPr>
          <w:rFonts w:hint="cs"/>
          <w:rtl/>
        </w:rPr>
        <w:t xml:space="preserve">לבג"ץ </w:t>
      </w:r>
      <w:bookmarkStart w:id="4725" w:name="_ETM_Q6_271180"/>
      <w:bookmarkEnd w:id="4725"/>
      <w:r>
        <w:rPr>
          <w:rFonts w:hint="cs"/>
          <w:rtl/>
        </w:rPr>
        <w:t xml:space="preserve">סמכות </w:t>
      </w:r>
      <w:bookmarkStart w:id="4726" w:name="_ETM_Q6_271600"/>
      <w:bookmarkEnd w:id="4726"/>
      <w:r>
        <w:rPr>
          <w:rFonts w:hint="cs"/>
          <w:rtl/>
        </w:rPr>
        <w:t xml:space="preserve">לדון </w:t>
      </w:r>
      <w:bookmarkStart w:id="4727" w:name="_ETM_Q6_271959"/>
      <w:bookmarkEnd w:id="4727"/>
      <w:r>
        <w:rPr>
          <w:rFonts w:hint="cs"/>
          <w:rtl/>
        </w:rPr>
        <w:t xml:space="preserve">בעניינים, </w:t>
      </w:r>
      <w:bookmarkStart w:id="4728" w:name="_ETM_Q6_272790"/>
      <w:bookmarkEnd w:id="4728"/>
      <w:r>
        <w:rPr>
          <w:rFonts w:hint="cs"/>
          <w:rtl/>
        </w:rPr>
        <w:t xml:space="preserve">ואני </w:t>
      </w:r>
      <w:bookmarkStart w:id="4729" w:name="_ETM_Q6_273060"/>
      <w:bookmarkEnd w:id="4729"/>
      <w:r>
        <w:rPr>
          <w:rFonts w:hint="cs"/>
          <w:rtl/>
        </w:rPr>
        <w:t xml:space="preserve">מצטט, "אשר </w:t>
      </w:r>
      <w:bookmarkStart w:id="4730" w:name="_ETM_Q6_273959"/>
      <w:bookmarkEnd w:id="4730"/>
      <w:r>
        <w:rPr>
          <w:rFonts w:hint="cs"/>
          <w:rtl/>
        </w:rPr>
        <w:t xml:space="preserve">הוא </w:t>
      </w:r>
      <w:bookmarkStart w:id="4731" w:name="_ETM_Q6_274290"/>
      <w:bookmarkEnd w:id="4731"/>
      <w:r>
        <w:rPr>
          <w:rFonts w:hint="cs"/>
          <w:rtl/>
        </w:rPr>
        <w:t xml:space="preserve">רואה צורך </w:t>
      </w:r>
      <w:bookmarkStart w:id="4732" w:name="_ETM_Q6_274950"/>
      <w:bookmarkEnd w:id="4732"/>
      <w:r>
        <w:rPr>
          <w:rFonts w:hint="cs"/>
          <w:rtl/>
        </w:rPr>
        <w:t xml:space="preserve">לתת </w:t>
      </w:r>
      <w:bookmarkStart w:id="4733" w:name="_ETM_Q6_275370"/>
      <w:bookmarkEnd w:id="4733"/>
      <w:r>
        <w:rPr>
          <w:rFonts w:hint="cs"/>
          <w:rtl/>
        </w:rPr>
        <w:t xml:space="preserve">בהם </w:t>
      </w:r>
      <w:bookmarkStart w:id="4734" w:name="_ETM_Q6_275640"/>
      <w:bookmarkEnd w:id="4734"/>
      <w:r>
        <w:rPr>
          <w:rFonts w:hint="cs"/>
          <w:rtl/>
        </w:rPr>
        <w:t xml:space="preserve">סעד </w:t>
      </w:r>
      <w:bookmarkStart w:id="4735" w:name="_ETM_Q6_276120"/>
      <w:bookmarkEnd w:id="4735"/>
      <w:r>
        <w:rPr>
          <w:rFonts w:hint="cs"/>
          <w:rtl/>
        </w:rPr>
        <w:t xml:space="preserve">למען </w:t>
      </w:r>
      <w:bookmarkStart w:id="4736" w:name="_ETM_Q6_276510"/>
      <w:bookmarkEnd w:id="4736"/>
      <w:r>
        <w:rPr>
          <w:rFonts w:hint="cs"/>
          <w:rtl/>
        </w:rPr>
        <w:t xml:space="preserve">הצדק </w:t>
      </w:r>
      <w:bookmarkStart w:id="4737" w:name="_ETM_Q6_277609"/>
      <w:bookmarkEnd w:id="4737"/>
      <w:r>
        <w:rPr>
          <w:rFonts w:hint="cs"/>
          <w:rtl/>
        </w:rPr>
        <w:t xml:space="preserve">ואשר </w:t>
      </w:r>
      <w:bookmarkStart w:id="4738" w:name="_ETM_Q6_277939"/>
      <w:bookmarkEnd w:id="4738"/>
      <w:r>
        <w:rPr>
          <w:rFonts w:hint="cs"/>
          <w:rtl/>
        </w:rPr>
        <w:t xml:space="preserve">אינם </w:t>
      </w:r>
      <w:bookmarkStart w:id="4739" w:name="_ETM_Q6_278209"/>
      <w:bookmarkEnd w:id="4739"/>
      <w:r>
        <w:rPr>
          <w:rFonts w:hint="cs"/>
          <w:rtl/>
        </w:rPr>
        <w:t xml:space="preserve">בסמכותו </w:t>
      </w:r>
      <w:bookmarkStart w:id="4740" w:name="_ETM_Q6_278689"/>
      <w:bookmarkEnd w:id="4740"/>
      <w:r>
        <w:rPr>
          <w:rFonts w:hint="cs"/>
          <w:rtl/>
        </w:rPr>
        <w:t xml:space="preserve">של </w:t>
      </w:r>
      <w:bookmarkStart w:id="4741" w:name="_ETM_Q6_278840"/>
      <w:bookmarkEnd w:id="4741"/>
      <w:r>
        <w:rPr>
          <w:rFonts w:hint="cs"/>
          <w:rtl/>
        </w:rPr>
        <w:t xml:space="preserve">בית </w:t>
      </w:r>
      <w:bookmarkStart w:id="4742" w:name="_ETM_Q6_279020"/>
      <w:bookmarkEnd w:id="4742"/>
      <w:r>
        <w:rPr>
          <w:rFonts w:hint="cs"/>
          <w:rtl/>
        </w:rPr>
        <w:t xml:space="preserve">המשפט </w:t>
      </w:r>
      <w:bookmarkStart w:id="4743" w:name="_ETM_Q6_279439"/>
      <w:bookmarkEnd w:id="4743"/>
      <w:r>
        <w:rPr>
          <w:rFonts w:hint="cs"/>
          <w:rtl/>
        </w:rPr>
        <w:t xml:space="preserve">או </w:t>
      </w:r>
      <w:bookmarkStart w:id="4744" w:name="_ETM_Q6_279499"/>
      <w:bookmarkEnd w:id="4744"/>
      <w:r>
        <w:rPr>
          <w:rFonts w:hint="cs"/>
          <w:rtl/>
        </w:rPr>
        <w:t xml:space="preserve">של בית </w:t>
      </w:r>
      <w:bookmarkStart w:id="4745" w:name="_ETM_Q6_279859"/>
      <w:bookmarkEnd w:id="4745"/>
      <w:r>
        <w:rPr>
          <w:rFonts w:hint="cs"/>
          <w:rtl/>
        </w:rPr>
        <w:t xml:space="preserve">דין </w:t>
      </w:r>
      <w:bookmarkStart w:id="4746" w:name="_ETM_Q6_280039"/>
      <w:bookmarkEnd w:id="4746"/>
      <w:r>
        <w:rPr>
          <w:rFonts w:hint="cs"/>
          <w:rtl/>
        </w:rPr>
        <w:t xml:space="preserve">אחר". </w:t>
      </w:r>
      <w:bookmarkStart w:id="4747" w:name="_ETM_Q6_281180"/>
      <w:bookmarkEnd w:id="4747"/>
    </w:p>
    <w:p w:rsidR="000C5C1F" w:rsidRDefault="000C5C1F" w:rsidP="00337201">
      <w:pPr>
        <w:rPr>
          <w:rtl/>
        </w:rPr>
      </w:pPr>
      <w:bookmarkStart w:id="4748" w:name="_ETM_Q6_282000"/>
      <w:bookmarkEnd w:id="4748"/>
    </w:p>
    <w:p w:rsidR="000C5C1F" w:rsidRDefault="000C5C1F" w:rsidP="00337201">
      <w:pPr>
        <w:rPr>
          <w:rtl/>
        </w:rPr>
      </w:pPr>
      <w:r>
        <w:rPr>
          <w:rFonts w:hint="cs"/>
          <w:rtl/>
        </w:rPr>
        <w:t xml:space="preserve">רבות </w:t>
      </w:r>
      <w:bookmarkStart w:id="4749" w:name="_ETM_Q6_281569"/>
      <w:bookmarkEnd w:id="4749"/>
      <w:r>
        <w:rPr>
          <w:rFonts w:hint="cs"/>
          <w:rtl/>
        </w:rPr>
        <w:t xml:space="preserve">דובר, </w:t>
      </w:r>
      <w:bookmarkStart w:id="4750" w:name="_ETM_Q6_281900"/>
      <w:bookmarkEnd w:id="4750"/>
      <w:r>
        <w:rPr>
          <w:rFonts w:hint="cs"/>
          <w:rtl/>
        </w:rPr>
        <w:t xml:space="preserve">גם </w:t>
      </w:r>
      <w:bookmarkStart w:id="4751" w:name="_ETM_Q6_282110"/>
      <w:bookmarkEnd w:id="4751"/>
      <w:r>
        <w:rPr>
          <w:rFonts w:hint="cs"/>
          <w:rtl/>
        </w:rPr>
        <w:t xml:space="preserve">בוועדה </w:t>
      </w:r>
      <w:bookmarkStart w:id="4752" w:name="_ETM_Q6_282590"/>
      <w:bookmarkEnd w:id="4752"/>
      <w:r>
        <w:rPr>
          <w:rFonts w:hint="cs"/>
          <w:rtl/>
        </w:rPr>
        <w:t xml:space="preserve">ובהרבה </w:t>
      </w:r>
      <w:bookmarkStart w:id="4753" w:name="_ETM_Q6_282860"/>
      <w:bookmarkEnd w:id="4753"/>
      <w:r>
        <w:rPr>
          <w:rFonts w:hint="cs"/>
          <w:rtl/>
        </w:rPr>
        <w:t xml:space="preserve">מקומות, </w:t>
      </w:r>
      <w:bookmarkStart w:id="4754" w:name="_ETM_Q6_283400"/>
      <w:bookmarkEnd w:id="4754"/>
      <w:r>
        <w:rPr>
          <w:rFonts w:hint="cs"/>
          <w:rtl/>
        </w:rPr>
        <w:t xml:space="preserve">בדיבורים </w:t>
      </w:r>
      <w:bookmarkStart w:id="4755" w:name="_ETM_Q6_284300"/>
      <w:bookmarkEnd w:id="4755"/>
      <w:r>
        <w:rPr>
          <w:rFonts w:hint="cs"/>
          <w:rtl/>
        </w:rPr>
        <w:t xml:space="preserve">פה </w:t>
      </w:r>
      <w:bookmarkStart w:id="4756" w:name="_ETM_Q6_284450"/>
      <w:bookmarkEnd w:id="4756"/>
      <w:r>
        <w:rPr>
          <w:rFonts w:hint="cs"/>
          <w:rtl/>
        </w:rPr>
        <w:t xml:space="preserve">בכנסת, </w:t>
      </w:r>
      <w:bookmarkStart w:id="4757" w:name="_ETM_Q6_285050"/>
      <w:bookmarkEnd w:id="4757"/>
      <w:r>
        <w:rPr>
          <w:rFonts w:hint="cs"/>
          <w:rtl/>
        </w:rPr>
        <w:t xml:space="preserve">בדיבורים </w:t>
      </w:r>
      <w:bookmarkStart w:id="4758" w:name="_ETM_Q6_285470"/>
      <w:bookmarkEnd w:id="4758"/>
      <w:r>
        <w:rPr>
          <w:rFonts w:hint="cs"/>
          <w:rtl/>
        </w:rPr>
        <w:t xml:space="preserve">במסדרונות, </w:t>
      </w:r>
      <w:bookmarkStart w:id="4759" w:name="_ETM_Q6_286550"/>
      <w:bookmarkEnd w:id="4759"/>
      <w:r>
        <w:rPr>
          <w:rFonts w:hint="cs"/>
          <w:rtl/>
        </w:rPr>
        <w:t xml:space="preserve">בראיונות </w:t>
      </w:r>
      <w:bookmarkStart w:id="4760" w:name="_ETM_Q6_287000"/>
      <w:bookmarkEnd w:id="4760"/>
      <w:r>
        <w:rPr>
          <w:rFonts w:hint="cs"/>
          <w:rtl/>
        </w:rPr>
        <w:t xml:space="preserve">בטלוויזיה, </w:t>
      </w:r>
      <w:bookmarkStart w:id="4761" w:name="_ETM_Q6_287930"/>
      <w:bookmarkEnd w:id="4761"/>
      <w:r>
        <w:rPr>
          <w:rFonts w:hint="cs"/>
          <w:rtl/>
        </w:rPr>
        <w:t xml:space="preserve">בתקשורת </w:t>
      </w:r>
      <w:bookmarkStart w:id="4762" w:name="_ETM_Q6_288530"/>
      <w:bookmarkEnd w:id="4762"/>
      <w:r>
        <w:rPr>
          <w:rFonts w:hint="cs"/>
          <w:rtl/>
        </w:rPr>
        <w:t xml:space="preserve">בכלל. </w:t>
      </w:r>
      <w:bookmarkStart w:id="4763" w:name="_ETM_Q6_289710"/>
      <w:bookmarkEnd w:id="4763"/>
      <w:r>
        <w:rPr>
          <w:rFonts w:hint="cs"/>
          <w:rtl/>
        </w:rPr>
        <w:t xml:space="preserve">אומרים </w:t>
      </w:r>
      <w:bookmarkStart w:id="4764" w:name="_ETM_Q6_290010"/>
      <w:bookmarkEnd w:id="4764"/>
      <w:r>
        <w:rPr>
          <w:rFonts w:hint="cs"/>
          <w:rtl/>
        </w:rPr>
        <w:t xml:space="preserve">שעילת </w:t>
      </w:r>
      <w:bookmarkStart w:id="4765" w:name="_ETM_Q6_290369"/>
      <w:bookmarkEnd w:id="4765"/>
      <w:r>
        <w:rPr>
          <w:rFonts w:hint="cs"/>
          <w:rtl/>
        </w:rPr>
        <w:t xml:space="preserve">הסבירות </w:t>
      </w:r>
      <w:bookmarkStart w:id="4766" w:name="_ETM_Q6_290939"/>
      <w:bookmarkEnd w:id="4766"/>
      <w:r>
        <w:rPr>
          <w:rFonts w:hint="cs"/>
          <w:rtl/>
        </w:rPr>
        <w:t xml:space="preserve">היא </w:t>
      </w:r>
      <w:bookmarkStart w:id="4767" w:name="_ETM_Q6_291060"/>
      <w:bookmarkEnd w:id="4767"/>
      <w:r>
        <w:rPr>
          <w:rFonts w:hint="cs"/>
          <w:rtl/>
        </w:rPr>
        <w:t xml:space="preserve">מעומעמת </w:t>
      </w:r>
      <w:bookmarkStart w:id="4768" w:name="_ETM_Q6_291720"/>
      <w:bookmarkEnd w:id="4768"/>
      <w:r>
        <w:rPr>
          <w:rFonts w:hint="cs"/>
          <w:rtl/>
        </w:rPr>
        <w:t>מדי</w:t>
      </w:r>
      <w:bookmarkStart w:id="4769" w:name="_ETM_Q6_293740"/>
      <w:bookmarkEnd w:id="4769"/>
      <w:r>
        <w:rPr>
          <w:rFonts w:hint="cs"/>
          <w:rtl/>
        </w:rPr>
        <w:t xml:space="preserve">, </w:t>
      </w:r>
      <w:bookmarkStart w:id="4770" w:name="_ETM_Q6_296000"/>
      <w:bookmarkEnd w:id="4770"/>
      <w:r>
        <w:rPr>
          <w:rFonts w:hint="cs"/>
          <w:rtl/>
        </w:rPr>
        <w:t xml:space="preserve">היא </w:t>
      </w:r>
      <w:bookmarkStart w:id="4771" w:name="_ETM_Q6_293859"/>
      <w:bookmarkEnd w:id="4771"/>
      <w:r>
        <w:rPr>
          <w:rFonts w:hint="cs"/>
          <w:rtl/>
        </w:rPr>
        <w:t xml:space="preserve">לא </w:t>
      </w:r>
      <w:bookmarkStart w:id="4772" w:name="_ETM_Q6_293979"/>
      <w:bookmarkEnd w:id="4772"/>
      <w:r>
        <w:rPr>
          <w:rFonts w:hint="cs"/>
          <w:rtl/>
        </w:rPr>
        <w:t xml:space="preserve">מדויקת </w:t>
      </w:r>
      <w:bookmarkStart w:id="4773" w:name="_ETM_Q6_294609"/>
      <w:bookmarkEnd w:id="4773"/>
      <w:r>
        <w:rPr>
          <w:rFonts w:hint="cs"/>
          <w:rtl/>
        </w:rPr>
        <w:t xml:space="preserve">מספיק. </w:t>
      </w:r>
      <w:bookmarkStart w:id="4774" w:name="_ETM_Q6_296189"/>
      <w:bookmarkEnd w:id="4774"/>
      <w:r>
        <w:rPr>
          <w:rFonts w:hint="cs"/>
          <w:rtl/>
        </w:rPr>
        <w:t xml:space="preserve">תגידו, </w:t>
      </w:r>
      <w:bookmarkStart w:id="4775" w:name="_ETM_Q6_297139"/>
      <w:bookmarkEnd w:id="4775"/>
      <w:r>
        <w:rPr>
          <w:rFonts w:hint="cs"/>
          <w:rtl/>
        </w:rPr>
        <w:t xml:space="preserve">מה </w:t>
      </w:r>
      <w:bookmarkStart w:id="4776" w:name="_ETM_Q6_297469"/>
      <w:bookmarkEnd w:id="4776"/>
      <w:r>
        <w:rPr>
          <w:rFonts w:hint="cs"/>
          <w:rtl/>
        </w:rPr>
        <w:t xml:space="preserve">אתם </w:t>
      </w:r>
      <w:bookmarkStart w:id="4777" w:name="_ETM_Q6_297679"/>
      <w:bookmarkEnd w:id="4777"/>
      <w:r>
        <w:rPr>
          <w:rFonts w:hint="cs"/>
          <w:rtl/>
        </w:rPr>
        <w:t xml:space="preserve">אומרים </w:t>
      </w:r>
      <w:bookmarkStart w:id="4778" w:name="_ETM_Q6_298069"/>
      <w:bookmarkEnd w:id="4778"/>
      <w:r>
        <w:rPr>
          <w:rFonts w:hint="cs"/>
          <w:rtl/>
        </w:rPr>
        <w:t xml:space="preserve">על </w:t>
      </w:r>
      <w:bookmarkStart w:id="4779" w:name="_ETM_Q6_299069"/>
      <w:bookmarkEnd w:id="4779"/>
      <w:r>
        <w:rPr>
          <w:rFonts w:hint="cs"/>
          <w:rtl/>
        </w:rPr>
        <w:t xml:space="preserve">"סעד </w:t>
      </w:r>
      <w:bookmarkStart w:id="4780" w:name="_ETM_Q6_299549"/>
      <w:bookmarkEnd w:id="4780"/>
      <w:r>
        <w:rPr>
          <w:rFonts w:hint="cs"/>
          <w:rtl/>
        </w:rPr>
        <w:t xml:space="preserve">למען </w:t>
      </w:r>
      <w:bookmarkStart w:id="4781" w:name="_ETM_Q6_299880"/>
      <w:bookmarkEnd w:id="4781"/>
      <w:r>
        <w:rPr>
          <w:rFonts w:hint="cs"/>
          <w:rtl/>
        </w:rPr>
        <w:t xml:space="preserve">הצדק"? </w:t>
      </w:r>
      <w:bookmarkStart w:id="4782" w:name="_ETM_Q6_301670"/>
      <w:bookmarkEnd w:id="4782"/>
      <w:r>
        <w:rPr>
          <w:rFonts w:hint="cs"/>
          <w:rtl/>
        </w:rPr>
        <w:t xml:space="preserve">"צדק" </w:t>
      </w:r>
      <w:bookmarkStart w:id="4783" w:name="_ETM_Q6_302689"/>
      <w:bookmarkEnd w:id="4783"/>
      <w:r>
        <w:rPr>
          <w:rFonts w:hint="cs"/>
          <w:rtl/>
        </w:rPr>
        <w:t xml:space="preserve">ו"סעד </w:t>
      </w:r>
      <w:bookmarkStart w:id="4784" w:name="_ETM_Q6_303079"/>
      <w:bookmarkEnd w:id="4784"/>
      <w:r>
        <w:rPr>
          <w:rFonts w:hint="cs"/>
          <w:rtl/>
        </w:rPr>
        <w:t xml:space="preserve">למען </w:t>
      </w:r>
      <w:bookmarkStart w:id="4785" w:name="_ETM_Q6_303350"/>
      <w:bookmarkEnd w:id="4785"/>
      <w:r>
        <w:rPr>
          <w:rFonts w:hint="cs"/>
          <w:rtl/>
        </w:rPr>
        <w:t xml:space="preserve">הצדק" </w:t>
      </w:r>
      <w:bookmarkStart w:id="4786" w:name="_ETM_Q6_303770"/>
      <w:bookmarkEnd w:id="4786"/>
      <w:r>
        <w:rPr>
          <w:rFonts w:hint="cs"/>
          <w:rtl/>
        </w:rPr>
        <w:t xml:space="preserve">זה </w:t>
      </w:r>
      <w:bookmarkStart w:id="4787" w:name="_ETM_Q6_303889"/>
      <w:bookmarkEnd w:id="4787"/>
      <w:r>
        <w:rPr>
          <w:rFonts w:hint="cs"/>
          <w:rtl/>
        </w:rPr>
        <w:t xml:space="preserve">מדויק? </w:t>
      </w:r>
      <w:bookmarkStart w:id="4788" w:name="_ETM_Q6_305920"/>
      <w:bookmarkEnd w:id="4788"/>
      <w:r>
        <w:rPr>
          <w:rFonts w:hint="cs"/>
          <w:rtl/>
        </w:rPr>
        <w:t xml:space="preserve">בואו </w:t>
      </w:r>
      <w:bookmarkStart w:id="4789" w:name="_ETM_Q6_306159"/>
      <w:bookmarkEnd w:id="4789"/>
      <w:r>
        <w:rPr>
          <w:rFonts w:hint="cs"/>
          <w:rtl/>
        </w:rPr>
        <w:t xml:space="preserve">נטפל </w:t>
      </w:r>
      <w:bookmarkStart w:id="4790" w:name="_ETM_Q6_306490"/>
      <w:bookmarkEnd w:id="4790"/>
      <w:r>
        <w:rPr>
          <w:rFonts w:hint="cs"/>
          <w:rtl/>
        </w:rPr>
        <w:t xml:space="preserve">גם </w:t>
      </w:r>
      <w:bookmarkStart w:id="4791" w:name="_ETM_Q6_306670"/>
      <w:bookmarkEnd w:id="4791"/>
      <w:r>
        <w:rPr>
          <w:rFonts w:hint="cs"/>
          <w:rtl/>
        </w:rPr>
        <w:t xml:space="preserve">בזה. </w:t>
      </w:r>
      <w:bookmarkStart w:id="4792" w:name="_ETM_Q6_308180"/>
      <w:bookmarkEnd w:id="4792"/>
      <w:r>
        <w:rPr>
          <w:rFonts w:hint="cs"/>
          <w:rtl/>
        </w:rPr>
        <w:t xml:space="preserve">אני </w:t>
      </w:r>
      <w:bookmarkStart w:id="4793" w:name="_ETM_Q6_308419"/>
      <w:bookmarkEnd w:id="4793"/>
      <w:r>
        <w:rPr>
          <w:rFonts w:hint="cs"/>
          <w:rtl/>
        </w:rPr>
        <w:t xml:space="preserve">לא </w:t>
      </w:r>
      <w:bookmarkStart w:id="4794" w:name="_ETM_Q6_308480"/>
      <w:bookmarkEnd w:id="4794"/>
      <w:r>
        <w:rPr>
          <w:rFonts w:hint="cs"/>
          <w:rtl/>
        </w:rPr>
        <w:t xml:space="preserve">משוכנע </w:t>
      </w:r>
      <w:bookmarkStart w:id="4795" w:name="_ETM_Q6_308930"/>
      <w:bookmarkEnd w:id="4795"/>
      <w:r>
        <w:rPr>
          <w:rFonts w:hint="cs"/>
          <w:rtl/>
        </w:rPr>
        <w:t xml:space="preserve">שגם </w:t>
      </w:r>
      <w:bookmarkStart w:id="4796" w:name="_ETM_Q6_309230"/>
      <w:bookmarkEnd w:id="4796"/>
      <w:r>
        <w:rPr>
          <w:rFonts w:hint="cs"/>
          <w:rtl/>
        </w:rPr>
        <w:t xml:space="preserve">השלב </w:t>
      </w:r>
      <w:bookmarkStart w:id="4797" w:name="_ETM_Q6_309500"/>
      <w:bookmarkEnd w:id="4797"/>
      <w:r>
        <w:rPr>
          <w:rFonts w:hint="cs"/>
          <w:rtl/>
        </w:rPr>
        <w:t xml:space="preserve">הבא </w:t>
      </w:r>
      <w:bookmarkStart w:id="4798" w:name="_ETM_Q6_309739"/>
      <w:bookmarkStart w:id="4799" w:name="_ETM_Q6_309830"/>
      <w:bookmarkEnd w:id="4798"/>
      <w:bookmarkEnd w:id="4799"/>
      <w:r>
        <w:rPr>
          <w:rFonts w:hint="cs"/>
          <w:rtl/>
        </w:rPr>
        <w:t xml:space="preserve">לא </w:t>
      </w:r>
      <w:bookmarkStart w:id="4800" w:name="_ETM_Q6_309950"/>
      <w:bookmarkEnd w:id="4800"/>
      <w:r>
        <w:rPr>
          <w:rFonts w:hint="cs"/>
          <w:rtl/>
        </w:rPr>
        <w:t xml:space="preserve">יהיה </w:t>
      </w:r>
      <w:bookmarkStart w:id="4801" w:name="_ETM_Q6_310129"/>
      <w:bookmarkEnd w:id="4801"/>
      <w:r>
        <w:rPr>
          <w:rFonts w:hint="cs"/>
          <w:rtl/>
        </w:rPr>
        <w:t xml:space="preserve">זה. </w:t>
      </w:r>
      <w:bookmarkStart w:id="4802" w:name="_ETM_Q6_311070"/>
      <w:bookmarkEnd w:id="4802"/>
      <w:r>
        <w:rPr>
          <w:rFonts w:hint="cs"/>
          <w:rtl/>
        </w:rPr>
        <w:t xml:space="preserve">כשאנשים </w:t>
      </w:r>
      <w:bookmarkStart w:id="4803" w:name="_ETM_Q6_311580"/>
      <w:bookmarkEnd w:id="4803"/>
      <w:r>
        <w:rPr>
          <w:rFonts w:hint="cs"/>
          <w:rtl/>
        </w:rPr>
        <w:t xml:space="preserve">חסרי </w:t>
      </w:r>
      <w:bookmarkStart w:id="4804" w:name="_ETM_Q6_311940"/>
      <w:bookmarkEnd w:id="4804"/>
      <w:r>
        <w:rPr>
          <w:rFonts w:hint="cs"/>
          <w:rtl/>
        </w:rPr>
        <w:t xml:space="preserve">גבולות </w:t>
      </w:r>
      <w:bookmarkStart w:id="4805" w:name="_ETM_Q6_312360"/>
      <w:bookmarkEnd w:id="4805"/>
      <w:r>
        <w:rPr>
          <w:rFonts w:hint="cs"/>
          <w:rtl/>
        </w:rPr>
        <w:t xml:space="preserve">ועכבות </w:t>
      </w:r>
      <w:bookmarkStart w:id="4806" w:name="_ETM_Q6_313350"/>
      <w:bookmarkEnd w:id="4806"/>
      <w:r>
        <w:rPr>
          <w:rFonts w:hint="cs"/>
          <w:rtl/>
        </w:rPr>
        <w:t xml:space="preserve">משתמשים </w:t>
      </w:r>
      <w:bookmarkStart w:id="4807" w:name="_ETM_Q6_313889"/>
      <w:bookmarkEnd w:id="4807"/>
      <w:r>
        <w:rPr>
          <w:rFonts w:hint="cs"/>
          <w:rtl/>
        </w:rPr>
        <w:t xml:space="preserve">בכוח </w:t>
      </w:r>
      <w:bookmarkStart w:id="4808" w:name="_ETM_Q6_314250"/>
      <w:bookmarkEnd w:id="4808"/>
      <w:r>
        <w:rPr>
          <w:rFonts w:hint="cs"/>
          <w:rtl/>
        </w:rPr>
        <w:t xml:space="preserve">שניתן </w:t>
      </w:r>
      <w:bookmarkStart w:id="4809" w:name="_ETM_Q6_314700"/>
      <w:bookmarkEnd w:id="4809"/>
      <w:r>
        <w:rPr>
          <w:rFonts w:hint="cs"/>
          <w:rtl/>
        </w:rPr>
        <w:t xml:space="preserve">להם </w:t>
      </w:r>
      <w:bookmarkStart w:id="4810" w:name="_ETM_Q6_315030"/>
      <w:bookmarkEnd w:id="4810"/>
      <w:r>
        <w:rPr>
          <w:rFonts w:hint="cs"/>
          <w:rtl/>
        </w:rPr>
        <w:t xml:space="preserve">לא </w:t>
      </w:r>
      <w:bookmarkStart w:id="4811" w:name="_ETM_Q6_315210"/>
      <w:bookmarkEnd w:id="4811"/>
      <w:r>
        <w:rPr>
          <w:rFonts w:hint="cs"/>
          <w:rtl/>
        </w:rPr>
        <w:t xml:space="preserve">לטובת </w:t>
      </w:r>
      <w:bookmarkStart w:id="4812" w:name="_ETM_Q6_315660"/>
      <w:bookmarkEnd w:id="4812"/>
      <w:r>
        <w:rPr>
          <w:rFonts w:hint="cs"/>
          <w:rtl/>
        </w:rPr>
        <w:t xml:space="preserve">הכלל </w:t>
      </w:r>
      <w:bookmarkStart w:id="4813" w:name="_ETM_Q6_316680"/>
      <w:bookmarkEnd w:id="4813"/>
      <w:r>
        <w:rPr>
          <w:rFonts w:hint="cs"/>
          <w:rtl/>
        </w:rPr>
        <w:t xml:space="preserve">אלא </w:t>
      </w:r>
      <w:bookmarkStart w:id="4814" w:name="_ETM_Q6_316889"/>
      <w:bookmarkEnd w:id="4814"/>
      <w:r>
        <w:rPr>
          <w:rFonts w:hint="cs"/>
          <w:rtl/>
        </w:rPr>
        <w:t xml:space="preserve">לטובת </w:t>
      </w:r>
      <w:bookmarkStart w:id="4815" w:name="_ETM_Q6_317070"/>
      <w:bookmarkEnd w:id="4815"/>
      <w:r>
        <w:rPr>
          <w:rFonts w:hint="cs"/>
          <w:rtl/>
        </w:rPr>
        <w:t xml:space="preserve">הגחמות </w:t>
      </w:r>
      <w:bookmarkStart w:id="4816" w:name="_ETM_Q6_317700"/>
      <w:bookmarkEnd w:id="4816"/>
      <w:r>
        <w:rPr>
          <w:rFonts w:hint="cs"/>
          <w:rtl/>
        </w:rPr>
        <w:t xml:space="preserve">האישיות </w:t>
      </w:r>
      <w:bookmarkStart w:id="4817" w:name="_ETM_Q6_318150"/>
      <w:bookmarkEnd w:id="4817"/>
      <w:r>
        <w:rPr>
          <w:rFonts w:hint="cs"/>
          <w:rtl/>
        </w:rPr>
        <w:t xml:space="preserve">שלהם, </w:t>
      </w:r>
      <w:bookmarkStart w:id="4818" w:name="_ETM_Q6_318510"/>
      <w:bookmarkEnd w:id="4818"/>
      <w:r>
        <w:rPr>
          <w:rFonts w:hint="cs"/>
          <w:rtl/>
        </w:rPr>
        <w:t xml:space="preserve">זה </w:t>
      </w:r>
      <w:bookmarkStart w:id="4819" w:name="_ETM_Q6_318720"/>
      <w:bookmarkEnd w:id="4819"/>
      <w:r>
        <w:rPr>
          <w:rFonts w:hint="cs"/>
          <w:rtl/>
        </w:rPr>
        <w:t>מה שמופיע</w:t>
      </w:r>
      <w:bookmarkStart w:id="4820" w:name="_ETM_Q6_319169"/>
      <w:bookmarkStart w:id="4821" w:name="_ETM_Q6_319350"/>
      <w:bookmarkStart w:id="4822" w:name="_ETM_Q6_319470"/>
      <w:bookmarkStart w:id="4823" w:name="_ETM_Q6_320480"/>
      <w:bookmarkEnd w:id="4820"/>
      <w:bookmarkEnd w:id="4821"/>
      <w:bookmarkEnd w:id="4822"/>
      <w:bookmarkEnd w:id="4823"/>
      <w:r>
        <w:rPr>
          <w:rFonts w:hint="cs"/>
          <w:rtl/>
        </w:rPr>
        <w:t xml:space="preserve">. </w:t>
      </w:r>
    </w:p>
    <w:p w:rsidR="000C5C1F" w:rsidRDefault="000C5C1F" w:rsidP="00337201">
      <w:pPr>
        <w:rPr>
          <w:rtl/>
        </w:rPr>
      </w:pPr>
      <w:bookmarkStart w:id="4824" w:name="_ETM_Q6_318000"/>
      <w:bookmarkEnd w:id="4824"/>
    </w:p>
    <w:p w:rsidR="000C5C1F" w:rsidRDefault="000C5C1F" w:rsidP="00337201">
      <w:pPr>
        <w:rPr>
          <w:rtl/>
        </w:rPr>
      </w:pPr>
      <w:bookmarkStart w:id="4825" w:name="_ETM_Q6_319000"/>
      <w:bookmarkEnd w:id="4825"/>
      <w:r>
        <w:rPr>
          <w:rFonts w:hint="cs"/>
          <w:rtl/>
        </w:rPr>
        <w:t xml:space="preserve">וזה </w:t>
      </w:r>
      <w:bookmarkStart w:id="4826" w:name="_ETM_Q6_320719"/>
      <w:bookmarkEnd w:id="4826"/>
      <w:r>
        <w:rPr>
          <w:rFonts w:hint="cs"/>
          <w:rtl/>
        </w:rPr>
        <w:t>מופיע</w:t>
      </w:r>
      <w:bookmarkStart w:id="4827" w:name="_ETM_Q6_321169"/>
      <w:bookmarkEnd w:id="4827"/>
      <w:r>
        <w:rPr>
          <w:rFonts w:hint="cs"/>
          <w:rtl/>
        </w:rPr>
        <w:t xml:space="preserve"> – אני </w:t>
      </w:r>
      <w:bookmarkStart w:id="4828" w:name="_ETM_Q6_321349"/>
      <w:bookmarkEnd w:id="4828"/>
      <w:r>
        <w:rPr>
          <w:rFonts w:hint="cs"/>
          <w:rtl/>
        </w:rPr>
        <w:t xml:space="preserve">מחזיר </w:t>
      </w:r>
      <w:bookmarkStart w:id="4829" w:name="_ETM_Q6_321650"/>
      <w:bookmarkEnd w:id="4829"/>
      <w:r>
        <w:rPr>
          <w:rFonts w:hint="cs"/>
          <w:rtl/>
        </w:rPr>
        <w:t xml:space="preserve">אתכם </w:t>
      </w:r>
      <w:bookmarkStart w:id="4830" w:name="_ETM_Q6_321889"/>
      <w:bookmarkEnd w:id="4830"/>
      <w:r>
        <w:rPr>
          <w:rFonts w:hint="cs"/>
          <w:rtl/>
        </w:rPr>
        <w:t xml:space="preserve">שוב </w:t>
      </w:r>
      <w:bookmarkStart w:id="4831" w:name="_ETM_Q6_322690"/>
      <w:bookmarkEnd w:id="4831"/>
      <w:r>
        <w:rPr>
          <w:rFonts w:hint="cs"/>
          <w:rtl/>
        </w:rPr>
        <w:t xml:space="preserve">להסכמים </w:t>
      </w:r>
      <w:bookmarkStart w:id="4832" w:name="_ETM_Q6_323319"/>
      <w:bookmarkEnd w:id="4832"/>
      <w:r>
        <w:rPr>
          <w:rFonts w:hint="cs"/>
          <w:rtl/>
        </w:rPr>
        <w:t xml:space="preserve">הקואליציוניים </w:t>
      </w:r>
      <w:bookmarkStart w:id="4833" w:name="_ETM_Q6_324160"/>
      <w:bookmarkEnd w:id="4833"/>
      <w:r>
        <w:rPr>
          <w:rFonts w:hint="cs"/>
          <w:rtl/>
        </w:rPr>
        <w:t xml:space="preserve">המושחתים </w:t>
      </w:r>
      <w:bookmarkStart w:id="4834" w:name="_ETM_Q6_324849"/>
      <w:bookmarkEnd w:id="4834"/>
      <w:r>
        <w:rPr>
          <w:rFonts w:hint="cs"/>
          <w:rtl/>
        </w:rPr>
        <w:t xml:space="preserve">שאתם </w:t>
      </w:r>
      <w:bookmarkStart w:id="4835" w:name="_ETM_Q6_325300"/>
      <w:bookmarkEnd w:id="4835"/>
      <w:r>
        <w:rPr>
          <w:rFonts w:hint="cs"/>
          <w:rtl/>
        </w:rPr>
        <w:t xml:space="preserve">חתמתם </w:t>
      </w:r>
      <w:bookmarkStart w:id="4836" w:name="_ETM_Q6_325840"/>
      <w:bookmarkEnd w:id="4836"/>
      <w:r>
        <w:rPr>
          <w:rFonts w:hint="cs"/>
          <w:rtl/>
        </w:rPr>
        <w:t>עליהם</w:t>
      </w:r>
      <w:bookmarkStart w:id="4837" w:name="_ETM_Q6_326379"/>
      <w:bookmarkEnd w:id="4837"/>
      <w:r>
        <w:rPr>
          <w:rFonts w:hint="cs"/>
          <w:rtl/>
        </w:rPr>
        <w:t xml:space="preserve">; להיעלמות </w:t>
      </w:r>
      <w:bookmarkStart w:id="4838" w:name="_ETM_Q6_327069"/>
      <w:bookmarkEnd w:id="4838"/>
      <w:r>
        <w:rPr>
          <w:rFonts w:hint="cs"/>
          <w:rtl/>
        </w:rPr>
        <w:t xml:space="preserve">הטוטלית </w:t>
      </w:r>
      <w:bookmarkStart w:id="4839" w:name="_ETM_Q6_327970"/>
      <w:bookmarkEnd w:id="4839"/>
      <w:r>
        <w:rPr>
          <w:rFonts w:hint="cs"/>
          <w:rtl/>
        </w:rPr>
        <w:t xml:space="preserve">של </w:t>
      </w:r>
      <w:bookmarkStart w:id="4840" w:name="_ETM_Q6_328300"/>
      <w:bookmarkEnd w:id="4840"/>
      <w:r>
        <w:rPr>
          <w:rFonts w:hint="cs"/>
          <w:rtl/>
        </w:rPr>
        <w:t xml:space="preserve">הליכוד </w:t>
      </w:r>
      <w:bookmarkStart w:id="4841" w:name="_ETM_Q6_328750"/>
      <w:bookmarkEnd w:id="4841"/>
      <w:r>
        <w:rPr>
          <w:rFonts w:hint="cs"/>
          <w:rtl/>
        </w:rPr>
        <w:t xml:space="preserve">מתוך </w:t>
      </w:r>
      <w:bookmarkStart w:id="4842" w:name="_ETM_Q6_329050"/>
      <w:bookmarkEnd w:id="4842"/>
      <w:r>
        <w:rPr>
          <w:rFonts w:hint="cs"/>
          <w:rtl/>
        </w:rPr>
        <w:t xml:space="preserve">ההסכמים </w:t>
      </w:r>
      <w:bookmarkStart w:id="4843" w:name="_ETM_Q6_329560"/>
      <w:bookmarkEnd w:id="4843"/>
      <w:r>
        <w:rPr>
          <w:rFonts w:hint="cs"/>
          <w:rtl/>
        </w:rPr>
        <w:t xml:space="preserve">האלה; </w:t>
      </w:r>
      <w:bookmarkStart w:id="4844" w:name="_ETM_Q6_330340"/>
      <w:bookmarkEnd w:id="4844"/>
      <w:r>
        <w:rPr>
          <w:rFonts w:hint="cs"/>
          <w:rtl/>
        </w:rPr>
        <w:t xml:space="preserve">לדרך </w:t>
      </w:r>
      <w:bookmarkStart w:id="4845" w:name="_ETM_Q6_330879"/>
      <w:bookmarkEnd w:id="4845"/>
      <w:r>
        <w:rPr>
          <w:rFonts w:hint="cs"/>
          <w:rtl/>
        </w:rPr>
        <w:t xml:space="preserve">שבה </w:t>
      </w:r>
      <w:bookmarkStart w:id="4846" w:name="_ETM_Q6_331269"/>
      <w:bookmarkEnd w:id="4846"/>
      <w:r>
        <w:rPr>
          <w:rFonts w:hint="cs"/>
          <w:rtl/>
        </w:rPr>
        <w:t xml:space="preserve">מיעוט </w:t>
      </w:r>
      <w:bookmarkStart w:id="4847" w:name="_ETM_Q6_331720"/>
      <w:bookmarkEnd w:id="4847"/>
      <w:r>
        <w:rPr>
          <w:rFonts w:hint="cs"/>
          <w:rtl/>
        </w:rPr>
        <w:t xml:space="preserve">קיצוני, </w:t>
      </w:r>
      <w:bookmarkStart w:id="4848" w:name="_ETM_Q6_332650"/>
      <w:bookmarkEnd w:id="4848"/>
      <w:r>
        <w:rPr>
          <w:rFonts w:hint="cs"/>
          <w:rtl/>
        </w:rPr>
        <w:t xml:space="preserve">גזעני, </w:t>
      </w:r>
      <w:bookmarkStart w:id="4849" w:name="_ETM_Q6_334190"/>
      <w:bookmarkEnd w:id="4849"/>
      <w:r>
        <w:rPr>
          <w:rFonts w:hint="cs"/>
          <w:rtl/>
        </w:rPr>
        <w:t xml:space="preserve">לקח </w:t>
      </w:r>
      <w:bookmarkStart w:id="4850" w:name="_ETM_Q6_334700"/>
      <w:bookmarkEnd w:id="4850"/>
      <w:r>
        <w:rPr>
          <w:rFonts w:hint="cs"/>
          <w:rtl/>
        </w:rPr>
        <w:t xml:space="preserve">אתכם </w:t>
      </w:r>
      <w:bookmarkStart w:id="4851" w:name="_ETM_Q6_335060"/>
      <w:bookmarkEnd w:id="4851"/>
      <w:r>
        <w:rPr>
          <w:rFonts w:hint="cs"/>
          <w:rtl/>
        </w:rPr>
        <w:t xml:space="preserve">שבי, </w:t>
      </w:r>
      <w:bookmarkStart w:id="4852" w:name="_ETM_Q6_335720"/>
      <w:bookmarkEnd w:id="4852"/>
      <w:r>
        <w:rPr>
          <w:rFonts w:hint="cs"/>
          <w:rtl/>
        </w:rPr>
        <w:t xml:space="preserve">לקח </w:t>
      </w:r>
      <w:bookmarkStart w:id="4853" w:name="_ETM_Q6_336019"/>
      <w:bookmarkEnd w:id="4853"/>
      <w:r>
        <w:rPr>
          <w:rFonts w:hint="cs"/>
          <w:rtl/>
        </w:rPr>
        <w:t xml:space="preserve">אתכם </w:t>
      </w:r>
      <w:bookmarkStart w:id="4854" w:name="_ETM_Q6_336349"/>
      <w:bookmarkEnd w:id="4854"/>
      <w:r>
        <w:rPr>
          <w:rFonts w:hint="cs"/>
          <w:rtl/>
        </w:rPr>
        <w:t xml:space="preserve">שבי </w:t>
      </w:r>
      <w:bookmarkStart w:id="4855" w:name="_ETM_Q6_337010"/>
      <w:bookmarkEnd w:id="4855"/>
      <w:r>
        <w:rPr>
          <w:rFonts w:hint="cs"/>
          <w:rtl/>
        </w:rPr>
        <w:t xml:space="preserve">לתוך </w:t>
      </w:r>
      <w:bookmarkStart w:id="4856" w:name="_ETM_Q6_337340"/>
      <w:bookmarkEnd w:id="4856"/>
      <w:r>
        <w:rPr>
          <w:rFonts w:hint="cs"/>
          <w:rtl/>
        </w:rPr>
        <w:t xml:space="preserve">ממשלה </w:t>
      </w:r>
      <w:bookmarkStart w:id="4857" w:name="_ETM_Q6_337730"/>
      <w:bookmarkEnd w:id="4857"/>
      <w:r>
        <w:rPr>
          <w:rFonts w:hint="cs"/>
          <w:rtl/>
        </w:rPr>
        <w:t xml:space="preserve">שאתם </w:t>
      </w:r>
      <w:bookmarkStart w:id="4858" w:name="_ETM_Q6_338090"/>
      <w:bookmarkEnd w:id="4858"/>
      <w:r>
        <w:rPr>
          <w:rFonts w:hint="cs"/>
          <w:rtl/>
        </w:rPr>
        <w:t xml:space="preserve">קוראים </w:t>
      </w:r>
      <w:bookmarkStart w:id="4859" w:name="_ETM_Q6_338419"/>
      <w:bookmarkEnd w:id="4859"/>
      <w:r>
        <w:rPr>
          <w:rFonts w:hint="cs"/>
          <w:rtl/>
        </w:rPr>
        <w:t xml:space="preserve">לה </w:t>
      </w:r>
      <w:bookmarkStart w:id="4860" w:name="_ETM_Q6_338810"/>
      <w:bookmarkEnd w:id="4860"/>
      <w:r>
        <w:rPr>
          <w:rFonts w:hint="cs"/>
          <w:rtl/>
        </w:rPr>
        <w:t xml:space="preserve">ימין </w:t>
      </w:r>
      <w:bookmarkStart w:id="4861" w:name="_ETM_Q6_339319"/>
      <w:bookmarkEnd w:id="4861"/>
      <w:r>
        <w:rPr>
          <w:rFonts w:hint="cs"/>
          <w:rtl/>
        </w:rPr>
        <w:t xml:space="preserve">על מלא, </w:t>
      </w:r>
      <w:bookmarkStart w:id="4862" w:name="_ETM_Q6_339650"/>
      <w:bookmarkEnd w:id="4862"/>
      <w:r>
        <w:rPr>
          <w:rFonts w:hint="cs"/>
          <w:rtl/>
        </w:rPr>
        <w:t xml:space="preserve">שלא </w:t>
      </w:r>
      <w:bookmarkStart w:id="4863" w:name="_ETM_Q6_339950"/>
      <w:bookmarkEnd w:id="4863"/>
      <w:r>
        <w:rPr>
          <w:rFonts w:hint="cs"/>
          <w:rtl/>
        </w:rPr>
        <w:t xml:space="preserve">מסוגלת </w:t>
      </w:r>
      <w:bookmarkStart w:id="4864" w:name="_ETM_Q6_340280"/>
      <w:bookmarkEnd w:id="4864"/>
      <w:r>
        <w:rPr>
          <w:rFonts w:hint="cs"/>
          <w:rtl/>
        </w:rPr>
        <w:t xml:space="preserve">לעשות </w:t>
      </w:r>
      <w:bookmarkStart w:id="4865" w:name="_ETM_Q6_340550"/>
      <w:bookmarkEnd w:id="4865"/>
      <w:r>
        <w:rPr>
          <w:rFonts w:hint="cs"/>
          <w:rtl/>
        </w:rPr>
        <w:t xml:space="preserve">דבר </w:t>
      </w:r>
      <w:bookmarkStart w:id="4866" w:name="_ETM_Q6_341060"/>
      <w:bookmarkEnd w:id="4866"/>
      <w:r>
        <w:rPr>
          <w:rFonts w:hint="cs"/>
          <w:rtl/>
        </w:rPr>
        <w:t xml:space="preserve">– לא </w:t>
      </w:r>
      <w:bookmarkStart w:id="4867" w:name="_ETM_Q6_341239"/>
      <w:bookmarkEnd w:id="4867"/>
      <w:r>
        <w:rPr>
          <w:rFonts w:hint="cs"/>
          <w:rtl/>
        </w:rPr>
        <w:t xml:space="preserve">בתחום </w:t>
      </w:r>
      <w:bookmarkStart w:id="4868" w:name="_ETM_Q6_341540"/>
      <w:bookmarkEnd w:id="4868"/>
      <w:r>
        <w:rPr>
          <w:rFonts w:hint="cs"/>
          <w:rtl/>
        </w:rPr>
        <w:t xml:space="preserve">הביטחוני, </w:t>
      </w:r>
      <w:bookmarkStart w:id="4869" w:name="_ETM_Q6_342319"/>
      <w:bookmarkEnd w:id="4869"/>
      <w:r>
        <w:rPr>
          <w:rFonts w:hint="cs"/>
          <w:rtl/>
        </w:rPr>
        <w:t xml:space="preserve">לא </w:t>
      </w:r>
      <w:bookmarkStart w:id="4870" w:name="_ETM_Q6_342500"/>
      <w:bookmarkEnd w:id="4870"/>
      <w:r>
        <w:rPr>
          <w:rFonts w:hint="cs"/>
          <w:rtl/>
        </w:rPr>
        <w:t xml:space="preserve">בתחום </w:t>
      </w:r>
      <w:bookmarkStart w:id="4871" w:name="_ETM_Q6_342800"/>
      <w:bookmarkEnd w:id="4871"/>
      <w:r>
        <w:rPr>
          <w:rFonts w:hint="cs"/>
          <w:rtl/>
        </w:rPr>
        <w:t xml:space="preserve">הכלכלי, </w:t>
      </w:r>
      <w:bookmarkStart w:id="4872" w:name="_ETM_Q6_343580"/>
      <w:bookmarkEnd w:id="4872"/>
      <w:r>
        <w:rPr>
          <w:rFonts w:hint="cs"/>
          <w:rtl/>
        </w:rPr>
        <w:t xml:space="preserve">לא </w:t>
      </w:r>
      <w:bookmarkStart w:id="4873" w:name="_ETM_Q6_343760"/>
      <w:bookmarkEnd w:id="4873"/>
      <w:r>
        <w:rPr>
          <w:rFonts w:hint="cs"/>
          <w:rtl/>
        </w:rPr>
        <w:t xml:space="preserve">בתחום </w:t>
      </w:r>
      <w:bookmarkStart w:id="4874" w:name="_ETM_Q6_344120"/>
      <w:bookmarkEnd w:id="4874"/>
      <w:r>
        <w:rPr>
          <w:rFonts w:hint="cs"/>
          <w:rtl/>
        </w:rPr>
        <w:t xml:space="preserve">המאבק </w:t>
      </w:r>
      <w:bookmarkStart w:id="4875" w:name="_ETM_Q6_344450"/>
      <w:bookmarkEnd w:id="4875"/>
      <w:r>
        <w:rPr>
          <w:rFonts w:hint="cs"/>
          <w:rtl/>
        </w:rPr>
        <w:t xml:space="preserve">בפשיעה. </w:t>
      </w:r>
      <w:bookmarkStart w:id="4876" w:name="_ETM_Q6_345530"/>
      <w:bookmarkEnd w:id="4876"/>
      <w:r>
        <w:rPr>
          <w:rFonts w:hint="cs"/>
          <w:rtl/>
        </w:rPr>
        <w:t xml:space="preserve">משילות, </w:t>
      </w:r>
      <w:bookmarkStart w:id="4877" w:name="_ETM_Q6_346099"/>
      <w:bookmarkEnd w:id="4877"/>
      <w:r>
        <w:rPr>
          <w:rFonts w:hint="cs"/>
          <w:rtl/>
        </w:rPr>
        <w:t xml:space="preserve">אומרים? </w:t>
      </w:r>
      <w:bookmarkStart w:id="4878" w:name="_ETM_Q6_347080"/>
      <w:bookmarkEnd w:id="4878"/>
      <w:r>
        <w:rPr>
          <w:rFonts w:hint="cs"/>
          <w:rtl/>
        </w:rPr>
        <w:t xml:space="preserve">מה </w:t>
      </w:r>
      <w:bookmarkStart w:id="4879" w:name="_ETM_Q6_347260"/>
      <w:bookmarkEnd w:id="4879"/>
      <w:r>
        <w:rPr>
          <w:rFonts w:hint="cs"/>
          <w:rtl/>
        </w:rPr>
        <w:t xml:space="preserve">עם </w:t>
      </w:r>
      <w:bookmarkStart w:id="4880" w:name="_ETM_Q6_347379"/>
      <w:bookmarkEnd w:id="4880"/>
      <w:r>
        <w:rPr>
          <w:rFonts w:hint="cs"/>
          <w:rtl/>
        </w:rPr>
        <w:t>אחריות?</w:t>
      </w:r>
    </w:p>
    <w:p w:rsidR="000C5C1F" w:rsidRDefault="000C5C1F" w:rsidP="00337201">
      <w:pPr>
        <w:rPr>
          <w:rtl/>
        </w:rPr>
      </w:pPr>
      <w:bookmarkStart w:id="4881" w:name="_ETM_Q6_351000"/>
      <w:bookmarkEnd w:id="4881"/>
    </w:p>
    <w:p w:rsidR="000C5C1F" w:rsidRDefault="000C5C1F" w:rsidP="00337201">
      <w:pPr>
        <w:rPr>
          <w:rtl/>
        </w:rPr>
      </w:pPr>
      <w:bookmarkStart w:id="4882" w:name="_ETM_Q6_352000"/>
      <w:bookmarkStart w:id="4883" w:name="_ETM_Q6_351239"/>
      <w:bookmarkEnd w:id="4882"/>
      <w:bookmarkEnd w:id="4883"/>
      <w:r>
        <w:rPr>
          <w:rFonts w:hint="cs"/>
          <w:rtl/>
        </w:rPr>
        <w:t xml:space="preserve">הסיפור </w:t>
      </w:r>
      <w:bookmarkStart w:id="4884" w:name="_ETM_Q6_351780"/>
      <w:bookmarkEnd w:id="4884"/>
      <w:r>
        <w:rPr>
          <w:rFonts w:hint="cs"/>
          <w:rtl/>
        </w:rPr>
        <w:t xml:space="preserve">ממשיך </w:t>
      </w:r>
      <w:bookmarkStart w:id="4885" w:name="_ETM_Q6_353980"/>
      <w:bookmarkEnd w:id="4885"/>
      <w:r>
        <w:rPr>
          <w:rFonts w:hint="cs"/>
          <w:rtl/>
        </w:rPr>
        <w:t xml:space="preserve">כאשר </w:t>
      </w:r>
      <w:bookmarkStart w:id="4886" w:name="_ETM_Q6_354970"/>
      <w:bookmarkEnd w:id="4886"/>
      <w:r>
        <w:rPr>
          <w:rFonts w:hint="cs"/>
          <w:rtl/>
        </w:rPr>
        <w:t xml:space="preserve">מדובר </w:t>
      </w:r>
      <w:bookmarkStart w:id="4887" w:name="_ETM_Q6_355510"/>
      <w:bookmarkEnd w:id="4887"/>
      <w:r>
        <w:rPr>
          <w:rFonts w:hint="cs"/>
          <w:rtl/>
        </w:rPr>
        <w:t xml:space="preserve">בביטול </w:t>
      </w:r>
      <w:bookmarkStart w:id="4888" w:name="_ETM_Q6_356500"/>
      <w:bookmarkEnd w:id="4888"/>
      <w:r>
        <w:rPr>
          <w:rFonts w:hint="cs"/>
          <w:rtl/>
        </w:rPr>
        <w:t xml:space="preserve">החובה. </w:t>
      </w:r>
      <w:bookmarkStart w:id="4889" w:name="_ETM_Q6_356860"/>
      <w:bookmarkEnd w:id="4889"/>
      <w:r>
        <w:rPr>
          <w:rFonts w:hint="cs"/>
          <w:rtl/>
        </w:rPr>
        <w:t xml:space="preserve">הרי </w:t>
      </w:r>
      <w:bookmarkStart w:id="4890" w:name="_ETM_Q6_357280"/>
      <w:bookmarkEnd w:id="4890"/>
      <w:r>
        <w:rPr>
          <w:rFonts w:hint="cs"/>
          <w:rtl/>
        </w:rPr>
        <w:t xml:space="preserve">בתוך </w:t>
      </w:r>
      <w:bookmarkStart w:id="4891" w:name="_ETM_Q6_357580"/>
      <w:bookmarkEnd w:id="4891"/>
      <w:r>
        <w:rPr>
          <w:rFonts w:hint="cs"/>
          <w:rtl/>
        </w:rPr>
        <w:t xml:space="preserve">הוועדה </w:t>
      </w:r>
      <w:bookmarkStart w:id="4892" w:name="_ETM_Q6_359090"/>
      <w:bookmarkEnd w:id="4892"/>
      <w:r>
        <w:rPr>
          <w:rFonts w:hint="cs"/>
          <w:rtl/>
        </w:rPr>
        <w:t xml:space="preserve">עלו </w:t>
      </w:r>
      <w:bookmarkStart w:id="4893" w:name="_ETM_Q6_359330"/>
      <w:bookmarkEnd w:id="4893"/>
      <w:r>
        <w:rPr>
          <w:rFonts w:hint="cs"/>
          <w:rtl/>
        </w:rPr>
        <w:t xml:space="preserve">הרבה </w:t>
      </w:r>
      <w:bookmarkStart w:id="4894" w:name="_ETM_Q6_359510"/>
      <w:bookmarkEnd w:id="4894"/>
      <w:r>
        <w:rPr>
          <w:rFonts w:hint="cs"/>
          <w:rtl/>
        </w:rPr>
        <w:t xml:space="preserve">מאוד </w:t>
      </w:r>
      <w:bookmarkStart w:id="4895" w:name="_ETM_Q6_359720"/>
      <w:bookmarkEnd w:id="4895"/>
      <w:r>
        <w:rPr>
          <w:rFonts w:hint="cs"/>
          <w:rtl/>
        </w:rPr>
        <w:t xml:space="preserve">הצעות. </w:t>
      </w:r>
      <w:bookmarkStart w:id="4896" w:name="_ETM_Q6_360900"/>
      <w:bookmarkEnd w:id="4896"/>
      <w:r>
        <w:rPr>
          <w:rFonts w:hint="cs"/>
          <w:rtl/>
        </w:rPr>
        <w:t xml:space="preserve">למרות </w:t>
      </w:r>
      <w:bookmarkStart w:id="4897" w:name="_ETM_Q6_361290"/>
      <w:bookmarkEnd w:id="4897"/>
      <w:r>
        <w:rPr>
          <w:rFonts w:hint="cs"/>
          <w:rtl/>
        </w:rPr>
        <w:t xml:space="preserve">מה </w:t>
      </w:r>
      <w:bookmarkStart w:id="4898" w:name="_ETM_Q6_361439"/>
      <w:bookmarkEnd w:id="4898"/>
      <w:r>
        <w:rPr>
          <w:rFonts w:hint="cs"/>
          <w:rtl/>
        </w:rPr>
        <w:t xml:space="preserve">שאמר </w:t>
      </w:r>
      <w:bookmarkStart w:id="4899" w:name="_ETM_Q6_361829"/>
      <w:bookmarkEnd w:id="4899"/>
      <w:r>
        <w:rPr>
          <w:rFonts w:hint="cs"/>
          <w:rtl/>
        </w:rPr>
        <w:t xml:space="preserve">יושב-ראש </w:t>
      </w:r>
      <w:bookmarkStart w:id="4900" w:name="_ETM_Q6_362250"/>
      <w:bookmarkEnd w:id="4900"/>
      <w:r>
        <w:rPr>
          <w:rFonts w:hint="cs"/>
          <w:rtl/>
        </w:rPr>
        <w:t xml:space="preserve">הוועדה, </w:t>
      </w:r>
      <w:bookmarkStart w:id="4901" w:name="_ETM_Q6_362760"/>
      <w:bookmarkEnd w:id="4901"/>
      <w:r>
        <w:rPr>
          <w:rFonts w:hint="cs"/>
          <w:rtl/>
        </w:rPr>
        <w:t xml:space="preserve">שהן כאילו </w:t>
      </w:r>
      <w:bookmarkStart w:id="4902" w:name="_ETM_Q6_363299"/>
      <w:bookmarkEnd w:id="4902"/>
      <w:r>
        <w:rPr>
          <w:rFonts w:hint="cs"/>
          <w:rtl/>
        </w:rPr>
        <w:t>נדונו</w:t>
      </w:r>
      <w:bookmarkStart w:id="4903" w:name="_ETM_Q6_363659"/>
      <w:bookmarkEnd w:id="4903"/>
      <w:r>
        <w:rPr>
          <w:rFonts w:hint="cs"/>
          <w:rtl/>
        </w:rPr>
        <w:t xml:space="preserve">, </w:t>
      </w:r>
      <w:bookmarkStart w:id="4904" w:name="_ETM_Q6_364379"/>
      <w:bookmarkEnd w:id="4904"/>
      <w:r>
        <w:rPr>
          <w:rFonts w:hint="cs"/>
          <w:rtl/>
        </w:rPr>
        <w:t xml:space="preserve">והוא אמר </w:t>
      </w:r>
      <w:bookmarkStart w:id="4905" w:name="_ETM_Q6_364650"/>
      <w:bookmarkEnd w:id="4905"/>
      <w:r>
        <w:rPr>
          <w:rFonts w:hint="cs"/>
          <w:rtl/>
        </w:rPr>
        <w:t xml:space="preserve">את </w:t>
      </w:r>
      <w:bookmarkStart w:id="4906" w:name="_ETM_Q6_364769"/>
      <w:bookmarkEnd w:id="4906"/>
      <w:r>
        <w:rPr>
          <w:rFonts w:hint="cs"/>
          <w:rtl/>
        </w:rPr>
        <w:t xml:space="preserve">כל </w:t>
      </w:r>
      <w:bookmarkStart w:id="4907" w:name="_ETM_Q6_364980"/>
      <w:bookmarkEnd w:id="4907"/>
      <w:r>
        <w:rPr>
          <w:rFonts w:hint="cs"/>
          <w:rtl/>
        </w:rPr>
        <w:t xml:space="preserve">השעות, </w:t>
      </w:r>
      <w:bookmarkStart w:id="4908" w:name="_ETM_Q6_365340"/>
      <w:bookmarkEnd w:id="4908"/>
      <w:r>
        <w:rPr>
          <w:rFonts w:hint="cs"/>
          <w:rtl/>
        </w:rPr>
        <w:t xml:space="preserve">אני </w:t>
      </w:r>
      <w:bookmarkStart w:id="4909" w:name="_ETM_Q6_365609"/>
      <w:bookmarkEnd w:id="4909"/>
      <w:r>
        <w:rPr>
          <w:rFonts w:hint="cs"/>
          <w:rtl/>
        </w:rPr>
        <w:t>רוצה להגיד</w:t>
      </w:r>
      <w:bookmarkStart w:id="4910" w:name="_ETM_Q6_365730"/>
      <w:bookmarkStart w:id="4911" w:name="_ETM_Q6_364000"/>
      <w:bookmarkEnd w:id="4910"/>
      <w:bookmarkEnd w:id="4911"/>
      <w:r>
        <w:rPr>
          <w:rFonts w:hint="cs"/>
          <w:rtl/>
        </w:rPr>
        <w:t xml:space="preserve"> לכם מה </w:t>
      </w:r>
      <w:bookmarkStart w:id="4912" w:name="_ETM_Q6_365879"/>
      <w:bookmarkStart w:id="4913" w:name="_ETM_Q6_366000"/>
      <w:bookmarkEnd w:id="4912"/>
      <w:bookmarkEnd w:id="4913"/>
      <w:r>
        <w:rPr>
          <w:rFonts w:hint="cs"/>
          <w:rtl/>
        </w:rPr>
        <w:t xml:space="preserve">הייתה </w:t>
      </w:r>
      <w:bookmarkStart w:id="4914" w:name="_ETM_Q6_366209"/>
      <w:bookmarkEnd w:id="4914"/>
      <w:r>
        <w:rPr>
          <w:rFonts w:hint="cs"/>
          <w:rtl/>
        </w:rPr>
        <w:t xml:space="preserve">הדינמיקה </w:t>
      </w:r>
      <w:bookmarkStart w:id="4915" w:name="_ETM_Q6_366780"/>
      <w:bookmarkEnd w:id="4915"/>
      <w:r>
        <w:rPr>
          <w:rFonts w:hint="cs"/>
          <w:rtl/>
        </w:rPr>
        <w:t xml:space="preserve">בוועדה. </w:t>
      </w:r>
      <w:bookmarkStart w:id="4916" w:name="_ETM_Q6_368620"/>
      <w:bookmarkEnd w:id="4916"/>
      <w:r>
        <w:rPr>
          <w:rFonts w:hint="cs"/>
          <w:rtl/>
        </w:rPr>
        <w:t xml:space="preserve">הדינמיקה </w:t>
      </w:r>
      <w:bookmarkStart w:id="4917" w:name="_ETM_Q6_369250"/>
      <w:bookmarkStart w:id="4918" w:name="_ETM_Q6_369520"/>
      <w:bookmarkEnd w:id="4917"/>
      <w:bookmarkEnd w:id="4918"/>
      <w:r>
        <w:rPr>
          <w:rFonts w:hint="cs"/>
          <w:rtl/>
        </w:rPr>
        <w:t xml:space="preserve">בוועדה </w:t>
      </w:r>
      <w:bookmarkStart w:id="4919" w:name="_ETM_Q6_370060"/>
      <w:bookmarkEnd w:id="4919"/>
      <w:r>
        <w:rPr>
          <w:rFonts w:hint="cs"/>
          <w:rtl/>
        </w:rPr>
        <w:t xml:space="preserve">הייתה של </w:t>
      </w:r>
      <w:bookmarkStart w:id="4920" w:name="_ETM_Q6_370239"/>
      <w:bookmarkEnd w:id="4920"/>
      <w:r>
        <w:rPr>
          <w:rFonts w:hint="cs"/>
          <w:rtl/>
        </w:rPr>
        <w:t xml:space="preserve">הטלת </w:t>
      </w:r>
      <w:bookmarkStart w:id="4921" w:name="_ETM_Q6_370660"/>
      <w:bookmarkEnd w:id="4921"/>
      <w:r>
        <w:rPr>
          <w:rFonts w:hint="cs"/>
          <w:rtl/>
        </w:rPr>
        <w:t xml:space="preserve">אימה </w:t>
      </w:r>
      <w:r>
        <w:rPr>
          <w:rtl/>
        </w:rPr>
        <w:t>–</w:t>
      </w:r>
      <w:r>
        <w:rPr>
          <w:rFonts w:hint="cs"/>
          <w:rtl/>
        </w:rPr>
        <w:t xml:space="preserve"> </w:t>
      </w:r>
      <w:bookmarkStart w:id="4922" w:name="_ETM_Q6_371080"/>
      <w:bookmarkEnd w:id="4922"/>
      <w:r>
        <w:rPr>
          <w:rFonts w:hint="cs"/>
          <w:rtl/>
        </w:rPr>
        <w:t xml:space="preserve">לא </w:t>
      </w:r>
      <w:bookmarkStart w:id="4923" w:name="_ETM_Q6_371230"/>
      <w:bookmarkEnd w:id="4923"/>
      <w:r>
        <w:rPr>
          <w:rFonts w:hint="cs"/>
          <w:rtl/>
        </w:rPr>
        <w:t xml:space="preserve">שאני </w:t>
      </w:r>
      <w:bookmarkStart w:id="4924" w:name="_ETM_Q6_371470"/>
      <w:bookmarkEnd w:id="4924"/>
      <w:r>
        <w:rPr>
          <w:rFonts w:hint="cs"/>
          <w:rtl/>
        </w:rPr>
        <w:t xml:space="preserve">מפחד </w:t>
      </w:r>
      <w:bookmarkStart w:id="4925" w:name="_ETM_Q6_371860"/>
      <w:bookmarkEnd w:id="4925"/>
      <w:r>
        <w:rPr>
          <w:rFonts w:hint="cs"/>
          <w:rtl/>
        </w:rPr>
        <w:t xml:space="preserve">ממנו או </w:t>
      </w:r>
      <w:bookmarkStart w:id="4926" w:name="_ETM_Q6_372160"/>
      <w:bookmarkEnd w:id="4926"/>
      <w:r>
        <w:rPr>
          <w:rFonts w:hint="cs"/>
          <w:rtl/>
        </w:rPr>
        <w:t xml:space="preserve">מישהו </w:t>
      </w:r>
      <w:bookmarkStart w:id="4927" w:name="_ETM_Q6_372370"/>
      <w:bookmarkEnd w:id="4927"/>
      <w:r>
        <w:rPr>
          <w:rFonts w:hint="cs"/>
          <w:rtl/>
        </w:rPr>
        <w:t xml:space="preserve">מפחד </w:t>
      </w:r>
      <w:bookmarkStart w:id="4928" w:name="_ETM_Q6_372760"/>
      <w:bookmarkEnd w:id="4928"/>
      <w:r>
        <w:rPr>
          <w:rFonts w:hint="cs"/>
          <w:rtl/>
        </w:rPr>
        <w:t xml:space="preserve">ממנו, </w:t>
      </w:r>
      <w:bookmarkStart w:id="4929" w:name="_ETM_Q6_373730"/>
      <w:bookmarkEnd w:id="4929"/>
      <w:r>
        <w:rPr>
          <w:rFonts w:hint="cs"/>
          <w:rtl/>
        </w:rPr>
        <w:t xml:space="preserve">אבל </w:t>
      </w:r>
      <w:bookmarkStart w:id="4930" w:name="_ETM_Q6_373970"/>
      <w:bookmarkEnd w:id="4930"/>
      <w:r>
        <w:rPr>
          <w:rFonts w:hint="cs"/>
          <w:rtl/>
        </w:rPr>
        <w:t xml:space="preserve">שיטת </w:t>
      </w:r>
      <w:bookmarkStart w:id="4931" w:name="_ETM_Q6_374300"/>
      <w:bookmarkEnd w:id="4931"/>
      <w:r>
        <w:rPr>
          <w:rFonts w:hint="cs"/>
          <w:rtl/>
        </w:rPr>
        <w:t xml:space="preserve">הדיון </w:t>
      </w:r>
      <w:bookmarkStart w:id="4932" w:name="_ETM_Q6_374780"/>
      <w:bookmarkEnd w:id="4932"/>
      <w:r>
        <w:rPr>
          <w:rFonts w:hint="cs"/>
          <w:rtl/>
        </w:rPr>
        <w:t xml:space="preserve">הייתה </w:t>
      </w:r>
      <w:bookmarkStart w:id="4933" w:name="_ETM_Q6_375080"/>
      <w:bookmarkEnd w:id="4933"/>
      <w:r>
        <w:rPr>
          <w:rFonts w:hint="cs"/>
          <w:rtl/>
        </w:rPr>
        <w:t xml:space="preserve">כזאת: </w:t>
      </w:r>
      <w:bookmarkStart w:id="4934" w:name="_ETM_Q6_376510"/>
      <w:bookmarkEnd w:id="4934"/>
      <w:r>
        <w:rPr>
          <w:rFonts w:hint="cs"/>
          <w:rtl/>
        </w:rPr>
        <w:t xml:space="preserve">לכאורה </w:t>
      </w:r>
      <w:bookmarkStart w:id="4935" w:name="_ETM_Q6_377139"/>
      <w:bookmarkEnd w:id="4935"/>
      <w:r>
        <w:rPr>
          <w:rFonts w:hint="cs"/>
          <w:rtl/>
        </w:rPr>
        <w:t xml:space="preserve">אתה </w:t>
      </w:r>
      <w:bookmarkStart w:id="4936" w:name="_ETM_Q6_377290"/>
      <w:bookmarkEnd w:id="4936"/>
      <w:r>
        <w:rPr>
          <w:rFonts w:hint="cs"/>
          <w:rtl/>
        </w:rPr>
        <w:t xml:space="preserve">בא </w:t>
      </w:r>
      <w:bookmarkStart w:id="4937" w:name="_ETM_Q6_377440"/>
      <w:bookmarkEnd w:id="4937"/>
      <w:r>
        <w:rPr>
          <w:rFonts w:hint="cs"/>
          <w:rtl/>
        </w:rPr>
        <w:t xml:space="preserve">ואומר: </w:t>
      </w:r>
      <w:bookmarkStart w:id="4938" w:name="_ETM_Q6_377830"/>
      <w:bookmarkEnd w:id="4938"/>
      <w:r>
        <w:rPr>
          <w:rFonts w:hint="cs"/>
          <w:rtl/>
        </w:rPr>
        <w:t xml:space="preserve">בואו </w:t>
      </w:r>
      <w:bookmarkStart w:id="4939" w:name="_ETM_Q6_378099"/>
      <w:bookmarkEnd w:id="4939"/>
      <w:r>
        <w:rPr>
          <w:rFonts w:hint="cs"/>
          <w:rtl/>
        </w:rPr>
        <w:t xml:space="preserve">נשמע, </w:t>
      </w:r>
      <w:bookmarkStart w:id="4940" w:name="_ETM_Q6_378430"/>
      <w:bookmarkEnd w:id="4940"/>
      <w:r>
        <w:rPr>
          <w:rFonts w:hint="cs"/>
          <w:rtl/>
        </w:rPr>
        <w:t xml:space="preserve">נשמע, </w:t>
      </w:r>
      <w:bookmarkStart w:id="4941" w:name="_ETM_Q6_378760"/>
      <w:bookmarkEnd w:id="4941"/>
      <w:r>
        <w:rPr>
          <w:rFonts w:hint="cs"/>
          <w:rtl/>
        </w:rPr>
        <w:t xml:space="preserve">נשמע </w:t>
      </w:r>
      <w:bookmarkStart w:id="4942" w:name="_ETM_Q6_380159"/>
      <w:bookmarkEnd w:id="4942"/>
      <w:r>
        <w:rPr>
          <w:rFonts w:hint="cs"/>
          <w:rtl/>
        </w:rPr>
        <w:t xml:space="preserve">– בפועל </w:t>
      </w:r>
      <w:bookmarkStart w:id="4943" w:name="_ETM_Q6_380579"/>
      <w:bookmarkEnd w:id="4943"/>
      <w:r>
        <w:rPr>
          <w:rFonts w:hint="cs"/>
          <w:rtl/>
        </w:rPr>
        <w:t xml:space="preserve">לא </w:t>
      </w:r>
      <w:bookmarkStart w:id="4944" w:name="_ETM_Q6_380669"/>
      <w:bookmarkEnd w:id="4944"/>
      <w:r>
        <w:rPr>
          <w:rFonts w:hint="cs"/>
          <w:rtl/>
        </w:rPr>
        <w:t xml:space="preserve">קורה </w:t>
      </w:r>
      <w:bookmarkStart w:id="4945" w:name="_ETM_Q6_380909"/>
      <w:bookmarkEnd w:id="4945"/>
      <w:r>
        <w:rPr>
          <w:rFonts w:hint="cs"/>
          <w:rtl/>
        </w:rPr>
        <w:t xml:space="preserve">שום </w:t>
      </w:r>
      <w:bookmarkStart w:id="4946" w:name="_ETM_Q6_381090"/>
      <w:bookmarkEnd w:id="4946"/>
      <w:r>
        <w:rPr>
          <w:rFonts w:hint="cs"/>
          <w:rtl/>
        </w:rPr>
        <w:t xml:space="preserve">דבר. </w:t>
      </w:r>
      <w:bookmarkStart w:id="4947" w:name="_ETM_Q6_382529"/>
      <w:bookmarkEnd w:id="4947"/>
      <w:r>
        <w:rPr>
          <w:rFonts w:hint="cs"/>
          <w:rtl/>
        </w:rPr>
        <w:t xml:space="preserve">לא </w:t>
      </w:r>
      <w:bookmarkStart w:id="4948" w:name="_ETM_Q6_382799"/>
      <w:bookmarkEnd w:id="4948"/>
      <w:r>
        <w:rPr>
          <w:rFonts w:hint="cs"/>
          <w:rtl/>
        </w:rPr>
        <w:t xml:space="preserve">קורה </w:t>
      </w:r>
      <w:bookmarkStart w:id="4949" w:name="_ETM_Q6_383069"/>
      <w:bookmarkEnd w:id="4949"/>
      <w:r>
        <w:rPr>
          <w:rFonts w:hint="cs"/>
          <w:rtl/>
        </w:rPr>
        <w:t xml:space="preserve">שום </w:t>
      </w:r>
      <w:bookmarkStart w:id="4950" w:name="_ETM_Q6_383249"/>
      <w:bookmarkEnd w:id="4950"/>
      <w:r>
        <w:rPr>
          <w:rFonts w:hint="cs"/>
          <w:rtl/>
        </w:rPr>
        <w:t>דבר.</w:t>
      </w:r>
    </w:p>
    <w:p w:rsidR="000C5C1F" w:rsidRDefault="000C5C1F" w:rsidP="00337201">
      <w:pPr>
        <w:rPr>
          <w:rtl/>
        </w:rPr>
      </w:pPr>
      <w:bookmarkStart w:id="4951" w:name="_ETM_Q6_385000"/>
      <w:bookmarkEnd w:id="4951"/>
    </w:p>
    <w:p w:rsidR="000C5C1F" w:rsidRDefault="000C5C1F" w:rsidP="00337201">
      <w:pPr>
        <w:rPr>
          <w:rtl/>
        </w:rPr>
      </w:pPr>
      <w:bookmarkStart w:id="4952" w:name="_ETM_Q6_386000"/>
      <w:bookmarkStart w:id="4953" w:name="_ETM_Q6_384780"/>
      <w:bookmarkStart w:id="4954" w:name="_ETM_Q6_385200"/>
      <w:bookmarkEnd w:id="4952"/>
      <w:bookmarkEnd w:id="4953"/>
      <w:bookmarkEnd w:id="4954"/>
      <w:r>
        <w:rPr>
          <w:rFonts w:hint="cs"/>
          <w:rtl/>
        </w:rPr>
        <w:t xml:space="preserve">מגיע </w:t>
      </w:r>
      <w:bookmarkStart w:id="4955" w:name="_ETM_Q6_385770"/>
      <w:bookmarkEnd w:id="4955"/>
      <w:r>
        <w:rPr>
          <w:rFonts w:hint="cs"/>
          <w:rtl/>
        </w:rPr>
        <w:t>פרופ</w:t>
      </w:r>
      <w:bookmarkStart w:id="4956" w:name="_ETM_Q6_386430"/>
      <w:bookmarkEnd w:id="4956"/>
      <w:r>
        <w:rPr>
          <w:rFonts w:hint="cs"/>
          <w:rtl/>
        </w:rPr>
        <w:t xml:space="preserve">' יואב </w:t>
      </w:r>
      <w:bookmarkStart w:id="4957" w:name="_ETM_Q6_386730"/>
      <w:bookmarkEnd w:id="4957"/>
      <w:r>
        <w:rPr>
          <w:rFonts w:hint="cs"/>
          <w:rtl/>
        </w:rPr>
        <w:t xml:space="preserve">דותן, </w:t>
      </w:r>
      <w:bookmarkStart w:id="4958" w:name="_ETM_Q6_388269"/>
      <w:bookmarkEnd w:id="4958"/>
      <w:r>
        <w:rPr>
          <w:rFonts w:hint="cs"/>
          <w:rtl/>
        </w:rPr>
        <w:t xml:space="preserve">אשר </w:t>
      </w:r>
      <w:bookmarkStart w:id="4959" w:name="_ETM_Q6_389439"/>
      <w:bookmarkEnd w:id="4959"/>
      <w:r>
        <w:rPr>
          <w:rFonts w:hint="cs"/>
          <w:rtl/>
        </w:rPr>
        <w:t xml:space="preserve">נהגו, </w:t>
      </w:r>
      <w:bookmarkStart w:id="4960" w:name="_ETM_Q6_389949"/>
      <w:bookmarkEnd w:id="4960"/>
      <w:r>
        <w:rPr>
          <w:rFonts w:hint="cs"/>
          <w:rtl/>
        </w:rPr>
        <w:t xml:space="preserve">לפחות </w:t>
      </w:r>
      <w:bookmarkStart w:id="4961" w:name="_ETM_Q6_390249"/>
      <w:bookmarkEnd w:id="4961"/>
      <w:r>
        <w:rPr>
          <w:rFonts w:hint="cs"/>
          <w:rtl/>
        </w:rPr>
        <w:t xml:space="preserve">בתחילת </w:t>
      </w:r>
      <w:bookmarkStart w:id="4962" w:name="_ETM_Q6_390669"/>
      <w:bookmarkEnd w:id="4962"/>
      <w:r>
        <w:rPr>
          <w:rFonts w:hint="cs"/>
          <w:rtl/>
        </w:rPr>
        <w:t xml:space="preserve">הדרך, </w:t>
      </w:r>
      <w:bookmarkStart w:id="4963" w:name="_ETM_Q6_391419"/>
      <w:bookmarkEnd w:id="4963"/>
      <w:r>
        <w:rPr>
          <w:rFonts w:hint="cs"/>
          <w:rtl/>
        </w:rPr>
        <w:t xml:space="preserve">להתגדר </w:t>
      </w:r>
      <w:bookmarkStart w:id="4964" w:name="_ETM_Q6_392260"/>
      <w:bookmarkEnd w:id="4964"/>
      <w:r>
        <w:rPr>
          <w:rFonts w:hint="cs"/>
          <w:rtl/>
        </w:rPr>
        <w:t xml:space="preserve">בדעותיו </w:t>
      </w:r>
      <w:bookmarkStart w:id="4965" w:name="_ETM_Q6_392980"/>
      <w:bookmarkEnd w:id="4965"/>
      <w:r>
        <w:rPr>
          <w:rFonts w:hint="cs"/>
          <w:rtl/>
        </w:rPr>
        <w:t xml:space="preserve">לגבי </w:t>
      </w:r>
      <w:bookmarkStart w:id="4966" w:name="_ETM_Q6_394120"/>
      <w:bookmarkStart w:id="4967" w:name="_ETM_Q6_394900"/>
      <w:bookmarkEnd w:id="4966"/>
      <w:bookmarkEnd w:id="4967"/>
      <w:r>
        <w:rPr>
          <w:rFonts w:hint="cs"/>
          <w:rtl/>
        </w:rPr>
        <w:t xml:space="preserve">הליברליות </w:t>
      </w:r>
      <w:bookmarkStart w:id="4968" w:name="_ETM_Q6_395469"/>
      <w:bookmarkEnd w:id="4968"/>
      <w:r>
        <w:rPr>
          <w:rFonts w:hint="cs"/>
          <w:rtl/>
        </w:rPr>
        <w:t xml:space="preserve">המופרזת </w:t>
      </w:r>
      <w:bookmarkStart w:id="4969" w:name="_ETM_Q6_395949"/>
      <w:bookmarkEnd w:id="4969"/>
      <w:r>
        <w:rPr>
          <w:rFonts w:hint="cs"/>
          <w:rtl/>
        </w:rPr>
        <w:t xml:space="preserve">של </w:t>
      </w:r>
      <w:bookmarkStart w:id="4970" w:name="_ETM_Q6_397000"/>
      <w:bookmarkEnd w:id="4970"/>
      <w:r>
        <w:rPr>
          <w:rFonts w:hint="cs"/>
          <w:rtl/>
        </w:rPr>
        <w:t xml:space="preserve">בית </w:t>
      </w:r>
      <w:bookmarkStart w:id="4971" w:name="_ETM_Q6_396189"/>
      <w:bookmarkEnd w:id="4971"/>
      <w:r>
        <w:rPr>
          <w:rFonts w:hint="cs"/>
          <w:rtl/>
        </w:rPr>
        <w:t xml:space="preserve">המשפט </w:t>
      </w:r>
      <w:bookmarkStart w:id="4972" w:name="_ETM_Q6_396549"/>
      <w:bookmarkEnd w:id="4972"/>
      <w:r>
        <w:rPr>
          <w:rFonts w:hint="cs"/>
          <w:rtl/>
        </w:rPr>
        <w:t xml:space="preserve">העליון </w:t>
      </w:r>
      <w:bookmarkStart w:id="4973" w:name="_ETM_Q6_396819"/>
      <w:bookmarkEnd w:id="4973"/>
      <w:r>
        <w:rPr>
          <w:rFonts w:hint="cs"/>
          <w:rtl/>
        </w:rPr>
        <w:t xml:space="preserve">וציטטו </w:t>
      </w:r>
      <w:bookmarkStart w:id="4974" w:name="_ETM_Q6_397239"/>
      <w:bookmarkEnd w:id="4974"/>
      <w:r>
        <w:rPr>
          <w:rFonts w:hint="cs"/>
          <w:rtl/>
        </w:rPr>
        <w:t xml:space="preserve">מאמרים </w:t>
      </w:r>
      <w:bookmarkStart w:id="4975" w:name="_ETM_Q6_397659"/>
      <w:bookmarkEnd w:id="4975"/>
      <w:r>
        <w:rPr>
          <w:rFonts w:hint="cs"/>
          <w:rtl/>
        </w:rPr>
        <w:t xml:space="preserve">שלו. </w:t>
      </w:r>
      <w:bookmarkStart w:id="4976" w:name="_ETM_Q6_398349"/>
      <w:bookmarkEnd w:id="4976"/>
      <w:r>
        <w:rPr>
          <w:rFonts w:hint="cs"/>
          <w:rtl/>
        </w:rPr>
        <w:t xml:space="preserve">הוא </w:t>
      </w:r>
      <w:bookmarkStart w:id="4977" w:name="_ETM_Q6_398469"/>
      <w:bookmarkEnd w:id="4977"/>
      <w:r>
        <w:rPr>
          <w:rFonts w:hint="cs"/>
          <w:rtl/>
        </w:rPr>
        <w:t xml:space="preserve">הגיע </w:t>
      </w:r>
      <w:bookmarkStart w:id="4978" w:name="_ETM_Q6_398709"/>
      <w:bookmarkEnd w:id="4978"/>
      <w:r>
        <w:rPr>
          <w:rFonts w:hint="cs"/>
          <w:rtl/>
        </w:rPr>
        <w:t xml:space="preserve">לוועדה. </w:t>
      </w:r>
      <w:bookmarkStart w:id="4979" w:name="_ETM_Q6_400199"/>
      <w:bookmarkEnd w:id="4979"/>
      <w:r>
        <w:rPr>
          <w:rFonts w:hint="cs"/>
          <w:rtl/>
        </w:rPr>
        <w:t xml:space="preserve">הוא </w:t>
      </w:r>
      <w:bookmarkStart w:id="4980" w:name="_ETM_Q6_400319"/>
      <w:bookmarkEnd w:id="4980"/>
      <w:r>
        <w:rPr>
          <w:rFonts w:hint="cs"/>
          <w:rtl/>
        </w:rPr>
        <w:t xml:space="preserve">הגיע </w:t>
      </w:r>
      <w:bookmarkStart w:id="4981" w:name="_ETM_Q6_400499"/>
      <w:bookmarkEnd w:id="4981"/>
      <w:r>
        <w:rPr>
          <w:rFonts w:hint="cs"/>
          <w:rtl/>
        </w:rPr>
        <w:t xml:space="preserve">לוועדה </w:t>
      </w:r>
      <w:bookmarkStart w:id="4982" w:name="_ETM_Q6_400859"/>
      <w:bookmarkEnd w:id="4982"/>
      <w:r>
        <w:rPr>
          <w:rFonts w:hint="cs"/>
          <w:rtl/>
        </w:rPr>
        <w:t xml:space="preserve">והיה </w:t>
      </w:r>
      <w:bookmarkStart w:id="4983" w:name="_ETM_Q6_401069"/>
      <w:bookmarkEnd w:id="4983"/>
      <w:r>
        <w:rPr>
          <w:rFonts w:hint="cs"/>
          <w:rtl/>
        </w:rPr>
        <w:t xml:space="preserve">בזום </w:t>
      </w:r>
      <w:bookmarkStart w:id="4984" w:name="_ETM_Q6_401370"/>
      <w:bookmarkEnd w:id="4984"/>
      <w:r>
        <w:rPr>
          <w:rFonts w:hint="cs"/>
          <w:rtl/>
        </w:rPr>
        <w:t>פעמיים</w:t>
      </w:r>
      <w:bookmarkStart w:id="4985" w:name="_ETM_Q6_402900"/>
      <w:bookmarkEnd w:id="4985"/>
      <w:r>
        <w:rPr>
          <w:rFonts w:hint="cs"/>
          <w:rtl/>
        </w:rPr>
        <w:t xml:space="preserve">. שאלו </w:t>
      </w:r>
      <w:bookmarkStart w:id="4986" w:name="_ETM_Q6_403470"/>
      <w:bookmarkEnd w:id="4986"/>
      <w:r>
        <w:rPr>
          <w:rFonts w:hint="cs"/>
          <w:rtl/>
        </w:rPr>
        <w:t>אותו, ו</w:t>
      </w:r>
      <w:bookmarkStart w:id="4987" w:name="_ETM_Q6_403709"/>
      <w:bookmarkStart w:id="4988" w:name="_ETM_Q6_403980"/>
      <w:bookmarkEnd w:id="4987"/>
      <w:bookmarkEnd w:id="4988"/>
      <w:r>
        <w:rPr>
          <w:rFonts w:hint="cs"/>
          <w:rtl/>
        </w:rPr>
        <w:t>הוא אומר: תשמעו, ה</w:t>
      </w:r>
      <w:bookmarkStart w:id="4989" w:name="_ETM_Q6_404250"/>
      <w:bookmarkEnd w:id="4989"/>
      <w:r>
        <w:rPr>
          <w:rFonts w:hint="cs"/>
          <w:rtl/>
        </w:rPr>
        <w:t xml:space="preserve">הצעה </w:t>
      </w:r>
      <w:bookmarkStart w:id="4990" w:name="_ETM_Q6_404490"/>
      <w:bookmarkEnd w:id="4990"/>
      <w:r>
        <w:rPr>
          <w:rFonts w:hint="cs"/>
          <w:rtl/>
        </w:rPr>
        <w:t xml:space="preserve">הזאת </w:t>
      </w:r>
      <w:bookmarkStart w:id="4991" w:name="_ETM_Q6_404700"/>
      <w:bookmarkEnd w:id="4991"/>
      <w:r>
        <w:rPr>
          <w:rFonts w:hint="cs"/>
          <w:rtl/>
        </w:rPr>
        <w:t xml:space="preserve">לא </w:t>
      </w:r>
      <w:bookmarkStart w:id="4992" w:name="_ETM_Q6_404850"/>
      <w:bookmarkEnd w:id="4992"/>
      <w:r>
        <w:rPr>
          <w:rFonts w:hint="cs"/>
          <w:rtl/>
        </w:rPr>
        <w:t xml:space="preserve">טובה, </w:t>
      </w:r>
      <w:bookmarkStart w:id="4993" w:name="_ETM_Q6_405180"/>
      <w:bookmarkEnd w:id="4993"/>
      <w:r>
        <w:rPr>
          <w:rFonts w:hint="cs"/>
          <w:rtl/>
        </w:rPr>
        <w:t xml:space="preserve">יש </w:t>
      </w:r>
      <w:bookmarkStart w:id="4994" w:name="_ETM_Q6_405330"/>
      <w:bookmarkEnd w:id="4994"/>
      <w:r>
        <w:rPr>
          <w:rFonts w:hint="cs"/>
          <w:rtl/>
        </w:rPr>
        <w:t xml:space="preserve">הצעה </w:t>
      </w:r>
      <w:bookmarkStart w:id="4995" w:name="_ETM_Q6_405600"/>
      <w:bookmarkEnd w:id="4995"/>
      <w:r>
        <w:rPr>
          <w:rFonts w:hint="cs"/>
          <w:rtl/>
        </w:rPr>
        <w:t xml:space="preserve">יותר </w:t>
      </w:r>
      <w:bookmarkStart w:id="4996" w:name="_ETM_Q6_405900"/>
      <w:bookmarkEnd w:id="4996"/>
      <w:r>
        <w:rPr>
          <w:rFonts w:hint="cs"/>
          <w:rtl/>
        </w:rPr>
        <w:t xml:space="preserve">טובה. </w:t>
      </w:r>
      <w:bookmarkStart w:id="4997" w:name="_ETM_Q6_406230"/>
      <w:bookmarkEnd w:id="4997"/>
      <w:r>
        <w:rPr>
          <w:rFonts w:hint="cs"/>
          <w:rtl/>
        </w:rPr>
        <w:t xml:space="preserve">אמרנו </w:t>
      </w:r>
      <w:bookmarkStart w:id="4998" w:name="_ETM_Q6_406560"/>
      <w:bookmarkEnd w:id="4998"/>
      <w:r>
        <w:rPr>
          <w:rFonts w:hint="cs"/>
          <w:rtl/>
        </w:rPr>
        <w:t xml:space="preserve">לו: </w:t>
      </w:r>
      <w:bookmarkStart w:id="4999" w:name="_ETM_Q6_406709"/>
      <w:bookmarkEnd w:id="4999"/>
      <w:r>
        <w:rPr>
          <w:rFonts w:hint="cs"/>
          <w:rtl/>
        </w:rPr>
        <w:t xml:space="preserve">תשמע, </w:t>
      </w:r>
      <w:bookmarkStart w:id="5000" w:name="_ETM_Q6_407100"/>
      <w:bookmarkEnd w:id="5000"/>
      <w:r>
        <w:rPr>
          <w:rFonts w:hint="cs"/>
          <w:rtl/>
        </w:rPr>
        <w:t xml:space="preserve">אז </w:t>
      </w:r>
      <w:bookmarkStart w:id="5001" w:name="_ETM_Q6_407220"/>
      <w:bookmarkEnd w:id="5001"/>
      <w:r>
        <w:rPr>
          <w:rFonts w:hint="cs"/>
          <w:rtl/>
        </w:rPr>
        <w:t xml:space="preserve">בוא </w:t>
      </w:r>
      <w:bookmarkStart w:id="5002" w:name="_ETM_Q6_407370"/>
      <w:bookmarkEnd w:id="5002"/>
      <w:r>
        <w:rPr>
          <w:rFonts w:hint="cs"/>
          <w:rtl/>
        </w:rPr>
        <w:t xml:space="preserve">תשלח. </w:t>
      </w:r>
      <w:bookmarkStart w:id="5003" w:name="_ETM_Q6_408700"/>
      <w:bookmarkEnd w:id="5003"/>
      <w:r>
        <w:rPr>
          <w:rFonts w:hint="cs"/>
          <w:rtl/>
        </w:rPr>
        <w:t xml:space="preserve">זה </w:t>
      </w:r>
      <w:bookmarkStart w:id="5004" w:name="_ETM_Q6_408849"/>
      <w:bookmarkEnd w:id="5004"/>
      <w:r>
        <w:rPr>
          <w:rFonts w:hint="cs"/>
          <w:rtl/>
        </w:rPr>
        <w:t xml:space="preserve">מה </w:t>
      </w:r>
      <w:bookmarkStart w:id="5005" w:name="_ETM_Q6_408940"/>
      <w:bookmarkEnd w:id="5005"/>
      <w:r>
        <w:rPr>
          <w:rFonts w:hint="cs"/>
          <w:rtl/>
        </w:rPr>
        <w:t xml:space="preserve">שהיה. </w:t>
      </w:r>
      <w:bookmarkStart w:id="5006" w:name="_ETM_Q6_409540"/>
      <w:bookmarkEnd w:id="5006"/>
      <w:r>
        <w:rPr>
          <w:rFonts w:hint="cs"/>
          <w:rtl/>
        </w:rPr>
        <w:t xml:space="preserve">הוא </w:t>
      </w:r>
      <w:bookmarkStart w:id="5007" w:name="_ETM_Q6_409629"/>
      <w:bookmarkEnd w:id="5007"/>
      <w:r>
        <w:rPr>
          <w:rFonts w:hint="cs"/>
          <w:rtl/>
        </w:rPr>
        <w:t xml:space="preserve">שלח </w:t>
      </w:r>
      <w:bookmarkStart w:id="5008" w:name="_ETM_Q6_409959"/>
      <w:bookmarkEnd w:id="5008"/>
      <w:r>
        <w:rPr>
          <w:rFonts w:hint="cs"/>
          <w:rtl/>
        </w:rPr>
        <w:t xml:space="preserve">הצעה </w:t>
      </w:r>
      <w:bookmarkStart w:id="5009" w:name="_ETM_Q6_410230"/>
      <w:bookmarkEnd w:id="5009"/>
      <w:r>
        <w:rPr>
          <w:rFonts w:hint="cs"/>
          <w:rtl/>
        </w:rPr>
        <w:t xml:space="preserve">מפורטת </w:t>
      </w:r>
      <w:bookmarkStart w:id="5010" w:name="_ETM_Q6_410830"/>
      <w:bookmarkEnd w:id="5010"/>
      <w:r>
        <w:rPr>
          <w:rFonts w:hint="cs"/>
          <w:rtl/>
        </w:rPr>
        <w:t xml:space="preserve">מה </w:t>
      </w:r>
      <w:bookmarkStart w:id="5011" w:name="_ETM_Q6_410980"/>
      <w:bookmarkEnd w:id="5011"/>
      <w:r>
        <w:rPr>
          <w:rFonts w:hint="cs"/>
          <w:rtl/>
        </w:rPr>
        <w:t xml:space="preserve">נכון </w:t>
      </w:r>
      <w:bookmarkStart w:id="5012" w:name="_ETM_Q6_411370"/>
      <w:bookmarkEnd w:id="5012"/>
      <w:r>
        <w:rPr>
          <w:rFonts w:hint="cs"/>
          <w:rtl/>
        </w:rPr>
        <w:t>לעשות</w:t>
      </w:r>
      <w:bookmarkStart w:id="5013" w:name="_ETM_Q6_411760"/>
      <w:bookmarkStart w:id="5014" w:name="_ETM_Q6_411879"/>
      <w:bookmarkEnd w:id="5013"/>
      <w:bookmarkEnd w:id="5014"/>
      <w:r>
        <w:rPr>
          <w:rFonts w:hint="cs"/>
          <w:rtl/>
        </w:rPr>
        <w:t xml:space="preserve"> לדעתו. </w:t>
      </w:r>
      <w:bookmarkStart w:id="5015" w:name="_ETM_Q6_413360"/>
      <w:bookmarkEnd w:id="5015"/>
      <w:r>
        <w:rPr>
          <w:rFonts w:hint="cs"/>
          <w:rtl/>
        </w:rPr>
        <w:t xml:space="preserve">אמרתי </w:t>
      </w:r>
      <w:bookmarkStart w:id="5016" w:name="_ETM_Q6_413900"/>
      <w:bookmarkStart w:id="5017" w:name="_ETM_Q6_414110"/>
      <w:bookmarkStart w:id="5018" w:name="_ETM_Q6_414870"/>
      <w:bookmarkEnd w:id="5016"/>
      <w:bookmarkEnd w:id="5017"/>
      <w:bookmarkEnd w:id="5018"/>
      <w:r>
        <w:rPr>
          <w:rFonts w:hint="cs"/>
          <w:rtl/>
        </w:rPr>
        <w:t xml:space="preserve">לשמחה רוטמן: שים </w:t>
      </w:r>
      <w:bookmarkStart w:id="5019" w:name="_ETM_Q6_415079"/>
      <w:bookmarkEnd w:id="5019"/>
      <w:r>
        <w:rPr>
          <w:rFonts w:hint="cs"/>
          <w:rtl/>
        </w:rPr>
        <w:t xml:space="preserve">את </w:t>
      </w:r>
      <w:bookmarkStart w:id="5020" w:name="_ETM_Q6_415169"/>
      <w:bookmarkEnd w:id="5020"/>
      <w:r>
        <w:rPr>
          <w:rFonts w:hint="cs"/>
          <w:rtl/>
        </w:rPr>
        <w:t xml:space="preserve">זה </w:t>
      </w:r>
      <w:bookmarkStart w:id="5021" w:name="_ETM_Q6_415230"/>
      <w:bookmarkEnd w:id="5021"/>
      <w:r>
        <w:rPr>
          <w:rFonts w:hint="cs"/>
          <w:rtl/>
        </w:rPr>
        <w:t xml:space="preserve">על </w:t>
      </w:r>
      <w:bookmarkStart w:id="5022" w:name="_ETM_Q6_415319"/>
      <w:bookmarkEnd w:id="5022"/>
      <w:r>
        <w:rPr>
          <w:rFonts w:hint="cs"/>
          <w:rtl/>
        </w:rPr>
        <w:t xml:space="preserve">השולחן. </w:t>
      </w:r>
      <w:bookmarkStart w:id="5023" w:name="_ETM_Q6_416129"/>
      <w:bookmarkEnd w:id="5023"/>
      <w:r>
        <w:rPr>
          <w:rFonts w:hint="cs"/>
          <w:rtl/>
        </w:rPr>
        <w:t xml:space="preserve">זה </w:t>
      </w:r>
      <w:bookmarkStart w:id="5024" w:name="_ETM_Q6_416370"/>
      <w:bookmarkEnd w:id="5024"/>
      <w:r>
        <w:rPr>
          <w:rFonts w:hint="cs"/>
          <w:rtl/>
        </w:rPr>
        <w:t xml:space="preserve">הושם </w:t>
      </w:r>
      <w:bookmarkStart w:id="5025" w:name="_ETM_Q6_416639"/>
      <w:bookmarkEnd w:id="5025"/>
      <w:r>
        <w:rPr>
          <w:rFonts w:hint="cs"/>
          <w:rtl/>
        </w:rPr>
        <w:t xml:space="preserve">על </w:t>
      </w:r>
      <w:bookmarkStart w:id="5026" w:name="_ETM_Q6_416730"/>
      <w:bookmarkEnd w:id="5026"/>
      <w:r>
        <w:rPr>
          <w:rFonts w:hint="cs"/>
          <w:rtl/>
        </w:rPr>
        <w:t xml:space="preserve">השולחן </w:t>
      </w:r>
      <w:bookmarkStart w:id="5027" w:name="_ETM_Q6_417059"/>
      <w:bookmarkEnd w:id="5027"/>
      <w:r>
        <w:rPr>
          <w:rFonts w:hint="cs"/>
          <w:rtl/>
        </w:rPr>
        <w:t xml:space="preserve">והתאדה </w:t>
      </w:r>
      <w:bookmarkStart w:id="5028" w:name="_ETM_Q6_417540"/>
      <w:bookmarkEnd w:id="5028"/>
      <w:r>
        <w:rPr>
          <w:rFonts w:hint="cs"/>
          <w:rtl/>
        </w:rPr>
        <w:t xml:space="preserve">באותו </w:t>
      </w:r>
      <w:bookmarkStart w:id="5029" w:name="_ETM_Q6_417870"/>
      <w:bookmarkEnd w:id="5029"/>
      <w:r>
        <w:rPr>
          <w:rFonts w:hint="cs"/>
          <w:rtl/>
        </w:rPr>
        <w:t xml:space="preserve">יום, </w:t>
      </w:r>
      <w:bookmarkStart w:id="5030" w:name="_ETM_Q6_415000"/>
      <w:bookmarkStart w:id="5031" w:name="_ETM_Q6_418950"/>
      <w:bookmarkEnd w:id="5030"/>
      <w:bookmarkEnd w:id="5031"/>
      <w:r>
        <w:rPr>
          <w:rFonts w:hint="cs"/>
          <w:rtl/>
        </w:rPr>
        <w:t>והתאדה באותו יום.</w:t>
      </w:r>
      <w:bookmarkStart w:id="5032" w:name="_ETM_Q6_419220"/>
      <w:bookmarkStart w:id="5033" w:name="_ETM_Q6_419430"/>
      <w:bookmarkStart w:id="5034" w:name="_ETM_Q6_419760"/>
      <w:bookmarkStart w:id="5035" w:name="_ETM_Q6_420980"/>
      <w:bookmarkStart w:id="5036" w:name="_ETM_Q6_421430"/>
      <w:bookmarkEnd w:id="5032"/>
      <w:bookmarkEnd w:id="5033"/>
      <w:bookmarkEnd w:id="5034"/>
      <w:bookmarkEnd w:id="5035"/>
      <w:bookmarkEnd w:id="5036"/>
      <w:r>
        <w:rPr>
          <w:rFonts w:hint="cs"/>
          <w:rtl/>
        </w:rPr>
        <w:t xml:space="preserve"> זה </w:t>
      </w:r>
      <w:bookmarkStart w:id="5037" w:name="_ETM_Q6_421730"/>
      <w:bookmarkEnd w:id="5037"/>
      <w:r>
        <w:rPr>
          <w:rFonts w:hint="cs"/>
          <w:rtl/>
        </w:rPr>
        <w:t xml:space="preserve">האירוע. </w:t>
      </w:r>
      <w:bookmarkStart w:id="5038" w:name="_ETM_Q6_422390"/>
      <w:bookmarkEnd w:id="5038"/>
      <w:r>
        <w:rPr>
          <w:rFonts w:hint="cs"/>
          <w:rtl/>
        </w:rPr>
        <w:t xml:space="preserve">זה </w:t>
      </w:r>
      <w:bookmarkStart w:id="5039" w:name="_ETM_Q6_422660"/>
      <w:bookmarkEnd w:id="5039"/>
      <w:r>
        <w:rPr>
          <w:rFonts w:hint="cs"/>
          <w:rtl/>
        </w:rPr>
        <w:t xml:space="preserve">השליח </w:t>
      </w:r>
      <w:bookmarkStart w:id="5040" w:name="_ETM_Q6_423170"/>
      <w:bookmarkEnd w:id="5040"/>
      <w:r>
        <w:rPr>
          <w:rFonts w:hint="cs"/>
          <w:rtl/>
        </w:rPr>
        <w:t xml:space="preserve">שאתם </w:t>
      </w:r>
      <w:bookmarkStart w:id="5041" w:name="_ETM_Q6_423620"/>
      <w:bookmarkEnd w:id="5041"/>
      <w:r>
        <w:rPr>
          <w:rFonts w:hint="cs"/>
          <w:rtl/>
        </w:rPr>
        <w:t xml:space="preserve">שלחתם </w:t>
      </w:r>
      <w:r>
        <w:rPr>
          <w:rtl/>
        </w:rPr>
        <w:t>–</w:t>
      </w:r>
      <w:r>
        <w:rPr>
          <w:rFonts w:hint="cs"/>
          <w:rtl/>
        </w:rPr>
        <w:t xml:space="preserve"> </w:t>
      </w:r>
      <w:bookmarkStart w:id="5042" w:name="_ETM_Q6_424400"/>
      <w:bookmarkEnd w:id="5042"/>
      <w:r>
        <w:rPr>
          <w:rFonts w:hint="cs"/>
          <w:rtl/>
        </w:rPr>
        <w:t xml:space="preserve">לא נכון, </w:t>
      </w:r>
      <w:bookmarkStart w:id="5043" w:name="_ETM_Q6_424520"/>
      <w:bookmarkStart w:id="5044" w:name="_ETM_Q6_424700"/>
      <w:bookmarkEnd w:id="5043"/>
      <w:bookmarkEnd w:id="5044"/>
      <w:r>
        <w:rPr>
          <w:rFonts w:hint="cs"/>
          <w:rtl/>
        </w:rPr>
        <w:t xml:space="preserve">לא </w:t>
      </w:r>
      <w:bookmarkStart w:id="5045" w:name="_ETM_Q6_424880"/>
      <w:bookmarkEnd w:id="5045"/>
      <w:r>
        <w:rPr>
          <w:rFonts w:hint="cs"/>
          <w:rtl/>
        </w:rPr>
        <w:t xml:space="preserve">אתם </w:t>
      </w:r>
      <w:bookmarkStart w:id="5046" w:name="_ETM_Q6_425150"/>
      <w:bookmarkEnd w:id="5046"/>
      <w:r>
        <w:rPr>
          <w:rFonts w:hint="cs"/>
          <w:rtl/>
        </w:rPr>
        <w:t xml:space="preserve">שלחתם </w:t>
      </w:r>
      <w:r>
        <w:rPr>
          <w:rtl/>
        </w:rPr>
        <w:t>–</w:t>
      </w:r>
      <w:r>
        <w:rPr>
          <w:rFonts w:hint="cs"/>
          <w:rtl/>
        </w:rPr>
        <w:t xml:space="preserve"> </w:t>
      </w:r>
      <w:bookmarkStart w:id="5047" w:name="_ETM_Q6_426260"/>
      <w:bookmarkEnd w:id="5047"/>
      <w:r>
        <w:rPr>
          <w:rFonts w:hint="cs"/>
          <w:rtl/>
        </w:rPr>
        <w:t xml:space="preserve">זה </w:t>
      </w:r>
      <w:bookmarkStart w:id="5048" w:name="_ETM_Q6_426560"/>
      <w:bookmarkEnd w:id="5048"/>
      <w:r>
        <w:rPr>
          <w:rFonts w:hint="cs"/>
          <w:rtl/>
        </w:rPr>
        <w:t>ה</w:t>
      </w:r>
      <w:bookmarkStart w:id="5049" w:name="_ETM_Q6_426650"/>
      <w:bookmarkEnd w:id="5049"/>
      <w:r>
        <w:rPr>
          <w:rFonts w:hint="cs"/>
          <w:rtl/>
        </w:rPr>
        <w:t xml:space="preserve">שליח </w:t>
      </w:r>
      <w:bookmarkStart w:id="5050" w:name="_ETM_Q6_427160"/>
      <w:bookmarkEnd w:id="5050"/>
      <w:r>
        <w:rPr>
          <w:rFonts w:hint="cs"/>
          <w:rtl/>
        </w:rPr>
        <w:t>ש</w:t>
      </w:r>
      <w:bookmarkStart w:id="5051" w:name="_ETM_Q6_427340"/>
      <w:bookmarkEnd w:id="5051"/>
      <w:r>
        <w:rPr>
          <w:rFonts w:hint="cs"/>
          <w:rtl/>
        </w:rPr>
        <w:t xml:space="preserve">יריב </w:t>
      </w:r>
      <w:bookmarkStart w:id="5052" w:name="_ETM_Q6_427700"/>
      <w:bookmarkEnd w:id="5052"/>
      <w:r>
        <w:rPr>
          <w:rFonts w:hint="cs"/>
          <w:rtl/>
        </w:rPr>
        <w:t xml:space="preserve">לוין </w:t>
      </w:r>
      <w:bookmarkStart w:id="5053" w:name="_ETM_Q6_428030"/>
      <w:bookmarkEnd w:id="5053"/>
      <w:r>
        <w:rPr>
          <w:rFonts w:hint="cs"/>
          <w:rtl/>
        </w:rPr>
        <w:t xml:space="preserve">שלח </w:t>
      </w:r>
      <w:bookmarkStart w:id="5054" w:name="_ETM_Q6_428870"/>
      <w:bookmarkEnd w:id="5054"/>
      <w:r>
        <w:rPr>
          <w:rFonts w:hint="cs"/>
          <w:rtl/>
        </w:rPr>
        <w:t xml:space="preserve">לניהול </w:t>
      </w:r>
      <w:bookmarkStart w:id="5055" w:name="_ETM_Q6_429380"/>
      <w:bookmarkEnd w:id="5055"/>
      <w:r>
        <w:rPr>
          <w:rFonts w:hint="cs"/>
          <w:rtl/>
        </w:rPr>
        <w:t xml:space="preserve">ועדת </w:t>
      </w:r>
      <w:bookmarkStart w:id="5056" w:name="_ETM_Q6_429770"/>
      <w:bookmarkEnd w:id="5056"/>
      <w:r>
        <w:rPr>
          <w:rFonts w:hint="cs"/>
          <w:rtl/>
        </w:rPr>
        <w:t xml:space="preserve">החוקה, </w:t>
      </w:r>
      <w:bookmarkStart w:id="5057" w:name="_ETM_Q6_430900"/>
      <w:bookmarkEnd w:id="5057"/>
      <w:r>
        <w:rPr>
          <w:rFonts w:hint="cs"/>
          <w:rtl/>
        </w:rPr>
        <w:t xml:space="preserve">עם </w:t>
      </w:r>
      <w:bookmarkStart w:id="5058" w:name="_ETM_Q6_431079"/>
      <w:bookmarkEnd w:id="5058"/>
      <w:r>
        <w:rPr>
          <w:rFonts w:hint="cs"/>
          <w:rtl/>
        </w:rPr>
        <w:t xml:space="preserve">אותו </w:t>
      </w:r>
      <w:bookmarkStart w:id="5059" w:name="_ETM_Q6_431469"/>
      <w:bookmarkEnd w:id="5059"/>
      <w:r>
        <w:rPr>
          <w:rFonts w:hint="cs"/>
          <w:rtl/>
        </w:rPr>
        <w:t xml:space="preserve">סמוטריץ', </w:t>
      </w:r>
      <w:bookmarkStart w:id="5060" w:name="_ETM_Q6_432219"/>
      <w:bookmarkEnd w:id="5060"/>
      <w:r>
        <w:rPr>
          <w:rFonts w:hint="cs"/>
          <w:rtl/>
        </w:rPr>
        <w:t xml:space="preserve">שר </w:t>
      </w:r>
      <w:bookmarkStart w:id="5061" w:name="_ETM_Q6_432669"/>
      <w:bookmarkEnd w:id="5061"/>
      <w:r>
        <w:rPr>
          <w:rFonts w:hint="cs"/>
          <w:rtl/>
        </w:rPr>
        <w:t xml:space="preserve">האוצר </w:t>
      </w:r>
      <w:bookmarkStart w:id="5062" w:name="_ETM_Q6_433329"/>
      <w:bookmarkEnd w:id="5062"/>
      <w:r>
        <w:rPr>
          <w:rFonts w:hint="cs"/>
          <w:rtl/>
        </w:rPr>
        <w:t xml:space="preserve">של </w:t>
      </w:r>
      <w:bookmarkStart w:id="5063" w:name="_ETM_Q6_433599"/>
      <w:bookmarkEnd w:id="5063"/>
      <w:r>
        <w:rPr>
          <w:rFonts w:hint="cs"/>
          <w:rtl/>
        </w:rPr>
        <w:t xml:space="preserve">ממשלת </w:t>
      </w:r>
      <w:bookmarkStart w:id="5064" w:name="_ETM_Q6_434109"/>
      <w:bookmarkEnd w:id="5064"/>
      <w:r>
        <w:rPr>
          <w:rFonts w:hint="cs"/>
          <w:rtl/>
        </w:rPr>
        <w:t xml:space="preserve">ישראל, </w:t>
      </w:r>
      <w:bookmarkStart w:id="5065" w:name="_ETM_Q6_435069"/>
      <w:bookmarkEnd w:id="5065"/>
      <w:r>
        <w:rPr>
          <w:rFonts w:hint="cs"/>
          <w:rtl/>
        </w:rPr>
        <w:t xml:space="preserve">שרוצה </w:t>
      </w:r>
      <w:bookmarkStart w:id="5066" w:name="_ETM_Q6_435549"/>
      <w:bookmarkEnd w:id="5066"/>
      <w:r>
        <w:rPr>
          <w:rFonts w:hint="cs"/>
          <w:rtl/>
        </w:rPr>
        <w:t xml:space="preserve">לממש </w:t>
      </w:r>
      <w:bookmarkStart w:id="5067" w:name="_ETM_Q6_436060"/>
      <w:bookmarkEnd w:id="5067"/>
      <w:r>
        <w:rPr>
          <w:rFonts w:hint="cs"/>
          <w:rtl/>
        </w:rPr>
        <w:t xml:space="preserve">את </w:t>
      </w:r>
      <w:bookmarkStart w:id="5068" w:name="_ETM_Q6_436180"/>
      <w:bookmarkEnd w:id="5068"/>
      <w:r>
        <w:rPr>
          <w:rFonts w:hint="cs"/>
          <w:rtl/>
        </w:rPr>
        <w:t xml:space="preserve">אותה </w:t>
      </w:r>
      <w:bookmarkStart w:id="5069" w:name="_ETM_Q6_436419"/>
      <w:bookmarkEnd w:id="5069"/>
      <w:r>
        <w:rPr>
          <w:rFonts w:hint="cs"/>
          <w:rtl/>
        </w:rPr>
        <w:t xml:space="preserve">אידיאולוגיה </w:t>
      </w:r>
      <w:bookmarkStart w:id="5070" w:name="_ETM_Q6_437110"/>
      <w:bookmarkEnd w:id="5070"/>
      <w:r>
        <w:rPr>
          <w:rFonts w:hint="cs"/>
          <w:rtl/>
        </w:rPr>
        <w:t xml:space="preserve">גזענית, </w:t>
      </w:r>
      <w:bookmarkStart w:id="5071" w:name="_ETM_Q6_437860"/>
      <w:bookmarkEnd w:id="5071"/>
      <w:r>
        <w:rPr>
          <w:rFonts w:hint="cs"/>
          <w:rtl/>
        </w:rPr>
        <w:t xml:space="preserve">הומופובית </w:t>
      </w:r>
      <w:bookmarkStart w:id="5072" w:name="_ETM_Q6_438580"/>
      <w:bookmarkEnd w:id="5072"/>
      <w:r>
        <w:rPr>
          <w:rFonts w:hint="cs"/>
          <w:rtl/>
        </w:rPr>
        <w:t xml:space="preserve">ומסוכנת, </w:t>
      </w:r>
      <w:bookmarkStart w:id="5073" w:name="_ETM_Q6_439629"/>
      <w:bookmarkEnd w:id="5073"/>
      <w:r>
        <w:rPr>
          <w:rFonts w:hint="cs"/>
          <w:rtl/>
        </w:rPr>
        <w:t xml:space="preserve">שבלי </w:t>
      </w:r>
      <w:bookmarkStart w:id="5074" w:name="_ETM_Q6_440770"/>
      <w:bookmarkEnd w:id="5074"/>
      <w:r>
        <w:rPr>
          <w:rFonts w:hint="cs"/>
          <w:rtl/>
        </w:rPr>
        <w:t xml:space="preserve">ריסוק </w:t>
      </w:r>
      <w:bookmarkStart w:id="5075" w:name="_ETM_Q6_441339"/>
      <w:bookmarkEnd w:id="5075"/>
      <w:r>
        <w:rPr>
          <w:rFonts w:hint="cs"/>
          <w:rtl/>
        </w:rPr>
        <w:t xml:space="preserve">של </w:t>
      </w:r>
      <w:bookmarkStart w:id="5076" w:name="_ETM_Q6_441490"/>
      <w:bookmarkEnd w:id="5076"/>
      <w:r>
        <w:rPr>
          <w:rFonts w:hint="cs"/>
          <w:rtl/>
        </w:rPr>
        <w:t xml:space="preserve">שומרי </w:t>
      </w:r>
      <w:bookmarkStart w:id="5077" w:name="_ETM_Q6_441790"/>
      <w:bookmarkEnd w:id="5077"/>
      <w:r>
        <w:rPr>
          <w:rFonts w:hint="cs"/>
          <w:rtl/>
        </w:rPr>
        <w:t xml:space="preserve">הסף, </w:t>
      </w:r>
      <w:bookmarkStart w:id="5078" w:name="_ETM_Q6_442580"/>
      <w:bookmarkEnd w:id="5078"/>
      <w:r>
        <w:rPr>
          <w:rFonts w:hint="cs"/>
          <w:rtl/>
        </w:rPr>
        <w:t xml:space="preserve">בלי </w:t>
      </w:r>
      <w:bookmarkStart w:id="5079" w:name="_ETM_Q6_442850"/>
      <w:bookmarkStart w:id="5080" w:name="_ETM_Q6_442940"/>
      <w:bookmarkEnd w:id="5079"/>
      <w:bookmarkEnd w:id="5080"/>
      <w:r>
        <w:rPr>
          <w:rFonts w:hint="cs"/>
          <w:rtl/>
        </w:rPr>
        <w:t xml:space="preserve">ריסוק </w:t>
      </w:r>
      <w:bookmarkStart w:id="5081" w:name="_ETM_Q6_443210"/>
      <w:bookmarkEnd w:id="5081"/>
      <w:r>
        <w:rPr>
          <w:rFonts w:hint="cs"/>
          <w:rtl/>
        </w:rPr>
        <w:t xml:space="preserve">של </w:t>
      </w:r>
      <w:bookmarkStart w:id="5082" w:name="_ETM_Q6_443330"/>
      <w:bookmarkEnd w:id="5082"/>
      <w:r>
        <w:rPr>
          <w:rFonts w:hint="cs"/>
          <w:rtl/>
        </w:rPr>
        <w:t xml:space="preserve">בית </w:t>
      </w:r>
      <w:bookmarkStart w:id="5083" w:name="_ETM_Q6_443510"/>
      <w:bookmarkEnd w:id="5083"/>
      <w:r>
        <w:rPr>
          <w:rFonts w:hint="cs"/>
          <w:rtl/>
        </w:rPr>
        <w:t xml:space="preserve">המשפט </w:t>
      </w:r>
      <w:bookmarkStart w:id="5084" w:name="_ETM_Q6_443870"/>
      <w:bookmarkEnd w:id="5084"/>
      <w:r>
        <w:rPr>
          <w:rFonts w:hint="cs"/>
          <w:rtl/>
        </w:rPr>
        <w:t xml:space="preserve">העליון </w:t>
      </w:r>
      <w:bookmarkStart w:id="5085" w:name="_ETM_Q6_444650"/>
      <w:bookmarkEnd w:id="5085"/>
      <w:r>
        <w:rPr>
          <w:rFonts w:hint="cs"/>
          <w:rtl/>
        </w:rPr>
        <w:t xml:space="preserve">זה </w:t>
      </w:r>
      <w:bookmarkStart w:id="5086" w:name="_ETM_Q6_444860"/>
      <w:bookmarkEnd w:id="5086"/>
      <w:r>
        <w:rPr>
          <w:rFonts w:hint="cs"/>
          <w:rtl/>
        </w:rPr>
        <w:t xml:space="preserve">לא </w:t>
      </w:r>
      <w:bookmarkStart w:id="5087" w:name="_ETM_Q6_444980"/>
      <w:bookmarkEnd w:id="5087"/>
      <w:r>
        <w:rPr>
          <w:rFonts w:hint="cs"/>
          <w:rtl/>
        </w:rPr>
        <w:t xml:space="preserve">יעבור. </w:t>
      </w:r>
      <w:bookmarkStart w:id="5088" w:name="_ETM_Q6_445310"/>
      <w:bookmarkEnd w:id="5088"/>
      <w:r>
        <w:rPr>
          <w:rFonts w:hint="cs"/>
          <w:rtl/>
        </w:rPr>
        <w:t xml:space="preserve">זה </w:t>
      </w:r>
      <w:bookmarkStart w:id="5089" w:name="_ETM_Q6_445430"/>
      <w:bookmarkEnd w:id="5089"/>
      <w:r>
        <w:rPr>
          <w:rFonts w:hint="cs"/>
          <w:rtl/>
        </w:rPr>
        <w:t xml:space="preserve">כתוב, </w:t>
      </w:r>
      <w:bookmarkStart w:id="5090" w:name="_ETM_Q6_445850"/>
      <w:bookmarkEnd w:id="5090"/>
      <w:r>
        <w:rPr>
          <w:rFonts w:hint="cs"/>
          <w:rtl/>
        </w:rPr>
        <w:t xml:space="preserve">התוכנית </w:t>
      </w:r>
      <w:bookmarkStart w:id="5091" w:name="_ETM_Q6_446270"/>
      <w:bookmarkEnd w:id="5091"/>
      <w:r>
        <w:rPr>
          <w:rFonts w:hint="cs"/>
          <w:rtl/>
        </w:rPr>
        <w:t xml:space="preserve">הזאת, </w:t>
      </w:r>
      <w:bookmarkStart w:id="5092" w:name="_ETM_Q6_447290"/>
      <w:bookmarkEnd w:id="5092"/>
      <w:r>
        <w:rPr>
          <w:rFonts w:hint="cs"/>
          <w:rtl/>
        </w:rPr>
        <w:t xml:space="preserve">ונאמרו </w:t>
      </w:r>
      <w:bookmarkStart w:id="5093" w:name="_ETM_Q6_447800"/>
      <w:bookmarkEnd w:id="5093"/>
      <w:r>
        <w:rPr>
          <w:rFonts w:hint="cs"/>
          <w:rtl/>
        </w:rPr>
        <w:t xml:space="preserve">דברים </w:t>
      </w:r>
      <w:bookmarkStart w:id="5094" w:name="_ETM_Q6_448220"/>
      <w:bookmarkEnd w:id="5094"/>
      <w:r>
        <w:rPr>
          <w:rFonts w:hint="cs"/>
          <w:rtl/>
        </w:rPr>
        <w:t xml:space="preserve">האלה. </w:t>
      </w:r>
      <w:bookmarkStart w:id="5095" w:name="_ETM_Q6_448919"/>
      <w:bookmarkEnd w:id="5095"/>
      <w:r>
        <w:rPr>
          <w:rFonts w:hint="cs"/>
          <w:rtl/>
        </w:rPr>
        <w:t xml:space="preserve">זאת </w:t>
      </w:r>
      <w:bookmarkStart w:id="5096" w:name="_ETM_Q6_450000"/>
      <w:bookmarkStart w:id="5097" w:name="_ETM_Q6_449129"/>
      <w:bookmarkEnd w:id="5096"/>
      <w:bookmarkEnd w:id="5097"/>
      <w:r>
        <w:rPr>
          <w:rFonts w:hint="cs"/>
          <w:rtl/>
        </w:rPr>
        <w:t xml:space="preserve">לא </w:t>
      </w:r>
      <w:bookmarkStart w:id="5098" w:name="_ETM_Q6_449249"/>
      <w:bookmarkEnd w:id="5098"/>
      <w:r>
        <w:rPr>
          <w:rFonts w:hint="cs"/>
          <w:rtl/>
        </w:rPr>
        <w:t xml:space="preserve">המצאה </w:t>
      </w:r>
      <w:bookmarkStart w:id="5099" w:name="_ETM_Q6_449639"/>
      <w:bookmarkEnd w:id="5099"/>
      <w:r>
        <w:rPr>
          <w:rFonts w:hint="cs"/>
          <w:rtl/>
        </w:rPr>
        <w:t xml:space="preserve">של </w:t>
      </w:r>
      <w:bookmarkStart w:id="5100" w:name="_ETM_Q6_449819"/>
      <w:bookmarkEnd w:id="5100"/>
      <w:r>
        <w:rPr>
          <w:rFonts w:hint="cs"/>
          <w:rtl/>
        </w:rPr>
        <w:t xml:space="preserve">מישהו </w:t>
      </w:r>
      <w:bookmarkStart w:id="5101" w:name="_ETM_Q6_450119"/>
      <w:bookmarkEnd w:id="5101"/>
      <w:r>
        <w:rPr>
          <w:rFonts w:hint="cs"/>
          <w:rtl/>
        </w:rPr>
        <w:t>מהאופוזיציה.</w:t>
      </w:r>
    </w:p>
    <w:p w:rsidR="000C5C1F" w:rsidRDefault="000C5C1F" w:rsidP="00337201">
      <w:pPr>
        <w:rPr>
          <w:rtl/>
        </w:rPr>
      </w:pPr>
    </w:p>
    <w:p w:rsidR="000C5C1F" w:rsidRDefault="000C5C1F" w:rsidP="00337201">
      <w:pPr>
        <w:rPr>
          <w:rtl/>
        </w:rPr>
      </w:pPr>
      <w:bookmarkStart w:id="5102" w:name="_ETM_Q6_449000"/>
      <w:bookmarkStart w:id="5103" w:name="_ETM_Q6_452000"/>
      <w:bookmarkEnd w:id="5102"/>
      <w:bookmarkEnd w:id="5103"/>
      <w:r>
        <w:rPr>
          <w:rFonts w:hint="cs"/>
          <w:rtl/>
        </w:rPr>
        <w:t xml:space="preserve">עכשיו, </w:t>
      </w:r>
      <w:bookmarkStart w:id="5104" w:name="_ETM_Q6_452240"/>
      <w:bookmarkEnd w:id="5104"/>
      <w:r>
        <w:rPr>
          <w:rFonts w:hint="cs"/>
          <w:rtl/>
        </w:rPr>
        <w:t xml:space="preserve">אתם </w:t>
      </w:r>
      <w:bookmarkStart w:id="5105" w:name="_ETM_Q6_452390"/>
      <w:bookmarkEnd w:id="5105"/>
      <w:r>
        <w:rPr>
          <w:rFonts w:hint="cs"/>
          <w:rtl/>
        </w:rPr>
        <w:t xml:space="preserve">רואים </w:t>
      </w:r>
      <w:bookmarkStart w:id="5106" w:name="_ETM_Q6_452720"/>
      <w:bookmarkEnd w:id="5106"/>
      <w:r>
        <w:rPr>
          <w:rFonts w:hint="cs"/>
          <w:rtl/>
        </w:rPr>
        <w:t xml:space="preserve">את </w:t>
      </w:r>
      <w:bookmarkStart w:id="5107" w:name="_ETM_Q6_452839"/>
      <w:bookmarkEnd w:id="5107"/>
      <w:r>
        <w:rPr>
          <w:rFonts w:hint="cs"/>
          <w:rtl/>
        </w:rPr>
        <w:t xml:space="preserve">הדברים </w:t>
      </w:r>
      <w:bookmarkStart w:id="5108" w:name="_ETM_Q6_453170"/>
      <w:bookmarkEnd w:id="5108"/>
      <w:r>
        <w:rPr>
          <w:rFonts w:hint="cs"/>
          <w:rtl/>
        </w:rPr>
        <w:t xml:space="preserve">האלה </w:t>
      </w:r>
      <w:bookmarkStart w:id="5109" w:name="_ETM_Q6_453320"/>
      <w:bookmarkEnd w:id="5109"/>
      <w:r>
        <w:rPr>
          <w:rFonts w:hint="cs"/>
          <w:rtl/>
        </w:rPr>
        <w:t xml:space="preserve">ושותקים, </w:t>
      </w:r>
      <w:bookmarkStart w:id="5110" w:name="_ETM_Q6_454040"/>
      <w:bookmarkEnd w:id="5110"/>
      <w:r>
        <w:rPr>
          <w:rFonts w:hint="cs"/>
          <w:rtl/>
        </w:rPr>
        <w:t xml:space="preserve">רואים </w:t>
      </w:r>
      <w:bookmarkStart w:id="5111" w:name="_ETM_Q6_454640"/>
      <w:bookmarkEnd w:id="5111"/>
      <w:r>
        <w:rPr>
          <w:rFonts w:hint="cs"/>
          <w:rtl/>
        </w:rPr>
        <w:t xml:space="preserve">ושותקים </w:t>
      </w:r>
      <w:bookmarkStart w:id="5112" w:name="_ETM_Q6_455510"/>
      <w:bookmarkEnd w:id="5112"/>
      <w:r>
        <w:rPr>
          <w:rFonts w:hint="cs"/>
          <w:rtl/>
        </w:rPr>
        <w:t xml:space="preserve">כבר </w:t>
      </w:r>
      <w:bookmarkStart w:id="5113" w:name="_ETM_Q6_455750"/>
      <w:bookmarkEnd w:id="5113"/>
      <w:r>
        <w:rPr>
          <w:rFonts w:hint="cs"/>
          <w:rtl/>
        </w:rPr>
        <w:t xml:space="preserve">תקופה </w:t>
      </w:r>
      <w:bookmarkStart w:id="5114" w:name="_ETM_Q6_456140"/>
      <w:bookmarkEnd w:id="5114"/>
      <w:r>
        <w:rPr>
          <w:rFonts w:hint="cs"/>
          <w:rtl/>
        </w:rPr>
        <w:t xml:space="preserve">ארוכה, </w:t>
      </w:r>
      <w:bookmarkStart w:id="5115" w:name="_ETM_Q6_457010"/>
      <w:bookmarkEnd w:id="5115"/>
      <w:r>
        <w:rPr>
          <w:rFonts w:hint="cs"/>
          <w:rtl/>
        </w:rPr>
        <w:t xml:space="preserve">ארוכה </w:t>
      </w:r>
      <w:bookmarkStart w:id="5116" w:name="_ETM_Q6_457400"/>
      <w:bookmarkEnd w:id="5116"/>
      <w:r>
        <w:rPr>
          <w:rFonts w:hint="cs"/>
          <w:rtl/>
        </w:rPr>
        <w:t xml:space="preserve">מדי. </w:t>
      </w:r>
      <w:bookmarkStart w:id="5117" w:name="_ETM_Q6_459080"/>
      <w:bookmarkEnd w:id="5117"/>
      <w:r>
        <w:rPr>
          <w:rFonts w:hint="cs"/>
          <w:rtl/>
        </w:rPr>
        <w:t xml:space="preserve">לא </w:t>
      </w:r>
      <w:bookmarkStart w:id="5118" w:name="_ETM_Q6_459259"/>
      <w:bookmarkEnd w:id="5118"/>
      <w:r>
        <w:rPr>
          <w:rFonts w:hint="cs"/>
          <w:rtl/>
        </w:rPr>
        <w:t xml:space="preserve">מדובר </w:t>
      </w:r>
      <w:bookmarkStart w:id="5119" w:name="_ETM_Q6_459589"/>
      <w:bookmarkEnd w:id="5119"/>
      <w:r>
        <w:rPr>
          <w:rFonts w:hint="cs"/>
          <w:rtl/>
        </w:rPr>
        <w:t xml:space="preserve">בצמצום </w:t>
      </w:r>
      <w:bookmarkStart w:id="5120" w:name="_ETM_Q6_460129"/>
      <w:bookmarkStart w:id="5121" w:name="_ETM_Q6_460370"/>
      <w:bookmarkEnd w:id="5120"/>
      <w:bookmarkEnd w:id="5121"/>
      <w:r>
        <w:rPr>
          <w:rFonts w:hint="cs"/>
          <w:rtl/>
        </w:rPr>
        <w:t xml:space="preserve">עילת הסבירות, </w:t>
      </w:r>
      <w:bookmarkStart w:id="5122" w:name="_ETM_Q6_460939"/>
      <w:bookmarkEnd w:id="5122"/>
      <w:r>
        <w:rPr>
          <w:rFonts w:hint="cs"/>
          <w:rtl/>
        </w:rPr>
        <w:t xml:space="preserve">מדובר </w:t>
      </w:r>
      <w:bookmarkStart w:id="5123" w:name="_ETM_Q6_461330"/>
      <w:bookmarkEnd w:id="5123"/>
      <w:r>
        <w:rPr>
          <w:rFonts w:hint="cs"/>
          <w:rtl/>
        </w:rPr>
        <w:t xml:space="preserve">בביטול </w:t>
      </w:r>
      <w:bookmarkStart w:id="5124" w:name="_ETM_Q6_461779"/>
      <w:bookmarkEnd w:id="5124"/>
      <w:r>
        <w:rPr>
          <w:rFonts w:hint="cs"/>
          <w:rtl/>
        </w:rPr>
        <w:t xml:space="preserve">טוטלי. </w:t>
      </w:r>
      <w:bookmarkStart w:id="5125" w:name="_ETM_Q6_463169"/>
      <w:bookmarkEnd w:id="5125"/>
      <w:r>
        <w:rPr>
          <w:rFonts w:hint="cs"/>
          <w:rtl/>
        </w:rPr>
        <w:t xml:space="preserve">החובה </w:t>
      </w:r>
      <w:bookmarkStart w:id="5126" w:name="_ETM_Q6_463589"/>
      <w:bookmarkEnd w:id="5126"/>
      <w:r>
        <w:rPr>
          <w:rFonts w:hint="cs"/>
          <w:rtl/>
        </w:rPr>
        <w:t>לנהוג</w:t>
      </w:r>
      <w:bookmarkStart w:id="5127" w:name="_ETM_Q6_464940"/>
      <w:bookmarkEnd w:id="5127"/>
      <w:r>
        <w:rPr>
          <w:rFonts w:hint="cs"/>
          <w:rtl/>
        </w:rPr>
        <w:t xml:space="preserve"> בסבירות </w:t>
      </w:r>
      <w:bookmarkStart w:id="5128" w:name="_ETM_Q6_465389"/>
      <w:bookmarkEnd w:id="5128"/>
      <w:r>
        <w:rPr>
          <w:rFonts w:hint="cs"/>
          <w:rtl/>
        </w:rPr>
        <w:t xml:space="preserve">בקבלת </w:t>
      </w:r>
      <w:bookmarkStart w:id="5129" w:name="_ETM_Q6_465779"/>
      <w:bookmarkEnd w:id="5129"/>
      <w:r>
        <w:rPr>
          <w:rFonts w:hint="cs"/>
          <w:rtl/>
        </w:rPr>
        <w:t xml:space="preserve">החלטות </w:t>
      </w:r>
      <w:r>
        <w:rPr>
          <w:rtl/>
        </w:rPr>
        <w:t>–</w:t>
      </w:r>
      <w:r>
        <w:rPr>
          <w:rFonts w:hint="cs"/>
          <w:rtl/>
        </w:rPr>
        <w:t xml:space="preserve"> </w:t>
      </w:r>
      <w:bookmarkStart w:id="5130" w:name="_ETM_Q6_466199"/>
      <w:bookmarkEnd w:id="5130"/>
      <w:r>
        <w:rPr>
          <w:rFonts w:hint="cs"/>
          <w:rtl/>
        </w:rPr>
        <w:t xml:space="preserve">אמרנו </w:t>
      </w:r>
      <w:bookmarkStart w:id="5131" w:name="_ETM_Q6_466860"/>
      <w:bookmarkEnd w:id="5131"/>
      <w:r>
        <w:rPr>
          <w:rFonts w:hint="cs"/>
          <w:rtl/>
        </w:rPr>
        <w:t xml:space="preserve">יותר </w:t>
      </w:r>
      <w:bookmarkStart w:id="5132" w:name="_ETM_Q6_467099"/>
      <w:bookmarkEnd w:id="5132"/>
      <w:r>
        <w:rPr>
          <w:rFonts w:hint="cs"/>
          <w:rtl/>
        </w:rPr>
        <w:t>מפעם</w:t>
      </w:r>
      <w:bookmarkStart w:id="5133" w:name="_ETM_Q6_467460"/>
      <w:bookmarkEnd w:id="5133"/>
      <w:r>
        <w:rPr>
          <w:rFonts w:hint="cs"/>
          <w:rtl/>
        </w:rPr>
        <w:t xml:space="preserve"> אחת: </w:t>
      </w:r>
      <w:bookmarkStart w:id="5134" w:name="_ETM_Q6_467909"/>
      <w:bookmarkEnd w:id="5134"/>
      <w:r>
        <w:rPr>
          <w:rFonts w:hint="cs"/>
          <w:rtl/>
        </w:rPr>
        <w:t xml:space="preserve">בואו </w:t>
      </w:r>
      <w:bookmarkStart w:id="5135" w:name="_ETM_Q6_468479"/>
      <w:bookmarkEnd w:id="5135"/>
      <w:r>
        <w:rPr>
          <w:rFonts w:hint="cs"/>
          <w:rtl/>
        </w:rPr>
        <w:t xml:space="preserve">לפחות נקבע </w:t>
      </w:r>
      <w:bookmarkStart w:id="5136" w:name="_ETM_Q6_469020"/>
      <w:bookmarkEnd w:id="5136"/>
      <w:r>
        <w:rPr>
          <w:rFonts w:hint="cs"/>
          <w:rtl/>
        </w:rPr>
        <w:t xml:space="preserve">את </w:t>
      </w:r>
      <w:bookmarkStart w:id="5137" w:name="_ETM_Q6_469169"/>
      <w:bookmarkEnd w:id="5137"/>
      <w:r>
        <w:rPr>
          <w:rFonts w:hint="cs"/>
          <w:rtl/>
        </w:rPr>
        <w:t xml:space="preserve">החובה. </w:t>
      </w:r>
      <w:bookmarkStart w:id="5138" w:name="_ETM_Q6_470400"/>
      <w:bookmarkEnd w:id="5138"/>
      <w:r>
        <w:rPr>
          <w:rFonts w:hint="cs"/>
          <w:rtl/>
        </w:rPr>
        <w:t xml:space="preserve">אדוני </w:t>
      </w:r>
      <w:bookmarkStart w:id="5139" w:name="_ETM_Q6_470700"/>
      <w:bookmarkEnd w:id="5139"/>
      <w:r>
        <w:rPr>
          <w:rFonts w:hint="cs"/>
          <w:rtl/>
        </w:rPr>
        <w:t xml:space="preserve">היושב-ראש, </w:t>
      </w:r>
      <w:bookmarkStart w:id="5140" w:name="_ETM_Q6_471089"/>
      <w:bookmarkEnd w:id="5140"/>
      <w:r>
        <w:rPr>
          <w:rFonts w:hint="cs"/>
          <w:rtl/>
        </w:rPr>
        <w:t xml:space="preserve">לקבוע </w:t>
      </w:r>
      <w:bookmarkStart w:id="5141" w:name="_ETM_Q6_471390"/>
      <w:bookmarkEnd w:id="5141"/>
      <w:r>
        <w:rPr>
          <w:rFonts w:hint="cs"/>
          <w:rtl/>
        </w:rPr>
        <w:t xml:space="preserve">את </w:t>
      </w:r>
      <w:bookmarkStart w:id="5142" w:name="_ETM_Q6_471480"/>
      <w:bookmarkEnd w:id="5142"/>
      <w:r>
        <w:rPr>
          <w:rFonts w:hint="cs"/>
          <w:rtl/>
        </w:rPr>
        <w:t xml:space="preserve">החובה </w:t>
      </w:r>
      <w:bookmarkStart w:id="5143" w:name="_ETM_Q6_472200"/>
      <w:bookmarkEnd w:id="5143"/>
      <w:r>
        <w:rPr>
          <w:rFonts w:hint="cs"/>
          <w:rtl/>
        </w:rPr>
        <w:t xml:space="preserve">לנהוג </w:t>
      </w:r>
      <w:bookmarkStart w:id="5144" w:name="_ETM_Q6_472500"/>
      <w:bookmarkEnd w:id="5144"/>
      <w:r>
        <w:rPr>
          <w:rFonts w:hint="cs"/>
          <w:rtl/>
        </w:rPr>
        <w:t xml:space="preserve">בסבירות, </w:t>
      </w:r>
      <w:bookmarkStart w:id="5145" w:name="_ETM_Q6_472950"/>
      <w:bookmarkEnd w:id="5145"/>
      <w:r>
        <w:rPr>
          <w:rFonts w:hint="cs"/>
          <w:rtl/>
        </w:rPr>
        <w:t xml:space="preserve">מה </w:t>
      </w:r>
      <w:bookmarkStart w:id="5146" w:name="_ETM_Q6_473070"/>
      <w:bookmarkEnd w:id="5146"/>
      <w:r>
        <w:rPr>
          <w:rFonts w:hint="cs"/>
          <w:rtl/>
        </w:rPr>
        <w:t xml:space="preserve">יותר </w:t>
      </w:r>
      <w:bookmarkStart w:id="5147" w:name="_ETM_Q6_473279"/>
      <w:bookmarkEnd w:id="5147"/>
      <w:r>
        <w:rPr>
          <w:rFonts w:hint="cs"/>
          <w:rtl/>
        </w:rPr>
        <w:t xml:space="preserve">הגיוני </w:t>
      </w:r>
      <w:bookmarkStart w:id="5148" w:name="_ETM_Q6_473610"/>
      <w:bookmarkEnd w:id="5148"/>
      <w:r>
        <w:rPr>
          <w:rFonts w:hint="cs"/>
          <w:rtl/>
        </w:rPr>
        <w:t xml:space="preserve">מזה? </w:t>
      </w:r>
      <w:bookmarkStart w:id="5149" w:name="_ETM_Q6_474259"/>
      <w:bookmarkStart w:id="5150" w:name="_ETM_Q6_474650"/>
      <w:bookmarkEnd w:id="5149"/>
      <w:bookmarkEnd w:id="5150"/>
      <w:r>
        <w:rPr>
          <w:rFonts w:hint="cs"/>
          <w:rtl/>
        </w:rPr>
        <w:t xml:space="preserve">בלשון </w:t>
      </w:r>
      <w:bookmarkStart w:id="5151" w:name="_ETM_Q6_475009"/>
      <w:bookmarkEnd w:id="5151"/>
      <w:r>
        <w:rPr>
          <w:rFonts w:hint="cs"/>
          <w:rtl/>
        </w:rPr>
        <w:t>בני אדם.</w:t>
      </w:r>
      <w:bookmarkStart w:id="5152" w:name="_ETM_Q6_474000"/>
      <w:bookmarkStart w:id="5153" w:name="_ETM_Q6_476000"/>
      <w:bookmarkEnd w:id="5152"/>
      <w:bookmarkEnd w:id="5153"/>
      <w:r>
        <w:rPr>
          <w:rFonts w:hint="cs"/>
          <w:rtl/>
        </w:rPr>
        <w:t xml:space="preserve"> אתה </w:t>
      </w:r>
      <w:bookmarkStart w:id="5154" w:name="_ETM_Q6_476180"/>
      <w:bookmarkEnd w:id="5154"/>
      <w:r>
        <w:rPr>
          <w:rFonts w:hint="cs"/>
          <w:rtl/>
        </w:rPr>
        <w:t xml:space="preserve">רוצה </w:t>
      </w:r>
      <w:bookmarkStart w:id="5155" w:name="_ETM_Q6_476360"/>
      <w:bookmarkEnd w:id="5155"/>
      <w:r>
        <w:rPr>
          <w:rFonts w:hint="cs"/>
          <w:rtl/>
        </w:rPr>
        <w:t xml:space="preserve">לבטל </w:t>
      </w:r>
      <w:bookmarkStart w:id="5156" w:name="_ETM_Q6_476960"/>
      <w:bookmarkEnd w:id="5156"/>
      <w:r>
        <w:rPr>
          <w:rFonts w:hint="cs"/>
          <w:rtl/>
        </w:rPr>
        <w:t xml:space="preserve">את </w:t>
      </w:r>
      <w:bookmarkStart w:id="5157" w:name="_ETM_Q6_477169"/>
      <w:bookmarkEnd w:id="5157"/>
      <w:r>
        <w:rPr>
          <w:rFonts w:hint="cs"/>
          <w:rtl/>
        </w:rPr>
        <w:t>ה</w:t>
      </w:r>
      <w:bookmarkStart w:id="5158" w:name="_ETM_Q6_477589"/>
      <w:bookmarkStart w:id="5159" w:name="_ETM_Q6_478039"/>
      <w:bookmarkEnd w:id="5158"/>
      <w:bookmarkEnd w:id="5159"/>
      <w:r>
        <w:rPr>
          <w:rFonts w:hint="cs"/>
          <w:rtl/>
        </w:rPr>
        <w:t xml:space="preserve">סבירות </w:t>
      </w:r>
      <w:bookmarkStart w:id="5160" w:name="_ETM_Q6_478460"/>
      <w:bookmarkEnd w:id="5160"/>
      <w:r>
        <w:rPr>
          <w:rFonts w:hint="cs"/>
          <w:rtl/>
        </w:rPr>
        <w:t xml:space="preserve">כשבית </w:t>
      </w:r>
      <w:bookmarkStart w:id="5161" w:name="_ETM_Q6_478669"/>
      <w:bookmarkEnd w:id="5161"/>
      <w:r>
        <w:rPr>
          <w:rFonts w:hint="cs"/>
          <w:rtl/>
        </w:rPr>
        <w:t xml:space="preserve">המשפט </w:t>
      </w:r>
      <w:bookmarkStart w:id="5162" w:name="_ETM_Q6_479000"/>
      <w:bookmarkEnd w:id="5162"/>
      <w:r>
        <w:rPr>
          <w:rFonts w:hint="cs"/>
          <w:rtl/>
        </w:rPr>
        <w:t xml:space="preserve">העליון </w:t>
      </w:r>
      <w:bookmarkStart w:id="5163" w:name="_ETM_Q6_479270"/>
      <w:bookmarkEnd w:id="5163"/>
      <w:r>
        <w:rPr>
          <w:rFonts w:hint="cs"/>
          <w:rtl/>
        </w:rPr>
        <w:t xml:space="preserve">בוחן </w:t>
      </w:r>
      <w:bookmarkStart w:id="5164" w:name="_ETM_Q6_479720"/>
      <w:bookmarkEnd w:id="5164"/>
      <w:r>
        <w:rPr>
          <w:rFonts w:hint="cs"/>
          <w:rtl/>
        </w:rPr>
        <w:t xml:space="preserve">ובודק </w:t>
      </w:r>
      <w:bookmarkStart w:id="5165" w:name="_ETM_Q6_480930"/>
      <w:bookmarkEnd w:id="5165"/>
      <w:r>
        <w:rPr>
          <w:rFonts w:hint="cs"/>
          <w:rtl/>
        </w:rPr>
        <w:t xml:space="preserve">את </w:t>
      </w:r>
      <w:bookmarkStart w:id="5166" w:name="_ETM_Q6_480000"/>
      <w:bookmarkStart w:id="5167" w:name="_ETM_Q6_480329"/>
      <w:bookmarkStart w:id="5168" w:name="_ETM_Q6_481529"/>
      <w:bookmarkStart w:id="5169" w:name="_ETM_Q6_482010"/>
      <w:bookmarkStart w:id="5170" w:name="_ETM_Q6_482219"/>
      <w:bookmarkEnd w:id="5166"/>
      <w:bookmarkEnd w:id="5167"/>
      <w:bookmarkEnd w:id="5168"/>
      <w:bookmarkEnd w:id="5169"/>
      <w:bookmarkEnd w:id="5170"/>
      <w:r>
        <w:rPr>
          <w:rFonts w:hint="cs"/>
          <w:rtl/>
        </w:rPr>
        <w:t xml:space="preserve">סמכויות </w:t>
      </w:r>
      <w:bookmarkStart w:id="5171" w:name="_ETM_Q6_482759"/>
      <w:bookmarkEnd w:id="5171"/>
      <w:r>
        <w:rPr>
          <w:rFonts w:hint="cs"/>
          <w:rtl/>
        </w:rPr>
        <w:t xml:space="preserve">השלטון, </w:t>
      </w:r>
      <w:bookmarkStart w:id="5172" w:name="_ETM_Q6_483189"/>
      <w:bookmarkEnd w:id="5172"/>
      <w:r>
        <w:rPr>
          <w:rFonts w:hint="cs"/>
          <w:rtl/>
        </w:rPr>
        <w:t xml:space="preserve">בוא </w:t>
      </w:r>
      <w:bookmarkStart w:id="5173" w:name="_ETM_Q6_483459"/>
      <w:bookmarkEnd w:id="5173"/>
      <w:r>
        <w:rPr>
          <w:rFonts w:hint="cs"/>
          <w:rtl/>
        </w:rPr>
        <w:t xml:space="preserve">לפחות </w:t>
      </w:r>
      <w:bookmarkStart w:id="5174" w:name="_ETM_Q6_483699"/>
      <w:bookmarkEnd w:id="5174"/>
      <w:r>
        <w:rPr>
          <w:rFonts w:hint="cs"/>
          <w:rtl/>
        </w:rPr>
        <w:t xml:space="preserve">תקבע </w:t>
      </w:r>
      <w:bookmarkStart w:id="5175" w:name="_ETM_Q6_484710"/>
      <w:bookmarkEnd w:id="5175"/>
      <w:r>
        <w:rPr>
          <w:rFonts w:hint="cs"/>
          <w:rtl/>
        </w:rPr>
        <w:t xml:space="preserve">את </w:t>
      </w:r>
      <w:bookmarkStart w:id="5176" w:name="_ETM_Q6_484860"/>
      <w:bookmarkEnd w:id="5176"/>
      <w:r>
        <w:rPr>
          <w:rFonts w:hint="cs"/>
          <w:rtl/>
        </w:rPr>
        <w:t xml:space="preserve">הדבר </w:t>
      </w:r>
      <w:bookmarkStart w:id="5177" w:name="_ETM_Q6_485130"/>
      <w:bookmarkEnd w:id="5177"/>
      <w:r>
        <w:rPr>
          <w:rFonts w:hint="cs"/>
          <w:rtl/>
        </w:rPr>
        <w:t xml:space="preserve">הבסיסי </w:t>
      </w:r>
      <w:bookmarkStart w:id="5178" w:name="_ETM_Q6_485520"/>
      <w:bookmarkEnd w:id="5178"/>
      <w:r>
        <w:rPr>
          <w:rFonts w:hint="cs"/>
          <w:rtl/>
        </w:rPr>
        <w:t xml:space="preserve">ביותר, </w:t>
      </w:r>
      <w:bookmarkStart w:id="5179" w:name="_ETM_Q6_485820"/>
      <w:bookmarkEnd w:id="5179"/>
      <w:r>
        <w:rPr>
          <w:rFonts w:hint="cs"/>
          <w:rtl/>
        </w:rPr>
        <w:t xml:space="preserve">שיש </w:t>
      </w:r>
      <w:bookmarkStart w:id="5180" w:name="_ETM_Q6_486029"/>
      <w:bookmarkEnd w:id="5180"/>
      <w:r>
        <w:rPr>
          <w:rFonts w:hint="cs"/>
          <w:rtl/>
        </w:rPr>
        <w:t xml:space="preserve">חובה </w:t>
      </w:r>
      <w:bookmarkStart w:id="5181" w:name="_ETM_Q6_486359"/>
      <w:bookmarkEnd w:id="5181"/>
      <w:r>
        <w:rPr>
          <w:rFonts w:hint="cs"/>
          <w:rtl/>
        </w:rPr>
        <w:t xml:space="preserve">לנקוט </w:t>
      </w:r>
      <w:bookmarkStart w:id="5182" w:name="_ETM_Q6_487509"/>
      <w:bookmarkEnd w:id="5182"/>
      <w:r>
        <w:rPr>
          <w:rFonts w:hint="cs"/>
          <w:rtl/>
        </w:rPr>
        <w:t xml:space="preserve">סבירות. התשובה </w:t>
      </w:r>
      <w:bookmarkStart w:id="5183" w:name="_ETM_Q6_487839"/>
      <w:bookmarkEnd w:id="5183"/>
      <w:r>
        <w:rPr>
          <w:rFonts w:hint="cs"/>
          <w:rtl/>
        </w:rPr>
        <w:t xml:space="preserve">על כך </w:t>
      </w:r>
      <w:bookmarkStart w:id="5184" w:name="_ETM_Q6_488050"/>
      <w:bookmarkEnd w:id="5184"/>
      <w:r>
        <w:rPr>
          <w:rFonts w:hint="cs"/>
          <w:rtl/>
        </w:rPr>
        <w:t xml:space="preserve">הייתה: </w:t>
      </w:r>
      <w:bookmarkStart w:id="5185" w:name="_ETM_Q6_488469"/>
      <w:bookmarkEnd w:id="5185"/>
      <w:r>
        <w:rPr>
          <w:rFonts w:hint="cs"/>
          <w:rtl/>
        </w:rPr>
        <w:t xml:space="preserve">לא </w:t>
      </w:r>
      <w:bookmarkStart w:id="5186" w:name="_ETM_Q6_488710"/>
      <w:bookmarkEnd w:id="5186"/>
      <w:r>
        <w:rPr>
          <w:rFonts w:hint="cs"/>
          <w:rtl/>
        </w:rPr>
        <w:t xml:space="preserve">ולא. </w:t>
      </w:r>
      <w:bookmarkStart w:id="5187" w:name="_ETM_Q6_490039"/>
      <w:bookmarkEnd w:id="5187"/>
      <w:r>
        <w:rPr>
          <w:rFonts w:hint="cs"/>
          <w:rtl/>
        </w:rPr>
        <w:t xml:space="preserve">האם </w:t>
      </w:r>
      <w:bookmarkStart w:id="5188" w:name="_ETM_Q6_490279"/>
      <w:bookmarkEnd w:id="5188"/>
      <w:r>
        <w:rPr>
          <w:rFonts w:hint="cs"/>
          <w:rtl/>
        </w:rPr>
        <w:t xml:space="preserve">מישהו </w:t>
      </w:r>
      <w:bookmarkStart w:id="5189" w:name="_ETM_Q6_490429"/>
      <w:bookmarkEnd w:id="5189"/>
      <w:r>
        <w:rPr>
          <w:rFonts w:hint="cs"/>
          <w:rtl/>
        </w:rPr>
        <w:t xml:space="preserve">יכול </w:t>
      </w:r>
      <w:bookmarkStart w:id="5190" w:name="_ETM_Q6_490610"/>
      <w:bookmarkEnd w:id="5190"/>
      <w:r>
        <w:rPr>
          <w:rFonts w:hint="cs"/>
          <w:rtl/>
        </w:rPr>
        <w:t xml:space="preserve">להסביר </w:t>
      </w:r>
      <w:bookmarkStart w:id="5191" w:name="_ETM_Q6_491059"/>
      <w:bookmarkEnd w:id="5191"/>
      <w:r>
        <w:rPr>
          <w:rFonts w:hint="cs"/>
          <w:rtl/>
        </w:rPr>
        <w:t xml:space="preserve">מדוע </w:t>
      </w:r>
      <w:bookmarkStart w:id="5192" w:name="_ETM_Q6_491509"/>
      <w:bookmarkEnd w:id="5192"/>
      <w:r>
        <w:rPr>
          <w:rFonts w:hint="cs"/>
          <w:rtl/>
        </w:rPr>
        <w:t xml:space="preserve">להגיד </w:t>
      </w:r>
      <w:bookmarkStart w:id="5193" w:name="_ETM_Q6_491959"/>
      <w:bookmarkEnd w:id="5193"/>
      <w:r>
        <w:rPr>
          <w:rFonts w:hint="cs"/>
          <w:rtl/>
        </w:rPr>
        <w:t xml:space="preserve">לא </w:t>
      </w:r>
      <w:bookmarkStart w:id="5194" w:name="_ETM_Q6_492139"/>
      <w:bookmarkEnd w:id="5194"/>
      <w:r>
        <w:rPr>
          <w:rFonts w:hint="cs"/>
          <w:rtl/>
        </w:rPr>
        <w:t xml:space="preserve">על </w:t>
      </w:r>
      <w:bookmarkStart w:id="5195" w:name="_ETM_Q6_492230"/>
      <w:bookmarkEnd w:id="5195"/>
      <w:r>
        <w:rPr>
          <w:rFonts w:hint="cs"/>
          <w:rtl/>
        </w:rPr>
        <w:t xml:space="preserve">דבר </w:t>
      </w:r>
      <w:bookmarkStart w:id="5196" w:name="_ETM_Q6_492529"/>
      <w:bookmarkEnd w:id="5196"/>
      <w:r>
        <w:rPr>
          <w:rFonts w:hint="cs"/>
          <w:rtl/>
        </w:rPr>
        <w:t xml:space="preserve">כזה </w:t>
      </w:r>
      <w:bookmarkStart w:id="5197" w:name="_ETM_Q6_493379"/>
      <w:bookmarkEnd w:id="5197"/>
      <w:r>
        <w:rPr>
          <w:rFonts w:hint="cs"/>
          <w:rtl/>
        </w:rPr>
        <w:t>ב</w:t>
      </w:r>
      <w:bookmarkStart w:id="5198" w:name="_ETM_Q6_493799"/>
      <w:bookmarkEnd w:id="5198"/>
      <w:r>
        <w:rPr>
          <w:rFonts w:hint="cs"/>
          <w:rtl/>
        </w:rPr>
        <w:t xml:space="preserve">לשון </w:t>
      </w:r>
      <w:bookmarkStart w:id="5199" w:name="_ETM_Q6_491000"/>
      <w:bookmarkEnd w:id="5199"/>
      <w:r>
        <w:rPr>
          <w:rFonts w:hint="cs"/>
          <w:rtl/>
        </w:rPr>
        <w:t xml:space="preserve">בני אדם? </w:t>
      </w:r>
      <w:bookmarkStart w:id="5200" w:name="_ETM_Q6_494720"/>
      <w:bookmarkEnd w:id="5200"/>
      <w:r>
        <w:rPr>
          <w:rFonts w:hint="cs"/>
          <w:rtl/>
        </w:rPr>
        <w:t xml:space="preserve">מאיפה </w:t>
      </w:r>
      <w:bookmarkStart w:id="5201" w:name="_ETM_Q6_495050"/>
      <w:bookmarkEnd w:id="5201"/>
      <w:r>
        <w:rPr>
          <w:rFonts w:hint="cs"/>
          <w:rtl/>
        </w:rPr>
        <w:t xml:space="preserve">זה </w:t>
      </w:r>
      <w:bookmarkStart w:id="5202" w:name="_ETM_Q6_495170"/>
      <w:bookmarkEnd w:id="5202"/>
      <w:r>
        <w:rPr>
          <w:rFonts w:hint="cs"/>
          <w:rtl/>
        </w:rPr>
        <w:t xml:space="preserve">נובע? </w:t>
      </w:r>
      <w:bookmarkStart w:id="5203" w:name="_ETM_Q6_496260"/>
      <w:bookmarkEnd w:id="5203"/>
      <w:r>
        <w:rPr>
          <w:rFonts w:hint="cs"/>
          <w:rtl/>
        </w:rPr>
        <w:t xml:space="preserve">מאיפה </w:t>
      </w:r>
      <w:bookmarkStart w:id="5204" w:name="_ETM_Q6_496710"/>
      <w:bookmarkEnd w:id="5204"/>
      <w:r>
        <w:rPr>
          <w:rFonts w:hint="cs"/>
          <w:rtl/>
        </w:rPr>
        <w:t>היצר</w:t>
      </w:r>
      <w:bookmarkStart w:id="5205" w:name="_ETM_Q6_497279"/>
      <w:bookmarkEnd w:id="5205"/>
      <w:r>
        <w:rPr>
          <w:rFonts w:hint="cs"/>
          <w:rtl/>
        </w:rPr>
        <w:t xml:space="preserve">, הדבר </w:t>
      </w:r>
      <w:bookmarkStart w:id="5206" w:name="_ETM_Q6_497670"/>
      <w:bookmarkEnd w:id="5206"/>
      <w:r>
        <w:rPr>
          <w:rFonts w:hint="cs"/>
          <w:rtl/>
        </w:rPr>
        <w:t xml:space="preserve">הזה, </w:t>
      </w:r>
      <w:bookmarkStart w:id="5207" w:name="_ETM_Q6_497910"/>
      <w:bookmarkEnd w:id="5207"/>
      <w:r>
        <w:rPr>
          <w:rFonts w:hint="cs"/>
          <w:rtl/>
        </w:rPr>
        <w:t xml:space="preserve">לבוא </w:t>
      </w:r>
      <w:bookmarkStart w:id="5208" w:name="_ETM_Q6_498150"/>
      <w:bookmarkEnd w:id="5208"/>
      <w:r>
        <w:rPr>
          <w:rFonts w:hint="cs"/>
          <w:rtl/>
        </w:rPr>
        <w:t xml:space="preserve">ולהגיד: </w:t>
      </w:r>
      <w:bookmarkStart w:id="5209" w:name="_ETM_Q6_498779"/>
      <w:bookmarkEnd w:id="5209"/>
      <w:r>
        <w:rPr>
          <w:rFonts w:hint="cs"/>
          <w:rtl/>
        </w:rPr>
        <w:t xml:space="preserve">לא, </w:t>
      </w:r>
      <w:bookmarkStart w:id="5210" w:name="_ETM_Q6_499050"/>
      <w:bookmarkEnd w:id="5210"/>
      <w:r>
        <w:rPr>
          <w:rFonts w:hint="cs"/>
          <w:rtl/>
        </w:rPr>
        <w:t xml:space="preserve">אין </w:t>
      </w:r>
      <w:bookmarkStart w:id="5211" w:name="_ETM_Q6_499200"/>
      <w:bookmarkEnd w:id="5211"/>
      <w:r>
        <w:rPr>
          <w:rFonts w:hint="cs"/>
          <w:rtl/>
        </w:rPr>
        <w:t xml:space="preserve">לנו </w:t>
      </w:r>
      <w:bookmarkStart w:id="5212" w:name="_ETM_Q6_499380"/>
      <w:bookmarkEnd w:id="5212"/>
      <w:r>
        <w:rPr>
          <w:rFonts w:hint="cs"/>
          <w:rtl/>
        </w:rPr>
        <w:t xml:space="preserve">חובה </w:t>
      </w:r>
      <w:bookmarkStart w:id="5213" w:name="_ETM_Q6_499860"/>
      <w:bookmarkEnd w:id="5213"/>
      <w:r>
        <w:rPr>
          <w:rFonts w:hint="cs"/>
          <w:rtl/>
        </w:rPr>
        <w:t xml:space="preserve">לנהוג </w:t>
      </w:r>
      <w:bookmarkStart w:id="5214" w:name="_ETM_Q6_500220"/>
      <w:bookmarkEnd w:id="5214"/>
      <w:r>
        <w:rPr>
          <w:rFonts w:hint="cs"/>
          <w:rtl/>
        </w:rPr>
        <w:t xml:space="preserve">בסבירות, </w:t>
      </w:r>
      <w:bookmarkStart w:id="5215" w:name="_ETM_Q6_501029"/>
      <w:bookmarkEnd w:id="5215"/>
      <w:r>
        <w:rPr>
          <w:rFonts w:hint="cs"/>
          <w:rtl/>
        </w:rPr>
        <w:t xml:space="preserve">אבל </w:t>
      </w:r>
      <w:bookmarkStart w:id="5216" w:name="_ETM_Q6_501210"/>
      <w:bookmarkEnd w:id="5216"/>
      <w:r>
        <w:rPr>
          <w:rFonts w:hint="cs"/>
          <w:rtl/>
        </w:rPr>
        <w:t xml:space="preserve">נשחרר </w:t>
      </w:r>
      <w:bookmarkStart w:id="5217" w:name="_ETM_Q6_501600"/>
      <w:bookmarkEnd w:id="5217"/>
      <w:r>
        <w:rPr>
          <w:rFonts w:hint="cs"/>
          <w:rtl/>
        </w:rPr>
        <w:t xml:space="preserve">את </w:t>
      </w:r>
      <w:bookmarkStart w:id="5218" w:name="_ETM_Q6_501689"/>
      <w:bookmarkEnd w:id="5218"/>
      <w:r>
        <w:rPr>
          <w:rFonts w:hint="cs"/>
          <w:rtl/>
        </w:rPr>
        <w:t xml:space="preserve">עצמנו </w:t>
      </w:r>
      <w:bookmarkStart w:id="5219" w:name="_ETM_Q6_502080"/>
      <w:bookmarkEnd w:id="5219"/>
      <w:r>
        <w:rPr>
          <w:rFonts w:hint="cs"/>
          <w:rtl/>
        </w:rPr>
        <w:t xml:space="preserve">מכל </w:t>
      </w:r>
      <w:bookmarkStart w:id="5220" w:name="_ETM_Q6_502410"/>
      <w:bookmarkEnd w:id="5220"/>
      <w:r>
        <w:rPr>
          <w:rFonts w:hint="cs"/>
          <w:rtl/>
        </w:rPr>
        <w:t xml:space="preserve">דבר? </w:t>
      </w:r>
      <w:bookmarkStart w:id="5221" w:name="_ETM_Q6_502680"/>
      <w:bookmarkEnd w:id="5221"/>
      <w:r>
        <w:rPr>
          <w:rFonts w:hint="cs"/>
          <w:rtl/>
        </w:rPr>
        <w:t xml:space="preserve">ושמעתם </w:t>
      </w:r>
      <w:bookmarkStart w:id="5222" w:name="_ETM_Q6_503279"/>
      <w:bookmarkEnd w:id="5222"/>
      <w:r>
        <w:rPr>
          <w:rFonts w:hint="cs"/>
          <w:rtl/>
        </w:rPr>
        <w:t xml:space="preserve">את </w:t>
      </w:r>
      <w:bookmarkStart w:id="5223" w:name="_ETM_Q6_503369"/>
      <w:bookmarkEnd w:id="5223"/>
      <w:r>
        <w:rPr>
          <w:rFonts w:hint="cs"/>
          <w:rtl/>
        </w:rPr>
        <w:t xml:space="preserve">הציטוטים </w:t>
      </w:r>
      <w:bookmarkStart w:id="5224" w:name="_ETM_Q6_504150"/>
      <w:bookmarkEnd w:id="5224"/>
      <w:r>
        <w:rPr>
          <w:rFonts w:hint="cs"/>
          <w:rtl/>
        </w:rPr>
        <w:t xml:space="preserve">של </w:t>
      </w:r>
      <w:bookmarkStart w:id="5225" w:name="_ETM_Q6_504330"/>
      <w:bookmarkEnd w:id="5225"/>
      <w:r>
        <w:rPr>
          <w:rFonts w:hint="cs"/>
          <w:rtl/>
        </w:rPr>
        <w:t xml:space="preserve">אותם </w:t>
      </w:r>
      <w:bookmarkStart w:id="5226" w:name="_ETM_Q6_504599"/>
      <w:bookmarkEnd w:id="5226"/>
      <w:r>
        <w:rPr>
          <w:rFonts w:hint="cs"/>
          <w:rtl/>
        </w:rPr>
        <w:t xml:space="preserve">שרים </w:t>
      </w:r>
      <w:bookmarkStart w:id="5227" w:name="_ETM_Q6_504960"/>
      <w:bookmarkEnd w:id="5227"/>
      <w:r>
        <w:rPr>
          <w:rFonts w:hint="cs"/>
          <w:rtl/>
        </w:rPr>
        <w:t xml:space="preserve">סוררים </w:t>
      </w:r>
      <w:bookmarkStart w:id="5228" w:name="_ETM_Q6_505439"/>
      <w:bookmarkEnd w:id="5228"/>
      <w:r>
        <w:rPr>
          <w:rFonts w:hint="cs"/>
          <w:rtl/>
        </w:rPr>
        <w:t xml:space="preserve">של </w:t>
      </w:r>
      <w:bookmarkStart w:id="5229" w:name="_ETM_Q6_505619"/>
      <w:bookmarkEnd w:id="5229"/>
      <w:r>
        <w:rPr>
          <w:rFonts w:hint="cs"/>
          <w:rtl/>
        </w:rPr>
        <w:t xml:space="preserve">הממשלה </w:t>
      </w:r>
      <w:bookmarkStart w:id="5230" w:name="_ETM_Q6_505980"/>
      <w:bookmarkEnd w:id="5230"/>
      <w:r>
        <w:rPr>
          <w:rFonts w:hint="cs"/>
          <w:rtl/>
        </w:rPr>
        <w:t>שלכם,</w:t>
      </w:r>
      <w:bookmarkStart w:id="5231" w:name="_ETM_Q6_506550"/>
      <w:bookmarkEnd w:id="5231"/>
      <w:r>
        <w:rPr>
          <w:rFonts w:hint="cs"/>
          <w:rtl/>
        </w:rPr>
        <w:t xml:space="preserve"> מה </w:t>
      </w:r>
      <w:bookmarkStart w:id="5232" w:name="_ETM_Q6_506759"/>
      <w:bookmarkEnd w:id="5232"/>
      <w:r>
        <w:rPr>
          <w:rFonts w:hint="cs"/>
          <w:rtl/>
        </w:rPr>
        <w:t xml:space="preserve">הם </w:t>
      </w:r>
      <w:bookmarkStart w:id="5233" w:name="_ETM_Q6_506820"/>
      <w:bookmarkEnd w:id="5233"/>
      <w:r>
        <w:rPr>
          <w:rFonts w:hint="cs"/>
          <w:rtl/>
        </w:rPr>
        <w:t xml:space="preserve">הולכים </w:t>
      </w:r>
      <w:bookmarkStart w:id="5234" w:name="_ETM_Q6_507119"/>
      <w:bookmarkEnd w:id="5234"/>
      <w:r>
        <w:rPr>
          <w:rFonts w:hint="cs"/>
          <w:rtl/>
        </w:rPr>
        <w:t>לעשות.</w:t>
      </w:r>
    </w:p>
    <w:p w:rsidR="000C5C1F" w:rsidRDefault="000C5C1F" w:rsidP="00337201">
      <w:pPr>
        <w:rPr>
          <w:rtl/>
        </w:rPr>
      </w:pPr>
    </w:p>
    <w:p w:rsidR="000C5C1F" w:rsidRDefault="000C5C1F" w:rsidP="00337201">
      <w:pPr>
        <w:rPr>
          <w:rtl/>
        </w:rPr>
      </w:pPr>
      <w:bookmarkStart w:id="5235" w:name="_ETM_Q6_503000"/>
      <w:bookmarkStart w:id="5236" w:name="_ETM_Q6_507900"/>
      <w:bookmarkEnd w:id="5235"/>
      <w:bookmarkEnd w:id="5236"/>
      <w:r>
        <w:rPr>
          <w:rFonts w:hint="cs"/>
          <w:rtl/>
        </w:rPr>
        <w:t xml:space="preserve">עכשיו, </w:t>
      </w:r>
      <w:bookmarkStart w:id="5237" w:name="_ETM_Q6_508110"/>
      <w:bookmarkEnd w:id="5237"/>
      <w:r>
        <w:rPr>
          <w:rFonts w:hint="cs"/>
          <w:rtl/>
        </w:rPr>
        <w:t xml:space="preserve">עזבו </w:t>
      </w:r>
      <w:bookmarkStart w:id="5238" w:name="_ETM_Q6_508349"/>
      <w:bookmarkEnd w:id="5238"/>
      <w:r>
        <w:rPr>
          <w:rFonts w:hint="cs"/>
          <w:rtl/>
        </w:rPr>
        <w:t xml:space="preserve">רגע </w:t>
      </w:r>
      <w:bookmarkStart w:id="5239" w:name="_ETM_Q6_508529"/>
      <w:bookmarkEnd w:id="5239"/>
      <w:r>
        <w:rPr>
          <w:rFonts w:hint="cs"/>
          <w:rtl/>
        </w:rPr>
        <w:t xml:space="preserve">את </w:t>
      </w:r>
      <w:bookmarkStart w:id="5240" w:name="_ETM_Q6_508680"/>
      <w:bookmarkEnd w:id="5240"/>
      <w:r>
        <w:rPr>
          <w:rFonts w:hint="cs"/>
          <w:rtl/>
        </w:rPr>
        <w:t xml:space="preserve">הדברים </w:t>
      </w:r>
      <w:bookmarkStart w:id="5241" w:name="_ETM_Q6_509070"/>
      <w:bookmarkEnd w:id="5241"/>
      <w:r>
        <w:rPr>
          <w:rFonts w:hint="cs"/>
          <w:rtl/>
        </w:rPr>
        <w:t xml:space="preserve">הגדולים, </w:t>
      </w:r>
      <w:bookmarkStart w:id="5242" w:name="_ETM_Q6_509790"/>
      <w:bookmarkEnd w:id="5242"/>
      <w:r>
        <w:rPr>
          <w:rFonts w:hint="cs"/>
          <w:rtl/>
        </w:rPr>
        <w:t xml:space="preserve">בואו </w:t>
      </w:r>
      <w:bookmarkStart w:id="5243" w:name="_ETM_Q6_510000"/>
      <w:bookmarkEnd w:id="5243"/>
      <w:r>
        <w:rPr>
          <w:rFonts w:hint="cs"/>
          <w:rtl/>
        </w:rPr>
        <w:t xml:space="preserve">נדבר </w:t>
      </w:r>
      <w:bookmarkStart w:id="5244" w:name="_ETM_Q6_510210"/>
      <w:bookmarkEnd w:id="5244"/>
      <w:r>
        <w:rPr>
          <w:rFonts w:hint="cs"/>
          <w:rtl/>
        </w:rPr>
        <w:t xml:space="preserve">על </w:t>
      </w:r>
      <w:bookmarkStart w:id="5245" w:name="_ETM_Q6_510300"/>
      <w:bookmarkEnd w:id="5245"/>
      <w:r>
        <w:rPr>
          <w:rFonts w:hint="cs"/>
          <w:rtl/>
        </w:rPr>
        <w:t xml:space="preserve">הדברים </w:t>
      </w:r>
      <w:bookmarkStart w:id="5246" w:name="_ETM_Q6_510570"/>
      <w:bookmarkEnd w:id="5246"/>
      <w:r>
        <w:rPr>
          <w:rFonts w:hint="cs"/>
          <w:rtl/>
        </w:rPr>
        <w:t>ה"קטנים"</w:t>
      </w:r>
      <w:bookmarkStart w:id="5247" w:name="_ETM_Q6_511920"/>
      <w:bookmarkEnd w:id="5247"/>
      <w:r>
        <w:rPr>
          <w:rFonts w:hint="cs"/>
          <w:rtl/>
        </w:rPr>
        <w:t xml:space="preserve">. </w:t>
      </w:r>
      <w:bookmarkStart w:id="5248" w:name="_ETM_Q6_514320"/>
      <w:bookmarkStart w:id="5249" w:name="_ETM_Q6_514930"/>
      <w:bookmarkStart w:id="5250" w:name="_ETM_Q6_515830"/>
      <w:bookmarkEnd w:id="5248"/>
      <w:bookmarkEnd w:id="5249"/>
      <w:bookmarkEnd w:id="5250"/>
      <w:r>
        <w:rPr>
          <w:rFonts w:hint="cs"/>
          <w:rtl/>
        </w:rPr>
        <w:t xml:space="preserve">העלינו וביקשנו, וביקשתי </w:t>
      </w:r>
      <w:bookmarkStart w:id="5251" w:name="_ETM_Q6_516460"/>
      <w:bookmarkEnd w:id="5251"/>
      <w:r>
        <w:rPr>
          <w:rFonts w:hint="cs"/>
          <w:rtl/>
        </w:rPr>
        <w:t xml:space="preserve">יותר </w:t>
      </w:r>
      <w:bookmarkStart w:id="5252" w:name="_ETM_Q6_516700"/>
      <w:bookmarkEnd w:id="5252"/>
      <w:r>
        <w:rPr>
          <w:rFonts w:hint="cs"/>
          <w:rtl/>
        </w:rPr>
        <w:t>מפעם</w:t>
      </w:r>
      <w:bookmarkStart w:id="5253" w:name="_ETM_Q6_517029"/>
      <w:bookmarkEnd w:id="5253"/>
      <w:r>
        <w:rPr>
          <w:rFonts w:hint="cs"/>
          <w:rtl/>
        </w:rPr>
        <w:t xml:space="preserve"> אחת, </w:t>
      </w:r>
      <w:bookmarkStart w:id="5254" w:name="_ETM_Q6_518200"/>
      <w:bookmarkEnd w:id="5254"/>
      <w:r>
        <w:rPr>
          <w:rFonts w:hint="cs"/>
          <w:rtl/>
        </w:rPr>
        <w:t xml:space="preserve">שהוועדה, </w:t>
      </w:r>
      <w:bookmarkStart w:id="5255" w:name="_ETM_Q6_518920"/>
      <w:bookmarkEnd w:id="5255"/>
      <w:r>
        <w:rPr>
          <w:rFonts w:hint="cs"/>
          <w:rtl/>
        </w:rPr>
        <w:t xml:space="preserve">מאחר </w:t>
      </w:r>
      <w:bookmarkStart w:id="5256" w:name="_ETM_Q6_519339"/>
      <w:bookmarkEnd w:id="5256"/>
      <w:r>
        <w:rPr>
          <w:rFonts w:hint="cs"/>
          <w:rtl/>
        </w:rPr>
        <w:t xml:space="preserve">שהיא ועדת </w:t>
      </w:r>
      <w:bookmarkStart w:id="5257" w:name="_ETM_Q6_519640"/>
      <w:bookmarkEnd w:id="5257"/>
      <w:r>
        <w:rPr>
          <w:rFonts w:hint="cs"/>
          <w:rtl/>
        </w:rPr>
        <w:t xml:space="preserve">החוקה, </w:t>
      </w:r>
      <w:bookmarkStart w:id="5258" w:name="_ETM_Q6_519880"/>
      <w:bookmarkEnd w:id="5258"/>
      <w:r>
        <w:rPr>
          <w:rFonts w:hint="cs"/>
          <w:rtl/>
        </w:rPr>
        <w:t xml:space="preserve">חוק </w:t>
      </w:r>
      <w:bookmarkStart w:id="5259" w:name="_ETM_Q6_520060"/>
      <w:bookmarkEnd w:id="5259"/>
      <w:r>
        <w:rPr>
          <w:rFonts w:hint="cs"/>
          <w:rtl/>
        </w:rPr>
        <w:t xml:space="preserve">ומשפט </w:t>
      </w:r>
      <w:bookmarkStart w:id="5260" w:name="_ETM_Q6_521350"/>
      <w:bookmarkEnd w:id="5260"/>
      <w:r>
        <w:rPr>
          <w:rFonts w:hint="cs"/>
          <w:rtl/>
        </w:rPr>
        <w:t xml:space="preserve">– בניגוד </w:t>
      </w:r>
      <w:bookmarkStart w:id="5261" w:name="_ETM_Q6_521890"/>
      <w:bookmarkEnd w:id="5261"/>
      <w:r>
        <w:rPr>
          <w:rFonts w:hint="cs"/>
          <w:rtl/>
        </w:rPr>
        <w:t xml:space="preserve">להצעת </w:t>
      </w:r>
      <w:bookmarkStart w:id="5262" w:name="_ETM_Q6_522220"/>
      <w:bookmarkEnd w:id="5262"/>
      <w:r>
        <w:rPr>
          <w:rFonts w:hint="cs"/>
          <w:rtl/>
        </w:rPr>
        <w:t xml:space="preserve">חוק </w:t>
      </w:r>
      <w:bookmarkStart w:id="5263" w:name="_ETM_Q6_522370"/>
      <w:bookmarkEnd w:id="5263"/>
      <w:r>
        <w:rPr>
          <w:rFonts w:hint="cs"/>
          <w:rtl/>
        </w:rPr>
        <w:t xml:space="preserve">ממשלתית, </w:t>
      </w:r>
      <w:bookmarkStart w:id="5264" w:name="_ETM_Q6_522910"/>
      <w:bookmarkEnd w:id="5264"/>
      <w:r>
        <w:rPr>
          <w:rFonts w:hint="cs"/>
          <w:rtl/>
        </w:rPr>
        <w:t xml:space="preserve">שאז </w:t>
      </w:r>
      <w:bookmarkStart w:id="5265" w:name="_ETM_Q6_523150"/>
      <w:bookmarkEnd w:id="5265"/>
      <w:r>
        <w:rPr>
          <w:rFonts w:hint="cs"/>
          <w:rtl/>
        </w:rPr>
        <w:t xml:space="preserve">מייצגים </w:t>
      </w:r>
      <w:bookmarkStart w:id="5266" w:name="_ETM_Q6_523570"/>
      <w:bookmarkEnd w:id="5266"/>
      <w:r>
        <w:rPr>
          <w:rFonts w:hint="cs"/>
          <w:rtl/>
        </w:rPr>
        <w:t xml:space="preserve">את </w:t>
      </w:r>
      <w:bookmarkStart w:id="5267" w:name="_ETM_Q6_523660"/>
      <w:bookmarkEnd w:id="5267"/>
      <w:r>
        <w:rPr>
          <w:rFonts w:hint="cs"/>
          <w:rtl/>
        </w:rPr>
        <w:t xml:space="preserve">עמדת </w:t>
      </w:r>
      <w:bookmarkStart w:id="5268" w:name="_ETM_Q6_523989"/>
      <w:bookmarkEnd w:id="5268"/>
      <w:r>
        <w:rPr>
          <w:rFonts w:hint="cs"/>
          <w:rtl/>
        </w:rPr>
        <w:t xml:space="preserve">השרים </w:t>
      </w:r>
      <w:bookmarkStart w:id="5269" w:name="_ETM_Q6_524739"/>
      <w:bookmarkEnd w:id="5269"/>
      <w:r>
        <w:rPr>
          <w:rFonts w:hint="cs"/>
          <w:rtl/>
        </w:rPr>
        <w:t xml:space="preserve">הנוגעים </w:t>
      </w:r>
      <w:bookmarkStart w:id="5270" w:name="_ETM_Q6_525040"/>
      <w:bookmarkEnd w:id="5270"/>
      <w:r>
        <w:rPr>
          <w:rFonts w:hint="cs"/>
          <w:rtl/>
        </w:rPr>
        <w:t>בדבר</w:t>
      </w:r>
      <w:bookmarkStart w:id="5271" w:name="_ETM_Q6_525370"/>
      <w:bookmarkEnd w:id="5271"/>
      <w:r>
        <w:rPr>
          <w:rFonts w:hint="cs"/>
          <w:rtl/>
        </w:rPr>
        <w:t xml:space="preserve">, כי לא </w:t>
      </w:r>
      <w:bookmarkStart w:id="5272" w:name="_ETM_Q6_525579"/>
      <w:bookmarkEnd w:id="5272"/>
      <w:r>
        <w:rPr>
          <w:rFonts w:hint="cs"/>
          <w:rtl/>
        </w:rPr>
        <w:t xml:space="preserve">היה </w:t>
      </w:r>
      <w:bookmarkStart w:id="5273" w:name="_ETM_Q6_525700"/>
      <w:bookmarkEnd w:id="5273"/>
      <w:r>
        <w:rPr>
          <w:rFonts w:hint="cs"/>
          <w:rtl/>
        </w:rPr>
        <w:t xml:space="preserve">דיון, </w:t>
      </w:r>
      <w:bookmarkStart w:id="5274" w:name="_ETM_Q6_525940"/>
      <w:bookmarkEnd w:id="5274"/>
      <w:r>
        <w:rPr>
          <w:rFonts w:hint="cs"/>
          <w:rtl/>
        </w:rPr>
        <w:t>אמרנו</w:t>
      </w:r>
      <w:bookmarkStart w:id="5275" w:name="_ETM_Q6_526480"/>
      <w:bookmarkEnd w:id="5275"/>
      <w:r>
        <w:rPr>
          <w:rFonts w:hint="cs"/>
          <w:rtl/>
        </w:rPr>
        <w:t xml:space="preserve">: בואו </w:t>
      </w:r>
      <w:bookmarkStart w:id="5276" w:name="_ETM_Q6_526779"/>
      <w:bookmarkEnd w:id="5276"/>
      <w:r>
        <w:rPr>
          <w:rFonts w:hint="cs"/>
          <w:rtl/>
        </w:rPr>
        <w:t xml:space="preserve">תזמנו </w:t>
      </w:r>
      <w:bookmarkStart w:id="5277" w:name="_ETM_Q6_527589"/>
      <w:bookmarkEnd w:id="5277"/>
      <w:r>
        <w:rPr>
          <w:rFonts w:hint="cs"/>
          <w:rtl/>
        </w:rPr>
        <w:t xml:space="preserve">את </w:t>
      </w:r>
      <w:bookmarkStart w:id="5278" w:name="_ETM_Q6_527800"/>
      <w:bookmarkStart w:id="5279" w:name="_ETM_Q6_527989"/>
      <w:bookmarkEnd w:id="5278"/>
      <w:bookmarkEnd w:id="5279"/>
      <w:r>
        <w:rPr>
          <w:rFonts w:hint="cs"/>
          <w:rtl/>
        </w:rPr>
        <w:t xml:space="preserve">נציגי </w:t>
      </w:r>
      <w:bookmarkStart w:id="5280" w:name="_ETM_Q6_528199"/>
      <w:bookmarkEnd w:id="5280"/>
      <w:r>
        <w:rPr>
          <w:rFonts w:hint="cs"/>
          <w:rtl/>
        </w:rPr>
        <w:t xml:space="preserve">המשרדים. </w:t>
      </w:r>
      <w:bookmarkStart w:id="5281" w:name="_ETM_Q6_529159"/>
      <w:bookmarkEnd w:id="5281"/>
      <w:r>
        <w:rPr>
          <w:rFonts w:hint="cs"/>
          <w:rtl/>
        </w:rPr>
        <w:t xml:space="preserve">אני </w:t>
      </w:r>
      <w:bookmarkStart w:id="5282" w:name="_ETM_Q6_529399"/>
      <w:bookmarkEnd w:id="5282"/>
      <w:r>
        <w:rPr>
          <w:rFonts w:hint="cs"/>
          <w:rtl/>
        </w:rPr>
        <w:t xml:space="preserve">רוצים </w:t>
      </w:r>
      <w:bookmarkStart w:id="5283" w:name="_ETM_Q6_529699"/>
      <w:bookmarkEnd w:id="5283"/>
      <w:r>
        <w:rPr>
          <w:rFonts w:hint="cs"/>
          <w:rtl/>
        </w:rPr>
        <w:t xml:space="preserve">לשמוע </w:t>
      </w:r>
      <w:bookmarkStart w:id="5284" w:name="_ETM_Q6_530449"/>
      <w:bookmarkEnd w:id="5284"/>
      <w:r>
        <w:rPr>
          <w:rFonts w:hint="cs"/>
          <w:rtl/>
        </w:rPr>
        <w:t xml:space="preserve">מה </w:t>
      </w:r>
      <w:bookmarkStart w:id="5285" w:name="_ETM_Q6_530749"/>
      <w:bookmarkEnd w:id="5285"/>
      <w:r>
        <w:rPr>
          <w:rFonts w:hint="cs"/>
          <w:rtl/>
        </w:rPr>
        <w:t xml:space="preserve">ההשלכות. </w:t>
      </w:r>
      <w:bookmarkStart w:id="5286" w:name="_ETM_Q6_531379"/>
      <w:bookmarkStart w:id="5287" w:name="_ETM_Q6_531679"/>
      <w:bookmarkEnd w:id="5286"/>
      <w:bookmarkEnd w:id="5287"/>
      <w:r>
        <w:rPr>
          <w:rFonts w:hint="cs"/>
          <w:rtl/>
        </w:rPr>
        <w:t xml:space="preserve">שבהרבה </w:t>
      </w:r>
      <w:bookmarkStart w:id="5288" w:name="_ETM_Q6_532010"/>
      <w:bookmarkEnd w:id="5288"/>
      <w:r>
        <w:rPr>
          <w:rFonts w:hint="cs"/>
          <w:rtl/>
        </w:rPr>
        <w:t xml:space="preserve">מאוד </w:t>
      </w:r>
      <w:bookmarkStart w:id="5289" w:name="_ETM_Q6_532190"/>
      <w:bookmarkEnd w:id="5289"/>
      <w:r>
        <w:rPr>
          <w:rFonts w:hint="cs"/>
          <w:rtl/>
        </w:rPr>
        <w:t xml:space="preserve">דברי </w:t>
      </w:r>
      <w:bookmarkStart w:id="5290" w:name="_ETM_Q6_532489"/>
      <w:bookmarkEnd w:id="5290"/>
      <w:r>
        <w:rPr>
          <w:rFonts w:hint="cs"/>
          <w:rtl/>
        </w:rPr>
        <w:t xml:space="preserve">חקיקה </w:t>
      </w:r>
      <w:bookmarkStart w:id="5291" w:name="_ETM_Q6_533329"/>
      <w:bookmarkEnd w:id="5291"/>
      <w:r>
        <w:rPr>
          <w:rFonts w:hint="cs"/>
          <w:rtl/>
        </w:rPr>
        <w:t xml:space="preserve">מואצלות </w:t>
      </w:r>
      <w:bookmarkStart w:id="5292" w:name="_ETM_Q6_533989"/>
      <w:bookmarkEnd w:id="5292"/>
      <w:r>
        <w:rPr>
          <w:rFonts w:hint="cs"/>
          <w:rtl/>
        </w:rPr>
        <w:t xml:space="preserve">סמכויות, </w:t>
      </w:r>
      <w:bookmarkStart w:id="5293" w:name="_ETM_Q6_534589"/>
      <w:bookmarkEnd w:id="5293"/>
      <w:r>
        <w:rPr>
          <w:rFonts w:hint="cs"/>
          <w:rtl/>
        </w:rPr>
        <w:t xml:space="preserve">וכמו </w:t>
      </w:r>
      <w:bookmarkStart w:id="5294" w:name="_ETM_Q6_534859"/>
      <w:bookmarkEnd w:id="5294"/>
      <w:r>
        <w:rPr>
          <w:rFonts w:hint="cs"/>
          <w:rtl/>
        </w:rPr>
        <w:t>ש</w:t>
      </w:r>
      <w:bookmarkStart w:id="5295" w:name="_ETM_Q6_535039"/>
      <w:bookmarkEnd w:id="5295"/>
      <w:r>
        <w:rPr>
          <w:rFonts w:hint="cs"/>
          <w:rtl/>
        </w:rPr>
        <w:t xml:space="preserve">מואצלות </w:t>
      </w:r>
      <w:bookmarkStart w:id="5296" w:name="_ETM_Q6_535339"/>
      <w:bookmarkEnd w:id="5296"/>
      <w:r>
        <w:rPr>
          <w:rFonts w:hint="cs"/>
          <w:rtl/>
        </w:rPr>
        <w:t xml:space="preserve">סמכויות </w:t>
      </w:r>
      <w:bookmarkStart w:id="5297" w:name="_ETM_Q6_535699"/>
      <w:bookmarkStart w:id="5298" w:name="_ETM_Q6_535850"/>
      <w:bookmarkEnd w:id="5297"/>
      <w:bookmarkEnd w:id="5298"/>
      <w:r>
        <w:rPr>
          <w:rFonts w:hint="cs"/>
          <w:rtl/>
        </w:rPr>
        <w:t xml:space="preserve">השר </w:t>
      </w:r>
      <w:bookmarkStart w:id="5299" w:name="_ETM_Q6_536089"/>
      <w:bookmarkEnd w:id="5299"/>
      <w:r>
        <w:rPr>
          <w:rFonts w:hint="cs"/>
          <w:rtl/>
        </w:rPr>
        <w:t xml:space="preserve">גם יכול </w:t>
      </w:r>
      <w:bookmarkStart w:id="5300" w:name="_ETM_Q6_536359"/>
      <w:bookmarkEnd w:id="5300"/>
      <w:r>
        <w:rPr>
          <w:rFonts w:hint="cs"/>
          <w:rtl/>
        </w:rPr>
        <w:t xml:space="preserve">לקחת </w:t>
      </w:r>
      <w:bookmarkStart w:id="5301" w:name="_ETM_Q6_536809"/>
      <w:bookmarkEnd w:id="5301"/>
      <w:r>
        <w:rPr>
          <w:rFonts w:hint="cs"/>
          <w:rtl/>
        </w:rPr>
        <w:t xml:space="preserve">את </w:t>
      </w:r>
      <w:bookmarkStart w:id="5302" w:name="_ETM_Q6_536899"/>
      <w:bookmarkEnd w:id="5302"/>
      <w:r>
        <w:rPr>
          <w:rFonts w:hint="cs"/>
          <w:rtl/>
        </w:rPr>
        <w:t xml:space="preserve">הסמכויות </w:t>
      </w:r>
      <w:bookmarkStart w:id="5303" w:name="_ETM_Q6_537409"/>
      <w:bookmarkEnd w:id="5303"/>
      <w:r>
        <w:rPr>
          <w:rFonts w:hint="cs"/>
          <w:rtl/>
        </w:rPr>
        <w:t xml:space="preserve">האלה, </w:t>
      </w:r>
      <w:bookmarkStart w:id="5304" w:name="_ETM_Q6_537559"/>
      <w:bookmarkEnd w:id="5304"/>
      <w:r>
        <w:rPr>
          <w:rFonts w:hint="cs"/>
          <w:rtl/>
        </w:rPr>
        <w:t xml:space="preserve">ואז </w:t>
      </w:r>
      <w:bookmarkStart w:id="5305" w:name="_ETM_Q6_538190"/>
      <w:bookmarkEnd w:id="5305"/>
      <w:r>
        <w:rPr>
          <w:rFonts w:hint="cs"/>
          <w:rtl/>
        </w:rPr>
        <w:t xml:space="preserve">הוא יכול </w:t>
      </w:r>
      <w:bookmarkStart w:id="5306" w:name="_ETM_Q6_538489"/>
      <w:bookmarkEnd w:id="5306"/>
      <w:r>
        <w:rPr>
          <w:rFonts w:hint="cs"/>
          <w:rtl/>
        </w:rPr>
        <w:t xml:space="preserve">לזכות לחסינות </w:t>
      </w:r>
      <w:bookmarkStart w:id="5307" w:name="_ETM_Q6_538760"/>
      <w:bookmarkStart w:id="5308" w:name="_ETM_Q6_539239"/>
      <w:bookmarkEnd w:id="5307"/>
      <w:bookmarkEnd w:id="5308"/>
      <w:r>
        <w:rPr>
          <w:rFonts w:hint="cs"/>
          <w:rtl/>
        </w:rPr>
        <w:t xml:space="preserve">מוחלטת </w:t>
      </w:r>
      <w:bookmarkStart w:id="5309" w:name="_ETM_Q6_539719"/>
      <w:bookmarkEnd w:id="5309"/>
      <w:r>
        <w:rPr>
          <w:rFonts w:hint="cs"/>
          <w:rtl/>
        </w:rPr>
        <w:t xml:space="preserve">מכל </w:t>
      </w:r>
      <w:bookmarkStart w:id="5310" w:name="_ETM_Q6_539960"/>
      <w:bookmarkEnd w:id="5310"/>
      <w:r>
        <w:rPr>
          <w:rFonts w:hint="cs"/>
          <w:rtl/>
        </w:rPr>
        <w:t xml:space="preserve">ביקורת </w:t>
      </w:r>
      <w:bookmarkStart w:id="5311" w:name="_ETM_Q6_540350"/>
      <w:bookmarkEnd w:id="5311"/>
      <w:r>
        <w:rPr>
          <w:rFonts w:hint="cs"/>
          <w:rtl/>
        </w:rPr>
        <w:t>ב</w:t>
      </w:r>
      <w:bookmarkStart w:id="5312" w:name="_ETM_Q6_540499"/>
      <w:bookmarkStart w:id="5313" w:name="_ETM_Q6_540890"/>
      <w:bookmarkEnd w:id="5312"/>
      <w:bookmarkEnd w:id="5313"/>
      <w:r>
        <w:rPr>
          <w:rFonts w:hint="cs"/>
          <w:rtl/>
        </w:rPr>
        <w:t xml:space="preserve">אשר </w:t>
      </w:r>
      <w:bookmarkStart w:id="5314" w:name="_ETM_Q6_539000"/>
      <w:bookmarkEnd w:id="5314"/>
      <w:r>
        <w:rPr>
          <w:rFonts w:hint="cs"/>
          <w:rtl/>
        </w:rPr>
        <w:t xml:space="preserve">היא – כי יש </w:t>
      </w:r>
      <w:bookmarkStart w:id="5315" w:name="_ETM_Q6_541039"/>
      <w:bookmarkEnd w:id="5315"/>
      <w:r>
        <w:rPr>
          <w:rFonts w:hint="cs"/>
          <w:rtl/>
        </w:rPr>
        <w:t xml:space="preserve">ביקורת, </w:t>
      </w:r>
      <w:bookmarkStart w:id="5316" w:name="_ETM_Q6_541760"/>
      <w:bookmarkEnd w:id="5316"/>
      <w:r>
        <w:rPr>
          <w:rFonts w:hint="cs"/>
          <w:rtl/>
        </w:rPr>
        <w:t xml:space="preserve">גם </w:t>
      </w:r>
      <w:bookmarkStart w:id="5317" w:name="_ETM_Q6_541999"/>
      <w:bookmarkEnd w:id="5317"/>
      <w:r>
        <w:rPr>
          <w:rFonts w:hint="cs"/>
          <w:rtl/>
        </w:rPr>
        <w:t xml:space="preserve">היום, </w:t>
      </w:r>
      <w:bookmarkStart w:id="5318" w:name="_ETM_Q6_542269"/>
      <w:bookmarkEnd w:id="5318"/>
      <w:r>
        <w:rPr>
          <w:rFonts w:hint="cs"/>
          <w:rtl/>
        </w:rPr>
        <w:t xml:space="preserve">בחוק </w:t>
      </w:r>
      <w:bookmarkStart w:id="5319" w:name="_ETM_Q6_542570"/>
      <w:bookmarkEnd w:id="5319"/>
      <w:r>
        <w:rPr>
          <w:rFonts w:hint="cs"/>
          <w:rtl/>
        </w:rPr>
        <w:t xml:space="preserve">הזה, </w:t>
      </w:r>
      <w:bookmarkStart w:id="5320" w:name="_ETM_Q6_542809"/>
      <w:bookmarkEnd w:id="5320"/>
      <w:r>
        <w:rPr>
          <w:rFonts w:hint="cs"/>
          <w:rtl/>
        </w:rPr>
        <w:t xml:space="preserve">על </w:t>
      </w:r>
      <w:bookmarkStart w:id="5321" w:name="_ETM_Q6_543920"/>
      <w:bookmarkEnd w:id="5321"/>
      <w:r>
        <w:rPr>
          <w:rFonts w:hint="cs"/>
          <w:rtl/>
        </w:rPr>
        <w:t xml:space="preserve">החלטתם </w:t>
      </w:r>
      <w:bookmarkStart w:id="5322" w:name="_ETM_Q6_544369"/>
      <w:bookmarkEnd w:id="5322"/>
      <w:r>
        <w:rPr>
          <w:rFonts w:hint="cs"/>
          <w:rtl/>
        </w:rPr>
        <w:t xml:space="preserve">של </w:t>
      </w:r>
      <w:bookmarkStart w:id="5323" w:name="_ETM_Q6_544520"/>
      <w:bookmarkEnd w:id="5323"/>
      <w:r>
        <w:rPr>
          <w:rFonts w:hint="cs"/>
          <w:rtl/>
        </w:rPr>
        <w:t xml:space="preserve">עובדי </w:t>
      </w:r>
      <w:bookmarkStart w:id="5324" w:name="_ETM_Q6_544820"/>
      <w:bookmarkEnd w:id="5324"/>
      <w:r>
        <w:rPr>
          <w:rFonts w:hint="cs"/>
          <w:rtl/>
        </w:rPr>
        <w:t>ציבור.</w:t>
      </w:r>
      <w:bookmarkStart w:id="5325" w:name="_ETM_Q6_547000"/>
      <w:bookmarkStart w:id="5326" w:name="_ETM_Q6_547130"/>
      <w:bookmarkEnd w:id="5325"/>
      <w:bookmarkEnd w:id="5326"/>
      <w:r>
        <w:rPr>
          <w:rFonts w:hint="cs"/>
          <w:rtl/>
        </w:rPr>
        <w:t xml:space="preserve"> </w:t>
      </w:r>
      <w:bookmarkStart w:id="5327" w:name="_ETM_Q6_551124"/>
      <w:bookmarkStart w:id="5328" w:name="_ETM_Q6_551214"/>
      <w:bookmarkStart w:id="5329" w:name="_ETM_Q6_551281"/>
      <w:bookmarkStart w:id="5330" w:name="_ETM_Q6_551371"/>
      <w:bookmarkEnd w:id="5327"/>
      <w:bookmarkEnd w:id="5328"/>
      <w:bookmarkEnd w:id="5329"/>
      <w:bookmarkEnd w:id="5330"/>
      <w:r>
        <w:rPr>
          <w:rFonts w:hint="cs"/>
          <w:rtl/>
        </w:rPr>
        <w:t xml:space="preserve">אנשים </w:t>
      </w:r>
      <w:bookmarkStart w:id="5331" w:name="_ETM_Q6_547490"/>
      <w:bookmarkEnd w:id="5331"/>
      <w:r>
        <w:rPr>
          <w:rFonts w:hint="cs"/>
          <w:rtl/>
        </w:rPr>
        <w:t xml:space="preserve">לא </w:t>
      </w:r>
      <w:bookmarkStart w:id="5332" w:name="_ETM_Q6_547579"/>
      <w:bookmarkEnd w:id="5332"/>
      <w:r>
        <w:rPr>
          <w:rFonts w:hint="cs"/>
          <w:rtl/>
        </w:rPr>
        <w:t xml:space="preserve">הגיעו. </w:t>
      </w:r>
      <w:bookmarkStart w:id="5333" w:name="_ETM_Q6_549579"/>
      <w:bookmarkEnd w:id="5333"/>
      <w:r>
        <w:rPr>
          <w:rFonts w:hint="cs"/>
          <w:rtl/>
        </w:rPr>
        <w:t xml:space="preserve">השירות </w:t>
      </w:r>
      <w:bookmarkStart w:id="5334" w:name="_ETM_Q6_550089"/>
      <w:bookmarkEnd w:id="5334"/>
      <w:r>
        <w:rPr>
          <w:rFonts w:hint="cs"/>
          <w:rtl/>
        </w:rPr>
        <w:t xml:space="preserve">הציבורי </w:t>
      </w:r>
      <w:bookmarkStart w:id="5335" w:name="_ETM_Q6_551079"/>
      <w:bookmarkEnd w:id="5335"/>
      <w:r>
        <w:rPr>
          <w:rFonts w:hint="cs"/>
          <w:rtl/>
        </w:rPr>
        <w:t xml:space="preserve">לא </w:t>
      </w:r>
      <w:bookmarkStart w:id="5336" w:name="_ETM_Q6_551289"/>
      <w:bookmarkEnd w:id="5336"/>
      <w:r>
        <w:rPr>
          <w:rFonts w:hint="cs"/>
          <w:rtl/>
        </w:rPr>
        <w:t>הגיע.</w:t>
      </w:r>
      <w:bookmarkStart w:id="5337" w:name="_ETM_Q6_550661"/>
      <w:bookmarkStart w:id="5338" w:name="_ETM_Q6_550849"/>
      <w:bookmarkStart w:id="5339" w:name="_ETM_Q6_550889"/>
      <w:bookmarkStart w:id="5340" w:name="_ETM_Q6_550969"/>
      <w:bookmarkStart w:id="5341" w:name="_ETM_Q6_552110"/>
      <w:bookmarkStart w:id="5342" w:name="_ETM_Q6_555121"/>
      <w:bookmarkEnd w:id="5337"/>
      <w:bookmarkEnd w:id="5338"/>
      <w:bookmarkEnd w:id="5339"/>
      <w:bookmarkEnd w:id="5340"/>
      <w:bookmarkEnd w:id="5341"/>
      <w:bookmarkEnd w:id="5342"/>
      <w:r>
        <w:rPr>
          <w:rFonts w:hint="cs"/>
          <w:rtl/>
        </w:rPr>
        <w:t xml:space="preserve"> פניתי </w:t>
      </w:r>
      <w:bookmarkStart w:id="5343" w:name="_ETM_Q6_552469"/>
      <w:bookmarkEnd w:id="5343"/>
      <w:r>
        <w:rPr>
          <w:rFonts w:hint="cs"/>
          <w:rtl/>
        </w:rPr>
        <w:t xml:space="preserve">ליושב-ראש </w:t>
      </w:r>
      <w:bookmarkStart w:id="5344" w:name="_ETM_Q6_552860"/>
      <w:bookmarkEnd w:id="5344"/>
      <w:r>
        <w:rPr>
          <w:rFonts w:hint="cs"/>
          <w:rtl/>
        </w:rPr>
        <w:t xml:space="preserve">הוועדה, </w:t>
      </w:r>
      <w:bookmarkStart w:id="5345" w:name="_ETM_Q6_553159"/>
      <w:bookmarkEnd w:id="5345"/>
      <w:r>
        <w:rPr>
          <w:rFonts w:hint="cs"/>
          <w:rtl/>
        </w:rPr>
        <w:t xml:space="preserve">אמרתי: </w:t>
      </w:r>
      <w:bookmarkStart w:id="5346" w:name="_ETM_Q6_553399"/>
      <w:bookmarkEnd w:id="5346"/>
      <w:r>
        <w:rPr>
          <w:rFonts w:hint="cs"/>
          <w:rtl/>
        </w:rPr>
        <w:t xml:space="preserve">תראה, </w:t>
      </w:r>
      <w:bookmarkStart w:id="5347" w:name="_ETM_Q6_553729"/>
      <w:bookmarkEnd w:id="5347"/>
      <w:r>
        <w:rPr>
          <w:rFonts w:hint="cs"/>
          <w:rtl/>
        </w:rPr>
        <w:t xml:space="preserve">אתה </w:t>
      </w:r>
      <w:bookmarkStart w:id="5348" w:name="_ETM_Q6_553909"/>
      <w:bookmarkEnd w:id="5348"/>
      <w:r>
        <w:rPr>
          <w:rFonts w:hint="cs"/>
          <w:rtl/>
        </w:rPr>
        <w:t xml:space="preserve">אומר שזו </w:t>
      </w:r>
      <w:bookmarkStart w:id="5349" w:name="_ETM_Q6_554000"/>
      <w:bookmarkStart w:id="5350" w:name="_ETM_Q6_554089"/>
      <w:bookmarkEnd w:id="5349"/>
      <w:bookmarkEnd w:id="5350"/>
      <w:r>
        <w:rPr>
          <w:rFonts w:hint="cs"/>
          <w:rtl/>
        </w:rPr>
        <w:t xml:space="preserve">הצעת </w:t>
      </w:r>
      <w:bookmarkStart w:id="5351" w:name="_ETM_Q6_554299"/>
      <w:bookmarkEnd w:id="5351"/>
      <w:r>
        <w:rPr>
          <w:rFonts w:hint="cs"/>
          <w:rtl/>
        </w:rPr>
        <w:t xml:space="preserve">חוק </w:t>
      </w:r>
      <w:bookmarkStart w:id="5352" w:name="_ETM_Q6_554450"/>
      <w:bookmarkEnd w:id="5352"/>
      <w:r>
        <w:rPr>
          <w:rFonts w:hint="cs"/>
          <w:rtl/>
        </w:rPr>
        <w:t xml:space="preserve">של </w:t>
      </w:r>
      <w:bookmarkStart w:id="5353" w:name="_ETM_Q6_554600"/>
      <w:bookmarkEnd w:id="5353"/>
      <w:r>
        <w:rPr>
          <w:rFonts w:hint="cs"/>
          <w:rtl/>
        </w:rPr>
        <w:t xml:space="preserve">ועדה, </w:t>
      </w:r>
      <w:bookmarkStart w:id="5354" w:name="_ETM_Q6_554869"/>
      <w:bookmarkEnd w:id="5354"/>
      <w:r>
        <w:rPr>
          <w:rFonts w:hint="cs"/>
          <w:rtl/>
        </w:rPr>
        <w:t xml:space="preserve">זה </w:t>
      </w:r>
      <w:bookmarkStart w:id="5355" w:name="_ETM_Q6_554990"/>
      <w:bookmarkEnd w:id="5355"/>
      <w:r>
        <w:rPr>
          <w:rFonts w:hint="cs"/>
          <w:rtl/>
        </w:rPr>
        <w:t xml:space="preserve">לא </w:t>
      </w:r>
      <w:bookmarkStart w:id="5356" w:name="_ETM_Q6_555110"/>
      <w:bookmarkEnd w:id="5356"/>
      <w:r>
        <w:rPr>
          <w:rFonts w:hint="cs"/>
          <w:rtl/>
        </w:rPr>
        <w:t xml:space="preserve">עסק </w:t>
      </w:r>
      <w:bookmarkStart w:id="5357" w:name="_ETM_Q6_555409"/>
      <w:bookmarkEnd w:id="5357"/>
      <w:r>
        <w:rPr>
          <w:rFonts w:hint="cs"/>
          <w:rtl/>
        </w:rPr>
        <w:t xml:space="preserve">פרטי </w:t>
      </w:r>
      <w:bookmarkStart w:id="5358" w:name="_ETM_Q6_556310"/>
      <w:bookmarkEnd w:id="5358"/>
      <w:r>
        <w:rPr>
          <w:rFonts w:hint="cs"/>
          <w:rtl/>
        </w:rPr>
        <w:t xml:space="preserve">– אני </w:t>
      </w:r>
      <w:bookmarkStart w:id="5359" w:name="_ETM_Q6_556520"/>
      <w:bookmarkEnd w:id="5359"/>
      <w:r>
        <w:rPr>
          <w:rFonts w:hint="cs"/>
          <w:rtl/>
        </w:rPr>
        <w:t xml:space="preserve">מבקש </w:t>
      </w:r>
      <w:bookmarkStart w:id="5360" w:name="_ETM_Q6_557329"/>
      <w:bookmarkEnd w:id="5360"/>
      <w:r>
        <w:rPr>
          <w:rFonts w:hint="cs"/>
          <w:rtl/>
        </w:rPr>
        <w:t xml:space="preserve">ודורש: </w:t>
      </w:r>
      <w:bookmarkStart w:id="5361" w:name="_ETM_Q6_559180"/>
      <w:bookmarkEnd w:id="5361"/>
      <w:r>
        <w:rPr>
          <w:rFonts w:hint="cs"/>
          <w:rtl/>
        </w:rPr>
        <w:t xml:space="preserve">אתם </w:t>
      </w:r>
      <w:bookmarkStart w:id="5362" w:name="_ETM_Q6_559360"/>
      <w:bookmarkEnd w:id="5362"/>
      <w:r>
        <w:rPr>
          <w:rFonts w:hint="cs"/>
          <w:rtl/>
        </w:rPr>
        <w:t xml:space="preserve">מדברים </w:t>
      </w:r>
      <w:bookmarkStart w:id="5363" w:name="_ETM_Q6_559510"/>
      <w:bookmarkEnd w:id="5363"/>
      <w:r>
        <w:rPr>
          <w:rFonts w:hint="cs"/>
          <w:rtl/>
        </w:rPr>
        <w:t xml:space="preserve">על </w:t>
      </w:r>
      <w:bookmarkStart w:id="5364" w:name="_ETM_Q6_559600"/>
      <w:bookmarkEnd w:id="5364"/>
      <w:r>
        <w:rPr>
          <w:rFonts w:hint="cs"/>
          <w:rtl/>
        </w:rPr>
        <w:t xml:space="preserve">הכנסת, </w:t>
      </w:r>
      <w:bookmarkStart w:id="5365" w:name="_ETM_Q6_560049"/>
      <w:bookmarkEnd w:id="5365"/>
      <w:r>
        <w:rPr>
          <w:rFonts w:hint="cs"/>
          <w:rtl/>
        </w:rPr>
        <w:t xml:space="preserve">שהיא </w:t>
      </w:r>
      <w:bookmarkStart w:id="5366" w:name="_ETM_Q6_560200"/>
      <w:bookmarkEnd w:id="5366"/>
      <w:r>
        <w:rPr>
          <w:rFonts w:hint="cs"/>
          <w:rtl/>
        </w:rPr>
        <w:t>הריבון?</w:t>
      </w:r>
      <w:bookmarkStart w:id="5367" w:name="_ETM_Q6_561330"/>
      <w:bookmarkEnd w:id="5367"/>
      <w:r>
        <w:rPr>
          <w:rFonts w:hint="cs"/>
          <w:rtl/>
        </w:rPr>
        <w:t xml:space="preserve"> הריבון, </w:t>
      </w:r>
      <w:bookmarkStart w:id="5368" w:name="_ETM_Q6_561869"/>
      <w:bookmarkEnd w:id="5368"/>
      <w:r>
        <w:rPr>
          <w:rFonts w:hint="cs"/>
          <w:rtl/>
        </w:rPr>
        <w:t xml:space="preserve">הכנסת </w:t>
      </w:r>
      <w:bookmarkStart w:id="5369" w:name="_ETM_Q6_562290"/>
      <w:bookmarkEnd w:id="5369"/>
      <w:r>
        <w:rPr>
          <w:rFonts w:hint="cs"/>
          <w:rtl/>
        </w:rPr>
        <w:t xml:space="preserve">– </w:t>
      </w:r>
      <w:bookmarkStart w:id="5370" w:name="_ETM_Q6_555000"/>
      <w:bookmarkEnd w:id="5370"/>
      <w:r>
        <w:rPr>
          <w:rFonts w:hint="cs"/>
          <w:rtl/>
        </w:rPr>
        <w:t xml:space="preserve">לא </w:t>
      </w:r>
      <w:bookmarkStart w:id="5371" w:name="_ETM_Q6_562409"/>
      <w:bookmarkEnd w:id="5371"/>
      <w:r>
        <w:rPr>
          <w:rFonts w:hint="cs"/>
          <w:rtl/>
        </w:rPr>
        <w:t xml:space="preserve">אני </w:t>
      </w:r>
      <w:bookmarkStart w:id="5372" w:name="_ETM_Q6_562680"/>
      <w:bookmarkEnd w:id="5372"/>
      <w:r>
        <w:rPr>
          <w:rFonts w:hint="cs"/>
          <w:rtl/>
        </w:rPr>
        <w:t xml:space="preserve">– הריבון, </w:t>
      </w:r>
      <w:bookmarkStart w:id="5373" w:name="_ETM_Q6_563159"/>
      <w:bookmarkEnd w:id="5373"/>
      <w:r>
        <w:rPr>
          <w:rFonts w:hint="cs"/>
          <w:rtl/>
        </w:rPr>
        <w:t>הכנסת</w:t>
      </w:r>
      <w:bookmarkStart w:id="5374" w:name="_ETM_Q6_563640"/>
      <w:bookmarkEnd w:id="5374"/>
      <w:r>
        <w:rPr>
          <w:rFonts w:hint="cs"/>
          <w:rtl/>
        </w:rPr>
        <w:t xml:space="preserve">, המוסד, </w:t>
      </w:r>
      <w:bookmarkStart w:id="5375" w:name="_ETM_Q6_564630"/>
      <w:bookmarkEnd w:id="5375"/>
      <w:r>
        <w:rPr>
          <w:rFonts w:hint="cs"/>
          <w:rtl/>
        </w:rPr>
        <w:t xml:space="preserve">דורש </w:t>
      </w:r>
      <w:bookmarkStart w:id="5376" w:name="_ETM_Q6_565620"/>
      <w:bookmarkEnd w:id="5376"/>
      <w:r>
        <w:rPr>
          <w:rFonts w:hint="cs"/>
          <w:rtl/>
        </w:rPr>
        <w:t xml:space="preserve">שהיועץ </w:t>
      </w:r>
      <w:bookmarkStart w:id="5377" w:name="_ETM_Q6_565950"/>
      <w:bookmarkEnd w:id="5377"/>
      <w:r>
        <w:rPr>
          <w:rFonts w:hint="cs"/>
          <w:rtl/>
        </w:rPr>
        <w:t xml:space="preserve">המשפטי </w:t>
      </w:r>
      <w:bookmarkStart w:id="5378" w:name="_ETM_Q6_566460"/>
      <w:bookmarkEnd w:id="5378"/>
      <w:r>
        <w:rPr>
          <w:rFonts w:hint="cs"/>
          <w:rtl/>
        </w:rPr>
        <w:t xml:space="preserve">של </w:t>
      </w:r>
      <w:bookmarkStart w:id="5379" w:name="_ETM_Q6_566640"/>
      <w:bookmarkEnd w:id="5379"/>
      <w:r>
        <w:rPr>
          <w:rFonts w:hint="cs"/>
          <w:rtl/>
        </w:rPr>
        <w:t xml:space="preserve">משרד </w:t>
      </w:r>
      <w:bookmarkStart w:id="5380" w:name="_ETM_Q6_566970"/>
      <w:bookmarkEnd w:id="5380"/>
      <w:r>
        <w:rPr>
          <w:rFonts w:hint="cs"/>
          <w:rtl/>
        </w:rPr>
        <w:t xml:space="preserve">הביטחון </w:t>
      </w:r>
      <w:bookmarkStart w:id="5381" w:name="_ETM_Q6_567480"/>
      <w:bookmarkEnd w:id="5381"/>
      <w:r>
        <w:rPr>
          <w:rFonts w:hint="cs"/>
          <w:rtl/>
        </w:rPr>
        <w:t xml:space="preserve">יגיע </w:t>
      </w:r>
      <w:bookmarkStart w:id="5382" w:name="_ETM_Q6_568170"/>
      <w:bookmarkEnd w:id="5382"/>
      <w:r>
        <w:rPr>
          <w:rFonts w:hint="cs"/>
          <w:rtl/>
        </w:rPr>
        <w:t xml:space="preserve">ושהפרקליטה </w:t>
      </w:r>
      <w:bookmarkStart w:id="5383" w:name="_ETM_Q6_568860"/>
      <w:bookmarkEnd w:id="5383"/>
      <w:r>
        <w:rPr>
          <w:rFonts w:hint="cs"/>
          <w:rtl/>
        </w:rPr>
        <w:t xml:space="preserve">הצבאית </w:t>
      </w:r>
      <w:bookmarkStart w:id="5384" w:name="_ETM_Q6_569279"/>
      <w:bookmarkEnd w:id="5384"/>
      <w:r>
        <w:rPr>
          <w:rFonts w:hint="cs"/>
          <w:rtl/>
        </w:rPr>
        <w:t xml:space="preserve">הראשית </w:t>
      </w:r>
      <w:bookmarkStart w:id="5385" w:name="_ETM_Q6_569799"/>
      <w:bookmarkEnd w:id="5385"/>
      <w:r>
        <w:rPr>
          <w:rFonts w:hint="cs"/>
          <w:rtl/>
        </w:rPr>
        <w:t xml:space="preserve">תגיע. </w:t>
      </w:r>
      <w:bookmarkStart w:id="5386" w:name="_ETM_Q6_570760"/>
      <w:bookmarkEnd w:id="5386"/>
      <w:r>
        <w:rPr>
          <w:rFonts w:hint="cs"/>
          <w:rtl/>
        </w:rPr>
        <w:t xml:space="preserve">אני </w:t>
      </w:r>
      <w:bookmarkStart w:id="5387" w:name="_ETM_Q6_570939"/>
      <w:bookmarkEnd w:id="5387"/>
      <w:r>
        <w:rPr>
          <w:rFonts w:hint="cs"/>
          <w:rtl/>
        </w:rPr>
        <w:t xml:space="preserve">אגיד </w:t>
      </w:r>
      <w:bookmarkStart w:id="5388" w:name="_ETM_Q6_571060"/>
      <w:bookmarkEnd w:id="5388"/>
      <w:r>
        <w:rPr>
          <w:rFonts w:hint="cs"/>
          <w:rtl/>
        </w:rPr>
        <w:t xml:space="preserve">מדוע, </w:t>
      </w:r>
      <w:bookmarkStart w:id="5389" w:name="_ETM_Q6_571330"/>
      <w:bookmarkEnd w:id="5389"/>
      <w:r>
        <w:rPr>
          <w:rFonts w:hint="cs"/>
          <w:rtl/>
        </w:rPr>
        <w:t xml:space="preserve">ואני אתייחס </w:t>
      </w:r>
      <w:bookmarkStart w:id="5390" w:name="_ETM_Q6_571720"/>
      <w:bookmarkEnd w:id="5390"/>
      <w:r>
        <w:rPr>
          <w:rFonts w:hint="cs"/>
          <w:rtl/>
        </w:rPr>
        <w:t xml:space="preserve">רק </w:t>
      </w:r>
      <w:bookmarkStart w:id="5391" w:name="_ETM_Q6_571930"/>
      <w:bookmarkEnd w:id="5391"/>
      <w:r>
        <w:rPr>
          <w:rFonts w:hint="cs"/>
          <w:rtl/>
        </w:rPr>
        <w:t>לנושא</w:t>
      </w:r>
      <w:bookmarkStart w:id="5392" w:name="_ETM_Q6_572259"/>
      <w:bookmarkEnd w:id="5392"/>
      <w:r>
        <w:rPr>
          <w:rFonts w:hint="cs"/>
          <w:rtl/>
        </w:rPr>
        <w:t xml:space="preserve"> אחד, </w:t>
      </w:r>
      <w:bookmarkStart w:id="5393" w:name="_ETM_Q6_572529"/>
      <w:bookmarkEnd w:id="5393"/>
      <w:r>
        <w:rPr>
          <w:rFonts w:hint="cs"/>
          <w:rtl/>
        </w:rPr>
        <w:t xml:space="preserve">שאני </w:t>
      </w:r>
      <w:bookmarkStart w:id="5394" w:name="_ETM_Q6_573319"/>
      <w:bookmarkEnd w:id="5394"/>
      <w:r>
        <w:rPr>
          <w:rFonts w:hint="cs"/>
          <w:rtl/>
        </w:rPr>
        <w:t xml:space="preserve">עסקתי </w:t>
      </w:r>
      <w:bookmarkStart w:id="5395" w:name="_ETM_Q6_573740"/>
      <w:bookmarkEnd w:id="5395"/>
      <w:r>
        <w:rPr>
          <w:rFonts w:hint="cs"/>
          <w:rtl/>
        </w:rPr>
        <w:t xml:space="preserve">בו </w:t>
      </w:r>
      <w:bookmarkStart w:id="5396" w:name="_ETM_Q6_573889"/>
      <w:bookmarkEnd w:id="5396"/>
      <w:r>
        <w:rPr>
          <w:rFonts w:hint="cs"/>
          <w:rtl/>
        </w:rPr>
        <w:t xml:space="preserve">לא </w:t>
      </w:r>
      <w:bookmarkStart w:id="5397" w:name="_ETM_Q6_574039"/>
      <w:bookmarkEnd w:id="5397"/>
      <w:r>
        <w:rPr>
          <w:rFonts w:hint="cs"/>
          <w:rtl/>
        </w:rPr>
        <w:t xml:space="preserve">מעט, </w:t>
      </w:r>
      <w:bookmarkStart w:id="5398" w:name="_ETM_Q6_574429"/>
      <w:bookmarkEnd w:id="5398"/>
      <w:r>
        <w:rPr>
          <w:rFonts w:hint="cs"/>
          <w:rtl/>
        </w:rPr>
        <w:t xml:space="preserve">לפחות </w:t>
      </w:r>
      <w:bookmarkStart w:id="5399" w:name="_ETM_Q6_574819"/>
      <w:bookmarkEnd w:id="5399"/>
      <w:r>
        <w:rPr>
          <w:rFonts w:hint="cs"/>
          <w:rtl/>
        </w:rPr>
        <w:t xml:space="preserve">גם </w:t>
      </w:r>
      <w:bookmarkStart w:id="5400" w:name="_ETM_Q6_575029"/>
      <w:bookmarkEnd w:id="5400"/>
      <w:r>
        <w:rPr>
          <w:rFonts w:hint="cs"/>
          <w:rtl/>
        </w:rPr>
        <w:t xml:space="preserve">בוועדה </w:t>
      </w:r>
      <w:bookmarkStart w:id="5401" w:name="_ETM_Q6_575359"/>
      <w:bookmarkEnd w:id="5401"/>
      <w:r>
        <w:rPr>
          <w:rFonts w:hint="cs"/>
          <w:rtl/>
        </w:rPr>
        <w:t xml:space="preserve">הזאת, </w:t>
      </w:r>
      <w:bookmarkStart w:id="5402" w:name="_ETM_Q6_575539"/>
      <w:bookmarkEnd w:id="5402"/>
      <w:r>
        <w:rPr>
          <w:rFonts w:hint="cs"/>
          <w:rtl/>
        </w:rPr>
        <w:t xml:space="preserve">ולא </w:t>
      </w:r>
      <w:bookmarkStart w:id="5403" w:name="_ETM_Q6_575810"/>
      <w:bookmarkEnd w:id="5403"/>
      <w:r>
        <w:rPr>
          <w:rFonts w:hint="cs"/>
          <w:rtl/>
        </w:rPr>
        <w:t xml:space="preserve">רק: </w:t>
      </w:r>
      <w:bookmarkStart w:id="5404" w:name="_ETM_Q6_577270"/>
      <w:bookmarkEnd w:id="5404"/>
      <w:r>
        <w:rPr>
          <w:rFonts w:hint="cs"/>
          <w:rtl/>
        </w:rPr>
        <w:t xml:space="preserve">ההשלכות </w:t>
      </w:r>
      <w:bookmarkStart w:id="5405" w:name="_ETM_Q6_578369"/>
      <w:bookmarkEnd w:id="5405"/>
      <w:r>
        <w:rPr>
          <w:rFonts w:hint="cs"/>
          <w:rtl/>
        </w:rPr>
        <w:t xml:space="preserve">הדרמטיות </w:t>
      </w:r>
      <w:bookmarkStart w:id="5406" w:name="_ETM_Q6_579089"/>
      <w:bookmarkStart w:id="5407" w:name="_ETM_Q6_579450"/>
      <w:bookmarkEnd w:id="5406"/>
      <w:bookmarkEnd w:id="5407"/>
      <w:r>
        <w:rPr>
          <w:rFonts w:hint="cs"/>
          <w:rtl/>
        </w:rPr>
        <w:t xml:space="preserve">של </w:t>
      </w:r>
      <w:bookmarkStart w:id="5408" w:name="_ETM_Q6_579810"/>
      <w:bookmarkEnd w:id="5408"/>
      <w:r>
        <w:rPr>
          <w:rFonts w:hint="cs"/>
          <w:rtl/>
        </w:rPr>
        <w:t xml:space="preserve">התיקון </w:t>
      </w:r>
      <w:bookmarkStart w:id="5409" w:name="_ETM_Q6_580170"/>
      <w:bookmarkEnd w:id="5409"/>
      <w:r>
        <w:rPr>
          <w:rFonts w:hint="cs"/>
          <w:rtl/>
        </w:rPr>
        <w:t xml:space="preserve">הזה, </w:t>
      </w:r>
      <w:bookmarkStart w:id="5410" w:name="_ETM_Q6_580380"/>
      <w:bookmarkEnd w:id="5410"/>
      <w:r>
        <w:rPr>
          <w:rFonts w:hint="cs"/>
          <w:rtl/>
        </w:rPr>
        <w:t xml:space="preserve">של הצעת </w:t>
      </w:r>
      <w:bookmarkStart w:id="5411" w:name="_ETM_Q6_580830"/>
      <w:bookmarkEnd w:id="5411"/>
      <w:r>
        <w:rPr>
          <w:rFonts w:hint="cs"/>
          <w:rtl/>
        </w:rPr>
        <w:t xml:space="preserve">חוק-יסוד: </w:t>
      </w:r>
      <w:bookmarkStart w:id="5412" w:name="_ETM_Q6_581159"/>
      <w:bookmarkEnd w:id="5412"/>
      <w:r>
        <w:rPr>
          <w:rFonts w:hint="cs"/>
          <w:rtl/>
        </w:rPr>
        <w:t>השפיטה</w:t>
      </w:r>
      <w:bookmarkStart w:id="5413" w:name="_ETM_Q6_581549"/>
      <w:bookmarkEnd w:id="5413"/>
      <w:r>
        <w:rPr>
          <w:rFonts w:hint="cs"/>
          <w:rtl/>
        </w:rPr>
        <w:t xml:space="preserve">, סעיף </w:t>
      </w:r>
      <w:bookmarkStart w:id="5414" w:name="_ETM_Q6_581790"/>
      <w:bookmarkEnd w:id="5414"/>
      <w:r>
        <w:rPr>
          <w:rFonts w:hint="cs"/>
          <w:rtl/>
        </w:rPr>
        <w:t>4</w:t>
      </w:r>
      <w:bookmarkStart w:id="5415" w:name="_ETM_Q6_582060"/>
      <w:bookmarkEnd w:id="5415"/>
      <w:r>
        <w:rPr>
          <w:rFonts w:hint="cs"/>
          <w:rtl/>
        </w:rPr>
        <w:t xml:space="preserve">, אותו </w:t>
      </w:r>
      <w:bookmarkStart w:id="5416" w:name="_ETM_Q6_582240"/>
      <w:bookmarkEnd w:id="5416"/>
      <w:r>
        <w:rPr>
          <w:rFonts w:hint="cs"/>
          <w:rtl/>
        </w:rPr>
        <w:t xml:space="preserve">דבר </w:t>
      </w:r>
      <w:bookmarkStart w:id="5417" w:name="_ETM_Q6_582479"/>
      <w:bookmarkEnd w:id="5417"/>
      <w:r>
        <w:rPr>
          <w:rFonts w:hint="cs"/>
          <w:rtl/>
        </w:rPr>
        <w:t xml:space="preserve">קטן </w:t>
      </w:r>
      <w:bookmarkStart w:id="5418" w:name="_ETM_Q6_582839"/>
      <w:bookmarkEnd w:id="5418"/>
      <w:r>
        <w:rPr>
          <w:rFonts w:hint="cs"/>
          <w:rtl/>
        </w:rPr>
        <w:t xml:space="preserve">שאתם </w:t>
      </w:r>
      <w:bookmarkStart w:id="5419" w:name="_ETM_Q6_583020"/>
      <w:bookmarkEnd w:id="5419"/>
      <w:r>
        <w:rPr>
          <w:rFonts w:hint="cs"/>
          <w:rtl/>
        </w:rPr>
        <w:t xml:space="preserve">מדברים </w:t>
      </w:r>
      <w:bookmarkStart w:id="5420" w:name="_ETM_Q6_583350"/>
      <w:bookmarkEnd w:id="5420"/>
      <w:r>
        <w:rPr>
          <w:rFonts w:hint="cs"/>
          <w:rtl/>
        </w:rPr>
        <w:t xml:space="preserve">עליו. </w:t>
      </w:r>
      <w:bookmarkStart w:id="5421" w:name="_ETM_Q6_584710"/>
      <w:bookmarkEnd w:id="5421"/>
      <w:r>
        <w:rPr>
          <w:rFonts w:hint="cs"/>
          <w:rtl/>
        </w:rPr>
        <w:t xml:space="preserve">מה </w:t>
      </w:r>
      <w:bookmarkStart w:id="5422" w:name="_ETM_Q6_584950"/>
      <w:bookmarkEnd w:id="5422"/>
      <w:r>
        <w:rPr>
          <w:rFonts w:hint="cs"/>
          <w:rtl/>
        </w:rPr>
        <w:t xml:space="preserve">ההשלכות </w:t>
      </w:r>
      <w:bookmarkStart w:id="5423" w:name="_ETM_Q6_585400"/>
      <w:bookmarkEnd w:id="5423"/>
      <w:r>
        <w:rPr>
          <w:rFonts w:hint="cs"/>
          <w:rtl/>
        </w:rPr>
        <w:t xml:space="preserve">האמיתיות </w:t>
      </w:r>
      <w:bookmarkStart w:id="5424" w:name="_ETM_Q6_586880"/>
      <w:bookmarkEnd w:id="5424"/>
      <w:r>
        <w:rPr>
          <w:rFonts w:hint="cs"/>
          <w:rtl/>
        </w:rPr>
        <w:t xml:space="preserve">על </w:t>
      </w:r>
      <w:bookmarkStart w:id="5425" w:name="_ETM_Q6_587029"/>
      <w:bookmarkEnd w:id="5425"/>
      <w:r>
        <w:rPr>
          <w:rFonts w:hint="cs"/>
          <w:rtl/>
        </w:rPr>
        <w:t xml:space="preserve">לוחמי </w:t>
      </w:r>
      <w:bookmarkStart w:id="5426" w:name="_ETM_Q6_587450"/>
      <w:bookmarkEnd w:id="5426"/>
      <w:r>
        <w:rPr>
          <w:rFonts w:hint="cs"/>
          <w:rtl/>
        </w:rPr>
        <w:t xml:space="preserve">צה"ל, </w:t>
      </w:r>
      <w:bookmarkStart w:id="5427" w:name="_ETM_Q6_588140"/>
      <w:bookmarkEnd w:id="5427"/>
      <w:r>
        <w:rPr>
          <w:rFonts w:hint="cs"/>
          <w:rtl/>
        </w:rPr>
        <w:t xml:space="preserve">מפקדי </w:t>
      </w:r>
      <w:bookmarkStart w:id="5428" w:name="_ETM_Q6_588799"/>
      <w:bookmarkEnd w:id="5428"/>
      <w:r>
        <w:rPr>
          <w:rFonts w:hint="cs"/>
          <w:rtl/>
        </w:rPr>
        <w:t>צה"ל</w:t>
      </w:r>
      <w:bookmarkStart w:id="5429" w:name="_ETM_Q6_586000"/>
      <w:bookmarkStart w:id="5430" w:name="_ETM_Q6_589310"/>
      <w:bookmarkEnd w:id="5429"/>
      <w:bookmarkEnd w:id="5430"/>
      <w:r>
        <w:rPr>
          <w:rFonts w:hint="cs"/>
          <w:rtl/>
        </w:rPr>
        <w:t>, אפרופו</w:t>
      </w:r>
      <w:bookmarkStart w:id="5431" w:name="_ETM_Q6_589670"/>
      <w:bookmarkEnd w:id="5431"/>
      <w:r>
        <w:rPr>
          <w:rFonts w:hint="cs"/>
          <w:rtl/>
        </w:rPr>
        <w:t xml:space="preserve"> </w:t>
      </w:r>
      <w:bookmarkStart w:id="5432" w:name="_ETM_Q6_589880"/>
      <w:bookmarkEnd w:id="5432"/>
      <w:r>
        <w:rPr>
          <w:rFonts w:hint="cs"/>
          <w:rtl/>
        </w:rPr>
        <w:t xml:space="preserve">דרג </w:t>
      </w:r>
      <w:bookmarkStart w:id="5433" w:name="_ETM_Q6_590180"/>
      <w:bookmarkEnd w:id="5433"/>
      <w:r>
        <w:rPr>
          <w:rFonts w:hint="cs"/>
          <w:rtl/>
        </w:rPr>
        <w:t xml:space="preserve">מדיני, </w:t>
      </w:r>
      <w:bookmarkStart w:id="5434" w:name="_ETM_Q6_591080"/>
      <w:bookmarkStart w:id="5435" w:name="_ETM_Q6_591529"/>
      <w:bookmarkEnd w:id="5434"/>
      <w:bookmarkEnd w:id="5435"/>
      <w:r>
        <w:rPr>
          <w:rFonts w:hint="cs"/>
          <w:rtl/>
        </w:rPr>
        <w:t xml:space="preserve">ומערכת </w:t>
      </w:r>
      <w:bookmarkStart w:id="5436" w:name="_ETM_Q6_591770"/>
      <w:bookmarkEnd w:id="5436"/>
      <w:r>
        <w:rPr>
          <w:rFonts w:hint="cs"/>
          <w:rtl/>
        </w:rPr>
        <w:t>הביטחון</w:t>
      </w:r>
      <w:bookmarkStart w:id="5437" w:name="_ETM_Q6_591990"/>
      <w:bookmarkEnd w:id="5437"/>
      <w:r>
        <w:rPr>
          <w:rFonts w:hint="cs"/>
          <w:rtl/>
        </w:rPr>
        <w:t xml:space="preserve"> </w:t>
      </w:r>
      <w:bookmarkStart w:id="5438" w:name="_ETM_Q6_592200"/>
      <w:bookmarkEnd w:id="5438"/>
      <w:r>
        <w:rPr>
          <w:rFonts w:hint="cs"/>
          <w:rtl/>
        </w:rPr>
        <w:t xml:space="preserve">בכלל? </w:t>
      </w:r>
      <w:bookmarkStart w:id="5439" w:name="_ETM_Q6_593420"/>
      <w:bookmarkStart w:id="5440" w:name="_ETM_Q6_589000"/>
      <w:bookmarkStart w:id="5441" w:name="_ETM_Q6_590000"/>
      <w:bookmarkEnd w:id="5439"/>
      <w:bookmarkEnd w:id="5440"/>
      <w:bookmarkEnd w:id="5441"/>
      <w:r>
        <w:rPr>
          <w:rFonts w:hint="cs"/>
          <w:rtl/>
        </w:rPr>
        <w:t xml:space="preserve">יש </w:t>
      </w:r>
      <w:bookmarkStart w:id="5442" w:name="_ETM_Q6_593750"/>
      <w:bookmarkEnd w:id="5442"/>
      <w:r>
        <w:rPr>
          <w:rFonts w:hint="cs"/>
          <w:rtl/>
        </w:rPr>
        <w:t xml:space="preserve">הבנה </w:t>
      </w:r>
      <w:bookmarkStart w:id="5443" w:name="_ETM_Q6_594260"/>
      <w:bookmarkEnd w:id="5443"/>
      <w:r>
        <w:rPr>
          <w:rFonts w:hint="cs"/>
          <w:rtl/>
        </w:rPr>
        <w:t xml:space="preserve">וידע </w:t>
      </w:r>
      <w:bookmarkStart w:id="5444" w:name="_ETM_Q6_597089"/>
      <w:bookmarkEnd w:id="5444"/>
      <w:r>
        <w:rPr>
          <w:rFonts w:hint="cs"/>
          <w:rtl/>
        </w:rPr>
        <w:t xml:space="preserve">שמה </w:t>
      </w:r>
      <w:bookmarkStart w:id="5445" w:name="_ETM_Q6_597420"/>
      <w:bookmarkEnd w:id="5445"/>
      <w:r>
        <w:rPr>
          <w:rFonts w:hint="cs"/>
          <w:rtl/>
        </w:rPr>
        <w:t>שמגן</w:t>
      </w:r>
      <w:bookmarkStart w:id="5446" w:name="_ETM_Q6_598049"/>
      <w:bookmarkEnd w:id="5446"/>
      <w:r>
        <w:rPr>
          <w:rFonts w:hint="cs"/>
          <w:rtl/>
        </w:rPr>
        <w:t xml:space="preserve"> – כיפת </w:t>
      </w:r>
      <w:bookmarkStart w:id="5447" w:name="_ETM_Q6_598380"/>
      <w:bookmarkEnd w:id="5447"/>
      <w:r>
        <w:rPr>
          <w:rFonts w:hint="cs"/>
          <w:rtl/>
        </w:rPr>
        <w:t xml:space="preserve">הברזל </w:t>
      </w:r>
      <w:bookmarkStart w:id="5448" w:name="_ETM_Q6_598829"/>
      <w:bookmarkEnd w:id="5448"/>
      <w:r>
        <w:rPr>
          <w:rFonts w:hint="cs"/>
          <w:rtl/>
        </w:rPr>
        <w:t xml:space="preserve">האמיתית </w:t>
      </w:r>
      <w:bookmarkStart w:id="5449" w:name="_ETM_Q6_599310"/>
      <w:bookmarkEnd w:id="5449"/>
      <w:r>
        <w:rPr>
          <w:rFonts w:hint="cs"/>
          <w:rtl/>
        </w:rPr>
        <w:t xml:space="preserve">– על </w:t>
      </w:r>
      <w:bookmarkStart w:id="5450" w:name="_ETM_Q6_599430"/>
      <w:bookmarkEnd w:id="5450"/>
      <w:r>
        <w:rPr>
          <w:rFonts w:hint="cs"/>
          <w:rtl/>
        </w:rPr>
        <w:t xml:space="preserve">פעילות </w:t>
      </w:r>
      <w:bookmarkStart w:id="5451" w:name="_ETM_Q6_599880"/>
      <w:bookmarkEnd w:id="5451"/>
      <w:r>
        <w:rPr>
          <w:rFonts w:hint="cs"/>
          <w:rtl/>
        </w:rPr>
        <w:t xml:space="preserve">כוחות </w:t>
      </w:r>
      <w:bookmarkStart w:id="5452" w:name="_ETM_Q6_600180"/>
      <w:bookmarkEnd w:id="5452"/>
      <w:r>
        <w:rPr>
          <w:rFonts w:hint="cs"/>
          <w:rtl/>
        </w:rPr>
        <w:t xml:space="preserve">הביטחון </w:t>
      </w:r>
      <w:bookmarkStart w:id="5453" w:name="_ETM_Q6_600689"/>
      <w:bookmarkEnd w:id="5453"/>
      <w:r>
        <w:rPr>
          <w:rFonts w:hint="cs"/>
          <w:rtl/>
        </w:rPr>
        <w:t xml:space="preserve">אל מול </w:t>
      </w:r>
      <w:bookmarkStart w:id="5454" w:name="_ETM_Q6_600930"/>
      <w:bookmarkEnd w:id="5454"/>
      <w:r>
        <w:rPr>
          <w:rFonts w:hint="cs"/>
          <w:rtl/>
        </w:rPr>
        <w:t xml:space="preserve">טריבולנים </w:t>
      </w:r>
      <w:bookmarkStart w:id="5455" w:name="_ETM_Q6_601380"/>
      <w:bookmarkStart w:id="5456" w:name="_ETM_Q6_601619"/>
      <w:bookmarkEnd w:id="5455"/>
      <w:bookmarkEnd w:id="5456"/>
      <w:r>
        <w:rPr>
          <w:rFonts w:hint="cs"/>
          <w:rtl/>
        </w:rPr>
        <w:t>בין-לאומיים</w:t>
      </w:r>
      <w:bookmarkStart w:id="5457" w:name="_ETM_Q6_602640"/>
      <w:bookmarkEnd w:id="5457"/>
      <w:r>
        <w:rPr>
          <w:rFonts w:hint="cs"/>
          <w:rtl/>
        </w:rPr>
        <w:t xml:space="preserve"> זה אותו </w:t>
      </w:r>
      <w:bookmarkStart w:id="5458" w:name="_ETM_Q6_603000"/>
      <w:bookmarkEnd w:id="5458"/>
      <w:r>
        <w:rPr>
          <w:rFonts w:hint="cs"/>
          <w:rtl/>
        </w:rPr>
        <w:t xml:space="preserve">עקרון </w:t>
      </w:r>
      <w:bookmarkStart w:id="5459" w:name="_ETM_Q6_603360"/>
      <w:bookmarkEnd w:id="5459"/>
      <w:r>
        <w:rPr>
          <w:rFonts w:hint="cs"/>
          <w:rtl/>
        </w:rPr>
        <w:t xml:space="preserve">המשלימות, </w:t>
      </w:r>
      <w:bookmarkStart w:id="5460" w:name="_ETM_Q6_603899"/>
      <w:bookmarkEnd w:id="5460"/>
      <w:r>
        <w:rPr>
          <w:rFonts w:hint="cs"/>
          <w:rtl/>
        </w:rPr>
        <w:t xml:space="preserve">שבא </w:t>
      </w:r>
      <w:bookmarkStart w:id="5461" w:name="_ETM_Q6_604170"/>
      <w:bookmarkStart w:id="5462" w:name="_ETM_Q6_604290"/>
      <w:bookmarkEnd w:id="5461"/>
      <w:bookmarkEnd w:id="5462"/>
      <w:r>
        <w:rPr>
          <w:rFonts w:hint="cs"/>
          <w:rtl/>
        </w:rPr>
        <w:t xml:space="preserve">ואומר </w:t>
      </w:r>
      <w:bookmarkStart w:id="5463" w:name="_ETM_Q6_604560"/>
      <w:bookmarkEnd w:id="5463"/>
      <w:r>
        <w:rPr>
          <w:rFonts w:hint="cs"/>
          <w:rtl/>
        </w:rPr>
        <w:t xml:space="preserve">שמערכת </w:t>
      </w:r>
      <w:bookmarkStart w:id="5464" w:name="_ETM_Q6_605100"/>
      <w:bookmarkEnd w:id="5464"/>
      <w:r>
        <w:rPr>
          <w:rFonts w:hint="cs"/>
          <w:rtl/>
        </w:rPr>
        <w:t xml:space="preserve">משפט </w:t>
      </w:r>
      <w:bookmarkStart w:id="5465" w:name="_ETM_Q6_605820"/>
      <w:bookmarkEnd w:id="5465"/>
      <w:r>
        <w:rPr>
          <w:rFonts w:hint="cs"/>
          <w:rtl/>
        </w:rPr>
        <w:t xml:space="preserve">עצמאית </w:t>
      </w:r>
      <w:bookmarkStart w:id="5466" w:name="_ETM_Q6_606600"/>
      <w:bookmarkEnd w:id="5466"/>
      <w:r>
        <w:rPr>
          <w:rFonts w:hint="cs"/>
          <w:rtl/>
        </w:rPr>
        <w:t xml:space="preserve">בלתי </w:t>
      </w:r>
      <w:bookmarkStart w:id="5467" w:name="_ETM_Q6_606960"/>
      <w:bookmarkEnd w:id="5467"/>
      <w:r>
        <w:rPr>
          <w:rFonts w:hint="cs"/>
          <w:rtl/>
        </w:rPr>
        <w:t xml:space="preserve">תלויה </w:t>
      </w:r>
      <w:bookmarkStart w:id="5468" w:name="_ETM_Q6_608420"/>
      <w:bookmarkEnd w:id="5468"/>
      <w:r>
        <w:rPr>
          <w:rFonts w:hint="cs"/>
          <w:rtl/>
        </w:rPr>
        <w:t xml:space="preserve">היא </w:t>
      </w:r>
      <w:bookmarkStart w:id="5469" w:name="_ETM_Q6_608569"/>
      <w:bookmarkEnd w:id="5469"/>
      <w:r>
        <w:rPr>
          <w:rFonts w:hint="cs"/>
          <w:rtl/>
        </w:rPr>
        <w:t xml:space="preserve">ערובה </w:t>
      </w:r>
      <w:bookmarkStart w:id="5470" w:name="_ETM_Q6_608930"/>
      <w:bookmarkEnd w:id="5470"/>
      <w:r>
        <w:rPr>
          <w:rFonts w:hint="cs"/>
          <w:rtl/>
        </w:rPr>
        <w:t xml:space="preserve">לכך </w:t>
      </w:r>
      <w:bookmarkStart w:id="5471" w:name="_ETM_Q6_609830"/>
      <w:bookmarkEnd w:id="5471"/>
      <w:r>
        <w:rPr>
          <w:rFonts w:hint="cs"/>
          <w:rtl/>
        </w:rPr>
        <w:t xml:space="preserve">שלא </w:t>
      </w:r>
      <w:bookmarkStart w:id="5472" w:name="_ETM_Q6_610190"/>
      <w:bookmarkStart w:id="5473" w:name="_ETM_Q6_610489"/>
      <w:bookmarkStart w:id="5474" w:name="_ETM_Q6_610849"/>
      <w:bookmarkEnd w:id="5472"/>
      <w:bookmarkEnd w:id="5473"/>
      <w:bookmarkEnd w:id="5474"/>
      <w:r>
        <w:rPr>
          <w:rFonts w:hint="cs"/>
          <w:rtl/>
        </w:rPr>
        <w:t xml:space="preserve">תהיה </w:t>
      </w:r>
      <w:bookmarkStart w:id="5475" w:name="_ETM_Q6_611190"/>
      <w:bookmarkEnd w:id="5475"/>
      <w:r>
        <w:rPr>
          <w:rFonts w:hint="cs"/>
          <w:rtl/>
        </w:rPr>
        <w:t xml:space="preserve">תביעה </w:t>
      </w:r>
      <w:bookmarkStart w:id="5476" w:name="_ETM_Q6_611490"/>
      <w:bookmarkEnd w:id="5476"/>
      <w:r>
        <w:rPr>
          <w:rFonts w:hint="cs"/>
          <w:rtl/>
        </w:rPr>
        <w:t xml:space="preserve">משפטית </w:t>
      </w:r>
      <w:bookmarkStart w:id="5477" w:name="_ETM_Q6_612030"/>
      <w:bookmarkEnd w:id="5477"/>
      <w:r>
        <w:rPr>
          <w:rFonts w:hint="cs"/>
          <w:rtl/>
        </w:rPr>
        <w:t xml:space="preserve">כנגד </w:t>
      </w:r>
      <w:bookmarkStart w:id="5478" w:name="_ETM_Q6_613560"/>
      <w:bookmarkEnd w:id="5478"/>
      <w:r>
        <w:rPr>
          <w:rFonts w:hint="cs"/>
          <w:rtl/>
        </w:rPr>
        <w:t xml:space="preserve">לוחמים </w:t>
      </w:r>
      <w:bookmarkStart w:id="5479" w:name="_ETM_Q6_614040"/>
      <w:bookmarkEnd w:id="5479"/>
      <w:r>
        <w:rPr>
          <w:rFonts w:hint="cs"/>
          <w:rtl/>
        </w:rPr>
        <w:t>שלנו</w:t>
      </w:r>
      <w:bookmarkStart w:id="5480" w:name="_ETM_Q6_614489"/>
      <w:bookmarkEnd w:id="5480"/>
      <w:r>
        <w:rPr>
          <w:rFonts w:hint="cs"/>
          <w:rtl/>
        </w:rPr>
        <w:t xml:space="preserve"> בכל </w:t>
      </w:r>
      <w:bookmarkStart w:id="5481" w:name="_ETM_Q6_614790"/>
      <w:bookmarkEnd w:id="5481"/>
      <w:r>
        <w:rPr>
          <w:rFonts w:hint="cs"/>
          <w:rtl/>
        </w:rPr>
        <w:t xml:space="preserve">הרמות, </w:t>
      </w:r>
      <w:bookmarkStart w:id="5482" w:name="_ETM_Q6_615060"/>
      <w:bookmarkEnd w:id="5482"/>
      <w:r>
        <w:rPr>
          <w:rFonts w:hint="cs"/>
          <w:rtl/>
        </w:rPr>
        <w:t xml:space="preserve">בכל </w:t>
      </w:r>
      <w:bookmarkStart w:id="5483" w:name="_ETM_Q6_615299"/>
      <w:bookmarkEnd w:id="5483"/>
      <w:r>
        <w:rPr>
          <w:rFonts w:hint="cs"/>
          <w:rtl/>
        </w:rPr>
        <w:t xml:space="preserve">הדורות, </w:t>
      </w:r>
      <w:bookmarkStart w:id="5484" w:name="_ETM_Q6_615569"/>
      <w:bookmarkEnd w:id="5484"/>
      <w:r>
        <w:rPr>
          <w:rFonts w:hint="cs"/>
          <w:rtl/>
        </w:rPr>
        <w:t xml:space="preserve">גם </w:t>
      </w:r>
      <w:bookmarkStart w:id="5485" w:name="_ETM_Q6_615719"/>
      <w:bookmarkEnd w:id="5485"/>
      <w:r>
        <w:rPr>
          <w:rFonts w:hint="cs"/>
          <w:rtl/>
        </w:rPr>
        <w:t xml:space="preserve">בדרג </w:t>
      </w:r>
      <w:bookmarkStart w:id="5486" w:name="_ETM_Q6_615989"/>
      <w:bookmarkEnd w:id="5486"/>
      <w:r>
        <w:rPr>
          <w:rFonts w:hint="cs"/>
          <w:rtl/>
        </w:rPr>
        <w:t>המדיני</w:t>
      </w:r>
      <w:bookmarkStart w:id="5487" w:name="_ETM_Q6_617200"/>
      <w:bookmarkEnd w:id="5487"/>
      <w:r>
        <w:rPr>
          <w:rFonts w:hint="cs"/>
          <w:rtl/>
        </w:rPr>
        <w:t xml:space="preserve">. ובמקום </w:t>
      </w:r>
      <w:bookmarkStart w:id="5488" w:name="_ETM_Q6_617739"/>
      <w:bookmarkEnd w:id="5488"/>
      <w:r>
        <w:rPr>
          <w:rFonts w:hint="cs"/>
          <w:rtl/>
        </w:rPr>
        <w:t xml:space="preserve">הזה, </w:t>
      </w:r>
      <w:bookmarkStart w:id="5489" w:name="_ETM_Q6_618010"/>
      <w:bookmarkEnd w:id="5489"/>
      <w:r>
        <w:rPr>
          <w:rFonts w:hint="cs"/>
          <w:rtl/>
        </w:rPr>
        <w:t xml:space="preserve">ברגע </w:t>
      </w:r>
      <w:bookmarkStart w:id="5490" w:name="_ETM_Q6_618340"/>
      <w:bookmarkEnd w:id="5490"/>
      <w:r>
        <w:rPr>
          <w:rFonts w:hint="cs"/>
          <w:rtl/>
        </w:rPr>
        <w:t xml:space="preserve">שהחוק </w:t>
      </w:r>
      <w:bookmarkStart w:id="5491" w:name="_ETM_Q6_618790"/>
      <w:bookmarkEnd w:id="5491"/>
      <w:r>
        <w:rPr>
          <w:rFonts w:hint="cs"/>
          <w:rtl/>
        </w:rPr>
        <w:t xml:space="preserve">הזה </w:t>
      </w:r>
      <w:bookmarkStart w:id="5492" w:name="_ETM_Q6_619209"/>
      <w:bookmarkEnd w:id="5492"/>
      <w:r>
        <w:rPr>
          <w:rFonts w:hint="cs"/>
          <w:rtl/>
        </w:rPr>
        <w:t xml:space="preserve">עובר, </w:t>
      </w:r>
      <w:bookmarkStart w:id="5493" w:name="_ETM_Q6_620200"/>
      <w:bookmarkEnd w:id="5493"/>
      <w:r>
        <w:rPr>
          <w:rFonts w:hint="cs"/>
          <w:rtl/>
        </w:rPr>
        <w:t xml:space="preserve">יש </w:t>
      </w:r>
      <w:bookmarkStart w:id="5494" w:name="_ETM_Q6_620790"/>
      <w:bookmarkEnd w:id="5494"/>
      <w:r>
        <w:rPr>
          <w:rFonts w:hint="cs"/>
          <w:rtl/>
        </w:rPr>
        <w:t xml:space="preserve">פגיעה </w:t>
      </w:r>
      <w:bookmarkStart w:id="5495" w:name="_ETM_Q6_621090"/>
      <w:bookmarkEnd w:id="5495"/>
      <w:r>
        <w:rPr>
          <w:rFonts w:hint="cs"/>
          <w:rtl/>
        </w:rPr>
        <w:t xml:space="preserve">משתמעת </w:t>
      </w:r>
      <w:bookmarkStart w:id="5496" w:name="_ETM_Q6_621870"/>
      <w:bookmarkEnd w:id="5496"/>
      <w:r>
        <w:rPr>
          <w:rFonts w:hint="cs"/>
          <w:rtl/>
        </w:rPr>
        <w:t xml:space="preserve">אפשרית </w:t>
      </w:r>
      <w:bookmarkStart w:id="5497" w:name="_ETM_Q6_622560"/>
      <w:bookmarkEnd w:id="5497"/>
      <w:r>
        <w:rPr>
          <w:rFonts w:hint="cs"/>
          <w:rtl/>
        </w:rPr>
        <w:t xml:space="preserve">במעמד </w:t>
      </w:r>
      <w:bookmarkStart w:id="5498" w:name="_ETM_Q6_623129"/>
      <w:bookmarkEnd w:id="5498"/>
      <w:r>
        <w:rPr>
          <w:rFonts w:hint="cs"/>
          <w:rtl/>
        </w:rPr>
        <w:t xml:space="preserve">שומרי </w:t>
      </w:r>
      <w:bookmarkStart w:id="5499" w:name="_ETM_Q6_623430"/>
      <w:bookmarkEnd w:id="5499"/>
      <w:r>
        <w:rPr>
          <w:rFonts w:hint="cs"/>
          <w:rtl/>
        </w:rPr>
        <w:t>הסף</w:t>
      </w:r>
      <w:bookmarkStart w:id="5500" w:name="_ETM_Q6_623819"/>
      <w:bookmarkEnd w:id="5500"/>
      <w:r>
        <w:rPr>
          <w:rFonts w:hint="cs"/>
          <w:rtl/>
        </w:rPr>
        <w:t xml:space="preserve"> </w:t>
      </w:r>
      <w:r>
        <w:rPr>
          <w:rtl/>
        </w:rPr>
        <w:t xml:space="preserve">– </w:t>
      </w:r>
      <w:r>
        <w:rPr>
          <w:rFonts w:hint="cs"/>
          <w:rtl/>
        </w:rPr>
        <w:t xml:space="preserve">היועצת </w:t>
      </w:r>
      <w:bookmarkStart w:id="5501" w:name="_ETM_Q6_624299"/>
      <w:bookmarkEnd w:id="5501"/>
      <w:r>
        <w:rPr>
          <w:rFonts w:hint="cs"/>
          <w:rtl/>
        </w:rPr>
        <w:t xml:space="preserve">המשפטית </w:t>
      </w:r>
      <w:bookmarkStart w:id="5502" w:name="_ETM_Q6_624780"/>
      <w:bookmarkEnd w:id="5502"/>
      <w:r>
        <w:rPr>
          <w:rFonts w:hint="cs"/>
          <w:rtl/>
        </w:rPr>
        <w:t>לממשלה</w:t>
      </w:r>
      <w:bookmarkStart w:id="5503" w:name="_ETM_Q6_625560"/>
      <w:bookmarkEnd w:id="5503"/>
      <w:r>
        <w:rPr>
          <w:rFonts w:hint="cs"/>
          <w:rtl/>
        </w:rPr>
        <w:t xml:space="preserve"> </w:t>
      </w:r>
      <w:bookmarkStart w:id="5504" w:name="_ETM_Q6_626938"/>
      <w:bookmarkEnd w:id="5504"/>
      <w:r>
        <w:rPr>
          <w:rFonts w:hint="cs"/>
          <w:rtl/>
        </w:rPr>
        <w:t xml:space="preserve">והפרקליטה </w:t>
      </w:r>
      <w:bookmarkStart w:id="5505" w:name="_ETM_Q6_626099"/>
      <w:bookmarkEnd w:id="5505"/>
      <w:r>
        <w:rPr>
          <w:rFonts w:hint="cs"/>
          <w:rtl/>
        </w:rPr>
        <w:t xml:space="preserve">הצבאית הראשית. אני אתן </w:t>
      </w:r>
      <w:bookmarkStart w:id="5506" w:name="_ETM_Q6_626400"/>
      <w:bookmarkStart w:id="5507" w:name="_ETM_Q6_626549"/>
      <w:bookmarkStart w:id="5508" w:name="_ETM_Q6_626700"/>
      <w:bookmarkStart w:id="5509" w:name="_ETM_Q6_626909"/>
      <w:bookmarkEnd w:id="5506"/>
      <w:bookmarkEnd w:id="5507"/>
      <w:bookmarkEnd w:id="5508"/>
      <w:bookmarkEnd w:id="5509"/>
      <w:r>
        <w:rPr>
          <w:rFonts w:hint="cs"/>
          <w:rtl/>
        </w:rPr>
        <w:t xml:space="preserve">דוגמה: </w:t>
      </w:r>
      <w:bookmarkStart w:id="5510" w:name="_ETM_Q6_627480"/>
      <w:bookmarkEnd w:id="5510"/>
      <w:r>
        <w:rPr>
          <w:rFonts w:hint="cs"/>
          <w:rtl/>
        </w:rPr>
        <w:t xml:space="preserve">הפרקליטה </w:t>
      </w:r>
      <w:bookmarkStart w:id="5511" w:name="_ETM_Q6_628019"/>
      <w:bookmarkEnd w:id="5511"/>
      <w:r>
        <w:rPr>
          <w:rFonts w:hint="cs"/>
          <w:rtl/>
        </w:rPr>
        <w:t xml:space="preserve">הצבאית </w:t>
      </w:r>
      <w:bookmarkStart w:id="5512" w:name="_ETM_Q6_628319"/>
      <w:bookmarkEnd w:id="5512"/>
      <w:r>
        <w:rPr>
          <w:rFonts w:hint="cs"/>
          <w:rtl/>
        </w:rPr>
        <w:t xml:space="preserve">הראשית </w:t>
      </w:r>
      <w:bookmarkStart w:id="5513" w:name="_ETM_Q6_630350"/>
      <w:bookmarkEnd w:id="5513"/>
      <w:r>
        <w:rPr>
          <w:rFonts w:hint="cs"/>
          <w:rtl/>
        </w:rPr>
        <w:t xml:space="preserve">ממונה </w:t>
      </w:r>
      <w:bookmarkStart w:id="5514" w:name="_ETM_Q6_630710"/>
      <w:bookmarkEnd w:id="5514"/>
      <w:r>
        <w:rPr>
          <w:rFonts w:hint="cs"/>
          <w:rtl/>
        </w:rPr>
        <w:t xml:space="preserve">על </w:t>
      </w:r>
      <w:bookmarkStart w:id="5515" w:name="_ETM_Q6_628000"/>
      <w:bookmarkEnd w:id="5515"/>
      <w:r>
        <w:rPr>
          <w:rFonts w:hint="cs"/>
          <w:rtl/>
        </w:rPr>
        <w:t xml:space="preserve">ידי </w:t>
      </w:r>
      <w:bookmarkStart w:id="5516" w:name="_ETM_Q6_630950"/>
      <w:bookmarkEnd w:id="5516"/>
      <w:r>
        <w:rPr>
          <w:rFonts w:hint="cs"/>
          <w:rtl/>
        </w:rPr>
        <w:t xml:space="preserve">שר </w:t>
      </w:r>
      <w:bookmarkStart w:id="5517" w:name="_ETM_Q6_631130"/>
      <w:bookmarkEnd w:id="5517"/>
      <w:r>
        <w:rPr>
          <w:rFonts w:hint="cs"/>
          <w:rtl/>
        </w:rPr>
        <w:t xml:space="preserve">הביטחון, </w:t>
      </w:r>
      <w:bookmarkStart w:id="5518" w:name="_ETM_Q6_631490"/>
      <w:bookmarkEnd w:id="5518"/>
      <w:r>
        <w:rPr>
          <w:rFonts w:hint="cs"/>
          <w:rtl/>
        </w:rPr>
        <w:t xml:space="preserve">ולא </w:t>
      </w:r>
      <w:bookmarkStart w:id="5519" w:name="_ETM_Q6_631670"/>
      <w:bookmarkEnd w:id="5519"/>
      <w:r>
        <w:rPr>
          <w:rFonts w:hint="cs"/>
          <w:rtl/>
        </w:rPr>
        <w:t>סתם</w:t>
      </w:r>
      <w:bookmarkStart w:id="5520" w:name="_ETM_Q6_632660"/>
      <w:bookmarkEnd w:id="5520"/>
      <w:r>
        <w:rPr>
          <w:rFonts w:hint="cs"/>
          <w:rtl/>
        </w:rPr>
        <w:t xml:space="preserve"> </w:t>
      </w:r>
      <w:r>
        <w:rPr>
          <w:rtl/>
        </w:rPr>
        <w:t>–</w:t>
      </w:r>
      <w:r>
        <w:rPr>
          <w:rFonts w:hint="cs"/>
          <w:rtl/>
        </w:rPr>
        <w:t xml:space="preserve"> כדי לייצר </w:t>
      </w:r>
      <w:bookmarkStart w:id="5521" w:name="_ETM_Q6_633140"/>
      <w:bookmarkEnd w:id="5521"/>
      <w:r>
        <w:rPr>
          <w:rFonts w:hint="cs"/>
          <w:rtl/>
        </w:rPr>
        <w:t xml:space="preserve">ניתוק </w:t>
      </w:r>
      <w:bookmarkStart w:id="5522" w:name="_ETM_Q6_633920"/>
      <w:bookmarkEnd w:id="5522"/>
      <w:r>
        <w:rPr>
          <w:rFonts w:hint="cs"/>
          <w:rtl/>
        </w:rPr>
        <w:t xml:space="preserve">בין </w:t>
      </w:r>
      <w:bookmarkStart w:id="5523" w:name="_ETM_Q6_634189"/>
      <w:bookmarkEnd w:id="5523"/>
      <w:r>
        <w:rPr>
          <w:rFonts w:hint="cs"/>
          <w:rtl/>
        </w:rPr>
        <w:t xml:space="preserve">המינוי </w:t>
      </w:r>
      <w:bookmarkStart w:id="5524" w:name="_ETM_Q6_634489"/>
      <w:bookmarkEnd w:id="5524"/>
      <w:r>
        <w:rPr>
          <w:rFonts w:hint="cs"/>
          <w:rtl/>
        </w:rPr>
        <w:t xml:space="preserve">שלה </w:t>
      </w:r>
      <w:bookmarkStart w:id="5525" w:name="_ETM_Q6_635270"/>
      <w:bookmarkEnd w:id="5525"/>
      <w:r>
        <w:rPr>
          <w:rFonts w:hint="cs"/>
          <w:rtl/>
        </w:rPr>
        <w:t xml:space="preserve">לבין </w:t>
      </w:r>
      <w:bookmarkStart w:id="5526" w:name="_ETM_Q6_635599"/>
      <w:bookmarkEnd w:id="5526"/>
      <w:r>
        <w:rPr>
          <w:rFonts w:hint="cs"/>
          <w:rtl/>
        </w:rPr>
        <w:t xml:space="preserve">דרג </w:t>
      </w:r>
      <w:bookmarkStart w:id="5527" w:name="_ETM_Q6_635900"/>
      <w:bookmarkEnd w:id="5527"/>
      <w:r>
        <w:rPr>
          <w:rFonts w:hint="cs"/>
          <w:rtl/>
        </w:rPr>
        <w:t xml:space="preserve">פיקודי </w:t>
      </w:r>
      <w:bookmarkStart w:id="5528" w:name="_ETM_Q6_636260"/>
      <w:bookmarkEnd w:id="5528"/>
      <w:r>
        <w:rPr>
          <w:rFonts w:hint="cs"/>
          <w:rtl/>
        </w:rPr>
        <w:t xml:space="preserve">של </w:t>
      </w:r>
      <w:bookmarkStart w:id="5529" w:name="_ETM_Q6_636410"/>
      <w:bookmarkEnd w:id="5529"/>
      <w:r>
        <w:rPr>
          <w:rFonts w:hint="cs"/>
          <w:rtl/>
        </w:rPr>
        <w:t xml:space="preserve">הצבא. </w:t>
      </w:r>
      <w:bookmarkStart w:id="5530" w:name="_ETM_Q6_638230"/>
      <w:bookmarkStart w:id="5531" w:name="_ETM_Q6_634000"/>
      <w:bookmarkEnd w:id="5530"/>
      <w:bookmarkEnd w:id="5531"/>
      <w:r>
        <w:rPr>
          <w:rFonts w:hint="cs"/>
          <w:rtl/>
        </w:rPr>
        <w:t>כ</w:t>
      </w:r>
      <w:bookmarkStart w:id="5532" w:name="_ETM_Q6_638000"/>
      <w:bookmarkEnd w:id="5532"/>
      <w:r>
        <w:rPr>
          <w:rFonts w:hint="cs"/>
          <w:rtl/>
        </w:rPr>
        <w:t xml:space="preserve">ל </w:t>
      </w:r>
      <w:bookmarkStart w:id="5533" w:name="_ETM_Q6_638500"/>
      <w:bookmarkEnd w:id="5533"/>
      <w:r>
        <w:rPr>
          <w:rFonts w:hint="cs"/>
          <w:rtl/>
        </w:rPr>
        <w:t xml:space="preserve">הדיון </w:t>
      </w:r>
      <w:bookmarkStart w:id="5534" w:name="_ETM_Q6_638829"/>
      <w:bookmarkEnd w:id="5534"/>
      <w:r>
        <w:rPr>
          <w:rFonts w:hint="cs"/>
          <w:rtl/>
        </w:rPr>
        <w:t xml:space="preserve">הזה </w:t>
      </w:r>
      <w:bookmarkStart w:id="5535" w:name="_ETM_Q6_639010"/>
      <w:bookmarkEnd w:id="5535"/>
      <w:r>
        <w:rPr>
          <w:rFonts w:hint="cs"/>
          <w:rtl/>
        </w:rPr>
        <w:t xml:space="preserve">לא </w:t>
      </w:r>
      <w:bookmarkStart w:id="5536" w:name="_ETM_Q6_639129"/>
      <w:bookmarkEnd w:id="5536"/>
      <w:r>
        <w:rPr>
          <w:rFonts w:hint="cs"/>
          <w:rtl/>
        </w:rPr>
        <w:t xml:space="preserve">נעשה </w:t>
      </w:r>
      <w:bookmarkStart w:id="5537" w:name="_ETM_Q6_639489"/>
      <w:bookmarkEnd w:id="5537"/>
      <w:r>
        <w:rPr>
          <w:rFonts w:hint="cs"/>
          <w:rtl/>
        </w:rPr>
        <w:t xml:space="preserve">בוועדת </w:t>
      </w:r>
      <w:bookmarkStart w:id="5538" w:name="_ETM_Q6_639879"/>
      <w:bookmarkEnd w:id="5538"/>
      <w:r>
        <w:rPr>
          <w:rFonts w:hint="cs"/>
          <w:rtl/>
        </w:rPr>
        <w:t xml:space="preserve">החוקה. </w:t>
      </w:r>
      <w:bookmarkStart w:id="5539" w:name="_ETM_Q6_641050"/>
      <w:bookmarkEnd w:id="5539"/>
      <w:r>
        <w:rPr>
          <w:rFonts w:hint="cs"/>
          <w:rtl/>
        </w:rPr>
        <w:t xml:space="preserve">על </w:t>
      </w:r>
      <w:bookmarkStart w:id="5540" w:name="_ETM_Q6_641230"/>
      <w:bookmarkEnd w:id="5540"/>
      <w:r>
        <w:rPr>
          <w:rFonts w:hint="cs"/>
          <w:rtl/>
        </w:rPr>
        <w:t xml:space="preserve">הסעיף </w:t>
      </w:r>
      <w:bookmarkStart w:id="5541" w:name="_ETM_Q6_641560"/>
      <w:bookmarkEnd w:id="5541"/>
      <w:r>
        <w:rPr>
          <w:rFonts w:hint="cs"/>
          <w:rtl/>
        </w:rPr>
        <w:t xml:space="preserve">הזה </w:t>
      </w:r>
      <w:bookmarkStart w:id="5542" w:name="_ETM_Q6_641800"/>
      <w:bookmarkEnd w:id="5542"/>
      <w:r>
        <w:rPr>
          <w:rFonts w:hint="cs"/>
          <w:rtl/>
        </w:rPr>
        <w:t xml:space="preserve">הוא </w:t>
      </w:r>
      <w:bookmarkStart w:id="5543" w:name="_ETM_Q6_641890"/>
      <w:bookmarkEnd w:id="5543"/>
      <w:r>
        <w:rPr>
          <w:rFonts w:hint="cs"/>
          <w:rtl/>
        </w:rPr>
        <w:t xml:space="preserve">לא </w:t>
      </w:r>
      <w:bookmarkStart w:id="5544" w:name="_ETM_Q6_642010"/>
      <w:bookmarkEnd w:id="5544"/>
      <w:r>
        <w:rPr>
          <w:rFonts w:hint="cs"/>
          <w:rtl/>
        </w:rPr>
        <w:t xml:space="preserve">נעשה. </w:t>
      </w:r>
      <w:bookmarkStart w:id="5545" w:name="_ETM_Q6_642950"/>
      <w:bookmarkEnd w:id="5545"/>
      <w:r>
        <w:rPr>
          <w:rFonts w:hint="cs"/>
          <w:rtl/>
        </w:rPr>
        <w:t xml:space="preserve">אני </w:t>
      </w:r>
      <w:bookmarkStart w:id="5546" w:name="_ETM_Q6_643129"/>
      <w:bookmarkEnd w:id="5546"/>
      <w:r>
        <w:rPr>
          <w:rFonts w:hint="cs"/>
          <w:rtl/>
        </w:rPr>
        <w:t xml:space="preserve">יכול </w:t>
      </w:r>
      <w:bookmarkStart w:id="5547" w:name="_ETM_Q6_643310"/>
      <w:bookmarkEnd w:id="5547"/>
      <w:r>
        <w:rPr>
          <w:rFonts w:hint="cs"/>
          <w:rtl/>
        </w:rPr>
        <w:t xml:space="preserve">להגיד </w:t>
      </w:r>
      <w:bookmarkStart w:id="5548" w:name="_ETM_Q6_643549"/>
      <w:bookmarkEnd w:id="5548"/>
      <w:r>
        <w:rPr>
          <w:rFonts w:hint="cs"/>
          <w:rtl/>
        </w:rPr>
        <w:t xml:space="preserve">לכם </w:t>
      </w:r>
      <w:bookmarkStart w:id="5549" w:name="_ETM_Q6_643760"/>
      <w:bookmarkEnd w:id="5549"/>
      <w:r>
        <w:rPr>
          <w:rFonts w:hint="cs"/>
          <w:rtl/>
        </w:rPr>
        <w:t xml:space="preserve">שעל </w:t>
      </w:r>
      <w:bookmarkStart w:id="5550" w:name="_ETM_Q6_643969"/>
      <w:bookmarkEnd w:id="5550"/>
      <w:r>
        <w:rPr>
          <w:rFonts w:hint="cs"/>
          <w:rtl/>
        </w:rPr>
        <w:t xml:space="preserve">סעיף </w:t>
      </w:r>
      <w:bookmarkStart w:id="5551" w:name="_ETM_Q6_644209"/>
      <w:bookmarkEnd w:id="5551"/>
      <w:r>
        <w:rPr>
          <w:rFonts w:hint="cs"/>
          <w:rtl/>
        </w:rPr>
        <w:t xml:space="preserve">אחר </w:t>
      </w:r>
      <w:bookmarkStart w:id="5552" w:name="_ETM_Q6_644900"/>
      <w:bookmarkEnd w:id="5552"/>
      <w:r>
        <w:rPr>
          <w:rFonts w:hint="cs"/>
          <w:rtl/>
        </w:rPr>
        <w:t xml:space="preserve">היה </w:t>
      </w:r>
      <w:bookmarkStart w:id="5553" w:name="_ETM_Q6_645170"/>
      <w:bookmarkEnd w:id="5553"/>
      <w:r>
        <w:rPr>
          <w:rFonts w:hint="cs"/>
          <w:rtl/>
        </w:rPr>
        <w:t xml:space="preserve">דיון </w:t>
      </w:r>
      <w:bookmarkStart w:id="5554" w:name="_ETM_Q6_645439"/>
      <w:bookmarkEnd w:id="5554"/>
      <w:r>
        <w:rPr>
          <w:rFonts w:hint="cs"/>
          <w:rtl/>
        </w:rPr>
        <w:t xml:space="preserve">סגור </w:t>
      </w:r>
      <w:bookmarkStart w:id="5555" w:name="_ETM_Q6_646340"/>
      <w:bookmarkEnd w:id="5555"/>
      <w:r>
        <w:rPr>
          <w:rFonts w:hint="cs"/>
          <w:rtl/>
        </w:rPr>
        <w:t xml:space="preserve">בוועדת </w:t>
      </w:r>
      <w:bookmarkStart w:id="5556" w:name="_ETM_Q6_647090"/>
      <w:bookmarkEnd w:id="5556"/>
      <w:r>
        <w:rPr>
          <w:rFonts w:hint="cs"/>
          <w:rtl/>
        </w:rPr>
        <w:t xml:space="preserve">החוקה, </w:t>
      </w:r>
      <w:bookmarkStart w:id="5557" w:name="_ETM_Q6_647450"/>
      <w:bookmarkEnd w:id="5557"/>
      <w:r>
        <w:rPr>
          <w:rFonts w:hint="cs"/>
          <w:rtl/>
        </w:rPr>
        <w:t xml:space="preserve">שהתעקשתי </w:t>
      </w:r>
      <w:bookmarkStart w:id="5558" w:name="_ETM_Q6_648170"/>
      <w:bookmarkEnd w:id="5558"/>
      <w:r>
        <w:rPr>
          <w:rFonts w:hint="cs"/>
          <w:rtl/>
        </w:rPr>
        <w:t xml:space="preserve">אז </w:t>
      </w:r>
      <w:bookmarkStart w:id="5559" w:name="_ETM_Q6_648410"/>
      <w:bookmarkEnd w:id="5559"/>
      <w:r>
        <w:rPr>
          <w:rFonts w:hint="cs"/>
          <w:rtl/>
        </w:rPr>
        <w:t xml:space="preserve">שיתקיים, </w:t>
      </w:r>
      <w:bookmarkStart w:id="5560" w:name="_ETM_Q6_649450"/>
      <w:bookmarkEnd w:id="5560"/>
      <w:r>
        <w:rPr>
          <w:rFonts w:hint="cs"/>
          <w:rtl/>
        </w:rPr>
        <w:t xml:space="preserve">וכל </w:t>
      </w:r>
      <w:bookmarkStart w:id="5561" w:name="_ETM_Q6_650020"/>
      <w:bookmarkEnd w:id="5561"/>
      <w:r>
        <w:rPr>
          <w:rFonts w:hint="cs"/>
          <w:rtl/>
        </w:rPr>
        <w:t xml:space="preserve">מומחי </w:t>
      </w:r>
      <w:bookmarkStart w:id="5562" w:name="_ETM_Q6_650410"/>
      <w:bookmarkEnd w:id="5562"/>
      <w:r>
        <w:rPr>
          <w:rFonts w:hint="cs"/>
          <w:rtl/>
        </w:rPr>
        <w:t xml:space="preserve">הדין </w:t>
      </w:r>
      <w:bookmarkStart w:id="5563" w:name="_ETM_Q6_650740"/>
      <w:bookmarkEnd w:id="5563"/>
      <w:r>
        <w:rPr>
          <w:rFonts w:hint="cs"/>
          <w:rtl/>
        </w:rPr>
        <w:t xml:space="preserve">הבין-לאומי </w:t>
      </w:r>
      <w:bookmarkStart w:id="5564" w:name="_ETM_Q6_651400"/>
      <w:bookmarkEnd w:id="5564"/>
      <w:r>
        <w:rPr>
          <w:rFonts w:hint="cs"/>
          <w:rtl/>
        </w:rPr>
        <w:t xml:space="preserve">בארץ </w:t>
      </w:r>
      <w:bookmarkStart w:id="5565" w:name="_ETM_Q6_651880"/>
      <w:bookmarkEnd w:id="5565"/>
      <w:r>
        <w:rPr>
          <w:rFonts w:hint="cs"/>
          <w:rtl/>
        </w:rPr>
        <w:t xml:space="preserve">ב-30 </w:t>
      </w:r>
      <w:bookmarkStart w:id="5566" w:name="_ETM_Q6_652390"/>
      <w:bookmarkEnd w:id="5566"/>
      <w:r>
        <w:rPr>
          <w:rFonts w:hint="cs"/>
          <w:rtl/>
        </w:rPr>
        <w:t xml:space="preserve">שנה </w:t>
      </w:r>
      <w:bookmarkStart w:id="5567" w:name="_ETM_Q6_652690"/>
      <w:bookmarkEnd w:id="5567"/>
      <w:r>
        <w:rPr>
          <w:rFonts w:hint="cs"/>
          <w:rtl/>
        </w:rPr>
        <w:t xml:space="preserve">האחרונות </w:t>
      </w:r>
      <w:bookmarkStart w:id="5568" w:name="_ETM_Q6_653170"/>
      <w:bookmarkEnd w:id="5568"/>
      <w:r>
        <w:rPr>
          <w:rFonts w:hint="cs"/>
          <w:rtl/>
        </w:rPr>
        <w:t xml:space="preserve">אמרו </w:t>
      </w:r>
      <w:bookmarkStart w:id="5569" w:name="_ETM_Q6_653440"/>
      <w:bookmarkEnd w:id="5569"/>
      <w:r>
        <w:rPr>
          <w:rFonts w:hint="cs"/>
          <w:rtl/>
        </w:rPr>
        <w:t xml:space="preserve">שזה </w:t>
      </w:r>
      <w:bookmarkStart w:id="5570" w:name="_ETM_Q6_653590"/>
      <w:bookmarkEnd w:id="5570"/>
      <w:r>
        <w:rPr>
          <w:rFonts w:hint="cs"/>
          <w:rtl/>
        </w:rPr>
        <w:t xml:space="preserve">מסוכן. </w:t>
      </w:r>
      <w:bookmarkStart w:id="5571" w:name="_ETM_Q6_654370"/>
      <w:bookmarkEnd w:id="5571"/>
      <w:r>
        <w:rPr>
          <w:rFonts w:hint="cs"/>
          <w:rtl/>
        </w:rPr>
        <w:t xml:space="preserve">אבל </w:t>
      </w:r>
      <w:bookmarkStart w:id="5572" w:name="_ETM_Q6_654640"/>
      <w:bookmarkStart w:id="5573" w:name="_ETM_Q6_654760"/>
      <w:bookmarkEnd w:id="5572"/>
      <w:bookmarkEnd w:id="5573"/>
      <w:r>
        <w:rPr>
          <w:rFonts w:hint="cs"/>
          <w:rtl/>
        </w:rPr>
        <w:t xml:space="preserve">למי </w:t>
      </w:r>
      <w:bookmarkStart w:id="5574" w:name="_ETM_Q6_654820"/>
      <w:bookmarkEnd w:id="5574"/>
      <w:r>
        <w:rPr>
          <w:rFonts w:hint="cs"/>
          <w:rtl/>
        </w:rPr>
        <w:t xml:space="preserve">לא </w:t>
      </w:r>
      <w:bookmarkStart w:id="5575" w:name="_ETM_Q6_654940"/>
      <w:bookmarkEnd w:id="5575"/>
      <w:r>
        <w:rPr>
          <w:rFonts w:hint="cs"/>
          <w:rtl/>
        </w:rPr>
        <w:t xml:space="preserve">אכפת? </w:t>
      </w:r>
      <w:bookmarkStart w:id="5576" w:name="_ETM_Q6_655360"/>
      <w:bookmarkEnd w:id="5576"/>
      <w:r>
        <w:rPr>
          <w:rFonts w:hint="cs"/>
          <w:rtl/>
        </w:rPr>
        <w:t xml:space="preserve">לממשלת </w:t>
      </w:r>
      <w:bookmarkStart w:id="5577" w:name="_ETM_Q6_655840"/>
      <w:bookmarkEnd w:id="5577"/>
      <w:r>
        <w:rPr>
          <w:rFonts w:hint="cs"/>
          <w:rtl/>
        </w:rPr>
        <w:t>ישראל.</w:t>
      </w:r>
    </w:p>
    <w:p w:rsidR="000C5C1F" w:rsidRDefault="000C5C1F" w:rsidP="00337201">
      <w:pPr>
        <w:rPr>
          <w:rtl/>
        </w:rPr>
      </w:pPr>
      <w:bookmarkStart w:id="5578" w:name="_ETM_Q6_655000"/>
      <w:bookmarkEnd w:id="5578"/>
    </w:p>
    <w:p w:rsidR="000C5C1F" w:rsidRDefault="000C5C1F" w:rsidP="00337201">
      <w:pPr>
        <w:rPr>
          <w:rtl/>
        </w:rPr>
      </w:pPr>
      <w:bookmarkStart w:id="5579" w:name="_ETM_Q6_656000"/>
      <w:bookmarkStart w:id="5580" w:name="_ETM_Q6_656170"/>
      <w:bookmarkEnd w:id="5579"/>
      <w:bookmarkEnd w:id="5580"/>
      <w:r>
        <w:rPr>
          <w:rFonts w:hint="cs"/>
          <w:rtl/>
        </w:rPr>
        <w:t xml:space="preserve">שר </w:t>
      </w:r>
      <w:bookmarkStart w:id="5581" w:name="_ETM_Q6_656410"/>
      <w:bookmarkEnd w:id="5581"/>
      <w:r>
        <w:rPr>
          <w:rFonts w:hint="cs"/>
          <w:rtl/>
        </w:rPr>
        <w:t xml:space="preserve">החוץ, </w:t>
      </w:r>
      <w:bookmarkStart w:id="5582" w:name="_ETM_Q6_656650"/>
      <w:bookmarkEnd w:id="5582"/>
      <w:r>
        <w:rPr>
          <w:rFonts w:hint="cs"/>
          <w:rtl/>
        </w:rPr>
        <w:t xml:space="preserve">שיושב </w:t>
      </w:r>
      <w:bookmarkStart w:id="5583" w:name="_ETM_Q6_656920"/>
      <w:bookmarkEnd w:id="5583"/>
      <w:r>
        <w:rPr>
          <w:rFonts w:hint="cs"/>
          <w:rtl/>
        </w:rPr>
        <w:t xml:space="preserve">פה, </w:t>
      </w:r>
      <w:bookmarkStart w:id="5584" w:name="_ETM_Q6_657430"/>
      <w:bookmarkEnd w:id="5584"/>
      <w:r>
        <w:rPr>
          <w:rFonts w:hint="cs"/>
          <w:rtl/>
        </w:rPr>
        <w:t xml:space="preserve">יש </w:t>
      </w:r>
      <w:bookmarkStart w:id="5585" w:name="_ETM_Q6_657640"/>
      <w:bookmarkEnd w:id="5585"/>
      <w:r>
        <w:rPr>
          <w:rFonts w:hint="cs"/>
          <w:rtl/>
        </w:rPr>
        <w:t xml:space="preserve">לך </w:t>
      </w:r>
      <w:bookmarkStart w:id="5586" w:name="_ETM_Q6_657820"/>
      <w:bookmarkEnd w:id="5586"/>
      <w:r>
        <w:rPr>
          <w:rFonts w:hint="cs"/>
          <w:rtl/>
        </w:rPr>
        <w:t xml:space="preserve">אחריות, </w:t>
      </w:r>
      <w:bookmarkStart w:id="5587" w:name="_ETM_Q6_659299"/>
      <w:bookmarkEnd w:id="5587"/>
      <w:r>
        <w:rPr>
          <w:rFonts w:hint="cs"/>
          <w:rtl/>
        </w:rPr>
        <w:t xml:space="preserve">ואתה </w:t>
      </w:r>
      <w:bookmarkStart w:id="5588" w:name="_ETM_Q6_659599"/>
      <w:bookmarkEnd w:id="5588"/>
      <w:r>
        <w:rPr>
          <w:rFonts w:hint="cs"/>
          <w:rtl/>
        </w:rPr>
        <w:t xml:space="preserve">לא </w:t>
      </w:r>
      <w:bookmarkStart w:id="5589" w:name="_ETM_Q6_659689"/>
      <w:bookmarkEnd w:id="5589"/>
      <w:r>
        <w:rPr>
          <w:rFonts w:hint="cs"/>
          <w:rtl/>
        </w:rPr>
        <w:t xml:space="preserve">היית </w:t>
      </w:r>
      <w:bookmarkStart w:id="5590" w:name="_ETM_Q6_659870"/>
      <w:bookmarkEnd w:id="5590"/>
      <w:r>
        <w:rPr>
          <w:rFonts w:hint="cs"/>
          <w:rtl/>
        </w:rPr>
        <w:t xml:space="preserve">בשום </w:t>
      </w:r>
      <w:bookmarkStart w:id="5591" w:name="_ETM_Q6_660139"/>
      <w:bookmarkEnd w:id="5591"/>
      <w:r>
        <w:rPr>
          <w:rFonts w:hint="cs"/>
          <w:rtl/>
        </w:rPr>
        <w:t xml:space="preserve">דיון </w:t>
      </w:r>
      <w:bookmarkStart w:id="5592" w:name="_ETM_Q6_660439"/>
      <w:bookmarkEnd w:id="5592"/>
      <w:r>
        <w:rPr>
          <w:rFonts w:hint="cs"/>
          <w:rtl/>
        </w:rPr>
        <w:t xml:space="preserve">על זה. </w:t>
      </w:r>
      <w:bookmarkStart w:id="5593" w:name="_ETM_Q6_661519"/>
      <w:bookmarkEnd w:id="5593"/>
      <w:r>
        <w:rPr>
          <w:rFonts w:hint="cs"/>
          <w:rtl/>
        </w:rPr>
        <w:t xml:space="preserve">לא </w:t>
      </w:r>
      <w:bookmarkStart w:id="5594" w:name="_ETM_Q6_661790"/>
      <w:bookmarkEnd w:id="5594"/>
      <w:r>
        <w:rPr>
          <w:rFonts w:hint="cs"/>
          <w:rtl/>
        </w:rPr>
        <w:t xml:space="preserve">היית </w:t>
      </w:r>
      <w:bookmarkStart w:id="5595" w:name="_ETM_Q6_661999"/>
      <w:bookmarkEnd w:id="5595"/>
      <w:r>
        <w:rPr>
          <w:rFonts w:hint="cs"/>
          <w:rtl/>
        </w:rPr>
        <w:t xml:space="preserve">נוכח </w:t>
      </w:r>
      <w:bookmarkStart w:id="5596" w:name="_ETM_Q6_662299"/>
      <w:bookmarkEnd w:id="5596"/>
      <w:r>
        <w:rPr>
          <w:rFonts w:hint="cs"/>
          <w:rtl/>
        </w:rPr>
        <w:t xml:space="preserve">באף </w:t>
      </w:r>
      <w:bookmarkStart w:id="5597" w:name="_ETM_Q6_662540"/>
      <w:bookmarkEnd w:id="5597"/>
      <w:r>
        <w:rPr>
          <w:rFonts w:hint="cs"/>
          <w:rtl/>
        </w:rPr>
        <w:t xml:space="preserve">מקום </w:t>
      </w:r>
      <w:bookmarkStart w:id="5598" w:name="_ETM_Q6_663170"/>
      <w:bookmarkEnd w:id="5598"/>
      <w:r>
        <w:rPr>
          <w:rFonts w:hint="cs"/>
          <w:rtl/>
        </w:rPr>
        <w:t xml:space="preserve">שבו </w:t>
      </w:r>
      <w:bookmarkStart w:id="5599" w:name="_ETM_Q6_663469"/>
      <w:bookmarkEnd w:id="5599"/>
      <w:r>
        <w:rPr>
          <w:rFonts w:hint="cs"/>
          <w:rtl/>
        </w:rPr>
        <w:t xml:space="preserve">דובר </w:t>
      </w:r>
      <w:bookmarkStart w:id="5600" w:name="_ETM_Q6_663799"/>
      <w:bookmarkEnd w:id="5600"/>
      <w:r>
        <w:rPr>
          <w:rFonts w:hint="cs"/>
          <w:rtl/>
        </w:rPr>
        <w:t xml:space="preserve">על </w:t>
      </w:r>
      <w:bookmarkStart w:id="5601" w:name="_ETM_Q6_663890"/>
      <w:bookmarkEnd w:id="5601"/>
      <w:r>
        <w:rPr>
          <w:rFonts w:hint="cs"/>
          <w:rtl/>
        </w:rPr>
        <w:t xml:space="preserve">ההשלכות </w:t>
      </w:r>
      <w:bookmarkStart w:id="5602" w:name="_ETM_Q6_664340"/>
      <w:bookmarkEnd w:id="5602"/>
      <w:r>
        <w:rPr>
          <w:rFonts w:hint="cs"/>
          <w:rtl/>
        </w:rPr>
        <w:t xml:space="preserve">הבין-לאומיות </w:t>
      </w:r>
      <w:bookmarkStart w:id="5603" w:name="_ETM_Q6_664999"/>
      <w:bookmarkEnd w:id="5603"/>
      <w:r>
        <w:rPr>
          <w:rFonts w:hint="cs"/>
          <w:rtl/>
        </w:rPr>
        <w:t xml:space="preserve">של </w:t>
      </w:r>
      <w:bookmarkStart w:id="5604" w:name="_ETM_Q6_665150"/>
      <w:bookmarkEnd w:id="5604"/>
      <w:r>
        <w:rPr>
          <w:rFonts w:hint="cs"/>
          <w:rtl/>
        </w:rPr>
        <w:t xml:space="preserve">טריבונלים </w:t>
      </w:r>
      <w:bookmarkStart w:id="5605" w:name="_ETM_Q6_665689"/>
      <w:bookmarkEnd w:id="5605"/>
      <w:r>
        <w:rPr>
          <w:rFonts w:hint="cs"/>
          <w:rtl/>
        </w:rPr>
        <w:t xml:space="preserve">בין-לאומיים </w:t>
      </w:r>
      <w:bookmarkStart w:id="5606" w:name="_ETM_Q6_666139"/>
      <w:bookmarkEnd w:id="5606"/>
      <w:r>
        <w:rPr>
          <w:rFonts w:hint="cs"/>
          <w:rtl/>
        </w:rPr>
        <w:t xml:space="preserve">על </w:t>
      </w:r>
      <w:bookmarkStart w:id="5607" w:name="_ETM_Q6_666230"/>
      <w:bookmarkEnd w:id="5607"/>
      <w:r>
        <w:rPr>
          <w:rFonts w:hint="cs"/>
          <w:rtl/>
        </w:rPr>
        <w:t xml:space="preserve">חיילי </w:t>
      </w:r>
      <w:bookmarkStart w:id="5608" w:name="_ETM_Q6_666469"/>
      <w:bookmarkEnd w:id="5608"/>
      <w:r>
        <w:rPr>
          <w:rFonts w:hint="cs"/>
          <w:rtl/>
        </w:rPr>
        <w:t xml:space="preserve">צה"ל. </w:t>
      </w:r>
      <w:bookmarkStart w:id="5609" w:name="_ETM_Q6_666799"/>
      <w:bookmarkEnd w:id="5609"/>
      <w:r>
        <w:rPr>
          <w:rFonts w:hint="cs"/>
          <w:rtl/>
        </w:rPr>
        <w:t xml:space="preserve">יש </w:t>
      </w:r>
      <w:bookmarkStart w:id="5610" w:name="_ETM_Q6_666950"/>
      <w:bookmarkEnd w:id="5610"/>
      <w:r>
        <w:rPr>
          <w:rFonts w:hint="cs"/>
          <w:rtl/>
        </w:rPr>
        <w:t xml:space="preserve">חקירות </w:t>
      </w:r>
      <w:bookmarkStart w:id="5611" w:name="_ETM_Q6_667310"/>
      <w:bookmarkEnd w:id="5611"/>
      <w:r>
        <w:rPr>
          <w:rFonts w:hint="cs"/>
          <w:rtl/>
        </w:rPr>
        <w:t xml:space="preserve">פתוחות </w:t>
      </w:r>
      <w:bookmarkStart w:id="5612" w:name="_ETM_Q6_667760"/>
      <w:bookmarkEnd w:id="5612"/>
      <w:r>
        <w:rPr>
          <w:rFonts w:hint="cs"/>
          <w:rtl/>
        </w:rPr>
        <w:t xml:space="preserve">עכשיו </w:t>
      </w:r>
      <w:bookmarkStart w:id="5613" w:name="_ETM_Q6_668030"/>
      <w:bookmarkEnd w:id="5613"/>
      <w:r>
        <w:rPr>
          <w:rFonts w:hint="cs"/>
          <w:rtl/>
        </w:rPr>
        <w:t xml:space="preserve">כנגד </w:t>
      </w:r>
      <w:bookmarkStart w:id="5614" w:name="_ETM_Q6_668359"/>
      <w:bookmarkEnd w:id="5614"/>
      <w:r>
        <w:rPr>
          <w:rFonts w:hint="cs"/>
          <w:rtl/>
        </w:rPr>
        <w:t xml:space="preserve">מדינת </w:t>
      </w:r>
      <w:bookmarkStart w:id="5615" w:name="_ETM_Q6_668659"/>
      <w:bookmarkEnd w:id="5615"/>
      <w:r>
        <w:rPr>
          <w:rFonts w:hint="cs"/>
          <w:rtl/>
        </w:rPr>
        <w:t xml:space="preserve">ישראל. </w:t>
      </w:r>
      <w:bookmarkStart w:id="5616" w:name="_ETM_Q6_669480"/>
      <w:bookmarkEnd w:id="5616"/>
      <w:r>
        <w:rPr>
          <w:rFonts w:hint="cs"/>
          <w:rtl/>
        </w:rPr>
        <w:t xml:space="preserve">הן </w:t>
      </w:r>
      <w:bookmarkStart w:id="5617" w:name="_ETM_Q6_669630"/>
      <w:bookmarkEnd w:id="5617"/>
      <w:r>
        <w:rPr>
          <w:rFonts w:hint="cs"/>
          <w:rtl/>
        </w:rPr>
        <w:t xml:space="preserve">פתוחות </w:t>
      </w:r>
      <w:bookmarkStart w:id="5618" w:name="_ETM_Q6_669990"/>
      <w:bookmarkEnd w:id="5618"/>
      <w:r>
        <w:rPr>
          <w:rFonts w:hint="cs"/>
          <w:rtl/>
        </w:rPr>
        <w:t>עכשיו.</w:t>
      </w:r>
    </w:p>
    <w:p w:rsidR="000C5C1F" w:rsidRDefault="000C5C1F" w:rsidP="00337201">
      <w:pPr>
        <w:rPr>
          <w:rtl/>
        </w:rPr>
      </w:pPr>
    </w:p>
    <w:p w:rsidR="000C5C1F" w:rsidRDefault="000C5C1F" w:rsidP="000C5C1F">
      <w:pPr>
        <w:pStyle w:val="af8"/>
        <w:keepNext/>
        <w:rPr>
          <w:rtl/>
        </w:rPr>
      </w:pPr>
      <w:bookmarkStart w:id="5619" w:name="_ETM_Q6_664000"/>
      <w:bookmarkStart w:id="5620" w:name="ET_interruption_6440_5"/>
      <w:bookmarkEnd w:id="5619"/>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20"/>
    </w:p>
    <w:p w:rsidR="000C5C1F" w:rsidRDefault="000C5C1F" w:rsidP="00337201">
      <w:pPr>
        <w:rPr>
          <w:rtl/>
        </w:rPr>
      </w:pPr>
    </w:p>
    <w:p w:rsidR="000C5C1F" w:rsidRDefault="000C5C1F" w:rsidP="000C5C1F">
      <w:pPr>
        <w:rPr>
          <w:rtl/>
        </w:rPr>
      </w:pPr>
      <w:bookmarkStart w:id="5621" w:name="_ETM_Q6_670860"/>
      <w:bookmarkEnd w:id="5621"/>
      <w:r>
        <w:rPr>
          <w:rFonts w:hint="cs"/>
          <w:rtl/>
        </w:rPr>
        <w:t xml:space="preserve">עושים ופועלים, תאמין לי. </w:t>
      </w:r>
    </w:p>
    <w:p w:rsidR="000C5C1F" w:rsidRDefault="000C5C1F" w:rsidP="000C5C1F">
      <w:pPr>
        <w:rPr>
          <w:rtl/>
        </w:rPr>
      </w:pPr>
      <w:bookmarkStart w:id="5622" w:name="_ETM_Q6_669000"/>
      <w:bookmarkEnd w:id="5622"/>
    </w:p>
    <w:p w:rsidR="000C5C1F" w:rsidRDefault="000C5C1F" w:rsidP="000C5C1F">
      <w:pPr>
        <w:pStyle w:val="-"/>
        <w:keepNext/>
        <w:rPr>
          <w:rtl/>
        </w:rPr>
      </w:pPr>
      <w:bookmarkStart w:id="5623" w:name="ET_speakercontinue_5791_6"/>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23"/>
    </w:p>
    <w:p w:rsidR="000C5C1F" w:rsidRDefault="000C5C1F" w:rsidP="00337201">
      <w:pPr>
        <w:rPr>
          <w:rtl/>
        </w:rPr>
      </w:pPr>
    </w:p>
    <w:p w:rsidR="000C5C1F" w:rsidRDefault="000C5C1F" w:rsidP="000C5C1F">
      <w:pPr>
        <w:rPr>
          <w:rtl/>
        </w:rPr>
      </w:pPr>
      <w:bookmarkStart w:id="5624" w:name="_ETM_Q6_672000"/>
      <w:bookmarkStart w:id="5625" w:name="_ETM_Q6_662000"/>
      <w:bookmarkStart w:id="5626" w:name="_ETM_Q6_671130"/>
      <w:bookmarkStart w:id="5627" w:name="_ETM_Q6_671640"/>
      <w:bookmarkEnd w:id="5624"/>
      <w:bookmarkEnd w:id="5625"/>
      <w:bookmarkEnd w:id="5626"/>
      <w:bookmarkEnd w:id="5627"/>
      <w:r>
        <w:rPr>
          <w:rFonts w:hint="cs"/>
          <w:rtl/>
        </w:rPr>
        <w:t>אבל ב</w:t>
      </w:r>
      <w:bookmarkStart w:id="5628" w:name="_ETM_Q6_672060"/>
      <w:bookmarkEnd w:id="5628"/>
      <w:r>
        <w:rPr>
          <w:rFonts w:hint="cs"/>
          <w:rtl/>
        </w:rPr>
        <w:t xml:space="preserve">ממשלה </w:t>
      </w:r>
      <w:bookmarkStart w:id="5629" w:name="_ETM_Q6_672569"/>
      <w:bookmarkEnd w:id="5629"/>
      <w:r>
        <w:rPr>
          <w:rFonts w:hint="cs"/>
          <w:rtl/>
        </w:rPr>
        <w:t xml:space="preserve">לא היה דיון. אתם, חברים, פשוט </w:t>
      </w:r>
      <w:bookmarkStart w:id="5630" w:name="_ETM_Q6_675000"/>
      <w:bookmarkEnd w:id="5630"/>
      <w:r>
        <w:rPr>
          <w:rFonts w:hint="cs"/>
          <w:rtl/>
        </w:rPr>
        <w:t xml:space="preserve">אין לכם מושג על מה אתם מדברים. </w:t>
      </w:r>
    </w:p>
    <w:p w:rsidR="000C5C1F" w:rsidRDefault="000C5C1F" w:rsidP="000C5C1F">
      <w:pPr>
        <w:rPr>
          <w:rtl/>
        </w:rPr>
      </w:pPr>
    </w:p>
    <w:p w:rsidR="000C5C1F" w:rsidRDefault="000C5C1F" w:rsidP="000C5C1F">
      <w:pPr>
        <w:pStyle w:val="af8"/>
        <w:keepNext/>
        <w:rPr>
          <w:rtl/>
        </w:rPr>
      </w:pPr>
      <w:bookmarkStart w:id="5631" w:name="ET_interruption_6440_7"/>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31"/>
    </w:p>
    <w:p w:rsidR="000C5C1F" w:rsidRDefault="000C5C1F" w:rsidP="00337201">
      <w:pPr>
        <w:rPr>
          <w:rtl/>
        </w:rPr>
      </w:pPr>
    </w:p>
    <w:p w:rsidR="000C5C1F" w:rsidRDefault="000C5C1F" w:rsidP="000C5C1F">
      <w:pPr>
        <w:rPr>
          <w:rtl/>
        </w:rPr>
      </w:pPr>
      <w:bookmarkStart w:id="5632" w:name="_ETM_Q6_670000"/>
      <w:bookmarkEnd w:id="5632"/>
      <w:r>
        <w:rPr>
          <w:rFonts w:hint="cs"/>
          <w:rtl/>
        </w:rPr>
        <w:t>אנחנו זוכרים טוב מאוד עם מי</w:t>
      </w:r>
      <w:bookmarkStart w:id="5633" w:name="_ETM_Q6_674000"/>
      <w:bookmarkEnd w:id="5633"/>
      <w:r>
        <w:rPr>
          <w:rFonts w:hint="cs"/>
          <w:rtl/>
        </w:rPr>
        <w:t xml:space="preserve"> ישבתם בממשלה הקודמת. </w:t>
      </w:r>
      <w:bookmarkStart w:id="5634" w:name="_ETM_Q6_676000"/>
      <w:bookmarkEnd w:id="5634"/>
      <w:r>
        <w:rPr>
          <w:rFonts w:hint="cs"/>
          <w:rtl/>
        </w:rPr>
        <w:t xml:space="preserve">אתה, אתה היית חבר בממשלה - - - </w:t>
      </w:r>
    </w:p>
    <w:p w:rsidR="000C5C1F" w:rsidRDefault="000C5C1F" w:rsidP="000C5C1F">
      <w:pPr>
        <w:rPr>
          <w:rtl/>
        </w:rPr>
      </w:pPr>
      <w:bookmarkStart w:id="5635" w:name="_ETM_Q6_680000"/>
      <w:bookmarkEnd w:id="5635"/>
    </w:p>
    <w:p w:rsidR="000C5C1F" w:rsidRDefault="000C5C1F" w:rsidP="000C5C1F">
      <w:pPr>
        <w:pStyle w:val="-"/>
        <w:keepNext/>
        <w:rPr>
          <w:rtl/>
        </w:rPr>
      </w:pPr>
      <w:bookmarkStart w:id="5636" w:name="ET_speakercontinue_5791_10"/>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36"/>
    </w:p>
    <w:p w:rsidR="000C5C1F" w:rsidRDefault="000C5C1F" w:rsidP="00337201">
      <w:pPr>
        <w:rPr>
          <w:rtl/>
        </w:rPr>
      </w:pPr>
    </w:p>
    <w:p w:rsidR="000C5C1F" w:rsidRDefault="000C5C1F" w:rsidP="000C5C1F">
      <w:pPr>
        <w:rPr>
          <w:rtl/>
        </w:rPr>
      </w:pPr>
      <w:r>
        <w:rPr>
          <w:rFonts w:hint="cs"/>
          <w:rtl/>
        </w:rPr>
        <w:t>לא, אם היה דיון, הייתם מכנסים קבינט. אתה מועל</w:t>
      </w:r>
      <w:bookmarkStart w:id="5637" w:name="_ETM_Q6_677000"/>
      <w:bookmarkEnd w:id="5637"/>
      <w:r>
        <w:rPr>
          <w:rFonts w:hint="cs"/>
          <w:rtl/>
        </w:rPr>
        <w:t xml:space="preserve"> בתפקידך. </w:t>
      </w:r>
    </w:p>
    <w:p w:rsidR="000C5C1F" w:rsidRDefault="000C5C1F" w:rsidP="000C5C1F">
      <w:pPr>
        <w:rPr>
          <w:rtl/>
        </w:rPr>
      </w:pPr>
    </w:p>
    <w:p w:rsidR="000C5C1F" w:rsidRDefault="000C5C1F" w:rsidP="000C5C1F">
      <w:pPr>
        <w:pStyle w:val="af8"/>
        <w:keepNext/>
        <w:rPr>
          <w:rtl/>
        </w:rPr>
      </w:pPr>
      <w:bookmarkStart w:id="5638" w:name="ET_interruption_6440_11"/>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38"/>
    </w:p>
    <w:p w:rsidR="000C5C1F" w:rsidRDefault="000C5C1F" w:rsidP="00337201">
      <w:pPr>
        <w:rPr>
          <w:rtl/>
        </w:rPr>
      </w:pPr>
    </w:p>
    <w:p w:rsidR="000C5C1F" w:rsidRDefault="000C5C1F" w:rsidP="000C5C1F">
      <w:pPr>
        <w:rPr>
          <w:rtl/>
        </w:rPr>
      </w:pPr>
      <w:r>
        <w:rPr>
          <w:rFonts w:hint="cs"/>
          <w:rtl/>
        </w:rPr>
        <w:t>אתה היית חבר בממשלה - - -</w:t>
      </w:r>
    </w:p>
    <w:p w:rsidR="000C5C1F" w:rsidRDefault="000C5C1F" w:rsidP="000C5C1F">
      <w:pPr>
        <w:rPr>
          <w:rtl/>
        </w:rPr>
      </w:pPr>
    </w:p>
    <w:p w:rsidR="000C5C1F" w:rsidRDefault="000C5C1F" w:rsidP="000C5C1F">
      <w:pPr>
        <w:pStyle w:val="-"/>
        <w:keepNext/>
        <w:rPr>
          <w:rtl/>
        </w:rPr>
      </w:pPr>
      <w:bookmarkStart w:id="5639" w:name="ET_speakercontinue_5791_12"/>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39"/>
    </w:p>
    <w:p w:rsidR="000C5C1F" w:rsidRDefault="000C5C1F" w:rsidP="00337201">
      <w:pPr>
        <w:rPr>
          <w:rtl/>
        </w:rPr>
      </w:pPr>
    </w:p>
    <w:p w:rsidR="000C5C1F" w:rsidRDefault="000C5C1F" w:rsidP="000C5C1F">
      <w:pPr>
        <w:rPr>
          <w:rtl/>
        </w:rPr>
      </w:pPr>
      <w:bookmarkStart w:id="5640" w:name="_ETM_Q6_678000"/>
      <w:bookmarkEnd w:id="5640"/>
      <w:r>
        <w:rPr>
          <w:rFonts w:hint="cs"/>
          <w:rtl/>
        </w:rPr>
        <w:t xml:space="preserve">אתה הולך להצביע כמו מריונטה. </w:t>
      </w:r>
    </w:p>
    <w:p w:rsidR="000C5C1F" w:rsidRDefault="000C5C1F" w:rsidP="000C5C1F">
      <w:pPr>
        <w:rPr>
          <w:rtl/>
        </w:rPr>
      </w:pPr>
    </w:p>
    <w:p w:rsidR="000C5C1F" w:rsidRDefault="000C5C1F" w:rsidP="000C5C1F">
      <w:pPr>
        <w:pStyle w:val="af8"/>
        <w:keepNext/>
        <w:rPr>
          <w:rtl/>
        </w:rPr>
      </w:pPr>
      <w:bookmarkStart w:id="5641" w:name="ET_interruption_6440_13"/>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41"/>
    </w:p>
    <w:p w:rsidR="000C5C1F" w:rsidRDefault="000C5C1F" w:rsidP="00337201">
      <w:pPr>
        <w:rPr>
          <w:rtl/>
        </w:rPr>
      </w:pPr>
    </w:p>
    <w:p w:rsidR="000C5C1F" w:rsidRDefault="000C5C1F" w:rsidP="000C5C1F">
      <w:pPr>
        <w:rPr>
          <w:rtl/>
        </w:rPr>
      </w:pPr>
      <w:r>
        <w:rPr>
          <w:rFonts w:hint="cs"/>
          <w:rtl/>
        </w:rPr>
        <w:t xml:space="preserve">אתה היית חבר בממשלה - - </w:t>
      </w:r>
    </w:p>
    <w:p w:rsidR="000C5C1F" w:rsidRDefault="000C5C1F" w:rsidP="000C5C1F">
      <w:pPr>
        <w:rPr>
          <w:rtl/>
        </w:rPr>
      </w:pPr>
    </w:p>
    <w:p w:rsidR="000C5C1F" w:rsidRDefault="000C5C1F" w:rsidP="000C5C1F">
      <w:pPr>
        <w:pStyle w:val="-"/>
        <w:keepNext/>
        <w:rPr>
          <w:rtl/>
        </w:rPr>
      </w:pPr>
      <w:bookmarkStart w:id="5642" w:name="ET_speakercontinue_5791_14"/>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42"/>
    </w:p>
    <w:p w:rsidR="000C5C1F" w:rsidRDefault="000C5C1F" w:rsidP="00337201">
      <w:pPr>
        <w:rPr>
          <w:rtl/>
        </w:rPr>
      </w:pPr>
    </w:p>
    <w:p w:rsidR="000C5C1F" w:rsidRDefault="000C5C1F" w:rsidP="000C5C1F">
      <w:pPr>
        <w:rPr>
          <w:rtl/>
        </w:rPr>
      </w:pPr>
      <w:bookmarkStart w:id="5643" w:name="_ETM_Q6_686000"/>
      <w:bookmarkEnd w:id="5643"/>
      <w:r>
        <w:rPr>
          <w:rFonts w:hint="cs"/>
          <w:rtl/>
        </w:rPr>
        <w:t xml:space="preserve">אתה תצביע כמו – אין לך אחריות על שום דבר. </w:t>
      </w:r>
    </w:p>
    <w:p w:rsidR="000C5C1F" w:rsidRDefault="000C5C1F" w:rsidP="000C5C1F">
      <w:pPr>
        <w:rPr>
          <w:rtl/>
        </w:rPr>
      </w:pPr>
      <w:bookmarkStart w:id="5644" w:name="_ETM_Q6_681000"/>
      <w:bookmarkEnd w:id="5644"/>
    </w:p>
    <w:p w:rsidR="000C5C1F" w:rsidRDefault="000C5C1F" w:rsidP="000C5C1F">
      <w:pPr>
        <w:pStyle w:val="af8"/>
        <w:keepNext/>
        <w:rPr>
          <w:rtl/>
        </w:rPr>
      </w:pPr>
      <w:bookmarkStart w:id="5645" w:name="ET_interruption_6440_78"/>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45"/>
    </w:p>
    <w:p w:rsidR="000C5C1F" w:rsidRDefault="000C5C1F" w:rsidP="00337201">
      <w:pPr>
        <w:rPr>
          <w:rtl/>
        </w:rPr>
      </w:pPr>
    </w:p>
    <w:p w:rsidR="000C5C1F" w:rsidRDefault="000C5C1F" w:rsidP="000C5C1F">
      <w:pPr>
        <w:rPr>
          <w:rtl/>
        </w:rPr>
      </w:pPr>
      <w:bookmarkStart w:id="5646" w:name="_ETM_Q6_682000"/>
      <w:bookmarkStart w:id="5647" w:name="_ETM_Q6_685000"/>
      <w:bookmarkEnd w:id="5646"/>
      <w:bookmarkEnd w:id="5647"/>
      <w:r>
        <w:rPr>
          <w:rFonts w:hint="cs"/>
          <w:rtl/>
        </w:rPr>
        <w:t xml:space="preserve">- - שהייתה בו תומכת </w:t>
      </w:r>
      <w:r>
        <w:t>BDS</w:t>
      </w:r>
      <w:r>
        <w:rPr>
          <w:rFonts w:hint="cs"/>
          <w:rtl/>
        </w:rPr>
        <w:t>.</w:t>
      </w:r>
    </w:p>
    <w:p w:rsidR="000C5C1F" w:rsidRDefault="000C5C1F" w:rsidP="000C5C1F">
      <w:pPr>
        <w:rPr>
          <w:rtl/>
        </w:rPr>
      </w:pPr>
    </w:p>
    <w:p w:rsidR="000C5C1F" w:rsidRDefault="000C5C1F" w:rsidP="000C5C1F">
      <w:pPr>
        <w:pStyle w:val="-"/>
        <w:keepNext/>
        <w:rPr>
          <w:rtl/>
        </w:rPr>
      </w:pPr>
      <w:bookmarkStart w:id="5648" w:name="ET_speakercontinue_5791_15"/>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48"/>
    </w:p>
    <w:p w:rsidR="000C5C1F" w:rsidRDefault="000C5C1F" w:rsidP="00337201">
      <w:pPr>
        <w:rPr>
          <w:rtl/>
        </w:rPr>
      </w:pPr>
    </w:p>
    <w:p w:rsidR="000C5C1F" w:rsidRDefault="000C5C1F" w:rsidP="000C5C1F">
      <w:pPr>
        <w:rPr>
          <w:rtl/>
        </w:rPr>
      </w:pPr>
      <w:bookmarkStart w:id="5649" w:name="_ETM_Q6_683000"/>
      <w:bookmarkEnd w:id="5649"/>
      <w:r>
        <w:rPr>
          <w:rFonts w:hint="cs"/>
          <w:rtl/>
        </w:rPr>
        <w:t>אתה שר חוץ שלא עושה את עבודתו. כי אם כן, היית מתעקש לעשות דיון בקבינט.</w:t>
      </w:r>
    </w:p>
    <w:p w:rsidR="000C5C1F" w:rsidRDefault="000C5C1F" w:rsidP="000C5C1F">
      <w:pPr>
        <w:rPr>
          <w:rtl/>
        </w:rPr>
      </w:pPr>
    </w:p>
    <w:p w:rsidR="000C5C1F" w:rsidRDefault="000C5C1F" w:rsidP="000C5C1F">
      <w:pPr>
        <w:pStyle w:val="af8"/>
        <w:keepNext/>
        <w:rPr>
          <w:rtl/>
        </w:rPr>
      </w:pPr>
      <w:bookmarkStart w:id="5650" w:name="ET_interruption_6440_19"/>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50"/>
    </w:p>
    <w:p w:rsidR="000C5C1F" w:rsidRDefault="000C5C1F" w:rsidP="00337201">
      <w:pPr>
        <w:rPr>
          <w:rtl/>
        </w:rPr>
      </w:pPr>
    </w:p>
    <w:p w:rsidR="000C5C1F" w:rsidRDefault="000C5C1F" w:rsidP="000C5C1F">
      <w:pPr>
        <w:rPr>
          <w:rtl/>
        </w:rPr>
      </w:pPr>
      <w:bookmarkStart w:id="5651" w:name="_ETM_Q6_688000"/>
      <w:bookmarkEnd w:id="5651"/>
      <w:r>
        <w:rPr>
          <w:rFonts w:hint="cs"/>
          <w:rtl/>
        </w:rPr>
        <w:t xml:space="preserve">אתה היית בממשלה שמינתה תומכת </w:t>
      </w:r>
      <w:bookmarkStart w:id="5652" w:name="_ETM_Q6_690000"/>
      <w:bookmarkEnd w:id="5652"/>
      <w:r>
        <w:t>BDS</w:t>
      </w:r>
      <w:r>
        <w:rPr>
          <w:rFonts w:hint="cs"/>
          <w:rtl/>
        </w:rPr>
        <w:t xml:space="preserve"> להיות קונסולית של ישראל.</w:t>
      </w:r>
      <w:bookmarkStart w:id="5653" w:name="_ETM_Q6_692000"/>
      <w:bookmarkEnd w:id="5653"/>
      <w:r>
        <w:rPr>
          <w:rFonts w:hint="cs"/>
          <w:rtl/>
        </w:rPr>
        <w:t xml:space="preserve"> אז אני מציע לך - - - </w:t>
      </w:r>
    </w:p>
    <w:p w:rsidR="000C5C1F" w:rsidRDefault="000C5C1F" w:rsidP="000C5C1F">
      <w:pPr>
        <w:rPr>
          <w:rtl/>
        </w:rPr>
      </w:pPr>
    </w:p>
    <w:p w:rsidR="000C5C1F" w:rsidRDefault="000C5C1F" w:rsidP="000C5C1F">
      <w:pPr>
        <w:pStyle w:val="-"/>
        <w:keepNext/>
        <w:rPr>
          <w:rtl/>
        </w:rPr>
      </w:pPr>
      <w:bookmarkStart w:id="5654" w:name="ET_speakercontinue_5791_18"/>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54"/>
    </w:p>
    <w:p w:rsidR="000C5C1F" w:rsidRDefault="000C5C1F" w:rsidP="00337201">
      <w:pPr>
        <w:rPr>
          <w:rtl/>
        </w:rPr>
      </w:pPr>
    </w:p>
    <w:p w:rsidR="000C5C1F" w:rsidRDefault="000C5C1F" w:rsidP="000C5C1F">
      <w:pPr>
        <w:rPr>
          <w:rtl/>
        </w:rPr>
      </w:pPr>
      <w:r>
        <w:rPr>
          <w:rFonts w:hint="cs"/>
          <w:rtl/>
        </w:rPr>
        <w:t xml:space="preserve">לא עשית את זה. אתה תצביע מחר, אתה </w:t>
      </w:r>
      <w:bookmarkStart w:id="5655" w:name="_ETM_Q6_693000"/>
      <w:bookmarkEnd w:id="5655"/>
      <w:r>
        <w:rPr>
          <w:rFonts w:hint="cs"/>
          <w:rtl/>
        </w:rPr>
        <w:t xml:space="preserve">תצביע </w:t>
      </w:r>
      <w:bookmarkStart w:id="5656" w:name="_ETM_Q6_701402"/>
      <w:bookmarkEnd w:id="5656"/>
      <w:r>
        <w:rPr>
          <w:rFonts w:hint="cs"/>
          <w:rtl/>
        </w:rPr>
        <w:t>– אתה מציע לי</w:t>
      </w:r>
      <w:bookmarkStart w:id="5657" w:name="_ETM_Q6_694000"/>
      <w:bookmarkEnd w:id="5657"/>
      <w:r>
        <w:rPr>
          <w:rFonts w:hint="cs"/>
          <w:rtl/>
        </w:rPr>
        <w:t xml:space="preserve">? אני מציע לך לעשות דיון עוד היום. תעשה דיון, אין לך מושג על מה אתה מדבר. </w:t>
      </w:r>
    </w:p>
    <w:p w:rsidR="000C5C1F" w:rsidRDefault="000C5C1F" w:rsidP="000C5C1F">
      <w:pPr>
        <w:rPr>
          <w:rtl/>
        </w:rPr>
      </w:pPr>
    </w:p>
    <w:p w:rsidR="000C5C1F" w:rsidRDefault="000C5C1F" w:rsidP="000C5C1F">
      <w:pPr>
        <w:pStyle w:val="af8"/>
        <w:keepNext/>
        <w:rPr>
          <w:rtl/>
        </w:rPr>
      </w:pPr>
      <w:bookmarkStart w:id="5658" w:name="ET_interruption_5084_30"/>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658"/>
    </w:p>
    <w:p w:rsidR="000C5C1F" w:rsidRDefault="000C5C1F" w:rsidP="00337201">
      <w:pPr>
        <w:rPr>
          <w:rtl/>
        </w:rPr>
      </w:pPr>
    </w:p>
    <w:p w:rsidR="000C5C1F" w:rsidRDefault="000C5C1F" w:rsidP="000C5C1F">
      <w:pPr>
        <w:rPr>
          <w:rtl/>
        </w:rPr>
      </w:pPr>
      <w:bookmarkStart w:id="5659" w:name="_ETM_Q6_699000"/>
      <w:bookmarkEnd w:id="5659"/>
      <w:r>
        <w:rPr>
          <w:rFonts w:hint="cs"/>
          <w:rtl/>
        </w:rPr>
        <w:t xml:space="preserve">השר משקר במצח נחושה. השר משקר במצח נחושה. </w:t>
      </w:r>
    </w:p>
    <w:p w:rsidR="000C5C1F" w:rsidRDefault="000C5C1F" w:rsidP="000C5C1F">
      <w:pPr>
        <w:rPr>
          <w:rtl/>
        </w:rPr>
      </w:pPr>
    </w:p>
    <w:p w:rsidR="000C5C1F" w:rsidRDefault="000C5C1F" w:rsidP="000C5C1F">
      <w:pPr>
        <w:pStyle w:val="af8"/>
        <w:keepNext/>
        <w:rPr>
          <w:rtl/>
        </w:rPr>
      </w:pPr>
      <w:bookmarkStart w:id="5660" w:name="ET_interruption_6440_27"/>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60"/>
    </w:p>
    <w:p w:rsidR="000C5C1F" w:rsidRDefault="000C5C1F" w:rsidP="00337201">
      <w:pPr>
        <w:rPr>
          <w:rtl/>
        </w:rPr>
      </w:pPr>
    </w:p>
    <w:p w:rsidR="000C5C1F" w:rsidRDefault="000C5C1F" w:rsidP="000C5C1F">
      <w:pPr>
        <w:rPr>
          <w:rtl/>
        </w:rPr>
      </w:pPr>
      <w:bookmarkStart w:id="5661" w:name="_ETM_Q6_704000"/>
      <w:bookmarkEnd w:id="5661"/>
      <w:r>
        <w:rPr>
          <w:rFonts w:hint="cs"/>
          <w:rtl/>
        </w:rPr>
        <w:t>ראש המפלגה שלך.</w:t>
      </w:r>
    </w:p>
    <w:p w:rsidR="000C5C1F" w:rsidRDefault="000C5C1F" w:rsidP="000C5C1F">
      <w:pPr>
        <w:rPr>
          <w:rtl/>
        </w:rPr>
      </w:pPr>
    </w:p>
    <w:p w:rsidR="000C5C1F" w:rsidRDefault="000C5C1F" w:rsidP="000C5C1F">
      <w:pPr>
        <w:pStyle w:val="-"/>
        <w:keepNext/>
        <w:rPr>
          <w:rtl/>
        </w:rPr>
      </w:pPr>
      <w:bookmarkStart w:id="5662" w:name="ET_speakercontinue_5791_28"/>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62"/>
    </w:p>
    <w:p w:rsidR="000C5C1F" w:rsidRDefault="000C5C1F" w:rsidP="00337201">
      <w:pPr>
        <w:rPr>
          <w:rtl/>
        </w:rPr>
      </w:pPr>
    </w:p>
    <w:p w:rsidR="000C5C1F" w:rsidRDefault="000C5C1F" w:rsidP="000C5C1F">
      <w:pPr>
        <w:rPr>
          <w:rtl/>
        </w:rPr>
      </w:pPr>
      <w:r>
        <w:rPr>
          <w:rFonts w:hint="cs"/>
          <w:rtl/>
        </w:rPr>
        <w:t xml:space="preserve">אין לך מושג ירוק. </w:t>
      </w:r>
    </w:p>
    <w:p w:rsidR="000C5C1F" w:rsidRDefault="000C5C1F" w:rsidP="000C5C1F">
      <w:pPr>
        <w:rPr>
          <w:rtl/>
        </w:rPr>
      </w:pPr>
      <w:bookmarkStart w:id="5663" w:name="_ETM_Q6_702000"/>
      <w:bookmarkEnd w:id="5663"/>
    </w:p>
    <w:p w:rsidR="000C5C1F" w:rsidRDefault="000C5C1F" w:rsidP="000C5C1F">
      <w:pPr>
        <w:pStyle w:val="af8"/>
        <w:keepNext/>
        <w:rPr>
          <w:rtl/>
        </w:rPr>
      </w:pPr>
      <w:bookmarkStart w:id="5664" w:name="ET_interruption_5084_29"/>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664"/>
    </w:p>
    <w:p w:rsidR="000C5C1F" w:rsidRDefault="000C5C1F" w:rsidP="00337201">
      <w:pPr>
        <w:rPr>
          <w:rtl/>
        </w:rPr>
      </w:pPr>
    </w:p>
    <w:p w:rsidR="000C5C1F" w:rsidRDefault="000C5C1F" w:rsidP="000C5C1F">
      <w:pPr>
        <w:rPr>
          <w:rtl/>
        </w:rPr>
      </w:pPr>
      <w:r>
        <w:rPr>
          <w:rFonts w:hint="cs"/>
          <w:rtl/>
        </w:rPr>
        <w:t xml:space="preserve">אתה דובר שקר. </w:t>
      </w:r>
    </w:p>
    <w:p w:rsidR="000C5C1F" w:rsidRDefault="000C5C1F" w:rsidP="000C5C1F">
      <w:pPr>
        <w:rPr>
          <w:rtl/>
        </w:rPr>
      </w:pPr>
    </w:p>
    <w:p w:rsidR="000C5C1F" w:rsidRDefault="000C5C1F" w:rsidP="000C5C1F">
      <w:pPr>
        <w:pStyle w:val="-"/>
        <w:keepNext/>
        <w:rPr>
          <w:rtl/>
        </w:rPr>
      </w:pPr>
      <w:bookmarkStart w:id="5665" w:name="ET_speakercontinue_5791_31"/>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65"/>
    </w:p>
    <w:p w:rsidR="000C5C1F" w:rsidRDefault="000C5C1F" w:rsidP="00337201">
      <w:pPr>
        <w:rPr>
          <w:rtl/>
        </w:rPr>
      </w:pPr>
    </w:p>
    <w:p w:rsidR="000C5C1F" w:rsidRDefault="000C5C1F" w:rsidP="000C5C1F">
      <w:pPr>
        <w:rPr>
          <w:rtl/>
        </w:rPr>
      </w:pPr>
      <w:r>
        <w:rPr>
          <w:rFonts w:hint="cs"/>
          <w:rtl/>
        </w:rPr>
        <w:t xml:space="preserve">אתה שר חוץ בלי הבנה מוחלטת של מה שקורה. </w:t>
      </w:r>
    </w:p>
    <w:p w:rsidR="000C5C1F" w:rsidRDefault="000C5C1F" w:rsidP="000C5C1F">
      <w:pPr>
        <w:rPr>
          <w:rtl/>
        </w:rPr>
      </w:pPr>
    </w:p>
    <w:p w:rsidR="000C5C1F" w:rsidRDefault="000C5C1F" w:rsidP="000C5C1F">
      <w:pPr>
        <w:pStyle w:val="af8"/>
        <w:keepNext/>
        <w:rPr>
          <w:rtl/>
        </w:rPr>
      </w:pPr>
      <w:bookmarkStart w:id="5666" w:name="ET_interruption_5084_32"/>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666"/>
    </w:p>
    <w:p w:rsidR="000C5C1F" w:rsidRDefault="000C5C1F" w:rsidP="00337201">
      <w:pPr>
        <w:rPr>
          <w:rtl/>
        </w:rPr>
      </w:pPr>
    </w:p>
    <w:p w:rsidR="000C5C1F" w:rsidRDefault="000C5C1F" w:rsidP="000C5C1F">
      <w:pPr>
        <w:rPr>
          <w:rtl/>
        </w:rPr>
      </w:pPr>
      <w:r>
        <w:rPr>
          <w:rFonts w:hint="cs"/>
          <w:rtl/>
        </w:rPr>
        <w:t xml:space="preserve">השר משקר במצח נחושה. </w:t>
      </w:r>
      <w:bookmarkStart w:id="5667" w:name="_ETM_Q6_703000"/>
      <w:bookmarkEnd w:id="5667"/>
      <w:r>
        <w:rPr>
          <w:rFonts w:hint="cs"/>
          <w:rtl/>
        </w:rPr>
        <w:t xml:space="preserve">פשוט שקר. </w:t>
      </w:r>
    </w:p>
    <w:p w:rsidR="000C5C1F" w:rsidRDefault="000C5C1F" w:rsidP="000C5C1F">
      <w:pPr>
        <w:rPr>
          <w:rtl/>
        </w:rPr>
      </w:pPr>
      <w:bookmarkStart w:id="5668" w:name="_ETM_Q6_706000"/>
      <w:bookmarkEnd w:id="5668"/>
    </w:p>
    <w:p w:rsidR="000C5C1F" w:rsidRDefault="000C5C1F" w:rsidP="000C5C1F">
      <w:pPr>
        <w:pStyle w:val="af8"/>
        <w:keepNext/>
        <w:rPr>
          <w:rtl/>
        </w:rPr>
      </w:pPr>
      <w:bookmarkStart w:id="5669" w:name="ET_interruption_6440_33"/>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69"/>
    </w:p>
    <w:p w:rsidR="000C5C1F" w:rsidRDefault="000C5C1F" w:rsidP="00337201">
      <w:pPr>
        <w:rPr>
          <w:rtl/>
        </w:rPr>
      </w:pPr>
    </w:p>
    <w:p w:rsidR="000C5C1F" w:rsidRDefault="000C5C1F" w:rsidP="000C5C1F">
      <w:pPr>
        <w:rPr>
          <w:rtl/>
        </w:rPr>
      </w:pPr>
      <w:r>
        <w:rPr>
          <w:rFonts w:hint="cs"/>
          <w:rtl/>
        </w:rPr>
        <w:t xml:space="preserve">ראש המפלגה שלך </w:t>
      </w:r>
      <w:bookmarkStart w:id="5670" w:name="_ETM_Q6_705000"/>
      <w:bookmarkEnd w:id="5670"/>
      <w:r>
        <w:rPr>
          <w:rFonts w:hint="cs"/>
          <w:rtl/>
        </w:rPr>
        <w:t xml:space="preserve">הביא תומכת </w:t>
      </w:r>
      <w:r>
        <w:t>BDS</w:t>
      </w:r>
      <w:r>
        <w:rPr>
          <w:rFonts w:hint="cs"/>
          <w:rtl/>
        </w:rPr>
        <w:t xml:space="preserve">. ואישר אותה. </w:t>
      </w:r>
    </w:p>
    <w:p w:rsidR="000C5C1F" w:rsidRDefault="000C5C1F" w:rsidP="000C5C1F">
      <w:pPr>
        <w:rPr>
          <w:rtl/>
        </w:rPr>
      </w:pPr>
    </w:p>
    <w:p w:rsidR="000C5C1F" w:rsidRDefault="000C5C1F" w:rsidP="000C5C1F">
      <w:pPr>
        <w:pStyle w:val="-"/>
        <w:keepNext/>
        <w:rPr>
          <w:rtl/>
        </w:rPr>
      </w:pPr>
      <w:bookmarkStart w:id="5671" w:name="ET_speakercontinue_5791_34"/>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71"/>
    </w:p>
    <w:p w:rsidR="000C5C1F" w:rsidRDefault="000C5C1F" w:rsidP="00337201">
      <w:pPr>
        <w:rPr>
          <w:rtl/>
        </w:rPr>
      </w:pPr>
    </w:p>
    <w:p w:rsidR="000C5C1F" w:rsidRDefault="000C5C1F" w:rsidP="000C5C1F">
      <w:pPr>
        <w:rPr>
          <w:rtl/>
        </w:rPr>
      </w:pPr>
      <w:r>
        <w:rPr>
          <w:rFonts w:hint="cs"/>
          <w:rtl/>
        </w:rPr>
        <w:t xml:space="preserve">אני אומר לך את זה. </w:t>
      </w:r>
      <w:bookmarkStart w:id="5672" w:name="_ETM_Q6_709000"/>
      <w:bookmarkEnd w:id="5672"/>
      <w:r>
        <w:rPr>
          <w:rFonts w:hint="cs"/>
          <w:rtl/>
        </w:rPr>
        <w:t xml:space="preserve">אתה, אתה - - - </w:t>
      </w:r>
    </w:p>
    <w:p w:rsidR="000C5C1F" w:rsidRDefault="000C5C1F" w:rsidP="000C5C1F">
      <w:pPr>
        <w:rPr>
          <w:rtl/>
        </w:rPr>
      </w:pPr>
    </w:p>
    <w:p w:rsidR="000C5C1F" w:rsidRDefault="000C5C1F" w:rsidP="000C5C1F">
      <w:pPr>
        <w:pStyle w:val="af9"/>
        <w:keepNext/>
        <w:rPr>
          <w:rtl/>
        </w:rPr>
      </w:pPr>
      <w:bookmarkStart w:id="5673" w:name="ET_yor_6423_3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673"/>
    </w:p>
    <w:p w:rsidR="000C5C1F" w:rsidRDefault="000C5C1F" w:rsidP="00337201">
      <w:pPr>
        <w:rPr>
          <w:rtl/>
        </w:rPr>
      </w:pPr>
    </w:p>
    <w:p w:rsidR="000C5C1F" w:rsidRDefault="000C5C1F" w:rsidP="000C5C1F">
      <w:pPr>
        <w:rPr>
          <w:rtl/>
        </w:rPr>
      </w:pPr>
      <w:r>
        <w:rPr>
          <w:rFonts w:hint="cs"/>
          <w:rtl/>
        </w:rPr>
        <w:t xml:space="preserve">רבותיי. </w:t>
      </w:r>
    </w:p>
    <w:p w:rsidR="000C5C1F" w:rsidRDefault="000C5C1F" w:rsidP="000C5C1F">
      <w:pPr>
        <w:rPr>
          <w:rtl/>
        </w:rPr>
      </w:pPr>
    </w:p>
    <w:p w:rsidR="000C5C1F" w:rsidRDefault="000C5C1F" w:rsidP="000C5C1F">
      <w:pPr>
        <w:pStyle w:val="af8"/>
        <w:keepNext/>
        <w:rPr>
          <w:rtl/>
        </w:rPr>
      </w:pPr>
      <w:bookmarkStart w:id="5674" w:name="ET_interruption_6440_37"/>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74"/>
    </w:p>
    <w:p w:rsidR="000C5C1F" w:rsidRDefault="000C5C1F" w:rsidP="00337201">
      <w:pPr>
        <w:rPr>
          <w:rtl/>
        </w:rPr>
      </w:pPr>
    </w:p>
    <w:p w:rsidR="000C5C1F" w:rsidRDefault="000C5C1F" w:rsidP="000C5C1F">
      <w:pPr>
        <w:rPr>
          <w:rtl/>
        </w:rPr>
      </w:pPr>
      <w:bookmarkStart w:id="5675" w:name="_ETM_Q6_712000"/>
      <w:bookmarkEnd w:id="5675"/>
      <w:r>
        <w:rPr>
          <w:rFonts w:hint="cs"/>
          <w:rtl/>
        </w:rPr>
        <w:t xml:space="preserve">אני רוצה לומר </w:t>
      </w:r>
      <w:bookmarkStart w:id="5676" w:name="_ETM_Q6_710000"/>
      <w:bookmarkEnd w:id="5676"/>
      <w:r>
        <w:rPr>
          <w:rFonts w:hint="cs"/>
          <w:rtl/>
        </w:rPr>
        <w:t xml:space="preserve">לך שמאחר שהחוק הזה </w:t>
      </w:r>
      <w:bookmarkStart w:id="5677" w:name="_ETM_Q6_719000"/>
      <w:bookmarkEnd w:id="5677"/>
      <w:r>
        <w:rPr>
          <w:rFonts w:hint="cs"/>
          <w:rtl/>
        </w:rPr>
        <w:t>יאושר - - -</w:t>
      </w:r>
    </w:p>
    <w:p w:rsidR="000C5C1F" w:rsidRDefault="000C5C1F" w:rsidP="000C5C1F">
      <w:pPr>
        <w:rPr>
          <w:rtl/>
        </w:rPr>
      </w:pPr>
    </w:p>
    <w:p w:rsidR="000C5C1F" w:rsidRDefault="000C5C1F" w:rsidP="000C5C1F">
      <w:pPr>
        <w:pStyle w:val="af8"/>
        <w:keepNext/>
        <w:rPr>
          <w:rtl/>
        </w:rPr>
      </w:pPr>
      <w:bookmarkStart w:id="5678" w:name="ET_interruption_5084_36"/>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678"/>
    </w:p>
    <w:p w:rsidR="000C5C1F" w:rsidRDefault="000C5C1F" w:rsidP="00337201">
      <w:pPr>
        <w:rPr>
          <w:rtl/>
        </w:rPr>
      </w:pPr>
    </w:p>
    <w:p w:rsidR="000C5C1F" w:rsidRDefault="000C5C1F" w:rsidP="000C5C1F">
      <w:pPr>
        <w:rPr>
          <w:rtl/>
          <w:lang w:eastAsia="he-IL"/>
        </w:rPr>
      </w:pPr>
      <w:r>
        <w:rPr>
          <w:rFonts w:hint="cs"/>
          <w:rtl/>
          <w:lang w:eastAsia="he-IL"/>
        </w:rPr>
        <w:t xml:space="preserve">השר משקר באופן מוחלט. </w:t>
      </w:r>
    </w:p>
    <w:p w:rsidR="000C5C1F" w:rsidRDefault="000C5C1F" w:rsidP="000C5C1F">
      <w:pPr>
        <w:rPr>
          <w:rtl/>
        </w:rPr>
      </w:pPr>
    </w:p>
    <w:p w:rsidR="000C5C1F" w:rsidRDefault="000C5C1F" w:rsidP="000C5C1F">
      <w:pPr>
        <w:pStyle w:val="-"/>
        <w:keepNext/>
        <w:rPr>
          <w:rtl/>
        </w:rPr>
      </w:pPr>
      <w:bookmarkStart w:id="5679" w:name="ET_speakercontinue_5791_38"/>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79"/>
    </w:p>
    <w:p w:rsidR="000C5C1F" w:rsidRDefault="000C5C1F" w:rsidP="00337201">
      <w:pPr>
        <w:rPr>
          <w:rtl/>
        </w:rPr>
      </w:pPr>
    </w:p>
    <w:p w:rsidR="000C5C1F" w:rsidRDefault="000C5C1F" w:rsidP="000C5C1F">
      <w:pPr>
        <w:rPr>
          <w:rtl/>
        </w:rPr>
      </w:pPr>
      <w:r>
        <w:rPr>
          <w:rFonts w:hint="cs"/>
          <w:rtl/>
        </w:rPr>
        <w:t xml:space="preserve">אדון אלי כהן, שר </w:t>
      </w:r>
      <w:bookmarkStart w:id="5680" w:name="_ETM_Q6_718000"/>
      <w:bookmarkEnd w:id="5680"/>
      <w:r>
        <w:rPr>
          <w:rFonts w:hint="cs"/>
          <w:rtl/>
        </w:rPr>
        <w:t xml:space="preserve">החוץ, אין לך מושג ירוק על מה שאתה מדבר. </w:t>
      </w:r>
    </w:p>
    <w:p w:rsidR="000C5C1F" w:rsidRDefault="000C5C1F" w:rsidP="000C5C1F">
      <w:pPr>
        <w:rPr>
          <w:rtl/>
        </w:rPr>
      </w:pPr>
    </w:p>
    <w:p w:rsidR="000C5C1F" w:rsidRDefault="000C5C1F" w:rsidP="000C5C1F">
      <w:pPr>
        <w:pStyle w:val="af8"/>
        <w:keepNext/>
        <w:rPr>
          <w:rtl/>
        </w:rPr>
      </w:pPr>
      <w:bookmarkStart w:id="5681" w:name="ET_interruption_6440_39"/>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81"/>
    </w:p>
    <w:p w:rsidR="000C5C1F" w:rsidRDefault="000C5C1F" w:rsidP="00337201">
      <w:pPr>
        <w:rPr>
          <w:rtl/>
        </w:rPr>
      </w:pPr>
    </w:p>
    <w:p w:rsidR="000C5C1F" w:rsidRDefault="000C5C1F" w:rsidP="000C5C1F">
      <w:pPr>
        <w:rPr>
          <w:rtl/>
        </w:rPr>
      </w:pPr>
      <w:bookmarkStart w:id="5682" w:name="_ETM_Q6_713000"/>
      <w:bookmarkEnd w:id="5682"/>
      <w:r>
        <w:rPr>
          <w:rFonts w:hint="cs"/>
          <w:rtl/>
        </w:rPr>
        <w:t xml:space="preserve">והחוק הזה יאושר. </w:t>
      </w:r>
    </w:p>
    <w:p w:rsidR="000C5C1F" w:rsidRDefault="000C5C1F" w:rsidP="000C5C1F">
      <w:pPr>
        <w:rPr>
          <w:rtl/>
        </w:rPr>
      </w:pPr>
    </w:p>
    <w:p w:rsidR="000C5C1F" w:rsidRDefault="000C5C1F" w:rsidP="000C5C1F">
      <w:pPr>
        <w:pStyle w:val="af8"/>
        <w:keepNext/>
        <w:rPr>
          <w:rtl/>
        </w:rPr>
      </w:pPr>
      <w:bookmarkStart w:id="5683" w:name="ET_interruption_5084_40"/>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683"/>
    </w:p>
    <w:p w:rsidR="000C5C1F" w:rsidRDefault="000C5C1F" w:rsidP="00337201">
      <w:pPr>
        <w:rPr>
          <w:rtl/>
        </w:rPr>
      </w:pPr>
    </w:p>
    <w:p w:rsidR="000C5C1F" w:rsidRDefault="000C5C1F" w:rsidP="000C5C1F">
      <w:pPr>
        <w:rPr>
          <w:rtl/>
        </w:rPr>
      </w:pPr>
      <w:r>
        <w:rPr>
          <w:rFonts w:hint="cs"/>
          <w:rtl/>
        </w:rPr>
        <w:t xml:space="preserve">אתה פשוט משקר במצח </w:t>
      </w:r>
      <w:bookmarkStart w:id="5684" w:name="_ETM_Q6_711000"/>
      <w:bookmarkEnd w:id="5684"/>
      <w:r>
        <w:rPr>
          <w:rFonts w:hint="cs"/>
          <w:rtl/>
        </w:rPr>
        <w:t xml:space="preserve">נחושה. </w:t>
      </w:r>
    </w:p>
    <w:p w:rsidR="000C5C1F" w:rsidRDefault="000C5C1F" w:rsidP="000C5C1F">
      <w:pPr>
        <w:rPr>
          <w:rtl/>
        </w:rPr>
      </w:pPr>
    </w:p>
    <w:p w:rsidR="000C5C1F" w:rsidRDefault="000C5C1F" w:rsidP="000C5C1F">
      <w:pPr>
        <w:pStyle w:val="-"/>
        <w:keepNext/>
        <w:rPr>
          <w:rtl/>
        </w:rPr>
      </w:pPr>
      <w:bookmarkStart w:id="5685" w:name="ET_speakercontinue_5791_41"/>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85"/>
    </w:p>
    <w:p w:rsidR="000C5C1F" w:rsidRDefault="000C5C1F" w:rsidP="00337201">
      <w:pPr>
        <w:rPr>
          <w:rtl/>
        </w:rPr>
      </w:pPr>
    </w:p>
    <w:p w:rsidR="000C5C1F" w:rsidRDefault="000C5C1F" w:rsidP="000C5C1F">
      <w:pPr>
        <w:rPr>
          <w:rtl/>
        </w:rPr>
      </w:pPr>
      <w:r>
        <w:rPr>
          <w:rFonts w:hint="cs"/>
          <w:rtl/>
        </w:rPr>
        <w:t xml:space="preserve">אתה תצביע כמו מריונטה מחר. </w:t>
      </w:r>
    </w:p>
    <w:p w:rsidR="000C5C1F" w:rsidRDefault="000C5C1F" w:rsidP="000C5C1F">
      <w:pPr>
        <w:rPr>
          <w:rtl/>
        </w:rPr>
      </w:pPr>
      <w:bookmarkStart w:id="5686" w:name="_ETM_Q6_722000"/>
      <w:bookmarkEnd w:id="5686"/>
    </w:p>
    <w:p w:rsidR="000C5C1F" w:rsidRDefault="000C5C1F" w:rsidP="000C5C1F">
      <w:pPr>
        <w:pStyle w:val="af8"/>
        <w:keepNext/>
        <w:rPr>
          <w:rtl/>
        </w:rPr>
      </w:pPr>
      <w:bookmarkStart w:id="5687" w:name="ET_interruption_6440_79"/>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87"/>
    </w:p>
    <w:p w:rsidR="000C5C1F" w:rsidRDefault="000C5C1F" w:rsidP="00337201">
      <w:pPr>
        <w:rPr>
          <w:rtl/>
        </w:rPr>
      </w:pPr>
    </w:p>
    <w:p w:rsidR="000C5C1F" w:rsidRDefault="000C5C1F" w:rsidP="000C5C1F">
      <w:pPr>
        <w:rPr>
          <w:rtl/>
        </w:rPr>
      </w:pPr>
      <w:bookmarkStart w:id="5688" w:name="_ETM_Q6_720000"/>
      <w:bookmarkEnd w:id="5688"/>
      <w:r>
        <w:rPr>
          <w:rFonts w:hint="cs"/>
          <w:rtl/>
        </w:rPr>
        <w:t xml:space="preserve">אנחנו מבינים - - - </w:t>
      </w:r>
    </w:p>
    <w:p w:rsidR="000C5C1F" w:rsidRDefault="000C5C1F" w:rsidP="000C5C1F">
      <w:pPr>
        <w:rPr>
          <w:rtl/>
        </w:rPr>
      </w:pPr>
    </w:p>
    <w:p w:rsidR="000C5C1F" w:rsidRDefault="000C5C1F" w:rsidP="000C5C1F">
      <w:pPr>
        <w:pStyle w:val="af8"/>
        <w:keepNext/>
        <w:rPr>
          <w:rtl/>
        </w:rPr>
      </w:pPr>
      <w:bookmarkStart w:id="5689" w:name="ET_interruption_5084_42"/>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689"/>
    </w:p>
    <w:p w:rsidR="000C5C1F" w:rsidRDefault="000C5C1F" w:rsidP="00337201">
      <w:pPr>
        <w:rPr>
          <w:rtl/>
        </w:rPr>
      </w:pPr>
    </w:p>
    <w:p w:rsidR="000C5C1F" w:rsidRDefault="000C5C1F" w:rsidP="000C5C1F">
      <w:pPr>
        <w:rPr>
          <w:rtl/>
        </w:rPr>
      </w:pPr>
      <w:bookmarkStart w:id="5690" w:name="_ETM_Q6_717000"/>
      <w:bookmarkEnd w:id="5690"/>
      <w:r>
        <w:rPr>
          <w:rFonts w:hint="cs"/>
          <w:rtl/>
        </w:rPr>
        <w:t xml:space="preserve">זה שקר, לא היה דבר כזה. </w:t>
      </w:r>
    </w:p>
    <w:p w:rsidR="000C5C1F" w:rsidRDefault="000C5C1F" w:rsidP="000C5C1F">
      <w:pPr>
        <w:rPr>
          <w:rtl/>
        </w:rPr>
      </w:pPr>
    </w:p>
    <w:p w:rsidR="000C5C1F" w:rsidRDefault="000C5C1F" w:rsidP="000C5C1F">
      <w:pPr>
        <w:pStyle w:val="-"/>
        <w:keepNext/>
        <w:rPr>
          <w:rtl/>
        </w:rPr>
      </w:pPr>
      <w:bookmarkStart w:id="5691" w:name="_ETM_Q6_726000"/>
      <w:bookmarkStart w:id="5692" w:name="ET_speakercontinue_5791_44"/>
      <w:bookmarkEnd w:id="5691"/>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92"/>
    </w:p>
    <w:p w:rsidR="000C5C1F" w:rsidRDefault="000C5C1F" w:rsidP="00337201">
      <w:pPr>
        <w:rPr>
          <w:rtl/>
        </w:rPr>
      </w:pPr>
    </w:p>
    <w:p w:rsidR="000C5C1F" w:rsidRDefault="000C5C1F" w:rsidP="000C5C1F">
      <w:pPr>
        <w:rPr>
          <w:rtl/>
        </w:rPr>
      </w:pPr>
      <w:r>
        <w:rPr>
          <w:rFonts w:hint="cs"/>
          <w:rtl/>
        </w:rPr>
        <w:t xml:space="preserve">כמו שעשית בעבר. </w:t>
      </w:r>
    </w:p>
    <w:p w:rsidR="000C5C1F" w:rsidRDefault="000C5C1F" w:rsidP="000C5C1F">
      <w:pPr>
        <w:rPr>
          <w:rtl/>
        </w:rPr>
      </w:pPr>
    </w:p>
    <w:p w:rsidR="000C5C1F" w:rsidRDefault="000C5C1F" w:rsidP="000C5C1F">
      <w:pPr>
        <w:pStyle w:val="af8"/>
        <w:keepNext/>
        <w:rPr>
          <w:rtl/>
        </w:rPr>
      </w:pPr>
      <w:bookmarkStart w:id="5693" w:name="ET_interruption_6440_45"/>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693"/>
    </w:p>
    <w:p w:rsidR="000C5C1F" w:rsidRDefault="000C5C1F" w:rsidP="00337201">
      <w:pPr>
        <w:rPr>
          <w:rtl/>
        </w:rPr>
      </w:pPr>
    </w:p>
    <w:p w:rsidR="000C5C1F" w:rsidRDefault="000C5C1F" w:rsidP="000C5C1F">
      <w:pPr>
        <w:rPr>
          <w:rtl/>
        </w:rPr>
      </w:pPr>
      <w:r>
        <w:rPr>
          <w:rFonts w:hint="cs"/>
          <w:rtl/>
        </w:rPr>
        <w:t xml:space="preserve">- - - </w:t>
      </w:r>
    </w:p>
    <w:p w:rsidR="000C5C1F" w:rsidRDefault="000C5C1F" w:rsidP="000C5C1F">
      <w:pPr>
        <w:rPr>
          <w:rtl/>
        </w:rPr>
      </w:pPr>
    </w:p>
    <w:p w:rsidR="000C5C1F" w:rsidRDefault="000C5C1F" w:rsidP="000C5C1F">
      <w:pPr>
        <w:pStyle w:val="af8"/>
        <w:keepNext/>
        <w:rPr>
          <w:rtl/>
        </w:rPr>
      </w:pPr>
      <w:bookmarkStart w:id="5694" w:name="ET_interruption_5084_46"/>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694"/>
    </w:p>
    <w:p w:rsidR="000C5C1F" w:rsidRDefault="000C5C1F" w:rsidP="00337201">
      <w:pPr>
        <w:rPr>
          <w:rtl/>
        </w:rPr>
      </w:pPr>
    </w:p>
    <w:p w:rsidR="000C5C1F" w:rsidRDefault="000C5C1F" w:rsidP="000C5C1F">
      <w:pPr>
        <w:rPr>
          <w:rtl/>
        </w:rPr>
      </w:pPr>
      <w:bookmarkStart w:id="5695" w:name="_ETM_Q6_721000"/>
      <w:bookmarkEnd w:id="5695"/>
      <w:r>
        <w:rPr>
          <w:rFonts w:hint="cs"/>
          <w:rtl/>
        </w:rPr>
        <w:t xml:space="preserve">אתה פשוט משקר. </w:t>
      </w:r>
    </w:p>
    <w:p w:rsidR="000C5C1F" w:rsidRDefault="000C5C1F" w:rsidP="000C5C1F">
      <w:pPr>
        <w:rPr>
          <w:rtl/>
        </w:rPr>
      </w:pPr>
    </w:p>
    <w:p w:rsidR="000C5C1F" w:rsidRDefault="000C5C1F" w:rsidP="000C5C1F">
      <w:pPr>
        <w:pStyle w:val="af9"/>
        <w:keepNext/>
        <w:rPr>
          <w:rtl/>
        </w:rPr>
      </w:pPr>
      <w:bookmarkStart w:id="5696" w:name="ET_yor_6423_4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696"/>
    </w:p>
    <w:p w:rsidR="000C5C1F" w:rsidRDefault="000C5C1F" w:rsidP="00337201">
      <w:pPr>
        <w:rPr>
          <w:rtl/>
        </w:rPr>
      </w:pPr>
    </w:p>
    <w:p w:rsidR="000C5C1F" w:rsidRDefault="000C5C1F" w:rsidP="000C5C1F">
      <w:pPr>
        <w:rPr>
          <w:rtl/>
        </w:rPr>
      </w:pPr>
      <w:r>
        <w:rPr>
          <w:rFonts w:hint="cs"/>
          <w:rtl/>
        </w:rPr>
        <w:t xml:space="preserve">רבותיי, רבותיי. </w:t>
      </w:r>
    </w:p>
    <w:p w:rsidR="000C5C1F" w:rsidRDefault="000C5C1F" w:rsidP="000C5C1F">
      <w:pPr>
        <w:rPr>
          <w:rtl/>
        </w:rPr>
      </w:pPr>
    </w:p>
    <w:p w:rsidR="000C5C1F" w:rsidRDefault="000C5C1F" w:rsidP="000C5C1F">
      <w:pPr>
        <w:pStyle w:val="-"/>
        <w:keepNext/>
        <w:rPr>
          <w:rtl/>
        </w:rPr>
      </w:pPr>
      <w:bookmarkStart w:id="5697" w:name="ET_speakercontinue_5791_48"/>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697"/>
    </w:p>
    <w:p w:rsidR="000C5C1F" w:rsidRDefault="000C5C1F" w:rsidP="00337201">
      <w:pPr>
        <w:rPr>
          <w:rtl/>
        </w:rPr>
      </w:pPr>
    </w:p>
    <w:p w:rsidR="000C5C1F" w:rsidRDefault="000C5C1F" w:rsidP="000C5C1F">
      <w:pPr>
        <w:rPr>
          <w:rtl/>
        </w:rPr>
      </w:pPr>
      <w:r>
        <w:rPr>
          <w:rFonts w:hint="cs"/>
          <w:rtl/>
        </w:rPr>
        <w:t xml:space="preserve">אבל חיילי צה"ל </w:t>
      </w:r>
      <w:bookmarkStart w:id="5698" w:name="_ETM_Q6_729000"/>
      <w:bookmarkEnd w:id="5698"/>
      <w:r>
        <w:rPr>
          <w:rFonts w:hint="cs"/>
          <w:rtl/>
        </w:rPr>
        <w:t xml:space="preserve">שנמצאים - - - </w:t>
      </w:r>
    </w:p>
    <w:p w:rsidR="000C5C1F" w:rsidRDefault="000C5C1F" w:rsidP="000C5C1F">
      <w:pPr>
        <w:rPr>
          <w:rtl/>
        </w:rPr>
      </w:pPr>
      <w:bookmarkStart w:id="5699" w:name="_ETM_Q6_723000"/>
      <w:bookmarkEnd w:id="5699"/>
    </w:p>
    <w:p w:rsidR="000C5C1F" w:rsidRDefault="000C5C1F" w:rsidP="000C5C1F">
      <w:pPr>
        <w:pStyle w:val="af9"/>
        <w:keepNext/>
        <w:rPr>
          <w:rtl/>
        </w:rPr>
      </w:pPr>
      <w:bookmarkStart w:id="5700" w:name="ET_yor_6423_7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700"/>
    </w:p>
    <w:p w:rsidR="000C5C1F" w:rsidRDefault="000C5C1F" w:rsidP="00337201">
      <w:pPr>
        <w:rPr>
          <w:rtl/>
        </w:rPr>
      </w:pPr>
    </w:p>
    <w:p w:rsidR="000C5C1F" w:rsidRDefault="000C5C1F" w:rsidP="000C5C1F">
      <w:pPr>
        <w:rPr>
          <w:rtl/>
        </w:rPr>
      </w:pPr>
      <w:r>
        <w:rPr>
          <w:rFonts w:hint="cs"/>
          <w:rtl/>
        </w:rPr>
        <w:t xml:space="preserve">טוב, רבותיי, רבותיי. רבותיי, אדוני השר. </w:t>
      </w:r>
    </w:p>
    <w:p w:rsidR="000C5C1F" w:rsidRDefault="000C5C1F" w:rsidP="000C5C1F">
      <w:pPr>
        <w:rPr>
          <w:rtl/>
        </w:rPr>
      </w:pPr>
    </w:p>
    <w:p w:rsidR="000C5C1F" w:rsidRDefault="000C5C1F" w:rsidP="000C5C1F">
      <w:pPr>
        <w:pStyle w:val="af8"/>
        <w:keepNext/>
        <w:rPr>
          <w:rtl/>
        </w:rPr>
      </w:pPr>
      <w:bookmarkStart w:id="5701" w:name="ET_interruption_5084_49"/>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701"/>
    </w:p>
    <w:p w:rsidR="000C5C1F" w:rsidRDefault="000C5C1F" w:rsidP="00337201">
      <w:pPr>
        <w:rPr>
          <w:rtl/>
        </w:rPr>
      </w:pPr>
    </w:p>
    <w:p w:rsidR="000C5C1F" w:rsidRDefault="000C5C1F" w:rsidP="000C5C1F">
      <w:pPr>
        <w:rPr>
          <w:rtl/>
        </w:rPr>
      </w:pPr>
      <w:r>
        <w:rPr>
          <w:rFonts w:hint="cs"/>
          <w:rtl/>
        </w:rPr>
        <w:t xml:space="preserve">אתה משקר במצח נחושה. </w:t>
      </w:r>
    </w:p>
    <w:p w:rsidR="000C5C1F" w:rsidRDefault="000C5C1F" w:rsidP="000C5C1F">
      <w:pPr>
        <w:rPr>
          <w:rtl/>
        </w:rPr>
      </w:pPr>
    </w:p>
    <w:p w:rsidR="000C5C1F" w:rsidRDefault="000C5C1F" w:rsidP="000C5C1F">
      <w:pPr>
        <w:pStyle w:val="-"/>
        <w:keepNext/>
        <w:rPr>
          <w:rtl/>
        </w:rPr>
      </w:pPr>
      <w:bookmarkStart w:id="5702" w:name="ET_speakercontinue_5791_73"/>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702"/>
    </w:p>
    <w:p w:rsidR="000C5C1F" w:rsidRDefault="000C5C1F" w:rsidP="00337201">
      <w:pPr>
        <w:rPr>
          <w:rtl/>
        </w:rPr>
      </w:pPr>
    </w:p>
    <w:p w:rsidR="000C5C1F" w:rsidRDefault="000C5C1F" w:rsidP="000C5C1F">
      <w:pPr>
        <w:rPr>
          <w:rtl/>
        </w:rPr>
      </w:pPr>
      <w:r>
        <w:rPr>
          <w:rFonts w:hint="cs"/>
          <w:rtl/>
        </w:rPr>
        <w:t xml:space="preserve">זה לא "רבותיי", זה זמן הדיבור שלי.  </w:t>
      </w:r>
    </w:p>
    <w:p w:rsidR="000C5C1F" w:rsidRDefault="000C5C1F" w:rsidP="000C5C1F">
      <w:pPr>
        <w:rPr>
          <w:rtl/>
        </w:rPr>
      </w:pPr>
    </w:p>
    <w:p w:rsidR="000C5C1F" w:rsidRDefault="000C5C1F" w:rsidP="000C5C1F">
      <w:pPr>
        <w:pStyle w:val="af8"/>
        <w:keepNext/>
        <w:rPr>
          <w:rtl/>
        </w:rPr>
      </w:pPr>
      <w:bookmarkStart w:id="5703" w:name="ET_interruption_6440_51"/>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703"/>
    </w:p>
    <w:p w:rsidR="000C5C1F" w:rsidRDefault="000C5C1F" w:rsidP="00337201">
      <w:pPr>
        <w:rPr>
          <w:rtl/>
        </w:rPr>
      </w:pPr>
    </w:p>
    <w:p w:rsidR="000C5C1F" w:rsidRDefault="000C5C1F" w:rsidP="000C5C1F">
      <w:pPr>
        <w:rPr>
          <w:rtl/>
        </w:rPr>
      </w:pPr>
      <w:r>
        <w:rPr>
          <w:rFonts w:hint="cs"/>
          <w:rtl/>
        </w:rPr>
        <w:t xml:space="preserve">לכן אין לך זכות לדבר על חיילי צה"ל, כמי שהביא לתמיכה בתומכת </w:t>
      </w:r>
      <w:r>
        <w:t>BDS</w:t>
      </w:r>
      <w:r>
        <w:rPr>
          <w:rFonts w:hint="cs"/>
          <w:rtl/>
        </w:rPr>
        <w:t xml:space="preserve">. </w:t>
      </w:r>
    </w:p>
    <w:p w:rsidR="000C5C1F" w:rsidRDefault="000C5C1F" w:rsidP="000C5C1F">
      <w:pPr>
        <w:rPr>
          <w:rtl/>
        </w:rPr>
      </w:pPr>
      <w:bookmarkStart w:id="5704" w:name="_ETM_Q6_727000"/>
      <w:bookmarkEnd w:id="5704"/>
    </w:p>
    <w:p w:rsidR="000C5C1F" w:rsidRDefault="000C5C1F" w:rsidP="000C5C1F">
      <w:pPr>
        <w:pStyle w:val="af9"/>
        <w:keepNext/>
        <w:rPr>
          <w:rtl/>
        </w:rPr>
      </w:pPr>
      <w:bookmarkStart w:id="5705" w:name="ET_yor_6423_7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705"/>
    </w:p>
    <w:p w:rsidR="000C5C1F" w:rsidRDefault="000C5C1F" w:rsidP="00337201">
      <w:pPr>
        <w:rPr>
          <w:rtl/>
        </w:rPr>
      </w:pPr>
    </w:p>
    <w:p w:rsidR="000C5C1F" w:rsidRDefault="000C5C1F" w:rsidP="000C5C1F">
      <w:pPr>
        <w:rPr>
          <w:rtl/>
        </w:rPr>
      </w:pPr>
      <w:bookmarkStart w:id="5706" w:name="_ETM_Q6_728000"/>
      <w:bookmarkEnd w:id="5706"/>
      <w:r>
        <w:rPr>
          <w:rFonts w:hint="cs"/>
          <w:rtl/>
        </w:rPr>
        <w:t xml:space="preserve">אדוני השר. </w:t>
      </w:r>
    </w:p>
    <w:p w:rsidR="000C5C1F" w:rsidRDefault="000C5C1F" w:rsidP="000C5C1F">
      <w:pPr>
        <w:rPr>
          <w:rtl/>
        </w:rPr>
      </w:pPr>
      <w:bookmarkStart w:id="5707" w:name="_ETM_Q6_730000"/>
      <w:bookmarkEnd w:id="5707"/>
    </w:p>
    <w:p w:rsidR="000C5C1F" w:rsidRDefault="000C5C1F" w:rsidP="000C5C1F">
      <w:pPr>
        <w:pStyle w:val="-"/>
        <w:keepNext/>
        <w:rPr>
          <w:rtl/>
        </w:rPr>
      </w:pPr>
      <w:bookmarkStart w:id="5708" w:name="ET_speakercontinue_5791_76"/>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708"/>
    </w:p>
    <w:p w:rsidR="000C5C1F" w:rsidRDefault="000C5C1F" w:rsidP="00337201">
      <w:pPr>
        <w:rPr>
          <w:rtl/>
        </w:rPr>
      </w:pPr>
    </w:p>
    <w:p w:rsidR="000C5C1F" w:rsidRDefault="000C5C1F" w:rsidP="000C5C1F">
      <w:pPr>
        <w:rPr>
          <w:rtl/>
        </w:rPr>
      </w:pPr>
      <w:bookmarkStart w:id="5709" w:name="_ETM_Q6_733000"/>
      <w:bookmarkEnd w:id="5709"/>
      <w:r>
        <w:rPr>
          <w:rFonts w:hint="cs"/>
          <w:rtl/>
        </w:rPr>
        <w:t xml:space="preserve">אני מזכיר לאדוני היושב-ראש שזה זמן הדיבור </w:t>
      </w:r>
      <w:bookmarkStart w:id="5710" w:name="_ETM_Q6_736000"/>
      <w:bookmarkEnd w:id="5710"/>
      <w:r>
        <w:rPr>
          <w:rFonts w:hint="cs"/>
          <w:rtl/>
        </w:rPr>
        <w:t xml:space="preserve">שלי. </w:t>
      </w:r>
    </w:p>
    <w:p w:rsidR="000C5C1F" w:rsidRDefault="000C5C1F" w:rsidP="000C5C1F">
      <w:pPr>
        <w:rPr>
          <w:rtl/>
        </w:rPr>
      </w:pPr>
    </w:p>
    <w:p w:rsidR="000C5C1F" w:rsidRDefault="000C5C1F" w:rsidP="000C5C1F">
      <w:pPr>
        <w:pStyle w:val="af8"/>
        <w:keepNext/>
        <w:rPr>
          <w:rtl/>
        </w:rPr>
      </w:pPr>
      <w:bookmarkStart w:id="5711" w:name="ET_interruption_5084_52"/>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711"/>
    </w:p>
    <w:p w:rsidR="000C5C1F" w:rsidRDefault="000C5C1F" w:rsidP="00337201">
      <w:pPr>
        <w:rPr>
          <w:rtl/>
        </w:rPr>
      </w:pPr>
    </w:p>
    <w:p w:rsidR="000C5C1F" w:rsidRDefault="000C5C1F" w:rsidP="000C5C1F">
      <w:pPr>
        <w:rPr>
          <w:rtl/>
        </w:rPr>
      </w:pPr>
      <w:r>
        <w:rPr>
          <w:rFonts w:hint="cs"/>
          <w:rtl/>
        </w:rPr>
        <w:t xml:space="preserve">זה שקר, ואתה משקר במצח נחושה. </w:t>
      </w:r>
    </w:p>
    <w:p w:rsidR="000C5C1F" w:rsidRDefault="000C5C1F" w:rsidP="000C5C1F">
      <w:pPr>
        <w:rPr>
          <w:rtl/>
        </w:rPr>
      </w:pPr>
    </w:p>
    <w:p w:rsidR="000C5C1F" w:rsidRDefault="000C5C1F" w:rsidP="000C5C1F">
      <w:pPr>
        <w:pStyle w:val="af9"/>
        <w:keepNext/>
        <w:rPr>
          <w:rtl/>
        </w:rPr>
      </w:pPr>
      <w:bookmarkStart w:id="5712" w:name="ET_yor_6423_7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712"/>
    </w:p>
    <w:p w:rsidR="000C5C1F" w:rsidRDefault="000C5C1F" w:rsidP="00337201">
      <w:pPr>
        <w:rPr>
          <w:rtl/>
        </w:rPr>
      </w:pPr>
    </w:p>
    <w:p w:rsidR="000C5C1F" w:rsidRDefault="000C5C1F" w:rsidP="000C5C1F">
      <w:pPr>
        <w:rPr>
          <w:rtl/>
        </w:rPr>
      </w:pPr>
      <w:bookmarkStart w:id="5713" w:name="_ETM_Q6_734000"/>
      <w:bookmarkEnd w:id="5713"/>
      <w:r>
        <w:rPr>
          <w:rFonts w:hint="cs"/>
          <w:rtl/>
        </w:rPr>
        <w:t xml:space="preserve">עצרתי אותו. </w:t>
      </w:r>
    </w:p>
    <w:p w:rsidR="000C5C1F" w:rsidRDefault="000C5C1F" w:rsidP="000C5C1F">
      <w:pPr>
        <w:rPr>
          <w:rtl/>
        </w:rPr>
      </w:pPr>
    </w:p>
    <w:p w:rsidR="000C5C1F" w:rsidRDefault="000C5C1F" w:rsidP="000C5C1F">
      <w:pPr>
        <w:pStyle w:val="af8"/>
        <w:keepNext/>
        <w:rPr>
          <w:rtl/>
        </w:rPr>
      </w:pPr>
      <w:bookmarkStart w:id="5714" w:name="_ETM_Q6_732000"/>
      <w:bookmarkStart w:id="5715" w:name="ET_interruption_6440_55"/>
      <w:bookmarkEnd w:id="5714"/>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715"/>
    </w:p>
    <w:p w:rsidR="000C5C1F" w:rsidRDefault="000C5C1F" w:rsidP="00337201">
      <w:pPr>
        <w:rPr>
          <w:rtl/>
        </w:rPr>
      </w:pPr>
    </w:p>
    <w:p w:rsidR="000C5C1F" w:rsidRDefault="000C5C1F" w:rsidP="000C5C1F">
      <w:pPr>
        <w:rPr>
          <w:rtl/>
        </w:rPr>
      </w:pPr>
      <w:r>
        <w:rPr>
          <w:rFonts w:hint="cs"/>
          <w:rtl/>
        </w:rPr>
        <w:t xml:space="preserve">רינאוי </w:t>
      </w:r>
      <w:bookmarkStart w:id="5716" w:name="_ETM_Q6_735000"/>
      <w:bookmarkEnd w:id="5716"/>
      <w:r>
        <w:rPr>
          <w:rFonts w:hint="cs"/>
          <w:rtl/>
        </w:rPr>
        <w:t xml:space="preserve">זועבי, עובדה. עובדה. </w:t>
      </w:r>
    </w:p>
    <w:p w:rsidR="000C5C1F" w:rsidRDefault="000C5C1F" w:rsidP="000C5C1F">
      <w:pPr>
        <w:rPr>
          <w:rtl/>
        </w:rPr>
      </w:pPr>
    </w:p>
    <w:p w:rsidR="000C5C1F" w:rsidRDefault="000C5C1F" w:rsidP="000C5C1F">
      <w:pPr>
        <w:pStyle w:val="af8"/>
        <w:keepNext/>
        <w:rPr>
          <w:rtl/>
        </w:rPr>
      </w:pPr>
      <w:bookmarkStart w:id="5717" w:name="ET_interruption_5084_56"/>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717"/>
    </w:p>
    <w:p w:rsidR="000C5C1F" w:rsidRDefault="000C5C1F" w:rsidP="00337201">
      <w:pPr>
        <w:rPr>
          <w:rtl/>
        </w:rPr>
      </w:pPr>
    </w:p>
    <w:p w:rsidR="000C5C1F" w:rsidRDefault="000C5C1F" w:rsidP="000C5C1F">
      <w:pPr>
        <w:rPr>
          <w:rtl/>
        </w:rPr>
      </w:pPr>
      <w:r>
        <w:rPr>
          <w:rFonts w:hint="cs"/>
          <w:rtl/>
        </w:rPr>
        <w:t xml:space="preserve">שקר מוחלט. </w:t>
      </w:r>
      <w:bookmarkStart w:id="5718" w:name="_ETM_Q6_739000"/>
      <w:bookmarkEnd w:id="5718"/>
      <w:r>
        <w:rPr>
          <w:rFonts w:hint="cs"/>
          <w:rtl/>
        </w:rPr>
        <w:t xml:space="preserve">אתה משקר במצח נחושה. </w:t>
      </w:r>
      <w:bookmarkStart w:id="5719" w:name="_ETM_Q6_742000"/>
      <w:bookmarkEnd w:id="5719"/>
    </w:p>
    <w:p w:rsidR="000C5C1F" w:rsidRDefault="000C5C1F" w:rsidP="000C5C1F">
      <w:pPr>
        <w:rPr>
          <w:rtl/>
        </w:rPr>
      </w:pPr>
      <w:bookmarkStart w:id="5720" w:name="_ETM_Q6_743000"/>
      <w:bookmarkEnd w:id="5720"/>
    </w:p>
    <w:p w:rsidR="000C5C1F" w:rsidRDefault="000C5C1F" w:rsidP="000C5C1F">
      <w:pPr>
        <w:pStyle w:val="af8"/>
        <w:keepNext/>
        <w:rPr>
          <w:rtl/>
        </w:rPr>
      </w:pPr>
      <w:bookmarkStart w:id="5721" w:name="ET_interruption_6347_59"/>
      <w:r>
        <w:rPr>
          <w:rStyle w:val="TagStyle"/>
          <w:rFonts w:hint="cs"/>
          <w:rtl/>
        </w:rPr>
        <w:t xml:space="preserve"> &lt;&lt; קריאה &gt;&gt; </w:t>
      </w:r>
      <w:r>
        <w:rPr>
          <w:rFonts w:hint="cs"/>
          <w:rtl/>
        </w:rPr>
        <w:t>אלי דלל (הליכוד):</w:t>
      </w:r>
      <w:r>
        <w:rPr>
          <w:rStyle w:val="TagStyle"/>
          <w:rtl/>
        </w:rPr>
        <w:t xml:space="preserve"> &lt;&lt; קריאה &gt;&gt;</w:t>
      </w:r>
      <w:r>
        <w:rPr>
          <w:rFonts w:hint="cs"/>
          <w:rtl/>
        </w:rPr>
        <w:t xml:space="preserve">   </w:t>
      </w:r>
      <w:bookmarkEnd w:id="5721"/>
    </w:p>
    <w:p w:rsidR="000C5C1F" w:rsidRDefault="000C5C1F" w:rsidP="00337201">
      <w:pPr>
        <w:rPr>
          <w:rtl/>
        </w:rPr>
      </w:pPr>
    </w:p>
    <w:p w:rsidR="000C5C1F" w:rsidRDefault="000C5C1F" w:rsidP="000C5C1F">
      <w:pPr>
        <w:rPr>
          <w:rtl/>
        </w:rPr>
      </w:pPr>
      <w:bookmarkStart w:id="5722" w:name="_ETM_Q6_741000"/>
      <w:bookmarkEnd w:id="5722"/>
      <w:r>
        <w:rPr>
          <w:rFonts w:hint="cs"/>
          <w:rtl/>
        </w:rPr>
        <w:t>עובדה. האם הממשלה הצביעה בעד רינאוי זועבי?</w:t>
      </w:r>
    </w:p>
    <w:p w:rsidR="000C5C1F" w:rsidRDefault="000C5C1F" w:rsidP="000C5C1F">
      <w:pPr>
        <w:rPr>
          <w:rtl/>
        </w:rPr>
      </w:pPr>
    </w:p>
    <w:p w:rsidR="000C5C1F" w:rsidRDefault="000C5C1F" w:rsidP="000C5C1F">
      <w:pPr>
        <w:pStyle w:val="af9"/>
        <w:keepNext/>
        <w:rPr>
          <w:rtl/>
        </w:rPr>
      </w:pPr>
      <w:bookmarkStart w:id="5723" w:name="ET_yor_6423_6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723"/>
    </w:p>
    <w:p w:rsidR="000C5C1F" w:rsidRDefault="000C5C1F" w:rsidP="00337201">
      <w:pPr>
        <w:rPr>
          <w:rtl/>
        </w:rPr>
      </w:pPr>
    </w:p>
    <w:p w:rsidR="000C5C1F" w:rsidRDefault="000C5C1F" w:rsidP="000C5C1F">
      <w:pPr>
        <w:rPr>
          <w:rtl/>
        </w:rPr>
      </w:pPr>
      <w:r>
        <w:rPr>
          <w:rFonts w:hint="cs"/>
          <w:rtl/>
        </w:rPr>
        <w:t xml:space="preserve">חבר הכנסת לוי והשר כהן. </w:t>
      </w:r>
    </w:p>
    <w:p w:rsidR="000C5C1F" w:rsidRDefault="000C5C1F" w:rsidP="000C5C1F">
      <w:pPr>
        <w:rPr>
          <w:rtl/>
        </w:rPr>
      </w:pPr>
      <w:bookmarkStart w:id="5724" w:name="_ETM_Q6_746000"/>
      <w:bookmarkEnd w:id="5724"/>
    </w:p>
    <w:p w:rsidR="000C5C1F" w:rsidRDefault="000C5C1F" w:rsidP="000C5C1F">
      <w:pPr>
        <w:pStyle w:val="af8"/>
        <w:keepNext/>
        <w:rPr>
          <w:rtl/>
        </w:rPr>
      </w:pPr>
      <w:bookmarkStart w:id="5725" w:name="ET_interruption_5084_60"/>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725"/>
    </w:p>
    <w:p w:rsidR="000C5C1F" w:rsidRDefault="000C5C1F" w:rsidP="00337201">
      <w:pPr>
        <w:rPr>
          <w:rtl/>
        </w:rPr>
      </w:pPr>
    </w:p>
    <w:p w:rsidR="000C5C1F" w:rsidRDefault="000C5C1F" w:rsidP="000C5C1F">
      <w:pPr>
        <w:rPr>
          <w:rtl/>
        </w:rPr>
      </w:pPr>
      <w:r>
        <w:rPr>
          <w:rFonts w:hint="cs"/>
          <w:rtl/>
        </w:rPr>
        <w:t xml:space="preserve">אתה חוזר על דברי ההבל והבלע. </w:t>
      </w:r>
    </w:p>
    <w:p w:rsidR="000C5C1F" w:rsidRDefault="000C5C1F" w:rsidP="000C5C1F">
      <w:pPr>
        <w:rPr>
          <w:rtl/>
        </w:rPr>
      </w:pPr>
    </w:p>
    <w:p w:rsidR="000C5C1F" w:rsidRDefault="000C5C1F" w:rsidP="000C5C1F">
      <w:pPr>
        <w:pStyle w:val="af8"/>
        <w:keepNext/>
        <w:rPr>
          <w:rtl/>
        </w:rPr>
      </w:pPr>
      <w:bookmarkStart w:id="5726" w:name="ET_interruption_6440_62"/>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5726"/>
    </w:p>
    <w:p w:rsidR="000C5C1F" w:rsidRDefault="000C5C1F" w:rsidP="00337201">
      <w:pPr>
        <w:rPr>
          <w:rtl/>
        </w:rPr>
      </w:pPr>
    </w:p>
    <w:p w:rsidR="000C5C1F" w:rsidRDefault="000C5C1F" w:rsidP="000C5C1F">
      <w:pPr>
        <w:rPr>
          <w:rtl/>
        </w:rPr>
      </w:pPr>
      <w:bookmarkStart w:id="5727" w:name="_ETM_Q6_753000"/>
      <w:bookmarkEnd w:id="5727"/>
      <w:r>
        <w:rPr>
          <w:rFonts w:hint="cs"/>
          <w:rtl/>
        </w:rPr>
        <w:t xml:space="preserve">אז </w:t>
      </w:r>
      <w:bookmarkStart w:id="5728" w:name="_ETM_Q6_748000"/>
      <w:bookmarkEnd w:id="5728"/>
      <w:r>
        <w:rPr>
          <w:rFonts w:hint="cs"/>
          <w:rtl/>
        </w:rPr>
        <w:t xml:space="preserve">שים לב – אתה יודע מה, עשית לי אחלה סרטון, </w:t>
      </w:r>
      <w:bookmarkStart w:id="5729" w:name="_ETM_Q6_751000"/>
      <w:bookmarkEnd w:id="5729"/>
      <w:r>
        <w:rPr>
          <w:rFonts w:hint="cs"/>
          <w:rtl/>
        </w:rPr>
        <w:t xml:space="preserve">איך שאתה אומר "שקר" אני אביא את האישור של רינאוי זועבי. בדיוק ככה נעשה את זה. תודה רבה לך. </w:t>
      </w:r>
    </w:p>
    <w:p w:rsidR="000C5C1F" w:rsidRDefault="000C5C1F" w:rsidP="000C5C1F">
      <w:pPr>
        <w:rPr>
          <w:rtl/>
        </w:rPr>
      </w:pPr>
    </w:p>
    <w:p w:rsidR="000C5C1F" w:rsidRDefault="000C5C1F" w:rsidP="000C5C1F">
      <w:pPr>
        <w:pStyle w:val="af8"/>
        <w:keepNext/>
        <w:rPr>
          <w:rtl/>
        </w:rPr>
      </w:pPr>
      <w:bookmarkStart w:id="5730" w:name="ET_interruption_5084_63"/>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730"/>
    </w:p>
    <w:p w:rsidR="000C5C1F" w:rsidRDefault="000C5C1F" w:rsidP="00337201">
      <w:pPr>
        <w:rPr>
          <w:rtl/>
        </w:rPr>
      </w:pPr>
    </w:p>
    <w:p w:rsidR="000C5C1F" w:rsidRDefault="000C5C1F" w:rsidP="000C5C1F">
      <w:pPr>
        <w:rPr>
          <w:rtl/>
        </w:rPr>
      </w:pPr>
      <w:r>
        <w:rPr>
          <w:rFonts w:hint="cs"/>
          <w:rtl/>
        </w:rPr>
        <w:t xml:space="preserve">שקר ודברי בלע. </w:t>
      </w:r>
      <w:bookmarkStart w:id="5731" w:name="_ETM_Q6_759000"/>
      <w:bookmarkStart w:id="5732" w:name="_ETM_Q6_752000"/>
      <w:bookmarkStart w:id="5733" w:name="_ETM_Q6_755000"/>
      <w:bookmarkEnd w:id="5731"/>
      <w:bookmarkEnd w:id="5732"/>
      <w:bookmarkEnd w:id="5733"/>
      <w:r>
        <w:rPr>
          <w:rFonts w:hint="cs"/>
          <w:rtl/>
        </w:rPr>
        <w:t>אתה מאשים שר חוץ וראש ממשלה שתמכו ב-</w:t>
      </w:r>
      <w:r>
        <w:t>BDS</w:t>
      </w:r>
      <w:r>
        <w:rPr>
          <w:rFonts w:hint="cs"/>
          <w:rtl/>
        </w:rPr>
        <w:t xml:space="preserve"> - - - </w:t>
      </w:r>
      <w:bookmarkStart w:id="5734" w:name="_ETM_Q6_761000"/>
      <w:bookmarkStart w:id="5735" w:name="TOR_Q7"/>
      <w:bookmarkStart w:id="5736" w:name="_ETM_Q7_163632"/>
      <w:bookmarkStart w:id="5737" w:name="_ETM_Q7_163697"/>
      <w:bookmarkStart w:id="5738" w:name="_ETM_Q7_163839"/>
      <w:bookmarkEnd w:id="5734"/>
      <w:bookmarkEnd w:id="5735"/>
      <w:bookmarkEnd w:id="5736"/>
      <w:bookmarkEnd w:id="5737"/>
      <w:bookmarkEnd w:id="5738"/>
      <w:r>
        <w:rPr>
          <w:rFonts w:hint="cs"/>
          <w:rtl/>
        </w:rPr>
        <w:t>אש ממשלה, שתמכו ב-</w:t>
      </w:r>
      <w:r>
        <w:t>BDS</w:t>
      </w:r>
      <w:r>
        <w:rPr>
          <w:rFonts w:hint="cs"/>
          <w:rtl/>
        </w:rPr>
        <w:t>.</w:t>
      </w:r>
      <w:r>
        <w:rPr>
          <w:rFonts w:hint="cs"/>
        </w:rPr>
        <w:t xml:space="preserve"> </w:t>
      </w:r>
      <w:r>
        <w:rPr>
          <w:rFonts w:hint="cs"/>
          <w:rtl/>
        </w:rPr>
        <w:t>זה פשוט שקר.</w:t>
      </w:r>
    </w:p>
    <w:p w:rsidR="000C5C1F" w:rsidRDefault="000C5C1F" w:rsidP="000C5C1F">
      <w:pPr>
        <w:ind w:firstLine="0"/>
        <w:rPr>
          <w:rtl/>
        </w:rPr>
      </w:pPr>
    </w:p>
    <w:p w:rsidR="000C5C1F" w:rsidRDefault="000C5C1F" w:rsidP="000C5C1F">
      <w:pPr>
        <w:pStyle w:val="af8"/>
        <w:keepNext/>
        <w:rPr>
          <w:rtl/>
        </w:rPr>
      </w:pPr>
      <w:r>
        <w:rPr>
          <w:rStyle w:val="TagStyle"/>
          <w:rFonts w:hint="cs"/>
          <w:rtl/>
        </w:rPr>
        <w:t xml:space="preserve">&lt;&lt; קריאה &gt;&gt; </w:t>
      </w:r>
      <w:r>
        <w:rPr>
          <w:rFonts w:hint="cs"/>
          <w:rtl/>
        </w:rPr>
        <w:t>שר החוץ אלי כהן:</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 xml:space="preserve">יו"ר המפלגה שלך הביא תומכת </w:t>
      </w:r>
      <w:r>
        <w:t>BDS</w:t>
      </w:r>
      <w:r>
        <w:rPr>
          <w:rFonts w:hint="cs"/>
          <w:rtl/>
        </w:rPr>
        <w:t xml:space="preserve"> </w:t>
      </w:r>
      <w:bookmarkStart w:id="5739" w:name="_ETM_Q7_166960"/>
      <w:bookmarkEnd w:id="5739"/>
      <w:r>
        <w:rPr>
          <w:rFonts w:hint="cs"/>
          <w:rtl/>
        </w:rPr>
        <w:t>לאישור הממשלה כקונסולית בשנגחאי. תודה.</w:t>
      </w:r>
    </w:p>
    <w:p w:rsidR="000C5C1F" w:rsidRDefault="000C5C1F" w:rsidP="000C5C1F">
      <w:pPr>
        <w:rPr>
          <w:rtl/>
        </w:rPr>
      </w:pPr>
      <w:bookmarkStart w:id="5740" w:name="_ETM_Q7_167471"/>
      <w:bookmarkStart w:id="5741" w:name="_ETM_Q7_167549"/>
      <w:bookmarkStart w:id="5742" w:name="_ETM_Q7_167687"/>
      <w:bookmarkEnd w:id="5740"/>
      <w:bookmarkEnd w:id="5741"/>
      <w:bookmarkEnd w:id="5742"/>
    </w:p>
    <w:p w:rsidR="000C5C1F" w:rsidRDefault="000C5C1F" w:rsidP="000C5C1F">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0C5C1F" w:rsidRDefault="000C5C1F" w:rsidP="000C5C1F">
      <w:pPr>
        <w:rPr>
          <w:rtl/>
        </w:rPr>
      </w:pPr>
    </w:p>
    <w:p w:rsidR="000C5C1F" w:rsidRDefault="000C5C1F" w:rsidP="000C5C1F">
      <w:pPr>
        <w:rPr>
          <w:rtl/>
        </w:rPr>
      </w:pPr>
      <w:r>
        <w:rPr>
          <w:rFonts w:hint="cs"/>
          <w:rtl/>
        </w:rPr>
        <w:t>השר כהן. תודה. בבקשה, אדוני.</w:t>
      </w:r>
    </w:p>
    <w:p w:rsidR="000C5C1F" w:rsidRDefault="000C5C1F" w:rsidP="000C5C1F">
      <w:pPr>
        <w:rPr>
          <w:rtl/>
        </w:rPr>
      </w:pPr>
    </w:p>
    <w:p w:rsidR="000C5C1F" w:rsidRDefault="000C5C1F" w:rsidP="000C5C1F">
      <w:pPr>
        <w:pStyle w:val="-"/>
        <w:keepNext/>
        <w:rPr>
          <w:rtl/>
        </w:rPr>
      </w:pPr>
      <w:bookmarkStart w:id="5743" w:name="ET_speakercontinue_5791_3"/>
      <w:r>
        <w:rPr>
          <w:rStyle w:val="TagStyle"/>
          <w:rFonts w:hint="cs"/>
          <w:rtl/>
        </w:rPr>
        <w:t xml:space="preserve">&lt;&lt;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5743"/>
    </w:p>
    <w:p w:rsidR="000C5C1F" w:rsidRDefault="000C5C1F" w:rsidP="000C5C1F">
      <w:pPr>
        <w:rPr>
          <w:rtl/>
        </w:rPr>
      </w:pPr>
    </w:p>
    <w:p w:rsidR="000C5C1F" w:rsidRDefault="000C5C1F" w:rsidP="000C5C1F">
      <w:pPr>
        <w:rPr>
          <w:rtl/>
        </w:rPr>
      </w:pPr>
      <w:r>
        <w:rPr>
          <w:rFonts w:hint="cs"/>
          <w:rtl/>
        </w:rPr>
        <w:t>הממשלה לא עשתה דיון על מה שאני אומר עכשיו</w:t>
      </w:r>
      <w:bookmarkStart w:id="5744" w:name="_ETM_Q7_176284"/>
      <w:bookmarkStart w:id="5745" w:name="_ETM_Q7_176349"/>
      <w:bookmarkStart w:id="5746" w:name="_ETM_Q7_173789"/>
      <w:bookmarkStart w:id="5747" w:name="_ETM_Q7_167758"/>
      <w:bookmarkStart w:id="5748" w:name="_ETM_Q7_180750"/>
      <w:bookmarkEnd w:id="5744"/>
      <w:bookmarkEnd w:id="5745"/>
      <w:bookmarkEnd w:id="5746"/>
      <w:bookmarkEnd w:id="5747"/>
      <w:bookmarkEnd w:id="5748"/>
      <w:r>
        <w:rPr>
          <w:rFonts w:hint="cs"/>
          <w:rtl/>
        </w:rPr>
        <w:t xml:space="preserve">. ועדת </w:t>
      </w:r>
      <w:bookmarkStart w:id="5749" w:name="_ETM_Q7_181110"/>
      <w:bookmarkEnd w:id="5749"/>
      <w:r>
        <w:rPr>
          <w:rFonts w:hint="cs"/>
          <w:rtl/>
        </w:rPr>
        <w:t xml:space="preserve">החוקה, </w:t>
      </w:r>
      <w:bookmarkStart w:id="5750" w:name="_ETM_Q7_181379"/>
      <w:bookmarkEnd w:id="5750"/>
      <w:r>
        <w:rPr>
          <w:rFonts w:hint="cs"/>
          <w:rtl/>
        </w:rPr>
        <w:t xml:space="preserve">חוק </w:t>
      </w:r>
      <w:bookmarkStart w:id="5751" w:name="_ETM_Q7_181620"/>
      <w:bookmarkEnd w:id="5751"/>
      <w:r>
        <w:rPr>
          <w:rFonts w:hint="cs"/>
          <w:rtl/>
        </w:rPr>
        <w:t xml:space="preserve">ומשפט </w:t>
      </w:r>
      <w:bookmarkStart w:id="5752" w:name="_ETM_Q7_182100"/>
      <w:bookmarkEnd w:id="5752"/>
      <w:r>
        <w:rPr>
          <w:rFonts w:hint="cs"/>
          <w:rtl/>
        </w:rPr>
        <w:t xml:space="preserve">לא </w:t>
      </w:r>
      <w:bookmarkStart w:id="5753" w:name="_ETM_Q7_182250"/>
      <w:bookmarkEnd w:id="5753"/>
      <w:r>
        <w:rPr>
          <w:rFonts w:hint="cs"/>
          <w:rtl/>
        </w:rPr>
        <w:t xml:space="preserve">עשתה </w:t>
      </w:r>
      <w:bookmarkStart w:id="5754" w:name="_ETM_Q7_182490"/>
      <w:bookmarkEnd w:id="5754"/>
      <w:r>
        <w:rPr>
          <w:rFonts w:hint="cs"/>
          <w:rtl/>
        </w:rPr>
        <w:t xml:space="preserve">דיון </w:t>
      </w:r>
      <w:bookmarkStart w:id="5755" w:name="_ETM_Q7_182790"/>
      <w:bookmarkEnd w:id="5755"/>
      <w:r>
        <w:rPr>
          <w:rFonts w:hint="cs"/>
          <w:rtl/>
        </w:rPr>
        <w:t xml:space="preserve">על </w:t>
      </w:r>
      <w:bookmarkStart w:id="5756" w:name="_ETM_Q7_182879"/>
      <w:bookmarkEnd w:id="5756"/>
      <w:r>
        <w:rPr>
          <w:rFonts w:hint="cs"/>
          <w:rtl/>
        </w:rPr>
        <w:t xml:space="preserve">מה </w:t>
      </w:r>
      <w:bookmarkStart w:id="5757" w:name="_ETM_Q7_183000"/>
      <w:bookmarkEnd w:id="5757"/>
      <w:r>
        <w:rPr>
          <w:rFonts w:hint="cs"/>
          <w:rtl/>
        </w:rPr>
        <w:t xml:space="preserve">שאני </w:t>
      </w:r>
      <w:bookmarkStart w:id="5758" w:name="_ETM_Q7_183210"/>
      <w:bookmarkEnd w:id="5758"/>
      <w:r>
        <w:rPr>
          <w:rFonts w:hint="cs"/>
          <w:rtl/>
        </w:rPr>
        <w:t xml:space="preserve">אומר </w:t>
      </w:r>
      <w:bookmarkStart w:id="5759" w:name="_ETM_Q7_183360"/>
      <w:bookmarkEnd w:id="5759"/>
      <w:r>
        <w:rPr>
          <w:rFonts w:hint="cs"/>
          <w:rtl/>
        </w:rPr>
        <w:t xml:space="preserve">עכשיו. </w:t>
      </w:r>
      <w:bookmarkStart w:id="5760" w:name="_ETM_Q7_184110"/>
      <w:bookmarkEnd w:id="5760"/>
      <w:r>
        <w:rPr>
          <w:rFonts w:hint="cs"/>
          <w:rtl/>
        </w:rPr>
        <w:t xml:space="preserve">אתם </w:t>
      </w:r>
      <w:bookmarkStart w:id="5761" w:name="_ETM_Q7_184410"/>
      <w:bookmarkEnd w:id="5761"/>
      <w:r>
        <w:rPr>
          <w:rFonts w:hint="cs"/>
          <w:rtl/>
        </w:rPr>
        <w:t xml:space="preserve">מפקירים </w:t>
      </w:r>
      <w:bookmarkStart w:id="5762" w:name="_ETM_Q7_184980"/>
      <w:bookmarkEnd w:id="5762"/>
      <w:r>
        <w:rPr>
          <w:rFonts w:hint="cs"/>
          <w:rtl/>
        </w:rPr>
        <w:t xml:space="preserve">את </w:t>
      </w:r>
      <w:bookmarkStart w:id="5763" w:name="_ETM_Q7_185069"/>
      <w:bookmarkEnd w:id="5763"/>
      <w:r>
        <w:rPr>
          <w:rFonts w:hint="cs"/>
          <w:rtl/>
        </w:rPr>
        <w:t xml:space="preserve">לוחמי </w:t>
      </w:r>
      <w:bookmarkStart w:id="5764" w:name="_ETM_Q7_185460"/>
      <w:bookmarkEnd w:id="5764"/>
      <w:r>
        <w:rPr>
          <w:rFonts w:hint="cs"/>
          <w:rtl/>
        </w:rPr>
        <w:t xml:space="preserve">צה"ל. </w:t>
      </w:r>
      <w:bookmarkStart w:id="5765" w:name="_ETM_Q7_186240"/>
      <w:bookmarkEnd w:id="5765"/>
      <w:r>
        <w:rPr>
          <w:rFonts w:hint="cs"/>
          <w:rtl/>
        </w:rPr>
        <w:t xml:space="preserve">לא </w:t>
      </w:r>
      <w:bookmarkStart w:id="5766" w:name="_ETM_Q7_186479"/>
      <w:bookmarkEnd w:id="5766"/>
      <w:r>
        <w:rPr>
          <w:rFonts w:hint="cs"/>
          <w:rtl/>
        </w:rPr>
        <w:t xml:space="preserve">סתם </w:t>
      </w:r>
      <w:bookmarkStart w:id="5767" w:name="_ETM_Q7_186810"/>
      <w:bookmarkEnd w:id="5767"/>
      <w:r>
        <w:rPr>
          <w:rFonts w:hint="cs"/>
          <w:rtl/>
        </w:rPr>
        <w:t xml:space="preserve">הטייסים </w:t>
      </w:r>
      <w:bookmarkStart w:id="5768" w:name="_ETM_Q7_187410"/>
      <w:bookmarkEnd w:id="5768"/>
      <w:r>
        <w:rPr>
          <w:rFonts w:hint="cs"/>
          <w:rtl/>
        </w:rPr>
        <w:t xml:space="preserve">נמצאים, </w:t>
      </w:r>
      <w:bookmarkStart w:id="5769" w:name="_ETM_Q7_187950"/>
      <w:bookmarkEnd w:id="5769"/>
      <w:r>
        <w:rPr>
          <w:rFonts w:hint="cs"/>
          <w:rtl/>
        </w:rPr>
        <w:t xml:space="preserve">לא </w:t>
      </w:r>
      <w:bookmarkStart w:id="5770" w:name="_ETM_Q7_188039"/>
      <w:bookmarkEnd w:id="5770"/>
      <w:r>
        <w:rPr>
          <w:rFonts w:hint="cs"/>
          <w:rtl/>
        </w:rPr>
        <w:t xml:space="preserve">סתם </w:t>
      </w:r>
      <w:bookmarkStart w:id="5771" w:name="_ETM_Q7_188280"/>
      <w:bookmarkStart w:id="5772" w:name="_ETM_Q7_188340"/>
      <w:bookmarkEnd w:id="5771"/>
      <w:bookmarkEnd w:id="5772"/>
      <w:r>
        <w:rPr>
          <w:rFonts w:hint="cs"/>
          <w:rtl/>
        </w:rPr>
        <w:t xml:space="preserve">הלוחמים </w:t>
      </w:r>
      <w:bookmarkStart w:id="5773" w:name="_ETM_Q7_188430"/>
      <w:bookmarkStart w:id="5774" w:name="_ETM_Q7_188670"/>
      <w:bookmarkEnd w:id="5773"/>
      <w:bookmarkEnd w:id="5774"/>
      <w:r>
        <w:rPr>
          <w:rFonts w:hint="cs"/>
          <w:rtl/>
        </w:rPr>
        <w:t>נמצאים</w:t>
      </w:r>
      <w:bookmarkStart w:id="5775" w:name="_ETM_Q7_189059"/>
      <w:bookmarkStart w:id="5776" w:name="_ETM_Q7_189150"/>
      <w:bookmarkEnd w:id="5775"/>
      <w:bookmarkEnd w:id="5776"/>
      <w:r>
        <w:rPr>
          <w:rFonts w:hint="cs"/>
          <w:rtl/>
        </w:rPr>
        <w:t xml:space="preserve">. הם יוצאים </w:t>
      </w:r>
      <w:bookmarkStart w:id="5777" w:name="_ETM_Q7_189360"/>
      <w:bookmarkEnd w:id="5777"/>
      <w:r>
        <w:rPr>
          <w:rFonts w:hint="cs"/>
          <w:rtl/>
        </w:rPr>
        <w:t xml:space="preserve">מנקודת </w:t>
      </w:r>
      <w:bookmarkStart w:id="5778" w:name="_ETM_Q7_189539"/>
      <w:bookmarkEnd w:id="5778"/>
      <w:r>
        <w:rPr>
          <w:rFonts w:hint="cs"/>
          <w:rtl/>
        </w:rPr>
        <w:t xml:space="preserve">הנחה </w:t>
      </w:r>
      <w:bookmarkStart w:id="5779" w:name="_ETM_Q7_190410"/>
      <w:bookmarkEnd w:id="5779"/>
      <w:r>
        <w:rPr>
          <w:rFonts w:hint="cs"/>
          <w:rtl/>
        </w:rPr>
        <w:t xml:space="preserve">שאתם </w:t>
      </w:r>
      <w:bookmarkStart w:id="5780" w:name="_ETM_Q7_190860"/>
      <w:bookmarkEnd w:id="5780"/>
      <w:r>
        <w:rPr>
          <w:rFonts w:hint="cs"/>
          <w:rtl/>
        </w:rPr>
        <w:t xml:space="preserve">יודעים </w:t>
      </w:r>
      <w:bookmarkStart w:id="5781" w:name="_ETM_Q7_191250"/>
      <w:bookmarkEnd w:id="5781"/>
      <w:r>
        <w:rPr>
          <w:rFonts w:hint="cs"/>
          <w:rtl/>
        </w:rPr>
        <w:t xml:space="preserve">מה </w:t>
      </w:r>
      <w:bookmarkStart w:id="5782" w:name="_ETM_Q7_191369"/>
      <w:bookmarkEnd w:id="5782"/>
      <w:r>
        <w:rPr>
          <w:rFonts w:hint="cs"/>
          <w:rtl/>
        </w:rPr>
        <w:t xml:space="preserve">שאתם </w:t>
      </w:r>
      <w:bookmarkStart w:id="5783" w:name="_ETM_Q7_191670"/>
      <w:bookmarkEnd w:id="5783"/>
      <w:r>
        <w:rPr>
          <w:rFonts w:hint="cs"/>
          <w:rtl/>
        </w:rPr>
        <w:t xml:space="preserve">עושים, </w:t>
      </w:r>
      <w:bookmarkStart w:id="5784" w:name="_ETM_Q7_192270"/>
      <w:bookmarkEnd w:id="5784"/>
      <w:r>
        <w:rPr>
          <w:rFonts w:hint="cs"/>
          <w:rtl/>
        </w:rPr>
        <w:t xml:space="preserve">והם </w:t>
      </w:r>
      <w:bookmarkStart w:id="5785" w:name="_ETM_Q7_192510"/>
      <w:bookmarkEnd w:id="5785"/>
      <w:r>
        <w:rPr>
          <w:rFonts w:hint="cs"/>
          <w:rtl/>
        </w:rPr>
        <w:t xml:space="preserve">רואים </w:t>
      </w:r>
      <w:bookmarkStart w:id="5786" w:name="_ETM_Q7_192690"/>
      <w:bookmarkEnd w:id="5786"/>
      <w:r>
        <w:rPr>
          <w:rFonts w:hint="cs"/>
          <w:rtl/>
        </w:rPr>
        <w:t xml:space="preserve">שאין </w:t>
      </w:r>
      <w:bookmarkStart w:id="5787" w:name="_ETM_Q7_192900"/>
      <w:bookmarkEnd w:id="5787"/>
      <w:r>
        <w:rPr>
          <w:rFonts w:hint="cs"/>
          <w:rtl/>
        </w:rPr>
        <w:t xml:space="preserve">לכם </w:t>
      </w:r>
      <w:bookmarkStart w:id="5788" w:name="_ETM_Q7_193080"/>
      <w:bookmarkEnd w:id="5788"/>
      <w:r>
        <w:rPr>
          <w:rFonts w:hint="cs"/>
          <w:rtl/>
        </w:rPr>
        <w:t xml:space="preserve">מושג </w:t>
      </w:r>
      <w:bookmarkStart w:id="5789" w:name="_ETM_Q7_193440"/>
      <w:bookmarkEnd w:id="5789"/>
      <w:r>
        <w:rPr>
          <w:rFonts w:hint="cs"/>
          <w:rtl/>
        </w:rPr>
        <w:t xml:space="preserve">ירוק. </w:t>
      </w:r>
      <w:bookmarkStart w:id="5790" w:name="_ETM_Q7_193980"/>
      <w:bookmarkEnd w:id="5790"/>
      <w:r>
        <w:rPr>
          <w:rFonts w:hint="cs"/>
          <w:rtl/>
        </w:rPr>
        <w:t xml:space="preserve">והתגובה </w:t>
      </w:r>
      <w:bookmarkStart w:id="5791" w:name="_ETM_Q7_194459"/>
      <w:bookmarkEnd w:id="5791"/>
      <w:r>
        <w:rPr>
          <w:rFonts w:hint="cs"/>
          <w:rtl/>
        </w:rPr>
        <w:t xml:space="preserve">שלך </w:t>
      </w:r>
      <w:bookmarkStart w:id="5792" w:name="_ETM_Q7_194850"/>
      <w:bookmarkEnd w:id="5792"/>
      <w:r>
        <w:rPr>
          <w:rFonts w:hint="cs"/>
          <w:rtl/>
        </w:rPr>
        <w:t xml:space="preserve">עכשיו </w:t>
      </w:r>
      <w:bookmarkStart w:id="5793" w:name="_ETM_Q7_195150"/>
      <w:bookmarkEnd w:id="5793"/>
      <w:r>
        <w:rPr>
          <w:rFonts w:hint="cs"/>
          <w:rtl/>
        </w:rPr>
        <w:t xml:space="preserve">רק </w:t>
      </w:r>
      <w:bookmarkStart w:id="5794" w:name="_ETM_Q7_195330"/>
      <w:bookmarkEnd w:id="5794"/>
      <w:r>
        <w:rPr>
          <w:rFonts w:hint="cs"/>
          <w:rtl/>
        </w:rPr>
        <w:t xml:space="preserve">מעידה </w:t>
      </w:r>
      <w:bookmarkStart w:id="5795" w:name="_ETM_Q7_195719"/>
      <w:bookmarkEnd w:id="5795"/>
      <w:r>
        <w:rPr>
          <w:rFonts w:hint="cs"/>
          <w:rtl/>
        </w:rPr>
        <w:t xml:space="preserve">שאין </w:t>
      </w:r>
      <w:bookmarkStart w:id="5796" w:name="_ETM_Q7_195930"/>
      <w:bookmarkEnd w:id="5796"/>
      <w:r>
        <w:rPr>
          <w:rFonts w:hint="cs"/>
          <w:rtl/>
        </w:rPr>
        <w:t xml:space="preserve">לך </w:t>
      </w:r>
      <w:bookmarkStart w:id="5797" w:name="_ETM_Q7_196110"/>
      <w:bookmarkEnd w:id="5797"/>
      <w:r>
        <w:rPr>
          <w:rFonts w:hint="cs"/>
          <w:rtl/>
        </w:rPr>
        <w:t xml:space="preserve">מושג, כי </w:t>
      </w:r>
      <w:bookmarkStart w:id="5798" w:name="_ETM_Q7_196500"/>
      <w:bookmarkEnd w:id="5798"/>
      <w:r>
        <w:rPr>
          <w:rFonts w:hint="cs"/>
          <w:rtl/>
        </w:rPr>
        <w:t xml:space="preserve">אם </w:t>
      </w:r>
      <w:bookmarkStart w:id="5799" w:name="_ETM_Q7_196650"/>
      <w:bookmarkEnd w:id="5799"/>
      <w:r>
        <w:rPr>
          <w:rFonts w:hint="cs"/>
          <w:rtl/>
        </w:rPr>
        <w:t xml:space="preserve">הייתה </w:t>
      </w:r>
      <w:bookmarkStart w:id="5800" w:name="_ETM_Q7_196800"/>
      <w:bookmarkEnd w:id="5800"/>
      <w:r>
        <w:rPr>
          <w:rFonts w:hint="cs"/>
          <w:rtl/>
        </w:rPr>
        <w:t xml:space="preserve">לך </w:t>
      </w:r>
      <w:bookmarkStart w:id="5801" w:name="_ETM_Q7_196949"/>
      <w:bookmarkEnd w:id="5801"/>
      <w:r>
        <w:rPr>
          <w:rFonts w:hint="cs"/>
          <w:rtl/>
        </w:rPr>
        <w:t xml:space="preserve">אחריות </w:t>
      </w:r>
      <w:bookmarkStart w:id="5802" w:name="_ETM_Q7_197279"/>
      <w:bookmarkEnd w:id="5802"/>
      <w:r>
        <w:rPr>
          <w:rFonts w:hint="cs"/>
          <w:rtl/>
        </w:rPr>
        <w:t xml:space="preserve">מינימלית, </w:t>
      </w:r>
      <w:bookmarkStart w:id="5803" w:name="_ETM_Q7_198090"/>
      <w:bookmarkEnd w:id="5803"/>
      <w:r>
        <w:rPr>
          <w:rFonts w:hint="cs"/>
          <w:rtl/>
        </w:rPr>
        <w:t xml:space="preserve">היית </w:t>
      </w:r>
      <w:bookmarkStart w:id="5804" w:name="_ETM_Q7_198359"/>
      <w:bookmarkStart w:id="5805" w:name="_ETM_Q7_198779"/>
      <w:bookmarkEnd w:id="5804"/>
      <w:bookmarkEnd w:id="5805"/>
      <w:r>
        <w:rPr>
          <w:rFonts w:hint="cs"/>
          <w:rtl/>
        </w:rPr>
        <w:t xml:space="preserve">דורש </w:t>
      </w:r>
      <w:bookmarkStart w:id="5806" w:name="_ETM_Q7_199109"/>
      <w:bookmarkEnd w:id="5806"/>
      <w:r>
        <w:rPr>
          <w:rFonts w:hint="cs"/>
          <w:rtl/>
        </w:rPr>
        <w:t xml:space="preserve">לכנס </w:t>
      </w:r>
      <w:bookmarkStart w:id="5807" w:name="_ETM_Q7_199440"/>
      <w:bookmarkEnd w:id="5807"/>
      <w:r>
        <w:rPr>
          <w:rFonts w:hint="cs"/>
          <w:rtl/>
        </w:rPr>
        <w:t xml:space="preserve">קבינט </w:t>
      </w:r>
      <w:bookmarkStart w:id="5808" w:name="_ETM_Q7_199890"/>
      <w:bookmarkEnd w:id="5808"/>
      <w:r>
        <w:rPr>
          <w:rFonts w:hint="cs"/>
          <w:rtl/>
        </w:rPr>
        <w:t xml:space="preserve">ביטחוני </w:t>
      </w:r>
      <w:bookmarkStart w:id="5809" w:name="_ETM_Q7_200310"/>
      <w:bookmarkEnd w:id="5809"/>
      <w:r>
        <w:rPr>
          <w:rFonts w:hint="cs"/>
          <w:rtl/>
        </w:rPr>
        <w:t xml:space="preserve">מיוחד כדי </w:t>
      </w:r>
      <w:bookmarkStart w:id="5810" w:name="_ETM_Q7_201060"/>
      <w:bookmarkEnd w:id="5810"/>
      <w:r>
        <w:rPr>
          <w:rFonts w:hint="cs"/>
          <w:rtl/>
        </w:rPr>
        <w:t xml:space="preserve">לשמוע </w:t>
      </w:r>
      <w:bookmarkStart w:id="5811" w:name="_ETM_Q7_201509"/>
      <w:bookmarkEnd w:id="5811"/>
      <w:r>
        <w:rPr>
          <w:rFonts w:hint="cs"/>
          <w:rtl/>
        </w:rPr>
        <w:t>על ההשלכות</w:t>
      </w:r>
      <w:bookmarkStart w:id="5812" w:name="_ETM_Q7_201929"/>
      <w:bookmarkStart w:id="5813" w:name="_ETM_Q7_202079"/>
      <w:bookmarkEnd w:id="5812"/>
      <w:bookmarkEnd w:id="5813"/>
      <w:r>
        <w:rPr>
          <w:rFonts w:hint="cs"/>
          <w:rtl/>
        </w:rPr>
        <w:t xml:space="preserve">. זה </w:t>
      </w:r>
      <w:bookmarkStart w:id="5814" w:name="_ETM_Q7_202199"/>
      <w:bookmarkEnd w:id="5814"/>
      <w:r>
        <w:rPr>
          <w:rFonts w:hint="cs"/>
          <w:rtl/>
        </w:rPr>
        <w:t xml:space="preserve">לא </w:t>
      </w:r>
      <w:bookmarkStart w:id="5815" w:name="_ETM_Q7_202320"/>
      <w:bookmarkEnd w:id="5815"/>
      <w:r>
        <w:rPr>
          <w:rFonts w:hint="cs"/>
          <w:rtl/>
        </w:rPr>
        <w:t xml:space="preserve">קרה. </w:t>
      </w:r>
      <w:bookmarkStart w:id="5816" w:name="_ETM_Q7_202890"/>
      <w:bookmarkEnd w:id="5816"/>
      <w:r>
        <w:rPr>
          <w:rFonts w:hint="cs"/>
          <w:rtl/>
        </w:rPr>
        <w:t xml:space="preserve">אני </w:t>
      </w:r>
      <w:bookmarkStart w:id="5817" w:name="_ETM_Q7_203130"/>
      <w:bookmarkEnd w:id="5817"/>
      <w:r>
        <w:rPr>
          <w:rFonts w:hint="cs"/>
          <w:rtl/>
        </w:rPr>
        <w:t xml:space="preserve">ניסיתי </w:t>
      </w:r>
      <w:bookmarkStart w:id="5818" w:name="_ETM_Q7_203519"/>
      <w:bookmarkEnd w:id="5818"/>
      <w:r>
        <w:rPr>
          <w:rFonts w:hint="cs"/>
          <w:rtl/>
        </w:rPr>
        <w:t xml:space="preserve">לעשות </w:t>
      </w:r>
      <w:bookmarkStart w:id="5819" w:name="_ETM_Q7_203759"/>
      <w:bookmarkStart w:id="5820" w:name="_ETM_Q7_203849"/>
      <w:bookmarkEnd w:id="5819"/>
      <w:bookmarkEnd w:id="5820"/>
      <w:r>
        <w:rPr>
          <w:rFonts w:hint="cs"/>
          <w:rtl/>
        </w:rPr>
        <w:t xml:space="preserve">בוועדת </w:t>
      </w:r>
      <w:bookmarkStart w:id="5821" w:name="_ETM_Q7_204179"/>
      <w:bookmarkEnd w:id="5821"/>
      <w:r>
        <w:rPr>
          <w:rFonts w:hint="cs"/>
          <w:rtl/>
        </w:rPr>
        <w:t>החוקה</w:t>
      </w:r>
      <w:bookmarkStart w:id="5822" w:name="_ETM_Q7_204480"/>
      <w:bookmarkEnd w:id="5822"/>
      <w:r>
        <w:rPr>
          <w:rFonts w:hint="cs"/>
          <w:rtl/>
        </w:rPr>
        <w:t xml:space="preserve"> </w:t>
      </w:r>
      <w:bookmarkStart w:id="5823" w:name="_ETM_Q7_204749"/>
      <w:bookmarkEnd w:id="5823"/>
      <w:r>
        <w:rPr>
          <w:rFonts w:hint="cs"/>
          <w:rtl/>
        </w:rPr>
        <w:t xml:space="preserve">כינוס </w:t>
      </w:r>
      <w:r>
        <w:t>–</w:t>
      </w:r>
      <w:r>
        <w:rPr>
          <w:rFonts w:hint="cs"/>
          <w:rtl/>
        </w:rPr>
        <w:t xml:space="preserve"> </w:t>
      </w:r>
      <w:bookmarkStart w:id="5824" w:name="_ETM_Q7_205109"/>
      <w:bookmarkEnd w:id="5824"/>
      <w:r>
        <w:rPr>
          <w:rFonts w:hint="cs"/>
          <w:rtl/>
        </w:rPr>
        <w:t xml:space="preserve">גם </w:t>
      </w:r>
      <w:bookmarkStart w:id="5825" w:name="_ETM_Q7_205289"/>
      <w:bookmarkEnd w:id="5825"/>
      <w:r>
        <w:rPr>
          <w:rFonts w:hint="cs"/>
          <w:rtl/>
        </w:rPr>
        <w:t xml:space="preserve">זה </w:t>
      </w:r>
      <w:bookmarkStart w:id="5826" w:name="_ETM_Q7_205470"/>
      <w:bookmarkEnd w:id="5826"/>
      <w:r>
        <w:rPr>
          <w:rFonts w:hint="cs"/>
          <w:rtl/>
        </w:rPr>
        <w:t xml:space="preserve">לא </w:t>
      </w:r>
      <w:bookmarkStart w:id="5827" w:name="_ETM_Q7_205589"/>
      <w:bookmarkEnd w:id="5827"/>
      <w:r>
        <w:rPr>
          <w:rFonts w:hint="cs"/>
          <w:rtl/>
        </w:rPr>
        <w:t xml:space="preserve">נעשה. </w:t>
      </w:r>
      <w:bookmarkStart w:id="5828" w:name="_ETM_Q7_206249"/>
      <w:bookmarkEnd w:id="5828"/>
      <w:r>
        <w:rPr>
          <w:rFonts w:hint="cs"/>
          <w:rtl/>
        </w:rPr>
        <w:t xml:space="preserve">אתם </w:t>
      </w:r>
      <w:bookmarkStart w:id="5829" w:name="_ETM_Q7_206579"/>
      <w:bookmarkEnd w:id="5829"/>
      <w:r>
        <w:rPr>
          <w:rFonts w:hint="cs"/>
          <w:rtl/>
        </w:rPr>
        <w:t xml:space="preserve">מופקרים </w:t>
      </w:r>
      <w:bookmarkStart w:id="5830" w:name="_ETM_Q7_207089"/>
      <w:bookmarkEnd w:id="5830"/>
      <w:r>
        <w:rPr>
          <w:rFonts w:hint="cs"/>
          <w:rtl/>
        </w:rPr>
        <w:t>ומפקירים</w:t>
      </w:r>
      <w:bookmarkStart w:id="5831" w:name="_ETM_Q7_208199"/>
      <w:bookmarkStart w:id="5832" w:name="_ETM_Q7_208560"/>
      <w:bookmarkEnd w:id="5831"/>
      <w:bookmarkEnd w:id="5832"/>
      <w:r>
        <w:rPr>
          <w:rFonts w:hint="cs"/>
          <w:rtl/>
        </w:rPr>
        <w:t xml:space="preserve">. ואם זה פרצופי </w:t>
      </w:r>
      <w:bookmarkStart w:id="5833" w:name="_ETM_Q7_209070"/>
      <w:bookmarkEnd w:id="5833"/>
      <w:r>
        <w:rPr>
          <w:rFonts w:hint="cs"/>
          <w:rtl/>
        </w:rPr>
        <w:t xml:space="preserve">השרים, לא </w:t>
      </w:r>
      <w:bookmarkStart w:id="5834" w:name="_ETM_Q7_209880"/>
      <w:bookmarkEnd w:id="5834"/>
      <w:r>
        <w:rPr>
          <w:rFonts w:hint="cs"/>
          <w:rtl/>
        </w:rPr>
        <w:t xml:space="preserve">פלא </w:t>
      </w:r>
      <w:bookmarkStart w:id="5835" w:name="_ETM_Q7_210269"/>
      <w:bookmarkEnd w:id="5835"/>
      <w:r>
        <w:rPr>
          <w:rFonts w:hint="cs"/>
          <w:rtl/>
        </w:rPr>
        <w:t xml:space="preserve">שהלוחמים </w:t>
      </w:r>
      <w:bookmarkStart w:id="5836" w:name="_ETM_Q7_210810"/>
      <w:bookmarkEnd w:id="5836"/>
      <w:r>
        <w:rPr>
          <w:rFonts w:hint="cs"/>
          <w:rtl/>
        </w:rPr>
        <w:t xml:space="preserve">דואגים, </w:t>
      </w:r>
      <w:bookmarkStart w:id="5837" w:name="_ETM_Q7_211710"/>
      <w:bookmarkEnd w:id="5837"/>
      <w:r>
        <w:rPr>
          <w:rFonts w:hint="cs"/>
          <w:rtl/>
        </w:rPr>
        <w:t xml:space="preserve">לא </w:t>
      </w:r>
      <w:bookmarkStart w:id="5838" w:name="_ETM_Q7_211919"/>
      <w:bookmarkEnd w:id="5838"/>
      <w:r>
        <w:rPr>
          <w:rFonts w:hint="cs"/>
          <w:rtl/>
        </w:rPr>
        <w:t xml:space="preserve">פלא </w:t>
      </w:r>
      <w:bookmarkStart w:id="5839" w:name="_ETM_Q7_212280"/>
      <w:bookmarkEnd w:id="5839"/>
      <w:r>
        <w:rPr>
          <w:rFonts w:hint="cs"/>
          <w:rtl/>
        </w:rPr>
        <w:t xml:space="preserve">שהטייסים </w:t>
      </w:r>
      <w:bookmarkStart w:id="5840" w:name="_ETM_Q7_212820"/>
      <w:bookmarkEnd w:id="5840"/>
      <w:r>
        <w:rPr>
          <w:rFonts w:hint="cs"/>
          <w:rtl/>
        </w:rPr>
        <w:t xml:space="preserve">אומרים </w:t>
      </w:r>
      <w:bookmarkStart w:id="5841" w:name="_ETM_Q7_213360"/>
      <w:bookmarkEnd w:id="5841"/>
      <w:r>
        <w:rPr>
          <w:rFonts w:hint="cs"/>
          <w:rtl/>
        </w:rPr>
        <w:t xml:space="preserve">שהם </w:t>
      </w:r>
      <w:bookmarkStart w:id="5842" w:name="_ETM_Q7_213570"/>
      <w:bookmarkEnd w:id="5842"/>
      <w:r>
        <w:rPr>
          <w:rFonts w:hint="cs"/>
          <w:rtl/>
        </w:rPr>
        <w:t xml:space="preserve">לא </w:t>
      </w:r>
      <w:bookmarkStart w:id="5843" w:name="_ETM_Q7_213659"/>
      <w:bookmarkEnd w:id="5843"/>
      <w:r>
        <w:rPr>
          <w:rFonts w:hint="cs"/>
          <w:rtl/>
        </w:rPr>
        <w:t xml:space="preserve">סומכים </w:t>
      </w:r>
      <w:bookmarkStart w:id="5844" w:name="_ETM_Q7_213989"/>
      <w:bookmarkEnd w:id="5844"/>
      <w:r>
        <w:rPr>
          <w:rFonts w:hint="cs"/>
          <w:rtl/>
        </w:rPr>
        <w:t xml:space="preserve">על </w:t>
      </w:r>
      <w:bookmarkStart w:id="5845" w:name="_ETM_Q7_214110"/>
      <w:bookmarkEnd w:id="5845"/>
      <w:r>
        <w:rPr>
          <w:rFonts w:hint="cs"/>
          <w:rtl/>
        </w:rPr>
        <w:t xml:space="preserve">ההחלטות </w:t>
      </w:r>
      <w:bookmarkStart w:id="5846" w:name="_ETM_Q7_214470"/>
      <w:bookmarkEnd w:id="5846"/>
      <w:r>
        <w:rPr>
          <w:rFonts w:hint="cs"/>
          <w:rtl/>
        </w:rPr>
        <w:t xml:space="preserve">שלכם, </w:t>
      </w:r>
      <w:bookmarkStart w:id="5847" w:name="_ETM_Q7_215090"/>
      <w:bookmarkEnd w:id="5847"/>
      <w:r>
        <w:rPr>
          <w:rFonts w:hint="cs"/>
          <w:rtl/>
        </w:rPr>
        <w:t xml:space="preserve">ולא </w:t>
      </w:r>
      <w:bookmarkStart w:id="5848" w:name="_ETM_Q7_215450"/>
      <w:bookmarkEnd w:id="5848"/>
      <w:r>
        <w:rPr>
          <w:rFonts w:hint="cs"/>
          <w:rtl/>
        </w:rPr>
        <w:t xml:space="preserve">פלא </w:t>
      </w:r>
      <w:bookmarkStart w:id="5849" w:name="_ETM_Q7_215750"/>
      <w:bookmarkEnd w:id="5849"/>
      <w:r>
        <w:rPr>
          <w:rFonts w:hint="cs"/>
          <w:rtl/>
        </w:rPr>
        <w:t xml:space="preserve">ריסוק </w:t>
      </w:r>
      <w:bookmarkStart w:id="5850" w:name="_ETM_Q7_216229"/>
      <w:bookmarkEnd w:id="5850"/>
      <w:r>
        <w:rPr>
          <w:rFonts w:hint="cs"/>
          <w:rtl/>
        </w:rPr>
        <w:t xml:space="preserve">שומרי </w:t>
      </w:r>
      <w:bookmarkStart w:id="5851" w:name="_ETM_Q7_216560"/>
      <w:bookmarkEnd w:id="5851"/>
      <w:r>
        <w:rPr>
          <w:rFonts w:hint="cs"/>
          <w:rtl/>
        </w:rPr>
        <w:t xml:space="preserve">הסף. </w:t>
      </w:r>
      <w:bookmarkStart w:id="5852" w:name="_ETM_Q7_217190"/>
      <w:bookmarkEnd w:id="5852"/>
      <w:r>
        <w:rPr>
          <w:rFonts w:hint="cs"/>
          <w:rtl/>
        </w:rPr>
        <w:t xml:space="preserve">כמו </w:t>
      </w:r>
      <w:bookmarkStart w:id="5853" w:name="_ETM_Q7_217430"/>
      <w:bookmarkEnd w:id="5853"/>
      <w:r>
        <w:rPr>
          <w:rFonts w:hint="cs"/>
          <w:rtl/>
        </w:rPr>
        <w:t xml:space="preserve">שאתם </w:t>
      </w:r>
      <w:bookmarkStart w:id="5854" w:name="_ETM_Q7_217729"/>
      <w:bookmarkEnd w:id="5854"/>
      <w:r>
        <w:rPr>
          <w:rFonts w:hint="cs"/>
          <w:rtl/>
        </w:rPr>
        <w:t xml:space="preserve">מתנהגים </w:t>
      </w:r>
      <w:bookmarkStart w:id="5855" w:name="_ETM_Q7_218210"/>
      <w:bookmarkEnd w:id="5855"/>
      <w:r>
        <w:rPr>
          <w:rFonts w:hint="cs"/>
          <w:rtl/>
        </w:rPr>
        <w:t xml:space="preserve">וכמו </w:t>
      </w:r>
      <w:bookmarkStart w:id="5856" w:name="_ETM_Q7_218450"/>
      <w:bookmarkEnd w:id="5856"/>
      <w:r>
        <w:rPr>
          <w:rFonts w:hint="cs"/>
          <w:rtl/>
        </w:rPr>
        <w:t xml:space="preserve">שאתם </w:t>
      </w:r>
      <w:bookmarkStart w:id="5857" w:name="_ETM_Q7_218659"/>
      <w:bookmarkEnd w:id="5857"/>
      <w:r>
        <w:rPr>
          <w:rFonts w:hint="cs"/>
          <w:rtl/>
        </w:rPr>
        <w:t xml:space="preserve">מדברים, </w:t>
      </w:r>
      <w:bookmarkStart w:id="5858" w:name="_ETM_Q7_219320"/>
      <w:bookmarkEnd w:id="5858"/>
      <w:r>
        <w:rPr>
          <w:rFonts w:hint="cs"/>
          <w:rtl/>
        </w:rPr>
        <w:t xml:space="preserve">אין </w:t>
      </w:r>
      <w:bookmarkStart w:id="5859" w:name="_ETM_Q7_219500"/>
      <w:bookmarkEnd w:id="5859"/>
      <w:r>
        <w:rPr>
          <w:rFonts w:hint="cs"/>
          <w:rtl/>
        </w:rPr>
        <w:t xml:space="preserve">לכם </w:t>
      </w:r>
      <w:bookmarkStart w:id="5860" w:name="_ETM_Q7_219710"/>
      <w:bookmarkEnd w:id="5860"/>
      <w:r>
        <w:rPr>
          <w:rFonts w:hint="cs"/>
          <w:rtl/>
        </w:rPr>
        <w:t xml:space="preserve">מושג </w:t>
      </w:r>
      <w:bookmarkStart w:id="5861" w:name="_ETM_Q7_220040"/>
      <w:bookmarkEnd w:id="5861"/>
      <w:r>
        <w:rPr>
          <w:rFonts w:hint="cs"/>
          <w:rtl/>
        </w:rPr>
        <w:t xml:space="preserve">ירוק </w:t>
      </w:r>
      <w:bookmarkStart w:id="5862" w:name="_ETM_Q7_220580"/>
      <w:bookmarkEnd w:id="5862"/>
      <w:r>
        <w:rPr>
          <w:rFonts w:hint="cs"/>
          <w:rtl/>
        </w:rPr>
        <w:t xml:space="preserve">מי </w:t>
      </w:r>
      <w:bookmarkStart w:id="5863" w:name="_ETM_Q7_220820"/>
      <w:bookmarkEnd w:id="5863"/>
      <w:r>
        <w:rPr>
          <w:rFonts w:hint="cs"/>
          <w:rtl/>
        </w:rPr>
        <w:t xml:space="preserve">באמת </w:t>
      </w:r>
      <w:bookmarkStart w:id="5864" w:name="_ETM_Q7_221150"/>
      <w:bookmarkEnd w:id="5864"/>
      <w:r>
        <w:rPr>
          <w:rFonts w:hint="cs"/>
          <w:rtl/>
        </w:rPr>
        <w:t xml:space="preserve">שומר </w:t>
      </w:r>
      <w:bookmarkStart w:id="5865" w:name="_ETM_Q7_221780"/>
      <w:bookmarkEnd w:id="5865"/>
      <w:r>
        <w:rPr>
          <w:rFonts w:hint="cs"/>
          <w:rtl/>
        </w:rPr>
        <w:t xml:space="preserve">היום </w:t>
      </w:r>
      <w:bookmarkStart w:id="5866" w:name="_ETM_Q7_222110"/>
      <w:bookmarkEnd w:id="5866"/>
      <w:r>
        <w:rPr>
          <w:rFonts w:hint="cs"/>
          <w:rtl/>
        </w:rPr>
        <w:t xml:space="preserve">בטריבונלים בין-לאומיים. </w:t>
      </w:r>
      <w:bookmarkStart w:id="5867" w:name="_ETM_Q7_223070"/>
      <w:bookmarkEnd w:id="5867"/>
      <w:r>
        <w:rPr>
          <w:rFonts w:hint="cs"/>
          <w:rtl/>
        </w:rPr>
        <w:t xml:space="preserve">כנראה </w:t>
      </w:r>
      <w:bookmarkStart w:id="5868" w:name="_ETM_Q7_223700"/>
      <w:bookmarkEnd w:id="5868"/>
      <w:r>
        <w:rPr>
          <w:rFonts w:hint="cs"/>
          <w:rtl/>
        </w:rPr>
        <w:t xml:space="preserve">שזה </w:t>
      </w:r>
      <w:bookmarkStart w:id="5869" w:name="_ETM_Q7_223850"/>
      <w:bookmarkEnd w:id="5869"/>
      <w:r>
        <w:rPr>
          <w:rFonts w:hint="cs"/>
          <w:rtl/>
        </w:rPr>
        <w:t xml:space="preserve">לא אתה. </w:t>
      </w:r>
      <w:bookmarkStart w:id="5870" w:name="_ETM_Q7_224589"/>
      <w:bookmarkEnd w:id="5870"/>
    </w:p>
    <w:p w:rsidR="000C5C1F" w:rsidRDefault="000C5C1F" w:rsidP="00337201">
      <w:pPr>
        <w:rPr>
          <w:rtl/>
        </w:rPr>
      </w:pPr>
    </w:p>
    <w:p w:rsidR="000C5C1F" w:rsidRDefault="000C5C1F" w:rsidP="000C5C1F">
      <w:pPr>
        <w:pStyle w:val="af8"/>
        <w:keepNext/>
        <w:rPr>
          <w:rtl/>
        </w:rPr>
      </w:pPr>
      <w:r>
        <w:rPr>
          <w:rStyle w:val="TagStyle"/>
          <w:rFonts w:hint="cs"/>
          <w:rtl/>
        </w:rPr>
        <w:t xml:space="preserve">&lt;&lt; קריאה &gt;&gt; </w:t>
      </w:r>
      <w:r>
        <w:rPr>
          <w:rFonts w:hint="cs"/>
          <w:rtl/>
        </w:rPr>
        <w:t>שר החוץ אלי כהן:</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 xml:space="preserve">תאמין לי ששומרים ועובדים כל היום. </w:t>
      </w:r>
      <w:bookmarkStart w:id="5871" w:name="_ETM_Q7_220891"/>
      <w:bookmarkEnd w:id="5871"/>
      <w:r>
        <w:rPr>
          <w:rFonts w:hint="cs"/>
          <w:rtl/>
        </w:rPr>
        <w:t xml:space="preserve">בזמן שהבן שלי בגולני והבת שלי - - - טול קורה מבין עיניך. </w:t>
      </w:r>
    </w:p>
    <w:p w:rsidR="000C5C1F" w:rsidRDefault="000C5C1F" w:rsidP="000C5C1F">
      <w:pPr>
        <w:rPr>
          <w:rtl/>
        </w:rPr>
      </w:pPr>
      <w:bookmarkStart w:id="5872" w:name="_ETM_Q7_222148"/>
      <w:bookmarkStart w:id="5873" w:name="_ETM_Q7_222245"/>
      <w:bookmarkStart w:id="5874" w:name="_ETM_Q7_222292"/>
      <w:bookmarkEnd w:id="5872"/>
      <w:bookmarkEnd w:id="5873"/>
      <w:bookmarkEnd w:id="5874"/>
    </w:p>
    <w:p w:rsidR="000C5C1F" w:rsidRDefault="000C5C1F" w:rsidP="000C5C1F">
      <w:pPr>
        <w:pStyle w:val="-"/>
        <w:keepNext/>
        <w:rPr>
          <w:rtl/>
        </w:rPr>
      </w:pPr>
      <w:r>
        <w:rPr>
          <w:rStyle w:val="TagStyle"/>
          <w:rFonts w:hint="cs"/>
          <w:rtl/>
        </w:rPr>
        <w:t xml:space="preserve">&lt;&lt; דובר_המשך &gt;&gt; </w:t>
      </w:r>
      <w:r>
        <w:rPr>
          <w:rFonts w:hint="cs"/>
          <w:rtl/>
        </w:rPr>
        <w:t>יואב סגלוביץ' (יש עתיד):</w:t>
      </w:r>
      <w:r>
        <w:rPr>
          <w:rStyle w:val="TagStyle"/>
          <w:rtl/>
        </w:rPr>
        <w:t xml:space="preserve"> &lt;&lt; דובר_המשך &gt;&gt;</w:t>
      </w:r>
      <w:r>
        <w:rPr>
          <w:rFonts w:hint="cs"/>
          <w:rtl/>
        </w:rPr>
        <w:t xml:space="preserve">   </w:t>
      </w:r>
    </w:p>
    <w:p w:rsidR="000C5C1F" w:rsidRDefault="000C5C1F" w:rsidP="000C5C1F">
      <w:pPr>
        <w:rPr>
          <w:rtl/>
        </w:rPr>
      </w:pPr>
    </w:p>
    <w:p w:rsidR="000C5C1F" w:rsidRDefault="000C5C1F" w:rsidP="000C5C1F">
      <w:pPr>
        <w:rPr>
          <w:rtl/>
        </w:rPr>
      </w:pPr>
      <w:bookmarkStart w:id="5875" w:name="_ETM_Q7_222368"/>
      <w:bookmarkEnd w:id="5875"/>
      <w:r>
        <w:rPr>
          <w:rFonts w:hint="cs"/>
          <w:rtl/>
        </w:rPr>
        <w:t xml:space="preserve">כל אחד </w:t>
      </w:r>
      <w:bookmarkStart w:id="5876" w:name="_ETM_Q7_231000"/>
      <w:bookmarkEnd w:id="5876"/>
      <w:r>
        <w:rPr>
          <w:rFonts w:hint="cs"/>
          <w:rtl/>
        </w:rPr>
        <w:t xml:space="preserve">יספר </w:t>
      </w:r>
      <w:bookmarkStart w:id="5877" w:name="_ETM_Q7_231360"/>
      <w:bookmarkEnd w:id="5877"/>
      <w:r>
        <w:rPr>
          <w:rFonts w:hint="cs"/>
          <w:rtl/>
        </w:rPr>
        <w:t xml:space="preserve">סיפורים </w:t>
      </w:r>
      <w:bookmarkStart w:id="5878" w:name="_ETM_Q7_231780"/>
      <w:bookmarkEnd w:id="5878"/>
      <w:r>
        <w:rPr>
          <w:rFonts w:hint="cs"/>
          <w:rtl/>
        </w:rPr>
        <w:t>אישיים</w:t>
      </w:r>
      <w:bookmarkStart w:id="5879" w:name="_ETM_Q7_232680"/>
      <w:bookmarkEnd w:id="5879"/>
      <w:r>
        <w:rPr>
          <w:rFonts w:hint="cs"/>
          <w:rtl/>
        </w:rPr>
        <w:t xml:space="preserve">. יש </w:t>
      </w:r>
      <w:bookmarkStart w:id="5880" w:name="_ETM_Q7_232920"/>
      <w:bookmarkEnd w:id="5880"/>
      <w:r>
        <w:rPr>
          <w:rFonts w:hint="cs"/>
          <w:rtl/>
        </w:rPr>
        <w:t xml:space="preserve">לך </w:t>
      </w:r>
      <w:bookmarkStart w:id="5881" w:name="_ETM_Q7_233159"/>
      <w:bookmarkEnd w:id="5881"/>
      <w:r>
        <w:rPr>
          <w:rFonts w:hint="cs"/>
          <w:rtl/>
        </w:rPr>
        <w:t xml:space="preserve">תפקיד </w:t>
      </w:r>
      <w:bookmarkStart w:id="5882" w:name="_ETM_Q7_233610"/>
      <w:bookmarkEnd w:id="5882"/>
      <w:r>
        <w:rPr>
          <w:rFonts w:hint="cs"/>
          <w:rtl/>
        </w:rPr>
        <w:t xml:space="preserve">בממשלת </w:t>
      </w:r>
      <w:bookmarkStart w:id="5883" w:name="_ETM_Q7_234180"/>
      <w:bookmarkEnd w:id="5883"/>
      <w:r>
        <w:rPr>
          <w:rFonts w:hint="cs"/>
          <w:rtl/>
        </w:rPr>
        <w:t xml:space="preserve">ישראל, </w:t>
      </w:r>
      <w:bookmarkStart w:id="5884" w:name="_ETM_Q7_234900"/>
      <w:bookmarkEnd w:id="5884"/>
      <w:r>
        <w:rPr>
          <w:rFonts w:hint="cs"/>
          <w:rtl/>
        </w:rPr>
        <w:t xml:space="preserve">לא </w:t>
      </w:r>
      <w:bookmarkStart w:id="5885" w:name="_ETM_Q7_235050"/>
      <w:bookmarkEnd w:id="5885"/>
      <w:r>
        <w:rPr>
          <w:rFonts w:hint="cs"/>
          <w:rtl/>
        </w:rPr>
        <w:t xml:space="preserve">מימשת </w:t>
      </w:r>
      <w:bookmarkStart w:id="5886" w:name="_ETM_Q7_236250"/>
      <w:bookmarkEnd w:id="5886"/>
      <w:r>
        <w:rPr>
          <w:rFonts w:hint="cs"/>
          <w:rtl/>
        </w:rPr>
        <w:t xml:space="preserve">אותו. </w:t>
      </w:r>
      <w:bookmarkStart w:id="5887" w:name="_ETM_Q7_236370"/>
      <w:bookmarkStart w:id="5888" w:name="_ETM_Q7_237390"/>
      <w:bookmarkEnd w:id="5887"/>
      <w:bookmarkEnd w:id="5888"/>
      <w:r>
        <w:rPr>
          <w:rFonts w:hint="cs"/>
          <w:rtl/>
        </w:rPr>
        <w:t xml:space="preserve">לא עשית אותו. אתה </w:t>
      </w:r>
      <w:bookmarkStart w:id="5889" w:name="_ETM_Q7_237630"/>
      <w:bookmarkEnd w:id="5889"/>
      <w:r>
        <w:rPr>
          <w:rFonts w:hint="cs"/>
          <w:rtl/>
        </w:rPr>
        <w:t xml:space="preserve">שר </w:t>
      </w:r>
      <w:bookmarkStart w:id="5890" w:name="_ETM_Q7_237930"/>
      <w:bookmarkEnd w:id="5890"/>
      <w:r>
        <w:rPr>
          <w:rFonts w:hint="cs"/>
          <w:rtl/>
        </w:rPr>
        <w:t xml:space="preserve">חוץ </w:t>
      </w:r>
      <w:bookmarkStart w:id="5891" w:name="_ETM_Q7_238320"/>
      <w:bookmarkEnd w:id="5891"/>
      <w:r>
        <w:rPr>
          <w:rFonts w:hint="cs"/>
          <w:rtl/>
        </w:rPr>
        <w:t xml:space="preserve">שלא </w:t>
      </w:r>
      <w:bookmarkStart w:id="5892" w:name="_ETM_Q7_238590"/>
      <w:bookmarkEnd w:id="5892"/>
      <w:r>
        <w:rPr>
          <w:rFonts w:hint="cs"/>
          <w:rtl/>
        </w:rPr>
        <w:t xml:space="preserve">מתנהג </w:t>
      </w:r>
      <w:bookmarkStart w:id="5893" w:name="_ETM_Q7_238950"/>
      <w:bookmarkEnd w:id="5893"/>
      <w:r>
        <w:rPr>
          <w:rFonts w:hint="cs"/>
          <w:rtl/>
        </w:rPr>
        <w:t xml:space="preserve">כמו </w:t>
      </w:r>
      <w:bookmarkStart w:id="5894" w:name="_ETM_Q7_239130"/>
      <w:bookmarkEnd w:id="5894"/>
      <w:r>
        <w:rPr>
          <w:rFonts w:hint="cs"/>
          <w:rtl/>
        </w:rPr>
        <w:t xml:space="preserve">שר </w:t>
      </w:r>
      <w:bookmarkStart w:id="5895" w:name="_ETM_Q7_239370"/>
      <w:bookmarkEnd w:id="5895"/>
      <w:r>
        <w:rPr>
          <w:rFonts w:hint="cs"/>
          <w:rtl/>
        </w:rPr>
        <w:t xml:space="preserve">חוץ, </w:t>
      </w:r>
      <w:bookmarkStart w:id="5896" w:name="_ETM_Q7_239730"/>
      <w:bookmarkEnd w:id="5896"/>
      <w:r>
        <w:rPr>
          <w:rFonts w:hint="cs"/>
          <w:rtl/>
        </w:rPr>
        <w:t xml:space="preserve">מתנהג </w:t>
      </w:r>
      <w:bookmarkStart w:id="5897" w:name="_ETM_Q7_240090"/>
      <w:bookmarkEnd w:id="5897"/>
      <w:r>
        <w:rPr>
          <w:rFonts w:hint="cs"/>
          <w:rtl/>
        </w:rPr>
        <w:t xml:space="preserve">כמו </w:t>
      </w:r>
      <w:bookmarkStart w:id="5898" w:name="_ETM_Q7_240210"/>
      <w:bookmarkEnd w:id="5898"/>
      <w:r>
        <w:rPr>
          <w:rFonts w:hint="cs"/>
          <w:rtl/>
        </w:rPr>
        <w:t xml:space="preserve">מריונטה </w:t>
      </w:r>
      <w:bookmarkStart w:id="5899" w:name="_ETM_Q7_238004"/>
      <w:bookmarkEnd w:id="5899"/>
      <w:r>
        <w:rPr>
          <w:rFonts w:hint="cs"/>
          <w:rtl/>
        </w:rPr>
        <w:t xml:space="preserve">של </w:t>
      </w:r>
      <w:bookmarkStart w:id="5900" w:name="_ETM_Q7_241489"/>
      <w:bookmarkEnd w:id="5900"/>
      <w:r>
        <w:rPr>
          <w:rFonts w:hint="cs"/>
          <w:rtl/>
        </w:rPr>
        <w:t xml:space="preserve">ראש </w:t>
      </w:r>
      <w:bookmarkStart w:id="5901" w:name="_ETM_Q7_241700"/>
      <w:bookmarkEnd w:id="5901"/>
      <w:r>
        <w:rPr>
          <w:rFonts w:hint="cs"/>
          <w:rtl/>
        </w:rPr>
        <w:t xml:space="preserve">הממשלה </w:t>
      </w:r>
      <w:bookmarkStart w:id="5902" w:name="_ETM_Q7_242149"/>
      <w:bookmarkEnd w:id="5902"/>
      <w:r>
        <w:rPr>
          <w:rFonts w:hint="cs"/>
          <w:rtl/>
        </w:rPr>
        <w:t xml:space="preserve">נתניהו. </w:t>
      </w:r>
      <w:bookmarkStart w:id="5903" w:name="_ETM_Q7_243730"/>
      <w:bookmarkEnd w:id="5903"/>
    </w:p>
    <w:p w:rsidR="000C5C1F" w:rsidRDefault="000C5C1F" w:rsidP="000C5C1F">
      <w:pPr>
        <w:rPr>
          <w:rtl/>
        </w:rPr>
      </w:pPr>
      <w:bookmarkStart w:id="5904" w:name="_ETM_Q7_246092"/>
      <w:bookmarkStart w:id="5905" w:name="_ETM_Q7_246169"/>
      <w:bookmarkEnd w:id="5904"/>
      <w:bookmarkEnd w:id="5905"/>
    </w:p>
    <w:p w:rsidR="000C5C1F" w:rsidRDefault="000C5C1F" w:rsidP="000C5C1F">
      <w:pPr>
        <w:pStyle w:val="af8"/>
        <w:keepNext/>
        <w:rPr>
          <w:rtl/>
        </w:rPr>
      </w:pPr>
      <w:bookmarkStart w:id="5906" w:name="_ETM_Q7_246276"/>
      <w:bookmarkStart w:id="5907" w:name="_ETM_Q7_246366"/>
      <w:bookmarkEnd w:id="5906"/>
      <w:bookmarkEnd w:id="5907"/>
      <w:r>
        <w:rPr>
          <w:rStyle w:val="TagStyle"/>
          <w:rFonts w:hint="cs"/>
          <w:rtl/>
        </w:rPr>
        <w:t xml:space="preserve">&lt;&lt; קריאה &gt;&gt; </w:t>
      </w:r>
      <w:r>
        <w:rPr>
          <w:rFonts w:hint="cs"/>
          <w:rtl/>
        </w:rPr>
        <w:t>שר החוץ אלי כהן:</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תאמין לי, אתה יודע כמה הישגים הבאתם למשרד החוץ תחת יו"ר המפלגה שלך?</w:t>
      </w:r>
    </w:p>
    <w:p w:rsidR="000C5C1F" w:rsidRDefault="000C5C1F" w:rsidP="000C5C1F">
      <w:pPr>
        <w:rPr>
          <w:rtl/>
        </w:rPr>
      </w:pPr>
      <w:bookmarkStart w:id="5908" w:name="_ETM_Q7_245224"/>
      <w:bookmarkEnd w:id="5908"/>
    </w:p>
    <w:p w:rsidR="000C5C1F" w:rsidRDefault="000C5C1F" w:rsidP="000C5C1F">
      <w:pPr>
        <w:pStyle w:val="-"/>
        <w:keepNext/>
        <w:rPr>
          <w:rtl/>
        </w:rPr>
      </w:pPr>
      <w:bookmarkStart w:id="5909" w:name="_ETM_Q7_245316"/>
      <w:bookmarkEnd w:id="5909"/>
      <w:r>
        <w:rPr>
          <w:rStyle w:val="TagStyle"/>
          <w:rFonts w:hint="cs"/>
          <w:rtl/>
        </w:rPr>
        <w:t xml:space="preserve">&lt;&lt; דובר_המשך &gt;&gt; </w:t>
      </w:r>
      <w:r>
        <w:rPr>
          <w:rFonts w:hint="cs"/>
          <w:rtl/>
        </w:rPr>
        <w:t>יואב סגלוביץ' (יש עתיד):</w:t>
      </w:r>
      <w:r>
        <w:rPr>
          <w:rStyle w:val="TagStyle"/>
          <w:rtl/>
        </w:rPr>
        <w:t xml:space="preserve"> &lt;&lt; דובר_המשך &gt;&gt;</w:t>
      </w:r>
      <w:r>
        <w:rPr>
          <w:rFonts w:hint="cs"/>
          <w:rtl/>
        </w:rPr>
        <w:t xml:space="preserve">   </w:t>
      </w:r>
    </w:p>
    <w:p w:rsidR="000C5C1F" w:rsidRDefault="000C5C1F" w:rsidP="000C5C1F">
      <w:pPr>
        <w:rPr>
          <w:rtl/>
        </w:rPr>
      </w:pPr>
    </w:p>
    <w:p w:rsidR="000C5C1F" w:rsidRDefault="000C5C1F" w:rsidP="000C5C1F">
      <w:pPr>
        <w:rPr>
          <w:rtl/>
        </w:rPr>
      </w:pPr>
      <w:bookmarkStart w:id="5910" w:name="_ETM_Q7_246492"/>
      <w:bookmarkStart w:id="5911" w:name="_ETM_Q7_246548"/>
      <w:bookmarkStart w:id="5912" w:name="_ETM_Q7_247920"/>
      <w:bookmarkEnd w:id="5910"/>
      <w:bookmarkEnd w:id="5911"/>
      <w:bookmarkEnd w:id="5912"/>
      <w:r>
        <w:rPr>
          <w:rFonts w:hint="cs"/>
          <w:rtl/>
        </w:rPr>
        <w:t xml:space="preserve">ככה אתה נוהג כל הזמן. אתה </w:t>
      </w:r>
      <w:bookmarkStart w:id="5913" w:name="_ETM_Q7_248159"/>
      <w:bookmarkEnd w:id="5913"/>
      <w:r>
        <w:rPr>
          <w:rFonts w:hint="cs"/>
          <w:rtl/>
        </w:rPr>
        <w:t xml:space="preserve">לא </w:t>
      </w:r>
      <w:bookmarkStart w:id="5914" w:name="_ETM_Q7_248280"/>
      <w:bookmarkEnd w:id="5914"/>
      <w:r>
        <w:rPr>
          <w:rFonts w:hint="cs"/>
          <w:rtl/>
        </w:rPr>
        <w:t xml:space="preserve">מסוגל </w:t>
      </w:r>
      <w:bookmarkStart w:id="5915" w:name="_ETM_Q7_248700"/>
      <w:bookmarkEnd w:id="5915"/>
      <w:r>
        <w:rPr>
          <w:rFonts w:hint="cs"/>
          <w:rtl/>
        </w:rPr>
        <w:t xml:space="preserve">לתת </w:t>
      </w:r>
      <w:bookmarkStart w:id="5916" w:name="_ETM_Q7_249060"/>
      <w:bookmarkEnd w:id="5916"/>
      <w:r>
        <w:rPr>
          <w:rFonts w:hint="cs"/>
          <w:rtl/>
        </w:rPr>
        <w:t>תשובה</w:t>
      </w:r>
      <w:bookmarkStart w:id="5917" w:name="_ETM_Q7_250520"/>
      <w:bookmarkEnd w:id="5917"/>
      <w:r>
        <w:rPr>
          <w:rFonts w:hint="cs"/>
          <w:rtl/>
        </w:rPr>
        <w:t>, תשובה.</w:t>
      </w:r>
    </w:p>
    <w:p w:rsidR="000C5C1F" w:rsidRDefault="000C5C1F" w:rsidP="000C5C1F">
      <w:pPr>
        <w:rPr>
          <w:rtl/>
        </w:rPr>
      </w:pPr>
    </w:p>
    <w:p w:rsidR="000C5C1F" w:rsidRDefault="000C5C1F" w:rsidP="000C5C1F">
      <w:pPr>
        <w:pStyle w:val="af8"/>
        <w:keepNext/>
        <w:rPr>
          <w:rtl/>
        </w:rPr>
      </w:pPr>
      <w:r>
        <w:rPr>
          <w:rStyle w:val="TagStyle"/>
          <w:rFonts w:hint="cs"/>
          <w:rtl/>
        </w:rPr>
        <w:t xml:space="preserve">&lt;&lt; קריאה &gt;&gt; </w:t>
      </w:r>
      <w:r>
        <w:rPr>
          <w:rFonts w:hint="cs"/>
          <w:rtl/>
        </w:rPr>
        <w:t>שר החוץ אלי כהן:</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 xml:space="preserve">אפס. אפס הישגים. אפס הסכמי שלום. שום </w:t>
      </w:r>
      <w:bookmarkStart w:id="5918" w:name="_ETM_Q7_252260"/>
      <w:bookmarkEnd w:id="5918"/>
      <w:r>
        <w:rPr>
          <w:rFonts w:hint="cs"/>
          <w:rtl/>
        </w:rPr>
        <w:t xml:space="preserve">כלום. </w:t>
      </w:r>
    </w:p>
    <w:p w:rsidR="000C5C1F" w:rsidRDefault="000C5C1F" w:rsidP="000C5C1F">
      <w:pPr>
        <w:rPr>
          <w:rtl/>
        </w:rPr>
      </w:pPr>
    </w:p>
    <w:p w:rsidR="000C5C1F" w:rsidRDefault="000C5C1F" w:rsidP="000C5C1F">
      <w:pPr>
        <w:pStyle w:val="-"/>
        <w:keepNext/>
        <w:rPr>
          <w:rtl/>
        </w:rPr>
      </w:pPr>
      <w:r>
        <w:rPr>
          <w:rStyle w:val="TagStyle"/>
          <w:rFonts w:hint="cs"/>
          <w:rtl/>
        </w:rPr>
        <w:t xml:space="preserve">&lt;&lt; דובר_המשך &gt;&gt; </w:t>
      </w:r>
      <w:r>
        <w:rPr>
          <w:rFonts w:hint="cs"/>
          <w:rtl/>
        </w:rPr>
        <w:t>יואב סגלוביץ' (יש עתיד):</w:t>
      </w:r>
      <w:r>
        <w:rPr>
          <w:rStyle w:val="TagStyle"/>
          <w:rtl/>
        </w:rPr>
        <w:t xml:space="preserve"> &lt;&lt; דובר_המשך &gt;&gt;</w:t>
      </w:r>
      <w:r>
        <w:rPr>
          <w:rFonts w:hint="cs"/>
          <w:rtl/>
        </w:rPr>
        <w:t xml:space="preserve">   </w:t>
      </w:r>
    </w:p>
    <w:p w:rsidR="000C5C1F" w:rsidRDefault="000C5C1F" w:rsidP="000C5C1F">
      <w:pPr>
        <w:rPr>
          <w:rtl/>
        </w:rPr>
      </w:pPr>
    </w:p>
    <w:p w:rsidR="000C5C1F" w:rsidRDefault="000C5C1F" w:rsidP="000C5C1F">
      <w:pPr>
        <w:rPr>
          <w:rtl/>
        </w:rPr>
      </w:pPr>
      <w:r>
        <w:rPr>
          <w:rFonts w:hint="cs"/>
          <w:rtl/>
        </w:rPr>
        <w:t>אדוני, תעצור את הזמן.</w:t>
      </w:r>
    </w:p>
    <w:p w:rsidR="000C5C1F" w:rsidRDefault="000C5C1F" w:rsidP="000C5C1F">
      <w:pPr>
        <w:rPr>
          <w:rtl/>
        </w:rPr>
      </w:pPr>
    </w:p>
    <w:p w:rsidR="000C5C1F" w:rsidRDefault="000C5C1F" w:rsidP="000C5C1F">
      <w:pPr>
        <w:pStyle w:val="af8"/>
        <w:keepNext/>
        <w:rPr>
          <w:rtl/>
        </w:rPr>
      </w:pPr>
      <w:bookmarkStart w:id="5919" w:name="ET_interruption_6164_16"/>
      <w:r>
        <w:rPr>
          <w:rStyle w:val="TagStyle"/>
          <w:rFonts w:hint="cs"/>
          <w:rtl/>
        </w:rPr>
        <w:t xml:space="preserve"> &lt;&lt; קריאה &gt;&gt; </w:t>
      </w:r>
      <w:r>
        <w:rPr>
          <w:rFonts w:hint="cs"/>
          <w:rtl/>
        </w:rPr>
        <w:t>עמית הלוי (הליכוד):</w:t>
      </w:r>
      <w:r>
        <w:rPr>
          <w:rStyle w:val="TagStyle"/>
          <w:rtl/>
        </w:rPr>
        <w:t xml:space="preserve"> &lt;&lt; קריאה &gt;&gt;</w:t>
      </w:r>
      <w:r>
        <w:rPr>
          <w:rFonts w:hint="cs"/>
          <w:rtl/>
        </w:rPr>
        <w:t xml:space="preserve">   </w:t>
      </w:r>
      <w:bookmarkEnd w:id="5919"/>
    </w:p>
    <w:p w:rsidR="000C5C1F" w:rsidRDefault="000C5C1F" w:rsidP="00337201">
      <w:pPr>
        <w:rPr>
          <w:rtl/>
        </w:rPr>
      </w:pPr>
    </w:p>
    <w:p w:rsidR="000C5C1F" w:rsidRDefault="000C5C1F" w:rsidP="000C5C1F">
      <w:pPr>
        <w:rPr>
          <w:rtl/>
        </w:rPr>
      </w:pPr>
      <w:r>
        <w:rPr>
          <w:rFonts w:hint="cs"/>
          <w:rtl/>
        </w:rPr>
        <w:t>תספר על הטלפונים שאתם עושים למדינות חוץ - - -</w:t>
      </w:r>
    </w:p>
    <w:p w:rsidR="000C5C1F" w:rsidRDefault="000C5C1F" w:rsidP="000C5C1F">
      <w:pPr>
        <w:rPr>
          <w:rtl/>
        </w:rPr>
      </w:pPr>
    </w:p>
    <w:p w:rsidR="000C5C1F" w:rsidRDefault="000C5C1F" w:rsidP="000C5C1F">
      <w:pPr>
        <w:pStyle w:val="af8"/>
        <w:keepNext/>
        <w:rPr>
          <w:rtl/>
        </w:rPr>
      </w:pPr>
      <w:r>
        <w:rPr>
          <w:rStyle w:val="TagStyle"/>
          <w:rFonts w:hint="cs"/>
          <w:rtl/>
        </w:rPr>
        <w:t xml:space="preserve">&lt;&lt; קריאה &gt;&gt; </w:t>
      </w:r>
      <w:r>
        <w:rPr>
          <w:rFonts w:hint="cs"/>
          <w:rtl/>
        </w:rPr>
        <w:t>שר החוץ אלי כהן:</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 xml:space="preserve">דרך אגב, אני רוצה להודות לחבר הכנסת הלוי, שנלחם </w:t>
      </w:r>
      <w:bookmarkStart w:id="5920" w:name="_ETM_Q7_259221"/>
      <w:bookmarkEnd w:id="5920"/>
      <w:r>
        <w:rPr>
          <w:rFonts w:hint="cs"/>
          <w:rtl/>
        </w:rPr>
        <w:t>בשבוע שעבר על החוק של "יהודית ודמוקרטית".</w:t>
      </w:r>
    </w:p>
    <w:p w:rsidR="000C5C1F" w:rsidRDefault="000C5C1F" w:rsidP="000C5C1F">
      <w:pPr>
        <w:rPr>
          <w:rtl/>
        </w:rPr>
      </w:pPr>
      <w:bookmarkStart w:id="5921" w:name="_ETM_Q7_255365"/>
      <w:bookmarkStart w:id="5922" w:name="_ETM_Q7_255447"/>
      <w:bookmarkEnd w:id="5921"/>
      <w:bookmarkEnd w:id="5922"/>
    </w:p>
    <w:p w:rsidR="000C5C1F" w:rsidRDefault="000C5C1F" w:rsidP="000C5C1F">
      <w:pPr>
        <w:pStyle w:val="-"/>
        <w:keepNext/>
        <w:rPr>
          <w:rtl/>
        </w:rPr>
      </w:pPr>
      <w:r>
        <w:rPr>
          <w:rStyle w:val="TagStyle"/>
          <w:rFonts w:hint="cs"/>
          <w:rtl/>
        </w:rPr>
        <w:t xml:space="preserve">&lt;&lt; דובר_המשך &gt;&gt; </w:t>
      </w:r>
      <w:r>
        <w:rPr>
          <w:rFonts w:hint="cs"/>
          <w:rtl/>
        </w:rPr>
        <w:t>יואב סגלוביץ' (יש עתיד):</w:t>
      </w:r>
      <w:r>
        <w:rPr>
          <w:rStyle w:val="TagStyle"/>
          <w:rtl/>
        </w:rPr>
        <w:t xml:space="preserve"> &lt;&lt; דובר_המשך &gt;&gt;</w:t>
      </w:r>
      <w:r>
        <w:rPr>
          <w:rFonts w:hint="cs"/>
          <w:rtl/>
        </w:rPr>
        <w:t xml:space="preserve">   </w:t>
      </w:r>
    </w:p>
    <w:p w:rsidR="000C5C1F" w:rsidRDefault="000C5C1F" w:rsidP="000C5C1F">
      <w:pPr>
        <w:rPr>
          <w:rtl/>
        </w:rPr>
      </w:pPr>
    </w:p>
    <w:p w:rsidR="000C5C1F" w:rsidRDefault="000C5C1F" w:rsidP="000C5C1F">
      <w:pPr>
        <w:rPr>
          <w:rtl/>
        </w:rPr>
      </w:pPr>
      <w:bookmarkStart w:id="5923" w:name="_ETM_Q7_261820"/>
      <w:bookmarkStart w:id="5924" w:name="_ETM_Q7_261932"/>
      <w:bookmarkEnd w:id="5923"/>
      <w:bookmarkEnd w:id="5924"/>
      <w:r>
        <w:rPr>
          <w:rFonts w:hint="cs"/>
          <w:rtl/>
        </w:rPr>
        <w:t>על חוק המתנות. על חוק המתנות.</w:t>
      </w:r>
    </w:p>
    <w:p w:rsidR="000C5C1F" w:rsidRDefault="000C5C1F" w:rsidP="000C5C1F">
      <w:pPr>
        <w:rPr>
          <w:rtl/>
        </w:rPr>
      </w:pPr>
    </w:p>
    <w:p w:rsidR="000C5C1F" w:rsidRDefault="000C5C1F" w:rsidP="000C5C1F">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לחבר הכנסת הלוי יש את ההצעות הכי הזויות, הכי ק</w:t>
      </w:r>
      <w:bookmarkStart w:id="5925" w:name="_ETM_Q7_264322"/>
      <w:bookmarkEnd w:id="5925"/>
      <w:r>
        <w:rPr>
          <w:rFonts w:hint="cs"/>
          <w:rtl/>
        </w:rPr>
        <w:t>יצוניות, הכי לא נורמליות.</w:t>
      </w:r>
    </w:p>
    <w:p w:rsidR="000C5C1F" w:rsidRDefault="000C5C1F" w:rsidP="000C5C1F">
      <w:pPr>
        <w:rPr>
          <w:rtl/>
        </w:rPr>
      </w:pPr>
    </w:p>
    <w:p w:rsidR="000C5C1F" w:rsidRDefault="000C5C1F" w:rsidP="000C5C1F">
      <w:pPr>
        <w:pStyle w:val="af8"/>
        <w:keepNext/>
        <w:rPr>
          <w:rtl/>
        </w:rPr>
      </w:pPr>
      <w:r>
        <w:rPr>
          <w:rStyle w:val="TagStyle"/>
          <w:rFonts w:hint="cs"/>
          <w:rtl/>
        </w:rPr>
        <w:t xml:space="preserve">&lt;&lt; קריאה &gt;&gt; </w:t>
      </w:r>
      <w:r>
        <w:rPr>
          <w:rFonts w:hint="cs"/>
          <w:rtl/>
        </w:rPr>
        <w:t>עמית הלוי (הליכוד):</w:t>
      </w:r>
      <w:r>
        <w:rPr>
          <w:rStyle w:val="TagStyle"/>
          <w:rtl/>
        </w:rPr>
        <w:t xml:space="preserve"> &lt;&lt; קריאה &gt;&gt;</w:t>
      </w:r>
      <w:r>
        <w:rPr>
          <w:rFonts w:hint="cs"/>
          <w:rtl/>
        </w:rPr>
        <w:t xml:space="preserve">   </w:t>
      </w:r>
    </w:p>
    <w:p w:rsidR="000C5C1F" w:rsidRDefault="000C5C1F" w:rsidP="00337201">
      <w:pPr>
        <w:rPr>
          <w:rtl/>
        </w:rPr>
      </w:pPr>
    </w:p>
    <w:p w:rsidR="000C5C1F" w:rsidRDefault="000C5C1F" w:rsidP="000C5C1F">
      <w:pPr>
        <w:rPr>
          <w:rtl/>
        </w:rPr>
      </w:pPr>
      <w:r>
        <w:rPr>
          <w:rFonts w:hint="cs"/>
          <w:rtl/>
        </w:rPr>
        <w:t>תספרו. מיקי, תספרו. על טלפונים שאתם עושים - - - להזיק למדינת ישראל - - -</w:t>
      </w:r>
    </w:p>
    <w:p w:rsidR="000C5C1F" w:rsidRDefault="000C5C1F" w:rsidP="000C5C1F">
      <w:pPr>
        <w:rPr>
          <w:rtl/>
        </w:rPr>
      </w:pPr>
    </w:p>
    <w:p w:rsidR="000C5C1F" w:rsidRDefault="000C5C1F" w:rsidP="000C5C1F">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bookmarkStart w:id="5926" w:name="_ETM_Q7_273570"/>
      <w:bookmarkStart w:id="5927" w:name="_ETM_Q7_273644"/>
      <w:bookmarkEnd w:id="5926"/>
      <w:bookmarkEnd w:id="5927"/>
      <w:r>
        <w:rPr>
          <w:rFonts w:hint="cs"/>
          <w:rtl/>
        </w:rPr>
        <w:t xml:space="preserve">הוא ייחשב בהיסטוריה של עם ישראל, של מדינת ישראל, עם הצעות החוק </w:t>
      </w:r>
      <w:r>
        <w:t>–</w:t>
      </w:r>
      <w:r>
        <w:rPr>
          <w:rFonts w:hint="cs"/>
          <w:rtl/>
        </w:rPr>
        <w:t xml:space="preserve"> מתנות? הזוי לחלוטין.</w:t>
      </w:r>
    </w:p>
    <w:p w:rsidR="000C5C1F" w:rsidRDefault="000C5C1F" w:rsidP="000C5C1F">
      <w:pPr>
        <w:rPr>
          <w:rtl/>
        </w:rPr>
      </w:pPr>
    </w:p>
    <w:p w:rsidR="000C5C1F" w:rsidRDefault="000C5C1F" w:rsidP="000C5C1F">
      <w:pPr>
        <w:pStyle w:val="af9"/>
        <w:keepNext/>
        <w:rPr>
          <w:rtl/>
        </w:rPr>
      </w:pPr>
      <w:bookmarkStart w:id="5928" w:name="ET_yor_6490_1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5928"/>
    </w:p>
    <w:p w:rsidR="000C5C1F" w:rsidRDefault="000C5C1F" w:rsidP="00337201">
      <w:pPr>
        <w:rPr>
          <w:rtl/>
        </w:rPr>
      </w:pPr>
    </w:p>
    <w:p w:rsidR="000C5C1F" w:rsidRDefault="000C5C1F" w:rsidP="000C5C1F">
      <w:pPr>
        <w:rPr>
          <w:rtl/>
        </w:rPr>
      </w:pPr>
      <w:r>
        <w:rPr>
          <w:rFonts w:hint="cs"/>
          <w:rtl/>
        </w:rPr>
        <w:t>תודה רבה.</w:t>
      </w:r>
    </w:p>
    <w:p w:rsidR="000C5C1F" w:rsidRDefault="000C5C1F" w:rsidP="000C5C1F">
      <w:pPr>
        <w:rPr>
          <w:rtl/>
        </w:rPr>
      </w:pPr>
    </w:p>
    <w:p w:rsidR="000C5C1F" w:rsidRDefault="000C5C1F" w:rsidP="000C5C1F">
      <w:pPr>
        <w:pStyle w:val="af8"/>
        <w:keepNext/>
        <w:rPr>
          <w:rtl/>
        </w:rPr>
      </w:pPr>
      <w:r>
        <w:rPr>
          <w:rStyle w:val="TagStyle"/>
          <w:rFonts w:hint="cs"/>
          <w:rtl/>
        </w:rPr>
        <w:t xml:space="preserve">&lt;&lt; קריאה &gt;&gt; </w:t>
      </w:r>
      <w:r>
        <w:rPr>
          <w:rFonts w:hint="cs"/>
          <w:rtl/>
        </w:rPr>
        <w:t>עמית הלוי (הליכוד):</w:t>
      </w:r>
      <w:r>
        <w:rPr>
          <w:rStyle w:val="TagStyle"/>
          <w:rtl/>
        </w:rPr>
        <w:t xml:space="preserve"> &lt;&lt; קריאה &gt;&gt;</w:t>
      </w:r>
      <w:r>
        <w:rPr>
          <w:rFonts w:hint="cs"/>
          <w:rtl/>
        </w:rPr>
        <w:t xml:space="preserve">   </w:t>
      </w:r>
    </w:p>
    <w:p w:rsidR="000C5C1F" w:rsidRDefault="000C5C1F" w:rsidP="00337201">
      <w:pPr>
        <w:rPr>
          <w:rtl/>
        </w:rPr>
      </w:pPr>
    </w:p>
    <w:p w:rsidR="000C5C1F" w:rsidRDefault="000C5C1F" w:rsidP="000C5C1F">
      <w:pPr>
        <w:rPr>
          <w:rtl/>
        </w:rPr>
      </w:pPr>
      <w:r>
        <w:rPr>
          <w:rFonts w:hint="cs"/>
          <w:rtl/>
        </w:rPr>
        <w:t>עם איזה ראשי מדינות דיברתם, שיעריכו מחדש את היחסים עם ישראל? תספרו לציבור.</w:t>
      </w:r>
    </w:p>
    <w:p w:rsidR="000C5C1F" w:rsidRDefault="000C5C1F" w:rsidP="000C5C1F">
      <w:pPr>
        <w:rPr>
          <w:rtl/>
        </w:rPr>
      </w:pPr>
    </w:p>
    <w:p w:rsidR="000C5C1F" w:rsidRDefault="000C5C1F" w:rsidP="000C5C1F">
      <w:pPr>
        <w:pStyle w:val="af9"/>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0C5C1F">
      <w:pPr>
        <w:rPr>
          <w:rtl/>
        </w:rPr>
      </w:pPr>
    </w:p>
    <w:p w:rsidR="000C5C1F" w:rsidRDefault="000C5C1F" w:rsidP="000C5C1F">
      <w:pPr>
        <w:rPr>
          <w:rtl/>
        </w:rPr>
      </w:pPr>
      <w:r>
        <w:rPr>
          <w:rFonts w:hint="cs"/>
          <w:rtl/>
        </w:rPr>
        <w:t xml:space="preserve">הערותיכם נרשמו, נמשיך. קדימה, בוא נמשיך. </w:t>
      </w:r>
    </w:p>
    <w:p w:rsidR="000C5C1F" w:rsidRDefault="000C5C1F" w:rsidP="000C5C1F">
      <w:pPr>
        <w:rPr>
          <w:rtl/>
        </w:rPr>
      </w:pPr>
    </w:p>
    <w:p w:rsidR="000C5C1F" w:rsidRDefault="000C5C1F" w:rsidP="000C5C1F">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 xml:space="preserve">הזוי אתה. הצעות החוק הכי לא נורמליות. </w:t>
      </w:r>
    </w:p>
    <w:p w:rsidR="000C5C1F" w:rsidRDefault="000C5C1F" w:rsidP="000C5C1F">
      <w:pPr>
        <w:rPr>
          <w:rtl/>
        </w:rPr>
      </w:pPr>
      <w:bookmarkStart w:id="5929" w:name="_ETM_Q7_280788"/>
      <w:bookmarkStart w:id="5930" w:name="_ETM_Q7_280852"/>
      <w:bookmarkEnd w:id="5929"/>
      <w:bookmarkEnd w:id="5930"/>
    </w:p>
    <w:p w:rsidR="000C5C1F" w:rsidRDefault="000C5C1F" w:rsidP="000C5C1F">
      <w:pPr>
        <w:pStyle w:val="-"/>
        <w:keepNext/>
        <w:rPr>
          <w:rtl/>
        </w:rPr>
      </w:pPr>
      <w:bookmarkStart w:id="5931" w:name="_ETM_Q7_294049"/>
      <w:bookmarkStart w:id="5932" w:name="_ETM_Q7_294135"/>
      <w:bookmarkEnd w:id="5931"/>
      <w:bookmarkEnd w:id="5932"/>
      <w:r>
        <w:rPr>
          <w:rStyle w:val="TagStyle"/>
          <w:rFonts w:hint="cs"/>
          <w:rtl/>
        </w:rPr>
        <w:t xml:space="preserve">&lt;&lt; דובר_המשך &gt;&gt; </w:t>
      </w:r>
      <w:r>
        <w:rPr>
          <w:rFonts w:hint="cs"/>
          <w:rtl/>
        </w:rPr>
        <w:t>יואב סגלוביץ' (יש עתיד):</w:t>
      </w:r>
      <w:r>
        <w:rPr>
          <w:rStyle w:val="TagStyle"/>
          <w:rtl/>
        </w:rPr>
        <w:t xml:space="preserve"> &lt;&lt; דובר_המשך &gt;&gt;</w:t>
      </w:r>
      <w:r>
        <w:rPr>
          <w:rFonts w:hint="cs"/>
          <w:rtl/>
        </w:rPr>
        <w:t xml:space="preserve">   </w:t>
      </w:r>
    </w:p>
    <w:p w:rsidR="000C5C1F" w:rsidRDefault="000C5C1F" w:rsidP="000C5C1F">
      <w:pPr>
        <w:rPr>
          <w:rtl/>
        </w:rPr>
      </w:pPr>
    </w:p>
    <w:p w:rsidR="000C5C1F" w:rsidRDefault="000C5C1F" w:rsidP="000C5C1F">
      <w:pPr>
        <w:rPr>
          <w:rtl/>
        </w:rPr>
      </w:pPr>
      <w:bookmarkStart w:id="5933" w:name="_ETM_Q7_291310"/>
      <w:bookmarkEnd w:id="5933"/>
      <w:r>
        <w:rPr>
          <w:rFonts w:hint="cs"/>
          <w:rtl/>
        </w:rPr>
        <w:t xml:space="preserve">ממשלה </w:t>
      </w:r>
      <w:bookmarkStart w:id="5934" w:name="_ETM_Q7_291850"/>
      <w:bookmarkEnd w:id="5934"/>
      <w:r>
        <w:rPr>
          <w:rFonts w:hint="cs"/>
          <w:rtl/>
        </w:rPr>
        <w:t xml:space="preserve">מפקירה </w:t>
      </w:r>
      <w:bookmarkStart w:id="5935" w:name="_ETM_Q7_292360"/>
      <w:bookmarkEnd w:id="5935"/>
      <w:r>
        <w:rPr>
          <w:rFonts w:hint="cs"/>
          <w:rtl/>
        </w:rPr>
        <w:t xml:space="preserve">ומופקרת, </w:t>
      </w:r>
      <w:bookmarkStart w:id="5936" w:name="_ETM_Q7_292930"/>
      <w:bookmarkEnd w:id="5936"/>
      <w:r>
        <w:rPr>
          <w:rFonts w:hint="cs"/>
          <w:rtl/>
        </w:rPr>
        <w:t xml:space="preserve">שמפקירה </w:t>
      </w:r>
      <w:bookmarkStart w:id="5937" w:name="_ETM_Q7_293380"/>
      <w:bookmarkEnd w:id="5937"/>
      <w:r>
        <w:rPr>
          <w:rFonts w:hint="cs"/>
          <w:rtl/>
        </w:rPr>
        <w:t xml:space="preserve">את </w:t>
      </w:r>
      <w:bookmarkStart w:id="5938" w:name="_ETM_Q7_293470"/>
      <w:bookmarkEnd w:id="5938"/>
      <w:r>
        <w:rPr>
          <w:rFonts w:hint="cs"/>
          <w:rtl/>
        </w:rPr>
        <w:t xml:space="preserve">לוחמי </w:t>
      </w:r>
      <w:bookmarkStart w:id="5939" w:name="_ETM_Q7_293830"/>
      <w:bookmarkEnd w:id="5939"/>
      <w:r>
        <w:rPr>
          <w:rFonts w:hint="cs"/>
          <w:rtl/>
        </w:rPr>
        <w:t xml:space="preserve">צה"ל. </w:t>
      </w:r>
      <w:bookmarkStart w:id="5940" w:name="_ETM_Q7_294159"/>
      <w:bookmarkEnd w:id="5940"/>
      <w:r>
        <w:rPr>
          <w:rFonts w:hint="cs"/>
          <w:rtl/>
        </w:rPr>
        <w:t xml:space="preserve">ואני </w:t>
      </w:r>
      <w:bookmarkStart w:id="5941" w:name="_ETM_Q7_294340"/>
      <w:bookmarkEnd w:id="5941"/>
      <w:r>
        <w:rPr>
          <w:rFonts w:hint="cs"/>
          <w:rtl/>
        </w:rPr>
        <w:t xml:space="preserve">חוזר </w:t>
      </w:r>
      <w:bookmarkStart w:id="5942" w:name="_ETM_Q7_294640"/>
      <w:bookmarkEnd w:id="5942"/>
      <w:r>
        <w:rPr>
          <w:rFonts w:hint="cs"/>
          <w:rtl/>
        </w:rPr>
        <w:t xml:space="preserve">עוד </w:t>
      </w:r>
      <w:bookmarkStart w:id="5943" w:name="_ETM_Q7_294790"/>
      <w:bookmarkEnd w:id="5943"/>
      <w:r>
        <w:rPr>
          <w:rFonts w:hint="cs"/>
          <w:rtl/>
        </w:rPr>
        <w:t xml:space="preserve">פעם, </w:t>
      </w:r>
      <w:bookmarkStart w:id="5944" w:name="_ETM_Q7_295030"/>
      <w:bookmarkEnd w:id="5944"/>
      <w:r>
        <w:rPr>
          <w:rFonts w:hint="cs"/>
          <w:rtl/>
        </w:rPr>
        <w:t xml:space="preserve">אדוני </w:t>
      </w:r>
      <w:bookmarkStart w:id="5945" w:name="_ETM_Q7_295299"/>
      <w:bookmarkEnd w:id="5945"/>
      <w:r>
        <w:rPr>
          <w:rFonts w:hint="cs"/>
          <w:rtl/>
        </w:rPr>
        <w:t xml:space="preserve">שר </w:t>
      </w:r>
      <w:bookmarkStart w:id="5946" w:name="_ETM_Q7_295509"/>
      <w:bookmarkEnd w:id="5946"/>
      <w:r>
        <w:rPr>
          <w:rFonts w:hint="cs"/>
          <w:rtl/>
        </w:rPr>
        <w:t xml:space="preserve">החוץ: </w:t>
      </w:r>
      <w:bookmarkStart w:id="5947" w:name="_ETM_Q7_295869"/>
      <w:bookmarkEnd w:id="5947"/>
      <w:r>
        <w:rPr>
          <w:rFonts w:hint="cs"/>
          <w:rtl/>
        </w:rPr>
        <w:t xml:space="preserve">אתה </w:t>
      </w:r>
      <w:bookmarkStart w:id="5948" w:name="_ETM_Q7_296080"/>
      <w:bookmarkEnd w:id="5948"/>
      <w:r>
        <w:rPr>
          <w:rFonts w:hint="cs"/>
          <w:rtl/>
        </w:rPr>
        <w:t>יושב</w:t>
      </w:r>
      <w:bookmarkStart w:id="5949" w:name="_ETM_Q7_296500"/>
      <w:bookmarkStart w:id="5950" w:name="_ETM_Q7_297460"/>
      <w:bookmarkEnd w:id="5949"/>
      <w:bookmarkEnd w:id="5950"/>
      <w:r>
        <w:rPr>
          <w:rFonts w:hint="cs"/>
          <w:rtl/>
        </w:rPr>
        <w:t xml:space="preserve"> במקום לכנס קבינט. תגיד </w:t>
      </w:r>
      <w:bookmarkStart w:id="5951" w:name="_ETM_Q7_297970"/>
      <w:bookmarkEnd w:id="5951"/>
      <w:r>
        <w:rPr>
          <w:rFonts w:hint="cs"/>
          <w:rtl/>
        </w:rPr>
        <w:t xml:space="preserve">שימצאו </w:t>
      </w:r>
      <w:bookmarkStart w:id="5952" w:name="_ETM_Q7_298390"/>
      <w:bookmarkEnd w:id="5952"/>
      <w:r>
        <w:rPr>
          <w:rFonts w:hint="cs"/>
          <w:rtl/>
        </w:rPr>
        <w:t xml:space="preserve">לך </w:t>
      </w:r>
      <w:bookmarkStart w:id="5953" w:name="_ETM_Q7_298570"/>
      <w:bookmarkEnd w:id="5953"/>
      <w:r>
        <w:rPr>
          <w:rFonts w:hint="cs"/>
          <w:rtl/>
        </w:rPr>
        <w:t xml:space="preserve">מחליף </w:t>
      </w:r>
      <w:bookmarkStart w:id="5954" w:name="_ETM_Q7_298869"/>
      <w:bookmarkEnd w:id="5954"/>
      <w:r>
        <w:rPr>
          <w:rFonts w:hint="cs"/>
          <w:rtl/>
        </w:rPr>
        <w:t xml:space="preserve">ותלך </w:t>
      </w:r>
      <w:bookmarkStart w:id="5955" w:name="_ETM_Q7_299140"/>
      <w:bookmarkEnd w:id="5955"/>
      <w:r>
        <w:rPr>
          <w:rFonts w:hint="cs"/>
          <w:rtl/>
        </w:rPr>
        <w:t xml:space="preserve">לקבינט. </w:t>
      </w:r>
      <w:bookmarkStart w:id="5956" w:name="_ETM_Q7_300070"/>
      <w:bookmarkEnd w:id="5956"/>
    </w:p>
    <w:p w:rsidR="000C5C1F" w:rsidRDefault="000C5C1F" w:rsidP="000C5C1F">
      <w:pPr>
        <w:rPr>
          <w:rtl/>
        </w:rPr>
      </w:pPr>
      <w:bookmarkStart w:id="5957" w:name="_ETM_Q7_301717"/>
      <w:bookmarkStart w:id="5958" w:name="_ETM_Q7_301791"/>
      <w:bookmarkEnd w:id="5957"/>
      <w:bookmarkEnd w:id="5958"/>
    </w:p>
    <w:p w:rsidR="000C5C1F" w:rsidRDefault="000C5C1F" w:rsidP="000C5C1F">
      <w:pPr>
        <w:pStyle w:val="af8"/>
        <w:keepNext/>
        <w:rPr>
          <w:rtl/>
        </w:rPr>
      </w:pPr>
      <w:bookmarkStart w:id="5959" w:name="_ETM_Q7_301891"/>
      <w:bookmarkStart w:id="5960" w:name="_ETM_Q7_301950"/>
      <w:bookmarkEnd w:id="5959"/>
      <w:bookmarkEnd w:id="5960"/>
      <w:r>
        <w:rPr>
          <w:rStyle w:val="TagStyle"/>
          <w:rFonts w:hint="cs"/>
          <w:rtl/>
        </w:rPr>
        <w:t xml:space="preserve">&lt;&lt; קריאה &gt;&gt; </w:t>
      </w:r>
      <w:r>
        <w:rPr>
          <w:rFonts w:hint="cs"/>
          <w:rtl/>
        </w:rPr>
        <w:t>שר החוץ אלי כהן:</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בינתיים הילדים שלי משרתים בקרבי.</w:t>
      </w:r>
    </w:p>
    <w:p w:rsidR="000C5C1F" w:rsidRDefault="000C5C1F" w:rsidP="000C5C1F">
      <w:pPr>
        <w:rPr>
          <w:rtl/>
        </w:rPr>
      </w:pPr>
    </w:p>
    <w:p w:rsidR="000C5C1F" w:rsidRDefault="000C5C1F" w:rsidP="000C5C1F">
      <w:pPr>
        <w:pStyle w:val="-"/>
        <w:keepNext/>
        <w:rPr>
          <w:rtl/>
        </w:rPr>
      </w:pPr>
      <w:r>
        <w:rPr>
          <w:rStyle w:val="TagStyle"/>
          <w:rFonts w:hint="cs"/>
          <w:rtl/>
        </w:rPr>
        <w:t xml:space="preserve">&lt;&lt; דובר_המשך &gt;&gt; </w:t>
      </w:r>
      <w:r>
        <w:rPr>
          <w:rFonts w:hint="cs"/>
          <w:rtl/>
        </w:rPr>
        <w:t>יואב סגלוביץ' (יש עתיד):</w:t>
      </w:r>
      <w:r>
        <w:rPr>
          <w:rStyle w:val="TagStyle"/>
          <w:rtl/>
        </w:rPr>
        <w:t xml:space="preserve"> &lt;&lt; דובר_המשך &gt;&gt;</w:t>
      </w:r>
      <w:r>
        <w:rPr>
          <w:rFonts w:hint="cs"/>
          <w:rtl/>
        </w:rPr>
        <w:t xml:space="preserve">   </w:t>
      </w:r>
    </w:p>
    <w:p w:rsidR="000C5C1F" w:rsidRDefault="000C5C1F" w:rsidP="000C5C1F">
      <w:pPr>
        <w:rPr>
          <w:rtl/>
        </w:rPr>
      </w:pPr>
      <w:bookmarkStart w:id="5961" w:name="_ETM_Q7_302043"/>
      <w:bookmarkStart w:id="5962" w:name="_ETM_Q7_302161"/>
      <w:bookmarkEnd w:id="5961"/>
      <w:bookmarkEnd w:id="5962"/>
    </w:p>
    <w:p w:rsidR="000C5C1F" w:rsidRDefault="000C5C1F" w:rsidP="000C5C1F">
      <w:pPr>
        <w:rPr>
          <w:rtl/>
        </w:rPr>
      </w:pPr>
      <w:r>
        <w:rPr>
          <w:rFonts w:hint="cs"/>
          <w:rtl/>
        </w:rPr>
        <w:t xml:space="preserve">ואחרי </w:t>
      </w:r>
      <w:bookmarkStart w:id="5963" w:name="_ETM_Q7_300369"/>
      <w:bookmarkEnd w:id="5963"/>
      <w:r>
        <w:rPr>
          <w:rFonts w:hint="cs"/>
          <w:rtl/>
        </w:rPr>
        <w:t xml:space="preserve">שאמרתי </w:t>
      </w:r>
      <w:bookmarkStart w:id="5964" w:name="_ETM_Q7_300880"/>
      <w:bookmarkEnd w:id="5964"/>
      <w:r>
        <w:rPr>
          <w:rFonts w:hint="cs"/>
          <w:rtl/>
        </w:rPr>
        <w:t xml:space="preserve">את </w:t>
      </w:r>
      <w:bookmarkStart w:id="5965" w:name="_ETM_Q7_300940"/>
      <w:bookmarkEnd w:id="5965"/>
      <w:r>
        <w:rPr>
          <w:rFonts w:hint="cs"/>
          <w:rtl/>
        </w:rPr>
        <w:t xml:space="preserve">הדברים </w:t>
      </w:r>
      <w:bookmarkStart w:id="5966" w:name="_ETM_Q7_301330"/>
      <w:bookmarkEnd w:id="5966"/>
      <w:r>
        <w:rPr>
          <w:rFonts w:hint="cs"/>
          <w:rtl/>
        </w:rPr>
        <w:t xml:space="preserve">האלה </w:t>
      </w:r>
      <w:bookmarkStart w:id="5967" w:name="_ETM_Q7_302560"/>
      <w:bookmarkEnd w:id="5967"/>
      <w:r>
        <w:rPr>
          <w:rFonts w:hint="cs"/>
          <w:rtl/>
        </w:rPr>
        <w:t>- - -</w:t>
      </w:r>
      <w:bookmarkStart w:id="5968" w:name="_ETM_Q7_303986"/>
      <w:bookmarkStart w:id="5969" w:name="_ETM_Q7_304062"/>
      <w:bookmarkEnd w:id="5968"/>
      <w:bookmarkEnd w:id="5969"/>
    </w:p>
    <w:p w:rsidR="000C5C1F" w:rsidRDefault="000C5C1F" w:rsidP="000C5C1F">
      <w:pPr>
        <w:rPr>
          <w:rtl/>
        </w:rPr>
      </w:pPr>
      <w:bookmarkStart w:id="5970" w:name="_ETM_Q7_304169"/>
      <w:bookmarkStart w:id="5971" w:name="_ETM_Q7_304238"/>
      <w:bookmarkEnd w:id="5970"/>
      <w:bookmarkEnd w:id="5971"/>
    </w:p>
    <w:p w:rsidR="000C5C1F" w:rsidRDefault="000C5C1F" w:rsidP="000C5C1F">
      <w:pPr>
        <w:pStyle w:val="af8"/>
        <w:keepNext/>
        <w:rPr>
          <w:rtl/>
        </w:rPr>
      </w:pPr>
      <w:r>
        <w:rPr>
          <w:rStyle w:val="TagStyle"/>
          <w:rFonts w:hint="cs"/>
          <w:rtl/>
        </w:rPr>
        <w:t xml:space="preserve">&lt;&lt; קריאה &gt;&gt; </w:t>
      </w:r>
      <w:r>
        <w:rPr>
          <w:rFonts w:hint="cs"/>
          <w:rtl/>
        </w:rPr>
        <w:t>שר החוץ אלי כהן:</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שמענו עליך. שמענו עליך, עם מי הקמת את הממשלה הקודמת. שמענו בדיוק.</w:t>
      </w:r>
    </w:p>
    <w:p w:rsidR="000C5C1F" w:rsidRDefault="000C5C1F" w:rsidP="000C5C1F">
      <w:pPr>
        <w:rPr>
          <w:rtl/>
        </w:rPr>
      </w:pPr>
    </w:p>
    <w:p w:rsidR="000C5C1F" w:rsidRDefault="000C5C1F" w:rsidP="000C5C1F">
      <w:pPr>
        <w:pStyle w:val="-"/>
        <w:keepNext/>
        <w:rPr>
          <w:rtl/>
        </w:rPr>
      </w:pPr>
      <w:r>
        <w:rPr>
          <w:rStyle w:val="TagStyle"/>
          <w:rFonts w:hint="cs"/>
          <w:rtl/>
        </w:rPr>
        <w:t xml:space="preserve">&lt;&lt; דובר_המשך &gt;&gt; </w:t>
      </w:r>
      <w:r>
        <w:rPr>
          <w:rFonts w:hint="cs"/>
          <w:rtl/>
        </w:rPr>
        <w:t>יואב סגלוביץ' (יש עתיד):</w:t>
      </w:r>
      <w:r>
        <w:rPr>
          <w:rStyle w:val="TagStyle"/>
          <w:rtl/>
        </w:rPr>
        <w:t xml:space="preserve"> &lt;&lt; דובר_המשך &gt;&gt;</w:t>
      </w:r>
      <w:r>
        <w:rPr>
          <w:rFonts w:hint="cs"/>
          <w:rtl/>
        </w:rPr>
        <w:t xml:space="preserve">   </w:t>
      </w:r>
    </w:p>
    <w:p w:rsidR="000C5C1F" w:rsidRDefault="000C5C1F" w:rsidP="000C5C1F">
      <w:pPr>
        <w:rPr>
          <w:rtl/>
        </w:rPr>
      </w:pPr>
    </w:p>
    <w:p w:rsidR="000C5C1F" w:rsidRDefault="000C5C1F" w:rsidP="000C5C1F">
      <w:pPr>
        <w:rPr>
          <w:rtl/>
        </w:rPr>
      </w:pPr>
      <w:r>
        <w:rPr>
          <w:rFonts w:hint="cs"/>
          <w:rtl/>
        </w:rPr>
        <w:t>אדוני שר החוץ, אתה מפריע לי כרגע בדברים שקשורים אליך.</w:t>
      </w:r>
    </w:p>
    <w:p w:rsidR="000C5C1F" w:rsidRDefault="000C5C1F" w:rsidP="000C5C1F">
      <w:pPr>
        <w:rPr>
          <w:rtl/>
        </w:rPr>
      </w:pPr>
    </w:p>
    <w:p w:rsidR="000C5C1F" w:rsidRDefault="000C5C1F" w:rsidP="000C5C1F">
      <w:pPr>
        <w:pStyle w:val="af8"/>
        <w:keepNext/>
        <w:rPr>
          <w:rtl/>
        </w:rPr>
      </w:pPr>
      <w:bookmarkStart w:id="5972" w:name="_ETM_Q7_301554"/>
      <w:bookmarkStart w:id="5973" w:name="_ETM_Q7_301626"/>
      <w:bookmarkStart w:id="5974" w:name="_ETM_Q7_301737"/>
      <w:bookmarkStart w:id="5975" w:name="_ETM_Q7_301798"/>
      <w:bookmarkStart w:id="5976" w:name="_ETM_Q7_301897"/>
      <w:bookmarkEnd w:id="5972"/>
      <w:bookmarkEnd w:id="5973"/>
      <w:bookmarkEnd w:id="5974"/>
      <w:bookmarkEnd w:id="5975"/>
      <w:bookmarkEnd w:id="5976"/>
      <w:r>
        <w:rPr>
          <w:rStyle w:val="TagStyle"/>
          <w:rFonts w:hint="cs"/>
          <w:rtl/>
        </w:rPr>
        <w:t xml:space="preserve">&lt;&lt; קריאה &gt;&gt; </w:t>
      </w:r>
      <w:r>
        <w:rPr>
          <w:rFonts w:hint="cs"/>
          <w:rtl/>
        </w:rPr>
        <w:t>שר החוץ אלי כהן:</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את הכתם הזה לעולם לא תוכל למחוק.</w:t>
      </w:r>
    </w:p>
    <w:p w:rsidR="000C5C1F" w:rsidRDefault="000C5C1F" w:rsidP="000C5C1F">
      <w:pPr>
        <w:rPr>
          <w:rtl/>
        </w:rPr>
      </w:pPr>
      <w:bookmarkStart w:id="5977" w:name="_ETM_Q7_323327"/>
      <w:bookmarkStart w:id="5978" w:name="_ETM_Q7_323401"/>
      <w:bookmarkEnd w:id="5977"/>
      <w:bookmarkEnd w:id="5978"/>
    </w:p>
    <w:p w:rsidR="000C5C1F" w:rsidRDefault="000C5C1F" w:rsidP="000C5C1F">
      <w:pPr>
        <w:pStyle w:val="-"/>
        <w:keepNext/>
        <w:rPr>
          <w:rtl/>
        </w:rPr>
      </w:pPr>
      <w:bookmarkStart w:id="5979" w:name="_ETM_Q7_323630"/>
      <w:bookmarkStart w:id="5980" w:name="_ETM_Q7_323691"/>
      <w:bookmarkEnd w:id="5979"/>
      <w:bookmarkEnd w:id="5980"/>
      <w:r>
        <w:rPr>
          <w:rStyle w:val="TagStyle"/>
          <w:rFonts w:hint="cs"/>
          <w:rtl/>
        </w:rPr>
        <w:t xml:space="preserve">&lt;&lt; דובר_המשך &gt;&gt; </w:t>
      </w:r>
      <w:r>
        <w:rPr>
          <w:rFonts w:hint="cs"/>
          <w:rtl/>
        </w:rPr>
        <w:t>יואב סגלוביץ' (יש עתיד):</w:t>
      </w:r>
      <w:r>
        <w:rPr>
          <w:rStyle w:val="TagStyle"/>
          <w:rtl/>
        </w:rPr>
        <w:t xml:space="preserve"> &lt;&lt; דובר_המשך &gt;&gt;</w:t>
      </w:r>
      <w:r>
        <w:rPr>
          <w:rFonts w:hint="cs"/>
          <w:rtl/>
        </w:rPr>
        <w:t xml:space="preserve">   </w:t>
      </w:r>
    </w:p>
    <w:p w:rsidR="000C5C1F" w:rsidRDefault="000C5C1F" w:rsidP="000C5C1F">
      <w:pPr>
        <w:rPr>
          <w:rtl/>
        </w:rPr>
      </w:pPr>
    </w:p>
    <w:p w:rsidR="000C5C1F" w:rsidRDefault="000C5C1F" w:rsidP="000C5C1F">
      <w:pPr>
        <w:rPr>
          <w:rtl/>
        </w:rPr>
      </w:pPr>
      <w:bookmarkStart w:id="5981" w:name="_ETM_Q7_309028"/>
      <w:bookmarkStart w:id="5982" w:name="_ETM_Q7_309101"/>
      <w:bookmarkEnd w:id="5981"/>
      <w:bookmarkEnd w:id="5982"/>
      <w:r>
        <w:rPr>
          <w:rFonts w:hint="cs"/>
          <w:rtl/>
        </w:rPr>
        <w:t xml:space="preserve">אדוני היושב-ראש, אני </w:t>
      </w:r>
      <w:bookmarkStart w:id="5983" w:name="_ETM_Q7_313740"/>
      <w:bookmarkEnd w:id="5983"/>
      <w:r>
        <w:rPr>
          <w:rFonts w:hint="cs"/>
          <w:rtl/>
        </w:rPr>
        <w:t>אשמח - - -</w:t>
      </w:r>
    </w:p>
    <w:p w:rsidR="000C5C1F" w:rsidRDefault="000C5C1F" w:rsidP="000C5C1F">
      <w:pPr>
        <w:rPr>
          <w:rtl/>
        </w:rPr>
      </w:pPr>
    </w:p>
    <w:p w:rsidR="000C5C1F" w:rsidRDefault="000C5C1F" w:rsidP="000C5C1F">
      <w:pPr>
        <w:pStyle w:val="af8"/>
        <w:keepNext/>
        <w:rPr>
          <w:rtl/>
        </w:rPr>
      </w:pPr>
      <w:bookmarkStart w:id="5984" w:name="ET_interruption_5084_18"/>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5984"/>
    </w:p>
    <w:p w:rsidR="000C5C1F" w:rsidRDefault="000C5C1F" w:rsidP="00337201">
      <w:pPr>
        <w:rPr>
          <w:rtl/>
        </w:rPr>
      </w:pPr>
    </w:p>
    <w:p w:rsidR="000C5C1F" w:rsidRDefault="000C5C1F" w:rsidP="000C5C1F">
      <w:pPr>
        <w:rPr>
          <w:rtl/>
        </w:rPr>
      </w:pPr>
      <w:r>
        <w:rPr>
          <w:rFonts w:hint="cs"/>
          <w:rtl/>
        </w:rPr>
        <w:t xml:space="preserve">קיבלתם מדינה פורחת. תראו מה עשיתם. בשבעה </w:t>
      </w:r>
      <w:bookmarkStart w:id="5985" w:name="_ETM_Q7_312771"/>
      <w:bookmarkEnd w:id="5985"/>
      <w:r>
        <w:rPr>
          <w:rFonts w:hint="cs"/>
          <w:rtl/>
        </w:rPr>
        <w:t xml:space="preserve">חודשים הרסתם מדינה, בכל תחום </w:t>
      </w:r>
      <w:r>
        <w:t>–</w:t>
      </w:r>
      <w:r>
        <w:rPr>
          <w:rFonts w:hint="cs"/>
          <w:rtl/>
        </w:rPr>
        <w:t xml:space="preserve"> צבא, חברה, מדיני</w:t>
      </w:r>
      <w:bookmarkStart w:id="5986" w:name="_ETM_Q7_321718"/>
      <w:bookmarkStart w:id="5987" w:name="_ETM_Q7_321792"/>
      <w:bookmarkEnd w:id="5986"/>
      <w:bookmarkEnd w:id="5987"/>
      <w:r>
        <w:rPr>
          <w:rFonts w:hint="cs"/>
          <w:rtl/>
        </w:rPr>
        <w:t xml:space="preserve">, כלכלי. אין פינה אחת שלא הרסתם. תתביישו לכם. הרס מדינת ישראל על הידיים שלכם. </w:t>
      </w:r>
    </w:p>
    <w:p w:rsidR="000C5C1F" w:rsidRDefault="000C5C1F" w:rsidP="000C5C1F">
      <w:pPr>
        <w:rPr>
          <w:rtl/>
        </w:rPr>
      </w:pPr>
      <w:bookmarkStart w:id="5988" w:name="_ETM_Q7_327836"/>
      <w:bookmarkStart w:id="5989" w:name="_ETM_Q7_327880"/>
      <w:bookmarkEnd w:id="5988"/>
      <w:bookmarkEnd w:id="5989"/>
    </w:p>
    <w:p w:rsidR="000C5C1F" w:rsidRDefault="000C5C1F" w:rsidP="000C5C1F">
      <w:pPr>
        <w:pStyle w:val="af8"/>
        <w:keepNext/>
        <w:rPr>
          <w:rtl/>
        </w:rPr>
      </w:pPr>
      <w:bookmarkStart w:id="5990" w:name="_ETM_Q7_332980"/>
      <w:bookmarkStart w:id="5991" w:name="_ETM_Q7_333067"/>
      <w:bookmarkEnd w:id="5990"/>
      <w:bookmarkEnd w:id="5991"/>
      <w:r>
        <w:rPr>
          <w:rStyle w:val="TagStyle"/>
          <w:rFonts w:hint="cs"/>
          <w:rtl/>
        </w:rPr>
        <w:t xml:space="preserve">&lt;&lt; קריאה &gt;&gt; </w:t>
      </w:r>
      <w:r>
        <w:rPr>
          <w:rFonts w:hint="cs"/>
          <w:rtl/>
        </w:rPr>
        <w:t>שר החוץ אלי כהן:</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 xml:space="preserve">לעולם לא תוכל למחוק את הכתם הזה. לעולם - - - </w:t>
      </w:r>
    </w:p>
    <w:p w:rsidR="000C5C1F" w:rsidRDefault="000C5C1F" w:rsidP="000C5C1F">
      <w:pPr>
        <w:rPr>
          <w:rtl/>
        </w:rPr>
      </w:pPr>
    </w:p>
    <w:p w:rsidR="000C5C1F" w:rsidRDefault="000C5C1F" w:rsidP="000C5C1F">
      <w:pPr>
        <w:pStyle w:val="-"/>
        <w:keepNext/>
        <w:rPr>
          <w:rtl/>
        </w:rPr>
      </w:pPr>
      <w:r>
        <w:rPr>
          <w:rStyle w:val="TagStyle"/>
          <w:rFonts w:hint="cs"/>
          <w:rtl/>
        </w:rPr>
        <w:t xml:space="preserve">&lt;&lt; דובר_המשך &gt;&gt; </w:t>
      </w:r>
      <w:r>
        <w:rPr>
          <w:rFonts w:hint="cs"/>
          <w:rtl/>
        </w:rPr>
        <w:t>יואב סגלוביץ' (יש עתיד):</w:t>
      </w:r>
      <w:r>
        <w:rPr>
          <w:rStyle w:val="TagStyle"/>
          <w:rtl/>
        </w:rPr>
        <w:t xml:space="preserve"> &lt;&lt; דובר_המשך &gt;&gt;</w:t>
      </w:r>
      <w:r>
        <w:rPr>
          <w:rFonts w:hint="cs"/>
          <w:rtl/>
        </w:rPr>
        <w:t xml:space="preserve">   </w:t>
      </w:r>
    </w:p>
    <w:p w:rsidR="000C5C1F" w:rsidRDefault="000C5C1F" w:rsidP="000C5C1F">
      <w:pPr>
        <w:ind w:firstLine="0"/>
        <w:rPr>
          <w:rtl/>
        </w:rPr>
      </w:pPr>
    </w:p>
    <w:p w:rsidR="000C5C1F" w:rsidRDefault="000C5C1F" w:rsidP="000C5C1F">
      <w:pPr>
        <w:ind w:firstLine="0"/>
        <w:rPr>
          <w:rtl/>
        </w:rPr>
      </w:pPr>
      <w:r>
        <w:rPr>
          <w:rFonts w:hint="cs"/>
          <w:rtl/>
        </w:rPr>
        <w:tab/>
        <w:t>ובמקום לשבת פה כשר תורן, תכנס קבינט ותשמע את ההשלכות</w:t>
      </w:r>
      <w:bookmarkStart w:id="5992" w:name="_ETM_Q7_319268"/>
      <w:bookmarkStart w:id="5993" w:name="_ETM_Q7_319343"/>
      <w:bookmarkStart w:id="5994" w:name="_ETM_Q7_301955"/>
      <w:bookmarkStart w:id="5995" w:name="_ETM_Q7_334220"/>
      <w:bookmarkEnd w:id="5992"/>
      <w:bookmarkEnd w:id="5993"/>
      <w:bookmarkEnd w:id="5994"/>
      <w:bookmarkEnd w:id="5995"/>
      <w:r>
        <w:rPr>
          <w:rFonts w:hint="cs"/>
          <w:rtl/>
        </w:rPr>
        <w:t xml:space="preserve">; ותקרא </w:t>
      </w:r>
      <w:bookmarkStart w:id="5996" w:name="_ETM_Q7_334669"/>
      <w:bookmarkEnd w:id="5996"/>
      <w:r>
        <w:rPr>
          <w:rFonts w:hint="cs"/>
          <w:rtl/>
        </w:rPr>
        <w:t xml:space="preserve">לפרקליטה </w:t>
      </w:r>
      <w:bookmarkStart w:id="5997" w:name="_ETM_Q7_335120"/>
      <w:bookmarkEnd w:id="5997"/>
      <w:r>
        <w:rPr>
          <w:rFonts w:hint="cs"/>
          <w:rtl/>
        </w:rPr>
        <w:t xml:space="preserve">הצבאית </w:t>
      </w:r>
      <w:bookmarkStart w:id="5998" w:name="_ETM_Q7_335419"/>
      <w:bookmarkEnd w:id="5998"/>
      <w:r>
        <w:rPr>
          <w:rFonts w:hint="cs"/>
          <w:rtl/>
        </w:rPr>
        <w:t xml:space="preserve">הראשית </w:t>
      </w:r>
      <w:bookmarkStart w:id="5999" w:name="_ETM_Q7_335810"/>
      <w:bookmarkEnd w:id="5999"/>
      <w:r>
        <w:rPr>
          <w:rFonts w:hint="cs"/>
          <w:rtl/>
        </w:rPr>
        <w:t xml:space="preserve">וליועצת </w:t>
      </w:r>
      <w:bookmarkStart w:id="6000" w:name="_ETM_Q7_336079"/>
      <w:bookmarkEnd w:id="6000"/>
      <w:r>
        <w:rPr>
          <w:rFonts w:hint="cs"/>
          <w:rtl/>
        </w:rPr>
        <w:t xml:space="preserve">המשפטית </w:t>
      </w:r>
      <w:bookmarkStart w:id="6001" w:name="_ETM_Q7_336470"/>
      <w:bookmarkEnd w:id="6001"/>
      <w:r>
        <w:rPr>
          <w:rFonts w:hint="cs"/>
          <w:rtl/>
        </w:rPr>
        <w:t xml:space="preserve">לממשלה </w:t>
      </w:r>
      <w:bookmarkStart w:id="6002" w:name="_ETM_Q7_339049"/>
      <w:bookmarkEnd w:id="6002"/>
      <w:r>
        <w:rPr>
          <w:rFonts w:hint="cs"/>
          <w:rtl/>
        </w:rPr>
        <w:t xml:space="preserve">- - </w:t>
      </w:r>
    </w:p>
    <w:p w:rsidR="000C5C1F" w:rsidRDefault="000C5C1F" w:rsidP="000C5C1F">
      <w:pPr>
        <w:ind w:firstLine="0"/>
        <w:rPr>
          <w:rtl/>
        </w:rPr>
      </w:pPr>
    </w:p>
    <w:p w:rsidR="000C5C1F" w:rsidRDefault="000C5C1F" w:rsidP="000C5C1F">
      <w:pPr>
        <w:pStyle w:val="af8"/>
        <w:keepNext/>
        <w:rPr>
          <w:rtl/>
        </w:rPr>
      </w:pPr>
      <w:r>
        <w:rPr>
          <w:rStyle w:val="TagStyle"/>
          <w:rFonts w:hint="cs"/>
          <w:rtl/>
        </w:rPr>
        <w:t xml:space="preserve">&lt;&lt; קריאה &gt;&gt; </w:t>
      </w:r>
      <w:r>
        <w:rPr>
          <w:rFonts w:hint="cs"/>
          <w:rtl/>
        </w:rPr>
        <w:t>שר החוץ אלי כהן:</w:t>
      </w:r>
      <w:r>
        <w:rPr>
          <w:rStyle w:val="TagStyle"/>
          <w:rtl/>
        </w:rPr>
        <w:t xml:space="preserve"> &lt;&lt; קריאה &gt;&gt;</w:t>
      </w:r>
      <w:r>
        <w:rPr>
          <w:rFonts w:hint="cs"/>
          <w:rtl/>
        </w:rPr>
        <w:t xml:space="preserve">   </w:t>
      </w:r>
    </w:p>
    <w:p w:rsidR="000C5C1F" w:rsidRDefault="000C5C1F" w:rsidP="000C5C1F">
      <w:pPr>
        <w:rPr>
          <w:rtl/>
        </w:rPr>
      </w:pPr>
    </w:p>
    <w:p w:rsidR="000C5C1F" w:rsidRDefault="000C5C1F" w:rsidP="000C5C1F">
      <w:pPr>
        <w:rPr>
          <w:rtl/>
        </w:rPr>
      </w:pPr>
      <w:r>
        <w:rPr>
          <w:rFonts w:hint="cs"/>
          <w:rtl/>
        </w:rPr>
        <w:t>אני הרבה יותר רגוע כשנתניהו בקבינט ולא לפיד. תאמין לי, הרבה יותר רגוע.</w:t>
      </w:r>
    </w:p>
    <w:p w:rsidR="000C5C1F" w:rsidRDefault="000C5C1F" w:rsidP="000C5C1F">
      <w:pPr>
        <w:ind w:firstLine="0"/>
        <w:rPr>
          <w:rtl/>
        </w:rPr>
      </w:pPr>
    </w:p>
    <w:p w:rsidR="000C5C1F" w:rsidRDefault="000C5C1F" w:rsidP="000C5C1F">
      <w:pPr>
        <w:pStyle w:val="-"/>
        <w:keepNext/>
        <w:rPr>
          <w:rtl/>
        </w:rPr>
      </w:pPr>
      <w:r>
        <w:rPr>
          <w:rStyle w:val="TagStyle"/>
          <w:rFonts w:hint="cs"/>
          <w:rtl/>
        </w:rPr>
        <w:t xml:space="preserve">&lt;&lt; דובר_המשך &gt;&gt; </w:t>
      </w:r>
      <w:r>
        <w:rPr>
          <w:rFonts w:hint="cs"/>
          <w:rtl/>
        </w:rPr>
        <w:t>יואב סגלוביץ' (יש עתיד):</w:t>
      </w:r>
      <w:r>
        <w:rPr>
          <w:rStyle w:val="TagStyle"/>
          <w:rtl/>
        </w:rPr>
        <w:t xml:space="preserve"> &lt;&lt; דובר_המשך &gt;&gt;</w:t>
      </w:r>
      <w:r>
        <w:rPr>
          <w:rFonts w:hint="cs"/>
          <w:rtl/>
        </w:rPr>
        <w:t xml:space="preserve">   </w:t>
      </w:r>
    </w:p>
    <w:p w:rsidR="000C5C1F" w:rsidRDefault="000C5C1F" w:rsidP="000C5C1F">
      <w:pPr>
        <w:ind w:firstLine="0"/>
        <w:rPr>
          <w:rtl/>
        </w:rPr>
      </w:pPr>
      <w:bookmarkStart w:id="6003" w:name="_ETM_Q7_337664"/>
      <w:bookmarkStart w:id="6004" w:name="_ETM_Q7_337751"/>
      <w:bookmarkEnd w:id="6003"/>
      <w:bookmarkEnd w:id="6004"/>
    </w:p>
    <w:p w:rsidR="000C5C1F" w:rsidRDefault="000C5C1F" w:rsidP="000C5C1F">
      <w:pPr>
        <w:rPr>
          <w:rtl/>
        </w:rPr>
      </w:pPr>
      <w:r>
        <w:rPr>
          <w:rFonts w:hint="cs"/>
          <w:rtl/>
        </w:rPr>
        <w:t xml:space="preserve">- - ותיפגש </w:t>
      </w:r>
      <w:bookmarkStart w:id="6005" w:name="_ETM_Q7_335560"/>
      <w:bookmarkEnd w:id="6005"/>
      <w:r>
        <w:rPr>
          <w:rFonts w:hint="cs"/>
          <w:rtl/>
        </w:rPr>
        <w:t xml:space="preserve">עם שר הביטחון, כי </w:t>
      </w:r>
      <w:bookmarkStart w:id="6006" w:name="_ETM_Q7_339169"/>
      <w:bookmarkEnd w:id="6006"/>
      <w:r>
        <w:rPr>
          <w:rFonts w:hint="cs"/>
          <w:rtl/>
        </w:rPr>
        <w:t xml:space="preserve">יש </w:t>
      </w:r>
      <w:bookmarkStart w:id="6007" w:name="_ETM_Q7_339290"/>
      <w:bookmarkEnd w:id="6007"/>
      <w:r>
        <w:rPr>
          <w:rFonts w:hint="cs"/>
          <w:rtl/>
        </w:rPr>
        <w:t xml:space="preserve">לך </w:t>
      </w:r>
      <w:bookmarkStart w:id="6008" w:name="_ETM_Q7_339530"/>
      <w:bookmarkEnd w:id="6008"/>
      <w:r>
        <w:rPr>
          <w:rFonts w:hint="cs"/>
          <w:rtl/>
        </w:rPr>
        <w:t xml:space="preserve">אחריות, </w:t>
      </w:r>
      <w:bookmarkStart w:id="6009" w:name="_ETM_Q7_339889"/>
      <w:bookmarkEnd w:id="6009"/>
      <w:r>
        <w:rPr>
          <w:rFonts w:hint="cs"/>
          <w:rtl/>
        </w:rPr>
        <w:t>ש</w:t>
      </w:r>
      <w:bookmarkStart w:id="6010" w:name="_ETM_Q7_340010"/>
      <w:bookmarkEnd w:id="6010"/>
      <w:r>
        <w:rPr>
          <w:rFonts w:hint="cs"/>
          <w:rtl/>
        </w:rPr>
        <w:t xml:space="preserve">שכחת </w:t>
      </w:r>
      <w:bookmarkStart w:id="6011" w:name="_ETM_Q7_340519"/>
      <w:bookmarkEnd w:id="6011"/>
      <w:r>
        <w:rPr>
          <w:rFonts w:hint="cs"/>
          <w:rtl/>
        </w:rPr>
        <w:t xml:space="preserve">אותה, </w:t>
      </w:r>
      <w:bookmarkStart w:id="6012" w:name="_ETM_Q7_341060"/>
      <w:bookmarkEnd w:id="6012"/>
      <w:r>
        <w:rPr>
          <w:rFonts w:hint="cs"/>
          <w:rtl/>
        </w:rPr>
        <w:t xml:space="preserve">ואולי </w:t>
      </w:r>
      <w:bookmarkStart w:id="6013" w:name="_ETM_Q7_341329"/>
      <w:bookmarkEnd w:id="6013"/>
      <w:r>
        <w:rPr>
          <w:rFonts w:hint="cs"/>
          <w:rtl/>
        </w:rPr>
        <w:t xml:space="preserve">לא </w:t>
      </w:r>
      <w:bookmarkStart w:id="6014" w:name="_ETM_Q7_341450"/>
      <w:bookmarkEnd w:id="6014"/>
      <w:r>
        <w:rPr>
          <w:rFonts w:hint="cs"/>
          <w:rtl/>
        </w:rPr>
        <w:t xml:space="preserve">הייתה </w:t>
      </w:r>
      <w:bookmarkStart w:id="6015" w:name="_ETM_Q7_341629"/>
      <w:bookmarkEnd w:id="6015"/>
      <w:r>
        <w:rPr>
          <w:rFonts w:hint="cs"/>
          <w:rtl/>
        </w:rPr>
        <w:t xml:space="preserve">לך </w:t>
      </w:r>
      <w:bookmarkStart w:id="6016" w:name="_ETM_Q7_341870"/>
      <w:bookmarkEnd w:id="6016"/>
      <w:r>
        <w:rPr>
          <w:rFonts w:hint="cs"/>
          <w:rtl/>
        </w:rPr>
        <w:t xml:space="preserve">אף </w:t>
      </w:r>
      <w:bookmarkStart w:id="6017" w:name="_ETM_Q7_341959"/>
      <w:bookmarkEnd w:id="6017"/>
      <w:r>
        <w:rPr>
          <w:rFonts w:hint="cs"/>
          <w:rtl/>
        </w:rPr>
        <w:t xml:space="preserve">פעם, </w:t>
      </w:r>
      <w:bookmarkStart w:id="6018" w:name="_ETM_Q7_342650"/>
      <w:bookmarkEnd w:id="6018"/>
      <w:r>
        <w:rPr>
          <w:rFonts w:hint="cs"/>
          <w:rtl/>
        </w:rPr>
        <w:t xml:space="preserve">אבל </w:t>
      </w:r>
      <w:bookmarkStart w:id="6019" w:name="_ETM_Q7_342889"/>
      <w:bookmarkEnd w:id="6019"/>
      <w:r>
        <w:rPr>
          <w:rFonts w:hint="cs"/>
          <w:rtl/>
        </w:rPr>
        <w:t xml:space="preserve">זאת </w:t>
      </w:r>
      <w:bookmarkStart w:id="6020" w:name="_ETM_Q7_343040"/>
      <w:bookmarkEnd w:id="6020"/>
      <w:r>
        <w:rPr>
          <w:rFonts w:hint="cs"/>
          <w:rtl/>
        </w:rPr>
        <w:t xml:space="preserve">הממשלה </w:t>
      </w:r>
      <w:bookmarkStart w:id="6021" w:name="_ETM_Q7_343519"/>
      <w:bookmarkEnd w:id="6021"/>
      <w:r>
        <w:rPr>
          <w:rFonts w:hint="cs"/>
          <w:rtl/>
        </w:rPr>
        <w:t xml:space="preserve">שאתה </w:t>
      </w:r>
      <w:bookmarkStart w:id="6022" w:name="_ETM_Q7_343909"/>
      <w:bookmarkEnd w:id="6022"/>
      <w:r>
        <w:rPr>
          <w:rFonts w:hint="cs"/>
          <w:rtl/>
        </w:rPr>
        <w:t xml:space="preserve">נמצא </w:t>
      </w:r>
      <w:bookmarkStart w:id="6023" w:name="_ETM_Q7_344269"/>
      <w:bookmarkEnd w:id="6023"/>
      <w:r>
        <w:rPr>
          <w:rFonts w:hint="cs"/>
          <w:rtl/>
        </w:rPr>
        <w:t xml:space="preserve">בה </w:t>
      </w:r>
      <w:bookmarkStart w:id="6024" w:name="_ETM_Q7_344360"/>
      <w:bookmarkEnd w:id="6024"/>
      <w:r>
        <w:rPr>
          <w:rFonts w:hint="cs"/>
          <w:rtl/>
        </w:rPr>
        <w:t xml:space="preserve">כשר </w:t>
      </w:r>
      <w:bookmarkStart w:id="6025" w:name="_ETM_Q7_344659"/>
      <w:bookmarkEnd w:id="6025"/>
      <w:r>
        <w:rPr>
          <w:rFonts w:hint="cs"/>
          <w:rtl/>
        </w:rPr>
        <w:t xml:space="preserve">החוץ, </w:t>
      </w:r>
      <w:bookmarkStart w:id="6026" w:name="_ETM_Q7_344959"/>
      <w:bookmarkEnd w:id="6026"/>
      <w:r>
        <w:rPr>
          <w:rFonts w:hint="cs"/>
          <w:rtl/>
        </w:rPr>
        <w:t xml:space="preserve">ולא </w:t>
      </w:r>
      <w:bookmarkStart w:id="6027" w:name="_ETM_Q7_345230"/>
      <w:bookmarkEnd w:id="6027"/>
      <w:r>
        <w:rPr>
          <w:rFonts w:hint="cs"/>
          <w:rtl/>
        </w:rPr>
        <w:t xml:space="preserve">אני. </w:t>
      </w:r>
      <w:bookmarkStart w:id="6028" w:name="_ETM_Q7_345870"/>
      <w:bookmarkEnd w:id="6028"/>
      <w:r>
        <w:rPr>
          <w:rFonts w:hint="cs"/>
          <w:rtl/>
        </w:rPr>
        <w:t xml:space="preserve">ואתה </w:t>
      </w:r>
      <w:bookmarkStart w:id="6029" w:name="_ETM_Q7_346349"/>
      <w:bookmarkEnd w:id="6029"/>
      <w:r>
        <w:rPr>
          <w:rFonts w:hint="cs"/>
          <w:rtl/>
        </w:rPr>
        <w:t xml:space="preserve">לא </w:t>
      </w:r>
      <w:bookmarkStart w:id="6030" w:name="_ETM_Q7_346470"/>
      <w:bookmarkEnd w:id="6030"/>
      <w:r>
        <w:rPr>
          <w:rFonts w:hint="cs"/>
          <w:rtl/>
        </w:rPr>
        <w:t xml:space="preserve">יודע </w:t>
      </w:r>
      <w:bookmarkStart w:id="6031" w:name="_ETM_Q7_346800"/>
      <w:bookmarkEnd w:id="6031"/>
      <w:r>
        <w:rPr>
          <w:rFonts w:hint="cs"/>
          <w:rtl/>
        </w:rPr>
        <w:t xml:space="preserve">דבר </w:t>
      </w:r>
      <w:bookmarkStart w:id="6032" w:name="_ETM_Q7_347099"/>
      <w:bookmarkEnd w:id="6032"/>
      <w:r>
        <w:rPr>
          <w:rFonts w:hint="cs"/>
          <w:rtl/>
        </w:rPr>
        <w:t xml:space="preserve">וחצי </w:t>
      </w:r>
      <w:bookmarkStart w:id="6033" w:name="_ETM_Q7_347459"/>
      <w:bookmarkEnd w:id="6033"/>
      <w:r>
        <w:rPr>
          <w:rFonts w:hint="cs"/>
          <w:rtl/>
        </w:rPr>
        <w:t xml:space="preserve">דבר </w:t>
      </w:r>
      <w:bookmarkStart w:id="6034" w:name="_ETM_Q7_347700"/>
      <w:bookmarkEnd w:id="6034"/>
      <w:r>
        <w:rPr>
          <w:rFonts w:hint="cs"/>
          <w:rtl/>
        </w:rPr>
        <w:t xml:space="preserve">על מה </w:t>
      </w:r>
      <w:bookmarkStart w:id="6035" w:name="_ETM_Q7_347849"/>
      <w:bookmarkEnd w:id="6035"/>
      <w:r>
        <w:rPr>
          <w:rFonts w:hint="cs"/>
          <w:rtl/>
        </w:rPr>
        <w:t xml:space="preserve">שאני </w:t>
      </w:r>
      <w:bookmarkStart w:id="6036" w:name="_ETM_Q7_348060"/>
      <w:bookmarkEnd w:id="6036"/>
      <w:r>
        <w:rPr>
          <w:rFonts w:hint="cs"/>
          <w:rtl/>
        </w:rPr>
        <w:t xml:space="preserve">אומר </w:t>
      </w:r>
      <w:bookmarkStart w:id="6037" w:name="_ETM_Q7_348240"/>
      <w:bookmarkEnd w:id="6037"/>
      <w:r>
        <w:rPr>
          <w:rFonts w:hint="cs"/>
          <w:rtl/>
        </w:rPr>
        <w:t xml:space="preserve">פה </w:t>
      </w:r>
      <w:bookmarkStart w:id="6038" w:name="_ETM_Q7_348389"/>
      <w:bookmarkEnd w:id="6038"/>
      <w:r>
        <w:rPr>
          <w:rFonts w:hint="cs"/>
          <w:rtl/>
        </w:rPr>
        <w:t xml:space="preserve">עכשיו, </w:t>
      </w:r>
      <w:bookmarkStart w:id="6039" w:name="_ETM_Q7_349050"/>
      <w:bookmarkEnd w:id="6039"/>
      <w:r>
        <w:rPr>
          <w:rFonts w:hint="cs"/>
          <w:rtl/>
        </w:rPr>
        <w:t xml:space="preserve">כי </w:t>
      </w:r>
      <w:bookmarkStart w:id="6040" w:name="_ETM_Q7_349230"/>
      <w:bookmarkEnd w:id="6040"/>
      <w:r>
        <w:rPr>
          <w:rFonts w:hint="cs"/>
          <w:rtl/>
        </w:rPr>
        <w:t xml:space="preserve">שום </w:t>
      </w:r>
      <w:bookmarkStart w:id="6041" w:name="_ETM_Q7_349470"/>
      <w:bookmarkEnd w:id="6041"/>
      <w:r>
        <w:rPr>
          <w:rFonts w:hint="cs"/>
          <w:rtl/>
        </w:rPr>
        <w:t xml:space="preserve">דבר </w:t>
      </w:r>
      <w:bookmarkStart w:id="6042" w:name="_ETM_Q7_349800"/>
      <w:bookmarkEnd w:id="6042"/>
      <w:r>
        <w:rPr>
          <w:rFonts w:hint="cs"/>
          <w:rtl/>
        </w:rPr>
        <w:t xml:space="preserve">מהדברים </w:t>
      </w:r>
      <w:bookmarkStart w:id="6043" w:name="_ETM_Q7_350310"/>
      <w:bookmarkEnd w:id="6043"/>
      <w:r>
        <w:rPr>
          <w:rFonts w:hint="cs"/>
          <w:rtl/>
        </w:rPr>
        <w:t xml:space="preserve">האלה </w:t>
      </w:r>
      <w:bookmarkStart w:id="6044" w:name="_ETM_Q7_350580"/>
      <w:bookmarkEnd w:id="6044"/>
      <w:r>
        <w:rPr>
          <w:rFonts w:hint="cs"/>
          <w:rtl/>
        </w:rPr>
        <w:t xml:space="preserve">לא </w:t>
      </w:r>
      <w:bookmarkStart w:id="6045" w:name="_ETM_Q7_350730"/>
      <w:bookmarkEnd w:id="6045"/>
      <w:r>
        <w:rPr>
          <w:rFonts w:hint="cs"/>
          <w:rtl/>
        </w:rPr>
        <w:t xml:space="preserve">נעשה </w:t>
      </w:r>
      <w:bookmarkStart w:id="6046" w:name="_ETM_Q7_351150"/>
      <w:bookmarkEnd w:id="6046"/>
      <w:r>
        <w:rPr>
          <w:rFonts w:hint="cs"/>
          <w:rtl/>
        </w:rPr>
        <w:t xml:space="preserve">– לא </w:t>
      </w:r>
      <w:bookmarkStart w:id="6047" w:name="_ETM_Q7_351270"/>
      <w:bookmarkEnd w:id="6047"/>
      <w:r>
        <w:rPr>
          <w:rFonts w:hint="cs"/>
          <w:rtl/>
        </w:rPr>
        <w:t xml:space="preserve">בוועדת </w:t>
      </w:r>
      <w:bookmarkStart w:id="6048" w:name="_ETM_Q7_351690"/>
      <w:bookmarkEnd w:id="6048"/>
      <w:r>
        <w:rPr>
          <w:rFonts w:hint="cs"/>
          <w:rtl/>
        </w:rPr>
        <w:t xml:space="preserve">חוקה, </w:t>
      </w:r>
      <w:bookmarkStart w:id="6049" w:name="_ETM_Q7_351989"/>
      <w:bookmarkEnd w:id="6049"/>
      <w:r>
        <w:rPr>
          <w:rFonts w:hint="cs"/>
          <w:rtl/>
        </w:rPr>
        <w:t xml:space="preserve">לא </w:t>
      </w:r>
      <w:bookmarkStart w:id="6050" w:name="_ETM_Q7_352080"/>
      <w:bookmarkEnd w:id="6050"/>
      <w:r>
        <w:rPr>
          <w:rFonts w:hint="cs"/>
          <w:rtl/>
        </w:rPr>
        <w:t xml:space="preserve">בשום </w:t>
      </w:r>
      <w:bookmarkStart w:id="6051" w:name="_ETM_Q7_352349"/>
      <w:bookmarkEnd w:id="6051"/>
      <w:r>
        <w:rPr>
          <w:rFonts w:hint="cs"/>
          <w:rtl/>
        </w:rPr>
        <w:t xml:space="preserve">מקום </w:t>
      </w:r>
      <w:bookmarkStart w:id="6052" w:name="_ETM_Q7_352590"/>
      <w:bookmarkEnd w:id="6052"/>
      <w:r>
        <w:rPr>
          <w:rFonts w:hint="cs"/>
          <w:rtl/>
        </w:rPr>
        <w:t xml:space="preserve">אחר; </w:t>
      </w:r>
      <w:bookmarkStart w:id="6053" w:name="_ETM_Q7_353069"/>
      <w:bookmarkEnd w:id="6053"/>
      <w:r>
        <w:rPr>
          <w:rFonts w:hint="cs"/>
          <w:rtl/>
        </w:rPr>
        <w:t xml:space="preserve">לא </w:t>
      </w:r>
      <w:bookmarkStart w:id="6054" w:name="_ETM_Q7_353280"/>
      <w:bookmarkStart w:id="6055" w:name="_ETM_Q7_353430"/>
      <w:bookmarkEnd w:id="6054"/>
      <w:bookmarkEnd w:id="6055"/>
      <w:r>
        <w:rPr>
          <w:rFonts w:hint="cs"/>
          <w:rtl/>
        </w:rPr>
        <w:t xml:space="preserve">הדיונים </w:t>
      </w:r>
      <w:bookmarkStart w:id="6056" w:name="_ETM_Q7_353910"/>
      <w:bookmarkEnd w:id="6056"/>
      <w:r>
        <w:rPr>
          <w:rFonts w:hint="cs"/>
          <w:rtl/>
        </w:rPr>
        <w:t xml:space="preserve">האלה, </w:t>
      </w:r>
      <w:bookmarkStart w:id="6057" w:name="_ETM_Q7_354630"/>
      <w:bookmarkEnd w:id="6057"/>
      <w:r>
        <w:rPr>
          <w:rFonts w:hint="cs"/>
          <w:rtl/>
        </w:rPr>
        <w:t xml:space="preserve">שבאים </w:t>
      </w:r>
      <w:bookmarkStart w:id="6058" w:name="_ETM_Q7_355440"/>
      <w:bookmarkEnd w:id="6058"/>
      <w:r>
        <w:rPr>
          <w:rFonts w:hint="cs"/>
          <w:rtl/>
        </w:rPr>
        <w:t xml:space="preserve">לשמר </w:t>
      </w:r>
      <w:bookmarkStart w:id="6059" w:name="_ETM_Q7_356410"/>
      <w:bookmarkEnd w:id="6059"/>
      <w:r>
        <w:rPr>
          <w:rFonts w:hint="cs"/>
          <w:rtl/>
        </w:rPr>
        <w:t xml:space="preserve">את </w:t>
      </w:r>
      <w:bookmarkStart w:id="6060" w:name="_ETM_Q7_356590"/>
      <w:bookmarkEnd w:id="6060"/>
      <w:r>
        <w:rPr>
          <w:rFonts w:hint="cs"/>
          <w:rtl/>
        </w:rPr>
        <w:t xml:space="preserve">מה </w:t>
      </w:r>
      <w:bookmarkStart w:id="6061" w:name="_ETM_Q7_356770"/>
      <w:bookmarkEnd w:id="6061"/>
      <w:r>
        <w:rPr>
          <w:rFonts w:hint="cs"/>
          <w:rtl/>
        </w:rPr>
        <w:t xml:space="preserve">שיש. </w:t>
      </w:r>
      <w:bookmarkStart w:id="6062" w:name="_ETM_Q7_357310"/>
      <w:bookmarkEnd w:id="6062"/>
      <w:r>
        <w:rPr>
          <w:rFonts w:hint="cs"/>
          <w:rtl/>
        </w:rPr>
        <w:t xml:space="preserve">אתם </w:t>
      </w:r>
      <w:bookmarkStart w:id="6063" w:name="_ETM_Q7_357550"/>
      <w:bookmarkEnd w:id="6063"/>
      <w:r>
        <w:rPr>
          <w:rFonts w:hint="cs"/>
          <w:rtl/>
        </w:rPr>
        <w:t xml:space="preserve">מפקירים </w:t>
      </w:r>
      <w:bookmarkStart w:id="6064" w:name="_ETM_Q7_358060"/>
      <w:bookmarkEnd w:id="6064"/>
      <w:r>
        <w:rPr>
          <w:rFonts w:hint="cs"/>
          <w:rtl/>
        </w:rPr>
        <w:t xml:space="preserve">כל </w:t>
      </w:r>
      <w:bookmarkStart w:id="6065" w:name="_ETM_Q7_358270"/>
      <w:bookmarkEnd w:id="6065"/>
      <w:r>
        <w:rPr>
          <w:rFonts w:hint="cs"/>
          <w:rtl/>
        </w:rPr>
        <w:t xml:space="preserve">דבר </w:t>
      </w:r>
      <w:bookmarkStart w:id="6066" w:name="_ETM_Q7_358900"/>
      <w:bookmarkEnd w:id="6066"/>
      <w:r>
        <w:rPr>
          <w:rFonts w:hint="cs"/>
          <w:rtl/>
        </w:rPr>
        <w:t xml:space="preserve">ועושים </w:t>
      </w:r>
      <w:bookmarkStart w:id="6067" w:name="_ETM_Q7_359260"/>
      <w:bookmarkEnd w:id="6067"/>
      <w:r>
        <w:rPr>
          <w:rFonts w:hint="cs"/>
          <w:rtl/>
        </w:rPr>
        <w:t xml:space="preserve">כל </w:t>
      </w:r>
      <w:bookmarkStart w:id="6068" w:name="_ETM_Q7_359470"/>
      <w:bookmarkEnd w:id="6068"/>
      <w:r>
        <w:rPr>
          <w:rFonts w:hint="cs"/>
          <w:rtl/>
        </w:rPr>
        <w:t xml:space="preserve">דבר </w:t>
      </w:r>
      <w:bookmarkStart w:id="6069" w:name="_ETM_Q7_359800"/>
      <w:bookmarkEnd w:id="6069"/>
      <w:r>
        <w:rPr>
          <w:rFonts w:hint="cs"/>
          <w:rtl/>
        </w:rPr>
        <w:t xml:space="preserve">רק למען </w:t>
      </w:r>
      <w:bookmarkStart w:id="6070" w:name="_ETM_Q7_359980"/>
      <w:bookmarkEnd w:id="6070"/>
      <w:r>
        <w:rPr>
          <w:rFonts w:hint="cs"/>
          <w:rtl/>
        </w:rPr>
        <w:t xml:space="preserve">טובתכם </w:t>
      </w:r>
      <w:bookmarkStart w:id="6071" w:name="_ETM_Q7_360430"/>
      <w:bookmarkEnd w:id="6071"/>
      <w:r>
        <w:rPr>
          <w:rFonts w:hint="cs"/>
          <w:rtl/>
        </w:rPr>
        <w:t xml:space="preserve">האישית. </w:t>
      </w:r>
      <w:bookmarkStart w:id="6072" w:name="_ETM_Q7_361030"/>
      <w:bookmarkStart w:id="6073" w:name="_ETM_Q7_363802"/>
      <w:bookmarkStart w:id="6074" w:name="_ETM_Q7_363871"/>
      <w:bookmarkStart w:id="6075" w:name="_ETM_Q7_363962"/>
      <w:bookmarkStart w:id="6076" w:name="_ETM_Q7_364014"/>
      <w:bookmarkEnd w:id="6072"/>
      <w:bookmarkEnd w:id="6073"/>
      <w:bookmarkEnd w:id="6074"/>
      <w:bookmarkEnd w:id="6075"/>
      <w:bookmarkEnd w:id="6076"/>
      <w:r>
        <w:rPr>
          <w:rFonts w:hint="cs"/>
          <w:rtl/>
        </w:rPr>
        <w:t xml:space="preserve">שחיתות </w:t>
      </w:r>
      <w:bookmarkStart w:id="6077" w:name="_ETM_Q7_361540"/>
      <w:bookmarkEnd w:id="6077"/>
      <w:r>
        <w:rPr>
          <w:rFonts w:hint="cs"/>
          <w:rtl/>
        </w:rPr>
        <w:t xml:space="preserve">ומושחתים </w:t>
      </w:r>
      <w:bookmarkStart w:id="6078" w:name="_ETM_Q7_362080"/>
      <w:bookmarkEnd w:id="6078"/>
      <w:r>
        <w:rPr>
          <w:rFonts w:hint="cs"/>
          <w:rtl/>
        </w:rPr>
        <w:t xml:space="preserve">– זה </w:t>
      </w:r>
      <w:bookmarkStart w:id="6079" w:name="_ETM_Q7_362230"/>
      <w:bookmarkEnd w:id="6079"/>
      <w:r>
        <w:rPr>
          <w:rFonts w:hint="cs"/>
          <w:rtl/>
        </w:rPr>
        <w:t xml:space="preserve">מה </w:t>
      </w:r>
      <w:bookmarkStart w:id="6080" w:name="_ETM_Q7_362350"/>
      <w:bookmarkEnd w:id="6080"/>
      <w:r>
        <w:rPr>
          <w:rFonts w:hint="cs"/>
          <w:rtl/>
        </w:rPr>
        <w:t xml:space="preserve">שאתם, </w:t>
      </w:r>
      <w:bookmarkStart w:id="6081" w:name="_ETM_Q7_362620"/>
      <w:bookmarkEnd w:id="6081"/>
      <w:r>
        <w:rPr>
          <w:rFonts w:hint="cs"/>
          <w:rtl/>
        </w:rPr>
        <w:t xml:space="preserve">וזו </w:t>
      </w:r>
      <w:bookmarkStart w:id="6082" w:name="_ETM_Q7_362830"/>
      <w:bookmarkEnd w:id="6082"/>
      <w:r>
        <w:rPr>
          <w:rFonts w:hint="cs"/>
          <w:rtl/>
        </w:rPr>
        <w:t xml:space="preserve">תכלית </w:t>
      </w:r>
      <w:bookmarkStart w:id="6083" w:name="_ETM_Q7_363160"/>
      <w:bookmarkEnd w:id="6083"/>
      <w:r>
        <w:rPr>
          <w:rFonts w:hint="cs"/>
          <w:rtl/>
        </w:rPr>
        <w:t xml:space="preserve">החוק </w:t>
      </w:r>
      <w:bookmarkStart w:id="6084" w:name="_ETM_Q7_363460"/>
      <w:bookmarkEnd w:id="6084"/>
      <w:r>
        <w:rPr>
          <w:rFonts w:hint="cs"/>
          <w:rtl/>
        </w:rPr>
        <w:t xml:space="preserve">הזה. </w:t>
      </w:r>
      <w:bookmarkStart w:id="6085" w:name="_ETM_Q7_364690"/>
      <w:bookmarkStart w:id="6086" w:name="_ETM_Q7_367471"/>
      <w:bookmarkEnd w:id="6085"/>
      <w:bookmarkEnd w:id="6086"/>
    </w:p>
    <w:p w:rsidR="000C5C1F" w:rsidRDefault="000C5C1F" w:rsidP="000C5C1F">
      <w:pPr>
        <w:rPr>
          <w:rtl/>
        </w:rPr>
      </w:pPr>
      <w:bookmarkStart w:id="6087" w:name="_ETM_Q7_367522"/>
      <w:bookmarkStart w:id="6088" w:name="_ETM_Q7_367623"/>
      <w:bookmarkEnd w:id="6087"/>
      <w:bookmarkEnd w:id="6088"/>
    </w:p>
    <w:p w:rsidR="000C5C1F" w:rsidRDefault="000C5C1F" w:rsidP="000C5C1F">
      <w:pPr>
        <w:rPr>
          <w:rtl/>
        </w:rPr>
      </w:pPr>
      <w:bookmarkStart w:id="6089" w:name="_ETM_Q7_367687"/>
      <w:bookmarkEnd w:id="6089"/>
      <w:r>
        <w:rPr>
          <w:rFonts w:hint="cs"/>
          <w:rtl/>
        </w:rPr>
        <w:t xml:space="preserve">הממשלה </w:t>
      </w:r>
      <w:bookmarkStart w:id="6090" w:name="_ETM_Q7_365260"/>
      <w:bookmarkEnd w:id="6090"/>
      <w:r>
        <w:rPr>
          <w:rFonts w:hint="cs"/>
          <w:rtl/>
        </w:rPr>
        <w:t xml:space="preserve">הזאת </w:t>
      </w:r>
      <w:bookmarkStart w:id="6091" w:name="_ETM_Q7_365500"/>
      <w:bookmarkEnd w:id="6091"/>
      <w:r>
        <w:rPr>
          <w:rFonts w:hint="cs"/>
          <w:rtl/>
        </w:rPr>
        <w:t xml:space="preserve">חצי </w:t>
      </w:r>
      <w:bookmarkStart w:id="6092" w:name="_ETM_Q7_365770"/>
      <w:bookmarkEnd w:id="6092"/>
      <w:r>
        <w:rPr>
          <w:rFonts w:hint="cs"/>
          <w:rtl/>
        </w:rPr>
        <w:t xml:space="preserve">שנה </w:t>
      </w:r>
      <w:bookmarkStart w:id="6093" w:name="_ETM_Q7_366040"/>
      <w:bookmarkEnd w:id="6093"/>
      <w:r>
        <w:rPr>
          <w:rFonts w:hint="cs"/>
          <w:rtl/>
        </w:rPr>
        <w:t xml:space="preserve">לא </w:t>
      </w:r>
      <w:bookmarkStart w:id="6094" w:name="_ETM_Q7_366160"/>
      <w:bookmarkStart w:id="6095" w:name="_ETM_Q7_366340"/>
      <w:bookmarkEnd w:id="6094"/>
      <w:bookmarkEnd w:id="6095"/>
      <w:r>
        <w:rPr>
          <w:rFonts w:hint="cs"/>
          <w:rtl/>
        </w:rPr>
        <w:t xml:space="preserve">עוסקת כמעט </w:t>
      </w:r>
      <w:bookmarkStart w:id="6096" w:name="_ETM_Q7_366580"/>
      <w:bookmarkEnd w:id="6096"/>
      <w:r>
        <w:rPr>
          <w:rFonts w:hint="cs"/>
          <w:rtl/>
        </w:rPr>
        <w:t xml:space="preserve">בשום </w:t>
      </w:r>
      <w:bookmarkStart w:id="6097" w:name="_ETM_Q7_366880"/>
      <w:bookmarkEnd w:id="6097"/>
      <w:r>
        <w:rPr>
          <w:rFonts w:hint="cs"/>
          <w:rtl/>
        </w:rPr>
        <w:t xml:space="preserve">דבר </w:t>
      </w:r>
      <w:bookmarkStart w:id="6098" w:name="_ETM_Q7_367180"/>
      <w:bookmarkEnd w:id="6098"/>
      <w:r>
        <w:rPr>
          <w:rFonts w:hint="cs"/>
          <w:rtl/>
        </w:rPr>
        <w:t xml:space="preserve">שקשור </w:t>
      </w:r>
      <w:bookmarkStart w:id="6099" w:name="_ETM_Q7_367570"/>
      <w:bookmarkEnd w:id="6099"/>
      <w:r>
        <w:rPr>
          <w:rFonts w:hint="cs"/>
          <w:rtl/>
        </w:rPr>
        <w:t xml:space="preserve">לחיים </w:t>
      </w:r>
      <w:bookmarkStart w:id="6100" w:name="_ETM_Q7_367870"/>
      <w:bookmarkEnd w:id="6100"/>
      <w:r>
        <w:rPr>
          <w:rFonts w:hint="cs"/>
          <w:rtl/>
        </w:rPr>
        <w:t xml:space="preserve">שלנו. </w:t>
      </w:r>
      <w:bookmarkStart w:id="6101" w:name="_ETM_Q7_368959"/>
      <w:bookmarkEnd w:id="6101"/>
      <w:r>
        <w:rPr>
          <w:rFonts w:hint="cs"/>
          <w:rtl/>
        </w:rPr>
        <w:t>כל</w:t>
      </w:r>
      <w:bookmarkStart w:id="6102" w:name="_ETM_Q7_369169"/>
      <w:bookmarkEnd w:id="6102"/>
      <w:r>
        <w:rPr>
          <w:rFonts w:hint="cs"/>
          <w:rtl/>
        </w:rPr>
        <w:t xml:space="preserve">-כולכם </w:t>
      </w:r>
      <w:bookmarkStart w:id="6103" w:name="_ETM_Q7_369529"/>
      <w:bookmarkEnd w:id="6103"/>
      <w:r>
        <w:rPr>
          <w:rFonts w:hint="cs"/>
          <w:rtl/>
        </w:rPr>
        <w:t xml:space="preserve">במהפכה. </w:t>
      </w:r>
      <w:bookmarkStart w:id="6104" w:name="_ETM_Q7_370669"/>
      <w:bookmarkEnd w:id="6104"/>
      <w:r>
        <w:rPr>
          <w:rFonts w:hint="cs"/>
          <w:rtl/>
        </w:rPr>
        <w:t xml:space="preserve">מה </w:t>
      </w:r>
      <w:bookmarkStart w:id="6105" w:name="_ETM_Q7_370849"/>
      <w:bookmarkEnd w:id="6105"/>
      <w:r>
        <w:rPr>
          <w:rFonts w:hint="cs"/>
          <w:rtl/>
        </w:rPr>
        <w:t xml:space="preserve">עם </w:t>
      </w:r>
      <w:bookmarkStart w:id="6106" w:name="_ETM_Q7_370939"/>
      <w:bookmarkEnd w:id="6106"/>
      <w:r>
        <w:rPr>
          <w:rFonts w:hint="cs"/>
          <w:rtl/>
        </w:rPr>
        <w:t xml:space="preserve">כלכלה, </w:t>
      </w:r>
      <w:bookmarkStart w:id="6107" w:name="_ETM_Q7_371599"/>
      <w:bookmarkEnd w:id="6107"/>
      <w:r>
        <w:rPr>
          <w:rFonts w:hint="cs"/>
          <w:rtl/>
        </w:rPr>
        <w:t xml:space="preserve">יוקר </w:t>
      </w:r>
      <w:bookmarkStart w:id="6108" w:name="_ETM_Q7_371930"/>
      <w:bookmarkEnd w:id="6108"/>
      <w:r>
        <w:rPr>
          <w:rFonts w:hint="cs"/>
          <w:rtl/>
        </w:rPr>
        <w:t xml:space="preserve">מחיה, </w:t>
      </w:r>
      <w:bookmarkStart w:id="6109" w:name="_ETM_Q7_372260"/>
      <w:bookmarkEnd w:id="6109"/>
      <w:r>
        <w:rPr>
          <w:rFonts w:hint="cs"/>
          <w:rtl/>
        </w:rPr>
        <w:t xml:space="preserve">מאבק </w:t>
      </w:r>
      <w:bookmarkStart w:id="6110" w:name="_ETM_Q7_372650"/>
      <w:bookmarkEnd w:id="6110"/>
      <w:r>
        <w:rPr>
          <w:rFonts w:hint="cs"/>
          <w:rtl/>
        </w:rPr>
        <w:t xml:space="preserve">בפשיעה, </w:t>
      </w:r>
      <w:bookmarkStart w:id="6111" w:name="_ETM_Q7_373189"/>
      <w:bookmarkEnd w:id="6111"/>
      <w:r>
        <w:rPr>
          <w:rFonts w:hint="cs"/>
          <w:rtl/>
        </w:rPr>
        <w:t xml:space="preserve">ביטחון, </w:t>
      </w:r>
      <w:bookmarkStart w:id="6112" w:name="_ETM_Q7_373760"/>
      <w:bookmarkEnd w:id="6112"/>
      <w:r>
        <w:rPr>
          <w:rFonts w:hint="cs"/>
          <w:rtl/>
        </w:rPr>
        <w:t xml:space="preserve">פריפריה, </w:t>
      </w:r>
      <w:bookmarkStart w:id="6113" w:name="_ETM_Q7_374689"/>
      <w:bookmarkEnd w:id="6113"/>
      <w:r>
        <w:rPr>
          <w:rFonts w:hint="cs"/>
          <w:rtl/>
        </w:rPr>
        <w:t xml:space="preserve">מעמד </w:t>
      </w:r>
      <w:bookmarkStart w:id="6114" w:name="_ETM_Q7_375109"/>
      <w:bookmarkEnd w:id="6114"/>
      <w:r>
        <w:rPr>
          <w:rFonts w:hint="cs"/>
          <w:rtl/>
        </w:rPr>
        <w:t xml:space="preserve">האישה? </w:t>
      </w:r>
      <w:bookmarkStart w:id="6115" w:name="_ETM_Q7_375769"/>
      <w:bookmarkEnd w:id="6115"/>
      <w:r>
        <w:rPr>
          <w:rFonts w:hint="cs"/>
          <w:rtl/>
        </w:rPr>
        <w:t xml:space="preserve">מצאתם </w:t>
      </w:r>
      <w:bookmarkStart w:id="6116" w:name="_ETM_Q7_376159"/>
      <w:bookmarkEnd w:id="6116"/>
      <w:r>
        <w:rPr>
          <w:rFonts w:hint="cs"/>
          <w:rtl/>
        </w:rPr>
        <w:t>לנכון</w:t>
      </w:r>
      <w:bookmarkStart w:id="6117" w:name="_ETM_Q7_376489"/>
      <w:bookmarkEnd w:id="6117"/>
      <w:r>
        <w:rPr>
          <w:rFonts w:hint="cs"/>
          <w:rtl/>
        </w:rPr>
        <w:t xml:space="preserve"> </w:t>
      </w:r>
      <w:bookmarkStart w:id="6118" w:name="_ETM_Q7_376760"/>
      <w:bookmarkEnd w:id="6118"/>
      <w:r>
        <w:rPr>
          <w:rFonts w:hint="cs"/>
          <w:rtl/>
        </w:rPr>
        <w:t xml:space="preserve">לרסק </w:t>
      </w:r>
      <w:bookmarkStart w:id="6119" w:name="_ETM_Q7_377209"/>
      <w:bookmarkEnd w:id="6119"/>
      <w:r>
        <w:rPr>
          <w:rFonts w:hint="cs"/>
          <w:rtl/>
        </w:rPr>
        <w:t xml:space="preserve">את </w:t>
      </w:r>
      <w:bookmarkStart w:id="6120" w:name="_ETM_Q7_377419"/>
      <w:bookmarkStart w:id="6121" w:name="_ETM_Q7_377930"/>
      <w:bookmarkEnd w:id="6120"/>
      <w:bookmarkEnd w:id="6121"/>
      <w:r>
        <w:rPr>
          <w:rFonts w:hint="cs"/>
          <w:rtl/>
        </w:rPr>
        <w:t xml:space="preserve">הוועדה למעמד </w:t>
      </w:r>
      <w:bookmarkStart w:id="6122" w:name="_ETM_Q7_378349"/>
      <w:bookmarkEnd w:id="6122"/>
      <w:r>
        <w:rPr>
          <w:rFonts w:hint="cs"/>
          <w:rtl/>
        </w:rPr>
        <w:t xml:space="preserve">האישה </w:t>
      </w:r>
      <w:r>
        <w:t>–</w:t>
      </w:r>
      <w:r>
        <w:rPr>
          <w:rtl/>
        </w:rPr>
        <w:t xml:space="preserve"> </w:t>
      </w:r>
      <w:r>
        <w:rPr>
          <w:rFonts w:hint="cs"/>
          <w:rtl/>
        </w:rPr>
        <w:t xml:space="preserve">את </w:t>
      </w:r>
      <w:bookmarkStart w:id="6123" w:name="_ETM_Q7_378469"/>
      <w:bookmarkEnd w:id="6123"/>
      <w:r>
        <w:rPr>
          <w:rFonts w:hint="cs"/>
          <w:rtl/>
        </w:rPr>
        <w:t xml:space="preserve">זה </w:t>
      </w:r>
      <w:bookmarkStart w:id="6124" w:name="_ETM_Q7_378559"/>
      <w:bookmarkEnd w:id="6124"/>
      <w:r>
        <w:rPr>
          <w:rFonts w:hint="cs"/>
          <w:rtl/>
        </w:rPr>
        <w:t xml:space="preserve">אתם </w:t>
      </w:r>
      <w:bookmarkStart w:id="6125" w:name="_ETM_Q7_378739"/>
      <w:bookmarkEnd w:id="6125"/>
      <w:r>
        <w:rPr>
          <w:rFonts w:hint="cs"/>
          <w:rtl/>
        </w:rPr>
        <w:t xml:space="preserve">מרסקים </w:t>
      </w:r>
      <w:bookmarkStart w:id="6126" w:name="_ETM_Q7_379129"/>
      <w:bookmarkEnd w:id="6126"/>
      <w:r>
        <w:rPr>
          <w:rFonts w:hint="cs"/>
          <w:rtl/>
        </w:rPr>
        <w:t xml:space="preserve">יפה, </w:t>
      </w:r>
      <w:bookmarkStart w:id="6127" w:name="_ETM_Q7_379609"/>
      <w:bookmarkEnd w:id="6127"/>
      <w:r>
        <w:rPr>
          <w:rFonts w:hint="cs"/>
          <w:rtl/>
        </w:rPr>
        <w:t xml:space="preserve">ממציאים </w:t>
      </w:r>
      <w:bookmarkStart w:id="6128" w:name="_ETM_Q7_380059"/>
      <w:bookmarkEnd w:id="6128"/>
      <w:r>
        <w:rPr>
          <w:rFonts w:hint="cs"/>
          <w:rtl/>
        </w:rPr>
        <w:t xml:space="preserve">חוקים </w:t>
      </w:r>
      <w:bookmarkStart w:id="6129" w:name="_ETM_Q7_380389"/>
      <w:bookmarkEnd w:id="6129"/>
      <w:r>
        <w:rPr>
          <w:rFonts w:hint="cs"/>
          <w:rtl/>
        </w:rPr>
        <w:t xml:space="preserve">חדשים. לימור סון הר מלך, </w:t>
      </w:r>
      <w:bookmarkStart w:id="6130" w:name="_ETM_Q7_381079"/>
      <w:bookmarkStart w:id="6131" w:name="_ETM_Q7_382279"/>
      <w:bookmarkEnd w:id="6130"/>
      <w:bookmarkEnd w:id="6131"/>
      <w:r>
        <w:rPr>
          <w:rFonts w:hint="cs"/>
          <w:rtl/>
        </w:rPr>
        <w:t xml:space="preserve">לוחמת </w:t>
      </w:r>
      <w:bookmarkStart w:id="6132" w:name="_ETM_Q7_382699"/>
      <w:bookmarkEnd w:id="6132"/>
      <w:r>
        <w:rPr>
          <w:rFonts w:hint="cs"/>
          <w:rtl/>
        </w:rPr>
        <w:t xml:space="preserve">חופש; </w:t>
      </w:r>
      <w:bookmarkStart w:id="6133" w:name="_ETM_Q7_383730"/>
      <w:bookmarkStart w:id="6134" w:name="_ETM_Q7_380080"/>
      <w:bookmarkStart w:id="6135" w:name="_ETM_Q7_380164"/>
      <w:bookmarkStart w:id="6136" w:name="_ETM_Q7_380264"/>
      <w:bookmarkStart w:id="6137" w:name="_ETM_Q7_380314"/>
      <w:bookmarkStart w:id="6138" w:name="_ETM_Q7_383940"/>
      <w:bookmarkEnd w:id="6133"/>
      <w:bookmarkEnd w:id="6134"/>
      <w:bookmarkEnd w:id="6135"/>
      <w:bookmarkEnd w:id="6136"/>
      <w:bookmarkEnd w:id="6137"/>
      <w:bookmarkEnd w:id="6138"/>
      <w:r>
        <w:rPr>
          <w:rFonts w:hint="cs"/>
          <w:rtl/>
        </w:rPr>
        <w:t xml:space="preserve">עלייה דרמטית </w:t>
      </w:r>
      <w:bookmarkStart w:id="6139" w:name="_ETM_Q7_384389"/>
      <w:bookmarkEnd w:id="6139"/>
      <w:r>
        <w:rPr>
          <w:rFonts w:hint="cs"/>
          <w:rtl/>
        </w:rPr>
        <w:t xml:space="preserve">בפשיעה </w:t>
      </w:r>
      <w:bookmarkStart w:id="6140" w:name="_ETM_Q7_384840"/>
      <w:bookmarkEnd w:id="6140"/>
      <w:r>
        <w:rPr>
          <w:rFonts w:hint="cs"/>
          <w:rtl/>
        </w:rPr>
        <w:t xml:space="preserve">מאז </w:t>
      </w:r>
      <w:bookmarkStart w:id="6141" w:name="_ETM_Q7_385050"/>
      <w:bookmarkEnd w:id="6141"/>
      <w:r>
        <w:rPr>
          <w:rFonts w:hint="cs"/>
          <w:rtl/>
        </w:rPr>
        <w:t xml:space="preserve">שמונה </w:t>
      </w:r>
      <w:bookmarkStart w:id="6142" w:name="_ETM_Q7_385409"/>
      <w:bookmarkEnd w:id="6142"/>
      <w:r>
        <w:rPr>
          <w:rFonts w:hint="cs"/>
          <w:rtl/>
        </w:rPr>
        <w:t xml:space="preserve">בן </w:t>
      </w:r>
      <w:bookmarkStart w:id="6143" w:name="_ETM_Q7_385590"/>
      <w:bookmarkEnd w:id="6143"/>
      <w:r>
        <w:rPr>
          <w:rFonts w:hint="cs"/>
          <w:rtl/>
        </w:rPr>
        <w:t>גביר</w:t>
      </w:r>
      <w:bookmarkStart w:id="6144" w:name="_ETM_Q7_385800"/>
      <w:bookmarkStart w:id="6145" w:name="_ETM_Q7_386099"/>
      <w:bookmarkEnd w:id="6144"/>
      <w:bookmarkEnd w:id="6145"/>
      <w:r>
        <w:rPr>
          <w:rFonts w:hint="cs"/>
          <w:rtl/>
        </w:rPr>
        <w:t xml:space="preserve">, השר באמת </w:t>
      </w:r>
      <w:bookmarkStart w:id="6146" w:name="_ETM_Q7_386639"/>
      <w:bookmarkEnd w:id="6146"/>
      <w:r>
        <w:rPr>
          <w:rFonts w:hint="cs"/>
          <w:rtl/>
        </w:rPr>
        <w:t xml:space="preserve">הכי </w:t>
      </w:r>
      <w:bookmarkStart w:id="6147" w:name="_ETM_Q7_386879"/>
      <w:bookmarkEnd w:id="6147"/>
      <w:r>
        <w:rPr>
          <w:rFonts w:hint="cs"/>
          <w:rtl/>
        </w:rPr>
        <w:t xml:space="preserve">כושל </w:t>
      </w:r>
      <w:bookmarkStart w:id="6148" w:name="_ETM_Q7_387209"/>
      <w:bookmarkEnd w:id="6148"/>
      <w:r>
        <w:rPr>
          <w:rFonts w:hint="cs"/>
          <w:rtl/>
        </w:rPr>
        <w:t xml:space="preserve">שהיה </w:t>
      </w:r>
      <w:bookmarkStart w:id="6149" w:name="_ETM_Q7_387450"/>
      <w:bookmarkEnd w:id="6149"/>
      <w:r>
        <w:rPr>
          <w:rFonts w:hint="cs"/>
          <w:rtl/>
        </w:rPr>
        <w:t xml:space="preserve">אי פעם </w:t>
      </w:r>
      <w:bookmarkStart w:id="6150" w:name="_ETM_Q7_387690"/>
      <w:bookmarkEnd w:id="6150"/>
      <w:r>
        <w:rPr>
          <w:rFonts w:hint="cs"/>
          <w:rtl/>
        </w:rPr>
        <w:t xml:space="preserve">במשרד </w:t>
      </w:r>
      <w:bookmarkStart w:id="6151" w:name="_ETM_Q7_388019"/>
      <w:bookmarkEnd w:id="6151"/>
      <w:r>
        <w:rPr>
          <w:rFonts w:hint="cs"/>
          <w:rtl/>
        </w:rPr>
        <w:t xml:space="preserve">לביטחון </w:t>
      </w:r>
      <w:bookmarkStart w:id="6152" w:name="_ETM_Q7_388620"/>
      <w:bookmarkEnd w:id="6152"/>
      <w:r>
        <w:rPr>
          <w:rFonts w:hint="cs"/>
          <w:rtl/>
        </w:rPr>
        <w:t xml:space="preserve">פנים. </w:t>
      </w:r>
      <w:bookmarkStart w:id="6153" w:name="_ETM_Q7_390010"/>
      <w:bookmarkEnd w:id="6153"/>
      <w:r>
        <w:rPr>
          <w:rFonts w:hint="cs"/>
          <w:rtl/>
        </w:rPr>
        <w:t xml:space="preserve">אנחנו עם </w:t>
      </w:r>
      <w:bookmarkStart w:id="6154" w:name="_ETM_Q7_390280"/>
      <w:bookmarkEnd w:id="6154"/>
      <w:r>
        <w:rPr>
          <w:rFonts w:hint="cs"/>
          <w:rtl/>
        </w:rPr>
        <w:t xml:space="preserve">130 </w:t>
      </w:r>
      <w:bookmarkStart w:id="6155" w:name="_ETM_Q7_390790"/>
      <w:bookmarkEnd w:id="6155"/>
      <w:r>
        <w:rPr>
          <w:rFonts w:hint="cs"/>
          <w:rtl/>
        </w:rPr>
        <w:t xml:space="preserve">נרצחים. </w:t>
      </w:r>
      <w:bookmarkStart w:id="6156" w:name="_ETM_Q7_391750"/>
      <w:bookmarkEnd w:id="6156"/>
      <w:r>
        <w:rPr>
          <w:rFonts w:hint="cs"/>
          <w:rtl/>
        </w:rPr>
        <w:t xml:space="preserve">שנת </w:t>
      </w:r>
      <w:bookmarkStart w:id="6157" w:name="_ETM_Q7_392019"/>
      <w:bookmarkEnd w:id="6157"/>
      <w:r>
        <w:rPr>
          <w:rFonts w:hint="cs"/>
          <w:rtl/>
        </w:rPr>
        <w:t xml:space="preserve">2021, </w:t>
      </w:r>
      <w:bookmarkStart w:id="6158" w:name="_ETM_Q7_392349"/>
      <w:bookmarkStart w:id="6159" w:name="_ETM_Q7_392829"/>
      <w:bookmarkEnd w:id="6158"/>
      <w:bookmarkEnd w:id="6159"/>
      <w:r>
        <w:rPr>
          <w:rFonts w:hint="cs"/>
          <w:rtl/>
        </w:rPr>
        <w:t xml:space="preserve">שהייתה </w:t>
      </w:r>
      <w:bookmarkStart w:id="6160" w:name="_ETM_Q7_393099"/>
      <w:bookmarkEnd w:id="6160"/>
      <w:r>
        <w:rPr>
          <w:rFonts w:hint="cs"/>
          <w:rtl/>
        </w:rPr>
        <w:t xml:space="preserve">שיא, </w:t>
      </w:r>
      <w:bookmarkStart w:id="6161" w:name="_ETM_Q7_393400"/>
      <w:bookmarkEnd w:id="6161"/>
      <w:r>
        <w:rPr>
          <w:rFonts w:hint="cs"/>
          <w:rtl/>
        </w:rPr>
        <w:t xml:space="preserve">בתקופתו </w:t>
      </w:r>
      <w:bookmarkStart w:id="6162" w:name="_ETM_Q7_393909"/>
      <w:bookmarkEnd w:id="6162"/>
      <w:r>
        <w:rPr>
          <w:rFonts w:hint="cs"/>
          <w:rtl/>
        </w:rPr>
        <w:t xml:space="preserve">של </w:t>
      </w:r>
      <w:bookmarkStart w:id="6163" w:name="_ETM_Q7_394060"/>
      <w:bookmarkEnd w:id="6163"/>
      <w:r>
        <w:rPr>
          <w:rFonts w:hint="cs"/>
          <w:rtl/>
        </w:rPr>
        <w:t xml:space="preserve">נתניהו, </w:t>
      </w:r>
      <w:bookmarkStart w:id="6164" w:name="_ETM_Q7_394840"/>
      <w:bookmarkEnd w:id="6164"/>
      <w:r>
        <w:rPr>
          <w:rFonts w:hint="cs"/>
          <w:rtl/>
        </w:rPr>
        <w:t xml:space="preserve">הייתה </w:t>
      </w:r>
      <w:bookmarkStart w:id="6165" w:name="_ETM_Q7_395371"/>
      <w:bookmarkEnd w:id="6165"/>
      <w:r>
        <w:rPr>
          <w:rFonts w:hint="cs"/>
          <w:rtl/>
        </w:rPr>
        <w:t xml:space="preserve">עם </w:t>
      </w:r>
      <w:bookmarkStart w:id="6166" w:name="_ETM_Q7_395140"/>
      <w:bookmarkEnd w:id="6166"/>
      <w:r>
        <w:rPr>
          <w:rFonts w:hint="cs"/>
          <w:rtl/>
        </w:rPr>
        <w:t xml:space="preserve">126. </w:t>
      </w:r>
      <w:bookmarkStart w:id="6167" w:name="_ETM_Q7_396640"/>
      <w:bookmarkEnd w:id="6167"/>
      <w:r>
        <w:rPr>
          <w:rFonts w:hint="cs"/>
          <w:rtl/>
        </w:rPr>
        <w:t xml:space="preserve">אתם </w:t>
      </w:r>
      <w:bookmarkStart w:id="6168" w:name="_ETM_Q7_396849"/>
      <w:bookmarkEnd w:id="6168"/>
      <w:r>
        <w:rPr>
          <w:rFonts w:hint="cs"/>
          <w:rtl/>
        </w:rPr>
        <w:t xml:space="preserve">מצטיינים </w:t>
      </w:r>
      <w:bookmarkStart w:id="6169" w:name="_ETM_Q7_397329"/>
      <w:bookmarkEnd w:id="6169"/>
      <w:r>
        <w:rPr>
          <w:rFonts w:hint="cs"/>
          <w:rtl/>
        </w:rPr>
        <w:t xml:space="preserve">בזה, </w:t>
      </w:r>
      <w:bookmarkStart w:id="6170" w:name="_ETM_Q7_398040"/>
      <w:bookmarkEnd w:id="6170"/>
      <w:r>
        <w:rPr>
          <w:rFonts w:hint="cs"/>
          <w:rtl/>
        </w:rPr>
        <w:t xml:space="preserve">בלעשות </w:t>
      </w:r>
      <w:bookmarkStart w:id="6171" w:name="_ETM_Q7_398609"/>
      <w:bookmarkEnd w:id="6171"/>
      <w:r>
        <w:rPr>
          <w:rFonts w:hint="cs"/>
          <w:rtl/>
        </w:rPr>
        <w:t xml:space="preserve">רק דברים </w:t>
      </w:r>
      <w:bookmarkStart w:id="6172" w:name="_ETM_Q7_398879"/>
      <w:bookmarkEnd w:id="6172"/>
      <w:r>
        <w:rPr>
          <w:rFonts w:hint="cs"/>
          <w:rtl/>
        </w:rPr>
        <w:t xml:space="preserve">פחות </w:t>
      </w:r>
      <w:bookmarkStart w:id="6173" w:name="_ETM_Q7_399150"/>
      <w:bookmarkEnd w:id="6173"/>
      <w:r>
        <w:rPr>
          <w:rFonts w:hint="cs"/>
          <w:rtl/>
        </w:rPr>
        <w:t xml:space="preserve">טובים. </w:t>
      </w:r>
      <w:bookmarkStart w:id="6174" w:name="_ETM_Q7_400310"/>
      <w:bookmarkEnd w:id="6174"/>
      <w:r>
        <w:rPr>
          <w:rFonts w:hint="cs"/>
          <w:rtl/>
        </w:rPr>
        <w:t xml:space="preserve">בשנה </w:t>
      </w:r>
      <w:bookmarkStart w:id="6175" w:name="_ETM_Q7_400580"/>
      <w:bookmarkEnd w:id="6175"/>
      <w:r>
        <w:rPr>
          <w:rFonts w:hint="cs"/>
          <w:rtl/>
        </w:rPr>
        <w:t xml:space="preserve">הקודמת </w:t>
      </w:r>
      <w:bookmarkStart w:id="6176" w:name="_ETM_Q7_401000"/>
      <w:bookmarkEnd w:id="6176"/>
      <w:r>
        <w:rPr>
          <w:rFonts w:hint="cs"/>
          <w:rtl/>
        </w:rPr>
        <w:t xml:space="preserve">באותם </w:t>
      </w:r>
      <w:bookmarkStart w:id="6177" w:name="_ETM_Q7_401330"/>
      <w:bookmarkEnd w:id="6177"/>
      <w:r>
        <w:rPr>
          <w:rFonts w:hint="cs"/>
          <w:rtl/>
        </w:rPr>
        <w:t xml:space="preserve">נתונים </w:t>
      </w:r>
      <w:bookmarkStart w:id="6178" w:name="_ETM_Q7_401780"/>
      <w:bookmarkEnd w:id="6178"/>
      <w:r>
        <w:rPr>
          <w:rFonts w:hint="cs"/>
          <w:rtl/>
        </w:rPr>
        <w:t xml:space="preserve">היינו </w:t>
      </w:r>
      <w:bookmarkStart w:id="6179" w:name="_ETM_Q7_402200"/>
      <w:bookmarkEnd w:id="6179"/>
      <w:r>
        <w:rPr>
          <w:rFonts w:hint="cs"/>
          <w:rtl/>
        </w:rPr>
        <w:t xml:space="preserve">עם 60 </w:t>
      </w:r>
      <w:bookmarkStart w:id="6180" w:name="_ETM_Q7_402650"/>
      <w:bookmarkEnd w:id="6180"/>
      <w:r>
        <w:rPr>
          <w:rFonts w:hint="cs"/>
          <w:rtl/>
        </w:rPr>
        <w:t xml:space="preserve">נרצחים. </w:t>
      </w:r>
      <w:bookmarkStart w:id="6181" w:name="_ETM_Q7_403879"/>
      <w:bookmarkEnd w:id="6181"/>
      <w:r>
        <w:rPr>
          <w:rFonts w:hint="cs"/>
          <w:rtl/>
        </w:rPr>
        <w:t xml:space="preserve">אתם </w:t>
      </w:r>
      <w:bookmarkStart w:id="6182" w:name="_ETM_Q7_404299"/>
      <w:bookmarkEnd w:id="6182"/>
      <w:r>
        <w:rPr>
          <w:rFonts w:hint="cs"/>
          <w:rtl/>
        </w:rPr>
        <w:t xml:space="preserve">פשוט מפקירים </w:t>
      </w:r>
      <w:bookmarkStart w:id="6183" w:name="_ETM_Q7_404779"/>
      <w:bookmarkEnd w:id="6183"/>
      <w:r>
        <w:rPr>
          <w:rFonts w:hint="cs"/>
          <w:rtl/>
        </w:rPr>
        <w:t xml:space="preserve">ביטחון </w:t>
      </w:r>
      <w:bookmarkStart w:id="6184" w:name="_ETM_Q7_405169"/>
      <w:bookmarkEnd w:id="6184"/>
      <w:r>
        <w:rPr>
          <w:rFonts w:hint="cs"/>
          <w:rtl/>
        </w:rPr>
        <w:t xml:space="preserve">אישי, </w:t>
      </w:r>
      <w:bookmarkStart w:id="6185" w:name="_ETM_Q7_405379"/>
      <w:bookmarkEnd w:id="6185"/>
      <w:r>
        <w:rPr>
          <w:rFonts w:hint="cs"/>
          <w:rtl/>
        </w:rPr>
        <w:t xml:space="preserve">מפקירים </w:t>
      </w:r>
      <w:bookmarkStart w:id="6186" w:name="_ETM_Q7_405799"/>
      <w:bookmarkEnd w:id="6186"/>
      <w:r>
        <w:rPr>
          <w:rFonts w:hint="cs"/>
          <w:rtl/>
        </w:rPr>
        <w:t xml:space="preserve">כל </w:t>
      </w:r>
      <w:bookmarkStart w:id="6187" w:name="_ETM_Q7_405980"/>
      <w:bookmarkEnd w:id="6187"/>
      <w:r>
        <w:rPr>
          <w:rFonts w:hint="cs"/>
          <w:rtl/>
        </w:rPr>
        <w:t xml:space="preserve">דבר </w:t>
      </w:r>
      <w:bookmarkStart w:id="6188" w:name="_ETM_Q7_406249"/>
      <w:bookmarkEnd w:id="6188"/>
      <w:r>
        <w:rPr>
          <w:rFonts w:hint="cs"/>
          <w:rtl/>
        </w:rPr>
        <w:t xml:space="preserve">שזז. </w:t>
      </w:r>
      <w:bookmarkStart w:id="6189" w:name="_ETM_Q7_408760"/>
      <w:bookmarkStart w:id="6190" w:name="_ETM_Q7_409270"/>
      <w:bookmarkEnd w:id="6189"/>
      <w:bookmarkEnd w:id="6190"/>
    </w:p>
    <w:p w:rsidR="000C5C1F" w:rsidRDefault="000C5C1F" w:rsidP="000C5C1F">
      <w:pPr>
        <w:rPr>
          <w:rtl/>
        </w:rPr>
      </w:pPr>
    </w:p>
    <w:p w:rsidR="000C5C1F" w:rsidRDefault="000C5C1F" w:rsidP="000C5C1F">
      <w:pPr>
        <w:rPr>
          <w:rtl/>
        </w:rPr>
      </w:pPr>
      <w:r>
        <w:rPr>
          <w:rFonts w:hint="cs"/>
          <w:rtl/>
        </w:rPr>
        <w:t>מחר תהיה ההצבעה</w:t>
      </w:r>
      <w:bookmarkStart w:id="6191" w:name="_ETM_Q7_410480"/>
      <w:bookmarkStart w:id="6192" w:name="_ETM_Q7_410870"/>
      <w:bookmarkEnd w:id="6191"/>
      <w:bookmarkEnd w:id="6192"/>
      <w:r>
        <w:rPr>
          <w:rFonts w:hint="cs"/>
          <w:rtl/>
        </w:rPr>
        <w:t xml:space="preserve">. האחריות היא על </w:t>
      </w:r>
      <w:bookmarkStart w:id="6193" w:name="_ETM_Q7_410959"/>
      <w:bookmarkEnd w:id="6193"/>
      <w:r>
        <w:rPr>
          <w:rFonts w:hint="cs"/>
          <w:rtl/>
        </w:rPr>
        <w:t xml:space="preserve">הממשלה, </w:t>
      </w:r>
      <w:bookmarkStart w:id="6194" w:name="_ETM_Q7_412040"/>
      <w:bookmarkEnd w:id="6194"/>
      <w:r>
        <w:rPr>
          <w:rFonts w:hint="cs"/>
          <w:rtl/>
        </w:rPr>
        <w:t xml:space="preserve">על </w:t>
      </w:r>
      <w:bookmarkStart w:id="6195" w:name="_ETM_Q7_412189"/>
      <w:bookmarkEnd w:id="6195"/>
      <w:r>
        <w:rPr>
          <w:rFonts w:hint="cs"/>
          <w:rtl/>
        </w:rPr>
        <w:t xml:space="preserve">ראש </w:t>
      </w:r>
      <w:bookmarkStart w:id="6196" w:name="_ETM_Q7_412400"/>
      <w:bookmarkEnd w:id="6196"/>
      <w:r>
        <w:rPr>
          <w:rFonts w:hint="cs"/>
          <w:rtl/>
        </w:rPr>
        <w:t xml:space="preserve">הממשלה. </w:t>
      </w:r>
      <w:bookmarkStart w:id="6197" w:name="_ETM_Q7_413400"/>
      <w:bookmarkStart w:id="6198" w:name="_ETM_Q7_413700"/>
      <w:bookmarkEnd w:id="6197"/>
      <w:bookmarkEnd w:id="6198"/>
      <w:r>
        <w:rPr>
          <w:rFonts w:hint="cs"/>
          <w:rtl/>
        </w:rPr>
        <w:t xml:space="preserve">האחריות אינה </w:t>
      </w:r>
      <w:bookmarkStart w:id="6199" w:name="_ETM_Q7_413939"/>
      <w:bookmarkEnd w:id="6199"/>
      <w:r>
        <w:rPr>
          <w:rFonts w:hint="cs"/>
          <w:rtl/>
        </w:rPr>
        <w:t xml:space="preserve">מתחלקת, </w:t>
      </w:r>
      <w:bookmarkStart w:id="6200" w:name="_ETM_Q7_415410"/>
      <w:bookmarkEnd w:id="6200"/>
      <w:r>
        <w:rPr>
          <w:rFonts w:hint="cs"/>
          <w:rtl/>
        </w:rPr>
        <w:t xml:space="preserve">וראש </w:t>
      </w:r>
      <w:bookmarkStart w:id="6201" w:name="_ETM_Q7_415710"/>
      <w:bookmarkEnd w:id="6201"/>
      <w:r>
        <w:rPr>
          <w:rFonts w:hint="cs"/>
          <w:rtl/>
        </w:rPr>
        <w:t xml:space="preserve">הממשלה </w:t>
      </w:r>
      <w:bookmarkStart w:id="6202" w:name="_ETM_Q7_416070"/>
      <w:bookmarkEnd w:id="6202"/>
      <w:r>
        <w:rPr>
          <w:rFonts w:hint="cs"/>
          <w:rtl/>
        </w:rPr>
        <w:t xml:space="preserve">אמור </w:t>
      </w:r>
      <w:bookmarkStart w:id="6203" w:name="_ETM_Q7_416310"/>
      <w:bookmarkEnd w:id="6203"/>
      <w:r>
        <w:rPr>
          <w:rFonts w:hint="cs"/>
          <w:rtl/>
        </w:rPr>
        <w:t xml:space="preserve">להיות </w:t>
      </w:r>
      <w:bookmarkStart w:id="6204" w:name="_ETM_Q7_416520"/>
      <w:bookmarkEnd w:id="6204"/>
      <w:r>
        <w:rPr>
          <w:rFonts w:hint="cs"/>
          <w:rtl/>
        </w:rPr>
        <w:t xml:space="preserve">ראש </w:t>
      </w:r>
      <w:bookmarkStart w:id="6205" w:name="_ETM_Q7_416670"/>
      <w:bookmarkEnd w:id="6205"/>
      <w:r>
        <w:rPr>
          <w:rFonts w:hint="cs"/>
          <w:rtl/>
        </w:rPr>
        <w:t xml:space="preserve">הממשלה </w:t>
      </w:r>
      <w:bookmarkStart w:id="6206" w:name="_ETM_Q7_417000"/>
      <w:bookmarkEnd w:id="6206"/>
      <w:r>
        <w:rPr>
          <w:rFonts w:hint="cs"/>
          <w:rtl/>
        </w:rPr>
        <w:t xml:space="preserve">של </w:t>
      </w:r>
      <w:bookmarkStart w:id="6207" w:name="_ETM_Q7_417120"/>
      <w:bookmarkEnd w:id="6207"/>
      <w:r>
        <w:rPr>
          <w:rFonts w:hint="cs"/>
          <w:rtl/>
        </w:rPr>
        <w:t xml:space="preserve">מדינת </w:t>
      </w:r>
      <w:bookmarkStart w:id="6208" w:name="_ETM_Q7_417420"/>
      <w:bookmarkEnd w:id="6208"/>
      <w:r>
        <w:rPr>
          <w:rFonts w:hint="cs"/>
          <w:rtl/>
        </w:rPr>
        <w:t>ישראל,</w:t>
      </w:r>
      <w:bookmarkStart w:id="6209" w:name="_ETM_Q7_418410"/>
      <w:bookmarkEnd w:id="6209"/>
      <w:r>
        <w:rPr>
          <w:rFonts w:hint="cs"/>
          <w:rtl/>
        </w:rPr>
        <w:t xml:space="preserve"> לא </w:t>
      </w:r>
      <w:bookmarkStart w:id="6210" w:name="_ETM_Q7_418590"/>
      <w:bookmarkEnd w:id="6210"/>
      <w:r>
        <w:rPr>
          <w:rFonts w:hint="cs"/>
          <w:rtl/>
        </w:rPr>
        <w:t xml:space="preserve">רק </w:t>
      </w:r>
      <w:bookmarkStart w:id="6211" w:name="_ETM_Q7_418770"/>
      <w:bookmarkEnd w:id="6211"/>
      <w:r>
        <w:rPr>
          <w:rFonts w:hint="cs"/>
          <w:rtl/>
        </w:rPr>
        <w:t xml:space="preserve">של </w:t>
      </w:r>
      <w:bookmarkStart w:id="6212" w:name="_ETM_Q7_418920"/>
      <w:bookmarkEnd w:id="6212"/>
      <w:r>
        <w:rPr>
          <w:rFonts w:hint="cs"/>
          <w:rtl/>
        </w:rPr>
        <w:t xml:space="preserve">חלק </w:t>
      </w:r>
      <w:bookmarkStart w:id="6213" w:name="_ETM_Q7_419220"/>
      <w:bookmarkEnd w:id="6213"/>
      <w:r>
        <w:rPr>
          <w:rFonts w:hint="cs"/>
          <w:rtl/>
        </w:rPr>
        <w:t xml:space="preserve">ממנה. </w:t>
      </w:r>
      <w:bookmarkStart w:id="6214" w:name="_ETM_Q7_420489"/>
      <w:bookmarkEnd w:id="6214"/>
      <w:r>
        <w:rPr>
          <w:rFonts w:hint="cs"/>
          <w:rtl/>
        </w:rPr>
        <w:t xml:space="preserve">האחריות </w:t>
      </w:r>
      <w:bookmarkStart w:id="6215" w:name="_ETM_Q7_420819"/>
      <w:bookmarkEnd w:id="6215"/>
      <w:r>
        <w:rPr>
          <w:rFonts w:hint="cs"/>
          <w:rtl/>
        </w:rPr>
        <w:t xml:space="preserve">על </w:t>
      </w:r>
      <w:bookmarkStart w:id="6216" w:name="_ETM_Q7_420939"/>
      <w:bookmarkEnd w:id="6216"/>
      <w:r>
        <w:rPr>
          <w:rFonts w:hint="cs"/>
          <w:rtl/>
        </w:rPr>
        <w:t xml:space="preserve">צבא </w:t>
      </w:r>
      <w:bookmarkStart w:id="6217" w:name="_ETM_Q7_421390"/>
      <w:bookmarkEnd w:id="6217"/>
      <w:r>
        <w:rPr>
          <w:rFonts w:hint="cs"/>
          <w:rtl/>
        </w:rPr>
        <w:t xml:space="preserve">העם היא </w:t>
      </w:r>
      <w:bookmarkStart w:id="6218" w:name="_ETM_Q7_419456"/>
      <w:bookmarkEnd w:id="6218"/>
      <w:r>
        <w:rPr>
          <w:rFonts w:hint="cs"/>
          <w:rtl/>
        </w:rPr>
        <w:t xml:space="preserve">שלו. </w:t>
      </w:r>
      <w:bookmarkStart w:id="6219" w:name="_ETM_Q7_422849"/>
      <w:bookmarkEnd w:id="6219"/>
      <w:r>
        <w:rPr>
          <w:rFonts w:hint="cs"/>
          <w:rtl/>
        </w:rPr>
        <w:t xml:space="preserve">על </w:t>
      </w:r>
      <w:bookmarkStart w:id="6220" w:name="_ETM_Q7_422969"/>
      <w:bookmarkEnd w:id="6220"/>
      <w:r>
        <w:rPr>
          <w:rFonts w:hint="cs"/>
          <w:rtl/>
        </w:rPr>
        <w:t xml:space="preserve">נתניהו </w:t>
      </w:r>
      <w:bookmarkStart w:id="6221" w:name="_ETM_Q7_423420"/>
      <w:bookmarkEnd w:id="6221"/>
      <w:r>
        <w:rPr>
          <w:rFonts w:hint="cs"/>
          <w:rtl/>
        </w:rPr>
        <w:t xml:space="preserve">לצאת </w:t>
      </w:r>
      <w:bookmarkStart w:id="6222" w:name="_ETM_Q7_423719"/>
      <w:bookmarkEnd w:id="6222"/>
      <w:r>
        <w:rPr>
          <w:rFonts w:hint="cs"/>
          <w:rtl/>
        </w:rPr>
        <w:t xml:space="preserve">מהירכתיים של הספינה, </w:t>
      </w:r>
      <w:bookmarkStart w:id="6223" w:name="_ETM_Q7_425770"/>
      <w:bookmarkEnd w:id="6223"/>
      <w:r>
        <w:rPr>
          <w:rFonts w:hint="cs"/>
          <w:rtl/>
        </w:rPr>
        <w:t xml:space="preserve">לעלות </w:t>
      </w:r>
      <w:bookmarkStart w:id="6224" w:name="_ETM_Q7_426100"/>
      <w:bookmarkEnd w:id="6224"/>
      <w:r>
        <w:rPr>
          <w:rFonts w:hint="cs"/>
          <w:rtl/>
        </w:rPr>
        <w:t xml:space="preserve">לגשר </w:t>
      </w:r>
      <w:bookmarkStart w:id="6225" w:name="_ETM_Q7_426640"/>
      <w:bookmarkEnd w:id="6225"/>
      <w:r>
        <w:rPr>
          <w:rFonts w:hint="cs"/>
          <w:rtl/>
        </w:rPr>
        <w:t xml:space="preserve">ולהבין </w:t>
      </w:r>
      <w:bookmarkStart w:id="6226" w:name="_ETM_Q7_427819"/>
      <w:bookmarkEnd w:id="6226"/>
      <w:r>
        <w:rPr>
          <w:rFonts w:hint="cs"/>
          <w:rtl/>
        </w:rPr>
        <w:t xml:space="preserve">שגם </w:t>
      </w:r>
      <w:bookmarkStart w:id="6227" w:name="_ETM_Q7_428180"/>
      <w:bookmarkEnd w:id="6227"/>
      <w:r>
        <w:rPr>
          <w:rFonts w:hint="cs"/>
          <w:rtl/>
        </w:rPr>
        <w:t xml:space="preserve">אם </w:t>
      </w:r>
      <w:bookmarkStart w:id="6228" w:name="_ETM_Q7_428299"/>
      <w:bookmarkEnd w:id="6228"/>
      <w:r>
        <w:rPr>
          <w:rFonts w:hint="cs"/>
          <w:rtl/>
        </w:rPr>
        <w:t xml:space="preserve">לא </w:t>
      </w:r>
      <w:bookmarkStart w:id="6229" w:name="_ETM_Q7_428450"/>
      <w:bookmarkEnd w:id="6229"/>
      <w:r>
        <w:rPr>
          <w:rFonts w:hint="cs"/>
          <w:rtl/>
        </w:rPr>
        <w:t xml:space="preserve">נוח </w:t>
      </w:r>
      <w:bookmarkStart w:id="6230" w:name="_ETM_Q7_428780"/>
      <w:bookmarkEnd w:id="6230"/>
      <w:r>
        <w:rPr>
          <w:rFonts w:hint="cs"/>
          <w:rtl/>
        </w:rPr>
        <w:t xml:space="preserve">לו </w:t>
      </w:r>
      <w:bookmarkStart w:id="6231" w:name="_ETM_Q7_429410"/>
      <w:bookmarkEnd w:id="6231"/>
      <w:r>
        <w:rPr>
          <w:rFonts w:hint="cs"/>
          <w:rtl/>
        </w:rPr>
        <w:t xml:space="preserve">והוא </w:t>
      </w:r>
      <w:bookmarkStart w:id="6232" w:name="_ETM_Q7_429530"/>
      <w:bookmarkEnd w:id="6232"/>
      <w:r>
        <w:rPr>
          <w:rFonts w:hint="cs"/>
          <w:rtl/>
        </w:rPr>
        <w:t xml:space="preserve">צריך </w:t>
      </w:r>
      <w:bookmarkStart w:id="6233" w:name="_ETM_Q7_429709"/>
      <w:bookmarkEnd w:id="6233"/>
      <w:r>
        <w:rPr>
          <w:rFonts w:hint="cs"/>
          <w:rtl/>
        </w:rPr>
        <w:t xml:space="preserve">לעשות </w:t>
      </w:r>
      <w:bookmarkStart w:id="6234" w:name="_ETM_Q7_429950"/>
      <w:bookmarkEnd w:id="6234"/>
      <w:r>
        <w:rPr>
          <w:rFonts w:hint="cs"/>
          <w:rtl/>
        </w:rPr>
        <w:t xml:space="preserve">בחירה </w:t>
      </w:r>
      <w:bookmarkStart w:id="6235" w:name="_ETM_Q7_430370"/>
      <w:bookmarkEnd w:id="6235"/>
      <w:r>
        <w:rPr>
          <w:rFonts w:hint="cs"/>
          <w:rtl/>
        </w:rPr>
        <w:t xml:space="preserve">בין </w:t>
      </w:r>
      <w:bookmarkStart w:id="6236" w:name="_ETM_Q7_430640"/>
      <w:bookmarkEnd w:id="6236"/>
      <w:r>
        <w:rPr>
          <w:rFonts w:hint="cs"/>
          <w:rtl/>
        </w:rPr>
        <w:t xml:space="preserve">משרתים </w:t>
      </w:r>
      <w:bookmarkStart w:id="6237" w:name="_ETM_Q7_431180"/>
      <w:bookmarkEnd w:id="6237"/>
      <w:r>
        <w:rPr>
          <w:rFonts w:hint="cs"/>
          <w:rtl/>
        </w:rPr>
        <w:t xml:space="preserve">למשתמטים, </w:t>
      </w:r>
      <w:bookmarkStart w:id="6238" w:name="_ETM_Q7_432450"/>
      <w:bookmarkEnd w:id="6238"/>
      <w:r>
        <w:rPr>
          <w:rFonts w:hint="cs"/>
          <w:rtl/>
        </w:rPr>
        <w:t xml:space="preserve">בין </w:t>
      </w:r>
      <w:bookmarkStart w:id="6239" w:name="_ETM_Q7_432689"/>
      <w:bookmarkEnd w:id="6239"/>
      <w:r>
        <w:rPr>
          <w:rFonts w:hint="cs"/>
          <w:rtl/>
        </w:rPr>
        <w:t xml:space="preserve">גזענים, </w:t>
      </w:r>
      <w:bookmarkStart w:id="6240" w:name="_ETM_Q7_433530"/>
      <w:bookmarkEnd w:id="6240"/>
      <w:r>
        <w:rPr>
          <w:rFonts w:hint="cs"/>
          <w:rtl/>
        </w:rPr>
        <w:t xml:space="preserve">הומופובים </w:t>
      </w:r>
      <w:bookmarkStart w:id="6241" w:name="_ETM_Q7_434219"/>
      <w:bookmarkEnd w:id="6241"/>
      <w:r>
        <w:rPr>
          <w:rFonts w:hint="cs"/>
          <w:rtl/>
        </w:rPr>
        <w:t xml:space="preserve">ועבריינים </w:t>
      </w:r>
      <w:bookmarkStart w:id="6242" w:name="_ETM_Q7_435239"/>
      <w:bookmarkEnd w:id="6242"/>
      <w:r>
        <w:rPr>
          <w:rFonts w:hint="cs"/>
          <w:rtl/>
        </w:rPr>
        <w:t xml:space="preserve">לבין </w:t>
      </w:r>
      <w:bookmarkStart w:id="6243" w:name="_ETM_Q7_435599"/>
      <w:bookmarkEnd w:id="6243"/>
      <w:r>
        <w:rPr>
          <w:rFonts w:hint="cs"/>
          <w:rtl/>
        </w:rPr>
        <w:t xml:space="preserve">טובת </w:t>
      </w:r>
      <w:bookmarkStart w:id="6244" w:name="_ETM_Q7_435930"/>
      <w:bookmarkEnd w:id="6244"/>
      <w:r>
        <w:rPr>
          <w:rFonts w:hint="cs"/>
          <w:rtl/>
        </w:rPr>
        <w:t xml:space="preserve">הציבור </w:t>
      </w:r>
      <w:bookmarkStart w:id="6245" w:name="_ETM_Q7_436320"/>
      <w:bookmarkEnd w:id="6245"/>
      <w:r>
        <w:rPr>
          <w:rFonts w:hint="cs"/>
          <w:rtl/>
        </w:rPr>
        <w:t xml:space="preserve">כולו </w:t>
      </w:r>
      <w:bookmarkStart w:id="6246" w:name="_ETM_Q7_437360"/>
      <w:bookmarkEnd w:id="6246"/>
      <w:r>
        <w:rPr>
          <w:rFonts w:hint="cs"/>
          <w:rtl/>
        </w:rPr>
        <w:t xml:space="preserve">– הוא </w:t>
      </w:r>
      <w:bookmarkStart w:id="6247" w:name="_ETM_Q7_437479"/>
      <w:bookmarkEnd w:id="6247"/>
      <w:r>
        <w:rPr>
          <w:rFonts w:hint="cs"/>
          <w:rtl/>
        </w:rPr>
        <w:t xml:space="preserve">צריך </w:t>
      </w:r>
      <w:bookmarkStart w:id="6248" w:name="_ETM_Q7_437659"/>
      <w:bookmarkEnd w:id="6248"/>
      <w:r>
        <w:rPr>
          <w:rFonts w:hint="cs"/>
          <w:rtl/>
        </w:rPr>
        <w:t xml:space="preserve">לעצור. </w:t>
      </w:r>
      <w:bookmarkStart w:id="6249" w:name="_ETM_Q7_438919"/>
      <w:bookmarkEnd w:id="6249"/>
      <w:r>
        <w:rPr>
          <w:rFonts w:hint="cs"/>
          <w:rtl/>
        </w:rPr>
        <w:t xml:space="preserve">זה </w:t>
      </w:r>
      <w:bookmarkStart w:id="6250" w:name="_ETM_Q7_439130"/>
      <w:bookmarkEnd w:id="6250"/>
      <w:r>
        <w:rPr>
          <w:rFonts w:hint="cs"/>
          <w:rtl/>
        </w:rPr>
        <w:t xml:space="preserve">לא </w:t>
      </w:r>
      <w:bookmarkStart w:id="6251" w:name="_ETM_Q7_439190"/>
      <w:bookmarkEnd w:id="6251"/>
      <w:r>
        <w:rPr>
          <w:rFonts w:hint="cs"/>
          <w:rtl/>
        </w:rPr>
        <w:t xml:space="preserve">כישלון, </w:t>
      </w:r>
      <w:bookmarkStart w:id="6252" w:name="_ETM_Q7_440370"/>
      <w:bookmarkEnd w:id="6252"/>
      <w:r>
        <w:rPr>
          <w:rFonts w:hint="cs"/>
          <w:rtl/>
        </w:rPr>
        <w:t xml:space="preserve">זה </w:t>
      </w:r>
      <w:bookmarkStart w:id="6253" w:name="_ETM_Q7_440580"/>
      <w:bookmarkStart w:id="6254" w:name="_ETM_Q7_443220"/>
      <w:bookmarkEnd w:id="6253"/>
      <w:bookmarkEnd w:id="6254"/>
      <w:r>
        <w:rPr>
          <w:rFonts w:hint="cs"/>
          <w:rtl/>
        </w:rPr>
        <w:t xml:space="preserve">מימוש חובה. זה לא הפסד, כי אם כיוון שביום </w:t>
      </w:r>
      <w:bookmarkStart w:id="6255" w:name="_ETM_Q7_446816"/>
      <w:bookmarkEnd w:id="6255"/>
      <w:r>
        <w:rPr>
          <w:rFonts w:hint="cs"/>
          <w:rtl/>
        </w:rPr>
        <w:t>הזה</w:t>
      </w:r>
      <w:bookmarkStart w:id="6256" w:name="_ETM_Q7_444980"/>
      <w:bookmarkEnd w:id="6256"/>
      <w:r>
        <w:rPr>
          <w:rFonts w:hint="cs"/>
          <w:rtl/>
        </w:rPr>
        <w:t xml:space="preserve"> יקבע </w:t>
      </w:r>
      <w:bookmarkStart w:id="6257" w:name="_ETM_Q7_445310"/>
      <w:bookmarkEnd w:id="6257"/>
      <w:r>
        <w:rPr>
          <w:rFonts w:hint="cs"/>
          <w:rtl/>
        </w:rPr>
        <w:t xml:space="preserve">גם </w:t>
      </w:r>
      <w:bookmarkStart w:id="6258" w:name="_ETM_Q7_445520"/>
      <w:bookmarkEnd w:id="6258"/>
      <w:r>
        <w:rPr>
          <w:rFonts w:hint="cs"/>
          <w:rtl/>
        </w:rPr>
        <w:t xml:space="preserve">איך </w:t>
      </w:r>
      <w:bookmarkStart w:id="6259" w:name="_ETM_Q7_445670"/>
      <w:bookmarkEnd w:id="6259"/>
      <w:r>
        <w:rPr>
          <w:rFonts w:hint="cs"/>
          <w:rtl/>
        </w:rPr>
        <w:t xml:space="preserve">הוא </w:t>
      </w:r>
      <w:bookmarkStart w:id="6260" w:name="_ETM_Q7_445760"/>
      <w:bookmarkEnd w:id="6260"/>
      <w:r>
        <w:rPr>
          <w:rFonts w:hint="cs"/>
          <w:rtl/>
        </w:rPr>
        <w:t xml:space="preserve">ייזכר </w:t>
      </w:r>
      <w:bookmarkStart w:id="6261" w:name="_ETM_Q7_446750"/>
      <w:bookmarkEnd w:id="6261"/>
      <w:r>
        <w:rPr>
          <w:rFonts w:hint="cs"/>
          <w:rtl/>
        </w:rPr>
        <w:t xml:space="preserve">בהיסטוריה. </w:t>
      </w:r>
      <w:bookmarkStart w:id="6262" w:name="_ETM_Q7_448050"/>
      <w:bookmarkEnd w:id="6262"/>
    </w:p>
    <w:p w:rsidR="000C5C1F" w:rsidRDefault="000C5C1F" w:rsidP="000C5C1F">
      <w:pPr>
        <w:rPr>
          <w:rtl/>
        </w:rPr>
      </w:pPr>
    </w:p>
    <w:p w:rsidR="000C5C1F" w:rsidRDefault="000C5C1F" w:rsidP="000C5C1F">
      <w:pPr>
        <w:rPr>
          <w:rtl/>
        </w:rPr>
      </w:pPr>
      <w:r>
        <w:rPr>
          <w:rFonts w:hint="cs"/>
          <w:rtl/>
        </w:rPr>
        <w:t xml:space="preserve">המחאה </w:t>
      </w:r>
      <w:bookmarkStart w:id="6263" w:name="_ETM_Q7_448499"/>
      <w:bookmarkEnd w:id="6263"/>
      <w:r>
        <w:rPr>
          <w:rFonts w:hint="cs"/>
          <w:rtl/>
        </w:rPr>
        <w:t xml:space="preserve">העצומה </w:t>
      </w:r>
      <w:bookmarkStart w:id="6264" w:name="_ETM_Q7_448860"/>
      <w:bookmarkEnd w:id="6264"/>
      <w:r>
        <w:rPr>
          <w:rFonts w:hint="cs"/>
          <w:rtl/>
        </w:rPr>
        <w:t xml:space="preserve">לא </w:t>
      </w:r>
      <w:bookmarkStart w:id="6265" w:name="_ETM_Q7_448979"/>
      <w:bookmarkEnd w:id="6265"/>
      <w:r>
        <w:rPr>
          <w:rFonts w:hint="cs"/>
          <w:rtl/>
        </w:rPr>
        <w:t xml:space="preserve">תיפסק. </w:t>
      </w:r>
      <w:bookmarkStart w:id="6266" w:name="_ETM_Q7_450190"/>
      <w:bookmarkEnd w:id="6266"/>
      <w:r>
        <w:rPr>
          <w:rFonts w:hint="cs"/>
          <w:rtl/>
        </w:rPr>
        <w:t xml:space="preserve">אם </w:t>
      </w:r>
      <w:bookmarkStart w:id="6267" w:name="_ETM_Q7_450310"/>
      <w:bookmarkEnd w:id="6267"/>
      <w:r>
        <w:rPr>
          <w:rFonts w:hint="cs"/>
          <w:rtl/>
        </w:rPr>
        <w:t xml:space="preserve">חוק </w:t>
      </w:r>
      <w:bookmarkStart w:id="6268" w:name="_ETM_Q7_450550"/>
      <w:bookmarkEnd w:id="6268"/>
      <w:r>
        <w:rPr>
          <w:rFonts w:hint="cs"/>
          <w:rtl/>
        </w:rPr>
        <w:t xml:space="preserve">זה </w:t>
      </w:r>
      <w:bookmarkStart w:id="6269" w:name="_ETM_Q7_450700"/>
      <w:bookmarkEnd w:id="6269"/>
      <w:r>
        <w:rPr>
          <w:rFonts w:hint="cs"/>
          <w:rtl/>
        </w:rPr>
        <w:t>יעבור</w:t>
      </w:r>
      <w:bookmarkStart w:id="6270" w:name="_ETM_Q7_451150"/>
      <w:bookmarkEnd w:id="6270"/>
      <w:r>
        <w:rPr>
          <w:rFonts w:hint="cs"/>
          <w:rtl/>
        </w:rPr>
        <w:t xml:space="preserve">, היא תתרחב, </w:t>
      </w:r>
      <w:bookmarkStart w:id="6271" w:name="_ETM_Q7_451839"/>
      <w:bookmarkEnd w:id="6271"/>
      <w:r>
        <w:rPr>
          <w:rFonts w:hint="cs"/>
          <w:rtl/>
        </w:rPr>
        <w:t xml:space="preserve">היא </w:t>
      </w:r>
      <w:bookmarkStart w:id="6272" w:name="_ETM_Q7_451930"/>
      <w:bookmarkEnd w:id="6272"/>
      <w:r>
        <w:rPr>
          <w:rFonts w:hint="cs"/>
          <w:rtl/>
        </w:rPr>
        <w:t xml:space="preserve">תעמיק, </w:t>
      </w:r>
      <w:bookmarkStart w:id="6273" w:name="_ETM_Q7_452860"/>
      <w:bookmarkEnd w:id="6273"/>
      <w:r>
        <w:rPr>
          <w:rFonts w:hint="cs"/>
          <w:rtl/>
        </w:rPr>
        <w:t xml:space="preserve">ומי </w:t>
      </w:r>
      <w:bookmarkStart w:id="6274" w:name="_ETM_Q7_453100"/>
      <w:bookmarkEnd w:id="6274"/>
      <w:r>
        <w:rPr>
          <w:rFonts w:hint="cs"/>
          <w:rtl/>
        </w:rPr>
        <w:t xml:space="preserve">שחושב </w:t>
      </w:r>
      <w:bookmarkStart w:id="6275" w:name="_ETM_Q7_453550"/>
      <w:bookmarkEnd w:id="6275"/>
      <w:r>
        <w:rPr>
          <w:rFonts w:hint="cs"/>
          <w:rtl/>
        </w:rPr>
        <w:t xml:space="preserve">שחום </w:t>
      </w:r>
      <w:bookmarkStart w:id="6276" w:name="_ETM_Q7_453910"/>
      <w:bookmarkEnd w:id="6276"/>
      <w:r>
        <w:rPr>
          <w:rFonts w:hint="cs"/>
          <w:rtl/>
        </w:rPr>
        <w:t xml:space="preserve">הקיץ, </w:t>
      </w:r>
      <w:bookmarkStart w:id="6277" w:name="_ETM_Q7_454510"/>
      <w:bookmarkEnd w:id="6277"/>
      <w:r>
        <w:rPr>
          <w:rFonts w:hint="cs"/>
          <w:rtl/>
        </w:rPr>
        <w:t xml:space="preserve">החופשות </w:t>
      </w:r>
      <w:bookmarkStart w:id="6278" w:name="_ETM_Q7_455140"/>
      <w:bookmarkEnd w:id="6278"/>
      <w:r>
        <w:rPr>
          <w:rFonts w:hint="cs"/>
          <w:rtl/>
        </w:rPr>
        <w:t xml:space="preserve">והקייטנות </w:t>
      </w:r>
      <w:bookmarkStart w:id="6279" w:name="_ETM_Q7_455710"/>
      <w:bookmarkEnd w:id="6279"/>
      <w:r>
        <w:rPr>
          <w:rFonts w:hint="cs"/>
          <w:rtl/>
        </w:rPr>
        <w:t xml:space="preserve">יעצרו </w:t>
      </w:r>
      <w:bookmarkStart w:id="6280" w:name="_ETM_Q7_456040"/>
      <w:bookmarkEnd w:id="6280"/>
      <w:r>
        <w:rPr>
          <w:rFonts w:hint="cs"/>
          <w:rtl/>
        </w:rPr>
        <w:t xml:space="preserve">את </w:t>
      </w:r>
      <w:bookmarkStart w:id="6281" w:name="_ETM_Q7_456100"/>
      <w:bookmarkEnd w:id="6281"/>
      <w:r>
        <w:rPr>
          <w:rFonts w:hint="cs"/>
          <w:rtl/>
        </w:rPr>
        <w:t xml:space="preserve">כל </w:t>
      </w:r>
      <w:bookmarkStart w:id="6282" w:name="_ETM_Q7_456370"/>
      <w:bookmarkEnd w:id="6282"/>
      <w:r>
        <w:rPr>
          <w:rFonts w:hint="cs"/>
          <w:rtl/>
        </w:rPr>
        <w:t xml:space="preserve">אלה </w:t>
      </w:r>
      <w:bookmarkStart w:id="6283" w:name="_ETM_Q7_457120"/>
      <w:bookmarkEnd w:id="6283"/>
      <w:r>
        <w:rPr>
          <w:rFonts w:hint="cs"/>
          <w:rtl/>
        </w:rPr>
        <w:t xml:space="preserve">שמדינת </w:t>
      </w:r>
      <w:bookmarkStart w:id="6284" w:name="_ETM_Q7_457569"/>
      <w:bookmarkEnd w:id="6284"/>
      <w:r>
        <w:rPr>
          <w:rFonts w:hint="cs"/>
          <w:rtl/>
        </w:rPr>
        <w:t xml:space="preserve">ישראל </w:t>
      </w:r>
      <w:bookmarkStart w:id="6285" w:name="_ETM_Q7_457990"/>
      <w:bookmarkEnd w:id="6285"/>
      <w:r>
        <w:rPr>
          <w:rFonts w:hint="cs"/>
          <w:rtl/>
        </w:rPr>
        <w:t xml:space="preserve">ומגילת </w:t>
      </w:r>
      <w:bookmarkStart w:id="6286" w:name="_ETM_Q7_458380"/>
      <w:bookmarkEnd w:id="6286"/>
      <w:r>
        <w:rPr>
          <w:rFonts w:hint="cs"/>
          <w:rtl/>
        </w:rPr>
        <w:t xml:space="preserve">העצמאות </w:t>
      </w:r>
      <w:bookmarkStart w:id="6287" w:name="_ETM_Q7_458800"/>
      <w:bookmarkEnd w:id="6287"/>
      <w:r>
        <w:rPr>
          <w:rFonts w:hint="cs"/>
          <w:rtl/>
        </w:rPr>
        <w:t xml:space="preserve">וערכיה </w:t>
      </w:r>
      <w:bookmarkStart w:id="6288" w:name="_ETM_Q7_459580"/>
      <w:bookmarkEnd w:id="6288"/>
      <w:r>
        <w:rPr>
          <w:rFonts w:hint="cs"/>
          <w:rtl/>
        </w:rPr>
        <w:t xml:space="preserve">היהודיים </w:t>
      </w:r>
      <w:bookmarkStart w:id="6289" w:name="_ETM_Q7_460060"/>
      <w:bookmarkEnd w:id="6289"/>
      <w:r>
        <w:rPr>
          <w:rFonts w:hint="cs"/>
          <w:rtl/>
        </w:rPr>
        <w:t xml:space="preserve">והדמוקרטיים </w:t>
      </w:r>
      <w:bookmarkStart w:id="6290" w:name="_ETM_Q7_460690"/>
      <w:bookmarkEnd w:id="6290"/>
      <w:r>
        <w:rPr>
          <w:rFonts w:hint="cs"/>
          <w:rtl/>
        </w:rPr>
        <w:t xml:space="preserve">חשובים </w:t>
      </w:r>
      <w:bookmarkStart w:id="6291" w:name="_ETM_Q7_461139"/>
      <w:bookmarkEnd w:id="6291"/>
      <w:r>
        <w:rPr>
          <w:rFonts w:hint="cs"/>
          <w:rtl/>
        </w:rPr>
        <w:t>להם</w:t>
      </w:r>
      <w:bookmarkStart w:id="6292" w:name="_ETM_Q7_461889"/>
      <w:bookmarkEnd w:id="6292"/>
      <w:r>
        <w:rPr>
          <w:rFonts w:hint="cs"/>
          <w:rtl/>
        </w:rPr>
        <w:t xml:space="preserve">, טועה </w:t>
      </w:r>
      <w:bookmarkStart w:id="6293" w:name="_ETM_Q7_462310"/>
      <w:bookmarkEnd w:id="6293"/>
      <w:r>
        <w:rPr>
          <w:rFonts w:hint="cs"/>
          <w:rtl/>
        </w:rPr>
        <w:t xml:space="preserve">טעות </w:t>
      </w:r>
      <w:bookmarkStart w:id="6294" w:name="_ETM_Q7_462580"/>
      <w:bookmarkEnd w:id="6294"/>
      <w:r>
        <w:rPr>
          <w:rFonts w:hint="cs"/>
          <w:rtl/>
        </w:rPr>
        <w:t xml:space="preserve">מרה. </w:t>
      </w:r>
      <w:bookmarkStart w:id="6295" w:name="_ETM_Q7_463970"/>
      <w:bookmarkStart w:id="6296" w:name="_ETM_Q7_464779"/>
      <w:bookmarkEnd w:id="6295"/>
      <w:bookmarkEnd w:id="6296"/>
      <w:r>
        <w:rPr>
          <w:rFonts w:hint="cs"/>
          <w:rtl/>
        </w:rPr>
        <w:t xml:space="preserve">המחאה העצומה גם </w:t>
      </w:r>
      <w:bookmarkStart w:id="6297" w:name="_ETM_Q7_464960"/>
      <w:bookmarkEnd w:id="6297"/>
      <w:r>
        <w:rPr>
          <w:rFonts w:hint="cs"/>
          <w:rtl/>
        </w:rPr>
        <w:t xml:space="preserve">תגרום </w:t>
      </w:r>
      <w:bookmarkStart w:id="6298" w:name="_ETM_Q7_465410"/>
      <w:bookmarkEnd w:id="6298"/>
      <w:r>
        <w:rPr>
          <w:rFonts w:hint="cs"/>
          <w:rtl/>
        </w:rPr>
        <w:t xml:space="preserve">לאותם </w:t>
      </w:r>
      <w:bookmarkStart w:id="6299" w:name="_ETM_Q7_465740"/>
      <w:bookmarkEnd w:id="6299"/>
      <w:r>
        <w:rPr>
          <w:rFonts w:hint="cs"/>
          <w:rtl/>
        </w:rPr>
        <w:t xml:space="preserve">אלה </w:t>
      </w:r>
      <w:bookmarkStart w:id="6300" w:name="_ETM_Q7_465949"/>
      <w:bookmarkEnd w:id="6300"/>
      <w:r>
        <w:rPr>
          <w:rFonts w:hint="cs"/>
          <w:rtl/>
        </w:rPr>
        <w:t xml:space="preserve">בליכוד </w:t>
      </w:r>
      <w:bookmarkStart w:id="6301" w:name="_ETM_Q7_466970"/>
      <w:bookmarkEnd w:id="6301"/>
      <w:r>
        <w:rPr>
          <w:rFonts w:hint="cs"/>
          <w:rtl/>
        </w:rPr>
        <w:t xml:space="preserve">ששכחו </w:t>
      </w:r>
      <w:bookmarkStart w:id="6302" w:name="_ETM_Q7_467630"/>
      <w:bookmarkEnd w:id="6302"/>
      <w:r>
        <w:rPr>
          <w:rFonts w:hint="cs"/>
          <w:rtl/>
        </w:rPr>
        <w:t xml:space="preserve">מאיפה </w:t>
      </w:r>
      <w:bookmarkStart w:id="6303" w:name="_ETM_Q7_468020"/>
      <w:bookmarkEnd w:id="6303"/>
      <w:r>
        <w:rPr>
          <w:rFonts w:hint="cs"/>
          <w:rtl/>
        </w:rPr>
        <w:t xml:space="preserve">באו </w:t>
      </w:r>
      <w:bookmarkStart w:id="6304" w:name="_ETM_Q7_468860"/>
      <w:bookmarkEnd w:id="6304"/>
      <w:r>
        <w:rPr>
          <w:rFonts w:hint="cs"/>
          <w:rtl/>
        </w:rPr>
        <w:t xml:space="preserve">ופחדנותם </w:t>
      </w:r>
      <w:bookmarkStart w:id="6305" w:name="_ETM_Q7_469880"/>
      <w:bookmarkEnd w:id="6305"/>
      <w:r>
        <w:rPr>
          <w:rFonts w:hint="cs"/>
          <w:rtl/>
        </w:rPr>
        <w:t xml:space="preserve">אומנותם </w:t>
      </w:r>
      <w:r>
        <w:t>–</w:t>
      </w:r>
      <w:r>
        <w:rPr>
          <w:rFonts w:hint="cs"/>
          <w:rtl/>
        </w:rPr>
        <w:t xml:space="preserve"> </w:t>
      </w:r>
      <w:bookmarkStart w:id="6306" w:name="_ETM_Q7_470570"/>
      <w:bookmarkEnd w:id="6306"/>
      <w:r>
        <w:rPr>
          <w:rFonts w:hint="cs"/>
          <w:rtl/>
        </w:rPr>
        <w:t xml:space="preserve">כן, </w:t>
      </w:r>
      <w:bookmarkStart w:id="6307" w:name="_ETM_Q7_470810"/>
      <w:bookmarkEnd w:id="6307"/>
      <w:r>
        <w:rPr>
          <w:rFonts w:hint="cs"/>
          <w:rtl/>
        </w:rPr>
        <w:t xml:space="preserve">השר </w:t>
      </w:r>
      <w:bookmarkStart w:id="6308" w:name="_ETM_Q7_471050"/>
      <w:bookmarkEnd w:id="6308"/>
      <w:r>
        <w:rPr>
          <w:rFonts w:hint="cs"/>
          <w:rtl/>
        </w:rPr>
        <w:t xml:space="preserve">כהן, פחדנותם </w:t>
      </w:r>
      <w:bookmarkStart w:id="6309" w:name="_ETM_Q7_472040"/>
      <w:bookmarkEnd w:id="6309"/>
      <w:r>
        <w:rPr>
          <w:rFonts w:hint="cs"/>
          <w:rtl/>
        </w:rPr>
        <w:t xml:space="preserve">אומנותם </w:t>
      </w:r>
      <w:bookmarkStart w:id="6310" w:name="_ETM_Q7_473150"/>
      <w:bookmarkEnd w:id="6310"/>
      <w:r>
        <w:rPr>
          <w:rFonts w:hint="cs"/>
          <w:rtl/>
        </w:rPr>
        <w:t xml:space="preserve">– היא תגרום </w:t>
      </w:r>
      <w:bookmarkStart w:id="6311" w:name="_ETM_Q7_473569"/>
      <w:bookmarkEnd w:id="6311"/>
      <w:r>
        <w:rPr>
          <w:rFonts w:hint="cs"/>
          <w:rtl/>
        </w:rPr>
        <w:t xml:space="preserve">להם </w:t>
      </w:r>
      <w:bookmarkStart w:id="6312" w:name="_ETM_Q7_473750"/>
      <w:bookmarkEnd w:id="6312"/>
      <w:r>
        <w:rPr>
          <w:rFonts w:hint="cs"/>
          <w:rtl/>
        </w:rPr>
        <w:t xml:space="preserve">בסוף </w:t>
      </w:r>
      <w:bookmarkStart w:id="6313" w:name="_ETM_Q7_474080"/>
      <w:bookmarkEnd w:id="6313"/>
      <w:r>
        <w:rPr>
          <w:rFonts w:hint="cs"/>
          <w:rtl/>
        </w:rPr>
        <w:t xml:space="preserve">להבין </w:t>
      </w:r>
      <w:bookmarkStart w:id="6314" w:name="_ETM_Q7_474919"/>
      <w:bookmarkEnd w:id="6314"/>
      <w:r>
        <w:rPr>
          <w:rFonts w:hint="cs"/>
          <w:rtl/>
        </w:rPr>
        <w:t xml:space="preserve">שגם </w:t>
      </w:r>
      <w:bookmarkStart w:id="6315" w:name="_ETM_Q7_475279"/>
      <w:bookmarkEnd w:id="6315"/>
      <w:r>
        <w:rPr>
          <w:rFonts w:hint="cs"/>
          <w:rtl/>
        </w:rPr>
        <w:t xml:space="preserve">הם </w:t>
      </w:r>
      <w:bookmarkStart w:id="6316" w:name="_ETM_Q7_475400"/>
      <w:bookmarkEnd w:id="6316"/>
      <w:r>
        <w:rPr>
          <w:rFonts w:hint="cs"/>
          <w:rtl/>
        </w:rPr>
        <w:t xml:space="preserve">צריכים </w:t>
      </w:r>
      <w:bookmarkStart w:id="6317" w:name="_ETM_Q7_475639"/>
      <w:bookmarkEnd w:id="6317"/>
      <w:r>
        <w:rPr>
          <w:rFonts w:hint="cs"/>
          <w:rtl/>
        </w:rPr>
        <w:t>להגיד:</w:t>
      </w:r>
      <w:bookmarkStart w:id="6318" w:name="_ETM_Q7_476029"/>
      <w:bookmarkEnd w:id="6318"/>
      <w:r>
        <w:rPr>
          <w:rFonts w:hint="cs"/>
          <w:rtl/>
        </w:rPr>
        <w:t xml:space="preserve"> עד </w:t>
      </w:r>
      <w:bookmarkStart w:id="6319" w:name="_ETM_Q7_476210"/>
      <w:bookmarkEnd w:id="6319"/>
      <w:r>
        <w:rPr>
          <w:rFonts w:hint="cs"/>
          <w:rtl/>
        </w:rPr>
        <w:t xml:space="preserve">כאן. </w:t>
      </w:r>
      <w:bookmarkStart w:id="6320" w:name="_ETM_Q7_477369"/>
      <w:bookmarkEnd w:id="6320"/>
    </w:p>
    <w:p w:rsidR="000C5C1F" w:rsidRDefault="000C5C1F" w:rsidP="000C5C1F">
      <w:pPr>
        <w:rPr>
          <w:rtl/>
        </w:rPr>
      </w:pPr>
    </w:p>
    <w:p w:rsidR="000C5C1F" w:rsidRDefault="000C5C1F" w:rsidP="000C5C1F">
      <w:pPr>
        <w:rPr>
          <w:rtl/>
        </w:rPr>
      </w:pPr>
      <w:r>
        <w:rPr>
          <w:rFonts w:hint="cs"/>
          <w:rtl/>
        </w:rPr>
        <w:t xml:space="preserve">עדיין </w:t>
      </w:r>
      <w:bookmarkStart w:id="6321" w:name="_ETM_Q7_477729"/>
      <w:bookmarkEnd w:id="6321"/>
      <w:r>
        <w:rPr>
          <w:rFonts w:hint="cs"/>
          <w:rtl/>
        </w:rPr>
        <w:t xml:space="preserve">ניתן </w:t>
      </w:r>
      <w:bookmarkStart w:id="6322" w:name="_ETM_Q7_477999"/>
      <w:bookmarkEnd w:id="6322"/>
      <w:r>
        <w:rPr>
          <w:rFonts w:hint="cs"/>
          <w:rtl/>
        </w:rPr>
        <w:t xml:space="preserve">לעשות </w:t>
      </w:r>
      <w:bookmarkStart w:id="6323" w:name="_ETM_Q7_478300"/>
      <w:bookmarkEnd w:id="6323"/>
      <w:r>
        <w:rPr>
          <w:rFonts w:hint="cs"/>
          <w:rtl/>
        </w:rPr>
        <w:t xml:space="preserve">שינוי. </w:t>
      </w:r>
      <w:bookmarkStart w:id="6324" w:name="_ETM_Q7_479439"/>
      <w:bookmarkEnd w:id="6324"/>
      <w:r>
        <w:rPr>
          <w:rFonts w:hint="cs"/>
          <w:rtl/>
        </w:rPr>
        <w:t xml:space="preserve">אני </w:t>
      </w:r>
      <w:bookmarkStart w:id="6325" w:name="_ETM_Q7_479680"/>
      <w:bookmarkEnd w:id="6325"/>
      <w:r>
        <w:rPr>
          <w:rFonts w:hint="cs"/>
          <w:rtl/>
        </w:rPr>
        <w:t xml:space="preserve">לא </w:t>
      </w:r>
      <w:bookmarkStart w:id="6326" w:name="_ETM_Q7_479770"/>
      <w:bookmarkEnd w:id="6326"/>
      <w:r>
        <w:rPr>
          <w:rFonts w:hint="cs"/>
          <w:rtl/>
        </w:rPr>
        <w:t xml:space="preserve">סומך </w:t>
      </w:r>
      <w:bookmarkStart w:id="6327" w:name="_ETM_Q7_480159"/>
      <w:bookmarkEnd w:id="6327"/>
      <w:r>
        <w:rPr>
          <w:rFonts w:hint="cs"/>
          <w:rtl/>
        </w:rPr>
        <w:t xml:space="preserve">– לא </w:t>
      </w:r>
      <w:bookmarkStart w:id="6328" w:name="_ETM_Q7_480279"/>
      <w:bookmarkEnd w:id="6328"/>
      <w:r>
        <w:rPr>
          <w:rFonts w:hint="cs"/>
          <w:rtl/>
        </w:rPr>
        <w:t xml:space="preserve">על </w:t>
      </w:r>
      <w:bookmarkStart w:id="6329" w:name="_ETM_Q7_480400"/>
      <w:bookmarkEnd w:id="6329"/>
      <w:r>
        <w:rPr>
          <w:rFonts w:hint="cs"/>
          <w:rtl/>
        </w:rPr>
        <w:t xml:space="preserve">המוסריות </w:t>
      </w:r>
      <w:bookmarkStart w:id="6330" w:name="_ETM_Q7_480939"/>
      <w:bookmarkEnd w:id="6330"/>
      <w:r>
        <w:rPr>
          <w:rFonts w:hint="cs"/>
          <w:rtl/>
        </w:rPr>
        <w:t xml:space="preserve">שלכם, </w:t>
      </w:r>
      <w:bookmarkStart w:id="6331" w:name="_ETM_Q7_480000"/>
      <w:bookmarkStart w:id="6332" w:name="_ETM_Q7_481410"/>
      <w:bookmarkEnd w:id="6331"/>
      <w:bookmarkEnd w:id="6332"/>
      <w:r>
        <w:rPr>
          <w:rFonts w:hint="cs"/>
          <w:rtl/>
        </w:rPr>
        <w:t xml:space="preserve">לא על </w:t>
      </w:r>
      <w:bookmarkStart w:id="6333" w:name="_ETM_Q7_481529"/>
      <w:bookmarkEnd w:id="6333"/>
      <w:r>
        <w:rPr>
          <w:rFonts w:hint="cs"/>
          <w:rtl/>
        </w:rPr>
        <w:t xml:space="preserve">הערכים </w:t>
      </w:r>
      <w:bookmarkStart w:id="6334" w:name="_ETM_Q7_481920"/>
      <w:bookmarkEnd w:id="6334"/>
      <w:r>
        <w:rPr>
          <w:rFonts w:hint="cs"/>
          <w:rtl/>
        </w:rPr>
        <w:t xml:space="preserve">שלכם. </w:t>
      </w:r>
      <w:bookmarkStart w:id="6335" w:name="_ETM_Q7_482580"/>
      <w:bookmarkEnd w:id="6335"/>
      <w:r>
        <w:rPr>
          <w:rFonts w:hint="cs"/>
          <w:rtl/>
        </w:rPr>
        <w:t xml:space="preserve">אני </w:t>
      </w:r>
      <w:bookmarkStart w:id="6336" w:name="_ETM_Q7_482790"/>
      <w:bookmarkEnd w:id="6336"/>
      <w:r>
        <w:rPr>
          <w:rFonts w:hint="cs"/>
          <w:rtl/>
        </w:rPr>
        <w:t xml:space="preserve">כן </w:t>
      </w:r>
      <w:bookmarkStart w:id="6337" w:name="_ETM_Q7_483000"/>
      <w:bookmarkEnd w:id="6337"/>
      <w:r>
        <w:rPr>
          <w:rFonts w:hint="cs"/>
          <w:rtl/>
        </w:rPr>
        <w:t xml:space="preserve">סומך </w:t>
      </w:r>
      <w:bookmarkStart w:id="6338" w:name="_ETM_Q7_483300"/>
      <w:bookmarkEnd w:id="6338"/>
      <w:r>
        <w:rPr>
          <w:rFonts w:hint="cs"/>
          <w:rtl/>
        </w:rPr>
        <w:t xml:space="preserve">על </w:t>
      </w:r>
      <w:bookmarkStart w:id="6339" w:name="_ETM_Q7_483389"/>
      <w:bookmarkEnd w:id="6339"/>
      <w:r>
        <w:rPr>
          <w:rFonts w:hint="cs"/>
          <w:rtl/>
        </w:rPr>
        <w:t xml:space="preserve">הציניות </w:t>
      </w:r>
      <w:bookmarkStart w:id="6340" w:name="_ETM_Q7_483870"/>
      <w:bookmarkEnd w:id="6340"/>
      <w:r>
        <w:rPr>
          <w:rFonts w:hint="cs"/>
          <w:rtl/>
        </w:rPr>
        <w:t xml:space="preserve">שלכם. </w:t>
      </w:r>
      <w:bookmarkStart w:id="6341" w:name="_ETM_Q7_484710"/>
      <w:bookmarkEnd w:id="6341"/>
      <w:r>
        <w:rPr>
          <w:rFonts w:hint="cs"/>
          <w:rtl/>
        </w:rPr>
        <w:t xml:space="preserve">ביום </w:t>
      </w:r>
      <w:bookmarkStart w:id="6342" w:name="_ETM_Q7_485130"/>
      <w:bookmarkEnd w:id="6342"/>
      <w:r>
        <w:rPr>
          <w:rFonts w:hint="cs"/>
          <w:rtl/>
        </w:rPr>
        <w:t xml:space="preserve">שתראו </w:t>
      </w:r>
      <w:bookmarkStart w:id="6343" w:name="_ETM_Q7_485580"/>
      <w:bookmarkEnd w:id="6343"/>
      <w:r>
        <w:rPr>
          <w:rFonts w:hint="cs"/>
          <w:rtl/>
        </w:rPr>
        <w:t xml:space="preserve">שזה </w:t>
      </w:r>
      <w:bookmarkStart w:id="6344" w:name="_ETM_Q7_485819"/>
      <w:bookmarkEnd w:id="6344"/>
      <w:r>
        <w:rPr>
          <w:rFonts w:hint="cs"/>
          <w:rtl/>
        </w:rPr>
        <w:t xml:space="preserve">לא </w:t>
      </w:r>
      <w:bookmarkStart w:id="6345" w:name="_ETM_Q7_485879"/>
      <w:bookmarkEnd w:id="6345"/>
      <w:r>
        <w:rPr>
          <w:rFonts w:hint="cs"/>
          <w:rtl/>
        </w:rPr>
        <w:t xml:space="preserve">משתלם </w:t>
      </w:r>
      <w:bookmarkStart w:id="6346" w:name="_ETM_Q7_486390"/>
      <w:bookmarkEnd w:id="6346"/>
      <w:r>
        <w:rPr>
          <w:rFonts w:hint="cs"/>
          <w:rtl/>
        </w:rPr>
        <w:t xml:space="preserve">לכם, </w:t>
      </w:r>
      <w:bookmarkStart w:id="6347" w:name="_ETM_Q7_487229"/>
      <w:bookmarkEnd w:id="6347"/>
      <w:r>
        <w:rPr>
          <w:rFonts w:hint="cs"/>
          <w:rtl/>
        </w:rPr>
        <w:t xml:space="preserve">שההמון שצובא </w:t>
      </w:r>
      <w:bookmarkStart w:id="6348" w:name="_ETM_Q7_487799"/>
      <w:bookmarkStart w:id="6349" w:name="_ETM_Q7_488219"/>
      <w:bookmarkStart w:id="6350" w:name="_ETM_Q7_493263"/>
      <w:bookmarkStart w:id="6351" w:name="_ETM_Q7_493372"/>
      <w:bookmarkEnd w:id="6348"/>
      <w:bookmarkEnd w:id="6349"/>
      <w:bookmarkEnd w:id="6350"/>
      <w:bookmarkEnd w:id="6351"/>
      <w:r>
        <w:rPr>
          <w:rFonts w:hint="cs"/>
          <w:rtl/>
        </w:rPr>
        <w:t xml:space="preserve">על הרחובות </w:t>
      </w:r>
      <w:bookmarkStart w:id="6352" w:name="_ETM_Q7_488760"/>
      <w:bookmarkEnd w:id="6352"/>
      <w:r>
        <w:rPr>
          <w:rFonts w:hint="cs"/>
          <w:rtl/>
        </w:rPr>
        <w:t xml:space="preserve">הם </w:t>
      </w:r>
      <w:bookmarkStart w:id="6353" w:name="_ETM_Q7_488820"/>
      <w:bookmarkEnd w:id="6353"/>
      <w:r>
        <w:rPr>
          <w:rFonts w:hint="cs"/>
          <w:rtl/>
        </w:rPr>
        <w:t xml:space="preserve">גם </w:t>
      </w:r>
      <w:bookmarkStart w:id="6354" w:name="_ETM_Q7_489000"/>
      <w:bookmarkEnd w:id="6354"/>
      <w:r>
        <w:rPr>
          <w:rFonts w:hint="cs"/>
          <w:rtl/>
        </w:rPr>
        <w:t xml:space="preserve">אלה </w:t>
      </w:r>
      <w:bookmarkStart w:id="6355" w:name="_ETM_Q7_489150"/>
      <w:bookmarkEnd w:id="6355"/>
      <w:r>
        <w:rPr>
          <w:rFonts w:hint="cs"/>
          <w:rtl/>
        </w:rPr>
        <w:t xml:space="preserve">שמצביעים </w:t>
      </w:r>
      <w:bookmarkStart w:id="6356" w:name="_ETM_Q7_489589"/>
      <w:bookmarkEnd w:id="6356"/>
      <w:r>
        <w:rPr>
          <w:rFonts w:hint="cs"/>
          <w:rtl/>
        </w:rPr>
        <w:t xml:space="preserve">לכם, </w:t>
      </w:r>
      <w:bookmarkStart w:id="6357" w:name="_ETM_Q7_490560"/>
      <w:bookmarkEnd w:id="6357"/>
      <w:r>
        <w:rPr>
          <w:rFonts w:hint="cs"/>
          <w:rtl/>
        </w:rPr>
        <w:t xml:space="preserve">תגלו </w:t>
      </w:r>
      <w:bookmarkStart w:id="6358" w:name="_ETM_Q7_490950"/>
      <w:bookmarkEnd w:id="6358"/>
      <w:r>
        <w:rPr>
          <w:rFonts w:hint="cs"/>
          <w:rtl/>
        </w:rPr>
        <w:t xml:space="preserve">אז </w:t>
      </w:r>
      <w:bookmarkStart w:id="6359" w:name="_ETM_Q7_491070"/>
      <w:bookmarkEnd w:id="6359"/>
      <w:r>
        <w:rPr>
          <w:rFonts w:hint="cs"/>
          <w:rtl/>
        </w:rPr>
        <w:t xml:space="preserve">את </w:t>
      </w:r>
      <w:bookmarkStart w:id="6360" w:name="_ETM_Q7_491250"/>
      <w:bookmarkEnd w:id="6360"/>
      <w:r>
        <w:rPr>
          <w:rFonts w:hint="cs"/>
          <w:rtl/>
        </w:rPr>
        <w:t xml:space="preserve">המוסר, </w:t>
      </w:r>
      <w:bookmarkStart w:id="6361" w:name="_ETM_Q7_492180"/>
      <w:bookmarkEnd w:id="6361"/>
      <w:r>
        <w:rPr>
          <w:rFonts w:hint="cs"/>
          <w:rtl/>
        </w:rPr>
        <w:t xml:space="preserve">את </w:t>
      </w:r>
      <w:bookmarkStart w:id="6362" w:name="_ETM_Q7_492390"/>
      <w:bookmarkEnd w:id="6362"/>
      <w:r>
        <w:rPr>
          <w:rFonts w:hint="cs"/>
          <w:rtl/>
        </w:rPr>
        <w:t xml:space="preserve">הערכים </w:t>
      </w:r>
      <w:bookmarkStart w:id="6363" w:name="_ETM_Q7_493320"/>
      <w:bookmarkEnd w:id="6363"/>
      <w:r>
        <w:rPr>
          <w:rFonts w:hint="cs"/>
          <w:rtl/>
        </w:rPr>
        <w:t xml:space="preserve">ואת </w:t>
      </w:r>
      <w:bookmarkStart w:id="6364" w:name="_ETM_Q7_493529"/>
      <w:bookmarkEnd w:id="6364"/>
      <w:r>
        <w:rPr>
          <w:rFonts w:hint="cs"/>
          <w:rtl/>
        </w:rPr>
        <w:t xml:space="preserve">מדינת </w:t>
      </w:r>
      <w:bookmarkStart w:id="6365" w:name="_ETM_Q7_493889"/>
      <w:bookmarkEnd w:id="6365"/>
      <w:r>
        <w:rPr>
          <w:rFonts w:hint="cs"/>
          <w:rtl/>
        </w:rPr>
        <w:t xml:space="preserve">ישראל </w:t>
      </w:r>
      <w:bookmarkStart w:id="6366" w:name="_ETM_Q7_494190"/>
      <w:bookmarkEnd w:id="6366"/>
      <w:r>
        <w:rPr>
          <w:rFonts w:hint="cs"/>
          <w:rtl/>
        </w:rPr>
        <w:t xml:space="preserve">הדמוקרטית </w:t>
      </w:r>
      <w:bookmarkStart w:id="6367" w:name="_ETM_Q7_494850"/>
      <w:bookmarkEnd w:id="6367"/>
      <w:r>
        <w:rPr>
          <w:rFonts w:hint="cs"/>
          <w:rtl/>
        </w:rPr>
        <w:t xml:space="preserve">ותצטרפו </w:t>
      </w:r>
      <w:bookmarkStart w:id="6368" w:name="_ETM_Q7_495299"/>
      <w:bookmarkEnd w:id="6368"/>
      <w:r>
        <w:rPr>
          <w:rFonts w:hint="cs"/>
          <w:rtl/>
        </w:rPr>
        <w:t xml:space="preserve">למחנה. </w:t>
      </w:r>
      <w:bookmarkStart w:id="6369" w:name="_ETM_Q7_495990"/>
      <w:bookmarkEnd w:id="6369"/>
      <w:r>
        <w:rPr>
          <w:rFonts w:hint="cs"/>
          <w:rtl/>
        </w:rPr>
        <w:t xml:space="preserve">אבל </w:t>
      </w:r>
      <w:bookmarkStart w:id="6370" w:name="_ETM_Q7_496320"/>
      <w:bookmarkEnd w:id="6370"/>
      <w:r>
        <w:rPr>
          <w:rFonts w:hint="cs"/>
          <w:rtl/>
        </w:rPr>
        <w:t xml:space="preserve">כנראה </w:t>
      </w:r>
      <w:bookmarkStart w:id="6371" w:name="_ETM_Q7_496560"/>
      <w:bookmarkEnd w:id="6371"/>
      <w:r>
        <w:rPr>
          <w:rFonts w:hint="cs"/>
          <w:rtl/>
        </w:rPr>
        <w:t xml:space="preserve">זה </w:t>
      </w:r>
      <w:bookmarkStart w:id="6372" w:name="_ETM_Q7_496650"/>
      <w:bookmarkEnd w:id="6372"/>
      <w:r>
        <w:rPr>
          <w:rFonts w:hint="cs"/>
          <w:rtl/>
        </w:rPr>
        <w:t xml:space="preserve">ייקח </w:t>
      </w:r>
      <w:bookmarkStart w:id="6373" w:name="_ETM_Q7_496920"/>
      <w:bookmarkEnd w:id="6373"/>
      <w:r>
        <w:rPr>
          <w:rFonts w:hint="cs"/>
          <w:rtl/>
        </w:rPr>
        <w:t xml:space="preserve">עוד </w:t>
      </w:r>
      <w:bookmarkStart w:id="6374" w:name="_ETM_Q7_497039"/>
      <w:bookmarkEnd w:id="6374"/>
      <w:r>
        <w:rPr>
          <w:rFonts w:hint="cs"/>
          <w:rtl/>
        </w:rPr>
        <w:t xml:space="preserve">זמן, כי </w:t>
      </w:r>
      <w:bookmarkStart w:id="6375" w:name="_ETM_Q7_498119"/>
      <w:bookmarkEnd w:id="6375"/>
      <w:r>
        <w:rPr>
          <w:rFonts w:hint="cs"/>
          <w:rtl/>
        </w:rPr>
        <w:t xml:space="preserve">התרגלתם, </w:t>
      </w:r>
      <w:bookmarkStart w:id="6376" w:name="_ETM_Q7_499020"/>
      <w:bookmarkEnd w:id="6376"/>
      <w:r>
        <w:rPr>
          <w:rFonts w:hint="cs"/>
          <w:rtl/>
        </w:rPr>
        <w:t xml:space="preserve">התרגלתם </w:t>
      </w:r>
      <w:bookmarkStart w:id="6377" w:name="_ETM_Q7_499680"/>
      <w:bookmarkEnd w:id="6377"/>
      <w:r>
        <w:rPr>
          <w:rFonts w:hint="cs"/>
          <w:rtl/>
        </w:rPr>
        <w:t xml:space="preserve">להיות </w:t>
      </w:r>
      <w:bookmarkStart w:id="6378" w:name="_ETM_Q7_499949"/>
      <w:bookmarkEnd w:id="6378"/>
      <w:r>
        <w:rPr>
          <w:rFonts w:hint="cs"/>
          <w:rtl/>
        </w:rPr>
        <w:t xml:space="preserve">כאלה. </w:t>
      </w:r>
      <w:bookmarkStart w:id="6379" w:name="_ETM_Q7_500609"/>
      <w:bookmarkEnd w:id="6379"/>
      <w:r>
        <w:rPr>
          <w:rFonts w:hint="cs"/>
          <w:rtl/>
        </w:rPr>
        <w:t xml:space="preserve">תודה </w:t>
      </w:r>
      <w:bookmarkStart w:id="6380" w:name="_ETM_Q7_500850"/>
      <w:bookmarkEnd w:id="6380"/>
      <w:r>
        <w:rPr>
          <w:rFonts w:hint="cs"/>
          <w:rtl/>
        </w:rPr>
        <w:t xml:space="preserve">רבה. </w:t>
      </w:r>
      <w:bookmarkStart w:id="6381" w:name="_ETM_Q7_506320"/>
      <w:bookmarkEnd w:id="6381"/>
    </w:p>
    <w:p w:rsidR="000C5C1F" w:rsidRDefault="000C5C1F" w:rsidP="000C5C1F">
      <w:pPr>
        <w:rPr>
          <w:rtl/>
        </w:rPr>
      </w:pPr>
      <w:bookmarkStart w:id="6382" w:name="_ETM_Q7_500105"/>
      <w:bookmarkStart w:id="6383" w:name="_ETM_Q7_500177"/>
      <w:bookmarkEnd w:id="6382"/>
      <w:bookmarkEnd w:id="6383"/>
    </w:p>
    <w:p w:rsidR="000C5C1F" w:rsidRDefault="000C5C1F" w:rsidP="000C5C1F">
      <w:pPr>
        <w:pStyle w:val="af9"/>
        <w:keepNext/>
        <w:rPr>
          <w:rtl/>
        </w:rPr>
      </w:pPr>
      <w:bookmarkStart w:id="6384" w:name="ET_yor_6490_1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Start w:id="6385" w:name="_ETM_Q7_500265"/>
      <w:bookmarkStart w:id="6386" w:name="_ETM_Q7_500321"/>
      <w:bookmarkStart w:id="6387" w:name="_ETM_Q7_500481"/>
      <w:bookmarkStart w:id="6388" w:name="_ETM_Q7_500536"/>
      <w:bookmarkEnd w:id="6384"/>
      <w:bookmarkEnd w:id="6385"/>
      <w:bookmarkEnd w:id="6386"/>
      <w:bookmarkEnd w:id="6387"/>
      <w:bookmarkEnd w:id="6388"/>
    </w:p>
    <w:p w:rsidR="000C5C1F" w:rsidRDefault="000C5C1F" w:rsidP="000C5C1F">
      <w:pPr>
        <w:rPr>
          <w:rtl/>
          <w:lang w:eastAsia="he-IL"/>
        </w:rPr>
      </w:pPr>
    </w:p>
    <w:p w:rsidR="000C5C1F" w:rsidRDefault="000C5C1F" w:rsidP="000C5C1F">
      <w:pPr>
        <w:rPr>
          <w:rtl/>
        </w:rPr>
      </w:pPr>
      <w:bookmarkStart w:id="6389" w:name="_ETM_Q7_500625"/>
      <w:bookmarkStart w:id="6390" w:name="_ETM_Q7_500705"/>
      <w:bookmarkEnd w:id="6389"/>
      <w:bookmarkEnd w:id="6390"/>
      <w:r>
        <w:rPr>
          <w:rFonts w:hint="cs"/>
          <w:rtl/>
        </w:rPr>
        <w:t xml:space="preserve">תודה </w:t>
      </w:r>
      <w:bookmarkStart w:id="6391" w:name="_ETM_Q7_506560"/>
      <w:bookmarkEnd w:id="6391"/>
      <w:r>
        <w:rPr>
          <w:rFonts w:hint="cs"/>
          <w:rtl/>
        </w:rPr>
        <w:t xml:space="preserve">רבה. </w:t>
      </w:r>
      <w:bookmarkStart w:id="6392" w:name="_ETM_Q7_506980"/>
      <w:bookmarkEnd w:id="6392"/>
      <w:r>
        <w:rPr>
          <w:rFonts w:hint="cs"/>
          <w:rtl/>
        </w:rPr>
        <w:t xml:space="preserve">חברת </w:t>
      </w:r>
      <w:bookmarkStart w:id="6393" w:name="_ETM_Q7_507339"/>
      <w:bookmarkEnd w:id="6393"/>
      <w:r>
        <w:rPr>
          <w:rFonts w:hint="cs"/>
          <w:rtl/>
        </w:rPr>
        <w:t xml:space="preserve">הכנסת </w:t>
      </w:r>
      <w:bookmarkStart w:id="6394" w:name="_ETM_Q7_507640"/>
      <w:bookmarkStart w:id="6395" w:name="_ETM_Q7_508949"/>
      <w:bookmarkEnd w:id="6394"/>
      <w:bookmarkEnd w:id="6395"/>
      <w:r>
        <w:rPr>
          <w:rFonts w:hint="cs"/>
          <w:rtl/>
        </w:rPr>
        <w:t xml:space="preserve">אורית פרקש הכהן, בבקשה. </w:t>
      </w:r>
      <w:bookmarkStart w:id="6396" w:name="_ETM_Q7_514110"/>
      <w:bookmarkStart w:id="6397" w:name="_ETM_Q7_509077"/>
      <w:bookmarkStart w:id="6398" w:name="_ETM_Q7_509147"/>
      <w:bookmarkStart w:id="6399" w:name="_ETM_Q7_509309"/>
      <w:bookmarkStart w:id="6400" w:name="_ETM_Q7_509363"/>
      <w:bookmarkEnd w:id="6396"/>
      <w:bookmarkEnd w:id="6397"/>
      <w:bookmarkEnd w:id="6398"/>
      <w:bookmarkEnd w:id="6399"/>
      <w:bookmarkEnd w:id="6400"/>
      <w:r>
        <w:rPr>
          <w:rFonts w:hint="cs"/>
          <w:rtl/>
        </w:rPr>
        <w:t xml:space="preserve"> </w:t>
      </w:r>
      <w:bookmarkStart w:id="6401" w:name="_ETM_Q7_517589"/>
      <w:bookmarkEnd w:id="6401"/>
    </w:p>
    <w:p w:rsidR="000C5C1F" w:rsidRDefault="000C5C1F" w:rsidP="000C5C1F">
      <w:pPr>
        <w:rPr>
          <w:rtl/>
        </w:rPr>
      </w:pPr>
    </w:p>
    <w:p w:rsidR="000C5C1F" w:rsidRDefault="000C5C1F" w:rsidP="000C5C1F">
      <w:pPr>
        <w:rPr>
          <w:rtl/>
          <w:lang w:eastAsia="he-IL"/>
        </w:rPr>
      </w:pPr>
    </w:p>
    <w:p w:rsidR="000C5C1F" w:rsidRDefault="000C5C1F" w:rsidP="000C5C1F">
      <w:pPr>
        <w:pStyle w:val="a7"/>
        <w:rPr>
          <w:rtl/>
          <w:lang w:eastAsia="he-IL"/>
        </w:rPr>
      </w:pPr>
      <w:bookmarkStart w:id="6402" w:name="ET_subject_מסמכים_שהונחו_על_שולחן__8"/>
      <w:r>
        <w:rPr>
          <w:rStyle w:val="TagStyle"/>
          <w:rFonts w:hint="cs"/>
          <w:rtl/>
        </w:rPr>
        <w:t xml:space="preserve"> &lt;&lt; נושא &gt;&gt; </w:t>
      </w:r>
      <w:bookmarkStart w:id="6403" w:name="_Toc141040455"/>
      <w:bookmarkStart w:id="6404" w:name="_Toc141196864"/>
      <w:bookmarkStart w:id="6405" w:name="_Toc141197128"/>
      <w:r>
        <w:rPr>
          <w:rFonts w:hint="cs"/>
          <w:rtl/>
          <w:lang w:eastAsia="he-IL"/>
        </w:rPr>
        <w:t>מסמכים שהונחו על שולחן הכנסת</w:t>
      </w:r>
      <w:bookmarkEnd w:id="6403"/>
      <w:bookmarkEnd w:id="6404"/>
      <w:bookmarkEnd w:id="6405"/>
      <w:r>
        <w:rPr>
          <w:rStyle w:val="TagStyle"/>
          <w:rFonts w:hint="cs"/>
          <w:rtl/>
        </w:rPr>
        <w:t xml:space="preserve"> &lt;&lt; נושא &gt;&gt;</w:t>
      </w:r>
      <w:r>
        <w:rPr>
          <w:rFonts w:hint="cs"/>
          <w:rtl/>
          <w:lang w:eastAsia="he-IL"/>
        </w:rPr>
        <w:t xml:space="preserve">   </w:t>
      </w:r>
      <w:bookmarkEnd w:id="6402"/>
    </w:p>
    <w:p w:rsidR="000C5C1F" w:rsidRDefault="000C5C1F" w:rsidP="000C5C1F">
      <w:pPr>
        <w:rPr>
          <w:rtl/>
          <w:lang w:eastAsia="he-IL"/>
        </w:rPr>
      </w:pPr>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0C5C1F">
      <w:pPr>
        <w:rPr>
          <w:rtl/>
          <w:lang w:eastAsia="he-IL"/>
        </w:rPr>
      </w:pPr>
    </w:p>
    <w:p w:rsidR="000C5C1F" w:rsidRDefault="000C5C1F" w:rsidP="000C5C1F">
      <w:pPr>
        <w:rPr>
          <w:rtl/>
        </w:rPr>
      </w:pPr>
      <w:bookmarkStart w:id="6406" w:name="_ETM_Q7_514589"/>
      <w:bookmarkEnd w:id="6406"/>
      <w:r>
        <w:rPr>
          <w:rFonts w:hint="cs"/>
          <w:rtl/>
        </w:rPr>
        <w:t xml:space="preserve">הודעה של </w:t>
      </w:r>
      <w:bookmarkStart w:id="6407" w:name="_ETM_Q7_514739"/>
      <w:bookmarkEnd w:id="6407"/>
      <w:r>
        <w:rPr>
          <w:rFonts w:hint="cs"/>
          <w:rtl/>
        </w:rPr>
        <w:t xml:space="preserve">מזכירות </w:t>
      </w:r>
      <w:bookmarkStart w:id="6408" w:name="_ETM_Q7_515129"/>
      <w:bookmarkEnd w:id="6408"/>
      <w:r>
        <w:rPr>
          <w:rFonts w:hint="cs"/>
          <w:rtl/>
        </w:rPr>
        <w:t xml:space="preserve">הכנסת, </w:t>
      </w:r>
      <w:bookmarkStart w:id="6409" w:name="_ETM_Q7_515550"/>
      <w:bookmarkEnd w:id="6409"/>
      <w:r>
        <w:rPr>
          <w:rFonts w:hint="cs"/>
          <w:rtl/>
        </w:rPr>
        <w:t xml:space="preserve">עד </w:t>
      </w:r>
      <w:bookmarkStart w:id="6410" w:name="_ETM_Q7_515670"/>
      <w:bookmarkEnd w:id="6410"/>
      <w:r>
        <w:rPr>
          <w:rFonts w:hint="cs"/>
          <w:rtl/>
        </w:rPr>
        <w:t xml:space="preserve">שתגיעי </w:t>
      </w:r>
      <w:bookmarkStart w:id="6411" w:name="_ETM_Q7_516029"/>
      <w:bookmarkEnd w:id="6411"/>
      <w:r>
        <w:rPr>
          <w:rFonts w:hint="cs"/>
          <w:rtl/>
        </w:rPr>
        <w:t xml:space="preserve">לכאן, </w:t>
      </w:r>
      <w:bookmarkStart w:id="6412" w:name="_ETM_Q7_516810"/>
      <w:bookmarkEnd w:id="6412"/>
      <w:r>
        <w:rPr>
          <w:rFonts w:hint="cs"/>
          <w:rtl/>
        </w:rPr>
        <w:t>בבקשה.</w:t>
      </w:r>
    </w:p>
    <w:p w:rsidR="000C5C1F" w:rsidRDefault="000C5C1F" w:rsidP="000C5C1F">
      <w:pPr>
        <w:rPr>
          <w:rtl/>
          <w:lang w:eastAsia="he-IL"/>
        </w:rPr>
      </w:pPr>
    </w:p>
    <w:p w:rsidR="000C5C1F" w:rsidRDefault="000C5C1F" w:rsidP="000C5C1F">
      <w:pPr>
        <w:pStyle w:val="a5"/>
        <w:rPr>
          <w:rtl/>
        </w:rPr>
      </w:pPr>
      <w:bookmarkStart w:id="6413" w:name="ET_speaker_6316_9"/>
      <w:r>
        <w:rPr>
          <w:rStyle w:val="TagStyle"/>
          <w:rFonts w:hint="cs"/>
          <w:rtl/>
        </w:rPr>
        <w:t xml:space="preserve"> &lt;&lt; דובר &gt;&gt; </w:t>
      </w:r>
      <w:r>
        <w:rPr>
          <w:rFonts w:hint="cs"/>
          <w:rtl/>
        </w:rPr>
        <w:t>סגנית מזכיר הכנסת ראדה חסייסי:</w:t>
      </w:r>
      <w:r>
        <w:rPr>
          <w:rStyle w:val="TagStyle"/>
          <w:rtl/>
        </w:rPr>
        <w:t xml:space="preserve"> &lt;&lt; דובר &gt;&gt; </w:t>
      </w:r>
      <w:r>
        <w:rPr>
          <w:rFonts w:hint="cs"/>
          <w:rtl/>
        </w:rPr>
        <w:t xml:space="preserve">   </w:t>
      </w:r>
      <w:bookmarkEnd w:id="6413"/>
    </w:p>
    <w:p w:rsidR="000C5C1F" w:rsidRDefault="000C5C1F" w:rsidP="00337201">
      <w:pPr>
        <w:rPr>
          <w:rtl/>
          <w:lang w:eastAsia="he-IL"/>
        </w:rPr>
      </w:pPr>
    </w:p>
    <w:p w:rsidR="000C5C1F" w:rsidRDefault="000C5C1F" w:rsidP="000C5C1F">
      <w:pPr>
        <w:rPr>
          <w:rtl/>
          <w:lang w:eastAsia="he-IL"/>
        </w:rPr>
      </w:pPr>
      <w:r>
        <w:rPr>
          <w:rFonts w:hint="cs"/>
          <w:rtl/>
          <w:lang w:eastAsia="he-IL"/>
        </w:rPr>
        <w:t>ברשות יושב-ראש הישיבה, אני מתכבדת להודיעכם, כי הונחה היום על שולחן הכנסת החלטת ועדת הבריאות בדבר פיצול הצעת חוק ביטוח בריאות ממלכתי (תיקון מס' 65) (החזר דמי נסיעה באמבולנס לחולה סיעודי ובעד חולה שנפטר), התשפ"ב–2022. תודה.</w:t>
      </w:r>
      <w:bookmarkStart w:id="6414" w:name="_ETM_Q7_537083"/>
      <w:bookmarkStart w:id="6415" w:name="_ETM_Q7_537158"/>
      <w:bookmarkEnd w:id="6414"/>
      <w:bookmarkEnd w:id="6415"/>
    </w:p>
    <w:p w:rsidR="000C5C1F" w:rsidRDefault="000C5C1F" w:rsidP="000C5C1F">
      <w:pPr>
        <w:rPr>
          <w:rtl/>
          <w:lang w:eastAsia="he-IL"/>
        </w:rPr>
      </w:pPr>
    </w:p>
    <w:p w:rsidR="000C5C1F" w:rsidRDefault="000C5C1F" w:rsidP="000C5C1F">
      <w:pPr>
        <w:rPr>
          <w:rtl/>
          <w:lang w:eastAsia="he-IL"/>
        </w:rPr>
      </w:pPr>
    </w:p>
    <w:p w:rsidR="000C5C1F" w:rsidRDefault="000C5C1F" w:rsidP="000C5C1F">
      <w:pPr>
        <w:pStyle w:val="a7"/>
        <w:rPr>
          <w:rtl/>
          <w:lang w:eastAsia="he-IL"/>
        </w:rPr>
      </w:pPr>
      <w:bookmarkStart w:id="6416" w:name="ET_hatsach_640328_10"/>
      <w:r>
        <w:rPr>
          <w:rStyle w:val="TagStyle"/>
          <w:rFonts w:hint="cs"/>
          <w:rtl/>
        </w:rPr>
        <w:t xml:space="preserve">&lt;&lt; הצח &gt;&gt; </w:t>
      </w:r>
      <w:bookmarkStart w:id="6417" w:name="_Toc141040456"/>
      <w:bookmarkStart w:id="6418" w:name="_Toc141196865"/>
      <w:bookmarkStart w:id="6419" w:name="_Toc141197129"/>
      <w:r>
        <w:rPr>
          <w:rFonts w:hint="cs"/>
          <w:rtl/>
          <w:lang w:eastAsia="he-IL"/>
        </w:rPr>
        <w:t>הצעת חוק-יסוד: השפיטה (תיקון מס' 4)</w:t>
      </w:r>
      <w:bookmarkEnd w:id="6417"/>
      <w:bookmarkEnd w:id="6418"/>
      <w:bookmarkEnd w:id="6419"/>
      <w:r>
        <w:rPr>
          <w:rStyle w:val="TagStyle"/>
          <w:rFonts w:hint="cs"/>
          <w:rtl/>
        </w:rPr>
        <w:t xml:space="preserve"> &lt;&lt; הצח &gt;&gt;</w:t>
      </w:r>
      <w:r>
        <w:rPr>
          <w:rFonts w:hint="cs"/>
          <w:rtl/>
          <w:lang w:eastAsia="he-IL"/>
        </w:rPr>
        <w:t xml:space="preserve">   </w:t>
      </w:r>
      <w:bookmarkEnd w:id="6416"/>
    </w:p>
    <w:p w:rsidR="000C5C1F" w:rsidRDefault="000C5C1F" w:rsidP="000C5C1F">
      <w:pPr>
        <w:pStyle w:val="-1"/>
        <w:rPr>
          <w:rtl/>
          <w:lang w:eastAsia="he-IL"/>
        </w:rPr>
      </w:pPr>
      <w:r>
        <w:rPr>
          <w:rFonts w:hint="cs"/>
          <w:rtl/>
          <w:lang w:eastAsia="he-IL"/>
        </w:rPr>
        <w:t>(קריאה שנייה וקריאה שלישית)</w:t>
      </w:r>
    </w:p>
    <w:p w:rsidR="000C5C1F" w:rsidRDefault="000C5C1F" w:rsidP="000C5C1F">
      <w:pPr>
        <w:ind w:firstLine="0"/>
        <w:rPr>
          <w:rtl/>
          <w:lang w:eastAsia="he-IL"/>
        </w:rPr>
      </w:pPr>
    </w:p>
    <w:p w:rsidR="000C5C1F" w:rsidRDefault="000C5C1F" w:rsidP="000C5C1F">
      <w:pPr>
        <w:pStyle w:val="af9"/>
        <w:keepNext/>
        <w:rPr>
          <w:rtl/>
        </w:rPr>
      </w:pPr>
      <w:bookmarkStart w:id="6420" w:name="ET_yor_6490_1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6420"/>
    </w:p>
    <w:p w:rsidR="000C5C1F" w:rsidRDefault="000C5C1F" w:rsidP="00337201">
      <w:pPr>
        <w:rPr>
          <w:rtl/>
          <w:lang w:eastAsia="he-IL"/>
        </w:rPr>
      </w:pPr>
    </w:p>
    <w:p w:rsidR="000C5C1F" w:rsidRDefault="000C5C1F" w:rsidP="000C5C1F">
      <w:pPr>
        <w:rPr>
          <w:rtl/>
          <w:lang w:eastAsia="he-IL"/>
        </w:rPr>
      </w:pPr>
      <w:r>
        <w:rPr>
          <w:rFonts w:hint="cs"/>
          <w:rtl/>
          <w:lang w:eastAsia="he-IL"/>
        </w:rPr>
        <w:t>30 דקות, בבקשה.</w:t>
      </w:r>
    </w:p>
    <w:p w:rsidR="000C5C1F" w:rsidRDefault="000C5C1F" w:rsidP="000C5C1F">
      <w:pPr>
        <w:rPr>
          <w:rtl/>
          <w:lang w:eastAsia="he-IL"/>
        </w:rPr>
      </w:pPr>
    </w:p>
    <w:p w:rsidR="000C5C1F" w:rsidRDefault="000C5C1F" w:rsidP="000C5C1F">
      <w:pPr>
        <w:pStyle w:val="a5"/>
        <w:keepNext/>
        <w:rPr>
          <w:rtl/>
        </w:rPr>
      </w:pPr>
      <w:bookmarkStart w:id="6421" w:name="ET_speaker_5800_12"/>
      <w:r>
        <w:rPr>
          <w:rStyle w:val="TagStyle"/>
          <w:rFonts w:hint="cs"/>
          <w:rtl/>
        </w:rPr>
        <w:t xml:space="preserve">&lt;&lt; דובר &gt;&gt; </w:t>
      </w:r>
      <w:bookmarkStart w:id="6422" w:name="_Toc141040457"/>
      <w:bookmarkStart w:id="6423" w:name="_Toc141196866"/>
      <w:bookmarkStart w:id="6424" w:name="_Toc141197130"/>
      <w:r>
        <w:rPr>
          <w:rFonts w:hint="cs"/>
          <w:rtl/>
        </w:rPr>
        <w:t>אורית פרקש הכהן (המחנה הממלכתי):</w:t>
      </w:r>
      <w:bookmarkEnd w:id="6422"/>
      <w:bookmarkEnd w:id="6423"/>
      <w:bookmarkEnd w:id="6424"/>
      <w:r>
        <w:rPr>
          <w:rStyle w:val="TagStyle"/>
          <w:rFonts w:hint="cs"/>
          <w:rtl/>
        </w:rPr>
        <w:t xml:space="preserve"> &lt;&lt; דובר &gt;&gt;</w:t>
      </w:r>
      <w:r>
        <w:rPr>
          <w:rFonts w:hint="cs"/>
          <w:rtl/>
        </w:rPr>
        <w:t xml:space="preserve">   </w:t>
      </w:r>
      <w:bookmarkEnd w:id="6421"/>
    </w:p>
    <w:p w:rsidR="000C5C1F" w:rsidRDefault="000C5C1F" w:rsidP="000C5C1F">
      <w:pPr>
        <w:rPr>
          <w:rtl/>
          <w:lang w:eastAsia="he-IL"/>
        </w:rPr>
      </w:pPr>
    </w:p>
    <w:p w:rsidR="000C5C1F" w:rsidRDefault="000C5C1F" w:rsidP="000C5C1F">
      <w:pPr>
        <w:rPr>
          <w:rtl/>
        </w:rPr>
      </w:pPr>
      <w:bookmarkStart w:id="6425" w:name="_ETM_Q7_545420"/>
      <w:bookmarkEnd w:id="6425"/>
      <w:r>
        <w:rPr>
          <w:rFonts w:hint="cs"/>
          <w:rtl/>
        </w:rPr>
        <w:t xml:space="preserve">אדוני </w:t>
      </w:r>
      <w:bookmarkStart w:id="6426" w:name="_ETM_Q7_545839"/>
      <w:bookmarkEnd w:id="6426"/>
      <w:r>
        <w:rPr>
          <w:rFonts w:hint="cs"/>
          <w:rtl/>
        </w:rPr>
        <w:t xml:space="preserve">היושב-ראש, </w:t>
      </w:r>
      <w:bookmarkStart w:id="6427" w:name="_ETM_Q7_547170"/>
      <w:bookmarkEnd w:id="6427"/>
      <w:r>
        <w:rPr>
          <w:rFonts w:hint="cs"/>
          <w:rtl/>
        </w:rPr>
        <w:t xml:space="preserve">חבריי </w:t>
      </w:r>
      <w:bookmarkStart w:id="6428" w:name="_ETM_Q7_547770"/>
      <w:bookmarkEnd w:id="6428"/>
      <w:r>
        <w:rPr>
          <w:rFonts w:hint="cs"/>
          <w:rtl/>
        </w:rPr>
        <w:t xml:space="preserve">חברי </w:t>
      </w:r>
      <w:bookmarkStart w:id="6429" w:name="_ETM_Q7_548220"/>
      <w:bookmarkEnd w:id="6429"/>
      <w:r>
        <w:rPr>
          <w:rFonts w:hint="cs"/>
          <w:rtl/>
        </w:rPr>
        <w:t xml:space="preserve">הכנסת, </w:t>
      </w:r>
      <w:bookmarkStart w:id="6430" w:name="_ETM_Q7_550920"/>
      <w:bookmarkEnd w:id="6430"/>
      <w:r>
        <w:rPr>
          <w:rFonts w:hint="cs"/>
          <w:rtl/>
        </w:rPr>
        <w:t xml:space="preserve">שר </w:t>
      </w:r>
      <w:bookmarkStart w:id="6431" w:name="_ETM_Q7_551310"/>
      <w:bookmarkEnd w:id="6431"/>
      <w:r>
        <w:rPr>
          <w:rFonts w:hint="cs"/>
          <w:rtl/>
        </w:rPr>
        <w:t xml:space="preserve">החוץ, </w:t>
      </w:r>
      <w:bookmarkStart w:id="6432" w:name="_ETM_Q7_553930"/>
      <w:bookmarkEnd w:id="6432"/>
      <w:r>
        <w:rPr>
          <w:rFonts w:hint="cs"/>
          <w:rtl/>
        </w:rPr>
        <w:t xml:space="preserve">הנאום </w:t>
      </w:r>
      <w:bookmarkStart w:id="6433" w:name="_ETM_Q7_554290"/>
      <w:bookmarkEnd w:id="6433"/>
      <w:r>
        <w:rPr>
          <w:rFonts w:hint="cs"/>
          <w:rtl/>
        </w:rPr>
        <w:t xml:space="preserve">שלי </w:t>
      </w:r>
      <w:bookmarkStart w:id="6434" w:name="_ETM_Q7_554589"/>
      <w:bookmarkEnd w:id="6434"/>
      <w:r>
        <w:rPr>
          <w:rFonts w:hint="cs"/>
          <w:rtl/>
        </w:rPr>
        <w:t xml:space="preserve">היום </w:t>
      </w:r>
      <w:bookmarkStart w:id="6435" w:name="_ETM_Q7_555760"/>
      <w:bookmarkEnd w:id="6435"/>
      <w:r>
        <w:rPr>
          <w:rFonts w:hint="cs"/>
          <w:rtl/>
        </w:rPr>
        <w:t xml:space="preserve">הוא </w:t>
      </w:r>
      <w:bookmarkStart w:id="6436" w:name="_ETM_Q7_555880"/>
      <w:bookmarkEnd w:id="6436"/>
      <w:r>
        <w:rPr>
          <w:rFonts w:hint="cs"/>
          <w:rtl/>
        </w:rPr>
        <w:t xml:space="preserve">קריאה </w:t>
      </w:r>
      <w:bookmarkStart w:id="6437" w:name="_ETM_Q7_556300"/>
      <w:bookmarkEnd w:id="6437"/>
      <w:r>
        <w:rPr>
          <w:rFonts w:hint="cs"/>
          <w:rtl/>
        </w:rPr>
        <w:t xml:space="preserve">אחרונה </w:t>
      </w:r>
      <w:bookmarkStart w:id="6438" w:name="_ETM_Q7_556810"/>
      <w:bookmarkEnd w:id="6438"/>
      <w:r>
        <w:rPr>
          <w:rFonts w:hint="cs"/>
          <w:rtl/>
        </w:rPr>
        <w:t xml:space="preserve">לממשלה </w:t>
      </w:r>
      <w:bookmarkStart w:id="6439" w:name="_ETM_Q7_557529"/>
      <w:bookmarkEnd w:id="6439"/>
      <w:r>
        <w:rPr>
          <w:rFonts w:hint="cs"/>
          <w:rtl/>
        </w:rPr>
        <w:t xml:space="preserve">הזו, </w:t>
      </w:r>
      <w:bookmarkStart w:id="6440" w:name="_ETM_Q7_558580"/>
      <w:bookmarkEnd w:id="6440"/>
      <w:r>
        <w:rPr>
          <w:rFonts w:hint="cs"/>
          <w:rtl/>
        </w:rPr>
        <w:t xml:space="preserve">שממאנת </w:t>
      </w:r>
      <w:bookmarkStart w:id="6441" w:name="_ETM_Q7_559799"/>
      <w:bookmarkEnd w:id="6441"/>
      <w:r>
        <w:rPr>
          <w:rFonts w:hint="cs"/>
          <w:rtl/>
        </w:rPr>
        <w:t xml:space="preserve">ומסרבת </w:t>
      </w:r>
      <w:bookmarkStart w:id="6442" w:name="_ETM_Q7_560759"/>
      <w:bookmarkEnd w:id="6442"/>
      <w:r>
        <w:rPr>
          <w:rFonts w:hint="cs"/>
          <w:rtl/>
        </w:rPr>
        <w:t xml:space="preserve">להבין </w:t>
      </w:r>
      <w:bookmarkStart w:id="6443" w:name="_ETM_Q7_561860"/>
      <w:bookmarkEnd w:id="6443"/>
      <w:r>
        <w:rPr>
          <w:rFonts w:hint="cs"/>
          <w:rtl/>
        </w:rPr>
        <w:t xml:space="preserve">מה </w:t>
      </w:r>
      <w:bookmarkStart w:id="6444" w:name="_ETM_Q7_562220"/>
      <w:bookmarkEnd w:id="6444"/>
      <w:r>
        <w:rPr>
          <w:rFonts w:hint="cs"/>
          <w:rtl/>
        </w:rPr>
        <w:t xml:space="preserve">באמת </w:t>
      </w:r>
      <w:bookmarkStart w:id="6445" w:name="_ETM_Q7_562790"/>
      <w:bookmarkEnd w:id="6445"/>
      <w:r>
        <w:rPr>
          <w:rFonts w:hint="cs"/>
          <w:rtl/>
        </w:rPr>
        <w:t xml:space="preserve">קורה </w:t>
      </w:r>
      <w:bookmarkStart w:id="6446" w:name="_ETM_Q7_564339"/>
      <w:bookmarkEnd w:id="6446"/>
      <w:r>
        <w:rPr>
          <w:rFonts w:hint="cs"/>
          <w:rtl/>
        </w:rPr>
        <w:t xml:space="preserve">פה. אז </w:t>
      </w:r>
      <w:bookmarkStart w:id="6447" w:name="_ETM_Q7_564549"/>
      <w:bookmarkEnd w:id="6447"/>
      <w:r>
        <w:rPr>
          <w:rFonts w:hint="cs"/>
          <w:rtl/>
        </w:rPr>
        <w:t xml:space="preserve">אני </w:t>
      </w:r>
      <w:bookmarkStart w:id="6448" w:name="_ETM_Q7_564700"/>
      <w:bookmarkEnd w:id="6448"/>
      <w:r>
        <w:rPr>
          <w:rFonts w:hint="cs"/>
          <w:rtl/>
        </w:rPr>
        <w:t xml:space="preserve">רוצה </w:t>
      </w:r>
      <w:bookmarkStart w:id="6449" w:name="_ETM_Q7_565029"/>
      <w:bookmarkEnd w:id="6449"/>
      <w:r>
        <w:rPr>
          <w:rFonts w:hint="cs"/>
          <w:rtl/>
        </w:rPr>
        <w:t xml:space="preserve">להקדיש </w:t>
      </w:r>
      <w:bookmarkStart w:id="6450" w:name="_ETM_Q7_565479"/>
      <w:bookmarkEnd w:id="6450"/>
      <w:r>
        <w:rPr>
          <w:rFonts w:hint="cs"/>
          <w:rtl/>
        </w:rPr>
        <w:t xml:space="preserve">את </w:t>
      </w:r>
      <w:bookmarkStart w:id="6451" w:name="_ETM_Q7_565630"/>
      <w:bookmarkEnd w:id="6451"/>
      <w:r>
        <w:rPr>
          <w:rFonts w:hint="cs"/>
          <w:rtl/>
        </w:rPr>
        <w:t xml:space="preserve">הזמן </w:t>
      </w:r>
      <w:bookmarkStart w:id="6452" w:name="_ETM_Q7_566020"/>
      <w:bookmarkEnd w:id="6452"/>
      <w:r>
        <w:rPr>
          <w:rFonts w:hint="cs"/>
          <w:rtl/>
        </w:rPr>
        <w:t xml:space="preserve">הזה </w:t>
      </w:r>
      <w:bookmarkStart w:id="6453" w:name="_ETM_Q7_566320"/>
      <w:bookmarkEnd w:id="6453"/>
      <w:r>
        <w:rPr>
          <w:rFonts w:hint="cs"/>
          <w:rtl/>
        </w:rPr>
        <w:t xml:space="preserve">כדי </w:t>
      </w:r>
      <w:bookmarkStart w:id="6454" w:name="_ETM_Q7_566589"/>
      <w:bookmarkEnd w:id="6454"/>
      <w:r>
        <w:rPr>
          <w:rFonts w:hint="cs"/>
          <w:rtl/>
        </w:rPr>
        <w:t xml:space="preserve">להסביר </w:t>
      </w:r>
      <w:bookmarkStart w:id="6455" w:name="_ETM_Q7_567159"/>
      <w:bookmarkEnd w:id="6455"/>
      <w:r>
        <w:rPr>
          <w:rFonts w:hint="cs"/>
          <w:rtl/>
        </w:rPr>
        <w:t xml:space="preserve">לכם </w:t>
      </w:r>
      <w:bookmarkStart w:id="6456" w:name="_ETM_Q7_567970"/>
      <w:bookmarkEnd w:id="6456"/>
      <w:r>
        <w:rPr>
          <w:rFonts w:hint="cs"/>
          <w:rtl/>
        </w:rPr>
        <w:t xml:space="preserve">מה </w:t>
      </w:r>
      <w:bookmarkStart w:id="6457" w:name="_ETM_Q7_568330"/>
      <w:bookmarkEnd w:id="6457"/>
      <w:r>
        <w:rPr>
          <w:rFonts w:hint="cs"/>
          <w:rtl/>
        </w:rPr>
        <w:t xml:space="preserve">קורה </w:t>
      </w:r>
      <w:bookmarkStart w:id="6458" w:name="_ETM_Q7_568779"/>
      <w:bookmarkEnd w:id="6458"/>
      <w:r>
        <w:rPr>
          <w:rFonts w:hint="cs"/>
          <w:rtl/>
        </w:rPr>
        <w:t xml:space="preserve">כרגע </w:t>
      </w:r>
      <w:bookmarkStart w:id="6459" w:name="_ETM_Q7_569260"/>
      <w:bookmarkEnd w:id="6459"/>
      <w:r>
        <w:rPr>
          <w:rFonts w:hint="cs"/>
          <w:rtl/>
        </w:rPr>
        <w:t xml:space="preserve">במדינה. </w:t>
      </w:r>
      <w:bookmarkStart w:id="6460" w:name="_ETM_Q7_571650"/>
      <w:bookmarkEnd w:id="6460"/>
    </w:p>
    <w:p w:rsidR="000C5C1F" w:rsidRDefault="000C5C1F" w:rsidP="000C5C1F">
      <w:pPr>
        <w:rPr>
          <w:rtl/>
        </w:rPr>
      </w:pPr>
    </w:p>
    <w:p w:rsidR="000C5C1F" w:rsidRDefault="000C5C1F" w:rsidP="000C5C1F">
      <w:pPr>
        <w:rPr>
          <w:rtl/>
        </w:rPr>
      </w:pPr>
      <w:r>
        <w:rPr>
          <w:rFonts w:hint="cs"/>
          <w:rtl/>
        </w:rPr>
        <w:t xml:space="preserve">אתמול </w:t>
      </w:r>
      <w:bookmarkStart w:id="6461" w:name="_ETM_Q7_572070"/>
      <w:bookmarkEnd w:id="6461"/>
      <w:r>
        <w:rPr>
          <w:rFonts w:hint="cs"/>
          <w:rtl/>
        </w:rPr>
        <w:t xml:space="preserve">ראינו </w:t>
      </w:r>
      <w:bookmarkStart w:id="6462" w:name="_ETM_Q7_572460"/>
      <w:bookmarkEnd w:id="6462"/>
      <w:r>
        <w:rPr>
          <w:rFonts w:hint="cs"/>
          <w:rtl/>
        </w:rPr>
        <w:t xml:space="preserve">משהו </w:t>
      </w:r>
      <w:bookmarkStart w:id="6463" w:name="_ETM_Q7_573000"/>
      <w:bookmarkEnd w:id="6463"/>
      <w:r>
        <w:rPr>
          <w:rFonts w:hint="cs"/>
          <w:rtl/>
        </w:rPr>
        <w:t xml:space="preserve">מדהים, </w:t>
      </w:r>
      <w:bookmarkStart w:id="6464" w:name="_ETM_Q7_574510"/>
      <w:bookmarkEnd w:id="6464"/>
      <w:r>
        <w:rPr>
          <w:rFonts w:hint="cs"/>
          <w:rtl/>
        </w:rPr>
        <w:t xml:space="preserve">היסטוריה </w:t>
      </w:r>
      <w:bookmarkStart w:id="6465" w:name="_ETM_Q7_575650"/>
      <w:bookmarkEnd w:id="6465"/>
      <w:r>
        <w:rPr>
          <w:rFonts w:hint="cs"/>
          <w:rtl/>
        </w:rPr>
        <w:t xml:space="preserve">מתרחשת </w:t>
      </w:r>
      <w:bookmarkStart w:id="6466" w:name="_ETM_Q7_576910"/>
      <w:bookmarkEnd w:id="6466"/>
      <w:r>
        <w:rPr>
          <w:rFonts w:hint="cs"/>
          <w:rtl/>
        </w:rPr>
        <w:t>לנג</w:t>
      </w:r>
      <w:bookmarkStart w:id="6467" w:name="_ETM_Q7_577480"/>
      <w:bookmarkStart w:id="6468" w:name="_ETM_Q7_578659"/>
      <w:bookmarkEnd w:id="6467"/>
      <w:bookmarkEnd w:id="6468"/>
      <w:r>
        <w:rPr>
          <w:rFonts w:hint="cs"/>
          <w:rtl/>
        </w:rPr>
        <w:t xml:space="preserve">ד עינינו. </w:t>
      </w:r>
      <w:bookmarkStart w:id="6469" w:name="_ETM_Q7_578950"/>
      <w:bookmarkEnd w:id="6469"/>
      <w:r>
        <w:rPr>
          <w:rFonts w:hint="cs"/>
          <w:rtl/>
        </w:rPr>
        <w:t xml:space="preserve">מאות </w:t>
      </w:r>
      <w:bookmarkStart w:id="6470" w:name="_ETM_Q7_579130"/>
      <w:bookmarkEnd w:id="6470"/>
      <w:r>
        <w:rPr>
          <w:rFonts w:hint="cs"/>
          <w:rtl/>
        </w:rPr>
        <w:t xml:space="preserve">אלפים </w:t>
      </w:r>
      <w:bookmarkStart w:id="6471" w:name="_ETM_Q7_580149"/>
      <w:bookmarkEnd w:id="6471"/>
      <w:r>
        <w:rPr>
          <w:rFonts w:hint="cs"/>
          <w:rtl/>
        </w:rPr>
        <w:t xml:space="preserve">מכל </w:t>
      </w:r>
      <w:bookmarkStart w:id="6472" w:name="_ETM_Q7_580460"/>
      <w:bookmarkStart w:id="6473" w:name="_ETM_Q7_580640"/>
      <w:bookmarkEnd w:id="6472"/>
      <w:bookmarkEnd w:id="6473"/>
      <w:r>
        <w:rPr>
          <w:rFonts w:hint="cs"/>
          <w:rtl/>
        </w:rPr>
        <w:t xml:space="preserve">רחבי </w:t>
      </w:r>
      <w:bookmarkStart w:id="6474" w:name="_ETM_Q7_581180"/>
      <w:bookmarkEnd w:id="6474"/>
      <w:r>
        <w:rPr>
          <w:rFonts w:hint="cs"/>
          <w:rtl/>
        </w:rPr>
        <w:t xml:space="preserve">הארץ </w:t>
      </w:r>
      <w:bookmarkStart w:id="6475" w:name="_ETM_Q7_582279"/>
      <w:bookmarkStart w:id="6476" w:name="_ETM_Q7_582430"/>
      <w:bookmarkEnd w:id="6475"/>
      <w:bookmarkEnd w:id="6476"/>
      <w:r>
        <w:rPr>
          <w:rFonts w:hint="cs"/>
          <w:rtl/>
        </w:rPr>
        <w:t xml:space="preserve">ומכל </w:t>
      </w:r>
      <w:bookmarkStart w:id="6477" w:name="_ETM_Q7_583000"/>
      <w:bookmarkEnd w:id="6477"/>
      <w:r>
        <w:rPr>
          <w:rFonts w:hint="cs"/>
          <w:rtl/>
        </w:rPr>
        <w:t xml:space="preserve">חלקי </w:t>
      </w:r>
      <w:bookmarkStart w:id="6478" w:name="_ETM_Q7_583479"/>
      <w:bookmarkEnd w:id="6478"/>
      <w:r>
        <w:rPr>
          <w:rFonts w:hint="cs"/>
          <w:rtl/>
        </w:rPr>
        <w:t xml:space="preserve">החברה </w:t>
      </w:r>
      <w:bookmarkStart w:id="6479" w:name="_ETM_Q7_584020"/>
      <w:bookmarkEnd w:id="6479"/>
      <w:r>
        <w:rPr>
          <w:rFonts w:hint="cs"/>
          <w:rtl/>
        </w:rPr>
        <w:t xml:space="preserve">הישראלית </w:t>
      </w:r>
      <w:bookmarkStart w:id="6480" w:name="_ETM_Q7_585229"/>
      <w:bookmarkEnd w:id="6480"/>
      <w:r>
        <w:rPr>
          <w:rFonts w:hint="cs"/>
          <w:rtl/>
        </w:rPr>
        <w:t xml:space="preserve">החליטו </w:t>
      </w:r>
      <w:bookmarkStart w:id="6481" w:name="_ETM_Q7_586219"/>
      <w:bookmarkEnd w:id="6481"/>
      <w:r>
        <w:rPr>
          <w:rFonts w:hint="cs"/>
          <w:rtl/>
        </w:rPr>
        <w:t xml:space="preserve">להיות </w:t>
      </w:r>
      <w:bookmarkStart w:id="6482" w:name="_ETM_Q7_586670"/>
      <w:bookmarkEnd w:id="6482"/>
      <w:r>
        <w:rPr>
          <w:rFonts w:hint="cs"/>
          <w:rtl/>
        </w:rPr>
        <w:t xml:space="preserve">מנהיגים. </w:t>
      </w:r>
      <w:bookmarkStart w:id="6483" w:name="_ETM_Q7_588390"/>
      <w:bookmarkEnd w:id="6483"/>
      <w:r>
        <w:rPr>
          <w:rFonts w:hint="cs"/>
          <w:rtl/>
        </w:rPr>
        <w:t xml:space="preserve">מבוגרים, </w:t>
      </w:r>
      <w:bookmarkStart w:id="6484" w:name="_ETM_Q7_589719"/>
      <w:bookmarkEnd w:id="6484"/>
      <w:r>
        <w:rPr>
          <w:rFonts w:hint="cs"/>
          <w:rtl/>
        </w:rPr>
        <w:t xml:space="preserve">צעירים, </w:t>
      </w:r>
      <w:bookmarkStart w:id="6485" w:name="_ETM_Q7_590860"/>
      <w:bookmarkEnd w:id="6485"/>
      <w:r>
        <w:rPr>
          <w:rFonts w:hint="cs"/>
          <w:rtl/>
        </w:rPr>
        <w:t xml:space="preserve">ילדים, </w:t>
      </w:r>
      <w:bookmarkStart w:id="6486" w:name="_ETM_Q7_591979"/>
      <w:bookmarkEnd w:id="6486"/>
      <w:r>
        <w:rPr>
          <w:rFonts w:hint="cs"/>
          <w:rtl/>
        </w:rPr>
        <w:t xml:space="preserve">נערים, </w:t>
      </w:r>
      <w:bookmarkStart w:id="6487" w:name="_ETM_Q7_592939"/>
      <w:bookmarkEnd w:id="6487"/>
      <w:r>
        <w:rPr>
          <w:rFonts w:hint="cs"/>
          <w:rtl/>
        </w:rPr>
        <w:t xml:space="preserve">נערות </w:t>
      </w:r>
      <w:bookmarkStart w:id="6488" w:name="_ETM_Q7_594069"/>
      <w:bookmarkEnd w:id="6488"/>
      <w:r>
        <w:rPr>
          <w:rFonts w:hint="cs"/>
          <w:rtl/>
        </w:rPr>
        <w:t xml:space="preserve">–כולם </w:t>
      </w:r>
      <w:bookmarkStart w:id="6489" w:name="_ETM_Q7_594639"/>
      <w:bookmarkEnd w:id="6489"/>
      <w:r>
        <w:rPr>
          <w:rFonts w:hint="cs"/>
          <w:rtl/>
        </w:rPr>
        <w:t xml:space="preserve">הפכו </w:t>
      </w:r>
      <w:bookmarkStart w:id="6490" w:name="_ETM_Q7_595189"/>
      <w:bookmarkEnd w:id="6490"/>
      <w:r>
        <w:rPr>
          <w:rFonts w:hint="cs"/>
          <w:rtl/>
        </w:rPr>
        <w:t xml:space="preserve">בעל </w:t>
      </w:r>
      <w:bookmarkStart w:id="6491" w:name="_ETM_Q7_595369"/>
      <w:bookmarkEnd w:id="6491"/>
      <w:r>
        <w:rPr>
          <w:rFonts w:hint="cs"/>
          <w:rtl/>
        </w:rPr>
        <w:t xml:space="preserve">כורחם </w:t>
      </w:r>
      <w:bookmarkStart w:id="6492" w:name="_ETM_Q7_596329"/>
      <w:bookmarkEnd w:id="6492"/>
      <w:r>
        <w:rPr>
          <w:rFonts w:hint="cs"/>
          <w:rtl/>
        </w:rPr>
        <w:t xml:space="preserve">למנהיגים </w:t>
      </w:r>
      <w:bookmarkStart w:id="6493" w:name="_ETM_Q7_597109"/>
      <w:bookmarkEnd w:id="6493"/>
      <w:r>
        <w:rPr>
          <w:rFonts w:hint="cs"/>
          <w:rtl/>
        </w:rPr>
        <w:t xml:space="preserve">מעוררי </w:t>
      </w:r>
      <w:bookmarkStart w:id="6494" w:name="_ETM_Q7_597649"/>
      <w:bookmarkEnd w:id="6494"/>
      <w:r>
        <w:rPr>
          <w:rFonts w:hint="cs"/>
          <w:rtl/>
        </w:rPr>
        <w:t xml:space="preserve">השראה. </w:t>
      </w:r>
      <w:bookmarkStart w:id="6495" w:name="_ETM_Q7_599130"/>
      <w:bookmarkEnd w:id="6495"/>
      <w:r>
        <w:rPr>
          <w:rFonts w:hint="cs"/>
          <w:rtl/>
        </w:rPr>
        <w:t xml:space="preserve">בהיעדר </w:t>
      </w:r>
      <w:bookmarkStart w:id="6496" w:name="_ETM_Q7_599789"/>
      <w:bookmarkEnd w:id="6496"/>
      <w:r>
        <w:rPr>
          <w:rFonts w:hint="cs"/>
          <w:rtl/>
        </w:rPr>
        <w:t xml:space="preserve">מנהיג </w:t>
      </w:r>
      <w:bookmarkStart w:id="6497" w:name="_ETM_Q7_600239"/>
      <w:bookmarkEnd w:id="6497"/>
      <w:r>
        <w:rPr>
          <w:rFonts w:hint="cs"/>
          <w:rtl/>
        </w:rPr>
        <w:t xml:space="preserve">ומנהיגות </w:t>
      </w:r>
      <w:bookmarkStart w:id="6498" w:name="_ETM_Q7_601520"/>
      <w:bookmarkEnd w:id="6498"/>
      <w:r>
        <w:rPr>
          <w:rFonts w:hint="cs"/>
          <w:rtl/>
        </w:rPr>
        <w:t xml:space="preserve">הם </w:t>
      </w:r>
      <w:bookmarkStart w:id="6499" w:name="_ETM_Q7_601759"/>
      <w:bookmarkEnd w:id="6499"/>
      <w:r>
        <w:rPr>
          <w:rFonts w:hint="cs"/>
          <w:rtl/>
        </w:rPr>
        <w:t xml:space="preserve">קמו </w:t>
      </w:r>
      <w:bookmarkStart w:id="6500" w:name="_ETM_Q7_602180"/>
      <w:bookmarkEnd w:id="6500"/>
      <w:r>
        <w:rPr>
          <w:rFonts w:hint="cs"/>
          <w:rtl/>
        </w:rPr>
        <w:t>ואמרו:</w:t>
      </w:r>
      <w:bookmarkStart w:id="6501" w:name="_ETM_Q7_603329"/>
      <w:bookmarkEnd w:id="6501"/>
      <w:r>
        <w:rPr>
          <w:rFonts w:hint="cs"/>
          <w:rtl/>
        </w:rPr>
        <w:t xml:space="preserve"> עד </w:t>
      </w:r>
      <w:bookmarkStart w:id="6502" w:name="_ETM_Q7_603630"/>
      <w:bookmarkEnd w:id="6502"/>
      <w:r>
        <w:rPr>
          <w:rFonts w:hint="cs"/>
          <w:rtl/>
        </w:rPr>
        <w:t xml:space="preserve">כאן. </w:t>
      </w:r>
      <w:bookmarkStart w:id="6503" w:name="_ETM_Q7_605149"/>
      <w:bookmarkEnd w:id="6503"/>
      <w:r>
        <w:rPr>
          <w:rFonts w:hint="cs"/>
          <w:rtl/>
        </w:rPr>
        <w:t xml:space="preserve">צעדו </w:t>
      </w:r>
      <w:bookmarkStart w:id="6504" w:name="_ETM_Q7_605689"/>
      <w:bookmarkEnd w:id="6504"/>
      <w:r>
        <w:rPr>
          <w:rFonts w:hint="cs"/>
          <w:rtl/>
        </w:rPr>
        <w:t xml:space="preserve">בחום, </w:t>
      </w:r>
      <w:bookmarkStart w:id="6505" w:name="_ETM_Q7_606710"/>
      <w:bookmarkEnd w:id="6505"/>
      <w:r>
        <w:rPr>
          <w:rFonts w:hint="cs"/>
          <w:rtl/>
        </w:rPr>
        <w:t>בשמש</w:t>
      </w:r>
      <w:bookmarkStart w:id="6506" w:name="_ETM_Q7_607930"/>
      <w:bookmarkEnd w:id="6506"/>
      <w:r>
        <w:rPr>
          <w:rFonts w:hint="cs"/>
          <w:rtl/>
        </w:rPr>
        <w:t xml:space="preserve">, שעות, </w:t>
      </w:r>
      <w:bookmarkStart w:id="6507" w:name="_ETM_Q7_609040"/>
      <w:bookmarkEnd w:id="6507"/>
      <w:r>
        <w:rPr>
          <w:rFonts w:hint="cs"/>
          <w:rtl/>
        </w:rPr>
        <w:t xml:space="preserve">ימים – שיא של </w:t>
      </w:r>
      <w:bookmarkStart w:id="6508" w:name="_ETM_Q7_610940"/>
      <w:bookmarkEnd w:id="6508"/>
      <w:r>
        <w:rPr>
          <w:rFonts w:hint="cs"/>
          <w:rtl/>
        </w:rPr>
        <w:t xml:space="preserve">מחאה </w:t>
      </w:r>
      <w:bookmarkStart w:id="6509" w:name="_ETM_Q7_611660"/>
      <w:bookmarkEnd w:id="6509"/>
      <w:r>
        <w:rPr>
          <w:rFonts w:hint="cs"/>
          <w:rtl/>
        </w:rPr>
        <w:t xml:space="preserve">מעוררת </w:t>
      </w:r>
      <w:bookmarkStart w:id="6510" w:name="_ETM_Q7_612319"/>
      <w:bookmarkEnd w:id="6510"/>
      <w:r>
        <w:rPr>
          <w:rFonts w:hint="cs"/>
          <w:rtl/>
        </w:rPr>
        <w:t xml:space="preserve">השראה </w:t>
      </w:r>
      <w:bookmarkStart w:id="6511" w:name="_ETM_Q7_613250"/>
      <w:bookmarkEnd w:id="6511"/>
      <w:r>
        <w:rPr>
          <w:rFonts w:hint="cs"/>
          <w:rtl/>
        </w:rPr>
        <w:t xml:space="preserve">שמתקיימת </w:t>
      </w:r>
      <w:bookmarkStart w:id="6512" w:name="_ETM_Q7_614120"/>
      <w:bookmarkEnd w:id="6512"/>
      <w:r>
        <w:rPr>
          <w:rFonts w:hint="cs"/>
          <w:rtl/>
        </w:rPr>
        <w:t xml:space="preserve">במדינה </w:t>
      </w:r>
      <w:bookmarkStart w:id="6513" w:name="_ETM_Q7_614660"/>
      <w:bookmarkEnd w:id="6513"/>
      <w:r>
        <w:rPr>
          <w:rFonts w:hint="cs"/>
          <w:rtl/>
        </w:rPr>
        <w:t xml:space="preserve">הזו </w:t>
      </w:r>
      <w:bookmarkStart w:id="6514" w:name="_ETM_Q7_614870"/>
      <w:bookmarkEnd w:id="6514"/>
      <w:r>
        <w:rPr>
          <w:rFonts w:hint="cs"/>
          <w:rtl/>
        </w:rPr>
        <w:t xml:space="preserve">כבר </w:t>
      </w:r>
      <w:bookmarkStart w:id="6515" w:name="_ETM_Q7_615170"/>
      <w:bookmarkEnd w:id="6515"/>
      <w:r>
        <w:rPr>
          <w:rFonts w:hint="cs"/>
          <w:rtl/>
        </w:rPr>
        <w:t xml:space="preserve">30 </w:t>
      </w:r>
      <w:bookmarkStart w:id="6516" w:name="_ETM_Q7_615890"/>
      <w:bookmarkEnd w:id="6516"/>
      <w:r>
        <w:rPr>
          <w:rFonts w:hint="cs"/>
          <w:rtl/>
        </w:rPr>
        <w:t xml:space="preserve">שבועות </w:t>
      </w:r>
      <w:bookmarkStart w:id="6517" w:name="_ETM_Q7_617000"/>
      <w:bookmarkEnd w:id="6517"/>
      <w:r>
        <w:rPr>
          <w:rFonts w:hint="cs"/>
          <w:rtl/>
        </w:rPr>
        <w:t>רצופים</w:t>
      </w:r>
      <w:bookmarkStart w:id="6518" w:name="_ETM_Q7_619189"/>
      <w:bookmarkEnd w:id="6518"/>
      <w:r>
        <w:rPr>
          <w:rFonts w:hint="cs"/>
          <w:rtl/>
        </w:rPr>
        <w:t xml:space="preserve"> – כשבליבם בקשה אחת</w:t>
      </w:r>
      <w:bookmarkStart w:id="6519" w:name="_ETM_Q7_620818"/>
      <w:bookmarkStart w:id="6520" w:name="_ETM_Q7_620936"/>
      <w:bookmarkStart w:id="6521" w:name="_ETM_Q7_621033"/>
      <w:bookmarkStart w:id="6522" w:name="_ETM_Q7_621103"/>
      <w:bookmarkStart w:id="6523" w:name="_ETM_Q7_622940"/>
      <w:bookmarkEnd w:id="6519"/>
      <w:bookmarkEnd w:id="6520"/>
      <w:bookmarkEnd w:id="6521"/>
      <w:bookmarkEnd w:id="6522"/>
      <w:bookmarkEnd w:id="6523"/>
      <w:r>
        <w:rPr>
          <w:rFonts w:hint="cs"/>
          <w:rtl/>
        </w:rPr>
        <w:t xml:space="preserve">: נורמליות, </w:t>
      </w:r>
      <w:bookmarkStart w:id="6524" w:name="_ETM_Q7_624550"/>
      <w:bookmarkEnd w:id="6524"/>
      <w:r>
        <w:rPr>
          <w:rFonts w:hint="cs"/>
          <w:rtl/>
        </w:rPr>
        <w:t xml:space="preserve">שפיות, </w:t>
      </w:r>
      <w:bookmarkStart w:id="6525" w:name="_ETM_Q7_625960"/>
      <w:bookmarkEnd w:id="6525"/>
      <w:r>
        <w:rPr>
          <w:rFonts w:hint="cs"/>
          <w:rtl/>
        </w:rPr>
        <w:t xml:space="preserve">ממלכתיות, </w:t>
      </w:r>
      <w:bookmarkStart w:id="6526" w:name="_ETM_Q7_626910"/>
      <w:bookmarkStart w:id="6527" w:name="_ETM_Q7_627660"/>
      <w:bookmarkEnd w:id="6526"/>
      <w:bookmarkEnd w:id="6527"/>
      <w:r>
        <w:rPr>
          <w:rFonts w:hint="cs"/>
          <w:rtl/>
        </w:rPr>
        <w:t xml:space="preserve">יושרה. </w:t>
      </w:r>
      <w:bookmarkStart w:id="6528" w:name="_ETM_Q7_629680"/>
      <w:bookmarkEnd w:id="6528"/>
    </w:p>
    <w:p w:rsidR="000C5C1F" w:rsidRDefault="000C5C1F" w:rsidP="000C5C1F">
      <w:pPr>
        <w:rPr>
          <w:rtl/>
        </w:rPr>
      </w:pPr>
    </w:p>
    <w:p w:rsidR="000C5C1F" w:rsidRDefault="000C5C1F" w:rsidP="000C5C1F">
      <w:pPr>
        <w:rPr>
          <w:rtl/>
        </w:rPr>
      </w:pPr>
      <w:r>
        <w:rPr>
          <w:rFonts w:hint="cs"/>
          <w:rtl/>
        </w:rPr>
        <w:t xml:space="preserve">מה </w:t>
      </w:r>
      <w:bookmarkStart w:id="6529" w:name="_ETM_Q7_630010"/>
      <w:bookmarkEnd w:id="6529"/>
      <w:r>
        <w:rPr>
          <w:rFonts w:hint="cs"/>
          <w:rtl/>
        </w:rPr>
        <w:t>הם מבקשים</w:t>
      </w:r>
      <w:bookmarkStart w:id="6530" w:name="_ETM_Q7_631450"/>
      <w:bookmarkEnd w:id="6530"/>
      <w:r>
        <w:rPr>
          <w:rFonts w:hint="cs"/>
          <w:rtl/>
        </w:rPr>
        <w:t xml:space="preserve">? בסך הכול </w:t>
      </w:r>
      <w:bookmarkStart w:id="6531" w:name="_ETM_Q7_632350"/>
      <w:bookmarkEnd w:id="6531"/>
      <w:r>
        <w:rPr>
          <w:rFonts w:hint="cs"/>
          <w:rtl/>
        </w:rPr>
        <w:t xml:space="preserve">ממשלה </w:t>
      </w:r>
      <w:bookmarkStart w:id="6532" w:name="_ETM_Q7_632830"/>
      <w:bookmarkEnd w:id="6532"/>
      <w:r>
        <w:rPr>
          <w:rFonts w:hint="cs"/>
          <w:rtl/>
        </w:rPr>
        <w:t xml:space="preserve">סבירה, </w:t>
      </w:r>
      <w:bookmarkStart w:id="6533" w:name="_ETM_Q7_634170"/>
      <w:bookmarkEnd w:id="6533"/>
      <w:r>
        <w:rPr>
          <w:rFonts w:hint="cs"/>
          <w:rtl/>
        </w:rPr>
        <w:t xml:space="preserve">ממשלה </w:t>
      </w:r>
      <w:bookmarkStart w:id="6534" w:name="_ETM_Q7_634770"/>
      <w:bookmarkEnd w:id="6534"/>
      <w:r>
        <w:rPr>
          <w:rFonts w:hint="cs"/>
          <w:rtl/>
        </w:rPr>
        <w:t xml:space="preserve">שעובדת </w:t>
      </w:r>
      <w:bookmarkStart w:id="6535" w:name="_ETM_Q7_635459"/>
      <w:bookmarkEnd w:id="6535"/>
      <w:r>
        <w:rPr>
          <w:rFonts w:hint="cs"/>
          <w:rtl/>
        </w:rPr>
        <w:t xml:space="preserve">עבורם, </w:t>
      </w:r>
      <w:bookmarkStart w:id="6536" w:name="_ETM_Q7_636680"/>
      <w:bookmarkEnd w:id="6536"/>
      <w:r>
        <w:rPr>
          <w:rFonts w:hint="cs"/>
          <w:rtl/>
        </w:rPr>
        <w:t xml:space="preserve">שלא </w:t>
      </w:r>
      <w:bookmarkStart w:id="6537" w:name="_ETM_Q7_637070"/>
      <w:bookmarkEnd w:id="6537"/>
      <w:r>
        <w:rPr>
          <w:rFonts w:hint="cs"/>
          <w:rtl/>
        </w:rPr>
        <w:t xml:space="preserve">מאיימת </w:t>
      </w:r>
      <w:bookmarkStart w:id="6538" w:name="_ETM_Q7_638030"/>
      <w:bookmarkEnd w:id="6538"/>
      <w:r>
        <w:rPr>
          <w:rFonts w:hint="cs"/>
          <w:rtl/>
        </w:rPr>
        <w:t xml:space="preserve">על </w:t>
      </w:r>
      <w:bookmarkStart w:id="6539" w:name="_ETM_Q7_638240"/>
      <w:bookmarkEnd w:id="6539"/>
      <w:r>
        <w:rPr>
          <w:rFonts w:hint="cs"/>
          <w:rtl/>
        </w:rPr>
        <w:t xml:space="preserve">אורחות </w:t>
      </w:r>
      <w:bookmarkStart w:id="6540" w:name="_ETM_Q7_638750"/>
      <w:bookmarkEnd w:id="6540"/>
      <w:r>
        <w:rPr>
          <w:rFonts w:hint="cs"/>
          <w:rtl/>
        </w:rPr>
        <w:t xml:space="preserve">חייהם </w:t>
      </w:r>
      <w:bookmarkStart w:id="6541" w:name="_ETM_Q7_639710"/>
      <w:bookmarkEnd w:id="6541"/>
      <w:r>
        <w:rPr>
          <w:rFonts w:hint="cs"/>
          <w:rtl/>
        </w:rPr>
        <w:t xml:space="preserve">במדינה </w:t>
      </w:r>
      <w:bookmarkStart w:id="6542" w:name="_ETM_Q7_640310"/>
      <w:bookmarkEnd w:id="6542"/>
      <w:r>
        <w:rPr>
          <w:rFonts w:hint="cs"/>
          <w:rtl/>
        </w:rPr>
        <w:t xml:space="preserve">שבה </w:t>
      </w:r>
      <w:bookmarkStart w:id="6543" w:name="_ETM_Q7_640730"/>
      <w:bookmarkEnd w:id="6543"/>
      <w:r>
        <w:rPr>
          <w:rFonts w:hint="cs"/>
          <w:rtl/>
        </w:rPr>
        <w:t xml:space="preserve">הם </w:t>
      </w:r>
      <w:bookmarkStart w:id="6544" w:name="_ETM_Q7_640850"/>
      <w:bookmarkEnd w:id="6544"/>
      <w:r>
        <w:rPr>
          <w:rFonts w:hint="cs"/>
          <w:rtl/>
        </w:rPr>
        <w:t xml:space="preserve">נולדו, </w:t>
      </w:r>
      <w:bookmarkStart w:id="6545" w:name="_ETM_Q7_641780"/>
      <w:bookmarkEnd w:id="6545"/>
      <w:r>
        <w:rPr>
          <w:rFonts w:hint="cs"/>
          <w:rtl/>
        </w:rPr>
        <w:t xml:space="preserve">גדלו, </w:t>
      </w:r>
      <w:bookmarkStart w:id="6546" w:name="_ETM_Q7_642890"/>
      <w:bookmarkEnd w:id="6546"/>
      <w:r>
        <w:rPr>
          <w:rFonts w:hint="cs"/>
          <w:rtl/>
        </w:rPr>
        <w:t xml:space="preserve">שירתו, </w:t>
      </w:r>
      <w:bookmarkStart w:id="6547" w:name="_ETM_Q7_644090"/>
      <w:bookmarkEnd w:id="6547"/>
      <w:r>
        <w:rPr>
          <w:rFonts w:hint="cs"/>
          <w:rtl/>
        </w:rPr>
        <w:t xml:space="preserve">שלה הם </w:t>
      </w:r>
      <w:bookmarkStart w:id="6548" w:name="_ETM_Q7_644630"/>
      <w:bookmarkEnd w:id="6548"/>
      <w:r>
        <w:rPr>
          <w:rFonts w:hint="cs"/>
          <w:rtl/>
        </w:rPr>
        <w:t xml:space="preserve">תורמים </w:t>
      </w:r>
      <w:bookmarkStart w:id="6549" w:name="_ETM_Q7_645280"/>
      <w:bookmarkEnd w:id="6549"/>
      <w:r>
        <w:rPr>
          <w:rFonts w:hint="cs"/>
          <w:rtl/>
        </w:rPr>
        <w:t xml:space="preserve">כל </w:t>
      </w:r>
      <w:bookmarkStart w:id="6550" w:name="_ETM_Q7_645490"/>
      <w:bookmarkEnd w:id="6550"/>
      <w:r>
        <w:rPr>
          <w:rFonts w:hint="cs"/>
          <w:rtl/>
        </w:rPr>
        <w:t xml:space="preserve">חייהם; </w:t>
      </w:r>
      <w:bookmarkStart w:id="6551" w:name="_ETM_Q7_647519"/>
      <w:bookmarkEnd w:id="6551"/>
      <w:r>
        <w:rPr>
          <w:rFonts w:hint="cs"/>
          <w:rtl/>
        </w:rPr>
        <w:t xml:space="preserve">ממשלה </w:t>
      </w:r>
      <w:bookmarkStart w:id="6552" w:name="_ETM_Q7_648120"/>
      <w:bookmarkEnd w:id="6552"/>
      <w:r>
        <w:rPr>
          <w:rFonts w:hint="cs"/>
          <w:rtl/>
        </w:rPr>
        <w:t xml:space="preserve">שתעסוק </w:t>
      </w:r>
      <w:bookmarkStart w:id="6553" w:name="_ETM_Q7_648840"/>
      <w:bookmarkEnd w:id="6553"/>
      <w:r>
        <w:rPr>
          <w:rFonts w:hint="cs"/>
          <w:rtl/>
        </w:rPr>
        <w:t xml:space="preserve">בחיזוק </w:t>
      </w:r>
      <w:bookmarkStart w:id="6554" w:name="_ETM_Q7_649620"/>
      <w:bookmarkEnd w:id="6554"/>
      <w:r>
        <w:rPr>
          <w:rFonts w:hint="cs"/>
          <w:rtl/>
        </w:rPr>
        <w:t xml:space="preserve">של </w:t>
      </w:r>
      <w:bookmarkStart w:id="6555" w:name="_ETM_Q7_649859"/>
      <w:bookmarkEnd w:id="6555"/>
      <w:r>
        <w:rPr>
          <w:rFonts w:hint="cs"/>
          <w:rtl/>
        </w:rPr>
        <w:t xml:space="preserve">מדינת </w:t>
      </w:r>
      <w:bookmarkStart w:id="6556" w:name="_ETM_Q7_650400"/>
      <w:bookmarkEnd w:id="6556"/>
      <w:r>
        <w:rPr>
          <w:rFonts w:hint="cs"/>
          <w:rtl/>
        </w:rPr>
        <w:t xml:space="preserve">ישראל, </w:t>
      </w:r>
      <w:bookmarkStart w:id="6557" w:name="_ETM_Q7_651389"/>
      <w:bookmarkEnd w:id="6557"/>
      <w:r>
        <w:rPr>
          <w:rFonts w:hint="cs"/>
          <w:rtl/>
        </w:rPr>
        <w:t xml:space="preserve">ולא </w:t>
      </w:r>
      <w:bookmarkStart w:id="6558" w:name="_ETM_Q7_651689"/>
      <w:bookmarkEnd w:id="6558"/>
      <w:r>
        <w:rPr>
          <w:rFonts w:hint="cs"/>
          <w:rtl/>
        </w:rPr>
        <w:t xml:space="preserve">ממשלה </w:t>
      </w:r>
      <w:bookmarkStart w:id="6559" w:name="_ETM_Q7_652260"/>
      <w:bookmarkStart w:id="6560" w:name="_ETM_Q7_652620"/>
      <w:bookmarkEnd w:id="6559"/>
      <w:bookmarkEnd w:id="6560"/>
      <w:r>
        <w:rPr>
          <w:rFonts w:hint="cs"/>
          <w:rtl/>
        </w:rPr>
        <w:t>שתעסוק בלרסק ו</w:t>
      </w:r>
      <w:bookmarkStart w:id="6561" w:name="_ETM_Q7_652655"/>
      <w:bookmarkStart w:id="6562" w:name="_ETM_Q7_652727"/>
      <w:bookmarkStart w:id="6563" w:name="_ETM_Q7_654209"/>
      <w:bookmarkEnd w:id="6561"/>
      <w:bookmarkEnd w:id="6562"/>
      <w:bookmarkEnd w:id="6563"/>
      <w:r>
        <w:rPr>
          <w:rFonts w:hint="cs"/>
          <w:rtl/>
        </w:rPr>
        <w:t xml:space="preserve">לפרק </w:t>
      </w:r>
      <w:bookmarkStart w:id="6564" w:name="_ETM_Q7_654840"/>
      <w:bookmarkEnd w:id="6564"/>
      <w:r>
        <w:rPr>
          <w:rFonts w:hint="cs"/>
          <w:rtl/>
        </w:rPr>
        <w:t xml:space="preserve">את </w:t>
      </w:r>
      <w:bookmarkStart w:id="6565" w:name="_ETM_Q7_654989"/>
      <w:bookmarkEnd w:id="6565"/>
      <w:r>
        <w:rPr>
          <w:rFonts w:hint="cs"/>
          <w:rtl/>
        </w:rPr>
        <w:t xml:space="preserve">מדינת </w:t>
      </w:r>
      <w:bookmarkStart w:id="6566" w:name="_ETM_Q7_655529"/>
      <w:bookmarkEnd w:id="6566"/>
      <w:r>
        <w:rPr>
          <w:rFonts w:hint="cs"/>
          <w:rtl/>
        </w:rPr>
        <w:t xml:space="preserve">ישראל. </w:t>
      </w:r>
      <w:bookmarkStart w:id="6567" w:name="_ETM_Q7_657490"/>
      <w:bookmarkStart w:id="6568" w:name="_ETM_Q7_658120"/>
      <w:bookmarkEnd w:id="6567"/>
      <w:bookmarkEnd w:id="6568"/>
    </w:p>
    <w:p w:rsidR="000C5C1F" w:rsidRDefault="000C5C1F" w:rsidP="000C5C1F">
      <w:pPr>
        <w:rPr>
          <w:rtl/>
        </w:rPr>
      </w:pPr>
    </w:p>
    <w:p w:rsidR="000C5C1F" w:rsidRDefault="000C5C1F" w:rsidP="000C5C1F">
      <w:pPr>
        <w:rPr>
          <w:rtl/>
        </w:rPr>
      </w:pPr>
      <w:r>
        <w:rPr>
          <w:rFonts w:hint="cs"/>
          <w:rtl/>
        </w:rPr>
        <w:t xml:space="preserve">נחשול הצועדים </w:t>
      </w:r>
      <w:bookmarkStart w:id="6569" w:name="_ETM_Q7_658750"/>
      <w:bookmarkEnd w:id="6569"/>
      <w:r>
        <w:rPr>
          <w:rFonts w:hint="cs"/>
          <w:rtl/>
        </w:rPr>
        <w:t xml:space="preserve">היה </w:t>
      </w:r>
      <w:bookmarkStart w:id="6570" w:name="_ETM_Q7_658960"/>
      <w:bookmarkStart w:id="6571" w:name="_ETM_Q7_659410"/>
      <w:bookmarkEnd w:id="6570"/>
      <w:bookmarkEnd w:id="6571"/>
      <w:r>
        <w:rPr>
          <w:rFonts w:hint="cs"/>
          <w:rtl/>
        </w:rPr>
        <w:t xml:space="preserve">נחשול של </w:t>
      </w:r>
      <w:bookmarkStart w:id="6572" w:name="_ETM_Q7_659680"/>
      <w:bookmarkEnd w:id="6572"/>
      <w:r>
        <w:rPr>
          <w:rFonts w:hint="cs"/>
          <w:rtl/>
        </w:rPr>
        <w:t xml:space="preserve">עוצמה </w:t>
      </w:r>
      <w:bookmarkStart w:id="6573" w:name="_ETM_Q7_660970"/>
      <w:bookmarkEnd w:id="6573"/>
      <w:r>
        <w:rPr>
          <w:rFonts w:hint="cs"/>
          <w:rtl/>
        </w:rPr>
        <w:t xml:space="preserve">וכוח. </w:t>
      </w:r>
      <w:bookmarkStart w:id="6574" w:name="_ETM_Q7_662790"/>
      <w:bookmarkEnd w:id="6574"/>
      <w:r>
        <w:rPr>
          <w:rFonts w:hint="cs"/>
          <w:rtl/>
        </w:rPr>
        <w:t xml:space="preserve">כאן </w:t>
      </w:r>
      <w:bookmarkStart w:id="6575" w:name="_ETM_Q7_663329"/>
      <w:bookmarkEnd w:id="6575"/>
      <w:r>
        <w:rPr>
          <w:rFonts w:hint="cs"/>
          <w:rtl/>
        </w:rPr>
        <w:t xml:space="preserve">בירושלים, </w:t>
      </w:r>
      <w:bookmarkStart w:id="6576" w:name="_ETM_Q7_664980"/>
      <w:bookmarkEnd w:id="6576"/>
      <w:r>
        <w:rPr>
          <w:rFonts w:hint="cs"/>
          <w:rtl/>
        </w:rPr>
        <w:t xml:space="preserve">בחיפה, </w:t>
      </w:r>
      <w:bookmarkStart w:id="6577" w:name="_ETM_Q7_665599"/>
      <w:bookmarkEnd w:id="6577"/>
      <w:r>
        <w:rPr>
          <w:rFonts w:hint="cs"/>
          <w:rtl/>
        </w:rPr>
        <w:t xml:space="preserve">בתל </w:t>
      </w:r>
      <w:bookmarkStart w:id="6578" w:name="_ETM_Q7_669614"/>
      <w:bookmarkEnd w:id="6578"/>
      <w:r>
        <w:rPr>
          <w:rFonts w:hint="cs"/>
          <w:rtl/>
        </w:rPr>
        <w:t xml:space="preserve">אביב, </w:t>
      </w:r>
      <w:bookmarkStart w:id="6579" w:name="_ETM_Q7_668090"/>
      <w:bookmarkEnd w:id="6579"/>
      <w:r>
        <w:rPr>
          <w:rFonts w:hint="cs"/>
          <w:rtl/>
        </w:rPr>
        <w:t xml:space="preserve">בבאר שבע, </w:t>
      </w:r>
      <w:bookmarkStart w:id="6580" w:name="_ETM_Q7_669829"/>
      <w:bookmarkEnd w:id="6580"/>
      <w:r>
        <w:rPr>
          <w:rFonts w:hint="cs"/>
          <w:rtl/>
        </w:rPr>
        <w:t xml:space="preserve">בכפר </w:t>
      </w:r>
      <w:bookmarkStart w:id="6581" w:name="_ETM_Q7_670279"/>
      <w:bookmarkStart w:id="6582" w:name="_ETM_Q7_670440"/>
      <w:bookmarkEnd w:id="6581"/>
      <w:bookmarkEnd w:id="6582"/>
      <w:r>
        <w:rPr>
          <w:rFonts w:hint="cs"/>
          <w:rtl/>
        </w:rPr>
        <w:t xml:space="preserve">סבא, </w:t>
      </w:r>
      <w:bookmarkStart w:id="6583" w:name="_ETM_Q7_671520"/>
      <w:bookmarkEnd w:id="6583"/>
      <w:r>
        <w:rPr>
          <w:rFonts w:hint="cs"/>
          <w:rtl/>
        </w:rPr>
        <w:t xml:space="preserve">בנתניה, </w:t>
      </w:r>
      <w:bookmarkStart w:id="6584" w:name="_ETM_Q7_673020"/>
      <w:bookmarkEnd w:id="6584"/>
      <w:r>
        <w:rPr>
          <w:rFonts w:hint="cs"/>
          <w:rtl/>
        </w:rPr>
        <w:t xml:space="preserve">באשדוד, </w:t>
      </w:r>
      <w:bookmarkStart w:id="6585" w:name="_ETM_Q7_674520"/>
      <w:bookmarkEnd w:id="6585"/>
      <w:r>
        <w:rPr>
          <w:rFonts w:hint="cs"/>
          <w:rtl/>
        </w:rPr>
        <w:t xml:space="preserve">בכבישים, </w:t>
      </w:r>
      <w:bookmarkStart w:id="6586" w:name="_ETM_Q7_675990"/>
      <w:bookmarkEnd w:id="6586"/>
      <w:r>
        <w:rPr>
          <w:rFonts w:hint="cs"/>
          <w:rtl/>
        </w:rPr>
        <w:t xml:space="preserve">בדרכים, </w:t>
      </w:r>
      <w:bookmarkStart w:id="6587" w:name="_ETM_Q7_677489"/>
      <w:bookmarkEnd w:id="6587"/>
      <w:r>
        <w:rPr>
          <w:rFonts w:hint="cs"/>
          <w:rtl/>
        </w:rPr>
        <w:t xml:space="preserve">באוויר </w:t>
      </w:r>
      <w:bookmarkStart w:id="6588" w:name="_ETM_Q7_678330"/>
      <w:bookmarkEnd w:id="6588"/>
      <w:r>
        <w:rPr>
          <w:rFonts w:hint="cs"/>
          <w:rtl/>
        </w:rPr>
        <w:t xml:space="preserve">ובים, </w:t>
      </w:r>
      <w:bookmarkStart w:id="6589" w:name="_ETM_Q7_679769"/>
      <w:bookmarkEnd w:id="6589"/>
      <w:r>
        <w:rPr>
          <w:rFonts w:hint="cs"/>
          <w:rtl/>
        </w:rPr>
        <w:t xml:space="preserve">בכל </w:t>
      </w:r>
      <w:bookmarkStart w:id="6590" w:name="_ETM_Q7_680310"/>
      <w:bookmarkEnd w:id="6590"/>
      <w:r>
        <w:rPr>
          <w:rFonts w:hint="cs"/>
          <w:rtl/>
        </w:rPr>
        <w:t xml:space="preserve">מקום </w:t>
      </w:r>
      <w:bookmarkStart w:id="6591" w:name="_ETM_Q7_680760"/>
      <w:bookmarkEnd w:id="6591"/>
      <w:r>
        <w:rPr>
          <w:rFonts w:hint="cs"/>
          <w:rtl/>
        </w:rPr>
        <w:t xml:space="preserve">בישראל, </w:t>
      </w:r>
      <w:bookmarkStart w:id="6592" w:name="_ETM_Q7_682110"/>
      <w:bookmarkEnd w:id="6592"/>
      <w:r>
        <w:rPr>
          <w:rFonts w:hint="cs"/>
          <w:rtl/>
        </w:rPr>
        <w:t xml:space="preserve">בכל </w:t>
      </w:r>
      <w:bookmarkStart w:id="6593" w:name="_ETM_Q7_682739"/>
      <w:bookmarkEnd w:id="6593"/>
      <w:r>
        <w:rPr>
          <w:rFonts w:hint="cs"/>
          <w:rtl/>
        </w:rPr>
        <w:t xml:space="preserve">מקום </w:t>
      </w:r>
      <w:bookmarkStart w:id="6594" w:name="_ETM_Q7_683220"/>
      <w:bookmarkEnd w:id="6594"/>
      <w:r>
        <w:rPr>
          <w:rFonts w:hint="cs"/>
          <w:rtl/>
        </w:rPr>
        <w:t xml:space="preserve">בעולם. </w:t>
      </w:r>
      <w:bookmarkStart w:id="6595" w:name="_ETM_Q7_684600"/>
      <w:bookmarkEnd w:id="6595"/>
      <w:r>
        <w:rPr>
          <w:rFonts w:hint="cs"/>
          <w:rtl/>
        </w:rPr>
        <w:t xml:space="preserve">הם, </w:t>
      </w:r>
      <w:bookmarkStart w:id="6596" w:name="_ETM_Q7_685590"/>
      <w:bookmarkEnd w:id="6596"/>
      <w:r>
        <w:rPr>
          <w:rFonts w:hint="cs"/>
          <w:rtl/>
        </w:rPr>
        <w:t xml:space="preserve">אנחנו </w:t>
      </w:r>
      <w:bookmarkStart w:id="6597" w:name="_ETM_Q7_686760"/>
      <w:bookmarkEnd w:id="6597"/>
      <w:r>
        <w:rPr>
          <w:rFonts w:hint="cs"/>
          <w:rtl/>
        </w:rPr>
        <w:t xml:space="preserve">– בכל </w:t>
      </w:r>
      <w:bookmarkStart w:id="6598" w:name="_ETM_Q7_687420"/>
      <w:bookmarkEnd w:id="6598"/>
      <w:r>
        <w:rPr>
          <w:rFonts w:hint="cs"/>
          <w:rtl/>
        </w:rPr>
        <w:t xml:space="preserve">מקום. הם </w:t>
      </w:r>
      <w:bookmarkStart w:id="6599" w:name="_ETM_Q7_689620"/>
      <w:bookmarkEnd w:id="6599"/>
      <w:r>
        <w:rPr>
          <w:rFonts w:hint="cs"/>
          <w:rtl/>
        </w:rPr>
        <w:t xml:space="preserve">ואנחנו </w:t>
      </w:r>
      <w:bookmarkStart w:id="6600" w:name="_ETM_Q7_690190"/>
      <w:bookmarkEnd w:id="6600"/>
      <w:r>
        <w:rPr>
          <w:rFonts w:hint="cs"/>
          <w:rtl/>
        </w:rPr>
        <w:t xml:space="preserve">לא </w:t>
      </w:r>
      <w:bookmarkStart w:id="6601" w:name="_ETM_Q7_690340"/>
      <w:bookmarkEnd w:id="6601"/>
      <w:r>
        <w:rPr>
          <w:rFonts w:hint="cs"/>
          <w:rtl/>
        </w:rPr>
        <w:t xml:space="preserve">הולכים </w:t>
      </w:r>
      <w:bookmarkStart w:id="6602" w:name="_ETM_Q7_690700"/>
      <w:bookmarkEnd w:id="6602"/>
      <w:r>
        <w:rPr>
          <w:rFonts w:hint="cs"/>
          <w:rtl/>
        </w:rPr>
        <w:t xml:space="preserve">לשום </w:t>
      </w:r>
      <w:bookmarkStart w:id="6603" w:name="_ETM_Q7_691060"/>
      <w:bookmarkEnd w:id="6603"/>
      <w:r>
        <w:rPr>
          <w:rFonts w:hint="cs"/>
          <w:rtl/>
        </w:rPr>
        <w:t xml:space="preserve">מקום, לא </w:t>
      </w:r>
      <w:bookmarkStart w:id="6604" w:name="_ETM_Q7_692670"/>
      <w:bookmarkEnd w:id="6604"/>
      <w:r>
        <w:rPr>
          <w:rFonts w:hint="cs"/>
          <w:rtl/>
        </w:rPr>
        <w:t xml:space="preserve">משנה </w:t>
      </w:r>
      <w:bookmarkStart w:id="6605" w:name="_ETM_Q7_693150"/>
      <w:bookmarkEnd w:id="6605"/>
      <w:r>
        <w:rPr>
          <w:rFonts w:hint="cs"/>
          <w:rtl/>
        </w:rPr>
        <w:t xml:space="preserve">מה </w:t>
      </w:r>
      <w:bookmarkStart w:id="6606" w:name="_ETM_Q7_693390"/>
      <w:bookmarkEnd w:id="6606"/>
      <w:r>
        <w:rPr>
          <w:rFonts w:hint="cs"/>
          <w:rtl/>
        </w:rPr>
        <w:t xml:space="preserve">תעשו, </w:t>
      </w:r>
      <w:bookmarkStart w:id="6607" w:name="_ETM_Q7_694809"/>
      <w:bookmarkEnd w:id="6607"/>
      <w:r>
        <w:rPr>
          <w:rFonts w:hint="cs"/>
          <w:rtl/>
        </w:rPr>
        <w:t>כמה תאיימו,</w:t>
      </w:r>
      <w:bookmarkStart w:id="6608" w:name="_ETM_Q7_694545"/>
      <w:bookmarkStart w:id="6609" w:name="_ETM_Q7_694603"/>
      <w:bookmarkStart w:id="6610" w:name="_ETM_Q7_696429"/>
      <w:bookmarkEnd w:id="6608"/>
      <w:bookmarkEnd w:id="6609"/>
      <w:bookmarkEnd w:id="6610"/>
      <w:r>
        <w:rPr>
          <w:rFonts w:hint="cs"/>
          <w:rtl/>
        </w:rPr>
        <w:t xml:space="preserve"> תרביצו, </w:t>
      </w:r>
      <w:bookmarkStart w:id="6611" w:name="_ETM_Q7_697929"/>
      <w:bookmarkEnd w:id="6611"/>
      <w:r>
        <w:rPr>
          <w:rFonts w:hint="cs"/>
          <w:rtl/>
        </w:rPr>
        <w:t xml:space="preserve">תשלחו </w:t>
      </w:r>
      <w:bookmarkStart w:id="6612" w:name="_ETM_Q7_698529"/>
      <w:bookmarkEnd w:id="6612"/>
      <w:r>
        <w:rPr>
          <w:rFonts w:hint="cs"/>
          <w:rtl/>
        </w:rPr>
        <w:t xml:space="preserve">סוסים, </w:t>
      </w:r>
      <w:bookmarkStart w:id="6613" w:name="_ETM_Q7_699790"/>
      <w:bookmarkEnd w:id="6613"/>
      <w:r>
        <w:rPr>
          <w:rFonts w:hint="cs"/>
          <w:rtl/>
        </w:rPr>
        <w:t xml:space="preserve">תשברו </w:t>
      </w:r>
      <w:bookmarkStart w:id="6614" w:name="_ETM_Q7_700389"/>
      <w:bookmarkEnd w:id="6614"/>
      <w:r>
        <w:rPr>
          <w:rFonts w:hint="cs"/>
          <w:rtl/>
        </w:rPr>
        <w:t xml:space="preserve">ידיים, </w:t>
      </w:r>
      <w:bookmarkStart w:id="6615" w:name="_ETM_Q7_700900"/>
      <w:bookmarkEnd w:id="6615"/>
      <w:r>
        <w:rPr>
          <w:rFonts w:hint="cs"/>
          <w:rtl/>
        </w:rPr>
        <w:t xml:space="preserve">תשברו רגליים, תשברו ארובות </w:t>
      </w:r>
      <w:bookmarkStart w:id="6616" w:name="_ETM_Q7_704055"/>
      <w:bookmarkEnd w:id="6616"/>
      <w:r>
        <w:rPr>
          <w:rFonts w:hint="cs"/>
          <w:rtl/>
        </w:rPr>
        <w:t>עיניים.</w:t>
      </w:r>
      <w:bookmarkStart w:id="6617" w:name="_ETM_Q7_706260"/>
      <w:bookmarkEnd w:id="6617"/>
      <w:r>
        <w:rPr>
          <w:rFonts w:hint="cs"/>
          <w:rtl/>
        </w:rPr>
        <w:t xml:space="preserve"> אנחנו </w:t>
      </w:r>
      <w:bookmarkStart w:id="6618" w:name="_ETM_Q7_706799"/>
      <w:bookmarkEnd w:id="6618"/>
      <w:r>
        <w:rPr>
          <w:rFonts w:hint="cs"/>
          <w:rtl/>
        </w:rPr>
        <w:t xml:space="preserve">כאן, </w:t>
      </w:r>
      <w:bookmarkStart w:id="6619" w:name="_ETM_Q7_707730"/>
      <w:bookmarkEnd w:id="6619"/>
      <w:r>
        <w:rPr>
          <w:rFonts w:hint="cs"/>
          <w:rtl/>
        </w:rPr>
        <w:t xml:space="preserve">איתם, </w:t>
      </w:r>
      <w:bookmarkStart w:id="6620" w:name="_ETM_Q7_709290"/>
      <w:bookmarkEnd w:id="6620"/>
      <w:r>
        <w:rPr>
          <w:rFonts w:hint="cs"/>
          <w:rtl/>
        </w:rPr>
        <w:t xml:space="preserve">כולנו </w:t>
      </w:r>
      <w:bookmarkStart w:id="6621" w:name="_ETM_Q7_709890"/>
      <w:bookmarkEnd w:id="6621"/>
      <w:r>
        <w:rPr>
          <w:rFonts w:hint="cs"/>
          <w:rtl/>
        </w:rPr>
        <w:t xml:space="preserve">ביחד </w:t>
      </w:r>
      <w:bookmarkStart w:id="6622" w:name="_ETM_Q7_710400"/>
      <w:bookmarkEnd w:id="6622"/>
      <w:r>
        <w:rPr>
          <w:rFonts w:hint="cs"/>
          <w:rtl/>
        </w:rPr>
        <w:t xml:space="preserve">אגרוף </w:t>
      </w:r>
      <w:bookmarkStart w:id="6623" w:name="_ETM_Q7_710790"/>
      <w:bookmarkEnd w:id="6623"/>
      <w:r>
        <w:rPr>
          <w:rFonts w:hint="cs"/>
          <w:rtl/>
        </w:rPr>
        <w:t xml:space="preserve">אחד, </w:t>
      </w:r>
      <w:bookmarkStart w:id="6624" w:name="_ETM_Q7_711900"/>
      <w:bookmarkEnd w:id="6624"/>
      <w:r>
        <w:rPr>
          <w:rFonts w:hint="cs"/>
          <w:rtl/>
        </w:rPr>
        <w:t xml:space="preserve">כי </w:t>
      </w:r>
      <w:bookmarkStart w:id="6625" w:name="_ETM_Q7_712140"/>
      <w:bookmarkEnd w:id="6625"/>
      <w:r>
        <w:rPr>
          <w:rFonts w:hint="cs"/>
          <w:rtl/>
        </w:rPr>
        <w:t xml:space="preserve">אין </w:t>
      </w:r>
      <w:bookmarkStart w:id="6626" w:name="_ETM_Q7_712409"/>
      <w:bookmarkEnd w:id="6626"/>
      <w:r>
        <w:rPr>
          <w:rFonts w:hint="cs"/>
          <w:rtl/>
        </w:rPr>
        <w:t xml:space="preserve">להם </w:t>
      </w:r>
      <w:bookmarkStart w:id="6627" w:name="_ETM_Q7_712739"/>
      <w:bookmarkEnd w:id="6627"/>
      <w:r>
        <w:rPr>
          <w:rFonts w:hint="cs"/>
          <w:rtl/>
        </w:rPr>
        <w:t xml:space="preserve">ברירה. </w:t>
      </w:r>
      <w:bookmarkStart w:id="6628" w:name="_ETM_Q7_714250"/>
      <w:bookmarkStart w:id="6629" w:name="_ETM_Q7_719385"/>
      <w:bookmarkStart w:id="6630" w:name="_ETM_Q7_719462"/>
      <w:bookmarkStart w:id="6631" w:name="_ETM_Q7_719625"/>
      <w:bookmarkStart w:id="6632" w:name="_ETM_Q7_719685"/>
      <w:bookmarkEnd w:id="6628"/>
      <w:bookmarkEnd w:id="6629"/>
      <w:bookmarkEnd w:id="6630"/>
      <w:bookmarkEnd w:id="6631"/>
      <w:bookmarkEnd w:id="6632"/>
      <w:r>
        <w:rPr>
          <w:rFonts w:hint="cs"/>
          <w:rtl/>
        </w:rPr>
        <w:t>הם מפחדים,</w:t>
      </w:r>
      <w:bookmarkStart w:id="6633" w:name="_ETM_Q7_716109"/>
      <w:bookmarkEnd w:id="6633"/>
      <w:r>
        <w:rPr>
          <w:rFonts w:hint="cs"/>
          <w:rtl/>
        </w:rPr>
        <w:t xml:space="preserve"> הם </w:t>
      </w:r>
      <w:bookmarkStart w:id="6634" w:name="_ETM_Q7_716319"/>
      <w:bookmarkEnd w:id="6634"/>
      <w:r>
        <w:rPr>
          <w:rFonts w:hint="cs"/>
          <w:rtl/>
        </w:rPr>
        <w:t xml:space="preserve">חרדים </w:t>
      </w:r>
      <w:bookmarkStart w:id="6635" w:name="_ETM_Q7_717929"/>
      <w:bookmarkEnd w:id="6635"/>
      <w:r>
        <w:rPr>
          <w:rFonts w:hint="cs"/>
          <w:rtl/>
        </w:rPr>
        <w:t xml:space="preserve">מממשלה </w:t>
      </w:r>
      <w:bookmarkStart w:id="6636" w:name="_ETM_Q7_718889"/>
      <w:bookmarkEnd w:id="6636"/>
      <w:r>
        <w:rPr>
          <w:rFonts w:hint="cs"/>
          <w:rtl/>
        </w:rPr>
        <w:t xml:space="preserve">ברוטלית שאין </w:t>
      </w:r>
      <w:bookmarkStart w:id="6637" w:name="_ETM_Q7_721079"/>
      <w:bookmarkEnd w:id="6637"/>
      <w:r>
        <w:rPr>
          <w:rFonts w:hint="cs"/>
          <w:rtl/>
        </w:rPr>
        <w:t xml:space="preserve">בה טיפת </w:t>
      </w:r>
      <w:bookmarkStart w:id="6638" w:name="_ETM_Q7_721709"/>
      <w:bookmarkEnd w:id="6638"/>
      <w:r>
        <w:rPr>
          <w:rFonts w:hint="cs"/>
          <w:rtl/>
        </w:rPr>
        <w:t xml:space="preserve">יושרה, </w:t>
      </w:r>
      <w:bookmarkStart w:id="6639" w:name="_ETM_Q7_723100"/>
      <w:bookmarkEnd w:id="6639"/>
      <w:r>
        <w:rPr>
          <w:rFonts w:hint="cs"/>
          <w:rtl/>
        </w:rPr>
        <w:t xml:space="preserve">אין </w:t>
      </w:r>
      <w:bookmarkStart w:id="6640" w:name="_ETM_Q7_723370"/>
      <w:bookmarkEnd w:id="6640"/>
      <w:r>
        <w:rPr>
          <w:rFonts w:hint="cs"/>
          <w:rtl/>
        </w:rPr>
        <w:t xml:space="preserve">בה </w:t>
      </w:r>
      <w:bookmarkStart w:id="6641" w:name="_ETM_Q7_723550"/>
      <w:bookmarkEnd w:id="6641"/>
      <w:r>
        <w:rPr>
          <w:rFonts w:hint="cs"/>
          <w:rtl/>
        </w:rPr>
        <w:t xml:space="preserve">מנהיגות </w:t>
      </w:r>
      <w:bookmarkStart w:id="6642" w:name="_ETM_Q7_724300"/>
      <w:bookmarkEnd w:id="6642"/>
      <w:r>
        <w:rPr>
          <w:rFonts w:hint="cs"/>
          <w:rtl/>
        </w:rPr>
        <w:t xml:space="preserve">ואין </w:t>
      </w:r>
      <w:bookmarkStart w:id="6643" w:name="_ETM_Q7_724809"/>
      <w:bookmarkEnd w:id="6643"/>
      <w:r>
        <w:rPr>
          <w:rFonts w:hint="cs"/>
          <w:rtl/>
        </w:rPr>
        <w:t xml:space="preserve">לה מנהיג. </w:t>
      </w:r>
      <w:bookmarkStart w:id="6644" w:name="_ETM_Q7_726309"/>
      <w:bookmarkEnd w:id="6644"/>
      <w:r>
        <w:rPr>
          <w:rFonts w:hint="cs"/>
          <w:rtl/>
        </w:rPr>
        <w:t xml:space="preserve">הם רואים </w:t>
      </w:r>
      <w:bookmarkStart w:id="6645" w:name="_ETM_Q7_727599"/>
      <w:bookmarkEnd w:id="6645"/>
      <w:r>
        <w:rPr>
          <w:rFonts w:hint="cs"/>
          <w:rtl/>
        </w:rPr>
        <w:t xml:space="preserve">מי </w:t>
      </w:r>
      <w:bookmarkStart w:id="6646" w:name="_ETM_Q7_727870"/>
      <w:bookmarkEnd w:id="6646"/>
      <w:r>
        <w:rPr>
          <w:rFonts w:hint="cs"/>
          <w:rtl/>
        </w:rPr>
        <w:t xml:space="preserve">מחזיק </w:t>
      </w:r>
      <w:bookmarkStart w:id="6647" w:name="_ETM_Q7_728470"/>
      <w:bookmarkEnd w:id="6647"/>
      <w:r>
        <w:rPr>
          <w:rFonts w:hint="cs"/>
          <w:rtl/>
        </w:rPr>
        <w:t xml:space="preserve">את </w:t>
      </w:r>
      <w:bookmarkStart w:id="6648" w:name="_ETM_Q7_728650"/>
      <w:bookmarkEnd w:id="6648"/>
      <w:r>
        <w:rPr>
          <w:rFonts w:hint="cs"/>
          <w:rtl/>
        </w:rPr>
        <w:t xml:space="preserve">ההגה </w:t>
      </w:r>
      <w:bookmarkStart w:id="6649" w:name="_ETM_Q7_729010"/>
      <w:bookmarkEnd w:id="6649"/>
      <w:r>
        <w:rPr>
          <w:rFonts w:hint="cs"/>
          <w:rtl/>
        </w:rPr>
        <w:t xml:space="preserve">של </w:t>
      </w:r>
      <w:bookmarkStart w:id="6650" w:name="_ETM_Q7_729220"/>
      <w:bookmarkEnd w:id="6650"/>
      <w:r>
        <w:rPr>
          <w:rFonts w:hint="cs"/>
          <w:rtl/>
        </w:rPr>
        <w:t xml:space="preserve">המדינה, </w:t>
      </w:r>
      <w:bookmarkStart w:id="6651" w:name="_ETM_Q7_729670"/>
      <w:bookmarkEnd w:id="6651"/>
      <w:r>
        <w:rPr>
          <w:rFonts w:hint="cs"/>
          <w:rtl/>
        </w:rPr>
        <w:t xml:space="preserve">והם </w:t>
      </w:r>
      <w:bookmarkStart w:id="6652" w:name="_ETM_Q7_729879"/>
      <w:bookmarkEnd w:id="6652"/>
      <w:r>
        <w:rPr>
          <w:rFonts w:hint="cs"/>
          <w:rtl/>
        </w:rPr>
        <w:t xml:space="preserve">שואלים </w:t>
      </w:r>
      <w:bookmarkStart w:id="6653" w:name="_ETM_Q7_730390"/>
      <w:bookmarkEnd w:id="6653"/>
      <w:r>
        <w:rPr>
          <w:rFonts w:hint="cs"/>
          <w:rtl/>
        </w:rPr>
        <w:t xml:space="preserve">את </w:t>
      </w:r>
      <w:bookmarkStart w:id="6654" w:name="_ETM_Q7_730540"/>
      <w:bookmarkEnd w:id="6654"/>
      <w:r>
        <w:rPr>
          <w:rFonts w:hint="cs"/>
          <w:rtl/>
        </w:rPr>
        <w:t xml:space="preserve">עצמם: </w:t>
      </w:r>
      <w:bookmarkStart w:id="6655" w:name="_ETM_Q7_732030"/>
      <w:bookmarkEnd w:id="6655"/>
      <w:r>
        <w:rPr>
          <w:rFonts w:hint="cs"/>
          <w:rtl/>
        </w:rPr>
        <w:t xml:space="preserve">אלה? </w:t>
      </w:r>
      <w:bookmarkStart w:id="6656" w:name="_ETM_Q7_733379"/>
      <w:bookmarkEnd w:id="6656"/>
      <w:r>
        <w:rPr>
          <w:rFonts w:hint="cs"/>
          <w:rtl/>
        </w:rPr>
        <w:t xml:space="preserve">אלה </w:t>
      </w:r>
      <w:bookmarkStart w:id="6657" w:name="_ETM_Q7_733800"/>
      <w:bookmarkEnd w:id="6657"/>
      <w:r>
        <w:rPr>
          <w:rFonts w:hint="cs"/>
          <w:rtl/>
        </w:rPr>
        <w:t xml:space="preserve">רוצים </w:t>
      </w:r>
      <w:bookmarkStart w:id="6658" w:name="_ETM_Q7_734280"/>
      <w:bookmarkEnd w:id="6658"/>
      <w:r>
        <w:rPr>
          <w:rFonts w:hint="cs"/>
          <w:rtl/>
        </w:rPr>
        <w:t xml:space="preserve">לשנות </w:t>
      </w:r>
      <w:bookmarkStart w:id="6659" w:name="_ETM_Q7_734790"/>
      <w:bookmarkEnd w:id="6659"/>
      <w:r>
        <w:rPr>
          <w:rFonts w:hint="cs"/>
          <w:rtl/>
        </w:rPr>
        <w:t xml:space="preserve">את </w:t>
      </w:r>
      <w:bookmarkStart w:id="6660" w:name="_ETM_Q7_734910"/>
      <w:bookmarkEnd w:id="6660"/>
      <w:r>
        <w:rPr>
          <w:rFonts w:hint="cs"/>
          <w:rtl/>
        </w:rPr>
        <w:t xml:space="preserve">כללי </w:t>
      </w:r>
      <w:bookmarkStart w:id="6661" w:name="_ETM_Q7_735330"/>
      <w:bookmarkEnd w:id="6661"/>
      <w:r>
        <w:rPr>
          <w:rFonts w:hint="cs"/>
          <w:rtl/>
        </w:rPr>
        <w:t xml:space="preserve">המשחק, </w:t>
      </w:r>
      <w:bookmarkStart w:id="6662" w:name="_ETM_Q7_735840"/>
      <w:bookmarkEnd w:id="6662"/>
      <w:r>
        <w:rPr>
          <w:rFonts w:hint="cs"/>
          <w:rtl/>
        </w:rPr>
        <w:t xml:space="preserve">שכך </w:t>
      </w:r>
      <w:bookmarkStart w:id="6663" w:name="_ETM_Q7_736260"/>
      <w:bookmarkEnd w:id="6663"/>
      <w:r>
        <w:rPr>
          <w:rFonts w:hint="cs"/>
          <w:rtl/>
        </w:rPr>
        <w:t xml:space="preserve">יהיה </w:t>
      </w:r>
      <w:bookmarkStart w:id="6664" w:name="_ETM_Q7_736500"/>
      <w:bookmarkEnd w:id="6664"/>
      <w:r>
        <w:rPr>
          <w:rFonts w:hint="cs"/>
          <w:rtl/>
        </w:rPr>
        <w:t xml:space="preserve">בידיהם </w:t>
      </w:r>
      <w:bookmarkStart w:id="6665" w:name="_ETM_Q7_736889"/>
      <w:bookmarkEnd w:id="6665"/>
      <w:r>
        <w:rPr>
          <w:rFonts w:hint="cs"/>
          <w:rtl/>
        </w:rPr>
        <w:t xml:space="preserve">עוד </w:t>
      </w:r>
      <w:bookmarkStart w:id="6666" w:name="_ETM_Q7_738500"/>
      <w:bookmarkEnd w:id="6666"/>
      <w:r>
        <w:rPr>
          <w:rFonts w:hint="cs"/>
          <w:rtl/>
        </w:rPr>
        <w:t xml:space="preserve">כוח, כוח </w:t>
      </w:r>
      <w:bookmarkStart w:id="6667" w:name="_ETM_Q7_739010"/>
      <w:bookmarkEnd w:id="6667"/>
      <w:r>
        <w:rPr>
          <w:rFonts w:hint="cs"/>
          <w:rtl/>
        </w:rPr>
        <w:t xml:space="preserve">בלתי </w:t>
      </w:r>
      <w:bookmarkStart w:id="6668" w:name="_ETM_Q7_739460"/>
      <w:bookmarkEnd w:id="6668"/>
      <w:r>
        <w:rPr>
          <w:rFonts w:hint="cs"/>
          <w:rtl/>
        </w:rPr>
        <w:t xml:space="preserve">מוגבל? </w:t>
      </w:r>
      <w:bookmarkStart w:id="6669" w:name="_ETM_Q7_741010"/>
      <w:bookmarkEnd w:id="6669"/>
    </w:p>
    <w:p w:rsidR="000C5C1F" w:rsidRDefault="000C5C1F" w:rsidP="000C5C1F">
      <w:pPr>
        <w:rPr>
          <w:rtl/>
        </w:rPr>
      </w:pPr>
    </w:p>
    <w:p w:rsidR="000C5C1F" w:rsidRDefault="000C5C1F" w:rsidP="000C5C1F">
      <w:pPr>
        <w:rPr>
          <w:rtl/>
        </w:rPr>
      </w:pPr>
      <w:r>
        <w:rPr>
          <w:rFonts w:hint="cs"/>
          <w:rtl/>
        </w:rPr>
        <w:t xml:space="preserve">הם </w:t>
      </w:r>
      <w:bookmarkStart w:id="6670" w:name="_ETM_Q7_742590"/>
      <w:bookmarkEnd w:id="6670"/>
      <w:r>
        <w:rPr>
          <w:rFonts w:hint="cs"/>
          <w:rtl/>
        </w:rPr>
        <w:t xml:space="preserve">מבינים </w:t>
      </w:r>
      <w:bookmarkStart w:id="6671" w:name="_ETM_Q7_743010"/>
      <w:bookmarkEnd w:id="6671"/>
      <w:r>
        <w:rPr>
          <w:rFonts w:hint="cs"/>
          <w:rtl/>
        </w:rPr>
        <w:t xml:space="preserve">שזה </w:t>
      </w:r>
      <w:bookmarkStart w:id="6672" w:name="_ETM_Q7_743370"/>
      <w:bookmarkEnd w:id="6672"/>
      <w:r>
        <w:rPr>
          <w:rFonts w:hint="cs"/>
          <w:rtl/>
        </w:rPr>
        <w:t xml:space="preserve">לא </w:t>
      </w:r>
      <w:bookmarkStart w:id="6673" w:name="_ETM_Q7_743550"/>
      <w:bookmarkEnd w:id="6673"/>
      <w:r>
        <w:rPr>
          <w:rFonts w:hint="cs"/>
          <w:rtl/>
        </w:rPr>
        <w:t xml:space="preserve">עניין </w:t>
      </w:r>
      <w:bookmarkStart w:id="6674" w:name="_ETM_Q7_743880"/>
      <w:bookmarkEnd w:id="6674"/>
      <w:r>
        <w:rPr>
          <w:rFonts w:hint="cs"/>
          <w:rtl/>
        </w:rPr>
        <w:t xml:space="preserve">של </w:t>
      </w:r>
      <w:bookmarkStart w:id="6675" w:name="_ETM_Q7_744120"/>
      <w:bookmarkEnd w:id="6675"/>
      <w:r>
        <w:rPr>
          <w:rFonts w:hint="cs"/>
          <w:rtl/>
        </w:rPr>
        <w:t xml:space="preserve">ימין </w:t>
      </w:r>
      <w:bookmarkStart w:id="6676" w:name="_ETM_Q7_745080"/>
      <w:bookmarkEnd w:id="6676"/>
      <w:r>
        <w:rPr>
          <w:rFonts w:hint="cs"/>
          <w:rtl/>
        </w:rPr>
        <w:t xml:space="preserve">ולא </w:t>
      </w:r>
      <w:bookmarkStart w:id="6677" w:name="_ETM_Q7_745440"/>
      <w:bookmarkEnd w:id="6677"/>
      <w:r>
        <w:rPr>
          <w:rFonts w:hint="cs"/>
          <w:rtl/>
        </w:rPr>
        <w:t xml:space="preserve">של </w:t>
      </w:r>
      <w:bookmarkStart w:id="6678" w:name="_ETM_Q7_745650"/>
      <w:bookmarkEnd w:id="6678"/>
      <w:r>
        <w:rPr>
          <w:rFonts w:hint="cs"/>
          <w:rtl/>
        </w:rPr>
        <w:t xml:space="preserve">שמאל. </w:t>
      </w:r>
      <w:bookmarkStart w:id="6679" w:name="_ETM_Q7_746790"/>
      <w:bookmarkEnd w:id="6679"/>
      <w:r>
        <w:rPr>
          <w:rFonts w:hint="cs"/>
          <w:rtl/>
        </w:rPr>
        <w:t xml:space="preserve">זה </w:t>
      </w:r>
      <w:bookmarkStart w:id="6680" w:name="_ETM_Q7_747090"/>
      <w:bookmarkEnd w:id="6680"/>
      <w:r>
        <w:rPr>
          <w:rFonts w:hint="cs"/>
          <w:rtl/>
        </w:rPr>
        <w:t xml:space="preserve">החיים </w:t>
      </w:r>
      <w:bookmarkStart w:id="6681" w:name="_ETM_Q7_747720"/>
      <w:bookmarkEnd w:id="6681"/>
      <w:r>
        <w:rPr>
          <w:rFonts w:hint="cs"/>
          <w:rtl/>
        </w:rPr>
        <w:t xml:space="preserve">עצמם, </w:t>
      </w:r>
      <w:bookmarkStart w:id="6682" w:name="_ETM_Q7_749059"/>
      <w:bookmarkEnd w:id="6682"/>
      <w:r>
        <w:rPr>
          <w:rFonts w:hint="cs"/>
          <w:rtl/>
        </w:rPr>
        <w:t xml:space="preserve">החיים </w:t>
      </w:r>
      <w:bookmarkStart w:id="6683" w:name="_ETM_Q7_749719"/>
      <w:bookmarkEnd w:id="6683"/>
      <w:r>
        <w:rPr>
          <w:rFonts w:hint="cs"/>
          <w:rtl/>
        </w:rPr>
        <w:t xml:space="preserve">שלנו </w:t>
      </w:r>
      <w:bookmarkStart w:id="6684" w:name="_ETM_Q7_750409"/>
      <w:bookmarkEnd w:id="6684"/>
      <w:r>
        <w:rPr>
          <w:rFonts w:hint="cs"/>
          <w:rtl/>
        </w:rPr>
        <w:t xml:space="preserve">במדינה </w:t>
      </w:r>
      <w:bookmarkStart w:id="6685" w:name="_ETM_Q7_751039"/>
      <w:bookmarkEnd w:id="6685"/>
      <w:r>
        <w:rPr>
          <w:rFonts w:hint="cs"/>
          <w:rtl/>
        </w:rPr>
        <w:t xml:space="preserve">הזו </w:t>
      </w:r>
      <w:bookmarkStart w:id="6686" w:name="_ETM_Q7_751370"/>
      <w:bookmarkEnd w:id="6686"/>
      <w:r>
        <w:rPr>
          <w:rFonts w:hint="cs"/>
          <w:rtl/>
        </w:rPr>
        <w:t xml:space="preserve">עומדים </w:t>
      </w:r>
      <w:bookmarkStart w:id="6687" w:name="_ETM_Q7_751699"/>
      <w:bookmarkEnd w:id="6687"/>
      <w:r>
        <w:rPr>
          <w:rFonts w:hint="cs"/>
          <w:rtl/>
        </w:rPr>
        <w:t xml:space="preserve">על </w:t>
      </w:r>
      <w:bookmarkStart w:id="6688" w:name="_ETM_Q7_751819"/>
      <w:bookmarkEnd w:id="6688"/>
      <w:r>
        <w:rPr>
          <w:rFonts w:hint="cs"/>
          <w:rtl/>
        </w:rPr>
        <w:t xml:space="preserve">הכף. </w:t>
      </w:r>
      <w:bookmarkStart w:id="6689" w:name="_ETM_Q7_752879"/>
      <w:bookmarkEnd w:id="6689"/>
      <w:r>
        <w:rPr>
          <w:rFonts w:hint="cs"/>
          <w:rtl/>
        </w:rPr>
        <w:t xml:space="preserve">העתיד </w:t>
      </w:r>
      <w:bookmarkStart w:id="6690" w:name="_ETM_Q7_753539"/>
      <w:bookmarkEnd w:id="6690"/>
      <w:r>
        <w:rPr>
          <w:rFonts w:hint="cs"/>
          <w:rtl/>
        </w:rPr>
        <w:t xml:space="preserve">של </w:t>
      </w:r>
      <w:bookmarkStart w:id="6691" w:name="_ETM_Q7_753780"/>
      <w:bookmarkEnd w:id="6691"/>
      <w:r>
        <w:rPr>
          <w:rFonts w:hint="cs"/>
          <w:rtl/>
        </w:rPr>
        <w:t xml:space="preserve">הילדים </w:t>
      </w:r>
      <w:bookmarkStart w:id="6692" w:name="_ETM_Q7_754379"/>
      <w:bookmarkEnd w:id="6692"/>
      <w:r>
        <w:rPr>
          <w:rFonts w:hint="cs"/>
          <w:rtl/>
        </w:rPr>
        <w:t xml:space="preserve">שלנו </w:t>
      </w:r>
      <w:bookmarkStart w:id="6693" w:name="_ETM_Q7_754919"/>
      <w:bookmarkEnd w:id="6693"/>
      <w:r>
        <w:rPr>
          <w:rFonts w:hint="cs"/>
          <w:rtl/>
        </w:rPr>
        <w:t xml:space="preserve">עומד </w:t>
      </w:r>
      <w:bookmarkStart w:id="6694" w:name="_ETM_Q7_755309"/>
      <w:bookmarkEnd w:id="6694"/>
      <w:r>
        <w:rPr>
          <w:rFonts w:hint="cs"/>
          <w:rtl/>
        </w:rPr>
        <w:t xml:space="preserve">פה </w:t>
      </w:r>
      <w:bookmarkStart w:id="6695" w:name="_ETM_Q7_755490"/>
      <w:bookmarkEnd w:id="6695"/>
      <w:r>
        <w:rPr>
          <w:rFonts w:hint="cs"/>
          <w:rtl/>
        </w:rPr>
        <w:t xml:space="preserve">על </w:t>
      </w:r>
      <w:bookmarkStart w:id="6696" w:name="_ETM_Q7_755610"/>
      <w:bookmarkEnd w:id="6696"/>
      <w:r>
        <w:rPr>
          <w:rFonts w:hint="cs"/>
          <w:rtl/>
        </w:rPr>
        <w:t xml:space="preserve">הכף, </w:t>
      </w:r>
      <w:bookmarkStart w:id="6697" w:name="_ETM_Q7_756479"/>
      <w:bookmarkEnd w:id="6697"/>
      <w:r>
        <w:rPr>
          <w:rFonts w:hint="cs"/>
          <w:rtl/>
        </w:rPr>
        <w:t xml:space="preserve">וריסוק </w:t>
      </w:r>
      <w:bookmarkStart w:id="6698" w:name="_ETM_Q7_757199"/>
      <w:bookmarkEnd w:id="6698"/>
      <w:r>
        <w:rPr>
          <w:rFonts w:hint="cs"/>
          <w:rtl/>
        </w:rPr>
        <w:t>ש</w:t>
      </w:r>
      <w:bookmarkStart w:id="6699" w:name="_ETM_Q7_757690"/>
      <w:bookmarkStart w:id="6700" w:name="_ETM_Q7_758020"/>
      <w:bookmarkEnd w:id="6699"/>
      <w:bookmarkEnd w:id="6700"/>
      <w:r>
        <w:rPr>
          <w:rFonts w:hint="cs"/>
          <w:rtl/>
        </w:rPr>
        <w:t xml:space="preserve">ל כל הערכים </w:t>
      </w:r>
      <w:bookmarkStart w:id="6701" w:name="_ETM_Q7_758620"/>
      <w:bookmarkEnd w:id="6701"/>
      <w:r>
        <w:rPr>
          <w:rFonts w:hint="cs"/>
          <w:rtl/>
        </w:rPr>
        <w:t xml:space="preserve">שלאורם </w:t>
      </w:r>
      <w:bookmarkStart w:id="6702" w:name="_ETM_Q7_759280"/>
      <w:bookmarkEnd w:id="6702"/>
      <w:r>
        <w:rPr>
          <w:rFonts w:hint="cs"/>
          <w:rtl/>
        </w:rPr>
        <w:t xml:space="preserve">אנחנו </w:t>
      </w:r>
      <w:bookmarkStart w:id="6703" w:name="_ETM_Q7_759670"/>
      <w:bookmarkEnd w:id="6703"/>
      <w:r>
        <w:rPr>
          <w:rFonts w:hint="cs"/>
          <w:rtl/>
        </w:rPr>
        <w:t xml:space="preserve">מחנכים </w:t>
      </w:r>
      <w:bookmarkStart w:id="6704" w:name="_ETM_Q7_760690"/>
      <w:bookmarkEnd w:id="6704"/>
      <w:r>
        <w:rPr>
          <w:rFonts w:hint="cs"/>
          <w:rtl/>
        </w:rPr>
        <w:t xml:space="preserve">את </w:t>
      </w:r>
      <w:bookmarkStart w:id="6705" w:name="_ETM_Q7_760929"/>
      <w:bookmarkEnd w:id="6705"/>
      <w:r>
        <w:rPr>
          <w:rFonts w:hint="cs"/>
          <w:rtl/>
        </w:rPr>
        <w:t xml:space="preserve">הילדים </w:t>
      </w:r>
      <w:bookmarkStart w:id="6706" w:name="_ETM_Q7_761470"/>
      <w:bookmarkEnd w:id="6706"/>
      <w:r>
        <w:rPr>
          <w:rFonts w:hint="cs"/>
          <w:rtl/>
        </w:rPr>
        <w:t xml:space="preserve">שלנו. </w:t>
      </w:r>
      <w:bookmarkStart w:id="6707" w:name="_ETM_Q7_762539"/>
      <w:bookmarkEnd w:id="6707"/>
      <w:r>
        <w:rPr>
          <w:rFonts w:hint="cs"/>
          <w:rtl/>
        </w:rPr>
        <w:t xml:space="preserve">והם </w:t>
      </w:r>
      <w:bookmarkStart w:id="6708" w:name="_ETM_Q7_763020"/>
      <w:bookmarkEnd w:id="6708"/>
      <w:r>
        <w:rPr>
          <w:rFonts w:hint="cs"/>
          <w:rtl/>
        </w:rPr>
        <w:t xml:space="preserve">ואנחנו </w:t>
      </w:r>
      <w:bookmarkStart w:id="6709" w:name="_ETM_Q7_764100"/>
      <w:bookmarkEnd w:id="6709"/>
      <w:r>
        <w:rPr>
          <w:rFonts w:hint="cs"/>
          <w:rtl/>
        </w:rPr>
        <w:t xml:space="preserve">לא </w:t>
      </w:r>
      <w:bookmarkStart w:id="6710" w:name="_ETM_Q7_764699"/>
      <w:bookmarkEnd w:id="6710"/>
      <w:r>
        <w:rPr>
          <w:rFonts w:hint="cs"/>
          <w:rtl/>
        </w:rPr>
        <w:t xml:space="preserve">נפסיק, </w:t>
      </w:r>
      <w:bookmarkStart w:id="6711" w:name="_ETM_Q7_765740"/>
      <w:bookmarkEnd w:id="6711"/>
      <w:r>
        <w:rPr>
          <w:rFonts w:hint="cs"/>
          <w:rtl/>
        </w:rPr>
        <w:t xml:space="preserve">הם </w:t>
      </w:r>
      <w:bookmarkStart w:id="6712" w:name="_ETM_Q7_766130"/>
      <w:bookmarkEnd w:id="6712"/>
      <w:r>
        <w:rPr>
          <w:rFonts w:hint="cs"/>
          <w:rtl/>
        </w:rPr>
        <w:t xml:space="preserve">ואנחנו </w:t>
      </w:r>
      <w:bookmarkStart w:id="6713" w:name="_ETM_Q7_766850"/>
      <w:bookmarkEnd w:id="6713"/>
      <w:r>
        <w:rPr>
          <w:rFonts w:hint="cs"/>
          <w:rtl/>
        </w:rPr>
        <w:t xml:space="preserve">לא </w:t>
      </w:r>
      <w:bookmarkStart w:id="6714" w:name="_ETM_Q7_767090"/>
      <w:bookmarkEnd w:id="6714"/>
      <w:r>
        <w:rPr>
          <w:rFonts w:hint="cs"/>
          <w:rtl/>
        </w:rPr>
        <w:t xml:space="preserve">נוותר. </w:t>
      </w:r>
      <w:bookmarkStart w:id="6715" w:name="_ETM_Q7_768250"/>
      <w:bookmarkStart w:id="6716" w:name="TOR_Q8"/>
      <w:bookmarkEnd w:id="6715"/>
      <w:bookmarkEnd w:id="6716"/>
      <w:r>
        <w:rPr>
          <w:rFonts w:hint="cs"/>
          <w:rtl/>
        </w:rPr>
        <w:t>ככל שתענו ותגדפו אותנו ואותם, כך נרבה וכך נפרוץ, כי אנחנו והם רואים ומבינים את השקר. אנחנו רואים את השחיתות</w:t>
      </w:r>
      <w:bookmarkStart w:id="6717" w:name="_ETM_Q8_180000"/>
      <w:bookmarkStart w:id="6718" w:name="_ETM_Q8_183779"/>
      <w:bookmarkEnd w:id="6717"/>
      <w:bookmarkEnd w:id="6718"/>
      <w:r>
        <w:rPr>
          <w:rFonts w:hint="cs"/>
          <w:rtl/>
        </w:rPr>
        <w:t xml:space="preserve">. והמסכה </w:t>
      </w:r>
      <w:bookmarkStart w:id="6719" w:name="_ETM_Q8_184830"/>
      <w:bookmarkEnd w:id="6719"/>
      <w:r>
        <w:rPr>
          <w:rFonts w:hint="cs"/>
          <w:rtl/>
        </w:rPr>
        <w:t xml:space="preserve">שלכם – </w:t>
      </w:r>
      <w:bookmarkStart w:id="6720" w:name="_ETM_Q8_186089"/>
      <w:bookmarkEnd w:id="6720"/>
      <w:r>
        <w:rPr>
          <w:rFonts w:hint="cs"/>
          <w:rtl/>
        </w:rPr>
        <w:t xml:space="preserve">זו </w:t>
      </w:r>
      <w:bookmarkStart w:id="6721" w:name="_ETM_Q8_186420"/>
      <w:bookmarkEnd w:id="6721"/>
      <w:r>
        <w:rPr>
          <w:rFonts w:hint="cs"/>
          <w:rtl/>
        </w:rPr>
        <w:t xml:space="preserve">שניסיתם </w:t>
      </w:r>
      <w:bookmarkStart w:id="6722" w:name="_ETM_Q8_187259"/>
      <w:bookmarkEnd w:id="6722"/>
      <w:r>
        <w:rPr>
          <w:rFonts w:hint="cs"/>
          <w:rtl/>
        </w:rPr>
        <w:t xml:space="preserve">לעטוף בה את ההפיכה </w:t>
      </w:r>
      <w:bookmarkStart w:id="6723" w:name="_ETM_Q8_188309"/>
      <w:bookmarkStart w:id="6724" w:name="_ETM_Q8_188580"/>
      <w:bookmarkStart w:id="6725" w:name="_ETM_Q8_189240"/>
      <w:bookmarkEnd w:id="6723"/>
      <w:bookmarkEnd w:id="6724"/>
      <w:bookmarkEnd w:id="6725"/>
      <w:r>
        <w:rPr>
          <w:rFonts w:hint="cs"/>
          <w:rtl/>
        </w:rPr>
        <w:t xml:space="preserve">הזאת </w:t>
      </w:r>
      <w:bookmarkStart w:id="6726" w:name="_ETM_Q8_190070"/>
      <w:bookmarkEnd w:id="6726"/>
      <w:r>
        <w:rPr>
          <w:rFonts w:hint="cs"/>
          <w:rtl/>
        </w:rPr>
        <w:t xml:space="preserve">ואת החרפה </w:t>
      </w:r>
      <w:bookmarkStart w:id="6727" w:name="_ETM_Q8_190519"/>
      <w:bookmarkEnd w:id="6727"/>
      <w:r>
        <w:rPr>
          <w:rFonts w:hint="cs"/>
          <w:rtl/>
        </w:rPr>
        <w:t xml:space="preserve">של </w:t>
      </w:r>
      <w:bookmarkStart w:id="6728" w:name="_ETM_Q8_190990"/>
      <w:bookmarkEnd w:id="6728"/>
      <w:r>
        <w:rPr>
          <w:rFonts w:hint="cs"/>
          <w:rtl/>
        </w:rPr>
        <w:t xml:space="preserve">מה </w:t>
      </w:r>
      <w:bookmarkStart w:id="6729" w:name="_ETM_Q8_191380"/>
      <w:bookmarkStart w:id="6730" w:name="_ETM_Q8_191800"/>
      <w:bookmarkEnd w:id="6729"/>
      <w:bookmarkEnd w:id="6730"/>
      <w:r>
        <w:rPr>
          <w:rFonts w:hint="cs"/>
          <w:rtl/>
        </w:rPr>
        <w:t xml:space="preserve">שאתם </w:t>
      </w:r>
      <w:bookmarkStart w:id="6731" w:name="_ETM_Q8_192190"/>
      <w:bookmarkEnd w:id="6731"/>
      <w:r>
        <w:rPr>
          <w:rFonts w:hint="cs"/>
          <w:rtl/>
        </w:rPr>
        <w:t xml:space="preserve">מנסים </w:t>
      </w:r>
      <w:bookmarkStart w:id="6732" w:name="_ETM_Q8_192670"/>
      <w:bookmarkEnd w:id="6732"/>
      <w:r>
        <w:rPr>
          <w:rFonts w:hint="cs"/>
          <w:rtl/>
        </w:rPr>
        <w:t xml:space="preserve">לעשות </w:t>
      </w:r>
      <w:bookmarkStart w:id="6733" w:name="_ETM_Q8_193940"/>
      <w:bookmarkEnd w:id="6733"/>
      <w:r>
        <w:rPr>
          <w:rFonts w:hint="cs"/>
          <w:rtl/>
        </w:rPr>
        <w:t xml:space="preserve">– כבר </w:t>
      </w:r>
      <w:bookmarkStart w:id="6734" w:name="_ETM_Q8_194269"/>
      <w:bookmarkEnd w:id="6734"/>
      <w:r>
        <w:rPr>
          <w:rFonts w:hint="cs"/>
          <w:rtl/>
        </w:rPr>
        <w:t xml:space="preserve">מזמן </w:t>
      </w:r>
      <w:bookmarkStart w:id="6735" w:name="_ETM_Q8_195469"/>
      <w:bookmarkEnd w:id="6735"/>
      <w:r>
        <w:rPr>
          <w:rFonts w:hint="cs"/>
          <w:rtl/>
        </w:rPr>
        <w:t xml:space="preserve">היא </w:t>
      </w:r>
      <w:bookmarkStart w:id="6736" w:name="_ETM_Q8_195590"/>
      <w:bookmarkEnd w:id="6736"/>
      <w:r>
        <w:rPr>
          <w:rFonts w:hint="cs"/>
          <w:rtl/>
        </w:rPr>
        <w:t xml:space="preserve">נקרעה. </w:t>
      </w:r>
      <w:bookmarkStart w:id="6737" w:name="_ETM_Q8_199079"/>
      <w:bookmarkEnd w:id="6737"/>
    </w:p>
    <w:p w:rsidR="000C5C1F" w:rsidRDefault="000C5C1F" w:rsidP="000C5C1F">
      <w:pPr>
        <w:rPr>
          <w:rtl/>
        </w:rPr>
      </w:pPr>
    </w:p>
    <w:p w:rsidR="000C5C1F" w:rsidRDefault="000C5C1F" w:rsidP="000C5C1F">
      <w:pPr>
        <w:rPr>
          <w:rtl/>
        </w:rPr>
      </w:pPr>
      <w:r>
        <w:rPr>
          <w:rFonts w:hint="cs"/>
          <w:rtl/>
        </w:rPr>
        <w:t xml:space="preserve">אדוני </w:t>
      </w:r>
      <w:bookmarkStart w:id="6738" w:name="_ETM_Q8_199529"/>
      <w:bookmarkEnd w:id="6738"/>
      <w:r>
        <w:rPr>
          <w:rFonts w:hint="cs"/>
          <w:rtl/>
        </w:rPr>
        <w:t>היושב-ראש</w:t>
      </w:r>
      <w:bookmarkStart w:id="6739" w:name="_ETM_Q8_201550"/>
      <w:bookmarkEnd w:id="6739"/>
      <w:r>
        <w:rPr>
          <w:rFonts w:hint="cs"/>
          <w:rtl/>
        </w:rPr>
        <w:t xml:space="preserve">, לפני </w:t>
      </w:r>
      <w:bookmarkStart w:id="6740" w:name="_ETM_Q8_202090"/>
      <w:bookmarkEnd w:id="6740"/>
      <w:r>
        <w:rPr>
          <w:rFonts w:hint="cs"/>
          <w:rtl/>
        </w:rPr>
        <w:t xml:space="preserve">שבעה </w:t>
      </w:r>
      <w:bookmarkStart w:id="6741" w:name="_ETM_Q8_202630"/>
      <w:bookmarkEnd w:id="6741"/>
      <w:r>
        <w:rPr>
          <w:rFonts w:hint="cs"/>
          <w:rtl/>
        </w:rPr>
        <w:t xml:space="preserve">חודשים </w:t>
      </w:r>
      <w:bookmarkStart w:id="6742" w:name="_ETM_Q8_203320"/>
      <w:bookmarkEnd w:id="6742"/>
      <w:r>
        <w:rPr>
          <w:rFonts w:hint="cs"/>
          <w:rtl/>
        </w:rPr>
        <w:t xml:space="preserve">קמה </w:t>
      </w:r>
      <w:bookmarkStart w:id="6743" w:name="_ETM_Q8_203680"/>
      <w:bookmarkEnd w:id="6743"/>
      <w:r>
        <w:rPr>
          <w:rFonts w:hint="cs"/>
          <w:rtl/>
        </w:rPr>
        <w:t xml:space="preserve">פה </w:t>
      </w:r>
      <w:bookmarkStart w:id="6744" w:name="_ETM_Q8_203860"/>
      <w:bookmarkEnd w:id="6744"/>
      <w:r>
        <w:rPr>
          <w:rFonts w:hint="cs"/>
          <w:rtl/>
        </w:rPr>
        <w:t>ממשלה</w:t>
      </w:r>
      <w:bookmarkStart w:id="6745" w:name="_ETM_Q8_205349"/>
      <w:bookmarkEnd w:id="6745"/>
      <w:r>
        <w:rPr>
          <w:rFonts w:hint="cs"/>
          <w:rtl/>
        </w:rPr>
        <w:t xml:space="preserve">; ממשלה </w:t>
      </w:r>
      <w:bookmarkStart w:id="6746" w:name="_ETM_Q8_206010"/>
      <w:bookmarkEnd w:id="6746"/>
      <w:r>
        <w:rPr>
          <w:rFonts w:hint="cs"/>
          <w:rtl/>
        </w:rPr>
        <w:t xml:space="preserve">שנבחרה </w:t>
      </w:r>
      <w:bookmarkStart w:id="6747" w:name="_ETM_Q8_206820"/>
      <w:bookmarkEnd w:id="6747"/>
      <w:r>
        <w:rPr>
          <w:rFonts w:hint="cs"/>
          <w:rtl/>
        </w:rPr>
        <w:t xml:space="preserve">על </w:t>
      </w:r>
      <w:bookmarkStart w:id="6748" w:name="_ETM_Q8_208539"/>
      <w:bookmarkEnd w:id="6748"/>
      <w:r>
        <w:rPr>
          <w:rFonts w:hint="cs"/>
          <w:rtl/>
        </w:rPr>
        <w:t xml:space="preserve">בסיס </w:t>
      </w:r>
      <w:bookmarkStart w:id="6749" w:name="_ETM_Q8_207180"/>
      <w:bookmarkEnd w:id="6749"/>
      <w:r>
        <w:rPr>
          <w:rFonts w:hint="cs"/>
          <w:rtl/>
        </w:rPr>
        <w:t xml:space="preserve">הבטחות שהינה, מגיע </w:t>
      </w:r>
      <w:bookmarkStart w:id="6750" w:name="_ETM_Q8_207720"/>
      <w:bookmarkStart w:id="6751" w:name="_ETM_Q8_209050"/>
      <w:bookmarkEnd w:id="6750"/>
      <w:bookmarkEnd w:id="6751"/>
      <w:r>
        <w:rPr>
          <w:rFonts w:hint="cs"/>
          <w:rtl/>
        </w:rPr>
        <w:t xml:space="preserve">מר כלכלה, </w:t>
      </w:r>
      <w:bookmarkStart w:id="6752" w:name="_ETM_Q8_210769"/>
      <w:bookmarkEnd w:id="6752"/>
      <w:r>
        <w:rPr>
          <w:rFonts w:hint="cs"/>
          <w:rtl/>
        </w:rPr>
        <w:t xml:space="preserve">זו </w:t>
      </w:r>
      <w:bookmarkStart w:id="6753" w:name="_ETM_Q8_211099"/>
      <w:bookmarkEnd w:id="6753"/>
      <w:r>
        <w:rPr>
          <w:rFonts w:hint="cs"/>
          <w:rtl/>
        </w:rPr>
        <w:t xml:space="preserve">הממשלה </w:t>
      </w:r>
      <w:bookmarkStart w:id="6754" w:name="_ETM_Q8_211669"/>
      <w:bookmarkEnd w:id="6754"/>
      <w:r>
        <w:rPr>
          <w:rFonts w:hint="cs"/>
          <w:rtl/>
        </w:rPr>
        <w:t xml:space="preserve">שתטפל </w:t>
      </w:r>
      <w:bookmarkStart w:id="6755" w:name="_ETM_Q8_212360"/>
      <w:bookmarkEnd w:id="6755"/>
      <w:r>
        <w:rPr>
          <w:rFonts w:hint="cs"/>
          <w:rtl/>
        </w:rPr>
        <w:t xml:space="preserve">ביוקר </w:t>
      </w:r>
      <w:bookmarkStart w:id="6756" w:name="_ETM_Q8_212780"/>
      <w:bookmarkEnd w:id="6756"/>
      <w:r>
        <w:rPr>
          <w:rFonts w:hint="cs"/>
          <w:rtl/>
        </w:rPr>
        <w:t xml:space="preserve">המחיה, </w:t>
      </w:r>
      <w:bookmarkStart w:id="6757" w:name="_ETM_Q8_214229"/>
      <w:bookmarkEnd w:id="6757"/>
      <w:r>
        <w:rPr>
          <w:rFonts w:hint="cs"/>
          <w:rtl/>
        </w:rPr>
        <w:t xml:space="preserve">בביטחון </w:t>
      </w:r>
      <w:bookmarkStart w:id="6758" w:name="_ETM_Q8_215039"/>
      <w:bookmarkEnd w:id="6758"/>
      <w:r>
        <w:rPr>
          <w:rFonts w:hint="cs"/>
          <w:rtl/>
        </w:rPr>
        <w:t xml:space="preserve">האישי, </w:t>
      </w:r>
      <w:bookmarkStart w:id="6759" w:name="_ETM_Q8_216120"/>
      <w:bookmarkEnd w:id="6759"/>
      <w:r>
        <w:rPr>
          <w:rFonts w:hint="cs"/>
          <w:rtl/>
        </w:rPr>
        <w:t xml:space="preserve">ותביא </w:t>
      </w:r>
      <w:bookmarkStart w:id="6760" w:name="_ETM_Q8_216870"/>
      <w:bookmarkEnd w:id="6760"/>
      <w:r>
        <w:rPr>
          <w:rFonts w:hint="cs"/>
          <w:rtl/>
        </w:rPr>
        <w:t xml:space="preserve">הישגים </w:t>
      </w:r>
      <w:bookmarkStart w:id="6761" w:name="_ETM_Q8_217680"/>
      <w:bookmarkEnd w:id="6761"/>
      <w:r>
        <w:rPr>
          <w:rFonts w:hint="cs"/>
          <w:rtl/>
        </w:rPr>
        <w:t xml:space="preserve">– איך אוהב </w:t>
      </w:r>
      <w:bookmarkStart w:id="6762" w:name="_ETM_Q8_218039"/>
      <w:bookmarkEnd w:id="6762"/>
      <w:r>
        <w:rPr>
          <w:rFonts w:hint="cs"/>
          <w:rtl/>
        </w:rPr>
        <w:t xml:space="preserve">להגיד </w:t>
      </w:r>
      <w:bookmarkStart w:id="6763" w:name="_ETM_Q8_218460"/>
      <w:bookmarkEnd w:id="6763"/>
      <w:r>
        <w:rPr>
          <w:rFonts w:hint="cs"/>
          <w:rtl/>
        </w:rPr>
        <w:t xml:space="preserve">ראש </w:t>
      </w:r>
      <w:bookmarkStart w:id="6764" w:name="_ETM_Q8_218699"/>
      <w:bookmarkEnd w:id="6764"/>
      <w:r>
        <w:rPr>
          <w:rFonts w:hint="cs"/>
          <w:rtl/>
        </w:rPr>
        <w:t xml:space="preserve">הממשלה </w:t>
      </w:r>
      <w:bookmarkStart w:id="6765" w:name="_ETM_Q8_219269"/>
      <w:bookmarkEnd w:id="6765"/>
      <w:r>
        <w:rPr>
          <w:rFonts w:hint="cs"/>
          <w:rtl/>
        </w:rPr>
        <w:t xml:space="preserve">נתניהו </w:t>
      </w:r>
      <w:bookmarkStart w:id="6766" w:name="_ETM_Q8_220970"/>
      <w:bookmarkEnd w:id="6766"/>
      <w:r>
        <w:rPr>
          <w:rFonts w:hint="cs"/>
          <w:rtl/>
        </w:rPr>
        <w:t xml:space="preserve">– כבירים. </w:t>
      </w:r>
      <w:bookmarkStart w:id="6767" w:name="_ETM_Q8_222989"/>
      <w:bookmarkEnd w:id="6767"/>
      <w:r>
        <w:rPr>
          <w:rFonts w:hint="cs"/>
          <w:rtl/>
        </w:rPr>
        <w:t xml:space="preserve">ומאז, </w:t>
      </w:r>
      <w:bookmarkStart w:id="6768" w:name="_ETM_Q8_225229"/>
      <w:bookmarkEnd w:id="6768"/>
      <w:r>
        <w:rPr>
          <w:rFonts w:hint="cs"/>
          <w:rtl/>
        </w:rPr>
        <w:t xml:space="preserve">מי </w:t>
      </w:r>
      <w:bookmarkStart w:id="6769" w:name="_ETM_Q8_225550"/>
      <w:bookmarkEnd w:id="6769"/>
      <w:r>
        <w:rPr>
          <w:rFonts w:hint="cs"/>
          <w:rtl/>
        </w:rPr>
        <w:t xml:space="preserve">היה </w:t>
      </w:r>
      <w:bookmarkStart w:id="6770" w:name="_ETM_Q8_225850"/>
      <w:bookmarkEnd w:id="6770"/>
      <w:r>
        <w:rPr>
          <w:rFonts w:hint="cs"/>
          <w:rtl/>
        </w:rPr>
        <w:t xml:space="preserve">מאמין </w:t>
      </w:r>
      <w:bookmarkStart w:id="6771" w:name="_ETM_Q8_226390"/>
      <w:bookmarkEnd w:id="6771"/>
      <w:r>
        <w:rPr>
          <w:rFonts w:hint="cs"/>
          <w:rtl/>
        </w:rPr>
        <w:t xml:space="preserve">שעברו </w:t>
      </w:r>
      <w:bookmarkStart w:id="6772" w:name="_ETM_Q8_226899"/>
      <w:bookmarkEnd w:id="6772"/>
      <w:r>
        <w:rPr>
          <w:rFonts w:hint="cs"/>
          <w:rtl/>
        </w:rPr>
        <w:t xml:space="preserve">רק </w:t>
      </w:r>
      <w:bookmarkStart w:id="6773" w:name="_ETM_Q8_227110"/>
      <w:bookmarkEnd w:id="6773"/>
      <w:r>
        <w:rPr>
          <w:rFonts w:hint="cs"/>
          <w:rtl/>
        </w:rPr>
        <w:t xml:space="preserve">שבעה </w:t>
      </w:r>
      <w:bookmarkStart w:id="6774" w:name="_ETM_Q8_227530"/>
      <w:bookmarkEnd w:id="6774"/>
      <w:r>
        <w:rPr>
          <w:rFonts w:hint="cs"/>
          <w:rtl/>
        </w:rPr>
        <w:t xml:space="preserve">חודשים? </w:t>
      </w:r>
      <w:bookmarkStart w:id="6775" w:name="_ETM_Q8_229020"/>
      <w:bookmarkEnd w:id="6775"/>
      <w:r>
        <w:rPr>
          <w:rFonts w:hint="cs"/>
          <w:rtl/>
        </w:rPr>
        <w:t xml:space="preserve">המדינה </w:t>
      </w:r>
      <w:bookmarkStart w:id="6776" w:name="_ETM_Q8_229740"/>
      <w:bookmarkEnd w:id="6776"/>
      <w:r>
        <w:rPr>
          <w:rFonts w:hint="cs"/>
          <w:rtl/>
        </w:rPr>
        <w:t xml:space="preserve">שלנו </w:t>
      </w:r>
      <w:bookmarkStart w:id="6777" w:name="_ETM_Q8_230250"/>
      <w:bookmarkEnd w:id="6777"/>
      <w:r>
        <w:rPr>
          <w:rFonts w:hint="cs"/>
          <w:rtl/>
        </w:rPr>
        <w:t xml:space="preserve">בוערת. </w:t>
      </w:r>
      <w:bookmarkStart w:id="6778" w:name="_ETM_Q8_231839"/>
      <w:bookmarkEnd w:id="6778"/>
      <w:r>
        <w:rPr>
          <w:rFonts w:hint="cs"/>
          <w:rtl/>
        </w:rPr>
        <w:t xml:space="preserve">פשוט </w:t>
      </w:r>
      <w:bookmarkStart w:id="6779" w:name="_ETM_Q8_232409"/>
      <w:bookmarkEnd w:id="6779"/>
      <w:r>
        <w:rPr>
          <w:rFonts w:hint="cs"/>
          <w:rtl/>
        </w:rPr>
        <w:t xml:space="preserve">בוערת. </w:t>
      </w:r>
      <w:bookmarkStart w:id="6780" w:name="_ETM_Q8_234399"/>
      <w:bookmarkEnd w:id="6780"/>
      <w:r>
        <w:rPr>
          <w:rFonts w:hint="cs"/>
          <w:rtl/>
        </w:rPr>
        <w:t xml:space="preserve">הרסתם </w:t>
      </w:r>
      <w:bookmarkStart w:id="6781" w:name="_ETM_Q8_235059"/>
      <w:bookmarkEnd w:id="6781"/>
      <w:r>
        <w:rPr>
          <w:rFonts w:hint="cs"/>
          <w:rtl/>
        </w:rPr>
        <w:t xml:space="preserve">את </w:t>
      </w:r>
      <w:bookmarkStart w:id="6782" w:name="_ETM_Q8_235239"/>
      <w:bookmarkEnd w:id="6782"/>
      <w:r>
        <w:rPr>
          <w:rFonts w:hint="cs"/>
          <w:rtl/>
        </w:rPr>
        <w:t xml:space="preserve">המדינה, </w:t>
      </w:r>
      <w:bookmarkStart w:id="6783" w:name="_ETM_Q8_236700"/>
      <w:bookmarkEnd w:id="6783"/>
      <w:r>
        <w:rPr>
          <w:rFonts w:hint="cs"/>
          <w:rtl/>
        </w:rPr>
        <w:t xml:space="preserve">הרסתם </w:t>
      </w:r>
      <w:bookmarkStart w:id="6784" w:name="_ETM_Q8_237540"/>
      <w:bookmarkEnd w:id="6784"/>
      <w:r>
        <w:rPr>
          <w:rFonts w:hint="cs"/>
          <w:rtl/>
        </w:rPr>
        <w:t xml:space="preserve">את </w:t>
      </w:r>
      <w:bookmarkStart w:id="6785" w:name="_ETM_Q8_237690"/>
      <w:bookmarkEnd w:id="6785"/>
      <w:r>
        <w:rPr>
          <w:rFonts w:hint="cs"/>
          <w:rtl/>
        </w:rPr>
        <w:t xml:space="preserve">החברה. </w:t>
      </w:r>
      <w:bookmarkStart w:id="6786" w:name="_ETM_Q8_246079"/>
      <w:bookmarkEnd w:id="6786"/>
      <w:r>
        <w:rPr>
          <w:rFonts w:hint="cs"/>
          <w:rtl/>
        </w:rPr>
        <w:t xml:space="preserve">מאומת </w:t>
      </w:r>
      <w:bookmarkStart w:id="6787" w:name="_ETM_Q8_246810"/>
      <w:bookmarkEnd w:id="6787"/>
      <w:r>
        <w:rPr>
          <w:rFonts w:hint="cs"/>
          <w:rtl/>
        </w:rPr>
        <w:t xml:space="preserve">ההייטק </w:t>
      </w:r>
      <w:bookmarkStart w:id="6788" w:name="_ETM_Q8_247880"/>
      <w:bookmarkEnd w:id="6788"/>
      <w:r>
        <w:rPr>
          <w:rFonts w:hint="cs"/>
          <w:rtl/>
        </w:rPr>
        <w:t xml:space="preserve">הפכנו </w:t>
      </w:r>
      <w:bookmarkStart w:id="6789" w:name="_ETM_Q8_248420"/>
      <w:bookmarkEnd w:id="6789"/>
      <w:r>
        <w:rPr>
          <w:rFonts w:hint="cs"/>
          <w:rtl/>
        </w:rPr>
        <w:t xml:space="preserve">למדינה </w:t>
      </w:r>
      <w:bookmarkStart w:id="6790" w:name="_ETM_Q8_248900"/>
      <w:bookmarkEnd w:id="6790"/>
      <w:r>
        <w:rPr>
          <w:rFonts w:hint="cs"/>
          <w:rtl/>
        </w:rPr>
        <w:t xml:space="preserve">מצורעת </w:t>
      </w:r>
      <w:bookmarkStart w:id="6791" w:name="_ETM_Q8_249800"/>
      <w:bookmarkEnd w:id="6791"/>
      <w:r>
        <w:rPr>
          <w:rFonts w:hint="cs"/>
          <w:rtl/>
        </w:rPr>
        <w:t xml:space="preserve">בעולם. </w:t>
      </w:r>
      <w:bookmarkStart w:id="6792" w:name="_ETM_Q8_251330"/>
      <w:bookmarkStart w:id="6793" w:name="_ETM_Q8_251450"/>
      <w:bookmarkEnd w:id="6792"/>
      <w:bookmarkEnd w:id="6793"/>
      <w:r>
        <w:rPr>
          <w:rFonts w:hint="cs"/>
          <w:rtl/>
        </w:rPr>
        <w:t xml:space="preserve">ריסקתם </w:t>
      </w:r>
      <w:bookmarkStart w:id="6794" w:name="_ETM_Q8_252290"/>
      <w:bookmarkEnd w:id="6794"/>
      <w:r>
        <w:rPr>
          <w:rFonts w:hint="cs"/>
          <w:rtl/>
        </w:rPr>
        <w:t xml:space="preserve">את </w:t>
      </w:r>
      <w:bookmarkStart w:id="6795" w:name="_ETM_Q8_252440"/>
      <w:bookmarkEnd w:id="6795"/>
      <w:r>
        <w:rPr>
          <w:rFonts w:hint="cs"/>
          <w:rtl/>
        </w:rPr>
        <w:t>החברה</w:t>
      </w:r>
      <w:bookmarkStart w:id="6796" w:name="_ETM_Q8_253659"/>
      <w:bookmarkEnd w:id="6796"/>
      <w:r>
        <w:rPr>
          <w:rFonts w:hint="cs"/>
          <w:rtl/>
        </w:rPr>
        <w:t>. ואני מסתכלת ולא מאמינה. אני לא מאמינה.</w:t>
      </w:r>
      <w:bookmarkStart w:id="6797" w:name="_ETM_Q8_266770"/>
      <w:bookmarkEnd w:id="6797"/>
      <w:r>
        <w:rPr>
          <w:rFonts w:hint="cs"/>
          <w:rtl/>
        </w:rPr>
        <w:t xml:space="preserve"> שרים ששנאתם אומנותם</w:t>
      </w:r>
      <w:bookmarkStart w:id="6798" w:name="_ETM_Q8_268600"/>
      <w:bookmarkEnd w:id="6798"/>
      <w:r>
        <w:rPr>
          <w:rFonts w:hint="cs"/>
          <w:rtl/>
        </w:rPr>
        <w:t xml:space="preserve">; ראש </w:t>
      </w:r>
      <w:bookmarkStart w:id="6799" w:name="_ETM_Q8_269020"/>
      <w:bookmarkEnd w:id="6799"/>
      <w:r>
        <w:rPr>
          <w:rFonts w:hint="cs"/>
          <w:rtl/>
        </w:rPr>
        <w:t xml:space="preserve">ממשלה </w:t>
      </w:r>
      <w:bookmarkStart w:id="6800" w:name="_ETM_Q8_269650"/>
      <w:bookmarkEnd w:id="6800"/>
      <w:r>
        <w:rPr>
          <w:rFonts w:hint="cs"/>
          <w:rtl/>
        </w:rPr>
        <w:t xml:space="preserve">שלא </w:t>
      </w:r>
      <w:bookmarkStart w:id="6801" w:name="_ETM_Q8_269980"/>
      <w:bookmarkEnd w:id="6801"/>
      <w:r>
        <w:rPr>
          <w:rFonts w:hint="cs"/>
          <w:rtl/>
        </w:rPr>
        <w:t xml:space="preserve">מפסיק </w:t>
      </w:r>
      <w:bookmarkStart w:id="6802" w:name="_ETM_Q8_270520"/>
      <w:bookmarkEnd w:id="6802"/>
      <w:r>
        <w:rPr>
          <w:rFonts w:hint="cs"/>
          <w:rtl/>
        </w:rPr>
        <w:t xml:space="preserve">לשקר; </w:t>
      </w:r>
      <w:bookmarkStart w:id="6803" w:name="_ETM_Q8_272060"/>
      <w:bookmarkEnd w:id="6803"/>
      <w:r>
        <w:rPr>
          <w:rFonts w:hint="cs"/>
          <w:rtl/>
        </w:rPr>
        <w:t xml:space="preserve">מחוקקים </w:t>
      </w:r>
      <w:bookmarkStart w:id="6804" w:name="_ETM_Q8_272869"/>
      <w:bookmarkEnd w:id="6804"/>
      <w:r>
        <w:rPr>
          <w:rFonts w:hint="cs"/>
          <w:rtl/>
        </w:rPr>
        <w:t xml:space="preserve">חוקים </w:t>
      </w:r>
      <w:bookmarkStart w:id="6805" w:name="_ETM_Q8_273920"/>
      <w:bookmarkEnd w:id="6805"/>
      <w:r>
        <w:rPr>
          <w:rFonts w:hint="cs"/>
          <w:rtl/>
        </w:rPr>
        <w:t xml:space="preserve">כדי </w:t>
      </w:r>
      <w:bookmarkStart w:id="6806" w:name="_ETM_Q8_274370"/>
      <w:bookmarkEnd w:id="6806"/>
      <w:r>
        <w:rPr>
          <w:rFonts w:hint="cs"/>
          <w:rtl/>
        </w:rPr>
        <w:t xml:space="preserve">להחליש </w:t>
      </w:r>
      <w:bookmarkStart w:id="6807" w:name="_ETM_Q8_275000"/>
      <w:bookmarkEnd w:id="6807"/>
      <w:r>
        <w:rPr>
          <w:rFonts w:hint="cs"/>
          <w:rtl/>
        </w:rPr>
        <w:t xml:space="preserve">את </w:t>
      </w:r>
      <w:bookmarkStart w:id="6808" w:name="_ETM_Q8_275120"/>
      <w:bookmarkEnd w:id="6808"/>
      <w:r>
        <w:rPr>
          <w:rFonts w:hint="cs"/>
          <w:rtl/>
        </w:rPr>
        <w:t xml:space="preserve">המערכת </w:t>
      </w:r>
      <w:bookmarkStart w:id="6809" w:name="_ETM_Q8_275780"/>
      <w:bookmarkEnd w:id="6809"/>
      <w:r>
        <w:rPr>
          <w:rFonts w:hint="cs"/>
          <w:rtl/>
        </w:rPr>
        <w:t>של החוק</w:t>
      </w:r>
      <w:bookmarkStart w:id="6810" w:name="_ETM_Q8_276890"/>
      <w:bookmarkEnd w:id="6810"/>
      <w:r>
        <w:rPr>
          <w:rFonts w:hint="cs"/>
          <w:rtl/>
        </w:rPr>
        <w:t xml:space="preserve">, כי </w:t>
      </w:r>
      <w:bookmarkStart w:id="6811" w:name="_ETM_Q8_277040"/>
      <w:bookmarkEnd w:id="6811"/>
      <w:r>
        <w:rPr>
          <w:rFonts w:hint="cs"/>
          <w:rtl/>
        </w:rPr>
        <w:t xml:space="preserve">חלקם </w:t>
      </w:r>
      <w:bookmarkStart w:id="6812" w:name="_ETM_Q8_277490"/>
      <w:bookmarkEnd w:id="6812"/>
      <w:r>
        <w:rPr>
          <w:rFonts w:hint="cs"/>
          <w:rtl/>
        </w:rPr>
        <w:t xml:space="preserve">חשודים </w:t>
      </w:r>
      <w:bookmarkStart w:id="6813" w:name="_ETM_Q8_278060"/>
      <w:bookmarkEnd w:id="6813"/>
      <w:r>
        <w:rPr>
          <w:rFonts w:hint="cs"/>
          <w:rtl/>
        </w:rPr>
        <w:t>בעבירות</w:t>
      </w:r>
      <w:bookmarkStart w:id="6814" w:name="_ETM_Q8_279490"/>
      <w:bookmarkEnd w:id="6814"/>
      <w:r>
        <w:rPr>
          <w:rFonts w:hint="cs"/>
          <w:rtl/>
        </w:rPr>
        <w:t>; פירו</w:t>
      </w:r>
      <w:bookmarkStart w:id="6815" w:name="_ETM_Q8_279880"/>
      <w:bookmarkEnd w:id="6815"/>
      <w:r>
        <w:rPr>
          <w:rFonts w:hint="cs"/>
          <w:rtl/>
        </w:rPr>
        <w:t xml:space="preserve">מנים, </w:t>
      </w:r>
      <w:bookmarkStart w:id="6816" w:name="_ETM_Q8_281170"/>
      <w:bookmarkEnd w:id="6816"/>
      <w:r>
        <w:rPr>
          <w:rFonts w:hint="cs"/>
          <w:rtl/>
        </w:rPr>
        <w:t xml:space="preserve">מסיתים </w:t>
      </w:r>
      <w:bookmarkStart w:id="6817" w:name="_ETM_Q8_281979"/>
      <w:bookmarkEnd w:id="6817"/>
      <w:r>
        <w:rPr>
          <w:rFonts w:hint="cs"/>
          <w:rtl/>
        </w:rPr>
        <w:t xml:space="preserve">איש </w:t>
      </w:r>
      <w:bookmarkStart w:id="6818" w:name="_ETM_Q8_282520"/>
      <w:bookmarkEnd w:id="6818"/>
      <w:r>
        <w:rPr>
          <w:rFonts w:hint="cs"/>
          <w:rtl/>
        </w:rPr>
        <w:t xml:space="preserve">באחיו. </w:t>
      </w:r>
      <w:bookmarkStart w:id="6819" w:name="_ETM_Q8_284040"/>
      <w:bookmarkEnd w:id="6819"/>
      <w:r>
        <w:rPr>
          <w:rFonts w:hint="cs"/>
          <w:rtl/>
        </w:rPr>
        <w:t xml:space="preserve">חורבן </w:t>
      </w:r>
      <w:bookmarkStart w:id="6820" w:name="_ETM_Q8_284670"/>
      <w:bookmarkEnd w:id="6820"/>
      <w:r>
        <w:rPr>
          <w:rFonts w:hint="cs"/>
          <w:rtl/>
        </w:rPr>
        <w:t xml:space="preserve">כזה </w:t>
      </w:r>
      <w:bookmarkStart w:id="6821" w:name="_ETM_Q8_285090"/>
      <w:bookmarkEnd w:id="6821"/>
      <w:r>
        <w:rPr>
          <w:rFonts w:hint="cs"/>
          <w:rtl/>
        </w:rPr>
        <w:t xml:space="preserve">לא </w:t>
      </w:r>
      <w:bookmarkStart w:id="6822" w:name="_ETM_Q8_285299"/>
      <w:bookmarkEnd w:id="6822"/>
      <w:r>
        <w:rPr>
          <w:rFonts w:hint="cs"/>
          <w:rtl/>
        </w:rPr>
        <w:t xml:space="preserve">היה </w:t>
      </w:r>
      <w:bookmarkStart w:id="6823" w:name="_ETM_Q8_285540"/>
      <w:bookmarkEnd w:id="6823"/>
      <w:r>
        <w:rPr>
          <w:rFonts w:hint="cs"/>
          <w:rtl/>
        </w:rPr>
        <w:t xml:space="preserve">מאז </w:t>
      </w:r>
      <w:bookmarkStart w:id="6824" w:name="_ETM_Q8_285899"/>
      <w:bookmarkEnd w:id="6824"/>
      <w:r>
        <w:rPr>
          <w:rFonts w:hint="cs"/>
          <w:rtl/>
        </w:rPr>
        <w:t xml:space="preserve">חורבן </w:t>
      </w:r>
      <w:bookmarkStart w:id="6825" w:name="_ETM_Q8_286439"/>
      <w:bookmarkEnd w:id="6825"/>
      <w:r>
        <w:rPr>
          <w:rFonts w:hint="cs"/>
          <w:rtl/>
        </w:rPr>
        <w:t xml:space="preserve">הבית. </w:t>
      </w:r>
      <w:bookmarkStart w:id="6826" w:name="_ETM_Q8_287759"/>
      <w:bookmarkEnd w:id="6826"/>
    </w:p>
    <w:p w:rsidR="000C5C1F" w:rsidRDefault="000C5C1F" w:rsidP="000C5C1F">
      <w:pPr>
        <w:rPr>
          <w:rtl/>
        </w:rPr>
      </w:pPr>
      <w:bookmarkStart w:id="6827" w:name="_ETM_Q8_297268"/>
      <w:bookmarkStart w:id="6828" w:name="_ETM_Q8_297357"/>
      <w:bookmarkEnd w:id="6827"/>
      <w:bookmarkEnd w:id="6828"/>
    </w:p>
    <w:p w:rsidR="000C5C1F" w:rsidRDefault="000C5C1F" w:rsidP="000C5C1F">
      <w:pPr>
        <w:rPr>
          <w:rtl/>
        </w:rPr>
      </w:pPr>
      <w:bookmarkStart w:id="6829" w:name="_ETM_Q8_297382"/>
      <w:bookmarkStart w:id="6830" w:name="_ETM_Q8_297445"/>
      <w:bookmarkEnd w:id="6829"/>
      <w:bookmarkEnd w:id="6830"/>
      <w:r>
        <w:rPr>
          <w:rFonts w:hint="cs"/>
          <w:rtl/>
        </w:rPr>
        <w:t xml:space="preserve">ואותי </w:t>
      </w:r>
      <w:bookmarkStart w:id="6831" w:name="_ETM_Q8_288420"/>
      <w:bookmarkEnd w:id="6831"/>
      <w:r>
        <w:rPr>
          <w:rFonts w:hint="cs"/>
          <w:rtl/>
        </w:rPr>
        <w:t xml:space="preserve">מצמררת </w:t>
      </w:r>
      <w:bookmarkStart w:id="6832" w:name="_ETM_Q8_289350"/>
      <w:bookmarkEnd w:id="6832"/>
      <w:r>
        <w:rPr>
          <w:rFonts w:hint="cs"/>
          <w:rtl/>
        </w:rPr>
        <w:t xml:space="preserve">העובדה </w:t>
      </w:r>
      <w:bookmarkStart w:id="6833" w:name="_ETM_Q8_289829"/>
      <w:bookmarkEnd w:id="6833"/>
      <w:r>
        <w:rPr>
          <w:rFonts w:hint="cs"/>
          <w:rtl/>
        </w:rPr>
        <w:t xml:space="preserve">שכל </w:t>
      </w:r>
      <w:bookmarkStart w:id="6834" w:name="_ETM_Q8_290280"/>
      <w:bookmarkEnd w:id="6834"/>
      <w:r>
        <w:rPr>
          <w:rFonts w:hint="cs"/>
          <w:rtl/>
        </w:rPr>
        <w:t xml:space="preserve">האירועים </w:t>
      </w:r>
      <w:bookmarkStart w:id="6835" w:name="_ETM_Q8_290850"/>
      <w:bookmarkEnd w:id="6835"/>
      <w:r>
        <w:rPr>
          <w:rFonts w:hint="cs"/>
          <w:rtl/>
        </w:rPr>
        <w:t xml:space="preserve">האלה </w:t>
      </w:r>
      <w:bookmarkStart w:id="6836" w:name="_ETM_Q8_291090"/>
      <w:bookmarkEnd w:id="6836"/>
      <w:r>
        <w:rPr>
          <w:rFonts w:hint="cs"/>
          <w:rtl/>
        </w:rPr>
        <w:t xml:space="preserve">שאנחנו </w:t>
      </w:r>
      <w:bookmarkStart w:id="6837" w:name="_ETM_Q8_291570"/>
      <w:bookmarkEnd w:id="6837"/>
      <w:r>
        <w:rPr>
          <w:rFonts w:hint="cs"/>
          <w:rtl/>
        </w:rPr>
        <w:t xml:space="preserve">חווים </w:t>
      </w:r>
      <w:bookmarkStart w:id="6838" w:name="_ETM_Q8_292439"/>
      <w:bookmarkEnd w:id="6838"/>
      <w:r>
        <w:rPr>
          <w:rFonts w:hint="cs"/>
          <w:rtl/>
        </w:rPr>
        <w:t xml:space="preserve">מגיעים </w:t>
      </w:r>
      <w:bookmarkStart w:id="6839" w:name="_ETM_Q8_292950"/>
      <w:bookmarkEnd w:id="6839"/>
      <w:r>
        <w:rPr>
          <w:rFonts w:hint="cs"/>
          <w:rtl/>
        </w:rPr>
        <w:t xml:space="preserve">לשיא </w:t>
      </w:r>
      <w:bookmarkStart w:id="6840" w:name="_ETM_Q8_294030"/>
      <w:bookmarkEnd w:id="6840"/>
      <w:r>
        <w:rPr>
          <w:rFonts w:hint="cs"/>
          <w:rtl/>
        </w:rPr>
        <w:t xml:space="preserve">בחקיקה </w:t>
      </w:r>
      <w:bookmarkStart w:id="6841" w:name="_ETM_Q8_294780"/>
      <w:bookmarkEnd w:id="6841"/>
      <w:r>
        <w:rPr>
          <w:rFonts w:hint="cs"/>
          <w:rtl/>
        </w:rPr>
        <w:t xml:space="preserve">מושחתת </w:t>
      </w:r>
      <w:bookmarkStart w:id="6842" w:name="_ETM_Q8_295590"/>
      <w:bookmarkEnd w:id="6842"/>
      <w:r>
        <w:rPr>
          <w:rFonts w:hint="cs"/>
          <w:rtl/>
        </w:rPr>
        <w:t xml:space="preserve">דווקא </w:t>
      </w:r>
      <w:bookmarkStart w:id="6843" w:name="_ETM_Q8_296220"/>
      <w:bookmarkEnd w:id="6843"/>
      <w:r>
        <w:rPr>
          <w:rFonts w:hint="cs"/>
          <w:rtl/>
        </w:rPr>
        <w:t>השבוע</w:t>
      </w:r>
      <w:bookmarkStart w:id="6844" w:name="_ETM_Q8_297499"/>
      <w:bookmarkEnd w:id="6844"/>
      <w:r>
        <w:rPr>
          <w:rFonts w:hint="cs"/>
          <w:rtl/>
        </w:rPr>
        <w:t xml:space="preserve"> – השבוע </w:t>
      </w:r>
      <w:bookmarkStart w:id="6845" w:name="_ETM_Q8_298100"/>
      <w:bookmarkEnd w:id="6845"/>
      <w:r>
        <w:rPr>
          <w:rFonts w:hint="cs"/>
          <w:rtl/>
        </w:rPr>
        <w:t xml:space="preserve">שבו </w:t>
      </w:r>
      <w:bookmarkStart w:id="6846" w:name="_ETM_Q8_298520"/>
      <w:bookmarkEnd w:id="6846"/>
      <w:r>
        <w:rPr>
          <w:rFonts w:hint="cs"/>
          <w:rtl/>
        </w:rPr>
        <w:t xml:space="preserve">חל </w:t>
      </w:r>
      <w:bookmarkStart w:id="6847" w:name="_ETM_Q8_298819"/>
      <w:bookmarkStart w:id="6848" w:name="_ETM_Q8_300380"/>
      <w:bookmarkEnd w:id="6847"/>
      <w:bookmarkEnd w:id="6848"/>
      <w:r>
        <w:rPr>
          <w:rFonts w:hint="cs"/>
          <w:rtl/>
        </w:rPr>
        <w:t xml:space="preserve">תשעה באב ונחרב </w:t>
      </w:r>
      <w:bookmarkStart w:id="6849" w:name="_ETM_Q8_301219"/>
      <w:bookmarkEnd w:id="6849"/>
      <w:r>
        <w:rPr>
          <w:rFonts w:hint="cs"/>
          <w:rtl/>
        </w:rPr>
        <w:t xml:space="preserve">הבית </w:t>
      </w:r>
      <w:bookmarkStart w:id="6850" w:name="_ETM_Q8_301639"/>
      <w:bookmarkEnd w:id="6850"/>
      <w:r>
        <w:rPr>
          <w:rFonts w:hint="cs"/>
          <w:rtl/>
        </w:rPr>
        <w:t xml:space="preserve">השני </w:t>
      </w:r>
      <w:bookmarkStart w:id="6851" w:name="_ETM_Q8_302179"/>
      <w:bookmarkEnd w:id="6851"/>
      <w:r>
        <w:rPr>
          <w:rFonts w:hint="cs"/>
          <w:rtl/>
        </w:rPr>
        <w:t xml:space="preserve">בשל </w:t>
      </w:r>
      <w:bookmarkStart w:id="6852" w:name="_ETM_Q8_302539"/>
      <w:bookmarkEnd w:id="6852"/>
      <w:r>
        <w:rPr>
          <w:rFonts w:hint="cs"/>
          <w:rtl/>
        </w:rPr>
        <w:t xml:space="preserve">שנאת </w:t>
      </w:r>
      <w:bookmarkStart w:id="6853" w:name="_ETM_Q8_303079"/>
      <w:bookmarkEnd w:id="6853"/>
      <w:r>
        <w:rPr>
          <w:rFonts w:hint="cs"/>
          <w:rtl/>
        </w:rPr>
        <w:t>חינם</w:t>
      </w:r>
      <w:bookmarkStart w:id="6854" w:name="_ETM_Q8_306560"/>
      <w:bookmarkEnd w:id="6854"/>
      <w:r>
        <w:rPr>
          <w:rFonts w:hint="cs"/>
          <w:rtl/>
        </w:rPr>
        <w:t xml:space="preserve">. וכמו </w:t>
      </w:r>
      <w:bookmarkStart w:id="6855" w:name="_ETM_Q8_307159"/>
      <w:bookmarkEnd w:id="6855"/>
      <w:r>
        <w:rPr>
          <w:rFonts w:hint="cs"/>
          <w:rtl/>
        </w:rPr>
        <w:t xml:space="preserve">בסרט </w:t>
      </w:r>
      <w:bookmarkStart w:id="6856" w:name="_ETM_Q8_307759"/>
      <w:bookmarkEnd w:id="6856"/>
      <w:r>
        <w:rPr>
          <w:rFonts w:hint="cs"/>
          <w:rtl/>
        </w:rPr>
        <w:t xml:space="preserve">רע, </w:t>
      </w:r>
      <w:bookmarkStart w:id="6857" w:name="_ETM_Q8_309139"/>
      <w:bookmarkEnd w:id="6857"/>
      <w:r>
        <w:rPr>
          <w:rFonts w:hint="cs"/>
          <w:rtl/>
        </w:rPr>
        <w:t xml:space="preserve">כל </w:t>
      </w:r>
      <w:bookmarkStart w:id="6858" w:name="_ETM_Q8_309530"/>
      <w:bookmarkEnd w:id="6858"/>
      <w:r>
        <w:rPr>
          <w:rFonts w:hint="cs"/>
          <w:rtl/>
        </w:rPr>
        <w:t xml:space="preserve">יום </w:t>
      </w:r>
      <w:bookmarkStart w:id="6859" w:name="_ETM_Q8_309950"/>
      <w:bookmarkEnd w:id="6859"/>
      <w:r>
        <w:rPr>
          <w:rFonts w:hint="cs"/>
          <w:rtl/>
        </w:rPr>
        <w:t xml:space="preserve">קם </w:t>
      </w:r>
      <w:bookmarkStart w:id="6860" w:name="_ETM_Q8_310280"/>
      <w:bookmarkEnd w:id="6860"/>
      <w:r>
        <w:rPr>
          <w:rFonts w:hint="cs"/>
          <w:rtl/>
        </w:rPr>
        <w:t xml:space="preserve">ציבור </w:t>
      </w:r>
      <w:bookmarkStart w:id="6861" w:name="_ETM_Q8_310760"/>
      <w:bookmarkEnd w:id="6861"/>
      <w:r>
        <w:rPr>
          <w:rFonts w:hint="cs"/>
          <w:rtl/>
        </w:rPr>
        <w:t xml:space="preserve">אחר </w:t>
      </w:r>
      <w:bookmarkStart w:id="6862" w:name="_ETM_Q8_311090"/>
      <w:bookmarkEnd w:id="6862"/>
      <w:r>
        <w:rPr>
          <w:rFonts w:hint="cs"/>
          <w:rtl/>
        </w:rPr>
        <w:t xml:space="preserve">במדינת </w:t>
      </w:r>
      <w:bookmarkStart w:id="6863" w:name="_ETM_Q8_311690"/>
      <w:bookmarkEnd w:id="6863"/>
      <w:r>
        <w:rPr>
          <w:rFonts w:hint="cs"/>
          <w:rtl/>
        </w:rPr>
        <w:t xml:space="preserve">ישראל </w:t>
      </w:r>
      <w:bookmarkStart w:id="6864" w:name="_ETM_Q8_312139"/>
      <w:bookmarkEnd w:id="6864"/>
      <w:r>
        <w:rPr>
          <w:rFonts w:hint="cs"/>
          <w:rtl/>
        </w:rPr>
        <w:t xml:space="preserve">שמגדפים </w:t>
      </w:r>
      <w:bookmarkStart w:id="6865" w:name="_ETM_Q8_313100"/>
      <w:bookmarkEnd w:id="6865"/>
      <w:r>
        <w:rPr>
          <w:rFonts w:hint="cs"/>
          <w:rtl/>
        </w:rPr>
        <w:t xml:space="preserve">אותו, </w:t>
      </w:r>
      <w:bookmarkStart w:id="6866" w:name="_ETM_Q8_314050"/>
      <w:bookmarkEnd w:id="6866"/>
      <w:r>
        <w:rPr>
          <w:rFonts w:hint="cs"/>
          <w:rtl/>
        </w:rPr>
        <w:t xml:space="preserve">או </w:t>
      </w:r>
      <w:bookmarkStart w:id="6867" w:name="_ETM_Q8_314230"/>
      <w:bookmarkEnd w:id="6867"/>
      <w:r>
        <w:rPr>
          <w:rFonts w:hint="cs"/>
          <w:rtl/>
        </w:rPr>
        <w:t xml:space="preserve">שהשרים </w:t>
      </w:r>
      <w:bookmarkStart w:id="6868" w:name="_ETM_Q8_314830"/>
      <w:bookmarkEnd w:id="6868"/>
      <w:r>
        <w:rPr>
          <w:rFonts w:hint="cs"/>
          <w:rtl/>
        </w:rPr>
        <w:t xml:space="preserve">והממשלה </w:t>
      </w:r>
      <w:bookmarkStart w:id="6869" w:name="_ETM_Q8_315700"/>
      <w:bookmarkEnd w:id="6869"/>
      <w:r>
        <w:rPr>
          <w:rFonts w:hint="cs"/>
          <w:rtl/>
        </w:rPr>
        <w:t xml:space="preserve">הזו </w:t>
      </w:r>
      <w:bookmarkStart w:id="6870" w:name="_ETM_Q8_316450"/>
      <w:bookmarkEnd w:id="6870"/>
      <w:r>
        <w:rPr>
          <w:rFonts w:hint="cs"/>
          <w:rtl/>
        </w:rPr>
        <w:t xml:space="preserve">מעבירים </w:t>
      </w:r>
      <w:bookmarkStart w:id="6871" w:name="_ETM_Q8_317080"/>
      <w:bookmarkEnd w:id="6871"/>
      <w:r>
        <w:rPr>
          <w:rFonts w:hint="cs"/>
          <w:rtl/>
        </w:rPr>
        <w:t xml:space="preserve">חקיקה </w:t>
      </w:r>
      <w:bookmarkStart w:id="6872" w:name="_ETM_Q8_317620"/>
      <w:bookmarkStart w:id="6873" w:name="_ETM_Q8_318040"/>
      <w:bookmarkEnd w:id="6872"/>
      <w:bookmarkEnd w:id="6873"/>
      <w:r>
        <w:rPr>
          <w:rFonts w:hint="cs"/>
          <w:rtl/>
        </w:rPr>
        <w:t xml:space="preserve">מושחתת </w:t>
      </w:r>
      <w:bookmarkStart w:id="6874" w:name="_ETM_Q8_318700"/>
      <w:bookmarkEnd w:id="6874"/>
      <w:r>
        <w:rPr>
          <w:rFonts w:hint="cs"/>
          <w:rtl/>
        </w:rPr>
        <w:t xml:space="preserve">אחרת. </w:t>
      </w:r>
      <w:bookmarkStart w:id="6875" w:name="_ETM_Q8_320370"/>
      <w:bookmarkEnd w:id="6875"/>
      <w:r>
        <w:rPr>
          <w:rFonts w:hint="cs"/>
          <w:rtl/>
        </w:rPr>
        <w:t xml:space="preserve">כי </w:t>
      </w:r>
      <w:bookmarkStart w:id="6876" w:name="_ETM_Q8_320580"/>
      <w:bookmarkEnd w:id="6876"/>
      <w:r>
        <w:rPr>
          <w:rFonts w:hint="cs"/>
          <w:rtl/>
        </w:rPr>
        <w:t xml:space="preserve">מה </w:t>
      </w:r>
      <w:bookmarkStart w:id="6877" w:name="_ETM_Q8_321160"/>
      <w:bookmarkEnd w:id="6877"/>
      <w:r>
        <w:rPr>
          <w:rFonts w:hint="cs"/>
          <w:rtl/>
        </w:rPr>
        <w:t xml:space="preserve">עשתה הממשלה </w:t>
      </w:r>
      <w:bookmarkStart w:id="6878" w:name="_ETM_Q8_322090"/>
      <w:bookmarkEnd w:id="6878"/>
      <w:r>
        <w:rPr>
          <w:rFonts w:hint="cs"/>
          <w:rtl/>
        </w:rPr>
        <w:t xml:space="preserve">הזאת </w:t>
      </w:r>
      <w:bookmarkStart w:id="6879" w:name="_ETM_Q8_322720"/>
      <w:bookmarkEnd w:id="6879"/>
      <w:r>
        <w:rPr>
          <w:rFonts w:hint="cs"/>
          <w:rtl/>
        </w:rPr>
        <w:t xml:space="preserve">ומה </w:t>
      </w:r>
      <w:bookmarkStart w:id="6880" w:name="_ETM_Q8_323169"/>
      <w:bookmarkEnd w:id="6880"/>
      <w:r>
        <w:rPr>
          <w:rFonts w:hint="cs"/>
          <w:rtl/>
        </w:rPr>
        <w:t xml:space="preserve">עשו </w:t>
      </w:r>
      <w:bookmarkStart w:id="6881" w:name="_ETM_Q8_323470"/>
      <w:bookmarkEnd w:id="6881"/>
      <w:r>
        <w:rPr>
          <w:rFonts w:hint="cs"/>
          <w:rtl/>
        </w:rPr>
        <w:t xml:space="preserve">שריה </w:t>
      </w:r>
      <w:bookmarkStart w:id="6882" w:name="_ETM_Q8_324070"/>
      <w:bookmarkEnd w:id="6882"/>
      <w:r>
        <w:rPr>
          <w:rFonts w:hint="cs"/>
          <w:rtl/>
        </w:rPr>
        <w:t xml:space="preserve">מאז </w:t>
      </w:r>
      <w:bookmarkStart w:id="6883" w:name="_ETM_Q8_324430"/>
      <w:bookmarkEnd w:id="6883"/>
      <w:r>
        <w:rPr>
          <w:rFonts w:hint="cs"/>
          <w:rtl/>
        </w:rPr>
        <w:t xml:space="preserve">הקמתה? </w:t>
      </w:r>
      <w:bookmarkStart w:id="6884" w:name="_ETM_Q8_326870"/>
      <w:bookmarkEnd w:id="6884"/>
      <w:r>
        <w:rPr>
          <w:rFonts w:hint="cs"/>
          <w:rtl/>
        </w:rPr>
        <w:t xml:space="preserve">כוח, כסף </w:t>
      </w:r>
      <w:bookmarkStart w:id="6885" w:name="_ETM_Q8_327800"/>
      <w:bookmarkEnd w:id="6885"/>
      <w:r>
        <w:rPr>
          <w:rFonts w:hint="cs"/>
          <w:rtl/>
        </w:rPr>
        <w:t xml:space="preserve">וכבוד. </w:t>
      </w:r>
      <w:bookmarkStart w:id="6886" w:name="_ETM_Q8_329400"/>
      <w:bookmarkEnd w:id="6886"/>
    </w:p>
    <w:p w:rsidR="000C5C1F" w:rsidRDefault="000C5C1F" w:rsidP="000C5C1F">
      <w:pPr>
        <w:rPr>
          <w:rtl/>
        </w:rPr>
      </w:pPr>
      <w:bookmarkStart w:id="6887" w:name="_ETM_Q8_331816"/>
      <w:bookmarkStart w:id="6888" w:name="_ETM_Q8_331876"/>
      <w:bookmarkStart w:id="6889" w:name="_ETM_Q8_332000"/>
      <w:bookmarkEnd w:id="6887"/>
      <w:bookmarkEnd w:id="6888"/>
      <w:bookmarkEnd w:id="6889"/>
    </w:p>
    <w:p w:rsidR="000C5C1F" w:rsidRDefault="000C5C1F" w:rsidP="000C5C1F">
      <w:pPr>
        <w:rPr>
          <w:rtl/>
        </w:rPr>
      </w:pPr>
      <w:bookmarkStart w:id="6890" w:name="_ETM_Q8_332047"/>
      <w:bookmarkEnd w:id="6890"/>
      <w:r>
        <w:rPr>
          <w:rFonts w:hint="cs"/>
          <w:rtl/>
        </w:rPr>
        <w:t xml:space="preserve">בואו </w:t>
      </w:r>
      <w:bookmarkStart w:id="6891" w:name="_ETM_Q8_329819"/>
      <w:bookmarkEnd w:id="6891"/>
      <w:r>
        <w:rPr>
          <w:rFonts w:hint="cs"/>
          <w:rtl/>
        </w:rPr>
        <w:t xml:space="preserve">נראה </w:t>
      </w:r>
      <w:bookmarkStart w:id="6892" w:name="_ETM_Q8_330120"/>
      <w:bookmarkEnd w:id="6892"/>
      <w:r>
        <w:rPr>
          <w:rFonts w:hint="cs"/>
          <w:rtl/>
        </w:rPr>
        <w:t xml:space="preserve">רק </w:t>
      </w:r>
      <w:bookmarkStart w:id="6893" w:name="_ETM_Q8_330360"/>
      <w:bookmarkEnd w:id="6893"/>
      <w:r>
        <w:rPr>
          <w:rFonts w:hint="cs"/>
          <w:rtl/>
        </w:rPr>
        <w:t xml:space="preserve">רשימה </w:t>
      </w:r>
      <w:bookmarkStart w:id="6894" w:name="_ETM_Q8_330810"/>
      <w:bookmarkEnd w:id="6894"/>
      <w:r>
        <w:rPr>
          <w:rFonts w:hint="cs"/>
          <w:rtl/>
        </w:rPr>
        <w:t xml:space="preserve">חלקית </w:t>
      </w:r>
      <w:bookmarkStart w:id="6895" w:name="_ETM_Q8_331440"/>
      <w:bookmarkEnd w:id="6895"/>
      <w:r>
        <w:rPr>
          <w:rFonts w:hint="cs"/>
          <w:rtl/>
        </w:rPr>
        <w:t xml:space="preserve">של </w:t>
      </w:r>
      <w:bookmarkStart w:id="6896" w:name="_ETM_Q8_331650"/>
      <w:bookmarkEnd w:id="6896"/>
      <w:r>
        <w:rPr>
          <w:rFonts w:hint="cs"/>
          <w:rtl/>
        </w:rPr>
        <w:t>מה ש</w:t>
      </w:r>
      <w:bookmarkStart w:id="6897" w:name="_ETM_Q8_332040"/>
      <w:bookmarkEnd w:id="6897"/>
      <w:r>
        <w:rPr>
          <w:rFonts w:hint="cs"/>
          <w:rtl/>
        </w:rPr>
        <w:t xml:space="preserve">עשיתם. </w:t>
      </w:r>
      <w:bookmarkStart w:id="6898" w:name="_ETM_Q8_333280"/>
      <w:bookmarkEnd w:id="6898"/>
      <w:r>
        <w:rPr>
          <w:rFonts w:hint="cs"/>
          <w:rtl/>
        </w:rPr>
        <w:t xml:space="preserve">עוד </w:t>
      </w:r>
      <w:bookmarkStart w:id="6899" w:name="_ETM_Q8_333610"/>
      <w:bookmarkEnd w:id="6899"/>
      <w:r>
        <w:rPr>
          <w:rFonts w:hint="cs"/>
          <w:rtl/>
        </w:rPr>
        <w:t xml:space="preserve">כוח </w:t>
      </w:r>
      <w:bookmarkStart w:id="6900" w:name="_ETM_Q8_334419"/>
      <w:bookmarkEnd w:id="6900"/>
      <w:r>
        <w:rPr>
          <w:rFonts w:hint="cs"/>
          <w:rtl/>
        </w:rPr>
        <w:t xml:space="preserve">ועוד ג'ובים </w:t>
      </w:r>
      <w:bookmarkStart w:id="6901" w:name="_ETM_Q8_335830"/>
      <w:bookmarkEnd w:id="6901"/>
      <w:r>
        <w:rPr>
          <w:rFonts w:hint="cs"/>
          <w:rtl/>
        </w:rPr>
        <w:t xml:space="preserve">– והציבור </w:t>
      </w:r>
      <w:bookmarkStart w:id="6902" w:name="_ETM_Q8_336750"/>
      <w:bookmarkEnd w:id="6902"/>
      <w:r>
        <w:rPr>
          <w:rFonts w:hint="cs"/>
          <w:rtl/>
        </w:rPr>
        <w:t>מסתכל</w:t>
      </w:r>
      <w:bookmarkStart w:id="6903" w:name="_ETM_Q8_338410"/>
      <w:bookmarkEnd w:id="6903"/>
      <w:r>
        <w:rPr>
          <w:rFonts w:hint="cs"/>
          <w:rtl/>
        </w:rPr>
        <w:t>. כוח</w:t>
      </w:r>
      <w:bookmarkStart w:id="6904" w:name="_ETM_Q8_341150"/>
      <w:bookmarkEnd w:id="6904"/>
      <w:r>
        <w:rPr>
          <w:rFonts w:hint="cs"/>
          <w:rtl/>
        </w:rPr>
        <w:t>: חוק</w:t>
      </w:r>
      <w:bookmarkStart w:id="6905" w:name="_ETM_Q8_341600"/>
      <w:bookmarkEnd w:id="6905"/>
      <w:r>
        <w:rPr>
          <w:rFonts w:hint="cs"/>
          <w:rtl/>
        </w:rPr>
        <w:t xml:space="preserve">-יסוד: </w:t>
      </w:r>
      <w:bookmarkStart w:id="6906" w:name="_ETM_Q8_342440"/>
      <w:bookmarkEnd w:id="6906"/>
      <w:r>
        <w:rPr>
          <w:rFonts w:hint="cs"/>
          <w:rtl/>
        </w:rPr>
        <w:t xml:space="preserve">דרעי </w:t>
      </w:r>
      <w:bookmarkStart w:id="6907" w:name="_ETM_Q8_342860"/>
      <w:bookmarkEnd w:id="6907"/>
      <w:r>
        <w:rPr>
          <w:rFonts w:hint="cs"/>
          <w:rtl/>
        </w:rPr>
        <w:t>3</w:t>
      </w:r>
      <w:bookmarkStart w:id="6908" w:name="_ETM_Q8_345150"/>
      <w:bookmarkStart w:id="6909" w:name="_ETM_Q8_345330"/>
      <w:bookmarkEnd w:id="6908"/>
      <w:bookmarkEnd w:id="6909"/>
      <w:r>
        <w:rPr>
          <w:rFonts w:hint="cs"/>
          <w:rtl/>
        </w:rPr>
        <w:t xml:space="preserve">; חוק הנבצרות; </w:t>
      </w:r>
      <w:bookmarkStart w:id="6910" w:name="_ETM_Q8_347040"/>
      <w:bookmarkEnd w:id="6910"/>
      <w:r>
        <w:rPr>
          <w:rFonts w:hint="cs"/>
          <w:rtl/>
        </w:rPr>
        <w:t xml:space="preserve">חוק </w:t>
      </w:r>
      <w:bookmarkStart w:id="6911" w:name="_ETM_Q8_347459"/>
      <w:bookmarkEnd w:id="6911"/>
      <w:r>
        <w:rPr>
          <w:rFonts w:hint="cs"/>
          <w:rtl/>
        </w:rPr>
        <w:t xml:space="preserve">המתנות </w:t>
      </w:r>
      <w:bookmarkStart w:id="6912" w:name="_ETM_Q8_348299"/>
      <w:bookmarkEnd w:id="6912"/>
      <w:r>
        <w:rPr>
          <w:rFonts w:hint="cs"/>
          <w:rtl/>
        </w:rPr>
        <w:t>– שוחד ל</w:t>
      </w:r>
      <w:bookmarkStart w:id="6913" w:name="_ETM_Q8_349230"/>
      <w:bookmarkEnd w:id="6913"/>
      <w:r>
        <w:rPr>
          <w:rFonts w:hint="cs"/>
          <w:rtl/>
        </w:rPr>
        <w:t xml:space="preserve">עובדי </w:t>
      </w:r>
      <w:bookmarkStart w:id="6914" w:name="_ETM_Q8_349530"/>
      <w:bookmarkEnd w:id="6914"/>
      <w:r>
        <w:rPr>
          <w:rFonts w:hint="cs"/>
          <w:rtl/>
        </w:rPr>
        <w:t xml:space="preserve">המדינה; </w:t>
      </w:r>
      <w:bookmarkStart w:id="6915" w:name="_ETM_Q8_351319"/>
      <w:bookmarkEnd w:id="6915"/>
      <w:r>
        <w:rPr>
          <w:rFonts w:hint="cs"/>
          <w:rtl/>
        </w:rPr>
        <w:t xml:space="preserve">חוק </w:t>
      </w:r>
      <w:bookmarkStart w:id="6916" w:name="_ETM_Q8_351740"/>
      <w:bookmarkEnd w:id="6916"/>
      <w:r>
        <w:rPr>
          <w:rFonts w:hint="cs"/>
          <w:rtl/>
        </w:rPr>
        <w:t xml:space="preserve">למימון </w:t>
      </w:r>
      <w:bookmarkStart w:id="6917" w:name="_ETM_Q8_352220"/>
      <w:bookmarkEnd w:id="6917"/>
      <w:r>
        <w:rPr>
          <w:rFonts w:hint="cs"/>
          <w:rtl/>
        </w:rPr>
        <w:t xml:space="preserve">שני </w:t>
      </w:r>
      <w:bookmarkStart w:id="6918" w:name="_ETM_Q8_352520"/>
      <w:bookmarkEnd w:id="6918"/>
      <w:r>
        <w:rPr>
          <w:rFonts w:hint="cs"/>
          <w:rtl/>
        </w:rPr>
        <w:t xml:space="preserve">מעונות </w:t>
      </w:r>
      <w:bookmarkStart w:id="6919" w:name="_ETM_Q8_353209"/>
      <w:bookmarkEnd w:id="6919"/>
      <w:r>
        <w:rPr>
          <w:rFonts w:hint="cs"/>
          <w:rtl/>
        </w:rPr>
        <w:t xml:space="preserve">לראש הממשלה; </w:t>
      </w:r>
      <w:bookmarkStart w:id="6920" w:name="_ETM_Q8_354760"/>
      <w:bookmarkEnd w:id="6920"/>
      <w:r>
        <w:rPr>
          <w:rFonts w:hint="cs"/>
          <w:rtl/>
        </w:rPr>
        <w:t xml:space="preserve">תקציב </w:t>
      </w:r>
      <w:bookmarkStart w:id="6921" w:name="_ETM_Q8_355239"/>
      <w:bookmarkEnd w:id="6921"/>
      <w:r>
        <w:rPr>
          <w:rFonts w:hint="cs"/>
          <w:rtl/>
        </w:rPr>
        <w:t xml:space="preserve">נוסף </w:t>
      </w:r>
      <w:bookmarkStart w:id="6922" w:name="_ETM_Q8_355810"/>
      <w:bookmarkEnd w:id="6922"/>
      <w:r>
        <w:rPr>
          <w:rFonts w:hint="cs"/>
          <w:rtl/>
        </w:rPr>
        <w:t>לא</w:t>
      </w:r>
      <w:bookmarkStart w:id="6923" w:name="_ETM_Q8_358150"/>
      <w:bookmarkEnd w:id="6923"/>
      <w:r>
        <w:rPr>
          <w:rFonts w:hint="cs"/>
          <w:rtl/>
        </w:rPr>
        <w:t xml:space="preserve">שת ראש הממשלה; חוק </w:t>
      </w:r>
      <w:bookmarkStart w:id="6924" w:name="_ETM_Q8_358569"/>
      <w:bookmarkEnd w:id="6924"/>
      <w:r>
        <w:rPr>
          <w:rFonts w:hint="cs"/>
          <w:rtl/>
        </w:rPr>
        <w:t xml:space="preserve">דחיית </w:t>
      </w:r>
      <w:bookmarkStart w:id="6925" w:name="_ETM_Q8_359190"/>
      <w:bookmarkEnd w:id="6925"/>
      <w:r>
        <w:rPr>
          <w:rFonts w:hint="cs"/>
          <w:rtl/>
        </w:rPr>
        <w:t xml:space="preserve">הבחירות </w:t>
      </w:r>
      <w:bookmarkStart w:id="6926" w:name="_ETM_Q8_359520"/>
      <w:bookmarkEnd w:id="6926"/>
      <w:r>
        <w:rPr>
          <w:rFonts w:hint="cs"/>
          <w:rtl/>
        </w:rPr>
        <w:t xml:space="preserve">לרבנות </w:t>
      </w:r>
      <w:bookmarkStart w:id="6927" w:name="_ETM_Q8_360120"/>
      <w:bookmarkEnd w:id="6927"/>
      <w:r>
        <w:rPr>
          <w:rFonts w:hint="cs"/>
          <w:rtl/>
        </w:rPr>
        <w:t>הראשית</w:t>
      </w:r>
      <w:bookmarkStart w:id="6928" w:name="_ETM_Q8_361139"/>
      <w:bookmarkEnd w:id="6928"/>
      <w:r>
        <w:rPr>
          <w:rFonts w:hint="cs"/>
          <w:rtl/>
        </w:rPr>
        <w:t xml:space="preserve"> כדי </w:t>
      </w:r>
      <w:bookmarkStart w:id="6929" w:name="_ETM_Q8_361470"/>
      <w:bookmarkEnd w:id="6929"/>
      <w:r>
        <w:rPr>
          <w:rFonts w:hint="cs"/>
          <w:rtl/>
        </w:rPr>
        <w:t xml:space="preserve">למנות </w:t>
      </w:r>
      <w:bookmarkStart w:id="6930" w:name="_ETM_Q8_361889"/>
      <w:bookmarkEnd w:id="6930"/>
      <w:r>
        <w:rPr>
          <w:rFonts w:hint="cs"/>
          <w:rtl/>
        </w:rPr>
        <w:t xml:space="preserve">את </w:t>
      </w:r>
      <w:bookmarkStart w:id="6931" w:name="_ETM_Q8_361950"/>
      <w:bookmarkEnd w:id="6931"/>
      <w:r>
        <w:rPr>
          <w:rFonts w:hint="cs"/>
          <w:rtl/>
        </w:rPr>
        <w:t xml:space="preserve">האח </w:t>
      </w:r>
      <w:bookmarkStart w:id="6932" w:name="_ETM_Q8_362829"/>
      <w:bookmarkEnd w:id="6932"/>
      <w:r>
        <w:rPr>
          <w:rFonts w:hint="cs"/>
          <w:rtl/>
        </w:rPr>
        <w:t xml:space="preserve">של </w:t>
      </w:r>
      <w:bookmarkStart w:id="6933" w:name="_ETM_Q8_363189"/>
      <w:bookmarkEnd w:id="6933"/>
      <w:r>
        <w:rPr>
          <w:rFonts w:hint="cs"/>
          <w:rtl/>
        </w:rPr>
        <w:t xml:space="preserve">אריה </w:t>
      </w:r>
      <w:bookmarkStart w:id="6934" w:name="_ETM_Q8_363430"/>
      <w:bookmarkEnd w:id="6934"/>
      <w:r>
        <w:rPr>
          <w:rFonts w:hint="cs"/>
          <w:rtl/>
        </w:rPr>
        <w:t xml:space="preserve">דרעי </w:t>
      </w:r>
      <w:bookmarkStart w:id="6935" w:name="_ETM_Q8_363760"/>
      <w:bookmarkEnd w:id="6935"/>
      <w:r>
        <w:rPr>
          <w:rFonts w:hint="cs"/>
          <w:rtl/>
        </w:rPr>
        <w:t xml:space="preserve">לרב </w:t>
      </w:r>
      <w:bookmarkStart w:id="6936" w:name="_ETM_Q8_364150"/>
      <w:bookmarkEnd w:id="6936"/>
      <w:r>
        <w:rPr>
          <w:rFonts w:hint="cs"/>
          <w:rtl/>
        </w:rPr>
        <w:t xml:space="preserve">ראשי; </w:t>
      </w:r>
      <w:bookmarkStart w:id="6937" w:name="_ETM_Q8_365349"/>
      <w:bookmarkEnd w:id="6937"/>
      <w:r>
        <w:rPr>
          <w:rFonts w:hint="cs"/>
          <w:rtl/>
        </w:rPr>
        <w:t xml:space="preserve">חוק </w:t>
      </w:r>
      <w:bookmarkStart w:id="6938" w:name="_ETM_Q8_365799"/>
      <w:bookmarkEnd w:id="6938"/>
      <w:r>
        <w:rPr>
          <w:rFonts w:hint="cs"/>
          <w:rtl/>
        </w:rPr>
        <w:t xml:space="preserve">לביטול </w:t>
      </w:r>
      <w:bookmarkStart w:id="6939" w:name="_ETM_Q8_366519"/>
      <w:bookmarkEnd w:id="6939"/>
      <w:r>
        <w:rPr>
          <w:rFonts w:hint="cs"/>
          <w:rtl/>
        </w:rPr>
        <w:t xml:space="preserve">הבחירות </w:t>
      </w:r>
      <w:bookmarkStart w:id="6940" w:name="_ETM_Q8_367029"/>
      <w:bookmarkEnd w:id="6940"/>
      <w:r>
        <w:rPr>
          <w:rFonts w:hint="cs"/>
          <w:rtl/>
        </w:rPr>
        <w:t xml:space="preserve">בלשכת </w:t>
      </w:r>
      <w:bookmarkStart w:id="6941" w:name="_ETM_Q8_367540"/>
      <w:bookmarkEnd w:id="6941"/>
      <w:r>
        <w:rPr>
          <w:rFonts w:hint="cs"/>
          <w:rtl/>
        </w:rPr>
        <w:t>עו</w:t>
      </w:r>
      <w:bookmarkStart w:id="6942" w:name="_ETM_Q8_368139"/>
      <w:bookmarkEnd w:id="6942"/>
      <w:r>
        <w:rPr>
          <w:rFonts w:hint="cs"/>
          <w:rtl/>
        </w:rPr>
        <w:t xml:space="preserve">רכי הדין, ולכן </w:t>
      </w:r>
      <w:bookmarkStart w:id="6943" w:name="_ETM_Q8_369159"/>
      <w:bookmarkEnd w:id="6943"/>
      <w:r>
        <w:rPr>
          <w:rFonts w:hint="cs"/>
          <w:rtl/>
        </w:rPr>
        <w:t xml:space="preserve">חוק </w:t>
      </w:r>
      <w:bookmarkStart w:id="6944" w:name="_ETM_Q8_369489"/>
      <w:bookmarkStart w:id="6945" w:name="_ETM_Q8_370239"/>
      <w:bookmarkEnd w:id="6944"/>
      <w:bookmarkEnd w:id="6945"/>
      <w:r>
        <w:rPr>
          <w:rFonts w:hint="cs"/>
          <w:rtl/>
        </w:rPr>
        <w:t xml:space="preserve">לפירוק </w:t>
      </w:r>
      <w:bookmarkStart w:id="6946" w:name="_ETM_Q8_370900"/>
      <w:bookmarkEnd w:id="6946"/>
      <w:r>
        <w:rPr>
          <w:rFonts w:hint="cs"/>
          <w:rtl/>
        </w:rPr>
        <w:t xml:space="preserve">לשכת </w:t>
      </w:r>
      <w:bookmarkStart w:id="6947" w:name="_ETM_Q8_371349"/>
      <w:bookmarkStart w:id="6948" w:name="_ETM_Q8_373130"/>
      <w:bookmarkEnd w:id="6947"/>
      <w:bookmarkEnd w:id="6948"/>
      <w:r>
        <w:rPr>
          <w:rFonts w:hint="cs"/>
          <w:rtl/>
        </w:rPr>
        <w:t xml:space="preserve">עורכי הדין; חוק, שנעצר, לאי-מתן שירות </w:t>
      </w:r>
      <w:bookmarkStart w:id="6949" w:name="_ETM_Q8_374330"/>
      <w:bookmarkStart w:id="6950" w:name="_ETM_Q8_375080"/>
      <w:bookmarkEnd w:id="6949"/>
      <w:bookmarkEnd w:id="6950"/>
      <w:r>
        <w:rPr>
          <w:rFonts w:hint="cs"/>
          <w:rtl/>
        </w:rPr>
        <w:t xml:space="preserve">ללהט"בים </w:t>
      </w:r>
      <w:bookmarkStart w:id="6951" w:name="_ETM_Q8_375889"/>
      <w:bookmarkEnd w:id="6951"/>
      <w:r>
        <w:rPr>
          <w:rFonts w:hint="cs"/>
          <w:rtl/>
        </w:rPr>
        <w:t xml:space="preserve">ואחרים; </w:t>
      </w:r>
      <w:bookmarkStart w:id="6952" w:name="_ETM_Q8_377129"/>
      <w:bookmarkEnd w:id="6952"/>
      <w:r>
        <w:rPr>
          <w:rFonts w:hint="cs"/>
          <w:rtl/>
        </w:rPr>
        <w:t xml:space="preserve">חוק </w:t>
      </w:r>
      <w:bookmarkStart w:id="6953" w:name="_ETM_Q8_377459"/>
      <w:bookmarkEnd w:id="6953"/>
      <w:r>
        <w:rPr>
          <w:rFonts w:hint="cs"/>
          <w:rtl/>
        </w:rPr>
        <w:t xml:space="preserve">לימוד </w:t>
      </w:r>
      <w:bookmarkStart w:id="6954" w:name="_ETM_Q8_377819"/>
      <w:bookmarkEnd w:id="6954"/>
      <w:r>
        <w:rPr>
          <w:rFonts w:hint="cs"/>
          <w:rtl/>
        </w:rPr>
        <w:t>תורה</w:t>
      </w:r>
      <w:bookmarkStart w:id="6955" w:name="_ETM_Q8_378329"/>
      <w:bookmarkEnd w:id="6955"/>
      <w:r>
        <w:rPr>
          <w:rFonts w:hint="cs"/>
          <w:rtl/>
        </w:rPr>
        <w:t xml:space="preserve"> או </w:t>
      </w:r>
      <w:bookmarkStart w:id="6956" w:name="_ETM_Q8_378419"/>
      <w:bookmarkEnd w:id="6956"/>
      <w:r>
        <w:rPr>
          <w:rFonts w:hint="cs"/>
          <w:rtl/>
        </w:rPr>
        <w:t xml:space="preserve">חוק </w:t>
      </w:r>
      <w:bookmarkStart w:id="6957" w:name="_ETM_Q8_378689"/>
      <w:bookmarkEnd w:id="6957"/>
      <w:r>
        <w:rPr>
          <w:rFonts w:hint="cs"/>
          <w:rtl/>
        </w:rPr>
        <w:t xml:space="preserve">הגיוס, שבינתיים </w:t>
      </w:r>
      <w:bookmarkStart w:id="6958" w:name="_ETM_Q8_379889"/>
      <w:bookmarkEnd w:id="6958"/>
      <w:r>
        <w:rPr>
          <w:rFonts w:hint="cs"/>
          <w:rtl/>
        </w:rPr>
        <w:t xml:space="preserve">נעצר; </w:t>
      </w:r>
      <w:bookmarkStart w:id="6959" w:name="_ETM_Q8_381019"/>
      <w:bookmarkEnd w:id="6959"/>
      <w:r>
        <w:rPr>
          <w:rFonts w:hint="cs"/>
          <w:rtl/>
        </w:rPr>
        <w:t xml:space="preserve">חוק טבריה </w:t>
      </w:r>
      <w:bookmarkStart w:id="6960" w:name="_ETM_Q8_382400"/>
      <w:bookmarkEnd w:id="6960"/>
      <w:r>
        <w:rPr>
          <w:rFonts w:hint="cs"/>
          <w:rtl/>
        </w:rPr>
        <w:t>המושחת</w:t>
      </w:r>
      <w:bookmarkStart w:id="6961" w:name="_ETM_Q8_383389"/>
      <w:bookmarkEnd w:id="6961"/>
      <w:r>
        <w:rPr>
          <w:rFonts w:hint="cs"/>
          <w:rtl/>
        </w:rPr>
        <w:t xml:space="preserve">, שהאנשים </w:t>
      </w:r>
      <w:bookmarkStart w:id="6962" w:name="_ETM_Q8_383989"/>
      <w:bookmarkEnd w:id="6962"/>
      <w:r>
        <w:rPr>
          <w:rFonts w:hint="cs"/>
          <w:rtl/>
        </w:rPr>
        <w:t xml:space="preserve">פה </w:t>
      </w:r>
      <w:bookmarkStart w:id="6963" w:name="_ETM_Q8_384110"/>
      <w:bookmarkEnd w:id="6963"/>
      <w:r>
        <w:rPr>
          <w:rFonts w:hint="cs"/>
          <w:rtl/>
        </w:rPr>
        <w:t xml:space="preserve">בליכוד </w:t>
      </w:r>
      <w:bookmarkStart w:id="6964" w:name="_ETM_Q8_384650"/>
      <w:bookmarkEnd w:id="6964"/>
      <w:r>
        <w:rPr>
          <w:rFonts w:hint="cs"/>
          <w:rtl/>
        </w:rPr>
        <w:t xml:space="preserve">לקחו </w:t>
      </w:r>
      <w:bookmarkStart w:id="6965" w:name="_ETM_Q8_384950"/>
      <w:bookmarkEnd w:id="6965"/>
      <w:r>
        <w:rPr>
          <w:rFonts w:hint="cs"/>
          <w:rtl/>
        </w:rPr>
        <w:t xml:space="preserve">שקיות </w:t>
      </w:r>
      <w:bookmarkStart w:id="6966" w:name="_ETM_Q8_385459"/>
      <w:bookmarkEnd w:id="6966"/>
      <w:r>
        <w:rPr>
          <w:rFonts w:hint="cs"/>
          <w:rtl/>
        </w:rPr>
        <w:t xml:space="preserve">הקאה </w:t>
      </w:r>
      <w:bookmarkStart w:id="6967" w:name="_ETM_Q8_385849"/>
      <w:bookmarkEnd w:id="6967"/>
      <w:r>
        <w:rPr>
          <w:rFonts w:hint="cs"/>
          <w:rtl/>
        </w:rPr>
        <w:t>והתחננ</w:t>
      </w:r>
      <w:bookmarkStart w:id="6968" w:name="_ETM_Q8_386419"/>
      <w:bookmarkStart w:id="6969" w:name="_ETM_Q8_386569"/>
      <w:bookmarkEnd w:id="6968"/>
      <w:bookmarkEnd w:id="6969"/>
      <w:r>
        <w:rPr>
          <w:rFonts w:hint="cs"/>
          <w:rtl/>
        </w:rPr>
        <w:t xml:space="preserve">ו לקיזוזים </w:t>
      </w:r>
      <w:bookmarkStart w:id="6970" w:name="_ETM_Q8_387230"/>
      <w:bookmarkEnd w:id="6970"/>
      <w:r>
        <w:rPr>
          <w:rFonts w:hint="cs"/>
          <w:rtl/>
        </w:rPr>
        <w:t xml:space="preserve">כדי </w:t>
      </w:r>
      <w:bookmarkStart w:id="6971" w:name="_ETM_Q8_387530"/>
      <w:bookmarkEnd w:id="6971"/>
      <w:r>
        <w:rPr>
          <w:rFonts w:hint="cs"/>
          <w:rtl/>
        </w:rPr>
        <w:t xml:space="preserve">לא </w:t>
      </w:r>
      <w:bookmarkStart w:id="6972" w:name="_ETM_Q8_387709"/>
      <w:bookmarkEnd w:id="6972"/>
      <w:r>
        <w:rPr>
          <w:rFonts w:hint="cs"/>
          <w:rtl/>
        </w:rPr>
        <w:t xml:space="preserve">להצביע </w:t>
      </w:r>
      <w:bookmarkStart w:id="6973" w:name="_ETM_Q8_388340"/>
      <w:bookmarkEnd w:id="6973"/>
      <w:r>
        <w:rPr>
          <w:rFonts w:hint="cs"/>
          <w:rtl/>
        </w:rPr>
        <w:t>עליו, ו</w:t>
      </w:r>
      <w:bookmarkStart w:id="6974" w:name="_ETM_Q8_388940"/>
      <w:bookmarkEnd w:id="6974"/>
      <w:r>
        <w:rPr>
          <w:rFonts w:hint="cs"/>
          <w:rtl/>
        </w:rPr>
        <w:t xml:space="preserve">בשביל </w:t>
      </w:r>
      <w:bookmarkStart w:id="6975" w:name="_ETM_Q8_389480"/>
      <w:bookmarkEnd w:id="6975"/>
      <w:r>
        <w:rPr>
          <w:rFonts w:hint="cs"/>
          <w:rtl/>
        </w:rPr>
        <w:t xml:space="preserve">מה? </w:t>
      </w:r>
      <w:bookmarkStart w:id="6976" w:name="_ETM_Q8_390139"/>
      <w:bookmarkEnd w:id="6976"/>
      <w:r>
        <w:rPr>
          <w:rFonts w:hint="cs"/>
          <w:rtl/>
        </w:rPr>
        <w:t xml:space="preserve">בשביל </w:t>
      </w:r>
      <w:bookmarkStart w:id="6977" w:name="_ETM_Q8_390560"/>
      <w:bookmarkEnd w:id="6977"/>
      <w:r>
        <w:rPr>
          <w:rFonts w:hint="cs"/>
          <w:rtl/>
        </w:rPr>
        <w:t xml:space="preserve">לשבש </w:t>
      </w:r>
      <w:bookmarkStart w:id="6978" w:name="_ETM_Q8_391220"/>
      <w:bookmarkEnd w:id="6978"/>
      <w:r>
        <w:rPr>
          <w:rFonts w:hint="cs"/>
          <w:rtl/>
        </w:rPr>
        <w:t xml:space="preserve">את </w:t>
      </w:r>
      <w:bookmarkStart w:id="6979" w:name="_ETM_Q8_391370"/>
      <w:bookmarkEnd w:id="6979"/>
      <w:r>
        <w:rPr>
          <w:rFonts w:hint="cs"/>
          <w:rtl/>
        </w:rPr>
        <w:t xml:space="preserve">כללי </w:t>
      </w:r>
      <w:bookmarkStart w:id="6980" w:name="_ETM_Q8_391700"/>
      <w:bookmarkEnd w:id="6980"/>
      <w:r>
        <w:rPr>
          <w:rFonts w:hint="cs"/>
          <w:rtl/>
        </w:rPr>
        <w:t xml:space="preserve">הבחירות </w:t>
      </w:r>
      <w:bookmarkStart w:id="6981" w:name="_ETM_Q8_392180"/>
      <w:bookmarkEnd w:id="6981"/>
      <w:r>
        <w:rPr>
          <w:rFonts w:hint="cs"/>
          <w:rtl/>
        </w:rPr>
        <w:t xml:space="preserve">המוניציפליות </w:t>
      </w:r>
      <w:bookmarkStart w:id="6982" w:name="_ETM_Q8_393319"/>
      <w:bookmarkEnd w:id="6982"/>
      <w:r>
        <w:rPr>
          <w:rFonts w:hint="cs"/>
          <w:rtl/>
        </w:rPr>
        <w:t xml:space="preserve">ולמנות </w:t>
      </w:r>
      <w:bookmarkStart w:id="6983" w:name="_ETM_Q8_394010"/>
      <w:bookmarkStart w:id="6984" w:name="_ETM_Q8_394920"/>
      <w:bookmarkEnd w:id="6983"/>
      <w:bookmarkEnd w:id="6984"/>
      <w:r>
        <w:rPr>
          <w:rFonts w:hint="cs"/>
          <w:rtl/>
        </w:rPr>
        <w:t xml:space="preserve">את </w:t>
      </w:r>
      <w:bookmarkStart w:id="6985" w:name="_ETM_Q8_395129"/>
      <w:bookmarkEnd w:id="6985"/>
      <w:r>
        <w:rPr>
          <w:rFonts w:hint="cs"/>
          <w:rtl/>
        </w:rPr>
        <w:t>האח, את החבר או את ה</w:t>
      </w:r>
      <w:bookmarkStart w:id="6986" w:name="_ETM_Q8_395969"/>
      <w:bookmarkEnd w:id="6986"/>
      <w:r>
        <w:rPr>
          <w:rFonts w:hint="cs"/>
          <w:rtl/>
        </w:rPr>
        <w:t>מקורב</w:t>
      </w:r>
      <w:bookmarkStart w:id="6987" w:name="_ETM_Q8_396599"/>
      <w:bookmarkStart w:id="6988" w:name="_ETM_Q8_397049"/>
      <w:bookmarkEnd w:id="6987"/>
      <w:bookmarkEnd w:id="6988"/>
      <w:r>
        <w:rPr>
          <w:rFonts w:hint="cs"/>
          <w:rtl/>
        </w:rPr>
        <w:t xml:space="preserve">, סליחה, לשר בש"ס, </w:t>
      </w:r>
      <w:bookmarkStart w:id="6989" w:name="_ETM_Q8_399130"/>
      <w:bookmarkEnd w:id="6989"/>
      <w:r>
        <w:rPr>
          <w:rFonts w:hint="cs"/>
          <w:rtl/>
        </w:rPr>
        <w:t xml:space="preserve">להיות </w:t>
      </w:r>
      <w:bookmarkStart w:id="6990" w:name="_ETM_Q8_399550"/>
      <w:bookmarkEnd w:id="6990"/>
      <w:r>
        <w:rPr>
          <w:rFonts w:hint="cs"/>
          <w:rtl/>
        </w:rPr>
        <w:t xml:space="preserve">ראש </w:t>
      </w:r>
      <w:bookmarkStart w:id="6991" w:name="_ETM_Q8_399790"/>
      <w:bookmarkEnd w:id="6991"/>
      <w:r>
        <w:rPr>
          <w:rFonts w:hint="cs"/>
          <w:rtl/>
        </w:rPr>
        <w:t xml:space="preserve">העיר </w:t>
      </w:r>
      <w:bookmarkStart w:id="6992" w:name="_ETM_Q8_400060"/>
      <w:bookmarkEnd w:id="6992"/>
      <w:r>
        <w:rPr>
          <w:rFonts w:hint="cs"/>
          <w:rtl/>
        </w:rPr>
        <w:t xml:space="preserve">טבריה; </w:t>
      </w:r>
      <w:bookmarkStart w:id="6993" w:name="_ETM_Q8_401249"/>
      <w:bookmarkEnd w:id="6993"/>
      <w:r>
        <w:rPr>
          <w:rFonts w:hint="cs"/>
          <w:rtl/>
        </w:rPr>
        <w:t xml:space="preserve">חוק </w:t>
      </w:r>
      <w:bookmarkStart w:id="6994" w:name="_ETM_Q8_401639"/>
      <w:bookmarkEnd w:id="6994"/>
      <w:r>
        <w:rPr>
          <w:rFonts w:hint="cs"/>
          <w:rtl/>
        </w:rPr>
        <w:t xml:space="preserve">מח"ש, שיכפיף </w:t>
      </w:r>
      <w:bookmarkStart w:id="6995" w:name="_ETM_Q8_403589"/>
      <w:bookmarkEnd w:id="6995"/>
      <w:r>
        <w:rPr>
          <w:rFonts w:hint="cs"/>
          <w:rtl/>
        </w:rPr>
        <w:t xml:space="preserve">את </w:t>
      </w:r>
      <w:bookmarkStart w:id="6996" w:name="_ETM_Q8_403739"/>
      <w:bookmarkEnd w:id="6996"/>
      <w:r>
        <w:rPr>
          <w:rFonts w:hint="cs"/>
          <w:rtl/>
        </w:rPr>
        <w:t xml:space="preserve">המחלקה </w:t>
      </w:r>
      <w:bookmarkStart w:id="6997" w:name="_ETM_Q8_404309"/>
      <w:bookmarkEnd w:id="6997"/>
      <w:r>
        <w:rPr>
          <w:rFonts w:hint="cs"/>
          <w:rtl/>
        </w:rPr>
        <w:t xml:space="preserve">לחקירות </w:t>
      </w:r>
      <w:bookmarkStart w:id="6998" w:name="_ETM_Q8_405329"/>
      <w:bookmarkEnd w:id="6998"/>
      <w:r>
        <w:rPr>
          <w:rFonts w:hint="cs"/>
          <w:rtl/>
        </w:rPr>
        <w:t xml:space="preserve">שוטרים </w:t>
      </w:r>
      <w:bookmarkStart w:id="6999" w:name="_ETM_Q8_405900"/>
      <w:bookmarkEnd w:id="6999"/>
      <w:r>
        <w:rPr>
          <w:rFonts w:hint="cs"/>
          <w:rtl/>
        </w:rPr>
        <w:t xml:space="preserve">לממשלה </w:t>
      </w:r>
      <w:bookmarkStart w:id="7000" w:name="_ETM_Q8_406709"/>
      <w:bookmarkEnd w:id="7000"/>
      <w:r>
        <w:rPr>
          <w:rFonts w:hint="cs"/>
          <w:rtl/>
        </w:rPr>
        <w:t xml:space="preserve">הזאת, </w:t>
      </w:r>
      <w:bookmarkStart w:id="7001" w:name="_ETM_Q8_407440"/>
      <w:bookmarkEnd w:id="7001"/>
      <w:r>
        <w:rPr>
          <w:rFonts w:hint="cs"/>
          <w:rtl/>
        </w:rPr>
        <w:t xml:space="preserve">הם </w:t>
      </w:r>
      <w:bookmarkStart w:id="7002" w:name="_ETM_Q8_407709"/>
      <w:bookmarkEnd w:id="7002"/>
      <w:r>
        <w:rPr>
          <w:rFonts w:hint="cs"/>
          <w:rtl/>
        </w:rPr>
        <w:t xml:space="preserve">יחקרו </w:t>
      </w:r>
      <w:bookmarkStart w:id="7003" w:name="_ETM_Q8_408400"/>
      <w:bookmarkEnd w:id="7003"/>
      <w:r>
        <w:rPr>
          <w:rFonts w:hint="cs"/>
          <w:rtl/>
        </w:rPr>
        <w:t xml:space="preserve">אלימות </w:t>
      </w:r>
      <w:bookmarkStart w:id="7004" w:name="_ETM_Q8_408849"/>
      <w:bookmarkEnd w:id="7004"/>
      <w:r>
        <w:rPr>
          <w:rFonts w:hint="cs"/>
          <w:rtl/>
        </w:rPr>
        <w:t xml:space="preserve">נגד </w:t>
      </w:r>
      <w:bookmarkStart w:id="7005" w:name="_ETM_Q8_409150"/>
      <w:bookmarkEnd w:id="7005"/>
      <w:r>
        <w:rPr>
          <w:rFonts w:hint="cs"/>
          <w:rtl/>
        </w:rPr>
        <w:t>מפגינים</w:t>
      </w:r>
      <w:bookmarkStart w:id="7006" w:name="_ETM_Q8_410420"/>
      <w:bookmarkStart w:id="7007" w:name="_ETM_Q8_406421"/>
      <w:bookmarkStart w:id="7008" w:name="_ETM_Q8_406435"/>
      <w:bookmarkEnd w:id="7006"/>
      <w:bookmarkEnd w:id="7007"/>
      <w:bookmarkEnd w:id="7008"/>
      <w:r>
        <w:rPr>
          <w:rFonts w:hint="cs"/>
          <w:rtl/>
        </w:rPr>
        <w:t xml:space="preserve">; שכחנו </w:t>
      </w:r>
      <w:bookmarkStart w:id="7009" w:name="_ETM_Q8_411049"/>
      <w:bookmarkEnd w:id="7009"/>
      <w:r>
        <w:rPr>
          <w:rFonts w:hint="cs"/>
          <w:rtl/>
        </w:rPr>
        <w:t xml:space="preserve">כבר </w:t>
      </w:r>
      <w:bookmarkStart w:id="7010" w:name="_ETM_Q8_411319"/>
      <w:bookmarkEnd w:id="7010"/>
      <w:r>
        <w:rPr>
          <w:rFonts w:hint="cs"/>
          <w:rtl/>
        </w:rPr>
        <w:t xml:space="preserve">שהיה </w:t>
      </w:r>
      <w:bookmarkStart w:id="7011" w:name="_ETM_Q8_411650"/>
      <w:bookmarkEnd w:id="7011"/>
      <w:r>
        <w:rPr>
          <w:rFonts w:hint="cs"/>
          <w:rtl/>
        </w:rPr>
        <w:t xml:space="preserve">ביטול </w:t>
      </w:r>
      <w:bookmarkStart w:id="7012" w:name="_ETM_Q8_412129"/>
      <w:bookmarkEnd w:id="7012"/>
      <w:r>
        <w:rPr>
          <w:rFonts w:hint="cs"/>
          <w:rtl/>
        </w:rPr>
        <w:t xml:space="preserve">עבירת </w:t>
      </w:r>
      <w:bookmarkStart w:id="7013" w:name="_ETM_Q8_412459"/>
      <w:bookmarkEnd w:id="7013"/>
      <w:r>
        <w:rPr>
          <w:rFonts w:hint="cs"/>
          <w:rtl/>
        </w:rPr>
        <w:t xml:space="preserve">מרמה </w:t>
      </w:r>
      <w:bookmarkStart w:id="7014" w:name="_ETM_Q8_412849"/>
      <w:bookmarkEnd w:id="7014"/>
      <w:r>
        <w:rPr>
          <w:rFonts w:hint="cs"/>
          <w:rtl/>
        </w:rPr>
        <w:t xml:space="preserve">והפרת </w:t>
      </w:r>
      <w:bookmarkStart w:id="7015" w:name="_ETM_Q8_413450"/>
      <w:bookmarkEnd w:id="7015"/>
      <w:r>
        <w:rPr>
          <w:rFonts w:hint="cs"/>
          <w:rtl/>
        </w:rPr>
        <w:t xml:space="preserve">אמונים, </w:t>
      </w:r>
      <w:bookmarkStart w:id="7016" w:name="_ETM_Q8_414290"/>
      <w:bookmarkEnd w:id="7016"/>
      <w:r>
        <w:rPr>
          <w:rFonts w:hint="cs"/>
          <w:rtl/>
        </w:rPr>
        <w:t xml:space="preserve">כי </w:t>
      </w:r>
      <w:bookmarkStart w:id="7017" w:name="_ETM_Q8_414439"/>
      <w:bookmarkEnd w:id="7017"/>
      <w:r>
        <w:rPr>
          <w:rFonts w:hint="cs"/>
          <w:rtl/>
        </w:rPr>
        <w:t xml:space="preserve">מה </w:t>
      </w:r>
      <w:bookmarkStart w:id="7018" w:name="_ETM_Q8_414620"/>
      <w:bookmarkEnd w:id="7018"/>
      <w:r>
        <w:rPr>
          <w:rFonts w:hint="cs"/>
          <w:rtl/>
        </w:rPr>
        <w:t xml:space="preserve">זה </w:t>
      </w:r>
      <w:bookmarkStart w:id="7019" w:name="_ETM_Q8_414799"/>
      <w:bookmarkEnd w:id="7019"/>
      <w:r>
        <w:rPr>
          <w:rFonts w:hint="cs"/>
          <w:rtl/>
        </w:rPr>
        <w:t xml:space="preserve">מרמה </w:t>
      </w:r>
      <w:bookmarkStart w:id="7020" w:name="_ETM_Q8_415159"/>
      <w:bookmarkEnd w:id="7020"/>
      <w:r>
        <w:rPr>
          <w:rFonts w:hint="cs"/>
          <w:rtl/>
        </w:rPr>
        <w:t xml:space="preserve">והפרת </w:t>
      </w:r>
      <w:bookmarkStart w:id="7021" w:name="_ETM_Q8_415760"/>
      <w:bookmarkEnd w:id="7021"/>
      <w:r>
        <w:rPr>
          <w:rFonts w:hint="cs"/>
          <w:rtl/>
        </w:rPr>
        <w:t xml:space="preserve">אמונים? </w:t>
      </w:r>
      <w:bookmarkStart w:id="7022" w:name="_ETM_Q8_416510"/>
      <w:bookmarkEnd w:id="7022"/>
      <w:r>
        <w:rPr>
          <w:rFonts w:hint="cs"/>
          <w:rtl/>
        </w:rPr>
        <w:t xml:space="preserve">זה </w:t>
      </w:r>
      <w:bookmarkStart w:id="7023" w:name="_ETM_Q8_416719"/>
      <w:bookmarkEnd w:id="7023"/>
      <w:r>
        <w:rPr>
          <w:rFonts w:hint="cs"/>
          <w:rtl/>
        </w:rPr>
        <w:t xml:space="preserve">רק </w:t>
      </w:r>
      <w:bookmarkStart w:id="7024" w:name="_ETM_Q8_416959"/>
      <w:bookmarkEnd w:id="7024"/>
      <w:r>
        <w:rPr>
          <w:rFonts w:hint="cs"/>
          <w:rtl/>
        </w:rPr>
        <w:t xml:space="preserve">משהו </w:t>
      </w:r>
      <w:bookmarkStart w:id="7025" w:name="_ETM_Q8_417409"/>
      <w:bookmarkEnd w:id="7025"/>
      <w:r>
        <w:rPr>
          <w:rFonts w:hint="cs"/>
          <w:rtl/>
        </w:rPr>
        <w:t xml:space="preserve">שאתה </w:t>
      </w:r>
      <w:bookmarkStart w:id="7026" w:name="_ETM_Q8_417739"/>
      <w:bookmarkEnd w:id="7026"/>
      <w:r>
        <w:rPr>
          <w:rFonts w:hint="cs"/>
          <w:rtl/>
        </w:rPr>
        <w:t xml:space="preserve">מחנך </w:t>
      </w:r>
      <w:bookmarkStart w:id="7027" w:name="_ETM_Q8_418340"/>
      <w:bookmarkEnd w:id="7027"/>
      <w:r>
        <w:rPr>
          <w:rFonts w:hint="cs"/>
          <w:rtl/>
        </w:rPr>
        <w:t xml:space="preserve">את </w:t>
      </w:r>
      <w:bookmarkStart w:id="7028" w:name="_ETM_Q8_418489"/>
      <w:bookmarkEnd w:id="7028"/>
      <w:r>
        <w:rPr>
          <w:rFonts w:hint="cs"/>
          <w:rtl/>
        </w:rPr>
        <w:t xml:space="preserve">הילד </w:t>
      </w:r>
      <w:bookmarkStart w:id="7029" w:name="_ETM_Q8_418909"/>
      <w:bookmarkEnd w:id="7029"/>
      <w:r>
        <w:rPr>
          <w:rFonts w:hint="cs"/>
          <w:rtl/>
        </w:rPr>
        <w:t xml:space="preserve">שלך </w:t>
      </w:r>
      <w:bookmarkStart w:id="7030" w:name="_ETM_Q8_419239"/>
      <w:bookmarkEnd w:id="7030"/>
      <w:r>
        <w:rPr>
          <w:rFonts w:hint="cs"/>
          <w:rtl/>
        </w:rPr>
        <w:t xml:space="preserve">כל </w:t>
      </w:r>
      <w:bookmarkStart w:id="7031" w:name="_ETM_Q8_419910"/>
      <w:bookmarkEnd w:id="7031"/>
      <w:r>
        <w:rPr>
          <w:rFonts w:hint="cs"/>
          <w:rtl/>
        </w:rPr>
        <w:t xml:space="preserve">יום: </w:t>
      </w:r>
      <w:bookmarkStart w:id="7032" w:name="_ETM_Q8_420240"/>
      <w:bookmarkEnd w:id="7032"/>
      <w:r>
        <w:rPr>
          <w:rFonts w:hint="cs"/>
          <w:rtl/>
        </w:rPr>
        <w:t xml:space="preserve">תהיה ישר, </w:t>
      </w:r>
      <w:bookmarkStart w:id="7033" w:name="_ETM_Q8_421170"/>
      <w:bookmarkEnd w:id="7033"/>
      <w:r>
        <w:rPr>
          <w:rFonts w:hint="cs"/>
          <w:rtl/>
        </w:rPr>
        <w:t xml:space="preserve">אל </w:t>
      </w:r>
      <w:bookmarkStart w:id="7034" w:name="_ETM_Q8_421320"/>
      <w:bookmarkEnd w:id="7034"/>
      <w:r>
        <w:rPr>
          <w:rFonts w:hint="cs"/>
          <w:rtl/>
        </w:rPr>
        <w:t xml:space="preserve">תשקר, </w:t>
      </w:r>
      <w:bookmarkStart w:id="7035" w:name="_ETM_Q8_422040"/>
      <w:bookmarkEnd w:id="7035"/>
      <w:r>
        <w:rPr>
          <w:rFonts w:hint="cs"/>
          <w:rtl/>
        </w:rPr>
        <w:t xml:space="preserve">תהיה </w:t>
      </w:r>
      <w:bookmarkStart w:id="7036" w:name="_ETM_Q8_422340"/>
      <w:bookmarkEnd w:id="7036"/>
      <w:r>
        <w:rPr>
          <w:rFonts w:hint="cs"/>
          <w:rtl/>
        </w:rPr>
        <w:t xml:space="preserve">בן אדם </w:t>
      </w:r>
      <w:bookmarkStart w:id="7037" w:name="_ETM_Q8_422880"/>
      <w:bookmarkEnd w:id="7037"/>
      <w:r>
        <w:rPr>
          <w:rFonts w:hint="cs"/>
          <w:rtl/>
        </w:rPr>
        <w:t xml:space="preserve">טוב; </w:t>
      </w:r>
      <w:bookmarkStart w:id="7038" w:name="_ETM_Q8_424099"/>
      <w:bookmarkEnd w:id="7038"/>
      <w:r>
        <w:rPr>
          <w:rFonts w:hint="cs"/>
          <w:rtl/>
        </w:rPr>
        <w:t xml:space="preserve">חוק </w:t>
      </w:r>
      <w:bookmarkStart w:id="7039" w:name="_ETM_Q8_424580"/>
      <w:bookmarkEnd w:id="7039"/>
      <w:r>
        <w:rPr>
          <w:rFonts w:hint="cs"/>
          <w:rtl/>
        </w:rPr>
        <w:t xml:space="preserve">להסדרת </w:t>
      </w:r>
      <w:bookmarkStart w:id="7040" w:name="_ETM_Q8_425239"/>
      <w:bookmarkEnd w:id="7040"/>
      <w:r>
        <w:rPr>
          <w:rFonts w:hint="cs"/>
          <w:rtl/>
        </w:rPr>
        <w:t xml:space="preserve">ההפגנות, שהוא </w:t>
      </w:r>
      <w:bookmarkStart w:id="7041" w:name="_ETM_Q8_426170"/>
      <w:bookmarkEnd w:id="7041"/>
      <w:r>
        <w:rPr>
          <w:rFonts w:hint="cs"/>
          <w:rtl/>
        </w:rPr>
        <w:t xml:space="preserve">בקנה, </w:t>
      </w:r>
      <w:bookmarkStart w:id="7042" w:name="_ETM_Q8_427209"/>
      <w:bookmarkEnd w:id="7042"/>
      <w:r>
        <w:rPr>
          <w:rFonts w:hint="cs"/>
          <w:rtl/>
        </w:rPr>
        <w:t xml:space="preserve">וריסוק </w:t>
      </w:r>
      <w:bookmarkStart w:id="7043" w:name="_ETM_Q8_428049"/>
      <w:bookmarkEnd w:id="7043"/>
      <w:r>
        <w:rPr>
          <w:rFonts w:hint="cs"/>
          <w:rtl/>
        </w:rPr>
        <w:t xml:space="preserve">התקשורת </w:t>
      </w:r>
      <w:bookmarkStart w:id="7044" w:name="_ETM_Q8_428680"/>
      <w:bookmarkEnd w:id="7044"/>
      <w:r>
        <w:rPr>
          <w:rFonts w:hint="cs"/>
          <w:rtl/>
        </w:rPr>
        <w:t xml:space="preserve">החופשית. רק </w:t>
      </w:r>
      <w:bookmarkStart w:id="7045" w:name="_ETM_Q8_429580"/>
      <w:bookmarkEnd w:id="7045"/>
      <w:r>
        <w:rPr>
          <w:rFonts w:hint="cs"/>
          <w:rtl/>
        </w:rPr>
        <w:t xml:space="preserve">מהשבוע </w:t>
      </w:r>
      <w:bookmarkStart w:id="7046" w:name="_ETM_Q8_430299"/>
      <w:bookmarkEnd w:id="7046"/>
      <w:r>
        <w:rPr>
          <w:rFonts w:hint="cs"/>
          <w:rtl/>
        </w:rPr>
        <w:t xml:space="preserve">האחרון. </w:t>
      </w:r>
      <w:bookmarkStart w:id="7047" w:name="_ETM_Q8_432090"/>
      <w:bookmarkEnd w:id="7047"/>
    </w:p>
    <w:p w:rsidR="000C5C1F" w:rsidRDefault="000C5C1F" w:rsidP="000C5C1F">
      <w:pPr>
        <w:rPr>
          <w:rtl/>
        </w:rPr>
      </w:pPr>
      <w:bookmarkStart w:id="7048" w:name="_ETM_Q8_434476"/>
      <w:bookmarkStart w:id="7049" w:name="_ETM_Q8_434521"/>
      <w:bookmarkEnd w:id="7048"/>
      <w:bookmarkEnd w:id="7049"/>
    </w:p>
    <w:p w:rsidR="000C5C1F" w:rsidRDefault="000C5C1F" w:rsidP="000C5C1F">
      <w:pPr>
        <w:rPr>
          <w:rtl/>
        </w:rPr>
      </w:pPr>
      <w:bookmarkStart w:id="7050" w:name="_ETM_Q8_434674"/>
      <w:bookmarkStart w:id="7051" w:name="_ETM_Q8_434734"/>
      <w:bookmarkEnd w:id="7050"/>
      <w:bookmarkEnd w:id="7051"/>
      <w:r>
        <w:rPr>
          <w:rFonts w:hint="cs"/>
          <w:rtl/>
        </w:rPr>
        <w:t xml:space="preserve">כסף: </w:t>
      </w:r>
      <w:bookmarkStart w:id="7052" w:name="_ETM_Q8_434510"/>
      <w:bookmarkEnd w:id="7052"/>
      <w:r>
        <w:rPr>
          <w:rFonts w:hint="cs"/>
          <w:rtl/>
        </w:rPr>
        <w:t>סכו</w:t>
      </w:r>
      <w:bookmarkStart w:id="7053" w:name="_ETM_Q8_435019"/>
      <w:bookmarkStart w:id="7054" w:name="_ETM_Q8_435529"/>
      <w:bookmarkEnd w:id="7053"/>
      <w:bookmarkEnd w:id="7054"/>
      <w:r>
        <w:rPr>
          <w:rFonts w:hint="cs"/>
          <w:rtl/>
        </w:rPr>
        <w:t xml:space="preserve">מי שיא של </w:t>
      </w:r>
      <w:bookmarkStart w:id="7055" w:name="_ETM_Q8_435829"/>
      <w:bookmarkEnd w:id="7055"/>
      <w:r>
        <w:rPr>
          <w:rFonts w:hint="cs"/>
          <w:rtl/>
        </w:rPr>
        <w:t xml:space="preserve">העברות </w:t>
      </w:r>
      <w:bookmarkStart w:id="7056" w:name="_ETM_Q8_436370"/>
      <w:bookmarkEnd w:id="7056"/>
      <w:r>
        <w:rPr>
          <w:rFonts w:hint="cs"/>
          <w:rtl/>
        </w:rPr>
        <w:t xml:space="preserve">תקציבים </w:t>
      </w:r>
      <w:bookmarkStart w:id="7057" w:name="_ETM_Q8_436909"/>
      <w:bookmarkEnd w:id="7057"/>
      <w:r>
        <w:rPr>
          <w:rFonts w:hint="cs"/>
          <w:rtl/>
        </w:rPr>
        <w:t xml:space="preserve">סקטוריאליות; </w:t>
      </w:r>
      <w:bookmarkStart w:id="7058" w:name="_ETM_Q8_438550"/>
      <w:bookmarkEnd w:id="7058"/>
      <w:r>
        <w:rPr>
          <w:rFonts w:hint="cs"/>
          <w:rtl/>
        </w:rPr>
        <w:t xml:space="preserve">קרן </w:t>
      </w:r>
      <w:bookmarkStart w:id="7059" w:name="_ETM_Q8_439060"/>
      <w:bookmarkEnd w:id="7059"/>
      <w:r>
        <w:rPr>
          <w:rFonts w:hint="cs"/>
          <w:rtl/>
        </w:rPr>
        <w:t xml:space="preserve">ארנונה; </w:t>
      </w:r>
      <w:bookmarkStart w:id="7060" w:name="_ETM_Q8_440289"/>
      <w:bookmarkEnd w:id="7060"/>
      <w:r>
        <w:rPr>
          <w:rFonts w:hint="cs"/>
          <w:rtl/>
        </w:rPr>
        <w:t xml:space="preserve">קצבאות </w:t>
      </w:r>
      <w:bookmarkStart w:id="7061" w:name="_ETM_Q8_441249"/>
      <w:bookmarkEnd w:id="7061"/>
      <w:r>
        <w:rPr>
          <w:rFonts w:hint="cs"/>
          <w:rtl/>
        </w:rPr>
        <w:t xml:space="preserve">למי </w:t>
      </w:r>
      <w:bookmarkStart w:id="7062" w:name="_ETM_Q8_441520"/>
      <w:bookmarkEnd w:id="7062"/>
      <w:r>
        <w:rPr>
          <w:rFonts w:hint="cs"/>
          <w:rtl/>
        </w:rPr>
        <w:t xml:space="preserve">שלא </w:t>
      </w:r>
      <w:bookmarkStart w:id="7063" w:name="_ETM_Q8_442029"/>
      <w:bookmarkEnd w:id="7063"/>
      <w:r>
        <w:rPr>
          <w:rFonts w:hint="cs"/>
          <w:rtl/>
        </w:rPr>
        <w:t>עובד,</w:t>
      </w:r>
      <w:bookmarkStart w:id="7064" w:name="_ETM_Q8_443409"/>
      <w:bookmarkEnd w:id="7064"/>
      <w:r>
        <w:rPr>
          <w:rFonts w:hint="cs"/>
          <w:rtl/>
        </w:rPr>
        <w:t xml:space="preserve"> ביטול התמריץ </w:t>
      </w:r>
      <w:bookmarkStart w:id="7065" w:name="_ETM_Q8_444009"/>
      <w:bookmarkEnd w:id="7065"/>
      <w:r>
        <w:rPr>
          <w:rFonts w:hint="cs"/>
          <w:rtl/>
        </w:rPr>
        <w:t xml:space="preserve">לצאת </w:t>
      </w:r>
      <w:bookmarkStart w:id="7066" w:name="_ETM_Q8_444430"/>
      <w:bookmarkEnd w:id="7066"/>
      <w:r>
        <w:rPr>
          <w:rFonts w:hint="cs"/>
          <w:rtl/>
        </w:rPr>
        <w:t xml:space="preserve">לעבודה; </w:t>
      </w:r>
      <w:bookmarkStart w:id="7067" w:name="_ETM_Q8_445410"/>
      <w:bookmarkEnd w:id="7067"/>
      <w:r>
        <w:rPr>
          <w:rFonts w:hint="cs"/>
          <w:rtl/>
        </w:rPr>
        <w:t xml:space="preserve">תלושי </w:t>
      </w:r>
      <w:bookmarkStart w:id="7068" w:name="_ETM_Q8_446010"/>
      <w:bookmarkStart w:id="7069" w:name="_ETM_Q8_448520"/>
      <w:bookmarkEnd w:id="7068"/>
      <w:bookmarkEnd w:id="7069"/>
      <w:r>
        <w:rPr>
          <w:rFonts w:hint="cs"/>
          <w:rtl/>
        </w:rPr>
        <w:t xml:space="preserve">מזון שהם לא למאותגרי מזון, הם רק </w:t>
      </w:r>
      <w:bookmarkStart w:id="7070" w:name="_ETM_Q8_449699"/>
      <w:bookmarkEnd w:id="7070"/>
      <w:r>
        <w:rPr>
          <w:rFonts w:hint="cs"/>
          <w:rtl/>
        </w:rPr>
        <w:t xml:space="preserve">לבוחרים </w:t>
      </w:r>
      <w:bookmarkStart w:id="7071" w:name="_ETM_Q8_450479"/>
      <w:bookmarkEnd w:id="7071"/>
      <w:r>
        <w:rPr>
          <w:rFonts w:hint="cs"/>
          <w:rtl/>
        </w:rPr>
        <w:t xml:space="preserve">ולמקושרים; </w:t>
      </w:r>
      <w:bookmarkStart w:id="7072" w:name="_ETM_Q8_452210"/>
      <w:bookmarkEnd w:id="7072"/>
      <w:r>
        <w:rPr>
          <w:rFonts w:hint="cs"/>
          <w:rtl/>
        </w:rPr>
        <w:t xml:space="preserve">עוד </w:t>
      </w:r>
      <w:bookmarkStart w:id="7073" w:name="_ETM_Q8_456311"/>
      <w:bookmarkEnd w:id="7073"/>
      <w:r>
        <w:rPr>
          <w:rFonts w:hint="cs"/>
          <w:rtl/>
        </w:rPr>
        <w:t xml:space="preserve">העברות </w:t>
      </w:r>
      <w:bookmarkStart w:id="7074" w:name="_ETM_Q8_453080"/>
      <w:bookmarkEnd w:id="7074"/>
      <w:r>
        <w:rPr>
          <w:rFonts w:hint="cs"/>
          <w:rtl/>
        </w:rPr>
        <w:t xml:space="preserve">סקטוריאליות, </w:t>
      </w:r>
      <w:bookmarkStart w:id="7075" w:name="_ETM_Q8_454639"/>
      <w:bookmarkEnd w:id="7075"/>
      <w:r>
        <w:rPr>
          <w:rFonts w:hint="cs"/>
          <w:rtl/>
        </w:rPr>
        <w:t xml:space="preserve">עוד </w:t>
      </w:r>
      <w:bookmarkStart w:id="7076" w:name="_ETM_Q8_454879"/>
      <w:bookmarkEnd w:id="7076"/>
      <w:r>
        <w:rPr>
          <w:rFonts w:hint="cs"/>
          <w:rtl/>
        </w:rPr>
        <w:t xml:space="preserve">הגדלות </w:t>
      </w:r>
      <w:bookmarkStart w:id="7077" w:name="_ETM_Q8_455330"/>
      <w:bookmarkEnd w:id="7077"/>
      <w:r>
        <w:rPr>
          <w:rFonts w:hint="cs"/>
          <w:rtl/>
        </w:rPr>
        <w:t xml:space="preserve">של </w:t>
      </w:r>
      <w:bookmarkStart w:id="7078" w:name="_ETM_Q8_455509"/>
      <w:bookmarkEnd w:id="7078"/>
      <w:r>
        <w:rPr>
          <w:rFonts w:hint="cs"/>
          <w:rtl/>
        </w:rPr>
        <w:t xml:space="preserve">תשלומים </w:t>
      </w:r>
      <w:bookmarkStart w:id="7079" w:name="_ETM_Q8_456050"/>
      <w:bookmarkEnd w:id="7079"/>
      <w:r>
        <w:rPr>
          <w:rFonts w:hint="cs"/>
          <w:rtl/>
        </w:rPr>
        <w:t xml:space="preserve">לאברכים. </w:t>
      </w:r>
      <w:bookmarkStart w:id="7080" w:name="_ETM_Q8_457249"/>
      <w:bookmarkEnd w:id="7080"/>
      <w:r>
        <w:rPr>
          <w:rFonts w:hint="cs"/>
          <w:rtl/>
        </w:rPr>
        <w:t xml:space="preserve">ומה? </w:t>
      </w:r>
      <w:bookmarkStart w:id="7081" w:name="_ETM_Q8_458119"/>
      <w:bookmarkEnd w:id="7081"/>
      <w:r>
        <w:rPr>
          <w:rFonts w:hint="cs"/>
          <w:rtl/>
        </w:rPr>
        <w:t xml:space="preserve">לקצץ </w:t>
      </w:r>
      <w:bookmarkStart w:id="7082" w:name="_ETM_Q8_458699"/>
      <w:bookmarkStart w:id="7083" w:name="_ETM_Q8_459120"/>
      <w:bookmarkEnd w:id="7082"/>
      <w:bookmarkEnd w:id="7083"/>
      <w:r>
        <w:rPr>
          <w:rFonts w:hint="cs"/>
          <w:rtl/>
        </w:rPr>
        <w:t xml:space="preserve">את </w:t>
      </w:r>
      <w:bookmarkStart w:id="7084" w:name="_ETM_Q8_459270"/>
      <w:bookmarkEnd w:id="7084"/>
      <w:r>
        <w:rPr>
          <w:rFonts w:hint="cs"/>
          <w:rtl/>
        </w:rPr>
        <w:t xml:space="preserve">תקציב </w:t>
      </w:r>
      <w:bookmarkStart w:id="7085" w:name="_ETM_Q8_459689"/>
      <w:bookmarkEnd w:id="7085"/>
      <w:r>
        <w:rPr>
          <w:rFonts w:hint="cs"/>
          <w:rtl/>
        </w:rPr>
        <w:t xml:space="preserve">רשות </w:t>
      </w:r>
      <w:bookmarkStart w:id="7086" w:name="_ETM_Q8_460050"/>
      <w:bookmarkEnd w:id="7086"/>
      <w:r>
        <w:rPr>
          <w:rFonts w:hint="cs"/>
          <w:rtl/>
        </w:rPr>
        <w:t xml:space="preserve">החדשנות, </w:t>
      </w:r>
      <w:bookmarkStart w:id="7087" w:name="_ETM_Q8_461310"/>
      <w:bookmarkEnd w:id="7087"/>
      <w:r>
        <w:rPr>
          <w:rFonts w:hint="cs"/>
          <w:rtl/>
        </w:rPr>
        <w:t xml:space="preserve">שורפים </w:t>
      </w:r>
      <w:bookmarkStart w:id="7088" w:name="_ETM_Q8_462180"/>
      <w:bookmarkEnd w:id="7088"/>
      <w:r>
        <w:rPr>
          <w:rFonts w:hint="cs"/>
          <w:rtl/>
        </w:rPr>
        <w:t xml:space="preserve">את </w:t>
      </w:r>
      <w:bookmarkStart w:id="7089" w:name="_ETM_Q8_462300"/>
      <w:bookmarkEnd w:id="7089"/>
      <w:r>
        <w:rPr>
          <w:rFonts w:hint="cs"/>
          <w:rtl/>
        </w:rPr>
        <w:t xml:space="preserve">כספי </w:t>
      </w:r>
      <w:bookmarkStart w:id="7090" w:name="_ETM_Q8_462810"/>
      <w:bookmarkEnd w:id="7090"/>
      <w:r>
        <w:rPr>
          <w:rFonts w:hint="cs"/>
          <w:rtl/>
        </w:rPr>
        <w:t xml:space="preserve">המיסים </w:t>
      </w:r>
      <w:bookmarkStart w:id="7091" w:name="_ETM_Q8_463319"/>
      <w:bookmarkEnd w:id="7091"/>
      <w:r>
        <w:rPr>
          <w:rFonts w:hint="cs"/>
          <w:rtl/>
        </w:rPr>
        <w:t xml:space="preserve">שלנו </w:t>
      </w:r>
      <w:bookmarkStart w:id="7092" w:name="_ETM_Q8_464250"/>
      <w:bookmarkEnd w:id="7092"/>
      <w:r>
        <w:rPr>
          <w:rFonts w:hint="cs"/>
          <w:rtl/>
        </w:rPr>
        <w:t xml:space="preserve">על </w:t>
      </w:r>
      <w:bookmarkStart w:id="7093" w:name="_ETM_Q8_464400"/>
      <w:bookmarkEnd w:id="7093"/>
      <w:r>
        <w:rPr>
          <w:rFonts w:hint="cs"/>
          <w:rtl/>
        </w:rPr>
        <w:t xml:space="preserve">הוצאות </w:t>
      </w:r>
      <w:bookmarkStart w:id="7094" w:name="_ETM_Q8_465029"/>
      <w:bookmarkEnd w:id="7094"/>
      <w:r>
        <w:rPr>
          <w:rFonts w:hint="cs"/>
          <w:rtl/>
        </w:rPr>
        <w:t xml:space="preserve">שלא </w:t>
      </w:r>
      <w:bookmarkStart w:id="7095" w:name="_ETM_Q8_465330"/>
      <w:bookmarkEnd w:id="7095"/>
      <w:r>
        <w:rPr>
          <w:rFonts w:hint="cs"/>
          <w:rtl/>
        </w:rPr>
        <w:t xml:space="preserve">מצמיחות </w:t>
      </w:r>
      <w:bookmarkStart w:id="7096" w:name="_ETM_Q8_465960"/>
      <w:bookmarkEnd w:id="7096"/>
      <w:r>
        <w:rPr>
          <w:rFonts w:hint="cs"/>
          <w:rtl/>
        </w:rPr>
        <w:t xml:space="preserve">לנו </w:t>
      </w:r>
      <w:bookmarkStart w:id="7097" w:name="_ETM_Q8_466289"/>
      <w:bookmarkEnd w:id="7097"/>
      <w:r>
        <w:rPr>
          <w:rFonts w:hint="cs"/>
          <w:rtl/>
        </w:rPr>
        <w:t xml:space="preserve">תשואה. </w:t>
      </w:r>
      <w:bookmarkStart w:id="7098" w:name="_ETM_Q8_467339"/>
      <w:bookmarkEnd w:id="7098"/>
      <w:r>
        <w:rPr>
          <w:rFonts w:hint="cs"/>
          <w:rtl/>
        </w:rPr>
        <w:t xml:space="preserve">מעודף </w:t>
      </w:r>
      <w:bookmarkStart w:id="7099" w:name="_ETM_Q8_468160"/>
      <w:bookmarkEnd w:id="7099"/>
      <w:r>
        <w:rPr>
          <w:rFonts w:hint="cs"/>
          <w:rtl/>
        </w:rPr>
        <w:t xml:space="preserve">תקציבי </w:t>
      </w:r>
      <w:bookmarkStart w:id="7100" w:name="_ETM_Q8_468729"/>
      <w:bookmarkEnd w:id="7100"/>
      <w:r>
        <w:rPr>
          <w:rFonts w:hint="cs"/>
          <w:rtl/>
        </w:rPr>
        <w:t xml:space="preserve">עברנו </w:t>
      </w:r>
      <w:bookmarkStart w:id="7101" w:name="_ETM_Q8_469120"/>
      <w:bookmarkEnd w:id="7101"/>
      <w:r>
        <w:rPr>
          <w:rFonts w:hint="cs"/>
          <w:rtl/>
        </w:rPr>
        <w:t xml:space="preserve">לגירעון, </w:t>
      </w:r>
      <w:bookmarkStart w:id="7102" w:name="_ETM_Q8_469810"/>
      <w:bookmarkEnd w:id="7102"/>
      <w:r>
        <w:rPr>
          <w:rFonts w:hint="cs"/>
          <w:rtl/>
        </w:rPr>
        <w:t xml:space="preserve">שעבר את </w:t>
      </w:r>
      <w:bookmarkStart w:id="7103" w:name="_ETM_Q8_470410"/>
      <w:bookmarkEnd w:id="7103"/>
      <w:r>
        <w:rPr>
          <w:rFonts w:hint="cs"/>
          <w:rtl/>
        </w:rPr>
        <w:t xml:space="preserve">כל </w:t>
      </w:r>
      <w:bookmarkStart w:id="7104" w:name="_ETM_Q8_470620"/>
      <w:bookmarkEnd w:id="7104"/>
      <w:r>
        <w:rPr>
          <w:rFonts w:hint="cs"/>
          <w:rtl/>
        </w:rPr>
        <w:t xml:space="preserve">התחזיות, </w:t>
      </w:r>
      <w:bookmarkStart w:id="7105" w:name="_ETM_Q8_472050"/>
      <w:bookmarkEnd w:id="7105"/>
      <w:r>
        <w:rPr>
          <w:rFonts w:hint="cs"/>
          <w:rtl/>
        </w:rPr>
        <w:t xml:space="preserve">על </w:t>
      </w:r>
      <w:bookmarkStart w:id="7106" w:name="_ETM_Q8_472200"/>
      <w:bookmarkEnd w:id="7106"/>
      <w:r>
        <w:rPr>
          <w:rFonts w:hint="cs"/>
          <w:rtl/>
        </w:rPr>
        <w:t xml:space="preserve">חשבוננו. </w:t>
      </w:r>
      <w:bookmarkStart w:id="7107" w:name="_ETM_Q8_473729"/>
      <w:bookmarkEnd w:id="7107"/>
    </w:p>
    <w:p w:rsidR="000C5C1F" w:rsidRDefault="000C5C1F" w:rsidP="000C5C1F">
      <w:pPr>
        <w:rPr>
          <w:rtl/>
        </w:rPr>
      </w:pPr>
      <w:bookmarkStart w:id="7108" w:name="_ETM_Q8_476612"/>
      <w:bookmarkStart w:id="7109" w:name="_ETM_Q8_476705"/>
      <w:bookmarkEnd w:id="7108"/>
      <w:bookmarkEnd w:id="7109"/>
    </w:p>
    <w:p w:rsidR="000C5C1F" w:rsidRDefault="000C5C1F" w:rsidP="000C5C1F">
      <w:pPr>
        <w:rPr>
          <w:rtl/>
        </w:rPr>
      </w:pPr>
      <w:r>
        <w:rPr>
          <w:rFonts w:hint="cs"/>
          <w:rtl/>
        </w:rPr>
        <w:t xml:space="preserve">אמרנו </w:t>
      </w:r>
      <w:bookmarkStart w:id="7110" w:name="_ETM_Q8_474339"/>
      <w:bookmarkEnd w:id="7110"/>
      <w:r>
        <w:rPr>
          <w:rFonts w:hint="cs"/>
          <w:rtl/>
        </w:rPr>
        <w:t xml:space="preserve">כוח. </w:t>
      </w:r>
      <w:bookmarkStart w:id="7111" w:name="_ETM_Q8_475180"/>
      <w:bookmarkEnd w:id="7111"/>
      <w:r>
        <w:rPr>
          <w:rFonts w:hint="cs"/>
          <w:rtl/>
        </w:rPr>
        <w:t xml:space="preserve">אמרנו </w:t>
      </w:r>
      <w:bookmarkStart w:id="7112" w:name="_ETM_Q8_475600"/>
      <w:bookmarkEnd w:id="7112"/>
      <w:r>
        <w:rPr>
          <w:rFonts w:hint="cs"/>
          <w:rtl/>
        </w:rPr>
        <w:t xml:space="preserve">כסף. </w:t>
      </w:r>
      <w:bookmarkStart w:id="7113" w:name="_ETM_Q8_476730"/>
      <w:bookmarkStart w:id="7114" w:name="_ETM_Q8_481056"/>
      <w:bookmarkEnd w:id="7113"/>
      <w:bookmarkEnd w:id="7114"/>
      <w:r>
        <w:rPr>
          <w:rFonts w:hint="cs"/>
          <w:rtl/>
        </w:rPr>
        <w:t>בואו נעבור לכבוד</w:t>
      </w:r>
      <w:bookmarkStart w:id="7115" w:name="_ETM_Q8_481117"/>
      <w:bookmarkStart w:id="7116" w:name="_ETM_Q8_479279"/>
      <w:bookmarkEnd w:id="7115"/>
      <w:bookmarkEnd w:id="7116"/>
      <w:r>
        <w:rPr>
          <w:rFonts w:hint="cs"/>
          <w:rtl/>
        </w:rPr>
        <w:t xml:space="preserve"> ולכיבודים: </w:t>
      </w:r>
      <w:bookmarkStart w:id="7117" w:name="_ETM_Q8_480660"/>
      <w:bookmarkStart w:id="7118" w:name="_ETM_Q8_480480"/>
      <w:bookmarkEnd w:id="7117"/>
      <w:bookmarkEnd w:id="7118"/>
      <w:r>
        <w:rPr>
          <w:rFonts w:hint="cs"/>
          <w:rtl/>
        </w:rPr>
        <w:t xml:space="preserve">במקום </w:t>
      </w:r>
      <w:bookmarkStart w:id="7119" w:name="_ETM_Q8_481170"/>
      <w:bookmarkEnd w:id="7119"/>
      <w:r>
        <w:rPr>
          <w:rFonts w:hint="cs"/>
          <w:rtl/>
        </w:rPr>
        <w:t xml:space="preserve">תוכנית </w:t>
      </w:r>
      <w:bookmarkStart w:id="7120" w:name="_ETM_Q8_481740"/>
      <w:bookmarkEnd w:id="7120"/>
      <w:r>
        <w:rPr>
          <w:rFonts w:hint="cs"/>
          <w:rtl/>
        </w:rPr>
        <w:t xml:space="preserve">לאומית </w:t>
      </w:r>
      <w:bookmarkStart w:id="7121" w:name="_ETM_Q8_482190"/>
      <w:bookmarkEnd w:id="7121"/>
      <w:r>
        <w:rPr>
          <w:rFonts w:hint="cs"/>
          <w:rtl/>
        </w:rPr>
        <w:t xml:space="preserve">לזוגות </w:t>
      </w:r>
      <w:bookmarkStart w:id="7122" w:name="_ETM_Q8_482730"/>
      <w:bookmarkEnd w:id="7122"/>
      <w:r>
        <w:rPr>
          <w:rFonts w:hint="cs"/>
          <w:rtl/>
        </w:rPr>
        <w:t xml:space="preserve">הצעירים </w:t>
      </w:r>
      <w:bookmarkStart w:id="7123" w:name="_ETM_Q8_484510"/>
      <w:bookmarkEnd w:id="7123"/>
      <w:r>
        <w:rPr>
          <w:rFonts w:hint="cs"/>
          <w:rtl/>
        </w:rPr>
        <w:t xml:space="preserve">ממנים </w:t>
      </w:r>
      <w:bookmarkStart w:id="7124" w:name="_ETM_Q8_485080"/>
      <w:bookmarkEnd w:id="7124"/>
      <w:r>
        <w:rPr>
          <w:rFonts w:hint="cs"/>
          <w:rtl/>
        </w:rPr>
        <w:t xml:space="preserve">את </w:t>
      </w:r>
      <w:bookmarkStart w:id="7125" w:name="_ETM_Q8_485200"/>
      <w:bookmarkEnd w:id="7125"/>
      <w:r>
        <w:rPr>
          <w:rFonts w:hint="cs"/>
          <w:rtl/>
        </w:rPr>
        <w:t xml:space="preserve">מנהל </w:t>
      </w:r>
      <w:bookmarkStart w:id="7126" w:name="_ETM_Q8_485680"/>
      <w:bookmarkEnd w:id="7126"/>
      <w:r>
        <w:rPr>
          <w:rFonts w:hint="cs"/>
          <w:rtl/>
        </w:rPr>
        <w:t xml:space="preserve">הליכודיאדה </w:t>
      </w:r>
      <w:bookmarkStart w:id="7127" w:name="_ETM_Q8_486700"/>
      <w:bookmarkEnd w:id="7127"/>
      <w:r>
        <w:rPr>
          <w:rFonts w:hint="cs"/>
          <w:rtl/>
        </w:rPr>
        <w:t xml:space="preserve">למנכ"ל </w:t>
      </w:r>
      <w:bookmarkStart w:id="7128" w:name="_ETM_Q8_487450"/>
      <w:bookmarkEnd w:id="7128"/>
      <w:r>
        <w:rPr>
          <w:rFonts w:hint="cs"/>
          <w:rtl/>
        </w:rPr>
        <w:t xml:space="preserve">משרד </w:t>
      </w:r>
      <w:bookmarkStart w:id="7129" w:name="_ETM_Q8_487960"/>
      <w:bookmarkEnd w:id="7129"/>
      <w:r>
        <w:rPr>
          <w:rFonts w:hint="cs"/>
          <w:rtl/>
        </w:rPr>
        <w:t xml:space="preserve">התחבורה; </w:t>
      </w:r>
      <w:bookmarkStart w:id="7130" w:name="_ETM_Q8_489160"/>
      <w:bookmarkEnd w:id="7130"/>
      <w:r>
        <w:rPr>
          <w:rFonts w:hint="cs"/>
          <w:rtl/>
        </w:rPr>
        <w:t xml:space="preserve">מפטרים </w:t>
      </w:r>
      <w:bookmarkStart w:id="7131" w:name="_ETM_Q8_489790"/>
      <w:bookmarkEnd w:id="7131"/>
      <w:r>
        <w:rPr>
          <w:rFonts w:hint="cs"/>
          <w:rtl/>
        </w:rPr>
        <w:t xml:space="preserve">את </w:t>
      </w:r>
      <w:bookmarkStart w:id="7132" w:name="_ETM_Q8_489969"/>
      <w:bookmarkEnd w:id="7132"/>
      <w:r>
        <w:rPr>
          <w:rFonts w:hint="cs"/>
          <w:rtl/>
        </w:rPr>
        <w:t xml:space="preserve">יו"ר </w:t>
      </w:r>
      <w:bookmarkStart w:id="7133" w:name="_ETM_Q8_490389"/>
      <w:bookmarkEnd w:id="7133"/>
      <w:r>
        <w:rPr>
          <w:rFonts w:hint="cs"/>
          <w:rtl/>
        </w:rPr>
        <w:t xml:space="preserve">הרשות </w:t>
      </w:r>
      <w:bookmarkStart w:id="7134" w:name="_ETM_Q8_490990"/>
      <w:bookmarkEnd w:id="7134"/>
      <w:r>
        <w:rPr>
          <w:rFonts w:hint="cs"/>
          <w:rtl/>
        </w:rPr>
        <w:t xml:space="preserve">לקידום </w:t>
      </w:r>
      <w:bookmarkStart w:id="7135" w:name="_ETM_Q8_491500"/>
      <w:bookmarkEnd w:id="7135"/>
      <w:r>
        <w:rPr>
          <w:rFonts w:hint="cs"/>
          <w:rtl/>
        </w:rPr>
        <w:t xml:space="preserve">מעמד </w:t>
      </w:r>
      <w:bookmarkStart w:id="7136" w:name="_ETM_Q8_491950"/>
      <w:bookmarkEnd w:id="7136"/>
      <w:r>
        <w:rPr>
          <w:rFonts w:hint="cs"/>
          <w:rtl/>
        </w:rPr>
        <w:t xml:space="preserve">האישה; </w:t>
      </w:r>
      <w:bookmarkStart w:id="7137" w:name="_ETM_Q8_492940"/>
      <w:bookmarkEnd w:id="7137"/>
      <w:r>
        <w:rPr>
          <w:rFonts w:hint="cs"/>
          <w:rtl/>
        </w:rPr>
        <w:t xml:space="preserve">מפטרים </w:t>
      </w:r>
      <w:bookmarkStart w:id="7138" w:name="_ETM_Q8_493630"/>
      <w:bookmarkEnd w:id="7138"/>
      <w:r>
        <w:rPr>
          <w:rFonts w:hint="cs"/>
          <w:rtl/>
        </w:rPr>
        <w:t xml:space="preserve">את </w:t>
      </w:r>
      <w:bookmarkStart w:id="7139" w:name="_ETM_Q8_493750"/>
      <w:bookmarkEnd w:id="7139"/>
      <w:r>
        <w:rPr>
          <w:rFonts w:hint="cs"/>
          <w:rtl/>
        </w:rPr>
        <w:t xml:space="preserve">מנכ"ל </w:t>
      </w:r>
      <w:bookmarkStart w:id="7140" w:name="_ETM_Q8_494200"/>
      <w:bookmarkEnd w:id="7140"/>
      <w:r>
        <w:rPr>
          <w:rFonts w:hint="cs"/>
          <w:rtl/>
        </w:rPr>
        <w:t xml:space="preserve">רכבת </w:t>
      </w:r>
      <w:bookmarkStart w:id="7141" w:name="_ETM_Q8_494710"/>
      <w:bookmarkEnd w:id="7141"/>
      <w:r>
        <w:rPr>
          <w:rFonts w:hint="cs"/>
          <w:rtl/>
        </w:rPr>
        <w:t xml:space="preserve">ישראל; </w:t>
      </w:r>
      <w:bookmarkStart w:id="7142" w:name="_ETM_Q8_495790"/>
      <w:bookmarkEnd w:id="7142"/>
      <w:r>
        <w:rPr>
          <w:rFonts w:hint="cs"/>
          <w:rtl/>
        </w:rPr>
        <w:t>מדיחים את</w:t>
      </w:r>
      <w:bookmarkStart w:id="7143" w:name="_ETM_Q8_496720"/>
      <w:bookmarkEnd w:id="7143"/>
      <w:r>
        <w:rPr>
          <w:rFonts w:hint="cs"/>
          <w:rtl/>
        </w:rPr>
        <w:t xml:space="preserve"> </w:t>
      </w:r>
      <w:bookmarkStart w:id="7144" w:name="_ETM_Q8_497350"/>
      <w:bookmarkEnd w:id="7144"/>
      <w:r>
        <w:rPr>
          <w:rFonts w:hint="cs"/>
          <w:rtl/>
        </w:rPr>
        <w:t xml:space="preserve">יושב-ראש הדואר; </w:t>
      </w:r>
      <w:bookmarkStart w:id="7145" w:name="_ETM_Q8_498339"/>
      <w:bookmarkEnd w:id="7145"/>
      <w:r>
        <w:rPr>
          <w:rFonts w:hint="cs"/>
          <w:rtl/>
        </w:rPr>
        <w:t xml:space="preserve">מטהרים </w:t>
      </w:r>
      <w:bookmarkStart w:id="7146" w:name="_ETM_Q8_499339"/>
      <w:bookmarkEnd w:id="7146"/>
      <w:r>
        <w:rPr>
          <w:rFonts w:hint="cs"/>
          <w:rtl/>
        </w:rPr>
        <w:t xml:space="preserve">את </w:t>
      </w:r>
      <w:bookmarkStart w:id="7147" w:name="_ETM_Q8_499460"/>
      <w:bookmarkEnd w:id="7147"/>
      <w:r>
        <w:rPr>
          <w:rFonts w:hint="cs"/>
          <w:rtl/>
        </w:rPr>
        <w:t xml:space="preserve">משרד </w:t>
      </w:r>
      <w:bookmarkStart w:id="7148" w:name="_ETM_Q8_499910"/>
      <w:bookmarkEnd w:id="7148"/>
      <w:r>
        <w:rPr>
          <w:rFonts w:hint="cs"/>
          <w:rtl/>
        </w:rPr>
        <w:t xml:space="preserve">התחבורה, </w:t>
      </w:r>
      <w:bookmarkStart w:id="7149" w:name="_ETM_Q8_500570"/>
      <w:bookmarkEnd w:id="7149"/>
      <w:r>
        <w:rPr>
          <w:rFonts w:hint="cs"/>
          <w:rtl/>
        </w:rPr>
        <w:t xml:space="preserve">אומרים </w:t>
      </w:r>
      <w:bookmarkStart w:id="7150" w:name="_ETM_Q8_500929"/>
      <w:bookmarkEnd w:id="7150"/>
      <w:r>
        <w:rPr>
          <w:rFonts w:hint="cs"/>
          <w:rtl/>
        </w:rPr>
        <w:t xml:space="preserve">לעובדים: </w:t>
      </w:r>
      <w:bookmarkStart w:id="7151" w:name="_ETM_Q8_501670"/>
      <w:bookmarkEnd w:id="7151"/>
      <w:r>
        <w:rPr>
          <w:rFonts w:hint="cs"/>
          <w:rtl/>
        </w:rPr>
        <w:t xml:space="preserve">תביאו </w:t>
      </w:r>
      <w:bookmarkStart w:id="7152" w:name="_ETM_Q8_502089"/>
      <w:bookmarkEnd w:id="7152"/>
      <w:r>
        <w:rPr>
          <w:rFonts w:hint="cs"/>
          <w:rtl/>
        </w:rPr>
        <w:t xml:space="preserve">לנו </w:t>
      </w:r>
      <w:bookmarkStart w:id="7153" w:name="_ETM_Q8_502330"/>
      <w:bookmarkStart w:id="7154" w:name="_ETM_Q8_502900"/>
      <w:bookmarkEnd w:id="7153"/>
      <w:bookmarkEnd w:id="7154"/>
      <w:r>
        <w:rPr>
          <w:rFonts w:hint="cs"/>
          <w:rtl/>
        </w:rPr>
        <w:t xml:space="preserve">את </w:t>
      </w:r>
      <w:bookmarkStart w:id="7155" w:name="_ETM_Q8_502990"/>
      <w:bookmarkEnd w:id="7155"/>
      <w:r>
        <w:rPr>
          <w:rFonts w:hint="cs"/>
          <w:rtl/>
        </w:rPr>
        <w:t xml:space="preserve">הרשימות </w:t>
      </w:r>
      <w:bookmarkStart w:id="7156" w:name="_ETM_Q8_503589"/>
      <w:bookmarkEnd w:id="7156"/>
      <w:r>
        <w:rPr>
          <w:rFonts w:hint="cs"/>
          <w:rtl/>
        </w:rPr>
        <w:t xml:space="preserve">של </w:t>
      </w:r>
      <w:bookmarkStart w:id="7157" w:name="_ETM_Q8_503800"/>
      <w:bookmarkEnd w:id="7157"/>
      <w:r>
        <w:rPr>
          <w:rFonts w:hint="cs"/>
          <w:rtl/>
        </w:rPr>
        <w:t xml:space="preserve">העובדים </w:t>
      </w:r>
      <w:bookmarkStart w:id="7158" w:name="_ETM_Q8_504190"/>
      <w:bookmarkEnd w:id="7158"/>
      <w:r>
        <w:rPr>
          <w:rFonts w:hint="cs"/>
          <w:rtl/>
        </w:rPr>
        <w:t xml:space="preserve">שהם </w:t>
      </w:r>
      <w:bookmarkStart w:id="7159" w:name="_ETM_Q8_504460"/>
      <w:bookmarkEnd w:id="7159"/>
      <w:r>
        <w:rPr>
          <w:rFonts w:hint="cs"/>
          <w:rtl/>
        </w:rPr>
        <w:t xml:space="preserve">לא </w:t>
      </w:r>
      <w:bookmarkStart w:id="7160" w:name="_ETM_Q8_504580"/>
      <w:bookmarkEnd w:id="7160"/>
      <w:r>
        <w:rPr>
          <w:rFonts w:hint="cs"/>
          <w:rtl/>
        </w:rPr>
        <w:t xml:space="preserve">בקביעות; </w:t>
      </w:r>
      <w:bookmarkStart w:id="7161" w:name="_ETM_Q8_506289"/>
      <w:bookmarkEnd w:id="7161"/>
      <w:r>
        <w:rPr>
          <w:rFonts w:hint="cs"/>
          <w:rtl/>
        </w:rPr>
        <w:t xml:space="preserve">מדיחים את </w:t>
      </w:r>
      <w:bookmarkStart w:id="7162" w:name="_ETM_Q8_507329"/>
      <w:bookmarkEnd w:id="7162"/>
      <w:r>
        <w:rPr>
          <w:rFonts w:hint="cs"/>
          <w:rtl/>
        </w:rPr>
        <w:t xml:space="preserve">מנהלת </w:t>
      </w:r>
      <w:bookmarkStart w:id="7163" w:name="_ETM_Q8_507989"/>
      <w:bookmarkEnd w:id="7163"/>
      <w:r>
        <w:rPr>
          <w:rFonts w:hint="cs"/>
          <w:rtl/>
        </w:rPr>
        <w:t xml:space="preserve">רשות </w:t>
      </w:r>
      <w:bookmarkStart w:id="7164" w:name="_ETM_Q8_508380"/>
      <w:bookmarkEnd w:id="7164"/>
      <w:r>
        <w:rPr>
          <w:rFonts w:hint="cs"/>
          <w:rtl/>
        </w:rPr>
        <w:t xml:space="preserve">החברות; </w:t>
      </w:r>
      <w:bookmarkStart w:id="7165" w:name="_ETM_Q8_509609"/>
      <w:bookmarkEnd w:id="7165"/>
      <w:r>
        <w:rPr>
          <w:rFonts w:hint="cs"/>
          <w:rtl/>
        </w:rPr>
        <w:t xml:space="preserve">מדיחים </w:t>
      </w:r>
      <w:bookmarkStart w:id="7166" w:name="_ETM_Q8_510300"/>
      <w:bookmarkEnd w:id="7166"/>
      <w:r>
        <w:rPr>
          <w:rFonts w:hint="cs"/>
          <w:rtl/>
        </w:rPr>
        <w:t xml:space="preserve">את </w:t>
      </w:r>
      <w:bookmarkStart w:id="7167" w:name="_ETM_Q8_510449"/>
      <w:bookmarkEnd w:id="7167"/>
      <w:r>
        <w:rPr>
          <w:rFonts w:hint="cs"/>
          <w:rtl/>
        </w:rPr>
        <w:t xml:space="preserve">המפכ"ל; </w:t>
      </w:r>
      <w:bookmarkStart w:id="7168" w:name="_ETM_Q8_512080"/>
      <w:bookmarkStart w:id="7169" w:name="_ETM_Q8_512380"/>
      <w:bookmarkEnd w:id="7168"/>
      <w:bookmarkEnd w:id="7169"/>
      <w:r>
        <w:rPr>
          <w:rFonts w:hint="cs"/>
          <w:rtl/>
        </w:rPr>
        <w:t xml:space="preserve">מדיחים את נציב </w:t>
      </w:r>
      <w:bookmarkStart w:id="7170" w:name="_ETM_Q8_512770"/>
      <w:bookmarkEnd w:id="7170"/>
      <w:r>
        <w:rPr>
          <w:rFonts w:hint="cs"/>
          <w:rtl/>
        </w:rPr>
        <w:t xml:space="preserve">מחוז </w:t>
      </w:r>
      <w:bookmarkStart w:id="7171" w:name="_ETM_Q8_513190"/>
      <w:bookmarkEnd w:id="7171"/>
      <w:r>
        <w:rPr>
          <w:rFonts w:hint="cs"/>
          <w:rtl/>
        </w:rPr>
        <w:t xml:space="preserve">תל </w:t>
      </w:r>
      <w:bookmarkStart w:id="7172" w:name="_ETM_Q8_513400"/>
      <w:bookmarkEnd w:id="7172"/>
      <w:r>
        <w:rPr>
          <w:rFonts w:hint="cs"/>
          <w:rtl/>
        </w:rPr>
        <w:t xml:space="preserve">אביב; </w:t>
      </w:r>
      <w:bookmarkStart w:id="7173" w:name="_ETM_Q8_514339"/>
      <w:bookmarkEnd w:id="7173"/>
      <w:r>
        <w:rPr>
          <w:rFonts w:hint="cs"/>
          <w:rtl/>
        </w:rPr>
        <w:t xml:space="preserve">מאיימים </w:t>
      </w:r>
      <w:bookmarkStart w:id="7174" w:name="_ETM_Q8_515060"/>
      <w:bookmarkEnd w:id="7174"/>
      <w:r>
        <w:rPr>
          <w:rFonts w:hint="cs"/>
          <w:rtl/>
        </w:rPr>
        <w:t xml:space="preserve">בפיטורי </w:t>
      </w:r>
      <w:bookmarkStart w:id="7175" w:name="_ETM_Q8_515720"/>
      <w:bookmarkEnd w:id="7175"/>
      <w:r>
        <w:rPr>
          <w:rFonts w:hint="cs"/>
          <w:rtl/>
        </w:rPr>
        <w:t xml:space="preserve">היועצת </w:t>
      </w:r>
      <w:bookmarkStart w:id="7176" w:name="_ETM_Q8_516170"/>
      <w:bookmarkEnd w:id="7176"/>
      <w:r>
        <w:rPr>
          <w:rFonts w:hint="cs"/>
          <w:rtl/>
        </w:rPr>
        <w:t xml:space="preserve">המשפטית </w:t>
      </w:r>
      <w:bookmarkStart w:id="7177" w:name="_ETM_Q8_516829"/>
      <w:bookmarkEnd w:id="7177"/>
      <w:r>
        <w:rPr>
          <w:rFonts w:hint="cs"/>
          <w:rtl/>
        </w:rPr>
        <w:t xml:space="preserve">לממשלה; </w:t>
      </w:r>
      <w:bookmarkStart w:id="7178" w:name="_ETM_Q8_518150"/>
      <w:bookmarkEnd w:id="7178"/>
      <w:r>
        <w:rPr>
          <w:rFonts w:hint="cs"/>
          <w:rtl/>
        </w:rPr>
        <w:t xml:space="preserve">נציבת </w:t>
      </w:r>
      <w:bookmarkStart w:id="7179" w:name="_ETM_Q8_519050"/>
      <w:bookmarkEnd w:id="7179"/>
      <w:r>
        <w:rPr>
          <w:rFonts w:hint="cs"/>
          <w:rtl/>
        </w:rPr>
        <w:t xml:space="preserve">השב"ס </w:t>
      </w:r>
      <w:bookmarkStart w:id="7180" w:name="_ETM_Q8_519890"/>
      <w:bookmarkEnd w:id="7180"/>
      <w:r>
        <w:rPr>
          <w:rFonts w:hint="cs"/>
          <w:rtl/>
        </w:rPr>
        <w:t xml:space="preserve">הודיעה </w:t>
      </w:r>
      <w:bookmarkStart w:id="7181" w:name="_ETM_Q8_520279"/>
      <w:bookmarkStart w:id="7182" w:name="_ETM_Q8_521360"/>
      <w:bookmarkEnd w:id="7181"/>
      <w:bookmarkEnd w:id="7182"/>
      <w:r>
        <w:rPr>
          <w:rFonts w:hint="cs"/>
          <w:rtl/>
        </w:rPr>
        <w:t xml:space="preserve">בסוף </w:t>
      </w:r>
      <w:bookmarkStart w:id="7183" w:name="_ETM_Q8_521720"/>
      <w:bookmarkEnd w:id="7183"/>
      <w:r>
        <w:rPr>
          <w:rFonts w:hint="cs"/>
          <w:rtl/>
        </w:rPr>
        <w:t xml:space="preserve">השבוע </w:t>
      </w:r>
      <w:bookmarkStart w:id="7184" w:name="_ETM_Q8_522260"/>
      <w:bookmarkEnd w:id="7184"/>
      <w:r>
        <w:rPr>
          <w:rFonts w:hint="cs"/>
          <w:rtl/>
        </w:rPr>
        <w:t xml:space="preserve">האחרון שהיא </w:t>
      </w:r>
      <w:bookmarkStart w:id="7185" w:name="_ETM_Q8_520520"/>
      <w:bookmarkEnd w:id="7185"/>
      <w:r>
        <w:rPr>
          <w:rFonts w:hint="cs"/>
          <w:rtl/>
        </w:rPr>
        <w:t xml:space="preserve">מתפטרת </w:t>
      </w:r>
      <w:bookmarkStart w:id="7186" w:name="_ETM_Q8_523100"/>
      <w:bookmarkEnd w:id="7186"/>
      <w:r>
        <w:rPr>
          <w:rFonts w:hint="cs"/>
          <w:rtl/>
        </w:rPr>
        <w:t xml:space="preserve">כי </w:t>
      </w:r>
      <w:bookmarkStart w:id="7187" w:name="_ETM_Q8_523339"/>
      <w:bookmarkEnd w:id="7187"/>
      <w:r>
        <w:rPr>
          <w:rFonts w:hint="cs"/>
          <w:rtl/>
        </w:rPr>
        <w:t xml:space="preserve">היא </w:t>
      </w:r>
      <w:bookmarkStart w:id="7188" w:name="_ETM_Q8_523370"/>
      <w:bookmarkEnd w:id="7188"/>
      <w:r>
        <w:rPr>
          <w:rFonts w:hint="cs"/>
          <w:rtl/>
        </w:rPr>
        <w:t xml:space="preserve">לא </w:t>
      </w:r>
      <w:bookmarkStart w:id="7189" w:name="_ETM_Q8_523670"/>
      <w:bookmarkEnd w:id="7189"/>
      <w:r>
        <w:rPr>
          <w:rFonts w:hint="cs"/>
          <w:rtl/>
        </w:rPr>
        <w:t xml:space="preserve">יכולה </w:t>
      </w:r>
      <w:bookmarkStart w:id="7190" w:name="_ETM_Q8_524089"/>
      <w:bookmarkEnd w:id="7190"/>
      <w:r>
        <w:rPr>
          <w:rFonts w:hint="cs"/>
          <w:rtl/>
        </w:rPr>
        <w:t>ל</w:t>
      </w:r>
      <w:bookmarkStart w:id="7191" w:name="_ETM_Q8_524379"/>
      <w:bookmarkStart w:id="7192" w:name="_ETM_Q8_524859"/>
      <w:bookmarkEnd w:id="7191"/>
      <w:bookmarkEnd w:id="7192"/>
      <w:r>
        <w:rPr>
          <w:rFonts w:hint="cs"/>
          <w:rtl/>
        </w:rPr>
        <w:t xml:space="preserve">שאת את </w:t>
      </w:r>
      <w:bookmarkStart w:id="7193" w:name="_ETM_Q8_524979"/>
      <w:bookmarkEnd w:id="7193"/>
      <w:r>
        <w:rPr>
          <w:rFonts w:hint="cs"/>
          <w:rtl/>
        </w:rPr>
        <w:t xml:space="preserve">ההשחתה </w:t>
      </w:r>
      <w:bookmarkStart w:id="7194" w:name="_ETM_Q8_525699"/>
      <w:bookmarkEnd w:id="7194"/>
      <w:r>
        <w:rPr>
          <w:rFonts w:hint="cs"/>
          <w:rtl/>
        </w:rPr>
        <w:t xml:space="preserve">במינויים </w:t>
      </w:r>
      <w:bookmarkStart w:id="7195" w:name="_ETM_Q8_526779"/>
      <w:bookmarkEnd w:id="7195"/>
      <w:r>
        <w:rPr>
          <w:rFonts w:hint="cs"/>
          <w:rtl/>
        </w:rPr>
        <w:t xml:space="preserve">ששר </w:t>
      </w:r>
      <w:bookmarkStart w:id="7196" w:name="_ETM_Q8_527289"/>
      <w:bookmarkEnd w:id="7196"/>
      <w:r>
        <w:rPr>
          <w:rFonts w:hint="cs"/>
          <w:rtl/>
        </w:rPr>
        <w:t xml:space="preserve">המשטרה </w:t>
      </w:r>
      <w:bookmarkStart w:id="7197" w:name="_ETM_Q8_527920"/>
      <w:bookmarkEnd w:id="7197"/>
      <w:r>
        <w:rPr>
          <w:rFonts w:hint="cs"/>
          <w:rtl/>
        </w:rPr>
        <w:t xml:space="preserve">עושה </w:t>
      </w:r>
      <w:bookmarkStart w:id="7198" w:name="_ETM_Q8_528219"/>
      <w:bookmarkEnd w:id="7198"/>
      <w:r>
        <w:rPr>
          <w:rFonts w:hint="cs"/>
          <w:rtl/>
        </w:rPr>
        <w:t xml:space="preserve">לה </w:t>
      </w:r>
      <w:bookmarkStart w:id="7199" w:name="_ETM_Q8_528339"/>
      <w:bookmarkEnd w:id="7199"/>
      <w:r>
        <w:rPr>
          <w:rFonts w:hint="cs"/>
          <w:rtl/>
        </w:rPr>
        <w:t xml:space="preserve">בשב"ס. </w:t>
      </w:r>
      <w:bookmarkStart w:id="7200" w:name="_ETM_Q8_529499"/>
      <w:bookmarkEnd w:id="7200"/>
      <w:r>
        <w:rPr>
          <w:rFonts w:hint="cs"/>
          <w:rtl/>
        </w:rPr>
        <w:t xml:space="preserve">וחדש, </w:t>
      </w:r>
      <w:bookmarkStart w:id="7201" w:name="_ETM_Q8_530249"/>
      <w:bookmarkEnd w:id="7201"/>
      <w:r>
        <w:rPr>
          <w:rFonts w:hint="cs"/>
          <w:rtl/>
        </w:rPr>
        <w:t xml:space="preserve">טרי </w:t>
      </w:r>
      <w:bookmarkStart w:id="7202" w:name="_ETM_Q8_530699"/>
      <w:bookmarkEnd w:id="7202"/>
      <w:r>
        <w:rPr>
          <w:rFonts w:hint="cs"/>
          <w:rtl/>
        </w:rPr>
        <w:t xml:space="preserve">מהבוקר </w:t>
      </w:r>
      <w:bookmarkStart w:id="7203" w:name="_ETM_Q8_532055"/>
      <w:bookmarkEnd w:id="7203"/>
      <w:r>
        <w:rPr>
          <w:rFonts w:hint="cs"/>
          <w:rtl/>
        </w:rPr>
        <w:t xml:space="preserve">– </w:t>
      </w:r>
      <w:bookmarkStart w:id="7204" w:name="_ETM_Q8_532050"/>
      <w:bookmarkEnd w:id="7204"/>
      <w:r>
        <w:rPr>
          <w:rFonts w:hint="cs"/>
          <w:rtl/>
        </w:rPr>
        <w:t xml:space="preserve">חקירה </w:t>
      </w:r>
      <w:bookmarkStart w:id="7205" w:name="_ETM_Q8_532859"/>
      <w:bookmarkEnd w:id="7205"/>
      <w:r>
        <w:rPr>
          <w:rFonts w:hint="cs"/>
          <w:rtl/>
        </w:rPr>
        <w:t xml:space="preserve">פלילית </w:t>
      </w:r>
      <w:bookmarkStart w:id="7206" w:name="_ETM_Q8_533729"/>
      <w:bookmarkEnd w:id="7206"/>
      <w:r>
        <w:rPr>
          <w:rFonts w:hint="cs"/>
          <w:rtl/>
        </w:rPr>
        <w:t xml:space="preserve">נגד </w:t>
      </w:r>
      <w:bookmarkStart w:id="7207" w:name="_ETM_Q8_534149"/>
      <w:bookmarkEnd w:id="7207"/>
      <w:r>
        <w:rPr>
          <w:rFonts w:hint="cs"/>
          <w:rtl/>
        </w:rPr>
        <w:t xml:space="preserve">המנכ"ל </w:t>
      </w:r>
      <w:bookmarkStart w:id="7208" w:name="_ETM_Q8_534719"/>
      <w:bookmarkEnd w:id="7208"/>
      <w:r>
        <w:rPr>
          <w:rFonts w:hint="cs"/>
          <w:rtl/>
        </w:rPr>
        <w:t xml:space="preserve">המיועד </w:t>
      </w:r>
      <w:bookmarkStart w:id="7209" w:name="_ETM_Q8_535379"/>
      <w:bookmarkEnd w:id="7209"/>
      <w:r>
        <w:rPr>
          <w:rFonts w:hint="cs"/>
          <w:rtl/>
        </w:rPr>
        <w:t xml:space="preserve">של </w:t>
      </w:r>
      <w:bookmarkStart w:id="7210" w:name="_ETM_Q8_535620"/>
      <w:bookmarkEnd w:id="7210"/>
      <w:r>
        <w:rPr>
          <w:rFonts w:hint="cs"/>
          <w:rtl/>
        </w:rPr>
        <w:t xml:space="preserve">השר </w:t>
      </w:r>
      <w:bookmarkStart w:id="7211" w:name="_ETM_Q8_535979"/>
      <w:bookmarkEnd w:id="7211"/>
      <w:r>
        <w:rPr>
          <w:rFonts w:hint="cs"/>
          <w:rtl/>
        </w:rPr>
        <w:t xml:space="preserve">אמסלם, </w:t>
      </w:r>
      <w:bookmarkStart w:id="7212" w:name="_ETM_Q8_537210"/>
      <w:bookmarkEnd w:id="7212"/>
      <w:r>
        <w:rPr>
          <w:rFonts w:hint="cs"/>
          <w:rtl/>
        </w:rPr>
        <w:t xml:space="preserve">מאור </w:t>
      </w:r>
      <w:bookmarkStart w:id="7213" w:name="_ETM_Q8_537750"/>
      <w:bookmarkEnd w:id="7213"/>
      <w:r>
        <w:rPr>
          <w:rFonts w:hint="cs"/>
          <w:rtl/>
        </w:rPr>
        <w:t xml:space="preserve">הגולה, </w:t>
      </w:r>
      <w:bookmarkStart w:id="7214" w:name="_ETM_Q8_538799"/>
      <w:bookmarkEnd w:id="7214"/>
      <w:r>
        <w:rPr>
          <w:rFonts w:hint="cs"/>
          <w:rtl/>
        </w:rPr>
        <w:t xml:space="preserve">על כך </w:t>
      </w:r>
      <w:bookmarkStart w:id="7215" w:name="_ETM_Q8_539250"/>
      <w:bookmarkEnd w:id="7215"/>
      <w:r>
        <w:rPr>
          <w:rFonts w:hint="cs"/>
          <w:rtl/>
        </w:rPr>
        <w:t xml:space="preserve">שהסתיר – </w:t>
      </w:r>
      <w:bookmarkStart w:id="7216" w:name="_ETM_Q8_540149"/>
      <w:bookmarkEnd w:id="7216"/>
      <w:r>
        <w:rPr>
          <w:rFonts w:hint="cs"/>
          <w:rtl/>
        </w:rPr>
        <w:t xml:space="preserve">המועמד </w:t>
      </w:r>
      <w:bookmarkStart w:id="7217" w:name="_ETM_Q8_540929"/>
      <w:bookmarkEnd w:id="7217"/>
      <w:r>
        <w:rPr>
          <w:rFonts w:hint="cs"/>
          <w:rtl/>
        </w:rPr>
        <w:t xml:space="preserve">שלו – </w:t>
      </w:r>
      <w:bookmarkStart w:id="7218" w:name="_ETM_Q8_541710"/>
      <w:bookmarkEnd w:id="7218"/>
      <w:r>
        <w:rPr>
          <w:rFonts w:hint="cs"/>
          <w:rtl/>
        </w:rPr>
        <w:t xml:space="preserve">פרטים </w:t>
      </w:r>
      <w:bookmarkStart w:id="7219" w:name="_ETM_Q8_542249"/>
      <w:bookmarkEnd w:id="7219"/>
      <w:r>
        <w:rPr>
          <w:rFonts w:hint="cs"/>
          <w:rtl/>
        </w:rPr>
        <w:t xml:space="preserve">משמעתיים </w:t>
      </w:r>
      <w:bookmarkStart w:id="7220" w:name="_ETM_Q8_543089"/>
      <w:bookmarkEnd w:id="7220"/>
      <w:r>
        <w:rPr>
          <w:rFonts w:hint="cs"/>
          <w:rtl/>
        </w:rPr>
        <w:t xml:space="preserve">מעברו. </w:t>
      </w:r>
      <w:bookmarkStart w:id="7221" w:name="_ETM_Q8_544460"/>
      <w:bookmarkEnd w:id="7221"/>
      <w:r>
        <w:rPr>
          <w:rFonts w:hint="cs"/>
          <w:rtl/>
        </w:rPr>
        <w:t xml:space="preserve">אמסלם </w:t>
      </w:r>
      <w:bookmarkStart w:id="7222" w:name="_ETM_Q8_545060"/>
      <w:bookmarkEnd w:id="7222"/>
      <w:r>
        <w:rPr>
          <w:rFonts w:hint="cs"/>
          <w:rtl/>
        </w:rPr>
        <w:t xml:space="preserve">כמובן </w:t>
      </w:r>
      <w:bookmarkStart w:id="7223" w:name="_ETM_Q8_546079"/>
      <w:bookmarkEnd w:id="7223"/>
      <w:r>
        <w:rPr>
          <w:rFonts w:hint="cs"/>
          <w:rtl/>
        </w:rPr>
        <w:t xml:space="preserve">מתעקש </w:t>
      </w:r>
      <w:bookmarkStart w:id="7224" w:name="_ETM_Q8_546710"/>
      <w:bookmarkEnd w:id="7224"/>
      <w:r>
        <w:rPr>
          <w:rFonts w:hint="cs"/>
          <w:rtl/>
        </w:rPr>
        <w:t xml:space="preserve">על </w:t>
      </w:r>
      <w:bookmarkStart w:id="7225" w:name="_ETM_Q8_546860"/>
      <w:bookmarkEnd w:id="7225"/>
      <w:r>
        <w:rPr>
          <w:rFonts w:hint="cs"/>
          <w:rtl/>
        </w:rPr>
        <w:t xml:space="preserve">המינוי. </w:t>
      </w:r>
      <w:bookmarkStart w:id="7226" w:name="_ETM_Q8_548029"/>
      <w:bookmarkEnd w:id="7226"/>
      <w:r>
        <w:rPr>
          <w:rFonts w:hint="cs"/>
          <w:rtl/>
        </w:rPr>
        <w:t xml:space="preserve">משרדים </w:t>
      </w:r>
      <w:bookmarkStart w:id="7227" w:name="_ETM_Q8_548750"/>
      <w:bookmarkEnd w:id="7227"/>
      <w:r>
        <w:rPr>
          <w:rFonts w:hint="cs"/>
          <w:rtl/>
        </w:rPr>
        <w:t xml:space="preserve">פורקו </w:t>
      </w:r>
      <w:bookmarkStart w:id="7228" w:name="_ETM_Q8_549200"/>
      <w:bookmarkEnd w:id="7228"/>
      <w:r>
        <w:rPr>
          <w:rFonts w:hint="cs"/>
          <w:rtl/>
        </w:rPr>
        <w:t xml:space="preserve">כמו </w:t>
      </w:r>
      <w:bookmarkStart w:id="7229" w:name="_ETM_Q8_549470"/>
      <w:bookmarkEnd w:id="7229"/>
      <w:r>
        <w:rPr>
          <w:rFonts w:hint="cs"/>
          <w:rtl/>
        </w:rPr>
        <w:t xml:space="preserve">לגו – </w:t>
      </w:r>
      <w:bookmarkStart w:id="7230" w:name="_ETM_Q8_550390"/>
      <w:bookmarkEnd w:id="7230"/>
      <w:r>
        <w:rPr>
          <w:rFonts w:hint="cs"/>
          <w:rtl/>
        </w:rPr>
        <w:t xml:space="preserve">חצי </w:t>
      </w:r>
      <w:bookmarkStart w:id="7231" w:name="_ETM_Q8_550750"/>
      <w:bookmarkEnd w:id="7231"/>
      <w:r>
        <w:rPr>
          <w:rFonts w:hint="cs"/>
          <w:rtl/>
        </w:rPr>
        <w:t xml:space="preserve">לזה </w:t>
      </w:r>
      <w:bookmarkStart w:id="7232" w:name="_ETM_Q8_551320"/>
      <w:bookmarkEnd w:id="7232"/>
      <w:r>
        <w:rPr>
          <w:rFonts w:hint="cs"/>
          <w:rtl/>
        </w:rPr>
        <w:t xml:space="preserve">וחצי </w:t>
      </w:r>
      <w:bookmarkStart w:id="7233" w:name="_ETM_Q8_551860"/>
      <w:bookmarkEnd w:id="7233"/>
      <w:r>
        <w:rPr>
          <w:rFonts w:hint="cs"/>
          <w:rtl/>
        </w:rPr>
        <w:t xml:space="preserve">לזה. </w:t>
      </w:r>
      <w:bookmarkStart w:id="7234" w:name="_ETM_Q8_552760"/>
      <w:bookmarkEnd w:id="7234"/>
      <w:r>
        <w:rPr>
          <w:rFonts w:hint="cs"/>
          <w:rtl/>
        </w:rPr>
        <w:t xml:space="preserve">שני </w:t>
      </w:r>
      <w:bookmarkStart w:id="7235" w:name="_ETM_Q8_553210"/>
      <w:bookmarkEnd w:id="7235"/>
      <w:r>
        <w:rPr>
          <w:rFonts w:hint="cs"/>
          <w:rtl/>
        </w:rPr>
        <w:t xml:space="preserve">שרי </w:t>
      </w:r>
      <w:bookmarkStart w:id="7236" w:name="_ETM_Q8_553600"/>
      <w:bookmarkEnd w:id="7236"/>
      <w:r>
        <w:rPr>
          <w:rFonts w:hint="cs"/>
          <w:rtl/>
        </w:rPr>
        <w:t xml:space="preserve">ביטחון, </w:t>
      </w:r>
      <w:bookmarkStart w:id="7237" w:name="_ETM_Q8_554719"/>
      <w:bookmarkEnd w:id="7237"/>
      <w:r>
        <w:rPr>
          <w:rFonts w:hint="cs"/>
          <w:rtl/>
        </w:rPr>
        <w:t xml:space="preserve">שר </w:t>
      </w:r>
      <w:bookmarkStart w:id="7238" w:name="_ETM_Q8_555109"/>
      <w:bookmarkEnd w:id="7238"/>
      <w:r>
        <w:rPr>
          <w:rFonts w:hint="cs"/>
          <w:rtl/>
        </w:rPr>
        <w:t xml:space="preserve">אחד </w:t>
      </w:r>
      <w:bookmarkStart w:id="7239" w:name="_ETM_Q8_555469"/>
      <w:bookmarkEnd w:id="7239"/>
      <w:r>
        <w:rPr>
          <w:rFonts w:hint="cs"/>
          <w:rtl/>
        </w:rPr>
        <w:t xml:space="preserve">בשני </w:t>
      </w:r>
      <w:bookmarkStart w:id="7240" w:name="_ETM_Q8_555829"/>
      <w:bookmarkEnd w:id="7240"/>
      <w:r>
        <w:rPr>
          <w:rFonts w:hint="cs"/>
          <w:rtl/>
        </w:rPr>
        <w:t xml:space="preserve">המשרדים </w:t>
      </w:r>
      <w:bookmarkStart w:id="7241" w:name="_ETM_Q8_556490"/>
      <w:bookmarkEnd w:id="7241"/>
      <w:r>
        <w:rPr>
          <w:rFonts w:hint="cs"/>
          <w:rtl/>
        </w:rPr>
        <w:t xml:space="preserve">הכי </w:t>
      </w:r>
      <w:bookmarkStart w:id="7242" w:name="_ETM_Q8_556700"/>
      <w:bookmarkEnd w:id="7242"/>
      <w:r>
        <w:rPr>
          <w:rFonts w:hint="cs"/>
          <w:rtl/>
        </w:rPr>
        <w:t xml:space="preserve">חשובים </w:t>
      </w:r>
      <w:bookmarkStart w:id="7243" w:name="_ETM_Q8_557210"/>
      <w:bookmarkEnd w:id="7243"/>
      <w:r>
        <w:rPr>
          <w:rFonts w:hint="cs"/>
          <w:rtl/>
        </w:rPr>
        <w:t>במדינה</w:t>
      </w:r>
      <w:bookmarkStart w:id="7244" w:name="_ETM_Q8_558320"/>
      <w:bookmarkEnd w:id="7244"/>
      <w:r>
        <w:rPr>
          <w:rFonts w:hint="cs"/>
          <w:rtl/>
        </w:rPr>
        <w:t xml:space="preserve">, כי </w:t>
      </w:r>
      <w:bookmarkStart w:id="7245" w:name="_ETM_Q8_558500"/>
      <w:bookmarkEnd w:id="7245"/>
      <w:r>
        <w:rPr>
          <w:rFonts w:hint="cs"/>
          <w:rtl/>
        </w:rPr>
        <w:t xml:space="preserve">מה </w:t>
      </w:r>
      <w:bookmarkStart w:id="7246" w:name="_ETM_Q8_558799"/>
      <w:bookmarkEnd w:id="7246"/>
      <w:r>
        <w:rPr>
          <w:rFonts w:hint="cs"/>
          <w:rtl/>
        </w:rPr>
        <w:t xml:space="preserve">חשובה </w:t>
      </w:r>
      <w:bookmarkStart w:id="7247" w:name="_ETM_Q8_559820"/>
      <w:bookmarkEnd w:id="7247"/>
      <w:r>
        <w:rPr>
          <w:rFonts w:hint="cs"/>
          <w:rtl/>
        </w:rPr>
        <w:t xml:space="preserve">המדינה? </w:t>
      </w:r>
      <w:bookmarkStart w:id="7248" w:name="_ETM_Q8_561250"/>
      <w:bookmarkEnd w:id="7248"/>
      <w:r>
        <w:rPr>
          <w:rFonts w:hint="cs"/>
          <w:rtl/>
        </w:rPr>
        <w:t xml:space="preserve">העיקר </w:t>
      </w:r>
      <w:bookmarkStart w:id="7249" w:name="_ETM_Q8_562360"/>
      <w:bookmarkEnd w:id="7249"/>
      <w:r>
        <w:rPr>
          <w:rFonts w:hint="cs"/>
          <w:rtl/>
        </w:rPr>
        <w:t xml:space="preserve">כסף, </w:t>
      </w:r>
      <w:bookmarkStart w:id="7250" w:name="_ETM_Q8_563229"/>
      <w:bookmarkEnd w:id="7250"/>
      <w:r>
        <w:rPr>
          <w:rFonts w:hint="cs"/>
          <w:rtl/>
        </w:rPr>
        <w:t xml:space="preserve">כוח </w:t>
      </w:r>
      <w:bookmarkStart w:id="7251" w:name="_ETM_Q8_563710"/>
      <w:bookmarkEnd w:id="7251"/>
      <w:r>
        <w:rPr>
          <w:rFonts w:hint="cs"/>
          <w:rtl/>
        </w:rPr>
        <w:t xml:space="preserve">וכבוד. </w:t>
      </w:r>
      <w:bookmarkStart w:id="7252" w:name="_ETM_Q8_564939"/>
      <w:bookmarkEnd w:id="7252"/>
    </w:p>
    <w:p w:rsidR="000C5C1F" w:rsidRDefault="000C5C1F" w:rsidP="000C5C1F">
      <w:pPr>
        <w:rPr>
          <w:rtl/>
        </w:rPr>
      </w:pPr>
      <w:bookmarkStart w:id="7253" w:name="_ETM_Q8_573847"/>
      <w:bookmarkStart w:id="7254" w:name="_ETM_Q8_573936"/>
      <w:bookmarkEnd w:id="7253"/>
      <w:bookmarkEnd w:id="7254"/>
    </w:p>
    <w:p w:rsidR="000C5C1F" w:rsidRDefault="000C5C1F" w:rsidP="000C5C1F">
      <w:pPr>
        <w:rPr>
          <w:rtl/>
        </w:rPr>
      </w:pPr>
      <w:bookmarkStart w:id="7255" w:name="_ETM_Q8_573996"/>
      <w:bookmarkStart w:id="7256" w:name="_ETM_Q8_574064"/>
      <w:bookmarkEnd w:id="7255"/>
      <w:bookmarkEnd w:id="7256"/>
      <w:r>
        <w:rPr>
          <w:rFonts w:hint="cs"/>
          <w:rtl/>
        </w:rPr>
        <w:t>ואת</w:t>
      </w:r>
      <w:bookmarkStart w:id="7257" w:name="_ETM_Q8_565570"/>
      <w:bookmarkStart w:id="7258" w:name="_ETM_Q8_566290"/>
      <w:bookmarkEnd w:id="7257"/>
      <w:bookmarkEnd w:id="7258"/>
      <w:r>
        <w:rPr>
          <w:rFonts w:hint="cs"/>
          <w:rtl/>
        </w:rPr>
        <w:t xml:space="preserve">ם, האנשים </w:t>
      </w:r>
      <w:bookmarkStart w:id="7259" w:name="_ETM_Q8_567190"/>
      <w:bookmarkEnd w:id="7259"/>
      <w:r>
        <w:rPr>
          <w:rFonts w:hint="cs"/>
          <w:rtl/>
        </w:rPr>
        <w:t xml:space="preserve">שמחזיקים </w:t>
      </w:r>
      <w:bookmarkStart w:id="7260" w:name="_ETM_Q8_568089"/>
      <w:bookmarkEnd w:id="7260"/>
      <w:r>
        <w:rPr>
          <w:rFonts w:hint="cs"/>
          <w:rtl/>
        </w:rPr>
        <w:t xml:space="preserve">בהגה </w:t>
      </w:r>
      <w:bookmarkStart w:id="7261" w:name="_ETM_Q8_568240"/>
      <w:bookmarkStart w:id="7262" w:name="_ETM_Q8_568540"/>
      <w:bookmarkEnd w:id="7261"/>
      <w:bookmarkEnd w:id="7262"/>
      <w:r>
        <w:rPr>
          <w:rFonts w:hint="cs"/>
          <w:rtl/>
        </w:rPr>
        <w:t xml:space="preserve">של </w:t>
      </w:r>
      <w:bookmarkStart w:id="7263" w:name="_ETM_Q8_568690"/>
      <w:bookmarkEnd w:id="7263"/>
      <w:r>
        <w:rPr>
          <w:rFonts w:hint="cs"/>
          <w:rtl/>
        </w:rPr>
        <w:t xml:space="preserve">המדינה, </w:t>
      </w:r>
      <w:bookmarkStart w:id="7264" w:name="_ETM_Q8_569869"/>
      <w:bookmarkEnd w:id="7264"/>
      <w:r>
        <w:rPr>
          <w:rFonts w:hint="cs"/>
          <w:rtl/>
        </w:rPr>
        <w:t xml:space="preserve">הציבור </w:t>
      </w:r>
      <w:bookmarkStart w:id="7265" w:name="_ETM_Q8_570470"/>
      <w:bookmarkEnd w:id="7265"/>
      <w:r>
        <w:rPr>
          <w:rFonts w:hint="cs"/>
          <w:rtl/>
        </w:rPr>
        <w:t xml:space="preserve">מסתכל </w:t>
      </w:r>
      <w:bookmarkStart w:id="7266" w:name="_ETM_Q8_571310"/>
      <w:bookmarkEnd w:id="7266"/>
      <w:r>
        <w:rPr>
          <w:rFonts w:hint="cs"/>
          <w:rtl/>
        </w:rPr>
        <w:t xml:space="preserve">עליכם, </w:t>
      </w:r>
      <w:bookmarkStart w:id="7267" w:name="_ETM_Q8_572509"/>
      <w:bookmarkEnd w:id="7267"/>
      <w:r>
        <w:rPr>
          <w:rFonts w:hint="cs"/>
          <w:rtl/>
        </w:rPr>
        <w:t xml:space="preserve">ומה </w:t>
      </w:r>
      <w:bookmarkStart w:id="7268" w:name="_ETM_Q8_573520"/>
      <w:bookmarkEnd w:id="7268"/>
      <w:r>
        <w:rPr>
          <w:rFonts w:hint="cs"/>
          <w:rtl/>
        </w:rPr>
        <w:t xml:space="preserve">הוא אומר לעצמו? </w:t>
      </w:r>
      <w:bookmarkStart w:id="7269" w:name="_ETM_Q8_574820"/>
      <w:bookmarkEnd w:id="7269"/>
      <w:r>
        <w:rPr>
          <w:rFonts w:hint="cs"/>
          <w:rtl/>
        </w:rPr>
        <w:t xml:space="preserve">הם </w:t>
      </w:r>
      <w:bookmarkStart w:id="7270" w:name="_ETM_Q8_575029"/>
      <w:bookmarkEnd w:id="7270"/>
      <w:r>
        <w:rPr>
          <w:rFonts w:hint="cs"/>
          <w:rtl/>
        </w:rPr>
        <w:t xml:space="preserve">לא </w:t>
      </w:r>
      <w:bookmarkStart w:id="7271" w:name="_ETM_Q8_575210"/>
      <w:bookmarkEnd w:id="7271"/>
      <w:r>
        <w:rPr>
          <w:rFonts w:hint="cs"/>
          <w:rtl/>
        </w:rPr>
        <w:t>כשירים</w:t>
      </w:r>
      <w:bookmarkStart w:id="7272" w:name="_ETM_Q8_575899"/>
      <w:bookmarkStart w:id="7273" w:name="_ETM_Q8_576560"/>
      <w:bookmarkEnd w:id="7272"/>
      <w:bookmarkEnd w:id="7273"/>
      <w:r>
        <w:rPr>
          <w:rFonts w:hint="cs"/>
          <w:rtl/>
        </w:rPr>
        <w:t xml:space="preserve">, הם </w:t>
      </w:r>
      <w:bookmarkStart w:id="7274" w:name="_ETM_Q8_576770"/>
      <w:bookmarkEnd w:id="7274"/>
      <w:r>
        <w:rPr>
          <w:rFonts w:hint="cs"/>
          <w:rtl/>
        </w:rPr>
        <w:t xml:space="preserve">לא </w:t>
      </w:r>
      <w:bookmarkStart w:id="7275" w:name="_ETM_Q8_577039"/>
      <w:bookmarkEnd w:id="7275"/>
      <w:r>
        <w:rPr>
          <w:rFonts w:hint="cs"/>
          <w:rtl/>
        </w:rPr>
        <w:t xml:space="preserve">כשירים. </w:t>
      </w:r>
      <w:bookmarkStart w:id="7276" w:name="_ETM_Q8_578359"/>
      <w:bookmarkEnd w:id="7276"/>
      <w:r>
        <w:rPr>
          <w:rFonts w:hint="cs"/>
          <w:rtl/>
        </w:rPr>
        <w:t xml:space="preserve">להם </w:t>
      </w:r>
      <w:bookmarkStart w:id="7277" w:name="_ETM_Q8_579189"/>
      <w:bookmarkEnd w:id="7277"/>
      <w:r>
        <w:rPr>
          <w:rFonts w:hint="cs"/>
          <w:rtl/>
        </w:rPr>
        <w:t xml:space="preserve">ניתן בנוסף </w:t>
      </w:r>
      <w:bookmarkStart w:id="7278" w:name="_ETM_Q8_580690"/>
      <w:bookmarkEnd w:id="7278"/>
      <w:r>
        <w:rPr>
          <w:rFonts w:hint="cs"/>
          <w:rtl/>
        </w:rPr>
        <w:t xml:space="preserve">חקיקה </w:t>
      </w:r>
      <w:bookmarkStart w:id="7279" w:name="_ETM_Q8_581409"/>
      <w:bookmarkEnd w:id="7279"/>
      <w:r>
        <w:rPr>
          <w:rFonts w:hint="cs"/>
          <w:rtl/>
        </w:rPr>
        <w:t xml:space="preserve">משפטית, </w:t>
      </w:r>
      <w:bookmarkStart w:id="7280" w:name="_ETM_Q8_582100"/>
      <w:bookmarkEnd w:id="7280"/>
      <w:r>
        <w:rPr>
          <w:rFonts w:hint="cs"/>
          <w:rtl/>
        </w:rPr>
        <w:t xml:space="preserve">עם </w:t>
      </w:r>
      <w:bookmarkStart w:id="7281" w:name="_ETM_Q8_582250"/>
      <w:bookmarkEnd w:id="7281"/>
      <w:r>
        <w:rPr>
          <w:rFonts w:hint="cs"/>
          <w:rtl/>
        </w:rPr>
        <w:t xml:space="preserve">כוח </w:t>
      </w:r>
      <w:bookmarkStart w:id="7282" w:name="_ETM_Q8_582640"/>
      <w:bookmarkEnd w:id="7282"/>
      <w:r>
        <w:rPr>
          <w:rFonts w:hint="cs"/>
          <w:rtl/>
        </w:rPr>
        <w:t xml:space="preserve">בלתי </w:t>
      </w:r>
      <w:bookmarkStart w:id="7283" w:name="_ETM_Q8_583060"/>
      <w:bookmarkEnd w:id="7283"/>
      <w:r>
        <w:rPr>
          <w:rFonts w:hint="cs"/>
          <w:rtl/>
        </w:rPr>
        <w:t xml:space="preserve">מוגבל? </w:t>
      </w:r>
      <w:bookmarkStart w:id="7284" w:name="_ETM_Q8_584259"/>
      <w:bookmarkEnd w:id="7284"/>
      <w:r>
        <w:rPr>
          <w:rFonts w:hint="cs"/>
          <w:rtl/>
        </w:rPr>
        <w:t xml:space="preserve">אלוהים </w:t>
      </w:r>
      <w:bookmarkStart w:id="7285" w:name="_ETM_Q8_584770"/>
      <w:bookmarkEnd w:id="7285"/>
      <w:r>
        <w:rPr>
          <w:rFonts w:hint="cs"/>
          <w:rtl/>
        </w:rPr>
        <w:t xml:space="preserve">שישמור, </w:t>
      </w:r>
      <w:bookmarkStart w:id="7286" w:name="_ETM_Q8_586219"/>
      <w:bookmarkEnd w:id="7286"/>
      <w:r>
        <w:rPr>
          <w:rFonts w:hint="cs"/>
          <w:rtl/>
        </w:rPr>
        <w:t xml:space="preserve">זה </w:t>
      </w:r>
      <w:bookmarkStart w:id="7287" w:name="_ETM_Q8_586700"/>
      <w:bookmarkEnd w:id="7287"/>
      <w:r>
        <w:rPr>
          <w:rFonts w:hint="cs"/>
          <w:rtl/>
        </w:rPr>
        <w:t xml:space="preserve">מה </w:t>
      </w:r>
      <w:bookmarkStart w:id="7288" w:name="_ETM_Q8_586939"/>
      <w:bookmarkEnd w:id="7288"/>
      <w:r>
        <w:rPr>
          <w:rFonts w:hint="cs"/>
          <w:rtl/>
        </w:rPr>
        <w:t xml:space="preserve">שהם </w:t>
      </w:r>
      <w:bookmarkStart w:id="7289" w:name="_ETM_Q8_587359"/>
      <w:bookmarkEnd w:id="7289"/>
      <w:r>
        <w:rPr>
          <w:rFonts w:hint="cs"/>
          <w:rtl/>
        </w:rPr>
        <w:t xml:space="preserve">אומרים </w:t>
      </w:r>
      <w:bookmarkStart w:id="7290" w:name="_ETM_Q8_587779"/>
      <w:bookmarkEnd w:id="7290"/>
      <w:r>
        <w:rPr>
          <w:rFonts w:hint="cs"/>
          <w:rtl/>
        </w:rPr>
        <w:t xml:space="preserve">לעצמם. </w:t>
      </w:r>
      <w:bookmarkStart w:id="7291" w:name="_ETM_Q8_591630"/>
      <w:bookmarkEnd w:id="7291"/>
    </w:p>
    <w:p w:rsidR="000C5C1F" w:rsidRDefault="000C5C1F" w:rsidP="000C5C1F">
      <w:pPr>
        <w:rPr>
          <w:rtl/>
        </w:rPr>
      </w:pPr>
      <w:bookmarkStart w:id="7292" w:name="_ETM_Q8_588605"/>
      <w:bookmarkStart w:id="7293" w:name="_ETM_Q8_588675"/>
      <w:bookmarkStart w:id="7294" w:name="_ETM_Q8_588781"/>
      <w:bookmarkEnd w:id="7292"/>
      <w:bookmarkEnd w:id="7293"/>
      <w:bookmarkEnd w:id="7294"/>
    </w:p>
    <w:p w:rsidR="000C5C1F" w:rsidRDefault="000C5C1F" w:rsidP="000C5C1F">
      <w:pPr>
        <w:rPr>
          <w:rtl/>
        </w:rPr>
      </w:pPr>
      <w:bookmarkStart w:id="7295" w:name="_ETM_Q8_588873"/>
      <w:bookmarkEnd w:id="7295"/>
      <w:r>
        <w:rPr>
          <w:rFonts w:hint="cs"/>
          <w:rtl/>
        </w:rPr>
        <w:t xml:space="preserve">מעולם </w:t>
      </w:r>
      <w:bookmarkStart w:id="7296" w:name="_ETM_Q8_593020"/>
      <w:bookmarkEnd w:id="7296"/>
      <w:r>
        <w:rPr>
          <w:rFonts w:hint="cs"/>
          <w:rtl/>
        </w:rPr>
        <w:t xml:space="preserve">לא </w:t>
      </w:r>
      <w:bookmarkStart w:id="7297" w:name="_ETM_Q8_593290"/>
      <w:bookmarkEnd w:id="7297"/>
      <w:r>
        <w:rPr>
          <w:rFonts w:hint="cs"/>
          <w:rtl/>
        </w:rPr>
        <w:t xml:space="preserve">הייתה </w:t>
      </w:r>
      <w:bookmarkStart w:id="7298" w:name="_ETM_Q8_593650"/>
      <w:bookmarkEnd w:id="7298"/>
      <w:r>
        <w:rPr>
          <w:rFonts w:hint="cs"/>
          <w:rtl/>
        </w:rPr>
        <w:t xml:space="preserve">ממשלה </w:t>
      </w:r>
      <w:bookmarkStart w:id="7299" w:name="_ETM_Q8_594250"/>
      <w:bookmarkEnd w:id="7299"/>
      <w:r>
        <w:rPr>
          <w:rFonts w:hint="cs"/>
          <w:rtl/>
        </w:rPr>
        <w:t xml:space="preserve">כזו, </w:t>
      </w:r>
      <w:bookmarkStart w:id="7300" w:name="_ETM_Q8_595380"/>
      <w:bookmarkEnd w:id="7300"/>
      <w:r>
        <w:rPr>
          <w:rFonts w:hint="cs"/>
          <w:rtl/>
        </w:rPr>
        <w:t xml:space="preserve">שמביישת </w:t>
      </w:r>
      <w:bookmarkStart w:id="7301" w:name="_ETM_Q8_596339"/>
      <w:bookmarkStart w:id="7302" w:name="_ETM_Q8_596520"/>
      <w:bookmarkEnd w:id="7301"/>
      <w:bookmarkEnd w:id="7302"/>
      <w:r>
        <w:rPr>
          <w:rFonts w:hint="cs"/>
          <w:rtl/>
        </w:rPr>
        <w:t xml:space="preserve">אותנו </w:t>
      </w:r>
      <w:bookmarkStart w:id="7303" w:name="_ETM_Q8_597609"/>
      <w:bookmarkEnd w:id="7303"/>
      <w:r>
        <w:rPr>
          <w:rFonts w:hint="cs"/>
          <w:rtl/>
        </w:rPr>
        <w:t xml:space="preserve">מיליון </w:t>
      </w:r>
      <w:bookmarkStart w:id="7304" w:name="_ETM_Q8_598390"/>
      <w:bookmarkEnd w:id="7304"/>
      <w:r>
        <w:rPr>
          <w:rFonts w:hint="cs"/>
          <w:rtl/>
        </w:rPr>
        <w:t xml:space="preserve">פעם </w:t>
      </w:r>
      <w:bookmarkStart w:id="7305" w:name="_ETM_Q8_598870"/>
      <w:bookmarkEnd w:id="7305"/>
      <w:r>
        <w:rPr>
          <w:rFonts w:hint="cs"/>
          <w:rtl/>
        </w:rPr>
        <w:t xml:space="preserve">ביום. </w:t>
      </w:r>
      <w:bookmarkStart w:id="7306" w:name="_ETM_Q8_600439"/>
      <w:bookmarkEnd w:id="7306"/>
      <w:r>
        <w:rPr>
          <w:rFonts w:hint="cs"/>
          <w:rtl/>
        </w:rPr>
        <w:t xml:space="preserve">כל </w:t>
      </w:r>
      <w:bookmarkStart w:id="7307" w:name="_ETM_Q8_600829"/>
      <w:bookmarkEnd w:id="7307"/>
      <w:r>
        <w:rPr>
          <w:rFonts w:hint="cs"/>
          <w:rtl/>
        </w:rPr>
        <w:t xml:space="preserve">בוקר </w:t>
      </w:r>
      <w:bookmarkStart w:id="7308" w:name="_ETM_Q8_601909"/>
      <w:bookmarkEnd w:id="7308"/>
      <w:r>
        <w:rPr>
          <w:rFonts w:hint="cs"/>
          <w:rtl/>
        </w:rPr>
        <w:t xml:space="preserve">הציבור </w:t>
      </w:r>
      <w:bookmarkStart w:id="7309" w:name="_ETM_Q8_602600"/>
      <w:bookmarkEnd w:id="7309"/>
      <w:r>
        <w:rPr>
          <w:rFonts w:hint="cs"/>
          <w:rtl/>
        </w:rPr>
        <w:t xml:space="preserve">המותש </w:t>
      </w:r>
      <w:bookmarkStart w:id="7310" w:name="_ETM_Q8_603890"/>
      <w:bookmarkEnd w:id="7310"/>
      <w:r>
        <w:rPr>
          <w:rFonts w:hint="cs"/>
          <w:rtl/>
        </w:rPr>
        <w:t xml:space="preserve">מתעורר </w:t>
      </w:r>
      <w:bookmarkStart w:id="7311" w:name="_ETM_Q8_604520"/>
      <w:bookmarkEnd w:id="7311"/>
      <w:r>
        <w:rPr>
          <w:rFonts w:hint="cs"/>
          <w:rtl/>
        </w:rPr>
        <w:t xml:space="preserve">ליום </w:t>
      </w:r>
      <w:bookmarkStart w:id="7312" w:name="_ETM_Q8_604969"/>
      <w:bookmarkEnd w:id="7312"/>
      <w:r>
        <w:rPr>
          <w:rFonts w:hint="cs"/>
          <w:rtl/>
        </w:rPr>
        <w:t xml:space="preserve">חדש </w:t>
      </w:r>
      <w:bookmarkStart w:id="7313" w:name="_ETM_Q8_605539"/>
      <w:bookmarkEnd w:id="7313"/>
      <w:r>
        <w:rPr>
          <w:rFonts w:hint="cs"/>
          <w:rtl/>
        </w:rPr>
        <w:t xml:space="preserve">של </w:t>
      </w:r>
      <w:bookmarkStart w:id="7314" w:name="_ETM_Q8_605689"/>
      <w:bookmarkEnd w:id="7314"/>
      <w:r>
        <w:rPr>
          <w:rFonts w:hint="cs"/>
          <w:rtl/>
        </w:rPr>
        <w:t xml:space="preserve">שפל. </w:t>
      </w:r>
      <w:bookmarkStart w:id="7315" w:name="_ETM_Q8_607029"/>
      <w:bookmarkEnd w:id="7315"/>
      <w:r>
        <w:rPr>
          <w:rFonts w:hint="cs"/>
          <w:rtl/>
        </w:rPr>
        <w:t xml:space="preserve">אין </w:t>
      </w:r>
      <w:bookmarkStart w:id="7316" w:name="_ETM_Q8_607329"/>
      <w:bookmarkEnd w:id="7316"/>
      <w:r>
        <w:rPr>
          <w:rFonts w:hint="cs"/>
          <w:rtl/>
        </w:rPr>
        <w:t xml:space="preserve">סוף </w:t>
      </w:r>
      <w:bookmarkStart w:id="7317" w:name="_ETM_Q8_607899"/>
      <w:bookmarkEnd w:id="7317"/>
      <w:r>
        <w:rPr>
          <w:rFonts w:hint="cs"/>
          <w:rtl/>
        </w:rPr>
        <w:t xml:space="preserve">לתחתית. </w:t>
      </w:r>
      <w:bookmarkStart w:id="7318" w:name="_ETM_Q8_609590"/>
      <w:bookmarkEnd w:id="7318"/>
      <w:r>
        <w:rPr>
          <w:rFonts w:hint="cs"/>
          <w:rtl/>
        </w:rPr>
        <w:t xml:space="preserve">הממונה </w:t>
      </w:r>
      <w:bookmarkStart w:id="7319" w:name="_ETM_Q8_610220"/>
      <w:bookmarkEnd w:id="7319"/>
      <w:r>
        <w:rPr>
          <w:rFonts w:hint="cs"/>
          <w:rtl/>
        </w:rPr>
        <w:t xml:space="preserve">על </w:t>
      </w:r>
      <w:bookmarkStart w:id="7320" w:name="_ETM_Q8_610340"/>
      <w:bookmarkEnd w:id="7320"/>
      <w:r>
        <w:rPr>
          <w:rFonts w:hint="cs"/>
          <w:rtl/>
        </w:rPr>
        <w:t xml:space="preserve">התקציבים </w:t>
      </w:r>
      <w:bookmarkStart w:id="7321" w:name="_ETM_Q8_611550"/>
      <w:bookmarkEnd w:id="7321"/>
      <w:r>
        <w:rPr>
          <w:rFonts w:hint="cs"/>
          <w:rtl/>
        </w:rPr>
        <w:t xml:space="preserve">כפי </w:t>
      </w:r>
      <w:bookmarkStart w:id="7322" w:name="_ETM_Q8_611940"/>
      <w:bookmarkEnd w:id="7322"/>
      <w:r>
        <w:rPr>
          <w:rFonts w:hint="cs"/>
          <w:rtl/>
        </w:rPr>
        <w:t xml:space="preserve">שמעולם </w:t>
      </w:r>
      <w:bookmarkStart w:id="7323" w:name="_ETM_Q8_612720"/>
      <w:bookmarkEnd w:id="7323"/>
      <w:r>
        <w:rPr>
          <w:rFonts w:hint="cs"/>
          <w:rtl/>
        </w:rPr>
        <w:t xml:space="preserve">לא </w:t>
      </w:r>
      <w:bookmarkStart w:id="7324" w:name="_ETM_Q8_612870"/>
      <w:bookmarkEnd w:id="7324"/>
      <w:r>
        <w:rPr>
          <w:rFonts w:hint="cs"/>
          <w:rtl/>
        </w:rPr>
        <w:t xml:space="preserve">שמענו: </w:t>
      </w:r>
      <w:bookmarkStart w:id="7325" w:name="_ETM_Q8_614260"/>
      <w:bookmarkEnd w:id="7325"/>
      <w:r>
        <w:rPr>
          <w:rFonts w:hint="cs"/>
          <w:rtl/>
        </w:rPr>
        <w:t xml:space="preserve">למה </w:t>
      </w:r>
      <w:bookmarkStart w:id="7326" w:name="_ETM_Q8_614709"/>
      <w:bookmarkEnd w:id="7326"/>
      <w:r>
        <w:rPr>
          <w:rFonts w:hint="cs"/>
          <w:rtl/>
        </w:rPr>
        <w:t xml:space="preserve">אתם </w:t>
      </w:r>
      <w:bookmarkStart w:id="7327" w:name="_ETM_Q8_614980"/>
      <w:bookmarkEnd w:id="7327"/>
      <w:r>
        <w:rPr>
          <w:rFonts w:hint="cs"/>
          <w:rtl/>
        </w:rPr>
        <w:t xml:space="preserve">מסיטים </w:t>
      </w:r>
      <w:bookmarkStart w:id="7328" w:name="_ETM_Q8_615400"/>
      <w:bookmarkEnd w:id="7328"/>
      <w:r>
        <w:rPr>
          <w:rFonts w:hint="cs"/>
          <w:rtl/>
        </w:rPr>
        <w:t xml:space="preserve">תקציבים, הוא </w:t>
      </w:r>
      <w:bookmarkStart w:id="7329" w:name="_ETM_Q8_616029"/>
      <w:bookmarkEnd w:id="7329"/>
      <w:r>
        <w:rPr>
          <w:rFonts w:hint="cs"/>
          <w:rtl/>
        </w:rPr>
        <w:t xml:space="preserve">אומר, </w:t>
      </w:r>
      <w:bookmarkStart w:id="7330" w:name="_ETM_Q8_617019"/>
      <w:bookmarkEnd w:id="7330"/>
      <w:r>
        <w:rPr>
          <w:rFonts w:hint="cs"/>
          <w:rtl/>
        </w:rPr>
        <w:t xml:space="preserve">ומייצרים </w:t>
      </w:r>
      <w:bookmarkStart w:id="7331" w:name="_ETM_Q8_617769"/>
      <w:bookmarkEnd w:id="7331"/>
      <w:r>
        <w:rPr>
          <w:rFonts w:hint="cs"/>
          <w:rtl/>
        </w:rPr>
        <w:t xml:space="preserve">מדינה </w:t>
      </w:r>
      <w:bookmarkStart w:id="7332" w:name="_ETM_Q8_618279"/>
      <w:bookmarkEnd w:id="7332"/>
      <w:r>
        <w:rPr>
          <w:rFonts w:hint="cs"/>
          <w:rtl/>
        </w:rPr>
        <w:t xml:space="preserve">שבה הבן </w:t>
      </w:r>
      <w:bookmarkStart w:id="7333" w:name="_ETM_Q8_618879"/>
      <w:bookmarkStart w:id="7334" w:name="_ETM_Q8_619450"/>
      <w:bookmarkEnd w:id="7333"/>
      <w:bookmarkEnd w:id="7334"/>
      <w:r>
        <w:rPr>
          <w:rFonts w:hint="cs"/>
          <w:rtl/>
        </w:rPr>
        <w:t>של הבן שלי</w:t>
      </w:r>
      <w:bookmarkStart w:id="7335" w:name="_ETM_Q8_619749"/>
      <w:bookmarkEnd w:id="7335"/>
      <w:r>
        <w:rPr>
          <w:rFonts w:hint="cs"/>
          <w:rtl/>
        </w:rPr>
        <w:t xml:space="preserve">, כשהוא </w:t>
      </w:r>
      <w:bookmarkStart w:id="7336" w:name="_ETM_Q8_620139"/>
      <w:bookmarkEnd w:id="7336"/>
      <w:r>
        <w:rPr>
          <w:rFonts w:hint="cs"/>
          <w:rtl/>
        </w:rPr>
        <w:t xml:space="preserve">ילך </w:t>
      </w:r>
      <w:bookmarkStart w:id="7337" w:name="_ETM_Q8_620409"/>
      <w:bookmarkEnd w:id="7337"/>
      <w:r>
        <w:rPr>
          <w:rFonts w:hint="cs"/>
          <w:rtl/>
        </w:rPr>
        <w:t xml:space="preserve">לגן, </w:t>
      </w:r>
      <w:bookmarkStart w:id="7338" w:name="_ETM_Q8_621190"/>
      <w:bookmarkStart w:id="7339" w:name="_ETM_Q8_621670"/>
      <w:bookmarkEnd w:id="7338"/>
      <w:bookmarkEnd w:id="7339"/>
      <w:r>
        <w:rPr>
          <w:rFonts w:hint="cs"/>
          <w:rtl/>
        </w:rPr>
        <w:t xml:space="preserve">יכרע תחת </w:t>
      </w:r>
      <w:bookmarkStart w:id="7340" w:name="_ETM_Q8_622060"/>
      <w:bookmarkEnd w:id="7340"/>
      <w:r>
        <w:rPr>
          <w:rFonts w:hint="cs"/>
          <w:rtl/>
        </w:rPr>
        <w:t xml:space="preserve">עומס </w:t>
      </w:r>
      <w:bookmarkStart w:id="7341" w:name="_ETM_Q8_622330"/>
      <w:bookmarkStart w:id="7342" w:name="_ETM_Q8_622390"/>
      <w:bookmarkEnd w:id="7341"/>
      <w:bookmarkEnd w:id="7342"/>
      <w:r>
        <w:rPr>
          <w:rFonts w:hint="cs"/>
          <w:rtl/>
        </w:rPr>
        <w:t xml:space="preserve">המיסים, </w:t>
      </w:r>
      <w:bookmarkStart w:id="7343" w:name="_ETM_Q8_623260"/>
      <w:bookmarkEnd w:id="7343"/>
      <w:r>
        <w:rPr>
          <w:rFonts w:hint="cs"/>
          <w:rtl/>
        </w:rPr>
        <w:t xml:space="preserve">כי </w:t>
      </w:r>
      <w:bookmarkStart w:id="7344" w:name="_ETM_Q8_623410"/>
      <w:bookmarkEnd w:id="7344"/>
      <w:r>
        <w:rPr>
          <w:rFonts w:hint="cs"/>
          <w:rtl/>
        </w:rPr>
        <w:t xml:space="preserve">חצי </w:t>
      </w:r>
      <w:bookmarkStart w:id="7345" w:name="_ETM_Q8_623860"/>
      <w:bookmarkEnd w:id="7345"/>
      <w:r>
        <w:rPr>
          <w:rFonts w:hint="cs"/>
          <w:rtl/>
        </w:rPr>
        <w:t>מה</w:t>
      </w:r>
      <w:bookmarkStart w:id="7346" w:name="_ETM_Q8_624000"/>
      <w:bookmarkStart w:id="7347" w:name="_ETM_Q8_624210"/>
      <w:bookmarkEnd w:id="7346"/>
      <w:bookmarkEnd w:id="7347"/>
      <w:r>
        <w:rPr>
          <w:rFonts w:hint="cs"/>
          <w:rtl/>
        </w:rPr>
        <w:t xml:space="preserve">עם לא </w:t>
      </w:r>
      <w:bookmarkStart w:id="7348" w:name="_ETM_Q8_624330"/>
      <w:bookmarkEnd w:id="7348"/>
      <w:r>
        <w:rPr>
          <w:rFonts w:hint="cs"/>
          <w:rtl/>
        </w:rPr>
        <w:t>יעבוד? והממשלה</w:t>
      </w:r>
      <w:bookmarkStart w:id="7349" w:name="_ETM_Q8_627090"/>
      <w:bookmarkEnd w:id="7349"/>
      <w:r>
        <w:rPr>
          <w:rFonts w:hint="cs"/>
          <w:rtl/>
        </w:rPr>
        <w:t xml:space="preserve">? שותקת. </w:t>
      </w:r>
      <w:bookmarkStart w:id="7350" w:name="_ETM_Q8_628700"/>
      <w:bookmarkEnd w:id="7350"/>
      <w:r>
        <w:rPr>
          <w:rFonts w:hint="cs"/>
          <w:rtl/>
        </w:rPr>
        <w:t>ה</w:t>
      </w:r>
      <w:bookmarkStart w:id="7351" w:name="_ETM_Q8_628880"/>
      <w:bookmarkEnd w:id="7351"/>
      <w:r>
        <w:rPr>
          <w:rFonts w:hint="cs"/>
          <w:rtl/>
        </w:rPr>
        <w:t xml:space="preserve">נגיד </w:t>
      </w:r>
      <w:bookmarkStart w:id="7352" w:name="_ETM_Q8_629300"/>
      <w:bookmarkEnd w:id="7352"/>
      <w:r>
        <w:rPr>
          <w:rFonts w:hint="cs"/>
          <w:rtl/>
        </w:rPr>
        <w:t xml:space="preserve">מזהיר: </w:t>
      </w:r>
      <w:bookmarkStart w:id="7353" w:name="_ETM_Q8_630350"/>
      <w:bookmarkEnd w:id="7353"/>
      <w:r>
        <w:rPr>
          <w:rFonts w:hint="cs"/>
          <w:rtl/>
        </w:rPr>
        <w:t xml:space="preserve">החקיקה </w:t>
      </w:r>
      <w:bookmarkStart w:id="7354" w:name="_ETM_Q8_631160"/>
      <w:bookmarkEnd w:id="7354"/>
      <w:r>
        <w:rPr>
          <w:rFonts w:hint="cs"/>
          <w:rtl/>
        </w:rPr>
        <w:t xml:space="preserve">פוגעת </w:t>
      </w:r>
      <w:bookmarkStart w:id="7355" w:name="_ETM_Q8_631760"/>
      <w:bookmarkEnd w:id="7355"/>
      <w:r>
        <w:rPr>
          <w:rFonts w:hint="cs"/>
          <w:rtl/>
        </w:rPr>
        <w:t>בכלכלה</w:t>
      </w:r>
      <w:bookmarkStart w:id="7356" w:name="_ETM_Q8_633170"/>
      <w:bookmarkEnd w:id="7356"/>
      <w:r>
        <w:rPr>
          <w:rFonts w:hint="cs"/>
          <w:rtl/>
        </w:rPr>
        <w:t xml:space="preserve">. והממשלה </w:t>
      </w:r>
      <w:bookmarkStart w:id="7357" w:name="_ETM_Q8_634040"/>
      <w:bookmarkEnd w:id="7357"/>
      <w:r>
        <w:rPr>
          <w:rFonts w:hint="cs"/>
          <w:rtl/>
        </w:rPr>
        <w:t xml:space="preserve">בתגובה? </w:t>
      </w:r>
      <w:bookmarkStart w:id="7358" w:name="_ETM_Q8_635540"/>
      <w:bookmarkEnd w:id="7358"/>
      <w:r>
        <w:rPr>
          <w:rFonts w:hint="cs"/>
          <w:rtl/>
        </w:rPr>
        <w:t xml:space="preserve">צריך </w:t>
      </w:r>
      <w:bookmarkStart w:id="7359" w:name="_ETM_Q8_635900"/>
      <w:bookmarkEnd w:id="7359"/>
      <w:r>
        <w:rPr>
          <w:rFonts w:hint="cs"/>
          <w:rtl/>
        </w:rPr>
        <w:t xml:space="preserve">לפטר </w:t>
      </w:r>
      <w:bookmarkStart w:id="7360" w:name="_ETM_Q8_636559"/>
      <w:bookmarkEnd w:id="7360"/>
      <w:r>
        <w:rPr>
          <w:rFonts w:hint="cs"/>
          <w:rtl/>
        </w:rPr>
        <w:t xml:space="preserve">אותך. </w:t>
      </w:r>
      <w:bookmarkStart w:id="7361" w:name="_ETM_Q8_638110"/>
      <w:bookmarkEnd w:id="7361"/>
      <w:r>
        <w:rPr>
          <w:rFonts w:hint="cs"/>
          <w:rtl/>
        </w:rPr>
        <w:t xml:space="preserve">חברות </w:t>
      </w:r>
      <w:bookmarkStart w:id="7362" w:name="_ETM_Q8_638680"/>
      <w:bookmarkEnd w:id="7362"/>
      <w:r>
        <w:rPr>
          <w:rFonts w:hint="cs"/>
          <w:rtl/>
        </w:rPr>
        <w:t xml:space="preserve">הדירוג </w:t>
      </w:r>
      <w:bookmarkStart w:id="7363" w:name="_ETM_Q8_639340"/>
      <w:bookmarkEnd w:id="7363"/>
      <w:r>
        <w:rPr>
          <w:rFonts w:hint="cs"/>
          <w:rtl/>
        </w:rPr>
        <w:t xml:space="preserve">מזהירות: </w:t>
      </w:r>
      <w:bookmarkStart w:id="7364" w:name="_ETM_Q8_640470"/>
      <w:bookmarkEnd w:id="7364"/>
      <w:r>
        <w:rPr>
          <w:rFonts w:hint="cs"/>
          <w:rtl/>
        </w:rPr>
        <w:t xml:space="preserve">זוהי </w:t>
      </w:r>
      <w:bookmarkStart w:id="7365" w:name="_ETM_Q8_640830"/>
      <w:bookmarkEnd w:id="7365"/>
      <w:r>
        <w:rPr>
          <w:rFonts w:hint="cs"/>
          <w:rtl/>
        </w:rPr>
        <w:t xml:space="preserve">ממשלה </w:t>
      </w:r>
      <w:bookmarkStart w:id="7366" w:name="_ETM_Q8_641430"/>
      <w:bookmarkEnd w:id="7366"/>
      <w:r>
        <w:rPr>
          <w:rFonts w:hint="cs"/>
          <w:rtl/>
        </w:rPr>
        <w:t xml:space="preserve">בלי </w:t>
      </w:r>
      <w:bookmarkStart w:id="7367" w:name="_ETM_Q8_641670"/>
      <w:bookmarkEnd w:id="7367"/>
      <w:r>
        <w:rPr>
          <w:rFonts w:hint="cs"/>
          <w:rtl/>
        </w:rPr>
        <w:t xml:space="preserve">שיקול </w:t>
      </w:r>
      <w:bookmarkStart w:id="7368" w:name="_ETM_Q8_642090"/>
      <w:bookmarkEnd w:id="7368"/>
      <w:r>
        <w:rPr>
          <w:rFonts w:hint="cs"/>
          <w:rtl/>
        </w:rPr>
        <w:t xml:space="preserve">דעת; </w:t>
      </w:r>
      <w:bookmarkStart w:id="7369" w:name="_ETM_Q8_642300"/>
      <w:bookmarkEnd w:id="7369"/>
      <w:r>
        <w:rPr>
          <w:rFonts w:hint="cs"/>
          <w:rtl/>
        </w:rPr>
        <w:t xml:space="preserve">היא לא </w:t>
      </w:r>
      <w:bookmarkStart w:id="7370" w:name="_ETM_Q8_643379"/>
      <w:bookmarkEnd w:id="7370"/>
      <w:r>
        <w:rPr>
          <w:rFonts w:hint="cs"/>
          <w:rtl/>
        </w:rPr>
        <w:t xml:space="preserve">צפויה. והממשלה </w:t>
      </w:r>
      <w:bookmarkStart w:id="7371" w:name="_ETM_Q8_645540"/>
      <w:bookmarkEnd w:id="7371"/>
      <w:r>
        <w:rPr>
          <w:rFonts w:hint="cs"/>
          <w:rtl/>
        </w:rPr>
        <w:t xml:space="preserve">ושר </w:t>
      </w:r>
      <w:bookmarkStart w:id="7372" w:name="_ETM_Q8_645989"/>
      <w:bookmarkEnd w:id="7372"/>
      <w:r>
        <w:rPr>
          <w:rFonts w:hint="cs"/>
          <w:rtl/>
        </w:rPr>
        <w:t>האוצר?</w:t>
      </w:r>
      <w:bookmarkStart w:id="7373" w:name="_ETM_Q8_647390"/>
      <w:bookmarkEnd w:id="7373"/>
      <w:r>
        <w:rPr>
          <w:rFonts w:hint="cs"/>
          <w:rtl/>
        </w:rPr>
        <w:t xml:space="preserve"> הן </w:t>
      </w:r>
      <w:bookmarkStart w:id="7374" w:name="_ETM_Q8_647629"/>
      <w:bookmarkEnd w:id="7374"/>
      <w:r>
        <w:rPr>
          <w:rFonts w:hint="cs"/>
          <w:rtl/>
        </w:rPr>
        <w:t xml:space="preserve">לא </w:t>
      </w:r>
      <w:bookmarkStart w:id="7375" w:name="_ETM_Q8_647780"/>
      <w:bookmarkEnd w:id="7375"/>
      <w:r>
        <w:rPr>
          <w:rFonts w:hint="cs"/>
          <w:rtl/>
        </w:rPr>
        <w:t xml:space="preserve">מבינות, </w:t>
      </w:r>
      <w:bookmarkStart w:id="7376" w:name="_ETM_Q8_648950"/>
      <w:bookmarkEnd w:id="7376"/>
      <w:r>
        <w:rPr>
          <w:rFonts w:hint="cs"/>
          <w:rtl/>
        </w:rPr>
        <w:t xml:space="preserve">זה </w:t>
      </w:r>
      <w:bookmarkStart w:id="7377" w:name="_ETM_Q8_649310"/>
      <w:bookmarkEnd w:id="7377"/>
      <w:r>
        <w:rPr>
          <w:rFonts w:hint="cs"/>
          <w:rtl/>
        </w:rPr>
        <w:t xml:space="preserve">רק </w:t>
      </w:r>
      <w:bookmarkStart w:id="7378" w:name="_ETM_Q8_649739"/>
      <w:bookmarkEnd w:id="7378"/>
      <w:r>
        <w:rPr>
          <w:rFonts w:hint="cs"/>
          <w:rtl/>
        </w:rPr>
        <w:t>סנטי</w:t>
      </w:r>
      <w:bookmarkStart w:id="7379" w:name="_ETM_Q8_650730"/>
      <w:bookmarkStart w:id="7380" w:name="_ETM_Q8_651989"/>
      <w:bookmarkEnd w:id="7379"/>
      <w:bookmarkEnd w:id="7380"/>
      <w:r>
        <w:rPr>
          <w:rFonts w:hint="cs"/>
          <w:rtl/>
        </w:rPr>
        <w:t>מנט</w:t>
      </w:r>
      <w:bookmarkStart w:id="7381" w:name="_ETM_Q8_645320"/>
      <w:bookmarkEnd w:id="7381"/>
      <w:r>
        <w:rPr>
          <w:rFonts w:hint="cs"/>
          <w:rtl/>
        </w:rPr>
        <w:t xml:space="preserve">. </w:t>
      </w:r>
    </w:p>
    <w:p w:rsidR="000C5C1F" w:rsidRDefault="000C5C1F" w:rsidP="000C5C1F">
      <w:pPr>
        <w:rPr>
          <w:rtl/>
        </w:rPr>
      </w:pPr>
    </w:p>
    <w:p w:rsidR="000C5C1F" w:rsidRDefault="000C5C1F" w:rsidP="000C5C1F">
      <w:pPr>
        <w:rPr>
          <w:rtl/>
        </w:rPr>
      </w:pPr>
      <w:r>
        <w:rPr>
          <w:rFonts w:hint="cs"/>
          <w:rtl/>
        </w:rPr>
        <w:t xml:space="preserve">השקל </w:t>
      </w:r>
      <w:bookmarkStart w:id="7382" w:name="_ETM_Q8_652680"/>
      <w:bookmarkEnd w:id="7382"/>
      <w:r>
        <w:rPr>
          <w:rFonts w:hint="cs"/>
          <w:rtl/>
        </w:rPr>
        <w:t>מסתחרר</w:t>
      </w:r>
      <w:bookmarkStart w:id="7383" w:name="_ETM_Q8_654000"/>
      <w:bookmarkEnd w:id="7383"/>
      <w:r>
        <w:rPr>
          <w:rFonts w:hint="cs"/>
          <w:rtl/>
        </w:rPr>
        <w:t xml:space="preserve">, פעם </w:t>
      </w:r>
      <w:bookmarkStart w:id="7384" w:name="_ETM_Q8_654390"/>
      <w:bookmarkEnd w:id="7384"/>
      <w:r>
        <w:rPr>
          <w:rFonts w:hint="cs"/>
          <w:rtl/>
        </w:rPr>
        <w:t xml:space="preserve">למעלה, </w:t>
      </w:r>
      <w:bookmarkStart w:id="7385" w:name="_ETM_Q8_655469"/>
      <w:bookmarkEnd w:id="7385"/>
      <w:r>
        <w:rPr>
          <w:rFonts w:hint="cs"/>
          <w:rtl/>
        </w:rPr>
        <w:t xml:space="preserve">פעם </w:t>
      </w:r>
      <w:bookmarkStart w:id="7386" w:name="_ETM_Q8_655829"/>
      <w:bookmarkEnd w:id="7386"/>
      <w:r>
        <w:rPr>
          <w:rFonts w:hint="cs"/>
          <w:rtl/>
        </w:rPr>
        <w:t xml:space="preserve">למטה; </w:t>
      </w:r>
      <w:bookmarkStart w:id="7387" w:name="_ETM_Q8_657030"/>
      <w:bookmarkEnd w:id="7387"/>
      <w:r>
        <w:rPr>
          <w:rFonts w:hint="cs"/>
          <w:rtl/>
        </w:rPr>
        <w:t xml:space="preserve">האטרקטיביות </w:t>
      </w:r>
      <w:bookmarkStart w:id="7388" w:name="_ETM_Q8_657959"/>
      <w:bookmarkEnd w:id="7388"/>
      <w:r>
        <w:rPr>
          <w:rFonts w:hint="cs"/>
          <w:rtl/>
        </w:rPr>
        <w:t xml:space="preserve">של </w:t>
      </w:r>
      <w:bookmarkStart w:id="7389" w:name="_ETM_Q8_658170"/>
      <w:bookmarkEnd w:id="7389"/>
      <w:r>
        <w:rPr>
          <w:rFonts w:hint="cs"/>
          <w:rtl/>
        </w:rPr>
        <w:t xml:space="preserve">ההייטק </w:t>
      </w:r>
      <w:bookmarkStart w:id="7390" w:name="_ETM_Q8_658620"/>
      <w:bookmarkEnd w:id="7390"/>
      <w:r>
        <w:rPr>
          <w:rFonts w:hint="cs"/>
          <w:rtl/>
        </w:rPr>
        <w:t xml:space="preserve">הישראלי </w:t>
      </w:r>
      <w:bookmarkStart w:id="7391" w:name="_ETM_Q8_659280"/>
      <w:bookmarkEnd w:id="7391"/>
      <w:r>
        <w:rPr>
          <w:rFonts w:hint="cs"/>
          <w:rtl/>
        </w:rPr>
        <w:t xml:space="preserve">יורדת </w:t>
      </w:r>
      <w:bookmarkStart w:id="7392" w:name="_ETM_Q8_659700"/>
      <w:bookmarkEnd w:id="7392"/>
      <w:r>
        <w:rPr>
          <w:rFonts w:hint="cs"/>
          <w:rtl/>
        </w:rPr>
        <w:t xml:space="preserve">בעולם; </w:t>
      </w:r>
      <w:bookmarkStart w:id="7393" w:name="_ETM_Q8_660719"/>
      <w:bookmarkEnd w:id="7393"/>
      <w:r>
        <w:rPr>
          <w:rFonts w:hint="cs"/>
          <w:rtl/>
        </w:rPr>
        <w:t xml:space="preserve">בנקאים </w:t>
      </w:r>
      <w:bookmarkStart w:id="7394" w:name="_ETM_Q8_661560"/>
      <w:bookmarkEnd w:id="7394"/>
      <w:r>
        <w:rPr>
          <w:rFonts w:hint="cs"/>
          <w:rtl/>
        </w:rPr>
        <w:t xml:space="preserve">מזהירים, </w:t>
      </w:r>
      <w:bookmarkStart w:id="7395" w:name="_ETM_Q8_662400"/>
      <w:bookmarkEnd w:id="7395"/>
      <w:r>
        <w:rPr>
          <w:rFonts w:hint="cs"/>
          <w:rtl/>
        </w:rPr>
        <w:t xml:space="preserve">רמטכ"לים, </w:t>
      </w:r>
      <w:bookmarkStart w:id="7396" w:name="_ETM_Q8_663689"/>
      <w:bookmarkEnd w:id="7396"/>
      <w:r>
        <w:rPr>
          <w:rFonts w:hint="cs"/>
          <w:rtl/>
        </w:rPr>
        <w:t xml:space="preserve">אלופים, </w:t>
      </w:r>
      <w:bookmarkStart w:id="7397" w:name="_ETM_Q8_664739"/>
      <w:bookmarkEnd w:id="7397"/>
      <w:r>
        <w:rPr>
          <w:rFonts w:hint="cs"/>
          <w:rtl/>
        </w:rPr>
        <w:t xml:space="preserve">ראשי </w:t>
      </w:r>
      <w:bookmarkStart w:id="7398" w:name="_ETM_Q8_665250"/>
      <w:bookmarkEnd w:id="7398"/>
      <w:r>
        <w:rPr>
          <w:rFonts w:hint="cs"/>
          <w:rtl/>
        </w:rPr>
        <w:t xml:space="preserve">מוסד, </w:t>
      </w:r>
      <w:bookmarkStart w:id="7399" w:name="_ETM_Q8_666209"/>
      <w:bookmarkEnd w:id="7399"/>
      <w:r>
        <w:rPr>
          <w:rFonts w:hint="cs"/>
          <w:rtl/>
        </w:rPr>
        <w:t xml:space="preserve">ראשי </w:t>
      </w:r>
      <w:bookmarkStart w:id="7400" w:name="_ETM_Q8_666629"/>
      <w:bookmarkEnd w:id="7400"/>
      <w:r>
        <w:rPr>
          <w:rFonts w:hint="cs"/>
          <w:rtl/>
        </w:rPr>
        <w:t xml:space="preserve">שב"כ; </w:t>
      </w:r>
      <w:bookmarkStart w:id="7401" w:name="_ETM_Q8_667840"/>
      <w:bookmarkEnd w:id="7401"/>
      <w:r>
        <w:rPr>
          <w:rFonts w:hint="cs"/>
          <w:rtl/>
        </w:rPr>
        <w:t>ידיד</w:t>
      </w:r>
      <w:bookmarkStart w:id="7402" w:name="_ETM_Q8_668750"/>
      <w:bookmarkEnd w:id="7402"/>
      <w:r>
        <w:rPr>
          <w:rFonts w:hint="cs"/>
          <w:rtl/>
        </w:rPr>
        <w:t xml:space="preserve">תנו </w:t>
      </w:r>
      <w:bookmarkStart w:id="7403" w:name="_ETM_Q8_669080"/>
      <w:bookmarkEnd w:id="7403"/>
      <w:r>
        <w:rPr>
          <w:rFonts w:hint="cs"/>
          <w:rtl/>
        </w:rPr>
        <w:t xml:space="preserve">הטובה </w:t>
      </w:r>
      <w:bookmarkStart w:id="7404" w:name="_ETM_Q8_669680"/>
      <w:bookmarkEnd w:id="7404"/>
      <w:r>
        <w:rPr>
          <w:rFonts w:hint="cs"/>
          <w:rtl/>
        </w:rPr>
        <w:t xml:space="preserve">ביותר, </w:t>
      </w:r>
      <w:bookmarkStart w:id="7405" w:name="_ETM_Q8_670760"/>
      <w:bookmarkEnd w:id="7405"/>
      <w:r>
        <w:rPr>
          <w:rFonts w:hint="cs"/>
          <w:rtl/>
        </w:rPr>
        <w:t xml:space="preserve">ארצות </w:t>
      </w:r>
      <w:bookmarkStart w:id="7406" w:name="_ETM_Q8_671360"/>
      <w:bookmarkEnd w:id="7406"/>
      <w:r>
        <w:rPr>
          <w:rFonts w:hint="cs"/>
          <w:rtl/>
        </w:rPr>
        <w:t xml:space="preserve">הברית, </w:t>
      </w:r>
      <w:bookmarkStart w:id="7407" w:name="_ETM_Q8_671780"/>
      <w:bookmarkEnd w:id="7407"/>
      <w:r>
        <w:rPr>
          <w:rFonts w:hint="cs"/>
          <w:rtl/>
        </w:rPr>
        <w:t xml:space="preserve">שבלי </w:t>
      </w:r>
      <w:bookmarkStart w:id="7408" w:name="_ETM_Q8_672740"/>
      <w:bookmarkEnd w:id="7408"/>
      <w:r>
        <w:rPr>
          <w:rFonts w:hint="cs"/>
          <w:rtl/>
        </w:rPr>
        <w:t xml:space="preserve">הברית </w:t>
      </w:r>
      <w:bookmarkStart w:id="7409" w:name="_ETM_Q8_673310"/>
      <w:bookmarkEnd w:id="7409"/>
      <w:r>
        <w:rPr>
          <w:rFonts w:hint="cs"/>
          <w:rtl/>
        </w:rPr>
        <w:t xml:space="preserve">איתה </w:t>
      </w:r>
      <w:bookmarkStart w:id="7410" w:name="_ETM_Q8_673829"/>
      <w:bookmarkEnd w:id="7410"/>
      <w:r>
        <w:rPr>
          <w:rFonts w:hint="cs"/>
          <w:rtl/>
        </w:rPr>
        <w:t xml:space="preserve">אין </w:t>
      </w:r>
      <w:bookmarkStart w:id="7411" w:name="_ETM_Q8_673920"/>
      <w:bookmarkEnd w:id="7411"/>
      <w:r>
        <w:rPr>
          <w:rFonts w:hint="cs"/>
          <w:rtl/>
        </w:rPr>
        <w:t xml:space="preserve">לנו </w:t>
      </w:r>
      <w:bookmarkStart w:id="7412" w:name="_ETM_Q8_674250"/>
      <w:bookmarkEnd w:id="7412"/>
      <w:r>
        <w:rPr>
          <w:rFonts w:hint="cs"/>
          <w:rtl/>
        </w:rPr>
        <w:t xml:space="preserve">קיום </w:t>
      </w:r>
      <w:bookmarkStart w:id="7413" w:name="_ETM_Q8_675090"/>
      <w:bookmarkEnd w:id="7413"/>
      <w:r>
        <w:rPr>
          <w:rFonts w:hint="cs"/>
          <w:rtl/>
        </w:rPr>
        <w:t xml:space="preserve">– אין </w:t>
      </w:r>
      <w:bookmarkStart w:id="7414" w:name="_ETM_Q8_675450"/>
      <w:bookmarkEnd w:id="7414"/>
      <w:r>
        <w:rPr>
          <w:rFonts w:hint="cs"/>
          <w:rtl/>
        </w:rPr>
        <w:t xml:space="preserve">לנו </w:t>
      </w:r>
      <w:bookmarkStart w:id="7415" w:name="_ETM_Q8_675749"/>
      <w:bookmarkEnd w:id="7415"/>
      <w:r>
        <w:rPr>
          <w:rFonts w:hint="cs"/>
          <w:rtl/>
        </w:rPr>
        <w:t xml:space="preserve">קיום, </w:t>
      </w:r>
      <w:bookmarkStart w:id="7416" w:name="_ETM_Q8_676200"/>
      <w:bookmarkEnd w:id="7416"/>
      <w:r>
        <w:rPr>
          <w:rFonts w:hint="cs"/>
          <w:rtl/>
        </w:rPr>
        <w:t xml:space="preserve">תפנימו, </w:t>
      </w:r>
      <w:bookmarkStart w:id="7417" w:name="_ETM_Q8_676859"/>
      <w:bookmarkEnd w:id="7417"/>
      <w:r>
        <w:rPr>
          <w:rFonts w:hint="cs"/>
          <w:rtl/>
        </w:rPr>
        <w:t xml:space="preserve">חסרי </w:t>
      </w:r>
      <w:bookmarkStart w:id="7418" w:name="_ETM_Q8_677279"/>
      <w:bookmarkEnd w:id="7418"/>
      <w:r>
        <w:rPr>
          <w:rFonts w:hint="cs"/>
          <w:rtl/>
        </w:rPr>
        <w:t xml:space="preserve">אחריות </w:t>
      </w:r>
      <w:bookmarkStart w:id="7419" w:name="_ETM_Q8_677700"/>
      <w:bookmarkEnd w:id="7419"/>
      <w:r>
        <w:rPr>
          <w:rFonts w:hint="cs"/>
          <w:rtl/>
        </w:rPr>
        <w:t xml:space="preserve">שכמוכם – </w:t>
      </w:r>
      <w:bookmarkStart w:id="7420" w:name="_ETM_Q8_678870"/>
      <w:bookmarkEnd w:id="7420"/>
      <w:r>
        <w:rPr>
          <w:rFonts w:hint="cs"/>
          <w:rtl/>
        </w:rPr>
        <w:t xml:space="preserve">אומרת לנו: </w:t>
      </w:r>
      <w:bookmarkStart w:id="7421" w:name="_ETM_Q8_680659"/>
      <w:bookmarkEnd w:id="7421"/>
      <w:r>
        <w:rPr>
          <w:rFonts w:hint="cs"/>
          <w:rtl/>
        </w:rPr>
        <w:t xml:space="preserve">הברית </w:t>
      </w:r>
      <w:bookmarkStart w:id="7422" w:name="_ETM_Q8_681260"/>
      <w:bookmarkEnd w:id="7422"/>
      <w:r>
        <w:rPr>
          <w:rFonts w:hint="cs"/>
          <w:rtl/>
        </w:rPr>
        <w:t xml:space="preserve">שלנו </w:t>
      </w:r>
      <w:bookmarkStart w:id="7423" w:name="_ETM_Q8_681889"/>
      <w:bookmarkEnd w:id="7423"/>
      <w:r>
        <w:rPr>
          <w:rFonts w:hint="cs"/>
          <w:rtl/>
        </w:rPr>
        <w:t xml:space="preserve">איתכם </w:t>
      </w:r>
      <w:bookmarkStart w:id="7424" w:name="_ETM_Q8_682370"/>
      <w:bookmarkEnd w:id="7424"/>
      <w:r>
        <w:rPr>
          <w:rFonts w:hint="cs"/>
          <w:rtl/>
        </w:rPr>
        <w:t xml:space="preserve">מתבססת </w:t>
      </w:r>
      <w:bookmarkStart w:id="7425" w:name="_ETM_Q8_683090"/>
      <w:bookmarkEnd w:id="7425"/>
      <w:r>
        <w:rPr>
          <w:rFonts w:hint="cs"/>
          <w:rtl/>
        </w:rPr>
        <w:t xml:space="preserve">על </w:t>
      </w:r>
      <w:bookmarkStart w:id="7426" w:name="_ETM_Q8_683209"/>
      <w:bookmarkEnd w:id="7426"/>
      <w:r>
        <w:rPr>
          <w:rFonts w:hint="cs"/>
          <w:rtl/>
        </w:rPr>
        <w:t xml:space="preserve">זה </w:t>
      </w:r>
      <w:bookmarkStart w:id="7427" w:name="_ETM_Q8_683689"/>
      <w:bookmarkEnd w:id="7427"/>
      <w:r>
        <w:rPr>
          <w:rFonts w:hint="cs"/>
          <w:rtl/>
        </w:rPr>
        <w:t xml:space="preserve">שיש </w:t>
      </w:r>
      <w:bookmarkStart w:id="7428" w:name="_ETM_Q8_684319"/>
      <w:bookmarkEnd w:id="7428"/>
      <w:r>
        <w:rPr>
          <w:rFonts w:hint="cs"/>
          <w:rtl/>
        </w:rPr>
        <w:t xml:space="preserve">לנו </w:t>
      </w:r>
      <w:bookmarkStart w:id="7429" w:name="_ETM_Q8_684590"/>
      <w:bookmarkEnd w:id="7429"/>
      <w:r>
        <w:rPr>
          <w:rFonts w:hint="cs"/>
          <w:rtl/>
        </w:rPr>
        <w:t xml:space="preserve">ערכים </w:t>
      </w:r>
      <w:bookmarkStart w:id="7430" w:name="_ETM_Q8_685159"/>
      <w:bookmarkEnd w:id="7430"/>
      <w:r>
        <w:rPr>
          <w:rFonts w:hint="cs"/>
          <w:rtl/>
        </w:rPr>
        <w:t xml:space="preserve">משותפים, </w:t>
      </w:r>
      <w:bookmarkStart w:id="7431" w:name="_ETM_Q8_686419"/>
      <w:bookmarkEnd w:id="7431"/>
      <w:r>
        <w:rPr>
          <w:rFonts w:hint="cs"/>
          <w:rtl/>
        </w:rPr>
        <w:t xml:space="preserve">שאתם </w:t>
      </w:r>
      <w:bookmarkStart w:id="7432" w:name="_ETM_Q8_686989"/>
      <w:bookmarkEnd w:id="7432"/>
      <w:r>
        <w:rPr>
          <w:rFonts w:hint="cs"/>
          <w:rtl/>
        </w:rPr>
        <w:t xml:space="preserve">הדמוקרטיה </w:t>
      </w:r>
      <w:bookmarkStart w:id="7433" w:name="_ETM_Q8_688069"/>
      <w:bookmarkEnd w:id="7433"/>
      <w:r>
        <w:rPr>
          <w:rFonts w:hint="cs"/>
          <w:rtl/>
        </w:rPr>
        <w:t xml:space="preserve">היחידה </w:t>
      </w:r>
      <w:bookmarkStart w:id="7434" w:name="_ETM_Q8_688669"/>
      <w:bookmarkEnd w:id="7434"/>
      <w:r>
        <w:rPr>
          <w:rFonts w:hint="cs"/>
          <w:rtl/>
        </w:rPr>
        <w:t xml:space="preserve">במזרח </w:t>
      </w:r>
      <w:bookmarkStart w:id="7435" w:name="_ETM_Q8_689269"/>
      <w:bookmarkEnd w:id="7435"/>
      <w:r>
        <w:rPr>
          <w:rFonts w:hint="cs"/>
          <w:rtl/>
        </w:rPr>
        <w:t xml:space="preserve">התיכון. </w:t>
      </w:r>
      <w:bookmarkStart w:id="7436" w:name="_ETM_Q8_690439"/>
      <w:bookmarkEnd w:id="7436"/>
      <w:r>
        <w:rPr>
          <w:rFonts w:hint="cs"/>
          <w:rtl/>
        </w:rPr>
        <w:t xml:space="preserve">אם </w:t>
      </w:r>
      <w:bookmarkStart w:id="7437" w:name="_ETM_Q8_690620"/>
      <w:bookmarkEnd w:id="7437"/>
      <w:r>
        <w:rPr>
          <w:rFonts w:hint="cs"/>
          <w:rtl/>
        </w:rPr>
        <w:t xml:space="preserve">זה </w:t>
      </w:r>
      <w:bookmarkStart w:id="7438" w:name="_ETM_Q8_690829"/>
      <w:bookmarkEnd w:id="7438"/>
      <w:r>
        <w:rPr>
          <w:rFonts w:hint="cs"/>
          <w:rtl/>
        </w:rPr>
        <w:t xml:space="preserve">לא </w:t>
      </w:r>
      <w:bookmarkStart w:id="7439" w:name="_ETM_Q8_691019"/>
      <w:bookmarkEnd w:id="7439"/>
      <w:r>
        <w:rPr>
          <w:rFonts w:hint="cs"/>
          <w:rtl/>
        </w:rPr>
        <w:t>יהיה</w:t>
      </w:r>
      <w:bookmarkStart w:id="7440" w:name="_ETM_Q8_691319"/>
      <w:bookmarkEnd w:id="7440"/>
      <w:r>
        <w:rPr>
          <w:rFonts w:hint="cs"/>
          <w:rtl/>
        </w:rPr>
        <w:t xml:space="preserve">, הכול </w:t>
      </w:r>
      <w:bookmarkStart w:id="7441" w:name="_ETM_Q8_691769"/>
      <w:bookmarkEnd w:id="7441"/>
      <w:r>
        <w:rPr>
          <w:rFonts w:hint="cs"/>
          <w:rtl/>
        </w:rPr>
        <w:t xml:space="preserve">ישתנה. </w:t>
      </w:r>
      <w:bookmarkStart w:id="7442" w:name="_ETM_Q8_692999"/>
      <w:bookmarkEnd w:id="7442"/>
      <w:r>
        <w:rPr>
          <w:rFonts w:hint="cs"/>
          <w:rtl/>
        </w:rPr>
        <w:t xml:space="preserve">ואתם </w:t>
      </w:r>
      <w:bookmarkStart w:id="7443" w:name="_ETM_Q8_694380"/>
      <w:bookmarkEnd w:id="7443"/>
      <w:r>
        <w:rPr>
          <w:rFonts w:hint="cs"/>
          <w:rtl/>
        </w:rPr>
        <w:t>– בש</w:t>
      </w:r>
      <w:bookmarkStart w:id="7444" w:name="_ETM_Q8_694890"/>
      <w:bookmarkEnd w:id="7444"/>
      <w:r>
        <w:rPr>
          <w:rFonts w:hint="cs"/>
          <w:rtl/>
        </w:rPr>
        <w:t xml:space="preserve">לכם: </w:t>
      </w:r>
      <w:bookmarkStart w:id="7445" w:name="_ETM_Q8_696418"/>
      <w:bookmarkEnd w:id="7445"/>
      <w:r>
        <w:rPr>
          <w:rFonts w:hint="cs"/>
          <w:rtl/>
        </w:rPr>
        <w:t xml:space="preserve">כוח, </w:t>
      </w:r>
      <w:bookmarkStart w:id="7446" w:name="_ETM_Q8_697239"/>
      <w:bookmarkEnd w:id="7446"/>
      <w:r>
        <w:rPr>
          <w:rFonts w:hint="cs"/>
          <w:rtl/>
        </w:rPr>
        <w:t xml:space="preserve">כסף </w:t>
      </w:r>
      <w:bookmarkStart w:id="7447" w:name="_ETM_Q8_698230"/>
      <w:bookmarkEnd w:id="7447"/>
      <w:r>
        <w:rPr>
          <w:rFonts w:hint="cs"/>
          <w:rtl/>
        </w:rPr>
        <w:t xml:space="preserve">וכבוד. </w:t>
      </w:r>
      <w:bookmarkStart w:id="7448" w:name="_ETM_Q8_699790"/>
      <w:bookmarkEnd w:id="7448"/>
      <w:r>
        <w:rPr>
          <w:rFonts w:hint="cs"/>
          <w:rtl/>
        </w:rPr>
        <w:t xml:space="preserve">מי </w:t>
      </w:r>
      <w:bookmarkStart w:id="7449" w:name="_ETM_Q8_700030"/>
      <w:bookmarkEnd w:id="7449"/>
      <w:r>
        <w:rPr>
          <w:rFonts w:hint="cs"/>
          <w:rtl/>
        </w:rPr>
        <w:t xml:space="preserve">שלא </w:t>
      </w:r>
      <w:bookmarkStart w:id="7450" w:name="_ETM_Q8_700360"/>
      <w:bookmarkEnd w:id="7450"/>
      <w:r>
        <w:rPr>
          <w:rFonts w:hint="cs"/>
          <w:rtl/>
        </w:rPr>
        <w:t xml:space="preserve">בחר </w:t>
      </w:r>
      <w:bookmarkStart w:id="7451" w:name="_ETM_Q8_700809"/>
      <w:bookmarkEnd w:id="7451"/>
      <w:r>
        <w:rPr>
          <w:rFonts w:hint="cs"/>
          <w:rtl/>
        </w:rPr>
        <w:t xml:space="preserve">בכם </w:t>
      </w:r>
      <w:bookmarkStart w:id="7452" w:name="_ETM_Q8_701650"/>
      <w:bookmarkEnd w:id="7452"/>
      <w:r>
        <w:rPr>
          <w:rFonts w:hint="cs"/>
          <w:rtl/>
        </w:rPr>
        <w:t xml:space="preserve">– לא </w:t>
      </w:r>
      <w:bookmarkStart w:id="7453" w:name="_ETM_Q8_702070"/>
      <w:bookmarkEnd w:id="7453"/>
      <w:r>
        <w:rPr>
          <w:rFonts w:hint="cs"/>
          <w:rtl/>
        </w:rPr>
        <w:t xml:space="preserve">קיים. </w:t>
      </w:r>
      <w:bookmarkStart w:id="7454" w:name="_ETM_Q8_702970"/>
      <w:bookmarkEnd w:id="7454"/>
      <w:r>
        <w:rPr>
          <w:rFonts w:hint="cs"/>
          <w:rtl/>
        </w:rPr>
        <w:t xml:space="preserve">הכול </w:t>
      </w:r>
      <w:bookmarkStart w:id="7455" w:name="_ETM_Q8_703510"/>
      <w:bookmarkEnd w:id="7455"/>
      <w:r>
        <w:rPr>
          <w:rFonts w:hint="cs"/>
          <w:rtl/>
        </w:rPr>
        <w:t xml:space="preserve">כשר </w:t>
      </w:r>
      <w:bookmarkStart w:id="7456" w:name="_ETM_Q8_704080"/>
      <w:bookmarkEnd w:id="7456"/>
      <w:r>
        <w:rPr>
          <w:rFonts w:hint="cs"/>
          <w:rtl/>
        </w:rPr>
        <w:t xml:space="preserve">כדי </w:t>
      </w:r>
      <w:bookmarkStart w:id="7457" w:name="_ETM_Q8_704380"/>
      <w:bookmarkEnd w:id="7457"/>
      <w:r>
        <w:rPr>
          <w:rFonts w:hint="cs"/>
          <w:rtl/>
        </w:rPr>
        <w:t xml:space="preserve">לבזבז </w:t>
      </w:r>
      <w:bookmarkStart w:id="7458" w:name="_ETM_Q8_705040"/>
      <w:bookmarkEnd w:id="7458"/>
      <w:r>
        <w:rPr>
          <w:rFonts w:hint="cs"/>
          <w:rtl/>
        </w:rPr>
        <w:t xml:space="preserve">את כספי </w:t>
      </w:r>
      <w:bookmarkStart w:id="7459" w:name="_ETM_Q8_705520"/>
      <w:bookmarkEnd w:id="7459"/>
      <w:r>
        <w:rPr>
          <w:rFonts w:hint="cs"/>
          <w:rtl/>
        </w:rPr>
        <w:t xml:space="preserve">המיסים </w:t>
      </w:r>
      <w:bookmarkStart w:id="7460" w:name="_ETM_Q8_706030"/>
      <w:bookmarkEnd w:id="7460"/>
      <w:r>
        <w:rPr>
          <w:rFonts w:hint="cs"/>
          <w:rtl/>
        </w:rPr>
        <w:t xml:space="preserve">שלנו </w:t>
      </w:r>
      <w:bookmarkStart w:id="7461" w:name="_ETM_Q8_706870"/>
      <w:bookmarkEnd w:id="7461"/>
      <w:r>
        <w:rPr>
          <w:rFonts w:hint="cs"/>
          <w:rtl/>
        </w:rPr>
        <w:t xml:space="preserve">על </w:t>
      </w:r>
      <w:bookmarkStart w:id="7462" w:name="_ETM_Q8_707080"/>
      <w:bookmarkEnd w:id="7462"/>
      <w:r>
        <w:rPr>
          <w:rFonts w:hint="cs"/>
          <w:rtl/>
        </w:rPr>
        <w:t xml:space="preserve">חוקים </w:t>
      </w:r>
      <w:bookmarkStart w:id="7463" w:name="_ETM_Q8_707650"/>
      <w:bookmarkEnd w:id="7463"/>
      <w:r>
        <w:rPr>
          <w:rFonts w:hint="cs"/>
          <w:rtl/>
        </w:rPr>
        <w:t xml:space="preserve">פרסונליים. </w:t>
      </w:r>
      <w:bookmarkStart w:id="7464" w:name="_ETM_Q8_709210"/>
      <w:bookmarkEnd w:id="7464"/>
      <w:r>
        <w:rPr>
          <w:rFonts w:hint="cs"/>
          <w:rtl/>
        </w:rPr>
        <w:t xml:space="preserve">זו </w:t>
      </w:r>
      <w:bookmarkStart w:id="7465" w:name="_ETM_Q8_709930"/>
      <w:bookmarkEnd w:id="7465"/>
      <w:r>
        <w:rPr>
          <w:rFonts w:hint="cs"/>
          <w:rtl/>
        </w:rPr>
        <w:t xml:space="preserve">הדמוקרטיה </w:t>
      </w:r>
      <w:bookmarkStart w:id="7466" w:name="_ETM_Q8_710980"/>
      <w:bookmarkEnd w:id="7466"/>
      <w:r>
        <w:rPr>
          <w:rFonts w:hint="cs"/>
          <w:rtl/>
        </w:rPr>
        <w:t xml:space="preserve">בעיניכם. </w:t>
      </w:r>
      <w:bookmarkStart w:id="7467" w:name="_ETM_Q8_716830"/>
      <w:bookmarkEnd w:id="7467"/>
    </w:p>
    <w:p w:rsidR="000C5C1F" w:rsidRDefault="000C5C1F" w:rsidP="000C5C1F">
      <w:pPr>
        <w:rPr>
          <w:rtl/>
        </w:rPr>
      </w:pPr>
      <w:bookmarkStart w:id="7468" w:name="_ETM_Q8_708601"/>
      <w:bookmarkStart w:id="7469" w:name="_ETM_Q8_708659"/>
      <w:bookmarkEnd w:id="7468"/>
      <w:bookmarkEnd w:id="7469"/>
    </w:p>
    <w:p w:rsidR="000C5C1F" w:rsidRDefault="000C5C1F" w:rsidP="000C5C1F">
      <w:pPr>
        <w:rPr>
          <w:rtl/>
        </w:rPr>
      </w:pPr>
      <w:bookmarkStart w:id="7470" w:name="_ETM_Q8_708793"/>
      <w:bookmarkStart w:id="7471" w:name="_ETM_Q8_708856"/>
      <w:bookmarkEnd w:id="7470"/>
      <w:bookmarkEnd w:id="7471"/>
      <w:r>
        <w:rPr>
          <w:rFonts w:hint="cs"/>
          <w:rtl/>
        </w:rPr>
        <w:t xml:space="preserve">תוך </w:t>
      </w:r>
      <w:bookmarkStart w:id="7472" w:name="_ETM_Q8_717100"/>
      <w:bookmarkEnd w:id="7472"/>
      <w:r>
        <w:rPr>
          <w:rFonts w:hint="cs"/>
          <w:rtl/>
        </w:rPr>
        <w:t xml:space="preserve">ארבעה </w:t>
      </w:r>
      <w:bookmarkStart w:id="7473" w:name="_ETM_Q8_717490"/>
      <w:bookmarkStart w:id="7474" w:name="_ETM_Q8_718150"/>
      <w:bookmarkEnd w:id="7473"/>
      <w:bookmarkEnd w:id="7474"/>
      <w:r>
        <w:rPr>
          <w:rFonts w:hint="cs"/>
          <w:rtl/>
        </w:rPr>
        <w:t xml:space="preserve">חודשים </w:t>
      </w:r>
      <w:bookmarkStart w:id="7475" w:name="_ETM_Q8_720390"/>
      <w:bookmarkEnd w:id="7475"/>
      <w:r>
        <w:rPr>
          <w:rFonts w:hint="cs"/>
          <w:rtl/>
        </w:rPr>
        <w:t xml:space="preserve">המדיניות </w:t>
      </w:r>
      <w:bookmarkStart w:id="7476" w:name="_ETM_Q8_721170"/>
      <w:bookmarkEnd w:id="7476"/>
      <w:r>
        <w:rPr>
          <w:rFonts w:hint="cs"/>
          <w:rtl/>
        </w:rPr>
        <w:t xml:space="preserve">העיקרית </w:t>
      </w:r>
      <w:bookmarkStart w:id="7477" w:name="_ETM_Q8_721709"/>
      <w:bookmarkEnd w:id="7477"/>
      <w:r>
        <w:rPr>
          <w:rFonts w:hint="cs"/>
          <w:rtl/>
        </w:rPr>
        <w:t xml:space="preserve">שלכם </w:t>
      </w:r>
      <w:bookmarkStart w:id="7478" w:name="_ETM_Q8_722340"/>
      <w:bookmarkEnd w:id="7478"/>
      <w:r>
        <w:rPr>
          <w:rFonts w:hint="cs"/>
          <w:rtl/>
        </w:rPr>
        <w:t xml:space="preserve">הפכה </w:t>
      </w:r>
      <w:bookmarkStart w:id="7479" w:name="_ETM_Q8_722760"/>
      <w:bookmarkEnd w:id="7479"/>
      <w:r>
        <w:rPr>
          <w:rFonts w:hint="cs"/>
          <w:rtl/>
        </w:rPr>
        <w:t xml:space="preserve">להיות </w:t>
      </w:r>
      <w:bookmarkStart w:id="7480" w:name="_ETM_Q8_723179"/>
      <w:bookmarkEnd w:id="7480"/>
      <w:r>
        <w:rPr>
          <w:rFonts w:hint="cs"/>
          <w:rtl/>
        </w:rPr>
        <w:t xml:space="preserve">מדיניות </w:t>
      </w:r>
      <w:bookmarkStart w:id="7481" w:name="_ETM_Q8_723809"/>
      <w:bookmarkEnd w:id="7481"/>
      <w:r>
        <w:rPr>
          <w:rFonts w:hint="cs"/>
          <w:rtl/>
        </w:rPr>
        <w:t xml:space="preserve">של </w:t>
      </w:r>
      <w:bookmarkStart w:id="7482" w:name="_ETM_Q8_724019"/>
      <w:bookmarkEnd w:id="7482"/>
      <w:r>
        <w:rPr>
          <w:rFonts w:hint="cs"/>
          <w:rtl/>
        </w:rPr>
        <w:t xml:space="preserve">גידופים. </w:t>
      </w:r>
      <w:bookmarkStart w:id="7483" w:name="_ETM_Q8_725919"/>
      <w:bookmarkEnd w:id="7483"/>
      <w:r>
        <w:rPr>
          <w:rFonts w:hint="cs"/>
          <w:rtl/>
        </w:rPr>
        <w:t xml:space="preserve">שרת </w:t>
      </w:r>
      <w:bookmarkStart w:id="7484" w:name="_ETM_Q8_726579"/>
      <w:bookmarkEnd w:id="7484"/>
      <w:r>
        <w:rPr>
          <w:rFonts w:hint="cs"/>
          <w:rtl/>
        </w:rPr>
        <w:t xml:space="preserve">ההסברה </w:t>
      </w:r>
      <w:bookmarkStart w:id="7485" w:name="_ETM_Q8_727179"/>
      <w:bookmarkEnd w:id="7485"/>
      <w:r>
        <w:rPr>
          <w:rFonts w:hint="cs"/>
          <w:rtl/>
        </w:rPr>
        <w:t xml:space="preserve">של </w:t>
      </w:r>
      <w:bookmarkStart w:id="7486" w:name="_ETM_Q8_727389"/>
      <w:bookmarkEnd w:id="7486"/>
      <w:r>
        <w:rPr>
          <w:rFonts w:hint="cs"/>
          <w:rtl/>
        </w:rPr>
        <w:t xml:space="preserve">מדינת </w:t>
      </w:r>
      <w:bookmarkStart w:id="7487" w:name="_ETM_Q8_727900"/>
      <w:bookmarkEnd w:id="7487"/>
      <w:r>
        <w:rPr>
          <w:rFonts w:hint="cs"/>
          <w:rtl/>
        </w:rPr>
        <w:t xml:space="preserve">ישראל </w:t>
      </w:r>
      <w:bookmarkStart w:id="7488" w:name="_ETM_Q8_728499"/>
      <w:bookmarkEnd w:id="7488"/>
      <w:r>
        <w:rPr>
          <w:rFonts w:hint="cs"/>
          <w:rtl/>
        </w:rPr>
        <w:t xml:space="preserve">קוראת </w:t>
      </w:r>
      <w:bookmarkStart w:id="7489" w:name="_ETM_Q8_728859"/>
      <w:bookmarkEnd w:id="7489"/>
      <w:r>
        <w:rPr>
          <w:rFonts w:hint="cs"/>
          <w:rtl/>
        </w:rPr>
        <w:t xml:space="preserve">לטייסים </w:t>
      </w:r>
      <w:bookmarkStart w:id="7490" w:name="_ETM_Q8_729579"/>
      <w:bookmarkEnd w:id="7490"/>
      <w:r>
        <w:rPr>
          <w:rFonts w:hint="cs"/>
          <w:rtl/>
        </w:rPr>
        <w:t xml:space="preserve">נפולת </w:t>
      </w:r>
      <w:bookmarkStart w:id="7491" w:name="_ETM_Q8_730179"/>
      <w:bookmarkEnd w:id="7491"/>
      <w:r>
        <w:rPr>
          <w:rFonts w:hint="cs"/>
          <w:rtl/>
        </w:rPr>
        <w:t xml:space="preserve">של </w:t>
      </w:r>
      <w:bookmarkStart w:id="7492" w:name="_ETM_Q8_730419"/>
      <w:bookmarkEnd w:id="7492"/>
      <w:r>
        <w:rPr>
          <w:rFonts w:hint="cs"/>
          <w:rtl/>
        </w:rPr>
        <w:t xml:space="preserve">נמושות; </w:t>
      </w:r>
      <w:bookmarkStart w:id="7493" w:name="_ETM_Q8_731920"/>
      <w:bookmarkEnd w:id="7493"/>
      <w:r>
        <w:rPr>
          <w:rFonts w:hint="cs"/>
          <w:rtl/>
        </w:rPr>
        <w:t xml:space="preserve">שר </w:t>
      </w:r>
      <w:bookmarkStart w:id="7494" w:name="_ETM_Q8_732220"/>
      <w:bookmarkEnd w:id="7494"/>
      <w:r>
        <w:rPr>
          <w:rFonts w:hint="cs"/>
          <w:rtl/>
        </w:rPr>
        <w:t xml:space="preserve">התקשורת </w:t>
      </w:r>
      <w:bookmarkStart w:id="7495" w:name="_ETM_Q8_732880"/>
      <w:bookmarkStart w:id="7496" w:name="_ETM_Q8_733030"/>
      <w:bookmarkEnd w:id="7495"/>
      <w:bookmarkEnd w:id="7496"/>
      <w:r>
        <w:rPr>
          <w:rFonts w:hint="cs"/>
          <w:rtl/>
        </w:rPr>
        <w:t xml:space="preserve">אומר להם: לכו לעזאזל, </w:t>
      </w:r>
      <w:bookmarkStart w:id="7497" w:name="_ETM_Q8_733569"/>
      <w:bookmarkEnd w:id="7497"/>
      <w:r>
        <w:rPr>
          <w:rFonts w:hint="cs"/>
          <w:rtl/>
        </w:rPr>
        <w:t>נ</w:t>
      </w:r>
      <w:bookmarkStart w:id="7498" w:name="_ETM_Q8_735170"/>
      <w:bookmarkEnd w:id="7498"/>
      <w:r>
        <w:rPr>
          <w:rFonts w:hint="cs"/>
          <w:rtl/>
        </w:rPr>
        <w:t xml:space="preserve">סתדר </w:t>
      </w:r>
      <w:bookmarkStart w:id="7499" w:name="_ETM_Q8_736010"/>
      <w:bookmarkEnd w:id="7499"/>
      <w:r>
        <w:rPr>
          <w:rFonts w:hint="cs"/>
          <w:rtl/>
        </w:rPr>
        <w:t xml:space="preserve">בלעדיכם; </w:t>
      </w:r>
      <w:bookmarkStart w:id="7500" w:name="_ETM_Q8_737420"/>
      <w:bookmarkEnd w:id="7500"/>
      <w:r>
        <w:rPr>
          <w:rFonts w:hint="cs"/>
          <w:rtl/>
        </w:rPr>
        <w:t xml:space="preserve">ראש הממשלה </w:t>
      </w:r>
      <w:bookmarkStart w:id="7501" w:name="_ETM_Q8_738530"/>
      <w:bookmarkEnd w:id="7501"/>
      <w:r>
        <w:rPr>
          <w:rFonts w:hint="cs"/>
          <w:rtl/>
        </w:rPr>
        <w:t xml:space="preserve">שלנו </w:t>
      </w:r>
      <w:bookmarkStart w:id="7502" w:name="_ETM_Q8_738980"/>
      <w:bookmarkEnd w:id="7502"/>
      <w:r>
        <w:rPr>
          <w:rFonts w:hint="cs"/>
          <w:rtl/>
        </w:rPr>
        <w:t xml:space="preserve">מודיע להם: </w:t>
      </w:r>
      <w:bookmarkStart w:id="7503" w:name="_ETM_Q8_740279"/>
      <w:bookmarkEnd w:id="7503"/>
      <w:r>
        <w:rPr>
          <w:rFonts w:hint="cs"/>
          <w:rtl/>
        </w:rPr>
        <w:t xml:space="preserve">בלי </w:t>
      </w:r>
      <w:bookmarkStart w:id="7504" w:name="_ETM_Q8_741490"/>
      <w:bookmarkEnd w:id="7504"/>
      <w:r>
        <w:rPr>
          <w:rFonts w:hint="cs"/>
          <w:rtl/>
        </w:rPr>
        <w:t xml:space="preserve">טייסים </w:t>
      </w:r>
      <w:bookmarkStart w:id="7505" w:name="_ETM_Q8_742030"/>
      <w:bookmarkEnd w:id="7505"/>
      <w:r>
        <w:rPr>
          <w:rFonts w:hint="cs"/>
          <w:rtl/>
        </w:rPr>
        <w:t xml:space="preserve">יש </w:t>
      </w:r>
      <w:bookmarkStart w:id="7506" w:name="_ETM_Q8_742210"/>
      <w:bookmarkEnd w:id="7506"/>
      <w:r>
        <w:rPr>
          <w:rFonts w:hint="cs"/>
          <w:rtl/>
        </w:rPr>
        <w:t xml:space="preserve">לנו </w:t>
      </w:r>
      <w:bookmarkStart w:id="7507" w:name="_ETM_Q8_742449"/>
      <w:bookmarkEnd w:id="7507"/>
      <w:r>
        <w:rPr>
          <w:rFonts w:hint="cs"/>
          <w:rtl/>
        </w:rPr>
        <w:t>מדינה.</w:t>
      </w:r>
      <w:bookmarkStart w:id="7508" w:name="_ETM_Q8_676049"/>
      <w:bookmarkStart w:id="7509" w:name="_ETM_Q8_676140"/>
      <w:bookmarkStart w:id="7510" w:name="_ETM_Q8_676188"/>
      <w:bookmarkStart w:id="7511" w:name="_ETM_Q8_676263"/>
      <w:bookmarkStart w:id="7512" w:name="_ETM_Q8_743320"/>
      <w:bookmarkEnd w:id="7508"/>
      <w:bookmarkEnd w:id="7509"/>
      <w:bookmarkEnd w:id="7510"/>
      <w:bookmarkEnd w:id="7511"/>
      <w:bookmarkEnd w:id="7512"/>
      <w:r>
        <w:rPr>
          <w:rFonts w:hint="cs"/>
          <w:rtl/>
        </w:rPr>
        <w:t xml:space="preserve"> ובכלל </w:t>
      </w:r>
      <w:bookmarkStart w:id="7513" w:name="_ETM_Q8_744040"/>
      <w:bookmarkEnd w:id="7513"/>
      <w:r>
        <w:rPr>
          <w:rFonts w:hint="cs"/>
          <w:rtl/>
        </w:rPr>
        <w:t xml:space="preserve">– כולם </w:t>
      </w:r>
      <w:bookmarkStart w:id="7514" w:name="_ETM_Q8_744669"/>
      <w:bookmarkEnd w:id="7514"/>
      <w:r>
        <w:rPr>
          <w:rFonts w:hint="cs"/>
          <w:rtl/>
        </w:rPr>
        <w:t xml:space="preserve">אשמים, </w:t>
      </w:r>
      <w:bookmarkStart w:id="7515" w:name="_ETM_Q8_745599"/>
      <w:bookmarkEnd w:id="7515"/>
      <w:r>
        <w:rPr>
          <w:rFonts w:hint="cs"/>
          <w:rtl/>
        </w:rPr>
        <w:t xml:space="preserve">חוץ </w:t>
      </w:r>
      <w:bookmarkStart w:id="7516" w:name="_ETM_Q8_746050"/>
      <w:bookmarkEnd w:id="7516"/>
      <w:r>
        <w:rPr>
          <w:rFonts w:hint="cs"/>
          <w:rtl/>
        </w:rPr>
        <w:t xml:space="preserve">מכם; </w:t>
      </w:r>
      <w:bookmarkStart w:id="7517" w:name="_ETM_Q8_747500"/>
      <w:bookmarkEnd w:id="7517"/>
      <w:r>
        <w:rPr>
          <w:rFonts w:hint="cs"/>
          <w:rtl/>
        </w:rPr>
        <w:t xml:space="preserve">שר </w:t>
      </w:r>
      <w:bookmarkStart w:id="7518" w:name="_ETM_Q8_747830"/>
      <w:bookmarkEnd w:id="7518"/>
      <w:r>
        <w:rPr>
          <w:rFonts w:hint="cs"/>
          <w:rtl/>
        </w:rPr>
        <w:t xml:space="preserve">המשטרה, </w:t>
      </w:r>
      <w:bookmarkStart w:id="7519" w:name="_ETM_Q8_749200"/>
      <w:bookmarkEnd w:id="7519"/>
      <w:r>
        <w:rPr>
          <w:rFonts w:hint="cs"/>
          <w:rtl/>
        </w:rPr>
        <w:t xml:space="preserve">שאחראי </w:t>
      </w:r>
      <w:bookmarkStart w:id="7520" w:name="_ETM_Q8_749890"/>
      <w:bookmarkEnd w:id="7520"/>
      <w:r>
        <w:rPr>
          <w:rFonts w:hint="cs"/>
          <w:rtl/>
        </w:rPr>
        <w:t xml:space="preserve">על </w:t>
      </w:r>
      <w:bookmarkStart w:id="7521" w:name="_ETM_Q8_750040"/>
      <w:bookmarkEnd w:id="7521"/>
      <w:r>
        <w:rPr>
          <w:rFonts w:hint="cs"/>
          <w:rtl/>
        </w:rPr>
        <w:t xml:space="preserve">השקט </w:t>
      </w:r>
      <w:bookmarkStart w:id="7522" w:name="_ETM_Q8_750730"/>
      <w:bookmarkEnd w:id="7522"/>
      <w:r>
        <w:rPr>
          <w:rFonts w:hint="cs"/>
          <w:rtl/>
        </w:rPr>
        <w:t xml:space="preserve">ועל </w:t>
      </w:r>
      <w:bookmarkStart w:id="7523" w:name="_ETM_Q8_751000"/>
      <w:bookmarkEnd w:id="7523"/>
      <w:r>
        <w:rPr>
          <w:rFonts w:hint="cs"/>
          <w:rtl/>
        </w:rPr>
        <w:t xml:space="preserve">הרוגע </w:t>
      </w:r>
      <w:bookmarkStart w:id="7524" w:name="_ETM_Q8_751960"/>
      <w:bookmarkEnd w:id="7524"/>
      <w:r>
        <w:rPr>
          <w:rFonts w:hint="cs"/>
          <w:rtl/>
        </w:rPr>
        <w:t>ועל ה</w:t>
      </w:r>
      <w:bookmarkStart w:id="7525" w:name="_ETM_Q8_752319"/>
      <w:bookmarkEnd w:id="7525"/>
      <w:r>
        <w:rPr>
          <w:rFonts w:hint="cs"/>
          <w:rtl/>
        </w:rPr>
        <w:t xml:space="preserve">שלווה </w:t>
      </w:r>
      <w:bookmarkStart w:id="7526" w:name="_ETM_Q8_752949"/>
      <w:bookmarkEnd w:id="7526"/>
      <w:r>
        <w:rPr>
          <w:rFonts w:hint="cs"/>
          <w:rtl/>
        </w:rPr>
        <w:t xml:space="preserve">בתוך </w:t>
      </w:r>
      <w:bookmarkStart w:id="7527" w:name="_ETM_Q8_753429"/>
      <w:bookmarkEnd w:id="7527"/>
      <w:r>
        <w:rPr>
          <w:rFonts w:hint="cs"/>
          <w:rtl/>
        </w:rPr>
        <w:t xml:space="preserve">מדינת ישראל, </w:t>
      </w:r>
      <w:bookmarkStart w:id="7528" w:name="_ETM_Q8_754850"/>
      <w:bookmarkEnd w:id="7528"/>
      <w:r>
        <w:rPr>
          <w:rFonts w:hint="cs"/>
          <w:rtl/>
        </w:rPr>
        <w:t xml:space="preserve">שופך </w:t>
      </w:r>
      <w:bookmarkStart w:id="7529" w:name="_ETM_Q8_755420"/>
      <w:bookmarkEnd w:id="7529"/>
      <w:r>
        <w:rPr>
          <w:rFonts w:hint="cs"/>
          <w:rtl/>
        </w:rPr>
        <w:t xml:space="preserve">דלק </w:t>
      </w:r>
      <w:bookmarkStart w:id="7530" w:name="_ETM_Q8_756110"/>
      <w:bookmarkEnd w:id="7530"/>
      <w:r>
        <w:rPr>
          <w:rFonts w:hint="cs"/>
          <w:rtl/>
        </w:rPr>
        <w:t xml:space="preserve">למדורה: </w:t>
      </w:r>
      <w:bookmarkStart w:id="7531" w:name="_ETM_Q8_757460"/>
      <w:bookmarkEnd w:id="7531"/>
      <w:r>
        <w:rPr>
          <w:rFonts w:hint="cs"/>
          <w:rtl/>
        </w:rPr>
        <w:t xml:space="preserve">מה </w:t>
      </w:r>
      <w:bookmarkStart w:id="7532" w:name="_ETM_Q8_757820"/>
      <w:bookmarkEnd w:id="7532"/>
      <w:r>
        <w:rPr>
          <w:rFonts w:hint="cs"/>
          <w:rtl/>
        </w:rPr>
        <w:t xml:space="preserve">שאתם </w:t>
      </w:r>
      <w:bookmarkStart w:id="7533" w:name="_ETM_Q8_758450"/>
      <w:bookmarkEnd w:id="7533"/>
      <w:r>
        <w:rPr>
          <w:rFonts w:hint="cs"/>
          <w:rtl/>
        </w:rPr>
        <w:t xml:space="preserve">רואים </w:t>
      </w:r>
      <w:bookmarkStart w:id="7534" w:name="_ETM_Q8_758900"/>
      <w:bookmarkEnd w:id="7534"/>
      <w:r>
        <w:rPr>
          <w:rFonts w:hint="cs"/>
          <w:rtl/>
        </w:rPr>
        <w:t xml:space="preserve">עכשיו </w:t>
      </w:r>
      <w:bookmarkStart w:id="7535" w:name="_ETM_Q8_759290"/>
      <w:bookmarkEnd w:id="7535"/>
      <w:r>
        <w:rPr>
          <w:rFonts w:hint="cs"/>
          <w:rtl/>
        </w:rPr>
        <w:t xml:space="preserve">זה </w:t>
      </w:r>
      <w:bookmarkStart w:id="7536" w:name="_ETM_Q8_759440"/>
      <w:bookmarkEnd w:id="7536"/>
      <w:r>
        <w:rPr>
          <w:rFonts w:hint="cs"/>
          <w:rtl/>
        </w:rPr>
        <w:t xml:space="preserve">רק </w:t>
      </w:r>
      <w:bookmarkStart w:id="7537" w:name="_ETM_Q8_759770"/>
      <w:bookmarkEnd w:id="7537"/>
      <w:r>
        <w:rPr>
          <w:rFonts w:hint="cs"/>
          <w:rtl/>
        </w:rPr>
        <w:t xml:space="preserve">הסלטים </w:t>
      </w:r>
      <w:bookmarkStart w:id="7538" w:name="_ETM_Q8_760700"/>
      <w:bookmarkEnd w:id="7538"/>
      <w:r>
        <w:rPr>
          <w:rFonts w:hint="cs"/>
          <w:rtl/>
        </w:rPr>
        <w:t xml:space="preserve">שבארוחה, </w:t>
      </w:r>
      <w:bookmarkStart w:id="7539" w:name="_ETM_Q8_761660"/>
      <w:bookmarkEnd w:id="7539"/>
      <w:r>
        <w:rPr>
          <w:rFonts w:hint="cs"/>
          <w:rtl/>
        </w:rPr>
        <w:t xml:space="preserve">הוא </w:t>
      </w:r>
      <w:bookmarkStart w:id="7540" w:name="_ETM_Q8_761840"/>
      <w:bookmarkEnd w:id="7540"/>
      <w:r>
        <w:rPr>
          <w:rFonts w:hint="cs"/>
          <w:rtl/>
        </w:rPr>
        <w:t xml:space="preserve">אומר. </w:t>
      </w:r>
      <w:bookmarkStart w:id="7541" w:name="_ETM_Q8_762539"/>
      <w:bookmarkEnd w:id="7541"/>
      <w:r>
        <w:rPr>
          <w:rFonts w:hint="cs"/>
          <w:rtl/>
        </w:rPr>
        <w:t xml:space="preserve">רק </w:t>
      </w:r>
      <w:bookmarkStart w:id="7542" w:name="_ETM_Q8_762840"/>
      <w:bookmarkEnd w:id="7542"/>
      <w:r>
        <w:rPr>
          <w:rFonts w:hint="cs"/>
          <w:rtl/>
        </w:rPr>
        <w:t xml:space="preserve">התחלנו </w:t>
      </w:r>
      <w:bookmarkStart w:id="7543" w:name="_ETM_Q8_763919"/>
      <w:bookmarkEnd w:id="7543"/>
      <w:r>
        <w:rPr>
          <w:rFonts w:hint="cs"/>
          <w:rtl/>
        </w:rPr>
        <w:t xml:space="preserve">להטריף </w:t>
      </w:r>
      <w:bookmarkStart w:id="7544" w:name="_ETM_Q8_764520"/>
      <w:bookmarkEnd w:id="7544"/>
      <w:r>
        <w:rPr>
          <w:rFonts w:hint="cs"/>
          <w:rtl/>
        </w:rPr>
        <w:t xml:space="preserve">אתכם, </w:t>
      </w:r>
      <w:bookmarkStart w:id="7545" w:name="_ETM_Q8_765020"/>
      <w:bookmarkEnd w:id="7545"/>
      <w:r>
        <w:rPr>
          <w:rFonts w:hint="cs"/>
          <w:rtl/>
        </w:rPr>
        <w:t xml:space="preserve">הוא </w:t>
      </w:r>
      <w:bookmarkStart w:id="7546" w:name="_ETM_Q8_765140"/>
      <w:bookmarkEnd w:id="7546"/>
      <w:r>
        <w:rPr>
          <w:rFonts w:hint="cs"/>
          <w:rtl/>
        </w:rPr>
        <w:t xml:space="preserve">אומר. </w:t>
      </w:r>
      <w:bookmarkStart w:id="7547" w:name="_ETM_Q8_766120"/>
      <w:bookmarkStart w:id="7548" w:name="_ETM_Q8_769463"/>
      <w:bookmarkStart w:id="7549" w:name="_ETM_Q8_769538"/>
      <w:bookmarkEnd w:id="7547"/>
      <w:bookmarkEnd w:id="7548"/>
      <w:bookmarkEnd w:id="7549"/>
      <w:r>
        <w:rPr>
          <w:rFonts w:hint="cs"/>
          <w:rtl/>
        </w:rPr>
        <w:t xml:space="preserve">הפשע </w:t>
      </w:r>
      <w:bookmarkStart w:id="7550" w:name="_ETM_Q8_766720"/>
      <w:bookmarkEnd w:id="7550"/>
      <w:r>
        <w:rPr>
          <w:rFonts w:hint="cs"/>
          <w:rtl/>
        </w:rPr>
        <w:t xml:space="preserve">משתולל </w:t>
      </w:r>
      <w:bookmarkStart w:id="7551" w:name="_ETM_Q8_767260"/>
      <w:bookmarkEnd w:id="7551"/>
      <w:r>
        <w:rPr>
          <w:rFonts w:hint="cs"/>
          <w:rtl/>
        </w:rPr>
        <w:t xml:space="preserve">ברחובות, </w:t>
      </w:r>
      <w:bookmarkStart w:id="7552" w:name="_ETM_Q8_768400"/>
      <w:bookmarkEnd w:id="7552"/>
      <w:r>
        <w:rPr>
          <w:rFonts w:hint="cs"/>
          <w:rtl/>
        </w:rPr>
        <w:t xml:space="preserve">המשטרה </w:t>
      </w:r>
      <w:bookmarkStart w:id="7553" w:name="_ETM_Q8_769240"/>
      <w:bookmarkEnd w:id="7553"/>
      <w:r>
        <w:rPr>
          <w:rFonts w:hint="cs"/>
          <w:rtl/>
        </w:rPr>
        <w:t xml:space="preserve">בקריסה </w:t>
      </w:r>
      <w:bookmarkStart w:id="7554" w:name="_ETM_Q8_769900"/>
      <w:bookmarkEnd w:id="7554"/>
      <w:r>
        <w:rPr>
          <w:rFonts w:hint="cs"/>
          <w:rtl/>
        </w:rPr>
        <w:t xml:space="preserve">תדמיתית </w:t>
      </w:r>
      <w:bookmarkStart w:id="7555" w:name="_ETM_Q8_770559"/>
      <w:bookmarkEnd w:id="7555"/>
      <w:r>
        <w:rPr>
          <w:rFonts w:hint="cs"/>
          <w:rtl/>
        </w:rPr>
        <w:t xml:space="preserve">וכלכלית, </w:t>
      </w:r>
      <w:bookmarkStart w:id="7556" w:name="_ETM_Q8_772000"/>
      <w:bookmarkEnd w:id="7556"/>
      <w:r>
        <w:rPr>
          <w:rFonts w:hint="cs"/>
          <w:rtl/>
        </w:rPr>
        <w:t xml:space="preserve">והוא </w:t>
      </w:r>
      <w:bookmarkStart w:id="7557" w:name="_ETM_Q8_772420"/>
      <w:bookmarkEnd w:id="7557"/>
      <w:r>
        <w:rPr>
          <w:rFonts w:hint="cs"/>
          <w:rtl/>
        </w:rPr>
        <w:t xml:space="preserve">עסוק </w:t>
      </w:r>
      <w:bookmarkStart w:id="7558" w:name="_ETM_Q8_773110"/>
      <w:bookmarkEnd w:id="7558"/>
      <w:r>
        <w:rPr>
          <w:rFonts w:hint="cs"/>
          <w:rtl/>
        </w:rPr>
        <w:t>ב</w:t>
      </w:r>
      <w:bookmarkStart w:id="7559" w:name="_ETM_Q8_773380"/>
      <w:bookmarkEnd w:id="7559"/>
      <w:r>
        <w:rPr>
          <w:rFonts w:hint="cs"/>
          <w:rtl/>
        </w:rPr>
        <w:t xml:space="preserve">לרסק </w:t>
      </w:r>
      <w:bookmarkStart w:id="7560" w:name="_ETM_Q8_774040"/>
      <w:bookmarkEnd w:id="7560"/>
      <w:r>
        <w:rPr>
          <w:rFonts w:hint="cs"/>
          <w:rtl/>
        </w:rPr>
        <w:t xml:space="preserve">את </w:t>
      </w:r>
      <w:bookmarkStart w:id="7561" w:name="_ETM_Q8_774220"/>
      <w:bookmarkEnd w:id="7561"/>
      <w:r>
        <w:rPr>
          <w:rFonts w:hint="cs"/>
          <w:rtl/>
        </w:rPr>
        <w:t xml:space="preserve">המפגינים. </w:t>
      </w:r>
      <w:bookmarkStart w:id="7562" w:name="_ETM_Q8_776410"/>
      <w:bookmarkStart w:id="7563" w:name="_ETM_Q8_779011"/>
      <w:bookmarkStart w:id="7564" w:name="_ETM_Q8_779103"/>
      <w:bookmarkStart w:id="7565" w:name="_ETM_Q8_779162"/>
      <w:bookmarkStart w:id="7566" w:name="_ETM_Q8_779248"/>
      <w:bookmarkEnd w:id="7562"/>
      <w:bookmarkEnd w:id="7563"/>
      <w:bookmarkEnd w:id="7564"/>
      <w:bookmarkEnd w:id="7565"/>
      <w:bookmarkEnd w:id="7566"/>
    </w:p>
    <w:p w:rsidR="000C5C1F" w:rsidRDefault="000C5C1F" w:rsidP="000C5C1F">
      <w:pPr>
        <w:ind w:firstLine="0"/>
        <w:rPr>
          <w:rtl/>
        </w:rPr>
      </w:pPr>
    </w:p>
    <w:p w:rsidR="000C5C1F" w:rsidRDefault="000C5C1F" w:rsidP="000C5C1F">
      <w:pPr>
        <w:rPr>
          <w:rtl/>
        </w:rPr>
      </w:pPr>
      <w:bookmarkStart w:id="7567" w:name="TOR_Q9"/>
      <w:bookmarkEnd w:id="7567"/>
      <w:r>
        <w:rPr>
          <w:rFonts w:hint="cs"/>
          <w:rtl/>
        </w:rPr>
        <w:t>ואתמול, אל מול מאות אלפים שהלכו שעות בחום, כי כואב להם, שר המשטרה מצייץ: בר הסלטים פתוח</w:t>
      </w:r>
      <w:bookmarkStart w:id="7568" w:name="_ETM_Q9_180000"/>
      <w:bookmarkStart w:id="7569" w:name="_ETM_Q9_188900"/>
      <w:bookmarkEnd w:id="7568"/>
      <w:bookmarkEnd w:id="7569"/>
      <w:r>
        <w:rPr>
          <w:rFonts w:hint="cs"/>
          <w:rtl/>
        </w:rPr>
        <w:t xml:space="preserve">; החקיקה </w:t>
      </w:r>
      <w:bookmarkStart w:id="7570" w:name="_ETM_Q9_189559"/>
      <w:bookmarkEnd w:id="7570"/>
      <w:r>
        <w:rPr>
          <w:rFonts w:hint="cs"/>
          <w:rtl/>
        </w:rPr>
        <w:t xml:space="preserve">שאתם </w:t>
      </w:r>
      <w:bookmarkStart w:id="7571" w:name="_ETM_Q9_189920"/>
      <w:bookmarkEnd w:id="7571"/>
      <w:r>
        <w:rPr>
          <w:rFonts w:hint="cs"/>
          <w:rtl/>
        </w:rPr>
        <w:t xml:space="preserve">חוששים </w:t>
      </w:r>
      <w:bookmarkStart w:id="7572" w:name="_ETM_Q9_190519"/>
      <w:bookmarkEnd w:id="7572"/>
      <w:r>
        <w:rPr>
          <w:rFonts w:hint="cs"/>
          <w:rtl/>
        </w:rPr>
        <w:t xml:space="preserve">ממנה, </w:t>
      </w:r>
      <w:bookmarkStart w:id="7573" w:name="_ETM_Q9_191150"/>
      <w:bookmarkEnd w:id="7573"/>
      <w:r>
        <w:rPr>
          <w:rFonts w:hint="cs"/>
          <w:rtl/>
        </w:rPr>
        <w:t xml:space="preserve">מפגינים </w:t>
      </w:r>
      <w:bookmarkStart w:id="7574" w:name="_ETM_Q9_191719"/>
      <w:bookmarkEnd w:id="7574"/>
      <w:r>
        <w:rPr>
          <w:rFonts w:hint="cs"/>
          <w:rtl/>
        </w:rPr>
        <w:t xml:space="preserve">יקרים, </w:t>
      </w:r>
      <w:bookmarkStart w:id="7575" w:name="_ETM_Q9_192590"/>
      <w:bookmarkEnd w:id="7575"/>
      <w:r>
        <w:rPr>
          <w:rFonts w:hint="cs"/>
          <w:rtl/>
        </w:rPr>
        <w:t xml:space="preserve">היא </w:t>
      </w:r>
      <w:bookmarkStart w:id="7576" w:name="_ETM_Q9_192740"/>
      <w:bookmarkEnd w:id="7576"/>
      <w:r>
        <w:rPr>
          <w:rFonts w:hint="cs"/>
          <w:rtl/>
        </w:rPr>
        <w:t xml:space="preserve">אמיתית. </w:t>
      </w:r>
      <w:bookmarkStart w:id="7577" w:name="_ETM_Q9_193099"/>
      <w:bookmarkStart w:id="7578" w:name="_ETM_Q9_193999"/>
      <w:bookmarkEnd w:id="7577"/>
      <w:bookmarkEnd w:id="7578"/>
      <w:r>
        <w:rPr>
          <w:rFonts w:hint="cs"/>
          <w:rtl/>
        </w:rPr>
        <w:t xml:space="preserve">זו </w:t>
      </w:r>
      <w:bookmarkStart w:id="7579" w:name="_ETM_Q9_194269"/>
      <w:bookmarkEnd w:id="7579"/>
      <w:r>
        <w:rPr>
          <w:rFonts w:hint="cs"/>
          <w:rtl/>
        </w:rPr>
        <w:t xml:space="preserve">רק </w:t>
      </w:r>
      <w:bookmarkStart w:id="7580" w:name="_ETM_Q9_194539"/>
      <w:bookmarkEnd w:id="7580"/>
      <w:r>
        <w:rPr>
          <w:rFonts w:hint="cs"/>
          <w:rtl/>
        </w:rPr>
        <w:t xml:space="preserve">ההתחלה, </w:t>
      </w:r>
      <w:bookmarkStart w:id="7581" w:name="_ETM_Q9_195650"/>
      <w:bookmarkEnd w:id="7581"/>
      <w:r>
        <w:rPr>
          <w:rFonts w:hint="cs"/>
          <w:rtl/>
        </w:rPr>
        <w:t xml:space="preserve">רק </w:t>
      </w:r>
      <w:bookmarkStart w:id="7582" w:name="_ETM_Q9_196000"/>
      <w:bookmarkEnd w:id="7582"/>
      <w:r>
        <w:rPr>
          <w:rFonts w:hint="cs"/>
          <w:rtl/>
        </w:rPr>
        <w:t xml:space="preserve">פתחנו </w:t>
      </w:r>
      <w:bookmarkStart w:id="7583" w:name="_ETM_Q9_196870"/>
      <w:bookmarkEnd w:id="7583"/>
      <w:r>
        <w:rPr>
          <w:rFonts w:hint="cs"/>
          <w:rtl/>
        </w:rPr>
        <w:t xml:space="preserve">את </w:t>
      </w:r>
      <w:bookmarkStart w:id="7584" w:name="_ETM_Q9_197050"/>
      <w:bookmarkEnd w:id="7584"/>
      <w:r>
        <w:rPr>
          <w:rFonts w:hint="cs"/>
          <w:rtl/>
        </w:rPr>
        <w:t xml:space="preserve">הבר. </w:t>
      </w:r>
      <w:bookmarkStart w:id="7585" w:name="_ETM_Q9_198410"/>
      <w:bookmarkEnd w:id="7585"/>
      <w:r>
        <w:rPr>
          <w:rFonts w:hint="cs"/>
          <w:rtl/>
        </w:rPr>
        <w:t xml:space="preserve">שרה אחרת </w:t>
      </w:r>
      <w:bookmarkStart w:id="7586" w:name="_ETM_Q9_199570"/>
      <w:bookmarkEnd w:id="7586"/>
      <w:r>
        <w:rPr>
          <w:rFonts w:hint="cs"/>
          <w:rtl/>
        </w:rPr>
        <w:t xml:space="preserve">עולה </w:t>
      </w:r>
      <w:bookmarkStart w:id="7587" w:name="_ETM_Q9_199840"/>
      <w:bookmarkEnd w:id="7587"/>
      <w:r>
        <w:rPr>
          <w:rFonts w:hint="cs"/>
          <w:rtl/>
        </w:rPr>
        <w:t xml:space="preserve">פה </w:t>
      </w:r>
      <w:bookmarkStart w:id="7588" w:name="_ETM_Q9_200020"/>
      <w:bookmarkEnd w:id="7588"/>
      <w:r>
        <w:rPr>
          <w:rFonts w:hint="cs"/>
          <w:rtl/>
        </w:rPr>
        <w:t xml:space="preserve">על </w:t>
      </w:r>
      <w:bookmarkStart w:id="7589" w:name="_ETM_Q9_200140"/>
      <w:bookmarkEnd w:id="7589"/>
      <w:r>
        <w:rPr>
          <w:rFonts w:hint="cs"/>
          <w:rtl/>
        </w:rPr>
        <w:t xml:space="preserve">הדוכן </w:t>
      </w:r>
      <w:bookmarkStart w:id="7590" w:name="_ETM_Q9_200650"/>
      <w:bookmarkEnd w:id="7590"/>
      <w:r>
        <w:rPr>
          <w:rFonts w:hint="cs"/>
          <w:rtl/>
        </w:rPr>
        <w:t xml:space="preserve">ואומרת: </w:t>
      </w:r>
      <w:bookmarkStart w:id="7591" w:name="_ETM_Q9_201870"/>
      <w:bookmarkEnd w:id="7591"/>
      <w:r>
        <w:rPr>
          <w:rFonts w:hint="cs"/>
          <w:rtl/>
        </w:rPr>
        <w:t xml:space="preserve">למה </w:t>
      </w:r>
      <w:bookmarkStart w:id="7592" w:name="_ETM_Q9_202290"/>
      <w:bookmarkEnd w:id="7592"/>
      <w:r>
        <w:rPr>
          <w:rFonts w:hint="cs"/>
          <w:rtl/>
        </w:rPr>
        <w:t xml:space="preserve">מי את, את שרה? מי את? </w:t>
      </w:r>
      <w:bookmarkStart w:id="7593" w:name="_ETM_Q9_205239"/>
      <w:bookmarkEnd w:id="7593"/>
      <w:r>
        <w:rPr>
          <w:rFonts w:hint="cs"/>
          <w:rtl/>
        </w:rPr>
        <w:t xml:space="preserve">אני </w:t>
      </w:r>
      <w:bookmarkStart w:id="7594" w:name="_ETM_Q9_205599"/>
      <w:bookmarkEnd w:id="7594"/>
      <w:r>
        <w:rPr>
          <w:rFonts w:hint="cs"/>
          <w:rtl/>
        </w:rPr>
        <w:t xml:space="preserve">שרה </w:t>
      </w:r>
      <w:bookmarkStart w:id="7595" w:name="_ETM_Q9_206259"/>
      <w:bookmarkEnd w:id="7595"/>
      <w:r>
        <w:rPr>
          <w:rFonts w:hint="cs"/>
          <w:rtl/>
        </w:rPr>
        <w:t xml:space="preserve">ואת </w:t>
      </w:r>
      <w:bookmarkStart w:id="7596" w:name="_ETM_Q9_206769"/>
      <w:bookmarkEnd w:id="7596"/>
      <w:r>
        <w:rPr>
          <w:rFonts w:hint="cs"/>
          <w:rtl/>
        </w:rPr>
        <w:t xml:space="preserve">לא. </w:t>
      </w:r>
      <w:bookmarkStart w:id="7597" w:name="_ETM_Q9_207920"/>
      <w:bookmarkEnd w:id="7597"/>
      <w:r>
        <w:rPr>
          <w:rFonts w:hint="cs"/>
          <w:rtl/>
        </w:rPr>
        <w:t xml:space="preserve">והשר </w:t>
      </w:r>
      <w:bookmarkStart w:id="7598" w:name="_ETM_Q9_208940"/>
      <w:bookmarkEnd w:id="7598"/>
      <w:r>
        <w:rPr>
          <w:rFonts w:hint="cs"/>
          <w:rtl/>
        </w:rPr>
        <w:t xml:space="preserve">לאנרגיה </w:t>
      </w:r>
      <w:bookmarkStart w:id="7599" w:name="_ETM_Q9_209660"/>
      <w:bookmarkEnd w:id="7599"/>
      <w:r>
        <w:rPr>
          <w:rFonts w:hint="cs"/>
          <w:rtl/>
        </w:rPr>
        <w:t xml:space="preserve">אטומית </w:t>
      </w:r>
      <w:bookmarkStart w:id="7600" w:name="_ETM_Q9_210140"/>
      <w:bookmarkEnd w:id="7600"/>
      <w:r>
        <w:rPr>
          <w:rFonts w:hint="cs"/>
          <w:rtl/>
        </w:rPr>
        <w:t>שלנו</w:t>
      </w:r>
      <w:bookmarkStart w:id="7601" w:name="_ETM_Q9_211040"/>
      <w:bookmarkEnd w:id="7601"/>
      <w:r>
        <w:rPr>
          <w:rFonts w:hint="cs"/>
          <w:rtl/>
        </w:rPr>
        <w:t xml:space="preserve"> הוא בכלל </w:t>
      </w:r>
      <w:bookmarkStart w:id="7602" w:name="_ETM_Q9_212200"/>
      <w:bookmarkEnd w:id="7602"/>
      <w:r>
        <w:rPr>
          <w:rFonts w:hint="cs"/>
          <w:rtl/>
        </w:rPr>
        <w:t xml:space="preserve">שר </w:t>
      </w:r>
      <w:bookmarkStart w:id="7603" w:name="_ETM_Q9_212740"/>
      <w:bookmarkEnd w:id="7603"/>
      <w:r>
        <w:rPr>
          <w:rFonts w:hint="cs"/>
          <w:rtl/>
        </w:rPr>
        <w:t xml:space="preserve">השנאה והטינופים, </w:t>
      </w:r>
      <w:bookmarkStart w:id="7604" w:name="_ETM_Q9_213490"/>
      <w:bookmarkStart w:id="7605" w:name="_ETM_Q9_214870"/>
      <w:bookmarkEnd w:id="7604"/>
      <w:bookmarkEnd w:id="7605"/>
      <w:r>
        <w:rPr>
          <w:rFonts w:hint="cs"/>
          <w:rtl/>
        </w:rPr>
        <w:t xml:space="preserve">מקלל </w:t>
      </w:r>
      <w:bookmarkStart w:id="7606" w:name="_ETM_Q9_215740"/>
      <w:bookmarkEnd w:id="7606"/>
      <w:r>
        <w:rPr>
          <w:rFonts w:hint="cs"/>
          <w:rtl/>
        </w:rPr>
        <w:t xml:space="preserve">ומגדף </w:t>
      </w:r>
      <w:bookmarkStart w:id="7607" w:name="_ETM_Q9_216700"/>
      <w:bookmarkEnd w:id="7607"/>
      <w:r>
        <w:rPr>
          <w:rFonts w:hint="cs"/>
          <w:rtl/>
        </w:rPr>
        <w:t xml:space="preserve">מבוקר </w:t>
      </w:r>
      <w:bookmarkStart w:id="7608" w:name="_ETM_Q9_217479"/>
      <w:bookmarkEnd w:id="7608"/>
      <w:r>
        <w:rPr>
          <w:rFonts w:hint="cs"/>
          <w:rtl/>
        </w:rPr>
        <w:t xml:space="preserve">ועד </w:t>
      </w:r>
      <w:bookmarkStart w:id="7609" w:name="_ETM_Q9_217840"/>
      <w:bookmarkEnd w:id="7609"/>
      <w:r>
        <w:rPr>
          <w:rFonts w:hint="cs"/>
          <w:rtl/>
        </w:rPr>
        <w:t xml:space="preserve">ערב. </w:t>
      </w:r>
      <w:bookmarkStart w:id="7610" w:name="_ETM_Q9_218650"/>
      <w:bookmarkEnd w:id="7610"/>
      <w:r>
        <w:rPr>
          <w:rFonts w:hint="cs"/>
          <w:rtl/>
        </w:rPr>
        <w:t xml:space="preserve">מקלל </w:t>
      </w:r>
      <w:bookmarkStart w:id="7611" w:name="_ETM_Q9_219250"/>
      <w:bookmarkEnd w:id="7611"/>
      <w:r>
        <w:rPr>
          <w:rFonts w:hint="cs"/>
          <w:rtl/>
        </w:rPr>
        <w:t xml:space="preserve">נשים, </w:t>
      </w:r>
      <w:bookmarkStart w:id="7612" w:name="_ETM_Q9_220180"/>
      <w:bookmarkEnd w:id="7612"/>
      <w:r>
        <w:rPr>
          <w:rFonts w:hint="cs"/>
          <w:rtl/>
        </w:rPr>
        <w:t xml:space="preserve">מקלל </w:t>
      </w:r>
      <w:bookmarkStart w:id="7613" w:name="_ETM_Q9_220720"/>
      <w:bookmarkEnd w:id="7613"/>
      <w:r>
        <w:rPr>
          <w:rFonts w:hint="cs"/>
          <w:rtl/>
        </w:rPr>
        <w:t xml:space="preserve">אשכנזים, </w:t>
      </w:r>
      <w:bookmarkStart w:id="7614" w:name="_ETM_Q9_221920"/>
      <w:bookmarkEnd w:id="7614"/>
      <w:r>
        <w:rPr>
          <w:rFonts w:hint="cs"/>
          <w:rtl/>
        </w:rPr>
        <w:t xml:space="preserve">מקלל </w:t>
      </w:r>
      <w:bookmarkStart w:id="7615" w:name="_ETM_Q9_222460"/>
      <w:bookmarkEnd w:id="7615"/>
      <w:r>
        <w:rPr>
          <w:rFonts w:hint="cs"/>
          <w:rtl/>
        </w:rPr>
        <w:t>פקידים</w:t>
      </w:r>
      <w:bookmarkStart w:id="7616" w:name="_ETM_Q9_223570"/>
      <w:bookmarkEnd w:id="7616"/>
      <w:r>
        <w:rPr>
          <w:rFonts w:hint="cs"/>
          <w:rtl/>
        </w:rPr>
        <w:t xml:space="preserve">, ולא </w:t>
      </w:r>
      <w:bookmarkStart w:id="7617" w:name="_ETM_Q9_223870"/>
      <w:bookmarkEnd w:id="7617"/>
      <w:r>
        <w:rPr>
          <w:rFonts w:hint="cs"/>
          <w:rtl/>
        </w:rPr>
        <w:t xml:space="preserve">מתבייש </w:t>
      </w:r>
      <w:bookmarkStart w:id="7618" w:name="_ETM_Q9_224440"/>
      <w:bookmarkEnd w:id="7618"/>
      <w:r>
        <w:rPr>
          <w:rFonts w:hint="cs"/>
          <w:rtl/>
        </w:rPr>
        <w:t xml:space="preserve">להגיד </w:t>
      </w:r>
      <w:bookmarkStart w:id="7619" w:name="_ETM_Q9_224920"/>
      <w:bookmarkEnd w:id="7619"/>
      <w:r>
        <w:rPr>
          <w:rFonts w:hint="cs"/>
          <w:rtl/>
        </w:rPr>
        <w:t xml:space="preserve">שהיועצת </w:t>
      </w:r>
      <w:bookmarkStart w:id="7620" w:name="_ETM_Q9_226059"/>
      <w:bookmarkEnd w:id="7620"/>
      <w:r>
        <w:rPr>
          <w:rFonts w:hint="cs"/>
          <w:rtl/>
        </w:rPr>
        <w:t xml:space="preserve">המשפטית </w:t>
      </w:r>
      <w:bookmarkStart w:id="7621" w:name="_ETM_Q9_226900"/>
      <w:bookmarkEnd w:id="7621"/>
      <w:r>
        <w:rPr>
          <w:rFonts w:hint="cs"/>
          <w:rtl/>
        </w:rPr>
        <w:t xml:space="preserve">לממשלה – </w:t>
      </w:r>
      <w:bookmarkStart w:id="7622" w:name="_ETM_Q9_228199"/>
      <w:bookmarkEnd w:id="7622"/>
      <w:r>
        <w:rPr>
          <w:rFonts w:hint="cs"/>
          <w:rtl/>
        </w:rPr>
        <w:t xml:space="preserve">אחרי </w:t>
      </w:r>
      <w:bookmarkStart w:id="7623" w:name="_ETM_Q9_228499"/>
      <w:bookmarkEnd w:id="7623"/>
      <w:r>
        <w:rPr>
          <w:rFonts w:hint="cs"/>
          <w:rtl/>
        </w:rPr>
        <w:t xml:space="preserve">שסיפר </w:t>
      </w:r>
      <w:bookmarkStart w:id="7624" w:name="_ETM_Q9_229100"/>
      <w:bookmarkEnd w:id="7624"/>
      <w:r>
        <w:rPr>
          <w:rFonts w:hint="cs"/>
          <w:rtl/>
        </w:rPr>
        <w:t xml:space="preserve">לנו </w:t>
      </w:r>
      <w:bookmarkStart w:id="7625" w:name="_ETM_Q9_229370"/>
      <w:bookmarkEnd w:id="7625"/>
      <w:r>
        <w:rPr>
          <w:rFonts w:hint="cs"/>
          <w:rtl/>
        </w:rPr>
        <w:t xml:space="preserve">על </w:t>
      </w:r>
      <w:bookmarkStart w:id="7626" w:name="_ETM_Q9_229489"/>
      <w:bookmarkEnd w:id="7626"/>
      <w:r>
        <w:rPr>
          <w:rFonts w:hint="cs"/>
          <w:rtl/>
        </w:rPr>
        <w:t xml:space="preserve">הרולים ועל הפנים שלה </w:t>
      </w:r>
      <w:bookmarkStart w:id="7627" w:name="_ETM_Q9_231170"/>
      <w:bookmarkEnd w:id="7627"/>
      <w:r>
        <w:rPr>
          <w:rFonts w:hint="cs"/>
          <w:rtl/>
        </w:rPr>
        <w:t xml:space="preserve">בשוביניסטיות </w:t>
      </w:r>
      <w:bookmarkStart w:id="7628" w:name="_ETM_Q9_232399"/>
      <w:bookmarkEnd w:id="7628"/>
      <w:r>
        <w:rPr>
          <w:rFonts w:hint="cs"/>
          <w:rtl/>
        </w:rPr>
        <w:t xml:space="preserve">מבחילה </w:t>
      </w:r>
      <w:bookmarkStart w:id="7629" w:name="_ETM_Q9_234340"/>
      <w:bookmarkEnd w:id="7629"/>
      <w:r>
        <w:rPr>
          <w:rFonts w:hint="cs"/>
          <w:rtl/>
        </w:rPr>
        <w:t xml:space="preserve">– </w:t>
      </w:r>
      <w:bookmarkStart w:id="7630" w:name="_ETM_Q9_230051"/>
      <w:bookmarkEnd w:id="7630"/>
      <w:r>
        <w:rPr>
          <w:rFonts w:hint="cs"/>
          <w:rtl/>
        </w:rPr>
        <w:t xml:space="preserve">היא סכנה </w:t>
      </w:r>
      <w:bookmarkStart w:id="7631" w:name="_ETM_Q9_235240"/>
      <w:bookmarkEnd w:id="7631"/>
      <w:r>
        <w:rPr>
          <w:rFonts w:hint="cs"/>
          <w:rtl/>
        </w:rPr>
        <w:t xml:space="preserve">ברורה </w:t>
      </w:r>
      <w:bookmarkStart w:id="7632" w:name="_ETM_Q9_235900"/>
      <w:bookmarkEnd w:id="7632"/>
      <w:r>
        <w:rPr>
          <w:rFonts w:hint="cs"/>
          <w:rtl/>
        </w:rPr>
        <w:t xml:space="preserve">ומיידית </w:t>
      </w:r>
      <w:bookmarkStart w:id="7633" w:name="_ETM_Q9_236800"/>
      <w:bookmarkEnd w:id="7633"/>
      <w:r>
        <w:rPr>
          <w:rFonts w:hint="cs"/>
          <w:rtl/>
        </w:rPr>
        <w:t xml:space="preserve">לקיום </w:t>
      </w:r>
      <w:bookmarkStart w:id="7634" w:name="_ETM_Q9_237250"/>
      <w:bookmarkEnd w:id="7634"/>
      <w:r>
        <w:rPr>
          <w:rFonts w:hint="cs"/>
          <w:rtl/>
        </w:rPr>
        <w:t xml:space="preserve">המדינה; </w:t>
      </w:r>
      <w:bookmarkStart w:id="7635" w:name="_ETM_Q9_238410"/>
      <w:bookmarkEnd w:id="7635"/>
      <w:r>
        <w:rPr>
          <w:rFonts w:hint="cs"/>
          <w:rtl/>
        </w:rPr>
        <w:t xml:space="preserve">והוא </w:t>
      </w:r>
      <w:bookmarkStart w:id="7636" w:name="_ETM_Q9_239040"/>
      <w:bookmarkEnd w:id="7636"/>
      <w:r>
        <w:rPr>
          <w:rFonts w:hint="cs"/>
          <w:rtl/>
        </w:rPr>
        <w:t xml:space="preserve">המסכן, </w:t>
      </w:r>
      <w:bookmarkStart w:id="7637" w:name="_ETM_Q9_240239"/>
      <w:bookmarkEnd w:id="7637"/>
      <w:r>
        <w:rPr>
          <w:rFonts w:hint="cs"/>
          <w:rtl/>
        </w:rPr>
        <w:t>המקופח ה</w:t>
      </w:r>
      <w:bookmarkStart w:id="7638" w:name="_ETM_Q9_241269"/>
      <w:bookmarkEnd w:id="7638"/>
      <w:r>
        <w:rPr>
          <w:rFonts w:hint="cs"/>
          <w:rtl/>
        </w:rPr>
        <w:t xml:space="preserve">נצחי, </w:t>
      </w:r>
      <w:bookmarkStart w:id="7639" w:name="_ETM_Q9_242399"/>
      <w:bookmarkStart w:id="7640" w:name="_ETM_Q9_244760"/>
      <w:bookmarkEnd w:id="7639"/>
      <w:bookmarkEnd w:id="7640"/>
      <w:r>
        <w:rPr>
          <w:rFonts w:hint="cs"/>
          <w:rtl/>
        </w:rPr>
        <w:t xml:space="preserve">הקוזק הנגזל. </w:t>
      </w:r>
    </w:p>
    <w:p w:rsidR="000C5C1F" w:rsidRDefault="000C5C1F" w:rsidP="000C5C1F">
      <w:pPr>
        <w:rPr>
          <w:rtl/>
        </w:rPr>
      </w:pPr>
      <w:bookmarkStart w:id="7641" w:name="_ETM_Q9_248719"/>
      <w:bookmarkStart w:id="7642" w:name="_ETM_Q9_248794"/>
      <w:bookmarkEnd w:id="7641"/>
      <w:bookmarkEnd w:id="7642"/>
    </w:p>
    <w:p w:rsidR="000C5C1F" w:rsidRDefault="000C5C1F" w:rsidP="000C5C1F">
      <w:pPr>
        <w:rPr>
          <w:rtl/>
        </w:rPr>
      </w:pPr>
      <w:bookmarkStart w:id="7643" w:name="_ETM_Q9_248886"/>
      <w:bookmarkStart w:id="7644" w:name="_ETM_Q9_248964"/>
      <w:bookmarkEnd w:id="7643"/>
      <w:bookmarkEnd w:id="7644"/>
      <w:r>
        <w:rPr>
          <w:rFonts w:hint="cs"/>
          <w:rtl/>
        </w:rPr>
        <w:t xml:space="preserve">והחקיקה </w:t>
      </w:r>
      <w:bookmarkStart w:id="7645" w:name="_ETM_Q9_245720"/>
      <w:bookmarkEnd w:id="7645"/>
      <w:r>
        <w:rPr>
          <w:rFonts w:hint="cs"/>
          <w:rtl/>
        </w:rPr>
        <w:t xml:space="preserve">המשפטית </w:t>
      </w:r>
      <w:bookmarkStart w:id="7646" w:name="_ETM_Q9_246319"/>
      <w:bookmarkEnd w:id="7646"/>
      <w:r>
        <w:rPr>
          <w:rFonts w:hint="cs"/>
          <w:rtl/>
        </w:rPr>
        <w:t xml:space="preserve">דוהרת, ואין </w:t>
      </w:r>
      <w:bookmarkStart w:id="7647" w:name="_ETM_Q9_247770"/>
      <w:bookmarkEnd w:id="7647"/>
      <w:r>
        <w:rPr>
          <w:rFonts w:hint="cs"/>
          <w:rtl/>
        </w:rPr>
        <w:t xml:space="preserve">אדם </w:t>
      </w:r>
      <w:bookmarkStart w:id="7648" w:name="_ETM_Q9_248670"/>
      <w:bookmarkEnd w:id="7648"/>
      <w:r>
        <w:rPr>
          <w:rFonts w:hint="cs"/>
          <w:rtl/>
        </w:rPr>
        <w:t xml:space="preserve">אחד, </w:t>
      </w:r>
      <w:bookmarkStart w:id="7649" w:name="_ETM_Q9_249840"/>
      <w:bookmarkEnd w:id="7649"/>
      <w:r>
        <w:rPr>
          <w:rFonts w:hint="cs"/>
          <w:rtl/>
        </w:rPr>
        <w:t xml:space="preserve">מלומד </w:t>
      </w:r>
      <w:bookmarkStart w:id="7650" w:name="_ETM_Q9_250620"/>
      <w:bookmarkStart w:id="7651" w:name="_ETM_Q9_252260"/>
      <w:bookmarkEnd w:id="7650"/>
      <w:bookmarkEnd w:id="7651"/>
      <w:r>
        <w:rPr>
          <w:rFonts w:hint="cs"/>
          <w:rtl/>
        </w:rPr>
        <w:t xml:space="preserve">אחד, פרופסור אחד </w:t>
      </w:r>
      <w:bookmarkStart w:id="7652" w:name="_ETM_Q9_253399"/>
      <w:bookmarkEnd w:id="7652"/>
      <w:r>
        <w:rPr>
          <w:rFonts w:hint="cs"/>
          <w:rtl/>
        </w:rPr>
        <w:t xml:space="preserve">ראוי </w:t>
      </w:r>
      <w:bookmarkStart w:id="7653" w:name="_ETM_Q9_254179"/>
      <w:bookmarkEnd w:id="7653"/>
      <w:r>
        <w:rPr>
          <w:rFonts w:hint="cs"/>
          <w:rtl/>
        </w:rPr>
        <w:t xml:space="preserve">– אנשים </w:t>
      </w:r>
      <w:bookmarkStart w:id="7654" w:name="_ETM_Q9_254659"/>
      <w:bookmarkEnd w:id="7654"/>
      <w:r>
        <w:rPr>
          <w:rFonts w:hint="cs"/>
          <w:rtl/>
        </w:rPr>
        <w:t xml:space="preserve">ראויים, </w:t>
      </w:r>
      <w:bookmarkStart w:id="7655" w:name="_ETM_Q9_255170"/>
      <w:bookmarkEnd w:id="7655"/>
      <w:r>
        <w:rPr>
          <w:rFonts w:hint="cs"/>
          <w:rtl/>
        </w:rPr>
        <w:t xml:space="preserve">אני </w:t>
      </w:r>
      <w:bookmarkStart w:id="7656" w:name="_ETM_Q9_255380"/>
      <w:bookmarkEnd w:id="7656"/>
      <w:r>
        <w:rPr>
          <w:rFonts w:hint="cs"/>
          <w:rtl/>
        </w:rPr>
        <w:t xml:space="preserve">אומרת – </w:t>
      </w:r>
      <w:bookmarkStart w:id="7657" w:name="_ETM_Q9_256459"/>
      <w:bookmarkEnd w:id="7657"/>
      <w:r>
        <w:rPr>
          <w:rFonts w:hint="cs"/>
          <w:rtl/>
        </w:rPr>
        <w:t xml:space="preserve">אחד </w:t>
      </w:r>
      <w:bookmarkStart w:id="7658" w:name="_ETM_Q9_257999"/>
      <w:bookmarkEnd w:id="7658"/>
      <w:r>
        <w:rPr>
          <w:rFonts w:hint="cs"/>
          <w:rtl/>
        </w:rPr>
        <w:t xml:space="preserve">שתומך </w:t>
      </w:r>
      <w:bookmarkStart w:id="7659" w:name="_ETM_Q9_258719"/>
      <w:bookmarkEnd w:id="7659"/>
      <w:r>
        <w:rPr>
          <w:rFonts w:hint="cs"/>
          <w:rtl/>
        </w:rPr>
        <w:t xml:space="preserve">בה. </w:t>
      </w:r>
      <w:bookmarkStart w:id="7660" w:name="_ETM_Q9_260800"/>
      <w:bookmarkEnd w:id="7660"/>
      <w:r>
        <w:rPr>
          <w:rFonts w:hint="cs"/>
          <w:rtl/>
        </w:rPr>
        <w:t xml:space="preserve">הממשלה </w:t>
      </w:r>
      <w:bookmarkStart w:id="7661" w:name="_ETM_Q9_261459"/>
      <w:bookmarkEnd w:id="7661"/>
      <w:r>
        <w:rPr>
          <w:rFonts w:hint="cs"/>
          <w:rtl/>
        </w:rPr>
        <w:t xml:space="preserve">הזאת, </w:t>
      </w:r>
      <w:bookmarkStart w:id="7662" w:name="_ETM_Q9_261730"/>
      <w:bookmarkEnd w:id="7662"/>
      <w:r>
        <w:rPr>
          <w:rFonts w:hint="cs"/>
          <w:rtl/>
        </w:rPr>
        <w:t xml:space="preserve">שקראה </w:t>
      </w:r>
      <w:bookmarkStart w:id="7663" w:name="_ETM_Q9_262150"/>
      <w:bookmarkEnd w:id="7663"/>
      <w:r>
        <w:rPr>
          <w:rFonts w:hint="cs"/>
          <w:rtl/>
        </w:rPr>
        <w:t xml:space="preserve">לחקיקה </w:t>
      </w:r>
      <w:bookmarkStart w:id="7664" w:name="_ETM_Q9_262750"/>
      <w:bookmarkEnd w:id="7664"/>
      <w:r>
        <w:rPr>
          <w:rFonts w:hint="cs"/>
          <w:rtl/>
        </w:rPr>
        <w:t xml:space="preserve">הזאת </w:t>
      </w:r>
      <w:bookmarkStart w:id="7665" w:name="_ETM_Q9_263020"/>
      <w:bookmarkEnd w:id="7665"/>
      <w:r>
        <w:rPr>
          <w:rFonts w:hint="cs"/>
          <w:rtl/>
        </w:rPr>
        <w:t xml:space="preserve">חוק </w:t>
      </w:r>
      <w:bookmarkStart w:id="7666" w:name="_ETM_Q9_263260"/>
      <w:bookmarkEnd w:id="7666"/>
      <w:r>
        <w:rPr>
          <w:rFonts w:hint="cs"/>
          <w:rtl/>
        </w:rPr>
        <w:t xml:space="preserve">סולברג – </w:t>
      </w:r>
      <w:bookmarkStart w:id="7667" w:name="_ETM_Q9_264190"/>
      <w:bookmarkEnd w:id="7667"/>
      <w:r>
        <w:rPr>
          <w:rFonts w:hint="cs"/>
          <w:rtl/>
        </w:rPr>
        <w:t xml:space="preserve">קם </w:t>
      </w:r>
      <w:bookmarkStart w:id="7668" w:name="_ETM_Q9_264430"/>
      <w:bookmarkEnd w:id="7668"/>
      <w:r>
        <w:rPr>
          <w:rFonts w:hint="cs"/>
          <w:rtl/>
        </w:rPr>
        <w:t xml:space="preserve">סולברג </w:t>
      </w:r>
      <w:bookmarkStart w:id="7669" w:name="_ETM_Q9_264910"/>
      <w:bookmarkEnd w:id="7669"/>
      <w:r>
        <w:rPr>
          <w:rFonts w:hint="cs"/>
          <w:rtl/>
        </w:rPr>
        <w:t xml:space="preserve">ואומר: </w:t>
      </w:r>
      <w:bookmarkStart w:id="7670" w:name="_ETM_Q9_265150"/>
      <w:bookmarkEnd w:id="7670"/>
      <w:r>
        <w:rPr>
          <w:rFonts w:hint="cs"/>
          <w:rtl/>
        </w:rPr>
        <w:t xml:space="preserve">זה </w:t>
      </w:r>
      <w:bookmarkStart w:id="7671" w:name="_ETM_Q9_265330"/>
      <w:bookmarkEnd w:id="7671"/>
      <w:r>
        <w:rPr>
          <w:rFonts w:hint="cs"/>
          <w:rtl/>
        </w:rPr>
        <w:t xml:space="preserve">לא </w:t>
      </w:r>
      <w:bookmarkStart w:id="7672" w:name="_ETM_Q9_265510"/>
      <w:bookmarkEnd w:id="7672"/>
      <w:r>
        <w:rPr>
          <w:rFonts w:hint="cs"/>
          <w:rtl/>
        </w:rPr>
        <w:t xml:space="preserve">אני, </w:t>
      </w:r>
      <w:bookmarkStart w:id="7673" w:name="_ETM_Q9_265930"/>
      <w:bookmarkEnd w:id="7673"/>
      <w:r>
        <w:rPr>
          <w:rFonts w:hint="cs"/>
          <w:rtl/>
        </w:rPr>
        <w:t xml:space="preserve">אל </w:t>
      </w:r>
      <w:bookmarkStart w:id="7674" w:name="_ETM_Q9_266080"/>
      <w:bookmarkEnd w:id="7674"/>
      <w:r>
        <w:rPr>
          <w:rFonts w:hint="cs"/>
          <w:rtl/>
        </w:rPr>
        <w:t xml:space="preserve">תשתמשו </w:t>
      </w:r>
      <w:bookmarkStart w:id="7675" w:name="_ETM_Q9_266620"/>
      <w:bookmarkEnd w:id="7675"/>
      <w:r>
        <w:rPr>
          <w:rFonts w:hint="cs"/>
          <w:rtl/>
        </w:rPr>
        <w:t xml:space="preserve">בשמי. </w:t>
      </w:r>
      <w:bookmarkStart w:id="7676" w:name="_ETM_Q9_267840"/>
      <w:bookmarkEnd w:id="7676"/>
      <w:r>
        <w:rPr>
          <w:rFonts w:hint="cs"/>
          <w:rtl/>
        </w:rPr>
        <w:t xml:space="preserve">יובל </w:t>
      </w:r>
      <w:bookmarkStart w:id="7677" w:name="_ETM_Q9_268260"/>
      <w:bookmarkEnd w:id="7677"/>
      <w:r>
        <w:rPr>
          <w:rFonts w:hint="cs"/>
          <w:rtl/>
        </w:rPr>
        <w:t xml:space="preserve">אלבשן – </w:t>
      </w:r>
      <w:bookmarkStart w:id="7678" w:name="_ETM_Q9_268860"/>
      <w:bookmarkEnd w:id="7678"/>
      <w:r>
        <w:rPr>
          <w:rFonts w:hint="cs"/>
          <w:rtl/>
        </w:rPr>
        <w:t xml:space="preserve">קראו </w:t>
      </w:r>
      <w:bookmarkStart w:id="7679" w:name="_ETM_Q9_269280"/>
      <w:bookmarkEnd w:id="7679"/>
      <w:r>
        <w:rPr>
          <w:rFonts w:hint="cs"/>
          <w:rtl/>
        </w:rPr>
        <w:t xml:space="preserve">לזה </w:t>
      </w:r>
      <w:bookmarkStart w:id="7680" w:name="_ETM_Q9_269520"/>
      <w:bookmarkEnd w:id="7680"/>
      <w:r>
        <w:rPr>
          <w:rFonts w:hint="cs"/>
          <w:rtl/>
        </w:rPr>
        <w:t xml:space="preserve">מתווה אלבשן – </w:t>
      </w:r>
      <w:bookmarkStart w:id="7681" w:name="_ETM_Q9_269880"/>
      <w:bookmarkStart w:id="7682" w:name="_ETM_Q9_270300"/>
      <w:bookmarkStart w:id="7683" w:name="_ETM_Q9_270659"/>
      <w:bookmarkEnd w:id="7681"/>
      <w:bookmarkEnd w:id="7682"/>
      <w:bookmarkEnd w:id="7683"/>
      <w:r>
        <w:rPr>
          <w:rFonts w:hint="cs"/>
          <w:rtl/>
        </w:rPr>
        <w:t xml:space="preserve">אומר: </w:t>
      </w:r>
      <w:bookmarkStart w:id="7684" w:name="_ETM_Q9_270930"/>
      <w:bookmarkEnd w:id="7684"/>
      <w:r>
        <w:rPr>
          <w:rFonts w:hint="cs"/>
          <w:rtl/>
        </w:rPr>
        <w:t xml:space="preserve">אל </w:t>
      </w:r>
      <w:bookmarkStart w:id="7685" w:name="_ETM_Q9_271080"/>
      <w:bookmarkEnd w:id="7685"/>
      <w:r>
        <w:rPr>
          <w:rFonts w:hint="cs"/>
          <w:rtl/>
        </w:rPr>
        <w:t xml:space="preserve">תשתמשו </w:t>
      </w:r>
      <w:bookmarkStart w:id="7686" w:name="_ETM_Q9_271620"/>
      <w:bookmarkEnd w:id="7686"/>
      <w:r>
        <w:rPr>
          <w:rFonts w:hint="cs"/>
          <w:rtl/>
        </w:rPr>
        <w:t xml:space="preserve">בזה, </w:t>
      </w:r>
      <w:bookmarkStart w:id="7687" w:name="_ETM_Q9_271920"/>
      <w:bookmarkEnd w:id="7687"/>
      <w:r>
        <w:rPr>
          <w:rFonts w:hint="cs"/>
          <w:rtl/>
        </w:rPr>
        <w:t xml:space="preserve">זה </w:t>
      </w:r>
      <w:bookmarkStart w:id="7688" w:name="_ETM_Q9_272100"/>
      <w:bookmarkEnd w:id="7688"/>
      <w:r>
        <w:rPr>
          <w:rFonts w:hint="cs"/>
          <w:rtl/>
        </w:rPr>
        <w:t xml:space="preserve">לא </w:t>
      </w:r>
      <w:bookmarkStart w:id="7689" w:name="_ETM_Q9_272190"/>
      <w:bookmarkEnd w:id="7689"/>
      <w:r>
        <w:rPr>
          <w:rFonts w:hint="cs"/>
          <w:rtl/>
        </w:rPr>
        <w:t xml:space="preserve">שלי. </w:t>
      </w:r>
      <w:bookmarkStart w:id="7690" w:name="_ETM_Q9_273579"/>
      <w:bookmarkEnd w:id="7690"/>
      <w:r>
        <w:rPr>
          <w:rFonts w:hint="cs"/>
          <w:rtl/>
        </w:rPr>
        <w:t xml:space="preserve">אין </w:t>
      </w:r>
      <w:bookmarkStart w:id="7691" w:name="_ETM_Q9_273789"/>
      <w:bookmarkEnd w:id="7691"/>
      <w:r>
        <w:rPr>
          <w:rFonts w:hint="cs"/>
          <w:rtl/>
        </w:rPr>
        <w:t xml:space="preserve">אדם </w:t>
      </w:r>
      <w:bookmarkStart w:id="7692" w:name="_ETM_Q9_274209"/>
      <w:bookmarkEnd w:id="7692"/>
      <w:r>
        <w:rPr>
          <w:rFonts w:hint="cs"/>
          <w:rtl/>
        </w:rPr>
        <w:t xml:space="preserve">אחד </w:t>
      </w:r>
      <w:bookmarkStart w:id="7693" w:name="_ETM_Q9_275159"/>
      <w:bookmarkEnd w:id="7693"/>
      <w:r>
        <w:rPr>
          <w:rFonts w:hint="cs"/>
          <w:rtl/>
        </w:rPr>
        <w:t>שתומך בזה.</w:t>
      </w:r>
    </w:p>
    <w:p w:rsidR="000C5C1F" w:rsidRDefault="000C5C1F" w:rsidP="000C5C1F">
      <w:pPr>
        <w:rPr>
          <w:rtl/>
        </w:rPr>
      </w:pPr>
      <w:bookmarkStart w:id="7694" w:name="_ETM_Q9_278701"/>
      <w:bookmarkStart w:id="7695" w:name="_ETM_Q9_278788"/>
      <w:bookmarkStart w:id="7696" w:name="_ETM_Q9_278877"/>
      <w:bookmarkEnd w:id="7694"/>
      <w:bookmarkEnd w:id="7695"/>
      <w:bookmarkEnd w:id="7696"/>
    </w:p>
    <w:p w:rsidR="000C5C1F" w:rsidRDefault="000C5C1F" w:rsidP="000C5C1F">
      <w:pPr>
        <w:rPr>
          <w:rtl/>
        </w:rPr>
      </w:pPr>
      <w:bookmarkStart w:id="7697" w:name="_ETM_Q9_278952"/>
      <w:bookmarkStart w:id="7698" w:name="_ETM_Q9_285709"/>
      <w:bookmarkEnd w:id="7697"/>
      <w:bookmarkEnd w:id="7698"/>
      <w:r>
        <w:rPr>
          <w:rFonts w:hint="cs"/>
          <w:rtl/>
        </w:rPr>
        <w:t xml:space="preserve">אדוני </w:t>
      </w:r>
      <w:bookmarkStart w:id="7699" w:name="_ETM_Q9_286130"/>
      <w:bookmarkEnd w:id="7699"/>
      <w:r>
        <w:rPr>
          <w:rFonts w:hint="cs"/>
          <w:rtl/>
        </w:rPr>
        <w:t xml:space="preserve">היושב-ראש, </w:t>
      </w:r>
      <w:bookmarkStart w:id="7700" w:name="_ETM_Q9_288860"/>
      <w:bookmarkEnd w:id="7700"/>
      <w:r>
        <w:rPr>
          <w:rFonts w:hint="cs"/>
          <w:rtl/>
        </w:rPr>
        <w:t xml:space="preserve">אנחנו </w:t>
      </w:r>
      <w:bookmarkStart w:id="7701" w:name="_ETM_Q9_289310"/>
      <w:bookmarkEnd w:id="7701"/>
      <w:r>
        <w:rPr>
          <w:rFonts w:hint="cs"/>
          <w:rtl/>
        </w:rPr>
        <w:t xml:space="preserve">בארץ </w:t>
      </w:r>
      <w:bookmarkStart w:id="7702" w:name="_ETM_Q9_289790"/>
      <w:bookmarkEnd w:id="7702"/>
      <w:r>
        <w:rPr>
          <w:rFonts w:hint="cs"/>
          <w:rtl/>
        </w:rPr>
        <w:t xml:space="preserve">לא </w:t>
      </w:r>
      <w:bookmarkStart w:id="7703" w:name="_ETM_Q9_289940"/>
      <w:bookmarkEnd w:id="7703"/>
      <w:r>
        <w:rPr>
          <w:rFonts w:hint="cs"/>
          <w:rtl/>
        </w:rPr>
        <w:t xml:space="preserve">ידועה. </w:t>
      </w:r>
      <w:bookmarkStart w:id="7704" w:name="_ETM_Q9_291560"/>
      <w:bookmarkEnd w:id="7704"/>
      <w:r>
        <w:rPr>
          <w:rFonts w:hint="cs"/>
          <w:rtl/>
        </w:rPr>
        <w:t xml:space="preserve">אנחנו </w:t>
      </w:r>
      <w:bookmarkStart w:id="7705" w:name="_ETM_Q9_292160"/>
      <w:bookmarkEnd w:id="7705"/>
      <w:r>
        <w:rPr>
          <w:rFonts w:hint="cs"/>
          <w:rtl/>
        </w:rPr>
        <w:t xml:space="preserve">בארץ </w:t>
      </w:r>
      <w:bookmarkStart w:id="7706" w:name="_ETM_Q9_292640"/>
      <w:bookmarkEnd w:id="7706"/>
      <w:r>
        <w:rPr>
          <w:rFonts w:hint="cs"/>
          <w:rtl/>
        </w:rPr>
        <w:t xml:space="preserve">של </w:t>
      </w:r>
      <w:bookmarkStart w:id="7707" w:name="_ETM_Q9_292850"/>
      <w:bookmarkEnd w:id="7707"/>
      <w:r>
        <w:rPr>
          <w:rFonts w:hint="cs"/>
          <w:rtl/>
        </w:rPr>
        <w:t xml:space="preserve">חרפה. </w:t>
      </w:r>
      <w:bookmarkStart w:id="7708" w:name="_ETM_Q9_294730"/>
      <w:bookmarkEnd w:id="7708"/>
      <w:r>
        <w:rPr>
          <w:rFonts w:hint="cs"/>
          <w:rtl/>
        </w:rPr>
        <w:t xml:space="preserve">בושה </w:t>
      </w:r>
      <w:bookmarkStart w:id="7709" w:name="_ETM_Q9_295270"/>
      <w:bookmarkEnd w:id="7709"/>
      <w:r>
        <w:rPr>
          <w:rFonts w:hint="cs"/>
          <w:rtl/>
        </w:rPr>
        <w:t xml:space="preserve">גדולה. </w:t>
      </w:r>
      <w:bookmarkStart w:id="7710" w:name="_ETM_Q9_297220"/>
      <w:bookmarkEnd w:id="7710"/>
      <w:r>
        <w:rPr>
          <w:rFonts w:hint="cs"/>
          <w:rtl/>
        </w:rPr>
        <w:t xml:space="preserve">בעת </w:t>
      </w:r>
      <w:bookmarkStart w:id="7711" w:name="_ETM_Q9_297640"/>
      <w:bookmarkEnd w:id="7711"/>
      <w:r>
        <w:rPr>
          <w:rFonts w:hint="cs"/>
          <w:rtl/>
        </w:rPr>
        <w:t xml:space="preserve">הזו </w:t>
      </w:r>
      <w:bookmarkStart w:id="7712" w:name="_ETM_Q9_297970"/>
      <w:bookmarkEnd w:id="7712"/>
      <w:r>
        <w:rPr>
          <w:rFonts w:hint="cs"/>
          <w:rtl/>
        </w:rPr>
        <w:t xml:space="preserve">אין </w:t>
      </w:r>
      <w:bookmarkStart w:id="7713" w:name="_ETM_Q9_298150"/>
      <w:bookmarkEnd w:id="7713"/>
      <w:r>
        <w:rPr>
          <w:rFonts w:hint="cs"/>
          <w:rtl/>
        </w:rPr>
        <w:t xml:space="preserve">מלך </w:t>
      </w:r>
      <w:bookmarkStart w:id="7714" w:name="_ETM_Q9_298479"/>
      <w:bookmarkEnd w:id="7714"/>
      <w:r>
        <w:rPr>
          <w:rFonts w:hint="cs"/>
          <w:rtl/>
        </w:rPr>
        <w:t xml:space="preserve">בישראל, </w:t>
      </w:r>
      <w:bookmarkStart w:id="7715" w:name="_ETM_Q9_300200"/>
      <w:bookmarkStart w:id="7716" w:name="_ETM_Q9_303130"/>
      <w:bookmarkEnd w:id="7715"/>
      <w:bookmarkEnd w:id="7716"/>
      <w:r>
        <w:rPr>
          <w:rFonts w:hint="cs"/>
          <w:rtl/>
        </w:rPr>
        <w:t xml:space="preserve">איש הישר בעיניו יעשה. </w:t>
      </w:r>
      <w:bookmarkStart w:id="7717" w:name="_ETM_Q9_300684"/>
      <w:bookmarkEnd w:id="7717"/>
      <w:r>
        <w:rPr>
          <w:rFonts w:hint="cs"/>
          <w:rtl/>
        </w:rPr>
        <w:t xml:space="preserve">ממשלה </w:t>
      </w:r>
      <w:bookmarkStart w:id="7718" w:name="_ETM_Q9_304270"/>
      <w:bookmarkEnd w:id="7718"/>
      <w:r>
        <w:rPr>
          <w:rFonts w:hint="cs"/>
          <w:rtl/>
        </w:rPr>
        <w:t xml:space="preserve">של </w:t>
      </w:r>
      <w:bookmarkStart w:id="7719" w:name="_ETM_Q9_304630"/>
      <w:bookmarkEnd w:id="7719"/>
      <w:r>
        <w:rPr>
          <w:rFonts w:hint="cs"/>
          <w:rtl/>
        </w:rPr>
        <w:t xml:space="preserve">אנרכיסטים. </w:t>
      </w:r>
      <w:bookmarkStart w:id="7720" w:name="_ETM_Q9_307529"/>
      <w:bookmarkEnd w:id="7720"/>
      <w:r>
        <w:rPr>
          <w:rFonts w:hint="cs"/>
          <w:rtl/>
        </w:rPr>
        <w:t xml:space="preserve">הציבור </w:t>
      </w:r>
      <w:bookmarkStart w:id="7721" w:name="_ETM_Q9_308099"/>
      <w:bookmarkEnd w:id="7721"/>
      <w:r>
        <w:rPr>
          <w:rFonts w:hint="cs"/>
          <w:rtl/>
        </w:rPr>
        <w:t>מש</w:t>
      </w:r>
      <w:bookmarkStart w:id="7722" w:name="_ETM_Q9_308790"/>
      <w:bookmarkStart w:id="7723" w:name="_ETM_Q9_309120"/>
      <w:bookmarkEnd w:id="7722"/>
      <w:bookmarkEnd w:id="7723"/>
      <w:r>
        <w:rPr>
          <w:rFonts w:hint="cs"/>
          <w:rtl/>
        </w:rPr>
        <w:t xml:space="preserve">פשף את עיניו ואומר </w:t>
      </w:r>
      <w:bookmarkStart w:id="7724" w:name="_ETM_Q9_309510"/>
      <w:bookmarkEnd w:id="7724"/>
      <w:r>
        <w:rPr>
          <w:rFonts w:hint="cs"/>
          <w:rtl/>
        </w:rPr>
        <w:t xml:space="preserve">לעצמו: </w:t>
      </w:r>
      <w:bookmarkStart w:id="7725" w:name="_ETM_Q9_310930"/>
      <w:bookmarkEnd w:id="7725"/>
      <w:r>
        <w:rPr>
          <w:rFonts w:hint="cs"/>
          <w:rtl/>
        </w:rPr>
        <w:t xml:space="preserve">זה </w:t>
      </w:r>
      <w:bookmarkStart w:id="7726" w:name="_ETM_Q9_312879"/>
      <w:bookmarkEnd w:id="7726"/>
      <w:r>
        <w:rPr>
          <w:rFonts w:hint="cs"/>
          <w:rtl/>
        </w:rPr>
        <w:t xml:space="preserve">לא אמיתי, זה </w:t>
      </w:r>
      <w:bookmarkStart w:id="7727" w:name="_ETM_Q9_313150"/>
      <w:bookmarkEnd w:id="7727"/>
      <w:r>
        <w:rPr>
          <w:rFonts w:hint="cs"/>
          <w:rtl/>
        </w:rPr>
        <w:t xml:space="preserve">סרט </w:t>
      </w:r>
      <w:bookmarkStart w:id="7728" w:name="_ETM_Q9_313780"/>
      <w:bookmarkEnd w:id="7728"/>
      <w:r>
        <w:rPr>
          <w:rFonts w:hint="cs"/>
          <w:rtl/>
        </w:rPr>
        <w:t xml:space="preserve">רע, </w:t>
      </w:r>
      <w:bookmarkStart w:id="7729" w:name="_ETM_Q9_315010"/>
      <w:bookmarkEnd w:id="7729"/>
      <w:r>
        <w:rPr>
          <w:rFonts w:hint="cs"/>
          <w:rtl/>
        </w:rPr>
        <w:t>זה סרט אימה. ואת</w:t>
      </w:r>
      <w:bookmarkStart w:id="7730" w:name="_ETM_Q9_318620"/>
      <w:bookmarkEnd w:id="7730"/>
      <w:r>
        <w:rPr>
          <w:rFonts w:hint="cs"/>
          <w:rtl/>
        </w:rPr>
        <w:t xml:space="preserve">ם </w:t>
      </w:r>
      <w:bookmarkStart w:id="7731" w:name="_ETM_Q9_320027"/>
      <w:bookmarkEnd w:id="7731"/>
      <w:r>
        <w:rPr>
          <w:rFonts w:hint="cs"/>
          <w:rtl/>
        </w:rPr>
        <w:t xml:space="preserve">מסבירים </w:t>
      </w:r>
      <w:bookmarkStart w:id="7732" w:name="_ETM_Q9_319279"/>
      <w:bookmarkEnd w:id="7732"/>
      <w:r>
        <w:rPr>
          <w:rFonts w:hint="cs"/>
          <w:rtl/>
        </w:rPr>
        <w:t xml:space="preserve">לו </w:t>
      </w:r>
      <w:bookmarkStart w:id="7733" w:name="_ETM_Q9_319430"/>
      <w:bookmarkEnd w:id="7733"/>
      <w:r>
        <w:rPr>
          <w:rFonts w:hint="cs"/>
          <w:rtl/>
        </w:rPr>
        <w:t xml:space="preserve">שאלה </w:t>
      </w:r>
      <w:bookmarkStart w:id="7734" w:name="_ETM_Q9_319909"/>
      <w:bookmarkEnd w:id="7734"/>
      <w:r>
        <w:rPr>
          <w:rFonts w:hint="cs"/>
          <w:rtl/>
        </w:rPr>
        <w:t xml:space="preserve">רק </w:t>
      </w:r>
      <w:bookmarkStart w:id="7735" w:name="_ETM_Q9_320120"/>
      <w:bookmarkEnd w:id="7735"/>
      <w:r>
        <w:rPr>
          <w:rFonts w:hint="cs"/>
          <w:rtl/>
        </w:rPr>
        <w:t xml:space="preserve">הסלטים </w:t>
      </w:r>
      <w:bookmarkStart w:id="7736" w:name="_ETM_Q9_320959"/>
      <w:bookmarkEnd w:id="7736"/>
      <w:r>
        <w:rPr>
          <w:rFonts w:hint="cs"/>
          <w:rtl/>
        </w:rPr>
        <w:t xml:space="preserve">בארוחה </w:t>
      </w:r>
      <w:bookmarkStart w:id="7737" w:name="_ETM_Q9_321620"/>
      <w:bookmarkEnd w:id="7737"/>
      <w:r>
        <w:rPr>
          <w:rFonts w:hint="cs"/>
          <w:rtl/>
        </w:rPr>
        <w:t xml:space="preserve">שאתם </w:t>
      </w:r>
      <w:bookmarkStart w:id="7738" w:name="_ETM_Q9_322040"/>
      <w:bookmarkEnd w:id="7738"/>
      <w:r>
        <w:rPr>
          <w:rFonts w:hint="cs"/>
          <w:rtl/>
        </w:rPr>
        <w:t xml:space="preserve">מבשלים </w:t>
      </w:r>
      <w:bookmarkStart w:id="7739" w:name="_ETM_Q9_322609"/>
      <w:bookmarkEnd w:id="7739"/>
      <w:r>
        <w:rPr>
          <w:rFonts w:hint="cs"/>
          <w:rtl/>
        </w:rPr>
        <w:t xml:space="preserve">לו. </w:t>
      </w:r>
      <w:bookmarkStart w:id="7740" w:name="_ETM_Q9_323690"/>
      <w:bookmarkEnd w:id="7740"/>
      <w:r>
        <w:rPr>
          <w:rFonts w:hint="cs"/>
          <w:rtl/>
        </w:rPr>
        <w:t xml:space="preserve">אז </w:t>
      </w:r>
      <w:bookmarkStart w:id="7741" w:name="_ETM_Q9_323900"/>
      <w:bookmarkEnd w:id="7741"/>
      <w:r>
        <w:rPr>
          <w:rFonts w:hint="cs"/>
          <w:rtl/>
        </w:rPr>
        <w:t xml:space="preserve">מה </w:t>
      </w:r>
      <w:bookmarkStart w:id="7742" w:name="_ETM_Q9_324080"/>
      <w:bookmarkEnd w:id="7742"/>
      <w:r>
        <w:rPr>
          <w:rFonts w:hint="cs"/>
          <w:rtl/>
        </w:rPr>
        <w:t xml:space="preserve">אתם </w:t>
      </w:r>
      <w:bookmarkStart w:id="7743" w:name="_ETM_Q9_324290"/>
      <w:bookmarkEnd w:id="7743"/>
      <w:r>
        <w:rPr>
          <w:rFonts w:hint="cs"/>
          <w:rtl/>
        </w:rPr>
        <w:t xml:space="preserve">חושבים </w:t>
      </w:r>
      <w:bookmarkStart w:id="7744" w:name="_ETM_Q9_324680"/>
      <w:bookmarkEnd w:id="7744"/>
      <w:r>
        <w:rPr>
          <w:rFonts w:hint="cs"/>
          <w:rtl/>
        </w:rPr>
        <w:t xml:space="preserve">שיקרה? </w:t>
      </w:r>
      <w:bookmarkStart w:id="7745" w:name="_ETM_Q9_325950"/>
      <w:bookmarkEnd w:id="7745"/>
      <w:r>
        <w:rPr>
          <w:rFonts w:hint="cs"/>
          <w:rtl/>
        </w:rPr>
        <w:t xml:space="preserve">מה </w:t>
      </w:r>
      <w:bookmarkStart w:id="7746" w:name="_ETM_Q9_326370"/>
      <w:bookmarkEnd w:id="7746"/>
      <w:r>
        <w:rPr>
          <w:rFonts w:hint="cs"/>
          <w:rtl/>
        </w:rPr>
        <w:t xml:space="preserve">אתם </w:t>
      </w:r>
      <w:bookmarkStart w:id="7747" w:name="_ETM_Q9_326730"/>
      <w:bookmarkEnd w:id="7747"/>
      <w:r>
        <w:rPr>
          <w:rFonts w:hint="cs"/>
          <w:rtl/>
        </w:rPr>
        <w:t xml:space="preserve">חושבים </w:t>
      </w:r>
      <w:bookmarkStart w:id="7748" w:name="_ETM_Q9_327329"/>
      <w:bookmarkEnd w:id="7748"/>
      <w:r>
        <w:rPr>
          <w:rFonts w:hint="cs"/>
          <w:rtl/>
        </w:rPr>
        <w:t xml:space="preserve">שיקרה? </w:t>
      </w:r>
      <w:bookmarkStart w:id="7749" w:name="_ETM_Q9_329239"/>
      <w:bookmarkEnd w:id="7749"/>
    </w:p>
    <w:p w:rsidR="000C5C1F" w:rsidRDefault="000C5C1F" w:rsidP="000C5C1F">
      <w:pPr>
        <w:rPr>
          <w:rtl/>
        </w:rPr>
      </w:pPr>
    </w:p>
    <w:p w:rsidR="000C5C1F" w:rsidRDefault="000C5C1F" w:rsidP="000C5C1F">
      <w:pPr>
        <w:rPr>
          <w:rtl/>
        </w:rPr>
      </w:pPr>
      <w:r>
        <w:rPr>
          <w:rFonts w:hint="cs"/>
          <w:rtl/>
        </w:rPr>
        <w:t xml:space="preserve">אתם </w:t>
      </w:r>
      <w:bookmarkStart w:id="7750" w:name="_ETM_Q9_329540"/>
      <w:bookmarkEnd w:id="7750"/>
      <w:r>
        <w:rPr>
          <w:rFonts w:hint="cs"/>
          <w:rtl/>
        </w:rPr>
        <w:t xml:space="preserve">אומרים </w:t>
      </w:r>
      <w:bookmarkStart w:id="7751" w:name="_ETM_Q9_329870"/>
      <w:bookmarkEnd w:id="7751"/>
      <w:r>
        <w:rPr>
          <w:rFonts w:hint="cs"/>
          <w:rtl/>
        </w:rPr>
        <w:t xml:space="preserve">שבשם </w:t>
      </w:r>
      <w:bookmarkStart w:id="7752" w:name="_ETM_Q9_330409"/>
      <w:bookmarkEnd w:id="7752"/>
      <w:r>
        <w:rPr>
          <w:rFonts w:hint="cs"/>
          <w:rtl/>
        </w:rPr>
        <w:t xml:space="preserve">הדמוקרטיה </w:t>
      </w:r>
      <w:bookmarkStart w:id="7753" w:name="_ETM_Q9_332100"/>
      <w:bookmarkEnd w:id="7753"/>
      <w:r>
        <w:rPr>
          <w:rFonts w:hint="cs"/>
          <w:rtl/>
        </w:rPr>
        <w:t xml:space="preserve">אתם </w:t>
      </w:r>
      <w:bookmarkStart w:id="7754" w:name="_ETM_Q9_332550"/>
      <w:bookmarkEnd w:id="7754"/>
      <w:r>
        <w:rPr>
          <w:rFonts w:hint="cs"/>
          <w:rtl/>
        </w:rPr>
        <w:t xml:space="preserve">זכאים </w:t>
      </w:r>
      <w:bookmarkStart w:id="7755" w:name="_ETM_Q9_333090"/>
      <w:bookmarkEnd w:id="7755"/>
      <w:r>
        <w:rPr>
          <w:rFonts w:hint="cs"/>
          <w:rtl/>
        </w:rPr>
        <w:t xml:space="preserve">לכוח </w:t>
      </w:r>
      <w:bookmarkStart w:id="7756" w:name="_ETM_Q9_333599"/>
      <w:bookmarkEnd w:id="7756"/>
      <w:r>
        <w:rPr>
          <w:rFonts w:hint="cs"/>
          <w:rtl/>
        </w:rPr>
        <w:t xml:space="preserve">בלתי </w:t>
      </w:r>
      <w:bookmarkStart w:id="7757" w:name="_ETM_Q9_333989"/>
      <w:bookmarkEnd w:id="7757"/>
      <w:r>
        <w:rPr>
          <w:rFonts w:hint="cs"/>
          <w:rtl/>
        </w:rPr>
        <w:t>מוגבל</w:t>
      </w:r>
      <w:bookmarkStart w:id="7758" w:name="_ETM_Q9_334480"/>
      <w:bookmarkEnd w:id="7758"/>
      <w:r>
        <w:rPr>
          <w:rFonts w:hint="cs"/>
          <w:rtl/>
        </w:rPr>
        <w:t xml:space="preserve"> </w:t>
      </w:r>
      <w:r>
        <w:t>–</w:t>
      </w:r>
      <w:r>
        <w:rPr>
          <w:rtl/>
        </w:rPr>
        <w:t xml:space="preserve"> </w:t>
      </w:r>
      <w:r>
        <w:rPr>
          <w:rFonts w:hint="cs"/>
          <w:rtl/>
        </w:rPr>
        <w:t>כן</w:t>
      </w:r>
      <w:bookmarkStart w:id="7759" w:name="_ETM_Q9_335769"/>
      <w:bookmarkStart w:id="7760" w:name="_ETM_Q9_335860"/>
      <w:bookmarkEnd w:id="7759"/>
      <w:bookmarkEnd w:id="7760"/>
      <w:r>
        <w:rPr>
          <w:rFonts w:hint="cs"/>
          <w:rtl/>
        </w:rPr>
        <w:t xml:space="preserve">, עוד כוח, לא </w:t>
      </w:r>
      <w:bookmarkStart w:id="7761" w:name="_ETM_Q9_336010"/>
      <w:bookmarkEnd w:id="7761"/>
      <w:r>
        <w:rPr>
          <w:rFonts w:hint="cs"/>
          <w:rtl/>
        </w:rPr>
        <w:t xml:space="preserve">מספיק </w:t>
      </w:r>
      <w:bookmarkStart w:id="7762" w:name="_ETM_Q9_336519"/>
      <w:bookmarkEnd w:id="7762"/>
      <w:r>
        <w:rPr>
          <w:rFonts w:hint="cs"/>
          <w:rtl/>
        </w:rPr>
        <w:t xml:space="preserve">מה </w:t>
      </w:r>
      <w:bookmarkStart w:id="7763" w:name="_ETM_Q9_336669"/>
      <w:bookmarkEnd w:id="7763"/>
      <w:r>
        <w:rPr>
          <w:rFonts w:hint="cs"/>
          <w:rtl/>
        </w:rPr>
        <w:t xml:space="preserve">שאתם </w:t>
      </w:r>
      <w:bookmarkStart w:id="7764" w:name="_ETM_Q9_337090"/>
      <w:bookmarkEnd w:id="7764"/>
      <w:r>
        <w:rPr>
          <w:rFonts w:hint="cs"/>
          <w:rtl/>
        </w:rPr>
        <w:t xml:space="preserve">מראים </w:t>
      </w:r>
      <w:bookmarkStart w:id="7765" w:name="_ETM_Q9_337480"/>
      <w:bookmarkEnd w:id="7765"/>
      <w:r>
        <w:rPr>
          <w:rFonts w:hint="cs"/>
          <w:rtl/>
        </w:rPr>
        <w:t xml:space="preserve">להם; </w:t>
      </w:r>
      <w:bookmarkStart w:id="7766" w:name="_ETM_Q9_338419"/>
      <w:bookmarkEnd w:id="7766"/>
      <w:r>
        <w:rPr>
          <w:rFonts w:hint="cs"/>
          <w:rtl/>
        </w:rPr>
        <w:t xml:space="preserve">כזה </w:t>
      </w:r>
      <w:bookmarkStart w:id="7767" w:name="_ETM_Q9_338739"/>
      <w:bookmarkStart w:id="7768" w:name="_ETM_Q9_339370"/>
      <w:bookmarkEnd w:id="7767"/>
      <w:bookmarkEnd w:id="7768"/>
      <w:r>
        <w:rPr>
          <w:rFonts w:hint="cs"/>
          <w:rtl/>
        </w:rPr>
        <w:t xml:space="preserve">שאף אחד </w:t>
      </w:r>
      <w:bookmarkStart w:id="7769" w:name="_ETM_Q9_340330"/>
      <w:bookmarkEnd w:id="7769"/>
      <w:r>
        <w:rPr>
          <w:rFonts w:hint="cs"/>
          <w:rtl/>
        </w:rPr>
        <w:t xml:space="preserve">לא </w:t>
      </w:r>
      <w:bookmarkStart w:id="7770" w:name="_ETM_Q9_340620"/>
      <w:bookmarkEnd w:id="7770"/>
      <w:r>
        <w:rPr>
          <w:rFonts w:hint="cs"/>
          <w:rtl/>
        </w:rPr>
        <w:t xml:space="preserve">יוכל </w:t>
      </w:r>
      <w:bookmarkStart w:id="7771" w:name="_ETM_Q9_340860"/>
      <w:bookmarkEnd w:id="7771"/>
      <w:r>
        <w:rPr>
          <w:rFonts w:hint="cs"/>
          <w:rtl/>
        </w:rPr>
        <w:t xml:space="preserve">להגביל. </w:t>
      </w:r>
      <w:bookmarkStart w:id="7772" w:name="_ETM_Q9_342210"/>
      <w:bookmarkEnd w:id="7772"/>
      <w:r>
        <w:rPr>
          <w:rFonts w:hint="cs"/>
          <w:rtl/>
        </w:rPr>
        <w:t xml:space="preserve">אתם </w:t>
      </w:r>
      <w:bookmarkStart w:id="7773" w:name="_ETM_Q9_342960"/>
      <w:bookmarkEnd w:id="7773"/>
      <w:r>
        <w:rPr>
          <w:rFonts w:hint="cs"/>
          <w:rtl/>
        </w:rPr>
        <w:t xml:space="preserve">מסבירים </w:t>
      </w:r>
      <w:bookmarkStart w:id="7774" w:name="_ETM_Q9_343560"/>
      <w:bookmarkEnd w:id="7774"/>
      <w:r>
        <w:rPr>
          <w:rFonts w:hint="cs"/>
          <w:rtl/>
        </w:rPr>
        <w:t xml:space="preserve">לציבור, אחרי </w:t>
      </w:r>
      <w:bookmarkStart w:id="7775" w:name="_ETM_Q9_344220"/>
      <w:bookmarkEnd w:id="7775"/>
      <w:r>
        <w:rPr>
          <w:rFonts w:hint="cs"/>
          <w:rtl/>
        </w:rPr>
        <w:t xml:space="preserve">שאתם </w:t>
      </w:r>
      <w:bookmarkStart w:id="7776" w:name="_ETM_Q9_344550"/>
      <w:bookmarkEnd w:id="7776"/>
      <w:r>
        <w:rPr>
          <w:rFonts w:hint="cs"/>
          <w:rtl/>
        </w:rPr>
        <w:t xml:space="preserve">מגדפים </w:t>
      </w:r>
      <w:bookmarkStart w:id="7777" w:name="_ETM_Q9_345180"/>
      <w:bookmarkEnd w:id="7777"/>
      <w:r>
        <w:rPr>
          <w:rFonts w:hint="cs"/>
          <w:rtl/>
        </w:rPr>
        <w:t xml:space="preserve">אותו, שזכותכם </w:t>
      </w:r>
      <w:bookmarkStart w:id="7778" w:name="_ETM_Q9_347060"/>
      <w:bookmarkEnd w:id="7778"/>
      <w:r>
        <w:rPr>
          <w:rFonts w:hint="cs"/>
          <w:rtl/>
        </w:rPr>
        <w:t xml:space="preserve">עכשיו </w:t>
      </w:r>
      <w:bookmarkStart w:id="7779" w:name="_ETM_Q9_347569"/>
      <w:bookmarkEnd w:id="7779"/>
      <w:r>
        <w:rPr>
          <w:rFonts w:hint="cs"/>
          <w:rtl/>
        </w:rPr>
        <w:t xml:space="preserve">לדרוש </w:t>
      </w:r>
      <w:bookmarkStart w:id="7780" w:name="_ETM_Q9_348560"/>
      <w:bookmarkEnd w:id="7780"/>
      <w:r>
        <w:rPr>
          <w:rFonts w:hint="cs"/>
          <w:rtl/>
        </w:rPr>
        <w:t xml:space="preserve">את </w:t>
      </w:r>
      <w:bookmarkStart w:id="7781" w:name="_ETM_Q9_348860"/>
      <w:bookmarkEnd w:id="7781"/>
      <w:r>
        <w:rPr>
          <w:rFonts w:hint="cs"/>
          <w:rtl/>
        </w:rPr>
        <w:t xml:space="preserve">הכוח </w:t>
      </w:r>
      <w:bookmarkStart w:id="7782" w:name="_ETM_Q9_349760"/>
      <w:bookmarkEnd w:id="7782"/>
      <w:r>
        <w:rPr>
          <w:rFonts w:hint="cs"/>
          <w:rtl/>
        </w:rPr>
        <w:t xml:space="preserve">לחוקק </w:t>
      </w:r>
      <w:bookmarkStart w:id="7783" w:name="_ETM_Q9_350639"/>
      <w:bookmarkEnd w:id="7783"/>
      <w:r>
        <w:rPr>
          <w:rFonts w:hint="cs"/>
          <w:rtl/>
        </w:rPr>
        <w:t xml:space="preserve">כל </w:t>
      </w:r>
      <w:bookmarkStart w:id="7784" w:name="_ETM_Q9_351000"/>
      <w:bookmarkEnd w:id="7784"/>
      <w:r>
        <w:rPr>
          <w:rFonts w:hint="cs"/>
          <w:rtl/>
        </w:rPr>
        <w:t xml:space="preserve">חוק, </w:t>
      </w:r>
      <w:bookmarkStart w:id="7785" w:name="_ETM_Q9_352260"/>
      <w:bookmarkEnd w:id="7785"/>
      <w:r>
        <w:rPr>
          <w:rFonts w:hint="cs"/>
          <w:rtl/>
        </w:rPr>
        <w:t xml:space="preserve">לקבל </w:t>
      </w:r>
      <w:bookmarkStart w:id="7786" w:name="_ETM_Q9_352790"/>
      <w:bookmarkEnd w:id="7786"/>
      <w:r>
        <w:rPr>
          <w:rFonts w:hint="cs"/>
          <w:rtl/>
        </w:rPr>
        <w:t xml:space="preserve">כל </w:t>
      </w:r>
      <w:bookmarkStart w:id="7787" w:name="_ETM_Q9_353269"/>
      <w:bookmarkEnd w:id="7787"/>
      <w:r>
        <w:rPr>
          <w:rFonts w:hint="cs"/>
          <w:rtl/>
        </w:rPr>
        <w:t xml:space="preserve">החלטה, גם </w:t>
      </w:r>
      <w:bookmarkStart w:id="7788" w:name="_ETM_Q9_354980"/>
      <w:bookmarkEnd w:id="7788"/>
      <w:r>
        <w:rPr>
          <w:rFonts w:hint="cs"/>
          <w:rtl/>
        </w:rPr>
        <w:t xml:space="preserve">מושחתת, כי </w:t>
      </w:r>
      <w:bookmarkStart w:id="7789" w:name="_ETM_Q9_356489"/>
      <w:bookmarkEnd w:id="7789"/>
      <w:r>
        <w:rPr>
          <w:rFonts w:hint="cs"/>
          <w:rtl/>
        </w:rPr>
        <w:t xml:space="preserve">בחרו </w:t>
      </w:r>
      <w:bookmarkStart w:id="7790" w:name="_ETM_Q9_356969"/>
      <w:bookmarkEnd w:id="7790"/>
      <w:r>
        <w:rPr>
          <w:rFonts w:hint="cs"/>
          <w:rtl/>
        </w:rPr>
        <w:t xml:space="preserve">בכם, </w:t>
      </w:r>
      <w:bookmarkStart w:id="7791" w:name="_ETM_Q9_357389"/>
      <w:bookmarkEnd w:id="7791"/>
      <w:r>
        <w:rPr>
          <w:rFonts w:hint="cs"/>
          <w:rtl/>
        </w:rPr>
        <w:t xml:space="preserve">וזה </w:t>
      </w:r>
      <w:bookmarkStart w:id="7792" w:name="_ETM_Q9_359150"/>
      <w:bookmarkEnd w:id="7792"/>
      <w:r>
        <w:rPr>
          <w:rFonts w:hint="cs"/>
          <w:rtl/>
        </w:rPr>
        <w:t xml:space="preserve">מספיק. מותר </w:t>
      </w:r>
      <w:bookmarkStart w:id="7793" w:name="_ETM_Q9_359630"/>
      <w:bookmarkEnd w:id="7793"/>
      <w:r>
        <w:rPr>
          <w:rFonts w:hint="cs"/>
          <w:rtl/>
        </w:rPr>
        <w:t xml:space="preserve">לכם לשנות את כללי </w:t>
      </w:r>
      <w:bookmarkStart w:id="7794" w:name="_ETM_Q9_361099"/>
      <w:bookmarkEnd w:id="7794"/>
      <w:r>
        <w:rPr>
          <w:rFonts w:hint="cs"/>
          <w:rtl/>
        </w:rPr>
        <w:t xml:space="preserve">המשחק </w:t>
      </w:r>
      <w:bookmarkStart w:id="7795" w:name="_ETM_Q9_361700"/>
      <w:bookmarkEnd w:id="7795"/>
      <w:r>
        <w:rPr>
          <w:rFonts w:hint="cs"/>
          <w:rtl/>
        </w:rPr>
        <w:t>תוך כדי המשחק, כי בחרו בכם; מותר לכם</w:t>
      </w:r>
      <w:bookmarkStart w:id="7796" w:name="_ETM_Q9_366319"/>
      <w:bookmarkEnd w:id="7796"/>
      <w:r>
        <w:rPr>
          <w:rFonts w:hint="cs"/>
          <w:rtl/>
        </w:rPr>
        <w:t xml:space="preserve"> לעבור </w:t>
      </w:r>
      <w:bookmarkStart w:id="7797" w:name="_ETM_Q9_366819"/>
      <w:bookmarkEnd w:id="7797"/>
      <w:r>
        <w:rPr>
          <w:rFonts w:hint="cs"/>
          <w:rtl/>
        </w:rPr>
        <w:t xml:space="preserve">על החוק </w:t>
      </w:r>
      <w:bookmarkStart w:id="7798" w:name="_ETM_Q9_367749"/>
      <w:bookmarkEnd w:id="7798"/>
      <w:r>
        <w:rPr>
          <w:rFonts w:hint="cs"/>
          <w:rtl/>
        </w:rPr>
        <w:t xml:space="preserve">ולקבל </w:t>
      </w:r>
      <w:bookmarkStart w:id="7799" w:name="_ETM_Q9_368360"/>
      <w:bookmarkEnd w:id="7799"/>
      <w:r>
        <w:rPr>
          <w:rFonts w:hint="cs"/>
          <w:rtl/>
        </w:rPr>
        <w:t xml:space="preserve">חסינות, כי </w:t>
      </w:r>
      <w:bookmarkStart w:id="7800" w:name="_ETM_Q9_370010"/>
      <w:bookmarkEnd w:id="7800"/>
      <w:r>
        <w:rPr>
          <w:rFonts w:hint="cs"/>
          <w:rtl/>
        </w:rPr>
        <w:t xml:space="preserve">בחרו </w:t>
      </w:r>
      <w:bookmarkStart w:id="7801" w:name="_ETM_Q9_370610"/>
      <w:bookmarkEnd w:id="7801"/>
      <w:r>
        <w:rPr>
          <w:rFonts w:hint="cs"/>
          <w:rtl/>
        </w:rPr>
        <w:t xml:space="preserve">בכם. </w:t>
      </w:r>
      <w:bookmarkStart w:id="7802" w:name="_ETM_Q9_372459"/>
      <w:bookmarkEnd w:id="7802"/>
      <w:r>
        <w:rPr>
          <w:rFonts w:hint="cs"/>
          <w:rtl/>
        </w:rPr>
        <w:t xml:space="preserve">אנחנו – </w:t>
      </w:r>
      <w:bookmarkStart w:id="7803" w:name="_ETM_Q9_373569"/>
      <w:bookmarkEnd w:id="7803"/>
      <w:r>
        <w:rPr>
          <w:rFonts w:hint="cs"/>
          <w:rtl/>
        </w:rPr>
        <w:t xml:space="preserve">אתם </w:t>
      </w:r>
      <w:bookmarkStart w:id="7804" w:name="_ETM_Q9_373870"/>
      <w:bookmarkEnd w:id="7804"/>
      <w:r>
        <w:rPr>
          <w:rFonts w:hint="cs"/>
          <w:rtl/>
        </w:rPr>
        <w:t xml:space="preserve">אומרים </w:t>
      </w:r>
      <w:bookmarkStart w:id="7805" w:name="_ETM_Q9_374169"/>
      <w:bookmarkEnd w:id="7805"/>
      <w:r>
        <w:rPr>
          <w:rFonts w:hint="cs"/>
          <w:rtl/>
        </w:rPr>
        <w:t xml:space="preserve">לציבור – </w:t>
      </w:r>
      <w:bookmarkStart w:id="7806" w:name="_ETM_Q9_375110"/>
      <w:bookmarkEnd w:id="7806"/>
      <w:r>
        <w:rPr>
          <w:rFonts w:hint="cs"/>
          <w:rtl/>
        </w:rPr>
        <w:t xml:space="preserve">אנחנו </w:t>
      </w:r>
      <w:bookmarkStart w:id="7807" w:name="_ETM_Q9_375650"/>
      <w:bookmarkEnd w:id="7807"/>
      <w:r>
        <w:rPr>
          <w:rFonts w:hint="cs"/>
          <w:rtl/>
        </w:rPr>
        <w:t xml:space="preserve">הדין, </w:t>
      </w:r>
      <w:bookmarkStart w:id="7808" w:name="_ETM_Q9_376620"/>
      <w:bookmarkEnd w:id="7808"/>
      <w:r>
        <w:rPr>
          <w:rFonts w:hint="cs"/>
          <w:rtl/>
        </w:rPr>
        <w:t xml:space="preserve">אנחנו </w:t>
      </w:r>
      <w:bookmarkStart w:id="7809" w:name="_ETM_Q9_377130"/>
      <w:bookmarkEnd w:id="7809"/>
      <w:r>
        <w:rPr>
          <w:rFonts w:hint="cs"/>
          <w:rtl/>
        </w:rPr>
        <w:t xml:space="preserve">הדיין, </w:t>
      </w:r>
      <w:bookmarkStart w:id="7810" w:name="_ETM_Q9_378389"/>
      <w:bookmarkEnd w:id="7810"/>
      <w:r>
        <w:rPr>
          <w:rFonts w:hint="cs"/>
          <w:rtl/>
        </w:rPr>
        <w:t xml:space="preserve">אנחנו </w:t>
      </w:r>
      <w:bookmarkStart w:id="7811" w:name="_ETM_Q9_378870"/>
      <w:bookmarkEnd w:id="7811"/>
      <w:r>
        <w:rPr>
          <w:rFonts w:hint="cs"/>
          <w:rtl/>
        </w:rPr>
        <w:t xml:space="preserve">השופט, </w:t>
      </w:r>
      <w:bookmarkStart w:id="7812" w:name="_ETM_Q9_380239"/>
      <w:bookmarkEnd w:id="7812"/>
      <w:r>
        <w:rPr>
          <w:rFonts w:hint="cs"/>
          <w:rtl/>
        </w:rPr>
        <w:t xml:space="preserve">אנחנו </w:t>
      </w:r>
      <w:bookmarkStart w:id="7813" w:name="_ETM_Q9_380749"/>
      <w:bookmarkEnd w:id="7813"/>
      <w:r>
        <w:rPr>
          <w:rFonts w:hint="cs"/>
          <w:rtl/>
        </w:rPr>
        <w:t xml:space="preserve">התליין, </w:t>
      </w:r>
      <w:bookmarkStart w:id="7814" w:name="_ETM_Q9_381470"/>
      <w:bookmarkStart w:id="7815" w:name="_ETM_Q9_382220"/>
      <w:bookmarkEnd w:id="7814"/>
      <w:bookmarkEnd w:id="7815"/>
      <w:r>
        <w:rPr>
          <w:rFonts w:hint="cs"/>
          <w:rtl/>
        </w:rPr>
        <w:t xml:space="preserve">אנחנו </w:t>
      </w:r>
      <w:bookmarkStart w:id="7816" w:name="_ETM_Q9_383060"/>
      <w:bookmarkEnd w:id="7816"/>
      <w:r>
        <w:rPr>
          <w:rFonts w:hint="cs"/>
          <w:rtl/>
        </w:rPr>
        <w:t xml:space="preserve">המבצע. </w:t>
      </w:r>
      <w:bookmarkStart w:id="7817" w:name="_ETM_Q9_381732"/>
      <w:bookmarkStart w:id="7818" w:name="_ETM_Q9_381791"/>
      <w:bookmarkEnd w:id="7817"/>
      <w:bookmarkEnd w:id="7818"/>
      <w:r>
        <w:rPr>
          <w:rFonts w:hint="cs"/>
          <w:rtl/>
        </w:rPr>
        <w:t xml:space="preserve">כוח, כסף </w:t>
      </w:r>
      <w:bookmarkStart w:id="7819" w:name="_ETM_Q9_387100"/>
      <w:bookmarkEnd w:id="7819"/>
      <w:r>
        <w:rPr>
          <w:rFonts w:hint="cs"/>
          <w:rtl/>
        </w:rPr>
        <w:t xml:space="preserve">וכבוד. </w:t>
      </w:r>
      <w:bookmarkStart w:id="7820" w:name="_ETM_Q9_389550"/>
      <w:bookmarkEnd w:id="7820"/>
    </w:p>
    <w:p w:rsidR="000C5C1F" w:rsidRDefault="000C5C1F" w:rsidP="000C5C1F">
      <w:pPr>
        <w:rPr>
          <w:rtl/>
        </w:rPr>
      </w:pPr>
    </w:p>
    <w:p w:rsidR="000C5C1F" w:rsidRDefault="000C5C1F" w:rsidP="000C5C1F">
      <w:pPr>
        <w:rPr>
          <w:rtl/>
        </w:rPr>
      </w:pPr>
      <w:r>
        <w:rPr>
          <w:rFonts w:hint="cs"/>
          <w:rtl/>
        </w:rPr>
        <w:t>ודי מהר הכול מתחבר לציבור ביחד. הכול מתבהר לתמונה אחת מבהילה</w:t>
      </w:r>
      <w:bookmarkStart w:id="7821" w:name="_ETM_Q9_398670"/>
      <w:bookmarkEnd w:id="7821"/>
      <w:r>
        <w:rPr>
          <w:rFonts w:hint="cs"/>
          <w:rtl/>
        </w:rPr>
        <w:t xml:space="preserve">. כי </w:t>
      </w:r>
      <w:bookmarkStart w:id="7822" w:name="_ETM_Q9_399000"/>
      <w:bookmarkEnd w:id="7822"/>
      <w:r>
        <w:rPr>
          <w:rFonts w:hint="cs"/>
          <w:rtl/>
        </w:rPr>
        <w:t xml:space="preserve">איך </w:t>
      </w:r>
      <w:bookmarkStart w:id="7823" w:name="_ETM_Q9_399239"/>
      <w:bookmarkEnd w:id="7823"/>
      <w:r>
        <w:rPr>
          <w:rFonts w:hint="cs"/>
          <w:rtl/>
        </w:rPr>
        <w:t xml:space="preserve">נוכל </w:t>
      </w:r>
      <w:bookmarkStart w:id="7824" w:name="_ETM_Q9_399750"/>
      <w:bookmarkEnd w:id="7824"/>
      <w:r>
        <w:rPr>
          <w:rFonts w:hint="cs"/>
          <w:rtl/>
        </w:rPr>
        <w:t xml:space="preserve">להבטיח </w:t>
      </w:r>
      <w:bookmarkStart w:id="7825" w:name="_ETM_Q9_401030"/>
      <w:bookmarkEnd w:id="7825"/>
      <w:r>
        <w:rPr>
          <w:rFonts w:hint="cs"/>
          <w:rtl/>
        </w:rPr>
        <w:t xml:space="preserve">שאיש </w:t>
      </w:r>
      <w:bookmarkStart w:id="7826" w:name="_ETM_Q9_401510"/>
      <w:bookmarkEnd w:id="7826"/>
      <w:r>
        <w:rPr>
          <w:rFonts w:hint="cs"/>
          <w:rtl/>
        </w:rPr>
        <w:t xml:space="preserve">שלנו </w:t>
      </w:r>
      <w:bookmarkStart w:id="7827" w:name="_ETM_Q9_402890"/>
      <w:bookmarkEnd w:id="7827"/>
      <w:r>
        <w:rPr>
          <w:rFonts w:hint="cs"/>
          <w:rtl/>
        </w:rPr>
        <w:t xml:space="preserve">יזכה </w:t>
      </w:r>
      <w:bookmarkStart w:id="7828" w:name="_ETM_Q9_403370"/>
      <w:bookmarkEnd w:id="7828"/>
      <w:r>
        <w:rPr>
          <w:rFonts w:hint="cs"/>
          <w:rtl/>
        </w:rPr>
        <w:t xml:space="preserve">בראשות </w:t>
      </w:r>
      <w:bookmarkStart w:id="7829" w:name="_ETM_Q9_403879"/>
      <w:bookmarkEnd w:id="7829"/>
      <w:r>
        <w:rPr>
          <w:rFonts w:hint="cs"/>
          <w:rtl/>
        </w:rPr>
        <w:t xml:space="preserve">העיר </w:t>
      </w:r>
      <w:bookmarkStart w:id="7830" w:name="_ETM_Q9_404150"/>
      <w:bookmarkEnd w:id="7830"/>
      <w:r>
        <w:rPr>
          <w:rFonts w:hint="cs"/>
          <w:rtl/>
        </w:rPr>
        <w:t xml:space="preserve">טבריה </w:t>
      </w:r>
      <w:bookmarkStart w:id="7831" w:name="_ETM_Q9_405330"/>
      <w:bookmarkEnd w:id="7831"/>
      <w:r>
        <w:rPr>
          <w:rFonts w:hint="cs"/>
          <w:rtl/>
        </w:rPr>
        <w:t xml:space="preserve">בלי </w:t>
      </w:r>
      <w:bookmarkStart w:id="7832" w:name="_ETM_Q9_405630"/>
      <w:bookmarkStart w:id="7833" w:name="_ETM_Q9_405840"/>
      <w:bookmarkEnd w:id="7832"/>
      <w:bookmarkEnd w:id="7833"/>
      <w:r>
        <w:rPr>
          <w:rFonts w:hint="cs"/>
          <w:rtl/>
        </w:rPr>
        <w:t xml:space="preserve">שנחוקק את </w:t>
      </w:r>
      <w:bookmarkStart w:id="7834" w:name="_ETM_Q9_406530"/>
      <w:bookmarkEnd w:id="7834"/>
      <w:r>
        <w:rPr>
          <w:rFonts w:hint="cs"/>
          <w:rtl/>
        </w:rPr>
        <w:t xml:space="preserve">חוק </w:t>
      </w:r>
      <w:bookmarkStart w:id="7835" w:name="_ETM_Q9_406800"/>
      <w:bookmarkEnd w:id="7835"/>
      <w:r>
        <w:rPr>
          <w:rFonts w:hint="cs"/>
          <w:rtl/>
        </w:rPr>
        <w:t xml:space="preserve">טבריה </w:t>
      </w:r>
      <w:bookmarkStart w:id="7836" w:name="_ETM_Q9_407250"/>
      <w:bookmarkEnd w:id="7836"/>
      <w:r>
        <w:rPr>
          <w:rFonts w:hint="cs"/>
          <w:rtl/>
        </w:rPr>
        <w:t xml:space="preserve">המושחת, </w:t>
      </w:r>
      <w:bookmarkStart w:id="7837" w:name="_ETM_Q9_408150"/>
      <w:bookmarkEnd w:id="7837"/>
      <w:r>
        <w:rPr>
          <w:rFonts w:hint="cs"/>
          <w:rtl/>
        </w:rPr>
        <w:t xml:space="preserve">ונוודא </w:t>
      </w:r>
      <w:bookmarkStart w:id="7838" w:name="_ETM_Q9_408840"/>
      <w:bookmarkEnd w:id="7838"/>
      <w:r>
        <w:rPr>
          <w:rFonts w:hint="cs"/>
          <w:rtl/>
        </w:rPr>
        <w:t xml:space="preserve">שהוא </w:t>
      </w:r>
      <w:bookmarkStart w:id="7839" w:name="_ETM_Q9_409110"/>
      <w:bookmarkEnd w:id="7839"/>
      <w:r>
        <w:rPr>
          <w:rFonts w:hint="cs"/>
          <w:rtl/>
        </w:rPr>
        <w:t xml:space="preserve">יעמוד </w:t>
      </w:r>
      <w:bookmarkStart w:id="7840" w:name="_ETM_Q9_409650"/>
      <w:bookmarkEnd w:id="7840"/>
      <w:r>
        <w:rPr>
          <w:rFonts w:hint="cs"/>
          <w:rtl/>
        </w:rPr>
        <w:t xml:space="preserve">על </w:t>
      </w:r>
      <w:bookmarkStart w:id="7841" w:name="_ETM_Q9_409770"/>
      <w:bookmarkEnd w:id="7841"/>
      <w:r>
        <w:rPr>
          <w:rFonts w:hint="cs"/>
          <w:rtl/>
        </w:rPr>
        <w:t xml:space="preserve">תילו </w:t>
      </w:r>
      <w:bookmarkStart w:id="7842" w:name="_ETM_Q9_410160"/>
      <w:bookmarkEnd w:id="7842"/>
      <w:r>
        <w:rPr>
          <w:rFonts w:hint="cs"/>
          <w:rtl/>
        </w:rPr>
        <w:t xml:space="preserve">בלי </w:t>
      </w:r>
      <w:bookmarkStart w:id="7843" w:name="_ETM_Q9_410400"/>
      <w:bookmarkEnd w:id="7843"/>
      <w:r>
        <w:rPr>
          <w:rFonts w:hint="cs"/>
          <w:rtl/>
        </w:rPr>
        <w:t xml:space="preserve">שבית </w:t>
      </w:r>
      <w:bookmarkStart w:id="7844" w:name="_ETM_Q9_410819"/>
      <w:bookmarkEnd w:id="7844"/>
      <w:r>
        <w:rPr>
          <w:rFonts w:hint="cs"/>
          <w:rtl/>
        </w:rPr>
        <w:t xml:space="preserve">משפט </w:t>
      </w:r>
      <w:bookmarkStart w:id="7845" w:name="_ETM_Q9_411270"/>
      <w:bookmarkEnd w:id="7845"/>
      <w:r>
        <w:rPr>
          <w:rFonts w:hint="cs"/>
          <w:rtl/>
        </w:rPr>
        <w:t xml:space="preserve">יפסול </w:t>
      </w:r>
      <w:bookmarkStart w:id="7846" w:name="_ETM_Q9_411780"/>
      <w:bookmarkEnd w:id="7846"/>
      <w:r>
        <w:rPr>
          <w:rFonts w:hint="cs"/>
          <w:rtl/>
        </w:rPr>
        <w:t xml:space="preserve">אותו? </w:t>
      </w:r>
      <w:bookmarkStart w:id="7847" w:name="_ETM_Q9_413790"/>
      <w:bookmarkEnd w:id="7847"/>
      <w:r>
        <w:rPr>
          <w:rFonts w:hint="cs"/>
          <w:rtl/>
        </w:rPr>
        <w:t xml:space="preserve">איך </w:t>
      </w:r>
      <w:bookmarkStart w:id="7848" w:name="_ETM_Q9_414210"/>
      <w:bookmarkStart w:id="7849" w:name="_ETM_Q9_415550"/>
      <w:bookmarkEnd w:id="7848"/>
      <w:bookmarkEnd w:id="7849"/>
      <w:r>
        <w:rPr>
          <w:rFonts w:hint="cs"/>
          <w:rtl/>
        </w:rPr>
        <w:t xml:space="preserve">נחוקק </w:t>
      </w:r>
      <w:bookmarkStart w:id="7850" w:name="_ETM_Q9_417370"/>
      <w:bookmarkEnd w:id="7850"/>
      <w:r>
        <w:rPr>
          <w:rFonts w:hint="cs"/>
          <w:rtl/>
        </w:rPr>
        <w:t xml:space="preserve">את </w:t>
      </w:r>
      <w:bookmarkStart w:id="7851" w:name="_ETM_Q9_415790"/>
      <w:bookmarkEnd w:id="7851"/>
      <w:r>
        <w:rPr>
          <w:rFonts w:hint="cs"/>
          <w:rtl/>
        </w:rPr>
        <w:t xml:space="preserve">חוק </w:t>
      </w:r>
      <w:bookmarkStart w:id="7852" w:name="_ETM_Q9_416300"/>
      <w:bookmarkEnd w:id="7852"/>
      <w:r>
        <w:rPr>
          <w:rFonts w:hint="cs"/>
          <w:rtl/>
        </w:rPr>
        <w:t xml:space="preserve">דרעי </w:t>
      </w:r>
      <w:bookmarkStart w:id="7853" w:name="_ETM_Q9_417299"/>
      <w:bookmarkEnd w:id="7853"/>
      <w:r>
        <w:rPr>
          <w:rFonts w:hint="cs"/>
          <w:rtl/>
        </w:rPr>
        <w:t xml:space="preserve">כדי </w:t>
      </w:r>
      <w:bookmarkStart w:id="7854" w:name="_ETM_Q9_417749"/>
      <w:bookmarkEnd w:id="7854"/>
      <w:r>
        <w:rPr>
          <w:rFonts w:hint="cs"/>
          <w:rtl/>
        </w:rPr>
        <w:t xml:space="preserve">שהוא </w:t>
      </w:r>
      <w:bookmarkStart w:id="7855" w:name="_ETM_Q9_418019"/>
      <w:bookmarkEnd w:id="7855"/>
      <w:r>
        <w:rPr>
          <w:rFonts w:hint="cs"/>
          <w:rtl/>
        </w:rPr>
        <w:t xml:space="preserve">יחזור </w:t>
      </w:r>
      <w:bookmarkStart w:id="7856" w:name="_ETM_Q9_418469"/>
      <w:bookmarkEnd w:id="7856"/>
      <w:r>
        <w:rPr>
          <w:rFonts w:hint="cs"/>
          <w:rtl/>
        </w:rPr>
        <w:t>לממשלה</w:t>
      </w:r>
      <w:bookmarkStart w:id="7857" w:name="_ETM_Q9_420010"/>
      <w:bookmarkStart w:id="7858" w:name="_ETM_Q9_420489"/>
      <w:bookmarkEnd w:id="7857"/>
      <w:bookmarkEnd w:id="7858"/>
      <w:r>
        <w:rPr>
          <w:rFonts w:hint="cs"/>
          <w:rtl/>
        </w:rPr>
        <w:t xml:space="preserve"> בלי </w:t>
      </w:r>
      <w:bookmarkStart w:id="7859" w:name="_ETM_Q9_420790"/>
      <w:bookmarkEnd w:id="7859"/>
      <w:r>
        <w:rPr>
          <w:rFonts w:hint="cs"/>
          <w:rtl/>
        </w:rPr>
        <w:t xml:space="preserve">לקרוא </w:t>
      </w:r>
      <w:bookmarkStart w:id="7860" w:name="_ETM_Q9_421269"/>
      <w:bookmarkEnd w:id="7860"/>
      <w:r>
        <w:rPr>
          <w:rFonts w:hint="cs"/>
          <w:rtl/>
        </w:rPr>
        <w:t xml:space="preserve">לזה </w:t>
      </w:r>
      <w:bookmarkStart w:id="7861" w:name="_ETM_Q9_421959"/>
      <w:bookmarkEnd w:id="7861"/>
      <w:r>
        <w:rPr>
          <w:rFonts w:hint="cs"/>
          <w:rtl/>
        </w:rPr>
        <w:t>"חוק</w:t>
      </w:r>
      <w:bookmarkStart w:id="7862" w:name="_ETM_Q9_422379"/>
      <w:bookmarkEnd w:id="7862"/>
      <w:r>
        <w:rPr>
          <w:rFonts w:hint="cs"/>
          <w:rtl/>
        </w:rPr>
        <w:t xml:space="preserve">-יסוד"? </w:t>
      </w:r>
      <w:bookmarkStart w:id="7863" w:name="_ETM_Q9_423589"/>
      <w:bookmarkEnd w:id="7863"/>
      <w:r>
        <w:rPr>
          <w:rFonts w:hint="cs"/>
          <w:rtl/>
        </w:rPr>
        <w:t xml:space="preserve">כי </w:t>
      </w:r>
      <w:bookmarkStart w:id="7864" w:name="_ETM_Q9_424099"/>
      <w:bookmarkEnd w:id="7864"/>
      <w:r>
        <w:rPr>
          <w:rFonts w:hint="cs"/>
          <w:rtl/>
        </w:rPr>
        <w:t xml:space="preserve">רק </w:t>
      </w:r>
      <w:bookmarkStart w:id="7865" w:name="_ETM_Q9_424459"/>
      <w:bookmarkEnd w:id="7865"/>
      <w:r>
        <w:rPr>
          <w:rFonts w:hint="cs"/>
          <w:rtl/>
        </w:rPr>
        <w:t xml:space="preserve">אם </w:t>
      </w:r>
      <w:bookmarkStart w:id="7866" w:name="_ETM_Q9_424609"/>
      <w:bookmarkEnd w:id="7866"/>
      <w:r>
        <w:rPr>
          <w:rFonts w:hint="cs"/>
          <w:rtl/>
        </w:rPr>
        <w:t xml:space="preserve">נקרא </w:t>
      </w:r>
      <w:bookmarkStart w:id="7867" w:name="_ETM_Q9_424879"/>
      <w:bookmarkEnd w:id="7867"/>
      <w:r>
        <w:rPr>
          <w:rFonts w:hint="cs"/>
          <w:rtl/>
        </w:rPr>
        <w:t xml:space="preserve">לו </w:t>
      </w:r>
      <w:bookmarkStart w:id="7868" w:name="_ETM_Q9_424999"/>
      <w:bookmarkEnd w:id="7868"/>
      <w:r>
        <w:rPr>
          <w:rFonts w:hint="cs"/>
          <w:rtl/>
        </w:rPr>
        <w:t>"חוק</w:t>
      </w:r>
      <w:bookmarkStart w:id="7869" w:name="_ETM_Q9_425239"/>
      <w:bookmarkEnd w:id="7869"/>
      <w:r>
        <w:rPr>
          <w:rFonts w:hint="cs"/>
          <w:rtl/>
        </w:rPr>
        <w:t xml:space="preserve">-יסוד", </w:t>
      </w:r>
      <w:bookmarkStart w:id="7870" w:name="_ETM_Q9_425659"/>
      <w:bookmarkEnd w:id="7870"/>
      <w:r>
        <w:rPr>
          <w:rFonts w:hint="cs"/>
          <w:rtl/>
        </w:rPr>
        <w:t xml:space="preserve">ואם </w:t>
      </w:r>
      <w:bookmarkStart w:id="7871" w:name="_ETM_Q9_425869"/>
      <w:bookmarkEnd w:id="7871"/>
      <w:r>
        <w:rPr>
          <w:rFonts w:hint="cs"/>
          <w:rtl/>
        </w:rPr>
        <w:t xml:space="preserve">אנחנו </w:t>
      </w:r>
      <w:bookmarkStart w:id="7872" w:name="_ETM_Q9_426199"/>
      <w:bookmarkEnd w:id="7872"/>
      <w:r>
        <w:rPr>
          <w:rFonts w:hint="cs"/>
          <w:rtl/>
        </w:rPr>
        <w:t xml:space="preserve">נקבע </w:t>
      </w:r>
      <w:bookmarkStart w:id="7873" w:name="_ETM_Q9_426589"/>
      <w:bookmarkEnd w:id="7873"/>
      <w:r>
        <w:rPr>
          <w:rFonts w:hint="cs"/>
          <w:rtl/>
        </w:rPr>
        <w:t xml:space="preserve">שכל </w:t>
      </w:r>
      <w:bookmarkStart w:id="7874" w:name="_ETM_Q9_426979"/>
      <w:bookmarkEnd w:id="7874"/>
      <w:r>
        <w:rPr>
          <w:rFonts w:hint="cs"/>
          <w:rtl/>
        </w:rPr>
        <w:t xml:space="preserve">חוק </w:t>
      </w:r>
      <w:bookmarkStart w:id="7875" w:name="_ETM_Q9_427249"/>
      <w:bookmarkEnd w:id="7875"/>
      <w:r>
        <w:rPr>
          <w:rFonts w:hint="cs"/>
          <w:rtl/>
        </w:rPr>
        <w:t xml:space="preserve">שנקרא </w:t>
      </w:r>
      <w:bookmarkStart w:id="7876" w:name="_ETM_Q9_427790"/>
      <w:bookmarkEnd w:id="7876"/>
      <w:r>
        <w:rPr>
          <w:rFonts w:hint="cs"/>
          <w:rtl/>
        </w:rPr>
        <w:t>חוק</w:t>
      </w:r>
      <w:bookmarkStart w:id="7877" w:name="_ETM_Q9_427999"/>
      <w:bookmarkEnd w:id="7877"/>
      <w:r>
        <w:rPr>
          <w:rFonts w:hint="cs"/>
          <w:rtl/>
        </w:rPr>
        <w:t xml:space="preserve">-יסוד הוא </w:t>
      </w:r>
      <w:bookmarkStart w:id="7878" w:name="_ETM_Q9_428329"/>
      <w:bookmarkEnd w:id="7878"/>
      <w:r>
        <w:rPr>
          <w:rFonts w:hint="cs"/>
          <w:rtl/>
        </w:rPr>
        <w:t xml:space="preserve">מחוסן, </w:t>
      </w:r>
      <w:bookmarkStart w:id="7879" w:name="_ETM_Q9_429340"/>
      <w:bookmarkEnd w:id="7879"/>
      <w:r>
        <w:rPr>
          <w:rFonts w:hint="cs"/>
          <w:rtl/>
        </w:rPr>
        <w:t xml:space="preserve">נוכל </w:t>
      </w:r>
      <w:bookmarkStart w:id="7880" w:name="_ETM_Q9_429790"/>
      <w:bookmarkEnd w:id="7880"/>
      <w:r>
        <w:rPr>
          <w:rFonts w:hint="cs"/>
          <w:rtl/>
        </w:rPr>
        <w:t xml:space="preserve">לעשות </w:t>
      </w:r>
      <w:bookmarkStart w:id="7881" w:name="_ETM_Q9_430269"/>
      <w:bookmarkEnd w:id="7881"/>
      <w:r>
        <w:rPr>
          <w:rFonts w:hint="cs"/>
          <w:rtl/>
        </w:rPr>
        <w:t xml:space="preserve">את </w:t>
      </w:r>
      <w:bookmarkStart w:id="7882" w:name="_ETM_Q9_430390"/>
      <w:bookmarkEnd w:id="7882"/>
      <w:r>
        <w:rPr>
          <w:rFonts w:hint="cs"/>
          <w:rtl/>
        </w:rPr>
        <w:t xml:space="preserve">זה. </w:t>
      </w:r>
      <w:bookmarkStart w:id="7883" w:name="_ETM_Q9_432000"/>
      <w:bookmarkStart w:id="7884" w:name="_ETM_Q9_421172"/>
      <w:bookmarkStart w:id="7885" w:name="_ETM_Q9_421247"/>
      <w:bookmarkEnd w:id="7883"/>
      <w:bookmarkEnd w:id="7884"/>
      <w:bookmarkEnd w:id="7885"/>
      <w:r>
        <w:rPr>
          <w:rFonts w:hint="cs"/>
          <w:rtl/>
        </w:rPr>
        <w:t xml:space="preserve">איך </w:t>
      </w:r>
      <w:bookmarkStart w:id="7886" w:name="_ETM_Q9_432270"/>
      <w:bookmarkEnd w:id="7886"/>
      <w:r>
        <w:rPr>
          <w:rFonts w:hint="cs"/>
          <w:rtl/>
        </w:rPr>
        <w:t xml:space="preserve">נוכל </w:t>
      </w:r>
      <w:bookmarkStart w:id="7887" w:name="_ETM_Q9_432790"/>
      <w:bookmarkEnd w:id="7887"/>
      <w:r>
        <w:rPr>
          <w:rFonts w:hint="cs"/>
          <w:rtl/>
        </w:rPr>
        <w:t xml:space="preserve">לפרק </w:t>
      </w:r>
      <w:bookmarkStart w:id="7888" w:name="_ETM_Q9_433120"/>
      <w:bookmarkEnd w:id="7888"/>
      <w:r>
        <w:rPr>
          <w:rFonts w:hint="cs"/>
          <w:rtl/>
        </w:rPr>
        <w:t xml:space="preserve">את </w:t>
      </w:r>
      <w:bookmarkStart w:id="7889" w:name="_ETM_Q9_433269"/>
      <w:bookmarkEnd w:id="7889"/>
      <w:r>
        <w:rPr>
          <w:rFonts w:hint="cs"/>
          <w:rtl/>
        </w:rPr>
        <w:t xml:space="preserve">לשכת </w:t>
      </w:r>
      <w:bookmarkStart w:id="7890" w:name="_ETM_Q9_433719"/>
      <w:bookmarkEnd w:id="7890"/>
      <w:r>
        <w:rPr>
          <w:rFonts w:hint="cs"/>
          <w:rtl/>
        </w:rPr>
        <w:t xml:space="preserve">עורכי הדין – </w:t>
      </w:r>
      <w:bookmarkStart w:id="7891" w:name="_ETM_Q9_434739"/>
      <w:bookmarkEnd w:id="7891"/>
      <w:r>
        <w:rPr>
          <w:rFonts w:hint="cs"/>
          <w:rtl/>
        </w:rPr>
        <w:t xml:space="preserve">אחרי </w:t>
      </w:r>
      <w:bookmarkStart w:id="7892" w:name="_ETM_Q9_435010"/>
      <w:bookmarkEnd w:id="7892"/>
      <w:r>
        <w:rPr>
          <w:rFonts w:hint="cs"/>
          <w:rtl/>
        </w:rPr>
        <w:t xml:space="preserve">שעשרות </w:t>
      </w:r>
      <w:bookmarkStart w:id="7893" w:name="_ETM_Q9_435790"/>
      <w:bookmarkEnd w:id="7893"/>
      <w:r>
        <w:rPr>
          <w:rFonts w:hint="cs"/>
          <w:rtl/>
        </w:rPr>
        <w:t xml:space="preserve">אלפי </w:t>
      </w:r>
      <w:bookmarkStart w:id="7894" w:name="_ETM_Q9_436210"/>
      <w:bookmarkStart w:id="7895" w:name="_ETM_Q9_437320"/>
      <w:bookmarkEnd w:id="7894"/>
      <w:bookmarkEnd w:id="7895"/>
      <w:r>
        <w:rPr>
          <w:rFonts w:hint="cs"/>
          <w:rtl/>
        </w:rPr>
        <w:t xml:space="preserve">עורכי דין עמדו </w:t>
      </w:r>
      <w:bookmarkStart w:id="7896" w:name="_ETM_Q9_437740"/>
      <w:bookmarkEnd w:id="7896"/>
      <w:r>
        <w:rPr>
          <w:rFonts w:hint="cs"/>
          <w:rtl/>
        </w:rPr>
        <w:t xml:space="preserve">בשמש </w:t>
      </w:r>
      <w:bookmarkStart w:id="7897" w:name="_ETM_Q9_438339"/>
      <w:bookmarkEnd w:id="7897"/>
      <w:r>
        <w:rPr>
          <w:rFonts w:hint="cs"/>
          <w:rtl/>
        </w:rPr>
        <w:t xml:space="preserve">יום </w:t>
      </w:r>
      <w:bookmarkStart w:id="7898" w:name="_ETM_Q9_438610"/>
      <w:bookmarkEnd w:id="7898"/>
      <w:r>
        <w:rPr>
          <w:rFonts w:hint="cs"/>
          <w:rtl/>
        </w:rPr>
        <w:t xml:space="preserve">שלם </w:t>
      </w:r>
      <w:bookmarkStart w:id="7899" w:name="_ETM_Q9_439550"/>
      <w:bookmarkEnd w:id="7899"/>
      <w:r>
        <w:rPr>
          <w:rFonts w:hint="cs"/>
          <w:rtl/>
        </w:rPr>
        <w:t xml:space="preserve">והתוצאה </w:t>
      </w:r>
      <w:bookmarkStart w:id="7900" w:name="_ETM_Q9_440539"/>
      <w:bookmarkEnd w:id="7900"/>
      <w:r>
        <w:rPr>
          <w:rFonts w:hint="cs"/>
          <w:rtl/>
        </w:rPr>
        <w:t xml:space="preserve">לא </w:t>
      </w:r>
      <w:bookmarkStart w:id="7901" w:name="_ETM_Q9_440779"/>
      <w:bookmarkEnd w:id="7901"/>
      <w:r>
        <w:rPr>
          <w:rFonts w:hint="cs"/>
          <w:rtl/>
        </w:rPr>
        <w:t xml:space="preserve">לרוחנו – </w:t>
      </w:r>
      <w:bookmarkStart w:id="7902" w:name="_ETM_Q9_441409"/>
      <w:bookmarkEnd w:id="7902"/>
      <w:r>
        <w:rPr>
          <w:rFonts w:hint="cs"/>
          <w:rtl/>
        </w:rPr>
        <w:t xml:space="preserve">בלי </w:t>
      </w:r>
      <w:bookmarkStart w:id="7903" w:name="_ETM_Q9_441620"/>
      <w:bookmarkEnd w:id="7903"/>
      <w:r>
        <w:rPr>
          <w:rFonts w:hint="cs"/>
          <w:rtl/>
        </w:rPr>
        <w:t xml:space="preserve">שבית </w:t>
      </w:r>
      <w:bookmarkStart w:id="7904" w:name="_ETM_Q9_442009"/>
      <w:bookmarkEnd w:id="7904"/>
      <w:r>
        <w:rPr>
          <w:rFonts w:hint="cs"/>
          <w:rtl/>
        </w:rPr>
        <w:t xml:space="preserve">משפט </w:t>
      </w:r>
      <w:bookmarkStart w:id="7905" w:name="_ETM_Q9_442490"/>
      <w:bookmarkEnd w:id="7905"/>
      <w:r>
        <w:rPr>
          <w:rFonts w:hint="cs"/>
          <w:rtl/>
        </w:rPr>
        <w:t xml:space="preserve">יתערב? </w:t>
      </w:r>
      <w:bookmarkStart w:id="7906" w:name="_ETM_Q9_444380"/>
      <w:bookmarkEnd w:id="7906"/>
      <w:r>
        <w:rPr>
          <w:rFonts w:hint="cs"/>
          <w:rtl/>
        </w:rPr>
        <w:t xml:space="preserve">איך </w:t>
      </w:r>
      <w:bookmarkStart w:id="7907" w:name="_ETM_Q9_444560"/>
      <w:bookmarkEnd w:id="7907"/>
      <w:r>
        <w:rPr>
          <w:rFonts w:hint="cs"/>
          <w:rtl/>
        </w:rPr>
        <w:t xml:space="preserve">נוכל </w:t>
      </w:r>
      <w:bookmarkStart w:id="7908" w:name="_ETM_Q9_444919"/>
      <w:bookmarkEnd w:id="7908"/>
      <w:r>
        <w:rPr>
          <w:rFonts w:hint="cs"/>
          <w:rtl/>
        </w:rPr>
        <w:t xml:space="preserve">לחלק </w:t>
      </w:r>
      <w:bookmarkStart w:id="7909" w:name="_ETM_Q9_445370"/>
      <w:bookmarkEnd w:id="7909"/>
      <w:r>
        <w:rPr>
          <w:rFonts w:hint="cs"/>
          <w:rtl/>
        </w:rPr>
        <w:t xml:space="preserve">מיליארדים, לבזוז </w:t>
      </w:r>
      <w:bookmarkStart w:id="7910" w:name="_ETM_Q9_446660"/>
      <w:bookmarkEnd w:id="7910"/>
      <w:r>
        <w:rPr>
          <w:rFonts w:hint="cs"/>
          <w:rtl/>
        </w:rPr>
        <w:t xml:space="preserve">מכספי </w:t>
      </w:r>
      <w:bookmarkStart w:id="7911" w:name="_ETM_Q9_447169"/>
      <w:bookmarkEnd w:id="7911"/>
      <w:r>
        <w:rPr>
          <w:rFonts w:hint="cs"/>
          <w:rtl/>
        </w:rPr>
        <w:t xml:space="preserve">המיסים </w:t>
      </w:r>
      <w:bookmarkStart w:id="7912" w:name="_ETM_Q9_447919"/>
      <w:bookmarkEnd w:id="7912"/>
      <w:r>
        <w:rPr>
          <w:rFonts w:hint="cs"/>
          <w:rtl/>
        </w:rPr>
        <w:t xml:space="preserve">שלנו, רק </w:t>
      </w:r>
      <w:bookmarkStart w:id="7913" w:name="_ETM_Q9_449110"/>
      <w:bookmarkEnd w:id="7913"/>
      <w:r>
        <w:rPr>
          <w:rFonts w:hint="cs"/>
          <w:rtl/>
        </w:rPr>
        <w:t xml:space="preserve">לבוחרי </w:t>
      </w:r>
      <w:bookmarkStart w:id="7914" w:name="_ETM_Q9_449710"/>
      <w:bookmarkEnd w:id="7914"/>
      <w:r>
        <w:rPr>
          <w:rFonts w:hint="cs"/>
          <w:rtl/>
        </w:rPr>
        <w:t xml:space="preserve">ש"ס, </w:t>
      </w:r>
      <w:bookmarkStart w:id="7915" w:name="_ETM_Q9_450040"/>
      <w:bookmarkEnd w:id="7915"/>
      <w:r>
        <w:rPr>
          <w:rFonts w:hint="cs"/>
          <w:rtl/>
        </w:rPr>
        <w:t xml:space="preserve">ולקרוא </w:t>
      </w:r>
      <w:bookmarkStart w:id="7916" w:name="_ETM_Q9_450490"/>
      <w:bookmarkEnd w:id="7916"/>
      <w:r>
        <w:rPr>
          <w:rFonts w:hint="cs"/>
          <w:rtl/>
        </w:rPr>
        <w:t xml:space="preserve">להם </w:t>
      </w:r>
      <w:bookmarkStart w:id="7917" w:name="_ETM_Q9_450730"/>
      <w:bookmarkEnd w:id="7917"/>
      <w:r>
        <w:rPr>
          <w:rFonts w:hint="cs"/>
          <w:rtl/>
        </w:rPr>
        <w:t xml:space="preserve">תלושי </w:t>
      </w:r>
      <w:bookmarkStart w:id="7918" w:name="_ETM_Q9_451240"/>
      <w:bookmarkEnd w:id="7918"/>
      <w:r>
        <w:rPr>
          <w:rFonts w:hint="cs"/>
          <w:rtl/>
        </w:rPr>
        <w:t xml:space="preserve">מזון, </w:t>
      </w:r>
      <w:bookmarkStart w:id="7919" w:name="_ETM_Q9_452310"/>
      <w:bookmarkEnd w:id="7919"/>
      <w:r>
        <w:rPr>
          <w:rFonts w:hint="cs"/>
          <w:rtl/>
        </w:rPr>
        <w:t xml:space="preserve">בלי </w:t>
      </w:r>
      <w:bookmarkStart w:id="7920" w:name="_ETM_Q9_452610"/>
      <w:bookmarkEnd w:id="7920"/>
      <w:r>
        <w:rPr>
          <w:rFonts w:hint="cs"/>
          <w:rtl/>
        </w:rPr>
        <w:t xml:space="preserve">שהפקידים </w:t>
      </w:r>
      <w:bookmarkStart w:id="7921" w:name="_ETM_Q9_453360"/>
      <w:bookmarkEnd w:id="7921"/>
      <w:r>
        <w:rPr>
          <w:rFonts w:hint="cs"/>
          <w:rtl/>
        </w:rPr>
        <w:t xml:space="preserve">יתערבו </w:t>
      </w:r>
      <w:bookmarkStart w:id="7922" w:name="_ETM_Q9_453900"/>
      <w:bookmarkEnd w:id="7922"/>
      <w:r>
        <w:rPr>
          <w:rFonts w:hint="cs"/>
          <w:rtl/>
        </w:rPr>
        <w:t xml:space="preserve">לנו? </w:t>
      </w:r>
      <w:bookmarkStart w:id="7923" w:name="_ETM_Q9_455430"/>
      <w:bookmarkEnd w:id="7923"/>
      <w:r>
        <w:rPr>
          <w:rFonts w:hint="cs"/>
          <w:rtl/>
        </w:rPr>
        <w:t xml:space="preserve">איך נוכל </w:t>
      </w:r>
      <w:bookmarkStart w:id="7924" w:name="_ETM_Q9_456110"/>
      <w:bookmarkEnd w:id="7924"/>
      <w:r>
        <w:rPr>
          <w:rFonts w:hint="cs"/>
          <w:rtl/>
        </w:rPr>
        <w:t xml:space="preserve">לפטר </w:t>
      </w:r>
      <w:bookmarkStart w:id="7925" w:name="_ETM_Q9_456830"/>
      <w:bookmarkEnd w:id="7925"/>
      <w:r>
        <w:rPr>
          <w:rFonts w:hint="cs"/>
          <w:rtl/>
        </w:rPr>
        <w:t xml:space="preserve">את </w:t>
      </w:r>
      <w:bookmarkStart w:id="7926" w:name="_ETM_Q9_457010"/>
      <w:bookmarkEnd w:id="7926"/>
      <w:r>
        <w:rPr>
          <w:rFonts w:hint="cs"/>
          <w:rtl/>
        </w:rPr>
        <w:t xml:space="preserve">היועצת </w:t>
      </w:r>
      <w:bookmarkStart w:id="7927" w:name="_ETM_Q9_457490"/>
      <w:bookmarkEnd w:id="7927"/>
      <w:r>
        <w:rPr>
          <w:rFonts w:hint="cs"/>
          <w:rtl/>
        </w:rPr>
        <w:t xml:space="preserve">המשפטית </w:t>
      </w:r>
      <w:bookmarkStart w:id="7928" w:name="_ETM_Q9_458539"/>
      <w:bookmarkEnd w:id="7928"/>
      <w:r>
        <w:rPr>
          <w:rFonts w:hint="cs"/>
          <w:rtl/>
        </w:rPr>
        <w:t xml:space="preserve">כדי </w:t>
      </w:r>
      <w:bookmarkStart w:id="7929" w:name="_ETM_Q9_458870"/>
      <w:bookmarkEnd w:id="7929"/>
      <w:r>
        <w:rPr>
          <w:rFonts w:hint="cs"/>
          <w:rtl/>
        </w:rPr>
        <w:t xml:space="preserve">שראש </w:t>
      </w:r>
      <w:bookmarkStart w:id="7930" w:name="_ETM_Q9_459499"/>
      <w:bookmarkEnd w:id="7930"/>
      <w:r>
        <w:rPr>
          <w:rFonts w:hint="cs"/>
          <w:rtl/>
        </w:rPr>
        <w:t xml:space="preserve">הממשלה </w:t>
      </w:r>
      <w:bookmarkStart w:id="7931" w:name="_ETM_Q9_460159"/>
      <w:bookmarkEnd w:id="7931"/>
      <w:r>
        <w:rPr>
          <w:rFonts w:hint="cs"/>
          <w:rtl/>
        </w:rPr>
        <w:t xml:space="preserve">יסגור </w:t>
      </w:r>
      <w:bookmarkStart w:id="7932" w:name="_ETM_Q9_460580"/>
      <w:bookmarkEnd w:id="7932"/>
      <w:r>
        <w:rPr>
          <w:rFonts w:hint="cs"/>
          <w:rtl/>
        </w:rPr>
        <w:t xml:space="preserve">עסקת </w:t>
      </w:r>
      <w:bookmarkStart w:id="7933" w:name="_ETM_Q9_460999"/>
      <w:bookmarkEnd w:id="7933"/>
      <w:r>
        <w:rPr>
          <w:rFonts w:hint="cs"/>
          <w:rtl/>
        </w:rPr>
        <w:t xml:space="preserve">טיעון </w:t>
      </w:r>
      <w:bookmarkStart w:id="7934" w:name="_ETM_Q9_461300"/>
      <w:bookmarkEnd w:id="7934"/>
      <w:r>
        <w:rPr>
          <w:rFonts w:hint="cs"/>
          <w:rtl/>
        </w:rPr>
        <w:t xml:space="preserve">בלי </w:t>
      </w:r>
      <w:bookmarkStart w:id="7935" w:name="_ETM_Q9_461479"/>
      <w:bookmarkEnd w:id="7935"/>
      <w:r>
        <w:rPr>
          <w:rFonts w:hint="cs"/>
          <w:rtl/>
        </w:rPr>
        <w:t xml:space="preserve">שיעצרו </w:t>
      </w:r>
      <w:bookmarkStart w:id="7936" w:name="_ETM_Q9_462349"/>
      <w:bookmarkEnd w:id="7936"/>
      <w:r>
        <w:rPr>
          <w:rFonts w:hint="cs"/>
          <w:rtl/>
        </w:rPr>
        <w:t xml:space="preserve">אותנו? איך </w:t>
      </w:r>
      <w:bookmarkStart w:id="7937" w:name="_ETM_Q9_464120"/>
      <w:bookmarkEnd w:id="7937"/>
      <w:r>
        <w:rPr>
          <w:rFonts w:hint="cs"/>
          <w:rtl/>
        </w:rPr>
        <w:t xml:space="preserve">נוכל </w:t>
      </w:r>
      <w:bookmarkStart w:id="7938" w:name="_ETM_Q9_464599"/>
      <w:bookmarkEnd w:id="7938"/>
      <w:r>
        <w:rPr>
          <w:rFonts w:hint="cs"/>
          <w:rtl/>
        </w:rPr>
        <w:t xml:space="preserve">שלא </w:t>
      </w:r>
      <w:bookmarkStart w:id="7939" w:name="_ETM_Q9_464990"/>
      <w:bookmarkEnd w:id="7939"/>
      <w:r>
        <w:rPr>
          <w:rFonts w:hint="cs"/>
          <w:rtl/>
        </w:rPr>
        <w:t xml:space="preserve">לכנס </w:t>
      </w:r>
      <w:bookmarkStart w:id="7940" w:name="_ETM_Q9_465439"/>
      <w:bookmarkEnd w:id="7940"/>
      <w:r>
        <w:rPr>
          <w:rFonts w:hint="cs"/>
          <w:rtl/>
        </w:rPr>
        <w:t xml:space="preserve">ועדה </w:t>
      </w:r>
      <w:bookmarkStart w:id="7941" w:name="_ETM_Q9_465979"/>
      <w:bookmarkEnd w:id="7941"/>
      <w:r>
        <w:rPr>
          <w:rFonts w:hint="cs"/>
          <w:rtl/>
        </w:rPr>
        <w:t xml:space="preserve">שתפריע </w:t>
      </w:r>
      <w:bookmarkStart w:id="7942" w:name="_ETM_Q9_466909"/>
      <w:bookmarkEnd w:id="7942"/>
      <w:r>
        <w:rPr>
          <w:rFonts w:hint="cs"/>
          <w:rtl/>
        </w:rPr>
        <w:t xml:space="preserve">לנו </w:t>
      </w:r>
      <w:bookmarkStart w:id="7943" w:name="_ETM_Q9_467180"/>
      <w:bookmarkEnd w:id="7943"/>
      <w:r>
        <w:rPr>
          <w:rFonts w:hint="cs"/>
          <w:rtl/>
        </w:rPr>
        <w:t xml:space="preserve">לעבוד, </w:t>
      </w:r>
      <w:bookmarkStart w:id="7944" w:name="_ETM_Q9_468289"/>
      <w:bookmarkEnd w:id="7944"/>
      <w:r>
        <w:rPr>
          <w:rFonts w:hint="cs"/>
          <w:rtl/>
        </w:rPr>
        <w:t xml:space="preserve">או </w:t>
      </w:r>
      <w:bookmarkStart w:id="7945" w:name="_ETM_Q9_468409"/>
      <w:bookmarkEnd w:id="7945"/>
      <w:r>
        <w:rPr>
          <w:rFonts w:hint="cs"/>
          <w:rtl/>
        </w:rPr>
        <w:t xml:space="preserve">לא </w:t>
      </w:r>
      <w:bookmarkStart w:id="7946" w:name="_ETM_Q9_468589"/>
      <w:bookmarkEnd w:id="7946"/>
      <w:r>
        <w:rPr>
          <w:rFonts w:hint="cs"/>
          <w:rtl/>
        </w:rPr>
        <w:t xml:space="preserve">לכנס </w:t>
      </w:r>
      <w:bookmarkStart w:id="7947" w:name="_ETM_Q9_469039"/>
      <w:bookmarkEnd w:id="7947"/>
      <w:r>
        <w:rPr>
          <w:rFonts w:hint="cs"/>
          <w:rtl/>
        </w:rPr>
        <w:t xml:space="preserve">את </w:t>
      </w:r>
      <w:bookmarkStart w:id="7948" w:name="_ETM_Q9_469219"/>
      <w:bookmarkEnd w:id="7948"/>
      <w:r>
        <w:rPr>
          <w:rFonts w:hint="cs"/>
          <w:rtl/>
        </w:rPr>
        <w:t xml:space="preserve">הוועדה </w:t>
      </w:r>
      <w:bookmarkStart w:id="7949" w:name="_ETM_Q9_469669"/>
      <w:bookmarkEnd w:id="7949"/>
      <w:r>
        <w:rPr>
          <w:rFonts w:hint="cs"/>
          <w:rtl/>
        </w:rPr>
        <w:t xml:space="preserve">לבחירת </w:t>
      </w:r>
      <w:bookmarkStart w:id="7950" w:name="_ETM_Q9_470150"/>
      <w:bookmarkEnd w:id="7950"/>
      <w:r>
        <w:rPr>
          <w:rFonts w:hint="cs"/>
          <w:rtl/>
        </w:rPr>
        <w:t xml:space="preserve">שופטים, </w:t>
      </w:r>
      <w:bookmarkStart w:id="7951" w:name="_ETM_Q9_474689"/>
      <w:bookmarkEnd w:id="7951"/>
      <w:r>
        <w:rPr>
          <w:rFonts w:hint="cs"/>
          <w:rtl/>
        </w:rPr>
        <w:t xml:space="preserve">סתם </w:t>
      </w:r>
      <w:bookmarkStart w:id="7952" w:name="_ETM_Q9_471249"/>
      <w:bookmarkEnd w:id="7952"/>
      <w:r>
        <w:rPr>
          <w:rFonts w:hint="cs"/>
          <w:rtl/>
        </w:rPr>
        <w:t xml:space="preserve">כי </w:t>
      </w:r>
      <w:bookmarkStart w:id="7953" w:name="_ETM_Q9_471430"/>
      <w:bookmarkEnd w:id="7953"/>
      <w:r>
        <w:rPr>
          <w:rFonts w:hint="cs"/>
          <w:rtl/>
        </w:rPr>
        <w:t xml:space="preserve">בא </w:t>
      </w:r>
      <w:bookmarkStart w:id="7954" w:name="_ETM_Q9_471639"/>
      <w:bookmarkEnd w:id="7954"/>
      <w:r>
        <w:rPr>
          <w:rFonts w:hint="cs"/>
          <w:rtl/>
        </w:rPr>
        <w:t xml:space="preserve">לנו </w:t>
      </w:r>
      <w:bookmarkStart w:id="7955" w:name="_ETM_Q9_471939"/>
      <w:bookmarkEnd w:id="7955"/>
      <w:r>
        <w:rPr>
          <w:rFonts w:hint="cs"/>
          <w:rtl/>
        </w:rPr>
        <w:t xml:space="preserve">ככה </w:t>
      </w:r>
      <w:bookmarkStart w:id="7956" w:name="_ETM_Q9_472240"/>
      <w:bookmarkEnd w:id="7956"/>
      <w:r>
        <w:rPr>
          <w:rFonts w:hint="cs"/>
          <w:rtl/>
        </w:rPr>
        <w:t xml:space="preserve">שנתיים, </w:t>
      </w:r>
      <w:bookmarkStart w:id="7957" w:name="_ETM_Q9_473229"/>
      <w:bookmarkEnd w:id="7957"/>
      <w:r>
        <w:rPr>
          <w:rFonts w:hint="cs"/>
          <w:rtl/>
        </w:rPr>
        <w:t xml:space="preserve">בלי </w:t>
      </w:r>
      <w:bookmarkStart w:id="7958" w:name="_ETM_Q9_473499"/>
      <w:bookmarkEnd w:id="7958"/>
      <w:r>
        <w:rPr>
          <w:rFonts w:hint="cs"/>
          <w:rtl/>
        </w:rPr>
        <w:t xml:space="preserve">שבית </w:t>
      </w:r>
      <w:bookmarkStart w:id="7959" w:name="_ETM_Q9_473949"/>
      <w:bookmarkEnd w:id="7959"/>
      <w:r>
        <w:rPr>
          <w:rFonts w:hint="cs"/>
          <w:rtl/>
        </w:rPr>
        <w:t xml:space="preserve">המשפט </w:t>
      </w:r>
      <w:bookmarkStart w:id="7960" w:name="_ETM_Q9_474430"/>
      <w:bookmarkEnd w:id="7960"/>
      <w:r>
        <w:rPr>
          <w:rFonts w:hint="cs"/>
          <w:rtl/>
        </w:rPr>
        <w:t xml:space="preserve">יגיד </w:t>
      </w:r>
      <w:bookmarkStart w:id="7961" w:name="_ETM_Q9_474789"/>
      <w:bookmarkEnd w:id="7961"/>
      <w:r>
        <w:rPr>
          <w:rFonts w:hint="cs"/>
          <w:rtl/>
        </w:rPr>
        <w:t xml:space="preserve">לנו </w:t>
      </w:r>
      <w:bookmarkStart w:id="7962" w:name="_ETM_Q9_475059"/>
      <w:bookmarkEnd w:id="7962"/>
      <w:r>
        <w:rPr>
          <w:rFonts w:hint="cs"/>
          <w:rtl/>
        </w:rPr>
        <w:t xml:space="preserve">שזה </w:t>
      </w:r>
      <w:bookmarkStart w:id="7963" w:name="_ETM_Q9_475419"/>
      <w:bookmarkEnd w:id="7963"/>
      <w:r>
        <w:rPr>
          <w:rFonts w:hint="cs"/>
          <w:rtl/>
        </w:rPr>
        <w:t xml:space="preserve">לא </w:t>
      </w:r>
      <w:bookmarkStart w:id="7964" w:name="_ETM_Q9_475569"/>
      <w:bookmarkEnd w:id="7964"/>
      <w:r>
        <w:rPr>
          <w:rFonts w:hint="cs"/>
          <w:rtl/>
        </w:rPr>
        <w:t xml:space="preserve">סביר? </w:t>
      </w:r>
      <w:bookmarkStart w:id="7965" w:name="_ETM_Q9_477029"/>
      <w:bookmarkEnd w:id="7965"/>
      <w:r>
        <w:rPr>
          <w:rFonts w:hint="cs"/>
          <w:rtl/>
        </w:rPr>
        <w:t xml:space="preserve">והכי </w:t>
      </w:r>
      <w:bookmarkStart w:id="7966" w:name="_ETM_Q9_477660"/>
      <w:bookmarkEnd w:id="7966"/>
      <w:r>
        <w:rPr>
          <w:rFonts w:hint="cs"/>
          <w:rtl/>
        </w:rPr>
        <w:t xml:space="preserve">חשוב: </w:t>
      </w:r>
      <w:bookmarkStart w:id="7967" w:name="_ETM_Q9_479460"/>
      <w:bookmarkEnd w:id="7967"/>
      <w:r>
        <w:rPr>
          <w:rFonts w:hint="cs"/>
          <w:rtl/>
        </w:rPr>
        <w:t xml:space="preserve">איך נוכל </w:t>
      </w:r>
      <w:bookmarkStart w:id="7968" w:name="_ETM_Q9_480839"/>
      <w:bookmarkEnd w:id="7968"/>
      <w:r>
        <w:rPr>
          <w:rFonts w:hint="cs"/>
          <w:rtl/>
        </w:rPr>
        <w:t xml:space="preserve">להציף </w:t>
      </w:r>
      <w:bookmarkStart w:id="7969" w:name="_ETM_Q9_481740"/>
      <w:bookmarkEnd w:id="7969"/>
      <w:r>
        <w:rPr>
          <w:rFonts w:hint="cs"/>
          <w:rtl/>
        </w:rPr>
        <w:t xml:space="preserve">את </w:t>
      </w:r>
      <w:bookmarkStart w:id="7970" w:name="_ETM_Q9_481890"/>
      <w:bookmarkEnd w:id="7970"/>
      <w:r>
        <w:rPr>
          <w:rFonts w:hint="cs"/>
          <w:rtl/>
        </w:rPr>
        <w:t xml:space="preserve">משרדי </w:t>
      </w:r>
      <w:bookmarkStart w:id="7971" w:name="_ETM_Q9_482550"/>
      <w:bookmarkEnd w:id="7971"/>
      <w:r>
        <w:rPr>
          <w:rFonts w:hint="cs"/>
          <w:rtl/>
        </w:rPr>
        <w:t xml:space="preserve">הממשלה </w:t>
      </w:r>
      <w:bookmarkStart w:id="7972" w:name="_ETM_Q9_483210"/>
      <w:bookmarkEnd w:id="7972"/>
      <w:r>
        <w:rPr>
          <w:rFonts w:hint="cs"/>
          <w:rtl/>
        </w:rPr>
        <w:t xml:space="preserve">שלנו </w:t>
      </w:r>
      <w:bookmarkStart w:id="7973" w:name="_ETM_Q9_484170"/>
      <w:bookmarkEnd w:id="7973"/>
      <w:r>
        <w:rPr>
          <w:rFonts w:hint="cs"/>
          <w:rtl/>
        </w:rPr>
        <w:t xml:space="preserve">בג'ובים, </w:t>
      </w:r>
      <w:bookmarkStart w:id="7974" w:name="_ETM_Q9_485520"/>
      <w:bookmarkEnd w:id="7974"/>
      <w:r>
        <w:rPr>
          <w:rFonts w:hint="cs"/>
          <w:rtl/>
        </w:rPr>
        <w:t xml:space="preserve">בתפקידים </w:t>
      </w:r>
      <w:bookmarkStart w:id="7975" w:name="_ETM_Q9_486420"/>
      <w:bookmarkEnd w:id="7975"/>
      <w:r>
        <w:rPr>
          <w:rFonts w:hint="cs"/>
          <w:rtl/>
        </w:rPr>
        <w:t xml:space="preserve">הכי בכירים </w:t>
      </w:r>
      <w:bookmarkStart w:id="7976" w:name="_ETM_Q9_487359"/>
      <w:bookmarkEnd w:id="7976"/>
      <w:r>
        <w:rPr>
          <w:rFonts w:hint="cs"/>
          <w:rtl/>
        </w:rPr>
        <w:t xml:space="preserve">ורגישים </w:t>
      </w:r>
      <w:bookmarkStart w:id="7977" w:name="_ETM_Q9_487930"/>
      <w:bookmarkEnd w:id="7977"/>
      <w:r>
        <w:rPr>
          <w:rFonts w:hint="cs"/>
          <w:rtl/>
        </w:rPr>
        <w:t xml:space="preserve">שיש, </w:t>
      </w:r>
      <w:bookmarkStart w:id="7978" w:name="_ETM_Q9_489010"/>
      <w:bookmarkEnd w:id="7978"/>
      <w:r>
        <w:rPr>
          <w:rFonts w:hint="cs"/>
          <w:rtl/>
        </w:rPr>
        <w:t xml:space="preserve">ולהפוך </w:t>
      </w:r>
      <w:bookmarkStart w:id="7979" w:name="_ETM_Q9_489940"/>
      <w:bookmarkEnd w:id="7979"/>
      <w:r>
        <w:rPr>
          <w:rFonts w:hint="cs"/>
          <w:rtl/>
        </w:rPr>
        <w:t xml:space="preserve">את </w:t>
      </w:r>
      <w:bookmarkStart w:id="7980" w:name="_ETM_Q9_490150"/>
      <w:bookmarkEnd w:id="7980"/>
      <w:r>
        <w:rPr>
          <w:rFonts w:hint="cs"/>
          <w:rtl/>
        </w:rPr>
        <w:t xml:space="preserve">הממשלה </w:t>
      </w:r>
      <w:bookmarkStart w:id="7981" w:name="_ETM_Q9_490779"/>
      <w:bookmarkEnd w:id="7981"/>
      <w:r>
        <w:rPr>
          <w:rFonts w:hint="cs"/>
          <w:rtl/>
        </w:rPr>
        <w:t xml:space="preserve">למפעל </w:t>
      </w:r>
      <w:bookmarkStart w:id="7982" w:name="_ETM_Q9_491350"/>
      <w:bookmarkStart w:id="7983" w:name="_ETM_Q9_491680"/>
      <w:bookmarkEnd w:id="7982"/>
      <w:bookmarkEnd w:id="7983"/>
      <w:r>
        <w:rPr>
          <w:rFonts w:hint="cs"/>
          <w:rtl/>
        </w:rPr>
        <w:t xml:space="preserve">ג'ובים </w:t>
      </w:r>
      <w:bookmarkStart w:id="7984" w:name="_ETM_Q9_492219"/>
      <w:bookmarkEnd w:id="7984"/>
      <w:r>
        <w:rPr>
          <w:rFonts w:hint="cs"/>
          <w:rtl/>
        </w:rPr>
        <w:t xml:space="preserve">פרטי, </w:t>
      </w:r>
      <w:bookmarkStart w:id="7985" w:name="_ETM_Q9_493299"/>
      <w:bookmarkEnd w:id="7985"/>
      <w:r>
        <w:rPr>
          <w:rFonts w:hint="cs"/>
          <w:rtl/>
        </w:rPr>
        <w:t xml:space="preserve">בלי </w:t>
      </w:r>
      <w:bookmarkStart w:id="7986" w:name="_ETM_Q9_493629"/>
      <w:bookmarkEnd w:id="7986"/>
      <w:r>
        <w:rPr>
          <w:rFonts w:hint="cs"/>
          <w:rtl/>
        </w:rPr>
        <w:t xml:space="preserve">עילת </w:t>
      </w:r>
      <w:bookmarkStart w:id="7987" w:name="_ETM_Q9_493930"/>
      <w:bookmarkEnd w:id="7987"/>
      <w:r>
        <w:rPr>
          <w:rFonts w:hint="cs"/>
          <w:rtl/>
        </w:rPr>
        <w:t xml:space="preserve">הסבירות? </w:t>
      </w:r>
      <w:bookmarkStart w:id="7988" w:name="_ETM_Q9_495490"/>
      <w:bookmarkEnd w:id="7988"/>
      <w:r>
        <w:rPr>
          <w:rFonts w:hint="cs"/>
          <w:rtl/>
        </w:rPr>
        <w:t xml:space="preserve">אנחנו </w:t>
      </w:r>
      <w:bookmarkStart w:id="7989" w:name="_ETM_Q9_495910"/>
      <w:bookmarkEnd w:id="7989"/>
      <w:r>
        <w:rPr>
          <w:rFonts w:hint="cs"/>
          <w:rtl/>
        </w:rPr>
        <w:t xml:space="preserve">לא </w:t>
      </w:r>
      <w:bookmarkStart w:id="7990" w:name="_ETM_Q9_496029"/>
      <w:bookmarkEnd w:id="7990"/>
      <w:r>
        <w:rPr>
          <w:rFonts w:hint="cs"/>
          <w:rtl/>
        </w:rPr>
        <w:t xml:space="preserve">יכולים </w:t>
      </w:r>
      <w:bookmarkStart w:id="7991" w:name="_ETM_Q9_496390"/>
      <w:bookmarkEnd w:id="7991"/>
      <w:r>
        <w:rPr>
          <w:rFonts w:hint="cs"/>
          <w:rtl/>
        </w:rPr>
        <w:t xml:space="preserve">לעשות </w:t>
      </w:r>
      <w:bookmarkStart w:id="7992" w:name="_ETM_Q9_496779"/>
      <w:bookmarkEnd w:id="7992"/>
      <w:r>
        <w:rPr>
          <w:rFonts w:hint="cs"/>
          <w:rtl/>
        </w:rPr>
        <w:t xml:space="preserve">את </w:t>
      </w:r>
      <w:bookmarkStart w:id="7993" w:name="_ETM_Q9_496930"/>
      <w:bookmarkEnd w:id="7993"/>
      <w:r>
        <w:rPr>
          <w:rFonts w:hint="cs"/>
          <w:rtl/>
        </w:rPr>
        <w:t xml:space="preserve">כל </w:t>
      </w:r>
      <w:bookmarkStart w:id="7994" w:name="_ETM_Q9_497140"/>
      <w:bookmarkEnd w:id="7994"/>
      <w:r>
        <w:rPr>
          <w:rFonts w:hint="cs"/>
          <w:rtl/>
        </w:rPr>
        <w:t xml:space="preserve">זה כעת, </w:t>
      </w:r>
      <w:bookmarkStart w:id="7995" w:name="_ETM_Q9_497650"/>
      <w:bookmarkEnd w:id="7995"/>
      <w:r>
        <w:rPr>
          <w:rFonts w:hint="cs"/>
          <w:rtl/>
        </w:rPr>
        <w:t xml:space="preserve">כי </w:t>
      </w:r>
      <w:bookmarkStart w:id="7996" w:name="_ETM_Q9_497769"/>
      <w:bookmarkEnd w:id="7996"/>
      <w:r>
        <w:rPr>
          <w:rFonts w:hint="cs"/>
          <w:rtl/>
        </w:rPr>
        <w:t xml:space="preserve">אנחנו </w:t>
      </w:r>
      <w:bookmarkStart w:id="7997" w:name="_ETM_Q9_498070"/>
      <w:bookmarkEnd w:id="7997"/>
      <w:r>
        <w:rPr>
          <w:rFonts w:hint="cs"/>
          <w:rtl/>
        </w:rPr>
        <w:t xml:space="preserve">מוגבלים. </w:t>
      </w:r>
      <w:bookmarkStart w:id="7998" w:name="_ETM_Q9_498470"/>
      <w:bookmarkStart w:id="7999" w:name="_ETM_Q9_499279"/>
      <w:bookmarkEnd w:id="7998"/>
      <w:bookmarkEnd w:id="7999"/>
      <w:r>
        <w:rPr>
          <w:rFonts w:hint="cs"/>
          <w:rtl/>
        </w:rPr>
        <w:t xml:space="preserve">אנחנו </w:t>
      </w:r>
      <w:bookmarkStart w:id="8000" w:name="_ETM_Q9_499699"/>
      <w:bookmarkEnd w:id="8000"/>
      <w:r>
        <w:rPr>
          <w:rFonts w:hint="cs"/>
          <w:rtl/>
        </w:rPr>
        <w:t xml:space="preserve">מנסים, </w:t>
      </w:r>
      <w:bookmarkStart w:id="8001" w:name="_ETM_Q9_500890"/>
      <w:bookmarkEnd w:id="8001"/>
      <w:r>
        <w:rPr>
          <w:rFonts w:hint="cs"/>
          <w:rtl/>
        </w:rPr>
        <w:t xml:space="preserve">אבל </w:t>
      </w:r>
      <w:bookmarkStart w:id="8002" w:name="_ETM_Q9_501159"/>
      <w:bookmarkEnd w:id="8002"/>
      <w:r>
        <w:rPr>
          <w:rFonts w:hint="cs"/>
          <w:rtl/>
        </w:rPr>
        <w:t xml:space="preserve">אנחנו </w:t>
      </w:r>
      <w:bookmarkStart w:id="8003" w:name="_ETM_Q9_501429"/>
      <w:bookmarkEnd w:id="8003"/>
      <w:r>
        <w:rPr>
          <w:rFonts w:hint="cs"/>
          <w:rtl/>
        </w:rPr>
        <w:t xml:space="preserve">לא </w:t>
      </w:r>
      <w:bookmarkStart w:id="8004" w:name="_ETM_Q9_501550"/>
      <w:bookmarkEnd w:id="8004"/>
      <w:r>
        <w:rPr>
          <w:rFonts w:hint="cs"/>
          <w:rtl/>
        </w:rPr>
        <w:t xml:space="preserve">מפסיקים </w:t>
      </w:r>
      <w:bookmarkStart w:id="8005" w:name="_ETM_Q9_501999"/>
      <w:bookmarkEnd w:id="8005"/>
      <w:r>
        <w:rPr>
          <w:rFonts w:hint="cs"/>
          <w:rtl/>
        </w:rPr>
        <w:t xml:space="preserve">להתקוטט </w:t>
      </w:r>
      <w:bookmarkStart w:id="8006" w:name="_ETM_Q9_502720"/>
      <w:bookmarkEnd w:id="8006"/>
      <w:r>
        <w:rPr>
          <w:rFonts w:hint="cs"/>
          <w:rtl/>
        </w:rPr>
        <w:t xml:space="preserve">עם </w:t>
      </w:r>
      <w:bookmarkStart w:id="8007" w:name="_ETM_Q9_502869"/>
      <w:bookmarkEnd w:id="8007"/>
      <w:r>
        <w:rPr>
          <w:rFonts w:hint="cs"/>
          <w:rtl/>
        </w:rPr>
        <w:t xml:space="preserve">כל </w:t>
      </w:r>
      <w:bookmarkStart w:id="8008" w:name="_ETM_Q9_503050"/>
      <w:bookmarkEnd w:id="8008"/>
      <w:r>
        <w:rPr>
          <w:rFonts w:hint="cs"/>
          <w:rtl/>
        </w:rPr>
        <w:t xml:space="preserve">שומרי </w:t>
      </w:r>
      <w:bookmarkStart w:id="8009" w:name="_ETM_Q9_503439"/>
      <w:bookmarkEnd w:id="8009"/>
      <w:r>
        <w:rPr>
          <w:rFonts w:hint="cs"/>
          <w:rtl/>
        </w:rPr>
        <w:t xml:space="preserve">הסף. </w:t>
      </w:r>
      <w:bookmarkStart w:id="8010" w:name="_ETM_Q9_505210"/>
      <w:bookmarkEnd w:id="8010"/>
    </w:p>
    <w:p w:rsidR="000C5C1F" w:rsidRDefault="000C5C1F" w:rsidP="000C5C1F">
      <w:pPr>
        <w:rPr>
          <w:rtl/>
        </w:rPr>
      </w:pPr>
      <w:bookmarkStart w:id="8011" w:name="_ETM_Q9_504173"/>
      <w:bookmarkStart w:id="8012" w:name="_ETM_Q9_504236"/>
      <w:bookmarkStart w:id="8013" w:name="_ETM_Q9_504332"/>
      <w:bookmarkEnd w:id="8011"/>
      <w:bookmarkEnd w:id="8012"/>
      <w:bookmarkEnd w:id="8013"/>
    </w:p>
    <w:p w:rsidR="000C5C1F" w:rsidRDefault="000C5C1F" w:rsidP="000C5C1F">
      <w:pPr>
        <w:rPr>
          <w:rtl/>
        </w:rPr>
      </w:pPr>
      <w:bookmarkStart w:id="8014" w:name="_ETM_Q9_504412"/>
      <w:bookmarkEnd w:id="8014"/>
      <w:r>
        <w:rPr>
          <w:rFonts w:hint="cs"/>
          <w:rtl/>
        </w:rPr>
        <w:t xml:space="preserve">ולכן, </w:t>
      </w:r>
      <w:bookmarkStart w:id="8015" w:name="_ETM_Q9_507019"/>
      <w:bookmarkEnd w:id="8015"/>
      <w:r>
        <w:rPr>
          <w:rFonts w:hint="cs"/>
          <w:rtl/>
        </w:rPr>
        <w:t xml:space="preserve">חבריי </w:t>
      </w:r>
      <w:bookmarkStart w:id="8016" w:name="_ETM_Q9_507710"/>
      <w:bookmarkEnd w:id="8016"/>
      <w:r>
        <w:rPr>
          <w:rFonts w:hint="cs"/>
          <w:rtl/>
        </w:rPr>
        <w:t xml:space="preserve">חברי </w:t>
      </w:r>
      <w:bookmarkStart w:id="8017" w:name="_ETM_Q9_508130"/>
      <w:bookmarkEnd w:id="8017"/>
      <w:r>
        <w:rPr>
          <w:rFonts w:hint="cs"/>
          <w:rtl/>
        </w:rPr>
        <w:t xml:space="preserve">הכנסת </w:t>
      </w:r>
      <w:bookmarkStart w:id="8018" w:name="_ETM_Q9_508730"/>
      <w:bookmarkEnd w:id="8018"/>
      <w:r>
        <w:rPr>
          <w:rFonts w:hint="cs"/>
          <w:rtl/>
        </w:rPr>
        <w:t xml:space="preserve">ואדוני </w:t>
      </w:r>
      <w:bookmarkStart w:id="8019" w:name="_ETM_Q9_509179"/>
      <w:bookmarkEnd w:id="8019"/>
      <w:r>
        <w:rPr>
          <w:rFonts w:hint="cs"/>
          <w:rtl/>
        </w:rPr>
        <w:t xml:space="preserve">היושב-ראש, </w:t>
      </w:r>
      <w:bookmarkStart w:id="8020" w:name="_ETM_Q9_509900"/>
      <w:bookmarkEnd w:id="8020"/>
      <w:r>
        <w:rPr>
          <w:rFonts w:hint="cs"/>
          <w:rtl/>
        </w:rPr>
        <w:t xml:space="preserve">הכול </w:t>
      </w:r>
      <w:bookmarkStart w:id="8021" w:name="_ETM_Q9_510199"/>
      <w:bookmarkEnd w:id="8021"/>
      <w:r>
        <w:rPr>
          <w:rFonts w:hint="cs"/>
          <w:rtl/>
        </w:rPr>
        <w:t xml:space="preserve">ברור: </w:t>
      </w:r>
      <w:bookmarkStart w:id="8022" w:name="_ETM_Q9_511900"/>
      <w:bookmarkEnd w:id="8022"/>
      <w:r>
        <w:rPr>
          <w:rFonts w:hint="cs"/>
          <w:rtl/>
        </w:rPr>
        <w:t xml:space="preserve">ביטול </w:t>
      </w:r>
      <w:bookmarkStart w:id="8023" w:name="_ETM_Q9_512440"/>
      <w:bookmarkEnd w:id="8023"/>
      <w:r>
        <w:rPr>
          <w:rFonts w:hint="cs"/>
          <w:rtl/>
        </w:rPr>
        <w:t xml:space="preserve">עילת </w:t>
      </w:r>
      <w:bookmarkStart w:id="8024" w:name="_ETM_Q9_512740"/>
      <w:bookmarkEnd w:id="8024"/>
      <w:r>
        <w:rPr>
          <w:rFonts w:hint="cs"/>
          <w:rtl/>
        </w:rPr>
        <w:t xml:space="preserve">הסבירות </w:t>
      </w:r>
      <w:bookmarkStart w:id="8025" w:name="_ETM_Q9_513339"/>
      <w:bookmarkEnd w:id="8025"/>
      <w:r>
        <w:rPr>
          <w:rFonts w:hint="cs"/>
          <w:rtl/>
        </w:rPr>
        <w:t xml:space="preserve">זה </w:t>
      </w:r>
      <w:bookmarkStart w:id="8026" w:name="_ETM_Q9_513430"/>
      <w:bookmarkEnd w:id="8026"/>
      <w:r>
        <w:rPr>
          <w:rFonts w:hint="cs"/>
          <w:rtl/>
        </w:rPr>
        <w:t xml:space="preserve">באמת, </w:t>
      </w:r>
      <w:bookmarkStart w:id="8027" w:name="_ETM_Q9_514060"/>
      <w:bookmarkEnd w:id="8027"/>
      <w:r>
        <w:rPr>
          <w:rFonts w:hint="cs"/>
          <w:rtl/>
        </w:rPr>
        <w:t xml:space="preserve">כמו </w:t>
      </w:r>
      <w:bookmarkStart w:id="8028" w:name="_ETM_Q9_514330"/>
      <w:bookmarkEnd w:id="8028"/>
      <w:r>
        <w:rPr>
          <w:rFonts w:hint="cs"/>
          <w:rtl/>
        </w:rPr>
        <w:t xml:space="preserve">שאמר </w:t>
      </w:r>
      <w:bookmarkStart w:id="8029" w:name="_ETM_Q9_514960"/>
      <w:bookmarkStart w:id="8030" w:name="_ETM_Q9_515260"/>
      <w:bookmarkEnd w:id="8029"/>
      <w:bookmarkEnd w:id="8030"/>
      <w:r>
        <w:rPr>
          <w:rFonts w:hint="cs"/>
          <w:rtl/>
        </w:rPr>
        <w:t xml:space="preserve">שר </w:t>
      </w:r>
      <w:bookmarkStart w:id="8031" w:name="_ETM_Q9_515620"/>
      <w:bookmarkEnd w:id="8031"/>
      <w:r>
        <w:rPr>
          <w:rFonts w:hint="cs"/>
          <w:rtl/>
        </w:rPr>
        <w:t>המשטרה</w:t>
      </w:r>
      <w:bookmarkStart w:id="8032" w:name="_ETM_Q9_516760"/>
      <w:bookmarkEnd w:id="8032"/>
      <w:r>
        <w:rPr>
          <w:rFonts w:hint="cs"/>
          <w:rtl/>
        </w:rPr>
        <w:t xml:space="preserve">, </w:t>
      </w:r>
      <w:bookmarkStart w:id="8033" w:name="_ETM_Q9_491975"/>
      <w:bookmarkEnd w:id="8033"/>
      <w:r>
        <w:rPr>
          <w:rFonts w:hint="cs"/>
          <w:rtl/>
        </w:rPr>
        <w:t xml:space="preserve">רק </w:t>
      </w:r>
      <w:bookmarkStart w:id="8034" w:name="_ETM_Q9_517360"/>
      <w:bookmarkEnd w:id="8034"/>
      <w:r>
        <w:rPr>
          <w:rFonts w:hint="cs"/>
          <w:rtl/>
        </w:rPr>
        <w:t xml:space="preserve">הסלטים </w:t>
      </w:r>
      <w:bookmarkStart w:id="8035" w:name="_ETM_Q9_518080"/>
      <w:bookmarkEnd w:id="8035"/>
      <w:r>
        <w:rPr>
          <w:rFonts w:hint="cs"/>
          <w:rtl/>
        </w:rPr>
        <w:t xml:space="preserve">שבארוחה, </w:t>
      </w:r>
      <w:bookmarkStart w:id="8036" w:name="_ETM_Q9_519710"/>
      <w:bookmarkEnd w:id="8036"/>
      <w:r>
        <w:rPr>
          <w:rFonts w:hint="cs"/>
          <w:rtl/>
        </w:rPr>
        <w:t xml:space="preserve">כי </w:t>
      </w:r>
      <w:bookmarkStart w:id="8037" w:name="_ETM_Q9_519890"/>
      <w:bookmarkEnd w:id="8037"/>
      <w:r>
        <w:rPr>
          <w:rFonts w:hint="cs"/>
          <w:rtl/>
        </w:rPr>
        <w:t xml:space="preserve">גם </w:t>
      </w:r>
      <w:bookmarkStart w:id="8038" w:name="_ETM_Q9_520100"/>
      <w:bookmarkEnd w:id="8038"/>
      <w:r>
        <w:rPr>
          <w:rFonts w:hint="cs"/>
          <w:rtl/>
        </w:rPr>
        <w:t xml:space="preserve">ההיגיון </w:t>
      </w:r>
      <w:bookmarkStart w:id="8039" w:name="_ETM_Q9_520789"/>
      <w:bookmarkEnd w:id="8039"/>
      <w:r>
        <w:rPr>
          <w:rFonts w:hint="cs"/>
          <w:rtl/>
        </w:rPr>
        <w:t xml:space="preserve">פתאום </w:t>
      </w:r>
      <w:bookmarkStart w:id="8040" w:name="_ETM_Q9_521579"/>
      <w:bookmarkStart w:id="8041" w:name="_ETM_Q9_521760"/>
      <w:bookmarkEnd w:id="8040"/>
      <w:bookmarkEnd w:id="8041"/>
      <w:r>
        <w:rPr>
          <w:rFonts w:hint="cs"/>
          <w:rtl/>
        </w:rPr>
        <w:t xml:space="preserve">ברור </w:t>
      </w:r>
      <w:bookmarkStart w:id="8042" w:name="_ETM_Q9_522149"/>
      <w:bookmarkEnd w:id="8042"/>
      <w:r>
        <w:rPr>
          <w:rFonts w:hint="cs"/>
          <w:rtl/>
        </w:rPr>
        <w:t xml:space="preserve">כשמש: </w:t>
      </w:r>
      <w:bookmarkStart w:id="8043" w:name="_ETM_Q9_523620"/>
      <w:bookmarkEnd w:id="8043"/>
      <w:r>
        <w:rPr>
          <w:rFonts w:hint="cs"/>
          <w:rtl/>
        </w:rPr>
        <w:t xml:space="preserve">קודם </w:t>
      </w:r>
      <w:bookmarkStart w:id="8044" w:name="_ETM_Q9_524640"/>
      <w:bookmarkEnd w:id="8044"/>
      <w:r>
        <w:rPr>
          <w:rFonts w:hint="cs"/>
          <w:rtl/>
        </w:rPr>
        <w:t xml:space="preserve">מחלישים </w:t>
      </w:r>
      <w:bookmarkStart w:id="8045" w:name="_ETM_Q9_525269"/>
      <w:bookmarkEnd w:id="8045"/>
      <w:r>
        <w:rPr>
          <w:rFonts w:hint="cs"/>
          <w:rtl/>
        </w:rPr>
        <w:t xml:space="preserve">את </w:t>
      </w:r>
      <w:bookmarkStart w:id="8046" w:name="_ETM_Q9_525329"/>
      <w:bookmarkEnd w:id="8046"/>
      <w:r>
        <w:rPr>
          <w:rFonts w:hint="cs"/>
          <w:rtl/>
        </w:rPr>
        <w:t xml:space="preserve">המנגנון </w:t>
      </w:r>
      <w:bookmarkStart w:id="8047" w:name="_ETM_Q9_526440"/>
      <w:bookmarkEnd w:id="8047"/>
      <w:r>
        <w:rPr>
          <w:rFonts w:hint="cs"/>
          <w:rtl/>
        </w:rPr>
        <w:t xml:space="preserve">שמפקח </w:t>
      </w:r>
      <w:bookmarkStart w:id="8048" w:name="_ETM_Q9_527370"/>
      <w:bookmarkEnd w:id="8048"/>
      <w:r>
        <w:rPr>
          <w:rFonts w:hint="cs"/>
          <w:rtl/>
        </w:rPr>
        <w:t xml:space="preserve">על </w:t>
      </w:r>
      <w:bookmarkStart w:id="8049" w:name="_ETM_Q9_527489"/>
      <w:bookmarkEnd w:id="8049"/>
      <w:r>
        <w:rPr>
          <w:rFonts w:hint="cs"/>
          <w:rtl/>
        </w:rPr>
        <w:t xml:space="preserve">הממשלה – </w:t>
      </w:r>
      <w:bookmarkStart w:id="8050" w:name="_ETM_Q9_528570"/>
      <w:bookmarkEnd w:id="8050"/>
      <w:r>
        <w:rPr>
          <w:rFonts w:hint="cs"/>
          <w:rtl/>
        </w:rPr>
        <w:t xml:space="preserve">את </w:t>
      </w:r>
      <w:bookmarkStart w:id="8051" w:name="_ETM_Q9_528779"/>
      <w:bookmarkEnd w:id="8051"/>
      <w:r>
        <w:rPr>
          <w:rFonts w:hint="cs"/>
          <w:rtl/>
        </w:rPr>
        <w:t xml:space="preserve">הפקידים, </w:t>
      </w:r>
      <w:bookmarkStart w:id="8052" w:name="_ETM_Q9_529769"/>
      <w:bookmarkEnd w:id="8052"/>
      <w:r>
        <w:rPr>
          <w:rFonts w:hint="cs"/>
          <w:rtl/>
        </w:rPr>
        <w:t xml:space="preserve">את </w:t>
      </w:r>
      <w:bookmarkStart w:id="8053" w:name="_ETM_Q9_529979"/>
      <w:bookmarkStart w:id="8054" w:name="_ETM_Q9_531190"/>
      <w:bookmarkEnd w:id="8053"/>
      <w:bookmarkEnd w:id="8054"/>
      <w:r>
        <w:rPr>
          <w:rFonts w:hint="cs"/>
          <w:rtl/>
        </w:rPr>
        <w:t xml:space="preserve">היועמ"שים, את </w:t>
      </w:r>
      <w:bookmarkStart w:id="8055" w:name="_ETM_Q9_531489"/>
      <w:bookmarkEnd w:id="8055"/>
      <w:r>
        <w:rPr>
          <w:rFonts w:hint="cs"/>
          <w:rtl/>
        </w:rPr>
        <w:t xml:space="preserve">כל </w:t>
      </w:r>
      <w:bookmarkStart w:id="8056" w:name="_ETM_Q9_531820"/>
      <w:bookmarkEnd w:id="8056"/>
      <w:r>
        <w:rPr>
          <w:rFonts w:hint="cs"/>
          <w:rtl/>
        </w:rPr>
        <w:t xml:space="preserve">מה </w:t>
      </w:r>
      <w:bookmarkStart w:id="8057" w:name="_ETM_Q9_531969"/>
      <w:bookmarkEnd w:id="8057"/>
      <w:r>
        <w:rPr>
          <w:rFonts w:hint="cs"/>
          <w:rtl/>
        </w:rPr>
        <w:t xml:space="preserve">שמצנן </w:t>
      </w:r>
      <w:bookmarkStart w:id="8058" w:name="_ETM_Q9_532660"/>
      <w:bookmarkEnd w:id="8058"/>
      <w:r>
        <w:rPr>
          <w:rFonts w:hint="cs"/>
          <w:rtl/>
        </w:rPr>
        <w:t xml:space="preserve">שחיתות </w:t>
      </w:r>
      <w:r>
        <w:t>–</w:t>
      </w:r>
      <w:r>
        <w:rPr>
          <w:rFonts w:hint="cs"/>
          <w:rtl/>
        </w:rPr>
        <w:t xml:space="preserve"> </w:t>
      </w:r>
      <w:bookmarkStart w:id="8059" w:name="_ETM_Q9_533560"/>
      <w:bookmarkEnd w:id="8059"/>
      <w:r>
        <w:rPr>
          <w:rFonts w:hint="cs"/>
          <w:rtl/>
        </w:rPr>
        <w:t xml:space="preserve">ואז </w:t>
      </w:r>
      <w:bookmarkStart w:id="8060" w:name="_ETM_Q9_534130"/>
      <w:bookmarkStart w:id="8061" w:name="_ETM_Q9_534399"/>
      <w:bookmarkEnd w:id="8060"/>
      <w:bookmarkEnd w:id="8061"/>
      <w:r>
        <w:rPr>
          <w:rFonts w:hint="cs"/>
          <w:rtl/>
        </w:rPr>
        <w:t xml:space="preserve">הדרך </w:t>
      </w:r>
      <w:bookmarkStart w:id="8062" w:name="_ETM_Q9_534819"/>
      <w:bookmarkEnd w:id="8062"/>
      <w:r>
        <w:rPr>
          <w:rFonts w:hint="cs"/>
          <w:rtl/>
        </w:rPr>
        <w:t xml:space="preserve">תהיה </w:t>
      </w:r>
      <w:bookmarkStart w:id="8063" w:name="_ETM_Q9_535179"/>
      <w:bookmarkEnd w:id="8063"/>
      <w:r>
        <w:rPr>
          <w:rFonts w:hint="cs"/>
          <w:rtl/>
        </w:rPr>
        <w:t xml:space="preserve">סלולה </w:t>
      </w:r>
      <w:bookmarkStart w:id="8064" w:name="_ETM_Q9_536400"/>
      <w:bookmarkEnd w:id="8064"/>
      <w:r>
        <w:rPr>
          <w:rFonts w:hint="cs"/>
          <w:rtl/>
        </w:rPr>
        <w:t>בנתיב</w:t>
      </w:r>
      <w:bookmarkStart w:id="8065" w:name="_ETM_Q9_537810"/>
      <w:bookmarkEnd w:id="8065"/>
      <w:r>
        <w:rPr>
          <w:rFonts w:hint="cs"/>
          <w:rtl/>
        </w:rPr>
        <w:t xml:space="preserve">. ארבעה </w:t>
      </w:r>
      <w:bookmarkStart w:id="8066" w:name="_ETM_Q9_538529"/>
      <w:bookmarkEnd w:id="8066"/>
      <w:r>
        <w:rPr>
          <w:rFonts w:hint="cs"/>
          <w:rtl/>
        </w:rPr>
        <w:t xml:space="preserve">נתיבים, </w:t>
      </w:r>
      <w:bookmarkStart w:id="8067" w:name="_ETM_Q9_539700"/>
      <w:bookmarkEnd w:id="8067"/>
      <w:r>
        <w:rPr>
          <w:rFonts w:hint="cs"/>
          <w:rtl/>
        </w:rPr>
        <w:t xml:space="preserve">בכביש </w:t>
      </w:r>
      <w:bookmarkStart w:id="8068" w:name="_ETM_Q9_540450"/>
      <w:bookmarkEnd w:id="8068"/>
      <w:r>
        <w:rPr>
          <w:rFonts w:hint="cs"/>
          <w:rtl/>
        </w:rPr>
        <w:t xml:space="preserve">מהיר, לחוקים </w:t>
      </w:r>
      <w:bookmarkStart w:id="8069" w:name="_ETM_Q9_542460"/>
      <w:bookmarkEnd w:id="8069"/>
      <w:r>
        <w:rPr>
          <w:rFonts w:hint="cs"/>
          <w:rtl/>
        </w:rPr>
        <w:t xml:space="preserve">שאנחנו </w:t>
      </w:r>
      <w:bookmarkStart w:id="8070" w:name="_ETM_Q9_543810"/>
      <w:bookmarkEnd w:id="8070"/>
      <w:r>
        <w:rPr>
          <w:rFonts w:hint="cs"/>
          <w:rtl/>
        </w:rPr>
        <w:t xml:space="preserve">עוד </w:t>
      </w:r>
      <w:bookmarkStart w:id="8071" w:name="_ETM_Q9_544020"/>
      <w:bookmarkEnd w:id="8071"/>
      <w:r>
        <w:rPr>
          <w:rFonts w:hint="cs"/>
          <w:rtl/>
        </w:rPr>
        <w:t xml:space="preserve">אפילו </w:t>
      </w:r>
      <w:bookmarkStart w:id="8072" w:name="_ETM_Q9_544440"/>
      <w:bookmarkEnd w:id="8072"/>
      <w:r>
        <w:rPr>
          <w:rFonts w:hint="cs"/>
          <w:rtl/>
        </w:rPr>
        <w:t xml:space="preserve">לא </w:t>
      </w:r>
      <w:bookmarkStart w:id="8073" w:name="_ETM_Q9_544589"/>
      <w:bookmarkEnd w:id="8073"/>
      <w:r>
        <w:rPr>
          <w:rFonts w:hint="cs"/>
          <w:rtl/>
        </w:rPr>
        <w:t xml:space="preserve">מדמיינים </w:t>
      </w:r>
      <w:bookmarkStart w:id="8074" w:name="_ETM_Q9_545310"/>
      <w:bookmarkEnd w:id="8074"/>
      <w:r>
        <w:rPr>
          <w:rFonts w:hint="cs"/>
          <w:rtl/>
        </w:rPr>
        <w:t xml:space="preserve">שמגיעים. </w:t>
      </w:r>
      <w:bookmarkStart w:id="8075" w:name="_ETM_Q9_548960"/>
      <w:bookmarkEnd w:id="8075"/>
    </w:p>
    <w:p w:rsidR="000C5C1F" w:rsidRDefault="000C5C1F" w:rsidP="000C5C1F">
      <w:pPr>
        <w:rPr>
          <w:rtl/>
        </w:rPr>
      </w:pPr>
      <w:bookmarkStart w:id="8076" w:name="_ETM_Q9_543777"/>
      <w:bookmarkStart w:id="8077" w:name="_ETM_Q9_543872"/>
      <w:bookmarkEnd w:id="8076"/>
      <w:bookmarkEnd w:id="8077"/>
    </w:p>
    <w:p w:rsidR="000C5C1F" w:rsidRDefault="000C5C1F" w:rsidP="000C5C1F">
      <w:pPr>
        <w:rPr>
          <w:rtl/>
        </w:rPr>
      </w:pPr>
      <w:bookmarkStart w:id="8078" w:name="_ETM_Q9_543993"/>
      <w:bookmarkStart w:id="8079" w:name="_ETM_Q9_544088"/>
      <w:bookmarkEnd w:id="8078"/>
      <w:bookmarkEnd w:id="8079"/>
      <w:r>
        <w:rPr>
          <w:rFonts w:hint="cs"/>
          <w:rtl/>
        </w:rPr>
        <w:t xml:space="preserve">בסוף </w:t>
      </w:r>
      <w:bookmarkStart w:id="8080" w:name="_ETM_Q9_549469"/>
      <w:bookmarkEnd w:id="8080"/>
      <w:r>
        <w:rPr>
          <w:rFonts w:hint="cs"/>
          <w:rtl/>
        </w:rPr>
        <w:t xml:space="preserve">השבוע </w:t>
      </w:r>
      <w:bookmarkStart w:id="8081" w:name="_ETM_Q9_549979"/>
      <w:bookmarkEnd w:id="8081"/>
      <w:r>
        <w:rPr>
          <w:rFonts w:hint="cs"/>
          <w:rtl/>
        </w:rPr>
        <w:t xml:space="preserve">האחרון </w:t>
      </w:r>
      <w:bookmarkStart w:id="8082" w:name="_ETM_Q9_551460"/>
      <w:bookmarkEnd w:id="8082"/>
      <w:r>
        <w:rPr>
          <w:rFonts w:hint="cs"/>
          <w:rtl/>
        </w:rPr>
        <w:t xml:space="preserve">בג"ץ </w:t>
      </w:r>
      <w:bookmarkStart w:id="8083" w:name="_ETM_Q9_552000"/>
      <w:bookmarkEnd w:id="8083"/>
      <w:r>
        <w:rPr>
          <w:rFonts w:hint="cs"/>
          <w:rtl/>
        </w:rPr>
        <w:t xml:space="preserve">הוציא, </w:t>
      </w:r>
      <w:bookmarkStart w:id="8084" w:name="_ETM_Q9_552299"/>
      <w:bookmarkEnd w:id="8084"/>
      <w:r>
        <w:rPr>
          <w:rFonts w:hint="cs"/>
          <w:rtl/>
        </w:rPr>
        <w:t xml:space="preserve">כצפוי, </w:t>
      </w:r>
      <w:bookmarkStart w:id="8085" w:name="_ETM_Q9_553181"/>
      <w:bookmarkEnd w:id="8085"/>
      <w:r>
        <w:rPr>
          <w:rFonts w:hint="cs"/>
          <w:rtl/>
        </w:rPr>
        <w:t xml:space="preserve">צו </w:t>
      </w:r>
      <w:bookmarkStart w:id="8086" w:name="_ETM_Q9_554580"/>
      <w:bookmarkEnd w:id="8086"/>
      <w:r>
        <w:rPr>
          <w:rFonts w:hint="cs"/>
          <w:rtl/>
        </w:rPr>
        <w:t xml:space="preserve">כנגד </w:t>
      </w:r>
      <w:bookmarkStart w:id="8087" w:name="_ETM_Q9_555119"/>
      <w:bookmarkEnd w:id="8087"/>
      <w:r>
        <w:rPr>
          <w:rFonts w:hint="cs"/>
          <w:rtl/>
        </w:rPr>
        <w:t xml:space="preserve">חוק </w:t>
      </w:r>
      <w:bookmarkStart w:id="8088" w:name="_ETM_Q9_555360"/>
      <w:bookmarkEnd w:id="8088"/>
      <w:r>
        <w:rPr>
          <w:rFonts w:hint="cs"/>
          <w:rtl/>
        </w:rPr>
        <w:t xml:space="preserve">טבריה </w:t>
      </w:r>
      <w:bookmarkStart w:id="8089" w:name="_ETM_Q9_555900"/>
      <w:bookmarkEnd w:id="8089"/>
      <w:r>
        <w:rPr>
          <w:rFonts w:hint="cs"/>
          <w:rtl/>
        </w:rPr>
        <w:t xml:space="preserve">המושחת. </w:t>
      </w:r>
      <w:bookmarkStart w:id="8090" w:name="_ETM_Q9_558340"/>
      <w:bookmarkEnd w:id="8090"/>
      <w:r>
        <w:rPr>
          <w:rFonts w:hint="cs"/>
          <w:rtl/>
        </w:rPr>
        <w:t xml:space="preserve">בדמוקרטיה </w:t>
      </w:r>
      <w:bookmarkStart w:id="8091" w:name="_ETM_Q9_559540"/>
      <w:bookmarkEnd w:id="8091"/>
      <w:r>
        <w:rPr>
          <w:rFonts w:hint="cs"/>
          <w:rtl/>
        </w:rPr>
        <w:t xml:space="preserve">המבוימת </w:t>
      </w:r>
      <w:bookmarkStart w:id="8092" w:name="_ETM_Q9_560350"/>
      <w:bookmarkEnd w:id="8092"/>
      <w:r>
        <w:rPr>
          <w:rFonts w:hint="cs"/>
          <w:rtl/>
        </w:rPr>
        <w:t xml:space="preserve">שאתם </w:t>
      </w:r>
      <w:bookmarkStart w:id="8093" w:name="_ETM_Q9_560770"/>
      <w:bookmarkEnd w:id="8093"/>
      <w:r>
        <w:rPr>
          <w:rFonts w:hint="cs"/>
          <w:rtl/>
        </w:rPr>
        <w:t xml:space="preserve">מסדרים </w:t>
      </w:r>
      <w:bookmarkStart w:id="8094" w:name="_ETM_Q9_561370"/>
      <w:bookmarkEnd w:id="8094"/>
      <w:r>
        <w:rPr>
          <w:rFonts w:hint="cs"/>
          <w:rtl/>
        </w:rPr>
        <w:t>לנו</w:t>
      </w:r>
      <w:bookmarkStart w:id="8095" w:name="_ETM_Q9_561779"/>
      <w:bookmarkEnd w:id="8095"/>
      <w:r>
        <w:rPr>
          <w:rFonts w:hint="cs"/>
          <w:rtl/>
        </w:rPr>
        <w:t xml:space="preserve"> הוא </w:t>
      </w:r>
      <w:bookmarkStart w:id="8096" w:name="_ETM_Q9_562049"/>
      <w:bookmarkEnd w:id="8096"/>
      <w:r>
        <w:rPr>
          <w:rFonts w:hint="cs"/>
          <w:rtl/>
        </w:rPr>
        <w:t xml:space="preserve">לא </w:t>
      </w:r>
      <w:bookmarkStart w:id="8097" w:name="_ETM_Q9_562229"/>
      <w:bookmarkStart w:id="8098" w:name="_ETM_Q9_562950"/>
      <w:bookmarkEnd w:id="8097"/>
      <w:bookmarkEnd w:id="8098"/>
      <w:r>
        <w:rPr>
          <w:rFonts w:hint="cs"/>
          <w:rtl/>
        </w:rPr>
        <w:t xml:space="preserve">יוכל, </w:t>
      </w:r>
      <w:bookmarkStart w:id="8099" w:name="_ETM_Q9_564170"/>
      <w:bookmarkEnd w:id="8099"/>
      <w:r>
        <w:rPr>
          <w:rFonts w:hint="cs"/>
          <w:rtl/>
        </w:rPr>
        <w:t xml:space="preserve">כי </w:t>
      </w:r>
      <w:bookmarkStart w:id="8100" w:name="_ETM_Q9_564350"/>
      <w:bookmarkEnd w:id="8100"/>
      <w:r>
        <w:rPr>
          <w:rFonts w:hint="cs"/>
          <w:rtl/>
        </w:rPr>
        <w:t xml:space="preserve">בטח </w:t>
      </w:r>
      <w:bookmarkStart w:id="8101" w:name="_ETM_Q9_564620"/>
      <w:bookmarkEnd w:id="8101"/>
      <w:r>
        <w:rPr>
          <w:rFonts w:hint="cs"/>
          <w:rtl/>
        </w:rPr>
        <w:t xml:space="preserve">תקראו </w:t>
      </w:r>
      <w:bookmarkStart w:id="8102" w:name="_ETM_Q9_565010"/>
      <w:bookmarkEnd w:id="8102"/>
      <w:r>
        <w:rPr>
          <w:rFonts w:hint="cs"/>
          <w:rtl/>
        </w:rPr>
        <w:t xml:space="preserve">לזה </w:t>
      </w:r>
      <w:bookmarkStart w:id="8103" w:name="_ETM_Q9_565279"/>
      <w:bookmarkEnd w:id="8103"/>
      <w:r>
        <w:rPr>
          <w:rFonts w:hint="cs"/>
          <w:rtl/>
        </w:rPr>
        <w:t>"חוק</w:t>
      </w:r>
      <w:bookmarkStart w:id="8104" w:name="_ETM_Q9_565520"/>
      <w:bookmarkEnd w:id="8104"/>
      <w:r>
        <w:rPr>
          <w:rFonts w:hint="cs"/>
          <w:rtl/>
        </w:rPr>
        <w:t xml:space="preserve">-יסוד". </w:t>
      </w:r>
      <w:bookmarkStart w:id="8105" w:name="_ETM_Q9_567779"/>
      <w:bookmarkEnd w:id="8105"/>
      <w:r>
        <w:rPr>
          <w:rFonts w:hint="cs"/>
          <w:rtl/>
        </w:rPr>
        <w:t xml:space="preserve">בדמוקרטיה </w:t>
      </w:r>
      <w:bookmarkStart w:id="8106" w:name="_ETM_Q9_568829"/>
      <w:bookmarkEnd w:id="8106"/>
      <w:r>
        <w:rPr>
          <w:rFonts w:hint="cs"/>
          <w:rtl/>
        </w:rPr>
        <w:t xml:space="preserve">העתידית </w:t>
      </w:r>
      <w:bookmarkStart w:id="8107" w:name="_ETM_Q9_569369"/>
      <w:bookmarkEnd w:id="8107"/>
      <w:r>
        <w:rPr>
          <w:rFonts w:hint="cs"/>
          <w:rtl/>
        </w:rPr>
        <w:t xml:space="preserve">שאתם </w:t>
      </w:r>
      <w:bookmarkStart w:id="8108" w:name="_ETM_Q9_569789"/>
      <w:bookmarkEnd w:id="8108"/>
      <w:r>
        <w:rPr>
          <w:rFonts w:hint="cs"/>
          <w:rtl/>
        </w:rPr>
        <w:t xml:space="preserve">מסדרים </w:t>
      </w:r>
      <w:bookmarkStart w:id="8109" w:name="_ETM_Q9_570329"/>
      <w:bookmarkEnd w:id="8109"/>
      <w:r>
        <w:rPr>
          <w:rFonts w:hint="cs"/>
          <w:rtl/>
        </w:rPr>
        <w:t xml:space="preserve">לנו, </w:t>
      </w:r>
      <w:bookmarkStart w:id="8110" w:name="_ETM_Q9_571319"/>
      <w:bookmarkEnd w:id="8110"/>
      <w:r>
        <w:rPr>
          <w:rFonts w:hint="cs"/>
          <w:rtl/>
        </w:rPr>
        <w:t xml:space="preserve">השופטים </w:t>
      </w:r>
      <w:bookmarkStart w:id="8111" w:name="_ETM_Q9_571950"/>
      <w:bookmarkEnd w:id="8111"/>
      <w:r>
        <w:rPr>
          <w:rFonts w:hint="cs"/>
          <w:rtl/>
        </w:rPr>
        <w:t xml:space="preserve">יהיו </w:t>
      </w:r>
      <w:bookmarkStart w:id="8112" w:name="_ETM_Q9_572130"/>
      <w:bookmarkEnd w:id="8112"/>
      <w:r>
        <w:rPr>
          <w:rFonts w:hint="cs"/>
          <w:rtl/>
        </w:rPr>
        <w:t xml:space="preserve">שופטים </w:t>
      </w:r>
      <w:bookmarkStart w:id="8113" w:name="_ETM_Q9_572579"/>
      <w:bookmarkEnd w:id="8113"/>
      <w:r>
        <w:rPr>
          <w:rFonts w:hint="cs"/>
          <w:rtl/>
        </w:rPr>
        <w:t xml:space="preserve">עליונים, </w:t>
      </w:r>
      <w:bookmarkStart w:id="8114" w:name="_ETM_Q9_573119"/>
      <w:bookmarkEnd w:id="8114"/>
      <w:r>
        <w:rPr>
          <w:rFonts w:hint="cs"/>
          <w:rtl/>
        </w:rPr>
        <w:t xml:space="preserve">כמו </w:t>
      </w:r>
      <w:bookmarkStart w:id="8115" w:name="_ETM_Q9_573359"/>
      <w:bookmarkEnd w:id="8115"/>
      <w:r>
        <w:rPr>
          <w:rFonts w:hint="cs"/>
          <w:rtl/>
        </w:rPr>
        <w:t xml:space="preserve">פרופ' </w:t>
      </w:r>
      <w:bookmarkStart w:id="8116" w:name="_ETM_Q9_573899"/>
      <w:bookmarkEnd w:id="8116"/>
      <w:r>
        <w:rPr>
          <w:rFonts w:hint="cs"/>
          <w:rtl/>
        </w:rPr>
        <w:t xml:space="preserve">טליה </w:t>
      </w:r>
      <w:bookmarkStart w:id="8117" w:name="_ETM_Q9_574380"/>
      <w:bookmarkEnd w:id="8117"/>
      <w:r>
        <w:rPr>
          <w:rFonts w:hint="cs"/>
          <w:rtl/>
        </w:rPr>
        <w:t xml:space="preserve">איינהורן. </w:t>
      </w:r>
      <w:bookmarkStart w:id="8118" w:name="_ETM_Q9_575799"/>
      <w:bookmarkEnd w:id="8118"/>
      <w:r>
        <w:rPr>
          <w:rFonts w:hint="cs"/>
          <w:rtl/>
        </w:rPr>
        <w:t xml:space="preserve">מישהו </w:t>
      </w:r>
      <w:bookmarkStart w:id="8119" w:name="_ETM_Q9_576279"/>
      <w:bookmarkEnd w:id="8119"/>
      <w:r>
        <w:rPr>
          <w:rFonts w:hint="cs"/>
          <w:rtl/>
        </w:rPr>
        <w:t xml:space="preserve">צפה </w:t>
      </w:r>
      <w:bookmarkStart w:id="8120" w:name="_ETM_Q9_576880"/>
      <w:bookmarkEnd w:id="8120"/>
      <w:r>
        <w:rPr>
          <w:rFonts w:hint="cs"/>
          <w:rtl/>
        </w:rPr>
        <w:t xml:space="preserve">ביום </w:t>
      </w:r>
      <w:bookmarkStart w:id="8121" w:name="_ETM_Q9_577240"/>
      <w:bookmarkEnd w:id="8121"/>
      <w:r>
        <w:rPr>
          <w:rFonts w:hint="cs"/>
          <w:rtl/>
        </w:rPr>
        <w:t xml:space="preserve">שישי </w:t>
      </w:r>
      <w:bookmarkStart w:id="8122" w:name="_ETM_Q9_577810"/>
      <w:bookmarkEnd w:id="8122"/>
      <w:r>
        <w:rPr>
          <w:rFonts w:hint="cs"/>
          <w:rtl/>
        </w:rPr>
        <w:t xml:space="preserve">באופירה </w:t>
      </w:r>
      <w:bookmarkStart w:id="8123" w:name="_ETM_Q9_578409"/>
      <w:bookmarkEnd w:id="8123"/>
      <w:r>
        <w:rPr>
          <w:rFonts w:hint="cs"/>
          <w:rtl/>
        </w:rPr>
        <w:t xml:space="preserve">וברקו? </w:t>
      </w:r>
      <w:bookmarkStart w:id="8124" w:name="_ETM_Q9_580469"/>
      <w:bookmarkEnd w:id="8124"/>
      <w:r>
        <w:rPr>
          <w:rFonts w:hint="cs"/>
          <w:rtl/>
        </w:rPr>
        <w:t xml:space="preserve">אופירה וברקו </w:t>
      </w:r>
      <w:bookmarkStart w:id="8125" w:name="_ETM_Q9_581039"/>
      <w:bookmarkEnd w:id="8125"/>
      <w:r>
        <w:rPr>
          <w:rFonts w:hint="cs"/>
          <w:rtl/>
        </w:rPr>
        <w:t xml:space="preserve">שאלו אותה </w:t>
      </w:r>
      <w:bookmarkStart w:id="8126" w:name="_ETM_Q9_582749"/>
      <w:bookmarkEnd w:id="8126"/>
      <w:r>
        <w:rPr>
          <w:rFonts w:hint="cs"/>
          <w:rtl/>
        </w:rPr>
        <w:t xml:space="preserve">שאלה </w:t>
      </w:r>
      <w:bookmarkStart w:id="8127" w:name="_ETM_Q9_583009"/>
      <w:bookmarkEnd w:id="8127"/>
      <w:r>
        <w:rPr>
          <w:rFonts w:hint="cs"/>
          <w:rtl/>
        </w:rPr>
        <w:t xml:space="preserve">פשוטה </w:t>
      </w:r>
      <w:r>
        <w:t>–</w:t>
      </w:r>
      <w:r>
        <w:rPr>
          <w:rFonts w:hint="cs"/>
          <w:rtl/>
        </w:rPr>
        <w:t xml:space="preserve"> </w:t>
      </w:r>
      <w:bookmarkStart w:id="8128" w:name="_ETM_Q9_584479"/>
      <w:bookmarkEnd w:id="8128"/>
      <w:r>
        <w:rPr>
          <w:rFonts w:hint="cs"/>
          <w:rtl/>
        </w:rPr>
        <w:t xml:space="preserve">היא </w:t>
      </w:r>
      <w:bookmarkStart w:id="8129" w:name="_ETM_Q9_584659"/>
      <w:bookmarkEnd w:id="8129"/>
      <w:r>
        <w:rPr>
          <w:rFonts w:hint="cs"/>
          <w:rtl/>
        </w:rPr>
        <w:t xml:space="preserve">המועמדת </w:t>
      </w:r>
      <w:bookmarkStart w:id="8130" w:name="_ETM_Q9_585229"/>
      <w:bookmarkEnd w:id="8130"/>
      <w:r>
        <w:rPr>
          <w:rFonts w:hint="cs"/>
          <w:rtl/>
        </w:rPr>
        <w:t xml:space="preserve">שלהם </w:t>
      </w:r>
      <w:bookmarkStart w:id="8131" w:name="_ETM_Q9_585560"/>
      <w:bookmarkEnd w:id="8131"/>
      <w:r>
        <w:rPr>
          <w:rFonts w:hint="cs"/>
          <w:rtl/>
        </w:rPr>
        <w:t xml:space="preserve">לבית </w:t>
      </w:r>
      <w:bookmarkStart w:id="8132" w:name="_ETM_Q9_585899"/>
      <w:bookmarkEnd w:id="8132"/>
      <w:r>
        <w:rPr>
          <w:rFonts w:hint="cs"/>
          <w:rtl/>
        </w:rPr>
        <w:t xml:space="preserve">המשפט </w:t>
      </w:r>
      <w:bookmarkStart w:id="8133" w:name="_ETM_Q9_586979"/>
      <w:bookmarkEnd w:id="8133"/>
      <w:r>
        <w:rPr>
          <w:rFonts w:hint="cs"/>
          <w:rtl/>
        </w:rPr>
        <w:t xml:space="preserve">העליון, </w:t>
      </w:r>
      <w:r>
        <w:rPr>
          <w:rFonts w:hint="cs"/>
        </w:rPr>
        <w:t xml:space="preserve"> </w:t>
      </w:r>
      <w:r>
        <w:t>embrace yourself</w:t>
      </w:r>
      <w:bookmarkStart w:id="8134" w:name="_ETM_Q9_590642"/>
      <w:bookmarkStart w:id="8135" w:name="_ETM_Q9_590761"/>
      <w:bookmarkStart w:id="8136" w:name="_ETM_Q9_590794"/>
      <w:bookmarkStart w:id="8137" w:name="_ETM_Q9_590888"/>
      <w:bookmarkStart w:id="8138" w:name="_ETM_Q9_587909"/>
      <w:bookmarkStart w:id="8139" w:name="_ETM_Q9_589960"/>
      <w:bookmarkEnd w:id="8134"/>
      <w:bookmarkEnd w:id="8135"/>
      <w:bookmarkEnd w:id="8136"/>
      <w:bookmarkEnd w:id="8137"/>
      <w:bookmarkEnd w:id="8138"/>
      <w:bookmarkEnd w:id="8139"/>
      <w:r>
        <w:rPr>
          <w:rFonts w:hint="cs"/>
          <w:rtl/>
        </w:rPr>
        <w:t xml:space="preserve">– אומרים </w:t>
      </w:r>
      <w:bookmarkStart w:id="8140" w:name="_ETM_Q9_590259"/>
      <w:bookmarkEnd w:id="8140"/>
      <w:r>
        <w:rPr>
          <w:rFonts w:hint="cs"/>
          <w:rtl/>
        </w:rPr>
        <w:t xml:space="preserve">לה: </w:t>
      </w:r>
      <w:bookmarkStart w:id="8141" w:name="_ETM_Q9_590350"/>
      <w:bookmarkEnd w:id="8141"/>
      <w:r>
        <w:rPr>
          <w:rFonts w:hint="cs"/>
          <w:rtl/>
        </w:rPr>
        <w:t xml:space="preserve">תגידי, </w:t>
      </w:r>
      <w:bookmarkStart w:id="8142" w:name="_ETM_Q9_591789"/>
      <w:bookmarkEnd w:id="8142"/>
      <w:r>
        <w:rPr>
          <w:rFonts w:hint="cs"/>
          <w:rtl/>
        </w:rPr>
        <w:t xml:space="preserve">מה </w:t>
      </w:r>
      <w:bookmarkStart w:id="8143" w:name="_ETM_Q9_592060"/>
      <w:bookmarkEnd w:id="8143"/>
      <w:r>
        <w:rPr>
          <w:rFonts w:hint="cs"/>
          <w:rtl/>
        </w:rPr>
        <w:t xml:space="preserve">יש </w:t>
      </w:r>
      <w:bookmarkStart w:id="8144" w:name="_ETM_Q9_592240"/>
      <w:bookmarkEnd w:id="8144"/>
      <w:r>
        <w:rPr>
          <w:rFonts w:hint="cs"/>
          <w:rtl/>
        </w:rPr>
        <w:t xml:space="preserve">לך </w:t>
      </w:r>
      <w:bookmarkStart w:id="8145" w:name="_ETM_Q9_592450"/>
      <w:bookmarkEnd w:id="8145"/>
      <w:r>
        <w:rPr>
          <w:rFonts w:hint="cs"/>
          <w:rtl/>
        </w:rPr>
        <w:t xml:space="preserve">לומר </w:t>
      </w:r>
      <w:bookmarkStart w:id="8146" w:name="_ETM_Q9_593079"/>
      <w:bookmarkEnd w:id="8146"/>
      <w:r>
        <w:rPr>
          <w:rFonts w:hint="cs"/>
          <w:rtl/>
        </w:rPr>
        <w:t xml:space="preserve">על </w:t>
      </w:r>
      <w:bookmarkStart w:id="8147" w:name="_ETM_Q9_593229"/>
      <w:bookmarkEnd w:id="8147"/>
      <w:r>
        <w:rPr>
          <w:rFonts w:hint="cs"/>
          <w:rtl/>
        </w:rPr>
        <w:t xml:space="preserve">ההסתה </w:t>
      </w:r>
      <w:bookmarkStart w:id="8148" w:name="_ETM_Q9_594000"/>
      <w:bookmarkEnd w:id="8148"/>
      <w:r>
        <w:rPr>
          <w:rFonts w:hint="cs"/>
          <w:rtl/>
        </w:rPr>
        <w:t xml:space="preserve">הפרועה </w:t>
      </w:r>
      <w:bookmarkStart w:id="8149" w:name="_ETM_Q9_594509"/>
      <w:bookmarkEnd w:id="8149"/>
      <w:r>
        <w:rPr>
          <w:rFonts w:hint="cs"/>
          <w:rtl/>
        </w:rPr>
        <w:t xml:space="preserve">כנגד </w:t>
      </w:r>
      <w:bookmarkStart w:id="8150" w:name="_ETM_Q9_595079"/>
      <w:bookmarkEnd w:id="8150"/>
      <w:r>
        <w:rPr>
          <w:rFonts w:hint="cs"/>
          <w:rtl/>
        </w:rPr>
        <w:t xml:space="preserve">היועצת </w:t>
      </w:r>
      <w:bookmarkStart w:id="8151" w:name="_ETM_Q9_595589"/>
      <w:bookmarkEnd w:id="8151"/>
      <w:r>
        <w:rPr>
          <w:rFonts w:hint="cs"/>
          <w:rtl/>
        </w:rPr>
        <w:t xml:space="preserve">המשפטית </w:t>
      </w:r>
      <w:bookmarkStart w:id="8152" w:name="_ETM_Q9_596130"/>
      <w:bookmarkEnd w:id="8152"/>
      <w:r>
        <w:rPr>
          <w:rFonts w:hint="cs"/>
          <w:rtl/>
        </w:rPr>
        <w:t xml:space="preserve">לממשלה? </w:t>
      </w:r>
      <w:bookmarkStart w:id="8153" w:name="_ETM_Q9_597240"/>
      <w:bookmarkEnd w:id="8153"/>
      <w:r>
        <w:rPr>
          <w:rFonts w:hint="cs"/>
          <w:rtl/>
        </w:rPr>
        <w:t xml:space="preserve">זה </w:t>
      </w:r>
      <w:bookmarkStart w:id="8154" w:name="_ETM_Q9_597539"/>
      <w:bookmarkEnd w:id="8154"/>
      <w:r>
        <w:rPr>
          <w:rFonts w:hint="cs"/>
          <w:rtl/>
        </w:rPr>
        <w:t xml:space="preserve">תקין </w:t>
      </w:r>
      <w:bookmarkStart w:id="8155" w:name="_ETM_Q9_598409"/>
      <w:bookmarkStart w:id="8156" w:name="_ETM_Q9_599790"/>
      <w:bookmarkEnd w:id="8155"/>
      <w:bookmarkEnd w:id="8156"/>
      <w:r>
        <w:rPr>
          <w:rFonts w:hint="cs"/>
          <w:rtl/>
        </w:rPr>
        <w:t>בעינייך?</w:t>
      </w:r>
      <w:bookmarkStart w:id="8157" w:name="_ETM_Q9_601705"/>
      <w:bookmarkStart w:id="8158" w:name="_ETM_Q9_601783"/>
      <w:bookmarkEnd w:id="8157"/>
      <w:bookmarkEnd w:id="8158"/>
      <w:r>
        <w:rPr>
          <w:rFonts w:hint="cs"/>
          <w:rtl/>
        </w:rPr>
        <w:t xml:space="preserve"> היא </w:t>
      </w:r>
      <w:bookmarkStart w:id="8159" w:name="_ETM_Q9_599909"/>
      <w:bookmarkStart w:id="8160" w:name="_ETM_Q9_600089"/>
      <w:bookmarkEnd w:id="8159"/>
      <w:bookmarkEnd w:id="8160"/>
      <w:r>
        <w:rPr>
          <w:rFonts w:hint="cs"/>
          <w:rtl/>
        </w:rPr>
        <w:t xml:space="preserve">לוגמת </w:t>
      </w:r>
      <w:bookmarkStart w:id="8161" w:name="_ETM_Q9_600600"/>
      <w:bookmarkEnd w:id="8161"/>
      <w:r>
        <w:rPr>
          <w:rFonts w:hint="cs"/>
          <w:rtl/>
        </w:rPr>
        <w:t xml:space="preserve">מכוס </w:t>
      </w:r>
      <w:bookmarkStart w:id="8162" w:name="_ETM_Q9_601080"/>
      <w:bookmarkEnd w:id="8162"/>
      <w:r>
        <w:rPr>
          <w:rFonts w:hint="cs"/>
          <w:rtl/>
        </w:rPr>
        <w:t xml:space="preserve">מים </w:t>
      </w:r>
      <w:bookmarkStart w:id="8163" w:name="_ETM_Q9_601439"/>
      <w:bookmarkEnd w:id="8163"/>
      <w:r>
        <w:rPr>
          <w:rFonts w:hint="cs"/>
          <w:rtl/>
        </w:rPr>
        <w:t xml:space="preserve">ואומרת: </w:t>
      </w:r>
      <w:bookmarkStart w:id="8164" w:name="_ETM_Q9_601710"/>
      <w:bookmarkEnd w:id="8164"/>
      <w:r>
        <w:rPr>
          <w:rFonts w:hint="cs"/>
          <w:rtl/>
        </w:rPr>
        <w:t xml:space="preserve">זה </w:t>
      </w:r>
      <w:bookmarkStart w:id="8165" w:name="_ETM_Q9_601830"/>
      <w:bookmarkEnd w:id="8165"/>
      <w:r>
        <w:rPr>
          <w:rFonts w:hint="cs"/>
          <w:rtl/>
        </w:rPr>
        <w:t xml:space="preserve">לא </w:t>
      </w:r>
      <w:bookmarkStart w:id="8166" w:name="_ETM_Q9_601950"/>
      <w:bookmarkEnd w:id="8166"/>
      <w:r>
        <w:rPr>
          <w:rFonts w:hint="cs"/>
          <w:rtl/>
        </w:rPr>
        <w:t xml:space="preserve">קרה, </w:t>
      </w:r>
      <w:bookmarkStart w:id="8167" w:name="_ETM_Q9_602310"/>
      <w:bookmarkEnd w:id="8167"/>
      <w:r>
        <w:rPr>
          <w:rFonts w:hint="cs"/>
          <w:rtl/>
        </w:rPr>
        <w:t xml:space="preserve">זה </w:t>
      </w:r>
      <w:bookmarkStart w:id="8168" w:name="_ETM_Q9_602490"/>
      <w:bookmarkEnd w:id="8168"/>
      <w:r>
        <w:rPr>
          <w:rFonts w:hint="cs"/>
          <w:rtl/>
        </w:rPr>
        <w:t xml:space="preserve">לא </w:t>
      </w:r>
      <w:bookmarkStart w:id="8169" w:name="_ETM_Q9_602580"/>
      <w:bookmarkEnd w:id="8169"/>
      <w:r>
        <w:rPr>
          <w:rFonts w:hint="cs"/>
          <w:rtl/>
        </w:rPr>
        <w:t xml:space="preserve">נכון, </w:t>
      </w:r>
      <w:bookmarkStart w:id="8170" w:name="_ETM_Q9_602939"/>
      <w:bookmarkEnd w:id="8170"/>
      <w:r>
        <w:rPr>
          <w:rFonts w:hint="cs"/>
          <w:rtl/>
        </w:rPr>
        <w:t xml:space="preserve">זה </w:t>
      </w:r>
      <w:bookmarkStart w:id="8171" w:name="_ETM_Q9_603089"/>
      <w:bookmarkEnd w:id="8171"/>
      <w:r>
        <w:rPr>
          <w:rFonts w:hint="cs"/>
          <w:rtl/>
        </w:rPr>
        <w:t xml:space="preserve">לא </w:t>
      </w:r>
      <w:bookmarkStart w:id="8172" w:name="_ETM_Q9_603270"/>
      <w:bookmarkStart w:id="8173" w:name="_ETM_Q9_604579"/>
      <w:bookmarkStart w:id="8174" w:name="_ETM_Q9_604684"/>
      <w:bookmarkEnd w:id="8172"/>
      <w:bookmarkEnd w:id="8173"/>
      <w:bookmarkEnd w:id="8174"/>
      <w:r>
        <w:rPr>
          <w:rFonts w:hint="cs"/>
          <w:rtl/>
        </w:rPr>
        <w:t xml:space="preserve">נאמר. </w:t>
      </w:r>
      <w:bookmarkStart w:id="8175" w:name="_ETM_Q9_607604"/>
      <w:bookmarkStart w:id="8176" w:name="_ETM_Q9_604741"/>
      <w:bookmarkEnd w:id="8175"/>
      <w:bookmarkEnd w:id="8176"/>
      <w:r>
        <w:rPr>
          <w:rFonts w:hint="cs"/>
          <w:rtl/>
        </w:rPr>
        <w:t xml:space="preserve">מראים </w:t>
      </w:r>
      <w:bookmarkStart w:id="8177" w:name="_ETM_Q9_605029"/>
      <w:bookmarkEnd w:id="8177"/>
      <w:r>
        <w:rPr>
          <w:rFonts w:hint="cs"/>
          <w:rtl/>
        </w:rPr>
        <w:t xml:space="preserve">לה </w:t>
      </w:r>
      <w:bookmarkStart w:id="8178" w:name="_ETM_Q9_605180"/>
      <w:bookmarkEnd w:id="8178"/>
      <w:r>
        <w:rPr>
          <w:rFonts w:hint="cs"/>
          <w:rtl/>
        </w:rPr>
        <w:t xml:space="preserve">את </w:t>
      </w:r>
      <w:bookmarkStart w:id="8179" w:name="_ETM_Q9_605360"/>
      <w:bookmarkEnd w:id="8179"/>
      <w:r>
        <w:rPr>
          <w:rFonts w:hint="cs"/>
          <w:rtl/>
        </w:rPr>
        <w:t xml:space="preserve">הקטע </w:t>
      </w:r>
      <w:bookmarkStart w:id="8180" w:name="_ETM_Q9_605869"/>
      <w:bookmarkEnd w:id="8180"/>
      <w:r>
        <w:rPr>
          <w:rFonts w:hint="cs"/>
          <w:rtl/>
        </w:rPr>
        <w:t xml:space="preserve">שהדברים </w:t>
      </w:r>
      <w:bookmarkStart w:id="8181" w:name="_ETM_Q9_606470"/>
      <w:bookmarkEnd w:id="8181"/>
      <w:r>
        <w:rPr>
          <w:rFonts w:hint="cs"/>
          <w:rtl/>
        </w:rPr>
        <w:t xml:space="preserve">נאמרו </w:t>
      </w:r>
      <w:bookmarkStart w:id="8182" w:name="_ETM_Q9_606799"/>
      <w:bookmarkEnd w:id="8182"/>
      <w:r>
        <w:rPr>
          <w:rFonts w:hint="cs"/>
          <w:rtl/>
        </w:rPr>
        <w:t xml:space="preserve">– שותה </w:t>
      </w:r>
      <w:bookmarkStart w:id="8183" w:name="_ETM_Q9_607159"/>
      <w:bookmarkEnd w:id="8183"/>
      <w:r>
        <w:rPr>
          <w:rFonts w:hint="cs"/>
          <w:rtl/>
        </w:rPr>
        <w:t xml:space="preserve">כוס </w:t>
      </w:r>
      <w:bookmarkStart w:id="8184" w:name="_ETM_Q9_607430"/>
      <w:bookmarkEnd w:id="8184"/>
      <w:r>
        <w:rPr>
          <w:rFonts w:hint="cs"/>
          <w:rtl/>
        </w:rPr>
        <w:t xml:space="preserve">מים. </w:t>
      </w:r>
      <w:bookmarkStart w:id="8185" w:name="_ETM_Q9_608489"/>
      <w:bookmarkStart w:id="8186" w:name="_ETM_Q9_606918"/>
      <w:bookmarkStart w:id="8187" w:name="_ETM_Q9_606978"/>
      <w:bookmarkStart w:id="8188" w:name="_ETM_Q9_607110"/>
      <w:bookmarkStart w:id="8189" w:name="_ETM_Q9_607189"/>
      <w:bookmarkStart w:id="8190" w:name="_ETM_Q9_614511"/>
      <w:bookmarkStart w:id="8191" w:name="_ETM_Q9_614561"/>
      <w:bookmarkStart w:id="8192" w:name="_ETM_Q9_614639"/>
      <w:bookmarkStart w:id="8193" w:name="_ETM_Q9_614681"/>
      <w:bookmarkEnd w:id="8185"/>
      <w:bookmarkEnd w:id="8186"/>
      <w:bookmarkEnd w:id="8187"/>
      <w:bookmarkEnd w:id="8188"/>
      <w:bookmarkEnd w:id="8189"/>
      <w:bookmarkEnd w:id="8190"/>
      <w:bookmarkEnd w:id="8191"/>
      <w:bookmarkEnd w:id="8192"/>
      <w:bookmarkEnd w:id="8193"/>
      <w:r>
        <w:rPr>
          <w:rFonts w:hint="cs"/>
          <w:rtl/>
        </w:rPr>
        <w:t xml:space="preserve">שאלה </w:t>
      </w:r>
      <w:bookmarkStart w:id="8194" w:name="_ETM_Q9_608970"/>
      <w:bookmarkEnd w:id="8194"/>
      <w:r>
        <w:rPr>
          <w:rFonts w:hint="cs"/>
          <w:rtl/>
        </w:rPr>
        <w:t xml:space="preserve">שנייה </w:t>
      </w:r>
      <w:bookmarkStart w:id="8195" w:name="_ETM_Q9_609599"/>
      <w:bookmarkEnd w:id="8195"/>
      <w:r>
        <w:rPr>
          <w:rFonts w:hint="cs"/>
          <w:rtl/>
        </w:rPr>
        <w:t>שמ</w:t>
      </w:r>
      <w:bookmarkStart w:id="8196" w:name="_ETM_Q9_609660"/>
      <w:bookmarkEnd w:id="8196"/>
      <w:r>
        <w:rPr>
          <w:rFonts w:hint="cs"/>
          <w:rtl/>
        </w:rPr>
        <w:t xml:space="preserve">פנים </w:t>
      </w:r>
      <w:bookmarkStart w:id="8197" w:name="_ETM_Q9_610020"/>
      <w:bookmarkEnd w:id="8197"/>
      <w:r>
        <w:rPr>
          <w:rFonts w:hint="cs"/>
          <w:rtl/>
        </w:rPr>
        <w:t xml:space="preserve">אליה: </w:t>
      </w:r>
      <w:bookmarkStart w:id="8198" w:name="_ETM_Q9_610950"/>
      <w:bookmarkEnd w:id="8198"/>
      <w:r>
        <w:rPr>
          <w:rFonts w:hint="cs"/>
          <w:rtl/>
        </w:rPr>
        <w:t xml:space="preserve">האם </w:t>
      </w:r>
      <w:bookmarkStart w:id="8199" w:name="_ETM_Q9_611340"/>
      <w:bookmarkEnd w:id="8199"/>
      <w:r>
        <w:rPr>
          <w:rFonts w:hint="cs"/>
          <w:rtl/>
        </w:rPr>
        <w:t xml:space="preserve">רוסיה </w:t>
      </w:r>
      <w:bookmarkStart w:id="8200" w:name="_ETM_Q9_611940"/>
      <w:bookmarkEnd w:id="8200"/>
      <w:r>
        <w:rPr>
          <w:rFonts w:hint="cs"/>
          <w:rtl/>
        </w:rPr>
        <w:t xml:space="preserve">היא </w:t>
      </w:r>
      <w:bookmarkStart w:id="8201" w:name="_ETM_Q9_612030"/>
      <w:bookmarkEnd w:id="8201"/>
      <w:r>
        <w:rPr>
          <w:rFonts w:hint="cs"/>
          <w:rtl/>
        </w:rPr>
        <w:t xml:space="preserve">לדעתך </w:t>
      </w:r>
      <w:bookmarkStart w:id="8202" w:name="_ETM_Q9_612630"/>
      <w:bookmarkEnd w:id="8202"/>
      <w:r>
        <w:rPr>
          <w:rFonts w:hint="cs"/>
          <w:rtl/>
        </w:rPr>
        <w:t xml:space="preserve">דמוקרטיה או </w:t>
      </w:r>
      <w:bookmarkStart w:id="8203" w:name="_ETM_Q9_613500"/>
      <w:bookmarkEnd w:id="8203"/>
      <w:r>
        <w:rPr>
          <w:rFonts w:hint="cs"/>
          <w:rtl/>
        </w:rPr>
        <w:t xml:space="preserve">שהיא </w:t>
      </w:r>
      <w:bookmarkStart w:id="8204" w:name="_ETM_Q9_613770"/>
      <w:bookmarkEnd w:id="8204"/>
      <w:r>
        <w:rPr>
          <w:rFonts w:hint="cs"/>
          <w:rtl/>
        </w:rPr>
        <w:t xml:space="preserve">לא </w:t>
      </w:r>
      <w:bookmarkStart w:id="8205" w:name="_ETM_Q9_613950"/>
      <w:bookmarkEnd w:id="8205"/>
      <w:r>
        <w:rPr>
          <w:rFonts w:hint="cs"/>
          <w:rtl/>
        </w:rPr>
        <w:t>דמוקרטיה?</w:t>
      </w:r>
      <w:bookmarkStart w:id="8206" w:name="_ETM_Q9_615390"/>
      <w:bookmarkEnd w:id="8206"/>
      <w:r>
        <w:rPr>
          <w:rFonts w:hint="cs"/>
          <w:rtl/>
        </w:rPr>
        <w:t xml:space="preserve"> והיא </w:t>
      </w:r>
      <w:bookmarkStart w:id="8207" w:name="_ETM_Q9_615720"/>
      <w:bookmarkEnd w:id="8207"/>
      <w:r>
        <w:rPr>
          <w:rFonts w:hint="cs"/>
          <w:rtl/>
        </w:rPr>
        <w:t xml:space="preserve">שתתה </w:t>
      </w:r>
      <w:bookmarkStart w:id="8208" w:name="_ETM_Q9_616319"/>
      <w:bookmarkEnd w:id="8208"/>
      <w:r>
        <w:rPr>
          <w:rFonts w:hint="cs"/>
          <w:rtl/>
        </w:rPr>
        <w:t xml:space="preserve">כוס </w:t>
      </w:r>
      <w:bookmarkStart w:id="8209" w:name="_ETM_Q9_616680"/>
      <w:bookmarkEnd w:id="8209"/>
      <w:r>
        <w:rPr>
          <w:rFonts w:hint="cs"/>
          <w:rtl/>
        </w:rPr>
        <w:t xml:space="preserve">מים. </w:t>
      </w:r>
      <w:bookmarkStart w:id="8210" w:name="_ETM_Q9_619020"/>
      <w:bookmarkStart w:id="8211" w:name="_ETM_Q9_619409"/>
      <w:bookmarkEnd w:id="8210"/>
      <w:bookmarkEnd w:id="8211"/>
      <w:r>
        <w:rPr>
          <w:rFonts w:hint="cs"/>
          <w:rtl/>
        </w:rPr>
        <w:t xml:space="preserve">אל </w:t>
      </w:r>
      <w:bookmarkStart w:id="8212" w:name="_ETM_Q9_619620"/>
      <w:bookmarkEnd w:id="8212"/>
      <w:r>
        <w:rPr>
          <w:rFonts w:hint="cs"/>
          <w:rtl/>
        </w:rPr>
        <w:t xml:space="preserve">תתבלבלו: </w:t>
      </w:r>
      <w:bookmarkStart w:id="8213" w:name="_ETM_Q9_621170"/>
      <w:bookmarkEnd w:id="8213"/>
      <w:r>
        <w:rPr>
          <w:rFonts w:hint="cs"/>
          <w:rtl/>
        </w:rPr>
        <w:t xml:space="preserve">עליה </w:t>
      </w:r>
      <w:bookmarkStart w:id="8214" w:name="_ETM_Q9_621739"/>
      <w:bookmarkEnd w:id="8214"/>
      <w:r>
        <w:rPr>
          <w:rFonts w:hint="cs"/>
          <w:rtl/>
        </w:rPr>
        <w:t xml:space="preserve">ועל </w:t>
      </w:r>
      <w:bookmarkStart w:id="8215" w:name="_ETM_Q9_622010"/>
      <w:bookmarkEnd w:id="8215"/>
      <w:r>
        <w:rPr>
          <w:rFonts w:hint="cs"/>
          <w:rtl/>
        </w:rPr>
        <w:t xml:space="preserve">שכמותה </w:t>
      </w:r>
      <w:bookmarkStart w:id="8216" w:name="_ETM_Q9_623090"/>
      <w:bookmarkEnd w:id="8216"/>
      <w:r>
        <w:rPr>
          <w:rFonts w:hint="cs"/>
          <w:rtl/>
        </w:rPr>
        <w:t xml:space="preserve">הם </w:t>
      </w:r>
      <w:bookmarkStart w:id="8217" w:name="_ETM_Q9_623299"/>
      <w:bookmarkEnd w:id="8217"/>
      <w:r>
        <w:rPr>
          <w:rFonts w:hint="cs"/>
          <w:rtl/>
        </w:rPr>
        <w:t xml:space="preserve">בונים, </w:t>
      </w:r>
      <w:bookmarkStart w:id="8218" w:name="_ETM_Q9_624459"/>
      <w:bookmarkEnd w:id="8218"/>
      <w:r>
        <w:rPr>
          <w:rFonts w:hint="cs"/>
          <w:rtl/>
        </w:rPr>
        <w:t xml:space="preserve">לא על שופטים </w:t>
      </w:r>
      <w:bookmarkStart w:id="8219" w:name="_ETM_Q9_625209"/>
      <w:bookmarkEnd w:id="8219"/>
      <w:r>
        <w:rPr>
          <w:rFonts w:hint="cs"/>
          <w:rtl/>
        </w:rPr>
        <w:t xml:space="preserve">מקצועיים </w:t>
      </w:r>
      <w:bookmarkStart w:id="8220" w:name="_ETM_Q9_626290"/>
      <w:bookmarkEnd w:id="8220"/>
      <w:r>
        <w:rPr>
          <w:rFonts w:hint="cs"/>
          <w:rtl/>
        </w:rPr>
        <w:t xml:space="preserve">עם </w:t>
      </w:r>
      <w:bookmarkStart w:id="8221" w:name="_ETM_Q9_626439"/>
      <w:bookmarkEnd w:id="8221"/>
      <w:r>
        <w:rPr>
          <w:rFonts w:hint="cs"/>
          <w:rtl/>
        </w:rPr>
        <w:t xml:space="preserve">שיעור </w:t>
      </w:r>
      <w:bookmarkStart w:id="8222" w:name="_ETM_Q9_626829"/>
      <w:bookmarkEnd w:id="8222"/>
      <w:r>
        <w:rPr>
          <w:rFonts w:hint="cs"/>
          <w:rtl/>
        </w:rPr>
        <w:t xml:space="preserve">קומה, </w:t>
      </w:r>
      <w:bookmarkStart w:id="8223" w:name="_ETM_Q9_627790"/>
      <w:bookmarkEnd w:id="8223"/>
      <w:r>
        <w:rPr>
          <w:rFonts w:hint="cs"/>
          <w:rtl/>
        </w:rPr>
        <w:t xml:space="preserve">בעלי </w:t>
      </w:r>
      <w:bookmarkStart w:id="8224" w:name="_ETM_Q9_628359"/>
      <w:bookmarkEnd w:id="8224"/>
      <w:r>
        <w:rPr>
          <w:rFonts w:hint="cs"/>
          <w:rtl/>
        </w:rPr>
        <w:t xml:space="preserve">מוניטין </w:t>
      </w:r>
      <w:bookmarkStart w:id="8225" w:name="_ETM_Q9_629590"/>
      <w:bookmarkEnd w:id="8225"/>
      <w:r>
        <w:rPr>
          <w:rFonts w:hint="cs"/>
          <w:rtl/>
        </w:rPr>
        <w:t xml:space="preserve">במערכת </w:t>
      </w:r>
      <w:bookmarkStart w:id="8226" w:name="_ETM_Q9_630400"/>
      <w:bookmarkEnd w:id="8226"/>
      <w:r>
        <w:rPr>
          <w:rFonts w:hint="cs"/>
          <w:rtl/>
        </w:rPr>
        <w:t xml:space="preserve">ובאקדמיה </w:t>
      </w:r>
      <w:bookmarkStart w:id="8227" w:name="_ETM_Q9_631209"/>
      <w:bookmarkEnd w:id="8227"/>
      <w:r>
        <w:rPr>
          <w:rFonts w:hint="cs"/>
          <w:rtl/>
        </w:rPr>
        <w:t xml:space="preserve">המשפטית. </w:t>
      </w:r>
      <w:bookmarkStart w:id="8228" w:name="_ETM_Q9_632350"/>
      <w:bookmarkEnd w:id="8228"/>
      <w:r>
        <w:rPr>
          <w:rFonts w:hint="cs"/>
          <w:rtl/>
        </w:rPr>
        <w:t xml:space="preserve">הם </w:t>
      </w:r>
      <w:bookmarkStart w:id="8229" w:name="_ETM_Q9_632620"/>
      <w:bookmarkEnd w:id="8229"/>
      <w:r>
        <w:rPr>
          <w:rFonts w:hint="cs"/>
          <w:rtl/>
        </w:rPr>
        <w:t xml:space="preserve">צריכים </w:t>
      </w:r>
      <w:bookmarkStart w:id="8230" w:name="_ETM_Q9_633100"/>
      <w:bookmarkEnd w:id="8230"/>
      <w:r>
        <w:rPr>
          <w:rFonts w:hint="cs"/>
          <w:rtl/>
        </w:rPr>
        <w:t xml:space="preserve">שופטים </w:t>
      </w:r>
      <w:bookmarkStart w:id="8231" w:name="_ETM_Q9_633569"/>
      <w:bookmarkEnd w:id="8231"/>
      <w:r>
        <w:rPr>
          <w:rFonts w:hint="cs"/>
          <w:rtl/>
        </w:rPr>
        <w:t>שפוטים.</w:t>
      </w:r>
      <w:bookmarkStart w:id="8232" w:name="_ETM_Q9_640381"/>
      <w:bookmarkStart w:id="8233" w:name="_ETM_Q9_640587"/>
      <w:bookmarkStart w:id="8234" w:name="_ETM_Q9_640619"/>
      <w:bookmarkStart w:id="8235" w:name="_ETM_Q9_640712"/>
      <w:bookmarkStart w:id="8236" w:name="_ETM_Q9_635400"/>
      <w:bookmarkEnd w:id="8232"/>
      <w:bookmarkEnd w:id="8233"/>
      <w:bookmarkEnd w:id="8234"/>
      <w:bookmarkEnd w:id="8235"/>
      <w:bookmarkEnd w:id="8236"/>
      <w:r>
        <w:rPr>
          <w:rFonts w:hint="cs"/>
          <w:rtl/>
        </w:rPr>
        <w:t xml:space="preserve"> והציבור </w:t>
      </w:r>
      <w:bookmarkStart w:id="8237" w:name="_ETM_Q9_636910"/>
      <w:bookmarkEnd w:id="8237"/>
      <w:r>
        <w:rPr>
          <w:rFonts w:hint="cs"/>
          <w:rtl/>
        </w:rPr>
        <w:t xml:space="preserve">יוצא </w:t>
      </w:r>
      <w:bookmarkStart w:id="8238" w:name="_ETM_Q9_637390"/>
      <w:bookmarkEnd w:id="8238"/>
      <w:r>
        <w:rPr>
          <w:rFonts w:hint="cs"/>
          <w:rtl/>
        </w:rPr>
        <w:t xml:space="preserve">לרחובות, כי </w:t>
      </w:r>
      <w:bookmarkStart w:id="8239" w:name="_ETM_Q9_638200"/>
      <w:bookmarkEnd w:id="8239"/>
      <w:r>
        <w:rPr>
          <w:rFonts w:hint="cs"/>
          <w:rtl/>
        </w:rPr>
        <w:t xml:space="preserve">הוא </w:t>
      </w:r>
      <w:bookmarkStart w:id="8240" w:name="_ETM_Q9_638320"/>
      <w:bookmarkEnd w:id="8240"/>
      <w:r>
        <w:rPr>
          <w:rFonts w:hint="cs"/>
          <w:rtl/>
        </w:rPr>
        <w:t xml:space="preserve">מבין. </w:t>
      </w:r>
      <w:bookmarkStart w:id="8241" w:name="_ETM_Q9_639550"/>
      <w:bookmarkEnd w:id="8241"/>
      <w:r>
        <w:rPr>
          <w:rFonts w:hint="cs"/>
          <w:rtl/>
        </w:rPr>
        <w:t xml:space="preserve">הוא </w:t>
      </w:r>
      <w:bookmarkStart w:id="8242" w:name="_ETM_Q9_639700"/>
      <w:bookmarkEnd w:id="8242"/>
      <w:r>
        <w:rPr>
          <w:rFonts w:hint="cs"/>
          <w:rtl/>
        </w:rPr>
        <w:t xml:space="preserve">מקבל </w:t>
      </w:r>
      <w:bookmarkStart w:id="8243" w:name="_ETM_Q9_640480"/>
      <w:bookmarkEnd w:id="8243"/>
      <w:r>
        <w:rPr>
          <w:rFonts w:hint="cs"/>
          <w:rtl/>
        </w:rPr>
        <w:t xml:space="preserve">בשידור </w:t>
      </w:r>
      <w:bookmarkStart w:id="8244" w:name="_ETM_Q9_641320"/>
      <w:bookmarkEnd w:id="8244"/>
      <w:r>
        <w:rPr>
          <w:rFonts w:hint="cs"/>
          <w:rtl/>
        </w:rPr>
        <w:t xml:space="preserve">חי </w:t>
      </w:r>
      <w:bookmarkStart w:id="8245" w:name="_ETM_Q9_642190"/>
      <w:bookmarkEnd w:id="8245"/>
      <w:r>
        <w:rPr>
          <w:rFonts w:hint="cs"/>
          <w:rtl/>
        </w:rPr>
        <w:t xml:space="preserve">ממשלה </w:t>
      </w:r>
      <w:bookmarkStart w:id="8246" w:name="_ETM_Q9_642970"/>
      <w:bookmarkEnd w:id="8246"/>
      <w:r>
        <w:rPr>
          <w:rFonts w:hint="cs"/>
          <w:rtl/>
        </w:rPr>
        <w:t xml:space="preserve">שמכינה </w:t>
      </w:r>
      <w:bookmarkStart w:id="8247" w:name="_ETM_Q9_644050"/>
      <w:bookmarkEnd w:id="8247"/>
      <w:r>
        <w:rPr>
          <w:rFonts w:hint="cs"/>
          <w:rtl/>
        </w:rPr>
        <w:t xml:space="preserve">הפיכה; </w:t>
      </w:r>
      <w:bookmarkStart w:id="8248" w:name="_ETM_Q9_645209"/>
      <w:bookmarkEnd w:id="8248"/>
      <w:r>
        <w:rPr>
          <w:rFonts w:hint="cs"/>
          <w:rtl/>
        </w:rPr>
        <w:t xml:space="preserve">שמכינה </w:t>
      </w:r>
      <w:bookmarkStart w:id="8249" w:name="_ETM_Q9_645810"/>
      <w:bookmarkEnd w:id="8249"/>
      <w:r>
        <w:rPr>
          <w:rFonts w:hint="cs"/>
          <w:rtl/>
        </w:rPr>
        <w:t xml:space="preserve">את </w:t>
      </w:r>
      <w:bookmarkStart w:id="8250" w:name="_ETM_Q9_645930"/>
      <w:bookmarkEnd w:id="8250"/>
      <w:r>
        <w:rPr>
          <w:rFonts w:hint="cs"/>
          <w:rtl/>
        </w:rPr>
        <w:t xml:space="preserve">הכוח </w:t>
      </w:r>
      <w:bookmarkStart w:id="8251" w:name="_ETM_Q9_646349"/>
      <w:bookmarkEnd w:id="8251"/>
      <w:r>
        <w:rPr>
          <w:rFonts w:hint="cs"/>
          <w:rtl/>
        </w:rPr>
        <w:t xml:space="preserve">לשחיתות, </w:t>
      </w:r>
      <w:bookmarkStart w:id="8252" w:name="_ETM_Q9_647519"/>
      <w:bookmarkEnd w:id="8252"/>
      <w:r>
        <w:rPr>
          <w:rFonts w:hint="cs"/>
          <w:rtl/>
        </w:rPr>
        <w:t xml:space="preserve">לסיאוב, </w:t>
      </w:r>
      <w:bookmarkStart w:id="8253" w:name="_ETM_Q9_648989"/>
      <w:bookmarkEnd w:id="8253"/>
      <w:r>
        <w:rPr>
          <w:rFonts w:hint="cs"/>
          <w:rtl/>
        </w:rPr>
        <w:t xml:space="preserve">כשלצד </w:t>
      </w:r>
      <w:bookmarkStart w:id="8254" w:name="_ETM_Q9_649769"/>
      <w:bookmarkEnd w:id="8254"/>
      <w:r>
        <w:rPr>
          <w:rFonts w:hint="cs"/>
          <w:rtl/>
        </w:rPr>
        <w:t xml:space="preserve">כל </w:t>
      </w:r>
      <w:bookmarkStart w:id="8255" w:name="_ETM_Q9_650030"/>
      <w:bookmarkEnd w:id="8255"/>
      <w:r>
        <w:rPr>
          <w:rFonts w:hint="cs"/>
          <w:rtl/>
        </w:rPr>
        <w:t xml:space="preserve">זה </w:t>
      </w:r>
      <w:bookmarkStart w:id="8256" w:name="_ETM_Q9_650780"/>
      <w:bookmarkEnd w:id="8256"/>
      <w:r>
        <w:rPr>
          <w:rFonts w:hint="cs"/>
          <w:rtl/>
        </w:rPr>
        <w:t xml:space="preserve">הזכויות </w:t>
      </w:r>
      <w:bookmarkStart w:id="8257" w:name="_ETM_Q9_651650"/>
      <w:bookmarkEnd w:id="8257"/>
      <w:r>
        <w:rPr>
          <w:rFonts w:hint="cs"/>
          <w:rtl/>
        </w:rPr>
        <w:t xml:space="preserve">שלהם </w:t>
      </w:r>
      <w:bookmarkStart w:id="8258" w:name="_ETM_Q9_652130"/>
      <w:bookmarkEnd w:id="8258"/>
      <w:r>
        <w:rPr>
          <w:rFonts w:hint="cs"/>
          <w:rtl/>
        </w:rPr>
        <w:t xml:space="preserve">לא </w:t>
      </w:r>
      <w:bookmarkStart w:id="8259" w:name="_ETM_Q9_652340"/>
      <w:bookmarkStart w:id="8260" w:name="_ETM_Q9_652599"/>
      <w:bookmarkEnd w:id="8259"/>
      <w:bookmarkEnd w:id="8260"/>
      <w:r>
        <w:rPr>
          <w:rFonts w:hint="cs"/>
          <w:rtl/>
        </w:rPr>
        <w:t xml:space="preserve">מוגנות. </w:t>
      </w:r>
      <w:bookmarkStart w:id="8261" w:name="_ETM_Q9_653099"/>
      <w:bookmarkEnd w:id="8261"/>
    </w:p>
    <w:p w:rsidR="000C5C1F" w:rsidRDefault="000C5C1F" w:rsidP="000C5C1F">
      <w:pPr>
        <w:rPr>
          <w:rtl/>
        </w:rPr>
      </w:pPr>
      <w:bookmarkStart w:id="8262" w:name="_ETM_Q9_654468"/>
      <w:bookmarkStart w:id="8263" w:name="_ETM_Q9_654527"/>
      <w:bookmarkEnd w:id="8262"/>
      <w:bookmarkEnd w:id="8263"/>
    </w:p>
    <w:p w:rsidR="000C5C1F" w:rsidRDefault="000C5C1F" w:rsidP="000C5C1F">
      <w:pPr>
        <w:rPr>
          <w:rtl/>
        </w:rPr>
      </w:pPr>
      <w:bookmarkStart w:id="8264" w:name="_ETM_Q9_654611"/>
      <w:bookmarkStart w:id="8265" w:name="_ETM_Q9_654690"/>
      <w:bookmarkStart w:id="8266" w:name="_ETM_Q9_655819"/>
      <w:bookmarkEnd w:id="8264"/>
      <w:bookmarkEnd w:id="8265"/>
      <w:bookmarkEnd w:id="8266"/>
      <w:r>
        <w:rPr>
          <w:rFonts w:hint="cs"/>
          <w:rtl/>
        </w:rPr>
        <w:t xml:space="preserve">השבוע, </w:t>
      </w:r>
      <w:bookmarkStart w:id="8267" w:name="_ETM_Q9_657390"/>
      <w:bookmarkEnd w:id="8267"/>
      <w:r>
        <w:rPr>
          <w:rFonts w:hint="cs"/>
          <w:rtl/>
        </w:rPr>
        <w:t xml:space="preserve">בפרשת </w:t>
      </w:r>
      <w:bookmarkStart w:id="8268" w:name="_ETM_Q9_658140"/>
      <w:bookmarkEnd w:id="8268"/>
      <w:r>
        <w:rPr>
          <w:rFonts w:hint="cs"/>
          <w:rtl/>
        </w:rPr>
        <w:t xml:space="preserve">השבוע </w:t>
      </w:r>
      <w:bookmarkStart w:id="8269" w:name="_ETM_Q9_659629"/>
      <w:bookmarkEnd w:id="8269"/>
      <w:r>
        <w:rPr>
          <w:rFonts w:hint="cs"/>
          <w:rtl/>
        </w:rPr>
        <w:t xml:space="preserve">התחלנו </w:t>
      </w:r>
      <w:bookmarkStart w:id="8270" w:name="_ETM_Q9_660260"/>
      <w:bookmarkEnd w:id="8270"/>
      <w:r>
        <w:rPr>
          <w:rFonts w:hint="cs"/>
          <w:rtl/>
        </w:rPr>
        <w:t xml:space="preserve">בקריאת </w:t>
      </w:r>
      <w:bookmarkStart w:id="8271" w:name="_ETM_Q9_660889"/>
      <w:bookmarkEnd w:id="8271"/>
      <w:r>
        <w:rPr>
          <w:rFonts w:hint="cs"/>
          <w:rtl/>
        </w:rPr>
        <w:t xml:space="preserve">ספר דברים. </w:t>
      </w:r>
      <w:bookmarkStart w:id="8272" w:name="_ETM_Q9_663560"/>
      <w:bookmarkStart w:id="8273" w:name="_ETM_Q9_664430"/>
      <w:bookmarkEnd w:id="8272"/>
      <w:bookmarkEnd w:id="8273"/>
      <w:r>
        <w:rPr>
          <w:rFonts w:hint="cs"/>
          <w:rtl/>
        </w:rPr>
        <w:t xml:space="preserve">ספר דברים הוא </w:t>
      </w:r>
      <w:bookmarkStart w:id="8274" w:name="_ETM_Q9_664490"/>
      <w:bookmarkEnd w:id="8274"/>
      <w:r>
        <w:rPr>
          <w:rFonts w:hint="cs"/>
          <w:rtl/>
        </w:rPr>
        <w:t xml:space="preserve">ספר </w:t>
      </w:r>
      <w:bookmarkStart w:id="8275" w:name="_ETM_Q9_664970"/>
      <w:bookmarkEnd w:id="8275"/>
      <w:r>
        <w:rPr>
          <w:rFonts w:hint="cs"/>
          <w:rtl/>
        </w:rPr>
        <w:t>ש</w:t>
      </w:r>
      <w:bookmarkStart w:id="8276" w:name="_ETM_Q9_665260"/>
      <w:bookmarkEnd w:id="8276"/>
      <w:r>
        <w:rPr>
          <w:rFonts w:hint="cs"/>
          <w:rtl/>
        </w:rPr>
        <w:t xml:space="preserve">נכתב </w:t>
      </w:r>
      <w:bookmarkStart w:id="8277" w:name="_ETM_Q9_665620"/>
      <w:bookmarkEnd w:id="8277"/>
      <w:r>
        <w:rPr>
          <w:rFonts w:hint="cs"/>
          <w:rtl/>
        </w:rPr>
        <w:t xml:space="preserve">ברובו </w:t>
      </w:r>
      <w:bookmarkStart w:id="8278" w:name="_ETM_Q9_667159"/>
      <w:bookmarkEnd w:id="8278"/>
      <w:r>
        <w:rPr>
          <w:rFonts w:hint="cs"/>
          <w:rtl/>
        </w:rPr>
        <w:t xml:space="preserve">על ידי </w:t>
      </w:r>
      <w:bookmarkStart w:id="8279" w:name="_ETM_Q9_667699"/>
      <w:bookmarkEnd w:id="8279"/>
      <w:r>
        <w:rPr>
          <w:rFonts w:hint="cs"/>
          <w:rtl/>
        </w:rPr>
        <w:t xml:space="preserve">משה </w:t>
      </w:r>
      <w:bookmarkStart w:id="8280" w:name="_ETM_Q9_668209"/>
      <w:bookmarkEnd w:id="8280"/>
      <w:r>
        <w:rPr>
          <w:rFonts w:hint="cs"/>
          <w:rtl/>
        </w:rPr>
        <w:t xml:space="preserve">רבנו </w:t>
      </w:r>
      <w:bookmarkStart w:id="8281" w:name="_ETM_Q9_669300"/>
      <w:bookmarkEnd w:id="8281"/>
      <w:r>
        <w:rPr>
          <w:rFonts w:hint="cs"/>
          <w:rtl/>
        </w:rPr>
        <w:t xml:space="preserve">כדברי </w:t>
      </w:r>
      <w:bookmarkStart w:id="8282" w:name="_ETM_Q9_669959"/>
      <w:bookmarkEnd w:id="8282"/>
      <w:r>
        <w:rPr>
          <w:rFonts w:hint="cs"/>
          <w:rtl/>
        </w:rPr>
        <w:t xml:space="preserve">סיכום </w:t>
      </w:r>
      <w:bookmarkStart w:id="8283" w:name="_ETM_Q9_670799"/>
      <w:bookmarkEnd w:id="8283"/>
      <w:r>
        <w:rPr>
          <w:rFonts w:hint="cs"/>
          <w:rtl/>
        </w:rPr>
        <w:t xml:space="preserve">ופרידה </w:t>
      </w:r>
      <w:bookmarkStart w:id="8284" w:name="_ETM_Q9_671519"/>
      <w:bookmarkEnd w:id="8284"/>
      <w:r>
        <w:rPr>
          <w:rFonts w:hint="cs"/>
          <w:rtl/>
        </w:rPr>
        <w:t xml:space="preserve">לעם </w:t>
      </w:r>
      <w:bookmarkStart w:id="8285" w:name="_ETM_Q9_671879"/>
      <w:bookmarkEnd w:id="8285"/>
      <w:r>
        <w:rPr>
          <w:rFonts w:hint="cs"/>
          <w:rtl/>
        </w:rPr>
        <w:t xml:space="preserve">ישראל </w:t>
      </w:r>
      <w:bookmarkStart w:id="8286" w:name="_ETM_Q9_673050"/>
      <w:bookmarkEnd w:id="8286"/>
      <w:r>
        <w:rPr>
          <w:rFonts w:hint="cs"/>
          <w:rtl/>
        </w:rPr>
        <w:t xml:space="preserve">ערב </w:t>
      </w:r>
      <w:bookmarkStart w:id="8287" w:name="_ETM_Q9_673500"/>
      <w:bookmarkEnd w:id="8287"/>
      <w:r>
        <w:rPr>
          <w:rFonts w:hint="cs"/>
          <w:rtl/>
        </w:rPr>
        <w:t xml:space="preserve">כניסתו </w:t>
      </w:r>
      <w:bookmarkStart w:id="8288" w:name="_ETM_Q9_674310"/>
      <w:bookmarkEnd w:id="8288"/>
      <w:r>
        <w:rPr>
          <w:rFonts w:hint="cs"/>
          <w:rtl/>
        </w:rPr>
        <w:t xml:space="preserve">לארץ </w:t>
      </w:r>
      <w:bookmarkStart w:id="8289" w:name="_ETM_Q9_674850"/>
      <w:bookmarkEnd w:id="8289"/>
      <w:r>
        <w:rPr>
          <w:rFonts w:hint="cs"/>
          <w:rtl/>
        </w:rPr>
        <w:t xml:space="preserve">ישראל. </w:t>
      </w:r>
      <w:bookmarkStart w:id="8290" w:name="_ETM_Q9_676370"/>
      <w:bookmarkEnd w:id="8290"/>
      <w:r>
        <w:rPr>
          <w:rFonts w:hint="cs"/>
          <w:rtl/>
        </w:rPr>
        <w:t xml:space="preserve">בין </w:t>
      </w:r>
      <w:bookmarkStart w:id="8291" w:name="_ETM_Q9_676640"/>
      <w:bookmarkEnd w:id="8291"/>
      <w:r>
        <w:rPr>
          <w:rFonts w:hint="cs"/>
          <w:rtl/>
        </w:rPr>
        <w:t xml:space="preserve">דברי </w:t>
      </w:r>
      <w:bookmarkStart w:id="8292" w:name="_ETM_Q9_676970"/>
      <w:bookmarkEnd w:id="8292"/>
      <w:r>
        <w:rPr>
          <w:rFonts w:hint="cs"/>
          <w:rtl/>
        </w:rPr>
        <w:t xml:space="preserve">הפתיחה </w:t>
      </w:r>
      <w:bookmarkStart w:id="8293" w:name="_ETM_Q9_677450"/>
      <w:bookmarkEnd w:id="8293"/>
      <w:r>
        <w:rPr>
          <w:rFonts w:hint="cs"/>
          <w:rtl/>
        </w:rPr>
        <w:t xml:space="preserve">לדברי </w:t>
      </w:r>
      <w:bookmarkStart w:id="8294" w:name="_ETM_Q9_677900"/>
      <w:bookmarkEnd w:id="8294"/>
      <w:r>
        <w:rPr>
          <w:rFonts w:hint="cs"/>
          <w:rtl/>
        </w:rPr>
        <w:t xml:space="preserve">הסיכום </w:t>
      </w:r>
      <w:bookmarkStart w:id="8295" w:name="_ETM_Q9_678290"/>
      <w:bookmarkEnd w:id="8295"/>
      <w:r>
        <w:rPr>
          <w:rFonts w:hint="cs"/>
          <w:rtl/>
        </w:rPr>
        <w:t xml:space="preserve">של </w:t>
      </w:r>
      <w:bookmarkStart w:id="8296" w:name="_ETM_Q9_678470"/>
      <w:bookmarkEnd w:id="8296"/>
      <w:r>
        <w:rPr>
          <w:rFonts w:hint="cs"/>
          <w:rtl/>
        </w:rPr>
        <w:t xml:space="preserve">משה </w:t>
      </w:r>
      <w:bookmarkStart w:id="8297" w:name="_ETM_Q9_678800"/>
      <w:bookmarkEnd w:id="8297"/>
      <w:r>
        <w:rPr>
          <w:rFonts w:hint="cs"/>
          <w:rtl/>
        </w:rPr>
        <w:t xml:space="preserve">רבינו </w:t>
      </w:r>
      <w:bookmarkStart w:id="8298" w:name="_ETM_Q9_679880"/>
      <w:bookmarkEnd w:id="8298"/>
      <w:r>
        <w:rPr>
          <w:rFonts w:hint="cs"/>
          <w:rtl/>
        </w:rPr>
        <w:t xml:space="preserve">ניתן </w:t>
      </w:r>
      <w:bookmarkStart w:id="8299" w:name="_ETM_Q9_680420"/>
      <w:bookmarkEnd w:id="8299"/>
      <w:r>
        <w:rPr>
          <w:rFonts w:hint="cs"/>
          <w:rtl/>
        </w:rPr>
        <w:t xml:space="preserve">למצוא </w:t>
      </w:r>
      <w:bookmarkStart w:id="8300" w:name="_ETM_Q9_680840"/>
      <w:bookmarkEnd w:id="8300"/>
      <w:r>
        <w:rPr>
          <w:rFonts w:hint="cs"/>
          <w:rtl/>
        </w:rPr>
        <w:t xml:space="preserve">את </w:t>
      </w:r>
      <w:bookmarkStart w:id="8301" w:name="_ETM_Q9_680930"/>
      <w:bookmarkEnd w:id="8301"/>
      <w:r>
        <w:rPr>
          <w:rFonts w:hint="cs"/>
          <w:rtl/>
        </w:rPr>
        <w:t xml:space="preserve">פרשת </w:t>
      </w:r>
      <w:bookmarkStart w:id="8302" w:name="_ETM_Q9_681599"/>
      <w:bookmarkEnd w:id="8302"/>
      <w:r>
        <w:rPr>
          <w:rFonts w:hint="cs"/>
          <w:rtl/>
        </w:rPr>
        <w:t xml:space="preserve">מינוי </w:t>
      </w:r>
      <w:bookmarkStart w:id="8303" w:name="_ETM_Q9_681810"/>
      <w:bookmarkEnd w:id="8303"/>
      <w:r>
        <w:rPr>
          <w:rFonts w:hint="cs"/>
          <w:rtl/>
        </w:rPr>
        <w:t xml:space="preserve">השופטים </w:t>
      </w:r>
      <w:bookmarkStart w:id="8304" w:name="_ETM_Q9_682469"/>
      <w:bookmarkEnd w:id="8304"/>
      <w:r>
        <w:rPr>
          <w:rFonts w:hint="cs"/>
          <w:rtl/>
        </w:rPr>
        <w:t xml:space="preserve">על עם </w:t>
      </w:r>
      <w:bookmarkStart w:id="8305" w:name="_ETM_Q9_682680"/>
      <w:bookmarkEnd w:id="8305"/>
      <w:r>
        <w:rPr>
          <w:rFonts w:hint="cs"/>
          <w:rtl/>
        </w:rPr>
        <w:t xml:space="preserve">ישראל. </w:t>
      </w:r>
      <w:bookmarkStart w:id="8306" w:name="_ETM_Q9_684010"/>
      <w:bookmarkEnd w:id="8306"/>
      <w:r>
        <w:rPr>
          <w:rFonts w:hint="cs"/>
          <w:rtl/>
        </w:rPr>
        <w:t xml:space="preserve">משה </w:t>
      </w:r>
      <w:bookmarkStart w:id="8307" w:name="_ETM_Q9_684640"/>
      <w:bookmarkStart w:id="8308" w:name="_ETM_Q9_684730"/>
      <w:bookmarkEnd w:id="8307"/>
      <w:bookmarkEnd w:id="8308"/>
      <w:r>
        <w:rPr>
          <w:rFonts w:hint="cs"/>
          <w:rtl/>
        </w:rPr>
        <w:t xml:space="preserve">אומר </w:t>
      </w:r>
      <w:bookmarkStart w:id="8309" w:name="_ETM_Q9_684940"/>
      <w:bookmarkStart w:id="8310" w:name="_ETM_Q9_685390"/>
      <w:bookmarkEnd w:id="8309"/>
      <w:bookmarkEnd w:id="8310"/>
      <w:r>
        <w:rPr>
          <w:rFonts w:hint="cs"/>
          <w:rtl/>
        </w:rPr>
        <w:t xml:space="preserve">שהוא </w:t>
      </w:r>
      <w:bookmarkStart w:id="8311" w:name="_ETM_Q9_685660"/>
      <w:bookmarkEnd w:id="8311"/>
      <w:r>
        <w:rPr>
          <w:rFonts w:hint="cs"/>
          <w:rtl/>
        </w:rPr>
        <w:t xml:space="preserve">לא </w:t>
      </w:r>
      <w:bookmarkStart w:id="8312" w:name="_ETM_Q9_685810"/>
      <w:bookmarkEnd w:id="8312"/>
      <w:r>
        <w:rPr>
          <w:rFonts w:hint="cs"/>
          <w:rtl/>
        </w:rPr>
        <w:t xml:space="preserve">יכול </w:t>
      </w:r>
      <w:bookmarkStart w:id="8313" w:name="_ETM_Q9_686170"/>
      <w:bookmarkEnd w:id="8313"/>
      <w:r>
        <w:rPr>
          <w:rFonts w:hint="cs"/>
          <w:rtl/>
        </w:rPr>
        <w:t xml:space="preserve">ולא </w:t>
      </w:r>
      <w:bookmarkStart w:id="8314" w:name="_ETM_Q9_686440"/>
      <w:bookmarkEnd w:id="8314"/>
      <w:r>
        <w:rPr>
          <w:rFonts w:hint="cs"/>
          <w:rtl/>
        </w:rPr>
        <w:t xml:space="preserve">צריך </w:t>
      </w:r>
      <w:bookmarkStart w:id="8315" w:name="_ETM_Q9_686830"/>
      <w:bookmarkEnd w:id="8315"/>
      <w:r>
        <w:rPr>
          <w:rFonts w:hint="cs"/>
          <w:rtl/>
        </w:rPr>
        <w:t xml:space="preserve">לשפוט </w:t>
      </w:r>
      <w:bookmarkStart w:id="8316" w:name="_ETM_Q9_687400"/>
      <w:bookmarkEnd w:id="8316"/>
      <w:r>
        <w:rPr>
          <w:rFonts w:hint="cs"/>
          <w:rtl/>
        </w:rPr>
        <w:t xml:space="preserve">לבדו, </w:t>
      </w:r>
      <w:bookmarkStart w:id="8317" w:name="_ETM_Q9_688670"/>
      <w:bookmarkEnd w:id="8317"/>
      <w:r>
        <w:rPr>
          <w:rFonts w:hint="cs"/>
          <w:rtl/>
        </w:rPr>
        <w:t xml:space="preserve">ועם </w:t>
      </w:r>
      <w:bookmarkStart w:id="8318" w:name="_ETM_Q9_689090"/>
      <w:bookmarkEnd w:id="8318"/>
      <w:r>
        <w:rPr>
          <w:rFonts w:hint="cs"/>
          <w:rtl/>
        </w:rPr>
        <w:t xml:space="preserve">ישראל </w:t>
      </w:r>
      <w:bookmarkStart w:id="8319" w:name="_ETM_Q9_689540"/>
      <w:bookmarkEnd w:id="8319"/>
      <w:r>
        <w:rPr>
          <w:rFonts w:hint="cs"/>
          <w:rtl/>
        </w:rPr>
        <w:t xml:space="preserve">מאשר </w:t>
      </w:r>
      <w:bookmarkStart w:id="8320" w:name="_ETM_Q9_690050"/>
      <w:bookmarkEnd w:id="8320"/>
      <w:r>
        <w:rPr>
          <w:rFonts w:hint="cs"/>
          <w:rtl/>
        </w:rPr>
        <w:t xml:space="preserve">לו </w:t>
      </w:r>
      <w:bookmarkStart w:id="8321" w:name="_ETM_Q9_690200"/>
      <w:bookmarkEnd w:id="8321"/>
      <w:r>
        <w:rPr>
          <w:rFonts w:hint="cs"/>
          <w:rtl/>
        </w:rPr>
        <w:t xml:space="preserve">למנות </w:t>
      </w:r>
      <w:bookmarkStart w:id="8322" w:name="_ETM_Q9_690740"/>
      <w:bookmarkEnd w:id="8322"/>
      <w:r>
        <w:rPr>
          <w:rFonts w:hint="cs"/>
          <w:rtl/>
        </w:rPr>
        <w:t xml:space="preserve">שופטים </w:t>
      </w:r>
      <w:bookmarkStart w:id="8323" w:name="_ETM_Q9_691820"/>
      <w:bookmarkEnd w:id="8323"/>
      <w:r>
        <w:rPr>
          <w:rFonts w:hint="cs"/>
          <w:rtl/>
        </w:rPr>
        <w:t xml:space="preserve">לפי </w:t>
      </w:r>
      <w:bookmarkStart w:id="8324" w:name="_ETM_Q9_692360"/>
      <w:bookmarkEnd w:id="8324"/>
      <w:r>
        <w:rPr>
          <w:rFonts w:hint="cs"/>
          <w:rtl/>
        </w:rPr>
        <w:t xml:space="preserve">דרגות </w:t>
      </w:r>
      <w:bookmarkStart w:id="8325" w:name="_ETM_Q9_692960"/>
      <w:bookmarkEnd w:id="8325"/>
      <w:r>
        <w:rPr>
          <w:rFonts w:hint="cs"/>
          <w:rtl/>
        </w:rPr>
        <w:t xml:space="preserve">חומרה </w:t>
      </w:r>
      <w:bookmarkStart w:id="8326" w:name="_ETM_Q9_693470"/>
      <w:bookmarkEnd w:id="8326"/>
      <w:r>
        <w:rPr>
          <w:rFonts w:hint="cs"/>
          <w:rtl/>
        </w:rPr>
        <w:t xml:space="preserve">של </w:t>
      </w:r>
      <w:bookmarkStart w:id="8327" w:name="_ETM_Q9_693710"/>
      <w:bookmarkEnd w:id="8327"/>
      <w:r>
        <w:rPr>
          <w:rFonts w:hint="cs"/>
          <w:rtl/>
        </w:rPr>
        <w:t xml:space="preserve">אירועים. </w:t>
      </w:r>
      <w:bookmarkStart w:id="8328" w:name="_ETM_Q9_694510"/>
      <w:bookmarkEnd w:id="8328"/>
      <w:r>
        <w:rPr>
          <w:rFonts w:hint="cs"/>
          <w:rtl/>
        </w:rPr>
        <w:t xml:space="preserve">משה, </w:t>
      </w:r>
      <w:bookmarkStart w:id="8329" w:name="_ETM_Q9_695790"/>
      <w:bookmarkEnd w:id="8329"/>
      <w:r>
        <w:rPr>
          <w:rFonts w:hint="cs"/>
          <w:rtl/>
        </w:rPr>
        <w:t xml:space="preserve">שהיה </w:t>
      </w:r>
      <w:bookmarkStart w:id="8330" w:name="_ETM_Q9_696239"/>
      <w:bookmarkEnd w:id="8330"/>
      <w:r>
        <w:rPr>
          <w:rFonts w:hint="cs"/>
          <w:rtl/>
        </w:rPr>
        <w:t xml:space="preserve">גם </w:t>
      </w:r>
      <w:bookmarkStart w:id="8331" w:name="_ETM_Q9_696480"/>
      <w:bookmarkEnd w:id="8331"/>
      <w:r>
        <w:rPr>
          <w:rFonts w:hint="cs"/>
          <w:rtl/>
        </w:rPr>
        <w:t xml:space="preserve">המנהיג </w:t>
      </w:r>
      <w:bookmarkStart w:id="8332" w:name="_ETM_Q9_696900"/>
      <w:bookmarkEnd w:id="8332"/>
      <w:r>
        <w:rPr>
          <w:rFonts w:hint="cs"/>
          <w:rtl/>
        </w:rPr>
        <w:t xml:space="preserve">וגם </w:t>
      </w:r>
      <w:bookmarkStart w:id="8333" w:name="_ETM_Q9_697230"/>
      <w:bookmarkEnd w:id="8333"/>
      <w:r>
        <w:rPr>
          <w:rFonts w:hint="cs"/>
          <w:rtl/>
        </w:rPr>
        <w:t xml:space="preserve">השופט, </w:t>
      </w:r>
      <w:bookmarkStart w:id="8334" w:name="_ETM_Q9_697590"/>
      <w:bookmarkStart w:id="8335" w:name="_ETM_Q9_698250"/>
      <w:bookmarkEnd w:id="8334"/>
      <w:bookmarkEnd w:id="8335"/>
      <w:r>
        <w:rPr>
          <w:rFonts w:hint="cs"/>
          <w:rtl/>
        </w:rPr>
        <w:t xml:space="preserve">מבין </w:t>
      </w:r>
      <w:bookmarkStart w:id="8336" w:name="_ETM_Q9_698730"/>
      <w:bookmarkEnd w:id="8336"/>
      <w:r>
        <w:rPr>
          <w:rFonts w:hint="cs"/>
          <w:rtl/>
        </w:rPr>
        <w:t xml:space="preserve">שצריך </w:t>
      </w:r>
      <w:bookmarkStart w:id="8337" w:name="_ETM_Q9_699269"/>
      <w:bookmarkEnd w:id="8337"/>
      <w:r>
        <w:rPr>
          <w:rFonts w:hint="cs"/>
          <w:rtl/>
        </w:rPr>
        <w:t xml:space="preserve">לבחור </w:t>
      </w:r>
      <w:bookmarkStart w:id="8338" w:name="_ETM_Q9_699660"/>
      <w:bookmarkEnd w:id="8338"/>
      <w:r>
        <w:rPr>
          <w:rFonts w:hint="cs"/>
          <w:rtl/>
        </w:rPr>
        <w:t xml:space="preserve">שופטים, </w:t>
      </w:r>
      <w:bookmarkStart w:id="8339" w:name="_ETM_Q9_700709"/>
      <w:bookmarkEnd w:id="8339"/>
      <w:r>
        <w:rPr>
          <w:rFonts w:hint="cs"/>
          <w:rtl/>
        </w:rPr>
        <w:t xml:space="preserve">ומצווה </w:t>
      </w:r>
      <w:bookmarkStart w:id="8340" w:name="_ETM_Q9_701790"/>
      <w:bookmarkEnd w:id="8340"/>
      <w:r>
        <w:rPr>
          <w:rFonts w:hint="cs"/>
          <w:rtl/>
        </w:rPr>
        <w:t xml:space="preserve">עליהם </w:t>
      </w:r>
      <w:bookmarkStart w:id="8341" w:name="_ETM_Q9_702059"/>
      <w:bookmarkEnd w:id="8341"/>
      <w:r>
        <w:rPr>
          <w:rFonts w:hint="cs"/>
          <w:rtl/>
        </w:rPr>
        <w:t xml:space="preserve">לנהוג </w:t>
      </w:r>
      <w:bookmarkStart w:id="8342" w:name="_ETM_Q9_702989"/>
      <w:bookmarkEnd w:id="8342"/>
      <w:r>
        <w:rPr>
          <w:rFonts w:hint="cs"/>
          <w:rtl/>
        </w:rPr>
        <w:t xml:space="preserve">בצדק </w:t>
      </w:r>
      <w:bookmarkStart w:id="8343" w:name="_ETM_Q9_703890"/>
      <w:bookmarkEnd w:id="8343"/>
      <w:r>
        <w:rPr>
          <w:rFonts w:hint="cs"/>
          <w:rtl/>
        </w:rPr>
        <w:t xml:space="preserve">ובהגינות. </w:t>
      </w:r>
      <w:bookmarkStart w:id="8344" w:name="_ETM_Q9_705580"/>
      <w:bookmarkEnd w:id="8344"/>
      <w:r>
        <w:rPr>
          <w:rFonts w:hint="cs"/>
          <w:rtl/>
        </w:rPr>
        <w:t xml:space="preserve">וזה </w:t>
      </w:r>
      <w:bookmarkStart w:id="8345" w:name="_ETM_Q9_705879"/>
      <w:bookmarkEnd w:id="8345"/>
      <w:r>
        <w:rPr>
          <w:rFonts w:hint="cs"/>
          <w:rtl/>
        </w:rPr>
        <w:t xml:space="preserve">מה </w:t>
      </w:r>
      <w:bookmarkStart w:id="8346" w:name="_ETM_Q9_706000"/>
      <w:bookmarkEnd w:id="8346"/>
      <w:r>
        <w:rPr>
          <w:rFonts w:hint="cs"/>
          <w:rtl/>
        </w:rPr>
        <w:t xml:space="preserve">שהוא </w:t>
      </w:r>
      <w:bookmarkStart w:id="8347" w:name="_ETM_Q9_706239"/>
      <w:bookmarkEnd w:id="8347"/>
      <w:r>
        <w:rPr>
          <w:rFonts w:hint="cs"/>
          <w:rtl/>
        </w:rPr>
        <w:t xml:space="preserve">אומר </w:t>
      </w:r>
      <w:bookmarkStart w:id="8348" w:name="_ETM_Q9_706510"/>
      <w:bookmarkEnd w:id="8348"/>
      <w:r>
        <w:rPr>
          <w:rFonts w:hint="cs"/>
          <w:rtl/>
        </w:rPr>
        <w:t xml:space="preserve">להם: </w:t>
      </w:r>
      <w:bookmarkStart w:id="8349" w:name="_ETM_Q9_707760"/>
      <w:bookmarkEnd w:id="8349"/>
      <w:r>
        <w:rPr>
          <w:rFonts w:hint="cs"/>
          <w:rtl/>
        </w:rPr>
        <w:t>"</w:t>
      </w:r>
      <w:bookmarkStart w:id="8350" w:name="_ETM_Q9_713719"/>
      <w:bookmarkEnd w:id="8350"/>
      <w:r>
        <w:rPr>
          <w:rFonts w:hint="cs"/>
          <w:rtl/>
        </w:rPr>
        <w:t xml:space="preserve">לא תגורו מפני איש, כי המשפט לאלהים הוא". משה </w:t>
      </w:r>
      <w:bookmarkStart w:id="8351" w:name="_ETM_Q9_714139"/>
      <w:bookmarkEnd w:id="8351"/>
      <w:r>
        <w:rPr>
          <w:rFonts w:hint="cs"/>
          <w:rtl/>
        </w:rPr>
        <w:t xml:space="preserve">רבנו </w:t>
      </w:r>
      <w:bookmarkStart w:id="8352" w:name="_ETM_Q9_714559"/>
      <w:bookmarkEnd w:id="8352"/>
      <w:r>
        <w:rPr>
          <w:rFonts w:hint="cs"/>
          <w:rtl/>
        </w:rPr>
        <w:t xml:space="preserve">אומר </w:t>
      </w:r>
      <w:bookmarkStart w:id="8353" w:name="_ETM_Q9_714829"/>
      <w:bookmarkEnd w:id="8353"/>
      <w:r>
        <w:rPr>
          <w:rFonts w:hint="cs"/>
          <w:rtl/>
        </w:rPr>
        <w:t xml:space="preserve">לשופטים: </w:t>
      </w:r>
      <w:bookmarkStart w:id="8354" w:name="_ETM_Q9_716269"/>
      <w:bookmarkEnd w:id="8354"/>
      <w:r>
        <w:rPr>
          <w:rFonts w:hint="cs"/>
          <w:rtl/>
        </w:rPr>
        <w:t xml:space="preserve">אסור </w:t>
      </w:r>
      <w:bookmarkStart w:id="8355" w:name="_ETM_Q9_717349"/>
      <w:bookmarkEnd w:id="8355"/>
      <w:r>
        <w:rPr>
          <w:rFonts w:hint="cs"/>
          <w:rtl/>
        </w:rPr>
        <w:t xml:space="preserve">לכם </w:t>
      </w:r>
      <w:bookmarkStart w:id="8356" w:name="_ETM_Q9_717769"/>
      <w:bookmarkEnd w:id="8356"/>
      <w:r>
        <w:rPr>
          <w:rFonts w:hint="cs"/>
          <w:rtl/>
        </w:rPr>
        <w:t xml:space="preserve">לפחד </w:t>
      </w:r>
      <w:bookmarkStart w:id="8357" w:name="_ETM_Q9_718280"/>
      <w:bookmarkStart w:id="8358" w:name="_ETM_Q9_719739"/>
      <w:bookmarkEnd w:id="8357"/>
      <w:bookmarkEnd w:id="8358"/>
      <w:r>
        <w:rPr>
          <w:rFonts w:hint="cs"/>
          <w:rtl/>
        </w:rPr>
        <w:t xml:space="preserve">מאף </w:t>
      </w:r>
      <w:bookmarkStart w:id="8359" w:name="_ETM_Q9_720309"/>
      <w:bookmarkEnd w:id="8359"/>
      <w:r>
        <w:rPr>
          <w:rFonts w:hint="cs"/>
          <w:rtl/>
        </w:rPr>
        <w:t xml:space="preserve">אדם – מאף אדם – </w:t>
      </w:r>
      <w:bookmarkStart w:id="8360" w:name="_ETM_Q9_721329"/>
      <w:bookmarkEnd w:id="8360"/>
      <w:r>
        <w:rPr>
          <w:rFonts w:hint="cs"/>
          <w:rtl/>
        </w:rPr>
        <w:t xml:space="preserve">כי </w:t>
      </w:r>
      <w:bookmarkStart w:id="8361" w:name="_ETM_Q9_721790"/>
      <w:bookmarkEnd w:id="8361"/>
      <w:r>
        <w:rPr>
          <w:rFonts w:hint="cs"/>
          <w:rtl/>
        </w:rPr>
        <w:t xml:space="preserve">אין </w:t>
      </w:r>
      <w:bookmarkStart w:id="8362" w:name="_ETM_Q9_722059"/>
      <w:bookmarkEnd w:id="8362"/>
      <w:r>
        <w:rPr>
          <w:rFonts w:hint="cs"/>
          <w:rtl/>
        </w:rPr>
        <w:t xml:space="preserve">אדם </w:t>
      </w:r>
      <w:bookmarkStart w:id="8363" w:name="_ETM_Q9_722989"/>
      <w:bookmarkEnd w:id="8363"/>
      <w:r>
        <w:rPr>
          <w:rFonts w:hint="cs"/>
          <w:rtl/>
        </w:rPr>
        <w:t xml:space="preserve">שהוא </w:t>
      </w:r>
      <w:bookmarkStart w:id="8364" w:name="_ETM_Q9_723409"/>
      <w:bookmarkEnd w:id="8364"/>
      <w:r>
        <w:rPr>
          <w:rFonts w:hint="cs"/>
          <w:rtl/>
        </w:rPr>
        <w:t xml:space="preserve">מעל </w:t>
      </w:r>
      <w:bookmarkStart w:id="8365" w:name="_ETM_Q9_723769"/>
      <w:bookmarkEnd w:id="8365"/>
      <w:r>
        <w:rPr>
          <w:rFonts w:hint="cs"/>
          <w:rtl/>
        </w:rPr>
        <w:t xml:space="preserve">החוק. </w:t>
      </w:r>
      <w:bookmarkStart w:id="8366" w:name="_ETM_Q9_727239"/>
      <w:bookmarkEnd w:id="8366"/>
    </w:p>
    <w:p w:rsidR="000C5C1F" w:rsidRDefault="000C5C1F" w:rsidP="000C5C1F">
      <w:pPr>
        <w:rPr>
          <w:rtl/>
        </w:rPr>
      </w:pPr>
      <w:bookmarkStart w:id="8367" w:name="_ETM_Q9_724750"/>
      <w:bookmarkStart w:id="8368" w:name="_ETM_Q9_724838"/>
      <w:bookmarkEnd w:id="8367"/>
      <w:bookmarkEnd w:id="8368"/>
    </w:p>
    <w:p w:rsidR="000C5C1F" w:rsidRDefault="000C5C1F" w:rsidP="000C5C1F">
      <w:pPr>
        <w:rPr>
          <w:rtl/>
        </w:rPr>
      </w:pPr>
      <w:bookmarkStart w:id="8369" w:name="_ETM_Q9_724966"/>
      <w:bookmarkStart w:id="8370" w:name="_ETM_Q9_725037"/>
      <w:bookmarkEnd w:id="8369"/>
      <w:bookmarkEnd w:id="8370"/>
      <w:r>
        <w:rPr>
          <w:rFonts w:hint="cs"/>
          <w:rtl/>
        </w:rPr>
        <w:t xml:space="preserve">ואני </w:t>
      </w:r>
      <w:bookmarkStart w:id="8371" w:name="_ETM_Q9_727690"/>
      <w:bookmarkEnd w:id="8371"/>
      <w:r>
        <w:rPr>
          <w:rFonts w:hint="cs"/>
          <w:rtl/>
        </w:rPr>
        <w:t xml:space="preserve">פונה </w:t>
      </w:r>
      <w:bookmarkStart w:id="8372" w:name="_ETM_Q9_728140"/>
      <w:bookmarkEnd w:id="8372"/>
      <w:r>
        <w:rPr>
          <w:rFonts w:hint="cs"/>
          <w:rtl/>
        </w:rPr>
        <w:t xml:space="preserve">אליך, </w:t>
      </w:r>
      <w:bookmarkStart w:id="8373" w:name="_ETM_Q9_729010"/>
      <w:bookmarkEnd w:id="8373"/>
      <w:r>
        <w:rPr>
          <w:rFonts w:hint="cs"/>
          <w:rtl/>
        </w:rPr>
        <w:t xml:space="preserve">ראש </w:t>
      </w:r>
      <w:bookmarkStart w:id="8374" w:name="_ETM_Q9_729489"/>
      <w:bookmarkEnd w:id="8374"/>
      <w:r>
        <w:rPr>
          <w:rFonts w:hint="cs"/>
          <w:rtl/>
        </w:rPr>
        <w:t xml:space="preserve">הממשלה </w:t>
      </w:r>
      <w:bookmarkStart w:id="8375" w:name="_ETM_Q9_730150"/>
      <w:bookmarkEnd w:id="8375"/>
      <w:r>
        <w:rPr>
          <w:rFonts w:hint="cs"/>
          <w:rtl/>
        </w:rPr>
        <w:t xml:space="preserve">שלנו: </w:t>
      </w:r>
      <w:bookmarkStart w:id="8376" w:name="_ETM_Q9_732900"/>
      <w:bookmarkEnd w:id="8376"/>
      <w:r>
        <w:rPr>
          <w:rFonts w:hint="cs"/>
          <w:rtl/>
        </w:rPr>
        <w:t xml:space="preserve">איפה </w:t>
      </w:r>
      <w:bookmarkStart w:id="8377" w:name="_ETM_Q9_733260"/>
      <w:bookmarkEnd w:id="8377"/>
      <w:r>
        <w:rPr>
          <w:rFonts w:hint="cs"/>
          <w:rtl/>
        </w:rPr>
        <w:t xml:space="preserve">המנהיגות </w:t>
      </w:r>
      <w:bookmarkStart w:id="8378" w:name="_ETM_Q9_733830"/>
      <w:bookmarkEnd w:id="8378"/>
      <w:r>
        <w:rPr>
          <w:rFonts w:hint="cs"/>
          <w:rtl/>
        </w:rPr>
        <w:t xml:space="preserve">שלך? </w:t>
      </w:r>
      <w:bookmarkStart w:id="8379" w:name="_ETM_Q9_735599"/>
      <w:bookmarkEnd w:id="8379"/>
      <w:r>
        <w:rPr>
          <w:rFonts w:hint="cs"/>
          <w:rtl/>
        </w:rPr>
        <w:t xml:space="preserve">למה </w:t>
      </w:r>
      <w:bookmarkStart w:id="8380" w:name="_ETM_Q9_735989"/>
      <w:bookmarkEnd w:id="8380"/>
      <w:r>
        <w:rPr>
          <w:rFonts w:hint="cs"/>
          <w:rtl/>
        </w:rPr>
        <w:t xml:space="preserve">אתה </w:t>
      </w:r>
      <w:bookmarkStart w:id="8381" w:name="_ETM_Q9_736169"/>
      <w:bookmarkEnd w:id="8381"/>
      <w:r>
        <w:rPr>
          <w:rFonts w:hint="cs"/>
          <w:rtl/>
        </w:rPr>
        <w:t xml:space="preserve">לא </w:t>
      </w:r>
      <w:bookmarkStart w:id="8382" w:name="_ETM_Q9_736290"/>
      <w:bookmarkEnd w:id="8382"/>
      <w:r>
        <w:rPr>
          <w:rFonts w:hint="cs"/>
          <w:rtl/>
        </w:rPr>
        <w:t xml:space="preserve">מסתכל </w:t>
      </w:r>
      <w:bookmarkStart w:id="8383" w:name="_ETM_Q9_737250"/>
      <w:bookmarkEnd w:id="8383"/>
      <w:r>
        <w:rPr>
          <w:rFonts w:hint="cs"/>
          <w:rtl/>
        </w:rPr>
        <w:t xml:space="preserve">למיליוני </w:t>
      </w:r>
      <w:bookmarkStart w:id="8384" w:name="_ETM_Q9_738120"/>
      <w:bookmarkEnd w:id="8384"/>
      <w:r>
        <w:rPr>
          <w:rFonts w:hint="cs"/>
          <w:rtl/>
        </w:rPr>
        <w:t xml:space="preserve">אזרחים </w:t>
      </w:r>
      <w:bookmarkStart w:id="8385" w:name="_ETM_Q9_739400"/>
      <w:bookmarkEnd w:id="8385"/>
      <w:r>
        <w:rPr>
          <w:rFonts w:hint="cs"/>
          <w:rtl/>
        </w:rPr>
        <w:t xml:space="preserve">בלבן </w:t>
      </w:r>
      <w:bookmarkStart w:id="8386" w:name="_ETM_Q9_740000"/>
      <w:bookmarkEnd w:id="8386"/>
      <w:r>
        <w:rPr>
          <w:rFonts w:hint="cs"/>
          <w:rtl/>
        </w:rPr>
        <w:t xml:space="preserve">של </w:t>
      </w:r>
      <w:bookmarkStart w:id="8387" w:name="_ETM_Q9_740240"/>
      <w:bookmarkEnd w:id="8387"/>
      <w:r>
        <w:rPr>
          <w:rFonts w:hint="cs"/>
          <w:rtl/>
        </w:rPr>
        <w:t xml:space="preserve">העיניים, </w:t>
      </w:r>
      <w:bookmarkStart w:id="8388" w:name="_ETM_Q9_740650"/>
      <w:bookmarkStart w:id="8389" w:name="_ETM_Q9_741190"/>
      <w:bookmarkEnd w:id="8388"/>
      <w:bookmarkEnd w:id="8389"/>
      <w:r>
        <w:rPr>
          <w:rFonts w:hint="cs"/>
          <w:rtl/>
        </w:rPr>
        <w:t xml:space="preserve">ורואה </w:t>
      </w:r>
      <w:bookmarkStart w:id="8390" w:name="_ETM_Q9_741860"/>
      <w:bookmarkStart w:id="8391" w:name="_ETM_Q9_742490"/>
      <w:bookmarkEnd w:id="8390"/>
      <w:bookmarkEnd w:id="8391"/>
      <w:r>
        <w:rPr>
          <w:rFonts w:hint="cs"/>
          <w:rtl/>
        </w:rPr>
        <w:t xml:space="preserve">שאין </w:t>
      </w:r>
      <w:bookmarkStart w:id="8392" w:name="_ETM_Q9_743099"/>
      <w:bookmarkEnd w:id="8392"/>
      <w:r>
        <w:rPr>
          <w:rFonts w:hint="cs"/>
          <w:rtl/>
        </w:rPr>
        <w:t xml:space="preserve">לך </w:t>
      </w:r>
      <w:bookmarkStart w:id="8393" w:name="_ETM_Q9_743340"/>
      <w:bookmarkEnd w:id="8393"/>
      <w:r>
        <w:rPr>
          <w:rFonts w:hint="cs"/>
          <w:rtl/>
        </w:rPr>
        <w:t xml:space="preserve">שום </w:t>
      </w:r>
      <w:bookmarkStart w:id="8394" w:name="_ETM_Q9_743639"/>
      <w:bookmarkEnd w:id="8394"/>
      <w:r>
        <w:rPr>
          <w:rFonts w:hint="cs"/>
          <w:rtl/>
        </w:rPr>
        <w:t xml:space="preserve">לגיטימיות </w:t>
      </w:r>
      <w:bookmarkStart w:id="8395" w:name="_ETM_Q9_744330"/>
      <w:bookmarkEnd w:id="8395"/>
      <w:r>
        <w:rPr>
          <w:rFonts w:hint="cs"/>
          <w:rtl/>
        </w:rPr>
        <w:t xml:space="preserve">להרוס </w:t>
      </w:r>
      <w:bookmarkStart w:id="8396" w:name="_ETM_Q9_744840"/>
      <w:bookmarkEnd w:id="8396"/>
      <w:r>
        <w:rPr>
          <w:rFonts w:hint="cs"/>
          <w:rtl/>
        </w:rPr>
        <w:t xml:space="preserve">אותנו, </w:t>
      </w:r>
      <w:bookmarkStart w:id="8397" w:name="_ETM_Q9_745790"/>
      <w:bookmarkEnd w:id="8397"/>
      <w:r>
        <w:rPr>
          <w:rFonts w:hint="cs"/>
          <w:rtl/>
        </w:rPr>
        <w:t xml:space="preserve">את </w:t>
      </w:r>
      <w:bookmarkStart w:id="8398" w:name="_ETM_Q9_745970"/>
      <w:bookmarkEnd w:id="8398"/>
      <w:r>
        <w:rPr>
          <w:rFonts w:hint="cs"/>
          <w:rtl/>
        </w:rPr>
        <w:t xml:space="preserve">החברה, </w:t>
      </w:r>
      <w:bookmarkStart w:id="8399" w:name="_ETM_Q9_747200"/>
      <w:bookmarkEnd w:id="8399"/>
      <w:r>
        <w:rPr>
          <w:rFonts w:hint="cs"/>
          <w:rtl/>
        </w:rPr>
        <w:t xml:space="preserve">את </w:t>
      </w:r>
      <w:bookmarkStart w:id="8400" w:name="_ETM_Q9_747440"/>
      <w:bookmarkEnd w:id="8400"/>
      <w:r>
        <w:rPr>
          <w:rFonts w:hint="cs"/>
          <w:rtl/>
        </w:rPr>
        <w:t xml:space="preserve">הלכידות </w:t>
      </w:r>
      <w:bookmarkStart w:id="8401" w:name="_ETM_Q9_748309"/>
      <w:bookmarkStart w:id="8402" w:name="_ETM_Q9_748610"/>
      <w:bookmarkEnd w:id="8401"/>
      <w:bookmarkEnd w:id="8402"/>
      <w:r>
        <w:rPr>
          <w:rFonts w:hint="cs"/>
          <w:rtl/>
        </w:rPr>
        <w:t xml:space="preserve">שלנו? </w:t>
      </w:r>
      <w:bookmarkStart w:id="8403" w:name="_ETM_Q9_752960"/>
      <w:bookmarkEnd w:id="8403"/>
      <w:r>
        <w:rPr>
          <w:rFonts w:hint="cs"/>
          <w:rtl/>
        </w:rPr>
        <w:t xml:space="preserve">אף </w:t>
      </w:r>
      <w:bookmarkStart w:id="8404" w:name="_ETM_Q9_753140"/>
      <w:bookmarkEnd w:id="8404"/>
      <w:r>
        <w:rPr>
          <w:rFonts w:hint="cs"/>
          <w:rtl/>
        </w:rPr>
        <w:t xml:space="preserve">אחד </w:t>
      </w:r>
      <w:bookmarkStart w:id="8405" w:name="_ETM_Q9_753440"/>
      <w:bookmarkEnd w:id="8405"/>
      <w:r>
        <w:rPr>
          <w:rFonts w:hint="cs"/>
          <w:rtl/>
        </w:rPr>
        <w:t xml:space="preserve">לא </w:t>
      </w:r>
      <w:bookmarkStart w:id="8406" w:name="_ETM_Q9_753559"/>
      <w:bookmarkEnd w:id="8406"/>
      <w:r>
        <w:rPr>
          <w:rFonts w:hint="cs"/>
          <w:rtl/>
        </w:rPr>
        <w:t xml:space="preserve">יכול </w:t>
      </w:r>
      <w:bookmarkStart w:id="8407" w:name="_ETM_Q9_753890"/>
      <w:bookmarkEnd w:id="8407"/>
      <w:r>
        <w:rPr>
          <w:rFonts w:hint="cs"/>
          <w:rtl/>
        </w:rPr>
        <w:t xml:space="preserve">להיות </w:t>
      </w:r>
      <w:bookmarkStart w:id="8408" w:name="_ETM_Q9_754130"/>
      <w:bookmarkEnd w:id="8408"/>
      <w:r>
        <w:rPr>
          <w:rFonts w:hint="cs"/>
          <w:rtl/>
        </w:rPr>
        <w:t xml:space="preserve">מנהיג </w:t>
      </w:r>
      <w:bookmarkStart w:id="8409" w:name="_ETM_Q9_754550"/>
      <w:bookmarkEnd w:id="8409"/>
      <w:r>
        <w:rPr>
          <w:rFonts w:hint="cs"/>
          <w:rtl/>
        </w:rPr>
        <w:t xml:space="preserve">מתוך </w:t>
      </w:r>
      <w:bookmarkStart w:id="8410" w:name="_ETM_Q9_754940"/>
      <w:bookmarkEnd w:id="8410"/>
      <w:r>
        <w:rPr>
          <w:rFonts w:hint="cs"/>
          <w:rtl/>
        </w:rPr>
        <w:t xml:space="preserve">רצון </w:t>
      </w:r>
      <w:bookmarkStart w:id="8411" w:name="_ETM_Q9_755360"/>
      <w:bookmarkEnd w:id="8411"/>
      <w:r>
        <w:rPr>
          <w:rFonts w:hint="cs"/>
          <w:rtl/>
        </w:rPr>
        <w:t xml:space="preserve">לנקמה </w:t>
      </w:r>
      <w:bookmarkStart w:id="8412" w:name="_ETM_Q9_755929"/>
      <w:bookmarkEnd w:id="8412"/>
      <w:r>
        <w:rPr>
          <w:rFonts w:hint="cs"/>
          <w:rtl/>
        </w:rPr>
        <w:t xml:space="preserve">במערכת. </w:t>
      </w:r>
      <w:bookmarkStart w:id="8413" w:name="_ETM_Q9_758059"/>
      <w:bookmarkStart w:id="8414" w:name="_ETM_Q9_758347"/>
      <w:bookmarkStart w:id="8415" w:name="_ETM_Q9_758394"/>
      <w:bookmarkStart w:id="8416" w:name="_ETM_Q9_758578"/>
      <w:bookmarkStart w:id="8417" w:name="_ETM_Q9_758638"/>
      <w:bookmarkStart w:id="8418" w:name="_ETM_Q9_758770"/>
      <w:bookmarkStart w:id="8419" w:name="_ETM_Q9_758862"/>
      <w:bookmarkStart w:id="8420" w:name="TOR_Q10"/>
      <w:bookmarkStart w:id="8421" w:name="_ETM_Q10_19220"/>
      <w:bookmarkStart w:id="8422" w:name="_ETM_Q10_181989"/>
      <w:bookmarkStart w:id="8423" w:name="_ETM_Q10_180619"/>
      <w:bookmarkStart w:id="8424" w:name="_ETM_Q10_175760"/>
      <w:bookmarkStart w:id="8425" w:name="_ETM_Q10_170861"/>
      <w:bookmarkStart w:id="8426" w:name="_ETM_Q10_165972"/>
      <w:bookmarkStart w:id="8427" w:name="_ETM_Q10_162301"/>
      <w:bookmarkStart w:id="8428" w:name="_ETM_Q10_16030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r>
        <w:rPr>
          <w:rFonts w:hint="cs"/>
          <w:rtl/>
        </w:rPr>
        <w:t xml:space="preserve">שמעון פרס, זיכרונו לברכה, אמר: הנהגה זה לא לחלק פקודות, זה להושיב את עצמך על כיסא המציאות ולשאול את </w:t>
      </w:r>
      <w:bookmarkStart w:id="8429" w:name="_ETM_Q10_126907"/>
      <w:bookmarkStart w:id="8430" w:name="_ETM_Q10_122306"/>
      <w:bookmarkStart w:id="8431" w:name="_ETM_Q10_118066"/>
      <w:bookmarkStart w:id="8432" w:name="_ETM_Q10_114136"/>
      <w:bookmarkEnd w:id="8429"/>
      <w:bookmarkEnd w:id="8430"/>
      <w:bookmarkEnd w:id="8431"/>
      <w:bookmarkEnd w:id="8432"/>
      <w:r>
        <w:rPr>
          <w:rFonts w:hint="cs"/>
          <w:rtl/>
        </w:rPr>
        <w:t xml:space="preserve">השאלות הנוקבות ביותר. </w:t>
      </w:r>
      <w:bookmarkStart w:id="8433" w:name="_ETM_Q10_163270"/>
      <w:bookmarkEnd w:id="8433"/>
      <w:r>
        <w:rPr>
          <w:rFonts w:hint="cs"/>
          <w:rtl/>
        </w:rPr>
        <w:t>הגיע הזמן, אדוני ראש הממשלה, שבמקום</w:t>
      </w:r>
      <w:bookmarkStart w:id="8434" w:name="_ETM_Q10_174985"/>
      <w:bookmarkEnd w:id="8434"/>
      <w:r>
        <w:rPr>
          <w:rFonts w:hint="cs"/>
          <w:rtl/>
        </w:rPr>
        <w:t xml:space="preserve"> להאשים את כולם ולפגוע בכולם, תשאל </w:t>
      </w:r>
      <w:bookmarkStart w:id="8435" w:name="_ETM_Q10_172370"/>
      <w:bookmarkEnd w:id="8435"/>
      <w:r>
        <w:rPr>
          <w:rFonts w:hint="cs"/>
          <w:rtl/>
        </w:rPr>
        <w:t xml:space="preserve">את עצמך: האם עוד </w:t>
      </w:r>
      <w:bookmarkStart w:id="8436" w:name="_ETM_Q10_180724"/>
      <w:bookmarkEnd w:id="8436"/>
      <w:r>
        <w:rPr>
          <w:rFonts w:hint="cs"/>
          <w:rtl/>
        </w:rPr>
        <w:t xml:space="preserve">כוח </w:t>
      </w:r>
      <w:bookmarkStart w:id="8437" w:name="_ETM_Q10_180659"/>
      <w:bookmarkEnd w:id="8437"/>
      <w:r>
        <w:rPr>
          <w:rFonts w:hint="cs"/>
          <w:rtl/>
        </w:rPr>
        <w:t xml:space="preserve">ועוד </w:t>
      </w:r>
      <w:bookmarkStart w:id="8438" w:name="_ETM_Q10_181110"/>
      <w:bookmarkEnd w:id="8438"/>
      <w:r>
        <w:rPr>
          <w:rFonts w:hint="cs"/>
          <w:rtl/>
        </w:rPr>
        <w:t xml:space="preserve">ג'וב, האם כל זה </w:t>
      </w:r>
      <w:bookmarkStart w:id="8439" w:name="_ETM_Q10_181589"/>
      <w:bookmarkStart w:id="8440" w:name="_ETM_Q10_181920"/>
      <w:bookmarkStart w:id="8441" w:name="_ETM_Q10_182129"/>
      <w:bookmarkStart w:id="8442" w:name="_ETM_Q10_182310"/>
      <w:bookmarkStart w:id="8443" w:name="_ETM_Q10_177310"/>
      <w:bookmarkStart w:id="8444" w:name="_ETM_Q10_172739"/>
      <w:bookmarkStart w:id="8445" w:name="_ETM_Q10_167859"/>
      <w:bookmarkStart w:id="8446" w:name="_ETM_Q10_163708"/>
      <w:bookmarkStart w:id="8447" w:name="_ETM_Q10_159847"/>
      <w:bookmarkStart w:id="8448" w:name="_ETM_Q10_156558"/>
      <w:bookmarkStart w:id="8449" w:name="_ETM_Q10_153297"/>
      <w:bookmarkStart w:id="8450" w:name="_ETM_Q10_149226"/>
      <w:bookmarkStart w:id="8451" w:name="_ETM_Q10_148586"/>
      <w:bookmarkStart w:id="8452" w:name="_ETM_Q10_144446"/>
      <w:bookmarkStart w:id="8453" w:name="_ETM_Q10_140127"/>
      <w:bookmarkStart w:id="8454" w:name="_ETM_Q10_137016"/>
      <w:bookmarkStart w:id="8455" w:name="_ETM_Q10_133257"/>
      <w:bookmarkStart w:id="8456" w:name="_ETM_Q10_129417"/>
      <w:bookmarkStart w:id="8457" w:name="_ETM_Q10_125767"/>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r>
        <w:rPr>
          <w:rFonts w:hint="cs"/>
          <w:rtl/>
        </w:rPr>
        <w:t xml:space="preserve">שווה </w:t>
      </w:r>
      <w:bookmarkStart w:id="8458" w:name="_ETM_Q10_182820"/>
      <w:bookmarkEnd w:id="8458"/>
      <w:r>
        <w:rPr>
          <w:rFonts w:hint="cs"/>
          <w:rtl/>
        </w:rPr>
        <w:t xml:space="preserve">את </w:t>
      </w:r>
      <w:bookmarkStart w:id="8459" w:name="_ETM_Q10_182909"/>
      <w:bookmarkEnd w:id="8459"/>
      <w:r>
        <w:rPr>
          <w:rFonts w:hint="cs"/>
          <w:rtl/>
        </w:rPr>
        <w:t xml:space="preserve">זה? </w:t>
      </w:r>
      <w:bookmarkStart w:id="8460" w:name="_ETM_Q10_183669"/>
      <w:bookmarkEnd w:id="8460"/>
      <w:r>
        <w:rPr>
          <w:rFonts w:hint="cs"/>
          <w:rtl/>
        </w:rPr>
        <w:t xml:space="preserve">להחריב </w:t>
      </w:r>
      <w:bookmarkStart w:id="8461" w:name="_ETM_Q10_184330"/>
      <w:bookmarkEnd w:id="8461"/>
      <w:r>
        <w:rPr>
          <w:rFonts w:hint="cs"/>
          <w:rtl/>
        </w:rPr>
        <w:t xml:space="preserve">את </w:t>
      </w:r>
      <w:bookmarkStart w:id="8462" w:name="_ETM_Q10_184450"/>
      <w:bookmarkEnd w:id="8462"/>
      <w:r>
        <w:rPr>
          <w:rFonts w:hint="cs"/>
          <w:rtl/>
        </w:rPr>
        <w:t xml:space="preserve">המדינה </w:t>
      </w:r>
      <w:bookmarkStart w:id="8463" w:name="_ETM_Q10_184930"/>
      <w:bookmarkEnd w:id="8463"/>
      <w:r>
        <w:rPr>
          <w:rFonts w:hint="cs"/>
          <w:rtl/>
        </w:rPr>
        <w:t xml:space="preserve">שלנו? </w:t>
      </w:r>
      <w:bookmarkStart w:id="8464" w:name="_ETM_Q10_186329"/>
      <w:bookmarkEnd w:id="8464"/>
      <w:r>
        <w:rPr>
          <w:rFonts w:hint="cs"/>
          <w:rtl/>
        </w:rPr>
        <w:t xml:space="preserve">האם </w:t>
      </w:r>
      <w:bookmarkStart w:id="8465" w:name="_ETM_Q10_186660"/>
      <w:bookmarkEnd w:id="8465"/>
      <w:r>
        <w:rPr>
          <w:rFonts w:hint="cs"/>
          <w:rtl/>
        </w:rPr>
        <w:t xml:space="preserve">שווה </w:t>
      </w:r>
      <w:bookmarkStart w:id="8466" w:name="_ETM_Q10_187200"/>
      <w:bookmarkEnd w:id="8466"/>
      <w:r>
        <w:rPr>
          <w:rFonts w:hint="cs"/>
          <w:rtl/>
        </w:rPr>
        <w:t xml:space="preserve">לך </w:t>
      </w:r>
      <w:bookmarkStart w:id="8467" w:name="_ETM_Q10_187469"/>
      <w:bookmarkEnd w:id="8467"/>
      <w:r>
        <w:rPr>
          <w:rFonts w:hint="cs"/>
          <w:rtl/>
        </w:rPr>
        <w:t xml:space="preserve">להיזכר </w:t>
      </w:r>
      <w:bookmarkStart w:id="8468" w:name="_ETM_Q10_188070"/>
      <w:bookmarkEnd w:id="8468"/>
      <w:r>
        <w:rPr>
          <w:rFonts w:hint="cs"/>
          <w:rtl/>
        </w:rPr>
        <w:t>כ</w:t>
      </w:r>
      <w:bookmarkStart w:id="8469" w:name="_ETM_Q10_188219"/>
      <w:bookmarkEnd w:id="8469"/>
      <w:r>
        <w:rPr>
          <w:rFonts w:hint="cs"/>
          <w:rtl/>
        </w:rPr>
        <w:t xml:space="preserve">מחריב </w:t>
      </w:r>
      <w:bookmarkStart w:id="8470" w:name="_ETM_Q10_188730"/>
      <w:bookmarkEnd w:id="8470"/>
      <w:r>
        <w:rPr>
          <w:rFonts w:hint="cs"/>
          <w:rtl/>
        </w:rPr>
        <w:t xml:space="preserve">המדינה? </w:t>
      </w:r>
      <w:bookmarkStart w:id="8471" w:name="_ETM_Q10_190440"/>
      <w:bookmarkStart w:id="8472" w:name="_ETM_Q10_195579"/>
      <w:bookmarkStart w:id="8473" w:name="_ETM_Q10_195626"/>
      <w:bookmarkStart w:id="8474" w:name="_ETM_Q10_195771"/>
      <w:bookmarkStart w:id="8475" w:name="_ETM_Q10_195814"/>
      <w:bookmarkEnd w:id="8471"/>
      <w:bookmarkEnd w:id="8472"/>
      <w:bookmarkEnd w:id="8473"/>
      <w:bookmarkEnd w:id="8474"/>
      <w:bookmarkEnd w:id="8475"/>
      <w:r>
        <w:rPr>
          <w:rFonts w:hint="cs"/>
          <w:rtl/>
        </w:rPr>
        <w:t xml:space="preserve">הידיים </w:t>
      </w:r>
      <w:bookmarkStart w:id="8476" w:name="_ETM_Q10_191070"/>
      <w:bookmarkEnd w:id="8476"/>
      <w:r>
        <w:rPr>
          <w:rFonts w:hint="cs"/>
          <w:rtl/>
        </w:rPr>
        <w:t xml:space="preserve">שלנו </w:t>
      </w:r>
      <w:bookmarkStart w:id="8477" w:name="_ETM_Q10_191639"/>
      <w:bookmarkEnd w:id="8477"/>
      <w:r>
        <w:rPr>
          <w:rFonts w:hint="cs"/>
          <w:rtl/>
        </w:rPr>
        <w:t xml:space="preserve">במחנה </w:t>
      </w:r>
      <w:bookmarkStart w:id="8478" w:name="_ETM_Q10_192180"/>
      <w:bookmarkEnd w:id="8478"/>
      <w:r>
        <w:rPr>
          <w:rFonts w:hint="cs"/>
          <w:rtl/>
        </w:rPr>
        <w:t xml:space="preserve">הממלכתי </w:t>
      </w:r>
      <w:bookmarkStart w:id="8479" w:name="_ETM_Q10_192780"/>
      <w:bookmarkEnd w:id="8479"/>
      <w:r>
        <w:rPr>
          <w:rFonts w:hint="cs"/>
          <w:rtl/>
        </w:rPr>
        <w:t>פשוטות</w:t>
      </w:r>
      <w:bookmarkStart w:id="8480" w:name="_ETM_Q10_193590"/>
      <w:bookmarkStart w:id="8481" w:name="_ETM_Q10_194309"/>
      <w:bookmarkEnd w:id="8480"/>
      <w:bookmarkEnd w:id="8481"/>
      <w:r>
        <w:rPr>
          <w:rFonts w:hint="cs"/>
          <w:rtl/>
        </w:rPr>
        <w:t xml:space="preserve"> </w:t>
      </w:r>
      <w:bookmarkStart w:id="8482" w:name="_ETM_Q10_194940"/>
      <w:bookmarkEnd w:id="8482"/>
      <w:r>
        <w:rPr>
          <w:rFonts w:hint="cs"/>
          <w:rtl/>
        </w:rPr>
        <w:t>אליך</w:t>
      </w:r>
      <w:bookmarkStart w:id="8483" w:name="_ETM_Q10_194446"/>
      <w:bookmarkEnd w:id="8483"/>
      <w:r>
        <w:rPr>
          <w:rFonts w:hint="cs"/>
          <w:rtl/>
        </w:rPr>
        <w:t xml:space="preserve"> </w:t>
      </w:r>
      <w:bookmarkStart w:id="8484" w:name="_ETM_Q10_196010"/>
      <w:bookmarkEnd w:id="8484"/>
      <w:r>
        <w:rPr>
          <w:rFonts w:hint="cs"/>
          <w:rtl/>
        </w:rPr>
        <w:t xml:space="preserve">להסכמה. </w:t>
      </w:r>
      <w:bookmarkStart w:id="8485" w:name="_ETM_Q10_197539"/>
      <w:bookmarkEnd w:id="8485"/>
      <w:r>
        <w:rPr>
          <w:rFonts w:hint="cs"/>
          <w:rtl/>
        </w:rPr>
        <w:t xml:space="preserve">גם </w:t>
      </w:r>
      <w:bookmarkStart w:id="8486" w:name="_ETM_Q10_197779"/>
      <w:bookmarkEnd w:id="8486"/>
      <w:r>
        <w:rPr>
          <w:rFonts w:hint="cs"/>
          <w:rtl/>
        </w:rPr>
        <w:t xml:space="preserve">עכשיו, </w:t>
      </w:r>
      <w:bookmarkStart w:id="8487" w:name="_ETM_Q10_199199"/>
      <w:bookmarkEnd w:id="8487"/>
      <w:r>
        <w:rPr>
          <w:rFonts w:hint="cs"/>
          <w:rtl/>
        </w:rPr>
        <w:t xml:space="preserve">גם </w:t>
      </w:r>
      <w:bookmarkStart w:id="8488" w:name="_ETM_Q10_199439"/>
      <w:bookmarkEnd w:id="8488"/>
      <w:r>
        <w:rPr>
          <w:rFonts w:hint="cs"/>
          <w:rtl/>
        </w:rPr>
        <w:t xml:space="preserve">ברגע </w:t>
      </w:r>
      <w:bookmarkStart w:id="8489" w:name="_ETM_Q10_199829"/>
      <w:bookmarkEnd w:id="8489"/>
      <w:r>
        <w:rPr>
          <w:rFonts w:hint="cs"/>
          <w:rtl/>
        </w:rPr>
        <w:t>זה</w:t>
      </w:r>
      <w:bookmarkStart w:id="8490" w:name="_ETM_Q10_201040"/>
      <w:bookmarkEnd w:id="8490"/>
      <w:r>
        <w:rPr>
          <w:rFonts w:hint="cs"/>
          <w:rtl/>
        </w:rPr>
        <w:t xml:space="preserve">, הדיבורים </w:t>
      </w:r>
      <w:bookmarkStart w:id="8491" w:name="_ETM_Q10_201640"/>
      <w:bookmarkEnd w:id="8491"/>
      <w:r>
        <w:rPr>
          <w:rFonts w:hint="cs"/>
          <w:rtl/>
        </w:rPr>
        <w:t xml:space="preserve">נמשכים. </w:t>
      </w:r>
      <w:bookmarkStart w:id="8492" w:name="_ETM_Q10_203000"/>
      <w:bookmarkEnd w:id="8492"/>
      <w:r>
        <w:rPr>
          <w:rFonts w:hint="cs"/>
          <w:rtl/>
        </w:rPr>
        <w:t xml:space="preserve">הסכמה </w:t>
      </w:r>
      <w:bookmarkStart w:id="8493" w:name="_ETM_Q10_203720"/>
      <w:bookmarkEnd w:id="8493"/>
      <w:r>
        <w:rPr>
          <w:rFonts w:hint="cs"/>
          <w:rtl/>
        </w:rPr>
        <w:t xml:space="preserve">על ההמשך </w:t>
      </w:r>
      <w:bookmarkStart w:id="8494" w:name="_ETM_Q10_205950"/>
      <w:bookmarkEnd w:id="8494"/>
      <w:r>
        <w:rPr>
          <w:rFonts w:hint="cs"/>
          <w:rtl/>
        </w:rPr>
        <w:t xml:space="preserve">– אבל </w:t>
      </w:r>
      <w:bookmarkStart w:id="8495" w:name="_ETM_Q10_206220"/>
      <w:bookmarkEnd w:id="8495"/>
      <w:r>
        <w:rPr>
          <w:rFonts w:hint="cs"/>
          <w:rtl/>
        </w:rPr>
        <w:t xml:space="preserve">בתנאי </w:t>
      </w:r>
      <w:bookmarkStart w:id="8496" w:name="_ETM_Q10_207919"/>
      <w:bookmarkEnd w:id="8496"/>
      <w:r>
        <w:rPr>
          <w:rFonts w:hint="cs"/>
          <w:rtl/>
        </w:rPr>
        <w:t xml:space="preserve">שלא </w:t>
      </w:r>
      <w:bookmarkStart w:id="8497" w:name="_ETM_Q10_208429"/>
      <w:bookmarkEnd w:id="8497"/>
      <w:r>
        <w:rPr>
          <w:rFonts w:hint="cs"/>
          <w:rtl/>
        </w:rPr>
        <w:t xml:space="preserve">תהיה </w:t>
      </w:r>
      <w:bookmarkStart w:id="8498" w:name="_ETM_Q10_208819"/>
      <w:bookmarkEnd w:id="8498"/>
      <w:r>
        <w:rPr>
          <w:rFonts w:hint="cs"/>
          <w:rtl/>
        </w:rPr>
        <w:t xml:space="preserve">עוד </w:t>
      </w:r>
      <w:bookmarkStart w:id="8499" w:name="_ETM_Q10_208970"/>
      <w:bookmarkEnd w:id="8499"/>
      <w:r>
        <w:rPr>
          <w:rFonts w:hint="cs"/>
          <w:rtl/>
        </w:rPr>
        <w:t xml:space="preserve">חקיקה </w:t>
      </w:r>
      <w:bookmarkStart w:id="8500" w:name="_ETM_Q10_210310"/>
      <w:bookmarkEnd w:id="8500"/>
      <w:r>
        <w:rPr>
          <w:rFonts w:hint="cs"/>
          <w:rtl/>
        </w:rPr>
        <w:t xml:space="preserve">אלא </w:t>
      </w:r>
      <w:bookmarkStart w:id="8501" w:name="_ETM_Q10_210580"/>
      <w:bookmarkEnd w:id="8501"/>
      <w:r>
        <w:rPr>
          <w:rFonts w:hint="cs"/>
          <w:rtl/>
        </w:rPr>
        <w:t xml:space="preserve">בהסכמה </w:t>
      </w:r>
      <w:bookmarkStart w:id="8502" w:name="_ETM_Q10_211910"/>
      <w:bookmarkEnd w:id="8502"/>
      <w:r>
        <w:rPr>
          <w:rFonts w:hint="cs"/>
          <w:rtl/>
        </w:rPr>
        <w:t xml:space="preserve">רחבה. </w:t>
      </w:r>
      <w:bookmarkStart w:id="8503" w:name="_ETM_Q10_213540"/>
      <w:bookmarkEnd w:id="8503"/>
      <w:r>
        <w:rPr>
          <w:rFonts w:hint="cs"/>
          <w:rtl/>
        </w:rPr>
        <w:t xml:space="preserve">ואני </w:t>
      </w:r>
      <w:bookmarkStart w:id="8504" w:name="_ETM_Q10_213809"/>
      <w:bookmarkEnd w:id="8504"/>
      <w:r>
        <w:rPr>
          <w:rFonts w:hint="cs"/>
          <w:rtl/>
        </w:rPr>
        <w:t xml:space="preserve">פונה </w:t>
      </w:r>
      <w:bookmarkStart w:id="8505" w:name="_ETM_Q10_214200"/>
      <w:bookmarkEnd w:id="8505"/>
      <w:r>
        <w:rPr>
          <w:rFonts w:hint="cs"/>
          <w:rtl/>
        </w:rPr>
        <w:t xml:space="preserve">אליך </w:t>
      </w:r>
      <w:bookmarkStart w:id="8506" w:name="_ETM_Q10_214590"/>
      <w:bookmarkEnd w:id="8506"/>
      <w:r>
        <w:rPr>
          <w:rFonts w:hint="cs"/>
          <w:rtl/>
        </w:rPr>
        <w:t xml:space="preserve">ולכל </w:t>
      </w:r>
      <w:bookmarkStart w:id="8507" w:name="_ETM_Q10_215070"/>
      <w:bookmarkEnd w:id="8507"/>
      <w:r>
        <w:rPr>
          <w:rFonts w:hint="cs"/>
          <w:rtl/>
        </w:rPr>
        <w:t xml:space="preserve">אחד </w:t>
      </w:r>
      <w:bookmarkStart w:id="8508" w:name="_ETM_Q10_215370"/>
      <w:bookmarkEnd w:id="8508"/>
      <w:r>
        <w:rPr>
          <w:rFonts w:hint="cs"/>
          <w:rtl/>
        </w:rPr>
        <w:t xml:space="preserve">בקואליציה </w:t>
      </w:r>
      <w:bookmarkStart w:id="8509" w:name="_ETM_Q10_216180"/>
      <w:bookmarkEnd w:id="8509"/>
      <w:r>
        <w:rPr>
          <w:rFonts w:hint="cs"/>
          <w:rtl/>
        </w:rPr>
        <w:t xml:space="preserve">הזאת: </w:t>
      </w:r>
      <w:bookmarkStart w:id="8510" w:name="_ETM_Q10_216940"/>
      <w:bookmarkStart w:id="8511" w:name="_ETM_Q10_217710"/>
      <w:bookmarkEnd w:id="8510"/>
      <w:bookmarkEnd w:id="8511"/>
      <w:r>
        <w:rPr>
          <w:rFonts w:hint="cs"/>
          <w:rtl/>
        </w:rPr>
        <w:t xml:space="preserve">תעשו </w:t>
      </w:r>
      <w:bookmarkStart w:id="8512" w:name="_ETM_Q10_218949"/>
      <w:bookmarkStart w:id="8513" w:name="_ETM_Q10_219339"/>
      <w:bookmarkStart w:id="8514" w:name="_ETM_Q10_219809"/>
      <w:bookmarkEnd w:id="8512"/>
      <w:bookmarkEnd w:id="8513"/>
      <w:bookmarkEnd w:id="8514"/>
      <w:r>
        <w:rPr>
          <w:rFonts w:hint="cs"/>
          <w:rtl/>
        </w:rPr>
        <w:t xml:space="preserve">משהו, תהיו </w:t>
      </w:r>
      <w:bookmarkStart w:id="8515" w:name="_ETM_Q10_224085"/>
      <w:bookmarkEnd w:id="8515"/>
      <w:r>
        <w:rPr>
          <w:rFonts w:hint="cs"/>
          <w:rtl/>
        </w:rPr>
        <w:t xml:space="preserve">מנהיגים, </w:t>
      </w:r>
      <w:bookmarkStart w:id="8516" w:name="_ETM_Q10_221120"/>
      <w:bookmarkEnd w:id="8516"/>
      <w:r>
        <w:rPr>
          <w:rFonts w:hint="cs"/>
          <w:rtl/>
        </w:rPr>
        <w:t>ה</w:t>
      </w:r>
      <w:bookmarkStart w:id="8517" w:name="_ETM_Q10_219205"/>
      <w:bookmarkStart w:id="8518" w:name="_ETM_Q10_218526"/>
      <w:bookmarkStart w:id="8519" w:name="_ETM_Q10_214236"/>
      <w:bookmarkEnd w:id="8517"/>
      <w:bookmarkEnd w:id="8518"/>
      <w:bookmarkEnd w:id="8519"/>
      <w:r>
        <w:rPr>
          <w:rFonts w:hint="cs"/>
          <w:rtl/>
        </w:rPr>
        <w:t xml:space="preserve">אחריות </w:t>
      </w:r>
      <w:bookmarkStart w:id="8520" w:name="_ETM_Q10_222989"/>
      <w:bookmarkEnd w:id="8520"/>
      <w:r>
        <w:rPr>
          <w:rFonts w:hint="cs"/>
          <w:rtl/>
        </w:rPr>
        <w:t xml:space="preserve">היא </w:t>
      </w:r>
      <w:bookmarkStart w:id="8521" w:name="_ETM_Q10_223110"/>
      <w:bookmarkEnd w:id="8521"/>
      <w:r>
        <w:rPr>
          <w:rFonts w:hint="cs"/>
          <w:rtl/>
        </w:rPr>
        <w:t xml:space="preserve">בידיכם. </w:t>
      </w:r>
      <w:bookmarkStart w:id="8522" w:name="_ETM_Q10_225130"/>
      <w:bookmarkEnd w:id="8522"/>
    </w:p>
    <w:p w:rsidR="000C5C1F" w:rsidRDefault="000C5C1F" w:rsidP="000C5C1F">
      <w:pPr>
        <w:rPr>
          <w:rtl/>
        </w:rPr>
      </w:pPr>
    </w:p>
    <w:p w:rsidR="000C5C1F" w:rsidRDefault="000C5C1F" w:rsidP="000C5C1F">
      <w:pPr>
        <w:rPr>
          <w:rtl/>
        </w:rPr>
      </w:pPr>
      <w:r>
        <w:rPr>
          <w:rFonts w:hint="cs"/>
          <w:rtl/>
        </w:rPr>
        <w:t xml:space="preserve">ואני </w:t>
      </w:r>
      <w:bookmarkStart w:id="8523" w:name="_ETM_Q10_225430"/>
      <w:bookmarkEnd w:id="8523"/>
      <w:r>
        <w:rPr>
          <w:rFonts w:hint="cs"/>
          <w:rtl/>
        </w:rPr>
        <w:t xml:space="preserve">רוצה </w:t>
      </w:r>
      <w:bookmarkStart w:id="8524" w:name="_ETM_Q10_225729"/>
      <w:bookmarkEnd w:id="8524"/>
      <w:r>
        <w:rPr>
          <w:rFonts w:hint="cs"/>
          <w:rtl/>
        </w:rPr>
        <w:t xml:space="preserve">להגיד </w:t>
      </w:r>
      <w:bookmarkStart w:id="8525" w:name="_ETM_Q10_226210"/>
      <w:bookmarkEnd w:id="8525"/>
      <w:r>
        <w:rPr>
          <w:rFonts w:hint="cs"/>
          <w:rtl/>
        </w:rPr>
        <w:t xml:space="preserve">עוד </w:t>
      </w:r>
      <w:bookmarkStart w:id="8526" w:name="_ETM_Q10_226390"/>
      <w:bookmarkEnd w:id="8526"/>
      <w:r>
        <w:rPr>
          <w:rFonts w:hint="cs"/>
          <w:rtl/>
        </w:rPr>
        <w:t xml:space="preserve">מילה </w:t>
      </w:r>
      <w:bookmarkStart w:id="8527" w:name="_ETM_Q10_227380"/>
      <w:bookmarkEnd w:id="8527"/>
      <w:r>
        <w:rPr>
          <w:rFonts w:hint="cs"/>
          <w:rtl/>
        </w:rPr>
        <w:t xml:space="preserve">על </w:t>
      </w:r>
      <w:bookmarkStart w:id="8528" w:name="_ETM_Q10_227560"/>
      <w:bookmarkEnd w:id="8528"/>
      <w:r>
        <w:rPr>
          <w:rFonts w:hint="cs"/>
          <w:rtl/>
        </w:rPr>
        <w:t xml:space="preserve">הנושא </w:t>
      </w:r>
      <w:bookmarkStart w:id="8529" w:name="_ETM_Q10_228100"/>
      <w:bookmarkEnd w:id="8529"/>
      <w:r>
        <w:rPr>
          <w:rFonts w:hint="cs"/>
          <w:rtl/>
        </w:rPr>
        <w:t xml:space="preserve">הזה </w:t>
      </w:r>
      <w:bookmarkStart w:id="8530" w:name="_ETM_Q10_228670"/>
      <w:bookmarkEnd w:id="8530"/>
      <w:r>
        <w:rPr>
          <w:rFonts w:hint="cs"/>
          <w:rtl/>
        </w:rPr>
        <w:t xml:space="preserve">של </w:t>
      </w:r>
      <w:bookmarkStart w:id="8531" w:name="_ETM_Q10_229090"/>
      <w:bookmarkEnd w:id="8531"/>
      <w:r>
        <w:rPr>
          <w:rFonts w:hint="cs"/>
          <w:rtl/>
        </w:rPr>
        <w:t xml:space="preserve">ההסכמה </w:t>
      </w:r>
      <w:bookmarkStart w:id="8532" w:name="_ETM_Q10_229720"/>
      <w:bookmarkEnd w:id="8532"/>
      <w:r>
        <w:rPr>
          <w:rFonts w:hint="cs"/>
          <w:rtl/>
        </w:rPr>
        <w:t xml:space="preserve">הרחבה. </w:t>
      </w:r>
      <w:bookmarkStart w:id="8533" w:name="_ETM_Q10_232600"/>
      <w:bookmarkEnd w:id="8533"/>
      <w:r>
        <w:rPr>
          <w:rFonts w:hint="cs"/>
          <w:rtl/>
        </w:rPr>
        <w:t xml:space="preserve">הבקשה </w:t>
      </w:r>
      <w:bookmarkStart w:id="8534" w:name="_ETM_Q10_233320"/>
      <w:bookmarkEnd w:id="8534"/>
      <w:r>
        <w:rPr>
          <w:rFonts w:hint="cs"/>
          <w:rtl/>
        </w:rPr>
        <w:t xml:space="preserve">הזאת, </w:t>
      </w:r>
      <w:bookmarkStart w:id="8535" w:name="_ETM_Q10_233770"/>
      <w:bookmarkEnd w:id="8535"/>
      <w:r>
        <w:rPr>
          <w:rFonts w:hint="cs"/>
          <w:rtl/>
        </w:rPr>
        <w:t xml:space="preserve">שאנחנו </w:t>
      </w:r>
      <w:bookmarkStart w:id="8536" w:name="_ETM_Q10_234219"/>
      <w:bookmarkEnd w:id="8536"/>
      <w:r>
        <w:rPr>
          <w:rFonts w:hint="cs"/>
          <w:rtl/>
        </w:rPr>
        <w:t xml:space="preserve">לא </w:t>
      </w:r>
      <w:bookmarkStart w:id="8537" w:name="_ETM_Q10_234340"/>
      <w:bookmarkEnd w:id="8537"/>
      <w:r>
        <w:rPr>
          <w:rFonts w:hint="cs"/>
          <w:rtl/>
        </w:rPr>
        <w:t xml:space="preserve">נרפה </w:t>
      </w:r>
      <w:bookmarkStart w:id="8538" w:name="_ETM_Q10_234699"/>
      <w:bookmarkEnd w:id="8538"/>
      <w:r>
        <w:rPr>
          <w:rFonts w:hint="cs"/>
          <w:rtl/>
        </w:rPr>
        <w:t xml:space="preserve">ממנה, </w:t>
      </w:r>
      <w:bookmarkStart w:id="8539" w:name="_ETM_Q10_236560"/>
      <w:bookmarkEnd w:id="8539"/>
      <w:r>
        <w:rPr>
          <w:rFonts w:hint="cs"/>
          <w:rtl/>
        </w:rPr>
        <w:t xml:space="preserve">היא </w:t>
      </w:r>
      <w:bookmarkStart w:id="8540" w:name="_ETM_Q10_236710"/>
      <w:bookmarkEnd w:id="8540"/>
      <w:r>
        <w:rPr>
          <w:rFonts w:hint="cs"/>
          <w:rtl/>
        </w:rPr>
        <w:t xml:space="preserve">לא </w:t>
      </w:r>
      <w:bookmarkStart w:id="8541" w:name="_ETM_Q10_236860"/>
      <w:bookmarkEnd w:id="8541"/>
      <w:r>
        <w:rPr>
          <w:rFonts w:hint="cs"/>
          <w:rtl/>
        </w:rPr>
        <w:t>פ</w:t>
      </w:r>
      <w:bookmarkStart w:id="8542" w:name="_ETM_Q10_237010"/>
      <w:bookmarkStart w:id="8543" w:name="_ETM_Q10_237340"/>
      <w:bookmarkEnd w:id="8542"/>
      <w:bookmarkEnd w:id="8543"/>
      <w:r>
        <w:rPr>
          <w:rFonts w:hint="cs"/>
          <w:rtl/>
        </w:rPr>
        <w:t xml:space="preserve">ריבילגיה; </w:t>
      </w:r>
      <w:bookmarkStart w:id="8544" w:name="_ETM_Q10_238449"/>
      <w:bookmarkEnd w:id="8544"/>
      <w:r>
        <w:rPr>
          <w:rFonts w:hint="cs"/>
          <w:rtl/>
        </w:rPr>
        <w:t xml:space="preserve">זה </w:t>
      </w:r>
      <w:bookmarkStart w:id="8545" w:name="_ETM_Q10_238690"/>
      <w:bookmarkEnd w:id="8545"/>
      <w:r>
        <w:rPr>
          <w:rFonts w:hint="cs"/>
          <w:rtl/>
        </w:rPr>
        <w:t xml:space="preserve">לא </w:t>
      </w:r>
      <w:bookmarkStart w:id="8546" w:name="_ETM_Q10_238929"/>
      <w:bookmarkEnd w:id="8546"/>
      <w:r>
        <w:rPr>
          <w:rFonts w:hint="cs"/>
          <w:rtl/>
        </w:rPr>
        <w:t>מיעוט</w:t>
      </w:r>
      <w:bookmarkStart w:id="8547" w:name="_ETM_Q10_236756"/>
      <w:bookmarkEnd w:id="8547"/>
      <w:r>
        <w:rPr>
          <w:rFonts w:hint="cs"/>
          <w:rtl/>
        </w:rPr>
        <w:t xml:space="preserve"> </w:t>
      </w:r>
      <w:bookmarkStart w:id="8548" w:name="_ETM_Q10_239530"/>
      <w:bookmarkEnd w:id="8548"/>
      <w:r>
        <w:rPr>
          <w:rFonts w:hint="cs"/>
          <w:rtl/>
        </w:rPr>
        <w:t xml:space="preserve">שבא </w:t>
      </w:r>
      <w:bookmarkStart w:id="8549" w:name="_ETM_Q10_240039"/>
      <w:bookmarkEnd w:id="8549"/>
      <w:r>
        <w:rPr>
          <w:rFonts w:hint="cs"/>
          <w:rtl/>
        </w:rPr>
        <w:t xml:space="preserve">לממשלה </w:t>
      </w:r>
      <w:bookmarkStart w:id="8550" w:name="_ETM_Q10_240699"/>
      <w:bookmarkEnd w:id="8550"/>
      <w:r>
        <w:rPr>
          <w:rFonts w:hint="cs"/>
          <w:rtl/>
        </w:rPr>
        <w:t xml:space="preserve">ואומר: </w:t>
      </w:r>
      <w:bookmarkStart w:id="8551" w:name="_ETM_Q10_241449"/>
      <w:bookmarkEnd w:id="8551"/>
      <w:r>
        <w:rPr>
          <w:rFonts w:hint="cs"/>
          <w:rtl/>
        </w:rPr>
        <w:t xml:space="preserve">תעש </w:t>
      </w:r>
      <w:bookmarkStart w:id="8552" w:name="_ETM_Q10_242100"/>
      <w:bookmarkEnd w:id="8552"/>
      <w:r>
        <w:rPr>
          <w:rFonts w:hint="cs"/>
          <w:rtl/>
        </w:rPr>
        <w:t xml:space="preserve">לנו </w:t>
      </w:r>
      <w:bookmarkStart w:id="8553" w:name="_ETM_Q10_242519"/>
      <w:bookmarkEnd w:id="8553"/>
      <w:r>
        <w:rPr>
          <w:rFonts w:hint="cs"/>
          <w:rtl/>
        </w:rPr>
        <w:t xml:space="preserve">טובה, </w:t>
      </w:r>
      <w:bookmarkStart w:id="8554" w:name="_ETM_Q10_243149"/>
      <w:bookmarkEnd w:id="8554"/>
      <w:r>
        <w:rPr>
          <w:rFonts w:hint="cs"/>
          <w:rtl/>
        </w:rPr>
        <w:t xml:space="preserve">תחוקקו </w:t>
      </w:r>
      <w:bookmarkStart w:id="8555" w:name="_ETM_Q10_243719"/>
      <w:bookmarkEnd w:id="8555"/>
      <w:r>
        <w:rPr>
          <w:rFonts w:hint="cs"/>
          <w:rtl/>
        </w:rPr>
        <w:t xml:space="preserve">את </w:t>
      </w:r>
      <w:bookmarkStart w:id="8556" w:name="_ETM_Q10_243870"/>
      <w:bookmarkEnd w:id="8556"/>
      <w:r>
        <w:rPr>
          <w:rFonts w:hint="cs"/>
          <w:rtl/>
        </w:rPr>
        <w:t xml:space="preserve">החוקים </w:t>
      </w:r>
      <w:bookmarkStart w:id="8557" w:name="_ETM_Q10_244470"/>
      <w:bookmarkEnd w:id="8557"/>
      <w:r>
        <w:rPr>
          <w:rFonts w:hint="cs"/>
          <w:rtl/>
        </w:rPr>
        <w:t xml:space="preserve">האלה </w:t>
      </w:r>
      <w:bookmarkStart w:id="8558" w:name="_ETM_Q10_244830"/>
      <w:bookmarkEnd w:id="8558"/>
      <w:r>
        <w:rPr>
          <w:rFonts w:hint="cs"/>
          <w:rtl/>
        </w:rPr>
        <w:t xml:space="preserve">בהסכמה </w:t>
      </w:r>
      <w:bookmarkStart w:id="8559" w:name="_ETM_Q10_245459"/>
      <w:bookmarkEnd w:id="8559"/>
      <w:r>
        <w:rPr>
          <w:rFonts w:hint="cs"/>
          <w:rtl/>
        </w:rPr>
        <w:t xml:space="preserve">רחבה. </w:t>
      </w:r>
      <w:bookmarkStart w:id="8560" w:name="_ETM_Q10_246990"/>
      <w:bookmarkStart w:id="8561" w:name="_ETM_Q10_247500"/>
      <w:bookmarkEnd w:id="8560"/>
      <w:bookmarkEnd w:id="8561"/>
      <w:r>
        <w:rPr>
          <w:rFonts w:hint="cs"/>
          <w:rtl/>
        </w:rPr>
        <w:t xml:space="preserve">הרי אם היו </w:t>
      </w:r>
      <w:bookmarkStart w:id="8562" w:name="_ETM_Q10_247950"/>
      <w:bookmarkEnd w:id="8562"/>
      <w:r>
        <w:rPr>
          <w:rFonts w:hint="cs"/>
          <w:rtl/>
        </w:rPr>
        <w:t xml:space="preserve">פה, </w:t>
      </w:r>
      <w:bookmarkStart w:id="8563" w:name="_ETM_Q10_248130"/>
      <w:bookmarkEnd w:id="8563"/>
      <w:r>
        <w:rPr>
          <w:rFonts w:hint="cs"/>
          <w:rtl/>
        </w:rPr>
        <w:t xml:space="preserve">אדוני </w:t>
      </w:r>
      <w:bookmarkStart w:id="8564" w:name="_ETM_Q10_248490"/>
      <w:bookmarkEnd w:id="8564"/>
      <w:r>
        <w:rPr>
          <w:rFonts w:hint="cs"/>
          <w:rtl/>
        </w:rPr>
        <w:t xml:space="preserve">היושב-ראש, </w:t>
      </w:r>
      <w:bookmarkStart w:id="8565" w:name="_ETM_Q10_249480"/>
      <w:bookmarkEnd w:id="8565"/>
      <w:r>
        <w:rPr>
          <w:rFonts w:hint="cs"/>
          <w:rtl/>
        </w:rPr>
        <w:t>חוקי-</w:t>
      </w:r>
      <w:bookmarkStart w:id="8566" w:name="_ETM_Q10_249900"/>
      <w:bookmarkEnd w:id="8566"/>
      <w:r>
        <w:rPr>
          <w:rFonts w:hint="cs"/>
          <w:rtl/>
        </w:rPr>
        <w:t xml:space="preserve">יסוד </w:t>
      </w:r>
      <w:bookmarkStart w:id="8567" w:name="_ETM_Q10_250380"/>
      <w:bookmarkEnd w:id="8567"/>
      <w:r>
        <w:rPr>
          <w:rFonts w:hint="cs"/>
          <w:rtl/>
        </w:rPr>
        <w:t xml:space="preserve">אמיתיים </w:t>
      </w:r>
      <w:bookmarkStart w:id="8568" w:name="_ETM_Q10_251550"/>
      <w:bookmarkEnd w:id="8568"/>
      <w:r>
        <w:rPr>
          <w:rFonts w:hint="cs"/>
          <w:rtl/>
        </w:rPr>
        <w:t>וזכ</w:t>
      </w:r>
      <w:bookmarkStart w:id="8569" w:name="_ETM_Q10_240936"/>
      <w:bookmarkEnd w:id="8569"/>
      <w:r>
        <w:rPr>
          <w:rFonts w:hint="cs"/>
          <w:rtl/>
        </w:rPr>
        <w:t xml:space="preserve">ויות </w:t>
      </w:r>
      <w:bookmarkStart w:id="8570" w:name="_ETM_Q10_252450"/>
      <w:bookmarkEnd w:id="8570"/>
      <w:r>
        <w:rPr>
          <w:rFonts w:hint="cs"/>
          <w:rtl/>
        </w:rPr>
        <w:t xml:space="preserve">יסוד </w:t>
      </w:r>
      <w:bookmarkStart w:id="8571" w:name="_ETM_Q10_252930"/>
      <w:bookmarkEnd w:id="8571"/>
      <w:r>
        <w:rPr>
          <w:rFonts w:hint="cs"/>
          <w:rtl/>
        </w:rPr>
        <w:t xml:space="preserve">אמיתיות, </w:t>
      </w:r>
      <w:bookmarkStart w:id="8572" w:name="_ETM_Q10_254310"/>
      <w:bookmarkEnd w:id="8572"/>
      <w:r>
        <w:rPr>
          <w:rFonts w:hint="cs"/>
          <w:rtl/>
        </w:rPr>
        <w:t xml:space="preserve">הממשלה </w:t>
      </w:r>
      <w:bookmarkStart w:id="8573" w:name="_ETM_Q10_254990"/>
      <w:bookmarkEnd w:id="8573"/>
      <w:r>
        <w:rPr>
          <w:rFonts w:hint="cs"/>
          <w:rtl/>
        </w:rPr>
        <w:t xml:space="preserve">הזו </w:t>
      </w:r>
      <w:bookmarkStart w:id="8574" w:name="_ETM_Q10_255860"/>
      <w:bookmarkEnd w:id="8574"/>
      <w:r>
        <w:rPr>
          <w:rFonts w:hint="cs"/>
          <w:rtl/>
        </w:rPr>
        <w:t xml:space="preserve">לא </w:t>
      </w:r>
      <w:bookmarkStart w:id="8575" w:name="_ETM_Q10_256190"/>
      <w:bookmarkStart w:id="8576" w:name="_ETM_Q10_190029"/>
      <w:bookmarkStart w:id="8577" w:name="_ETM_Q10_186170"/>
      <w:bookmarkStart w:id="8578" w:name="_ETM_Q10_191840"/>
      <w:bookmarkStart w:id="8579" w:name="_ETM_Q10_187690"/>
      <w:bookmarkStart w:id="8580" w:name="_ETM_Q10_184730"/>
      <w:bookmarkStart w:id="8581" w:name="_ETM_Q10_180559"/>
      <w:bookmarkStart w:id="8582" w:name="_ETM_Q10_176829"/>
      <w:bookmarkStart w:id="8583" w:name="_ETM_Q10_173429"/>
      <w:bookmarkStart w:id="8584" w:name="_ETM_Q10_172269"/>
      <w:bookmarkStart w:id="8585" w:name="_ETM_Q10_168250"/>
      <w:bookmarkStart w:id="8586" w:name="_ETM_Q10_165480"/>
      <w:bookmarkStart w:id="8587" w:name="_ETM_Q10_162679"/>
      <w:bookmarkStart w:id="8588" w:name="_ETM_Q10_161560"/>
      <w:bookmarkStart w:id="8589" w:name="_ETM_Q10_158710"/>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r>
        <w:rPr>
          <w:rFonts w:hint="cs"/>
          <w:rtl/>
        </w:rPr>
        <w:t xml:space="preserve">הייתה </w:t>
      </w:r>
      <w:bookmarkStart w:id="8590" w:name="_ETM_Q10_256430"/>
      <w:bookmarkEnd w:id="8590"/>
      <w:r>
        <w:rPr>
          <w:rFonts w:hint="cs"/>
          <w:rtl/>
        </w:rPr>
        <w:t xml:space="preserve">יכולה </w:t>
      </w:r>
      <w:bookmarkStart w:id="8591" w:name="_ETM_Q10_257030"/>
      <w:bookmarkEnd w:id="8591"/>
      <w:r>
        <w:rPr>
          <w:rFonts w:hint="cs"/>
          <w:rtl/>
        </w:rPr>
        <w:t xml:space="preserve">לחוקק </w:t>
      </w:r>
      <w:bookmarkStart w:id="8592" w:name="_ETM_Q10_257780"/>
      <w:bookmarkEnd w:id="8592"/>
      <w:r>
        <w:rPr>
          <w:rFonts w:hint="cs"/>
          <w:rtl/>
        </w:rPr>
        <w:t xml:space="preserve">את </w:t>
      </w:r>
      <w:bookmarkStart w:id="8593" w:name="_ETM_Q10_257930"/>
      <w:bookmarkEnd w:id="8593"/>
      <w:r>
        <w:rPr>
          <w:rFonts w:hint="cs"/>
          <w:rtl/>
        </w:rPr>
        <w:t xml:space="preserve">השינוי </w:t>
      </w:r>
      <w:bookmarkStart w:id="8594" w:name="_ETM_Q10_258530"/>
      <w:bookmarkEnd w:id="8594"/>
      <w:r>
        <w:rPr>
          <w:rFonts w:hint="cs"/>
          <w:rtl/>
        </w:rPr>
        <w:t xml:space="preserve">בעילת </w:t>
      </w:r>
      <w:bookmarkStart w:id="8595" w:name="_ETM_Q10_259010"/>
      <w:bookmarkEnd w:id="8595"/>
      <w:r>
        <w:rPr>
          <w:rFonts w:hint="cs"/>
          <w:rtl/>
        </w:rPr>
        <w:t xml:space="preserve">הסבירות </w:t>
      </w:r>
      <w:bookmarkStart w:id="8596" w:name="_ETM_Q10_260319"/>
      <w:bookmarkEnd w:id="8596"/>
      <w:r>
        <w:rPr>
          <w:rFonts w:hint="cs"/>
          <w:rtl/>
        </w:rPr>
        <w:t xml:space="preserve">אלא </w:t>
      </w:r>
      <w:bookmarkStart w:id="8597" w:name="_ETM_Q10_260650"/>
      <w:bookmarkEnd w:id="8597"/>
      <w:r>
        <w:rPr>
          <w:rFonts w:hint="cs"/>
          <w:rtl/>
        </w:rPr>
        <w:t xml:space="preserve">ברוב </w:t>
      </w:r>
      <w:bookmarkStart w:id="8598" w:name="_ETM_Q10_261100"/>
      <w:bookmarkEnd w:id="8598"/>
      <w:r>
        <w:rPr>
          <w:rFonts w:hint="cs"/>
          <w:rtl/>
        </w:rPr>
        <w:t xml:space="preserve">מיוחס. </w:t>
      </w:r>
      <w:bookmarkStart w:id="8599" w:name="_ETM_Q10_262380"/>
      <w:bookmarkStart w:id="8600" w:name="_ETM_Q10_258357"/>
      <w:bookmarkEnd w:id="8599"/>
      <w:bookmarkEnd w:id="8600"/>
      <w:r>
        <w:rPr>
          <w:rFonts w:hint="cs"/>
          <w:rtl/>
        </w:rPr>
        <w:t xml:space="preserve">כי </w:t>
      </w:r>
      <w:bookmarkStart w:id="8601" w:name="_ETM_Q10_262560"/>
      <w:bookmarkEnd w:id="8601"/>
      <w:r>
        <w:rPr>
          <w:rFonts w:hint="cs"/>
          <w:rtl/>
        </w:rPr>
        <w:t xml:space="preserve">הדבר </w:t>
      </w:r>
      <w:bookmarkStart w:id="8602" w:name="_ETM_Q10_262979"/>
      <w:bookmarkEnd w:id="8602"/>
      <w:r>
        <w:rPr>
          <w:rFonts w:hint="cs"/>
          <w:rtl/>
        </w:rPr>
        <w:t xml:space="preserve">הכי </w:t>
      </w:r>
      <w:bookmarkStart w:id="8603" w:name="_ETM_Q10_263300"/>
      <w:bookmarkEnd w:id="8603"/>
      <w:r>
        <w:rPr>
          <w:rFonts w:hint="cs"/>
          <w:rtl/>
        </w:rPr>
        <w:t xml:space="preserve">בסיסי </w:t>
      </w:r>
      <w:bookmarkStart w:id="8604" w:name="_ETM_Q10_263870"/>
      <w:bookmarkEnd w:id="8604"/>
      <w:r>
        <w:rPr>
          <w:rFonts w:hint="cs"/>
          <w:rtl/>
        </w:rPr>
        <w:t xml:space="preserve">שהבנו – </w:t>
      </w:r>
      <w:bookmarkStart w:id="8605" w:name="_ETM_Q10_311537"/>
      <w:bookmarkStart w:id="8606" w:name="_ETM_Q10_264800"/>
      <w:bookmarkEnd w:id="8605"/>
      <w:bookmarkEnd w:id="8606"/>
      <w:r>
        <w:rPr>
          <w:rFonts w:hint="cs"/>
          <w:rtl/>
        </w:rPr>
        <w:t xml:space="preserve">ודרך </w:t>
      </w:r>
      <w:bookmarkStart w:id="8607" w:name="_ETM_Q10_265190"/>
      <w:bookmarkEnd w:id="8607"/>
      <w:r>
        <w:rPr>
          <w:rFonts w:hint="cs"/>
          <w:rtl/>
        </w:rPr>
        <w:t xml:space="preserve">אגב, </w:t>
      </w:r>
      <w:bookmarkStart w:id="8608" w:name="_ETM_Q10_265459"/>
      <w:bookmarkEnd w:id="8608"/>
      <w:r>
        <w:rPr>
          <w:rFonts w:hint="cs"/>
          <w:rtl/>
        </w:rPr>
        <w:t xml:space="preserve">לא </w:t>
      </w:r>
      <w:bookmarkStart w:id="8609" w:name="_ETM_Q10_265580"/>
      <w:bookmarkEnd w:id="8609"/>
      <w:r>
        <w:rPr>
          <w:rFonts w:hint="cs"/>
          <w:rtl/>
        </w:rPr>
        <w:t xml:space="preserve">הייתה </w:t>
      </w:r>
      <w:bookmarkStart w:id="8610" w:name="_ETM_Q10_266030"/>
      <w:bookmarkStart w:id="8611" w:name="_ETM_Q10_267973"/>
      <w:bookmarkEnd w:id="8610"/>
      <w:bookmarkEnd w:id="8611"/>
      <w:r>
        <w:rPr>
          <w:rFonts w:hint="cs"/>
          <w:rtl/>
        </w:rPr>
        <w:t xml:space="preserve">על זה מחלוקת </w:t>
      </w:r>
      <w:bookmarkStart w:id="8612" w:name="_ETM_Q10_266510"/>
      <w:bookmarkEnd w:id="8612"/>
      <w:r>
        <w:rPr>
          <w:rFonts w:hint="cs"/>
          <w:rtl/>
        </w:rPr>
        <w:t xml:space="preserve">בבית </w:t>
      </w:r>
      <w:bookmarkStart w:id="8613" w:name="_ETM_Q10_266810"/>
      <w:bookmarkEnd w:id="8613"/>
      <w:r>
        <w:rPr>
          <w:rFonts w:hint="cs"/>
          <w:rtl/>
        </w:rPr>
        <w:t xml:space="preserve">הנשיא </w:t>
      </w:r>
      <w:bookmarkStart w:id="8614" w:name="_ETM_Q10_267740"/>
      <w:bookmarkEnd w:id="8614"/>
      <w:r>
        <w:rPr>
          <w:rFonts w:hint="cs"/>
          <w:rtl/>
        </w:rPr>
        <w:t xml:space="preserve">– הוא שצריך </w:t>
      </w:r>
      <w:bookmarkStart w:id="8615" w:name="_ETM_Q10_268520"/>
      <w:bookmarkEnd w:id="8615"/>
      <w:r>
        <w:rPr>
          <w:rFonts w:hint="cs"/>
          <w:rtl/>
        </w:rPr>
        <w:t xml:space="preserve">לעגן </w:t>
      </w:r>
      <w:bookmarkStart w:id="8616" w:name="_ETM_Q10_268970"/>
      <w:bookmarkEnd w:id="8616"/>
      <w:r>
        <w:rPr>
          <w:rFonts w:hint="cs"/>
          <w:rtl/>
        </w:rPr>
        <w:t xml:space="preserve">את </w:t>
      </w:r>
      <w:bookmarkStart w:id="8617" w:name="_ETM_Q10_269060"/>
      <w:bookmarkEnd w:id="8617"/>
      <w:r>
        <w:rPr>
          <w:rFonts w:hint="cs"/>
          <w:rtl/>
        </w:rPr>
        <w:t xml:space="preserve">זכויות </w:t>
      </w:r>
      <w:bookmarkStart w:id="8618" w:name="_ETM_Q10_269510"/>
      <w:bookmarkEnd w:id="8618"/>
      <w:r>
        <w:rPr>
          <w:rFonts w:hint="cs"/>
          <w:rtl/>
        </w:rPr>
        <w:t xml:space="preserve">הפרט, </w:t>
      </w:r>
      <w:bookmarkStart w:id="8619" w:name="_ETM_Q10_270440"/>
      <w:bookmarkEnd w:id="8619"/>
      <w:r>
        <w:rPr>
          <w:rFonts w:hint="cs"/>
          <w:rtl/>
        </w:rPr>
        <w:t>שחוקי</w:t>
      </w:r>
      <w:bookmarkStart w:id="8620" w:name="_ETM_Q10_271060"/>
      <w:bookmarkEnd w:id="8620"/>
      <w:r>
        <w:rPr>
          <w:rFonts w:hint="cs"/>
          <w:rtl/>
        </w:rPr>
        <w:t xml:space="preserve">-היסוד </w:t>
      </w:r>
      <w:bookmarkStart w:id="8621" w:name="_ETM_Q10_271750"/>
      <w:bookmarkEnd w:id="8621"/>
      <w:r>
        <w:rPr>
          <w:rFonts w:hint="cs"/>
          <w:rtl/>
        </w:rPr>
        <w:t xml:space="preserve">במדינת </w:t>
      </w:r>
      <w:bookmarkStart w:id="8622" w:name="_ETM_Q10_272140"/>
      <w:bookmarkEnd w:id="8622"/>
      <w:r>
        <w:rPr>
          <w:rFonts w:hint="cs"/>
          <w:rtl/>
        </w:rPr>
        <w:t xml:space="preserve">ישראל </w:t>
      </w:r>
      <w:bookmarkStart w:id="8623" w:name="_ETM_Q10_272790"/>
      <w:bookmarkStart w:id="8624" w:name="_ETM_Q10_273090"/>
      <w:bookmarkEnd w:id="8623"/>
      <w:bookmarkEnd w:id="8624"/>
      <w:r>
        <w:rPr>
          <w:rFonts w:hint="cs"/>
          <w:rtl/>
        </w:rPr>
        <w:t xml:space="preserve">לא </w:t>
      </w:r>
      <w:bookmarkStart w:id="8625" w:name="_ETM_Q10_273189"/>
      <w:bookmarkEnd w:id="8625"/>
      <w:r>
        <w:rPr>
          <w:rFonts w:hint="cs"/>
          <w:rtl/>
        </w:rPr>
        <w:t xml:space="preserve">כתובים </w:t>
      </w:r>
      <w:bookmarkStart w:id="8626" w:name="_ETM_Q10_273819"/>
      <w:bookmarkEnd w:id="8626"/>
      <w:r>
        <w:rPr>
          <w:rFonts w:hint="cs"/>
          <w:rtl/>
        </w:rPr>
        <w:t xml:space="preserve">בצורה </w:t>
      </w:r>
      <w:bookmarkStart w:id="8627" w:name="_ETM_Q10_274299"/>
      <w:bookmarkEnd w:id="8627"/>
      <w:r>
        <w:rPr>
          <w:rFonts w:hint="cs"/>
          <w:rtl/>
        </w:rPr>
        <w:t xml:space="preserve">אמיתית, </w:t>
      </w:r>
      <w:bookmarkStart w:id="8628" w:name="_ETM_Q10_274779"/>
      <w:bookmarkEnd w:id="8628"/>
      <w:r>
        <w:rPr>
          <w:rFonts w:hint="cs"/>
          <w:rtl/>
        </w:rPr>
        <w:t>כחוקי</w:t>
      </w:r>
      <w:bookmarkStart w:id="8629" w:name="_ETM_Q10_275289"/>
      <w:bookmarkEnd w:id="8629"/>
      <w:r>
        <w:rPr>
          <w:rFonts w:hint="cs"/>
          <w:rtl/>
        </w:rPr>
        <w:t xml:space="preserve">-יסוד </w:t>
      </w:r>
      <w:bookmarkStart w:id="8630" w:name="_ETM_Q10_275590"/>
      <w:bookmarkEnd w:id="8630"/>
      <w:r>
        <w:rPr>
          <w:rFonts w:hint="cs"/>
          <w:rtl/>
        </w:rPr>
        <w:t>מוגנים.</w:t>
      </w:r>
      <w:bookmarkStart w:id="8631" w:name="_ETM_Q10_271477"/>
      <w:bookmarkEnd w:id="8631"/>
      <w:r>
        <w:rPr>
          <w:rFonts w:hint="cs"/>
          <w:rtl/>
        </w:rPr>
        <w:t xml:space="preserve"> </w:t>
      </w:r>
      <w:bookmarkStart w:id="8632" w:name="_ETM_Q10_276810"/>
      <w:bookmarkEnd w:id="8632"/>
      <w:r>
        <w:rPr>
          <w:rFonts w:hint="cs"/>
          <w:rtl/>
        </w:rPr>
        <w:t xml:space="preserve">כי </w:t>
      </w:r>
      <w:bookmarkStart w:id="8633" w:name="_ETM_Q10_276990"/>
      <w:bookmarkStart w:id="8634" w:name="_ETM_Q10_277130"/>
      <w:bookmarkEnd w:id="8633"/>
      <w:bookmarkEnd w:id="8634"/>
      <w:r>
        <w:rPr>
          <w:rFonts w:hint="cs"/>
          <w:rtl/>
        </w:rPr>
        <w:t>בחוקי-</w:t>
      </w:r>
      <w:bookmarkStart w:id="8635" w:name="_ETM_Q10_277369"/>
      <w:bookmarkEnd w:id="8635"/>
      <w:r>
        <w:rPr>
          <w:rFonts w:hint="cs"/>
          <w:rtl/>
        </w:rPr>
        <w:t xml:space="preserve">היסוד </w:t>
      </w:r>
      <w:bookmarkStart w:id="8636" w:name="_ETM_Q10_277939"/>
      <w:bookmarkEnd w:id="8636"/>
      <w:r>
        <w:rPr>
          <w:rFonts w:hint="cs"/>
          <w:rtl/>
        </w:rPr>
        <w:t xml:space="preserve">כלל </w:t>
      </w:r>
      <w:bookmarkStart w:id="8637" w:name="_ETM_Q10_278240"/>
      <w:bookmarkEnd w:id="8637"/>
      <w:r>
        <w:rPr>
          <w:rFonts w:hint="cs"/>
          <w:rtl/>
        </w:rPr>
        <w:t xml:space="preserve">היסוד </w:t>
      </w:r>
      <w:bookmarkStart w:id="8638" w:name="_ETM_Q10_278869"/>
      <w:bookmarkEnd w:id="8638"/>
      <w:r>
        <w:rPr>
          <w:rFonts w:hint="cs"/>
          <w:rtl/>
        </w:rPr>
        <w:t xml:space="preserve">הוא, כמו </w:t>
      </w:r>
      <w:bookmarkStart w:id="8639" w:name="_ETM_Q10_279590"/>
      <w:bookmarkEnd w:id="8639"/>
      <w:r>
        <w:rPr>
          <w:rFonts w:hint="cs"/>
          <w:rtl/>
        </w:rPr>
        <w:t xml:space="preserve">בחוקה </w:t>
      </w:r>
      <w:bookmarkStart w:id="8640" w:name="_ETM_Q10_280249"/>
      <w:bookmarkEnd w:id="8640"/>
      <w:r>
        <w:rPr>
          <w:rFonts w:hint="cs"/>
          <w:rtl/>
        </w:rPr>
        <w:t xml:space="preserve">בכל </w:t>
      </w:r>
      <w:bookmarkStart w:id="8641" w:name="_ETM_Q10_280639"/>
      <w:bookmarkEnd w:id="8641"/>
      <w:r>
        <w:rPr>
          <w:rFonts w:hint="cs"/>
          <w:rtl/>
        </w:rPr>
        <w:t xml:space="preserve">מדינה, </w:t>
      </w:r>
      <w:bookmarkStart w:id="8642" w:name="_ETM_Q10_281149"/>
      <w:bookmarkStart w:id="8643" w:name="_ETM_Q10_276717"/>
      <w:bookmarkEnd w:id="8642"/>
      <w:bookmarkEnd w:id="8643"/>
      <w:r>
        <w:rPr>
          <w:rFonts w:hint="cs"/>
          <w:rtl/>
        </w:rPr>
        <w:t>ש</w:t>
      </w:r>
      <w:bookmarkStart w:id="8644" w:name="_ETM_Q10_282479"/>
      <w:bookmarkEnd w:id="8644"/>
      <w:r>
        <w:rPr>
          <w:rFonts w:hint="cs"/>
          <w:rtl/>
        </w:rPr>
        <w:t xml:space="preserve">אי-אפשר </w:t>
      </w:r>
      <w:bookmarkStart w:id="8645" w:name="_ETM_Q10_283049"/>
      <w:bookmarkEnd w:id="8645"/>
      <w:r>
        <w:rPr>
          <w:rFonts w:hint="cs"/>
          <w:rtl/>
        </w:rPr>
        <w:t xml:space="preserve">לשנות </w:t>
      </w:r>
      <w:bookmarkStart w:id="8646" w:name="_ETM_Q10_283680"/>
      <w:bookmarkEnd w:id="8646"/>
      <w:r>
        <w:rPr>
          <w:rFonts w:hint="cs"/>
          <w:rtl/>
        </w:rPr>
        <w:t xml:space="preserve">אותם </w:t>
      </w:r>
      <w:bookmarkStart w:id="8647" w:name="_ETM_Q10_284830"/>
      <w:bookmarkEnd w:id="8647"/>
      <w:r>
        <w:rPr>
          <w:rFonts w:hint="cs"/>
          <w:rtl/>
        </w:rPr>
        <w:t>אלא ברוב</w:t>
      </w:r>
      <w:bookmarkStart w:id="8648" w:name="_ETM_Q10_285250"/>
      <w:bookmarkEnd w:id="8648"/>
      <w:r>
        <w:rPr>
          <w:rFonts w:hint="cs"/>
          <w:rtl/>
        </w:rPr>
        <w:t xml:space="preserve">, של </w:t>
      </w:r>
      <w:bookmarkStart w:id="8649" w:name="_ETM_Q10_285459"/>
      <w:bookmarkEnd w:id="8649"/>
      <w:r>
        <w:rPr>
          <w:rFonts w:hint="cs"/>
          <w:rtl/>
        </w:rPr>
        <w:t xml:space="preserve">75 </w:t>
      </w:r>
      <w:bookmarkStart w:id="8650" w:name="_ETM_Q10_286390"/>
      <w:bookmarkEnd w:id="8650"/>
      <w:r>
        <w:rPr>
          <w:rFonts w:hint="cs"/>
          <w:rtl/>
        </w:rPr>
        <w:t xml:space="preserve">חברי </w:t>
      </w:r>
      <w:bookmarkStart w:id="8651" w:name="_ETM_Q10_286750"/>
      <w:bookmarkEnd w:id="8651"/>
      <w:r>
        <w:rPr>
          <w:rFonts w:hint="cs"/>
          <w:rtl/>
        </w:rPr>
        <w:t xml:space="preserve">כנסת. </w:t>
      </w:r>
      <w:bookmarkStart w:id="8652" w:name="_ETM_Q10_287630"/>
      <w:bookmarkEnd w:id="8652"/>
      <w:r>
        <w:rPr>
          <w:rFonts w:hint="cs"/>
          <w:rtl/>
        </w:rPr>
        <w:t xml:space="preserve">מה </w:t>
      </w:r>
      <w:bookmarkStart w:id="8653" w:name="_ETM_Q10_287899"/>
      <w:bookmarkEnd w:id="8653"/>
      <w:r>
        <w:rPr>
          <w:rFonts w:hint="cs"/>
          <w:rtl/>
        </w:rPr>
        <w:t xml:space="preserve">זה </w:t>
      </w:r>
      <w:bookmarkStart w:id="8654" w:name="_ETM_Q10_288110"/>
      <w:bookmarkEnd w:id="8654"/>
      <w:r>
        <w:rPr>
          <w:rFonts w:hint="cs"/>
          <w:rtl/>
        </w:rPr>
        <w:t xml:space="preserve">אומר? </w:t>
      </w:r>
      <w:bookmarkStart w:id="8655" w:name="_ETM_Q10_289210"/>
      <w:bookmarkEnd w:id="8655"/>
      <w:r>
        <w:rPr>
          <w:rFonts w:hint="cs"/>
          <w:rtl/>
        </w:rPr>
        <w:t xml:space="preserve">שאלו </w:t>
      </w:r>
      <w:bookmarkStart w:id="8656" w:name="_ETM_Q10_290560"/>
      <w:bookmarkEnd w:id="8656"/>
      <w:r>
        <w:rPr>
          <w:rFonts w:hint="cs"/>
          <w:rtl/>
        </w:rPr>
        <w:t xml:space="preserve">יסודות </w:t>
      </w:r>
      <w:bookmarkStart w:id="8657" w:name="_ETM_Q10_291340"/>
      <w:bookmarkEnd w:id="8657"/>
      <w:r>
        <w:rPr>
          <w:rFonts w:hint="cs"/>
          <w:rtl/>
        </w:rPr>
        <w:t xml:space="preserve">חוקתיים </w:t>
      </w:r>
      <w:bookmarkStart w:id="8658" w:name="_ETM_Q10_292240"/>
      <w:bookmarkEnd w:id="8658"/>
      <w:r>
        <w:rPr>
          <w:rFonts w:hint="cs"/>
          <w:rtl/>
        </w:rPr>
        <w:t xml:space="preserve">של </w:t>
      </w:r>
      <w:bookmarkStart w:id="8659" w:name="_ETM_Q10_292450"/>
      <w:bookmarkEnd w:id="8659"/>
      <w:r>
        <w:rPr>
          <w:rFonts w:hint="cs"/>
          <w:rtl/>
        </w:rPr>
        <w:t>המדינה</w:t>
      </w:r>
      <w:bookmarkStart w:id="8660" w:name="_ETM_Q10_291347"/>
      <w:bookmarkEnd w:id="8660"/>
      <w:r>
        <w:rPr>
          <w:rFonts w:hint="cs"/>
          <w:rtl/>
        </w:rPr>
        <w:t xml:space="preserve">, </w:t>
      </w:r>
      <w:bookmarkStart w:id="8661" w:name="_ETM_Q10_293350"/>
      <w:bookmarkEnd w:id="8661"/>
      <w:r>
        <w:rPr>
          <w:rFonts w:hint="cs"/>
          <w:rtl/>
        </w:rPr>
        <w:t xml:space="preserve">וכשבאים </w:t>
      </w:r>
      <w:bookmarkStart w:id="8662" w:name="_ETM_Q10_294009"/>
      <w:bookmarkEnd w:id="8662"/>
      <w:r>
        <w:rPr>
          <w:rFonts w:hint="cs"/>
          <w:rtl/>
        </w:rPr>
        <w:t xml:space="preserve">לשנות </w:t>
      </w:r>
      <w:bookmarkStart w:id="8663" w:name="_ETM_Q10_294759"/>
      <w:bookmarkEnd w:id="8663"/>
      <w:r>
        <w:rPr>
          <w:rFonts w:hint="cs"/>
          <w:rtl/>
        </w:rPr>
        <w:t xml:space="preserve">את </w:t>
      </w:r>
      <w:bookmarkStart w:id="8664" w:name="_ETM_Q10_294909"/>
      <w:bookmarkEnd w:id="8664"/>
      <w:r>
        <w:rPr>
          <w:rFonts w:hint="cs"/>
          <w:rtl/>
        </w:rPr>
        <w:t xml:space="preserve">כללי </w:t>
      </w:r>
      <w:bookmarkStart w:id="8665" w:name="_ETM_Q10_295270"/>
      <w:bookmarkEnd w:id="8665"/>
      <w:r>
        <w:rPr>
          <w:rFonts w:hint="cs"/>
          <w:rtl/>
        </w:rPr>
        <w:t xml:space="preserve">המשחק, </w:t>
      </w:r>
      <w:bookmarkStart w:id="8666" w:name="_ETM_Q10_296289"/>
      <w:bookmarkEnd w:id="8666"/>
      <w:r>
        <w:rPr>
          <w:rFonts w:hint="cs"/>
          <w:rtl/>
        </w:rPr>
        <w:t xml:space="preserve">ממשלה </w:t>
      </w:r>
      <w:bookmarkStart w:id="8667" w:name="_ETM_Q10_297130"/>
      <w:bookmarkEnd w:id="8667"/>
      <w:r>
        <w:rPr>
          <w:rFonts w:hint="cs"/>
          <w:rtl/>
        </w:rPr>
        <w:t xml:space="preserve">רגילה, </w:t>
      </w:r>
      <w:bookmarkStart w:id="8668" w:name="_ETM_Q10_297609"/>
      <w:bookmarkEnd w:id="8668"/>
      <w:r>
        <w:rPr>
          <w:rFonts w:hint="cs"/>
          <w:rtl/>
        </w:rPr>
        <w:t xml:space="preserve">ברוב </w:t>
      </w:r>
      <w:bookmarkStart w:id="8669" w:name="_ETM_Q10_297999"/>
      <w:bookmarkEnd w:id="8669"/>
      <w:r>
        <w:rPr>
          <w:rFonts w:hint="cs"/>
          <w:rtl/>
        </w:rPr>
        <w:t xml:space="preserve">רגיל, </w:t>
      </w:r>
      <w:bookmarkStart w:id="8670" w:name="_ETM_Q10_298509"/>
      <w:bookmarkEnd w:id="8670"/>
      <w:r>
        <w:rPr>
          <w:rFonts w:hint="cs"/>
          <w:rtl/>
        </w:rPr>
        <w:t xml:space="preserve">לא </w:t>
      </w:r>
      <w:bookmarkStart w:id="8671" w:name="_ETM_Q10_298719"/>
      <w:bookmarkEnd w:id="8671"/>
      <w:r>
        <w:rPr>
          <w:rFonts w:hint="cs"/>
          <w:rtl/>
        </w:rPr>
        <w:t xml:space="preserve">יכולה </w:t>
      </w:r>
      <w:bookmarkStart w:id="8672" w:name="_ETM_Q10_299380"/>
      <w:bookmarkEnd w:id="8672"/>
      <w:r>
        <w:rPr>
          <w:rFonts w:hint="cs"/>
          <w:rtl/>
        </w:rPr>
        <w:t xml:space="preserve">לעשות </w:t>
      </w:r>
      <w:bookmarkStart w:id="8673" w:name="_ETM_Q10_299920"/>
      <w:bookmarkEnd w:id="8673"/>
      <w:r>
        <w:rPr>
          <w:rFonts w:hint="cs"/>
          <w:rtl/>
        </w:rPr>
        <w:t xml:space="preserve">את </w:t>
      </w:r>
      <w:bookmarkStart w:id="8674" w:name="_ETM_Q10_300039"/>
      <w:bookmarkEnd w:id="8674"/>
      <w:r>
        <w:rPr>
          <w:rFonts w:hint="cs"/>
          <w:rtl/>
        </w:rPr>
        <w:t xml:space="preserve">זה. </w:t>
      </w:r>
      <w:bookmarkStart w:id="8675" w:name="_ETM_Q10_300640"/>
      <w:bookmarkEnd w:id="8675"/>
      <w:r>
        <w:rPr>
          <w:rFonts w:hint="cs"/>
          <w:rtl/>
        </w:rPr>
        <w:t>ו</w:t>
      </w:r>
      <w:bookmarkStart w:id="8676" w:name="_ETM_Q10_300960"/>
      <w:bookmarkStart w:id="8677" w:name="_ETM_Q10_297388"/>
      <w:bookmarkEnd w:id="8676"/>
      <w:bookmarkEnd w:id="8677"/>
      <w:r>
        <w:rPr>
          <w:rFonts w:hint="cs"/>
          <w:rtl/>
        </w:rPr>
        <w:t xml:space="preserve">אתם </w:t>
      </w:r>
      <w:bookmarkStart w:id="8678" w:name="_ETM_Q10_301140"/>
      <w:bookmarkEnd w:id="8678"/>
      <w:r>
        <w:rPr>
          <w:rFonts w:hint="cs"/>
          <w:rtl/>
        </w:rPr>
        <w:t xml:space="preserve">מנצלים </w:t>
      </w:r>
      <w:bookmarkStart w:id="8679" w:name="_ETM_Q10_302280"/>
      <w:bookmarkEnd w:id="8679"/>
      <w:r>
        <w:rPr>
          <w:rFonts w:hint="cs"/>
          <w:rtl/>
        </w:rPr>
        <w:t xml:space="preserve">את </w:t>
      </w:r>
      <w:bookmarkStart w:id="8680" w:name="_ETM_Q10_302579"/>
      <w:bookmarkEnd w:id="8680"/>
      <w:r>
        <w:rPr>
          <w:rFonts w:hint="cs"/>
          <w:rtl/>
        </w:rPr>
        <w:t xml:space="preserve">המחדל </w:t>
      </w:r>
      <w:bookmarkStart w:id="8681" w:name="_ETM_Q10_303060"/>
      <w:bookmarkEnd w:id="8681"/>
      <w:r>
        <w:rPr>
          <w:rFonts w:hint="cs"/>
          <w:rtl/>
        </w:rPr>
        <w:t>הזה</w:t>
      </w:r>
      <w:bookmarkStart w:id="8682" w:name="_ETM_Q10_302447"/>
      <w:bookmarkEnd w:id="8682"/>
      <w:r>
        <w:rPr>
          <w:rFonts w:hint="cs"/>
          <w:rtl/>
        </w:rPr>
        <w:t xml:space="preserve"> </w:t>
      </w:r>
      <w:bookmarkStart w:id="8683" w:name="_ETM_Q10_303810"/>
      <w:bookmarkEnd w:id="8683"/>
      <w:r>
        <w:rPr>
          <w:rFonts w:hint="cs"/>
          <w:rtl/>
        </w:rPr>
        <w:t xml:space="preserve">שעד </w:t>
      </w:r>
      <w:bookmarkStart w:id="8684" w:name="_ETM_Q10_304349"/>
      <w:bookmarkEnd w:id="8684"/>
      <w:r>
        <w:rPr>
          <w:rFonts w:hint="cs"/>
          <w:rtl/>
        </w:rPr>
        <w:t xml:space="preserve">היום </w:t>
      </w:r>
      <w:bookmarkStart w:id="8685" w:name="_ETM_Q10_304679"/>
      <w:bookmarkEnd w:id="8685"/>
      <w:r>
        <w:rPr>
          <w:rFonts w:hint="cs"/>
          <w:rtl/>
        </w:rPr>
        <w:t xml:space="preserve">לא </w:t>
      </w:r>
      <w:bookmarkStart w:id="8686" w:name="_ETM_Q10_305069"/>
      <w:bookmarkEnd w:id="8686"/>
      <w:r>
        <w:rPr>
          <w:rFonts w:hint="cs"/>
          <w:rtl/>
        </w:rPr>
        <w:t>הג</w:t>
      </w:r>
      <w:bookmarkStart w:id="8687" w:name="_ETM_Q10_305639"/>
      <w:bookmarkEnd w:id="8687"/>
      <w:r>
        <w:rPr>
          <w:rFonts w:hint="cs"/>
          <w:rtl/>
        </w:rPr>
        <w:t xml:space="preserve">נו על </w:t>
      </w:r>
      <w:bookmarkStart w:id="8688" w:name="_ETM_Q10_305880"/>
      <w:bookmarkEnd w:id="8688"/>
      <w:r>
        <w:rPr>
          <w:rFonts w:hint="cs"/>
          <w:rtl/>
        </w:rPr>
        <w:t xml:space="preserve">זכויות </w:t>
      </w:r>
      <w:bookmarkStart w:id="8689" w:name="_ETM_Q10_306329"/>
      <w:bookmarkEnd w:id="8689"/>
      <w:r>
        <w:rPr>
          <w:rFonts w:hint="cs"/>
          <w:rtl/>
        </w:rPr>
        <w:t>היסוד,</w:t>
      </w:r>
      <w:bookmarkStart w:id="8690" w:name="_ETM_Q10_304727"/>
      <w:bookmarkEnd w:id="8690"/>
      <w:r>
        <w:rPr>
          <w:rFonts w:hint="cs"/>
          <w:rtl/>
        </w:rPr>
        <w:t xml:space="preserve"> </w:t>
      </w:r>
      <w:bookmarkStart w:id="8691" w:name="_ETM_Q10_307169"/>
      <w:bookmarkEnd w:id="8691"/>
      <w:r>
        <w:rPr>
          <w:rFonts w:hint="cs"/>
          <w:rtl/>
        </w:rPr>
        <w:t xml:space="preserve">ואומרים </w:t>
      </w:r>
      <w:bookmarkStart w:id="8692" w:name="_ETM_Q10_307679"/>
      <w:bookmarkEnd w:id="8692"/>
      <w:r>
        <w:rPr>
          <w:rFonts w:hint="cs"/>
          <w:rtl/>
        </w:rPr>
        <w:t xml:space="preserve">– </w:t>
      </w:r>
      <w:bookmarkStart w:id="8693" w:name="_ETM_Q10_316137"/>
      <w:bookmarkEnd w:id="8693"/>
      <w:r>
        <w:rPr>
          <w:rFonts w:hint="cs"/>
          <w:rtl/>
        </w:rPr>
        <w:t xml:space="preserve">מה, </w:t>
      </w:r>
      <w:bookmarkStart w:id="8694" w:name="_ETM_Q10_307829"/>
      <w:bookmarkEnd w:id="8694"/>
      <w:r>
        <w:rPr>
          <w:rFonts w:hint="cs"/>
          <w:rtl/>
        </w:rPr>
        <w:t xml:space="preserve">זו </w:t>
      </w:r>
      <w:bookmarkStart w:id="8695" w:name="_ETM_Q10_308069"/>
      <w:bookmarkEnd w:id="8695"/>
      <w:r>
        <w:rPr>
          <w:rFonts w:hint="cs"/>
          <w:rtl/>
        </w:rPr>
        <w:t xml:space="preserve">דמוקרטיה. </w:t>
      </w:r>
      <w:bookmarkStart w:id="8696" w:name="_ETM_Q10_308879"/>
      <w:bookmarkEnd w:id="8696"/>
      <w:r>
        <w:rPr>
          <w:rFonts w:hint="cs"/>
          <w:rtl/>
        </w:rPr>
        <w:t>לא.</w:t>
      </w:r>
      <w:bookmarkStart w:id="8697" w:name="_ETM_Q10_305647"/>
      <w:bookmarkEnd w:id="8697"/>
      <w:r>
        <w:rPr>
          <w:rFonts w:hint="cs"/>
          <w:rtl/>
        </w:rPr>
        <w:t xml:space="preserve"> </w:t>
      </w:r>
      <w:bookmarkStart w:id="8698" w:name="_ETM_Q10_309819"/>
      <w:bookmarkEnd w:id="8698"/>
      <w:r>
        <w:rPr>
          <w:rFonts w:hint="cs"/>
          <w:rtl/>
        </w:rPr>
        <w:t xml:space="preserve">בדמוקרטיה </w:t>
      </w:r>
      <w:bookmarkStart w:id="8699" w:name="_ETM_Q10_311169"/>
      <w:bookmarkEnd w:id="8699"/>
      <w:r>
        <w:rPr>
          <w:rFonts w:hint="cs"/>
          <w:rtl/>
        </w:rPr>
        <w:t xml:space="preserve">לא </w:t>
      </w:r>
      <w:bookmarkStart w:id="8700" w:name="_ETM_Q10_310791"/>
      <w:bookmarkEnd w:id="8700"/>
      <w:r>
        <w:rPr>
          <w:rFonts w:hint="cs"/>
          <w:rtl/>
        </w:rPr>
        <w:t>משנים חוקי</w:t>
      </w:r>
      <w:bookmarkStart w:id="8701" w:name="_ETM_Q10_311620"/>
      <w:bookmarkEnd w:id="8701"/>
      <w:r>
        <w:rPr>
          <w:rFonts w:hint="cs"/>
          <w:rtl/>
        </w:rPr>
        <w:t xml:space="preserve">-יסוד </w:t>
      </w:r>
      <w:bookmarkStart w:id="8702" w:name="_ETM_Q10_312040"/>
      <w:bookmarkEnd w:id="8702"/>
      <w:r>
        <w:rPr>
          <w:rFonts w:hint="cs"/>
          <w:rtl/>
        </w:rPr>
        <w:t xml:space="preserve">אמיתיים </w:t>
      </w:r>
      <w:bookmarkStart w:id="8703" w:name="_ETM_Q10_312549"/>
      <w:bookmarkStart w:id="8704" w:name="_ETM_Q10_312700"/>
      <w:bookmarkStart w:id="8705" w:name="_ETM_Q10_313599"/>
      <w:bookmarkEnd w:id="8703"/>
      <w:bookmarkEnd w:id="8704"/>
      <w:bookmarkEnd w:id="8705"/>
      <w:r>
        <w:rPr>
          <w:rFonts w:hint="cs"/>
          <w:rtl/>
        </w:rPr>
        <w:t xml:space="preserve">ברוב </w:t>
      </w:r>
      <w:bookmarkStart w:id="8706" w:name="_ETM_Q10_314019"/>
      <w:bookmarkEnd w:id="8706"/>
      <w:r>
        <w:rPr>
          <w:rFonts w:hint="cs"/>
          <w:rtl/>
        </w:rPr>
        <w:t>רגיל</w:t>
      </w:r>
      <w:bookmarkStart w:id="8707" w:name="_ETM_Q10_315040"/>
      <w:bookmarkStart w:id="8708" w:name="_ETM_Q10_315370"/>
      <w:bookmarkEnd w:id="8707"/>
      <w:bookmarkEnd w:id="8708"/>
      <w:r>
        <w:rPr>
          <w:rFonts w:hint="cs"/>
          <w:rtl/>
        </w:rPr>
        <w:t>.</w:t>
      </w:r>
    </w:p>
    <w:p w:rsidR="000C5C1F" w:rsidRDefault="000C5C1F" w:rsidP="000C5C1F">
      <w:pPr>
        <w:rPr>
          <w:rtl/>
        </w:rPr>
      </w:pPr>
    </w:p>
    <w:p w:rsidR="000C5C1F" w:rsidRDefault="000C5C1F" w:rsidP="000C5C1F">
      <w:pPr>
        <w:rPr>
          <w:rtl/>
        </w:rPr>
      </w:pPr>
      <w:r>
        <w:rPr>
          <w:rFonts w:hint="cs"/>
          <w:rtl/>
        </w:rPr>
        <w:t xml:space="preserve">והינה, </w:t>
      </w:r>
      <w:bookmarkStart w:id="8709" w:name="_ETM_Q10_316370"/>
      <w:bookmarkEnd w:id="8709"/>
      <w:r>
        <w:rPr>
          <w:rFonts w:hint="cs"/>
          <w:rtl/>
        </w:rPr>
        <w:t xml:space="preserve">התיקון </w:t>
      </w:r>
      <w:bookmarkStart w:id="8710" w:name="_ETM_Q10_317030"/>
      <w:bookmarkEnd w:id="8710"/>
      <w:r>
        <w:rPr>
          <w:rFonts w:hint="cs"/>
          <w:rtl/>
        </w:rPr>
        <w:t xml:space="preserve">הזה </w:t>
      </w:r>
      <w:bookmarkStart w:id="8711" w:name="_ETM_Q10_317299"/>
      <w:bookmarkEnd w:id="8711"/>
      <w:r>
        <w:rPr>
          <w:rFonts w:hint="cs"/>
          <w:rtl/>
        </w:rPr>
        <w:t xml:space="preserve">של </w:t>
      </w:r>
      <w:bookmarkStart w:id="8712" w:name="_ETM_Q10_317540"/>
      <w:bookmarkEnd w:id="8712"/>
      <w:r>
        <w:rPr>
          <w:rFonts w:hint="cs"/>
          <w:rtl/>
        </w:rPr>
        <w:t xml:space="preserve">עילת </w:t>
      </w:r>
      <w:bookmarkStart w:id="8713" w:name="_ETM_Q10_317840"/>
      <w:bookmarkEnd w:id="8713"/>
      <w:r>
        <w:rPr>
          <w:rFonts w:hint="cs"/>
          <w:rtl/>
        </w:rPr>
        <w:t xml:space="preserve">הסבירות, </w:t>
      </w:r>
      <w:bookmarkStart w:id="8714" w:name="_ETM_Q10_318409"/>
      <w:bookmarkEnd w:id="8714"/>
      <w:r>
        <w:rPr>
          <w:rFonts w:hint="cs"/>
          <w:rtl/>
        </w:rPr>
        <w:t xml:space="preserve">עילת </w:t>
      </w:r>
      <w:bookmarkStart w:id="8715" w:name="_ETM_Q10_318709"/>
      <w:bookmarkEnd w:id="8715"/>
      <w:r>
        <w:rPr>
          <w:rFonts w:hint="cs"/>
          <w:rtl/>
        </w:rPr>
        <w:t>השחיתות</w:t>
      </w:r>
      <w:bookmarkStart w:id="8716" w:name="_ETM_Q10_319650"/>
      <w:bookmarkEnd w:id="8716"/>
      <w:r>
        <w:rPr>
          <w:rFonts w:hint="cs"/>
          <w:rtl/>
        </w:rPr>
        <w:t xml:space="preserve">, הוא </w:t>
      </w:r>
      <w:bookmarkStart w:id="8717" w:name="_ETM_Q10_319950"/>
      <w:bookmarkEnd w:id="8717"/>
      <w:r>
        <w:rPr>
          <w:rFonts w:hint="cs"/>
          <w:rtl/>
        </w:rPr>
        <w:t xml:space="preserve">תיקון </w:t>
      </w:r>
      <w:bookmarkStart w:id="8718" w:name="_ETM_Q10_320459"/>
      <w:bookmarkEnd w:id="8718"/>
      <w:r>
        <w:rPr>
          <w:rFonts w:hint="cs"/>
          <w:rtl/>
        </w:rPr>
        <w:t xml:space="preserve">בתוך </w:t>
      </w:r>
      <w:bookmarkStart w:id="8719" w:name="_ETM_Q10_321090"/>
      <w:bookmarkEnd w:id="8719"/>
      <w:r>
        <w:rPr>
          <w:rFonts w:hint="cs"/>
          <w:rtl/>
        </w:rPr>
        <w:t xml:space="preserve">חוק-יסוד: </w:t>
      </w:r>
      <w:bookmarkStart w:id="8720" w:name="_ETM_Q10_321750"/>
      <w:bookmarkEnd w:id="8720"/>
      <w:r>
        <w:rPr>
          <w:rFonts w:hint="cs"/>
          <w:rtl/>
        </w:rPr>
        <w:t xml:space="preserve">השפיטה. </w:t>
      </w:r>
      <w:bookmarkStart w:id="8721" w:name="_ETM_Q10_323840"/>
      <w:bookmarkEnd w:id="8721"/>
      <w:r>
        <w:rPr>
          <w:rFonts w:hint="cs"/>
          <w:rtl/>
        </w:rPr>
        <w:t xml:space="preserve">אם </w:t>
      </w:r>
      <w:bookmarkStart w:id="8722" w:name="_ETM_Q10_324050"/>
      <w:bookmarkEnd w:id="8722"/>
      <w:r>
        <w:rPr>
          <w:rFonts w:hint="cs"/>
          <w:rtl/>
        </w:rPr>
        <w:t xml:space="preserve">היו </w:t>
      </w:r>
      <w:bookmarkStart w:id="8723" w:name="_ETM_Q10_324380"/>
      <w:bookmarkEnd w:id="8723"/>
      <w:r>
        <w:rPr>
          <w:rFonts w:hint="cs"/>
          <w:rtl/>
        </w:rPr>
        <w:t xml:space="preserve">לנו </w:t>
      </w:r>
      <w:bookmarkStart w:id="8724" w:name="_ETM_Q10_324620"/>
      <w:bookmarkEnd w:id="8724"/>
      <w:r>
        <w:rPr>
          <w:rFonts w:hint="cs"/>
          <w:rtl/>
        </w:rPr>
        <w:t>חוקי</w:t>
      </w:r>
      <w:bookmarkStart w:id="8725" w:name="_ETM_Q10_325040"/>
      <w:bookmarkEnd w:id="8725"/>
      <w:r>
        <w:rPr>
          <w:rFonts w:hint="cs"/>
          <w:rtl/>
        </w:rPr>
        <w:t xml:space="preserve">-יסוד </w:t>
      </w:r>
      <w:bookmarkStart w:id="8726" w:name="_ETM_Q10_325520"/>
      <w:bookmarkEnd w:id="8726"/>
      <w:r>
        <w:rPr>
          <w:rFonts w:hint="cs"/>
          <w:rtl/>
        </w:rPr>
        <w:t xml:space="preserve">אמיתיים </w:t>
      </w:r>
      <w:bookmarkStart w:id="8727" w:name="_ETM_Q10_326120"/>
      <w:bookmarkEnd w:id="8727"/>
      <w:r>
        <w:rPr>
          <w:rFonts w:hint="cs"/>
          <w:rtl/>
        </w:rPr>
        <w:t xml:space="preserve">היה </w:t>
      </w:r>
      <w:bookmarkStart w:id="8728" w:name="_ETM_Q10_326330"/>
      <w:bookmarkEnd w:id="8728"/>
      <w:r>
        <w:rPr>
          <w:rFonts w:hint="cs"/>
          <w:rtl/>
        </w:rPr>
        <w:t xml:space="preserve">כתוב </w:t>
      </w:r>
      <w:bookmarkStart w:id="8729" w:name="_ETM_Q10_326760"/>
      <w:bookmarkEnd w:id="8729"/>
      <w:r>
        <w:rPr>
          <w:rFonts w:hint="cs"/>
          <w:rtl/>
        </w:rPr>
        <w:t xml:space="preserve">בתוכם </w:t>
      </w:r>
      <w:bookmarkStart w:id="8730" w:name="_ETM_Q10_327930"/>
      <w:bookmarkEnd w:id="8730"/>
      <w:r>
        <w:rPr>
          <w:rFonts w:hint="cs"/>
          <w:rtl/>
        </w:rPr>
        <w:t>שאי</w:t>
      </w:r>
      <w:bookmarkStart w:id="8731" w:name="_ETM_Q10_328349"/>
      <w:bookmarkEnd w:id="8731"/>
      <w:r>
        <w:rPr>
          <w:rFonts w:hint="cs"/>
          <w:rtl/>
        </w:rPr>
        <w:t xml:space="preserve">-אפשר </w:t>
      </w:r>
      <w:bookmarkStart w:id="8732" w:name="_ETM_Q10_328650"/>
      <w:bookmarkEnd w:id="8732"/>
      <w:r>
        <w:rPr>
          <w:rFonts w:hint="cs"/>
          <w:rtl/>
        </w:rPr>
        <w:t xml:space="preserve">לשנות </w:t>
      </w:r>
      <w:bookmarkStart w:id="8733" w:name="_ETM_Q10_329189"/>
      <w:bookmarkEnd w:id="8733"/>
      <w:r>
        <w:rPr>
          <w:rFonts w:hint="cs"/>
          <w:rtl/>
        </w:rPr>
        <w:t xml:space="preserve">אותם </w:t>
      </w:r>
      <w:bookmarkStart w:id="8734" w:name="_ETM_Q10_329450"/>
      <w:bookmarkEnd w:id="8734"/>
      <w:r>
        <w:rPr>
          <w:rFonts w:hint="cs"/>
          <w:rtl/>
        </w:rPr>
        <w:t xml:space="preserve">אלא </w:t>
      </w:r>
      <w:bookmarkStart w:id="8735" w:name="_ETM_Q10_329989"/>
      <w:bookmarkEnd w:id="8735"/>
      <w:r>
        <w:rPr>
          <w:rFonts w:hint="cs"/>
          <w:rtl/>
        </w:rPr>
        <w:t xml:space="preserve">ברוב </w:t>
      </w:r>
      <w:bookmarkStart w:id="8736" w:name="_ETM_Q10_330319"/>
      <w:bookmarkEnd w:id="8736"/>
      <w:r>
        <w:rPr>
          <w:rFonts w:hint="cs"/>
          <w:rtl/>
        </w:rPr>
        <w:t xml:space="preserve">של </w:t>
      </w:r>
      <w:bookmarkStart w:id="8737" w:name="_ETM_Q10_330500"/>
      <w:bookmarkEnd w:id="8737"/>
      <w:r>
        <w:rPr>
          <w:rFonts w:hint="cs"/>
          <w:rtl/>
        </w:rPr>
        <w:t xml:space="preserve">70 </w:t>
      </w:r>
      <w:bookmarkStart w:id="8738" w:name="_ETM_Q10_330889"/>
      <w:bookmarkEnd w:id="8738"/>
      <w:r>
        <w:rPr>
          <w:rFonts w:hint="cs"/>
          <w:rtl/>
        </w:rPr>
        <w:t xml:space="preserve">או </w:t>
      </w:r>
      <w:bookmarkStart w:id="8739" w:name="_ETM_Q10_330950"/>
      <w:bookmarkEnd w:id="8739"/>
      <w:r>
        <w:rPr>
          <w:rFonts w:hint="cs"/>
          <w:rtl/>
        </w:rPr>
        <w:t xml:space="preserve">80. </w:t>
      </w:r>
      <w:bookmarkStart w:id="8740" w:name="_ETM_Q10_331940"/>
      <w:bookmarkEnd w:id="8740"/>
      <w:r>
        <w:rPr>
          <w:rFonts w:hint="cs"/>
          <w:rtl/>
        </w:rPr>
        <w:t xml:space="preserve">וכולנו </w:t>
      </w:r>
      <w:bookmarkStart w:id="8741" w:name="_ETM_Q10_332389"/>
      <w:bookmarkEnd w:id="8741"/>
      <w:r>
        <w:rPr>
          <w:rFonts w:hint="cs"/>
          <w:rtl/>
        </w:rPr>
        <w:t xml:space="preserve">הבנו </w:t>
      </w:r>
      <w:bookmarkStart w:id="8742" w:name="_ETM_Q10_332750"/>
      <w:bookmarkEnd w:id="8742"/>
      <w:r>
        <w:rPr>
          <w:rFonts w:hint="cs"/>
          <w:rtl/>
        </w:rPr>
        <w:t xml:space="preserve">בבית </w:t>
      </w:r>
      <w:bookmarkStart w:id="8743" w:name="_ETM_Q10_333080"/>
      <w:bookmarkEnd w:id="8743"/>
      <w:r>
        <w:rPr>
          <w:rFonts w:hint="cs"/>
          <w:rtl/>
        </w:rPr>
        <w:t xml:space="preserve">הנשיא </w:t>
      </w:r>
      <w:bookmarkStart w:id="8744" w:name="_ETM_Q10_333800"/>
      <w:bookmarkEnd w:id="8744"/>
      <w:r>
        <w:rPr>
          <w:rFonts w:hint="cs"/>
          <w:rtl/>
        </w:rPr>
        <w:t xml:space="preserve">שזה </w:t>
      </w:r>
      <w:bookmarkStart w:id="8745" w:name="_ETM_Q10_334280"/>
      <w:bookmarkEnd w:id="8745"/>
      <w:r>
        <w:rPr>
          <w:rFonts w:hint="cs"/>
          <w:rtl/>
        </w:rPr>
        <w:t xml:space="preserve">חלק </w:t>
      </w:r>
      <w:bookmarkStart w:id="8746" w:name="_ETM_Q10_334850"/>
      <w:bookmarkEnd w:id="8746"/>
      <w:r>
        <w:rPr>
          <w:rFonts w:hint="cs"/>
          <w:rtl/>
        </w:rPr>
        <w:t xml:space="preserve">בלתי </w:t>
      </w:r>
      <w:bookmarkStart w:id="8747" w:name="_ETM_Q10_335360"/>
      <w:bookmarkEnd w:id="8747"/>
      <w:r>
        <w:rPr>
          <w:rFonts w:hint="cs"/>
          <w:rtl/>
        </w:rPr>
        <w:t xml:space="preserve">נפרד </w:t>
      </w:r>
      <w:bookmarkStart w:id="8748" w:name="_ETM_Q10_335780"/>
      <w:bookmarkEnd w:id="8748"/>
      <w:r>
        <w:rPr>
          <w:rFonts w:hint="cs"/>
          <w:rtl/>
        </w:rPr>
        <w:t xml:space="preserve">ממה </w:t>
      </w:r>
      <w:bookmarkStart w:id="8749" w:name="_ETM_Q10_336050"/>
      <w:bookmarkEnd w:id="8749"/>
      <w:r>
        <w:rPr>
          <w:rFonts w:hint="cs"/>
          <w:rtl/>
        </w:rPr>
        <w:t xml:space="preserve">שצריך </w:t>
      </w:r>
      <w:bookmarkStart w:id="8750" w:name="_ETM_Q10_336650"/>
      <w:bookmarkEnd w:id="8750"/>
      <w:r>
        <w:rPr>
          <w:rFonts w:hint="cs"/>
          <w:rtl/>
        </w:rPr>
        <w:t xml:space="preserve">לעשות: </w:t>
      </w:r>
      <w:bookmarkStart w:id="8751" w:name="_ETM_Q10_337790"/>
      <w:bookmarkEnd w:id="8751"/>
      <w:r>
        <w:rPr>
          <w:rFonts w:hint="cs"/>
          <w:rtl/>
        </w:rPr>
        <w:t xml:space="preserve">קודם </w:t>
      </w:r>
      <w:bookmarkStart w:id="8752" w:name="_ETM_Q10_338150"/>
      <w:bookmarkEnd w:id="8752"/>
      <w:r>
        <w:rPr>
          <w:rFonts w:hint="cs"/>
          <w:rtl/>
        </w:rPr>
        <w:t>מ</w:t>
      </w:r>
      <w:bookmarkStart w:id="8753" w:name="_ETM_Q10_338237"/>
      <w:bookmarkEnd w:id="8753"/>
      <w:r>
        <w:rPr>
          <w:rFonts w:hint="cs"/>
          <w:rtl/>
        </w:rPr>
        <w:t xml:space="preserve">גינים </w:t>
      </w:r>
      <w:bookmarkStart w:id="8754" w:name="_ETM_Q10_338690"/>
      <w:bookmarkEnd w:id="8754"/>
      <w:r>
        <w:rPr>
          <w:rFonts w:hint="cs"/>
          <w:rtl/>
        </w:rPr>
        <w:t xml:space="preserve">על </w:t>
      </w:r>
      <w:bookmarkStart w:id="8755" w:name="_ETM_Q10_338810"/>
      <w:bookmarkEnd w:id="8755"/>
      <w:r>
        <w:rPr>
          <w:rFonts w:hint="cs"/>
          <w:rtl/>
        </w:rPr>
        <w:t xml:space="preserve">זכויות </w:t>
      </w:r>
      <w:bookmarkStart w:id="8756" w:name="_ETM_Q10_339230"/>
      <w:bookmarkEnd w:id="8756"/>
      <w:r>
        <w:rPr>
          <w:rFonts w:hint="cs"/>
          <w:rtl/>
        </w:rPr>
        <w:t xml:space="preserve">היסוד </w:t>
      </w:r>
      <w:bookmarkStart w:id="8757" w:name="_ETM_Q10_339680"/>
      <w:bookmarkEnd w:id="8757"/>
      <w:r>
        <w:rPr>
          <w:rFonts w:hint="cs"/>
          <w:rtl/>
        </w:rPr>
        <w:t xml:space="preserve">ועל </w:t>
      </w:r>
      <w:bookmarkStart w:id="8758" w:name="_ETM_Q10_339860"/>
      <w:bookmarkEnd w:id="8758"/>
      <w:r>
        <w:rPr>
          <w:rFonts w:hint="cs"/>
          <w:rtl/>
        </w:rPr>
        <w:t xml:space="preserve">שיטת </w:t>
      </w:r>
      <w:bookmarkStart w:id="8759" w:name="_ETM_Q10_340250"/>
      <w:bookmarkEnd w:id="8759"/>
      <w:r>
        <w:rPr>
          <w:rFonts w:hint="cs"/>
          <w:rtl/>
        </w:rPr>
        <w:t xml:space="preserve">המשטר, </w:t>
      </w:r>
      <w:bookmarkStart w:id="8760" w:name="_ETM_Q10_341150"/>
      <w:bookmarkEnd w:id="8760"/>
      <w:r>
        <w:rPr>
          <w:rFonts w:hint="cs"/>
          <w:rtl/>
        </w:rPr>
        <w:t>ו</w:t>
      </w:r>
      <w:bookmarkStart w:id="8761" w:name="_ETM_Q10_341620"/>
      <w:bookmarkEnd w:id="8761"/>
      <w:r>
        <w:rPr>
          <w:rFonts w:hint="cs"/>
          <w:rtl/>
        </w:rPr>
        <w:t xml:space="preserve">אז </w:t>
      </w:r>
      <w:bookmarkStart w:id="8762" w:name="_ETM_Q10_341950"/>
      <w:bookmarkEnd w:id="8762"/>
      <w:r>
        <w:rPr>
          <w:rFonts w:hint="cs"/>
          <w:rtl/>
        </w:rPr>
        <w:t xml:space="preserve">הממשלה </w:t>
      </w:r>
      <w:bookmarkStart w:id="8763" w:name="_ETM_Q10_342950"/>
      <w:bookmarkEnd w:id="8763"/>
      <w:r>
        <w:rPr>
          <w:rFonts w:hint="cs"/>
          <w:rtl/>
        </w:rPr>
        <w:t>בעצם</w:t>
      </w:r>
      <w:bookmarkStart w:id="8764" w:name="_ETM_Q10_372577"/>
      <w:bookmarkEnd w:id="8764"/>
      <w:r>
        <w:rPr>
          <w:rFonts w:hint="cs"/>
          <w:rtl/>
        </w:rPr>
        <w:t xml:space="preserve"> </w:t>
      </w:r>
      <w:bookmarkStart w:id="8765" w:name="_ETM_Q10_343400"/>
      <w:bookmarkEnd w:id="8765"/>
      <w:r>
        <w:rPr>
          <w:rFonts w:hint="cs"/>
          <w:rtl/>
        </w:rPr>
        <w:t xml:space="preserve">לא </w:t>
      </w:r>
      <w:bookmarkStart w:id="8766" w:name="_ETM_Q10_343500"/>
      <w:bookmarkStart w:id="8767" w:name="_ETM_Q10_343770"/>
      <w:bookmarkEnd w:id="8766"/>
      <w:bookmarkEnd w:id="8767"/>
      <w:r>
        <w:rPr>
          <w:rFonts w:hint="cs"/>
          <w:rtl/>
        </w:rPr>
        <w:t xml:space="preserve">יכולה </w:t>
      </w:r>
      <w:bookmarkStart w:id="8768" w:name="_ETM_Q10_344370"/>
      <w:bookmarkEnd w:id="8768"/>
      <w:r>
        <w:rPr>
          <w:rFonts w:hint="cs"/>
          <w:rtl/>
        </w:rPr>
        <w:t xml:space="preserve">לעשות </w:t>
      </w:r>
      <w:bookmarkStart w:id="8769" w:name="_ETM_Q10_344820"/>
      <w:bookmarkEnd w:id="8769"/>
      <w:r>
        <w:rPr>
          <w:rFonts w:hint="cs"/>
          <w:rtl/>
        </w:rPr>
        <w:t xml:space="preserve">את </w:t>
      </w:r>
      <w:bookmarkStart w:id="8770" w:name="_ETM_Q10_344940"/>
      <w:bookmarkEnd w:id="8770"/>
      <w:r>
        <w:rPr>
          <w:rFonts w:hint="cs"/>
          <w:rtl/>
        </w:rPr>
        <w:t xml:space="preserve">מה </w:t>
      </w:r>
      <w:bookmarkStart w:id="8771" w:name="_ETM_Q10_345120"/>
      <w:bookmarkEnd w:id="8771"/>
      <w:r>
        <w:rPr>
          <w:rFonts w:hint="cs"/>
          <w:rtl/>
        </w:rPr>
        <w:t xml:space="preserve">שאתם </w:t>
      </w:r>
      <w:bookmarkStart w:id="8772" w:name="_ETM_Q10_345510"/>
      <w:bookmarkEnd w:id="8772"/>
      <w:r>
        <w:rPr>
          <w:rFonts w:hint="cs"/>
          <w:rtl/>
        </w:rPr>
        <w:t xml:space="preserve">עושים. </w:t>
      </w:r>
      <w:bookmarkStart w:id="8773" w:name="_ETM_Q10_346570"/>
      <w:bookmarkEnd w:id="8773"/>
      <w:r>
        <w:rPr>
          <w:rFonts w:hint="cs"/>
          <w:rtl/>
        </w:rPr>
        <w:t xml:space="preserve">ולכן, </w:t>
      </w:r>
      <w:bookmarkStart w:id="8774" w:name="_ETM_Q10_347200"/>
      <w:bookmarkEnd w:id="8774"/>
      <w:r>
        <w:rPr>
          <w:rFonts w:hint="cs"/>
          <w:rtl/>
        </w:rPr>
        <w:t xml:space="preserve">הציבור </w:t>
      </w:r>
      <w:bookmarkStart w:id="8775" w:name="_ETM_Q10_347620"/>
      <w:bookmarkEnd w:id="8775"/>
      <w:r>
        <w:rPr>
          <w:rFonts w:hint="cs"/>
          <w:rtl/>
        </w:rPr>
        <w:t xml:space="preserve">מבין </w:t>
      </w:r>
      <w:bookmarkStart w:id="8776" w:name="_ETM_Q10_347980"/>
      <w:bookmarkEnd w:id="8776"/>
      <w:r>
        <w:rPr>
          <w:rFonts w:hint="cs"/>
          <w:rtl/>
        </w:rPr>
        <w:t xml:space="preserve">היטב </w:t>
      </w:r>
      <w:bookmarkStart w:id="8777" w:name="_ETM_Q10_348340"/>
      <w:bookmarkEnd w:id="8777"/>
      <w:r>
        <w:rPr>
          <w:rFonts w:hint="cs"/>
          <w:rtl/>
        </w:rPr>
        <w:t xml:space="preserve">שמה </w:t>
      </w:r>
      <w:bookmarkStart w:id="8778" w:name="_ETM_Q10_348610"/>
      <w:bookmarkEnd w:id="8778"/>
      <w:r>
        <w:rPr>
          <w:rFonts w:hint="cs"/>
          <w:rtl/>
        </w:rPr>
        <w:t xml:space="preserve">שקורה </w:t>
      </w:r>
      <w:bookmarkStart w:id="8779" w:name="_ETM_Q10_349090"/>
      <w:bookmarkEnd w:id="8779"/>
      <w:r>
        <w:rPr>
          <w:rFonts w:hint="cs"/>
          <w:rtl/>
        </w:rPr>
        <w:t xml:space="preserve">כאן </w:t>
      </w:r>
      <w:bookmarkStart w:id="8780" w:name="_ETM_Q10_349300"/>
      <w:bookmarkEnd w:id="8780"/>
      <w:r>
        <w:rPr>
          <w:rFonts w:hint="cs"/>
          <w:rtl/>
        </w:rPr>
        <w:t xml:space="preserve">זה </w:t>
      </w:r>
      <w:bookmarkStart w:id="8781" w:name="_ETM_Q10_349419"/>
      <w:bookmarkEnd w:id="8781"/>
      <w:r>
        <w:rPr>
          <w:rFonts w:hint="cs"/>
          <w:rtl/>
        </w:rPr>
        <w:t xml:space="preserve">לא </w:t>
      </w:r>
      <w:bookmarkStart w:id="8782" w:name="_ETM_Q10_349540"/>
      <w:bookmarkEnd w:id="8782"/>
      <w:r>
        <w:rPr>
          <w:rFonts w:hint="cs"/>
          <w:rtl/>
        </w:rPr>
        <w:t xml:space="preserve">דבר </w:t>
      </w:r>
      <w:bookmarkStart w:id="8783" w:name="_ETM_Q10_349960"/>
      <w:bookmarkEnd w:id="8783"/>
      <w:r>
        <w:rPr>
          <w:rFonts w:hint="cs"/>
          <w:rtl/>
        </w:rPr>
        <w:t>רגיל</w:t>
      </w:r>
      <w:bookmarkStart w:id="8784" w:name="_ETM_Q10_350247"/>
      <w:bookmarkEnd w:id="8784"/>
      <w:r>
        <w:rPr>
          <w:rFonts w:hint="cs"/>
          <w:rtl/>
        </w:rPr>
        <w:t xml:space="preserve">. </w:t>
      </w:r>
      <w:bookmarkStart w:id="8785" w:name="_ETM_Q10_351070"/>
      <w:bookmarkEnd w:id="8785"/>
      <w:r>
        <w:rPr>
          <w:rFonts w:hint="cs"/>
          <w:rtl/>
        </w:rPr>
        <w:t xml:space="preserve">משנים </w:t>
      </w:r>
      <w:bookmarkStart w:id="8786" w:name="_ETM_Q10_351820"/>
      <w:bookmarkEnd w:id="8786"/>
      <w:r>
        <w:rPr>
          <w:rFonts w:hint="cs"/>
          <w:rtl/>
        </w:rPr>
        <w:t xml:space="preserve">את </w:t>
      </w:r>
      <w:bookmarkStart w:id="8787" w:name="_ETM_Q10_351910"/>
      <w:bookmarkEnd w:id="8787"/>
      <w:r>
        <w:rPr>
          <w:rFonts w:hint="cs"/>
          <w:rtl/>
        </w:rPr>
        <w:t xml:space="preserve">שיטת </w:t>
      </w:r>
      <w:bookmarkStart w:id="8788" w:name="_ETM_Q10_352270"/>
      <w:bookmarkEnd w:id="8788"/>
      <w:r>
        <w:rPr>
          <w:rFonts w:hint="cs"/>
          <w:rtl/>
        </w:rPr>
        <w:t xml:space="preserve">המשטר, </w:t>
      </w:r>
      <w:bookmarkStart w:id="8789" w:name="_ETM_Q10_353710"/>
      <w:bookmarkEnd w:id="8789"/>
      <w:r>
        <w:rPr>
          <w:rFonts w:hint="cs"/>
          <w:rtl/>
        </w:rPr>
        <w:t xml:space="preserve">זו </w:t>
      </w:r>
      <w:bookmarkStart w:id="8790" w:name="_ETM_Q10_353919"/>
      <w:bookmarkEnd w:id="8790"/>
      <w:r>
        <w:rPr>
          <w:rFonts w:hint="cs"/>
          <w:rtl/>
        </w:rPr>
        <w:t xml:space="preserve">לא </w:t>
      </w:r>
      <w:bookmarkStart w:id="8791" w:name="_ETM_Q10_354040"/>
      <w:bookmarkEnd w:id="8791"/>
      <w:r>
        <w:rPr>
          <w:rFonts w:hint="cs"/>
          <w:rtl/>
        </w:rPr>
        <w:t xml:space="preserve">רפורמה </w:t>
      </w:r>
      <w:bookmarkStart w:id="8792" w:name="_ETM_Q10_354580"/>
      <w:bookmarkEnd w:id="8792"/>
      <w:r>
        <w:rPr>
          <w:rFonts w:hint="cs"/>
          <w:rtl/>
        </w:rPr>
        <w:t>בד</w:t>
      </w:r>
      <w:bookmarkStart w:id="8793" w:name="_ETM_Q10_354820"/>
      <w:bookmarkEnd w:id="8793"/>
      <w:r>
        <w:rPr>
          <w:rFonts w:hint="cs"/>
          <w:rtl/>
        </w:rPr>
        <w:t xml:space="preserve">גנים, </w:t>
      </w:r>
      <w:bookmarkStart w:id="8794" w:name="_ETM_Q10_355840"/>
      <w:bookmarkEnd w:id="8794"/>
      <w:r>
        <w:rPr>
          <w:rFonts w:hint="cs"/>
          <w:rtl/>
        </w:rPr>
        <w:t xml:space="preserve">זה </w:t>
      </w:r>
      <w:bookmarkStart w:id="8795" w:name="_ETM_Q10_356080"/>
      <w:bookmarkEnd w:id="8795"/>
      <w:r>
        <w:rPr>
          <w:rFonts w:hint="cs"/>
          <w:rtl/>
        </w:rPr>
        <w:t xml:space="preserve">לא </w:t>
      </w:r>
      <w:bookmarkStart w:id="8796" w:name="_ETM_Q10_356200"/>
      <w:bookmarkEnd w:id="8796"/>
      <w:r>
        <w:rPr>
          <w:rFonts w:hint="cs"/>
          <w:rtl/>
        </w:rPr>
        <w:t xml:space="preserve">שינוי </w:t>
      </w:r>
      <w:bookmarkStart w:id="8797" w:name="_ETM_Q10_356560"/>
      <w:bookmarkEnd w:id="8797"/>
      <w:r>
        <w:rPr>
          <w:rFonts w:hint="cs"/>
          <w:rtl/>
        </w:rPr>
        <w:t xml:space="preserve">מחירי </w:t>
      </w:r>
      <w:bookmarkStart w:id="8798" w:name="_ETM_Q10_356980"/>
      <w:bookmarkEnd w:id="8798"/>
      <w:r>
        <w:rPr>
          <w:rFonts w:hint="cs"/>
          <w:rtl/>
        </w:rPr>
        <w:t xml:space="preserve">החלב </w:t>
      </w:r>
      <w:bookmarkStart w:id="8799" w:name="_ETM_Q10_358330"/>
      <w:bookmarkEnd w:id="8799"/>
      <w:r>
        <w:rPr>
          <w:rFonts w:hint="cs"/>
          <w:rtl/>
        </w:rPr>
        <w:t xml:space="preserve">– אתם </w:t>
      </w:r>
      <w:bookmarkStart w:id="8800" w:name="_ETM_Q10_358690"/>
      <w:bookmarkEnd w:id="8800"/>
      <w:r>
        <w:rPr>
          <w:rFonts w:hint="cs"/>
          <w:rtl/>
        </w:rPr>
        <w:t xml:space="preserve">משנים </w:t>
      </w:r>
      <w:bookmarkStart w:id="8801" w:name="_ETM_Q10_359350"/>
      <w:bookmarkEnd w:id="8801"/>
      <w:r>
        <w:rPr>
          <w:rFonts w:hint="cs"/>
          <w:rtl/>
        </w:rPr>
        <w:t xml:space="preserve">את </w:t>
      </w:r>
      <w:bookmarkStart w:id="8802" w:name="_ETM_Q10_359530"/>
      <w:bookmarkEnd w:id="8802"/>
      <w:r>
        <w:rPr>
          <w:rFonts w:hint="cs"/>
          <w:rtl/>
        </w:rPr>
        <w:t xml:space="preserve">המדינה </w:t>
      </w:r>
      <w:bookmarkStart w:id="8803" w:name="_ETM_Q10_360580"/>
      <w:bookmarkEnd w:id="8803"/>
      <w:r>
        <w:rPr>
          <w:rFonts w:hint="cs"/>
          <w:rtl/>
        </w:rPr>
        <w:t xml:space="preserve">ואתם </w:t>
      </w:r>
      <w:bookmarkStart w:id="8804" w:name="_ETM_Q10_361030"/>
      <w:bookmarkEnd w:id="8804"/>
      <w:r>
        <w:rPr>
          <w:rFonts w:hint="cs"/>
          <w:rtl/>
        </w:rPr>
        <w:t xml:space="preserve">עושים </w:t>
      </w:r>
      <w:bookmarkStart w:id="8805" w:name="_ETM_Q10_361480"/>
      <w:bookmarkEnd w:id="8805"/>
      <w:r>
        <w:rPr>
          <w:rFonts w:hint="cs"/>
          <w:rtl/>
        </w:rPr>
        <w:t xml:space="preserve">את </w:t>
      </w:r>
      <w:bookmarkStart w:id="8806" w:name="_ETM_Q10_361600"/>
      <w:bookmarkEnd w:id="8806"/>
      <w:r>
        <w:rPr>
          <w:rFonts w:hint="cs"/>
          <w:rtl/>
        </w:rPr>
        <w:t xml:space="preserve">זה </w:t>
      </w:r>
      <w:bookmarkStart w:id="8807" w:name="_ETM_Q10_361720"/>
      <w:bookmarkEnd w:id="8807"/>
      <w:r>
        <w:rPr>
          <w:rFonts w:hint="cs"/>
          <w:rtl/>
        </w:rPr>
        <w:t xml:space="preserve">בצורה </w:t>
      </w:r>
      <w:bookmarkStart w:id="8808" w:name="_ETM_Q10_362710"/>
      <w:bookmarkEnd w:id="8808"/>
      <w:r>
        <w:rPr>
          <w:rFonts w:hint="cs"/>
          <w:rtl/>
        </w:rPr>
        <w:t xml:space="preserve">לא </w:t>
      </w:r>
      <w:bookmarkStart w:id="8809" w:name="_ETM_Q10_363100"/>
      <w:bookmarkEnd w:id="8809"/>
      <w:r>
        <w:rPr>
          <w:rFonts w:hint="cs"/>
          <w:rtl/>
        </w:rPr>
        <w:t xml:space="preserve">לגיטימית, </w:t>
      </w:r>
      <w:bookmarkStart w:id="8810" w:name="_ETM_Q10_364150"/>
      <w:bookmarkEnd w:id="8810"/>
      <w:r>
        <w:rPr>
          <w:rFonts w:hint="cs"/>
          <w:rtl/>
        </w:rPr>
        <w:t xml:space="preserve">ברוב </w:t>
      </w:r>
      <w:bookmarkStart w:id="8811" w:name="_ETM_Q10_364660"/>
      <w:bookmarkEnd w:id="8811"/>
      <w:r>
        <w:rPr>
          <w:rFonts w:hint="cs"/>
          <w:rtl/>
        </w:rPr>
        <w:t xml:space="preserve">רגיל. </w:t>
      </w:r>
      <w:bookmarkStart w:id="8812" w:name="_ETM_Q10_365660"/>
      <w:bookmarkEnd w:id="8812"/>
      <w:r>
        <w:rPr>
          <w:rFonts w:hint="cs"/>
          <w:rtl/>
        </w:rPr>
        <w:t xml:space="preserve">ולכן, </w:t>
      </w:r>
      <w:bookmarkStart w:id="8813" w:name="_ETM_Q10_366230"/>
      <w:bookmarkEnd w:id="8813"/>
      <w:r>
        <w:rPr>
          <w:rFonts w:hint="cs"/>
          <w:rtl/>
        </w:rPr>
        <w:t xml:space="preserve">גם </w:t>
      </w:r>
      <w:bookmarkStart w:id="8814" w:name="_ETM_Q10_366410"/>
      <w:bookmarkEnd w:id="8814"/>
      <w:r>
        <w:rPr>
          <w:rFonts w:hint="cs"/>
          <w:rtl/>
        </w:rPr>
        <w:t xml:space="preserve">יש </w:t>
      </w:r>
      <w:bookmarkStart w:id="8815" w:name="_ETM_Q10_366650"/>
      <w:bookmarkEnd w:id="8815"/>
      <w:r>
        <w:rPr>
          <w:rFonts w:hint="cs"/>
          <w:rtl/>
        </w:rPr>
        <w:t xml:space="preserve">פה </w:t>
      </w:r>
      <w:bookmarkStart w:id="8816" w:name="_ETM_Q10_366830"/>
      <w:bookmarkEnd w:id="8816"/>
      <w:r>
        <w:rPr>
          <w:rFonts w:hint="cs"/>
          <w:rtl/>
        </w:rPr>
        <w:t xml:space="preserve">טיעון </w:t>
      </w:r>
      <w:bookmarkStart w:id="8817" w:name="_ETM_Q10_367750"/>
      <w:bookmarkEnd w:id="8817"/>
      <w:r>
        <w:rPr>
          <w:rFonts w:hint="cs"/>
          <w:rtl/>
        </w:rPr>
        <w:t xml:space="preserve">מהותי, </w:t>
      </w:r>
      <w:bookmarkStart w:id="8818" w:name="_ETM_Q10_368989"/>
      <w:bookmarkEnd w:id="8818"/>
      <w:r>
        <w:rPr>
          <w:rFonts w:hint="cs"/>
          <w:rtl/>
        </w:rPr>
        <w:t xml:space="preserve">בסיסי, </w:t>
      </w:r>
      <w:bookmarkStart w:id="8819" w:name="_ETM_Q10_370069"/>
      <w:bookmarkEnd w:id="8819"/>
      <w:r>
        <w:rPr>
          <w:rFonts w:hint="cs"/>
          <w:rtl/>
        </w:rPr>
        <w:t xml:space="preserve">יסודי. </w:t>
      </w:r>
      <w:bookmarkStart w:id="8820" w:name="_ETM_Q10_371320"/>
      <w:bookmarkEnd w:id="8820"/>
      <w:r>
        <w:rPr>
          <w:rFonts w:hint="cs"/>
          <w:rtl/>
        </w:rPr>
        <w:t xml:space="preserve">אתם </w:t>
      </w:r>
      <w:bookmarkStart w:id="8821" w:name="_ETM_Q10_371680"/>
      <w:bookmarkEnd w:id="8821"/>
      <w:r>
        <w:rPr>
          <w:rFonts w:hint="cs"/>
          <w:rtl/>
        </w:rPr>
        <w:t xml:space="preserve">לא </w:t>
      </w:r>
      <w:bookmarkStart w:id="8822" w:name="_ETM_Q10_371860"/>
      <w:bookmarkEnd w:id="8822"/>
      <w:r>
        <w:rPr>
          <w:rFonts w:hint="cs"/>
          <w:rtl/>
        </w:rPr>
        <w:t xml:space="preserve">עושים </w:t>
      </w:r>
      <w:bookmarkStart w:id="8823" w:name="_ETM_Q10_372340"/>
      <w:bookmarkEnd w:id="8823"/>
      <w:r>
        <w:rPr>
          <w:rFonts w:hint="cs"/>
          <w:rtl/>
        </w:rPr>
        <w:t xml:space="preserve">טובה </w:t>
      </w:r>
      <w:bookmarkStart w:id="8824" w:name="_ETM_Q10_372730"/>
      <w:bookmarkEnd w:id="8824"/>
      <w:r>
        <w:rPr>
          <w:rFonts w:hint="cs"/>
          <w:rtl/>
        </w:rPr>
        <w:t>ל</w:t>
      </w:r>
      <w:bookmarkStart w:id="8825" w:name="_ETM_Q10_157612"/>
      <w:bookmarkStart w:id="8826" w:name="_ETM_Q10_157844"/>
      <w:r>
        <w:rPr>
          <w:rFonts w:hint="cs"/>
          <w:rtl/>
        </w:rPr>
        <w:t xml:space="preserve">אף </w:t>
      </w:r>
      <w:bookmarkStart w:id="8827" w:name="_ETM_Q10_373060"/>
      <w:bookmarkEnd w:id="8827"/>
      <w:r>
        <w:rPr>
          <w:rFonts w:hint="cs"/>
          <w:rtl/>
        </w:rPr>
        <w:t>אחד</w:t>
      </w:r>
      <w:bookmarkEnd w:id="8825"/>
      <w:bookmarkEnd w:id="8826"/>
      <w:r>
        <w:rPr>
          <w:rFonts w:hint="cs"/>
          <w:rtl/>
        </w:rPr>
        <w:t xml:space="preserve">, </w:t>
      </w:r>
      <w:bookmarkStart w:id="8828" w:name="_ETM_Q10_374050"/>
      <w:bookmarkEnd w:id="8828"/>
      <w:r>
        <w:rPr>
          <w:rFonts w:hint="cs"/>
          <w:rtl/>
        </w:rPr>
        <w:t xml:space="preserve">זה לא לגיטימי </w:t>
      </w:r>
      <w:bookmarkStart w:id="8829" w:name="_ETM_Q10_375549"/>
      <w:bookmarkEnd w:id="8829"/>
      <w:r>
        <w:rPr>
          <w:rFonts w:hint="cs"/>
          <w:rtl/>
        </w:rPr>
        <w:t xml:space="preserve">לעשות </w:t>
      </w:r>
      <w:bookmarkStart w:id="8830" w:name="_ETM_Q10_375999"/>
      <w:bookmarkEnd w:id="8830"/>
      <w:r>
        <w:rPr>
          <w:rFonts w:hint="cs"/>
          <w:rtl/>
        </w:rPr>
        <w:t xml:space="preserve">את </w:t>
      </w:r>
      <w:bookmarkStart w:id="8831" w:name="_ETM_Q10_376150"/>
      <w:bookmarkEnd w:id="8831"/>
      <w:r>
        <w:rPr>
          <w:rFonts w:hint="cs"/>
          <w:rtl/>
        </w:rPr>
        <w:t xml:space="preserve">השינוי </w:t>
      </w:r>
      <w:bookmarkStart w:id="8832" w:name="_ETM_Q10_376629"/>
      <w:bookmarkEnd w:id="8832"/>
      <w:r>
        <w:rPr>
          <w:rFonts w:hint="cs"/>
          <w:rtl/>
        </w:rPr>
        <w:t xml:space="preserve">הזה </w:t>
      </w:r>
      <w:bookmarkStart w:id="8833" w:name="_ETM_Q10_376870"/>
      <w:bookmarkEnd w:id="8833"/>
      <w:r>
        <w:rPr>
          <w:rFonts w:hint="cs"/>
          <w:rtl/>
        </w:rPr>
        <w:t xml:space="preserve">ברוב </w:t>
      </w:r>
      <w:bookmarkStart w:id="8834" w:name="_ETM_Q10_377260"/>
      <w:bookmarkEnd w:id="8834"/>
      <w:r>
        <w:rPr>
          <w:rFonts w:hint="cs"/>
          <w:rtl/>
        </w:rPr>
        <w:t xml:space="preserve">רגיל. </w:t>
      </w:r>
      <w:bookmarkStart w:id="8835" w:name="_ETM_Q10_380280"/>
      <w:bookmarkEnd w:id="8835"/>
    </w:p>
    <w:p w:rsidR="000C5C1F" w:rsidRDefault="000C5C1F" w:rsidP="000C5C1F">
      <w:pPr>
        <w:rPr>
          <w:rtl/>
        </w:rPr>
      </w:pPr>
    </w:p>
    <w:p w:rsidR="000C5C1F" w:rsidRDefault="000C5C1F" w:rsidP="000C5C1F">
      <w:pPr>
        <w:rPr>
          <w:rtl/>
        </w:rPr>
      </w:pPr>
      <w:r>
        <w:rPr>
          <w:rFonts w:hint="cs"/>
          <w:rtl/>
        </w:rPr>
        <w:t xml:space="preserve">אתמול </w:t>
      </w:r>
      <w:bookmarkStart w:id="8836" w:name="_ETM_Q10_381579"/>
      <w:bookmarkEnd w:id="8836"/>
      <w:r>
        <w:rPr>
          <w:rFonts w:hint="cs"/>
          <w:rtl/>
        </w:rPr>
        <w:t xml:space="preserve">בבית הכנסת קראנו </w:t>
      </w:r>
      <w:bookmarkStart w:id="8837" w:name="_ETM_Q10_383769"/>
      <w:bookmarkEnd w:id="8837"/>
      <w:r>
        <w:rPr>
          <w:rFonts w:hint="cs"/>
          <w:rtl/>
        </w:rPr>
        <w:t xml:space="preserve">את </w:t>
      </w:r>
      <w:bookmarkStart w:id="8838" w:name="_ETM_Q10_383980"/>
      <w:bookmarkEnd w:id="8838"/>
      <w:r>
        <w:rPr>
          <w:rFonts w:hint="cs"/>
          <w:rtl/>
        </w:rPr>
        <w:t xml:space="preserve">ההפטרה </w:t>
      </w:r>
      <w:bookmarkStart w:id="8839" w:name="_ETM_Q10_384999"/>
      <w:bookmarkStart w:id="8840" w:name="_ETM_Q10_385449"/>
      <w:bookmarkStart w:id="8841" w:name="_ETM_Q10_385959"/>
      <w:bookmarkStart w:id="8842" w:name="_ETM_Q10_384076"/>
      <w:bookmarkEnd w:id="8839"/>
      <w:bookmarkEnd w:id="8840"/>
      <w:bookmarkEnd w:id="8841"/>
      <w:bookmarkEnd w:id="8842"/>
      <w:r>
        <w:rPr>
          <w:rFonts w:hint="cs"/>
          <w:rtl/>
        </w:rPr>
        <w:t xml:space="preserve">של פרשת </w:t>
      </w:r>
      <w:bookmarkStart w:id="8843" w:name="_ETM_Q10_386620"/>
      <w:bookmarkEnd w:id="8843"/>
      <w:r>
        <w:rPr>
          <w:rFonts w:hint="cs"/>
          <w:rtl/>
        </w:rPr>
        <w:t xml:space="preserve">חזון, </w:t>
      </w:r>
      <w:bookmarkStart w:id="8844" w:name="_ETM_Q10_387909"/>
      <w:bookmarkEnd w:id="8844"/>
      <w:r>
        <w:rPr>
          <w:rFonts w:hint="cs"/>
          <w:rtl/>
        </w:rPr>
        <w:t xml:space="preserve">כששמעתי </w:t>
      </w:r>
      <w:bookmarkStart w:id="8845" w:name="_ETM_Q10_388719"/>
      <w:bookmarkEnd w:id="8845"/>
      <w:r>
        <w:rPr>
          <w:rFonts w:hint="cs"/>
          <w:rtl/>
        </w:rPr>
        <w:t>מה</w:t>
      </w:r>
      <w:bookmarkStart w:id="8846" w:name="_ETM_Q10_388930"/>
      <w:bookmarkEnd w:id="8846"/>
      <w:r>
        <w:rPr>
          <w:rFonts w:hint="cs"/>
          <w:rtl/>
        </w:rPr>
        <w:t>י</w:t>
      </w:r>
      <w:bookmarkStart w:id="8847" w:name="_ETM_Q10_389139"/>
      <w:bookmarkEnd w:id="8847"/>
      <w:r>
        <w:rPr>
          <w:rFonts w:hint="cs"/>
          <w:rtl/>
        </w:rPr>
        <w:t xml:space="preserve"> </w:t>
      </w:r>
      <w:bookmarkStart w:id="8848" w:name="_ETM_Q10_387855"/>
      <w:bookmarkEnd w:id="8848"/>
      <w:r>
        <w:rPr>
          <w:rFonts w:hint="cs"/>
          <w:rtl/>
        </w:rPr>
        <w:t xml:space="preserve">ההפטרה </w:t>
      </w:r>
      <w:bookmarkStart w:id="8849" w:name="_ETM_Q10_390430"/>
      <w:bookmarkEnd w:id="8849"/>
      <w:r>
        <w:rPr>
          <w:rFonts w:hint="cs"/>
          <w:rtl/>
        </w:rPr>
        <w:t xml:space="preserve">לפרשת </w:t>
      </w:r>
      <w:bookmarkStart w:id="8850" w:name="_ETM_Q10_391090"/>
      <w:bookmarkEnd w:id="8850"/>
      <w:r>
        <w:rPr>
          <w:rFonts w:hint="cs"/>
          <w:rtl/>
        </w:rPr>
        <w:t xml:space="preserve">השבוע </w:t>
      </w:r>
      <w:bookmarkStart w:id="8851" w:name="_ETM_Q10_391660"/>
      <w:bookmarkEnd w:id="8851"/>
      <w:r>
        <w:rPr>
          <w:rFonts w:hint="cs"/>
          <w:rtl/>
        </w:rPr>
        <w:t xml:space="preserve">הצטמררתי. </w:t>
      </w:r>
      <w:bookmarkStart w:id="8852" w:name="_ETM_Q10_394139"/>
      <w:bookmarkEnd w:id="8852"/>
      <w:r>
        <w:rPr>
          <w:rFonts w:hint="cs"/>
          <w:rtl/>
        </w:rPr>
        <w:t xml:space="preserve">מדובר </w:t>
      </w:r>
      <w:bookmarkStart w:id="8853" w:name="_ETM_Q10_394980"/>
      <w:bookmarkEnd w:id="8853"/>
      <w:r>
        <w:rPr>
          <w:rFonts w:hint="cs"/>
          <w:rtl/>
        </w:rPr>
        <w:t xml:space="preserve">בנבואה </w:t>
      </w:r>
      <w:bookmarkStart w:id="8854" w:name="_ETM_Q10_396060"/>
      <w:bookmarkEnd w:id="8854"/>
      <w:r>
        <w:rPr>
          <w:rFonts w:hint="cs"/>
          <w:rtl/>
        </w:rPr>
        <w:t xml:space="preserve">של </w:t>
      </w:r>
      <w:bookmarkStart w:id="8855" w:name="_ETM_Q10_396420"/>
      <w:bookmarkEnd w:id="8855"/>
      <w:r>
        <w:rPr>
          <w:rFonts w:hint="cs"/>
          <w:rtl/>
        </w:rPr>
        <w:t xml:space="preserve">הנביא </w:t>
      </w:r>
      <w:bookmarkStart w:id="8856" w:name="_ETM_Q10_396780"/>
      <w:bookmarkEnd w:id="8856"/>
      <w:r>
        <w:rPr>
          <w:rFonts w:hint="cs"/>
          <w:rtl/>
        </w:rPr>
        <w:t xml:space="preserve">ישעיהו </w:t>
      </w:r>
      <w:bookmarkStart w:id="8857" w:name="_ETM_Q10_400989"/>
      <w:bookmarkEnd w:id="8857"/>
      <w:r>
        <w:rPr>
          <w:rFonts w:hint="cs"/>
          <w:rtl/>
        </w:rPr>
        <w:t xml:space="preserve">לקראת </w:t>
      </w:r>
      <w:bookmarkStart w:id="8858" w:name="_ETM_Q10_401590"/>
      <w:bookmarkEnd w:id="8858"/>
      <w:r>
        <w:rPr>
          <w:rFonts w:hint="cs"/>
          <w:rtl/>
        </w:rPr>
        <w:t xml:space="preserve">תשעה </w:t>
      </w:r>
      <w:bookmarkStart w:id="8859" w:name="_ETM_Q10_401980"/>
      <w:bookmarkEnd w:id="8859"/>
      <w:r>
        <w:rPr>
          <w:rFonts w:hint="cs"/>
          <w:rtl/>
        </w:rPr>
        <w:t xml:space="preserve">באב, </w:t>
      </w:r>
      <w:bookmarkStart w:id="8860" w:name="_ETM_Q10_402459"/>
      <w:bookmarkEnd w:id="8860"/>
      <w:r>
        <w:rPr>
          <w:rFonts w:hint="cs"/>
          <w:rtl/>
        </w:rPr>
        <w:t xml:space="preserve">זו </w:t>
      </w:r>
      <w:bookmarkStart w:id="8861" w:name="_ETM_Q10_402639"/>
      <w:bookmarkEnd w:id="8861"/>
      <w:r>
        <w:rPr>
          <w:rFonts w:hint="cs"/>
          <w:rtl/>
        </w:rPr>
        <w:t xml:space="preserve">קריאה </w:t>
      </w:r>
      <w:bookmarkStart w:id="8862" w:name="_ETM_Q10_402939"/>
      <w:bookmarkEnd w:id="8862"/>
      <w:r>
        <w:rPr>
          <w:rFonts w:hint="cs"/>
          <w:rtl/>
        </w:rPr>
        <w:t xml:space="preserve">שתמיד </w:t>
      </w:r>
      <w:bookmarkStart w:id="8863" w:name="_ETM_Q10_403480"/>
      <w:bookmarkEnd w:id="8863"/>
      <w:r>
        <w:rPr>
          <w:rFonts w:hint="cs"/>
          <w:rtl/>
        </w:rPr>
        <w:t xml:space="preserve">קוראים </w:t>
      </w:r>
      <w:bookmarkStart w:id="8864" w:name="_ETM_Q10_404079"/>
      <w:bookmarkEnd w:id="8864"/>
      <w:r>
        <w:rPr>
          <w:rFonts w:hint="cs"/>
          <w:rtl/>
        </w:rPr>
        <w:t xml:space="preserve">לקראת </w:t>
      </w:r>
      <w:bookmarkStart w:id="8865" w:name="_ETM_Q10_404469"/>
      <w:bookmarkEnd w:id="8865"/>
      <w:r>
        <w:rPr>
          <w:rFonts w:hint="cs"/>
          <w:rtl/>
        </w:rPr>
        <w:t xml:space="preserve">תשעה </w:t>
      </w:r>
      <w:bookmarkStart w:id="8866" w:name="_ETM_Q10_404799"/>
      <w:bookmarkEnd w:id="8866"/>
      <w:r>
        <w:rPr>
          <w:rFonts w:hint="cs"/>
          <w:rtl/>
        </w:rPr>
        <w:t>באב,</w:t>
      </w:r>
      <w:bookmarkStart w:id="8867" w:name="_ETM_Q10_420935"/>
      <w:bookmarkEnd w:id="8867"/>
      <w:r>
        <w:rPr>
          <w:rFonts w:hint="cs"/>
          <w:rtl/>
        </w:rPr>
        <w:t xml:space="preserve"> </w:t>
      </w:r>
      <w:bookmarkStart w:id="8868" w:name="_ETM_Q10_405780"/>
      <w:bookmarkEnd w:id="8868"/>
      <w:r>
        <w:rPr>
          <w:rFonts w:hint="cs"/>
          <w:rtl/>
        </w:rPr>
        <w:t xml:space="preserve">וזו </w:t>
      </w:r>
      <w:bookmarkStart w:id="8869" w:name="_ETM_Q10_406050"/>
      <w:bookmarkEnd w:id="8869"/>
      <w:r>
        <w:rPr>
          <w:rFonts w:hint="cs"/>
          <w:rtl/>
        </w:rPr>
        <w:t xml:space="preserve">בעצם </w:t>
      </w:r>
      <w:bookmarkStart w:id="8870" w:name="_ETM_Q10_406379"/>
      <w:bookmarkEnd w:id="8870"/>
      <w:r>
        <w:rPr>
          <w:rFonts w:hint="cs"/>
          <w:rtl/>
        </w:rPr>
        <w:t xml:space="preserve">הנבואה </w:t>
      </w:r>
      <w:bookmarkStart w:id="8871" w:name="_ETM_Q10_407010"/>
      <w:bookmarkEnd w:id="8871"/>
      <w:r>
        <w:rPr>
          <w:rFonts w:hint="cs"/>
          <w:rtl/>
        </w:rPr>
        <w:t xml:space="preserve">שלו </w:t>
      </w:r>
      <w:bookmarkStart w:id="8872" w:name="_ETM_Q10_408010"/>
      <w:bookmarkEnd w:id="8872"/>
      <w:r>
        <w:rPr>
          <w:rFonts w:hint="cs"/>
          <w:rtl/>
        </w:rPr>
        <w:t xml:space="preserve">לפני </w:t>
      </w:r>
      <w:bookmarkStart w:id="8873" w:name="_ETM_Q10_408400"/>
      <w:bookmarkEnd w:id="8873"/>
      <w:r>
        <w:rPr>
          <w:rFonts w:hint="cs"/>
          <w:rtl/>
        </w:rPr>
        <w:t xml:space="preserve">שנחרב </w:t>
      </w:r>
      <w:bookmarkStart w:id="8874" w:name="_ETM_Q10_409120"/>
      <w:bookmarkEnd w:id="8874"/>
      <w:r>
        <w:rPr>
          <w:rFonts w:hint="cs"/>
          <w:rtl/>
        </w:rPr>
        <w:t xml:space="preserve">הבית </w:t>
      </w:r>
      <w:bookmarkStart w:id="8875" w:name="_ETM_Q10_409629"/>
      <w:bookmarkEnd w:id="8875"/>
      <w:r>
        <w:rPr>
          <w:rFonts w:hint="cs"/>
          <w:rtl/>
        </w:rPr>
        <w:t xml:space="preserve">השני </w:t>
      </w:r>
      <w:bookmarkStart w:id="8876" w:name="_ETM_Q10_410110"/>
      <w:bookmarkEnd w:id="8876"/>
      <w:r>
        <w:rPr>
          <w:rFonts w:hint="cs"/>
          <w:rtl/>
        </w:rPr>
        <w:t xml:space="preserve">בשל </w:t>
      </w:r>
      <w:bookmarkStart w:id="8877" w:name="_ETM_Q10_410470"/>
      <w:bookmarkEnd w:id="8877"/>
      <w:r>
        <w:rPr>
          <w:rFonts w:hint="cs"/>
          <w:rtl/>
        </w:rPr>
        <w:t xml:space="preserve">שנאת </w:t>
      </w:r>
      <w:bookmarkStart w:id="8878" w:name="_ETM_Q10_410950"/>
      <w:bookmarkEnd w:id="8878"/>
      <w:r>
        <w:rPr>
          <w:rFonts w:hint="cs"/>
          <w:rtl/>
        </w:rPr>
        <w:t xml:space="preserve">חינם. </w:t>
      </w:r>
      <w:bookmarkStart w:id="8879" w:name="_ETM_Q10_412329"/>
      <w:bookmarkEnd w:id="8879"/>
      <w:r>
        <w:rPr>
          <w:rFonts w:hint="cs"/>
          <w:rtl/>
        </w:rPr>
        <w:t xml:space="preserve">וזה </w:t>
      </w:r>
      <w:bookmarkStart w:id="8880" w:name="_ETM_Q10_412659"/>
      <w:bookmarkEnd w:id="8880"/>
      <w:r>
        <w:rPr>
          <w:rFonts w:hint="cs"/>
          <w:rtl/>
        </w:rPr>
        <w:t xml:space="preserve">מה </w:t>
      </w:r>
      <w:bookmarkStart w:id="8881" w:name="_ETM_Q10_412779"/>
      <w:bookmarkEnd w:id="8881"/>
      <w:r>
        <w:rPr>
          <w:rFonts w:hint="cs"/>
          <w:rtl/>
        </w:rPr>
        <w:t xml:space="preserve">שהוא </w:t>
      </w:r>
      <w:bookmarkStart w:id="8882" w:name="_ETM_Q10_413019"/>
      <w:bookmarkEnd w:id="8882"/>
      <w:r>
        <w:rPr>
          <w:rFonts w:hint="cs"/>
          <w:rtl/>
        </w:rPr>
        <w:t xml:space="preserve">אומר: </w:t>
      </w:r>
      <w:bookmarkStart w:id="8883" w:name="_ETM_Q10_414439"/>
      <w:bookmarkStart w:id="8884" w:name="_ETM_Q10_426090"/>
      <w:bookmarkEnd w:id="8883"/>
      <w:bookmarkEnd w:id="8884"/>
      <w:r>
        <w:rPr>
          <w:rFonts w:hint="cs"/>
          <w:rtl/>
        </w:rPr>
        <w:t xml:space="preserve">"שריך סוררים וחברי גנבים כלו אהב שחד ורדף שלמנים יתום לא ישפטו וריב אלמנה לא יבוא אליהם". מה </w:t>
      </w:r>
      <w:bookmarkStart w:id="8885" w:name="_ETM_Q10_426390"/>
      <w:bookmarkEnd w:id="8885"/>
      <w:r>
        <w:rPr>
          <w:rFonts w:hint="cs"/>
          <w:rtl/>
        </w:rPr>
        <w:t xml:space="preserve">הוא </w:t>
      </w:r>
      <w:bookmarkStart w:id="8886" w:name="_ETM_Q10_426450"/>
      <w:bookmarkEnd w:id="8886"/>
      <w:r>
        <w:rPr>
          <w:rFonts w:hint="cs"/>
          <w:rtl/>
        </w:rPr>
        <w:t xml:space="preserve">אומר? </w:t>
      </w:r>
      <w:bookmarkStart w:id="8887" w:name="_ETM_Q10_428000"/>
      <w:bookmarkStart w:id="8888" w:name="_ETM_Q10_428120"/>
      <w:bookmarkStart w:id="8889" w:name="_ETM_Q10_428390"/>
      <w:bookmarkStart w:id="8890" w:name="_ETM_Q10_428870"/>
      <w:bookmarkEnd w:id="8887"/>
      <w:bookmarkEnd w:id="8888"/>
      <w:bookmarkEnd w:id="8889"/>
      <w:bookmarkEnd w:id="8890"/>
      <w:r>
        <w:rPr>
          <w:rFonts w:hint="cs"/>
          <w:rtl/>
        </w:rPr>
        <w:t xml:space="preserve">בעצם, הוא </w:t>
      </w:r>
      <w:bookmarkStart w:id="8891" w:name="_ETM_Q10_429019"/>
      <w:bookmarkEnd w:id="8891"/>
      <w:r>
        <w:rPr>
          <w:rFonts w:hint="cs"/>
          <w:rtl/>
        </w:rPr>
        <w:t xml:space="preserve">הוכיח </w:t>
      </w:r>
      <w:bookmarkStart w:id="8892" w:name="_ETM_Q10_429540"/>
      <w:bookmarkStart w:id="8893" w:name="_ETM_Q10_429689"/>
      <w:bookmarkStart w:id="8894" w:name="_ETM_Q10_430170"/>
      <w:bookmarkStart w:id="8895" w:name="_ETM_Q10_427385"/>
      <w:bookmarkEnd w:id="8892"/>
      <w:bookmarkEnd w:id="8893"/>
      <w:bookmarkEnd w:id="8894"/>
      <w:bookmarkEnd w:id="8895"/>
      <w:r>
        <w:rPr>
          <w:rFonts w:hint="cs"/>
          <w:rtl/>
        </w:rPr>
        <w:t xml:space="preserve">את </w:t>
      </w:r>
      <w:bookmarkStart w:id="8896" w:name="_ETM_Q10_430349"/>
      <w:bookmarkEnd w:id="8896"/>
      <w:r>
        <w:rPr>
          <w:rFonts w:hint="cs"/>
          <w:rtl/>
        </w:rPr>
        <w:t xml:space="preserve">הממשלה. </w:t>
      </w:r>
      <w:bookmarkStart w:id="8897" w:name="_ETM_Q10_431189"/>
      <w:bookmarkEnd w:id="8897"/>
      <w:r>
        <w:rPr>
          <w:rFonts w:hint="cs"/>
          <w:rtl/>
        </w:rPr>
        <w:t xml:space="preserve">הוא </w:t>
      </w:r>
      <w:bookmarkStart w:id="8898" w:name="_ETM_Q10_431310"/>
      <w:bookmarkEnd w:id="8898"/>
      <w:r>
        <w:rPr>
          <w:rFonts w:hint="cs"/>
          <w:rtl/>
        </w:rPr>
        <w:t xml:space="preserve">אומר </w:t>
      </w:r>
      <w:bookmarkStart w:id="8899" w:name="_ETM_Q10_431610"/>
      <w:bookmarkEnd w:id="8899"/>
      <w:r>
        <w:rPr>
          <w:rFonts w:hint="cs"/>
          <w:rtl/>
        </w:rPr>
        <w:t xml:space="preserve">להם: </w:t>
      </w:r>
      <w:bookmarkStart w:id="8900" w:name="_ETM_Q10_432370"/>
      <w:bookmarkEnd w:id="8900"/>
      <w:r>
        <w:rPr>
          <w:rFonts w:hint="cs"/>
          <w:rtl/>
        </w:rPr>
        <w:t xml:space="preserve">כל </w:t>
      </w:r>
      <w:bookmarkStart w:id="8901" w:name="_ETM_Q10_432730"/>
      <w:bookmarkEnd w:id="8901"/>
      <w:r>
        <w:rPr>
          <w:rFonts w:hint="cs"/>
          <w:rtl/>
        </w:rPr>
        <w:t xml:space="preserve">מה </w:t>
      </w:r>
      <w:bookmarkStart w:id="8902" w:name="_ETM_Q10_432939"/>
      <w:bookmarkEnd w:id="8902"/>
      <w:r>
        <w:rPr>
          <w:rFonts w:hint="cs"/>
          <w:rtl/>
        </w:rPr>
        <w:t xml:space="preserve">שעניין </w:t>
      </w:r>
      <w:bookmarkStart w:id="8903" w:name="_ETM_Q10_433629"/>
      <w:bookmarkEnd w:id="8903"/>
      <w:r>
        <w:rPr>
          <w:rFonts w:hint="cs"/>
          <w:rtl/>
        </w:rPr>
        <w:t xml:space="preserve">אתכם </w:t>
      </w:r>
      <w:bookmarkStart w:id="8904" w:name="_ETM_Q10_433959"/>
      <w:bookmarkEnd w:id="8904"/>
      <w:r>
        <w:rPr>
          <w:rFonts w:hint="cs"/>
          <w:rtl/>
        </w:rPr>
        <w:t>השרים,</w:t>
      </w:r>
      <w:bookmarkStart w:id="8905" w:name="_ETM_Q10_430945"/>
      <w:bookmarkEnd w:id="8905"/>
      <w:r>
        <w:rPr>
          <w:rFonts w:hint="cs"/>
          <w:rtl/>
        </w:rPr>
        <w:t xml:space="preserve"> </w:t>
      </w:r>
      <w:bookmarkStart w:id="8906" w:name="_ETM_Q10_434439"/>
      <w:bookmarkEnd w:id="8906"/>
      <w:r>
        <w:rPr>
          <w:rFonts w:hint="cs"/>
          <w:rtl/>
        </w:rPr>
        <w:t xml:space="preserve">שרי </w:t>
      </w:r>
      <w:bookmarkStart w:id="8907" w:name="_ETM_Q10_434799"/>
      <w:bookmarkEnd w:id="8907"/>
      <w:r>
        <w:rPr>
          <w:rFonts w:hint="cs"/>
          <w:rtl/>
        </w:rPr>
        <w:t>ירושלים, ה</w:t>
      </w:r>
      <w:bookmarkStart w:id="8908" w:name="_ETM_Q10_435430"/>
      <w:bookmarkStart w:id="8909" w:name="_ETM_Q10_438056"/>
      <w:bookmarkEnd w:id="8908"/>
      <w:bookmarkEnd w:id="8909"/>
      <w:r>
        <w:rPr>
          <w:rFonts w:hint="cs"/>
          <w:rtl/>
        </w:rPr>
        <w:t xml:space="preserve">יה </w:t>
      </w:r>
      <w:bookmarkStart w:id="8910" w:name="_ETM_Q10_436089"/>
      <w:bookmarkEnd w:id="8910"/>
      <w:r>
        <w:rPr>
          <w:rFonts w:hint="cs"/>
          <w:rtl/>
        </w:rPr>
        <w:t xml:space="preserve">הכסף, </w:t>
      </w:r>
      <w:bookmarkStart w:id="8911" w:name="_ETM_Q10_437380"/>
      <w:bookmarkEnd w:id="8911"/>
      <w:r>
        <w:rPr>
          <w:rFonts w:hint="cs"/>
          <w:rtl/>
        </w:rPr>
        <w:t>המינויי</w:t>
      </w:r>
      <w:bookmarkStart w:id="8912" w:name="_ETM_Q10_435025"/>
      <w:bookmarkEnd w:id="8912"/>
      <w:r>
        <w:rPr>
          <w:rFonts w:hint="cs"/>
          <w:rtl/>
        </w:rPr>
        <w:t xml:space="preserve">ם </w:t>
      </w:r>
      <w:bookmarkStart w:id="8913" w:name="_ETM_Q10_438610"/>
      <w:bookmarkEnd w:id="8913"/>
      <w:r>
        <w:rPr>
          <w:rFonts w:hint="cs"/>
          <w:rtl/>
        </w:rPr>
        <w:t xml:space="preserve">והכבוד. </w:t>
      </w:r>
      <w:bookmarkStart w:id="8914" w:name="_ETM_Q10_440529"/>
      <w:bookmarkEnd w:id="8914"/>
      <w:r>
        <w:rPr>
          <w:rFonts w:hint="cs"/>
          <w:rtl/>
        </w:rPr>
        <w:t xml:space="preserve">לא </w:t>
      </w:r>
      <w:bookmarkStart w:id="8915" w:name="_ETM_Q10_440770"/>
      <w:bookmarkEnd w:id="8915"/>
      <w:r>
        <w:rPr>
          <w:rFonts w:hint="cs"/>
          <w:rtl/>
        </w:rPr>
        <w:t xml:space="preserve">עניין </w:t>
      </w:r>
      <w:bookmarkStart w:id="8916" w:name="_ETM_Q10_441190"/>
      <w:bookmarkEnd w:id="8916"/>
      <w:r>
        <w:rPr>
          <w:rFonts w:hint="cs"/>
          <w:rtl/>
        </w:rPr>
        <w:t xml:space="preserve">אתכם </w:t>
      </w:r>
      <w:bookmarkStart w:id="8917" w:name="_ETM_Q10_441639"/>
      <w:bookmarkEnd w:id="8917"/>
      <w:r>
        <w:rPr>
          <w:rFonts w:hint="cs"/>
          <w:rtl/>
        </w:rPr>
        <w:t xml:space="preserve">משפט </w:t>
      </w:r>
      <w:bookmarkStart w:id="8918" w:name="_ETM_Q10_442060"/>
      <w:bookmarkEnd w:id="8918"/>
      <w:r>
        <w:rPr>
          <w:rFonts w:hint="cs"/>
          <w:rtl/>
        </w:rPr>
        <w:t xml:space="preserve">היתומים, </w:t>
      </w:r>
      <w:bookmarkStart w:id="8919" w:name="_ETM_Q10_443139"/>
      <w:bookmarkEnd w:id="8919"/>
      <w:r>
        <w:rPr>
          <w:rFonts w:hint="cs"/>
          <w:rtl/>
        </w:rPr>
        <w:t xml:space="preserve">לא </w:t>
      </w:r>
      <w:bookmarkStart w:id="8920" w:name="_ETM_Q10_443410"/>
      <w:bookmarkEnd w:id="8920"/>
      <w:r>
        <w:rPr>
          <w:rFonts w:hint="cs"/>
          <w:rtl/>
        </w:rPr>
        <w:t xml:space="preserve">עניינו </w:t>
      </w:r>
      <w:bookmarkStart w:id="8921" w:name="_ETM_Q10_443800"/>
      <w:bookmarkEnd w:id="8921"/>
      <w:r>
        <w:rPr>
          <w:rFonts w:hint="cs"/>
          <w:rtl/>
        </w:rPr>
        <w:t xml:space="preserve">אתכם </w:t>
      </w:r>
      <w:bookmarkStart w:id="8922" w:name="_ETM_Q10_444160"/>
      <w:bookmarkEnd w:id="8922"/>
      <w:r>
        <w:rPr>
          <w:rFonts w:hint="cs"/>
          <w:rtl/>
        </w:rPr>
        <w:t xml:space="preserve">האלמנות, </w:t>
      </w:r>
      <w:bookmarkStart w:id="8923" w:name="_ETM_Q10_445510"/>
      <w:bookmarkEnd w:id="8923"/>
      <w:r>
        <w:rPr>
          <w:rFonts w:hint="cs"/>
          <w:rtl/>
        </w:rPr>
        <w:t xml:space="preserve">רק </w:t>
      </w:r>
      <w:bookmarkStart w:id="8924" w:name="_ETM_Q10_445870"/>
      <w:bookmarkEnd w:id="8924"/>
      <w:r>
        <w:rPr>
          <w:rFonts w:hint="cs"/>
          <w:rtl/>
        </w:rPr>
        <w:t xml:space="preserve">שלושת </w:t>
      </w:r>
      <w:bookmarkStart w:id="8925" w:name="_ETM_Q10_446410"/>
      <w:bookmarkEnd w:id="8925"/>
      <w:r>
        <w:rPr>
          <w:rFonts w:hint="cs"/>
          <w:rtl/>
        </w:rPr>
        <w:t xml:space="preserve">הכ"פים: </w:t>
      </w:r>
      <w:bookmarkStart w:id="8926" w:name="_ETM_Q10_447310"/>
      <w:bookmarkEnd w:id="8926"/>
      <w:r>
        <w:rPr>
          <w:rFonts w:hint="cs"/>
          <w:rtl/>
        </w:rPr>
        <w:t xml:space="preserve">כסף, </w:t>
      </w:r>
      <w:bookmarkStart w:id="8927" w:name="_ETM_Q10_448000"/>
      <w:bookmarkEnd w:id="8927"/>
      <w:r>
        <w:rPr>
          <w:rFonts w:hint="cs"/>
          <w:rtl/>
        </w:rPr>
        <w:t xml:space="preserve">כוח </w:t>
      </w:r>
      <w:bookmarkStart w:id="8928" w:name="_ETM_Q10_448389"/>
      <w:bookmarkEnd w:id="8928"/>
      <w:r>
        <w:rPr>
          <w:rFonts w:hint="cs"/>
          <w:rtl/>
        </w:rPr>
        <w:t xml:space="preserve">וכבוד. </w:t>
      </w:r>
      <w:bookmarkStart w:id="8929" w:name="_ETM_Q10_449680"/>
      <w:bookmarkEnd w:id="8929"/>
      <w:r>
        <w:rPr>
          <w:rFonts w:hint="cs"/>
          <w:rtl/>
        </w:rPr>
        <w:t xml:space="preserve">וכמה </w:t>
      </w:r>
      <w:bookmarkStart w:id="8930" w:name="_ETM_Q10_450220"/>
      <w:bookmarkEnd w:id="8930"/>
      <w:r>
        <w:rPr>
          <w:rFonts w:hint="cs"/>
          <w:rtl/>
        </w:rPr>
        <w:t xml:space="preserve">עמוק </w:t>
      </w:r>
      <w:bookmarkStart w:id="8931" w:name="_ETM_Q10_450550"/>
      <w:bookmarkEnd w:id="8931"/>
      <w:r>
        <w:rPr>
          <w:rFonts w:hint="cs"/>
          <w:rtl/>
        </w:rPr>
        <w:t xml:space="preserve">הדמיון </w:t>
      </w:r>
      <w:bookmarkStart w:id="8932" w:name="_ETM_Q10_451120"/>
      <w:bookmarkEnd w:id="8932"/>
      <w:r>
        <w:rPr>
          <w:rFonts w:hint="cs"/>
          <w:rtl/>
        </w:rPr>
        <w:t xml:space="preserve">בין </w:t>
      </w:r>
      <w:bookmarkStart w:id="8933" w:name="_ETM_Q10_451300"/>
      <w:bookmarkEnd w:id="8933"/>
      <w:r>
        <w:rPr>
          <w:rFonts w:hint="cs"/>
          <w:rtl/>
        </w:rPr>
        <w:t xml:space="preserve">אז </w:t>
      </w:r>
      <w:bookmarkStart w:id="8934" w:name="_ETM_Q10_451570"/>
      <w:bookmarkEnd w:id="8934"/>
      <w:r>
        <w:rPr>
          <w:rFonts w:hint="cs"/>
          <w:rtl/>
        </w:rPr>
        <w:t xml:space="preserve">להיום. </w:t>
      </w:r>
      <w:bookmarkStart w:id="8935" w:name="_ETM_Q10_453110"/>
      <w:bookmarkEnd w:id="8935"/>
      <w:r>
        <w:rPr>
          <w:rFonts w:hint="cs"/>
          <w:rtl/>
        </w:rPr>
        <w:t>ו</w:t>
      </w:r>
      <w:bookmarkStart w:id="8936" w:name="_ETM_Q10_453430"/>
      <w:bookmarkEnd w:id="8936"/>
      <w:r>
        <w:rPr>
          <w:rFonts w:hint="cs"/>
          <w:rtl/>
        </w:rPr>
        <w:t xml:space="preserve">בסוף </w:t>
      </w:r>
      <w:bookmarkStart w:id="8937" w:name="_ETM_Q10_453639"/>
      <w:bookmarkEnd w:id="8937"/>
      <w:r>
        <w:rPr>
          <w:rFonts w:hint="cs"/>
          <w:rtl/>
        </w:rPr>
        <w:t xml:space="preserve">ההפטרה, מה </w:t>
      </w:r>
      <w:bookmarkStart w:id="8938" w:name="_ETM_Q10_454120"/>
      <w:bookmarkEnd w:id="8938"/>
      <w:r>
        <w:rPr>
          <w:rFonts w:hint="cs"/>
          <w:rtl/>
        </w:rPr>
        <w:t xml:space="preserve">אומר </w:t>
      </w:r>
      <w:bookmarkStart w:id="8939" w:name="_ETM_Q10_454600"/>
      <w:bookmarkEnd w:id="8939"/>
      <w:r>
        <w:rPr>
          <w:rFonts w:hint="cs"/>
          <w:rtl/>
        </w:rPr>
        <w:t>הנביא</w:t>
      </w:r>
      <w:bookmarkStart w:id="8940" w:name="_ETM_Q10_450115"/>
      <w:bookmarkEnd w:id="8940"/>
      <w:r>
        <w:rPr>
          <w:rFonts w:hint="cs"/>
          <w:rtl/>
        </w:rPr>
        <w:t xml:space="preserve">, </w:t>
      </w:r>
      <w:bookmarkStart w:id="8941" w:name="_ETM_Q10_455089"/>
      <w:bookmarkEnd w:id="8941"/>
      <w:r>
        <w:rPr>
          <w:rFonts w:hint="cs"/>
          <w:rtl/>
        </w:rPr>
        <w:t xml:space="preserve">מה </w:t>
      </w:r>
      <w:bookmarkStart w:id="8942" w:name="_ETM_Q10_455419"/>
      <w:bookmarkEnd w:id="8942"/>
      <w:r>
        <w:rPr>
          <w:rFonts w:hint="cs"/>
          <w:rtl/>
        </w:rPr>
        <w:t xml:space="preserve">הפתרון </w:t>
      </w:r>
      <w:bookmarkStart w:id="8943" w:name="_ETM_Q10_456110"/>
      <w:bookmarkEnd w:id="8943"/>
      <w:r>
        <w:rPr>
          <w:rFonts w:hint="cs"/>
          <w:rtl/>
        </w:rPr>
        <w:t xml:space="preserve">לשחיתות </w:t>
      </w:r>
      <w:bookmarkStart w:id="8944" w:name="_ETM_Q10_456710"/>
      <w:bookmarkEnd w:id="8944"/>
      <w:r>
        <w:rPr>
          <w:rFonts w:hint="cs"/>
          <w:rtl/>
        </w:rPr>
        <w:t xml:space="preserve">הזאת? </w:t>
      </w:r>
      <w:bookmarkStart w:id="8945" w:name="_ETM_Q10_457610"/>
      <w:bookmarkEnd w:id="8945"/>
      <w:r>
        <w:rPr>
          <w:rFonts w:hint="cs"/>
          <w:rtl/>
        </w:rPr>
        <w:t xml:space="preserve">"ציון במשפט תפדה". </w:t>
      </w:r>
      <w:bookmarkStart w:id="8946" w:name="_ETM_Q10_460800"/>
      <w:bookmarkEnd w:id="8946"/>
      <w:r>
        <w:rPr>
          <w:rFonts w:hint="cs"/>
          <w:rtl/>
        </w:rPr>
        <w:t xml:space="preserve">בעצם, </w:t>
      </w:r>
      <w:bookmarkStart w:id="8947" w:name="_ETM_Q10_461279"/>
      <w:bookmarkEnd w:id="8947"/>
      <w:r>
        <w:rPr>
          <w:rFonts w:hint="cs"/>
          <w:rtl/>
        </w:rPr>
        <w:t xml:space="preserve">מה </w:t>
      </w:r>
      <w:bookmarkStart w:id="8948" w:name="_ETM_Q10_461430"/>
      <w:bookmarkEnd w:id="8948"/>
      <w:r>
        <w:rPr>
          <w:rFonts w:hint="cs"/>
          <w:rtl/>
        </w:rPr>
        <w:t xml:space="preserve">הוא </w:t>
      </w:r>
      <w:bookmarkStart w:id="8949" w:name="_ETM_Q10_461550"/>
      <w:bookmarkEnd w:id="8949"/>
      <w:r>
        <w:rPr>
          <w:rFonts w:hint="cs"/>
          <w:rtl/>
        </w:rPr>
        <w:t xml:space="preserve">אומר? </w:t>
      </w:r>
      <w:bookmarkStart w:id="8950" w:name="_ETM_Q10_462880"/>
      <w:bookmarkEnd w:id="8950"/>
      <w:r>
        <w:rPr>
          <w:rFonts w:hint="cs"/>
          <w:rtl/>
        </w:rPr>
        <w:t xml:space="preserve">הוא אומר: </w:t>
      </w:r>
      <w:bookmarkStart w:id="8951" w:name="_ETM_Q10_463370"/>
      <w:bookmarkEnd w:id="8951"/>
      <w:r>
        <w:rPr>
          <w:rFonts w:hint="cs"/>
          <w:rtl/>
        </w:rPr>
        <w:t xml:space="preserve">רק </w:t>
      </w:r>
      <w:bookmarkStart w:id="8952" w:name="_ETM_Q10_463580"/>
      <w:bookmarkEnd w:id="8952"/>
      <w:r>
        <w:rPr>
          <w:rFonts w:hint="cs"/>
          <w:rtl/>
        </w:rPr>
        <w:t xml:space="preserve">משפט, </w:t>
      </w:r>
      <w:bookmarkStart w:id="8953" w:name="_ETM_Q10_465120"/>
      <w:bookmarkEnd w:id="8953"/>
      <w:r>
        <w:rPr>
          <w:rFonts w:hint="cs"/>
          <w:rtl/>
        </w:rPr>
        <w:t xml:space="preserve">דין </w:t>
      </w:r>
      <w:bookmarkStart w:id="8954" w:name="_ETM_Q10_465779"/>
      <w:bookmarkEnd w:id="8954"/>
      <w:r>
        <w:rPr>
          <w:rFonts w:hint="cs"/>
          <w:rtl/>
        </w:rPr>
        <w:t xml:space="preserve">שיחול </w:t>
      </w:r>
      <w:bookmarkStart w:id="8955" w:name="_ETM_Q10_467069"/>
      <w:bookmarkEnd w:id="8955"/>
      <w:r>
        <w:rPr>
          <w:rFonts w:hint="cs"/>
          <w:rtl/>
        </w:rPr>
        <w:t xml:space="preserve">על </w:t>
      </w:r>
      <w:bookmarkStart w:id="8956" w:name="_ETM_Q10_467360"/>
      <w:bookmarkEnd w:id="8956"/>
      <w:r>
        <w:rPr>
          <w:rFonts w:hint="cs"/>
          <w:rtl/>
        </w:rPr>
        <w:t>כולם, כולל על</w:t>
      </w:r>
      <w:bookmarkStart w:id="8957" w:name="_ETM_Q10_467810"/>
      <w:bookmarkStart w:id="8958" w:name="_ETM_Q10_468000"/>
      <w:bookmarkStart w:id="8959" w:name="_ETM_Q10_468150"/>
      <w:bookmarkEnd w:id="8957"/>
      <w:bookmarkEnd w:id="8958"/>
      <w:bookmarkEnd w:id="8959"/>
      <w:r>
        <w:rPr>
          <w:rFonts w:hint="cs"/>
          <w:rtl/>
        </w:rPr>
        <w:t xml:space="preserve"> </w:t>
      </w:r>
      <w:bookmarkStart w:id="8960" w:name="_ETM_Q10_468390"/>
      <w:bookmarkEnd w:id="8960"/>
      <w:r>
        <w:rPr>
          <w:rFonts w:hint="cs"/>
          <w:rtl/>
        </w:rPr>
        <w:t>השרים,</w:t>
      </w:r>
      <w:bookmarkStart w:id="8961" w:name="_ETM_Q10_465805"/>
      <w:bookmarkStart w:id="8962" w:name="_ETM_Q10_469197"/>
      <w:bookmarkEnd w:id="8961"/>
      <w:bookmarkEnd w:id="8962"/>
      <w:r>
        <w:rPr>
          <w:rFonts w:hint="cs"/>
          <w:rtl/>
        </w:rPr>
        <w:t xml:space="preserve"> </w:t>
      </w:r>
      <w:bookmarkStart w:id="8963" w:name="_ETM_Q10_469529"/>
      <w:bookmarkEnd w:id="8963"/>
      <w:r>
        <w:rPr>
          <w:rFonts w:hint="cs"/>
          <w:rtl/>
        </w:rPr>
        <w:t xml:space="preserve">הוא </w:t>
      </w:r>
      <w:bookmarkStart w:id="8964" w:name="_ETM_Q10_469740"/>
      <w:bookmarkEnd w:id="8964"/>
      <w:r>
        <w:rPr>
          <w:rFonts w:hint="cs"/>
          <w:rtl/>
        </w:rPr>
        <w:t>הפתרון</w:t>
      </w:r>
      <w:bookmarkStart w:id="8965" w:name="_ETM_Q10_471690"/>
      <w:bookmarkEnd w:id="8965"/>
      <w:r>
        <w:rPr>
          <w:rFonts w:hint="cs"/>
          <w:rtl/>
        </w:rPr>
        <w:t xml:space="preserve">. איזה </w:t>
      </w:r>
      <w:bookmarkStart w:id="8966" w:name="_ETM_Q10_472170"/>
      <w:bookmarkEnd w:id="8966"/>
      <w:r>
        <w:rPr>
          <w:rFonts w:hint="cs"/>
          <w:rtl/>
        </w:rPr>
        <w:t xml:space="preserve">צירוף </w:t>
      </w:r>
      <w:bookmarkStart w:id="8967" w:name="_ETM_Q10_472650"/>
      <w:bookmarkEnd w:id="8967"/>
      <w:r>
        <w:rPr>
          <w:rFonts w:hint="cs"/>
          <w:rtl/>
        </w:rPr>
        <w:t>מ</w:t>
      </w:r>
      <w:bookmarkStart w:id="8968" w:name="_ETM_Q10_472029"/>
      <w:bookmarkEnd w:id="8968"/>
      <w:r>
        <w:rPr>
          <w:rFonts w:hint="cs"/>
          <w:rtl/>
        </w:rPr>
        <w:t xml:space="preserve">קרים </w:t>
      </w:r>
      <w:bookmarkStart w:id="8969" w:name="_ETM_Q10_473430"/>
      <w:bookmarkEnd w:id="8969"/>
      <w:r>
        <w:rPr>
          <w:rFonts w:hint="cs"/>
          <w:rtl/>
        </w:rPr>
        <w:t xml:space="preserve">מצמרר. </w:t>
      </w:r>
      <w:bookmarkStart w:id="8970" w:name="_ETM_Q10_475389"/>
      <w:bookmarkEnd w:id="8970"/>
    </w:p>
    <w:p w:rsidR="000C5C1F" w:rsidRDefault="000C5C1F" w:rsidP="000C5C1F">
      <w:pPr>
        <w:rPr>
          <w:rtl/>
        </w:rPr>
      </w:pPr>
      <w:bookmarkStart w:id="8971" w:name="_ETM_Q10_377078"/>
      <w:bookmarkStart w:id="8972" w:name="_ETM_Q10_377163"/>
      <w:bookmarkEnd w:id="8971"/>
      <w:bookmarkEnd w:id="8972"/>
    </w:p>
    <w:p w:rsidR="000C5C1F" w:rsidRDefault="000C5C1F" w:rsidP="000C5C1F">
      <w:pPr>
        <w:rPr>
          <w:rtl/>
        </w:rPr>
      </w:pPr>
      <w:r>
        <w:rPr>
          <w:rFonts w:hint="cs"/>
          <w:rtl/>
        </w:rPr>
        <w:t xml:space="preserve">אני </w:t>
      </w:r>
      <w:bookmarkStart w:id="8973" w:name="_ETM_Q10_475779"/>
      <w:bookmarkEnd w:id="8973"/>
      <w:r>
        <w:rPr>
          <w:rFonts w:hint="cs"/>
          <w:rtl/>
        </w:rPr>
        <w:t xml:space="preserve">קוראת </w:t>
      </w:r>
      <w:bookmarkStart w:id="8974" w:name="_ETM_Q10_476139"/>
      <w:bookmarkEnd w:id="8974"/>
      <w:r>
        <w:rPr>
          <w:rFonts w:hint="cs"/>
          <w:rtl/>
        </w:rPr>
        <w:t xml:space="preserve">מפה, </w:t>
      </w:r>
      <w:bookmarkStart w:id="8975" w:name="_ETM_Q10_476560"/>
      <w:bookmarkEnd w:id="8975"/>
      <w:r>
        <w:rPr>
          <w:rFonts w:hint="cs"/>
          <w:rtl/>
        </w:rPr>
        <w:t xml:space="preserve">אדוני </w:t>
      </w:r>
      <w:bookmarkStart w:id="8976" w:name="_ETM_Q10_476889"/>
      <w:bookmarkEnd w:id="8976"/>
      <w:r>
        <w:rPr>
          <w:rFonts w:hint="cs"/>
          <w:rtl/>
        </w:rPr>
        <w:t xml:space="preserve">היושב-ראש: </w:t>
      </w:r>
      <w:bookmarkStart w:id="8977" w:name="_ETM_Q10_478880"/>
      <w:bookmarkEnd w:id="8977"/>
      <w:r>
        <w:rPr>
          <w:rFonts w:hint="cs"/>
          <w:rtl/>
        </w:rPr>
        <w:t xml:space="preserve">איך </w:t>
      </w:r>
      <w:bookmarkStart w:id="8978" w:name="_ETM_Q10_479089"/>
      <w:bookmarkEnd w:id="8978"/>
      <w:r>
        <w:rPr>
          <w:rFonts w:hint="cs"/>
          <w:rtl/>
        </w:rPr>
        <w:t xml:space="preserve">יכול </w:t>
      </w:r>
      <w:bookmarkStart w:id="8979" w:name="_ETM_Q10_479449"/>
      <w:bookmarkEnd w:id="8979"/>
      <w:r>
        <w:rPr>
          <w:rFonts w:hint="cs"/>
          <w:rtl/>
        </w:rPr>
        <w:t xml:space="preserve">להיות </w:t>
      </w:r>
      <w:bookmarkStart w:id="8980" w:name="_ETM_Q10_479720"/>
      <w:bookmarkEnd w:id="8980"/>
      <w:r>
        <w:rPr>
          <w:rFonts w:hint="cs"/>
          <w:rtl/>
        </w:rPr>
        <w:t xml:space="preserve">שהחקיקה </w:t>
      </w:r>
      <w:bookmarkStart w:id="8981" w:name="_ETM_Q10_480440"/>
      <w:bookmarkEnd w:id="8981"/>
      <w:r>
        <w:rPr>
          <w:rFonts w:hint="cs"/>
          <w:rtl/>
        </w:rPr>
        <w:t>הזאת</w:t>
      </w:r>
      <w:bookmarkStart w:id="8982" w:name="_ETM_Q10_480740"/>
      <w:bookmarkEnd w:id="8982"/>
      <w:r>
        <w:rPr>
          <w:rFonts w:hint="cs"/>
          <w:rtl/>
        </w:rPr>
        <w:t xml:space="preserve"> </w:t>
      </w:r>
      <w:bookmarkStart w:id="8983" w:name="_ETM_Q10_481069"/>
      <w:bookmarkStart w:id="8984" w:name="_ETM_Q10_480000"/>
      <w:bookmarkStart w:id="8985" w:name="_ETM_Q10_480299"/>
      <w:bookmarkStart w:id="8986" w:name="_ETM_Q10_480599"/>
      <w:bookmarkEnd w:id="8983"/>
      <w:bookmarkEnd w:id="8984"/>
      <w:bookmarkEnd w:id="8985"/>
      <w:bookmarkEnd w:id="8986"/>
      <w:r>
        <w:rPr>
          <w:rFonts w:hint="cs"/>
          <w:rtl/>
        </w:rPr>
        <w:t xml:space="preserve">פורצת </w:t>
      </w:r>
      <w:bookmarkStart w:id="8987" w:name="_ETM_Q10_481920"/>
      <w:bookmarkEnd w:id="8987"/>
      <w:r>
        <w:rPr>
          <w:rFonts w:hint="cs"/>
          <w:rtl/>
        </w:rPr>
        <w:t xml:space="preserve">היום, יום </w:t>
      </w:r>
      <w:bookmarkStart w:id="8988" w:name="_ETM_Q10_482279"/>
      <w:bookmarkEnd w:id="8988"/>
      <w:r>
        <w:rPr>
          <w:rFonts w:hint="cs"/>
          <w:rtl/>
        </w:rPr>
        <w:t xml:space="preserve">אחרי </w:t>
      </w:r>
      <w:bookmarkStart w:id="8989" w:name="_ETM_Q10_482610"/>
      <w:bookmarkEnd w:id="8989"/>
      <w:r>
        <w:rPr>
          <w:rFonts w:hint="cs"/>
          <w:rtl/>
        </w:rPr>
        <w:t xml:space="preserve">ההפטרה </w:t>
      </w:r>
      <w:bookmarkStart w:id="8990" w:name="_ETM_Q10_483239"/>
      <w:bookmarkEnd w:id="8990"/>
      <w:r>
        <w:rPr>
          <w:rFonts w:hint="cs"/>
          <w:rtl/>
        </w:rPr>
        <w:t xml:space="preserve">הזאת </w:t>
      </w:r>
      <w:bookmarkStart w:id="8991" w:name="_ETM_Q10_483600"/>
      <w:bookmarkEnd w:id="8991"/>
      <w:r>
        <w:rPr>
          <w:rFonts w:hint="cs"/>
          <w:rtl/>
        </w:rPr>
        <w:t xml:space="preserve">והדברים </w:t>
      </w:r>
      <w:bookmarkStart w:id="8992" w:name="_ETM_Q10_484140"/>
      <w:bookmarkEnd w:id="8992"/>
      <w:r>
        <w:rPr>
          <w:rFonts w:hint="cs"/>
          <w:rtl/>
        </w:rPr>
        <w:t xml:space="preserve">המצמררים </w:t>
      </w:r>
      <w:bookmarkStart w:id="8993" w:name="_ETM_Q10_484920"/>
      <w:bookmarkEnd w:id="8993"/>
      <w:r>
        <w:rPr>
          <w:rFonts w:hint="cs"/>
          <w:rtl/>
        </w:rPr>
        <w:t xml:space="preserve">האלה? </w:t>
      </w:r>
      <w:bookmarkStart w:id="8994" w:name="_ETM_Q10_486210"/>
      <w:bookmarkEnd w:id="8994"/>
      <w:r>
        <w:rPr>
          <w:rFonts w:hint="cs"/>
          <w:rtl/>
        </w:rPr>
        <w:t xml:space="preserve">תעצרו </w:t>
      </w:r>
      <w:bookmarkStart w:id="8995" w:name="_ETM_Q10_486930"/>
      <w:bookmarkEnd w:id="8995"/>
      <w:r>
        <w:rPr>
          <w:rFonts w:hint="cs"/>
          <w:rtl/>
        </w:rPr>
        <w:t xml:space="preserve">את </w:t>
      </w:r>
      <w:bookmarkStart w:id="8996" w:name="_ETM_Q10_487109"/>
      <w:bookmarkEnd w:id="8996"/>
      <w:r>
        <w:rPr>
          <w:rFonts w:hint="cs"/>
          <w:rtl/>
        </w:rPr>
        <w:t xml:space="preserve">ההרס. </w:t>
      </w:r>
      <w:bookmarkStart w:id="8997" w:name="_ETM_Q10_488890"/>
      <w:bookmarkEnd w:id="8997"/>
      <w:r>
        <w:rPr>
          <w:rFonts w:hint="cs"/>
          <w:rtl/>
        </w:rPr>
        <w:t xml:space="preserve">העם </w:t>
      </w:r>
      <w:bookmarkStart w:id="8998" w:name="_ETM_Q10_489190"/>
      <w:bookmarkEnd w:id="8998"/>
      <w:r>
        <w:rPr>
          <w:rFonts w:hint="cs"/>
          <w:rtl/>
        </w:rPr>
        <w:t xml:space="preserve">שלנו </w:t>
      </w:r>
      <w:bookmarkStart w:id="8999" w:name="_ETM_Q10_489700"/>
      <w:bookmarkEnd w:id="8999"/>
      <w:r>
        <w:rPr>
          <w:rFonts w:hint="cs"/>
          <w:rtl/>
        </w:rPr>
        <w:t xml:space="preserve">בכאב, </w:t>
      </w:r>
      <w:bookmarkStart w:id="9000" w:name="_ETM_Q10_491529"/>
      <w:bookmarkEnd w:id="9000"/>
      <w:r>
        <w:rPr>
          <w:rFonts w:hint="cs"/>
          <w:rtl/>
        </w:rPr>
        <w:t xml:space="preserve">אנחנו </w:t>
      </w:r>
      <w:bookmarkStart w:id="9001" w:name="_ETM_Q10_492130"/>
      <w:bookmarkEnd w:id="9001"/>
      <w:r>
        <w:rPr>
          <w:rFonts w:hint="cs"/>
          <w:rtl/>
        </w:rPr>
        <w:t xml:space="preserve">פצועים. </w:t>
      </w:r>
      <w:bookmarkStart w:id="9002" w:name="_ETM_Q10_493960"/>
      <w:bookmarkEnd w:id="9002"/>
      <w:r>
        <w:rPr>
          <w:rFonts w:hint="cs"/>
          <w:rtl/>
        </w:rPr>
        <w:t xml:space="preserve">מה </w:t>
      </w:r>
      <w:bookmarkStart w:id="9003" w:name="_ETM_Q10_494320"/>
      <w:bookmarkEnd w:id="9003"/>
      <w:r>
        <w:rPr>
          <w:rFonts w:hint="cs"/>
          <w:rtl/>
        </w:rPr>
        <w:t xml:space="preserve">אנחנו </w:t>
      </w:r>
      <w:bookmarkStart w:id="9004" w:name="_ETM_Q10_494680"/>
      <w:bookmarkEnd w:id="9004"/>
      <w:r>
        <w:rPr>
          <w:rFonts w:hint="cs"/>
          <w:rtl/>
        </w:rPr>
        <w:t xml:space="preserve">מבקשים? </w:t>
      </w:r>
      <w:bookmarkStart w:id="9005" w:name="_ETM_Q10_496390"/>
      <w:bookmarkEnd w:id="9005"/>
      <w:r>
        <w:rPr>
          <w:rFonts w:hint="cs"/>
          <w:rtl/>
        </w:rPr>
        <w:t xml:space="preserve">קצת </w:t>
      </w:r>
      <w:bookmarkStart w:id="9006" w:name="_ETM_Q10_496779"/>
      <w:bookmarkEnd w:id="9006"/>
      <w:r>
        <w:rPr>
          <w:rFonts w:hint="cs"/>
          <w:rtl/>
        </w:rPr>
        <w:t xml:space="preserve">שקט, </w:t>
      </w:r>
      <w:bookmarkStart w:id="9007" w:name="_ETM_Q10_497930"/>
      <w:bookmarkEnd w:id="9007"/>
      <w:r>
        <w:rPr>
          <w:rFonts w:hint="cs"/>
          <w:rtl/>
        </w:rPr>
        <w:t xml:space="preserve">קצת </w:t>
      </w:r>
      <w:bookmarkStart w:id="9008" w:name="_ETM_Q10_498410"/>
      <w:bookmarkEnd w:id="9008"/>
      <w:r>
        <w:rPr>
          <w:rFonts w:hint="cs"/>
          <w:rtl/>
        </w:rPr>
        <w:t xml:space="preserve">חמלה, </w:t>
      </w:r>
      <w:bookmarkStart w:id="9009" w:name="_ETM_Q10_500150"/>
      <w:bookmarkEnd w:id="9009"/>
      <w:r>
        <w:rPr>
          <w:rFonts w:hint="cs"/>
          <w:rtl/>
        </w:rPr>
        <w:t xml:space="preserve">קצת </w:t>
      </w:r>
      <w:bookmarkStart w:id="9010" w:name="_ETM_Q10_503099"/>
      <w:bookmarkEnd w:id="9010"/>
      <w:r>
        <w:rPr>
          <w:rFonts w:hint="cs"/>
          <w:rtl/>
        </w:rPr>
        <w:t>אהבה</w:t>
      </w:r>
      <w:bookmarkStart w:id="9011" w:name="_ETM_Q10_504099"/>
      <w:bookmarkEnd w:id="9011"/>
      <w:r>
        <w:rPr>
          <w:rFonts w:hint="cs"/>
          <w:rtl/>
        </w:rPr>
        <w:t xml:space="preserve"> אחד </w:t>
      </w:r>
      <w:bookmarkStart w:id="9012" w:name="_ETM_Q10_504550"/>
      <w:bookmarkStart w:id="9013" w:name="_ETM_Q10_504789"/>
      <w:bookmarkEnd w:id="9012"/>
      <w:bookmarkEnd w:id="9013"/>
      <w:r>
        <w:rPr>
          <w:rFonts w:hint="cs"/>
          <w:rtl/>
        </w:rPr>
        <w:t xml:space="preserve">לשני. </w:t>
      </w:r>
      <w:bookmarkStart w:id="9014" w:name="_ETM_Q10_506860"/>
      <w:bookmarkEnd w:id="9014"/>
      <w:r>
        <w:rPr>
          <w:rFonts w:hint="cs"/>
          <w:rtl/>
        </w:rPr>
        <w:t xml:space="preserve">הנהגה </w:t>
      </w:r>
      <w:bookmarkStart w:id="9015" w:name="_ETM_Q10_507370"/>
      <w:bookmarkEnd w:id="9015"/>
      <w:r>
        <w:rPr>
          <w:rFonts w:hint="cs"/>
          <w:rtl/>
        </w:rPr>
        <w:t xml:space="preserve">שלא </w:t>
      </w:r>
      <w:bookmarkStart w:id="9016" w:name="_ETM_Q10_507670"/>
      <w:bookmarkEnd w:id="9016"/>
      <w:r>
        <w:rPr>
          <w:rFonts w:hint="cs"/>
          <w:rtl/>
        </w:rPr>
        <w:t xml:space="preserve">מבינה </w:t>
      </w:r>
      <w:bookmarkStart w:id="9017" w:name="_ETM_Q10_508210"/>
      <w:bookmarkEnd w:id="9017"/>
      <w:r>
        <w:rPr>
          <w:rFonts w:hint="cs"/>
          <w:rtl/>
        </w:rPr>
        <w:t xml:space="preserve">את </w:t>
      </w:r>
      <w:bookmarkStart w:id="9018" w:name="_ETM_Q10_508360"/>
      <w:bookmarkStart w:id="9019" w:name="_ETM_Q10_509460"/>
      <w:bookmarkStart w:id="9020" w:name="_ETM_Q10_509820"/>
      <w:bookmarkEnd w:id="9018"/>
      <w:bookmarkEnd w:id="9019"/>
      <w:bookmarkEnd w:id="9020"/>
      <w:r>
        <w:rPr>
          <w:rFonts w:hint="cs"/>
          <w:rtl/>
        </w:rPr>
        <w:t xml:space="preserve">זה לא ראויה </w:t>
      </w:r>
      <w:bookmarkStart w:id="9021" w:name="_ETM_Q10_510330"/>
      <w:bookmarkEnd w:id="9021"/>
      <w:r>
        <w:rPr>
          <w:rFonts w:hint="cs"/>
          <w:rtl/>
        </w:rPr>
        <w:t>ל</w:t>
      </w:r>
      <w:bookmarkStart w:id="9022" w:name="_ETM_Q10_510599"/>
      <w:bookmarkEnd w:id="9022"/>
      <w:r>
        <w:rPr>
          <w:rFonts w:hint="cs"/>
          <w:rtl/>
        </w:rPr>
        <w:t xml:space="preserve">עם </w:t>
      </w:r>
      <w:bookmarkStart w:id="9023" w:name="_ETM_Q10_510750"/>
      <w:bookmarkEnd w:id="9023"/>
      <w:r>
        <w:rPr>
          <w:rFonts w:hint="cs"/>
          <w:rtl/>
        </w:rPr>
        <w:t xml:space="preserve">הזה, </w:t>
      </w:r>
      <w:bookmarkStart w:id="9024" w:name="_ETM_Q10_511880"/>
      <w:bookmarkEnd w:id="9024"/>
      <w:r>
        <w:rPr>
          <w:rFonts w:hint="cs"/>
          <w:rtl/>
        </w:rPr>
        <w:t xml:space="preserve">ואם </w:t>
      </w:r>
      <w:bookmarkStart w:id="9025" w:name="_ETM_Q10_512150"/>
      <w:bookmarkEnd w:id="9025"/>
      <w:r>
        <w:rPr>
          <w:rFonts w:hint="cs"/>
          <w:rtl/>
        </w:rPr>
        <w:t xml:space="preserve">אתם </w:t>
      </w:r>
      <w:bookmarkStart w:id="9026" w:name="_ETM_Q10_513320"/>
      <w:bookmarkEnd w:id="9026"/>
      <w:r>
        <w:rPr>
          <w:rFonts w:hint="cs"/>
          <w:rtl/>
        </w:rPr>
        <w:t xml:space="preserve">לא </w:t>
      </w:r>
      <w:bookmarkStart w:id="9027" w:name="_ETM_Q10_513620"/>
      <w:bookmarkEnd w:id="9027"/>
      <w:r>
        <w:rPr>
          <w:rFonts w:hint="cs"/>
          <w:rtl/>
        </w:rPr>
        <w:t xml:space="preserve">תעצרו </w:t>
      </w:r>
      <w:bookmarkStart w:id="9028" w:name="_ETM_Q10_514219"/>
      <w:bookmarkEnd w:id="9028"/>
      <w:r>
        <w:rPr>
          <w:rFonts w:hint="cs"/>
          <w:rtl/>
        </w:rPr>
        <w:t xml:space="preserve">את </w:t>
      </w:r>
      <w:bookmarkStart w:id="9029" w:name="_ETM_Q10_514279"/>
      <w:bookmarkEnd w:id="9029"/>
      <w:r>
        <w:rPr>
          <w:rFonts w:hint="cs"/>
          <w:rtl/>
        </w:rPr>
        <w:t xml:space="preserve">זה </w:t>
      </w:r>
      <w:bookmarkStart w:id="9030" w:name="_ETM_Q10_514399"/>
      <w:bookmarkStart w:id="9031" w:name="_ETM_Q10_514460"/>
      <w:bookmarkEnd w:id="9030"/>
      <w:bookmarkEnd w:id="9031"/>
      <w:r>
        <w:rPr>
          <w:rFonts w:hint="cs"/>
          <w:rtl/>
        </w:rPr>
        <w:t xml:space="preserve">או תגיעו </w:t>
      </w:r>
      <w:bookmarkStart w:id="9032" w:name="_ETM_Q10_514850"/>
      <w:bookmarkEnd w:id="9032"/>
      <w:r>
        <w:rPr>
          <w:rFonts w:hint="cs"/>
          <w:rtl/>
        </w:rPr>
        <w:t xml:space="preserve">להסכמה </w:t>
      </w:r>
      <w:bookmarkStart w:id="9033" w:name="_ETM_Q10_515359"/>
      <w:bookmarkEnd w:id="9033"/>
      <w:r>
        <w:rPr>
          <w:rFonts w:hint="cs"/>
          <w:rtl/>
        </w:rPr>
        <w:t>מכבדת</w:t>
      </w:r>
      <w:bookmarkStart w:id="9034" w:name="_ETM_Q10_512956"/>
      <w:bookmarkEnd w:id="9034"/>
      <w:r>
        <w:rPr>
          <w:rFonts w:hint="cs"/>
          <w:rtl/>
        </w:rPr>
        <w:t>,</w:t>
      </w:r>
      <w:bookmarkStart w:id="9035" w:name="_ETM_Q10_513856"/>
      <w:bookmarkStart w:id="9036" w:name="_ETM_Q10_535856"/>
      <w:bookmarkEnd w:id="9035"/>
      <w:bookmarkEnd w:id="9036"/>
      <w:r>
        <w:rPr>
          <w:rFonts w:hint="cs"/>
          <w:rtl/>
        </w:rPr>
        <w:t xml:space="preserve"> </w:t>
      </w:r>
      <w:bookmarkStart w:id="9037" w:name="_ETM_Q10_516830"/>
      <w:bookmarkEnd w:id="9037"/>
      <w:r>
        <w:rPr>
          <w:rFonts w:hint="cs"/>
          <w:rtl/>
        </w:rPr>
        <w:t xml:space="preserve">אתם </w:t>
      </w:r>
      <w:bookmarkStart w:id="9038" w:name="_ETM_Q10_518069"/>
      <w:bookmarkEnd w:id="9038"/>
      <w:r>
        <w:rPr>
          <w:rFonts w:hint="cs"/>
          <w:rtl/>
        </w:rPr>
        <w:t xml:space="preserve">לא </w:t>
      </w:r>
      <w:bookmarkStart w:id="9039" w:name="_ETM_Q10_518370"/>
      <w:bookmarkEnd w:id="9039"/>
      <w:r>
        <w:rPr>
          <w:rFonts w:hint="cs"/>
          <w:rtl/>
        </w:rPr>
        <w:t xml:space="preserve">ראויים </w:t>
      </w:r>
      <w:bookmarkStart w:id="9040" w:name="_ETM_Q10_518789"/>
      <w:bookmarkEnd w:id="9040"/>
      <w:r>
        <w:rPr>
          <w:rFonts w:hint="cs"/>
          <w:rtl/>
        </w:rPr>
        <w:t>ל</w:t>
      </w:r>
      <w:bookmarkStart w:id="9041" w:name="_ETM_Q10_519089"/>
      <w:bookmarkEnd w:id="9041"/>
      <w:r>
        <w:rPr>
          <w:rFonts w:hint="cs"/>
          <w:rtl/>
        </w:rPr>
        <w:t>עם הזה.</w:t>
      </w:r>
      <w:bookmarkStart w:id="9042" w:name="_ETM_Q10_520586"/>
      <w:bookmarkEnd w:id="9042"/>
      <w:r>
        <w:rPr>
          <w:rFonts w:hint="cs"/>
          <w:rtl/>
        </w:rPr>
        <w:t xml:space="preserve"> </w:t>
      </w:r>
      <w:bookmarkStart w:id="9043" w:name="_ETM_Q10_520779"/>
      <w:bookmarkEnd w:id="9043"/>
      <w:r>
        <w:rPr>
          <w:rFonts w:hint="cs"/>
          <w:rtl/>
        </w:rPr>
        <w:t xml:space="preserve">"פתאום </w:t>
      </w:r>
      <w:bookmarkStart w:id="9044" w:name="_ETM_Q10_521229"/>
      <w:bookmarkEnd w:id="9044"/>
      <w:r>
        <w:rPr>
          <w:rFonts w:hint="cs"/>
          <w:rtl/>
        </w:rPr>
        <w:t xml:space="preserve">קם </w:t>
      </w:r>
      <w:bookmarkStart w:id="9045" w:name="_ETM_Q10_521499"/>
      <w:bookmarkEnd w:id="9045"/>
      <w:r>
        <w:rPr>
          <w:rFonts w:hint="cs"/>
          <w:rtl/>
        </w:rPr>
        <w:t xml:space="preserve">אדם </w:t>
      </w:r>
      <w:bookmarkStart w:id="9046" w:name="_ETM_Q10_521829"/>
      <w:bookmarkEnd w:id="9046"/>
      <w:r>
        <w:rPr>
          <w:rFonts w:hint="cs"/>
          <w:rtl/>
        </w:rPr>
        <w:t xml:space="preserve">בבוקר </w:t>
      </w:r>
      <w:bookmarkStart w:id="9047" w:name="_ETM_Q10_522399"/>
      <w:bookmarkEnd w:id="9047"/>
      <w:r>
        <w:rPr>
          <w:rFonts w:hint="cs"/>
          <w:rtl/>
        </w:rPr>
        <w:t xml:space="preserve">/ ומרגיש </w:t>
      </w:r>
      <w:bookmarkStart w:id="9048" w:name="_ETM_Q10_523059"/>
      <w:bookmarkEnd w:id="9048"/>
      <w:r>
        <w:rPr>
          <w:rFonts w:hint="cs"/>
          <w:rtl/>
        </w:rPr>
        <w:t xml:space="preserve">כי </w:t>
      </w:r>
      <w:bookmarkStart w:id="9049" w:name="_ETM_Q10_523210"/>
      <w:bookmarkEnd w:id="9049"/>
      <w:r>
        <w:rPr>
          <w:rFonts w:hint="cs"/>
          <w:rtl/>
        </w:rPr>
        <w:t xml:space="preserve">הוא </w:t>
      </w:r>
      <w:bookmarkStart w:id="9050" w:name="_ETM_Q10_523389"/>
      <w:bookmarkEnd w:id="9050"/>
      <w:r>
        <w:rPr>
          <w:rFonts w:hint="cs"/>
          <w:rtl/>
        </w:rPr>
        <w:t xml:space="preserve">עם </w:t>
      </w:r>
      <w:bookmarkStart w:id="9051" w:name="_ETM_Q10_524260"/>
      <w:bookmarkEnd w:id="9051"/>
      <w:r>
        <w:rPr>
          <w:rFonts w:hint="cs"/>
          <w:rtl/>
        </w:rPr>
        <w:t>ו</w:t>
      </w:r>
      <w:bookmarkStart w:id="9052" w:name="_ETM_Q10_524379"/>
      <w:bookmarkEnd w:id="9052"/>
      <w:r>
        <w:rPr>
          <w:rFonts w:hint="cs"/>
          <w:rtl/>
        </w:rPr>
        <w:t xml:space="preserve">מתחיל </w:t>
      </w:r>
      <w:bookmarkStart w:id="9053" w:name="_ETM_Q10_525300"/>
      <w:bookmarkEnd w:id="9053"/>
      <w:r>
        <w:rPr>
          <w:rFonts w:hint="cs"/>
          <w:rtl/>
        </w:rPr>
        <w:t xml:space="preserve">ללכת", </w:t>
      </w:r>
      <w:bookmarkStart w:id="9054" w:name="_ETM_Q10_527360"/>
      <w:bookmarkEnd w:id="9054"/>
      <w:r>
        <w:rPr>
          <w:rFonts w:hint="cs"/>
          <w:rtl/>
        </w:rPr>
        <w:t xml:space="preserve">כולנו </w:t>
      </w:r>
      <w:bookmarkStart w:id="9055" w:name="_ETM_Q10_527989"/>
      <w:bookmarkEnd w:id="9055"/>
      <w:r>
        <w:rPr>
          <w:rFonts w:hint="cs"/>
          <w:rtl/>
        </w:rPr>
        <w:t xml:space="preserve">חזקים </w:t>
      </w:r>
      <w:bookmarkStart w:id="9056" w:name="_ETM_Q10_529039"/>
      <w:bookmarkEnd w:id="9056"/>
      <w:r>
        <w:rPr>
          <w:rFonts w:hint="cs"/>
          <w:rtl/>
        </w:rPr>
        <w:t xml:space="preserve">ואנחנו </w:t>
      </w:r>
      <w:bookmarkStart w:id="9057" w:name="_ETM_Q10_529519"/>
      <w:bookmarkEnd w:id="9057"/>
      <w:r>
        <w:rPr>
          <w:rFonts w:hint="cs"/>
          <w:rtl/>
        </w:rPr>
        <w:t xml:space="preserve">ביחד </w:t>
      </w:r>
      <w:bookmarkStart w:id="9058" w:name="_ETM_Q10_530749"/>
      <w:bookmarkEnd w:id="9058"/>
      <w:r>
        <w:rPr>
          <w:rFonts w:hint="cs"/>
          <w:rtl/>
        </w:rPr>
        <w:t xml:space="preserve">עם </w:t>
      </w:r>
      <w:bookmarkStart w:id="9059" w:name="_ETM_Q10_530929"/>
      <w:bookmarkEnd w:id="9059"/>
      <w:r>
        <w:rPr>
          <w:rFonts w:hint="cs"/>
          <w:rtl/>
        </w:rPr>
        <w:t xml:space="preserve">כל </w:t>
      </w:r>
      <w:bookmarkStart w:id="9060" w:name="_ETM_Q10_531199"/>
      <w:bookmarkEnd w:id="9060"/>
      <w:r>
        <w:rPr>
          <w:rFonts w:hint="cs"/>
          <w:rtl/>
        </w:rPr>
        <w:t>המפגינים</w:t>
      </w:r>
      <w:bookmarkStart w:id="9061" w:name="_ETM_Q10_532529"/>
      <w:bookmarkEnd w:id="9061"/>
      <w:r>
        <w:rPr>
          <w:rFonts w:hint="cs"/>
          <w:rtl/>
        </w:rPr>
        <w:t xml:space="preserve">. תודה </w:t>
      </w:r>
      <w:bookmarkStart w:id="9062" w:name="_ETM_Q10_532829"/>
      <w:bookmarkEnd w:id="9062"/>
      <w:r>
        <w:rPr>
          <w:rFonts w:hint="cs"/>
          <w:rtl/>
        </w:rPr>
        <w:t>רבה.</w:t>
      </w:r>
    </w:p>
    <w:p w:rsidR="000C5C1F" w:rsidRDefault="000C5C1F" w:rsidP="000C5C1F">
      <w:pPr>
        <w:rPr>
          <w:rtl/>
        </w:rPr>
      </w:pPr>
    </w:p>
    <w:p w:rsidR="000C5C1F" w:rsidRDefault="000C5C1F" w:rsidP="000C5C1F">
      <w:pPr>
        <w:pStyle w:val="af9"/>
        <w:keepNext/>
        <w:rPr>
          <w:rtl/>
        </w:rPr>
      </w:pPr>
      <w:bookmarkStart w:id="9063" w:name="ET_yor_6490_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9063"/>
    </w:p>
    <w:p w:rsidR="000C5C1F" w:rsidRDefault="000C5C1F" w:rsidP="00337201">
      <w:pPr>
        <w:rPr>
          <w:rtl/>
        </w:rPr>
      </w:pPr>
    </w:p>
    <w:p w:rsidR="000C5C1F" w:rsidRDefault="000C5C1F" w:rsidP="000C5C1F">
      <w:pPr>
        <w:rPr>
          <w:rtl/>
        </w:rPr>
      </w:pPr>
      <w:bookmarkStart w:id="9064" w:name="_ETM_Q10_536510"/>
      <w:bookmarkEnd w:id="9064"/>
      <w:r>
        <w:rPr>
          <w:rFonts w:hint="cs"/>
          <w:rtl/>
        </w:rPr>
        <w:t xml:space="preserve">תודה </w:t>
      </w:r>
      <w:bookmarkStart w:id="9065" w:name="_ETM_Q10_536809"/>
      <w:bookmarkEnd w:id="9065"/>
      <w:r>
        <w:rPr>
          <w:rFonts w:hint="cs"/>
          <w:rtl/>
        </w:rPr>
        <w:t xml:space="preserve">רבה. </w:t>
      </w:r>
      <w:bookmarkStart w:id="9066" w:name="_ETM_Q10_537289"/>
      <w:bookmarkEnd w:id="9066"/>
      <w:r>
        <w:rPr>
          <w:rFonts w:hint="cs"/>
          <w:rtl/>
        </w:rPr>
        <w:t xml:space="preserve">חברת </w:t>
      </w:r>
      <w:bookmarkStart w:id="9067" w:name="_ETM_Q10_537620"/>
      <w:bookmarkEnd w:id="9067"/>
      <w:r>
        <w:rPr>
          <w:rFonts w:hint="cs"/>
          <w:rtl/>
        </w:rPr>
        <w:t xml:space="preserve">הכנסת </w:t>
      </w:r>
      <w:bookmarkStart w:id="9068" w:name="_ETM_Q10_537859"/>
      <w:bookmarkEnd w:id="9068"/>
      <w:r>
        <w:rPr>
          <w:rFonts w:hint="cs"/>
          <w:rtl/>
        </w:rPr>
        <w:t xml:space="preserve">יוליה </w:t>
      </w:r>
      <w:bookmarkStart w:id="9069" w:name="_ETM_Q10_538190"/>
      <w:bookmarkEnd w:id="9069"/>
      <w:r>
        <w:rPr>
          <w:rFonts w:hint="cs"/>
          <w:rtl/>
        </w:rPr>
        <w:t>מלינובסקי</w:t>
      </w:r>
      <w:bookmarkStart w:id="9070" w:name="_ETM_Q10_539540"/>
      <w:bookmarkEnd w:id="9070"/>
      <w:r>
        <w:rPr>
          <w:rFonts w:hint="cs"/>
          <w:rtl/>
        </w:rPr>
        <w:t>, בבקשה.</w:t>
      </w:r>
    </w:p>
    <w:p w:rsidR="000C5C1F" w:rsidRDefault="000C5C1F" w:rsidP="000C5C1F">
      <w:pPr>
        <w:rPr>
          <w:rtl/>
        </w:rPr>
      </w:pPr>
    </w:p>
    <w:p w:rsidR="000C5C1F" w:rsidRDefault="000C5C1F" w:rsidP="000C5C1F">
      <w:pPr>
        <w:pStyle w:val="a5"/>
        <w:keepNext/>
        <w:rPr>
          <w:rtl/>
        </w:rPr>
      </w:pPr>
      <w:bookmarkStart w:id="9071" w:name="ET_speaker_5552_4"/>
      <w:r>
        <w:rPr>
          <w:rStyle w:val="TagStyle"/>
          <w:rFonts w:hint="cs"/>
          <w:rtl/>
        </w:rPr>
        <w:t xml:space="preserve"> &lt;&lt; דובר &gt;&gt; </w:t>
      </w:r>
      <w:bookmarkStart w:id="9072" w:name="_Toc141040458"/>
      <w:bookmarkStart w:id="9073" w:name="_Toc141196867"/>
      <w:bookmarkStart w:id="9074" w:name="_Toc141197131"/>
      <w:r>
        <w:rPr>
          <w:rFonts w:hint="cs"/>
          <w:rtl/>
        </w:rPr>
        <w:t>יוליה מלינובסקי (ישראל ביתנו):</w:t>
      </w:r>
      <w:bookmarkEnd w:id="9072"/>
      <w:bookmarkEnd w:id="9073"/>
      <w:bookmarkEnd w:id="9074"/>
      <w:r>
        <w:rPr>
          <w:rStyle w:val="TagStyle"/>
          <w:rFonts w:hint="cs"/>
          <w:rtl/>
        </w:rPr>
        <w:t xml:space="preserve"> &lt;&lt; דובר &gt;&gt;</w:t>
      </w:r>
      <w:r>
        <w:rPr>
          <w:rFonts w:hint="cs"/>
          <w:rtl/>
        </w:rPr>
        <w:t xml:space="preserve">   </w:t>
      </w:r>
      <w:bookmarkEnd w:id="9071"/>
    </w:p>
    <w:p w:rsidR="000C5C1F" w:rsidRDefault="000C5C1F" w:rsidP="00337201">
      <w:pPr>
        <w:rPr>
          <w:rtl/>
        </w:rPr>
      </w:pPr>
    </w:p>
    <w:p w:rsidR="000C5C1F" w:rsidRDefault="000C5C1F" w:rsidP="000C5C1F">
      <w:pPr>
        <w:rPr>
          <w:rtl/>
        </w:rPr>
      </w:pPr>
      <w:bookmarkStart w:id="9075" w:name="_ETM_Q10_571910"/>
      <w:bookmarkEnd w:id="9075"/>
      <w:r>
        <w:rPr>
          <w:rFonts w:hint="cs"/>
          <w:rtl/>
        </w:rPr>
        <w:t xml:space="preserve">תודה </w:t>
      </w:r>
      <w:bookmarkStart w:id="9076" w:name="_ETM_Q10_572330"/>
      <w:bookmarkEnd w:id="9076"/>
      <w:r>
        <w:rPr>
          <w:rFonts w:hint="cs"/>
          <w:rtl/>
        </w:rPr>
        <w:t xml:space="preserve">רבה. </w:t>
      </w:r>
      <w:bookmarkStart w:id="9077" w:name="_ETM_Q10_572600"/>
      <w:bookmarkEnd w:id="9077"/>
      <w:r>
        <w:rPr>
          <w:rFonts w:hint="cs"/>
          <w:rtl/>
        </w:rPr>
        <w:t xml:space="preserve">אדוני </w:t>
      </w:r>
      <w:bookmarkStart w:id="9078" w:name="_ETM_Q10_572930"/>
      <w:bookmarkEnd w:id="9078"/>
      <w:r>
        <w:rPr>
          <w:rFonts w:hint="cs"/>
          <w:rtl/>
        </w:rPr>
        <w:t xml:space="preserve">היושב-ראש, </w:t>
      </w:r>
      <w:bookmarkStart w:id="9079" w:name="_ETM_Q10_574409"/>
      <w:bookmarkEnd w:id="9079"/>
      <w:r>
        <w:rPr>
          <w:rFonts w:hint="cs"/>
          <w:rtl/>
        </w:rPr>
        <w:t xml:space="preserve">אדוני </w:t>
      </w:r>
      <w:bookmarkStart w:id="9080" w:name="_ETM_Q10_574799"/>
      <w:bookmarkEnd w:id="9080"/>
      <w:r>
        <w:rPr>
          <w:rFonts w:hint="cs"/>
          <w:rtl/>
        </w:rPr>
        <w:t xml:space="preserve">השר, </w:t>
      </w:r>
      <w:bookmarkStart w:id="9081" w:name="_ETM_Q10_576229"/>
      <w:bookmarkEnd w:id="9081"/>
      <w:r>
        <w:rPr>
          <w:rFonts w:hint="cs"/>
          <w:rtl/>
        </w:rPr>
        <w:t xml:space="preserve">חבריי </w:t>
      </w:r>
      <w:bookmarkStart w:id="9082" w:name="_ETM_Q10_576709"/>
      <w:bookmarkEnd w:id="9082"/>
      <w:r>
        <w:rPr>
          <w:rFonts w:hint="cs"/>
          <w:rtl/>
        </w:rPr>
        <w:t xml:space="preserve">חברי </w:t>
      </w:r>
      <w:bookmarkStart w:id="9083" w:name="_ETM_Q10_577130"/>
      <w:bookmarkEnd w:id="9083"/>
      <w:r>
        <w:rPr>
          <w:rFonts w:hint="cs"/>
          <w:rtl/>
        </w:rPr>
        <w:t xml:space="preserve">הכנסת, </w:t>
      </w:r>
      <w:bookmarkStart w:id="9084" w:name="_ETM_Q10_580650"/>
      <w:bookmarkEnd w:id="9084"/>
      <w:r>
        <w:rPr>
          <w:rFonts w:hint="cs"/>
          <w:rtl/>
        </w:rPr>
        <w:t xml:space="preserve">אני </w:t>
      </w:r>
      <w:bookmarkStart w:id="9085" w:name="_ETM_Q10_581070"/>
      <w:bookmarkEnd w:id="9085"/>
      <w:r>
        <w:rPr>
          <w:rFonts w:hint="cs"/>
          <w:rtl/>
        </w:rPr>
        <w:t xml:space="preserve">שומעת </w:t>
      </w:r>
      <w:bookmarkStart w:id="9086" w:name="_ETM_Q10_582479"/>
      <w:bookmarkEnd w:id="9086"/>
      <w:r>
        <w:rPr>
          <w:rFonts w:hint="cs"/>
          <w:rtl/>
        </w:rPr>
        <w:t xml:space="preserve">בימים </w:t>
      </w:r>
      <w:bookmarkStart w:id="9087" w:name="_ETM_Q10_582960"/>
      <w:bookmarkEnd w:id="9087"/>
      <w:r>
        <w:rPr>
          <w:rFonts w:hint="cs"/>
          <w:rtl/>
        </w:rPr>
        <w:t xml:space="preserve">האחרונים </w:t>
      </w:r>
      <w:bookmarkStart w:id="9088" w:name="_ETM_Q10_585010"/>
      <w:bookmarkEnd w:id="9088"/>
      <w:r>
        <w:rPr>
          <w:rFonts w:hint="cs"/>
          <w:rtl/>
        </w:rPr>
        <w:t xml:space="preserve">זעקות </w:t>
      </w:r>
      <w:bookmarkStart w:id="9089" w:name="_ETM_Q10_585880"/>
      <w:bookmarkEnd w:id="9089"/>
      <w:r>
        <w:rPr>
          <w:rFonts w:hint="cs"/>
          <w:rtl/>
        </w:rPr>
        <w:t xml:space="preserve">אוי אוי אוי </w:t>
      </w:r>
      <w:bookmarkStart w:id="9090" w:name="_ETM_Q10_587049"/>
      <w:bookmarkEnd w:id="9090"/>
      <w:r>
        <w:rPr>
          <w:rFonts w:hint="cs"/>
          <w:rtl/>
        </w:rPr>
        <w:t xml:space="preserve">מחברי </w:t>
      </w:r>
      <w:bookmarkStart w:id="9091" w:name="_ETM_Q10_587589"/>
      <w:bookmarkEnd w:id="9091"/>
      <w:r>
        <w:rPr>
          <w:rFonts w:hint="cs"/>
          <w:rtl/>
        </w:rPr>
        <w:t xml:space="preserve">הקואליציה </w:t>
      </w:r>
      <w:bookmarkStart w:id="9092" w:name="_ETM_Q10_589200"/>
      <w:bookmarkEnd w:id="9092"/>
      <w:r>
        <w:rPr>
          <w:rFonts w:hint="cs"/>
          <w:rtl/>
        </w:rPr>
        <w:t xml:space="preserve">על </w:t>
      </w:r>
      <w:bookmarkStart w:id="9093" w:name="_ETM_Q10_589380"/>
      <w:bookmarkEnd w:id="9093"/>
      <w:r>
        <w:rPr>
          <w:rFonts w:hint="cs"/>
          <w:rtl/>
        </w:rPr>
        <w:t>כביכול</w:t>
      </w:r>
      <w:bookmarkStart w:id="9094" w:name="_ETM_Q10_591210"/>
      <w:bookmarkStart w:id="9095" w:name="_ETM_Q10_591390"/>
      <w:bookmarkStart w:id="9096" w:name="_ETM_Q10_591750"/>
      <w:bookmarkEnd w:id="9094"/>
      <w:bookmarkEnd w:id="9095"/>
      <w:bookmarkEnd w:id="9096"/>
      <w:r>
        <w:rPr>
          <w:rFonts w:hint="cs"/>
          <w:rtl/>
        </w:rPr>
        <w:t xml:space="preserve"> </w:t>
      </w:r>
      <w:bookmarkStart w:id="9097" w:name="_ETM_Q10_592230"/>
      <w:bookmarkEnd w:id="9097"/>
      <w:r>
        <w:rPr>
          <w:rFonts w:hint="cs"/>
          <w:rtl/>
        </w:rPr>
        <w:t xml:space="preserve">הפיכה </w:t>
      </w:r>
      <w:bookmarkStart w:id="9098" w:name="_ETM_Q10_592710"/>
      <w:bookmarkEnd w:id="9098"/>
      <w:r>
        <w:rPr>
          <w:rFonts w:hint="cs"/>
          <w:rtl/>
        </w:rPr>
        <w:t xml:space="preserve">צבאית </w:t>
      </w:r>
      <w:bookmarkStart w:id="9099" w:name="_ETM_Q10_593190"/>
      <w:bookmarkEnd w:id="9099"/>
      <w:r>
        <w:rPr>
          <w:rFonts w:hint="cs"/>
          <w:rtl/>
        </w:rPr>
        <w:t xml:space="preserve">פה </w:t>
      </w:r>
      <w:bookmarkStart w:id="9100" w:name="_ETM_Q10_593370"/>
      <w:bookmarkEnd w:id="9100"/>
      <w:r>
        <w:rPr>
          <w:rFonts w:hint="cs"/>
          <w:rtl/>
        </w:rPr>
        <w:t xml:space="preserve">בארץ. </w:t>
      </w:r>
      <w:bookmarkStart w:id="9101" w:name="_ETM_Q10_596310"/>
      <w:bookmarkEnd w:id="9101"/>
      <w:r>
        <w:rPr>
          <w:rFonts w:hint="cs"/>
          <w:rtl/>
        </w:rPr>
        <w:t xml:space="preserve">אז </w:t>
      </w:r>
      <w:bookmarkStart w:id="9102" w:name="_ETM_Q10_596609"/>
      <w:bookmarkEnd w:id="9102"/>
      <w:r>
        <w:rPr>
          <w:rFonts w:hint="cs"/>
          <w:rtl/>
        </w:rPr>
        <w:t>ה</w:t>
      </w:r>
      <w:bookmarkStart w:id="9103" w:name="_ETM_Q10_597029"/>
      <w:bookmarkEnd w:id="9103"/>
      <w:r>
        <w:rPr>
          <w:rFonts w:hint="cs"/>
          <w:rtl/>
        </w:rPr>
        <w:t>אוי אוי אוי הזה</w:t>
      </w:r>
      <w:bookmarkStart w:id="9104" w:name="_ETM_Q10_597210"/>
      <w:bookmarkStart w:id="9105" w:name="_ETM_Q10_595476"/>
      <w:bookmarkStart w:id="9106" w:name="_ETM_Q10_597630"/>
      <w:bookmarkEnd w:id="9104"/>
      <w:bookmarkEnd w:id="9105"/>
      <w:bookmarkEnd w:id="9106"/>
      <w:r>
        <w:rPr>
          <w:rFonts w:hint="cs"/>
          <w:rtl/>
        </w:rPr>
        <w:t xml:space="preserve"> רחוק </w:t>
      </w:r>
      <w:bookmarkStart w:id="9107" w:name="_ETM_Q10_598079"/>
      <w:bookmarkEnd w:id="9107"/>
      <w:r>
        <w:rPr>
          <w:rFonts w:hint="cs"/>
          <w:rtl/>
        </w:rPr>
        <w:t xml:space="preserve">מהמציאות. </w:t>
      </w:r>
      <w:bookmarkStart w:id="9108" w:name="_ETM_Q10_599990"/>
      <w:bookmarkEnd w:id="9108"/>
      <w:r>
        <w:rPr>
          <w:rFonts w:hint="cs"/>
          <w:rtl/>
        </w:rPr>
        <w:t xml:space="preserve">הלכתי </w:t>
      </w:r>
      <w:bookmarkStart w:id="9109" w:name="_ETM_Q10_600439"/>
      <w:bookmarkEnd w:id="9109"/>
      <w:r>
        <w:rPr>
          <w:rFonts w:hint="cs"/>
          <w:rtl/>
        </w:rPr>
        <w:t xml:space="preserve">ובדקתי </w:t>
      </w:r>
      <w:bookmarkStart w:id="9110" w:name="_ETM_Q10_601690"/>
      <w:bookmarkEnd w:id="9110"/>
      <w:r>
        <w:rPr>
          <w:rFonts w:hint="cs"/>
          <w:rtl/>
        </w:rPr>
        <w:t xml:space="preserve">מה </w:t>
      </w:r>
      <w:bookmarkStart w:id="9111" w:name="_ETM_Q10_601990"/>
      <w:bookmarkEnd w:id="9111"/>
      <w:r>
        <w:rPr>
          <w:rFonts w:hint="cs"/>
          <w:rtl/>
        </w:rPr>
        <w:t xml:space="preserve">זו </w:t>
      </w:r>
      <w:bookmarkStart w:id="9112" w:name="_ETM_Q10_602560"/>
      <w:bookmarkEnd w:id="9112"/>
      <w:r>
        <w:rPr>
          <w:rFonts w:hint="cs"/>
          <w:rtl/>
        </w:rPr>
        <w:t xml:space="preserve">הפיכה </w:t>
      </w:r>
      <w:bookmarkStart w:id="9113" w:name="_ETM_Q10_603430"/>
      <w:bookmarkEnd w:id="9113"/>
      <w:r>
        <w:rPr>
          <w:rFonts w:hint="cs"/>
          <w:rtl/>
        </w:rPr>
        <w:t xml:space="preserve">צבאית </w:t>
      </w:r>
      <w:bookmarkStart w:id="9114" w:name="_ETM_Q10_604979"/>
      <w:bookmarkEnd w:id="9114"/>
      <w:r>
        <w:rPr>
          <w:rFonts w:hint="cs"/>
          <w:rtl/>
        </w:rPr>
        <w:t xml:space="preserve">כדי </w:t>
      </w:r>
      <w:bookmarkStart w:id="9115" w:name="_ETM_Q10_605250"/>
      <w:bookmarkEnd w:id="9115"/>
      <w:r>
        <w:rPr>
          <w:rFonts w:hint="cs"/>
          <w:rtl/>
        </w:rPr>
        <w:t xml:space="preserve">שאתם </w:t>
      </w:r>
      <w:bookmarkStart w:id="9116" w:name="_ETM_Q10_605909"/>
      <w:bookmarkStart w:id="9117" w:name="_ETM_Q10_606330"/>
      <w:bookmarkStart w:id="9118" w:name="_ETM_Q10_606509"/>
      <w:bookmarkEnd w:id="9116"/>
      <w:bookmarkEnd w:id="9117"/>
      <w:bookmarkEnd w:id="9118"/>
      <w:r>
        <w:rPr>
          <w:rFonts w:hint="cs"/>
          <w:rtl/>
        </w:rPr>
        <w:t xml:space="preserve">תיכנסו </w:t>
      </w:r>
      <w:bookmarkStart w:id="9119" w:name="_ETM_Q10_606720"/>
      <w:bookmarkEnd w:id="9119"/>
      <w:r>
        <w:rPr>
          <w:rFonts w:hint="cs"/>
          <w:rtl/>
        </w:rPr>
        <w:t xml:space="preserve">קצת לפרופורציות </w:t>
      </w:r>
      <w:bookmarkStart w:id="9120" w:name="_ETM_Q10_607589"/>
      <w:bookmarkEnd w:id="9120"/>
      <w:r>
        <w:rPr>
          <w:rFonts w:hint="cs"/>
          <w:rtl/>
        </w:rPr>
        <w:t xml:space="preserve">ותדעו </w:t>
      </w:r>
      <w:bookmarkStart w:id="9121" w:name="_ETM_Q10_608220"/>
      <w:bookmarkEnd w:id="9121"/>
      <w:r>
        <w:rPr>
          <w:rFonts w:hint="cs"/>
          <w:rtl/>
        </w:rPr>
        <w:t xml:space="preserve">על </w:t>
      </w:r>
      <w:bookmarkStart w:id="9122" w:name="_ETM_Q10_608310"/>
      <w:bookmarkEnd w:id="9122"/>
      <w:r>
        <w:rPr>
          <w:rFonts w:hint="cs"/>
          <w:rtl/>
        </w:rPr>
        <w:t xml:space="preserve">מה </w:t>
      </w:r>
      <w:bookmarkStart w:id="9123" w:name="_ETM_Q10_608520"/>
      <w:bookmarkEnd w:id="9123"/>
      <w:r>
        <w:rPr>
          <w:rFonts w:hint="cs"/>
          <w:rtl/>
        </w:rPr>
        <w:t xml:space="preserve">אתם </w:t>
      </w:r>
      <w:bookmarkStart w:id="9124" w:name="_ETM_Q10_608760"/>
      <w:bookmarkEnd w:id="9124"/>
      <w:r>
        <w:rPr>
          <w:rFonts w:hint="cs"/>
          <w:rtl/>
        </w:rPr>
        <w:t xml:space="preserve">מדברים. </w:t>
      </w:r>
      <w:bookmarkStart w:id="9125" w:name="_ETM_Q10_610489"/>
      <w:bookmarkStart w:id="9126" w:name="_ETM_Q10_610800"/>
      <w:bookmarkEnd w:id="9125"/>
      <w:bookmarkEnd w:id="9126"/>
      <w:r>
        <w:rPr>
          <w:rFonts w:hint="cs"/>
          <w:rtl/>
        </w:rPr>
        <w:t xml:space="preserve">הפיכה </w:t>
      </w:r>
      <w:bookmarkStart w:id="9127" w:name="_ETM_Q10_610950"/>
      <w:bookmarkEnd w:id="9127"/>
      <w:r>
        <w:rPr>
          <w:rFonts w:hint="cs"/>
          <w:rtl/>
        </w:rPr>
        <w:t xml:space="preserve">צבאית </w:t>
      </w:r>
      <w:bookmarkStart w:id="9128" w:name="_ETM_Q10_612250"/>
      <w:bookmarkEnd w:id="9128"/>
      <w:r>
        <w:rPr>
          <w:rFonts w:hint="cs"/>
          <w:rtl/>
        </w:rPr>
        <w:t xml:space="preserve">היא </w:t>
      </w:r>
      <w:bookmarkStart w:id="9129" w:name="_ETM_Q10_612459"/>
      <w:bookmarkStart w:id="9130" w:name="_ETM_Q10_612580"/>
      <w:bookmarkEnd w:id="9129"/>
      <w:bookmarkEnd w:id="9130"/>
      <w:r>
        <w:rPr>
          <w:rFonts w:hint="cs"/>
          <w:rtl/>
        </w:rPr>
        <w:t xml:space="preserve">הדחת </w:t>
      </w:r>
      <w:bookmarkStart w:id="9131" w:name="_ETM_Q10_612910"/>
      <w:bookmarkEnd w:id="9131"/>
      <w:r>
        <w:rPr>
          <w:rFonts w:hint="cs"/>
          <w:rtl/>
        </w:rPr>
        <w:t xml:space="preserve">שלטון </w:t>
      </w:r>
      <w:bookmarkStart w:id="9132" w:name="_ETM_Q10_613390"/>
      <w:bookmarkEnd w:id="9132"/>
      <w:r>
        <w:rPr>
          <w:rFonts w:hint="cs"/>
          <w:rtl/>
        </w:rPr>
        <w:t xml:space="preserve">באופן </w:t>
      </w:r>
      <w:bookmarkStart w:id="9133" w:name="_ETM_Q10_613810"/>
      <w:bookmarkEnd w:id="9133"/>
      <w:r>
        <w:rPr>
          <w:rFonts w:hint="cs"/>
          <w:rtl/>
        </w:rPr>
        <w:t>פתאומי</w:t>
      </w:r>
      <w:bookmarkStart w:id="9134" w:name="_ETM_Q10_627036"/>
      <w:bookmarkEnd w:id="9134"/>
      <w:r>
        <w:rPr>
          <w:rFonts w:hint="cs"/>
          <w:rtl/>
        </w:rPr>
        <w:t xml:space="preserve"> </w:t>
      </w:r>
      <w:bookmarkStart w:id="9135" w:name="_ETM_Q10_614410"/>
      <w:bookmarkEnd w:id="9135"/>
      <w:r>
        <w:rPr>
          <w:rFonts w:hint="cs"/>
          <w:rtl/>
        </w:rPr>
        <w:t xml:space="preserve">באמצעות </w:t>
      </w:r>
      <w:bookmarkStart w:id="9136" w:name="_ETM_Q10_615010"/>
      <w:bookmarkStart w:id="9137" w:name="_ETM_Q10_615370"/>
      <w:bookmarkEnd w:id="9136"/>
      <w:bookmarkEnd w:id="9137"/>
      <w:r>
        <w:rPr>
          <w:rFonts w:hint="cs"/>
          <w:rtl/>
        </w:rPr>
        <w:t>פעילות</w:t>
      </w:r>
      <w:bookmarkStart w:id="9138" w:name="_ETM_Q10_621096"/>
      <w:bookmarkEnd w:id="9138"/>
      <w:r>
        <w:rPr>
          <w:rFonts w:hint="cs"/>
          <w:rtl/>
        </w:rPr>
        <w:t xml:space="preserve"> </w:t>
      </w:r>
      <w:bookmarkStart w:id="9139" w:name="_ETM_Q10_615700"/>
      <w:bookmarkStart w:id="9140" w:name="_ETM_Q10_616270"/>
      <w:bookmarkEnd w:id="9139"/>
      <w:bookmarkEnd w:id="9140"/>
      <w:r>
        <w:rPr>
          <w:rFonts w:hint="cs"/>
          <w:rtl/>
        </w:rPr>
        <w:t xml:space="preserve">כוח </w:t>
      </w:r>
      <w:bookmarkStart w:id="9141" w:name="_ETM_Q10_616599"/>
      <w:bookmarkStart w:id="9142" w:name="_ETM_Q10_617260"/>
      <w:bookmarkEnd w:id="9141"/>
      <w:bookmarkEnd w:id="9142"/>
      <w:r>
        <w:rPr>
          <w:rFonts w:hint="cs"/>
          <w:rtl/>
        </w:rPr>
        <w:t>צבאי</w:t>
      </w:r>
      <w:bookmarkStart w:id="9143" w:name="_ETM_Q10_614616"/>
      <w:bookmarkEnd w:id="9143"/>
      <w:r>
        <w:rPr>
          <w:rFonts w:hint="cs"/>
          <w:rtl/>
        </w:rPr>
        <w:t xml:space="preserve"> </w:t>
      </w:r>
      <w:bookmarkStart w:id="9144" w:name="_ETM_Q10_618569"/>
      <w:bookmarkEnd w:id="9144"/>
      <w:r>
        <w:rPr>
          <w:rFonts w:hint="cs"/>
          <w:rtl/>
        </w:rPr>
        <w:t xml:space="preserve">או </w:t>
      </w:r>
      <w:bookmarkStart w:id="9145" w:name="_ETM_Q10_619170"/>
      <w:bookmarkEnd w:id="9145"/>
      <w:r>
        <w:rPr>
          <w:rFonts w:hint="cs"/>
          <w:rtl/>
        </w:rPr>
        <w:t xml:space="preserve">תפיסת </w:t>
      </w:r>
      <w:bookmarkStart w:id="9146" w:name="_ETM_Q10_619709"/>
      <w:bookmarkEnd w:id="9146"/>
      <w:r>
        <w:rPr>
          <w:rFonts w:hint="cs"/>
          <w:rtl/>
        </w:rPr>
        <w:t xml:space="preserve">שלטון </w:t>
      </w:r>
      <w:bookmarkStart w:id="9147" w:name="_ETM_Q10_620099"/>
      <w:bookmarkEnd w:id="9147"/>
      <w:r>
        <w:rPr>
          <w:rFonts w:hint="cs"/>
          <w:rtl/>
        </w:rPr>
        <w:t xml:space="preserve">במדינה </w:t>
      </w:r>
      <w:bookmarkStart w:id="9148" w:name="_ETM_Q10_620549"/>
      <w:bookmarkEnd w:id="9148"/>
      <w:r>
        <w:rPr>
          <w:rFonts w:hint="cs"/>
          <w:rtl/>
        </w:rPr>
        <w:t xml:space="preserve">על ידי הצבא </w:t>
      </w:r>
      <w:bookmarkStart w:id="9149" w:name="_ETM_Q10_620970"/>
      <w:bookmarkStart w:id="9150" w:name="_ETM_Q10_622160"/>
      <w:bookmarkEnd w:id="9149"/>
      <w:bookmarkEnd w:id="9150"/>
      <w:r>
        <w:rPr>
          <w:rFonts w:hint="cs"/>
          <w:rtl/>
        </w:rPr>
        <w:t xml:space="preserve">או </w:t>
      </w:r>
      <w:bookmarkStart w:id="9151" w:name="_ETM_Q10_622730"/>
      <w:bookmarkEnd w:id="9151"/>
      <w:r>
        <w:rPr>
          <w:rFonts w:hint="cs"/>
          <w:rtl/>
        </w:rPr>
        <w:t xml:space="preserve">הפיכה </w:t>
      </w:r>
      <w:bookmarkStart w:id="9152" w:name="_ETM_Q10_623270"/>
      <w:bookmarkEnd w:id="9152"/>
      <w:r>
        <w:rPr>
          <w:rFonts w:hint="cs"/>
          <w:rtl/>
        </w:rPr>
        <w:t>ש</w:t>
      </w:r>
      <w:bookmarkStart w:id="9153" w:name="_ETM_Q10_624310"/>
      <w:bookmarkEnd w:id="9153"/>
      <w:r>
        <w:rPr>
          <w:rFonts w:hint="cs"/>
          <w:rtl/>
        </w:rPr>
        <w:t xml:space="preserve">בה משתלט </w:t>
      </w:r>
      <w:bookmarkStart w:id="9154" w:name="_ETM_Q10_624879"/>
      <w:bookmarkEnd w:id="9154"/>
      <w:r>
        <w:rPr>
          <w:rFonts w:hint="cs"/>
          <w:rtl/>
        </w:rPr>
        <w:t xml:space="preserve">צבא </w:t>
      </w:r>
      <w:bookmarkStart w:id="9155" w:name="_ETM_Q10_625480"/>
      <w:bookmarkEnd w:id="9155"/>
      <w:r>
        <w:rPr>
          <w:rFonts w:hint="cs"/>
          <w:rtl/>
        </w:rPr>
        <w:t xml:space="preserve">על </w:t>
      </w:r>
      <w:bookmarkStart w:id="9156" w:name="_ETM_Q10_625599"/>
      <w:bookmarkEnd w:id="9156"/>
      <w:r>
        <w:rPr>
          <w:rFonts w:hint="cs"/>
          <w:rtl/>
        </w:rPr>
        <w:t>מ</w:t>
      </w:r>
      <w:bookmarkStart w:id="9157" w:name="_ETM_Q10_621906"/>
      <w:bookmarkEnd w:id="9157"/>
      <w:r>
        <w:rPr>
          <w:rFonts w:hint="cs"/>
          <w:rtl/>
        </w:rPr>
        <w:t xml:space="preserve">רכזי </w:t>
      </w:r>
      <w:bookmarkStart w:id="9158" w:name="_ETM_Q10_626139"/>
      <w:bookmarkEnd w:id="9158"/>
      <w:r>
        <w:rPr>
          <w:rFonts w:hint="cs"/>
          <w:rtl/>
        </w:rPr>
        <w:t xml:space="preserve">כוח </w:t>
      </w:r>
      <w:bookmarkStart w:id="9159" w:name="_ETM_Q10_626469"/>
      <w:bookmarkEnd w:id="9159"/>
      <w:r>
        <w:rPr>
          <w:rFonts w:hint="cs"/>
          <w:rtl/>
        </w:rPr>
        <w:t xml:space="preserve">מדיניים, </w:t>
      </w:r>
      <w:bookmarkStart w:id="9160" w:name="_ETM_Q10_627350"/>
      <w:bookmarkEnd w:id="9160"/>
      <w:r>
        <w:rPr>
          <w:rFonts w:hint="cs"/>
          <w:rtl/>
        </w:rPr>
        <w:t xml:space="preserve">לרוב </w:t>
      </w:r>
      <w:bookmarkStart w:id="9161" w:name="_ETM_Q10_627800"/>
      <w:bookmarkEnd w:id="9161"/>
      <w:r>
        <w:rPr>
          <w:rFonts w:hint="cs"/>
          <w:rtl/>
        </w:rPr>
        <w:t xml:space="preserve">תוך </w:t>
      </w:r>
      <w:bookmarkStart w:id="9162" w:name="_ETM_Q10_628070"/>
      <w:bookmarkEnd w:id="9162"/>
      <w:r>
        <w:rPr>
          <w:rFonts w:hint="cs"/>
          <w:rtl/>
        </w:rPr>
        <w:t xml:space="preserve">מינוי </w:t>
      </w:r>
      <w:bookmarkStart w:id="9163" w:name="_ETM_Q10_628910"/>
      <w:bookmarkEnd w:id="9163"/>
      <w:r>
        <w:rPr>
          <w:rFonts w:hint="cs"/>
          <w:rtl/>
        </w:rPr>
        <w:t xml:space="preserve">חלק </w:t>
      </w:r>
      <w:bookmarkStart w:id="9164" w:name="_ETM_Q10_629270"/>
      <w:bookmarkEnd w:id="9164"/>
      <w:r>
        <w:rPr>
          <w:rFonts w:hint="cs"/>
          <w:rtl/>
        </w:rPr>
        <w:t xml:space="preserve">מראשיו </w:t>
      </w:r>
      <w:bookmarkStart w:id="9165" w:name="_ETM_Q10_629780"/>
      <w:bookmarkEnd w:id="9165"/>
      <w:r>
        <w:rPr>
          <w:rFonts w:hint="cs"/>
          <w:rtl/>
        </w:rPr>
        <w:t xml:space="preserve">לתפקידי </w:t>
      </w:r>
      <w:bookmarkStart w:id="9166" w:name="_ETM_Q10_630380"/>
      <w:bookmarkEnd w:id="9166"/>
      <w:r>
        <w:rPr>
          <w:rFonts w:hint="cs"/>
          <w:rtl/>
        </w:rPr>
        <w:t xml:space="preserve">הנהגה </w:t>
      </w:r>
      <w:bookmarkStart w:id="9167" w:name="_ETM_Q10_630770"/>
      <w:bookmarkEnd w:id="9167"/>
      <w:r>
        <w:rPr>
          <w:rFonts w:hint="cs"/>
          <w:rtl/>
        </w:rPr>
        <w:t xml:space="preserve">בכירה. </w:t>
      </w:r>
      <w:bookmarkStart w:id="9168" w:name="_ETM_Q10_632019"/>
      <w:bookmarkEnd w:id="9168"/>
      <w:r>
        <w:rPr>
          <w:rFonts w:hint="cs"/>
          <w:rtl/>
        </w:rPr>
        <w:t xml:space="preserve">שום </w:t>
      </w:r>
      <w:bookmarkStart w:id="9169" w:name="_ETM_Q10_632469"/>
      <w:bookmarkEnd w:id="9169"/>
      <w:r>
        <w:rPr>
          <w:rFonts w:hint="cs"/>
          <w:rtl/>
        </w:rPr>
        <w:t xml:space="preserve">דבר </w:t>
      </w:r>
      <w:bookmarkStart w:id="9170" w:name="_ETM_Q10_632920"/>
      <w:bookmarkEnd w:id="9170"/>
      <w:r>
        <w:rPr>
          <w:rFonts w:hint="cs"/>
          <w:rtl/>
        </w:rPr>
        <w:t xml:space="preserve">מזה </w:t>
      </w:r>
      <w:bookmarkStart w:id="9171" w:name="_ETM_Q10_634010"/>
      <w:bookmarkEnd w:id="9171"/>
      <w:r>
        <w:rPr>
          <w:rFonts w:hint="cs"/>
          <w:rtl/>
        </w:rPr>
        <w:t xml:space="preserve">לא </w:t>
      </w:r>
      <w:bookmarkStart w:id="9172" w:name="_ETM_Q10_634310"/>
      <w:bookmarkEnd w:id="9172"/>
      <w:r>
        <w:rPr>
          <w:rFonts w:hint="cs"/>
          <w:rtl/>
        </w:rPr>
        <w:t xml:space="preserve">קורה </w:t>
      </w:r>
      <w:bookmarkStart w:id="9173" w:name="_ETM_Q10_634670"/>
      <w:bookmarkEnd w:id="9173"/>
      <w:r>
        <w:rPr>
          <w:rFonts w:hint="cs"/>
          <w:rtl/>
        </w:rPr>
        <w:t xml:space="preserve">אצלנו, </w:t>
      </w:r>
      <w:bookmarkStart w:id="9174" w:name="_ETM_Q10_635890"/>
      <w:bookmarkEnd w:id="9174"/>
      <w:r>
        <w:rPr>
          <w:rFonts w:hint="cs"/>
          <w:rtl/>
        </w:rPr>
        <w:t xml:space="preserve">אז </w:t>
      </w:r>
      <w:bookmarkStart w:id="9175" w:name="_ETM_Q10_636209"/>
      <w:bookmarkEnd w:id="9175"/>
      <w:r>
        <w:rPr>
          <w:rFonts w:hint="cs"/>
          <w:rtl/>
        </w:rPr>
        <w:t xml:space="preserve">די </w:t>
      </w:r>
      <w:bookmarkStart w:id="9176" w:name="_ETM_Q10_636480"/>
      <w:bookmarkEnd w:id="9176"/>
      <w:r>
        <w:rPr>
          <w:rFonts w:hint="cs"/>
          <w:rtl/>
        </w:rPr>
        <w:t xml:space="preserve">עם ההתבכיינות </w:t>
      </w:r>
      <w:bookmarkStart w:id="9177" w:name="_ETM_Q10_637409"/>
      <w:bookmarkEnd w:id="9177"/>
      <w:r>
        <w:rPr>
          <w:rFonts w:hint="cs"/>
          <w:rtl/>
        </w:rPr>
        <w:t xml:space="preserve">הזאת, </w:t>
      </w:r>
      <w:bookmarkStart w:id="9178" w:name="_ETM_Q10_638630"/>
      <w:bookmarkEnd w:id="9178"/>
      <w:r>
        <w:rPr>
          <w:rFonts w:hint="cs"/>
          <w:rtl/>
        </w:rPr>
        <w:t>אתם</w:t>
      </w:r>
      <w:bookmarkStart w:id="9179" w:name="_ETM_Q10_637766"/>
      <w:bookmarkEnd w:id="9179"/>
      <w:r>
        <w:rPr>
          <w:rFonts w:hint="cs"/>
          <w:rtl/>
        </w:rPr>
        <w:t xml:space="preserve"> </w:t>
      </w:r>
      <w:bookmarkStart w:id="9180" w:name="_ETM_Q10_638910"/>
      <w:bookmarkEnd w:id="9180"/>
      <w:r>
        <w:rPr>
          <w:rFonts w:hint="cs"/>
          <w:rtl/>
        </w:rPr>
        <w:t xml:space="preserve">הפכתם </w:t>
      </w:r>
      <w:bookmarkStart w:id="9181" w:name="_ETM_Q10_639720"/>
      <w:bookmarkEnd w:id="9181"/>
      <w:r>
        <w:rPr>
          <w:rFonts w:hint="cs"/>
          <w:rtl/>
        </w:rPr>
        <w:t xml:space="preserve">את </w:t>
      </w:r>
      <w:bookmarkStart w:id="9182" w:name="_ETM_Q10_639840"/>
      <w:bookmarkStart w:id="9183" w:name="_ETM_Q10_639989"/>
      <w:bookmarkStart w:id="9184" w:name="_ETM_Q10_640139"/>
      <w:bookmarkStart w:id="9185" w:name="_ETM_Q10_640439"/>
      <w:bookmarkEnd w:id="9182"/>
      <w:bookmarkEnd w:id="9183"/>
      <w:bookmarkEnd w:id="9184"/>
      <w:bookmarkEnd w:id="9185"/>
      <w:r>
        <w:rPr>
          <w:rFonts w:hint="cs"/>
          <w:rtl/>
        </w:rPr>
        <w:t>ההתבכיינות הזו ל</w:t>
      </w:r>
      <w:bookmarkStart w:id="9186" w:name="_ETM_Q10_640590"/>
      <w:bookmarkStart w:id="9187" w:name="_ETM_Q10_637616"/>
      <w:bookmarkEnd w:id="9186"/>
      <w:bookmarkEnd w:id="9187"/>
      <w:r>
        <w:rPr>
          <w:rFonts w:hint="cs"/>
          <w:rtl/>
        </w:rPr>
        <w:t xml:space="preserve">דרך </w:t>
      </w:r>
      <w:bookmarkStart w:id="9188" w:name="_ETM_Q10_641099"/>
      <w:bookmarkEnd w:id="9188"/>
      <w:r>
        <w:rPr>
          <w:rFonts w:hint="cs"/>
          <w:rtl/>
        </w:rPr>
        <w:t xml:space="preserve">החיים </w:t>
      </w:r>
      <w:bookmarkStart w:id="9189" w:name="_ETM_Q10_641849"/>
      <w:bookmarkEnd w:id="9189"/>
      <w:r>
        <w:rPr>
          <w:rFonts w:hint="cs"/>
          <w:rtl/>
        </w:rPr>
        <w:t>שלכם</w:t>
      </w:r>
      <w:bookmarkStart w:id="9190" w:name="_ETM_Q10_642935"/>
      <w:bookmarkEnd w:id="9190"/>
      <w:r>
        <w:rPr>
          <w:rFonts w:hint="cs"/>
          <w:rtl/>
        </w:rPr>
        <w:t xml:space="preserve">. </w:t>
      </w:r>
      <w:bookmarkStart w:id="9191" w:name="_ETM_Q10_645060"/>
      <w:bookmarkEnd w:id="9191"/>
    </w:p>
    <w:p w:rsidR="000C5C1F" w:rsidRDefault="000C5C1F" w:rsidP="000C5C1F">
      <w:pPr>
        <w:rPr>
          <w:rtl/>
        </w:rPr>
      </w:pPr>
    </w:p>
    <w:p w:rsidR="000C5C1F" w:rsidRDefault="000C5C1F" w:rsidP="000C5C1F">
      <w:pPr>
        <w:rPr>
          <w:rtl/>
        </w:rPr>
      </w:pPr>
      <w:r>
        <w:rPr>
          <w:rFonts w:hint="cs"/>
          <w:rtl/>
        </w:rPr>
        <w:t xml:space="preserve">זה </w:t>
      </w:r>
      <w:bookmarkStart w:id="9192" w:name="_ETM_Q10_645180"/>
      <w:bookmarkEnd w:id="9192"/>
      <w:r>
        <w:rPr>
          <w:rFonts w:hint="cs"/>
          <w:rtl/>
        </w:rPr>
        <w:t xml:space="preserve">לא </w:t>
      </w:r>
      <w:bookmarkStart w:id="9193" w:name="_ETM_Q10_645300"/>
      <w:bookmarkEnd w:id="9193"/>
      <w:r>
        <w:rPr>
          <w:rFonts w:hint="cs"/>
          <w:rtl/>
        </w:rPr>
        <w:t xml:space="preserve">מה </w:t>
      </w:r>
      <w:bookmarkStart w:id="9194" w:name="_ETM_Q10_645450"/>
      <w:bookmarkEnd w:id="9194"/>
      <w:r>
        <w:rPr>
          <w:rFonts w:hint="cs"/>
          <w:rtl/>
        </w:rPr>
        <w:t xml:space="preserve">שקרה </w:t>
      </w:r>
      <w:bookmarkStart w:id="9195" w:name="_ETM_Q10_646020"/>
      <w:bookmarkEnd w:id="9195"/>
      <w:r>
        <w:rPr>
          <w:rFonts w:hint="cs"/>
          <w:rtl/>
        </w:rPr>
        <w:t xml:space="preserve">בארגנטינה, </w:t>
      </w:r>
      <w:bookmarkStart w:id="9196" w:name="_ETM_Q10_646920"/>
      <w:bookmarkEnd w:id="9196"/>
      <w:r>
        <w:rPr>
          <w:rFonts w:hint="cs"/>
          <w:rtl/>
        </w:rPr>
        <w:t xml:space="preserve">וזה </w:t>
      </w:r>
      <w:bookmarkStart w:id="9197" w:name="_ETM_Q10_647160"/>
      <w:bookmarkEnd w:id="9197"/>
      <w:r>
        <w:rPr>
          <w:rFonts w:hint="cs"/>
          <w:rtl/>
        </w:rPr>
        <w:t xml:space="preserve">לא </w:t>
      </w:r>
      <w:bookmarkStart w:id="9198" w:name="_ETM_Q10_647280"/>
      <w:bookmarkEnd w:id="9198"/>
      <w:r>
        <w:rPr>
          <w:rFonts w:hint="cs"/>
          <w:rtl/>
        </w:rPr>
        <w:t xml:space="preserve">מה </w:t>
      </w:r>
      <w:bookmarkStart w:id="9199" w:name="_ETM_Q10_647459"/>
      <w:bookmarkEnd w:id="9199"/>
      <w:r>
        <w:rPr>
          <w:rFonts w:hint="cs"/>
          <w:rtl/>
        </w:rPr>
        <w:t xml:space="preserve">שקרה </w:t>
      </w:r>
      <w:bookmarkStart w:id="9200" w:name="_ETM_Q10_647850"/>
      <w:bookmarkEnd w:id="9200"/>
      <w:r>
        <w:rPr>
          <w:rFonts w:hint="cs"/>
          <w:rtl/>
        </w:rPr>
        <w:t xml:space="preserve">בצ'ילה, </w:t>
      </w:r>
      <w:bookmarkStart w:id="9201" w:name="_ETM_Q10_648810"/>
      <w:bookmarkEnd w:id="9201"/>
      <w:r>
        <w:rPr>
          <w:rFonts w:hint="cs"/>
          <w:rtl/>
        </w:rPr>
        <w:t xml:space="preserve">וזה </w:t>
      </w:r>
      <w:bookmarkStart w:id="9202" w:name="_ETM_Q10_649050"/>
      <w:bookmarkEnd w:id="9202"/>
      <w:r>
        <w:rPr>
          <w:rFonts w:hint="cs"/>
          <w:rtl/>
        </w:rPr>
        <w:t xml:space="preserve">לא </w:t>
      </w:r>
      <w:bookmarkStart w:id="9203" w:name="_ETM_Q10_649170"/>
      <w:bookmarkEnd w:id="9203"/>
      <w:r>
        <w:rPr>
          <w:rFonts w:hint="cs"/>
          <w:rtl/>
        </w:rPr>
        <w:t xml:space="preserve">מה </w:t>
      </w:r>
      <w:bookmarkStart w:id="9204" w:name="_ETM_Q10_649319"/>
      <w:bookmarkEnd w:id="9204"/>
      <w:r>
        <w:rPr>
          <w:rFonts w:hint="cs"/>
          <w:rtl/>
        </w:rPr>
        <w:t xml:space="preserve">שקרה </w:t>
      </w:r>
      <w:bookmarkStart w:id="9205" w:name="_ETM_Q10_649680"/>
      <w:bookmarkEnd w:id="9205"/>
      <w:r>
        <w:rPr>
          <w:rFonts w:hint="cs"/>
          <w:rtl/>
        </w:rPr>
        <w:t xml:space="preserve">בתימן </w:t>
      </w:r>
      <w:bookmarkStart w:id="9206" w:name="_ETM_Q10_650310"/>
      <w:bookmarkEnd w:id="9206"/>
      <w:r>
        <w:rPr>
          <w:rFonts w:hint="cs"/>
          <w:rtl/>
        </w:rPr>
        <w:t xml:space="preserve">ולא </w:t>
      </w:r>
      <w:bookmarkStart w:id="9207" w:name="_ETM_Q10_650520"/>
      <w:bookmarkEnd w:id="9207"/>
      <w:r>
        <w:rPr>
          <w:rFonts w:hint="cs"/>
          <w:rtl/>
        </w:rPr>
        <w:t xml:space="preserve">בסודאן. </w:t>
      </w:r>
      <w:bookmarkStart w:id="9208" w:name="_ETM_Q10_651849"/>
      <w:bookmarkEnd w:id="9208"/>
      <w:r>
        <w:rPr>
          <w:rFonts w:hint="cs"/>
          <w:rtl/>
        </w:rPr>
        <w:t xml:space="preserve">דווקא </w:t>
      </w:r>
      <w:bookmarkStart w:id="9209" w:name="_ETM_Q10_652480"/>
      <w:bookmarkEnd w:id="9209"/>
      <w:r>
        <w:rPr>
          <w:rFonts w:hint="cs"/>
          <w:rtl/>
        </w:rPr>
        <w:t xml:space="preserve">ההפך </w:t>
      </w:r>
      <w:bookmarkStart w:id="9210" w:name="_ETM_Q10_653020"/>
      <w:bookmarkEnd w:id="9210"/>
      <w:r>
        <w:rPr>
          <w:rFonts w:hint="cs"/>
          <w:rtl/>
        </w:rPr>
        <w:t xml:space="preserve">הוא </w:t>
      </w:r>
      <w:bookmarkStart w:id="9211" w:name="_ETM_Q10_653080"/>
      <w:bookmarkEnd w:id="9211"/>
      <w:r>
        <w:rPr>
          <w:rFonts w:hint="cs"/>
          <w:rtl/>
        </w:rPr>
        <w:t xml:space="preserve">הנכון. </w:t>
      </w:r>
      <w:bookmarkStart w:id="9212" w:name="_ETM_Q10_654370"/>
      <w:bookmarkEnd w:id="9212"/>
      <w:r>
        <w:rPr>
          <w:rFonts w:hint="cs"/>
          <w:rtl/>
        </w:rPr>
        <w:t xml:space="preserve">מה </w:t>
      </w:r>
      <w:bookmarkStart w:id="9213" w:name="_ETM_Q10_654640"/>
      <w:bookmarkEnd w:id="9213"/>
      <w:r>
        <w:rPr>
          <w:rFonts w:hint="cs"/>
          <w:rtl/>
        </w:rPr>
        <w:t xml:space="preserve">שקורה </w:t>
      </w:r>
      <w:bookmarkStart w:id="9214" w:name="_ETM_Q10_655120"/>
      <w:bookmarkEnd w:id="9214"/>
      <w:r>
        <w:rPr>
          <w:rFonts w:hint="cs"/>
          <w:rtl/>
        </w:rPr>
        <w:t xml:space="preserve">אצלנו </w:t>
      </w:r>
      <w:bookmarkStart w:id="9215" w:name="_ETM_Q10_656950"/>
      <w:bookmarkEnd w:id="9215"/>
      <w:r>
        <w:rPr>
          <w:rFonts w:hint="cs"/>
          <w:rtl/>
        </w:rPr>
        <w:t xml:space="preserve">זה </w:t>
      </w:r>
      <w:bookmarkStart w:id="9216" w:name="_ETM_Q10_657250"/>
      <w:bookmarkEnd w:id="9216"/>
      <w:r>
        <w:rPr>
          <w:rFonts w:hint="cs"/>
          <w:rtl/>
        </w:rPr>
        <w:t xml:space="preserve">שאנשי </w:t>
      </w:r>
      <w:bookmarkStart w:id="9217" w:name="_ETM_Q10_657910"/>
      <w:bookmarkEnd w:id="9217"/>
      <w:r>
        <w:rPr>
          <w:rFonts w:hint="cs"/>
          <w:rtl/>
        </w:rPr>
        <w:t>צבא</w:t>
      </w:r>
      <w:bookmarkStart w:id="9218" w:name="_ETM_Q10_662997"/>
      <w:bookmarkEnd w:id="9218"/>
      <w:r>
        <w:rPr>
          <w:rFonts w:hint="cs"/>
          <w:rtl/>
        </w:rPr>
        <w:t xml:space="preserve"> </w:t>
      </w:r>
      <w:bookmarkStart w:id="9219" w:name="_ETM_Q10_658300"/>
      <w:bookmarkEnd w:id="9219"/>
      <w:r>
        <w:rPr>
          <w:rFonts w:hint="cs"/>
          <w:rtl/>
        </w:rPr>
        <w:t xml:space="preserve">לשעבר, </w:t>
      </w:r>
      <w:bookmarkStart w:id="9220" w:name="_ETM_Q10_660340"/>
      <w:bookmarkEnd w:id="9220"/>
      <w:r>
        <w:rPr>
          <w:rFonts w:hint="cs"/>
          <w:rtl/>
        </w:rPr>
        <w:t xml:space="preserve">אנשים </w:t>
      </w:r>
      <w:bookmarkStart w:id="9221" w:name="_ETM_Q10_660880"/>
      <w:bookmarkEnd w:id="9221"/>
      <w:r>
        <w:rPr>
          <w:rFonts w:hint="cs"/>
          <w:rtl/>
        </w:rPr>
        <w:t>ש</w:t>
      </w:r>
      <w:bookmarkStart w:id="9222" w:name="_ETM_Q10_661049"/>
      <w:bookmarkEnd w:id="9222"/>
      <w:r>
        <w:rPr>
          <w:rFonts w:hint="cs"/>
          <w:rtl/>
        </w:rPr>
        <w:t xml:space="preserve">כבר </w:t>
      </w:r>
      <w:bookmarkStart w:id="9223" w:name="_ETM_Q10_661260"/>
      <w:bookmarkEnd w:id="9223"/>
      <w:r>
        <w:rPr>
          <w:rFonts w:hint="cs"/>
          <w:rtl/>
        </w:rPr>
        <w:t>עשו</w:t>
      </w:r>
      <w:bookmarkStart w:id="9224" w:name="_ETM_Q10_658225"/>
      <w:bookmarkEnd w:id="9224"/>
      <w:r>
        <w:rPr>
          <w:rFonts w:hint="cs"/>
          <w:rtl/>
        </w:rPr>
        <w:t xml:space="preserve"> </w:t>
      </w:r>
      <w:bookmarkStart w:id="9225" w:name="_ETM_Q10_661680"/>
      <w:bookmarkEnd w:id="9225"/>
      <w:r>
        <w:rPr>
          <w:rFonts w:hint="cs"/>
          <w:rtl/>
        </w:rPr>
        <w:t xml:space="preserve">את </w:t>
      </w:r>
      <w:bookmarkStart w:id="9226" w:name="_ETM_Q10_661799"/>
      <w:bookmarkEnd w:id="9226"/>
      <w:r>
        <w:rPr>
          <w:rFonts w:hint="cs"/>
          <w:rtl/>
        </w:rPr>
        <w:t xml:space="preserve">השירות, </w:t>
      </w:r>
      <w:bookmarkStart w:id="9227" w:name="_ETM_Q10_662720"/>
      <w:bookmarkEnd w:id="9227"/>
      <w:r>
        <w:rPr>
          <w:rFonts w:hint="cs"/>
          <w:rtl/>
        </w:rPr>
        <w:t xml:space="preserve">אנשים </w:t>
      </w:r>
      <w:bookmarkStart w:id="9228" w:name="_ETM_Q10_663260"/>
      <w:bookmarkEnd w:id="9228"/>
      <w:r>
        <w:rPr>
          <w:rFonts w:hint="cs"/>
          <w:rtl/>
        </w:rPr>
        <w:t xml:space="preserve">שכבר </w:t>
      </w:r>
      <w:bookmarkStart w:id="9229" w:name="_ETM_Q10_663650"/>
      <w:bookmarkEnd w:id="9229"/>
      <w:r>
        <w:rPr>
          <w:rFonts w:hint="cs"/>
          <w:rtl/>
        </w:rPr>
        <w:t xml:space="preserve">סיימו </w:t>
      </w:r>
      <w:bookmarkStart w:id="9230" w:name="_ETM_Q10_664160"/>
      <w:bookmarkEnd w:id="9230"/>
      <w:r>
        <w:rPr>
          <w:rFonts w:hint="cs"/>
          <w:rtl/>
        </w:rPr>
        <w:t xml:space="preserve">את </w:t>
      </w:r>
      <w:bookmarkStart w:id="9231" w:name="_ETM_Q10_664310"/>
      <w:bookmarkStart w:id="9232" w:name="_ETM_Q10_664580"/>
      <w:bookmarkStart w:id="9233" w:name="_ETM_Q10_664880"/>
      <w:bookmarkStart w:id="9234" w:name="_ETM_Q10_665720"/>
      <w:bookmarkStart w:id="9235" w:name="_ETM_Q10_666409"/>
      <w:bookmarkEnd w:id="9231"/>
      <w:bookmarkEnd w:id="9232"/>
      <w:bookmarkEnd w:id="9233"/>
      <w:bookmarkEnd w:id="9234"/>
      <w:bookmarkEnd w:id="9235"/>
      <w:r>
        <w:rPr>
          <w:rFonts w:hint="cs"/>
          <w:rtl/>
        </w:rPr>
        <w:t xml:space="preserve">שירות המילואים, שמתנדבים – </w:t>
      </w:r>
      <w:bookmarkStart w:id="9236" w:name="_ETM_Q10_605803"/>
      <w:bookmarkEnd w:id="9236"/>
      <w:r>
        <w:rPr>
          <w:rFonts w:hint="cs"/>
          <w:rtl/>
        </w:rPr>
        <w:t>המילה היא "מתנדבים</w:t>
      </w:r>
      <w:bookmarkStart w:id="9237" w:name="_ETM_Q10_667310"/>
      <w:bookmarkStart w:id="9238" w:name="_ETM_Q10_668380"/>
      <w:bookmarkStart w:id="9239" w:name="_ETM_Q10_669030"/>
      <w:bookmarkStart w:id="9240" w:name="_ETM_Q10_670200"/>
      <w:bookmarkEnd w:id="9237"/>
      <w:bookmarkEnd w:id="9238"/>
      <w:bookmarkEnd w:id="9239"/>
      <w:bookmarkEnd w:id="9240"/>
      <w:r>
        <w:rPr>
          <w:rFonts w:hint="cs"/>
          <w:rtl/>
        </w:rPr>
        <w:t>" – הם</w:t>
      </w:r>
      <w:bookmarkStart w:id="9241" w:name="_ETM_Q10_665764"/>
      <w:bookmarkEnd w:id="9241"/>
      <w:r>
        <w:rPr>
          <w:rFonts w:hint="cs"/>
          <w:rtl/>
        </w:rPr>
        <w:t xml:space="preserve"> </w:t>
      </w:r>
      <w:bookmarkStart w:id="9242" w:name="_ETM_Q10_670379"/>
      <w:bookmarkEnd w:id="9242"/>
      <w:r>
        <w:rPr>
          <w:rFonts w:hint="cs"/>
          <w:rtl/>
        </w:rPr>
        <w:t xml:space="preserve">אומרים: </w:t>
      </w:r>
      <w:bookmarkStart w:id="9243" w:name="_ETM_Q10_671189"/>
      <w:bookmarkEnd w:id="9243"/>
      <w:r>
        <w:rPr>
          <w:rFonts w:hint="cs"/>
          <w:rtl/>
        </w:rPr>
        <w:t xml:space="preserve">שלום, </w:t>
      </w:r>
      <w:bookmarkStart w:id="9244" w:name="_ETM_Q10_671700"/>
      <w:bookmarkEnd w:id="9244"/>
      <w:r>
        <w:rPr>
          <w:rFonts w:hint="cs"/>
          <w:rtl/>
        </w:rPr>
        <w:t xml:space="preserve">סליחה, </w:t>
      </w:r>
      <w:bookmarkStart w:id="9245" w:name="_ETM_Q10_672299"/>
      <w:bookmarkEnd w:id="9245"/>
      <w:r>
        <w:rPr>
          <w:rFonts w:hint="cs"/>
          <w:rtl/>
        </w:rPr>
        <w:t xml:space="preserve">לא </w:t>
      </w:r>
      <w:bookmarkStart w:id="9246" w:name="_ETM_Q10_672510"/>
      <w:bookmarkEnd w:id="9246"/>
      <w:r>
        <w:rPr>
          <w:rFonts w:hint="cs"/>
          <w:rtl/>
        </w:rPr>
        <w:t xml:space="preserve">מתאים </w:t>
      </w:r>
      <w:bookmarkStart w:id="9247" w:name="_ETM_Q10_672900"/>
      <w:bookmarkEnd w:id="9247"/>
      <w:r>
        <w:rPr>
          <w:rFonts w:hint="cs"/>
          <w:rtl/>
        </w:rPr>
        <w:t xml:space="preserve">לנו. </w:t>
      </w:r>
      <w:bookmarkStart w:id="9248" w:name="_ETM_Q10_673680"/>
      <w:bookmarkEnd w:id="9248"/>
      <w:r>
        <w:rPr>
          <w:rFonts w:hint="cs"/>
          <w:rtl/>
        </w:rPr>
        <w:t xml:space="preserve">האנשים </w:t>
      </w:r>
      <w:bookmarkStart w:id="9249" w:name="_ETM_Q10_674250"/>
      <w:bookmarkStart w:id="9250" w:name="_ETM_Q10_674300"/>
      <w:bookmarkStart w:id="9251" w:name="_ETM_Q10_674540"/>
      <w:bookmarkEnd w:id="9249"/>
      <w:bookmarkEnd w:id="9250"/>
      <w:bookmarkEnd w:id="9251"/>
      <w:r>
        <w:rPr>
          <w:rFonts w:hint="cs"/>
          <w:rtl/>
        </w:rPr>
        <w:t xml:space="preserve">האלו </w:t>
      </w:r>
      <w:bookmarkStart w:id="9252" w:name="_ETM_Q10_675110"/>
      <w:bookmarkStart w:id="9253" w:name="_ETM_Q10_675710"/>
      <w:bookmarkStart w:id="9254" w:name="_ETM_Q10_673374"/>
      <w:bookmarkEnd w:id="9252"/>
      <w:bookmarkEnd w:id="9253"/>
      <w:bookmarkEnd w:id="9254"/>
      <w:r>
        <w:rPr>
          <w:rFonts w:hint="cs"/>
          <w:rtl/>
        </w:rPr>
        <w:t xml:space="preserve">לא </w:t>
      </w:r>
      <w:bookmarkStart w:id="9255" w:name="_ETM_Q10_675950"/>
      <w:bookmarkEnd w:id="9255"/>
      <w:r>
        <w:rPr>
          <w:rFonts w:hint="cs"/>
          <w:rtl/>
        </w:rPr>
        <w:t xml:space="preserve">מרימים </w:t>
      </w:r>
      <w:bookmarkStart w:id="9256" w:name="_ETM_Q10_676490"/>
      <w:bookmarkEnd w:id="9256"/>
      <w:r>
        <w:rPr>
          <w:rFonts w:hint="cs"/>
          <w:rtl/>
        </w:rPr>
        <w:t xml:space="preserve">את </w:t>
      </w:r>
      <w:bookmarkStart w:id="9257" w:name="_ETM_Q10_676640"/>
      <w:bookmarkEnd w:id="9257"/>
      <w:r>
        <w:rPr>
          <w:rFonts w:hint="cs"/>
          <w:rtl/>
        </w:rPr>
        <w:t xml:space="preserve">הנשק, </w:t>
      </w:r>
      <w:bookmarkStart w:id="9258" w:name="_ETM_Q10_677600"/>
      <w:bookmarkEnd w:id="9258"/>
      <w:r>
        <w:rPr>
          <w:rFonts w:hint="cs"/>
          <w:rtl/>
        </w:rPr>
        <w:t xml:space="preserve">הם </w:t>
      </w:r>
      <w:bookmarkStart w:id="9259" w:name="_ETM_Q10_677780"/>
      <w:bookmarkEnd w:id="9259"/>
      <w:r>
        <w:rPr>
          <w:rFonts w:hint="cs"/>
          <w:rtl/>
        </w:rPr>
        <w:t xml:space="preserve">מורידים </w:t>
      </w:r>
      <w:bookmarkStart w:id="9260" w:name="_ETM_Q10_678350"/>
      <w:bookmarkEnd w:id="9260"/>
      <w:r>
        <w:rPr>
          <w:rFonts w:hint="cs"/>
          <w:rtl/>
        </w:rPr>
        <w:t xml:space="preserve">אותו. </w:t>
      </w:r>
      <w:bookmarkStart w:id="9261" w:name="_ETM_Q10_679220"/>
      <w:bookmarkStart w:id="9262" w:name="_ETM_Q10_679460"/>
      <w:bookmarkEnd w:id="9261"/>
      <w:bookmarkEnd w:id="9262"/>
      <w:r>
        <w:rPr>
          <w:rFonts w:hint="cs"/>
          <w:rtl/>
        </w:rPr>
        <w:t xml:space="preserve">אז לקרוא </w:t>
      </w:r>
      <w:bookmarkStart w:id="9263" w:name="_ETM_Q10_680600"/>
      <w:bookmarkEnd w:id="9263"/>
      <w:r>
        <w:rPr>
          <w:rFonts w:hint="cs"/>
          <w:rtl/>
        </w:rPr>
        <w:t xml:space="preserve">ולהתבכיין </w:t>
      </w:r>
      <w:bookmarkStart w:id="9264" w:name="_ETM_Q10_681560"/>
      <w:bookmarkEnd w:id="9264"/>
      <w:r>
        <w:rPr>
          <w:rFonts w:hint="cs"/>
          <w:rtl/>
        </w:rPr>
        <w:t xml:space="preserve">שזו </w:t>
      </w:r>
      <w:bookmarkStart w:id="9265" w:name="_ETM_Q10_681950"/>
      <w:bookmarkEnd w:id="9265"/>
      <w:r>
        <w:rPr>
          <w:rFonts w:hint="cs"/>
          <w:rtl/>
        </w:rPr>
        <w:t xml:space="preserve">הפיכה </w:t>
      </w:r>
      <w:bookmarkStart w:id="9266" w:name="_ETM_Q10_682520"/>
      <w:bookmarkEnd w:id="9266"/>
      <w:r>
        <w:rPr>
          <w:rFonts w:hint="cs"/>
          <w:rtl/>
        </w:rPr>
        <w:t xml:space="preserve">צבאית? </w:t>
      </w:r>
      <w:bookmarkStart w:id="9267" w:name="_ETM_Q10_684090"/>
      <w:bookmarkEnd w:id="9267"/>
      <w:r>
        <w:rPr>
          <w:rFonts w:hint="cs"/>
          <w:rtl/>
        </w:rPr>
        <w:t xml:space="preserve">תקראו </w:t>
      </w:r>
      <w:bookmarkStart w:id="9268" w:name="_ETM_Q10_684540"/>
      <w:bookmarkEnd w:id="9268"/>
      <w:r>
        <w:rPr>
          <w:rFonts w:hint="cs"/>
          <w:rtl/>
        </w:rPr>
        <w:t xml:space="preserve">קצת </w:t>
      </w:r>
      <w:bookmarkStart w:id="9269" w:name="_ETM_Q10_684780"/>
      <w:bookmarkEnd w:id="9269"/>
      <w:r>
        <w:rPr>
          <w:rFonts w:hint="cs"/>
          <w:rtl/>
        </w:rPr>
        <w:t xml:space="preserve">ספרות, </w:t>
      </w:r>
      <w:bookmarkStart w:id="9270" w:name="_ETM_Q10_685380"/>
      <w:bookmarkEnd w:id="9270"/>
      <w:r>
        <w:rPr>
          <w:rFonts w:hint="cs"/>
          <w:rtl/>
        </w:rPr>
        <w:t xml:space="preserve">לא </w:t>
      </w:r>
      <w:bookmarkStart w:id="9271" w:name="_ETM_Q10_685560"/>
      <w:bookmarkEnd w:id="9271"/>
      <w:r>
        <w:rPr>
          <w:rFonts w:hint="cs"/>
          <w:rtl/>
        </w:rPr>
        <w:t xml:space="preserve">יזיק, </w:t>
      </w:r>
      <w:bookmarkStart w:id="9272" w:name="_ETM_Q10_686630"/>
      <w:bookmarkStart w:id="9273" w:name="_ETM_Q10_687760"/>
      <w:bookmarkEnd w:id="9272"/>
      <w:bookmarkEnd w:id="9273"/>
      <w:r>
        <w:rPr>
          <w:rFonts w:hint="cs"/>
          <w:rtl/>
        </w:rPr>
        <w:t xml:space="preserve">הכול </w:t>
      </w:r>
      <w:bookmarkStart w:id="9274" w:name="_ETM_Q10_688090"/>
      <w:bookmarkEnd w:id="9274"/>
      <w:r>
        <w:rPr>
          <w:rFonts w:hint="cs"/>
          <w:rtl/>
        </w:rPr>
        <w:t xml:space="preserve">כבר </w:t>
      </w:r>
      <w:bookmarkStart w:id="9275" w:name="_ETM_Q10_688330"/>
      <w:bookmarkEnd w:id="9275"/>
      <w:r>
        <w:rPr>
          <w:rFonts w:hint="cs"/>
          <w:rtl/>
        </w:rPr>
        <w:t xml:space="preserve">כתוב. </w:t>
      </w:r>
      <w:bookmarkStart w:id="9276" w:name="_ETM_Q10_688840"/>
      <w:bookmarkEnd w:id="9276"/>
      <w:r>
        <w:rPr>
          <w:rFonts w:hint="cs"/>
          <w:rtl/>
        </w:rPr>
        <w:t xml:space="preserve">זו </w:t>
      </w:r>
      <w:bookmarkStart w:id="9277" w:name="_ETM_Q10_688990"/>
      <w:bookmarkEnd w:id="9277"/>
      <w:r>
        <w:rPr>
          <w:rFonts w:hint="cs"/>
          <w:rtl/>
        </w:rPr>
        <w:t xml:space="preserve">לא </w:t>
      </w:r>
      <w:bookmarkStart w:id="9278" w:name="_ETM_Q10_689110"/>
      <w:bookmarkEnd w:id="9278"/>
      <w:r>
        <w:rPr>
          <w:rFonts w:hint="cs"/>
          <w:rtl/>
        </w:rPr>
        <w:t xml:space="preserve">בושה </w:t>
      </w:r>
      <w:bookmarkStart w:id="9279" w:name="_ETM_Q10_689590"/>
      <w:bookmarkEnd w:id="9279"/>
      <w:r>
        <w:rPr>
          <w:rFonts w:hint="cs"/>
          <w:rtl/>
        </w:rPr>
        <w:t xml:space="preserve">לא </w:t>
      </w:r>
      <w:bookmarkStart w:id="9280" w:name="_ETM_Q10_689770"/>
      <w:bookmarkEnd w:id="9280"/>
      <w:r>
        <w:rPr>
          <w:rFonts w:hint="cs"/>
          <w:rtl/>
        </w:rPr>
        <w:t xml:space="preserve">לדעת, </w:t>
      </w:r>
      <w:bookmarkStart w:id="9281" w:name="_ETM_Q10_690400"/>
      <w:bookmarkEnd w:id="9281"/>
      <w:r>
        <w:rPr>
          <w:rFonts w:hint="cs"/>
          <w:rtl/>
        </w:rPr>
        <w:t xml:space="preserve">להגיד </w:t>
      </w:r>
      <w:bookmarkStart w:id="9282" w:name="_ETM_Q10_690819"/>
      <w:bookmarkEnd w:id="9282"/>
      <w:r>
        <w:rPr>
          <w:rFonts w:hint="cs"/>
          <w:rtl/>
        </w:rPr>
        <w:t xml:space="preserve">שלא </w:t>
      </w:r>
      <w:bookmarkStart w:id="9283" w:name="_ETM_Q10_690940"/>
      <w:bookmarkEnd w:id="9283"/>
      <w:r>
        <w:rPr>
          <w:rFonts w:hint="cs"/>
          <w:rtl/>
        </w:rPr>
        <w:t xml:space="preserve">יודעים </w:t>
      </w:r>
      <w:bookmarkStart w:id="9284" w:name="_ETM_Q10_691330"/>
      <w:bookmarkEnd w:id="9284"/>
      <w:r>
        <w:rPr>
          <w:rFonts w:hint="cs"/>
          <w:rtl/>
        </w:rPr>
        <w:t>ו</w:t>
      </w:r>
      <w:bookmarkStart w:id="9285" w:name="_ETM_Q10_688074"/>
      <w:bookmarkEnd w:id="9285"/>
      <w:r>
        <w:rPr>
          <w:rFonts w:hint="cs"/>
          <w:rtl/>
        </w:rPr>
        <w:t xml:space="preserve">ללכת </w:t>
      </w:r>
      <w:bookmarkStart w:id="9286" w:name="_ETM_Q10_691750"/>
      <w:bookmarkEnd w:id="9286"/>
      <w:r>
        <w:rPr>
          <w:rFonts w:hint="cs"/>
          <w:rtl/>
        </w:rPr>
        <w:t>וללמוד,</w:t>
      </w:r>
      <w:bookmarkStart w:id="9287" w:name="_ETM_Q10_712280"/>
      <w:bookmarkEnd w:id="9287"/>
      <w:r>
        <w:rPr>
          <w:rFonts w:hint="cs"/>
          <w:rtl/>
        </w:rPr>
        <w:t xml:space="preserve"> </w:t>
      </w:r>
      <w:bookmarkStart w:id="9288" w:name="_ETM_Q10_693480"/>
      <w:bookmarkEnd w:id="9288"/>
      <w:r>
        <w:rPr>
          <w:rFonts w:hint="cs"/>
          <w:rtl/>
        </w:rPr>
        <w:t xml:space="preserve">ולא </w:t>
      </w:r>
      <w:bookmarkStart w:id="9289" w:name="_ETM_Q10_693809"/>
      <w:bookmarkEnd w:id="9289"/>
      <w:r>
        <w:rPr>
          <w:rFonts w:hint="cs"/>
          <w:rtl/>
        </w:rPr>
        <w:t xml:space="preserve">אחר </w:t>
      </w:r>
      <w:bookmarkStart w:id="9290" w:name="_ETM_Q10_694140"/>
      <w:bookmarkEnd w:id="9290"/>
      <w:r>
        <w:rPr>
          <w:rFonts w:hint="cs"/>
          <w:rtl/>
        </w:rPr>
        <w:t xml:space="preserve">כך </w:t>
      </w:r>
      <w:bookmarkStart w:id="9291" w:name="_ETM_Q10_695059"/>
      <w:bookmarkEnd w:id="9291"/>
      <w:r>
        <w:rPr>
          <w:rFonts w:hint="cs"/>
          <w:rtl/>
        </w:rPr>
        <w:t xml:space="preserve">להתבכיין </w:t>
      </w:r>
      <w:bookmarkStart w:id="9292" w:name="_ETM_Q10_695809"/>
      <w:bookmarkEnd w:id="9292"/>
      <w:r>
        <w:rPr>
          <w:rFonts w:hint="cs"/>
          <w:rtl/>
        </w:rPr>
        <w:t xml:space="preserve">שלא </w:t>
      </w:r>
      <w:bookmarkStart w:id="9293" w:name="_ETM_Q10_696110"/>
      <w:bookmarkEnd w:id="9293"/>
      <w:r>
        <w:rPr>
          <w:rFonts w:hint="cs"/>
          <w:rtl/>
        </w:rPr>
        <w:t xml:space="preserve">נתנו </w:t>
      </w:r>
      <w:bookmarkStart w:id="9294" w:name="_ETM_Q10_696470"/>
      <w:bookmarkEnd w:id="9294"/>
      <w:r>
        <w:rPr>
          <w:rFonts w:hint="cs"/>
          <w:rtl/>
        </w:rPr>
        <w:t>לכם.</w:t>
      </w:r>
      <w:bookmarkStart w:id="9295" w:name="_ETM_Q10_708165"/>
      <w:bookmarkEnd w:id="9295"/>
      <w:r>
        <w:rPr>
          <w:rFonts w:hint="cs"/>
          <w:rtl/>
        </w:rPr>
        <w:t xml:space="preserve"> שכל, ללמוד</w:t>
      </w:r>
      <w:bookmarkStart w:id="9296" w:name="_ETM_Q10_696594"/>
      <w:bookmarkEnd w:id="9296"/>
      <w:r>
        <w:rPr>
          <w:rFonts w:hint="cs"/>
          <w:rtl/>
        </w:rPr>
        <w:t xml:space="preserve">, </w:t>
      </w:r>
      <w:bookmarkStart w:id="9297" w:name="_ETM_Q10_703080"/>
      <w:bookmarkStart w:id="9298" w:name="_ETM_Q10_698429"/>
      <w:bookmarkStart w:id="9299" w:name="_ETM_Q10_700980"/>
      <w:bookmarkEnd w:id="9297"/>
      <w:bookmarkEnd w:id="9298"/>
      <w:bookmarkEnd w:id="9299"/>
      <w:r>
        <w:rPr>
          <w:rFonts w:hint="cs"/>
          <w:rtl/>
        </w:rPr>
        <w:t xml:space="preserve">להתאמץ </w:t>
      </w:r>
      <w:bookmarkStart w:id="9300" w:name="_ETM_Q10_701879"/>
      <w:bookmarkEnd w:id="9300"/>
      <w:r>
        <w:rPr>
          <w:rFonts w:hint="cs"/>
          <w:rtl/>
        </w:rPr>
        <w:t xml:space="preserve">והכול </w:t>
      </w:r>
      <w:bookmarkStart w:id="9301" w:name="_ETM_Q10_702299"/>
      <w:bookmarkEnd w:id="9301"/>
      <w:r>
        <w:rPr>
          <w:rFonts w:hint="cs"/>
          <w:rtl/>
        </w:rPr>
        <w:t xml:space="preserve">בסדר, </w:t>
      </w:r>
      <w:bookmarkStart w:id="9302" w:name="_ETM_Q10_703319"/>
      <w:bookmarkEnd w:id="9302"/>
      <w:r>
        <w:rPr>
          <w:rFonts w:hint="cs"/>
          <w:rtl/>
        </w:rPr>
        <w:t xml:space="preserve">ככה </w:t>
      </w:r>
      <w:bookmarkStart w:id="9303" w:name="_ETM_Q10_703679"/>
      <w:bookmarkEnd w:id="9303"/>
      <w:r>
        <w:rPr>
          <w:rFonts w:hint="cs"/>
          <w:rtl/>
        </w:rPr>
        <w:t xml:space="preserve">זה </w:t>
      </w:r>
      <w:bookmarkStart w:id="9304" w:name="_ETM_Q10_703829"/>
      <w:bookmarkEnd w:id="9304"/>
      <w:r>
        <w:rPr>
          <w:rFonts w:hint="cs"/>
          <w:rtl/>
        </w:rPr>
        <w:t xml:space="preserve">עובד </w:t>
      </w:r>
      <w:bookmarkStart w:id="9305" w:name="_ETM_Q10_704099"/>
      <w:bookmarkEnd w:id="9305"/>
      <w:r>
        <w:rPr>
          <w:rFonts w:hint="cs"/>
          <w:rtl/>
        </w:rPr>
        <w:t>בח</w:t>
      </w:r>
      <w:bookmarkStart w:id="9306" w:name="_ETM_Q10_700644"/>
      <w:bookmarkEnd w:id="9306"/>
      <w:r>
        <w:rPr>
          <w:rFonts w:hint="cs"/>
          <w:rtl/>
        </w:rPr>
        <w:t xml:space="preserve">יים. </w:t>
      </w:r>
      <w:bookmarkStart w:id="9307" w:name="_ETM_Q10_706330"/>
      <w:bookmarkEnd w:id="9307"/>
      <w:r>
        <w:rPr>
          <w:rFonts w:hint="cs"/>
          <w:rtl/>
        </w:rPr>
        <w:t>זה ר</w:t>
      </w:r>
      <w:bookmarkStart w:id="9308" w:name="_ETM_Q10_706690"/>
      <w:bookmarkEnd w:id="9308"/>
      <w:r>
        <w:rPr>
          <w:rFonts w:hint="cs"/>
          <w:rtl/>
        </w:rPr>
        <w:t xml:space="preserve">חוק </w:t>
      </w:r>
      <w:bookmarkStart w:id="9309" w:name="_ETM_Q10_706990"/>
      <w:bookmarkEnd w:id="9309"/>
      <w:r>
        <w:rPr>
          <w:rFonts w:hint="cs"/>
          <w:rtl/>
        </w:rPr>
        <w:t xml:space="preserve">מהמציאות, </w:t>
      </w:r>
      <w:bookmarkStart w:id="9310" w:name="_ETM_Q10_707559"/>
      <w:bookmarkEnd w:id="9310"/>
      <w:r>
        <w:rPr>
          <w:rFonts w:hint="cs"/>
          <w:rtl/>
        </w:rPr>
        <w:t xml:space="preserve">ותפסיקו </w:t>
      </w:r>
      <w:bookmarkStart w:id="9311" w:name="_ETM_Q10_708160"/>
      <w:bookmarkEnd w:id="9311"/>
      <w:r>
        <w:rPr>
          <w:rFonts w:hint="cs"/>
          <w:rtl/>
        </w:rPr>
        <w:t xml:space="preserve">עם </w:t>
      </w:r>
      <w:bookmarkStart w:id="9312" w:name="_ETM_Q10_708280"/>
      <w:bookmarkEnd w:id="9312"/>
      <w:r>
        <w:rPr>
          <w:rFonts w:hint="cs"/>
          <w:rtl/>
        </w:rPr>
        <w:t xml:space="preserve">ההתבכיינות </w:t>
      </w:r>
      <w:bookmarkStart w:id="9313" w:name="_ETM_Q10_708940"/>
      <w:bookmarkEnd w:id="9313"/>
      <w:r>
        <w:rPr>
          <w:rFonts w:hint="cs"/>
          <w:rtl/>
        </w:rPr>
        <w:t>הזאת.</w:t>
      </w:r>
    </w:p>
    <w:p w:rsidR="000C5C1F" w:rsidRDefault="000C5C1F" w:rsidP="000C5C1F">
      <w:pPr>
        <w:rPr>
          <w:rtl/>
        </w:rPr>
      </w:pPr>
    </w:p>
    <w:p w:rsidR="000C5C1F" w:rsidRDefault="000C5C1F" w:rsidP="000C5C1F">
      <w:pPr>
        <w:rPr>
          <w:rtl/>
        </w:rPr>
      </w:pPr>
      <w:bookmarkStart w:id="9314" w:name="_ETM_Q10_710030"/>
      <w:bookmarkStart w:id="9315" w:name="_ETM_Q10_710420"/>
      <w:bookmarkEnd w:id="9314"/>
      <w:bookmarkEnd w:id="9315"/>
      <w:r>
        <w:rPr>
          <w:rFonts w:hint="cs"/>
          <w:rtl/>
        </w:rPr>
        <w:t xml:space="preserve">מה </w:t>
      </w:r>
      <w:bookmarkStart w:id="9316" w:name="_ETM_Q10_710600"/>
      <w:bookmarkEnd w:id="9316"/>
      <w:r>
        <w:rPr>
          <w:rFonts w:hint="cs"/>
          <w:rtl/>
        </w:rPr>
        <w:t xml:space="preserve">קורה </w:t>
      </w:r>
      <w:bookmarkStart w:id="9317" w:name="_ETM_Q10_710900"/>
      <w:bookmarkEnd w:id="9317"/>
      <w:r>
        <w:rPr>
          <w:rFonts w:hint="cs"/>
          <w:rtl/>
        </w:rPr>
        <w:t xml:space="preserve">פה עכשיו? </w:t>
      </w:r>
      <w:bookmarkStart w:id="9318" w:name="_ETM_Q10_711700"/>
      <w:bookmarkEnd w:id="9318"/>
      <w:r>
        <w:rPr>
          <w:rFonts w:hint="cs"/>
          <w:rtl/>
        </w:rPr>
        <w:t xml:space="preserve">כוחות </w:t>
      </w:r>
      <w:bookmarkStart w:id="9319" w:name="_ETM_Q10_712150"/>
      <w:bookmarkEnd w:id="9319"/>
      <w:r>
        <w:rPr>
          <w:rFonts w:hint="cs"/>
          <w:rtl/>
        </w:rPr>
        <w:t xml:space="preserve">הביטחון </w:t>
      </w:r>
      <w:bookmarkStart w:id="9320" w:name="_ETM_Q10_712929"/>
      <w:bookmarkEnd w:id="9320"/>
      <w:r>
        <w:rPr>
          <w:rFonts w:hint="cs"/>
          <w:rtl/>
        </w:rPr>
        <w:t xml:space="preserve">כפופים </w:t>
      </w:r>
      <w:bookmarkStart w:id="9321" w:name="_ETM_Q10_713530"/>
      <w:bookmarkEnd w:id="9321"/>
      <w:r>
        <w:rPr>
          <w:rFonts w:hint="cs"/>
          <w:rtl/>
        </w:rPr>
        <w:t xml:space="preserve">לממשלה, </w:t>
      </w:r>
      <w:bookmarkStart w:id="9322" w:name="_ETM_Q10_714719"/>
      <w:bookmarkEnd w:id="9322"/>
      <w:r>
        <w:rPr>
          <w:rFonts w:hint="cs"/>
          <w:rtl/>
        </w:rPr>
        <w:t>חד</w:t>
      </w:r>
      <w:bookmarkStart w:id="9323" w:name="_ETM_Q10_715199"/>
      <w:bookmarkEnd w:id="9323"/>
      <w:r>
        <w:rPr>
          <w:rFonts w:hint="cs"/>
          <w:rtl/>
        </w:rPr>
        <w:t xml:space="preserve">-משמעית, </w:t>
      </w:r>
      <w:bookmarkStart w:id="9324" w:name="_ETM_Q10_716440"/>
      <w:bookmarkEnd w:id="9324"/>
      <w:r>
        <w:rPr>
          <w:rFonts w:hint="cs"/>
          <w:rtl/>
        </w:rPr>
        <w:t xml:space="preserve">אין </w:t>
      </w:r>
      <w:bookmarkStart w:id="9325" w:name="_ETM_Q10_716650"/>
      <w:bookmarkStart w:id="9326" w:name="_ETM_Q10_717040"/>
      <w:bookmarkEnd w:id="9325"/>
      <w:bookmarkEnd w:id="9326"/>
      <w:r>
        <w:rPr>
          <w:rFonts w:hint="cs"/>
          <w:rtl/>
        </w:rPr>
        <w:t xml:space="preserve">על </w:t>
      </w:r>
      <w:bookmarkStart w:id="9327" w:name="_ETM_Q10_717130"/>
      <w:bookmarkEnd w:id="9327"/>
      <w:r>
        <w:rPr>
          <w:rFonts w:hint="cs"/>
          <w:rtl/>
        </w:rPr>
        <w:t xml:space="preserve">זה </w:t>
      </w:r>
      <w:bookmarkStart w:id="9328" w:name="_ETM_Q10_717459"/>
      <w:bookmarkEnd w:id="9328"/>
      <w:r>
        <w:rPr>
          <w:rFonts w:hint="cs"/>
          <w:rtl/>
        </w:rPr>
        <w:t xml:space="preserve">אפילו ויכוח </w:t>
      </w:r>
      <w:bookmarkStart w:id="9329" w:name="_ETM_Q10_718030"/>
      <w:bookmarkEnd w:id="9329"/>
      <w:r>
        <w:rPr>
          <w:rFonts w:hint="cs"/>
          <w:rtl/>
        </w:rPr>
        <w:t xml:space="preserve">וספק. </w:t>
      </w:r>
      <w:bookmarkStart w:id="9330" w:name="_ETM_Q10_719090"/>
      <w:bookmarkEnd w:id="9330"/>
      <w:r>
        <w:rPr>
          <w:rFonts w:hint="cs"/>
          <w:rtl/>
        </w:rPr>
        <w:t xml:space="preserve">אבל </w:t>
      </w:r>
      <w:bookmarkStart w:id="9331" w:name="_ETM_Q10_719420"/>
      <w:bookmarkEnd w:id="9331"/>
      <w:r>
        <w:rPr>
          <w:rFonts w:hint="cs"/>
          <w:rtl/>
        </w:rPr>
        <w:t xml:space="preserve">הממשלה? </w:t>
      </w:r>
      <w:bookmarkStart w:id="9332" w:name="_ETM_Q10_720769"/>
      <w:bookmarkEnd w:id="9332"/>
      <w:r>
        <w:rPr>
          <w:rFonts w:hint="cs"/>
          <w:rtl/>
        </w:rPr>
        <w:t xml:space="preserve">היא </w:t>
      </w:r>
      <w:bookmarkStart w:id="9333" w:name="_ETM_Q10_720919"/>
      <w:bookmarkEnd w:id="9333"/>
      <w:r>
        <w:rPr>
          <w:rFonts w:hint="cs"/>
          <w:rtl/>
        </w:rPr>
        <w:t xml:space="preserve">כפופה </w:t>
      </w:r>
      <w:bookmarkStart w:id="9334" w:name="_ETM_Q10_721969"/>
      <w:bookmarkEnd w:id="9334"/>
      <w:r>
        <w:rPr>
          <w:rFonts w:hint="cs"/>
          <w:rtl/>
        </w:rPr>
        <w:t xml:space="preserve">לחוק, </w:t>
      </w:r>
      <w:bookmarkStart w:id="9335" w:name="_ETM_Q10_723140"/>
      <w:bookmarkEnd w:id="9335"/>
      <w:r>
        <w:rPr>
          <w:rFonts w:hint="cs"/>
          <w:rtl/>
        </w:rPr>
        <w:t xml:space="preserve">שאתם </w:t>
      </w:r>
      <w:bookmarkStart w:id="9336" w:name="_ETM_Q10_723559"/>
      <w:bookmarkEnd w:id="9336"/>
      <w:r>
        <w:rPr>
          <w:rFonts w:hint="cs"/>
          <w:rtl/>
        </w:rPr>
        <w:t xml:space="preserve">משנים </w:t>
      </w:r>
      <w:bookmarkStart w:id="9337" w:name="_ETM_Q10_724069"/>
      <w:bookmarkEnd w:id="9337"/>
      <w:r>
        <w:rPr>
          <w:rFonts w:hint="cs"/>
          <w:rtl/>
        </w:rPr>
        <w:t xml:space="preserve">אותו </w:t>
      </w:r>
      <w:bookmarkStart w:id="9338" w:name="_ETM_Q10_724370"/>
      <w:bookmarkEnd w:id="9338"/>
      <w:r>
        <w:rPr>
          <w:rFonts w:hint="cs"/>
          <w:rtl/>
        </w:rPr>
        <w:t xml:space="preserve">עכשיו; </w:t>
      </w:r>
      <w:bookmarkStart w:id="9339" w:name="_ETM_Q10_725489"/>
      <w:bookmarkEnd w:id="9339"/>
      <w:r>
        <w:rPr>
          <w:rFonts w:hint="cs"/>
          <w:rtl/>
        </w:rPr>
        <w:t xml:space="preserve">היא </w:t>
      </w:r>
      <w:bookmarkStart w:id="9340" w:name="_ETM_Q10_725639"/>
      <w:bookmarkEnd w:id="9340"/>
      <w:r>
        <w:rPr>
          <w:rFonts w:hint="cs"/>
          <w:rtl/>
        </w:rPr>
        <w:t xml:space="preserve">כפופה </w:t>
      </w:r>
      <w:bookmarkStart w:id="9341" w:name="_ETM_Q10_726150"/>
      <w:bookmarkEnd w:id="9341"/>
      <w:r>
        <w:rPr>
          <w:rFonts w:hint="cs"/>
          <w:rtl/>
        </w:rPr>
        <w:t xml:space="preserve">לחוקה, </w:t>
      </w:r>
      <w:bookmarkStart w:id="9342" w:name="_ETM_Q10_727319"/>
      <w:bookmarkEnd w:id="9342"/>
      <w:r>
        <w:rPr>
          <w:rFonts w:hint="cs"/>
          <w:rtl/>
        </w:rPr>
        <w:t xml:space="preserve">שאין </w:t>
      </w:r>
      <w:bookmarkStart w:id="9343" w:name="_ETM_Q10_727889"/>
      <w:bookmarkStart w:id="9344" w:name="_ETM_Q10_728370"/>
      <w:bookmarkEnd w:id="9343"/>
      <w:bookmarkEnd w:id="9344"/>
      <w:r>
        <w:rPr>
          <w:rFonts w:hint="cs"/>
          <w:rtl/>
        </w:rPr>
        <w:t xml:space="preserve">אצלנו, </w:t>
      </w:r>
      <w:bookmarkStart w:id="9345" w:name="_ETM_Q10_729089"/>
      <w:bookmarkEnd w:id="9345"/>
      <w:r>
        <w:rPr>
          <w:rFonts w:hint="cs"/>
          <w:rtl/>
        </w:rPr>
        <w:t xml:space="preserve">לצערי </w:t>
      </w:r>
      <w:bookmarkStart w:id="9346" w:name="_ETM_Q10_729599"/>
      <w:bookmarkEnd w:id="9346"/>
      <w:r>
        <w:rPr>
          <w:rFonts w:hint="cs"/>
          <w:rtl/>
        </w:rPr>
        <w:t xml:space="preserve">הרב; </w:t>
      </w:r>
      <w:bookmarkStart w:id="9347" w:name="_ETM_Q10_730819"/>
      <w:bookmarkEnd w:id="9347"/>
      <w:r>
        <w:rPr>
          <w:rFonts w:hint="cs"/>
          <w:rtl/>
        </w:rPr>
        <w:t xml:space="preserve">או </w:t>
      </w:r>
      <w:bookmarkStart w:id="9348" w:name="_ETM_Q10_731239"/>
      <w:bookmarkEnd w:id="9348"/>
      <w:r>
        <w:rPr>
          <w:rFonts w:hint="cs"/>
          <w:rtl/>
        </w:rPr>
        <w:t xml:space="preserve">לבית </w:t>
      </w:r>
      <w:bookmarkStart w:id="9349" w:name="_ETM_Q10_731719"/>
      <w:bookmarkEnd w:id="9349"/>
      <w:r>
        <w:rPr>
          <w:rFonts w:hint="cs"/>
          <w:rtl/>
        </w:rPr>
        <w:t xml:space="preserve">המשפט, </w:t>
      </w:r>
      <w:bookmarkStart w:id="9350" w:name="_ETM_Q10_732319"/>
      <w:bookmarkEnd w:id="9350"/>
      <w:r>
        <w:rPr>
          <w:rFonts w:hint="cs"/>
          <w:rtl/>
        </w:rPr>
        <w:t xml:space="preserve">שאתם </w:t>
      </w:r>
      <w:bookmarkStart w:id="9351" w:name="_ETM_Q10_732709"/>
      <w:bookmarkEnd w:id="9351"/>
      <w:r>
        <w:rPr>
          <w:rFonts w:hint="cs"/>
          <w:rtl/>
        </w:rPr>
        <w:t xml:space="preserve">רוצים </w:t>
      </w:r>
      <w:bookmarkStart w:id="9352" w:name="_ETM_Q10_733069"/>
      <w:bookmarkEnd w:id="9352"/>
      <w:r>
        <w:rPr>
          <w:rFonts w:hint="cs"/>
          <w:rtl/>
        </w:rPr>
        <w:t xml:space="preserve">להרוס </w:t>
      </w:r>
      <w:bookmarkStart w:id="9353" w:name="_ETM_Q10_733549"/>
      <w:bookmarkEnd w:id="9353"/>
      <w:r>
        <w:rPr>
          <w:rFonts w:hint="cs"/>
          <w:rtl/>
        </w:rPr>
        <w:t xml:space="preserve">אותו. </w:t>
      </w:r>
      <w:bookmarkStart w:id="9354" w:name="_ETM_Q10_734950"/>
      <w:bookmarkEnd w:id="9354"/>
      <w:r>
        <w:rPr>
          <w:rFonts w:hint="cs"/>
          <w:rtl/>
        </w:rPr>
        <w:t xml:space="preserve">זו </w:t>
      </w:r>
      <w:bookmarkStart w:id="9355" w:name="_ETM_Q10_735280"/>
      <w:bookmarkEnd w:id="9355"/>
      <w:r>
        <w:rPr>
          <w:rFonts w:hint="cs"/>
          <w:rtl/>
        </w:rPr>
        <w:t xml:space="preserve">המציאות. </w:t>
      </w:r>
      <w:bookmarkStart w:id="9356" w:name="_ETM_Q10_738410"/>
      <w:bookmarkEnd w:id="9356"/>
      <w:r>
        <w:rPr>
          <w:rFonts w:hint="cs"/>
          <w:rtl/>
        </w:rPr>
        <w:t xml:space="preserve">מה </w:t>
      </w:r>
      <w:bookmarkStart w:id="9357" w:name="_ETM_Q10_738590"/>
      <w:bookmarkEnd w:id="9357"/>
      <w:r>
        <w:rPr>
          <w:rFonts w:hint="cs"/>
          <w:rtl/>
        </w:rPr>
        <w:t xml:space="preserve">אתם </w:t>
      </w:r>
      <w:bookmarkStart w:id="9358" w:name="_ETM_Q10_738770"/>
      <w:bookmarkEnd w:id="9358"/>
      <w:r>
        <w:rPr>
          <w:rFonts w:hint="cs"/>
          <w:rtl/>
        </w:rPr>
        <w:t xml:space="preserve">חושבים? </w:t>
      </w:r>
      <w:bookmarkStart w:id="9359" w:name="_ETM_Q10_739280"/>
      <w:bookmarkStart w:id="9360" w:name="_ETM_Q10_739880"/>
      <w:bookmarkStart w:id="9361" w:name="_ETM_Q10_737194"/>
      <w:bookmarkEnd w:id="9359"/>
      <w:bookmarkEnd w:id="9360"/>
      <w:bookmarkEnd w:id="9361"/>
      <w:r>
        <w:rPr>
          <w:rFonts w:hint="cs"/>
          <w:rtl/>
        </w:rPr>
        <w:t xml:space="preserve">שתעשו </w:t>
      </w:r>
      <w:bookmarkStart w:id="9362" w:name="_ETM_Q10_740210"/>
      <w:bookmarkEnd w:id="9362"/>
      <w:r>
        <w:rPr>
          <w:rFonts w:hint="cs"/>
          <w:rtl/>
        </w:rPr>
        <w:t xml:space="preserve">כל </w:t>
      </w:r>
      <w:bookmarkStart w:id="9363" w:name="_ETM_Q10_740600"/>
      <w:bookmarkEnd w:id="9363"/>
      <w:r>
        <w:rPr>
          <w:rFonts w:hint="cs"/>
          <w:rtl/>
        </w:rPr>
        <w:t xml:space="preserve">מה </w:t>
      </w:r>
      <w:bookmarkStart w:id="9364" w:name="_ETM_Q10_740750"/>
      <w:bookmarkEnd w:id="9364"/>
      <w:r>
        <w:rPr>
          <w:rFonts w:hint="cs"/>
          <w:rtl/>
        </w:rPr>
        <w:t xml:space="preserve">שבא </w:t>
      </w:r>
      <w:bookmarkStart w:id="9365" w:name="_ETM_Q10_741110"/>
      <w:bookmarkEnd w:id="9365"/>
      <w:r>
        <w:rPr>
          <w:rFonts w:hint="cs"/>
          <w:rtl/>
        </w:rPr>
        <w:t xml:space="preserve">לכם, </w:t>
      </w:r>
      <w:bookmarkStart w:id="9366" w:name="_ETM_Q10_741830"/>
      <w:bookmarkEnd w:id="9366"/>
      <w:r>
        <w:rPr>
          <w:rFonts w:hint="cs"/>
          <w:rtl/>
        </w:rPr>
        <w:t xml:space="preserve">תדרסו </w:t>
      </w:r>
      <w:bookmarkStart w:id="9367" w:name="_ETM_Q10_742400"/>
      <w:bookmarkEnd w:id="9367"/>
      <w:r>
        <w:rPr>
          <w:rFonts w:hint="cs"/>
          <w:rtl/>
        </w:rPr>
        <w:t xml:space="preserve">את </w:t>
      </w:r>
      <w:bookmarkStart w:id="9368" w:name="_ETM_Q10_742520"/>
      <w:bookmarkEnd w:id="9368"/>
      <w:r>
        <w:rPr>
          <w:rFonts w:hint="cs"/>
          <w:rtl/>
        </w:rPr>
        <w:t xml:space="preserve">כולם, </w:t>
      </w:r>
      <w:bookmarkStart w:id="9369" w:name="_ETM_Q10_743510"/>
      <w:bookmarkEnd w:id="9369"/>
      <w:r>
        <w:rPr>
          <w:rFonts w:hint="cs"/>
          <w:rtl/>
        </w:rPr>
        <w:t xml:space="preserve">תעשו </w:t>
      </w:r>
      <w:bookmarkStart w:id="9370" w:name="_ETM_Q10_743900"/>
      <w:bookmarkEnd w:id="9370"/>
      <w:r>
        <w:rPr>
          <w:rFonts w:hint="cs"/>
          <w:rtl/>
        </w:rPr>
        <w:t xml:space="preserve">פה </w:t>
      </w:r>
      <w:bookmarkStart w:id="9371" w:name="_ETM_Q10_744080"/>
      <w:bookmarkEnd w:id="9371"/>
      <w:r>
        <w:rPr>
          <w:rFonts w:hint="cs"/>
          <w:rtl/>
        </w:rPr>
        <w:t xml:space="preserve">הפיכה </w:t>
      </w:r>
      <w:bookmarkStart w:id="9372" w:name="_ETM_Q10_744410"/>
      <w:bookmarkEnd w:id="9372"/>
      <w:r>
        <w:rPr>
          <w:rFonts w:hint="cs"/>
          <w:rtl/>
        </w:rPr>
        <w:t xml:space="preserve">שלטונית, </w:t>
      </w:r>
      <w:bookmarkStart w:id="9373" w:name="_ETM_Q10_745250"/>
      <w:bookmarkEnd w:id="9373"/>
      <w:r>
        <w:rPr>
          <w:rFonts w:hint="cs"/>
          <w:rtl/>
        </w:rPr>
        <w:t xml:space="preserve">וכולם </w:t>
      </w:r>
      <w:bookmarkStart w:id="9374" w:name="_ETM_Q10_745760"/>
      <w:bookmarkEnd w:id="9374"/>
      <w:r>
        <w:rPr>
          <w:rFonts w:hint="cs"/>
          <w:rtl/>
        </w:rPr>
        <w:t xml:space="preserve">יעמדו </w:t>
      </w:r>
      <w:bookmarkStart w:id="9375" w:name="_ETM_Q10_746150"/>
      <w:bookmarkEnd w:id="9375"/>
      <w:r>
        <w:rPr>
          <w:rFonts w:hint="cs"/>
          <w:rtl/>
        </w:rPr>
        <w:t xml:space="preserve">דום </w:t>
      </w:r>
      <w:bookmarkStart w:id="9376" w:name="_ETM_Q10_747030"/>
      <w:bookmarkEnd w:id="9376"/>
      <w:r>
        <w:rPr>
          <w:rFonts w:hint="cs"/>
          <w:rtl/>
        </w:rPr>
        <w:t xml:space="preserve">ויגידו </w:t>
      </w:r>
      <w:bookmarkStart w:id="9377" w:name="_ETM_Q10_747689"/>
      <w:bookmarkEnd w:id="9377"/>
      <w:r>
        <w:rPr>
          <w:rFonts w:hint="cs"/>
          <w:rtl/>
        </w:rPr>
        <w:t xml:space="preserve">אמן? </w:t>
      </w:r>
      <w:bookmarkStart w:id="9378" w:name="_ETM_Q10_748379"/>
      <w:bookmarkEnd w:id="9378"/>
      <w:r>
        <w:rPr>
          <w:rFonts w:hint="cs"/>
          <w:rtl/>
        </w:rPr>
        <w:t xml:space="preserve">לא, </w:t>
      </w:r>
      <w:bookmarkStart w:id="9379" w:name="_ETM_Q10_749400"/>
      <w:bookmarkEnd w:id="9379"/>
      <w:r>
        <w:rPr>
          <w:rFonts w:hint="cs"/>
          <w:rtl/>
        </w:rPr>
        <w:t xml:space="preserve">זה </w:t>
      </w:r>
      <w:bookmarkStart w:id="9380" w:name="_ETM_Q10_749610"/>
      <w:bookmarkEnd w:id="9380"/>
      <w:r>
        <w:rPr>
          <w:rFonts w:hint="cs"/>
          <w:rtl/>
        </w:rPr>
        <w:t xml:space="preserve">בדיוק </w:t>
      </w:r>
      <w:bookmarkStart w:id="9381" w:name="_ETM_Q10_749940"/>
      <w:bookmarkEnd w:id="9381"/>
      <w:r>
        <w:rPr>
          <w:rFonts w:hint="cs"/>
          <w:rtl/>
        </w:rPr>
        <w:t xml:space="preserve">המצב </w:t>
      </w:r>
      <w:bookmarkStart w:id="9382" w:name="_ETM_Q10_750480"/>
      <w:bookmarkEnd w:id="9382"/>
      <w:r>
        <w:rPr>
          <w:rFonts w:hint="cs"/>
          <w:rtl/>
        </w:rPr>
        <w:t xml:space="preserve">שבו אני </w:t>
      </w:r>
      <w:bookmarkStart w:id="9383" w:name="_ETM_Q10_750720"/>
      <w:bookmarkEnd w:id="9383"/>
      <w:r>
        <w:rPr>
          <w:rFonts w:hint="cs"/>
          <w:rtl/>
        </w:rPr>
        <w:t xml:space="preserve">מצפה </w:t>
      </w:r>
      <w:bookmarkStart w:id="9384" w:name="_ETM_Q10_751260"/>
      <w:bookmarkEnd w:id="9384"/>
      <w:r>
        <w:rPr>
          <w:rFonts w:hint="cs"/>
          <w:rtl/>
        </w:rPr>
        <w:t xml:space="preserve">מאזרחי </w:t>
      </w:r>
      <w:bookmarkStart w:id="9385" w:name="_ETM_Q10_751830"/>
      <w:bookmarkEnd w:id="9385"/>
      <w:r>
        <w:rPr>
          <w:rFonts w:hint="cs"/>
          <w:rtl/>
        </w:rPr>
        <w:t xml:space="preserve">ישראל </w:t>
      </w:r>
      <w:bookmarkStart w:id="9386" w:name="_ETM_Q10_753559"/>
      <w:bookmarkEnd w:id="9386"/>
      <w:r>
        <w:rPr>
          <w:rFonts w:hint="cs"/>
          <w:rtl/>
        </w:rPr>
        <w:t xml:space="preserve">לצאת </w:t>
      </w:r>
      <w:bookmarkStart w:id="9387" w:name="_ETM_Q10_754039"/>
      <w:bookmarkEnd w:id="9387"/>
      <w:r>
        <w:rPr>
          <w:rFonts w:hint="cs"/>
          <w:rtl/>
        </w:rPr>
        <w:t xml:space="preserve">להפגנות, </w:t>
      </w:r>
      <w:bookmarkStart w:id="9388" w:name="_ETM_Q10_754819"/>
      <w:bookmarkEnd w:id="9388"/>
      <w:r>
        <w:rPr>
          <w:rFonts w:hint="cs"/>
          <w:rtl/>
        </w:rPr>
        <w:t xml:space="preserve">להשמיע </w:t>
      </w:r>
      <w:bookmarkStart w:id="9389" w:name="_ETM_Q10_755389"/>
      <w:bookmarkEnd w:id="9389"/>
      <w:r>
        <w:rPr>
          <w:rFonts w:hint="cs"/>
          <w:rtl/>
        </w:rPr>
        <w:t xml:space="preserve">את </w:t>
      </w:r>
      <w:bookmarkStart w:id="9390" w:name="_ETM_Q10_755479"/>
      <w:bookmarkEnd w:id="9390"/>
      <w:r>
        <w:rPr>
          <w:rFonts w:hint="cs"/>
          <w:rtl/>
        </w:rPr>
        <w:t xml:space="preserve">קולם </w:t>
      </w:r>
      <w:bookmarkStart w:id="9391" w:name="_ETM_Q10_755900"/>
      <w:bookmarkEnd w:id="9391"/>
      <w:r>
        <w:rPr>
          <w:rFonts w:hint="cs"/>
          <w:rtl/>
        </w:rPr>
        <w:t xml:space="preserve">ולהגיד: </w:t>
      </w:r>
      <w:bookmarkStart w:id="9392" w:name="_ETM_Q10_756349"/>
      <w:bookmarkEnd w:id="9392"/>
      <w:r>
        <w:rPr>
          <w:rFonts w:hint="cs"/>
          <w:rtl/>
        </w:rPr>
        <w:t>חבר'ה</w:t>
      </w:r>
      <w:bookmarkStart w:id="9393" w:name="_ETM_Q10_755498"/>
      <w:bookmarkEnd w:id="9393"/>
      <w:r>
        <w:rPr>
          <w:rFonts w:hint="cs"/>
          <w:rtl/>
        </w:rPr>
        <w:t xml:space="preserve">, </w:t>
      </w:r>
      <w:bookmarkStart w:id="9394" w:name="_ETM_Q10_757250"/>
      <w:bookmarkEnd w:id="9394"/>
      <w:r>
        <w:rPr>
          <w:rFonts w:hint="cs"/>
          <w:rtl/>
        </w:rPr>
        <w:t xml:space="preserve">כן, </w:t>
      </w:r>
      <w:bookmarkStart w:id="9395" w:name="_ETM_Q10_757699"/>
      <w:bookmarkStart w:id="9396" w:name="_ETM_Q10_757879"/>
      <w:bookmarkStart w:id="9397" w:name="_ETM_Q10_758320"/>
      <w:bookmarkEnd w:id="9395"/>
      <w:bookmarkEnd w:id="9396"/>
      <w:bookmarkEnd w:id="9397"/>
      <w:r>
        <w:rPr>
          <w:rFonts w:hint="cs"/>
          <w:rtl/>
        </w:rPr>
        <w:t>זכיתם ב</w:t>
      </w:r>
      <w:bookmarkStart w:id="9398" w:name="_ETM_Q10_755768"/>
      <w:bookmarkEnd w:id="9398"/>
      <w:r>
        <w:rPr>
          <w:rFonts w:hint="cs"/>
          <w:rtl/>
        </w:rPr>
        <w:t xml:space="preserve">בחירות, </w:t>
      </w:r>
      <w:bookmarkStart w:id="9399" w:name="_ETM_Q10_758890"/>
      <w:bookmarkEnd w:id="9399"/>
      <w:r>
        <w:rPr>
          <w:rFonts w:hint="cs"/>
          <w:rtl/>
        </w:rPr>
        <w:t xml:space="preserve">על </w:t>
      </w:r>
      <w:bookmarkStart w:id="9400" w:name="_ETM_Q10_759010"/>
      <w:bookmarkEnd w:id="9400"/>
      <w:r>
        <w:rPr>
          <w:rFonts w:hint="cs"/>
          <w:rtl/>
        </w:rPr>
        <w:t xml:space="preserve">זה </w:t>
      </w:r>
      <w:bookmarkStart w:id="9401" w:name="_ETM_Q10_759190"/>
      <w:bookmarkEnd w:id="9401"/>
      <w:r>
        <w:rPr>
          <w:rFonts w:hint="cs"/>
          <w:rtl/>
        </w:rPr>
        <w:t xml:space="preserve">אין </w:t>
      </w:r>
      <w:bookmarkStart w:id="9402" w:name="_ETM_Q10_759280"/>
      <w:bookmarkEnd w:id="9402"/>
      <w:r>
        <w:rPr>
          <w:rFonts w:hint="cs"/>
          <w:rtl/>
        </w:rPr>
        <w:t xml:space="preserve">ויכוח. </w:t>
      </w:r>
      <w:bookmarkStart w:id="9403" w:name="_ETM_Q10_759850"/>
      <w:bookmarkEnd w:id="9403"/>
      <w:r>
        <w:rPr>
          <w:rFonts w:hint="cs"/>
          <w:rtl/>
        </w:rPr>
        <w:t xml:space="preserve">קיבלתם </w:t>
      </w:r>
      <w:bookmarkStart w:id="9404" w:name="_ETM_Q10_760390"/>
      <w:bookmarkEnd w:id="9404"/>
      <w:r>
        <w:rPr>
          <w:rFonts w:hint="cs"/>
          <w:rtl/>
        </w:rPr>
        <w:t xml:space="preserve">מנדטים, </w:t>
      </w:r>
      <w:bookmarkStart w:id="9405" w:name="_ETM_Q10_761380"/>
      <w:bookmarkEnd w:id="9405"/>
      <w:r>
        <w:rPr>
          <w:rFonts w:hint="cs"/>
          <w:rtl/>
        </w:rPr>
        <w:t xml:space="preserve">אבל </w:t>
      </w:r>
      <w:bookmarkStart w:id="9406" w:name="_ETM_Q10_761800"/>
      <w:bookmarkEnd w:id="9406"/>
      <w:r>
        <w:rPr>
          <w:rFonts w:hint="cs"/>
          <w:rtl/>
        </w:rPr>
        <w:t xml:space="preserve">לא </w:t>
      </w:r>
      <w:bookmarkStart w:id="9407" w:name="_ETM_Q10_761889"/>
      <w:bookmarkEnd w:id="9407"/>
      <w:r>
        <w:rPr>
          <w:rFonts w:hint="cs"/>
          <w:rtl/>
        </w:rPr>
        <w:t xml:space="preserve">קיבלתם </w:t>
      </w:r>
      <w:bookmarkStart w:id="9408" w:name="_ETM_Q10_762460"/>
      <w:bookmarkEnd w:id="9408"/>
      <w:r>
        <w:rPr>
          <w:rFonts w:hint="cs"/>
          <w:rtl/>
        </w:rPr>
        <w:t>מנדט</w:t>
      </w:r>
      <w:bookmarkStart w:id="9409" w:name="_ETM_Q10_763000"/>
      <w:bookmarkEnd w:id="9409"/>
      <w:r>
        <w:rPr>
          <w:rFonts w:hint="cs"/>
          <w:rtl/>
        </w:rPr>
        <w:t xml:space="preserve">ים </w:t>
      </w:r>
      <w:bookmarkStart w:id="9410" w:name="_ETM_Q10_763210"/>
      <w:bookmarkEnd w:id="9410"/>
      <w:r>
        <w:rPr>
          <w:rFonts w:hint="cs"/>
          <w:rtl/>
        </w:rPr>
        <w:t xml:space="preserve">לשנות </w:t>
      </w:r>
      <w:bookmarkStart w:id="9411" w:name="_ETM_Q10_763780"/>
      <w:bookmarkEnd w:id="9411"/>
      <w:r>
        <w:rPr>
          <w:rFonts w:hint="cs"/>
          <w:rtl/>
        </w:rPr>
        <w:t xml:space="preserve">את </w:t>
      </w:r>
      <w:bookmarkStart w:id="9412" w:name="_ETM_Q10_763990"/>
      <w:bookmarkEnd w:id="9412"/>
      <w:r>
        <w:rPr>
          <w:rFonts w:hint="cs"/>
          <w:rtl/>
        </w:rPr>
        <w:t xml:space="preserve">אופייה </w:t>
      </w:r>
      <w:bookmarkStart w:id="9413" w:name="_ETM_Q10_764470"/>
      <w:bookmarkEnd w:id="9413"/>
      <w:r>
        <w:rPr>
          <w:rFonts w:hint="cs"/>
          <w:rtl/>
        </w:rPr>
        <w:t xml:space="preserve">של </w:t>
      </w:r>
      <w:bookmarkStart w:id="9414" w:name="_ETM_Q10_764679"/>
      <w:bookmarkEnd w:id="9414"/>
      <w:r>
        <w:rPr>
          <w:rFonts w:hint="cs"/>
          <w:rtl/>
        </w:rPr>
        <w:t xml:space="preserve">המדינה. </w:t>
      </w:r>
      <w:bookmarkStart w:id="9415" w:name="_ETM_Q10_766160"/>
      <w:bookmarkEnd w:id="9415"/>
      <w:r>
        <w:rPr>
          <w:rFonts w:hint="cs"/>
          <w:rtl/>
        </w:rPr>
        <w:t xml:space="preserve">מה </w:t>
      </w:r>
      <w:bookmarkStart w:id="9416" w:name="_ETM_Q10_766400"/>
      <w:bookmarkEnd w:id="9416"/>
      <w:r>
        <w:rPr>
          <w:rFonts w:hint="cs"/>
          <w:rtl/>
        </w:rPr>
        <w:t xml:space="preserve">שאתם </w:t>
      </w:r>
      <w:bookmarkStart w:id="9417" w:name="_ETM_Q10_766880"/>
      <w:bookmarkEnd w:id="9417"/>
      <w:r>
        <w:rPr>
          <w:rFonts w:hint="cs"/>
          <w:rtl/>
        </w:rPr>
        <w:t xml:space="preserve">עושים </w:t>
      </w:r>
      <w:bookmarkStart w:id="9418" w:name="_ETM_Q10_767179"/>
      <w:bookmarkEnd w:id="9418"/>
      <w:r>
        <w:rPr>
          <w:rFonts w:hint="cs"/>
          <w:rtl/>
        </w:rPr>
        <w:t xml:space="preserve">זו </w:t>
      </w:r>
      <w:bookmarkStart w:id="9419" w:name="_ETM_Q10_767360"/>
      <w:bookmarkEnd w:id="9419"/>
      <w:r>
        <w:rPr>
          <w:rFonts w:hint="cs"/>
          <w:rtl/>
        </w:rPr>
        <w:t xml:space="preserve">הפיכה, </w:t>
      </w:r>
      <w:bookmarkStart w:id="9420" w:name="_ETM_Q10_768550"/>
      <w:bookmarkStart w:id="9421" w:name="_ETM_Q10_768820"/>
      <w:bookmarkStart w:id="9422" w:name="_ETM_Q10_769000"/>
      <w:bookmarkEnd w:id="9420"/>
      <w:bookmarkEnd w:id="9421"/>
      <w:bookmarkEnd w:id="9422"/>
      <w:r>
        <w:rPr>
          <w:rFonts w:hint="cs"/>
          <w:rtl/>
        </w:rPr>
        <w:t xml:space="preserve">זה </w:t>
      </w:r>
      <w:bookmarkStart w:id="9423" w:name="_ETM_Q10_769120"/>
      <w:bookmarkEnd w:id="9423"/>
      <w:r>
        <w:rPr>
          <w:rFonts w:hint="cs"/>
          <w:rtl/>
        </w:rPr>
        <w:t xml:space="preserve">בדיוק </w:t>
      </w:r>
      <w:bookmarkStart w:id="9424" w:name="_ETM_Q10_769510"/>
      <w:bookmarkEnd w:id="9424"/>
      <w:r>
        <w:rPr>
          <w:rFonts w:hint="cs"/>
          <w:rtl/>
        </w:rPr>
        <w:t xml:space="preserve">המצב. </w:t>
      </w:r>
      <w:bookmarkStart w:id="9425" w:name="_ETM_Q10_773569"/>
      <w:bookmarkStart w:id="9426" w:name="_ETM_Q10_786299"/>
      <w:bookmarkEnd w:id="9425"/>
      <w:bookmarkEnd w:id="9426"/>
      <w:r>
        <w:rPr>
          <w:rFonts w:hint="cs"/>
          <w:rtl/>
        </w:rPr>
        <w:t xml:space="preserve"> </w:t>
      </w:r>
      <w:bookmarkStart w:id="9427" w:name="_ETM_Q10_775340"/>
      <w:bookmarkEnd w:id="9427"/>
    </w:p>
    <w:p w:rsidR="000C5C1F" w:rsidRDefault="000C5C1F" w:rsidP="000C5C1F">
      <w:pPr>
        <w:rPr>
          <w:rtl/>
        </w:rPr>
      </w:pPr>
    </w:p>
    <w:p w:rsidR="000C5C1F" w:rsidRDefault="000C5C1F" w:rsidP="000C5C1F">
      <w:pPr>
        <w:rPr>
          <w:rtl/>
        </w:rPr>
      </w:pPr>
      <w:r>
        <w:rPr>
          <w:rFonts w:hint="cs"/>
          <w:rtl/>
        </w:rPr>
        <w:t xml:space="preserve">באיזו </w:t>
      </w:r>
      <w:bookmarkStart w:id="9428" w:name="_ETM_Q10_775819"/>
      <w:bookmarkEnd w:id="9428"/>
      <w:r>
        <w:rPr>
          <w:rFonts w:hint="cs"/>
          <w:rtl/>
        </w:rPr>
        <w:t xml:space="preserve">חוצפה </w:t>
      </w:r>
      <w:bookmarkStart w:id="9429" w:name="_ETM_Q10_777050"/>
      <w:bookmarkEnd w:id="9429"/>
      <w:r>
        <w:rPr>
          <w:rFonts w:hint="cs"/>
          <w:rtl/>
        </w:rPr>
        <w:t xml:space="preserve">אתם </w:t>
      </w:r>
      <w:bookmarkStart w:id="9430" w:name="_ETM_Q10_777379"/>
      <w:bookmarkEnd w:id="9430"/>
      <w:r>
        <w:rPr>
          <w:rFonts w:hint="cs"/>
          <w:rtl/>
        </w:rPr>
        <w:t xml:space="preserve">מדברים </w:t>
      </w:r>
      <w:bookmarkStart w:id="9431" w:name="_ETM_Q10_777830"/>
      <w:bookmarkEnd w:id="9431"/>
      <w:r>
        <w:rPr>
          <w:rFonts w:hint="cs"/>
          <w:rtl/>
        </w:rPr>
        <w:t xml:space="preserve">על </w:t>
      </w:r>
      <w:bookmarkStart w:id="9432" w:name="_ETM_Q10_777919"/>
      <w:bookmarkEnd w:id="9432"/>
      <w:r>
        <w:rPr>
          <w:rFonts w:hint="cs"/>
          <w:rtl/>
        </w:rPr>
        <w:t xml:space="preserve">סרבנות </w:t>
      </w:r>
      <w:bookmarkStart w:id="9433" w:name="_ETM_Q10_779229"/>
      <w:bookmarkEnd w:id="9433"/>
      <w:r>
        <w:rPr>
          <w:rFonts w:hint="cs"/>
          <w:rtl/>
        </w:rPr>
        <w:t xml:space="preserve">ואומרים </w:t>
      </w:r>
      <w:bookmarkStart w:id="9434" w:name="_ETM_Q10_779830"/>
      <w:bookmarkStart w:id="9435" w:name="_ETM_Q10_780069"/>
      <w:bookmarkStart w:id="9436" w:name="_ETM_Q10_780340"/>
      <w:bookmarkEnd w:id="9434"/>
      <w:bookmarkEnd w:id="9435"/>
      <w:bookmarkEnd w:id="9436"/>
      <w:r>
        <w:rPr>
          <w:rFonts w:hint="cs"/>
          <w:rtl/>
        </w:rPr>
        <w:t>על</w:t>
      </w:r>
      <w:bookmarkStart w:id="9437" w:name="_ETM_Q10_777638"/>
      <w:bookmarkEnd w:id="9437"/>
      <w:r>
        <w:rPr>
          <w:rFonts w:hint="cs"/>
          <w:rtl/>
        </w:rPr>
        <w:t xml:space="preserve"> </w:t>
      </w:r>
      <w:bookmarkStart w:id="9438" w:name="_ETM_Q10_780490"/>
      <w:bookmarkEnd w:id="9438"/>
      <w:r>
        <w:rPr>
          <w:rFonts w:hint="cs"/>
          <w:rtl/>
        </w:rPr>
        <w:t>אנשי</w:t>
      </w:r>
      <w:bookmarkStart w:id="9439" w:name="_ETM_Q10_780939"/>
      <w:bookmarkStart w:id="9440" w:name="_ETM_Q10_781090"/>
      <w:bookmarkEnd w:id="9439"/>
      <w:bookmarkEnd w:id="9440"/>
      <w:r>
        <w:rPr>
          <w:rFonts w:hint="cs"/>
          <w:rtl/>
        </w:rPr>
        <w:t xml:space="preserve"> המילואים האלה סרבנים? רק לפני חודש התקבלה החלטת ממשלה, אולי אלי כהן יכול לחדש לנו, </w:t>
      </w:r>
      <w:bookmarkStart w:id="9441" w:name="_ETM_Q10_783289"/>
      <w:bookmarkEnd w:id="9441"/>
      <w:r>
        <w:rPr>
          <w:rFonts w:hint="cs"/>
          <w:rtl/>
        </w:rPr>
        <w:t xml:space="preserve">החלטת ממשלה 862, שבעצם </w:t>
      </w:r>
      <w:bookmarkStart w:id="9442" w:name="_ETM_Q10_793830"/>
      <w:bookmarkEnd w:id="9442"/>
      <w:r>
        <w:rPr>
          <w:rFonts w:hint="cs"/>
          <w:rtl/>
        </w:rPr>
        <w:t>פוטרת מגיוס 170,000 אברכים.</w:t>
      </w:r>
      <w:bookmarkStart w:id="9443" w:name="_ETM_Q10_791929"/>
      <w:bookmarkEnd w:id="9443"/>
      <w:r>
        <w:rPr>
          <w:rFonts w:hint="cs"/>
          <w:rtl/>
        </w:rPr>
        <w:t xml:space="preserve"> היא אומרת: לא, אתם לא תתגייסו</w:t>
      </w:r>
      <w:bookmarkStart w:id="9444" w:name="_ETM_Q10_794559"/>
      <w:bookmarkEnd w:id="9444"/>
      <w:r>
        <w:rPr>
          <w:rFonts w:hint="cs"/>
          <w:rtl/>
        </w:rPr>
        <w:t>, כי זו אמונתכם, ככה אתם מאמינים</w:t>
      </w:r>
      <w:bookmarkStart w:id="9445" w:name="_ETM_Q10_797610"/>
      <w:bookmarkEnd w:id="9445"/>
      <w:r>
        <w:rPr>
          <w:rFonts w:hint="cs"/>
          <w:rtl/>
        </w:rPr>
        <w:t>, זו תפיסת</w:t>
      </w:r>
      <w:bookmarkStart w:id="9446" w:name="_ETM_Q10_806432"/>
      <w:bookmarkEnd w:id="9446"/>
      <w:r>
        <w:rPr>
          <w:rFonts w:hint="cs"/>
          <w:rtl/>
        </w:rPr>
        <w:t xml:space="preserve"> העולם שלכם. 170,000.</w:t>
      </w:r>
      <w:bookmarkStart w:id="9447" w:name="_ETM_Q10_804540"/>
      <w:bookmarkEnd w:id="9447"/>
      <w:r>
        <w:rPr>
          <w:rFonts w:hint="cs"/>
          <w:rtl/>
        </w:rPr>
        <w:t xml:space="preserve"> ע</w:t>
      </w:r>
      <w:bookmarkStart w:id="9448" w:name="_ETM_Q10_803929"/>
      <w:bookmarkStart w:id="9449" w:name="_ETM_Q10_800229"/>
      <w:bookmarkStart w:id="9450" w:name="_ETM_Q10_796350"/>
      <w:bookmarkEnd w:id="9448"/>
      <w:bookmarkEnd w:id="9449"/>
      <w:bookmarkEnd w:id="9450"/>
      <w:r>
        <w:rPr>
          <w:rFonts w:hint="cs"/>
          <w:rtl/>
        </w:rPr>
        <w:t>כשיו, ברגע הזה, הממשלה החליטה שלא תהיה אכיפה של חוק הגיוס. איזו צביעות זו</w:t>
      </w:r>
      <w:bookmarkStart w:id="9451" w:name="_ETM_Q10_808940"/>
      <w:bookmarkEnd w:id="9451"/>
      <w:r>
        <w:rPr>
          <w:rFonts w:hint="cs"/>
          <w:rtl/>
        </w:rPr>
        <w:t>?</w:t>
      </w:r>
      <w:bookmarkStart w:id="9452" w:name="_ETM_Q10_816290"/>
      <w:bookmarkStart w:id="9453" w:name="_ETM_Q10_812520"/>
      <w:bookmarkEnd w:id="9452"/>
      <w:bookmarkEnd w:id="9453"/>
      <w:r>
        <w:rPr>
          <w:rFonts w:hint="cs"/>
          <w:rtl/>
        </w:rPr>
        <w:t xml:space="preserve"> פה אתם מקבלים החלטות ממשלה כי זה נוח למפלגות החרדיות</w:t>
      </w:r>
      <w:bookmarkStart w:id="9454" w:name="_ETM_Q10_839889"/>
      <w:bookmarkEnd w:id="9454"/>
      <w:r>
        <w:rPr>
          <w:rFonts w:hint="cs"/>
          <w:rtl/>
        </w:rPr>
        <w:t xml:space="preserve"> – ופה אתם מעיזים לפתוח פה על אנשים </w:t>
      </w:r>
      <w:bookmarkStart w:id="9455" w:name="_ETM_Q10_817340"/>
      <w:bookmarkEnd w:id="9455"/>
      <w:r>
        <w:rPr>
          <w:rFonts w:hint="cs"/>
          <w:rtl/>
        </w:rPr>
        <w:t xml:space="preserve">שלא ראו בית, פספסו </w:t>
      </w:r>
      <w:bookmarkStart w:id="9456" w:name="_ETM_Q10_828643"/>
      <w:bookmarkEnd w:id="9456"/>
      <w:r>
        <w:rPr>
          <w:rFonts w:hint="cs"/>
          <w:rtl/>
        </w:rPr>
        <w:t xml:space="preserve">ימי הולדת של הילדים, סיכנו את החיים? התבלבלתם. </w:t>
      </w:r>
      <w:bookmarkStart w:id="9457" w:name="_ETM_Q10_828281"/>
      <w:bookmarkEnd w:id="9457"/>
      <w:r>
        <w:rPr>
          <w:rFonts w:hint="cs"/>
          <w:rtl/>
        </w:rPr>
        <w:t xml:space="preserve">ואם אתם כל כך דואגים לצבא העם, </w:t>
      </w:r>
      <w:bookmarkStart w:id="9458" w:name="_ETM_Q10_833981"/>
      <w:bookmarkEnd w:id="9458"/>
      <w:r>
        <w:rPr>
          <w:rFonts w:hint="cs"/>
          <w:rtl/>
        </w:rPr>
        <w:t>תמלאו שורות, תמלאו</w:t>
      </w:r>
      <w:bookmarkStart w:id="9459" w:name="_ETM_Q10_843006"/>
      <w:bookmarkEnd w:id="9459"/>
      <w:r>
        <w:rPr>
          <w:rFonts w:hint="cs"/>
          <w:rtl/>
        </w:rPr>
        <w:t xml:space="preserve"> שורות. חסרים שם הרבה מאוד אנשים.</w:t>
      </w:r>
      <w:bookmarkStart w:id="9460" w:name="TOR_Q11"/>
      <w:bookmarkStart w:id="9461" w:name="_ETM_Q11_246990"/>
      <w:bookmarkStart w:id="9462" w:name="_ETM_Q11_9819"/>
      <w:bookmarkEnd w:id="9460"/>
      <w:bookmarkEnd w:id="9461"/>
      <w:bookmarkEnd w:id="9462"/>
      <w:r>
        <w:rPr>
          <w:rFonts w:hint="cs"/>
          <w:rtl/>
        </w:rPr>
        <w:t xml:space="preserve"> הבנתי </w:t>
      </w:r>
      <w:bookmarkStart w:id="9463" w:name="_ETM_Q11_247380"/>
      <w:bookmarkStart w:id="9464" w:name="_ETM_Q11_247709"/>
      <w:bookmarkEnd w:id="9463"/>
      <w:bookmarkEnd w:id="9464"/>
      <w:r>
        <w:rPr>
          <w:rFonts w:hint="cs"/>
          <w:rtl/>
        </w:rPr>
        <w:t xml:space="preserve">שיש </w:t>
      </w:r>
      <w:bookmarkStart w:id="9465" w:name="_ETM_Q11_247979"/>
      <w:bookmarkStart w:id="9466" w:name="_ETM_Q11_248130"/>
      <w:bookmarkEnd w:id="9465"/>
      <w:bookmarkEnd w:id="9466"/>
      <w:r>
        <w:rPr>
          <w:rFonts w:hint="cs"/>
          <w:rtl/>
        </w:rPr>
        <w:t xml:space="preserve">עכשיו דאגה </w:t>
      </w:r>
      <w:bookmarkStart w:id="9467" w:name="_ETM_Q11_248579"/>
      <w:bookmarkStart w:id="9468" w:name="_ETM_Q11_248850"/>
      <w:bookmarkEnd w:id="9467"/>
      <w:bookmarkEnd w:id="9468"/>
      <w:r>
        <w:rPr>
          <w:rFonts w:hint="cs"/>
          <w:rtl/>
        </w:rPr>
        <w:t xml:space="preserve">גדולה מאוד </w:t>
      </w:r>
      <w:bookmarkStart w:id="9469" w:name="_ETM_Q11_249930"/>
      <w:bookmarkEnd w:id="9469"/>
      <w:r>
        <w:rPr>
          <w:rFonts w:hint="cs"/>
          <w:rtl/>
        </w:rPr>
        <w:t xml:space="preserve">לנו ולראשי </w:t>
      </w:r>
      <w:bookmarkStart w:id="9470" w:name="_ETM_Q11_250590"/>
      <w:bookmarkEnd w:id="9470"/>
      <w:r>
        <w:rPr>
          <w:rFonts w:hint="cs"/>
          <w:rtl/>
        </w:rPr>
        <w:t xml:space="preserve">מערכת </w:t>
      </w:r>
      <w:bookmarkStart w:id="9471" w:name="_ETM_Q11_251009"/>
      <w:bookmarkEnd w:id="9471"/>
      <w:r>
        <w:rPr>
          <w:rFonts w:hint="cs"/>
          <w:rtl/>
        </w:rPr>
        <w:t xml:space="preserve">הביטחון </w:t>
      </w:r>
      <w:bookmarkStart w:id="9472" w:name="_ETM_Q11_251610"/>
      <w:bookmarkStart w:id="9473" w:name="_ETM_Q11_251850"/>
      <w:bookmarkEnd w:id="9472"/>
      <w:bookmarkEnd w:id="9473"/>
      <w:r>
        <w:rPr>
          <w:rFonts w:hint="cs"/>
          <w:rtl/>
        </w:rPr>
        <w:t xml:space="preserve">מכשירות </w:t>
      </w:r>
      <w:bookmarkStart w:id="9474" w:name="_ETM_Q11_252600"/>
      <w:bookmarkEnd w:id="9474"/>
      <w:r>
        <w:rPr>
          <w:rFonts w:hint="cs"/>
          <w:rtl/>
        </w:rPr>
        <w:t>הצבא. 170,000 – קדימה לגיוס</w:t>
      </w:r>
      <w:bookmarkStart w:id="9475" w:name="_ETM_Q11_253819"/>
      <w:bookmarkStart w:id="9476" w:name="_ETM_Q11_254459"/>
      <w:bookmarkStart w:id="9477" w:name="_ETM_Q11_254729"/>
      <w:bookmarkStart w:id="9478" w:name="_ETM_Q11_255270"/>
      <w:bookmarkStart w:id="9479" w:name="_ETM_Q11_255750"/>
      <w:bookmarkEnd w:id="9475"/>
      <w:bookmarkEnd w:id="9476"/>
      <w:bookmarkEnd w:id="9477"/>
      <w:bookmarkEnd w:id="9478"/>
      <w:bookmarkEnd w:id="9479"/>
      <w:r>
        <w:rPr>
          <w:rFonts w:hint="cs"/>
          <w:rtl/>
        </w:rPr>
        <w:t xml:space="preserve">, </w:t>
      </w:r>
      <w:bookmarkStart w:id="9480" w:name="_ETM_Q11_256709"/>
      <w:bookmarkEnd w:id="9480"/>
      <w:r>
        <w:rPr>
          <w:rFonts w:hint="cs"/>
          <w:rtl/>
        </w:rPr>
        <w:t xml:space="preserve">תמלאו </w:t>
      </w:r>
      <w:bookmarkStart w:id="9481" w:name="_ETM_Q11_257279"/>
      <w:bookmarkEnd w:id="9481"/>
      <w:r>
        <w:rPr>
          <w:rFonts w:hint="cs"/>
          <w:rtl/>
        </w:rPr>
        <w:t xml:space="preserve">שורות. </w:t>
      </w:r>
      <w:bookmarkStart w:id="9482" w:name="_ETM_Q11_258390"/>
      <w:bookmarkEnd w:id="9482"/>
      <w:r>
        <w:rPr>
          <w:rFonts w:hint="cs"/>
          <w:rtl/>
        </w:rPr>
        <w:t xml:space="preserve">אבל </w:t>
      </w:r>
      <w:bookmarkStart w:id="9483" w:name="_ETM_Q11_258659"/>
      <w:bookmarkEnd w:id="9483"/>
      <w:r>
        <w:rPr>
          <w:rFonts w:hint="cs"/>
          <w:rtl/>
        </w:rPr>
        <w:t xml:space="preserve">אני </w:t>
      </w:r>
      <w:bookmarkStart w:id="9484" w:name="_ETM_Q11_252074"/>
      <w:bookmarkEnd w:id="9484"/>
      <w:r>
        <w:rPr>
          <w:rFonts w:hint="cs"/>
          <w:rtl/>
        </w:rPr>
        <w:t xml:space="preserve">כן </w:t>
      </w:r>
      <w:bookmarkStart w:id="9485" w:name="_ETM_Q11_259109"/>
      <w:bookmarkStart w:id="9486" w:name="_ETM_Q11_259319"/>
      <w:bookmarkEnd w:id="9485"/>
      <w:bookmarkEnd w:id="9486"/>
      <w:r>
        <w:rPr>
          <w:rFonts w:hint="cs"/>
          <w:rtl/>
        </w:rPr>
        <w:t xml:space="preserve">רוצה </w:t>
      </w:r>
      <w:bookmarkStart w:id="9487" w:name="_ETM_Q11_259619"/>
      <w:bookmarkEnd w:id="9487"/>
      <w:r>
        <w:rPr>
          <w:rFonts w:hint="cs"/>
          <w:rtl/>
        </w:rPr>
        <w:t xml:space="preserve">לראות </w:t>
      </w:r>
      <w:bookmarkStart w:id="9488" w:name="_ETM_Q11_259950"/>
      <w:bookmarkEnd w:id="9488"/>
      <w:r>
        <w:rPr>
          <w:rFonts w:hint="cs"/>
          <w:rtl/>
        </w:rPr>
        <w:t>את סמוטריץ' ו</w:t>
      </w:r>
      <w:bookmarkStart w:id="9489" w:name="_ETM_Q11_260549"/>
      <w:bookmarkEnd w:id="9489"/>
      <w:r>
        <w:rPr>
          <w:rFonts w:hint="cs"/>
          <w:rtl/>
        </w:rPr>
        <w:t xml:space="preserve">בן גביר בראש </w:t>
      </w:r>
      <w:bookmarkStart w:id="9490" w:name="_ETM_Q11_260969"/>
      <w:bookmarkStart w:id="9491" w:name="_ETM_Q11_261659"/>
      <w:bookmarkStart w:id="9492" w:name="_ETM_Q11_262409"/>
      <w:bookmarkStart w:id="9493" w:name="_ETM_Q11_255237"/>
      <w:bookmarkStart w:id="9494" w:name="_ETM_Q11_251031"/>
      <w:bookmarkStart w:id="9495" w:name="_ETM_Q11_246355"/>
      <w:bookmarkStart w:id="9496" w:name="_ETM_Q11_263810"/>
      <w:bookmarkEnd w:id="9490"/>
      <w:bookmarkEnd w:id="9491"/>
      <w:bookmarkEnd w:id="9492"/>
      <w:bookmarkEnd w:id="9493"/>
      <w:bookmarkEnd w:id="9494"/>
      <w:bookmarkEnd w:id="9495"/>
      <w:bookmarkEnd w:id="9496"/>
      <w:r>
        <w:rPr>
          <w:rFonts w:hint="cs"/>
          <w:rtl/>
        </w:rPr>
        <w:t xml:space="preserve">הצעדה </w:t>
      </w:r>
      <w:bookmarkStart w:id="9497" w:name="_ETM_Q11_264170"/>
      <w:bookmarkEnd w:id="9497"/>
      <w:r>
        <w:rPr>
          <w:rFonts w:hint="cs"/>
          <w:rtl/>
        </w:rPr>
        <w:t xml:space="preserve">הזאת, </w:t>
      </w:r>
      <w:bookmarkStart w:id="9498" w:name="_ETM_Q11_265009"/>
      <w:bookmarkEnd w:id="9498"/>
      <w:r>
        <w:rPr>
          <w:rFonts w:hint="cs"/>
          <w:rtl/>
        </w:rPr>
        <w:t xml:space="preserve">יחד </w:t>
      </w:r>
      <w:bookmarkStart w:id="9499" w:name="_ETM_Q11_265369"/>
      <w:bookmarkEnd w:id="9499"/>
      <w:r>
        <w:rPr>
          <w:rFonts w:hint="cs"/>
          <w:rtl/>
        </w:rPr>
        <w:t xml:space="preserve">עם </w:t>
      </w:r>
      <w:bookmarkStart w:id="9500" w:name="_ETM_Q11_265549"/>
      <w:bookmarkEnd w:id="9500"/>
      <w:r>
        <w:rPr>
          <w:rFonts w:hint="cs"/>
          <w:rtl/>
        </w:rPr>
        <w:t>דרעי, גולדקנופ</w:t>
      </w:r>
      <w:bookmarkStart w:id="9501" w:name="_ETM_Q11_265700"/>
      <w:bookmarkStart w:id="9502" w:name="_ETM_Q11_266060"/>
      <w:bookmarkStart w:id="9503" w:name="_ETM_Q11_266270"/>
      <w:bookmarkEnd w:id="9501"/>
      <w:bookmarkEnd w:id="9502"/>
      <w:bookmarkEnd w:id="9503"/>
      <w:r>
        <w:rPr>
          <w:rFonts w:hint="cs"/>
          <w:rtl/>
        </w:rPr>
        <w:t xml:space="preserve"> וגפני.</w:t>
      </w:r>
      <w:bookmarkStart w:id="9504" w:name="_ETM_Q11_261797"/>
      <w:bookmarkEnd w:id="9504"/>
      <w:r>
        <w:rPr>
          <w:rFonts w:hint="cs"/>
          <w:rtl/>
        </w:rPr>
        <w:t xml:space="preserve"> </w:t>
      </w:r>
      <w:bookmarkStart w:id="9505" w:name="_ETM_Q11_267479"/>
      <w:bookmarkEnd w:id="9505"/>
      <w:r>
        <w:rPr>
          <w:rFonts w:hint="cs"/>
          <w:rtl/>
        </w:rPr>
        <w:t xml:space="preserve">ואללה, </w:t>
      </w:r>
      <w:bookmarkStart w:id="9506" w:name="_ETM_Q11_268750"/>
      <w:bookmarkEnd w:id="9506"/>
      <w:r>
        <w:rPr>
          <w:rFonts w:hint="cs"/>
          <w:rtl/>
        </w:rPr>
        <w:t>עם</w:t>
      </w:r>
      <w:bookmarkStart w:id="9507" w:name="_ETM_Q11_268900"/>
      <w:bookmarkEnd w:id="9507"/>
      <w:r>
        <w:rPr>
          <w:rFonts w:hint="cs"/>
          <w:rtl/>
        </w:rPr>
        <w:t xml:space="preserve"> </w:t>
      </w:r>
      <w:bookmarkStart w:id="9508" w:name="_ETM_Q11_268990"/>
      <w:bookmarkEnd w:id="9508"/>
      <w:r>
        <w:rPr>
          <w:rFonts w:hint="cs"/>
          <w:rtl/>
        </w:rPr>
        <w:t xml:space="preserve">כוחות </w:t>
      </w:r>
      <w:bookmarkStart w:id="9509" w:name="_ETM_Q11_269329"/>
      <w:bookmarkEnd w:id="9509"/>
      <w:r>
        <w:rPr>
          <w:rFonts w:hint="cs"/>
          <w:rtl/>
        </w:rPr>
        <w:t>כאלו</w:t>
      </w:r>
      <w:bookmarkStart w:id="9510" w:name="_ETM_Q11_269749"/>
      <w:bookmarkEnd w:id="9510"/>
      <w:r>
        <w:rPr>
          <w:rFonts w:hint="cs"/>
          <w:rtl/>
        </w:rPr>
        <w:t xml:space="preserve"> </w:t>
      </w:r>
      <w:bookmarkStart w:id="9511" w:name="_ETM_Q11_269869"/>
      <w:bookmarkEnd w:id="9511"/>
      <w:r>
        <w:rPr>
          <w:rFonts w:hint="cs"/>
          <w:rtl/>
        </w:rPr>
        <w:t xml:space="preserve">אנחנו </w:t>
      </w:r>
      <w:bookmarkStart w:id="9512" w:name="_ETM_Q11_270139"/>
      <w:bookmarkEnd w:id="9512"/>
      <w:r>
        <w:rPr>
          <w:rFonts w:hint="cs"/>
          <w:rtl/>
        </w:rPr>
        <w:t xml:space="preserve">כנראה ננצח </w:t>
      </w:r>
      <w:bookmarkStart w:id="9513" w:name="_ETM_Q11_270859"/>
      <w:bookmarkEnd w:id="9513"/>
      <w:r>
        <w:rPr>
          <w:rFonts w:hint="cs"/>
          <w:rtl/>
        </w:rPr>
        <w:t xml:space="preserve">בכל </w:t>
      </w:r>
      <w:bookmarkStart w:id="9514" w:name="_ETM_Q11_271219"/>
      <w:bookmarkEnd w:id="9514"/>
      <w:r>
        <w:rPr>
          <w:rFonts w:hint="cs"/>
          <w:rtl/>
        </w:rPr>
        <w:t>הגזרות</w:t>
      </w:r>
      <w:bookmarkStart w:id="9515" w:name="_ETM_Q11_267068"/>
      <w:bookmarkStart w:id="9516" w:name="_ETM_Q11_273280"/>
      <w:bookmarkEnd w:id="9515"/>
      <w:bookmarkEnd w:id="9516"/>
      <w:r>
        <w:rPr>
          <w:rFonts w:hint="cs"/>
          <w:rtl/>
        </w:rPr>
        <w:t>.</w:t>
      </w:r>
    </w:p>
    <w:p w:rsidR="000C5C1F" w:rsidRDefault="000C5C1F" w:rsidP="000C5C1F">
      <w:pPr>
        <w:ind w:firstLine="0"/>
        <w:rPr>
          <w:rtl/>
        </w:rPr>
      </w:pPr>
    </w:p>
    <w:p w:rsidR="000C5C1F" w:rsidRDefault="000C5C1F" w:rsidP="000C5C1F">
      <w:pPr>
        <w:rPr>
          <w:rtl/>
        </w:rPr>
      </w:pPr>
      <w:bookmarkStart w:id="9517" w:name="_ETM_Q11_278510"/>
      <w:bookmarkEnd w:id="9517"/>
      <w:r>
        <w:rPr>
          <w:rFonts w:hint="cs"/>
          <w:rtl/>
        </w:rPr>
        <w:t xml:space="preserve">החקיקה </w:t>
      </w:r>
      <w:bookmarkStart w:id="9518" w:name="_ETM_Q11_279080"/>
      <w:bookmarkEnd w:id="9518"/>
      <w:r>
        <w:rPr>
          <w:rFonts w:hint="cs"/>
          <w:rtl/>
        </w:rPr>
        <w:t xml:space="preserve">הזאת </w:t>
      </w:r>
      <w:bookmarkStart w:id="9519" w:name="_ETM_Q11_279979"/>
      <w:bookmarkEnd w:id="9519"/>
      <w:r>
        <w:rPr>
          <w:rFonts w:hint="cs"/>
          <w:rtl/>
        </w:rPr>
        <w:t xml:space="preserve">צריכה </w:t>
      </w:r>
      <w:bookmarkStart w:id="9520" w:name="_ETM_Q11_280400"/>
      <w:bookmarkEnd w:id="9520"/>
      <w:r>
        <w:rPr>
          <w:rFonts w:hint="cs"/>
          <w:rtl/>
        </w:rPr>
        <w:t xml:space="preserve">לרדת </w:t>
      </w:r>
      <w:bookmarkStart w:id="9521" w:name="_ETM_Q11_280819"/>
      <w:bookmarkEnd w:id="9521"/>
      <w:r>
        <w:rPr>
          <w:rFonts w:hint="cs"/>
          <w:rtl/>
        </w:rPr>
        <w:t>מ</w:t>
      </w:r>
      <w:bookmarkStart w:id="9522" w:name="_ETM_Q11_281090"/>
      <w:bookmarkEnd w:id="9522"/>
      <w:r>
        <w:rPr>
          <w:rFonts w:hint="cs"/>
          <w:rtl/>
        </w:rPr>
        <w:t>סדר-ה</w:t>
      </w:r>
      <w:bookmarkStart w:id="9523" w:name="_ETM_Q11_281479"/>
      <w:bookmarkEnd w:id="9523"/>
      <w:r>
        <w:rPr>
          <w:rFonts w:hint="cs"/>
          <w:rtl/>
        </w:rPr>
        <w:t xml:space="preserve">יום – </w:t>
      </w:r>
      <w:bookmarkStart w:id="9524" w:name="_ETM_Q11_283049"/>
      <w:bookmarkEnd w:id="9524"/>
      <w:r>
        <w:rPr>
          <w:rFonts w:hint="cs"/>
          <w:rtl/>
        </w:rPr>
        <w:t xml:space="preserve">לא </w:t>
      </w:r>
      <w:bookmarkStart w:id="9525" w:name="_ETM_Q11_283319"/>
      <w:bookmarkEnd w:id="9525"/>
      <w:r>
        <w:rPr>
          <w:rFonts w:hint="cs"/>
          <w:rtl/>
        </w:rPr>
        <w:t xml:space="preserve">הידברות, </w:t>
      </w:r>
      <w:bookmarkStart w:id="9526" w:name="_ETM_Q11_284399"/>
      <w:bookmarkEnd w:id="9526"/>
      <w:r>
        <w:rPr>
          <w:rFonts w:hint="cs"/>
          <w:rtl/>
        </w:rPr>
        <w:t xml:space="preserve">לא </w:t>
      </w:r>
      <w:bookmarkStart w:id="9527" w:name="_ETM_Q11_284640"/>
      <w:bookmarkEnd w:id="9527"/>
      <w:r>
        <w:rPr>
          <w:rFonts w:hint="cs"/>
          <w:rtl/>
        </w:rPr>
        <w:t>נעל</w:t>
      </w:r>
      <w:bookmarkStart w:id="9528" w:name="_ETM_Q11_285149"/>
      <w:bookmarkEnd w:id="9528"/>
      <w:r>
        <w:rPr>
          <w:rFonts w:hint="cs"/>
          <w:rtl/>
        </w:rPr>
        <w:t xml:space="preserve">יים </w:t>
      </w:r>
      <w:bookmarkStart w:id="9529" w:name="_ETM_Q11_285540"/>
      <w:bookmarkEnd w:id="9529"/>
      <w:r>
        <w:rPr>
          <w:rFonts w:hint="cs"/>
          <w:rtl/>
        </w:rPr>
        <w:t xml:space="preserve">ולא </w:t>
      </w:r>
      <w:bookmarkStart w:id="9530" w:name="_ETM_Q11_285720"/>
      <w:bookmarkEnd w:id="9530"/>
      <w:r>
        <w:rPr>
          <w:rFonts w:hint="cs"/>
          <w:rtl/>
        </w:rPr>
        <w:t xml:space="preserve">סיפורי </w:t>
      </w:r>
      <w:bookmarkStart w:id="9531" w:name="_ETM_Q11_286140"/>
      <w:bookmarkEnd w:id="9531"/>
      <w:r>
        <w:rPr>
          <w:rFonts w:hint="cs"/>
          <w:rtl/>
        </w:rPr>
        <w:t xml:space="preserve">סבתא. </w:t>
      </w:r>
      <w:bookmarkStart w:id="9532" w:name="_ETM_Q11_287409"/>
      <w:bookmarkEnd w:id="9532"/>
      <w:r>
        <w:rPr>
          <w:rFonts w:hint="cs"/>
          <w:rtl/>
        </w:rPr>
        <w:t xml:space="preserve">והסיבה </w:t>
      </w:r>
      <w:bookmarkStart w:id="9533" w:name="_ETM_Q11_288159"/>
      <w:bookmarkStart w:id="9534" w:name="_ETM_Q11_288490"/>
      <w:bookmarkEnd w:id="9533"/>
      <w:bookmarkEnd w:id="9534"/>
      <w:r>
        <w:rPr>
          <w:rFonts w:hint="cs"/>
          <w:rtl/>
        </w:rPr>
        <w:t>פשוטה מאוד</w:t>
      </w:r>
      <w:bookmarkStart w:id="9535" w:name="_ETM_Q11_288235"/>
      <w:bookmarkEnd w:id="9535"/>
      <w:r>
        <w:rPr>
          <w:rFonts w:hint="cs"/>
          <w:rtl/>
        </w:rPr>
        <w:t xml:space="preserve">. </w:t>
      </w:r>
      <w:bookmarkStart w:id="9536" w:name="_ETM_Q11_289500"/>
      <w:bookmarkStart w:id="9537" w:name="_ETM_Q11_289799"/>
      <w:bookmarkEnd w:id="9536"/>
      <w:bookmarkEnd w:id="9537"/>
      <w:r>
        <w:rPr>
          <w:rFonts w:hint="cs"/>
          <w:rtl/>
        </w:rPr>
        <w:t xml:space="preserve">כל </w:t>
      </w:r>
      <w:bookmarkStart w:id="9538" w:name="_ETM_Q11_289979"/>
      <w:bookmarkEnd w:id="9538"/>
      <w:r>
        <w:rPr>
          <w:rFonts w:hint="cs"/>
          <w:rtl/>
        </w:rPr>
        <w:t xml:space="preserve">מי </w:t>
      </w:r>
      <w:bookmarkStart w:id="9539" w:name="_ETM_Q11_290130"/>
      <w:bookmarkEnd w:id="9539"/>
      <w:r>
        <w:rPr>
          <w:rFonts w:hint="cs"/>
          <w:rtl/>
        </w:rPr>
        <w:t xml:space="preserve">שמדבר </w:t>
      </w:r>
      <w:bookmarkStart w:id="9540" w:name="_ETM_Q11_291360"/>
      <w:bookmarkEnd w:id="9540"/>
      <w:r>
        <w:rPr>
          <w:rFonts w:hint="cs"/>
          <w:rtl/>
        </w:rPr>
        <w:t xml:space="preserve">אך </w:t>
      </w:r>
      <w:bookmarkStart w:id="9541" w:name="_ETM_Q11_291689"/>
      <w:bookmarkEnd w:id="9541"/>
      <w:r>
        <w:rPr>
          <w:rFonts w:hint="cs"/>
          <w:rtl/>
        </w:rPr>
        <w:t xml:space="preserve">ורק </w:t>
      </w:r>
      <w:bookmarkStart w:id="9542" w:name="_ETM_Q11_292170"/>
      <w:bookmarkEnd w:id="9542"/>
      <w:r>
        <w:rPr>
          <w:rFonts w:hint="cs"/>
          <w:rtl/>
        </w:rPr>
        <w:t xml:space="preserve">על </w:t>
      </w:r>
      <w:bookmarkStart w:id="9543" w:name="_ETM_Q11_292350"/>
      <w:bookmarkEnd w:id="9543"/>
      <w:r>
        <w:rPr>
          <w:rFonts w:hint="cs"/>
          <w:rtl/>
        </w:rPr>
        <w:t xml:space="preserve">ביטול </w:t>
      </w:r>
      <w:bookmarkStart w:id="9544" w:name="_ETM_Q11_292680"/>
      <w:bookmarkEnd w:id="9544"/>
      <w:r>
        <w:rPr>
          <w:rFonts w:hint="cs"/>
          <w:rtl/>
        </w:rPr>
        <w:t xml:space="preserve">עילת </w:t>
      </w:r>
      <w:bookmarkStart w:id="9545" w:name="_ETM_Q11_292950"/>
      <w:bookmarkEnd w:id="9545"/>
      <w:r>
        <w:rPr>
          <w:rFonts w:hint="cs"/>
          <w:rtl/>
        </w:rPr>
        <w:t xml:space="preserve">הסבירות </w:t>
      </w:r>
      <w:bookmarkStart w:id="9546" w:name="_ETM_Q11_294860"/>
      <w:bookmarkStart w:id="9547" w:name="_ETM_Q11_295010"/>
      <w:bookmarkEnd w:id="9546"/>
      <w:bookmarkEnd w:id="9547"/>
      <w:r>
        <w:rPr>
          <w:rFonts w:hint="cs"/>
          <w:rtl/>
        </w:rPr>
        <w:t xml:space="preserve">משקר </w:t>
      </w:r>
      <w:bookmarkStart w:id="9548" w:name="_ETM_Q11_295520"/>
      <w:bookmarkEnd w:id="9548"/>
      <w:r>
        <w:rPr>
          <w:rFonts w:hint="cs"/>
          <w:rtl/>
        </w:rPr>
        <w:t xml:space="preserve">לעצמו </w:t>
      </w:r>
      <w:bookmarkStart w:id="9549" w:name="_ETM_Q11_297010"/>
      <w:bookmarkEnd w:id="9549"/>
      <w:r>
        <w:rPr>
          <w:rFonts w:hint="cs"/>
          <w:rtl/>
        </w:rPr>
        <w:t xml:space="preserve">וגם </w:t>
      </w:r>
      <w:bookmarkStart w:id="9550" w:name="_ETM_Q11_297490"/>
      <w:bookmarkEnd w:id="9550"/>
      <w:r>
        <w:rPr>
          <w:rFonts w:hint="cs"/>
          <w:rtl/>
        </w:rPr>
        <w:t xml:space="preserve">לאנשים </w:t>
      </w:r>
      <w:bookmarkStart w:id="9551" w:name="_ETM_Q11_298889"/>
      <w:bookmarkEnd w:id="9551"/>
      <w:r>
        <w:rPr>
          <w:rFonts w:hint="cs"/>
          <w:rtl/>
        </w:rPr>
        <w:t xml:space="preserve">אחרים, </w:t>
      </w:r>
      <w:bookmarkStart w:id="9552" w:name="_ETM_Q11_300159"/>
      <w:bookmarkEnd w:id="9552"/>
      <w:r>
        <w:rPr>
          <w:rFonts w:hint="cs"/>
          <w:rtl/>
        </w:rPr>
        <w:t xml:space="preserve">כי </w:t>
      </w:r>
      <w:bookmarkStart w:id="9553" w:name="_ETM_Q11_300310"/>
      <w:bookmarkEnd w:id="9553"/>
      <w:r>
        <w:rPr>
          <w:rFonts w:hint="cs"/>
          <w:rtl/>
        </w:rPr>
        <w:t xml:space="preserve">זו </w:t>
      </w:r>
      <w:bookmarkStart w:id="9554" w:name="_ETM_Q11_300490"/>
      <w:bookmarkEnd w:id="9554"/>
      <w:r>
        <w:rPr>
          <w:rFonts w:hint="cs"/>
          <w:rtl/>
        </w:rPr>
        <w:t xml:space="preserve">רק </w:t>
      </w:r>
      <w:bookmarkStart w:id="9555" w:name="_ETM_Q11_300700"/>
      <w:bookmarkEnd w:id="9555"/>
      <w:r>
        <w:rPr>
          <w:rFonts w:hint="cs"/>
          <w:rtl/>
        </w:rPr>
        <w:t xml:space="preserve">אבן </w:t>
      </w:r>
      <w:bookmarkStart w:id="9556" w:name="_ETM_Q11_301000"/>
      <w:bookmarkEnd w:id="9556"/>
      <w:r>
        <w:rPr>
          <w:rFonts w:hint="cs"/>
          <w:rtl/>
        </w:rPr>
        <w:t xml:space="preserve">אחת </w:t>
      </w:r>
      <w:bookmarkStart w:id="9557" w:name="_ETM_Q11_301450"/>
      <w:bookmarkEnd w:id="9557"/>
      <w:r>
        <w:rPr>
          <w:rFonts w:hint="cs"/>
          <w:rtl/>
        </w:rPr>
        <w:t xml:space="preserve">קטנה </w:t>
      </w:r>
      <w:bookmarkStart w:id="9558" w:name="_ETM_Q11_302020"/>
      <w:bookmarkEnd w:id="9558"/>
      <w:r>
        <w:rPr>
          <w:rFonts w:hint="cs"/>
          <w:rtl/>
        </w:rPr>
        <w:t xml:space="preserve">בתוך </w:t>
      </w:r>
      <w:bookmarkStart w:id="9559" w:name="_ETM_Q11_302500"/>
      <w:bookmarkEnd w:id="9559"/>
      <w:r>
        <w:rPr>
          <w:rFonts w:hint="cs"/>
          <w:rtl/>
        </w:rPr>
        <w:t xml:space="preserve">כל </w:t>
      </w:r>
      <w:bookmarkStart w:id="9560" w:name="_ETM_Q11_302740"/>
      <w:bookmarkEnd w:id="9560"/>
      <w:r>
        <w:rPr>
          <w:rFonts w:hint="cs"/>
          <w:rtl/>
        </w:rPr>
        <w:t xml:space="preserve">הקונסטרוקציה </w:t>
      </w:r>
      <w:bookmarkStart w:id="9561" w:name="_ETM_Q11_303520"/>
      <w:bookmarkEnd w:id="9561"/>
      <w:r>
        <w:rPr>
          <w:rFonts w:hint="cs"/>
          <w:rtl/>
        </w:rPr>
        <w:t xml:space="preserve">של </w:t>
      </w:r>
      <w:bookmarkStart w:id="9562" w:name="_ETM_Q11_303700"/>
      <w:bookmarkEnd w:id="9562"/>
      <w:r>
        <w:rPr>
          <w:rFonts w:hint="cs"/>
          <w:rtl/>
        </w:rPr>
        <w:t xml:space="preserve">יריב </w:t>
      </w:r>
      <w:bookmarkStart w:id="9563" w:name="_ETM_Q11_303969"/>
      <w:bookmarkEnd w:id="9563"/>
      <w:r>
        <w:rPr>
          <w:rFonts w:hint="cs"/>
          <w:rtl/>
        </w:rPr>
        <w:t xml:space="preserve">לוין </w:t>
      </w:r>
      <w:bookmarkStart w:id="9564" w:name="_ETM_Q11_304299"/>
      <w:bookmarkEnd w:id="9564"/>
      <w:r>
        <w:rPr>
          <w:rFonts w:hint="cs"/>
          <w:rtl/>
        </w:rPr>
        <w:t xml:space="preserve">ושמחה </w:t>
      </w:r>
      <w:bookmarkStart w:id="9565" w:name="_ETM_Q11_304780"/>
      <w:bookmarkEnd w:id="9565"/>
      <w:r>
        <w:rPr>
          <w:rFonts w:hint="cs"/>
          <w:rtl/>
        </w:rPr>
        <w:t>רוטמן</w:t>
      </w:r>
      <w:bookmarkStart w:id="9566" w:name="_ETM_Q11_302852"/>
      <w:bookmarkEnd w:id="9566"/>
      <w:r>
        <w:rPr>
          <w:rFonts w:hint="cs"/>
          <w:rtl/>
        </w:rPr>
        <w:t xml:space="preserve">, </w:t>
      </w:r>
      <w:bookmarkStart w:id="9567" w:name="_ETM_Q11_305810"/>
      <w:bookmarkEnd w:id="9567"/>
      <w:r>
        <w:rPr>
          <w:rFonts w:hint="cs"/>
          <w:rtl/>
        </w:rPr>
        <w:t xml:space="preserve">וצריך </w:t>
      </w:r>
      <w:bookmarkStart w:id="9568" w:name="_ETM_Q11_306380"/>
      <w:bookmarkEnd w:id="9568"/>
      <w:r>
        <w:rPr>
          <w:rFonts w:hint="cs"/>
          <w:rtl/>
        </w:rPr>
        <w:t xml:space="preserve">לראות </w:t>
      </w:r>
      <w:bookmarkStart w:id="9569" w:name="_ETM_Q11_306710"/>
      <w:bookmarkEnd w:id="9569"/>
      <w:r>
        <w:rPr>
          <w:rFonts w:hint="cs"/>
          <w:rtl/>
        </w:rPr>
        <w:t xml:space="preserve">את </w:t>
      </w:r>
      <w:bookmarkStart w:id="9570" w:name="_ETM_Q11_306829"/>
      <w:bookmarkEnd w:id="9570"/>
      <w:r>
        <w:rPr>
          <w:rFonts w:hint="cs"/>
          <w:rtl/>
        </w:rPr>
        <w:t>זה</w:t>
      </w:r>
      <w:bookmarkStart w:id="9571" w:name="_ETM_Q11_306950"/>
      <w:bookmarkEnd w:id="9571"/>
      <w:r>
        <w:rPr>
          <w:rFonts w:hint="cs"/>
          <w:rtl/>
        </w:rPr>
        <w:t xml:space="preserve"> בזום-אאוט.</w:t>
      </w:r>
      <w:bookmarkStart w:id="9572" w:name="_ETM_Q11_307280"/>
      <w:bookmarkEnd w:id="9572"/>
      <w:r>
        <w:rPr>
          <w:rFonts w:hint="cs"/>
          <w:rtl/>
        </w:rPr>
        <w:t xml:space="preserve"> </w:t>
      </w:r>
      <w:bookmarkStart w:id="9573" w:name="_ETM_Q11_308580"/>
      <w:bookmarkEnd w:id="9573"/>
      <w:r>
        <w:rPr>
          <w:rFonts w:hint="cs"/>
          <w:rtl/>
        </w:rPr>
        <w:t xml:space="preserve">אסור </w:t>
      </w:r>
      <w:bookmarkStart w:id="9574" w:name="_ETM_Q11_309599"/>
      <w:bookmarkEnd w:id="9574"/>
      <w:r>
        <w:rPr>
          <w:rFonts w:hint="cs"/>
          <w:rtl/>
        </w:rPr>
        <w:t xml:space="preserve">להיכנע </w:t>
      </w:r>
      <w:bookmarkStart w:id="9575" w:name="_ETM_Q11_310319"/>
      <w:bookmarkEnd w:id="9575"/>
      <w:r>
        <w:rPr>
          <w:rFonts w:hint="cs"/>
          <w:rtl/>
        </w:rPr>
        <w:t xml:space="preserve">עכשיו </w:t>
      </w:r>
      <w:bookmarkStart w:id="9576" w:name="_ETM_Q11_310800"/>
      <w:bookmarkEnd w:id="9576"/>
      <w:r>
        <w:rPr>
          <w:rFonts w:hint="cs"/>
          <w:rtl/>
        </w:rPr>
        <w:t xml:space="preserve">לסיפורים </w:t>
      </w:r>
      <w:bookmarkStart w:id="9577" w:name="_ETM_Q11_311370"/>
      <w:bookmarkEnd w:id="9577"/>
      <w:r>
        <w:rPr>
          <w:rFonts w:hint="cs"/>
          <w:rtl/>
        </w:rPr>
        <w:t>ש</w:t>
      </w:r>
      <w:bookmarkStart w:id="9578" w:name="_ETM_Q11_311730"/>
      <w:bookmarkEnd w:id="9578"/>
      <w:r>
        <w:rPr>
          <w:rFonts w:hint="cs"/>
          <w:rtl/>
        </w:rPr>
        <w:t xml:space="preserve">ל עילת </w:t>
      </w:r>
      <w:bookmarkStart w:id="9579" w:name="_ETM_Q11_311849"/>
      <w:bookmarkEnd w:id="9579"/>
      <w:r>
        <w:rPr>
          <w:rFonts w:hint="cs"/>
          <w:rtl/>
        </w:rPr>
        <w:t xml:space="preserve">הסבירות, </w:t>
      </w:r>
      <w:bookmarkStart w:id="9580" w:name="_ETM_Q11_313319"/>
      <w:bookmarkEnd w:id="9580"/>
      <w:r>
        <w:rPr>
          <w:rFonts w:hint="cs"/>
          <w:rtl/>
        </w:rPr>
        <w:t xml:space="preserve">כי </w:t>
      </w:r>
      <w:bookmarkStart w:id="9581" w:name="_ETM_Q11_313469"/>
      <w:bookmarkEnd w:id="9581"/>
      <w:r>
        <w:rPr>
          <w:rFonts w:hint="cs"/>
          <w:rtl/>
        </w:rPr>
        <w:t xml:space="preserve">אחר </w:t>
      </w:r>
      <w:bookmarkStart w:id="9582" w:name="_ETM_Q11_313739"/>
      <w:bookmarkEnd w:id="9582"/>
      <w:r>
        <w:rPr>
          <w:rFonts w:hint="cs"/>
          <w:rtl/>
        </w:rPr>
        <w:t xml:space="preserve">כך </w:t>
      </w:r>
      <w:bookmarkStart w:id="9583" w:name="_ETM_Q11_313950"/>
      <w:bookmarkEnd w:id="9583"/>
      <w:r>
        <w:rPr>
          <w:rFonts w:hint="cs"/>
          <w:rtl/>
        </w:rPr>
        <w:t xml:space="preserve">תהיה </w:t>
      </w:r>
      <w:bookmarkStart w:id="9584" w:name="_ETM_Q11_315080"/>
      <w:bookmarkEnd w:id="9584"/>
      <w:r>
        <w:rPr>
          <w:rFonts w:hint="cs"/>
          <w:rtl/>
        </w:rPr>
        <w:t xml:space="preserve">פסקת </w:t>
      </w:r>
      <w:bookmarkStart w:id="9585" w:name="_ETM_Q11_315560"/>
      <w:bookmarkEnd w:id="9585"/>
      <w:r>
        <w:rPr>
          <w:rFonts w:hint="cs"/>
          <w:rtl/>
        </w:rPr>
        <w:t xml:space="preserve">ההתגברות, </w:t>
      </w:r>
      <w:bookmarkStart w:id="9586" w:name="_ETM_Q11_316550"/>
      <w:bookmarkEnd w:id="9586"/>
      <w:r>
        <w:rPr>
          <w:rFonts w:hint="cs"/>
          <w:rtl/>
        </w:rPr>
        <w:t xml:space="preserve">ואחר </w:t>
      </w:r>
      <w:bookmarkStart w:id="9587" w:name="_ETM_Q11_317120"/>
      <w:bookmarkEnd w:id="9587"/>
      <w:r>
        <w:rPr>
          <w:rFonts w:hint="cs"/>
          <w:rtl/>
        </w:rPr>
        <w:t xml:space="preserve">כך </w:t>
      </w:r>
      <w:bookmarkStart w:id="9588" w:name="_ETM_Q11_317300"/>
      <w:bookmarkEnd w:id="9588"/>
      <w:r>
        <w:rPr>
          <w:rFonts w:hint="cs"/>
          <w:rtl/>
        </w:rPr>
        <w:t xml:space="preserve">יועמ"שים </w:t>
      </w:r>
      <w:bookmarkStart w:id="9589" w:name="_ETM_Q11_317989"/>
      <w:bookmarkEnd w:id="9589"/>
      <w:r>
        <w:rPr>
          <w:rFonts w:hint="cs"/>
          <w:rtl/>
        </w:rPr>
        <w:t xml:space="preserve">ואחר </w:t>
      </w:r>
      <w:bookmarkStart w:id="9590" w:name="_ETM_Q11_318290"/>
      <w:bookmarkEnd w:id="9590"/>
      <w:r>
        <w:rPr>
          <w:rFonts w:hint="cs"/>
          <w:rtl/>
        </w:rPr>
        <w:t xml:space="preserve">כך </w:t>
      </w:r>
      <w:bookmarkStart w:id="9591" w:name="_ETM_Q11_318470"/>
      <w:bookmarkEnd w:id="9591"/>
      <w:r>
        <w:rPr>
          <w:rFonts w:hint="cs"/>
          <w:rtl/>
        </w:rPr>
        <w:t xml:space="preserve">הוועדה </w:t>
      </w:r>
      <w:bookmarkStart w:id="9592" w:name="_ETM_Q11_318739"/>
      <w:bookmarkEnd w:id="9592"/>
      <w:r>
        <w:rPr>
          <w:rFonts w:hint="cs"/>
          <w:rtl/>
        </w:rPr>
        <w:t xml:space="preserve">לבחירת </w:t>
      </w:r>
      <w:bookmarkStart w:id="9593" w:name="_ETM_Q11_319190"/>
      <w:bookmarkEnd w:id="9593"/>
      <w:r>
        <w:rPr>
          <w:rFonts w:hint="cs"/>
          <w:rtl/>
        </w:rPr>
        <w:t xml:space="preserve">שופטים. </w:t>
      </w:r>
      <w:bookmarkStart w:id="9594" w:name="_ETM_Q11_320909"/>
      <w:bookmarkEnd w:id="9594"/>
      <w:r>
        <w:rPr>
          <w:rFonts w:hint="cs"/>
          <w:rtl/>
        </w:rPr>
        <w:t xml:space="preserve">חייבים </w:t>
      </w:r>
      <w:bookmarkStart w:id="9595" w:name="_ETM_Q11_321689"/>
      <w:bookmarkEnd w:id="9595"/>
      <w:r>
        <w:rPr>
          <w:rFonts w:hint="cs"/>
          <w:rtl/>
        </w:rPr>
        <w:t xml:space="preserve">לראות </w:t>
      </w:r>
      <w:bookmarkStart w:id="9596" w:name="_ETM_Q11_322080"/>
      <w:bookmarkEnd w:id="9596"/>
      <w:r>
        <w:rPr>
          <w:rFonts w:hint="cs"/>
          <w:rtl/>
        </w:rPr>
        <w:t xml:space="preserve">את </w:t>
      </w:r>
      <w:bookmarkStart w:id="9597" w:name="_ETM_Q11_322200"/>
      <w:bookmarkEnd w:id="9597"/>
      <w:r>
        <w:rPr>
          <w:rFonts w:hint="cs"/>
          <w:rtl/>
        </w:rPr>
        <w:t xml:space="preserve">כל </w:t>
      </w:r>
      <w:bookmarkStart w:id="9598" w:name="_ETM_Q11_322470"/>
      <w:bookmarkEnd w:id="9598"/>
      <w:r>
        <w:rPr>
          <w:rFonts w:hint="cs"/>
          <w:rtl/>
        </w:rPr>
        <w:t xml:space="preserve">התמונה </w:t>
      </w:r>
      <w:bookmarkStart w:id="9599" w:name="_ETM_Q11_323189"/>
      <w:bookmarkEnd w:id="9599"/>
      <w:r>
        <w:rPr>
          <w:rFonts w:hint="cs"/>
          <w:rtl/>
        </w:rPr>
        <w:t xml:space="preserve">מכל </w:t>
      </w:r>
      <w:bookmarkStart w:id="9600" w:name="_ETM_Q11_323610"/>
      <w:bookmarkEnd w:id="9600"/>
      <w:r>
        <w:rPr>
          <w:rFonts w:hint="cs"/>
          <w:rtl/>
        </w:rPr>
        <w:t xml:space="preserve">הזוויות </w:t>
      </w:r>
      <w:bookmarkStart w:id="9601" w:name="_ETM_Q11_324629"/>
      <w:bookmarkEnd w:id="9601"/>
      <w:r>
        <w:rPr>
          <w:rFonts w:hint="cs"/>
          <w:rtl/>
        </w:rPr>
        <w:t xml:space="preserve">כולל </w:t>
      </w:r>
      <w:bookmarkStart w:id="9602" w:name="_ETM_Q11_325019"/>
      <w:bookmarkEnd w:id="9602"/>
      <w:r>
        <w:rPr>
          <w:rFonts w:hint="cs"/>
          <w:rtl/>
        </w:rPr>
        <w:t xml:space="preserve">כל </w:t>
      </w:r>
      <w:bookmarkStart w:id="9603" w:name="_ETM_Q11_325319"/>
      <w:bookmarkEnd w:id="9603"/>
      <w:r>
        <w:rPr>
          <w:rFonts w:hint="cs"/>
          <w:rtl/>
        </w:rPr>
        <w:t xml:space="preserve">ההשלכות, </w:t>
      </w:r>
      <w:bookmarkStart w:id="9604" w:name="_ETM_Q11_326459"/>
      <w:bookmarkEnd w:id="9604"/>
      <w:r>
        <w:rPr>
          <w:rFonts w:hint="cs"/>
          <w:rtl/>
        </w:rPr>
        <w:t xml:space="preserve">לרוחב </w:t>
      </w:r>
      <w:bookmarkStart w:id="9605" w:name="_ETM_Q11_327150"/>
      <w:bookmarkEnd w:id="9605"/>
      <w:r>
        <w:rPr>
          <w:rFonts w:hint="cs"/>
          <w:rtl/>
        </w:rPr>
        <w:t>ולעומק.</w:t>
      </w:r>
      <w:bookmarkStart w:id="9606" w:name="_ETM_Q11_334953"/>
      <w:bookmarkEnd w:id="9606"/>
      <w:r>
        <w:rPr>
          <w:rFonts w:hint="cs"/>
          <w:rtl/>
        </w:rPr>
        <w:t xml:space="preserve"> </w:t>
      </w:r>
      <w:bookmarkStart w:id="9607" w:name="_ETM_Q11_328319"/>
      <w:bookmarkEnd w:id="9607"/>
      <w:r>
        <w:rPr>
          <w:rFonts w:hint="cs"/>
          <w:rtl/>
        </w:rPr>
        <w:t xml:space="preserve">כי </w:t>
      </w:r>
      <w:bookmarkStart w:id="9608" w:name="_ETM_Q11_328560"/>
      <w:bookmarkEnd w:id="9608"/>
      <w:r>
        <w:rPr>
          <w:rFonts w:hint="cs"/>
          <w:rtl/>
        </w:rPr>
        <w:t xml:space="preserve">יש </w:t>
      </w:r>
      <w:bookmarkStart w:id="9609" w:name="_ETM_Q11_328769"/>
      <w:bookmarkEnd w:id="9609"/>
      <w:r>
        <w:rPr>
          <w:rFonts w:hint="cs"/>
          <w:rtl/>
        </w:rPr>
        <w:t xml:space="preserve">כאלה, </w:t>
      </w:r>
      <w:bookmarkStart w:id="9610" w:name="_ETM_Q11_329760"/>
      <w:bookmarkEnd w:id="9610"/>
      <w:r>
        <w:rPr>
          <w:rFonts w:hint="cs"/>
          <w:rtl/>
        </w:rPr>
        <w:t xml:space="preserve">ואנחנו </w:t>
      </w:r>
      <w:bookmarkStart w:id="9611" w:name="_ETM_Q11_330299"/>
      <w:bookmarkEnd w:id="9611"/>
      <w:r>
        <w:rPr>
          <w:rFonts w:hint="cs"/>
          <w:rtl/>
        </w:rPr>
        <w:t xml:space="preserve">בוועדת </w:t>
      </w:r>
      <w:bookmarkStart w:id="9612" w:name="_ETM_Q11_330779"/>
      <w:bookmarkEnd w:id="9612"/>
      <w:r>
        <w:rPr>
          <w:rFonts w:hint="cs"/>
          <w:rtl/>
        </w:rPr>
        <w:t xml:space="preserve">החוקה </w:t>
      </w:r>
      <w:bookmarkStart w:id="9613" w:name="_ETM_Q11_331290"/>
      <w:bookmarkEnd w:id="9613"/>
      <w:r>
        <w:rPr>
          <w:rFonts w:hint="cs"/>
          <w:rtl/>
        </w:rPr>
        <w:t xml:space="preserve">שמענו </w:t>
      </w:r>
      <w:bookmarkStart w:id="9614" w:name="_ETM_Q11_331919"/>
      <w:bookmarkEnd w:id="9614"/>
      <w:r>
        <w:rPr>
          <w:rFonts w:hint="cs"/>
          <w:rtl/>
        </w:rPr>
        <w:t xml:space="preserve">וראינו </w:t>
      </w:r>
      <w:bookmarkStart w:id="9615" w:name="_ETM_Q11_332489"/>
      <w:bookmarkEnd w:id="9615"/>
      <w:r>
        <w:rPr>
          <w:rFonts w:hint="cs"/>
          <w:rtl/>
        </w:rPr>
        <w:t xml:space="preserve">אותם, </w:t>
      </w:r>
      <w:bookmarkStart w:id="9616" w:name="_ETM_Q11_333389"/>
      <w:bookmarkEnd w:id="9616"/>
      <w:r>
        <w:rPr>
          <w:rFonts w:hint="cs"/>
          <w:rtl/>
        </w:rPr>
        <w:t xml:space="preserve">איך </w:t>
      </w:r>
      <w:bookmarkStart w:id="9617" w:name="_ETM_Q11_333599"/>
      <w:bookmarkEnd w:id="9617"/>
      <w:r>
        <w:rPr>
          <w:rFonts w:hint="cs"/>
          <w:rtl/>
        </w:rPr>
        <w:t xml:space="preserve">זה </w:t>
      </w:r>
      <w:bookmarkStart w:id="9618" w:name="_ETM_Q11_333779"/>
      <w:bookmarkEnd w:id="9618"/>
      <w:r>
        <w:rPr>
          <w:rFonts w:hint="cs"/>
          <w:rtl/>
        </w:rPr>
        <w:t xml:space="preserve">השפיע </w:t>
      </w:r>
      <w:bookmarkStart w:id="9619" w:name="_ETM_Q11_335049"/>
      <w:bookmarkEnd w:id="9619"/>
      <w:r>
        <w:rPr>
          <w:rFonts w:hint="cs"/>
          <w:rtl/>
        </w:rPr>
        <w:t xml:space="preserve">על </w:t>
      </w:r>
      <w:bookmarkStart w:id="9620" w:name="_ETM_Q11_335260"/>
      <w:bookmarkEnd w:id="9620"/>
      <w:r>
        <w:rPr>
          <w:rFonts w:hint="cs"/>
          <w:rtl/>
        </w:rPr>
        <w:t xml:space="preserve">החלטות </w:t>
      </w:r>
      <w:bookmarkStart w:id="9621" w:name="_ETM_Q11_335739"/>
      <w:bookmarkEnd w:id="9621"/>
      <w:r>
        <w:rPr>
          <w:rFonts w:hint="cs"/>
          <w:rtl/>
        </w:rPr>
        <w:t>אחרות</w:t>
      </w:r>
      <w:bookmarkStart w:id="9622" w:name="_ETM_Q11_336730"/>
      <w:bookmarkStart w:id="9623" w:name="_ETM_Q11_336910"/>
      <w:bookmarkStart w:id="9624" w:name="_ETM_Q11_337090"/>
      <w:bookmarkEnd w:id="9622"/>
      <w:bookmarkEnd w:id="9623"/>
      <w:bookmarkEnd w:id="9624"/>
      <w:r>
        <w:rPr>
          <w:rFonts w:hint="cs"/>
          <w:rtl/>
        </w:rPr>
        <w:t xml:space="preserve">, כי </w:t>
      </w:r>
      <w:bookmarkStart w:id="9625" w:name="_ETM_Q11_337240"/>
      <w:bookmarkStart w:id="9626" w:name="_ETM_Q11_337419"/>
      <w:bookmarkEnd w:id="9625"/>
      <w:bookmarkEnd w:id="9626"/>
      <w:r>
        <w:rPr>
          <w:rFonts w:hint="cs"/>
          <w:rtl/>
        </w:rPr>
        <w:t xml:space="preserve">השר </w:t>
      </w:r>
      <w:bookmarkStart w:id="9627" w:name="_ETM_Q11_338020"/>
      <w:bookmarkStart w:id="9628" w:name="_ETM_Q11_338440"/>
      <w:bookmarkEnd w:id="9627"/>
      <w:bookmarkEnd w:id="9628"/>
      <w:r>
        <w:rPr>
          <w:rFonts w:hint="cs"/>
          <w:rtl/>
        </w:rPr>
        <w:t xml:space="preserve">מאציל </w:t>
      </w:r>
      <w:bookmarkStart w:id="9629" w:name="_ETM_Q11_338860"/>
      <w:bookmarkEnd w:id="9629"/>
      <w:r>
        <w:rPr>
          <w:rFonts w:hint="cs"/>
          <w:rtl/>
        </w:rPr>
        <w:t xml:space="preserve">סמכויות, </w:t>
      </w:r>
      <w:bookmarkStart w:id="9630" w:name="_ETM_Q11_339940"/>
      <w:bookmarkStart w:id="9631" w:name="_ETM_Q11_337691"/>
      <w:bookmarkEnd w:id="9630"/>
      <w:bookmarkEnd w:id="9631"/>
      <w:r>
        <w:rPr>
          <w:rFonts w:hint="cs"/>
          <w:rtl/>
        </w:rPr>
        <w:t xml:space="preserve">הוא </w:t>
      </w:r>
      <w:bookmarkStart w:id="9632" w:name="_ETM_Q11_340030"/>
      <w:bookmarkStart w:id="9633" w:name="_ETM_Q11_340270"/>
      <w:bookmarkEnd w:id="9632"/>
      <w:bookmarkEnd w:id="9633"/>
      <w:r>
        <w:rPr>
          <w:rFonts w:hint="cs"/>
          <w:rtl/>
        </w:rPr>
        <w:t xml:space="preserve">יכול </w:t>
      </w:r>
      <w:bookmarkStart w:id="9634" w:name="_ETM_Q11_340630"/>
      <w:bookmarkEnd w:id="9634"/>
      <w:r>
        <w:rPr>
          <w:rFonts w:hint="cs"/>
          <w:rtl/>
        </w:rPr>
        <w:t xml:space="preserve">גם לקחת </w:t>
      </w:r>
      <w:bookmarkStart w:id="9635" w:name="_ETM_Q11_341080"/>
      <w:bookmarkEnd w:id="9635"/>
      <w:r>
        <w:rPr>
          <w:rFonts w:hint="cs"/>
          <w:rtl/>
        </w:rPr>
        <w:t xml:space="preserve">סמכויות </w:t>
      </w:r>
      <w:bookmarkStart w:id="9636" w:name="_ETM_Q11_341650"/>
      <w:bookmarkStart w:id="9637" w:name="_ETM_Q11_342863"/>
      <w:bookmarkEnd w:id="9636"/>
      <w:bookmarkEnd w:id="9637"/>
      <w:r>
        <w:rPr>
          <w:rFonts w:hint="cs"/>
          <w:rtl/>
        </w:rPr>
        <w:t xml:space="preserve">מהפקידות </w:t>
      </w:r>
      <w:bookmarkStart w:id="9638" w:name="_ETM_Q11_342250"/>
      <w:bookmarkEnd w:id="9638"/>
      <w:r>
        <w:rPr>
          <w:rFonts w:hint="cs"/>
          <w:rtl/>
        </w:rPr>
        <w:t xml:space="preserve">הבכירה. </w:t>
      </w:r>
      <w:bookmarkStart w:id="9639" w:name="_ETM_Q11_344290"/>
      <w:bookmarkEnd w:id="9639"/>
    </w:p>
    <w:p w:rsidR="000C5C1F" w:rsidRDefault="000C5C1F" w:rsidP="000C5C1F">
      <w:pPr>
        <w:rPr>
          <w:rtl/>
        </w:rPr>
      </w:pPr>
    </w:p>
    <w:p w:rsidR="000C5C1F" w:rsidRDefault="000C5C1F" w:rsidP="000C5C1F">
      <w:pPr>
        <w:rPr>
          <w:rtl/>
        </w:rPr>
      </w:pPr>
      <w:bookmarkStart w:id="9640" w:name="_ETM_Q11_352363"/>
      <w:bookmarkEnd w:id="9640"/>
      <w:r>
        <w:rPr>
          <w:rFonts w:hint="cs"/>
          <w:rtl/>
        </w:rPr>
        <w:t xml:space="preserve">בסוף, </w:t>
      </w:r>
      <w:bookmarkStart w:id="9641" w:name="_ETM_Q11_348750"/>
      <w:bookmarkEnd w:id="9641"/>
      <w:r>
        <w:rPr>
          <w:rFonts w:hint="cs"/>
          <w:rtl/>
        </w:rPr>
        <w:t xml:space="preserve">בשורה </w:t>
      </w:r>
      <w:bookmarkStart w:id="9642" w:name="_ETM_Q11_349200"/>
      <w:bookmarkEnd w:id="9642"/>
      <w:r>
        <w:rPr>
          <w:rFonts w:hint="cs"/>
          <w:rtl/>
        </w:rPr>
        <w:t xml:space="preserve">התחתונה – </w:t>
      </w:r>
      <w:bookmarkStart w:id="9643" w:name="_ETM_Q11_350500"/>
      <w:bookmarkEnd w:id="9643"/>
      <w:r>
        <w:rPr>
          <w:rFonts w:hint="cs"/>
          <w:rtl/>
        </w:rPr>
        <w:t xml:space="preserve">וזה </w:t>
      </w:r>
      <w:bookmarkStart w:id="9644" w:name="_ETM_Q11_350919"/>
      <w:bookmarkEnd w:id="9644"/>
      <w:r>
        <w:rPr>
          <w:rFonts w:hint="cs"/>
          <w:rtl/>
        </w:rPr>
        <w:t xml:space="preserve">יקרה, </w:t>
      </w:r>
      <w:bookmarkStart w:id="9645" w:name="_ETM_Q11_351250"/>
      <w:bookmarkStart w:id="9646" w:name="_ETM_Q11_351639"/>
      <w:bookmarkEnd w:id="9645"/>
      <w:bookmarkEnd w:id="9646"/>
      <w:r>
        <w:rPr>
          <w:rFonts w:hint="cs"/>
          <w:rtl/>
        </w:rPr>
        <w:t xml:space="preserve">זה </w:t>
      </w:r>
      <w:bookmarkStart w:id="9647" w:name="_ETM_Q11_351790"/>
      <w:bookmarkEnd w:id="9647"/>
      <w:r>
        <w:rPr>
          <w:rFonts w:hint="cs"/>
          <w:rtl/>
        </w:rPr>
        <w:t xml:space="preserve">רק </w:t>
      </w:r>
      <w:bookmarkStart w:id="9648" w:name="_ETM_Q11_351970"/>
      <w:bookmarkEnd w:id="9648"/>
      <w:r>
        <w:rPr>
          <w:rFonts w:hint="cs"/>
          <w:rtl/>
        </w:rPr>
        <w:t xml:space="preserve">עניין </w:t>
      </w:r>
      <w:bookmarkStart w:id="9649" w:name="_ETM_Q11_352299"/>
      <w:bookmarkEnd w:id="9649"/>
      <w:r>
        <w:rPr>
          <w:rFonts w:hint="cs"/>
          <w:rtl/>
        </w:rPr>
        <w:t xml:space="preserve">של </w:t>
      </w:r>
      <w:bookmarkStart w:id="9650" w:name="_ETM_Q11_352510"/>
      <w:bookmarkEnd w:id="9650"/>
      <w:r>
        <w:rPr>
          <w:rFonts w:hint="cs"/>
          <w:rtl/>
        </w:rPr>
        <w:t xml:space="preserve">זמן – </w:t>
      </w:r>
      <w:bookmarkStart w:id="9651" w:name="_ETM_Q11_353400"/>
      <w:bookmarkEnd w:id="9651"/>
      <w:r>
        <w:rPr>
          <w:rFonts w:hint="cs"/>
          <w:rtl/>
        </w:rPr>
        <w:t xml:space="preserve">ביטול </w:t>
      </w:r>
      <w:bookmarkStart w:id="9652" w:name="_ETM_Q11_353850"/>
      <w:bookmarkStart w:id="9653" w:name="_ETM_Q11_354000"/>
      <w:bookmarkEnd w:id="9652"/>
      <w:bookmarkEnd w:id="9653"/>
      <w:r>
        <w:rPr>
          <w:rFonts w:hint="cs"/>
          <w:rtl/>
        </w:rPr>
        <w:t xml:space="preserve">עילת </w:t>
      </w:r>
      <w:bookmarkStart w:id="9654" w:name="_ETM_Q11_354090"/>
      <w:bookmarkEnd w:id="9654"/>
      <w:r>
        <w:rPr>
          <w:rFonts w:hint="cs"/>
          <w:rtl/>
        </w:rPr>
        <w:t xml:space="preserve">הסבירות </w:t>
      </w:r>
      <w:bookmarkStart w:id="9655" w:name="_ETM_Q11_355620"/>
      <w:bookmarkEnd w:id="9655"/>
      <w:r>
        <w:rPr>
          <w:rFonts w:hint="cs"/>
          <w:rtl/>
        </w:rPr>
        <w:t xml:space="preserve">יפגע </w:t>
      </w:r>
      <w:bookmarkStart w:id="9656" w:name="_ETM_Q11_355980"/>
      <w:bookmarkEnd w:id="9656"/>
      <w:r>
        <w:rPr>
          <w:rFonts w:hint="cs"/>
          <w:rtl/>
        </w:rPr>
        <w:t xml:space="preserve">באזרח </w:t>
      </w:r>
      <w:bookmarkStart w:id="9657" w:name="_ETM_Q11_356400"/>
      <w:bookmarkEnd w:id="9657"/>
      <w:r>
        <w:rPr>
          <w:rFonts w:hint="cs"/>
          <w:rtl/>
        </w:rPr>
        <w:t xml:space="preserve">הקטן </w:t>
      </w:r>
      <w:bookmarkStart w:id="9658" w:name="_ETM_Q11_356820"/>
      <w:bookmarkEnd w:id="9658"/>
      <w:r>
        <w:rPr>
          <w:rFonts w:hint="cs"/>
          <w:rtl/>
        </w:rPr>
        <w:t xml:space="preserve">שבקצה, </w:t>
      </w:r>
      <w:bookmarkStart w:id="9659" w:name="_ETM_Q11_359150"/>
      <w:bookmarkEnd w:id="9659"/>
      <w:r>
        <w:rPr>
          <w:rFonts w:hint="cs"/>
          <w:rtl/>
        </w:rPr>
        <w:t>כי</w:t>
      </w:r>
      <w:bookmarkStart w:id="9660" w:name="_ETM_Q11_359329"/>
      <w:bookmarkEnd w:id="9660"/>
      <w:r>
        <w:rPr>
          <w:rFonts w:hint="cs"/>
          <w:rtl/>
        </w:rPr>
        <w:t xml:space="preserve"> בתי ה</w:t>
      </w:r>
      <w:bookmarkStart w:id="9661" w:name="_ETM_Q11_359629"/>
      <w:bookmarkEnd w:id="9661"/>
      <w:r>
        <w:rPr>
          <w:rFonts w:hint="cs"/>
          <w:rtl/>
        </w:rPr>
        <w:t xml:space="preserve">משפט </w:t>
      </w:r>
      <w:bookmarkStart w:id="9662" w:name="_ETM_Q11_360650"/>
      <w:bookmarkEnd w:id="9662"/>
      <w:r>
        <w:rPr>
          <w:rFonts w:hint="cs"/>
          <w:rtl/>
        </w:rPr>
        <w:t xml:space="preserve">בכל </w:t>
      </w:r>
      <w:bookmarkStart w:id="9663" w:name="_ETM_Q11_361159"/>
      <w:bookmarkEnd w:id="9663"/>
      <w:r>
        <w:rPr>
          <w:rFonts w:hint="cs"/>
          <w:rtl/>
        </w:rPr>
        <w:t xml:space="preserve">הערכאות </w:t>
      </w:r>
      <w:bookmarkStart w:id="9664" w:name="_ETM_Q11_361939"/>
      <w:bookmarkEnd w:id="9664"/>
      <w:r>
        <w:rPr>
          <w:rFonts w:hint="cs"/>
          <w:rtl/>
        </w:rPr>
        <w:t xml:space="preserve">לא </w:t>
      </w:r>
      <w:bookmarkStart w:id="9665" w:name="_ETM_Q11_362030"/>
      <w:bookmarkEnd w:id="9665"/>
      <w:r>
        <w:rPr>
          <w:rFonts w:hint="cs"/>
          <w:rtl/>
        </w:rPr>
        <w:t xml:space="preserve">יוכלו </w:t>
      </w:r>
      <w:bookmarkStart w:id="9666" w:name="_ETM_Q11_362510"/>
      <w:bookmarkEnd w:id="9666"/>
      <w:r>
        <w:rPr>
          <w:rFonts w:hint="cs"/>
          <w:rtl/>
        </w:rPr>
        <w:t xml:space="preserve">לתת </w:t>
      </w:r>
      <w:bookmarkStart w:id="9667" w:name="_ETM_Q11_362870"/>
      <w:bookmarkEnd w:id="9667"/>
      <w:r>
        <w:rPr>
          <w:rFonts w:hint="cs"/>
          <w:rtl/>
        </w:rPr>
        <w:t xml:space="preserve">את </w:t>
      </w:r>
      <w:bookmarkStart w:id="9668" w:name="_ETM_Q11_362989"/>
      <w:bookmarkEnd w:id="9668"/>
      <w:r>
        <w:rPr>
          <w:rFonts w:hint="cs"/>
          <w:rtl/>
        </w:rPr>
        <w:t>הסעד.</w:t>
      </w:r>
      <w:bookmarkStart w:id="9669" w:name="_ETM_Q11_358775"/>
      <w:bookmarkEnd w:id="9669"/>
      <w:r>
        <w:rPr>
          <w:rFonts w:hint="cs"/>
          <w:rtl/>
        </w:rPr>
        <w:t xml:space="preserve"> </w:t>
      </w:r>
      <w:bookmarkStart w:id="9670" w:name="_ETM_Q11_363739"/>
      <w:bookmarkEnd w:id="9670"/>
      <w:r>
        <w:rPr>
          <w:rFonts w:hint="cs"/>
          <w:rtl/>
        </w:rPr>
        <w:t xml:space="preserve">אז </w:t>
      </w:r>
      <w:bookmarkStart w:id="9671" w:name="_ETM_Q11_363919"/>
      <w:bookmarkEnd w:id="9671"/>
      <w:r>
        <w:rPr>
          <w:rFonts w:hint="cs"/>
          <w:rtl/>
        </w:rPr>
        <w:t xml:space="preserve">יגידו </w:t>
      </w:r>
      <w:bookmarkStart w:id="9672" w:name="_ETM_Q11_364280"/>
      <w:bookmarkEnd w:id="9672"/>
      <w:r>
        <w:rPr>
          <w:rFonts w:hint="cs"/>
          <w:rtl/>
        </w:rPr>
        <w:t xml:space="preserve">לי </w:t>
      </w:r>
      <w:bookmarkStart w:id="9673" w:name="_ETM_Q11_364849"/>
      <w:bookmarkEnd w:id="9673"/>
      <w:r>
        <w:rPr>
          <w:rFonts w:hint="cs"/>
          <w:rtl/>
        </w:rPr>
        <w:t xml:space="preserve">שיש </w:t>
      </w:r>
      <w:bookmarkStart w:id="9674" w:name="_ETM_Q11_365209"/>
      <w:bookmarkEnd w:id="9674"/>
      <w:r>
        <w:rPr>
          <w:rFonts w:hint="cs"/>
          <w:rtl/>
        </w:rPr>
        <w:t xml:space="preserve">עוד </w:t>
      </w:r>
      <w:bookmarkStart w:id="9675" w:name="_ETM_Q11_365299"/>
      <w:bookmarkEnd w:id="9675"/>
      <w:r>
        <w:rPr>
          <w:rFonts w:hint="cs"/>
          <w:rtl/>
        </w:rPr>
        <w:t xml:space="preserve">שמונה </w:t>
      </w:r>
      <w:bookmarkStart w:id="9676" w:name="_ETM_Q11_365750"/>
      <w:bookmarkEnd w:id="9676"/>
      <w:r>
        <w:rPr>
          <w:rFonts w:hint="cs"/>
          <w:rtl/>
        </w:rPr>
        <w:t xml:space="preserve">עילות, </w:t>
      </w:r>
      <w:bookmarkStart w:id="9677" w:name="_ETM_Q11_366139"/>
      <w:bookmarkEnd w:id="9677"/>
      <w:r>
        <w:rPr>
          <w:rFonts w:hint="cs"/>
          <w:rtl/>
        </w:rPr>
        <w:t xml:space="preserve">עוד </w:t>
      </w:r>
      <w:bookmarkStart w:id="9678" w:name="_ETM_Q11_366260"/>
      <w:bookmarkEnd w:id="9678"/>
      <w:r>
        <w:rPr>
          <w:rFonts w:hint="cs"/>
          <w:rtl/>
        </w:rPr>
        <w:t xml:space="preserve">כמה </w:t>
      </w:r>
      <w:bookmarkStart w:id="9679" w:name="_ETM_Q11_366590"/>
      <w:bookmarkEnd w:id="9679"/>
      <w:r>
        <w:rPr>
          <w:rFonts w:hint="cs"/>
          <w:rtl/>
        </w:rPr>
        <w:t>עילות</w:t>
      </w:r>
      <w:bookmarkStart w:id="9680" w:name="_ETM_Q11_362331"/>
      <w:bookmarkEnd w:id="9680"/>
      <w:r>
        <w:rPr>
          <w:rFonts w:hint="cs"/>
          <w:rtl/>
        </w:rPr>
        <w:t xml:space="preserve">. </w:t>
      </w:r>
      <w:bookmarkStart w:id="9681" w:name="_ETM_Q11_367400"/>
      <w:bookmarkEnd w:id="9681"/>
      <w:r>
        <w:rPr>
          <w:rFonts w:hint="cs"/>
          <w:rtl/>
        </w:rPr>
        <w:t xml:space="preserve">גם </w:t>
      </w:r>
      <w:bookmarkStart w:id="9682" w:name="_ETM_Q11_367639"/>
      <w:bookmarkStart w:id="9683" w:name="_ETM_Q11_367849"/>
      <w:bookmarkEnd w:id="9682"/>
      <w:bookmarkEnd w:id="9683"/>
      <w:r>
        <w:rPr>
          <w:rFonts w:hint="cs"/>
          <w:rtl/>
        </w:rPr>
        <w:t xml:space="preserve">את אלו אתם </w:t>
      </w:r>
      <w:bookmarkStart w:id="9684" w:name="_ETM_Q11_368030"/>
      <w:bookmarkEnd w:id="9684"/>
      <w:r>
        <w:rPr>
          <w:rFonts w:hint="cs"/>
          <w:rtl/>
        </w:rPr>
        <w:t>ת</w:t>
      </w:r>
      <w:bookmarkStart w:id="9685" w:name="_ETM_Q11_368359"/>
      <w:bookmarkEnd w:id="9685"/>
      <w:r>
        <w:rPr>
          <w:rFonts w:hint="cs"/>
          <w:rtl/>
        </w:rPr>
        <w:t>בט</w:t>
      </w:r>
      <w:bookmarkStart w:id="9686" w:name="_ETM_Q11_364117"/>
      <w:bookmarkEnd w:id="9686"/>
      <w:r>
        <w:rPr>
          <w:rFonts w:hint="cs"/>
          <w:rtl/>
        </w:rPr>
        <w:t xml:space="preserve">לו </w:t>
      </w:r>
      <w:bookmarkStart w:id="9687" w:name="_ETM_Q11_368480"/>
      <w:bookmarkEnd w:id="9687"/>
      <w:r>
        <w:rPr>
          <w:rFonts w:hint="cs"/>
          <w:rtl/>
        </w:rPr>
        <w:t xml:space="preserve">עוד </w:t>
      </w:r>
      <w:bookmarkStart w:id="9688" w:name="_ETM_Q11_368629"/>
      <w:bookmarkEnd w:id="9688"/>
      <w:r>
        <w:rPr>
          <w:rFonts w:hint="cs"/>
          <w:rtl/>
        </w:rPr>
        <w:t xml:space="preserve">מעט, </w:t>
      </w:r>
      <w:bookmarkStart w:id="9689" w:name="_ETM_Q11_369200"/>
      <w:bookmarkEnd w:id="9689"/>
      <w:r>
        <w:rPr>
          <w:rFonts w:hint="cs"/>
          <w:rtl/>
        </w:rPr>
        <w:t xml:space="preserve">למה </w:t>
      </w:r>
      <w:bookmarkStart w:id="9690" w:name="_ETM_Q11_369409"/>
      <w:bookmarkEnd w:id="9690"/>
      <w:r>
        <w:rPr>
          <w:rFonts w:hint="cs"/>
          <w:rtl/>
        </w:rPr>
        <w:t xml:space="preserve">צריך? </w:t>
      </w:r>
      <w:bookmarkStart w:id="9691" w:name="_ETM_Q11_369859"/>
      <w:bookmarkEnd w:id="9691"/>
      <w:r>
        <w:rPr>
          <w:rFonts w:hint="cs"/>
          <w:rtl/>
        </w:rPr>
        <w:t>בכלל,</w:t>
      </w:r>
      <w:bookmarkStart w:id="9692" w:name="_ETM_Q11_366657"/>
      <w:bookmarkEnd w:id="9692"/>
      <w:r>
        <w:rPr>
          <w:rFonts w:hint="cs"/>
          <w:rtl/>
        </w:rPr>
        <w:t xml:space="preserve"> </w:t>
      </w:r>
      <w:bookmarkStart w:id="9693" w:name="_ETM_Q11_370219"/>
      <w:bookmarkEnd w:id="9693"/>
      <w:r>
        <w:rPr>
          <w:rFonts w:hint="cs"/>
          <w:rtl/>
        </w:rPr>
        <w:t xml:space="preserve">מי </w:t>
      </w:r>
      <w:bookmarkStart w:id="9694" w:name="_ETM_Q11_370340"/>
      <w:bookmarkEnd w:id="9694"/>
      <w:r>
        <w:rPr>
          <w:rFonts w:hint="cs"/>
          <w:rtl/>
        </w:rPr>
        <w:t xml:space="preserve">צריך </w:t>
      </w:r>
      <w:bookmarkStart w:id="9695" w:name="_ETM_Q11_370639"/>
      <w:bookmarkEnd w:id="9695"/>
      <w:r>
        <w:rPr>
          <w:rFonts w:hint="cs"/>
          <w:rtl/>
        </w:rPr>
        <w:t xml:space="preserve">בית </w:t>
      </w:r>
      <w:bookmarkStart w:id="9696" w:name="_ETM_Q11_370849"/>
      <w:bookmarkEnd w:id="9696"/>
      <w:r>
        <w:rPr>
          <w:rFonts w:hint="cs"/>
          <w:rtl/>
        </w:rPr>
        <w:t xml:space="preserve">משפט? </w:t>
      </w:r>
      <w:bookmarkStart w:id="9697" w:name="_ETM_Q11_371359"/>
      <w:bookmarkEnd w:id="9697"/>
      <w:r>
        <w:rPr>
          <w:rFonts w:hint="cs"/>
          <w:rtl/>
        </w:rPr>
        <w:t xml:space="preserve">כי </w:t>
      </w:r>
      <w:bookmarkStart w:id="9698" w:name="_ETM_Q11_371510"/>
      <w:bookmarkEnd w:id="9698"/>
      <w:r>
        <w:rPr>
          <w:rFonts w:hint="cs"/>
          <w:rtl/>
        </w:rPr>
        <w:t xml:space="preserve">זה </w:t>
      </w:r>
      <w:bookmarkStart w:id="9699" w:name="_ETM_Q11_371629"/>
      <w:bookmarkEnd w:id="9699"/>
      <w:r>
        <w:rPr>
          <w:rFonts w:hint="cs"/>
          <w:rtl/>
        </w:rPr>
        <w:t xml:space="preserve">עוצר </w:t>
      </w:r>
      <w:bookmarkStart w:id="9700" w:name="_ETM_Q11_371959"/>
      <w:bookmarkEnd w:id="9700"/>
      <w:r>
        <w:rPr>
          <w:rFonts w:hint="cs"/>
          <w:rtl/>
        </w:rPr>
        <w:t xml:space="preserve">אתכם </w:t>
      </w:r>
      <w:bookmarkStart w:id="9701" w:name="_ETM_Q11_372349"/>
      <w:bookmarkEnd w:id="9701"/>
      <w:r>
        <w:rPr>
          <w:rFonts w:hint="cs"/>
          <w:rtl/>
        </w:rPr>
        <w:t>מ</w:t>
      </w:r>
      <w:bookmarkStart w:id="9702" w:name="_ETM_Q11_373010"/>
      <w:bookmarkStart w:id="9703" w:name="_ETM_Q11_373310"/>
      <w:bookmarkEnd w:id="9702"/>
      <w:bookmarkEnd w:id="9703"/>
      <w:r>
        <w:rPr>
          <w:rFonts w:hint="cs"/>
          <w:rtl/>
        </w:rPr>
        <w:t xml:space="preserve">לעשות </w:t>
      </w:r>
      <w:bookmarkStart w:id="9704" w:name="_ETM_Q11_373700"/>
      <w:bookmarkEnd w:id="9704"/>
      <w:r>
        <w:rPr>
          <w:rFonts w:hint="cs"/>
          <w:rtl/>
        </w:rPr>
        <w:t xml:space="preserve">את מה </w:t>
      </w:r>
      <w:bookmarkStart w:id="9705" w:name="_ETM_Q11_373849"/>
      <w:bookmarkEnd w:id="9705"/>
      <w:r>
        <w:rPr>
          <w:rFonts w:hint="cs"/>
          <w:rtl/>
        </w:rPr>
        <w:t xml:space="preserve">שבא </w:t>
      </w:r>
      <w:bookmarkStart w:id="9706" w:name="_ETM_Q11_374209"/>
      <w:bookmarkEnd w:id="9706"/>
      <w:r>
        <w:rPr>
          <w:rFonts w:hint="cs"/>
          <w:rtl/>
        </w:rPr>
        <w:t>לכם.</w:t>
      </w:r>
      <w:bookmarkStart w:id="9707" w:name="_ETM_Q11_370234"/>
      <w:bookmarkEnd w:id="9707"/>
      <w:r>
        <w:rPr>
          <w:rFonts w:hint="cs"/>
          <w:rtl/>
        </w:rPr>
        <w:t xml:space="preserve"> </w:t>
      </w:r>
      <w:bookmarkStart w:id="9708" w:name="_ETM_Q11_375150"/>
      <w:bookmarkEnd w:id="9708"/>
      <w:r>
        <w:rPr>
          <w:rFonts w:hint="cs"/>
          <w:rtl/>
        </w:rPr>
        <w:t xml:space="preserve">אבל </w:t>
      </w:r>
      <w:bookmarkStart w:id="9709" w:name="_ETM_Q11_375419"/>
      <w:bookmarkEnd w:id="9709"/>
      <w:r>
        <w:rPr>
          <w:rFonts w:hint="cs"/>
          <w:rtl/>
        </w:rPr>
        <w:t>ב</w:t>
      </w:r>
      <w:bookmarkStart w:id="9710" w:name="_ETM_Q11_374015"/>
      <w:bookmarkEnd w:id="9710"/>
      <w:r>
        <w:rPr>
          <w:rFonts w:hint="cs"/>
          <w:rtl/>
        </w:rPr>
        <w:t xml:space="preserve">עילת </w:t>
      </w:r>
      <w:bookmarkStart w:id="9711" w:name="_ETM_Q11_375719"/>
      <w:bookmarkEnd w:id="9711"/>
      <w:r>
        <w:rPr>
          <w:rFonts w:hint="cs"/>
          <w:rtl/>
        </w:rPr>
        <w:t xml:space="preserve">הסבירות </w:t>
      </w:r>
      <w:bookmarkStart w:id="9712" w:name="_ETM_Q11_376260"/>
      <w:bookmarkEnd w:id="9712"/>
      <w:r>
        <w:rPr>
          <w:rFonts w:hint="cs"/>
          <w:rtl/>
        </w:rPr>
        <w:t xml:space="preserve">יש </w:t>
      </w:r>
      <w:bookmarkStart w:id="9713" w:name="_ETM_Q11_376439"/>
      <w:bookmarkEnd w:id="9713"/>
      <w:r>
        <w:rPr>
          <w:rFonts w:hint="cs"/>
          <w:rtl/>
        </w:rPr>
        <w:t xml:space="preserve">משהו </w:t>
      </w:r>
      <w:bookmarkStart w:id="9714" w:name="_ETM_Q11_376799"/>
      <w:bookmarkStart w:id="9715" w:name="_ETM_Q11_377040"/>
      <w:bookmarkEnd w:id="9714"/>
      <w:bookmarkEnd w:id="9715"/>
      <w:r>
        <w:rPr>
          <w:rFonts w:hint="cs"/>
          <w:rtl/>
        </w:rPr>
        <w:t xml:space="preserve">מיוחד מאוד, </w:t>
      </w:r>
      <w:bookmarkStart w:id="9716" w:name="_ETM_Q11_377609"/>
      <w:bookmarkEnd w:id="9716"/>
      <w:r>
        <w:rPr>
          <w:rFonts w:hint="cs"/>
          <w:rtl/>
        </w:rPr>
        <w:t xml:space="preserve">ואתם </w:t>
      </w:r>
      <w:bookmarkStart w:id="9717" w:name="_ETM_Q11_377879"/>
      <w:bookmarkEnd w:id="9717"/>
      <w:r>
        <w:rPr>
          <w:rFonts w:hint="cs"/>
          <w:rtl/>
        </w:rPr>
        <w:t xml:space="preserve">לא </w:t>
      </w:r>
      <w:bookmarkStart w:id="9718" w:name="_ETM_Q11_377999"/>
      <w:bookmarkEnd w:id="9718"/>
      <w:r>
        <w:rPr>
          <w:rFonts w:hint="cs"/>
          <w:rtl/>
        </w:rPr>
        <w:t xml:space="preserve">סתם </w:t>
      </w:r>
      <w:bookmarkStart w:id="9719" w:name="_ETM_Q11_378269"/>
      <w:bookmarkEnd w:id="9719"/>
      <w:r>
        <w:rPr>
          <w:rFonts w:hint="cs"/>
          <w:rtl/>
        </w:rPr>
        <w:t xml:space="preserve">התלבשתם </w:t>
      </w:r>
      <w:bookmarkStart w:id="9720" w:name="_ETM_Q11_378930"/>
      <w:bookmarkEnd w:id="9720"/>
      <w:r>
        <w:rPr>
          <w:rFonts w:hint="cs"/>
          <w:rtl/>
        </w:rPr>
        <w:t xml:space="preserve">עליה: </w:t>
      </w:r>
      <w:bookmarkStart w:id="9721" w:name="_ETM_Q11_379959"/>
      <w:bookmarkStart w:id="9722" w:name="_ETM_Q11_380139"/>
      <w:bookmarkEnd w:id="9721"/>
      <w:bookmarkEnd w:id="9722"/>
      <w:r>
        <w:rPr>
          <w:rFonts w:hint="cs"/>
          <w:rtl/>
        </w:rPr>
        <w:t xml:space="preserve">היא </w:t>
      </w:r>
      <w:bookmarkStart w:id="9723" w:name="_ETM_Q11_380200"/>
      <w:bookmarkEnd w:id="9723"/>
      <w:r>
        <w:rPr>
          <w:rFonts w:hint="cs"/>
          <w:rtl/>
        </w:rPr>
        <w:t xml:space="preserve">עושה </w:t>
      </w:r>
      <w:bookmarkStart w:id="9724" w:name="_ETM_Q11_380409"/>
      <w:bookmarkEnd w:id="9724"/>
      <w:r>
        <w:rPr>
          <w:rFonts w:hint="cs"/>
          <w:rtl/>
        </w:rPr>
        <w:t xml:space="preserve">שכל, </w:t>
      </w:r>
      <w:bookmarkStart w:id="9725" w:name="_ETM_Q11_381310"/>
      <w:bookmarkEnd w:id="9725"/>
      <w:r>
        <w:rPr>
          <w:rFonts w:hint="cs"/>
          <w:rtl/>
        </w:rPr>
        <w:t xml:space="preserve">וזה </w:t>
      </w:r>
      <w:bookmarkStart w:id="9726" w:name="_ETM_Q11_381609"/>
      <w:bookmarkEnd w:id="9726"/>
      <w:r>
        <w:rPr>
          <w:rFonts w:hint="cs"/>
          <w:rtl/>
        </w:rPr>
        <w:t xml:space="preserve">סעד </w:t>
      </w:r>
      <w:bookmarkStart w:id="9727" w:name="_ETM_Q11_381969"/>
      <w:bookmarkStart w:id="9728" w:name="_ETM_Q11_382209"/>
      <w:bookmarkEnd w:id="9727"/>
      <w:bookmarkEnd w:id="9728"/>
      <w:r>
        <w:rPr>
          <w:rFonts w:hint="cs"/>
          <w:rtl/>
        </w:rPr>
        <w:t xml:space="preserve">חשוב </w:t>
      </w:r>
      <w:bookmarkStart w:id="9729" w:name="_ETM_Q11_382810"/>
      <w:bookmarkEnd w:id="9729"/>
      <w:r>
        <w:rPr>
          <w:rFonts w:hint="cs"/>
          <w:rtl/>
        </w:rPr>
        <w:t>מאוד</w:t>
      </w:r>
      <w:bookmarkStart w:id="9730" w:name="_ETM_Q11_379097"/>
      <w:bookmarkEnd w:id="9730"/>
      <w:r>
        <w:rPr>
          <w:rFonts w:hint="cs"/>
          <w:rtl/>
        </w:rPr>
        <w:t xml:space="preserve"> דווקא </w:t>
      </w:r>
      <w:bookmarkStart w:id="9731" w:name="_ETM_Q11_383200"/>
      <w:bookmarkEnd w:id="9731"/>
      <w:r>
        <w:rPr>
          <w:rFonts w:hint="cs"/>
          <w:rtl/>
        </w:rPr>
        <w:t xml:space="preserve">לאזרח </w:t>
      </w:r>
      <w:bookmarkStart w:id="9732" w:name="_ETM_Q11_383620"/>
      <w:bookmarkEnd w:id="9732"/>
      <w:r>
        <w:rPr>
          <w:rFonts w:hint="cs"/>
          <w:rtl/>
        </w:rPr>
        <w:t xml:space="preserve">הפשוט או </w:t>
      </w:r>
      <w:bookmarkStart w:id="9733" w:name="_ETM_Q11_385579"/>
      <w:bookmarkEnd w:id="9733"/>
      <w:r>
        <w:rPr>
          <w:rFonts w:hint="cs"/>
          <w:rtl/>
        </w:rPr>
        <w:t xml:space="preserve">לנושא </w:t>
      </w:r>
      <w:bookmarkStart w:id="9734" w:name="_ETM_Q11_386120"/>
      <w:bookmarkEnd w:id="9734"/>
      <w:r>
        <w:rPr>
          <w:rFonts w:hint="cs"/>
          <w:rtl/>
        </w:rPr>
        <w:t xml:space="preserve">של </w:t>
      </w:r>
      <w:bookmarkStart w:id="9735" w:name="_ETM_Q11_386329"/>
      <w:bookmarkEnd w:id="9735"/>
      <w:r>
        <w:rPr>
          <w:rFonts w:hint="cs"/>
          <w:rtl/>
        </w:rPr>
        <w:t xml:space="preserve">מינויים </w:t>
      </w:r>
      <w:bookmarkStart w:id="9736" w:name="_ETM_Q11_386749"/>
      <w:bookmarkEnd w:id="9736"/>
      <w:r>
        <w:rPr>
          <w:rFonts w:hint="cs"/>
          <w:rtl/>
        </w:rPr>
        <w:t xml:space="preserve">ופיטורים. שם, </w:t>
      </w:r>
      <w:bookmarkStart w:id="9737" w:name="_ETM_Q11_388180"/>
      <w:bookmarkEnd w:id="9737"/>
      <w:r>
        <w:rPr>
          <w:rFonts w:hint="cs"/>
          <w:rtl/>
        </w:rPr>
        <w:t xml:space="preserve">שם </w:t>
      </w:r>
      <w:bookmarkStart w:id="9738" w:name="_ETM_Q11_389260"/>
      <w:bookmarkStart w:id="9739" w:name="_ETM_Q11_389739"/>
      <w:bookmarkEnd w:id="9738"/>
      <w:bookmarkEnd w:id="9739"/>
      <w:r>
        <w:rPr>
          <w:rFonts w:hint="cs"/>
          <w:rtl/>
        </w:rPr>
        <w:t xml:space="preserve">זו </w:t>
      </w:r>
      <w:bookmarkStart w:id="9740" w:name="_ETM_Q11_389919"/>
      <w:bookmarkEnd w:id="9740"/>
      <w:r>
        <w:rPr>
          <w:rFonts w:hint="cs"/>
          <w:rtl/>
        </w:rPr>
        <w:t xml:space="preserve">האבן, </w:t>
      </w:r>
      <w:bookmarkStart w:id="9741" w:name="_ETM_Q11_390549"/>
      <w:bookmarkEnd w:id="9741"/>
      <w:r>
        <w:rPr>
          <w:rFonts w:hint="cs"/>
          <w:rtl/>
        </w:rPr>
        <w:t xml:space="preserve">שם </w:t>
      </w:r>
      <w:bookmarkStart w:id="9742" w:name="_ETM_Q11_391029"/>
      <w:bookmarkEnd w:id="9742"/>
      <w:r>
        <w:rPr>
          <w:rFonts w:hint="cs"/>
          <w:rtl/>
        </w:rPr>
        <w:t>זו</w:t>
      </w:r>
      <w:bookmarkStart w:id="9743" w:name="_ETM_Q11_387028"/>
      <w:bookmarkEnd w:id="9743"/>
      <w:r>
        <w:rPr>
          <w:rFonts w:hint="cs"/>
          <w:rtl/>
        </w:rPr>
        <w:t xml:space="preserve"> </w:t>
      </w:r>
      <w:bookmarkStart w:id="9744" w:name="_ETM_Q11_391209"/>
      <w:bookmarkEnd w:id="9744"/>
      <w:r>
        <w:rPr>
          <w:rFonts w:hint="cs"/>
          <w:rtl/>
        </w:rPr>
        <w:t xml:space="preserve">הבעיה. </w:t>
      </w:r>
      <w:bookmarkStart w:id="9745" w:name="_ETM_Q11_392500"/>
      <w:bookmarkEnd w:id="9745"/>
      <w:r>
        <w:rPr>
          <w:rFonts w:hint="cs"/>
          <w:rtl/>
        </w:rPr>
        <w:t xml:space="preserve">כי </w:t>
      </w:r>
      <w:bookmarkStart w:id="9746" w:name="_ETM_Q11_392680"/>
      <w:bookmarkEnd w:id="9746"/>
      <w:r>
        <w:rPr>
          <w:rFonts w:hint="cs"/>
          <w:rtl/>
        </w:rPr>
        <w:t xml:space="preserve">כאשר </w:t>
      </w:r>
      <w:bookmarkStart w:id="9747" w:name="_ETM_Q11_393340"/>
      <w:bookmarkEnd w:id="9747"/>
      <w:r>
        <w:rPr>
          <w:rFonts w:hint="cs"/>
          <w:rtl/>
        </w:rPr>
        <w:t xml:space="preserve">קורים </w:t>
      </w:r>
      <w:bookmarkStart w:id="9748" w:name="_ETM_Q11_393730"/>
      <w:bookmarkEnd w:id="9748"/>
      <w:r>
        <w:rPr>
          <w:rFonts w:hint="cs"/>
          <w:rtl/>
        </w:rPr>
        <w:t>מי</w:t>
      </w:r>
      <w:bookmarkStart w:id="9749" w:name="_ETM_Q11_392215"/>
      <w:bookmarkEnd w:id="9749"/>
      <w:r>
        <w:rPr>
          <w:rFonts w:hint="cs"/>
          <w:rtl/>
        </w:rPr>
        <w:t xml:space="preserve">נויים </w:t>
      </w:r>
      <w:bookmarkStart w:id="9750" w:name="_ETM_Q11_394120"/>
      <w:bookmarkEnd w:id="9750"/>
      <w:r>
        <w:rPr>
          <w:rFonts w:hint="cs"/>
          <w:rtl/>
        </w:rPr>
        <w:t xml:space="preserve">לא </w:t>
      </w:r>
      <w:bookmarkStart w:id="9751" w:name="_ETM_Q11_394269"/>
      <w:bookmarkEnd w:id="9751"/>
      <w:r>
        <w:rPr>
          <w:rFonts w:hint="cs"/>
          <w:rtl/>
        </w:rPr>
        <w:t xml:space="preserve">ראויים, </w:t>
      </w:r>
      <w:bookmarkStart w:id="9752" w:name="_ETM_Q11_395209"/>
      <w:bookmarkEnd w:id="9752"/>
      <w:r>
        <w:rPr>
          <w:rFonts w:hint="cs"/>
          <w:rtl/>
        </w:rPr>
        <w:t xml:space="preserve">בית </w:t>
      </w:r>
      <w:bookmarkStart w:id="9753" w:name="_ETM_Q11_395720"/>
      <w:bookmarkEnd w:id="9753"/>
      <w:r>
        <w:rPr>
          <w:rFonts w:hint="cs"/>
          <w:rtl/>
        </w:rPr>
        <w:t xml:space="preserve">המשפט </w:t>
      </w:r>
      <w:bookmarkStart w:id="9754" w:name="_ETM_Q11_396170"/>
      <w:bookmarkEnd w:id="9754"/>
      <w:r>
        <w:rPr>
          <w:rFonts w:hint="cs"/>
          <w:rtl/>
        </w:rPr>
        <w:t xml:space="preserve">לרוב </w:t>
      </w:r>
      <w:bookmarkStart w:id="9755" w:name="_ETM_Q11_396530"/>
      <w:bookmarkEnd w:id="9755"/>
      <w:r>
        <w:rPr>
          <w:rFonts w:hint="cs"/>
          <w:rtl/>
        </w:rPr>
        <w:t xml:space="preserve">מדבר </w:t>
      </w:r>
      <w:bookmarkStart w:id="9756" w:name="_ETM_Q11_396950"/>
      <w:bookmarkEnd w:id="9756"/>
      <w:r>
        <w:rPr>
          <w:rFonts w:hint="cs"/>
          <w:rtl/>
        </w:rPr>
        <w:t xml:space="preserve">על </w:t>
      </w:r>
      <w:bookmarkStart w:id="9757" w:name="_ETM_Q11_397069"/>
      <w:bookmarkEnd w:id="9757"/>
      <w:r>
        <w:rPr>
          <w:rFonts w:hint="cs"/>
          <w:rtl/>
        </w:rPr>
        <w:t xml:space="preserve">סבירות </w:t>
      </w:r>
      <w:bookmarkStart w:id="9758" w:name="_ETM_Q11_397640"/>
      <w:bookmarkEnd w:id="9758"/>
      <w:r>
        <w:rPr>
          <w:rFonts w:hint="cs"/>
          <w:rtl/>
        </w:rPr>
        <w:t xml:space="preserve">המינוי. </w:t>
      </w:r>
      <w:bookmarkStart w:id="9759" w:name="_ETM_Q11_399030"/>
      <w:bookmarkEnd w:id="9759"/>
      <w:r>
        <w:rPr>
          <w:rFonts w:hint="cs"/>
          <w:rtl/>
        </w:rPr>
        <w:t xml:space="preserve">או </w:t>
      </w:r>
      <w:bookmarkStart w:id="9760" w:name="_ETM_Q11_399390"/>
      <w:bookmarkEnd w:id="9760"/>
      <w:r>
        <w:rPr>
          <w:rFonts w:hint="cs"/>
          <w:rtl/>
        </w:rPr>
        <w:t xml:space="preserve">כאשר </w:t>
      </w:r>
      <w:bookmarkStart w:id="9761" w:name="_ETM_Q11_399780"/>
      <w:bookmarkEnd w:id="9761"/>
      <w:r>
        <w:rPr>
          <w:rFonts w:hint="cs"/>
          <w:rtl/>
        </w:rPr>
        <w:t xml:space="preserve">קורים </w:t>
      </w:r>
      <w:bookmarkStart w:id="9762" w:name="_ETM_Q11_400110"/>
      <w:bookmarkEnd w:id="9762"/>
      <w:r>
        <w:rPr>
          <w:rFonts w:hint="cs"/>
          <w:rtl/>
        </w:rPr>
        <w:t xml:space="preserve">פיטורים </w:t>
      </w:r>
      <w:bookmarkStart w:id="9763" w:name="_ETM_Q11_400650"/>
      <w:bookmarkEnd w:id="9763"/>
      <w:r>
        <w:rPr>
          <w:rFonts w:hint="cs"/>
          <w:rtl/>
        </w:rPr>
        <w:t xml:space="preserve">– כפי </w:t>
      </w:r>
      <w:bookmarkStart w:id="9764" w:name="_ETM_Q11_400890"/>
      <w:bookmarkEnd w:id="9764"/>
      <w:r>
        <w:rPr>
          <w:rFonts w:hint="cs"/>
          <w:rtl/>
        </w:rPr>
        <w:t xml:space="preserve">שעכשיו </w:t>
      </w:r>
      <w:bookmarkStart w:id="9765" w:name="_ETM_Q11_401370"/>
      <w:bookmarkStart w:id="9766" w:name="_ETM_Q11_401730"/>
      <w:bookmarkEnd w:id="9765"/>
      <w:bookmarkEnd w:id="9766"/>
      <w:r>
        <w:rPr>
          <w:rFonts w:hint="cs"/>
          <w:rtl/>
        </w:rPr>
        <w:t>שמענו</w:t>
      </w:r>
      <w:bookmarkStart w:id="9767" w:name="_ETM_Q11_401127"/>
      <w:bookmarkEnd w:id="9767"/>
      <w:r>
        <w:rPr>
          <w:rFonts w:hint="cs"/>
          <w:rtl/>
        </w:rPr>
        <w:t xml:space="preserve">, </w:t>
      </w:r>
      <w:bookmarkStart w:id="9768" w:name="_ETM_Q11_403000"/>
      <w:bookmarkEnd w:id="9768"/>
      <w:r>
        <w:rPr>
          <w:rFonts w:hint="cs"/>
          <w:rtl/>
        </w:rPr>
        <w:t xml:space="preserve">מנכ"ל </w:t>
      </w:r>
      <w:bookmarkStart w:id="9769" w:name="_ETM_Q11_403510"/>
      <w:bookmarkEnd w:id="9769"/>
      <w:r>
        <w:rPr>
          <w:rFonts w:hint="cs"/>
          <w:rtl/>
        </w:rPr>
        <w:t xml:space="preserve">רשות </w:t>
      </w:r>
      <w:bookmarkStart w:id="9770" w:name="_ETM_Q11_403900"/>
      <w:bookmarkEnd w:id="9770"/>
      <w:r>
        <w:rPr>
          <w:rFonts w:hint="cs"/>
          <w:rtl/>
        </w:rPr>
        <w:t xml:space="preserve">הדואר, </w:t>
      </w:r>
      <w:bookmarkStart w:id="9771" w:name="_ETM_Q11_404409"/>
      <w:bookmarkEnd w:id="9771"/>
      <w:r>
        <w:rPr>
          <w:rFonts w:hint="cs"/>
          <w:rtl/>
        </w:rPr>
        <w:t xml:space="preserve">אתם </w:t>
      </w:r>
      <w:bookmarkStart w:id="9772" w:name="_ETM_Q11_404739"/>
      <w:bookmarkEnd w:id="9772"/>
      <w:r>
        <w:rPr>
          <w:rFonts w:hint="cs"/>
          <w:rtl/>
        </w:rPr>
        <w:t xml:space="preserve">זורקים </w:t>
      </w:r>
      <w:bookmarkStart w:id="9773" w:name="_ETM_Q11_405220"/>
      <w:bookmarkEnd w:id="9773"/>
      <w:r>
        <w:rPr>
          <w:rFonts w:hint="cs"/>
          <w:rtl/>
        </w:rPr>
        <w:t xml:space="preserve">אותו. </w:t>
      </w:r>
      <w:bookmarkStart w:id="9774" w:name="_ETM_Q11_405849"/>
      <w:bookmarkEnd w:id="9774"/>
      <w:r>
        <w:rPr>
          <w:rFonts w:hint="cs"/>
          <w:rtl/>
        </w:rPr>
        <w:t xml:space="preserve">מה </w:t>
      </w:r>
      <w:bookmarkStart w:id="9775" w:name="_ETM_Q11_406090"/>
      <w:bookmarkEnd w:id="9775"/>
      <w:r>
        <w:rPr>
          <w:rFonts w:hint="cs"/>
          <w:rtl/>
        </w:rPr>
        <w:t xml:space="preserve">הוא </w:t>
      </w:r>
      <w:bookmarkStart w:id="9776" w:name="_ETM_Q11_406180"/>
      <w:bookmarkEnd w:id="9776"/>
      <w:r>
        <w:rPr>
          <w:rFonts w:hint="cs"/>
          <w:rtl/>
        </w:rPr>
        <w:t xml:space="preserve">עשה </w:t>
      </w:r>
      <w:bookmarkStart w:id="9777" w:name="_ETM_Q11_406480"/>
      <w:bookmarkEnd w:id="9777"/>
      <w:r>
        <w:rPr>
          <w:rFonts w:hint="cs"/>
          <w:rtl/>
        </w:rPr>
        <w:t xml:space="preserve">לכם? </w:t>
      </w:r>
      <w:bookmarkStart w:id="9778" w:name="_ETM_Q11_408120"/>
      <w:bookmarkEnd w:id="9778"/>
      <w:r>
        <w:rPr>
          <w:rFonts w:hint="cs"/>
          <w:rtl/>
        </w:rPr>
        <w:t xml:space="preserve">הוא </w:t>
      </w:r>
      <w:bookmarkStart w:id="9779" w:name="_ETM_Q11_408239"/>
      <w:bookmarkEnd w:id="9779"/>
      <w:r>
        <w:rPr>
          <w:rFonts w:hint="cs"/>
          <w:rtl/>
        </w:rPr>
        <w:t xml:space="preserve">לא </w:t>
      </w:r>
      <w:bookmarkStart w:id="9780" w:name="_ETM_Q11_408359"/>
      <w:bookmarkEnd w:id="9780"/>
      <w:r>
        <w:rPr>
          <w:rFonts w:hint="cs"/>
          <w:rtl/>
        </w:rPr>
        <w:t xml:space="preserve">נותן </w:t>
      </w:r>
      <w:bookmarkStart w:id="9781" w:name="_ETM_Q11_408659"/>
      <w:bookmarkEnd w:id="9781"/>
      <w:r>
        <w:rPr>
          <w:rFonts w:hint="cs"/>
          <w:rtl/>
        </w:rPr>
        <w:t xml:space="preserve">לכם </w:t>
      </w:r>
      <w:bookmarkStart w:id="9782" w:name="_ETM_Q11_408900"/>
      <w:bookmarkEnd w:id="9782"/>
      <w:r>
        <w:rPr>
          <w:rFonts w:hint="cs"/>
          <w:rtl/>
        </w:rPr>
        <w:t xml:space="preserve">לעשות </w:t>
      </w:r>
      <w:bookmarkStart w:id="9783" w:name="_ETM_Q11_409230"/>
      <w:bookmarkEnd w:id="9783"/>
      <w:r>
        <w:rPr>
          <w:rFonts w:hint="cs"/>
          <w:rtl/>
        </w:rPr>
        <w:t xml:space="preserve">שם מה </w:t>
      </w:r>
      <w:bookmarkStart w:id="9784" w:name="_ETM_Q11_409379"/>
      <w:bookmarkEnd w:id="9784"/>
      <w:r>
        <w:rPr>
          <w:rFonts w:hint="cs"/>
          <w:rtl/>
        </w:rPr>
        <w:t xml:space="preserve">שאתם </w:t>
      </w:r>
      <w:bookmarkStart w:id="9785" w:name="_ETM_Q11_409650"/>
      <w:bookmarkEnd w:id="9785"/>
      <w:r>
        <w:rPr>
          <w:rFonts w:hint="cs"/>
          <w:rtl/>
        </w:rPr>
        <w:t>רוצי</w:t>
      </w:r>
      <w:bookmarkStart w:id="9786" w:name="_ETM_Q11_410040"/>
      <w:bookmarkEnd w:id="9786"/>
      <w:r>
        <w:rPr>
          <w:rFonts w:hint="cs"/>
          <w:rtl/>
        </w:rPr>
        <w:t xml:space="preserve">ם? </w:t>
      </w:r>
      <w:bookmarkStart w:id="9787" w:name="_ETM_Q11_410950"/>
      <w:bookmarkEnd w:id="9787"/>
      <w:r>
        <w:rPr>
          <w:rFonts w:hint="cs"/>
          <w:rtl/>
        </w:rPr>
        <w:t xml:space="preserve">להשחית </w:t>
      </w:r>
      <w:bookmarkStart w:id="9788" w:name="_ETM_Q11_411430"/>
      <w:bookmarkStart w:id="9789" w:name="_ETM_Q11_411579"/>
      <w:bookmarkStart w:id="9790" w:name="_ETM_Q11_411879"/>
      <w:bookmarkEnd w:id="9788"/>
      <w:bookmarkEnd w:id="9789"/>
      <w:bookmarkEnd w:id="9790"/>
      <w:r>
        <w:rPr>
          <w:rFonts w:hint="cs"/>
          <w:rtl/>
        </w:rPr>
        <w:t xml:space="preserve">את </w:t>
      </w:r>
      <w:bookmarkStart w:id="9791" w:name="_ETM_Q11_412030"/>
      <w:bookmarkEnd w:id="9791"/>
      <w:r>
        <w:rPr>
          <w:rFonts w:hint="cs"/>
          <w:rtl/>
        </w:rPr>
        <w:t>המערכת עוד יותר</w:t>
      </w:r>
      <w:bookmarkStart w:id="9792" w:name="_ETM_Q11_407414"/>
      <w:bookmarkEnd w:id="9792"/>
      <w:r>
        <w:rPr>
          <w:rFonts w:hint="cs"/>
          <w:rtl/>
        </w:rPr>
        <w:t xml:space="preserve">? </w:t>
      </w:r>
      <w:bookmarkStart w:id="9793" w:name="_ETM_Q11_413110"/>
      <w:bookmarkEnd w:id="9793"/>
      <w:r>
        <w:rPr>
          <w:rFonts w:hint="cs"/>
          <w:rtl/>
        </w:rPr>
        <w:t xml:space="preserve">לא </w:t>
      </w:r>
      <w:bookmarkStart w:id="9794" w:name="_ETM_Q11_413290"/>
      <w:bookmarkEnd w:id="9794"/>
      <w:r>
        <w:rPr>
          <w:rFonts w:hint="cs"/>
          <w:rtl/>
        </w:rPr>
        <w:t xml:space="preserve">מתאים </w:t>
      </w:r>
      <w:bookmarkStart w:id="9795" w:name="_ETM_Q11_413620"/>
      <w:bookmarkEnd w:id="9795"/>
      <w:r>
        <w:rPr>
          <w:rFonts w:hint="cs"/>
          <w:rtl/>
        </w:rPr>
        <w:t xml:space="preserve">לשלמה </w:t>
      </w:r>
      <w:bookmarkStart w:id="9796" w:name="_ETM_Q11_414069"/>
      <w:bookmarkEnd w:id="9796"/>
      <w:r>
        <w:rPr>
          <w:rFonts w:hint="cs"/>
          <w:rtl/>
        </w:rPr>
        <w:t>קרעי</w:t>
      </w:r>
      <w:bookmarkStart w:id="9797" w:name="_ETM_Q11_414814"/>
      <w:bookmarkEnd w:id="9797"/>
      <w:r>
        <w:rPr>
          <w:rFonts w:hint="cs"/>
          <w:rtl/>
        </w:rPr>
        <w:t xml:space="preserve">, </w:t>
      </w:r>
      <w:bookmarkStart w:id="9798" w:name="_ETM_Q11_414549"/>
      <w:bookmarkEnd w:id="9798"/>
      <w:r>
        <w:rPr>
          <w:rFonts w:hint="cs"/>
          <w:rtl/>
        </w:rPr>
        <w:t>או</w:t>
      </w:r>
      <w:bookmarkStart w:id="9799" w:name="_ETM_Q11_414670"/>
      <w:bookmarkEnd w:id="9799"/>
      <w:r>
        <w:rPr>
          <w:rFonts w:hint="cs"/>
          <w:rtl/>
        </w:rPr>
        <w:t xml:space="preserve"> שהוא יותר </w:t>
      </w:r>
      <w:bookmarkStart w:id="9800" w:name="_ETM_Q11_415060"/>
      <w:bookmarkEnd w:id="9800"/>
      <w:r>
        <w:rPr>
          <w:rFonts w:hint="cs"/>
          <w:rtl/>
        </w:rPr>
        <w:t xml:space="preserve">מדי </w:t>
      </w:r>
      <w:bookmarkStart w:id="9801" w:name="_ETM_Q11_415299"/>
      <w:bookmarkEnd w:id="9801"/>
      <w:r>
        <w:rPr>
          <w:rFonts w:hint="cs"/>
          <w:rtl/>
        </w:rPr>
        <w:t xml:space="preserve">מקצוען? </w:t>
      </w:r>
      <w:bookmarkStart w:id="9802" w:name="_ETM_Q11_417620"/>
      <w:bookmarkEnd w:id="9802"/>
    </w:p>
    <w:p w:rsidR="000C5C1F" w:rsidRDefault="000C5C1F" w:rsidP="000C5C1F">
      <w:pPr>
        <w:rPr>
          <w:rtl/>
        </w:rPr>
      </w:pPr>
    </w:p>
    <w:p w:rsidR="000C5C1F" w:rsidRDefault="000C5C1F" w:rsidP="000C5C1F">
      <w:pPr>
        <w:pStyle w:val="af9"/>
        <w:keepNext/>
        <w:rPr>
          <w:rtl/>
        </w:rPr>
      </w:pPr>
      <w:bookmarkStart w:id="9803" w:name="ET_yor_6490_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9803"/>
    </w:p>
    <w:p w:rsidR="000C5C1F" w:rsidRDefault="000C5C1F" w:rsidP="00337201">
      <w:pPr>
        <w:rPr>
          <w:rtl/>
        </w:rPr>
      </w:pPr>
    </w:p>
    <w:p w:rsidR="000C5C1F" w:rsidRDefault="000C5C1F" w:rsidP="000C5C1F">
      <w:pPr>
        <w:rPr>
          <w:rtl/>
        </w:rPr>
      </w:pPr>
      <w:r>
        <w:rPr>
          <w:rFonts w:hint="cs"/>
          <w:rtl/>
        </w:rPr>
        <w:t>סגרו לנו את הדואר בכנסת, לא?</w:t>
      </w:r>
    </w:p>
    <w:p w:rsidR="000C5C1F" w:rsidRDefault="000C5C1F" w:rsidP="000C5C1F">
      <w:pPr>
        <w:rPr>
          <w:rtl/>
        </w:rPr>
      </w:pPr>
    </w:p>
    <w:p w:rsidR="000C5C1F" w:rsidRDefault="000C5C1F" w:rsidP="000C5C1F">
      <w:pPr>
        <w:pStyle w:val="-"/>
        <w:keepNext/>
        <w:rPr>
          <w:rtl/>
        </w:rPr>
      </w:pPr>
      <w:bookmarkStart w:id="9804" w:name="ET_speakercontinue_5552_3"/>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9804"/>
    </w:p>
    <w:p w:rsidR="000C5C1F" w:rsidRDefault="000C5C1F" w:rsidP="00337201">
      <w:pPr>
        <w:rPr>
          <w:rtl/>
        </w:rPr>
      </w:pPr>
    </w:p>
    <w:p w:rsidR="000C5C1F" w:rsidRDefault="000C5C1F" w:rsidP="000C5C1F">
      <w:pPr>
        <w:rPr>
          <w:rtl/>
        </w:rPr>
      </w:pPr>
      <w:bookmarkStart w:id="9805" w:name="_ETM_Q11_415906"/>
      <w:bookmarkStart w:id="9806" w:name="_ETM_Q11_417859"/>
      <w:bookmarkEnd w:id="9805"/>
      <w:bookmarkEnd w:id="9806"/>
      <w:r>
        <w:rPr>
          <w:rFonts w:hint="cs"/>
          <w:rtl/>
        </w:rPr>
        <w:t xml:space="preserve">אז כל </w:t>
      </w:r>
      <w:bookmarkStart w:id="9807" w:name="_ETM_Q11_418099"/>
      <w:bookmarkEnd w:id="9807"/>
      <w:r>
        <w:rPr>
          <w:rFonts w:hint="cs"/>
          <w:rtl/>
        </w:rPr>
        <w:t xml:space="preserve">הדיבורים </w:t>
      </w:r>
      <w:bookmarkStart w:id="9808" w:name="_ETM_Q11_418640"/>
      <w:bookmarkEnd w:id="9808"/>
      <w:r>
        <w:rPr>
          <w:rFonts w:hint="cs"/>
          <w:rtl/>
        </w:rPr>
        <w:t xml:space="preserve">האלו </w:t>
      </w:r>
      <w:bookmarkStart w:id="9809" w:name="_ETM_Q11_419269"/>
      <w:bookmarkEnd w:id="9809"/>
      <w:r>
        <w:rPr>
          <w:rFonts w:hint="cs"/>
          <w:rtl/>
        </w:rPr>
        <w:t xml:space="preserve">שאני </w:t>
      </w:r>
      <w:bookmarkStart w:id="9810" w:name="_ETM_Q11_419599"/>
      <w:bookmarkEnd w:id="9810"/>
      <w:r>
        <w:rPr>
          <w:rFonts w:hint="cs"/>
          <w:rtl/>
        </w:rPr>
        <w:t xml:space="preserve">שומעת </w:t>
      </w:r>
      <w:bookmarkStart w:id="9811" w:name="_ETM_Q11_420109"/>
      <w:bookmarkEnd w:id="9811"/>
      <w:r>
        <w:rPr>
          <w:rFonts w:hint="cs"/>
          <w:rtl/>
        </w:rPr>
        <w:t xml:space="preserve">פה </w:t>
      </w:r>
      <w:bookmarkStart w:id="9812" w:name="_ETM_Q11_420469"/>
      <w:bookmarkStart w:id="9813" w:name="_ETM_Q11_420769"/>
      <w:bookmarkEnd w:id="9812"/>
      <w:bookmarkEnd w:id="9813"/>
      <w:r>
        <w:rPr>
          <w:rFonts w:hint="cs"/>
          <w:rtl/>
        </w:rPr>
        <w:t>ש</w:t>
      </w:r>
      <w:bookmarkStart w:id="9814" w:name="_ETM_Q11_431580"/>
      <w:bookmarkEnd w:id="9814"/>
      <w:r>
        <w:rPr>
          <w:rFonts w:hint="cs"/>
          <w:rtl/>
        </w:rPr>
        <w:t xml:space="preserve">ל </w:t>
      </w:r>
      <w:bookmarkStart w:id="9815" w:name="_ETM_Q11_420920"/>
      <w:bookmarkEnd w:id="9815"/>
      <w:r>
        <w:rPr>
          <w:rFonts w:hint="cs"/>
          <w:rtl/>
        </w:rPr>
        <w:t xml:space="preserve">יפי </w:t>
      </w:r>
      <w:bookmarkStart w:id="9816" w:name="_ETM_Q11_421310"/>
      <w:bookmarkStart w:id="9817" w:name="_ETM_Q11_421760"/>
      <w:bookmarkStart w:id="9818" w:name="_ETM_Q11_422060"/>
      <w:bookmarkEnd w:id="9816"/>
      <w:bookmarkEnd w:id="9817"/>
      <w:bookmarkEnd w:id="9818"/>
      <w:r>
        <w:rPr>
          <w:rFonts w:hint="cs"/>
          <w:rtl/>
        </w:rPr>
        <w:t xml:space="preserve">נפש, </w:t>
      </w:r>
      <w:bookmarkStart w:id="9819" w:name="_ETM_Q11_422959"/>
      <w:bookmarkEnd w:id="9819"/>
      <w:r>
        <w:rPr>
          <w:rFonts w:hint="cs"/>
          <w:rtl/>
        </w:rPr>
        <w:t xml:space="preserve">על </w:t>
      </w:r>
      <w:bookmarkStart w:id="9820" w:name="_ETM_Q11_423109"/>
      <w:bookmarkEnd w:id="9820"/>
      <w:r>
        <w:rPr>
          <w:rFonts w:hint="cs"/>
          <w:rtl/>
        </w:rPr>
        <w:t>הידברות,</w:t>
      </w:r>
      <w:bookmarkStart w:id="9821" w:name="_ETM_Q11_419169"/>
      <w:bookmarkEnd w:id="9821"/>
      <w:r>
        <w:rPr>
          <w:rFonts w:hint="cs"/>
          <w:rtl/>
        </w:rPr>
        <w:t xml:space="preserve"> </w:t>
      </w:r>
      <w:bookmarkStart w:id="9822" w:name="_ETM_Q11_424280"/>
      <w:bookmarkEnd w:id="9822"/>
      <w:r>
        <w:rPr>
          <w:rFonts w:hint="cs"/>
          <w:rtl/>
        </w:rPr>
        <w:t xml:space="preserve">על </w:t>
      </w:r>
      <w:bookmarkStart w:id="9823" w:name="_ETM_Q11_424459"/>
      <w:bookmarkEnd w:id="9823"/>
      <w:r>
        <w:rPr>
          <w:rFonts w:hint="cs"/>
          <w:rtl/>
        </w:rPr>
        <w:t xml:space="preserve">ההסכמות, </w:t>
      </w:r>
      <w:bookmarkStart w:id="9824" w:name="_ETM_Q11_426629"/>
      <w:bookmarkEnd w:id="9824"/>
      <w:r>
        <w:rPr>
          <w:rFonts w:hint="cs"/>
          <w:rtl/>
        </w:rPr>
        <w:t xml:space="preserve">אני </w:t>
      </w:r>
      <w:bookmarkStart w:id="9825" w:name="_ETM_Q11_426900"/>
      <w:bookmarkEnd w:id="9825"/>
      <w:r>
        <w:rPr>
          <w:rFonts w:hint="cs"/>
          <w:rtl/>
        </w:rPr>
        <w:t xml:space="preserve">לא </w:t>
      </w:r>
      <w:bookmarkStart w:id="9826" w:name="_ETM_Q11_427019"/>
      <w:bookmarkEnd w:id="9826"/>
      <w:r>
        <w:rPr>
          <w:rFonts w:hint="cs"/>
          <w:rtl/>
        </w:rPr>
        <w:t xml:space="preserve">מקבלת </w:t>
      </w:r>
      <w:bookmarkStart w:id="9827" w:name="_ETM_Q11_427620"/>
      <w:bookmarkEnd w:id="9827"/>
      <w:r>
        <w:rPr>
          <w:rFonts w:hint="cs"/>
          <w:rtl/>
        </w:rPr>
        <w:t xml:space="preserve">את </w:t>
      </w:r>
      <w:bookmarkStart w:id="9828" w:name="_ETM_Q11_427739"/>
      <w:bookmarkEnd w:id="9828"/>
      <w:r>
        <w:rPr>
          <w:rFonts w:hint="cs"/>
          <w:rtl/>
        </w:rPr>
        <w:t>זה</w:t>
      </w:r>
      <w:bookmarkStart w:id="9829" w:name="_ETM_Q11_428040"/>
      <w:bookmarkStart w:id="9830" w:name="_ETM_Q11_428190"/>
      <w:bookmarkStart w:id="9831" w:name="_ETM_Q11_428489"/>
      <w:bookmarkStart w:id="9832" w:name="_ETM_Q11_429650"/>
      <w:bookmarkEnd w:id="9829"/>
      <w:bookmarkEnd w:id="9830"/>
      <w:bookmarkEnd w:id="9831"/>
      <w:bookmarkEnd w:id="9832"/>
      <w:r>
        <w:rPr>
          <w:rFonts w:hint="cs"/>
          <w:rtl/>
        </w:rPr>
        <w:t xml:space="preserve">, כי </w:t>
      </w:r>
      <w:bookmarkStart w:id="9833" w:name="_ETM_Q11_429799"/>
      <w:bookmarkStart w:id="9834" w:name="_ETM_Q11_430159"/>
      <w:bookmarkEnd w:id="9833"/>
      <w:bookmarkEnd w:id="9834"/>
      <w:r>
        <w:rPr>
          <w:rFonts w:hint="cs"/>
          <w:rtl/>
        </w:rPr>
        <w:t xml:space="preserve">זה </w:t>
      </w:r>
      <w:bookmarkStart w:id="9835" w:name="_ETM_Q11_430430"/>
      <w:bookmarkEnd w:id="9835"/>
      <w:r>
        <w:rPr>
          <w:rFonts w:hint="cs"/>
          <w:rtl/>
        </w:rPr>
        <w:t xml:space="preserve">שקר. </w:t>
      </w:r>
      <w:bookmarkStart w:id="9836" w:name="_ETM_Q11_432079"/>
      <w:bookmarkEnd w:id="9836"/>
      <w:r>
        <w:rPr>
          <w:rFonts w:hint="cs"/>
          <w:rtl/>
        </w:rPr>
        <w:t xml:space="preserve">אם </w:t>
      </w:r>
      <w:bookmarkStart w:id="9837" w:name="_ETM_Q11_432260"/>
      <w:bookmarkEnd w:id="9837"/>
      <w:r>
        <w:rPr>
          <w:rFonts w:hint="cs"/>
          <w:rtl/>
        </w:rPr>
        <w:t xml:space="preserve">אנחנו </w:t>
      </w:r>
      <w:bookmarkStart w:id="9838" w:name="_ETM_Q11_432620"/>
      <w:bookmarkEnd w:id="9838"/>
      <w:r>
        <w:rPr>
          <w:rFonts w:hint="cs"/>
          <w:rtl/>
        </w:rPr>
        <w:t xml:space="preserve">באמת רוצים </w:t>
      </w:r>
      <w:bookmarkStart w:id="9839" w:name="_ETM_Q11_433010"/>
      <w:bookmarkStart w:id="9840" w:name="_ETM_Q11_433969"/>
      <w:bookmarkEnd w:id="9839"/>
      <w:bookmarkEnd w:id="9840"/>
      <w:r>
        <w:rPr>
          <w:rFonts w:hint="cs"/>
          <w:rtl/>
        </w:rPr>
        <w:t xml:space="preserve">לתקן </w:t>
      </w:r>
      <w:bookmarkStart w:id="9841" w:name="_ETM_Q11_434510"/>
      <w:bookmarkEnd w:id="9841"/>
      <w:r>
        <w:rPr>
          <w:rFonts w:hint="cs"/>
          <w:rtl/>
        </w:rPr>
        <w:t xml:space="preserve">את מערכת </w:t>
      </w:r>
      <w:bookmarkStart w:id="9842" w:name="_ETM_Q11_434930"/>
      <w:bookmarkEnd w:id="9842"/>
      <w:r>
        <w:rPr>
          <w:rFonts w:hint="cs"/>
          <w:rtl/>
        </w:rPr>
        <w:t xml:space="preserve">המשפט, </w:t>
      </w:r>
      <w:bookmarkStart w:id="9843" w:name="_ETM_Q11_436720"/>
      <w:bookmarkEnd w:id="9843"/>
      <w:r>
        <w:rPr>
          <w:rFonts w:hint="cs"/>
          <w:rtl/>
        </w:rPr>
        <w:t xml:space="preserve">לא </w:t>
      </w:r>
      <w:bookmarkStart w:id="9844" w:name="_ETM_Q11_437020"/>
      <w:bookmarkEnd w:id="9844"/>
      <w:r>
        <w:rPr>
          <w:rFonts w:hint="cs"/>
          <w:rtl/>
        </w:rPr>
        <w:t xml:space="preserve">לטובת </w:t>
      </w:r>
      <w:bookmarkStart w:id="9845" w:name="_ETM_Q11_437500"/>
      <w:bookmarkEnd w:id="9845"/>
      <w:r>
        <w:rPr>
          <w:rFonts w:hint="cs"/>
          <w:rtl/>
        </w:rPr>
        <w:t xml:space="preserve">הפוליטיקאים, </w:t>
      </w:r>
      <w:bookmarkStart w:id="9846" w:name="_ETM_Q11_438550"/>
      <w:bookmarkEnd w:id="9846"/>
      <w:r>
        <w:rPr>
          <w:rFonts w:hint="cs"/>
          <w:rtl/>
        </w:rPr>
        <w:t xml:space="preserve">לא </w:t>
      </w:r>
      <w:bookmarkStart w:id="9847" w:name="_ETM_Q11_438820"/>
      <w:bookmarkEnd w:id="9847"/>
      <w:r>
        <w:rPr>
          <w:rFonts w:hint="cs"/>
          <w:rtl/>
        </w:rPr>
        <w:t xml:space="preserve">לטובת </w:t>
      </w:r>
      <w:bookmarkStart w:id="9848" w:name="_ETM_Q11_439300"/>
      <w:bookmarkEnd w:id="9848"/>
      <w:r>
        <w:rPr>
          <w:rFonts w:hint="cs"/>
          <w:rtl/>
        </w:rPr>
        <w:t xml:space="preserve">המינויים, </w:t>
      </w:r>
      <w:bookmarkStart w:id="9849" w:name="_ETM_Q11_440449"/>
      <w:bookmarkEnd w:id="9849"/>
      <w:r>
        <w:rPr>
          <w:rFonts w:hint="cs"/>
          <w:rtl/>
        </w:rPr>
        <w:t xml:space="preserve">לא </w:t>
      </w:r>
      <w:bookmarkStart w:id="9850" w:name="_ETM_Q11_440660"/>
      <w:bookmarkEnd w:id="9850"/>
      <w:r>
        <w:rPr>
          <w:rFonts w:hint="cs"/>
          <w:rtl/>
        </w:rPr>
        <w:t xml:space="preserve">לטובת </w:t>
      </w:r>
      <w:bookmarkStart w:id="9851" w:name="_ETM_Q11_441139"/>
      <w:bookmarkEnd w:id="9851"/>
      <w:r>
        <w:rPr>
          <w:rFonts w:hint="cs"/>
          <w:rtl/>
        </w:rPr>
        <w:t xml:space="preserve">האינטרסים </w:t>
      </w:r>
      <w:bookmarkStart w:id="9852" w:name="_ETM_Q11_441740"/>
      <w:bookmarkEnd w:id="9852"/>
      <w:r>
        <w:rPr>
          <w:rFonts w:hint="cs"/>
          <w:rtl/>
        </w:rPr>
        <w:t xml:space="preserve">האישיים </w:t>
      </w:r>
      <w:bookmarkStart w:id="9853" w:name="_ETM_Q11_442300"/>
      <w:bookmarkEnd w:id="9853"/>
      <w:r>
        <w:rPr>
          <w:rFonts w:hint="cs"/>
          <w:rtl/>
        </w:rPr>
        <w:t>של</w:t>
      </w:r>
      <w:bookmarkStart w:id="9854" w:name="_ETM_Q11_442599"/>
      <w:bookmarkEnd w:id="9854"/>
      <w:r>
        <w:rPr>
          <w:rFonts w:hint="cs"/>
          <w:rtl/>
        </w:rPr>
        <w:t xml:space="preserve"> איש </w:t>
      </w:r>
      <w:bookmarkStart w:id="9855" w:name="_ETM_Q11_442720"/>
      <w:bookmarkEnd w:id="9855"/>
      <w:r>
        <w:rPr>
          <w:rFonts w:hint="cs"/>
          <w:rtl/>
        </w:rPr>
        <w:t xml:space="preserve">כזה </w:t>
      </w:r>
      <w:bookmarkStart w:id="9856" w:name="_ETM_Q11_443020"/>
      <w:bookmarkEnd w:id="9856"/>
      <w:r>
        <w:rPr>
          <w:rFonts w:hint="cs"/>
          <w:rtl/>
        </w:rPr>
        <w:t xml:space="preserve">או </w:t>
      </w:r>
      <w:bookmarkStart w:id="9857" w:name="_ETM_Q11_443139"/>
      <w:bookmarkEnd w:id="9857"/>
      <w:r>
        <w:rPr>
          <w:rFonts w:hint="cs"/>
          <w:rtl/>
        </w:rPr>
        <w:t>אחר –</w:t>
      </w:r>
      <w:bookmarkStart w:id="9858" w:name="_ETM_Q11_444614"/>
      <w:bookmarkEnd w:id="9858"/>
      <w:r>
        <w:rPr>
          <w:rFonts w:hint="cs"/>
          <w:rtl/>
        </w:rPr>
        <w:t xml:space="preserve"> </w:t>
      </w:r>
      <w:bookmarkStart w:id="9859" w:name="_ETM_Q11_444490"/>
      <w:bookmarkEnd w:id="9859"/>
      <w:r>
        <w:rPr>
          <w:rFonts w:hint="cs"/>
          <w:rtl/>
        </w:rPr>
        <w:t xml:space="preserve">צריך </w:t>
      </w:r>
      <w:bookmarkStart w:id="9860" w:name="_ETM_Q11_444850"/>
      <w:bookmarkEnd w:id="9860"/>
      <w:r>
        <w:rPr>
          <w:rFonts w:hint="cs"/>
          <w:rtl/>
        </w:rPr>
        <w:t xml:space="preserve">לגנוז </w:t>
      </w:r>
      <w:bookmarkStart w:id="9861" w:name="_ETM_Q11_445300"/>
      <w:bookmarkEnd w:id="9861"/>
      <w:r>
        <w:rPr>
          <w:rFonts w:hint="cs"/>
          <w:rtl/>
        </w:rPr>
        <w:t xml:space="preserve">את </w:t>
      </w:r>
      <w:bookmarkStart w:id="9862" w:name="_ETM_Q11_445480"/>
      <w:bookmarkEnd w:id="9862"/>
      <w:r>
        <w:rPr>
          <w:rFonts w:hint="cs"/>
          <w:rtl/>
        </w:rPr>
        <w:t xml:space="preserve">כל </w:t>
      </w:r>
      <w:bookmarkStart w:id="9863" w:name="_ETM_Q11_445690"/>
      <w:bookmarkEnd w:id="9863"/>
      <w:r>
        <w:rPr>
          <w:rFonts w:hint="cs"/>
          <w:rtl/>
        </w:rPr>
        <w:t xml:space="preserve">החקיקה </w:t>
      </w:r>
      <w:bookmarkStart w:id="9864" w:name="_ETM_Q11_446290"/>
      <w:bookmarkEnd w:id="9864"/>
      <w:r>
        <w:rPr>
          <w:rFonts w:hint="cs"/>
          <w:rtl/>
        </w:rPr>
        <w:t xml:space="preserve">הזאת, </w:t>
      </w:r>
      <w:bookmarkStart w:id="9865" w:name="_ETM_Q11_446980"/>
      <w:bookmarkEnd w:id="9865"/>
      <w:r>
        <w:rPr>
          <w:rFonts w:hint="cs"/>
          <w:rtl/>
        </w:rPr>
        <w:t xml:space="preserve">לשכוח </w:t>
      </w:r>
      <w:bookmarkStart w:id="9866" w:name="_ETM_Q11_447700"/>
      <w:bookmarkStart w:id="9867" w:name="_ETM_Q11_447850"/>
      <w:bookmarkEnd w:id="9866"/>
      <w:bookmarkEnd w:id="9867"/>
      <w:r>
        <w:rPr>
          <w:rFonts w:hint="cs"/>
          <w:rtl/>
        </w:rPr>
        <w:t xml:space="preserve">מקיומה, </w:t>
      </w:r>
      <w:bookmarkStart w:id="9868" w:name="_ETM_Q11_448790"/>
      <w:bookmarkEnd w:id="9868"/>
      <w:r>
        <w:rPr>
          <w:rFonts w:hint="cs"/>
          <w:rtl/>
        </w:rPr>
        <w:t xml:space="preserve">לזרוק </w:t>
      </w:r>
      <w:bookmarkStart w:id="9869" w:name="_ETM_Q11_449450"/>
      <w:bookmarkEnd w:id="9869"/>
      <w:r>
        <w:rPr>
          <w:rFonts w:hint="cs"/>
          <w:rtl/>
        </w:rPr>
        <w:t xml:space="preserve">אותה </w:t>
      </w:r>
      <w:bookmarkStart w:id="9870" w:name="_ETM_Q11_450680"/>
      <w:bookmarkEnd w:id="9870"/>
      <w:r>
        <w:rPr>
          <w:rFonts w:hint="cs"/>
          <w:rtl/>
        </w:rPr>
        <w:t xml:space="preserve">לפח </w:t>
      </w:r>
      <w:bookmarkStart w:id="9871" w:name="_ETM_Q11_451279"/>
      <w:bookmarkEnd w:id="9871"/>
      <w:r>
        <w:rPr>
          <w:rFonts w:hint="cs"/>
          <w:rtl/>
        </w:rPr>
        <w:t>ו</w:t>
      </w:r>
      <w:bookmarkStart w:id="9872" w:name="_ETM_Q11_451640"/>
      <w:bookmarkEnd w:id="9872"/>
      <w:r>
        <w:rPr>
          <w:rFonts w:hint="cs"/>
          <w:rtl/>
        </w:rPr>
        <w:t>להתחיל</w:t>
      </w:r>
      <w:bookmarkStart w:id="9873" w:name="_ETM_Q11_448015"/>
      <w:bookmarkEnd w:id="9873"/>
      <w:r>
        <w:rPr>
          <w:rFonts w:hint="cs"/>
          <w:rtl/>
        </w:rPr>
        <w:t xml:space="preserve"> </w:t>
      </w:r>
      <w:bookmarkStart w:id="9874" w:name="_ETM_Q11_451880"/>
      <w:bookmarkEnd w:id="9874"/>
      <w:r>
        <w:rPr>
          <w:rFonts w:hint="cs"/>
          <w:rtl/>
        </w:rPr>
        <w:t xml:space="preserve">הכול </w:t>
      </w:r>
      <w:bookmarkStart w:id="9875" w:name="_ETM_Q11_452089"/>
      <w:bookmarkEnd w:id="9875"/>
      <w:r>
        <w:rPr>
          <w:rFonts w:hint="cs"/>
          <w:rtl/>
        </w:rPr>
        <w:t>מחדש</w:t>
      </w:r>
      <w:bookmarkStart w:id="9876" w:name="_ETM_Q11_453319"/>
      <w:bookmarkEnd w:id="9876"/>
      <w:r>
        <w:rPr>
          <w:rFonts w:hint="cs"/>
          <w:rtl/>
        </w:rPr>
        <w:t xml:space="preserve">. כי </w:t>
      </w:r>
      <w:bookmarkStart w:id="9877" w:name="_ETM_Q11_453620"/>
      <w:bookmarkStart w:id="9878" w:name="_ETM_Q11_453949"/>
      <w:bookmarkEnd w:id="9877"/>
      <w:bookmarkEnd w:id="9878"/>
      <w:r>
        <w:rPr>
          <w:rFonts w:hint="cs"/>
          <w:rtl/>
        </w:rPr>
        <w:t xml:space="preserve">כן אפשר </w:t>
      </w:r>
      <w:bookmarkStart w:id="9879" w:name="_ETM_Q11_454279"/>
      <w:bookmarkEnd w:id="9879"/>
      <w:r>
        <w:rPr>
          <w:rFonts w:hint="cs"/>
          <w:rtl/>
        </w:rPr>
        <w:t xml:space="preserve">לעשות </w:t>
      </w:r>
      <w:bookmarkStart w:id="9880" w:name="_ETM_Q11_454729"/>
      <w:bookmarkEnd w:id="9880"/>
      <w:r>
        <w:rPr>
          <w:rFonts w:hint="cs"/>
          <w:rtl/>
        </w:rPr>
        <w:t xml:space="preserve">תיקונים, </w:t>
      </w:r>
      <w:bookmarkStart w:id="9881" w:name="_ETM_Q11_455629"/>
      <w:bookmarkStart w:id="9882" w:name="_ETM_Q11_455930"/>
      <w:bookmarkEnd w:id="9881"/>
      <w:bookmarkEnd w:id="9882"/>
      <w:r>
        <w:rPr>
          <w:rFonts w:hint="cs"/>
          <w:rtl/>
        </w:rPr>
        <w:t xml:space="preserve">כן אפשר </w:t>
      </w:r>
      <w:bookmarkStart w:id="9883" w:name="_ETM_Q11_456289"/>
      <w:bookmarkEnd w:id="9883"/>
      <w:r>
        <w:rPr>
          <w:rFonts w:hint="cs"/>
          <w:rtl/>
        </w:rPr>
        <w:t xml:space="preserve">לעשות </w:t>
      </w:r>
      <w:bookmarkStart w:id="9884" w:name="_ETM_Q11_456620"/>
      <w:bookmarkEnd w:id="9884"/>
      <w:r>
        <w:rPr>
          <w:rFonts w:hint="cs"/>
          <w:rtl/>
        </w:rPr>
        <w:t xml:space="preserve">רפורמה, </w:t>
      </w:r>
      <w:bookmarkStart w:id="9885" w:name="_ETM_Q11_457819"/>
      <w:bookmarkEnd w:id="9885"/>
      <w:r>
        <w:rPr>
          <w:rFonts w:hint="cs"/>
          <w:rtl/>
        </w:rPr>
        <w:t xml:space="preserve">אבל </w:t>
      </w:r>
      <w:bookmarkStart w:id="9886" w:name="_ETM_Q11_458120"/>
      <w:bookmarkStart w:id="9887" w:name="_ETM_Q11_458270"/>
      <w:bookmarkStart w:id="9888" w:name="_ETM_Q11_456855"/>
      <w:bookmarkEnd w:id="9886"/>
      <w:bookmarkEnd w:id="9887"/>
      <w:bookmarkEnd w:id="9888"/>
      <w:r>
        <w:rPr>
          <w:rFonts w:hint="cs"/>
          <w:rtl/>
        </w:rPr>
        <w:t xml:space="preserve">הרפורמה </w:t>
      </w:r>
      <w:bookmarkStart w:id="9889" w:name="_ETM_Q11_458839"/>
      <w:bookmarkEnd w:id="9889"/>
      <w:r>
        <w:rPr>
          <w:rFonts w:hint="cs"/>
          <w:rtl/>
        </w:rPr>
        <w:t xml:space="preserve">צריכה </w:t>
      </w:r>
      <w:bookmarkStart w:id="9890" w:name="_ETM_Q11_459169"/>
      <w:bookmarkEnd w:id="9890"/>
      <w:r>
        <w:rPr>
          <w:rFonts w:hint="cs"/>
          <w:rtl/>
        </w:rPr>
        <w:t xml:space="preserve">להיות </w:t>
      </w:r>
      <w:bookmarkStart w:id="9891" w:name="_ETM_Q11_459349"/>
      <w:bookmarkEnd w:id="9891"/>
      <w:r>
        <w:rPr>
          <w:rFonts w:hint="cs"/>
          <w:rtl/>
        </w:rPr>
        <w:t>רפורמה מאוזנת, של</w:t>
      </w:r>
      <w:bookmarkStart w:id="9892" w:name="_ETM_Q11_460580"/>
      <w:bookmarkStart w:id="9893" w:name="_ETM_Q11_460760"/>
      <w:bookmarkStart w:id="9894" w:name="_ETM_Q11_465548"/>
      <w:bookmarkEnd w:id="9892"/>
      <w:bookmarkEnd w:id="9893"/>
      <w:bookmarkEnd w:id="9894"/>
      <w:r>
        <w:rPr>
          <w:rFonts w:hint="cs"/>
          <w:rtl/>
        </w:rPr>
        <w:t xml:space="preserve">וקחת </w:t>
      </w:r>
      <w:bookmarkStart w:id="9895" w:name="_ETM_Q11_461210"/>
      <w:bookmarkEnd w:id="9895"/>
      <w:r>
        <w:rPr>
          <w:rFonts w:hint="cs"/>
          <w:rtl/>
        </w:rPr>
        <w:t xml:space="preserve">בחשבון </w:t>
      </w:r>
      <w:bookmarkStart w:id="9896" w:name="_ETM_Q11_462290"/>
      <w:bookmarkEnd w:id="9896"/>
      <w:r>
        <w:rPr>
          <w:rFonts w:hint="cs"/>
          <w:rtl/>
        </w:rPr>
        <w:t xml:space="preserve">את </w:t>
      </w:r>
      <w:bookmarkStart w:id="9897" w:name="_ETM_Q11_462560"/>
      <w:bookmarkEnd w:id="9897"/>
      <w:r>
        <w:rPr>
          <w:rFonts w:hint="cs"/>
          <w:rtl/>
        </w:rPr>
        <w:t xml:space="preserve">השלכות </w:t>
      </w:r>
      <w:bookmarkStart w:id="9898" w:name="_ETM_Q11_463130"/>
      <w:bookmarkEnd w:id="9898"/>
      <w:r>
        <w:rPr>
          <w:rFonts w:hint="cs"/>
          <w:rtl/>
        </w:rPr>
        <w:t xml:space="preserve">הרוחב, </w:t>
      </w:r>
      <w:bookmarkStart w:id="9899" w:name="_ETM_Q11_464510"/>
      <w:bookmarkEnd w:id="9899"/>
      <w:r>
        <w:rPr>
          <w:rFonts w:hint="cs"/>
          <w:rtl/>
        </w:rPr>
        <w:t>ש</w:t>
      </w:r>
      <w:bookmarkStart w:id="9900" w:name="_ETM_Q11_465110"/>
      <w:bookmarkStart w:id="9901" w:name="_ETM_Q11_465589"/>
      <w:bookmarkEnd w:id="9900"/>
      <w:bookmarkEnd w:id="9901"/>
      <w:r>
        <w:rPr>
          <w:rFonts w:hint="cs"/>
          <w:rtl/>
        </w:rPr>
        <w:t xml:space="preserve">לא </w:t>
      </w:r>
      <w:bookmarkStart w:id="9902" w:name="_ETM_Q11_465710"/>
      <w:bookmarkEnd w:id="9902"/>
      <w:r>
        <w:rPr>
          <w:rFonts w:hint="cs"/>
          <w:rtl/>
        </w:rPr>
        <w:t xml:space="preserve">מוציאה </w:t>
      </w:r>
      <w:bookmarkStart w:id="9903" w:name="_ETM_Q11_466160"/>
      <w:bookmarkEnd w:id="9903"/>
      <w:r>
        <w:rPr>
          <w:rFonts w:hint="cs"/>
          <w:rtl/>
        </w:rPr>
        <w:t xml:space="preserve">את </w:t>
      </w:r>
      <w:bookmarkStart w:id="9904" w:name="_ETM_Q11_466279"/>
      <w:bookmarkEnd w:id="9904"/>
      <w:r>
        <w:rPr>
          <w:rFonts w:hint="cs"/>
          <w:rtl/>
        </w:rPr>
        <w:t xml:space="preserve">המערכת </w:t>
      </w:r>
      <w:bookmarkStart w:id="9905" w:name="_ETM_Q11_466820"/>
      <w:bookmarkEnd w:id="9905"/>
      <w:r>
        <w:rPr>
          <w:rFonts w:hint="cs"/>
          <w:rtl/>
        </w:rPr>
        <w:t xml:space="preserve">מאיזונים, </w:t>
      </w:r>
      <w:bookmarkStart w:id="9906" w:name="_ETM_Q11_467900"/>
      <w:bookmarkEnd w:id="9906"/>
      <w:r>
        <w:rPr>
          <w:rFonts w:hint="cs"/>
          <w:rtl/>
        </w:rPr>
        <w:t xml:space="preserve">שכן </w:t>
      </w:r>
      <w:bookmarkStart w:id="9907" w:name="_ETM_Q11_468349"/>
      <w:bookmarkEnd w:id="9907"/>
      <w:r>
        <w:rPr>
          <w:rFonts w:hint="cs"/>
          <w:rtl/>
        </w:rPr>
        <w:t xml:space="preserve">נותנת </w:t>
      </w:r>
      <w:bookmarkStart w:id="9908" w:name="_ETM_Q11_468710"/>
      <w:bookmarkEnd w:id="9908"/>
      <w:r>
        <w:rPr>
          <w:rFonts w:hint="cs"/>
          <w:rtl/>
        </w:rPr>
        <w:t xml:space="preserve">בלמים </w:t>
      </w:r>
      <w:bookmarkStart w:id="9909" w:name="_ETM_Q11_469699"/>
      <w:bookmarkEnd w:id="9909"/>
      <w:r>
        <w:rPr>
          <w:rFonts w:hint="cs"/>
          <w:rtl/>
        </w:rPr>
        <w:t xml:space="preserve">לפוליטיקאים. </w:t>
      </w:r>
      <w:bookmarkStart w:id="9910" w:name="_ETM_Q11_470810"/>
      <w:bookmarkEnd w:id="9910"/>
      <w:r>
        <w:rPr>
          <w:rFonts w:hint="cs"/>
          <w:rtl/>
        </w:rPr>
        <w:t xml:space="preserve">כי </w:t>
      </w:r>
      <w:bookmarkStart w:id="9911" w:name="_ETM_Q11_471020"/>
      <w:bookmarkEnd w:id="9911"/>
      <w:r>
        <w:rPr>
          <w:rFonts w:hint="cs"/>
          <w:rtl/>
        </w:rPr>
        <w:t>כ</w:t>
      </w:r>
      <w:bookmarkStart w:id="9912" w:name="_ETM_Q11_471319"/>
      <w:bookmarkEnd w:id="9912"/>
      <w:r>
        <w:rPr>
          <w:rFonts w:hint="cs"/>
          <w:rtl/>
        </w:rPr>
        <w:t>פוליטיק</w:t>
      </w:r>
      <w:bookmarkStart w:id="9913" w:name="_ETM_Q11_471949"/>
      <w:bookmarkEnd w:id="9913"/>
      <w:r>
        <w:rPr>
          <w:rFonts w:hint="cs"/>
          <w:rtl/>
        </w:rPr>
        <w:t>אי</w:t>
      </w:r>
      <w:bookmarkStart w:id="9914" w:name="_ETM_Q11_468845"/>
      <w:bookmarkEnd w:id="9914"/>
      <w:r>
        <w:rPr>
          <w:rFonts w:hint="cs"/>
          <w:rtl/>
        </w:rPr>
        <w:t xml:space="preserve">ם, </w:t>
      </w:r>
      <w:bookmarkStart w:id="9915" w:name="_ETM_Q11_472099"/>
      <w:bookmarkEnd w:id="9915"/>
      <w:r>
        <w:rPr>
          <w:rFonts w:hint="cs"/>
          <w:rtl/>
        </w:rPr>
        <w:t xml:space="preserve">אנחנו </w:t>
      </w:r>
      <w:bookmarkStart w:id="9916" w:name="_ETM_Q11_472550"/>
      <w:bookmarkEnd w:id="9916"/>
      <w:r>
        <w:rPr>
          <w:rFonts w:hint="cs"/>
          <w:rtl/>
        </w:rPr>
        <w:t xml:space="preserve">נוטים </w:t>
      </w:r>
      <w:bookmarkStart w:id="9917" w:name="_ETM_Q11_472939"/>
      <w:bookmarkEnd w:id="9917"/>
      <w:r>
        <w:rPr>
          <w:rFonts w:hint="cs"/>
          <w:rtl/>
        </w:rPr>
        <w:t xml:space="preserve">להגזים. </w:t>
      </w:r>
      <w:bookmarkStart w:id="9918" w:name="_ETM_Q11_473839"/>
      <w:bookmarkEnd w:id="9918"/>
      <w:r>
        <w:rPr>
          <w:rFonts w:hint="cs"/>
          <w:rtl/>
        </w:rPr>
        <w:t xml:space="preserve">זה </w:t>
      </w:r>
      <w:bookmarkStart w:id="9919" w:name="_ETM_Q11_474050"/>
      <w:bookmarkEnd w:id="9919"/>
      <w:r>
        <w:rPr>
          <w:rFonts w:hint="cs"/>
          <w:rtl/>
        </w:rPr>
        <w:t xml:space="preserve">הטבע </w:t>
      </w:r>
      <w:bookmarkStart w:id="9920" w:name="_ETM_Q11_474389"/>
      <w:bookmarkEnd w:id="9920"/>
      <w:r>
        <w:rPr>
          <w:rFonts w:hint="cs"/>
          <w:rtl/>
        </w:rPr>
        <w:t xml:space="preserve">של </w:t>
      </w:r>
      <w:bookmarkStart w:id="9921" w:name="_ETM_Q11_474719"/>
      <w:bookmarkEnd w:id="9921"/>
      <w:r>
        <w:rPr>
          <w:rFonts w:hint="cs"/>
          <w:rtl/>
        </w:rPr>
        <w:t xml:space="preserve">האדם, </w:t>
      </w:r>
      <w:bookmarkStart w:id="9922" w:name="_ETM_Q11_475409"/>
      <w:bookmarkEnd w:id="9922"/>
      <w:r>
        <w:rPr>
          <w:rFonts w:hint="cs"/>
          <w:rtl/>
        </w:rPr>
        <w:t xml:space="preserve">גם </w:t>
      </w:r>
      <w:bookmarkStart w:id="9923" w:name="_ETM_Q11_475740"/>
      <w:bookmarkEnd w:id="9923"/>
      <w:r>
        <w:rPr>
          <w:rFonts w:hint="cs"/>
          <w:rtl/>
        </w:rPr>
        <w:t xml:space="preserve">אני </w:t>
      </w:r>
      <w:bookmarkStart w:id="9924" w:name="_ETM_Q11_476099"/>
      <w:bookmarkEnd w:id="9924"/>
      <w:r>
        <w:rPr>
          <w:rFonts w:hint="cs"/>
          <w:rtl/>
        </w:rPr>
        <w:t xml:space="preserve">צריכה </w:t>
      </w:r>
      <w:bookmarkStart w:id="9925" w:name="_ETM_Q11_476789"/>
      <w:bookmarkEnd w:id="9925"/>
      <w:r>
        <w:rPr>
          <w:rFonts w:hint="cs"/>
          <w:rtl/>
        </w:rPr>
        <w:t xml:space="preserve">מערכת </w:t>
      </w:r>
      <w:bookmarkStart w:id="9926" w:name="_ETM_Q11_477330"/>
      <w:bookmarkEnd w:id="9926"/>
      <w:r>
        <w:rPr>
          <w:rFonts w:hint="cs"/>
          <w:rtl/>
        </w:rPr>
        <w:t xml:space="preserve">איזונים </w:t>
      </w:r>
      <w:bookmarkStart w:id="9927" w:name="_ETM_Q11_477719"/>
      <w:bookmarkEnd w:id="9927"/>
      <w:r>
        <w:rPr>
          <w:rFonts w:hint="cs"/>
          <w:rtl/>
        </w:rPr>
        <w:t xml:space="preserve">ובלמים, </w:t>
      </w:r>
      <w:bookmarkStart w:id="9928" w:name="_ETM_Q11_478520"/>
      <w:bookmarkEnd w:id="9928"/>
      <w:r>
        <w:rPr>
          <w:rFonts w:hint="cs"/>
          <w:rtl/>
        </w:rPr>
        <w:t xml:space="preserve">כל </w:t>
      </w:r>
      <w:bookmarkStart w:id="9929" w:name="_ETM_Q11_478849"/>
      <w:bookmarkEnd w:id="9929"/>
      <w:r>
        <w:rPr>
          <w:rFonts w:hint="cs"/>
          <w:rtl/>
        </w:rPr>
        <w:t xml:space="preserve">אחד </w:t>
      </w:r>
      <w:bookmarkStart w:id="9930" w:name="_ETM_Q11_479180"/>
      <w:bookmarkEnd w:id="9930"/>
      <w:r>
        <w:rPr>
          <w:rFonts w:hint="cs"/>
          <w:rtl/>
        </w:rPr>
        <w:t xml:space="preserve">בבניין </w:t>
      </w:r>
      <w:bookmarkStart w:id="9931" w:name="_ETM_Q11_479720"/>
      <w:bookmarkEnd w:id="9931"/>
      <w:r>
        <w:rPr>
          <w:rFonts w:hint="cs"/>
          <w:rtl/>
        </w:rPr>
        <w:t xml:space="preserve">הזה, </w:t>
      </w:r>
      <w:bookmarkStart w:id="9932" w:name="_ETM_Q11_480349"/>
      <w:bookmarkStart w:id="9933" w:name="_ETM_Q11_480529"/>
      <w:bookmarkStart w:id="9934" w:name="_ETM_Q11_485583"/>
      <w:bookmarkEnd w:id="9932"/>
      <w:bookmarkEnd w:id="9933"/>
      <w:bookmarkEnd w:id="9934"/>
      <w:r>
        <w:rPr>
          <w:rFonts w:hint="cs"/>
          <w:rtl/>
        </w:rPr>
        <w:t xml:space="preserve">ככה </w:t>
      </w:r>
      <w:bookmarkStart w:id="9935" w:name="_ETM_Q11_480889"/>
      <w:bookmarkEnd w:id="9935"/>
      <w:r>
        <w:rPr>
          <w:rFonts w:hint="cs"/>
          <w:rtl/>
        </w:rPr>
        <w:t xml:space="preserve">זה </w:t>
      </w:r>
      <w:bookmarkStart w:id="9936" w:name="_ETM_Q11_481069"/>
      <w:bookmarkEnd w:id="9936"/>
      <w:r>
        <w:rPr>
          <w:rFonts w:hint="cs"/>
          <w:rtl/>
        </w:rPr>
        <w:t>עובד. ואנחנו מכירים את שיטת הסלמי שלכם</w:t>
      </w:r>
      <w:bookmarkStart w:id="9937" w:name="_ETM_Q11_480000"/>
      <w:bookmarkStart w:id="9938" w:name="_ETM_Q11_480480"/>
      <w:bookmarkStart w:id="9939" w:name="_ETM_Q11_480659"/>
      <w:bookmarkStart w:id="9940" w:name="_ETM_Q11_483300"/>
      <w:bookmarkStart w:id="9941" w:name="_ETM_Q11_483750"/>
      <w:bookmarkStart w:id="9942" w:name="_ETM_Q11_484200"/>
      <w:bookmarkStart w:id="9943" w:name="_ETM_Q11_484350"/>
      <w:bookmarkStart w:id="9944" w:name="_ETM_Q11_484620"/>
      <w:bookmarkStart w:id="9945" w:name="_ETM_Q11_485040"/>
      <w:bookmarkEnd w:id="9937"/>
      <w:bookmarkEnd w:id="9938"/>
      <w:bookmarkEnd w:id="9939"/>
      <w:bookmarkEnd w:id="9940"/>
      <w:bookmarkEnd w:id="9941"/>
      <w:bookmarkEnd w:id="9942"/>
      <w:bookmarkEnd w:id="9943"/>
      <w:bookmarkEnd w:id="9944"/>
      <w:bookmarkEnd w:id="9945"/>
      <w:r>
        <w:rPr>
          <w:rFonts w:hint="cs"/>
          <w:rtl/>
        </w:rPr>
        <w:t>.</w:t>
      </w:r>
      <w:bookmarkStart w:id="9946" w:name="_ETM_Q11_481194"/>
      <w:bookmarkEnd w:id="9946"/>
      <w:r>
        <w:rPr>
          <w:rFonts w:hint="cs"/>
          <w:rtl/>
        </w:rPr>
        <w:t xml:space="preserve"> </w:t>
      </w:r>
      <w:bookmarkStart w:id="9947" w:name="_ETM_Q11_485490"/>
      <w:bookmarkStart w:id="9948" w:name="_ETM_Q11_485610"/>
      <w:bookmarkEnd w:id="9947"/>
      <w:bookmarkEnd w:id="9948"/>
      <w:r>
        <w:rPr>
          <w:rFonts w:hint="cs"/>
          <w:rtl/>
        </w:rPr>
        <w:t xml:space="preserve">אתם </w:t>
      </w:r>
      <w:bookmarkStart w:id="9949" w:name="_ETM_Q11_485819"/>
      <w:bookmarkEnd w:id="9949"/>
      <w:r>
        <w:rPr>
          <w:rFonts w:hint="cs"/>
          <w:rtl/>
        </w:rPr>
        <w:t xml:space="preserve">עכשיו </w:t>
      </w:r>
      <w:bookmarkStart w:id="9950" w:name="_ETM_Q11_486150"/>
      <w:bookmarkEnd w:id="9950"/>
      <w:r>
        <w:rPr>
          <w:rFonts w:hint="cs"/>
          <w:rtl/>
        </w:rPr>
        <w:t xml:space="preserve">צועקים: </w:t>
      </w:r>
      <w:bookmarkStart w:id="9951" w:name="_ETM_Q11_486960"/>
      <w:bookmarkEnd w:id="9951"/>
      <w:r>
        <w:rPr>
          <w:rFonts w:hint="cs"/>
          <w:rtl/>
        </w:rPr>
        <w:t xml:space="preserve">בואו </w:t>
      </w:r>
      <w:bookmarkStart w:id="9952" w:name="_ETM_Q11_487350"/>
      <w:bookmarkEnd w:id="9952"/>
      <w:r>
        <w:rPr>
          <w:rFonts w:hint="cs"/>
          <w:rtl/>
        </w:rPr>
        <w:t xml:space="preserve">נגיע </w:t>
      </w:r>
      <w:bookmarkStart w:id="9953" w:name="_ETM_Q11_487799"/>
      <w:bookmarkEnd w:id="9953"/>
      <w:r>
        <w:rPr>
          <w:rFonts w:hint="cs"/>
          <w:rtl/>
        </w:rPr>
        <w:t xml:space="preserve">להסכמה </w:t>
      </w:r>
      <w:bookmarkStart w:id="9954" w:name="_ETM_Q11_488460"/>
      <w:bookmarkEnd w:id="9954"/>
      <w:r>
        <w:rPr>
          <w:rFonts w:hint="cs"/>
          <w:rtl/>
        </w:rPr>
        <w:t xml:space="preserve">בעילת </w:t>
      </w:r>
      <w:bookmarkStart w:id="9955" w:name="_ETM_Q11_488879"/>
      <w:bookmarkEnd w:id="9955"/>
      <w:r>
        <w:rPr>
          <w:rFonts w:hint="cs"/>
          <w:rtl/>
        </w:rPr>
        <w:t xml:space="preserve">הסבירות. </w:t>
      </w:r>
      <w:bookmarkStart w:id="9956" w:name="_ETM_Q11_489929"/>
      <w:bookmarkEnd w:id="9956"/>
      <w:r>
        <w:rPr>
          <w:rFonts w:hint="cs"/>
          <w:rtl/>
        </w:rPr>
        <w:t xml:space="preserve">אוקיי, </w:t>
      </w:r>
      <w:bookmarkStart w:id="9957" w:name="_ETM_Q11_490410"/>
      <w:bookmarkStart w:id="9958" w:name="_ETM_Q11_491160"/>
      <w:bookmarkEnd w:id="9957"/>
      <w:bookmarkEnd w:id="9958"/>
      <w:r>
        <w:rPr>
          <w:rFonts w:hint="cs"/>
          <w:rtl/>
        </w:rPr>
        <w:t>הגענו</w:t>
      </w:r>
      <w:bookmarkStart w:id="9959" w:name="_ETM_Q11_489503"/>
      <w:bookmarkEnd w:id="9959"/>
      <w:r>
        <w:rPr>
          <w:rFonts w:hint="cs"/>
          <w:rtl/>
        </w:rPr>
        <w:t xml:space="preserve">, </w:t>
      </w:r>
      <w:bookmarkStart w:id="9960" w:name="_ETM_Q11_492180"/>
      <w:bookmarkEnd w:id="9960"/>
      <w:r>
        <w:rPr>
          <w:rFonts w:hint="cs"/>
          <w:rtl/>
        </w:rPr>
        <w:t xml:space="preserve">זה </w:t>
      </w:r>
      <w:bookmarkStart w:id="9961" w:name="_ETM_Q11_492360"/>
      <w:bookmarkEnd w:id="9961"/>
      <w:r>
        <w:rPr>
          <w:rFonts w:hint="cs"/>
          <w:rtl/>
        </w:rPr>
        <w:t xml:space="preserve">אומר </w:t>
      </w:r>
      <w:bookmarkStart w:id="9962" w:name="_ETM_Q11_492660"/>
      <w:bookmarkEnd w:id="9962"/>
      <w:r>
        <w:rPr>
          <w:rFonts w:hint="cs"/>
          <w:rtl/>
        </w:rPr>
        <w:t xml:space="preserve">שלא </w:t>
      </w:r>
      <w:bookmarkStart w:id="9963" w:name="_ETM_Q11_493020"/>
      <w:bookmarkEnd w:id="9963"/>
      <w:r>
        <w:rPr>
          <w:rFonts w:hint="cs"/>
          <w:rtl/>
        </w:rPr>
        <w:t xml:space="preserve">יהיה </w:t>
      </w:r>
      <w:bookmarkStart w:id="9964" w:name="_ETM_Q11_493260"/>
      <w:bookmarkEnd w:id="9964"/>
      <w:r>
        <w:rPr>
          <w:rFonts w:hint="cs"/>
          <w:rtl/>
        </w:rPr>
        <w:t xml:space="preserve">כל </w:t>
      </w:r>
      <w:bookmarkStart w:id="9965" w:name="_ETM_Q11_493500"/>
      <w:bookmarkEnd w:id="9965"/>
      <w:r>
        <w:rPr>
          <w:rFonts w:hint="cs"/>
          <w:rtl/>
        </w:rPr>
        <w:t xml:space="preserve">השאר, </w:t>
      </w:r>
      <w:bookmarkStart w:id="9966" w:name="_ETM_Q11_494250"/>
      <w:bookmarkEnd w:id="9966"/>
      <w:r>
        <w:rPr>
          <w:rFonts w:hint="cs"/>
          <w:rtl/>
        </w:rPr>
        <w:t xml:space="preserve">שזה </w:t>
      </w:r>
      <w:bookmarkStart w:id="9967" w:name="_ETM_Q11_494730"/>
      <w:bookmarkEnd w:id="9967"/>
      <w:r>
        <w:rPr>
          <w:rFonts w:hint="cs"/>
          <w:rtl/>
        </w:rPr>
        <w:t>יעצור?</w:t>
      </w:r>
      <w:bookmarkStart w:id="9968" w:name="_ETM_Q11_493136"/>
      <w:bookmarkEnd w:id="9968"/>
      <w:r>
        <w:rPr>
          <w:rFonts w:hint="cs"/>
          <w:rtl/>
        </w:rPr>
        <w:t xml:space="preserve"> </w:t>
      </w:r>
      <w:bookmarkStart w:id="9969" w:name="_ETM_Q11_495660"/>
      <w:bookmarkEnd w:id="9969"/>
      <w:r>
        <w:rPr>
          <w:rFonts w:hint="cs"/>
          <w:rtl/>
        </w:rPr>
        <w:t xml:space="preserve">לא, </w:t>
      </w:r>
      <w:bookmarkStart w:id="9970" w:name="_ETM_Q11_495929"/>
      <w:bookmarkEnd w:id="9970"/>
      <w:r>
        <w:rPr>
          <w:rFonts w:hint="cs"/>
          <w:rtl/>
        </w:rPr>
        <w:t xml:space="preserve">אנחנו </w:t>
      </w:r>
      <w:bookmarkStart w:id="9971" w:name="_ETM_Q11_496289"/>
      <w:bookmarkEnd w:id="9971"/>
      <w:r>
        <w:rPr>
          <w:rFonts w:hint="cs"/>
          <w:rtl/>
        </w:rPr>
        <w:t xml:space="preserve">יודעים </w:t>
      </w:r>
      <w:bookmarkStart w:id="9972" w:name="_ETM_Q11_496529"/>
      <w:bookmarkEnd w:id="9972"/>
      <w:r>
        <w:rPr>
          <w:rFonts w:hint="cs"/>
          <w:rtl/>
        </w:rPr>
        <w:t xml:space="preserve">שלא. </w:t>
      </w:r>
      <w:bookmarkStart w:id="9973" w:name="_ETM_Q11_497189"/>
      <w:bookmarkEnd w:id="9973"/>
      <w:r>
        <w:rPr>
          <w:rFonts w:hint="cs"/>
          <w:rtl/>
        </w:rPr>
        <w:t xml:space="preserve">לכן, </w:t>
      </w:r>
      <w:bookmarkStart w:id="9974" w:name="_ETM_Q11_497609"/>
      <w:bookmarkEnd w:id="9974"/>
      <w:r>
        <w:rPr>
          <w:rFonts w:hint="cs"/>
          <w:rtl/>
        </w:rPr>
        <w:t xml:space="preserve">אין </w:t>
      </w:r>
      <w:bookmarkStart w:id="9975" w:name="_ETM_Q11_497730"/>
      <w:bookmarkEnd w:id="9975"/>
      <w:r>
        <w:rPr>
          <w:rFonts w:hint="cs"/>
          <w:rtl/>
        </w:rPr>
        <w:t xml:space="preserve">שום </w:t>
      </w:r>
      <w:bookmarkStart w:id="9976" w:name="_ETM_Q11_498300"/>
      <w:bookmarkEnd w:id="9976"/>
      <w:r>
        <w:rPr>
          <w:rFonts w:hint="cs"/>
          <w:rtl/>
        </w:rPr>
        <w:t xml:space="preserve">אפשרות </w:t>
      </w:r>
      <w:bookmarkStart w:id="9977" w:name="_ETM_Q11_498839"/>
      <w:bookmarkEnd w:id="9977"/>
      <w:r>
        <w:rPr>
          <w:rFonts w:hint="cs"/>
          <w:rtl/>
        </w:rPr>
        <w:t xml:space="preserve">להגיע </w:t>
      </w:r>
      <w:bookmarkStart w:id="9978" w:name="_ETM_Q11_499199"/>
      <w:bookmarkEnd w:id="9978"/>
      <w:r>
        <w:rPr>
          <w:rFonts w:hint="cs"/>
          <w:rtl/>
        </w:rPr>
        <w:t xml:space="preserve">לכאלה </w:t>
      </w:r>
      <w:bookmarkStart w:id="9979" w:name="_ETM_Q11_499650"/>
      <w:bookmarkEnd w:id="9979"/>
      <w:r>
        <w:rPr>
          <w:rFonts w:hint="cs"/>
          <w:rtl/>
        </w:rPr>
        <w:t xml:space="preserve">הסכמות </w:t>
      </w:r>
      <w:bookmarkStart w:id="9980" w:name="_ETM_Q11_500520"/>
      <w:bookmarkEnd w:id="9980"/>
      <w:r>
        <w:rPr>
          <w:rFonts w:hint="cs"/>
          <w:rtl/>
        </w:rPr>
        <w:t xml:space="preserve">בעת </w:t>
      </w:r>
      <w:bookmarkStart w:id="9981" w:name="_ETM_Q11_500910"/>
      <w:bookmarkEnd w:id="9981"/>
      <w:r>
        <w:rPr>
          <w:rFonts w:hint="cs"/>
          <w:rtl/>
        </w:rPr>
        <w:t xml:space="preserve">הזו </w:t>
      </w:r>
      <w:bookmarkStart w:id="9982" w:name="_ETM_Q11_502039"/>
      <w:bookmarkEnd w:id="9982"/>
      <w:r>
        <w:rPr>
          <w:rFonts w:hint="cs"/>
          <w:rtl/>
        </w:rPr>
        <w:t xml:space="preserve">בלי </w:t>
      </w:r>
      <w:bookmarkStart w:id="9983" w:name="_ETM_Q11_502490"/>
      <w:bookmarkEnd w:id="9983"/>
      <w:r>
        <w:rPr>
          <w:rFonts w:hint="cs"/>
          <w:rtl/>
        </w:rPr>
        <w:t xml:space="preserve">לראות </w:t>
      </w:r>
      <w:bookmarkStart w:id="9984" w:name="_ETM_Q11_502880"/>
      <w:bookmarkEnd w:id="9984"/>
      <w:r>
        <w:rPr>
          <w:rFonts w:hint="cs"/>
          <w:rtl/>
        </w:rPr>
        <w:t xml:space="preserve">את התמונה </w:t>
      </w:r>
      <w:bookmarkStart w:id="9985" w:name="_ETM_Q11_503419"/>
      <w:bookmarkEnd w:id="9985"/>
      <w:r>
        <w:rPr>
          <w:rFonts w:hint="cs"/>
          <w:rtl/>
        </w:rPr>
        <w:t xml:space="preserve">באופן </w:t>
      </w:r>
      <w:bookmarkStart w:id="9986" w:name="_ETM_Q11_504079"/>
      <w:bookmarkEnd w:id="9986"/>
      <w:r>
        <w:rPr>
          <w:rFonts w:hint="cs"/>
          <w:rtl/>
        </w:rPr>
        <w:t xml:space="preserve">מלא. </w:t>
      </w:r>
      <w:bookmarkStart w:id="9987" w:name="_ETM_Q11_505910"/>
      <w:bookmarkEnd w:id="9987"/>
    </w:p>
    <w:p w:rsidR="000C5C1F" w:rsidRDefault="000C5C1F" w:rsidP="000C5C1F">
      <w:pPr>
        <w:rPr>
          <w:rtl/>
        </w:rPr>
      </w:pPr>
      <w:bookmarkStart w:id="9988" w:name="_ETM_Q11_507299"/>
      <w:bookmarkStart w:id="9989" w:name="_ETM_Q11_507336"/>
      <w:bookmarkEnd w:id="9988"/>
      <w:bookmarkEnd w:id="9989"/>
    </w:p>
    <w:p w:rsidR="000C5C1F" w:rsidRDefault="000C5C1F" w:rsidP="000C5C1F">
      <w:pPr>
        <w:rPr>
          <w:rtl/>
        </w:rPr>
      </w:pPr>
      <w:bookmarkStart w:id="9990" w:name="_ETM_Q11_507409"/>
      <w:bookmarkStart w:id="9991" w:name="_ETM_Q11_507447"/>
      <w:bookmarkEnd w:id="9990"/>
      <w:bookmarkEnd w:id="9991"/>
      <w:r>
        <w:rPr>
          <w:rFonts w:hint="cs"/>
          <w:rtl/>
        </w:rPr>
        <w:t xml:space="preserve">עכשיו, </w:t>
      </w:r>
      <w:bookmarkStart w:id="9992" w:name="_ETM_Q11_506300"/>
      <w:bookmarkEnd w:id="9992"/>
      <w:r>
        <w:rPr>
          <w:rFonts w:hint="cs"/>
          <w:rtl/>
        </w:rPr>
        <w:t xml:space="preserve">אני </w:t>
      </w:r>
      <w:bookmarkStart w:id="9993" w:name="_ETM_Q11_506480"/>
      <w:bookmarkEnd w:id="9993"/>
      <w:r>
        <w:rPr>
          <w:rFonts w:hint="cs"/>
          <w:rtl/>
        </w:rPr>
        <w:t xml:space="preserve">יכולה </w:t>
      </w:r>
      <w:bookmarkStart w:id="9994" w:name="_ETM_Q11_507349"/>
      <w:bookmarkEnd w:id="9994"/>
      <w:r>
        <w:rPr>
          <w:rFonts w:hint="cs"/>
          <w:rtl/>
        </w:rPr>
        <w:t xml:space="preserve">לפנות </w:t>
      </w:r>
      <w:bookmarkStart w:id="9995" w:name="_ETM_Q11_508189"/>
      <w:bookmarkEnd w:id="9995"/>
      <w:r>
        <w:rPr>
          <w:rFonts w:hint="cs"/>
          <w:rtl/>
        </w:rPr>
        <w:t xml:space="preserve">לחבריי </w:t>
      </w:r>
      <w:bookmarkStart w:id="9996" w:name="_ETM_Q11_509179"/>
      <w:bookmarkEnd w:id="9996"/>
      <w:r>
        <w:rPr>
          <w:rFonts w:hint="cs"/>
          <w:rtl/>
        </w:rPr>
        <w:t xml:space="preserve">בליכוד, </w:t>
      </w:r>
      <w:bookmarkStart w:id="9997" w:name="_ETM_Q11_511189"/>
      <w:bookmarkEnd w:id="9997"/>
      <w:r>
        <w:rPr>
          <w:rFonts w:hint="cs"/>
          <w:rtl/>
        </w:rPr>
        <w:t xml:space="preserve">מפלגת </w:t>
      </w:r>
      <w:bookmarkStart w:id="9998" w:name="_ETM_Q11_511759"/>
      <w:bookmarkEnd w:id="9998"/>
      <w:r>
        <w:rPr>
          <w:rFonts w:hint="cs"/>
          <w:rtl/>
        </w:rPr>
        <w:t xml:space="preserve">השלטון: </w:t>
      </w:r>
      <w:bookmarkStart w:id="9999" w:name="_ETM_Q11_514449"/>
      <w:bookmarkEnd w:id="9999"/>
      <w:r>
        <w:rPr>
          <w:rFonts w:hint="cs"/>
          <w:rtl/>
        </w:rPr>
        <w:t xml:space="preserve">אתם </w:t>
      </w:r>
      <w:bookmarkStart w:id="10000" w:name="_ETM_Q11_515469"/>
      <w:bookmarkEnd w:id="10000"/>
      <w:r>
        <w:rPr>
          <w:rFonts w:hint="cs"/>
          <w:rtl/>
        </w:rPr>
        <w:t xml:space="preserve">כנראה </w:t>
      </w:r>
      <w:bookmarkStart w:id="10001" w:name="_ETM_Q11_515859"/>
      <w:bookmarkEnd w:id="10001"/>
      <w:r>
        <w:rPr>
          <w:rFonts w:hint="cs"/>
          <w:rtl/>
        </w:rPr>
        <w:t xml:space="preserve">קצת </w:t>
      </w:r>
      <w:bookmarkStart w:id="10002" w:name="_ETM_Q11_516219"/>
      <w:bookmarkEnd w:id="10002"/>
      <w:r>
        <w:rPr>
          <w:rFonts w:hint="cs"/>
          <w:rtl/>
        </w:rPr>
        <w:t xml:space="preserve">איבדתם </w:t>
      </w:r>
      <w:bookmarkStart w:id="10003" w:name="_ETM_Q11_518460"/>
      <w:bookmarkEnd w:id="10003"/>
      <w:r>
        <w:rPr>
          <w:rFonts w:hint="cs"/>
          <w:rtl/>
        </w:rPr>
        <w:t xml:space="preserve">את הגבולות, </w:t>
      </w:r>
      <w:bookmarkStart w:id="10004" w:name="_ETM_Q11_520430"/>
      <w:bookmarkEnd w:id="10004"/>
      <w:r>
        <w:rPr>
          <w:rFonts w:hint="cs"/>
          <w:rtl/>
        </w:rPr>
        <w:t xml:space="preserve">איבדתם </w:t>
      </w:r>
      <w:bookmarkStart w:id="10005" w:name="_ETM_Q11_521210"/>
      <w:bookmarkEnd w:id="10005"/>
      <w:r>
        <w:rPr>
          <w:rFonts w:hint="cs"/>
          <w:rtl/>
        </w:rPr>
        <w:t xml:space="preserve">את ההבנה </w:t>
      </w:r>
      <w:bookmarkStart w:id="10006" w:name="_ETM_Q11_521779"/>
      <w:bookmarkEnd w:id="10006"/>
      <w:r>
        <w:rPr>
          <w:rFonts w:hint="cs"/>
          <w:rtl/>
        </w:rPr>
        <w:t xml:space="preserve">מה </w:t>
      </w:r>
      <w:bookmarkStart w:id="10007" w:name="_ETM_Q11_521960"/>
      <w:bookmarkEnd w:id="10007"/>
      <w:r>
        <w:rPr>
          <w:rFonts w:hint="cs"/>
          <w:rtl/>
        </w:rPr>
        <w:t xml:space="preserve">זו </w:t>
      </w:r>
      <w:bookmarkStart w:id="10008" w:name="_ETM_Q11_522110"/>
      <w:bookmarkEnd w:id="10008"/>
      <w:r>
        <w:rPr>
          <w:rFonts w:hint="cs"/>
          <w:rtl/>
        </w:rPr>
        <w:t xml:space="preserve">מפלגת </w:t>
      </w:r>
      <w:bookmarkStart w:id="10009" w:name="_ETM_Q11_522589"/>
      <w:bookmarkEnd w:id="10009"/>
      <w:r>
        <w:rPr>
          <w:rFonts w:hint="cs"/>
          <w:rtl/>
        </w:rPr>
        <w:t>שלטון, וש</w:t>
      </w:r>
      <w:bookmarkStart w:id="10010" w:name="_ETM_Q11_523399"/>
      <w:bookmarkEnd w:id="10010"/>
      <w:r>
        <w:rPr>
          <w:rFonts w:hint="cs"/>
          <w:rtl/>
        </w:rPr>
        <w:t xml:space="preserve">אתם </w:t>
      </w:r>
      <w:bookmarkStart w:id="10011" w:name="_ETM_Q11_523850"/>
      <w:bookmarkEnd w:id="10011"/>
      <w:r>
        <w:rPr>
          <w:rFonts w:hint="cs"/>
          <w:rtl/>
        </w:rPr>
        <w:t xml:space="preserve">מייצגים </w:t>
      </w:r>
      <w:bookmarkStart w:id="10012" w:name="_ETM_Q11_524450"/>
      <w:bookmarkEnd w:id="10012"/>
      <w:r>
        <w:rPr>
          <w:rFonts w:hint="cs"/>
          <w:rtl/>
        </w:rPr>
        <w:t xml:space="preserve">לא </w:t>
      </w:r>
      <w:bookmarkStart w:id="10013" w:name="_ETM_Q11_524570"/>
      <w:bookmarkEnd w:id="10013"/>
      <w:r>
        <w:rPr>
          <w:rFonts w:hint="cs"/>
          <w:rtl/>
        </w:rPr>
        <w:t xml:space="preserve">רק </w:t>
      </w:r>
      <w:bookmarkStart w:id="10014" w:name="_ETM_Q11_524839"/>
      <w:bookmarkEnd w:id="10014"/>
      <w:r>
        <w:rPr>
          <w:rFonts w:hint="cs"/>
          <w:rtl/>
        </w:rPr>
        <w:t>את ה</w:t>
      </w:r>
      <w:bookmarkStart w:id="10015" w:name="_ETM_Q11_527269"/>
      <w:bookmarkEnd w:id="10015"/>
      <w:r>
        <w:rPr>
          <w:rFonts w:hint="cs"/>
          <w:rtl/>
        </w:rPr>
        <w:t xml:space="preserve">בוחרים </w:t>
      </w:r>
      <w:bookmarkStart w:id="10016" w:name="_ETM_Q11_527839"/>
      <w:bookmarkEnd w:id="10016"/>
      <w:r>
        <w:rPr>
          <w:rFonts w:hint="cs"/>
          <w:rtl/>
        </w:rPr>
        <w:t xml:space="preserve">של </w:t>
      </w:r>
      <w:bookmarkStart w:id="10017" w:name="_ETM_Q11_528979"/>
      <w:bookmarkEnd w:id="10017"/>
      <w:r>
        <w:rPr>
          <w:rFonts w:hint="cs"/>
          <w:rtl/>
        </w:rPr>
        <w:t xml:space="preserve">עוצמה </w:t>
      </w:r>
      <w:bookmarkStart w:id="10018" w:name="_ETM_Q11_529370"/>
      <w:bookmarkEnd w:id="10018"/>
      <w:r>
        <w:rPr>
          <w:rFonts w:hint="cs"/>
          <w:rtl/>
        </w:rPr>
        <w:t xml:space="preserve">יהודית </w:t>
      </w:r>
      <w:bookmarkStart w:id="10019" w:name="_ETM_Q11_530520"/>
      <w:bookmarkEnd w:id="10019"/>
      <w:r>
        <w:rPr>
          <w:rFonts w:hint="cs"/>
          <w:rtl/>
        </w:rPr>
        <w:t xml:space="preserve">והציונות </w:t>
      </w:r>
      <w:bookmarkStart w:id="10020" w:name="_ETM_Q11_531089"/>
      <w:bookmarkEnd w:id="10020"/>
      <w:r>
        <w:rPr>
          <w:rFonts w:hint="cs"/>
          <w:rtl/>
        </w:rPr>
        <w:t xml:space="preserve">דתית </w:t>
      </w:r>
      <w:bookmarkStart w:id="10021" w:name="_ETM_Q11_531510"/>
      <w:bookmarkEnd w:id="10021"/>
      <w:r>
        <w:rPr>
          <w:rFonts w:hint="cs"/>
          <w:rtl/>
        </w:rPr>
        <w:t xml:space="preserve">וש"ס </w:t>
      </w:r>
      <w:bookmarkStart w:id="10022" w:name="_ETM_Q11_532110"/>
      <w:bookmarkEnd w:id="10022"/>
      <w:r>
        <w:rPr>
          <w:rFonts w:hint="cs"/>
          <w:rtl/>
        </w:rPr>
        <w:t xml:space="preserve">ויהדות </w:t>
      </w:r>
      <w:bookmarkStart w:id="10023" w:name="_ETM_Q11_532350"/>
      <w:bookmarkEnd w:id="10023"/>
      <w:r>
        <w:rPr>
          <w:rFonts w:hint="cs"/>
          <w:rtl/>
        </w:rPr>
        <w:t xml:space="preserve">התורה. </w:t>
      </w:r>
      <w:bookmarkStart w:id="10024" w:name="_ETM_Q11_533160"/>
      <w:bookmarkEnd w:id="10024"/>
      <w:r>
        <w:rPr>
          <w:rFonts w:hint="cs"/>
          <w:rtl/>
        </w:rPr>
        <w:t xml:space="preserve">אתם </w:t>
      </w:r>
      <w:bookmarkStart w:id="10025" w:name="_ETM_Q11_533490"/>
      <w:bookmarkEnd w:id="10025"/>
      <w:r>
        <w:rPr>
          <w:rFonts w:hint="cs"/>
          <w:rtl/>
        </w:rPr>
        <w:t xml:space="preserve">קיבלתם </w:t>
      </w:r>
      <w:bookmarkStart w:id="10026" w:name="_ETM_Q11_534000"/>
      <w:bookmarkEnd w:id="10026"/>
      <w:r>
        <w:rPr>
          <w:rFonts w:hint="cs"/>
          <w:rtl/>
        </w:rPr>
        <w:t xml:space="preserve">מנדט </w:t>
      </w:r>
      <w:bookmarkStart w:id="10027" w:name="_ETM_Q11_534540"/>
      <w:bookmarkEnd w:id="10027"/>
      <w:r>
        <w:rPr>
          <w:rFonts w:hint="cs"/>
          <w:rtl/>
        </w:rPr>
        <w:t xml:space="preserve">מציבור </w:t>
      </w:r>
      <w:bookmarkStart w:id="10028" w:name="_ETM_Q11_535140"/>
      <w:bookmarkEnd w:id="10028"/>
      <w:r>
        <w:rPr>
          <w:rFonts w:hint="cs"/>
          <w:rtl/>
        </w:rPr>
        <w:t xml:space="preserve">מאוד </w:t>
      </w:r>
      <w:bookmarkStart w:id="10029" w:name="_ETM_Q11_535470"/>
      <w:bookmarkEnd w:id="10029"/>
      <w:r>
        <w:rPr>
          <w:rFonts w:hint="cs"/>
          <w:rtl/>
        </w:rPr>
        <w:t xml:space="preserve">מאוד </w:t>
      </w:r>
      <w:bookmarkStart w:id="10030" w:name="_ETM_Q11_535740"/>
      <w:bookmarkEnd w:id="10030"/>
      <w:r>
        <w:rPr>
          <w:rFonts w:hint="cs"/>
          <w:rtl/>
        </w:rPr>
        <w:t xml:space="preserve">מאוד </w:t>
      </w:r>
      <w:bookmarkStart w:id="10031" w:name="_ETM_Q11_535980"/>
      <w:bookmarkEnd w:id="10031"/>
      <w:r>
        <w:rPr>
          <w:rFonts w:hint="cs"/>
          <w:rtl/>
        </w:rPr>
        <w:t xml:space="preserve">רחב: </w:t>
      </w:r>
      <w:bookmarkStart w:id="10032" w:name="_ETM_Q11_537429"/>
      <w:bookmarkEnd w:id="10032"/>
      <w:r>
        <w:rPr>
          <w:rFonts w:hint="cs"/>
          <w:rtl/>
        </w:rPr>
        <w:t xml:space="preserve">חילונים </w:t>
      </w:r>
      <w:bookmarkStart w:id="10033" w:name="_ETM_Q11_538539"/>
      <w:bookmarkEnd w:id="10033"/>
      <w:r>
        <w:rPr>
          <w:rFonts w:hint="cs"/>
          <w:rtl/>
        </w:rPr>
        <w:t xml:space="preserve">ומסורתיים, </w:t>
      </w:r>
      <w:bookmarkStart w:id="10034" w:name="_ETM_Q11_539679"/>
      <w:bookmarkEnd w:id="10034"/>
      <w:r>
        <w:rPr>
          <w:rFonts w:hint="cs"/>
          <w:rtl/>
        </w:rPr>
        <w:t xml:space="preserve">אשכנזים </w:t>
      </w:r>
      <w:bookmarkStart w:id="10035" w:name="_ETM_Q11_540550"/>
      <w:bookmarkEnd w:id="10035"/>
      <w:r>
        <w:rPr>
          <w:rFonts w:hint="cs"/>
          <w:rtl/>
        </w:rPr>
        <w:t xml:space="preserve">ומזרחים, </w:t>
      </w:r>
      <w:bookmarkStart w:id="10036" w:name="_ETM_Q11_541359"/>
      <w:bookmarkEnd w:id="10036"/>
      <w:r>
        <w:rPr>
          <w:rFonts w:hint="cs"/>
          <w:rtl/>
        </w:rPr>
        <w:t xml:space="preserve">יוצאי </w:t>
      </w:r>
      <w:bookmarkStart w:id="10037" w:name="_ETM_Q11_541779"/>
      <w:bookmarkEnd w:id="10037"/>
      <w:r>
        <w:rPr>
          <w:rFonts w:hint="cs"/>
          <w:rtl/>
        </w:rPr>
        <w:t xml:space="preserve">ברית המועצות </w:t>
      </w:r>
      <w:bookmarkStart w:id="10038" w:name="_ETM_Q11_542620"/>
      <w:bookmarkEnd w:id="10038"/>
      <w:r>
        <w:rPr>
          <w:rFonts w:hint="cs"/>
          <w:rtl/>
        </w:rPr>
        <w:t xml:space="preserve">ויוצאי </w:t>
      </w:r>
      <w:bookmarkStart w:id="10039" w:name="_ETM_Q11_543010"/>
      <w:bookmarkEnd w:id="10039"/>
      <w:r>
        <w:rPr>
          <w:rFonts w:hint="cs"/>
          <w:rtl/>
        </w:rPr>
        <w:t xml:space="preserve">אתיופיה. </w:t>
      </w:r>
      <w:bookmarkStart w:id="10040" w:name="_ETM_Q11_544089"/>
      <w:bookmarkEnd w:id="10040"/>
      <w:r>
        <w:rPr>
          <w:rFonts w:hint="cs"/>
          <w:rtl/>
        </w:rPr>
        <w:t xml:space="preserve">אתם </w:t>
      </w:r>
      <w:bookmarkStart w:id="10041" w:name="_ETM_Q11_544540"/>
      <w:bookmarkEnd w:id="10041"/>
      <w:r>
        <w:rPr>
          <w:rFonts w:hint="cs"/>
          <w:rtl/>
        </w:rPr>
        <w:t xml:space="preserve">מייצגים </w:t>
      </w:r>
      <w:bookmarkStart w:id="10042" w:name="_ETM_Q11_544930"/>
      <w:bookmarkEnd w:id="10042"/>
      <w:r>
        <w:rPr>
          <w:rFonts w:hint="cs"/>
          <w:rtl/>
        </w:rPr>
        <w:t xml:space="preserve">את </w:t>
      </w:r>
      <w:bookmarkStart w:id="10043" w:name="_ETM_Q11_545050"/>
      <w:bookmarkEnd w:id="10043"/>
      <w:r>
        <w:rPr>
          <w:rFonts w:hint="cs"/>
          <w:rtl/>
        </w:rPr>
        <w:t xml:space="preserve">כולם. </w:t>
      </w:r>
      <w:bookmarkStart w:id="10044" w:name="_ETM_Q11_546140"/>
      <w:bookmarkEnd w:id="10044"/>
      <w:r>
        <w:rPr>
          <w:rFonts w:hint="cs"/>
          <w:rtl/>
        </w:rPr>
        <w:t xml:space="preserve">ולפי </w:t>
      </w:r>
      <w:bookmarkStart w:id="10045" w:name="_ETM_Q11_546589"/>
      <w:bookmarkEnd w:id="10045"/>
      <w:r>
        <w:rPr>
          <w:rFonts w:hint="cs"/>
          <w:rtl/>
        </w:rPr>
        <w:t xml:space="preserve">הסקרים </w:t>
      </w:r>
      <w:bookmarkStart w:id="10046" w:name="_ETM_Q11_547009"/>
      <w:bookmarkEnd w:id="10046"/>
      <w:r>
        <w:rPr>
          <w:rFonts w:hint="cs"/>
          <w:rtl/>
        </w:rPr>
        <w:t xml:space="preserve">האחרונים </w:t>
      </w:r>
      <w:bookmarkStart w:id="10047" w:name="_ETM_Q11_548680"/>
      <w:bookmarkEnd w:id="10047"/>
      <w:r>
        <w:rPr>
          <w:rFonts w:hint="cs"/>
          <w:rtl/>
        </w:rPr>
        <w:t xml:space="preserve">שליש </w:t>
      </w:r>
      <w:bookmarkStart w:id="10048" w:name="_ETM_Q11_549100"/>
      <w:bookmarkEnd w:id="10048"/>
      <w:r>
        <w:rPr>
          <w:rFonts w:hint="cs"/>
          <w:rtl/>
        </w:rPr>
        <w:t xml:space="preserve">מבוחרי </w:t>
      </w:r>
      <w:bookmarkStart w:id="10049" w:name="_ETM_Q11_549640"/>
      <w:bookmarkEnd w:id="10049"/>
      <w:r>
        <w:rPr>
          <w:rFonts w:hint="cs"/>
          <w:rtl/>
        </w:rPr>
        <w:t xml:space="preserve">הליכוד </w:t>
      </w:r>
      <w:bookmarkStart w:id="10050" w:name="_ETM_Q11_550029"/>
      <w:bookmarkEnd w:id="10050"/>
      <w:r>
        <w:rPr>
          <w:rFonts w:hint="cs"/>
          <w:rtl/>
        </w:rPr>
        <w:t xml:space="preserve">לא </w:t>
      </w:r>
      <w:bookmarkStart w:id="10051" w:name="_ETM_Q11_550149"/>
      <w:bookmarkEnd w:id="10051"/>
      <w:r>
        <w:rPr>
          <w:rFonts w:hint="cs"/>
          <w:rtl/>
        </w:rPr>
        <w:t xml:space="preserve">תומכים </w:t>
      </w:r>
      <w:bookmarkStart w:id="10052" w:name="_ETM_Q11_550390"/>
      <w:bookmarkEnd w:id="10052"/>
      <w:r>
        <w:rPr>
          <w:rFonts w:hint="cs"/>
          <w:rtl/>
        </w:rPr>
        <w:t xml:space="preserve">בכם, </w:t>
      </w:r>
      <w:bookmarkStart w:id="10053" w:name="_ETM_Q11_551760"/>
      <w:bookmarkEnd w:id="10053"/>
      <w:r>
        <w:rPr>
          <w:rFonts w:hint="cs"/>
          <w:rtl/>
        </w:rPr>
        <w:t xml:space="preserve">שליש </w:t>
      </w:r>
      <w:bookmarkStart w:id="10054" w:name="_ETM_Q11_552180"/>
      <w:bookmarkEnd w:id="10054"/>
      <w:r>
        <w:rPr>
          <w:rFonts w:hint="cs"/>
          <w:rtl/>
        </w:rPr>
        <w:t xml:space="preserve">מבוחרי </w:t>
      </w:r>
      <w:bookmarkStart w:id="10055" w:name="_ETM_Q11_552750"/>
      <w:bookmarkEnd w:id="10055"/>
      <w:r>
        <w:rPr>
          <w:rFonts w:hint="cs"/>
          <w:rtl/>
        </w:rPr>
        <w:t xml:space="preserve">הליכוד </w:t>
      </w:r>
      <w:bookmarkStart w:id="10056" w:name="_ETM_Q11_553170"/>
      <w:bookmarkEnd w:id="10056"/>
      <w:r>
        <w:rPr>
          <w:rFonts w:hint="cs"/>
          <w:rtl/>
        </w:rPr>
        <w:t xml:space="preserve">אומרים </w:t>
      </w:r>
      <w:bookmarkStart w:id="10057" w:name="_ETM_Q11_553500"/>
      <w:bookmarkEnd w:id="10057"/>
      <w:r>
        <w:rPr>
          <w:rFonts w:hint="cs"/>
          <w:rtl/>
        </w:rPr>
        <w:t xml:space="preserve">לכם: </w:t>
      </w:r>
      <w:bookmarkStart w:id="10058" w:name="_ETM_Q11_553800"/>
      <w:bookmarkEnd w:id="10058"/>
      <w:r>
        <w:rPr>
          <w:rFonts w:hint="cs"/>
          <w:rtl/>
        </w:rPr>
        <w:t xml:space="preserve">חבר'ה, </w:t>
      </w:r>
      <w:bookmarkStart w:id="10059" w:name="_ETM_Q11_554990"/>
      <w:bookmarkEnd w:id="10059"/>
      <w:r>
        <w:rPr>
          <w:rFonts w:hint="cs"/>
          <w:rtl/>
        </w:rPr>
        <w:t xml:space="preserve">הגזמתם, </w:t>
      </w:r>
      <w:bookmarkStart w:id="10060" w:name="_ETM_Q11_555890"/>
      <w:bookmarkEnd w:id="10060"/>
      <w:r>
        <w:rPr>
          <w:rFonts w:hint="cs"/>
          <w:rtl/>
        </w:rPr>
        <w:t xml:space="preserve">הלכתם </w:t>
      </w:r>
      <w:bookmarkStart w:id="10061" w:name="_ETM_Q11_556369"/>
      <w:bookmarkEnd w:id="10061"/>
      <w:r>
        <w:rPr>
          <w:rFonts w:hint="cs"/>
          <w:rtl/>
        </w:rPr>
        <w:t xml:space="preserve">בדרך </w:t>
      </w:r>
      <w:bookmarkStart w:id="10062" w:name="_ETM_Q11_556789"/>
      <w:bookmarkEnd w:id="10062"/>
      <w:r>
        <w:rPr>
          <w:rFonts w:hint="cs"/>
          <w:rtl/>
        </w:rPr>
        <w:t xml:space="preserve">לא </w:t>
      </w:r>
      <w:bookmarkStart w:id="10063" w:name="_ETM_Q11_556939"/>
      <w:bookmarkEnd w:id="10063"/>
      <w:r>
        <w:rPr>
          <w:rFonts w:hint="cs"/>
          <w:rtl/>
        </w:rPr>
        <w:t xml:space="preserve">נכונה. </w:t>
      </w:r>
      <w:bookmarkStart w:id="10064" w:name="_ETM_Q11_558160"/>
      <w:bookmarkEnd w:id="10064"/>
    </w:p>
    <w:p w:rsidR="000C5C1F" w:rsidRDefault="000C5C1F" w:rsidP="000C5C1F">
      <w:pPr>
        <w:rPr>
          <w:rtl/>
        </w:rPr>
      </w:pPr>
      <w:bookmarkStart w:id="10065" w:name="_ETM_Q11_258576"/>
      <w:bookmarkStart w:id="10066" w:name="_ETM_Q11_254937"/>
    </w:p>
    <w:bookmarkEnd w:id="10065"/>
    <w:bookmarkEnd w:id="10066"/>
    <w:p w:rsidR="000C5C1F" w:rsidRDefault="000C5C1F" w:rsidP="000C5C1F">
      <w:pPr>
        <w:rPr>
          <w:rtl/>
        </w:rPr>
      </w:pPr>
      <w:r>
        <w:rPr>
          <w:rFonts w:hint="cs"/>
          <w:rtl/>
        </w:rPr>
        <w:t xml:space="preserve">ולהמחשה, </w:t>
      </w:r>
      <w:bookmarkStart w:id="10067" w:name="_ETM_Q11_559719"/>
      <w:bookmarkEnd w:id="10067"/>
      <w:r>
        <w:rPr>
          <w:rFonts w:hint="cs"/>
          <w:rtl/>
        </w:rPr>
        <w:t>פה</w:t>
      </w:r>
      <w:bookmarkStart w:id="10068" w:name="_ETM_Q11_560020"/>
      <w:bookmarkEnd w:id="10068"/>
      <w:r>
        <w:rPr>
          <w:rFonts w:hint="cs"/>
          <w:rtl/>
        </w:rPr>
        <w:t xml:space="preserve"> </w:t>
      </w:r>
      <w:bookmarkStart w:id="10069" w:name="_ETM_Q11_557851"/>
      <w:bookmarkEnd w:id="10069"/>
      <w:r>
        <w:rPr>
          <w:rFonts w:hint="cs"/>
          <w:rtl/>
        </w:rPr>
        <w:t xml:space="preserve">על יד </w:t>
      </w:r>
      <w:bookmarkStart w:id="10070" w:name="_ETM_Q11_560170"/>
      <w:bookmarkEnd w:id="10070"/>
      <w:r>
        <w:rPr>
          <w:rFonts w:hint="cs"/>
          <w:rtl/>
        </w:rPr>
        <w:t>הכנסת, ו</w:t>
      </w:r>
      <w:bookmarkStart w:id="10071" w:name="_ETM_Q11_560950"/>
      <w:bookmarkEnd w:id="10071"/>
      <w:r>
        <w:rPr>
          <w:rFonts w:hint="cs"/>
          <w:rtl/>
        </w:rPr>
        <w:t xml:space="preserve">אולי </w:t>
      </w:r>
      <w:bookmarkStart w:id="10072" w:name="_ETM_Q11_561189"/>
      <w:bookmarkEnd w:id="10072"/>
      <w:r>
        <w:rPr>
          <w:rFonts w:hint="cs"/>
          <w:rtl/>
        </w:rPr>
        <w:t xml:space="preserve">זה </w:t>
      </w:r>
      <w:bookmarkStart w:id="10073" w:name="_ETM_Q11_561399"/>
      <w:bookmarkEnd w:id="10073"/>
      <w:r>
        <w:rPr>
          <w:rFonts w:hint="cs"/>
          <w:rtl/>
        </w:rPr>
        <w:t xml:space="preserve">יעניין </w:t>
      </w:r>
      <w:bookmarkStart w:id="10074" w:name="_ETM_Q11_561789"/>
      <w:bookmarkEnd w:id="10074"/>
      <w:r>
        <w:rPr>
          <w:rFonts w:hint="cs"/>
          <w:rtl/>
        </w:rPr>
        <w:t xml:space="preserve">את השר אלי </w:t>
      </w:r>
      <w:bookmarkStart w:id="10075" w:name="_ETM_Q11_562179"/>
      <w:bookmarkEnd w:id="10075"/>
      <w:r>
        <w:rPr>
          <w:rFonts w:hint="cs"/>
          <w:rtl/>
        </w:rPr>
        <w:t xml:space="preserve">כהן </w:t>
      </w:r>
      <w:bookmarkStart w:id="10076" w:name="_ETM_Q11_563270"/>
      <w:bookmarkStart w:id="10077" w:name="_ETM_Q11_563450"/>
      <w:bookmarkStart w:id="10078" w:name="_ETM_Q11_563659"/>
      <w:bookmarkStart w:id="10079" w:name="_ETM_Q11_564200"/>
      <w:bookmarkStart w:id="10080" w:name="_ETM_Q11_561078"/>
      <w:bookmarkStart w:id="10081" w:name="_ETM_Q11_565189"/>
      <w:bookmarkEnd w:id="10076"/>
      <w:bookmarkEnd w:id="10077"/>
      <w:bookmarkEnd w:id="10078"/>
      <w:bookmarkEnd w:id="10079"/>
      <w:bookmarkEnd w:id="10080"/>
      <w:bookmarkEnd w:id="10081"/>
      <w:r>
        <w:rPr>
          <w:rFonts w:hint="cs"/>
          <w:rtl/>
        </w:rPr>
        <w:t xml:space="preserve">– שום </w:t>
      </w:r>
      <w:bookmarkStart w:id="10082" w:name="_ETM_Q11_565399"/>
      <w:bookmarkEnd w:id="10082"/>
      <w:r>
        <w:rPr>
          <w:rFonts w:hint="cs"/>
          <w:rtl/>
        </w:rPr>
        <w:t xml:space="preserve">דבר </w:t>
      </w:r>
      <w:bookmarkStart w:id="10083" w:name="_ETM_Q11_565729"/>
      <w:bookmarkEnd w:id="10083"/>
      <w:r>
        <w:rPr>
          <w:rFonts w:hint="cs"/>
          <w:rtl/>
        </w:rPr>
        <w:t xml:space="preserve">לא </w:t>
      </w:r>
      <w:bookmarkStart w:id="10084" w:name="_ETM_Q11_565850"/>
      <w:bookmarkEnd w:id="10084"/>
      <w:r>
        <w:rPr>
          <w:rFonts w:hint="cs"/>
          <w:rtl/>
        </w:rPr>
        <w:t xml:space="preserve">מעניין </w:t>
      </w:r>
      <w:bookmarkStart w:id="10085" w:name="_ETM_Q11_566179"/>
      <w:bookmarkEnd w:id="10085"/>
      <w:r>
        <w:rPr>
          <w:rFonts w:hint="cs"/>
          <w:rtl/>
        </w:rPr>
        <w:t xml:space="preserve">את השר אלי </w:t>
      </w:r>
      <w:bookmarkStart w:id="10086" w:name="_ETM_Q11_566570"/>
      <w:bookmarkEnd w:id="10086"/>
      <w:r>
        <w:rPr>
          <w:rFonts w:hint="cs"/>
          <w:rtl/>
        </w:rPr>
        <w:t xml:space="preserve">כהן, </w:t>
      </w:r>
      <w:bookmarkStart w:id="10087" w:name="_ETM_Q11_567140"/>
      <w:bookmarkEnd w:id="10087"/>
      <w:r>
        <w:rPr>
          <w:rFonts w:hint="cs"/>
          <w:rtl/>
        </w:rPr>
        <w:t xml:space="preserve">כי </w:t>
      </w:r>
      <w:bookmarkStart w:id="10088" w:name="_ETM_Q11_567320"/>
      <w:bookmarkEnd w:id="10088"/>
      <w:r>
        <w:rPr>
          <w:rFonts w:hint="cs"/>
          <w:rtl/>
        </w:rPr>
        <w:t xml:space="preserve">הוא </w:t>
      </w:r>
      <w:bookmarkStart w:id="10089" w:name="_ETM_Q11_567409"/>
      <w:bookmarkEnd w:id="10089"/>
      <w:r>
        <w:rPr>
          <w:rFonts w:hint="cs"/>
          <w:rtl/>
        </w:rPr>
        <w:t xml:space="preserve">עסוק </w:t>
      </w:r>
      <w:bookmarkStart w:id="10090" w:name="_ETM_Q11_568789"/>
      <w:bookmarkEnd w:id="10090"/>
      <w:r>
        <w:rPr>
          <w:rFonts w:hint="cs"/>
          <w:rtl/>
        </w:rPr>
        <w:t xml:space="preserve">בטלפון </w:t>
      </w:r>
      <w:bookmarkStart w:id="10091" w:name="_ETM_Q11_569539"/>
      <w:bookmarkEnd w:id="10091"/>
      <w:r>
        <w:rPr>
          <w:rFonts w:hint="cs"/>
          <w:rtl/>
        </w:rPr>
        <w:t xml:space="preserve">ובאוזניות. </w:t>
      </w:r>
      <w:bookmarkStart w:id="10092" w:name="_ETM_Q11_570500"/>
      <w:bookmarkEnd w:id="10092"/>
      <w:r>
        <w:rPr>
          <w:rFonts w:hint="cs"/>
          <w:rtl/>
        </w:rPr>
        <w:t xml:space="preserve">אולי </w:t>
      </w:r>
      <w:bookmarkStart w:id="10093" w:name="_ETM_Q11_570740"/>
      <w:bookmarkEnd w:id="10093"/>
      <w:r>
        <w:rPr>
          <w:rFonts w:hint="cs"/>
          <w:rtl/>
        </w:rPr>
        <w:t xml:space="preserve">זה </w:t>
      </w:r>
      <w:bookmarkStart w:id="10094" w:name="_ETM_Q11_570920"/>
      <w:bookmarkEnd w:id="10094"/>
      <w:r>
        <w:rPr>
          <w:rFonts w:hint="cs"/>
          <w:rtl/>
        </w:rPr>
        <w:t xml:space="preserve">יעניין </w:t>
      </w:r>
      <w:bookmarkStart w:id="10095" w:name="_ETM_Q11_571279"/>
      <w:bookmarkEnd w:id="10095"/>
      <w:r>
        <w:rPr>
          <w:rFonts w:hint="cs"/>
          <w:rtl/>
        </w:rPr>
        <w:t>אותו</w:t>
      </w:r>
      <w:bookmarkStart w:id="10096" w:name="_ETM_Q11_572539"/>
      <w:bookmarkStart w:id="10097" w:name="_ETM_Q11_575204"/>
      <w:bookmarkEnd w:id="10096"/>
      <w:bookmarkEnd w:id="10097"/>
      <w:r>
        <w:rPr>
          <w:rFonts w:hint="cs"/>
          <w:rtl/>
        </w:rPr>
        <w:t xml:space="preserve">. </w:t>
      </w:r>
      <w:bookmarkStart w:id="10098" w:name="_ETM_Q11_569695"/>
      <w:bookmarkEnd w:id="10098"/>
      <w:r>
        <w:rPr>
          <w:rFonts w:hint="cs"/>
          <w:rtl/>
        </w:rPr>
        <w:t xml:space="preserve">פה </w:t>
      </w:r>
      <w:bookmarkStart w:id="10099" w:name="_ETM_Q11_572749"/>
      <w:bookmarkEnd w:id="10099"/>
      <w:r>
        <w:rPr>
          <w:rFonts w:hint="cs"/>
          <w:rtl/>
        </w:rPr>
        <w:t xml:space="preserve">על </w:t>
      </w:r>
      <w:bookmarkStart w:id="10100" w:name="_ETM_Q11_572839"/>
      <w:bookmarkEnd w:id="10100"/>
      <w:r>
        <w:rPr>
          <w:rFonts w:hint="cs"/>
          <w:rtl/>
        </w:rPr>
        <w:t xml:space="preserve">יד </w:t>
      </w:r>
      <w:bookmarkStart w:id="10101" w:name="_ETM_Q11_573020"/>
      <w:bookmarkEnd w:id="10101"/>
      <w:r>
        <w:rPr>
          <w:rFonts w:hint="cs"/>
          <w:rtl/>
        </w:rPr>
        <w:t xml:space="preserve">הכנסת </w:t>
      </w:r>
      <w:bookmarkStart w:id="10102" w:name="_ETM_Q11_573560"/>
      <w:bookmarkEnd w:id="10102"/>
      <w:r>
        <w:rPr>
          <w:rFonts w:hint="cs"/>
          <w:rtl/>
        </w:rPr>
        <w:t>יש עכשיו אוהל.</w:t>
      </w:r>
      <w:bookmarkStart w:id="10103" w:name="_ETM_Q11_574490"/>
      <w:bookmarkStart w:id="10104" w:name="_ETM_Q11_574759"/>
      <w:bookmarkStart w:id="10105" w:name="_ETM_Q11_572216"/>
      <w:bookmarkEnd w:id="10103"/>
      <w:bookmarkEnd w:id="10104"/>
      <w:bookmarkEnd w:id="10105"/>
      <w:r>
        <w:rPr>
          <w:rFonts w:hint="cs"/>
          <w:rtl/>
        </w:rPr>
        <w:t xml:space="preserve"> </w:t>
      </w:r>
      <w:bookmarkStart w:id="10106" w:name="_ETM_Q11_575850"/>
      <w:bookmarkEnd w:id="10106"/>
      <w:r>
        <w:rPr>
          <w:rFonts w:hint="cs"/>
          <w:rtl/>
        </w:rPr>
        <w:t xml:space="preserve">יושב </w:t>
      </w:r>
      <w:bookmarkStart w:id="10107" w:name="_ETM_Q11_576210"/>
      <w:bookmarkStart w:id="10108" w:name="_ETM_Q11_576360"/>
      <w:bookmarkEnd w:id="10107"/>
      <w:bookmarkEnd w:id="10108"/>
      <w:r>
        <w:rPr>
          <w:rFonts w:hint="cs"/>
          <w:rtl/>
        </w:rPr>
        <w:t xml:space="preserve">שם בן אדם </w:t>
      </w:r>
      <w:bookmarkStart w:id="10109" w:name="_ETM_Q11_576779"/>
      <w:bookmarkEnd w:id="10109"/>
      <w:r>
        <w:rPr>
          <w:rFonts w:hint="cs"/>
          <w:rtl/>
        </w:rPr>
        <w:t xml:space="preserve">מבוגר, </w:t>
      </w:r>
      <w:bookmarkStart w:id="10110" w:name="_ETM_Q11_577380"/>
      <w:bookmarkEnd w:id="10110"/>
      <w:r>
        <w:rPr>
          <w:rFonts w:hint="cs"/>
          <w:rtl/>
        </w:rPr>
        <w:t>דומ</w:t>
      </w:r>
      <w:bookmarkStart w:id="10111" w:name="_ETM_Q11_577740"/>
      <w:bookmarkEnd w:id="10111"/>
      <w:r>
        <w:rPr>
          <w:rFonts w:hint="cs"/>
          <w:rtl/>
        </w:rPr>
        <w:t xml:space="preserve">ני </w:t>
      </w:r>
      <w:bookmarkStart w:id="10112" w:name="_ETM_Q11_577920"/>
      <w:bookmarkEnd w:id="10112"/>
      <w:r>
        <w:rPr>
          <w:rFonts w:hint="cs"/>
          <w:rtl/>
        </w:rPr>
        <w:t xml:space="preserve">בן </w:t>
      </w:r>
      <w:bookmarkStart w:id="10113" w:name="_ETM_Q11_578100"/>
      <w:bookmarkEnd w:id="10113"/>
      <w:r>
        <w:rPr>
          <w:rFonts w:hint="cs"/>
          <w:rtl/>
        </w:rPr>
        <w:t xml:space="preserve">78, </w:t>
      </w:r>
      <w:bookmarkStart w:id="10114" w:name="_ETM_Q11_580210"/>
      <w:bookmarkEnd w:id="10114"/>
      <w:r>
        <w:rPr>
          <w:rFonts w:hint="cs"/>
          <w:rtl/>
        </w:rPr>
        <w:t xml:space="preserve">אסיר </w:t>
      </w:r>
      <w:bookmarkStart w:id="10115" w:name="_ETM_Q11_580600"/>
      <w:bookmarkEnd w:id="10115"/>
      <w:r>
        <w:rPr>
          <w:rFonts w:hint="cs"/>
          <w:rtl/>
        </w:rPr>
        <w:t xml:space="preserve">ציון. </w:t>
      </w:r>
      <w:bookmarkStart w:id="10116" w:name="_ETM_Q11_581930"/>
      <w:bookmarkEnd w:id="10116"/>
      <w:r>
        <w:rPr>
          <w:rFonts w:hint="cs"/>
          <w:rtl/>
        </w:rPr>
        <w:t xml:space="preserve">יולי </w:t>
      </w:r>
      <w:bookmarkStart w:id="10117" w:name="_ETM_Q11_582380"/>
      <w:bookmarkEnd w:id="10117"/>
      <w:r>
        <w:rPr>
          <w:rFonts w:hint="cs"/>
          <w:rtl/>
        </w:rPr>
        <w:t xml:space="preserve">אדלשטיין, </w:t>
      </w:r>
      <w:bookmarkStart w:id="10118" w:name="_ETM_Q11_584760"/>
      <w:bookmarkEnd w:id="10118"/>
      <w:r>
        <w:rPr>
          <w:rFonts w:hint="cs"/>
          <w:rtl/>
        </w:rPr>
        <w:t xml:space="preserve">אם </w:t>
      </w:r>
      <w:bookmarkStart w:id="10119" w:name="_ETM_Q11_584940"/>
      <w:bookmarkEnd w:id="10119"/>
      <w:r>
        <w:rPr>
          <w:rFonts w:hint="cs"/>
          <w:rtl/>
        </w:rPr>
        <w:t xml:space="preserve">אתה </w:t>
      </w:r>
      <w:bookmarkStart w:id="10120" w:name="_ETM_Q11_585150"/>
      <w:bookmarkEnd w:id="10120"/>
      <w:r>
        <w:rPr>
          <w:rFonts w:hint="cs"/>
          <w:rtl/>
        </w:rPr>
        <w:t xml:space="preserve">מקשיב, </w:t>
      </w:r>
      <w:bookmarkStart w:id="10121" w:name="_ETM_Q11_586350"/>
      <w:bookmarkEnd w:id="10121"/>
      <w:r>
        <w:rPr>
          <w:rFonts w:hint="cs"/>
          <w:rtl/>
        </w:rPr>
        <w:t xml:space="preserve">אז </w:t>
      </w:r>
      <w:bookmarkStart w:id="10122" w:name="_ETM_Q11_586470"/>
      <w:bookmarkEnd w:id="10122"/>
      <w:r>
        <w:rPr>
          <w:rFonts w:hint="cs"/>
          <w:rtl/>
        </w:rPr>
        <w:t xml:space="preserve">אולי </w:t>
      </w:r>
      <w:bookmarkStart w:id="10123" w:name="_ETM_Q11_586710"/>
      <w:bookmarkEnd w:id="10123"/>
      <w:r>
        <w:rPr>
          <w:rFonts w:hint="cs"/>
          <w:rtl/>
        </w:rPr>
        <w:t xml:space="preserve">כדאי </w:t>
      </w:r>
      <w:bookmarkStart w:id="10124" w:name="_ETM_Q11_587010"/>
      <w:bookmarkEnd w:id="10124"/>
      <w:r>
        <w:rPr>
          <w:rFonts w:hint="cs"/>
          <w:rtl/>
        </w:rPr>
        <w:t xml:space="preserve">לך </w:t>
      </w:r>
      <w:bookmarkStart w:id="10125" w:name="_ETM_Q11_587250"/>
      <w:bookmarkEnd w:id="10125"/>
      <w:r>
        <w:rPr>
          <w:rFonts w:hint="cs"/>
          <w:rtl/>
        </w:rPr>
        <w:t xml:space="preserve">ללכת </w:t>
      </w:r>
      <w:bookmarkStart w:id="10126" w:name="_ETM_Q11_587700"/>
      <w:bookmarkEnd w:id="10126"/>
      <w:r>
        <w:rPr>
          <w:rFonts w:hint="cs"/>
          <w:rtl/>
        </w:rPr>
        <w:t xml:space="preserve">לפה, </w:t>
      </w:r>
      <w:bookmarkStart w:id="10127" w:name="_ETM_Q11_587880"/>
      <w:bookmarkEnd w:id="10127"/>
      <w:r>
        <w:rPr>
          <w:rFonts w:hint="cs"/>
          <w:rtl/>
        </w:rPr>
        <w:t xml:space="preserve">לכניסה </w:t>
      </w:r>
      <w:bookmarkStart w:id="10128" w:name="_ETM_Q11_588390"/>
      <w:bookmarkEnd w:id="10128"/>
      <w:r>
        <w:rPr>
          <w:rFonts w:hint="cs"/>
          <w:rtl/>
        </w:rPr>
        <w:t>ל</w:t>
      </w:r>
      <w:bookmarkStart w:id="10129" w:name="_ETM_Q11_589759"/>
      <w:bookmarkEnd w:id="10129"/>
      <w:r>
        <w:rPr>
          <w:rFonts w:hint="cs"/>
          <w:rtl/>
        </w:rPr>
        <w:t xml:space="preserve">כנסת, </w:t>
      </w:r>
      <w:bookmarkStart w:id="10130" w:name="_ETM_Q11_590719"/>
      <w:bookmarkEnd w:id="10130"/>
      <w:r>
        <w:rPr>
          <w:rFonts w:hint="cs"/>
          <w:rtl/>
        </w:rPr>
        <w:t xml:space="preserve">לבקר </w:t>
      </w:r>
      <w:bookmarkStart w:id="10131" w:name="_ETM_Q11_591229"/>
      <w:bookmarkEnd w:id="10131"/>
      <w:r>
        <w:rPr>
          <w:rFonts w:hint="cs"/>
          <w:rtl/>
        </w:rPr>
        <w:t xml:space="preserve">את </w:t>
      </w:r>
      <w:bookmarkStart w:id="10132" w:name="_ETM_Q11_591409"/>
      <w:bookmarkEnd w:id="10132"/>
      <w:r>
        <w:rPr>
          <w:rFonts w:hint="cs"/>
          <w:rtl/>
        </w:rPr>
        <w:t xml:space="preserve">האיש </w:t>
      </w:r>
      <w:bookmarkStart w:id="10133" w:name="_ETM_Q11_591710"/>
      <w:bookmarkEnd w:id="10133"/>
      <w:r>
        <w:rPr>
          <w:rFonts w:hint="cs"/>
          <w:rtl/>
        </w:rPr>
        <w:t xml:space="preserve">הזה. </w:t>
      </w:r>
      <w:bookmarkStart w:id="10134" w:name="_ETM_Q11_591950"/>
      <w:bookmarkEnd w:id="10134"/>
      <w:r>
        <w:rPr>
          <w:rFonts w:hint="cs"/>
          <w:rtl/>
        </w:rPr>
        <w:t>אסיר ציון 12 שנה</w:t>
      </w:r>
      <w:bookmarkStart w:id="10135" w:name="_ETM_Q11_592249"/>
      <w:bookmarkStart w:id="10136" w:name="_ETM_Q11_592579"/>
      <w:bookmarkStart w:id="10137" w:name="_ETM_Q11_593149"/>
      <w:bookmarkStart w:id="10138" w:name="_ETM_Q11_595549"/>
      <w:bookmarkEnd w:id="10135"/>
      <w:bookmarkEnd w:id="10136"/>
      <w:bookmarkEnd w:id="10137"/>
      <w:bookmarkEnd w:id="10138"/>
      <w:r>
        <w:rPr>
          <w:rFonts w:hint="cs"/>
          <w:rtl/>
        </w:rPr>
        <w:t xml:space="preserve">, </w:t>
      </w:r>
      <w:bookmarkStart w:id="10139" w:name="_ETM_Q11_589931"/>
      <w:bookmarkEnd w:id="10139"/>
      <w:r>
        <w:rPr>
          <w:rFonts w:hint="cs"/>
          <w:rtl/>
        </w:rPr>
        <w:t xml:space="preserve">שהיה </w:t>
      </w:r>
      <w:bookmarkStart w:id="10140" w:name="_ETM_Q11_595850"/>
      <w:bookmarkEnd w:id="10140"/>
      <w:r>
        <w:rPr>
          <w:rFonts w:hint="cs"/>
          <w:rtl/>
        </w:rPr>
        <w:t>מ</w:t>
      </w:r>
      <w:bookmarkStart w:id="10141" w:name="_ETM_Q11_596299"/>
      <w:bookmarkEnd w:id="10141"/>
      <w:r>
        <w:rPr>
          <w:rFonts w:hint="cs"/>
          <w:rtl/>
        </w:rPr>
        <w:t xml:space="preserve">סורב עלייה, </w:t>
      </w:r>
      <w:bookmarkStart w:id="10142" w:name="_ETM_Q11_592787"/>
      <w:bookmarkStart w:id="10143" w:name="_ETM_Q11_597680"/>
      <w:bookmarkEnd w:id="10142"/>
      <w:bookmarkEnd w:id="10143"/>
      <w:r>
        <w:rPr>
          <w:rFonts w:hint="cs"/>
          <w:rtl/>
        </w:rPr>
        <w:t xml:space="preserve">חבר </w:t>
      </w:r>
      <w:bookmarkStart w:id="10144" w:name="_ETM_Q11_598070"/>
      <w:bookmarkEnd w:id="10144"/>
      <w:r>
        <w:rPr>
          <w:rFonts w:hint="cs"/>
          <w:rtl/>
        </w:rPr>
        <w:t xml:space="preserve">ליכוד. </w:t>
      </w:r>
      <w:bookmarkStart w:id="10145" w:name="_ETM_Q11_599799"/>
      <w:bookmarkStart w:id="10146" w:name="_ETM_Q11_600639"/>
      <w:bookmarkStart w:id="10147" w:name="_ETM_Q11_601720"/>
      <w:bookmarkEnd w:id="10145"/>
      <w:bookmarkEnd w:id="10146"/>
      <w:bookmarkEnd w:id="10147"/>
      <w:r>
        <w:rPr>
          <w:rFonts w:hint="cs"/>
          <w:rtl/>
        </w:rPr>
        <w:t xml:space="preserve">הוא </w:t>
      </w:r>
      <w:bookmarkStart w:id="10148" w:name="_ETM_Q11_601870"/>
      <w:bookmarkEnd w:id="10148"/>
      <w:r>
        <w:rPr>
          <w:rFonts w:hint="cs"/>
          <w:rtl/>
        </w:rPr>
        <w:t>שו</w:t>
      </w:r>
      <w:bookmarkStart w:id="10149" w:name="_ETM_Q11_602320"/>
      <w:bookmarkEnd w:id="10149"/>
      <w:r>
        <w:rPr>
          <w:rFonts w:hint="cs"/>
          <w:rtl/>
        </w:rPr>
        <w:t>בת רעב</w:t>
      </w:r>
      <w:bookmarkStart w:id="10150" w:name="_ETM_Q11_628242"/>
      <w:bookmarkEnd w:id="10150"/>
      <w:r>
        <w:rPr>
          <w:rFonts w:hint="cs"/>
          <w:rtl/>
        </w:rPr>
        <w:t xml:space="preserve">, </w:t>
      </w:r>
      <w:bookmarkStart w:id="10151" w:name="_ETM_Q11_603400"/>
      <w:bookmarkEnd w:id="10151"/>
      <w:r>
        <w:rPr>
          <w:rFonts w:hint="cs"/>
          <w:rtl/>
        </w:rPr>
        <w:t>ו</w:t>
      </w:r>
      <w:bookmarkStart w:id="10152" w:name="_ETM_Q11_603700"/>
      <w:bookmarkEnd w:id="10152"/>
      <w:r>
        <w:rPr>
          <w:rFonts w:hint="cs"/>
          <w:rtl/>
        </w:rPr>
        <w:t xml:space="preserve">אומר: </w:t>
      </w:r>
      <w:bookmarkStart w:id="10153" w:name="_ETM_Q11_604570"/>
      <w:bookmarkEnd w:id="10153"/>
      <w:r>
        <w:rPr>
          <w:rFonts w:hint="cs"/>
          <w:rtl/>
        </w:rPr>
        <w:t xml:space="preserve">אני </w:t>
      </w:r>
      <w:bookmarkStart w:id="10154" w:name="_ETM_Q11_604810"/>
      <w:bookmarkEnd w:id="10154"/>
      <w:r>
        <w:rPr>
          <w:rFonts w:hint="cs"/>
          <w:rtl/>
        </w:rPr>
        <w:t xml:space="preserve">לא </w:t>
      </w:r>
      <w:bookmarkStart w:id="10155" w:name="_ETM_Q11_604960"/>
      <w:bookmarkEnd w:id="10155"/>
      <w:r>
        <w:rPr>
          <w:rFonts w:hint="cs"/>
          <w:rtl/>
        </w:rPr>
        <w:t xml:space="preserve">מסכים </w:t>
      </w:r>
      <w:bookmarkStart w:id="10156" w:name="_ETM_Q11_606439"/>
      <w:bookmarkEnd w:id="10156"/>
      <w:r>
        <w:rPr>
          <w:rFonts w:hint="cs"/>
          <w:rtl/>
        </w:rPr>
        <w:t xml:space="preserve">שמדינת </w:t>
      </w:r>
      <w:bookmarkStart w:id="10157" w:name="_ETM_Q11_606889"/>
      <w:bookmarkEnd w:id="10157"/>
      <w:r>
        <w:rPr>
          <w:rFonts w:hint="cs"/>
          <w:rtl/>
        </w:rPr>
        <w:t xml:space="preserve">ישראל </w:t>
      </w:r>
      <w:bookmarkStart w:id="10158" w:name="_ETM_Q11_607279"/>
      <w:bookmarkEnd w:id="10158"/>
      <w:r>
        <w:rPr>
          <w:rFonts w:hint="cs"/>
          <w:rtl/>
        </w:rPr>
        <w:t xml:space="preserve">תהפוך </w:t>
      </w:r>
      <w:bookmarkStart w:id="10159" w:name="_ETM_Q11_607759"/>
      <w:bookmarkEnd w:id="10159"/>
      <w:r>
        <w:rPr>
          <w:rFonts w:hint="cs"/>
          <w:rtl/>
        </w:rPr>
        <w:t xml:space="preserve">לברית המועצות. </w:t>
      </w:r>
      <w:bookmarkStart w:id="10160" w:name="_ETM_Q11_609530"/>
      <w:bookmarkEnd w:id="10160"/>
      <w:r>
        <w:rPr>
          <w:rFonts w:hint="cs"/>
          <w:rtl/>
        </w:rPr>
        <w:t xml:space="preserve">כי </w:t>
      </w:r>
      <w:bookmarkStart w:id="10161" w:name="_ETM_Q11_609709"/>
      <w:bookmarkEnd w:id="10161"/>
      <w:r>
        <w:rPr>
          <w:rFonts w:hint="cs"/>
          <w:rtl/>
        </w:rPr>
        <w:t xml:space="preserve">גם </w:t>
      </w:r>
      <w:bookmarkStart w:id="10162" w:name="_ETM_Q11_609950"/>
      <w:bookmarkEnd w:id="10162"/>
      <w:r>
        <w:rPr>
          <w:rFonts w:hint="cs"/>
          <w:rtl/>
        </w:rPr>
        <w:t xml:space="preserve">שם </w:t>
      </w:r>
      <w:bookmarkStart w:id="10163" w:name="_ETM_Q11_610280"/>
      <w:bookmarkEnd w:id="10163"/>
      <w:r>
        <w:rPr>
          <w:rFonts w:hint="cs"/>
          <w:rtl/>
        </w:rPr>
        <w:t xml:space="preserve">היו </w:t>
      </w:r>
      <w:bookmarkStart w:id="10164" w:name="_ETM_Q11_610459"/>
      <w:bookmarkEnd w:id="10164"/>
      <w:r>
        <w:rPr>
          <w:rFonts w:hint="cs"/>
          <w:rtl/>
        </w:rPr>
        <w:t xml:space="preserve">בתי </w:t>
      </w:r>
      <w:bookmarkStart w:id="10165" w:name="_ETM_Q11_610819"/>
      <w:bookmarkEnd w:id="10165"/>
      <w:r>
        <w:rPr>
          <w:rFonts w:hint="cs"/>
          <w:rtl/>
        </w:rPr>
        <w:t xml:space="preserve">משפט </w:t>
      </w:r>
      <w:bookmarkStart w:id="10166" w:name="_ETM_Q11_611390"/>
      <w:bookmarkStart w:id="10167" w:name="_ETM_Q11_611660"/>
      <w:bookmarkEnd w:id="10166"/>
      <w:bookmarkEnd w:id="10167"/>
      <w:r>
        <w:rPr>
          <w:rFonts w:hint="cs"/>
          <w:rtl/>
        </w:rPr>
        <w:t xml:space="preserve">יפים מאוד </w:t>
      </w:r>
      <w:bookmarkStart w:id="10168" w:name="_ETM_Q11_612170"/>
      <w:bookmarkEnd w:id="10168"/>
      <w:r>
        <w:rPr>
          <w:rFonts w:hint="cs"/>
          <w:rtl/>
        </w:rPr>
        <w:t xml:space="preserve">עם </w:t>
      </w:r>
      <w:bookmarkStart w:id="10169" w:name="_ETM_Q11_612319"/>
      <w:bookmarkEnd w:id="10169"/>
      <w:r>
        <w:rPr>
          <w:rFonts w:hint="cs"/>
          <w:rtl/>
        </w:rPr>
        <w:t xml:space="preserve">סיסמאות </w:t>
      </w:r>
      <w:bookmarkStart w:id="10170" w:name="_ETM_Q11_613069"/>
      <w:bookmarkStart w:id="10171" w:name="_ETM_Q11_613370"/>
      <w:bookmarkEnd w:id="10170"/>
      <w:bookmarkEnd w:id="10171"/>
      <w:r>
        <w:rPr>
          <w:rFonts w:hint="cs"/>
          <w:rtl/>
        </w:rPr>
        <w:t xml:space="preserve">יפות </w:t>
      </w:r>
      <w:bookmarkStart w:id="10172" w:name="_ETM_Q11_614959"/>
      <w:bookmarkEnd w:id="10172"/>
      <w:r>
        <w:rPr>
          <w:rFonts w:hint="cs"/>
          <w:rtl/>
        </w:rPr>
        <w:t xml:space="preserve">מאוד, אבל </w:t>
      </w:r>
      <w:bookmarkStart w:id="10173" w:name="_ETM_Q11_615230"/>
      <w:bookmarkEnd w:id="10173"/>
      <w:r>
        <w:rPr>
          <w:rFonts w:hint="cs"/>
          <w:rtl/>
        </w:rPr>
        <w:t xml:space="preserve">אנחנו </w:t>
      </w:r>
      <w:bookmarkStart w:id="10174" w:name="_ETM_Q11_615560"/>
      <w:bookmarkEnd w:id="10174"/>
      <w:r>
        <w:rPr>
          <w:rFonts w:hint="cs"/>
          <w:rtl/>
        </w:rPr>
        <w:t xml:space="preserve">כולנו </w:t>
      </w:r>
      <w:bookmarkStart w:id="10175" w:name="_ETM_Q11_616040"/>
      <w:bookmarkEnd w:id="10175"/>
      <w:r>
        <w:rPr>
          <w:rFonts w:hint="cs"/>
          <w:rtl/>
        </w:rPr>
        <w:t xml:space="preserve">יודעים </w:t>
      </w:r>
      <w:bookmarkStart w:id="10176" w:name="_ETM_Q11_616879"/>
      <w:bookmarkEnd w:id="10176"/>
      <w:r>
        <w:rPr>
          <w:rFonts w:hint="cs"/>
          <w:rtl/>
        </w:rPr>
        <w:t xml:space="preserve">איך </w:t>
      </w:r>
      <w:bookmarkStart w:id="10177" w:name="_ETM_Q11_617060"/>
      <w:bookmarkEnd w:id="10177"/>
      <w:r>
        <w:rPr>
          <w:rFonts w:hint="cs"/>
          <w:rtl/>
        </w:rPr>
        <w:t xml:space="preserve">הם </w:t>
      </w:r>
      <w:bookmarkStart w:id="10178" w:name="_ETM_Q11_617209"/>
      <w:bookmarkEnd w:id="10178"/>
      <w:r>
        <w:rPr>
          <w:rFonts w:hint="cs"/>
          <w:rtl/>
        </w:rPr>
        <w:t xml:space="preserve">שפטו </w:t>
      </w:r>
      <w:bookmarkStart w:id="10179" w:name="_ETM_Q11_618319"/>
      <w:bookmarkEnd w:id="10179"/>
      <w:r>
        <w:rPr>
          <w:rFonts w:hint="cs"/>
          <w:rtl/>
        </w:rPr>
        <w:t xml:space="preserve">ואיך </w:t>
      </w:r>
      <w:bookmarkStart w:id="10180" w:name="_ETM_Q11_618620"/>
      <w:bookmarkEnd w:id="10180"/>
      <w:r>
        <w:rPr>
          <w:rFonts w:hint="cs"/>
          <w:rtl/>
        </w:rPr>
        <w:t xml:space="preserve">השלטון </w:t>
      </w:r>
      <w:bookmarkStart w:id="10181" w:name="_ETM_Q11_620220"/>
      <w:bookmarkEnd w:id="10181"/>
      <w:r>
        <w:rPr>
          <w:rFonts w:hint="cs"/>
          <w:rtl/>
        </w:rPr>
        <w:t xml:space="preserve">שלט </w:t>
      </w:r>
      <w:bookmarkStart w:id="10182" w:name="_ETM_Q11_620670"/>
      <w:bookmarkEnd w:id="10182"/>
      <w:r>
        <w:rPr>
          <w:rFonts w:hint="cs"/>
          <w:rtl/>
        </w:rPr>
        <w:t xml:space="preserve">באותם </w:t>
      </w:r>
      <w:bookmarkStart w:id="10183" w:name="_ETM_Q11_621060"/>
      <w:bookmarkEnd w:id="10183"/>
      <w:r>
        <w:rPr>
          <w:rFonts w:hint="cs"/>
          <w:rtl/>
        </w:rPr>
        <w:t xml:space="preserve">בתי </w:t>
      </w:r>
      <w:bookmarkStart w:id="10184" w:name="_ETM_Q11_621390"/>
      <w:bookmarkEnd w:id="10184"/>
      <w:r>
        <w:rPr>
          <w:rFonts w:hint="cs"/>
          <w:rtl/>
        </w:rPr>
        <w:t xml:space="preserve">משפט. </w:t>
      </w:r>
      <w:bookmarkStart w:id="10185" w:name="_ETM_Q11_623230"/>
      <w:bookmarkStart w:id="10186" w:name="_ETM_Q11_623530"/>
      <w:bookmarkEnd w:id="10185"/>
      <w:bookmarkEnd w:id="10186"/>
      <w:r>
        <w:rPr>
          <w:rFonts w:hint="cs"/>
          <w:rtl/>
        </w:rPr>
        <w:t xml:space="preserve">כל </w:t>
      </w:r>
      <w:bookmarkStart w:id="10187" w:name="_ETM_Q11_623770"/>
      <w:bookmarkEnd w:id="10187"/>
      <w:r>
        <w:rPr>
          <w:rFonts w:hint="cs"/>
          <w:rtl/>
        </w:rPr>
        <w:t xml:space="preserve">אחד </w:t>
      </w:r>
      <w:bookmarkStart w:id="10188" w:name="_ETM_Q11_624370"/>
      <w:bookmarkEnd w:id="10188"/>
      <w:r>
        <w:rPr>
          <w:rFonts w:hint="cs"/>
          <w:rtl/>
        </w:rPr>
        <w:t xml:space="preserve">מהליכוד </w:t>
      </w:r>
      <w:bookmarkStart w:id="10189" w:name="_ETM_Q11_625150"/>
      <w:bookmarkEnd w:id="10189"/>
      <w:r>
        <w:rPr>
          <w:rFonts w:hint="cs"/>
          <w:rtl/>
        </w:rPr>
        <w:t xml:space="preserve">מוזמן </w:t>
      </w:r>
      <w:bookmarkStart w:id="10190" w:name="_ETM_Q11_625780"/>
      <w:bookmarkEnd w:id="10190"/>
      <w:r>
        <w:rPr>
          <w:rFonts w:hint="cs"/>
          <w:rtl/>
        </w:rPr>
        <w:t xml:space="preserve">לפה, </w:t>
      </w:r>
      <w:bookmarkStart w:id="10191" w:name="_ETM_Q11_626260"/>
      <w:bookmarkEnd w:id="10191"/>
      <w:r>
        <w:rPr>
          <w:rFonts w:hint="cs"/>
          <w:rtl/>
        </w:rPr>
        <w:t xml:space="preserve">בכניסה </w:t>
      </w:r>
      <w:bookmarkStart w:id="10192" w:name="_ETM_Q11_626890"/>
      <w:bookmarkEnd w:id="10192"/>
      <w:r>
        <w:rPr>
          <w:rFonts w:hint="cs"/>
          <w:rtl/>
        </w:rPr>
        <w:t>ל</w:t>
      </w:r>
      <w:bookmarkStart w:id="10193" w:name="_ETM_Q11_627670"/>
      <w:bookmarkEnd w:id="10193"/>
      <w:r>
        <w:rPr>
          <w:rFonts w:hint="cs"/>
          <w:rtl/>
        </w:rPr>
        <w:t xml:space="preserve">כנסת, </w:t>
      </w:r>
      <w:bookmarkStart w:id="10194" w:name="_ETM_Q11_628630"/>
      <w:bookmarkEnd w:id="10194"/>
      <w:r>
        <w:rPr>
          <w:rFonts w:hint="cs"/>
          <w:rtl/>
        </w:rPr>
        <w:t xml:space="preserve">לבקר </w:t>
      </w:r>
      <w:bookmarkStart w:id="10195" w:name="_ETM_Q11_629080"/>
      <w:bookmarkEnd w:id="10195"/>
      <w:r>
        <w:rPr>
          <w:rFonts w:hint="cs"/>
          <w:rtl/>
        </w:rPr>
        <w:t xml:space="preserve">את </w:t>
      </w:r>
      <w:bookmarkStart w:id="10196" w:name="_ETM_Q11_629230"/>
      <w:bookmarkEnd w:id="10196"/>
      <w:r>
        <w:rPr>
          <w:rFonts w:hint="cs"/>
          <w:rtl/>
        </w:rPr>
        <w:t xml:space="preserve">האיש </w:t>
      </w:r>
      <w:bookmarkStart w:id="10197" w:name="_ETM_Q11_629560"/>
      <w:bookmarkEnd w:id="10197"/>
      <w:r>
        <w:rPr>
          <w:rFonts w:hint="cs"/>
          <w:rtl/>
        </w:rPr>
        <w:t xml:space="preserve">הזה ששובת </w:t>
      </w:r>
      <w:bookmarkStart w:id="10198" w:name="_ETM_Q11_630720"/>
      <w:bookmarkStart w:id="10199" w:name="_ETM_Q11_631200"/>
      <w:bookmarkEnd w:id="10198"/>
      <w:bookmarkEnd w:id="10199"/>
      <w:r>
        <w:rPr>
          <w:rFonts w:hint="cs"/>
          <w:rtl/>
        </w:rPr>
        <w:t xml:space="preserve">רעב, </w:t>
      </w:r>
      <w:bookmarkStart w:id="10200" w:name="_ETM_Q11_631470"/>
      <w:bookmarkEnd w:id="10200"/>
      <w:r>
        <w:rPr>
          <w:rFonts w:hint="cs"/>
          <w:rtl/>
        </w:rPr>
        <w:t xml:space="preserve">בן </w:t>
      </w:r>
      <w:bookmarkStart w:id="10201" w:name="_ETM_Q11_631680"/>
      <w:bookmarkEnd w:id="10201"/>
      <w:r>
        <w:rPr>
          <w:rFonts w:hint="cs"/>
          <w:rtl/>
        </w:rPr>
        <w:t xml:space="preserve">78, </w:t>
      </w:r>
      <w:bookmarkStart w:id="10202" w:name="_ETM_Q11_632640"/>
      <w:bookmarkEnd w:id="10202"/>
      <w:r>
        <w:rPr>
          <w:rFonts w:hint="cs"/>
          <w:rtl/>
        </w:rPr>
        <w:t xml:space="preserve">אסיר </w:t>
      </w:r>
      <w:bookmarkStart w:id="10203" w:name="_ETM_Q11_633000"/>
      <w:bookmarkEnd w:id="10203"/>
      <w:r>
        <w:rPr>
          <w:rFonts w:hint="cs"/>
          <w:rtl/>
        </w:rPr>
        <w:t xml:space="preserve">ציון, </w:t>
      </w:r>
      <w:bookmarkStart w:id="10204" w:name="_ETM_Q11_633420"/>
      <w:bookmarkEnd w:id="10204"/>
      <w:r>
        <w:rPr>
          <w:rFonts w:hint="cs"/>
          <w:rtl/>
        </w:rPr>
        <w:t xml:space="preserve">חבר </w:t>
      </w:r>
      <w:bookmarkStart w:id="10205" w:name="_ETM_Q11_633810"/>
      <w:bookmarkEnd w:id="10205"/>
      <w:r>
        <w:rPr>
          <w:rFonts w:hint="cs"/>
          <w:rtl/>
        </w:rPr>
        <w:t xml:space="preserve">ליכוד, </w:t>
      </w:r>
      <w:bookmarkStart w:id="10206" w:name="_ETM_Q11_634770"/>
      <w:bookmarkEnd w:id="10206"/>
      <w:r>
        <w:rPr>
          <w:rFonts w:hint="cs"/>
          <w:rtl/>
        </w:rPr>
        <w:t>ש</w:t>
      </w:r>
      <w:bookmarkStart w:id="10207" w:name="_ETM_Q11_635010"/>
      <w:bookmarkEnd w:id="10207"/>
      <w:r>
        <w:rPr>
          <w:rFonts w:hint="cs"/>
          <w:rtl/>
        </w:rPr>
        <w:t xml:space="preserve">אומר </w:t>
      </w:r>
      <w:bookmarkStart w:id="10208" w:name="_ETM_Q11_635250"/>
      <w:bookmarkEnd w:id="10208"/>
      <w:r>
        <w:rPr>
          <w:rFonts w:hint="cs"/>
          <w:rtl/>
        </w:rPr>
        <w:t xml:space="preserve">לכם: </w:t>
      </w:r>
      <w:bookmarkStart w:id="10209" w:name="_ETM_Q11_636370"/>
      <w:bookmarkEnd w:id="10209"/>
      <w:r>
        <w:rPr>
          <w:rFonts w:hint="cs"/>
          <w:rtl/>
        </w:rPr>
        <w:t xml:space="preserve">אתם </w:t>
      </w:r>
      <w:bookmarkStart w:id="10210" w:name="_ETM_Q11_637090"/>
      <w:bookmarkEnd w:id="10210"/>
      <w:r>
        <w:rPr>
          <w:rFonts w:hint="cs"/>
          <w:rtl/>
        </w:rPr>
        <w:t xml:space="preserve">עכשיו </w:t>
      </w:r>
      <w:bookmarkStart w:id="10211" w:name="_ETM_Q11_637630"/>
      <w:bookmarkEnd w:id="10211"/>
      <w:r>
        <w:rPr>
          <w:rFonts w:hint="cs"/>
          <w:rtl/>
        </w:rPr>
        <w:t xml:space="preserve">עושים </w:t>
      </w:r>
      <w:bookmarkStart w:id="10212" w:name="_ETM_Q11_638020"/>
      <w:bookmarkEnd w:id="10212"/>
      <w:r>
        <w:rPr>
          <w:rFonts w:hint="cs"/>
          <w:rtl/>
        </w:rPr>
        <w:t xml:space="preserve">דברים </w:t>
      </w:r>
      <w:bookmarkStart w:id="10213" w:name="_ETM_Q11_640000"/>
      <w:bookmarkEnd w:id="10213"/>
      <w:r>
        <w:rPr>
          <w:rFonts w:hint="cs"/>
          <w:rtl/>
        </w:rPr>
        <w:t xml:space="preserve">שיש </w:t>
      </w:r>
      <w:bookmarkStart w:id="10214" w:name="_ETM_Q11_640360"/>
      <w:bookmarkEnd w:id="10214"/>
      <w:r>
        <w:rPr>
          <w:rFonts w:hint="cs"/>
          <w:rtl/>
        </w:rPr>
        <w:t xml:space="preserve">להם </w:t>
      </w:r>
      <w:bookmarkStart w:id="10215" w:name="_ETM_Q11_640569"/>
      <w:bookmarkEnd w:id="10215"/>
      <w:r>
        <w:rPr>
          <w:rFonts w:hint="cs"/>
          <w:rtl/>
        </w:rPr>
        <w:t xml:space="preserve">השלכות </w:t>
      </w:r>
      <w:bookmarkStart w:id="10216" w:name="_ETM_Q11_641079"/>
      <w:bookmarkEnd w:id="10216"/>
      <w:r>
        <w:rPr>
          <w:rFonts w:hint="cs"/>
          <w:rtl/>
        </w:rPr>
        <w:t>רוחב</w:t>
      </w:r>
      <w:bookmarkStart w:id="10217" w:name="_ETM_Q11_658237"/>
      <w:bookmarkEnd w:id="10217"/>
      <w:r>
        <w:rPr>
          <w:rFonts w:hint="cs"/>
          <w:rtl/>
        </w:rPr>
        <w:t xml:space="preserve">, </w:t>
      </w:r>
      <w:bookmarkStart w:id="10218" w:name="_ETM_Q11_643260"/>
      <w:bookmarkStart w:id="10219" w:name="_ETM_Q11_643560"/>
      <w:bookmarkEnd w:id="10218"/>
      <w:bookmarkEnd w:id="10219"/>
      <w:r>
        <w:rPr>
          <w:rFonts w:hint="cs"/>
          <w:rtl/>
        </w:rPr>
        <w:t xml:space="preserve">ומאחורי </w:t>
      </w:r>
      <w:bookmarkStart w:id="10220" w:name="_ETM_Q11_643889"/>
      <w:bookmarkEnd w:id="10220"/>
      <w:r>
        <w:rPr>
          <w:rFonts w:hint="cs"/>
          <w:rtl/>
        </w:rPr>
        <w:t xml:space="preserve">הסיסמאות </w:t>
      </w:r>
      <w:bookmarkStart w:id="10221" w:name="_ETM_Q11_644519"/>
      <w:bookmarkEnd w:id="10221"/>
      <w:r>
        <w:rPr>
          <w:rFonts w:hint="cs"/>
          <w:rtl/>
        </w:rPr>
        <w:t xml:space="preserve">היפות </w:t>
      </w:r>
      <w:bookmarkStart w:id="10222" w:name="_ETM_Q11_646010"/>
      <w:bookmarkEnd w:id="10222"/>
      <w:r>
        <w:rPr>
          <w:rFonts w:hint="cs"/>
          <w:rtl/>
        </w:rPr>
        <w:t xml:space="preserve">והדיבורים </w:t>
      </w:r>
      <w:bookmarkStart w:id="10223" w:name="_ETM_Q11_647930"/>
      <w:bookmarkEnd w:id="10223"/>
      <w:r>
        <w:rPr>
          <w:rFonts w:hint="cs"/>
          <w:rtl/>
        </w:rPr>
        <w:t xml:space="preserve">על </w:t>
      </w:r>
      <w:bookmarkStart w:id="10224" w:name="_ETM_Q11_648140"/>
      <w:bookmarkEnd w:id="10224"/>
      <w:r>
        <w:rPr>
          <w:rFonts w:hint="cs"/>
          <w:rtl/>
        </w:rPr>
        <w:t xml:space="preserve">הזכויות </w:t>
      </w:r>
      <w:bookmarkStart w:id="10225" w:name="_ETM_Q11_649099"/>
      <w:bookmarkEnd w:id="10225"/>
      <w:r>
        <w:rPr>
          <w:rFonts w:hint="cs"/>
          <w:rtl/>
        </w:rPr>
        <w:t xml:space="preserve">והעניינים </w:t>
      </w:r>
      <w:bookmarkStart w:id="10226" w:name="_ETM_Q11_649760"/>
      <w:bookmarkEnd w:id="10226"/>
      <w:r>
        <w:rPr>
          <w:rFonts w:hint="cs"/>
          <w:rtl/>
        </w:rPr>
        <w:t xml:space="preserve">מסתתר </w:t>
      </w:r>
      <w:bookmarkStart w:id="10227" w:name="_ETM_Q11_650180"/>
      <w:bookmarkEnd w:id="10227"/>
      <w:r>
        <w:rPr>
          <w:rFonts w:hint="cs"/>
          <w:rtl/>
        </w:rPr>
        <w:t xml:space="preserve">משהו </w:t>
      </w:r>
      <w:bookmarkStart w:id="10228" w:name="_ETM_Q11_650510"/>
      <w:bookmarkEnd w:id="10228"/>
      <w:r>
        <w:rPr>
          <w:rFonts w:hint="cs"/>
          <w:rtl/>
        </w:rPr>
        <w:t xml:space="preserve">אחר </w:t>
      </w:r>
      <w:bookmarkStart w:id="10229" w:name="_ETM_Q11_650810"/>
      <w:bookmarkEnd w:id="10229"/>
      <w:r>
        <w:rPr>
          <w:rFonts w:hint="cs"/>
          <w:rtl/>
        </w:rPr>
        <w:t xml:space="preserve">לגמרי </w:t>
      </w:r>
      <w:bookmarkStart w:id="10230" w:name="_ETM_Q11_652170"/>
      <w:bookmarkEnd w:id="10230"/>
      <w:r>
        <w:rPr>
          <w:rFonts w:hint="cs"/>
          <w:rtl/>
        </w:rPr>
        <w:t xml:space="preserve">ולאף </w:t>
      </w:r>
      <w:bookmarkStart w:id="10231" w:name="_ETM_Q11_652680"/>
      <w:bookmarkStart w:id="10232" w:name="_ETM_Q11_653040"/>
      <w:bookmarkEnd w:id="10231"/>
      <w:bookmarkEnd w:id="10232"/>
      <w:r>
        <w:rPr>
          <w:rFonts w:hint="cs"/>
          <w:rtl/>
        </w:rPr>
        <w:t xml:space="preserve">אחד מאיתנו </w:t>
      </w:r>
      <w:bookmarkStart w:id="10233" w:name="_ETM_Q11_653610"/>
      <w:bookmarkEnd w:id="10233"/>
      <w:r>
        <w:rPr>
          <w:rFonts w:hint="cs"/>
          <w:rtl/>
        </w:rPr>
        <w:t xml:space="preserve">אין </w:t>
      </w:r>
      <w:bookmarkStart w:id="10234" w:name="_ETM_Q11_653790"/>
      <w:bookmarkEnd w:id="10234"/>
      <w:r>
        <w:rPr>
          <w:rFonts w:hint="cs"/>
          <w:rtl/>
        </w:rPr>
        <w:t xml:space="preserve">ספק </w:t>
      </w:r>
      <w:bookmarkStart w:id="10235" w:name="_ETM_Q11_654510"/>
      <w:bookmarkEnd w:id="10235"/>
      <w:r>
        <w:rPr>
          <w:rFonts w:hint="cs"/>
          <w:rtl/>
        </w:rPr>
        <w:t xml:space="preserve">מה </w:t>
      </w:r>
      <w:bookmarkStart w:id="10236" w:name="_ETM_Q11_654720"/>
      <w:bookmarkEnd w:id="10236"/>
      <w:r>
        <w:rPr>
          <w:rFonts w:hint="cs"/>
          <w:rtl/>
        </w:rPr>
        <w:t xml:space="preserve">מסתתר </w:t>
      </w:r>
      <w:bookmarkStart w:id="10237" w:name="_ETM_Q11_655290"/>
      <w:bookmarkEnd w:id="10237"/>
      <w:r>
        <w:rPr>
          <w:rFonts w:hint="cs"/>
          <w:rtl/>
        </w:rPr>
        <w:t>שם.</w:t>
      </w:r>
      <w:bookmarkStart w:id="10238" w:name="_ETM_Q11_656100"/>
      <w:bookmarkEnd w:id="10238"/>
      <w:r>
        <w:rPr>
          <w:rFonts w:hint="cs"/>
          <w:rtl/>
        </w:rPr>
        <w:t xml:space="preserve"> </w:t>
      </w:r>
      <w:bookmarkStart w:id="10239" w:name="_ETM_Q11_656280"/>
      <w:bookmarkEnd w:id="10239"/>
      <w:r>
        <w:rPr>
          <w:rFonts w:hint="cs"/>
          <w:rtl/>
        </w:rPr>
        <w:t xml:space="preserve">למה? </w:t>
      </w:r>
      <w:bookmarkStart w:id="10240" w:name="_ETM_Q11_657120"/>
      <w:bookmarkEnd w:id="10240"/>
      <w:r>
        <w:rPr>
          <w:rFonts w:hint="cs"/>
          <w:rtl/>
        </w:rPr>
        <w:t xml:space="preserve">כי </w:t>
      </w:r>
      <w:bookmarkStart w:id="10241" w:name="_ETM_Q11_657239"/>
      <w:bookmarkEnd w:id="10241"/>
      <w:r>
        <w:rPr>
          <w:rFonts w:hint="cs"/>
          <w:rtl/>
        </w:rPr>
        <w:t xml:space="preserve">אנחנו </w:t>
      </w:r>
      <w:bookmarkStart w:id="10242" w:name="_ETM_Q11_657599"/>
      <w:bookmarkEnd w:id="10242"/>
      <w:r>
        <w:rPr>
          <w:rFonts w:hint="cs"/>
          <w:rtl/>
        </w:rPr>
        <w:t xml:space="preserve">כולנו </w:t>
      </w:r>
      <w:bookmarkStart w:id="10243" w:name="_ETM_Q11_658079"/>
      <w:bookmarkEnd w:id="10243"/>
      <w:r>
        <w:rPr>
          <w:rFonts w:hint="cs"/>
          <w:rtl/>
        </w:rPr>
        <w:t xml:space="preserve">מכירים </w:t>
      </w:r>
      <w:bookmarkStart w:id="10244" w:name="_ETM_Q11_658529"/>
      <w:bookmarkEnd w:id="10244"/>
      <w:r>
        <w:rPr>
          <w:rFonts w:hint="cs"/>
          <w:rtl/>
        </w:rPr>
        <w:t xml:space="preserve">את </w:t>
      </w:r>
      <w:bookmarkStart w:id="10245" w:name="_ETM_Q11_658650"/>
      <w:bookmarkEnd w:id="10245"/>
      <w:r>
        <w:rPr>
          <w:rFonts w:hint="cs"/>
          <w:rtl/>
        </w:rPr>
        <w:t xml:space="preserve">הקליינטים. </w:t>
      </w:r>
      <w:bookmarkStart w:id="10246" w:name="_ETM_Q11_660110"/>
      <w:bookmarkEnd w:id="10246"/>
      <w:r>
        <w:rPr>
          <w:rFonts w:hint="cs"/>
          <w:rtl/>
        </w:rPr>
        <w:t xml:space="preserve">אתם </w:t>
      </w:r>
      <w:bookmarkStart w:id="10247" w:name="_ETM_Q11_660410"/>
      <w:bookmarkEnd w:id="10247"/>
      <w:r>
        <w:rPr>
          <w:rFonts w:hint="cs"/>
          <w:rtl/>
        </w:rPr>
        <w:t xml:space="preserve">לא </w:t>
      </w:r>
      <w:bookmarkStart w:id="10248" w:name="_ETM_Q11_660530"/>
      <w:bookmarkEnd w:id="10248"/>
      <w:r>
        <w:rPr>
          <w:rFonts w:hint="cs"/>
          <w:rtl/>
        </w:rPr>
        <w:t xml:space="preserve">יכולים </w:t>
      </w:r>
      <w:bookmarkStart w:id="10249" w:name="_ETM_Q11_660950"/>
      <w:bookmarkEnd w:id="10249"/>
      <w:r>
        <w:rPr>
          <w:rFonts w:hint="cs"/>
          <w:rtl/>
        </w:rPr>
        <w:t xml:space="preserve">לעבוד </w:t>
      </w:r>
      <w:bookmarkStart w:id="10250" w:name="_ETM_Q11_661340"/>
      <w:bookmarkEnd w:id="10250"/>
      <w:r>
        <w:rPr>
          <w:rFonts w:hint="cs"/>
          <w:rtl/>
        </w:rPr>
        <w:t>עלינו.</w:t>
      </w:r>
    </w:p>
    <w:p w:rsidR="000C5C1F" w:rsidRDefault="000C5C1F" w:rsidP="000C5C1F">
      <w:pPr>
        <w:rPr>
          <w:rtl/>
        </w:rPr>
      </w:pPr>
    </w:p>
    <w:p w:rsidR="000C5C1F" w:rsidRDefault="000C5C1F" w:rsidP="000C5C1F">
      <w:pPr>
        <w:rPr>
          <w:rtl/>
        </w:rPr>
      </w:pPr>
      <w:bookmarkStart w:id="10251" w:name="_ETM_Q11_665060"/>
      <w:bookmarkStart w:id="10252" w:name="_ETM_Q11_665450"/>
      <w:bookmarkEnd w:id="10251"/>
      <w:bookmarkEnd w:id="10252"/>
      <w:r>
        <w:rPr>
          <w:rFonts w:hint="cs"/>
          <w:rtl/>
        </w:rPr>
        <w:t>ברשותכם –</w:t>
      </w:r>
      <w:bookmarkStart w:id="10253" w:name="_ETM_Q11_676120"/>
      <w:bookmarkEnd w:id="10253"/>
      <w:r>
        <w:rPr>
          <w:rFonts w:hint="cs"/>
          <w:rtl/>
        </w:rPr>
        <w:t xml:space="preserve"> </w:t>
      </w:r>
      <w:bookmarkStart w:id="10254" w:name="_ETM_Q11_668129"/>
      <w:bookmarkEnd w:id="10254"/>
      <w:r>
        <w:rPr>
          <w:rFonts w:hint="cs"/>
          <w:rtl/>
        </w:rPr>
        <w:t xml:space="preserve">ואני </w:t>
      </w:r>
      <w:bookmarkStart w:id="10255" w:name="_ETM_Q11_668309"/>
      <w:bookmarkEnd w:id="10255"/>
      <w:r>
        <w:rPr>
          <w:rFonts w:hint="cs"/>
          <w:rtl/>
        </w:rPr>
        <w:t xml:space="preserve">יודעת </w:t>
      </w:r>
      <w:bookmarkStart w:id="10256" w:name="_ETM_Q11_668639"/>
      <w:bookmarkEnd w:id="10256"/>
      <w:r>
        <w:rPr>
          <w:rFonts w:hint="cs"/>
          <w:rtl/>
        </w:rPr>
        <w:t xml:space="preserve">שאחר </w:t>
      </w:r>
      <w:bookmarkStart w:id="10257" w:name="_ETM_Q11_669209"/>
      <w:bookmarkEnd w:id="10257"/>
      <w:r>
        <w:rPr>
          <w:rFonts w:hint="cs"/>
          <w:rtl/>
        </w:rPr>
        <w:t xml:space="preserve">כך </w:t>
      </w:r>
      <w:bookmarkStart w:id="10258" w:name="_ETM_Q11_669419"/>
      <w:bookmarkEnd w:id="10258"/>
      <w:r>
        <w:rPr>
          <w:rFonts w:hint="cs"/>
          <w:rtl/>
        </w:rPr>
        <w:t xml:space="preserve">יהיו </w:t>
      </w:r>
      <w:bookmarkStart w:id="10259" w:name="_ETM_Q11_669659"/>
      <w:bookmarkEnd w:id="10259"/>
      <w:r>
        <w:rPr>
          <w:rFonts w:hint="cs"/>
          <w:rtl/>
        </w:rPr>
        <w:t xml:space="preserve">שוב </w:t>
      </w:r>
      <w:bookmarkStart w:id="10260" w:name="_ETM_Q11_669930"/>
      <w:bookmarkEnd w:id="10260"/>
      <w:r>
        <w:rPr>
          <w:rFonts w:hint="cs"/>
          <w:rtl/>
        </w:rPr>
        <w:t xml:space="preserve">פעם </w:t>
      </w:r>
      <w:bookmarkStart w:id="10261" w:name="_ETM_Q11_670139"/>
      <w:bookmarkEnd w:id="10261"/>
      <w:r>
        <w:rPr>
          <w:rFonts w:hint="cs"/>
          <w:rtl/>
        </w:rPr>
        <w:t xml:space="preserve">צעקות </w:t>
      </w:r>
      <w:bookmarkStart w:id="10262" w:name="_ETM_Q11_671370"/>
      <w:bookmarkEnd w:id="10262"/>
      <w:r>
        <w:rPr>
          <w:rFonts w:hint="cs"/>
          <w:rtl/>
        </w:rPr>
        <w:t xml:space="preserve">"אוי אוי אוי" – </w:t>
      </w:r>
      <w:bookmarkStart w:id="10263" w:name="_ETM_Q11_673170"/>
      <w:bookmarkEnd w:id="10263"/>
      <w:r>
        <w:rPr>
          <w:rFonts w:hint="cs"/>
          <w:rtl/>
        </w:rPr>
        <w:t xml:space="preserve">אני </w:t>
      </w:r>
      <w:bookmarkStart w:id="10264" w:name="_ETM_Q11_673410"/>
      <w:bookmarkEnd w:id="10264"/>
      <w:r>
        <w:rPr>
          <w:rFonts w:hint="cs"/>
          <w:rtl/>
        </w:rPr>
        <w:t xml:space="preserve">רוצה </w:t>
      </w:r>
      <w:bookmarkStart w:id="10265" w:name="_ETM_Q11_673740"/>
      <w:bookmarkEnd w:id="10265"/>
      <w:r>
        <w:rPr>
          <w:rFonts w:hint="cs"/>
          <w:rtl/>
        </w:rPr>
        <w:t xml:space="preserve">לצטט </w:t>
      </w:r>
      <w:bookmarkStart w:id="10266" w:name="_ETM_Q11_676739"/>
      <w:bookmarkEnd w:id="10266"/>
      <w:r>
        <w:rPr>
          <w:rFonts w:hint="cs"/>
          <w:rtl/>
        </w:rPr>
        <w:t xml:space="preserve">פסקה </w:t>
      </w:r>
      <w:bookmarkStart w:id="10267" w:name="_ETM_Q11_677250"/>
      <w:bookmarkStart w:id="10268" w:name="_ETM_Q11_678420"/>
      <w:bookmarkEnd w:id="10267"/>
      <w:bookmarkEnd w:id="10268"/>
      <w:r>
        <w:rPr>
          <w:rFonts w:hint="cs"/>
          <w:rtl/>
        </w:rPr>
        <w:t xml:space="preserve">מחוק </w:t>
      </w:r>
      <w:bookmarkStart w:id="10269" w:name="_ETM_Q11_679140"/>
      <w:bookmarkEnd w:id="10269"/>
      <w:r>
        <w:rPr>
          <w:rFonts w:hint="cs"/>
          <w:rtl/>
        </w:rPr>
        <w:t xml:space="preserve">שירות </w:t>
      </w:r>
      <w:bookmarkStart w:id="10270" w:name="_ETM_Q11_679500"/>
      <w:bookmarkEnd w:id="10270"/>
      <w:r>
        <w:rPr>
          <w:rFonts w:hint="cs"/>
          <w:rtl/>
        </w:rPr>
        <w:t xml:space="preserve">הביטחון </w:t>
      </w:r>
      <w:bookmarkStart w:id="10271" w:name="_ETM_Q11_679920"/>
      <w:bookmarkEnd w:id="10271"/>
      <w:r>
        <w:rPr>
          <w:rFonts w:hint="cs"/>
          <w:rtl/>
        </w:rPr>
        <w:t xml:space="preserve">הכללי, </w:t>
      </w:r>
      <w:bookmarkStart w:id="10272" w:name="_ETM_Q11_681470"/>
      <w:bookmarkEnd w:id="10272"/>
      <w:r>
        <w:rPr>
          <w:rFonts w:hint="cs"/>
          <w:rtl/>
        </w:rPr>
        <w:t xml:space="preserve">יש </w:t>
      </w:r>
      <w:bookmarkStart w:id="10273" w:name="_ETM_Q11_681709"/>
      <w:bookmarkEnd w:id="10273"/>
      <w:r>
        <w:rPr>
          <w:rFonts w:hint="cs"/>
          <w:rtl/>
        </w:rPr>
        <w:t xml:space="preserve">כזה </w:t>
      </w:r>
      <w:bookmarkStart w:id="10274" w:name="_ETM_Q11_682040"/>
      <w:bookmarkEnd w:id="10274"/>
      <w:r>
        <w:rPr>
          <w:rFonts w:hint="cs"/>
          <w:rtl/>
        </w:rPr>
        <w:t xml:space="preserve">חוק. </w:t>
      </w:r>
      <w:bookmarkStart w:id="10275" w:name="_ETM_Q11_683219"/>
      <w:bookmarkEnd w:id="10275"/>
      <w:r>
        <w:rPr>
          <w:rFonts w:hint="cs"/>
          <w:rtl/>
        </w:rPr>
        <w:t xml:space="preserve">מה </w:t>
      </w:r>
      <w:bookmarkStart w:id="10276" w:name="_ETM_Q11_683579"/>
      <w:bookmarkEnd w:id="10276"/>
      <w:r>
        <w:rPr>
          <w:rFonts w:hint="cs"/>
          <w:rtl/>
        </w:rPr>
        <w:t xml:space="preserve">תפקידיו </w:t>
      </w:r>
      <w:bookmarkStart w:id="10277" w:name="_ETM_Q11_684299"/>
      <w:bookmarkEnd w:id="10277"/>
      <w:r>
        <w:rPr>
          <w:rFonts w:hint="cs"/>
          <w:rtl/>
        </w:rPr>
        <w:t>של</w:t>
      </w:r>
      <w:bookmarkStart w:id="10278" w:name="_ETM_Q11_684799"/>
      <w:bookmarkEnd w:id="10278"/>
      <w:r>
        <w:rPr>
          <w:rFonts w:hint="cs"/>
          <w:rtl/>
        </w:rPr>
        <w:t xml:space="preserve"> השב"כ?</w:t>
      </w:r>
      <w:bookmarkStart w:id="10279" w:name="_ETM_Q11_687426"/>
      <w:bookmarkEnd w:id="10279"/>
      <w:r>
        <w:rPr>
          <w:rFonts w:hint="cs"/>
          <w:rtl/>
        </w:rPr>
        <w:t xml:space="preserve"> </w:t>
      </w:r>
      <w:bookmarkStart w:id="10280" w:name="_ETM_Q11_686479"/>
      <w:bookmarkEnd w:id="10280"/>
      <w:r>
        <w:rPr>
          <w:rFonts w:hint="cs"/>
          <w:rtl/>
        </w:rPr>
        <w:t xml:space="preserve">כדאי </w:t>
      </w:r>
      <w:bookmarkStart w:id="10281" w:name="_ETM_Q11_686809"/>
      <w:bookmarkEnd w:id="10281"/>
      <w:r>
        <w:rPr>
          <w:rFonts w:hint="cs"/>
          <w:rtl/>
        </w:rPr>
        <w:t xml:space="preserve">מאוד להקשיב, </w:t>
      </w:r>
      <w:bookmarkStart w:id="10282" w:name="_ETM_Q11_687290"/>
      <w:bookmarkStart w:id="10283" w:name="_ETM_Q11_687989"/>
      <w:bookmarkEnd w:id="10282"/>
      <w:bookmarkEnd w:id="10283"/>
      <w:r>
        <w:rPr>
          <w:rFonts w:hint="cs"/>
          <w:rtl/>
        </w:rPr>
        <w:t xml:space="preserve">זה עושה </w:t>
      </w:r>
      <w:bookmarkStart w:id="10284" w:name="_ETM_Q11_688469"/>
      <w:bookmarkEnd w:id="10284"/>
      <w:r>
        <w:rPr>
          <w:rFonts w:hint="cs"/>
          <w:rtl/>
        </w:rPr>
        <w:t xml:space="preserve">הרבה </w:t>
      </w:r>
      <w:bookmarkStart w:id="10285" w:name="_ETM_Q11_688739"/>
      <w:bookmarkEnd w:id="10285"/>
      <w:r>
        <w:rPr>
          <w:rFonts w:hint="cs"/>
          <w:rtl/>
        </w:rPr>
        <w:t xml:space="preserve">מאוד </w:t>
      </w:r>
      <w:bookmarkStart w:id="10286" w:name="_ETM_Q11_688919"/>
      <w:bookmarkEnd w:id="10286"/>
      <w:r>
        <w:rPr>
          <w:rFonts w:hint="cs"/>
          <w:rtl/>
        </w:rPr>
        <w:t xml:space="preserve">שכל. </w:t>
      </w:r>
      <w:bookmarkStart w:id="10287" w:name="_ETM_Q11_689730"/>
      <w:bookmarkEnd w:id="10287"/>
      <w:r>
        <w:rPr>
          <w:rFonts w:hint="cs"/>
          <w:rtl/>
        </w:rPr>
        <w:t xml:space="preserve">ואני </w:t>
      </w:r>
      <w:bookmarkStart w:id="10288" w:name="_ETM_Q11_690060"/>
      <w:bookmarkEnd w:id="10288"/>
      <w:r>
        <w:rPr>
          <w:rFonts w:hint="cs"/>
          <w:rtl/>
        </w:rPr>
        <w:t xml:space="preserve">חלילה </w:t>
      </w:r>
      <w:bookmarkStart w:id="10289" w:name="_ETM_Q11_690480"/>
      <w:bookmarkEnd w:id="10289"/>
      <w:r>
        <w:rPr>
          <w:rFonts w:hint="cs"/>
          <w:rtl/>
        </w:rPr>
        <w:t xml:space="preserve">לא </w:t>
      </w:r>
      <w:bookmarkStart w:id="10290" w:name="_ETM_Q11_690749"/>
      <w:bookmarkEnd w:id="10290"/>
      <w:r>
        <w:rPr>
          <w:rFonts w:hint="cs"/>
          <w:rtl/>
        </w:rPr>
        <w:t xml:space="preserve">אומרת </w:t>
      </w:r>
      <w:bookmarkStart w:id="10291" w:name="_ETM_Q11_691290"/>
      <w:bookmarkEnd w:id="10291"/>
      <w:r>
        <w:rPr>
          <w:rFonts w:hint="cs"/>
          <w:rtl/>
        </w:rPr>
        <w:t xml:space="preserve">שהשב"כ </w:t>
      </w:r>
      <w:bookmarkStart w:id="10292" w:name="_ETM_Q11_691889"/>
      <w:bookmarkEnd w:id="10292"/>
      <w:r>
        <w:rPr>
          <w:rFonts w:hint="cs"/>
          <w:rtl/>
        </w:rPr>
        <w:t xml:space="preserve">צריך </w:t>
      </w:r>
      <w:bookmarkStart w:id="10293" w:name="_ETM_Q11_692189"/>
      <w:bookmarkEnd w:id="10293"/>
      <w:r>
        <w:rPr>
          <w:rFonts w:hint="cs"/>
          <w:rtl/>
        </w:rPr>
        <w:t xml:space="preserve">להתערב, </w:t>
      </w:r>
      <w:bookmarkStart w:id="10294" w:name="_ETM_Q11_693620"/>
      <w:bookmarkEnd w:id="10294"/>
      <w:r>
        <w:rPr>
          <w:rFonts w:hint="cs"/>
          <w:rtl/>
        </w:rPr>
        <w:t>חלילה. אבל:</w:t>
      </w:r>
      <w:bookmarkStart w:id="10295" w:name="_ETM_Q11_695756"/>
      <w:bookmarkEnd w:id="10295"/>
      <w:r>
        <w:rPr>
          <w:rFonts w:hint="cs"/>
          <w:rtl/>
        </w:rPr>
        <w:t xml:space="preserve"> "ה</w:t>
      </w:r>
      <w:bookmarkStart w:id="10296" w:name="_ETM_Q11_694569"/>
      <w:bookmarkEnd w:id="10296"/>
      <w:r>
        <w:rPr>
          <w:rFonts w:hint="cs"/>
          <w:rtl/>
        </w:rPr>
        <w:t xml:space="preserve">שירות מופקד על שמירת ביטחון המדינה, סדרי המשטר הדמוקרטי ומוסדותיו, מפני איומי טרור, ריגול, חתרנות, חבלה וחשיפת סודות מדינה; כן יפעל השירות לשמירה ולקידום של אינטרסים ממלכתיים חיוניים אחרים לביטחון הלאומי של המדינה, והכל כפי שתקבע הממשלה ובכפוף לכל דין". </w:t>
      </w:r>
      <w:bookmarkStart w:id="10297" w:name="_ETM_Q11_730569"/>
      <w:bookmarkEnd w:id="10297"/>
      <w:r>
        <w:rPr>
          <w:rFonts w:hint="cs"/>
          <w:rtl/>
        </w:rPr>
        <w:t xml:space="preserve">כפוף </w:t>
      </w:r>
      <w:bookmarkStart w:id="10298" w:name="_ETM_Q11_731290"/>
      <w:bookmarkEnd w:id="10298"/>
      <w:r>
        <w:rPr>
          <w:rFonts w:hint="cs"/>
          <w:rtl/>
        </w:rPr>
        <w:t xml:space="preserve">לכל </w:t>
      </w:r>
      <w:bookmarkStart w:id="10299" w:name="_ETM_Q11_732010"/>
      <w:bookmarkEnd w:id="10299"/>
      <w:r>
        <w:rPr>
          <w:rFonts w:hint="cs"/>
          <w:rtl/>
        </w:rPr>
        <w:t xml:space="preserve">דין </w:t>
      </w:r>
      <w:bookmarkStart w:id="10300" w:name="_ETM_Q11_732559"/>
      <w:bookmarkEnd w:id="10300"/>
      <w:r>
        <w:rPr>
          <w:rFonts w:hint="cs"/>
          <w:rtl/>
        </w:rPr>
        <w:t xml:space="preserve">ולממשלה. </w:t>
      </w:r>
      <w:bookmarkStart w:id="10301" w:name="_ETM_Q11_734230"/>
      <w:bookmarkStart w:id="10302" w:name="_ETM_Q11_734590"/>
      <w:bookmarkEnd w:id="10301"/>
      <w:bookmarkEnd w:id="10302"/>
      <w:r>
        <w:rPr>
          <w:rFonts w:hint="cs"/>
          <w:rtl/>
        </w:rPr>
        <w:t xml:space="preserve">מה </w:t>
      </w:r>
      <w:bookmarkStart w:id="10303" w:name="_ETM_Q11_734770"/>
      <w:bookmarkEnd w:id="10303"/>
      <w:r>
        <w:rPr>
          <w:rFonts w:hint="cs"/>
          <w:rtl/>
        </w:rPr>
        <w:t xml:space="preserve">יקרה </w:t>
      </w:r>
      <w:bookmarkStart w:id="10304" w:name="_ETM_Q11_735190"/>
      <w:bookmarkEnd w:id="10304"/>
      <w:r>
        <w:rPr>
          <w:rFonts w:hint="cs"/>
          <w:rtl/>
        </w:rPr>
        <w:t xml:space="preserve">עכשיו, כשהממשלה </w:t>
      </w:r>
      <w:bookmarkStart w:id="10305" w:name="_ETM_Q11_735910"/>
      <w:bookmarkStart w:id="10306" w:name="_ETM_Q11_736300"/>
      <w:bookmarkEnd w:id="10305"/>
      <w:bookmarkEnd w:id="10306"/>
      <w:r>
        <w:rPr>
          <w:rFonts w:hint="cs"/>
          <w:rtl/>
        </w:rPr>
        <w:t xml:space="preserve">משנה </w:t>
      </w:r>
      <w:bookmarkStart w:id="10307" w:name="_ETM_Q11_736840"/>
      <w:bookmarkEnd w:id="10307"/>
      <w:r>
        <w:rPr>
          <w:rFonts w:hint="cs"/>
          <w:rtl/>
        </w:rPr>
        <w:t xml:space="preserve">חוקים </w:t>
      </w:r>
      <w:bookmarkStart w:id="10308" w:name="_ETM_Q11_737980"/>
      <w:bookmarkEnd w:id="10308"/>
      <w:r>
        <w:rPr>
          <w:rFonts w:hint="cs"/>
          <w:rtl/>
        </w:rPr>
        <w:t xml:space="preserve">ומשנה </w:t>
      </w:r>
      <w:bookmarkStart w:id="10309" w:name="_ETM_Q11_738670"/>
      <w:bookmarkEnd w:id="10309"/>
      <w:r>
        <w:rPr>
          <w:rFonts w:hint="cs"/>
          <w:rtl/>
        </w:rPr>
        <w:t xml:space="preserve">לנו </w:t>
      </w:r>
      <w:bookmarkStart w:id="10310" w:name="_ETM_Q11_739180"/>
      <w:bookmarkStart w:id="10311" w:name="_ETM_Q11_739510"/>
      <w:bookmarkEnd w:id="10310"/>
      <w:bookmarkEnd w:id="10311"/>
      <w:r>
        <w:rPr>
          <w:rFonts w:hint="cs"/>
          <w:rtl/>
        </w:rPr>
        <w:t xml:space="preserve">פה סדרי </w:t>
      </w:r>
      <w:bookmarkStart w:id="10312" w:name="_ETM_Q11_740110"/>
      <w:bookmarkEnd w:id="10312"/>
      <w:r>
        <w:rPr>
          <w:rFonts w:hint="cs"/>
          <w:rtl/>
        </w:rPr>
        <w:t xml:space="preserve">עולם </w:t>
      </w:r>
      <w:bookmarkStart w:id="10313" w:name="_ETM_Q11_740890"/>
      <w:bookmarkStart w:id="10314" w:name="_ETM_Q11_741710"/>
      <w:bookmarkEnd w:id="10313"/>
      <w:bookmarkEnd w:id="10314"/>
      <w:r>
        <w:rPr>
          <w:rFonts w:hint="cs"/>
          <w:rtl/>
        </w:rPr>
        <w:t xml:space="preserve">וגם </w:t>
      </w:r>
      <w:bookmarkStart w:id="10315" w:name="_ETM_Q11_742280"/>
      <w:bookmarkEnd w:id="10315"/>
      <w:r>
        <w:rPr>
          <w:rFonts w:hint="cs"/>
          <w:rtl/>
        </w:rPr>
        <w:t xml:space="preserve">את </w:t>
      </w:r>
      <w:bookmarkStart w:id="10316" w:name="_ETM_Q11_741488"/>
      <w:bookmarkEnd w:id="10316"/>
      <w:r>
        <w:rPr>
          <w:rFonts w:hint="cs"/>
          <w:rtl/>
        </w:rPr>
        <w:t xml:space="preserve">שיטת </w:t>
      </w:r>
      <w:bookmarkStart w:id="10317" w:name="_ETM_Q11_742729"/>
      <w:bookmarkEnd w:id="10317"/>
      <w:r>
        <w:rPr>
          <w:rFonts w:hint="cs"/>
          <w:rtl/>
        </w:rPr>
        <w:t xml:space="preserve">הממשל </w:t>
      </w:r>
      <w:bookmarkStart w:id="10318" w:name="_ETM_Q11_743330"/>
      <w:bookmarkEnd w:id="10318"/>
      <w:r>
        <w:rPr>
          <w:rFonts w:hint="cs"/>
          <w:rtl/>
        </w:rPr>
        <w:t xml:space="preserve">שלנו, </w:t>
      </w:r>
      <w:bookmarkStart w:id="10319" w:name="_ETM_Q11_744450"/>
      <w:bookmarkStart w:id="10320" w:name="_ETM_Q11_744750"/>
      <w:bookmarkEnd w:id="10319"/>
      <w:bookmarkEnd w:id="10320"/>
      <w:r>
        <w:rPr>
          <w:rFonts w:hint="cs"/>
          <w:rtl/>
        </w:rPr>
        <w:t xml:space="preserve">והופכת </w:t>
      </w:r>
      <w:bookmarkStart w:id="10321" w:name="_ETM_Q11_745170"/>
      <w:bookmarkEnd w:id="10321"/>
      <w:r>
        <w:rPr>
          <w:rFonts w:hint="cs"/>
          <w:rtl/>
        </w:rPr>
        <w:t xml:space="preserve">אותנו </w:t>
      </w:r>
      <w:bookmarkStart w:id="10322" w:name="_ETM_Q11_745530"/>
      <w:bookmarkEnd w:id="10322"/>
      <w:r>
        <w:rPr>
          <w:rFonts w:hint="cs"/>
          <w:rtl/>
        </w:rPr>
        <w:t>מ</w:t>
      </w:r>
      <w:bookmarkStart w:id="10323" w:name="_ETM_Q11_744735"/>
      <w:bookmarkEnd w:id="10323"/>
      <w:r>
        <w:rPr>
          <w:rFonts w:hint="cs"/>
          <w:rtl/>
        </w:rPr>
        <w:t xml:space="preserve">דמוקרטיה – </w:t>
      </w:r>
      <w:bookmarkStart w:id="10324" w:name="_ETM_Q11_746490"/>
      <w:bookmarkEnd w:id="10324"/>
      <w:r>
        <w:rPr>
          <w:rFonts w:hint="cs"/>
          <w:rtl/>
        </w:rPr>
        <w:t xml:space="preserve">וגם </w:t>
      </w:r>
      <w:bookmarkStart w:id="10325" w:name="_ETM_Q11_746730"/>
      <w:bookmarkEnd w:id="10325"/>
      <w:r>
        <w:rPr>
          <w:rFonts w:hint="cs"/>
          <w:rtl/>
        </w:rPr>
        <w:t xml:space="preserve">ככה </w:t>
      </w:r>
      <w:bookmarkStart w:id="10326" w:name="_ETM_Q11_747059"/>
      <w:bookmarkEnd w:id="10326"/>
      <w:r>
        <w:rPr>
          <w:rFonts w:hint="cs"/>
          <w:rtl/>
        </w:rPr>
        <w:t xml:space="preserve">הדמוקרטיה </w:t>
      </w:r>
      <w:bookmarkStart w:id="10327" w:name="_ETM_Q11_747809"/>
      <w:bookmarkEnd w:id="10327"/>
      <w:r>
        <w:rPr>
          <w:rFonts w:hint="cs"/>
          <w:rtl/>
        </w:rPr>
        <w:t xml:space="preserve">לא </w:t>
      </w:r>
      <w:bookmarkStart w:id="10328" w:name="_ETM_Q11_747929"/>
      <w:bookmarkEnd w:id="10328"/>
      <w:r>
        <w:rPr>
          <w:rFonts w:hint="cs"/>
          <w:rtl/>
        </w:rPr>
        <w:t xml:space="preserve">חזקה מי </w:t>
      </w:r>
      <w:bookmarkStart w:id="10329" w:name="_ETM_Q11_748050"/>
      <w:bookmarkEnd w:id="10329"/>
      <w:r>
        <w:rPr>
          <w:rFonts w:hint="cs"/>
          <w:rtl/>
        </w:rPr>
        <w:t xml:space="preserve">יודע </w:t>
      </w:r>
      <w:bookmarkStart w:id="10330" w:name="_ETM_Q11_748320"/>
      <w:bookmarkEnd w:id="10330"/>
      <w:r>
        <w:rPr>
          <w:rFonts w:hint="cs"/>
          <w:rtl/>
        </w:rPr>
        <w:t>מה</w:t>
      </w:r>
      <w:bookmarkStart w:id="10331" w:name="_ETM_Q11_748470"/>
      <w:bookmarkStart w:id="10332" w:name="_ETM_Q11_748530"/>
      <w:bookmarkEnd w:id="10331"/>
      <w:bookmarkEnd w:id="10332"/>
      <w:r>
        <w:rPr>
          <w:rFonts w:hint="cs"/>
          <w:rtl/>
        </w:rPr>
        <w:t xml:space="preserve"> – </w:t>
      </w:r>
      <w:bookmarkStart w:id="10333" w:name="_ETM_Q11_749580"/>
      <w:bookmarkEnd w:id="10333"/>
      <w:r>
        <w:rPr>
          <w:rFonts w:hint="cs"/>
          <w:rtl/>
        </w:rPr>
        <w:t xml:space="preserve">למשהו </w:t>
      </w:r>
      <w:bookmarkStart w:id="10334" w:name="_ETM_Q11_750150"/>
      <w:bookmarkEnd w:id="10334"/>
      <w:r>
        <w:rPr>
          <w:rFonts w:hint="cs"/>
          <w:rtl/>
        </w:rPr>
        <w:t xml:space="preserve">אחר </w:t>
      </w:r>
      <w:bookmarkStart w:id="10335" w:name="_ETM_Q11_750480"/>
      <w:bookmarkEnd w:id="10335"/>
      <w:r>
        <w:rPr>
          <w:rFonts w:hint="cs"/>
          <w:rtl/>
        </w:rPr>
        <w:t xml:space="preserve">לגמרי? </w:t>
      </w:r>
      <w:bookmarkStart w:id="10336" w:name="_ETM_Q11_752790"/>
      <w:bookmarkStart w:id="10337" w:name="_ETM_Q11_755581"/>
      <w:bookmarkStart w:id="10338" w:name="_ETM_Q11_755618"/>
      <w:bookmarkStart w:id="10339" w:name="_ETM_Q11_755939"/>
      <w:bookmarkStart w:id="10340" w:name="_ETM_Q11_755974"/>
      <w:bookmarkEnd w:id="10336"/>
      <w:bookmarkEnd w:id="10337"/>
      <w:bookmarkEnd w:id="10338"/>
      <w:bookmarkEnd w:id="10339"/>
      <w:bookmarkEnd w:id="10340"/>
      <w:r>
        <w:rPr>
          <w:rFonts w:hint="cs"/>
          <w:rtl/>
        </w:rPr>
        <w:t xml:space="preserve">ואני </w:t>
      </w:r>
      <w:bookmarkStart w:id="10341" w:name="_ETM_Q11_753090"/>
      <w:bookmarkEnd w:id="10341"/>
      <w:r>
        <w:rPr>
          <w:rFonts w:hint="cs"/>
          <w:rtl/>
        </w:rPr>
        <w:t xml:space="preserve">ממשיכה: </w:t>
      </w:r>
      <w:bookmarkStart w:id="10342" w:name="_ETM_Q11_754710"/>
      <w:bookmarkStart w:id="10343" w:name="_ETM_Q11_754830"/>
      <w:bookmarkStart w:id="10344" w:name="_ETM_Q11_755250"/>
      <w:bookmarkEnd w:id="10342"/>
      <w:bookmarkEnd w:id="10343"/>
      <w:bookmarkEnd w:id="10344"/>
      <w:r>
        <w:rPr>
          <w:rFonts w:hint="cs"/>
          <w:rtl/>
        </w:rPr>
        <w:t xml:space="preserve">"ימלא השירות </w:t>
      </w:r>
      <w:bookmarkStart w:id="10345" w:name="_ETM_Q11_755880"/>
      <w:bookmarkStart w:id="10346" w:name="_ETM_Q11_753037"/>
      <w:bookmarkEnd w:id="10345"/>
      <w:bookmarkEnd w:id="10346"/>
      <w:r>
        <w:rPr>
          <w:rFonts w:hint="cs"/>
          <w:rtl/>
        </w:rPr>
        <w:t xml:space="preserve">תפקידים </w:t>
      </w:r>
      <w:bookmarkStart w:id="10347" w:name="_ETM_Q11_756690"/>
      <w:bookmarkStart w:id="10348" w:name="_ETM_Q11_757380"/>
      <w:bookmarkEnd w:id="10347"/>
      <w:bookmarkEnd w:id="10348"/>
      <w:r>
        <w:rPr>
          <w:rFonts w:hint="cs"/>
          <w:rtl/>
        </w:rPr>
        <w:t xml:space="preserve">אלה: </w:t>
      </w:r>
      <w:bookmarkStart w:id="10349" w:name="_ETM_Q11_758279"/>
      <w:bookmarkEnd w:id="10349"/>
      <w:r>
        <w:rPr>
          <w:rFonts w:hint="cs"/>
          <w:rtl/>
        </w:rPr>
        <w:t xml:space="preserve">סיכול </w:t>
      </w:r>
      <w:bookmarkStart w:id="10350" w:name="_ETM_Q11_758789"/>
      <w:bookmarkEnd w:id="10350"/>
      <w:r>
        <w:rPr>
          <w:rFonts w:hint="cs"/>
          <w:rtl/>
        </w:rPr>
        <w:t xml:space="preserve">ומניעה </w:t>
      </w:r>
      <w:bookmarkStart w:id="10351" w:name="_ETM_Q11_759659"/>
      <w:bookmarkEnd w:id="10351"/>
      <w:r>
        <w:rPr>
          <w:rFonts w:hint="cs"/>
          <w:rtl/>
        </w:rPr>
        <w:t xml:space="preserve">של </w:t>
      </w:r>
      <w:bookmarkStart w:id="10352" w:name="_ETM_Q11_759929"/>
      <w:bookmarkEnd w:id="10352"/>
      <w:r>
        <w:rPr>
          <w:rFonts w:hint="cs"/>
          <w:rtl/>
        </w:rPr>
        <w:t xml:space="preserve">פעילות </w:t>
      </w:r>
      <w:bookmarkStart w:id="10353" w:name="_ETM_Q11_760379"/>
      <w:bookmarkEnd w:id="10353"/>
      <w:r>
        <w:rPr>
          <w:rFonts w:hint="cs"/>
          <w:rtl/>
        </w:rPr>
        <w:t xml:space="preserve">בלתי </w:t>
      </w:r>
      <w:bookmarkStart w:id="10354" w:name="_ETM_Q11_760770"/>
      <w:bookmarkEnd w:id="10354"/>
      <w:r>
        <w:rPr>
          <w:rFonts w:hint="cs"/>
          <w:rtl/>
        </w:rPr>
        <w:t xml:space="preserve">חוקית </w:t>
      </w:r>
      <w:bookmarkStart w:id="10355" w:name="_ETM_Q11_762759"/>
      <w:bookmarkEnd w:id="10355"/>
      <w:r>
        <w:rPr>
          <w:rFonts w:hint="cs"/>
          <w:rtl/>
        </w:rPr>
        <w:t xml:space="preserve">שמטרתה </w:t>
      </w:r>
      <w:bookmarkStart w:id="10356" w:name="_ETM_Q11_763809"/>
      <w:bookmarkEnd w:id="10356"/>
      <w:r>
        <w:rPr>
          <w:rFonts w:hint="cs"/>
          <w:rtl/>
        </w:rPr>
        <w:t xml:space="preserve">לפגוע </w:t>
      </w:r>
      <w:bookmarkStart w:id="10357" w:name="_ETM_Q11_764440"/>
      <w:bookmarkEnd w:id="10357"/>
      <w:r>
        <w:rPr>
          <w:rFonts w:hint="cs"/>
          <w:rtl/>
        </w:rPr>
        <w:t xml:space="preserve">בביטחון </w:t>
      </w:r>
      <w:bookmarkStart w:id="10358" w:name="_ETM_Q11_765069"/>
      <w:bookmarkEnd w:id="10358"/>
      <w:r>
        <w:rPr>
          <w:rFonts w:hint="cs"/>
          <w:rtl/>
        </w:rPr>
        <w:t xml:space="preserve">המדינה, </w:t>
      </w:r>
      <w:bookmarkStart w:id="10359" w:name="_ETM_Q11_765880"/>
      <w:bookmarkEnd w:id="10359"/>
      <w:r>
        <w:rPr>
          <w:rFonts w:hint="cs"/>
          <w:rtl/>
        </w:rPr>
        <w:t xml:space="preserve">בסדרי </w:t>
      </w:r>
      <w:bookmarkStart w:id="10360" w:name="_ETM_Q11_766599"/>
      <w:bookmarkEnd w:id="10360"/>
      <w:r>
        <w:rPr>
          <w:rFonts w:hint="cs"/>
          <w:rtl/>
        </w:rPr>
        <w:t xml:space="preserve">המשטר </w:t>
      </w:r>
      <w:bookmarkStart w:id="10361" w:name="_ETM_Q11_767259"/>
      <w:bookmarkEnd w:id="10361"/>
      <w:r>
        <w:rPr>
          <w:rFonts w:hint="cs"/>
          <w:rtl/>
        </w:rPr>
        <w:t xml:space="preserve">הדמוקרטי </w:t>
      </w:r>
      <w:bookmarkStart w:id="10362" w:name="_ETM_Q11_768759"/>
      <w:bookmarkEnd w:id="10362"/>
      <w:r>
        <w:rPr>
          <w:rFonts w:hint="cs"/>
          <w:rtl/>
        </w:rPr>
        <w:t xml:space="preserve">או במוסדותיו". </w:t>
      </w:r>
      <w:bookmarkStart w:id="10363" w:name="_ETM_Q11_771770"/>
      <w:bookmarkEnd w:id="10363"/>
      <w:r>
        <w:rPr>
          <w:rFonts w:hint="cs"/>
          <w:rtl/>
        </w:rPr>
        <w:t xml:space="preserve">זה </w:t>
      </w:r>
      <w:bookmarkStart w:id="10364" w:name="_ETM_Q11_771979"/>
      <w:bookmarkEnd w:id="10364"/>
      <w:r>
        <w:rPr>
          <w:rFonts w:hint="cs"/>
          <w:rtl/>
        </w:rPr>
        <w:t xml:space="preserve">כתוב </w:t>
      </w:r>
      <w:bookmarkStart w:id="10365" w:name="_ETM_Q11_772370"/>
      <w:bookmarkEnd w:id="10365"/>
      <w:r>
        <w:rPr>
          <w:rFonts w:hint="cs"/>
          <w:rtl/>
        </w:rPr>
        <w:t xml:space="preserve">אצלנו </w:t>
      </w:r>
      <w:bookmarkStart w:id="10366" w:name="_ETM_Q11_772789"/>
      <w:bookmarkEnd w:id="10366"/>
      <w:r>
        <w:rPr>
          <w:rFonts w:hint="cs"/>
          <w:rtl/>
        </w:rPr>
        <w:t xml:space="preserve">בספר </w:t>
      </w:r>
      <w:bookmarkStart w:id="10367" w:name="_ETM_Q11_773240"/>
      <w:bookmarkEnd w:id="10367"/>
      <w:r>
        <w:rPr>
          <w:rFonts w:hint="cs"/>
          <w:rtl/>
        </w:rPr>
        <w:t xml:space="preserve">החוקים. </w:t>
      </w:r>
      <w:bookmarkStart w:id="10368" w:name="_ETM_Q11_775160"/>
      <w:bookmarkStart w:id="10369" w:name="_ETM_Q11_775780"/>
      <w:bookmarkStart w:id="10370" w:name="_ETM_Q11_778645"/>
      <w:bookmarkStart w:id="10371" w:name="_ETM_Q11_774519"/>
      <w:bookmarkStart w:id="10372" w:name="_ETM_Q11_778683"/>
      <w:bookmarkStart w:id="10373" w:name="ET_typistreplace_אחרי_כן_אימ_15_07_3"/>
      <w:bookmarkEnd w:id="10368"/>
      <w:bookmarkEnd w:id="10369"/>
      <w:bookmarkEnd w:id="10370"/>
      <w:bookmarkEnd w:id="10371"/>
      <w:bookmarkEnd w:id="10372"/>
    </w:p>
    <w:p w:rsidR="000C5C1F" w:rsidRDefault="000C5C1F" w:rsidP="000C5C1F">
      <w:pPr>
        <w:rPr>
          <w:rtl/>
        </w:rPr>
      </w:pPr>
    </w:p>
    <w:p w:rsidR="000C5C1F" w:rsidRDefault="000C5C1F" w:rsidP="000C5C1F">
      <w:pPr>
        <w:rPr>
          <w:rtl/>
        </w:rPr>
      </w:pPr>
      <w:bookmarkStart w:id="10374" w:name="TOR_Q12"/>
      <w:bookmarkEnd w:id="10373"/>
      <w:bookmarkEnd w:id="10374"/>
      <w:r>
        <w:rPr>
          <w:rFonts w:hint="cs"/>
          <w:rtl/>
        </w:rPr>
        <w:t xml:space="preserve">לא, </w:t>
      </w:r>
      <w:bookmarkStart w:id="10375" w:name="_ETM_Q11_776110"/>
      <w:bookmarkEnd w:id="10375"/>
      <w:r>
        <w:rPr>
          <w:rFonts w:hint="cs"/>
          <w:rtl/>
        </w:rPr>
        <w:t xml:space="preserve">אני </w:t>
      </w:r>
      <w:bookmarkStart w:id="10376" w:name="_ETM_Q11_776320"/>
      <w:bookmarkEnd w:id="10376"/>
      <w:r>
        <w:rPr>
          <w:rFonts w:hint="cs"/>
          <w:rtl/>
        </w:rPr>
        <w:t xml:space="preserve">לא </w:t>
      </w:r>
      <w:bookmarkStart w:id="10377" w:name="_ETM_Q11_777070"/>
      <w:bookmarkEnd w:id="10377"/>
      <w:r>
        <w:rPr>
          <w:rFonts w:hint="cs"/>
          <w:rtl/>
        </w:rPr>
        <w:t xml:space="preserve">פונה </w:t>
      </w:r>
      <w:bookmarkStart w:id="10378" w:name="_ETM_Q11_777460"/>
      <w:bookmarkEnd w:id="10378"/>
      <w:r>
        <w:rPr>
          <w:rFonts w:hint="cs"/>
          <w:rtl/>
        </w:rPr>
        <w:t xml:space="preserve">לשירות </w:t>
      </w:r>
      <w:bookmarkStart w:id="10379" w:name="_ETM_Q11_777910"/>
      <w:bookmarkEnd w:id="10379"/>
      <w:r>
        <w:rPr>
          <w:rFonts w:hint="cs"/>
          <w:rtl/>
        </w:rPr>
        <w:t xml:space="preserve">הביטחון </w:t>
      </w:r>
      <w:bookmarkStart w:id="10380" w:name="_ETM_Q11_779229"/>
      <w:bookmarkEnd w:id="10380"/>
      <w:r>
        <w:rPr>
          <w:rFonts w:hint="cs"/>
          <w:rtl/>
        </w:rPr>
        <w:t xml:space="preserve">הלאומי </w:t>
      </w:r>
      <w:bookmarkStart w:id="10381" w:name="_ETM_Q11_779620"/>
      <w:bookmarkEnd w:id="10381"/>
      <w:r>
        <w:rPr>
          <w:rFonts w:hint="cs"/>
          <w:rtl/>
        </w:rPr>
        <w:t xml:space="preserve">שלנו, </w:t>
      </w:r>
      <w:bookmarkStart w:id="10382" w:name="_ETM_Q11_780100"/>
      <w:bookmarkEnd w:id="10382"/>
      <w:r>
        <w:rPr>
          <w:rFonts w:hint="cs"/>
          <w:rtl/>
        </w:rPr>
        <w:t xml:space="preserve">לשב"כ, </w:t>
      </w:r>
      <w:bookmarkStart w:id="10383" w:name="_ETM_Q12_180149"/>
      <w:bookmarkStart w:id="10384" w:name="_ETM_Q12_180599"/>
      <w:bookmarkStart w:id="10385" w:name="_ETM_Q12_181810"/>
      <w:bookmarkEnd w:id="10383"/>
      <w:bookmarkEnd w:id="10384"/>
      <w:bookmarkEnd w:id="10385"/>
      <w:r>
        <w:rPr>
          <w:rFonts w:hint="cs"/>
          <w:rtl/>
        </w:rPr>
        <w:t xml:space="preserve">להתערב </w:t>
      </w:r>
      <w:bookmarkStart w:id="10386" w:name="_ETM_Q12_182409"/>
      <w:bookmarkEnd w:id="10386"/>
      <w:r>
        <w:rPr>
          <w:rFonts w:hint="cs"/>
          <w:rtl/>
        </w:rPr>
        <w:t>במ</w:t>
      </w:r>
      <w:bookmarkStart w:id="10387" w:name="_ETM_Q12_700668"/>
      <w:bookmarkEnd w:id="10387"/>
      <w:r>
        <w:rPr>
          <w:rFonts w:hint="cs"/>
          <w:rtl/>
        </w:rPr>
        <w:t xml:space="preserve">ה </w:t>
      </w:r>
      <w:bookmarkStart w:id="10388" w:name="_ETM_Q12_182710"/>
      <w:bookmarkEnd w:id="10388"/>
      <w:r>
        <w:rPr>
          <w:rFonts w:hint="cs"/>
          <w:rtl/>
        </w:rPr>
        <w:t xml:space="preserve">שקורה. </w:t>
      </w:r>
      <w:bookmarkStart w:id="10389" w:name="_ETM_Q12_185200"/>
      <w:bookmarkEnd w:id="10389"/>
      <w:r>
        <w:rPr>
          <w:rFonts w:hint="cs"/>
          <w:rtl/>
        </w:rPr>
        <w:t xml:space="preserve">אבל </w:t>
      </w:r>
      <w:bookmarkStart w:id="10390" w:name="_ETM_Q12_185620"/>
      <w:bookmarkEnd w:id="10390"/>
      <w:r>
        <w:rPr>
          <w:rFonts w:hint="cs"/>
          <w:rtl/>
        </w:rPr>
        <w:t xml:space="preserve">כשאנחנו </w:t>
      </w:r>
      <w:bookmarkStart w:id="10391" w:name="_ETM_Q12_186160"/>
      <w:bookmarkEnd w:id="10391"/>
      <w:r>
        <w:rPr>
          <w:rFonts w:hint="cs"/>
          <w:rtl/>
        </w:rPr>
        <w:t xml:space="preserve">נעתור </w:t>
      </w:r>
      <w:bookmarkStart w:id="10392" w:name="_ETM_Q12_186549"/>
      <w:bookmarkEnd w:id="10392"/>
      <w:r>
        <w:rPr>
          <w:rFonts w:hint="cs"/>
          <w:rtl/>
        </w:rPr>
        <w:t>לבג"ץ</w:t>
      </w:r>
      <w:bookmarkStart w:id="10393" w:name="_ETM_Q12_187930"/>
      <w:bookmarkEnd w:id="10393"/>
      <w:r>
        <w:rPr>
          <w:rFonts w:hint="cs"/>
          <w:rtl/>
        </w:rPr>
        <w:t xml:space="preserve"> נגד </w:t>
      </w:r>
      <w:bookmarkStart w:id="10394" w:name="_ETM_Q12_190660"/>
      <w:bookmarkEnd w:id="10394"/>
      <w:r>
        <w:rPr>
          <w:rFonts w:hint="cs"/>
          <w:rtl/>
        </w:rPr>
        <w:t xml:space="preserve">החוק </w:t>
      </w:r>
      <w:bookmarkStart w:id="10395" w:name="_ETM_Q12_191049"/>
      <w:bookmarkEnd w:id="10395"/>
      <w:r>
        <w:rPr>
          <w:rFonts w:hint="cs"/>
          <w:rtl/>
        </w:rPr>
        <w:t xml:space="preserve">הזה – </w:t>
      </w:r>
      <w:bookmarkStart w:id="10396" w:name="_ETM_Q12_188440"/>
      <w:bookmarkEnd w:id="10396"/>
      <w:r>
        <w:rPr>
          <w:rFonts w:hint="cs"/>
          <w:rtl/>
        </w:rPr>
        <w:t xml:space="preserve">ובטח </w:t>
      </w:r>
      <w:bookmarkStart w:id="10397" w:name="_ETM_Q12_186089"/>
      <w:bookmarkEnd w:id="10397"/>
      <w:r>
        <w:rPr>
          <w:rFonts w:hint="cs"/>
          <w:rtl/>
        </w:rPr>
        <w:t xml:space="preserve">גם </w:t>
      </w:r>
      <w:bookmarkStart w:id="10398" w:name="_ETM_Q12_188650"/>
      <w:bookmarkEnd w:id="10398"/>
      <w:r>
        <w:rPr>
          <w:rFonts w:hint="cs"/>
          <w:rtl/>
        </w:rPr>
        <w:t xml:space="preserve">החברה </w:t>
      </w:r>
      <w:bookmarkStart w:id="10399" w:name="_ETM_Q12_188980"/>
      <w:bookmarkEnd w:id="10399"/>
      <w:r>
        <w:rPr>
          <w:rFonts w:hint="cs"/>
          <w:rtl/>
        </w:rPr>
        <w:t xml:space="preserve">האזרחית </w:t>
      </w:r>
      <w:bookmarkStart w:id="10400" w:name="_ETM_Q12_189490"/>
      <w:bookmarkEnd w:id="10400"/>
      <w:r>
        <w:rPr>
          <w:rFonts w:hint="cs"/>
          <w:rtl/>
        </w:rPr>
        <w:t xml:space="preserve">תעתור </w:t>
      </w:r>
      <w:bookmarkStart w:id="10401" w:name="_ETM_Q12_189789"/>
      <w:bookmarkEnd w:id="10401"/>
      <w:r>
        <w:rPr>
          <w:rFonts w:hint="cs"/>
          <w:rtl/>
        </w:rPr>
        <w:t xml:space="preserve">לבג"ץ </w:t>
      </w:r>
      <w:bookmarkStart w:id="10402" w:name="_ETM_Q12_190330"/>
      <w:bookmarkEnd w:id="10402"/>
      <w:r>
        <w:rPr>
          <w:rFonts w:hint="cs"/>
          <w:rtl/>
        </w:rPr>
        <w:t>–</w:t>
      </w:r>
      <w:bookmarkStart w:id="10403" w:name="_ETM_Q12_193599"/>
      <w:bookmarkStart w:id="10404" w:name="_ETM_Q12_193929"/>
      <w:bookmarkEnd w:id="10403"/>
      <w:bookmarkEnd w:id="10404"/>
      <w:r>
        <w:rPr>
          <w:rFonts w:hint="cs"/>
          <w:rtl/>
        </w:rPr>
        <w:t xml:space="preserve"> ראשי </w:t>
      </w:r>
      <w:bookmarkStart w:id="10405" w:name="_ETM_Q12_194439"/>
      <w:bookmarkEnd w:id="10405"/>
      <w:r>
        <w:rPr>
          <w:rFonts w:hint="cs"/>
          <w:rtl/>
        </w:rPr>
        <w:t xml:space="preserve">מערכת </w:t>
      </w:r>
      <w:bookmarkStart w:id="10406" w:name="_ETM_Q12_194949"/>
      <w:bookmarkEnd w:id="10406"/>
      <w:r>
        <w:rPr>
          <w:rFonts w:hint="cs"/>
          <w:rtl/>
        </w:rPr>
        <w:t xml:space="preserve">הביטחון </w:t>
      </w:r>
      <w:bookmarkStart w:id="10407" w:name="_ETM_Q12_196239"/>
      <w:bookmarkEnd w:id="10407"/>
      <w:r>
        <w:rPr>
          <w:rFonts w:hint="cs"/>
          <w:rtl/>
        </w:rPr>
        <w:t xml:space="preserve">יצטרכו </w:t>
      </w:r>
      <w:bookmarkStart w:id="10408" w:name="_ETM_Q12_198380"/>
      <w:bookmarkEnd w:id="10408"/>
      <w:r>
        <w:rPr>
          <w:rFonts w:hint="cs"/>
          <w:rtl/>
        </w:rPr>
        <w:t xml:space="preserve">לקבל </w:t>
      </w:r>
      <w:bookmarkStart w:id="10409" w:name="_ETM_Q12_198859"/>
      <w:bookmarkEnd w:id="10409"/>
      <w:r>
        <w:rPr>
          <w:rFonts w:hint="cs"/>
          <w:rtl/>
        </w:rPr>
        <w:t xml:space="preserve">את </w:t>
      </w:r>
      <w:bookmarkStart w:id="10410" w:name="_ETM_Q12_199010"/>
      <w:bookmarkEnd w:id="10410"/>
      <w:r>
        <w:rPr>
          <w:rFonts w:hint="cs"/>
          <w:rtl/>
        </w:rPr>
        <w:t>הדין</w:t>
      </w:r>
      <w:bookmarkStart w:id="10411" w:name="_ETM_Q12_200370"/>
      <w:bookmarkEnd w:id="10411"/>
      <w:r>
        <w:rPr>
          <w:rFonts w:hint="cs"/>
          <w:rtl/>
        </w:rPr>
        <w:t xml:space="preserve"> של הממשלה </w:t>
      </w:r>
      <w:bookmarkStart w:id="10412" w:name="_ETM_Q12_201750"/>
      <w:bookmarkEnd w:id="10412"/>
      <w:r>
        <w:rPr>
          <w:rFonts w:hint="cs"/>
          <w:rtl/>
        </w:rPr>
        <w:t>והדין,</w:t>
      </w:r>
      <w:bookmarkStart w:id="10413" w:name="_ETM_Q12_198908"/>
      <w:bookmarkEnd w:id="10413"/>
      <w:r>
        <w:rPr>
          <w:rFonts w:hint="cs"/>
          <w:rtl/>
        </w:rPr>
        <w:t xml:space="preserve"> </w:t>
      </w:r>
      <w:bookmarkStart w:id="10414" w:name="_ETM_Q12_203869"/>
      <w:bookmarkEnd w:id="10414"/>
      <w:r>
        <w:rPr>
          <w:rFonts w:hint="cs"/>
          <w:rtl/>
        </w:rPr>
        <w:t xml:space="preserve">ומי </w:t>
      </w:r>
      <w:bookmarkStart w:id="10415" w:name="_ETM_Q12_204199"/>
      <w:bookmarkEnd w:id="10415"/>
      <w:r>
        <w:rPr>
          <w:rFonts w:hint="cs"/>
          <w:rtl/>
        </w:rPr>
        <w:t xml:space="preserve">שמוסמך </w:t>
      </w:r>
      <w:bookmarkStart w:id="10416" w:name="_ETM_Q12_205010"/>
      <w:bookmarkEnd w:id="10416"/>
      <w:r>
        <w:rPr>
          <w:rFonts w:hint="cs"/>
          <w:rtl/>
        </w:rPr>
        <w:t xml:space="preserve">לפרש </w:t>
      </w:r>
      <w:bookmarkStart w:id="10417" w:name="_ETM_Q12_205550"/>
      <w:bookmarkEnd w:id="10417"/>
      <w:r>
        <w:rPr>
          <w:rFonts w:hint="cs"/>
          <w:rtl/>
        </w:rPr>
        <w:t xml:space="preserve">את </w:t>
      </w:r>
      <w:bookmarkStart w:id="10418" w:name="_ETM_Q12_205699"/>
      <w:bookmarkEnd w:id="10418"/>
      <w:r>
        <w:rPr>
          <w:rFonts w:hint="cs"/>
          <w:rtl/>
        </w:rPr>
        <w:t xml:space="preserve">הדין </w:t>
      </w:r>
      <w:bookmarkStart w:id="10419" w:name="_ETM_Q12_206759"/>
      <w:bookmarkEnd w:id="10419"/>
      <w:r>
        <w:rPr>
          <w:rFonts w:hint="cs"/>
          <w:rtl/>
        </w:rPr>
        <w:t xml:space="preserve">זה </w:t>
      </w:r>
      <w:bookmarkStart w:id="10420" w:name="_ETM_Q12_207179"/>
      <w:bookmarkEnd w:id="10420"/>
      <w:r>
        <w:rPr>
          <w:rFonts w:hint="cs"/>
          <w:rtl/>
        </w:rPr>
        <w:t xml:space="preserve">בית </w:t>
      </w:r>
      <w:bookmarkStart w:id="10421" w:name="_ETM_Q12_207509"/>
      <w:bookmarkEnd w:id="10421"/>
      <w:r>
        <w:rPr>
          <w:rFonts w:hint="cs"/>
          <w:rtl/>
        </w:rPr>
        <w:t xml:space="preserve">המשפט </w:t>
      </w:r>
      <w:bookmarkStart w:id="10422" w:name="_ETM_Q12_208230"/>
      <w:bookmarkEnd w:id="10422"/>
      <w:r>
        <w:rPr>
          <w:rFonts w:hint="cs"/>
          <w:rtl/>
        </w:rPr>
        <w:t xml:space="preserve">העליון, </w:t>
      </w:r>
      <w:bookmarkStart w:id="10423" w:name="_ETM_Q12_210300"/>
      <w:bookmarkEnd w:id="10423"/>
      <w:r>
        <w:rPr>
          <w:rFonts w:hint="cs"/>
          <w:rtl/>
        </w:rPr>
        <w:t xml:space="preserve">כדי </w:t>
      </w:r>
      <w:bookmarkStart w:id="10424" w:name="_ETM_Q12_210509"/>
      <w:bookmarkEnd w:id="10424"/>
      <w:r>
        <w:rPr>
          <w:rFonts w:hint="cs"/>
          <w:rtl/>
        </w:rPr>
        <w:t xml:space="preserve">לשמור </w:t>
      </w:r>
      <w:bookmarkStart w:id="10425" w:name="_ETM_Q12_211320"/>
      <w:bookmarkEnd w:id="10425"/>
      <w:r>
        <w:rPr>
          <w:rFonts w:hint="cs"/>
          <w:rtl/>
        </w:rPr>
        <w:t xml:space="preserve">על </w:t>
      </w:r>
      <w:bookmarkStart w:id="10426" w:name="_ETM_Q12_211500"/>
      <w:bookmarkEnd w:id="10426"/>
      <w:r>
        <w:rPr>
          <w:rFonts w:hint="cs"/>
          <w:rtl/>
        </w:rPr>
        <w:t xml:space="preserve">היסודות </w:t>
      </w:r>
      <w:bookmarkStart w:id="10427" w:name="_ETM_Q12_212010"/>
      <w:bookmarkEnd w:id="10427"/>
      <w:r>
        <w:rPr>
          <w:rFonts w:hint="cs"/>
          <w:rtl/>
        </w:rPr>
        <w:t xml:space="preserve">של </w:t>
      </w:r>
      <w:bookmarkStart w:id="10428" w:name="_ETM_Q12_212250"/>
      <w:bookmarkEnd w:id="10428"/>
      <w:r>
        <w:rPr>
          <w:rFonts w:hint="cs"/>
          <w:rtl/>
        </w:rPr>
        <w:t xml:space="preserve">החברה </w:t>
      </w:r>
      <w:bookmarkStart w:id="10429" w:name="_ETM_Q12_212700"/>
      <w:bookmarkEnd w:id="10429"/>
      <w:r>
        <w:rPr>
          <w:rFonts w:hint="cs"/>
          <w:rtl/>
        </w:rPr>
        <w:t>שלנו</w:t>
      </w:r>
      <w:bookmarkStart w:id="10430" w:name="_ETM_Q12_218729"/>
      <w:bookmarkEnd w:id="10430"/>
      <w:r>
        <w:rPr>
          <w:rFonts w:hint="cs"/>
          <w:rtl/>
        </w:rPr>
        <w:t xml:space="preserve"> </w:t>
      </w:r>
      <w:bookmarkStart w:id="10431" w:name="_ETM_Q12_213300"/>
      <w:bookmarkEnd w:id="10431"/>
      <w:r>
        <w:rPr>
          <w:rFonts w:hint="cs"/>
          <w:rtl/>
        </w:rPr>
        <w:t xml:space="preserve">והדמוקרטיה </w:t>
      </w:r>
      <w:bookmarkStart w:id="10432" w:name="_ETM_Q12_214350"/>
      <w:bookmarkEnd w:id="10432"/>
      <w:r>
        <w:rPr>
          <w:rFonts w:hint="cs"/>
          <w:rtl/>
        </w:rPr>
        <w:t xml:space="preserve">שלנו, </w:t>
      </w:r>
      <w:bookmarkStart w:id="10433" w:name="_ETM_Q12_215560"/>
      <w:bookmarkEnd w:id="10433"/>
      <w:r>
        <w:rPr>
          <w:rFonts w:hint="cs"/>
          <w:rtl/>
        </w:rPr>
        <w:t xml:space="preserve">מה </w:t>
      </w:r>
      <w:bookmarkStart w:id="10434" w:name="_ETM_Q12_215890"/>
      <w:bookmarkEnd w:id="10434"/>
      <w:r>
        <w:rPr>
          <w:rFonts w:hint="cs"/>
          <w:rtl/>
        </w:rPr>
        <w:t xml:space="preserve">שאתם </w:t>
      </w:r>
      <w:bookmarkStart w:id="10435" w:name="_ETM_Q12_216310"/>
      <w:bookmarkStart w:id="10436" w:name="_ETM_Q12_216700"/>
      <w:bookmarkEnd w:id="10435"/>
      <w:bookmarkEnd w:id="10436"/>
      <w:r>
        <w:rPr>
          <w:rFonts w:hint="cs"/>
          <w:rtl/>
        </w:rPr>
        <w:t xml:space="preserve">רומסים </w:t>
      </w:r>
      <w:bookmarkStart w:id="10437" w:name="_ETM_Q12_218040"/>
      <w:bookmarkEnd w:id="10437"/>
      <w:r>
        <w:rPr>
          <w:rFonts w:hint="cs"/>
          <w:rtl/>
        </w:rPr>
        <w:t xml:space="preserve">עכשיו </w:t>
      </w:r>
      <w:bookmarkStart w:id="10438" w:name="_ETM_Q12_214018"/>
      <w:bookmarkEnd w:id="10438"/>
      <w:r>
        <w:rPr>
          <w:rFonts w:hint="cs"/>
          <w:rtl/>
        </w:rPr>
        <w:t xml:space="preserve">ברגל </w:t>
      </w:r>
      <w:bookmarkStart w:id="10439" w:name="_ETM_Q12_218580"/>
      <w:bookmarkEnd w:id="10439"/>
      <w:r>
        <w:rPr>
          <w:rFonts w:hint="cs"/>
          <w:rtl/>
        </w:rPr>
        <w:t>גסה</w:t>
      </w:r>
      <w:bookmarkStart w:id="10440" w:name="_ETM_Q12_223100"/>
      <w:bookmarkEnd w:id="10440"/>
      <w:r>
        <w:rPr>
          <w:rFonts w:hint="cs"/>
          <w:rtl/>
        </w:rPr>
        <w:t>.</w:t>
      </w:r>
    </w:p>
    <w:p w:rsidR="000C5C1F" w:rsidRDefault="000C5C1F" w:rsidP="000C5C1F">
      <w:pPr>
        <w:rPr>
          <w:rtl/>
        </w:rPr>
      </w:pPr>
    </w:p>
    <w:p w:rsidR="000C5C1F" w:rsidRDefault="000C5C1F" w:rsidP="000C5C1F">
      <w:pPr>
        <w:rPr>
          <w:rtl/>
        </w:rPr>
      </w:pPr>
      <w:bookmarkStart w:id="10441" w:name="_ETM_Q12_223489"/>
      <w:bookmarkEnd w:id="10441"/>
      <w:r>
        <w:rPr>
          <w:rFonts w:hint="cs"/>
          <w:rtl/>
        </w:rPr>
        <w:t xml:space="preserve">עכשיו לגבי </w:t>
      </w:r>
      <w:bookmarkStart w:id="10442" w:name="_ETM_Q12_223909"/>
      <w:bookmarkEnd w:id="10442"/>
      <w:r>
        <w:rPr>
          <w:rFonts w:hint="cs"/>
          <w:rtl/>
        </w:rPr>
        <w:t xml:space="preserve">הפתרונות. </w:t>
      </w:r>
      <w:bookmarkStart w:id="10443" w:name="_ETM_Q12_226640"/>
      <w:bookmarkEnd w:id="10443"/>
      <w:r>
        <w:rPr>
          <w:rFonts w:hint="cs"/>
          <w:rtl/>
        </w:rPr>
        <w:t xml:space="preserve">אילו </w:t>
      </w:r>
      <w:bookmarkStart w:id="10444" w:name="_ETM_Q12_226940"/>
      <w:bookmarkEnd w:id="10444"/>
      <w:r>
        <w:rPr>
          <w:rFonts w:hint="cs"/>
          <w:rtl/>
        </w:rPr>
        <w:t xml:space="preserve">באמת </w:t>
      </w:r>
      <w:bookmarkStart w:id="10445" w:name="_ETM_Q12_229079"/>
      <w:bookmarkEnd w:id="10445"/>
      <w:r>
        <w:rPr>
          <w:rFonts w:hint="cs"/>
          <w:rtl/>
        </w:rPr>
        <w:t xml:space="preserve">הייתם </w:t>
      </w:r>
      <w:bookmarkStart w:id="10446" w:name="_ETM_Q12_229949"/>
      <w:bookmarkEnd w:id="10446"/>
      <w:r>
        <w:rPr>
          <w:rFonts w:hint="cs"/>
          <w:rtl/>
        </w:rPr>
        <w:t xml:space="preserve">מנהלים </w:t>
      </w:r>
      <w:bookmarkStart w:id="10447" w:name="_ETM_Q12_230930"/>
      <w:bookmarkEnd w:id="10447"/>
      <w:r>
        <w:rPr>
          <w:rFonts w:hint="cs"/>
          <w:rtl/>
        </w:rPr>
        <w:t xml:space="preserve">דיון </w:t>
      </w:r>
      <w:bookmarkStart w:id="10448" w:name="_ETM_Q12_231590"/>
      <w:bookmarkEnd w:id="10448"/>
      <w:r>
        <w:rPr>
          <w:rFonts w:hint="cs"/>
          <w:rtl/>
        </w:rPr>
        <w:t xml:space="preserve">אמיתי, </w:t>
      </w:r>
      <w:bookmarkStart w:id="10449" w:name="_ETM_Q12_232370"/>
      <w:bookmarkEnd w:id="10449"/>
      <w:r>
        <w:rPr>
          <w:rFonts w:hint="cs"/>
          <w:rtl/>
        </w:rPr>
        <w:t xml:space="preserve">נקי, </w:t>
      </w:r>
      <w:bookmarkStart w:id="10450" w:name="_ETM_Q12_233740"/>
      <w:bookmarkEnd w:id="10450"/>
      <w:r>
        <w:rPr>
          <w:rFonts w:hint="cs"/>
          <w:rtl/>
        </w:rPr>
        <w:t xml:space="preserve">בלי </w:t>
      </w:r>
      <w:bookmarkStart w:id="10451" w:name="_ETM_Q12_234399"/>
      <w:bookmarkEnd w:id="10451"/>
      <w:r>
        <w:rPr>
          <w:rFonts w:hint="cs"/>
          <w:rtl/>
        </w:rPr>
        <w:t xml:space="preserve">שיקולים </w:t>
      </w:r>
      <w:bookmarkStart w:id="10452" w:name="_ETM_Q12_236870"/>
      <w:bookmarkEnd w:id="10452"/>
      <w:r>
        <w:rPr>
          <w:rFonts w:hint="cs"/>
          <w:rtl/>
        </w:rPr>
        <w:t xml:space="preserve">זרים, </w:t>
      </w:r>
      <w:bookmarkStart w:id="10453" w:name="_ETM_Q12_238399"/>
      <w:bookmarkEnd w:id="10453"/>
      <w:r>
        <w:rPr>
          <w:rFonts w:hint="cs"/>
          <w:rtl/>
        </w:rPr>
        <w:t xml:space="preserve">בלי </w:t>
      </w:r>
      <w:bookmarkStart w:id="10454" w:name="_ETM_Q12_238910"/>
      <w:bookmarkEnd w:id="10454"/>
      <w:r>
        <w:rPr>
          <w:rFonts w:hint="cs"/>
          <w:rtl/>
        </w:rPr>
        <w:t>ה</w:t>
      </w:r>
      <w:bookmarkStart w:id="10455" w:name="_ETM_Q12_240289"/>
      <w:bookmarkStart w:id="10456" w:name="_ETM_Q12_240559"/>
      <w:bookmarkEnd w:id="10455"/>
      <w:bookmarkEnd w:id="10456"/>
      <w:r>
        <w:rPr>
          <w:rFonts w:hint="cs"/>
          <w:rtl/>
        </w:rPr>
        <w:t xml:space="preserve">דם הרע </w:t>
      </w:r>
      <w:bookmarkStart w:id="10457" w:name="_ETM_Q12_240920"/>
      <w:bookmarkEnd w:id="10457"/>
      <w:r>
        <w:rPr>
          <w:rFonts w:hint="cs"/>
          <w:rtl/>
        </w:rPr>
        <w:t xml:space="preserve">שיש </w:t>
      </w:r>
      <w:bookmarkStart w:id="10458" w:name="_ETM_Q12_241340"/>
      <w:bookmarkEnd w:id="10458"/>
      <w:r>
        <w:rPr>
          <w:rFonts w:hint="cs"/>
          <w:rtl/>
        </w:rPr>
        <w:t xml:space="preserve">בכם, </w:t>
      </w:r>
      <w:bookmarkStart w:id="10459" w:name="_ETM_Q12_243039"/>
      <w:bookmarkEnd w:id="10459"/>
      <w:r>
        <w:rPr>
          <w:rFonts w:hint="cs"/>
          <w:rtl/>
        </w:rPr>
        <w:t xml:space="preserve">היינו </w:t>
      </w:r>
      <w:bookmarkStart w:id="10460" w:name="_ETM_Q12_243309"/>
      <w:bookmarkEnd w:id="10460"/>
      <w:r>
        <w:rPr>
          <w:rFonts w:hint="cs"/>
          <w:rtl/>
        </w:rPr>
        <w:t xml:space="preserve">יכולים </w:t>
      </w:r>
      <w:bookmarkStart w:id="10461" w:name="_ETM_Q12_243640"/>
      <w:bookmarkEnd w:id="10461"/>
      <w:r>
        <w:rPr>
          <w:rFonts w:hint="cs"/>
          <w:rtl/>
        </w:rPr>
        <w:t xml:space="preserve">להגיע </w:t>
      </w:r>
      <w:bookmarkStart w:id="10462" w:name="_ETM_Q12_244959"/>
      <w:bookmarkEnd w:id="10462"/>
      <w:r>
        <w:rPr>
          <w:rFonts w:hint="cs"/>
          <w:rtl/>
        </w:rPr>
        <w:t xml:space="preserve">להבנות. לא </w:t>
      </w:r>
      <w:bookmarkStart w:id="10463" w:name="_ETM_Q12_246939"/>
      <w:bookmarkStart w:id="10464" w:name="_ETM_Q12_247209"/>
      <w:bookmarkEnd w:id="10463"/>
      <w:bookmarkEnd w:id="10464"/>
      <w:r>
        <w:rPr>
          <w:rFonts w:hint="cs"/>
          <w:rtl/>
        </w:rPr>
        <w:t xml:space="preserve">על עילת </w:t>
      </w:r>
      <w:bookmarkStart w:id="10465" w:name="_ETM_Q12_247569"/>
      <w:bookmarkEnd w:id="10465"/>
      <w:r>
        <w:rPr>
          <w:rFonts w:hint="cs"/>
          <w:rtl/>
        </w:rPr>
        <w:t xml:space="preserve">הסבירות </w:t>
      </w:r>
      <w:bookmarkStart w:id="10466" w:name="_ETM_Q12_248890"/>
      <w:bookmarkEnd w:id="10466"/>
      <w:r>
        <w:rPr>
          <w:rFonts w:hint="cs"/>
          <w:rtl/>
        </w:rPr>
        <w:t xml:space="preserve">– על </w:t>
      </w:r>
      <w:bookmarkStart w:id="10467" w:name="_ETM_Q12_249069"/>
      <w:bookmarkEnd w:id="10467"/>
      <w:r>
        <w:rPr>
          <w:rFonts w:hint="cs"/>
          <w:rtl/>
        </w:rPr>
        <w:t xml:space="preserve">בכלל, </w:t>
      </w:r>
      <w:bookmarkStart w:id="10468" w:name="_ETM_Q12_249520"/>
      <w:bookmarkEnd w:id="10468"/>
      <w:r>
        <w:rPr>
          <w:rFonts w:hint="cs"/>
          <w:rtl/>
        </w:rPr>
        <w:t xml:space="preserve">על </w:t>
      </w:r>
      <w:bookmarkStart w:id="10469" w:name="_ETM_Q12_249640"/>
      <w:bookmarkEnd w:id="10469"/>
      <w:r>
        <w:rPr>
          <w:rFonts w:hint="cs"/>
          <w:rtl/>
        </w:rPr>
        <w:t xml:space="preserve">כל </w:t>
      </w:r>
      <w:bookmarkStart w:id="10470" w:name="_ETM_Q12_249909"/>
      <w:bookmarkEnd w:id="10470"/>
      <w:r>
        <w:rPr>
          <w:rFonts w:hint="cs"/>
          <w:rtl/>
        </w:rPr>
        <w:t xml:space="preserve">הבעיות </w:t>
      </w:r>
      <w:bookmarkStart w:id="10471" w:name="_ETM_Q12_250420"/>
      <w:bookmarkEnd w:id="10471"/>
      <w:r>
        <w:rPr>
          <w:rFonts w:hint="cs"/>
          <w:rtl/>
        </w:rPr>
        <w:t xml:space="preserve">שיש </w:t>
      </w:r>
      <w:bookmarkStart w:id="10472" w:name="_ETM_Q12_250750"/>
      <w:bookmarkEnd w:id="10472"/>
      <w:r>
        <w:rPr>
          <w:rFonts w:hint="cs"/>
          <w:rtl/>
        </w:rPr>
        <w:t xml:space="preserve">לנו </w:t>
      </w:r>
      <w:bookmarkStart w:id="10473" w:name="_ETM_Q12_250930"/>
      <w:bookmarkEnd w:id="10473"/>
      <w:r>
        <w:rPr>
          <w:rFonts w:hint="cs"/>
          <w:rtl/>
        </w:rPr>
        <w:t xml:space="preserve">במערכת </w:t>
      </w:r>
      <w:bookmarkStart w:id="10474" w:name="_ETM_Q12_251439"/>
      <w:bookmarkEnd w:id="10474"/>
      <w:r>
        <w:rPr>
          <w:rFonts w:hint="cs"/>
          <w:rtl/>
        </w:rPr>
        <w:t xml:space="preserve">המשפט, </w:t>
      </w:r>
      <w:bookmarkStart w:id="10475" w:name="_ETM_Q12_253030"/>
      <w:bookmarkEnd w:id="10475"/>
      <w:r>
        <w:rPr>
          <w:rFonts w:hint="cs"/>
          <w:rtl/>
        </w:rPr>
        <w:t xml:space="preserve">לטובת </w:t>
      </w:r>
      <w:bookmarkStart w:id="10476" w:name="_ETM_Q12_254340"/>
      <w:bookmarkEnd w:id="10476"/>
      <w:r>
        <w:rPr>
          <w:rFonts w:hint="cs"/>
          <w:rtl/>
        </w:rPr>
        <w:t xml:space="preserve">האזרח. למה </w:t>
      </w:r>
      <w:bookmarkStart w:id="10477" w:name="_ETM_Q12_256090"/>
      <w:bookmarkStart w:id="10478" w:name="_ETM_Q12_256360"/>
      <w:bookmarkStart w:id="10479" w:name="_ETM_Q12_257469"/>
      <w:bookmarkEnd w:id="10477"/>
      <w:bookmarkEnd w:id="10478"/>
      <w:bookmarkEnd w:id="10479"/>
      <w:r>
        <w:rPr>
          <w:rFonts w:hint="cs"/>
          <w:rtl/>
        </w:rPr>
        <w:t xml:space="preserve">היום </w:t>
      </w:r>
      <w:bookmarkStart w:id="10480" w:name="_ETM_Q12_257859"/>
      <w:bookmarkStart w:id="10481" w:name="_ETM_Q12_254228"/>
      <w:bookmarkStart w:id="10482" w:name="_ETM_Q12_75319"/>
      <w:bookmarkStart w:id="10483" w:name="_ETM_Q12_75383"/>
      <w:bookmarkStart w:id="10484" w:name="_ETM_Q12_75495"/>
      <w:bookmarkStart w:id="10485" w:name="_ETM_Q12_75544"/>
      <w:bookmarkEnd w:id="10480"/>
      <w:bookmarkEnd w:id="10481"/>
      <w:bookmarkEnd w:id="10482"/>
      <w:bookmarkEnd w:id="10483"/>
      <w:bookmarkEnd w:id="10484"/>
      <w:bookmarkEnd w:id="10485"/>
      <w:r>
        <w:rPr>
          <w:rFonts w:hint="cs"/>
          <w:rtl/>
        </w:rPr>
        <w:t xml:space="preserve">בן אדם </w:t>
      </w:r>
      <w:bookmarkStart w:id="10486" w:name="_ETM_Q12_258459"/>
      <w:bookmarkEnd w:id="10486"/>
      <w:r>
        <w:rPr>
          <w:rFonts w:hint="cs"/>
          <w:rtl/>
        </w:rPr>
        <w:t xml:space="preserve">בבית </w:t>
      </w:r>
      <w:bookmarkStart w:id="10487" w:name="_ETM_Q12_260079"/>
      <w:bookmarkStart w:id="10488" w:name="_ETM_Q12_260560"/>
      <w:bookmarkStart w:id="10489" w:name="_ETM_Q12_260920"/>
      <w:bookmarkEnd w:id="10487"/>
      <w:bookmarkEnd w:id="10488"/>
      <w:bookmarkEnd w:id="10489"/>
      <w:r>
        <w:rPr>
          <w:rFonts w:hint="cs"/>
          <w:rtl/>
        </w:rPr>
        <w:t xml:space="preserve">הדין </w:t>
      </w:r>
      <w:bookmarkStart w:id="10490" w:name="_ETM_Q12_261159"/>
      <w:bookmarkEnd w:id="10490"/>
      <w:r>
        <w:rPr>
          <w:rFonts w:hint="cs"/>
          <w:rtl/>
        </w:rPr>
        <w:t xml:space="preserve">לעבודה </w:t>
      </w:r>
      <w:bookmarkStart w:id="10491" w:name="_ETM_Q12_262260"/>
      <w:bookmarkEnd w:id="10491"/>
      <w:r>
        <w:rPr>
          <w:rFonts w:hint="cs"/>
          <w:rtl/>
        </w:rPr>
        <w:t xml:space="preserve">צריך </w:t>
      </w:r>
      <w:bookmarkStart w:id="10492" w:name="_ETM_Q12_262650"/>
      <w:bookmarkEnd w:id="10492"/>
      <w:r>
        <w:rPr>
          <w:rFonts w:hint="cs"/>
          <w:rtl/>
        </w:rPr>
        <w:t xml:space="preserve">לחכות </w:t>
      </w:r>
      <w:bookmarkStart w:id="10493" w:name="_ETM_Q12_263130"/>
      <w:bookmarkStart w:id="10494" w:name="_ETM_Q12_263189"/>
      <w:bookmarkStart w:id="10495" w:name="_ETM_Q12_263520"/>
      <w:bookmarkEnd w:id="10493"/>
      <w:bookmarkEnd w:id="10494"/>
      <w:bookmarkEnd w:id="10495"/>
      <w:r>
        <w:rPr>
          <w:rFonts w:hint="cs"/>
          <w:rtl/>
        </w:rPr>
        <w:t xml:space="preserve">שנה </w:t>
      </w:r>
      <w:bookmarkStart w:id="10496" w:name="_ETM_Q12_263909"/>
      <w:bookmarkEnd w:id="10496"/>
      <w:r>
        <w:rPr>
          <w:rFonts w:hint="cs"/>
          <w:rtl/>
        </w:rPr>
        <w:t xml:space="preserve">וחצי </w:t>
      </w:r>
      <w:bookmarkStart w:id="10497" w:name="_ETM_Q12_265180"/>
      <w:bookmarkEnd w:id="10497"/>
      <w:r>
        <w:rPr>
          <w:rFonts w:hint="cs"/>
          <w:rtl/>
        </w:rPr>
        <w:t xml:space="preserve">להוכחות? </w:t>
      </w:r>
      <w:bookmarkStart w:id="10498" w:name="_ETM_Q12_267229"/>
      <w:bookmarkEnd w:id="10498"/>
      <w:r>
        <w:rPr>
          <w:rFonts w:hint="cs"/>
          <w:rtl/>
        </w:rPr>
        <w:t xml:space="preserve">אתם </w:t>
      </w:r>
      <w:bookmarkStart w:id="10499" w:name="_ETM_Q12_267500"/>
      <w:bookmarkEnd w:id="10499"/>
      <w:r>
        <w:rPr>
          <w:rFonts w:hint="cs"/>
          <w:rtl/>
        </w:rPr>
        <w:t>יודעים את זה</w:t>
      </w:r>
      <w:bookmarkStart w:id="10500" w:name="_ETM_Q12_267157"/>
      <w:bookmarkEnd w:id="10500"/>
      <w:r>
        <w:rPr>
          <w:rFonts w:hint="cs"/>
          <w:rtl/>
        </w:rPr>
        <w:t xml:space="preserve">? </w:t>
      </w:r>
      <w:bookmarkStart w:id="10501" w:name="_ETM_Q12_268740"/>
      <w:bookmarkEnd w:id="10501"/>
      <w:r>
        <w:rPr>
          <w:rFonts w:hint="cs"/>
          <w:rtl/>
        </w:rPr>
        <w:t>שנה</w:t>
      </w:r>
      <w:bookmarkStart w:id="10502" w:name="_ETM_Q12_269100"/>
      <w:bookmarkStart w:id="10503" w:name="_ETM_Q12_269360"/>
      <w:bookmarkEnd w:id="10502"/>
      <w:bookmarkEnd w:id="10503"/>
      <w:r>
        <w:rPr>
          <w:rFonts w:hint="cs"/>
          <w:rtl/>
        </w:rPr>
        <w:t xml:space="preserve"> וחצי.</w:t>
      </w:r>
      <w:bookmarkStart w:id="10504" w:name="_ETM_Q12_267377"/>
      <w:bookmarkEnd w:id="10504"/>
      <w:r>
        <w:rPr>
          <w:rFonts w:hint="cs"/>
          <w:rtl/>
        </w:rPr>
        <w:t xml:space="preserve"> </w:t>
      </w:r>
      <w:bookmarkStart w:id="10505" w:name="_ETM_Q12_269630"/>
      <w:bookmarkEnd w:id="10505"/>
      <w:r>
        <w:rPr>
          <w:rFonts w:hint="cs"/>
          <w:rtl/>
        </w:rPr>
        <w:t xml:space="preserve">בן </w:t>
      </w:r>
      <w:bookmarkStart w:id="10506" w:name="_ETM_Q12_268118"/>
      <w:bookmarkEnd w:id="10506"/>
      <w:r>
        <w:rPr>
          <w:rFonts w:hint="cs"/>
          <w:rtl/>
        </w:rPr>
        <w:t xml:space="preserve">אדם </w:t>
      </w:r>
      <w:bookmarkStart w:id="10507" w:name="_ETM_Q12_270140"/>
      <w:bookmarkEnd w:id="10507"/>
      <w:r>
        <w:rPr>
          <w:rFonts w:hint="cs"/>
          <w:rtl/>
        </w:rPr>
        <w:t xml:space="preserve">הגיש </w:t>
      </w:r>
      <w:bookmarkStart w:id="10508" w:name="_ETM_Q12_270500"/>
      <w:bookmarkStart w:id="10509" w:name="_ETM_Q12_270740"/>
      <w:bookmarkStart w:id="10510" w:name="_ETM_Q12_271160"/>
      <w:bookmarkEnd w:id="10508"/>
      <w:bookmarkEnd w:id="10509"/>
      <w:bookmarkEnd w:id="10510"/>
      <w:r>
        <w:rPr>
          <w:rFonts w:hint="cs"/>
          <w:rtl/>
        </w:rPr>
        <w:t xml:space="preserve">תביעה; </w:t>
      </w:r>
      <w:bookmarkStart w:id="10511" w:name="_ETM_Q12_271550"/>
      <w:bookmarkEnd w:id="10511"/>
      <w:r>
        <w:rPr>
          <w:rFonts w:hint="cs"/>
          <w:rtl/>
        </w:rPr>
        <w:t xml:space="preserve">התקבלה </w:t>
      </w:r>
      <w:bookmarkStart w:id="10512" w:name="_ETM_Q12_272030"/>
      <w:bookmarkEnd w:id="10512"/>
      <w:r>
        <w:rPr>
          <w:rFonts w:hint="cs"/>
          <w:rtl/>
        </w:rPr>
        <w:t>התביעה;</w:t>
      </w:r>
      <w:bookmarkStart w:id="10513" w:name="_ETM_Q12_270727"/>
      <w:bookmarkEnd w:id="10513"/>
      <w:r>
        <w:rPr>
          <w:rFonts w:hint="cs"/>
          <w:rtl/>
        </w:rPr>
        <w:t xml:space="preserve"> </w:t>
      </w:r>
      <w:bookmarkStart w:id="10514" w:name="_ETM_Q12_272420"/>
      <w:bookmarkEnd w:id="10514"/>
      <w:r>
        <w:rPr>
          <w:rFonts w:hint="cs"/>
          <w:rtl/>
        </w:rPr>
        <w:t xml:space="preserve">יש </w:t>
      </w:r>
      <w:bookmarkStart w:id="10515" w:name="_ETM_Q12_272690"/>
      <w:bookmarkEnd w:id="10515"/>
      <w:r>
        <w:rPr>
          <w:rFonts w:hint="cs"/>
          <w:rtl/>
        </w:rPr>
        <w:t xml:space="preserve">הליך </w:t>
      </w:r>
      <w:bookmarkStart w:id="10516" w:name="_ETM_Q12_272959"/>
      <w:bookmarkEnd w:id="10516"/>
      <w:r>
        <w:rPr>
          <w:rFonts w:hint="cs"/>
          <w:rtl/>
        </w:rPr>
        <w:t>משפטי –</w:t>
      </w:r>
      <w:bookmarkStart w:id="10517" w:name="_ETM_Q12_92071"/>
      <w:bookmarkEnd w:id="10517"/>
      <w:r>
        <w:rPr>
          <w:rFonts w:hint="cs"/>
          <w:rtl/>
        </w:rPr>
        <w:t xml:space="preserve"> הוא</w:t>
      </w:r>
      <w:bookmarkStart w:id="10518" w:name="_ETM_Q12_273830"/>
      <w:bookmarkEnd w:id="10518"/>
      <w:r>
        <w:rPr>
          <w:rFonts w:hint="cs"/>
          <w:rtl/>
        </w:rPr>
        <w:t xml:space="preserve"> </w:t>
      </w:r>
      <w:bookmarkStart w:id="10519" w:name="_ETM_Q12_273950"/>
      <w:bookmarkEnd w:id="10519"/>
      <w:r>
        <w:rPr>
          <w:rFonts w:hint="cs"/>
          <w:rtl/>
        </w:rPr>
        <w:t xml:space="preserve">מחכה </w:t>
      </w:r>
      <w:bookmarkStart w:id="10520" w:name="_ETM_Q12_274400"/>
      <w:bookmarkEnd w:id="10520"/>
      <w:r>
        <w:rPr>
          <w:rFonts w:hint="cs"/>
          <w:rtl/>
        </w:rPr>
        <w:t xml:space="preserve">שנה </w:t>
      </w:r>
      <w:bookmarkStart w:id="10521" w:name="_ETM_Q12_274730"/>
      <w:bookmarkEnd w:id="10521"/>
      <w:r>
        <w:rPr>
          <w:rFonts w:hint="cs"/>
          <w:rtl/>
        </w:rPr>
        <w:t xml:space="preserve">וחצי </w:t>
      </w:r>
      <w:bookmarkStart w:id="10522" w:name="_ETM_Q12_275810"/>
      <w:bookmarkEnd w:id="10522"/>
      <w:r>
        <w:rPr>
          <w:rFonts w:hint="cs"/>
          <w:rtl/>
        </w:rPr>
        <w:t xml:space="preserve">לדיון </w:t>
      </w:r>
      <w:bookmarkStart w:id="10523" w:name="_ETM_Q12_276350"/>
      <w:bookmarkEnd w:id="10523"/>
      <w:r>
        <w:rPr>
          <w:rFonts w:hint="cs"/>
          <w:rtl/>
        </w:rPr>
        <w:t xml:space="preserve">הבא </w:t>
      </w:r>
      <w:bookmarkStart w:id="10524" w:name="_ETM_Q12_276679"/>
      <w:bookmarkEnd w:id="10524"/>
      <w:r>
        <w:rPr>
          <w:rFonts w:hint="cs"/>
          <w:rtl/>
        </w:rPr>
        <w:t xml:space="preserve">להוכחות. </w:t>
      </w:r>
      <w:bookmarkStart w:id="10525" w:name="_ETM_Q12_277920"/>
      <w:bookmarkEnd w:id="10525"/>
      <w:r>
        <w:rPr>
          <w:rFonts w:hint="cs"/>
          <w:rtl/>
        </w:rPr>
        <w:t xml:space="preserve">אתם </w:t>
      </w:r>
      <w:bookmarkStart w:id="10526" w:name="_ETM_Q12_278100"/>
      <w:bookmarkEnd w:id="10526"/>
      <w:r>
        <w:rPr>
          <w:rFonts w:hint="cs"/>
          <w:rtl/>
        </w:rPr>
        <w:t xml:space="preserve">יודעים </w:t>
      </w:r>
      <w:bookmarkStart w:id="10527" w:name="_ETM_Q12_278310"/>
      <w:bookmarkEnd w:id="10527"/>
      <w:r>
        <w:rPr>
          <w:rFonts w:hint="cs"/>
          <w:rtl/>
        </w:rPr>
        <w:t xml:space="preserve">למה? </w:t>
      </w:r>
      <w:bookmarkStart w:id="10528" w:name="_ETM_Q12_278850"/>
      <w:bookmarkEnd w:id="10528"/>
      <w:r>
        <w:rPr>
          <w:rFonts w:hint="cs"/>
          <w:rtl/>
        </w:rPr>
        <w:t xml:space="preserve">כי </w:t>
      </w:r>
      <w:bookmarkStart w:id="10529" w:name="_ETM_Q12_279000"/>
      <w:bookmarkEnd w:id="10529"/>
      <w:r>
        <w:rPr>
          <w:rFonts w:hint="cs"/>
          <w:rtl/>
        </w:rPr>
        <w:t xml:space="preserve">חסרים </w:t>
      </w:r>
      <w:bookmarkStart w:id="10530" w:name="_ETM_Q12_279390"/>
      <w:bookmarkEnd w:id="10530"/>
      <w:r>
        <w:rPr>
          <w:rFonts w:hint="cs"/>
          <w:rtl/>
        </w:rPr>
        <w:t xml:space="preserve">שופטים; </w:t>
      </w:r>
      <w:bookmarkStart w:id="10531" w:name="_ETM_Q12_281100"/>
      <w:bookmarkStart w:id="10532" w:name="_ETM_Q12_281280"/>
      <w:bookmarkEnd w:id="10531"/>
      <w:bookmarkEnd w:id="10532"/>
      <w:r>
        <w:rPr>
          <w:rFonts w:hint="cs"/>
          <w:rtl/>
        </w:rPr>
        <w:t xml:space="preserve">לא </w:t>
      </w:r>
      <w:bookmarkStart w:id="10533" w:name="_ETM_Q12_281429"/>
      <w:bookmarkEnd w:id="10533"/>
      <w:r>
        <w:rPr>
          <w:rFonts w:hint="cs"/>
          <w:rtl/>
        </w:rPr>
        <w:t xml:space="preserve">רק </w:t>
      </w:r>
      <w:bookmarkStart w:id="10534" w:name="_ETM_Q12_281729"/>
      <w:bookmarkEnd w:id="10534"/>
      <w:r>
        <w:rPr>
          <w:rFonts w:hint="cs"/>
          <w:rtl/>
        </w:rPr>
        <w:t xml:space="preserve">חסרים, </w:t>
      </w:r>
      <w:bookmarkStart w:id="10535" w:name="_ETM_Q12_282360"/>
      <w:bookmarkEnd w:id="10535"/>
      <w:r>
        <w:rPr>
          <w:rFonts w:hint="cs"/>
          <w:rtl/>
        </w:rPr>
        <w:t xml:space="preserve">יש </w:t>
      </w:r>
      <w:bookmarkStart w:id="10536" w:name="_ETM_Q12_282600"/>
      <w:bookmarkEnd w:id="10536"/>
      <w:r>
        <w:rPr>
          <w:rFonts w:hint="cs"/>
          <w:rtl/>
        </w:rPr>
        <w:t xml:space="preserve">כבר </w:t>
      </w:r>
      <w:bookmarkStart w:id="10537" w:name="_ETM_Q12_282840"/>
      <w:bookmarkEnd w:id="10537"/>
      <w:r>
        <w:rPr>
          <w:rFonts w:hint="cs"/>
          <w:rtl/>
        </w:rPr>
        <w:t xml:space="preserve">משרות </w:t>
      </w:r>
      <w:bookmarkStart w:id="10538" w:name="_ETM_Q12_283290"/>
      <w:bookmarkEnd w:id="10538"/>
      <w:r>
        <w:rPr>
          <w:rFonts w:hint="cs"/>
          <w:rtl/>
        </w:rPr>
        <w:t xml:space="preserve">שאתם </w:t>
      </w:r>
      <w:bookmarkStart w:id="10539" w:name="_ETM_Q12_283650"/>
      <w:bookmarkEnd w:id="10539"/>
      <w:r>
        <w:rPr>
          <w:rFonts w:hint="cs"/>
          <w:rtl/>
        </w:rPr>
        <w:t xml:space="preserve">לא </w:t>
      </w:r>
      <w:bookmarkStart w:id="10540" w:name="_ETM_Q12_283740"/>
      <w:bookmarkEnd w:id="10540"/>
      <w:r>
        <w:rPr>
          <w:rFonts w:hint="cs"/>
          <w:rtl/>
        </w:rPr>
        <w:t>ממ</w:t>
      </w:r>
      <w:bookmarkStart w:id="10541" w:name="_ETM_Q12_280258"/>
      <w:bookmarkEnd w:id="10541"/>
      <w:r>
        <w:rPr>
          <w:rFonts w:hint="cs"/>
          <w:rtl/>
        </w:rPr>
        <w:t xml:space="preserve">נים. </w:t>
      </w:r>
      <w:bookmarkStart w:id="10542" w:name="_ETM_Q12_285060"/>
      <w:bookmarkEnd w:id="10542"/>
      <w:r>
        <w:rPr>
          <w:rFonts w:hint="cs"/>
          <w:rtl/>
        </w:rPr>
        <w:t xml:space="preserve">בכלל, </w:t>
      </w:r>
      <w:bookmarkStart w:id="10543" w:name="_ETM_Q12_285569"/>
      <w:bookmarkEnd w:id="10543"/>
      <w:r>
        <w:rPr>
          <w:rFonts w:hint="cs"/>
          <w:rtl/>
        </w:rPr>
        <w:t xml:space="preserve">המערכת </w:t>
      </w:r>
      <w:bookmarkStart w:id="10544" w:name="_ETM_Q12_286470"/>
      <w:bookmarkEnd w:id="10544"/>
      <w:r>
        <w:rPr>
          <w:rFonts w:hint="cs"/>
          <w:rtl/>
        </w:rPr>
        <w:t xml:space="preserve">כבר </w:t>
      </w:r>
      <w:bookmarkStart w:id="10545" w:name="_ETM_Q12_288400"/>
      <w:bookmarkEnd w:id="10545"/>
      <w:r>
        <w:rPr>
          <w:rFonts w:hint="cs"/>
          <w:rtl/>
        </w:rPr>
        <w:t xml:space="preserve">צריכה </w:t>
      </w:r>
      <w:bookmarkStart w:id="10546" w:name="_ETM_Q12_288790"/>
      <w:bookmarkEnd w:id="10546"/>
      <w:r>
        <w:rPr>
          <w:rFonts w:hint="cs"/>
          <w:rtl/>
        </w:rPr>
        <w:t xml:space="preserve">יותר </w:t>
      </w:r>
      <w:bookmarkStart w:id="10547" w:name="_ETM_Q12_289150"/>
      <w:bookmarkEnd w:id="10547"/>
      <w:r>
        <w:rPr>
          <w:rFonts w:hint="cs"/>
          <w:rtl/>
        </w:rPr>
        <w:t xml:space="preserve">כוח </w:t>
      </w:r>
      <w:bookmarkStart w:id="10548" w:name="_ETM_Q12_289479"/>
      <w:bookmarkEnd w:id="10548"/>
      <w:r>
        <w:rPr>
          <w:rFonts w:hint="cs"/>
          <w:rtl/>
        </w:rPr>
        <w:t xml:space="preserve">אדם, </w:t>
      </w:r>
      <w:bookmarkStart w:id="10549" w:name="_ETM_Q12_289930"/>
      <w:bookmarkEnd w:id="10549"/>
      <w:r>
        <w:rPr>
          <w:rFonts w:hint="cs"/>
          <w:rtl/>
        </w:rPr>
        <w:t xml:space="preserve">היא צריכה </w:t>
      </w:r>
      <w:bookmarkStart w:id="10550" w:name="_ETM_Q12_290320"/>
      <w:bookmarkEnd w:id="10550"/>
      <w:r>
        <w:rPr>
          <w:rFonts w:hint="cs"/>
          <w:rtl/>
        </w:rPr>
        <w:t xml:space="preserve">יותר </w:t>
      </w:r>
      <w:bookmarkStart w:id="10551" w:name="_ETM_Q12_290619"/>
      <w:bookmarkEnd w:id="10551"/>
      <w:r>
        <w:rPr>
          <w:rFonts w:hint="cs"/>
          <w:rtl/>
        </w:rPr>
        <w:t xml:space="preserve">משרות, </w:t>
      </w:r>
      <w:bookmarkStart w:id="10552" w:name="_ETM_Q12_291189"/>
      <w:bookmarkEnd w:id="10552"/>
      <w:r>
        <w:rPr>
          <w:rFonts w:hint="cs"/>
          <w:rtl/>
        </w:rPr>
        <w:t xml:space="preserve">היא צריכה </w:t>
      </w:r>
      <w:bookmarkStart w:id="10553" w:name="_ETM_Q12_299565"/>
      <w:bookmarkEnd w:id="10553"/>
      <w:r>
        <w:rPr>
          <w:rFonts w:hint="cs"/>
          <w:rtl/>
        </w:rPr>
        <w:t xml:space="preserve">יותר </w:t>
      </w:r>
      <w:bookmarkStart w:id="10554" w:name="_ETM_Q12_291430"/>
      <w:bookmarkEnd w:id="10554"/>
      <w:r>
        <w:rPr>
          <w:rFonts w:hint="cs"/>
          <w:rtl/>
        </w:rPr>
        <w:t xml:space="preserve">תקנים. </w:t>
      </w:r>
      <w:bookmarkStart w:id="10555" w:name="_ETM_Q12_293470"/>
      <w:bookmarkEnd w:id="10555"/>
      <w:r>
        <w:rPr>
          <w:rFonts w:hint="cs"/>
          <w:rtl/>
        </w:rPr>
        <w:t xml:space="preserve">איך </w:t>
      </w:r>
      <w:bookmarkStart w:id="10556" w:name="_ETM_Q12_293740"/>
      <w:bookmarkStart w:id="10557" w:name="_ETM_Q12_294130"/>
      <w:bookmarkEnd w:id="10556"/>
      <w:bookmarkEnd w:id="10557"/>
      <w:r>
        <w:rPr>
          <w:rFonts w:hint="cs"/>
          <w:rtl/>
        </w:rPr>
        <w:t xml:space="preserve">יכולנו </w:t>
      </w:r>
      <w:bookmarkStart w:id="10558" w:name="_ETM_Q12_294760"/>
      <w:bookmarkStart w:id="10559" w:name="_ETM_Q12_295000"/>
      <w:bookmarkStart w:id="10560" w:name="_ETM_Q12_295300"/>
      <w:bookmarkEnd w:id="10558"/>
      <w:bookmarkEnd w:id="10559"/>
      <w:bookmarkEnd w:id="10560"/>
      <w:r>
        <w:rPr>
          <w:rFonts w:hint="cs"/>
          <w:rtl/>
        </w:rPr>
        <w:t xml:space="preserve">לעזור </w:t>
      </w:r>
      <w:bookmarkStart w:id="10561" w:name="_ETM_Q12_295930"/>
      <w:bookmarkEnd w:id="10561"/>
      <w:r>
        <w:rPr>
          <w:rFonts w:hint="cs"/>
          <w:rtl/>
        </w:rPr>
        <w:t xml:space="preserve">גם </w:t>
      </w:r>
      <w:bookmarkStart w:id="10562" w:name="_ETM_Q12_350539"/>
      <w:bookmarkEnd w:id="10562"/>
      <w:r>
        <w:rPr>
          <w:rFonts w:hint="cs"/>
          <w:rtl/>
        </w:rPr>
        <w:t xml:space="preserve">לנושא </w:t>
      </w:r>
      <w:bookmarkStart w:id="10563" w:name="_ETM_Q12_297290"/>
      <w:bookmarkEnd w:id="10563"/>
      <w:r>
        <w:rPr>
          <w:rFonts w:hint="cs"/>
          <w:rtl/>
        </w:rPr>
        <w:t>של</w:t>
      </w:r>
      <w:bookmarkStart w:id="10564" w:name="_ETM_Q12_296088"/>
      <w:bookmarkEnd w:id="10564"/>
      <w:r>
        <w:rPr>
          <w:rFonts w:hint="cs"/>
          <w:rtl/>
        </w:rPr>
        <w:t xml:space="preserve"> </w:t>
      </w:r>
      <w:bookmarkStart w:id="10565" w:name="_ETM_Q12_298590"/>
      <w:bookmarkEnd w:id="10565"/>
      <w:r>
        <w:rPr>
          <w:rFonts w:hint="cs"/>
          <w:rtl/>
        </w:rPr>
        <w:t xml:space="preserve">התייעלות </w:t>
      </w:r>
      <w:bookmarkStart w:id="10566" w:name="_ETM_Q12_299160"/>
      <w:bookmarkEnd w:id="10566"/>
      <w:r>
        <w:rPr>
          <w:rFonts w:hint="cs"/>
          <w:rtl/>
        </w:rPr>
        <w:t xml:space="preserve">המערכת? </w:t>
      </w:r>
      <w:bookmarkStart w:id="10567" w:name="_ETM_Q12_301180"/>
      <w:bookmarkEnd w:id="10567"/>
      <w:r>
        <w:rPr>
          <w:rFonts w:hint="cs"/>
          <w:rtl/>
        </w:rPr>
        <w:t xml:space="preserve">אולי </w:t>
      </w:r>
      <w:bookmarkStart w:id="10568" w:name="_ETM_Q12_301450"/>
      <w:bookmarkEnd w:id="10568"/>
      <w:r>
        <w:rPr>
          <w:rFonts w:hint="cs"/>
          <w:rtl/>
        </w:rPr>
        <w:t xml:space="preserve">לחשוב </w:t>
      </w:r>
      <w:bookmarkStart w:id="10569" w:name="_ETM_Q12_301870"/>
      <w:bookmarkEnd w:id="10569"/>
      <w:r>
        <w:rPr>
          <w:rFonts w:hint="cs"/>
          <w:rtl/>
        </w:rPr>
        <w:t xml:space="preserve">על </w:t>
      </w:r>
      <w:bookmarkStart w:id="10570" w:name="_ETM_Q12_301990"/>
      <w:bookmarkEnd w:id="10570"/>
      <w:r>
        <w:rPr>
          <w:rFonts w:hint="cs"/>
          <w:rtl/>
        </w:rPr>
        <w:t xml:space="preserve">סדרי </w:t>
      </w:r>
      <w:bookmarkStart w:id="10571" w:name="_ETM_Q12_302410"/>
      <w:bookmarkEnd w:id="10571"/>
      <w:r>
        <w:rPr>
          <w:rFonts w:hint="cs"/>
          <w:rtl/>
        </w:rPr>
        <w:t xml:space="preserve">דין </w:t>
      </w:r>
      <w:bookmarkStart w:id="10572" w:name="_ETM_Q12_302710"/>
      <w:bookmarkEnd w:id="10572"/>
      <w:r>
        <w:rPr>
          <w:rFonts w:hint="cs"/>
          <w:rtl/>
        </w:rPr>
        <w:t xml:space="preserve">יותר </w:t>
      </w:r>
      <w:bookmarkStart w:id="10573" w:name="_ETM_Q12_303010"/>
      <w:bookmarkEnd w:id="10573"/>
      <w:r>
        <w:rPr>
          <w:rFonts w:hint="cs"/>
          <w:rtl/>
        </w:rPr>
        <w:t>מ</w:t>
      </w:r>
      <w:bookmarkStart w:id="10574" w:name="_ETM_Q12_303190"/>
      <w:bookmarkEnd w:id="10574"/>
      <w:r>
        <w:rPr>
          <w:rFonts w:hint="cs"/>
          <w:rtl/>
        </w:rPr>
        <w:t xml:space="preserve">קילים, </w:t>
      </w:r>
      <w:bookmarkStart w:id="10575" w:name="_ETM_Q12_303670"/>
      <w:bookmarkEnd w:id="10575"/>
      <w:r>
        <w:rPr>
          <w:rFonts w:hint="cs"/>
          <w:rtl/>
        </w:rPr>
        <w:t xml:space="preserve">יותר </w:t>
      </w:r>
      <w:bookmarkStart w:id="10576" w:name="_ETM_Q12_303970"/>
      <w:bookmarkEnd w:id="10576"/>
      <w:r>
        <w:rPr>
          <w:rFonts w:hint="cs"/>
          <w:rtl/>
        </w:rPr>
        <w:t>זריזים</w:t>
      </w:r>
      <w:bookmarkStart w:id="10577" w:name="_ETM_Q12_301778"/>
      <w:bookmarkEnd w:id="10577"/>
      <w:r>
        <w:rPr>
          <w:rFonts w:hint="cs"/>
          <w:rtl/>
        </w:rPr>
        <w:t xml:space="preserve">, </w:t>
      </w:r>
      <w:bookmarkStart w:id="10578" w:name="_ETM_Q12_305029"/>
      <w:bookmarkEnd w:id="10578"/>
      <w:r>
        <w:rPr>
          <w:rFonts w:hint="cs"/>
          <w:rtl/>
        </w:rPr>
        <w:t xml:space="preserve">סעדים </w:t>
      </w:r>
      <w:bookmarkStart w:id="10579" w:name="_ETM_Q12_305990"/>
      <w:bookmarkEnd w:id="10579"/>
      <w:r>
        <w:rPr>
          <w:rFonts w:hint="cs"/>
          <w:rtl/>
        </w:rPr>
        <w:t xml:space="preserve">שהשופטים </w:t>
      </w:r>
      <w:bookmarkStart w:id="10580" w:name="_ETM_Q12_306619"/>
      <w:bookmarkEnd w:id="10580"/>
      <w:r>
        <w:rPr>
          <w:rFonts w:hint="cs"/>
          <w:rtl/>
        </w:rPr>
        <w:t xml:space="preserve">נותנים, </w:t>
      </w:r>
      <w:bookmarkStart w:id="10581" w:name="_ETM_Q12_307369"/>
      <w:bookmarkStart w:id="10582" w:name="_ETM_Q12_308180"/>
      <w:bookmarkEnd w:id="10581"/>
      <w:bookmarkEnd w:id="10582"/>
      <w:r>
        <w:rPr>
          <w:rFonts w:hint="cs"/>
          <w:rtl/>
        </w:rPr>
        <w:t xml:space="preserve">לתת </w:t>
      </w:r>
      <w:bookmarkStart w:id="10583" w:name="_ETM_Q12_308569"/>
      <w:bookmarkEnd w:id="10583"/>
      <w:r>
        <w:rPr>
          <w:rFonts w:hint="cs"/>
          <w:rtl/>
        </w:rPr>
        <w:t xml:space="preserve">יותר </w:t>
      </w:r>
      <w:bookmarkStart w:id="10584" w:name="_ETM_Q12_309139"/>
      <w:bookmarkEnd w:id="10584"/>
      <w:r>
        <w:rPr>
          <w:rFonts w:hint="cs"/>
          <w:rtl/>
        </w:rPr>
        <w:t xml:space="preserve">טכנולוגיה </w:t>
      </w:r>
      <w:bookmarkStart w:id="10585" w:name="_ETM_Q12_309980"/>
      <w:bookmarkEnd w:id="10585"/>
      <w:r>
        <w:rPr>
          <w:rFonts w:hint="cs"/>
          <w:rtl/>
        </w:rPr>
        <w:t xml:space="preserve">למערכת </w:t>
      </w:r>
      <w:bookmarkStart w:id="10586" w:name="_ETM_Q12_311090"/>
      <w:bookmarkEnd w:id="10586"/>
      <w:r>
        <w:rPr>
          <w:rFonts w:hint="cs"/>
          <w:rtl/>
        </w:rPr>
        <w:t xml:space="preserve">כדי </w:t>
      </w:r>
      <w:bookmarkStart w:id="10587" w:name="_ETM_Q12_311300"/>
      <w:bookmarkEnd w:id="10587"/>
      <w:r>
        <w:rPr>
          <w:rFonts w:hint="cs"/>
          <w:rtl/>
        </w:rPr>
        <w:t xml:space="preserve">שאנשים </w:t>
      </w:r>
      <w:bookmarkStart w:id="10588" w:name="_ETM_Q12_311840"/>
      <w:bookmarkEnd w:id="10588"/>
      <w:r>
        <w:rPr>
          <w:rFonts w:hint="cs"/>
          <w:rtl/>
        </w:rPr>
        <w:t xml:space="preserve">לא </w:t>
      </w:r>
      <w:bookmarkStart w:id="10589" w:name="_ETM_Q12_311959"/>
      <w:bookmarkEnd w:id="10589"/>
      <w:r>
        <w:rPr>
          <w:rFonts w:hint="cs"/>
          <w:rtl/>
        </w:rPr>
        <w:t xml:space="preserve">יצטרכו </w:t>
      </w:r>
      <w:bookmarkStart w:id="10590" w:name="_ETM_Q12_312380"/>
      <w:bookmarkEnd w:id="10590"/>
      <w:r>
        <w:rPr>
          <w:rFonts w:hint="cs"/>
          <w:rtl/>
        </w:rPr>
        <w:t xml:space="preserve">לרוץ </w:t>
      </w:r>
      <w:bookmarkStart w:id="10591" w:name="_ETM_Q12_312709"/>
      <w:bookmarkEnd w:id="10591"/>
      <w:r>
        <w:rPr>
          <w:rFonts w:hint="cs"/>
          <w:rtl/>
        </w:rPr>
        <w:t xml:space="preserve">לבתי </w:t>
      </w:r>
      <w:bookmarkStart w:id="10592" w:name="_ETM_Q12_313099"/>
      <w:bookmarkEnd w:id="10592"/>
      <w:r>
        <w:rPr>
          <w:rFonts w:hint="cs"/>
          <w:rtl/>
        </w:rPr>
        <w:t xml:space="preserve">המשפט. </w:t>
      </w:r>
      <w:bookmarkStart w:id="10593" w:name="_ETM_Q12_314110"/>
      <w:bookmarkEnd w:id="10593"/>
      <w:r>
        <w:rPr>
          <w:rFonts w:hint="cs"/>
          <w:rtl/>
        </w:rPr>
        <w:t xml:space="preserve">זה </w:t>
      </w:r>
      <w:bookmarkStart w:id="10594" w:name="_ETM_Q12_314440"/>
      <w:bookmarkEnd w:id="10594"/>
      <w:r>
        <w:rPr>
          <w:rFonts w:hint="cs"/>
          <w:rtl/>
        </w:rPr>
        <w:t xml:space="preserve">מה </w:t>
      </w:r>
      <w:bookmarkStart w:id="10595" w:name="_ETM_Q12_314590"/>
      <w:bookmarkEnd w:id="10595"/>
      <w:r>
        <w:rPr>
          <w:rFonts w:hint="cs"/>
          <w:rtl/>
        </w:rPr>
        <w:t xml:space="preserve">שחשוב. </w:t>
      </w:r>
      <w:bookmarkStart w:id="10596" w:name="_ETM_Q12_316010"/>
      <w:bookmarkEnd w:id="10596"/>
    </w:p>
    <w:p w:rsidR="000C5C1F" w:rsidRDefault="000C5C1F" w:rsidP="000C5C1F">
      <w:pPr>
        <w:rPr>
          <w:rtl/>
        </w:rPr>
      </w:pPr>
    </w:p>
    <w:p w:rsidR="000C5C1F" w:rsidRDefault="000C5C1F" w:rsidP="000C5C1F">
      <w:pPr>
        <w:rPr>
          <w:rtl/>
        </w:rPr>
      </w:pPr>
      <w:r>
        <w:rPr>
          <w:rFonts w:hint="cs"/>
          <w:rtl/>
        </w:rPr>
        <w:t xml:space="preserve">אתם </w:t>
      </w:r>
      <w:bookmarkStart w:id="10597" w:name="_ETM_Q12_316310"/>
      <w:bookmarkEnd w:id="10597"/>
      <w:r>
        <w:rPr>
          <w:rFonts w:hint="cs"/>
          <w:rtl/>
        </w:rPr>
        <w:t xml:space="preserve">דיברתם </w:t>
      </w:r>
      <w:bookmarkStart w:id="10598" w:name="_ETM_Q12_316909"/>
      <w:bookmarkEnd w:id="10598"/>
      <w:r>
        <w:rPr>
          <w:rFonts w:hint="cs"/>
          <w:rtl/>
        </w:rPr>
        <w:t xml:space="preserve">פה </w:t>
      </w:r>
      <w:bookmarkStart w:id="10599" w:name="_ETM_Q12_317180"/>
      <w:bookmarkEnd w:id="10599"/>
      <w:r>
        <w:rPr>
          <w:rFonts w:hint="cs"/>
          <w:rtl/>
        </w:rPr>
        <w:t xml:space="preserve">על </w:t>
      </w:r>
      <w:bookmarkStart w:id="10600" w:name="_ETM_Q12_317510"/>
      <w:bookmarkEnd w:id="10600"/>
      <w:r>
        <w:rPr>
          <w:rFonts w:hint="cs"/>
          <w:rtl/>
        </w:rPr>
        <w:t>היועמ"שים?</w:t>
      </w:r>
      <w:bookmarkStart w:id="10601" w:name="_ETM_Q12_319088"/>
      <w:bookmarkEnd w:id="10601"/>
      <w:r>
        <w:rPr>
          <w:rFonts w:hint="cs"/>
          <w:rtl/>
        </w:rPr>
        <w:t xml:space="preserve"> </w:t>
      </w:r>
      <w:bookmarkStart w:id="10602" w:name="_ETM_Q12_318860"/>
      <w:bookmarkEnd w:id="10602"/>
      <w:r>
        <w:rPr>
          <w:rFonts w:hint="cs"/>
          <w:rtl/>
        </w:rPr>
        <w:t xml:space="preserve">הפתרון </w:t>
      </w:r>
      <w:bookmarkStart w:id="10603" w:name="_ETM_Q12_319500"/>
      <w:bookmarkEnd w:id="10603"/>
      <w:r>
        <w:rPr>
          <w:rFonts w:hint="cs"/>
          <w:rtl/>
        </w:rPr>
        <w:t xml:space="preserve">הוא בכף </w:t>
      </w:r>
      <w:bookmarkStart w:id="10604" w:name="_ETM_Q12_319980"/>
      <w:bookmarkEnd w:id="10604"/>
      <w:r>
        <w:rPr>
          <w:rFonts w:hint="cs"/>
          <w:rtl/>
        </w:rPr>
        <w:t xml:space="preserve">היד. </w:t>
      </w:r>
      <w:bookmarkStart w:id="10605" w:name="_ETM_Q12_320550"/>
      <w:bookmarkEnd w:id="10605"/>
      <w:r>
        <w:rPr>
          <w:rFonts w:hint="cs"/>
          <w:rtl/>
        </w:rPr>
        <w:t xml:space="preserve">אתם </w:t>
      </w:r>
      <w:bookmarkStart w:id="10606" w:name="_ETM_Q12_320970"/>
      <w:bookmarkEnd w:id="10606"/>
      <w:r>
        <w:rPr>
          <w:rFonts w:hint="cs"/>
          <w:rtl/>
        </w:rPr>
        <w:t xml:space="preserve">יודעים </w:t>
      </w:r>
      <w:bookmarkStart w:id="10607" w:name="_ETM_Q12_321330"/>
      <w:bookmarkEnd w:id="10607"/>
      <w:r>
        <w:rPr>
          <w:rFonts w:hint="cs"/>
          <w:rtl/>
        </w:rPr>
        <w:t xml:space="preserve">שיש </w:t>
      </w:r>
      <w:bookmarkStart w:id="10608" w:name="_ETM_Q12_322669"/>
      <w:bookmarkEnd w:id="10608"/>
      <w:r>
        <w:rPr>
          <w:rFonts w:hint="cs"/>
          <w:rtl/>
        </w:rPr>
        <w:t xml:space="preserve">כבר </w:t>
      </w:r>
      <w:bookmarkStart w:id="10609" w:name="_ETM_Q12_323060"/>
      <w:bookmarkEnd w:id="10609"/>
      <w:r>
        <w:rPr>
          <w:rFonts w:hint="cs"/>
          <w:rtl/>
        </w:rPr>
        <w:t xml:space="preserve">החלטת </w:t>
      </w:r>
      <w:bookmarkStart w:id="10610" w:name="_ETM_Q12_323330"/>
      <w:bookmarkEnd w:id="10610"/>
      <w:r>
        <w:rPr>
          <w:rFonts w:hint="cs"/>
          <w:rtl/>
        </w:rPr>
        <w:t xml:space="preserve">ממשלה </w:t>
      </w:r>
      <w:bookmarkStart w:id="10611" w:name="_ETM_Q12_323870"/>
      <w:bookmarkEnd w:id="10611"/>
      <w:r>
        <w:rPr>
          <w:rFonts w:hint="cs"/>
          <w:rtl/>
        </w:rPr>
        <w:t xml:space="preserve">שבעצם </w:t>
      </w:r>
      <w:bookmarkStart w:id="10612" w:name="_ETM_Q12_324500"/>
      <w:bookmarkEnd w:id="10612"/>
      <w:r>
        <w:rPr>
          <w:rFonts w:hint="cs"/>
          <w:rtl/>
        </w:rPr>
        <w:t xml:space="preserve">מגבילה </w:t>
      </w:r>
      <w:bookmarkStart w:id="10613" w:name="_ETM_Q12_325220"/>
      <w:bookmarkEnd w:id="10613"/>
      <w:r>
        <w:rPr>
          <w:rFonts w:hint="cs"/>
          <w:rtl/>
        </w:rPr>
        <w:t xml:space="preserve">כהונה </w:t>
      </w:r>
      <w:bookmarkStart w:id="10614" w:name="_ETM_Q12_325639"/>
      <w:bookmarkEnd w:id="10614"/>
      <w:r>
        <w:rPr>
          <w:rFonts w:hint="cs"/>
          <w:rtl/>
        </w:rPr>
        <w:t xml:space="preserve">של </w:t>
      </w:r>
      <w:bookmarkStart w:id="10615" w:name="_ETM_Q12_325819"/>
      <w:bookmarkEnd w:id="10615"/>
      <w:r>
        <w:rPr>
          <w:rFonts w:hint="cs"/>
          <w:rtl/>
        </w:rPr>
        <w:t xml:space="preserve">יועץ </w:t>
      </w:r>
      <w:bookmarkStart w:id="10616" w:name="_ETM_Q12_326090"/>
      <w:bookmarkEnd w:id="10616"/>
      <w:r>
        <w:rPr>
          <w:rFonts w:hint="cs"/>
          <w:rtl/>
        </w:rPr>
        <w:t xml:space="preserve">משפטי </w:t>
      </w:r>
      <w:bookmarkStart w:id="10617" w:name="_ETM_Q12_327030"/>
      <w:bookmarkEnd w:id="10617"/>
      <w:r>
        <w:rPr>
          <w:rFonts w:hint="cs"/>
          <w:rtl/>
        </w:rPr>
        <w:t xml:space="preserve">של </w:t>
      </w:r>
      <w:bookmarkStart w:id="10618" w:name="_ETM_Q12_327239"/>
      <w:bookmarkEnd w:id="10618"/>
      <w:r>
        <w:rPr>
          <w:rFonts w:hint="cs"/>
          <w:rtl/>
        </w:rPr>
        <w:t xml:space="preserve">משרד </w:t>
      </w:r>
      <w:bookmarkStart w:id="10619" w:name="_ETM_Q12_327540"/>
      <w:bookmarkEnd w:id="10619"/>
      <w:r>
        <w:rPr>
          <w:rFonts w:hint="cs"/>
          <w:rtl/>
        </w:rPr>
        <w:t xml:space="preserve">ממשלתי </w:t>
      </w:r>
      <w:bookmarkStart w:id="10620" w:name="_ETM_Q12_327989"/>
      <w:bookmarkEnd w:id="10620"/>
      <w:r>
        <w:rPr>
          <w:rFonts w:hint="cs"/>
          <w:rtl/>
        </w:rPr>
        <w:t xml:space="preserve">לשש </w:t>
      </w:r>
      <w:bookmarkStart w:id="10621" w:name="_ETM_Q12_328439"/>
      <w:bookmarkEnd w:id="10621"/>
      <w:r>
        <w:rPr>
          <w:rFonts w:hint="cs"/>
          <w:rtl/>
        </w:rPr>
        <w:t xml:space="preserve">שנים? </w:t>
      </w:r>
      <w:bookmarkStart w:id="10622" w:name="_ETM_Q12_329669"/>
      <w:bookmarkEnd w:id="10622"/>
      <w:r>
        <w:rPr>
          <w:rFonts w:hint="cs"/>
          <w:rtl/>
        </w:rPr>
        <w:t xml:space="preserve">הדבר </w:t>
      </w:r>
      <w:bookmarkStart w:id="10623" w:name="_ETM_Q12_330090"/>
      <w:bookmarkEnd w:id="10623"/>
      <w:r>
        <w:rPr>
          <w:rFonts w:hint="cs"/>
          <w:rtl/>
        </w:rPr>
        <w:t xml:space="preserve">היחיד </w:t>
      </w:r>
      <w:bookmarkStart w:id="10624" w:name="_ETM_Q12_330510"/>
      <w:bookmarkEnd w:id="10624"/>
      <w:r>
        <w:rPr>
          <w:rFonts w:hint="cs"/>
          <w:rtl/>
        </w:rPr>
        <w:t xml:space="preserve">שהייתם </w:t>
      </w:r>
      <w:bookmarkStart w:id="10625" w:name="_ETM_Q12_330840"/>
      <w:bookmarkEnd w:id="10625"/>
      <w:r>
        <w:rPr>
          <w:rFonts w:hint="cs"/>
          <w:rtl/>
        </w:rPr>
        <w:t xml:space="preserve">צריכים </w:t>
      </w:r>
      <w:bookmarkStart w:id="10626" w:name="_ETM_Q12_331200"/>
      <w:bookmarkEnd w:id="10626"/>
      <w:r>
        <w:rPr>
          <w:rFonts w:hint="cs"/>
          <w:rtl/>
        </w:rPr>
        <w:t xml:space="preserve">לעשות </w:t>
      </w:r>
      <w:bookmarkStart w:id="10627" w:name="_ETM_Q12_331650"/>
      <w:bookmarkEnd w:id="10627"/>
      <w:r>
        <w:rPr>
          <w:rFonts w:hint="cs"/>
          <w:rtl/>
        </w:rPr>
        <w:t xml:space="preserve">שם </w:t>
      </w:r>
      <w:bookmarkStart w:id="10628" w:name="_ETM_Q12_332190"/>
      <w:bookmarkEnd w:id="10628"/>
      <w:r>
        <w:rPr>
          <w:rFonts w:hint="cs"/>
          <w:rtl/>
        </w:rPr>
        <w:t xml:space="preserve">זה </w:t>
      </w:r>
      <w:bookmarkStart w:id="10629" w:name="_ETM_Q12_332430"/>
      <w:bookmarkEnd w:id="10629"/>
      <w:r>
        <w:rPr>
          <w:rFonts w:hint="cs"/>
          <w:rtl/>
        </w:rPr>
        <w:t>להסדי</w:t>
      </w:r>
      <w:bookmarkStart w:id="10630" w:name="_ETM_Q12_331097"/>
      <w:bookmarkEnd w:id="10630"/>
      <w:r>
        <w:rPr>
          <w:rFonts w:hint="cs"/>
          <w:rtl/>
        </w:rPr>
        <w:t xml:space="preserve">ר </w:t>
      </w:r>
      <w:bookmarkStart w:id="10631" w:name="_ETM_Q12_333210"/>
      <w:bookmarkEnd w:id="10631"/>
      <w:r>
        <w:rPr>
          <w:rFonts w:hint="cs"/>
          <w:rtl/>
        </w:rPr>
        <w:t xml:space="preserve">תנאי </w:t>
      </w:r>
      <w:bookmarkStart w:id="10632" w:name="_ETM_Q12_333690"/>
      <w:bookmarkEnd w:id="10632"/>
      <w:r>
        <w:rPr>
          <w:rFonts w:hint="cs"/>
          <w:rtl/>
        </w:rPr>
        <w:t xml:space="preserve">פרישה, זה הכול. </w:t>
      </w:r>
      <w:bookmarkStart w:id="10633" w:name="_ETM_Q12_334699"/>
      <w:bookmarkStart w:id="10634" w:name="_ETM_Q12_336049"/>
      <w:bookmarkEnd w:id="10633"/>
      <w:bookmarkEnd w:id="10634"/>
      <w:r>
        <w:rPr>
          <w:rFonts w:hint="cs"/>
          <w:rtl/>
        </w:rPr>
        <w:t xml:space="preserve">זאת </w:t>
      </w:r>
      <w:bookmarkStart w:id="10635" w:name="_ETM_Q12_336139"/>
      <w:bookmarkEnd w:id="10635"/>
      <w:r>
        <w:rPr>
          <w:rFonts w:hint="cs"/>
          <w:rtl/>
        </w:rPr>
        <w:t xml:space="preserve">אומרת, </w:t>
      </w:r>
      <w:bookmarkStart w:id="10636" w:name="_ETM_Q12_336319"/>
      <w:bookmarkEnd w:id="10636"/>
      <w:r>
        <w:rPr>
          <w:rFonts w:hint="cs"/>
          <w:rtl/>
        </w:rPr>
        <w:t xml:space="preserve">כל </w:t>
      </w:r>
      <w:bookmarkStart w:id="10637" w:name="_ETM_Q12_336559"/>
      <w:bookmarkEnd w:id="10637"/>
      <w:r>
        <w:rPr>
          <w:rFonts w:hint="cs"/>
          <w:rtl/>
        </w:rPr>
        <w:t xml:space="preserve">הסיפור </w:t>
      </w:r>
      <w:bookmarkStart w:id="10638" w:name="_ETM_Q12_337069"/>
      <w:bookmarkEnd w:id="10638"/>
      <w:r>
        <w:rPr>
          <w:rFonts w:hint="cs"/>
          <w:rtl/>
        </w:rPr>
        <w:t xml:space="preserve">הזה </w:t>
      </w:r>
      <w:bookmarkStart w:id="10639" w:name="_ETM_Q12_337400"/>
      <w:bookmarkEnd w:id="10639"/>
      <w:r>
        <w:rPr>
          <w:rFonts w:hint="cs"/>
          <w:rtl/>
        </w:rPr>
        <w:t>שיועמ"ש</w:t>
      </w:r>
      <w:bookmarkStart w:id="10640" w:name="_ETM_Q12_337999"/>
      <w:bookmarkEnd w:id="10640"/>
      <w:r>
        <w:rPr>
          <w:rFonts w:hint="cs"/>
          <w:rtl/>
        </w:rPr>
        <w:t xml:space="preserve">ים </w:t>
      </w:r>
      <w:bookmarkStart w:id="10641" w:name="_ETM_Q12_338120"/>
      <w:bookmarkEnd w:id="10641"/>
      <w:r>
        <w:rPr>
          <w:rFonts w:hint="cs"/>
          <w:rtl/>
        </w:rPr>
        <w:t xml:space="preserve">לא </w:t>
      </w:r>
      <w:bookmarkStart w:id="10642" w:name="_ETM_Q12_338239"/>
      <w:bookmarkEnd w:id="10642"/>
      <w:r>
        <w:rPr>
          <w:rFonts w:hint="cs"/>
          <w:rtl/>
        </w:rPr>
        <w:t xml:space="preserve">נותנים – </w:t>
      </w:r>
      <w:bookmarkStart w:id="10643" w:name="_ETM_Q12_339810"/>
      <w:bookmarkStart w:id="10644" w:name="_ETM_Q12_340110"/>
      <w:bookmarkStart w:id="10645" w:name="_ETM_Q12_340500"/>
      <w:bookmarkEnd w:id="10643"/>
      <w:bookmarkEnd w:id="10644"/>
      <w:bookmarkEnd w:id="10645"/>
      <w:r>
        <w:rPr>
          <w:rFonts w:hint="cs"/>
          <w:rtl/>
        </w:rPr>
        <w:t>א</w:t>
      </w:r>
      <w:bookmarkStart w:id="10646" w:name="_ETM_Q12_337248"/>
      <w:bookmarkEnd w:id="10646"/>
      <w:r>
        <w:rPr>
          <w:rFonts w:hint="cs"/>
          <w:rtl/>
        </w:rPr>
        <w:t xml:space="preserve">ולי </w:t>
      </w:r>
      <w:bookmarkStart w:id="10647" w:name="_ETM_Q12_340800"/>
      <w:bookmarkEnd w:id="10647"/>
      <w:r>
        <w:rPr>
          <w:rFonts w:hint="cs"/>
          <w:rtl/>
        </w:rPr>
        <w:t xml:space="preserve">הם </w:t>
      </w:r>
      <w:bookmarkStart w:id="10648" w:name="_ETM_Q12_340889"/>
      <w:bookmarkEnd w:id="10648"/>
      <w:r>
        <w:rPr>
          <w:rFonts w:hint="cs"/>
          <w:rtl/>
        </w:rPr>
        <w:t xml:space="preserve">לא </w:t>
      </w:r>
      <w:bookmarkStart w:id="10649" w:name="_ETM_Q12_340980"/>
      <w:bookmarkEnd w:id="10649"/>
      <w:r>
        <w:rPr>
          <w:rFonts w:hint="cs"/>
          <w:rtl/>
        </w:rPr>
        <w:t xml:space="preserve">נותנים </w:t>
      </w:r>
      <w:bookmarkStart w:id="10650" w:name="_ETM_Q12_341340"/>
      <w:bookmarkEnd w:id="10650"/>
      <w:r>
        <w:rPr>
          <w:rFonts w:hint="cs"/>
          <w:rtl/>
        </w:rPr>
        <w:t xml:space="preserve">לעשות </w:t>
      </w:r>
      <w:bookmarkStart w:id="10651" w:name="_ETM_Q12_342000"/>
      <w:bookmarkEnd w:id="10651"/>
      <w:r>
        <w:rPr>
          <w:rFonts w:hint="cs"/>
          <w:rtl/>
        </w:rPr>
        <w:t xml:space="preserve">דברים </w:t>
      </w:r>
      <w:bookmarkStart w:id="10652" w:name="_ETM_Q12_342540"/>
      <w:bookmarkEnd w:id="10652"/>
      <w:r>
        <w:rPr>
          <w:rFonts w:hint="cs"/>
          <w:rtl/>
        </w:rPr>
        <w:t xml:space="preserve">גרועים, </w:t>
      </w:r>
      <w:bookmarkStart w:id="10653" w:name="_ETM_Q12_343710"/>
      <w:bookmarkEnd w:id="10653"/>
      <w:r>
        <w:rPr>
          <w:rFonts w:hint="cs"/>
          <w:rtl/>
        </w:rPr>
        <w:t xml:space="preserve">דברים </w:t>
      </w:r>
      <w:bookmarkStart w:id="10654" w:name="_ETM_Q12_344070"/>
      <w:bookmarkEnd w:id="10654"/>
      <w:r>
        <w:rPr>
          <w:rFonts w:hint="cs"/>
          <w:rtl/>
        </w:rPr>
        <w:t xml:space="preserve">לא </w:t>
      </w:r>
      <w:bookmarkStart w:id="10655" w:name="_ETM_Q12_344190"/>
      <w:bookmarkEnd w:id="10655"/>
      <w:r>
        <w:rPr>
          <w:rFonts w:hint="cs"/>
          <w:rtl/>
        </w:rPr>
        <w:t xml:space="preserve">חוקיים. </w:t>
      </w:r>
      <w:bookmarkStart w:id="10656" w:name="_ETM_Q12_345720"/>
      <w:bookmarkStart w:id="10657" w:name="_ETM_Q12_346010"/>
      <w:bookmarkStart w:id="10658" w:name="_ETM_Q12_346099"/>
      <w:bookmarkStart w:id="10659" w:name="_ETM_Q12_346250"/>
      <w:bookmarkEnd w:id="10656"/>
      <w:bookmarkEnd w:id="10657"/>
      <w:bookmarkEnd w:id="10658"/>
      <w:bookmarkEnd w:id="10659"/>
      <w:r>
        <w:rPr>
          <w:rFonts w:hint="cs"/>
          <w:rtl/>
        </w:rPr>
        <w:t>יכול להיות שכן</w:t>
      </w:r>
      <w:bookmarkStart w:id="10660" w:name="_ETM_Q12_346909"/>
      <w:bookmarkEnd w:id="10660"/>
      <w:r>
        <w:rPr>
          <w:rFonts w:hint="cs"/>
          <w:rtl/>
        </w:rPr>
        <w:t xml:space="preserve">, יש יועמ"שים שצריך לתת להם </w:t>
      </w:r>
      <w:bookmarkStart w:id="10661" w:name="_ETM_Q12_344199"/>
      <w:bookmarkStart w:id="10662" w:name="_ETM_Q12_347150"/>
      <w:bookmarkStart w:id="10663" w:name="_ETM_Q12_347599"/>
      <w:bookmarkStart w:id="10664" w:name="_ETM_Q12_348110"/>
      <w:bookmarkStart w:id="10665" w:name="_ETM_Q12_348409"/>
      <w:bookmarkStart w:id="10666" w:name="_ETM_Q12_349540"/>
      <w:bookmarkEnd w:id="10661"/>
      <w:bookmarkEnd w:id="10662"/>
      <w:bookmarkEnd w:id="10663"/>
      <w:bookmarkEnd w:id="10664"/>
      <w:bookmarkEnd w:id="10665"/>
      <w:bookmarkEnd w:id="10666"/>
      <w:r>
        <w:rPr>
          <w:rFonts w:hint="cs"/>
          <w:rtl/>
        </w:rPr>
        <w:t xml:space="preserve">סעד, </w:t>
      </w:r>
      <w:bookmarkStart w:id="10667" w:name="_ETM_Q12_350500"/>
      <w:bookmarkEnd w:id="10667"/>
      <w:r>
        <w:rPr>
          <w:rFonts w:hint="cs"/>
          <w:rtl/>
        </w:rPr>
        <w:t xml:space="preserve">אבל </w:t>
      </w:r>
      <w:bookmarkStart w:id="10668" w:name="_ETM_Q12_350739"/>
      <w:bookmarkStart w:id="10669" w:name="_ETM_Q12_350799"/>
      <w:bookmarkEnd w:id="10668"/>
      <w:bookmarkEnd w:id="10669"/>
      <w:r>
        <w:rPr>
          <w:rFonts w:hint="cs"/>
          <w:rtl/>
        </w:rPr>
        <w:t xml:space="preserve">הפתרון </w:t>
      </w:r>
      <w:bookmarkStart w:id="10670" w:name="_ETM_Q12_351099"/>
      <w:bookmarkEnd w:id="10670"/>
      <w:r>
        <w:rPr>
          <w:rFonts w:hint="cs"/>
          <w:rtl/>
        </w:rPr>
        <w:t>בכף ה</w:t>
      </w:r>
      <w:bookmarkStart w:id="10671" w:name="_ETM_Q12_351609"/>
      <w:bookmarkEnd w:id="10671"/>
      <w:r>
        <w:rPr>
          <w:rFonts w:hint="cs"/>
          <w:rtl/>
        </w:rPr>
        <w:t>יד.</w:t>
      </w:r>
    </w:p>
    <w:p w:rsidR="000C5C1F" w:rsidRDefault="000C5C1F" w:rsidP="000C5C1F">
      <w:pPr>
        <w:rPr>
          <w:rtl/>
        </w:rPr>
      </w:pPr>
    </w:p>
    <w:p w:rsidR="000C5C1F" w:rsidRDefault="000C5C1F" w:rsidP="000C5C1F">
      <w:pPr>
        <w:rPr>
          <w:rtl/>
        </w:rPr>
      </w:pPr>
      <w:bookmarkStart w:id="10672" w:name="_ETM_Q12_352180"/>
      <w:bookmarkStart w:id="10673" w:name="_ETM_Q12_352359"/>
      <w:bookmarkEnd w:id="10672"/>
      <w:bookmarkEnd w:id="10673"/>
      <w:r>
        <w:rPr>
          <w:rFonts w:hint="cs"/>
          <w:rtl/>
        </w:rPr>
        <w:t xml:space="preserve">הוועדה </w:t>
      </w:r>
      <w:bookmarkStart w:id="10674" w:name="_ETM_Q12_352659"/>
      <w:bookmarkEnd w:id="10674"/>
      <w:r>
        <w:rPr>
          <w:rFonts w:hint="cs"/>
          <w:rtl/>
        </w:rPr>
        <w:t xml:space="preserve">לבחירת </w:t>
      </w:r>
      <w:bookmarkStart w:id="10675" w:name="_ETM_Q12_353139"/>
      <w:bookmarkEnd w:id="10675"/>
      <w:r>
        <w:rPr>
          <w:rFonts w:hint="cs"/>
          <w:rtl/>
        </w:rPr>
        <w:t xml:space="preserve">שופטים </w:t>
      </w:r>
      <w:bookmarkStart w:id="10676" w:name="_ETM_Q12_354040"/>
      <w:bookmarkEnd w:id="10676"/>
      <w:r>
        <w:rPr>
          <w:rFonts w:hint="cs"/>
          <w:rtl/>
        </w:rPr>
        <w:t xml:space="preserve">– הדבר </w:t>
      </w:r>
      <w:bookmarkStart w:id="10677" w:name="_ETM_Q12_354370"/>
      <w:bookmarkEnd w:id="10677"/>
      <w:r>
        <w:rPr>
          <w:rFonts w:hint="cs"/>
          <w:rtl/>
        </w:rPr>
        <w:t xml:space="preserve">האחרון </w:t>
      </w:r>
      <w:bookmarkStart w:id="10678" w:name="_ETM_Q12_354849"/>
      <w:bookmarkEnd w:id="10678"/>
      <w:r>
        <w:rPr>
          <w:rFonts w:hint="cs"/>
          <w:rtl/>
        </w:rPr>
        <w:t xml:space="preserve">שאנחנו </w:t>
      </w:r>
      <w:bookmarkStart w:id="10679" w:name="_ETM_Q12_355269"/>
      <w:bookmarkEnd w:id="10679"/>
      <w:r>
        <w:rPr>
          <w:rFonts w:hint="cs"/>
          <w:rtl/>
        </w:rPr>
        <w:t xml:space="preserve">צריכים, </w:t>
      </w:r>
      <w:bookmarkStart w:id="10680" w:name="_ETM_Q12_356480"/>
      <w:bookmarkEnd w:id="10680"/>
      <w:r>
        <w:rPr>
          <w:rFonts w:hint="cs"/>
          <w:rtl/>
        </w:rPr>
        <w:t xml:space="preserve">עם </w:t>
      </w:r>
      <w:bookmarkStart w:id="10681" w:name="_ETM_Q12_356659"/>
      <w:bookmarkEnd w:id="10681"/>
      <w:r>
        <w:rPr>
          <w:rFonts w:hint="cs"/>
          <w:rtl/>
        </w:rPr>
        <w:t xml:space="preserve">כל </w:t>
      </w:r>
      <w:bookmarkStart w:id="10682" w:name="_ETM_Q12_356900"/>
      <w:bookmarkEnd w:id="10682"/>
      <w:r>
        <w:rPr>
          <w:rFonts w:hint="cs"/>
          <w:rtl/>
        </w:rPr>
        <w:t xml:space="preserve">הפוליטיזציה </w:t>
      </w:r>
      <w:bookmarkStart w:id="10683" w:name="_ETM_Q12_357829"/>
      <w:bookmarkEnd w:id="10683"/>
      <w:r>
        <w:rPr>
          <w:rFonts w:hint="cs"/>
          <w:rtl/>
        </w:rPr>
        <w:t>של מדינת</w:t>
      </w:r>
      <w:bookmarkStart w:id="10684" w:name="_ETM_Q12_355739"/>
      <w:bookmarkEnd w:id="10684"/>
      <w:r>
        <w:rPr>
          <w:rFonts w:hint="cs"/>
          <w:rtl/>
        </w:rPr>
        <w:t xml:space="preserve"> </w:t>
      </w:r>
      <w:bookmarkStart w:id="10685" w:name="_ETM_Q12_358189"/>
      <w:bookmarkEnd w:id="10685"/>
      <w:r>
        <w:rPr>
          <w:rFonts w:hint="cs"/>
          <w:rtl/>
        </w:rPr>
        <w:t xml:space="preserve">ישראל, </w:t>
      </w:r>
      <w:bookmarkStart w:id="10686" w:name="_ETM_Q12_359099"/>
      <w:bookmarkEnd w:id="10686"/>
      <w:r>
        <w:rPr>
          <w:rFonts w:hint="cs"/>
          <w:rtl/>
        </w:rPr>
        <w:t xml:space="preserve">זה </w:t>
      </w:r>
      <w:bookmarkStart w:id="10687" w:name="_ETM_Q12_359310"/>
      <w:bookmarkEnd w:id="10687"/>
      <w:r>
        <w:rPr>
          <w:rFonts w:hint="cs"/>
          <w:rtl/>
        </w:rPr>
        <w:t xml:space="preserve">שהשופטים </w:t>
      </w:r>
      <w:bookmarkStart w:id="10688" w:name="_ETM_Q12_359790"/>
      <w:bookmarkEnd w:id="10688"/>
      <w:r>
        <w:rPr>
          <w:rFonts w:hint="cs"/>
          <w:rtl/>
        </w:rPr>
        <w:t xml:space="preserve">יהיו </w:t>
      </w:r>
      <w:bookmarkStart w:id="10689" w:name="_ETM_Q12_360000"/>
      <w:bookmarkEnd w:id="10689"/>
      <w:r>
        <w:rPr>
          <w:rFonts w:hint="cs"/>
          <w:rtl/>
        </w:rPr>
        <w:t>מטעם</w:t>
      </w:r>
      <w:bookmarkStart w:id="10690" w:name="_ETM_Q12_360780"/>
      <w:bookmarkStart w:id="10691" w:name="_ETM_Q12_361080"/>
      <w:bookmarkEnd w:id="10690"/>
      <w:bookmarkEnd w:id="10691"/>
      <w:r>
        <w:rPr>
          <w:rFonts w:hint="cs"/>
          <w:rtl/>
        </w:rPr>
        <w:t xml:space="preserve"> ויהיו מינויים</w:t>
      </w:r>
      <w:bookmarkStart w:id="10692" w:name="_ETM_Q12_357868"/>
      <w:bookmarkEnd w:id="10692"/>
      <w:r>
        <w:rPr>
          <w:rFonts w:hint="cs"/>
          <w:rtl/>
        </w:rPr>
        <w:t xml:space="preserve"> </w:t>
      </w:r>
      <w:bookmarkStart w:id="10693" w:name="_ETM_Q12_361410"/>
      <w:bookmarkEnd w:id="10693"/>
      <w:r>
        <w:rPr>
          <w:rFonts w:hint="cs"/>
          <w:rtl/>
        </w:rPr>
        <w:t xml:space="preserve">פוליטיים. </w:t>
      </w:r>
      <w:bookmarkStart w:id="10694" w:name="_ETM_Q12_362469"/>
      <w:bookmarkEnd w:id="10694"/>
      <w:r>
        <w:rPr>
          <w:rFonts w:hint="cs"/>
          <w:rtl/>
        </w:rPr>
        <w:t xml:space="preserve">בסופו </w:t>
      </w:r>
      <w:bookmarkStart w:id="10695" w:name="_ETM_Q12_362769"/>
      <w:bookmarkEnd w:id="10695"/>
      <w:r>
        <w:rPr>
          <w:rFonts w:hint="cs"/>
          <w:rtl/>
        </w:rPr>
        <w:t xml:space="preserve">של </w:t>
      </w:r>
      <w:bookmarkStart w:id="10696" w:name="_ETM_Q12_362950"/>
      <w:bookmarkEnd w:id="10696"/>
      <w:r>
        <w:rPr>
          <w:rFonts w:hint="cs"/>
          <w:rtl/>
        </w:rPr>
        <w:t xml:space="preserve">דבר </w:t>
      </w:r>
      <w:bookmarkStart w:id="10697" w:name="_ETM_Q12_363249"/>
      <w:bookmarkEnd w:id="10697"/>
      <w:r>
        <w:rPr>
          <w:rFonts w:hint="cs"/>
          <w:rtl/>
        </w:rPr>
        <w:t xml:space="preserve">אנחנו </w:t>
      </w:r>
      <w:bookmarkStart w:id="10698" w:name="_ETM_Q12_363579"/>
      <w:bookmarkEnd w:id="10698"/>
      <w:r>
        <w:rPr>
          <w:rFonts w:hint="cs"/>
          <w:rtl/>
        </w:rPr>
        <w:t xml:space="preserve">צריכים </w:t>
      </w:r>
      <w:bookmarkStart w:id="10699" w:name="_ETM_Q12_363909"/>
      <w:bookmarkEnd w:id="10699"/>
      <w:r>
        <w:rPr>
          <w:rFonts w:hint="cs"/>
          <w:rtl/>
        </w:rPr>
        <w:t xml:space="preserve">שופטים </w:t>
      </w:r>
      <w:bookmarkStart w:id="10700" w:name="_ETM_Q12_364480"/>
      <w:bookmarkEnd w:id="10700"/>
      <w:r>
        <w:rPr>
          <w:rFonts w:hint="cs"/>
          <w:rtl/>
        </w:rPr>
        <w:t xml:space="preserve">מקצועיים, </w:t>
      </w:r>
      <w:bookmarkStart w:id="10701" w:name="_ETM_Q12_366099"/>
      <w:bookmarkEnd w:id="10701"/>
      <w:r>
        <w:rPr>
          <w:rFonts w:hint="cs"/>
          <w:rtl/>
        </w:rPr>
        <w:t xml:space="preserve">וזה </w:t>
      </w:r>
      <w:bookmarkStart w:id="10702" w:name="_ETM_Q12_366370"/>
      <w:bookmarkEnd w:id="10702"/>
      <w:r>
        <w:rPr>
          <w:rFonts w:hint="cs"/>
          <w:rtl/>
        </w:rPr>
        <w:t xml:space="preserve">לא </w:t>
      </w:r>
      <w:bookmarkStart w:id="10703" w:name="_ETM_Q12_366519"/>
      <w:bookmarkEnd w:id="10703"/>
      <w:r>
        <w:rPr>
          <w:rFonts w:hint="cs"/>
          <w:rtl/>
        </w:rPr>
        <w:t xml:space="preserve">מעניין </w:t>
      </w:r>
      <w:bookmarkStart w:id="10704" w:name="_ETM_Q12_367090"/>
      <w:bookmarkEnd w:id="10704"/>
      <w:r>
        <w:rPr>
          <w:rFonts w:hint="cs"/>
          <w:rtl/>
        </w:rPr>
        <w:t xml:space="preserve">אותי </w:t>
      </w:r>
      <w:bookmarkStart w:id="10705" w:name="_ETM_Q12_368299"/>
      <w:bookmarkEnd w:id="10705"/>
      <w:r>
        <w:rPr>
          <w:rFonts w:hint="cs"/>
          <w:rtl/>
        </w:rPr>
        <w:t xml:space="preserve">מאיזה </w:t>
      </w:r>
      <w:bookmarkStart w:id="10706" w:name="_ETM_Q12_368779"/>
      <w:bookmarkEnd w:id="10706"/>
      <w:r>
        <w:rPr>
          <w:rFonts w:hint="cs"/>
          <w:rtl/>
        </w:rPr>
        <w:t xml:space="preserve">מוצא </w:t>
      </w:r>
      <w:bookmarkStart w:id="10707" w:name="_ETM_Q12_369349"/>
      <w:bookmarkEnd w:id="10707"/>
      <w:r>
        <w:rPr>
          <w:rFonts w:hint="cs"/>
          <w:rtl/>
        </w:rPr>
        <w:t>הוא</w:t>
      </w:r>
      <w:bookmarkStart w:id="10708" w:name="_ETM_Q12_369709"/>
      <w:bookmarkEnd w:id="10708"/>
      <w:r>
        <w:rPr>
          <w:rFonts w:hint="cs"/>
          <w:rtl/>
        </w:rPr>
        <w:t xml:space="preserve"> או </w:t>
      </w:r>
      <w:bookmarkStart w:id="10709" w:name="_ETM_Q12_372028"/>
      <w:bookmarkEnd w:id="10709"/>
      <w:r>
        <w:rPr>
          <w:rFonts w:hint="cs"/>
          <w:rtl/>
        </w:rPr>
        <w:t xml:space="preserve">היא, </w:t>
      </w:r>
      <w:bookmarkStart w:id="10710" w:name="_ETM_Q12_370489"/>
      <w:bookmarkEnd w:id="10710"/>
      <w:r>
        <w:rPr>
          <w:rFonts w:hint="cs"/>
          <w:rtl/>
        </w:rPr>
        <w:t xml:space="preserve">ממש </w:t>
      </w:r>
      <w:bookmarkStart w:id="10711" w:name="_ETM_Q12_371180"/>
      <w:bookmarkEnd w:id="10711"/>
      <w:r>
        <w:rPr>
          <w:rFonts w:hint="cs"/>
          <w:rtl/>
        </w:rPr>
        <w:t xml:space="preserve">לא </w:t>
      </w:r>
      <w:bookmarkStart w:id="10712" w:name="_ETM_Q12_371540"/>
      <w:bookmarkEnd w:id="10712"/>
      <w:r>
        <w:rPr>
          <w:rFonts w:hint="cs"/>
          <w:rtl/>
        </w:rPr>
        <w:t xml:space="preserve">מעניין </w:t>
      </w:r>
      <w:bookmarkStart w:id="10713" w:name="_ETM_Q12_372109"/>
      <w:bookmarkEnd w:id="10713"/>
      <w:r>
        <w:rPr>
          <w:rFonts w:hint="cs"/>
          <w:rtl/>
        </w:rPr>
        <w:t xml:space="preserve">אותי, </w:t>
      </w:r>
      <w:bookmarkStart w:id="10714" w:name="_ETM_Q12_373190"/>
      <w:bookmarkEnd w:id="10714"/>
      <w:r>
        <w:rPr>
          <w:rFonts w:hint="cs"/>
          <w:rtl/>
        </w:rPr>
        <w:t xml:space="preserve">כי </w:t>
      </w:r>
      <w:bookmarkStart w:id="10715" w:name="_ETM_Q12_373370"/>
      <w:bookmarkEnd w:id="10715"/>
      <w:r>
        <w:rPr>
          <w:rFonts w:hint="cs"/>
          <w:rtl/>
        </w:rPr>
        <w:t xml:space="preserve">זה </w:t>
      </w:r>
      <w:bookmarkStart w:id="10716" w:name="_ETM_Q12_373460"/>
      <w:bookmarkEnd w:id="10716"/>
      <w:r>
        <w:rPr>
          <w:rFonts w:hint="cs"/>
          <w:rtl/>
        </w:rPr>
        <w:t xml:space="preserve">הדבר </w:t>
      </w:r>
      <w:bookmarkStart w:id="10717" w:name="_ETM_Q12_373790"/>
      <w:bookmarkEnd w:id="10717"/>
      <w:r>
        <w:rPr>
          <w:rFonts w:hint="cs"/>
          <w:rtl/>
        </w:rPr>
        <w:t xml:space="preserve">האחרון </w:t>
      </w:r>
      <w:bookmarkStart w:id="10718" w:name="_ETM_Q12_374300"/>
      <w:bookmarkEnd w:id="10718"/>
      <w:r>
        <w:rPr>
          <w:rFonts w:hint="cs"/>
          <w:rtl/>
        </w:rPr>
        <w:t xml:space="preserve">שאנחנו </w:t>
      </w:r>
      <w:bookmarkStart w:id="10719" w:name="_ETM_Q12_374660"/>
      <w:bookmarkEnd w:id="10719"/>
      <w:r>
        <w:rPr>
          <w:rFonts w:hint="cs"/>
          <w:rtl/>
        </w:rPr>
        <w:t xml:space="preserve">צריכים </w:t>
      </w:r>
      <w:bookmarkStart w:id="10720" w:name="_ETM_Q12_375080"/>
      <w:bookmarkEnd w:id="10720"/>
      <w:r>
        <w:rPr>
          <w:rFonts w:hint="cs"/>
          <w:rtl/>
        </w:rPr>
        <w:t xml:space="preserve">לשאול </w:t>
      </w:r>
      <w:bookmarkStart w:id="10721" w:name="_ETM_Q12_375470"/>
      <w:bookmarkEnd w:id="10721"/>
      <w:r>
        <w:rPr>
          <w:rFonts w:hint="cs"/>
          <w:rtl/>
        </w:rPr>
        <w:t xml:space="preserve">ולבדוק. </w:t>
      </w:r>
      <w:bookmarkStart w:id="10722" w:name="_ETM_Q12_376530"/>
      <w:bookmarkEnd w:id="10722"/>
      <w:r>
        <w:rPr>
          <w:rFonts w:hint="cs"/>
          <w:rtl/>
        </w:rPr>
        <w:t xml:space="preserve">אנחנו </w:t>
      </w:r>
      <w:bookmarkStart w:id="10723" w:name="_ETM_Q12_376919"/>
      <w:bookmarkEnd w:id="10723"/>
      <w:r>
        <w:rPr>
          <w:rFonts w:hint="cs"/>
          <w:rtl/>
        </w:rPr>
        <w:t xml:space="preserve">צריכים </w:t>
      </w:r>
      <w:bookmarkStart w:id="10724" w:name="_ETM_Q12_377340"/>
      <w:bookmarkEnd w:id="10724"/>
      <w:r>
        <w:rPr>
          <w:rFonts w:hint="cs"/>
          <w:rtl/>
        </w:rPr>
        <w:t xml:space="preserve">לשאול </w:t>
      </w:r>
      <w:bookmarkStart w:id="10725" w:name="_ETM_Q12_377730"/>
      <w:bookmarkEnd w:id="10725"/>
      <w:r>
        <w:rPr>
          <w:rFonts w:hint="cs"/>
          <w:rtl/>
        </w:rPr>
        <w:t xml:space="preserve">ולבדוק </w:t>
      </w:r>
      <w:bookmarkStart w:id="10726" w:name="_ETM_Q12_378660"/>
      <w:bookmarkEnd w:id="10726"/>
      <w:r>
        <w:rPr>
          <w:rFonts w:hint="cs"/>
          <w:rtl/>
        </w:rPr>
        <w:t xml:space="preserve">אם </w:t>
      </w:r>
      <w:bookmarkStart w:id="10727" w:name="_ETM_Q12_378930"/>
      <w:bookmarkEnd w:id="10727"/>
      <w:r>
        <w:rPr>
          <w:rFonts w:hint="cs"/>
          <w:rtl/>
        </w:rPr>
        <w:t xml:space="preserve">השופט </w:t>
      </w:r>
      <w:bookmarkStart w:id="10728" w:name="_ETM_Q12_379470"/>
      <w:bookmarkEnd w:id="10728"/>
      <w:r>
        <w:rPr>
          <w:rFonts w:hint="cs"/>
          <w:rtl/>
        </w:rPr>
        <w:t xml:space="preserve">הזה – היא או הוא – </w:t>
      </w:r>
      <w:bookmarkStart w:id="10729" w:name="_ETM_Q12_379860"/>
      <w:bookmarkStart w:id="10730" w:name="_ETM_Q12_380400"/>
      <w:bookmarkStart w:id="10731" w:name="_ETM_Q12_381700"/>
      <w:bookmarkEnd w:id="10729"/>
      <w:bookmarkEnd w:id="10730"/>
      <w:bookmarkEnd w:id="10731"/>
      <w:r>
        <w:rPr>
          <w:rFonts w:hint="cs"/>
          <w:rtl/>
        </w:rPr>
        <w:t>ראוי,</w:t>
      </w:r>
      <w:bookmarkStart w:id="10732" w:name="_ETM_Q12_377938"/>
      <w:bookmarkEnd w:id="10732"/>
      <w:r>
        <w:rPr>
          <w:rFonts w:hint="cs"/>
          <w:rtl/>
        </w:rPr>
        <w:t xml:space="preserve"> </w:t>
      </w:r>
      <w:bookmarkStart w:id="10733" w:name="_ETM_Q12_382419"/>
      <w:bookmarkEnd w:id="10733"/>
      <w:r>
        <w:rPr>
          <w:rFonts w:hint="cs"/>
          <w:rtl/>
        </w:rPr>
        <w:t xml:space="preserve">מקצועי, </w:t>
      </w:r>
      <w:bookmarkStart w:id="10734" w:name="_ETM_Q12_384919"/>
      <w:bookmarkEnd w:id="10734"/>
      <w:r>
        <w:rPr>
          <w:rFonts w:hint="cs"/>
          <w:rtl/>
        </w:rPr>
        <w:t xml:space="preserve">יכול </w:t>
      </w:r>
      <w:bookmarkStart w:id="10735" w:name="_ETM_Q12_385370"/>
      <w:bookmarkEnd w:id="10735"/>
      <w:r>
        <w:rPr>
          <w:rFonts w:hint="cs"/>
          <w:rtl/>
        </w:rPr>
        <w:t xml:space="preserve">לעבוד </w:t>
      </w:r>
      <w:bookmarkStart w:id="10736" w:name="_ETM_Q12_385760"/>
      <w:bookmarkEnd w:id="10736"/>
      <w:r>
        <w:rPr>
          <w:rFonts w:hint="cs"/>
          <w:rtl/>
        </w:rPr>
        <w:t xml:space="preserve">במערכת </w:t>
      </w:r>
      <w:bookmarkStart w:id="10737" w:name="_ETM_Q12_386989"/>
      <w:bookmarkEnd w:id="10737"/>
      <w:r>
        <w:rPr>
          <w:rFonts w:hint="cs"/>
          <w:rtl/>
        </w:rPr>
        <w:t xml:space="preserve">לטובת </w:t>
      </w:r>
      <w:bookmarkStart w:id="10738" w:name="_ETM_Q12_387500"/>
      <w:bookmarkEnd w:id="10738"/>
      <w:r>
        <w:rPr>
          <w:rFonts w:hint="cs"/>
          <w:rtl/>
        </w:rPr>
        <w:t xml:space="preserve">האזרחים. </w:t>
      </w:r>
      <w:bookmarkStart w:id="10739" w:name="_ETM_Q12_388900"/>
      <w:bookmarkEnd w:id="10739"/>
      <w:r>
        <w:rPr>
          <w:rFonts w:hint="cs"/>
          <w:rtl/>
        </w:rPr>
        <w:t xml:space="preserve">כמו </w:t>
      </w:r>
      <w:bookmarkStart w:id="10740" w:name="_ETM_Q12_389319"/>
      <w:bookmarkEnd w:id="10740"/>
      <w:r>
        <w:rPr>
          <w:rFonts w:hint="cs"/>
          <w:rtl/>
        </w:rPr>
        <w:t xml:space="preserve">שאני </w:t>
      </w:r>
      <w:bookmarkStart w:id="10741" w:name="_ETM_Q12_389680"/>
      <w:bookmarkEnd w:id="10741"/>
      <w:r>
        <w:rPr>
          <w:rFonts w:hint="cs"/>
          <w:rtl/>
        </w:rPr>
        <w:t xml:space="preserve">לא </w:t>
      </w:r>
      <w:bookmarkStart w:id="10742" w:name="_ETM_Q12_389859"/>
      <w:bookmarkEnd w:id="10742"/>
      <w:r>
        <w:rPr>
          <w:rFonts w:hint="cs"/>
          <w:rtl/>
        </w:rPr>
        <w:t>שואלת רופא מא</w:t>
      </w:r>
      <w:bookmarkStart w:id="10743" w:name="_ETM_Q12_391690"/>
      <w:bookmarkEnd w:id="10743"/>
      <w:r>
        <w:rPr>
          <w:rFonts w:hint="cs"/>
          <w:rtl/>
        </w:rPr>
        <w:t xml:space="preserve">יזה מוצא </w:t>
      </w:r>
      <w:bookmarkStart w:id="10744" w:name="_ETM_Q12_392050"/>
      <w:bookmarkEnd w:id="10744"/>
      <w:r>
        <w:rPr>
          <w:rFonts w:hint="cs"/>
          <w:rtl/>
        </w:rPr>
        <w:t>הוא</w:t>
      </w:r>
      <w:bookmarkStart w:id="10745" w:name="_ETM_Q12_392977"/>
      <w:bookmarkEnd w:id="10745"/>
      <w:r>
        <w:rPr>
          <w:rFonts w:hint="cs"/>
          <w:rtl/>
        </w:rPr>
        <w:t xml:space="preserve">, </w:t>
      </w:r>
      <w:bookmarkStart w:id="10746" w:name="_ETM_Q12_394049"/>
      <w:bookmarkStart w:id="10747" w:name="_ETM_Q12_394470"/>
      <w:bookmarkStart w:id="10748" w:name="_ETM_Q12_395459"/>
      <w:bookmarkEnd w:id="10746"/>
      <w:bookmarkEnd w:id="10747"/>
      <w:bookmarkEnd w:id="10748"/>
      <w:r>
        <w:rPr>
          <w:rFonts w:hint="cs"/>
          <w:rtl/>
        </w:rPr>
        <w:t xml:space="preserve">אני </w:t>
      </w:r>
      <w:bookmarkStart w:id="10749" w:name="_ETM_Q12_395670"/>
      <w:bookmarkEnd w:id="10749"/>
      <w:r>
        <w:rPr>
          <w:rFonts w:hint="cs"/>
          <w:rtl/>
        </w:rPr>
        <w:t xml:space="preserve">רק </w:t>
      </w:r>
      <w:bookmarkStart w:id="10750" w:name="_ETM_Q12_395849"/>
      <w:bookmarkEnd w:id="10750"/>
      <w:r>
        <w:rPr>
          <w:rFonts w:hint="cs"/>
          <w:rtl/>
        </w:rPr>
        <w:t xml:space="preserve">שואלת </w:t>
      </w:r>
      <w:bookmarkStart w:id="10751" w:name="_ETM_Q12_396510"/>
      <w:bookmarkEnd w:id="10751"/>
      <w:r>
        <w:rPr>
          <w:rFonts w:hint="cs"/>
          <w:rtl/>
        </w:rPr>
        <w:t xml:space="preserve">אם </w:t>
      </w:r>
      <w:bookmarkStart w:id="10752" w:name="_ETM_Q12_396629"/>
      <w:bookmarkEnd w:id="10752"/>
      <w:r>
        <w:rPr>
          <w:rFonts w:hint="cs"/>
          <w:rtl/>
        </w:rPr>
        <w:t>הוא</w:t>
      </w:r>
      <w:bookmarkStart w:id="10753" w:name="_ETM_Q12_396670"/>
      <w:bookmarkEnd w:id="10753"/>
      <w:r>
        <w:rPr>
          <w:rFonts w:hint="cs"/>
          <w:rtl/>
        </w:rPr>
        <w:t xml:space="preserve"> רופא </w:t>
      </w:r>
      <w:bookmarkStart w:id="10754" w:name="_ETM_Q12_397030"/>
      <w:bookmarkEnd w:id="10754"/>
      <w:r>
        <w:rPr>
          <w:rFonts w:hint="cs"/>
          <w:rtl/>
        </w:rPr>
        <w:t xml:space="preserve">טוב. </w:t>
      </w:r>
      <w:bookmarkStart w:id="10755" w:name="_ETM_Q12_399090"/>
      <w:bookmarkEnd w:id="10755"/>
      <w:r>
        <w:rPr>
          <w:rFonts w:hint="cs"/>
          <w:rtl/>
        </w:rPr>
        <w:t xml:space="preserve">זה </w:t>
      </w:r>
      <w:bookmarkStart w:id="10756" w:name="_ETM_Q12_399330"/>
      <w:bookmarkStart w:id="10757" w:name="_ETM_Q12_399730"/>
      <w:bookmarkEnd w:id="10756"/>
      <w:bookmarkEnd w:id="10757"/>
      <w:r>
        <w:rPr>
          <w:rFonts w:hint="cs"/>
          <w:rtl/>
        </w:rPr>
        <w:t xml:space="preserve">מה שמעניין </w:t>
      </w:r>
      <w:bookmarkStart w:id="10758" w:name="_ETM_Q12_400030"/>
      <w:bookmarkEnd w:id="10758"/>
      <w:r>
        <w:rPr>
          <w:rFonts w:hint="cs"/>
          <w:rtl/>
        </w:rPr>
        <w:t xml:space="preserve">אותי. </w:t>
      </w:r>
      <w:bookmarkStart w:id="10759" w:name="_ETM_Q12_401120"/>
      <w:bookmarkStart w:id="10760" w:name="_ETM_Q12_401430"/>
      <w:bookmarkEnd w:id="10759"/>
      <w:bookmarkEnd w:id="10760"/>
      <w:r>
        <w:rPr>
          <w:rFonts w:hint="cs"/>
          <w:rtl/>
        </w:rPr>
        <w:t>באמת</w:t>
      </w:r>
      <w:bookmarkStart w:id="10761" w:name="_ETM_Q12_404705"/>
      <w:bookmarkEnd w:id="10761"/>
      <w:r>
        <w:rPr>
          <w:rFonts w:hint="cs"/>
          <w:rtl/>
        </w:rPr>
        <w:t xml:space="preserve"> לא </w:t>
      </w:r>
      <w:bookmarkStart w:id="10762" w:name="_ETM_Q12_401760"/>
      <w:bookmarkEnd w:id="10762"/>
      <w:r>
        <w:rPr>
          <w:rFonts w:hint="cs"/>
          <w:rtl/>
        </w:rPr>
        <w:t xml:space="preserve">מעניין </w:t>
      </w:r>
      <w:bookmarkStart w:id="10763" w:name="_ETM_Q12_402329"/>
      <w:bookmarkEnd w:id="10763"/>
      <w:r>
        <w:rPr>
          <w:rFonts w:hint="cs"/>
          <w:rtl/>
        </w:rPr>
        <w:t xml:space="preserve">אותי </w:t>
      </w:r>
      <w:bookmarkStart w:id="10764" w:name="_ETM_Q12_402900"/>
      <w:bookmarkEnd w:id="10764"/>
      <w:r>
        <w:rPr>
          <w:rFonts w:hint="cs"/>
          <w:rtl/>
        </w:rPr>
        <w:t xml:space="preserve">איזה </w:t>
      </w:r>
      <w:bookmarkStart w:id="10765" w:name="_ETM_Q12_403230"/>
      <w:bookmarkEnd w:id="10765"/>
      <w:r>
        <w:rPr>
          <w:rFonts w:hint="cs"/>
          <w:rtl/>
        </w:rPr>
        <w:t>פרופסור</w:t>
      </w:r>
      <w:bookmarkStart w:id="10766" w:name="_ETM_Q12_403890"/>
      <w:bookmarkEnd w:id="10766"/>
      <w:r>
        <w:rPr>
          <w:rFonts w:hint="cs"/>
          <w:rtl/>
        </w:rPr>
        <w:t xml:space="preserve">ים </w:t>
      </w:r>
      <w:bookmarkStart w:id="10767" w:name="_ETM_Q12_404010"/>
      <w:bookmarkEnd w:id="10767"/>
      <w:r>
        <w:rPr>
          <w:rFonts w:hint="cs"/>
          <w:rtl/>
        </w:rPr>
        <w:t xml:space="preserve">טיפלו עכשיו </w:t>
      </w:r>
      <w:bookmarkStart w:id="10768" w:name="_ETM_Q12_404489"/>
      <w:bookmarkStart w:id="10769" w:name="_ETM_Q12_405239"/>
      <w:bookmarkEnd w:id="10768"/>
      <w:bookmarkEnd w:id="10769"/>
      <w:r>
        <w:rPr>
          <w:rFonts w:hint="cs"/>
          <w:rtl/>
        </w:rPr>
        <w:t xml:space="preserve">בראש </w:t>
      </w:r>
      <w:bookmarkStart w:id="10770" w:name="_ETM_Q12_405629"/>
      <w:bookmarkEnd w:id="10770"/>
      <w:r>
        <w:rPr>
          <w:rFonts w:hint="cs"/>
          <w:rtl/>
        </w:rPr>
        <w:t>הממשלה</w:t>
      </w:r>
      <w:bookmarkStart w:id="10771" w:name="_ETM_Q12_406290"/>
      <w:bookmarkEnd w:id="10771"/>
      <w:r>
        <w:rPr>
          <w:rFonts w:hint="cs"/>
          <w:rtl/>
        </w:rPr>
        <w:t xml:space="preserve"> – שניים</w:t>
      </w:r>
      <w:bookmarkStart w:id="10772" w:name="_ETM_Q12_404167"/>
      <w:bookmarkEnd w:id="10772"/>
      <w:r>
        <w:rPr>
          <w:rFonts w:hint="cs"/>
          <w:rtl/>
        </w:rPr>
        <w:t xml:space="preserve">. </w:t>
      </w:r>
      <w:bookmarkStart w:id="10773" w:name="_ETM_Q12_407950"/>
      <w:bookmarkEnd w:id="10773"/>
      <w:r>
        <w:rPr>
          <w:rFonts w:hint="cs"/>
          <w:rtl/>
        </w:rPr>
        <w:t xml:space="preserve">ממש </w:t>
      </w:r>
      <w:bookmarkStart w:id="10774" w:name="_ETM_Q12_408370"/>
      <w:bookmarkEnd w:id="10774"/>
      <w:r>
        <w:rPr>
          <w:rFonts w:hint="cs"/>
          <w:rtl/>
        </w:rPr>
        <w:t xml:space="preserve">לא </w:t>
      </w:r>
      <w:bookmarkStart w:id="10775" w:name="_ETM_Q12_408520"/>
      <w:bookmarkEnd w:id="10775"/>
      <w:r>
        <w:rPr>
          <w:rFonts w:hint="cs"/>
          <w:rtl/>
        </w:rPr>
        <w:t xml:space="preserve">מעניין. </w:t>
      </w:r>
      <w:bookmarkStart w:id="10776" w:name="_ETM_Q12_410480"/>
      <w:bookmarkStart w:id="10777" w:name="_ETM_Q12_410720"/>
      <w:bookmarkEnd w:id="10776"/>
      <w:bookmarkEnd w:id="10777"/>
      <w:r>
        <w:rPr>
          <w:rFonts w:hint="cs"/>
          <w:rtl/>
        </w:rPr>
        <w:t xml:space="preserve">אגב, גם </w:t>
      </w:r>
      <w:bookmarkStart w:id="10778" w:name="_ETM_Q12_411020"/>
      <w:bookmarkEnd w:id="10778"/>
      <w:r>
        <w:rPr>
          <w:rFonts w:hint="cs"/>
          <w:rtl/>
        </w:rPr>
        <w:t xml:space="preserve">לא </w:t>
      </w:r>
      <w:bookmarkStart w:id="10779" w:name="_ETM_Q12_411170"/>
      <w:bookmarkEnd w:id="10779"/>
      <w:r>
        <w:rPr>
          <w:rFonts w:hint="cs"/>
          <w:rtl/>
        </w:rPr>
        <w:t xml:space="preserve">מעניין </w:t>
      </w:r>
      <w:bookmarkStart w:id="10780" w:name="_ETM_Q12_411500"/>
      <w:bookmarkEnd w:id="10780"/>
      <w:r>
        <w:rPr>
          <w:rFonts w:hint="cs"/>
          <w:rtl/>
        </w:rPr>
        <w:t xml:space="preserve">אם </w:t>
      </w:r>
      <w:bookmarkStart w:id="10781" w:name="_ETM_Q12_411590"/>
      <w:bookmarkEnd w:id="10781"/>
      <w:r>
        <w:rPr>
          <w:rFonts w:hint="cs"/>
          <w:rtl/>
        </w:rPr>
        <w:t xml:space="preserve">זה </w:t>
      </w:r>
      <w:bookmarkStart w:id="10782" w:name="_ETM_Q12_411710"/>
      <w:bookmarkEnd w:id="10782"/>
      <w:r>
        <w:rPr>
          <w:rFonts w:hint="cs"/>
          <w:rtl/>
        </w:rPr>
        <w:t xml:space="preserve">נשים, </w:t>
      </w:r>
      <w:bookmarkStart w:id="10783" w:name="_ETM_Q12_412220"/>
      <w:bookmarkEnd w:id="10783"/>
      <w:r>
        <w:rPr>
          <w:rFonts w:hint="cs"/>
          <w:rtl/>
        </w:rPr>
        <w:t xml:space="preserve">גברים. </w:t>
      </w:r>
      <w:bookmarkStart w:id="10784" w:name="_ETM_Q12_412970"/>
      <w:bookmarkEnd w:id="10784"/>
      <w:r>
        <w:rPr>
          <w:rFonts w:hint="cs"/>
          <w:rtl/>
        </w:rPr>
        <w:t xml:space="preserve">מעניין </w:t>
      </w:r>
      <w:bookmarkStart w:id="10785" w:name="_ETM_Q12_413570"/>
      <w:bookmarkEnd w:id="10785"/>
      <w:r>
        <w:rPr>
          <w:rFonts w:hint="cs"/>
          <w:rtl/>
        </w:rPr>
        <w:t xml:space="preserve">אותי </w:t>
      </w:r>
      <w:bookmarkStart w:id="10786" w:name="_ETM_Q12_413990"/>
      <w:bookmarkEnd w:id="10786"/>
      <w:r>
        <w:rPr>
          <w:rFonts w:hint="cs"/>
          <w:rtl/>
        </w:rPr>
        <w:t>ש</w:t>
      </w:r>
      <w:bookmarkStart w:id="10787" w:name="_ETM_Q12_414530"/>
      <w:bookmarkEnd w:id="10787"/>
      <w:r>
        <w:rPr>
          <w:rFonts w:hint="cs"/>
          <w:rtl/>
        </w:rPr>
        <w:t xml:space="preserve">הם </w:t>
      </w:r>
      <w:bookmarkStart w:id="10788" w:name="_ETM_Q12_414710"/>
      <w:bookmarkStart w:id="10789" w:name="_ETM_Q12_414256"/>
      <w:bookmarkEnd w:id="10788"/>
      <w:bookmarkEnd w:id="10789"/>
      <w:r>
        <w:rPr>
          <w:rFonts w:hint="cs"/>
          <w:rtl/>
        </w:rPr>
        <w:t xml:space="preserve">היו </w:t>
      </w:r>
      <w:bookmarkStart w:id="10790" w:name="_ETM_Q12_414920"/>
      <w:bookmarkEnd w:id="10790"/>
      <w:r>
        <w:rPr>
          <w:rFonts w:hint="cs"/>
          <w:rtl/>
        </w:rPr>
        <w:t xml:space="preserve">אנשי </w:t>
      </w:r>
      <w:bookmarkStart w:id="10791" w:name="_ETM_Q12_415310"/>
      <w:bookmarkEnd w:id="10791"/>
      <w:r>
        <w:rPr>
          <w:rFonts w:hint="cs"/>
          <w:rtl/>
        </w:rPr>
        <w:t xml:space="preserve">מקצוע </w:t>
      </w:r>
      <w:bookmarkStart w:id="10792" w:name="_ETM_Q12_416330"/>
      <w:bookmarkEnd w:id="10792"/>
      <w:r>
        <w:rPr>
          <w:rFonts w:hint="cs"/>
          <w:rtl/>
        </w:rPr>
        <w:t>ש</w:t>
      </w:r>
      <w:bookmarkStart w:id="10793" w:name="_ETM_Q12_417299"/>
      <w:bookmarkEnd w:id="10793"/>
      <w:r>
        <w:rPr>
          <w:rFonts w:hint="cs"/>
          <w:rtl/>
        </w:rPr>
        <w:t xml:space="preserve">יוכלו </w:t>
      </w:r>
      <w:bookmarkStart w:id="10794" w:name="_ETM_Q12_418200"/>
      <w:bookmarkStart w:id="10795" w:name="_ETM_Q12_418440"/>
      <w:bookmarkStart w:id="10796" w:name="_ETM_Q12_419190"/>
      <w:bookmarkEnd w:id="10794"/>
      <w:bookmarkEnd w:id="10795"/>
      <w:bookmarkEnd w:id="10796"/>
      <w:r>
        <w:rPr>
          <w:rFonts w:hint="cs"/>
          <w:rtl/>
        </w:rPr>
        <w:t xml:space="preserve">לתת את </w:t>
      </w:r>
      <w:bookmarkStart w:id="10797" w:name="_ETM_Q12_419310"/>
      <w:bookmarkEnd w:id="10797"/>
      <w:r>
        <w:rPr>
          <w:rFonts w:hint="cs"/>
          <w:rtl/>
        </w:rPr>
        <w:t xml:space="preserve">הטיפול. </w:t>
      </w:r>
      <w:bookmarkStart w:id="10798" w:name="_ETM_Q12_420360"/>
      <w:bookmarkEnd w:id="10798"/>
      <w:r>
        <w:rPr>
          <w:rFonts w:hint="cs"/>
          <w:rtl/>
        </w:rPr>
        <w:t xml:space="preserve">אז למה </w:t>
      </w:r>
      <w:bookmarkStart w:id="10799" w:name="_ETM_Q12_420750"/>
      <w:bookmarkStart w:id="10800" w:name="_ETM_Q12_420810"/>
      <w:bookmarkStart w:id="10801" w:name="_ETM_Q12_421080"/>
      <w:bookmarkStart w:id="10802" w:name="_ETM_Q12_417286"/>
      <w:bookmarkEnd w:id="10799"/>
      <w:bookmarkEnd w:id="10800"/>
      <w:bookmarkEnd w:id="10801"/>
      <w:bookmarkEnd w:id="10802"/>
      <w:r>
        <w:rPr>
          <w:rFonts w:hint="cs"/>
          <w:rtl/>
        </w:rPr>
        <w:t xml:space="preserve">השופטים? </w:t>
      </w:r>
      <w:bookmarkStart w:id="10803" w:name="_ETM_Q12_422330"/>
      <w:bookmarkStart w:id="10804" w:name="_ETM_Q12_422540"/>
      <w:bookmarkEnd w:id="10803"/>
      <w:bookmarkEnd w:id="10804"/>
      <w:r>
        <w:rPr>
          <w:rFonts w:hint="cs"/>
          <w:rtl/>
        </w:rPr>
        <w:t>א</w:t>
      </w:r>
      <w:bookmarkStart w:id="10805" w:name="_ETM_Q12_422386"/>
      <w:bookmarkEnd w:id="10805"/>
      <w:r>
        <w:rPr>
          <w:rFonts w:hint="cs"/>
          <w:rtl/>
        </w:rPr>
        <w:t xml:space="preserve">תם </w:t>
      </w:r>
      <w:bookmarkStart w:id="10806" w:name="_ETM_Q12_422720"/>
      <w:bookmarkEnd w:id="10806"/>
      <w:r>
        <w:rPr>
          <w:rFonts w:hint="cs"/>
          <w:rtl/>
        </w:rPr>
        <w:t xml:space="preserve">רוצים </w:t>
      </w:r>
      <w:bookmarkStart w:id="10807" w:name="_ETM_Q12_422970"/>
      <w:bookmarkEnd w:id="10807"/>
      <w:r>
        <w:rPr>
          <w:rFonts w:hint="cs"/>
          <w:rtl/>
        </w:rPr>
        <w:t xml:space="preserve">למנות </w:t>
      </w:r>
      <w:bookmarkStart w:id="10808" w:name="_ETM_Q12_423480"/>
      <w:bookmarkEnd w:id="10808"/>
      <w:r>
        <w:rPr>
          <w:rFonts w:hint="cs"/>
          <w:rtl/>
        </w:rPr>
        <w:t xml:space="preserve">שופטים </w:t>
      </w:r>
      <w:bookmarkStart w:id="10809" w:name="_ETM_Q12_423900"/>
      <w:bookmarkStart w:id="10810" w:name="_ETM_Q12_435437"/>
      <w:bookmarkStart w:id="10811" w:name="_ETM_Q12_430819"/>
      <w:bookmarkStart w:id="10812" w:name="_ETM_Q12_426840"/>
      <w:bookmarkStart w:id="10813" w:name="_ETM_Q12_422589"/>
      <w:bookmarkEnd w:id="10809"/>
      <w:bookmarkEnd w:id="10810"/>
      <w:bookmarkEnd w:id="10811"/>
      <w:bookmarkEnd w:id="10812"/>
      <w:bookmarkEnd w:id="10813"/>
      <w:r>
        <w:rPr>
          <w:rFonts w:hint="cs"/>
          <w:rtl/>
        </w:rPr>
        <w:t xml:space="preserve">לפי </w:t>
      </w:r>
      <w:bookmarkStart w:id="10814" w:name="_ETM_Q12_424140"/>
      <w:bookmarkEnd w:id="10814"/>
      <w:r>
        <w:rPr>
          <w:rFonts w:hint="cs"/>
          <w:rtl/>
        </w:rPr>
        <w:t>המוצא</w:t>
      </w:r>
      <w:bookmarkStart w:id="10815" w:name="_ETM_Q12_425279"/>
      <w:bookmarkEnd w:id="10815"/>
      <w:r>
        <w:rPr>
          <w:rFonts w:hint="cs"/>
          <w:rtl/>
        </w:rPr>
        <w:t xml:space="preserve"> </w:t>
      </w:r>
      <w:bookmarkStart w:id="10816" w:name="_ETM_Q12_424590"/>
      <w:bookmarkEnd w:id="10816"/>
      <w:r>
        <w:rPr>
          <w:rFonts w:hint="cs"/>
          <w:rtl/>
        </w:rPr>
        <w:t xml:space="preserve">רק </w:t>
      </w:r>
      <w:bookmarkStart w:id="10817" w:name="_ETM_Q12_424800"/>
      <w:bookmarkEnd w:id="10817"/>
      <w:r>
        <w:rPr>
          <w:rFonts w:hint="cs"/>
          <w:rtl/>
        </w:rPr>
        <w:t xml:space="preserve">כדי שזה </w:t>
      </w:r>
      <w:bookmarkStart w:id="10818" w:name="_ETM_Q12_425100"/>
      <w:bookmarkEnd w:id="10818"/>
      <w:r>
        <w:rPr>
          <w:rFonts w:hint="cs"/>
          <w:rtl/>
        </w:rPr>
        <w:t>י</w:t>
      </w:r>
      <w:bookmarkStart w:id="10819" w:name="_ETM_Q12_425670"/>
      <w:bookmarkStart w:id="10820" w:name="_ETM_Q12_425820"/>
      <w:bookmarkEnd w:id="10819"/>
      <w:bookmarkEnd w:id="10820"/>
      <w:r>
        <w:rPr>
          <w:rFonts w:hint="cs"/>
          <w:rtl/>
        </w:rPr>
        <w:t xml:space="preserve">מלא </w:t>
      </w:r>
      <w:bookmarkStart w:id="10821" w:name="_ETM_Q12_426150"/>
      <w:bookmarkEnd w:id="10821"/>
      <w:r>
        <w:rPr>
          <w:rFonts w:hint="cs"/>
          <w:rtl/>
        </w:rPr>
        <w:t xml:space="preserve">את </w:t>
      </w:r>
      <w:bookmarkStart w:id="10822" w:name="_ETM_Q12_426660"/>
      <w:bookmarkEnd w:id="10822"/>
      <w:r>
        <w:rPr>
          <w:rFonts w:hint="cs"/>
          <w:rtl/>
        </w:rPr>
        <w:t xml:space="preserve">המכסה? </w:t>
      </w:r>
      <w:bookmarkStart w:id="10823" w:name="_ETM_Q12_427320"/>
      <w:bookmarkEnd w:id="10823"/>
      <w:r>
        <w:rPr>
          <w:rFonts w:hint="cs"/>
          <w:rtl/>
        </w:rPr>
        <w:t xml:space="preserve">לא. </w:t>
      </w:r>
      <w:bookmarkStart w:id="10824" w:name="_ETM_Q12_428550"/>
      <w:bookmarkEnd w:id="10824"/>
      <w:r>
        <w:rPr>
          <w:rFonts w:hint="cs"/>
          <w:rtl/>
        </w:rPr>
        <w:t xml:space="preserve">אנחנו </w:t>
      </w:r>
      <w:bookmarkStart w:id="10825" w:name="_ETM_Q12_429180"/>
      <w:bookmarkEnd w:id="10825"/>
      <w:r>
        <w:rPr>
          <w:rFonts w:hint="cs"/>
          <w:rtl/>
        </w:rPr>
        <w:t xml:space="preserve">צריכים </w:t>
      </w:r>
      <w:bookmarkStart w:id="10826" w:name="_ETM_Q12_429629"/>
      <w:bookmarkEnd w:id="10826"/>
      <w:r>
        <w:rPr>
          <w:rFonts w:hint="cs"/>
          <w:rtl/>
        </w:rPr>
        <w:t xml:space="preserve">בכל </w:t>
      </w:r>
      <w:bookmarkStart w:id="10827" w:name="_ETM_Q12_430050"/>
      <w:bookmarkEnd w:id="10827"/>
      <w:r>
        <w:rPr>
          <w:rFonts w:hint="cs"/>
          <w:rtl/>
        </w:rPr>
        <w:t xml:space="preserve">מקום </w:t>
      </w:r>
      <w:bookmarkStart w:id="10828" w:name="_ETM_Q12_431230"/>
      <w:bookmarkEnd w:id="10828"/>
      <w:r>
        <w:rPr>
          <w:rFonts w:hint="cs"/>
          <w:rtl/>
        </w:rPr>
        <w:t xml:space="preserve">אנשי </w:t>
      </w:r>
      <w:bookmarkStart w:id="10829" w:name="_ETM_Q12_431920"/>
      <w:bookmarkEnd w:id="10829"/>
      <w:r>
        <w:rPr>
          <w:rFonts w:hint="cs"/>
          <w:rtl/>
        </w:rPr>
        <w:t>מקצוע, אנשים ראויים,</w:t>
      </w:r>
      <w:bookmarkStart w:id="10830" w:name="_ETM_Q12_432760"/>
      <w:bookmarkStart w:id="10831" w:name="_ETM_Q12_433180"/>
      <w:bookmarkStart w:id="10832" w:name="_ETM_Q12_434080"/>
      <w:bookmarkEnd w:id="10830"/>
      <w:bookmarkEnd w:id="10831"/>
      <w:bookmarkEnd w:id="10832"/>
      <w:r>
        <w:rPr>
          <w:rFonts w:hint="cs"/>
          <w:rtl/>
        </w:rPr>
        <w:t xml:space="preserve"> </w:t>
      </w:r>
      <w:bookmarkStart w:id="10833" w:name="_ETM_Q12_430896"/>
      <w:bookmarkEnd w:id="10833"/>
      <w:r>
        <w:rPr>
          <w:rFonts w:hint="cs"/>
          <w:rtl/>
        </w:rPr>
        <w:t xml:space="preserve">אנשים </w:t>
      </w:r>
      <w:bookmarkStart w:id="10834" w:name="_ETM_Q12_434560"/>
      <w:bookmarkEnd w:id="10834"/>
      <w:r>
        <w:rPr>
          <w:rFonts w:hint="cs"/>
          <w:rtl/>
        </w:rPr>
        <w:t xml:space="preserve">שמסוגלים </w:t>
      </w:r>
      <w:bookmarkStart w:id="10835" w:name="_ETM_Q12_435340"/>
      <w:bookmarkEnd w:id="10835"/>
      <w:r>
        <w:rPr>
          <w:rFonts w:hint="cs"/>
          <w:rtl/>
        </w:rPr>
        <w:t xml:space="preserve">לעמוד </w:t>
      </w:r>
      <w:bookmarkStart w:id="10836" w:name="_ETM_Q12_435760"/>
      <w:bookmarkEnd w:id="10836"/>
      <w:r>
        <w:rPr>
          <w:rFonts w:hint="cs"/>
          <w:rtl/>
        </w:rPr>
        <w:t xml:space="preserve">בתנאים </w:t>
      </w:r>
      <w:bookmarkStart w:id="10837" w:name="_ETM_Q12_436330"/>
      <w:bookmarkEnd w:id="10837"/>
      <w:r>
        <w:rPr>
          <w:rFonts w:hint="cs"/>
          <w:rtl/>
        </w:rPr>
        <w:t xml:space="preserve">של </w:t>
      </w:r>
      <w:bookmarkStart w:id="10838" w:name="_ETM_Q12_436510"/>
      <w:bookmarkEnd w:id="10838"/>
      <w:r>
        <w:rPr>
          <w:rFonts w:hint="cs"/>
          <w:rtl/>
        </w:rPr>
        <w:t xml:space="preserve">המערכת </w:t>
      </w:r>
      <w:bookmarkStart w:id="10839" w:name="_ETM_Q12_437500"/>
      <w:bookmarkEnd w:id="10839"/>
      <w:r>
        <w:rPr>
          <w:rFonts w:hint="cs"/>
          <w:rtl/>
        </w:rPr>
        <w:t>ל</w:t>
      </w:r>
      <w:bookmarkStart w:id="10840" w:name="_ETM_Q12_438279"/>
      <w:bookmarkEnd w:id="10840"/>
      <w:r>
        <w:rPr>
          <w:rFonts w:hint="cs"/>
          <w:rtl/>
        </w:rPr>
        <w:t xml:space="preserve">טובת </w:t>
      </w:r>
      <w:bookmarkStart w:id="10841" w:name="_ETM_Q12_438790"/>
      <w:bookmarkEnd w:id="10841"/>
      <w:r>
        <w:rPr>
          <w:rFonts w:hint="cs"/>
          <w:rtl/>
        </w:rPr>
        <w:t xml:space="preserve">אזרחי </w:t>
      </w:r>
      <w:bookmarkStart w:id="10842" w:name="_ETM_Q12_439270"/>
      <w:bookmarkEnd w:id="10842"/>
      <w:r>
        <w:rPr>
          <w:rFonts w:hint="cs"/>
          <w:rtl/>
        </w:rPr>
        <w:t xml:space="preserve">ישראל. </w:t>
      </w:r>
      <w:bookmarkStart w:id="10843" w:name="_ETM_Q12_442960"/>
      <w:bookmarkStart w:id="10844" w:name="_ETM_Q12_445209"/>
      <w:bookmarkStart w:id="10845" w:name="_ETM_Q12_445286"/>
      <w:bookmarkStart w:id="10846" w:name="_ETM_Q12_445497"/>
      <w:bookmarkStart w:id="10847" w:name="_ETM_Q12_445566"/>
      <w:bookmarkStart w:id="10848" w:name="_ETM_Q12_443470"/>
      <w:bookmarkStart w:id="10849" w:name="_ETM_Q12_442257"/>
      <w:bookmarkStart w:id="10850" w:name="_ETM_Q12_483388"/>
      <w:bookmarkEnd w:id="10843"/>
      <w:bookmarkEnd w:id="10844"/>
      <w:bookmarkEnd w:id="10845"/>
      <w:bookmarkEnd w:id="10846"/>
      <w:bookmarkEnd w:id="10847"/>
      <w:bookmarkEnd w:id="10848"/>
      <w:bookmarkEnd w:id="10849"/>
      <w:bookmarkEnd w:id="10850"/>
      <w:r>
        <w:rPr>
          <w:rFonts w:hint="cs"/>
          <w:rtl/>
        </w:rPr>
        <w:t xml:space="preserve">היום </w:t>
      </w:r>
      <w:bookmarkStart w:id="10851" w:name="_ETM_Q12_443680"/>
      <w:bookmarkEnd w:id="10851"/>
      <w:r>
        <w:rPr>
          <w:rFonts w:hint="cs"/>
          <w:rtl/>
        </w:rPr>
        <w:t xml:space="preserve">בבית </w:t>
      </w:r>
      <w:bookmarkStart w:id="10852" w:name="_ETM_Q12_443950"/>
      <w:bookmarkEnd w:id="10852"/>
      <w:r>
        <w:rPr>
          <w:rFonts w:hint="cs"/>
          <w:rtl/>
        </w:rPr>
        <w:t xml:space="preserve">המשפט </w:t>
      </w:r>
      <w:bookmarkStart w:id="10853" w:name="_ETM_Q12_444339"/>
      <w:bookmarkEnd w:id="10853"/>
      <w:r>
        <w:rPr>
          <w:rFonts w:hint="cs"/>
          <w:rtl/>
        </w:rPr>
        <w:t xml:space="preserve">העליון </w:t>
      </w:r>
      <w:bookmarkStart w:id="10854" w:name="_ETM_Q12_444700"/>
      <w:bookmarkEnd w:id="10854"/>
      <w:r>
        <w:rPr>
          <w:rFonts w:hint="cs"/>
          <w:rtl/>
        </w:rPr>
        <w:t xml:space="preserve">אני </w:t>
      </w:r>
      <w:bookmarkStart w:id="10855" w:name="_ETM_Q12_444850"/>
      <w:bookmarkEnd w:id="10855"/>
      <w:r>
        <w:rPr>
          <w:rFonts w:hint="cs"/>
          <w:rtl/>
        </w:rPr>
        <w:t xml:space="preserve">לא </w:t>
      </w:r>
      <w:bookmarkStart w:id="10856" w:name="_ETM_Q12_445000"/>
      <w:bookmarkEnd w:id="10856"/>
      <w:r>
        <w:rPr>
          <w:rFonts w:hint="cs"/>
          <w:rtl/>
        </w:rPr>
        <w:t xml:space="preserve">רואה </w:t>
      </w:r>
      <w:bookmarkStart w:id="10857" w:name="_ETM_Q12_445180"/>
      <w:bookmarkEnd w:id="10857"/>
      <w:r>
        <w:rPr>
          <w:rFonts w:hint="cs"/>
          <w:rtl/>
        </w:rPr>
        <w:t xml:space="preserve">יוצאי </w:t>
      </w:r>
      <w:bookmarkStart w:id="10858" w:name="_ETM_Q12_445600"/>
      <w:bookmarkEnd w:id="10858"/>
      <w:r>
        <w:rPr>
          <w:rFonts w:hint="cs"/>
          <w:rtl/>
        </w:rPr>
        <w:t xml:space="preserve">ברית </w:t>
      </w:r>
      <w:bookmarkStart w:id="10859" w:name="_ETM_Q12_445839"/>
      <w:bookmarkEnd w:id="10859"/>
      <w:r>
        <w:rPr>
          <w:rFonts w:hint="cs"/>
          <w:rtl/>
        </w:rPr>
        <w:t xml:space="preserve">המועצות </w:t>
      </w:r>
      <w:bookmarkStart w:id="10860" w:name="_ETM_Q12_446350"/>
      <w:bookmarkEnd w:id="10860"/>
      <w:r>
        <w:rPr>
          <w:rFonts w:hint="cs"/>
          <w:rtl/>
        </w:rPr>
        <w:t xml:space="preserve">לשעבר </w:t>
      </w:r>
      <w:bookmarkStart w:id="10861" w:name="_ETM_Q12_447400"/>
      <w:bookmarkEnd w:id="10861"/>
      <w:r>
        <w:rPr>
          <w:rFonts w:hint="cs"/>
          <w:rtl/>
        </w:rPr>
        <w:t xml:space="preserve">מהעלייה </w:t>
      </w:r>
      <w:bookmarkStart w:id="10862" w:name="_ETM_Q12_447940"/>
      <w:bookmarkEnd w:id="10862"/>
      <w:r>
        <w:rPr>
          <w:rFonts w:hint="cs"/>
          <w:rtl/>
        </w:rPr>
        <w:t xml:space="preserve">של שנות </w:t>
      </w:r>
      <w:bookmarkStart w:id="10863" w:name="_ETM_Q12_448210"/>
      <w:bookmarkEnd w:id="10863"/>
      <w:r>
        <w:rPr>
          <w:rFonts w:hint="cs"/>
          <w:rtl/>
        </w:rPr>
        <w:t>התשעים</w:t>
      </w:r>
      <w:bookmarkStart w:id="10864" w:name="_ETM_Q12_449180"/>
      <w:bookmarkEnd w:id="10864"/>
      <w:r>
        <w:rPr>
          <w:rFonts w:hint="cs"/>
          <w:rtl/>
        </w:rPr>
        <w:t xml:space="preserve">; </w:t>
      </w:r>
      <w:bookmarkStart w:id="10865" w:name="_ETM_Q12_450986"/>
      <w:bookmarkEnd w:id="10865"/>
      <w:r>
        <w:rPr>
          <w:rFonts w:hint="cs"/>
          <w:rtl/>
        </w:rPr>
        <w:t xml:space="preserve">אין כאלה. </w:t>
      </w:r>
      <w:bookmarkStart w:id="10866" w:name="_ETM_Q12_450820"/>
      <w:bookmarkStart w:id="10867" w:name="_ETM_Q12_451000"/>
      <w:bookmarkEnd w:id="10866"/>
      <w:bookmarkEnd w:id="10867"/>
      <w:r>
        <w:rPr>
          <w:rFonts w:hint="cs"/>
          <w:rtl/>
        </w:rPr>
        <w:t xml:space="preserve">אז מה, </w:t>
      </w:r>
      <w:bookmarkStart w:id="10868" w:name="_ETM_Q12_451180"/>
      <w:bookmarkEnd w:id="10868"/>
      <w:r>
        <w:rPr>
          <w:rFonts w:hint="cs"/>
          <w:rtl/>
        </w:rPr>
        <w:t xml:space="preserve">אני </w:t>
      </w:r>
      <w:bookmarkStart w:id="10869" w:name="_ETM_Q12_451330"/>
      <w:bookmarkEnd w:id="10869"/>
      <w:r>
        <w:rPr>
          <w:rFonts w:hint="cs"/>
          <w:rtl/>
        </w:rPr>
        <w:t xml:space="preserve">צריכה </w:t>
      </w:r>
      <w:bookmarkStart w:id="10870" w:name="_ETM_Q12_451660"/>
      <w:bookmarkEnd w:id="10870"/>
      <w:r>
        <w:rPr>
          <w:rFonts w:hint="cs"/>
          <w:rtl/>
        </w:rPr>
        <w:t xml:space="preserve">עכשיו </w:t>
      </w:r>
      <w:bookmarkStart w:id="10871" w:name="_ETM_Q12_451960"/>
      <w:bookmarkStart w:id="10872" w:name="_ETM_Q12_452110"/>
      <w:bookmarkEnd w:id="10871"/>
      <w:bookmarkEnd w:id="10872"/>
      <w:r>
        <w:rPr>
          <w:rFonts w:hint="cs"/>
          <w:rtl/>
        </w:rPr>
        <w:t xml:space="preserve">להתאבד </w:t>
      </w:r>
      <w:bookmarkStart w:id="10873" w:name="_ETM_Q12_452680"/>
      <w:bookmarkEnd w:id="10873"/>
      <w:r>
        <w:rPr>
          <w:rFonts w:hint="cs"/>
          <w:rtl/>
        </w:rPr>
        <w:t xml:space="preserve">פה </w:t>
      </w:r>
      <w:bookmarkStart w:id="10874" w:name="_ETM_Q12_453526"/>
      <w:bookmarkEnd w:id="10874"/>
      <w:r>
        <w:rPr>
          <w:rFonts w:hint="cs"/>
          <w:rtl/>
        </w:rPr>
        <w:t xml:space="preserve">ולצעוק, </w:t>
      </w:r>
      <w:bookmarkStart w:id="10875" w:name="_ETM_Q12_453550"/>
      <w:bookmarkEnd w:id="10875"/>
      <w:r>
        <w:rPr>
          <w:rFonts w:hint="cs"/>
          <w:rtl/>
        </w:rPr>
        <w:t xml:space="preserve">אוי אוי אוי? </w:t>
      </w:r>
      <w:bookmarkStart w:id="10876" w:name="_ETM_Q12_454940"/>
      <w:bookmarkEnd w:id="10876"/>
      <w:r>
        <w:rPr>
          <w:rFonts w:hint="cs"/>
          <w:rtl/>
        </w:rPr>
        <w:t xml:space="preserve">לא. </w:t>
      </w:r>
      <w:bookmarkStart w:id="10877" w:name="_ETM_Q12_456080"/>
      <w:bookmarkEnd w:id="10877"/>
      <w:r>
        <w:rPr>
          <w:rFonts w:hint="cs"/>
          <w:rtl/>
        </w:rPr>
        <w:t xml:space="preserve">אנחנו </w:t>
      </w:r>
      <w:bookmarkStart w:id="10878" w:name="_ETM_Q12_456529"/>
      <w:bookmarkEnd w:id="10878"/>
      <w:r>
        <w:rPr>
          <w:rFonts w:hint="cs"/>
          <w:rtl/>
        </w:rPr>
        <w:t xml:space="preserve">צריכים </w:t>
      </w:r>
      <w:bookmarkStart w:id="10879" w:name="_ETM_Q12_456890"/>
      <w:bookmarkEnd w:id="10879"/>
      <w:r>
        <w:rPr>
          <w:rFonts w:hint="cs"/>
          <w:rtl/>
        </w:rPr>
        <w:t xml:space="preserve">לעבוד </w:t>
      </w:r>
      <w:bookmarkStart w:id="10880" w:name="_ETM_Q12_457220"/>
      <w:bookmarkStart w:id="10881" w:name="_ETM_Q12_457490"/>
      <w:bookmarkEnd w:id="10880"/>
      <w:bookmarkEnd w:id="10881"/>
      <w:r>
        <w:rPr>
          <w:rFonts w:hint="cs"/>
          <w:rtl/>
        </w:rPr>
        <w:t xml:space="preserve">קשה </w:t>
      </w:r>
      <w:bookmarkStart w:id="10882" w:name="_ETM_Q12_457970"/>
      <w:bookmarkEnd w:id="10882"/>
      <w:r>
        <w:rPr>
          <w:rFonts w:hint="cs"/>
          <w:rtl/>
        </w:rPr>
        <w:t xml:space="preserve">יותר, אנחנו </w:t>
      </w:r>
      <w:bookmarkStart w:id="10883" w:name="_ETM_Q12_458210"/>
      <w:bookmarkEnd w:id="10883"/>
      <w:r>
        <w:rPr>
          <w:rFonts w:hint="cs"/>
          <w:rtl/>
        </w:rPr>
        <w:t xml:space="preserve">צריכים </w:t>
      </w:r>
      <w:bookmarkStart w:id="10884" w:name="_ETM_Q12_458600"/>
      <w:bookmarkEnd w:id="10884"/>
      <w:r>
        <w:rPr>
          <w:rFonts w:hint="cs"/>
          <w:rtl/>
        </w:rPr>
        <w:t xml:space="preserve">ללמוד, </w:t>
      </w:r>
      <w:bookmarkStart w:id="10885" w:name="_ETM_Q12_459170"/>
      <w:bookmarkEnd w:id="10885"/>
      <w:r>
        <w:rPr>
          <w:rFonts w:hint="cs"/>
          <w:rtl/>
        </w:rPr>
        <w:t xml:space="preserve">אנחנו </w:t>
      </w:r>
      <w:bookmarkStart w:id="10886" w:name="_ETM_Q12_459410"/>
      <w:bookmarkEnd w:id="10886"/>
      <w:r>
        <w:rPr>
          <w:rFonts w:hint="cs"/>
          <w:rtl/>
        </w:rPr>
        <w:t xml:space="preserve">צריכים </w:t>
      </w:r>
      <w:bookmarkStart w:id="10887" w:name="_ETM_Q12_459740"/>
      <w:bookmarkEnd w:id="10887"/>
      <w:r>
        <w:rPr>
          <w:rFonts w:hint="cs"/>
          <w:rtl/>
        </w:rPr>
        <w:t xml:space="preserve">להתאמץ, </w:t>
      </w:r>
      <w:bookmarkStart w:id="10888" w:name="_ETM_Q12_460760"/>
      <w:bookmarkEnd w:id="10888"/>
      <w:r>
        <w:rPr>
          <w:rFonts w:hint="cs"/>
          <w:rtl/>
        </w:rPr>
        <w:t xml:space="preserve">ויבוא </w:t>
      </w:r>
      <w:bookmarkStart w:id="10889" w:name="_ETM_Q12_461240"/>
      <w:bookmarkEnd w:id="10889"/>
      <w:r>
        <w:rPr>
          <w:rFonts w:hint="cs"/>
          <w:rtl/>
        </w:rPr>
        <w:t xml:space="preserve">היום </w:t>
      </w:r>
      <w:bookmarkStart w:id="10890" w:name="_ETM_Q12_461870"/>
      <w:bookmarkEnd w:id="10890"/>
      <w:r>
        <w:rPr>
          <w:rFonts w:hint="cs"/>
          <w:rtl/>
        </w:rPr>
        <w:t>ויהיה כ</w:t>
      </w:r>
      <w:bookmarkStart w:id="10891" w:name="_ETM_Q12_459187"/>
      <w:bookmarkEnd w:id="10891"/>
      <w:r>
        <w:rPr>
          <w:rFonts w:hint="cs"/>
          <w:rtl/>
        </w:rPr>
        <w:t xml:space="preserve">זה, </w:t>
      </w:r>
      <w:bookmarkStart w:id="10892" w:name="_ETM_Q12_462460"/>
      <w:bookmarkEnd w:id="10892"/>
      <w:r>
        <w:rPr>
          <w:rFonts w:hint="cs"/>
          <w:rtl/>
        </w:rPr>
        <w:t xml:space="preserve">אבל </w:t>
      </w:r>
      <w:bookmarkStart w:id="10893" w:name="_ETM_Q12_462849"/>
      <w:bookmarkEnd w:id="10893"/>
      <w:r>
        <w:rPr>
          <w:rFonts w:hint="cs"/>
          <w:rtl/>
        </w:rPr>
        <w:t xml:space="preserve">זה </w:t>
      </w:r>
      <w:bookmarkStart w:id="10894" w:name="_ETM_Q12_463059"/>
      <w:bookmarkEnd w:id="10894"/>
      <w:r>
        <w:rPr>
          <w:rFonts w:hint="cs"/>
          <w:rtl/>
        </w:rPr>
        <w:t xml:space="preserve">תהליך. </w:t>
      </w:r>
      <w:bookmarkStart w:id="10895" w:name="_ETM_Q12_464620"/>
      <w:bookmarkEnd w:id="10895"/>
      <w:r>
        <w:rPr>
          <w:rFonts w:hint="cs"/>
          <w:rtl/>
        </w:rPr>
        <w:t xml:space="preserve">ואתם </w:t>
      </w:r>
      <w:bookmarkStart w:id="10896" w:name="_ETM_Q12_464980"/>
      <w:bookmarkEnd w:id="10896"/>
      <w:r>
        <w:rPr>
          <w:rFonts w:hint="cs"/>
          <w:rtl/>
        </w:rPr>
        <w:t>בחרת</w:t>
      </w:r>
      <w:bookmarkStart w:id="10897" w:name="_ETM_Q12_465400"/>
      <w:bookmarkEnd w:id="10897"/>
      <w:r>
        <w:rPr>
          <w:rFonts w:hint="cs"/>
          <w:rtl/>
        </w:rPr>
        <w:t xml:space="preserve">ם </w:t>
      </w:r>
      <w:bookmarkStart w:id="10898" w:name="_ETM_Q12_465639"/>
      <w:bookmarkEnd w:id="10898"/>
      <w:r>
        <w:rPr>
          <w:rFonts w:hint="cs"/>
          <w:rtl/>
        </w:rPr>
        <w:t xml:space="preserve">כל </w:t>
      </w:r>
      <w:bookmarkStart w:id="10899" w:name="_ETM_Q12_465940"/>
      <w:bookmarkEnd w:id="10899"/>
      <w:r>
        <w:rPr>
          <w:rFonts w:hint="cs"/>
          <w:rtl/>
        </w:rPr>
        <w:t xml:space="preserve">הזמן </w:t>
      </w:r>
      <w:bookmarkStart w:id="10900" w:name="_ETM_Q12_466360"/>
      <w:bookmarkEnd w:id="10900"/>
      <w:r>
        <w:rPr>
          <w:rFonts w:hint="cs"/>
          <w:rtl/>
        </w:rPr>
        <w:t xml:space="preserve">להתבכיין. </w:t>
      </w:r>
      <w:bookmarkStart w:id="10901" w:name="_ETM_Q12_467470"/>
      <w:bookmarkStart w:id="10902" w:name="_ETM_Q12_467650"/>
      <w:bookmarkEnd w:id="10901"/>
      <w:bookmarkEnd w:id="10902"/>
    </w:p>
    <w:p w:rsidR="000C5C1F" w:rsidRDefault="000C5C1F" w:rsidP="000C5C1F">
      <w:pPr>
        <w:rPr>
          <w:rtl/>
        </w:rPr>
      </w:pPr>
    </w:p>
    <w:p w:rsidR="000C5C1F" w:rsidRDefault="000C5C1F" w:rsidP="000C5C1F">
      <w:pPr>
        <w:rPr>
          <w:rtl/>
        </w:rPr>
      </w:pPr>
      <w:r>
        <w:rPr>
          <w:rFonts w:hint="cs"/>
          <w:rtl/>
        </w:rPr>
        <w:t xml:space="preserve">עכשיו </w:t>
      </w:r>
      <w:bookmarkStart w:id="10903" w:name="_ETM_Q12_468430"/>
      <w:bookmarkEnd w:id="10903"/>
      <w:r>
        <w:rPr>
          <w:rFonts w:hint="cs"/>
          <w:rtl/>
        </w:rPr>
        <w:t xml:space="preserve">תבטלו </w:t>
      </w:r>
      <w:bookmarkStart w:id="10904" w:name="_ETM_Q12_468970"/>
      <w:bookmarkStart w:id="10905" w:name="_ETM_Q12_469120"/>
      <w:bookmarkStart w:id="10906" w:name="_ETM_Q12_469387"/>
      <w:bookmarkEnd w:id="10904"/>
      <w:bookmarkEnd w:id="10905"/>
      <w:bookmarkEnd w:id="10906"/>
      <w:r>
        <w:rPr>
          <w:rFonts w:hint="cs"/>
          <w:rtl/>
        </w:rPr>
        <w:t xml:space="preserve">את </w:t>
      </w:r>
      <w:bookmarkStart w:id="10907" w:name="_ETM_Q12_469240"/>
      <w:bookmarkEnd w:id="10907"/>
      <w:r>
        <w:rPr>
          <w:rFonts w:hint="cs"/>
          <w:rtl/>
        </w:rPr>
        <w:t xml:space="preserve">עילת הסבירות </w:t>
      </w:r>
      <w:bookmarkStart w:id="10908" w:name="_ETM_Q12_470970"/>
      <w:bookmarkEnd w:id="10908"/>
      <w:r>
        <w:rPr>
          <w:rFonts w:hint="cs"/>
          <w:rtl/>
        </w:rPr>
        <w:t xml:space="preserve">והעולם </w:t>
      </w:r>
      <w:bookmarkStart w:id="10909" w:name="_ETM_Q12_471779"/>
      <w:bookmarkEnd w:id="10909"/>
      <w:r>
        <w:rPr>
          <w:rFonts w:hint="cs"/>
          <w:rtl/>
        </w:rPr>
        <w:t xml:space="preserve">יהיה </w:t>
      </w:r>
      <w:bookmarkStart w:id="10910" w:name="_ETM_Q12_471960"/>
      <w:bookmarkStart w:id="10911" w:name="_ETM_Q12_472380"/>
      <w:bookmarkEnd w:id="10910"/>
      <w:bookmarkEnd w:id="10911"/>
      <w:r>
        <w:rPr>
          <w:rFonts w:hint="cs"/>
          <w:rtl/>
        </w:rPr>
        <w:t xml:space="preserve">ורוד </w:t>
      </w:r>
      <w:bookmarkStart w:id="10912" w:name="_ETM_Q12_473690"/>
      <w:bookmarkEnd w:id="10912"/>
      <w:r>
        <w:rPr>
          <w:rFonts w:hint="cs"/>
          <w:rtl/>
        </w:rPr>
        <w:t xml:space="preserve">יותר: תוכלו </w:t>
      </w:r>
      <w:bookmarkStart w:id="10913" w:name="_ETM_Q12_474139"/>
      <w:bookmarkEnd w:id="10913"/>
      <w:r>
        <w:rPr>
          <w:rFonts w:hint="cs"/>
          <w:rtl/>
        </w:rPr>
        <w:t xml:space="preserve">למנות, </w:t>
      </w:r>
      <w:bookmarkStart w:id="10914" w:name="_ETM_Q12_475009"/>
      <w:bookmarkEnd w:id="10914"/>
      <w:r>
        <w:rPr>
          <w:rFonts w:hint="cs"/>
          <w:rtl/>
        </w:rPr>
        <w:t xml:space="preserve">תוכלו </w:t>
      </w:r>
      <w:bookmarkStart w:id="10915" w:name="_ETM_Q12_475400"/>
      <w:bookmarkEnd w:id="10915"/>
      <w:r>
        <w:rPr>
          <w:rFonts w:hint="cs"/>
          <w:rtl/>
        </w:rPr>
        <w:t xml:space="preserve">לפטר, </w:t>
      </w:r>
      <w:bookmarkStart w:id="10916" w:name="_ETM_Q12_476210"/>
      <w:bookmarkEnd w:id="10916"/>
      <w:r>
        <w:rPr>
          <w:rFonts w:hint="cs"/>
          <w:rtl/>
        </w:rPr>
        <w:t xml:space="preserve">תוכלו </w:t>
      </w:r>
      <w:bookmarkStart w:id="10917" w:name="_ETM_Q12_476599"/>
      <w:bookmarkEnd w:id="10917"/>
      <w:r>
        <w:rPr>
          <w:rFonts w:hint="cs"/>
          <w:rtl/>
        </w:rPr>
        <w:t xml:space="preserve">לעשות, </w:t>
      </w:r>
      <w:bookmarkStart w:id="10918" w:name="_ETM_Q12_477199"/>
      <w:bookmarkEnd w:id="10918"/>
      <w:r>
        <w:rPr>
          <w:rFonts w:hint="cs"/>
          <w:rtl/>
        </w:rPr>
        <w:t xml:space="preserve">תוכלו </w:t>
      </w:r>
      <w:bookmarkStart w:id="10919" w:name="_ETM_Q12_477529"/>
      <w:bookmarkEnd w:id="10919"/>
      <w:r>
        <w:rPr>
          <w:rFonts w:hint="cs"/>
          <w:rtl/>
        </w:rPr>
        <w:t xml:space="preserve">לא </w:t>
      </w:r>
      <w:bookmarkStart w:id="10920" w:name="_ETM_Q12_477600"/>
      <w:bookmarkStart w:id="10921" w:name="_ETM_Q12_477750"/>
      <w:bookmarkEnd w:id="10920"/>
      <w:bookmarkEnd w:id="10921"/>
      <w:r>
        <w:rPr>
          <w:rFonts w:hint="cs"/>
          <w:rtl/>
        </w:rPr>
        <w:t>לעשות,</w:t>
      </w:r>
      <w:bookmarkStart w:id="10922" w:name="_ETM_Q12_478800"/>
      <w:bookmarkEnd w:id="10922"/>
      <w:r>
        <w:rPr>
          <w:rFonts w:hint="cs"/>
          <w:rtl/>
        </w:rPr>
        <w:t xml:space="preserve"> ואף </w:t>
      </w:r>
      <w:bookmarkStart w:id="10923" w:name="_ETM_Q12_479279"/>
      <w:bookmarkEnd w:id="10923"/>
      <w:r>
        <w:rPr>
          <w:rFonts w:hint="cs"/>
          <w:rtl/>
        </w:rPr>
        <w:t xml:space="preserve">אחד </w:t>
      </w:r>
      <w:bookmarkStart w:id="10924" w:name="_ETM_Q12_479970"/>
      <w:bookmarkEnd w:id="10924"/>
      <w:r>
        <w:rPr>
          <w:rFonts w:hint="cs"/>
          <w:rtl/>
        </w:rPr>
        <w:t>לא</w:t>
      </w:r>
      <w:bookmarkStart w:id="10925" w:name="_ETM_Q12_480300"/>
      <w:bookmarkStart w:id="10926" w:name="_ETM_Q12_480569"/>
      <w:bookmarkStart w:id="10927" w:name="_ETM_Q12_477528"/>
      <w:bookmarkEnd w:id="10925"/>
      <w:bookmarkEnd w:id="10926"/>
      <w:bookmarkEnd w:id="10927"/>
      <w:r>
        <w:rPr>
          <w:rFonts w:hint="cs"/>
          <w:rtl/>
        </w:rPr>
        <w:t xml:space="preserve"> יעשה </w:t>
      </w:r>
      <w:bookmarkStart w:id="10928" w:name="_ETM_Q12_481050"/>
      <w:bookmarkStart w:id="10929" w:name="_ETM_Q12_480000"/>
      <w:bookmarkStart w:id="10930" w:name="_ETM_Q12_480240"/>
      <w:bookmarkStart w:id="10931" w:name="_ETM_Q12_480420"/>
      <w:bookmarkStart w:id="10932" w:name="_ETM_Q12_480750"/>
      <w:bookmarkEnd w:id="10928"/>
      <w:bookmarkEnd w:id="10929"/>
      <w:bookmarkEnd w:id="10930"/>
      <w:bookmarkEnd w:id="10931"/>
      <w:bookmarkEnd w:id="10932"/>
      <w:r>
        <w:rPr>
          <w:rFonts w:hint="cs"/>
          <w:rtl/>
        </w:rPr>
        <w:t xml:space="preserve">לכם </w:t>
      </w:r>
      <w:bookmarkStart w:id="10933" w:name="_ETM_Q12_481079"/>
      <w:bookmarkEnd w:id="10933"/>
      <w:r>
        <w:rPr>
          <w:rFonts w:hint="cs"/>
          <w:rtl/>
        </w:rPr>
        <w:t xml:space="preserve">דין. </w:t>
      </w:r>
      <w:bookmarkStart w:id="10934" w:name="_ETM_Q12_481949"/>
      <w:bookmarkEnd w:id="10934"/>
      <w:r>
        <w:rPr>
          <w:rFonts w:hint="cs"/>
          <w:rtl/>
        </w:rPr>
        <w:t xml:space="preserve">זה </w:t>
      </w:r>
      <w:bookmarkStart w:id="10935" w:name="_ETM_Q12_482159"/>
      <w:bookmarkEnd w:id="10935"/>
      <w:r>
        <w:rPr>
          <w:rFonts w:hint="cs"/>
          <w:rtl/>
        </w:rPr>
        <w:t xml:space="preserve">מה </w:t>
      </w:r>
      <w:bookmarkStart w:id="10936" w:name="_ETM_Q12_482310"/>
      <w:bookmarkEnd w:id="10936"/>
      <w:r>
        <w:rPr>
          <w:rFonts w:hint="cs"/>
          <w:rtl/>
        </w:rPr>
        <w:t xml:space="preserve">שאתם </w:t>
      </w:r>
      <w:bookmarkStart w:id="10937" w:name="_ETM_Q12_482580"/>
      <w:bookmarkEnd w:id="10937"/>
      <w:r>
        <w:rPr>
          <w:rFonts w:hint="cs"/>
          <w:rtl/>
        </w:rPr>
        <w:t>רוצים?</w:t>
      </w:r>
      <w:bookmarkStart w:id="10938" w:name="_ETM_Q12_479718"/>
      <w:bookmarkEnd w:id="10938"/>
      <w:r>
        <w:rPr>
          <w:rFonts w:hint="cs"/>
          <w:rtl/>
        </w:rPr>
        <w:t xml:space="preserve"> </w:t>
      </w:r>
      <w:bookmarkStart w:id="10939" w:name="_ETM_Q12_483939"/>
      <w:bookmarkEnd w:id="10939"/>
      <w:r>
        <w:rPr>
          <w:rFonts w:hint="cs"/>
          <w:rtl/>
        </w:rPr>
        <w:t xml:space="preserve">ומה </w:t>
      </w:r>
      <w:bookmarkStart w:id="10940" w:name="_ETM_Q12_484330"/>
      <w:bookmarkEnd w:id="10940"/>
      <w:r>
        <w:rPr>
          <w:rFonts w:hint="cs"/>
          <w:rtl/>
        </w:rPr>
        <w:t xml:space="preserve">יהיה </w:t>
      </w:r>
      <w:bookmarkStart w:id="10941" w:name="_ETM_Q12_484629"/>
      <w:bookmarkEnd w:id="10941"/>
      <w:r>
        <w:rPr>
          <w:rFonts w:hint="cs"/>
          <w:rtl/>
        </w:rPr>
        <w:t xml:space="preserve">אחר </w:t>
      </w:r>
      <w:bookmarkStart w:id="10942" w:name="_ETM_Q12_484930"/>
      <w:bookmarkEnd w:id="10942"/>
      <w:r>
        <w:rPr>
          <w:rFonts w:hint="cs"/>
          <w:rtl/>
        </w:rPr>
        <w:t xml:space="preserve">כך? </w:t>
      </w:r>
      <w:bookmarkStart w:id="10943" w:name="_ETM_Q12_485620"/>
      <w:bookmarkEnd w:id="10943"/>
      <w:r>
        <w:rPr>
          <w:rFonts w:hint="cs"/>
          <w:rtl/>
        </w:rPr>
        <w:t xml:space="preserve">ואיזה </w:t>
      </w:r>
      <w:bookmarkStart w:id="10944" w:name="_ETM_Q12_486099"/>
      <w:bookmarkEnd w:id="10944"/>
      <w:r>
        <w:rPr>
          <w:rFonts w:hint="cs"/>
          <w:rtl/>
        </w:rPr>
        <w:t xml:space="preserve">החלטות </w:t>
      </w:r>
      <w:bookmarkStart w:id="10945" w:name="_ETM_Q12_486490"/>
      <w:bookmarkEnd w:id="10945"/>
      <w:r>
        <w:rPr>
          <w:rFonts w:hint="cs"/>
          <w:rtl/>
        </w:rPr>
        <w:t xml:space="preserve">תקבלו? </w:t>
      </w:r>
      <w:bookmarkStart w:id="10946" w:name="_ETM_Q12_488900"/>
      <w:bookmarkStart w:id="10947" w:name="_ETM_Q12_489349"/>
      <w:bookmarkStart w:id="10948" w:name="_ETM_Q12_486328"/>
      <w:bookmarkEnd w:id="10946"/>
      <w:bookmarkEnd w:id="10947"/>
      <w:bookmarkEnd w:id="10948"/>
      <w:r>
        <w:rPr>
          <w:rFonts w:hint="cs"/>
          <w:rtl/>
        </w:rPr>
        <w:t xml:space="preserve">איך </w:t>
      </w:r>
      <w:bookmarkStart w:id="10949" w:name="_ETM_Q12_489589"/>
      <w:bookmarkEnd w:id="10949"/>
      <w:r>
        <w:rPr>
          <w:rFonts w:hint="cs"/>
          <w:rtl/>
        </w:rPr>
        <w:t xml:space="preserve">אנחנו </w:t>
      </w:r>
      <w:bookmarkStart w:id="10950" w:name="_ETM_Q12_489950"/>
      <w:bookmarkEnd w:id="10950"/>
      <w:r>
        <w:rPr>
          <w:rFonts w:hint="cs"/>
          <w:rtl/>
        </w:rPr>
        <w:t xml:space="preserve">יכולים </w:t>
      </w:r>
      <w:bookmarkStart w:id="10951" w:name="_ETM_Q12_490279"/>
      <w:bookmarkEnd w:id="10951"/>
      <w:r>
        <w:rPr>
          <w:rFonts w:hint="cs"/>
          <w:rtl/>
        </w:rPr>
        <w:t xml:space="preserve">לדעת </w:t>
      </w:r>
      <w:bookmarkStart w:id="10952" w:name="_ETM_Q12_490969"/>
      <w:bookmarkEnd w:id="10952"/>
      <w:r>
        <w:rPr>
          <w:rFonts w:hint="cs"/>
          <w:rtl/>
        </w:rPr>
        <w:t xml:space="preserve">מה </w:t>
      </w:r>
      <w:bookmarkStart w:id="10953" w:name="_ETM_Q12_491269"/>
      <w:bookmarkStart w:id="10954" w:name="_ETM_Q12_491750"/>
      <w:bookmarkStart w:id="10955" w:name="_ETM_Q12_492260"/>
      <w:bookmarkEnd w:id="10953"/>
      <w:bookmarkEnd w:id="10954"/>
      <w:bookmarkEnd w:id="10955"/>
      <w:r>
        <w:rPr>
          <w:rFonts w:hint="cs"/>
          <w:rtl/>
        </w:rPr>
        <w:t>המניע הנסתר של</w:t>
      </w:r>
      <w:bookmarkStart w:id="10956" w:name="_ETM_Q12_489138"/>
      <w:bookmarkEnd w:id="10956"/>
      <w:r>
        <w:rPr>
          <w:rFonts w:hint="cs"/>
          <w:rtl/>
        </w:rPr>
        <w:t xml:space="preserve"> </w:t>
      </w:r>
      <w:bookmarkStart w:id="10957" w:name="_ETM_Q12_492440"/>
      <w:bookmarkEnd w:id="10957"/>
      <w:r>
        <w:rPr>
          <w:rFonts w:hint="cs"/>
          <w:rtl/>
        </w:rPr>
        <w:t xml:space="preserve">שלמה </w:t>
      </w:r>
      <w:bookmarkStart w:id="10958" w:name="_ETM_Q12_492830"/>
      <w:bookmarkEnd w:id="10958"/>
      <w:r>
        <w:rPr>
          <w:rFonts w:hint="cs"/>
          <w:rtl/>
        </w:rPr>
        <w:t xml:space="preserve">קרעי, </w:t>
      </w:r>
      <w:bookmarkStart w:id="10959" w:name="_ETM_Q12_493760"/>
      <w:bookmarkEnd w:id="10959"/>
      <w:r>
        <w:rPr>
          <w:rFonts w:hint="cs"/>
          <w:rtl/>
        </w:rPr>
        <w:t xml:space="preserve">ושל </w:t>
      </w:r>
      <w:bookmarkStart w:id="10960" w:name="_ETM_Q12_494089"/>
      <w:bookmarkEnd w:id="10960"/>
      <w:r>
        <w:rPr>
          <w:rFonts w:hint="cs"/>
          <w:rtl/>
        </w:rPr>
        <w:t xml:space="preserve">דודי </w:t>
      </w:r>
      <w:bookmarkStart w:id="10961" w:name="_ETM_Q12_494420"/>
      <w:bookmarkEnd w:id="10961"/>
      <w:r>
        <w:rPr>
          <w:rFonts w:hint="cs"/>
          <w:rtl/>
        </w:rPr>
        <w:t xml:space="preserve">אמסלם, </w:t>
      </w:r>
      <w:bookmarkStart w:id="10962" w:name="_ETM_Q12_495510"/>
      <w:bookmarkEnd w:id="10962"/>
      <w:r>
        <w:rPr>
          <w:rFonts w:hint="cs"/>
          <w:rtl/>
        </w:rPr>
        <w:t xml:space="preserve">וגם </w:t>
      </w:r>
      <w:bookmarkStart w:id="10963" w:name="_ETM_Q12_495900"/>
      <w:bookmarkEnd w:id="10963"/>
      <w:r>
        <w:rPr>
          <w:rFonts w:hint="cs"/>
          <w:rtl/>
        </w:rPr>
        <w:t xml:space="preserve">של </w:t>
      </w:r>
      <w:bookmarkStart w:id="10964" w:name="_ETM_Q12_496050"/>
      <w:bookmarkEnd w:id="10964"/>
      <w:r>
        <w:rPr>
          <w:rFonts w:hint="cs"/>
          <w:rtl/>
        </w:rPr>
        <w:t xml:space="preserve">ראש </w:t>
      </w:r>
      <w:bookmarkStart w:id="10965" w:name="_ETM_Q12_496289"/>
      <w:bookmarkEnd w:id="10965"/>
      <w:r>
        <w:rPr>
          <w:rFonts w:hint="cs"/>
          <w:rtl/>
        </w:rPr>
        <w:t xml:space="preserve">הממשלה? </w:t>
      </w:r>
      <w:bookmarkStart w:id="10966" w:name="_ETM_Q12_497880"/>
      <w:bookmarkEnd w:id="10966"/>
      <w:r>
        <w:rPr>
          <w:rFonts w:hint="cs"/>
          <w:rtl/>
        </w:rPr>
        <w:t xml:space="preserve">ראש </w:t>
      </w:r>
      <w:bookmarkStart w:id="10967" w:name="_ETM_Q12_498180"/>
      <w:bookmarkEnd w:id="10967"/>
      <w:r>
        <w:rPr>
          <w:rFonts w:hint="cs"/>
          <w:rtl/>
        </w:rPr>
        <w:t xml:space="preserve">הממשלה </w:t>
      </w:r>
      <w:bookmarkStart w:id="10968" w:name="_ETM_Q12_498720"/>
      <w:bookmarkEnd w:id="10968"/>
      <w:r>
        <w:rPr>
          <w:rFonts w:hint="cs"/>
          <w:rtl/>
        </w:rPr>
        <w:t xml:space="preserve">שלנו </w:t>
      </w:r>
      <w:bookmarkStart w:id="10969" w:name="_ETM_Q12_499140"/>
      <w:bookmarkEnd w:id="10969"/>
      <w:r>
        <w:rPr>
          <w:rFonts w:hint="cs"/>
          <w:rtl/>
        </w:rPr>
        <w:t xml:space="preserve">הסתיר </w:t>
      </w:r>
      <w:bookmarkStart w:id="10970" w:name="_ETM_Q12_499440"/>
      <w:bookmarkEnd w:id="10970"/>
      <w:r>
        <w:rPr>
          <w:rFonts w:hint="cs"/>
          <w:rtl/>
        </w:rPr>
        <w:t xml:space="preserve">מאתנו </w:t>
      </w:r>
      <w:bookmarkStart w:id="10971" w:name="_ETM_Q12_499860"/>
      <w:bookmarkEnd w:id="10971"/>
      <w:r>
        <w:rPr>
          <w:rFonts w:hint="cs"/>
          <w:rtl/>
        </w:rPr>
        <w:t>שבוע</w:t>
      </w:r>
      <w:bookmarkStart w:id="10972" w:name="_ETM_Q12_497907"/>
      <w:bookmarkEnd w:id="10972"/>
      <w:r>
        <w:rPr>
          <w:rFonts w:hint="cs"/>
          <w:rtl/>
        </w:rPr>
        <w:t xml:space="preserve"> </w:t>
      </w:r>
      <w:bookmarkStart w:id="10973" w:name="_ETM_Q12_500189"/>
      <w:bookmarkEnd w:id="10973"/>
      <w:r>
        <w:rPr>
          <w:rFonts w:hint="cs"/>
          <w:rtl/>
        </w:rPr>
        <w:t xml:space="preserve">את </w:t>
      </w:r>
      <w:bookmarkStart w:id="10974" w:name="_ETM_Q12_500310"/>
      <w:bookmarkEnd w:id="10974"/>
      <w:r>
        <w:rPr>
          <w:rFonts w:hint="cs"/>
          <w:rtl/>
        </w:rPr>
        <w:t xml:space="preserve">המצב </w:t>
      </w:r>
      <w:bookmarkStart w:id="10975" w:name="_ETM_Q12_500700"/>
      <w:bookmarkEnd w:id="10975"/>
      <w:r>
        <w:rPr>
          <w:rFonts w:hint="cs"/>
          <w:rtl/>
        </w:rPr>
        <w:t xml:space="preserve">הבריאותי </w:t>
      </w:r>
      <w:bookmarkStart w:id="10976" w:name="_ETM_Q12_501180"/>
      <w:bookmarkEnd w:id="10976"/>
      <w:r>
        <w:rPr>
          <w:rFonts w:hint="cs"/>
          <w:rtl/>
        </w:rPr>
        <w:t xml:space="preserve">שלו. </w:t>
      </w:r>
      <w:bookmarkStart w:id="10977" w:name="_ETM_Q12_502279"/>
      <w:bookmarkEnd w:id="10977"/>
      <w:r>
        <w:rPr>
          <w:rFonts w:hint="cs"/>
          <w:rtl/>
        </w:rPr>
        <w:t xml:space="preserve">יכול </w:t>
      </w:r>
      <w:bookmarkStart w:id="10978" w:name="_ETM_Q12_502580"/>
      <w:bookmarkEnd w:id="10978"/>
      <w:r>
        <w:rPr>
          <w:rFonts w:hint="cs"/>
          <w:rtl/>
        </w:rPr>
        <w:t xml:space="preserve">להיות </w:t>
      </w:r>
      <w:bookmarkStart w:id="10979" w:name="_ETM_Q12_502730"/>
      <w:bookmarkEnd w:id="10979"/>
      <w:r>
        <w:rPr>
          <w:rFonts w:hint="cs"/>
          <w:rtl/>
        </w:rPr>
        <w:t xml:space="preserve">שהוא </w:t>
      </w:r>
      <w:bookmarkStart w:id="10980" w:name="_ETM_Q12_502850"/>
      <w:bookmarkEnd w:id="10980"/>
      <w:r>
        <w:rPr>
          <w:rFonts w:hint="cs"/>
          <w:rtl/>
        </w:rPr>
        <w:t xml:space="preserve">מסתיר </w:t>
      </w:r>
      <w:bookmarkStart w:id="10981" w:name="_ETM_Q12_503240"/>
      <w:bookmarkEnd w:id="10981"/>
      <w:r>
        <w:rPr>
          <w:rFonts w:hint="cs"/>
          <w:rtl/>
        </w:rPr>
        <w:t xml:space="preserve">מאיתנו </w:t>
      </w:r>
      <w:bookmarkStart w:id="10982" w:name="_ETM_Q12_503939"/>
      <w:bookmarkEnd w:id="10982"/>
      <w:r>
        <w:rPr>
          <w:rFonts w:hint="cs"/>
          <w:rtl/>
        </w:rPr>
        <w:t xml:space="preserve">עוד הרבה </w:t>
      </w:r>
      <w:bookmarkStart w:id="10983" w:name="_ETM_Q12_504119"/>
      <w:bookmarkEnd w:id="10983"/>
      <w:r>
        <w:rPr>
          <w:rFonts w:hint="cs"/>
          <w:rtl/>
        </w:rPr>
        <w:t xml:space="preserve">מאוד </w:t>
      </w:r>
      <w:bookmarkStart w:id="10984" w:name="_ETM_Q12_504300"/>
      <w:bookmarkEnd w:id="10984"/>
      <w:r>
        <w:rPr>
          <w:rFonts w:hint="cs"/>
          <w:rtl/>
        </w:rPr>
        <w:t xml:space="preserve">דברים </w:t>
      </w:r>
      <w:bookmarkStart w:id="10985" w:name="_ETM_Q12_504630"/>
      <w:bookmarkEnd w:id="10985"/>
      <w:r>
        <w:rPr>
          <w:rFonts w:hint="cs"/>
          <w:rtl/>
        </w:rPr>
        <w:t xml:space="preserve">אחרים; </w:t>
      </w:r>
      <w:bookmarkStart w:id="10986" w:name="_ETM_Q12_506680"/>
      <w:bookmarkEnd w:id="10986"/>
      <w:r>
        <w:rPr>
          <w:rFonts w:hint="cs"/>
          <w:rtl/>
        </w:rPr>
        <w:t xml:space="preserve">לא </w:t>
      </w:r>
      <w:bookmarkStart w:id="10987" w:name="_ETM_Q12_506890"/>
      <w:bookmarkEnd w:id="10987"/>
      <w:r>
        <w:rPr>
          <w:rFonts w:hint="cs"/>
          <w:rtl/>
        </w:rPr>
        <w:t xml:space="preserve">יכול </w:t>
      </w:r>
      <w:bookmarkStart w:id="10988" w:name="_ETM_Q12_507339"/>
      <w:bookmarkEnd w:id="10988"/>
      <w:r>
        <w:rPr>
          <w:rFonts w:hint="cs"/>
          <w:rtl/>
        </w:rPr>
        <w:t xml:space="preserve">להיות, </w:t>
      </w:r>
      <w:bookmarkStart w:id="10989" w:name="_ETM_Q12_507520"/>
      <w:bookmarkEnd w:id="10989"/>
      <w:r>
        <w:rPr>
          <w:rFonts w:hint="cs"/>
          <w:rtl/>
        </w:rPr>
        <w:t xml:space="preserve">כנראה, </w:t>
      </w:r>
      <w:bookmarkStart w:id="10990" w:name="_ETM_Q12_508240"/>
      <w:bookmarkEnd w:id="10990"/>
      <w:r>
        <w:rPr>
          <w:rFonts w:hint="cs"/>
          <w:rtl/>
        </w:rPr>
        <w:t xml:space="preserve">כמו </w:t>
      </w:r>
      <w:bookmarkStart w:id="10991" w:name="_ETM_Q12_508390"/>
      <w:bookmarkEnd w:id="10991"/>
      <w:r>
        <w:rPr>
          <w:rFonts w:hint="cs"/>
          <w:rtl/>
        </w:rPr>
        <w:t xml:space="preserve">שאנחנו </w:t>
      </w:r>
      <w:bookmarkStart w:id="10992" w:name="_ETM_Q12_508810"/>
      <w:bookmarkEnd w:id="10992"/>
      <w:r>
        <w:rPr>
          <w:rFonts w:hint="cs"/>
          <w:rtl/>
        </w:rPr>
        <w:t xml:space="preserve">מכירים </w:t>
      </w:r>
      <w:bookmarkStart w:id="10993" w:name="_ETM_Q12_509230"/>
      <w:bookmarkEnd w:id="10993"/>
      <w:r>
        <w:rPr>
          <w:rFonts w:hint="cs"/>
          <w:rtl/>
        </w:rPr>
        <w:t xml:space="preserve">את </w:t>
      </w:r>
      <w:bookmarkStart w:id="10994" w:name="_ETM_Q12_509380"/>
      <w:bookmarkEnd w:id="10994"/>
      <w:r>
        <w:rPr>
          <w:rFonts w:hint="cs"/>
          <w:rtl/>
        </w:rPr>
        <w:t xml:space="preserve">העסק. </w:t>
      </w:r>
      <w:bookmarkStart w:id="10995" w:name="_ETM_Q12_511519"/>
      <w:bookmarkEnd w:id="10995"/>
    </w:p>
    <w:p w:rsidR="000C5C1F" w:rsidRDefault="000C5C1F" w:rsidP="000C5C1F">
      <w:pPr>
        <w:rPr>
          <w:rtl/>
        </w:rPr>
      </w:pPr>
    </w:p>
    <w:p w:rsidR="000C5C1F" w:rsidRDefault="000C5C1F" w:rsidP="000C5C1F">
      <w:pPr>
        <w:rPr>
          <w:rtl/>
        </w:rPr>
      </w:pPr>
      <w:r>
        <w:rPr>
          <w:rFonts w:hint="cs"/>
          <w:rtl/>
        </w:rPr>
        <w:t xml:space="preserve">ביטול </w:t>
      </w:r>
      <w:bookmarkStart w:id="10996" w:name="_ETM_Q12_512420"/>
      <w:bookmarkEnd w:id="10996"/>
      <w:r>
        <w:rPr>
          <w:rFonts w:hint="cs"/>
          <w:rtl/>
        </w:rPr>
        <w:t xml:space="preserve">עילת </w:t>
      </w:r>
      <w:bookmarkStart w:id="10997" w:name="_ETM_Q12_512870"/>
      <w:bookmarkEnd w:id="10997"/>
      <w:r>
        <w:rPr>
          <w:rFonts w:hint="cs"/>
          <w:rtl/>
        </w:rPr>
        <w:t xml:space="preserve">הסבירות </w:t>
      </w:r>
      <w:bookmarkStart w:id="10998" w:name="_ETM_Q12_515170"/>
      <w:bookmarkEnd w:id="10998"/>
      <w:r>
        <w:rPr>
          <w:rFonts w:hint="cs"/>
          <w:rtl/>
        </w:rPr>
        <w:t xml:space="preserve">זו </w:t>
      </w:r>
      <w:bookmarkStart w:id="10999" w:name="_ETM_Q12_515409"/>
      <w:bookmarkEnd w:id="10999"/>
      <w:r>
        <w:rPr>
          <w:rFonts w:hint="cs"/>
          <w:rtl/>
        </w:rPr>
        <w:t xml:space="preserve">הכשרת </w:t>
      </w:r>
      <w:bookmarkStart w:id="11000" w:name="_ETM_Q12_516069"/>
      <w:bookmarkEnd w:id="11000"/>
      <w:r>
        <w:rPr>
          <w:rFonts w:hint="cs"/>
          <w:rtl/>
        </w:rPr>
        <w:t xml:space="preserve">עילת </w:t>
      </w:r>
      <w:bookmarkStart w:id="11001" w:name="_ETM_Q12_516399"/>
      <w:bookmarkEnd w:id="11001"/>
      <w:r>
        <w:rPr>
          <w:rFonts w:hint="cs"/>
          <w:rtl/>
        </w:rPr>
        <w:t xml:space="preserve">השחיתות. </w:t>
      </w:r>
      <w:bookmarkStart w:id="11002" w:name="_ETM_Q12_518489"/>
      <w:bookmarkEnd w:id="11002"/>
      <w:r>
        <w:rPr>
          <w:rFonts w:hint="cs"/>
          <w:rtl/>
        </w:rPr>
        <w:t xml:space="preserve">זו </w:t>
      </w:r>
      <w:bookmarkStart w:id="11003" w:name="_ETM_Q12_518820"/>
      <w:bookmarkEnd w:id="11003"/>
      <w:r>
        <w:rPr>
          <w:rFonts w:hint="cs"/>
          <w:rtl/>
        </w:rPr>
        <w:t xml:space="preserve">השורה </w:t>
      </w:r>
      <w:bookmarkStart w:id="11004" w:name="_ETM_Q12_519239"/>
      <w:bookmarkEnd w:id="11004"/>
      <w:r>
        <w:rPr>
          <w:rFonts w:hint="cs"/>
          <w:rtl/>
        </w:rPr>
        <w:t xml:space="preserve">התחתונה. </w:t>
      </w:r>
      <w:bookmarkStart w:id="11005" w:name="_ETM_Q12_520670"/>
      <w:bookmarkStart w:id="11006" w:name="_ETM_Q12_520909"/>
      <w:bookmarkEnd w:id="11005"/>
      <w:bookmarkEnd w:id="11006"/>
      <w:r>
        <w:rPr>
          <w:rFonts w:hint="cs"/>
          <w:rtl/>
        </w:rPr>
        <w:t xml:space="preserve">והיד </w:t>
      </w:r>
      <w:bookmarkStart w:id="11007" w:name="_ETM_Q12_521650"/>
      <w:bookmarkEnd w:id="11007"/>
      <w:r>
        <w:rPr>
          <w:rFonts w:hint="cs"/>
          <w:rtl/>
        </w:rPr>
        <w:t xml:space="preserve">עוד </w:t>
      </w:r>
      <w:bookmarkStart w:id="11008" w:name="_ETM_Q12_521830"/>
      <w:bookmarkEnd w:id="11008"/>
      <w:r>
        <w:rPr>
          <w:rFonts w:hint="cs"/>
          <w:rtl/>
        </w:rPr>
        <w:t>נטויה</w:t>
      </w:r>
      <w:bookmarkStart w:id="11009" w:name="_ETM_Q12_521107"/>
      <w:bookmarkEnd w:id="11009"/>
      <w:r>
        <w:rPr>
          <w:rFonts w:hint="cs"/>
          <w:rtl/>
        </w:rPr>
        <w:t xml:space="preserve">, כי </w:t>
      </w:r>
      <w:bookmarkStart w:id="11010" w:name="_ETM_Q12_523140"/>
      <w:bookmarkEnd w:id="11010"/>
      <w:r>
        <w:rPr>
          <w:rFonts w:hint="cs"/>
          <w:rtl/>
        </w:rPr>
        <w:t xml:space="preserve">כפי </w:t>
      </w:r>
      <w:bookmarkStart w:id="11011" w:name="_ETM_Q12_523529"/>
      <w:bookmarkEnd w:id="11011"/>
      <w:r>
        <w:rPr>
          <w:rFonts w:hint="cs"/>
          <w:rtl/>
        </w:rPr>
        <w:t xml:space="preserve">שכבר </w:t>
      </w:r>
      <w:bookmarkStart w:id="11012" w:name="_ETM_Q12_523920"/>
      <w:bookmarkEnd w:id="11012"/>
      <w:r>
        <w:rPr>
          <w:rFonts w:hint="cs"/>
          <w:rtl/>
        </w:rPr>
        <w:t xml:space="preserve">אמרתי, </w:t>
      </w:r>
      <w:bookmarkStart w:id="11013" w:name="_ETM_Q12_524880"/>
      <w:bookmarkEnd w:id="11013"/>
      <w:r>
        <w:rPr>
          <w:rFonts w:hint="cs"/>
          <w:rtl/>
        </w:rPr>
        <w:t xml:space="preserve">מכירים </w:t>
      </w:r>
      <w:bookmarkStart w:id="11014" w:name="_ETM_Q12_525390"/>
      <w:bookmarkEnd w:id="11014"/>
      <w:r>
        <w:rPr>
          <w:rFonts w:hint="cs"/>
          <w:rtl/>
        </w:rPr>
        <w:t xml:space="preserve">את </w:t>
      </w:r>
      <w:bookmarkStart w:id="11015" w:name="_ETM_Q12_525510"/>
      <w:bookmarkEnd w:id="11015"/>
      <w:r>
        <w:rPr>
          <w:rFonts w:hint="cs"/>
          <w:rtl/>
        </w:rPr>
        <w:t xml:space="preserve">הקליינטים </w:t>
      </w:r>
      <w:bookmarkStart w:id="11016" w:name="_ETM_Q12_526650"/>
      <w:bookmarkEnd w:id="11016"/>
      <w:r>
        <w:rPr>
          <w:rFonts w:hint="cs"/>
          <w:rtl/>
        </w:rPr>
        <w:t>ו</w:t>
      </w:r>
      <w:bookmarkStart w:id="11017" w:name="_ETM_Q12_526800"/>
      <w:bookmarkEnd w:id="11017"/>
      <w:r>
        <w:rPr>
          <w:rFonts w:hint="cs"/>
          <w:rtl/>
        </w:rPr>
        <w:t xml:space="preserve">יודעים </w:t>
      </w:r>
      <w:bookmarkStart w:id="11018" w:name="_ETM_Q12_527160"/>
      <w:bookmarkEnd w:id="11018"/>
      <w:r>
        <w:rPr>
          <w:rFonts w:hint="cs"/>
          <w:rtl/>
        </w:rPr>
        <w:t xml:space="preserve">מה בדיוק </w:t>
      </w:r>
      <w:bookmarkStart w:id="11019" w:name="_ETM_Q12_528180"/>
      <w:bookmarkStart w:id="11020" w:name="_ETM_Q12_528570"/>
      <w:bookmarkStart w:id="11021" w:name="_ETM_Q12_556526"/>
      <w:bookmarkEnd w:id="11019"/>
      <w:bookmarkEnd w:id="11020"/>
      <w:bookmarkEnd w:id="11021"/>
      <w:r>
        <w:rPr>
          <w:rFonts w:hint="cs"/>
          <w:rtl/>
        </w:rPr>
        <w:t xml:space="preserve">מסתתר </w:t>
      </w:r>
      <w:bookmarkStart w:id="11022" w:name="_ETM_Q12_529140"/>
      <w:bookmarkEnd w:id="11022"/>
      <w:r>
        <w:rPr>
          <w:rFonts w:hint="cs"/>
          <w:rtl/>
        </w:rPr>
        <w:t xml:space="preserve">מאחורי </w:t>
      </w:r>
      <w:bookmarkStart w:id="11023" w:name="_ETM_Q12_529680"/>
      <w:bookmarkEnd w:id="11023"/>
      <w:r>
        <w:rPr>
          <w:rFonts w:hint="cs"/>
          <w:rtl/>
        </w:rPr>
        <w:t xml:space="preserve">המילים </w:t>
      </w:r>
      <w:bookmarkStart w:id="11024" w:name="_ETM_Q12_530070"/>
      <w:bookmarkEnd w:id="11024"/>
      <w:r>
        <w:rPr>
          <w:rFonts w:hint="cs"/>
          <w:rtl/>
        </w:rPr>
        <w:t xml:space="preserve">היפות </w:t>
      </w:r>
      <w:bookmarkStart w:id="11025" w:name="_ETM_Q12_531269"/>
      <w:bookmarkEnd w:id="11025"/>
      <w:r>
        <w:rPr>
          <w:rFonts w:hint="cs"/>
          <w:rtl/>
        </w:rPr>
        <w:t>ו</w:t>
      </w:r>
      <w:bookmarkStart w:id="11026" w:name="_ETM_Q12_531690"/>
      <w:bookmarkEnd w:id="11026"/>
      <w:r>
        <w:rPr>
          <w:rFonts w:hint="cs"/>
          <w:rtl/>
        </w:rPr>
        <w:t xml:space="preserve">הסיסמאות </w:t>
      </w:r>
      <w:bookmarkStart w:id="11027" w:name="_ETM_Q12_532260"/>
      <w:bookmarkEnd w:id="11027"/>
      <w:r>
        <w:rPr>
          <w:rFonts w:hint="cs"/>
          <w:rtl/>
        </w:rPr>
        <w:t xml:space="preserve">שאתם </w:t>
      </w:r>
      <w:bookmarkStart w:id="11028" w:name="_ETM_Q12_532649"/>
      <w:bookmarkEnd w:id="11028"/>
      <w:r>
        <w:rPr>
          <w:rFonts w:hint="cs"/>
          <w:rtl/>
        </w:rPr>
        <w:t xml:space="preserve">מפזרים </w:t>
      </w:r>
      <w:bookmarkStart w:id="11029" w:name="_ETM_Q12_533160"/>
      <w:bookmarkEnd w:id="11029"/>
      <w:r>
        <w:rPr>
          <w:rFonts w:hint="cs"/>
          <w:rtl/>
        </w:rPr>
        <w:t xml:space="preserve">פה </w:t>
      </w:r>
      <w:bookmarkStart w:id="11030" w:name="_ETM_Q12_533339"/>
      <w:bookmarkStart w:id="11031" w:name="_ETM_Q12_531156"/>
      <w:bookmarkEnd w:id="11030"/>
      <w:bookmarkEnd w:id="11031"/>
      <w:r>
        <w:rPr>
          <w:rFonts w:hint="cs"/>
          <w:rtl/>
        </w:rPr>
        <w:t xml:space="preserve">לעם </w:t>
      </w:r>
      <w:bookmarkStart w:id="11032" w:name="_ETM_Q12_533640"/>
      <w:bookmarkEnd w:id="11032"/>
      <w:r>
        <w:rPr>
          <w:rFonts w:hint="cs"/>
          <w:rtl/>
        </w:rPr>
        <w:t xml:space="preserve">ישראל. </w:t>
      </w:r>
      <w:bookmarkStart w:id="11033" w:name="_ETM_Q12_534770"/>
      <w:bookmarkEnd w:id="11033"/>
      <w:r>
        <w:rPr>
          <w:rFonts w:hint="cs"/>
          <w:rtl/>
        </w:rPr>
        <w:t xml:space="preserve">אנחנו </w:t>
      </w:r>
      <w:bookmarkStart w:id="11034" w:name="_ETM_Q12_535550"/>
      <w:bookmarkEnd w:id="11034"/>
      <w:r>
        <w:rPr>
          <w:rFonts w:hint="cs"/>
          <w:rtl/>
        </w:rPr>
        <w:t xml:space="preserve">לא </w:t>
      </w:r>
      <w:bookmarkStart w:id="11035" w:name="_ETM_Q12_535730"/>
      <w:bookmarkEnd w:id="11035"/>
      <w:r>
        <w:rPr>
          <w:rFonts w:hint="cs"/>
          <w:rtl/>
        </w:rPr>
        <w:t xml:space="preserve">ניתן </w:t>
      </w:r>
      <w:bookmarkStart w:id="11036" w:name="_ETM_Q12_536180"/>
      <w:bookmarkEnd w:id="11036"/>
      <w:r>
        <w:rPr>
          <w:rFonts w:hint="cs"/>
          <w:rtl/>
        </w:rPr>
        <w:t xml:space="preserve">לכם </w:t>
      </w:r>
      <w:bookmarkStart w:id="11037" w:name="_ETM_Q12_536510"/>
      <w:bookmarkEnd w:id="11037"/>
      <w:r>
        <w:rPr>
          <w:rFonts w:hint="cs"/>
          <w:rtl/>
        </w:rPr>
        <w:t xml:space="preserve">את </w:t>
      </w:r>
      <w:bookmarkStart w:id="11038" w:name="_ETM_Q12_536630"/>
      <w:bookmarkEnd w:id="11038"/>
      <w:r>
        <w:rPr>
          <w:rFonts w:hint="cs"/>
          <w:rtl/>
        </w:rPr>
        <w:t xml:space="preserve">זה, </w:t>
      </w:r>
      <w:bookmarkStart w:id="11039" w:name="_ETM_Q12_537420"/>
      <w:bookmarkEnd w:id="11039"/>
      <w:r>
        <w:rPr>
          <w:rFonts w:hint="cs"/>
          <w:rtl/>
        </w:rPr>
        <w:t xml:space="preserve">והעם </w:t>
      </w:r>
      <w:bookmarkStart w:id="11040" w:name="_ETM_Q12_538019"/>
      <w:bookmarkEnd w:id="11040"/>
      <w:r>
        <w:rPr>
          <w:rFonts w:hint="cs"/>
          <w:rtl/>
        </w:rPr>
        <w:t>שנ</w:t>
      </w:r>
      <w:bookmarkStart w:id="11041" w:name="_ETM_Q12_538260"/>
      <w:bookmarkEnd w:id="11041"/>
      <w:r>
        <w:rPr>
          <w:rFonts w:hint="cs"/>
          <w:rtl/>
        </w:rPr>
        <w:t xml:space="preserve">מצא </w:t>
      </w:r>
      <w:bookmarkStart w:id="11042" w:name="_ETM_Q12_538589"/>
      <w:bookmarkEnd w:id="11042"/>
      <w:r>
        <w:rPr>
          <w:rFonts w:hint="cs"/>
          <w:rtl/>
        </w:rPr>
        <w:t xml:space="preserve">ברחובות </w:t>
      </w:r>
      <w:bookmarkStart w:id="11043" w:name="_ETM_Q12_539850"/>
      <w:bookmarkEnd w:id="11043"/>
      <w:r>
        <w:rPr>
          <w:rFonts w:hint="cs"/>
          <w:rtl/>
        </w:rPr>
        <w:t xml:space="preserve">לא </w:t>
      </w:r>
      <w:bookmarkStart w:id="11044" w:name="_ETM_Q12_540179"/>
      <w:bookmarkEnd w:id="11044"/>
      <w:r>
        <w:rPr>
          <w:rFonts w:hint="cs"/>
          <w:rtl/>
        </w:rPr>
        <w:t xml:space="preserve">יאפשר </w:t>
      </w:r>
      <w:bookmarkStart w:id="11045" w:name="_ETM_Q12_540690"/>
      <w:bookmarkEnd w:id="11045"/>
      <w:r>
        <w:rPr>
          <w:rFonts w:hint="cs"/>
          <w:rtl/>
        </w:rPr>
        <w:t xml:space="preserve">לכם </w:t>
      </w:r>
      <w:bookmarkStart w:id="11046" w:name="_ETM_Q12_541049"/>
      <w:bookmarkEnd w:id="11046"/>
      <w:r>
        <w:rPr>
          <w:rFonts w:hint="cs"/>
          <w:rtl/>
        </w:rPr>
        <w:t xml:space="preserve">את </w:t>
      </w:r>
      <w:bookmarkStart w:id="11047" w:name="_ETM_Q12_541139"/>
      <w:bookmarkEnd w:id="11047"/>
      <w:r>
        <w:rPr>
          <w:rFonts w:hint="cs"/>
          <w:rtl/>
        </w:rPr>
        <w:t xml:space="preserve">זה. </w:t>
      </w:r>
      <w:bookmarkStart w:id="11048" w:name="_ETM_Q12_542010"/>
      <w:bookmarkEnd w:id="11048"/>
      <w:r>
        <w:rPr>
          <w:rFonts w:hint="cs"/>
          <w:rtl/>
        </w:rPr>
        <w:t xml:space="preserve">אם </w:t>
      </w:r>
      <w:bookmarkStart w:id="11049" w:name="_ETM_Q12_542460"/>
      <w:bookmarkEnd w:id="11049"/>
      <w:r>
        <w:rPr>
          <w:rFonts w:hint="cs"/>
          <w:rtl/>
        </w:rPr>
        <w:t xml:space="preserve">לא, </w:t>
      </w:r>
      <w:bookmarkStart w:id="11050" w:name="_ETM_Q12_543710"/>
      <w:bookmarkEnd w:id="11050"/>
      <w:r>
        <w:rPr>
          <w:rFonts w:hint="cs"/>
          <w:rtl/>
        </w:rPr>
        <w:t xml:space="preserve">אנחנו </w:t>
      </w:r>
      <w:bookmarkStart w:id="11051" w:name="_ETM_Q12_544130"/>
      <w:bookmarkEnd w:id="11051"/>
      <w:r>
        <w:rPr>
          <w:rFonts w:hint="cs"/>
          <w:rtl/>
        </w:rPr>
        <w:t xml:space="preserve">כולנו </w:t>
      </w:r>
      <w:bookmarkStart w:id="11052" w:name="_ETM_Q12_544550"/>
      <w:bookmarkEnd w:id="11052"/>
      <w:r>
        <w:rPr>
          <w:rFonts w:hint="cs"/>
          <w:rtl/>
        </w:rPr>
        <w:t xml:space="preserve">ביחד </w:t>
      </w:r>
      <w:bookmarkStart w:id="11053" w:name="_ETM_Q12_545180"/>
      <w:bookmarkEnd w:id="11053"/>
      <w:r>
        <w:rPr>
          <w:rFonts w:hint="cs"/>
          <w:rtl/>
        </w:rPr>
        <w:t xml:space="preserve">נצטער </w:t>
      </w:r>
      <w:bookmarkStart w:id="11054" w:name="_ETM_Q12_545660"/>
      <w:bookmarkEnd w:id="11054"/>
      <w:r>
        <w:rPr>
          <w:rFonts w:hint="cs"/>
          <w:rtl/>
        </w:rPr>
        <w:t xml:space="preserve">על </w:t>
      </w:r>
      <w:bookmarkStart w:id="11055" w:name="_ETM_Q12_545779"/>
      <w:bookmarkEnd w:id="11055"/>
      <w:r>
        <w:rPr>
          <w:rFonts w:hint="cs"/>
          <w:rtl/>
        </w:rPr>
        <w:t xml:space="preserve">זה, </w:t>
      </w:r>
      <w:bookmarkStart w:id="11056" w:name="_ETM_Q12_546410"/>
      <w:bookmarkEnd w:id="11056"/>
      <w:r>
        <w:rPr>
          <w:rFonts w:hint="cs"/>
          <w:rtl/>
        </w:rPr>
        <w:t xml:space="preserve">כי </w:t>
      </w:r>
      <w:bookmarkStart w:id="11057" w:name="_ETM_Q12_546620"/>
      <w:bookmarkEnd w:id="11057"/>
      <w:r>
        <w:rPr>
          <w:rFonts w:hint="cs"/>
          <w:rtl/>
        </w:rPr>
        <w:t xml:space="preserve">יהיו </w:t>
      </w:r>
      <w:bookmarkStart w:id="11058" w:name="_ETM_Q12_546800"/>
      <w:bookmarkEnd w:id="11058"/>
      <w:r>
        <w:rPr>
          <w:rFonts w:hint="cs"/>
          <w:rtl/>
        </w:rPr>
        <w:t xml:space="preserve">לזה </w:t>
      </w:r>
      <w:bookmarkStart w:id="11059" w:name="_ETM_Q12_547160"/>
      <w:bookmarkEnd w:id="11059"/>
      <w:r>
        <w:rPr>
          <w:rFonts w:hint="cs"/>
          <w:rtl/>
        </w:rPr>
        <w:t xml:space="preserve">השלכות </w:t>
      </w:r>
      <w:bookmarkStart w:id="11060" w:name="_ETM_Q12_547820"/>
      <w:bookmarkEnd w:id="11060"/>
      <w:r>
        <w:rPr>
          <w:rFonts w:hint="cs"/>
          <w:rtl/>
        </w:rPr>
        <w:t xml:space="preserve">רוחב, </w:t>
      </w:r>
      <w:bookmarkStart w:id="11061" w:name="_ETM_Q12_548360"/>
      <w:bookmarkEnd w:id="11061"/>
      <w:r>
        <w:rPr>
          <w:rFonts w:hint="cs"/>
          <w:rtl/>
        </w:rPr>
        <w:t xml:space="preserve">גם </w:t>
      </w:r>
      <w:bookmarkStart w:id="11062" w:name="_ETM_Q12_548660"/>
      <w:bookmarkEnd w:id="11062"/>
      <w:r>
        <w:rPr>
          <w:rFonts w:hint="cs"/>
          <w:rtl/>
        </w:rPr>
        <w:t xml:space="preserve">בביטחון, </w:t>
      </w:r>
      <w:bookmarkStart w:id="11063" w:name="_ETM_Q12_549710"/>
      <w:bookmarkEnd w:id="11063"/>
      <w:r>
        <w:rPr>
          <w:rFonts w:hint="cs"/>
          <w:rtl/>
        </w:rPr>
        <w:t xml:space="preserve">גם </w:t>
      </w:r>
      <w:bookmarkStart w:id="11064" w:name="_ETM_Q12_550070"/>
      <w:bookmarkEnd w:id="11064"/>
      <w:r>
        <w:rPr>
          <w:rFonts w:hint="cs"/>
          <w:rtl/>
        </w:rPr>
        <w:t xml:space="preserve">בכלכלה </w:t>
      </w:r>
      <w:bookmarkStart w:id="11065" w:name="_ETM_Q12_551120"/>
      <w:bookmarkEnd w:id="11065"/>
      <w:r>
        <w:rPr>
          <w:rFonts w:hint="cs"/>
          <w:rtl/>
        </w:rPr>
        <w:t xml:space="preserve">וגם </w:t>
      </w:r>
      <w:bookmarkStart w:id="11066" w:name="_ETM_Q12_551510"/>
      <w:bookmarkEnd w:id="11066"/>
      <w:r>
        <w:rPr>
          <w:rFonts w:hint="cs"/>
          <w:rtl/>
        </w:rPr>
        <w:t xml:space="preserve">בחברה </w:t>
      </w:r>
      <w:bookmarkStart w:id="11067" w:name="_ETM_Q12_551990"/>
      <w:bookmarkEnd w:id="11067"/>
      <w:r>
        <w:rPr>
          <w:rFonts w:hint="cs"/>
          <w:rtl/>
        </w:rPr>
        <w:t xml:space="preserve">שלנו. </w:t>
      </w:r>
      <w:bookmarkStart w:id="11068" w:name="_ETM_Q12_552740"/>
      <w:bookmarkEnd w:id="11068"/>
      <w:r>
        <w:rPr>
          <w:rFonts w:hint="cs"/>
          <w:rtl/>
        </w:rPr>
        <w:t xml:space="preserve">תחשבו </w:t>
      </w:r>
      <w:bookmarkStart w:id="11069" w:name="_ETM_Q12_553310"/>
      <w:bookmarkEnd w:id="11069"/>
      <w:r>
        <w:rPr>
          <w:rFonts w:hint="cs"/>
          <w:rtl/>
        </w:rPr>
        <w:t>ותעש</w:t>
      </w:r>
      <w:bookmarkStart w:id="11070" w:name="_ETM_Q12_551756"/>
      <w:bookmarkEnd w:id="11070"/>
      <w:r>
        <w:rPr>
          <w:rFonts w:hint="cs"/>
          <w:rtl/>
        </w:rPr>
        <w:t xml:space="preserve">ו </w:t>
      </w:r>
      <w:bookmarkStart w:id="11071" w:name="_ETM_Q12_553970"/>
      <w:bookmarkStart w:id="11072" w:name="_ETM_Q12_554540"/>
      <w:bookmarkEnd w:id="11071"/>
      <w:bookmarkEnd w:id="11072"/>
      <w:r>
        <w:rPr>
          <w:rFonts w:hint="cs"/>
          <w:rtl/>
        </w:rPr>
        <w:t xml:space="preserve">כמה </w:t>
      </w:r>
      <w:bookmarkStart w:id="11073" w:name="_ETM_Q12_554810"/>
      <w:bookmarkEnd w:id="11073"/>
      <w:r>
        <w:rPr>
          <w:rFonts w:hint="cs"/>
          <w:rtl/>
        </w:rPr>
        <w:t xml:space="preserve">שיותר </w:t>
      </w:r>
      <w:bookmarkStart w:id="11074" w:name="_ETM_Q12_555230"/>
      <w:bookmarkEnd w:id="11074"/>
      <w:r>
        <w:rPr>
          <w:rFonts w:hint="cs"/>
          <w:rtl/>
        </w:rPr>
        <w:t xml:space="preserve">מהר. </w:t>
      </w:r>
      <w:bookmarkStart w:id="11075" w:name="_ETM_Q12_555800"/>
      <w:bookmarkEnd w:id="11075"/>
      <w:r>
        <w:rPr>
          <w:rFonts w:hint="cs"/>
          <w:rtl/>
        </w:rPr>
        <w:t xml:space="preserve">תודה </w:t>
      </w:r>
      <w:bookmarkStart w:id="11076" w:name="_ETM_Q12_556130"/>
      <w:bookmarkEnd w:id="11076"/>
      <w:r>
        <w:rPr>
          <w:rFonts w:hint="cs"/>
          <w:rtl/>
        </w:rPr>
        <w:t>רבה.</w:t>
      </w:r>
    </w:p>
    <w:p w:rsidR="000C5C1F" w:rsidRDefault="000C5C1F" w:rsidP="000C5C1F">
      <w:pPr>
        <w:rPr>
          <w:rtl/>
        </w:rPr>
      </w:pPr>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rPr>
      </w:pPr>
    </w:p>
    <w:p w:rsidR="000C5C1F" w:rsidRDefault="000C5C1F" w:rsidP="000C5C1F">
      <w:pPr>
        <w:rPr>
          <w:rtl/>
        </w:rPr>
      </w:pPr>
      <w:bookmarkStart w:id="11077" w:name="_ETM_Q12_557679"/>
      <w:bookmarkEnd w:id="11077"/>
      <w:r>
        <w:rPr>
          <w:rFonts w:hint="cs"/>
          <w:rtl/>
        </w:rPr>
        <w:t xml:space="preserve">תודה </w:t>
      </w:r>
      <w:bookmarkStart w:id="11078" w:name="_ETM_Q12_557950"/>
      <w:bookmarkEnd w:id="11078"/>
      <w:r>
        <w:rPr>
          <w:rFonts w:hint="cs"/>
          <w:rtl/>
        </w:rPr>
        <w:t xml:space="preserve">רבה. </w:t>
      </w:r>
      <w:bookmarkStart w:id="11079" w:name="_ETM_Q12_559240"/>
      <w:bookmarkEnd w:id="11079"/>
      <w:r>
        <w:rPr>
          <w:rFonts w:hint="cs"/>
          <w:rtl/>
        </w:rPr>
        <w:t xml:space="preserve">חבר </w:t>
      </w:r>
      <w:bookmarkStart w:id="11080" w:name="_ETM_Q12_559600"/>
      <w:bookmarkEnd w:id="11080"/>
      <w:r>
        <w:rPr>
          <w:rFonts w:hint="cs"/>
          <w:rtl/>
        </w:rPr>
        <w:t xml:space="preserve">הכנסת </w:t>
      </w:r>
      <w:bookmarkStart w:id="11081" w:name="_ETM_Q12_559990"/>
      <w:bookmarkEnd w:id="11081"/>
      <w:r>
        <w:rPr>
          <w:rFonts w:hint="cs"/>
          <w:rtl/>
        </w:rPr>
        <w:t xml:space="preserve">אחמד </w:t>
      </w:r>
      <w:bookmarkStart w:id="11082" w:name="_ETM_Q12_560290"/>
      <w:bookmarkEnd w:id="11082"/>
      <w:r>
        <w:rPr>
          <w:rFonts w:hint="cs"/>
          <w:rtl/>
        </w:rPr>
        <w:t xml:space="preserve">טיבי, </w:t>
      </w:r>
      <w:bookmarkStart w:id="11083" w:name="_ETM_Q12_560620"/>
      <w:bookmarkEnd w:id="11083"/>
      <w:r>
        <w:rPr>
          <w:rFonts w:hint="cs"/>
          <w:rtl/>
        </w:rPr>
        <w:t>בבקשה.</w:t>
      </w:r>
    </w:p>
    <w:p w:rsidR="000C5C1F" w:rsidRDefault="000C5C1F" w:rsidP="000C5C1F">
      <w:pPr>
        <w:rPr>
          <w:rtl/>
        </w:rPr>
      </w:pPr>
    </w:p>
    <w:p w:rsidR="000C5C1F" w:rsidRDefault="000C5C1F" w:rsidP="000C5C1F">
      <w:pPr>
        <w:pStyle w:val="a5"/>
        <w:keepNext/>
        <w:rPr>
          <w:rtl/>
        </w:rPr>
      </w:pPr>
      <w:bookmarkStart w:id="11084" w:name="ET_speaker_5264_4"/>
      <w:r>
        <w:rPr>
          <w:rStyle w:val="TagStyle"/>
          <w:rFonts w:hint="cs"/>
          <w:rtl/>
        </w:rPr>
        <w:t xml:space="preserve"> &lt;&lt; דובר &gt;&gt; </w:t>
      </w:r>
      <w:bookmarkStart w:id="11085" w:name="_Toc141040459"/>
      <w:bookmarkStart w:id="11086" w:name="_Toc141196868"/>
      <w:bookmarkStart w:id="11087" w:name="_Toc141197132"/>
      <w:r>
        <w:rPr>
          <w:rFonts w:hint="cs"/>
          <w:rtl/>
        </w:rPr>
        <w:t>אחמד טיבי (חד"ש-תע"ל):</w:t>
      </w:r>
      <w:bookmarkEnd w:id="11085"/>
      <w:bookmarkEnd w:id="11086"/>
      <w:bookmarkEnd w:id="11087"/>
      <w:r>
        <w:rPr>
          <w:rStyle w:val="TagStyle"/>
          <w:rFonts w:hint="cs"/>
          <w:rtl/>
        </w:rPr>
        <w:t xml:space="preserve"> &lt;&lt; דובר &gt;&gt;</w:t>
      </w:r>
      <w:r>
        <w:rPr>
          <w:rFonts w:hint="cs"/>
          <w:rtl/>
        </w:rPr>
        <w:t xml:space="preserve">   </w:t>
      </w:r>
      <w:bookmarkEnd w:id="11084"/>
    </w:p>
    <w:p w:rsidR="000C5C1F" w:rsidRDefault="000C5C1F" w:rsidP="00337201">
      <w:pPr>
        <w:rPr>
          <w:rtl/>
        </w:rPr>
      </w:pPr>
    </w:p>
    <w:p w:rsidR="000C5C1F" w:rsidRDefault="000C5C1F" w:rsidP="000C5C1F">
      <w:pPr>
        <w:rPr>
          <w:rtl/>
        </w:rPr>
      </w:pPr>
      <w:bookmarkStart w:id="11088" w:name="_ETM_Q12_586350"/>
      <w:bookmarkEnd w:id="11088"/>
      <w:r>
        <w:rPr>
          <w:rFonts w:hint="cs"/>
          <w:rtl/>
        </w:rPr>
        <w:t xml:space="preserve">מכובדי </w:t>
      </w:r>
      <w:bookmarkStart w:id="11089" w:name="_ETM_Q12_587700"/>
      <w:bookmarkEnd w:id="11089"/>
      <w:r>
        <w:rPr>
          <w:rFonts w:hint="cs"/>
          <w:rtl/>
        </w:rPr>
        <w:t xml:space="preserve">היושב-ראש, </w:t>
      </w:r>
      <w:bookmarkStart w:id="11090" w:name="_ETM_Q12_589920"/>
      <w:bookmarkEnd w:id="11090"/>
      <w:r>
        <w:rPr>
          <w:rFonts w:hint="cs"/>
          <w:rtl/>
        </w:rPr>
        <w:t xml:space="preserve">רבותיי </w:t>
      </w:r>
      <w:bookmarkStart w:id="11091" w:name="_ETM_Q12_590400"/>
      <w:bookmarkEnd w:id="11091"/>
      <w:r>
        <w:rPr>
          <w:rFonts w:hint="cs"/>
          <w:rtl/>
        </w:rPr>
        <w:t xml:space="preserve">חברי </w:t>
      </w:r>
      <w:bookmarkStart w:id="11092" w:name="_ETM_Q12_590730"/>
      <w:bookmarkEnd w:id="11092"/>
      <w:r>
        <w:rPr>
          <w:rFonts w:hint="cs"/>
          <w:rtl/>
        </w:rPr>
        <w:t xml:space="preserve">הכנסת, </w:t>
      </w:r>
      <w:bookmarkStart w:id="11093" w:name="_ETM_Q12_594109"/>
      <w:bookmarkEnd w:id="11093"/>
      <w:r>
        <w:rPr>
          <w:rFonts w:hint="cs"/>
          <w:rtl/>
        </w:rPr>
        <w:t xml:space="preserve">חברי </w:t>
      </w:r>
      <w:bookmarkStart w:id="11094" w:name="_ETM_Q12_594529"/>
      <w:bookmarkEnd w:id="11094"/>
      <w:r>
        <w:rPr>
          <w:rFonts w:hint="cs"/>
          <w:rtl/>
        </w:rPr>
        <w:t xml:space="preserve">הכנסת </w:t>
      </w:r>
      <w:bookmarkStart w:id="11095" w:name="_ETM_Q12_595459"/>
      <w:bookmarkEnd w:id="11095"/>
      <w:r>
        <w:rPr>
          <w:rFonts w:hint="cs"/>
          <w:rtl/>
        </w:rPr>
        <w:t xml:space="preserve">עם </w:t>
      </w:r>
      <w:bookmarkStart w:id="11096" w:name="_ETM_Q12_595700"/>
      <w:bookmarkEnd w:id="11096"/>
      <w:r>
        <w:rPr>
          <w:rFonts w:hint="cs"/>
          <w:rtl/>
        </w:rPr>
        <w:t xml:space="preserve">רוב </w:t>
      </w:r>
      <w:bookmarkStart w:id="11097" w:name="_ETM_Q12_595939"/>
      <w:bookmarkEnd w:id="11097"/>
      <w:r>
        <w:rPr>
          <w:rFonts w:hint="cs"/>
          <w:rtl/>
        </w:rPr>
        <w:t xml:space="preserve">יהודי </w:t>
      </w:r>
      <w:bookmarkStart w:id="11098" w:name="_ETM_Q12_597319"/>
      <w:bookmarkEnd w:id="11098"/>
      <w:r>
        <w:rPr>
          <w:rFonts w:hint="cs"/>
          <w:rtl/>
        </w:rPr>
        <w:t xml:space="preserve">במליאה, </w:t>
      </w:r>
      <w:bookmarkStart w:id="11099" w:name="_ETM_Q12_599270"/>
      <w:bookmarkEnd w:id="11099"/>
      <w:r>
        <w:rPr>
          <w:rFonts w:hint="cs"/>
          <w:rtl/>
        </w:rPr>
        <w:t xml:space="preserve">לשעבר, </w:t>
      </w:r>
      <w:bookmarkStart w:id="11100" w:name="_ETM_Q12_600049"/>
      <w:bookmarkEnd w:id="11100"/>
      <w:r>
        <w:rPr>
          <w:rFonts w:hint="cs"/>
          <w:rtl/>
        </w:rPr>
        <w:t xml:space="preserve">ועכשיו </w:t>
      </w:r>
      <w:bookmarkStart w:id="11101" w:name="_ETM_Q12_600529"/>
      <w:bookmarkEnd w:id="11101"/>
      <w:r>
        <w:rPr>
          <w:rFonts w:hint="cs"/>
          <w:rtl/>
        </w:rPr>
        <w:t xml:space="preserve">עם </w:t>
      </w:r>
      <w:bookmarkStart w:id="11102" w:name="_ETM_Q12_600679"/>
      <w:bookmarkEnd w:id="11102"/>
      <w:r>
        <w:rPr>
          <w:rFonts w:hint="cs"/>
          <w:rtl/>
        </w:rPr>
        <w:t xml:space="preserve">רוב </w:t>
      </w:r>
      <w:bookmarkStart w:id="11103" w:name="_ETM_Q12_600920"/>
      <w:bookmarkEnd w:id="11103"/>
      <w:r>
        <w:rPr>
          <w:rFonts w:hint="cs"/>
          <w:rtl/>
        </w:rPr>
        <w:t>ערבי.</w:t>
      </w:r>
    </w:p>
    <w:p w:rsidR="000C5C1F" w:rsidRDefault="000C5C1F" w:rsidP="000C5C1F">
      <w:pPr>
        <w:rPr>
          <w:rtl/>
        </w:rPr>
      </w:pPr>
    </w:p>
    <w:p w:rsidR="000C5C1F" w:rsidRDefault="000C5C1F" w:rsidP="000C5C1F">
      <w:pPr>
        <w:pStyle w:val="af8"/>
        <w:keepNext/>
        <w:rPr>
          <w:rtl/>
        </w:rPr>
      </w:pPr>
      <w:bookmarkStart w:id="11104" w:name="ET_interruption_6156_5"/>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1104"/>
    </w:p>
    <w:p w:rsidR="000C5C1F" w:rsidRDefault="000C5C1F" w:rsidP="000C5C1F">
      <w:pPr>
        <w:rPr>
          <w:rtl/>
        </w:rPr>
      </w:pPr>
    </w:p>
    <w:p w:rsidR="000C5C1F" w:rsidRDefault="000C5C1F" w:rsidP="000C5C1F">
      <w:pPr>
        <w:rPr>
          <w:rtl/>
        </w:rPr>
      </w:pPr>
      <w:bookmarkStart w:id="11105" w:name="_ETM_Q12_603740"/>
      <w:bookmarkStart w:id="11106" w:name="_ETM_Q12_609659"/>
      <w:bookmarkStart w:id="11107" w:name="_ETM_Q12_610760"/>
      <w:bookmarkStart w:id="11108" w:name="_ETM_Q12_611800"/>
      <w:bookmarkEnd w:id="11105"/>
      <w:bookmarkEnd w:id="11106"/>
      <w:bookmarkEnd w:id="11107"/>
      <w:bookmarkEnd w:id="11108"/>
      <w:r>
        <w:rPr>
          <w:rFonts w:hint="cs"/>
          <w:rtl/>
        </w:rPr>
        <w:t>זה רק בגלל שחלק</w:t>
      </w:r>
      <w:bookmarkStart w:id="11109" w:name="_ETM_Q12_3782"/>
      <w:bookmarkStart w:id="11110" w:name="_ETM_Q12_852"/>
      <w:bookmarkStart w:id="11111" w:name="_ETM_Q12_1695"/>
      <w:bookmarkStart w:id="11112" w:name="_ETM_Q12_2656"/>
      <w:bookmarkStart w:id="11113" w:name="_ETM_Q12_3636"/>
      <w:bookmarkStart w:id="11114" w:name="_ETM_Q12_1305"/>
      <w:bookmarkStart w:id="11115" w:name="_ETM_Q12_2630"/>
      <w:bookmarkEnd w:id="11109"/>
      <w:bookmarkEnd w:id="11110"/>
      <w:bookmarkEnd w:id="11111"/>
      <w:bookmarkEnd w:id="11112"/>
      <w:bookmarkEnd w:id="11113"/>
      <w:bookmarkEnd w:id="11114"/>
      <w:bookmarkEnd w:id="11115"/>
      <w:r>
        <w:rPr>
          <w:rFonts w:hint="cs"/>
          <w:rtl/>
        </w:rPr>
        <w:t xml:space="preserve"> סופרים אותי כחצי יהודי, אחרת יש שוויון. </w:t>
      </w:r>
      <w:bookmarkStart w:id="11116" w:name="_ETM_Q12_606925"/>
      <w:bookmarkEnd w:id="11116"/>
    </w:p>
    <w:p w:rsidR="000C5C1F" w:rsidRDefault="000C5C1F" w:rsidP="000C5C1F">
      <w:pPr>
        <w:rPr>
          <w:rtl/>
        </w:rPr>
      </w:pPr>
    </w:p>
    <w:p w:rsidR="000C5C1F" w:rsidRDefault="000C5C1F" w:rsidP="000C5C1F">
      <w:pPr>
        <w:pStyle w:val="-"/>
        <w:keepNext/>
        <w:rPr>
          <w:rtl/>
        </w:rPr>
      </w:pPr>
      <w:bookmarkStart w:id="11117" w:name="ET_speakercontinue_5264_12"/>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117"/>
    </w:p>
    <w:p w:rsidR="000C5C1F" w:rsidRDefault="000C5C1F" w:rsidP="00337201">
      <w:pPr>
        <w:rPr>
          <w:rtl/>
        </w:rPr>
      </w:pPr>
    </w:p>
    <w:p w:rsidR="000C5C1F" w:rsidRDefault="000C5C1F" w:rsidP="000C5C1F">
      <w:pPr>
        <w:rPr>
          <w:rtl/>
        </w:rPr>
      </w:pPr>
      <w:bookmarkStart w:id="11118" w:name="_ETM_Q12_605396"/>
      <w:bookmarkEnd w:id="11118"/>
      <w:r>
        <w:rPr>
          <w:rFonts w:hint="cs"/>
          <w:rtl/>
        </w:rPr>
        <w:t xml:space="preserve">למה </w:t>
      </w:r>
      <w:bookmarkStart w:id="11119" w:name="_ETM_Q12_612100"/>
      <w:bookmarkEnd w:id="11119"/>
      <w:r>
        <w:rPr>
          <w:rFonts w:hint="cs"/>
          <w:rtl/>
        </w:rPr>
        <w:t xml:space="preserve">שוויון? אחד, שניים ואני; </w:t>
      </w:r>
      <w:bookmarkStart w:id="11120" w:name="_ETM_Q12_612146"/>
      <w:bookmarkStart w:id="11121" w:name="_ETM_Q12_612790"/>
      <w:bookmarkStart w:id="11122" w:name="_ETM_Q12_614260"/>
      <w:bookmarkStart w:id="11123" w:name="_ETM_Q12_615540"/>
      <w:bookmarkStart w:id="11124" w:name="_ETM_Q12_610256"/>
      <w:bookmarkEnd w:id="11120"/>
      <w:bookmarkEnd w:id="11121"/>
      <w:bookmarkEnd w:id="11122"/>
      <w:bookmarkEnd w:id="11123"/>
      <w:bookmarkEnd w:id="11124"/>
      <w:r>
        <w:rPr>
          <w:rFonts w:hint="cs"/>
          <w:rtl/>
        </w:rPr>
        <w:t xml:space="preserve">במליאה, </w:t>
      </w:r>
      <w:bookmarkStart w:id="11125" w:name="_ETM_Q12_616290"/>
      <w:bookmarkEnd w:id="11125"/>
      <w:r>
        <w:rPr>
          <w:rFonts w:hint="cs"/>
          <w:rtl/>
        </w:rPr>
        <w:t xml:space="preserve">לא </w:t>
      </w:r>
      <w:bookmarkStart w:id="11126" w:name="_ETM_Q12_616739"/>
      <w:bookmarkEnd w:id="11126"/>
      <w:r>
        <w:rPr>
          <w:rFonts w:hint="cs"/>
          <w:rtl/>
        </w:rPr>
        <w:t xml:space="preserve">בצד. </w:t>
      </w:r>
      <w:bookmarkStart w:id="11127" w:name="_ETM_Q12_618130"/>
      <w:bookmarkEnd w:id="11127"/>
    </w:p>
    <w:p w:rsidR="000C5C1F" w:rsidRDefault="000C5C1F" w:rsidP="000C5C1F">
      <w:pPr>
        <w:rPr>
          <w:rtl/>
        </w:rPr>
      </w:pPr>
      <w:bookmarkStart w:id="11128" w:name="_ETM_Q12_12851"/>
      <w:bookmarkEnd w:id="11128"/>
    </w:p>
    <w:p w:rsidR="000C5C1F" w:rsidRDefault="000C5C1F" w:rsidP="000C5C1F">
      <w:pPr>
        <w:pStyle w:val="af8"/>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0C5C1F" w:rsidRDefault="000C5C1F" w:rsidP="00337201">
      <w:pPr>
        <w:rPr>
          <w:rtl/>
        </w:rPr>
      </w:pPr>
    </w:p>
    <w:p w:rsidR="000C5C1F" w:rsidRDefault="000C5C1F" w:rsidP="000C5C1F">
      <w:pPr>
        <w:rPr>
          <w:rtl/>
        </w:rPr>
      </w:pPr>
      <w:r>
        <w:rPr>
          <w:rFonts w:hint="cs"/>
          <w:rtl/>
        </w:rPr>
        <w:t>גם השר, השר. אתה לא סופר את השר?</w:t>
      </w:r>
    </w:p>
    <w:p w:rsidR="000C5C1F" w:rsidRDefault="000C5C1F" w:rsidP="000C5C1F">
      <w:pPr>
        <w:rPr>
          <w:rtl/>
        </w:rPr>
      </w:pPr>
    </w:p>
    <w:p w:rsidR="000C5C1F" w:rsidRDefault="000C5C1F" w:rsidP="000C5C1F">
      <w:pPr>
        <w:pStyle w:val="-"/>
        <w:keepNext/>
        <w:rPr>
          <w:rtl/>
        </w:rPr>
      </w:pPr>
      <w:bookmarkStart w:id="11129" w:name="ET_speakercontinue_5264_15"/>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129"/>
    </w:p>
    <w:p w:rsidR="000C5C1F" w:rsidRDefault="000C5C1F" w:rsidP="00337201">
      <w:pPr>
        <w:rPr>
          <w:rtl/>
        </w:rPr>
      </w:pPr>
    </w:p>
    <w:p w:rsidR="000C5C1F" w:rsidRDefault="000C5C1F" w:rsidP="000C5C1F">
      <w:pPr>
        <w:rPr>
          <w:rtl/>
        </w:rPr>
      </w:pPr>
      <w:r>
        <w:rPr>
          <w:rFonts w:hint="cs"/>
          <w:rtl/>
        </w:rPr>
        <w:t>האמת</w:t>
      </w:r>
      <w:bookmarkStart w:id="11130" w:name="_ETM_Q12_620527"/>
      <w:bookmarkEnd w:id="11130"/>
      <w:r>
        <w:rPr>
          <w:rFonts w:hint="cs"/>
          <w:rtl/>
        </w:rPr>
        <w:t xml:space="preserve">, </w:t>
      </w:r>
      <w:bookmarkStart w:id="11131" w:name="_ETM_Q12_619700"/>
      <w:bookmarkEnd w:id="11131"/>
      <w:r>
        <w:rPr>
          <w:rFonts w:hint="cs"/>
          <w:rtl/>
        </w:rPr>
        <w:t xml:space="preserve">יש </w:t>
      </w:r>
      <w:bookmarkStart w:id="11132" w:name="_ETM_Q12_620120"/>
      <w:bookmarkEnd w:id="11132"/>
      <w:r>
        <w:rPr>
          <w:rFonts w:hint="cs"/>
          <w:rtl/>
        </w:rPr>
        <w:t xml:space="preserve">רוב </w:t>
      </w:r>
      <w:bookmarkStart w:id="11133" w:name="_ETM_Q12_620939"/>
      <w:bookmarkEnd w:id="11133"/>
      <w:r>
        <w:rPr>
          <w:rFonts w:hint="cs"/>
          <w:rtl/>
        </w:rPr>
        <w:t xml:space="preserve">של </w:t>
      </w:r>
      <w:bookmarkStart w:id="11134" w:name="_ETM_Q12_621239"/>
      <w:bookmarkEnd w:id="11134"/>
      <w:r>
        <w:rPr>
          <w:rFonts w:hint="cs"/>
          <w:rtl/>
        </w:rPr>
        <w:t xml:space="preserve">ערבים </w:t>
      </w:r>
      <w:bookmarkStart w:id="11135" w:name="_ETM_Q12_621930"/>
      <w:bookmarkEnd w:id="11135"/>
      <w:r>
        <w:rPr>
          <w:rFonts w:hint="cs"/>
          <w:rtl/>
        </w:rPr>
        <w:t xml:space="preserve">ואנשים </w:t>
      </w:r>
      <w:bookmarkStart w:id="11136" w:name="_ETM_Q12_622590"/>
      <w:bookmarkEnd w:id="11136"/>
      <w:r>
        <w:rPr>
          <w:rFonts w:hint="cs"/>
          <w:rtl/>
        </w:rPr>
        <w:t xml:space="preserve">מתרבות </w:t>
      </w:r>
      <w:bookmarkStart w:id="11137" w:name="_ETM_Q12_623099"/>
      <w:bookmarkEnd w:id="11137"/>
      <w:r>
        <w:rPr>
          <w:rFonts w:hint="cs"/>
          <w:rtl/>
        </w:rPr>
        <w:t xml:space="preserve">ערבית </w:t>
      </w:r>
      <w:bookmarkStart w:id="11138" w:name="_ETM_Q12_623610"/>
      <w:bookmarkEnd w:id="11138"/>
      <w:r>
        <w:rPr>
          <w:rFonts w:hint="cs"/>
          <w:rtl/>
        </w:rPr>
        <w:t>במליאה.</w:t>
      </w:r>
    </w:p>
    <w:p w:rsidR="000C5C1F" w:rsidRDefault="000C5C1F" w:rsidP="000C5C1F">
      <w:pPr>
        <w:rPr>
          <w:rtl/>
        </w:rPr>
      </w:pPr>
    </w:p>
    <w:p w:rsidR="000C5C1F" w:rsidRDefault="000C5C1F" w:rsidP="000C5C1F">
      <w:pPr>
        <w:pStyle w:val="af8"/>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0C5C1F" w:rsidRDefault="000C5C1F" w:rsidP="00337201">
      <w:pPr>
        <w:rPr>
          <w:rtl/>
        </w:rPr>
      </w:pPr>
    </w:p>
    <w:p w:rsidR="000C5C1F" w:rsidRDefault="000C5C1F" w:rsidP="000C5C1F">
      <w:pPr>
        <w:rPr>
          <w:rtl/>
        </w:rPr>
      </w:pPr>
      <w:r>
        <w:rPr>
          <w:rFonts w:hint="cs"/>
          <w:rtl/>
        </w:rPr>
        <w:t xml:space="preserve">זה בסדר, כי השר לא סופר אותנו </w:t>
      </w:r>
      <w:bookmarkStart w:id="11139" w:name="_ETM_Q12_622827"/>
      <w:bookmarkEnd w:id="11139"/>
      <w:r>
        <w:rPr>
          <w:rFonts w:hint="cs"/>
          <w:rtl/>
        </w:rPr>
        <w:t xml:space="preserve">ולא טורח לשבת ולהאזין. </w:t>
      </w:r>
      <w:bookmarkStart w:id="11140" w:name="_ETM_Q12_22023"/>
      <w:bookmarkStart w:id="11141" w:name="_ETM_Q12_624176"/>
      <w:bookmarkEnd w:id="11140"/>
      <w:bookmarkEnd w:id="11141"/>
      <w:r>
        <w:rPr>
          <w:rFonts w:hint="cs"/>
          <w:rtl/>
        </w:rPr>
        <w:t>אתה צודק.</w:t>
      </w:r>
    </w:p>
    <w:p w:rsidR="000C5C1F" w:rsidRDefault="000C5C1F" w:rsidP="000C5C1F">
      <w:pPr>
        <w:rPr>
          <w:rtl/>
        </w:rPr>
      </w:pPr>
    </w:p>
    <w:p w:rsidR="000C5C1F" w:rsidRDefault="000C5C1F" w:rsidP="000C5C1F">
      <w:pPr>
        <w:pStyle w:val="-"/>
        <w:keepNext/>
        <w:rPr>
          <w:rtl/>
        </w:rPr>
      </w:pPr>
      <w:bookmarkStart w:id="11142" w:name="ET_speakercontinue_5264_11"/>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142"/>
    </w:p>
    <w:p w:rsidR="000C5C1F" w:rsidRDefault="000C5C1F" w:rsidP="00337201">
      <w:pPr>
        <w:rPr>
          <w:rtl/>
        </w:rPr>
      </w:pPr>
    </w:p>
    <w:p w:rsidR="000C5C1F" w:rsidRDefault="000C5C1F" w:rsidP="000C5C1F">
      <w:pPr>
        <w:rPr>
          <w:rtl/>
        </w:rPr>
      </w:pPr>
      <w:r>
        <w:rPr>
          <w:rFonts w:hint="cs"/>
          <w:rtl/>
        </w:rPr>
        <w:t xml:space="preserve">רבותיי, </w:t>
      </w:r>
      <w:bookmarkStart w:id="11143" w:name="_ETM_Q12_634590"/>
      <w:bookmarkEnd w:id="11143"/>
      <w:r>
        <w:rPr>
          <w:rFonts w:hint="cs"/>
          <w:rtl/>
        </w:rPr>
        <w:t xml:space="preserve">האמת </w:t>
      </w:r>
      <w:bookmarkStart w:id="11144" w:name="_ETM_Q12_635099"/>
      <w:bookmarkEnd w:id="11144"/>
      <w:r>
        <w:rPr>
          <w:rFonts w:hint="cs"/>
          <w:rtl/>
        </w:rPr>
        <w:t xml:space="preserve">היא </w:t>
      </w:r>
      <w:bookmarkStart w:id="11145" w:name="_ETM_Q12_635969"/>
      <w:bookmarkEnd w:id="11145"/>
      <w:r>
        <w:rPr>
          <w:rFonts w:hint="cs"/>
          <w:rtl/>
        </w:rPr>
        <w:t xml:space="preserve">שאני </w:t>
      </w:r>
      <w:bookmarkStart w:id="11146" w:name="_ETM_Q12_636180"/>
      <w:bookmarkEnd w:id="11146"/>
      <w:r>
        <w:rPr>
          <w:rFonts w:hint="cs"/>
          <w:rtl/>
        </w:rPr>
        <w:t xml:space="preserve">רוצה </w:t>
      </w:r>
      <w:bookmarkStart w:id="11147" w:name="_ETM_Q12_636450"/>
      <w:bookmarkEnd w:id="11147"/>
      <w:r>
        <w:rPr>
          <w:rFonts w:hint="cs"/>
          <w:rtl/>
        </w:rPr>
        <w:t>ל</w:t>
      </w:r>
      <w:bookmarkStart w:id="11148" w:name="_ETM_Q12_636790"/>
      <w:bookmarkStart w:id="11149" w:name="_ETM_Q12_637090"/>
      <w:bookmarkEnd w:id="11148"/>
      <w:bookmarkEnd w:id="11149"/>
      <w:r>
        <w:rPr>
          <w:rFonts w:hint="cs"/>
          <w:rtl/>
        </w:rPr>
        <w:t xml:space="preserve">התחיל בתמונה </w:t>
      </w:r>
      <w:bookmarkStart w:id="11150" w:name="_ETM_Q12_638700"/>
      <w:bookmarkEnd w:id="11150"/>
      <w:r>
        <w:rPr>
          <w:rFonts w:hint="cs"/>
          <w:rtl/>
        </w:rPr>
        <w:t xml:space="preserve">שהייתה </w:t>
      </w:r>
      <w:bookmarkStart w:id="11151" w:name="_ETM_Q12_639209"/>
      <w:bookmarkEnd w:id="11151"/>
      <w:r>
        <w:rPr>
          <w:rFonts w:hint="cs"/>
          <w:rtl/>
        </w:rPr>
        <w:t>בכבי</w:t>
      </w:r>
      <w:bookmarkStart w:id="11152" w:name="_ETM_Q12_637377"/>
      <w:bookmarkEnd w:id="11152"/>
      <w:r>
        <w:rPr>
          <w:rFonts w:hint="cs"/>
          <w:rtl/>
        </w:rPr>
        <w:t xml:space="preserve">ש </w:t>
      </w:r>
      <w:bookmarkStart w:id="11153" w:name="_ETM_Q12_639600"/>
      <w:bookmarkEnd w:id="11153"/>
      <w:r>
        <w:rPr>
          <w:rFonts w:hint="cs"/>
          <w:rtl/>
        </w:rPr>
        <w:t>1</w:t>
      </w:r>
      <w:bookmarkStart w:id="11154" w:name="_ETM_Q12_640050"/>
      <w:bookmarkEnd w:id="11154"/>
      <w:r>
        <w:rPr>
          <w:rFonts w:hint="cs"/>
          <w:rtl/>
        </w:rPr>
        <w:t xml:space="preserve">, של </w:t>
      </w:r>
      <w:bookmarkStart w:id="11155" w:name="_ETM_Q12_640260"/>
      <w:bookmarkStart w:id="11156" w:name="_ETM_Q12_641100"/>
      <w:bookmarkStart w:id="11157" w:name="_ETM_Q12_641370"/>
      <w:bookmarkEnd w:id="11155"/>
      <w:bookmarkEnd w:id="11156"/>
      <w:bookmarkEnd w:id="11157"/>
      <w:r>
        <w:rPr>
          <w:rFonts w:hint="cs"/>
          <w:rtl/>
        </w:rPr>
        <w:t xml:space="preserve">הצעדה </w:t>
      </w:r>
      <w:bookmarkStart w:id="11158" w:name="_ETM_Q12_642960"/>
      <w:bookmarkEnd w:id="11158"/>
      <w:r>
        <w:rPr>
          <w:rFonts w:hint="cs"/>
          <w:rtl/>
        </w:rPr>
        <w:t xml:space="preserve">של </w:t>
      </w:r>
      <w:bookmarkStart w:id="11159" w:name="_ETM_Q12_643860"/>
      <w:bookmarkEnd w:id="11159"/>
      <w:r>
        <w:rPr>
          <w:rFonts w:hint="cs"/>
          <w:rtl/>
        </w:rPr>
        <w:t xml:space="preserve">אלפי </w:t>
      </w:r>
      <w:bookmarkStart w:id="11160" w:name="_ETM_Q12_644250"/>
      <w:bookmarkEnd w:id="11160"/>
      <w:r>
        <w:rPr>
          <w:rFonts w:hint="cs"/>
          <w:rtl/>
        </w:rPr>
        <w:t xml:space="preserve">אנשים. </w:t>
      </w:r>
      <w:bookmarkStart w:id="11161" w:name="_ETM_Q12_647689"/>
      <w:bookmarkEnd w:id="11161"/>
      <w:r>
        <w:rPr>
          <w:rFonts w:hint="cs"/>
          <w:rtl/>
        </w:rPr>
        <w:t xml:space="preserve">ללא </w:t>
      </w:r>
      <w:bookmarkStart w:id="11162" w:name="_ETM_Q12_648139"/>
      <w:bookmarkEnd w:id="11162"/>
      <w:r>
        <w:rPr>
          <w:rFonts w:hint="cs"/>
          <w:rtl/>
        </w:rPr>
        <w:t xml:space="preserve">קשר </w:t>
      </w:r>
      <w:bookmarkStart w:id="11163" w:name="_ETM_Q12_648680"/>
      <w:bookmarkEnd w:id="11163"/>
      <w:r>
        <w:rPr>
          <w:rFonts w:hint="cs"/>
          <w:rtl/>
        </w:rPr>
        <w:t xml:space="preserve">למטרה, </w:t>
      </w:r>
      <w:bookmarkStart w:id="11164" w:name="_ETM_Q12_649340"/>
      <w:bookmarkStart w:id="11165" w:name="_ETM_Q12_649549"/>
      <w:bookmarkStart w:id="11166" w:name="_ETM_Q12_650060"/>
      <w:bookmarkStart w:id="11167" w:name="_ETM_Q12_684292"/>
      <w:bookmarkStart w:id="11168" w:name="_ETM_Q12_680082"/>
      <w:bookmarkEnd w:id="11164"/>
      <w:bookmarkEnd w:id="11165"/>
      <w:bookmarkEnd w:id="11166"/>
      <w:bookmarkEnd w:id="11167"/>
      <w:bookmarkEnd w:id="11168"/>
      <w:r>
        <w:rPr>
          <w:rFonts w:hint="cs"/>
          <w:rtl/>
        </w:rPr>
        <w:t xml:space="preserve">כשאנשים </w:t>
      </w:r>
      <w:bookmarkStart w:id="11169" w:name="_ETM_Q12_651439"/>
      <w:bookmarkEnd w:id="11169"/>
      <w:r>
        <w:rPr>
          <w:rFonts w:hint="cs"/>
          <w:rtl/>
        </w:rPr>
        <w:t xml:space="preserve">עושים </w:t>
      </w:r>
      <w:bookmarkStart w:id="11170" w:name="_ETM_Q12_652010"/>
      <w:bookmarkEnd w:id="11170"/>
      <w:r>
        <w:rPr>
          <w:rFonts w:hint="cs"/>
          <w:rtl/>
        </w:rPr>
        <w:t xml:space="preserve">את </w:t>
      </w:r>
      <w:bookmarkStart w:id="11171" w:name="_ETM_Q12_652129"/>
      <w:bookmarkEnd w:id="11171"/>
      <w:r>
        <w:rPr>
          <w:rFonts w:hint="cs"/>
          <w:rtl/>
        </w:rPr>
        <w:t xml:space="preserve">זה </w:t>
      </w:r>
      <w:bookmarkStart w:id="11172" w:name="_ETM_Q12_652430"/>
      <w:bookmarkEnd w:id="11172"/>
      <w:r>
        <w:rPr>
          <w:rFonts w:hint="cs"/>
          <w:rtl/>
        </w:rPr>
        <w:t xml:space="preserve">בחום, </w:t>
      </w:r>
      <w:bookmarkStart w:id="11173" w:name="_ETM_Q12_653909"/>
      <w:bookmarkEnd w:id="11173"/>
      <w:r>
        <w:rPr>
          <w:rFonts w:hint="cs"/>
          <w:rtl/>
        </w:rPr>
        <w:t xml:space="preserve">במזג </w:t>
      </w:r>
      <w:bookmarkStart w:id="11174" w:name="_ETM_Q12_654749"/>
      <w:bookmarkEnd w:id="11174"/>
      <w:r>
        <w:rPr>
          <w:rFonts w:hint="cs"/>
          <w:rtl/>
        </w:rPr>
        <w:t xml:space="preserve">אוויר </w:t>
      </w:r>
      <w:bookmarkStart w:id="11175" w:name="_ETM_Q12_655109"/>
      <w:bookmarkEnd w:id="11175"/>
      <w:r>
        <w:rPr>
          <w:rFonts w:hint="cs"/>
          <w:rtl/>
        </w:rPr>
        <w:t xml:space="preserve">קשה, </w:t>
      </w:r>
      <w:bookmarkStart w:id="11176" w:name="_ETM_Q12_656639"/>
      <w:bookmarkEnd w:id="11176"/>
      <w:r>
        <w:rPr>
          <w:rFonts w:hint="cs"/>
          <w:rtl/>
        </w:rPr>
        <w:t xml:space="preserve">בנחישות, </w:t>
      </w:r>
      <w:bookmarkStart w:id="11177" w:name="_ETM_Q12_658689"/>
      <w:bookmarkEnd w:id="11177"/>
      <w:r>
        <w:rPr>
          <w:rFonts w:hint="cs"/>
          <w:rtl/>
        </w:rPr>
        <w:t xml:space="preserve">אני </w:t>
      </w:r>
      <w:bookmarkStart w:id="11178" w:name="_ETM_Q12_658930"/>
      <w:bookmarkEnd w:id="11178"/>
      <w:r>
        <w:rPr>
          <w:rFonts w:hint="cs"/>
          <w:rtl/>
        </w:rPr>
        <w:t xml:space="preserve">חושב </w:t>
      </w:r>
      <w:bookmarkStart w:id="11179" w:name="_ETM_Q12_659290"/>
      <w:bookmarkEnd w:id="11179"/>
      <w:r>
        <w:rPr>
          <w:rFonts w:hint="cs"/>
          <w:rtl/>
        </w:rPr>
        <w:t>ש</w:t>
      </w:r>
      <w:bookmarkStart w:id="11180" w:name="_ETM_Q12_661590"/>
      <w:bookmarkEnd w:id="11180"/>
      <w:r>
        <w:rPr>
          <w:rFonts w:hint="cs"/>
          <w:rtl/>
        </w:rPr>
        <w:t xml:space="preserve">זה </w:t>
      </w:r>
      <w:bookmarkStart w:id="11181" w:name="_ETM_Q12_661890"/>
      <w:bookmarkEnd w:id="11181"/>
      <w:r>
        <w:rPr>
          <w:rFonts w:hint="cs"/>
          <w:rtl/>
        </w:rPr>
        <w:t xml:space="preserve">אומר </w:t>
      </w:r>
      <w:bookmarkStart w:id="11182" w:name="_ETM_Q12_662310"/>
      <w:bookmarkEnd w:id="11182"/>
      <w:r>
        <w:rPr>
          <w:rFonts w:hint="cs"/>
          <w:rtl/>
        </w:rPr>
        <w:t xml:space="preserve">שיש </w:t>
      </w:r>
      <w:bookmarkStart w:id="11183" w:name="_ETM_Q12_662760"/>
      <w:bookmarkEnd w:id="11183"/>
      <w:r>
        <w:rPr>
          <w:rFonts w:hint="cs"/>
          <w:rtl/>
        </w:rPr>
        <w:t xml:space="preserve">דבקות </w:t>
      </w:r>
      <w:bookmarkStart w:id="11184" w:name="_ETM_Q12_663180"/>
      <w:bookmarkEnd w:id="11184"/>
      <w:r>
        <w:rPr>
          <w:rFonts w:hint="cs"/>
          <w:rtl/>
        </w:rPr>
        <w:t xml:space="preserve">במטרה, </w:t>
      </w:r>
      <w:bookmarkStart w:id="11185" w:name="_ETM_Q12_667810"/>
      <w:bookmarkEnd w:id="11185"/>
      <w:r>
        <w:rPr>
          <w:rFonts w:hint="cs"/>
          <w:rtl/>
        </w:rPr>
        <w:t xml:space="preserve">ולאנשים </w:t>
      </w:r>
      <w:bookmarkStart w:id="11186" w:name="_ETM_Q12_668380"/>
      <w:bookmarkEnd w:id="11186"/>
      <w:r>
        <w:rPr>
          <w:rFonts w:hint="cs"/>
          <w:rtl/>
        </w:rPr>
        <w:t xml:space="preserve">האלה </w:t>
      </w:r>
      <w:bookmarkStart w:id="11187" w:name="_ETM_Q12_668710"/>
      <w:bookmarkEnd w:id="11187"/>
      <w:r>
        <w:rPr>
          <w:rFonts w:hint="cs"/>
          <w:rtl/>
        </w:rPr>
        <w:t xml:space="preserve">מגיע </w:t>
      </w:r>
      <w:bookmarkStart w:id="11188" w:name="_ETM_Q12_669100"/>
      <w:bookmarkEnd w:id="11188"/>
      <w:r>
        <w:rPr>
          <w:rFonts w:hint="cs"/>
          <w:rtl/>
        </w:rPr>
        <w:t xml:space="preserve">שאפו </w:t>
      </w:r>
      <w:bookmarkStart w:id="11189" w:name="_ETM_Q12_669460"/>
      <w:bookmarkEnd w:id="11189"/>
      <w:r>
        <w:rPr>
          <w:rFonts w:hint="cs"/>
          <w:rtl/>
        </w:rPr>
        <w:t xml:space="preserve">גדול. </w:t>
      </w:r>
      <w:bookmarkStart w:id="11190" w:name="_ETM_Q12_671670"/>
      <w:bookmarkEnd w:id="11190"/>
      <w:r>
        <w:rPr>
          <w:rFonts w:hint="cs"/>
          <w:rtl/>
        </w:rPr>
        <w:t xml:space="preserve">אומנם </w:t>
      </w:r>
      <w:bookmarkStart w:id="11191" w:name="_ETM_Q12_672090"/>
      <w:bookmarkEnd w:id="11191"/>
      <w:r>
        <w:rPr>
          <w:rFonts w:hint="cs"/>
          <w:rtl/>
        </w:rPr>
        <w:t xml:space="preserve">בגלי </w:t>
      </w:r>
      <w:bookmarkStart w:id="11192" w:name="_ETM_Q12_672450"/>
      <w:bookmarkEnd w:id="11192"/>
      <w:r>
        <w:rPr>
          <w:rFonts w:hint="cs"/>
          <w:rtl/>
        </w:rPr>
        <w:t xml:space="preserve">צה"ל </w:t>
      </w:r>
      <w:bookmarkStart w:id="11193" w:name="_ETM_Q12_672959"/>
      <w:bookmarkEnd w:id="11193"/>
      <w:r>
        <w:rPr>
          <w:rFonts w:hint="cs"/>
          <w:rtl/>
        </w:rPr>
        <w:t xml:space="preserve">דיווחו </w:t>
      </w:r>
      <w:bookmarkStart w:id="11194" w:name="_ETM_Q12_673530"/>
      <w:bookmarkEnd w:id="11194"/>
      <w:r>
        <w:rPr>
          <w:rFonts w:hint="cs"/>
          <w:rtl/>
        </w:rPr>
        <w:t xml:space="preserve">כי </w:t>
      </w:r>
      <w:bookmarkStart w:id="11195" w:name="_ETM_Q12_673680"/>
      <w:bookmarkEnd w:id="11195"/>
      <w:r>
        <w:rPr>
          <w:rFonts w:hint="cs"/>
          <w:rtl/>
        </w:rPr>
        <w:t xml:space="preserve">זה </w:t>
      </w:r>
      <w:bookmarkStart w:id="11196" w:name="_ETM_Q12_673920"/>
      <w:bookmarkEnd w:id="11196"/>
      <w:r>
        <w:rPr>
          <w:rFonts w:hint="cs"/>
          <w:rtl/>
        </w:rPr>
        <w:t xml:space="preserve">רק </w:t>
      </w:r>
      <w:bookmarkStart w:id="11197" w:name="_ETM_Q12_674190"/>
      <w:bookmarkEnd w:id="11197"/>
      <w:r>
        <w:rPr>
          <w:rFonts w:hint="cs"/>
          <w:rtl/>
        </w:rPr>
        <w:t xml:space="preserve">מאות, </w:t>
      </w:r>
      <w:bookmarkStart w:id="11198" w:name="_ETM_Q12_674910"/>
      <w:bookmarkEnd w:id="11198"/>
      <w:r>
        <w:rPr>
          <w:rFonts w:hint="cs"/>
          <w:rtl/>
        </w:rPr>
        <w:t xml:space="preserve">אבל </w:t>
      </w:r>
      <w:bookmarkStart w:id="11199" w:name="_ETM_Q12_675270"/>
      <w:bookmarkEnd w:id="11199"/>
      <w:r>
        <w:rPr>
          <w:rFonts w:hint="cs"/>
          <w:rtl/>
        </w:rPr>
        <w:t xml:space="preserve">זה </w:t>
      </w:r>
      <w:bookmarkStart w:id="11200" w:name="_ETM_Q12_676160"/>
      <w:bookmarkEnd w:id="11200"/>
      <w:r>
        <w:rPr>
          <w:rFonts w:hint="cs"/>
          <w:rtl/>
        </w:rPr>
        <w:t xml:space="preserve">הרבה </w:t>
      </w:r>
      <w:bookmarkStart w:id="11201" w:name="_ETM_Q12_676550"/>
      <w:bookmarkEnd w:id="11201"/>
      <w:r>
        <w:rPr>
          <w:rFonts w:hint="cs"/>
          <w:rtl/>
        </w:rPr>
        <w:t xml:space="preserve">יותר. </w:t>
      </w:r>
      <w:bookmarkStart w:id="11202" w:name="_ETM_Q12_681780"/>
      <w:bookmarkEnd w:id="11202"/>
    </w:p>
    <w:p w:rsidR="000C5C1F" w:rsidRDefault="000C5C1F" w:rsidP="000C5C1F">
      <w:pPr>
        <w:rPr>
          <w:rtl/>
        </w:rPr>
      </w:pPr>
    </w:p>
    <w:p w:rsidR="000C5C1F" w:rsidRDefault="000C5C1F" w:rsidP="000C5C1F">
      <w:pPr>
        <w:rPr>
          <w:rtl/>
        </w:rPr>
      </w:pPr>
      <w:r>
        <w:rPr>
          <w:rFonts w:hint="cs"/>
          <w:rtl/>
        </w:rPr>
        <w:t xml:space="preserve">אנחנו </w:t>
      </w:r>
      <w:bookmarkStart w:id="11203" w:name="_ETM_Q12_682590"/>
      <w:bookmarkEnd w:id="11203"/>
      <w:r>
        <w:rPr>
          <w:rFonts w:hint="cs"/>
          <w:rtl/>
        </w:rPr>
        <w:t xml:space="preserve">כאן </w:t>
      </w:r>
      <w:bookmarkStart w:id="11204" w:name="_ETM_Q12_682950"/>
      <w:bookmarkEnd w:id="11204"/>
      <w:r>
        <w:rPr>
          <w:rFonts w:hint="cs"/>
          <w:rtl/>
        </w:rPr>
        <w:t xml:space="preserve">ערב </w:t>
      </w:r>
      <w:bookmarkStart w:id="11205" w:name="_ETM_Q12_683220"/>
      <w:bookmarkEnd w:id="11205"/>
      <w:r>
        <w:rPr>
          <w:rFonts w:hint="cs"/>
          <w:rtl/>
        </w:rPr>
        <w:t xml:space="preserve">ההצבעה </w:t>
      </w:r>
      <w:bookmarkStart w:id="11206" w:name="_ETM_Q12_683970"/>
      <w:bookmarkEnd w:id="11206"/>
      <w:r>
        <w:rPr>
          <w:rFonts w:hint="cs"/>
          <w:rtl/>
        </w:rPr>
        <w:t xml:space="preserve">על </w:t>
      </w:r>
      <w:bookmarkStart w:id="11207" w:name="_ETM_Q12_684270"/>
      <w:bookmarkEnd w:id="11207"/>
      <w:r>
        <w:rPr>
          <w:rFonts w:hint="cs"/>
          <w:rtl/>
        </w:rPr>
        <w:t xml:space="preserve">ביטול </w:t>
      </w:r>
      <w:bookmarkStart w:id="11208" w:name="_ETM_Q12_685230"/>
      <w:bookmarkEnd w:id="11208"/>
      <w:r>
        <w:rPr>
          <w:rFonts w:hint="cs"/>
          <w:rtl/>
        </w:rPr>
        <w:t xml:space="preserve">עילת </w:t>
      </w:r>
      <w:bookmarkStart w:id="11209" w:name="_ETM_Q12_685770"/>
      <w:bookmarkEnd w:id="11209"/>
      <w:r>
        <w:rPr>
          <w:rFonts w:hint="cs"/>
          <w:rtl/>
        </w:rPr>
        <w:t>הסבירות</w:t>
      </w:r>
      <w:bookmarkStart w:id="11210" w:name="_ETM_Q12_685426"/>
      <w:bookmarkEnd w:id="11210"/>
      <w:r>
        <w:rPr>
          <w:rFonts w:hint="cs"/>
          <w:rtl/>
        </w:rPr>
        <w:t xml:space="preserve"> </w:t>
      </w:r>
      <w:bookmarkStart w:id="11211" w:name="_ETM_Q12_687530"/>
      <w:bookmarkStart w:id="11212" w:name="_ETM_Q12_688880"/>
      <w:bookmarkStart w:id="11213" w:name="_ETM_Q12_689090"/>
      <w:bookmarkStart w:id="11214" w:name="_ETM_Q12_689360"/>
      <w:bookmarkStart w:id="11215" w:name="_ETM_Q12_689750"/>
      <w:bookmarkEnd w:id="11211"/>
      <w:bookmarkEnd w:id="11212"/>
      <w:bookmarkEnd w:id="11213"/>
      <w:bookmarkEnd w:id="11214"/>
      <w:bookmarkEnd w:id="11215"/>
      <w:r>
        <w:rPr>
          <w:rFonts w:hint="cs"/>
          <w:rtl/>
        </w:rPr>
        <w:t xml:space="preserve">(חוזר </w:t>
      </w:r>
      <w:bookmarkStart w:id="11216" w:name="_ETM_Q12_693682"/>
      <w:bookmarkEnd w:id="11216"/>
      <w:r>
        <w:rPr>
          <w:rFonts w:hint="cs"/>
          <w:rtl/>
        </w:rPr>
        <w:t>על הדברים בערבית.)</w:t>
      </w:r>
      <w:bookmarkStart w:id="11217" w:name="_ETM_Q12_690759"/>
      <w:bookmarkStart w:id="11218" w:name="_ETM_Q12_686709"/>
      <w:bookmarkStart w:id="11219" w:name="_ETM_Q12_683318"/>
      <w:bookmarkStart w:id="11220" w:name="_ETM_Q12_678749"/>
      <w:bookmarkStart w:id="11221" w:name="_ETM_Q12_690140"/>
      <w:bookmarkEnd w:id="11217"/>
      <w:bookmarkEnd w:id="11218"/>
      <w:bookmarkEnd w:id="11219"/>
      <w:bookmarkEnd w:id="11220"/>
      <w:bookmarkEnd w:id="11221"/>
      <w:r>
        <w:rPr>
          <w:rFonts w:hint="cs"/>
          <w:rtl/>
        </w:rPr>
        <w:t xml:space="preserve"> </w:t>
      </w:r>
      <w:bookmarkStart w:id="11222" w:name="_ETM_Q12_690680"/>
      <w:bookmarkEnd w:id="11222"/>
      <w:r>
        <w:rPr>
          <w:rFonts w:hint="cs"/>
          <w:rtl/>
        </w:rPr>
        <w:t xml:space="preserve">מה </w:t>
      </w:r>
      <w:bookmarkStart w:id="11223" w:name="_ETM_Q12_690890"/>
      <w:bookmarkStart w:id="11224" w:name="_ETM_Q12_691100"/>
      <w:bookmarkStart w:id="11225" w:name="_ETM_Q12_696000"/>
      <w:bookmarkStart w:id="11226" w:name="_ETM_Q12_696450"/>
      <w:bookmarkEnd w:id="11223"/>
      <w:bookmarkEnd w:id="11224"/>
      <w:bookmarkEnd w:id="11225"/>
      <w:bookmarkEnd w:id="11226"/>
      <w:r>
        <w:rPr>
          <w:rFonts w:hint="cs"/>
          <w:rtl/>
        </w:rPr>
        <w:t xml:space="preserve">רוצה </w:t>
      </w:r>
      <w:bookmarkStart w:id="11227" w:name="_ETM_Q12_696809"/>
      <w:bookmarkEnd w:id="11227"/>
      <w:r>
        <w:rPr>
          <w:rFonts w:hint="cs"/>
          <w:rtl/>
        </w:rPr>
        <w:t xml:space="preserve">הממשלה? </w:t>
      </w:r>
      <w:bookmarkStart w:id="11228" w:name="_ETM_Q12_698370"/>
      <w:bookmarkEnd w:id="11228"/>
      <w:r>
        <w:rPr>
          <w:rFonts w:hint="cs"/>
          <w:rtl/>
        </w:rPr>
        <w:t xml:space="preserve">הממשלה </w:t>
      </w:r>
      <w:bookmarkStart w:id="11229" w:name="_ETM_Q12_700489"/>
      <w:bookmarkStart w:id="11230" w:name="_ETM_Q12_700670"/>
      <w:bookmarkEnd w:id="11229"/>
      <w:bookmarkEnd w:id="11230"/>
      <w:r>
        <w:rPr>
          <w:rFonts w:hint="cs"/>
          <w:rtl/>
        </w:rPr>
        <w:t xml:space="preserve">רוצה </w:t>
      </w:r>
      <w:bookmarkStart w:id="11231" w:name="_ETM_Q12_701360"/>
      <w:bookmarkEnd w:id="11231"/>
      <w:r>
        <w:rPr>
          <w:rFonts w:hint="cs"/>
          <w:rtl/>
        </w:rPr>
        <w:t xml:space="preserve">להסיר </w:t>
      </w:r>
      <w:bookmarkStart w:id="11232" w:name="_ETM_Q12_702049"/>
      <w:bookmarkEnd w:id="11232"/>
      <w:r>
        <w:rPr>
          <w:rFonts w:hint="cs"/>
          <w:rtl/>
        </w:rPr>
        <w:t xml:space="preserve">מעליה </w:t>
      </w:r>
      <w:bookmarkStart w:id="11233" w:name="_ETM_Q12_702679"/>
      <w:bookmarkEnd w:id="11233"/>
      <w:r>
        <w:rPr>
          <w:rFonts w:hint="cs"/>
          <w:rtl/>
        </w:rPr>
        <w:t xml:space="preserve">כל </w:t>
      </w:r>
      <w:bookmarkStart w:id="11234" w:name="_ETM_Q12_703429"/>
      <w:bookmarkEnd w:id="11234"/>
      <w:r>
        <w:rPr>
          <w:rFonts w:hint="cs"/>
          <w:rtl/>
        </w:rPr>
        <w:t xml:space="preserve">אפשרות </w:t>
      </w:r>
      <w:bookmarkStart w:id="11235" w:name="_ETM_Q12_704000"/>
      <w:bookmarkEnd w:id="11235"/>
      <w:r>
        <w:rPr>
          <w:rFonts w:hint="cs"/>
          <w:rtl/>
        </w:rPr>
        <w:t xml:space="preserve">של </w:t>
      </w:r>
      <w:bookmarkStart w:id="11236" w:name="_ETM_Q12_704239"/>
      <w:bookmarkEnd w:id="11236"/>
      <w:r>
        <w:rPr>
          <w:rFonts w:hint="cs"/>
          <w:rtl/>
        </w:rPr>
        <w:t xml:space="preserve">ביקורת </w:t>
      </w:r>
      <w:bookmarkStart w:id="11237" w:name="_ETM_Q12_705590"/>
      <w:bookmarkEnd w:id="11237"/>
      <w:r>
        <w:rPr>
          <w:rFonts w:hint="cs"/>
          <w:rtl/>
        </w:rPr>
        <w:t xml:space="preserve">שיפוטית </w:t>
      </w:r>
      <w:bookmarkStart w:id="11238" w:name="_ETM_Q12_707129"/>
      <w:bookmarkEnd w:id="11238"/>
      <w:r>
        <w:rPr>
          <w:rFonts w:hint="cs"/>
          <w:rtl/>
        </w:rPr>
        <w:t xml:space="preserve">על </w:t>
      </w:r>
      <w:bookmarkStart w:id="11239" w:name="_ETM_Q12_707400"/>
      <w:bookmarkEnd w:id="11239"/>
      <w:r>
        <w:rPr>
          <w:rFonts w:hint="cs"/>
          <w:rtl/>
        </w:rPr>
        <w:t xml:space="preserve">ההחלטות </w:t>
      </w:r>
      <w:bookmarkStart w:id="11240" w:name="_ETM_Q12_707939"/>
      <w:bookmarkEnd w:id="11240"/>
      <w:r>
        <w:rPr>
          <w:rFonts w:hint="cs"/>
          <w:rtl/>
        </w:rPr>
        <w:t xml:space="preserve">שלה </w:t>
      </w:r>
      <w:bookmarkStart w:id="11241" w:name="_ETM_Q12_708299"/>
      <w:bookmarkEnd w:id="11241"/>
      <w:r>
        <w:rPr>
          <w:rFonts w:hint="cs"/>
          <w:rtl/>
        </w:rPr>
        <w:t xml:space="preserve">גם </w:t>
      </w:r>
      <w:bookmarkStart w:id="11242" w:name="_ETM_Q12_709079"/>
      <w:bookmarkEnd w:id="11242"/>
      <w:r>
        <w:rPr>
          <w:rFonts w:hint="cs"/>
          <w:rtl/>
        </w:rPr>
        <w:t xml:space="preserve">כשהן </w:t>
      </w:r>
      <w:bookmarkStart w:id="11243" w:name="_ETM_Q12_709499"/>
      <w:bookmarkEnd w:id="11243"/>
      <w:r>
        <w:rPr>
          <w:rFonts w:hint="cs"/>
          <w:rtl/>
        </w:rPr>
        <w:t xml:space="preserve">החלטות </w:t>
      </w:r>
      <w:bookmarkStart w:id="11244" w:name="_ETM_Q12_710010"/>
      <w:bookmarkEnd w:id="11244"/>
      <w:r>
        <w:rPr>
          <w:rFonts w:hint="cs"/>
          <w:rtl/>
        </w:rPr>
        <w:t xml:space="preserve">לא </w:t>
      </w:r>
      <w:bookmarkStart w:id="11245" w:name="_ETM_Q12_710159"/>
      <w:bookmarkEnd w:id="11245"/>
      <w:r>
        <w:rPr>
          <w:rFonts w:hint="cs"/>
          <w:rtl/>
        </w:rPr>
        <w:t xml:space="preserve">סבירות. </w:t>
      </w:r>
      <w:bookmarkStart w:id="11246" w:name="_ETM_Q12_713620"/>
      <w:bookmarkEnd w:id="11246"/>
      <w:r>
        <w:rPr>
          <w:rFonts w:hint="cs"/>
          <w:rtl/>
        </w:rPr>
        <w:t xml:space="preserve">זה </w:t>
      </w:r>
      <w:bookmarkStart w:id="11247" w:name="_ETM_Q12_714010"/>
      <w:bookmarkEnd w:id="11247"/>
      <w:r>
        <w:rPr>
          <w:rFonts w:hint="cs"/>
          <w:rtl/>
        </w:rPr>
        <w:t xml:space="preserve">פתח </w:t>
      </w:r>
      <w:bookmarkStart w:id="11248" w:name="_ETM_Q12_715000"/>
      <w:bookmarkEnd w:id="11248"/>
      <w:r>
        <w:rPr>
          <w:rFonts w:hint="cs"/>
          <w:rtl/>
        </w:rPr>
        <w:t xml:space="preserve">לשחיתות </w:t>
      </w:r>
      <w:bookmarkStart w:id="11249" w:name="_ETM_Q12_715809"/>
      <w:bookmarkEnd w:id="11249"/>
      <w:r>
        <w:rPr>
          <w:rFonts w:hint="cs"/>
          <w:rtl/>
        </w:rPr>
        <w:t xml:space="preserve">שלטונית. </w:t>
      </w:r>
      <w:bookmarkStart w:id="11250" w:name="_ETM_Q12_718239"/>
      <w:bookmarkEnd w:id="11250"/>
      <w:r>
        <w:rPr>
          <w:rFonts w:hint="cs"/>
          <w:rtl/>
        </w:rPr>
        <w:t xml:space="preserve">אבל </w:t>
      </w:r>
      <w:bookmarkStart w:id="11251" w:name="_ETM_Q12_720090"/>
      <w:bookmarkEnd w:id="11251"/>
      <w:r>
        <w:rPr>
          <w:rFonts w:hint="cs"/>
          <w:rtl/>
        </w:rPr>
        <w:t xml:space="preserve">יבוא </w:t>
      </w:r>
      <w:bookmarkStart w:id="11252" w:name="_ETM_Q12_720510"/>
      <w:bookmarkEnd w:id="11252"/>
      <w:r>
        <w:rPr>
          <w:rFonts w:hint="cs"/>
          <w:rtl/>
        </w:rPr>
        <w:t xml:space="preserve">מישהו </w:t>
      </w:r>
      <w:bookmarkStart w:id="11253" w:name="_ETM_Q12_721170"/>
      <w:bookmarkEnd w:id="11253"/>
      <w:r>
        <w:rPr>
          <w:rFonts w:hint="cs"/>
          <w:rtl/>
        </w:rPr>
        <w:t xml:space="preserve">ויגיד: </w:t>
      </w:r>
      <w:bookmarkStart w:id="11254" w:name="_ETM_Q12_721950"/>
      <w:bookmarkEnd w:id="11254"/>
      <w:r>
        <w:rPr>
          <w:rFonts w:hint="cs"/>
          <w:rtl/>
        </w:rPr>
        <w:t xml:space="preserve">עכשיו </w:t>
      </w:r>
      <w:bookmarkStart w:id="11255" w:name="_ETM_Q12_722400"/>
      <w:bookmarkEnd w:id="11255"/>
      <w:r>
        <w:rPr>
          <w:rFonts w:hint="cs"/>
          <w:rtl/>
        </w:rPr>
        <w:t xml:space="preserve">יש </w:t>
      </w:r>
      <w:bookmarkStart w:id="11256" w:name="_ETM_Q12_722670"/>
      <w:bookmarkEnd w:id="11256"/>
      <w:r>
        <w:rPr>
          <w:rFonts w:hint="cs"/>
          <w:rtl/>
        </w:rPr>
        <w:t xml:space="preserve">עילת </w:t>
      </w:r>
      <w:bookmarkStart w:id="11257" w:name="_ETM_Q12_722939"/>
      <w:bookmarkEnd w:id="11257"/>
      <w:r>
        <w:rPr>
          <w:rFonts w:hint="cs"/>
          <w:rtl/>
        </w:rPr>
        <w:t xml:space="preserve">סבירות, </w:t>
      </w:r>
      <w:bookmarkStart w:id="11258" w:name="_ETM_Q12_724340"/>
      <w:bookmarkEnd w:id="11258"/>
      <w:r>
        <w:rPr>
          <w:rFonts w:hint="cs"/>
          <w:rtl/>
        </w:rPr>
        <w:t xml:space="preserve">אז </w:t>
      </w:r>
      <w:bookmarkStart w:id="11259" w:name="_ETM_Q12_724880"/>
      <w:bookmarkEnd w:id="11259"/>
      <w:r>
        <w:rPr>
          <w:rFonts w:hint="cs"/>
          <w:rtl/>
        </w:rPr>
        <w:t xml:space="preserve">עד </w:t>
      </w:r>
      <w:bookmarkStart w:id="11260" w:name="_ETM_Q12_725179"/>
      <w:bookmarkEnd w:id="11260"/>
      <w:r>
        <w:rPr>
          <w:rFonts w:hint="cs"/>
          <w:rtl/>
        </w:rPr>
        <w:t xml:space="preserve">עכשיו </w:t>
      </w:r>
      <w:bookmarkStart w:id="11261" w:name="_ETM_Q12_726429"/>
      <w:bookmarkEnd w:id="11261"/>
      <w:r>
        <w:rPr>
          <w:rFonts w:hint="cs"/>
          <w:rtl/>
        </w:rPr>
        <w:t xml:space="preserve">כל </w:t>
      </w:r>
      <w:bookmarkStart w:id="11262" w:name="_ETM_Q12_726730"/>
      <w:bookmarkEnd w:id="11262"/>
      <w:r>
        <w:rPr>
          <w:rFonts w:hint="cs"/>
          <w:rtl/>
        </w:rPr>
        <w:t xml:space="preserve">הדברים </w:t>
      </w:r>
      <w:bookmarkStart w:id="11263" w:name="_ETM_Q12_727209"/>
      <w:bookmarkEnd w:id="11263"/>
      <w:r>
        <w:rPr>
          <w:rFonts w:hint="cs"/>
          <w:rtl/>
        </w:rPr>
        <w:t>הלא</w:t>
      </w:r>
      <w:bookmarkStart w:id="11264" w:name="_ETM_Q12_727450"/>
      <w:bookmarkEnd w:id="11264"/>
      <w:r>
        <w:rPr>
          <w:rFonts w:hint="cs"/>
          <w:rtl/>
        </w:rPr>
        <w:t xml:space="preserve">-סבירים </w:t>
      </w:r>
      <w:bookmarkStart w:id="11265" w:name="_ETM_Q12_728319"/>
      <w:bookmarkEnd w:id="11265"/>
      <w:r>
        <w:rPr>
          <w:rFonts w:hint="cs"/>
          <w:rtl/>
        </w:rPr>
        <w:t xml:space="preserve">לא </w:t>
      </w:r>
      <w:bookmarkStart w:id="11266" w:name="_ETM_Q12_728529"/>
      <w:bookmarkEnd w:id="11266"/>
      <w:r>
        <w:rPr>
          <w:rFonts w:hint="cs"/>
          <w:rtl/>
        </w:rPr>
        <w:t xml:space="preserve">התקיימו? </w:t>
      </w:r>
      <w:bookmarkStart w:id="11267" w:name="_ETM_Q12_731070"/>
      <w:bookmarkEnd w:id="11267"/>
      <w:r>
        <w:rPr>
          <w:rFonts w:hint="cs"/>
          <w:rtl/>
        </w:rPr>
        <w:t xml:space="preserve">אני </w:t>
      </w:r>
      <w:bookmarkStart w:id="11268" w:name="_ETM_Q12_731280"/>
      <w:bookmarkEnd w:id="11268"/>
      <w:r>
        <w:rPr>
          <w:rFonts w:hint="cs"/>
          <w:rtl/>
        </w:rPr>
        <w:t xml:space="preserve">אגיד </w:t>
      </w:r>
      <w:bookmarkStart w:id="11269" w:name="_ETM_Q12_731640"/>
      <w:bookmarkEnd w:id="11269"/>
      <w:r>
        <w:rPr>
          <w:rFonts w:hint="cs"/>
          <w:rtl/>
        </w:rPr>
        <w:t xml:space="preserve">לכם </w:t>
      </w:r>
      <w:bookmarkStart w:id="11270" w:name="_ETM_Q12_732030"/>
      <w:bookmarkEnd w:id="11270"/>
      <w:r>
        <w:rPr>
          <w:rFonts w:hint="cs"/>
          <w:rtl/>
        </w:rPr>
        <w:t xml:space="preserve">למשל </w:t>
      </w:r>
      <w:bookmarkStart w:id="11271" w:name="_ETM_Q12_733140"/>
      <w:bookmarkEnd w:id="11271"/>
      <w:r>
        <w:rPr>
          <w:rFonts w:hint="cs"/>
          <w:rtl/>
        </w:rPr>
        <w:t xml:space="preserve">שלמרות </w:t>
      </w:r>
      <w:bookmarkStart w:id="11272" w:name="_ETM_Q12_733769"/>
      <w:bookmarkEnd w:id="11272"/>
      <w:r>
        <w:rPr>
          <w:rFonts w:hint="cs"/>
          <w:rtl/>
        </w:rPr>
        <w:t xml:space="preserve">שיש </w:t>
      </w:r>
      <w:bookmarkStart w:id="11273" w:name="_ETM_Q12_734099"/>
      <w:bookmarkEnd w:id="11273"/>
      <w:r>
        <w:rPr>
          <w:rFonts w:hint="cs"/>
          <w:rtl/>
        </w:rPr>
        <w:t xml:space="preserve">עילת </w:t>
      </w:r>
      <w:bookmarkStart w:id="11274" w:name="_ETM_Q12_734429"/>
      <w:bookmarkEnd w:id="11274"/>
      <w:r>
        <w:rPr>
          <w:rFonts w:hint="cs"/>
          <w:rtl/>
        </w:rPr>
        <w:t xml:space="preserve">סבירות, </w:t>
      </w:r>
      <w:bookmarkStart w:id="11275" w:name="_ETM_Q12_736370"/>
      <w:bookmarkEnd w:id="11275"/>
      <w:r>
        <w:rPr>
          <w:rFonts w:hint="cs"/>
          <w:rtl/>
        </w:rPr>
        <w:t xml:space="preserve">יש </w:t>
      </w:r>
      <w:bookmarkStart w:id="11276" w:name="_ETM_Q12_736669"/>
      <w:bookmarkEnd w:id="11276"/>
      <w:r>
        <w:rPr>
          <w:rFonts w:hint="cs"/>
          <w:rtl/>
        </w:rPr>
        <w:t xml:space="preserve">דברים </w:t>
      </w:r>
      <w:bookmarkStart w:id="11277" w:name="_ETM_Q12_737090"/>
      <w:bookmarkEnd w:id="11277"/>
      <w:r>
        <w:rPr>
          <w:rFonts w:hint="cs"/>
          <w:rtl/>
        </w:rPr>
        <w:t xml:space="preserve">לא </w:t>
      </w:r>
      <w:bookmarkStart w:id="11278" w:name="_ETM_Q12_737419"/>
      <w:bookmarkEnd w:id="11278"/>
      <w:r>
        <w:rPr>
          <w:rFonts w:hint="cs"/>
          <w:rtl/>
        </w:rPr>
        <w:t xml:space="preserve">סבירים </w:t>
      </w:r>
      <w:bookmarkStart w:id="11279" w:name="_ETM_Q12_738570"/>
      <w:bookmarkEnd w:id="11279"/>
      <w:r>
        <w:rPr>
          <w:rFonts w:hint="cs"/>
          <w:rtl/>
        </w:rPr>
        <w:t>שקיימי</w:t>
      </w:r>
      <w:bookmarkStart w:id="11280" w:name="_ETM_Q12_736877"/>
      <w:bookmarkEnd w:id="11280"/>
      <w:r>
        <w:rPr>
          <w:rFonts w:hint="cs"/>
          <w:rtl/>
        </w:rPr>
        <w:t xml:space="preserve">ם. </w:t>
      </w:r>
      <w:bookmarkStart w:id="11281" w:name="_ETM_Q12_739980"/>
      <w:bookmarkEnd w:id="11281"/>
      <w:r>
        <w:rPr>
          <w:rFonts w:hint="cs"/>
          <w:rtl/>
        </w:rPr>
        <w:t xml:space="preserve">למשל </w:t>
      </w:r>
      <w:bookmarkStart w:id="11282" w:name="_ETM_Q12_740850"/>
      <w:bookmarkEnd w:id="11282"/>
      <w:r>
        <w:rPr>
          <w:rFonts w:hint="cs"/>
          <w:rtl/>
        </w:rPr>
        <w:t xml:space="preserve">מאוד </w:t>
      </w:r>
      <w:bookmarkStart w:id="11283" w:name="_ETM_Q12_741540"/>
      <w:bookmarkEnd w:id="11283"/>
      <w:r>
        <w:rPr>
          <w:rFonts w:hint="cs"/>
          <w:rtl/>
        </w:rPr>
        <w:t xml:space="preserve">לא </w:t>
      </w:r>
      <w:bookmarkStart w:id="11284" w:name="_ETM_Q12_741690"/>
      <w:bookmarkEnd w:id="11284"/>
      <w:r>
        <w:rPr>
          <w:rFonts w:hint="cs"/>
          <w:rtl/>
        </w:rPr>
        <w:t xml:space="preserve">סביר </w:t>
      </w:r>
      <w:bookmarkStart w:id="11285" w:name="_ETM_Q12_742410"/>
      <w:bookmarkEnd w:id="11285"/>
      <w:r>
        <w:rPr>
          <w:rFonts w:hint="cs"/>
          <w:rtl/>
        </w:rPr>
        <w:t xml:space="preserve">שאזרחים </w:t>
      </w:r>
      <w:bookmarkStart w:id="11286" w:name="_ETM_Q12_743160"/>
      <w:bookmarkEnd w:id="11286"/>
      <w:r>
        <w:rPr>
          <w:rFonts w:hint="cs"/>
          <w:rtl/>
        </w:rPr>
        <w:t xml:space="preserve">ערבים </w:t>
      </w:r>
      <w:bookmarkStart w:id="11287" w:name="_ETM_Q12_743730"/>
      <w:bookmarkEnd w:id="11287"/>
      <w:r>
        <w:rPr>
          <w:rFonts w:hint="cs"/>
          <w:rtl/>
        </w:rPr>
        <w:t xml:space="preserve">נרצחים </w:t>
      </w:r>
      <w:bookmarkStart w:id="11288" w:name="_ETM_Q12_744480"/>
      <w:bookmarkEnd w:id="11288"/>
      <w:r>
        <w:rPr>
          <w:rFonts w:hint="cs"/>
          <w:rtl/>
        </w:rPr>
        <w:t xml:space="preserve">כל </w:t>
      </w:r>
      <w:bookmarkStart w:id="11289" w:name="_ETM_Q12_744809"/>
      <w:bookmarkEnd w:id="11289"/>
      <w:r>
        <w:rPr>
          <w:rFonts w:hint="cs"/>
          <w:rtl/>
        </w:rPr>
        <w:t xml:space="preserve">יום </w:t>
      </w:r>
      <w:bookmarkStart w:id="11290" w:name="_ETM_Q12_746690"/>
      <w:bookmarkEnd w:id="11290"/>
      <w:r>
        <w:rPr>
          <w:rFonts w:hint="cs"/>
          <w:rtl/>
        </w:rPr>
        <w:t>ו</w:t>
      </w:r>
      <w:bookmarkStart w:id="11291" w:name="_ETM_Q12_747110"/>
      <w:bookmarkEnd w:id="11291"/>
      <w:r>
        <w:rPr>
          <w:rFonts w:hint="cs"/>
          <w:rtl/>
        </w:rPr>
        <w:t xml:space="preserve">המדינה </w:t>
      </w:r>
      <w:bookmarkStart w:id="11292" w:name="_ETM_Q12_748559"/>
      <w:bookmarkEnd w:id="11292"/>
      <w:r>
        <w:rPr>
          <w:rFonts w:hint="cs"/>
          <w:rtl/>
        </w:rPr>
        <w:t xml:space="preserve">באפס </w:t>
      </w:r>
      <w:bookmarkStart w:id="11293" w:name="_ETM_Q12_749130"/>
      <w:bookmarkEnd w:id="11293"/>
      <w:r>
        <w:rPr>
          <w:rFonts w:hint="cs"/>
          <w:rtl/>
        </w:rPr>
        <w:t xml:space="preserve">מעשה, </w:t>
      </w:r>
      <w:bookmarkStart w:id="11294" w:name="_ETM_Q12_750700"/>
      <w:bookmarkEnd w:id="11294"/>
      <w:r>
        <w:rPr>
          <w:rFonts w:hint="cs"/>
          <w:rtl/>
        </w:rPr>
        <w:t xml:space="preserve">והמשטרה </w:t>
      </w:r>
      <w:bookmarkStart w:id="11295" w:name="_ETM_Q12_752700"/>
      <w:bookmarkEnd w:id="11295"/>
      <w:r>
        <w:rPr>
          <w:rFonts w:hint="cs"/>
          <w:rtl/>
        </w:rPr>
        <w:t xml:space="preserve">לא </w:t>
      </w:r>
      <w:bookmarkStart w:id="11296" w:name="_ETM_Q12_752940"/>
      <w:bookmarkEnd w:id="11296"/>
      <w:r>
        <w:rPr>
          <w:rFonts w:hint="cs"/>
          <w:rtl/>
        </w:rPr>
        <w:t xml:space="preserve">קיימת, </w:t>
      </w:r>
      <w:bookmarkStart w:id="11297" w:name="_ETM_Q12_754210"/>
      <w:bookmarkEnd w:id="11297"/>
      <w:r>
        <w:rPr>
          <w:rFonts w:hint="cs"/>
          <w:rtl/>
        </w:rPr>
        <w:t xml:space="preserve">או </w:t>
      </w:r>
      <w:bookmarkStart w:id="11298" w:name="_ETM_Q12_755520"/>
      <w:bookmarkEnd w:id="11298"/>
      <w:r>
        <w:rPr>
          <w:rFonts w:hint="cs"/>
          <w:rtl/>
        </w:rPr>
        <w:t xml:space="preserve">שהיא </w:t>
      </w:r>
      <w:bookmarkStart w:id="11299" w:name="_ETM_Q12_755760"/>
      <w:bookmarkEnd w:id="11299"/>
      <w:r>
        <w:rPr>
          <w:rFonts w:hint="cs"/>
          <w:rtl/>
        </w:rPr>
        <w:t>מסכימה</w:t>
      </w:r>
      <w:bookmarkStart w:id="11300" w:name="_ETM_Q12_756450"/>
      <w:bookmarkEnd w:id="11300"/>
      <w:r>
        <w:rPr>
          <w:rFonts w:hint="cs"/>
          <w:rtl/>
        </w:rPr>
        <w:t>, אומרת</w:t>
      </w:r>
      <w:bookmarkStart w:id="11301" w:name="_ETM_Q12_757410"/>
      <w:bookmarkStart w:id="11302" w:name="_ETM_Q12_757650"/>
      <w:bookmarkEnd w:id="11301"/>
      <w:bookmarkEnd w:id="11302"/>
      <w:r>
        <w:rPr>
          <w:rFonts w:hint="cs"/>
          <w:rtl/>
        </w:rPr>
        <w:t xml:space="preserve">: או שאלה </w:t>
      </w:r>
      <w:bookmarkStart w:id="11303" w:name="_ETM_Q12_758490"/>
      <w:bookmarkEnd w:id="11303"/>
      <w:r>
        <w:rPr>
          <w:rFonts w:hint="cs"/>
          <w:rtl/>
        </w:rPr>
        <w:t>פ</w:t>
      </w:r>
      <w:bookmarkStart w:id="11304" w:name="_ETM_Q12_757126"/>
      <w:bookmarkEnd w:id="11304"/>
      <w:r>
        <w:rPr>
          <w:rFonts w:hint="cs"/>
          <w:rtl/>
        </w:rPr>
        <w:t xml:space="preserve">ושעים </w:t>
      </w:r>
      <w:bookmarkStart w:id="11305" w:name="_ETM_Q12_759270"/>
      <w:bookmarkEnd w:id="11305"/>
      <w:r>
        <w:rPr>
          <w:rFonts w:hint="cs"/>
          <w:rtl/>
        </w:rPr>
        <w:t xml:space="preserve">וגם </w:t>
      </w:r>
      <w:bookmarkStart w:id="11306" w:name="_ETM_Q12_759660"/>
      <w:bookmarkEnd w:id="11306"/>
      <w:r>
        <w:rPr>
          <w:rFonts w:hint="cs"/>
          <w:rtl/>
        </w:rPr>
        <w:t xml:space="preserve">ערבים, </w:t>
      </w:r>
      <w:bookmarkStart w:id="11307" w:name="_ETM_Q12_760590"/>
      <w:bookmarkEnd w:id="11307"/>
      <w:r>
        <w:rPr>
          <w:rFonts w:hint="cs"/>
          <w:rtl/>
        </w:rPr>
        <w:t xml:space="preserve">גם </w:t>
      </w:r>
      <w:bookmarkStart w:id="11308" w:name="_ETM_Q12_760980"/>
      <w:bookmarkEnd w:id="11308"/>
      <w:r>
        <w:rPr>
          <w:rFonts w:hint="cs"/>
          <w:rtl/>
        </w:rPr>
        <w:t xml:space="preserve">מזה </w:t>
      </w:r>
      <w:bookmarkStart w:id="11309" w:name="_ETM_Q12_761309"/>
      <w:bookmarkEnd w:id="11309"/>
      <w:r>
        <w:rPr>
          <w:rFonts w:hint="cs"/>
          <w:rtl/>
        </w:rPr>
        <w:t xml:space="preserve">וגם </w:t>
      </w:r>
      <w:bookmarkStart w:id="11310" w:name="_ETM_Q12_761600"/>
      <w:bookmarkEnd w:id="11310"/>
      <w:r>
        <w:rPr>
          <w:rFonts w:hint="cs"/>
          <w:rtl/>
        </w:rPr>
        <w:t xml:space="preserve">מזה, </w:t>
      </w:r>
      <w:bookmarkStart w:id="11311" w:name="_ETM_Q12_762290"/>
      <w:bookmarkEnd w:id="11311"/>
      <w:r>
        <w:rPr>
          <w:rFonts w:hint="cs"/>
          <w:rtl/>
        </w:rPr>
        <w:t xml:space="preserve">אז </w:t>
      </w:r>
      <w:bookmarkStart w:id="11312" w:name="_ETM_Q12_762860"/>
      <w:bookmarkEnd w:id="11312"/>
      <w:r>
        <w:rPr>
          <w:rFonts w:hint="cs"/>
          <w:rtl/>
        </w:rPr>
        <w:t xml:space="preserve">שימשיכו </w:t>
      </w:r>
      <w:bookmarkStart w:id="11313" w:name="_ETM_Q12_763520"/>
      <w:bookmarkEnd w:id="11313"/>
      <w:r>
        <w:rPr>
          <w:rFonts w:hint="cs"/>
          <w:rtl/>
        </w:rPr>
        <w:t xml:space="preserve">לרצוח </w:t>
      </w:r>
      <w:bookmarkStart w:id="11314" w:name="_ETM_Q12_764000"/>
      <w:bookmarkEnd w:id="11314"/>
      <w:r>
        <w:rPr>
          <w:rFonts w:hint="cs"/>
          <w:rtl/>
        </w:rPr>
        <w:t xml:space="preserve">אחד </w:t>
      </w:r>
      <w:bookmarkStart w:id="11315" w:name="_ETM_Q12_764270"/>
      <w:bookmarkEnd w:id="11315"/>
      <w:r>
        <w:rPr>
          <w:rFonts w:hint="cs"/>
          <w:rtl/>
        </w:rPr>
        <w:t xml:space="preserve">את </w:t>
      </w:r>
      <w:bookmarkStart w:id="11316" w:name="_ETM_Q12_764330"/>
      <w:bookmarkEnd w:id="11316"/>
      <w:r>
        <w:rPr>
          <w:rFonts w:hint="cs"/>
          <w:rtl/>
        </w:rPr>
        <w:t xml:space="preserve">השני. </w:t>
      </w:r>
      <w:bookmarkStart w:id="11317" w:name="_ETM_Q12_765349"/>
      <w:bookmarkEnd w:id="11317"/>
      <w:r>
        <w:rPr>
          <w:rFonts w:hint="cs"/>
          <w:rtl/>
        </w:rPr>
        <w:t xml:space="preserve">יכול להיות שיש גישה כזאת במשטרה, כי איך אפשר להסביר שארגוני הפשיעה מתנהגים כאילו לא קיימת משטרה? זה לא סביר, אבל זה קיים. או, למשל, מה לא סביר? הריסת בתים בנגב – אלפי בתים </w:t>
      </w:r>
      <w:bookmarkStart w:id="11318" w:name="_ETM_Q13_184000"/>
      <w:bookmarkEnd w:id="11318"/>
      <w:r>
        <w:rPr>
          <w:rFonts w:hint="cs"/>
          <w:rtl/>
        </w:rPr>
        <w:t xml:space="preserve">במשך השנים האחרונות (אומר בערבית: צריפים, אוהלים, מחסנים), אלפים – לא סביר, אבל זה מתקיים תחת עילת הסבירות; או הקנסות ששולחים בשנים האחרונות, לפי חוק קמיניץ, לבעלי בתים ביישובים הערביים – 300,000, 600,000, </w:t>
      </w:r>
      <w:bookmarkStart w:id="11319" w:name="_ETM_Q13_221000"/>
      <w:bookmarkEnd w:id="11319"/>
      <w:r>
        <w:rPr>
          <w:rFonts w:hint="cs"/>
          <w:rtl/>
        </w:rPr>
        <w:t xml:space="preserve">900,000, 1.5 מיליון – לפי קמיניץ, בהחלטות מינהליות. סביר? לא סביר, אבל זה חוקי. הם חוקקו חוק. </w:t>
      </w:r>
    </w:p>
    <w:p w:rsidR="000C5C1F" w:rsidRDefault="000C5C1F" w:rsidP="000C5C1F">
      <w:pPr>
        <w:ind w:firstLine="0"/>
        <w:rPr>
          <w:rtl/>
        </w:rPr>
      </w:pPr>
    </w:p>
    <w:p w:rsidR="000C5C1F" w:rsidRDefault="000C5C1F" w:rsidP="000C5C1F">
      <w:pPr>
        <w:rPr>
          <w:rtl/>
        </w:rPr>
      </w:pPr>
      <w:bookmarkStart w:id="11320" w:name="_ETM_Q13_236000"/>
      <w:bookmarkEnd w:id="11320"/>
      <w:r>
        <w:rPr>
          <w:rFonts w:hint="cs"/>
          <w:rtl/>
        </w:rPr>
        <w:t xml:space="preserve">רוב הדברים הנוראיים בהיסטוריה עברו עם חוק, באמצעות חקיקה. חוק הלאום, ועדות קבלה. ועדות </w:t>
      </w:r>
      <w:bookmarkStart w:id="11321" w:name="_ETM_Q13_257000"/>
      <w:bookmarkEnd w:id="11321"/>
      <w:r>
        <w:rPr>
          <w:rFonts w:hint="cs"/>
          <w:rtl/>
        </w:rPr>
        <w:t xml:space="preserve">קבלה – סביר? לא סביר, אפילו גזעני, אבל קיים למרות עילת הסבירות. ממשלה בלתי סבירה בעליל מבקשת לבטל את עילת הסבירות, כי הקואליציה הנוכחית מבקשת לרכז בידיה עוד יותר כוח לפגוע במעט הביקורת </w:t>
      </w:r>
      <w:bookmarkStart w:id="11322" w:name="_ETM_Q13_285000"/>
      <w:bookmarkEnd w:id="11322"/>
      <w:r>
        <w:rPr>
          <w:rFonts w:hint="cs"/>
          <w:rtl/>
        </w:rPr>
        <w:t xml:space="preserve">שקיימת פה. כמובן, היא רוצה למנוע כל אפשרות לרסן את כוחה; להגביל את השפעת בית המשפט. היא מבקשת לעגן את האינטרסים האישיים, המפלגתיים, הקואליציוניים, הפוליטיים של הממשלה מעל האפשרות של ביקורת שיפוטית; מעל זכויות האזרח, מעל זכויות נשים, מעל זכויות נרדפים, מעל זכויות ערבים, מעל זכויות פלסטינים. </w:t>
      </w:r>
      <w:bookmarkStart w:id="11323" w:name="_ETM_Q13_338000"/>
      <w:bookmarkEnd w:id="11323"/>
      <w:r>
        <w:rPr>
          <w:rFonts w:hint="cs"/>
          <w:rtl/>
        </w:rPr>
        <w:t xml:space="preserve">יש היום כבר אנשים שכותבים את העתירות. אני לא יודע באיזו עילה יתערב בג"ץ – אולי בעילת הסבירות, כי זה עדיין לא נכנס לתוקף? מידתיות? זכויות? אבל בג"ץ כבר סירב להתערב בחוק הלאום, בחוק ועדות קבלה, בהריסות בתים, בגירוש אנשים מבתיהם וממולדתם – מאוד בלתי סביר, למרות שהייתה עילת סבירות. </w:t>
      </w:r>
    </w:p>
    <w:p w:rsidR="000C5C1F" w:rsidRDefault="000C5C1F" w:rsidP="000C5C1F">
      <w:pPr>
        <w:rPr>
          <w:rtl/>
        </w:rPr>
      </w:pPr>
    </w:p>
    <w:p w:rsidR="000C5C1F" w:rsidRDefault="000C5C1F" w:rsidP="000C5C1F">
      <w:pPr>
        <w:rPr>
          <w:rtl/>
        </w:rPr>
      </w:pPr>
      <w:r>
        <w:rPr>
          <w:rFonts w:hint="cs"/>
          <w:rtl/>
        </w:rPr>
        <w:t xml:space="preserve">המאבק הזה, של 29 שבועות, הוא מאבק כמעט חסר תקדים במושגים אוניברסליים, ולכן אנשים מעריכים </w:t>
      </w:r>
      <w:bookmarkStart w:id="11324" w:name="_ETM_Q13_396000"/>
      <w:bookmarkEnd w:id="11324"/>
      <w:r>
        <w:rPr>
          <w:rFonts w:hint="cs"/>
          <w:rtl/>
        </w:rPr>
        <w:t xml:space="preserve">אותו. אומרים "שאפו" על הנחישות, ובצדק. אבל האמת שהמאבק הוא על דמוקרטיה אתנית, על דמוקרטיה ליהודים. כי אם הגוש נגד הכיבוש מעלה שלט נגד פשעי המתנחלים בתורמוס  עיא או חווארה, מתנפלים עליהם אחים לנשק; וכמובן, לא להזכיר את הכיבוש, לא להזכיר את זכויות הציבור הערבי כאן, למרות שהיו פעמים שדיברו על הפשיעה והרציחות, וזה חשוב. </w:t>
      </w:r>
    </w:p>
    <w:p w:rsidR="000C5C1F" w:rsidRDefault="000C5C1F" w:rsidP="000C5C1F">
      <w:pPr>
        <w:rPr>
          <w:rtl/>
        </w:rPr>
      </w:pPr>
    </w:p>
    <w:p w:rsidR="000C5C1F" w:rsidRDefault="000C5C1F" w:rsidP="000C5C1F">
      <w:pPr>
        <w:rPr>
          <w:rtl/>
        </w:rPr>
      </w:pPr>
      <w:r>
        <w:rPr>
          <w:rFonts w:hint="cs"/>
          <w:rtl/>
        </w:rPr>
        <w:t xml:space="preserve">אני נזכר בכמה התבטאויות של חברים מהקואליציה נגד המפגינים, נגד שומרי הסף. למשל, לספר שהיועצת המשפטית היא סכנה לביטחון המדינה; או ההתקפות של חברים מהקואליציה על הצבא. אם חבר כנסת ערבי היה אומר את הדברים האלה, זאת הייתה עילה לפסילה, לדעתי. היו קמים עליו מימין </w:t>
      </w:r>
      <w:bookmarkStart w:id="11325" w:name="_ETM_Q13_492000"/>
      <w:bookmarkEnd w:id="11325"/>
      <w:r>
        <w:rPr>
          <w:rFonts w:hint="cs"/>
          <w:rtl/>
        </w:rPr>
        <w:t xml:space="preserve">ומשמאל, אבל לאנשי הקואליציה מותר. מותר להיות בוטים, מותר להסית. </w:t>
      </w:r>
    </w:p>
    <w:p w:rsidR="000C5C1F" w:rsidRDefault="000C5C1F" w:rsidP="000C5C1F">
      <w:pPr>
        <w:rPr>
          <w:rtl/>
        </w:rPr>
      </w:pPr>
    </w:p>
    <w:p w:rsidR="000C5C1F" w:rsidRDefault="000C5C1F" w:rsidP="000C5C1F">
      <w:pPr>
        <w:rPr>
          <w:rtl/>
        </w:rPr>
      </w:pPr>
      <w:r>
        <w:rPr>
          <w:rFonts w:hint="cs"/>
          <w:rtl/>
        </w:rPr>
        <w:t>אני אתמול – בסאטירה, כמובן – אמרתי שיש דאגה באיראן שבן גביר, ואטורי וגוטליב יחליפו את הטייסים. זה אגב, מה שאומרים ב-</w:t>
      </w:r>
      <w:r>
        <w:t>braking</w:t>
      </w:r>
      <w:r>
        <w:rPr>
          <w:rFonts w:hint="cs"/>
          <w:rtl/>
        </w:rPr>
        <w:t xml:space="preserve">. האמת, אני רוצה להגיד את דעתי עכשיו – לא </w:t>
      </w:r>
      <w:bookmarkStart w:id="11326" w:name="_ETM_Q13_538000"/>
      <w:bookmarkEnd w:id="11326"/>
      <w:r>
        <w:rPr>
          <w:rFonts w:hint="cs"/>
          <w:rtl/>
        </w:rPr>
        <w:t>על איראן, מכובדי שר הביטחון לשעבר</w:t>
      </w:r>
      <w:r>
        <w:t>:</w:t>
      </w:r>
      <w:r>
        <w:rPr>
          <w:rFonts w:hint="cs"/>
          <w:rtl/>
        </w:rPr>
        <w:t xml:space="preserve"> אני חושב, היושב-ראש, שאני תומך בהתלהבות שגם </w:t>
      </w:r>
      <w:bookmarkStart w:id="11327" w:name="_ETM_Q13_548000"/>
      <w:bookmarkEnd w:id="11327"/>
      <w:r>
        <w:rPr>
          <w:rFonts w:hint="cs"/>
          <w:rtl/>
        </w:rPr>
        <w:t xml:space="preserve">אתה, גם גוטליב, גם בן גביר תחליפו גם את הטייסים, וגם את </w:t>
      </w:r>
      <w:bookmarkStart w:id="11328" w:name="_ETM_Q13_554000"/>
      <w:bookmarkEnd w:id="11328"/>
      <w:r>
        <w:rPr>
          <w:rFonts w:hint="cs"/>
          <w:rtl/>
        </w:rPr>
        <w:t xml:space="preserve">סיירת מטכ"ל. כי זאת הדרך המהירה ביותר להשיג איזון אסטרטגי במזרח התיכון – לו היה – בין מדינות ערב לישראל, וככה אפשר לסיים את הכיבוש הכי מהר והכי אפקטיבי. אתם יודעים מה דעתי על אנשים שמבצעים פשעי </w:t>
      </w:r>
      <w:bookmarkStart w:id="11329" w:name="_ETM_Q13_575000"/>
      <w:bookmarkEnd w:id="11329"/>
      <w:r>
        <w:rPr>
          <w:rFonts w:hint="cs"/>
          <w:rtl/>
        </w:rPr>
        <w:t xml:space="preserve">מלחמה. אבל חומר למחשבה – אולי תרצה להחליף אותם.  </w:t>
      </w:r>
    </w:p>
    <w:p w:rsidR="000C5C1F" w:rsidRDefault="000C5C1F" w:rsidP="000C5C1F">
      <w:pPr>
        <w:rPr>
          <w:rtl/>
        </w:rPr>
      </w:pPr>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lang w:eastAsia="he-IL"/>
        </w:rPr>
      </w:pPr>
    </w:p>
    <w:p w:rsidR="000C5C1F" w:rsidRDefault="000C5C1F" w:rsidP="000C5C1F">
      <w:pPr>
        <w:rPr>
          <w:rtl/>
          <w:lang w:eastAsia="he-IL"/>
        </w:rPr>
      </w:pPr>
      <w:r>
        <w:rPr>
          <w:rFonts w:hint="cs"/>
          <w:rtl/>
          <w:lang w:eastAsia="he-IL"/>
        </w:rPr>
        <w:t>אל תדאג, יש מספיק טייסים שיפציצו באיראן</w:t>
      </w:r>
      <w:bookmarkStart w:id="11330" w:name="_ETM_Q13_586000"/>
      <w:bookmarkEnd w:id="11330"/>
      <w:r>
        <w:rPr>
          <w:rFonts w:hint="cs"/>
          <w:rtl/>
          <w:lang w:eastAsia="he-IL"/>
        </w:rPr>
        <w:t xml:space="preserve">, אם צריך, ויגנו על ישראל. אל תדאג. </w:t>
      </w:r>
      <w:bookmarkStart w:id="11331" w:name="_ETM_Q13_587000"/>
      <w:bookmarkEnd w:id="11331"/>
      <w:r>
        <w:rPr>
          <w:rFonts w:hint="cs"/>
          <w:rtl/>
          <w:lang w:eastAsia="he-IL"/>
        </w:rPr>
        <w:t xml:space="preserve">נראה לי שאתה קצת חושש, ולא כדאי לך שאני אהיה במטוס, שאני לא אתבלבל במיקום. </w:t>
      </w:r>
      <w:bookmarkStart w:id="11332" w:name="_ETM_Q13_593000"/>
      <w:bookmarkEnd w:id="11332"/>
    </w:p>
    <w:p w:rsidR="000C5C1F" w:rsidRDefault="000C5C1F" w:rsidP="000C5C1F">
      <w:pPr>
        <w:rPr>
          <w:rtl/>
          <w:lang w:eastAsia="he-IL"/>
        </w:rPr>
      </w:pPr>
    </w:p>
    <w:p w:rsidR="000C5C1F" w:rsidRDefault="000C5C1F" w:rsidP="000C5C1F">
      <w:pPr>
        <w:pStyle w:val="-"/>
        <w:keepNext/>
        <w:rPr>
          <w:rtl/>
        </w:rPr>
      </w:pPr>
      <w:bookmarkStart w:id="11333" w:name="ET_speakercontinue_5264_4"/>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333"/>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איפה תפציץ? </w:t>
      </w:r>
    </w:p>
    <w:p w:rsidR="000C5C1F" w:rsidRDefault="000C5C1F" w:rsidP="000C5C1F">
      <w:pPr>
        <w:rPr>
          <w:rtl/>
          <w:lang w:eastAsia="he-IL"/>
        </w:rPr>
      </w:pPr>
    </w:p>
    <w:p w:rsidR="000C5C1F" w:rsidRDefault="000C5C1F" w:rsidP="000C5C1F">
      <w:pPr>
        <w:pStyle w:val="af9"/>
        <w:keepNext/>
        <w:rPr>
          <w:rtl/>
        </w:rPr>
      </w:pPr>
      <w:bookmarkStart w:id="11334" w:name="ET_yor_6490_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1334"/>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לא יודע, נראה. </w:t>
      </w:r>
    </w:p>
    <w:p w:rsidR="000C5C1F" w:rsidRDefault="000C5C1F" w:rsidP="000C5C1F">
      <w:pPr>
        <w:ind w:firstLine="0"/>
        <w:rPr>
          <w:rtl/>
          <w:lang w:eastAsia="he-IL"/>
        </w:rPr>
      </w:pPr>
    </w:p>
    <w:p w:rsidR="000C5C1F" w:rsidRDefault="000C5C1F" w:rsidP="000C5C1F">
      <w:pPr>
        <w:pStyle w:val="-"/>
        <w:keepNext/>
        <w:rPr>
          <w:rtl/>
        </w:rPr>
      </w:pPr>
      <w:bookmarkStart w:id="11335" w:name="ET_speakercontinue_5264_5"/>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335"/>
    </w:p>
    <w:p w:rsidR="000C5C1F" w:rsidRDefault="000C5C1F" w:rsidP="00337201">
      <w:pPr>
        <w:rPr>
          <w:rtl/>
          <w:lang w:eastAsia="he-IL"/>
        </w:rPr>
      </w:pPr>
    </w:p>
    <w:p w:rsidR="000C5C1F" w:rsidRDefault="000C5C1F" w:rsidP="000C5C1F">
      <w:pPr>
        <w:rPr>
          <w:rtl/>
          <w:lang w:eastAsia="he-IL"/>
        </w:rPr>
      </w:pPr>
      <w:r>
        <w:rPr>
          <w:rFonts w:hint="cs"/>
          <w:rtl/>
          <w:lang w:eastAsia="he-IL"/>
        </w:rPr>
        <w:t>לדעתי אתה לא תפציץ את טייבה - -</w:t>
      </w:r>
    </w:p>
    <w:p w:rsidR="000C5C1F" w:rsidRDefault="000C5C1F" w:rsidP="000C5C1F">
      <w:pPr>
        <w:rPr>
          <w:rtl/>
          <w:lang w:eastAsia="he-IL"/>
        </w:rPr>
      </w:pPr>
    </w:p>
    <w:p w:rsidR="000C5C1F" w:rsidRDefault="000C5C1F" w:rsidP="000C5C1F">
      <w:pPr>
        <w:pStyle w:val="af9"/>
        <w:keepNext/>
        <w:rPr>
          <w:rtl/>
        </w:rPr>
      </w:pPr>
      <w:bookmarkStart w:id="11336" w:name="ET_yor_6490_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1336"/>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לא, חס וחלילה, למה טייבה? </w:t>
      </w:r>
    </w:p>
    <w:p w:rsidR="000C5C1F" w:rsidRDefault="000C5C1F" w:rsidP="000C5C1F">
      <w:pPr>
        <w:rPr>
          <w:rtl/>
          <w:lang w:eastAsia="he-IL"/>
        </w:rPr>
      </w:pPr>
    </w:p>
    <w:p w:rsidR="000C5C1F" w:rsidRDefault="000C5C1F" w:rsidP="000C5C1F">
      <w:pPr>
        <w:pStyle w:val="-"/>
        <w:keepNext/>
        <w:rPr>
          <w:rtl/>
        </w:rPr>
      </w:pPr>
      <w:bookmarkStart w:id="11337" w:name="ET_speakercontinue_5264_7"/>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337"/>
    </w:p>
    <w:p w:rsidR="000C5C1F" w:rsidRDefault="000C5C1F" w:rsidP="00337201">
      <w:pPr>
        <w:rPr>
          <w:rtl/>
          <w:lang w:eastAsia="he-IL"/>
        </w:rPr>
      </w:pPr>
    </w:p>
    <w:p w:rsidR="000C5C1F" w:rsidRDefault="000C5C1F" w:rsidP="000C5C1F">
      <w:pPr>
        <w:rPr>
          <w:rtl/>
          <w:lang w:eastAsia="he-IL"/>
        </w:rPr>
      </w:pPr>
      <w:bookmarkStart w:id="11338" w:name="_ETM_Q13_606000"/>
      <w:bookmarkEnd w:id="11338"/>
      <w:r>
        <w:rPr>
          <w:rFonts w:hint="cs"/>
          <w:rtl/>
          <w:lang w:eastAsia="he-IL"/>
        </w:rPr>
        <w:t xml:space="preserve">- - לדעתי אתה תפציץ את הרצליה פיתוח לפני טייבה. </w:t>
      </w:r>
    </w:p>
    <w:p w:rsidR="000C5C1F" w:rsidRDefault="000C5C1F" w:rsidP="000C5C1F">
      <w:pPr>
        <w:rPr>
          <w:rtl/>
          <w:lang w:eastAsia="he-IL"/>
        </w:rPr>
      </w:pPr>
      <w:bookmarkStart w:id="11339" w:name="_ETM_Q13_604000"/>
      <w:bookmarkEnd w:id="11339"/>
    </w:p>
    <w:p w:rsidR="000C5C1F" w:rsidRDefault="000C5C1F" w:rsidP="000C5C1F">
      <w:pPr>
        <w:pStyle w:val="af9"/>
        <w:keepNext/>
        <w:rPr>
          <w:rtl/>
        </w:rPr>
      </w:pPr>
      <w:bookmarkStart w:id="11340" w:name="ET_yor_6490_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1340"/>
    </w:p>
    <w:p w:rsidR="000C5C1F" w:rsidRDefault="000C5C1F" w:rsidP="00337201">
      <w:pPr>
        <w:rPr>
          <w:rtl/>
          <w:lang w:eastAsia="he-IL"/>
        </w:rPr>
      </w:pPr>
    </w:p>
    <w:p w:rsidR="000C5C1F" w:rsidRDefault="000C5C1F" w:rsidP="000C5C1F">
      <w:pPr>
        <w:rPr>
          <w:rtl/>
          <w:lang w:eastAsia="he-IL"/>
        </w:rPr>
      </w:pPr>
      <w:bookmarkStart w:id="11341" w:name="_ETM_Q13_605000"/>
      <w:bookmarkEnd w:id="11341"/>
      <w:r>
        <w:rPr>
          <w:rFonts w:hint="cs"/>
          <w:rtl/>
          <w:lang w:eastAsia="he-IL"/>
        </w:rPr>
        <w:t xml:space="preserve">אל תדאג, האיראנים וחיזבאללה יפציצו את הבית שלך לפני שאני אפילו עוד אחשוב על זה. </w:t>
      </w:r>
    </w:p>
    <w:p w:rsidR="000C5C1F" w:rsidRDefault="000C5C1F" w:rsidP="000C5C1F">
      <w:pPr>
        <w:rPr>
          <w:rtl/>
          <w:lang w:eastAsia="he-IL"/>
        </w:rPr>
      </w:pPr>
    </w:p>
    <w:p w:rsidR="000C5C1F" w:rsidRDefault="000C5C1F" w:rsidP="000C5C1F">
      <w:pPr>
        <w:pStyle w:val="-"/>
        <w:keepNext/>
        <w:rPr>
          <w:rtl/>
        </w:rPr>
      </w:pPr>
      <w:bookmarkStart w:id="11342" w:name="ET_speakercontinue_5264_9"/>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342"/>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אני מעריך. </w:t>
      </w:r>
    </w:p>
    <w:p w:rsidR="000C5C1F" w:rsidRDefault="000C5C1F" w:rsidP="000C5C1F">
      <w:pPr>
        <w:rPr>
          <w:rtl/>
          <w:lang w:eastAsia="he-IL"/>
        </w:rPr>
      </w:pPr>
    </w:p>
    <w:p w:rsidR="000C5C1F" w:rsidRDefault="000C5C1F" w:rsidP="000C5C1F">
      <w:pPr>
        <w:pStyle w:val="af9"/>
        <w:keepNext/>
        <w:rPr>
          <w:rtl/>
        </w:rPr>
      </w:pPr>
      <w:bookmarkStart w:id="11343" w:name="ET_yor_6490_1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1343"/>
    </w:p>
    <w:p w:rsidR="000C5C1F" w:rsidRDefault="000C5C1F" w:rsidP="00337201">
      <w:pPr>
        <w:rPr>
          <w:rtl/>
          <w:lang w:eastAsia="he-IL"/>
        </w:rPr>
      </w:pPr>
    </w:p>
    <w:p w:rsidR="000C5C1F" w:rsidRDefault="000C5C1F" w:rsidP="000C5C1F">
      <w:pPr>
        <w:rPr>
          <w:rtl/>
          <w:lang w:eastAsia="he-IL"/>
        </w:rPr>
      </w:pPr>
      <w:bookmarkStart w:id="11344" w:name="_ETM_Q13_600000"/>
      <w:bookmarkEnd w:id="11344"/>
      <w:r>
        <w:rPr>
          <w:rFonts w:hint="cs"/>
          <w:rtl/>
          <w:lang w:eastAsia="he-IL"/>
        </w:rPr>
        <w:t xml:space="preserve">הם לא יראו אותך ממטר. </w:t>
      </w:r>
    </w:p>
    <w:p w:rsidR="000C5C1F" w:rsidRDefault="000C5C1F" w:rsidP="000C5C1F">
      <w:pPr>
        <w:rPr>
          <w:rtl/>
          <w:lang w:eastAsia="he-IL"/>
        </w:rPr>
      </w:pPr>
    </w:p>
    <w:p w:rsidR="000C5C1F" w:rsidRDefault="000C5C1F" w:rsidP="000C5C1F">
      <w:pPr>
        <w:pStyle w:val="-"/>
        <w:keepNext/>
        <w:rPr>
          <w:rtl/>
        </w:rPr>
      </w:pPr>
      <w:bookmarkStart w:id="11345" w:name="ET_speakercontinue_5264_6"/>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345"/>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כן. </w:t>
      </w:r>
      <w:bookmarkStart w:id="11346" w:name="_ETM_Q13_617000"/>
      <w:bookmarkEnd w:id="11346"/>
      <w:r>
        <w:rPr>
          <w:rFonts w:hint="cs"/>
          <w:rtl/>
          <w:lang w:eastAsia="he-IL"/>
        </w:rPr>
        <w:t xml:space="preserve">אמרנו שלמרות שיש עילת סבירות, יש דברים לא סבירים. אתמול נרצחו מוחמד ורשא עמאש מג'יסר א-זרקא. הם היו בחצר הבית בחתונה. באו פושעים וריססו את החצר. אומרים שהמשטרה הייתה רחוקה כמה מטרים משם. הם ריססו פעם </w:t>
      </w:r>
      <w:bookmarkStart w:id="11347" w:name="_ETM_Q13_653000"/>
      <w:bookmarkEnd w:id="11347"/>
      <w:r>
        <w:rPr>
          <w:rFonts w:hint="cs"/>
          <w:rtl/>
          <w:lang w:eastAsia="he-IL"/>
        </w:rPr>
        <w:t xml:space="preserve">אחר פעם, וכשהם יצאו הם ריססו באוויר, ירו באוויר. המשטרה הייתה רחוקה כמה מטרים משם, בכביש השני. רדפה </w:t>
      </w:r>
      <w:bookmarkStart w:id="11348" w:name="_ETM_Q13_657000"/>
      <w:bookmarkEnd w:id="11348"/>
      <w:r>
        <w:rPr>
          <w:rFonts w:hint="cs"/>
          <w:rtl/>
          <w:lang w:eastAsia="he-IL"/>
        </w:rPr>
        <w:t xml:space="preserve">אחריהם, והם נעלמו. אנשים רוצחים – איך המשטרה רודפת </w:t>
      </w:r>
      <w:bookmarkStart w:id="11349" w:name="_ETM_Q13_666000"/>
      <w:bookmarkEnd w:id="11349"/>
      <w:r>
        <w:rPr>
          <w:rFonts w:hint="cs"/>
          <w:rtl/>
          <w:lang w:eastAsia="he-IL"/>
        </w:rPr>
        <w:t xml:space="preserve">אחריהם, ולא תופסת אותם? פַשַל – כישלון אדיר. האם זה כישלון או אפתיה או חוסר רצון להביא תוצאות, להביא הרתעה? כאשר הרוצח רוצח ורואה שאין הרתעה – לא מעמידים אותו לדין, לא מרתיעים – הוא רוצח עוד פעם. זה קל. כמה מתוך 129 מקרי הרצח פוענחו? שמונה, תשעה, עשרה? לעג לרש. </w:t>
      </w:r>
      <w:bookmarkStart w:id="11350" w:name="_ETM_Q13_708000"/>
      <w:bookmarkEnd w:id="11350"/>
      <w:r>
        <w:rPr>
          <w:rFonts w:hint="cs"/>
          <w:rtl/>
          <w:lang w:eastAsia="he-IL"/>
        </w:rPr>
        <w:t xml:space="preserve">זה אומר הרבה. </w:t>
      </w:r>
    </w:p>
    <w:p w:rsidR="000C5C1F" w:rsidRDefault="000C5C1F" w:rsidP="000C5C1F">
      <w:pPr>
        <w:rPr>
          <w:rtl/>
          <w:lang w:eastAsia="he-IL"/>
        </w:rPr>
      </w:pPr>
    </w:p>
    <w:p w:rsidR="000C5C1F" w:rsidRDefault="000C5C1F" w:rsidP="000C5C1F">
      <w:pPr>
        <w:rPr>
          <w:rtl/>
          <w:lang w:eastAsia="he-IL"/>
        </w:rPr>
      </w:pPr>
      <w:r>
        <w:rPr>
          <w:rFonts w:hint="cs"/>
          <w:rtl/>
          <w:lang w:eastAsia="he-IL"/>
        </w:rPr>
        <w:t xml:space="preserve">עכשיו אני רוצה להדגיש: חוץ מהכישלון של המשטרה והאפתיה, יש סיבה ברורה למה יש עלייה כל כך קשה במספר הנרצחים: בחודשים האחרונים </w:t>
      </w:r>
      <w:bookmarkStart w:id="11351" w:name="_ETM_Q13_734000"/>
      <w:bookmarkEnd w:id="11351"/>
      <w:r>
        <w:rPr>
          <w:rFonts w:hint="cs"/>
          <w:rtl/>
          <w:lang w:eastAsia="he-IL"/>
        </w:rPr>
        <w:t xml:space="preserve">פרצה מלחמת רחוב בין שני ארגוני פשיעה. הם רוצחים בלילה, מגיבים בבוקר, בצוהריים – ללא רחמים. בדם קר. לעיתים הם רוצחים אנשים שאין להם קשר. זה כואב עוד יותר. </w:t>
      </w:r>
      <w:bookmarkStart w:id="11352" w:name="_ETM_Q13_753000"/>
      <w:bookmarkStart w:id="11353" w:name="TOR_Q14"/>
      <w:bookmarkStart w:id="11354" w:name="_ETM_Q14_164695"/>
      <w:bookmarkStart w:id="11355" w:name="_ETM_Q14_164758"/>
      <w:bookmarkEnd w:id="11352"/>
      <w:bookmarkEnd w:id="11353"/>
      <w:bookmarkEnd w:id="11354"/>
      <w:bookmarkEnd w:id="11355"/>
      <w:r>
        <w:rPr>
          <w:rFonts w:hint="cs"/>
          <w:rtl/>
          <w:lang w:eastAsia="he-IL"/>
        </w:rPr>
        <w:t>אני אומר</w:t>
      </w:r>
      <w:bookmarkStart w:id="11356" w:name="_ETM_Q14_170912"/>
      <w:bookmarkStart w:id="11357" w:name="_ETM_Q14_166092"/>
      <w:bookmarkStart w:id="11358" w:name="_ETM_Q14_161512"/>
      <w:bookmarkStart w:id="11359" w:name="_ETM_Q14_156913"/>
      <w:bookmarkStart w:id="11360" w:name="_ETM_Q14_152173"/>
      <w:bookmarkStart w:id="11361" w:name="_ETM_Q14_147443"/>
      <w:bookmarkStart w:id="11362" w:name="_ETM_Q14_142603"/>
      <w:bookmarkStart w:id="11363" w:name="_ETM_Q14_138082"/>
      <w:bookmarkEnd w:id="11356"/>
      <w:bookmarkEnd w:id="11357"/>
      <w:bookmarkEnd w:id="11358"/>
      <w:bookmarkEnd w:id="11359"/>
      <w:bookmarkEnd w:id="11360"/>
      <w:bookmarkEnd w:id="11361"/>
      <w:bookmarkEnd w:id="11362"/>
      <w:bookmarkEnd w:id="11363"/>
      <w:r>
        <w:rPr>
          <w:rFonts w:hint="cs"/>
          <w:rtl/>
          <w:lang w:eastAsia="he-IL"/>
        </w:rPr>
        <w:t xml:space="preserve"> שלמרות </w:t>
      </w:r>
      <w:bookmarkStart w:id="11364" w:name="_ETM_Q14_151752"/>
      <w:bookmarkEnd w:id="11364"/>
      <w:r>
        <w:rPr>
          <w:rFonts w:hint="cs"/>
          <w:rtl/>
          <w:lang w:eastAsia="he-IL"/>
        </w:rPr>
        <w:t>שמ</w:t>
      </w:r>
      <w:bookmarkStart w:id="11365" w:name="_ETM_Q14_148362"/>
      <w:bookmarkEnd w:id="11365"/>
      <w:r>
        <w:rPr>
          <w:rFonts w:hint="cs"/>
          <w:rtl/>
          <w:lang w:eastAsia="he-IL"/>
        </w:rPr>
        <w:t xml:space="preserve">דובר בחיסולים, אנחנו </w:t>
      </w:r>
      <w:bookmarkStart w:id="11366" w:name="_ETM_Q14_158596"/>
      <w:bookmarkEnd w:id="11366"/>
      <w:r>
        <w:rPr>
          <w:rFonts w:hint="cs"/>
          <w:rtl/>
          <w:lang w:eastAsia="he-IL"/>
        </w:rPr>
        <w:t xml:space="preserve">מתנגדים </w:t>
      </w:r>
      <w:bookmarkStart w:id="11367" w:name="_ETM_Q14_155482"/>
      <w:bookmarkEnd w:id="11367"/>
      <w:r>
        <w:rPr>
          <w:rFonts w:hint="cs"/>
          <w:rtl/>
          <w:lang w:eastAsia="he-IL"/>
        </w:rPr>
        <w:t>לזה, כ</w:t>
      </w:r>
      <w:bookmarkStart w:id="11368" w:name="_ETM_Q14_154593"/>
      <w:bookmarkEnd w:id="11368"/>
      <w:r>
        <w:rPr>
          <w:rFonts w:hint="cs"/>
          <w:rtl/>
          <w:lang w:eastAsia="he-IL"/>
        </w:rPr>
        <w:t xml:space="preserve">י למחוסלים יש הורים, יש אחים, יש </w:t>
      </w:r>
      <w:bookmarkStart w:id="11369" w:name="_ETM_Q14_161763"/>
      <w:bookmarkEnd w:id="11369"/>
      <w:r>
        <w:rPr>
          <w:rFonts w:hint="cs"/>
          <w:rtl/>
          <w:lang w:eastAsia="he-IL"/>
        </w:rPr>
        <w:t>משפחה, יש יישוב, יש קהילה</w:t>
      </w:r>
      <w:bookmarkStart w:id="11370" w:name="_ETM_Q14_158383"/>
      <w:bookmarkEnd w:id="11370"/>
      <w:r>
        <w:rPr>
          <w:rFonts w:hint="cs"/>
          <w:rtl/>
          <w:lang w:eastAsia="he-IL"/>
        </w:rPr>
        <w:t xml:space="preserve"> שמרגישה מפוחדת, מאוימת, בלי ביטחון</w:t>
      </w:r>
      <w:bookmarkStart w:id="11371" w:name="_ETM_Q14_162074"/>
      <w:bookmarkEnd w:id="11371"/>
      <w:r>
        <w:rPr>
          <w:rFonts w:hint="cs"/>
          <w:rtl/>
          <w:lang w:eastAsia="he-IL"/>
        </w:rPr>
        <w:t xml:space="preserve"> אישי.</w:t>
      </w:r>
      <w:bookmarkStart w:id="11372" w:name="_ETM_Q14_175485"/>
      <w:bookmarkEnd w:id="11372"/>
      <w:r>
        <w:rPr>
          <w:rFonts w:hint="cs"/>
          <w:rtl/>
          <w:lang w:eastAsia="he-IL"/>
        </w:rPr>
        <w:t xml:space="preserve"> ואני חושב שהמשטרה </w:t>
      </w:r>
      <w:bookmarkStart w:id="11373" w:name="_ETM_Q14_176453"/>
      <w:bookmarkEnd w:id="11373"/>
      <w:r>
        <w:rPr>
          <w:rFonts w:hint="cs"/>
          <w:rtl/>
          <w:lang w:eastAsia="he-IL"/>
        </w:rPr>
        <w:t>יכולה. לא יכול להיות</w:t>
      </w:r>
      <w:bookmarkStart w:id="11374" w:name="_ETM_Q14_180154"/>
      <w:bookmarkEnd w:id="11374"/>
      <w:r>
        <w:rPr>
          <w:rFonts w:hint="cs"/>
          <w:rtl/>
          <w:lang w:eastAsia="he-IL"/>
        </w:rPr>
        <w:t xml:space="preserve"> שמתוך </w:t>
      </w:r>
      <w:bookmarkStart w:id="11375" w:name="_ETM_Q14_175563"/>
      <w:bookmarkStart w:id="11376" w:name="_ETM_Q14_175708"/>
      <w:bookmarkStart w:id="11377" w:name="_ETM_Q14_175786"/>
      <w:bookmarkStart w:id="11378" w:name="_ETM_Q14_142494"/>
      <w:bookmarkStart w:id="11379" w:name="_ETM_Q14_142585"/>
      <w:bookmarkStart w:id="11380" w:name="_ETM_Q14_142670"/>
      <w:bookmarkStart w:id="11381" w:name="_ETM_Q14_142749"/>
      <w:bookmarkStart w:id="11382" w:name="_ETM_Q14_177234"/>
      <w:bookmarkEnd w:id="11375"/>
      <w:bookmarkEnd w:id="11376"/>
      <w:bookmarkEnd w:id="11377"/>
      <w:bookmarkEnd w:id="11378"/>
      <w:bookmarkEnd w:id="11379"/>
      <w:bookmarkEnd w:id="11380"/>
      <w:bookmarkEnd w:id="11381"/>
      <w:bookmarkEnd w:id="11382"/>
      <w:r>
        <w:rPr>
          <w:rFonts w:hint="cs"/>
          <w:rtl/>
        </w:rPr>
        <w:t xml:space="preserve">129 </w:t>
      </w:r>
      <w:bookmarkStart w:id="11383" w:name="_ETM_Q14_181079"/>
      <w:bookmarkEnd w:id="11383"/>
      <w:r>
        <w:rPr>
          <w:rFonts w:hint="cs"/>
          <w:rtl/>
        </w:rPr>
        <w:t xml:space="preserve">מקרים, </w:t>
      </w:r>
      <w:bookmarkStart w:id="11384" w:name="_ETM_Q14_184340"/>
      <w:bookmarkEnd w:id="11384"/>
      <w:r>
        <w:rPr>
          <w:rFonts w:hint="cs"/>
          <w:rtl/>
        </w:rPr>
        <w:t xml:space="preserve">רק </w:t>
      </w:r>
      <w:bookmarkStart w:id="11385" w:name="_ETM_Q14_184819"/>
      <w:bookmarkEnd w:id="11385"/>
      <w:r>
        <w:rPr>
          <w:rFonts w:hint="cs"/>
          <w:rtl/>
        </w:rPr>
        <w:t xml:space="preserve">תשעה </w:t>
      </w:r>
      <w:bookmarkStart w:id="11386" w:name="_ETM_Q14_185269"/>
      <w:bookmarkEnd w:id="11386"/>
      <w:r>
        <w:rPr>
          <w:rFonts w:hint="cs"/>
          <w:rtl/>
        </w:rPr>
        <w:t xml:space="preserve">או </w:t>
      </w:r>
      <w:bookmarkStart w:id="11387" w:name="_ETM_Q14_185390"/>
      <w:bookmarkEnd w:id="11387"/>
      <w:r>
        <w:rPr>
          <w:rFonts w:hint="cs"/>
          <w:rtl/>
        </w:rPr>
        <w:t xml:space="preserve">עשרה </w:t>
      </w:r>
      <w:bookmarkStart w:id="11388" w:name="_ETM_Q14_185990"/>
      <w:bookmarkEnd w:id="11388"/>
      <w:r>
        <w:rPr>
          <w:rFonts w:hint="cs"/>
          <w:rtl/>
        </w:rPr>
        <w:t xml:space="preserve">מקרים </w:t>
      </w:r>
      <w:bookmarkStart w:id="11389" w:name="_ETM_Q14_186470"/>
      <w:bookmarkEnd w:id="11389"/>
      <w:r>
        <w:rPr>
          <w:rFonts w:hint="cs"/>
          <w:rtl/>
        </w:rPr>
        <w:t>פ</w:t>
      </w:r>
      <w:bookmarkStart w:id="11390" w:name="_ETM_Q14_186620"/>
      <w:bookmarkEnd w:id="11390"/>
      <w:r>
        <w:rPr>
          <w:rFonts w:hint="cs"/>
          <w:rtl/>
        </w:rPr>
        <w:t>וענ</w:t>
      </w:r>
      <w:bookmarkStart w:id="11391" w:name="_ETM_Q14_183635"/>
      <w:bookmarkEnd w:id="11391"/>
      <w:r>
        <w:rPr>
          <w:rFonts w:hint="cs"/>
          <w:rtl/>
        </w:rPr>
        <w:t xml:space="preserve">חו. </w:t>
      </w:r>
      <w:bookmarkStart w:id="11392" w:name="_ETM_Q14_187729"/>
      <w:bookmarkEnd w:id="11392"/>
      <w:r>
        <w:rPr>
          <w:rFonts w:hint="cs"/>
          <w:rtl/>
        </w:rPr>
        <w:t xml:space="preserve">חלק </w:t>
      </w:r>
      <w:bookmarkStart w:id="11393" w:name="_ETM_Q14_188150"/>
      <w:bookmarkEnd w:id="11393"/>
      <w:r>
        <w:rPr>
          <w:rFonts w:hint="cs"/>
          <w:rtl/>
        </w:rPr>
        <w:t xml:space="preserve">מהם </w:t>
      </w:r>
      <w:bookmarkStart w:id="11394" w:name="_ETM_Q14_188480"/>
      <w:bookmarkEnd w:id="11394"/>
      <w:r>
        <w:rPr>
          <w:rFonts w:hint="cs"/>
          <w:rtl/>
        </w:rPr>
        <w:t xml:space="preserve">הסגירו </w:t>
      </w:r>
      <w:bookmarkStart w:id="11395" w:name="_ETM_Q14_188990"/>
      <w:bookmarkEnd w:id="11395"/>
      <w:r>
        <w:rPr>
          <w:rFonts w:hint="cs"/>
          <w:rtl/>
        </w:rPr>
        <w:t xml:space="preserve">את עצמם, </w:t>
      </w:r>
      <w:bookmarkStart w:id="11396" w:name="_ETM_Q14_189719"/>
      <w:bookmarkEnd w:id="11396"/>
      <w:r>
        <w:rPr>
          <w:rFonts w:hint="cs"/>
          <w:rtl/>
        </w:rPr>
        <w:t>מ</w:t>
      </w:r>
      <w:bookmarkStart w:id="11397" w:name="_ETM_Q14_190019"/>
      <w:bookmarkStart w:id="11398" w:name="_ETM_Q14_190289"/>
      <w:bookmarkStart w:id="11399" w:name="_ETM_Q14_187654"/>
      <w:bookmarkEnd w:id="11397"/>
      <w:bookmarkEnd w:id="11398"/>
      <w:bookmarkEnd w:id="11399"/>
      <w:r>
        <w:rPr>
          <w:rFonts w:hint="cs"/>
          <w:rtl/>
        </w:rPr>
        <w:t xml:space="preserve">אלה שהמשטרה </w:t>
      </w:r>
      <w:bookmarkStart w:id="11400" w:name="_ETM_Q14_191509"/>
      <w:bookmarkEnd w:id="11400"/>
      <w:r>
        <w:rPr>
          <w:rFonts w:hint="cs"/>
          <w:rtl/>
        </w:rPr>
        <w:t>פ</w:t>
      </w:r>
      <w:bookmarkStart w:id="11401" w:name="_ETM_Q14_191719"/>
      <w:bookmarkEnd w:id="11401"/>
      <w:r>
        <w:rPr>
          <w:rFonts w:hint="cs"/>
          <w:rtl/>
        </w:rPr>
        <w:t>ענחה.</w:t>
      </w:r>
      <w:bookmarkStart w:id="11402" w:name="_ETM_Q14_198610"/>
      <w:bookmarkStart w:id="11403" w:name="_ETM_Q14_195201"/>
      <w:bookmarkEnd w:id="11402"/>
      <w:bookmarkEnd w:id="11403"/>
    </w:p>
    <w:p w:rsidR="000C5C1F" w:rsidRDefault="000C5C1F" w:rsidP="000C5C1F">
      <w:pPr>
        <w:rPr>
          <w:rtl/>
        </w:rPr>
      </w:pPr>
    </w:p>
    <w:p w:rsidR="000C5C1F" w:rsidRDefault="000C5C1F" w:rsidP="000C5C1F">
      <w:pPr>
        <w:rPr>
          <w:rtl/>
        </w:rPr>
      </w:pPr>
      <w:bookmarkStart w:id="11404" w:name="_ETM_Q14_195409"/>
      <w:bookmarkStart w:id="11405" w:name="_ETM_Q14_195434"/>
      <w:bookmarkStart w:id="11406" w:name="_ETM_Q14_195470"/>
      <w:bookmarkEnd w:id="11404"/>
      <w:bookmarkEnd w:id="11405"/>
      <w:bookmarkEnd w:id="11406"/>
      <w:r>
        <w:rPr>
          <w:rFonts w:hint="cs"/>
          <w:rtl/>
        </w:rPr>
        <w:t xml:space="preserve">ולכן, </w:t>
      </w:r>
      <w:bookmarkStart w:id="11407" w:name="_ETM_Q14_198939"/>
      <w:bookmarkStart w:id="11408" w:name="_ETM_Q14_200140"/>
      <w:bookmarkEnd w:id="11407"/>
      <w:bookmarkEnd w:id="11408"/>
      <w:r>
        <w:rPr>
          <w:rFonts w:hint="cs"/>
          <w:rtl/>
        </w:rPr>
        <w:t>נשאל</w:t>
      </w:r>
      <w:bookmarkStart w:id="11409" w:name="_ETM_Q14_200759"/>
      <w:bookmarkEnd w:id="11409"/>
      <w:r>
        <w:rPr>
          <w:rFonts w:hint="cs"/>
          <w:rtl/>
        </w:rPr>
        <w:t xml:space="preserve">ת </w:t>
      </w:r>
      <w:bookmarkStart w:id="11410" w:name="_ETM_Q14_200909"/>
      <w:bookmarkEnd w:id="11410"/>
      <w:r>
        <w:rPr>
          <w:rFonts w:hint="cs"/>
          <w:rtl/>
        </w:rPr>
        <w:t xml:space="preserve">השאלה </w:t>
      </w:r>
      <w:bookmarkStart w:id="11411" w:name="_ETM_Q14_204660"/>
      <w:bookmarkEnd w:id="11411"/>
      <w:r>
        <w:rPr>
          <w:rFonts w:hint="cs"/>
          <w:rtl/>
        </w:rPr>
        <w:t xml:space="preserve">למה </w:t>
      </w:r>
      <w:bookmarkStart w:id="11412" w:name="_ETM_Q14_205979"/>
      <w:bookmarkEnd w:id="11412"/>
      <w:r>
        <w:rPr>
          <w:rFonts w:hint="cs"/>
          <w:rtl/>
        </w:rPr>
        <w:t>רשא עמאש</w:t>
      </w:r>
      <w:bookmarkStart w:id="11413" w:name="_ETM_Q14_204045"/>
      <w:bookmarkEnd w:id="11413"/>
      <w:r>
        <w:rPr>
          <w:rFonts w:hint="cs"/>
          <w:rtl/>
        </w:rPr>
        <w:t xml:space="preserve"> </w:t>
      </w:r>
      <w:bookmarkStart w:id="11414" w:name="_ETM_Q14_206309"/>
      <w:bookmarkEnd w:id="11414"/>
      <w:r>
        <w:rPr>
          <w:rFonts w:hint="cs"/>
          <w:rtl/>
        </w:rPr>
        <w:t>לא המשיכה</w:t>
      </w:r>
      <w:bookmarkStart w:id="11415" w:name="_ETM_Q14_204434"/>
      <w:bookmarkEnd w:id="11415"/>
      <w:r>
        <w:rPr>
          <w:rFonts w:hint="cs"/>
          <w:rtl/>
        </w:rPr>
        <w:t xml:space="preserve"> </w:t>
      </w:r>
      <w:bookmarkStart w:id="11416" w:name="_ETM_Q14_206970"/>
      <w:bookmarkStart w:id="11417" w:name="_ETM_Q14_209365"/>
      <w:bookmarkStart w:id="11418" w:name="_ETM_Q14_207300"/>
      <w:bookmarkStart w:id="11419" w:name="_ETM_Q14_210340"/>
      <w:bookmarkEnd w:id="11416"/>
      <w:bookmarkEnd w:id="11417"/>
      <w:bookmarkEnd w:id="11418"/>
      <w:bookmarkEnd w:id="11419"/>
      <w:r>
        <w:rPr>
          <w:rFonts w:hint="cs"/>
          <w:rtl/>
        </w:rPr>
        <w:t xml:space="preserve">את </w:t>
      </w:r>
      <w:bookmarkStart w:id="11420" w:name="_ETM_Q14_210640"/>
      <w:bookmarkEnd w:id="11420"/>
      <w:r>
        <w:rPr>
          <w:rFonts w:hint="cs"/>
          <w:rtl/>
        </w:rPr>
        <w:t xml:space="preserve">חייה </w:t>
      </w:r>
      <w:bookmarkStart w:id="11421" w:name="_ETM_Q14_211119"/>
      <w:bookmarkEnd w:id="11421"/>
      <w:r>
        <w:rPr>
          <w:rFonts w:hint="cs"/>
          <w:rtl/>
        </w:rPr>
        <w:t xml:space="preserve">כדי </w:t>
      </w:r>
      <w:bookmarkStart w:id="11422" w:name="_ETM_Q14_211869"/>
      <w:bookmarkEnd w:id="11422"/>
      <w:r>
        <w:rPr>
          <w:rFonts w:hint="cs"/>
          <w:rtl/>
        </w:rPr>
        <w:t xml:space="preserve">ליישם </w:t>
      </w:r>
      <w:bookmarkStart w:id="11423" w:name="_ETM_Q14_212379"/>
      <w:bookmarkEnd w:id="11423"/>
      <w:r>
        <w:rPr>
          <w:rFonts w:hint="cs"/>
          <w:rtl/>
        </w:rPr>
        <w:t xml:space="preserve">את </w:t>
      </w:r>
      <w:bookmarkStart w:id="11424" w:name="_ETM_Q14_212500"/>
      <w:bookmarkEnd w:id="11424"/>
      <w:r>
        <w:rPr>
          <w:rFonts w:hint="cs"/>
          <w:rtl/>
        </w:rPr>
        <w:t xml:space="preserve">חלומותיה. </w:t>
      </w:r>
      <w:bookmarkStart w:id="11425" w:name="_ETM_Q14_214120"/>
      <w:bookmarkEnd w:id="11425"/>
      <w:r>
        <w:rPr>
          <w:rFonts w:hint="cs"/>
          <w:rtl/>
        </w:rPr>
        <w:t xml:space="preserve">אני </w:t>
      </w:r>
      <w:bookmarkStart w:id="11426" w:name="_ETM_Q14_214840"/>
      <w:bookmarkEnd w:id="11426"/>
      <w:r>
        <w:rPr>
          <w:rFonts w:hint="cs"/>
          <w:rtl/>
        </w:rPr>
        <w:t xml:space="preserve">פגשתי </w:t>
      </w:r>
      <w:bookmarkStart w:id="11427" w:name="_ETM_Q14_215500"/>
      <w:bookmarkEnd w:id="11427"/>
      <w:r>
        <w:rPr>
          <w:rFonts w:hint="cs"/>
          <w:rtl/>
        </w:rPr>
        <w:t xml:space="preserve">את </w:t>
      </w:r>
      <w:bookmarkStart w:id="11428" w:name="_ETM_Q14_215680"/>
      <w:bookmarkEnd w:id="11428"/>
      <w:r>
        <w:rPr>
          <w:rFonts w:hint="cs"/>
          <w:rtl/>
        </w:rPr>
        <w:t>רשא</w:t>
      </w:r>
      <w:bookmarkStart w:id="11429" w:name="_ETM_Q14_215555"/>
      <w:bookmarkEnd w:id="11429"/>
      <w:r>
        <w:rPr>
          <w:rFonts w:hint="cs"/>
          <w:rtl/>
        </w:rPr>
        <w:t xml:space="preserve"> </w:t>
      </w:r>
      <w:bookmarkStart w:id="11430" w:name="_ETM_Q14_216340"/>
      <w:bookmarkEnd w:id="11430"/>
      <w:r>
        <w:rPr>
          <w:rFonts w:hint="cs"/>
          <w:rtl/>
        </w:rPr>
        <w:t xml:space="preserve">לפני </w:t>
      </w:r>
      <w:bookmarkStart w:id="11431" w:name="_ETM_Q14_216700"/>
      <w:bookmarkEnd w:id="11431"/>
      <w:r>
        <w:rPr>
          <w:rFonts w:hint="cs"/>
          <w:rtl/>
        </w:rPr>
        <w:t xml:space="preserve">כמה </w:t>
      </w:r>
      <w:bookmarkStart w:id="11432" w:name="_ETM_Q14_217060"/>
      <w:bookmarkEnd w:id="11432"/>
      <w:r>
        <w:rPr>
          <w:rFonts w:hint="cs"/>
          <w:rtl/>
        </w:rPr>
        <w:t xml:space="preserve">שנים </w:t>
      </w:r>
      <w:bookmarkStart w:id="11433" w:name="_ETM_Q14_217600"/>
      <w:bookmarkEnd w:id="11433"/>
      <w:r>
        <w:rPr>
          <w:rFonts w:hint="cs"/>
          <w:rtl/>
        </w:rPr>
        <w:t xml:space="preserve">אצלי </w:t>
      </w:r>
      <w:bookmarkStart w:id="11434" w:name="_ETM_Q14_217990"/>
      <w:bookmarkEnd w:id="11434"/>
      <w:r>
        <w:rPr>
          <w:rFonts w:hint="cs"/>
          <w:rtl/>
        </w:rPr>
        <w:t xml:space="preserve">במשרד </w:t>
      </w:r>
      <w:bookmarkStart w:id="11435" w:name="_ETM_Q14_218710"/>
      <w:bookmarkEnd w:id="11435"/>
      <w:r>
        <w:rPr>
          <w:rFonts w:hint="cs"/>
          <w:rtl/>
        </w:rPr>
        <w:t xml:space="preserve">בטייבה. </w:t>
      </w:r>
      <w:bookmarkStart w:id="11436" w:name="_ETM_Q14_219900"/>
      <w:bookmarkEnd w:id="11436"/>
      <w:r>
        <w:rPr>
          <w:rFonts w:hint="cs"/>
          <w:rtl/>
        </w:rPr>
        <w:t xml:space="preserve">ראיתי </w:t>
      </w:r>
      <w:bookmarkStart w:id="11437" w:name="_ETM_Q14_220440"/>
      <w:bookmarkEnd w:id="11437"/>
      <w:r>
        <w:rPr>
          <w:rFonts w:hint="cs"/>
          <w:rtl/>
        </w:rPr>
        <w:t xml:space="preserve">איזה </w:t>
      </w:r>
      <w:bookmarkStart w:id="11438" w:name="_ETM_Q14_220620"/>
      <w:bookmarkEnd w:id="11438"/>
      <w:r>
        <w:rPr>
          <w:rFonts w:hint="cs"/>
          <w:rtl/>
        </w:rPr>
        <w:t xml:space="preserve">חלומות </w:t>
      </w:r>
      <w:bookmarkStart w:id="11439" w:name="_ETM_Q14_222580"/>
      <w:bookmarkEnd w:id="11439"/>
      <w:r>
        <w:rPr>
          <w:rFonts w:hint="cs"/>
          <w:rtl/>
        </w:rPr>
        <w:t xml:space="preserve">יש </w:t>
      </w:r>
      <w:bookmarkStart w:id="11440" w:name="_ETM_Q14_222909"/>
      <w:bookmarkEnd w:id="11440"/>
      <w:r>
        <w:rPr>
          <w:rFonts w:hint="cs"/>
          <w:rtl/>
        </w:rPr>
        <w:t xml:space="preserve">לה, </w:t>
      </w:r>
      <w:bookmarkStart w:id="11441" w:name="_ETM_Q14_223330"/>
      <w:bookmarkEnd w:id="11441"/>
      <w:r>
        <w:rPr>
          <w:rFonts w:hint="cs"/>
          <w:rtl/>
        </w:rPr>
        <w:t xml:space="preserve">שהיא </w:t>
      </w:r>
      <w:bookmarkStart w:id="11442" w:name="_ETM_Q14_223570"/>
      <w:bookmarkEnd w:id="11442"/>
      <w:r>
        <w:rPr>
          <w:rFonts w:hint="cs"/>
          <w:rtl/>
        </w:rPr>
        <w:t xml:space="preserve">רוצה </w:t>
      </w:r>
      <w:bookmarkStart w:id="11443" w:name="_ETM_Q14_223870"/>
      <w:bookmarkEnd w:id="11443"/>
      <w:r>
        <w:rPr>
          <w:rFonts w:hint="cs"/>
          <w:rtl/>
        </w:rPr>
        <w:t xml:space="preserve">להיות </w:t>
      </w:r>
      <w:bookmarkStart w:id="11444" w:name="_ETM_Q14_224170"/>
      <w:bookmarkEnd w:id="11444"/>
      <w:r>
        <w:rPr>
          <w:rFonts w:hint="cs"/>
          <w:rtl/>
        </w:rPr>
        <w:t xml:space="preserve">פעילה, </w:t>
      </w:r>
      <w:bookmarkStart w:id="11445" w:name="_ETM_Q14_225070"/>
      <w:bookmarkEnd w:id="11445"/>
      <w:r>
        <w:rPr>
          <w:rFonts w:hint="cs"/>
          <w:rtl/>
        </w:rPr>
        <w:t xml:space="preserve">לעזור </w:t>
      </w:r>
      <w:bookmarkStart w:id="11446" w:name="_ETM_Q14_225580"/>
      <w:bookmarkEnd w:id="11446"/>
      <w:r>
        <w:rPr>
          <w:rFonts w:hint="cs"/>
          <w:rtl/>
        </w:rPr>
        <w:t xml:space="preserve">לזולת, </w:t>
      </w:r>
      <w:bookmarkStart w:id="11447" w:name="_ETM_Q14_226270"/>
      <w:bookmarkEnd w:id="11447"/>
      <w:r>
        <w:rPr>
          <w:rFonts w:hint="cs"/>
          <w:rtl/>
        </w:rPr>
        <w:t xml:space="preserve">לחברה, </w:t>
      </w:r>
      <w:bookmarkStart w:id="11448" w:name="_ETM_Q14_226810"/>
      <w:bookmarkEnd w:id="11448"/>
      <w:r>
        <w:rPr>
          <w:rFonts w:hint="cs"/>
          <w:rtl/>
        </w:rPr>
        <w:t xml:space="preserve">לג'יסר </w:t>
      </w:r>
      <w:bookmarkStart w:id="11449" w:name="_ETM_Q14_227200"/>
      <w:bookmarkEnd w:id="11449"/>
      <w:r>
        <w:rPr>
          <w:rFonts w:hint="cs"/>
          <w:rtl/>
        </w:rPr>
        <w:t xml:space="preserve">א-זרקא. </w:t>
      </w:r>
      <w:bookmarkStart w:id="11450" w:name="_ETM_Q14_230270"/>
      <w:bookmarkEnd w:id="11450"/>
      <w:r>
        <w:rPr>
          <w:rFonts w:hint="cs"/>
          <w:rtl/>
        </w:rPr>
        <w:t xml:space="preserve">גם </w:t>
      </w:r>
      <w:bookmarkStart w:id="11451" w:name="_ETM_Q14_231020"/>
      <w:bookmarkEnd w:id="11451"/>
      <w:r>
        <w:rPr>
          <w:rFonts w:hint="cs"/>
          <w:rtl/>
        </w:rPr>
        <w:t xml:space="preserve">לבן </w:t>
      </w:r>
      <w:bookmarkStart w:id="11452" w:name="_ETM_Q14_231380"/>
      <w:bookmarkEnd w:id="11452"/>
      <w:r>
        <w:rPr>
          <w:rFonts w:hint="cs"/>
          <w:rtl/>
        </w:rPr>
        <w:t xml:space="preserve">דודה מוחמד </w:t>
      </w:r>
      <w:bookmarkStart w:id="11453" w:name="_ETM_Q14_231710"/>
      <w:bookmarkStart w:id="11454" w:name="_ETM_Q14_228475"/>
      <w:bookmarkStart w:id="11455" w:name="_ETM_Q14_232610"/>
      <w:bookmarkEnd w:id="11453"/>
      <w:bookmarkEnd w:id="11454"/>
      <w:bookmarkEnd w:id="11455"/>
      <w:r>
        <w:rPr>
          <w:rFonts w:hint="cs"/>
          <w:rtl/>
        </w:rPr>
        <w:t xml:space="preserve">לבטח היו חלומות. </w:t>
      </w:r>
      <w:bookmarkStart w:id="11456" w:name="_ETM_Q14_233090"/>
      <w:bookmarkStart w:id="11457" w:name="_ETM_Q14_233330"/>
      <w:bookmarkStart w:id="11458" w:name="_ETM_Q14_233600"/>
      <w:bookmarkStart w:id="11459" w:name="_ETM_Q14_236600"/>
      <w:bookmarkStart w:id="11460" w:name="_ETM_Q14_234555"/>
      <w:bookmarkEnd w:id="11456"/>
      <w:bookmarkEnd w:id="11457"/>
      <w:bookmarkEnd w:id="11458"/>
      <w:bookmarkEnd w:id="11459"/>
      <w:bookmarkEnd w:id="11460"/>
      <w:r>
        <w:rPr>
          <w:rFonts w:hint="cs"/>
          <w:rtl/>
        </w:rPr>
        <w:t xml:space="preserve">למי </w:t>
      </w:r>
      <w:bookmarkStart w:id="11461" w:name="_ETM_Q14_236930"/>
      <w:bookmarkEnd w:id="11461"/>
      <w:r>
        <w:rPr>
          <w:rFonts w:hint="cs"/>
          <w:rtl/>
        </w:rPr>
        <w:t xml:space="preserve">יש </w:t>
      </w:r>
      <w:bookmarkStart w:id="11462" w:name="_ETM_Q14_237140"/>
      <w:bookmarkEnd w:id="11462"/>
      <w:r>
        <w:rPr>
          <w:rFonts w:hint="cs"/>
          <w:rtl/>
        </w:rPr>
        <w:t xml:space="preserve">זכות </w:t>
      </w:r>
      <w:bookmarkStart w:id="11463" w:name="_ETM_Q14_237590"/>
      <w:bookmarkEnd w:id="11463"/>
      <w:r>
        <w:rPr>
          <w:rFonts w:hint="cs"/>
          <w:rtl/>
        </w:rPr>
        <w:t xml:space="preserve">לגדוע </w:t>
      </w:r>
      <w:bookmarkStart w:id="11464" w:name="_ETM_Q14_238160"/>
      <w:bookmarkEnd w:id="11464"/>
      <w:r>
        <w:rPr>
          <w:rFonts w:hint="cs"/>
          <w:rtl/>
        </w:rPr>
        <w:t xml:space="preserve">את </w:t>
      </w:r>
      <w:bookmarkStart w:id="11465" w:name="_ETM_Q14_238280"/>
      <w:bookmarkEnd w:id="11465"/>
      <w:r>
        <w:rPr>
          <w:rFonts w:hint="cs"/>
          <w:rtl/>
        </w:rPr>
        <w:t xml:space="preserve">החלומות </w:t>
      </w:r>
      <w:bookmarkStart w:id="11466" w:name="_ETM_Q14_238820"/>
      <w:bookmarkEnd w:id="11466"/>
      <w:r>
        <w:rPr>
          <w:rFonts w:hint="cs"/>
          <w:rtl/>
        </w:rPr>
        <w:t xml:space="preserve">של </w:t>
      </w:r>
      <w:bookmarkStart w:id="11467" w:name="_ETM_Q14_239030"/>
      <w:bookmarkEnd w:id="11467"/>
      <w:r>
        <w:rPr>
          <w:rFonts w:hint="cs"/>
          <w:rtl/>
        </w:rPr>
        <w:t xml:space="preserve">בני האדם </w:t>
      </w:r>
      <w:bookmarkStart w:id="11468" w:name="_ETM_Q14_241370"/>
      <w:bookmarkEnd w:id="11468"/>
      <w:r>
        <w:rPr>
          <w:rFonts w:hint="cs"/>
          <w:rtl/>
        </w:rPr>
        <w:t xml:space="preserve">בתחילת </w:t>
      </w:r>
      <w:bookmarkStart w:id="11469" w:name="_ETM_Q14_242030"/>
      <w:bookmarkEnd w:id="11469"/>
      <w:r>
        <w:rPr>
          <w:rFonts w:hint="cs"/>
          <w:rtl/>
        </w:rPr>
        <w:t xml:space="preserve">החיים? </w:t>
      </w:r>
      <w:bookmarkStart w:id="11470" w:name="_ETM_Q14_244940"/>
      <w:bookmarkEnd w:id="11470"/>
      <w:r>
        <w:rPr>
          <w:rFonts w:hint="cs"/>
          <w:rtl/>
        </w:rPr>
        <w:t>לפושעים.</w:t>
      </w:r>
      <w:bookmarkStart w:id="11471" w:name="_ETM_Q14_243934"/>
      <w:bookmarkEnd w:id="11471"/>
      <w:r>
        <w:rPr>
          <w:rFonts w:hint="cs"/>
          <w:rtl/>
        </w:rPr>
        <w:t xml:space="preserve"> </w:t>
      </w:r>
      <w:bookmarkStart w:id="11472" w:name="_ETM_Q14_245659"/>
      <w:bookmarkEnd w:id="11472"/>
      <w:r>
        <w:rPr>
          <w:rFonts w:hint="cs"/>
          <w:rtl/>
        </w:rPr>
        <w:t xml:space="preserve">תפקידה </w:t>
      </w:r>
      <w:bookmarkStart w:id="11473" w:name="_ETM_Q14_246140"/>
      <w:bookmarkEnd w:id="11473"/>
      <w:r>
        <w:rPr>
          <w:rFonts w:hint="cs"/>
          <w:rtl/>
        </w:rPr>
        <w:t xml:space="preserve">של </w:t>
      </w:r>
      <w:bookmarkStart w:id="11474" w:name="_ETM_Q14_246350"/>
      <w:bookmarkEnd w:id="11474"/>
      <w:r>
        <w:rPr>
          <w:rFonts w:hint="cs"/>
          <w:rtl/>
        </w:rPr>
        <w:t xml:space="preserve">מדינה </w:t>
      </w:r>
      <w:bookmarkStart w:id="11475" w:name="_ETM_Q14_248319"/>
      <w:bookmarkStart w:id="11476" w:name="_ETM_Q14_248560"/>
      <w:bookmarkEnd w:id="11475"/>
      <w:bookmarkEnd w:id="11476"/>
      <w:r>
        <w:rPr>
          <w:rFonts w:hint="cs"/>
          <w:rtl/>
        </w:rPr>
        <w:t xml:space="preserve">למנוע </w:t>
      </w:r>
      <w:bookmarkStart w:id="11477" w:name="_ETM_Q14_248920"/>
      <w:bookmarkEnd w:id="11477"/>
      <w:r>
        <w:rPr>
          <w:rFonts w:hint="cs"/>
          <w:rtl/>
        </w:rPr>
        <w:t xml:space="preserve">מהפושעים </w:t>
      </w:r>
      <w:bookmarkStart w:id="11478" w:name="_ETM_Q14_249580"/>
      <w:bookmarkEnd w:id="11478"/>
      <w:r>
        <w:rPr>
          <w:rFonts w:hint="cs"/>
          <w:rtl/>
        </w:rPr>
        <w:t xml:space="preserve">האלה, </w:t>
      </w:r>
      <w:bookmarkStart w:id="11479" w:name="_ETM_Q14_249910"/>
      <w:bookmarkStart w:id="11480" w:name="_ETM_Q14_247324"/>
      <w:bookmarkEnd w:id="11479"/>
      <w:bookmarkEnd w:id="11480"/>
      <w:r>
        <w:rPr>
          <w:rFonts w:hint="cs"/>
          <w:rtl/>
        </w:rPr>
        <w:t xml:space="preserve">מארגוני </w:t>
      </w:r>
      <w:bookmarkStart w:id="11481" w:name="_ETM_Q14_250390"/>
      <w:bookmarkEnd w:id="11481"/>
      <w:r>
        <w:rPr>
          <w:rFonts w:hint="cs"/>
          <w:rtl/>
        </w:rPr>
        <w:t xml:space="preserve">הפשיעה, </w:t>
      </w:r>
      <w:bookmarkStart w:id="11482" w:name="_ETM_Q14_252810"/>
      <w:bookmarkEnd w:id="11482"/>
      <w:r>
        <w:rPr>
          <w:rFonts w:hint="cs"/>
          <w:rtl/>
        </w:rPr>
        <w:t xml:space="preserve">להמשיך </w:t>
      </w:r>
      <w:bookmarkStart w:id="11483" w:name="_ETM_Q14_254000"/>
      <w:bookmarkEnd w:id="11483"/>
      <w:r>
        <w:rPr>
          <w:rFonts w:hint="cs"/>
          <w:rtl/>
        </w:rPr>
        <w:t xml:space="preserve">לרצוח </w:t>
      </w:r>
      <w:bookmarkStart w:id="11484" w:name="_ETM_Q14_255049"/>
      <w:bookmarkEnd w:id="11484"/>
      <w:r>
        <w:rPr>
          <w:rFonts w:hint="cs"/>
          <w:rtl/>
        </w:rPr>
        <w:t xml:space="preserve">אנשים. </w:t>
      </w:r>
      <w:bookmarkStart w:id="11485" w:name="_ETM_Q14_255770"/>
      <w:bookmarkEnd w:id="11485"/>
      <w:r>
        <w:rPr>
          <w:rFonts w:hint="cs"/>
          <w:rtl/>
        </w:rPr>
        <w:t xml:space="preserve">זה </w:t>
      </w:r>
      <w:bookmarkStart w:id="11486" w:name="_ETM_Q14_256040"/>
      <w:bookmarkEnd w:id="11486"/>
      <w:r>
        <w:rPr>
          <w:rFonts w:hint="cs"/>
          <w:rtl/>
        </w:rPr>
        <w:t xml:space="preserve">הדבר </w:t>
      </w:r>
      <w:bookmarkStart w:id="11487" w:name="_ETM_Q14_256400"/>
      <w:bookmarkEnd w:id="11487"/>
      <w:r>
        <w:rPr>
          <w:rFonts w:hint="cs"/>
          <w:rtl/>
        </w:rPr>
        <w:t xml:space="preserve">הסביר </w:t>
      </w:r>
      <w:bookmarkStart w:id="11488" w:name="_ETM_Q14_256939"/>
      <w:bookmarkEnd w:id="11488"/>
      <w:r>
        <w:rPr>
          <w:rFonts w:hint="cs"/>
          <w:rtl/>
        </w:rPr>
        <w:t>ביותר.</w:t>
      </w:r>
      <w:bookmarkStart w:id="11489" w:name="_ETM_Q14_256925"/>
      <w:bookmarkStart w:id="11490" w:name="_ETM_Q14_255005"/>
      <w:bookmarkStart w:id="11491" w:name="_ETM_Q14_258620"/>
      <w:bookmarkEnd w:id="11489"/>
      <w:bookmarkEnd w:id="11490"/>
      <w:bookmarkEnd w:id="11491"/>
    </w:p>
    <w:p w:rsidR="000C5C1F" w:rsidRDefault="000C5C1F" w:rsidP="000C5C1F">
      <w:pPr>
        <w:rPr>
          <w:rtl/>
        </w:rPr>
      </w:pPr>
    </w:p>
    <w:p w:rsidR="000C5C1F" w:rsidRDefault="000C5C1F" w:rsidP="000C5C1F">
      <w:pPr>
        <w:rPr>
          <w:rtl/>
        </w:rPr>
      </w:pPr>
      <w:bookmarkStart w:id="11492" w:name="_ETM_Q14_257545"/>
      <w:bookmarkEnd w:id="11492"/>
      <w:r>
        <w:rPr>
          <w:rFonts w:hint="cs"/>
          <w:rtl/>
        </w:rPr>
        <w:t xml:space="preserve">אגב, </w:t>
      </w:r>
      <w:bookmarkStart w:id="11493" w:name="_ETM_Q14_258950"/>
      <w:bookmarkEnd w:id="11493"/>
      <w:r>
        <w:rPr>
          <w:rFonts w:hint="cs"/>
          <w:rtl/>
        </w:rPr>
        <w:t xml:space="preserve">יש </w:t>
      </w:r>
      <w:bookmarkStart w:id="11494" w:name="_ETM_Q14_260100"/>
      <w:bookmarkEnd w:id="11494"/>
      <w:r>
        <w:rPr>
          <w:rFonts w:hint="cs"/>
          <w:rtl/>
        </w:rPr>
        <w:t xml:space="preserve">שני </w:t>
      </w:r>
      <w:bookmarkStart w:id="11495" w:name="_ETM_Q14_260459"/>
      <w:bookmarkEnd w:id="11495"/>
      <w:r>
        <w:rPr>
          <w:rFonts w:hint="cs"/>
          <w:rtl/>
        </w:rPr>
        <w:t xml:space="preserve">סוגי </w:t>
      </w:r>
      <w:bookmarkStart w:id="11496" w:name="_ETM_Q14_260939"/>
      <w:bookmarkEnd w:id="11496"/>
      <w:r>
        <w:rPr>
          <w:rFonts w:hint="cs"/>
          <w:rtl/>
        </w:rPr>
        <w:t xml:space="preserve">אלימות. </w:t>
      </w:r>
      <w:bookmarkStart w:id="11497" w:name="_ETM_Q14_262639"/>
      <w:bookmarkEnd w:id="11497"/>
      <w:r>
        <w:rPr>
          <w:rFonts w:hint="cs"/>
          <w:rtl/>
        </w:rPr>
        <w:t xml:space="preserve">יש </w:t>
      </w:r>
      <w:bookmarkStart w:id="11498" w:name="_ETM_Q14_262939"/>
      <w:bookmarkEnd w:id="11498"/>
      <w:r>
        <w:rPr>
          <w:rFonts w:hint="cs"/>
          <w:rtl/>
        </w:rPr>
        <w:t xml:space="preserve">אלימות </w:t>
      </w:r>
      <w:bookmarkStart w:id="11499" w:name="_ETM_Q14_263359"/>
      <w:bookmarkEnd w:id="11499"/>
      <w:r>
        <w:rPr>
          <w:rFonts w:hint="cs"/>
          <w:rtl/>
        </w:rPr>
        <w:t xml:space="preserve">שהיא </w:t>
      </w:r>
      <w:bookmarkStart w:id="11500" w:name="_ETM_Q14_263689"/>
      <w:bookmarkEnd w:id="11500"/>
      <w:r>
        <w:rPr>
          <w:rFonts w:hint="cs"/>
          <w:rtl/>
        </w:rPr>
        <w:t xml:space="preserve">ארגוני </w:t>
      </w:r>
      <w:bookmarkStart w:id="11501" w:name="_ETM_Q14_264289"/>
      <w:bookmarkEnd w:id="11501"/>
      <w:r>
        <w:rPr>
          <w:rFonts w:hint="cs"/>
          <w:rtl/>
        </w:rPr>
        <w:t>פשיעה</w:t>
      </w:r>
      <w:bookmarkStart w:id="11502" w:name="_ETM_Q14_264155"/>
      <w:bookmarkEnd w:id="11502"/>
      <w:r>
        <w:rPr>
          <w:rFonts w:hint="cs"/>
          <w:rtl/>
        </w:rPr>
        <w:t xml:space="preserve">, </w:t>
      </w:r>
      <w:bookmarkStart w:id="11503" w:name="_ETM_Q14_265310"/>
      <w:bookmarkEnd w:id="11503"/>
      <w:r>
        <w:rPr>
          <w:rFonts w:hint="cs"/>
          <w:rtl/>
        </w:rPr>
        <w:t xml:space="preserve">וזו </w:t>
      </w:r>
      <w:bookmarkStart w:id="11504" w:name="_ETM_Q14_265700"/>
      <w:bookmarkEnd w:id="11504"/>
      <w:r>
        <w:rPr>
          <w:rFonts w:hint="cs"/>
          <w:rtl/>
        </w:rPr>
        <w:t xml:space="preserve">אחריות </w:t>
      </w:r>
      <w:bookmarkStart w:id="11505" w:name="_ETM_Q14_266240"/>
      <w:bookmarkStart w:id="11506" w:name="_ETM_Q14_266899"/>
      <w:bookmarkEnd w:id="11505"/>
      <w:bookmarkEnd w:id="11506"/>
      <w:r>
        <w:rPr>
          <w:rFonts w:hint="cs"/>
          <w:rtl/>
        </w:rPr>
        <w:t xml:space="preserve">של </w:t>
      </w:r>
      <w:bookmarkStart w:id="11507" w:name="_ETM_Q14_267049"/>
      <w:bookmarkEnd w:id="11507"/>
      <w:r>
        <w:rPr>
          <w:rFonts w:hint="cs"/>
          <w:rtl/>
        </w:rPr>
        <w:t xml:space="preserve">המדינה </w:t>
      </w:r>
      <w:bookmarkStart w:id="11508" w:name="_ETM_Q14_268099"/>
      <w:bookmarkEnd w:id="11508"/>
      <w:r>
        <w:rPr>
          <w:rFonts w:hint="cs"/>
          <w:rtl/>
        </w:rPr>
        <w:t xml:space="preserve">לטפל </w:t>
      </w:r>
      <w:bookmarkStart w:id="11509" w:name="_ETM_Q14_268639"/>
      <w:bookmarkEnd w:id="11509"/>
      <w:r>
        <w:rPr>
          <w:rFonts w:hint="cs"/>
          <w:rtl/>
        </w:rPr>
        <w:t xml:space="preserve">בארגוני </w:t>
      </w:r>
      <w:bookmarkStart w:id="11510" w:name="_ETM_Q14_269119"/>
      <w:bookmarkEnd w:id="11510"/>
      <w:r>
        <w:rPr>
          <w:rFonts w:hint="cs"/>
          <w:rtl/>
        </w:rPr>
        <w:t xml:space="preserve">פשיעה, </w:t>
      </w:r>
      <w:bookmarkStart w:id="11511" w:name="_ETM_Q14_269770"/>
      <w:bookmarkEnd w:id="11511"/>
      <w:r>
        <w:rPr>
          <w:rFonts w:hint="cs"/>
          <w:rtl/>
        </w:rPr>
        <w:t xml:space="preserve">ויש </w:t>
      </w:r>
      <w:bookmarkStart w:id="11512" w:name="_ETM_Q14_270130"/>
      <w:bookmarkEnd w:id="11512"/>
      <w:r>
        <w:rPr>
          <w:rFonts w:hint="cs"/>
          <w:rtl/>
        </w:rPr>
        <w:t xml:space="preserve">אלימות </w:t>
      </w:r>
      <w:bookmarkStart w:id="11513" w:name="_ETM_Q14_270670"/>
      <w:bookmarkEnd w:id="11513"/>
      <w:r>
        <w:rPr>
          <w:rFonts w:hint="cs"/>
          <w:rtl/>
        </w:rPr>
        <w:t xml:space="preserve">חברתית, </w:t>
      </w:r>
      <w:bookmarkStart w:id="11514" w:name="_ETM_Q14_271750"/>
      <w:bookmarkEnd w:id="11514"/>
      <w:r>
        <w:rPr>
          <w:rFonts w:hint="cs"/>
          <w:rtl/>
        </w:rPr>
        <w:t>כלומר,</w:t>
      </w:r>
      <w:bookmarkStart w:id="11515" w:name="_ETM_Q14_269916"/>
      <w:bookmarkEnd w:id="11515"/>
      <w:r>
        <w:rPr>
          <w:rFonts w:hint="cs"/>
          <w:rtl/>
        </w:rPr>
        <w:t xml:space="preserve"> </w:t>
      </w:r>
      <w:bookmarkStart w:id="11516" w:name="_ETM_Q14_272200"/>
      <w:bookmarkEnd w:id="11516"/>
      <w:r>
        <w:rPr>
          <w:rFonts w:hint="cs"/>
          <w:rtl/>
        </w:rPr>
        <w:t xml:space="preserve">שני </w:t>
      </w:r>
      <w:bookmarkStart w:id="11517" w:name="_ETM_Q14_272500"/>
      <w:bookmarkEnd w:id="11517"/>
      <w:r>
        <w:rPr>
          <w:rFonts w:hint="cs"/>
          <w:rtl/>
        </w:rPr>
        <w:t xml:space="preserve">שכנים </w:t>
      </w:r>
      <w:bookmarkStart w:id="11518" w:name="_ETM_Q14_272979"/>
      <w:bookmarkEnd w:id="11518"/>
      <w:r>
        <w:rPr>
          <w:rFonts w:hint="cs"/>
          <w:rtl/>
        </w:rPr>
        <w:t xml:space="preserve">רבים </w:t>
      </w:r>
      <w:bookmarkStart w:id="11519" w:name="_ETM_Q14_273399"/>
      <w:bookmarkEnd w:id="11519"/>
      <w:r>
        <w:rPr>
          <w:rFonts w:hint="cs"/>
          <w:rtl/>
        </w:rPr>
        <w:t xml:space="preserve">על </w:t>
      </w:r>
      <w:bookmarkStart w:id="11520" w:name="_ETM_Q14_273549"/>
      <w:bookmarkEnd w:id="11520"/>
      <w:r>
        <w:rPr>
          <w:rFonts w:hint="cs"/>
          <w:rtl/>
        </w:rPr>
        <w:t xml:space="preserve">חלקת </w:t>
      </w:r>
      <w:bookmarkStart w:id="11521" w:name="_ETM_Q14_273969"/>
      <w:bookmarkEnd w:id="11521"/>
      <w:r>
        <w:rPr>
          <w:rFonts w:hint="cs"/>
          <w:rtl/>
        </w:rPr>
        <w:t xml:space="preserve">אדמה, </w:t>
      </w:r>
      <w:bookmarkStart w:id="11522" w:name="_ETM_Q14_275360"/>
      <w:bookmarkEnd w:id="11522"/>
      <w:r>
        <w:rPr>
          <w:rFonts w:hint="cs"/>
          <w:rtl/>
        </w:rPr>
        <w:t xml:space="preserve">יורים </w:t>
      </w:r>
      <w:bookmarkStart w:id="11523" w:name="_ETM_Q14_275720"/>
      <w:bookmarkEnd w:id="11523"/>
      <w:r>
        <w:rPr>
          <w:rFonts w:hint="cs"/>
          <w:rtl/>
        </w:rPr>
        <w:t xml:space="preserve">אחד </w:t>
      </w:r>
      <w:bookmarkStart w:id="11524" w:name="_ETM_Q14_276020"/>
      <w:bookmarkEnd w:id="11524"/>
      <w:r>
        <w:rPr>
          <w:rFonts w:hint="cs"/>
          <w:rtl/>
        </w:rPr>
        <w:t xml:space="preserve">בשני, </w:t>
      </w:r>
      <w:bookmarkStart w:id="11525" w:name="_ETM_Q14_277160"/>
      <w:bookmarkEnd w:id="11525"/>
      <w:r>
        <w:rPr>
          <w:rFonts w:hint="cs"/>
          <w:rtl/>
        </w:rPr>
        <w:t xml:space="preserve">או </w:t>
      </w:r>
      <w:bookmarkStart w:id="11526" w:name="_ETM_Q14_277580"/>
      <w:bookmarkEnd w:id="11526"/>
      <w:r>
        <w:rPr>
          <w:rFonts w:hint="cs"/>
          <w:rtl/>
        </w:rPr>
        <w:t xml:space="preserve">תלמיד </w:t>
      </w:r>
      <w:bookmarkStart w:id="11527" w:name="_ETM_Q14_278360"/>
      <w:bookmarkEnd w:id="11527"/>
      <w:r>
        <w:rPr>
          <w:rFonts w:hint="cs"/>
          <w:rtl/>
        </w:rPr>
        <w:t xml:space="preserve">שתוקף </w:t>
      </w:r>
      <w:bookmarkStart w:id="11528" w:name="_ETM_Q14_281524"/>
      <w:bookmarkEnd w:id="11528"/>
      <w:r>
        <w:rPr>
          <w:rFonts w:hint="cs"/>
          <w:rtl/>
        </w:rPr>
        <w:t xml:space="preserve">את </w:t>
      </w:r>
      <w:bookmarkStart w:id="11529" w:name="_ETM_Q14_280250"/>
      <w:bookmarkEnd w:id="11529"/>
      <w:r>
        <w:rPr>
          <w:rFonts w:hint="cs"/>
          <w:rtl/>
        </w:rPr>
        <w:t xml:space="preserve">המורה </w:t>
      </w:r>
      <w:bookmarkStart w:id="11530" w:name="_ETM_Q14_281060"/>
      <w:bookmarkEnd w:id="11530"/>
      <w:r>
        <w:rPr>
          <w:rFonts w:hint="cs"/>
          <w:rtl/>
        </w:rPr>
        <w:t>שלו</w:t>
      </w:r>
      <w:bookmarkStart w:id="11531" w:name="_ETM_Q14_280207"/>
      <w:bookmarkEnd w:id="11531"/>
      <w:r>
        <w:rPr>
          <w:rFonts w:hint="cs"/>
          <w:rtl/>
        </w:rPr>
        <w:t xml:space="preserve">. </w:t>
      </w:r>
      <w:bookmarkStart w:id="11532" w:name="_ETM_Q14_281930"/>
      <w:bookmarkEnd w:id="11532"/>
      <w:r>
        <w:rPr>
          <w:rFonts w:hint="cs"/>
          <w:rtl/>
        </w:rPr>
        <w:t xml:space="preserve">זאת </w:t>
      </w:r>
      <w:bookmarkStart w:id="11533" w:name="_ETM_Q14_282390"/>
      <w:bookmarkEnd w:id="11533"/>
      <w:r>
        <w:rPr>
          <w:rFonts w:hint="cs"/>
          <w:rtl/>
        </w:rPr>
        <w:t xml:space="preserve">אלימות </w:t>
      </w:r>
      <w:bookmarkStart w:id="11534" w:name="_ETM_Q14_282780"/>
      <w:bookmarkEnd w:id="11534"/>
      <w:r>
        <w:rPr>
          <w:rFonts w:hint="cs"/>
          <w:rtl/>
        </w:rPr>
        <w:t xml:space="preserve">חברתית. </w:t>
      </w:r>
      <w:bookmarkStart w:id="11535" w:name="_ETM_Q14_283830"/>
      <w:bookmarkEnd w:id="11535"/>
      <w:r>
        <w:rPr>
          <w:rFonts w:hint="cs"/>
          <w:rtl/>
        </w:rPr>
        <w:t xml:space="preserve">או </w:t>
      </w:r>
      <w:bookmarkStart w:id="11536" w:name="_ETM_Q14_283979"/>
      <w:bookmarkEnd w:id="11536"/>
      <w:r>
        <w:rPr>
          <w:rFonts w:hint="cs"/>
          <w:rtl/>
        </w:rPr>
        <w:t xml:space="preserve">רצח </w:t>
      </w:r>
      <w:bookmarkStart w:id="11537" w:name="_ETM_Q14_284340"/>
      <w:bookmarkEnd w:id="11537"/>
      <w:r>
        <w:rPr>
          <w:rFonts w:hint="cs"/>
          <w:rtl/>
        </w:rPr>
        <w:t>נשים</w:t>
      </w:r>
      <w:bookmarkStart w:id="11538" w:name="_ETM_Q14_282357"/>
      <w:bookmarkEnd w:id="11538"/>
      <w:r>
        <w:rPr>
          <w:rFonts w:hint="cs"/>
          <w:rtl/>
        </w:rPr>
        <w:t xml:space="preserve">, </w:t>
      </w:r>
      <w:bookmarkStart w:id="11539" w:name="_ETM_Q14_284790"/>
      <w:bookmarkEnd w:id="11539"/>
      <w:r>
        <w:rPr>
          <w:rFonts w:hint="cs"/>
          <w:rtl/>
        </w:rPr>
        <w:t xml:space="preserve">שאנחנו </w:t>
      </w:r>
      <w:bookmarkStart w:id="11540" w:name="_ETM_Q14_285450"/>
      <w:bookmarkEnd w:id="11540"/>
      <w:r>
        <w:rPr>
          <w:rFonts w:hint="cs"/>
          <w:rtl/>
        </w:rPr>
        <w:t xml:space="preserve">אחראים </w:t>
      </w:r>
      <w:bookmarkStart w:id="11541" w:name="_ETM_Q14_285900"/>
      <w:bookmarkEnd w:id="11541"/>
      <w:r>
        <w:rPr>
          <w:rFonts w:hint="cs"/>
          <w:rtl/>
        </w:rPr>
        <w:t xml:space="preserve">עליו </w:t>
      </w:r>
      <w:bookmarkStart w:id="11542" w:name="_ETM_Q14_288650"/>
      <w:bookmarkEnd w:id="11542"/>
      <w:r>
        <w:rPr>
          <w:rFonts w:hint="cs"/>
          <w:rtl/>
        </w:rPr>
        <w:t>כ</w:t>
      </w:r>
      <w:bookmarkStart w:id="11543" w:name="_ETM_Q14_289710"/>
      <w:bookmarkStart w:id="11544" w:name="_ETM_Q14_287559"/>
      <w:bookmarkEnd w:id="11543"/>
      <w:bookmarkEnd w:id="11544"/>
      <w:r>
        <w:rPr>
          <w:rFonts w:hint="cs"/>
          <w:rtl/>
        </w:rPr>
        <w:t xml:space="preserve">הנהגת </w:t>
      </w:r>
      <w:bookmarkStart w:id="11545" w:name="_ETM_Q14_290189"/>
      <w:bookmarkEnd w:id="11545"/>
      <w:r>
        <w:rPr>
          <w:rFonts w:hint="cs"/>
          <w:rtl/>
        </w:rPr>
        <w:t xml:space="preserve">ציבור, </w:t>
      </w:r>
      <w:bookmarkStart w:id="11546" w:name="_ETM_Q14_291490"/>
      <w:bookmarkEnd w:id="11546"/>
      <w:r>
        <w:rPr>
          <w:rFonts w:hint="cs"/>
          <w:rtl/>
        </w:rPr>
        <w:t xml:space="preserve">גם </w:t>
      </w:r>
      <w:bookmarkStart w:id="11547" w:name="_ETM_Q14_291759"/>
      <w:bookmarkEnd w:id="11547"/>
      <w:r>
        <w:rPr>
          <w:rFonts w:hint="cs"/>
          <w:rtl/>
        </w:rPr>
        <w:t xml:space="preserve">חברי </w:t>
      </w:r>
      <w:bookmarkStart w:id="11548" w:name="_ETM_Q14_292060"/>
      <w:bookmarkEnd w:id="11548"/>
      <w:r>
        <w:rPr>
          <w:rFonts w:hint="cs"/>
          <w:rtl/>
        </w:rPr>
        <w:t>כנסת,</w:t>
      </w:r>
      <w:bookmarkStart w:id="11549" w:name="_ETM_Q14_289428"/>
      <w:bookmarkEnd w:id="11549"/>
      <w:r>
        <w:rPr>
          <w:rFonts w:hint="cs"/>
          <w:rtl/>
        </w:rPr>
        <w:t xml:space="preserve"> </w:t>
      </w:r>
      <w:bookmarkStart w:id="11550" w:name="_ETM_Q14_292539"/>
      <w:bookmarkEnd w:id="11550"/>
      <w:r>
        <w:rPr>
          <w:rFonts w:hint="cs"/>
          <w:rtl/>
        </w:rPr>
        <w:t xml:space="preserve">ראשי </w:t>
      </w:r>
      <w:bookmarkStart w:id="11551" w:name="_ETM_Q14_292840"/>
      <w:bookmarkEnd w:id="11551"/>
      <w:r>
        <w:rPr>
          <w:rFonts w:hint="cs"/>
          <w:rtl/>
        </w:rPr>
        <w:t xml:space="preserve">רשויות, </w:t>
      </w:r>
      <w:bookmarkStart w:id="11552" w:name="_ETM_Q14_293409"/>
      <w:bookmarkEnd w:id="11552"/>
      <w:r>
        <w:rPr>
          <w:rFonts w:hint="cs"/>
          <w:rtl/>
        </w:rPr>
        <w:t xml:space="preserve">אנשי </w:t>
      </w:r>
      <w:bookmarkStart w:id="11553" w:name="_ETM_Q14_293829"/>
      <w:bookmarkEnd w:id="11553"/>
      <w:r>
        <w:rPr>
          <w:rFonts w:hint="cs"/>
          <w:rtl/>
        </w:rPr>
        <w:t xml:space="preserve">דת, </w:t>
      </w:r>
      <w:bookmarkStart w:id="11554" w:name="_ETM_Q14_294340"/>
      <w:bookmarkEnd w:id="11554"/>
      <w:r>
        <w:rPr>
          <w:rFonts w:hint="cs"/>
          <w:rtl/>
        </w:rPr>
        <w:t>מורים</w:t>
      </w:r>
      <w:bookmarkStart w:id="11555" w:name="_ETM_Q14_294819"/>
      <w:bookmarkEnd w:id="11555"/>
      <w:r>
        <w:rPr>
          <w:rFonts w:hint="cs"/>
          <w:rtl/>
        </w:rPr>
        <w:t xml:space="preserve">, מחנכים, </w:t>
      </w:r>
      <w:bookmarkStart w:id="11556" w:name="_ETM_Q14_295689"/>
      <w:bookmarkEnd w:id="11556"/>
      <w:r>
        <w:rPr>
          <w:rFonts w:hint="cs"/>
          <w:rtl/>
        </w:rPr>
        <w:t xml:space="preserve">והבית </w:t>
      </w:r>
      <w:bookmarkStart w:id="11557" w:name="_ETM_Q14_298210"/>
      <w:bookmarkStart w:id="11558" w:name="_ETM_Q14_298450"/>
      <w:bookmarkStart w:id="11559" w:name="_ETM_Q14_296628"/>
      <w:bookmarkEnd w:id="11557"/>
      <w:bookmarkEnd w:id="11558"/>
      <w:bookmarkEnd w:id="11559"/>
      <w:r>
        <w:rPr>
          <w:rFonts w:hint="cs"/>
          <w:rtl/>
        </w:rPr>
        <w:t xml:space="preserve">והמשפחה; </w:t>
      </w:r>
      <w:bookmarkStart w:id="11560" w:name="_ETM_Q14_300500"/>
      <w:bookmarkEnd w:id="11560"/>
      <w:r>
        <w:rPr>
          <w:rFonts w:hint="cs"/>
          <w:rtl/>
        </w:rPr>
        <w:t xml:space="preserve">כן, </w:t>
      </w:r>
      <w:bookmarkStart w:id="11561" w:name="_ETM_Q14_300920"/>
      <w:bookmarkEnd w:id="11561"/>
      <w:r>
        <w:rPr>
          <w:rFonts w:hint="cs"/>
          <w:rtl/>
        </w:rPr>
        <w:t xml:space="preserve">בזה </w:t>
      </w:r>
      <w:bookmarkStart w:id="11562" w:name="_ETM_Q14_301310"/>
      <w:bookmarkEnd w:id="11562"/>
      <w:r>
        <w:rPr>
          <w:rFonts w:hint="cs"/>
          <w:rtl/>
        </w:rPr>
        <w:t xml:space="preserve">אנחנו </w:t>
      </w:r>
      <w:bookmarkStart w:id="11563" w:name="_ETM_Q14_303539"/>
      <w:bookmarkEnd w:id="11563"/>
      <w:r>
        <w:rPr>
          <w:rFonts w:hint="cs"/>
          <w:rtl/>
        </w:rPr>
        <w:t xml:space="preserve">אחראים. </w:t>
      </w:r>
      <w:bookmarkStart w:id="11564" w:name="_ETM_Q14_304079"/>
      <w:bookmarkEnd w:id="11564"/>
      <w:r>
        <w:rPr>
          <w:rFonts w:hint="cs"/>
          <w:rtl/>
        </w:rPr>
        <w:t xml:space="preserve">וככל </w:t>
      </w:r>
      <w:bookmarkStart w:id="11565" w:name="_ETM_Q14_304560"/>
      <w:bookmarkEnd w:id="11565"/>
      <w:r>
        <w:rPr>
          <w:rFonts w:hint="cs"/>
          <w:rtl/>
        </w:rPr>
        <w:t xml:space="preserve">שזה </w:t>
      </w:r>
      <w:bookmarkStart w:id="11566" w:name="_ETM_Q14_304859"/>
      <w:bookmarkEnd w:id="11566"/>
      <w:r>
        <w:rPr>
          <w:rFonts w:hint="cs"/>
          <w:rtl/>
        </w:rPr>
        <w:t>מתרבה,</w:t>
      </w:r>
      <w:bookmarkStart w:id="11567" w:name="_ETM_Q14_304349"/>
      <w:bookmarkEnd w:id="11567"/>
      <w:r>
        <w:rPr>
          <w:rFonts w:hint="cs"/>
          <w:rtl/>
        </w:rPr>
        <w:t xml:space="preserve"> </w:t>
      </w:r>
      <w:bookmarkStart w:id="11568" w:name="_ETM_Q14_306810"/>
      <w:bookmarkEnd w:id="11568"/>
      <w:r>
        <w:rPr>
          <w:rFonts w:hint="cs"/>
          <w:rtl/>
        </w:rPr>
        <w:t xml:space="preserve">זה כישלון </w:t>
      </w:r>
      <w:bookmarkStart w:id="11569" w:name="_ETM_Q14_308080"/>
      <w:bookmarkEnd w:id="11569"/>
      <w:r>
        <w:rPr>
          <w:rFonts w:hint="cs"/>
          <w:rtl/>
        </w:rPr>
        <w:t xml:space="preserve">של </w:t>
      </w:r>
      <w:bookmarkStart w:id="11570" w:name="_ETM_Q14_308290"/>
      <w:bookmarkEnd w:id="11570"/>
      <w:r>
        <w:rPr>
          <w:rFonts w:hint="cs"/>
          <w:rtl/>
        </w:rPr>
        <w:t xml:space="preserve">כולנו, </w:t>
      </w:r>
      <w:bookmarkStart w:id="11571" w:name="_ETM_Q14_309790"/>
      <w:bookmarkEnd w:id="11571"/>
      <w:r>
        <w:rPr>
          <w:rFonts w:hint="cs"/>
          <w:rtl/>
        </w:rPr>
        <w:t xml:space="preserve">האלימות </w:t>
      </w:r>
      <w:bookmarkStart w:id="11572" w:name="_ETM_Q14_310269"/>
      <w:bookmarkEnd w:id="11572"/>
      <w:r>
        <w:rPr>
          <w:rFonts w:hint="cs"/>
          <w:rtl/>
        </w:rPr>
        <w:t>החברתית.</w:t>
      </w:r>
      <w:bookmarkStart w:id="11573" w:name="_ETM_Q14_314409"/>
      <w:bookmarkEnd w:id="11573"/>
      <w:r>
        <w:rPr>
          <w:rFonts w:hint="cs"/>
          <w:rtl/>
        </w:rPr>
        <w:t xml:space="preserve"> </w:t>
      </w:r>
      <w:bookmarkStart w:id="11574" w:name="_ETM_Q14_314900"/>
      <w:bookmarkStart w:id="11575" w:name="_ETM_Q14_315015"/>
      <w:bookmarkStart w:id="11576" w:name="_ETM_Q14_315075"/>
      <w:bookmarkStart w:id="11577" w:name="_ETM_Q14_315131"/>
      <w:bookmarkStart w:id="11578" w:name="_ETM_Q14_310248"/>
      <w:bookmarkStart w:id="11579" w:name="_ETM_Q14_329608"/>
      <w:bookmarkEnd w:id="11574"/>
      <w:bookmarkEnd w:id="11575"/>
      <w:bookmarkEnd w:id="11576"/>
      <w:bookmarkEnd w:id="11577"/>
      <w:bookmarkEnd w:id="11578"/>
      <w:bookmarkEnd w:id="11579"/>
      <w:r>
        <w:rPr>
          <w:rFonts w:hint="cs"/>
          <w:rtl/>
        </w:rPr>
        <w:t xml:space="preserve">האם </w:t>
      </w:r>
      <w:bookmarkStart w:id="11580" w:name="_ETM_Q14_315040"/>
      <w:bookmarkEnd w:id="11580"/>
      <w:r>
        <w:rPr>
          <w:rFonts w:hint="cs"/>
          <w:rtl/>
        </w:rPr>
        <w:t xml:space="preserve">אפשר? </w:t>
      </w:r>
      <w:bookmarkStart w:id="11581" w:name="_ETM_Q14_315970"/>
      <w:bookmarkStart w:id="11582" w:name="_ETM_Q14_316450"/>
      <w:bookmarkStart w:id="11583" w:name="_ETM_Q14_313868"/>
      <w:bookmarkEnd w:id="11581"/>
      <w:bookmarkEnd w:id="11582"/>
      <w:bookmarkEnd w:id="11583"/>
      <w:r>
        <w:rPr>
          <w:rFonts w:hint="cs"/>
          <w:rtl/>
        </w:rPr>
        <w:t xml:space="preserve">אפשר לטפל. </w:t>
      </w:r>
      <w:bookmarkStart w:id="11584" w:name="_ETM_Q14_317260"/>
      <w:bookmarkEnd w:id="11584"/>
      <w:r>
        <w:rPr>
          <w:rFonts w:hint="cs"/>
          <w:rtl/>
        </w:rPr>
        <w:t xml:space="preserve">האם </w:t>
      </w:r>
      <w:bookmarkStart w:id="11585" w:name="_ETM_Q14_317500"/>
      <w:bookmarkEnd w:id="11585"/>
      <w:r>
        <w:rPr>
          <w:rFonts w:hint="cs"/>
          <w:rtl/>
        </w:rPr>
        <w:t xml:space="preserve">אפשר </w:t>
      </w:r>
      <w:bookmarkStart w:id="11586" w:name="_ETM_Q14_317829"/>
      <w:bookmarkEnd w:id="11586"/>
      <w:r>
        <w:rPr>
          <w:rFonts w:hint="cs"/>
          <w:rtl/>
        </w:rPr>
        <w:t xml:space="preserve">להפסיק? </w:t>
      </w:r>
      <w:bookmarkStart w:id="11587" w:name="_ETM_Q14_318519"/>
      <w:bookmarkEnd w:id="11587"/>
      <w:r>
        <w:rPr>
          <w:rFonts w:hint="cs"/>
          <w:rtl/>
        </w:rPr>
        <w:t>אפשר,</w:t>
      </w:r>
      <w:bookmarkStart w:id="11588" w:name="_ETM_Q14_319038"/>
      <w:bookmarkEnd w:id="11588"/>
      <w:r>
        <w:rPr>
          <w:rFonts w:hint="cs"/>
          <w:rtl/>
        </w:rPr>
        <w:t xml:space="preserve"> </w:t>
      </w:r>
      <w:bookmarkStart w:id="11589" w:name="_ETM_Q14_319520"/>
      <w:bookmarkEnd w:id="11589"/>
      <w:r>
        <w:rPr>
          <w:rFonts w:hint="cs"/>
          <w:rtl/>
        </w:rPr>
        <w:t xml:space="preserve">גם </w:t>
      </w:r>
      <w:bookmarkStart w:id="11590" w:name="_ETM_Q14_319970"/>
      <w:bookmarkEnd w:id="11590"/>
      <w:r>
        <w:rPr>
          <w:rFonts w:hint="cs"/>
          <w:rtl/>
        </w:rPr>
        <w:t xml:space="preserve">את </w:t>
      </w:r>
      <w:bookmarkStart w:id="11591" w:name="_ETM_Q14_320849"/>
      <w:bookmarkEnd w:id="11591"/>
      <w:r>
        <w:rPr>
          <w:rFonts w:hint="cs"/>
          <w:rtl/>
        </w:rPr>
        <w:t xml:space="preserve">הרציחות </w:t>
      </w:r>
      <w:bookmarkStart w:id="11592" w:name="_ETM_Q14_321629"/>
      <w:bookmarkEnd w:id="11592"/>
      <w:r>
        <w:rPr>
          <w:rFonts w:hint="cs"/>
          <w:rtl/>
        </w:rPr>
        <w:t xml:space="preserve">על רקע </w:t>
      </w:r>
      <w:bookmarkStart w:id="11593" w:name="_ETM_Q14_322110"/>
      <w:bookmarkEnd w:id="11593"/>
      <w:r>
        <w:rPr>
          <w:rFonts w:hint="cs"/>
          <w:rtl/>
        </w:rPr>
        <w:t xml:space="preserve">ארגוני </w:t>
      </w:r>
      <w:bookmarkStart w:id="11594" w:name="_ETM_Q14_322500"/>
      <w:bookmarkEnd w:id="11594"/>
      <w:r>
        <w:rPr>
          <w:rFonts w:hint="cs"/>
          <w:rtl/>
        </w:rPr>
        <w:t>פשיעה.</w:t>
      </w:r>
      <w:bookmarkStart w:id="11595" w:name="_ETM_Q14_326090"/>
      <w:bookmarkStart w:id="11596" w:name="_ETM_Q14_333114"/>
      <w:bookmarkEnd w:id="11595"/>
      <w:bookmarkEnd w:id="11596"/>
    </w:p>
    <w:p w:rsidR="000C5C1F" w:rsidRDefault="000C5C1F" w:rsidP="000C5C1F">
      <w:pPr>
        <w:rPr>
          <w:rtl/>
        </w:rPr>
      </w:pPr>
      <w:bookmarkStart w:id="11597" w:name="_ETM_Q14_330415"/>
      <w:bookmarkStart w:id="11598" w:name="_ETM_Q14_330506"/>
      <w:bookmarkEnd w:id="11597"/>
      <w:bookmarkEnd w:id="11598"/>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lang w:eastAsia="he-IL"/>
        </w:rPr>
      </w:pPr>
    </w:p>
    <w:p w:rsidR="000C5C1F" w:rsidRDefault="000C5C1F" w:rsidP="000C5C1F">
      <w:pPr>
        <w:rPr>
          <w:rtl/>
        </w:rPr>
      </w:pPr>
      <w:bookmarkStart w:id="11599" w:name="_ETM_Q14_331311"/>
      <w:bookmarkEnd w:id="11599"/>
      <w:r>
        <w:rPr>
          <w:rFonts w:hint="cs"/>
          <w:rtl/>
          <w:lang w:eastAsia="he-IL"/>
        </w:rPr>
        <w:t xml:space="preserve">זה </w:t>
      </w:r>
      <w:bookmarkStart w:id="11600" w:name="_ETM_Q14_333228"/>
      <w:bookmarkStart w:id="11601" w:name="_ETM_Q14_333274"/>
      <w:bookmarkStart w:id="11602" w:name="_ETM_Q14_333324"/>
      <w:bookmarkStart w:id="11603" w:name="_ETM_Q14_331440"/>
      <w:bookmarkStart w:id="11604" w:name="_ETM_Q14_331650"/>
      <w:bookmarkEnd w:id="11600"/>
      <w:bookmarkEnd w:id="11601"/>
      <w:bookmarkEnd w:id="11602"/>
      <w:bookmarkEnd w:id="11603"/>
      <w:bookmarkEnd w:id="11604"/>
      <w:r>
        <w:rPr>
          <w:rFonts w:hint="cs"/>
          <w:rtl/>
        </w:rPr>
        <w:t xml:space="preserve">מים </w:t>
      </w:r>
      <w:bookmarkStart w:id="11605" w:name="_ETM_Q14_331889"/>
      <w:bookmarkEnd w:id="11605"/>
      <w:r>
        <w:rPr>
          <w:rFonts w:hint="cs"/>
          <w:rtl/>
        </w:rPr>
        <w:t xml:space="preserve">של </w:t>
      </w:r>
      <w:bookmarkStart w:id="11606" w:name="_ETM_Q14_332010"/>
      <w:bookmarkEnd w:id="11606"/>
      <w:r>
        <w:rPr>
          <w:rFonts w:hint="cs"/>
          <w:rtl/>
        </w:rPr>
        <w:t>התנחלות.</w:t>
      </w:r>
      <w:bookmarkStart w:id="11607" w:name="_ETM_Q14_333549"/>
      <w:bookmarkEnd w:id="11607"/>
    </w:p>
    <w:p w:rsidR="000C5C1F" w:rsidRDefault="000C5C1F" w:rsidP="000C5C1F">
      <w:pPr>
        <w:rPr>
          <w:rtl/>
        </w:rPr>
      </w:pPr>
    </w:p>
    <w:p w:rsidR="000C5C1F" w:rsidRDefault="000C5C1F" w:rsidP="000C5C1F">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0C5C1F" w:rsidRDefault="000C5C1F" w:rsidP="00337201">
      <w:pPr>
        <w:rPr>
          <w:rtl/>
          <w:lang w:eastAsia="he-IL"/>
        </w:rPr>
      </w:pPr>
    </w:p>
    <w:p w:rsidR="000C5C1F" w:rsidRDefault="000C5C1F" w:rsidP="000C5C1F">
      <w:pPr>
        <w:rPr>
          <w:rtl/>
          <w:lang w:eastAsia="he-IL"/>
        </w:rPr>
      </w:pPr>
      <w:bookmarkStart w:id="11608" w:name="_ETM_Q14_331687"/>
      <w:bookmarkEnd w:id="11608"/>
      <w:r>
        <w:rPr>
          <w:rFonts w:hint="cs"/>
          <w:rtl/>
          <w:lang w:eastAsia="he-IL"/>
        </w:rPr>
        <w:t xml:space="preserve">אלה לא. אלה </w:t>
      </w:r>
      <w:bookmarkStart w:id="11609" w:name="_ETM_Q14_336399"/>
      <w:bookmarkEnd w:id="11609"/>
      <w:r>
        <w:rPr>
          <w:rFonts w:hint="cs"/>
          <w:rtl/>
          <w:lang w:eastAsia="he-IL"/>
        </w:rPr>
        <w:t>הביאו לי במיוחד</w:t>
      </w:r>
      <w:bookmarkStart w:id="11610" w:name="_ETM_Q14_332517"/>
      <w:bookmarkEnd w:id="11610"/>
      <w:r>
        <w:rPr>
          <w:rFonts w:hint="cs"/>
          <w:rtl/>
          <w:lang w:eastAsia="he-IL"/>
        </w:rPr>
        <w:t>.</w:t>
      </w:r>
    </w:p>
    <w:p w:rsidR="000C5C1F" w:rsidRDefault="000C5C1F" w:rsidP="000C5C1F">
      <w:pPr>
        <w:rPr>
          <w:rtl/>
          <w:lang w:eastAsia="he-IL"/>
        </w:rPr>
      </w:pPr>
      <w:bookmarkStart w:id="11611" w:name="_ETM_Q14_333054"/>
      <w:bookmarkStart w:id="11612" w:name="_ETM_Q14_333134"/>
      <w:bookmarkEnd w:id="11611"/>
      <w:bookmarkEnd w:id="11612"/>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lang w:eastAsia="he-IL"/>
        </w:rPr>
      </w:pPr>
    </w:p>
    <w:p w:rsidR="000C5C1F" w:rsidRDefault="000C5C1F" w:rsidP="000C5C1F">
      <w:pPr>
        <w:rPr>
          <w:rtl/>
          <w:lang w:eastAsia="he-IL"/>
        </w:rPr>
      </w:pPr>
      <w:bookmarkStart w:id="11613" w:name="_ETM_Q14_334453"/>
      <w:bookmarkEnd w:id="11613"/>
      <w:r>
        <w:rPr>
          <w:rFonts w:hint="cs"/>
          <w:rtl/>
        </w:rPr>
        <w:t xml:space="preserve">הבאת מהבית, מטייבה? </w:t>
      </w:r>
      <w:bookmarkStart w:id="11614" w:name="_ETM_Q14_336414"/>
      <w:bookmarkEnd w:id="11614"/>
      <w:r>
        <w:rPr>
          <w:rFonts w:hint="cs"/>
          <w:rtl/>
          <w:lang w:eastAsia="he-IL"/>
        </w:rPr>
        <w:t>סלמתכ.</w:t>
      </w:r>
      <w:bookmarkStart w:id="11615" w:name="_ETM_Q14_330527"/>
      <w:bookmarkEnd w:id="11615"/>
    </w:p>
    <w:p w:rsidR="000C5C1F" w:rsidRDefault="000C5C1F" w:rsidP="000C5C1F">
      <w:pPr>
        <w:rPr>
          <w:rtl/>
          <w:lang w:eastAsia="he-IL"/>
        </w:rPr>
      </w:pPr>
      <w:bookmarkStart w:id="11616" w:name="_ETM_Q14_330679"/>
      <w:bookmarkStart w:id="11617" w:name="_ETM_Q14_330795"/>
      <w:bookmarkEnd w:id="11616"/>
      <w:bookmarkEnd w:id="11617"/>
    </w:p>
    <w:p w:rsidR="000C5C1F" w:rsidRDefault="000C5C1F" w:rsidP="000C5C1F">
      <w:pPr>
        <w:pStyle w:val="-"/>
        <w:keepNext/>
        <w:rPr>
          <w:rtl/>
        </w:rPr>
      </w:pPr>
      <w:bookmarkStart w:id="11618" w:name="ET_speakercontinue_5264_8"/>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618"/>
    </w:p>
    <w:p w:rsidR="000C5C1F" w:rsidRDefault="000C5C1F" w:rsidP="00337201">
      <w:pPr>
        <w:rPr>
          <w:rtl/>
          <w:lang w:eastAsia="he-IL"/>
        </w:rPr>
      </w:pPr>
    </w:p>
    <w:p w:rsidR="000C5C1F" w:rsidRDefault="000C5C1F" w:rsidP="000C5C1F">
      <w:pPr>
        <w:rPr>
          <w:rtl/>
          <w:lang w:eastAsia="he-IL"/>
        </w:rPr>
      </w:pPr>
      <w:bookmarkStart w:id="11619" w:name="_ETM_Q14_341872"/>
      <w:bookmarkEnd w:id="11619"/>
      <w:r>
        <w:rPr>
          <w:rFonts w:hint="cs"/>
          <w:rtl/>
          <w:lang w:eastAsia="he-IL"/>
        </w:rPr>
        <w:t>לא נפתחו.</w:t>
      </w:r>
      <w:bookmarkStart w:id="11620" w:name="_ETM_Q14_341157"/>
      <w:bookmarkEnd w:id="11620"/>
    </w:p>
    <w:p w:rsidR="000C5C1F" w:rsidRDefault="000C5C1F" w:rsidP="000C5C1F">
      <w:pPr>
        <w:rPr>
          <w:rtl/>
          <w:lang w:eastAsia="he-IL"/>
        </w:rPr>
      </w:pPr>
      <w:bookmarkStart w:id="11621" w:name="_ETM_Q14_340163"/>
      <w:bookmarkStart w:id="11622" w:name="_ETM_Q14_340265"/>
      <w:bookmarkStart w:id="11623" w:name="_ETM_Q14_336186"/>
      <w:bookmarkStart w:id="11624" w:name="_ETM_Q14_331626"/>
      <w:bookmarkEnd w:id="11621"/>
      <w:bookmarkEnd w:id="11622"/>
      <w:bookmarkEnd w:id="11623"/>
      <w:bookmarkEnd w:id="11624"/>
    </w:p>
    <w:p w:rsidR="000C5C1F" w:rsidRDefault="000C5C1F" w:rsidP="000C5C1F">
      <w:pPr>
        <w:rPr>
          <w:rtl/>
        </w:rPr>
      </w:pPr>
      <w:bookmarkStart w:id="11625" w:name="_ETM_Q14_333849"/>
      <w:bookmarkStart w:id="11626" w:name="_ETM_Q14_334209"/>
      <w:bookmarkStart w:id="11627" w:name="_ETM_Q14_335280"/>
      <w:bookmarkStart w:id="11628" w:name="_ETM_Q14_335579"/>
      <w:bookmarkStart w:id="11629" w:name="_ETM_Q14_335939"/>
      <w:bookmarkStart w:id="11630" w:name="_ETM_Q14_336419"/>
      <w:bookmarkStart w:id="11631" w:name="_ETM_Q14_337889"/>
      <w:bookmarkStart w:id="11632" w:name="_ETM_Q14_339720"/>
      <w:bookmarkStart w:id="11633" w:name="_ETM_Q14_341980"/>
      <w:bookmarkStart w:id="11634" w:name="_ETM_Q14_343779"/>
      <w:bookmarkEnd w:id="11625"/>
      <w:bookmarkEnd w:id="11626"/>
      <w:bookmarkEnd w:id="11627"/>
      <w:bookmarkEnd w:id="11628"/>
      <w:bookmarkEnd w:id="11629"/>
      <w:bookmarkEnd w:id="11630"/>
      <w:bookmarkEnd w:id="11631"/>
      <w:bookmarkEnd w:id="11632"/>
      <w:bookmarkEnd w:id="11633"/>
      <w:bookmarkEnd w:id="11634"/>
      <w:r>
        <w:rPr>
          <w:rFonts w:hint="cs"/>
          <w:rtl/>
        </w:rPr>
        <w:t xml:space="preserve">כבוד </w:t>
      </w:r>
      <w:bookmarkStart w:id="11635" w:name="_ETM_Q14_344049"/>
      <w:bookmarkEnd w:id="11635"/>
      <w:r>
        <w:rPr>
          <w:rFonts w:hint="cs"/>
          <w:rtl/>
        </w:rPr>
        <w:t xml:space="preserve">היושב-ראש, </w:t>
      </w:r>
      <w:bookmarkStart w:id="11636" w:name="_ETM_Q14_344650"/>
      <w:bookmarkEnd w:id="11636"/>
      <w:r>
        <w:rPr>
          <w:rFonts w:hint="cs"/>
          <w:rtl/>
        </w:rPr>
        <w:t xml:space="preserve">רבותיי </w:t>
      </w:r>
      <w:bookmarkStart w:id="11637" w:name="_ETM_Q14_344980"/>
      <w:bookmarkEnd w:id="11637"/>
      <w:r>
        <w:rPr>
          <w:rFonts w:hint="cs"/>
          <w:rtl/>
        </w:rPr>
        <w:t xml:space="preserve">חברי </w:t>
      </w:r>
      <w:bookmarkStart w:id="11638" w:name="_ETM_Q14_345279"/>
      <w:bookmarkEnd w:id="11638"/>
      <w:r>
        <w:rPr>
          <w:rFonts w:hint="cs"/>
          <w:rtl/>
        </w:rPr>
        <w:t>הכנסת,</w:t>
      </w:r>
      <w:bookmarkStart w:id="11639" w:name="_ETM_Q14_346895"/>
      <w:bookmarkEnd w:id="11639"/>
      <w:r>
        <w:rPr>
          <w:rFonts w:hint="cs"/>
          <w:rtl/>
        </w:rPr>
        <w:t xml:space="preserve"> </w:t>
      </w:r>
      <w:bookmarkStart w:id="11640" w:name="_ETM_Q14_347740"/>
      <w:bookmarkEnd w:id="11640"/>
      <w:r>
        <w:rPr>
          <w:rFonts w:hint="cs"/>
          <w:rtl/>
        </w:rPr>
        <w:t xml:space="preserve">לא </w:t>
      </w:r>
      <w:bookmarkStart w:id="11641" w:name="_ETM_Q14_348040"/>
      <w:bookmarkEnd w:id="11641"/>
      <w:r>
        <w:rPr>
          <w:rFonts w:hint="cs"/>
          <w:rtl/>
        </w:rPr>
        <w:t xml:space="preserve">פלא </w:t>
      </w:r>
      <w:bookmarkStart w:id="11642" w:name="_ETM_Q14_350260"/>
      <w:bookmarkEnd w:id="11642"/>
      <w:r>
        <w:rPr>
          <w:rFonts w:hint="cs"/>
          <w:rtl/>
        </w:rPr>
        <w:t xml:space="preserve">שמערכת </w:t>
      </w:r>
      <w:bookmarkStart w:id="11643" w:name="_ETM_Q14_350950"/>
      <w:bookmarkEnd w:id="11643"/>
      <w:r>
        <w:rPr>
          <w:rFonts w:hint="cs"/>
          <w:rtl/>
        </w:rPr>
        <w:t>המשפט</w:t>
      </w:r>
      <w:bookmarkStart w:id="11644" w:name="_ETM_Q14_351400"/>
      <w:bookmarkStart w:id="11645" w:name="_ETM_Q14_351760"/>
      <w:bookmarkEnd w:id="11644"/>
      <w:bookmarkEnd w:id="11645"/>
      <w:r>
        <w:rPr>
          <w:rFonts w:hint="cs"/>
          <w:rtl/>
        </w:rPr>
        <w:t xml:space="preserve">, </w:t>
      </w:r>
      <w:bookmarkStart w:id="11646" w:name="_ETM_Q14_352060"/>
      <w:bookmarkEnd w:id="11646"/>
      <w:r>
        <w:rPr>
          <w:rFonts w:hint="cs"/>
          <w:rtl/>
        </w:rPr>
        <w:t xml:space="preserve">לרבות </w:t>
      </w:r>
      <w:bookmarkStart w:id="11647" w:name="_ETM_Q14_352480"/>
      <w:bookmarkEnd w:id="11647"/>
      <w:r>
        <w:rPr>
          <w:rFonts w:hint="cs"/>
          <w:rtl/>
        </w:rPr>
        <w:t xml:space="preserve">בית </w:t>
      </w:r>
      <w:bookmarkStart w:id="11648" w:name="_ETM_Q14_352720"/>
      <w:bookmarkEnd w:id="11648"/>
      <w:r>
        <w:rPr>
          <w:rFonts w:hint="cs"/>
          <w:rtl/>
        </w:rPr>
        <w:t xml:space="preserve">המשפט </w:t>
      </w:r>
      <w:bookmarkStart w:id="11649" w:name="_ETM_Q14_353139"/>
      <w:bookmarkEnd w:id="11649"/>
      <w:r>
        <w:rPr>
          <w:rFonts w:hint="cs"/>
          <w:rtl/>
        </w:rPr>
        <w:t>העליון, בדרך כלל</w:t>
      </w:r>
      <w:bookmarkStart w:id="11650" w:name="_ETM_Q14_350786"/>
      <w:bookmarkEnd w:id="11650"/>
      <w:r>
        <w:rPr>
          <w:rFonts w:hint="cs"/>
          <w:rtl/>
        </w:rPr>
        <w:t xml:space="preserve"> </w:t>
      </w:r>
      <w:bookmarkStart w:id="11651" w:name="_ETM_Q14_354070"/>
      <w:bookmarkEnd w:id="11651"/>
      <w:r>
        <w:rPr>
          <w:rFonts w:hint="cs"/>
          <w:rtl/>
        </w:rPr>
        <w:t xml:space="preserve">לא </w:t>
      </w:r>
      <w:bookmarkStart w:id="11652" w:name="_ETM_Q14_354400"/>
      <w:bookmarkEnd w:id="11652"/>
      <w:r>
        <w:rPr>
          <w:rFonts w:hint="cs"/>
          <w:rtl/>
        </w:rPr>
        <w:t xml:space="preserve">נתנו </w:t>
      </w:r>
      <w:bookmarkStart w:id="11653" w:name="_ETM_Q14_354940"/>
      <w:bookmarkEnd w:id="11653"/>
      <w:r>
        <w:rPr>
          <w:rFonts w:hint="cs"/>
          <w:rtl/>
        </w:rPr>
        <w:t xml:space="preserve">סעד </w:t>
      </w:r>
      <w:bookmarkStart w:id="11654" w:name="_ETM_Q14_356330"/>
      <w:bookmarkEnd w:id="11654"/>
      <w:r>
        <w:rPr>
          <w:rFonts w:hint="cs"/>
          <w:rtl/>
        </w:rPr>
        <w:t xml:space="preserve">לערבים </w:t>
      </w:r>
      <w:bookmarkStart w:id="11655" w:name="_ETM_Q14_358690"/>
      <w:bookmarkEnd w:id="11655"/>
      <w:r>
        <w:rPr>
          <w:rFonts w:hint="cs"/>
          <w:rtl/>
        </w:rPr>
        <w:t xml:space="preserve">בנושאים </w:t>
      </w:r>
      <w:bookmarkStart w:id="11656" w:name="_ETM_Q14_359190"/>
      <w:bookmarkEnd w:id="11656"/>
      <w:r>
        <w:rPr>
          <w:rFonts w:hint="cs"/>
          <w:rtl/>
        </w:rPr>
        <w:t xml:space="preserve">הקרדינליים </w:t>
      </w:r>
      <w:bookmarkStart w:id="11657" w:name="_ETM_Q14_360000"/>
      <w:bookmarkEnd w:id="11657"/>
      <w:r>
        <w:rPr>
          <w:rFonts w:hint="cs"/>
          <w:rtl/>
        </w:rPr>
        <w:t xml:space="preserve">– לא </w:t>
      </w:r>
      <w:bookmarkStart w:id="11658" w:name="_ETM_Q14_360150"/>
      <w:bookmarkEnd w:id="11658"/>
      <w:r>
        <w:rPr>
          <w:rFonts w:hint="cs"/>
          <w:rtl/>
        </w:rPr>
        <w:t xml:space="preserve">בחוק </w:t>
      </w:r>
      <w:bookmarkStart w:id="11659" w:name="_ETM_Q14_360540"/>
      <w:bookmarkEnd w:id="11659"/>
      <w:r>
        <w:rPr>
          <w:rFonts w:hint="cs"/>
          <w:rtl/>
        </w:rPr>
        <w:t xml:space="preserve">הלאום, </w:t>
      </w:r>
      <w:bookmarkStart w:id="11660" w:name="_ETM_Q14_361260"/>
      <w:bookmarkEnd w:id="11660"/>
      <w:r>
        <w:rPr>
          <w:rFonts w:hint="cs"/>
          <w:rtl/>
        </w:rPr>
        <w:t xml:space="preserve">לא </w:t>
      </w:r>
      <w:bookmarkStart w:id="11661" w:name="_ETM_Q14_361440"/>
      <w:bookmarkEnd w:id="11661"/>
      <w:r>
        <w:rPr>
          <w:rFonts w:hint="cs"/>
          <w:rtl/>
        </w:rPr>
        <w:t xml:space="preserve">בחוק </w:t>
      </w:r>
      <w:bookmarkStart w:id="11662" w:name="_ETM_Q14_361800"/>
      <w:bookmarkEnd w:id="11662"/>
      <w:r>
        <w:rPr>
          <w:rFonts w:hint="cs"/>
          <w:rtl/>
        </w:rPr>
        <w:t xml:space="preserve">ועדות </w:t>
      </w:r>
      <w:bookmarkStart w:id="11663" w:name="_ETM_Q14_362190"/>
      <w:bookmarkEnd w:id="11663"/>
      <w:r>
        <w:rPr>
          <w:rFonts w:hint="cs"/>
          <w:rtl/>
        </w:rPr>
        <w:t>קבלה</w:t>
      </w:r>
      <w:bookmarkStart w:id="11664" w:name="_ETM_Q14_360126"/>
      <w:bookmarkEnd w:id="11664"/>
      <w:r>
        <w:rPr>
          <w:rFonts w:hint="cs"/>
          <w:rtl/>
        </w:rPr>
        <w:t xml:space="preserve">, </w:t>
      </w:r>
      <w:bookmarkStart w:id="11665" w:name="_ETM_Q14_362790"/>
      <w:bookmarkEnd w:id="11665"/>
      <w:r>
        <w:rPr>
          <w:rFonts w:hint="cs"/>
          <w:rtl/>
        </w:rPr>
        <w:t xml:space="preserve">לא </w:t>
      </w:r>
      <w:bookmarkStart w:id="11666" w:name="_ETM_Q14_362940"/>
      <w:bookmarkEnd w:id="11666"/>
      <w:r>
        <w:rPr>
          <w:rFonts w:hint="cs"/>
          <w:rtl/>
        </w:rPr>
        <w:t xml:space="preserve">בהחזרת </w:t>
      </w:r>
      <w:bookmarkStart w:id="11667" w:name="_ETM_Q14_363660"/>
      <w:bookmarkStart w:id="11668" w:name="_ETM_Q14_364020"/>
      <w:bookmarkEnd w:id="11667"/>
      <w:bookmarkEnd w:id="11668"/>
      <w:r>
        <w:rPr>
          <w:rFonts w:hint="cs"/>
          <w:rtl/>
        </w:rPr>
        <w:t>איקרית ובירעם,</w:t>
      </w:r>
      <w:bookmarkStart w:id="11669" w:name="_ETM_Q14_359925"/>
      <w:bookmarkEnd w:id="11669"/>
      <w:r>
        <w:rPr>
          <w:rFonts w:hint="cs"/>
          <w:rtl/>
        </w:rPr>
        <w:t xml:space="preserve"> </w:t>
      </w:r>
      <w:bookmarkStart w:id="11670" w:name="_ETM_Q14_365280"/>
      <w:bookmarkEnd w:id="11670"/>
      <w:r>
        <w:rPr>
          <w:rFonts w:hint="cs"/>
          <w:rtl/>
        </w:rPr>
        <w:t xml:space="preserve">לא </w:t>
      </w:r>
      <w:bookmarkStart w:id="11671" w:name="_ETM_Q14_365519"/>
      <w:bookmarkEnd w:id="11671"/>
      <w:r>
        <w:rPr>
          <w:rFonts w:hint="cs"/>
          <w:rtl/>
        </w:rPr>
        <w:t xml:space="preserve">בהפסקת </w:t>
      </w:r>
      <w:bookmarkStart w:id="11672" w:name="_ETM_Q14_366180"/>
      <w:bookmarkEnd w:id="11672"/>
      <w:r>
        <w:rPr>
          <w:rFonts w:hint="cs"/>
          <w:rtl/>
        </w:rPr>
        <w:t xml:space="preserve">חוק </w:t>
      </w:r>
      <w:bookmarkStart w:id="11673" w:name="_ETM_Q14_366480"/>
      <w:bookmarkEnd w:id="11673"/>
      <w:r>
        <w:rPr>
          <w:rFonts w:hint="cs"/>
          <w:rtl/>
        </w:rPr>
        <w:t xml:space="preserve">קמיניץ, </w:t>
      </w:r>
      <w:bookmarkStart w:id="11674" w:name="_ETM_Q14_368490"/>
      <w:bookmarkStart w:id="11675" w:name="_ETM_Q14_368700"/>
      <w:bookmarkEnd w:id="11674"/>
      <w:bookmarkEnd w:id="11675"/>
      <w:r>
        <w:rPr>
          <w:rFonts w:hint="cs"/>
          <w:rtl/>
        </w:rPr>
        <w:t>ו</w:t>
      </w:r>
      <w:bookmarkStart w:id="11676" w:name="_ETM_Q14_366574"/>
      <w:bookmarkEnd w:id="11676"/>
      <w:r>
        <w:rPr>
          <w:rFonts w:hint="cs"/>
          <w:rtl/>
        </w:rPr>
        <w:t xml:space="preserve">גם </w:t>
      </w:r>
      <w:bookmarkStart w:id="11677" w:name="_ETM_Q14_368910"/>
      <w:bookmarkEnd w:id="11677"/>
      <w:r>
        <w:rPr>
          <w:rFonts w:hint="cs"/>
          <w:rtl/>
        </w:rPr>
        <w:t xml:space="preserve">לא </w:t>
      </w:r>
      <w:bookmarkStart w:id="11678" w:name="_ETM_Q14_369060"/>
      <w:bookmarkEnd w:id="11678"/>
      <w:r>
        <w:rPr>
          <w:rFonts w:hint="cs"/>
          <w:rtl/>
        </w:rPr>
        <w:t xml:space="preserve">נתנו </w:t>
      </w:r>
      <w:bookmarkStart w:id="11679" w:name="_ETM_Q14_369419"/>
      <w:bookmarkEnd w:id="11679"/>
      <w:r>
        <w:rPr>
          <w:rFonts w:hint="cs"/>
          <w:rtl/>
        </w:rPr>
        <w:t xml:space="preserve">סעד </w:t>
      </w:r>
      <w:bookmarkStart w:id="11680" w:name="_ETM_Q14_369840"/>
      <w:bookmarkEnd w:id="11680"/>
      <w:r>
        <w:rPr>
          <w:rFonts w:hint="cs"/>
          <w:rtl/>
        </w:rPr>
        <w:t xml:space="preserve">לפלסטינים </w:t>
      </w:r>
      <w:bookmarkStart w:id="11681" w:name="_ETM_Q14_370530"/>
      <w:bookmarkEnd w:id="11681"/>
      <w:r>
        <w:rPr>
          <w:rFonts w:hint="cs"/>
          <w:rtl/>
        </w:rPr>
        <w:t xml:space="preserve">באופן </w:t>
      </w:r>
      <w:bookmarkStart w:id="11682" w:name="_ETM_Q14_370860"/>
      <w:bookmarkEnd w:id="11682"/>
      <w:r>
        <w:rPr>
          <w:rFonts w:hint="cs"/>
          <w:rtl/>
        </w:rPr>
        <w:t xml:space="preserve">כללי. </w:t>
      </w:r>
      <w:bookmarkStart w:id="11683" w:name="_ETM_Q14_372160"/>
      <w:bookmarkEnd w:id="11683"/>
      <w:r>
        <w:rPr>
          <w:rFonts w:hint="cs"/>
          <w:rtl/>
        </w:rPr>
        <w:t xml:space="preserve">בית </w:t>
      </w:r>
      <w:bookmarkStart w:id="11684" w:name="_ETM_Q14_372550"/>
      <w:bookmarkEnd w:id="11684"/>
      <w:r>
        <w:rPr>
          <w:rFonts w:hint="cs"/>
          <w:rtl/>
        </w:rPr>
        <w:t xml:space="preserve">המשפט </w:t>
      </w:r>
      <w:bookmarkStart w:id="11685" w:name="_ETM_Q14_372940"/>
      <w:bookmarkEnd w:id="11685"/>
      <w:r>
        <w:rPr>
          <w:rFonts w:hint="cs"/>
          <w:rtl/>
        </w:rPr>
        <w:t xml:space="preserve">העליון </w:t>
      </w:r>
      <w:bookmarkStart w:id="11686" w:name="_ETM_Q14_373599"/>
      <w:bookmarkEnd w:id="11686"/>
      <w:r>
        <w:rPr>
          <w:rFonts w:hint="cs"/>
          <w:rtl/>
        </w:rPr>
        <w:t xml:space="preserve">אישר </w:t>
      </w:r>
      <w:bookmarkStart w:id="11687" w:name="_ETM_Q14_374110"/>
      <w:bookmarkEnd w:id="11687"/>
      <w:r>
        <w:rPr>
          <w:rFonts w:hint="cs"/>
          <w:rtl/>
        </w:rPr>
        <w:t>גירוש,</w:t>
      </w:r>
      <w:bookmarkStart w:id="11688" w:name="_ETM_Q14_372053"/>
      <w:bookmarkEnd w:id="11688"/>
      <w:r>
        <w:rPr>
          <w:rFonts w:hint="cs"/>
          <w:rtl/>
        </w:rPr>
        <w:t xml:space="preserve"> </w:t>
      </w:r>
      <w:bookmarkStart w:id="11689" w:name="_ETM_Q14_374919"/>
      <w:bookmarkEnd w:id="11689"/>
      <w:r>
        <w:rPr>
          <w:rFonts w:hint="cs"/>
          <w:rtl/>
        </w:rPr>
        <w:t xml:space="preserve">אישר </w:t>
      </w:r>
      <w:bookmarkStart w:id="11690" w:name="_ETM_Q14_375310"/>
      <w:bookmarkEnd w:id="11690"/>
      <w:r>
        <w:rPr>
          <w:rFonts w:hint="cs"/>
          <w:rtl/>
        </w:rPr>
        <w:t xml:space="preserve">התנחלות, </w:t>
      </w:r>
      <w:bookmarkStart w:id="11691" w:name="_ETM_Q14_376000"/>
      <w:bookmarkEnd w:id="11691"/>
      <w:r>
        <w:rPr>
          <w:rFonts w:hint="cs"/>
          <w:rtl/>
        </w:rPr>
        <w:t xml:space="preserve">אישר </w:t>
      </w:r>
      <w:bookmarkStart w:id="11692" w:name="_ETM_Q14_376360"/>
      <w:bookmarkEnd w:id="11692"/>
      <w:r>
        <w:rPr>
          <w:rFonts w:hint="cs"/>
          <w:rtl/>
        </w:rPr>
        <w:t xml:space="preserve">הפקעות, </w:t>
      </w:r>
      <w:bookmarkStart w:id="11693" w:name="_ETM_Q14_377050"/>
      <w:bookmarkEnd w:id="11693"/>
      <w:r>
        <w:rPr>
          <w:rFonts w:hint="cs"/>
          <w:rtl/>
        </w:rPr>
        <w:t xml:space="preserve">אישר </w:t>
      </w:r>
      <w:bookmarkStart w:id="11694" w:name="_ETM_Q14_377380"/>
      <w:bookmarkEnd w:id="11694"/>
      <w:r>
        <w:rPr>
          <w:rFonts w:hint="cs"/>
          <w:rtl/>
        </w:rPr>
        <w:t>חיסולים</w:t>
      </w:r>
      <w:bookmarkStart w:id="11695" w:name="_ETM_Q14_376173"/>
      <w:bookmarkEnd w:id="11695"/>
      <w:r>
        <w:rPr>
          <w:rFonts w:hint="cs"/>
          <w:rtl/>
        </w:rPr>
        <w:t xml:space="preserve">, </w:t>
      </w:r>
      <w:bookmarkStart w:id="11696" w:name="_ETM_Q14_378989"/>
      <w:bookmarkEnd w:id="11696"/>
      <w:r>
        <w:rPr>
          <w:rFonts w:hint="cs"/>
          <w:rtl/>
        </w:rPr>
        <w:t xml:space="preserve">הוא </w:t>
      </w:r>
      <w:bookmarkStart w:id="11697" w:name="_ETM_Q14_379169"/>
      <w:bookmarkEnd w:id="11697"/>
      <w:r>
        <w:rPr>
          <w:rFonts w:hint="cs"/>
          <w:rtl/>
        </w:rPr>
        <w:t xml:space="preserve">אישר </w:t>
      </w:r>
      <w:bookmarkStart w:id="11698" w:name="_ETM_Q14_379470"/>
      <w:bookmarkEnd w:id="11698"/>
      <w:r>
        <w:rPr>
          <w:rFonts w:hint="cs"/>
          <w:rtl/>
        </w:rPr>
        <w:t>את</w:t>
      </w:r>
      <w:bookmarkStart w:id="11699" w:name="_ETM_Q14_381069"/>
      <w:bookmarkEnd w:id="11699"/>
      <w:r>
        <w:rPr>
          <w:rFonts w:hint="cs"/>
          <w:rtl/>
        </w:rPr>
        <w:t xml:space="preserve"> הכיבוש</w:t>
      </w:r>
      <w:bookmarkStart w:id="11700" w:name="_ETM_Q14_381320"/>
      <w:bookmarkStart w:id="11701" w:name="_ETM_Q14_381599"/>
      <w:bookmarkEnd w:id="11700"/>
      <w:bookmarkEnd w:id="11701"/>
      <w:r>
        <w:rPr>
          <w:rFonts w:hint="cs"/>
          <w:rtl/>
        </w:rPr>
        <w:t>. ו</w:t>
      </w:r>
      <w:bookmarkStart w:id="11702" w:name="_ETM_Q14_377433"/>
      <w:bookmarkEnd w:id="11702"/>
      <w:r>
        <w:rPr>
          <w:rFonts w:hint="cs"/>
          <w:rtl/>
        </w:rPr>
        <w:t xml:space="preserve">בכל </w:t>
      </w:r>
      <w:bookmarkStart w:id="11703" w:name="_ETM_Q14_381900"/>
      <w:bookmarkEnd w:id="11703"/>
      <w:r>
        <w:rPr>
          <w:rFonts w:hint="cs"/>
          <w:rtl/>
        </w:rPr>
        <w:t xml:space="preserve">זאת, </w:t>
      </w:r>
      <w:bookmarkStart w:id="11704" w:name="_ETM_Q14_382290"/>
      <w:bookmarkEnd w:id="11704"/>
      <w:r>
        <w:rPr>
          <w:rFonts w:hint="cs"/>
          <w:rtl/>
        </w:rPr>
        <w:t xml:space="preserve">ולמרות </w:t>
      </w:r>
      <w:bookmarkStart w:id="11705" w:name="_ETM_Q14_382799"/>
      <w:bookmarkEnd w:id="11705"/>
      <w:r>
        <w:rPr>
          <w:rFonts w:hint="cs"/>
          <w:rtl/>
        </w:rPr>
        <w:t xml:space="preserve">כל </w:t>
      </w:r>
      <w:bookmarkStart w:id="11706" w:name="_ETM_Q14_383159"/>
      <w:bookmarkEnd w:id="11706"/>
      <w:r>
        <w:rPr>
          <w:rFonts w:hint="cs"/>
          <w:rtl/>
        </w:rPr>
        <w:t xml:space="preserve">זה, </w:t>
      </w:r>
      <w:bookmarkStart w:id="11707" w:name="_ETM_Q14_384069"/>
      <w:bookmarkEnd w:id="11707"/>
      <w:r>
        <w:rPr>
          <w:rFonts w:hint="cs"/>
          <w:rtl/>
        </w:rPr>
        <w:t xml:space="preserve">אנחנו </w:t>
      </w:r>
      <w:bookmarkStart w:id="11708" w:name="_ETM_Q14_384579"/>
      <w:bookmarkEnd w:id="11708"/>
      <w:r>
        <w:rPr>
          <w:rFonts w:hint="cs"/>
          <w:rtl/>
        </w:rPr>
        <w:t xml:space="preserve">עומדים </w:t>
      </w:r>
      <w:bookmarkStart w:id="11709" w:name="_ETM_Q14_385090"/>
      <w:bookmarkEnd w:id="11709"/>
      <w:r>
        <w:rPr>
          <w:rFonts w:hint="cs"/>
          <w:rtl/>
        </w:rPr>
        <w:t xml:space="preserve">איתן </w:t>
      </w:r>
      <w:bookmarkStart w:id="11710" w:name="_ETM_Q14_385599"/>
      <w:bookmarkEnd w:id="11710"/>
      <w:r>
        <w:rPr>
          <w:rFonts w:hint="cs"/>
          <w:rtl/>
        </w:rPr>
        <w:t>בכנסת,</w:t>
      </w:r>
      <w:bookmarkStart w:id="11711" w:name="_ETM_Q14_383472"/>
      <w:bookmarkEnd w:id="11711"/>
      <w:r>
        <w:rPr>
          <w:rFonts w:hint="cs"/>
          <w:rtl/>
        </w:rPr>
        <w:t xml:space="preserve"> </w:t>
      </w:r>
      <w:bookmarkStart w:id="11712" w:name="_ETM_Q14_386349"/>
      <w:bookmarkEnd w:id="11712"/>
      <w:r>
        <w:rPr>
          <w:rFonts w:hint="cs"/>
          <w:rtl/>
        </w:rPr>
        <w:t xml:space="preserve">גם </w:t>
      </w:r>
      <w:bookmarkStart w:id="11713" w:name="_ETM_Q14_386560"/>
      <w:bookmarkEnd w:id="11713"/>
      <w:r>
        <w:rPr>
          <w:rFonts w:hint="cs"/>
          <w:rtl/>
        </w:rPr>
        <w:t xml:space="preserve">בוועדות, </w:t>
      </w:r>
      <w:bookmarkStart w:id="11714" w:name="_ETM_Q14_387129"/>
      <w:bookmarkEnd w:id="11714"/>
      <w:r>
        <w:rPr>
          <w:rFonts w:hint="cs"/>
          <w:rtl/>
        </w:rPr>
        <w:t xml:space="preserve">גם </w:t>
      </w:r>
      <w:bookmarkStart w:id="11715" w:name="_ETM_Q14_387370"/>
      <w:bookmarkEnd w:id="11715"/>
      <w:r>
        <w:rPr>
          <w:rFonts w:hint="cs"/>
          <w:rtl/>
        </w:rPr>
        <w:t xml:space="preserve">במליאה, </w:t>
      </w:r>
      <w:bookmarkStart w:id="11716" w:name="_ETM_Q14_387879"/>
      <w:bookmarkEnd w:id="11716"/>
      <w:r>
        <w:rPr>
          <w:rFonts w:hint="cs"/>
          <w:rtl/>
        </w:rPr>
        <w:t xml:space="preserve">בכל </w:t>
      </w:r>
      <w:bookmarkStart w:id="11717" w:name="_ETM_Q14_388239"/>
      <w:bookmarkEnd w:id="11717"/>
      <w:r>
        <w:rPr>
          <w:rFonts w:hint="cs"/>
          <w:rtl/>
        </w:rPr>
        <w:t xml:space="preserve">מקום, </w:t>
      </w:r>
      <w:bookmarkStart w:id="11718" w:name="_ETM_Q14_389900"/>
      <w:bookmarkEnd w:id="11718"/>
      <w:r>
        <w:rPr>
          <w:rFonts w:hint="cs"/>
          <w:rtl/>
        </w:rPr>
        <w:t xml:space="preserve">נגד </w:t>
      </w:r>
      <w:bookmarkStart w:id="11719" w:name="_ETM_Q14_391020"/>
      <w:bookmarkEnd w:id="11719"/>
      <w:r>
        <w:rPr>
          <w:rFonts w:hint="cs"/>
          <w:rtl/>
        </w:rPr>
        <w:t xml:space="preserve">מה </w:t>
      </w:r>
      <w:bookmarkStart w:id="11720" w:name="_ETM_Q14_391290"/>
      <w:bookmarkEnd w:id="11720"/>
      <w:r>
        <w:rPr>
          <w:rFonts w:hint="cs"/>
          <w:rtl/>
        </w:rPr>
        <w:t>שקרוי</w:t>
      </w:r>
      <w:bookmarkStart w:id="11721" w:name="_ETM_Q14_389452"/>
      <w:bookmarkEnd w:id="11721"/>
      <w:r>
        <w:rPr>
          <w:rFonts w:hint="cs"/>
          <w:rtl/>
        </w:rPr>
        <w:t xml:space="preserve"> </w:t>
      </w:r>
      <w:bookmarkStart w:id="11722" w:name="_ETM_Q14_392220"/>
      <w:bookmarkEnd w:id="11722"/>
      <w:r>
        <w:rPr>
          <w:rFonts w:hint="cs"/>
          <w:rtl/>
        </w:rPr>
        <w:t xml:space="preserve">רפורמה, </w:t>
      </w:r>
      <w:bookmarkStart w:id="11723" w:name="_ETM_Q14_392880"/>
      <w:bookmarkEnd w:id="11723"/>
      <w:r>
        <w:rPr>
          <w:rFonts w:hint="cs"/>
          <w:rtl/>
        </w:rPr>
        <w:t xml:space="preserve">שהיא </w:t>
      </w:r>
      <w:bookmarkStart w:id="11724" w:name="_ETM_Q14_393180"/>
      <w:bookmarkEnd w:id="11724"/>
      <w:r>
        <w:rPr>
          <w:rFonts w:hint="cs"/>
          <w:rtl/>
        </w:rPr>
        <w:t xml:space="preserve">הפיכה </w:t>
      </w:r>
      <w:bookmarkStart w:id="11725" w:name="_ETM_Q14_393540"/>
      <w:bookmarkEnd w:id="11725"/>
      <w:r>
        <w:rPr>
          <w:rFonts w:hint="cs"/>
          <w:rtl/>
        </w:rPr>
        <w:t>שלטוני</w:t>
      </w:r>
      <w:bookmarkStart w:id="11726" w:name="_ETM_Q14_392411"/>
      <w:bookmarkEnd w:id="11726"/>
      <w:r>
        <w:rPr>
          <w:rFonts w:hint="cs"/>
          <w:rtl/>
        </w:rPr>
        <w:t>ת</w:t>
      </w:r>
      <w:bookmarkStart w:id="11727" w:name="_ETM_Q14_388352"/>
      <w:bookmarkStart w:id="11728" w:name="_ETM_Q14_397372"/>
      <w:bookmarkEnd w:id="11727"/>
      <w:bookmarkEnd w:id="11728"/>
      <w:r>
        <w:rPr>
          <w:rFonts w:hint="cs"/>
          <w:rtl/>
        </w:rPr>
        <w:t xml:space="preserve">, </w:t>
      </w:r>
      <w:bookmarkStart w:id="11729" w:name="_ETM_Q14_394890"/>
      <w:bookmarkEnd w:id="11729"/>
      <w:r>
        <w:rPr>
          <w:rFonts w:hint="cs"/>
          <w:rtl/>
        </w:rPr>
        <w:t xml:space="preserve">הרצון </w:t>
      </w:r>
      <w:bookmarkStart w:id="11730" w:name="_ETM_Q14_395579"/>
      <w:bookmarkEnd w:id="11730"/>
      <w:r>
        <w:rPr>
          <w:rFonts w:hint="cs"/>
          <w:rtl/>
        </w:rPr>
        <w:t xml:space="preserve">להשתלט </w:t>
      </w:r>
      <w:bookmarkStart w:id="11731" w:name="_ETM_Q14_396239"/>
      <w:bookmarkEnd w:id="11731"/>
      <w:r>
        <w:rPr>
          <w:rFonts w:hint="cs"/>
          <w:rtl/>
        </w:rPr>
        <w:t xml:space="preserve">על </w:t>
      </w:r>
      <w:bookmarkStart w:id="11732" w:name="_ETM_Q14_396390"/>
      <w:bookmarkEnd w:id="11732"/>
      <w:r>
        <w:rPr>
          <w:rFonts w:hint="cs"/>
          <w:rtl/>
        </w:rPr>
        <w:t xml:space="preserve">מערכת </w:t>
      </w:r>
      <w:bookmarkStart w:id="11733" w:name="_ETM_Q14_397290"/>
      <w:bookmarkEnd w:id="11733"/>
      <w:r>
        <w:rPr>
          <w:rFonts w:hint="cs"/>
          <w:rtl/>
        </w:rPr>
        <w:t xml:space="preserve">המשפט </w:t>
      </w:r>
      <w:bookmarkStart w:id="11734" w:name="_ETM_Q14_400049"/>
      <w:bookmarkEnd w:id="11734"/>
      <w:r>
        <w:rPr>
          <w:rFonts w:hint="cs"/>
          <w:rtl/>
        </w:rPr>
        <w:t xml:space="preserve">כדי </w:t>
      </w:r>
      <w:bookmarkStart w:id="11735" w:name="_ETM_Q14_401080"/>
      <w:bookmarkEnd w:id="11735"/>
      <w:r>
        <w:rPr>
          <w:rFonts w:hint="cs"/>
          <w:rtl/>
        </w:rPr>
        <w:t xml:space="preserve">להיות </w:t>
      </w:r>
      <w:bookmarkStart w:id="11736" w:name="_ETM_Q14_402240"/>
      <w:bookmarkEnd w:id="11736"/>
      <w:r>
        <w:rPr>
          <w:rFonts w:hint="cs"/>
          <w:rtl/>
        </w:rPr>
        <w:t xml:space="preserve">ממשלה </w:t>
      </w:r>
      <w:bookmarkStart w:id="11737" w:name="_ETM_Q14_404720"/>
      <w:bookmarkEnd w:id="11737"/>
      <w:r>
        <w:rPr>
          <w:rFonts w:hint="cs"/>
          <w:rtl/>
        </w:rPr>
        <w:t xml:space="preserve">כמו </w:t>
      </w:r>
      <w:bookmarkStart w:id="11738" w:name="_ETM_Q14_405200"/>
      <w:bookmarkEnd w:id="11738"/>
      <w:r>
        <w:rPr>
          <w:rFonts w:hint="cs"/>
          <w:rtl/>
        </w:rPr>
        <w:t xml:space="preserve">שקורה </w:t>
      </w:r>
      <w:bookmarkStart w:id="11739" w:name="_ETM_Q14_405740"/>
      <w:bookmarkEnd w:id="11739"/>
      <w:r>
        <w:rPr>
          <w:rFonts w:hint="cs"/>
          <w:rtl/>
        </w:rPr>
        <w:t xml:space="preserve">בפולין </w:t>
      </w:r>
      <w:bookmarkStart w:id="11740" w:name="_ETM_Q14_406400"/>
      <w:bookmarkEnd w:id="11740"/>
      <w:r>
        <w:rPr>
          <w:rFonts w:hint="cs"/>
          <w:rtl/>
        </w:rPr>
        <w:t xml:space="preserve">והונגריה, </w:t>
      </w:r>
      <w:bookmarkStart w:id="11741" w:name="_ETM_Q14_409260"/>
      <w:bookmarkEnd w:id="11741"/>
      <w:r>
        <w:rPr>
          <w:rFonts w:hint="cs"/>
          <w:rtl/>
        </w:rPr>
        <w:t xml:space="preserve">אולי </w:t>
      </w:r>
      <w:bookmarkStart w:id="11742" w:name="_ETM_Q14_409590"/>
      <w:bookmarkEnd w:id="11742"/>
      <w:r>
        <w:rPr>
          <w:rFonts w:hint="cs"/>
          <w:rtl/>
        </w:rPr>
        <w:t xml:space="preserve">אף </w:t>
      </w:r>
      <w:bookmarkStart w:id="11743" w:name="_ETM_Q14_409740"/>
      <w:bookmarkEnd w:id="11743"/>
      <w:r>
        <w:rPr>
          <w:rFonts w:hint="cs"/>
          <w:rtl/>
        </w:rPr>
        <w:t xml:space="preserve">יותר; </w:t>
      </w:r>
      <w:bookmarkStart w:id="11744" w:name="_ETM_Q14_410800"/>
      <w:bookmarkEnd w:id="11744"/>
      <w:r>
        <w:rPr>
          <w:rFonts w:hint="cs"/>
          <w:rtl/>
        </w:rPr>
        <w:t xml:space="preserve">בחלק </w:t>
      </w:r>
      <w:bookmarkStart w:id="11745" w:name="_ETM_Q14_411310"/>
      <w:bookmarkEnd w:id="11745"/>
      <w:r>
        <w:rPr>
          <w:rFonts w:hint="cs"/>
          <w:rtl/>
        </w:rPr>
        <w:t xml:space="preserve">מהדברים </w:t>
      </w:r>
      <w:bookmarkStart w:id="11746" w:name="_ETM_Q14_411940"/>
      <w:bookmarkEnd w:id="11746"/>
      <w:r>
        <w:rPr>
          <w:rFonts w:hint="cs"/>
          <w:rtl/>
        </w:rPr>
        <w:t xml:space="preserve">אף </w:t>
      </w:r>
      <w:bookmarkStart w:id="11747" w:name="_ETM_Q14_412090"/>
      <w:bookmarkEnd w:id="11747"/>
      <w:r>
        <w:rPr>
          <w:rFonts w:hint="cs"/>
          <w:rtl/>
        </w:rPr>
        <w:t>יותר</w:t>
      </w:r>
      <w:bookmarkStart w:id="11748" w:name="_ETM_Q14_408041"/>
      <w:bookmarkEnd w:id="11748"/>
      <w:r>
        <w:rPr>
          <w:rFonts w:hint="cs"/>
          <w:rtl/>
        </w:rPr>
        <w:t>.</w:t>
      </w:r>
      <w:bookmarkStart w:id="11749" w:name="_ETM_Q14_407812"/>
      <w:bookmarkStart w:id="11750" w:name="_ETM_Q14_417199"/>
      <w:bookmarkStart w:id="11751" w:name="_ETM_Q14_413183"/>
      <w:bookmarkEnd w:id="11749"/>
      <w:bookmarkEnd w:id="11750"/>
      <w:bookmarkEnd w:id="11751"/>
    </w:p>
    <w:p w:rsidR="000C5C1F" w:rsidRDefault="000C5C1F" w:rsidP="000C5C1F">
      <w:pPr>
        <w:rPr>
          <w:rtl/>
        </w:rPr>
      </w:pPr>
      <w:bookmarkStart w:id="11752" w:name="_ETM_Q14_413303"/>
      <w:bookmarkEnd w:id="11752"/>
    </w:p>
    <w:p w:rsidR="000C5C1F" w:rsidRDefault="000C5C1F" w:rsidP="000C5C1F">
      <w:pPr>
        <w:rPr>
          <w:rtl/>
        </w:rPr>
      </w:pPr>
      <w:bookmarkStart w:id="11753" w:name="_ETM_Q14_413376"/>
      <w:bookmarkStart w:id="11754" w:name="_ETM_Q14_413432"/>
      <w:bookmarkEnd w:id="11753"/>
      <w:bookmarkEnd w:id="11754"/>
      <w:r>
        <w:rPr>
          <w:rFonts w:hint="cs"/>
          <w:rtl/>
        </w:rPr>
        <w:t xml:space="preserve">כל </w:t>
      </w:r>
      <w:bookmarkStart w:id="11755" w:name="_ETM_Q14_417709"/>
      <w:bookmarkEnd w:id="11755"/>
      <w:r>
        <w:rPr>
          <w:rFonts w:hint="cs"/>
          <w:rtl/>
        </w:rPr>
        <w:t xml:space="preserve">הדוגמאות </w:t>
      </w:r>
      <w:bookmarkStart w:id="11756" w:name="_ETM_Q14_418430"/>
      <w:bookmarkEnd w:id="11756"/>
      <w:r>
        <w:rPr>
          <w:rFonts w:hint="cs"/>
          <w:rtl/>
        </w:rPr>
        <w:t xml:space="preserve">האלה </w:t>
      </w:r>
      <w:bookmarkStart w:id="11757" w:name="_ETM_Q14_418729"/>
      <w:bookmarkEnd w:id="11757"/>
      <w:r>
        <w:rPr>
          <w:rFonts w:hint="cs"/>
          <w:rtl/>
        </w:rPr>
        <w:t xml:space="preserve">הן </w:t>
      </w:r>
      <w:bookmarkStart w:id="11758" w:name="_ETM_Q14_418819"/>
      <w:bookmarkEnd w:id="11758"/>
      <w:r>
        <w:rPr>
          <w:rFonts w:hint="cs"/>
          <w:rtl/>
        </w:rPr>
        <w:t>דוגמאות</w:t>
      </w:r>
      <w:bookmarkStart w:id="11759" w:name="_ETM_Q14_419239"/>
      <w:bookmarkStart w:id="11760" w:name="_ETM_Q14_419419"/>
      <w:bookmarkEnd w:id="11759"/>
      <w:bookmarkEnd w:id="11760"/>
      <w:r>
        <w:rPr>
          <w:rFonts w:hint="cs"/>
          <w:rtl/>
        </w:rPr>
        <w:t xml:space="preserve"> לא </w:t>
      </w:r>
      <w:bookmarkStart w:id="11761" w:name="_ETM_Q14_418542"/>
      <w:bookmarkEnd w:id="11761"/>
      <w:r>
        <w:rPr>
          <w:rFonts w:hint="cs"/>
          <w:rtl/>
        </w:rPr>
        <w:t xml:space="preserve">סבירות, </w:t>
      </w:r>
      <w:bookmarkStart w:id="11762" w:name="_ETM_Q14_419989"/>
      <w:bookmarkEnd w:id="11762"/>
      <w:r>
        <w:rPr>
          <w:rFonts w:hint="cs"/>
          <w:rtl/>
        </w:rPr>
        <w:t xml:space="preserve">אבל </w:t>
      </w:r>
      <w:bookmarkStart w:id="11763" w:name="_ETM_Q14_420409"/>
      <w:bookmarkEnd w:id="11763"/>
      <w:r>
        <w:rPr>
          <w:rFonts w:hint="cs"/>
          <w:rtl/>
        </w:rPr>
        <w:t>מבחינתנו</w:t>
      </w:r>
      <w:bookmarkStart w:id="11764" w:name="_ETM_Q14_423103"/>
      <w:bookmarkEnd w:id="11764"/>
      <w:r>
        <w:rPr>
          <w:rFonts w:hint="cs"/>
          <w:rtl/>
        </w:rPr>
        <w:t xml:space="preserve"> </w:t>
      </w:r>
      <w:bookmarkStart w:id="11765" w:name="_ETM_Q14_421159"/>
      <w:bookmarkEnd w:id="11765"/>
      <w:r>
        <w:rPr>
          <w:rFonts w:hint="cs"/>
          <w:rtl/>
        </w:rPr>
        <w:t xml:space="preserve">כערבים </w:t>
      </w:r>
      <w:bookmarkStart w:id="11766" w:name="_ETM_Q14_421669"/>
      <w:bookmarkEnd w:id="11766"/>
      <w:r>
        <w:rPr>
          <w:rFonts w:hint="cs"/>
          <w:rtl/>
        </w:rPr>
        <w:t>ה</w:t>
      </w:r>
      <w:bookmarkStart w:id="11767" w:name="_ETM_Q14_419472"/>
      <w:bookmarkEnd w:id="11767"/>
      <w:r>
        <w:rPr>
          <w:rFonts w:hint="cs"/>
          <w:rtl/>
        </w:rPr>
        <w:t xml:space="preserve">ן </w:t>
      </w:r>
      <w:bookmarkStart w:id="11768" w:name="_ETM_Q14_421879"/>
      <w:bookmarkEnd w:id="11768"/>
      <w:r>
        <w:rPr>
          <w:rFonts w:hint="cs"/>
          <w:rtl/>
        </w:rPr>
        <w:t>קיימות</w:t>
      </w:r>
      <w:bookmarkStart w:id="11769" w:name="_ETM_Q14_419683"/>
      <w:bookmarkEnd w:id="11769"/>
      <w:r>
        <w:rPr>
          <w:rFonts w:hint="cs"/>
          <w:rtl/>
        </w:rPr>
        <w:t xml:space="preserve"> </w:t>
      </w:r>
      <w:bookmarkStart w:id="11770" w:name="_ETM_Q14_422510"/>
      <w:bookmarkEnd w:id="11770"/>
      <w:r>
        <w:rPr>
          <w:rFonts w:hint="cs"/>
          <w:rtl/>
        </w:rPr>
        <w:t xml:space="preserve">לפני </w:t>
      </w:r>
      <w:bookmarkStart w:id="11771" w:name="_ETM_Q14_422900"/>
      <w:bookmarkEnd w:id="11771"/>
      <w:r>
        <w:rPr>
          <w:rFonts w:hint="cs"/>
          <w:rtl/>
        </w:rPr>
        <w:t xml:space="preserve">שעילת הסבירות </w:t>
      </w:r>
      <w:bookmarkStart w:id="11772" w:name="_ETM_Q14_423200"/>
      <w:bookmarkStart w:id="11773" w:name="_ETM_Q14_423379"/>
      <w:bookmarkStart w:id="11774" w:name="_ETM_Q14_423860"/>
      <w:bookmarkStart w:id="11775" w:name="_ETM_Q14_420543"/>
      <w:bookmarkStart w:id="11776" w:name="_ETM_Q14_424220"/>
      <w:bookmarkStart w:id="11777" w:name="_ETM_Q14_424340"/>
      <w:bookmarkEnd w:id="11772"/>
      <w:bookmarkEnd w:id="11773"/>
      <w:bookmarkEnd w:id="11774"/>
      <w:bookmarkEnd w:id="11775"/>
      <w:bookmarkEnd w:id="11776"/>
      <w:bookmarkEnd w:id="11777"/>
      <w:r>
        <w:rPr>
          <w:rFonts w:hint="cs"/>
          <w:rtl/>
        </w:rPr>
        <w:t xml:space="preserve">בוטלה. </w:t>
      </w:r>
      <w:bookmarkStart w:id="11778" w:name="_ETM_Q14_431530"/>
      <w:bookmarkEnd w:id="11778"/>
      <w:r>
        <w:rPr>
          <w:rFonts w:hint="cs"/>
          <w:rtl/>
        </w:rPr>
        <w:t xml:space="preserve">ואני </w:t>
      </w:r>
      <w:bookmarkStart w:id="11779" w:name="_ETM_Q14_431860"/>
      <w:bookmarkStart w:id="11780" w:name="_ETM_Q14_432159"/>
      <w:bookmarkStart w:id="11781" w:name="_ETM_Q14_432430"/>
      <w:bookmarkStart w:id="11782" w:name="_ETM_Q14_429432"/>
      <w:bookmarkEnd w:id="11779"/>
      <w:bookmarkEnd w:id="11780"/>
      <w:bookmarkEnd w:id="11781"/>
      <w:bookmarkEnd w:id="11782"/>
      <w:r>
        <w:rPr>
          <w:rFonts w:hint="cs"/>
          <w:rtl/>
        </w:rPr>
        <w:t xml:space="preserve">שב ואומר </w:t>
      </w:r>
      <w:bookmarkStart w:id="11783" w:name="_ETM_Q14_433180"/>
      <w:bookmarkEnd w:id="11783"/>
      <w:r>
        <w:rPr>
          <w:rFonts w:hint="cs"/>
          <w:rtl/>
        </w:rPr>
        <w:t xml:space="preserve">את </w:t>
      </w:r>
      <w:bookmarkStart w:id="11784" w:name="_ETM_Q14_433329"/>
      <w:bookmarkEnd w:id="11784"/>
      <w:r>
        <w:rPr>
          <w:rFonts w:hint="cs"/>
          <w:rtl/>
        </w:rPr>
        <w:t xml:space="preserve">מה </w:t>
      </w:r>
      <w:bookmarkStart w:id="11785" w:name="_ETM_Q14_433479"/>
      <w:bookmarkEnd w:id="11785"/>
      <w:r>
        <w:rPr>
          <w:rFonts w:hint="cs"/>
          <w:rtl/>
        </w:rPr>
        <w:t xml:space="preserve">שאמרנו </w:t>
      </w:r>
      <w:bookmarkStart w:id="11786" w:name="_ETM_Q14_433959"/>
      <w:bookmarkEnd w:id="11786"/>
      <w:r>
        <w:rPr>
          <w:rFonts w:hint="cs"/>
          <w:rtl/>
        </w:rPr>
        <w:t xml:space="preserve">כל </w:t>
      </w:r>
      <w:bookmarkStart w:id="11787" w:name="_ETM_Q14_434139"/>
      <w:bookmarkEnd w:id="11787"/>
      <w:r>
        <w:rPr>
          <w:rFonts w:hint="cs"/>
          <w:rtl/>
        </w:rPr>
        <w:t xml:space="preserve">הזמן: </w:t>
      </w:r>
      <w:bookmarkStart w:id="11788" w:name="_ETM_Q14_436039"/>
      <w:bookmarkEnd w:id="11788"/>
      <w:r>
        <w:rPr>
          <w:rFonts w:hint="cs"/>
          <w:rtl/>
        </w:rPr>
        <w:t xml:space="preserve">מגיע </w:t>
      </w:r>
      <w:bookmarkStart w:id="11789" w:name="_ETM_Q14_436520"/>
      <w:bookmarkEnd w:id="11789"/>
      <w:r>
        <w:rPr>
          <w:rFonts w:hint="cs"/>
          <w:rtl/>
        </w:rPr>
        <w:t xml:space="preserve">כל </w:t>
      </w:r>
      <w:bookmarkStart w:id="11790" w:name="_ETM_Q14_436759"/>
      <w:bookmarkEnd w:id="11790"/>
      <w:r>
        <w:rPr>
          <w:rFonts w:hint="cs"/>
          <w:rtl/>
        </w:rPr>
        <w:t xml:space="preserve">הכבוד </w:t>
      </w:r>
      <w:bookmarkStart w:id="11791" w:name="_ETM_Q14_437300"/>
      <w:bookmarkEnd w:id="11791"/>
      <w:r>
        <w:rPr>
          <w:rFonts w:hint="cs"/>
          <w:rtl/>
        </w:rPr>
        <w:t xml:space="preserve">למי </w:t>
      </w:r>
      <w:bookmarkStart w:id="11792" w:name="_ETM_Q14_437509"/>
      <w:bookmarkEnd w:id="11792"/>
      <w:r>
        <w:rPr>
          <w:rFonts w:hint="cs"/>
          <w:rtl/>
        </w:rPr>
        <w:t xml:space="preserve">שמפגין </w:t>
      </w:r>
      <w:bookmarkStart w:id="11793" w:name="_ETM_Q14_438199"/>
      <w:bookmarkEnd w:id="11793"/>
      <w:r>
        <w:rPr>
          <w:rFonts w:hint="cs"/>
          <w:rtl/>
        </w:rPr>
        <w:t xml:space="preserve">29 </w:t>
      </w:r>
      <w:bookmarkStart w:id="11794" w:name="_ETM_Q14_439009"/>
      <w:bookmarkEnd w:id="11794"/>
      <w:r>
        <w:rPr>
          <w:rFonts w:hint="cs"/>
          <w:rtl/>
        </w:rPr>
        <w:t xml:space="preserve">שבועות, </w:t>
      </w:r>
      <w:bookmarkStart w:id="11795" w:name="_ETM_Q14_440490"/>
      <w:bookmarkEnd w:id="11795"/>
      <w:r>
        <w:rPr>
          <w:rFonts w:hint="cs"/>
          <w:rtl/>
        </w:rPr>
        <w:t xml:space="preserve">בכמות </w:t>
      </w:r>
      <w:bookmarkStart w:id="11796" w:name="_ETM_Q14_441330"/>
      <w:bookmarkEnd w:id="11796"/>
      <w:r>
        <w:rPr>
          <w:rFonts w:hint="cs"/>
          <w:rtl/>
        </w:rPr>
        <w:t xml:space="preserve">הזאת, </w:t>
      </w:r>
      <w:bookmarkStart w:id="11797" w:name="_ETM_Q14_441689"/>
      <w:bookmarkEnd w:id="11797"/>
      <w:r>
        <w:rPr>
          <w:rFonts w:hint="cs"/>
          <w:rtl/>
        </w:rPr>
        <w:t xml:space="preserve">בנחישות </w:t>
      </w:r>
      <w:bookmarkStart w:id="11798" w:name="_ETM_Q14_442349"/>
      <w:bookmarkEnd w:id="11798"/>
      <w:r>
        <w:rPr>
          <w:rFonts w:hint="cs"/>
          <w:rtl/>
        </w:rPr>
        <w:t xml:space="preserve">הזאת, </w:t>
      </w:r>
      <w:bookmarkStart w:id="11799" w:name="_ETM_Q14_444499"/>
      <w:bookmarkEnd w:id="11799"/>
      <w:r>
        <w:rPr>
          <w:rFonts w:hint="cs"/>
          <w:rtl/>
        </w:rPr>
        <w:t>ו</w:t>
      </w:r>
      <w:bookmarkStart w:id="11800" w:name="_ETM_Q14_445789"/>
      <w:bookmarkEnd w:id="11800"/>
      <w:r>
        <w:rPr>
          <w:rFonts w:hint="cs"/>
          <w:rtl/>
        </w:rPr>
        <w:t xml:space="preserve">לאחרונה </w:t>
      </w:r>
      <w:bookmarkStart w:id="11801" w:name="_ETM_Q14_446449"/>
      <w:bookmarkStart w:id="11802" w:name="_ETM_Q14_443012"/>
      <w:bookmarkEnd w:id="11801"/>
      <w:bookmarkEnd w:id="11802"/>
      <w:r>
        <w:rPr>
          <w:rFonts w:hint="cs"/>
          <w:rtl/>
        </w:rPr>
        <w:t xml:space="preserve">מול משטרה </w:t>
      </w:r>
      <w:bookmarkStart w:id="11803" w:name="_ETM_Q14_446930"/>
      <w:bookmarkEnd w:id="11803"/>
      <w:r>
        <w:rPr>
          <w:rFonts w:hint="cs"/>
          <w:rtl/>
        </w:rPr>
        <w:t xml:space="preserve">שמתחילה </w:t>
      </w:r>
      <w:bookmarkStart w:id="11804" w:name="_ETM_Q14_447469"/>
      <w:bookmarkEnd w:id="11804"/>
      <w:r>
        <w:rPr>
          <w:rFonts w:hint="cs"/>
          <w:rtl/>
        </w:rPr>
        <w:t xml:space="preserve">להיות </w:t>
      </w:r>
      <w:bookmarkStart w:id="11805" w:name="_ETM_Q14_449480"/>
      <w:bookmarkEnd w:id="11805"/>
      <w:r>
        <w:rPr>
          <w:rFonts w:hint="cs"/>
          <w:rtl/>
        </w:rPr>
        <w:t xml:space="preserve">יותר </w:t>
      </w:r>
      <w:bookmarkStart w:id="11806" w:name="_ETM_Q14_449960"/>
      <w:bookmarkEnd w:id="11806"/>
      <w:r>
        <w:rPr>
          <w:rFonts w:hint="cs"/>
          <w:rtl/>
        </w:rPr>
        <w:t>אלי</w:t>
      </w:r>
      <w:bookmarkStart w:id="11807" w:name="_ETM_Q14_450140"/>
      <w:bookmarkEnd w:id="11807"/>
      <w:r>
        <w:rPr>
          <w:rFonts w:hint="cs"/>
          <w:rtl/>
        </w:rPr>
        <w:t xml:space="preserve">מה, </w:t>
      </w:r>
      <w:bookmarkStart w:id="11808" w:name="_ETM_Q14_451800"/>
      <w:bookmarkEnd w:id="11808"/>
      <w:r>
        <w:rPr>
          <w:rFonts w:hint="cs"/>
          <w:rtl/>
        </w:rPr>
        <w:t xml:space="preserve">וחלק </w:t>
      </w:r>
      <w:bookmarkStart w:id="11809" w:name="_ETM_Q14_452279"/>
      <w:bookmarkEnd w:id="11809"/>
      <w:r>
        <w:rPr>
          <w:rFonts w:hint="cs"/>
          <w:rtl/>
        </w:rPr>
        <w:t xml:space="preserve">מהשוטרים </w:t>
      </w:r>
      <w:bookmarkStart w:id="11810" w:name="_ETM_Q14_453060"/>
      <w:bookmarkEnd w:id="11810"/>
      <w:r>
        <w:rPr>
          <w:rFonts w:hint="cs"/>
          <w:rtl/>
        </w:rPr>
        <w:t xml:space="preserve">ממלאים </w:t>
      </w:r>
      <w:bookmarkStart w:id="11811" w:name="_ETM_Q14_453870"/>
      <w:bookmarkEnd w:id="11811"/>
      <w:r>
        <w:rPr>
          <w:rFonts w:hint="cs"/>
          <w:rtl/>
        </w:rPr>
        <w:t xml:space="preserve">אג'נדה </w:t>
      </w:r>
      <w:bookmarkStart w:id="11812" w:name="_ETM_Q14_455360"/>
      <w:bookmarkEnd w:id="11812"/>
      <w:r>
        <w:rPr>
          <w:rFonts w:hint="cs"/>
          <w:rtl/>
        </w:rPr>
        <w:t xml:space="preserve">של </w:t>
      </w:r>
      <w:bookmarkStart w:id="11813" w:name="_ETM_Q14_457449"/>
      <w:bookmarkEnd w:id="11813"/>
      <w:r>
        <w:rPr>
          <w:rFonts w:hint="cs"/>
          <w:rtl/>
        </w:rPr>
        <w:t xml:space="preserve">שר </w:t>
      </w:r>
      <w:bookmarkStart w:id="11814" w:name="_ETM_Q14_460070"/>
      <w:bookmarkEnd w:id="11814"/>
      <w:r>
        <w:rPr>
          <w:rFonts w:hint="cs"/>
          <w:rtl/>
        </w:rPr>
        <w:t xml:space="preserve">שדורש </w:t>
      </w:r>
      <w:bookmarkStart w:id="11815" w:name="_ETM_Q14_460729"/>
      <w:bookmarkEnd w:id="11815"/>
      <w:r>
        <w:rPr>
          <w:rFonts w:hint="cs"/>
          <w:rtl/>
        </w:rPr>
        <w:t xml:space="preserve">מהם </w:t>
      </w:r>
      <w:bookmarkStart w:id="11816" w:name="_ETM_Q14_460970"/>
      <w:bookmarkEnd w:id="11816"/>
      <w:r>
        <w:rPr>
          <w:rFonts w:hint="cs"/>
          <w:rtl/>
        </w:rPr>
        <w:t xml:space="preserve">להיות </w:t>
      </w:r>
      <w:bookmarkStart w:id="11817" w:name="_ETM_Q14_461270"/>
      <w:bookmarkEnd w:id="11817"/>
      <w:r>
        <w:rPr>
          <w:rFonts w:hint="cs"/>
          <w:rtl/>
        </w:rPr>
        <w:t xml:space="preserve">אלימים </w:t>
      </w:r>
      <w:bookmarkStart w:id="11818" w:name="_ETM_Q14_461750"/>
      <w:bookmarkEnd w:id="11818"/>
      <w:r>
        <w:rPr>
          <w:rFonts w:hint="cs"/>
          <w:rtl/>
        </w:rPr>
        <w:t xml:space="preserve">כלפי </w:t>
      </w:r>
      <w:bookmarkStart w:id="11819" w:name="_ETM_Q14_462710"/>
      <w:bookmarkEnd w:id="11819"/>
      <w:r>
        <w:rPr>
          <w:rFonts w:hint="cs"/>
          <w:rtl/>
        </w:rPr>
        <w:t>המפגינים.</w:t>
      </w:r>
      <w:bookmarkStart w:id="11820" w:name="_ETM_Q14_468860"/>
      <w:bookmarkStart w:id="11821" w:name="_ETM_Q14_465230"/>
      <w:bookmarkEnd w:id="11820"/>
      <w:bookmarkEnd w:id="11821"/>
    </w:p>
    <w:p w:rsidR="000C5C1F" w:rsidRDefault="000C5C1F" w:rsidP="000C5C1F">
      <w:pPr>
        <w:rPr>
          <w:rtl/>
        </w:rPr>
      </w:pPr>
    </w:p>
    <w:p w:rsidR="000C5C1F" w:rsidRDefault="000C5C1F" w:rsidP="000C5C1F">
      <w:pPr>
        <w:rPr>
          <w:rtl/>
        </w:rPr>
      </w:pPr>
      <w:bookmarkStart w:id="11822" w:name="_ETM_Q14_466162"/>
      <w:bookmarkStart w:id="11823" w:name="_ETM_Q14_466826"/>
      <w:bookmarkStart w:id="11824" w:name="_ETM_Q14_466872"/>
      <w:bookmarkEnd w:id="11822"/>
      <w:bookmarkEnd w:id="11823"/>
      <w:bookmarkEnd w:id="11824"/>
      <w:r>
        <w:rPr>
          <w:rFonts w:hint="cs"/>
          <w:rtl/>
        </w:rPr>
        <w:t xml:space="preserve">האם </w:t>
      </w:r>
      <w:bookmarkStart w:id="11825" w:name="_ETM_Q14_469249"/>
      <w:bookmarkEnd w:id="11825"/>
      <w:r>
        <w:rPr>
          <w:rFonts w:hint="cs"/>
          <w:rtl/>
        </w:rPr>
        <w:t>סב</w:t>
      </w:r>
      <w:bookmarkStart w:id="11826" w:name="_ETM_Q14_472174"/>
      <w:bookmarkEnd w:id="11826"/>
      <w:r>
        <w:rPr>
          <w:rFonts w:hint="cs"/>
          <w:rtl/>
        </w:rPr>
        <w:t xml:space="preserve">יר </w:t>
      </w:r>
      <w:bookmarkStart w:id="11827" w:name="_ETM_Q14_469759"/>
      <w:bookmarkEnd w:id="11827"/>
      <w:r>
        <w:rPr>
          <w:rFonts w:hint="cs"/>
          <w:rtl/>
        </w:rPr>
        <w:t>ש</w:t>
      </w:r>
      <w:bookmarkStart w:id="11828" w:name="_ETM_Q14_470419"/>
      <w:bookmarkEnd w:id="11828"/>
      <w:r>
        <w:rPr>
          <w:rFonts w:hint="cs"/>
          <w:rtl/>
        </w:rPr>
        <w:t xml:space="preserve">שר </w:t>
      </w:r>
      <w:bookmarkStart w:id="11829" w:name="_ETM_Q14_471789"/>
      <w:bookmarkEnd w:id="11829"/>
      <w:r>
        <w:rPr>
          <w:rFonts w:hint="cs"/>
          <w:rtl/>
        </w:rPr>
        <w:t xml:space="preserve">אוצר </w:t>
      </w:r>
      <w:bookmarkStart w:id="11830" w:name="_ETM_Q14_472689"/>
      <w:bookmarkEnd w:id="11830"/>
      <w:r>
        <w:rPr>
          <w:rFonts w:hint="cs"/>
          <w:rtl/>
        </w:rPr>
        <w:t xml:space="preserve">וחצי </w:t>
      </w:r>
      <w:bookmarkStart w:id="11831" w:name="_ETM_Q14_473619"/>
      <w:bookmarkEnd w:id="11831"/>
      <w:r>
        <w:rPr>
          <w:rFonts w:hint="cs"/>
          <w:rtl/>
        </w:rPr>
        <w:t>בי</w:t>
      </w:r>
      <w:bookmarkStart w:id="11832" w:name="_ETM_Q14_470413"/>
      <w:bookmarkEnd w:id="11832"/>
      <w:r>
        <w:rPr>
          <w:rFonts w:hint="cs"/>
          <w:rtl/>
        </w:rPr>
        <w:t xml:space="preserve">טחון </w:t>
      </w:r>
      <w:bookmarkStart w:id="11833" w:name="_ETM_Q14_474129"/>
      <w:bookmarkEnd w:id="11833"/>
      <w:r>
        <w:rPr>
          <w:rFonts w:hint="cs"/>
          <w:rtl/>
        </w:rPr>
        <w:t xml:space="preserve">שאחראי </w:t>
      </w:r>
      <w:bookmarkStart w:id="11834" w:name="_ETM_Q14_474639"/>
      <w:bookmarkEnd w:id="11834"/>
      <w:r>
        <w:rPr>
          <w:rFonts w:hint="cs"/>
          <w:rtl/>
        </w:rPr>
        <w:t xml:space="preserve">על </w:t>
      </w:r>
      <w:bookmarkStart w:id="11835" w:name="_ETM_Q14_474759"/>
      <w:bookmarkEnd w:id="11835"/>
      <w:r>
        <w:rPr>
          <w:rFonts w:hint="cs"/>
          <w:rtl/>
        </w:rPr>
        <w:t xml:space="preserve">שטחי </w:t>
      </w:r>
      <w:bookmarkStart w:id="11836" w:name="_ETM_Q14_475150"/>
      <w:bookmarkEnd w:id="11836"/>
      <w:r>
        <w:t>C</w:t>
      </w:r>
      <w:r>
        <w:rPr>
          <w:rFonts w:hint="cs"/>
          <w:rtl/>
        </w:rPr>
        <w:t xml:space="preserve"> </w:t>
      </w:r>
      <w:bookmarkStart w:id="11837" w:name="_ETM_Q14_476169"/>
      <w:bookmarkEnd w:id="11837"/>
      <w:r>
        <w:rPr>
          <w:rFonts w:hint="cs"/>
          <w:rtl/>
        </w:rPr>
        <w:t xml:space="preserve">יעשה </w:t>
      </w:r>
      <w:bookmarkStart w:id="11838" w:name="_ETM_Q14_476619"/>
      <w:bookmarkEnd w:id="11838"/>
      <w:r>
        <w:rPr>
          <w:rFonts w:hint="cs"/>
          <w:rtl/>
        </w:rPr>
        <w:t xml:space="preserve">סיפוח </w:t>
      </w:r>
      <w:bookmarkStart w:id="11839" w:name="_ETM_Q14_477339"/>
      <w:bookmarkEnd w:id="11839"/>
      <w:r>
        <w:rPr>
          <w:rFonts w:hint="cs"/>
          <w:rtl/>
        </w:rPr>
        <w:t>שקט?</w:t>
      </w:r>
      <w:bookmarkStart w:id="11840" w:name="_ETM_Q14_480479"/>
      <w:bookmarkStart w:id="11841" w:name="_ETM_Q14_478354"/>
      <w:bookmarkEnd w:id="11840"/>
      <w:bookmarkEnd w:id="11841"/>
      <w:r>
        <w:rPr>
          <w:rFonts w:hint="cs"/>
          <w:rtl/>
        </w:rPr>
        <w:t xml:space="preserve"> </w:t>
      </w:r>
      <w:bookmarkStart w:id="11842" w:name="_ETM_Q14_481750"/>
      <w:bookmarkEnd w:id="11842"/>
      <w:r>
        <w:rPr>
          <w:rFonts w:hint="cs"/>
          <w:rtl/>
        </w:rPr>
        <w:t xml:space="preserve">לא </w:t>
      </w:r>
      <w:bookmarkStart w:id="11843" w:name="_ETM_Q14_481959"/>
      <w:bookmarkEnd w:id="11843"/>
      <w:r>
        <w:rPr>
          <w:rFonts w:hint="cs"/>
          <w:rtl/>
        </w:rPr>
        <w:t>סביר.</w:t>
      </w:r>
      <w:bookmarkStart w:id="11844" w:name="_ETM_Q14_482044"/>
      <w:bookmarkEnd w:id="11844"/>
      <w:r>
        <w:rPr>
          <w:rFonts w:hint="cs"/>
          <w:rtl/>
        </w:rPr>
        <w:t xml:space="preserve"> </w:t>
      </w:r>
      <w:bookmarkStart w:id="11845" w:name="_ETM_Q14_482560"/>
      <w:bookmarkEnd w:id="11845"/>
      <w:r>
        <w:rPr>
          <w:rFonts w:hint="cs"/>
          <w:rtl/>
        </w:rPr>
        <w:t xml:space="preserve">זה </w:t>
      </w:r>
      <w:bookmarkStart w:id="11846" w:name="_ETM_Q14_482770"/>
      <w:bookmarkEnd w:id="11846"/>
      <w:r>
        <w:rPr>
          <w:rFonts w:hint="cs"/>
          <w:rtl/>
        </w:rPr>
        <w:t xml:space="preserve">גם </w:t>
      </w:r>
      <w:bookmarkStart w:id="11847" w:name="_ETM_Q14_483010"/>
      <w:bookmarkEnd w:id="11847"/>
      <w:r>
        <w:rPr>
          <w:rFonts w:hint="cs"/>
          <w:rtl/>
        </w:rPr>
        <w:t xml:space="preserve">מנוגד </w:t>
      </w:r>
      <w:bookmarkStart w:id="11848" w:name="_ETM_Q14_483520"/>
      <w:bookmarkEnd w:id="11848"/>
      <w:r>
        <w:rPr>
          <w:rFonts w:hint="cs"/>
          <w:rtl/>
        </w:rPr>
        <w:t xml:space="preserve">לחוק </w:t>
      </w:r>
      <w:bookmarkStart w:id="11849" w:name="_ETM_Q14_483820"/>
      <w:bookmarkEnd w:id="11849"/>
      <w:r>
        <w:rPr>
          <w:rFonts w:hint="cs"/>
          <w:rtl/>
        </w:rPr>
        <w:t xml:space="preserve">הבין-לאומי, </w:t>
      </w:r>
      <w:bookmarkStart w:id="11850" w:name="_ETM_Q14_486120"/>
      <w:bookmarkEnd w:id="11850"/>
      <w:r>
        <w:rPr>
          <w:rFonts w:hint="cs"/>
          <w:rtl/>
        </w:rPr>
        <w:t xml:space="preserve">ובכל </w:t>
      </w:r>
      <w:bookmarkStart w:id="11851" w:name="_ETM_Q14_486540"/>
      <w:bookmarkEnd w:id="11851"/>
      <w:r>
        <w:rPr>
          <w:rFonts w:hint="cs"/>
          <w:rtl/>
        </w:rPr>
        <w:t xml:space="preserve">זאת, </w:t>
      </w:r>
      <w:bookmarkStart w:id="11852" w:name="_ETM_Q14_486779"/>
      <w:bookmarkEnd w:id="11852"/>
      <w:r>
        <w:rPr>
          <w:rFonts w:hint="cs"/>
          <w:rtl/>
        </w:rPr>
        <w:t xml:space="preserve">הוא </w:t>
      </w:r>
      <w:bookmarkStart w:id="11853" w:name="_ETM_Q14_486870"/>
      <w:bookmarkEnd w:id="11853"/>
      <w:r>
        <w:rPr>
          <w:rFonts w:hint="cs"/>
          <w:rtl/>
        </w:rPr>
        <w:t>עוש</w:t>
      </w:r>
      <w:bookmarkStart w:id="11854" w:name="_ETM_Q14_482142"/>
      <w:bookmarkEnd w:id="11854"/>
      <w:r>
        <w:rPr>
          <w:rFonts w:hint="cs"/>
          <w:rtl/>
        </w:rPr>
        <w:t xml:space="preserve">ה </w:t>
      </w:r>
      <w:bookmarkStart w:id="11855" w:name="_ETM_Q14_487200"/>
      <w:bookmarkEnd w:id="11855"/>
      <w:r>
        <w:rPr>
          <w:rFonts w:hint="cs"/>
          <w:rtl/>
        </w:rPr>
        <w:t xml:space="preserve">את </w:t>
      </w:r>
      <w:bookmarkStart w:id="11856" w:name="_ETM_Q14_487290"/>
      <w:bookmarkEnd w:id="11856"/>
      <w:r>
        <w:rPr>
          <w:rFonts w:hint="cs"/>
          <w:rtl/>
        </w:rPr>
        <w:t xml:space="preserve">זה. </w:t>
      </w:r>
      <w:bookmarkStart w:id="11857" w:name="_ETM_Q14_490570"/>
      <w:bookmarkEnd w:id="11857"/>
      <w:r>
        <w:rPr>
          <w:rFonts w:hint="cs"/>
          <w:rtl/>
        </w:rPr>
        <w:t xml:space="preserve">נתניהו </w:t>
      </w:r>
      <w:bookmarkStart w:id="11858" w:name="_ETM_Q14_491349"/>
      <w:bookmarkEnd w:id="11858"/>
      <w:r>
        <w:rPr>
          <w:rFonts w:hint="cs"/>
          <w:rtl/>
        </w:rPr>
        <w:t xml:space="preserve">לא </w:t>
      </w:r>
      <w:bookmarkStart w:id="11859" w:name="_ETM_Q14_492230"/>
      <w:bookmarkEnd w:id="11859"/>
      <w:r>
        <w:rPr>
          <w:rFonts w:hint="cs"/>
          <w:rtl/>
        </w:rPr>
        <w:t xml:space="preserve">מפסיק </w:t>
      </w:r>
      <w:bookmarkStart w:id="11860" w:name="_ETM_Q14_492830"/>
      <w:bookmarkEnd w:id="11860"/>
      <w:r>
        <w:rPr>
          <w:rFonts w:hint="cs"/>
          <w:rtl/>
        </w:rPr>
        <w:t xml:space="preserve">אותו </w:t>
      </w:r>
      <w:bookmarkStart w:id="11861" w:name="_ETM_Q14_493250"/>
      <w:bookmarkEnd w:id="11861"/>
      <w:r>
        <w:rPr>
          <w:rFonts w:hint="cs"/>
          <w:rtl/>
        </w:rPr>
        <w:t xml:space="preserve">כי </w:t>
      </w:r>
      <w:bookmarkStart w:id="11862" w:name="_ETM_Q14_493400"/>
      <w:bookmarkEnd w:id="11862"/>
      <w:r>
        <w:rPr>
          <w:rFonts w:hint="cs"/>
          <w:rtl/>
        </w:rPr>
        <w:t xml:space="preserve">הוא </w:t>
      </w:r>
      <w:bookmarkStart w:id="11863" w:name="_ETM_Q14_493460"/>
      <w:bookmarkEnd w:id="11863"/>
      <w:r>
        <w:rPr>
          <w:rFonts w:hint="cs"/>
          <w:rtl/>
        </w:rPr>
        <w:t xml:space="preserve">מסכים, </w:t>
      </w:r>
      <w:bookmarkStart w:id="11864" w:name="_ETM_Q14_495179"/>
      <w:bookmarkEnd w:id="11864"/>
      <w:r>
        <w:rPr>
          <w:rFonts w:hint="cs"/>
          <w:rtl/>
        </w:rPr>
        <w:t xml:space="preserve">או </w:t>
      </w:r>
      <w:bookmarkStart w:id="11865" w:name="_ETM_Q14_495450"/>
      <w:bookmarkEnd w:id="11865"/>
      <w:r>
        <w:rPr>
          <w:rFonts w:hint="cs"/>
          <w:rtl/>
        </w:rPr>
        <w:t>שא</w:t>
      </w:r>
      <w:bookmarkStart w:id="11866" w:name="_ETM_Q14_497550"/>
      <w:bookmarkEnd w:id="11866"/>
      <w:r>
        <w:rPr>
          <w:rFonts w:hint="cs"/>
          <w:rtl/>
        </w:rPr>
        <w:t xml:space="preserve">לה </w:t>
      </w:r>
      <w:bookmarkStart w:id="11867" w:name="_ETM_Q14_497640"/>
      <w:bookmarkEnd w:id="11867"/>
      <w:r>
        <w:rPr>
          <w:rFonts w:hint="cs"/>
          <w:rtl/>
        </w:rPr>
        <w:t xml:space="preserve">שיקולים </w:t>
      </w:r>
      <w:bookmarkStart w:id="11868" w:name="_ETM_Q14_498089"/>
      <w:bookmarkEnd w:id="11868"/>
      <w:r>
        <w:rPr>
          <w:rFonts w:hint="cs"/>
          <w:rtl/>
        </w:rPr>
        <w:t>קואליציוניים.</w:t>
      </w:r>
      <w:bookmarkStart w:id="11869" w:name="_ETM_Q14_503110"/>
      <w:bookmarkEnd w:id="11869"/>
      <w:r>
        <w:rPr>
          <w:rFonts w:hint="cs"/>
          <w:rtl/>
        </w:rPr>
        <w:t xml:space="preserve"> </w:t>
      </w:r>
      <w:bookmarkStart w:id="11870" w:name="_ETM_Q14_504739"/>
      <w:bookmarkStart w:id="11871" w:name="_ETM_Q14_504825"/>
      <w:bookmarkStart w:id="11872" w:name="_ETM_Q14_504898"/>
      <w:bookmarkStart w:id="11873" w:name="_ETM_Q14_504952"/>
      <w:bookmarkEnd w:id="11870"/>
      <w:bookmarkEnd w:id="11871"/>
      <w:bookmarkEnd w:id="11872"/>
      <w:bookmarkEnd w:id="11873"/>
      <w:r>
        <w:rPr>
          <w:rFonts w:hint="cs"/>
          <w:rtl/>
        </w:rPr>
        <w:t xml:space="preserve">ראש </w:t>
      </w:r>
      <w:bookmarkStart w:id="11874" w:name="_ETM_Q14_503350"/>
      <w:bookmarkEnd w:id="11874"/>
      <w:r>
        <w:rPr>
          <w:rFonts w:hint="cs"/>
          <w:rtl/>
        </w:rPr>
        <w:t xml:space="preserve">הממשלה </w:t>
      </w:r>
      <w:bookmarkStart w:id="11875" w:name="_ETM_Q14_504100"/>
      <w:bookmarkEnd w:id="11875"/>
      <w:r>
        <w:rPr>
          <w:rFonts w:hint="cs"/>
          <w:rtl/>
        </w:rPr>
        <w:t xml:space="preserve">אמר </w:t>
      </w:r>
      <w:bookmarkStart w:id="11876" w:name="_ETM_Q14_504400"/>
      <w:bookmarkEnd w:id="11876"/>
      <w:r>
        <w:rPr>
          <w:rFonts w:hint="cs"/>
          <w:rtl/>
        </w:rPr>
        <w:t xml:space="preserve">לנו </w:t>
      </w:r>
      <w:bookmarkStart w:id="11877" w:name="_ETM_Q14_504640"/>
      <w:bookmarkEnd w:id="11877"/>
      <w:r>
        <w:rPr>
          <w:rFonts w:hint="cs"/>
          <w:rtl/>
        </w:rPr>
        <w:t xml:space="preserve">בפגישה </w:t>
      </w:r>
      <w:bookmarkStart w:id="11878" w:name="_ETM_Q14_505589"/>
      <w:bookmarkEnd w:id="11878"/>
      <w:r>
        <w:rPr>
          <w:rFonts w:hint="cs"/>
          <w:rtl/>
        </w:rPr>
        <w:t xml:space="preserve">כי </w:t>
      </w:r>
      <w:bookmarkStart w:id="11879" w:name="_ETM_Q14_505710"/>
      <w:bookmarkEnd w:id="11879"/>
      <w:r>
        <w:rPr>
          <w:rFonts w:hint="cs"/>
          <w:rtl/>
        </w:rPr>
        <w:t xml:space="preserve">הוא </w:t>
      </w:r>
      <w:bookmarkStart w:id="11880" w:name="_ETM_Q14_505829"/>
      <w:bookmarkEnd w:id="11880"/>
      <w:r>
        <w:rPr>
          <w:rFonts w:hint="cs"/>
          <w:rtl/>
        </w:rPr>
        <w:t xml:space="preserve">נחוש </w:t>
      </w:r>
      <w:bookmarkStart w:id="11881" w:name="_ETM_Q14_506310"/>
      <w:bookmarkEnd w:id="11881"/>
      <w:r>
        <w:rPr>
          <w:rFonts w:hint="cs"/>
          <w:rtl/>
        </w:rPr>
        <w:t xml:space="preserve">לטפל </w:t>
      </w:r>
      <w:bookmarkStart w:id="11882" w:name="_ETM_Q14_506849"/>
      <w:bookmarkEnd w:id="11882"/>
      <w:r>
        <w:rPr>
          <w:rFonts w:hint="cs"/>
          <w:rtl/>
        </w:rPr>
        <w:t xml:space="preserve">בארגוני </w:t>
      </w:r>
      <w:bookmarkStart w:id="11883" w:name="_ETM_Q14_507449"/>
      <w:bookmarkEnd w:id="11883"/>
      <w:r>
        <w:rPr>
          <w:rFonts w:hint="cs"/>
          <w:rtl/>
        </w:rPr>
        <w:t xml:space="preserve">הפשיעה </w:t>
      </w:r>
      <w:bookmarkStart w:id="11884" w:name="_ETM_Q14_509449"/>
      <w:bookmarkEnd w:id="11884"/>
      <w:r>
        <w:rPr>
          <w:rFonts w:hint="cs"/>
          <w:rtl/>
        </w:rPr>
        <w:t xml:space="preserve">ובפשיעה, </w:t>
      </w:r>
      <w:bookmarkStart w:id="11885" w:name="_ETM_Q14_510919"/>
      <w:bookmarkEnd w:id="11885"/>
      <w:r>
        <w:rPr>
          <w:rFonts w:hint="cs"/>
          <w:rtl/>
        </w:rPr>
        <w:t>ואמר ש</w:t>
      </w:r>
      <w:bookmarkStart w:id="11886" w:name="_ETM_Q14_508962"/>
      <w:bookmarkEnd w:id="11886"/>
      <w:r>
        <w:rPr>
          <w:rFonts w:hint="cs"/>
          <w:rtl/>
        </w:rPr>
        <w:t>כמו</w:t>
      </w:r>
      <w:bookmarkStart w:id="11887" w:name="_ETM_Q14_511759"/>
      <w:bookmarkStart w:id="11888" w:name="_ETM_Q14_509192"/>
      <w:bookmarkStart w:id="11889" w:name="_ETM_Q14_512089"/>
      <w:bookmarkEnd w:id="11887"/>
      <w:bookmarkEnd w:id="11888"/>
      <w:bookmarkEnd w:id="11889"/>
      <w:r>
        <w:rPr>
          <w:rFonts w:hint="cs"/>
          <w:rtl/>
        </w:rPr>
        <w:t xml:space="preserve"> שהמשטרה </w:t>
      </w:r>
      <w:bookmarkStart w:id="11890" w:name="_ETM_Q14_512809"/>
      <w:bookmarkEnd w:id="11890"/>
      <w:r>
        <w:rPr>
          <w:rFonts w:hint="cs"/>
          <w:rtl/>
        </w:rPr>
        <w:t xml:space="preserve">הצליחה </w:t>
      </w:r>
      <w:bookmarkStart w:id="11891" w:name="_ETM_Q14_514060"/>
      <w:bookmarkEnd w:id="11891"/>
      <w:r>
        <w:rPr>
          <w:rFonts w:hint="cs"/>
          <w:rtl/>
        </w:rPr>
        <w:t>ביישובים</w:t>
      </w:r>
      <w:bookmarkStart w:id="11892" w:name="_ETM_Q14_514054"/>
      <w:bookmarkEnd w:id="11892"/>
      <w:r>
        <w:rPr>
          <w:rFonts w:hint="cs"/>
          <w:rtl/>
        </w:rPr>
        <w:t xml:space="preserve"> </w:t>
      </w:r>
      <w:bookmarkStart w:id="11893" w:name="_ETM_Q14_514839"/>
      <w:bookmarkEnd w:id="11893"/>
      <w:r>
        <w:rPr>
          <w:rFonts w:hint="cs"/>
          <w:rtl/>
        </w:rPr>
        <w:t>היהודיים</w:t>
      </w:r>
      <w:bookmarkStart w:id="11894" w:name="_ETM_Q14_515410"/>
      <w:bookmarkEnd w:id="11894"/>
      <w:r>
        <w:rPr>
          <w:rFonts w:hint="cs"/>
          <w:rtl/>
        </w:rPr>
        <w:t xml:space="preserve">, </w:t>
      </w:r>
      <w:bookmarkStart w:id="11895" w:name="_ETM_Q14_512541"/>
      <w:bookmarkEnd w:id="11895"/>
      <w:r>
        <w:rPr>
          <w:rFonts w:hint="cs"/>
          <w:rtl/>
        </w:rPr>
        <w:t xml:space="preserve">היא </w:t>
      </w:r>
      <w:bookmarkStart w:id="11896" w:name="_ETM_Q14_515500"/>
      <w:bookmarkEnd w:id="11896"/>
      <w:r>
        <w:rPr>
          <w:rFonts w:hint="cs"/>
          <w:rtl/>
        </w:rPr>
        <w:t xml:space="preserve">צריכה </w:t>
      </w:r>
      <w:bookmarkStart w:id="11897" w:name="_ETM_Q14_515800"/>
      <w:bookmarkStart w:id="11898" w:name="_ETM_Q14_516280"/>
      <w:bookmarkEnd w:id="11897"/>
      <w:bookmarkEnd w:id="11898"/>
      <w:r>
        <w:rPr>
          <w:rFonts w:hint="cs"/>
          <w:rtl/>
        </w:rPr>
        <w:t xml:space="preserve">להצליח </w:t>
      </w:r>
      <w:bookmarkStart w:id="11899" w:name="_ETM_Q14_516820"/>
      <w:bookmarkEnd w:id="11899"/>
      <w:r>
        <w:rPr>
          <w:rFonts w:hint="cs"/>
          <w:rtl/>
        </w:rPr>
        <w:t>בי</w:t>
      </w:r>
      <w:bookmarkStart w:id="11900" w:name="_ETM_Q14_514352"/>
      <w:bookmarkEnd w:id="11900"/>
      <w:r>
        <w:rPr>
          <w:rFonts w:hint="cs"/>
          <w:rtl/>
        </w:rPr>
        <w:t xml:space="preserve">ישובים </w:t>
      </w:r>
      <w:bookmarkStart w:id="11901" w:name="_ETM_Q14_517300"/>
      <w:bookmarkEnd w:id="11901"/>
      <w:r>
        <w:rPr>
          <w:rFonts w:hint="cs"/>
          <w:rtl/>
        </w:rPr>
        <w:t xml:space="preserve">הערביים. </w:t>
      </w:r>
      <w:bookmarkStart w:id="11902" w:name="_ETM_Q14_517720"/>
      <w:bookmarkEnd w:id="11902"/>
      <w:r>
        <w:rPr>
          <w:rFonts w:hint="cs"/>
          <w:rtl/>
        </w:rPr>
        <w:t xml:space="preserve">אז </w:t>
      </w:r>
      <w:bookmarkStart w:id="11903" w:name="_ETM_Q14_518110"/>
      <w:bookmarkEnd w:id="11903"/>
      <w:r>
        <w:rPr>
          <w:rFonts w:hint="cs"/>
          <w:rtl/>
        </w:rPr>
        <w:t xml:space="preserve">אמרתי </w:t>
      </w:r>
      <w:bookmarkStart w:id="11904" w:name="_ETM_Q14_518470"/>
      <w:bookmarkEnd w:id="11904"/>
      <w:r>
        <w:rPr>
          <w:rFonts w:hint="cs"/>
          <w:rtl/>
        </w:rPr>
        <w:t xml:space="preserve">לו: </w:t>
      </w:r>
      <w:bookmarkStart w:id="11905" w:name="_ETM_Q14_519100"/>
      <w:bookmarkEnd w:id="11905"/>
      <w:r>
        <w:rPr>
          <w:rFonts w:hint="cs"/>
          <w:rtl/>
        </w:rPr>
        <w:t xml:space="preserve">אם </w:t>
      </w:r>
      <w:bookmarkStart w:id="11906" w:name="_ETM_Q14_519310"/>
      <w:bookmarkEnd w:id="11906"/>
      <w:r>
        <w:rPr>
          <w:rFonts w:hint="cs"/>
          <w:rtl/>
        </w:rPr>
        <w:t xml:space="preserve">אתה </w:t>
      </w:r>
      <w:bookmarkStart w:id="11907" w:name="_ETM_Q14_519520"/>
      <w:bookmarkEnd w:id="11907"/>
      <w:r>
        <w:rPr>
          <w:rFonts w:hint="cs"/>
          <w:rtl/>
        </w:rPr>
        <w:t xml:space="preserve">כל </w:t>
      </w:r>
      <w:bookmarkStart w:id="11908" w:name="_ETM_Q14_519670"/>
      <w:bookmarkEnd w:id="11908"/>
      <w:r>
        <w:rPr>
          <w:rFonts w:hint="cs"/>
          <w:rtl/>
        </w:rPr>
        <w:t xml:space="preserve">כך </w:t>
      </w:r>
      <w:bookmarkStart w:id="11909" w:name="_ETM_Q14_519850"/>
      <w:bookmarkEnd w:id="11909"/>
      <w:r>
        <w:rPr>
          <w:rFonts w:hint="cs"/>
          <w:rtl/>
        </w:rPr>
        <w:t xml:space="preserve">נחוש, </w:t>
      </w:r>
      <w:bookmarkStart w:id="11910" w:name="_ETM_Q14_520560"/>
      <w:bookmarkEnd w:id="11910"/>
      <w:r>
        <w:rPr>
          <w:rFonts w:hint="cs"/>
          <w:rtl/>
        </w:rPr>
        <w:t xml:space="preserve">איך </w:t>
      </w:r>
      <w:bookmarkStart w:id="11911" w:name="_ETM_Q14_520800"/>
      <w:bookmarkEnd w:id="11911"/>
      <w:r>
        <w:rPr>
          <w:rFonts w:hint="cs"/>
          <w:rtl/>
        </w:rPr>
        <w:t xml:space="preserve">אתה </w:t>
      </w:r>
      <w:bookmarkStart w:id="11912" w:name="_ETM_Q14_521070"/>
      <w:bookmarkEnd w:id="11912"/>
      <w:r>
        <w:rPr>
          <w:rFonts w:hint="cs"/>
          <w:rtl/>
        </w:rPr>
        <w:t xml:space="preserve">ממנה </w:t>
      </w:r>
      <w:bookmarkStart w:id="11913" w:name="_ETM_Q14_523699"/>
      <w:bookmarkEnd w:id="11913"/>
      <w:r>
        <w:rPr>
          <w:rFonts w:hint="cs"/>
          <w:rtl/>
        </w:rPr>
        <w:t xml:space="preserve">את </w:t>
      </w:r>
      <w:bookmarkStart w:id="11914" w:name="_ETM_Q14_520611"/>
      <w:bookmarkEnd w:id="11914"/>
      <w:r>
        <w:rPr>
          <w:rFonts w:hint="cs"/>
          <w:rtl/>
        </w:rPr>
        <w:t xml:space="preserve">בן </w:t>
      </w:r>
      <w:bookmarkStart w:id="11915" w:name="_ETM_Q14_524000"/>
      <w:bookmarkEnd w:id="11915"/>
      <w:r>
        <w:rPr>
          <w:rFonts w:hint="cs"/>
          <w:rtl/>
        </w:rPr>
        <w:t xml:space="preserve">גביר </w:t>
      </w:r>
      <w:bookmarkStart w:id="11916" w:name="_ETM_Q14_524449"/>
      <w:bookmarkEnd w:id="11916"/>
      <w:r>
        <w:rPr>
          <w:rFonts w:hint="cs"/>
          <w:rtl/>
        </w:rPr>
        <w:t xml:space="preserve">לשר </w:t>
      </w:r>
      <w:bookmarkStart w:id="11917" w:name="_ETM_Q14_524779"/>
      <w:bookmarkEnd w:id="11917"/>
      <w:r>
        <w:rPr>
          <w:rFonts w:hint="cs"/>
          <w:rtl/>
        </w:rPr>
        <w:t xml:space="preserve">לביטחון </w:t>
      </w:r>
      <w:bookmarkStart w:id="11918" w:name="_ETM_Q14_525289"/>
      <w:bookmarkEnd w:id="11918"/>
      <w:r>
        <w:rPr>
          <w:rFonts w:hint="cs"/>
          <w:rtl/>
        </w:rPr>
        <w:t>לאומי?</w:t>
      </w:r>
      <w:bookmarkStart w:id="11919" w:name="_ETM_Q14_522310"/>
      <w:bookmarkEnd w:id="11919"/>
      <w:r>
        <w:rPr>
          <w:rFonts w:hint="cs"/>
          <w:rtl/>
        </w:rPr>
        <w:t xml:space="preserve"> </w:t>
      </w:r>
      <w:bookmarkStart w:id="11920" w:name="_ETM_Q14_525719"/>
      <w:bookmarkEnd w:id="11920"/>
      <w:r>
        <w:rPr>
          <w:rFonts w:hint="cs"/>
          <w:rtl/>
        </w:rPr>
        <w:t xml:space="preserve">איך? </w:t>
      </w:r>
      <w:bookmarkStart w:id="11921" w:name="_ETM_Q14_522180"/>
      <w:bookmarkEnd w:id="11921"/>
      <w:r>
        <w:rPr>
          <w:rFonts w:hint="cs"/>
          <w:rtl/>
        </w:rPr>
        <w:t xml:space="preserve">(אומר בערבית: איך זה וזה) </w:t>
      </w:r>
      <w:bookmarkStart w:id="11922" w:name="_ETM_Q14_527309"/>
      <w:bookmarkEnd w:id="11922"/>
      <w:r>
        <w:rPr>
          <w:rFonts w:hint="cs"/>
          <w:rtl/>
        </w:rPr>
        <w:t xml:space="preserve">איך? </w:t>
      </w:r>
      <w:bookmarkStart w:id="11923" w:name="_ETM_Q14_528070"/>
      <w:bookmarkEnd w:id="11923"/>
      <w:r>
        <w:rPr>
          <w:rFonts w:hint="cs"/>
          <w:rtl/>
        </w:rPr>
        <w:t xml:space="preserve">זה </w:t>
      </w:r>
      <w:bookmarkStart w:id="11924" w:name="_ETM_Q14_528489"/>
      <w:bookmarkEnd w:id="11924"/>
      <w:r>
        <w:rPr>
          <w:rFonts w:hint="cs"/>
          <w:rtl/>
        </w:rPr>
        <w:t xml:space="preserve">אוקסימורון, </w:t>
      </w:r>
      <w:bookmarkStart w:id="11925" w:name="_ETM_Q14_529600"/>
      <w:bookmarkEnd w:id="11925"/>
      <w:r>
        <w:rPr>
          <w:rFonts w:hint="cs"/>
          <w:rtl/>
        </w:rPr>
        <w:t xml:space="preserve">זה </w:t>
      </w:r>
      <w:bookmarkStart w:id="11926" w:name="_ETM_Q14_529779"/>
      <w:bookmarkEnd w:id="11926"/>
      <w:r>
        <w:rPr>
          <w:rFonts w:hint="cs"/>
          <w:rtl/>
        </w:rPr>
        <w:t>דבר</w:t>
      </w:r>
      <w:bookmarkStart w:id="11927" w:name="_ETM_Q14_530199"/>
      <w:bookmarkEnd w:id="11927"/>
      <w:r>
        <w:rPr>
          <w:rFonts w:hint="cs"/>
          <w:rtl/>
        </w:rPr>
        <w:t xml:space="preserve"> </w:t>
      </w:r>
      <w:bookmarkStart w:id="11928" w:name="_ETM_Q14_530589"/>
      <w:bookmarkEnd w:id="11928"/>
      <w:r>
        <w:rPr>
          <w:rFonts w:hint="cs"/>
          <w:rtl/>
        </w:rPr>
        <w:t xml:space="preserve">והיפוכו: </w:t>
      </w:r>
      <w:bookmarkStart w:id="11929" w:name="_ETM_Q14_532779"/>
      <w:bookmarkEnd w:id="11929"/>
      <w:r>
        <w:rPr>
          <w:rFonts w:hint="cs"/>
          <w:rtl/>
        </w:rPr>
        <w:t xml:space="preserve">עבריין </w:t>
      </w:r>
      <w:bookmarkStart w:id="11930" w:name="_ETM_Q14_533779"/>
      <w:bookmarkStart w:id="11931" w:name="_ETM_Q14_531740"/>
      <w:bookmarkEnd w:id="11930"/>
      <w:bookmarkEnd w:id="11931"/>
      <w:r>
        <w:rPr>
          <w:rFonts w:hint="cs"/>
          <w:rtl/>
        </w:rPr>
        <w:t xml:space="preserve">מטפל </w:t>
      </w:r>
      <w:bookmarkStart w:id="11932" w:name="_ETM_Q14_534969"/>
      <w:bookmarkEnd w:id="11932"/>
      <w:r>
        <w:rPr>
          <w:rFonts w:hint="cs"/>
          <w:rtl/>
        </w:rPr>
        <w:t>ב</w:t>
      </w:r>
      <w:bookmarkStart w:id="11933" w:name="_ETM_Q14_535299"/>
      <w:bookmarkEnd w:id="11933"/>
      <w:r>
        <w:rPr>
          <w:rFonts w:hint="cs"/>
          <w:rtl/>
        </w:rPr>
        <w:t>עבריינים.</w:t>
      </w:r>
      <w:bookmarkStart w:id="11934" w:name="_ETM_Q14_532120"/>
      <w:bookmarkEnd w:id="11934"/>
      <w:r>
        <w:rPr>
          <w:rFonts w:hint="cs"/>
          <w:rtl/>
        </w:rPr>
        <w:t xml:space="preserve"> </w:t>
      </w:r>
      <w:bookmarkStart w:id="11935" w:name="_ETM_Q14_535929"/>
      <w:bookmarkEnd w:id="11935"/>
      <w:r>
        <w:rPr>
          <w:rFonts w:hint="cs"/>
          <w:rtl/>
        </w:rPr>
        <w:t xml:space="preserve">יכול </w:t>
      </w:r>
      <w:bookmarkStart w:id="11936" w:name="_ETM_Q14_536170"/>
      <w:bookmarkEnd w:id="11936"/>
      <w:r>
        <w:rPr>
          <w:rFonts w:hint="cs"/>
          <w:rtl/>
        </w:rPr>
        <w:t xml:space="preserve">להיות </w:t>
      </w:r>
      <w:bookmarkStart w:id="11937" w:name="_ETM_Q14_536379"/>
      <w:bookmarkEnd w:id="11937"/>
      <w:r>
        <w:rPr>
          <w:rFonts w:hint="cs"/>
          <w:rtl/>
        </w:rPr>
        <w:t xml:space="preserve">שזה </w:t>
      </w:r>
      <w:bookmarkStart w:id="11938" w:name="_ETM_Q14_536619"/>
      <w:bookmarkEnd w:id="11938"/>
      <w:r>
        <w:rPr>
          <w:rFonts w:hint="cs"/>
          <w:rtl/>
        </w:rPr>
        <w:t xml:space="preserve">תחום </w:t>
      </w:r>
      <w:bookmarkStart w:id="11939" w:name="_ETM_Q14_536859"/>
      <w:bookmarkEnd w:id="11939"/>
      <w:r>
        <w:rPr>
          <w:rFonts w:hint="cs"/>
          <w:rtl/>
        </w:rPr>
        <w:t xml:space="preserve">מומחיות, </w:t>
      </w:r>
      <w:bookmarkStart w:id="11940" w:name="_ETM_Q14_541579"/>
      <w:bookmarkEnd w:id="11940"/>
      <w:r>
        <w:rPr>
          <w:rFonts w:hint="cs"/>
          <w:rtl/>
        </w:rPr>
        <w:t xml:space="preserve">אבל </w:t>
      </w:r>
      <w:bookmarkStart w:id="11941" w:name="_ETM_Q14_541879"/>
      <w:bookmarkEnd w:id="11941"/>
      <w:r>
        <w:rPr>
          <w:rFonts w:hint="cs"/>
          <w:rtl/>
        </w:rPr>
        <w:t xml:space="preserve">התוצאות </w:t>
      </w:r>
      <w:bookmarkStart w:id="11942" w:name="_ETM_Q14_542359"/>
      <w:bookmarkEnd w:id="11942"/>
      <w:r>
        <w:rPr>
          <w:rFonts w:hint="cs"/>
          <w:rtl/>
        </w:rPr>
        <w:t xml:space="preserve">בשטח </w:t>
      </w:r>
      <w:bookmarkStart w:id="11943" w:name="_ETM_Q14_542839"/>
      <w:bookmarkEnd w:id="11943"/>
      <w:r>
        <w:rPr>
          <w:rFonts w:hint="cs"/>
          <w:rtl/>
        </w:rPr>
        <w:t>ה</w:t>
      </w:r>
      <w:bookmarkStart w:id="11944" w:name="_ETM_Q14_542989"/>
      <w:bookmarkStart w:id="11945" w:name="_ETM_Q14_543529"/>
      <w:bookmarkEnd w:id="11944"/>
      <w:bookmarkEnd w:id="11945"/>
      <w:r>
        <w:rPr>
          <w:rFonts w:hint="cs"/>
          <w:rtl/>
        </w:rPr>
        <w:t xml:space="preserve">ן עגומות, </w:t>
      </w:r>
      <w:bookmarkStart w:id="11946" w:name="_ETM_Q14_544189"/>
      <w:bookmarkEnd w:id="11946"/>
      <w:r>
        <w:rPr>
          <w:rFonts w:hint="cs"/>
          <w:rtl/>
        </w:rPr>
        <w:t>הן</w:t>
      </w:r>
      <w:bookmarkStart w:id="11947" w:name="_ETM_Q14_539921"/>
      <w:bookmarkEnd w:id="11947"/>
      <w:r>
        <w:rPr>
          <w:rFonts w:hint="cs"/>
          <w:rtl/>
        </w:rPr>
        <w:t xml:space="preserve"> </w:t>
      </w:r>
      <w:bookmarkStart w:id="11948" w:name="_ETM_Q14_544310"/>
      <w:bookmarkEnd w:id="11948"/>
      <w:r>
        <w:rPr>
          <w:rFonts w:hint="cs"/>
          <w:rtl/>
        </w:rPr>
        <w:t xml:space="preserve">כואבות, </w:t>
      </w:r>
      <w:bookmarkStart w:id="11949" w:name="_ETM_Q14_545320"/>
      <w:bookmarkEnd w:id="11949"/>
      <w:r>
        <w:rPr>
          <w:rFonts w:hint="cs"/>
          <w:rtl/>
        </w:rPr>
        <w:t xml:space="preserve">לא </w:t>
      </w:r>
      <w:bookmarkStart w:id="11950" w:name="_ETM_Q14_545589"/>
      <w:bookmarkEnd w:id="11950"/>
      <w:r>
        <w:rPr>
          <w:rFonts w:hint="cs"/>
          <w:rtl/>
        </w:rPr>
        <w:t xml:space="preserve">רק </w:t>
      </w:r>
      <w:bookmarkStart w:id="11951" w:name="_ETM_Q14_545799"/>
      <w:bookmarkEnd w:id="11951"/>
      <w:r>
        <w:rPr>
          <w:rFonts w:hint="cs"/>
          <w:rtl/>
        </w:rPr>
        <w:t xml:space="preserve">בחברה </w:t>
      </w:r>
      <w:bookmarkStart w:id="11952" w:name="_ETM_Q14_546189"/>
      <w:bookmarkEnd w:id="11952"/>
      <w:r>
        <w:rPr>
          <w:rFonts w:hint="cs"/>
          <w:rtl/>
        </w:rPr>
        <w:t>הערבית</w:t>
      </w:r>
      <w:bookmarkStart w:id="11953" w:name="_ETM_Q14_545889"/>
      <w:bookmarkStart w:id="11954" w:name="_ETM_Q14_545979"/>
      <w:bookmarkStart w:id="11955" w:name="_ETM_Q14_543162"/>
      <w:bookmarkEnd w:id="11953"/>
      <w:bookmarkEnd w:id="11954"/>
      <w:bookmarkEnd w:id="11955"/>
      <w:r>
        <w:rPr>
          <w:rFonts w:hint="cs"/>
          <w:rtl/>
        </w:rPr>
        <w:t xml:space="preserve">. </w:t>
      </w:r>
      <w:bookmarkStart w:id="11956" w:name="_ETM_Q14_546549"/>
      <w:bookmarkEnd w:id="11956"/>
      <w:r>
        <w:rPr>
          <w:rFonts w:hint="cs"/>
          <w:rtl/>
        </w:rPr>
        <w:t xml:space="preserve">גם </w:t>
      </w:r>
      <w:bookmarkStart w:id="11957" w:name="_ETM_Q14_546759"/>
      <w:bookmarkEnd w:id="11957"/>
      <w:r>
        <w:rPr>
          <w:rFonts w:hint="cs"/>
          <w:rtl/>
        </w:rPr>
        <w:t xml:space="preserve">בחברה </w:t>
      </w:r>
      <w:bookmarkStart w:id="11958" w:name="_ETM_Q14_547150"/>
      <w:bookmarkEnd w:id="11958"/>
      <w:r>
        <w:rPr>
          <w:rFonts w:hint="cs"/>
          <w:rtl/>
        </w:rPr>
        <w:t xml:space="preserve">היהודית </w:t>
      </w:r>
      <w:bookmarkStart w:id="11959" w:name="_ETM_Q14_547630"/>
      <w:bookmarkEnd w:id="11959"/>
      <w:r>
        <w:rPr>
          <w:rFonts w:hint="cs"/>
          <w:rtl/>
        </w:rPr>
        <w:t xml:space="preserve">יש </w:t>
      </w:r>
      <w:bookmarkStart w:id="11960" w:name="_ETM_Q14_547810"/>
      <w:bookmarkEnd w:id="11960"/>
      <w:r>
        <w:rPr>
          <w:rFonts w:hint="cs"/>
          <w:rtl/>
        </w:rPr>
        <w:t xml:space="preserve">עלייה </w:t>
      </w:r>
      <w:bookmarkStart w:id="11961" w:name="_ETM_Q14_548110"/>
      <w:bookmarkEnd w:id="11961"/>
      <w:r>
        <w:rPr>
          <w:rFonts w:hint="cs"/>
          <w:rtl/>
        </w:rPr>
        <w:t xml:space="preserve">של </w:t>
      </w:r>
      <w:bookmarkStart w:id="11962" w:name="_ETM_Q14_548290"/>
      <w:bookmarkEnd w:id="11962"/>
      <w:r>
        <w:rPr>
          <w:rFonts w:hint="cs"/>
          <w:rtl/>
        </w:rPr>
        <w:t xml:space="preserve">60% </w:t>
      </w:r>
      <w:bookmarkStart w:id="11963" w:name="_ETM_Q14_549450"/>
      <w:bookmarkEnd w:id="11963"/>
      <w:r>
        <w:rPr>
          <w:rFonts w:hint="cs"/>
          <w:rtl/>
        </w:rPr>
        <w:t>בפשיעה.</w:t>
      </w:r>
      <w:bookmarkStart w:id="11964" w:name="_ETM_Q14_552820"/>
      <w:bookmarkEnd w:id="11964"/>
    </w:p>
    <w:p w:rsidR="000C5C1F" w:rsidRDefault="000C5C1F" w:rsidP="000C5C1F">
      <w:pPr>
        <w:rPr>
          <w:rtl/>
        </w:rPr>
      </w:pPr>
      <w:bookmarkStart w:id="11965" w:name="_ETM_Q14_553538"/>
      <w:bookmarkStart w:id="11966" w:name="_ETM_Q14_553617"/>
      <w:bookmarkEnd w:id="11965"/>
      <w:bookmarkEnd w:id="11966"/>
    </w:p>
    <w:p w:rsidR="000C5C1F" w:rsidRDefault="000C5C1F" w:rsidP="000C5C1F">
      <w:pPr>
        <w:rPr>
          <w:rtl/>
        </w:rPr>
      </w:pPr>
      <w:bookmarkStart w:id="11967" w:name="_ETM_Q14_553681"/>
      <w:bookmarkStart w:id="11968" w:name="_ETM_Q14_553763"/>
      <w:bookmarkEnd w:id="11967"/>
      <w:bookmarkEnd w:id="11968"/>
      <w:r>
        <w:rPr>
          <w:rFonts w:hint="cs"/>
          <w:rtl/>
        </w:rPr>
        <w:t xml:space="preserve">ולכן, </w:t>
      </w:r>
      <w:bookmarkStart w:id="11969" w:name="_ETM_Q14_553770"/>
      <w:bookmarkEnd w:id="11969"/>
      <w:r>
        <w:rPr>
          <w:rFonts w:hint="cs"/>
          <w:rtl/>
        </w:rPr>
        <w:t xml:space="preserve">מכובדי </w:t>
      </w:r>
      <w:bookmarkStart w:id="11970" w:name="_ETM_Q14_554249"/>
      <w:bookmarkEnd w:id="11970"/>
      <w:r>
        <w:rPr>
          <w:rFonts w:hint="cs"/>
          <w:rtl/>
        </w:rPr>
        <w:t>היושב-ראש,</w:t>
      </w:r>
      <w:bookmarkStart w:id="11971" w:name="_ETM_Q14_553052"/>
      <w:bookmarkEnd w:id="11971"/>
      <w:r>
        <w:rPr>
          <w:rFonts w:hint="cs"/>
          <w:rtl/>
        </w:rPr>
        <w:t xml:space="preserve"> </w:t>
      </w:r>
      <w:bookmarkStart w:id="11972" w:name="_ETM_Q14_556320"/>
      <w:bookmarkEnd w:id="11972"/>
      <w:r>
        <w:rPr>
          <w:rFonts w:hint="cs"/>
          <w:rtl/>
        </w:rPr>
        <w:t xml:space="preserve">בגלל </w:t>
      </w:r>
      <w:bookmarkStart w:id="11973" w:name="_ETM_Q14_556920"/>
      <w:bookmarkEnd w:id="11973"/>
      <w:r>
        <w:rPr>
          <w:rFonts w:hint="cs"/>
          <w:rtl/>
        </w:rPr>
        <w:t xml:space="preserve">כל </w:t>
      </w:r>
      <w:bookmarkStart w:id="11974" w:name="_ETM_Q14_557220"/>
      <w:bookmarkEnd w:id="11974"/>
      <w:r>
        <w:rPr>
          <w:rFonts w:hint="cs"/>
          <w:rtl/>
        </w:rPr>
        <w:t xml:space="preserve">זה, </w:t>
      </w:r>
      <w:bookmarkStart w:id="11975" w:name="_ETM_Q14_559300"/>
      <w:bookmarkEnd w:id="11975"/>
      <w:r>
        <w:rPr>
          <w:rFonts w:hint="cs"/>
          <w:rtl/>
        </w:rPr>
        <w:t xml:space="preserve">ההתנגדות </w:t>
      </w:r>
      <w:bookmarkStart w:id="11976" w:name="_ETM_Q14_560020"/>
      <w:bookmarkEnd w:id="11976"/>
      <w:r>
        <w:rPr>
          <w:rFonts w:hint="cs"/>
          <w:rtl/>
        </w:rPr>
        <w:t xml:space="preserve">שלנו </w:t>
      </w:r>
      <w:bookmarkStart w:id="11977" w:name="_ETM_Q14_560410"/>
      <w:bookmarkEnd w:id="11977"/>
      <w:r>
        <w:rPr>
          <w:rFonts w:hint="cs"/>
          <w:rtl/>
        </w:rPr>
        <w:t xml:space="preserve">להפיכה </w:t>
      </w:r>
      <w:bookmarkStart w:id="11978" w:name="_ETM_Q14_560950"/>
      <w:bookmarkEnd w:id="11978"/>
      <w:r>
        <w:rPr>
          <w:rFonts w:hint="cs"/>
          <w:rtl/>
        </w:rPr>
        <w:t>המשטרית.</w:t>
      </w:r>
      <w:bookmarkStart w:id="11979" w:name="_ETM_Q14_559201"/>
      <w:bookmarkEnd w:id="11979"/>
      <w:r>
        <w:rPr>
          <w:rFonts w:hint="cs"/>
          <w:rtl/>
        </w:rPr>
        <w:t xml:space="preserve"> </w:t>
      </w:r>
      <w:bookmarkStart w:id="11980" w:name="_ETM_Q14_561520"/>
      <w:bookmarkEnd w:id="11980"/>
      <w:r>
        <w:rPr>
          <w:rFonts w:hint="cs"/>
          <w:rtl/>
        </w:rPr>
        <w:t xml:space="preserve">כי </w:t>
      </w:r>
      <w:bookmarkStart w:id="11981" w:name="_ETM_Q14_561670"/>
      <w:bookmarkEnd w:id="11981"/>
      <w:r>
        <w:rPr>
          <w:rFonts w:hint="cs"/>
          <w:rtl/>
        </w:rPr>
        <w:t xml:space="preserve">בדרך </w:t>
      </w:r>
      <w:bookmarkStart w:id="11982" w:name="_ETM_Q14_562210"/>
      <w:bookmarkEnd w:id="11982"/>
      <w:r>
        <w:rPr>
          <w:rFonts w:hint="cs"/>
          <w:rtl/>
        </w:rPr>
        <w:t>כלל</w:t>
      </w:r>
      <w:bookmarkStart w:id="11983" w:name="_ETM_Q14_562600"/>
      <w:bookmarkEnd w:id="11983"/>
      <w:r>
        <w:rPr>
          <w:rFonts w:hint="cs"/>
          <w:rtl/>
        </w:rPr>
        <w:t xml:space="preserve">, למרות </w:t>
      </w:r>
      <w:bookmarkStart w:id="11984" w:name="_ETM_Q14_563089"/>
      <w:bookmarkStart w:id="11985" w:name="_ETM_Q14_563659"/>
      <w:bookmarkEnd w:id="11984"/>
      <w:bookmarkEnd w:id="11985"/>
      <w:r>
        <w:rPr>
          <w:rFonts w:hint="cs"/>
          <w:rtl/>
        </w:rPr>
        <w:t>שבתי המשפט</w:t>
      </w:r>
      <w:bookmarkStart w:id="11986" w:name="_ETM_Q14_561891"/>
      <w:bookmarkEnd w:id="11986"/>
      <w:r>
        <w:rPr>
          <w:rFonts w:hint="cs"/>
          <w:rtl/>
        </w:rPr>
        <w:t xml:space="preserve"> </w:t>
      </w:r>
      <w:bookmarkStart w:id="11987" w:name="_ETM_Q14_561985"/>
      <w:bookmarkEnd w:id="11987"/>
      <w:r>
        <w:rPr>
          <w:rFonts w:hint="cs"/>
          <w:rtl/>
        </w:rPr>
        <w:t xml:space="preserve">לא </w:t>
      </w:r>
      <w:bookmarkStart w:id="11988" w:name="_ETM_Q14_563929"/>
      <w:bookmarkEnd w:id="11988"/>
      <w:r>
        <w:rPr>
          <w:rFonts w:hint="cs"/>
          <w:rtl/>
        </w:rPr>
        <w:t xml:space="preserve">נתנו </w:t>
      </w:r>
      <w:bookmarkStart w:id="11989" w:name="_ETM_Q14_564439"/>
      <w:bookmarkEnd w:id="11989"/>
      <w:r>
        <w:rPr>
          <w:rFonts w:hint="cs"/>
          <w:rtl/>
        </w:rPr>
        <w:t xml:space="preserve">לנו </w:t>
      </w:r>
      <w:bookmarkStart w:id="11990" w:name="_ETM_Q14_564770"/>
      <w:bookmarkEnd w:id="11990"/>
      <w:r>
        <w:rPr>
          <w:rFonts w:hint="cs"/>
          <w:rtl/>
        </w:rPr>
        <w:t>סעד</w:t>
      </w:r>
      <w:bookmarkStart w:id="11991" w:name="_ETM_Q14_565219"/>
      <w:bookmarkStart w:id="11992" w:name="_ETM_Q14_565520"/>
      <w:bookmarkStart w:id="11993" w:name="_ETM_Q14_562272"/>
      <w:bookmarkEnd w:id="11991"/>
      <w:bookmarkEnd w:id="11992"/>
      <w:bookmarkEnd w:id="11993"/>
      <w:r>
        <w:rPr>
          <w:rFonts w:hint="cs"/>
          <w:rtl/>
        </w:rPr>
        <w:t xml:space="preserve">, </w:t>
      </w:r>
      <w:bookmarkStart w:id="11994" w:name="_ETM_Q14_566610"/>
      <w:bookmarkEnd w:id="11994"/>
      <w:r>
        <w:rPr>
          <w:rFonts w:hint="cs"/>
          <w:rtl/>
        </w:rPr>
        <w:t xml:space="preserve">המיעוט </w:t>
      </w:r>
      <w:bookmarkStart w:id="11995" w:name="_ETM_Q14_567390"/>
      <w:bookmarkEnd w:id="11995"/>
      <w:r>
        <w:rPr>
          <w:rFonts w:hint="cs"/>
          <w:rtl/>
        </w:rPr>
        <w:t xml:space="preserve">נפגע </w:t>
      </w:r>
      <w:bookmarkStart w:id="11996" w:name="_ETM_Q14_568439"/>
      <w:bookmarkEnd w:id="11996"/>
      <w:r>
        <w:rPr>
          <w:rFonts w:hint="cs"/>
          <w:rtl/>
        </w:rPr>
        <w:t xml:space="preserve">יותר, </w:t>
      </w:r>
      <w:bookmarkStart w:id="11997" w:name="_ETM_Q14_569520"/>
      <w:bookmarkEnd w:id="11997"/>
      <w:r>
        <w:rPr>
          <w:rFonts w:hint="cs"/>
          <w:rtl/>
        </w:rPr>
        <w:t xml:space="preserve">בסופו </w:t>
      </w:r>
      <w:bookmarkStart w:id="11998" w:name="_ETM_Q14_570060"/>
      <w:bookmarkEnd w:id="11998"/>
      <w:r>
        <w:rPr>
          <w:rFonts w:hint="cs"/>
          <w:rtl/>
        </w:rPr>
        <w:t xml:space="preserve">של </w:t>
      </w:r>
      <w:bookmarkStart w:id="11999" w:name="_ETM_Q14_570240"/>
      <w:bookmarkEnd w:id="11999"/>
      <w:r>
        <w:rPr>
          <w:rFonts w:hint="cs"/>
          <w:rtl/>
        </w:rPr>
        <w:t xml:space="preserve">דבר, </w:t>
      </w:r>
      <w:bookmarkStart w:id="12000" w:name="_ETM_Q14_570659"/>
      <w:bookmarkEnd w:id="12000"/>
      <w:r>
        <w:rPr>
          <w:rFonts w:hint="cs"/>
          <w:rtl/>
        </w:rPr>
        <w:t xml:space="preserve">כאשר </w:t>
      </w:r>
      <w:bookmarkStart w:id="12001" w:name="_ETM_Q14_571950"/>
      <w:bookmarkEnd w:id="12001"/>
      <w:r>
        <w:rPr>
          <w:rFonts w:hint="cs"/>
          <w:rtl/>
        </w:rPr>
        <w:t xml:space="preserve">גם </w:t>
      </w:r>
      <w:bookmarkStart w:id="12002" w:name="_ETM_Q14_572930"/>
      <w:bookmarkEnd w:id="12002"/>
      <w:r>
        <w:rPr>
          <w:rFonts w:hint="cs"/>
          <w:rtl/>
        </w:rPr>
        <w:t>בית</w:t>
      </w:r>
      <w:bookmarkStart w:id="12003" w:name="_ETM_Q14_573290"/>
      <w:bookmarkEnd w:id="12003"/>
      <w:r>
        <w:rPr>
          <w:rFonts w:hint="cs"/>
          <w:rtl/>
        </w:rPr>
        <w:t xml:space="preserve"> המשפט </w:t>
      </w:r>
      <w:bookmarkStart w:id="12004" w:name="_ETM_Q14_573799"/>
      <w:bookmarkEnd w:id="12004"/>
      <w:r>
        <w:rPr>
          <w:rFonts w:hint="cs"/>
          <w:rtl/>
        </w:rPr>
        <w:t xml:space="preserve">העליון </w:t>
      </w:r>
      <w:bookmarkStart w:id="12005" w:name="_ETM_Q14_575299"/>
      <w:bookmarkEnd w:id="12005"/>
      <w:r>
        <w:rPr>
          <w:rFonts w:hint="cs"/>
          <w:rtl/>
        </w:rPr>
        <w:t>נפגע</w:t>
      </w:r>
      <w:bookmarkStart w:id="12006" w:name="_ETM_Q14_576202"/>
      <w:bookmarkEnd w:id="12006"/>
      <w:r>
        <w:rPr>
          <w:rFonts w:hint="cs"/>
          <w:rtl/>
        </w:rPr>
        <w:t xml:space="preserve">, </w:t>
      </w:r>
      <w:bookmarkStart w:id="12007" w:name="_ETM_Q14_577210"/>
      <w:bookmarkEnd w:id="12007"/>
      <w:r>
        <w:rPr>
          <w:rFonts w:hint="cs"/>
          <w:rtl/>
        </w:rPr>
        <w:t xml:space="preserve">למרות </w:t>
      </w:r>
      <w:bookmarkStart w:id="12008" w:name="_ETM_Q14_578050"/>
      <w:bookmarkEnd w:id="12008"/>
      <w:r>
        <w:rPr>
          <w:rFonts w:hint="cs"/>
          <w:rtl/>
        </w:rPr>
        <w:t xml:space="preserve">שדברים </w:t>
      </w:r>
      <w:bookmarkStart w:id="12009" w:name="_ETM_Q14_578800"/>
      <w:bookmarkEnd w:id="12009"/>
      <w:r>
        <w:rPr>
          <w:rFonts w:hint="cs"/>
          <w:rtl/>
        </w:rPr>
        <w:t xml:space="preserve">לא </w:t>
      </w:r>
      <w:bookmarkStart w:id="12010" w:name="_ETM_Q14_579010"/>
      <w:bookmarkStart w:id="12011" w:name="_ETM_Q14_579189"/>
      <w:bookmarkEnd w:id="12010"/>
      <w:bookmarkEnd w:id="12011"/>
      <w:r>
        <w:rPr>
          <w:rFonts w:hint="cs"/>
          <w:rtl/>
        </w:rPr>
        <w:t xml:space="preserve">סבירים </w:t>
      </w:r>
      <w:bookmarkStart w:id="12012" w:name="_ETM_Q14_580210"/>
      <w:bookmarkEnd w:id="12012"/>
      <w:r>
        <w:rPr>
          <w:rFonts w:hint="cs"/>
          <w:rtl/>
        </w:rPr>
        <w:t xml:space="preserve">כלפינו, </w:t>
      </w:r>
      <w:bookmarkStart w:id="12013" w:name="_ETM_Q14_581110"/>
      <w:bookmarkEnd w:id="12013"/>
      <w:r>
        <w:rPr>
          <w:rFonts w:hint="cs"/>
          <w:rtl/>
        </w:rPr>
        <w:t xml:space="preserve">שהזכרתי </w:t>
      </w:r>
      <w:bookmarkStart w:id="12014" w:name="_ETM_Q14_581829"/>
      <w:bookmarkEnd w:id="12014"/>
      <w:r>
        <w:rPr>
          <w:rFonts w:hint="cs"/>
          <w:rtl/>
        </w:rPr>
        <w:t xml:space="preserve">אותם, </w:t>
      </w:r>
      <w:bookmarkStart w:id="12015" w:name="_ETM_Q14_582570"/>
      <w:bookmarkEnd w:id="12015"/>
      <w:r>
        <w:rPr>
          <w:rFonts w:hint="cs"/>
          <w:rtl/>
        </w:rPr>
        <w:t xml:space="preserve">התקיימו </w:t>
      </w:r>
      <w:bookmarkStart w:id="12016" w:name="_ETM_Q14_583409"/>
      <w:bookmarkEnd w:id="12016"/>
      <w:r>
        <w:rPr>
          <w:rFonts w:hint="cs"/>
          <w:rtl/>
        </w:rPr>
        <w:t xml:space="preserve">כל </w:t>
      </w:r>
      <w:bookmarkStart w:id="12017" w:name="_ETM_Q14_584100"/>
      <w:bookmarkEnd w:id="12017"/>
      <w:r>
        <w:rPr>
          <w:rFonts w:hint="cs"/>
          <w:rtl/>
        </w:rPr>
        <w:t>הזמן</w:t>
      </w:r>
      <w:bookmarkStart w:id="12018" w:name="_ETM_Q14_585033"/>
      <w:bookmarkEnd w:id="12018"/>
      <w:r>
        <w:rPr>
          <w:rFonts w:hint="cs"/>
          <w:rtl/>
        </w:rPr>
        <w:t xml:space="preserve"> </w:t>
      </w:r>
      <w:bookmarkStart w:id="12019" w:name="_ETM_Q14_585380"/>
      <w:bookmarkEnd w:id="12019"/>
      <w:r>
        <w:rPr>
          <w:rFonts w:hint="cs"/>
          <w:rtl/>
        </w:rPr>
        <w:t xml:space="preserve">למרות </w:t>
      </w:r>
      <w:bookmarkStart w:id="12020" w:name="_ETM_Q14_585830"/>
      <w:bookmarkEnd w:id="12020"/>
      <w:r>
        <w:rPr>
          <w:rFonts w:hint="cs"/>
          <w:rtl/>
        </w:rPr>
        <w:t>ש</w:t>
      </w:r>
      <w:bookmarkStart w:id="12021" w:name="_ETM_Q14_586070"/>
      <w:bookmarkStart w:id="12022" w:name="_ETM_Q14_583233"/>
      <w:bookmarkEnd w:id="12021"/>
      <w:bookmarkEnd w:id="12022"/>
      <w:r>
        <w:rPr>
          <w:rFonts w:hint="cs"/>
          <w:rtl/>
        </w:rPr>
        <w:t xml:space="preserve">עילת </w:t>
      </w:r>
      <w:bookmarkStart w:id="12023" w:name="_ETM_Q14_586189"/>
      <w:bookmarkEnd w:id="12023"/>
      <w:r>
        <w:rPr>
          <w:rFonts w:hint="cs"/>
          <w:rtl/>
        </w:rPr>
        <w:t>הסב</w:t>
      </w:r>
      <w:bookmarkStart w:id="12024" w:name="_ETM_Q14_586123"/>
      <w:bookmarkEnd w:id="12024"/>
      <w:r>
        <w:rPr>
          <w:rFonts w:hint="cs"/>
          <w:rtl/>
        </w:rPr>
        <w:t xml:space="preserve">ירות </w:t>
      </w:r>
      <w:bookmarkStart w:id="12025" w:name="_ETM_Q14_587390"/>
      <w:bookmarkEnd w:id="12025"/>
      <w:r>
        <w:rPr>
          <w:rFonts w:hint="cs"/>
          <w:rtl/>
        </w:rPr>
        <w:t xml:space="preserve">הייתה </w:t>
      </w:r>
      <w:bookmarkStart w:id="12026" w:name="_ETM_Q14_587779"/>
      <w:bookmarkEnd w:id="12026"/>
      <w:r>
        <w:rPr>
          <w:rFonts w:hint="cs"/>
          <w:rtl/>
        </w:rPr>
        <w:t xml:space="preserve">קיימת. </w:t>
      </w:r>
      <w:bookmarkStart w:id="12027" w:name="_ETM_Q14_589119"/>
      <w:bookmarkEnd w:id="12027"/>
      <w:r>
        <w:rPr>
          <w:rFonts w:hint="cs"/>
          <w:rtl/>
        </w:rPr>
        <w:t xml:space="preserve">תודה </w:t>
      </w:r>
      <w:bookmarkStart w:id="12028" w:name="_ETM_Q14_589389"/>
      <w:bookmarkEnd w:id="12028"/>
      <w:r>
        <w:rPr>
          <w:rFonts w:hint="cs"/>
          <w:rtl/>
        </w:rPr>
        <w:t>רבה.</w:t>
      </w:r>
      <w:bookmarkStart w:id="12029" w:name="_ETM_Q14_591390"/>
      <w:bookmarkEnd w:id="12029"/>
    </w:p>
    <w:p w:rsidR="000C5C1F" w:rsidRDefault="000C5C1F" w:rsidP="000C5C1F">
      <w:pPr>
        <w:rPr>
          <w:rtl/>
        </w:rPr>
      </w:pPr>
    </w:p>
    <w:p w:rsidR="000C5C1F" w:rsidRDefault="000C5C1F" w:rsidP="000C5C1F">
      <w:pPr>
        <w:pStyle w:val="af9"/>
        <w:keepNext/>
        <w:rPr>
          <w:rtl/>
        </w:rPr>
      </w:pPr>
      <w:bookmarkStart w:id="12030" w:name="ET_yor_6490_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2030"/>
    </w:p>
    <w:p w:rsidR="000C5C1F" w:rsidRDefault="000C5C1F" w:rsidP="00337201">
      <w:pPr>
        <w:rPr>
          <w:rtl/>
          <w:lang w:eastAsia="he-IL"/>
        </w:rPr>
      </w:pPr>
    </w:p>
    <w:p w:rsidR="000C5C1F" w:rsidRDefault="000C5C1F" w:rsidP="000C5C1F">
      <w:pPr>
        <w:rPr>
          <w:rtl/>
        </w:rPr>
      </w:pPr>
      <w:bookmarkStart w:id="12031" w:name="_ETM_Q14_588556"/>
      <w:bookmarkEnd w:id="12031"/>
      <w:r>
        <w:rPr>
          <w:rFonts w:hint="cs"/>
          <w:rtl/>
        </w:rPr>
        <w:t xml:space="preserve">תודה </w:t>
      </w:r>
      <w:bookmarkStart w:id="12032" w:name="_ETM_Q14_591660"/>
      <w:bookmarkEnd w:id="12032"/>
      <w:r>
        <w:rPr>
          <w:rFonts w:hint="cs"/>
          <w:rtl/>
        </w:rPr>
        <w:t xml:space="preserve">רבה. </w:t>
      </w:r>
      <w:bookmarkStart w:id="12033" w:name="_ETM_Q14_592200"/>
      <w:bookmarkEnd w:id="12033"/>
      <w:r>
        <w:rPr>
          <w:rFonts w:hint="cs"/>
          <w:rtl/>
        </w:rPr>
        <w:t xml:space="preserve">חבר </w:t>
      </w:r>
      <w:bookmarkStart w:id="12034" w:name="_ETM_Q14_592560"/>
      <w:bookmarkEnd w:id="12034"/>
      <w:r>
        <w:rPr>
          <w:rFonts w:hint="cs"/>
          <w:rtl/>
        </w:rPr>
        <w:t xml:space="preserve">הכנסת </w:t>
      </w:r>
      <w:bookmarkStart w:id="12035" w:name="_ETM_Q14_593040"/>
      <w:bookmarkEnd w:id="12035"/>
      <w:r>
        <w:rPr>
          <w:rFonts w:hint="cs"/>
          <w:rtl/>
        </w:rPr>
        <w:t xml:space="preserve">בנימין </w:t>
      </w:r>
      <w:bookmarkStart w:id="12036" w:name="_ETM_Q14_593520"/>
      <w:bookmarkEnd w:id="12036"/>
      <w:r>
        <w:rPr>
          <w:rFonts w:hint="cs"/>
          <w:rtl/>
        </w:rPr>
        <w:t xml:space="preserve">גנץ, </w:t>
      </w:r>
      <w:bookmarkStart w:id="12037" w:name="_ETM_Q14_593910"/>
      <w:bookmarkEnd w:id="12037"/>
      <w:r>
        <w:rPr>
          <w:rFonts w:hint="cs"/>
          <w:rtl/>
        </w:rPr>
        <w:t>בבקשה.</w:t>
      </w:r>
      <w:bookmarkStart w:id="12038" w:name="_ETM_Q14_616190"/>
      <w:bookmarkEnd w:id="12038"/>
    </w:p>
    <w:p w:rsidR="000C5C1F" w:rsidRDefault="000C5C1F" w:rsidP="000C5C1F">
      <w:pPr>
        <w:rPr>
          <w:rtl/>
        </w:rPr>
      </w:pPr>
      <w:bookmarkStart w:id="12039" w:name="_ETM_Q14_596284"/>
      <w:bookmarkStart w:id="12040" w:name="_ETM_Q14_596355"/>
      <w:bookmarkStart w:id="12041" w:name="_ETM_Q14_598396"/>
      <w:bookmarkEnd w:id="12039"/>
      <w:bookmarkEnd w:id="12040"/>
      <w:bookmarkEnd w:id="12041"/>
    </w:p>
    <w:p w:rsidR="000C5C1F" w:rsidRDefault="000C5C1F" w:rsidP="000C5C1F">
      <w:pPr>
        <w:pStyle w:val="a5"/>
        <w:keepNext/>
        <w:rPr>
          <w:rtl/>
        </w:rPr>
      </w:pPr>
      <w:bookmarkStart w:id="12042" w:name="ET_speaker_5772_10"/>
      <w:r>
        <w:rPr>
          <w:rStyle w:val="TagStyle"/>
          <w:rFonts w:hint="cs"/>
          <w:rtl/>
        </w:rPr>
        <w:t xml:space="preserve"> &lt;&lt; דובר &gt;&gt; </w:t>
      </w:r>
      <w:bookmarkStart w:id="12043" w:name="_Toc141034693"/>
      <w:bookmarkStart w:id="12044" w:name="_Toc141040460"/>
      <w:bookmarkStart w:id="12045" w:name="_Toc141196869"/>
      <w:bookmarkStart w:id="12046" w:name="_Toc141197133"/>
      <w:r>
        <w:rPr>
          <w:rFonts w:hint="cs"/>
          <w:rtl/>
        </w:rPr>
        <w:t>בנימין גנץ (המחנה הממלכתי):</w:t>
      </w:r>
      <w:bookmarkEnd w:id="12043"/>
      <w:bookmarkEnd w:id="12044"/>
      <w:bookmarkEnd w:id="12045"/>
      <w:bookmarkEnd w:id="12046"/>
      <w:r>
        <w:rPr>
          <w:rStyle w:val="TagStyle"/>
          <w:rFonts w:hint="cs"/>
          <w:rtl/>
        </w:rPr>
        <w:t xml:space="preserve"> &lt;&lt; דובר &gt;&gt;</w:t>
      </w:r>
      <w:r>
        <w:rPr>
          <w:rFonts w:hint="cs"/>
          <w:rtl/>
        </w:rPr>
        <w:t xml:space="preserve">   </w:t>
      </w:r>
      <w:bookmarkEnd w:id="12042"/>
    </w:p>
    <w:p w:rsidR="000C5C1F" w:rsidRDefault="000C5C1F" w:rsidP="000C5C1F">
      <w:pPr>
        <w:rPr>
          <w:rtl/>
          <w:lang w:eastAsia="he-IL"/>
        </w:rPr>
      </w:pPr>
    </w:p>
    <w:p w:rsidR="000C5C1F" w:rsidRDefault="000C5C1F" w:rsidP="000C5C1F">
      <w:pPr>
        <w:rPr>
          <w:rtl/>
        </w:rPr>
      </w:pPr>
      <w:bookmarkStart w:id="12047" w:name="_ETM_Q14_599127"/>
      <w:bookmarkStart w:id="12048" w:name="_ETM_Q14_599161"/>
      <w:bookmarkStart w:id="12049" w:name="_ETM_Q14_599227"/>
      <w:bookmarkStart w:id="12050" w:name="_ETM_Q14_596428"/>
      <w:bookmarkStart w:id="12051" w:name="_ETM_Q14_596513"/>
      <w:bookmarkEnd w:id="12047"/>
      <w:bookmarkEnd w:id="12048"/>
      <w:bookmarkEnd w:id="12049"/>
      <w:bookmarkEnd w:id="12050"/>
      <w:bookmarkEnd w:id="12051"/>
      <w:r>
        <w:rPr>
          <w:rFonts w:hint="cs"/>
          <w:rtl/>
        </w:rPr>
        <w:t xml:space="preserve">אדוני </w:t>
      </w:r>
      <w:bookmarkStart w:id="12052" w:name="_ETM_Q14_616550"/>
      <w:bookmarkEnd w:id="12052"/>
      <w:r>
        <w:rPr>
          <w:rFonts w:hint="cs"/>
          <w:rtl/>
        </w:rPr>
        <w:t>היושב</w:t>
      </w:r>
      <w:bookmarkStart w:id="12053" w:name="_ETM_Q14_616940"/>
      <w:bookmarkEnd w:id="12053"/>
      <w:r>
        <w:rPr>
          <w:rFonts w:hint="cs"/>
          <w:rtl/>
        </w:rPr>
        <w:t xml:space="preserve">-ראש, </w:t>
      </w:r>
      <w:bookmarkStart w:id="12054" w:name="_ETM_Q14_619020"/>
      <w:bookmarkEnd w:id="12054"/>
      <w:r>
        <w:rPr>
          <w:rFonts w:hint="cs"/>
          <w:rtl/>
        </w:rPr>
        <w:t xml:space="preserve">חברי </w:t>
      </w:r>
      <w:bookmarkStart w:id="12055" w:name="_ETM_Q14_619500"/>
      <w:bookmarkEnd w:id="12055"/>
      <w:r>
        <w:rPr>
          <w:rFonts w:hint="cs"/>
          <w:rtl/>
        </w:rPr>
        <w:t xml:space="preserve">הכנסת, </w:t>
      </w:r>
      <w:bookmarkStart w:id="12056" w:name="_ETM_Q14_621870"/>
      <w:bookmarkEnd w:id="12056"/>
      <w:r>
        <w:rPr>
          <w:rFonts w:hint="cs"/>
          <w:rtl/>
        </w:rPr>
        <w:t xml:space="preserve">ראשית, </w:t>
      </w:r>
      <w:bookmarkStart w:id="12057" w:name="_ETM_Q14_623599"/>
      <w:bookmarkEnd w:id="12057"/>
      <w:r>
        <w:rPr>
          <w:rFonts w:hint="cs"/>
          <w:rtl/>
        </w:rPr>
        <w:t xml:space="preserve">ולמרות </w:t>
      </w:r>
      <w:bookmarkStart w:id="12058" w:name="_ETM_Q14_624170"/>
      <w:bookmarkEnd w:id="12058"/>
      <w:r>
        <w:rPr>
          <w:rFonts w:hint="cs"/>
          <w:rtl/>
        </w:rPr>
        <w:t xml:space="preserve">הימים </w:t>
      </w:r>
      <w:bookmarkStart w:id="12059" w:name="_ETM_Q14_624469"/>
      <w:bookmarkEnd w:id="12059"/>
      <w:r>
        <w:rPr>
          <w:rFonts w:hint="cs"/>
          <w:rtl/>
        </w:rPr>
        <w:t xml:space="preserve">הקשים, </w:t>
      </w:r>
      <w:bookmarkStart w:id="12060" w:name="_ETM_Q14_626239"/>
      <w:bookmarkEnd w:id="12060"/>
      <w:r>
        <w:rPr>
          <w:rFonts w:hint="cs"/>
          <w:rtl/>
        </w:rPr>
        <w:t xml:space="preserve">אני </w:t>
      </w:r>
      <w:bookmarkStart w:id="12061" w:name="_ETM_Q14_626450"/>
      <w:bookmarkEnd w:id="12061"/>
      <w:r>
        <w:rPr>
          <w:rFonts w:hint="cs"/>
          <w:rtl/>
        </w:rPr>
        <w:t xml:space="preserve">מבקש </w:t>
      </w:r>
      <w:bookmarkStart w:id="12062" w:name="_ETM_Q14_626840"/>
      <w:bookmarkEnd w:id="12062"/>
      <w:r>
        <w:rPr>
          <w:rFonts w:hint="cs"/>
          <w:rtl/>
        </w:rPr>
        <w:t xml:space="preserve">לאחל </w:t>
      </w:r>
      <w:bookmarkStart w:id="12063" w:name="_ETM_Q14_627290"/>
      <w:bookmarkEnd w:id="12063"/>
      <w:r>
        <w:rPr>
          <w:rFonts w:hint="cs"/>
          <w:rtl/>
        </w:rPr>
        <w:t xml:space="preserve">בריאות </w:t>
      </w:r>
      <w:bookmarkStart w:id="12064" w:name="_ETM_Q14_627590"/>
      <w:bookmarkEnd w:id="12064"/>
      <w:r>
        <w:rPr>
          <w:rFonts w:hint="cs"/>
          <w:rtl/>
        </w:rPr>
        <w:t xml:space="preserve">טובה </w:t>
      </w:r>
      <w:bookmarkStart w:id="12065" w:name="_ETM_Q14_627890"/>
      <w:bookmarkEnd w:id="12065"/>
      <w:r>
        <w:rPr>
          <w:rFonts w:hint="cs"/>
          <w:rtl/>
        </w:rPr>
        <w:t xml:space="preserve">לראש </w:t>
      </w:r>
      <w:bookmarkStart w:id="12066" w:name="_ETM_Q14_628280"/>
      <w:bookmarkEnd w:id="12066"/>
      <w:r>
        <w:rPr>
          <w:rFonts w:hint="cs"/>
          <w:rtl/>
        </w:rPr>
        <w:t xml:space="preserve">הממשלה </w:t>
      </w:r>
      <w:bookmarkStart w:id="12067" w:name="_ETM_Q14_629690"/>
      <w:bookmarkEnd w:id="12067"/>
      <w:r>
        <w:rPr>
          <w:rFonts w:hint="cs"/>
          <w:rtl/>
        </w:rPr>
        <w:t xml:space="preserve">וחזרה </w:t>
      </w:r>
      <w:bookmarkStart w:id="12068" w:name="_ETM_Q14_630170"/>
      <w:bookmarkStart w:id="12069" w:name="_ETM_Q14_627914"/>
      <w:bookmarkEnd w:id="12068"/>
      <w:bookmarkEnd w:id="12069"/>
      <w:r>
        <w:rPr>
          <w:rFonts w:hint="cs"/>
          <w:rtl/>
        </w:rPr>
        <w:t xml:space="preserve">מהירה </w:t>
      </w:r>
      <w:bookmarkStart w:id="12070" w:name="_ETM_Q14_630530"/>
      <w:bookmarkEnd w:id="12070"/>
      <w:r>
        <w:rPr>
          <w:rFonts w:hint="cs"/>
          <w:rtl/>
        </w:rPr>
        <w:t xml:space="preserve">לתפקוד </w:t>
      </w:r>
      <w:bookmarkStart w:id="12071" w:name="_ETM_Q14_631070"/>
      <w:bookmarkEnd w:id="12071"/>
      <w:r>
        <w:rPr>
          <w:rFonts w:hint="cs"/>
          <w:rtl/>
        </w:rPr>
        <w:t>מלא.</w:t>
      </w:r>
      <w:bookmarkStart w:id="12072" w:name="_ETM_Q14_634010"/>
      <w:bookmarkStart w:id="12073" w:name="_ETM_Q14_633206"/>
      <w:bookmarkEnd w:id="12072"/>
      <w:bookmarkEnd w:id="12073"/>
    </w:p>
    <w:p w:rsidR="000C5C1F" w:rsidRDefault="000C5C1F" w:rsidP="000C5C1F">
      <w:pPr>
        <w:rPr>
          <w:rtl/>
        </w:rPr>
      </w:pPr>
    </w:p>
    <w:p w:rsidR="000C5C1F" w:rsidRDefault="000C5C1F" w:rsidP="000C5C1F">
      <w:pPr>
        <w:rPr>
          <w:rtl/>
        </w:rPr>
      </w:pPr>
      <w:r>
        <w:rPr>
          <w:rFonts w:hint="cs"/>
          <w:rtl/>
        </w:rPr>
        <w:t>כ</w:t>
      </w:r>
      <w:bookmarkStart w:id="12074" w:name="_ETM_Q14_633809"/>
      <w:bookmarkEnd w:id="12074"/>
      <w:r>
        <w:rPr>
          <w:rFonts w:hint="cs"/>
          <w:rtl/>
        </w:rPr>
        <w:t>שר</w:t>
      </w:r>
      <w:bookmarkStart w:id="12075" w:name="_ETM_Q14_634744"/>
      <w:bookmarkEnd w:id="12075"/>
      <w:r>
        <w:rPr>
          <w:rFonts w:hint="cs"/>
          <w:rtl/>
        </w:rPr>
        <w:t xml:space="preserve"> </w:t>
      </w:r>
      <w:bookmarkStart w:id="12076" w:name="_ETM_Q14_634489"/>
      <w:bookmarkStart w:id="12077" w:name="_ETM_Q14_634774"/>
      <w:bookmarkEnd w:id="12076"/>
      <w:bookmarkEnd w:id="12077"/>
      <w:r>
        <w:rPr>
          <w:rFonts w:hint="cs"/>
          <w:rtl/>
        </w:rPr>
        <w:t xml:space="preserve">הביטחון </w:t>
      </w:r>
      <w:bookmarkStart w:id="12078" w:name="_ETM_Q14_635790"/>
      <w:bookmarkEnd w:id="12078"/>
      <w:r>
        <w:rPr>
          <w:rFonts w:hint="cs"/>
          <w:rtl/>
        </w:rPr>
        <w:t>ו</w:t>
      </w:r>
      <w:bookmarkStart w:id="12079" w:name="_ETM_Q14_635909"/>
      <w:bookmarkStart w:id="12080" w:name="_ETM_Q14_636120"/>
      <w:bookmarkEnd w:id="12079"/>
      <w:bookmarkEnd w:id="12080"/>
      <w:r>
        <w:rPr>
          <w:rFonts w:hint="cs"/>
          <w:rtl/>
        </w:rPr>
        <w:t>כ</w:t>
      </w:r>
      <w:bookmarkStart w:id="12081" w:name="_ETM_Q14_632143"/>
      <w:bookmarkEnd w:id="12081"/>
      <w:r>
        <w:rPr>
          <w:rFonts w:hint="cs"/>
          <w:rtl/>
        </w:rPr>
        <w:t xml:space="preserve">רמטכ"ל </w:t>
      </w:r>
      <w:bookmarkStart w:id="12082" w:name="_ETM_Q14_636659"/>
      <w:bookmarkEnd w:id="12082"/>
      <w:r>
        <w:rPr>
          <w:rFonts w:hint="cs"/>
          <w:rtl/>
        </w:rPr>
        <w:t xml:space="preserve">לשעבר, </w:t>
      </w:r>
      <w:bookmarkStart w:id="12083" w:name="_ETM_Q14_639140"/>
      <w:bookmarkEnd w:id="12083"/>
      <w:r>
        <w:rPr>
          <w:rFonts w:hint="cs"/>
          <w:rtl/>
        </w:rPr>
        <w:t xml:space="preserve">כמי </w:t>
      </w:r>
      <w:bookmarkStart w:id="12084" w:name="_ETM_Q14_639410"/>
      <w:bookmarkEnd w:id="12084"/>
      <w:r>
        <w:rPr>
          <w:rFonts w:hint="cs"/>
          <w:rtl/>
        </w:rPr>
        <w:t xml:space="preserve">שהקדיש </w:t>
      </w:r>
      <w:bookmarkStart w:id="12085" w:name="_ETM_Q14_639950"/>
      <w:bookmarkEnd w:id="12085"/>
      <w:r>
        <w:rPr>
          <w:rFonts w:hint="cs"/>
          <w:rtl/>
        </w:rPr>
        <w:t xml:space="preserve">את </w:t>
      </w:r>
      <w:bookmarkStart w:id="12086" w:name="_ETM_Q14_640130"/>
      <w:bookmarkEnd w:id="12086"/>
      <w:r>
        <w:rPr>
          <w:rFonts w:hint="cs"/>
          <w:rtl/>
        </w:rPr>
        <w:t xml:space="preserve">רוב </w:t>
      </w:r>
      <w:bookmarkStart w:id="12087" w:name="_ETM_Q14_640400"/>
      <w:bookmarkEnd w:id="12087"/>
      <w:r>
        <w:rPr>
          <w:rFonts w:hint="cs"/>
          <w:rtl/>
        </w:rPr>
        <w:t xml:space="preserve">חייו </w:t>
      </w:r>
      <w:bookmarkStart w:id="12088" w:name="_ETM_Q14_640700"/>
      <w:bookmarkEnd w:id="12088"/>
      <w:r>
        <w:rPr>
          <w:rFonts w:hint="cs"/>
          <w:rtl/>
        </w:rPr>
        <w:t xml:space="preserve">הבוגרים </w:t>
      </w:r>
      <w:bookmarkStart w:id="12089" w:name="_ETM_Q14_641120"/>
      <w:bookmarkEnd w:id="12089"/>
      <w:r>
        <w:rPr>
          <w:rFonts w:hint="cs"/>
          <w:rtl/>
        </w:rPr>
        <w:t xml:space="preserve">לביטחון </w:t>
      </w:r>
      <w:bookmarkStart w:id="12090" w:name="_ETM_Q14_641570"/>
      <w:bookmarkEnd w:id="12090"/>
      <w:r>
        <w:rPr>
          <w:rFonts w:hint="cs"/>
          <w:rtl/>
        </w:rPr>
        <w:t xml:space="preserve">המדינה </w:t>
      </w:r>
      <w:bookmarkStart w:id="12091" w:name="_ETM_Q14_642080"/>
      <w:bookmarkEnd w:id="12091"/>
      <w:r>
        <w:rPr>
          <w:rFonts w:hint="cs"/>
          <w:rtl/>
        </w:rPr>
        <w:t xml:space="preserve">הזו, </w:t>
      </w:r>
      <w:bookmarkStart w:id="12092" w:name="_ETM_Q14_643659"/>
      <w:bookmarkEnd w:id="12092"/>
      <w:r>
        <w:rPr>
          <w:rFonts w:hint="cs"/>
          <w:rtl/>
        </w:rPr>
        <w:t xml:space="preserve">סוף </w:t>
      </w:r>
      <w:bookmarkStart w:id="12093" w:name="_ETM_Q14_644170"/>
      <w:bookmarkEnd w:id="12093"/>
      <w:r>
        <w:rPr>
          <w:rFonts w:hint="cs"/>
          <w:rtl/>
        </w:rPr>
        <w:t xml:space="preserve">השבוע </w:t>
      </w:r>
      <w:bookmarkStart w:id="12094" w:name="_ETM_Q14_644890"/>
      <w:bookmarkEnd w:id="12094"/>
      <w:r>
        <w:rPr>
          <w:rFonts w:hint="cs"/>
          <w:rtl/>
        </w:rPr>
        <w:t xml:space="preserve">האחרון </w:t>
      </w:r>
      <w:bookmarkStart w:id="12095" w:name="_ETM_Q14_645430"/>
      <w:bookmarkEnd w:id="12095"/>
      <w:r>
        <w:rPr>
          <w:rFonts w:hint="cs"/>
          <w:rtl/>
        </w:rPr>
        <w:t xml:space="preserve">היה </w:t>
      </w:r>
      <w:bookmarkStart w:id="12096" w:name="_ETM_Q14_645610"/>
      <w:bookmarkEnd w:id="12096"/>
      <w:r>
        <w:rPr>
          <w:rFonts w:hint="cs"/>
          <w:rtl/>
        </w:rPr>
        <w:t xml:space="preserve">מהקשים </w:t>
      </w:r>
      <w:bookmarkStart w:id="12097" w:name="_ETM_Q14_646659"/>
      <w:bookmarkEnd w:id="12097"/>
      <w:r>
        <w:rPr>
          <w:rFonts w:hint="cs"/>
          <w:rtl/>
        </w:rPr>
        <w:t xml:space="preserve">שאני </w:t>
      </w:r>
      <w:bookmarkStart w:id="12098" w:name="_ETM_Q14_647140"/>
      <w:bookmarkEnd w:id="12098"/>
      <w:r>
        <w:rPr>
          <w:rFonts w:hint="cs"/>
          <w:rtl/>
        </w:rPr>
        <w:t xml:space="preserve">זוכר. </w:t>
      </w:r>
      <w:bookmarkStart w:id="12099" w:name="_ETM_Q14_649349"/>
      <w:bookmarkEnd w:id="12099"/>
      <w:r>
        <w:rPr>
          <w:rFonts w:hint="cs"/>
          <w:rtl/>
        </w:rPr>
        <w:t xml:space="preserve">זהו </w:t>
      </w:r>
      <w:bookmarkStart w:id="12100" w:name="_ETM_Q14_649620"/>
      <w:bookmarkEnd w:id="12100"/>
      <w:r>
        <w:rPr>
          <w:rFonts w:hint="cs"/>
          <w:rtl/>
        </w:rPr>
        <w:t xml:space="preserve">אחד </w:t>
      </w:r>
      <w:bookmarkStart w:id="12101" w:name="_ETM_Q14_650189"/>
      <w:bookmarkEnd w:id="12101"/>
      <w:r>
        <w:rPr>
          <w:rFonts w:hint="cs"/>
          <w:rtl/>
        </w:rPr>
        <w:t xml:space="preserve">האירועים </w:t>
      </w:r>
      <w:bookmarkStart w:id="12102" w:name="_ETM_Q14_650700"/>
      <w:bookmarkEnd w:id="12102"/>
      <w:r>
        <w:rPr>
          <w:rFonts w:hint="cs"/>
          <w:rtl/>
        </w:rPr>
        <w:t xml:space="preserve">המכוננים </w:t>
      </w:r>
      <w:bookmarkStart w:id="12103" w:name="_ETM_Q14_652560"/>
      <w:bookmarkEnd w:id="12103"/>
      <w:r>
        <w:rPr>
          <w:rFonts w:hint="cs"/>
          <w:rtl/>
        </w:rPr>
        <w:t xml:space="preserve">בתולדות </w:t>
      </w:r>
      <w:bookmarkStart w:id="12104" w:name="_ETM_Q14_653220"/>
      <w:bookmarkEnd w:id="12104"/>
      <w:r>
        <w:rPr>
          <w:rFonts w:hint="cs"/>
          <w:rtl/>
        </w:rPr>
        <w:t xml:space="preserve">צה"ל </w:t>
      </w:r>
      <w:bookmarkStart w:id="12105" w:name="_ETM_Q14_654830"/>
      <w:bookmarkEnd w:id="12105"/>
      <w:r>
        <w:rPr>
          <w:rFonts w:hint="cs"/>
          <w:rtl/>
        </w:rPr>
        <w:t xml:space="preserve">והחברה </w:t>
      </w:r>
      <w:bookmarkStart w:id="12106" w:name="_ETM_Q14_655550"/>
      <w:bookmarkEnd w:id="12106"/>
      <w:r>
        <w:rPr>
          <w:rFonts w:hint="cs"/>
          <w:rtl/>
        </w:rPr>
        <w:t xml:space="preserve">הישראלית. </w:t>
      </w:r>
      <w:bookmarkStart w:id="12107" w:name="_ETM_Q14_658170"/>
      <w:bookmarkEnd w:id="12107"/>
      <w:r>
        <w:rPr>
          <w:rFonts w:hint="cs"/>
          <w:rtl/>
        </w:rPr>
        <w:t xml:space="preserve">עברנו </w:t>
      </w:r>
      <w:bookmarkStart w:id="12108" w:name="_ETM_Q14_658770"/>
      <w:bookmarkEnd w:id="12108"/>
      <w:r>
        <w:rPr>
          <w:rFonts w:hint="cs"/>
          <w:rtl/>
        </w:rPr>
        <w:t xml:space="preserve">אירועים </w:t>
      </w:r>
      <w:bookmarkStart w:id="12109" w:name="_ETM_Q14_659190"/>
      <w:bookmarkEnd w:id="12109"/>
      <w:r>
        <w:rPr>
          <w:rFonts w:hint="cs"/>
          <w:rtl/>
        </w:rPr>
        <w:t>מבצעי</w:t>
      </w:r>
      <w:bookmarkStart w:id="12110" w:name="_ETM_Q14_654882"/>
      <w:bookmarkEnd w:id="12110"/>
      <w:r>
        <w:rPr>
          <w:rFonts w:hint="cs"/>
          <w:rtl/>
        </w:rPr>
        <w:t xml:space="preserve">ים </w:t>
      </w:r>
      <w:bookmarkStart w:id="12111" w:name="_ETM_Q14_659790"/>
      <w:bookmarkEnd w:id="12111"/>
      <w:r>
        <w:rPr>
          <w:rFonts w:hint="cs"/>
          <w:rtl/>
        </w:rPr>
        <w:t xml:space="preserve">קשים, </w:t>
      </w:r>
      <w:bookmarkStart w:id="12112" w:name="_ETM_Q14_661810"/>
      <w:bookmarkEnd w:id="12112"/>
      <w:r>
        <w:rPr>
          <w:rFonts w:hint="cs"/>
          <w:rtl/>
        </w:rPr>
        <w:t xml:space="preserve">עברנו </w:t>
      </w:r>
      <w:bookmarkStart w:id="12113" w:name="_ETM_Q14_662379"/>
      <w:bookmarkEnd w:id="12113"/>
      <w:r>
        <w:rPr>
          <w:rFonts w:hint="cs"/>
          <w:rtl/>
        </w:rPr>
        <w:t xml:space="preserve">משברים </w:t>
      </w:r>
      <w:bookmarkStart w:id="12114" w:name="_ETM_Q14_662980"/>
      <w:bookmarkEnd w:id="12114"/>
      <w:r>
        <w:rPr>
          <w:rFonts w:hint="cs"/>
          <w:rtl/>
        </w:rPr>
        <w:t xml:space="preserve">מדיניים, </w:t>
      </w:r>
      <w:bookmarkStart w:id="12115" w:name="_ETM_Q14_663909"/>
      <w:bookmarkEnd w:id="12115"/>
      <w:r>
        <w:rPr>
          <w:rFonts w:hint="cs"/>
          <w:rtl/>
        </w:rPr>
        <w:t xml:space="preserve">כלכליים </w:t>
      </w:r>
      <w:bookmarkStart w:id="12116" w:name="_ETM_Q14_664840"/>
      <w:bookmarkEnd w:id="12116"/>
      <w:r>
        <w:rPr>
          <w:rFonts w:hint="cs"/>
          <w:rtl/>
        </w:rPr>
        <w:t xml:space="preserve">וחברתיים. </w:t>
      </w:r>
      <w:bookmarkStart w:id="12117" w:name="_ETM_Q14_667469"/>
      <w:bookmarkEnd w:id="12117"/>
      <w:r>
        <w:rPr>
          <w:rFonts w:hint="cs"/>
          <w:rtl/>
        </w:rPr>
        <w:t xml:space="preserve">מה </w:t>
      </w:r>
      <w:bookmarkStart w:id="12118" w:name="_ETM_Q14_667920"/>
      <w:bookmarkEnd w:id="12118"/>
      <w:r>
        <w:rPr>
          <w:rFonts w:hint="cs"/>
          <w:rtl/>
        </w:rPr>
        <w:t xml:space="preserve">שאנחנו </w:t>
      </w:r>
      <w:bookmarkStart w:id="12119" w:name="_ETM_Q14_668969"/>
      <w:bookmarkEnd w:id="12119"/>
      <w:r>
        <w:rPr>
          <w:rFonts w:hint="cs"/>
          <w:rtl/>
        </w:rPr>
        <w:t xml:space="preserve">ניצבים </w:t>
      </w:r>
      <w:bookmarkStart w:id="12120" w:name="_ETM_Q14_669900"/>
      <w:bookmarkEnd w:id="12120"/>
      <w:r>
        <w:rPr>
          <w:rFonts w:hint="cs"/>
          <w:rtl/>
        </w:rPr>
        <w:t xml:space="preserve">מולו </w:t>
      </w:r>
      <w:bookmarkStart w:id="12121" w:name="_ETM_Q14_671650"/>
      <w:bookmarkEnd w:id="12121"/>
      <w:r>
        <w:rPr>
          <w:rFonts w:hint="cs"/>
          <w:rtl/>
        </w:rPr>
        <w:t xml:space="preserve">הוא </w:t>
      </w:r>
      <w:bookmarkStart w:id="12122" w:name="_ETM_Q14_671980"/>
      <w:bookmarkEnd w:id="12122"/>
      <w:r>
        <w:rPr>
          <w:rFonts w:hint="cs"/>
          <w:rtl/>
        </w:rPr>
        <w:t xml:space="preserve">שבר </w:t>
      </w:r>
      <w:bookmarkStart w:id="12123" w:name="_ETM_Q14_672760"/>
      <w:bookmarkEnd w:id="12123"/>
      <w:r>
        <w:rPr>
          <w:rFonts w:hint="cs"/>
          <w:rtl/>
        </w:rPr>
        <w:t xml:space="preserve">בתעודת </w:t>
      </w:r>
      <w:bookmarkStart w:id="12124" w:name="_ETM_Q14_673569"/>
      <w:bookmarkEnd w:id="12124"/>
      <w:r>
        <w:rPr>
          <w:rFonts w:hint="cs"/>
          <w:rtl/>
        </w:rPr>
        <w:t xml:space="preserve">הזהות </w:t>
      </w:r>
      <w:bookmarkStart w:id="12125" w:name="_ETM_Q14_674049"/>
      <w:bookmarkEnd w:id="12125"/>
      <w:r>
        <w:rPr>
          <w:rFonts w:hint="cs"/>
          <w:rtl/>
        </w:rPr>
        <w:t xml:space="preserve">הישראלית, </w:t>
      </w:r>
      <w:bookmarkStart w:id="12126" w:name="_ETM_Q14_676120"/>
      <w:bookmarkEnd w:id="12126"/>
      <w:r>
        <w:rPr>
          <w:rFonts w:hint="cs"/>
          <w:rtl/>
        </w:rPr>
        <w:t xml:space="preserve">שבר </w:t>
      </w:r>
      <w:bookmarkStart w:id="12127" w:name="_ETM_Q14_677730"/>
      <w:bookmarkEnd w:id="12127"/>
      <w:r>
        <w:rPr>
          <w:rFonts w:hint="cs"/>
          <w:rtl/>
        </w:rPr>
        <w:t xml:space="preserve">שלא </w:t>
      </w:r>
      <w:bookmarkStart w:id="12128" w:name="_ETM_Q14_678660"/>
      <w:bookmarkEnd w:id="12128"/>
      <w:r>
        <w:rPr>
          <w:rFonts w:hint="cs"/>
          <w:rtl/>
        </w:rPr>
        <w:t xml:space="preserve">ידענו </w:t>
      </w:r>
      <w:bookmarkStart w:id="12129" w:name="_ETM_Q14_679330"/>
      <w:bookmarkEnd w:id="12129"/>
      <w:r>
        <w:rPr>
          <w:rFonts w:hint="cs"/>
          <w:rtl/>
        </w:rPr>
        <w:t xml:space="preserve">כמותו. </w:t>
      </w:r>
      <w:bookmarkStart w:id="12130" w:name="_ETM_Q14_682280"/>
      <w:bookmarkEnd w:id="12130"/>
      <w:r>
        <w:rPr>
          <w:rFonts w:hint="cs"/>
          <w:rtl/>
        </w:rPr>
        <w:t xml:space="preserve">החברה </w:t>
      </w:r>
      <w:bookmarkStart w:id="12131" w:name="_ETM_Q14_682850"/>
      <w:bookmarkEnd w:id="12131"/>
      <w:r>
        <w:rPr>
          <w:rFonts w:hint="cs"/>
          <w:rtl/>
        </w:rPr>
        <w:t xml:space="preserve">הישראלית, </w:t>
      </w:r>
      <w:bookmarkStart w:id="12132" w:name="_ETM_Q14_684810"/>
      <w:bookmarkEnd w:id="12132"/>
      <w:r>
        <w:rPr>
          <w:rFonts w:hint="cs"/>
          <w:rtl/>
        </w:rPr>
        <w:t xml:space="preserve">שתמיד </w:t>
      </w:r>
      <w:bookmarkStart w:id="12133" w:name="_ETM_Q14_685709"/>
      <w:bookmarkEnd w:id="12133"/>
      <w:r>
        <w:rPr>
          <w:rFonts w:hint="cs"/>
          <w:rtl/>
        </w:rPr>
        <w:t xml:space="preserve">גברה </w:t>
      </w:r>
      <w:bookmarkStart w:id="12134" w:name="_ETM_Q14_686130"/>
      <w:bookmarkEnd w:id="12134"/>
      <w:r>
        <w:rPr>
          <w:rFonts w:hint="cs"/>
          <w:rtl/>
        </w:rPr>
        <w:t xml:space="preserve">על </w:t>
      </w:r>
      <w:bookmarkStart w:id="12135" w:name="_ETM_Q14_686250"/>
      <w:bookmarkEnd w:id="12135"/>
      <w:r>
        <w:rPr>
          <w:rFonts w:hint="cs"/>
          <w:rtl/>
        </w:rPr>
        <w:t>האתגרים,</w:t>
      </w:r>
      <w:bookmarkStart w:id="12136" w:name="_ETM_Q14_686712"/>
      <w:bookmarkEnd w:id="12136"/>
      <w:r>
        <w:rPr>
          <w:rFonts w:hint="cs"/>
          <w:rtl/>
        </w:rPr>
        <w:t xml:space="preserve"> </w:t>
      </w:r>
      <w:bookmarkStart w:id="12137" w:name="_ETM_Q14_687860"/>
      <w:bookmarkEnd w:id="12137"/>
      <w:r>
        <w:rPr>
          <w:rFonts w:hint="cs"/>
          <w:rtl/>
        </w:rPr>
        <w:t>ה</w:t>
      </w:r>
      <w:bookmarkStart w:id="12138" w:name="_ETM_Q14_688040"/>
      <w:bookmarkStart w:id="12139" w:name="_ETM_Q14_683282"/>
      <w:bookmarkEnd w:id="12138"/>
      <w:bookmarkEnd w:id="12139"/>
      <w:r>
        <w:rPr>
          <w:rFonts w:hint="cs"/>
          <w:rtl/>
        </w:rPr>
        <w:t xml:space="preserve">צליחה </w:t>
      </w:r>
      <w:bookmarkStart w:id="12140" w:name="_ETM_Q14_688610"/>
      <w:bookmarkEnd w:id="12140"/>
      <w:r>
        <w:rPr>
          <w:rFonts w:hint="cs"/>
          <w:rtl/>
        </w:rPr>
        <w:t xml:space="preserve">עד </w:t>
      </w:r>
      <w:bookmarkStart w:id="12141" w:name="_ETM_Q14_688819"/>
      <w:bookmarkEnd w:id="12141"/>
      <w:r>
        <w:rPr>
          <w:rFonts w:hint="cs"/>
          <w:rtl/>
        </w:rPr>
        <w:t xml:space="preserve">היום </w:t>
      </w:r>
      <w:bookmarkStart w:id="12142" w:name="_ETM_Q14_689980"/>
      <w:bookmarkEnd w:id="12142"/>
      <w:r>
        <w:rPr>
          <w:rFonts w:hint="cs"/>
          <w:rtl/>
        </w:rPr>
        <w:t xml:space="preserve">להשאיר </w:t>
      </w:r>
      <w:bookmarkStart w:id="12143" w:name="_ETM_Q14_690700"/>
      <w:bookmarkEnd w:id="12143"/>
      <w:r>
        <w:rPr>
          <w:rFonts w:hint="cs"/>
          <w:rtl/>
        </w:rPr>
        <w:t xml:space="preserve">את </w:t>
      </w:r>
      <w:bookmarkStart w:id="12144" w:name="_ETM_Q14_690790"/>
      <w:bookmarkEnd w:id="12144"/>
      <w:r>
        <w:rPr>
          <w:rFonts w:hint="cs"/>
          <w:rtl/>
        </w:rPr>
        <w:t xml:space="preserve">צה"ל </w:t>
      </w:r>
      <w:bookmarkStart w:id="12145" w:name="_ETM_Q14_692250"/>
      <w:bookmarkEnd w:id="12145"/>
      <w:r>
        <w:rPr>
          <w:rFonts w:hint="cs"/>
          <w:rtl/>
        </w:rPr>
        <w:t xml:space="preserve">מעל </w:t>
      </w:r>
      <w:bookmarkStart w:id="12146" w:name="_ETM_Q14_692940"/>
      <w:bookmarkEnd w:id="12146"/>
      <w:r>
        <w:rPr>
          <w:rFonts w:hint="cs"/>
          <w:rtl/>
        </w:rPr>
        <w:t xml:space="preserve">ומחוץ </w:t>
      </w:r>
      <w:bookmarkStart w:id="12147" w:name="_ETM_Q14_693630"/>
      <w:bookmarkEnd w:id="12147"/>
      <w:r>
        <w:rPr>
          <w:rFonts w:hint="cs"/>
          <w:rtl/>
        </w:rPr>
        <w:t xml:space="preserve">לכל </w:t>
      </w:r>
      <w:bookmarkStart w:id="12148" w:name="_ETM_Q14_694050"/>
      <w:bookmarkEnd w:id="12148"/>
      <w:r>
        <w:rPr>
          <w:rFonts w:hint="cs"/>
          <w:rtl/>
        </w:rPr>
        <w:t>מחלוקת</w:t>
      </w:r>
      <w:bookmarkStart w:id="12149" w:name="_ETM_Q14_689222"/>
      <w:bookmarkEnd w:id="12149"/>
      <w:r>
        <w:rPr>
          <w:rFonts w:hint="cs"/>
          <w:rtl/>
        </w:rPr>
        <w:t xml:space="preserve">. </w:t>
      </w:r>
      <w:bookmarkStart w:id="12150" w:name="_ETM_Q14_696189"/>
      <w:bookmarkEnd w:id="12150"/>
      <w:r>
        <w:rPr>
          <w:rFonts w:hint="cs"/>
          <w:rtl/>
        </w:rPr>
        <w:t xml:space="preserve">והפחד </w:t>
      </w:r>
      <w:bookmarkStart w:id="12151" w:name="_ETM_Q14_696819"/>
      <w:bookmarkEnd w:id="12151"/>
      <w:r>
        <w:rPr>
          <w:rFonts w:hint="cs"/>
          <w:rtl/>
        </w:rPr>
        <w:t xml:space="preserve">שלי </w:t>
      </w:r>
      <w:bookmarkStart w:id="12152" w:name="_ETM_Q14_698230"/>
      <w:bookmarkEnd w:id="12152"/>
      <w:r>
        <w:rPr>
          <w:rFonts w:hint="cs"/>
          <w:rtl/>
        </w:rPr>
        <w:t xml:space="preserve">הוא </w:t>
      </w:r>
      <w:bookmarkStart w:id="12153" w:name="_ETM_Q14_698349"/>
      <w:bookmarkEnd w:id="12153"/>
      <w:r>
        <w:rPr>
          <w:rFonts w:hint="cs"/>
          <w:rtl/>
        </w:rPr>
        <w:t>ש</w:t>
      </w:r>
      <w:bookmarkStart w:id="12154" w:name="_ETM_Q14_698590"/>
      <w:bookmarkEnd w:id="12154"/>
      <w:r>
        <w:rPr>
          <w:rFonts w:hint="cs"/>
          <w:rtl/>
        </w:rPr>
        <w:t xml:space="preserve">זה </w:t>
      </w:r>
      <w:bookmarkStart w:id="12155" w:name="_ETM_Q14_698830"/>
      <w:bookmarkEnd w:id="12155"/>
      <w:r>
        <w:rPr>
          <w:rFonts w:hint="cs"/>
          <w:rtl/>
        </w:rPr>
        <w:t xml:space="preserve">לא </w:t>
      </w:r>
      <w:bookmarkStart w:id="12156" w:name="_ETM_Q14_699459"/>
      <w:bookmarkEnd w:id="12156"/>
      <w:r>
        <w:rPr>
          <w:rFonts w:hint="cs"/>
          <w:rtl/>
        </w:rPr>
        <w:t xml:space="preserve">המצב </w:t>
      </w:r>
      <w:bookmarkStart w:id="12157" w:name="_ETM_Q14_700330"/>
      <w:bookmarkEnd w:id="12157"/>
      <w:r>
        <w:rPr>
          <w:rFonts w:hint="cs"/>
          <w:rtl/>
        </w:rPr>
        <w:t xml:space="preserve">היום, </w:t>
      </w:r>
      <w:bookmarkStart w:id="12158" w:name="_ETM_Q14_702400"/>
      <w:bookmarkEnd w:id="12158"/>
      <w:r>
        <w:rPr>
          <w:rFonts w:hint="cs"/>
          <w:rtl/>
        </w:rPr>
        <w:t xml:space="preserve">כי </w:t>
      </w:r>
      <w:bookmarkStart w:id="12159" w:name="_ETM_Q14_702699"/>
      <w:bookmarkEnd w:id="12159"/>
      <w:r>
        <w:rPr>
          <w:rFonts w:hint="cs"/>
          <w:rtl/>
        </w:rPr>
        <w:t xml:space="preserve">צה"ל </w:t>
      </w:r>
      <w:bookmarkStart w:id="12160" w:name="_ETM_Q14_704349"/>
      <w:bookmarkEnd w:id="12160"/>
      <w:r>
        <w:rPr>
          <w:rFonts w:hint="cs"/>
          <w:rtl/>
        </w:rPr>
        <w:t xml:space="preserve">הוא </w:t>
      </w:r>
      <w:bookmarkStart w:id="12161" w:name="_ETM_Q14_704470"/>
      <w:bookmarkEnd w:id="12161"/>
      <w:r>
        <w:rPr>
          <w:rFonts w:hint="cs"/>
          <w:rtl/>
        </w:rPr>
        <w:t xml:space="preserve">צבא </w:t>
      </w:r>
      <w:bookmarkStart w:id="12162" w:name="_ETM_Q14_705040"/>
      <w:bookmarkEnd w:id="12162"/>
      <w:r>
        <w:rPr>
          <w:rFonts w:hint="cs"/>
          <w:rtl/>
        </w:rPr>
        <w:t xml:space="preserve">העם, </w:t>
      </w:r>
      <w:bookmarkStart w:id="12163" w:name="_ETM_Q14_706780"/>
      <w:bookmarkEnd w:id="12163"/>
      <w:r>
        <w:rPr>
          <w:rFonts w:hint="cs"/>
          <w:rtl/>
        </w:rPr>
        <w:t xml:space="preserve">וכשהעם </w:t>
      </w:r>
      <w:bookmarkStart w:id="12164" w:name="_ETM_Q14_707620"/>
      <w:bookmarkEnd w:id="12164"/>
      <w:r>
        <w:rPr>
          <w:rFonts w:hint="cs"/>
          <w:rtl/>
        </w:rPr>
        <w:t xml:space="preserve">מפולג </w:t>
      </w:r>
      <w:bookmarkStart w:id="12165" w:name="_ETM_Q14_708580"/>
      <w:bookmarkEnd w:id="12165"/>
      <w:r>
        <w:rPr>
          <w:rFonts w:hint="cs"/>
          <w:rtl/>
        </w:rPr>
        <w:t>ו</w:t>
      </w:r>
      <w:bookmarkStart w:id="12166" w:name="_ETM_Q14_708640"/>
      <w:bookmarkStart w:id="12167" w:name="_ETM_Q14_706332"/>
      <w:bookmarkEnd w:id="12166"/>
      <w:bookmarkEnd w:id="12167"/>
      <w:r>
        <w:rPr>
          <w:rFonts w:hint="cs"/>
          <w:rtl/>
        </w:rPr>
        <w:t xml:space="preserve">מסוכסך </w:t>
      </w:r>
      <w:bookmarkStart w:id="12168" w:name="_ETM_Q14_710540"/>
      <w:bookmarkEnd w:id="12168"/>
      <w:r>
        <w:rPr>
          <w:rFonts w:hint="cs"/>
          <w:rtl/>
        </w:rPr>
        <w:t xml:space="preserve">זה </w:t>
      </w:r>
      <w:bookmarkStart w:id="12169" w:name="_ETM_Q14_710780"/>
      <w:bookmarkEnd w:id="12169"/>
      <w:r>
        <w:rPr>
          <w:rFonts w:hint="cs"/>
          <w:rtl/>
        </w:rPr>
        <w:t xml:space="preserve">מגיע </w:t>
      </w:r>
      <w:bookmarkStart w:id="12170" w:name="_ETM_Q14_711980"/>
      <w:bookmarkEnd w:id="12170"/>
      <w:r>
        <w:rPr>
          <w:rFonts w:hint="cs"/>
          <w:rtl/>
        </w:rPr>
        <w:t xml:space="preserve">גם </w:t>
      </w:r>
      <w:bookmarkStart w:id="12171" w:name="_ETM_Q14_712429"/>
      <w:bookmarkEnd w:id="12171"/>
      <w:r>
        <w:rPr>
          <w:rFonts w:hint="cs"/>
          <w:rtl/>
        </w:rPr>
        <w:t>לצה"ל.</w:t>
      </w:r>
      <w:bookmarkStart w:id="12172" w:name="_ETM_Q14_715610"/>
      <w:bookmarkEnd w:id="12172"/>
    </w:p>
    <w:p w:rsidR="000C5C1F" w:rsidRDefault="000C5C1F" w:rsidP="000C5C1F">
      <w:pPr>
        <w:rPr>
          <w:rtl/>
        </w:rPr>
      </w:pPr>
      <w:bookmarkStart w:id="12173" w:name="_ETM_Q14_714593"/>
      <w:bookmarkStart w:id="12174" w:name="_ETM_Q14_714651"/>
      <w:bookmarkEnd w:id="12173"/>
      <w:bookmarkEnd w:id="12174"/>
    </w:p>
    <w:p w:rsidR="000C5C1F" w:rsidRDefault="000C5C1F" w:rsidP="000145FA">
      <w:pPr>
        <w:rPr>
          <w:rtl/>
        </w:rPr>
      </w:pPr>
      <w:bookmarkStart w:id="12175" w:name="_ETM_Q14_714738"/>
      <w:bookmarkStart w:id="12176" w:name="_ETM_Q14_714791"/>
      <w:bookmarkEnd w:id="12175"/>
      <w:bookmarkEnd w:id="12176"/>
      <w:r>
        <w:rPr>
          <w:rFonts w:hint="cs"/>
          <w:rtl/>
        </w:rPr>
        <w:t xml:space="preserve">ויש </w:t>
      </w:r>
      <w:bookmarkStart w:id="12177" w:name="_ETM_Q14_716059"/>
      <w:bookmarkEnd w:id="12177"/>
      <w:r>
        <w:rPr>
          <w:rFonts w:hint="cs"/>
          <w:rtl/>
        </w:rPr>
        <w:t xml:space="preserve">לומר </w:t>
      </w:r>
      <w:bookmarkStart w:id="12178" w:name="_ETM_Q14_716750"/>
      <w:bookmarkEnd w:id="12178"/>
      <w:r>
        <w:rPr>
          <w:rFonts w:hint="cs"/>
          <w:rtl/>
        </w:rPr>
        <w:t xml:space="preserve">בצורה </w:t>
      </w:r>
      <w:bookmarkStart w:id="12179" w:name="_ETM_Q14_717530"/>
      <w:bookmarkEnd w:id="12179"/>
      <w:r>
        <w:rPr>
          <w:rFonts w:hint="cs"/>
          <w:rtl/>
        </w:rPr>
        <w:t xml:space="preserve">ברורה: </w:t>
      </w:r>
      <w:bookmarkStart w:id="12180" w:name="_ETM_Q14_720319"/>
      <w:bookmarkEnd w:id="12180"/>
      <w:r>
        <w:rPr>
          <w:rFonts w:hint="cs"/>
          <w:rtl/>
        </w:rPr>
        <w:t xml:space="preserve">מי </w:t>
      </w:r>
      <w:bookmarkStart w:id="12181" w:name="_ETM_Q14_720860"/>
      <w:bookmarkEnd w:id="12181"/>
      <w:r>
        <w:rPr>
          <w:rFonts w:hint="cs"/>
          <w:rtl/>
        </w:rPr>
        <w:t xml:space="preserve">שאשם </w:t>
      </w:r>
      <w:bookmarkStart w:id="12182" w:name="_ETM_Q14_721819"/>
      <w:bookmarkEnd w:id="12182"/>
      <w:r>
        <w:rPr>
          <w:rFonts w:hint="cs"/>
          <w:rtl/>
        </w:rPr>
        <w:t xml:space="preserve">ואחראי </w:t>
      </w:r>
      <w:bookmarkStart w:id="12183" w:name="_ETM_Q14_722720"/>
      <w:bookmarkEnd w:id="12183"/>
      <w:r>
        <w:rPr>
          <w:rFonts w:hint="cs"/>
          <w:rtl/>
        </w:rPr>
        <w:t>למצ</w:t>
      </w:r>
      <w:bookmarkStart w:id="12184" w:name="_ETM_Q14_723120"/>
      <w:bookmarkEnd w:id="12184"/>
      <w:r>
        <w:rPr>
          <w:rFonts w:hint="cs"/>
          <w:rtl/>
        </w:rPr>
        <w:t xml:space="preserve">ב </w:t>
      </w:r>
      <w:bookmarkStart w:id="12185" w:name="_ETM_Q14_723450"/>
      <w:bookmarkEnd w:id="12185"/>
      <w:r>
        <w:rPr>
          <w:rFonts w:hint="cs"/>
          <w:rtl/>
        </w:rPr>
        <w:t>הזה</w:t>
      </w:r>
      <w:bookmarkStart w:id="12186" w:name="_ETM_Q14_722031"/>
      <w:bookmarkEnd w:id="12186"/>
      <w:r>
        <w:rPr>
          <w:rFonts w:hint="cs"/>
          <w:rtl/>
        </w:rPr>
        <w:t xml:space="preserve"> </w:t>
      </w:r>
      <w:bookmarkStart w:id="12187" w:name="_ETM_Q14_724929"/>
      <w:bookmarkEnd w:id="12187"/>
      <w:r>
        <w:rPr>
          <w:rFonts w:hint="cs"/>
          <w:rtl/>
        </w:rPr>
        <w:t xml:space="preserve">שהעם </w:t>
      </w:r>
      <w:bookmarkStart w:id="12188" w:name="_ETM_Q14_725830"/>
      <w:bookmarkEnd w:id="12188"/>
      <w:r>
        <w:rPr>
          <w:rFonts w:hint="cs"/>
          <w:rtl/>
        </w:rPr>
        <w:t>משוסע</w:t>
      </w:r>
      <w:bookmarkStart w:id="12189" w:name="_ETM_Q14_723221"/>
      <w:bookmarkEnd w:id="12189"/>
      <w:r>
        <w:rPr>
          <w:rFonts w:hint="cs"/>
          <w:rtl/>
        </w:rPr>
        <w:t xml:space="preserve"> </w:t>
      </w:r>
      <w:bookmarkStart w:id="12190" w:name="_ETM_Q14_726790"/>
      <w:bookmarkEnd w:id="12190"/>
      <w:r>
        <w:rPr>
          <w:rFonts w:hint="cs"/>
          <w:rtl/>
        </w:rPr>
        <w:t xml:space="preserve">ומפוצל, </w:t>
      </w:r>
      <w:bookmarkStart w:id="12191" w:name="_ETM_Q14_727690"/>
      <w:bookmarkEnd w:id="12191"/>
      <w:r>
        <w:rPr>
          <w:rFonts w:hint="cs"/>
          <w:rtl/>
        </w:rPr>
        <w:t xml:space="preserve">ושזה </w:t>
      </w:r>
      <w:bookmarkStart w:id="12192" w:name="_ETM_Q14_728230"/>
      <w:bookmarkEnd w:id="12192"/>
      <w:r>
        <w:rPr>
          <w:rFonts w:hint="cs"/>
          <w:rtl/>
        </w:rPr>
        <w:t xml:space="preserve">מגיע </w:t>
      </w:r>
      <w:bookmarkStart w:id="12193" w:name="_ETM_Q14_728770"/>
      <w:bookmarkEnd w:id="12193"/>
      <w:r>
        <w:rPr>
          <w:rFonts w:hint="cs"/>
          <w:rtl/>
        </w:rPr>
        <w:t xml:space="preserve">לצה"ל, </w:t>
      </w:r>
      <w:bookmarkStart w:id="12194" w:name="_ETM_Q14_730609"/>
      <w:bookmarkEnd w:id="12194"/>
      <w:r>
        <w:rPr>
          <w:rFonts w:hint="cs"/>
          <w:rtl/>
        </w:rPr>
        <w:t xml:space="preserve">הוא </w:t>
      </w:r>
      <w:bookmarkStart w:id="12195" w:name="_ETM_Q14_730790"/>
      <w:bookmarkStart w:id="12196" w:name="_ETM_Q14_731239"/>
      <w:bookmarkStart w:id="12197" w:name="_ETM_Q14_733520"/>
      <w:bookmarkEnd w:id="12195"/>
      <w:bookmarkEnd w:id="12196"/>
      <w:bookmarkEnd w:id="12197"/>
      <w:r>
        <w:rPr>
          <w:rFonts w:hint="cs"/>
          <w:rtl/>
        </w:rPr>
        <w:t>הממשלה. מ</w:t>
      </w:r>
      <w:bookmarkStart w:id="12198" w:name="_ETM_Q14_731820"/>
      <w:bookmarkEnd w:id="12198"/>
      <w:r>
        <w:rPr>
          <w:rFonts w:hint="cs"/>
          <w:rtl/>
        </w:rPr>
        <w:t xml:space="preserve">שרתי </w:t>
      </w:r>
      <w:bookmarkStart w:id="12199" w:name="_ETM_Q14_734330"/>
      <w:bookmarkEnd w:id="12199"/>
      <w:r>
        <w:rPr>
          <w:rFonts w:hint="cs"/>
          <w:rtl/>
        </w:rPr>
        <w:t xml:space="preserve">צה"ל </w:t>
      </w:r>
      <w:bookmarkStart w:id="12200" w:name="_ETM_Q14_735290"/>
      <w:bookmarkEnd w:id="12200"/>
      <w:r>
        <w:rPr>
          <w:rFonts w:hint="cs"/>
          <w:rtl/>
        </w:rPr>
        <w:t xml:space="preserve">הם </w:t>
      </w:r>
      <w:bookmarkStart w:id="12201" w:name="_ETM_Q14_735590"/>
      <w:bookmarkEnd w:id="12201"/>
      <w:r>
        <w:rPr>
          <w:rFonts w:hint="cs"/>
          <w:rtl/>
        </w:rPr>
        <w:t xml:space="preserve">לא </w:t>
      </w:r>
      <w:bookmarkStart w:id="12202" w:name="_ETM_Q14_736040"/>
      <w:bookmarkEnd w:id="12202"/>
      <w:r>
        <w:rPr>
          <w:rFonts w:hint="cs"/>
          <w:rtl/>
        </w:rPr>
        <w:t xml:space="preserve">אלו </w:t>
      </w:r>
      <w:bookmarkStart w:id="12203" w:name="_ETM_Q14_736429"/>
      <w:bookmarkEnd w:id="12203"/>
      <w:r>
        <w:rPr>
          <w:rFonts w:hint="cs"/>
          <w:rtl/>
        </w:rPr>
        <w:t xml:space="preserve">שיוצרים </w:t>
      </w:r>
      <w:bookmarkStart w:id="12204" w:name="_ETM_Q14_737090"/>
      <w:bookmarkEnd w:id="12204"/>
      <w:r>
        <w:rPr>
          <w:rFonts w:hint="cs"/>
          <w:rtl/>
        </w:rPr>
        <w:t xml:space="preserve">את </w:t>
      </w:r>
      <w:bookmarkStart w:id="12205" w:name="_ETM_Q14_737240"/>
      <w:bookmarkEnd w:id="12205"/>
      <w:r>
        <w:rPr>
          <w:rFonts w:hint="cs"/>
          <w:rtl/>
        </w:rPr>
        <w:t xml:space="preserve">הבעיה. </w:t>
      </w:r>
      <w:bookmarkStart w:id="12206" w:name="_ETM_Q14_739000"/>
      <w:bookmarkEnd w:id="12206"/>
      <w:r>
        <w:rPr>
          <w:rFonts w:hint="cs"/>
          <w:rtl/>
        </w:rPr>
        <w:t xml:space="preserve">משרתי </w:t>
      </w:r>
      <w:bookmarkStart w:id="12207" w:name="_ETM_Q14_739750"/>
      <w:bookmarkEnd w:id="12207"/>
      <w:r>
        <w:rPr>
          <w:rFonts w:hint="cs"/>
          <w:rtl/>
        </w:rPr>
        <w:t xml:space="preserve">צה"ל </w:t>
      </w:r>
      <w:bookmarkStart w:id="12208" w:name="_ETM_Q14_740290"/>
      <w:bookmarkEnd w:id="12208"/>
      <w:r>
        <w:rPr>
          <w:rFonts w:hint="cs"/>
          <w:rtl/>
        </w:rPr>
        <w:t xml:space="preserve">הם </w:t>
      </w:r>
      <w:bookmarkStart w:id="12209" w:name="_ETM_Q14_740410"/>
      <w:bookmarkEnd w:id="12209"/>
      <w:r>
        <w:rPr>
          <w:rFonts w:hint="cs"/>
          <w:rtl/>
        </w:rPr>
        <w:t xml:space="preserve">אלו </w:t>
      </w:r>
      <w:bookmarkStart w:id="12210" w:name="_ETM_Q14_740620"/>
      <w:bookmarkEnd w:id="12210"/>
      <w:r>
        <w:rPr>
          <w:rFonts w:hint="cs"/>
          <w:rtl/>
        </w:rPr>
        <w:t xml:space="preserve">שמושפעים </w:t>
      </w:r>
      <w:bookmarkStart w:id="12211" w:name="_ETM_Q14_741550"/>
      <w:bookmarkEnd w:id="12211"/>
      <w:r>
        <w:rPr>
          <w:rFonts w:hint="cs"/>
          <w:rtl/>
        </w:rPr>
        <w:t xml:space="preserve">ממנה, </w:t>
      </w:r>
      <w:bookmarkStart w:id="12212" w:name="_ETM_Q14_743070"/>
      <w:bookmarkEnd w:id="12212"/>
      <w:r>
        <w:rPr>
          <w:rFonts w:hint="cs"/>
          <w:rtl/>
        </w:rPr>
        <w:t xml:space="preserve">כמו </w:t>
      </w:r>
      <w:bookmarkStart w:id="12213" w:name="_ETM_Q14_743550"/>
      <w:bookmarkEnd w:id="12213"/>
      <w:r>
        <w:rPr>
          <w:rFonts w:hint="cs"/>
          <w:rtl/>
        </w:rPr>
        <w:t xml:space="preserve">כל </w:t>
      </w:r>
      <w:bookmarkStart w:id="12214" w:name="_ETM_Q14_744000"/>
      <w:bookmarkEnd w:id="12214"/>
      <w:r>
        <w:rPr>
          <w:rFonts w:hint="cs"/>
          <w:rtl/>
        </w:rPr>
        <w:t xml:space="preserve">החברה </w:t>
      </w:r>
      <w:bookmarkStart w:id="12215" w:name="_ETM_Q14_744600"/>
      <w:bookmarkEnd w:id="12215"/>
      <w:r>
        <w:rPr>
          <w:rFonts w:hint="cs"/>
          <w:rtl/>
        </w:rPr>
        <w:t xml:space="preserve">הישראלית. </w:t>
      </w:r>
      <w:bookmarkStart w:id="12216" w:name="_ETM_Q14_747900"/>
      <w:bookmarkEnd w:id="12216"/>
      <w:r>
        <w:rPr>
          <w:rFonts w:hint="cs"/>
          <w:rtl/>
        </w:rPr>
        <w:t xml:space="preserve">וכפי </w:t>
      </w:r>
      <w:bookmarkStart w:id="12217" w:name="_ETM_Q14_748440"/>
      <w:bookmarkEnd w:id="12217"/>
      <w:r>
        <w:rPr>
          <w:rFonts w:hint="cs"/>
          <w:rtl/>
        </w:rPr>
        <w:t xml:space="preserve">שאמרתי </w:t>
      </w:r>
      <w:bookmarkStart w:id="12218" w:name="_ETM_Q14_749159"/>
      <w:bookmarkEnd w:id="12218"/>
      <w:r>
        <w:rPr>
          <w:rFonts w:hint="cs"/>
          <w:rtl/>
        </w:rPr>
        <w:t xml:space="preserve">בעבר, </w:t>
      </w:r>
      <w:bookmarkStart w:id="12219" w:name="_ETM_Q14_750870"/>
      <w:bookmarkEnd w:id="12219"/>
      <w:r>
        <w:rPr>
          <w:rFonts w:hint="cs"/>
          <w:rtl/>
        </w:rPr>
        <w:t xml:space="preserve">אני </w:t>
      </w:r>
      <w:bookmarkStart w:id="12220" w:name="_ETM_Q14_751110"/>
      <w:bookmarkEnd w:id="12220"/>
      <w:r>
        <w:rPr>
          <w:rFonts w:hint="cs"/>
          <w:rtl/>
        </w:rPr>
        <w:t xml:space="preserve">חוזר </w:t>
      </w:r>
      <w:bookmarkStart w:id="12221" w:name="_ETM_Q14_751860"/>
      <w:bookmarkEnd w:id="12221"/>
      <w:r>
        <w:rPr>
          <w:rFonts w:hint="cs"/>
          <w:rtl/>
        </w:rPr>
        <w:t xml:space="preserve">גם </w:t>
      </w:r>
      <w:bookmarkStart w:id="12222" w:name="_ETM_Q14_752130"/>
      <w:bookmarkEnd w:id="12222"/>
      <w:r>
        <w:rPr>
          <w:rFonts w:hint="cs"/>
          <w:rtl/>
        </w:rPr>
        <w:t xml:space="preserve">היום </w:t>
      </w:r>
      <w:bookmarkStart w:id="12223" w:name="_ETM_Q14_752550"/>
      <w:bookmarkEnd w:id="12223"/>
      <w:r>
        <w:rPr>
          <w:rFonts w:hint="cs"/>
          <w:rtl/>
        </w:rPr>
        <w:t xml:space="preserve">וקורא </w:t>
      </w:r>
      <w:bookmarkStart w:id="12224" w:name="_ETM_Q14_753000"/>
      <w:bookmarkEnd w:id="12224"/>
      <w:r>
        <w:rPr>
          <w:rFonts w:hint="cs"/>
          <w:rtl/>
        </w:rPr>
        <w:t>לכולם</w:t>
      </w:r>
      <w:bookmarkStart w:id="12225" w:name="_ETM_Q14_751400"/>
      <w:bookmarkEnd w:id="12225"/>
      <w:r>
        <w:rPr>
          <w:rFonts w:hint="cs"/>
          <w:rtl/>
        </w:rPr>
        <w:t xml:space="preserve"> </w:t>
      </w:r>
      <w:bookmarkStart w:id="12226" w:name="_ETM_Q14_753780"/>
      <w:bookmarkEnd w:id="12226"/>
      <w:r>
        <w:rPr>
          <w:rFonts w:hint="cs"/>
          <w:rtl/>
        </w:rPr>
        <w:t xml:space="preserve">להמשיך </w:t>
      </w:r>
      <w:bookmarkStart w:id="12227" w:name="_ETM_Q14_754980"/>
      <w:bookmarkEnd w:id="12227"/>
      <w:r>
        <w:rPr>
          <w:rFonts w:hint="cs"/>
          <w:rtl/>
        </w:rPr>
        <w:t xml:space="preserve">למחות, </w:t>
      </w:r>
      <w:bookmarkStart w:id="12228" w:name="_ETM_Q14_756190"/>
      <w:bookmarkEnd w:id="12228"/>
      <w:r>
        <w:rPr>
          <w:rFonts w:hint="cs"/>
          <w:rtl/>
        </w:rPr>
        <w:t xml:space="preserve">ולהמשיך </w:t>
      </w:r>
      <w:bookmarkStart w:id="12229" w:name="_ETM_Q14_757300"/>
      <w:bookmarkEnd w:id="12229"/>
      <w:r>
        <w:rPr>
          <w:rFonts w:hint="cs"/>
          <w:rtl/>
        </w:rPr>
        <w:t xml:space="preserve">לשרת </w:t>
      </w:r>
      <w:bookmarkStart w:id="12230" w:name="_ETM_Q14_758050"/>
      <w:bookmarkEnd w:id="12230"/>
      <w:r>
        <w:rPr>
          <w:rFonts w:hint="cs"/>
          <w:rtl/>
        </w:rPr>
        <w:t>ולהתנדב.</w:t>
      </w:r>
      <w:bookmarkStart w:id="12231" w:name="_ETM_Q14_761009"/>
      <w:bookmarkStart w:id="12232" w:name="_ETM_Q14_762758"/>
      <w:bookmarkStart w:id="12233" w:name="_ETM_Q14_768390"/>
      <w:bookmarkEnd w:id="12231"/>
      <w:bookmarkEnd w:id="12232"/>
      <w:bookmarkEnd w:id="12233"/>
      <w:r>
        <w:rPr>
          <w:rFonts w:hint="cs"/>
          <w:rtl/>
        </w:rPr>
        <w:t xml:space="preserve"> </w:t>
      </w:r>
      <w:bookmarkStart w:id="12234" w:name="_ETM_Q14_768463"/>
      <w:bookmarkStart w:id="12235" w:name="TOR_Q15"/>
      <w:bookmarkEnd w:id="12234"/>
      <w:bookmarkEnd w:id="12235"/>
      <w:r>
        <w:rPr>
          <w:rFonts w:hint="cs"/>
          <w:rtl/>
        </w:rPr>
        <w:t xml:space="preserve">לצד זאת, השפה והיחס של ראש הממשלה וחברי הקואליציה לצה"ל ומשרתיו, בכל המובנים, ראויים לגינוי. במקום לחבק את האנשים הטובים האלה, במקום לגלות אמפתיה לזעקתם, במקום להקשיב להם, מכנים אותם </w:t>
      </w:r>
      <w:r w:rsidR="000145FA">
        <w:rPr>
          <w:rFonts w:hint="cs"/>
          <w:rtl/>
        </w:rPr>
        <w:t>"</w:t>
      </w:r>
      <w:r>
        <w:rPr>
          <w:rFonts w:hint="cs"/>
          <w:rtl/>
        </w:rPr>
        <w:t>סרבנים</w:t>
      </w:r>
      <w:r w:rsidR="000145FA">
        <w:rPr>
          <w:rFonts w:hint="cs"/>
          <w:rtl/>
        </w:rPr>
        <w:t>"</w:t>
      </w:r>
      <w:r>
        <w:rPr>
          <w:rFonts w:hint="cs"/>
          <w:rtl/>
        </w:rPr>
        <w:t xml:space="preserve">, </w:t>
      </w:r>
      <w:r w:rsidR="000145FA">
        <w:rPr>
          <w:rFonts w:hint="cs"/>
          <w:rtl/>
        </w:rPr>
        <w:t>"</w:t>
      </w:r>
      <w:r>
        <w:rPr>
          <w:rFonts w:hint="cs"/>
          <w:rtl/>
        </w:rPr>
        <w:t>נפולת נמושות</w:t>
      </w:r>
      <w:r w:rsidR="000145FA">
        <w:rPr>
          <w:rFonts w:hint="cs"/>
          <w:rtl/>
        </w:rPr>
        <w:t>";</w:t>
      </w:r>
      <w:r>
        <w:rPr>
          <w:rFonts w:hint="cs"/>
          <w:rtl/>
        </w:rPr>
        <w:t xml:space="preserve"> לכו לעזאזל, נסתדר בלעדיכם. איזו קריאה אינטלקטואלית – לכו לעזאזל, נסתדר בלעדיכם. דוגמה אישית לאומית שמעולם, אבל מעולם, לא הצלחתי לראות – בסגי נהור, </w:t>
      </w:r>
      <w:bookmarkStart w:id="12236" w:name="_ETM_Q15_208110"/>
      <w:bookmarkEnd w:id="12236"/>
      <w:r>
        <w:rPr>
          <w:rFonts w:hint="cs"/>
          <w:rtl/>
        </w:rPr>
        <w:t xml:space="preserve">כמובן – טובה כמוה.  </w:t>
      </w:r>
    </w:p>
    <w:p w:rsidR="000C5C1F" w:rsidRDefault="000C5C1F" w:rsidP="000C5C1F">
      <w:pPr>
        <w:rPr>
          <w:rtl/>
        </w:rPr>
      </w:pPr>
    </w:p>
    <w:p w:rsidR="000C5C1F" w:rsidRDefault="000C5C1F" w:rsidP="000C5C1F">
      <w:pPr>
        <w:rPr>
          <w:rtl/>
        </w:rPr>
      </w:pPr>
      <w:r>
        <w:rPr>
          <w:rFonts w:hint="cs"/>
          <w:rtl/>
        </w:rPr>
        <w:t xml:space="preserve">כי מיהם האנשים האלה? אלו אנשים שנתנו ונותנים את מיטב שנותיהם למדינה; שסיכנו, ומוכנים להמשיך לסכן, את נפשם למען המדינה. הם עושים את המרב האפשרי כדי לשמור עליה גם כעת. תרשו לי לנחש שכשיפלו פה הטילים הם אכן יגיעו. אני יודע מי לא יגיע: אלה שמבקרים אותם, אלה שצועקים עליהם, אלה שמשפילים אותם. הרגע הזה במציאות הביטחונית שלנו עוד יראה את עצמו, ונזכור מי אמר, מי בא ומי עשה. </w:t>
      </w:r>
      <w:bookmarkStart w:id="12237" w:name="_ETM_Q15_259945"/>
      <w:bookmarkStart w:id="12238" w:name="_ETM_Q15_260020"/>
      <w:bookmarkStart w:id="12239" w:name="_ETM_Q15_260106"/>
      <w:bookmarkStart w:id="12240" w:name="_ETM_Q15_260165"/>
      <w:bookmarkEnd w:id="12237"/>
      <w:bookmarkEnd w:id="12238"/>
      <w:bookmarkEnd w:id="12239"/>
      <w:bookmarkEnd w:id="12240"/>
      <w:r>
        <w:rPr>
          <w:rFonts w:hint="cs"/>
          <w:rtl/>
        </w:rPr>
        <w:t xml:space="preserve">במקום שראש הממשלה יזמין אותם לפגישה, במקום שהקבינט יערוך ישיבה כדי להיערך לשמור על הצבא – </w:t>
      </w:r>
      <w:bookmarkStart w:id="12241" w:name="_ETM_Q15_270813"/>
      <w:bookmarkEnd w:id="12241"/>
      <w:r>
        <w:rPr>
          <w:rFonts w:hint="cs"/>
          <w:rtl/>
        </w:rPr>
        <w:t xml:space="preserve">על צבא העם – ולהעריך את ההשלכות, מעליבים אותם, פוגעים להם בציפור הנפש. דוחקים במפקדים לטפל בהם ביד קשה, משל היו אויבי המדינה ולא מגיניה. זאת טעות לאומית וזהו כשל מנהיגותי חמור ביותר. ראש הממשלה וחברי הקואליציה, זה בידיים שלכם, זאת האחריות שלכם. במקרה הזה, חלק מהנזק כבר בלתי הפיך. אני מבקש להגיד לראש הממשלה: אם תעצור ותחתור להסכמה זו לא תהיה כניעה, זה יהיה גילוי של אחריות לאומית – לא רק בגלל סכנת הכשירות אלא בעיקר בגלל איום הפלגנות; לא רק בגלל הפגיעה </w:t>
      </w:r>
      <w:bookmarkStart w:id="12242" w:name="_ETM_Q15_334509"/>
      <w:bookmarkEnd w:id="12242"/>
      <w:r>
        <w:rPr>
          <w:rFonts w:hint="cs"/>
          <w:rtl/>
        </w:rPr>
        <w:t xml:space="preserve">במוכנות אלא בעיקר בגלל הפגיעה בדמוקרטיה. יש רגעים שצריך להתעלות מעל הפוליטיקה, ולפעמים אפשר להיות גם צודק וגם חכם. </w:t>
      </w:r>
    </w:p>
    <w:p w:rsidR="000C5C1F" w:rsidRDefault="000C5C1F" w:rsidP="000C5C1F">
      <w:pPr>
        <w:rPr>
          <w:rtl/>
        </w:rPr>
      </w:pPr>
    </w:p>
    <w:p w:rsidR="000C5C1F" w:rsidRDefault="000C5C1F" w:rsidP="000C5C1F">
      <w:pPr>
        <w:rPr>
          <w:rtl/>
        </w:rPr>
      </w:pPr>
      <w:r>
        <w:rPr>
          <w:rFonts w:hint="cs"/>
          <w:rtl/>
        </w:rPr>
        <w:t xml:space="preserve">חברי הכנסת, אתמול, כבכל החודשים האחרונים, יצאתי לאחת ההפגנות, והפעם לגבעת שמואל. עוד לפני שהגעתי הזהירו אותי שחלק מהשכנים לא רואים בעין יפה את ההפגנות. אכן, בסיום ההפגנה נזרקו לעבר המפגינים ביצים. הסתובבתי בהפגנה היום בירושלים, ולצד סיפורים מרגשים של ערבות הדדית, של חרדים שחילקו מים ובתי קפה שתרמו אוכל </w:t>
      </w:r>
      <w:bookmarkStart w:id="12243" w:name="_ETM_Q15_393356"/>
      <w:bookmarkEnd w:id="12243"/>
      <w:r>
        <w:rPr>
          <w:rFonts w:hint="cs"/>
          <w:rtl/>
        </w:rPr>
        <w:t xml:space="preserve">בבוקר, נחשפתי גם לקריאות קשות כלפי המפגינים. רבות מדובר על הקו האדום בצה"ל והכשירות, ואלה אכן נושאים חשובים, אבל צריך להגיד ביושר שהחברה הישראלית כולה בדרך לחצות את הקו האדום. מרגישים את זה בארוחות המשפחתיות, בשיחות בעבודה. מי שחושב שזה לא יגיע לכל מחלקה, פלוגה וגדוד בצבא, לא חש את מה שנקרא אצלנו "המתרחש ביחידה". צריך לחזור על הסעיף הזה, כי לא כל חברי הממשלה מכירים את המושג הזה: </w:t>
      </w:r>
      <w:bookmarkStart w:id="12244" w:name="_ETM_Q15_435831"/>
      <w:bookmarkEnd w:id="12244"/>
      <w:r>
        <w:rPr>
          <w:rFonts w:hint="cs"/>
          <w:rtl/>
        </w:rPr>
        <w:t xml:space="preserve">חי את המתרחש ביחידה. </w:t>
      </w:r>
    </w:p>
    <w:p w:rsidR="000C5C1F" w:rsidRDefault="000C5C1F" w:rsidP="000C5C1F">
      <w:pPr>
        <w:rPr>
          <w:rtl/>
        </w:rPr>
      </w:pPr>
    </w:p>
    <w:p w:rsidR="000C5C1F" w:rsidRDefault="000C5C1F" w:rsidP="000C5C1F">
      <w:pPr>
        <w:rPr>
          <w:rtl/>
        </w:rPr>
      </w:pPr>
      <w:r>
        <w:rPr>
          <w:rFonts w:hint="cs"/>
          <w:rtl/>
        </w:rPr>
        <w:t xml:space="preserve">אם לא נעצור ונטפל בבעיה, הגלגל הזה יתהפך, ומי יודע מתי תהיה הריאקציה, באיזה נושא ובאיזו עוצמה. בימים האחרונים נשלחו לחבריי ואליי שליחים, חלק בשם עצמם, חלק עם מסרים עקיפים או ישירים מטעם הקואליציה. אמרתי להם, ואני מבקש לשים את זה גם בפני הציבור, כאן, מעל בימת הכנסת הריקה: כל הסכמה שלי או של האופוזיציה, נקודתית, על מרכיבים מעילת הסבירות, מבלי לפתור את שאר הסוגיות שעל הפרק, תהיה פגיעה בדמוקרטיה, בחברה, בביטחון ובכלכלה. זה אולי יעצור, אבל זה בטוח לא יעזור. לשיטתי ולתפיסתי עילת הסבירות היא כלי חשוב למניעת שחיתות וביקורת שיפוטית; מבחינתי היא חשובה ביותר; מבחינתי, אין כל צורך לשנות אותה. </w:t>
      </w:r>
    </w:p>
    <w:p w:rsidR="000C5C1F" w:rsidRDefault="000C5C1F" w:rsidP="000C5C1F">
      <w:pPr>
        <w:rPr>
          <w:rtl/>
        </w:rPr>
      </w:pPr>
      <w:bookmarkStart w:id="12245" w:name="_ETM_Q15_490236"/>
      <w:bookmarkStart w:id="12246" w:name="_ETM_Q15_490338"/>
      <w:bookmarkEnd w:id="12245"/>
      <w:bookmarkEnd w:id="12246"/>
    </w:p>
    <w:p w:rsidR="000C5C1F" w:rsidRDefault="000C5C1F" w:rsidP="000C5C1F">
      <w:pPr>
        <w:rPr>
          <w:rtl/>
        </w:rPr>
      </w:pPr>
      <w:bookmarkStart w:id="12247" w:name="_ETM_Q15_490375"/>
      <w:bookmarkStart w:id="12248" w:name="_ETM_Q15_490419"/>
      <w:bookmarkEnd w:id="12247"/>
      <w:bookmarkEnd w:id="12248"/>
      <w:r>
        <w:rPr>
          <w:rFonts w:hint="cs"/>
          <w:rtl/>
        </w:rPr>
        <w:t xml:space="preserve">לצד זאת, ניתן היה לדון על איזונים אם כל יתר המרכיבים היו נשארים מאוזנים גם כן. אך בעולם שבו עילת הסבירות מצומצמת, ומייד לאחר מכן מתחילים בהליך מינוי שופטים פוליטיים, יועמ"שים מטעם, מכפיפים את מח"ש לשר, פוגעים </w:t>
      </w:r>
      <w:bookmarkStart w:id="12249" w:name="_ETM_Q15_544086"/>
      <w:bookmarkEnd w:id="12249"/>
      <w:r>
        <w:rPr>
          <w:rFonts w:hint="cs"/>
          <w:rtl/>
        </w:rPr>
        <w:t xml:space="preserve">בחופש העיתונות בחוק תקשורת דרקוני, מפטרים את היועמ"שית, מביאים פסגת התגברות מסוכנת, אז איפה אנחנו? אני אגיד לכם איפה אנחנו: אנחנו במדרון תלול ומסוכן. כל עוד אנחנו במדרון, לא רק הדמוקרטיה בסכנה – כי כשהיא תהיה בסכנה, היציבות והטלטלה במערכת הביטחון יימשכו, השסע ימשיך להיפער, ההרתעה תמשיך להיפגע, הכלכלה תמשיך להידרדר ולתפקד תחת חוסר ודאות. הסכמה נקודתית רק </w:t>
      </w:r>
      <w:bookmarkStart w:id="12250" w:name="_ETM_Q15_588054"/>
      <w:bookmarkEnd w:id="12250"/>
      <w:r>
        <w:rPr>
          <w:rFonts w:hint="cs"/>
          <w:rtl/>
        </w:rPr>
        <w:t xml:space="preserve">על עילת הסבירות תהיה הפקרות. אם זו רק תחילת הדרך לביטול הביקורת השיפוטית, ורק בַּמְפֶּר בדרך להפיכה משטרית </w:t>
      </w:r>
      <w:bookmarkStart w:id="12251" w:name="_ETM_Q15_599247"/>
      <w:bookmarkEnd w:id="12251"/>
      <w:r>
        <w:rPr>
          <w:rFonts w:hint="cs"/>
          <w:rtl/>
        </w:rPr>
        <w:t xml:space="preserve">כוללת, אז לא עשינו כלום. אין במקרה כזה עבור מה להגיע להסכמות. </w:t>
      </w:r>
    </w:p>
    <w:p w:rsidR="000C5C1F" w:rsidRDefault="000C5C1F" w:rsidP="000C5C1F">
      <w:pPr>
        <w:rPr>
          <w:rtl/>
        </w:rPr>
      </w:pPr>
      <w:bookmarkStart w:id="12252" w:name="_ETM_Q15_611200"/>
      <w:bookmarkStart w:id="12253" w:name="_ETM_Q15_611259"/>
      <w:bookmarkEnd w:id="12252"/>
      <w:bookmarkEnd w:id="12253"/>
    </w:p>
    <w:p w:rsidR="000C5C1F" w:rsidRDefault="000C5C1F" w:rsidP="000C5C1F">
      <w:pPr>
        <w:rPr>
          <w:rtl/>
        </w:rPr>
      </w:pPr>
      <w:bookmarkStart w:id="12254" w:name="_ETM_Q15_611328"/>
      <w:bookmarkStart w:id="12255" w:name="_ETM_Q15_611386"/>
      <w:bookmarkEnd w:id="12254"/>
      <w:bookmarkEnd w:id="12255"/>
      <w:r>
        <w:rPr>
          <w:rFonts w:hint="cs"/>
          <w:rtl/>
        </w:rPr>
        <w:t xml:space="preserve">אני יודע, אדוני היושב-בראש, שיש חברי כנסת, כולל בכירים בממשלה, שכבר הודיעו לראש הממשלה שאחרי החקיקה הזאת הם ידרשו שכל חקיקה נוספת תהיה בהסכמה. הקולות האלה מגיעים גם אליי. אני אומר להם, זה בדיוק המתווה שצריך לקיים כבר כעת. אפשר לעצור, להגיע להסכמה על עילת הסבירות, ולהמשיך במתווה של הסכמות מלאות. לא רק אפשר, צריך לעצור, להסכים ולהמשיך ביחד. אני שב וקורא לראש הממשלה ולחברי הקואליציה שיש להם אחריות. המתווה הנכון למדינת ישראל הוא הסכמה תמורת הסכמה. אני מבין את הרצון ואולי גם את הצורך בעיני אחדים להעביר חקיקה כלשהי. אני לא </w:t>
      </w:r>
      <w:bookmarkStart w:id="12256" w:name="_ETM_Q15_666990"/>
      <w:bookmarkEnd w:id="12256"/>
      <w:r>
        <w:rPr>
          <w:rFonts w:hint="cs"/>
          <w:rtl/>
        </w:rPr>
        <w:t>רוצה לדרוס אתכם; אבל לצד זאת, אי-אפשר לאפשר לכם לדרוס את מדינת ישראל, לדרדר אותה במדרון לתהומות שלא ידענו מעולם. הסכמה תמורת הסכמה זאת הנוסחה. כל הצעה שלא תעצור את ההידרדרות במדרון היא מלכודת למדינת ישראל ולחברה הישראלית. היא המשך הסחרור, גם אם מושהה בזמן. המשך סחרור מסוכן שחייב להיעצר.</w:t>
      </w:r>
    </w:p>
    <w:p w:rsidR="000C5C1F" w:rsidRDefault="000C5C1F" w:rsidP="000C5C1F">
      <w:pPr>
        <w:rPr>
          <w:rtl/>
        </w:rPr>
      </w:pPr>
    </w:p>
    <w:p w:rsidR="000C5C1F" w:rsidRDefault="000C5C1F" w:rsidP="000C5C1F">
      <w:pPr>
        <w:rPr>
          <w:rtl/>
        </w:rPr>
      </w:pPr>
      <w:r>
        <w:rPr>
          <w:rFonts w:hint="cs"/>
          <w:rtl/>
        </w:rPr>
        <w:t xml:space="preserve">אני קורא לחברי הקואליציה: זה הזמן לגלות מנהיגות ולעשות מעשה. סכנה ברורה ומיידית לפנינו. אני קורא לכם לא לאטום אוזניים, לא לעצום עיניים, ולכל חלקי החברה הישראלית אני אומר: לא לעזוב ידיים גם בימים קשים. אפילו בימים קשים נדע שגם אם החוק הרע הזה יעבור, נמשיך לפעול ובמהרה בימינו נתקן. תודה רבה. </w:t>
      </w:r>
    </w:p>
    <w:p w:rsidR="000C5C1F" w:rsidRDefault="000C5C1F" w:rsidP="000C5C1F">
      <w:pPr>
        <w:rPr>
          <w:rtl/>
        </w:rPr>
      </w:pPr>
    </w:p>
    <w:p w:rsidR="000C5C1F" w:rsidRDefault="000C5C1F" w:rsidP="000C5C1F">
      <w:pPr>
        <w:rPr>
          <w:rtl/>
        </w:rPr>
      </w:pPr>
    </w:p>
    <w:p w:rsidR="000C5C1F" w:rsidRDefault="000C5C1F" w:rsidP="000C5C1F">
      <w:pPr>
        <w:pStyle w:val="a7"/>
        <w:rPr>
          <w:rtl/>
        </w:rPr>
      </w:pPr>
      <w:bookmarkStart w:id="12257" w:name="ET_subject_מסמכים_שהונחו_על_שולחן__2"/>
      <w:r>
        <w:rPr>
          <w:rStyle w:val="TagStyle"/>
          <w:rFonts w:hint="cs"/>
          <w:rtl/>
        </w:rPr>
        <w:t xml:space="preserve">&lt;&lt; נושא &gt;&gt; </w:t>
      </w:r>
      <w:bookmarkStart w:id="12258" w:name="_Toc141034694"/>
      <w:bookmarkStart w:id="12259" w:name="_Toc141040461"/>
      <w:bookmarkStart w:id="12260" w:name="_Toc141196870"/>
      <w:bookmarkStart w:id="12261" w:name="_Toc141197134"/>
      <w:r>
        <w:rPr>
          <w:rFonts w:hint="cs"/>
          <w:rtl/>
        </w:rPr>
        <w:t>מסמכים שהונחו על שולחן הכנסת</w:t>
      </w:r>
      <w:bookmarkEnd w:id="12258"/>
      <w:bookmarkEnd w:id="12259"/>
      <w:bookmarkEnd w:id="12260"/>
      <w:bookmarkEnd w:id="12261"/>
      <w:r>
        <w:rPr>
          <w:rStyle w:val="TagStyle"/>
          <w:rFonts w:hint="cs"/>
          <w:rtl/>
        </w:rPr>
        <w:t xml:space="preserve"> &lt;&lt; נושא &gt;&gt;</w:t>
      </w:r>
      <w:r>
        <w:rPr>
          <w:rFonts w:hint="cs"/>
          <w:rtl/>
        </w:rPr>
        <w:t xml:space="preserve">   </w:t>
      </w:r>
      <w:bookmarkEnd w:id="12257"/>
    </w:p>
    <w:p w:rsidR="000C5C1F" w:rsidRDefault="000C5C1F" w:rsidP="00337201">
      <w:pPr>
        <w:rPr>
          <w:rtl/>
        </w:rPr>
      </w:pPr>
    </w:p>
    <w:p w:rsidR="000C5C1F" w:rsidRDefault="000C5C1F" w:rsidP="000C5C1F">
      <w:pPr>
        <w:pStyle w:val="af9"/>
        <w:keepNext/>
        <w:rPr>
          <w:rtl/>
        </w:rPr>
      </w:pPr>
      <w:bookmarkStart w:id="12262" w:name="ET_yor_6490_2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2262"/>
    </w:p>
    <w:p w:rsidR="000C5C1F" w:rsidRDefault="000C5C1F" w:rsidP="00337201">
      <w:pPr>
        <w:rPr>
          <w:rtl/>
        </w:rPr>
      </w:pPr>
    </w:p>
    <w:p w:rsidR="000C5C1F" w:rsidRDefault="000C5C1F" w:rsidP="000C5C1F">
      <w:pPr>
        <w:rPr>
          <w:rtl/>
        </w:rPr>
      </w:pPr>
      <w:bookmarkStart w:id="12263" w:name="_ETM_Q16_154824"/>
      <w:bookmarkEnd w:id="12263"/>
      <w:r>
        <w:rPr>
          <w:rFonts w:hint="cs"/>
          <w:rtl/>
        </w:rPr>
        <w:t>הודעת המזכירות, בבקשה.</w:t>
      </w:r>
    </w:p>
    <w:p w:rsidR="000C5C1F" w:rsidRDefault="000C5C1F" w:rsidP="000C5C1F">
      <w:pPr>
        <w:rPr>
          <w:rtl/>
        </w:rPr>
      </w:pPr>
    </w:p>
    <w:p w:rsidR="000C5C1F" w:rsidRDefault="000C5C1F" w:rsidP="000C5C1F">
      <w:pPr>
        <w:pStyle w:val="a5"/>
        <w:keepNext/>
        <w:rPr>
          <w:rtl/>
        </w:rPr>
      </w:pPr>
      <w:bookmarkStart w:id="12264" w:name="ET_speaker_6316_3"/>
      <w:r>
        <w:rPr>
          <w:rStyle w:val="TagStyle"/>
          <w:rFonts w:hint="cs"/>
          <w:rtl/>
        </w:rPr>
        <w:t xml:space="preserve"> &lt;&lt; דובר &gt;&gt; </w:t>
      </w:r>
      <w:bookmarkStart w:id="12265" w:name="_Toc141034695"/>
      <w:bookmarkStart w:id="12266" w:name="_Toc141040462"/>
      <w:bookmarkStart w:id="12267" w:name="_Toc141196871"/>
      <w:bookmarkStart w:id="12268" w:name="_Toc141197135"/>
      <w:r>
        <w:rPr>
          <w:rFonts w:hint="cs"/>
          <w:rtl/>
        </w:rPr>
        <w:t>סגנית מזכיר הכנסת ראדה חסייסי:</w:t>
      </w:r>
      <w:bookmarkEnd w:id="12265"/>
      <w:bookmarkEnd w:id="12266"/>
      <w:bookmarkEnd w:id="12267"/>
      <w:bookmarkEnd w:id="12268"/>
      <w:r>
        <w:rPr>
          <w:rStyle w:val="TagStyle"/>
          <w:rFonts w:hint="cs"/>
          <w:rtl/>
        </w:rPr>
        <w:t xml:space="preserve"> &lt;&lt; דובר &gt;&gt;</w:t>
      </w:r>
      <w:r>
        <w:rPr>
          <w:rFonts w:hint="cs"/>
          <w:rtl/>
        </w:rPr>
        <w:t xml:space="preserve">   </w:t>
      </w:r>
      <w:bookmarkEnd w:id="12264"/>
    </w:p>
    <w:p w:rsidR="000C5C1F" w:rsidRDefault="000C5C1F" w:rsidP="00337201">
      <w:pPr>
        <w:rPr>
          <w:rtl/>
          <w:lang w:eastAsia="he-IL"/>
        </w:rPr>
      </w:pPr>
    </w:p>
    <w:p w:rsidR="000C5C1F" w:rsidRDefault="000C5C1F" w:rsidP="000C5C1F">
      <w:pPr>
        <w:rPr>
          <w:rtl/>
          <w:lang w:eastAsia="he-IL"/>
        </w:rPr>
      </w:pPr>
      <w:r>
        <w:rPr>
          <w:rFonts w:hint="cs"/>
          <w:rtl/>
          <w:lang w:eastAsia="he-IL"/>
        </w:rPr>
        <w:t>ברשות יושב-ראש הישיבה, אני מתכבדת להודיעכם, כי הונחו היום על שולחן הכנסת, לקריאה שנייה ולקריאה שלישית: הצעת חוק העונשין (תיקון מס' 146 והוראת שעה), התשפ"ג–2023, שהחזירה הוועדה המשותפת של ועדת החוקה, חוק ומשפט והוועדה לביטחון לאומי; הצעת חוק לתיקון פקודת המשטרה (מס' 39), התשפ"ג–2023, שהחזירה הוועדה לביטחון לאומי. תודה.</w:t>
      </w:r>
    </w:p>
    <w:p w:rsidR="000C5C1F" w:rsidRDefault="000C5C1F" w:rsidP="000C5C1F">
      <w:pPr>
        <w:rPr>
          <w:rtl/>
        </w:rPr>
      </w:pPr>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rPr>
      </w:pPr>
    </w:p>
    <w:p w:rsidR="000C5C1F" w:rsidRDefault="000C5C1F" w:rsidP="000C5C1F">
      <w:pPr>
        <w:rPr>
          <w:rtl/>
        </w:rPr>
      </w:pPr>
      <w:r>
        <w:rPr>
          <w:rFonts w:hint="cs"/>
          <w:rtl/>
        </w:rPr>
        <w:t xml:space="preserve">תודה רבה. </w:t>
      </w:r>
    </w:p>
    <w:p w:rsidR="000C5C1F" w:rsidRDefault="000C5C1F" w:rsidP="000C5C1F">
      <w:pPr>
        <w:rPr>
          <w:rtl/>
        </w:rPr>
      </w:pPr>
    </w:p>
    <w:p w:rsidR="000C5C1F" w:rsidRDefault="000C5C1F" w:rsidP="000C5C1F">
      <w:pPr>
        <w:rPr>
          <w:rtl/>
        </w:rPr>
      </w:pPr>
    </w:p>
    <w:p w:rsidR="000C5C1F" w:rsidRDefault="000C5C1F" w:rsidP="000C5C1F">
      <w:pPr>
        <w:pStyle w:val="a7"/>
        <w:rPr>
          <w:rtl/>
        </w:rPr>
      </w:pPr>
      <w:bookmarkStart w:id="12269" w:name="ET_hatsach_640328_4"/>
      <w:r>
        <w:rPr>
          <w:rStyle w:val="TagStyle"/>
          <w:rFonts w:hint="cs"/>
          <w:rtl/>
        </w:rPr>
        <w:t xml:space="preserve">&lt;&lt; הצח &gt;&gt; </w:t>
      </w:r>
      <w:bookmarkStart w:id="12270" w:name="_Toc141034696"/>
      <w:bookmarkStart w:id="12271" w:name="_Toc141040463"/>
      <w:bookmarkStart w:id="12272" w:name="_Toc141196872"/>
      <w:bookmarkStart w:id="12273" w:name="_Toc141197136"/>
      <w:r>
        <w:rPr>
          <w:rFonts w:hint="cs"/>
          <w:rtl/>
        </w:rPr>
        <w:t>הצעת חוק-יסוד: השפיטה (תיקון מס' 4)</w:t>
      </w:r>
      <w:bookmarkEnd w:id="12270"/>
      <w:bookmarkEnd w:id="12271"/>
      <w:bookmarkEnd w:id="12272"/>
      <w:bookmarkEnd w:id="12273"/>
      <w:r>
        <w:rPr>
          <w:rStyle w:val="TagStyle"/>
          <w:rFonts w:hint="cs"/>
          <w:rtl/>
        </w:rPr>
        <w:t xml:space="preserve"> &lt;&lt; הצח &gt;&gt;</w:t>
      </w:r>
      <w:r>
        <w:rPr>
          <w:rFonts w:hint="cs"/>
          <w:rtl/>
        </w:rPr>
        <w:t xml:space="preserve">   </w:t>
      </w:r>
      <w:bookmarkEnd w:id="12269"/>
    </w:p>
    <w:p w:rsidR="000C5C1F" w:rsidRDefault="000C5C1F" w:rsidP="000C5C1F">
      <w:pPr>
        <w:pStyle w:val="-1"/>
        <w:rPr>
          <w:rtl/>
        </w:rPr>
      </w:pPr>
      <w:r>
        <w:rPr>
          <w:rFonts w:hint="cs"/>
          <w:rtl/>
        </w:rPr>
        <w:t>(קריאה שנייה וקריאה שלישית)</w:t>
      </w:r>
    </w:p>
    <w:p w:rsidR="000C5C1F" w:rsidRDefault="000C5C1F" w:rsidP="000C5C1F">
      <w:pPr>
        <w:rPr>
          <w:rtl/>
        </w:rPr>
      </w:pPr>
      <w:bookmarkStart w:id="12274" w:name="_ETM_Q16_133648"/>
      <w:bookmarkEnd w:id="12274"/>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0C5C1F">
      <w:pPr>
        <w:rPr>
          <w:rtl/>
        </w:rPr>
      </w:pPr>
    </w:p>
    <w:p w:rsidR="000C5C1F" w:rsidRDefault="000C5C1F" w:rsidP="000C5C1F">
      <w:pPr>
        <w:rPr>
          <w:rtl/>
        </w:rPr>
      </w:pPr>
      <w:bookmarkStart w:id="12275" w:name="_ETM_Q16_138503"/>
      <w:bookmarkEnd w:id="12275"/>
      <w:r>
        <w:rPr>
          <w:rFonts w:hint="cs"/>
          <w:rtl/>
        </w:rPr>
        <w:t xml:space="preserve">חבר הכנסת גלעד קריב. בבקשה. </w:t>
      </w:r>
    </w:p>
    <w:p w:rsidR="000C5C1F" w:rsidRDefault="000C5C1F" w:rsidP="000C5C1F">
      <w:pPr>
        <w:rPr>
          <w:rtl/>
          <w:lang w:eastAsia="he-IL"/>
        </w:rPr>
      </w:pPr>
    </w:p>
    <w:p w:rsidR="000C5C1F" w:rsidRDefault="000C5C1F" w:rsidP="000C5C1F">
      <w:pPr>
        <w:pStyle w:val="a5"/>
        <w:keepNext/>
        <w:rPr>
          <w:rtl/>
        </w:rPr>
      </w:pPr>
      <w:bookmarkStart w:id="12276" w:name="ET_speaker_6156_6"/>
      <w:r>
        <w:rPr>
          <w:rStyle w:val="TagStyle"/>
          <w:rFonts w:hint="cs"/>
          <w:rtl/>
        </w:rPr>
        <w:t xml:space="preserve"> &lt;&lt; דובר &gt;&gt; </w:t>
      </w:r>
      <w:bookmarkStart w:id="12277" w:name="_Toc141034697"/>
      <w:bookmarkStart w:id="12278" w:name="_Toc141040464"/>
      <w:bookmarkStart w:id="12279" w:name="_Toc141196873"/>
      <w:bookmarkStart w:id="12280" w:name="_Toc141197137"/>
      <w:r>
        <w:rPr>
          <w:rFonts w:hint="cs"/>
          <w:rtl/>
        </w:rPr>
        <w:t>גלעד קריב (העבודה):</w:t>
      </w:r>
      <w:bookmarkEnd w:id="12277"/>
      <w:bookmarkEnd w:id="12278"/>
      <w:bookmarkEnd w:id="12279"/>
      <w:bookmarkEnd w:id="12280"/>
      <w:r>
        <w:rPr>
          <w:rStyle w:val="TagStyle"/>
          <w:rFonts w:hint="cs"/>
          <w:rtl/>
        </w:rPr>
        <w:t xml:space="preserve"> &lt;&lt; דובר &gt;&gt;</w:t>
      </w:r>
      <w:r>
        <w:rPr>
          <w:rFonts w:hint="cs"/>
          <w:rtl/>
        </w:rPr>
        <w:t xml:space="preserve">   </w:t>
      </w:r>
      <w:bookmarkEnd w:id="12276"/>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אדוני היושב-ראש, חבריי חברי </w:t>
      </w:r>
      <w:bookmarkStart w:id="12281" w:name="_ETM_Q16_229697"/>
      <w:bookmarkEnd w:id="12281"/>
      <w:r>
        <w:rPr>
          <w:rFonts w:hint="cs"/>
          <w:rtl/>
          <w:lang w:eastAsia="he-IL"/>
        </w:rPr>
        <w:t xml:space="preserve">הכנסת, אדוני השר, כמה סמלי, אדוני היושב-ראש, שיושב-ראש ועדת החוקה חבר הכנסת שמחה רוטמן ושר המשפטים יריב לוין – שני האבות המולידים של הצעת החוק הבזויה שמונחת לפנינו – לא יושבים כאן באולם; כמה סמלי שחבר הכנסת רוטמן, מייד לאחר שנשא את נאומו והציג את הצגת הצעת החוק, </w:t>
      </w:r>
      <w:bookmarkStart w:id="12282" w:name="_ETM_Q16_266080"/>
      <w:bookmarkEnd w:id="12282"/>
      <w:r>
        <w:rPr>
          <w:rFonts w:hint="cs"/>
          <w:rtl/>
          <w:lang w:eastAsia="he-IL"/>
        </w:rPr>
        <w:t>קם ועזב את המליאה; כמה סמלי הדבר ששולחן הממשלה – אינני יודע אם ציבור הצופים יכול להבחין בכך – שולחן הממשלה ריק לחלוטין. שר החוץ אלי כהן כבר יושב זמן רב בירכתי המליאה. הדבר אומנם עומד בכללי הפרוטוקול, אבל השולחן הריק של ממשלת ישראל, שמקדמת כאן הצעת חוק-יסוד תקדימית – השולחן ריק.</w:t>
      </w:r>
    </w:p>
    <w:p w:rsidR="000C5C1F" w:rsidRDefault="000C5C1F" w:rsidP="000C5C1F">
      <w:pPr>
        <w:rPr>
          <w:rtl/>
          <w:lang w:eastAsia="he-IL"/>
        </w:rPr>
      </w:pPr>
      <w:bookmarkStart w:id="12283" w:name="_ETM_Q16_298972"/>
      <w:bookmarkEnd w:id="12283"/>
    </w:p>
    <w:p w:rsidR="000C5C1F" w:rsidRDefault="000C5C1F" w:rsidP="000C5C1F">
      <w:pPr>
        <w:pStyle w:val="af8"/>
        <w:keepNext/>
        <w:rPr>
          <w:rtl/>
        </w:rPr>
      </w:pPr>
      <w:bookmarkStart w:id="12284" w:name="_ETM_Q16_299244"/>
      <w:bookmarkStart w:id="12285" w:name="_ETM_Q16_299290"/>
      <w:bookmarkStart w:id="12286" w:name="_ETM_Q16_299425"/>
      <w:bookmarkStart w:id="12287" w:name="_ETM_Q16_300780"/>
      <w:bookmarkStart w:id="12288" w:name="ET_interruption_5766_9"/>
      <w:bookmarkEnd w:id="12284"/>
      <w:bookmarkEnd w:id="12285"/>
      <w:bookmarkEnd w:id="12286"/>
      <w:bookmarkEnd w:id="12287"/>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12288"/>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הוא עובד </w:t>
      </w:r>
      <w:bookmarkStart w:id="12289" w:name="_ETM_Q16_307088"/>
      <w:bookmarkEnd w:id="12289"/>
      <w:r>
        <w:rPr>
          <w:rFonts w:hint="cs"/>
          <w:rtl/>
          <w:lang w:eastAsia="he-IL"/>
        </w:rPr>
        <w:t>- - -</w:t>
      </w:r>
      <w:bookmarkStart w:id="12290" w:name="_ETM_Q16_303718"/>
      <w:bookmarkEnd w:id="12290"/>
      <w:r>
        <w:rPr>
          <w:rFonts w:hint="cs"/>
          <w:rtl/>
          <w:lang w:eastAsia="he-IL"/>
        </w:rPr>
        <w:t xml:space="preserve"> את ההרס שהם עושים.</w:t>
      </w:r>
    </w:p>
    <w:p w:rsidR="000C5C1F" w:rsidRDefault="000C5C1F" w:rsidP="000C5C1F">
      <w:pPr>
        <w:rPr>
          <w:rtl/>
          <w:lang w:eastAsia="he-IL"/>
        </w:rPr>
      </w:pPr>
    </w:p>
    <w:p w:rsidR="000C5C1F" w:rsidRDefault="000C5C1F" w:rsidP="000C5C1F">
      <w:pPr>
        <w:pStyle w:val="-"/>
        <w:keepNext/>
        <w:rPr>
          <w:rtl/>
        </w:rPr>
      </w:pPr>
      <w:bookmarkStart w:id="12291" w:name="_ETM_Q16_303918"/>
      <w:bookmarkStart w:id="12292" w:name="_ETM_Q16_303964"/>
      <w:bookmarkStart w:id="12293" w:name="_ETM_Q16_304064"/>
      <w:bookmarkStart w:id="12294" w:name="ET_speakercontinue_6156_10"/>
      <w:bookmarkEnd w:id="12291"/>
      <w:bookmarkEnd w:id="12292"/>
      <w:bookmarkEnd w:id="12293"/>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2294"/>
    </w:p>
    <w:p w:rsidR="000C5C1F" w:rsidRDefault="000C5C1F" w:rsidP="00337201">
      <w:pPr>
        <w:rPr>
          <w:rtl/>
          <w:lang w:eastAsia="he-IL"/>
        </w:rPr>
      </w:pPr>
    </w:p>
    <w:p w:rsidR="000C5C1F" w:rsidRDefault="000C5C1F" w:rsidP="000C5C1F">
      <w:pPr>
        <w:rPr>
          <w:rtl/>
          <w:lang w:eastAsia="he-IL"/>
        </w:rPr>
      </w:pPr>
      <w:bookmarkStart w:id="12295" w:name="_ETM_Q16_305162"/>
      <w:bookmarkEnd w:id="12295"/>
      <w:r>
        <w:rPr>
          <w:rFonts w:hint="cs"/>
          <w:rtl/>
          <w:lang w:eastAsia="he-IL"/>
        </w:rPr>
        <w:t>כן, כן</w:t>
      </w:r>
      <w:bookmarkStart w:id="12296" w:name="_ETM_Q16_304908"/>
      <w:bookmarkEnd w:id="12296"/>
      <w:r>
        <w:rPr>
          <w:rFonts w:hint="cs"/>
          <w:rtl/>
          <w:lang w:eastAsia="he-IL"/>
        </w:rPr>
        <w:t xml:space="preserve">, ממש. </w:t>
      </w:r>
      <w:bookmarkStart w:id="12297" w:name="_ETM_Q16_300888"/>
      <w:bookmarkStart w:id="12298" w:name="_ETM_Q16_301004"/>
      <w:bookmarkStart w:id="12299" w:name="_ETM_Q16_301141"/>
      <w:bookmarkEnd w:id="12297"/>
      <w:bookmarkEnd w:id="12298"/>
      <w:bookmarkEnd w:id="12299"/>
      <w:r>
        <w:rPr>
          <w:rFonts w:hint="cs"/>
          <w:rtl/>
          <w:lang w:eastAsia="he-IL"/>
        </w:rPr>
        <w:t xml:space="preserve">ממשלת ישראל מצפצפת על הכנסת, ממשלת ישראל מצפצפת על הציבור. אני מזמין את ציבור האזרחים להביט ברשימת הדיונים שהתקיימה הבוקר לפני פתיחת המליאה בוועדות הכנסת השונות. מה מעניין את הקואליציה הזו? בוועדת החינוך לא דנו במחסור המשווע באלפי מורים שמאיים על פתיחת שנת הלימודים. גם לא שבו לדון באותה גזרה שנגזרה על ההורים בחינוך המיוחד, גזרה של קיצור שעות הלימודים החל ב-1 בספטמבר הקרוב. </w:t>
      </w:r>
      <w:bookmarkStart w:id="12300" w:name="_ETM_Q16_296268"/>
      <w:bookmarkStart w:id="12301" w:name="_ETM_Q16_296341"/>
      <w:bookmarkStart w:id="12302" w:name="_ETM_Q16_296395"/>
      <w:bookmarkStart w:id="12303" w:name="_ETM_Q16_296454"/>
      <w:bookmarkEnd w:id="12300"/>
      <w:bookmarkEnd w:id="12301"/>
      <w:bookmarkEnd w:id="12302"/>
      <w:bookmarkEnd w:id="12303"/>
      <w:r>
        <w:rPr>
          <w:rFonts w:hint="cs"/>
          <w:rtl/>
          <w:lang w:eastAsia="he-IL"/>
        </w:rPr>
        <w:t>ועדת החינוך של הכנסת דנה בהצעת החוק להנצחת זכרו של הרב עובדיה יוסף, זכר צדיק לברכה, ובהצעת החוק להנצחת זכרו של הרב חיים דרוקמן, זכר צדיק לברכה. ועדת החוקה דנה בהצעת החוק למינוי מאות רבני שכונות, במהלך מושחת מאין כמוהו. זהו סדר-יומה של הממשלה, שלא טורחת להתייצב כאן לדיון בהצעת החוק הזו.</w:t>
      </w:r>
    </w:p>
    <w:p w:rsidR="000C5C1F" w:rsidRDefault="000C5C1F" w:rsidP="000C5C1F">
      <w:pPr>
        <w:rPr>
          <w:rtl/>
          <w:lang w:eastAsia="he-IL"/>
        </w:rPr>
      </w:pPr>
      <w:bookmarkStart w:id="12304" w:name="_ETM_Q16_385940"/>
      <w:bookmarkStart w:id="12305" w:name="_ETM_Q16_386120"/>
      <w:bookmarkEnd w:id="12304"/>
      <w:bookmarkEnd w:id="12305"/>
    </w:p>
    <w:p w:rsidR="000C5C1F" w:rsidRDefault="000C5C1F" w:rsidP="000C5C1F">
      <w:pPr>
        <w:rPr>
          <w:rtl/>
          <w:lang w:eastAsia="he-IL"/>
        </w:rPr>
      </w:pPr>
      <w:bookmarkStart w:id="12306" w:name="_ETM_Q16_387417"/>
      <w:bookmarkStart w:id="12307" w:name="_ETM_Q16_387591"/>
      <w:bookmarkStart w:id="12308" w:name="_ETM_Q16_387628"/>
      <w:bookmarkStart w:id="12309" w:name="_ETM_Q16_387776"/>
      <w:bookmarkEnd w:id="12306"/>
      <w:bookmarkEnd w:id="12307"/>
      <w:bookmarkEnd w:id="12308"/>
      <w:bookmarkEnd w:id="12309"/>
      <w:r>
        <w:rPr>
          <w:rFonts w:hint="cs"/>
          <w:rtl/>
          <w:lang w:eastAsia="he-IL"/>
        </w:rPr>
        <w:t xml:space="preserve">אדוני היושב-ראש, אבקש לחלק את דבריי לשלושה חלקים. בחלק הראשון אבקש לעשות דבר פחות מקובל, אבקש להציג כאן דברים שכבר אמרתי, דברים שאמרתי אתמול בערב בהפגנה בקריית גת. כן, כן, בקריית גת, מול מאות מוחים. כך אמרתי להם, אדוני היושב-ראש: אודה על האמת, נפשי, </w:t>
      </w:r>
      <w:bookmarkStart w:id="12310" w:name="_ETM_Q16_419201"/>
      <w:bookmarkEnd w:id="12310"/>
      <w:r>
        <w:rPr>
          <w:rFonts w:hint="cs"/>
          <w:rtl/>
          <w:lang w:eastAsia="he-IL"/>
        </w:rPr>
        <w:t xml:space="preserve">ואני בטוח שגם נפשכם, יצאה כל השבת אל עשרות האלפים שעלו לרגל במעלה שער הגיא בואכה העיר ירושלים. בתולדותיו של כל עם ישנן תמונות אייקוניות. כך היא תמונתם של בני המשפחה הרוכנים אל </w:t>
      </w:r>
      <w:bookmarkStart w:id="12311" w:name="_ETM_Q16_440866"/>
      <w:bookmarkEnd w:id="12311"/>
      <w:r>
        <w:rPr>
          <w:rFonts w:hint="cs"/>
          <w:rtl/>
          <w:lang w:eastAsia="he-IL"/>
        </w:rPr>
        <w:t xml:space="preserve">עבר מכשיר הרדיו, ומסמנים בכתב את תוצאות ההצבעה בעצרת האו"ם בכ"ט בנובמבר; כך היא תמונתם המוכרת של הצנחנים למרגלות הכותל; ותמונתו של הנשיא אנואר א-סאדאת, נשיא מצרים, נואם כאן, מעל הדוכן הזה, את נאומו החשוב. </w:t>
      </w:r>
      <w:bookmarkStart w:id="12312" w:name="_ETM_Q16_398939"/>
      <w:bookmarkStart w:id="12313" w:name="_ETM_Q16_399004"/>
      <w:bookmarkStart w:id="12314" w:name="_ETM_Q16_399202"/>
      <w:bookmarkStart w:id="12315" w:name="_ETM_Q16_399252"/>
      <w:bookmarkEnd w:id="12312"/>
      <w:bookmarkEnd w:id="12313"/>
      <w:bookmarkEnd w:id="12314"/>
      <w:bookmarkEnd w:id="12315"/>
      <w:r>
        <w:rPr>
          <w:rFonts w:hint="cs"/>
          <w:rtl/>
          <w:lang w:eastAsia="he-IL"/>
        </w:rPr>
        <w:t>תמונת הרבבות העולים לבירה ובידם דגלי ישראל, תמונתו של נכה צה"ל קטוע הרגל המצטרף לצעדה על קביים, ותמונת הררי המזון והשתייה שהכינו תושבי היישובים על אם הדרך – כל אלו ייכנסו לאלבומי התקומה של עם ישראל בארצו.</w:t>
      </w:r>
    </w:p>
    <w:p w:rsidR="000C5C1F" w:rsidRDefault="000C5C1F" w:rsidP="000C5C1F">
      <w:pPr>
        <w:rPr>
          <w:rtl/>
          <w:lang w:eastAsia="he-IL"/>
        </w:rPr>
      </w:pPr>
      <w:bookmarkStart w:id="12316" w:name="_ETM_Q16_488637"/>
      <w:bookmarkStart w:id="12317" w:name="_ETM_Q16_488801"/>
      <w:bookmarkStart w:id="12318" w:name="_ETM_Q16_488844"/>
      <w:bookmarkEnd w:id="12316"/>
      <w:bookmarkEnd w:id="12317"/>
      <w:bookmarkEnd w:id="12318"/>
    </w:p>
    <w:p w:rsidR="000C5C1F" w:rsidRDefault="000C5C1F" w:rsidP="000C5C1F">
      <w:pPr>
        <w:rPr>
          <w:rtl/>
          <w:lang w:eastAsia="he-IL"/>
        </w:rPr>
      </w:pPr>
      <w:bookmarkStart w:id="12319" w:name="_ETM_Q16_488966"/>
      <w:bookmarkEnd w:id="12319"/>
      <w:r>
        <w:rPr>
          <w:rFonts w:hint="cs"/>
          <w:rtl/>
          <w:lang w:eastAsia="he-IL"/>
        </w:rPr>
        <w:t>אבל הערב הזה – ככה אמרתי אתמול למתכנסים בקריית גת – אני שב ואומר את מה שאמרתי ב-29 השבועות האחרונים בחיפה, בנתניה, בכפר סבא, בבאר שבע, בצומת שער הנגב, בנתניה, באשדוד, ביבנה, במודיעין, בבת ים ובפתח תקווה</w:t>
      </w:r>
      <w:bookmarkStart w:id="12320" w:name="_ETM_Q16_513344"/>
      <w:bookmarkStart w:id="12321" w:name="_ETM_Q16_513532"/>
      <w:bookmarkEnd w:id="12320"/>
      <w:bookmarkEnd w:id="12321"/>
      <w:r>
        <w:rPr>
          <w:rFonts w:hint="cs"/>
          <w:rtl/>
          <w:lang w:eastAsia="he-IL"/>
        </w:rPr>
        <w:t>: ההפגנה בקריית גת, בת מאות המשתתפים חשובה לא פחות מזו המתקיימת בליבה של עיר הבירה וזו המתקיימת ברחוב קפלן בתל אביב.</w:t>
      </w:r>
    </w:p>
    <w:p w:rsidR="000C5C1F" w:rsidRDefault="000C5C1F" w:rsidP="000C5C1F">
      <w:pPr>
        <w:rPr>
          <w:rtl/>
          <w:lang w:eastAsia="he-IL"/>
        </w:rPr>
      </w:pPr>
      <w:bookmarkStart w:id="12322" w:name="_ETM_Q16_524579"/>
      <w:bookmarkStart w:id="12323" w:name="_ETM_Q16_524707"/>
      <w:bookmarkEnd w:id="12322"/>
      <w:bookmarkEnd w:id="12323"/>
    </w:p>
    <w:p w:rsidR="000C5C1F" w:rsidRDefault="000C5C1F" w:rsidP="000C5C1F">
      <w:pPr>
        <w:pStyle w:val="af8"/>
        <w:keepNext/>
        <w:rPr>
          <w:rtl/>
        </w:rPr>
      </w:pPr>
      <w:bookmarkStart w:id="12324" w:name="_ETM_Q16_524771"/>
      <w:bookmarkStart w:id="12325" w:name="_ETM_Q16_524900"/>
      <w:bookmarkStart w:id="12326" w:name="ET_interruption_5766_11"/>
      <w:bookmarkEnd w:id="12324"/>
      <w:bookmarkEnd w:id="12325"/>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12326"/>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יש </w:t>
      </w:r>
      <w:bookmarkStart w:id="12327" w:name="_ETM_Q16_517631"/>
      <w:bookmarkEnd w:id="12327"/>
      <w:r>
        <w:rPr>
          <w:rFonts w:hint="cs"/>
          <w:rtl/>
          <w:lang w:eastAsia="he-IL"/>
        </w:rPr>
        <w:t>שר?</w:t>
      </w:r>
      <w:bookmarkStart w:id="12328" w:name="_ETM_Q16_518943"/>
      <w:bookmarkEnd w:id="12328"/>
    </w:p>
    <w:p w:rsidR="000C5C1F" w:rsidRDefault="000C5C1F" w:rsidP="000C5C1F">
      <w:pPr>
        <w:rPr>
          <w:rtl/>
          <w:lang w:eastAsia="he-IL"/>
        </w:rPr>
      </w:pPr>
      <w:bookmarkStart w:id="12329" w:name="_ETM_Q16_519073"/>
      <w:bookmarkStart w:id="12330" w:name="_ETM_Q16_519119"/>
      <w:bookmarkStart w:id="12331" w:name="_ETM_Q16_519237"/>
      <w:bookmarkEnd w:id="12329"/>
      <w:bookmarkEnd w:id="12330"/>
      <w:bookmarkEnd w:id="12331"/>
    </w:p>
    <w:p w:rsidR="000C5C1F" w:rsidRDefault="000C5C1F" w:rsidP="000C5C1F">
      <w:pPr>
        <w:pStyle w:val="af9"/>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הוא פה. </w:t>
      </w:r>
      <w:bookmarkStart w:id="12332" w:name="_ETM_Q16_521287"/>
      <w:bookmarkEnd w:id="12332"/>
    </w:p>
    <w:p w:rsidR="000C5C1F" w:rsidRDefault="000C5C1F" w:rsidP="000C5C1F">
      <w:pPr>
        <w:rPr>
          <w:rtl/>
          <w:lang w:eastAsia="he-IL"/>
        </w:rPr>
      </w:pPr>
      <w:bookmarkStart w:id="12333" w:name="_ETM_Q16_521384"/>
      <w:bookmarkStart w:id="12334" w:name="_ETM_Q16_521495"/>
      <w:bookmarkStart w:id="12335" w:name="_ETM_Q16_521629"/>
      <w:bookmarkEnd w:id="12333"/>
      <w:bookmarkEnd w:id="12334"/>
      <w:bookmarkEnd w:id="12335"/>
    </w:p>
    <w:p w:rsidR="000C5C1F" w:rsidRDefault="000C5C1F" w:rsidP="000C5C1F">
      <w:pPr>
        <w:pStyle w:val="-"/>
        <w:keepNext/>
        <w:rPr>
          <w:rtl/>
        </w:rPr>
      </w:pPr>
      <w:bookmarkStart w:id="12336" w:name="ET_speakercontinue_6156_14"/>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2336"/>
    </w:p>
    <w:p w:rsidR="000C5C1F" w:rsidRDefault="000C5C1F" w:rsidP="00337201">
      <w:pPr>
        <w:rPr>
          <w:rtl/>
          <w:lang w:eastAsia="he-IL"/>
        </w:rPr>
      </w:pPr>
    </w:p>
    <w:p w:rsidR="000C5C1F" w:rsidRDefault="000C5C1F" w:rsidP="000C5C1F">
      <w:pPr>
        <w:rPr>
          <w:rtl/>
          <w:lang w:eastAsia="he-IL"/>
        </w:rPr>
      </w:pPr>
      <w:bookmarkStart w:id="12337" w:name="_ETM_Q16_523006"/>
      <w:bookmarkEnd w:id="12337"/>
      <w:r>
        <w:rPr>
          <w:rFonts w:hint="cs"/>
          <w:rtl/>
          <w:lang w:eastAsia="he-IL"/>
        </w:rPr>
        <w:t xml:space="preserve">השר אלי כהן. הוא יצא, אז נמתין. </w:t>
      </w:r>
    </w:p>
    <w:p w:rsidR="000C5C1F" w:rsidRDefault="000C5C1F" w:rsidP="000C5C1F">
      <w:pPr>
        <w:rPr>
          <w:rtl/>
          <w:lang w:eastAsia="he-IL"/>
        </w:rPr>
      </w:pPr>
    </w:p>
    <w:p w:rsidR="000C5C1F" w:rsidRDefault="000C5C1F" w:rsidP="000C5C1F">
      <w:pPr>
        <w:pStyle w:val="af8"/>
        <w:keepNext/>
        <w:rPr>
          <w:rtl/>
        </w:rPr>
      </w:pPr>
      <w:bookmarkStart w:id="12338" w:name="ET_interruption_5068_15"/>
      <w:r>
        <w:rPr>
          <w:rStyle w:val="TagStyle"/>
          <w:rFonts w:hint="cs"/>
          <w:rtl/>
        </w:rPr>
        <w:t xml:space="preserve"> &lt;&lt; קריאה &gt;&gt; </w:t>
      </w:r>
      <w:r>
        <w:rPr>
          <w:rFonts w:hint="cs"/>
          <w:rtl/>
        </w:rPr>
        <w:t>קארין אלהרר (יש עתיד):</w:t>
      </w:r>
      <w:r>
        <w:rPr>
          <w:rStyle w:val="TagStyle"/>
          <w:rtl/>
        </w:rPr>
        <w:t xml:space="preserve"> &lt;&lt; קריאה &gt;&gt;</w:t>
      </w:r>
      <w:r>
        <w:rPr>
          <w:rFonts w:hint="cs"/>
          <w:rtl/>
        </w:rPr>
        <w:t xml:space="preserve">   </w:t>
      </w:r>
      <w:bookmarkEnd w:id="12338"/>
    </w:p>
    <w:p w:rsidR="000C5C1F" w:rsidRDefault="000C5C1F" w:rsidP="00337201">
      <w:pPr>
        <w:rPr>
          <w:rtl/>
          <w:lang w:eastAsia="he-IL"/>
        </w:rPr>
      </w:pPr>
    </w:p>
    <w:p w:rsidR="000C5C1F" w:rsidRDefault="000C5C1F" w:rsidP="000C5C1F">
      <w:pPr>
        <w:rPr>
          <w:rtl/>
          <w:lang w:eastAsia="he-IL"/>
        </w:rPr>
      </w:pPr>
      <w:r>
        <w:rPr>
          <w:rFonts w:hint="cs"/>
          <w:rtl/>
          <w:lang w:eastAsia="he-IL"/>
        </w:rPr>
        <w:t>נמתין.</w:t>
      </w:r>
      <w:bookmarkStart w:id="12339" w:name="_ETM_Q16_528496"/>
      <w:bookmarkEnd w:id="12339"/>
      <w:r>
        <w:rPr>
          <w:rFonts w:hint="cs"/>
          <w:rtl/>
          <w:lang w:eastAsia="he-IL"/>
        </w:rPr>
        <w:t xml:space="preserve"> מה, אתה ממהר? </w:t>
      </w:r>
    </w:p>
    <w:p w:rsidR="000C5C1F" w:rsidRDefault="000C5C1F" w:rsidP="000C5C1F">
      <w:pPr>
        <w:rPr>
          <w:rtl/>
          <w:lang w:eastAsia="he-IL"/>
        </w:rPr>
      </w:pPr>
      <w:bookmarkStart w:id="12340" w:name="_ETM_Q16_530398"/>
      <w:bookmarkStart w:id="12341" w:name="_ETM_Q16_530515"/>
      <w:bookmarkStart w:id="12342" w:name="_ETM_Q16_530574"/>
      <w:bookmarkStart w:id="12343" w:name="_ETM_Q16_530696"/>
      <w:bookmarkEnd w:id="12340"/>
      <w:bookmarkEnd w:id="12341"/>
      <w:bookmarkEnd w:id="12342"/>
      <w:bookmarkEnd w:id="12343"/>
    </w:p>
    <w:p w:rsidR="000C5C1F" w:rsidRDefault="000C5C1F" w:rsidP="000C5C1F">
      <w:pPr>
        <w:pStyle w:val="af9"/>
        <w:keepNext/>
        <w:rPr>
          <w:rtl/>
        </w:rPr>
      </w:pPr>
      <w:bookmarkStart w:id="12344" w:name="ET_yor_6490_1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2344"/>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מותר לצאת לדקה לשירותים ולחזור. </w:t>
      </w:r>
    </w:p>
    <w:p w:rsidR="000C5C1F" w:rsidRDefault="000C5C1F" w:rsidP="000C5C1F">
      <w:pPr>
        <w:rPr>
          <w:rtl/>
          <w:lang w:eastAsia="he-IL"/>
        </w:rPr>
      </w:pPr>
      <w:bookmarkStart w:id="12345" w:name="_ETM_Q16_531687"/>
      <w:bookmarkStart w:id="12346" w:name="_ETM_Q16_531808"/>
      <w:bookmarkStart w:id="12347" w:name="_ETM_Q16_531862"/>
      <w:bookmarkStart w:id="12348" w:name="_ETM_Q16_531987"/>
      <w:bookmarkEnd w:id="12345"/>
      <w:bookmarkEnd w:id="12346"/>
      <w:bookmarkEnd w:id="12347"/>
      <w:bookmarkEnd w:id="12348"/>
    </w:p>
    <w:p w:rsidR="000C5C1F" w:rsidRDefault="000C5C1F" w:rsidP="000C5C1F">
      <w:pPr>
        <w:pStyle w:val="af8"/>
        <w:keepNext/>
        <w:rPr>
          <w:rtl/>
        </w:rPr>
      </w:pPr>
      <w:bookmarkStart w:id="12349" w:name="ET_interruption_5068_17"/>
      <w:r>
        <w:rPr>
          <w:rStyle w:val="TagStyle"/>
          <w:rFonts w:hint="cs"/>
          <w:rtl/>
        </w:rPr>
        <w:t xml:space="preserve"> &lt;&lt; קריאה &gt;&gt; </w:t>
      </w:r>
      <w:r>
        <w:rPr>
          <w:rFonts w:hint="cs"/>
          <w:rtl/>
        </w:rPr>
        <w:t>קארין אלהרר (יש עתיד):</w:t>
      </w:r>
      <w:r>
        <w:rPr>
          <w:rStyle w:val="TagStyle"/>
          <w:rtl/>
        </w:rPr>
        <w:t xml:space="preserve"> &lt;&lt; קריאה &gt;&gt;</w:t>
      </w:r>
      <w:r>
        <w:rPr>
          <w:rFonts w:hint="cs"/>
          <w:rtl/>
        </w:rPr>
        <w:t xml:space="preserve">   </w:t>
      </w:r>
      <w:bookmarkEnd w:id="12349"/>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לא. ממש </w:t>
      </w:r>
      <w:bookmarkStart w:id="12350" w:name="_ETM_Q16_528922"/>
      <w:bookmarkEnd w:id="12350"/>
      <w:r>
        <w:rPr>
          <w:rFonts w:hint="cs"/>
          <w:rtl/>
          <w:lang w:eastAsia="he-IL"/>
        </w:rPr>
        <w:t xml:space="preserve">לא. סליחה, אל תמציא חוקים. </w:t>
      </w:r>
    </w:p>
    <w:p w:rsidR="000C5C1F" w:rsidRDefault="000C5C1F" w:rsidP="000C5C1F">
      <w:pPr>
        <w:rPr>
          <w:rtl/>
          <w:lang w:eastAsia="he-IL"/>
        </w:rPr>
      </w:pPr>
      <w:bookmarkStart w:id="12351" w:name="_ETM_Q16_536359"/>
      <w:bookmarkStart w:id="12352" w:name="_ETM_Q16_536471"/>
      <w:bookmarkStart w:id="12353" w:name="_ETM_Q16_536534"/>
      <w:bookmarkEnd w:id="12351"/>
      <w:bookmarkEnd w:id="12352"/>
      <w:bookmarkEnd w:id="12353"/>
    </w:p>
    <w:p w:rsidR="000C5C1F" w:rsidRDefault="000C5C1F" w:rsidP="000C5C1F">
      <w:pPr>
        <w:pStyle w:val="-"/>
        <w:keepNext/>
        <w:rPr>
          <w:rtl/>
        </w:rPr>
      </w:pPr>
      <w:bookmarkStart w:id="12354" w:name="_ETM_Q16_536633"/>
      <w:bookmarkStart w:id="12355" w:name="ET_speakercontinue_6156_18"/>
      <w:bookmarkEnd w:id="12354"/>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2355"/>
    </w:p>
    <w:p w:rsidR="000C5C1F" w:rsidRDefault="000C5C1F" w:rsidP="00337201">
      <w:pPr>
        <w:rPr>
          <w:rtl/>
          <w:lang w:eastAsia="he-IL"/>
        </w:rPr>
      </w:pPr>
    </w:p>
    <w:p w:rsidR="000C5C1F" w:rsidRDefault="000C5C1F" w:rsidP="000C5C1F">
      <w:pPr>
        <w:rPr>
          <w:rtl/>
          <w:lang w:eastAsia="he-IL"/>
        </w:rPr>
      </w:pPr>
      <w:r>
        <w:rPr>
          <w:rFonts w:hint="cs"/>
          <w:rtl/>
          <w:lang w:eastAsia="he-IL"/>
        </w:rPr>
        <w:t>תעצור ונמתין. אזרחי ישראל, אנחנו נמתין לשר, מכיוון שיש רק שר אחד במליאה, וזו</w:t>
      </w:r>
      <w:bookmarkStart w:id="12356" w:name="_ETM_Q16_547380"/>
      <w:bookmarkEnd w:id="12356"/>
      <w:r>
        <w:rPr>
          <w:rFonts w:hint="cs"/>
          <w:rtl/>
          <w:lang w:eastAsia="he-IL"/>
        </w:rPr>
        <w:t xml:space="preserve"> הצעת חוק לא חשובה, לשיטת הממשלה – נמתין. </w:t>
      </w:r>
    </w:p>
    <w:p w:rsidR="000C5C1F" w:rsidRDefault="000C5C1F" w:rsidP="000C5C1F">
      <w:pPr>
        <w:rPr>
          <w:rtl/>
          <w:lang w:eastAsia="he-IL"/>
        </w:rPr>
      </w:pPr>
      <w:bookmarkStart w:id="12357" w:name="_ETM_Q16_551983"/>
      <w:bookmarkStart w:id="12358" w:name="_ETM_Q16_552092"/>
      <w:bookmarkStart w:id="12359" w:name="_ETM_Q16_552143"/>
      <w:bookmarkStart w:id="12360" w:name="_ETM_Q16_552245"/>
      <w:bookmarkEnd w:id="12357"/>
      <w:bookmarkEnd w:id="12358"/>
      <w:bookmarkEnd w:id="12359"/>
      <w:bookmarkEnd w:id="12360"/>
    </w:p>
    <w:p w:rsidR="000C5C1F" w:rsidRDefault="000C5C1F" w:rsidP="000C5C1F">
      <w:pPr>
        <w:pStyle w:val="af8"/>
        <w:keepNext/>
        <w:rPr>
          <w:rtl/>
        </w:rPr>
      </w:pPr>
      <w:bookmarkStart w:id="12361" w:name="ET_interruption_5068_19"/>
      <w:r>
        <w:rPr>
          <w:rStyle w:val="TagStyle"/>
          <w:rFonts w:hint="cs"/>
          <w:rtl/>
        </w:rPr>
        <w:t xml:space="preserve"> &lt;&lt; קריאה &gt;&gt; </w:t>
      </w:r>
      <w:r>
        <w:rPr>
          <w:rFonts w:hint="cs"/>
          <w:rtl/>
        </w:rPr>
        <w:t>קארין אלהרר (יש עתיד):</w:t>
      </w:r>
      <w:r>
        <w:rPr>
          <w:rStyle w:val="TagStyle"/>
          <w:rtl/>
        </w:rPr>
        <w:t xml:space="preserve"> &lt;&lt; קריאה &gt;&gt;</w:t>
      </w:r>
      <w:r>
        <w:rPr>
          <w:rFonts w:hint="cs"/>
          <w:rtl/>
        </w:rPr>
        <w:t xml:space="preserve">   </w:t>
      </w:r>
      <w:bookmarkEnd w:id="12361"/>
    </w:p>
    <w:p w:rsidR="000C5C1F" w:rsidRDefault="000C5C1F" w:rsidP="00337201">
      <w:pPr>
        <w:rPr>
          <w:rtl/>
          <w:lang w:eastAsia="he-IL"/>
        </w:rPr>
      </w:pPr>
    </w:p>
    <w:p w:rsidR="000C5C1F" w:rsidRDefault="000C5C1F" w:rsidP="000C5C1F">
      <w:pPr>
        <w:rPr>
          <w:rtl/>
          <w:lang w:eastAsia="he-IL"/>
        </w:rPr>
      </w:pPr>
      <w:bookmarkStart w:id="12362" w:name="_ETM_Q16_551807"/>
      <w:bookmarkEnd w:id="12362"/>
      <w:r>
        <w:rPr>
          <w:rFonts w:hint="cs"/>
          <w:rtl/>
          <w:lang w:eastAsia="he-IL"/>
        </w:rPr>
        <w:t>גלעד, למה</w:t>
      </w:r>
      <w:bookmarkStart w:id="12363" w:name="_ETM_Q16_553982"/>
      <w:bookmarkEnd w:id="12363"/>
      <w:r>
        <w:rPr>
          <w:rFonts w:hint="cs"/>
          <w:rtl/>
          <w:lang w:eastAsia="he-IL"/>
        </w:rPr>
        <w:t xml:space="preserve"> אתה לא מקשיב לי?</w:t>
      </w:r>
      <w:bookmarkStart w:id="12364" w:name="_ETM_Q16_556926"/>
      <w:bookmarkEnd w:id="12364"/>
    </w:p>
    <w:p w:rsidR="000C5C1F" w:rsidRDefault="000C5C1F" w:rsidP="000C5C1F">
      <w:pPr>
        <w:rPr>
          <w:rtl/>
          <w:lang w:eastAsia="he-IL"/>
        </w:rPr>
      </w:pPr>
      <w:bookmarkStart w:id="12365" w:name="_ETM_Q16_557052"/>
      <w:bookmarkEnd w:id="12365"/>
    </w:p>
    <w:p w:rsidR="000C5C1F" w:rsidRDefault="000C5C1F" w:rsidP="000C5C1F">
      <w:pPr>
        <w:pStyle w:val="-"/>
        <w:keepNext/>
        <w:rPr>
          <w:rtl/>
        </w:rPr>
      </w:pPr>
      <w:bookmarkStart w:id="12366" w:name="_ETM_Q16_557087"/>
      <w:bookmarkStart w:id="12367" w:name="_ETM_Q16_557200"/>
      <w:bookmarkStart w:id="12368" w:name="ET_speakercontinue_6156_20"/>
      <w:bookmarkEnd w:id="12366"/>
      <w:bookmarkEnd w:id="12367"/>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2368"/>
    </w:p>
    <w:p w:rsidR="000C5C1F" w:rsidRDefault="000C5C1F" w:rsidP="00337201">
      <w:pPr>
        <w:rPr>
          <w:rtl/>
          <w:lang w:eastAsia="he-IL"/>
        </w:rPr>
      </w:pPr>
    </w:p>
    <w:p w:rsidR="000C5C1F" w:rsidRDefault="000C5C1F" w:rsidP="000C5C1F">
      <w:pPr>
        <w:rPr>
          <w:rtl/>
          <w:lang w:eastAsia="he-IL"/>
        </w:rPr>
      </w:pPr>
      <w:r>
        <w:rPr>
          <w:rFonts w:hint="cs"/>
          <w:rtl/>
          <w:lang w:eastAsia="he-IL"/>
        </w:rPr>
        <w:t>כי אני הייתי באמצע הפסקה. חוץ מזה, את יודעת שאין עוד חבר בבית הזה שמקשיב</w:t>
      </w:r>
      <w:bookmarkStart w:id="12369" w:name="_ETM_Q16_563901"/>
      <w:bookmarkEnd w:id="12369"/>
      <w:r>
        <w:rPr>
          <w:rFonts w:hint="cs"/>
          <w:rtl/>
          <w:lang w:eastAsia="he-IL"/>
        </w:rPr>
        <w:t xml:space="preserve"> לך כמוני. </w:t>
      </w:r>
    </w:p>
    <w:p w:rsidR="000C5C1F" w:rsidRDefault="000C5C1F" w:rsidP="000C5C1F">
      <w:pPr>
        <w:rPr>
          <w:rtl/>
          <w:lang w:eastAsia="he-IL"/>
        </w:rPr>
      </w:pPr>
    </w:p>
    <w:p w:rsidR="000C5C1F" w:rsidRDefault="000C5C1F" w:rsidP="000C5C1F">
      <w:pPr>
        <w:pStyle w:val="af9"/>
        <w:keepNext/>
        <w:rPr>
          <w:rtl/>
        </w:rPr>
      </w:pPr>
      <w:bookmarkStart w:id="12370" w:name="ET_yor_6490_2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2370"/>
    </w:p>
    <w:p w:rsidR="000C5C1F" w:rsidRDefault="000C5C1F" w:rsidP="00337201">
      <w:pPr>
        <w:rPr>
          <w:rtl/>
          <w:lang w:eastAsia="he-IL"/>
        </w:rPr>
      </w:pPr>
    </w:p>
    <w:p w:rsidR="000C5C1F" w:rsidRDefault="000C5C1F" w:rsidP="000C5C1F">
      <w:pPr>
        <w:rPr>
          <w:rtl/>
          <w:lang w:eastAsia="he-IL"/>
        </w:rPr>
      </w:pPr>
      <w:r>
        <w:rPr>
          <w:rFonts w:hint="cs"/>
          <w:rtl/>
          <w:lang w:eastAsia="he-IL"/>
        </w:rPr>
        <w:t>אייל, אפשר להמשיך לדקה אם הוא יצא רגע לשירותים?</w:t>
      </w:r>
      <w:bookmarkStart w:id="12371" w:name="_ETM_Q16_569114"/>
      <w:bookmarkEnd w:id="12371"/>
      <w:r>
        <w:rPr>
          <w:rFonts w:hint="cs"/>
          <w:rtl/>
          <w:lang w:eastAsia="he-IL"/>
        </w:rPr>
        <w:t xml:space="preserve"> הבנתי שאפשר, לא? </w:t>
      </w:r>
    </w:p>
    <w:p w:rsidR="000C5C1F" w:rsidRDefault="000C5C1F" w:rsidP="000C5C1F">
      <w:pPr>
        <w:rPr>
          <w:rtl/>
          <w:lang w:eastAsia="he-IL"/>
        </w:rPr>
      </w:pPr>
    </w:p>
    <w:p w:rsidR="000C5C1F" w:rsidRDefault="000C5C1F" w:rsidP="000C5C1F">
      <w:pPr>
        <w:pStyle w:val="af8"/>
        <w:keepNext/>
        <w:rPr>
          <w:rtl/>
        </w:rPr>
      </w:pPr>
      <w:bookmarkStart w:id="12372" w:name="ET_interruption_5068_22"/>
      <w:r>
        <w:rPr>
          <w:rStyle w:val="TagStyle"/>
          <w:rFonts w:hint="cs"/>
          <w:rtl/>
        </w:rPr>
        <w:t xml:space="preserve"> &lt;&lt; קריאה &gt;&gt; </w:t>
      </w:r>
      <w:r>
        <w:rPr>
          <w:rFonts w:hint="cs"/>
          <w:rtl/>
        </w:rPr>
        <w:t>קארין אלהרר (יש עתיד):</w:t>
      </w:r>
      <w:r>
        <w:rPr>
          <w:rStyle w:val="TagStyle"/>
          <w:rtl/>
        </w:rPr>
        <w:t xml:space="preserve"> &lt;&lt; קריאה &gt;&gt;</w:t>
      </w:r>
      <w:r>
        <w:rPr>
          <w:rFonts w:hint="cs"/>
          <w:rtl/>
        </w:rPr>
        <w:t xml:space="preserve">   </w:t>
      </w:r>
      <w:bookmarkEnd w:id="12372"/>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מה, אתם ממציאים חוקים? </w:t>
      </w:r>
    </w:p>
    <w:p w:rsidR="000C5C1F" w:rsidRDefault="000C5C1F" w:rsidP="000C5C1F">
      <w:pPr>
        <w:rPr>
          <w:rtl/>
          <w:lang w:eastAsia="he-IL"/>
        </w:rPr>
      </w:pPr>
      <w:bookmarkStart w:id="12373" w:name="_ETM_Q16_524962"/>
      <w:bookmarkStart w:id="12374" w:name="_ETM_Q16_525091"/>
      <w:bookmarkStart w:id="12375" w:name="_ETM_Q16_576680"/>
      <w:bookmarkStart w:id="12376" w:name="_ETM_Q16_576823"/>
      <w:bookmarkEnd w:id="12373"/>
      <w:bookmarkEnd w:id="12374"/>
      <w:bookmarkEnd w:id="12375"/>
      <w:bookmarkEnd w:id="12376"/>
    </w:p>
    <w:p w:rsidR="000C5C1F" w:rsidRDefault="000C5C1F" w:rsidP="000C5C1F">
      <w:pPr>
        <w:pStyle w:val="-"/>
        <w:keepNext/>
        <w:rPr>
          <w:rtl/>
        </w:rPr>
      </w:pPr>
      <w:bookmarkStart w:id="12377" w:name="ET_speakercontinue_6156_23"/>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2377"/>
    </w:p>
    <w:p w:rsidR="000C5C1F" w:rsidRDefault="000C5C1F" w:rsidP="00337201">
      <w:pPr>
        <w:rPr>
          <w:rtl/>
          <w:lang w:eastAsia="he-IL"/>
        </w:rPr>
      </w:pPr>
    </w:p>
    <w:p w:rsidR="000C5C1F" w:rsidRDefault="000C5C1F" w:rsidP="000C5C1F">
      <w:pPr>
        <w:rPr>
          <w:rtl/>
          <w:lang w:eastAsia="he-IL"/>
        </w:rPr>
      </w:pPr>
      <w:r>
        <w:rPr>
          <w:rFonts w:hint="cs"/>
          <w:rtl/>
          <w:lang w:eastAsia="he-IL"/>
        </w:rPr>
        <w:t>הינה, השר חזר.</w:t>
      </w:r>
      <w:bookmarkStart w:id="12378" w:name="_ETM_Q16_576843"/>
      <w:bookmarkEnd w:id="12378"/>
      <w:r>
        <w:rPr>
          <w:rFonts w:hint="cs"/>
          <w:rtl/>
          <w:lang w:eastAsia="he-IL"/>
        </w:rPr>
        <w:t xml:space="preserve"> הכול בסדר. </w:t>
      </w:r>
      <w:bookmarkStart w:id="12379" w:name="_ETM_Q16_578939"/>
      <w:bookmarkStart w:id="12380" w:name="_ETM_Q16_579065"/>
      <w:bookmarkStart w:id="12381" w:name="_ETM_Q16_579115"/>
      <w:bookmarkStart w:id="12382" w:name="_ETM_Q16_579249"/>
      <w:bookmarkEnd w:id="12379"/>
      <w:bookmarkEnd w:id="12380"/>
      <w:bookmarkEnd w:id="12381"/>
      <w:bookmarkEnd w:id="12382"/>
      <w:r>
        <w:rPr>
          <w:rFonts w:hint="cs"/>
          <w:rtl/>
          <w:lang w:eastAsia="he-IL"/>
        </w:rPr>
        <w:t>שלום, אדוני השר.</w:t>
      </w:r>
    </w:p>
    <w:p w:rsidR="000C5C1F" w:rsidRDefault="000C5C1F" w:rsidP="000C5C1F">
      <w:pPr>
        <w:ind w:firstLine="0"/>
        <w:rPr>
          <w:rtl/>
          <w:lang w:eastAsia="he-IL"/>
        </w:rPr>
      </w:pPr>
      <w:bookmarkStart w:id="12383" w:name="_ETM_Q16_583315"/>
      <w:bookmarkStart w:id="12384" w:name="_ETM_Q16_583436"/>
      <w:bookmarkStart w:id="12385" w:name="_ETM_Q16_583491"/>
      <w:bookmarkStart w:id="12386" w:name="_ETM_Q16_583608"/>
      <w:bookmarkStart w:id="12387" w:name="_ETM_Q16_583683"/>
      <w:bookmarkEnd w:id="12383"/>
      <w:bookmarkEnd w:id="12384"/>
      <w:bookmarkEnd w:id="12385"/>
      <w:bookmarkEnd w:id="12386"/>
      <w:bookmarkEnd w:id="12387"/>
    </w:p>
    <w:p w:rsidR="000C5C1F" w:rsidRDefault="000C5C1F" w:rsidP="000C5C1F">
      <w:pPr>
        <w:pStyle w:val="af8"/>
        <w:keepNext/>
        <w:rPr>
          <w:rtl/>
        </w:rPr>
      </w:pPr>
      <w:bookmarkStart w:id="12388" w:name="ET_interruption_5766_24"/>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12388"/>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שר חוץ ברוטציה. </w:t>
      </w:r>
      <w:bookmarkStart w:id="12389" w:name="_ETM_Q16_578684"/>
      <w:bookmarkEnd w:id="12389"/>
    </w:p>
    <w:p w:rsidR="000C5C1F" w:rsidRDefault="000C5C1F" w:rsidP="000C5C1F">
      <w:pPr>
        <w:rPr>
          <w:rtl/>
          <w:lang w:eastAsia="he-IL"/>
        </w:rPr>
      </w:pPr>
      <w:bookmarkStart w:id="12390" w:name="_ETM_Q16_578803"/>
      <w:bookmarkStart w:id="12391" w:name="_ETM_Q16_578843"/>
      <w:bookmarkStart w:id="12392" w:name="_ETM_Q16_578968"/>
      <w:bookmarkEnd w:id="12390"/>
      <w:bookmarkEnd w:id="12391"/>
      <w:bookmarkEnd w:id="12392"/>
    </w:p>
    <w:p w:rsidR="000C5C1F" w:rsidRDefault="000C5C1F" w:rsidP="000C5C1F">
      <w:pPr>
        <w:pStyle w:val="-"/>
        <w:keepNext/>
        <w:rPr>
          <w:rtl/>
        </w:rPr>
      </w:pPr>
      <w:bookmarkStart w:id="12393" w:name="ET_speakercontinue_6156_25"/>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2393"/>
    </w:p>
    <w:p w:rsidR="000C5C1F" w:rsidRDefault="000C5C1F" w:rsidP="00337201">
      <w:pPr>
        <w:rPr>
          <w:rtl/>
          <w:lang w:eastAsia="he-IL"/>
        </w:rPr>
      </w:pPr>
    </w:p>
    <w:p w:rsidR="000C5C1F" w:rsidRDefault="000C5C1F" w:rsidP="000C5C1F">
      <w:pPr>
        <w:rPr>
          <w:rtl/>
          <w:lang w:eastAsia="he-IL"/>
        </w:rPr>
      </w:pPr>
      <w:bookmarkStart w:id="12394" w:name="_ETM_Q16_579941"/>
      <w:bookmarkEnd w:id="12394"/>
      <w:r>
        <w:rPr>
          <w:rFonts w:hint="cs"/>
          <w:rtl/>
          <w:lang w:eastAsia="he-IL"/>
        </w:rPr>
        <w:t xml:space="preserve">כך אומר: </w:t>
      </w:r>
      <w:bookmarkStart w:id="12395" w:name="_ETM_Q16_583820"/>
      <w:bookmarkStart w:id="12396" w:name="_ETM_Q16_583875"/>
      <w:bookmarkStart w:id="12397" w:name="_ETM_Q16_583986"/>
      <w:bookmarkEnd w:id="12395"/>
      <w:bookmarkEnd w:id="12396"/>
      <w:bookmarkEnd w:id="12397"/>
      <w:r>
        <w:rPr>
          <w:rFonts w:hint="cs"/>
          <w:rtl/>
          <w:lang w:eastAsia="he-IL"/>
        </w:rPr>
        <w:t xml:space="preserve">לאורך כל החודשים האחרונים אנחנו ניצבים מול הסתה מתמשכת של פוליטיקאים, ושל שופרות של פוליטיקאים, שמבקשים להציג את המחאה האדירה של מאות אלפים </w:t>
      </w:r>
      <w:bookmarkStart w:id="12398" w:name="_ETM_Q16_599551"/>
      <w:bookmarkEnd w:id="12398"/>
      <w:r>
        <w:rPr>
          <w:rFonts w:hint="cs"/>
          <w:rtl/>
          <w:lang w:eastAsia="he-IL"/>
        </w:rPr>
        <w:t xml:space="preserve"> אם לא מיליונים של ישראלים כשייכת לקבוצה קטנה, למיעוט קולני שמסרב להשלים עם תוצאות הבחירות. אבל 150 ההפגנות שנערכות ממטולה ועד אילת, כבר חצי שנה, הן אלו שמציגות את האמת; </w:t>
      </w:r>
      <w:bookmarkStart w:id="12399" w:name="_ETM_Q16_615195"/>
      <w:bookmarkEnd w:id="12399"/>
      <w:r>
        <w:rPr>
          <w:rFonts w:hint="cs"/>
          <w:rtl/>
          <w:lang w:eastAsia="he-IL"/>
        </w:rPr>
        <w:t xml:space="preserve">הן אלו שמעבירות מסר ברור וחד-משמעי: רוב העם נגד תוכנית ההרס של נתניהו, לוין, רוטמן וסמוטריץ'; רוב העם נגד ברית הקיצונים, הגזענים והלאומנים, שהציבה עבריין, גזען ובריון על כס השר לביטחון לאומי; רוב העם נגד ההסתה, השיסוי ושנאת חינם של השרים קרעי, דיסטל </w:t>
      </w:r>
      <w:bookmarkStart w:id="12400" w:name="_ETM_Q16_646622"/>
      <w:bookmarkEnd w:id="12400"/>
      <w:r>
        <w:rPr>
          <w:rFonts w:hint="cs"/>
          <w:rtl/>
          <w:lang w:eastAsia="he-IL"/>
        </w:rPr>
        <w:t xml:space="preserve">ואמסלם; רוב העם אינו מוכן לקבל שלד כחוש של דמוקרטיה, חסר בשר ורוח, משל היינו הונגריה או פולין; רוב העם, כולל לא מעט ממצביעי הליכוד, אדוני שר </w:t>
      </w:r>
      <w:bookmarkStart w:id="12401" w:name="_ETM_Q16_658042"/>
      <w:bookmarkEnd w:id="12401"/>
      <w:r>
        <w:rPr>
          <w:rFonts w:hint="cs"/>
          <w:rtl/>
          <w:lang w:eastAsia="he-IL"/>
        </w:rPr>
        <w:t>החוץ אלי כהן, אינו מוכן לחיות במדינה מושחתת של קומבינות, של שוחד, של איומים כלפי שומרי סף ושל שלטון מעוות שחושב שהציבור משרת אותו ולא הוא משרת את הציבור.</w:t>
      </w:r>
    </w:p>
    <w:p w:rsidR="000C5C1F" w:rsidRDefault="000C5C1F" w:rsidP="000C5C1F">
      <w:pPr>
        <w:rPr>
          <w:rtl/>
          <w:lang w:eastAsia="he-IL"/>
        </w:rPr>
      </w:pPr>
      <w:bookmarkStart w:id="12402" w:name="_ETM_Q16_676159"/>
      <w:bookmarkStart w:id="12403" w:name="_ETM_Q16_676307"/>
      <w:bookmarkEnd w:id="12402"/>
      <w:bookmarkEnd w:id="12403"/>
    </w:p>
    <w:p w:rsidR="000C5C1F" w:rsidRDefault="000C5C1F" w:rsidP="000C5C1F">
      <w:pPr>
        <w:rPr>
          <w:rtl/>
          <w:lang w:eastAsia="he-IL"/>
        </w:rPr>
      </w:pPr>
      <w:bookmarkStart w:id="12404" w:name="_ETM_Q16_676343"/>
      <w:bookmarkStart w:id="12405" w:name="_ETM_Q16_676447"/>
      <w:bookmarkEnd w:id="12404"/>
      <w:bookmarkEnd w:id="12405"/>
      <w:r>
        <w:rPr>
          <w:rFonts w:hint="cs"/>
          <w:rtl/>
          <w:lang w:eastAsia="he-IL"/>
        </w:rPr>
        <w:t xml:space="preserve">זוהי בדיוק הסוגיה הניצבת בפתחנו בימים האלה בקרב הגדול נגד חיסולה של עילת הסבירות. בטעות גמורה מוצגת עילת הסבירות כסוגיה הפחות-חשובה וקריטית בהפיכה המשטרית. באיוולת מוחלטת ישנם אלו שטוענים שהדברים כבר סוכמו ממילא בבית הנשיא. הצעת החוק הבזויה שאושרה בוועדת החוקה אינה עוסקת בצמצום, אלא בחיסול. אין בה החזרת עטרה משפטית ליושנה, אלא מהפכה שיפוטית דרמטית. היא אינה משקפת את הצעתו של כבוד השופט סולברג </w:t>
      </w:r>
      <w:bookmarkStart w:id="12406" w:name="_ETM_Q16_728573"/>
      <w:bookmarkEnd w:id="12406"/>
      <w:r>
        <w:rPr>
          <w:rFonts w:hint="cs"/>
          <w:rtl/>
          <w:lang w:eastAsia="he-IL"/>
        </w:rPr>
        <w:t xml:space="preserve">ולא </w:t>
      </w:r>
      <w:bookmarkStart w:id="12407" w:name="_ETM_Q16_722854"/>
      <w:bookmarkEnd w:id="12407"/>
      <w:r>
        <w:rPr>
          <w:rFonts w:hint="cs"/>
          <w:rtl/>
          <w:lang w:eastAsia="he-IL"/>
        </w:rPr>
        <w:t xml:space="preserve">את גישתו של הנשיא המנוח לנדוי, אלא היא ניצול מחפיר ושקרי של תפיסת עולם משפטית שמרנית, חשובה ולגיטימית, כדי לאפשר שחיתות שלטונית והתרת הרסן מעל פוליטיקאים תאבי כוח. </w:t>
      </w:r>
    </w:p>
    <w:p w:rsidR="000C5C1F" w:rsidRDefault="000C5C1F" w:rsidP="000C5C1F">
      <w:pPr>
        <w:rPr>
          <w:rtl/>
          <w:lang w:eastAsia="he-IL"/>
        </w:rPr>
      </w:pPr>
      <w:bookmarkStart w:id="12408" w:name="_ETM_Q16_694456"/>
      <w:bookmarkStart w:id="12409" w:name="_ETM_Q16_694507"/>
      <w:bookmarkEnd w:id="12408"/>
      <w:bookmarkEnd w:id="12409"/>
    </w:p>
    <w:p w:rsidR="000C5C1F" w:rsidRDefault="000C5C1F" w:rsidP="000C5C1F">
      <w:pPr>
        <w:rPr>
          <w:rtl/>
        </w:rPr>
      </w:pPr>
      <w:bookmarkStart w:id="12410" w:name="_ETM_Q16_694591"/>
      <w:bookmarkStart w:id="12411" w:name="_ETM_Q16_694630"/>
      <w:bookmarkEnd w:id="12410"/>
      <w:bookmarkEnd w:id="12411"/>
      <w:r>
        <w:rPr>
          <w:rFonts w:hint="cs"/>
          <w:rtl/>
          <w:lang w:eastAsia="he-IL"/>
        </w:rPr>
        <w:t>ביטולה של עילת הסבירות יאפשר גל חסר תקדים של מינויים פוליטיים, של עסקנים חסרי התאמה וכישרון חוץ מחוכמת החנופה וצבירת ארגזי המתפקדים</w:t>
      </w:r>
      <w:bookmarkStart w:id="12412" w:name="_ETM_Q16_755623"/>
      <w:bookmarkStart w:id="12413" w:name="_ETM_Q16_755777"/>
      <w:bookmarkStart w:id="12414" w:name="_ETM_Q16_755798"/>
      <w:bookmarkStart w:id="12415" w:name="_ETM_Q16_755949"/>
      <w:bookmarkStart w:id="12416" w:name="_ETM_Q16_757557"/>
      <w:bookmarkStart w:id="12417" w:name="_ETM_Q16_757686"/>
      <w:bookmarkStart w:id="12418" w:name="TOR_Q17"/>
      <w:bookmarkStart w:id="12419" w:name="_ETM_Q17_180380"/>
      <w:bookmarkEnd w:id="12412"/>
      <w:bookmarkEnd w:id="12413"/>
      <w:bookmarkEnd w:id="12414"/>
      <w:bookmarkEnd w:id="12415"/>
      <w:bookmarkEnd w:id="12416"/>
      <w:bookmarkEnd w:id="12417"/>
      <w:bookmarkEnd w:id="12418"/>
      <w:bookmarkEnd w:id="12419"/>
      <w:r>
        <w:rPr>
          <w:rFonts w:hint="cs"/>
          <w:rtl/>
          <w:lang w:eastAsia="he-IL"/>
        </w:rPr>
        <w:t>; ב</w:t>
      </w:r>
      <w:r>
        <w:rPr>
          <w:rFonts w:hint="cs"/>
          <w:rtl/>
        </w:rPr>
        <w:t xml:space="preserve">יטולה של עילת הסבירות יאפשר לפוליטיקאים להלך אימים על בכירי השירות הציבורי לבל יעזו </w:t>
      </w:r>
      <w:bookmarkStart w:id="12420" w:name="_ETM_Q17_162679"/>
      <w:bookmarkEnd w:id="12420"/>
      <w:r>
        <w:rPr>
          <w:rFonts w:hint="cs"/>
          <w:rtl/>
        </w:rPr>
        <w:t xml:space="preserve">להשמיע דעה עצמאית להתריע מפני עוולות ולחסום מהלכים לא חוקיים, </w:t>
      </w:r>
      <w:bookmarkStart w:id="12421" w:name="_ETM_Q17_169834"/>
      <w:bookmarkEnd w:id="12421"/>
      <w:r>
        <w:rPr>
          <w:rFonts w:hint="cs"/>
          <w:rtl/>
        </w:rPr>
        <w:t xml:space="preserve">ודי לראות בהתקפה המיזוגנית והמכוערת של השר אמסלם על ראשת רשות החברות הממשלתית על מנת להבין מה מצפה לנו; </w:t>
      </w:r>
      <w:bookmarkStart w:id="12422" w:name="_ETM_Q17_120327"/>
      <w:bookmarkStart w:id="12423" w:name="_ETM_Q17_120456"/>
      <w:bookmarkEnd w:id="12422"/>
      <w:bookmarkEnd w:id="12423"/>
      <w:r>
        <w:rPr>
          <w:rFonts w:hint="cs"/>
          <w:rtl/>
        </w:rPr>
        <w:t>ביטולה של עילת הסבירות</w:t>
      </w:r>
      <w:bookmarkStart w:id="12424" w:name="_ETM_Q17_180919"/>
      <w:bookmarkStart w:id="12425" w:name="_ETM_Q17_181129"/>
      <w:bookmarkStart w:id="12426" w:name="_ETM_Q17_181400"/>
      <w:bookmarkEnd w:id="12424"/>
      <w:bookmarkEnd w:id="12425"/>
      <w:bookmarkEnd w:id="12426"/>
      <w:r>
        <w:rPr>
          <w:rFonts w:hint="cs"/>
          <w:rtl/>
        </w:rPr>
        <w:t xml:space="preserve"> </w:t>
      </w:r>
      <w:bookmarkStart w:id="12427" w:name="_ETM_Q17_181849"/>
      <w:bookmarkEnd w:id="12427"/>
      <w:r>
        <w:rPr>
          <w:rFonts w:hint="cs"/>
          <w:rtl/>
        </w:rPr>
        <w:t xml:space="preserve">ימשוך </w:t>
      </w:r>
      <w:bookmarkStart w:id="12428" w:name="_ETM_Q17_182360"/>
      <w:bookmarkEnd w:id="12428"/>
      <w:r>
        <w:rPr>
          <w:rFonts w:hint="cs"/>
          <w:rtl/>
        </w:rPr>
        <w:t xml:space="preserve">את </w:t>
      </w:r>
      <w:bookmarkStart w:id="12429" w:name="_ETM_Q17_182509"/>
      <w:bookmarkEnd w:id="12429"/>
      <w:r>
        <w:rPr>
          <w:rFonts w:hint="cs"/>
          <w:rtl/>
        </w:rPr>
        <w:t xml:space="preserve">השטיח </w:t>
      </w:r>
      <w:bookmarkStart w:id="12430" w:name="_ETM_Q17_183610"/>
      <w:bookmarkEnd w:id="12430"/>
      <w:r>
        <w:rPr>
          <w:rFonts w:hint="cs"/>
          <w:rtl/>
        </w:rPr>
        <w:t xml:space="preserve">מתחת </w:t>
      </w:r>
      <w:bookmarkStart w:id="12431" w:name="_ETM_Q17_184210"/>
      <w:bookmarkEnd w:id="12431"/>
      <w:r>
        <w:rPr>
          <w:rFonts w:hint="cs"/>
          <w:rtl/>
        </w:rPr>
        <w:t xml:space="preserve">לדיני </w:t>
      </w:r>
      <w:bookmarkStart w:id="12432" w:name="_ETM_Q17_184720"/>
      <w:bookmarkEnd w:id="12432"/>
      <w:r>
        <w:rPr>
          <w:rFonts w:hint="cs"/>
          <w:rtl/>
        </w:rPr>
        <w:t xml:space="preserve">ממשלות </w:t>
      </w:r>
      <w:bookmarkStart w:id="12433" w:name="_ETM_Q17_185380"/>
      <w:bookmarkEnd w:id="12433"/>
      <w:r>
        <w:rPr>
          <w:rFonts w:hint="cs"/>
          <w:rtl/>
        </w:rPr>
        <w:t xml:space="preserve">המעבר </w:t>
      </w:r>
      <w:bookmarkStart w:id="12434" w:name="_ETM_Q17_186390"/>
      <w:bookmarkEnd w:id="12434"/>
      <w:r>
        <w:rPr>
          <w:rFonts w:hint="cs"/>
          <w:rtl/>
        </w:rPr>
        <w:t xml:space="preserve">ולמערכות </w:t>
      </w:r>
      <w:bookmarkStart w:id="12435" w:name="_ETM_Q17_187410"/>
      <w:bookmarkEnd w:id="12435"/>
      <w:r>
        <w:rPr>
          <w:rFonts w:hint="cs"/>
          <w:rtl/>
        </w:rPr>
        <w:t xml:space="preserve">רבות </w:t>
      </w:r>
      <w:bookmarkStart w:id="12436" w:name="_ETM_Q17_187799"/>
      <w:bookmarkEnd w:id="12436"/>
      <w:r>
        <w:rPr>
          <w:rFonts w:hint="cs"/>
          <w:rtl/>
        </w:rPr>
        <w:t xml:space="preserve">נוספות </w:t>
      </w:r>
      <w:bookmarkStart w:id="12437" w:name="_ETM_Q17_188340"/>
      <w:bookmarkEnd w:id="12437"/>
      <w:r>
        <w:rPr>
          <w:rFonts w:hint="cs"/>
          <w:rtl/>
        </w:rPr>
        <w:t xml:space="preserve">של </w:t>
      </w:r>
      <w:bookmarkStart w:id="12438" w:name="_ETM_Q17_188549"/>
      <w:bookmarkEnd w:id="12438"/>
      <w:r>
        <w:rPr>
          <w:rFonts w:hint="cs"/>
          <w:rtl/>
        </w:rPr>
        <w:t xml:space="preserve">כללים </w:t>
      </w:r>
      <w:bookmarkStart w:id="12439" w:name="_ETM_Q17_189539"/>
      <w:bookmarkEnd w:id="12439"/>
      <w:r>
        <w:rPr>
          <w:rFonts w:hint="cs"/>
          <w:rtl/>
        </w:rPr>
        <w:t xml:space="preserve">המבטיחים </w:t>
      </w:r>
      <w:bookmarkStart w:id="12440" w:name="_ETM_Q17_190500"/>
      <w:bookmarkEnd w:id="12440"/>
      <w:r>
        <w:rPr>
          <w:rFonts w:hint="cs"/>
          <w:rtl/>
        </w:rPr>
        <w:t xml:space="preserve">את </w:t>
      </w:r>
      <w:bookmarkStart w:id="12441" w:name="_ETM_Q17_190770"/>
      <w:bookmarkEnd w:id="12441"/>
      <w:r>
        <w:rPr>
          <w:rFonts w:hint="cs"/>
          <w:rtl/>
        </w:rPr>
        <w:t xml:space="preserve">טוהר </w:t>
      </w:r>
      <w:bookmarkStart w:id="12442" w:name="_ETM_Q17_191250"/>
      <w:bookmarkEnd w:id="12442"/>
      <w:r>
        <w:rPr>
          <w:rFonts w:hint="cs"/>
          <w:rtl/>
        </w:rPr>
        <w:t xml:space="preserve">הבחירות </w:t>
      </w:r>
      <w:bookmarkStart w:id="12443" w:name="_ETM_Q17_191910"/>
      <w:bookmarkEnd w:id="12443"/>
      <w:r>
        <w:rPr>
          <w:rFonts w:hint="cs"/>
          <w:rtl/>
        </w:rPr>
        <w:t xml:space="preserve">הבאות; </w:t>
      </w:r>
      <w:bookmarkStart w:id="12444" w:name="_ETM_Q17_193089"/>
      <w:bookmarkEnd w:id="12444"/>
      <w:r>
        <w:rPr>
          <w:rFonts w:hint="cs"/>
          <w:rtl/>
        </w:rPr>
        <w:t xml:space="preserve">ביטולה </w:t>
      </w:r>
      <w:bookmarkStart w:id="12445" w:name="_ETM_Q17_193900"/>
      <w:bookmarkEnd w:id="12445"/>
      <w:r>
        <w:rPr>
          <w:rFonts w:hint="cs"/>
          <w:rtl/>
        </w:rPr>
        <w:t xml:space="preserve">של </w:t>
      </w:r>
      <w:bookmarkStart w:id="12446" w:name="_ETM_Q17_194170"/>
      <w:bookmarkEnd w:id="12446"/>
      <w:r>
        <w:rPr>
          <w:rFonts w:hint="cs"/>
          <w:rtl/>
        </w:rPr>
        <w:t xml:space="preserve">עילת </w:t>
      </w:r>
      <w:bookmarkStart w:id="12447" w:name="_ETM_Q17_194559"/>
      <w:bookmarkEnd w:id="12447"/>
      <w:r>
        <w:rPr>
          <w:rFonts w:hint="cs"/>
          <w:rtl/>
        </w:rPr>
        <w:t xml:space="preserve">הסבירות </w:t>
      </w:r>
      <w:bookmarkStart w:id="12448" w:name="_ETM_Q17_195670"/>
      <w:bookmarkEnd w:id="12448"/>
      <w:r>
        <w:rPr>
          <w:rFonts w:hint="cs"/>
          <w:rtl/>
        </w:rPr>
        <w:t xml:space="preserve">יאפשר </w:t>
      </w:r>
      <w:bookmarkStart w:id="12449" w:name="_ETM_Q17_196390"/>
      <w:bookmarkEnd w:id="12449"/>
      <w:r>
        <w:rPr>
          <w:rFonts w:hint="cs"/>
          <w:rtl/>
        </w:rPr>
        <w:t xml:space="preserve">את </w:t>
      </w:r>
      <w:bookmarkStart w:id="12450" w:name="_ETM_Q17_196539"/>
      <w:bookmarkEnd w:id="12450"/>
      <w:r>
        <w:rPr>
          <w:rFonts w:hint="cs"/>
          <w:rtl/>
        </w:rPr>
        <w:t xml:space="preserve">פיטורי </w:t>
      </w:r>
      <w:bookmarkStart w:id="12451" w:name="_ETM_Q17_197380"/>
      <w:bookmarkEnd w:id="12451"/>
      <w:r>
        <w:rPr>
          <w:rFonts w:hint="cs"/>
          <w:rtl/>
        </w:rPr>
        <w:t xml:space="preserve">היועצת </w:t>
      </w:r>
      <w:bookmarkStart w:id="12452" w:name="_ETM_Q17_198160"/>
      <w:bookmarkEnd w:id="12452"/>
      <w:r>
        <w:rPr>
          <w:rFonts w:hint="cs"/>
          <w:rtl/>
        </w:rPr>
        <w:t xml:space="preserve">המשפטית </w:t>
      </w:r>
      <w:bookmarkStart w:id="12453" w:name="_ETM_Q17_198849"/>
      <w:bookmarkEnd w:id="12453"/>
      <w:r>
        <w:rPr>
          <w:rFonts w:hint="cs"/>
          <w:rtl/>
        </w:rPr>
        <w:t xml:space="preserve">לממשלה </w:t>
      </w:r>
      <w:bookmarkStart w:id="12454" w:name="_ETM_Q17_200010"/>
      <w:bookmarkEnd w:id="12454"/>
      <w:r>
        <w:rPr>
          <w:rFonts w:hint="cs"/>
          <w:rtl/>
        </w:rPr>
        <w:t xml:space="preserve">כדי </w:t>
      </w:r>
      <w:bookmarkStart w:id="12455" w:name="_ETM_Q17_200430"/>
      <w:bookmarkEnd w:id="12455"/>
      <w:r>
        <w:rPr>
          <w:rFonts w:hint="cs"/>
          <w:rtl/>
        </w:rPr>
        <w:t xml:space="preserve">להסיר </w:t>
      </w:r>
      <w:bookmarkStart w:id="12456" w:name="_ETM_Q17_201000"/>
      <w:bookmarkEnd w:id="12456"/>
      <w:r>
        <w:rPr>
          <w:rFonts w:hint="cs"/>
          <w:rtl/>
        </w:rPr>
        <w:t xml:space="preserve">את </w:t>
      </w:r>
      <w:bookmarkStart w:id="12457" w:name="_ETM_Q17_201180"/>
      <w:bookmarkStart w:id="12458" w:name="_ETM_Q17_201449"/>
      <w:bookmarkEnd w:id="12457"/>
      <w:bookmarkEnd w:id="12458"/>
      <w:r>
        <w:rPr>
          <w:rFonts w:hint="cs"/>
          <w:rtl/>
        </w:rPr>
        <w:t xml:space="preserve">אימת </w:t>
      </w:r>
      <w:bookmarkStart w:id="12459" w:name="_ETM_Q17_201570"/>
      <w:bookmarkEnd w:id="12459"/>
      <w:r>
        <w:rPr>
          <w:rFonts w:hint="cs"/>
          <w:rtl/>
        </w:rPr>
        <w:t xml:space="preserve">הדין </w:t>
      </w:r>
      <w:bookmarkStart w:id="12460" w:name="_ETM_Q17_202439"/>
      <w:bookmarkEnd w:id="12460"/>
      <w:r>
        <w:rPr>
          <w:rFonts w:hint="cs"/>
          <w:rtl/>
        </w:rPr>
        <w:t xml:space="preserve">מעל </w:t>
      </w:r>
      <w:bookmarkStart w:id="12461" w:name="_ETM_Q17_203009"/>
      <w:bookmarkEnd w:id="12461"/>
      <w:r>
        <w:rPr>
          <w:rFonts w:hint="cs"/>
          <w:rtl/>
        </w:rPr>
        <w:t xml:space="preserve">ראשו </w:t>
      </w:r>
      <w:bookmarkStart w:id="12462" w:name="_ETM_Q17_203699"/>
      <w:bookmarkEnd w:id="12462"/>
      <w:r>
        <w:rPr>
          <w:rFonts w:hint="cs"/>
          <w:rtl/>
        </w:rPr>
        <w:t xml:space="preserve">של </w:t>
      </w:r>
      <w:bookmarkStart w:id="12463" w:name="_ETM_Q17_203970"/>
      <w:bookmarkEnd w:id="12463"/>
      <w:r>
        <w:rPr>
          <w:rFonts w:hint="cs"/>
          <w:rtl/>
        </w:rPr>
        <w:t xml:space="preserve">ראש </w:t>
      </w:r>
      <w:bookmarkStart w:id="12464" w:name="_ETM_Q17_204300"/>
      <w:bookmarkEnd w:id="12464"/>
      <w:r>
        <w:rPr>
          <w:rFonts w:hint="cs"/>
          <w:rtl/>
        </w:rPr>
        <w:t xml:space="preserve">ממשלה </w:t>
      </w:r>
      <w:bookmarkStart w:id="12465" w:name="_ETM_Q17_205349"/>
      <w:bookmarkEnd w:id="12465"/>
      <w:r>
        <w:rPr>
          <w:rFonts w:hint="cs"/>
          <w:rtl/>
        </w:rPr>
        <w:t xml:space="preserve">מושחת, </w:t>
      </w:r>
      <w:bookmarkStart w:id="12466" w:name="_ETM_Q17_206460"/>
      <w:bookmarkEnd w:id="12466"/>
      <w:r>
        <w:rPr>
          <w:rFonts w:hint="cs"/>
          <w:rtl/>
        </w:rPr>
        <w:t xml:space="preserve">משחית </w:t>
      </w:r>
      <w:bookmarkStart w:id="12467" w:name="_ETM_Q17_207390"/>
      <w:bookmarkEnd w:id="12467"/>
      <w:r>
        <w:rPr>
          <w:rFonts w:hint="cs"/>
          <w:rtl/>
        </w:rPr>
        <w:t>ומסית</w:t>
      </w:r>
      <w:bookmarkStart w:id="12468" w:name="_ETM_Q17_208949"/>
      <w:bookmarkEnd w:id="12468"/>
      <w:r>
        <w:rPr>
          <w:rFonts w:hint="cs"/>
          <w:rtl/>
        </w:rPr>
        <w:t xml:space="preserve">; ביטולה </w:t>
      </w:r>
      <w:bookmarkStart w:id="12469" w:name="_ETM_Q17_209550"/>
      <w:bookmarkEnd w:id="12469"/>
      <w:r>
        <w:rPr>
          <w:rFonts w:hint="cs"/>
          <w:rtl/>
        </w:rPr>
        <w:t xml:space="preserve">של </w:t>
      </w:r>
      <w:bookmarkStart w:id="12470" w:name="_ETM_Q17_209760"/>
      <w:bookmarkStart w:id="12471" w:name="_ETM_Q17_210060"/>
      <w:bookmarkEnd w:id="12470"/>
      <w:bookmarkEnd w:id="12471"/>
      <w:r>
        <w:rPr>
          <w:rFonts w:hint="cs"/>
          <w:rtl/>
        </w:rPr>
        <w:t xml:space="preserve">עילת הסבירות </w:t>
      </w:r>
      <w:bookmarkStart w:id="12472" w:name="_ETM_Q17_210689"/>
      <w:bookmarkEnd w:id="12472"/>
      <w:r>
        <w:rPr>
          <w:rFonts w:hint="cs"/>
          <w:rtl/>
        </w:rPr>
        <w:t xml:space="preserve">יפתח </w:t>
      </w:r>
      <w:bookmarkStart w:id="12473" w:name="_ETM_Q17_211230"/>
      <w:bookmarkEnd w:id="12473"/>
      <w:r>
        <w:rPr>
          <w:rFonts w:hint="cs"/>
          <w:rtl/>
        </w:rPr>
        <w:t xml:space="preserve">את </w:t>
      </w:r>
      <w:bookmarkStart w:id="12474" w:name="_ETM_Q17_211380"/>
      <w:bookmarkEnd w:id="12474"/>
      <w:r>
        <w:rPr>
          <w:rFonts w:hint="cs"/>
          <w:rtl/>
        </w:rPr>
        <w:t xml:space="preserve">הפתח </w:t>
      </w:r>
      <w:bookmarkStart w:id="12475" w:name="_ETM_Q17_212470"/>
      <w:bookmarkEnd w:id="12475"/>
      <w:r>
        <w:rPr>
          <w:rFonts w:hint="cs"/>
          <w:rtl/>
        </w:rPr>
        <w:t xml:space="preserve">למציאות </w:t>
      </w:r>
      <w:bookmarkStart w:id="12476" w:name="_ETM_Q17_213310"/>
      <w:bookmarkEnd w:id="12476"/>
      <w:r>
        <w:rPr>
          <w:rFonts w:hint="cs"/>
          <w:rtl/>
        </w:rPr>
        <w:t xml:space="preserve">הנוראה </w:t>
      </w:r>
      <w:bookmarkStart w:id="12477" w:name="_ETM_Q17_214379"/>
      <w:bookmarkEnd w:id="12477"/>
      <w:r>
        <w:rPr>
          <w:rFonts w:hint="cs"/>
          <w:rtl/>
        </w:rPr>
        <w:t xml:space="preserve">המתוארת </w:t>
      </w:r>
      <w:bookmarkStart w:id="12478" w:name="_ETM_Q17_215250"/>
      <w:bookmarkEnd w:id="12478"/>
      <w:r>
        <w:rPr>
          <w:rFonts w:hint="cs"/>
          <w:rtl/>
        </w:rPr>
        <w:t xml:space="preserve">בהפטרת </w:t>
      </w:r>
      <w:bookmarkStart w:id="12479" w:name="_ETM_Q17_216059"/>
      <w:bookmarkEnd w:id="12479"/>
      <w:r>
        <w:rPr>
          <w:rFonts w:hint="cs"/>
          <w:rtl/>
        </w:rPr>
        <w:t xml:space="preserve">שבת </w:t>
      </w:r>
      <w:bookmarkStart w:id="12480" w:name="_ETM_Q17_216659"/>
      <w:bookmarkEnd w:id="12480"/>
      <w:r>
        <w:rPr>
          <w:rFonts w:hint="cs"/>
          <w:rtl/>
        </w:rPr>
        <w:t xml:space="preserve">חזון, </w:t>
      </w:r>
      <w:bookmarkStart w:id="12481" w:name="_ETM_Q17_217710"/>
      <w:bookmarkEnd w:id="12481"/>
      <w:r>
        <w:rPr>
          <w:rFonts w:hint="cs"/>
          <w:rtl/>
        </w:rPr>
        <w:t xml:space="preserve">השבת </w:t>
      </w:r>
      <w:bookmarkStart w:id="12482" w:name="_ETM_Q17_218340"/>
      <w:bookmarkEnd w:id="12482"/>
      <w:r>
        <w:rPr>
          <w:rFonts w:hint="cs"/>
          <w:rtl/>
        </w:rPr>
        <w:t xml:space="preserve">המקדימה </w:t>
      </w:r>
      <w:bookmarkStart w:id="12483" w:name="_ETM_Q17_219030"/>
      <w:bookmarkEnd w:id="12483"/>
      <w:r>
        <w:rPr>
          <w:rFonts w:hint="cs"/>
          <w:rtl/>
        </w:rPr>
        <w:t>את</w:t>
      </w:r>
      <w:bookmarkStart w:id="12484" w:name="_ETM_Q17_219149"/>
      <w:bookmarkStart w:id="12485" w:name="_ETM_Q17_219600"/>
      <w:bookmarkEnd w:id="12484"/>
      <w:bookmarkEnd w:id="12485"/>
      <w:r>
        <w:rPr>
          <w:rFonts w:hint="cs"/>
          <w:rtl/>
        </w:rPr>
        <w:t xml:space="preserve"> תשעה באב: </w:t>
      </w:r>
      <w:bookmarkStart w:id="12486" w:name="_ETM_Q17_220530"/>
      <w:bookmarkEnd w:id="12486"/>
      <w:r>
        <w:rPr>
          <w:rFonts w:hint="cs"/>
          <w:rtl/>
        </w:rPr>
        <w:t xml:space="preserve">"איכה </w:t>
      </w:r>
      <w:bookmarkStart w:id="12487" w:name="_ETM_Q17_221190"/>
      <w:bookmarkEnd w:id="12487"/>
      <w:r>
        <w:rPr>
          <w:rFonts w:hint="cs"/>
          <w:rtl/>
        </w:rPr>
        <w:t xml:space="preserve">היתה </w:t>
      </w:r>
      <w:bookmarkStart w:id="12488" w:name="_ETM_Q17_221670"/>
      <w:bookmarkEnd w:id="12488"/>
      <w:r>
        <w:rPr>
          <w:rFonts w:hint="cs"/>
          <w:rtl/>
        </w:rPr>
        <w:t xml:space="preserve">לזונה </w:t>
      </w:r>
      <w:bookmarkStart w:id="12489" w:name="_ETM_Q17_222329"/>
      <w:bookmarkEnd w:id="12489"/>
      <w:r>
        <w:rPr>
          <w:rFonts w:hint="cs"/>
          <w:rtl/>
        </w:rPr>
        <w:t xml:space="preserve">קריה </w:t>
      </w:r>
      <w:bookmarkStart w:id="12490" w:name="_ETM_Q17_222839"/>
      <w:bookmarkEnd w:id="12490"/>
      <w:r>
        <w:rPr>
          <w:rFonts w:hint="cs"/>
          <w:rtl/>
        </w:rPr>
        <w:t xml:space="preserve">נאמנה". </w:t>
      </w:r>
      <w:bookmarkStart w:id="12491" w:name="_ETM_Q17_224109"/>
      <w:bookmarkEnd w:id="12491"/>
      <w:r>
        <w:rPr>
          <w:rFonts w:hint="cs"/>
          <w:rtl/>
        </w:rPr>
        <w:t xml:space="preserve">ובהמשך: </w:t>
      </w:r>
      <w:bookmarkStart w:id="12492" w:name="_ETM_Q17_225100"/>
      <w:bookmarkEnd w:id="12492"/>
      <w:r>
        <w:rPr>
          <w:rFonts w:hint="cs"/>
          <w:rtl/>
        </w:rPr>
        <w:t xml:space="preserve">"כספך </w:t>
      </w:r>
      <w:bookmarkStart w:id="12493" w:name="_ETM_Q17_225789"/>
      <w:bookmarkEnd w:id="12493"/>
      <w:r>
        <w:rPr>
          <w:rFonts w:hint="cs"/>
          <w:rtl/>
        </w:rPr>
        <w:t xml:space="preserve">היה </w:t>
      </w:r>
      <w:bookmarkStart w:id="12494" w:name="_ETM_Q17_226089"/>
      <w:bookmarkEnd w:id="12494"/>
      <w:r>
        <w:rPr>
          <w:rFonts w:hint="cs"/>
          <w:rtl/>
        </w:rPr>
        <w:t>לסיגים</w:t>
      </w:r>
      <w:bookmarkStart w:id="12495" w:name="_ETM_Q17_227199"/>
      <w:bookmarkEnd w:id="12495"/>
      <w:r>
        <w:rPr>
          <w:rFonts w:hint="cs"/>
          <w:rtl/>
        </w:rPr>
        <w:t xml:space="preserve">, סבאך </w:t>
      </w:r>
      <w:bookmarkStart w:id="12496" w:name="_ETM_Q17_227920"/>
      <w:bookmarkEnd w:id="12496"/>
      <w:r>
        <w:rPr>
          <w:rFonts w:hint="cs"/>
          <w:rtl/>
        </w:rPr>
        <w:t xml:space="preserve">מהול </w:t>
      </w:r>
      <w:bookmarkStart w:id="12497" w:name="_ETM_Q17_228370"/>
      <w:bookmarkEnd w:id="12497"/>
      <w:r>
        <w:rPr>
          <w:rFonts w:hint="cs"/>
          <w:rtl/>
        </w:rPr>
        <w:t xml:space="preserve">במים. </w:t>
      </w:r>
      <w:bookmarkStart w:id="12498" w:name="_ETM_Q17_229390"/>
      <w:bookmarkEnd w:id="12498"/>
      <w:r>
        <w:rPr>
          <w:rFonts w:hint="cs"/>
          <w:rtl/>
        </w:rPr>
        <w:t xml:space="preserve">שריִך </w:t>
      </w:r>
      <w:bookmarkStart w:id="12499" w:name="_ETM_Q17_230050"/>
      <w:bookmarkEnd w:id="12499"/>
      <w:r>
        <w:rPr>
          <w:rFonts w:hint="cs"/>
          <w:rtl/>
        </w:rPr>
        <w:t xml:space="preserve">סוררים </w:t>
      </w:r>
      <w:bookmarkStart w:id="12500" w:name="_ETM_Q17_230829"/>
      <w:bookmarkEnd w:id="12500"/>
      <w:r>
        <w:rPr>
          <w:rFonts w:hint="cs"/>
          <w:rtl/>
        </w:rPr>
        <w:t xml:space="preserve">וחברי </w:t>
      </w:r>
      <w:bookmarkStart w:id="12501" w:name="_ETM_Q17_231370"/>
      <w:bookmarkEnd w:id="12501"/>
      <w:r>
        <w:rPr>
          <w:rFonts w:hint="cs"/>
          <w:rtl/>
        </w:rPr>
        <w:t xml:space="preserve">גנבים, </w:t>
      </w:r>
      <w:bookmarkStart w:id="12502" w:name="_ETM_Q17_232359"/>
      <w:bookmarkEnd w:id="12502"/>
      <w:r>
        <w:rPr>
          <w:rFonts w:hint="cs"/>
          <w:rtl/>
        </w:rPr>
        <w:t>כֻּלוֹ</w:t>
      </w:r>
      <w:r>
        <w:rPr>
          <w:rFonts w:cs="David"/>
          <w:sz w:val="32"/>
          <w:szCs w:val="32"/>
          <w:shd w:val="clear" w:color="auto" w:fill="FFFFFF"/>
          <w:rtl/>
        </w:rPr>
        <w:t> </w:t>
      </w:r>
      <w:r>
        <w:rPr>
          <w:rFonts w:hint="cs"/>
          <w:rtl/>
        </w:rPr>
        <w:t xml:space="preserve"> אוהב </w:t>
      </w:r>
      <w:bookmarkStart w:id="12503" w:name="_ETM_Q17_233079"/>
      <w:bookmarkEnd w:id="12503"/>
      <w:r>
        <w:rPr>
          <w:rFonts w:hint="cs"/>
          <w:rtl/>
        </w:rPr>
        <w:t xml:space="preserve">שֹחד </w:t>
      </w:r>
      <w:bookmarkStart w:id="12504" w:name="_ETM_Q17_233620"/>
      <w:bookmarkEnd w:id="12504"/>
      <w:r>
        <w:rPr>
          <w:rFonts w:hint="cs"/>
          <w:rtl/>
        </w:rPr>
        <w:t xml:space="preserve">ורֹדף </w:t>
      </w:r>
      <w:bookmarkStart w:id="12505" w:name="_ETM_Q17_234100"/>
      <w:bookmarkEnd w:id="12505"/>
      <w:r>
        <w:rPr>
          <w:rFonts w:hint="cs"/>
          <w:rtl/>
        </w:rPr>
        <w:t xml:space="preserve">שַלמֹנים, </w:t>
      </w:r>
      <w:bookmarkStart w:id="12506" w:name="_ETM_Q17_235180"/>
      <w:bookmarkEnd w:id="12506"/>
      <w:r>
        <w:rPr>
          <w:rFonts w:hint="cs"/>
          <w:rtl/>
        </w:rPr>
        <w:t xml:space="preserve">יתום </w:t>
      </w:r>
      <w:bookmarkStart w:id="12507" w:name="_ETM_Q17_235719"/>
      <w:bookmarkEnd w:id="12507"/>
      <w:r>
        <w:rPr>
          <w:rFonts w:hint="cs"/>
          <w:rtl/>
        </w:rPr>
        <w:t xml:space="preserve">לא </w:t>
      </w:r>
      <w:bookmarkStart w:id="12508" w:name="_ETM_Q17_235899"/>
      <w:bookmarkEnd w:id="12508"/>
      <w:r>
        <w:rPr>
          <w:rFonts w:hint="cs"/>
          <w:rtl/>
        </w:rPr>
        <w:t xml:space="preserve">ישפֹטו </w:t>
      </w:r>
      <w:bookmarkStart w:id="12509" w:name="_ETM_Q17_236469"/>
      <w:bookmarkEnd w:id="12509"/>
      <w:r>
        <w:rPr>
          <w:rFonts w:hint="cs"/>
          <w:rtl/>
        </w:rPr>
        <w:t xml:space="preserve">וריב </w:t>
      </w:r>
      <w:bookmarkStart w:id="12510" w:name="_ETM_Q17_237129"/>
      <w:bookmarkEnd w:id="12510"/>
      <w:r>
        <w:rPr>
          <w:rFonts w:hint="cs"/>
          <w:rtl/>
        </w:rPr>
        <w:t xml:space="preserve">אלמנה </w:t>
      </w:r>
      <w:bookmarkStart w:id="12511" w:name="_ETM_Q17_237670"/>
      <w:bookmarkEnd w:id="12511"/>
      <w:r>
        <w:rPr>
          <w:rFonts w:hint="cs"/>
          <w:rtl/>
        </w:rPr>
        <w:t xml:space="preserve">לא </w:t>
      </w:r>
      <w:bookmarkStart w:id="12512" w:name="_ETM_Q17_237820"/>
      <w:bookmarkEnd w:id="12512"/>
      <w:r>
        <w:rPr>
          <w:rFonts w:hint="cs"/>
          <w:rtl/>
        </w:rPr>
        <w:t xml:space="preserve">יבוא </w:t>
      </w:r>
      <w:bookmarkStart w:id="12513" w:name="_ETM_Q17_238210"/>
      <w:bookmarkEnd w:id="12513"/>
      <w:r>
        <w:rPr>
          <w:rFonts w:hint="cs"/>
          <w:rtl/>
        </w:rPr>
        <w:t>אליהם".</w:t>
      </w:r>
      <w:bookmarkStart w:id="12514" w:name="_ETM_Q17_239300"/>
      <w:bookmarkEnd w:id="12514"/>
    </w:p>
    <w:p w:rsidR="000C5C1F" w:rsidRDefault="000C5C1F" w:rsidP="000C5C1F">
      <w:pPr>
        <w:rPr>
          <w:rtl/>
        </w:rPr>
      </w:pPr>
    </w:p>
    <w:p w:rsidR="000C5C1F" w:rsidRDefault="000C5C1F" w:rsidP="000C5C1F">
      <w:pPr>
        <w:rPr>
          <w:rtl/>
        </w:rPr>
      </w:pPr>
      <w:r>
        <w:rPr>
          <w:rFonts w:hint="cs"/>
          <w:rtl/>
        </w:rPr>
        <w:t xml:space="preserve">לא </w:t>
      </w:r>
      <w:bookmarkStart w:id="12515" w:name="_ETM_Q17_239629"/>
      <w:bookmarkEnd w:id="12515"/>
      <w:r>
        <w:rPr>
          <w:rFonts w:hint="cs"/>
          <w:rtl/>
        </w:rPr>
        <w:t xml:space="preserve">תיקון </w:t>
      </w:r>
      <w:bookmarkStart w:id="12516" w:name="_ETM_Q17_240109"/>
      <w:bookmarkEnd w:id="12516"/>
      <w:r>
        <w:rPr>
          <w:rFonts w:hint="cs"/>
          <w:rtl/>
        </w:rPr>
        <w:t>מבקש</w:t>
      </w:r>
      <w:bookmarkStart w:id="12517" w:name="_ETM_Q17_240620"/>
      <w:bookmarkEnd w:id="12517"/>
      <w:r>
        <w:rPr>
          <w:rFonts w:hint="cs"/>
          <w:rtl/>
        </w:rPr>
        <w:t xml:space="preserve">ת </w:t>
      </w:r>
      <w:bookmarkStart w:id="12518" w:name="_ETM_Q17_240769"/>
      <w:bookmarkEnd w:id="12518"/>
      <w:r>
        <w:rPr>
          <w:rFonts w:hint="cs"/>
          <w:rtl/>
        </w:rPr>
        <w:t xml:space="preserve">החבורה </w:t>
      </w:r>
      <w:bookmarkStart w:id="12519" w:name="_ETM_Q17_241399"/>
      <w:bookmarkEnd w:id="12519"/>
      <w:r>
        <w:rPr>
          <w:rFonts w:hint="cs"/>
          <w:rtl/>
        </w:rPr>
        <w:t xml:space="preserve">הזו, </w:t>
      </w:r>
      <w:bookmarkStart w:id="12520" w:name="_ETM_Q17_241909"/>
      <w:bookmarkEnd w:id="12520"/>
      <w:r>
        <w:rPr>
          <w:rFonts w:hint="cs"/>
          <w:rtl/>
        </w:rPr>
        <w:t xml:space="preserve">אלא </w:t>
      </w:r>
      <w:bookmarkStart w:id="12521" w:name="_ETM_Q17_242210"/>
      <w:bookmarkEnd w:id="12521"/>
      <w:r>
        <w:rPr>
          <w:rFonts w:hint="cs"/>
          <w:rtl/>
        </w:rPr>
        <w:t xml:space="preserve">הרס; </w:t>
      </w:r>
      <w:bookmarkStart w:id="12522" w:name="_ETM_Q17_243230"/>
      <w:bookmarkEnd w:id="12522"/>
      <w:r>
        <w:rPr>
          <w:rFonts w:hint="cs"/>
          <w:rtl/>
        </w:rPr>
        <w:t xml:space="preserve">לא </w:t>
      </w:r>
      <w:bookmarkStart w:id="12523" w:name="_ETM_Q17_243530"/>
      <w:bookmarkEnd w:id="12523"/>
      <w:r>
        <w:rPr>
          <w:rFonts w:hint="cs"/>
          <w:rtl/>
        </w:rPr>
        <w:t xml:space="preserve">איזונים </w:t>
      </w:r>
      <w:bookmarkStart w:id="12524" w:name="_ETM_Q17_244310"/>
      <w:bookmarkEnd w:id="12524"/>
      <w:r>
        <w:rPr>
          <w:rFonts w:hint="cs"/>
          <w:rtl/>
        </w:rPr>
        <w:t xml:space="preserve">היא מחפשת, </w:t>
      </w:r>
      <w:bookmarkStart w:id="12525" w:name="_ETM_Q17_245659"/>
      <w:bookmarkEnd w:id="12525"/>
      <w:r>
        <w:rPr>
          <w:rFonts w:hint="cs"/>
          <w:rtl/>
        </w:rPr>
        <w:t xml:space="preserve">אלא </w:t>
      </w:r>
      <w:bookmarkStart w:id="12526" w:name="_ETM_Q17_245959"/>
      <w:bookmarkEnd w:id="12526"/>
      <w:r>
        <w:rPr>
          <w:rFonts w:hint="cs"/>
          <w:rtl/>
        </w:rPr>
        <w:t xml:space="preserve">שררה </w:t>
      </w:r>
      <w:bookmarkStart w:id="12527" w:name="_ETM_Q17_246709"/>
      <w:bookmarkEnd w:id="12527"/>
      <w:r>
        <w:rPr>
          <w:rFonts w:hint="cs"/>
          <w:rtl/>
        </w:rPr>
        <w:t xml:space="preserve">ללא </w:t>
      </w:r>
      <w:bookmarkStart w:id="12528" w:name="_ETM_Q17_246979"/>
      <w:bookmarkEnd w:id="12528"/>
      <w:r>
        <w:rPr>
          <w:rFonts w:hint="cs"/>
          <w:rtl/>
        </w:rPr>
        <w:t xml:space="preserve">גבולות; </w:t>
      </w:r>
      <w:bookmarkStart w:id="12529" w:name="_ETM_Q17_248009"/>
      <w:bookmarkEnd w:id="12529"/>
      <w:r>
        <w:rPr>
          <w:rFonts w:hint="cs"/>
          <w:rtl/>
        </w:rPr>
        <w:t xml:space="preserve">לא </w:t>
      </w:r>
      <w:bookmarkStart w:id="12530" w:name="_ETM_Q17_248369"/>
      <w:bookmarkEnd w:id="12530"/>
      <w:r>
        <w:rPr>
          <w:rFonts w:hint="cs"/>
          <w:rtl/>
        </w:rPr>
        <w:t xml:space="preserve">החזרת </w:t>
      </w:r>
      <w:bookmarkStart w:id="12531" w:name="_ETM_Q17_249060"/>
      <w:bookmarkEnd w:id="12531"/>
      <w:r>
        <w:rPr>
          <w:rFonts w:hint="cs"/>
          <w:rtl/>
        </w:rPr>
        <w:t xml:space="preserve">המטוטלת </w:t>
      </w:r>
      <w:bookmarkStart w:id="12532" w:name="_ETM_Q17_249869"/>
      <w:bookmarkEnd w:id="12532"/>
      <w:r>
        <w:rPr>
          <w:rFonts w:hint="cs"/>
          <w:rtl/>
        </w:rPr>
        <w:t xml:space="preserve">השיפוטית </w:t>
      </w:r>
      <w:bookmarkStart w:id="12533" w:name="_ETM_Q17_250530"/>
      <w:bookmarkEnd w:id="12533"/>
      <w:r>
        <w:rPr>
          <w:rFonts w:hint="cs"/>
          <w:rtl/>
        </w:rPr>
        <w:t xml:space="preserve">למרכז, </w:t>
      </w:r>
      <w:bookmarkStart w:id="12534" w:name="_ETM_Q17_251670"/>
      <w:bookmarkEnd w:id="12534"/>
      <w:r>
        <w:rPr>
          <w:rFonts w:hint="cs"/>
          <w:rtl/>
        </w:rPr>
        <w:t xml:space="preserve">אלא </w:t>
      </w:r>
      <w:bookmarkStart w:id="12535" w:name="_ETM_Q17_252000"/>
      <w:bookmarkEnd w:id="12535"/>
      <w:r>
        <w:rPr>
          <w:rFonts w:hint="cs"/>
          <w:rtl/>
        </w:rPr>
        <w:t xml:space="preserve">ניפוץ </w:t>
      </w:r>
      <w:bookmarkStart w:id="12536" w:name="_ETM_Q17_252569"/>
      <w:bookmarkEnd w:id="12536"/>
      <w:r>
        <w:rPr>
          <w:rFonts w:hint="cs"/>
          <w:rtl/>
        </w:rPr>
        <w:t xml:space="preserve">גס </w:t>
      </w:r>
      <w:bookmarkStart w:id="12537" w:name="_ETM_Q17_253569"/>
      <w:bookmarkEnd w:id="12537"/>
      <w:r>
        <w:rPr>
          <w:rFonts w:hint="cs"/>
          <w:rtl/>
        </w:rPr>
        <w:t xml:space="preserve">של </w:t>
      </w:r>
      <w:bookmarkStart w:id="12538" w:name="_ETM_Q17_253869"/>
      <w:bookmarkEnd w:id="12538"/>
      <w:r>
        <w:rPr>
          <w:rFonts w:hint="cs"/>
          <w:rtl/>
        </w:rPr>
        <w:t xml:space="preserve">השעון </w:t>
      </w:r>
      <w:bookmarkStart w:id="12539" w:name="_ETM_Q17_254469"/>
      <w:bookmarkEnd w:id="12539"/>
      <w:r>
        <w:rPr>
          <w:rFonts w:hint="cs"/>
          <w:rtl/>
        </w:rPr>
        <w:t xml:space="preserve">הפנימי </w:t>
      </w:r>
      <w:bookmarkStart w:id="12540" w:name="_ETM_Q17_254979"/>
      <w:bookmarkEnd w:id="12540"/>
      <w:r>
        <w:rPr>
          <w:rFonts w:hint="cs"/>
          <w:rtl/>
        </w:rPr>
        <w:t xml:space="preserve">של </w:t>
      </w:r>
      <w:bookmarkStart w:id="12541" w:name="_ETM_Q17_255219"/>
      <w:bookmarkEnd w:id="12541"/>
      <w:r>
        <w:rPr>
          <w:rFonts w:hint="cs"/>
          <w:rtl/>
        </w:rPr>
        <w:t xml:space="preserve">הדמוקרטיה </w:t>
      </w:r>
      <w:bookmarkStart w:id="12542" w:name="_ETM_Q17_256029"/>
      <w:bookmarkEnd w:id="12542"/>
      <w:r>
        <w:rPr>
          <w:rFonts w:hint="cs"/>
          <w:rtl/>
        </w:rPr>
        <w:t xml:space="preserve">הישראלית; </w:t>
      </w:r>
      <w:bookmarkStart w:id="12543" w:name="_ETM_Q17_257639"/>
      <w:bookmarkEnd w:id="12543"/>
      <w:r>
        <w:rPr>
          <w:rFonts w:hint="cs"/>
          <w:rtl/>
        </w:rPr>
        <w:t xml:space="preserve">לא </w:t>
      </w:r>
      <w:bookmarkStart w:id="12544" w:name="_ETM_Q17_257999"/>
      <w:bookmarkEnd w:id="12544"/>
      <w:r>
        <w:rPr>
          <w:rFonts w:hint="cs"/>
          <w:rtl/>
        </w:rPr>
        <w:t xml:space="preserve">ריכוך, </w:t>
      </w:r>
      <w:bookmarkStart w:id="12545" w:name="_ETM_Q17_259109"/>
      <w:bookmarkEnd w:id="12545"/>
      <w:r>
        <w:rPr>
          <w:rFonts w:hint="cs"/>
          <w:rtl/>
        </w:rPr>
        <w:t xml:space="preserve">אלא </w:t>
      </w:r>
      <w:bookmarkStart w:id="12546" w:name="_ETM_Q17_259439"/>
      <w:bookmarkEnd w:id="12546"/>
      <w:r>
        <w:rPr>
          <w:rFonts w:hint="cs"/>
          <w:rtl/>
        </w:rPr>
        <w:t xml:space="preserve">ריכוך </w:t>
      </w:r>
      <w:bookmarkStart w:id="12547" w:name="_ETM_Q17_260039"/>
      <w:bookmarkEnd w:id="12547"/>
      <w:r>
        <w:rPr>
          <w:rFonts w:hint="cs"/>
          <w:rtl/>
        </w:rPr>
        <w:t xml:space="preserve">ארטילרי </w:t>
      </w:r>
      <w:bookmarkStart w:id="12548" w:name="_ETM_Q17_260939"/>
      <w:bookmarkEnd w:id="12548"/>
      <w:r>
        <w:rPr>
          <w:rFonts w:hint="cs"/>
          <w:rtl/>
        </w:rPr>
        <w:t xml:space="preserve">של </w:t>
      </w:r>
      <w:bookmarkStart w:id="12549" w:name="_ETM_Q17_261240"/>
      <w:bookmarkEnd w:id="12549"/>
      <w:r>
        <w:rPr>
          <w:rFonts w:hint="cs"/>
          <w:rtl/>
        </w:rPr>
        <w:t xml:space="preserve">ההגנה </w:t>
      </w:r>
      <w:bookmarkStart w:id="12550" w:name="_ETM_Q17_261869"/>
      <w:bookmarkEnd w:id="12550"/>
      <w:r>
        <w:rPr>
          <w:rFonts w:hint="cs"/>
          <w:rtl/>
        </w:rPr>
        <w:t xml:space="preserve">על </w:t>
      </w:r>
      <w:bookmarkStart w:id="12551" w:name="_ETM_Q17_261959"/>
      <w:bookmarkEnd w:id="12551"/>
      <w:r>
        <w:rPr>
          <w:rFonts w:hint="cs"/>
          <w:rtl/>
        </w:rPr>
        <w:t xml:space="preserve">שלטון </w:t>
      </w:r>
      <w:bookmarkStart w:id="12552" w:name="_ETM_Q17_262499"/>
      <w:bookmarkEnd w:id="12552"/>
      <w:r>
        <w:rPr>
          <w:rFonts w:hint="cs"/>
          <w:rtl/>
        </w:rPr>
        <w:t xml:space="preserve">החוק </w:t>
      </w:r>
      <w:bookmarkStart w:id="12553" w:name="_ETM_Q17_263329"/>
      <w:bookmarkEnd w:id="12553"/>
      <w:r>
        <w:rPr>
          <w:rFonts w:hint="cs"/>
          <w:rtl/>
        </w:rPr>
        <w:t xml:space="preserve">וטוהר </w:t>
      </w:r>
      <w:bookmarkStart w:id="12554" w:name="_ETM_Q17_263869"/>
      <w:bookmarkEnd w:id="12554"/>
      <w:r>
        <w:rPr>
          <w:rFonts w:hint="cs"/>
          <w:rtl/>
        </w:rPr>
        <w:t xml:space="preserve">המידות </w:t>
      </w:r>
      <w:bookmarkStart w:id="12555" w:name="_ETM_Q17_264319"/>
      <w:bookmarkEnd w:id="12555"/>
      <w:r>
        <w:rPr>
          <w:rFonts w:hint="cs"/>
          <w:rtl/>
        </w:rPr>
        <w:t>הציבורי.</w:t>
      </w:r>
      <w:bookmarkStart w:id="12556" w:name="_ETM_Q17_265780"/>
      <w:bookmarkEnd w:id="12556"/>
    </w:p>
    <w:p w:rsidR="000C5C1F" w:rsidRDefault="000C5C1F" w:rsidP="000C5C1F">
      <w:pPr>
        <w:rPr>
          <w:rtl/>
        </w:rPr>
      </w:pPr>
      <w:bookmarkStart w:id="12557" w:name="_ETM_Q17_266529"/>
      <w:bookmarkStart w:id="12558" w:name="_ETM_Q17_266655"/>
      <w:bookmarkEnd w:id="12557"/>
      <w:bookmarkEnd w:id="12558"/>
    </w:p>
    <w:p w:rsidR="000C5C1F" w:rsidRDefault="000C5C1F" w:rsidP="000C5C1F">
      <w:pPr>
        <w:rPr>
          <w:rtl/>
        </w:rPr>
      </w:pPr>
      <w:bookmarkStart w:id="12559" w:name="_ETM_Q17_266708"/>
      <w:bookmarkStart w:id="12560" w:name="_ETM_Q17_266747"/>
      <w:bookmarkEnd w:id="12559"/>
      <w:bookmarkEnd w:id="12560"/>
      <w:r>
        <w:rPr>
          <w:rFonts w:hint="cs"/>
          <w:rtl/>
        </w:rPr>
        <w:t xml:space="preserve">בימים </w:t>
      </w:r>
      <w:bookmarkStart w:id="12561" w:name="_ETM_Q17_266350"/>
      <w:bookmarkEnd w:id="12561"/>
      <w:r>
        <w:rPr>
          <w:rFonts w:hint="cs"/>
          <w:rtl/>
        </w:rPr>
        <w:t xml:space="preserve">אלו </w:t>
      </w:r>
      <w:bookmarkStart w:id="12562" w:name="_ETM_Q17_267389"/>
      <w:bookmarkEnd w:id="12562"/>
      <w:r>
        <w:rPr>
          <w:rFonts w:hint="cs"/>
          <w:rtl/>
        </w:rPr>
        <w:t xml:space="preserve">אנחנו </w:t>
      </w:r>
      <w:bookmarkStart w:id="12563" w:name="_ETM_Q17_267840"/>
      <w:bookmarkEnd w:id="12563"/>
      <w:r>
        <w:rPr>
          <w:rFonts w:hint="cs"/>
          <w:rtl/>
        </w:rPr>
        <w:t xml:space="preserve">מצויים </w:t>
      </w:r>
      <w:bookmarkStart w:id="12564" w:name="_ETM_Q17_268590"/>
      <w:bookmarkEnd w:id="12564"/>
      <w:r>
        <w:rPr>
          <w:rFonts w:hint="cs"/>
          <w:rtl/>
        </w:rPr>
        <w:t xml:space="preserve">בעיצומה </w:t>
      </w:r>
      <w:bookmarkStart w:id="12565" w:name="_ETM_Q17_269310"/>
      <w:bookmarkEnd w:id="12565"/>
      <w:r>
        <w:rPr>
          <w:rFonts w:hint="cs"/>
          <w:rtl/>
        </w:rPr>
        <w:t xml:space="preserve">של </w:t>
      </w:r>
      <w:bookmarkStart w:id="12566" w:name="_ETM_Q17_269520"/>
      <w:bookmarkEnd w:id="12566"/>
      <w:r>
        <w:rPr>
          <w:rFonts w:hint="cs"/>
          <w:rtl/>
        </w:rPr>
        <w:t xml:space="preserve">תקופת </w:t>
      </w:r>
      <w:bookmarkStart w:id="12567" w:name="_ETM_Q17_270119"/>
      <w:bookmarkEnd w:id="12567"/>
      <w:r>
        <w:rPr>
          <w:rFonts w:hint="cs"/>
          <w:rtl/>
        </w:rPr>
        <w:t xml:space="preserve">בין </w:t>
      </w:r>
      <w:bookmarkStart w:id="12568" w:name="_ETM_Q17_270389"/>
      <w:bookmarkEnd w:id="12568"/>
      <w:r>
        <w:rPr>
          <w:rFonts w:hint="cs"/>
          <w:rtl/>
        </w:rPr>
        <w:t xml:space="preserve">המצרים, </w:t>
      </w:r>
      <w:bookmarkStart w:id="12569" w:name="_ETM_Q17_271619"/>
      <w:bookmarkEnd w:id="12569"/>
      <w:r>
        <w:rPr>
          <w:rFonts w:hint="cs"/>
          <w:rtl/>
        </w:rPr>
        <w:t xml:space="preserve">בשבוע </w:t>
      </w:r>
      <w:bookmarkStart w:id="12570" w:name="_ETM_Q17_272340"/>
      <w:bookmarkEnd w:id="12570"/>
      <w:r>
        <w:rPr>
          <w:rFonts w:hint="cs"/>
          <w:rtl/>
        </w:rPr>
        <w:t xml:space="preserve">שחל </w:t>
      </w:r>
      <w:bookmarkStart w:id="12571" w:name="_ETM_Q17_272909"/>
      <w:bookmarkEnd w:id="12571"/>
      <w:r>
        <w:rPr>
          <w:rFonts w:hint="cs"/>
          <w:rtl/>
        </w:rPr>
        <w:t xml:space="preserve">בו </w:t>
      </w:r>
      <w:bookmarkStart w:id="12572" w:name="_ETM_Q17_273539"/>
      <w:bookmarkEnd w:id="12572"/>
      <w:r>
        <w:rPr>
          <w:rFonts w:hint="cs"/>
          <w:rtl/>
        </w:rPr>
        <w:t>צום</w:t>
      </w:r>
      <w:bookmarkStart w:id="12573" w:name="_ETM_Q17_273929"/>
      <w:bookmarkEnd w:id="12573"/>
      <w:r>
        <w:rPr>
          <w:rFonts w:hint="cs"/>
          <w:rtl/>
        </w:rPr>
        <w:t xml:space="preserve"> תשעה </w:t>
      </w:r>
      <w:bookmarkStart w:id="12574" w:name="_ETM_Q17_274349"/>
      <w:bookmarkEnd w:id="12574"/>
      <w:r>
        <w:rPr>
          <w:rFonts w:hint="cs"/>
          <w:rtl/>
        </w:rPr>
        <w:t xml:space="preserve">באב. </w:t>
      </w:r>
      <w:bookmarkStart w:id="12575" w:name="_ETM_Q17_275540"/>
      <w:bookmarkEnd w:id="12575"/>
      <w:r>
        <w:rPr>
          <w:rFonts w:hint="cs"/>
          <w:rtl/>
        </w:rPr>
        <w:t xml:space="preserve">במשך </w:t>
      </w:r>
      <w:bookmarkStart w:id="12576" w:name="_ETM_Q17_276049"/>
      <w:bookmarkEnd w:id="12576"/>
      <w:r>
        <w:rPr>
          <w:rFonts w:hint="cs"/>
          <w:rtl/>
        </w:rPr>
        <w:t xml:space="preserve">למעלה </w:t>
      </w:r>
      <w:bookmarkStart w:id="12577" w:name="_ETM_Q17_276530"/>
      <w:bookmarkEnd w:id="12577"/>
      <w:r>
        <w:rPr>
          <w:rFonts w:hint="cs"/>
          <w:rtl/>
        </w:rPr>
        <w:t xml:space="preserve">מאלפיים </w:t>
      </w:r>
      <w:bookmarkStart w:id="12578" w:name="_ETM_Q17_277100"/>
      <w:bookmarkEnd w:id="12578"/>
      <w:r>
        <w:rPr>
          <w:rFonts w:hint="cs"/>
          <w:rtl/>
        </w:rPr>
        <w:t xml:space="preserve">שנים </w:t>
      </w:r>
      <w:bookmarkStart w:id="12579" w:name="_ETM_Q17_278049"/>
      <w:bookmarkEnd w:id="12579"/>
      <w:r>
        <w:rPr>
          <w:rFonts w:hint="cs"/>
          <w:rtl/>
        </w:rPr>
        <w:t xml:space="preserve">מלמדת </w:t>
      </w:r>
      <w:bookmarkStart w:id="12580" w:name="_ETM_Q17_278770"/>
      <w:bookmarkEnd w:id="12580"/>
      <w:r>
        <w:rPr>
          <w:rFonts w:hint="cs"/>
          <w:rtl/>
        </w:rPr>
        <w:t xml:space="preserve">אותנו </w:t>
      </w:r>
      <w:bookmarkStart w:id="12581" w:name="_ETM_Q17_279130"/>
      <w:bookmarkEnd w:id="12581"/>
      <w:r>
        <w:rPr>
          <w:rFonts w:hint="cs"/>
          <w:rtl/>
        </w:rPr>
        <w:t xml:space="preserve">מסורת </w:t>
      </w:r>
      <w:bookmarkStart w:id="12582" w:name="_ETM_Q17_279640"/>
      <w:bookmarkEnd w:id="12582"/>
      <w:r>
        <w:rPr>
          <w:rFonts w:hint="cs"/>
          <w:rtl/>
        </w:rPr>
        <w:t xml:space="preserve">ישראל </w:t>
      </w:r>
      <w:bookmarkStart w:id="12583" w:name="_ETM_Q17_280119"/>
      <w:bookmarkEnd w:id="12583"/>
      <w:r>
        <w:rPr>
          <w:rFonts w:hint="cs"/>
          <w:rtl/>
        </w:rPr>
        <w:t xml:space="preserve">כי החורבן </w:t>
      </w:r>
      <w:bookmarkStart w:id="12584" w:name="_ETM_Q17_280900"/>
      <w:bookmarkEnd w:id="12584"/>
      <w:r>
        <w:rPr>
          <w:rFonts w:hint="cs"/>
          <w:rtl/>
        </w:rPr>
        <w:t xml:space="preserve">הגיע </w:t>
      </w:r>
      <w:bookmarkStart w:id="12585" w:name="_ETM_Q17_281380"/>
      <w:bookmarkEnd w:id="12585"/>
      <w:r>
        <w:rPr>
          <w:rFonts w:hint="cs"/>
          <w:rtl/>
        </w:rPr>
        <w:t xml:space="preserve">מידי </w:t>
      </w:r>
      <w:bookmarkStart w:id="12586" w:name="_ETM_Q17_281920"/>
      <w:bookmarkEnd w:id="12586"/>
      <w:r>
        <w:rPr>
          <w:rFonts w:hint="cs"/>
          <w:rtl/>
        </w:rPr>
        <w:t xml:space="preserve">אויבים </w:t>
      </w:r>
      <w:bookmarkStart w:id="12587" w:name="_ETM_Q17_282459"/>
      <w:bookmarkEnd w:id="12587"/>
      <w:r>
        <w:rPr>
          <w:rFonts w:hint="cs"/>
          <w:rtl/>
        </w:rPr>
        <w:t xml:space="preserve">מרים </w:t>
      </w:r>
      <w:bookmarkStart w:id="12588" w:name="_ETM_Q17_283240"/>
      <w:bookmarkEnd w:id="12588"/>
      <w:r>
        <w:rPr>
          <w:rFonts w:hint="cs"/>
          <w:rtl/>
        </w:rPr>
        <w:t xml:space="preserve">מבחוץ </w:t>
      </w:r>
      <w:bookmarkStart w:id="12589" w:name="_ETM_Q17_284610"/>
      <w:bookmarkEnd w:id="12589"/>
      <w:r>
        <w:rPr>
          <w:rFonts w:hint="cs"/>
          <w:rtl/>
        </w:rPr>
        <w:t xml:space="preserve">אבל </w:t>
      </w:r>
      <w:bookmarkStart w:id="12590" w:name="_ETM_Q17_285000"/>
      <w:bookmarkEnd w:id="12590"/>
      <w:r>
        <w:rPr>
          <w:rFonts w:hint="cs"/>
          <w:rtl/>
        </w:rPr>
        <w:t xml:space="preserve">יסודותיו </w:t>
      </w:r>
      <w:bookmarkStart w:id="12591" w:name="_ETM_Q17_285959"/>
      <w:bookmarkEnd w:id="12591"/>
      <w:r>
        <w:rPr>
          <w:rFonts w:hint="cs"/>
          <w:rtl/>
        </w:rPr>
        <w:t xml:space="preserve">במעשיה </w:t>
      </w:r>
      <w:bookmarkStart w:id="12592" w:name="_ETM_Q17_286770"/>
      <w:bookmarkEnd w:id="12592"/>
      <w:r>
        <w:rPr>
          <w:rFonts w:hint="cs"/>
          <w:rtl/>
        </w:rPr>
        <w:t xml:space="preserve">של </w:t>
      </w:r>
      <w:bookmarkStart w:id="12593" w:name="_ETM_Q17_287340"/>
      <w:bookmarkEnd w:id="12593"/>
      <w:r>
        <w:rPr>
          <w:rFonts w:hint="cs"/>
          <w:rtl/>
        </w:rPr>
        <w:t xml:space="preserve">ההנהגה </w:t>
      </w:r>
      <w:bookmarkStart w:id="12594" w:name="_ETM_Q17_288540"/>
      <w:bookmarkEnd w:id="12594"/>
      <w:r>
        <w:rPr>
          <w:rFonts w:hint="cs"/>
          <w:rtl/>
        </w:rPr>
        <w:t xml:space="preserve">ובשתיקתה. </w:t>
      </w:r>
      <w:bookmarkStart w:id="12595" w:name="_ETM_Q17_290320"/>
      <w:bookmarkEnd w:id="12595"/>
      <w:r>
        <w:rPr>
          <w:rFonts w:hint="cs"/>
          <w:rtl/>
        </w:rPr>
        <w:t xml:space="preserve">ספר </w:t>
      </w:r>
      <w:bookmarkStart w:id="12596" w:name="_ETM_Q17_290830"/>
      <w:bookmarkEnd w:id="12596"/>
      <w:r>
        <w:rPr>
          <w:rFonts w:hint="cs"/>
          <w:rtl/>
        </w:rPr>
        <w:t xml:space="preserve">מלכים </w:t>
      </w:r>
      <w:bookmarkStart w:id="12597" w:name="_ETM_Q17_291400"/>
      <w:bookmarkEnd w:id="12597"/>
      <w:r>
        <w:rPr>
          <w:rFonts w:hint="cs"/>
          <w:rtl/>
        </w:rPr>
        <w:t xml:space="preserve">ונבואותיו </w:t>
      </w:r>
      <w:bookmarkStart w:id="12598" w:name="_ETM_Q17_292240"/>
      <w:bookmarkEnd w:id="12598"/>
      <w:r>
        <w:rPr>
          <w:rFonts w:hint="cs"/>
          <w:rtl/>
        </w:rPr>
        <w:t xml:space="preserve">של </w:t>
      </w:r>
      <w:bookmarkStart w:id="12599" w:name="_ETM_Q17_292420"/>
      <w:bookmarkEnd w:id="12599"/>
      <w:r>
        <w:rPr>
          <w:rFonts w:hint="cs"/>
          <w:rtl/>
        </w:rPr>
        <w:t xml:space="preserve">ירמיהו, </w:t>
      </w:r>
      <w:bookmarkStart w:id="12600" w:name="_ETM_Q17_293050"/>
      <w:bookmarkEnd w:id="12600"/>
      <w:r>
        <w:rPr>
          <w:rFonts w:hint="cs"/>
          <w:rtl/>
        </w:rPr>
        <w:t>נביא ה</w:t>
      </w:r>
      <w:bookmarkStart w:id="12601" w:name="_ETM_Q17_293440"/>
      <w:bookmarkEnd w:id="12601"/>
      <w:r>
        <w:rPr>
          <w:rFonts w:hint="cs"/>
          <w:rtl/>
        </w:rPr>
        <w:t xml:space="preserve">חורבן, </w:t>
      </w:r>
      <w:bookmarkStart w:id="12602" w:name="_ETM_Q17_294640"/>
      <w:bookmarkEnd w:id="12602"/>
      <w:r>
        <w:rPr>
          <w:rFonts w:hint="cs"/>
          <w:rtl/>
        </w:rPr>
        <w:t xml:space="preserve">מלמדים </w:t>
      </w:r>
      <w:bookmarkStart w:id="12603" w:name="_ETM_Q17_295210"/>
      <w:bookmarkEnd w:id="12603"/>
      <w:r>
        <w:rPr>
          <w:rFonts w:hint="cs"/>
          <w:rtl/>
        </w:rPr>
        <w:t xml:space="preserve">אותנו </w:t>
      </w:r>
      <w:bookmarkStart w:id="12604" w:name="_ETM_Q17_295570"/>
      <w:bookmarkEnd w:id="12604"/>
      <w:r>
        <w:rPr>
          <w:rFonts w:hint="cs"/>
          <w:rtl/>
        </w:rPr>
        <w:t xml:space="preserve">כי </w:t>
      </w:r>
      <w:bookmarkStart w:id="12605" w:name="_ETM_Q17_295750"/>
      <w:bookmarkEnd w:id="12605"/>
      <w:r>
        <w:rPr>
          <w:rFonts w:hint="cs"/>
          <w:rtl/>
        </w:rPr>
        <w:t xml:space="preserve">הבית </w:t>
      </w:r>
      <w:bookmarkStart w:id="12606" w:name="_ETM_Q17_296170"/>
      <w:bookmarkEnd w:id="12606"/>
      <w:r>
        <w:rPr>
          <w:rFonts w:hint="cs"/>
          <w:rtl/>
        </w:rPr>
        <w:t xml:space="preserve">הראשון </w:t>
      </w:r>
      <w:bookmarkStart w:id="12607" w:name="_ETM_Q17_296620"/>
      <w:bookmarkEnd w:id="12607"/>
      <w:r>
        <w:rPr>
          <w:rFonts w:hint="cs"/>
          <w:rtl/>
        </w:rPr>
        <w:t xml:space="preserve">חרב </w:t>
      </w:r>
      <w:bookmarkStart w:id="12608" w:name="_ETM_Q17_297160"/>
      <w:bookmarkEnd w:id="12608"/>
      <w:r>
        <w:rPr>
          <w:rFonts w:hint="cs"/>
          <w:rtl/>
        </w:rPr>
        <w:t xml:space="preserve">בשל </w:t>
      </w:r>
      <w:bookmarkStart w:id="12609" w:name="_ETM_Q17_297520"/>
      <w:bookmarkEnd w:id="12609"/>
      <w:r>
        <w:rPr>
          <w:rFonts w:hint="cs"/>
          <w:rtl/>
        </w:rPr>
        <w:t xml:space="preserve">שלטון </w:t>
      </w:r>
      <w:bookmarkStart w:id="12610" w:name="_ETM_Q17_298120"/>
      <w:bookmarkEnd w:id="12610"/>
      <w:r>
        <w:rPr>
          <w:rFonts w:hint="cs"/>
          <w:rtl/>
        </w:rPr>
        <w:t xml:space="preserve">יהיר, </w:t>
      </w:r>
      <w:bookmarkStart w:id="12611" w:name="_ETM_Q17_298899"/>
      <w:bookmarkEnd w:id="12611"/>
      <w:r>
        <w:rPr>
          <w:rFonts w:hint="cs"/>
          <w:rtl/>
        </w:rPr>
        <w:t xml:space="preserve">תאב </w:t>
      </w:r>
      <w:bookmarkStart w:id="12612" w:name="_ETM_Q17_299380"/>
      <w:bookmarkEnd w:id="12612"/>
      <w:r>
        <w:rPr>
          <w:rFonts w:hint="cs"/>
          <w:rtl/>
        </w:rPr>
        <w:t xml:space="preserve">כוח </w:t>
      </w:r>
      <w:bookmarkStart w:id="12613" w:name="_ETM_Q17_299770"/>
      <w:bookmarkEnd w:id="12613"/>
      <w:r>
        <w:rPr>
          <w:rFonts w:hint="cs"/>
          <w:rtl/>
        </w:rPr>
        <w:t xml:space="preserve">וכוחני. </w:t>
      </w:r>
      <w:bookmarkStart w:id="12614" w:name="_ETM_Q17_300929"/>
      <w:bookmarkEnd w:id="12614"/>
      <w:r>
        <w:rPr>
          <w:rFonts w:hint="cs"/>
          <w:rtl/>
        </w:rPr>
        <w:t xml:space="preserve">שלטון </w:t>
      </w:r>
      <w:bookmarkStart w:id="12615" w:name="_ETM_Q17_301530"/>
      <w:bookmarkEnd w:id="12615"/>
      <w:r>
        <w:rPr>
          <w:rFonts w:hint="cs"/>
          <w:rtl/>
        </w:rPr>
        <w:t xml:space="preserve">שהקיף </w:t>
      </w:r>
      <w:bookmarkStart w:id="12616" w:name="_ETM_Q17_302159"/>
      <w:bookmarkEnd w:id="12616"/>
      <w:r>
        <w:rPr>
          <w:rFonts w:hint="cs"/>
          <w:rtl/>
        </w:rPr>
        <w:t xml:space="preserve">את </w:t>
      </w:r>
      <w:bookmarkStart w:id="12617" w:name="_ETM_Q17_302249"/>
      <w:bookmarkEnd w:id="12617"/>
      <w:r>
        <w:rPr>
          <w:rFonts w:hint="cs"/>
          <w:rtl/>
        </w:rPr>
        <w:t xml:space="preserve">עצמו </w:t>
      </w:r>
      <w:bookmarkStart w:id="12618" w:name="_ETM_Q17_302759"/>
      <w:bookmarkEnd w:id="12618"/>
      <w:r>
        <w:rPr>
          <w:rFonts w:hint="cs"/>
          <w:rtl/>
        </w:rPr>
        <w:t>ב</w:t>
      </w:r>
      <w:bookmarkStart w:id="12619" w:name="_ETM_Q17_302939"/>
      <w:bookmarkEnd w:id="12619"/>
      <w:r>
        <w:rPr>
          <w:rFonts w:hint="cs"/>
          <w:rtl/>
        </w:rPr>
        <w:t xml:space="preserve">נביאי </w:t>
      </w:r>
      <w:bookmarkStart w:id="12620" w:name="_ETM_Q17_303420"/>
      <w:bookmarkEnd w:id="12620"/>
      <w:r>
        <w:rPr>
          <w:rFonts w:hint="cs"/>
          <w:rtl/>
        </w:rPr>
        <w:t xml:space="preserve">שקר – </w:t>
      </w:r>
      <w:bookmarkStart w:id="12621" w:name="_ETM_Q17_304270"/>
      <w:bookmarkEnd w:id="12621"/>
      <w:r>
        <w:rPr>
          <w:rFonts w:hint="cs"/>
          <w:rtl/>
        </w:rPr>
        <w:t xml:space="preserve">בשופרות </w:t>
      </w:r>
      <w:bookmarkStart w:id="12622" w:name="_ETM_Q17_305290"/>
      <w:bookmarkEnd w:id="12622"/>
      <w:r>
        <w:rPr>
          <w:rFonts w:hint="cs"/>
          <w:rtl/>
        </w:rPr>
        <w:t xml:space="preserve">של </w:t>
      </w:r>
      <w:bookmarkStart w:id="12623" w:name="_ETM_Q17_305620"/>
      <w:bookmarkEnd w:id="12623"/>
      <w:r>
        <w:rPr>
          <w:rFonts w:hint="cs"/>
          <w:rtl/>
        </w:rPr>
        <w:t xml:space="preserve">אז; </w:t>
      </w:r>
      <w:bookmarkStart w:id="12624" w:name="_ETM_Q17_306590"/>
      <w:bookmarkEnd w:id="12624"/>
      <w:r>
        <w:rPr>
          <w:rFonts w:hint="cs"/>
          <w:rtl/>
        </w:rPr>
        <w:t xml:space="preserve">שלטון </w:t>
      </w:r>
      <w:bookmarkStart w:id="12625" w:name="_ETM_Q17_307310"/>
      <w:bookmarkEnd w:id="12625"/>
      <w:r>
        <w:rPr>
          <w:rFonts w:hint="cs"/>
          <w:rtl/>
        </w:rPr>
        <w:t xml:space="preserve">שהשליך </w:t>
      </w:r>
      <w:bookmarkStart w:id="12626" w:name="_ETM_Q17_308000"/>
      <w:bookmarkEnd w:id="12626"/>
      <w:r>
        <w:rPr>
          <w:rFonts w:hint="cs"/>
          <w:rtl/>
        </w:rPr>
        <w:t xml:space="preserve">לבור </w:t>
      </w:r>
      <w:bookmarkStart w:id="12627" w:name="_ETM_Q17_308419"/>
      <w:bookmarkEnd w:id="12627"/>
      <w:r>
        <w:rPr>
          <w:rFonts w:hint="cs"/>
          <w:rtl/>
        </w:rPr>
        <w:t xml:space="preserve">את </w:t>
      </w:r>
      <w:bookmarkStart w:id="12628" w:name="_ETM_Q17_308540"/>
      <w:bookmarkEnd w:id="12628"/>
      <w:r>
        <w:rPr>
          <w:rFonts w:hint="cs"/>
          <w:rtl/>
        </w:rPr>
        <w:t xml:space="preserve">נביאי </w:t>
      </w:r>
      <w:bookmarkStart w:id="12629" w:name="_ETM_Q17_309050"/>
      <w:bookmarkEnd w:id="12629"/>
      <w:r>
        <w:rPr>
          <w:rFonts w:hint="cs"/>
          <w:rtl/>
        </w:rPr>
        <w:t>האמת.</w:t>
      </w:r>
      <w:bookmarkStart w:id="12630" w:name="_ETM_Q17_310319"/>
      <w:bookmarkStart w:id="12631" w:name="_ETM_Q17_311405"/>
      <w:bookmarkStart w:id="12632" w:name="_ETM_Q17_311528"/>
      <w:bookmarkStart w:id="12633" w:name="_ETM_Q17_311585"/>
      <w:bookmarkStart w:id="12634" w:name="_ETM_Q17_311617"/>
      <w:bookmarkEnd w:id="12630"/>
      <w:bookmarkEnd w:id="12631"/>
      <w:bookmarkEnd w:id="12632"/>
      <w:bookmarkEnd w:id="12633"/>
      <w:bookmarkEnd w:id="12634"/>
      <w:r>
        <w:rPr>
          <w:rFonts w:hint="cs"/>
          <w:rtl/>
        </w:rPr>
        <w:t xml:space="preserve"> אגדות </w:t>
      </w:r>
      <w:bookmarkStart w:id="12635" w:name="_ETM_Q17_310799"/>
      <w:bookmarkEnd w:id="12635"/>
      <w:r>
        <w:rPr>
          <w:rFonts w:hint="cs"/>
          <w:rtl/>
        </w:rPr>
        <w:t xml:space="preserve">חז"ל </w:t>
      </w:r>
      <w:bookmarkStart w:id="12636" w:name="_ETM_Q17_311430"/>
      <w:bookmarkEnd w:id="12636"/>
      <w:r>
        <w:rPr>
          <w:rFonts w:hint="cs"/>
          <w:rtl/>
        </w:rPr>
        <w:t xml:space="preserve">וכתביו </w:t>
      </w:r>
      <w:bookmarkStart w:id="12637" w:name="_ETM_Q17_312060"/>
      <w:bookmarkEnd w:id="12637"/>
      <w:r>
        <w:rPr>
          <w:rFonts w:hint="cs"/>
          <w:rtl/>
        </w:rPr>
        <w:t xml:space="preserve">של </w:t>
      </w:r>
      <w:bookmarkStart w:id="12638" w:name="_ETM_Q17_312269"/>
      <w:bookmarkEnd w:id="12638"/>
      <w:r>
        <w:rPr>
          <w:rFonts w:hint="cs"/>
          <w:rtl/>
        </w:rPr>
        <w:t xml:space="preserve">יוסף </w:t>
      </w:r>
      <w:bookmarkStart w:id="12639" w:name="_ETM_Q17_312599"/>
      <w:bookmarkEnd w:id="12639"/>
      <w:r>
        <w:rPr>
          <w:rFonts w:hint="cs"/>
          <w:rtl/>
        </w:rPr>
        <w:t xml:space="preserve">בן </w:t>
      </w:r>
      <w:bookmarkStart w:id="12640" w:name="_ETM_Q17_312810"/>
      <w:bookmarkEnd w:id="12640"/>
      <w:r>
        <w:rPr>
          <w:rFonts w:hint="cs"/>
          <w:rtl/>
        </w:rPr>
        <w:t xml:space="preserve">מתתיהו </w:t>
      </w:r>
      <w:bookmarkStart w:id="12641" w:name="_ETM_Q17_314020"/>
      <w:bookmarkEnd w:id="12641"/>
      <w:r>
        <w:rPr>
          <w:rFonts w:hint="cs"/>
          <w:rtl/>
        </w:rPr>
        <w:t xml:space="preserve">מלמדים </w:t>
      </w:r>
      <w:bookmarkStart w:id="12642" w:name="_ETM_Q17_314530"/>
      <w:bookmarkEnd w:id="12642"/>
      <w:r>
        <w:rPr>
          <w:rFonts w:hint="cs"/>
          <w:rtl/>
        </w:rPr>
        <w:t xml:space="preserve">אותנו </w:t>
      </w:r>
      <w:bookmarkStart w:id="12643" w:name="_ETM_Q17_314950"/>
      <w:bookmarkEnd w:id="12643"/>
      <w:r>
        <w:rPr>
          <w:rFonts w:hint="cs"/>
          <w:rtl/>
        </w:rPr>
        <w:t xml:space="preserve">כי </w:t>
      </w:r>
      <w:bookmarkStart w:id="12644" w:name="_ETM_Q17_315099"/>
      <w:bookmarkEnd w:id="12644"/>
      <w:r>
        <w:rPr>
          <w:rFonts w:hint="cs"/>
          <w:rtl/>
        </w:rPr>
        <w:t xml:space="preserve">הבית </w:t>
      </w:r>
      <w:bookmarkStart w:id="12645" w:name="_ETM_Q17_315580"/>
      <w:bookmarkEnd w:id="12645"/>
      <w:r>
        <w:rPr>
          <w:rFonts w:hint="cs"/>
          <w:rtl/>
        </w:rPr>
        <w:t xml:space="preserve">השני </w:t>
      </w:r>
      <w:bookmarkStart w:id="12646" w:name="_ETM_Q17_315970"/>
      <w:bookmarkEnd w:id="12646"/>
      <w:r>
        <w:rPr>
          <w:rFonts w:hint="cs"/>
          <w:rtl/>
        </w:rPr>
        <w:t xml:space="preserve">חרב </w:t>
      </w:r>
      <w:bookmarkStart w:id="12647" w:name="_ETM_Q17_316990"/>
      <w:bookmarkEnd w:id="12647"/>
      <w:r>
        <w:rPr>
          <w:rFonts w:hint="cs"/>
          <w:rtl/>
        </w:rPr>
        <w:t xml:space="preserve">בשל </w:t>
      </w:r>
      <w:bookmarkStart w:id="12648" w:name="_ETM_Q17_317410"/>
      <w:bookmarkEnd w:id="12648"/>
      <w:r>
        <w:rPr>
          <w:rFonts w:hint="cs"/>
          <w:rtl/>
        </w:rPr>
        <w:t xml:space="preserve">השתלטותם </w:t>
      </w:r>
      <w:bookmarkStart w:id="12649" w:name="_ETM_Q17_318280"/>
      <w:bookmarkEnd w:id="12649"/>
      <w:r>
        <w:rPr>
          <w:rFonts w:hint="cs"/>
          <w:rtl/>
        </w:rPr>
        <w:t xml:space="preserve">של </w:t>
      </w:r>
      <w:bookmarkStart w:id="12650" w:name="_ETM_Q17_318550"/>
      <w:bookmarkEnd w:id="12650"/>
      <w:r>
        <w:rPr>
          <w:rFonts w:hint="cs"/>
          <w:rtl/>
        </w:rPr>
        <w:t xml:space="preserve">הקנאים </w:t>
      </w:r>
      <w:bookmarkStart w:id="12651" w:name="_ETM_Q17_319870"/>
      <w:bookmarkEnd w:id="12651"/>
      <w:r>
        <w:rPr>
          <w:rFonts w:hint="cs"/>
          <w:rtl/>
        </w:rPr>
        <w:t xml:space="preserve">ובשל </w:t>
      </w:r>
      <w:bookmarkStart w:id="12652" w:name="_ETM_Q17_320410"/>
      <w:bookmarkEnd w:id="12652"/>
      <w:r>
        <w:rPr>
          <w:rFonts w:hint="cs"/>
          <w:rtl/>
        </w:rPr>
        <w:t xml:space="preserve">שתיקת </w:t>
      </w:r>
      <w:bookmarkStart w:id="12653" w:name="_ETM_Q17_320980"/>
      <w:bookmarkEnd w:id="12653"/>
      <w:r>
        <w:rPr>
          <w:rFonts w:hint="cs"/>
          <w:rtl/>
        </w:rPr>
        <w:t xml:space="preserve">החכמים. </w:t>
      </w:r>
      <w:bookmarkStart w:id="12654" w:name="_ETM_Q17_322440"/>
      <w:bookmarkEnd w:id="12654"/>
      <w:r>
        <w:rPr>
          <w:rFonts w:hint="cs"/>
          <w:rtl/>
        </w:rPr>
        <w:t xml:space="preserve">בעשור </w:t>
      </w:r>
      <w:bookmarkStart w:id="12655" w:name="_ETM_Q17_322919"/>
      <w:bookmarkEnd w:id="12655"/>
      <w:r>
        <w:rPr>
          <w:rFonts w:hint="cs"/>
          <w:rtl/>
        </w:rPr>
        <w:t xml:space="preserve">השמיני </w:t>
      </w:r>
      <w:bookmarkStart w:id="12656" w:name="_ETM_Q17_323370"/>
      <w:bookmarkEnd w:id="12656"/>
      <w:r>
        <w:rPr>
          <w:rFonts w:hint="cs"/>
          <w:rtl/>
        </w:rPr>
        <w:t xml:space="preserve">של </w:t>
      </w:r>
      <w:bookmarkStart w:id="12657" w:name="_ETM_Q17_323580"/>
      <w:bookmarkEnd w:id="12657"/>
      <w:r>
        <w:rPr>
          <w:rFonts w:hint="cs"/>
          <w:rtl/>
        </w:rPr>
        <w:t xml:space="preserve">הבית </w:t>
      </w:r>
      <w:bookmarkStart w:id="12658" w:name="_ETM_Q17_324000"/>
      <w:bookmarkEnd w:id="12658"/>
      <w:r>
        <w:rPr>
          <w:rFonts w:hint="cs"/>
          <w:rtl/>
        </w:rPr>
        <w:t xml:space="preserve">השלישי </w:t>
      </w:r>
      <w:bookmarkStart w:id="12659" w:name="_ETM_Q17_325200"/>
      <w:bookmarkEnd w:id="12659"/>
      <w:r>
        <w:rPr>
          <w:rFonts w:hint="cs"/>
          <w:rtl/>
        </w:rPr>
        <w:t xml:space="preserve">אנחנו, </w:t>
      </w:r>
      <w:bookmarkStart w:id="12660" w:name="_ETM_Q17_325800"/>
      <w:bookmarkEnd w:id="12660"/>
      <w:r>
        <w:rPr>
          <w:rFonts w:hint="cs"/>
          <w:rtl/>
        </w:rPr>
        <w:t xml:space="preserve">לצערנו </w:t>
      </w:r>
      <w:bookmarkStart w:id="12661" w:name="_ETM_Q17_327520"/>
      <w:bookmarkEnd w:id="12661"/>
      <w:r>
        <w:rPr>
          <w:rFonts w:hint="cs"/>
          <w:rtl/>
        </w:rPr>
        <w:t xml:space="preserve">ולתדהמתנו, </w:t>
      </w:r>
      <w:bookmarkStart w:id="12662" w:name="_ETM_Q17_329380"/>
      <w:bookmarkEnd w:id="12662"/>
      <w:r>
        <w:rPr>
          <w:rFonts w:hint="cs"/>
          <w:rtl/>
        </w:rPr>
        <w:t xml:space="preserve">מתמודדים </w:t>
      </w:r>
      <w:bookmarkStart w:id="12663" w:name="_ETM_Q17_330310"/>
      <w:bookmarkEnd w:id="12663"/>
      <w:r>
        <w:rPr>
          <w:rFonts w:hint="cs"/>
          <w:rtl/>
        </w:rPr>
        <w:t>בו</w:t>
      </w:r>
      <w:bookmarkStart w:id="12664" w:name="_ETM_Q17_330490"/>
      <w:bookmarkEnd w:id="12664"/>
      <w:r>
        <w:rPr>
          <w:rFonts w:hint="cs"/>
          <w:rtl/>
        </w:rPr>
        <w:t xml:space="preserve">-זמנית </w:t>
      </w:r>
      <w:bookmarkStart w:id="12665" w:name="_ETM_Q17_331639"/>
      <w:bookmarkEnd w:id="12665"/>
      <w:r>
        <w:rPr>
          <w:rFonts w:hint="cs"/>
          <w:rtl/>
        </w:rPr>
        <w:t xml:space="preserve">גם </w:t>
      </w:r>
      <w:bookmarkStart w:id="12666" w:name="_ETM_Q17_331999"/>
      <w:bookmarkEnd w:id="12666"/>
      <w:r>
        <w:rPr>
          <w:rFonts w:hint="cs"/>
          <w:rtl/>
        </w:rPr>
        <w:t xml:space="preserve">עם </w:t>
      </w:r>
      <w:bookmarkStart w:id="12667" w:name="_ETM_Q17_332120"/>
      <w:bookmarkEnd w:id="12667"/>
      <w:r>
        <w:rPr>
          <w:rFonts w:hint="cs"/>
          <w:rtl/>
        </w:rPr>
        <w:t xml:space="preserve">שלטון </w:t>
      </w:r>
      <w:bookmarkStart w:id="12668" w:name="_ETM_Q17_332749"/>
      <w:bookmarkEnd w:id="12668"/>
      <w:r>
        <w:rPr>
          <w:rFonts w:hint="cs"/>
          <w:rtl/>
        </w:rPr>
        <w:t xml:space="preserve">יהיר, </w:t>
      </w:r>
      <w:bookmarkStart w:id="12669" w:name="_ETM_Q17_333379"/>
      <w:bookmarkEnd w:id="12669"/>
      <w:r>
        <w:rPr>
          <w:rFonts w:hint="cs"/>
          <w:rtl/>
        </w:rPr>
        <w:t xml:space="preserve">מושחת </w:t>
      </w:r>
      <w:bookmarkStart w:id="12670" w:name="_ETM_Q17_334099"/>
      <w:bookmarkEnd w:id="12670"/>
      <w:r>
        <w:rPr>
          <w:rFonts w:hint="cs"/>
          <w:rtl/>
        </w:rPr>
        <w:t xml:space="preserve">ותאב </w:t>
      </w:r>
      <w:bookmarkStart w:id="12671" w:name="_ETM_Q17_334519"/>
      <w:bookmarkEnd w:id="12671"/>
      <w:r>
        <w:rPr>
          <w:rFonts w:hint="cs"/>
          <w:rtl/>
        </w:rPr>
        <w:t xml:space="preserve">כוח, </w:t>
      </w:r>
      <w:bookmarkStart w:id="12672" w:name="_ETM_Q17_335520"/>
      <w:bookmarkEnd w:id="12672"/>
      <w:r>
        <w:rPr>
          <w:rFonts w:hint="cs"/>
          <w:rtl/>
        </w:rPr>
        <w:t xml:space="preserve">וגם </w:t>
      </w:r>
      <w:bookmarkStart w:id="12673" w:name="_ETM_Q17_335970"/>
      <w:bookmarkEnd w:id="12673"/>
      <w:r>
        <w:rPr>
          <w:rFonts w:hint="cs"/>
          <w:rtl/>
        </w:rPr>
        <w:t xml:space="preserve">עם </w:t>
      </w:r>
      <w:bookmarkStart w:id="12674" w:name="_ETM_Q17_336090"/>
      <w:bookmarkEnd w:id="12674"/>
      <w:r>
        <w:rPr>
          <w:rFonts w:hint="cs"/>
          <w:rtl/>
        </w:rPr>
        <w:t xml:space="preserve">השתלטותם </w:t>
      </w:r>
      <w:bookmarkStart w:id="12675" w:name="_ETM_Q17_337139"/>
      <w:bookmarkEnd w:id="12675"/>
      <w:r>
        <w:rPr>
          <w:rFonts w:hint="cs"/>
          <w:rtl/>
        </w:rPr>
        <w:t xml:space="preserve">של </w:t>
      </w:r>
      <w:bookmarkStart w:id="12676" w:name="_ETM_Q17_337440"/>
      <w:bookmarkEnd w:id="12676"/>
      <w:r>
        <w:rPr>
          <w:rFonts w:hint="cs"/>
          <w:rtl/>
        </w:rPr>
        <w:t xml:space="preserve">הקנאים </w:t>
      </w:r>
      <w:bookmarkStart w:id="12677" w:name="_ETM_Q17_338130"/>
      <w:bookmarkEnd w:id="12677"/>
      <w:r>
        <w:rPr>
          <w:rFonts w:hint="cs"/>
          <w:rtl/>
        </w:rPr>
        <w:t>והקיצוניים.</w:t>
      </w:r>
      <w:bookmarkStart w:id="12678" w:name="_ETM_Q17_339680"/>
      <w:bookmarkEnd w:id="12678"/>
      <w:r>
        <w:rPr>
          <w:rFonts w:hint="cs"/>
          <w:rtl/>
        </w:rPr>
        <w:t xml:space="preserve"> </w:t>
      </w:r>
      <w:bookmarkStart w:id="12679" w:name="_ETM_Q17_340024"/>
      <w:bookmarkStart w:id="12680" w:name="_ETM_Q17_340079"/>
      <w:bookmarkStart w:id="12681" w:name="_ETM_Q17_340152"/>
      <w:bookmarkStart w:id="12682" w:name="_ETM_Q17_340204"/>
      <w:bookmarkEnd w:id="12679"/>
      <w:bookmarkEnd w:id="12680"/>
      <w:bookmarkEnd w:id="12681"/>
      <w:bookmarkEnd w:id="12682"/>
      <w:r>
        <w:rPr>
          <w:rFonts w:hint="cs"/>
          <w:rtl/>
        </w:rPr>
        <w:t xml:space="preserve">וכן, </w:t>
      </w:r>
      <w:bookmarkStart w:id="12683" w:name="_ETM_Q17_340850"/>
      <w:bookmarkEnd w:id="12683"/>
      <w:r>
        <w:rPr>
          <w:rFonts w:hint="cs"/>
          <w:rtl/>
        </w:rPr>
        <w:t xml:space="preserve">גם </w:t>
      </w:r>
      <w:bookmarkStart w:id="12684" w:name="_ETM_Q17_341270"/>
      <w:bookmarkEnd w:id="12684"/>
      <w:r>
        <w:rPr>
          <w:rFonts w:hint="cs"/>
          <w:rtl/>
        </w:rPr>
        <w:t xml:space="preserve">לנו </w:t>
      </w:r>
      <w:bookmarkStart w:id="12685" w:name="_ETM_Q17_341660"/>
      <w:bookmarkEnd w:id="12685"/>
      <w:r>
        <w:rPr>
          <w:rFonts w:hint="cs"/>
          <w:rtl/>
        </w:rPr>
        <w:t xml:space="preserve">ישנם </w:t>
      </w:r>
      <w:bookmarkStart w:id="12686" w:name="_ETM_Q17_342169"/>
      <w:bookmarkEnd w:id="12686"/>
      <w:r>
        <w:rPr>
          <w:rFonts w:hint="cs"/>
          <w:rtl/>
        </w:rPr>
        <w:t xml:space="preserve">חכמים </w:t>
      </w:r>
      <w:bookmarkStart w:id="12687" w:name="_ETM_Q17_342770"/>
      <w:bookmarkEnd w:id="12687"/>
      <w:r>
        <w:rPr>
          <w:rFonts w:hint="cs"/>
          <w:rtl/>
        </w:rPr>
        <w:t xml:space="preserve">ששותקים, </w:t>
      </w:r>
      <w:bookmarkStart w:id="12688" w:name="_ETM_Q17_343910"/>
      <w:bookmarkEnd w:id="12688"/>
      <w:r>
        <w:rPr>
          <w:rFonts w:hint="cs"/>
          <w:rtl/>
        </w:rPr>
        <w:t xml:space="preserve">ומפחדים </w:t>
      </w:r>
      <w:bookmarkStart w:id="12689" w:name="_ETM_Q17_344810"/>
      <w:bookmarkEnd w:id="12689"/>
      <w:r>
        <w:rPr>
          <w:rFonts w:hint="cs"/>
          <w:rtl/>
        </w:rPr>
        <w:t xml:space="preserve">להתייצב </w:t>
      </w:r>
      <w:bookmarkStart w:id="12690" w:name="_ETM_Q17_345560"/>
      <w:bookmarkEnd w:id="12690"/>
      <w:r>
        <w:rPr>
          <w:rFonts w:hint="cs"/>
          <w:rtl/>
        </w:rPr>
        <w:t xml:space="preserve">באומץ </w:t>
      </w:r>
      <w:bookmarkStart w:id="12691" w:name="_ETM_Q17_346590"/>
      <w:bookmarkEnd w:id="12691"/>
      <w:r>
        <w:rPr>
          <w:rFonts w:hint="cs"/>
          <w:rtl/>
        </w:rPr>
        <w:t xml:space="preserve">מול </w:t>
      </w:r>
      <w:bookmarkStart w:id="12692" w:name="_ETM_Q17_347010"/>
      <w:bookmarkEnd w:id="12692"/>
      <w:r>
        <w:rPr>
          <w:rFonts w:hint="cs"/>
          <w:rtl/>
        </w:rPr>
        <w:t xml:space="preserve">שורפי </w:t>
      </w:r>
      <w:bookmarkStart w:id="12693" w:name="_ETM_Q17_347610"/>
      <w:bookmarkEnd w:id="12693"/>
      <w:r>
        <w:rPr>
          <w:rFonts w:hint="cs"/>
          <w:rtl/>
        </w:rPr>
        <w:t xml:space="preserve">האסמים. </w:t>
      </w:r>
      <w:bookmarkStart w:id="12694" w:name="_ETM_Q17_348810"/>
      <w:bookmarkEnd w:id="12694"/>
      <w:r>
        <w:rPr>
          <w:rFonts w:hint="cs"/>
          <w:rtl/>
        </w:rPr>
        <w:t xml:space="preserve">אחד </w:t>
      </w:r>
      <w:bookmarkStart w:id="12695" w:name="_ETM_Q17_350006"/>
      <w:bookmarkEnd w:id="12695"/>
      <w:r>
        <w:rPr>
          <w:rFonts w:hint="cs"/>
          <w:rtl/>
        </w:rPr>
        <w:t xml:space="preserve">מהם </w:t>
      </w:r>
      <w:bookmarkStart w:id="12696" w:name="_ETM_Q17_349620"/>
      <w:bookmarkEnd w:id="12696"/>
      <w:r>
        <w:rPr>
          <w:rFonts w:hint="cs"/>
          <w:rtl/>
        </w:rPr>
        <w:t xml:space="preserve">ניצב </w:t>
      </w:r>
      <w:bookmarkStart w:id="12697" w:name="_ETM_Q17_350220"/>
      <w:bookmarkEnd w:id="12697"/>
      <w:r>
        <w:rPr>
          <w:rFonts w:hint="cs"/>
          <w:rtl/>
        </w:rPr>
        <w:t xml:space="preserve">כאן </w:t>
      </w:r>
      <w:bookmarkStart w:id="12698" w:name="_ETM_Q17_350669"/>
      <w:bookmarkEnd w:id="12698"/>
      <w:r>
        <w:rPr>
          <w:rFonts w:hint="cs"/>
          <w:rtl/>
        </w:rPr>
        <w:t xml:space="preserve">בירכתי </w:t>
      </w:r>
      <w:bookmarkStart w:id="12699" w:name="_ETM_Q17_351510"/>
      <w:bookmarkEnd w:id="12699"/>
      <w:r>
        <w:rPr>
          <w:rFonts w:hint="cs"/>
          <w:rtl/>
        </w:rPr>
        <w:t xml:space="preserve">המליאה. </w:t>
      </w:r>
      <w:bookmarkStart w:id="12700" w:name="_ETM_Q17_352980"/>
      <w:bookmarkEnd w:id="12700"/>
      <w:r>
        <w:rPr>
          <w:rFonts w:hint="cs"/>
          <w:rtl/>
        </w:rPr>
        <w:t xml:space="preserve">וכן, </w:t>
      </w:r>
      <w:bookmarkStart w:id="12701" w:name="_ETM_Q17_354209"/>
      <w:bookmarkEnd w:id="12701"/>
      <w:r>
        <w:rPr>
          <w:rFonts w:hint="cs"/>
          <w:rtl/>
        </w:rPr>
        <w:t xml:space="preserve">הכוונה </w:t>
      </w:r>
      <w:bookmarkStart w:id="12702" w:name="_ETM_Q17_354959"/>
      <w:bookmarkEnd w:id="12702"/>
      <w:r>
        <w:rPr>
          <w:rFonts w:hint="cs"/>
          <w:rtl/>
        </w:rPr>
        <w:t xml:space="preserve">שלנו </w:t>
      </w:r>
      <w:bookmarkStart w:id="12703" w:name="_ETM_Q17_355620"/>
      <w:bookmarkEnd w:id="12703"/>
      <w:r>
        <w:rPr>
          <w:rFonts w:hint="cs"/>
          <w:rtl/>
        </w:rPr>
        <w:t xml:space="preserve">היא </w:t>
      </w:r>
      <w:bookmarkStart w:id="12704" w:name="_ETM_Q17_355739"/>
      <w:bookmarkEnd w:id="12704"/>
      <w:r>
        <w:rPr>
          <w:rFonts w:hint="cs"/>
          <w:rtl/>
        </w:rPr>
        <w:t xml:space="preserve">אליך, </w:t>
      </w:r>
      <w:bookmarkStart w:id="12705" w:name="_ETM_Q17_356730"/>
      <w:bookmarkEnd w:id="12705"/>
      <w:r>
        <w:rPr>
          <w:rFonts w:hint="cs"/>
          <w:rtl/>
        </w:rPr>
        <w:t xml:space="preserve">שר </w:t>
      </w:r>
      <w:bookmarkStart w:id="12706" w:name="_ETM_Q17_357120"/>
      <w:bookmarkEnd w:id="12706"/>
      <w:r>
        <w:rPr>
          <w:rFonts w:hint="cs"/>
          <w:rtl/>
        </w:rPr>
        <w:t xml:space="preserve">החוץ </w:t>
      </w:r>
      <w:bookmarkStart w:id="12707" w:name="_ETM_Q17_357599"/>
      <w:bookmarkEnd w:id="12707"/>
      <w:r>
        <w:rPr>
          <w:rFonts w:hint="cs"/>
          <w:rtl/>
        </w:rPr>
        <w:t xml:space="preserve">אלי כהן, </w:t>
      </w:r>
      <w:bookmarkStart w:id="12708" w:name="_ETM_Q17_358650"/>
      <w:bookmarkEnd w:id="12708"/>
      <w:r>
        <w:rPr>
          <w:rFonts w:hint="cs"/>
          <w:rtl/>
        </w:rPr>
        <w:t xml:space="preserve">וגם </w:t>
      </w:r>
      <w:bookmarkStart w:id="12709" w:name="_ETM_Q17_359129"/>
      <w:bookmarkEnd w:id="12709"/>
      <w:r>
        <w:rPr>
          <w:rFonts w:hint="cs"/>
          <w:rtl/>
        </w:rPr>
        <w:t xml:space="preserve">לשר </w:t>
      </w:r>
      <w:bookmarkStart w:id="12710" w:name="_ETM_Q17_359489"/>
      <w:bookmarkEnd w:id="12710"/>
      <w:r>
        <w:rPr>
          <w:rFonts w:hint="cs"/>
          <w:rtl/>
        </w:rPr>
        <w:t xml:space="preserve">הביטחון </w:t>
      </w:r>
      <w:bookmarkStart w:id="12711" w:name="_ETM_Q17_360150"/>
      <w:bookmarkEnd w:id="12711"/>
      <w:r>
        <w:rPr>
          <w:rFonts w:hint="cs"/>
          <w:rtl/>
        </w:rPr>
        <w:t xml:space="preserve">יואב </w:t>
      </w:r>
      <w:bookmarkStart w:id="12712" w:name="_ETM_Q17_360540"/>
      <w:bookmarkEnd w:id="12712"/>
      <w:r>
        <w:rPr>
          <w:rFonts w:hint="cs"/>
          <w:rtl/>
        </w:rPr>
        <w:t xml:space="preserve">גלנט, </w:t>
      </w:r>
      <w:bookmarkStart w:id="12713" w:name="_ETM_Q17_361199"/>
      <w:bookmarkEnd w:id="12713"/>
      <w:r>
        <w:rPr>
          <w:rFonts w:hint="cs"/>
          <w:rtl/>
        </w:rPr>
        <w:t xml:space="preserve">לחבר </w:t>
      </w:r>
      <w:bookmarkStart w:id="12714" w:name="_ETM_Q17_361650"/>
      <w:bookmarkEnd w:id="12714"/>
      <w:r>
        <w:rPr>
          <w:rFonts w:hint="cs"/>
          <w:rtl/>
        </w:rPr>
        <w:t xml:space="preserve">הכנסת </w:t>
      </w:r>
      <w:bookmarkStart w:id="12715" w:name="_ETM_Q17_362219"/>
      <w:bookmarkEnd w:id="12715"/>
      <w:r>
        <w:rPr>
          <w:rFonts w:hint="cs"/>
          <w:rtl/>
        </w:rPr>
        <w:t xml:space="preserve">אדלשטיין, </w:t>
      </w:r>
      <w:bookmarkStart w:id="12716" w:name="_ETM_Q17_363180"/>
      <w:bookmarkEnd w:id="12716"/>
      <w:r>
        <w:rPr>
          <w:rFonts w:hint="cs"/>
          <w:rtl/>
        </w:rPr>
        <w:t xml:space="preserve">לשר </w:t>
      </w:r>
      <w:bookmarkStart w:id="12717" w:name="_ETM_Q17_363689"/>
      <w:bookmarkEnd w:id="12717"/>
      <w:r>
        <w:rPr>
          <w:rFonts w:hint="cs"/>
          <w:rtl/>
        </w:rPr>
        <w:t xml:space="preserve">ברקת, </w:t>
      </w:r>
      <w:bookmarkStart w:id="12718" w:name="_ETM_Q17_364379"/>
      <w:bookmarkEnd w:id="12718"/>
      <w:r>
        <w:rPr>
          <w:rFonts w:hint="cs"/>
          <w:rtl/>
        </w:rPr>
        <w:t xml:space="preserve">לחבר </w:t>
      </w:r>
      <w:bookmarkStart w:id="12719" w:name="_ETM_Q17_364799"/>
      <w:bookmarkEnd w:id="12719"/>
      <w:r>
        <w:rPr>
          <w:rFonts w:hint="cs"/>
          <w:rtl/>
        </w:rPr>
        <w:t xml:space="preserve">הכנסת </w:t>
      </w:r>
      <w:bookmarkStart w:id="12720" w:name="_ETM_Q17_365279"/>
      <w:bookmarkEnd w:id="12720"/>
      <w:r>
        <w:rPr>
          <w:rFonts w:hint="cs"/>
          <w:rtl/>
        </w:rPr>
        <w:t xml:space="preserve">ביטן, </w:t>
      </w:r>
      <w:bookmarkStart w:id="12721" w:name="_ETM_Q17_366090"/>
      <w:bookmarkEnd w:id="12721"/>
      <w:r>
        <w:rPr>
          <w:rFonts w:hint="cs"/>
          <w:rtl/>
        </w:rPr>
        <w:t xml:space="preserve">לשר </w:t>
      </w:r>
      <w:bookmarkStart w:id="12722" w:name="_ETM_Q17_366510"/>
      <w:bookmarkEnd w:id="12722"/>
      <w:r>
        <w:rPr>
          <w:rFonts w:hint="cs"/>
          <w:rtl/>
        </w:rPr>
        <w:t xml:space="preserve">אופיר </w:t>
      </w:r>
      <w:bookmarkStart w:id="12723" w:name="_ETM_Q17_366870"/>
      <w:bookmarkEnd w:id="12723"/>
      <w:r>
        <w:rPr>
          <w:rFonts w:hint="cs"/>
          <w:rtl/>
        </w:rPr>
        <w:t xml:space="preserve">אקוניס, </w:t>
      </w:r>
      <w:bookmarkStart w:id="12724" w:name="_ETM_Q17_367799"/>
      <w:bookmarkEnd w:id="12724"/>
      <w:r>
        <w:rPr>
          <w:rFonts w:hint="cs"/>
          <w:rtl/>
        </w:rPr>
        <w:t xml:space="preserve">לכל </w:t>
      </w:r>
      <w:bookmarkStart w:id="12725" w:name="_ETM_Q17_368400"/>
      <w:bookmarkEnd w:id="12725"/>
      <w:r>
        <w:rPr>
          <w:rFonts w:hint="cs"/>
          <w:rtl/>
        </w:rPr>
        <w:t xml:space="preserve">חבריכם </w:t>
      </w:r>
      <w:r>
        <w:t>–</w:t>
      </w:r>
      <w:r>
        <w:rPr>
          <w:rFonts w:hint="cs"/>
          <w:rtl/>
        </w:rPr>
        <w:t xml:space="preserve"> </w:t>
      </w:r>
      <w:bookmarkStart w:id="12726" w:name="_ETM_Q17_369719"/>
      <w:bookmarkEnd w:id="12726"/>
      <w:r>
        <w:rPr>
          <w:rFonts w:hint="cs"/>
          <w:rtl/>
        </w:rPr>
        <w:t xml:space="preserve">אתם </w:t>
      </w:r>
      <w:bookmarkStart w:id="12727" w:name="_ETM_Q17_370169"/>
      <w:bookmarkEnd w:id="12727"/>
      <w:r>
        <w:rPr>
          <w:rFonts w:hint="cs"/>
          <w:rtl/>
        </w:rPr>
        <w:t xml:space="preserve">משולים </w:t>
      </w:r>
      <w:bookmarkStart w:id="12728" w:name="_ETM_Q17_370769"/>
      <w:bookmarkEnd w:id="12728"/>
      <w:r>
        <w:rPr>
          <w:rFonts w:hint="cs"/>
          <w:rtl/>
        </w:rPr>
        <w:t xml:space="preserve">לאותם </w:t>
      </w:r>
      <w:bookmarkStart w:id="12729" w:name="_ETM_Q17_371219"/>
      <w:bookmarkEnd w:id="12729"/>
      <w:r>
        <w:rPr>
          <w:rFonts w:hint="cs"/>
          <w:rtl/>
        </w:rPr>
        <w:t xml:space="preserve">חכמים </w:t>
      </w:r>
      <w:bookmarkStart w:id="12730" w:name="_ETM_Q17_371790"/>
      <w:bookmarkEnd w:id="12730"/>
      <w:r>
        <w:rPr>
          <w:rFonts w:hint="cs"/>
          <w:rtl/>
        </w:rPr>
        <w:t xml:space="preserve">מסיפור </w:t>
      </w:r>
      <w:bookmarkStart w:id="12731" w:name="_ETM_Q17_372329"/>
      <w:bookmarkEnd w:id="12731"/>
      <w:r>
        <w:rPr>
          <w:rFonts w:hint="cs"/>
          <w:rtl/>
        </w:rPr>
        <w:t xml:space="preserve">קמצא </w:t>
      </w:r>
      <w:bookmarkStart w:id="12732" w:name="_ETM_Q17_372840"/>
      <w:bookmarkEnd w:id="12732"/>
      <w:r>
        <w:rPr>
          <w:rFonts w:hint="cs"/>
          <w:rtl/>
        </w:rPr>
        <w:t xml:space="preserve">ובר-קמצא </w:t>
      </w:r>
      <w:bookmarkStart w:id="12733" w:name="_ETM_Q17_374200"/>
      <w:bookmarkEnd w:id="12733"/>
      <w:r>
        <w:rPr>
          <w:rFonts w:hint="cs"/>
          <w:rtl/>
        </w:rPr>
        <w:t xml:space="preserve">שלא </w:t>
      </w:r>
      <w:bookmarkStart w:id="12734" w:name="_ETM_Q17_374650"/>
      <w:bookmarkEnd w:id="12734"/>
      <w:r>
        <w:rPr>
          <w:rFonts w:hint="cs"/>
          <w:rtl/>
        </w:rPr>
        <w:t xml:space="preserve">העזו </w:t>
      </w:r>
      <w:bookmarkStart w:id="12735" w:name="_ETM_Q17_374950"/>
      <w:bookmarkEnd w:id="12735"/>
      <w:r>
        <w:rPr>
          <w:rFonts w:hint="cs"/>
          <w:rtl/>
        </w:rPr>
        <w:t xml:space="preserve">להשמיע </w:t>
      </w:r>
      <w:bookmarkStart w:id="12736" w:name="_ETM_Q17_375519"/>
      <w:bookmarkEnd w:id="12736"/>
      <w:r>
        <w:rPr>
          <w:rFonts w:hint="cs"/>
          <w:rtl/>
        </w:rPr>
        <w:t xml:space="preserve">קול </w:t>
      </w:r>
      <w:bookmarkStart w:id="12737" w:name="_ETM_Q17_376329"/>
      <w:bookmarkEnd w:id="12737"/>
      <w:r>
        <w:rPr>
          <w:rFonts w:hint="cs"/>
          <w:rtl/>
        </w:rPr>
        <w:t xml:space="preserve">והביאו </w:t>
      </w:r>
      <w:bookmarkStart w:id="12738" w:name="_ETM_Q17_376840"/>
      <w:bookmarkEnd w:id="12738"/>
      <w:r>
        <w:rPr>
          <w:rFonts w:hint="cs"/>
          <w:rtl/>
        </w:rPr>
        <w:t xml:space="preserve">לחורבנה </w:t>
      </w:r>
      <w:bookmarkStart w:id="12739" w:name="_ETM_Q17_377469"/>
      <w:bookmarkEnd w:id="12739"/>
      <w:r>
        <w:rPr>
          <w:rFonts w:hint="cs"/>
          <w:rtl/>
        </w:rPr>
        <w:t xml:space="preserve">של </w:t>
      </w:r>
      <w:bookmarkStart w:id="12740" w:name="_ETM_Q17_377709"/>
      <w:bookmarkEnd w:id="12740"/>
      <w:r>
        <w:rPr>
          <w:rFonts w:hint="cs"/>
          <w:rtl/>
        </w:rPr>
        <w:t>ירושלים.</w:t>
      </w:r>
      <w:bookmarkStart w:id="12741" w:name="_ETM_Q17_379139"/>
      <w:bookmarkEnd w:id="12741"/>
      <w:r>
        <w:rPr>
          <w:rFonts w:hint="cs"/>
          <w:rtl/>
        </w:rPr>
        <w:t xml:space="preserve"> </w:t>
      </w:r>
      <w:bookmarkStart w:id="12742" w:name="_ETM_Q17_379341"/>
      <w:bookmarkStart w:id="12743" w:name="_ETM_Q17_379426"/>
      <w:bookmarkStart w:id="12744" w:name="_ETM_Q17_379454"/>
      <w:bookmarkStart w:id="12745" w:name="_ETM_Q17_379521"/>
      <w:bookmarkEnd w:id="12742"/>
      <w:bookmarkEnd w:id="12743"/>
      <w:bookmarkEnd w:id="12744"/>
      <w:bookmarkEnd w:id="12745"/>
    </w:p>
    <w:p w:rsidR="000C5C1F" w:rsidRDefault="000C5C1F" w:rsidP="000C5C1F">
      <w:pPr>
        <w:rPr>
          <w:rtl/>
        </w:rPr>
      </w:pPr>
    </w:p>
    <w:p w:rsidR="000C5C1F" w:rsidRDefault="000C5C1F" w:rsidP="000C5C1F">
      <w:pPr>
        <w:rPr>
          <w:rtl/>
        </w:rPr>
      </w:pPr>
      <w:r>
        <w:rPr>
          <w:rFonts w:hint="cs"/>
          <w:rtl/>
        </w:rPr>
        <w:t xml:space="preserve">אבל </w:t>
      </w:r>
      <w:bookmarkStart w:id="12746" w:name="_ETM_Q17_379470"/>
      <w:bookmarkEnd w:id="12746"/>
      <w:r>
        <w:rPr>
          <w:rFonts w:hint="cs"/>
          <w:rtl/>
        </w:rPr>
        <w:t xml:space="preserve">אנחנו – </w:t>
      </w:r>
      <w:bookmarkStart w:id="12747" w:name="_ETM_Q17_380459"/>
      <w:bookmarkEnd w:id="12747"/>
      <w:r>
        <w:rPr>
          <w:rFonts w:hint="cs"/>
          <w:rtl/>
        </w:rPr>
        <w:t xml:space="preserve">בניגוד </w:t>
      </w:r>
      <w:bookmarkStart w:id="12748" w:name="_ETM_Q17_381060"/>
      <w:bookmarkEnd w:id="12748"/>
      <w:r>
        <w:rPr>
          <w:rFonts w:hint="cs"/>
          <w:rtl/>
        </w:rPr>
        <w:t xml:space="preserve">אליכם, </w:t>
      </w:r>
      <w:bookmarkStart w:id="12749" w:name="_ETM_Q17_381720"/>
      <w:bookmarkEnd w:id="12749"/>
      <w:r>
        <w:rPr>
          <w:rFonts w:hint="cs"/>
          <w:rtl/>
        </w:rPr>
        <w:t xml:space="preserve">חבורת </w:t>
      </w:r>
      <w:bookmarkStart w:id="12750" w:name="_ETM_Q17_382349"/>
      <w:bookmarkEnd w:id="12750"/>
      <w:r>
        <w:rPr>
          <w:rFonts w:hint="cs"/>
          <w:rtl/>
        </w:rPr>
        <w:t xml:space="preserve">מנזר </w:t>
      </w:r>
      <w:bookmarkStart w:id="12751" w:name="_ETM_Q17_382830"/>
      <w:bookmarkEnd w:id="12751"/>
      <w:r>
        <w:rPr>
          <w:rFonts w:hint="cs"/>
          <w:rtl/>
        </w:rPr>
        <w:t xml:space="preserve">השתקנים – </w:t>
      </w:r>
      <w:bookmarkStart w:id="12752" w:name="_ETM_Q17_384110"/>
      <w:bookmarkEnd w:id="12752"/>
      <w:r>
        <w:rPr>
          <w:rFonts w:hint="cs"/>
          <w:rtl/>
        </w:rPr>
        <w:t xml:space="preserve">אנחנו </w:t>
      </w:r>
      <w:bookmarkStart w:id="12753" w:name="_ETM_Q17_384650"/>
      <w:bookmarkEnd w:id="12753"/>
      <w:r>
        <w:rPr>
          <w:rFonts w:hint="cs"/>
          <w:rtl/>
        </w:rPr>
        <w:t xml:space="preserve">לא </w:t>
      </w:r>
      <w:bookmarkStart w:id="12754" w:name="_ETM_Q17_384769"/>
      <w:bookmarkEnd w:id="12754"/>
      <w:r>
        <w:rPr>
          <w:rFonts w:hint="cs"/>
          <w:rtl/>
        </w:rPr>
        <w:t xml:space="preserve">נשתוק, </w:t>
      </w:r>
      <w:bookmarkStart w:id="12755" w:name="_ETM_Q17_385989"/>
      <w:bookmarkEnd w:id="12755"/>
      <w:r>
        <w:rPr>
          <w:rFonts w:hint="cs"/>
          <w:rtl/>
        </w:rPr>
        <w:t xml:space="preserve">לא </w:t>
      </w:r>
      <w:bookmarkStart w:id="12756" w:name="_ETM_Q17_386260"/>
      <w:bookmarkEnd w:id="12756"/>
      <w:r>
        <w:rPr>
          <w:rFonts w:hint="cs"/>
          <w:rtl/>
        </w:rPr>
        <w:t xml:space="preserve">בוועדת </w:t>
      </w:r>
      <w:bookmarkStart w:id="12757" w:name="_ETM_Q17_386799"/>
      <w:bookmarkEnd w:id="12757"/>
      <w:r>
        <w:rPr>
          <w:rFonts w:hint="cs"/>
          <w:rtl/>
        </w:rPr>
        <w:t xml:space="preserve">החוקה </w:t>
      </w:r>
      <w:bookmarkStart w:id="12758" w:name="_ETM_Q17_387790"/>
      <w:bookmarkEnd w:id="12758"/>
      <w:r>
        <w:rPr>
          <w:rFonts w:hint="cs"/>
          <w:rtl/>
        </w:rPr>
        <w:t xml:space="preserve">ולא </w:t>
      </w:r>
      <w:bookmarkStart w:id="12759" w:name="_ETM_Q17_388120"/>
      <w:bookmarkEnd w:id="12759"/>
      <w:r>
        <w:rPr>
          <w:rFonts w:hint="cs"/>
          <w:rtl/>
        </w:rPr>
        <w:t xml:space="preserve">במליאה </w:t>
      </w:r>
      <w:bookmarkStart w:id="12760" w:name="_ETM_Q17_389199"/>
      <w:bookmarkEnd w:id="12760"/>
      <w:r>
        <w:rPr>
          <w:rFonts w:hint="cs"/>
          <w:rtl/>
        </w:rPr>
        <w:t xml:space="preserve">ובוודאי </w:t>
      </w:r>
      <w:bookmarkStart w:id="12761" w:name="_ETM_Q17_389799"/>
      <w:bookmarkEnd w:id="12761"/>
      <w:r>
        <w:rPr>
          <w:rFonts w:hint="cs"/>
          <w:rtl/>
        </w:rPr>
        <w:t xml:space="preserve">לא </w:t>
      </w:r>
      <w:bookmarkStart w:id="12762" w:name="_ETM_Q17_389979"/>
      <w:bookmarkEnd w:id="12762"/>
      <w:r>
        <w:rPr>
          <w:rFonts w:hint="cs"/>
          <w:rtl/>
        </w:rPr>
        <w:t xml:space="preserve">ברחובות. </w:t>
      </w:r>
      <w:bookmarkStart w:id="12763" w:name="_ETM_Q17_391269"/>
      <w:bookmarkEnd w:id="12763"/>
      <w:r>
        <w:rPr>
          <w:rFonts w:hint="cs"/>
          <w:rtl/>
        </w:rPr>
        <w:t xml:space="preserve">הימים </w:t>
      </w:r>
      <w:bookmarkStart w:id="12764" w:name="_ETM_Q17_391780"/>
      <w:bookmarkEnd w:id="12764"/>
      <w:r>
        <w:rPr>
          <w:rFonts w:hint="cs"/>
          <w:rtl/>
        </w:rPr>
        <w:t xml:space="preserve">האלה </w:t>
      </w:r>
      <w:bookmarkStart w:id="12765" w:name="_ETM_Q17_392410"/>
      <w:bookmarkEnd w:id="12765"/>
      <w:r>
        <w:rPr>
          <w:rFonts w:hint="cs"/>
          <w:rtl/>
        </w:rPr>
        <w:t xml:space="preserve">הם ימים </w:t>
      </w:r>
      <w:bookmarkStart w:id="12766" w:name="_ETM_Q17_392739"/>
      <w:bookmarkEnd w:id="12766"/>
      <w:r>
        <w:rPr>
          <w:rFonts w:hint="cs"/>
          <w:rtl/>
        </w:rPr>
        <w:t xml:space="preserve">של </w:t>
      </w:r>
      <w:bookmarkStart w:id="12767" w:name="_ETM_Q17_392950"/>
      <w:bookmarkEnd w:id="12767"/>
      <w:r>
        <w:rPr>
          <w:rFonts w:hint="cs"/>
          <w:rtl/>
        </w:rPr>
        <w:t xml:space="preserve">מאבק </w:t>
      </w:r>
      <w:bookmarkStart w:id="12768" w:name="_ETM_Q17_393430"/>
      <w:bookmarkEnd w:id="12768"/>
      <w:r>
        <w:rPr>
          <w:rFonts w:hint="cs"/>
          <w:rtl/>
        </w:rPr>
        <w:t xml:space="preserve">דמוקרטי </w:t>
      </w:r>
      <w:bookmarkStart w:id="12769" w:name="_ETM_Q17_394150"/>
      <w:bookmarkEnd w:id="12769"/>
      <w:r>
        <w:rPr>
          <w:rFonts w:hint="cs"/>
          <w:rtl/>
        </w:rPr>
        <w:t xml:space="preserve">מפואר, </w:t>
      </w:r>
      <w:bookmarkStart w:id="12770" w:name="_ETM_Q17_395290"/>
      <w:bookmarkEnd w:id="12770"/>
      <w:r>
        <w:rPr>
          <w:rFonts w:hint="cs"/>
          <w:rtl/>
        </w:rPr>
        <w:t xml:space="preserve">מפואר </w:t>
      </w:r>
      <w:bookmarkStart w:id="12771" w:name="_ETM_Q17_396040"/>
      <w:bookmarkEnd w:id="12771"/>
      <w:r>
        <w:rPr>
          <w:rFonts w:hint="cs"/>
          <w:rtl/>
        </w:rPr>
        <w:t xml:space="preserve">ותקיף,  </w:t>
      </w:r>
      <w:bookmarkStart w:id="12772" w:name="_ETM_Q17_397040"/>
      <w:bookmarkEnd w:id="12772"/>
      <w:r>
        <w:rPr>
          <w:rFonts w:hint="cs"/>
          <w:rtl/>
        </w:rPr>
        <w:t xml:space="preserve">להדיפת </w:t>
      </w:r>
      <w:bookmarkStart w:id="12773" w:name="_ETM_Q17_398120"/>
      <w:bookmarkEnd w:id="12773"/>
      <w:r>
        <w:rPr>
          <w:rFonts w:hint="cs"/>
          <w:rtl/>
        </w:rPr>
        <w:t xml:space="preserve">הקנאים </w:t>
      </w:r>
      <w:bookmarkStart w:id="12774" w:name="_ETM_Q17_398780"/>
      <w:bookmarkEnd w:id="12774"/>
      <w:r>
        <w:rPr>
          <w:rFonts w:hint="cs"/>
          <w:rtl/>
        </w:rPr>
        <w:t xml:space="preserve">לאחור, </w:t>
      </w:r>
      <w:bookmarkStart w:id="12775" w:name="_ETM_Q17_399920"/>
      <w:bookmarkEnd w:id="12775"/>
      <w:r>
        <w:rPr>
          <w:rFonts w:hint="cs"/>
          <w:rtl/>
        </w:rPr>
        <w:t xml:space="preserve">להחזרת </w:t>
      </w:r>
      <w:bookmarkStart w:id="12776" w:name="_ETM_Q17_400760"/>
      <w:bookmarkEnd w:id="12776"/>
      <w:r>
        <w:rPr>
          <w:rFonts w:hint="cs"/>
          <w:rtl/>
        </w:rPr>
        <w:t xml:space="preserve">הקיצוניים </w:t>
      </w:r>
      <w:bookmarkStart w:id="12777" w:name="_ETM_Q17_401480"/>
      <w:bookmarkEnd w:id="12777"/>
      <w:r>
        <w:rPr>
          <w:rFonts w:hint="cs"/>
          <w:rtl/>
        </w:rPr>
        <w:t xml:space="preserve">לשוליים, </w:t>
      </w:r>
      <w:bookmarkStart w:id="12778" w:name="_ETM_Q17_402670"/>
      <w:bookmarkEnd w:id="12778"/>
      <w:r>
        <w:rPr>
          <w:rFonts w:hint="cs"/>
          <w:rtl/>
        </w:rPr>
        <w:t xml:space="preserve">לריסון </w:t>
      </w:r>
      <w:bookmarkStart w:id="12779" w:name="_ETM_Q17_403420"/>
      <w:bookmarkStart w:id="12780" w:name="_ETM_Q17_403989"/>
      <w:bookmarkEnd w:id="12779"/>
      <w:bookmarkEnd w:id="12780"/>
      <w:r>
        <w:rPr>
          <w:rFonts w:hint="cs"/>
          <w:rtl/>
        </w:rPr>
        <w:t xml:space="preserve">תאוותם </w:t>
      </w:r>
      <w:bookmarkStart w:id="12781" w:name="_ETM_Q17_404260"/>
      <w:bookmarkEnd w:id="12781"/>
      <w:r>
        <w:rPr>
          <w:rFonts w:hint="cs"/>
          <w:rtl/>
        </w:rPr>
        <w:t xml:space="preserve">של </w:t>
      </w:r>
      <w:bookmarkStart w:id="12782" w:name="_ETM_Q17_404499"/>
      <w:bookmarkEnd w:id="12782"/>
      <w:r>
        <w:rPr>
          <w:rFonts w:hint="cs"/>
          <w:rtl/>
        </w:rPr>
        <w:t xml:space="preserve">המושחתים. </w:t>
      </w:r>
      <w:bookmarkStart w:id="12783" w:name="_ETM_Q17_406120"/>
      <w:bookmarkStart w:id="12784" w:name="_ETM_Q17_387210"/>
      <w:bookmarkStart w:id="12785" w:name="_ETM_Q17_387279"/>
      <w:bookmarkStart w:id="12786" w:name="_ETM_Q17_387325"/>
      <w:bookmarkStart w:id="12787" w:name="_ETM_Q17_387378"/>
      <w:bookmarkEnd w:id="12783"/>
      <w:bookmarkEnd w:id="12784"/>
      <w:bookmarkEnd w:id="12785"/>
      <w:bookmarkEnd w:id="12786"/>
      <w:bookmarkEnd w:id="12787"/>
      <w:r>
        <w:rPr>
          <w:rFonts w:hint="cs"/>
          <w:rtl/>
        </w:rPr>
        <w:t xml:space="preserve">אנחנו </w:t>
      </w:r>
      <w:bookmarkStart w:id="12788" w:name="_ETM_Q17_407459"/>
      <w:bookmarkEnd w:id="12788"/>
      <w:r>
        <w:rPr>
          <w:rFonts w:hint="cs"/>
          <w:rtl/>
        </w:rPr>
        <w:t xml:space="preserve">ומאות </w:t>
      </w:r>
      <w:bookmarkStart w:id="12789" w:name="_ETM_Q17_408120"/>
      <w:bookmarkEnd w:id="12789"/>
      <w:r>
        <w:rPr>
          <w:rFonts w:hint="cs"/>
          <w:rtl/>
        </w:rPr>
        <w:t xml:space="preserve">אלפים, </w:t>
      </w:r>
      <w:bookmarkStart w:id="12790" w:name="_ETM_Q17_408809"/>
      <w:bookmarkEnd w:id="12790"/>
      <w:r>
        <w:rPr>
          <w:rFonts w:hint="cs"/>
          <w:rtl/>
        </w:rPr>
        <w:t xml:space="preserve">מיליונים של </w:t>
      </w:r>
      <w:bookmarkStart w:id="12791" w:name="_ETM_Q17_409829"/>
      <w:bookmarkEnd w:id="12791"/>
      <w:r>
        <w:rPr>
          <w:rFonts w:hint="cs"/>
          <w:rtl/>
        </w:rPr>
        <w:t xml:space="preserve">ישראלים, </w:t>
      </w:r>
      <w:bookmarkStart w:id="12792" w:name="_ETM_Q17_411269"/>
      <w:bookmarkEnd w:id="12792"/>
      <w:r>
        <w:rPr>
          <w:rFonts w:hint="cs"/>
          <w:rtl/>
        </w:rPr>
        <w:t xml:space="preserve">יצאנו </w:t>
      </w:r>
      <w:bookmarkStart w:id="12793" w:name="_ETM_Q17_411870"/>
      <w:bookmarkEnd w:id="12793"/>
      <w:r>
        <w:rPr>
          <w:rFonts w:hint="cs"/>
          <w:rtl/>
        </w:rPr>
        <w:t xml:space="preserve">לפני </w:t>
      </w:r>
      <w:bookmarkStart w:id="12794" w:name="_ETM_Q17_412260"/>
      <w:bookmarkEnd w:id="12794"/>
      <w:r>
        <w:rPr>
          <w:rFonts w:hint="cs"/>
          <w:rtl/>
        </w:rPr>
        <w:t xml:space="preserve">29 </w:t>
      </w:r>
      <w:bookmarkStart w:id="12795" w:name="_ETM_Q17_413129"/>
      <w:bookmarkEnd w:id="12795"/>
      <w:r>
        <w:rPr>
          <w:rFonts w:hint="cs"/>
          <w:rtl/>
        </w:rPr>
        <w:t xml:space="preserve">שבועות, </w:t>
      </w:r>
      <w:bookmarkStart w:id="12796" w:name="_ETM_Q17_414280"/>
      <w:bookmarkEnd w:id="12796"/>
      <w:r>
        <w:rPr>
          <w:rFonts w:hint="cs"/>
          <w:rtl/>
        </w:rPr>
        <w:t xml:space="preserve">התחלנו </w:t>
      </w:r>
      <w:bookmarkStart w:id="12797" w:name="_ETM_Q17_414879"/>
      <w:bookmarkEnd w:id="12797"/>
      <w:r>
        <w:rPr>
          <w:rFonts w:hint="cs"/>
          <w:rtl/>
        </w:rPr>
        <w:t xml:space="preserve">ללכת, </w:t>
      </w:r>
      <w:bookmarkStart w:id="12798" w:name="_ETM_Q17_415510"/>
      <w:bookmarkEnd w:id="12798"/>
      <w:r>
        <w:rPr>
          <w:rFonts w:hint="cs"/>
          <w:rtl/>
        </w:rPr>
        <w:t xml:space="preserve">לצעוד, </w:t>
      </w:r>
      <w:bookmarkStart w:id="12799" w:name="_ETM_Q17_416140"/>
      <w:bookmarkEnd w:id="12799"/>
      <w:r>
        <w:rPr>
          <w:rFonts w:hint="cs"/>
          <w:rtl/>
        </w:rPr>
        <w:t xml:space="preserve">להשמיע </w:t>
      </w:r>
      <w:bookmarkStart w:id="12800" w:name="_ETM_Q17_416680"/>
      <w:bookmarkEnd w:id="12800"/>
      <w:r>
        <w:rPr>
          <w:rFonts w:hint="cs"/>
          <w:rtl/>
        </w:rPr>
        <w:t xml:space="preserve">קול, </w:t>
      </w:r>
      <w:bookmarkStart w:id="12801" w:name="_ETM_Q17_417340"/>
      <w:bookmarkEnd w:id="12801"/>
      <w:r>
        <w:rPr>
          <w:rFonts w:hint="cs"/>
          <w:rtl/>
        </w:rPr>
        <w:t xml:space="preserve">להניף </w:t>
      </w:r>
      <w:bookmarkStart w:id="12802" w:name="_ETM_Q17_418060"/>
      <w:bookmarkEnd w:id="12802"/>
      <w:r>
        <w:rPr>
          <w:rFonts w:hint="cs"/>
          <w:rtl/>
        </w:rPr>
        <w:t xml:space="preserve">את </w:t>
      </w:r>
      <w:bookmarkStart w:id="12803" w:name="_ETM_Q17_418269"/>
      <w:bookmarkEnd w:id="12803"/>
      <w:r>
        <w:rPr>
          <w:rFonts w:hint="cs"/>
          <w:rtl/>
        </w:rPr>
        <w:t xml:space="preserve">הדגל, </w:t>
      </w:r>
      <w:bookmarkStart w:id="12804" w:name="_ETM_Q17_418959"/>
      <w:bookmarkEnd w:id="12804"/>
      <w:r>
        <w:rPr>
          <w:rFonts w:hint="cs"/>
          <w:rtl/>
        </w:rPr>
        <w:t xml:space="preserve">שאתם </w:t>
      </w:r>
      <w:bookmarkStart w:id="12805" w:name="_ETM_Q17_419530"/>
      <w:bookmarkEnd w:id="12805"/>
      <w:r>
        <w:rPr>
          <w:rFonts w:hint="cs"/>
          <w:rtl/>
        </w:rPr>
        <w:t xml:space="preserve">טענתם, </w:t>
      </w:r>
      <w:bookmarkStart w:id="12806" w:name="_ETM_Q17_420670"/>
      <w:bookmarkEnd w:id="12806"/>
      <w:r>
        <w:rPr>
          <w:rFonts w:hint="cs"/>
          <w:rtl/>
        </w:rPr>
        <w:t xml:space="preserve">בשקר </w:t>
      </w:r>
      <w:bookmarkStart w:id="12807" w:name="_ETM_Q17_421329"/>
      <w:bookmarkEnd w:id="12807"/>
      <w:r>
        <w:rPr>
          <w:rFonts w:hint="cs"/>
          <w:rtl/>
        </w:rPr>
        <w:t xml:space="preserve">ובמרמה, </w:t>
      </w:r>
      <w:bookmarkStart w:id="12808" w:name="_ETM_Q17_422170"/>
      <w:bookmarkEnd w:id="12808"/>
      <w:r>
        <w:rPr>
          <w:rFonts w:hint="cs"/>
          <w:rtl/>
        </w:rPr>
        <w:t xml:space="preserve">לבעלות </w:t>
      </w:r>
      <w:bookmarkStart w:id="12809" w:name="_ETM_Q17_422890"/>
      <w:bookmarkEnd w:id="12809"/>
      <w:r>
        <w:rPr>
          <w:rFonts w:hint="cs"/>
          <w:rtl/>
        </w:rPr>
        <w:t xml:space="preserve">עליו. </w:t>
      </w:r>
      <w:bookmarkStart w:id="12810" w:name="_ETM_Q17_423670"/>
      <w:bookmarkEnd w:id="12810"/>
      <w:r>
        <w:rPr>
          <w:rFonts w:hint="cs"/>
          <w:rtl/>
        </w:rPr>
        <w:t xml:space="preserve">אין </w:t>
      </w:r>
      <w:bookmarkStart w:id="12811" w:name="_ETM_Q17_424120"/>
      <w:bookmarkEnd w:id="12811"/>
      <w:r>
        <w:rPr>
          <w:rFonts w:hint="cs"/>
          <w:rtl/>
        </w:rPr>
        <w:t xml:space="preserve">בכוונתנו </w:t>
      </w:r>
      <w:bookmarkStart w:id="12812" w:name="_ETM_Q17_425080"/>
      <w:bookmarkEnd w:id="12812"/>
      <w:r>
        <w:rPr>
          <w:rFonts w:hint="cs"/>
          <w:rtl/>
        </w:rPr>
        <w:t xml:space="preserve">להפסיק, </w:t>
      </w:r>
      <w:bookmarkStart w:id="12813" w:name="_ETM_Q17_426370"/>
      <w:bookmarkEnd w:id="12813"/>
      <w:r>
        <w:rPr>
          <w:rFonts w:hint="cs"/>
          <w:rtl/>
        </w:rPr>
        <w:t xml:space="preserve">לא </w:t>
      </w:r>
      <w:bookmarkStart w:id="12814" w:name="_ETM_Q17_426819"/>
      <w:bookmarkEnd w:id="12814"/>
      <w:r>
        <w:rPr>
          <w:rFonts w:hint="cs"/>
          <w:rtl/>
        </w:rPr>
        <w:t xml:space="preserve">עד </w:t>
      </w:r>
      <w:bookmarkStart w:id="12815" w:name="_ETM_Q17_427060"/>
      <w:bookmarkEnd w:id="12815"/>
      <w:r>
        <w:rPr>
          <w:rFonts w:hint="cs"/>
          <w:rtl/>
        </w:rPr>
        <w:t xml:space="preserve">ההצבעה </w:t>
      </w:r>
      <w:bookmarkStart w:id="12816" w:name="_ETM_Q17_427749"/>
      <w:bookmarkEnd w:id="12816"/>
      <w:r>
        <w:rPr>
          <w:rFonts w:hint="cs"/>
          <w:rtl/>
        </w:rPr>
        <w:t xml:space="preserve">כאן </w:t>
      </w:r>
      <w:bookmarkStart w:id="12817" w:name="_ETM_Q17_428049"/>
      <w:bookmarkEnd w:id="12817"/>
      <w:r>
        <w:rPr>
          <w:rFonts w:hint="cs"/>
          <w:rtl/>
        </w:rPr>
        <w:t xml:space="preserve">על </w:t>
      </w:r>
      <w:bookmarkStart w:id="12818" w:name="_ETM_Q17_428200"/>
      <w:bookmarkEnd w:id="12818"/>
      <w:r>
        <w:rPr>
          <w:rFonts w:hint="cs"/>
          <w:rtl/>
        </w:rPr>
        <w:t xml:space="preserve">החוק </w:t>
      </w:r>
      <w:bookmarkStart w:id="12819" w:name="_ETM_Q17_428680"/>
      <w:bookmarkEnd w:id="12819"/>
      <w:r>
        <w:rPr>
          <w:rFonts w:hint="cs"/>
          <w:rtl/>
        </w:rPr>
        <w:t xml:space="preserve">הארור </w:t>
      </w:r>
      <w:bookmarkStart w:id="12820" w:name="_ETM_Q17_429159"/>
      <w:bookmarkEnd w:id="12820"/>
      <w:r>
        <w:rPr>
          <w:rFonts w:hint="cs"/>
          <w:rtl/>
        </w:rPr>
        <w:t xml:space="preserve">הזה </w:t>
      </w:r>
      <w:bookmarkStart w:id="12821" w:name="_ETM_Q17_429879"/>
      <w:bookmarkEnd w:id="12821"/>
      <w:r>
        <w:rPr>
          <w:rFonts w:hint="cs"/>
          <w:rtl/>
        </w:rPr>
        <w:t xml:space="preserve">וגם </w:t>
      </w:r>
      <w:bookmarkStart w:id="12822" w:name="_ETM_Q17_430389"/>
      <w:bookmarkEnd w:id="12822"/>
      <w:r>
        <w:rPr>
          <w:rFonts w:hint="cs"/>
          <w:rtl/>
        </w:rPr>
        <w:t xml:space="preserve">לא </w:t>
      </w:r>
      <w:bookmarkStart w:id="12823" w:name="_ETM_Q17_430599"/>
      <w:bookmarkEnd w:id="12823"/>
      <w:r>
        <w:rPr>
          <w:rFonts w:hint="cs"/>
          <w:rtl/>
        </w:rPr>
        <w:t xml:space="preserve">לאחריה. </w:t>
      </w:r>
      <w:bookmarkStart w:id="12824" w:name="_ETM_Q17_431980"/>
      <w:bookmarkEnd w:id="12824"/>
      <w:r>
        <w:rPr>
          <w:rFonts w:hint="cs"/>
          <w:rtl/>
        </w:rPr>
        <w:t xml:space="preserve">לא </w:t>
      </w:r>
      <w:bookmarkStart w:id="12825" w:name="_ETM_Q17_432219"/>
      <w:bookmarkEnd w:id="12825"/>
      <w:r>
        <w:rPr>
          <w:rFonts w:hint="cs"/>
          <w:rtl/>
        </w:rPr>
        <w:t>נעצור</w:t>
      </w:r>
      <w:bookmarkStart w:id="12826" w:name="_ETM_Q17_432620"/>
      <w:bookmarkStart w:id="12827" w:name="_ETM_Q17_432920"/>
      <w:bookmarkEnd w:id="12826"/>
      <w:bookmarkEnd w:id="12827"/>
      <w:r>
        <w:rPr>
          <w:rFonts w:hint="cs"/>
          <w:rtl/>
        </w:rPr>
        <w:t xml:space="preserve"> עד אשר </w:t>
      </w:r>
      <w:bookmarkStart w:id="12828" w:name="_ETM_Q17_433220"/>
      <w:bookmarkEnd w:id="12828"/>
      <w:r>
        <w:rPr>
          <w:rFonts w:hint="cs"/>
          <w:rtl/>
        </w:rPr>
        <w:t xml:space="preserve">נבלום </w:t>
      </w:r>
      <w:bookmarkStart w:id="12829" w:name="_ETM_Q17_433670"/>
      <w:bookmarkEnd w:id="12829"/>
      <w:r>
        <w:rPr>
          <w:rFonts w:hint="cs"/>
          <w:rtl/>
        </w:rPr>
        <w:t xml:space="preserve">את </w:t>
      </w:r>
      <w:bookmarkStart w:id="12830" w:name="_ETM_Q17_433819"/>
      <w:bookmarkEnd w:id="12830"/>
      <w:r>
        <w:rPr>
          <w:rFonts w:hint="cs"/>
          <w:rtl/>
        </w:rPr>
        <w:t xml:space="preserve">המתקפה </w:t>
      </w:r>
      <w:bookmarkStart w:id="12831" w:name="_ETM_Q17_434450"/>
      <w:bookmarkEnd w:id="12831"/>
      <w:r>
        <w:rPr>
          <w:rFonts w:hint="cs"/>
          <w:rtl/>
        </w:rPr>
        <w:t xml:space="preserve">על ערכי </w:t>
      </w:r>
      <w:bookmarkStart w:id="12832" w:name="_ETM_Q17_434870"/>
      <w:bookmarkEnd w:id="12832"/>
      <w:r>
        <w:rPr>
          <w:rFonts w:hint="cs"/>
          <w:rtl/>
        </w:rPr>
        <w:t xml:space="preserve">מגילת </w:t>
      </w:r>
      <w:bookmarkStart w:id="12833" w:name="_ETM_Q17_435349"/>
      <w:bookmarkEnd w:id="12833"/>
      <w:r>
        <w:rPr>
          <w:rFonts w:hint="cs"/>
          <w:rtl/>
        </w:rPr>
        <w:t xml:space="preserve">העצמאות, </w:t>
      </w:r>
      <w:bookmarkStart w:id="12834" w:name="_ETM_Q17_436470"/>
      <w:bookmarkEnd w:id="12834"/>
      <w:r>
        <w:rPr>
          <w:rFonts w:hint="cs"/>
          <w:rtl/>
        </w:rPr>
        <w:t xml:space="preserve">לא </w:t>
      </w:r>
      <w:bookmarkStart w:id="12835" w:name="_ETM_Q17_436770"/>
      <w:bookmarkEnd w:id="12835"/>
      <w:r>
        <w:rPr>
          <w:rFonts w:hint="cs"/>
          <w:rtl/>
        </w:rPr>
        <w:t xml:space="preserve">נוותר </w:t>
      </w:r>
      <w:bookmarkStart w:id="12836" w:name="_ETM_Q17_437400"/>
      <w:bookmarkEnd w:id="12836"/>
      <w:r>
        <w:rPr>
          <w:rFonts w:hint="cs"/>
          <w:rtl/>
        </w:rPr>
        <w:t xml:space="preserve">עד </w:t>
      </w:r>
      <w:bookmarkStart w:id="12837" w:name="_ETM_Q17_437610"/>
      <w:bookmarkEnd w:id="12837"/>
      <w:r>
        <w:rPr>
          <w:rFonts w:hint="cs"/>
          <w:rtl/>
        </w:rPr>
        <w:t xml:space="preserve">אשר </w:t>
      </w:r>
      <w:bookmarkStart w:id="12838" w:name="_ETM_Q17_437910"/>
      <w:bookmarkEnd w:id="12838"/>
      <w:r>
        <w:rPr>
          <w:rFonts w:hint="cs"/>
          <w:rtl/>
        </w:rPr>
        <w:t xml:space="preserve">נבטיח </w:t>
      </w:r>
      <w:bookmarkStart w:id="12839" w:name="_ETM_Q17_438450"/>
      <w:bookmarkEnd w:id="12839"/>
      <w:r>
        <w:rPr>
          <w:rFonts w:hint="cs"/>
          <w:rtl/>
        </w:rPr>
        <w:t xml:space="preserve">את </w:t>
      </w:r>
      <w:bookmarkStart w:id="12840" w:name="_ETM_Q17_438600"/>
      <w:bookmarkEnd w:id="12840"/>
      <w:r>
        <w:rPr>
          <w:rFonts w:hint="cs"/>
          <w:rtl/>
        </w:rPr>
        <w:t xml:space="preserve">חוסנה </w:t>
      </w:r>
      <w:bookmarkStart w:id="12841" w:name="_ETM_Q17_439550"/>
      <w:bookmarkEnd w:id="12841"/>
      <w:r>
        <w:rPr>
          <w:rFonts w:hint="cs"/>
          <w:rtl/>
        </w:rPr>
        <w:t xml:space="preserve">של </w:t>
      </w:r>
      <w:bookmarkStart w:id="12842" w:name="_ETM_Q17_439789"/>
      <w:bookmarkEnd w:id="12842"/>
      <w:r>
        <w:rPr>
          <w:rFonts w:hint="cs"/>
          <w:rtl/>
        </w:rPr>
        <w:t xml:space="preserve">הדמוקרטיה </w:t>
      </w:r>
      <w:bookmarkStart w:id="12843" w:name="_ETM_Q17_440479"/>
      <w:bookmarkEnd w:id="12843"/>
      <w:r>
        <w:rPr>
          <w:rFonts w:hint="cs"/>
          <w:rtl/>
        </w:rPr>
        <w:t xml:space="preserve">הישראלית. </w:t>
      </w:r>
      <w:bookmarkStart w:id="12844" w:name="_ETM_Q17_441760"/>
      <w:bookmarkEnd w:id="12844"/>
      <w:r>
        <w:rPr>
          <w:rFonts w:hint="cs"/>
          <w:rtl/>
        </w:rPr>
        <w:t xml:space="preserve">והכי </w:t>
      </w:r>
      <w:bookmarkStart w:id="12845" w:name="_ETM_Q17_442240"/>
      <w:bookmarkEnd w:id="12845"/>
      <w:r>
        <w:rPr>
          <w:rFonts w:hint="cs"/>
          <w:rtl/>
        </w:rPr>
        <w:t xml:space="preserve">חשוב: </w:t>
      </w:r>
      <w:bookmarkStart w:id="12846" w:name="_ETM_Q17_443110"/>
      <w:bookmarkEnd w:id="12846"/>
      <w:r>
        <w:rPr>
          <w:rFonts w:hint="cs"/>
          <w:rtl/>
        </w:rPr>
        <w:t xml:space="preserve">לעולם </w:t>
      </w:r>
      <w:bookmarkStart w:id="12847" w:name="_ETM_Q17_444160"/>
      <w:bookmarkEnd w:id="12847"/>
      <w:r>
        <w:rPr>
          <w:rFonts w:hint="cs"/>
          <w:rtl/>
        </w:rPr>
        <w:t xml:space="preserve">לעולם </w:t>
      </w:r>
      <w:bookmarkStart w:id="12848" w:name="_ETM_Q17_445210"/>
      <w:bookmarkEnd w:id="12848"/>
      <w:r>
        <w:rPr>
          <w:rFonts w:hint="cs"/>
          <w:rtl/>
        </w:rPr>
        <w:t xml:space="preserve">לא </w:t>
      </w:r>
      <w:bookmarkStart w:id="12849" w:name="_ETM_Q17_445450"/>
      <w:bookmarkEnd w:id="12849"/>
      <w:r>
        <w:rPr>
          <w:rFonts w:hint="cs"/>
          <w:rtl/>
        </w:rPr>
        <w:t xml:space="preserve">נאבד </w:t>
      </w:r>
      <w:bookmarkStart w:id="12850" w:name="_ETM_Q17_445930"/>
      <w:bookmarkEnd w:id="12850"/>
      <w:r>
        <w:rPr>
          <w:rFonts w:hint="cs"/>
          <w:rtl/>
        </w:rPr>
        <w:t xml:space="preserve">את </w:t>
      </w:r>
      <w:bookmarkStart w:id="12851" w:name="_ETM_Q17_446050"/>
      <w:bookmarkEnd w:id="12851"/>
      <w:r>
        <w:rPr>
          <w:rFonts w:hint="cs"/>
          <w:rtl/>
        </w:rPr>
        <w:t xml:space="preserve">התקווה. </w:t>
      </w:r>
      <w:bookmarkStart w:id="12852" w:name="_ETM_Q17_447330"/>
      <w:bookmarkEnd w:id="12852"/>
    </w:p>
    <w:p w:rsidR="000C5C1F" w:rsidRDefault="000C5C1F" w:rsidP="000C5C1F">
      <w:pPr>
        <w:rPr>
          <w:rtl/>
        </w:rPr>
      </w:pPr>
    </w:p>
    <w:p w:rsidR="000C5C1F" w:rsidRDefault="000C5C1F" w:rsidP="000C5C1F">
      <w:pPr>
        <w:rPr>
          <w:rtl/>
        </w:rPr>
      </w:pPr>
      <w:r>
        <w:rPr>
          <w:rFonts w:hint="cs"/>
          <w:rtl/>
        </w:rPr>
        <w:t xml:space="preserve">עד </w:t>
      </w:r>
      <w:bookmarkStart w:id="12853" w:name="_ETM_Q17_447569"/>
      <w:bookmarkEnd w:id="12853"/>
      <w:r>
        <w:rPr>
          <w:rFonts w:hint="cs"/>
          <w:rtl/>
        </w:rPr>
        <w:t xml:space="preserve">כאן, </w:t>
      </w:r>
      <w:bookmarkStart w:id="12854" w:name="_ETM_Q17_447810"/>
      <w:bookmarkEnd w:id="12854"/>
      <w:r>
        <w:rPr>
          <w:rFonts w:hint="cs"/>
          <w:rtl/>
        </w:rPr>
        <w:t xml:space="preserve">אדוני </w:t>
      </w:r>
      <w:bookmarkStart w:id="12855" w:name="_ETM_Q17_448139"/>
      <w:bookmarkEnd w:id="12855"/>
      <w:r>
        <w:rPr>
          <w:rFonts w:hint="cs"/>
          <w:rtl/>
        </w:rPr>
        <w:t xml:space="preserve">היושב-ראש, </w:t>
      </w:r>
      <w:bookmarkStart w:id="12856" w:name="_ETM_Q17_449199"/>
      <w:bookmarkEnd w:id="12856"/>
      <w:r>
        <w:rPr>
          <w:rFonts w:hint="cs"/>
          <w:rtl/>
        </w:rPr>
        <w:t xml:space="preserve">הדברים </w:t>
      </w:r>
      <w:bookmarkStart w:id="12857" w:name="_ETM_Q17_449800"/>
      <w:bookmarkEnd w:id="12857"/>
      <w:r>
        <w:rPr>
          <w:rFonts w:hint="cs"/>
          <w:rtl/>
        </w:rPr>
        <w:t xml:space="preserve">שאמרתי </w:t>
      </w:r>
      <w:bookmarkStart w:id="12858" w:name="_ETM_Q17_450460"/>
      <w:bookmarkEnd w:id="12858"/>
      <w:r>
        <w:rPr>
          <w:rFonts w:hint="cs"/>
          <w:rtl/>
        </w:rPr>
        <w:t xml:space="preserve">אתמול </w:t>
      </w:r>
      <w:bookmarkStart w:id="12859" w:name="_ETM_Q17_450879"/>
      <w:bookmarkEnd w:id="12859"/>
      <w:r>
        <w:rPr>
          <w:rFonts w:hint="cs"/>
          <w:rtl/>
        </w:rPr>
        <w:t xml:space="preserve">בקריית </w:t>
      </w:r>
      <w:bookmarkStart w:id="12860" w:name="_ETM_Q17_451509"/>
      <w:bookmarkEnd w:id="12860"/>
      <w:r>
        <w:rPr>
          <w:rFonts w:hint="cs"/>
          <w:rtl/>
        </w:rPr>
        <w:t>גת.</w:t>
      </w:r>
      <w:bookmarkStart w:id="12861" w:name="_ETM_Q17_452599"/>
      <w:bookmarkEnd w:id="12861"/>
      <w:r>
        <w:rPr>
          <w:rFonts w:hint="cs"/>
          <w:rtl/>
        </w:rPr>
        <w:t xml:space="preserve"> ומכאן </w:t>
      </w:r>
      <w:bookmarkStart w:id="12862" w:name="_ETM_Q17_453710"/>
      <w:bookmarkEnd w:id="12862"/>
      <w:r>
        <w:rPr>
          <w:rFonts w:hint="cs"/>
          <w:rtl/>
        </w:rPr>
        <w:t xml:space="preserve">לחלק </w:t>
      </w:r>
      <w:bookmarkStart w:id="12863" w:name="_ETM_Q17_454250"/>
      <w:bookmarkEnd w:id="12863"/>
      <w:r>
        <w:rPr>
          <w:rFonts w:hint="cs"/>
          <w:rtl/>
        </w:rPr>
        <w:t xml:space="preserve">השני </w:t>
      </w:r>
      <w:bookmarkStart w:id="12864" w:name="_ETM_Q17_454699"/>
      <w:bookmarkEnd w:id="12864"/>
      <w:r>
        <w:rPr>
          <w:rFonts w:hint="cs"/>
          <w:rtl/>
        </w:rPr>
        <w:t xml:space="preserve">של </w:t>
      </w:r>
      <w:bookmarkStart w:id="12865" w:name="_ETM_Q17_454970"/>
      <w:bookmarkEnd w:id="12865"/>
      <w:r>
        <w:rPr>
          <w:rFonts w:hint="cs"/>
          <w:rtl/>
        </w:rPr>
        <w:t xml:space="preserve">דבריי, </w:t>
      </w:r>
      <w:bookmarkStart w:id="12866" w:name="_ETM_Q17_456169"/>
      <w:bookmarkEnd w:id="12866"/>
      <w:r>
        <w:rPr>
          <w:rFonts w:hint="cs"/>
          <w:rtl/>
        </w:rPr>
        <w:t xml:space="preserve">שמתמקד </w:t>
      </w:r>
      <w:bookmarkStart w:id="12867" w:name="_ETM_Q17_457130"/>
      <w:bookmarkEnd w:id="12867"/>
      <w:r>
        <w:rPr>
          <w:rFonts w:hint="cs"/>
          <w:rtl/>
        </w:rPr>
        <w:t xml:space="preserve">במה </w:t>
      </w:r>
      <w:bookmarkStart w:id="12868" w:name="_ETM_Q17_457460"/>
      <w:bookmarkEnd w:id="12868"/>
      <w:r>
        <w:rPr>
          <w:rFonts w:hint="cs"/>
          <w:rtl/>
        </w:rPr>
        <w:t xml:space="preserve">שראוי </w:t>
      </w:r>
      <w:bookmarkStart w:id="12869" w:name="_ETM_Q17_458000"/>
      <w:bookmarkEnd w:id="12869"/>
      <w:r>
        <w:rPr>
          <w:rFonts w:hint="cs"/>
          <w:rtl/>
        </w:rPr>
        <w:t xml:space="preserve">לומר </w:t>
      </w:r>
      <w:bookmarkStart w:id="12870" w:name="_ETM_Q17_458539"/>
      <w:bookmarkEnd w:id="12870"/>
      <w:r>
        <w:rPr>
          <w:rFonts w:hint="cs"/>
          <w:rtl/>
        </w:rPr>
        <w:t xml:space="preserve">הבוקר </w:t>
      </w:r>
      <w:bookmarkStart w:id="12871" w:name="_ETM_Q17_459020"/>
      <w:bookmarkEnd w:id="12871"/>
      <w:r>
        <w:rPr>
          <w:rFonts w:hint="cs"/>
          <w:rtl/>
        </w:rPr>
        <w:t xml:space="preserve">הזה </w:t>
      </w:r>
      <w:bookmarkStart w:id="12872" w:name="_ETM_Q17_459860"/>
      <w:bookmarkEnd w:id="12872"/>
      <w:r>
        <w:rPr>
          <w:rFonts w:hint="cs"/>
          <w:rtl/>
        </w:rPr>
        <w:t xml:space="preserve">לשרי </w:t>
      </w:r>
      <w:bookmarkStart w:id="12873" w:name="_ETM_Q17_461630"/>
      <w:bookmarkEnd w:id="12873"/>
      <w:r>
        <w:rPr>
          <w:rFonts w:hint="cs"/>
          <w:rtl/>
        </w:rPr>
        <w:t>ממשלת ההרס.</w:t>
      </w:r>
    </w:p>
    <w:p w:rsidR="000C5C1F" w:rsidRDefault="000C5C1F" w:rsidP="000C5C1F">
      <w:pPr>
        <w:pStyle w:val="ETSpeechToText"/>
        <w:rPr>
          <w:color w:val="auto"/>
          <w:rtl/>
        </w:rPr>
      </w:pPr>
    </w:p>
    <w:p w:rsidR="000C5C1F" w:rsidRDefault="000C5C1F" w:rsidP="000C5C1F">
      <w:pPr>
        <w:pStyle w:val="af9"/>
        <w:keepNext/>
        <w:rPr>
          <w:rtl/>
        </w:rPr>
      </w:pPr>
      <w:bookmarkStart w:id="12874" w:name="ET_yor_6490_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2874"/>
    </w:p>
    <w:p w:rsidR="000C5C1F" w:rsidRDefault="000C5C1F" w:rsidP="00337201">
      <w:pPr>
        <w:rPr>
          <w:rtl/>
        </w:rPr>
      </w:pPr>
    </w:p>
    <w:p w:rsidR="000C5C1F" w:rsidRDefault="000C5C1F" w:rsidP="000C5C1F">
      <w:pPr>
        <w:rPr>
          <w:rtl/>
        </w:rPr>
      </w:pPr>
      <w:r>
        <w:rPr>
          <w:rFonts w:hint="cs"/>
          <w:rtl/>
        </w:rPr>
        <w:t xml:space="preserve">לפני שאתה </w:t>
      </w:r>
      <w:bookmarkStart w:id="12875" w:name="_ETM_Q17_461335"/>
      <w:bookmarkEnd w:id="12875"/>
      <w:r>
        <w:rPr>
          <w:rFonts w:hint="cs"/>
          <w:rtl/>
        </w:rPr>
        <w:t xml:space="preserve">ממשיך, סליחה, חבר </w:t>
      </w:r>
      <w:bookmarkStart w:id="12876" w:name="_ETM_Q17_461870"/>
      <w:bookmarkEnd w:id="12876"/>
      <w:r>
        <w:rPr>
          <w:rFonts w:hint="cs"/>
          <w:rtl/>
        </w:rPr>
        <w:t xml:space="preserve">הכנסת </w:t>
      </w:r>
      <w:bookmarkStart w:id="12877" w:name="_ETM_Q17_462440"/>
      <w:bookmarkEnd w:id="12877"/>
      <w:r>
        <w:rPr>
          <w:rFonts w:hint="cs"/>
          <w:rtl/>
        </w:rPr>
        <w:t xml:space="preserve">קריב, </w:t>
      </w:r>
      <w:bookmarkStart w:id="12878" w:name="_ETM_Q17_463130"/>
      <w:bookmarkEnd w:id="12878"/>
      <w:r>
        <w:rPr>
          <w:rFonts w:hint="cs"/>
          <w:rtl/>
        </w:rPr>
        <w:t xml:space="preserve">אתה </w:t>
      </w:r>
      <w:bookmarkStart w:id="12879" w:name="_ETM_Q17_463220"/>
      <w:bookmarkEnd w:id="12879"/>
      <w:r>
        <w:rPr>
          <w:rFonts w:hint="cs"/>
          <w:rtl/>
        </w:rPr>
        <w:t xml:space="preserve">יכול </w:t>
      </w:r>
      <w:bookmarkStart w:id="12880" w:name="_ETM_Q17_463370"/>
      <w:bookmarkEnd w:id="12880"/>
      <w:r>
        <w:rPr>
          <w:rFonts w:hint="cs"/>
          <w:rtl/>
        </w:rPr>
        <w:t xml:space="preserve">להוריד </w:t>
      </w:r>
      <w:bookmarkStart w:id="12881" w:name="_ETM_Q17_463550"/>
      <w:bookmarkEnd w:id="12881"/>
      <w:r>
        <w:rPr>
          <w:rFonts w:hint="cs"/>
          <w:rtl/>
        </w:rPr>
        <w:t xml:space="preserve">טיפה </w:t>
      </w:r>
      <w:bookmarkStart w:id="12882" w:name="_ETM_Q17_463759"/>
      <w:bookmarkEnd w:id="12882"/>
      <w:r>
        <w:rPr>
          <w:rFonts w:hint="cs"/>
          <w:rtl/>
        </w:rPr>
        <w:t xml:space="preserve">את </w:t>
      </w:r>
      <w:bookmarkStart w:id="12883" w:name="_ETM_Q17_463819"/>
      <w:bookmarkEnd w:id="12883"/>
      <w:r>
        <w:rPr>
          <w:rFonts w:hint="cs"/>
          <w:rtl/>
        </w:rPr>
        <w:t xml:space="preserve">המחשב </w:t>
      </w:r>
      <w:bookmarkStart w:id="12884" w:name="_ETM_Q17_464120"/>
      <w:bookmarkEnd w:id="12884"/>
      <w:r>
        <w:rPr>
          <w:rFonts w:hint="cs"/>
          <w:rtl/>
        </w:rPr>
        <w:t xml:space="preserve">שלך </w:t>
      </w:r>
      <w:bookmarkStart w:id="12885" w:name="_ETM_Q17_465360"/>
      <w:bookmarkEnd w:id="12885"/>
      <w:r>
        <w:rPr>
          <w:rFonts w:hint="cs"/>
          <w:rtl/>
        </w:rPr>
        <w:t xml:space="preserve">עם </w:t>
      </w:r>
      <w:bookmarkStart w:id="12886" w:name="_ETM_Q17_465480"/>
      <w:bookmarkEnd w:id="12886"/>
      <w:r>
        <w:rPr>
          <w:rFonts w:hint="cs"/>
          <w:rtl/>
        </w:rPr>
        <w:t xml:space="preserve">השלט? תודה. </w:t>
      </w:r>
    </w:p>
    <w:p w:rsidR="000C5C1F" w:rsidRDefault="000C5C1F" w:rsidP="000C5C1F">
      <w:pPr>
        <w:rPr>
          <w:rtl/>
        </w:rPr>
      </w:pPr>
      <w:bookmarkStart w:id="12887" w:name="_ETM_Q17_465846"/>
      <w:bookmarkStart w:id="12888" w:name="_ETM_Q17_465924"/>
      <w:bookmarkEnd w:id="12887"/>
      <w:bookmarkEnd w:id="12888"/>
    </w:p>
    <w:p w:rsidR="000C5C1F" w:rsidRDefault="000C5C1F" w:rsidP="000C5C1F">
      <w:pPr>
        <w:pStyle w:val="-"/>
        <w:keepNext/>
        <w:rPr>
          <w:rtl/>
        </w:rPr>
      </w:pPr>
      <w:bookmarkStart w:id="12889" w:name="ET_speakercontinue_6156_3"/>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2889"/>
    </w:p>
    <w:p w:rsidR="000C5C1F" w:rsidRDefault="000C5C1F" w:rsidP="00337201">
      <w:pPr>
        <w:rPr>
          <w:rtl/>
        </w:rPr>
      </w:pPr>
    </w:p>
    <w:p w:rsidR="000C5C1F" w:rsidRDefault="000C5C1F" w:rsidP="000C5C1F">
      <w:pPr>
        <w:rPr>
          <w:rtl/>
        </w:rPr>
      </w:pPr>
      <w:r>
        <w:rPr>
          <w:rFonts w:hint="cs"/>
          <w:rtl/>
        </w:rPr>
        <w:t xml:space="preserve"> </w:t>
      </w:r>
      <w:bookmarkStart w:id="12890" w:name="_ETM_Q17_466300"/>
      <w:bookmarkEnd w:id="12890"/>
      <w:r>
        <w:rPr>
          <w:rFonts w:hint="cs"/>
          <w:rtl/>
        </w:rPr>
        <w:t xml:space="preserve">כן, בבקשה. </w:t>
      </w:r>
      <w:bookmarkStart w:id="12891" w:name="_ETM_Q17_467931"/>
      <w:bookmarkStart w:id="12892" w:name="_ETM_Q17_467993"/>
      <w:bookmarkStart w:id="12893" w:name="_ETM_Q17_468059"/>
      <w:bookmarkStart w:id="12894" w:name="_ETM_Q17_468113"/>
      <w:bookmarkEnd w:id="12891"/>
      <w:bookmarkEnd w:id="12892"/>
      <w:bookmarkEnd w:id="12893"/>
      <w:bookmarkEnd w:id="12894"/>
      <w:r>
        <w:rPr>
          <w:rFonts w:hint="cs"/>
          <w:rtl/>
        </w:rPr>
        <w:t>בסדר?</w:t>
      </w:r>
    </w:p>
    <w:p w:rsidR="000C5C1F" w:rsidRDefault="000C5C1F" w:rsidP="000C5C1F">
      <w:pPr>
        <w:rPr>
          <w:rtl/>
        </w:rPr>
      </w:pPr>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rPr>
      </w:pPr>
    </w:p>
    <w:p w:rsidR="000C5C1F" w:rsidRDefault="000C5C1F" w:rsidP="000C5C1F">
      <w:pPr>
        <w:rPr>
          <w:rtl/>
        </w:rPr>
      </w:pPr>
      <w:bookmarkStart w:id="12895" w:name="_ETM_Q17_468529"/>
      <w:bookmarkEnd w:id="12895"/>
      <w:r>
        <w:rPr>
          <w:rFonts w:hint="cs"/>
          <w:rtl/>
        </w:rPr>
        <w:t xml:space="preserve">נראה </w:t>
      </w:r>
      <w:bookmarkStart w:id="12896" w:name="_ETM_Q17_468770"/>
      <w:bookmarkEnd w:id="12896"/>
      <w:r>
        <w:rPr>
          <w:rFonts w:hint="cs"/>
          <w:rtl/>
        </w:rPr>
        <w:t xml:space="preserve">לי. </w:t>
      </w:r>
      <w:bookmarkStart w:id="12897" w:name="_ETM_Q17_469040"/>
      <w:bookmarkEnd w:id="12897"/>
      <w:r>
        <w:rPr>
          <w:rFonts w:hint="cs"/>
          <w:rtl/>
        </w:rPr>
        <w:t>כן, בסדר.</w:t>
      </w:r>
    </w:p>
    <w:p w:rsidR="000C5C1F" w:rsidRDefault="000C5C1F" w:rsidP="000C5C1F">
      <w:pPr>
        <w:rPr>
          <w:rtl/>
        </w:rPr>
      </w:pPr>
    </w:p>
    <w:p w:rsidR="000C5C1F" w:rsidRDefault="000C5C1F" w:rsidP="000C5C1F">
      <w:pPr>
        <w:pStyle w:val="-"/>
        <w:keepNext/>
        <w:rPr>
          <w:rtl/>
        </w:rPr>
      </w:pPr>
      <w:bookmarkStart w:id="12898" w:name="ET_speakercontinue_6156_7"/>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2898"/>
    </w:p>
    <w:p w:rsidR="000C5C1F" w:rsidRDefault="000C5C1F" w:rsidP="00337201">
      <w:pPr>
        <w:rPr>
          <w:rtl/>
        </w:rPr>
      </w:pPr>
    </w:p>
    <w:p w:rsidR="000C5C1F" w:rsidRDefault="000C5C1F" w:rsidP="000C5C1F">
      <w:pPr>
        <w:rPr>
          <w:rtl/>
        </w:rPr>
      </w:pPr>
      <w:bookmarkStart w:id="12899" w:name="_ETM_Q17_470917"/>
      <w:bookmarkStart w:id="12900" w:name="_ETM_Q17_470690"/>
      <w:bookmarkEnd w:id="12899"/>
      <w:bookmarkEnd w:id="12900"/>
      <w:r>
        <w:rPr>
          <w:rFonts w:hint="cs"/>
          <w:rtl/>
        </w:rPr>
        <w:t xml:space="preserve">לצורך </w:t>
      </w:r>
      <w:bookmarkStart w:id="12901" w:name="_ETM_Q17_471230"/>
      <w:bookmarkEnd w:id="12901"/>
      <w:r>
        <w:rPr>
          <w:rFonts w:hint="cs"/>
          <w:rtl/>
        </w:rPr>
        <w:t xml:space="preserve">הדברים </w:t>
      </w:r>
      <w:bookmarkStart w:id="12902" w:name="_ETM_Q17_471710"/>
      <w:bookmarkEnd w:id="12902"/>
      <w:r>
        <w:rPr>
          <w:rFonts w:hint="cs"/>
          <w:rtl/>
        </w:rPr>
        <w:t xml:space="preserve">הללו, </w:t>
      </w:r>
      <w:bookmarkStart w:id="12903" w:name="_ETM_Q17_472779"/>
      <w:bookmarkEnd w:id="12903"/>
      <w:r>
        <w:rPr>
          <w:rFonts w:hint="cs"/>
          <w:rtl/>
        </w:rPr>
        <w:t xml:space="preserve">המכוונים </w:t>
      </w:r>
      <w:bookmarkStart w:id="12904" w:name="_ETM_Q17_473710"/>
      <w:bookmarkEnd w:id="12904"/>
      <w:r>
        <w:rPr>
          <w:rFonts w:hint="cs"/>
          <w:rtl/>
        </w:rPr>
        <w:t xml:space="preserve">לשרי </w:t>
      </w:r>
      <w:bookmarkStart w:id="12905" w:name="_ETM_Q17_474220"/>
      <w:bookmarkEnd w:id="12905"/>
      <w:r>
        <w:rPr>
          <w:rFonts w:hint="cs"/>
          <w:rtl/>
        </w:rPr>
        <w:t xml:space="preserve">הממשלה, </w:t>
      </w:r>
      <w:bookmarkStart w:id="12906" w:name="_ETM_Q17_475920"/>
      <w:bookmarkEnd w:id="12906"/>
      <w:r>
        <w:rPr>
          <w:rFonts w:hint="cs"/>
          <w:rtl/>
        </w:rPr>
        <w:t xml:space="preserve">אשתמש </w:t>
      </w:r>
      <w:bookmarkStart w:id="12907" w:name="_ETM_Q17_476820"/>
      <w:bookmarkEnd w:id="12907"/>
      <w:r>
        <w:rPr>
          <w:rFonts w:hint="cs"/>
          <w:rtl/>
        </w:rPr>
        <w:t xml:space="preserve">בצירוף </w:t>
      </w:r>
      <w:bookmarkStart w:id="12908" w:name="_ETM_Q17_477450"/>
      <w:bookmarkEnd w:id="12908"/>
      <w:r>
        <w:rPr>
          <w:rFonts w:hint="cs"/>
          <w:rtl/>
        </w:rPr>
        <w:t xml:space="preserve">המילים </w:t>
      </w:r>
      <w:bookmarkStart w:id="12909" w:name="_ETM_Q17_477930"/>
      <w:bookmarkEnd w:id="12909"/>
      <w:r>
        <w:rPr>
          <w:rFonts w:hint="cs"/>
          <w:rtl/>
        </w:rPr>
        <w:t>המוכר "</w:t>
      </w:r>
      <w:bookmarkStart w:id="12910" w:name="_ETM_Q17_478800"/>
      <w:bookmarkEnd w:id="12910"/>
      <w:r>
        <w:rPr>
          <w:rFonts w:hint="cs"/>
          <w:rtl/>
        </w:rPr>
        <w:t xml:space="preserve">אני </w:t>
      </w:r>
      <w:bookmarkStart w:id="12911" w:name="_ETM_Q17_479160"/>
      <w:bookmarkEnd w:id="12911"/>
      <w:r>
        <w:rPr>
          <w:rFonts w:hint="cs"/>
          <w:rtl/>
        </w:rPr>
        <w:t xml:space="preserve">מאשים" – </w:t>
      </w:r>
      <w:bookmarkStart w:id="12912" w:name="_ETM_Q17_480650"/>
      <w:bookmarkEnd w:id="12912"/>
      <w:r>
        <w:rPr>
          <w:rFonts w:hint="cs"/>
          <w:rtl/>
        </w:rPr>
        <w:t xml:space="preserve">צירוף </w:t>
      </w:r>
      <w:bookmarkStart w:id="12913" w:name="_ETM_Q17_481100"/>
      <w:bookmarkEnd w:id="12913"/>
      <w:r>
        <w:rPr>
          <w:rFonts w:hint="cs"/>
          <w:rtl/>
        </w:rPr>
        <w:t xml:space="preserve">מילים </w:t>
      </w:r>
      <w:bookmarkStart w:id="12914" w:name="_ETM_Q17_480000"/>
      <w:bookmarkStart w:id="12915" w:name="_ETM_Q17_481250"/>
      <w:bookmarkStart w:id="12916" w:name="_ETM_Q17_481730"/>
      <w:bookmarkStart w:id="12917" w:name="_ETM_Q17_482270"/>
      <w:bookmarkEnd w:id="12914"/>
      <w:bookmarkEnd w:id="12915"/>
      <w:bookmarkEnd w:id="12916"/>
      <w:bookmarkEnd w:id="12917"/>
      <w:r>
        <w:rPr>
          <w:rFonts w:hint="cs"/>
          <w:rtl/>
        </w:rPr>
        <w:t xml:space="preserve">שיש </w:t>
      </w:r>
      <w:bookmarkStart w:id="12918" w:name="_ETM_Q17_482750"/>
      <w:bookmarkEnd w:id="12918"/>
      <w:r>
        <w:rPr>
          <w:rFonts w:hint="cs"/>
          <w:rtl/>
        </w:rPr>
        <w:t xml:space="preserve">לו </w:t>
      </w:r>
      <w:bookmarkStart w:id="12919" w:name="_ETM_Q17_482870"/>
      <w:bookmarkEnd w:id="12919"/>
      <w:r>
        <w:rPr>
          <w:rFonts w:hint="cs"/>
          <w:rtl/>
        </w:rPr>
        <w:t xml:space="preserve">מעמד </w:t>
      </w:r>
      <w:bookmarkStart w:id="12920" w:name="_ETM_Q17_483320"/>
      <w:bookmarkEnd w:id="12920"/>
      <w:r>
        <w:rPr>
          <w:rFonts w:hint="cs"/>
          <w:rtl/>
        </w:rPr>
        <w:t xml:space="preserve">מיוחד </w:t>
      </w:r>
      <w:bookmarkStart w:id="12921" w:name="_ETM_Q17_483889"/>
      <w:bookmarkEnd w:id="12921"/>
      <w:r>
        <w:rPr>
          <w:rFonts w:hint="cs"/>
          <w:rtl/>
        </w:rPr>
        <w:t xml:space="preserve">בתולדותיה </w:t>
      </w:r>
      <w:bookmarkStart w:id="12922" w:name="_ETM_Q17_484700"/>
      <w:bookmarkEnd w:id="12922"/>
      <w:r>
        <w:rPr>
          <w:rFonts w:hint="cs"/>
          <w:rtl/>
        </w:rPr>
        <w:t xml:space="preserve">של </w:t>
      </w:r>
      <w:bookmarkStart w:id="12923" w:name="_ETM_Q17_484940"/>
      <w:bookmarkEnd w:id="12923"/>
      <w:r>
        <w:rPr>
          <w:rFonts w:hint="cs"/>
          <w:rtl/>
        </w:rPr>
        <w:t xml:space="preserve">הדמוקרטיה, </w:t>
      </w:r>
      <w:bookmarkStart w:id="12924" w:name="_ETM_Q17_486440"/>
      <w:bookmarkEnd w:id="12924"/>
      <w:r>
        <w:rPr>
          <w:rFonts w:hint="cs"/>
          <w:rtl/>
        </w:rPr>
        <w:t xml:space="preserve">בדגש </w:t>
      </w:r>
      <w:bookmarkStart w:id="12925" w:name="_ETM_Q17_486980"/>
      <w:bookmarkEnd w:id="12925"/>
      <w:r>
        <w:rPr>
          <w:rFonts w:hint="cs"/>
          <w:rtl/>
        </w:rPr>
        <w:t xml:space="preserve">על </w:t>
      </w:r>
      <w:bookmarkStart w:id="12926" w:name="_ETM_Q17_487100"/>
      <w:bookmarkEnd w:id="12926"/>
      <w:r>
        <w:rPr>
          <w:rFonts w:hint="cs"/>
          <w:rtl/>
        </w:rPr>
        <w:t xml:space="preserve">היכולת </w:t>
      </w:r>
      <w:bookmarkStart w:id="12927" w:name="_ETM_Q17_487640"/>
      <w:bookmarkEnd w:id="12927"/>
      <w:r>
        <w:rPr>
          <w:rFonts w:hint="cs"/>
          <w:rtl/>
        </w:rPr>
        <w:t xml:space="preserve">לבקר </w:t>
      </w:r>
      <w:bookmarkStart w:id="12928" w:name="_ETM_Q17_488120"/>
      <w:bookmarkEnd w:id="12928"/>
      <w:r>
        <w:rPr>
          <w:rFonts w:hint="cs"/>
          <w:rtl/>
        </w:rPr>
        <w:t xml:space="preserve">את </w:t>
      </w:r>
      <w:bookmarkStart w:id="12929" w:name="_ETM_Q17_488269"/>
      <w:bookmarkEnd w:id="12929"/>
      <w:r>
        <w:rPr>
          <w:rFonts w:hint="cs"/>
          <w:rtl/>
        </w:rPr>
        <w:t xml:space="preserve">השלטון </w:t>
      </w:r>
      <w:bookmarkStart w:id="12930" w:name="_ETM_Q17_489350"/>
      <w:bookmarkEnd w:id="12930"/>
      <w:r>
        <w:rPr>
          <w:rFonts w:hint="cs"/>
          <w:rtl/>
        </w:rPr>
        <w:t xml:space="preserve">ואת </w:t>
      </w:r>
      <w:bookmarkStart w:id="12931" w:name="_ETM_Q17_489680"/>
      <w:bookmarkEnd w:id="12931"/>
      <w:r>
        <w:rPr>
          <w:rFonts w:hint="cs"/>
          <w:rtl/>
        </w:rPr>
        <w:t xml:space="preserve">האופן </w:t>
      </w:r>
      <w:bookmarkStart w:id="12932" w:name="_ETM_Q17_490130"/>
      <w:bookmarkEnd w:id="12932"/>
      <w:r>
        <w:rPr>
          <w:rFonts w:hint="cs"/>
          <w:rtl/>
        </w:rPr>
        <w:t xml:space="preserve">שבו </w:t>
      </w:r>
      <w:bookmarkStart w:id="12933" w:name="_ETM_Q17_490250"/>
      <w:bookmarkEnd w:id="12933"/>
      <w:r>
        <w:rPr>
          <w:rFonts w:hint="cs"/>
          <w:rtl/>
        </w:rPr>
        <w:t xml:space="preserve">הוא </w:t>
      </w:r>
      <w:bookmarkStart w:id="12934" w:name="_ETM_Q17_490309"/>
      <w:bookmarkEnd w:id="12934"/>
      <w:r>
        <w:rPr>
          <w:rFonts w:hint="cs"/>
          <w:rtl/>
        </w:rPr>
        <w:t xml:space="preserve">מפעיל </w:t>
      </w:r>
      <w:bookmarkStart w:id="12935" w:name="_ETM_Q17_490700"/>
      <w:bookmarkEnd w:id="12935"/>
      <w:r>
        <w:rPr>
          <w:rFonts w:hint="cs"/>
          <w:rtl/>
        </w:rPr>
        <w:t xml:space="preserve">את </w:t>
      </w:r>
      <w:bookmarkStart w:id="12936" w:name="_ETM_Q17_490790"/>
      <w:bookmarkEnd w:id="12936"/>
      <w:r>
        <w:rPr>
          <w:rFonts w:hint="cs"/>
          <w:rtl/>
        </w:rPr>
        <w:t xml:space="preserve">סמכויותיו, </w:t>
      </w:r>
      <w:bookmarkStart w:id="12937" w:name="_ETM_Q17_492170"/>
      <w:bookmarkEnd w:id="12937"/>
      <w:r>
        <w:rPr>
          <w:rFonts w:hint="cs"/>
          <w:rtl/>
        </w:rPr>
        <w:t xml:space="preserve">ולא </w:t>
      </w:r>
      <w:bookmarkStart w:id="12938" w:name="_ETM_Q17_492469"/>
      <w:bookmarkEnd w:id="12938"/>
      <w:r>
        <w:rPr>
          <w:rFonts w:hint="cs"/>
          <w:rtl/>
        </w:rPr>
        <w:t xml:space="preserve">פחות </w:t>
      </w:r>
      <w:bookmarkStart w:id="12939" w:name="_ETM_Q17_492860"/>
      <w:bookmarkEnd w:id="12939"/>
      <w:r>
        <w:rPr>
          <w:rFonts w:hint="cs"/>
          <w:rtl/>
        </w:rPr>
        <w:t xml:space="preserve">חשוב </w:t>
      </w:r>
      <w:bookmarkStart w:id="12940" w:name="_ETM_Q17_493250"/>
      <w:bookmarkEnd w:id="12940"/>
      <w:r>
        <w:rPr>
          <w:rFonts w:hint="cs"/>
          <w:rtl/>
        </w:rPr>
        <w:t xml:space="preserve">מכך, </w:t>
      </w:r>
      <w:bookmarkStart w:id="12941" w:name="_ETM_Q17_494150"/>
      <w:bookmarkEnd w:id="12941"/>
      <w:r>
        <w:rPr>
          <w:rFonts w:hint="cs"/>
          <w:rtl/>
        </w:rPr>
        <w:t xml:space="preserve">צירוף </w:t>
      </w:r>
      <w:bookmarkStart w:id="12942" w:name="_ETM_Q17_494630"/>
      <w:bookmarkEnd w:id="12942"/>
      <w:r>
        <w:rPr>
          <w:rFonts w:hint="cs"/>
          <w:rtl/>
        </w:rPr>
        <w:t xml:space="preserve">מילים </w:t>
      </w:r>
      <w:bookmarkStart w:id="12943" w:name="_ETM_Q17_495050"/>
      <w:bookmarkEnd w:id="12943"/>
      <w:r>
        <w:rPr>
          <w:rFonts w:hint="cs"/>
          <w:rtl/>
        </w:rPr>
        <w:t xml:space="preserve">שיש </w:t>
      </w:r>
      <w:bookmarkStart w:id="12944" w:name="_ETM_Q17_495440"/>
      <w:bookmarkEnd w:id="12944"/>
      <w:r>
        <w:rPr>
          <w:rFonts w:hint="cs"/>
          <w:rtl/>
        </w:rPr>
        <w:t xml:space="preserve">לו </w:t>
      </w:r>
      <w:bookmarkStart w:id="12945" w:name="_ETM_Q17_495559"/>
      <w:bookmarkEnd w:id="12945"/>
      <w:r>
        <w:rPr>
          <w:rFonts w:hint="cs"/>
          <w:rtl/>
        </w:rPr>
        <w:t xml:space="preserve">מעמד </w:t>
      </w:r>
      <w:bookmarkStart w:id="12946" w:name="_ETM_Q17_496070"/>
      <w:bookmarkEnd w:id="12946"/>
      <w:r>
        <w:rPr>
          <w:rFonts w:hint="cs"/>
          <w:rtl/>
        </w:rPr>
        <w:t xml:space="preserve">מיוחד </w:t>
      </w:r>
      <w:bookmarkStart w:id="12947" w:name="_ETM_Q17_496640"/>
      <w:bookmarkEnd w:id="12947"/>
      <w:r>
        <w:rPr>
          <w:rFonts w:hint="cs"/>
          <w:rtl/>
        </w:rPr>
        <w:t xml:space="preserve">בתולדות </w:t>
      </w:r>
      <w:bookmarkStart w:id="12948" w:name="_ETM_Q17_497270"/>
      <w:bookmarkEnd w:id="12948"/>
      <w:r>
        <w:rPr>
          <w:rFonts w:hint="cs"/>
          <w:rtl/>
        </w:rPr>
        <w:t xml:space="preserve">הציונות </w:t>
      </w:r>
      <w:bookmarkStart w:id="12949" w:name="_ETM_Q17_498529"/>
      <w:bookmarkEnd w:id="12949"/>
      <w:r>
        <w:rPr>
          <w:rFonts w:hint="cs"/>
          <w:rtl/>
        </w:rPr>
        <w:t xml:space="preserve">ובתולדות </w:t>
      </w:r>
      <w:bookmarkStart w:id="12950" w:name="_ETM_Q17_499339"/>
      <w:bookmarkEnd w:id="12950"/>
      <w:r>
        <w:rPr>
          <w:rFonts w:hint="cs"/>
          <w:rtl/>
        </w:rPr>
        <w:t xml:space="preserve">מאבקם </w:t>
      </w:r>
      <w:bookmarkStart w:id="12951" w:name="_ETM_Q17_500000"/>
      <w:bookmarkEnd w:id="12951"/>
      <w:r>
        <w:rPr>
          <w:rFonts w:hint="cs"/>
          <w:rtl/>
        </w:rPr>
        <w:t xml:space="preserve">של </w:t>
      </w:r>
      <w:bookmarkStart w:id="12952" w:name="_ETM_Q17_500240"/>
      <w:bookmarkEnd w:id="12952"/>
      <w:r>
        <w:rPr>
          <w:rFonts w:hint="cs"/>
          <w:rtl/>
        </w:rPr>
        <w:t xml:space="preserve">היהודים </w:t>
      </w:r>
      <w:bookmarkStart w:id="12953" w:name="_ETM_Q17_501320"/>
      <w:bookmarkEnd w:id="12953"/>
      <w:r>
        <w:rPr>
          <w:rFonts w:hint="cs"/>
          <w:rtl/>
        </w:rPr>
        <w:t xml:space="preserve">לשוויון </w:t>
      </w:r>
      <w:bookmarkStart w:id="12954" w:name="_ETM_Q17_502189"/>
      <w:bookmarkEnd w:id="12954"/>
      <w:r>
        <w:rPr>
          <w:rFonts w:hint="cs"/>
          <w:rtl/>
        </w:rPr>
        <w:t xml:space="preserve">ולזכויות </w:t>
      </w:r>
      <w:bookmarkStart w:id="12955" w:name="_ETM_Q17_502970"/>
      <w:bookmarkEnd w:id="12955"/>
      <w:r>
        <w:rPr>
          <w:rFonts w:hint="cs"/>
          <w:rtl/>
        </w:rPr>
        <w:t xml:space="preserve">אזרח </w:t>
      </w:r>
      <w:bookmarkStart w:id="12956" w:name="_ETM_Q17_504039"/>
      <w:bookmarkEnd w:id="12956"/>
      <w:r>
        <w:rPr>
          <w:rFonts w:hint="cs"/>
          <w:rtl/>
        </w:rPr>
        <w:t xml:space="preserve">בכל </w:t>
      </w:r>
      <w:bookmarkStart w:id="12957" w:name="_ETM_Q17_504970"/>
      <w:bookmarkStart w:id="12958" w:name="_ETM_Q17_505689"/>
      <w:bookmarkEnd w:id="12957"/>
      <w:bookmarkEnd w:id="12958"/>
      <w:r>
        <w:rPr>
          <w:rFonts w:hint="cs"/>
          <w:rtl/>
        </w:rPr>
        <w:t xml:space="preserve">מקומות </w:t>
      </w:r>
      <w:bookmarkStart w:id="12959" w:name="_ETM_Q17_506320"/>
      <w:bookmarkEnd w:id="12959"/>
      <w:r>
        <w:rPr>
          <w:rFonts w:hint="cs"/>
          <w:rtl/>
        </w:rPr>
        <w:t>מושבם</w:t>
      </w:r>
      <w:bookmarkStart w:id="12960" w:name="_ETM_Q17_507939"/>
      <w:bookmarkEnd w:id="12960"/>
      <w:r>
        <w:rPr>
          <w:rFonts w:hint="cs"/>
          <w:rtl/>
        </w:rPr>
        <w:t xml:space="preserve"> – </w:t>
      </w:r>
      <w:bookmarkStart w:id="12961" w:name="_ETM_Q17_508305"/>
      <w:bookmarkStart w:id="12962" w:name="_ETM_Q17_508419"/>
      <w:bookmarkStart w:id="12963" w:name="_ETM_Q17_508447"/>
      <w:bookmarkStart w:id="12964" w:name="_ETM_Q17_508549"/>
      <w:bookmarkEnd w:id="12961"/>
      <w:bookmarkEnd w:id="12962"/>
      <w:bookmarkEnd w:id="12963"/>
      <w:bookmarkEnd w:id="12964"/>
      <w:r>
        <w:rPr>
          <w:rFonts w:hint="cs"/>
          <w:rtl/>
        </w:rPr>
        <w:t xml:space="preserve">מכובדיי, </w:t>
      </w:r>
      <w:bookmarkStart w:id="12965" w:name="_ETM_Q17_508720"/>
      <w:bookmarkEnd w:id="12965"/>
      <w:r>
        <w:rPr>
          <w:rFonts w:hint="cs"/>
          <w:rtl/>
        </w:rPr>
        <w:t xml:space="preserve">את </w:t>
      </w:r>
      <w:bookmarkStart w:id="12966" w:name="_ETM_Q17_508810"/>
      <w:bookmarkEnd w:id="12966"/>
      <w:r>
        <w:rPr>
          <w:rFonts w:hint="cs"/>
          <w:rtl/>
        </w:rPr>
        <w:t>המשא ומתן בפרסה.</w:t>
      </w:r>
    </w:p>
    <w:p w:rsidR="000C5C1F" w:rsidRDefault="000C5C1F" w:rsidP="000C5C1F">
      <w:pPr>
        <w:rPr>
          <w:rtl/>
        </w:rPr>
      </w:pPr>
      <w:bookmarkStart w:id="12967" w:name="_ETM_Q17_511132"/>
      <w:bookmarkStart w:id="12968" w:name="_ETM_Q17_511211"/>
      <w:bookmarkEnd w:id="12967"/>
      <w:bookmarkEnd w:id="12968"/>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rPr>
      </w:pPr>
    </w:p>
    <w:p w:rsidR="000C5C1F" w:rsidRDefault="000C5C1F" w:rsidP="000C5C1F">
      <w:pPr>
        <w:rPr>
          <w:rtl/>
        </w:rPr>
      </w:pPr>
      <w:r>
        <w:rPr>
          <w:rFonts w:hint="cs"/>
          <w:rtl/>
        </w:rPr>
        <w:t>עד שיש הידברות אתה עוצר אותם?</w:t>
      </w:r>
    </w:p>
    <w:p w:rsidR="000C5C1F" w:rsidRDefault="000C5C1F" w:rsidP="000C5C1F">
      <w:pPr>
        <w:rPr>
          <w:rtl/>
        </w:rPr>
      </w:pPr>
    </w:p>
    <w:p w:rsidR="000C5C1F" w:rsidRDefault="000C5C1F" w:rsidP="000C5C1F">
      <w:pPr>
        <w:pStyle w:val="-"/>
        <w:keepNext/>
        <w:rPr>
          <w:rtl/>
        </w:rPr>
      </w:pPr>
      <w:bookmarkStart w:id="12969" w:name="ET_speakercontinue_6156_9"/>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2969"/>
    </w:p>
    <w:p w:rsidR="000C5C1F" w:rsidRDefault="000C5C1F" w:rsidP="00337201">
      <w:pPr>
        <w:rPr>
          <w:rtl/>
        </w:rPr>
      </w:pPr>
    </w:p>
    <w:p w:rsidR="000C5C1F" w:rsidRDefault="000C5C1F" w:rsidP="000C5C1F">
      <w:pPr>
        <w:rPr>
          <w:rtl/>
        </w:rPr>
      </w:pPr>
      <w:r>
        <w:rPr>
          <w:rFonts w:hint="cs"/>
          <w:rtl/>
        </w:rPr>
        <w:t>לא, הידברות זה חשוב.</w:t>
      </w:r>
    </w:p>
    <w:p w:rsidR="000C5C1F" w:rsidRDefault="000C5C1F" w:rsidP="000C5C1F">
      <w:pPr>
        <w:rPr>
          <w:rtl/>
        </w:rPr>
      </w:pPr>
    </w:p>
    <w:p w:rsidR="000C5C1F" w:rsidRDefault="000C5C1F" w:rsidP="000C5C1F">
      <w:pPr>
        <w:rPr>
          <w:rtl/>
        </w:rPr>
      </w:pPr>
      <w:bookmarkStart w:id="12970" w:name="_ETM_Q17_511909"/>
      <w:bookmarkStart w:id="12971" w:name="_ETM_Q17_512480"/>
      <w:bookmarkStart w:id="12972" w:name="_ETM_Q17_512660"/>
      <w:bookmarkStart w:id="12973" w:name="_ETM_Q17_512930"/>
      <w:bookmarkStart w:id="12974" w:name="_ETM_Q17_513469"/>
      <w:bookmarkStart w:id="12975" w:name="_ETM_Q17_513710"/>
      <w:bookmarkStart w:id="12976" w:name="_ETM_Q17_514100"/>
      <w:bookmarkStart w:id="12977" w:name="_ETM_Q17_514219"/>
      <w:bookmarkStart w:id="12978" w:name="_ETM_Q17_516190"/>
      <w:bookmarkEnd w:id="12970"/>
      <w:bookmarkEnd w:id="12971"/>
      <w:bookmarkEnd w:id="12972"/>
      <w:bookmarkEnd w:id="12973"/>
      <w:bookmarkEnd w:id="12974"/>
      <w:bookmarkEnd w:id="12975"/>
      <w:bookmarkEnd w:id="12976"/>
      <w:bookmarkEnd w:id="12977"/>
      <w:bookmarkEnd w:id="12978"/>
      <w:r>
        <w:rPr>
          <w:rFonts w:hint="cs"/>
          <w:rtl/>
        </w:rPr>
        <w:t xml:space="preserve">אז </w:t>
      </w:r>
      <w:bookmarkStart w:id="12979" w:name="_ETM_Q17_516430"/>
      <w:bookmarkEnd w:id="12979"/>
      <w:r>
        <w:rPr>
          <w:rFonts w:hint="cs"/>
          <w:rtl/>
        </w:rPr>
        <w:t xml:space="preserve">כך. </w:t>
      </w:r>
      <w:bookmarkStart w:id="12980" w:name="_ETM_Q17_517860"/>
      <w:bookmarkEnd w:id="12980"/>
      <w:r>
        <w:rPr>
          <w:rFonts w:hint="cs"/>
          <w:rtl/>
        </w:rPr>
        <w:t xml:space="preserve">אני </w:t>
      </w:r>
      <w:bookmarkStart w:id="12981" w:name="_ETM_Q17_518220"/>
      <w:bookmarkEnd w:id="12981"/>
      <w:r>
        <w:rPr>
          <w:rFonts w:hint="cs"/>
          <w:rtl/>
        </w:rPr>
        <w:t xml:space="preserve">מאשים, </w:t>
      </w:r>
      <w:bookmarkStart w:id="12982" w:name="_ETM_Q17_519480"/>
      <w:bookmarkEnd w:id="12982"/>
      <w:r>
        <w:rPr>
          <w:rFonts w:hint="cs"/>
          <w:rtl/>
        </w:rPr>
        <w:t xml:space="preserve">אנחנו </w:t>
      </w:r>
      <w:bookmarkStart w:id="12983" w:name="_ETM_Q17_520050"/>
      <w:bookmarkEnd w:id="12983"/>
      <w:r>
        <w:rPr>
          <w:rFonts w:hint="cs"/>
          <w:rtl/>
        </w:rPr>
        <w:t xml:space="preserve">מאשימים. </w:t>
      </w:r>
      <w:bookmarkStart w:id="12984" w:name="_ETM_Q17_521379"/>
      <w:bookmarkEnd w:id="12984"/>
      <w:r>
        <w:rPr>
          <w:rFonts w:hint="cs"/>
          <w:rtl/>
        </w:rPr>
        <w:t xml:space="preserve">אני </w:t>
      </w:r>
      <w:bookmarkStart w:id="12985" w:name="_ETM_Q17_521620"/>
      <w:bookmarkEnd w:id="12985"/>
      <w:r>
        <w:rPr>
          <w:rFonts w:hint="cs"/>
          <w:rtl/>
        </w:rPr>
        <w:t xml:space="preserve">מאשים </w:t>
      </w:r>
      <w:bookmarkStart w:id="12986" w:name="_ETM_Q17_522070"/>
      <w:bookmarkEnd w:id="12986"/>
      <w:r>
        <w:rPr>
          <w:rFonts w:hint="cs"/>
          <w:rtl/>
        </w:rPr>
        <w:t xml:space="preserve">אותך, </w:t>
      </w:r>
      <w:bookmarkStart w:id="12987" w:name="_ETM_Q17_522460"/>
      <w:bookmarkEnd w:id="12987"/>
      <w:r>
        <w:rPr>
          <w:rFonts w:hint="cs"/>
          <w:rtl/>
        </w:rPr>
        <w:t xml:space="preserve">ראש </w:t>
      </w:r>
      <w:bookmarkStart w:id="12988" w:name="_ETM_Q17_522699"/>
      <w:bookmarkEnd w:id="12988"/>
      <w:r>
        <w:rPr>
          <w:rFonts w:hint="cs"/>
          <w:rtl/>
        </w:rPr>
        <w:t xml:space="preserve">הממשלה </w:t>
      </w:r>
      <w:bookmarkStart w:id="12989" w:name="_ETM_Q17_523300"/>
      <w:bookmarkEnd w:id="12989"/>
      <w:r>
        <w:rPr>
          <w:rFonts w:hint="cs"/>
          <w:rtl/>
        </w:rPr>
        <w:t xml:space="preserve">נתניהו </w:t>
      </w:r>
      <w:bookmarkStart w:id="12990" w:name="_ETM_Q17_500733"/>
      <w:bookmarkEnd w:id="12990"/>
      <w:r>
        <w:rPr>
          <w:rFonts w:hint="cs"/>
          <w:rtl/>
        </w:rPr>
        <w:t xml:space="preserve">– </w:t>
      </w:r>
      <w:bookmarkStart w:id="12991" w:name="_ETM_Q17_524620"/>
      <w:bookmarkEnd w:id="12991"/>
      <w:r>
        <w:rPr>
          <w:rFonts w:hint="cs"/>
          <w:rtl/>
        </w:rPr>
        <w:t xml:space="preserve">בצד </w:t>
      </w:r>
      <w:bookmarkStart w:id="12992" w:name="_ETM_Q17_525339"/>
      <w:bookmarkEnd w:id="12992"/>
      <w:r>
        <w:rPr>
          <w:rFonts w:hint="cs"/>
          <w:rtl/>
        </w:rPr>
        <w:t xml:space="preserve">איחולי </w:t>
      </w:r>
      <w:bookmarkStart w:id="12993" w:name="_ETM_Q17_525940"/>
      <w:bookmarkEnd w:id="12993"/>
      <w:r>
        <w:rPr>
          <w:rFonts w:hint="cs"/>
          <w:rtl/>
        </w:rPr>
        <w:t xml:space="preserve">החלמה – בכך </w:t>
      </w:r>
      <w:bookmarkStart w:id="12994" w:name="_ETM_Q17_527879"/>
      <w:bookmarkEnd w:id="12994"/>
      <w:r>
        <w:rPr>
          <w:rFonts w:hint="cs"/>
          <w:rtl/>
        </w:rPr>
        <w:t xml:space="preserve">שהבאת </w:t>
      </w:r>
      <w:bookmarkStart w:id="12995" w:name="_ETM_Q17_528510"/>
      <w:bookmarkEnd w:id="12995"/>
      <w:r>
        <w:rPr>
          <w:rFonts w:hint="cs"/>
          <w:rtl/>
        </w:rPr>
        <w:t xml:space="preserve">את </w:t>
      </w:r>
      <w:bookmarkStart w:id="12996" w:name="_ETM_Q17_528660"/>
      <w:bookmarkEnd w:id="12996"/>
      <w:r>
        <w:rPr>
          <w:rFonts w:hint="cs"/>
          <w:rtl/>
        </w:rPr>
        <w:t xml:space="preserve">החברה </w:t>
      </w:r>
      <w:bookmarkStart w:id="12997" w:name="_ETM_Q17_529110"/>
      <w:bookmarkEnd w:id="12997"/>
      <w:r>
        <w:rPr>
          <w:rFonts w:hint="cs"/>
          <w:rtl/>
        </w:rPr>
        <w:t xml:space="preserve">הישראלית </w:t>
      </w:r>
      <w:bookmarkStart w:id="12998" w:name="_ETM_Q17_529920"/>
      <w:bookmarkEnd w:id="12998"/>
      <w:r>
        <w:rPr>
          <w:rFonts w:hint="cs"/>
          <w:rtl/>
        </w:rPr>
        <w:t xml:space="preserve">למשבר </w:t>
      </w:r>
      <w:bookmarkStart w:id="12999" w:name="_ETM_Q17_530460"/>
      <w:bookmarkEnd w:id="12999"/>
      <w:r>
        <w:rPr>
          <w:rFonts w:hint="cs"/>
          <w:rtl/>
        </w:rPr>
        <w:t xml:space="preserve">החמור </w:t>
      </w:r>
      <w:bookmarkStart w:id="13000" w:name="_ETM_Q17_530969"/>
      <w:bookmarkEnd w:id="13000"/>
      <w:r>
        <w:rPr>
          <w:rFonts w:hint="cs"/>
          <w:rtl/>
        </w:rPr>
        <w:t xml:space="preserve">ביותר </w:t>
      </w:r>
      <w:bookmarkStart w:id="13001" w:name="_ETM_Q17_531390"/>
      <w:bookmarkEnd w:id="13001"/>
      <w:r>
        <w:rPr>
          <w:rFonts w:hint="cs"/>
          <w:rtl/>
        </w:rPr>
        <w:t xml:space="preserve">בתולדותיה, </w:t>
      </w:r>
      <w:bookmarkStart w:id="13002" w:name="_ETM_Q17_532630"/>
      <w:bookmarkEnd w:id="13002"/>
      <w:r>
        <w:rPr>
          <w:rFonts w:hint="cs"/>
          <w:rtl/>
        </w:rPr>
        <w:t xml:space="preserve">לקרע </w:t>
      </w:r>
      <w:bookmarkStart w:id="13003" w:name="_ETM_Q17_533290"/>
      <w:bookmarkEnd w:id="13003"/>
      <w:r>
        <w:rPr>
          <w:rFonts w:hint="cs"/>
          <w:rtl/>
        </w:rPr>
        <w:t xml:space="preserve">דרמטי </w:t>
      </w:r>
      <w:bookmarkStart w:id="13004" w:name="_ETM_Q17_534279"/>
      <w:bookmarkEnd w:id="13004"/>
      <w:r>
        <w:rPr>
          <w:rFonts w:hint="cs"/>
          <w:rtl/>
        </w:rPr>
        <w:t xml:space="preserve">שמאיים </w:t>
      </w:r>
      <w:bookmarkStart w:id="13005" w:name="_ETM_Q17_535000"/>
      <w:bookmarkEnd w:id="13005"/>
      <w:r>
        <w:rPr>
          <w:rFonts w:hint="cs"/>
          <w:rtl/>
        </w:rPr>
        <w:t xml:space="preserve">על </w:t>
      </w:r>
      <w:bookmarkStart w:id="13006" w:name="_ETM_Q17_535089"/>
      <w:bookmarkEnd w:id="13006"/>
      <w:r>
        <w:rPr>
          <w:rFonts w:hint="cs"/>
          <w:rtl/>
        </w:rPr>
        <w:t xml:space="preserve">ביטחוננו </w:t>
      </w:r>
      <w:bookmarkStart w:id="13007" w:name="_ETM_Q17_535870"/>
      <w:bookmarkEnd w:id="13007"/>
      <w:r>
        <w:rPr>
          <w:rFonts w:hint="cs"/>
          <w:rtl/>
        </w:rPr>
        <w:t xml:space="preserve">הלאומי </w:t>
      </w:r>
      <w:bookmarkStart w:id="13008" w:name="_ETM_Q17_536860"/>
      <w:bookmarkEnd w:id="13008"/>
      <w:r>
        <w:rPr>
          <w:rFonts w:hint="cs"/>
          <w:rtl/>
        </w:rPr>
        <w:t xml:space="preserve">ועל </w:t>
      </w:r>
      <w:bookmarkStart w:id="13009" w:name="_ETM_Q17_537160"/>
      <w:bookmarkEnd w:id="13009"/>
      <w:r>
        <w:rPr>
          <w:rFonts w:hint="cs"/>
          <w:rtl/>
        </w:rPr>
        <w:t xml:space="preserve">היכולת </w:t>
      </w:r>
      <w:bookmarkStart w:id="13010" w:name="_ETM_Q17_537760"/>
      <w:bookmarkEnd w:id="13010"/>
      <w:r>
        <w:rPr>
          <w:rFonts w:hint="cs"/>
          <w:rtl/>
        </w:rPr>
        <w:t xml:space="preserve">לקיים </w:t>
      </w:r>
      <w:bookmarkStart w:id="13011" w:name="_ETM_Q17_538270"/>
      <w:bookmarkEnd w:id="13011"/>
      <w:r>
        <w:rPr>
          <w:rFonts w:hint="cs"/>
          <w:rtl/>
        </w:rPr>
        <w:t xml:space="preserve">חברה </w:t>
      </w:r>
      <w:bookmarkStart w:id="13012" w:name="_ETM_Q17_538660"/>
      <w:bookmarkEnd w:id="13012"/>
      <w:r>
        <w:rPr>
          <w:rFonts w:hint="cs"/>
          <w:rtl/>
        </w:rPr>
        <w:t xml:space="preserve">מגוונת </w:t>
      </w:r>
      <w:bookmarkStart w:id="13013" w:name="_ETM_Q17_539320"/>
      <w:bookmarkStart w:id="13014" w:name="_ETM_Q17_539589"/>
      <w:bookmarkEnd w:id="13013"/>
      <w:bookmarkEnd w:id="13014"/>
      <w:r>
        <w:rPr>
          <w:rFonts w:hint="cs"/>
          <w:rtl/>
        </w:rPr>
        <w:t xml:space="preserve">אך </w:t>
      </w:r>
      <w:bookmarkStart w:id="13015" w:name="_ETM_Q17_539800"/>
      <w:bookmarkEnd w:id="13015"/>
      <w:r>
        <w:rPr>
          <w:rFonts w:hint="cs"/>
          <w:rtl/>
        </w:rPr>
        <w:t>מלוכדת.</w:t>
      </w:r>
      <w:bookmarkStart w:id="13016" w:name="_ETM_Q17_541260"/>
      <w:bookmarkEnd w:id="13016"/>
      <w:r>
        <w:rPr>
          <w:rFonts w:hint="cs"/>
          <w:rtl/>
        </w:rPr>
        <w:t xml:space="preserve"> אני </w:t>
      </w:r>
      <w:bookmarkStart w:id="13017" w:name="_ETM_Q17_541529"/>
      <w:bookmarkEnd w:id="13017"/>
      <w:r>
        <w:rPr>
          <w:rFonts w:hint="cs"/>
          <w:rtl/>
        </w:rPr>
        <w:t xml:space="preserve">מאשים </w:t>
      </w:r>
      <w:bookmarkStart w:id="13018" w:name="_ETM_Q17_541979"/>
      <w:bookmarkEnd w:id="13018"/>
      <w:r>
        <w:rPr>
          <w:rFonts w:hint="cs"/>
          <w:rtl/>
        </w:rPr>
        <w:t xml:space="preserve">אותך, </w:t>
      </w:r>
      <w:bookmarkStart w:id="13019" w:name="_ETM_Q17_542339"/>
      <w:bookmarkEnd w:id="13019"/>
      <w:r>
        <w:rPr>
          <w:rFonts w:hint="cs"/>
          <w:rtl/>
        </w:rPr>
        <w:t xml:space="preserve">ראש </w:t>
      </w:r>
      <w:bookmarkStart w:id="13020" w:name="_ETM_Q17_542609"/>
      <w:bookmarkEnd w:id="13020"/>
      <w:r>
        <w:rPr>
          <w:rFonts w:hint="cs"/>
          <w:rtl/>
        </w:rPr>
        <w:t xml:space="preserve">הממשלה </w:t>
      </w:r>
      <w:bookmarkStart w:id="13021" w:name="_ETM_Q17_543149"/>
      <w:bookmarkEnd w:id="13021"/>
      <w:r>
        <w:rPr>
          <w:rFonts w:hint="cs"/>
          <w:rtl/>
        </w:rPr>
        <w:t xml:space="preserve">נתניהו, </w:t>
      </w:r>
      <w:bookmarkStart w:id="13022" w:name="_ETM_Q17_544259"/>
      <w:bookmarkEnd w:id="13022"/>
      <w:r>
        <w:rPr>
          <w:rFonts w:hint="cs"/>
          <w:rtl/>
        </w:rPr>
        <w:t xml:space="preserve">בכריתת </w:t>
      </w:r>
      <w:bookmarkStart w:id="13023" w:name="_ETM_Q17_544979"/>
      <w:bookmarkEnd w:id="13023"/>
      <w:r>
        <w:rPr>
          <w:rFonts w:hint="cs"/>
          <w:rtl/>
        </w:rPr>
        <w:t xml:space="preserve">ברית </w:t>
      </w:r>
      <w:bookmarkStart w:id="13024" w:name="_ETM_Q17_545460"/>
      <w:bookmarkEnd w:id="13024"/>
      <w:r>
        <w:rPr>
          <w:rFonts w:hint="cs"/>
          <w:rtl/>
        </w:rPr>
        <w:t xml:space="preserve">עם הגורמים </w:t>
      </w:r>
      <w:bookmarkStart w:id="13025" w:name="_ETM_Q17_546000"/>
      <w:bookmarkEnd w:id="13025"/>
      <w:r>
        <w:rPr>
          <w:rFonts w:hint="cs"/>
          <w:rtl/>
        </w:rPr>
        <w:t xml:space="preserve">הקיצוניים </w:t>
      </w:r>
      <w:bookmarkStart w:id="13026" w:name="_ETM_Q17_546839"/>
      <w:bookmarkEnd w:id="13026"/>
      <w:r>
        <w:rPr>
          <w:rFonts w:hint="cs"/>
          <w:rtl/>
        </w:rPr>
        <w:t xml:space="preserve">והקנאיים </w:t>
      </w:r>
      <w:bookmarkStart w:id="13027" w:name="_ETM_Q17_547649"/>
      <w:bookmarkEnd w:id="13027"/>
      <w:r>
        <w:rPr>
          <w:rFonts w:hint="cs"/>
          <w:rtl/>
        </w:rPr>
        <w:t xml:space="preserve">ביותר </w:t>
      </w:r>
      <w:bookmarkStart w:id="13028" w:name="_ETM_Q17_548610"/>
      <w:bookmarkEnd w:id="13028"/>
      <w:r>
        <w:rPr>
          <w:rFonts w:hint="cs"/>
          <w:rtl/>
        </w:rPr>
        <w:t xml:space="preserve">בפוליטיקה </w:t>
      </w:r>
      <w:bookmarkStart w:id="13029" w:name="_ETM_Q17_549450"/>
      <w:bookmarkEnd w:id="13029"/>
      <w:r>
        <w:rPr>
          <w:rFonts w:hint="cs"/>
          <w:rtl/>
        </w:rPr>
        <w:t xml:space="preserve">הישראלית. </w:t>
      </w:r>
      <w:bookmarkStart w:id="13030" w:name="_ETM_Q17_550860"/>
      <w:bookmarkEnd w:id="13030"/>
      <w:r>
        <w:rPr>
          <w:rFonts w:hint="cs"/>
          <w:rtl/>
        </w:rPr>
        <w:t xml:space="preserve">אלו </w:t>
      </w:r>
      <w:bookmarkStart w:id="13031" w:name="_ETM_Q17_551220"/>
      <w:bookmarkEnd w:id="13031"/>
      <w:r>
        <w:rPr>
          <w:rFonts w:hint="cs"/>
          <w:rtl/>
        </w:rPr>
        <w:t xml:space="preserve">שהקודמים </w:t>
      </w:r>
      <w:bookmarkStart w:id="13032" w:name="_ETM_Q17_552120"/>
      <w:bookmarkEnd w:id="13032"/>
      <w:r>
        <w:rPr>
          <w:rFonts w:hint="cs"/>
          <w:rtl/>
        </w:rPr>
        <w:t xml:space="preserve">לך </w:t>
      </w:r>
      <w:bookmarkStart w:id="13033" w:name="_ETM_Q17_552839"/>
      <w:bookmarkEnd w:id="13033"/>
      <w:r>
        <w:rPr>
          <w:rFonts w:hint="cs"/>
          <w:rtl/>
        </w:rPr>
        <w:t xml:space="preserve">בהנהגת </w:t>
      </w:r>
      <w:bookmarkStart w:id="13034" w:name="_ETM_Q17_553650"/>
      <w:bookmarkEnd w:id="13034"/>
      <w:r>
        <w:rPr>
          <w:rFonts w:hint="cs"/>
          <w:rtl/>
        </w:rPr>
        <w:t xml:space="preserve">הליכוד </w:t>
      </w:r>
      <w:bookmarkStart w:id="13035" w:name="_ETM_Q17_554610"/>
      <w:bookmarkEnd w:id="13035"/>
      <w:r>
        <w:rPr>
          <w:rFonts w:hint="cs"/>
          <w:rtl/>
        </w:rPr>
        <w:t xml:space="preserve">החרימו, </w:t>
      </w:r>
      <w:bookmarkStart w:id="13036" w:name="_ETM_Q17_556100"/>
      <w:bookmarkEnd w:id="13036"/>
      <w:r>
        <w:rPr>
          <w:rFonts w:hint="cs"/>
          <w:rtl/>
        </w:rPr>
        <w:t xml:space="preserve">אתה </w:t>
      </w:r>
      <w:bookmarkStart w:id="13037" w:name="_ETM_Q17_556700"/>
      <w:bookmarkStart w:id="13038" w:name="_ETM_Q17_557299"/>
      <w:bookmarkStart w:id="13039" w:name="_ETM_Q17_557570"/>
      <w:bookmarkEnd w:id="13037"/>
      <w:bookmarkEnd w:id="13038"/>
      <w:bookmarkEnd w:id="13039"/>
      <w:r>
        <w:rPr>
          <w:rFonts w:hint="cs"/>
          <w:rtl/>
        </w:rPr>
        <w:t xml:space="preserve">כָּרַתָ איתם </w:t>
      </w:r>
      <w:bookmarkStart w:id="13040" w:name="_ETM_Q17_557960"/>
      <w:bookmarkEnd w:id="13040"/>
      <w:r>
        <w:rPr>
          <w:rFonts w:hint="cs"/>
          <w:rtl/>
        </w:rPr>
        <w:t xml:space="preserve">ברית, </w:t>
      </w:r>
      <w:bookmarkStart w:id="13041" w:name="_ETM_Q17_558829"/>
      <w:bookmarkEnd w:id="13041"/>
      <w:r>
        <w:rPr>
          <w:rFonts w:hint="cs"/>
          <w:rtl/>
        </w:rPr>
        <w:t xml:space="preserve">והכול </w:t>
      </w:r>
      <w:bookmarkStart w:id="13042" w:name="_ETM_Q17_559579"/>
      <w:bookmarkEnd w:id="13042"/>
      <w:r>
        <w:rPr>
          <w:rFonts w:hint="cs"/>
          <w:rtl/>
        </w:rPr>
        <w:t xml:space="preserve">לצורך </w:t>
      </w:r>
      <w:bookmarkStart w:id="13043" w:name="_ETM_Q17_560149"/>
      <w:bookmarkEnd w:id="13043"/>
      <w:r>
        <w:rPr>
          <w:rFonts w:hint="cs"/>
          <w:rtl/>
        </w:rPr>
        <w:t xml:space="preserve">ההיחלצות </w:t>
      </w:r>
      <w:bookmarkStart w:id="13044" w:name="_ETM_Q17_560899"/>
      <w:bookmarkEnd w:id="13044"/>
      <w:r>
        <w:rPr>
          <w:rFonts w:hint="cs"/>
          <w:rtl/>
        </w:rPr>
        <w:t xml:space="preserve">שלך </w:t>
      </w:r>
      <w:bookmarkStart w:id="13045" w:name="_ETM_Q17_561770"/>
      <w:bookmarkEnd w:id="13045"/>
      <w:r>
        <w:rPr>
          <w:rFonts w:hint="cs"/>
          <w:rtl/>
        </w:rPr>
        <w:t>מ</w:t>
      </w:r>
      <w:bookmarkStart w:id="13046" w:name="_ETM_Q17_562039"/>
      <w:bookmarkEnd w:id="13046"/>
      <w:r>
        <w:rPr>
          <w:rFonts w:hint="cs"/>
          <w:rtl/>
        </w:rPr>
        <w:t xml:space="preserve">ההליכים </w:t>
      </w:r>
      <w:bookmarkStart w:id="13047" w:name="_ETM_Q17_562549"/>
      <w:bookmarkEnd w:id="13047"/>
      <w:r>
        <w:rPr>
          <w:rFonts w:hint="cs"/>
          <w:rtl/>
        </w:rPr>
        <w:t xml:space="preserve">המשפטיים </w:t>
      </w:r>
      <w:bookmarkStart w:id="13048" w:name="_ETM_Q17_563329"/>
      <w:bookmarkEnd w:id="13048"/>
      <w:r>
        <w:rPr>
          <w:rFonts w:hint="cs"/>
          <w:rtl/>
        </w:rPr>
        <w:t xml:space="preserve">המתנהלים </w:t>
      </w:r>
      <w:bookmarkStart w:id="13049" w:name="_ETM_Q17_564110"/>
      <w:bookmarkEnd w:id="13049"/>
      <w:r>
        <w:rPr>
          <w:rFonts w:hint="cs"/>
          <w:rtl/>
        </w:rPr>
        <w:t>נגדך.</w:t>
      </w:r>
      <w:bookmarkStart w:id="13050" w:name="_ETM_Q17_565140"/>
      <w:bookmarkEnd w:id="13050"/>
      <w:r>
        <w:rPr>
          <w:rFonts w:hint="cs"/>
          <w:rtl/>
        </w:rPr>
        <w:t xml:space="preserve"> </w:t>
      </w:r>
      <w:bookmarkStart w:id="13051" w:name="_ETM_Q17_565000"/>
      <w:bookmarkStart w:id="13052" w:name="_ETM_Q17_565057"/>
      <w:bookmarkStart w:id="13053" w:name="_ETM_Q17_565126"/>
      <w:bookmarkStart w:id="13054" w:name="_ETM_Q17_565180"/>
      <w:bookmarkEnd w:id="13051"/>
      <w:bookmarkEnd w:id="13052"/>
      <w:bookmarkEnd w:id="13053"/>
      <w:bookmarkEnd w:id="13054"/>
      <w:r>
        <w:rPr>
          <w:rFonts w:hint="cs"/>
          <w:rtl/>
        </w:rPr>
        <w:t xml:space="preserve">אני </w:t>
      </w:r>
      <w:bookmarkStart w:id="13055" w:name="_ETM_Q17_565470"/>
      <w:bookmarkEnd w:id="13055"/>
      <w:r>
        <w:rPr>
          <w:rFonts w:hint="cs"/>
          <w:rtl/>
        </w:rPr>
        <w:t xml:space="preserve">מאשים </w:t>
      </w:r>
      <w:bookmarkStart w:id="13056" w:name="_ETM_Q17_565979"/>
      <w:bookmarkEnd w:id="13056"/>
      <w:r>
        <w:rPr>
          <w:rFonts w:hint="cs"/>
          <w:rtl/>
        </w:rPr>
        <w:t xml:space="preserve">אותך, </w:t>
      </w:r>
      <w:bookmarkStart w:id="13057" w:name="_ETM_Q17_566339"/>
      <w:bookmarkEnd w:id="13057"/>
      <w:r>
        <w:rPr>
          <w:rFonts w:hint="cs"/>
          <w:rtl/>
        </w:rPr>
        <w:t xml:space="preserve">אדוני </w:t>
      </w:r>
      <w:bookmarkStart w:id="13058" w:name="_ETM_Q17_566670"/>
      <w:bookmarkEnd w:id="13058"/>
      <w:r>
        <w:rPr>
          <w:rFonts w:hint="cs"/>
          <w:rtl/>
        </w:rPr>
        <w:t xml:space="preserve">ראש </w:t>
      </w:r>
      <w:bookmarkStart w:id="13059" w:name="_ETM_Q17_566939"/>
      <w:bookmarkEnd w:id="13059"/>
      <w:r>
        <w:rPr>
          <w:rFonts w:hint="cs"/>
          <w:rtl/>
        </w:rPr>
        <w:t xml:space="preserve">הממשלה, </w:t>
      </w:r>
      <w:bookmarkStart w:id="13060" w:name="_ETM_Q17_568049"/>
      <w:bookmarkEnd w:id="13060"/>
      <w:r>
        <w:rPr>
          <w:rFonts w:hint="cs"/>
          <w:rtl/>
        </w:rPr>
        <w:t xml:space="preserve">בהובלת </w:t>
      </w:r>
      <w:bookmarkStart w:id="13061" w:name="_ETM_Q17_568740"/>
      <w:bookmarkEnd w:id="13061"/>
      <w:r>
        <w:rPr>
          <w:rFonts w:hint="cs"/>
          <w:rtl/>
        </w:rPr>
        <w:t xml:space="preserve">מסע </w:t>
      </w:r>
      <w:bookmarkStart w:id="13062" w:name="_ETM_Q17_569189"/>
      <w:bookmarkEnd w:id="13062"/>
      <w:r>
        <w:rPr>
          <w:rFonts w:hint="cs"/>
          <w:rtl/>
        </w:rPr>
        <w:t xml:space="preserve">הסתה </w:t>
      </w:r>
      <w:bookmarkStart w:id="13063" w:name="_ETM_Q17_570299"/>
      <w:bookmarkEnd w:id="13063"/>
      <w:r>
        <w:rPr>
          <w:rFonts w:hint="cs"/>
          <w:rtl/>
        </w:rPr>
        <w:t xml:space="preserve">נגד </w:t>
      </w:r>
      <w:bookmarkStart w:id="13064" w:name="_ETM_Q17_570750"/>
      <w:bookmarkEnd w:id="13064"/>
      <w:r>
        <w:rPr>
          <w:rFonts w:hint="cs"/>
          <w:rtl/>
        </w:rPr>
        <w:t xml:space="preserve">קהלים </w:t>
      </w:r>
      <w:bookmarkStart w:id="13065" w:name="_ETM_Q17_571229"/>
      <w:bookmarkEnd w:id="13065"/>
      <w:r>
        <w:rPr>
          <w:rFonts w:hint="cs"/>
          <w:rtl/>
        </w:rPr>
        <w:t xml:space="preserve">ישראליים </w:t>
      </w:r>
      <w:bookmarkStart w:id="13066" w:name="_ETM_Q17_571860"/>
      <w:bookmarkEnd w:id="13066"/>
      <w:r>
        <w:rPr>
          <w:rFonts w:hint="cs"/>
          <w:rtl/>
        </w:rPr>
        <w:t xml:space="preserve">שלמים, </w:t>
      </w:r>
      <w:bookmarkStart w:id="13067" w:name="_ETM_Q17_572920"/>
      <w:bookmarkEnd w:id="13067"/>
      <w:r>
        <w:rPr>
          <w:rFonts w:hint="cs"/>
          <w:rtl/>
        </w:rPr>
        <w:t xml:space="preserve">אם </w:t>
      </w:r>
      <w:bookmarkStart w:id="13068" w:name="_ETM_Q17_573159"/>
      <w:bookmarkEnd w:id="13068"/>
      <w:r>
        <w:rPr>
          <w:rFonts w:hint="cs"/>
          <w:rtl/>
        </w:rPr>
        <w:t xml:space="preserve">ישירות </w:t>
      </w:r>
      <w:bookmarkStart w:id="13069" w:name="_ETM_Q17_573759"/>
      <w:bookmarkEnd w:id="13069"/>
      <w:r>
        <w:rPr>
          <w:rFonts w:hint="cs"/>
          <w:rtl/>
        </w:rPr>
        <w:t xml:space="preserve">מפיך </w:t>
      </w:r>
      <w:bookmarkStart w:id="13070" w:name="_ETM_Q17_574750"/>
      <w:bookmarkEnd w:id="13070"/>
      <w:r>
        <w:rPr>
          <w:rFonts w:hint="cs"/>
          <w:rtl/>
        </w:rPr>
        <w:t xml:space="preserve">ואם </w:t>
      </w:r>
      <w:bookmarkStart w:id="13071" w:name="_ETM_Q17_575079"/>
      <w:bookmarkEnd w:id="13071"/>
      <w:r>
        <w:rPr>
          <w:rFonts w:hint="cs"/>
          <w:rtl/>
        </w:rPr>
        <w:t xml:space="preserve">באמצעות </w:t>
      </w:r>
      <w:bookmarkStart w:id="13072" w:name="_ETM_Q17_575710"/>
      <w:bookmarkEnd w:id="13072"/>
      <w:r>
        <w:rPr>
          <w:rFonts w:hint="cs"/>
          <w:rtl/>
        </w:rPr>
        <w:t xml:space="preserve">שליחי </w:t>
      </w:r>
      <w:bookmarkStart w:id="13073" w:name="_ETM_Q17_576339"/>
      <w:bookmarkEnd w:id="13073"/>
      <w:r>
        <w:rPr>
          <w:rFonts w:hint="cs"/>
          <w:rtl/>
        </w:rPr>
        <w:t xml:space="preserve">החבלה </w:t>
      </w:r>
      <w:bookmarkStart w:id="13074" w:name="_ETM_Q17_577299"/>
      <w:bookmarkEnd w:id="13074"/>
      <w:r>
        <w:rPr>
          <w:rFonts w:hint="cs"/>
          <w:rtl/>
        </w:rPr>
        <w:t xml:space="preserve">המתייצבים </w:t>
      </w:r>
      <w:bookmarkStart w:id="13075" w:name="_ETM_Q17_578110"/>
      <w:bookmarkEnd w:id="13075"/>
      <w:r>
        <w:rPr>
          <w:rFonts w:hint="cs"/>
          <w:rtl/>
        </w:rPr>
        <w:t xml:space="preserve">כאן </w:t>
      </w:r>
      <w:bookmarkStart w:id="13076" w:name="_ETM_Q17_578409"/>
      <w:bookmarkEnd w:id="13076"/>
      <w:r>
        <w:rPr>
          <w:rFonts w:hint="cs"/>
          <w:rtl/>
        </w:rPr>
        <w:t xml:space="preserve">על </w:t>
      </w:r>
      <w:bookmarkStart w:id="13077" w:name="_ETM_Q17_578529"/>
      <w:bookmarkEnd w:id="13077"/>
      <w:r>
        <w:rPr>
          <w:rFonts w:hint="cs"/>
          <w:rtl/>
        </w:rPr>
        <w:t xml:space="preserve">הדוכן </w:t>
      </w:r>
      <w:bookmarkStart w:id="13078" w:name="_ETM_Q17_579130"/>
      <w:bookmarkEnd w:id="13078"/>
      <w:r>
        <w:rPr>
          <w:rFonts w:hint="cs"/>
          <w:rtl/>
        </w:rPr>
        <w:t xml:space="preserve">להפיץ </w:t>
      </w:r>
      <w:bookmarkStart w:id="13079" w:name="_ETM_Q17_579640"/>
      <w:bookmarkEnd w:id="13079"/>
      <w:r>
        <w:rPr>
          <w:rFonts w:hint="cs"/>
          <w:rtl/>
        </w:rPr>
        <w:t xml:space="preserve">שנאת </w:t>
      </w:r>
      <w:bookmarkStart w:id="13080" w:name="_ETM_Q17_580149"/>
      <w:bookmarkEnd w:id="13080"/>
      <w:r>
        <w:rPr>
          <w:rFonts w:hint="cs"/>
          <w:rtl/>
        </w:rPr>
        <w:t xml:space="preserve">אחים. </w:t>
      </w:r>
      <w:bookmarkStart w:id="13081" w:name="_ETM_Q17_581180"/>
      <w:bookmarkEnd w:id="13081"/>
      <w:r>
        <w:rPr>
          <w:rFonts w:hint="cs"/>
          <w:rtl/>
        </w:rPr>
        <w:t xml:space="preserve">אני </w:t>
      </w:r>
      <w:bookmarkStart w:id="13082" w:name="_ETM_Q17_581390"/>
      <w:bookmarkEnd w:id="13082"/>
      <w:r>
        <w:rPr>
          <w:rFonts w:hint="cs"/>
          <w:rtl/>
        </w:rPr>
        <w:t xml:space="preserve">מאשים </w:t>
      </w:r>
      <w:bookmarkStart w:id="13083" w:name="_ETM_Q17_581839"/>
      <w:bookmarkEnd w:id="13083"/>
      <w:r>
        <w:rPr>
          <w:rFonts w:hint="cs"/>
          <w:rtl/>
        </w:rPr>
        <w:t xml:space="preserve">אותך, </w:t>
      </w:r>
      <w:bookmarkStart w:id="13084" w:name="_ETM_Q17_582170"/>
      <w:bookmarkEnd w:id="13084"/>
      <w:r>
        <w:rPr>
          <w:rFonts w:hint="cs"/>
          <w:rtl/>
        </w:rPr>
        <w:t xml:space="preserve">ראש הממשלה, </w:t>
      </w:r>
      <w:bookmarkStart w:id="13085" w:name="_ETM_Q17_583490"/>
      <w:bookmarkEnd w:id="13085"/>
      <w:r>
        <w:rPr>
          <w:rFonts w:hint="cs"/>
          <w:rtl/>
        </w:rPr>
        <w:t xml:space="preserve">שפגעת </w:t>
      </w:r>
      <w:bookmarkStart w:id="13086" w:name="_ETM_Q17_584360"/>
      <w:bookmarkEnd w:id="13086"/>
      <w:r>
        <w:rPr>
          <w:rFonts w:hint="cs"/>
          <w:rtl/>
        </w:rPr>
        <w:t xml:space="preserve">אנושות </w:t>
      </w:r>
      <w:bookmarkStart w:id="13087" w:name="_ETM_Q17_584899"/>
      <w:bookmarkEnd w:id="13087"/>
      <w:r>
        <w:rPr>
          <w:rFonts w:hint="cs"/>
          <w:rtl/>
        </w:rPr>
        <w:t xml:space="preserve">בקשרים </w:t>
      </w:r>
      <w:bookmarkStart w:id="13088" w:name="_ETM_Q17_585409"/>
      <w:bookmarkEnd w:id="13088"/>
      <w:r>
        <w:rPr>
          <w:rFonts w:hint="cs"/>
          <w:rtl/>
        </w:rPr>
        <w:t xml:space="preserve">של </w:t>
      </w:r>
      <w:bookmarkStart w:id="13089" w:name="_ETM_Q17_585619"/>
      <w:bookmarkEnd w:id="13089"/>
      <w:r>
        <w:rPr>
          <w:rFonts w:hint="cs"/>
          <w:rtl/>
        </w:rPr>
        <w:t xml:space="preserve">מדינת </w:t>
      </w:r>
      <w:bookmarkStart w:id="13090" w:name="_ETM_Q17_586130"/>
      <w:bookmarkEnd w:id="13090"/>
      <w:r>
        <w:rPr>
          <w:rFonts w:hint="cs"/>
          <w:rtl/>
        </w:rPr>
        <w:t xml:space="preserve">ישראל </w:t>
      </w:r>
      <w:bookmarkStart w:id="13091" w:name="_ETM_Q17_587119"/>
      <w:bookmarkEnd w:id="13091"/>
      <w:r>
        <w:rPr>
          <w:rFonts w:hint="cs"/>
          <w:rtl/>
        </w:rPr>
        <w:t xml:space="preserve">עם </w:t>
      </w:r>
      <w:bookmarkStart w:id="13092" w:name="_ETM_Q17_587299"/>
      <w:bookmarkEnd w:id="13092"/>
      <w:r>
        <w:rPr>
          <w:rFonts w:hint="cs"/>
          <w:rtl/>
        </w:rPr>
        <w:t xml:space="preserve">החשובה </w:t>
      </w:r>
      <w:bookmarkStart w:id="13093" w:name="_ETM_Q17_588200"/>
      <w:bookmarkEnd w:id="13093"/>
      <w:r>
        <w:rPr>
          <w:rFonts w:hint="cs"/>
          <w:rtl/>
        </w:rPr>
        <w:t xml:space="preserve">בידידותיה; </w:t>
      </w:r>
      <w:bookmarkStart w:id="13094" w:name="_ETM_Q17_589670"/>
      <w:bookmarkEnd w:id="13094"/>
      <w:r>
        <w:rPr>
          <w:rFonts w:hint="cs"/>
          <w:rtl/>
        </w:rPr>
        <w:t xml:space="preserve">שהפכת </w:t>
      </w:r>
      <w:bookmarkStart w:id="13095" w:name="_ETM_Q17_590509"/>
      <w:bookmarkEnd w:id="13095"/>
      <w:r>
        <w:rPr>
          <w:rFonts w:hint="cs"/>
          <w:rtl/>
        </w:rPr>
        <w:t xml:space="preserve">לפרסונה </w:t>
      </w:r>
      <w:bookmarkStart w:id="13096" w:name="_ETM_Q17_591320"/>
      <w:bookmarkEnd w:id="13096"/>
      <w:r>
        <w:rPr>
          <w:rFonts w:hint="cs"/>
          <w:rtl/>
        </w:rPr>
        <w:t xml:space="preserve">נון </w:t>
      </w:r>
      <w:bookmarkStart w:id="13097" w:name="_ETM_Q17_591649"/>
      <w:bookmarkEnd w:id="13097"/>
      <w:r>
        <w:rPr>
          <w:rFonts w:hint="cs"/>
          <w:rtl/>
        </w:rPr>
        <w:t xml:space="preserve">גרטה </w:t>
      </w:r>
      <w:bookmarkStart w:id="13098" w:name="_ETM_Q17_592130"/>
      <w:bookmarkEnd w:id="13098"/>
      <w:r>
        <w:rPr>
          <w:rFonts w:hint="cs"/>
          <w:rtl/>
        </w:rPr>
        <w:t xml:space="preserve">בוושינגטון; </w:t>
      </w:r>
      <w:bookmarkStart w:id="13099" w:name="_ETM_Q17_593390"/>
      <w:bookmarkEnd w:id="13099"/>
      <w:r>
        <w:rPr>
          <w:rFonts w:hint="cs"/>
          <w:rtl/>
        </w:rPr>
        <w:t xml:space="preserve">לדמות </w:t>
      </w:r>
      <w:bookmarkStart w:id="13100" w:name="_ETM_Q17_594470"/>
      <w:bookmarkEnd w:id="13100"/>
      <w:r>
        <w:rPr>
          <w:rFonts w:hint="cs"/>
          <w:rtl/>
        </w:rPr>
        <w:t xml:space="preserve">שראשי </w:t>
      </w:r>
      <w:bookmarkStart w:id="13101" w:name="_ETM_Q17_595070"/>
      <w:bookmarkEnd w:id="13101"/>
      <w:r>
        <w:rPr>
          <w:rFonts w:hint="cs"/>
          <w:rtl/>
        </w:rPr>
        <w:t xml:space="preserve">הממשלה </w:t>
      </w:r>
      <w:bookmarkStart w:id="13102" w:name="_ETM_Q17_595729"/>
      <w:bookmarkEnd w:id="13102"/>
      <w:r>
        <w:rPr>
          <w:rFonts w:hint="cs"/>
          <w:rtl/>
        </w:rPr>
        <w:t xml:space="preserve">ברחבי </w:t>
      </w:r>
      <w:bookmarkStart w:id="13103" w:name="_ETM_Q17_596240"/>
      <w:bookmarkEnd w:id="13103"/>
      <w:r>
        <w:rPr>
          <w:rFonts w:hint="cs"/>
          <w:rtl/>
        </w:rPr>
        <w:t xml:space="preserve">העולם </w:t>
      </w:r>
      <w:bookmarkStart w:id="13104" w:name="_ETM_Q17_596630"/>
      <w:bookmarkEnd w:id="13104"/>
      <w:r>
        <w:rPr>
          <w:rFonts w:hint="cs"/>
          <w:rtl/>
        </w:rPr>
        <w:t xml:space="preserve">הדמוקרטי </w:t>
      </w:r>
      <w:bookmarkStart w:id="13105" w:name="_ETM_Q17_597409"/>
      <w:bookmarkEnd w:id="13105"/>
      <w:r>
        <w:rPr>
          <w:rFonts w:hint="cs"/>
          <w:rtl/>
        </w:rPr>
        <w:t xml:space="preserve">מנסים </w:t>
      </w:r>
      <w:bookmarkStart w:id="13106" w:name="_ETM_Q17_597920"/>
      <w:bookmarkEnd w:id="13106"/>
      <w:r>
        <w:rPr>
          <w:rFonts w:hint="cs"/>
          <w:rtl/>
        </w:rPr>
        <w:t xml:space="preserve">להתחמק </w:t>
      </w:r>
      <w:bookmarkStart w:id="13107" w:name="_ETM_Q17_598580"/>
      <w:bookmarkEnd w:id="13107"/>
      <w:r>
        <w:rPr>
          <w:rFonts w:hint="cs"/>
          <w:rtl/>
        </w:rPr>
        <w:t>ממנה.</w:t>
      </w:r>
      <w:bookmarkStart w:id="13108" w:name="_ETM_Q17_599570"/>
      <w:bookmarkEnd w:id="13108"/>
      <w:r>
        <w:rPr>
          <w:rFonts w:hint="cs"/>
          <w:rtl/>
        </w:rPr>
        <w:t xml:space="preserve"> אני </w:t>
      </w:r>
      <w:bookmarkStart w:id="13109" w:name="_ETM_Q17_599779"/>
      <w:bookmarkEnd w:id="13109"/>
      <w:r>
        <w:rPr>
          <w:rFonts w:hint="cs"/>
          <w:rtl/>
        </w:rPr>
        <w:t xml:space="preserve">מאשים </w:t>
      </w:r>
      <w:bookmarkStart w:id="13110" w:name="_ETM_Q17_600259"/>
      <w:bookmarkEnd w:id="13110"/>
      <w:r>
        <w:rPr>
          <w:rFonts w:hint="cs"/>
          <w:rtl/>
        </w:rPr>
        <w:t xml:space="preserve">אותך </w:t>
      </w:r>
      <w:bookmarkStart w:id="13111" w:name="_ETM_Q17_600589"/>
      <w:bookmarkEnd w:id="13111"/>
      <w:r>
        <w:rPr>
          <w:rFonts w:hint="cs"/>
          <w:rtl/>
        </w:rPr>
        <w:t xml:space="preserve">בתרבות </w:t>
      </w:r>
      <w:bookmarkStart w:id="13112" w:name="_ETM_Q17_601279"/>
      <w:bookmarkEnd w:id="13112"/>
      <w:r>
        <w:rPr>
          <w:rFonts w:hint="cs"/>
          <w:rtl/>
        </w:rPr>
        <w:t xml:space="preserve">פוליטית </w:t>
      </w:r>
      <w:bookmarkStart w:id="13113" w:name="_ETM_Q17_601850"/>
      <w:bookmarkEnd w:id="13113"/>
      <w:r>
        <w:rPr>
          <w:rFonts w:hint="cs"/>
          <w:rtl/>
        </w:rPr>
        <w:t xml:space="preserve">של </w:t>
      </w:r>
      <w:bookmarkStart w:id="13114" w:name="_ETM_Q17_602029"/>
      <w:bookmarkEnd w:id="13114"/>
      <w:r>
        <w:rPr>
          <w:rFonts w:hint="cs"/>
          <w:rtl/>
        </w:rPr>
        <w:t xml:space="preserve">שקרים, </w:t>
      </w:r>
      <w:bookmarkStart w:id="13115" w:name="_ETM_Q17_602990"/>
      <w:bookmarkEnd w:id="13115"/>
      <w:r>
        <w:rPr>
          <w:rFonts w:hint="cs"/>
          <w:rtl/>
        </w:rPr>
        <w:t xml:space="preserve">חצאי </w:t>
      </w:r>
      <w:bookmarkStart w:id="13116" w:name="_ETM_Q17_603589"/>
      <w:bookmarkEnd w:id="13116"/>
      <w:r>
        <w:rPr>
          <w:rFonts w:hint="cs"/>
          <w:rtl/>
        </w:rPr>
        <w:t xml:space="preserve">אמיתות </w:t>
      </w:r>
      <w:bookmarkStart w:id="13117" w:name="_ETM_Q17_604399"/>
      <w:bookmarkEnd w:id="13117"/>
      <w:r>
        <w:rPr>
          <w:rFonts w:hint="cs"/>
          <w:rtl/>
        </w:rPr>
        <w:t xml:space="preserve">ופייק </w:t>
      </w:r>
      <w:bookmarkStart w:id="13118" w:name="_ETM_Q17_605029"/>
      <w:bookmarkEnd w:id="13118"/>
      <w:r>
        <w:rPr>
          <w:rFonts w:hint="cs"/>
          <w:rtl/>
        </w:rPr>
        <w:t xml:space="preserve">ניוז. </w:t>
      </w:r>
      <w:bookmarkStart w:id="13119" w:name="_ETM_Q17_606359"/>
      <w:bookmarkEnd w:id="13119"/>
    </w:p>
    <w:p w:rsidR="000C5C1F" w:rsidRDefault="000C5C1F" w:rsidP="000C5C1F">
      <w:pPr>
        <w:rPr>
          <w:rtl/>
        </w:rPr>
      </w:pPr>
    </w:p>
    <w:p w:rsidR="000C5C1F" w:rsidRDefault="000C5C1F" w:rsidP="000C5C1F">
      <w:pPr>
        <w:rPr>
          <w:rtl/>
        </w:rPr>
      </w:pPr>
      <w:r>
        <w:rPr>
          <w:rFonts w:hint="cs"/>
          <w:rtl/>
        </w:rPr>
        <w:t xml:space="preserve">אני </w:t>
      </w:r>
      <w:bookmarkStart w:id="13120" w:name="_ETM_Q17_606599"/>
      <w:bookmarkEnd w:id="13120"/>
      <w:r>
        <w:rPr>
          <w:rFonts w:hint="cs"/>
          <w:rtl/>
        </w:rPr>
        <w:t xml:space="preserve">מאשים </w:t>
      </w:r>
      <w:bookmarkStart w:id="13121" w:name="_ETM_Q17_607020"/>
      <w:bookmarkEnd w:id="13121"/>
      <w:r>
        <w:rPr>
          <w:rFonts w:hint="cs"/>
          <w:rtl/>
        </w:rPr>
        <w:t xml:space="preserve">אותך, </w:t>
      </w:r>
      <w:bookmarkStart w:id="13122" w:name="_ETM_Q17_607349"/>
      <w:bookmarkEnd w:id="13122"/>
      <w:r>
        <w:rPr>
          <w:rFonts w:hint="cs"/>
          <w:rtl/>
        </w:rPr>
        <w:t xml:space="preserve">שר </w:t>
      </w:r>
      <w:bookmarkStart w:id="13123" w:name="_ETM_Q17_607649"/>
      <w:bookmarkEnd w:id="13123"/>
      <w:r>
        <w:rPr>
          <w:rFonts w:hint="cs"/>
          <w:rtl/>
        </w:rPr>
        <w:t xml:space="preserve">המשפטים </w:t>
      </w:r>
      <w:bookmarkStart w:id="13124" w:name="_ETM_Q17_608250"/>
      <w:bookmarkEnd w:id="13124"/>
      <w:r>
        <w:rPr>
          <w:rFonts w:hint="cs"/>
          <w:rtl/>
        </w:rPr>
        <w:t xml:space="preserve">לוין, </w:t>
      </w:r>
      <w:bookmarkStart w:id="13125" w:name="_ETM_Q17_609180"/>
      <w:bookmarkEnd w:id="13125"/>
      <w:r>
        <w:rPr>
          <w:rFonts w:hint="cs"/>
          <w:rtl/>
        </w:rPr>
        <w:t xml:space="preserve">שהפכת </w:t>
      </w:r>
      <w:bookmarkStart w:id="13126" w:name="_ETM_Q17_609959"/>
      <w:bookmarkEnd w:id="13126"/>
      <w:r>
        <w:rPr>
          <w:rFonts w:hint="cs"/>
          <w:rtl/>
        </w:rPr>
        <w:t xml:space="preserve">מסמל </w:t>
      </w:r>
      <w:bookmarkStart w:id="13127" w:name="_ETM_Q17_610500"/>
      <w:bookmarkEnd w:id="13127"/>
      <w:r>
        <w:rPr>
          <w:rFonts w:hint="cs"/>
          <w:rtl/>
        </w:rPr>
        <w:t xml:space="preserve">של </w:t>
      </w:r>
      <w:bookmarkStart w:id="13128" w:name="_ETM_Q17_610739"/>
      <w:bookmarkEnd w:id="13128"/>
      <w:r>
        <w:rPr>
          <w:rFonts w:hint="cs"/>
          <w:rtl/>
        </w:rPr>
        <w:t xml:space="preserve">ממלכתיות </w:t>
      </w:r>
      <w:bookmarkStart w:id="13129" w:name="_ETM_Q17_611939"/>
      <w:bookmarkEnd w:id="13129"/>
      <w:r>
        <w:rPr>
          <w:rFonts w:hint="cs"/>
          <w:rtl/>
        </w:rPr>
        <w:t xml:space="preserve">לסמל </w:t>
      </w:r>
      <w:bookmarkStart w:id="13130" w:name="_ETM_Q17_612599"/>
      <w:bookmarkEnd w:id="13130"/>
      <w:r>
        <w:rPr>
          <w:rFonts w:hint="cs"/>
          <w:rtl/>
        </w:rPr>
        <w:t xml:space="preserve">של </w:t>
      </w:r>
      <w:bookmarkStart w:id="13131" w:name="_ETM_Q17_612840"/>
      <w:bookmarkEnd w:id="13131"/>
      <w:r>
        <w:rPr>
          <w:rFonts w:hint="cs"/>
          <w:rtl/>
        </w:rPr>
        <w:t xml:space="preserve">קנאות </w:t>
      </w:r>
      <w:bookmarkStart w:id="13132" w:name="_ETM_Q17_613470"/>
      <w:bookmarkEnd w:id="13132"/>
      <w:r>
        <w:rPr>
          <w:rFonts w:hint="cs"/>
          <w:rtl/>
        </w:rPr>
        <w:t xml:space="preserve">אידיאולוגית </w:t>
      </w:r>
      <w:bookmarkStart w:id="13133" w:name="_ETM_Q17_614590"/>
      <w:bookmarkEnd w:id="13133"/>
      <w:r>
        <w:rPr>
          <w:rFonts w:hint="cs"/>
          <w:rtl/>
        </w:rPr>
        <w:t>ו</w:t>
      </w:r>
      <w:bookmarkStart w:id="13134" w:name="_ETM_Q17_614830"/>
      <w:bookmarkEnd w:id="13134"/>
      <w:r>
        <w:rPr>
          <w:rFonts w:hint="cs"/>
          <w:rtl/>
        </w:rPr>
        <w:t xml:space="preserve">פוליטיקה </w:t>
      </w:r>
      <w:bookmarkStart w:id="13135" w:name="_ETM_Q17_615490"/>
      <w:bookmarkEnd w:id="13135"/>
      <w:r>
        <w:rPr>
          <w:rFonts w:hint="cs"/>
          <w:rtl/>
        </w:rPr>
        <w:t xml:space="preserve">חסרת </w:t>
      </w:r>
      <w:bookmarkStart w:id="13136" w:name="_ETM_Q17_616000"/>
      <w:bookmarkEnd w:id="13136"/>
      <w:r>
        <w:rPr>
          <w:rFonts w:hint="cs"/>
          <w:rtl/>
        </w:rPr>
        <w:t xml:space="preserve">גבולות. </w:t>
      </w:r>
      <w:bookmarkStart w:id="13137" w:name="_ETM_Q17_617140"/>
      <w:bookmarkEnd w:id="13137"/>
      <w:r>
        <w:rPr>
          <w:rFonts w:hint="cs"/>
          <w:rtl/>
        </w:rPr>
        <w:t xml:space="preserve">אני </w:t>
      </w:r>
      <w:bookmarkStart w:id="13138" w:name="_ETM_Q17_617349"/>
      <w:bookmarkEnd w:id="13138"/>
      <w:r>
        <w:rPr>
          <w:rFonts w:hint="cs"/>
          <w:rtl/>
        </w:rPr>
        <w:t xml:space="preserve">מאשים </w:t>
      </w:r>
      <w:bookmarkStart w:id="13139" w:name="_ETM_Q17_617770"/>
      <w:bookmarkEnd w:id="13139"/>
      <w:r>
        <w:rPr>
          <w:rFonts w:hint="cs"/>
          <w:rtl/>
        </w:rPr>
        <w:t xml:space="preserve">אותך </w:t>
      </w:r>
      <w:bookmarkStart w:id="13140" w:name="_ETM_Q17_618069"/>
      <w:bookmarkEnd w:id="13140"/>
      <w:r>
        <w:rPr>
          <w:rFonts w:hint="cs"/>
          <w:rtl/>
        </w:rPr>
        <w:t>שש</w:t>
      </w:r>
      <w:bookmarkStart w:id="13141" w:name="_ETM_Q17_618489"/>
      <w:bookmarkEnd w:id="13141"/>
      <w:r>
        <w:rPr>
          <w:rFonts w:hint="cs"/>
          <w:rtl/>
        </w:rPr>
        <w:t xml:space="preserve">עבדת </w:t>
      </w:r>
      <w:bookmarkStart w:id="13142" w:name="_ETM_Q17_619150"/>
      <w:bookmarkEnd w:id="13142"/>
      <w:r>
        <w:rPr>
          <w:rFonts w:hint="cs"/>
          <w:rtl/>
        </w:rPr>
        <w:t xml:space="preserve">את </w:t>
      </w:r>
      <w:bookmarkStart w:id="13143" w:name="_ETM_Q17_619300"/>
      <w:bookmarkEnd w:id="13143"/>
      <w:r>
        <w:rPr>
          <w:rFonts w:hint="cs"/>
          <w:rtl/>
        </w:rPr>
        <w:t xml:space="preserve">משרד </w:t>
      </w:r>
      <w:bookmarkStart w:id="13144" w:name="_ETM_Q17_619720"/>
      <w:bookmarkEnd w:id="13144"/>
      <w:r>
        <w:rPr>
          <w:rFonts w:hint="cs"/>
          <w:rtl/>
        </w:rPr>
        <w:t xml:space="preserve">המשפטים </w:t>
      </w:r>
      <w:bookmarkStart w:id="13145" w:name="_ETM_Q17_620380"/>
      <w:bookmarkEnd w:id="13145"/>
      <w:r>
        <w:rPr>
          <w:rFonts w:hint="cs"/>
          <w:rtl/>
        </w:rPr>
        <w:t xml:space="preserve">כולו </w:t>
      </w:r>
      <w:bookmarkStart w:id="13146" w:name="_ETM_Q17_621180"/>
      <w:bookmarkEnd w:id="13146"/>
      <w:r>
        <w:rPr>
          <w:rFonts w:hint="cs"/>
          <w:rtl/>
        </w:rPr>
        <w:t xml:space="preserve">להפיכה </w:t>
      </w:r>
      <w:bookmarkStart w:id="13147" w:name="_ETM_Q17_621900"/>
      <w:bookmarkEnd w:id="13147"/>
      <w:r>
        <w:rPr>
          <w:rFonts w:hint="cs"/>
          <w:rtl/>
        </w:rPr>
        <w:t xml:space="preserve">המשטרית, </w:t>
      </w:r>
      <w:bookmarkStart w:id="13148" w:name="_ETM_Q17_623040"/>
      <w:bookmarkEnd w:id="13148"/>
      <w:r>
        <w:rPr>
          <w:rFonts w:hint="cs"/>
          <w:rtl/>
        </w:rPr>
        <w:t xml:space="preserve">שהסתרתם </w:t>
      </w:r>
      <w:bookmarkStart w:id="13149" w:name="_ETM_Q17_624060"/>
      <w:bookmarkEnd w:id="13149"/>
      <w:r>
        <w:rPr>
          <w:rFonts w:hint="cs"/>
          <w:rtl/>
        </w:rPr>
        <w:t xml:space="preserve">מעיני </w:t>
      </w:r>
      <w:bookmarkStart w:id="13150" w:name="_ETM_Q17_624480"/>
      <w:bookmarkEnd w:id="13150"/>
      <w:r>
        <w:rPr>
          <w:rFonts w:hint="cs"/>
          <w:rtl/>
        </w:rPr>
        <w:t xml:space="preserve">הציבור </w:t>
      </w:r>
      <w:bookmarkStart w:id="13151" w:name="_ETM_Q17_625140"/>
      <w:bookmarkEnd w:id="13151"/>
      <w:r>
        <w:rPr>
          <w:rFonts w:hint="cs"/>
          <w:rtl/>
        </w:rPr>
        <w:t xml:space="preserve">בקמפיין </w:t>
      </w:r>
      <w:bookmarkStart w:id="13152" w:name="_ETM_Q17_625770"/>
      <w:bookmarkEnd w:id="13152"/>
      <w:r>
        <w:rPr>
          <w:rFonts w:hint="cs"/>
          <w:rtl/>
        </w:rPr>
        <w:t xml:space="preserve">הבחירות </w:t>
      </w:r>
      <w:bookmarkStart w:id="13153" w:name="_ETM_Q17_626310"/>
      <w:bookmarkEnd w:id="13153"/>
      <w:r>
        <w:rPr>
          <w:rFonts w:hint="cs"/>
          <w:rtl/>
        </w:rPr>
        <w:t xml:space="preserve">שלך – </w:t>
      </w:r>
      <w:bookmarkStart w:id="13154" w:name="_ETM_Q17_627170"/>
      <w:bookmarkEnd w:id="13154"/>
      <w:r>
        <w:rPr>
          <w:rFonts w:hint="cs"/>
          <w:rtl/>
        </w:rPr>
        <w:t>שלכם.</w:t>
      </w:r>
      <w:bookmarkStart w:id="13155" w:name="_ETM_Q17_628370"/>
      <w:bookmarkEnd w:id="13155"/>
      <w:r>
        <w:rPr>
          <w:rFonts w:hint="cs"/>
          <w:rtl/>
        </w:rPr>
        <w:t xml:space="preserve"> אני </w:t>
      </w:r>
      <w:bookmarkStart w:id="13156" w:name="_ETM_Q17_628610"/>
      <w:bookmarkEnd w:id="13156"/>
      <w:r>
        <w:rPr>
          <w:rFonts w:hint="cs"/>
          <w:rtl/>
        </w:rPr>
        <w:t xml:space="preserve">מאשים </w:t>
      </w:r>
      <w:bookmarkStart w:id="13157" w:name="_ETM_Q17_629030"/>
      <w:bookmarkEnd w:id="13157"/>
      <w:r>
        <w:rPr>
          <w:rFonts w:hint="cs"/>
          <w:rtl/>
        </w:rPr>
        <w:t xml:space="preserve">אותך </w:t>
      </w:r>
      <w:bookmarkStart w:id="13158" w:name="_ETM_Q17_629329"/>
      <w:bookmarkEnd w:id="13158"/>
      <w:r>
        <w:rPr>
          <w:rFonts w:hint="cs"/>
          <w:rtl/>
        </w:rPr>
        <w:t xml:space="preserve">בהזנחה </w:t>
      </w:r>
      <w:bookmarkStart w:id="13159" w:name="_ETM_Q17_629930"/>
      <w:bookmarkEnd w:id="13159"/>
      <w:r>
        <w:rPr>
          <w:rFonts w:hint="cs"/>
          <w:rtl/>
        </w:rPr>
        <w:t xml:space="preserve">יסודית </w:t>
      </w:r>
      <w:bookmarkStart w:id="13160" w:name="_ETM_Q17_630950"/>
      <w:bookmarkEnd w:id="13160"/>
      <w:r>
        <w:rPr>
          <w:rFonts w:hint="cs"/>
          <w:rtl/>
        </w:rPr>
        <w:t xml:space="preserve">של </w:t>
      </w:r>
      <w:bookmarkStart w:id="13161" w:name="_ETM_Q17_631219"/>
      <w:bookmarkEnd w:id="13161"/>
      <w:r>
        <w:rPr>
          <w:rFonts w:hint="cs"/>
          <w:rtl/>
        </w:rPr>
        <w:t>מ</w:t>
      </w:r>
      <w:bookmarkStart w:id="13162" w:name="_ETM_Q17_631579"/>
      <w:bookmarkEnd w:id="13162"/>
      <w:r>
        <w:rPr>
          <w:rFonts w:hint="cs"/>
          <w:rtl/>
        </w:rPr>
        <w:t xml:space="preserve">גוון נושאים </w:t>
      </w:r>
      <w:bookmarkStart w:id="13163" w:name="_ETM_Q17_632030"/>
      <w:bookmarkEnd w:id="13163"/>
      <w:r>
        <w:rPr>
          <w:rFonts w:hint="cs"/>
          <w:rtl/>
        </w:rPr>
        <w:t xml:space="preserve">וסוגיות </w:t>
      </w:r>
      <w:bookmarkStart w:id="13164" w:name="_ETM_Q17_632780"/>
      <w:bookmarkEnd w:id="13164"/>
      <w:r>
        <w:rPr>
          <w:rFonts w:hint="cs"/>
          <w:rtl/>
        </w:rPr>
        <w:t xml:space="preserve">קיומיים, </w:t>
      </w:r>
      <w:bookmarkStart w:id="13165" w:name="_ETM_Q17_633830"/>
      <w:bookmarkEnd w:id="13165"/>
      <w:r>
        <w:rPr>
          <w:rFonts w:hint="cs"/>
          <w:rtl/>
        </w:rPr>
        <w:t xml:space="preserve">שדורשים </w:t>
      </w:r>
      <w:bookmarkStart w:id="13166" w:name="_ETM_Q17_634459"/>
      <w:bookmarkEnd w:id="13166"/>
      <w:r>
        <w:rPr>
          <w:rFonts w:hint="cs"/>
          <w:rtl/>
        </w:rPr>
        <w:t xml:space="preserve">את </w:t>
      </w:r>
      <w:bookmarkStart w:id="13167" w:name="_ETM_Q17_634580"/>
      <w:bookmarkEnd w:id="13167"/>
      <w:r>
        <w:rPr>
          <w:rFonts w:hint="cs"/>
          <w:rtl/>
        </w:rPr>
        <w:t xml:space="preserve">טיפולך, </w:t>
      </w:r>
      <w:bookmarkStart w:id="13168" w:name="_ETM_Q17_635660"/>
      <w:bookmarkEnd w:id="13168"/>
      <w:r>
        <w:rPr>
          <w:rFonts w:hint="cs"/>
          <w:rtl/>
        </w:rPr>
        <w:t xml:space="preserve">אבל </w:t>
      </w:r>
      <w:bookmarkStart w:id="13169" w:name="_ETM_Q17_636019"/>
      <w:bookmarkEnd w:id="13169"/>
      <w:r>
        <w:rPr>
          <w:rFonts w:hint="cs"/>
          <w:rtl/>
        </w:rPr>
        <w:t xml:space="preserve">אתה, </w:t>
      </w:r>
      <w:bookmarkStart w:id="13170" w:name="_ETM_Q17_636800"/>
      <w:bookmarkEnd w:id="13170"/>
      <w:r>
        <w:rPr>
          <w:rFonts w:hint="cs"/>
          <w:rtl/>
        </w:rPr>
        <w:t xml:space="preserve">אתה, </w:t>
      </w:r>
      <w:bookmarkStart w:id="13171" w:name="_ETM_Q17_637190"/>
      <w:bookmarkEnd w:id="13171"/>
      <w:r>
        <w:rPr>
          <w:rFonts w:hint="cs"/>
          <w:rtl/>
        </w:rPr>
        <w:t xml:space="preserve">שלא </w:t>
      </w:r>
      <w:bookmarkStart w:id="13172" w:name="_ETM_Q17_637550"/>
      <w:bookmarkEnd w:id="13172"/>
      <w:r>
        <w:rPr>
          <w:rFonts w:hint="cs"/>
          <w:rtl/>
        </w:rPr>
        <w:t xml:space="preserve">נמצא </w:t>
      </w:r>
      <w:bookmarkStart w:id="13173" w:name="_ETM_Q17_638030"/>
      <w:bookmarkEnd w:id="13173"/>
      <w:r>
        <w:rPr>
          <w:rFonts w:hint="cs"/>
          <w:rtl/>
        </w:rPr>
        <w:t xml:space="preserve">כאן </w:t>
      </w:r>
      <w:bookmarkStart w:id="13174" w:name="_ETM_Q17_638300"/>
      <w:bookmarkEnd w:id="13174"/>
      <w:r>
        <w:rPr>
          <w:rFonts w:hint="cs"/>
          <w:rtl/>
        </w:rPr>
        <w:t xml:space="preserve">במליאה, </w:t>
      </w:r>
      <w:bookmarkStart w:id="13175" w:name="_ETM_Q17_639440"/>
      <w:bookmarkEnd w:id="13175"/>
      <w:r>
        <w:rPr>
          <w:rFonts w:hint="cs"/>
          <w:rtl/>
        </w:rPr>
        <w:t xml:space="preserve">אתה </w:t>
      </w:r>
      <w:bookmarkStart w:id="13176" w:name="_ETM_Q17_639800"/>
      <w:bookmarkStart w:id="13177" w:name="_ETM_Q17_639989"/>
      <w:bookmarkEnd w:id="13176"/>
      <w:bookmarkEnd w:id="13177"/>
      <w:r>
        <w:rPr>
          <w:rFonts w:hint="cs"/>
          <w:rtl/>
        </w:rPr>
        <w:t>עסוק כולך</w:t>
      </w:r>
      <w:bookmarkStart w:id="13178" w:name="_ETM_Q17_640290"/>
      <w:bookmarkEnd w:id="13178"/>
      <w:r>
        <w:rPr>
          <w:rFonts w:hint="cs"/>
          <w:rtl/>
        </w:rPr>
        <w:t xml:space="preserve"> </w:t>
      </w:r>
      <w:bookmarkStart w:id="13179" w:name="_ETM_Q17_640739"/>
      <w:bookmarkEnd w:id="13179"/>
      <w:r>
        <w:rPr>
          <w:rFonts w:hint="cs"/>
          <w:rtl/>
        </w:rPr>
        <w:t xml:space="preserve">רק </w:t>
      </w:r>
      <w:bookmarkStart w:id="13180" w:name="_ETM_Q17_641099"/>
      <w:bookmarkEnd w:id="13180"/>
      <w:r>
        <w:rPr>
          <w:rFonts w:hint="cs"/>
          <w:rtl/>
        </w:rPr>
        <w:t>בעניין</w:t>
      </w:r>
      <w:bookmarkStart w:id="13181" w:name="_ETM_Q17_641579"/>
      <w:bookmarkEnd w:id="13181"/>
      <w:r>
        <w:rPr>
          <w:rFonts w:hint="cs"/>
          <w:rtl/>
        </w:rPr>
        <w:t xml:space="preserve"> </w:t>
      </w:r>
      <w:bookmarkStart w:id="13182" w:name="_ETM_Q17_640277"/>
      <w:bookmarkEnd w:id="13182"/>
      <w:r>
        <w:rPr>
          <w:rFonts w:hint="cs"/>
          <w:rtl/>
        </w:rPr>
        <w:t xml:space="preserve">אחד. </w:t>
      </w:r>
      <w:bookmarkStart w:id="13183" w:name="_ETM_Q17_642540"/>
      <w:bookmarkEnd w:id="13183"/>
      <w:r>
        <w:rPr>
          <w:rFonts w:hint="cs"/>
          <w:rtl/>
        </w:rPr>
        <w:t xml:space="preserve">אני </w:t>
      </w:r>
      <w:bookmarkStart w:id="13184" w:name="_ETM_Q17_642750"/>
      <w:bookmarkEnd w:id="13184"/>
      <w:r>
        <w:rPr>
          <w:rFonts w:hint="cs"/>
          <w:rtl/>
        </w:rPr>
        <w:t xml:space="preserve">מאשים </w:t>
      </w:r>
      <w:bookmarkStart w:id="13185" w:name="_ETM_Q17_643200"/>
      <w:bookmarkEnd w:id="13185"/>
      <w:r>
        <w:rPr>
          <w:rFonts w:hint="cs"/>
          <w:rtl/>
        </w:rPr>
        <w:t xml:space="preserve">אותך </w:t>
      </w:r>
      <w:bookmarkStart w:id="13186" w:name="_ETM_Q17_643500"/>
      <w:bookmarkEnd w:id="13186"/>
      <w:r>
        <w:rPr>
          <w:rFonts w:hint="cs"/>
          <w:rtl/>
        </w:rPr>
        <w:t xml:space="preserve">בקידום </w:t>
      </w:r>
      <w:bookmarkStart w:id="13187" w:name="_ETM_Q17_644010"/>
      <w:bookmarkEnd w:id="13187"/>
      <w:r>
        <w:rPr>
          <w:rFonts w:hint="cs"/>
          <w:rtl/>
        </w:rPr>
        <w:t xml:space="preserve">ההדחה </w:t>
      </w:r>
      <w:bookmarkStart w:id="13188" w:name="_ETM_Q17_644610"/>
      <w:bookmarkEnd w:id="13188"/>
      <w:r>
        <w:rPr>
          <w:rFonts w:hint="cs"/>
          <w:rtl/>
        </w:rPr>
        <w:t xml:space="preserve">של </w:t>
      </w:r>
      <w:bookmarkStart w:id="13189" w:name="_ETM_Q17_644820"/>
      <w:bookmarkEnd w:id="13189"/>
      <w:r>
        <w:rPr>
          <w:rFonts w:hint="cs"/>
          <w:rtl/>
        </w:rPr>
        <w:t xml:space="preserve">היועצת </w:t>
      </w:r>
      <w:bookmarkStart w:id="13190" w:name="_ETM_Q17_645330"/>
      <w:bookmarkEnd w:id="13190"/>
      <w:r>
        <w:rPr>
          <w:rFonts w:hint="cs"/>
          <w:rtl/>
        </w:rPr>
        <w:t xml:space="preserve">המשפטית </w:t>
      </w:r>
      <w:bookmarkStart w:id="13191" w:name="_ETM_Q17_645900"/>
      <w:bookmarkEnd w:id="13191"/>
      <w:r>
        <w:rPr>
          <w:rFonts w:hint="cs"/>
          <w:rtl/>
        </w:rPr>
        <w:t xml:space="preserve">לממשלה </w:t>
      </w:r>
      <w:bookmarkStart w:id="13192" w:name="_ETM_Q17_646980"/>
      <w:bookmarkEnd w:id="13192"/>
      <w:r>
        <w:rPr>
          <w:rFonts w:hint="cs"/>
          <w:rtl/>
        </w:rPr>
        <w:t xml:space="preserve">ובהנהגת </w:t>
      </w:r>
      <w:bookmarkStart w:id="13193" w:name="_ETM_Q17_647880"/>
      <w:bookmarkEnd w:id="13193"/>
      <w:r>
        <w:rPr>
          <w:rFonts w:hint="cs"/>
          <w:rtl/>
        </w:rPr>
        <w:t xml:space="preserve">תרבות </w:t>
      </w:r>
      <w:bookmarkStart w:id="13194" w:name="_ETM_Q17_648360"/>
      <w:bookmarkEnd w:id="13194"/>
      <w:r>
        <w:rPr>
          <w:rFonts w:hint="cs"/>
          <w:rtl/>
        </w:rPr>
        <w:t xml:space="preserve">של </w:t>
      </w:r>
      <w:bookmarkStart w:id="13195" w:name="_ETM_Q17_648690"/>
      <w:bookmarkEnd w:id="13195"/>
      <w:r>
        <w:rPr>
          <w:rFonts w:hint="cs"/>
          <w:rtl/>
        </w:rPr>
        <w:t xml:space="preserve">אימה </w:t>
      </w:r>
      <w:bookmarkStart w:id="13196" w:name="_ETM_Q17_649500"/>
      <w:bookmarkStart w:id="13197" w:name="_ETM_Q17_650190"/>
      <w:bookmarkEnd w:id="13196"/>
      <w:bookmarkEnd w:id="13197"/>
      <w:r>
        <w:rPr>
          <w:rFonts w:hint="cs"/>
          <w:rtl/>
        </w:rPr>
        <w:t xml:space="preserve">במסדרונות </w:t>
      </w:r>
      <w:bookmarkStart w:id="13198" w:name="_ETM_Q17_650970"/>
      <w:bookmarkEnd w:id="13198"/>
      <w:r>
        <w:rPr>
          <w:rFonts w:hint="cs"/>
          <w:rtl/>
        </w:rPr>
        <w:t xml:space="preserve">משרד </w:t>
      </w:r>
      <w:bookmarkStart w:id="13199" w:name="_ETM_Q17_651390"/>
      <w:bookmarkEnd w:id="13199"/>
      <w:r>
        <w:rPr>
          <w:rFonts w:hint="cs"/>
          <w:rtl/>
        </w:rPr>
        <w:t xml:space="preserve">המשפטים. </w:t>
      </w:r>
      <w:bookmarkStart w:id="13200" w:name="_ETM_Q17_652560"/>
      <w:bookmarkEnd w:id="13200"/>
      <w:r>
        <w:rPr>
          <w:rFonts w:hint="cs"/>
          <w:rtl/>
        </w:rPr>
        <w:t xml:space="preserve">אני </w:t>
      </w:r>
      <w:bookmarkStart w:id="13201" w:name="_ETM_Q17_652770"/>
      <w:bookmarkEnd w:id="13201"/>
      <w:r>
        <w:rPr>
          <w:rFonts w:hint="cs"/>
          <w:rtl/>
        </w:rPr>
        <w:t xml:space="preserve">מאשים </w:t>
      </w:r>
      <w:bookmarkStart w:id="13202" w:name="_ETM_Q17_653190"/>
      <w:bookmarkEnd w:id="13202"/>
      <w:r>
        <w:rPr>
          <w:rFonts w:hint="cs"/>
          <w:rtl/>
        </w:rPr>
        <w:t xml:space="preserve">אותך </w:t>
      </w:r>
      <w:bookmarkStart w:id="13203" w:name="_ETM_Q17_653490"/>
      <w:bookmarkEnd w:id="13203"/>
      <w:r>
        <w:rPr>
          <w:rFonts w:hint="cs"/>
          <w:rtl/>
        </w:rPr>
        <w:t xml:space="preserve">בלקיחת </w:t>
      </w:r>
      <w:bookmarkStart w:id="13204" w:name="_ETM_Q17_654120"/>
      <w:bookmarkEnd w:id="13204"/>
      <w:r>
        <w:rPr>
          <w:rFonts w:hint="cs"/>
          <w:rtl/>
        </w:rPr>
        <w:t xml:space="preserve">הוועדה </w:t>
      </w:r>
      <w:bookmarkStart w:id="13205" w:name="_ETM_Q17_654600"/>
      <w:bookmarkEnd w:id="13205"/>
      <w:r>
        <w:rPr>
          <w:rFonts w:hint="cs"/>
          <w:rtl/>
        </w:rPr>
        <w:t xml:space="preserve">למינוי </w:t>
      </w:r>
      <w:bookmarkStart w:id="13206" w:name="_ETM_Q17_655020"/>
      <w:bookmarkEnd w:id="13206"/>
      <w:r>
        <w:rPr>
          <w:rFonts w:hint="cs"/>
          <w:rtl/>
        </w:rPr>
        <w:t xml:space="preserve">שופטים </w:t>
      </w:r>
      <w:bookmarkStart w:id="13207" w:name="_ETM_Q17_655470"/>
      <w:bookmarkEnd w:id="13207"/>
      <w:r>
        <w:rPr>
          <w:rFonts w:hint="cs"/>
          <w:rtl/>
        </w:rPr>
        <w:t>כבת</w:t>
      </w:r>
      <w:bookmarkStart w:id="13208" w:name="_ETM_Q17_655860"/>
      <w:bookmarkEnd w:id="13208"/>
      <w:r>
        <w:rPr>
          <w:rFonts w:hint="cs"/>
          <w:rtl/>
        </w:rPr>
        <w:t xml:space="preserve"> ערובה, </w:t>
      </w:r>
      <w:bookmarkStart w:id="13209" w:name="_ETM_Q17_656760"/>
      <w:bookmarkEnd w:id="13209"/>
      <w:r>
        <w:rPr>
          <w:rFonts w:hint="cs"/>
          <w:rtl/>
        </w:rPr>
        <w:t xml:space="preserve">ולעזאזל </w:t>
      </w:r>
      <w:bookmarkStart w:id="13210" w:name="_ETM_Q17_657780"/>
      <w:bookmarkEnd w:id="13210"/>
      <w:r>
        <w:rPr>
          <w:rFonts w:hint="cs"/>
          <w:rtl/>
        </w:rPr>
        <w:t xml:space="preserve">התמשכות </w:t>
      </w:r>
      <w:bookmarkStart w:id="13211" w:name="_ETM_Q17_658410"/>
      <w:bookmarkEnd w:id="13211"/>
      <w:r>
        <w:rPr>
          <w:rFonts w:hint="cs"/>
          <w:rtl/>
        </w:rPr>
        <w:t xml:space="preserve">ההליכים </w:t>
      </w:r>
      <w:bookmarkStart w:id="13212" w:name="_ETM_Q17_658890"/>
      <w:bookmarkEnd w:id="13212"/>
      <w:r>
        <w:rPr>
          <w:rFonts w:hint="cs"/>
          <w:rtl/>
        </w:rPr>
        <w:t xml:space="preserve">בבתי </w:t>
      </w:r>
      <w:bookmarkStart w:id="13213" w:name="_ETM_Q17_659310"/>
      <w:bookmarkEnd w:id="13213"/>
      <w:r>
        <w:rPr>
          <w:rFonts w:hint="cs"/>
          <w:rtl/>
        </w:rPr>
        <w:t xml:space="preserve">המשפט, </w:t>
      </w:r>
      <w:bookmarkStart w:id="13214" w:name="_ETM_Q17_660270"/>
      <w:bookmarkEnd w:id="13214"/>
      <w:r>
        <w:rPr>
          <w:rFonts w:hint="cs"/>
          <w:rtl/>
        </w:rPr>
        <w:t xml:space="preserve">ולעזאזל </w:t>
      </w:r>
      <w:bookmarkStart w:id="13215" w:name="_ETM_Q17_661140"/>
      <w:bookmarkEnd w:id="13215"/>
      <w:r>
        <w:rPr>
          <w:rFonts w:hint="cs"/>
          <w:rtl/>
        </w:rPr>
        <w:t xml:space="preserve">העומס </w:t>
      </w:r>
      <w:bookmarkStart w:id="13216" w:name="_ETM_Q17_661680"/>
      <w:bookmarkEnd w:id="13216"/>
      <w:r>
        <w:rPr>
          <w:rFonts w:hint="cs"/>
          <w:rtl/>
        </w:rPr>
        <w:t xml:space="preserve">הנופל </w:t>
      </w:r>
      <w:bookmarkStart w:id="13217" w:name="_ETM_Q17_662190"/>
      <w:bookmarkEnd w:id="13217"/>
      <w:r>
        <w:rPr>
          <w:rFonts w:hint="cs"/>
          <w:rtl/>
        </w:rPr>
        <w:t xml:space="preserve">על </w:t>
      </w:r>
      <w:bookmarkStart w:id="13218" w:name="_ETM_Q17_662310"/>
      <w:bookmarkEnd w:id="13218"/>
      <w:r>
        <w:rPr>
          <w:rFonts w:hint="cs"/>
          <w:rtl/>
        </w:rPr>
        <w:t xml:space="preserve">השופטים </w:t>
      </w:r>
      <w:bookmarkStart w:id="13219" w:name="_ETM_Q17_663210"/>
      <w:bookmarkEnd w:id="13219"/>
      <w:r>
        <w:rPr>
          <w:rFonts w:hint="cs"/>
          <w:rtl/>
        </w:rPr>
        <w:t xml:space="preserve">ומתגלגל </w:t>
      </w:r>
      <w:bookmarkStart w:id="13220" w:name="_ETM_Q17_664020"/>
      <w:bookmarkEnd w:id="13220"/>
      <w:r>
        <w:rPr>
          <w:rFonts w:hint="cs"/>
          <w:rtl/>
        </w:rPr>
        <w:t xml:space="preserve">לציבור </w:t>
      </w:r>
      <w:bookmarkStart w:id="13221" w:name="_ETM_Q17_664470"/>
      <w:bookmarkEnd w:id="13221"/>
      <w:r>
        <w:rPr>
          <w:rFonts w:hint="cs"/>
          <w:rtl/>
        </w:rPr>
        <w:t>הרחב.</w:t>
      </w:r>
      <w:bookmarkStart w:id="13222" w:name="_ETM_Q17_665610"/>
      <w:bookmarkEnd w:id="13222"/>
      <w:r>
        <w:rPr>
          <w:rFonts w:hint="cs"/>
          <w:rtl/>
        </w:rPr>
        <w:t xml:space="preserve"> </w:t>
      </w:r>
      <w:bookmarkStart w:id="13223" w:name="_ETM_Q17_667192"/>
      <w:bookmarkStart w:id="13224" w:name="_ETM_Q17_667313"/>
      <w:bookmarkStart w:id="13225" w:name="_ETM_Q17_667359"/>
      <w:bookmarkStart w:id="13226" w:name="_ETM_Q17_667404"/>
      <w:bookmarkEnd w:id="13223"/>
      <w:bookmarkEnd w:id="13224"/>
      <w:bookmarkEnd w:id="13225"/>
      <w:bookmarkEnd w:id="13226"/>
      <w:r>
        <w:rPr>
          <w:rFonts w:hint="cs"/>
          <w:rtl/>
        </w:rPr>
        <w:t xml:space="preserve">כל </w:t>
      </w:r>
      <w:bookmarkStart w:id="13227" w:name="_ETM_Q17_665879"/>
      <w:bookmarkEnd w:id="13227"/>
      <w:r>
        <w:rPr>
          <w:rFonts w:hint="cs"/>
          <w:rtl/>
        </w:rPr>
        <w:t xml:space="preserve">היום </w:t>
      </w:r>
      <w:bookmarkStart w:id="13228" w:name="_ETM_Q17_666239"/>
      <w:bookmarkEnd w:id="13228"/>
      <w:r>
        <w:rPr>
          <w:rFonts w:hint="cs"/>
          <w:rtl/>
        </w:rPr>
        <w:t xml:space="preserve">אתה </w:t>
      </w:r>
      <w:bookmarkStart w:id="13229" w:name="_ETM_Q17_666420"/>
      <w:bookmarkEnd w:id="13229"/>
      <w:r>
        <w:rPr>
          <w:rFonts w:hint="cs"/>
          <w:rtl/>
        </w:rPr>
        <w:t xml:space="preserve">צועק </w:t>
      </w:r>
      <w:bookmarkStart w:id="13230" w:name="_ETM_Q17_666870"/>
      <w:bookmarkEnd w:id="13230"/>
      <w:r>
        <w:rPr>
          <w:rFonts w:hint="cs"/>
          <w:rtl/>
        </w:rPr>
        <w:t xml:space="preserve">מעל </w:t>
      </w:r>
      <w:bookmarkStart w:id="13231" w:name="_ETM_Q17_667230"/>
      <w:bookmarkEnd w:id="13231"/>
      <w:r>
        <w:rPr>
          <w:rFonts w:hint="cs"/>
          <w:rtl/>
        </w:rPr>
        <w:t xml:space="preserve">הבמה </w:t>
      </w:r>
      <w:bookmarkStart w:id="13232" w:name="_ETM_Q17_667650"/>
      <w:bookmarkEnd w:id="13232"/>
      <w:r>
        <w:rPr>
          <w:rFonts w:hint="cs"/>
          <w:rtl/>
        </w:rPr>
        <w:t xml:space="preserve">הזאת </w:t>
      </w:r>
      <w:bookmarkStart w:id="13233" w:name="_ETM_Q17_668370"/>
      <w:bookmarkEnd w:id="13233"/>
      <w:r>
        <w:rPr>
          <w:rFonts w:hint="cs"/>
          <w:rtl/>
        </w:rPr>
        <w:t xml:space="preserve">"דמוקרטיה", </w:t>
      </w:r>
      <w:bookmarkStart w:id="13234" w:name="_ETM_Q17_669720"/>
      <w:bookmarkEnd w:id="13234"/>
      <w:r>
        <w:rPr>
          <w:rFonts w:hint="cs"/>
          <w:rtl/>
        </w:rPr>
        <w:t xml:space="preserve">אבל </w:t>
      </w:r>
      <w:bookmarkStart w:id="13235" w:name="_ETM_Q17_670049"/>
      <w:bookmarkEnd w:id="13235"/>
      <w:r>
        <w:rPr>
          <w:rFonts w:hint="cs"/>
          <w:rtl/>
        </w:rPr>
        <w:t xml:space="preserve">באופן </w:t>
      </w:r>
      <w:bookmarkStart w:id="13236" w:name="_ETM_Q17_670769"/>
      <w:bookmarkEnd w:id="13236"/>
      <w:r>
        <w:rPr>
          <w:rFonts w:hint="cs"/>
          <w:rtl/>
        </w:rPr>
        <w:t xml:space="preserve">לא חוקי, </w:t>
      </w:r>
      <w:bookmarkStart w:id="13237" w:name="_ETM_Q17_671790"/>
      <w:bookmarkEnd w:id="13237"/>
      <w:r>
        <w:rPr>
          <w:rFonts w:hint="cs"/>
          <w:rtl/>
        </w:rPr>
        <w:t xml:space="preserve">על </w:t>
      </w:r>
      <w:bookmarkStart w:id="13238" w:name="_ETM_Q17_672000"/>
      <w:bookmarkEnd w:id="13238"/>
      <w:r>
        <w:rPr>
          <w:rFonts w:hint="cs"/>
          <w:rtl/>
        </w:rPr>
        <w:t xml:space="preserve">גבול </w:t>
      </w:r>
      <w:bookmarkStart w:id="13239" w:name="_ETM_Q17_672390"/>
      <w:bookmarkEnd w:id="13239"/>
      <w:r>
        <w:rPr>
          <w:rFonts w:hint="cs"/>
          <w:rtl/>
        </w:rPr>
        <w:t xml:space="preserve">העברייני, </w:t>
      </w:r>
      <w:bookmarkStart w:id="13240" w:name="_ETM_Q17_673650"/>
      <w:bookmarkEnd w:id="13240"/>
      <w:r>
        <w:rPr>
          <w:rFonts w:hint="cs"/>
          <w:rtl/>
        </w:rPr>
        <w:t xml:space="preserve">ובוודאי </w:t>
      </w:r>
      <w:bookmarkStart w:id="13241" w:name="_ETM_Q17_674370"/>
      <w:bookmarkEnd w:id="13241"/>
      <w:r>
        <w:rPr>
          <w:rFonts w:hint="cs"/>
          <w:rtl/>
        </w:rPr>
        <w:t xml:space="preserve">באופן </w:t>
      </w:r>
      <w:bookmarkStart w:id="13242" w:name="_ETM_Q17_674940"/>
      <w:bookmarkStart w:id="13243" w:name="_ETM_Q17_675390"/>
      <w:bookmarkEnd w:id="13242"/>
      <w:bookmarkEnd w:id="13243"/>
      <w:r>
        <w:rPr>
          <w:rFonts w:hint="cs"/>
          <w:rtl/>
        </w:rPr>
        <w:t xml:space="preserve">לא </w:t>
      </w:r>
      <w:bookmarkStart w:id="13244" w:name="_ETM_Q17_675569"/>
      <w:bookmarkEnd w:id="13244"/>
      <w:r>
        <w:rPr>
          <w:rFonts w:hint="cs"/>
          <w:rtl/>
        </w:rPr>
        <w:t xml:space="preserve">דמוקרטי, </w:t>
      </w:r>
      <w:bookmarkStart w:id="13245" w:name="_ETM_Q17_676709"/>
      <w:bookmarkEnd w:id="13245"/>
      <w:r>
        <w:rPr>
          <w:rFonts w:hint="cs"/>
          <w:rtl/>
        </w:rPr>
        <w:t xml:space="preserve">אתה </w:t>
      </w:r>
      <w:bookmarkStart w:id="13246" w:name="_ETM_Q17_677040"/>
      <w:bookmarkEnd w:id="13246"/>
      <w:r>
        <w:rPr>
          <w:rFonts w:hint="cs"/>
          <w:rtl/>
        </w:rPr>
        <w:t xml:space="preserve">מסכל </w:t>
      </w:r>
      <w:bookmarkStart w:id="13247" w:name="_ETM_Q17_677700"/>
      <w:bookmarkEnd w:id="13247"/>
      <w:r>
        <w:rPr>
          <w:rFonts w:hint="cs"/>
          <w:rtl/>
        </w:rPr>
        <w:t xml:space="preserve">את </w:t>
      </w:r>
      <w:bookmarkStart w:id="13248" w:name="_ETM_Q17_677849"/>
      <w:bookmarkEnd w:id="13248"/>
      <w:r>
        <w:rPr>
          <w:rFonts w:hint="cs"/>
          <w:rtl/>
        </w:rPr>
        <w:t xml:space="preserve">עבודתן </w:t>
      </w:r>
      <w:bookmarkStart w:id="13249" w:name="_ETM_Q17_678900"/>
      <w:bookmarkEnd w:id="13249"/>
      <w:r>
        <w:rPr>
          <w:rFonts w:hint="cs"/>
          <w:rtl/>
        </w:rPr>
        <w:t xml:space="preserve">של </w:t>
      </w:r>
      <w:bookmarkStart w:id="13250" w:name="_ETM_Q17_679230"/>
      <w:bookmarkEnd w:id="13250"/>
      <w:r>
        <w:rPr>
          <w:rFonts w:hint="cs"/>
          <w:rtl/>
        </w:rPr>
        <w:t xml:space="preserve">יתר </w:t>
      </w:r>
      <w:bookmarkStart w:id="13251" w:name="_ETM_Q17_679620"/>
      <w:bookmarkEnd w:id="13251"/>
      <w:r>
        <w:rPr>
          <w:rFonts w:hint="cs"/>
          <w:rtl/>
        </w:rPr>
        <w:t xml:space="preserve">רשויות </w:t>
      </w:r>
      <w:bookmarkStart w:id="13252" w:name="_ETM_Q17_680099"/>
      <w:bookmarkEnd w:id="13252"/>
      <w:r>
        <w:rPr>
          <w:rFonts w:hint="cs"/>
          <w:rtl/>
        </w:rPr>
        <w:t>השלטון.</w:t>
      </w:r>
      <w:bookmarkStart w:id="13253" w:name="_ETM_Q17_681260"/>
      <w:bookmarkEnd w:id="13253"/>
    </w:p>
    <w:p w:rsidR="000C5C1F" w:rsidRDefault="000C5C1F" w:rsidP="000C5C1F">
      <w:pPr>
        <w:rPr>
          <w:rtl/>
        </w:rPr>
      </w:pPr>
    </w:p>
    <w:p w:rsidR="000C5C1F" w:rsidRDefault="000C5C1F" w:rsidP="000C5C1F">
      <w:pPr>
        <w:rPr>
          <w:rtl/>
        </w:rPr>
      </w:pPr>
      <w:r>
        <w:rPr>
          <w:rFonts w:hint="cs"/>
          <w:rtl/>
        </w:rPr>
        <w:t xml:space="preserve">אני </w:t>
      </w:r>
      <w:bookmarkStart w:id="13254" w:name="_ETM_Q17_681650"/>
      <w:bookmarkEnd w:id="13254"/>
      <w:r>
        <w:rPr>
          <w:rFonts w:hint="cs"/>
          <w:rtl/>
        </w:rPr>
        <w:t xml:space="preserve">מאשים </w:t>
      </w:r>
      <w:bookmarkStart w:id="13255" w:name="_ETM_Q17_682099"/>
      <w:bookmarkEnd w:id="13255"/>
      <w:r>
        <w:rPr>
          <w:rFonts w:hint="cs"/>
          <w:rtl/>
        </w:rPr>
        <w:t>אותך</w:t>
      </w:r>
      <w:bookmarkStart w:id="13256" w:name="_ETM_Q17_682459"/>
      <w:bookmarkEnd w:id="13256"/>
      <w:r>
        <w:rPr>
          <w:rFonts w:hint="cs"/>
          <w:rtl/>
        </w:rPr>
        <w:t xml:space="preserve">, השר </w:t>
      </w:r>
      <w:bookmarkStart w:id="13257" w:name="_ETM_Q17_682790"/>
      <w:bookmarkEnd w:id="13257"/>
      <w:r>
        <w:rPr>
          <w:rFonts w:hint="cs"/>
          <w:rtl/>
        </w:rPr>
        <w:t xml:space="preserve">סמוטריץ' – </w:t>
      </w:r>
      <w:bookmarkStart w:id="13258" w:name="_ETM_Q17_683870"/>
      <w:bookmarkEnd w:id="13258"/>
      <w:r>
        <w:rPr>
          <w:rFonts w:hint="cs"/>
          <w:rtl/>
        </w:rPr>
        <w:t xml:space="preserve">שר </w:t>
      </w:r>
      <w:bookmarkStart w:id="13259" w:name="_ETM_Q17_684260"/>
      <w:bookmarkEnd w:id="13259"/>
      <w:r>
        <w:rPr>
          <w:rFonts w:hint="cs"/>
          <w:rtl/>
        </w:rPr>
        <w:t xml:space="preserve">האוצר </w:t>
      </w:r>
      <w:bookmarkStart w:id="13260" w:name="_ETM_Q17_684800"/>
      <w:bookmarkEnd w:id="13260"/>
      <w:r>
        <w:rPr>
          <w:rFonts w:hint="cs"/>
          <w:rtl/>
        </w:rPr>
        <w:t xml:space="preserve">במשרה </w:t>
      </w:r>
      <w:bookmarkStart w:id="13261" w:name="_ETM_Q17_685340"/>
      <w:bookmarkEnd w:id="13261"/>
      <w:r>
        <w:rPr>
          <w:rFonts w:hint="cs"/>
          <w:rtl/>
        </w:rPr>
        <w:t xml:space="preserve">חלקית </w:t>
      </w:r>
      <w:bookmarkStart w:id="13262" w:name="_ETM_Q17_685970"/>
      <w:bookmarkEnd w:id="13262"/>
      <w:r>
        <w:rPr>
          <w:rFonts w:hint="cs"/>
          <w:rtl/>
        </w:rPr>
        <w:t xml:space="preserve">ושר </w:t>
      </w:r>
      <w:bookmarkStart w:id="13263" w:name="_ETM_Q17_686360"/>
      <w:bookmarkEnd w:id="13263"/>
      <w:r>
        <w:rPr>
          <w:rFonts w:hint="cs"/>
          <w:rtl/>
        </w:rPr>
        <w:t xml:space="preserve">הסיפוח </w:t>
      </w:r>
      <w:bookmarkStart w:id="13264" w:name="_ETM_Q17_687020"/>
      <w:bookmarkEnd w:id="13264"/>
      <w:r>
        <w:rPr>
          <w:rFonts w:hint="cs"/>
          <w:rtl/>
        </w:rPr>
        <w:t xml:space="preserve">במשרה </w:t>
      </w:r>
      <w:bookmarkStart w:id="13265" w:name="_ETM_Q17_687560"/>
      <w:bookmarkEnd w:id="13265"/>
      <w:r>
        <w:rPr>
          <w:rFonts w:hint="cs"/>
          <w:rtl/>
        </w:rPr>
        <w:t xml:space="preserve">מלאה – </w:t>
      </w:r>
      <w:bookmarkStart w:id="13266" w:name="_ETM_Q17_688550"/>
      <w:bookmarkEnd w:id="13266"/>
      <w:r>
        <w:rPr>
          <w:rFonts w:hint="cs"/>
          <w:rtl/>
        </w:rPr>
        <w:t xml:space="preserve">אני </w:t>
      </w:r>
      <w:bookmarkStart w:id="13267" w:name="_ETM_Q17_688790"/>
      <w:bookmarkEnd w:id="13267"/>
      <w:r>
        <w:rPr>
          <w:rFonts w:hint="cs"/>
          <w:rtl/>
        </w:rPr>
        <w:t xml:space="preserve">מאשים </w:t>
      </w:r>
      <w:bookmarkStart w:id="13268" w:name="_ETM_Q17_689240"/>
      <w:bookmarkEnd w:id="13268"/>
      <w:r>
        <w:rPr>
          <w:rFonts w:hint="cs"/>
          <w:rtl/>
        </w:rPr>
        <w:t xml:space="preserve">אותך </w:t>
      </w:r>
      <w:bookmarkStart w:id="13269" w:name="_ETM_Q17_689540"/>
      <w:bookmarkEnd w:id="13269"/>
      <w:r>
        <w:rPr>
          <w:rFonts w:hint="cs"/>
          <w:rtl/>
        </w:rPr>
        <w:t xml:space="preserve">בהזנחת </w:t>
      </w:r>
      <w:bookmarkStart w:id="13270" w:name="_ETM_Q17_690260"/>
      <w:bookmarkEnd w:id="13270"/>
      <w:r>
        <w:rPr>
          <w:rFonts w:hint="cs"/>
          <w:rtl/>
        </w:rPr>
        <w:t xml:space="preserve">הכלכלה </w:t>
      </w:r>
      <w:bookmarkStart w:id="13271" w:name="_ETM_Q17_690920"/>
      <w:bookmarkEnd w:id="13271"/>
      <w:r>
        <w:rPr>
          <w:rFonts w:hint="cs"/>
          <w:rtl/>
        </w:rPr>
        <w:t xml:space="preserve">הישראלית </w:t>
      </w:r>
      <w:bookmarkStart w:id="13272" w:name="_ETM_Q17_692160"/>
      <w:bookmarkEnd w:id="13272"/>
      <w:r>
        <w:rPr>
          <w:rFonts w:hint="cs"/>
          <w:rtl/>
        </w:rPr>
        <w:t xml:space="preserve">ובחשיפתה </w:t>
      </w:r>
      <w:bookmarkStart w:id="13273" w:name="_ETM_Q17_693179"/>
      <w:bookmarkStart w:id="13274" w:name="_ETM_Q17_693660"/>
      <w:bookmarkEnd w:id="13273"/>
      <w:bookmarkEnd w:id="13274"/>
      <w:r>
        <w:rPr>
          <w:rFonts w:hint="cs"/>
          <w:rtl/>
        </w:rPr>
        <w:t xml:space="preserve">לאיומים </w:t>
      </w:r>
      <w:bookmarkStart w:id="13275" w:name="_ETM_Q17_694260"/>
      <w:bookmarkEnd w:id="13275"/>
      <w:r>
        <w:rPr>
          <w:rFonts w:hint="cs"/>
          <w:rtl/>
        </w:rPr>
        <w:t xml:space="preserve">דרמטיים. </w:t>
      </w:r>
      <w:bookmarkStart w:id="13276" w:name="_ETM_Q17_695489"/>
      <w:bookmarkEnd w:id="13276"/>
      <w:r>
        <w:rPr>
          <w:rFonts w:hint="cs"/>
          <w:rtl/>
        </w:rPr>
        <w:t xml:space="preserve">אני </w:t>
      </w:r>
      <w:bookmarkStart w:id="13277" w:name="_ETM_Q17_695699"/>
      <w:bookmarkEnd w:id="13277"/>
      <w:r>
        <w:rPr>
          <w:rFonts w:hint="cs"/>
          <w:rtl/>
        </w:rPr>
        <w:t xml:space="preserve">מאשים </w:t>
      </w:r>
      <w:bookmarkStart w:id="13278" w:name="_ETM_Q17_696090"/>
      <w:bookmarkEnd w:id="13278"/>
      <w:r>
        <w:rPr>
          <w:rFonts w:hint="cs"/>
          <w:rtl/>
        </w:rPr>
        <w:t xml:space="preserve">אותך </w:t>
      </w:r>
      <w:bookmarkStart w:id="13279" w:name="_ETM_Q17_696389"/>
      <w:bookmarkEnd w:id="13279"/>
      <w:r>
        <w:rPr>
          <w:rFonts w:hint="cs"/>
          <w:rtl/>
        </w:rPr>
        <w:t xml:space="preserve">בהרס </w:t>
      </w:r>
      <w:bookmarkStart w:id="13280" w:name="_ETM_Q17_697019"/>
      <w:bookmarkEnd w:id="13280"/>
      <w:r>
        <w:rPr>
          <w:rFonts w:hint="cs"/>
          <w:rtl/>
        </w:rPr>
        <w:t xml:space="preserve">תעשיית </w:t>
      </w:r>
      <w:bookmarkStart w:id="13281" w:name="_ETM_Q17_697650"/>
      <w:bookmarkEnd w:id="13281"/>
      <w:r>
        <w:rPr>
          <w:rFonts w:hint="cs"/>
          <w:rtl/>
        </w:rPr>
        <w:t xml:space="preserve">ההייטק </w:t>
      </w:r>
      <w:bookmarkStart w:id="13282" w:name="_ETM_Q17_698760"/>
      <w:bookmarkEnd w:id="13282"/>
      <w:r>
        <w:rPr>
          <w:rFonts w:hint="cs"/>
          <w:rtl/>
        </w:rPr>
        <w:t xml:space="preserve">ובהצבת </w:t>
      </w:r>
      <w:bookmarkStart w:id="13283" w:name="_ETM_Q17_699540"/>
      <w:bookmarkEnd w:id="13283"/>
      <w:r>
        <w:rPr>
          <w:rFonts w:hint="cs"/>
          <w:rtl/>
        </w:rPr>
        <w:t xml:space="preserve">סימני </w:t>
      </w:r>
      <w:bookmarkStart w:id="13284" w:name="_ETM_Q17_700079"/>
      <w:bookmarkEnd w:id="13284"/>
      <w:r>
        <w:rPr>
          <w:rFonts w:hint="cs"/>
          <w:rtl/>
        </w:rPr>
        <w:t xml:space="preserve">שאלה </w:t>
      </w:r>
      <w:bookmarkStart w:id="13285" w:name="_ETM_Q17_700590"/>
      <w:bookmarkEnd w:id="13285"/>
      <w:r>
        <w:rPr>
          <w:rFonts w:hint="cs"/>
          <w:rtl/>
        </w:rPr>
        <w:t xml:space="preserve">דרמטיים </w:t>
      </w:r>
      <w:bookmarkStart w:id="13286" w:name="_ETM_Q17_701279"/>
      <w:bookmarkEnd w:id="13286"/>
      <w:r>
        <w:rPr>
          <w:rFonts w:hint="cs"/>
          <w:rtl/>
        </w:rPr>
        <w:t xml:space="preserve">על </w:t>
      </w:r>
      <w:bookmarkStart w:id="13287" w:name="_ETM_Q17_701400"/>
      <w:bookmarkEnd w:id="13287"/>
      <w:r>
        <w:rPr>
          <w:rFonts w:hint="cs"/>
          <w:rtl/>
        </w:rPr>
        <w:t xml:space="preserve">עתידה. </w:t>
      </w:r>
      <w:bookmarkStart w:id="13288" w:name="_ETM_Q17_702470"/>
      <w:bookmarkEnd w:id="13288"/>
      <w:r>
        <w:rPr>
          <w:rFonts w:hint="cs"/>
          <w:rtl/>
        </w:rPr>
        <w:t xml:space="preserve">אני </w:t>
      </w:r>
      <w:bookmarkStart w:id="13289" w:name="_ETM_Q17_702679"/>
      <w:bookmarkEnd w:id="13289"/>
      <w:r>
        <w:rPr>
          <w:rFonts w:hint="cs"/>
          <w:rtl/>
        </w:rPr>
        <w:t xml:space="preserve">מאשים </w:t>
      </w:r>
      <w:bookmarkStart w:id="13290" w:name="_ETM_Q17_703100"/>
      <w:bookmarkEnd w:id="13290"/>
      <w:r>
        <w:rPr>
          <w:rFonts w:hint="cs"/>
          <w:rtl/>
        </w:rPr>
        <w:t xml:space="preserve">אותך </w:t>
      </w:r>
      <w:bookmarkStart w:id="13291" w:name="_ETM_Q17_703400"/>
      <w:bookmarkEnd w:id="13291"/>
      <w:r>
        <w:rPr>
          <w:rFonts w:hint="cs"/>
          <w:rtl/>
        </w:rPr>
        <w:t xml:space="preserve">בחזון </w:t>
      </w:r>
      <w:bookmarkStart w:id="13292" w:name="_ETM_Q17_703910"/>
      <w:bookmarkEnd w:id="13292"/>
      <w:r>
        <w:rPr>
          <w:rFonts w:hint="cs"/>
          <w:rtl/>
        </w:rPr>
        <w:t xml:space="preserve">משיחי </w:t>
      </w:r>
      <w:bookmarkStart w:id="13293" w:name="_ETM_Q17_704480"/>
      <w:bookmarkEnd w:id="13293"/>
      <w:r>
        <w:rPr>
          <w:rFonts w:hint="cs"/>
          <w:rtl/>
        </w:rPr>
        <w:t xml:space="preserve">וגזעני </w:t>
      </w:r>
      <w:bookmarkStart w:id="13294" w:name="_ETM_Q17_705770"/>
      <w:bookmarkEnd w:id="13294"/>
      <w:r>
        <w:rPr>
          <w:rFonts w:hint="cs"/>
          <w:rtl/>
        </w:rPr>
        <w:t xml:space="preserve">שסותר </w:t>
      </w:r>
      <w:bookmarkStart w:id="13295" w:name="_ETM_Q17_706490"/>
      <w:bookmarkEnd w:id="13295"/>
      <w:r>
        <w:rPr>
          <w:rFonts w:hint="cs"/>
          <w:rtl/>
        </w:rPr>
        <w:t xml:space="preserve">את </w:t>
      </w:r>
      <w:bookmarkStart w:id="13296" w:name="_ETM_Q17_706670"/>
      <w:bookmarkEnd w:id="13296"/>
      <w:r>
        <w:rPr>
          <w:rFonts w:hint="cs"/>
          <w:rtl/>
        </w:rPr>
        <w:t xml:space="preserve">הערכים </w:t>
      </w:r>
      <w:bookmarkStart w:id="13297" w:name="_ETM_Q17_707240"/>
      <w:bookmarkEnd w:id="13297"/>
      <w:r>
        <w:rPr>
          <w:rFonts w:hint="cs"/>
          <w:rtl/>
        </w:rPr>
        <w:t xml:space="preserve">הדמוקרטיים, </w:t>
      </w:r>
      <w:bookmarkStart w:id="13298" w:name="_ETM_Q17_708140"/>
      <w:bookmarkEnd w:id="13298"/>
      <w:r>
        <w:rPr>
          <w:rFonts w:hint="cs"/>
          <w:rtl/>
        </w:rPr>
        <w:t xml:space="preserve">ולא </w:t>
      </w:r>
      <w:bookmarkStart w:id="13299" w:name="_ETM_Q17_708410"/>
      <w:bookmarkEnd w:id="13299"/>
      <w:r>
        <w:rPr>
          <w:rFonts w:hint="cs"/>
          <w:rtl/>
        </w:rPr>
        <w:t xml:space="preserve">פחות </w:t>
      </w:r>
      <w:bookmarkStart w:id="13300" w:name="_ETM_Q17_708860"/>
      <w:bookmarkEnd w:id="13300"/>
      <w:r>
        <w:rPr>
          <w:rFonts w:hint="cs"/>
          <w:rtl/>
        </w:rPr>
        <w:t xml:space="preserve">מכך </w:t>
      </w:r>
      <w:bookmarkStart w:id="13301" w:name="_ETM_Q17_709770"/>
      <w:bookmarkEnd w:id="13301"/>
      <w:r>
        <w:rPr>
          <w:rFonts w:hint="cs"/>
          <w:rtl/>
        </w:rPr>
        <w:t xml:space="preserve">– גם </w:t>
      </w:r>
      <w:bookmarkStart w:id="13302" w:name="_ETM_Q17_710100"/>
      <w:bookmarkEnd w:id="13302"/>
      <w:r>
        <w:rPr>
          <w:rFonts w:hint="cs"/>
          <w:rtl/>
        </w:rPr>
        <w:t xml:space="preserve">את </w:t>
      </w:r>
      <w:bookmarkStart w:id="13303" w:name="_ETM_Q17_710250"/>
      <w:bookmarkEnd w:id="13303"/>
      <w:r>
        <w:rPr>
          <w:rFonts w:hint="cs"/>
          <w:rtl/>
        </w:rPr>
        <w:t xml:space="preserve">רוחה </w:t>
      </w:r>
      <w:bookmarkStart w:id="13304" w:name="_ETM_Q17_710580"/>
      <w:bookmarkEnd w:id="13304"/>
      <w:r>
        <w:rPr>
          <w:rFonts w:hint="cs"/>
          <w:rtl/>
        </w:rPr>
        <w:t xml:space="preserve">של </w:t>
      </w:r>
      <w:bookmarkStart w:id="13305" w:name="_ETM_Q17_710820"/>
      <w:bookmarkEnd w:id="13305"/>
      <w:r>
        <w:rPr>
          <w:rFonts w:hint="cs"/>
          <w:rtl/>
        </w:rPr>
        <w:t xml:space="preserve">הציונות. </w:t>
      </w:r>
      <w:bookmarkStart w:id="13306" w:name="_ETM_Q17_712110"/>
      <w:bookmarkEnd w:id="13306"/>
      <w:r>
        <w:rPr>
          <w:rFonts w:hint="cs"/>
          <w:rtl/>
        </w:rPr>
        <w:t xml:space="preserve">אני </w:t>
      </w:r>
      <w:bookmarkStart w:id="13307" w:name="_ETM_Q17_712320"/>
      <w:bookmarkEnd w:id="13307"/>
      <w:r>
        <w:rPr>
          <w:rFonts w:hint="cs"/>
          <w:rtl/>
        </w:rPr>
        <w:t xml:space="preserve">מאשים </w:t>
      </w:r>
      <w:bookmarkStart w:id="13308" w:name="_ETM_Q17_712770"/>
      <w:bookmarkEnd w:id="13308"/>
      <w:r>
        <w:rPr>
          <w:rFonts w:hint="cs"/>
          <w:rtl/>
        </w:rPr>
        <w:t xml:space="preserve">אותך </w:t>
      </w:r>
      <w:bookmarkStart w:id="13309" w:name="_ETM_Q17_713130"/>
      <w:bookmarkEnd w:id="13309"/>
      <w:r>
        <w:rPr>
          <w:rFonts w:hint="cs"/>
          <w:rtl/>
        </w:rPr>
        <w:t xml:space="preserve">בהרס </w:t>
      </w:r>
      <w:bookmarkStart w:id="13310" w:name="_ETM_Q17_713730"/>
      <w:bookmarkEnd w:id="13310"/>
      <w:r>
        <w:rPr>
          <w:rFonts w:hint="cs"/>
          <w:rtl/>
        </w:rPr>
        <w:t xml:space="preserve">שרשרת </w:t>
      </w:r>
      <w:bookmarkStart w:id="13311" w:name="_ETM_Q17_714390"/>
      <w:bookmarkEnd w:id="13311"/>
      <w:r>
        <w:rPr>
          <w:rFonts w:hint="cs"/>
          <w:rtl/>
        </w:rPr>
        <w:t xml:space="preserve">הפיקוד </w:t>
      </w:r>
      <w:bookmarkStart w:id="13312" w:name="_ETM_Q17_714870"/>
      <w:bookmarkEnd w:id="13312"/>
      <w:r>
        <w:rPr>
          <w:rFonts w:hint="cs"/>
          <w:rtl/>
        </w:rPr>
        <w:t xml:space="preserve">של </w:t>
      </w:r>
      <w:bookmarkStart w:id="13313" w:name="_ETM_Q17_715110"/>
      <w:bookmarkEnd w:id="13313"/>
      <w:r>
        <w:rPr>
          <w:rFonts w:hint="cs"/>
          <w:rtl/>
        </w:rPr>
        <w:t xml:space="preserve">צה"ל, </w:t>
      </w:r>
      <w:bookmarkStart w:id="13314" w:name="_ETM_Q17_715959"/>
      <w:bookmarkEnd w:id="13314"/>
      <w:r>
        <w:rPr>
          <w:rFonts w:hint="cs"/>
          <w:rtl/>
        </w:rPr>
        <w:t xml:space="preserve">ובניסיון </w:t>
      </w:r>
      <w:bookmarkStart w:id="13315" w:name="_ETM_Q17_716980"/>
      <w:bookmarkEnd w:id="13315"/>
      <w:r>
        <w:rPr>
          <w:rFonts w:hint="cs"/>
          <w:rtl/>
        </w:rPr>
        <w:t xml:space="preserve">לנרמל </w:t>
      </w:r>
      <w:bookmarkStart w:id="13316" w:name="_ETM_Q17_717700"/>
      <w:bookmarkEnd w:id="13316"/>
      <w:r>
        <w:rPr>
          <w:rFonts w:hint="cs"/>
          <w:rtl/>
        </w:rPr>
        <w:t xml:space="preserve">את </w:t>
      </w:r>
      <w:bookmarkStart w:id="13317" w:name="_ETM_Q17_717849"/>
      <w:bookmarkEnd w:id="13317"/>
      <w:r>
        <w:rPr>
          <w:rFonts w:hint="cs"/>
          <w:rtl/>
        </w:rPr>
        <w:t xml:space="preserve">השליטה </w:t>
      </w:r>
      <w:bookmarkStart w:id="13318" w:name="_ETM_Q17_718450"/>
      <w:bookmarkEnd w:id="13318"/>
      <w:r>
        <w:rPr>
          <w:rFonts w:hint="cs"/>
          <w:rtl/>
        </w:rPr>
        <w:t xml:space="preserve">על </w:t>
      </w:r>
      <w:bookmarkStart w:id="13319" w:name="_ETM_Q17_718569"/>
      <w:bookmarkEnd w:id="13319"/>
      <w:r>
        <w:rPr>
          <w:rFonts w:hint="cs"/>
          <w:rtl/>
        </w:rPr>
        <w:t xml:space="preserve">עם </w:t>
      </w:r>
      <w:bookmarkStart w:id="13320" w:name="_ETM_Q17_718780"/>
      <w:bookmarkEnd w:id="13320"/>
      <w:r>
        <w:rPr>
          <w:rFonts w:hint="cs"/>
          <w:rtl/>
        </w:rPr>
        <w:t xml:space="preserve">אחר. </w:t>
      </w:r>
      <w:bookmarkStart w:id="13321" w:name="_ETM_Q17_719829"/>
      <w:bookmarkEnd w:id="13321"/>
      <w:r>
        <w:rPr>
          <w:rFonts w:hint="cs"/>
          <w:rtl/>
        </w:rPr>
        <w:t xml:space="preserve">אני </w:t>
      </w:r>
      <w:bookmarkStart w:id="13322" w:name="_ETM_Q17_720069"/>
      <w:bookmarkEnd w:id="13322"/>
      <w:r>
        <w:rPr>
          <w:rFonts w:hint="cs"/>
          <w:rtl/>
        </w:rPr>
        <w:t xml:space="preserve">מאשים </w:t>
      </w:r>
      <w:bookmarkStart w:id="13323" w:name="_ETM_Q17_720519"/>
      <w:bookmarkEnd w:id="13323"/>
      <w:r>
        <w:rPr>
          <w:rFonts w:hint="cs"/>
          <w:rtl/>
        </w:rPr>
        <w:t xml:space="preserve">אותך </w:t>
      </w:r>
      <w:bookmarkStart w:id="13324" w:name="_ETM_Q17_720970"/>
      <w:bookmarkStart w:id="13325" w:name="_ETM_Q17_721840"/>
      <w:bookmarkEnd w:id="13324"/>
      <w:bookmarkEnd w:id="13325"/>
      <w:r>
        <w:rPr>
          <w:rFonts w:hint="cs"/>
          <w:rtl/>
        </w:rPr>
        <w:t xml:space="preserve">במתן </w:t>
      </w:r>
      <w:bookmarkStart w:id="13326" w:name="_ETM_Q17_722349"/>
      <w:bookmarkEnd w:id="13326"/>
      <w:r>
        <w:rPr>
          <w:rFonts w:hint="cs"/>
          <w:rtl/>
        </w:rPr>
        <w:t xml:space="preserve">גיבוי </w:t>
      </w:r>
      <w:bookmarkStart w:id="13327" w:name="_ETM_Q17_722739"/>
      <w:bookmarkEnd w:id="13327"/>
      <w:r>
        <w:rPr>
          <w:rFonts w:hint="cs"/>
          <w:rtl/>
        </w:rPr>
        <w:t xml:space="preserve">לאלימות, </w:t>
      </w:r>
      <w:bookmarkStart w:id="13328" w:name="_ETM_Q17_723880"/>
      <w:bookmarkEnd w:id="13328"/>
      <w:r>
        <w:rPr>
          <w:rFonts w:hint="cs"/>
          <w:rtl/>
        </w:rPr>
        <w:t xml:space="preserve">לבריונות, </w:t>
      </w:r>
      <w:bookmarkStart w:id="13329" w:name="_ETM_Q17_724870"/>
      <w:bookmarkEnd w:id="13329"/>
      <w:r>
        <w:rPr>
          <w:rFonts w:hint="cs"/>
          <w:rtl/>
        </w:rPr>
        <w:t xml:space="preserve">להפרת </w:t>
      </w:r>
      <w:bookmarkStart w:id="13330" w:name="_ETM_Q17_725530"/>
      <w:bookmarkEnd w:id="13330"/>
      <w:r>
        <w:rPr>
          <w:rFonts w:hint="cs"/>
          <w:rtl/>
        </w:rPr>
        <w:t xml:space="preserve">החוק </w:t>
      </w:r>
      <w:bookmarkStart w:id="13331" w:name="_ETM_Q17_725830"/>
      <w:bookmarkEnd w:id="13331"/>
      <w:r>
        <w:rPr>
          <w:rFonts w:hint="cs"/>
          <w:rtl/>
        </w:rPr>
        <w:t xml:space="preserve">הסדרתית </w:t>
      </w:r>
      <w:bookmarkStart w:id="13332" w:name="_ETM_Q17_727080"/>
      <w:bookmarkEnd w:id="13332"/>
      <w:r>
        <w:rPr>
          <w:rFonts w:hint="cs"/>
          <w:rtl/>
        </w:rPr>
        <w:t xml:space="preserve">של </w:t>
      </w:r>
      <w:bookmarkStart w:id="13333" w:name="_ETM_Q17_727349"/>
      <w:bookmarkEnd w:id="13333"/>
      <w:r>
        <w:rPr>
          <w:rFonts w:hint="cs"/>
          <w:rtl/>
        </w:rPr>
        <w:t xml:space="preserve">הקבוצות </w:t>
      </w:r>
      <w:bookmarkStart w:id="13334" w:name="_ETM_Q17_727950"/>
      <w:bookmarkEnd w:id="13334"/>
      <w:r>
        <w:rPr>
          <w:rFonts w:hint="cs"/>
          <w:rtl/>
        </w:rPr>
        <w:t xml:space="preserve">האלימות </w:t>
      </w:r>
      <w:bookmarkStart w:id="13335" w:name="_ETM_Q17_728640"/>
      <w:bookmarkEnd w:id="13335"/>
      <w:r>
        <w:rPr>
          <w:rFonts w:hint="cs"/>
          <w:rtl/>
        </w:rPr>
        <w:t xml:space="preserve">בקרב </w:t>
      </w:r>
      <w:bookmarkStart w:id="13336" w:name="_ETM_Q17_729120"/>
      <w:bookmarkEnd w:id="13336"/>
      <w:r>
        <w:rPr>
          <w:rFonts w:hint="cs"/>
          <w:rtl/>
        </w:rPr>
        <w:t xml:space="preserve">המתנחלים </w:t>
      </w:r>
      <w:bookmarkStart w:id="13337" w:name="_ETM_Q17_730410"/>
      <w:bookmarkEnd w:id="13337"/>
      <w:r>
        <w:rPr>
          <w:rFonts w:hint="cs"/>
          <w:rtl/>
        </w:rPr>
        <w:t xml:space="preserve">ובניסיון </w:t>
      </w:r>
      <w:bookmarkStart w:id="13338" w:name="_ETM_Q17_731309"/>
      <w:bookmarkEnd w:id="13338"/>
      <w:r>
        <w:rPr>
          <w:rFonts w:hint="cs"/>
          <w:rtl/>
        </w:rPr>
        <w:t xml:space="preserve">להלך </w:t>
      </w:r>
      <w:bookmarkStart w:id="13339" w:name="_ETM_Q17_731819"/>
      <w:bookmarkEnd w:id="13339"/>
      <w:r>
        <w:rPr>
          <w:rFonts w:hint="cs"/>
          <w:rtl/>
        </w:rPr>
        <w:t xml:space="preserve">אימים </w:t>
      </w:r>
      <w:bookmarkStart w:id="13340" w:name="_ETM_Q17_732760"/>
      <w:bookmarkEnd w:id="13340"/>
      <w:r>
        <w:rPr>
          <w:rFonts w:hint="cs"/>
          <w:rtl/>
        </w:rPr>
        <w:t xml:space="preserve">על </w:t>
      </w:r>
      <w:bookmarkStart w:id="13341" w:name="_ETM_Q17_733090"/>
      <w:bookmarkEnd w:id="13341"/>
      <w:r>
        <w:rPr>
          <w:rFonts w:hint="cs"/>
          <w:rtl/>
        </w:rPr>
        <w:t xml:space="preserve">קציני </w:t>
      </w:r>
      <w:bookmarkStart w:id="13342" w:name="_ETM_Q17_733569"/>
      <w:bookmarkEnd w:id="13342"/>
      <w:r>
        <w:rPr>
          <w:rFonts w:hint="cs"/>
          <w:rtl/>
        </w:rPr>
        <w:t xml:space="preserve">הצבא, </w:t>
      </w:r>
      <w:bookmarkStart w:id="13343" w:name="_ETM_Q17_734500"/>
      <w:bookmarkEnd w:id="13343"/>
      <w:r>
        <w:rPr>
          <w:rFonts w:hint="cs"/>
          <w:rtl/>
        </w:rPr>
        <w:t xml:space="preserve">על </w:t>
      </w:r>
      <w:bookmarkStart w:id="13344" w:name="_ETM_Q17_734679"/>
      <w:bookmarkEnd w:id="13344"/>
      <w:r>
        <w:rPr>
          <w:rFonts w:hint="cs"/>
          <w:rtl/>
        </w:rPr>
        <w:t xml:space="preserve">שומרי </w:t>
      </w:r>
      <w:bookmarkStart w:id="13345" w:name="_ETM_Q17_735099"/>
      <w:bookmarkEnd w:id="13345"/>
      <w:r>
        <w:rPr>
          <w:rFonts w:hint="cs"/>
          <w:rtl/>
        </w:rPr>
        <w:t xml:space="preserve">הסף </w:t>
      </w:r>
      <w:bookmarkStart w:id="13346" w:name="_ETM_Q17_735580"/>
      <w:bookmarkEnd w:id="13346"/>
      <w:r>
        <w:rPr>
          <w:rFonts w:hint="cs"/>
          <w:rtl/>
        </w:rPr>
        <w:t xml:space="preserve">ועל </w:t>
      </w:r>
      <w:bookmarkStart w:id="13347" w:name="_ETM_Q17_735790"/>
      <w:bookmarkEnd w:id="13347"/>
      <w:r>
        <w:rPr>
          <w:rFonts w:hint="cs"/>
          <w:rtl/>
        </w:rPr>
        <w:t xml:space="preserve">מערכת </w:t>
      </w:r>
      <w:bookmarkStart w:id="13348" w:name="_ETM_Q17_736330"/>
      <w:bookmarkEnd w:id="13348"/>
      <w:r>
        <w:rPr>
          <w:rFonts w:hint="cs"/>
          <w:rtl/>
        </w:rPr>
        <w:t xml:space="preserve">המשפט. </w:t>
      </w:r>
      <w:bookmarkStart w:id="13349" w:name="_ETM_Q17_737610"/>
      <w:bookmarkEnd w:id="13349"/>
    </w:p>
    <w:p w:rsidR="000C5C1F" w:rsidRDefault="000C5C1F" w:rsidP="000C5C1F">
      <w:pPr>
        <w:rPr>
          <w:rtl/>
        </w:rPr>
      </w:pPr>
    </w:p>
    <w:p w:rsidR="000C5C1F" w:rsidRDefault="000C5C1F" w:rsidP="000C5C1F">
      <w:pPr>
        <w:rPr>
          <w:rtl/>
        </w:rPr>
      </w:pPr>
      <w:r>
        <w:rPr>
          <w:rFonts w:hint="cs"/>
          <w:rtl/>
        </w:rPr>
        <w:t xml:space="preserve">וכן </w:t>
      </w:r>
      <w:bookmarkStart w:id="13350" w:name="_ETM_Q17_738629"/>
      <w:bookmarkEnd w:id="13350"/>
      <w:r>
        <w:rPr>
          <w:rFonts w:hint="cs"/>
          <w:rtl/>
        </w:rPr>
        <w:t xml:space="preserve">אני </w:t>
      </w:r>
      <w:bookmarkStart w:id="13351" w:name="_ETM_Q17_738870"/>
      <w:bookmarkEnd w:id="13351"/>
      <w:r>
        <w:rPr>
          <w:rFonts w:hint="cs"/>
          <w:rtl/>
        </w:rPr>
        <w:t xml:space="preserve">מאשים </w:t>
      </w:r>
      <w:bookmarkStart w:id="13352" w:name="_ETM_Q17_739349"/>
      <w:bookmarkEnd w:id="13352"/>
      <w:r>
        <w:rPr>
          <w:rFonts w:hint="cs"/>
          <w:rtl/>
        </w:rPr>
        <w:t xml:space="preserve">גם </w:t>
      </w:r>
      <w:bookmarkStart w:id="13353" w:name="_ETM_Q17_739620"/>
      <w:bookmarkEnd w:id="13353"/>
      <w:r>
        <w:rPr>
          <w:rFonts w:hint="cs"/>
          <w:rtl/>
        </w:rPr>
        <w:t xml:space="preserve">אתכם, </w:t>
      </w:r>
      <w:bookmarkStart w:id="13354" w:name="_ETM_Q17_740009"/>
      <w:bookmarkEnd w:id="13354"/>
      <w:r>
        <w:rPr>
          <w:rFonts w:hint="cs"/>
          <w:rtl/>
        </w:rPr>
        <w:t xml:space="preserve">חבר </w:t>
      </w:r>
      <w:bookmarkStart w:id="13355" w:name="_ETM_Q17_740339"/>
      <w:bookmarkEnd w:id="13355"/>
      <w:r>
        <w:rPr>
          <w:rFonts w:hint="cs"/>
          <w:rtl/>
        </w:rPr>
        <w:t xml:space="preserve">הכנסת </w:t>
      </w:r>
      <w:bookmarkStart w:id="13356" w:name="_ETM_Q17_740819"/>
      <w:bookmarkEnd w:id="13356"/>
      <w:r>
        <w:rPr>
          <w:rFonts w:hint="cs"/>
          <w:rtl/>
        </w:rPr>
        <w:t xml:space="preserve">דרעי </w:t>
      </w:r>
      <w:bookmarkStart w:id="13357" w:name="_ETM_Q17_741210"/>
      <w:bookmarkEnd w:id="13357"/>
      <w:r>
        <w:rPr>
          <w:rFonts w:hint="cs"/>
          <w:rtl/>
        </w:rPr>
        <w:t xml:space="preserve">והשר </w:t>
      </w:r>
      <w:bookmarkStart w:id="13358" w:name="_ETM_Q17_741689"/>
      <w:bookmarkEnd w:id="13358"/>
      <w:r>
        <w:rPr>
          <w:rFonts w:hint="cs"/>
          <w:rtl/>
        </w:rPr>
        <w:t>גולדקנופ - -</w:t>
      </w:r>
    </w:p>
    <w:p w:rsidR="000C5C1F" w:rsidRDefault="000C5C1F" w:rsidP="000C5C1F">
      <w:pPr>
        <w:rPr>
          <w:rtl/>
        </w:rPr>
      </w:pPr>
    </w:p>
    <w:p w:rsidR="000C5C1F" w:rsidRDefault="000C5C1F" w:rsidP="000C5C1F">
      <w:pPr>
        <w:pStyle w:val="af8"/>
        <w:keepNext/>
        <w:rPr>
          <w:rtl/>
        </w:rPr>
      </w:pPr>
      <w:bookmarkStart w:id="13359" w:name="ET_interruption_6430_10"/>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3359"/>
    </w:p>
    <w:p w:rsidR="000C5C1F" w:rsidRDefault="000C5C1F" w:rsidP="00337201">
      <w:pPr>
        <w:rPr>
          <w:rtl/>
        </w:rPr>
      </w:pPr>
    </w:p>
    <w:p w:rsidR="000C5C1F" w:rsidRDefault="000C5C1F" w:rsidP="000C5C1F">
      <w:pPr>
        <w:rPr>
          <w:rtl/>
        </w:rPr>
      </w:pPr>
      <w:r>
        <w:rPr>
          <w:rFonts w:hint="cs"/>
          <w:rtl/>
        </w:rPr>
        <w:t>מה קרה?</w:t>
      </w:r>
    </w:p>
    <w:p w:rsidR="000C5C1F" w:rsidRDefault="000C5C1F" w:rsidP="000C5C1F">
      <w:pPr>
        <w:rPr>
          <w:rtl/>
        </w:rPr>
      </w:pPr>
    </w:p>
    <w:p w:rsidR="000C5C1F" w:rsidRDefault="000C5C1F" w:rsidP="000C5C1F">
      <w:pPr>
        <w:pStyle w:val="-"/>
        <w:keepNext/>
        <w:rPr>
          <w:rtl/>
        </w:rPr>
      </w:pPr>
      <w:bookmarkStart w:id="13360" w:name="ET_speakercontinue_6156_11"/>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3360"/>
    </w:p>
    <w:p w:rsidR="000C5C1F" w:rsidRDefault="000C5C1F" w:rsidP="00337201">
      <w:pPr>
        <w:rPr>
          <w:rtl/>
        </w:rPr>
      </w:pPr>
    </w:p>
    <w:p w:rsidR="000C5C1F" w:rsidRDefault="000C5C1F" w:rsidP="000C5C1F">
      <w:pPr>
        <w:rPr>
          <w:rtl/>
        </w:rPr>
      </w:pPr>
      <w:bookmarkStart w:id="13361" w:name="_ETM_Q17_741990"/>
      <w:bookmarkStart w:id="13362" w:name="_ETM_Q17_742979"/>
      <w:bookmarkEnd w:id="13361"/>
      <w:bookmarkEnd w:id="13362"/>
      <w:r>
        <w:rPr>
          <w:rFonts w:hint="cs"/>
          <w:rtl/>
        </w:rPr>
        <w:t xml:space="preserve">- - אתה, </w:t>
      </w:r>
      <w:bookmarkStart w:id="13363" w:name="_ETM_Q17_743400"/>
      <w:bookmarkEnd w:id="13363"/>
      <w:r>
        <w:rPr>
          <w:rFonts w:hint="cs"/>
          <w:rtl/>
        </w:rPr>
        <w:t xml:space="preserve">חבר </w:t>
      </w:r>
      <w:bookmarkStart w:id="13364" w:name="_ETM_Q17_743790"/>
      <w:bookmarkEnd w:id="13364"/>
      <w:r>
        <w:rPr>
          <w:rFonts w:hint="cs"/>
          <w:rtl/>
        </w:rPr>
        <w:t xml:space="preserve">הכנסת </w:t>
      </w:r>
      <w:bookmarkStart w:id="13365" w:name="_ETM_Q17_744300"/>
      <w:bookmarkEnd w:id="13365"/>
      <w:r>
        <w:rPr>
          <w:rFonts w:hint="cs"/>
          <w:rtl/>
        </w:rPr>
        <w:t xml:space="preserve">דרעי, </w:t>
      </w:r>
      <w:bookmarkStart w:id="13366" w:name="_ETM_Q17_745110"/>
      <w:bookmarkEnd w:id="13366"/>
      <w:r>
        <w:rPr>
          <w:rFonts w:hint="cs"/>
          <w:rtl/>
        </w:rPr>
        <w:t xml:space="preserve">אתה </w:t>
      </w:r>
      <w:bookmarkStart w:id="13367" w:name="_ETM_Q17_745470"/>
      <w:bookmarkEnd w:id="13367"/>
      <w:r>
        <w:rPr>
          <w:rFonts w:hint="cs"/>
          <w:rtl/>
        </w:rPr>
        <w:t xml:space="preserve">מדבר </w:t>
      </w:r>
      <w:bookmarkStart w:id="13368" w:name="_ETM_Q17_745979"/>
      <w:bookmarkEnd w:id="13368"/>
      <w:r>
        <w:rPr>
          <w:rFonts w:hint="cs"/>
          <w:rtl/>
        </w:rPr>
        <w:t xml:space="preserve">על </w:t>
      </w:r>
      <w:bookmarkStart w:id="13369" w:name="_ETM_Q17_746130"/>
      <w:bookmarkEnd w:id="13369"/>
      <w:r>
        <w:rPr>
          <w:rFonts w:hint="cs"/>
          <w:rtl/>
        </w:rPr>
        <w:t xml:space="preserve">צבא </w:t>
      </w:r>
      <w:bookmarkStart w:id="13370" w:name="_ETM_Q17_746610"/>
      <w:bookmarkEnd w:id="13370"/>
      <w:r>
        <w:rPr>
          <w:rFonts w:hint="cs"/>
          <w:rtl/>
        </w:rPr>
        <w:t xml:space="preserve">העם? </w:t>
      </w:r>
      <w:bookmarkStart w:id="13371" w:name="_ETM_Q17_747360"/>
      <w:bookmarkEnd w:id="13371"/>
      <w:r>
        <w:rPr>
          <w:rFonts w:hint="cs"/>
          <w:rtl/>
        </w:rPr>
        <w:t xml:space="preserve">אתה </w:t>
      </w:r>
      <w:bookmarkStart w:id="13372" w:name="_ETM_Q17_747720"/>
      <w:bookmarkEnd w:id="13372"/>
      <w:r>
        <w:rPr>
          <w:rFonts w:hint="cs"/>
          <w:rtl/>
        </w:rPr>
        <w:t xml:space="preserve">מדבר </w:t>
      </w:r>
      <w:bookmarkStart w:id="13373" w:name="_ETM_Q17_748229"/>
      <w:bookmarkEnd w:id="13373"/>
      <w:r>
        <w:rPr>
          <w:rFonts w:hint="cs"/>
          <w:rtl/>
        </w:rPr>
        <w:t xml:space="preserve">על </w:t>
      </w:r>
      <w:bookmarkStart w:id="13374" w:name="_ETM_Q17_748320"/>
      <w:bookmarkEnd w:id="13374"/>
      <w:r>
        <w:rPr>
          <w:rFonts w:hint="cs"/>
          <w:rtl/>
        </w:rPr>
        <w:t xml:space="preserve">נזק </w:t>
      </w:r>
      <w:bookmarkStart w:id="13375" w:name="_ETM_Q17_748679"/>
      <w:bookmarkEnd w:id="13375"/>
      <w:r>
        <w:rPr>
          <w:rFonts w:hint="cs"/>
          <w:rtl/>
        </w:rPr>
        <w:t xml:space="preserve">לביטחון? </w:t>
      </w:r>
      <w:bookmarkStart w:id="13376" w:name="_ETM_Q17_749880"/>
      <w:bookmarkEnd w:id="13376"/>
      <w:r>
        <w:rPr>
          <w:rFonts w:hint="cs"/>
          <w:rtl/>
        </w:rPr>
        <w:t xml:space="preserve">שלח </w:t>
      </w:r>
      <w:bookmarkStart w:id="13377" w:name="_ETM_Q17_750270"/>
      <w:bookmarkEnd w:id="13377"/>
      <w:r>
        <w:rPr>
          <w:rFonts w:hint="cs"/>
          <w:rtl/>
        </w:rPr>
        <w:t xml:space="preserve">קודם </w:t>
      </w:r>
      <w:bookmarkStart w:id="13378" w:name="_ETM_Q17_750690"/>
      <w:bookmarkEnd w:id="13378"/>
      <w:r>
        <w:rPr>
          <w:rFonts w:hint="cs"/>
          <w:rtl/>
        </w:rPr>
        <w:t xml:space="preserve">את </w:t>
      </w:r>
      <w:bookmarkStart w:id="13379" w:name="_ETM_Q17_750809"/>
      <w:bookmarkEnd w:id="13379"/>
      <w:r>
        <w:rPr>
          <w:rFonts w:hint="cs"/>
          <w:rtl/>
        </w:rPr>
        <w:t xml:space="preserve">ילדיך </w:t>
      </w:r>
      <w:bookmarkStart w:id="13380" w:name="_ETM_Q17_751500"/>
      <w:bookmarkEnd w:id="13380"/>
      <w:r>
        <w:rPr>
          <w:rFonts w:hint="cs"/>
          <w:rtl/>
        </w:rPr>
        <w:t xml:space="preserve">לשירות </w:t>
      </w:r>
      <w:bookmarkStart w:id="13381" w:name="_ETM_Q17_752039"/>
      <w:bookmarkEnd w:id="13381"/>
      <w:r>
        <w:rPr>
          <w:rFonts w:hint="cs"/>
          <w:rtl/>
        </w:rPr>
        <w:t xml:space="preserve">מלא </w:t>
      </w:r>
      <w:bookmarkStart w:id="13382" w:name="_ETM_Q17_752340"/>
      <w:bookmarkEnd w:id="13382"/>
      <w:r>
        <w:rPr>
          <w:rFonts w:hint="cs"/>
          <w:rtl/>
        </w:rPr>
        <w:t xml:space="preserve">ומשמעותי </w:t>
      </w:r>
      <w:bookmarkStart w:id="13383" w:name="_ETM_Q17_753090"/>
      <w:bookmarkEnd w:id="13383"/>
      <w:r>
        <w:rPr>
          <w:rFonts w:hint="cs"/>
          <w:rtl/>
        </w:rPr>
        <w:t xml:space="preserve">בצבא </w:t>
      </w:r>
      <w:bookmarkStart w:id="13384" w:name="_ETM_Q17_754020"/>
      <w:bookmarkEnd w:id="13384"/>
      <w:r>
        <w:rPr>
          <w:rFonts w:hint="cs"/>
          <w:rtl/>
        </w:rPr>
        <w:t xml:space="preserve">ואז </w:t>
      </w:r>
      <w:bookmarkStart w:id="13385" w:name="_ETM_Q17_754500"/>
      <w:bookmarkEnd w:id="13385"/>
      <w:r>
        <w:rPr>
          <w:rFonts w:hint="cs"/>
          <w:rtl/>
        </w:rPr>
        <w:t xml:space="preserve">תטיף </w:t>
      </w:r>
      <w:bookmarkStart w:id="13386" w:name="_ETM_Q17_754889"/>
      <w:bookmarkEnd w:id="13386"/>
      <w:r>
        <w:rPr>
          <w:rFonts w:hint="cs"/>
          <w:rtl/>
        </w:rPr>
        <w:t xml:space="preserve">לנו </w:t>
      </w:r>
      <w:bookmarkStart w:id="13387" w:name="_ETM_Q17_755160"/>
      <w:bookmarkEnd w:id="13387"/>
      <w:r>
        <w:rPr>
          <w:rFonts w:hint="cs"/>
          <w:rtl/>
        </w:rPr>
        <w:t xml:space="preserve">מוסר, </w:t>
      </w:r>
      <w:bookmarkStart w:id="13388" w:name="_ETM_Q17_756030"/>
      <w:bookmarkEnd w:id="13388"/>
      <w:r>
        <w:rPr>
          <w:rFonts w:hint="cs"/>
          <w:rtl/>
        </w:rPr>
        <w:t xml:space="preserve">חצוף </w:t>
      </w:r>
      <w:bookmarkStart w:id="13389" w:name="_ETM_Q17_756600"/>
      <w:bookmarkEnd w:id="13389"/>
      <w:r>
        <w:rPr>
          <w:rFonts w:hint="cs"/>
          <w:rtl/>
        </w:rPr>
        <w:t>שכמוך.</w:t>
      </w:r>
      <w:bookmarkStart w:id="13390" w:name="_ETM_Q17_758763"/>
      <w:bookmarkStart w:id="13391" w:name="_ETM_Q17_758822"/>
      <w:bookmarkStart w:id="13392" w:name="TOR_Q18"/>
      <w:bookmarkEnd w:id="13390"/>
      <w:bookmarkEnd w:id="13391"/>
      <w:bookmarkEnd w:id="13392"/>
      <w:r>
        <w:rPr>
          <w:rFonts w:hint="cs"/>
          <w:rtl/>
        </w:rPr>
        <w:t xml:space="preserve"> </w:t>
      </w:r>
      <w:r>
        <w:rPr>
          <w:rFonts w:hint="cs"/>
          <w:rtl/>
          <w:lang w:eastAsia="he-IL"/>
        </w:rPr>
        <w:t xml:space="preserve">מן הרגע שהחלה הכנסת הזאת את כהונתה, כל מה שמעניין אותך הוא סדרת חוקי השחיתות ששלחת אחרים לקדם לטובתך, לטובת אחיך ולטובת </w:t>
      </w:r>
      <w:bookmarkStart w:id="13393" w:name="_ETM_Q18_172000"/>
      <w:bookmarkEnd w:id="13393"/>
      <w:r>
        <w:rPr>
          <w:rFonts w:hint="cs"/>
          <w:rtl/>
          <w:lang w:eastAsia="he-IL"/>
        </w:rPr>
        <w:t xml:space="preserve">המקורבים שלך. ואתה, אדוני השר גולדקנופ, אתה מעז לקרוא למאות אלפי ישראלים שיוצאים לרחובות להגן </w:t>
      </w:r>
      <w:bookmarkStart w:id="13394" w:name="_ETM_Q18_178000"/>
      <w:bookmarkEnd w:id="13394"/>
      <w:r>
        <w:rPr>
          <w:rFonts w:hint="cs"/>
          <w:rtl/>
          <w:lang w:eastAsia="he-IL"/>
        </w:rPr>
        <w:t xml:space="preserve">על הדמוקרטיה הישראלית "מובטלים"? אתה וחבריך, שמנציחים מציאות של בטלה בחסות התורה, של עיוות מוחלט </w:t>
      </w:r>
      <w:bookmarkStart w:id="13395" w:name="_ETM_Q18_185000"/>
      <w:bookmarkStart w:id="13396" w:name="_ETM_Q18_180750"/>
      <w:bookmarkStart w:id="13397" w:name="_ETM_Q18_182120"/>
      <w:bookmarkStart w:id="13398" w:name="_ETM_Q18_182710"/>
      <w:bookmarkStart w:id="13399" w:name="_ETM_Q18_183670"/>
      <w:bookmarkStart w:id="13400" w:name="_ETM_Q18_184540"/>
      <w:bookmarkStart w:id="13401" w:name="_ETM_Q18_185050"/>
      <w:bookmarkStart w:id="13402" w:name="_ETM_Q18_185319"/>
      <w:bookmarkStart w:id="13403" w:name="_ETM_Q18_185890"/>
      <w:bookmarkStart w:id="13404" w:name="_ETM_Q18_186460"/>
      <w:bookmarkStart w:id="13405" w:name="_ETM_Q18_187490"/>
      <w:bookmarkStart w:id="13406" w:name="_ETM_Q18_187789"/>
      <w:bookmarkStart w:id="13407" w:name="_ETM_Q18_188299"/>
      <w:bookmarkStart w:id="13408" w:name="_ETM_Q18_188750"/>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r>
        <w:rPr>
          <w:rFonts w:hint="cs"/>
          <w:rtl/>
        </w:rPr>
        <w:t xml:space="preserve">של ערכי </w:t>
      </w:r>
      <w:bookmarkStart w:id="13409" w:name="_ETM_Q18_189349"/>
      <w:bookmarkEnd w:id="13409"/>
      <w:r>
        <w:rPr>
          <w:rFonts w:hint="cs"/>
          <w:rtl/>
        </w:rPr>
        <w:t xml:space="preserve">המסורת </w:t>
      </w:r>
      <w:bookmarkStart w:id="13410" w:name="_ETM_Q18_189920"/>
      <w:bookmarkEnd w:id="13410"/>
      <w:r>
        <w:rPr>
          <w:rFonts w:hint="cs"/>
          <w:rtl/>
        </w:rPr>
        <w:t xml:space="preserve">היהודית, </w:t>
      </w:r>
      <w:bookmarkStart w:id="13411" w:name="_ETM_Q18_190910"/>
      <w:bookmarkEnd w:id="13411"/>
      <w:r>
        <w:rPr>
          <w:rFonts w:hint="cs"/>
          <w:rtl/>
        </w:rPr>
        <w:t xml:space="preserve">הדורשת </w:t>
      </w:r>
      <w:bookmarkStart w:id="13412" w:name="_ETM_Q18_191750"/>
      <w:bookmarkEnd w:id="13412"/>
      <w:r>
        <w:rPr>
          <w:rFonts w:hint="cs"/>
          <w:rtl/>
        </w:rPr>
        <w:t xml:space="preserve">מאבא </w:t>
      </w:r>
      <w:bookmarkStart w:id="13413" w:name="_ETM_Q18_192349"/>
      <w:bookmarkEnd w:id="13413"/>
      <w:r>
        <w:rPr>
          <w:rFonts w:hint="cs"/>
          <w:rtl/>
        </w:rPr>
        <w:t xml:space="preserve">ללמד </w:t>
      </w:r>
      <w:bookmarkStart w:id="13414" w:name="_ETM_Q18_192920"/>
      <w:bookmarkEnd w:id="13414"/>
      <w:r>
        <w:rPr>
          <w:rFonts w:hint="cs"/>
          <w:rtl/>
        </w:rPr>
        <w:t xml:space="preserve">את </w:t>
      </w:r>
      <w:bookmarkStart w:id="13415" w:name="_ETM_Q18_193070"/>
      <w:bookmarkEnd w:id="13415"/>
      <w:r>
        <w:rPr>
          <w:rFonts w:hint="cs"/>
          <w:rtl/>
        </w:rPr>
        <w:t xml:space="preserve">בנו </w:t>
      </w:r>
      <w:bookmarkStart w:id="13416" w:name="_ETM_Q18_193759"/>
      <w:bookmarkEnd w:id="13416"/>
      <w:r>
        <w:rPr>
          <w:rFonts w:hint="cs"/>
          <w:rtl/>
        </w:rPr>
        <w:t xml:space="preserve">אומנות </w:t>
      </w:r>
      <w:bookmarkStart w:id="13417" w:name="_ETM_Q18_194299"/>
      <w:bookmarkEnd w:id="13417"/>
      <w:r>
        <w:rPr>
          <w:rFonts w:hint="cs"/>
          <w:rtl/>
        </w:rPr>
        <w:t xml:space="preserve">של </w:t>
      </w:r>
      <w:bookmarkStart w:id="13418" w:name="_ETM_Q18_194509"/>
      <w:bookmarkEnd w:id="13418"/>
      <w:r>
        <w:rPr>
          <w:rFonts w:hint="cs"/>
          <w:rtl/>
        </w:rPr>
        <w:t xml:space="preserve">פרנסה </w:t>
      </w:r>
      <w:bookmarkStart w:id="13419" w:name="_ETM_Q18_195110"/>
      <w:bookmarkEnd w:id="13419"/>
      <w:r>
        <w:rPr>
          <w:rFonts w:hint="cs"/>
          <w:rtl/>
        </w:rPr>
        <w:t xml:space="preserve">ומיומנויות </w:t>
      </w:r>
      <w:bookmarkStart w:id="13420" w:name="_ETM_Q18_195929"/>
      <w:bookmarkEnd w:id="13420"/>
      <w:r>
        <w:rPr>
          <w:rFonts w:hint="cs"/>
          <w:rtl/>
        </w:rPr>
        <w:t xml:space="preserve">חיים; </w:t>
      </w:r>
      <w:bookmarkStart w:id="13421" w:name="_ETM_Q18_196810"/>
      <w:bookmarkEnd w:id="13421"/>
      <w:r>
        <w:rPr>
          <w:rFonts w:hint="cs"/>
          <w:rtl/>
        </w:rPr>
        <w:t xml:space="preserve">אתה, </w:t>
      </w:r>
      <w:bookmarkStart w:id="13422" w:name="_ETM_Q18_197349"/>
      <w:bookmarkEnd w:id="13422"/>
      <w:r>
        <w:rPr>
          <w:rFonts w:hint="cs"/>
          <w:rtl/>
        </w:rPr>
        <w:t xml:space="preserve">שעסוק </w:t>
      </w:r>
      <w:bookmarkStart w:id="13423" w:name="_ETM_Q18_197890"/>
      <w:bookmarkEnd w:id="13423"/>
      <w:r>
        <w:rPr>
          <w:rFonts w:hint="cs"/>
          <w:rtl/>
        </w:rPr>
        <w:t xml:space="preserve">בקידום </w:t>
      </w:r>
      <w:bookmarkStart w:id="13424" w:name="_ETM_Q18_198369"/>
      <w:bookmarkEnd w:id="13424"/>
      <w:r>
        <w:rPr>
          <w:rFonts w:hint="cs"/>
          <w:rtl/>
        </w:rPr>
        <w:t xml:space="preserve">מדיניות </w:t>
      </w:r>
      <w:bookmarkStart w:id="13425" w:name="_ETM_Q18_198880"/>
      <w:bookmarkEnd w:id="13425"/>
      <w:r>
        <w:rPr>
          <w:rFonts w:hint="cs"/>
          <w:rtl/>
        </w:rPr>
        <w:t xml:space="preserve">סקטוריאלית </w:t>
      </w:r>
      <w:bookmarkStart w:id="13426" w:name="_ETM_Q18_200230"/>
      <w:bookmarkEnd w:id="13426"/>
      <w:r>
        <w:rPr>
          <w:rFonts w:hint="cs"/>
          <w:rtl/>
        </w:rPr>
        <w:t>ש</w:t>
      </w:r>
      <w:bookmarkStart w:id="13427" w:name="_ETM_Q18_200890"/>
      <w:bookmarkEnd w:id="13427"/>
      <w:r>
        <w:rPr>
          <w:rFonts w:hint="cs"/>
          <w:rtl/>
        </w:rPr>
        <w:t xml:space="preserve">מעניקה </w:t>
      </w:r>
      <w:bookmarkStart w:id="13428" w:name="_ETM_Q18_201519"/>
      <w:bookmarkEnd w:id="13428"/>
      <w:r>
        <w:rPr>
          <w:rFonts w:hint="cs"/>
          <w:rtl/>
        </w:rPr>
        <w:t xml:space="preserve">העדפות </w:t>
      </w:r>
      <w:bookmarkStart w:id="13429" w:name="_ETM_Q18_201999"/>
      <w:bookmarkEnd w:id="13429"/>
      <w:r>
        <w:rPr>
          <w:rFonts w:hint="cs"/>
          <w:rtl/>
        </w:rPr>
        <w:t xml:space="preserve">למגזר </w:t>
      </w:r>
      <w:bookmarkStart w:id="13430" w:name="_ETM_Q18_202570"/>
      <w:bookmarkEnd w:id="13430"/>
      <w:r>
        <w:rPr>
          <w:rFonts w:hint="cs"/>
          <w:rtl/>
        </w:rPr>
        <w:t xml:space="preserve">שלך </w:t>
      </w:r>
      <w:bookmarkStart w:id="13431" w:name="_ETM_Q18_203019"/>
      <w:bookmarkEnd w:id="13431"/>
      <w:r>
        <w:rPr>
          <w:rFonts w:hint="cs"/>
          <w:rtl/>
        </w:rPr>
        <w:t xml:space="preserve">ולו </w:t>
      </w:r>
      <w:bookmarkStart w:id="13432" w:name="_ETM_Q18_203289"/>
      <w:bookmarkEnd w:id="13432"/>
      <w:r>
        <w:rPr>
          <w:rFonts w:hint="cs"/>
          <w:rtl/>
        </w:rPr>
        <w:t xml:space="preserve">בלבד, </w:t>
      </w:r>
      <w:bookmarkStart w:id="13433" w:name="_ETM_Q18_204140"/>
      <w:bookmarkEnd w:id="13433"/>
      <w:r>
        <w:rPr>
          <w:rFonts w:hint="cs"/>
          <w:rtl/>
        </w:rPr>
        <w:t xml:space="preserve">אתה </w:t>
      </w:r>
      <w:bookmarkStart w:id="13434" w:name="_ETM_Q18_204710"/>
      <w:bookmarkEnd w:id="13434"/>
      <w:r>
        <w:rPr>
          <w:rFonts w:hint="cs"/>
          <w:rtl/>
        </w:rPr>
        <w:t xml:space="preserve">תוכיח </w:t>
      </w:r>
      <w:bookmarkStart w:id="13435" w:name="_ETM_Q18_205380"/>
      <w:bookmarkEnd w:id="13435"/>
      <w:r>
        <w:rPr>
          <w:rFonts w:hint="cs"/>
          <w:rtl/>
        </w:rPr>
        <w:t xml:space="preserve">אותנו </w:t>
      </w:r>
      <w:bookmarkStart w:id="13436" w:name="_ETM_Q18_206250"/>
      <w:bookmarkEnd w:id="13436"/>
      <w:r>
        <w:rPr>
          <w:rFonts w:hint="cs"/>
          <w:rtl/>
        </w:rPr>
        <w:t xml:space="preserve">על </w:t>
      </w:r>
      <w:bookmarkStart w:id="13437" w:name="_ETM_Q18_206460"/>
      <w:bookmarkEnd w:id="13437"/>
      <w:r>
        <w:rPr>
          <w:rFonts w:hint="cs"/>
          <w:rtl/>
        </w:rPr>
        <w:t xml:space="preserve">חיים </w:t>
      </w:r>
      <w:bookmarkStart w:id="13438" w:name="_ETM_Q18_206789"/>
      <w:bookmarkEnd w:id="13438"/>
      <w:r>
        <w:rPr>
          <w:rFonts w:hint="cs"/>
          <w:rtl/>
        </w:rPr>
        <w:t xml:space="preserve">של </w:t>
      </w:r>
      <w:bookmarkStart w:id="13439" w:name="_ETM_Q18_207029"/>
      <w:bookmarkEnd w:id="13439"/>
      <w:r>
        <w:rPr>
          <w:rFonts w:hint="cs"/>
          <w:rtl/>
        </w:rPr>
        <w:t>בטלה?</w:t>
      </w:r>
      <w:bookmarkStart w:id="13440" w:name="_ETM_Q18_208079"/>
      <w:bookmarkEnd w:id="13440"/>
      <w:r>
        <w:rPr>
          <w:rFonts w:hint="cs"/>
          <w:rtl/>
        </w:rPr>
        <w:t xml:space="preserve"> עולם הפוך ראינו. </w:t>
      </w:r>
      <w:bookmarkStart w:id="13441" w:name="_ETM_Q18_208230"/>
      <w:bookmarkStart w:id="13442" w:name="_ETM_Q18_209130"/>
      <w:bookmarkStart w:id="13443" w:name="_ETM_Q18_210390"/>
      <w:bookmarkStart w:id="13444" w:name="_ETM_Q18_212680"/>
      <w:bookmarkEnd w:id="13441"/>
      <w:bookmarkEnd w:id="13442"/>
      <w:bookmarkEnd w:id="13443"/>
      <w:bookmarkEnd w:id="13444"/>
    </w:p>
    <w:p w:rsidR="000C5C1F" w:rsidRDefault="000C5C1F" w:rsidP="000C5C1F">
      <w:pPr>
        <w:rPr>
          <w:rtl/>
        </w:rPr>
      </w:pPr>
    </w:p>
    <w:p w:rsidR="000C5C1F" w:rsidRDefault="000C5C1F" w:rsidP="000C5C1F">
      <w:pPr>
        <w:pStyle w:val="af8"/>
        <w:keepNext/>
        <w:rPr>
          <w:rtl/>
        </w:rPr>
      </w:pPr>
      <w:bookmarkStart w:id="13445" w:name="ET_interruption_6430_5"/>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3445"/>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רק רגע, רק רגע, מילה אחת. </w:t>
      </w:r>
    </w:p>
    <w:p w:rsidR="000C5C1F" w:rsidRDefault="000C5C1F" w:rsidP="000C5C1F">
      <w:pPr>
        <w:rPr>
          <w:rtl/>
          <w:lang w:eastAsia="he-IL"/>
        </w:rPr>
      </w:pPr>
    </w:p>
    <w:p w:rsidR="000C5C1F" w:rsidRDefault="000C5C1F" w:rsidP="000C5C1F">
      <w:pPr>
        <w:pStyle w:val="-"/>
        <w:keepNext/>
        <w:rPr>
          <w:rtl/>
        </w:rPr>
      </w:pPr>
      <w:bookmarkStart w:id="13446" w:name="_ETM_Q18_212000"/>
      <w:bookmarkStart w:id="13447" w:name="ET_speakercontinue_6156_13"/>
      <w:bookmarkEnd w:id="13446"/>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3447"/>
    </w:p>
    <w:p w:rsidR="000C5C1F" w:rsidRDefault="000C5C1F" w:rsidP="00337201">
      <w:pPr>
        <w:rPr>
          <w:rtl/>
          <w:lang w:eastAsia="he-IL"/>
        </w:rPr>
      </w:pPr>
    </w:p>
    <w:p w:rsidR="000C5C1F" w:rsidRDefault="000C5C1F" w:rsidP="000C5C1F">
      <w:pPr>
        <w:rPr>
          <w:rtl/>
          <w:lang w:eastAsia="he-IL"/>
        </w:rPr>
      </w:pPr>
      <w:bookmarkStart w:id="13448" w:name="_ETM_Q18_213000"/>
      <w:bookmarkEnd w:id="13448"/>
      <w:r>
        <w:rPr>
          <w:rFonts w:hint="cs"/>
          <w:rtl/>
          <w:lang w:eastAsia="he-IL"/>
        </w:rPr>
        <w:t xml:space="preserve">רגע, תכף אסיים את </w:t>
      </w:r>
      <w:bookmarkStart w:id="13449" w:name="_ETM_Q18_216000"/>
      <w:bookmarkEnd w:id="13449"/>
      <w:r>
        <w:rPr>
          <w:rFonts w:hint="cs"/>
          <w:rtl/>
          <w:lang w:eastAsia="he-IL"/>
        </w:rPr>
        <w:t xml:space="preserve">דבריי. תמיד עומדת לך הזכות. </w:t>
      </w:r>
    </w:p>
    <w:p w:rsidR="000C5C1F" w:rsidRDefault="000C5C1F" w:rsidP="000C5C1F">
      <w:pPr>
        <w:rPr>
          <w:rtl/>
          <w:lang w:eastAsia="he-IL"/>
        </w:rPr>
      </w:pPr>
    </w:p>
    <w:p w:rsidR="000C5C1F" w:rsidRDefault="000C5C1F" w:rsidP="000C5C1F">
      <w:pPr>
        <w:pStyle w:val="af9"/>
        <w:keepNext/>
        <w:rPr>
          <w:rtl/>
        </w:rPr>
      </w:pPr>
      <w:bookmarkStart w:id="13450" w:name="ET_yor_6490_1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3450"/>
    </w:p>
    <w:p w:rsidR="000C5C1F" w:rsidRDefault="000C5C1F" w:rsidP="00337201">
      <w:pPr>
        <w:rPr>
          <w:rtl/>
          <w:lang w:eastAsia="he-IL"/>
        </w:rPr>
      </w:pPr>
    </w:p>
    <w:p w:rsidR="000C5C1F" w:rsidRDefault="000C5C1F" w:rsidP="000C5C1F">
      <w:pPr>
        <w:rPr>
          <w:rtl/>
          <w:lang w:eastAsia="he-IL"/>
        </w:rPr>
      </w:pPr>
      <w:bookmarkStart w:id="13451" w:name="_ETM_Q18_215000"/>
      <w:bookmarkEnd w:id="13451"/>
      <w:r>
        <w:rPr>
          <w:rFonts w:hint="cs"/>
          <w:rtl/>
          <w:lang w:eastAsia="he-IL"/>
        </w:rPr>
        <w:t xml:space="preserve">אתה יכול לעלות. </w:t>
      </w:r>
    </w:p>
    <w:p w:rsidR="000C5C1F" w:rsidRDefault="000C5C1F" w:rsidP="000C5C1F">
      <w:pPr>
        <w:rPr>
          <w:rtl/>
          <w:lang w:eastAsia="he-IL"/>
        </w:rPr>
      </w:pPr>
      <w:bookmarkStart w:id="13452" w:name="_ETM_Q18_217000"/>
      <w:bookmarkEnd w:id="13452"/>
    </w:p>
    <w:p w:rsidR="000C5C1F" w:rsidRDefault="000C5C1F" w:rsidP="000C5C1F">
      <w:pPr>
        <w:pStyle w:val="af8"/>
        <w:keepNext/>
        <w:rPr>
          <w:rtl/>
        </w:rPr>
      </w:pPr>
      <w:bookmarkStart w:id="13453" w:name="ET_interruption_6430_22"/>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bookmarkEnd w:id="13453"/>
      <w:r>
        <w:rPr>
          <w:rFonts w:hint="cs"/>
          <w:rtl/>
        </w:rPr>
        <w:t xml:space="preserve">  </w:t>
      </w:r>
    </w:p>
    <w:p w:rsidR="000C5C1F" w:rsidRDefault="000C5C1F" w:rsidP="00337201">
      <w:pPr>
        <w:rPr>
          <w:rtl/>
          <w:lang w:eastAsia="he-IL"/>
        </w:rPr>
      </w:pPr>
    </w:p>
    <w:p w:rsidR="000C5C1F" w:rsidRDefault="000C5C1F" w:rsidP="000C5C1F">
      <w:pPr>
        <w:rPr>
          <w:rtl/>
          <w:lang w:eastAsia="he-IL"/>
        </w:rPr>
      </w:pPr>
      <w:r>
        <w:rPr>
          <w:rFonts w:hint="cs"/>
          <w:rtl/>
          <w:lang w:eastAsia="he-IL"/>
        </w:rPr>
        <w:t>אבל מילה אחת.</w:t>
      </w:r>
      <w:bookmarkStart w:id="13454" w:name="_ETM_Q18_219000"/>
      <w:bookmarkEnd w:id="13454"/>
      <w:r>
        <w:rPr>
          <w:rFonts w:hint="cs"/>
          <w:rtl/>
          <w:lang w:eastAsia="he-IL"/>
        </w:rPr>
        <w:t xml:space="preserve"> תגיד לי, אלה שיוצאים לשם, אין להם מקום עבודה? </w:t>
      </w:r>
    </w:p>
    <w:p w:rsidR="000C5C1F" w:rsidRDefault="000C5C1F" w:rsidP="000C5C1F">
      <w:pPr>
        <w:rPr>
          <w:rtl/>
          <w:lang w:eastAsia="he-IL"/>
        </w:rPr>
      </w:pPr>
    </w:p>
    <w:p w:rsidR="000C5C1F" w:rsidRDefault="000C5C1F" w:rsidP="000C5C1F">
      <w:pPr>
        <w:pStyle w:val="-"/>
        <w:keepNext/>
        <w:rPr>
          <w:rtl/>
        </w:rPr>
      </w:pPr>
      <w:bookmarkStart w:id="13455" w:name="ET_speakercontinue_6156_15"/>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3455"/>
    </w:p>
    <w:p w:rsidR="000C5C1F" w:rsidRDefault="000C5C1F" w:rsidP="00337201">
      <w:pPr>
        <w:rPr>
          <w:rtl/>
          <w:lang w:eastAsia="he-IL"/>
        </w:rPr>
      </w:pPr>
    </w:p>
    <w:p w:rsidR="000C5C1F" w:rsidRDefault="000C5C1F" w:rsidP="000C5C1F">
      <w:pPr>
        <w:rPr>
          <w:rtl/>
        </w:rPr>
      </w:pPr>
      <w:bookmarkStart w:id="13456" w:name="_ETM_Q18_221000"/>
      <w:bookmarkEnd w:id="13456"/>
      <w:r>
        <w:rPr>
          <w:rFonts w:hint="cs"/>
          <w:rtl/>
          <w:lang w:eastAsia="he-IL"/>
        </w:rPr>
        <w:t xml:space="preserve">יש להם. </w:t>
      </w:r>
      <w:bookmarkStart w:id="13457" w:name="_ETM_Q18_213370"/>
      <w:bookmarkStart w:id="13458" w:name="_ETM_Q18_213760"/>
      <w:bookmarkStart w:id="13459" w:name="_ETM_Q18_214090"/>
      <w:bookmarkStart w:id="13460" w:name="_ETM_Q18_214510"/>
      <w:bookmarkStart w:id="13461" w:name="_ETM_Q18_214600"/>
      <w:bookmarkStart w:id="13462" w:name="_ETM_Q18_214989"/>
      <w:bookmarkStart w:id="13463" w:name="_ETM_Q18_215079"/>
      <w:bookmarkStart w:id="13464" w:name="_ETM_Q18_215440"/>
      <w:bookmarkStart w:id="13465" w:name="_ETM_Q18_215860"/>
      <w:bookmarkStart w:id="13466" w:name="_ETM_Q18_216100"/>
      <w:bookmarkStart w:id="13467" w:name="_ETM_Q18_216280"/>
      <w:bookmarkStart w:id="13468" w:name="_ETM_Q18_216550"/>
      <w:bookmarkEnd w:id="13457"/>
      <w:bookmarkEnd w:id="13458"/>
      <w:bookmarkEnd w:id="13459"/>
      <w:bookmarkEnd w:id="13460"/>
      <w:bookmarkEnd w:id="13461"/>
      <w:bookmarkEnd w:id="13462"/>
      <w:bookmarkEnd w:id="13463"/>
      <w:bookmarkEnd w:id="13464"/>
      <w:bookmarkEnd w:id="13465"/>
      <w:bookmarkEnd w:id="13466"/>
      <w:bookmarkEnd w:id="13467"/>
      <w:bookmarkEnd w:id="13468"/>
      <w:r>
        <w:rPr>
          <w:rFonts w:hint="cs"/>
          <w:rtl/>
          <w:lang w:eastAsia="he-IL"/>
        </w:rPr>
        <w:t>בניגוד לחלק גדול מ</w:t>
      </w:r>
      <w:bookmarkStart w:id="13469" w:name="_ETM_Q18_218879"/>
      <w:bookmarkStart w:id="13470" w:name="_ETM_Q18_219239"/>
      <w:bookmarkStart w:id="13471" w:name="_ETM_Q18_223010"/>
      <w:bookmarkEnd w:id="13469"/>
      <w:bookmarkEnd w:id="13470"/>
      <w:bookmarkEnd w:id="13471"/>
      <w:r>
        <w:rPr>
          <w:rFonts w:hint="cs"/>
          <w:rtl/>
        </w:rPr>
        <w:t xml:space="preserve">הגברים </w:t>
      </w:r>
      <w:bookmarkStart w:id="13472" w:name="_ETM_Q18_225040"/>
      <w:bookmarkEnd w:id="13472"/>
      <w:r>
        <w:rPr>
          <w:rFonts w:hint="cs"/>
          <w:rtl/>
        </w:rPr>
        <w:t xml:space="preserve">החרדים, </w:t>
      </w:r>
      <w:bookmarkStart w:id="13473" w:name="_ETM_Q18_226060"/>
      <w:bookmarkEnd w:id="13473"/>
      <w:r>
        <w:rPr>
          <w:rFonts w:hint="cs"/>
          <w:rtl/>
        </w:rPr>
        <w:t xml:space="preserve">שאתם </w:t>
      </w:r>
      <w:bookmarkStart w:id="13474" w:name="_ETM_Q18_226870"/>
      <w:bookmarkEnd w:id="13474"/>
      <w:r>
        <w:rPr>
          <w:rFonts w:hint="cs"/>
          <w:rtl/>
        </w:rPr>
        <w:t xml:space="preserve">מחנכים </w:t>
      </w:r>
      <w:bookmarkStart w:id="13475" w:name="_ETM_Q18_226000"/>
      <w:bookmarkEnd w:id="13475"/>
      <w:r>
        <w:rPr>
          <w:rFonts w:hint="cs"/>
          <w:rtl/>
        </w:rPr>
        <w:t xml:space="preserve">לחיי בטלה, כל אחד מהמפגינים הללו עובד ומפרנס את ילדיו. </w:t>
      </w:r>
      <w:bookmarkStart w:id="13476" w:name="_ETM_Q18_231000"/>
      <w:bookmarkEnd w:id="13476"/>
      <w:r>
        <w:rPr>
          <w:rFonts w:hint="cs"/>
          <w:rtl/>
        </w:rPr>
        <w:t xml:space="preserve">כל אחד מהמפגינים הללו יודע שמחובתו לתרום קודם כול לפרנסת </w:t>
      </w:r>
      <w:bookmarkStart w:id="13477" w:name="_ETM_Q18_241000"/>
      <w:bookmarkEnd w:id="13477"/>
      <w:r>
        <w:rPr>
          <w:rFonts w:hint="cs"/>
          <w:rtl/>
        </w:rPr>
        <w:t>משפחתו, לפרנסת המשפחה. כל אחד מהמפגינים הללו</w:t>
      </w:r>
      <w:bookmarkStart w:id="13478" w:name="_ETM_Q18_247000"/>
      <w:bookmarkStart w:id="13479" w:name="_ETM_Q18_245000"/>
      <w:bookmarkStart w:id="13480" w:name="_ETM_Q18_246000"/>
      <w:bookmarkEnd w:id="13478"/>
      <w:bookmarkEnd w:id="13479"/>
      <w:bookmarkEnd w:id="13480"/>
      <w:r>
        <w:rPr>
          <w:rFonts w:hint="cs"/>
          <w:rtl/>
        </w:rPr>
        <w:t xml:space="preserve">, דתיים וחילונים, מחנך את ילדיו לחיים </w:t>
      </w:r>
      <w:bookmarkStart w:id="13481" w:name="_ETM_Q18_249000"/>
      <w:bookmarkEnd w:id="13481"/>
      <w:r>
        <w:rPr>
          <w:rFonts w:hint="cs"/>
          <w:rtl/>
        </w:rPr>
        <w:t xml:space="preserve">של יצרנות, של עבודה, ולא לחיים שבהם הופכים את התורה </w:t>
      </w:r>
      <w:bookmarkStart w:id="13482" w:name="_ETM_Q18_253000"/>
      <w:bookmarkStart w:id="13483" w:name="_ETM_Q18_249270"/>
      <w:bookmarkStart w:id="13484" w:name="_ETM_Q18_249900"/>
      <w:bookmarkStart w:id="13485" w:name="_ETM_Q18_250439"/>
      <w:bookmarkStart w:id="13486" w:name="_ETM_Q18_250709"/>
      <w:bookmarkStart w:id="13487" w:name="_ETM_Q18_251130"/>
      <w:bookmarkStart w:id="13488" w:name="_ETM_Q18_251819"/>
      <w:bookmarkStart w:id="13489" w:name="_ETM_Q18_252150"/>
      <w:bookmarkStart w:id="13490" w:name="_ETM_Q18_253170"/>
      <w:bookmarkStart w:id="13491" w:name="_ETM_Q18_253560"/>
      <w:bookmarkStart w:id="13492" w:name="_ETM_Q18_254069"/>
      <w:bookmarkStart w:id="13493" w:name="_ETM_Q18_254640"/>
      <w:bookmarkStart w:id="13494" w:name="_ETM_Q18_255000"/>
      <w:bookmarkStart w:id="13495" w:name="_ETM_Q18_255150"/>
      <w:bookmarkStart w:id="13496" w:name="_ETM_Q18_255569"/>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r>
        <w:rPr>
          <w:rFonts w:hint="cs"/>
          <w:rtl/>
        </w:rPr>
        <w:t xml:space="preserve">לקרדום </w:t>
      </w:r>
      <w:bookmarkStart w:id="13497" w:name="_ETM_Q18_256170"/>
      <w:bookmarkEnd w:id="13497"/>
      <w:r>
        <w:rPr>
          <w:rFonts w:hint="cs"/>
          <w:rtl/>
        </w:rPr>
        <w:t xml:space="preserve">לחפור </w:t>
      </w:r>
      <w:bookmarkStart w:id="13498" w:name="_ETM_Q18_256620"/>
      <w:bookmarkEnd w:id="13498"/>
      <w:r>
        <w:rPr>
          <w:rFonts w:hint="cs"/>
          <w:rtl/>
        </w:rPr>
        <w:t xml:space="preserve">בו. להם יש עבודה. </w:t>
      </w:r>
      <w:bookmarkStart w:id="13499" w:name="_ETM_Q18_257469"/>
      <w:bookmarkStart w:id="13500" w:name="_ETM_Q18_258369"/>
      <w:bookmarkStart w:id="13501" w:name="_ETM_Q18_259090"/>
      <w:bookmarkStart w:id="13502" w:name="_ETM_Q18_259749"/>
      <w:bookmarkEnd w:id="13499"/>
      <w:bookmarkEnd w:id="13500"/>
      <w:bookmarkEnd w:id="13501"/>
      <w:bookmarkEnd w:id="13502"/>
      <w:r>
        <w:rPr>
          <w:rFonts w:hint="cs"/>
          <w:rtl/>
        </w:rPr>
        <w:t xml:space="preserve">ליותר מדי </w:t>
      </w:r>
      <w:bookmarkStart w:id="13503" w:name="_ETM_Q18_260170"/>
      <w:bookmarkEnd w:id="13503"/>
      <w:r>
        <w:rPr>
          <w:rFonts w:hint="cs"/>
          <w:rtl/>
        </w:rPr>
        <w:t xml:space="preserve">גברים </w:t>
      </w:r>
      <w:bookmarkStart w:id="13504" w:name="_ETM_Q18_260590"/>
      <w:bookmarkEnd w:id="13504"/>
      <w:r>
        <w:rPr>
          <w:rFonts w:hint="cs"/>
          <w:rtl/>
        </w:rPr>
        <w:t xml:space="preserve">חרדים אין </w:t>
      </w:r>
      <w:bookmarkStart w:id="13505" w:name="_ETM_Q18_261670"/>
      <w:bookmarkEnd w:id="13505"/>
      <w:r>
        <w:rPr>
          <w:rFonts w:hint="cs"/>
          <w:rtl/>
        </w:rPr>
        <w:t xml:space="preserve">עבודה, וליותר </w:t>
      </w:r>
      <w:bookmarkStart w:id="13506" w:name="_ETM_Q18_262700"/>
      <w:bookmarkStart w:id="13507" w:name="_ETM_Q18_262970"/>
      <w:bookmarkStart w:id="13508" w:name="_ETM_Q18_263420"/>
      <w:bookmarkEnd w:id="13506"/>
      <w:bookmarkEnd w:id="13507"/>
      <w:bookmarkEnd w:id="13508"/>
      <w:r>
        <w:rPr>
          <w:rFonts w:hint="cs"/>
          <w:rtl/>
        </w:rPr>
        <w:t xml:space="preserve">מדי </w:t>
      </w:r>
      <w:bookmarkStart w:id="13509" w:name="_ETM_Q18_263870"/>
      <w:bookmarkEnd w:id="13509"/>
      <w:r>
        <w:rPr>
          <w:rFonts w:hint="cs"/>
          <w:rtl/>
        </w:rPr>
        <w:t xml:space="preserve">ילדים </w:t>
      </w:r>
      <w:bookmarkStart w:id="13510" w:name="_ETM_Q18_264350"/>
      <w:bookmarkEnd w:id="13510"/>
      <w:r>
        <w:rPr>
          <w:rFonts w:hint="cs"/>
          <w:rtl/>
        </w:rPr>
        <w:t xml:space="preserve">חרדים </w:t>
      </w:r>
      <w:bookmarkStart w:id="13511" w:name="_ETM_Q18_265190"/>
      <w:bookmarkEnd w:id="13511"/>
      <w:r>
        <w:rPr>
          <w:rFonts w:hint="cs"/>
          <w:rtl/>
        </w:rPr>
        <w:t xml:space="preserve">אין </w:t>
      </w:r>
      <w:bookmarkStart w:id="13512" w:name="_ETM_Q18_265430"/>
      <w:bookmarkEnd w:id="13512"/>
      <w:r>
        <w:rPr>
          <w:rFonts w:hint="cs"/>
          <w:rtl/>
        </w:rPr>
        <w:t xml:space="preserve">עתיד </w:t>
      </w:r>
      <w:bookmarkStart w:id="13513" w:name="_ETM_Q18_266219"/>
      <w:bookmarkEnd w:id="13513"/>
      <w:r>
        <w:rPr>
          <w:rFonts w:hint="cs"/>
          <w:rtl/>
        </w:rPr>
        <w:t xml:space="preserve">במציאות </w:t>
      </w:r>
      <w:bookmarkStart w:id="13514" w:name="_ETM_Q18_266880"/>
      <w:bookmarkEnd w:id="13514"/>
      <w:r>
        <w:rPr>
          <w:rFonts w:hint="cs"/>
          <w:rtl/>
        </w:rPr>
        <w:t xml:space="preserve">החיים </w:t>
      </w:r>
      <w:bookmarkStart w:id="13515" w:name="_ETM_Q18_267240"/>
      <w:bookmarkEnd w:id="13515"/>
      <w:r>
        <w:rPr>
          <w:rFonts w:hint="cs"/>
          <w:rtl/>
        </w:rPr>
        <w:t>המודרנית.</w:t>
      </w:r>
    </w:p>
    <w:p w:rsidR="000C5C1F" w:rsidRDefault="000C5C1F" w:rsidP="000C5C1F">
      <w:pPr>
        <w:rPr>
          <w:rtl/>
        </w:rPr>
      </w:pPr>
      <w:bookmarkStart w:id="13516" w:name="_ETM_Q18_266000"/>
      <w:bookmarkEnd w:id="13516"/>
    </w:p>
    <w:p w:rsidR="000C5C1F" w:rsidRDefault="000C5C1F" w:rsidP="000C5C1F">
      <w:pPr>
        <w:pStyle w:val="af8"/>
        <w:keepNext/>
        <w:rPr>
          <w:rtl/>
        </w:rPr>
      </w:pPr>
      <w:bookmarkStart w:id="13517" w:name="ET_interruption_6430_8"/>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3517"/>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אני מתנגד למה שאתה אומר. </w:t>
      </w:r>
    </w:p>
    <w:p w:rsidR="000C5C1F" w:rsidRDefault="000C5C1F" w:rsidP="000C5C1F">
      <w:pPr>
        <w:rPr>
          <w:rtl/>
          <w:lang w:eastAsia="he-IL"/>
        </w:rPr>
      </w:pPr>
      <w:bookmarkStart w:id="13518" w:name="_ETM_Q18_272000"/>
      <w:bookmarkEnd w:id="13518"/>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lang w:eastAsia="he-IL"/>
        </w:rPr>
      </w:pPr>
    </w:p>
    <w:p w:rsidR="000C5C1F" w:rsidRDefault="000C5C1F" w:rsidP="000C5C1F">
      <w:pPr>
        <w:rPr>
          <w:rtl/>
          <w:lang w:eastAsia="he-IL"/>
        </w:rPr>
      </w:pPr>
      <w:bookmarkStart w:id="13519" w:name="_ETM_Q18_267000"/>
      <w:bookmarkEnd w:id="13519"/>
      <w:r>
        <w:rPr>
          <w:rFonts w:hint="cs"/>
          <w:rtl/>
          <w:lang w:eastAsia="he-IL"/>
        </w:rPr>
        <w:t xml:space="preserve">אני </w:t>
      </w:r>
      <w:bookmarkStart w:id="13520" w:name="_ETM_Q18_269000"/>
      <w:bookmarkEnd w:id="13520"/>
      <w:r>
        <w:rPr>
          <w:rFonts w:hint="cs"/>
          <w:rtl/>
          <w:lang w:eastAsia="he-IL"/>
        </w:rPr>
        <w:t xml:space="preserve">חייב להגיד משהו: השר גולדקנופ עוזר לי עם הדונם </w:t>
      </w:r>
      <w:bookmarkStart w:id="13521" w:name="_ETM_Q18_274000"/>
      <w:bookmarkEnd w:id="13521"/>
      <w:r>
        <w:rPr>
          <w:rFonts w:hint="cs"/>
          <w:rtl/>
          <w:lang w:eastAsia="he-IL"/>
        </w:rPr>
        <w:t xml:space="preserve">לחיילי צה"ל. אז עזוב אותו, הוא צדיק מבחינתי. </w:t>
      </w:r>
    </w:p>
    <w:p w:rsidR="000C5C1F" w:rsidRDefault="000C5C1F" w:rsidP="000C5C1F">
      <w:pPr>
        <w:rPr>
          <w:rtl/>
          <w:lang w:eastAsia="he-IL"/>
        </w:rPr>
      </w:pPr>
      <w:bookmarkStart w:id="13522" w:name="_ETM_Q18_279000"/>
      <w:bookmarkEnd w:id="13522"/>
    </w:p>
    <w:p w:rsidR="000C5C1F" w:rsidRDefault="000C5C1F" w:rsidP="000C5C1F">
      <w:pPr>
        <w:pStyle w:val="-"/>
        <w:keepNext/>
        <w:rPr>
          <w:rtl/>
        </w:rPr>
      </w:pPr>
      <w:bookmarkStart w:id="13523" w:name="ET_speakercontinue_6156_17"/>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3523"/>
    </w:p>
    <w:p w:rsidR="000C5C1F" w:rsidRDefault="000C5C1F" w:rsidP="00337201">
      <w:pPr>
        <w:rPr>
          <w:rtl/>
          <w:lang w:eastAsia="he-IL"/>
        </w:rPr>
      </w:pPr>
    </w:p>
    <w:p w:rsidR="000C5C1F" w:rsidRDefault="000C5C1F" w:rsidP="000C5C1F">
      <w:pPr>
        <w:rPr>
          <w:rtl/>
        </w:rPr>
      </w:pPr>
      <w:r>
        <w:rPr>
          <w:rFonts w:hint="cs"/>
          <w:rtl/>
          <w:lang w:eastAsia="he-IL"/>
        </w:rPr>
        <w:t xml:space="preserve">וכן, </w:t>
      </w:r>
      <w:bookmarkStart w:id="13524" w:name="_ETM_Q18_277000"/>
      <w:bookmarkEnd w:id="13524"/>
      <w:r>
        <w:rPr>
          <w:rFonts w:hint="cs"/>
          <w:rtl/>
          <w:lang w:eastAsia="he-IL"/>
        </w:rPr>
        <w:t xml:space="preserve">אי-אפשר שלא להפנות אצבע מאשימה לשר הביטחון גלנט. </w:t>
      </w:r>
      <w:bookmarkStart w:id="13525" w:name="_ETM_Q18_283000"/>
      <w:bookmarkStart w:id="13526" w:name="_ETM_Q18_268259"/>
      <w:bookmarkStart w:id="13527" w:name="_ETM_Q18_270409"/>
      <w:bookmarkStart w:id="13528" w:name="_ETM_Q18_270560"/>
      <w:bookmarkStart w:id="13529" w:name="_ETM_Q18_270799"/>
      <w:bookmarkStart w:id="13530" w:name="_ETM_Q18_271039"/>
      <w:bookmarkStart w:id="13531" w:name="_ETM_Q18_271430"/>
      <w:bookmarkStart w:id="13532" w:name="_ETM_Q18_271789"/>
      <w:bookmarkStart w:id="13533" w:name="_ETM_Q18_272119"/>
      <w:bookmarkStart w:id="13534" w:name="_ETM_Q18_272360"/>
      <w:bookmarkStart w:id="13535" w:name="_ETM_Q18_272659"/>
      <w:bookmarkStart w:id="13536" w:name="_ETM_Q18_272780"/>
      <w:bookmarkStart w:id="13537" w:name="_ETM_Q18_272899"/>
      <w:bookmarkStart w:id="13538" w:name="_ETM_Q18_273409"/>
      <w:bookmarkStart w:id="13539" w:name="_ETM_Q18_273829"/>
      <w:bookmarkStart w:id="13540" w:name="_ETM_Q18_274520"/>
      <w:bookmarkStart w:id="13541" w:name="_ETM_Q18_274700"/>
      <w:bookmarkStart w:id="13542" w:name="_ETM_Q18_274969"/>
      <w:bookmarkStart w:id="13543" w:name="_ETM_Q18_275209"/>
      <w:bookmarkStart w:id="13544" w:name="_ETM_Q18_275299"/>
      <w:bookmarkStart w:id="13545" w:name="_ETM_Q18_276620"/>
      <w:bookmarkStart w:id="13546" w:name="_ETM_Q18_277850"/>
      <w:bookmarkStart w:id="13547" w:name="_ETM_Q18_278030"/>
      <w:bookmarkStart w:id="13548" w:name="_ETM_Q18_279079"/>
      <w:bookmarkStart w:id="13549" w:name="_ETM_Q18_279590"/>
      <w:bookmarkStart w:id="13550" w:name="_ETM_Q18_280159"/>
      <w:bookmarkStart w:id="13551" w:name="_ETM_Q18_280549"/>
      <w:bookmarkStart w:id="13552" w:name="_ETM_Q18_281719"/>
      <w:bookmarkStart w:id="13553" w:name="_ETM_Q18_282200"/>
      <w:bookmarkStart w:id="13554" w:name="_ETM_Q18_282859"/>
      <w:bookmarkStart w:id="13555" w:name="_ETM_Q18_284209"/>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r>
        <w:rPr>
          <w:rFonts w:hint="cs"/>
          <w:rtl/>
        </w:rPr>
        <w:t xml:space="preserve">גם </w:t>
      </w:r>
      <w:bookmarkStart w:id="13556" w:name="_ETM_Q18_284840"/>
      <w:bookmarkEnd w:id="13556"/>
      <w:r>
        <w:rPr>
          <w:rFonts w:hint="cs"/>
          <w:rtl/>
        </w:rPr>
        <w:t xml:space="preserve">אותך </w:t>
      </w:r>
      <w:bookmarkStart w:id="13557" w:name="_ETM_Q18_285439"/>
      <w:bookmarkEnd w:id="13557"/>
      <w:r>
        <w:rPr>
          <w:rFonts w:hint="cs"/>
          <w:rtl/>
        </w:rPr>
        <w:t xml:space="preserve">אנחנו </w:t>
      </w:r>
      <w:bookmarkStart w:id="13558" w:name="_ETM_Q18_285890"/>
      <w:bookmarkEnd w:id="13558"/>
      <w:r>
        <w:rPr>
          <w:rFonts w:hint="cs"/>
          <w:rtl/>
        </w:rPr>
        <w:t xml:space="preserve">מאשימים. </w:t>
      </w:r>
      <w:bookmarkStart w:id="13559" w:name="_ETM_Q18_287580"/>
      <w:bookmarkEnd w:id="13559"/>
      <w:r>
        <w:rPr>
          <w:rFonts w:hint="cs"/>
          <w:rtl/>
        </w:rPr>
        <w:t xml:space="preserve">הסיבה </w:t>
      </w:r>
      <w:bookmarkStart w:id="13560" w:name="_ETM_Q18_288450"/>
      <w:bookmarkEnd w:id="13560"/>
      <w:r>
        <w:rPr>
          <w:rFonts w:hint="cs"/>
          <w:rtl/>
        </w:rPr>
        <w:t xml:space="preserve">היחידה </w:t>
      </w:r>
      <w:bookmarkStart w:id="13561" w:name="_ETM_Q18_289229"/>
      <w:bookmarkEnd w:id="13561"/>
      <w:r>
        <w:rPr>
          <w:rFonts w:hint="cs"/>
          <w:rtl/>
        </w:rPr>
        <w:t xml:space="preserve">שאתה עדיין </w:t>
      </w:r>
      <w:bookmarkStart w:id="13562" w:name="_ETM_Q18_289740"/>
      <w:bookmarkEnd w:id="13562"/>
      <w:r>
        <w:rPr>
          <w:rFonts w:hint="cs"/>
          <w:rtl/>
        </w:rPr>
        <w:t xml:space="preserve">יושב </w:t>
      </w:r>
      <w:bookmarkStart w:id="13563" w:name="_ETM_Q18_290220"/>
      <w:bookmarkStart w:id="13564" w:name="_ETM_Q18_290729"/>
      <w:bookmarkEnd w:id="13563"/>
      <w:bookmarkEnd w:id="13564"/>
      <w:r>
        <w:rPr>
          <w:rFonts w:hint="cs"/>
          <w:rtl/>
        </w:rPr>
        <w:t xml:space="preserve">מסביב </w:t>
      </w:r>
      <w:bookmarkStart w:id="13565" w:name="_ETM_Q18_291300"/>
      <w:bookmarkEnd w:id="13565"/>
      <w:r>
        <w:rPr>
          <w:rFonts w:hint="cs"/>
          <w:rtl/>
        </w:rPr>
        <w:t xml:space="preserve">לשולחן </w:t>
      </w:r>
      <w:bookmarkStart w:id="13566" w:name="_ETM_Q18_291870"/>
      <w:bookmarkEnd w:id="13566"/>
      <w:r>
        <w:rPr>
          <w:rFonts w:hint="cs"/>
          <w:rtl/>
        </w:rPr>
        <w:t xml:space="preserve">הממשלה </w:t>
      </w:r>
      <w:bookmarkStart w:id="13567" w:name="_ETM_Q18_293080"/>
      <w:bookmarkEnd w:id="13567"/>
      <w:r>
        <w:rPr>
          <w:rFonts w:hint="cs"/>
          <w:rtl/>
        </w:rPr>
        <w:t xml:space="preserve">היא </w:t>
      </w:r>
      <w:bookmarkStart w:id="13568" w:name="_ETM_Q18_293290"/>
      <w:bookmarkEnd w:id="13568"/>
      <w:r>
        <w:rPr>
          <w:rFonts w:hint="cs"/>
          <w:rtl/>
        </w:rPr>
        <w:t xml:space="preserve">היציאה </w:t>
      </w:r>
      <w:bookmarkStart w:id="13569" w:name="_ETM_Q18_293980"/>
      <w:bookmarkEnd w:id="13569"/>
      <w:r>
        <w:rPr>
          <w:rFonts w:hint="cs"/>
          <w:rtl/>
        </w:rPr>
        <w:t xml:space="preserve">של </w:t>
      </w:r>
      <w:bookmarkStart w:id="13570" w:name="_ETM_Q18_294250"/>
      <w:bookmarkEnd w:id="13570"/>
      <w:r>
        <w:rPr>
          <w:rFonts w:hint="cs"/>
          <w:rtl/>
        </w:rPr>
        <w:t xml:space="preserve">אותם </w:t>
      </w:r>
      <w:bookmarkStart w:id="13571" w:name="_ETM_Q18_294670"/>
      <w:bookmarkEnd w:id="13571"/>
      <w:r>
        <w:rPr>
          <w:rFonts w:hint="cs"/>
          <w:rtl/>
        </w:rPr>
        <w:t xml:space="preserve">מאות </w:t>
      </w:r>
      <w:bookmarkStart w:id="13572" w:name="_ETM_Q18_295120"/>
      <w:bookmarkEnd w:id="13572"/>
      <w:r>
        <w:rPr>
          <w:rFonts w:hint="cs"/>
          <w:rtl/>
        </w:rPr>
        <w:t xml:space="preserve">אלפי </w:t>
      </w:r>
      <w:bookmarkStart w:id="13573" w:name="_ETM_Q18_295540"/>
      <w:bookmarkEnd w:id="13573"/>
      <w:r>
        <w:rPr>
          <w:rFonts w:hint="cs"/>
          <w:rtl/>
        </w:rPr>
        <w:t xml:space="preserve">ישראלים </w:t>
      </w:r>
      <w:bookmarkStart w:id="13574" w:name="_ETM_Q18_296080"/>
      <w:bookmarkEnd w:id="13574"/>
      <w:r>
        <w:rPr>
          <w:rFonts w:hint="cs"/>
          <w:rtl/>
        </w:rPr>
        <w:t xml:space="preserve">מסורים </w:t>
      </w:r>
      <w:bookmarkStart w:id="13575" w:name="_ETM_Q18_296560"/>
      <w:bookmarkEnd w:id="13575"/>
      <w:r>
        <w:rPr>
          <w:rFonts w:hint="cs"/>
          <w:rtl/>
        </w:rPr>
        <w:t xml:space="preserve">לרחובות </w:t>
      </w:r>
      <w:bookmarkStart w:id="13576" w:name="_ETM_Q18_297710"/>
      <w:bookmarkEnd w:id="13576"/>
      <w:r>
        <w:rPr>
          <w:rFonts w:hint="cs"/>
          <w:rtl/>
        </w:rPr>
        <w:t xml:space="preserve">בליל הדחתך. </w:t>
      </w:r>
      <w:bookmarkStart w:id="13577" w:name="_ETM_Q18_298280"/>
      <w:bookmarkStart w:id="13578" w:name="_ETM_Q18_298400"/>
      <w:bookmarkStart w:id="13579" w:name="_ETM_Q18_298970"/>
      <w:bookmarkStart w:id="13580" w:name="_ETM_Q18_299150"/>
      <w:bookmarkStart w:id="13581" w:name="_ETM_Q18_300520"/>
      <w:bookmarkEnd w:id="13577"/>
      <w:bookmarkEnd w:id="13578"/>
      <w:bookmarkEnd w:id="13579"/>
      <w:bookmarkEnd w:id="13580"/>
      <w:bookmarkEnd w:id="13581"/>
      <w:r>
        <w:rPr>
          <w:rFonts w:hint="cs"/>
          <w:rtl/>
        </w:rPr>
        <w:t xml:space="preserve">הם </w:t>
      </w:r>
      <w:bookmarkStart w:id="13582" w:name="_ETM_Q18_300759"/>
      <w:bookmarkEnd w:id="13582"/>
      <w:r>
        <w:rPr>
          <w:rFonts w:hint="cs"/>
          <w:rtl/>
        </w:rPr>
        <w:t xml:space="preserve">יצאו </w:t>
      </w:r>
      <w:bookmarkStart w:id="13583" w:name="_ETM_Q18_301119"/>
      <w:bookmarkEnd w:id="13583"/>
      <w:r>
        <w:rPr>
          <w:rFonts w:hint="cs"/>
          <w:rtl/>
        </w:rPr>
        <w:t xml:space="preserve">להגן </w:t>
      </w:r>
      <w:bookmarkStart w:id="13584" w:name="_ETM_Q18_301600"/>
      <w:bookmarkEnd w:id="13584"/>
      <w:r>
        <w:rPr>
          <w:rFonts w:hint="cs"/>
          <w:rtl/>
        </w:rPr>
        <w:t xml:space="preserve">עליך </w:t>
      </w:r>
      <w:bookmarkStart w:id="13585" w:name="_ETM_Q18_301990"/>
      <w:bookmarkEnd w:id="13585"/>
      <w:r>
        <w:rPr>
          <w:rFonts w:hint="cs"/>
          <w:rtl/>
        </w:rPr>
        <w:t xml:space="preserve">ועל </w:t>
      </w:r>
      <w:bookmarkStart w:id="13586" w:name="_ETM_Q18_302259"/>
      <w:bookmarkEnd w:id="13586"/>
      <w:r>
        <w:rPr>
          <w:rFonts w:hint="cs"/>
          <w:rtl/>
        </w:rPr>
        <w:t xml:space="preserve">צה"ל, </w:t>
      </w:r>
      <w:bookmarkStart w:id="13587" w:name="_ETM_Q18_303240"/>
      <w:bookmarkEnd w:id="13587"/>
      <w:r>
        <w:rPr>
          <w:rFonts w:hint="cs"/>
          <w:rtl/>
        </w:rPr>
        <w:t xml:space="preserve">ואתה </w:t>
      </w:r>
      <w:bookmarkStart w:id="13588" w:name="_ETM_Q18_303689"/>
      <w:bookmarkEnd w:id="13588"/>
      <w:r>
        <w:rPr>
          <w:rFonts w:hint="cs"/>
          <w:rtl/>
        </w:rPr>
        <w:t xml:space="preserve">מפנה </w:t>
      </w:r>
      <w:bookmarkStart w:id="13589" w:name="_ETM_Q18_304109"/>
      <w:bookmarkEnd w:id="13589"/>
      <w:r>
        <w:rPr>
          <w:rFonts w:hint="cs"/>
          <w:rtl/>
        </w:rPr>
        <w:t xml:space="preserve">להם </w:t>
      </w:r>
      <w:bookmarkStart w:id="13590" w:name="_ETM_Q18_304409"/>
      <w:bookmarkEnd w:id="13590"/>
      <w:r>
        <w:rPr>
          <w:rFonts w:hint="cs"/>
          <w:rtl/>
        </w:rPr>
        <w:t xml:space="preserve">עורף, </w:t>
      </w:r>
      <w:bookmarkStart w:id="13591" w:name="_ETM_Q18_305409"/>
      <w:bookmarkEnd w:id="13591"/>
      <w:r>
        <w:rPr>
          <w:rFonts w:hint="cs"/>
          <w:rtl/>
        </w:rPr>
        <w:t xml:space="preserve">יושב </w:t>
      </w:r>
      <w:bookmarkStart w:id="13592" w:name="_ETM_Q18_305979"/>
      <w:bookmarkEnd w:id="13592"/>
      <w:r>
        <w:rPr>
          <w:rFonts w:hint="cs"/>
          <w:rtl/>
        </w:rPr>
        <w:t xml:space="preserve">בשקט </w:t>
      </w:r>
      <w:bookmarkStart w:id="13593" w:name="_ETM_Q18_306670"/>
      <w:bookmarkEnd w:id="13593"/>
      <w:r>
        <w:rPr>
          <w:rFonts w:hint="cs"/>
          <w:rtl/>
        </w:rPr>
        <w:t xml:space="preserve">כשחבריך – </w:t>
      </w:r>
      <w:bookmarkStart w:id="13594" w:name="_ETM_Q18_308090"/>
      <w:bookmarkEnd w:id="13594"/>
      <w:r>
        <w:rPr>
          <w:rFonts w:hint="cs"/>
          <w:rtl/>
        </w:rPr>
        <w:t xml:space="preserve">ובתוכם </w:t>
      </w:r>
      <w:bookmarkStart w:id="13595" w:name="_ETM_Q18_308959"/>
      <w:bookmarkEnd w:id="13595"/>
      <w:r>
        <w:rPr>
          <w:rFonts w:hint="cs"/>
          <w:rtl/>
        </w:rPr>
        <w:t xml:space="preserve">גם </w:t>
      </w:r>
      <w:bookmarkStart w:id="13596" w:name="_ETM_Q18_309319"/>
      <w:bookmarkEnd w:id="13596"/>
      <w:r>
        <w:rPr>
          <w:rFonts w:hint="cs"/>
          <w:rtl/>
        </w:rPr>
        <w:t xml:space="preserve">אלה </w:t>
      </w:r>
      <w:bookmarkStart w:id="13597" w:name="_ETM_Q18_309709"/>
      <w:bookmarkEnd w:id="13597"/>
      <w:r>
        <w:rPr>
          <w:rFonts w:hint="cs"/>
          <w:rtl/>
        </w:rPr>
        <w:t xml:space="preserve">שמעולם </w:t>
      </w:r>
      <w:bookmarkStart w:id="13598" w:name="_ETM_Q18_310580"/>
      <w:bookmarkEnd w:id="13598"/>
      <w:r>
        <w:rPr>
          <w:rFonts w:hint="cs"/>
          <w:rtl/>
        </w:rPr>
        <w:t xml:space="preserve">לא </w:t>
      </w:r>
      <w:bookmarkStart w:id="13599" w:name="_ETM_Q18_310760"/>
      <w:bookmarkEnd w:id="13599"/>
      <w:r>
        <w:rPr>
          <w:rFonts w:hint="cs"/>
          <w:rtl/>
        </w:rPr>
        <w:t xml:space="preserve">הגנו </w:t>
      </w:r>
      <w:bookmarkStart w:id="13600" w:name="_ETM_Q18_311239"/>
      <w:bookmarkEnd w:id="13600"/>
      <w:r>
        <w:rPr>
          <w:rFonts w:hint="cs"/>
          <w:rtl/>
        </w:rPr>
        <w:t xml:space="preserve">על </w:t>
      </w:r>
      <w:bookmarkStart w:id="13601" w:name="_ETM_Q18_311360"/>
      <w:bookmarkEnd w:id="13601"/>
      <w:r>
        <w:rPr>
          <w:rFonts w:hint="cs"/>
          <w:rtl/>
        </w:rPr>
        <w:t xml:space="preserve">גבולות </w:t>
      </w:r>
      <w:bookmarkStart w:id="13602" w:name="_ETM_Q18_311810"/>
      <w:bookmarkEnd w:id="13602"/>
      <w:r>
        <w:rPr>
          <w:rFonts w:hint="cs"/>
          <w:rtl/>
        </w:rPr>
        <w:t xml:space="preserve">המדינה, </w:t>
      </w:r>
      <w:bookmarkStart w:id="13603" w:name="_ETM_Q18_312709"/>
      <w:bookmarkEnd w:id="13603"/>
      <w:r>
        <w:rPr>
          <w:rFonts w:hint="cs"/>
          <w:rtl/>
        </w:rPr>
        <w:t xml:space="preserve">אדוני </w:t>
      </w:r>
      <w:bookmarkStart w:id="13604" w:name="_ETM_Q18_313130"/>
      <w:bookmarkEnd w:id="13604"/>
      <w:r>
        <w:rPr>
          <w:rFonts w:hint="cs"/>
          <w:rtl/>
        </w:rPr>
        <w:t xml:space="preserve">השר גולנדקנופ – </w:t>
      </w:r>
      <w:bookmarkStart w:id="13605" w:name="_ETM_Q18_313910"/>
      <w:bookmarkStart w:id="13606" w:name="_ETM_Q18_314530"/>
      <w:bookmarkEnd w:id="13605"/>
      <w:bookmarkEnd w:id="13606"/>
      <w:r>
        <w:rPr>
          <w:rFonts w:hint="cs"/>
          <w:rtl/>
        </w:rPr>
        <w:t xml:space="preserve">מטנפים </w:t>
      </w:r>
      <w:bookmarkStart w:id="13607" w:name="_ETM_Q18_315549"/>
      <w:bookmarkEnd w:id="13607"/>
      <w:r>
        <w:rPr>
          <w:rFonts w:hint="cs"/>
          <w:rtl/>
        </w:rPr>
        <w:t xml:space="preserve">על </w:t>
      </w:r>
      <w:bookmarkStart w:id="13608" w:name="_ETM_Q18_315760"/>
      <w:bookmarkEnd w:id="13608"/>
      <w:r>
        <w:rPr>
          <w:rFonts w:hint="cs"/>
          <w:rtl/>
        </w:rPr>
        <w:t xml:space="preserve">אנשים </w:t>
      </w:r>
      <w:bookmarkStart w:id="13609" w:name="_ETM_Q18_316329"/>
      <w:bookmarkEnd w:id="13609"/>
      <w:r>
        <w:rPr>
          <w:rFonts w:hint="cs"/>
          <w:rtl/>
        </w:rPr>
        <w:t xml:space="preserve">ונשים שמסרו </w:t>
      </w:r>
      <w:bookmarkStart w:id="13610" w:name="_ETM_Q18_317410"/>
      <w:bookmarkStart w:id="13611" w:name="_ETM_Q18_317680"/>
      <w:bookmarkStart w:id="13612" w:name="_ETM_Q18_318010"/>
      <w:bookmarkEnd w:id="13610"/>
      <w:bookmarkEnd w:id="13611"/>
      <w:bookmarkEnd w:id="13612"/>
      <w:r>
        <w:rPr>
          <w:rFonts w:hint="cs"/>
          <w:rtl/>
        </w:rPr>
        <w:t xml:space="preserve">את </w:t>
      </w:r>
      <w:bookmarkStart w:id="13613" w:name="_ETM_Q18_318160"/>
      <w:bookmarkEnd w:id="13613"/>
      <w:r>
        <w:rPr>
          <w:rFonts w:hint="cs"/>
          <w:rtl/>
        </w:rPr>
        <w:t xml:space="preserve">מיטב </w:t>
      </w:r>
      <w:bookmarkStart w:id="13614" w:name="_ETM_Q18_318639"/>
      <w:bookmarkEnd w:id="13614"/>
      <w:r>
        <w:rPr>
          <w:rFonts w:hint="cs"/>
          <w:rtl/>
        </w:rPr>
        <w:t xml:space="preserve">שנותיהם </w:t>
      </w:r>
      <w:bookmarkStart w:id="13615" w:name="_ETM_Q18_319690"/>
      <w:bookmarkEnd w:id="13615"/>
      <w:r>
        <w:rPr>
          <w:rFonts w:hint="cs"/>
          <w:rtl/>
        </w:rPr>
        <w:t xml:space="preserve">לשירות </w:t>
      </w:r>
      <w:bookmarkStart w:id="13616" w:name="_ETM_Q18_320290"/>
      <w:bookmarkEnd w:id="13616"/>
      <w:r>
        <w:rPr>
          <w:rFonts w:hint="cs"/>
          <w:rtl/>
        </w:rPr>
        <w:t xml:space="preserve">הסדיר, </w:t>
      </w:r>
      <w:bookmarkStart w:id="13617" w:name="_ETM_Q18_320790"/>
      <w:bookmarkEnd w:id="13617"/>
      <w:r>
        <w:rPr>
          <w:rFonts w:hint="cs"/>
          <w:rtl/>
        </w:rPr>
        <w:t xml:space="preserve">לשירות </w:t>
      </w:r>
      <w:bookmarkStart w:id="13618" w:name="_ETM_Q18_321450"/>
      <w:bookmarkEnd w:id="13618"/>
      <w:r>
        <w:rPr>
          <w:rFonts w:hint="cs"/>
          <w:rtl/>
        </w:rPr>
        <w:t xml:space="preserve">הקבע </w:t>
      </w:r>
      <w:bookmarkStart w:id="13619" w:name="_ETM_Q18_322230"/>
      <w:bookmarkEnd w:id="13619"/>
      <w:r>
        <w:rPr>
          <w:rFonts w:hint="cs"/>
          <w:rtl/>
        </w:rPr>
        <w:t xml:space="preserve">ולשירות </w:t>
      </w:r>
      <w:bookmarkStart w:id="13620" w:name="_ETM_Q18_322769"/>
      <w:bookmarkEnd w:id="13620"/>
      <w:r>
        <w:rPr>
          <w:rFonts w:hint="cs"/>
          <w:rtl/>
        </w:rPr>
        <w:t xml:space="preserve">המילואים. </w:t>
      </w:r>
      <w:bookmarkStart w:id="13621" w:name="_ETM_Q18_323790"/>
      <w:bookmarkEnd w:id="13621"/>
      <w:r>
        <w:rPr>
          <w:rFonts w:hint="cs"/>
          <w:rtl/>
        </w:rPr>
        <w:t xml:space="preserve">אנשים </w:t>
      </w:r>
      <w:bookmarkStart w:id="13622" w:name="_ETM_Q18_324360"/>
      <w:bookmarkEnd w:id="13622"/>
      <w:r>
        <w:rPr>
          <w:rFonts w:hint="cs"/>
          <w:rtl/>
        </w:rPr>
        <w:t xml:space="preserve">ונשים </w:t>
      </w:r>
      <w:bookmarkStart w:id="13623" w:name="_ETM_Q18_325379"/>
      <w:bookmarkEnd w:id="13623"/>
      <w:r>
        <w:rPr>
          <w:rFonts w:hint="cs"/>
          <w:rtl/>
        </w:rPr>
        <w:t xml:space="preserve">שמתריעים </w:t>
      </w:r>
      <w:bookmarkStart w:id="13624" w:name="_ETM_Q18_326129"/>
      <w:bookmarkEnd w:id="13624"/>
      <w:r>
        <w:rPr>
          <w:rFonts w:hint="cs"/>
          <w:rtl/>
        </w:rPr>
        <w:t xml:space="preserve">בפניכם </w:t>
      </w:r>
      <w:bookmarkStart w:id="13625" w:name="_ETM_Q18_326730"/>
      <w:bookmarkEnd w:id="13625"/>
      <w:r>
        <w:rPr>
          <w:rFonts w:hint="cs"/>
          <w:rtl/>
        </w:rPr>
        <w:t xml:space="preserve">על </w:t>
      </w:r>
      <w:bookmarkStart w:id="13626" w:name="_ETM_Q18_326879"/>
      <w:bookmarkEnd w:id="13626"/>
      <w:r>
        <w:rPr>
          <w:rFonts w:hint="cs"/>
          <w:rtl/>
        </w:rPr>
        <w:t xml:space="preserve">הנזק </w:t>
      </w:r>
      <w:bookmarkStart w:id="13627" w:name="_ETM_Q18_327419"/>
      <w:bookmarkEnd w:id="13627"/>
      <w:r>
        <w:rPr>
          <w:rFonts w:hint="cs"/>
          <w:rtl/>
        </w:rPr>
        <w:t xml:space="preserve">הדרמטי </w:t>
      </w:r>
      <w:bookmarkStart w:id="13628" w:name="_ETM_Q18_328109"/>
      <w:bookmarkEnd w:id="13628"/>
      <w:r>
        <w:rPr>
          <w:rFonts w:hint="cs"/>
          <w:rtl/>
        </w:rPr>
        <w:t xml:space="preserve">שייגרם </w:t>
      </w:r>
      <w:bookmarkStart w:id="13629" w:name="_ETM_Q18_328709"/>
      <w:bookmarkEnd w:id="13629"/>
      <w:r>
        <w:rPr>
          <w:rFonts w:hint="cs"/>
          <w:rtl/>
        </w:rPr>
        <w:t xml:space="preserve">לביטחון </w:t>
      </w:r>
      <w:bookmarkStart w:id="13630" w:name="_ETM_Q18_329340"/>
      <w:bookmarkEnd w:id="13630"/>
      <w:r>
        <w:rPr>
          <w:rFonts w:hint="cs"/>
          <w:rtl/>
        </w:rPr>
        <w:t xml:space="preserve">הלאומי </w:t>
      </w:r>
      <w:bookmarkStart w:id="13631" w:name="_ETM_Q18_330269"/>
      <w:bookmarkEnd w:id="13631"/>
      <w:r>
        <w:rPr>
          <w:rFonts w:hint="cs"/>
          <w:rtl/>
        </w:rPr>
        <w:t xml:space="preserve">כתוצאה </w:t>
      </w:r>
      <w:bookmarkStart w:id="13632" w:name="_ETM_Q18_330900"/>
      <w:bookmarkEnd w:id="13632"/>
      <w:r>
        <w:rPr>
          <w:rFonts w:hint="cs"/>
          <w:rtl/>
        </w:rPr>
        <w:t xml:space="preserve">מההפיכה </w:t>
      </w:r>
      <w:bookmarkStart w:id="13633" w:name="_ETM_Q18_331530"/>
      <w:bookmarkEnd w:id="13633"/>
      <w:r>
        <w:rPr>
          <w:rFonts w:hint="cs"/>
          <w:rtl/>
        </w:rPr>
        <w:t xml:space="preserve">המשטרית. </w:t>
      </w:r>
      <w:bookmarkStart w:id="13634" w:name="_ETM_Q18_332790"/>
      <w:bookmarkEnd w:id="13634"/>
      <w:r>
        <w:rPr>
          <w:rFonts w:hint="cs"/>
          <w:rtl/>
        </w:rPr>
        <w:t xml:space="preserve">אתה, </w:t>
      </w:r>
      <w:bookmarkStart w:id="13635" w:name="_ETM_Q18_333239"/>
      <w:bookmarkEnd w:id="13635"/>
      <w:r>
        <w:rPr>
          <w:rFonts w:hint="cs"/>
          <w:rtl/>
        </w:rPr>
        <w:t xml:space="preserve">אדוני </w:t>
      </w:r>
      <w:bookmarkStart w:id="13636" w:name="_ETM_Q18_333629"/>
      <w:bookmarkEnd w:id="13636"/>
      <w:r>
        <w:rPr>
          <w:rFonts w:hint="cs"/>
          <w:rtl/>
        </w:rPr>
        <w:t xml:space="preserve">שר </w:t>
      </w:r>
      <w:bookmarkStart w:id="13637" w:name="_ETM_Q18_333930"/>
      <w:bookmarkEnd w:id="13637"/>
      <w:r>
        <w:rPr>
          <w:rFonts w:hint="cs"/>
          <w:rtl/>
        </w:rPr>
        <w:t xml:space="preserve">הביטחון, </w:t>
      </w:r>
      <w:bookmarkStart w:id="13638" w:name="_ETM_Q18_335040"/>
      <w:bookmarkEnd w:id="13638"/>
      <w:r>
        <w:rPr>
          <w:rFonts w:hint="cs"/>
          <w:rtl/>
        </w:rPr>
        <w:t xml:space="preserve">נותרת </w:t>
      </w:r>
      <w:bookmarkStart w:id="13639" w:name="_ETM_Q18_335760"/>
      <w:bookmarkEnd w:id="13639"/>
      <w:r>
        <w:rPr>
          <w:rFonts w:hint="cs"/>
          <w:rtl/>
        </w:rPr>
        <w:t xml:space="preserve">אדיש </w:t>
      </w:r>
      <w:bookmarkStart w:id="13640" w:name="_ETM_Q18_336180"/>
      <w:bookmarkEnd w:id="13640"/>
      <w:r>
        <w:rPr>
          <w:rFonts w:hint="cs"/>
          <w:rtl/>
        </w:rPr>
        <w:t xml:space="preserve">כאשר </w:t>
      </w:r>
      <w:bookmarkStart w:id="13641" w:name="_ETM_Q18_336629"/>
      <w:bookmarkEnd w:id="13641"/>
      <w:r>
        <w:rPr>
          <w:rFonts w:hint="cs"/>
          <w:rtl/>
        </w:rPr>
        <w:t xml:space="preserve">מיטב </w:t>
      </w:r>
      <w:bookmarkStart w:id="13642" w:name="_ETM_Q18_337169"/>
      <w:bookmarkEnd w:id="13642"/>
      <w:r>
        <w:rPr>
          <w:rFonts w:hint="cs"/>
          <w:rtl/>
        </w:rPr>
        <w:t xml:space="preserve">המומחים </w:t>
      </w:r>
      <w:bookmarkStart w:id="13643" w:name="_ETM_Q18_337680"/>
      <w:bookmarkEnd w:id="13643"/>
      <w:r>
        <w:rPr>
          <w:rFonts w:hint="cs"/>
          <w:rtl/>
        </w:rPr>
        <w:t xml:space="preserve">המשפטיים </w:t>
      </w:r>
      <w:bookmarkStart w:id="13644" w:name="_ETM_Q18_338970"/>
      <w:bookmarkEnd w:id="13644"/>
      <w:r>
        <w:rPr>
          <w:rFonts w:hint="cs"/>
          <w:rtl/>
        </w:rPr>
        <w:t xml:space="preserve">התריעו </w:t>
      </w:r>
      <w:bookmarkStart w:id="13645" w:name="_ETM_Q18_339599"/>
      <w:bookmarkEnd w:id="13645"/>
      <w:r>
        <w:rPr>
          <w:rFonts w:hint="cs"/>
          <w:rtl/>
        </w:rPr>
        <w:t xml:space="preserve">כי </w:t>
      </w:r>
      <w:bookmarkStart w:id="13646" w:name="_ETM_Q18_339780"/>
      <w:bookmarkEnd w:id="13646"/>
      <w:r>
        <w:rPr>
          <w:rFonts w:hint="cs"/>
          <w:rtl/>
        </w:rPr>
        <w:t xml:space="preserve">החקיקה </w:t>
      </w:r>
      <w:bookmarkStart w:id="13647" w:name="_ETM_Q18_340470"/>
      <w:bookmarkEnd w:id="13647"/>
      <w:r>
        <w:rPr>
          <w:rFonts w:hint="cs"/>
          <w:rtl/>
        </w:rPr>
        <w:t xml:space="preserve">הזאת </w:t>
      </w:r>
      <w:bookmarkStart w:id="13648" w:name="_ETM_Q18_340769"/>
      <w:bookmarkEnd w:id="13648"/>
      <w:r>
        <w:rPr>
          <w:rFonts w:hint="cs"/>
          <w:rtl/>
        </w:rPr>
        <w:t xml:space="preserve">תפגע </w:t>
      </w:r>
      <w:bookmarkStart w:id="13649" w:name="_ETM_Q18_341700"/>
      <w:bookmarkEnd w:id="13649"/>
      <w:r>
        <w:rPr>
          <w:rFonts w:hint="cs"/>
          <w:rtl/>
        </w:rPr>
        <w:t xml:space="preserve">באותם </w:t>
      </w:r>
      <w:bookmarkStart w:id="13650" w:name="_ETM_Q18_342269"/>
      <w:bookmarkEnd w:id="13650"/>
      <w:r>
        <w:rPr>
          <w:rFonts w:hint="cs"/>
          <w:rtl/>
        </w:rPr>
        <w:t xml:space="preserve">חיילים </w:t>
      </w:r>
      <w:bookmarkStart w:id="13651" w:name="_ETM_Q18_342780"/>
      <w:bookmarkEnd w:id="13651"/>
      <w:r>
        <w:rPr>
          <w:rFonts w:hint="cs"/>
          <w:rtl/>
        </w:rPr>
        <w:t xml:space="preserve">ומפקדים </w:t>
      </w:r>
      <w:bookmarkStart w:id="13652" w:name="_ETM_Q18_343349"/>
      <w:bookmarkEnd w:id="13652"/>
      <w:r>
        <w:rPr>
          <w:rFonts w:hint="cs"/>
          <w:rtl/>
        </w:rPr>
        <w:t xml:space="preserve">בזירה </w:t>
      </w:r>
      <w:bookmarkStart w:id="13653" w:name="_ETM_Q18_343829"/>
      <w:bookmarkEnd w:id="13653"/>
      <w:r>
        <w:rPr>
          <w:rFonts w:hint="cs"/>
          <w:rtl/>
        </w:rPr>
        <w:t>הבין-לאומית.</w:t>
      </w:r>
    </w:p>
    <w:p w:rsidR="000C5C1F" w:rsidRDefault="000C5C1F" w:rsidP="000C5C1F">
      <w:pPr>
        <w:rPr>
          <w:rtl/>
        </w:rPr>
      </w:pPr>
    </w:p>
    <w:p w:rsidR="000C5C1F" w:rsidRDefault="000C5C1F" w:rsidP="000C5C1F">
      <w:pPr>
        <w:pStyle w:val="af8"/>
        <w:keepNext/>
        <w:rPr>
          <w:rtl/>
        </w:rPr>
      </w:pPr>
      <w:bookmarkStart w:id="13654" w:name="ET_interruption_6430_23"/>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bookmarkEnd w:id="13654"/>
      <w:r>
        <w:rPr>
          <w:rFonts w:hint="cs"/>
          <w:rtl/>
        </w:rPr>
        <w:t xml:space="preserve">  </w:t>
      </w:r>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הוא לא </w:t>
      </w:r>
      <w:bookmarkStart w:id="13655" w:name="_ETM_Q18_346000"/>
      <w:bookmarkEnd w:id="13655"/>
      <w:r>
        <w:rPr>
          <w:rFonts w:hint="cs"/>
          <w:rtl/>
          <w:lang w:eastAsia="he-IL"/>
        </w:rPr>
        <w:t xml:space="preserve">נמצא כאן. </w:t>
      </w:r>
    </w:p>
    <w:p w:rsidR="000C5C1F" w:rsidRDefault="000C5C1F" w:rsidP="000C5C1F">
      <w:pPr>
        <w:rPr>
          <w:rtl/>
          <w:lang w:eastAsia="he-IL"/>
        </w:rPr>
      </w:pPr>
      <w:bookmarkStart w:id="13656" w:name="_ETM_Q18_344000"/>
      <w:bookmarkEnd w:id="13656"/>
    </w:p>
    <w:p w:rsidR="000C5C1F" w:rsidRDefault="000C5C1F" w:rsidP="000C5C1F">
      <w:pPr>
        <w:pStyle w:val="-"/>
        <w:keepNext/>
        <w:rPr>
          <w:rtl/>
        </w:rPr>
      </w:pPr>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הוא לא נמצא כאן, נכון. </w:t>
      </w:r>
    </w:p>
    <w:p w:rsidR="000C5C1F" w:rsidRDefault="000C5C1F" w:rsidP="000C5C1F">
      <w:pPr>
        <w:rPr>
          <w:rtl/>
          <w:lang w:eastAsia="he-IL"/>
        </w:rPr>
      </w:pPr>
    </w:p>
    <w:p w:rsidR="000C5C1F" w:rsidRDefault="000C5C1F" w:rsidP="000C5C1F">
      <w:pPr>
        <w:pStyle w:val="af8"/>
        <w:keepNext/>
        <w:rPr>
          <w:rtl/>
        </w:rPr>
      </w:pPr>
      <w:bookmarkStart w:id="13657" w:name="ET_interruption_6430_12"/>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3657"/>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אז אל מי אתה מדבר? למי אתה מדבר, </w:t>
      </w:r>
      <w:bookmarkStart w:id="13658" w:name="_ETM_Q18_349000"/>
      <w:bookmarkEnd w:id="13658"/>
      <w:r>
        <w:rPr>
          <w:rFonts w:hint="cs"/>
          <w:rtl/>
          <w:lang w:eastAsia="he-IL"/>
        </w:rPr>
        <w:t xml:space="preserve">לארבעה קירות? </w:t>
      </w:r>
    </w:p>
    <w:p w:rsidR="000C5C1F" w:rsidRDefault="000C5C1F" w:rsidP="000C5C1F">
      <w:pPr>
        <w:rPr>
          <w:rtl/>
          <w:lang w:eastAsia="he-IL"/>
        </w:rPr>
      </w:pPr>
    </w:p>
    <w:p w:rsidR="000C5C1F" w:rsidRDefault="000C5C1F" w:rsidP="000C5C1F">
      <w:pPr>
        <w:pStyle w:val="-"/>
        <w:keepNext/>
        <w:rPr>
          <w:rtl/>
        </w:rPr>
      </w:pPr>
      <w:bookmarkStart w:id="13659" w:name="ET_speakercontinue_6156_19"/>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3659"/>
    </w:p>
    <w:p w:rsidR="000C5C1F" w:rsidRDefault="000C5C1F" w:rsidP="00337201">
      <w:pPr>
        <w:rPr>
          <w:rtl/>
          <w:lang w:eastAsia="he-IL"/>
        </w:rPr>
      </w:pPr>
    </w:p>
    <w:p w:rsidR="000C5C1F" w:rsidRDefault="000C5C1F" w:rsidP="000C5C1F">
      <w:pPr>
        <w:rPr>
          <w:rtl/>
        </w:rPr>
      </w:pPr>
      <w:bookmarkStart w:id="13660" w:name="_ETM_Q18_347000"/>
      <w:bookmarkEnd w:id="13660"/>
      <w:r>
        <w:rPr>
          <w:rFonts w:hint="cs"/>
          <w:rtl/>
          <w:lang w:eastAsia="he-IL"/>
        </w:rPr>
        <w:t xml:space="preserve">הוא לא נמצא כאן, שר הביטחון, כי החקיקה הזאת לא </w:t>
      </w:r>
      <w:bookmarkStart w:id="13661" w:name="_ETM_Q18_351000"/>
      <w:bookmarkEnd w:id="13661"/>
      <w:r>
        <w:rPr>
          <w:rFonts w:hint="cs"/>
          <w:rtl/>
          <w:lang w:eastAsia="he-IL"/>
        </w:rPr>
        <w:t xml:space="preserve">מעניינת אותו. כי הסרת ההגנה מעל מפקדי וחיילי צה"ל </w:t>
      </w:r>
      <w:bookmarkStart w:id="13662" w:name="_ETM_Q18_357000"/>
      <w:bookmarkEnd w:id="13662"/>
      <w:r>
        <w:rPr>
          <w:rFonts w:hint="cs"/>
          <w:rtl/>
          <w:lang w:eastAsia="he-IL"/>
        </w:rPr>
        <w:t xml:space="preserve">בבית הדין הבין-לאומי בהאג לא מעניינת אתכם. הוא, שר הביטחון, </w:t>
      </w:r>
      <w:bookmarkStart w:id="13663" w:name="_ETM_Q18_364000"/>
      <w:bookmarkEnd w:id="13663"/>
      <w:r>
        <w:rPr>
          <w:rFonts w:hint="cs"/>
          <w:rtl/>
          <w:lang w:eastAsia="he-IL"/>
        </w:rPr>
        <w:t xml:space="preserve">וגם אתה, אדוני השר המייצג את הממשלה, </w:t>
      </w:r>
      <w:bookmarkStart w:id="13664" w:name="_ETM_Q18_348000"/>
      <w:bookmarkStart w:id="13665" w:name="_ETM_Q18_366860"/>
      <w:bookmarkEnd w:id="13664"/>
      <w:bookmarkEnd w:id="13665"/>
      <w:r>
        <w:rPr>
          <w:rFonts w:hint="cs"/>
          <w:rtl/>
        </w:rPr>
        <w:t xml:space="preserve">אתם </w:t>
      </w:r>
      <w:bookmarkStart w:id="13666" w:name="_ETM_Q18_367280"/>
      <w:bookmarkEnd w:id="13666"/>
      <w:r>
        <w:rPr>
          <w:rFonts w:hint="cs"/>
          <w:rtl/>
        </w:rPr>
        <w:t xml:space="preserve">נותרתם </w:t>
      </w:r>
      <w:bookmarkStart w:id="13667" w:name="_ETM_Q18_367850"/>
      <w:bookmarkEnd w:id="13667"/>
      <w:r>
        <w:rPr>
          <w:rFonts w:hint="cs"/>
          <w:rtl/>
        </w:rPr>
        <w:t xml:space="preserve">אדישים </w:t>
      </w:r>
      <w:bookmarkStart w:id="13668" w:name="_ETM_Q18_368700"/>
      <w:bookmarkEnd w:id="13668"/>
      <w:r>
        <w:rPr>
          <w:rFonts w:hint="cs"/>
          <w:rtl/>
        </w:rPr>
        <w:t xml:space="preserve">כאשר </w:t>
      </w:r>
      <w:bookmarkStart w:id="13669" w:name="_ETM_Q18_369360"/>
      <w:bookmarkEnd w:id="13669"/>
      <w:r>
        <w:rPr>
          <w:rFonts w:hint="cs"/>
          <w:rtl/>
        </w:rPr>
        <w:t xml:space="preserve">גל </w:t>
      </w:r>
      <w:bookmarkStart w:id="13670" w:name="_ETM_Q18_369690"/>
      <w:bookmarkEnd w:id="13670"/>
      <w:r>
        <w:rPr>
          <w:rFonts w:hint="cs"/>
          <w:rtl/>
        </w:rPr>
        <w:t>של</w:t>
      </w:r>
      <w:bookmarkStart w:id="13671" w:name="_ETM_Q18_370020"/>
      <w:bookmarkEnd w:id="13671"/>
      <w:r>
        <w:rPr>
          <w:rFonts w:hint="cs"/>
          <w:rtl/>
        </w:rPr>
        <w:t xml:space="preserve"> הסתה </w:t>
      </w:r>
      <w:bookmarkStart w:id="13672" w:name="_ETM_Q18_370440"/>
      <w:bookmarkEnd w:id="13672"/>
      <w:r>
        <w:rPr>
          <w:rFonts w:hint="cs"/>
          <w:rtl/>
        </w:rPr>
        <w:t xml:space="preserve">מכוערת </w:t>
      </w:r>
      <w:bookmarkStart w:id="13673" w:name="_ETM_Q18_371160"/>
      <w:bookmarkEnd w:id="13673"/>
      <w:r>
        <w:rPr>
          <w:rFonts w:hint="cs"/>
          <w:rtl/>
        </w:rPr>
        <w:t xml:space="preserve">התרומם </w:t>
      </w:r>
      <w:bookmarkStart w:id="13674" w:name="_ETM_Q18_371790"/>
      <w:bookmarkEnd w:id="13674"/>
      <w:r>
        <w:rPr>
          <w:rFonts w:hint="cs"/>
          <w:rtl/>
        </w:rPr>
        <w:t xml:space="preserve">נגד </w:t>
      </w:r>
      <w:bookmarkStart w:id="13675" w:name="_ETM_Q18_372750"/>
      <w:bookmarkEnd w:id="13675"/>
      <w:r>
        <w:rPr>
          <w:rFonts w:hint="cs"/>
          <w:rtl/>
        </w:rPr>
        <w:t xml:space="preserve">אלפי </w:t>
      </w:r>
      <w:bookmarkStart w:id="13676" w:name="_ETM_Q18_373379"/>
      <w:bookmarkEnd w:id="13676"/>
      <w:r>
        <w:rPr>
          <w:rFonts w:hint="cs"/>
          <w:rtl/>
        </w:rPr>
        <w:t xml:space="preserve">מתנדבים </w:t>
      </w:r>
      <w:bookmarkStart w:id="13677" w:name="_ETM_Q18_374519"/>
      <w:bookmarkEnd w:id="13677"/>
      <w:r>
        <w:rPr>
          <w:rFonts w:hint="cs"/>
          <w:rtl/>
        </w:rPr>
        <w:t xml:space="preserve">שעושים </w:t>
      </w:r>
      <w:bookmarkStart w:id="13678" w:name="_ETM_Q18_375120"/>
      <w:bookmarkEnd w:id="13678"/>
      <w:r>
        <w:rPr>
          <w:rFonts w:hint="cs"/>
          <w:rtl/>
        </w:rPr>
        <w:t xml:space="preserve">הרבה </w:t>
      </w:r>
      <w:bookmarkStart w:id="13679" w:name="_ETM_Q18_375569"/>
      <w:bookmarkEnd w:id="13679"/>
      <w:r>
        <w:rPr>
          <w:rFonts w:hint="cs"/>
          <w:rtl/>
        </w:rPr>
        <w:t xml:space="preserve">מעבר </w:t>
      </w:r>
      <w:bookmarkStart w:id="13680" w:name="_ETM_Q18_376319"/>
      <w:bookmarkEnd w:id="13680"/>
      <w:r>
        <w:rPr>
          <w:rFonts w:hint="cs"/>
          <w:rtl/>
        </w:rPr>
        <w:t xml:space="preserve">למה </w:t>
      </w:r>
      <w:bookmarkStart w:id="13681" w:name="_ETM_Q18_376650"/>
      <w:bookmarkEnd w:id="13681"/>
      <w:r>
        <w:rPr>
          <w:rFonts w:hint="cs"/>
          <w:rtl/>
        </w:rPr>
        <w:t xml:space="preserve">שדורש </w:t>
      </w:r>
      <w:bookmarkStart w:id="13682" w:name="_ETM_Q18_377190"/>
      <w:bookmarkEnd w:id="13682"/>
      <w:r>
        <w:rPr>
          <w:rFonts w:hint="cs"/>
          <w:rtl/>
        </w:rPr>
        <w:t xml:space="preserve">החוק. </w:t>
      </w:r>
      <w:bookmarkStart w:id="13683" w:name="_ETM_Q18_378150"/>
      <w:bookmarkEnd w:id="13683"/>
    </w:p>
    <w:p w:rsidR="000C5C1F" w:rsidRDefault="000C5C1F" w:rsidP="000C5C1F">
      <w:pPr>
        <w:rPr>
          <w:rtl/>
        </w:rPr>
      </w:pPr>
    </w:p>
    <w:p w:rsidR="000C5C1F" w:rsidRDefault="000C5C1F" w:rsidP="000C5C1F">
      <w:pPr>
        <w:rPr>
          <w:rtl/>
        </w:rPr>
      </w:pPr>
      <w:r>
        <w:rPr>
          <w:rFonts w:hint="cs"/>
          <w:rtl/>
        </w:rPr>
        <w:t xml:space="preserve">וכן, </w:t>
      </w:r>
      <w:bookmarkStart w:id="13684" w:name="_ETM_Q18_379280"/>
      <w:bookmarkEnd w:id="13684"/>
      <w:r>
        <w:rPr>
          <w:rFonts w:hint="cs"/>
          <w:rtl/>
        </w:rPr>
        <w:t>ישנו</w:t>
      </w:r>
      <w:bookmarkStart w:id="13685" w:name="_ETM_Q18_379580"/>
      <w:bookmarkEnd w:id="13685"/>
      <w:r>
        <w:rPr>
          <w:rFonts w:hint="cs"/>
          <w:rtl/>
        </w:rPr>
        <w:t xml:space="preserve"> </w:t>
      </w:r>
      <w:bookmarkStart w:id="13686" w:name="_ETM_Q18_379790"/>
      <w:bookmarkEnd w:id="13686"/>
      <w:r>
        <w:rPr>
          <w:rFonts w:hint="cs"/>
          <w:rtl/>
        </w:rPr>
        <w:t xml:space="preserve">גם </w:t>
      </w:r>
      <w:bookmarkStart w:id="13687" w:name="_ETM_Q18_379970"/>
      <w:bookmarkEnd w:id="13687"/>
      <w:r>
        <w:rPr>
          <w:rFonts w:hint="cs"/>
          <w:rtl/>
        </w:rPr>
        <w:t xml:space="preserve">עוד </w:t>
      </w:r>
      <w:bookmarkStart w:id="13688" w:name="_ETM_Q18_380180"/>
      <w:bookmarkEnd w:id="13688"/>
      <w:r>
        <w:rPr>
          <w:rFonts w:hint="cs"/>
          <w:rtl/>
        </w:rPr>
        <w:t xml:space="preserve">שר אחד, </w:t>
      </w:r>
      <w:bookmarkStart w:id="13689" w:name="_ETM_Q18_380480"/>
      <w:bookmarkStart w:id="13690" w:name="_ETM_Q18_381349"/>
      <w:bookmarkEnd w:id="13689"/>
      <w:bookmarkEnd w:id="13690"/>
      <w:r>
        <w:rPr>
          <w:rFonts w:hint="cs"/>
          <w:rtl/>
        </w:rPr>
        <w:t xml:space="preserve">אבל </w:t>
      </w:r>
      <w:bookmarkStart w:id="13691" w:name="_ETM_Q18_381650"/>
      <w:bookmarkEnd w:id="13691"/>
      <w:r>
        <w:rPr>
          <w:rFonts w:hint="cs"/>
          <w:rtl/>
        </w:rPr>
        <w:t xml:space="preserve">אני </w:t>
      </w:r>
      <w:bookmarkStart w:id="13692" w:name="_ETM_Q18_381889"/>
      <w:bookmarkEnd w:id="13692"/>
      <w:r>
        <w:rPr>
          <w:rFonts w:hint="cs"/>
          <w:rtl/>
        </w:rPr>
        <w:t xml:space="preserve">לא </w:t>
      </w:r>
      <w:bookmarkStart w:id="13693" w:name="_ETM_Q18_382040"/>
      <w:bookmarkEnd w:id="13693"/>
      <w:r>
        <w:rPr>
          <w:rFonts w:hint="cs"/>
          <w:rtl/>
        </w:rPr>
        <w:t xml:space="preserve">מתכוון </w:t>
      </w:r>
      <w:bookmarkStart w:id="13694" w:name="_ETM_Q18_382550"/>
      <w:bookmarkEnd w:id="13694"/>
      <w:r>
        <w:rPr>
          <w:rFonts w:hint="cs"/>
          <w:rtl/>
        </w:rPr>
        <w:t xml:space="preserve">לפנות </w:t>
      </w:r>
      <w:bookmarkStart w:id="13695" w:name="_ETM_Q18_382940"/>
      <w:bookmarkEnd w:id="13695"/>
      <w:r>
        <w:rPr>
          <w:rFonts w:hint="cs"/>
          <w:rtl/>
        </w:rPr>
        <w:t xml:space="preserve">אליו </w:t>
      </w:r>
      <w:bookmarkStart w:id="13696" w:name="_ETM_Q18_383209"/>
      <w:bookmarkEnd w:id="13696"/>
      <w:r>
        <w:rPr>
          <w:rFonts w:hint="cs"/>
          <w:rtl/>
        </w:rPr>
        <w:t>ישירות; השר</w:t>
      </w:r>
      <w:bookmarkStart w:id="13697" w:name="_ETM_Q18_384290"/>
      <w:bookmarkStart w:id="13698" w:name="_ETM_Q18_384790"/>
      <w:bookmarkEnd w:id="13697"/>
      <w:bookmarkEnd w:id="13698"/>
      <w:r>
        <w:rPr>
          <w:rFonts w:hint="cs"/>
          <w:rtl/>
        </w:rPr>
        <w:t xml:space="preserve"> הכלומניק </w:t>
      </w:r>
      <w:bookmarkStart w:id="13699" w:name="_ETM_Q18_385750"/>
      <w:bookmarkEnd w:id="13699"/>
      <w:r>
        <w:rPr>
          <w:rFonts w:hint="cs"/>
          <w:rtl/>
        </w:rPr>
        <w:t xml:space="preserve">לענייני </w:t>
      </w:r>
      <w:bookmarkStart w:id="13700" w:name="_ETM_Q18_386379"/>
      <w:bookmarkEnd w:id="13700"/>
      <w:r>
        <w:rPr>
          <w:rFonts w:hint="cs"/>
          <w:rtl/>
        </w:rPr>
        <w:t xml:space="preserve">ביטחון </w:t>
      </w:r>
      <w:bookmarkStart w:id="13701" w:name="_ETM_Q18_386950"/>
      <w:bookmarkEnd w:id="13701"/>
      <w:r>
        <w:rPr>
          <w:rFonts w:hint="cs"/>
          <w:rtl/>
        </w:rPr>
        <w:t xml:space="preserve">לאומי, </w:t>
      </w:r>
      <w:bookmarkStart w:id="13702" w:name="_ETM_Q18_387819"/>
      <w:bookmarkEnd w:id="13702"/>
      <w:r>
        <w:rPr>
          <w:rFonts w:hint="cs"/>
          <w:rtl/>
        </w:rPr>
        <w:t xml:space="preserve">הפרחח </w:t>
      </w:r>
      <w:bookmarkStart w:id="13703" w:name="_ETM_Q18_388900"/>
      <w:bookmarkEnd w:id="13703"/>
      <w:r>
        <w:rPr>
          <w:rFonts w:hint="cs"/>
          <w:rtl/>
        </w:rPr>
        <w:t xml:space="preserve">והבריון, </w:t>
      </w:r>
      <w:bookmarkStart w:id="13704" w:name="_ETM_Q18_390319"/>
      <w:bookmarkEnd w:id="13704"/>
      <w:r>
        <w:rPr>
          <w:rFonts w:hint="cs"/>
          <w:rtl/>
        </w:rPr>
        <w:t xml:space="preserve">השר </w:t>
      </w:r>
      <w:bookmarkStart w:id="13705" w:name="_ETM_Q18_390799"/>
      <w:bookmarkEnd w:id="13705"/>
      <w:r>
        <w:rPr>
          <w:rFonts w:hint="cs"/>
          <w:rtl/>
        </w:rPr>
        <w:t>שרוקד</w:t>
      </w:r>
      <w:bookmarkStart w:id="13706" w:name="_ETM_Q18_391189"/>
      <w:bookmarkStart w:id="13707" w:name="_ETM_Q18_391430"/>
      <w:bookmarkEnd w:id="13706"/>
      <w:bookmarkEnd w:id="13707"/>
      <w:r>
        <w:rPr>
          <w:rFonts w:hint="cs"/>
          <w:rtl/>
        </w:rPr>
        <w:t xml:space="preserve"> על הדם </w:t>
      </w:r>
      <w:bookmarkStart w:id="13708" w:name="_ETM_Q18_391999"/>
      <w:bookmarkEnd w:id="13708"/>
      <w:r>
        <w:rPr>
          <w:rFonts w:hint="cs"/>
          <w:rtl/>
        </w:rPr>
        <w:t xml:space="preserve">הנשפך </w:t>
      </w:r>
      <w:bookmarkStart w:id="13709" w:name="_ETM_Q18_392569"/>
      <w:bookmarkEnd w:id="13709"/>
      <w:r>
        <w:rPr>
          <w:rFonts w:hint="cs"/>
          <w:rtl/>
        </w:rPr>
        <w:t xml:space="preserve">ברחובות </w:t>
      </w:r>
      <w:bookmarkStart w:id="13710" w:name="_ETM_Q18_393319"/>
      <w:bookmarkEnd w:id="13710"/>
      <w:r>
        <w:rPr>
          <w:rFonts w:hint="cs"/>
          <w:rtl/>
        </w:rPr>
        <w:t xml:space="preserve">היישובים </w:t>
      </w:r>
      <w:bookmarkStart w:id="13711" w:name="_ETM_Q18_393950"/>
      <w:bookmarkEnd w:id="13711"/>
      <w:r>
        <w:rPr>
          <w:rFonts w:hint="cs"/>
          <w:rtl/>
        </w:rPr>
        <w:t>הערביים; השר</w:t>
      </w:r>
      <w:bookmarkStart w:id="13712" w:name="_ETM_Q18_395000"/>
      <w:bookmarkStart w:id="13713" w:name="_ETM_Q18_395450"/>
      <w:bookmarkEnd w:id="13712"/>
      <w:bookmarkEnd w:id="13713"/>
      <w:r>
        <w:rPr>
          <w:rFonts w:hint="cs"/>
          <w:rtl/>
        </w:rPr>
        <w:t xml:space="preserve"> ה</w:t>
      </w:r>
      <w:bookmarkStart w:id="13714" w:name="_ETM_Q18_395599"/>
      <w:bookmarkEnd w:id="13714"/>
      <w:r>
        <w:rPr>
          <w:rFonts w:hint="cs"/>
          <w:rtl/>
        </w:rPr>
        <w:t xml:space="preserve">עבריין, </w:t>
      </w:r>
      <w:bookmarkStart w:id="13715" w:name="_ETM_Q18_396650"/>
      <w:bookmarkEnd w:id="13715"/>
      <w:r>
        <w:rPr>
          <w:rFonts w:hint="cs"/>
          <w:rtl/>
        </w:rPr>
        <w:t xml:space="preserve">שחינך </w:t>
      </w:r>
      <w:bookmarkStart w:id="13716" w:name="_ETM_Q18_397219"/>
      <w:bookmarkEnd w:id="13716"/>
      <w:r>
        <w:rPr>
          <w:rFonts w:hint="cs"/>
          <w:rtl/>
        </w:rPr>
        <w:t xml:space="preserve">את </w:t>
      </w:r>
      <w:bookmarkStart w:id="13717" w:name="_ETM_Q18_397339"/>
      <w:bookmarkEnd w:id="13717"/>
      <w:r>
        <w:rPr>
          <w:rFonts w:hint="cs"/>
          <w:rtl/>
        </w:rPr>
        <w:t xml:space="preserve">ילדיו </w:t>
      </w:r>
      <w:bookmarkStart w:id="13718" w:name="_ETM_Q18_397939"/>
      <w:bookmarkEnd w:id="13718"/>
      <w:r>
        <w:rPr>
          <w:rFonts w:hint="cs"/>
          <w:rtl/>
        </w:rPr>
        <w:t xml:space="preserve">להערצת </w:t>
      </w:r>
      <w:bookmarkStart w:id="13719" w:name="_ETM_Q18_398659"/>
      <w:bookmarkEnd w:id="13719"/>
      <w:r>
        <w:rPr>
          <w:rFonts w:hint="cs"/>
          <w:rtl/>
        </w:rPr>
        <w:t xml:space="preserve">רוצח </w:t>
      </w:r>
      <w:bookmarkStart w:id="13720" w:name="_ETM_Q18_399260"/>
      <w:bookmarkEnd w:id="13720"/>
      <w:r>
        <w:rPr>
          <w:rFonts w:hint="cs"/>
          <w:rtl/>
        </w:rPr>
        <w:t xml:space="preserve">וטרוריסט, שאת </w:t>
      </w:r>
      <w:bookmarkStart w:id="13721" w:name="_ETM_Q18_402000"/>
      <w:bookmarkStart w:id="13722" w:name="_ETM_Q18_400420"/>
      <w:bookmarkEnd w:id="13721"/>
      <w:bookmarkEnd w:id="13722"/>
      <w:r>
        <w:rPr>
          <w:rFonts w:hint="cs"/>
          <w:rtl/>
        </w:rPr>
        <w:t xml:space="preserve">תמונתו </w:t>
      </w:r>
      <w:bookmarkStart w:id="13723" w:name="_ETM_Q18_401530"/>
      <w:bookmarkEnd w:id="13723"/>
      <w:r>
        <w:rPr>
          <w:rFonts w:hint="cs"/>
          <w:rtl/>
        </w:rPr>
        <w:t xml:space="preserve">הוא תלה </w:t>
      </w:r>
      <w:bookmarkStart w:id="13724" w:name="_ETM_Q18_402459"/>
      <w:bookmarkEnd w:id="13724"/>
      <w:r>
        <w:rPr>
          <w:rFonts w:hint="cs"/>
          <w:rtl/>
        </w:rPr>
        <w:t xml:space="preserve">בקיר </w:t>
      </w:r>
      <w:bookmarkStart w:id="13725" w:name="_ETM_Q18_402909"/>
      <w:bookmarkEnd w:id="13725"/>
      <w:r>
        <w:rPr>
          <w:rFonts w:hint="cs"/>
          <w:rtl/>
        </w:rPr>
        <w:t xml:space="preserve">סלון </w:t>
      </w:r>
      <w:bookmarkStart w:id="13726" w:name="_ETM_Q18_403390"/>
      <w:bookmarkEnd w:id="13726"/>
      <w:r>
        <w:rPr>
          <w:rFonts w:hint="cs"/>
          <w:rtl/>
        </w:rPr>
        <w:t xml:space="preserve">ביתו; השר </w:t>
      </w:r>
      <w:bookmarkStart w:id="13727" w:name="_ETM_Q18_404290"/>
      <w:bookmarkStart w:id="13728" w:name="_ETM_Q18_404709"/>
      <w:bookmarkEnd w:id="13727"/>
      <w:bookmarkEnd w:id="13728"/>
      <w:r>
        <w:rPr>
          <w:rFonts w:hint="cs"/>
          <w:rtl/>
        </w:rPr>
        <w:t xml:space="preserve">שמכשיר </w:t>
      </w:r>
      <w:bookmarkStart w:id="13729" w:name="_ETM_Q18_405340"/>
      <w:bookmarkEnd w:id="13729"/>
      <w:r>
        <w:rPr>
          <w:rFonts w:hint="cs"/>
          <w:rtl/>
        </w:rPr>
        <w:t xml:space="preserve">את </w:t>
      </w:r>
      <w:bookmarkStart w:id="13730" w:name="_ETM_Q18_405459"/>
      <w:bookmarkEnd w:id="13730"/>
      <w:r>
        <w:rPr>
          <w:rFonts w:hint="cs"/>
          <w:rtl/>
        </w:rPr>
        <w:t xml:space="preserve">ארגון </w:t>
      </w:r>
      <w:bookmarkStart w:id="13731" w:name="_ETM_Q18_405909"/>
      <w:bookmarkEnd w:id="13731"/>
      <w:r>
        <w:rPr>
          <w:rFonts w:hint="cs"/>
          <w:rtl/>
        </w:rPr>
        <w:t xml:space="preserve">להב"ה </w:t>
      </w:r>
      <w:bookmarkStart w:id="13732" w:name="_ETM_Q18_406840"/>
      <w:bookmarkEnd w:id="13732"/>
      <w:r>
        <w:rPr>
          <w:rFonts w:hint="cs"/>
          <w:rtl/>
        </w:rPr>
        <w:t xml:space="preserve">וחותר </w:t>
      </w:r>
      <w:bookmarkStart w:id="13733" w:name="_ETM_Q18_407499"/>
      <w:bookmarkEnd w:id="13733"/>
      <w:r>
        <w:rPr>
          <w:rFonts w:hint="cs"/>
          <w:rtl/>
        </w:rPr>
        <w:t xml:space="preserve">להקמת </w:t>
      </w:r>
      <w:bookmarkStart w:id="13734" w:name="_ETM_Q18_408459"/>
      <w:bookmarkEnd w:id="13734"/>
      <w:r>
        <w:rPr>
          <w:rFonts w:hint="cs"/>
          <w:rtl/>
        </w:rPr>
        <w:t xml:space="preserve">מיליציות </w:t>
      </w:r>
      <w:bookmarkStart w:id="13735" w:name="_ETM_Q18_409090"/>
      <w:bookmarkEnd w:id="13735"/>
      <w:r>
        <w:rPr>
          <w:rFonts w:hint="cs"/>
          <w:rtl/>
        </w:rPr>
        <w:t xml:space="preserve">פוליטיות. </w:t>
      </w:r>
      <w:bookmarkStart w:id="13736" w:name="_ETM_Q18_410260"/>
      <w:bookmarkEnd w:id="13736"/>
      <w:r>
        <w:rPr>
          <w:rFonts w:hint="cs"/>
          <w:rtl/>
        </w:rPr>
        <w:t xml:space="preserve">אני </w:t>
      </w:r>
      <w:bookmarkStart w:id="13737" w:name="_ETM_Q18_410829"/>
      <w:bookmarkEnd w:id="13737"/>
      <w:r>
        <w:rPr>
          <w:rFonts w:hint="cs"/>
          <w:rtl/>
        </w:rPr>
        <w:t xml:space="preserve">לא </w:t>
      </w:r>
      <w:bookmarkStart w:id="13738" w:name="_ETM_Q18_411069"/>
      <w:bookmarkEnd w:id="13738"/>
      <w:r>
        <w:rPr>
          <w:rFonts w:hint="cs"/>
          <w:rtl/>
        </w:rPr>
        <w:t xml:space="preserve">מאשים </w:t>
      </w:r>
      <w:bookmarkStart w:id="13739" w:name="_ETM_Q18_411609"/>
      <w:bookmarkEnd w:id="13739"/>
      <w:r>
        <w:rPr>
          <w:rFonts w:hint="cs"/>
          <w:rtl/>
        </w:rPr>
        <w:t xml:space="preserve">אותו </w:t>
      </w:r>
      <w:bookmarkStart w:id="13740" w:name="_ETM_Q18_411969"/>
      <w:bookmarkEnd w:id="13740"/>
      <w:r>
        <w:rPr>
          <w:rFonts w:hint="cs"/>
          <w:rtl/>
        </w:rPr>
        <w:t xml:space="preserve">ישירות, </w:t>
      </w:r>
      <w:bookmarkStart w:id="13741" w:name="_ETM_Q18_413019"/>
      <w:bookmarkEnd w:id="13741"/>
      <w:r>
        <w:rPr>
          <w:rFonts w:hint="cs"/>
          <w:rtl/>
        </w:rPr>
        <w:t xml:space="preserve">כי </w:t>
      </w:r>
      <w:bookmarkStart w:id="13742" w:name="_ETM_Q18_413200"/>
      <w:bookmarkEnd w:id="13742"/>
      <w:r>
        <w:rPr>
          <w:rFonts w:hint="cs"/>
          <w:rtl/>
        </w:rPr>
        <w:t xml:space="preserve">כל </w:t>
      </w:r>
      <w:bookmarkStart w:id="13743" w:name="_ETM_Q18_413499"/>
      <w:bookmarkEnd w:id="13743"/>
      <w:r>
        <w:rPr>
          <w:rFonts w:hint="cs"/>
          <w:rtl/>
        </w:rPr>
        <w:t xml:space="preserve">התייחסות </w:t>
      </w:r>
      <w:bookmarkStart w:id="13744" w:name="_ETM_Q18_414280"/>
      <w:bookmarkEnd w:id="13744"/>
      <w:r>
        <w:rPr>
          <w:rFonts w:hint="cs"/>
          <w:rtl/>
        </w:rPr>
        <w:t xml:space="preserve">ישירה </w:t>
      </w:r>
      <w:bookmarkStart w:id="13745" w:name="_ETM_Q18_414760"/>
      <w:bookmarkEnd w:id="13745"/>
      <w:r>
        <w:rPr>
          <w:rFonts w:hint="cs"/>
          <w:rtl/>
        </w:rPr>
        <w:t xml:space="preserve">שלי </w:t>
      </w:r>
      <w:bookmarkStart w:id="13746" w:name="_ETM_Q18_415120"/>
      <w:bookmarkEnd w:id="13746"/>
      <w:r>
        <w:rPr>
          <w:rFonts w:hint="cs"/>
          <w:rtl/>
        </w:rPr>
        <w:t xml:space="preserve">אליו </w:t>
      </w:r>
      <w:bookmarkStart w:id="13747" w:name="_ETM_Q18_415989"/>
      <w:bookmarkEnd w:id="13747"/>
      <w:r>
        <w:rPr>
          <w:rFonts w:hint="cs"/>
          <w:rtl/>
        </w:rPr>
        <w:t xml:space="preserve">תחייב </w:t>
      </w:r>
      <w:bookmarkStart w:id="13748" w:name="_ETM_Q18_416560"/>
      <w:bookmarkEnd w:id="13748"/>
      <w:r>
        <w:rPr>
          <w:rFonts w:hint="cs"/>
          <w:rtl/>
        </w:rPr>
        <w:t xml:space="preserve">אותי </w:t>
      </w:r>
      <w:bookmarkStart w:id="13749" w:name="_ETM_Q18_416829"/>
      <w:bookmarkEnd w:id="13749"/>
      <w:r>
        <w:rPr>
          <w:rFonts w:hint="cs"/>
          <w:rtl/>
        </w:rPr>
        <w:t xml:space="preserve">לטבול </w:t>
      </w:r>
      <w:bookmarkStart w:id="13750" w:name="_ETM_Q18_417310"/>
      <w:bookmarkEnd w:id="13750"/>
      <w:r>
        <w:rPr>
          <w:rFonts w:hint="cs"/>
          <w:rtl/>
        </w:rPr>
        <w:t xml:space="preserve">במקווה. </w:t>
      </w:r>
      <w:bookmarkStart w:id="13751" w:name="_ETM_Q18_418410"/>
      <w:bookmarkEnd w:id="13751"/>
      <w:r>
        <w:rPr>
          <w:rFonts w:hint="cs"/>
          <w:rtl/>
        </w:rPr>
        <w:t xml:space="preserve">אני </w:t>
      </w:r>
      <w:bookmarkStart w:id="13752" w:name="_ETM_Q18_418709"/>
      <w:bookmarkEnd w:id="13752"/>
      <w:r>
        <w:rPr>
          <w:rFonts w:hint="cs"/>
          <w:rtl/>
        </w:rPr>
        <w:t xml:space="preserve">כן מאשים </w:t>
      </w:r>
      <w:bookmarkStart w:id="13753" w:name="_ETM_Q18_419370"/>
      <w:bookmarkStart w:id="13754" w:name="_ETM_Q18_420150"/>
      <w:bookmarkEnd w:id="13753"/>
      <w:bookmarkEnd w:id="13754"/>
      <w:r>
        <w:rPr>
          <w:rFonts w:hint="cs"/>
          <w:rtl/>
        </w:rPr>
        <w:t xml:space="preserve">את </w:t>
      </w:r>
      <w:bookmarkStart w:id="13755" w:name="_ETM_Q18_420510"/>
      <w:bookmarkEnd w:id="13755"/>
      <w:r>
        <w:rPr>
          <w:rFonts w:hint="cs"/>
          <w:rtl/>
        </w:rPr>
        <w:t xml:space="preserve">אלו </w:t>
      </w:r>
      <w:bookmarkStart w:id="13756" w:name="_ETM_Q18_420840"/>
      <w:bookmarkEnd w:id="13756"/>
      <w:r>
        <w:rPr>
          <w:rFonts w:hint="cs"/>
          <w:rtl/>
        </w:rPr>
        <w:t xml:space="preserve">שהכשירו </w:t>
      </w:r>
      <w:bookmarkStart w:id="13757" w:name="_ETM_Q18_421590"/>
      <w:bookmarkEnd w:id="13757"/>
      <w:r>
        <w:rPr>
          <w:rFonts w:hint="cs"/>
          <w:rtl/>
        </w:rPr>
        <w:t xml:space="preserve">את </w:t>
      </w:r>
      <w:bookmarkStart w:id="13758" w:name="_ETM_Q18_421680"/>
      <w:bookmarkEnd w:id="13758"/>
      <w:r>
        <w:rPr>
          <w:rFonts w:hint="cs"/>
          <w:rtl/>
        </w:rPr>
        <w:t xml:space="preserve">שרץ </w:t>
      </w:r>
      <w:bookmarkStart w:id="13759" w:name="_ETM_Q18_422190"/>
      <w:bookmarkEnd w:id="13759"/>
      <w:r>
        <w:rPr>
          <w:rFonts w:hint="cs"/>
          <w:rtl/>
        </w:rPr>
        <w:t xml:space="preserve">הכהניזם </w:t>
      </w:r>
      <w:bookmarkStart w:id="13760" w:name="_ETM_Q18_423360"/>
      <w:bookmarkEnd w:id="13760"/>
      <w:r>
        <w:rPr>
          <w:rFonts w:hint="cs"/>
          <w:rtl/>
        </w:rPr>
        <w:t xml:space="preserve">והגזענות, </w:t>
      </w:r>
      <w:bookmarkStart w:id="13761" w:name="_ETM_Q18_424800"/>
      <w:bookmarkEnd w:id="13761"/>
      <w:r>
        <w:rPr>
          <w:rFonts w:hint="cs"/>
          <w:rtl/>
        </w:rPr>
        <w:t xml:space="preserve">שהפכו </w:t>
      </w:r>
      <w:bookmarkStart w:id="13762" w:name="_ETM_Q18_425430"/>
      <w:bookmarkEnd w:id="13762"/>
      <w:r>
        <w:rPr>
          <w:rFonts w:hint="cs"/>
          <w:rtl/>
        </w:rPr>
        <w:t xml:space="preserve">אותו </w:t>
      </w:r>
      <w:bookmarkStart w:id="13763" w:name="_ETM_Q18_426150"/>
      <w:bookmarkEnd w:id="13763"/>
      <w:r>
        <w:rPr>
          <w:rFonts w:hint="cs"/>
          <w:rtl/>
        </w:rPr>
        <w:t xml:space="preserve">– ואת </w:t>
      </w:r>
      <w:bookmarkStart w:id="13764" w:name="_ETM_Q18_426239"/>
      <w:bookmarkEnd w:id="13764"/>
      <w:r>
        <w:rPr>
          <w:rFonts w:hint="cs"/>
          <w:rtl/>
        </w:rPr>
        <w:t xml:space="preserve">שותפיו – </w:t>
      </w:r>
      <w:bookmarkStart w:id="13765" w:name="_ETM_Q18_426930"/>
      <w:bookmarkEnd w:id="13765"/>
      <w:r>
        <w:rPr>
          <w:rFonts w:hint="cs"/>
          <w:rtl/>
        </w:rPr>
        <w:t xml:space="preserve">לבעל </w:t>
      </w:r>
      <w:bookmarkStart w:id="13766" w:name="_ETM_Q18_427410"/>
      <w:bookmarkEnd w:id="13766"/>
      <w:r>
        <w:rPr>
          <w:rFonts w:hint="cs"/>
          <w:rtl/>
        </w:rPr>
        <w:t xml:space="preserve">ברית </w:t>
      </w:r>
      <w:bookmarkStart w:id="13767" w:name="_ETM_Q18_427739"/>
      <w:bookmarkEnd w:id="13767"/>
      <w:r>
        <w:rPr>
          <w:rFonts w:hint="cs"/>
          <w:rtl/>
        </w:rPr>
        <w:t xml:space="preserve">ראוי </w:t>
      </w:r>
      <w:bookmarkStart w:id="13768" w:name="_ETM_Q18_428640"/>
      <w:bookmarkEnd w:id="13768"/>
      <w:r>
        <w:rPr>
          <w:rFonts w:hint="cs"/>
          <w:rtl/>
        </w:rPr>
        <w:t xml:space="preserve">במקום </w:t>
      </w:r>
      <w:bookmarkStart w:id="13769" w:name="_ETM_Q18_429300"/>
      <w:bookmarkEnd w:id="13769"/>
      <w:r>
        <w:rPr>
          <w:rFonts w:hint="cs"/>
          <w:rtl/>
        </w:rPr>
        <w:t xml:space="preserve">להותירו </w:t>
      </w:r>
      <w:bookmarkStart w:id="13770" w:name="_ETM_Q18_430470"/>
      <w:bookmarkEnd w:id="13770"/>
      <w:r>
        <w:rPr>
          <w:rFonts w:hint="cs"/>
          <w:rtl/>
        </w:rPr>
        <w:t xml:space="preserve">כמוקצה </w:t>
      </w:r>
      <w:bookmarkStart w:id="13771" w:name="_ETM_Q18_431280"/>
      <w:bookmarkEnd w:id="13771"/>
      <w:r>
        <w:rPr>
          <w:rFonts w:hint="cs"/>
          <w:rtl/>
        </w:rPr>
        <w:t xml:space="preserve">מחמת </w:t>
      </w:r>
      <w:bookmarkStart w:id="13772" w:name="_ETM_Q18_431940"/>
      <w:bookmarkEnd w:id="13772"/>
      <w:r>
        <w:rPr>
          <w:rFonts w:hint="cs"/>
          <w:rtl/>
        </w:rPr>
        <w:t xml:space="preserve">מיאוס. </w:t>
      </w:r>
      <w:bookmarkStart w:id="13773" w:name="_ETM_Q18_432849"/>
      <w:bookmarkEnd w:id="13773"/>
      <w:r>
        <w:rPr>
          <w:rFonts w:hint="cs"/>
          <w:rtl/>
        </w:rPr>
        <w:t xml:space="preserve">אתם, </w:t>
      </w:r>
      <w:bookmarkStart w:id="13774" w:name="_ETM_Q18_433450"/>
      <w:bookmarkEnd w:id="13774"/>
      <w:r>
        <w:rPr>
          <w:rFonts w:hint="cs"/>
          <w:rtl/>
        </w:rPr>
        <w:t xml:space="preserve">שרי </w:t>
      </w:r>
      <w:bookmarkStart w:id="13775" w:name="_ETM_Q18_433840"/>
      <w:bookmarkEnd w:id="13775"/>
      <w:r>
        <w:rPr>
          <w:rFonts w:hint="cs"/>
          <w:rtl/>
        </w:rPr>
        <w:t xml:space="preserve">הממשלה </w:t>
      </w:r>
      <w:bookmarkStart w:id="13776" w:name="_ETM_Q18_434560"/>
      <w:bookmarkEnd w:id="13776"/>
      <w:r>
        <w:rPr>
          <w:rFonts w:hint="cs"/>
          <w:rtl/>
        </w:rPr>
        <w:t xml:space="preserve">וחברי </w:t>
      </w:r>
      <w:bookmarkStart w:id="13777" w:name="_ETM_Q18_435040"/>
      <w:bookmarkEnd w:id="13777"/>
      <w:r>
        <w:rPr>
          <w:rFonts w:hint="cs"/>
          <w:rtl/>
        </w:rPr>
        <w:t xml:space="preserve">הקואליציה, </w:t>
      </w:r>
      <w:bookmarkStart w:id="13778" w:name="_ETM_Q18_436240"/>
      <w:bookmarkEnd w:id="13778"/>
      <w:r>
        <w:rPr>
          <w:rFonts w:hint="cs"/>
          <w:rtl/>
        </w:rPr>
        <w:t xml:space="preserve">אשמים </w:t>
      </w:r>
      <w:bookmarkStart w:id="13779" w:name="_ETM_Q18_436990"/>
      <w:bookmarkEnd w:id="13779"/>
      <w:r>
        <w:rPr>
          <w:rFonts w:hint="cs"/>
          <w:rtl/>
        </w:rPr>
        <w:t xml:space="preserve">בהחלשה הדרמטית </w:t>
      </w:r>
      <w:bookmarkStart w:id="13780" w:name="_ETM_Q18_437259"/>
      <w:bookmarkStart w:id="13781" w:name="_ETM_Q18_437710"/>
      <w:bookmarkStart w:id="13782" w:name="_ETM_Q18_438370"/>
      <w:bookmarkEnd w:id="13780"/>
      <w:bookmarkEnd w:id="13781"/>
      <w:bookmarkEnd w:id="13782"/>
      <w:r>
        <w:rPr>
          <w:rFonts w:hint="cs"/>
          <w:rtl/>
        </w:rPr>
        <w:t xml:space="preserve">של </w:t>
      </w:r>
      <w:bookmarkStart w:id="13783" w:name="_ETM_Q18_438520"/>
      <w:bookmarkEnd w:id="13783"/>
      <w:r>
        <w:rPr>
          <w:rFonts w:hint="cs"/>
          <w:rtl/>
        </w:rPr>
        <w:t xml:space="preserve">הדמוקרטיה </w:t>
      </w:r>
      <w:bookmarkStart w:id="13784" w:name="_ETM_Q18_439180"/>
      <w:bookmarkEnd w:id="13784"/>
      <w:r>
        <w:rPr>
          <w:rFonts w:hint="cs"/>
          <w:rtl/>
        </w:rPr>
        <w:t xml:space="preserve">הישראלית. </w:t>
      </w:r>
      <w:bookmarkStart w:id="13785" w:name="_ETM_Q18_440320"/>
      <w:bookmarkEnd w:id="13785"/>
      <w:r>
        <w:rPr>
          <w:rFonts w:hint="cs"/>
          <w:rtl/>
        </w:rPr>
        <w:t xml:space="preserve">אתם, </w:t>
      </w:r>
      <w:bookmarkStart w:id="13786" w:name="_ETM_Q18_441010"/>
      <w:bookmarkEnd w:id="13786"/>
      <w:r>
        <w:rPr>
          <w:rFonts w:hint="cs"/>
          <w:rtl/>
        </w:rPr>
        <w:t xml:space="preserve">שרי </w:t>
      </w:r>
      <w:bookmarkStart w:id="13787" w:name="_ETM_Q18_441339"/>
      <w:bookmarkEnd w:id="13787"/>
      <w:r>
        <w:rPr>
          <w:rFonts w:hint="cs"/>
          <w:rtl/>
        </w:rPr>
        <w:t xml:space="preserve">הממשלה </w:t>
      </w:r>
      <w:bookmarkStart w:id="13788" w:name="_ETM_Q18_441940"/>
      <w:bookmarkEnd w:id="13788"/>
      <w:r>
        <w:rPr>
          <w:rFonts w:hint="cs"/>
          <w:rtl/>
        </w:rPr>
        <w:t xml:space="preserve">וחברי </w:t>
      </w:r>
      <w:bookmarkStart w:id="13789" w:name="_ETM_Q18_442389"/>
      <w:bookmarkEnd w:id="13789"/>
      <w:r>
        <w:rPr>
          <w:rFonts w:hint="cs"/>
          <w:rtl/>
        </w:rPr>
        <w:t xml:space="preserve">הקואליציה, </w:t>
      </w:r>
      <w:bookmarkStart w:id="13790" w:name="_ETM_Q18_443529"/>
      <w:bookmarkEnd w:id="13790"/>
      <w:r>
        <w:rPr>
          <w:rFonts w:hint="cs"/>
          <w:rtl/>
        </w:rPr>
        <w:t xml:space="preserve">אשמים </w:t>
      </w:r>
      <w:bookmarkStart w:id="13791" w:name="_ETM_Q18_444190"/>
      <w:bookmarkEnd w:id="13791"/>
      <w:r>
        <w:rPr>
          <w:rFonts w:hint="cs"/>
          <w:rtl/>
        </w:rPr>
        <w:t xml:space="preserve">בקרע </w:t>
      </w:r>
      <w:bookmarkStart w:id="13792" w:name="_ETM_Q18_444940"/>
      <w:bookmarkEnd w:id="13792"/>
      <w:r>
        <w:rPr>
          <w:rFonts w:hint="cs"/>
          <w:rtl/>
        </w:rPr>
        <w:t xml:space="preserve">החברתי </w:t>
      </w:r>
      <w:bookmarkStart w:id="13793" w:name="_ETM_Q18_445600"/>
      <w:bookmarkEnd w:id="13793"/>
      <w:r>
        <w:rPr>
          <w:rFonts w:hint="cs"/>
          <w:rtl/>
        </w:rPr>
        <w:t xml:space="preserve">והלאומי. </w:t>
      </w:r>
      <w:bookmarkStart w:id="13794" w:name="_ETM_Q18_446720"/>
      <w:bookmarkEnd w:id="13794"/>
      <w:r>
        <w:rPr>
          <w:rFonts w:hint="cs"/>
          <w:rtl/>
        </w:rPr>
        <w:t>אתם ה</w:t>
      </w:r>
      <w:bookmarkStart w:id="13795" w:name="_ETM_Q18_447259"/>
      <w:bookmarkEnd w:id="13795"/>
      <w:r>
        <w:rPr>
          <w:rFonts w:hint="cs"/>
          <w:rtl/>
        </w:rPr>
        <w:t xml:space="preserve">אשמים </w:t>
      </w:r>
      <w:bookmarkStart w:id="13796" w:name="_ETM_Q18_447860"/>
      <w:bookmarkEnd w:id="13796"/>
      <w:r>
        <w:rPr>
          <w:rFonts w:hint="cs"/>
          <w:rtl/>
        </w:rPr>
        <w:t xml:space="preserve">בדרדור </w:t>
      </w:r>
      <w:bookmarkStart w:id="13797" w:name="_ETM_Q18_448430"/>
      <w:bookmarkEnd w:id="13797"/>
      <w:r>
        <w:rPr>
          <w:rFonts w:hint="cs"/>
          <w:rtl/>
        </w:rPr>
        <w:t xml:space="preserve">מעמדה </w:t>
      </w:r>
      <w:bookmarkStart w:id="13798" w:name="_ETM_Q18_448970"/>
      <w:bookmarkEnd w:id="13798"/>
      <w:r>
        <w:rPr>
          <w:rFonts w:hint="cs"/>
          <w:rtl/>
        </w:rPr>
        <w:t xml:space="preserve">של </w:t>
      </w:r>
      <w:bookmarkStart w:id="13799" w:name="_ETM_Q18_449180"/>
      <w:bookmarkEnd w:id="13799"/>
      <w:r>
        <w:rPr>
          <w:rFonts w:hint="cs"/>
          <w:rtl/>
        </w:rPr>
        <w:t xml:space="preserve">ישראל </w:t>
      </w:r>
      <w:bookmarkStart w:id="13800" w:name="_ETM_Q18_449660"/>
      <w:bookmarkEnd w:id="13800"/>
      <w:r>
        <w:rPr>
          <w:rFonts w:hint="cs"/>
          <w:rtl/>
        </w:rPr>
        <w:t xml:space="preserve">בעולם </w:t>
      </w:r>
      <w:bookmarkStart w:id="13801" w:name="_ETM_Q18_450110"/>
      <w:bookmarkEnd w:id="13801"/>
      <w:r>
        <w:rPr>
          <w:rFonts w:hint="cs"/>
          <w:rtl/>
        </w:rPr>
        <w:t xml:space="preserve">החופשי. </w:t>
      </w:r>
      <w:bookmarkStart w:id="13802" w:name="_ETM_Q18_451099"/>
      <w:bookmarkEnd w:id="13802"/>
      <w:r>
        <w:rPr>
          <w:rFonts w:hint="cs"/>
          <w:rtl/>
        </w:rPr>
        <w:t xml:space="preserve">אתם </w:t>
      </w:r>
      <w:bookmarkStart w:id="13803" w:name="_ETM_Q18_451490"/>
      <w:bookmarkEnd w:id="13803"/>
      <w:r>
        <w:rPr>
          <w:rFonts w:hint="cs"/>
          <w:rtl/>
        </w:rPr>
        <w:t xml:space="preserve">האשמים </w:t>
      </w:r>
      <w:bookmarkStart w:id="13804" w:name="_ETM_Q18_452000"/>
      <w:bookmarkEnd w:id="13804"/>
      <w:r>
        <w:rPr>
          <w:rFonts w:hint="cs"/>
          <w:rtl/>
        </w:rPr>
        <w:t xml:space="preserve">בדחיפתה </w:t>
      </w:r>
      <w:bookmarkStart w:id="13805" w:name="_ETM_Q18_452720"/>
      <w:bookmarkEnd w:id="13805"/>
      <w:r>
        <w:rPr>
          <w:rFonts w:hint="cs"/>
          <w:rtl/>
        </w:rPr>
        <w:t xml:space="preserve">של </w:t>
      </w:r>
      <w:bookmarkStart w:id="13806" w:name="_ETM_Q18_452930"/>
      <w:bookmarkEnd w:id="13806"/>
      <w:r>
        <w:rPr>
          <w:rFonts w:hint="cs"/>
          <w:rtl/>
        </w:rPr>
        <w:t xml:space="preserve">מדינת </w:t>
      </w:r>
      <w:bookmarkStart w:id="13807" w:name="_ETM_Q18_453410"/>
      <w:bookmarkEnd w:id="13807"/>
      <w:r>
        <w:rPr>
          <w:rFonts w:hint="cs"/>
          <w:rtl/>
        </w:rPr>
        <w:t xml:space="preserve">ישראל </w:t>
      </w:r>
      <w:bookmarkStart w:id="13808" w:name="_ETM_Q18_454370"/>
      <w:bookmarkEnd w:id="13808"/>
      <w:r>
        <w:rPr>
          <w:rFonts w:hint="cs"/>
          <w:rtl/>
        </w:rPr>
        <w:t xml:space="preserve">למציאות </w:t>
      </w:r>
      <w:bookmarkStart w:id="13809" w:name="_ETM_Q18_455029"/>
      <w:bookmarkEnd w:id="13809"/>
      <w:r>
        <w:rPr>
          <w:rFonts w:hint="cs"/>
          <w:rtl/>
        </w:rPr>
        <w:t xml:space="preserve">דו-לאומית </w:t>
      </w:r>
      <w:bookmarkStart w:id="13810" w:name="_ETM_Q18_455779"/>
      <w:bookmarkEnd w:id="13810"/>
      <w:r>
        <w:rPr>
          <w:rFonts w:hint="cs"/>
          <w:rtl/>
        </w:rPr>
        <w:t xml:space="preserve">מדממת, </w:t>
      </w:r>
      <w:bookmarkStart w:id="13811" w:name="_ETM_Q18_456889"/>
      <w:bookmarkEnd w:id="13811"/>
      <w:r>
        <w:rPr>
          <w:rFonts w:hint="cs"/>
          <w:rtl/>
        </w:rPr>
        <w:t xml:space="preserve">אנטי-דמוקרטית </w:t>
      </w:r>
      <w:bookmarkStart w:id="13812" w:name="_ETM_Q18_458180"/>
      <w:bookmarkEnd w:id="13812"/>
      <w:r>
        <w:rPr>
          <w:rFonts w:hint="cs"/>
          <w:rtl/>
        </w:rPr>
        <w:t>ואנטי-</w:t>
      </w:r>
      <w:bookmarkStart w:id="13813" w:name="_ETM_Q18_459000"/>
      <w:bookmarkEnd w:id="13813"/>
      <w:r>
        <w:rPr>
          <w:rFonts w:hint="cs"/>
          <w:rtl/>
        </w:rPr>
        <w:t xml:space="preserve">ציונית. אתם, </w:t>
      </w:r>
      <w:bookmarkStart w:id="13814" w:name="_ETM_Q18_459830"/>
      <w:bookmarkStart w:id="13815" w:name="_ETM_Q18_460550"/>
      <w:bookmarkEnd w:id="13814"/>
      <w:bookmarkEnd w:id="13815"/>
      <w:r>
        <w:rPr>
          <w:rFonts w:hint="cs"/>
          <w:rtl/>
        </w:rPr>
        <w:t xml:space="preserve">שרי </w:t>
      </w:r>
      <w:bookmarkStart w:id="13816" w:name="_ETM_Q18_460910"/>
      <w:bookmarkEnd w:id="13816"/>
      <w:r>
        <w:rPr>
          <w:rFonts w:hint="cs"/>
          <w:rtl/>
        </w:rPr>
        <w:t xml:space="preserve">הממשלה </w:t>
      </w:r>
      <w:bookmarkStart w:id="13817" w:name="_ETM_Q18_461540"/>
      <w:bookmarkEnd w:id="13817"/>
      <w:r>
        <w:rPr>
          <w:rFonts w:hint="cs"/>
          <w:rtl/>
        </w:rPr>
        <w:t xml:space="preserve">וחברי </w:t>
      </w:r>
      <w:bookmarkStart w:id="13818" w:name="_ETM_Q18_462020"/>
      <w:bookmarkEnd w:id="13818"/>
      <w:r>
        <w:rPr>
          <w:rFonts w:hint="cs"/>
          <w:rtl/>
        </w:rPr>
        <w:t xml:space="preserve">הקואליציה, </w:t>
      </w:r>
      <w:bookmarkStart w:id="13819" w:name="_ETM_Q18_463339"/>
      <w:bookmarkEnd w:id="13819"/>
      <w:r>
        <w:rPr>
          <w:rFonts w:hint="cs"/>
          <w:rtl/>
        </w:rPr>
        <w:t xml:space="preserve">אשמים </w:t>
      </w:r>
      <w:bookmarkStart w:id="13820" w:name="_ETM_Q18_464029"/>
      <w:bookmarkEnd w:id="13820"/>
      <w:r>
        <w:rPr>
          <w:rFonts w:hint="cs"/>
          <w:rtl/>
        </w:rPr>
        <w:t xml:space="preserve">בהזנחה </w:t>
      </w:r>
      <w:bookmarkStart w:id="13821" w:name="_ETM_Q18_465320"/>
      <w:bookmarkEnd w:id="13821"/>
      <w:r>
        <w:rPr>
          <w:rFonts w:hint="cs"/>
          <w:rtl/>
        </w:rPr>
        <w:t xml:space="preserve">של </w:t>
      </w:r>
      <w:bookmarkStart w:id="13822" w:name="_ETM_Q18_465589"/>
      <w:bookmarkEnd w:id="13822"/>
      <w:r>
        <w:rPr>
          <w:rFonts w:hint="cs"/>
          <w:rtl/>
        </w:rPr>
        <w:t xml:space="preserve">אזרחי </w:t>
      </w:r>
      <w:bookmarkStart w:id="13823" w:name="_ETM_Q18_466160"/>
      <w:bookmarkEnd w:id="13823"/>
      <w:r>
        <w:rPr>
          <w:rFonts w:hint="cs"/>
          <w:rtl/>
        </w:rPr>
        <w:t xml:space="preserve">ישראל </w:t>
      </w:r>
      <w:bookmarkStart w:id="13824" w:name="_ETM_Q18_466640"/>
      <w:bookmarkEnd w:id="13824"/>
      <w:r>
        <w:rPr>
          <w:rFonts w:hint="cs"/>
          <w:rtl/>
        </w:rPr>
        <w:t xml:space="preserve">המוחלשים </w:t>
      </w:r>
      <w:bookmarkStart w:id="13825" w:name="_ETM_Q18_467330"/>
      <w:bookmarkEnd w:id="13825"/>
      <w:r>
        <w:rPr>
          <w:rFonts w:hint="cs"/>
          <w:rtl/>
        </w:rPr>
        <w:t xml:space="preserve">ביותר, בנטישתם </w:t>
      </w:r>
      <w:bookmarkStart w:id="13826" w:name="_ETM_Q18_468350"/>
      <w:bookmarkStart w:id="13827" w:name="_ETM_Q18_468589"/>
      <w:bookmarkStart w:id="13828" w:name="_ETM_Q18_468860"/>
      <w:bookmarkEnd w:id="13826"/>
      <w:bookmarkEnd w:id="13827"/>
      <w:bookmarkEnd w:id="13828"/>
      <w:r>
        <w:rPr>
          <w:rFonts w:hint="cs"/>
          <w:rtl/>
        </w:rPr>
        <w:t xml:space="preserve">של </w:t>
      </w:r>
      <w:bookmarkStart w:id="13829" w:name="_ETM_Q18_469640"/>
      <w:bookmarkEnd w:id="13829"/>
      <w:r>
        <w:rPr>
          <w:rFonts w:hint="cs"/>
          <w:rtl/>
        </w:rPr>
        <w:t xml:space="preserve">האזרחים </w:t>
      </w:r>
      <w:bookmarkStart w:id="13830" w:name="_ETM_Q18_470240"/>
      <w:bookmarkEnd w:id="13830"/>
      <w:r>
        <w:rPr>
          <w:rFonts w:hint="cs"/>
          <w:rtl/>
        </w:rPr>
        <w:t xml:space="preserve">הוותיקים, </w:t>
      </w:r>
      <w:bookmarkStart w:id="13831" w:name="_ETM_Q18_471270"/>
      <w:bookmarkEnd w:id="13831"/>
      <w:r>
        <w:rPr>
          <w:rFonts w:hint="cs"/>
          <w:rtl/>
        </w:rPr>
        <w:t xml:space="preserve">בהפניית </w:t>
      </w:r>
      <w:bookmarkStart w:id="13832" w:name="_ETM_Q18_472020"/>
      <w:bookmarkEnd w:id="13832"/>
      <w:r>
        <w:rPr>
          <w:rFonts w:hint="cs"/>
          <w:rtl/>
        </w:rPr>
        <w:t xml:space="preserve">עורף </w:t>
      </w:r>
      <w:bookmarkStart w:id="13833" w:name="_ETM_Q18_472380"/>
      <w:bookmarkEnd w:id="13833"/>
      <w:r>
        <w:rPr>
          <w:rFonts w:hint="cs"/>
          <w:rtl/>
        </w:rPr>
        <w:t xml:space="preserve">לזוגות </w:t>
      </w:r>
      <w:bookmarkStart w:id="13834" w:name="_ETM_Q18_472919"/>
      <w:bookmarkEnd w:id="13834"/>
      <w:r>
        <w:rPr>
          <w:rFonts w:hint="cs"/>
          <w:rtl/>
        </w:rPr>
        <w:t xml:space="preserve">הצעירים, </w:t>
      </w:r>
      <w:bookmarkStart w:id="13835" w:name="_ETM_Q18_473910"/>
      <w:bookmarkEnd w:id="13835"/>
      <w:r>
        <w:rPr>
          <w:rFonts w:hint="cs"/>
          <w:rtl/>
        </w:rPr>
        <w:t xml:space="preserve">בהפקרת </w:t>
      </w:r>
      <w:bookmarkStart w:id="13836" w:name="_ETM_Q18_474720"/>
      <w:bookmarkEnd w:id="13836"/>
      <w:r>
        <w:rPr>
          <w:rFonts w:hint="cs"/>
          <w:rtl/>
        </w:rPr>
        <w:t xml:space="preserve">דיירי </w:t>
      </w:r>
      <w:bookmarkStart w:id="13837" w:name="_ETM_Q18_475470"/>
      <w:bookmarkEnd w:id="13837"/>
      <w:r>
        <w:rPr>
          <w:rFonts w:hint="cs"/>
          <w:rtl/>
        </w:rPr>
        <w:t xml:space="preserve">הדיור </w:t>
      </w:r>
      <w:bookmarkStart w:id="13838" w:name="_ETM_Q18_476040"/>
      <w:bookmarkEnd w:id="13838"/>
      <w:r>
        <w:rPr>
          <w:rFonts w:hint="cs"/>
          <w:rtl/>
        </w:rPr>
        <w:t xml:space="preserve">הציבורי. </w:t>
      </w:r>
      <w:bookmarkStart w:id="13839" w:name="_ETM_Q18_477060"/>
      <w:bookmarkEnd w:id="13839"/>
      <w:r>
        <w:rPr>
          <w:rFonts w:hint="cs"/>
          <w:rtl/>
        </w:rPr>
        <w:t xml:space="preserve">לא </w:t>
      </w:r>
      <w:bookmarkStart w:id="13840" w:name="_ETM_Q18_477570"/>
      <w:bookmarkEnd w:id="13840"/>
      <w:r>
        <w:rPr>
          <w:rFonts w:hint="cs"/>
          <w:rtl/>
        </w:rPr>
        <w:t xml:space="preserve">מעניין </w:t>
      </w:r>
      <w:bookmarkStart w:id="13841" w:name="_ETM_Q18_478260"/>
      <w:bookmarkEnd w:id="13841"/>
      <w:r>
        <w:rPr>
          <w:rFonts w:hint="cs"/>
          <w:rtl/>
        </w:rPr>
        <w:t xml:space="preserve">אתכם </w:t>
      </w:r>
      <w:bookmarkStart w:id="13842" w:name="_ETM_Q18_478800"/>
      <w:bookmarkEnd w:id="13842"/>
      <w:r>
        <w:rPr>
          <w:rFonts w:hint="cs"/>
          <w:rtl/>
        </w:rPr>
        <w:t xml:space="preserve">כלום </w:t>
      </w:r>
      <w:bookmarkStart w:id="13843" w:name="_ETM_Q18_479699"/>
      <w:bookmarkEnd w:id="13843"/>
      <w:r>
        <w:rPr>
          <w:rFonts w:hint="cs"/>
          <w:rtl/>
        </w:rPr>
        <w:t xml:space="preserve">חוץ </w:t>
      </w:r>
      <w:bookmarkStart w:id="13844" w:name="_ETM_Q18_480180"/>
      <w:bookmarkEnd w:id="13844"/>
      <w:r>
        <w:rPr>
          <w:rFonts w:hint="cs"/>
          <w:rtl/>
        </w:rPr>
        <w:t xml:space="preserve">מההפיכה המשטרית וממינוי </w:t>
      </w:r>
      <w:bookmarkStart w:id="13845" w:name="_ETM_Q18_480900"/>
      <w:bookmarkStart w:id="13846" w:name="_ETM_Q18_480240"/>
      <w:bookmarkStart w:id="13847" w:name="_ETM_Q18_480690"/>
      <w:bookmarkStart w:id="13848" w:name="_ETM_Q18_481439"/>
      <w:bookmarkStart w:id="13849" w:name="_ETM_Q18_482669"/>
      <w:bookmarkStart w:id="13850" w:name="_ETM_Q18_482909"/>
      <w:bookmarkStart w:id="13851" w:name="_ETM_Q18_483629"/>
      <w:bookmarkEnd w:id="13845"/>
      <w:bookmarkEnd w:id="13846"/>
      <w:bookmarkEnd w:id="13847"/>
      <w:bookmarkEnd w:id="13848"/>
      <w:bookmarkEnd w:id="13849"/>
      <w:bookmarkEnd w:id="13850"/>
      <w:bookmarkEnd w:id="13851"/>
      <w:r>
        <w:rPr>
          <w:rFonts w:hint="cs"/>
          <w:rtl/>
        </w:rPr>
        <w:t xml:space="preserve">מקורבים </w:t>
      </w:r>
      <w:bookmarkStart w:id="13852" w:name="_ETM_Q18_484830"/>
      <w:bookmarkEnd w:id="13852"/>
      <w:r>
        <w:rPr>
          <w:rFonts w:hint="cs"/>
          <w:rtl/>
        </w:rPr>
        <w:t xml:space="preserve">לאין-ספור </w:t>
      </w:r>
      <w:bookmarkStart w:id="13853" w:name="_ETM_Q18_485910"/>
      <w:bookmarkEnd w:id="13853"/>
      <w:r>
        <w:rPr>
          <w:rFonts w:hint="cs"/>
          <w:rtl/>
        </w:rPr>
        <w:t xml:space="preserve">ג'ובים. </w:t>
      </w:r>
      <w:bookmarkStart w:id="13854" w:name="_ETM_Q18_488000"/>
      <w:bookmarkStart w:id="13855" w:name="_ETM_Q18_487100"/>
      <w:bookmarkEnd w:id="13854"/>
      <w:bookmarkEnd w:id="13855"/>
      <w:r>
        <w:rPr>
          <w:rFonts w:hint="cs"/>
          <w:rtl/>
        </w:rPr>
        <w:t xml:space="preserve">בדפי </w:t>
      </w:r>
      <w:bookmarkStart w:id="13856" w:name="_ETM_Q18_487790"/>
      <w:bookmarkEnd w:id="13856"/>
      <w:r>
        <w:rPr>
          <w:rFonts w:hint="cs"/>
          <w:rtl/>
        </w:rPr>
        <w:t xml:space="preserve">ההיסטוריה </w:t>
      </w:r>
      <w:bookmarkStart w:id="13857" w:name="_ETM_Q18_488420"/>
      <w:bookmarkEnd w:id="13857"/>
      <w:r>
        <w:rPr>
          <w:rFonts w:hint="cs"/>
          <w:rtl/>
        </w:rPr>
        <w:t xml:space="preserve">של </w:t>
      </w:r>
      <w:bookmarkStart w:id="13858" w:name="_ETM_Q18_488630"/>
      <w:bookmarkEnd w:id="13858"/>
      <w:r>
        <w:rPr>
          <w:rFonts w:hint="cs"/>
          <w:rtl/>
        </w:rPr>
        <w:t xml:space="preserve">העם </w:t>
      </w:r>
      <w:bookmarkStart w:id="13859" w:name="_ETM_Q18_488870"/>
      <w:bookmarkEnd w:id="13859"/>
      <w:r>
        <w:rPr>
          <w:rFonts w:hint="cs"/>
          <w:rtl/>
        </w:rPr>
        <w:t xml:space="preserve">היהודי </w:t>
      </w:r>
      <w:bookmarkStart w:id="13860" w:name="_ETM_Q18_489500"/>
      <w:bookmarkEnd w:id="13860"/>
      <w:r>
        <w:rPr>
          <w:rFonts w:hint="cs"/>
          <w:rtl/>
        </w:rPr>
        <w:t xml:space="preserve">ושל </w:t>
      </w:r>
      <w:bookmarkStart w:id="13861" w:name="_ETM_Q18_489799"/>
      <w:bookmarkEnd w:id="13861"/>
      <w:r>
        <w:rPr>
          <w:rFonts w:hint="cs"/>
          <w:rtl/>
        </w:rPr>
        <w:t xml:space="preserve">מדינת </w:t>
      </w:r>
      <w:bookmarkStart w:id="13862" w:name="_ETM_Q18_490339"/>
      <w:bookmarkEnd w:id="13862"/>
      <w:r>
        <w:rPr>
          <w:rFonts w:hint="cs"/>
          <w:rtl/>
        </w:rPr>
        <w:t xml:space="preserve">ישראל </w:t>
      </w:r>
      <w:bookmarkStart w:id="13863" w:name="_ETM_Q18_491330"/>
      <w:bookmarkEnd w:id="13863"/>
      <w:r>
        <w:rPr>
          <w:rFonts w:hint="cs"/>
          <w:rtl/>
        </w:rPr>
        <w:t xml:space="preserve">אתם </w:t>
      </w:r>
      <w:bookmarkStart w:id="13864" w:name="_ETM_Q18_491750"/>
      <w:bookmarkEnd w:id="13864"/>
      <w:r>
        <w:rPr>
          <w:rFonts w:hint="cs"/>
          <w:rtl/>
        </w:rPr>
        <w:t xml:space="preserve">תירשמו </w:t>
      </w:r>
      <w:bookmarkStart w:id="13865" w:name="_ETM_Q18_492350"/>
      <w:bookmarkEnd w:id="13865"/>
      <w:r>
        <w:rPr>
          <w:rFonts w:hint="cs"/>
          <w:rtl/>
        </w:rPr>
        <w:t xml:space="preserve">תחת </w:t>
      </w:r>
      <w:bookmarkStart w:id="13866" w:name="_ETM_Q18_492769"/>
      <w:bookmarkEnd w:id="13866"/>
      <w:r>
        <w:rPr>
          <w:rFonts w:hint="cs"/>
          <w:rtl/>
        </w:rPr>
        <w:t xml:space="preserve">קטגוריות </w:t>
      </w:r>
      <w:bookmarkStart w:id="13867" w:name="_ETM_Q18_493580"/>
      <w:bookmarkEnd w:id="13867"/>
      <w:r>
        <w:rPr>
          <w:rFonts w:hint="cs"/>
          <w:rtl/>
        </w:rPr>
        <w:t xml:space="preserve">הקנאים </w:t>
      </w:r>
      <w:bookmarkStart w:id="13868" w:name="_ETM_Q18_494779"/>
      <w:bookmarkEnd w:id="13868"/>
      <w:r>
        <w:rPr>
          <w:rFonts w:hint="cs"/>
          <w:rtl/>
        </w:rPr>
        <w:t>ו</w:t>
      </w:r>
      <w:bookmarkStart w:id="13869" w:name="_ETM_Q18_494929"/>
      <w:bookmarkEnd w:id="13869"/>
      <w:r>
        <w:rPr>
          <w:rFonts w:hint="cs"/>
          <w:rtl/>
        </w:rPr>
        <w:t xml:space="preserve">משתפי </w:t>
      </w:r>
      <w:bookmarkStart w:id="13870" w:name="_ETM_Q18_495620"/>
      <w:bookmarkEnd w:id="13870"/>
      <w:r>
        <w:rPr>
          <w:rFonts w:hint="cs"/>
          <w:rtl/>
        </w:rPr>
        <w:t xml:space="preserve">הפעולה </w:t>
      </w:r>
      <w:bookmarkStart w:id="13871" w:name="_ETM_Q18_496820"/>
      <w:bookmarkEnd w:id="13871"/>
      <w:r>
        <w:rPr>
          <w:rFonts w:hint="cs"/>
          <w:rtl/>
        </w:rPr>
        <w:t xml:space="preserve">עם </w:t>
      </w:r>
      <w:bookmarkStart w:id="13872" w:name="_ETM_Q18_496939"/>
      <w:bookmarkEnd w:id="13872"/>
      <w:r>
        <w:rPr>
          <w:rFonts w:hint="cs"/>
          <w:rtl/>
        </w:rPr>
        <w:t xml:space="preserve">מחריבי </w:t>
      </w:r>
      <w:bookmarkStart w:id="13873" w:name="_ETM_Q18_497540"/>
      <w:bookmarkEnd w:id="13873"/>
      <w:r>
        <w:rPr>
          <w:rFonts w:hint="cs"/>
          <w:rtl/>
        </w:rPr>
        <w:t>הבית.</w:t>
      </w:r>
    </w:p>
    <w:p w:rsidR="000C5C1F" w:rsidRDefault="000C5C1F" w:rsidP="000C5C1F">
      <w:pPr>
        <w:rPr>
          <w:rtl/>
        </w:rPr>
      </w:pPr>
    </w:p>
    <w:p w:rsidR="000C5C1F" w:rsidRDefault="000C5C1F" w:rsidP="000C5C1F">
      <w:pPr>
        <w:rPr>
          <w:rtl/>
        </w:rPr>
      </w:pPr>
      <w:bookmarkStart w:id="13874" w:name="_ETM_Q18_497000"/>
      <w:bookmarkEnd w:id="13874"/>
      <w:r>
        <w:rPr>
          <w:rFonts w:hint="cs"/>
          <w:rtl/>
        </w:rPr>
        <w:t xml:space="preserve"> </w:t>
      </w:r>
      <w:bookmarkStart w:id="13875" w:name="_ETM_Q18_498720"/>
      <w:bookmarkEnd w:id="13875"/>
      <w:r>
        <w:rPr>
          <w:rFonts w:hint="cs"/>
          <w:rtl/>
        </w:rPr>
        <w:t xml:space="preserve">ועתה, </w:t>
      </w:r>
      <w:bookmarkStart w:id="13876" w:name="_ETM_Q18_499380"/>
      <w:bookmarkEnd w:id="13876"/>
      <w:r>
        <w:rPr>
          <w:rFonts w:hint="cs"/>
          <w:rtl/>
        </w:rPr>
        <w:t xml:space="preserve">אדוני, </w:t>
      </w:r>
      <w:bookmarkStart w:id="13877" w:name="_ETM_Q18_499830"/>
      <w:bookmarkEnd w:id="13877"/>
      <w:r>
        <w:rPr>
          <w:rFonts w:hint="cs"/>
          <w:rtl/>
        </w:rPr>
        <w:t xml:space="preserve">לחלק </w:t>
      </w:r>
      <w:bookmarkStart w:id="13878" w:name="_ETM_Q18_500279"/>
      <w:bookmarkEnd w:id="13878"/>
      <w:r>
        <w:rPr>
          <w:rFonts w:hint="cs"/>
          <w:rtl/>
        </w:rPr>
        <w:t xml:space="preserve">השלישי </w:t>
      </w:r>
      <w:bookmarkStart w:id="13879" w:name="_ETM_Q18_500789"/>
      <w:bookmarkEnd w:id="13879"/>
      <w:r>
        <w:rPr>
          <w:rFonts w:hint="cs"/>
          <w:rtl/>
        </w:rPr>
        <w:t xml:space="preserve">והאחרון </w:t>
      </w:r>
      <w:bookmarkStart w:id="13880" w:name="_ETM_Q18_501390"/>
      <w:bookmarkEnd w:id="13880"/>
      <w:r>
        <w:rPr>
          <w:rFonts w:hint="cs"/>
          <w:rtl/>
        </w:rPr>
        <w:t xml:space="preserve">של </w:t>
      </w:r>
      <w:bookmarkStart w:id="13881" w:name="_ETM_Q18_501570"/>
      <w:bookmarkEnd w:id="13881"/>
      <w:r>
        <w:rPr>
          <w:rFonts w:hint="cs"/>
          <w:rtl/>
        </w:rPr>
        <w:t xml:space="preserve">דבריי, </w:t>
      </w:r>
      <w:bookmarkStart w:id="13882" w:name="_ETM_Q18_502609"/>
      <w:bookmarkEnd w:id="13882"/>
      <w:r>
        <w:rPr>
          <w:rFonts w:hint="cs"/>
          <w:rtl/>
        </w:rPr>
        <w:t xml:space="preserve">שאותו </w:t>
      </w:r>
      <w:bookmarkStart w:id="13883" w:name="_ETM_Q18_503029"/>
      <w:bookmarkEnd w:id="13883"/>
      <w:r>
        <w:rPr>
          <w:rFonts w:hint="cs"/>
          <w:rtl/>
        </w:rPr>
        <w:t xml:space="preserve">אני </w:t>
      </w:r>
      <w:bookmarkStart w:id="13884" w:name="_ETM_Q18_503210"/>
      <w:bookmarkEnd w:id="13884"/>
      <w:r>
        <w:rPr>
          <w:rFonts w:hint="cs"/>
          <w:rtl/>
        </w:rPr>
        <w:t xml:space="preserve">מבקש </w:t>
      </w:r>
      <w:bookmarkStart w:id="13885" w:name="_ETM_Q18_503660"/>
      <w:bookmarkEnd w:id="13885"/>
      <w:r>
        <w:rPr>
          <w:rFonts w:hint="cs"/>
          <w:rtl/>
        </w:rPr>
        <w:t xml:space="preserve">להקדיש </w:t>
      </w:r>
      <w:bookmarkStart w:id="13886" w:name="_ETM_Q18_504769"/>
      <w:bookmarkEnd w:id="13886"/>
      <w:r>
        <w:rPr>
          <w:rFonts w:hint="cs"/>
          <w:rtl/>
        </w:rPr>
        <w:t xml:space="preserve">למסכת </w:t>
      </w:r>
      <w:bookmarkStart w:id="13887" w:name="_ETM_Q18_505579"/>
      <w:bookmarkEnd w:id="13887"/>
      <w:r>
        <w:rPr>
          <w:rFonts w:hint="cs"/>
          <w:rtl/>
        </w:rPr>
        <w:t xml:space="preserve">חצאי </w:t>
      </w:r>
      <w:bookmarkStart w:id="13888" w:name="_ETM_Q18_506179"/>
      <w:bookmarkEnd w:id="13888"/>
      <w:r>
        <w:rPr>
          <w:rFonts w:hint="cs"/>
          <w:rtl/>
        </w:rPr>
        <w:t xml:space="preserve">האמיתות, </w:t>
      </w:r>
      <w:bookmarkStart w:id="13889" w:name="_ETM_Q18_506989"/>
      <w:bookmarkEnd w:id="13889"/>
      <w:r>
        <w:rPr>
          <w:rFonts w:hint="cs"/>
          <w:rtl/>
        </w:rPr>
        <w:t xml:space="preserve">אם </w:t>
      </w:r>
      <w:bookmarkStart w:id="13890" w:name="_ETM_Q18_507140"/>
      <w:bookmarkEnd w:id="13890"/>
      <w:r>
        <w:rPr>
          <w:rFonts w:hint="cs"/>
          <w:rtl/>
        </w:rPr>
        <w:t xml:space="preserve">לא </w:t>
      </w:r>
      <w:bookmarkStart w:id="13891" w:name="_ETM_Q18_507349"/>
      <w:bookmarkEnd w:id="13891"/>
      <w:r>
        <w:rPr>
          <w:rFonts w:hint="cs"/>
          <w:rtl/>
        </w:rPr>
        <w:t xml:space="preserve">השקרים, </w:t>
      </w:r>
      <w:bookmarkStart w:id="13892" w:name="_ETM_Q18_508449"/>
      <w:bookmarkEnd w:id="13892"/>
      <w:r>
        <w:rPr>
          <w:rFonts w:hint="cs"/>
          <w:rtl/>
        </w:rPr>
        <w:t xml:space="preserve">שהציג </w:t>
      </w:r>
      <w:bookmarkStart w:id="13893" w:name="_ETM_Q18_508990"/>
      <w:bookmarkEnd w:id="13893"/>
      <w:r>
        <w:rPr>
          <w:rFonts w:hint="cs"/>
          <w:rtl/>
        </w:rPr>
        <w:t xml:space="preserve">כאן </w:t>
      </w:r>
      <w:bookmarkStart w:id="13894" w:name="_ETM_Q18_509140"/>
      <w:bookmarkEnd w:id="13894"/>
      <w:r>
        <w:rPr>
          <w:rFonts w:hint="cs"/>
          <w:rtl/>
        </w:rPr>
        <w:t xml:space="preserve">חבר </w:t>
      </w:r>
      <w:bookmarkStart w:id="13895" w:name="_ETM_Q18_509470"/>
      <w:bookmarkEnd w:id="13895"/>
      <w:r>
        <w:rPr>
          <w:rFonts w:hint="cs"/>
          <w:rtl/>
        </w:rPr>
        <w:t xml:space="preserve">הכנסת </w:t>
      </w:r>
      <w:bookmarkStart w:id="13896" w:name="_ETM_Q18_510010"/>
      <w:bookmarkEnd w:id="13896"/>
      <w:r>
        <w:rPr>
          <w:rFonts w:hint="cs"/>
          <w:rtl/>
        </w:rPr>
        <w:t xml:space="preserve">רוטמן </w:t>
      </w:r>
      <w:bookmarkStart w:id="13897" w:name="_ETM_Q18_510939"/>
      <w:bookmarkEnd w:id="13897"/>
      <w:r>
        <w:rPr>
          <w:rFonts w:hint="cs"/>
          <w:rtl/>
        </w:rPr>
        <w:t xml:space="preserve">ביחס </w:t>
      </w:r>
      <w:bookmarkStart w:id="13898" w:name="_ETM_Q18_511539"/>
      <w:bookmarkEnd w:id="13898"/>
      <w:r>
        <w:rPr>
          <w:rFonts w:hint="cs"/>
          <w:rtl/>
        </w:rPr>
        <w:t xml:space="preserve">להצעת </w:t>
      </w:r>
      <w:bookmarkStart w:id="13899" w:name="_ETM_Q18_512230"/>
      <w:bookmarkEnd w:id="13899"/>
      <w:r>
        <w:rPr>
          <w:rFonts w:hint="cs"/>
          <w:rtl/>
        </w:rPr>
        <w:t xml:space="preserve">החוק </w:t>
      </w:r>
      <w:bookmarkStart w:id="13900" w:name="_ETM_Q18_512680"/>
      <w:bookmarkEnd w:id="13900"/>
      <w:r>
        <w:rPr>
          <w:rFonts w:hint="cs"/>
          <w:rtl/>
        </w:rPr>
        <w:t xml:space="preserve">שלפנינו. </w:t>
      </w:r>
      <w:bookmarkStart w:id="13901" w:name="_ETM_Q18_514289"/>
      <w:bookmarkEnd w:id="13901"/>
      <w:r>
        <w:rPr>
          <w:rFonts w:hint="cs"/>
          <w:rtl/>
        </w:rPr>
        <w:t xml:space="preserve">ומה </w:t>
      </w:r>
      <w:bookmarkStart w:id="13902" w:name="_ETM_Q18_514529"/>
      <w:bookmarkEnd w:id="13902"/>
      <w:r>
        <w:rPr>
          <w:rFonts w:hint="cs"/>
          <w:rtl/>
        </w:rPr>
        <w:t xml:space="preserve">מתאים </w:t>
      </w:r>
      <w:bookmarkStart w:id="13903" w:name="_ETM_Q18_515000"/>
      <w:bookmarkEnd w:id="13903"/>
      <w:r>
        <w:rPr>
          <w:rFonts w:hint="cs"/>
          <w:rtl/>
        </w:rPr>
        <w:t xml:space="preserve">יותר </w:t>
      </w:r>
      <w:bookmarkStart w:id="13904" w:name="_ETM_Q18_514890"/>
      <w:bookmarkStart w:id="13905" w:name="_ETM_Q18_515940"/>
      <w:bookmarkEnd w:id="13904"/>
      <w:bookmarkEnd w:id="13905"/>
      <w:r>
        <w:rPr>
          <w:rFonts w:hint="cs"/>
          <w:rtl/>
        </w:rPr>
        <w:t>מ</w:t>
      </w:r>
      <w:bookmarkStart w:id="13906" w:name="_ETM_Q18_516180"/>
      <w:bookmarkEnd w:id="13906"/>
      <w:r>
        <w:rPr>
          <w:rFonts w:hint="cs"/>
          <w:rtl/>
        </w:rPr>
        <w:t xml:space="preserve">להתחיל </w:t>
      </w:r>
      <w:bookmarkStart w:id="13907" w:name="_ETM_Q18_516750"/>
      <w:bookmarkEnd w:id="13907"/>
      <w:r>
        <w:rPr>
          <w:rFonts w:hint="cs"/>
          <w:rtl/>
        </w:rPr>
        <w:t xml:space="preserve">באמירה – </w:t>
      </w:r>
      <w:bookmarkStart w:id="13908" w:name="_ETM_Q18_517920"/>
      <w:bookmarkEnd w:id="13908"/>
      <w:r>
        <w:rPr>
          <w:rFonts w:hint="cs"/>
          <w:rtl/>
        </w:rPr>
        <w:t xml:space="preserve">חבר </w:t>
      </w:r>
      <w:bookmarkStart w:id="13909" w:name="_ETM_Q18_518520"/>
      <w:bookmarkEnd w:id="13909"/>
      <w:r>
        <w:rPr>
          <w:rFonts w:hint="cs"/>
          <w:rtl/>
        </w:rPr>
        <w:t xml:space="preserve">הכנסת </w:t>
      </w:r>
      <w:bookmarkStart w:id="13910" w:name="_ETM_Q18_519029"/>
      <w:bookmarkEnd w:id="13910"/>
      <w:r>
        <w:rPr>
          <w:rFonts w:hint="cs"/>
          <w:rtl/>
        </w:rPr>
        <w:t xml:space="preserve">רוטמן </w:t>
      </w:r>
      <w:bookmarkStart w:id="13911" w:name="_ETM_Q18_519510"/>
      <w:bookmarkEnd w:id="13911"/>
      <w:r>
        <w:rPr>
          <w:rFonts w:hint="cs"/>
          <w:rtl/>
        </w:rPr>
        <w:t xml:space="preserve">עמד </w:t>
      </w:r>
      <w:bookmarkStart w:id="13912" w:name="_ETM_Q18_519809"/>
      <w:bookmarkEnd w:id="13912"/>
      <w:r>
        <w:rPr>
          <w:rFonts w:hint="cs"/>
          <w:rtl/>
        </w:rPr>
        <w:t xml:space="preserve">כאן </w:t>
      </w:r>
      <w:bookmarkStart w:id="13913" w:name="_ETM_Q18_520079"/>
      <w:bookmarkEnd w:id="13913"/>
      <w:r>
        <w:rPr>
          <w:rFonts w:hint="cs"/>
          <w:rtl/>
        </w:rPr>
        <w:t xml:space="preserve">על </w:t>
      </w:r>
      <w:bookmarkStart w:id="13914" w:name="_ETM_Q18_520230"/>
      <w:bookmarkEnd w:id="13914"/>
      <w:r>
        <w:rPr>
          <w:rFonts w:hint="cs"/>
          <w:rtl/>
        </w:rPr>
        <w:t xml:space="preserve">הבמה </w:t>
      </w:r>
      <w:bookmarkStart w:id="13915" w:name="_ETM_Q18_521309"/>
      <w:bookmarkEnd w:id="13915"/>
      <w:r>
        <w:rPr>
          <w:rFonts w:hint="cs"/>
          <w:rtl/>
        </w:rPr>
        <w:t xml:space="preserve">והציג </w:t>
      </w:r>
      <w:bookmarkStart w:id="13916" w:name="_ETM_Q18_521879"/>
      <w:bookmarkEnd w:id="13916"/>
      <w:r>
        <w:rPr>
          <w:rFonts w:hint="cs"/>
          <w:rtl/>
        </w:rPr>
        <w:t xml:space="preserve">שורה </w:t>
      </w:r>
      <w:bookmarkStart w:id="13917" w:name="_ETM_Q18_522480"/>
      <w:bookmarkEnd w:id="13917"/>
      <w:r>
        <w:rPr>
          <w:rFonts w:hint="cs"/>
          <w:rtl/>
        </w:rPr>
        <w:t xml:space="preserve">של </w:t>
      </w:r>
      <w:bookmarkStart w:id="13918" w:name="_ETM_Q18_522690"/>
      <w:bookmarkEnd w:id="13918"/>
      <w:r>
        <w:rPr>
          <w:rFonts w:hint="cs"/>
          <w:rtl/>
        </w:rPr>
        <w:t xml:space="preserve">פסקי </w:t>
      </w:r>
      <w:bookmarkStart w:id="13919" w:name="_ETM_Q18_523230"/>
      <w:bookmarkEnd w:id="13919"/>
      <w:r>
        <w:rPr>
          <w:rFonts w:hint="cs"/>
          <w:rtl/>
        </w:rPr>
        <w:t xml:space="preserve">דין </w:t>
      </w:r>
      <w:bookmarkStart w:id="13920" w:name="_ETM_Q18_524070"/>
      <w:bookmarkEnd w:id="13920"/>
      <w:r>
        <w:rPr>
          <w:rFonts w:hint="cs"/>
          <w:rtl/>
        </w:rPr>
        <w:t xml:space="preserve">שבהם </w:t>
      </w:r>
      <w:bookmarkStart w:id="13921" w:name="_ETM_Q18_524670"/>
      <w:bookmarkEnd w:id="13921"/>
      <w:r>
        <w:rPr>
          <w:rFonts w:hint="cs"/>
          <w:rtl/>
        </w:rPr>
        <w:t xml:space="preserve">בית </w:t>
      </w:r>
      <w:bookmarkStart w:id="13922" w:name="_ETM_Q18_524940"/>
      <w:bookmarkEnd w:id="13922"/>
      <w:r>
        <w:rPr>
          <w:rFonts w:hint="cs"/>
          <w:rtl/>
        </w:rPr>
        <w:t xml:space="preserve">המשפט </w:t>
      </w:r>
      <w:bookmarkStart w:id="13923" w:name="_ETM_Q18_525480"/>
      <w:bookmarkEnd w:id="13923"/>
      <w:r>
        <w:rPr>
          <w:rFonts w:hint="cs"/>
          <w:rtl/>
        </w:rPr>
        <w:t xml:space="preserve">העליון </w:t>
      </w:r>
      <w:bookmarkStart w:id="13924" w:name="_ETM_Q18_525930"/>
      <w:bookmarkEnd w:id="13924"/>
      <w:r>
        <w:rPr>
          <w:rFonts w:hint="cs"/>
          <w:rtl/>
        </w:rPr>
        <w:t xml:space="preserve">התערב </w:t>
      </w:r>
      <w:bookmarkStart w:id="13925" w:name="_ETM_Q18_526559"/>
      <w:bookmarkEnd w:id="13925"/>
      <w:r>
        <w:rPr>
          <w:rFonts w:hint="cs"/>
          <w:rtl/>
        </w:rPr>
        <w:t xml:space="preserve">בהחלטות </w:t>
      </w:r>
      <w:bookmarkStart w:id="13926" w:name="_ETM_Q18_527279"/>
      <w:bookmarkEnd w:id="13926"/>
      <w:r>
        <w:rPr>
          <w:rFonts w:hint="cs"/>
          <w:rtl/>
        </w:rPr>
        <w:t xml:space="preserve">של </w:t>
      </w:r>
      <w:bookmarkStart w:id="13927" w:name="_ETM_Q18_527460"/>
      <w:bookmarkEnd w:id="13927"/>
      <w:r>
        <w:rPr>
          <w:rFonts w:hint="cs"/>
          <w:rtl/>
        </w:rPr>
        <w:t xml:space="preserve">דרג </w:t>
      </w:r>
      <w:bookmarkStart w:id="13928" w:name="_ETM_Q18_527850"/>
      <w:bookmarkEnd w:id="13928"/>
      <w:r>
        <w:rPr>
          <w:rFonts w:hint="cs"/>
          <w:rtl/>
        </w:rPr>
        <w:t xml:space="preserve">פוליטי </w:t>
      </w:r>
      <w:bookmarkStart w:id="13929" w:name="_ETM_Q18_528750"/>
      <w:bookmarkEnd w:id="13929"/>
      <w:r>
        <w:rPr>
          <w:rFonts w:hint="cs"/>
          <w:rtl/>
        </w:rPr>
        <w:t xml:space="preserve">על </w:t>
      </w:r>
      <w:bookmarkStart w:id="13930" w:name="_ETM_Q18_528930"/>
      <w:bookmarkEnd w:id="13930"/>
      <w:r>
        <w:rPr>
          <w:rFonts w:hint="cs"/>
          <w:rtl/>
        </w:rPr>
        <w:t>בסיס עילת</w:t>
      </w:r>
      <w:bookmarkStart w:id="13931" w:name="_ETM_Q18_529290"/>
      <w:bookmarkStart w:id="13932" w:name="_ETM_Q18_529529"/>
      <w:bookmarkEnd w:id="13931"/>
      <w:bookmarkEnd w:id="13932"/>
      <w:r>
        <w:rPr>
          <w:rFonts w:hint="cs"/>
          <w:rtl/>
        </w:rPr>
        <w:t xml:space="preserve"> </w:t>
      </w:r>
      <w:bookmarkStart w:id="13933" w:name="_ETM_Q18_529649"/>
      <w:bookmarkEnd w:id="13933"/>
      <w:r>
        <w:rPr>
          <w:rFonts w:hint="cs"/>
          <w:rtl/>
        </w:rPr>
        <w:t xml:space="preserve">הסבירות. </w:t>
      </w:r>
      <w:bookmarkStart w:id="13934" w:name="_ETM_Q18_530879"/>
      <w:bookmarkEnd w:id="13934"/>
      <w:r>
        <w:rPr>
          <w:rFonts w:hint="cs"/>
          <w:rtl/>
        </w:rPr>
        <w:t xml:space="preserve">חבר </w:t>
      </w:r>
      <w:bookmarkStart w:id="13935" w:name="_ETM_Q18_531300"/>
      <w:bookmarkEnd w:id="13935"/>
      <w:r>
        <w:rPr>
          <w:rFonts w:hint="cs"/>
          <w:rtl/>
        </w:rPr>
        <w:t xml:space="preserve">הכנסת </w:t>
      </w:r>
      <w:bookmarkStart w:id="13936" w:name="_ETM_Q18_531839"/>
      <w:bookmarkEnd w:id="13936"/>
      <w:r>
        <w:rPr>
          <w:rFonts w:hint="cs"/>
          <w:rtl/>
        </w:rPr>
        <w:t xml:space="preserve">רוטמן </w:t>
      </w:r>
      <w:bookmarkStart w:id="13937" w:name="_ETM_Q18_532710"/>
      <w:bookmarkEnd w:id="13937"/>
      <w:r>
        <w:rPr>
          <w:rFonts w:hint="cs"/>
          <w:rtl/>
        </w:rPr>
        <w:t xml:space="preserve">חושב </w:t>
      </w:r>
      <w:bookmarkStart w:id="13938" w:name="_ETM_Q18_533190"/>
      <w:bookmarkEnd w:id="13938"/>
      <w:r>
        <w:rPr>
          <w:rFonts w:hint="cs"/>
          <w:rtl/>
        </w:rPr>
        <w:t xml:space="preserve">שאזרחי </w:t>
      </w:r>
      <w:bookmarkStart w:id="13939" w:name="_ETM_Q18_533879"/>
      <w:bookmarkEnd w:id="13939"/>
      <w:r>
        <w:rPr>
          <w:rFonts w:hint="cs"/>
          <w:rtl/>
        </w:rPr>
        <w:t xml:space="preserve">ישראל </w:t>
      </w:r>
      <w:bookmarkStart w:id="13940" w:name="_ETM_Q18_534360"/>
      <w:bookmarkEnd w:id="13940"/>
      <w:r>
        <w:rPr>
          <w:rFonts w:hint="cs"/>
          <w:rtl/>
        </w:rPr>
        <w:t xml:space="preserve">טיפשים. </w:t>
      </w:r>
      <w:bookmarkStart w:id="13941" w:name="_ETM_Q18_535500"/>
      <w:bookmarkEnd w:id="13941"/>
      <w:r>
        <w:rPr>
          <w:rFonts w:hint="cs"/>
          <w:rtl/>
        </w:rPr>
        <w:t xml:space="preserve">חבר </w:t>
      </w:r>
      <w:bookmarkStart w:id="13942" w:name="_ETM_Q18_535949"/>
      <w:bookmarkEnd w:id="13942"/>
      <w:r>
        <w:rPr>
          <w:rFonts w:hint="cs"/>
          <w:rtl/>
        </w:rPr>
        <w:t xml:space="preserve">הכנסת רוטמן </w:t>
      </w:r>
      <w:bookmarkStart w:id="13943" w:name="_ETM_Q18_536519"/>
      <w:bookmarkStart w:id="13944" w:name="_ETM_Q18_536970"/>
      <w:bookmarkEnd w:id="13943"/>
      <w:bookmarkEnd w:id="13944"/>
      <w:r>
        <w:rPr>
          <w:rFonts w:hint="cs"/>
          <w:rtl/>
        </w:rPr>
        <w:t xml:space="preserve">חושב </w:t>
      </w:r>
      <w:bookmarkStart w:id="13945" w:name="_ETM_Q18_537390"/>
      <w:bookmarkEnd w:id="13945"/>
      <w:r>
        <w:rPr>
          <w:rFonts w:hint="cs"/>
          <w:rtl/>
        </w:rPr>
        <w:t xml:space="preserve">שהוא </w:t>
      </w:r>
      <w:bookmarkStart w:id="13946" w:name="_ETM_Q18_537570"/>
      <w:bookmarkEnd w:id="13946"/>
      <w:r>
        <w:rPr>
          <w:rFonts w:hint="cs"/>
          <w:rtl/>
        </w:rPr>
        <w:t xml:space="preserve">יכול </w:t>
      </w:r>
      <w:bookmarkStart w:id="13947" w:name="_ETM_Q18_537960"/>
      <w:bookmarkEnd w:id="13947"/>
      <w:r>
        <w:rPr>
          <w:rFonts w:hint="cs"/>
          <w:rtl/>
        </w:rPr>
        <w:t xml:space="preserve">לעמוד </w:t>
      </w:r>
      <w:bookmarkStart w:id="13948" w:name="_ETM_Q18_538379"/>
      <w:bookmarkEnd w:id="13948"/>
      <w:r>
        <w:rPr>
          <w:rFonts w:hint="cs"/>
          <w:rtl/>
        </w:rPr>
        <w:t xml:space="preserve">כאן </w:t>
      </w:r>
      <w:bookmarkStart w:id="13949" w:name="_ETM_Q18_538589"/>
      <w:bookmarkEnd w:id="13949"/>
      <w:r>
        <w:rPr>
          <w:rFonts w:hint="cs"/>
          <w:rtl/>
        </w:rPr>
        <w:t xml:space="preserve">על </w:t>
      </w:r>
      <w:bookmarkStart w:id="13950" w:name="_ETM_Q18_538710"/>
      <w:bookmarkEnd w:id="13950"/>
      <w:r>
        <w:rPr>
          <w:rFonts w:hint="cs"/>
          <w:rtl/>
        </w:rPr>
        <w:t xml:space="preserve">הבמה </w:t>
      </w:r>
      <w:bookmarkStart w:id="13951" w:name="_ETM_Q18_539790"/>
      <w:bookmarkEnd w:id="13951"/>
      <w:r>
        <w:rPr>
          <w:rFonts w:hint="cs"/>
          <w:rtl/>
        </w:rPr>
        <w:t xml:space="preserve">ולהפריח </w:t>
      </w:r>
      <w:bookmarkStart w:id="13952" w:name="_ETM_Q18_541380"/>
      <w:bookmarkEnd w:id="13952"/>
      <w:r>
        <w:rPr>
          <w:rFonts w:hint="cs"/>
          <w:rtl/>
        </w:rPr>
        <w:t xml:space="preserve">שקרים </w:t>
      </w:r>
      <w:bookmarkStart w:id="13953" w:name="_ETM_Q18_542539"/>
      <w:bookmarkEnd w:id="13953"/>
      <w:r>
        <w:rPr>
          <w:rFonts w:hint="cs"/>
          <w:rtl/>
        </w:rPr>
        <w:t xml:space="preserve">באוזני </w:t>
      </w:r>
      <w:bookmarkStart w:id="13954" w:name="_ETM_Q18_543109"/>
      <w:bookmarkEnd w:id="13954"/>
      <w:r>
        <w:rPr>
          <w:rFonts w:hint="cs"/>
          <w:rtl/>
        </w:rPr>
        <w:t xml:space="preserve">הציבור. </w:t>
      </w:r>
      <w:bookmarkStart w:id="13955" w:name="_ETM_Q18_544180"/>
      <w:bookmarkEnd w:id="13955"/>
      <w:r>
        <w:rPr>
          <w:rFonts w:hint="cs"/>
          <w:rtl/>
        </w:rPr>
        <w:t xml:space="preserve">לכו </w:t>
      </w:r>
      <w:bookmarkStart w:id="13956" w:name="_ETM_Q18_544960"/>
      <w:bookmarkEnd w:id="13956"/>
      <w:r>
        <w:rPr>
          <w:rFonts w:hint="cs"/>
          <w:rtl/>
        </w:rPr>
        <w:t xml:space="preserve">בדקו, לכו בדקו </w:t>
      </w:r>
      <w:bookmarkStart w:id="13957" w:name="_ETM_Q18_547920"/>
      <w:bookmarkEnd w:id="13957"/>
      <w:r>
        <w:rPr>
          <w:rFonts w:hint="cs"/>
          <w:rtl/>
        </w:rPr>
        <w:t xml:space="preserve">את </w:t>
      </w:r>
      <w:bookmarkStart w:id="13958" w:name="_ETM_Q18_548159"/>
      <w:bookmarkEnd w:id="13958"/>
      <w:r>
        <w:rPr>
          <w:rFonts w:hint="cs"/>
          <w:rtl/>
        </w:rPr>
        <w:t xml:space="preserve">רשימת </w:t>
      </w:r>
      <w:bookmarkStart w:id="13959" w:name="_ETM_Q18_549200"/>
      <w:bookmarkEnd w:id="13959"/>
      <w:r>
        <w:rPr>
          <w:rFonts w:hint="cs"/>
          <w:rtl/>
        </w:rPr>
        <w:t xml:space="preserve">- </w:t>
      </w:r>
      <w:bookmarkStart w:id="13960" w:name="_ETM_Q18_549000"/>
      <w:bookmarkEnd w:id="13960"/>
      <w:r>
        <w:rPr>
          <w:rFonts w:hint="cs"/>
          <w:rtl/>
        </w:rPr>
        <w:t xml:space="preserve">- - </w:t>
      </w:r>
    </w:p>
    <w:p w:rsidR="000C5C1F" w:rsidRDefault="000C5C1F" w:rsidP="000C5C1F">
      <w:pPr>
        <w:rPr>
          <w:rtl/>
        </w:rPr>
      </w:pPr>
    </w:p>
    <w:p w:rsidR="000C5C1F" w:rsidRDefault="000C5C1F" w:rsidP="000C5C1F">
      <w:pPr>
        <w:pStyle w:val="af8"/>
        <w:keepNext/>
        <w:rPr>
          <w:rtl/>
        </w:rPr>
      </w:pPr>
      <w:bookmarkStart w:id="13961" w:name="ET_interruption_5786_14"/>
      <w:r>
        <w:rPr>
          <w:rStyle w:val="TagStyle"/>
          <w:rFonts w:hint="cs"/>
          <w:rtl/>
        </w:rPr>
        <w:t xml:space="preserve">&lt;&lt; קריאה &gt;&gt; </w:t>
      </w:r>
      <w:r>
        <w:rPr>
          <w:rFonts w:hint="cs"/>
          <w:rtl/>
        </w:rPr>
        <w:t>אופיר כץ (הליכוד):</w:t>
      </w:r>
      <w:r>
        <w:rPr>
          <w:rStyle w:val="TagStyle"/>
          <w:rtl/>
        </w:rPr>
        <w:t xml:space="preserve"> &lt;&lt; קריאה &gt;&gt;</w:t>
      </w:r>
      <w:r>
        <w:rPr>
          <w:rFonts w:hint="cs"/>
          <w:rtl/>
        </w:rPr>
        <w:t xml:space="preserve">  </w:t>
      </w:r>
      <w:bookmarkEnd w:id="13961"/>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אבל איפה הוא? </w:t>
      </w:r>
    </w:p>
    <w:p w:rsidR="000C5C1F" w:rsidRDefault="000C5C1F" w:rsidP="000C5C1F">
      <w:pPr>
        <w:rPr>
          <w:rtl/>
          <w:lang w:eastAsia="he-IL"/>
        </w:rPr>
      </w:pPr>
    </w:p>
    <w:p w:rsidR="000C5C1F" w:rsidRDefault="000C5C1F" w:rsidP="000C5C1F">
      <w:pPr>
        <w:pStyle w:val="-"/>
        <w:keepNext/>
        <w:rPr>
          <w:rtl/>
        </w:rPr>
      </w:pPr>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p>
    <w:p w:rsidR="000C5C1F" w:rsidRDefault="000C5C1F" w:rsidP="00337201">
      <w:pPr>
        <w:rPr>
          <w:rtl/>
          <w:lang w:eastAsia="he-IL"/>
        </w:rPr>
      </w:pPr>
    </w:p>
    <w:p w:rsidR="000C5C1F" w:rsidRDefault="000C5C1F" w:rsidP="000C5C1F">
      <w:pPr>
        <w:rPr>
          <w:rtl/>
        </w:rPr>
      </w:pPr>
      <w:r>
        <w:rPr>
          <w:rFonts w:hint="cs"/>
          <w:rtl/>
          <w:lang w:eastAsia="he-IL"/>
        </w:rPr>
        <w:t>אני באמת לא יודע למה יו"ר הוועדה, שהגי</w:t>
      </w:r>
      <w:bookmarkStart w:id="13962" w:name="_ETM_Q18_554000"/>
      <w:bookmarkEnd w:id="13962"/>
      <w:r>
        <w:rPr>
          <w:rFonts w:hint="cs"/>
          <w:rtl/>
          <w:lang w:eastAsia="he-IL"/>
        </w:rPr>
        <w:t xml:space="preserve">ש את ההצעה כהצעת חוק מטעם הוועדה, ברח מהמליאה ברגע </w:t>
      </w:r>
      <w:bookmarkStart w:id="13963" w:name="_ETM_Q18_559000"/>
      <w:bookmarkEnd w:id="13963"/>
      <w:r>
        <w:rPr>
          <w:rFonts w:hint="cs"/>
          <w:rtl/>
          <w:lang w:eastAsia="he-IL"/>
        </w:rPr>
        <w:t xml:space="preserve">שחברי האופוזיציה התחילו לדבר. אולי כי חבר הכנסת רוטמן הוא בריון פוליטי, שהדבר </w:t>
      </w:r>
      <w:bookmarkStart w:id="13964" w:name="_ETM_Q18_550000"/>
      <w:bookmarkStart w:id="13965" w:name="_ETM_Q18_549440"/>
      <w:bookmarkStart w:id="13966" w:name="_ETM_Q18_549890"/>
      <w:bookmarkStart w:id="13967" w:name="_ETM_Q18_550040"/>
      <w:bookmarkStart w:id="13968" w:name="_ETM_Q18_550670"/>
      <w:bookmarkStart w:id="13969" w:name="_ETM_Q18_550880"/>
      <w:bookmarkStart w:id="13970" w:name="_ETM_Q18_551240"/>
      <w:bookmarkStart w:id="13971" w:name="_ETM_Q18_552229"/>
      <w:bookmarkStart w:id="13972" w:name="_ETM_Q18_552950"/>
      <w:bookmarkStart w:id="13973" w:name="_ETM_Q18_553159"/>
      <w:bookmarkStart w:id="13974" w:name="_ETM_Q18_553760"/>
      <w:bookmarkStart w:id="13975" w:name="_ETM_Q18_554360"/>
      <w:bookmarkStart w:id="13976" w:name="_ETM_Q18_554600"/>
      <w:bookmarkStart w:id="13977" w:name="_ETM_Q18_555050"/>
      <w:bookmarkStart w:id="13978" w:name="_ETM_Q18_555979"/>
      <w:bookmarkStart w:id="13979" w:name="_ETM_Q18_556610"/>
      <w:bookmarkStart w:id="13980" w:name="_ETM_Q18_557779"/>
      <w:bookmarkStart w:id="13981" w:name="_ETM_Q18_558290"/>
      <w:bookmarkStart w:id="13982" w:name="_ETM_Q18_558800"/>
      <w:bookmarkStart w:id="13983" w:name="_ETM_Q18_559490"/>
      <w:bookmarkStart w:id="13984" w:name="_ETM_Q18_559820"/>
      <w:bookmarkStart w:id="13985" w:name="_ETM_Q18_560600"/>
      <w:bookmarkStart w:id="13986" w:name="_ETM_Q18_560960"/>
      <w:bookmarkStart w:id="13987" w:name="_ETM_Q18_561500"/>
      <w:bookmarkStart w:id="13988" w:name="_ETM_Q18_561979"/>
      <w:bookmarkStart w:id="13989" w:name="_ETM_Q18_562250"/>
      <w:bookmarkStart w:id="13990" w:name="_ETM_Q18_562550"/>
      <w:bookmarkStart w:id="13991" w:name="_ETM_Q18_563150"/>
      <w:bookmarkStart w:id="13992" w:name="_ETM_Q18_564229"/>
      <w:bookmarkStart w:id="13993" w:name="_ETM_Q18_564770"/>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r>
        <w:rPr>
          <w:rFonts w:hint="cs"/>
          <w:rtl/>
        </w:rPr>
        <w:t xml:space="preserve">היחיד </w:t>
      </w:r>
      <w:bookmarkStart w:id="13994" w:name="_ETM_Q18_565100"/>
      <w:bookmarkEnd w:id="13994"/>
      <w:r>
        <w:rPr>
          <w:rFonts w:hint="cs"/>
          <w:rtl/>
        </w:rPr>
        <w:t xml:space="preserve">שמעניין </w:t>
      </w:r>
      <w:bookmarkStart w:id="13995" w:name="_ETM_Q18_565760"/>
      <w:bookmarkEnd w:id="13995"/>
      <w:r>
        <w:rPr>
          <w:rFonts w:hint="cs"/>
          <w:rtl/>
        </w:rPr>
        <w:t xml:space="preserve">אותו זה </w:t>
      </w:r>
      <w:bookmarkStart w:id="13996" w:name="_ETM_Q18_566000"/>
      <w:bookmarkEnd w:id="13996"/>
      <w:r>
        <w:rPr>
          <w:rFonts w:hint="cs"/>
          <w:rtl/>
        </w:rPr>
        <w:t xml:space="preserve">לקדם </w:t>
      </w:r>
      <w:bookmarkStart w:id="13997" w:name="_ETM_Q18_566660"/>
      <w:bookmarkEnd w:id="13997"/>
      <w:r>
        <w:rPr>
          <w:rFonts w:hint="cs"/>
          <w:rtl/>
        </w:rPr>
        <w:t xml:space="preserve">את </w:t>
      </w:r>
      <w:bookmarkStart w:id="13998" w:name="_ETM_Q18_566810"/>
      <w:bookmarkEnd w:id="13998"/>
      <w:r>
        <w:rPr>
          <w:rFonts w:hint="cs"/>
          <w:rtl/>
        </w:rPr>
        <w:t xml:space="preserve">האג'נדה </w:t>
      </w:r>
      <w:bookmarkStart w:id="13999" w:name="_ETM_Q18_567350"/>
      <w:bookmarkEnd w:id="13999"/>
      <w:r>
        <w:rPr>
          <w:rFonts w:hint="cs"/>
          <w:rtl/>
        </w:rPr>
        <w:t xml:space="preserve">שלו </w:t>
      </w:r>
      <w:bookmarkStart w:id="14000" w:name="_ETM_Q18_568040"/>
      <w:bookmarkEnd w:id="14000"/>
      <w:r>
        <w:rPr>
          <w:rFonts w:hint="cs"/>
          <w:rtl/>
        </w:rPr>
        <w:t xml:space="preserve">ולא </w:t>
      </w:r>
      <w:bookmarkStart w:id="14001" w:name="_ETM_Q18_568369"/>
      <w:bookmarkEnd w:id="14001"/>
      <w:r>
        <w:rPr>
          <w:rFonts w:hint="cs"/>
          <w:rtl/>
        </w:rPr>
        <w:t xml:space="preserve">לנהל </w:t>
      </w:r>
      <w:bookmarkStart w:id="14002" w:name="_ETM_Q18_568850"/>
      <w:bookmarkEnd w:id="14002"/>
      <w:r>
        <w:rPr>
          <w:rFonts w:hint="cs"/>
          <w:rtl/>
        </w:rPr>
        <w:t xml:space="preserve">את </w:t>
      </w:r>
      <w:bookmarkStart w:id="14003" w:name="_ETM_Q18_568970"/>
      <w:bookmarkEnd w:id="14003"/>
      <w:r>
        <w:rPr>
          <w:rFonts w:hint="cs"/>
          <w:rtl/>
        </w:rPr>
        <w:t xml:space="preserve">ועדת </w:t>
      </w:r>
      <w:bookmarkStart w:id="14004" w:name="_ETM_Q18_569390"/>
      <w:bookmarkEnd w:id="14004"/>
      <w:r>
        <w:rPr>
          <w:rFonts w:hint="cs"/>
          <w:rtl/>
        </w:rPr>
        <w:t xml:space="preserve">החוקה, </w:t>
      </w:r>
      <w:bookmarkStart w:id="14005" w:name="_ETM_Q18_570140"/>
      <w:bookmarkEnd w:id="14005"/>
      <w:r>
        <w:rPr>
          <w:rFonts w:hint="cs"/>
          <w:rtl/>
        </w:rPr>
        <w:t xml:space="preserve">שהייתה </w:t>
      </w:r>
      <w:bookmarkStart w:id="14006" w:name="_ETM_Q18_570770"/>
      <w:bookmarkEnd w:id="14006"/>
      <w:r>
        <w:rPr>
          <w:rFonts w:hint="cs"/>
          <w:rtl/>
        </w:rPr>
        <w:t xml:space="preserve">היהלום </w:t>
      </w:r>
      <w:bookmarkStart w:id="14007" w:name="_ETM_Q18_571130"/>
      <w:bookmarkStart w:id="14008" w:name="_ETM_Q18_571430"/>
      <w:bookmarkEnd w:id="14007"/>
      <w:bookmarkEnd w:id="14008"/>
      <w:r>
        <w:rPr>
          <w:rFonts w:hint="cs"/>
          <w:rtl/>
        </w:rPr>
        <w:t xml:space="preserve">בכתר </w:t>
      </w:r>
      <w:bookmarkStart w:id="14009" w:name="_ETM_Q18_572450"/>
      <w:bookmarkEnd w:id="14009"/>
      <w:r>
        <w:rPr>
          <w:rFonts w:hint="cs"/>
          <w:rtl/>
        </w:rPr>
        <w:t xml:space="preserve">של </w:t>
      </w:r>
      <w:bookmarkStart w:id="14010" w:name="_ETM_Q18_572690"/>
      <w:bookmarkEnd w:id="14010"/>
      <w:r>
        <w:rPr>
          <w:rFonts w:hint="cs"/>
          <w:rtl/>
        </w:rPr>
        <w:t xml:space="preserve">ועדות </w:t>
      </w:r>
      <w:bookmarkStart w:id="14011" w:name="_ETM_Q18_573200"/>
      <w:bookmarkEnd w:id="14011"/>
      <w:r>
        <w:rPr>
          <w:rFonts w:hint="cs"/>
          <w:rtl/>
        </w:rPr>
        <w:t xml:space="preserve">הכנסת </w:t>
      </w:r>
      <w:bookmarkStart w:id="14012" w:name="_ETM_Q18_573800"/>
      <w:bookmarkEnd w:id="14012"/>
      <w:r>
        <w:rPr>
          <w:rFonts w:hint="cs"/>
          <w:rtl/>
        </w:rPr>
        <w:t xml:space="preserve">במשך </w:t>
      </w:r>
      <w:bookmarkStart w:id="14013" w:name="_ETM_Q18_574339"/>
      <w:bookmarkEnd w:id="14013"/>
      <w:r>
        <w:rPr>
          <w:rFonts w:hint="cs"/>
          <w:rtl/>
        </w:rPr>
        <w:t xml:space="preserve">דורות. </w:t>
      </w:r>
      <w:bookmarkStart w:id="14014" w:name="_ETM_Q18_575089"/>
      <w:bookmarkEnd w:id="14014"/>
      <w:r>
        <w:rPr>
          <w:rFonts w:hint="cs"/>
          <w:rtl/>
        </w:rPr>
        <w:t xml:space="preserve">אולי </w:t>
      </w:r>
      <w:bookmarkStart w:id="14015" w:name="_ETM_Q18_575479"/>
      <w:bookmarkEnd w:id="14015"/>
      <w:r>
        <w:rPr>
          <w:rFonts w:hint="cs"/>
          <w:rtl/>
        </w:rPr>
        <w:t xml:space="preserve">בגלל </w:t>
      </w:r>
      <w:bookmarkStart w:id="14016" w:name="_ETM_Q18_575900"/>
      <w:bookmarkEnd w:id="14016"/>
      <w:r>
        <w:rPr>
          <w:rFonts w:hint="cs"/>
          <w:rtl/>
        </w:rPr>
        <w:t xml:space="preserve">הסיבה </w:t>
      </w:r>
      <w:bookmarkStart w:id="14017" w:name="_ETM_Q18_576380"/>
      <w:bookmarkEnd w:id="14017"/>
      <w:r>
        <w:rPr>
          <w:rFonts w:hint="cs"/>
          <w:rtl/>
        </w:rPr>
        <w:t>הזו.</w:t>
      </w:r>
    </w:p>
    <w:p w:rsidR="000C5C1F" w:rsidRDefault="000C5C1F" w:rsidP="000C5C1F">
      <w:pPr>
        <w:rPr>
          <w:rtl/>
        </w:rPr>
      </w:pPr>
    </w:p>
    <w:p w:rsidR="000C5C1F" w:rsidRDefault="000C5C1F" w:rsidP="000C5C1F">
      <w:pPr>
        <w:rPr>
          <w:rtl/>
        </w:rPr>
      </w:pPr>
      <w:bookmarkStart w:id="14018" w:name="_ETM_Q18_578000"/>
      <w:bookmarkStart w:id="14019" w:name="_ETM_Q18_577500"/>
      <w:bookmarkEnd w:id="14018"/>
      <w:bookmarkEnd w:id="14019"/>
      <w:r>
        <w:rPr>
          <w:rFonts w:hint="cs"/>
          <w:rtl/>
        </w:rPr>
        <w:t xml:space="preserve">אז </w:t>
      </w:r>
      <w:bookmarkStart w:id="14020" w:name="_ETM_Q18_577680"/>
      <w:bookmarkEnd w:id="14020"/>
      <w:r>
        <w:rPr>
          <w:rFonts w:hint="cs"/>
          <w:rtl/>
        </w:rPr>
        <w:t xml:space="preserve">רק </w:t>
      </w:r>
      <w:bookmarkStart w:id="14021" w:name="_ETM_Q18_577920"/>
      <w:bookmarkEnd w:id="14021"/>
      <w:r>
        <w:rPr>
          <w:rFonts w:hint="cs"/>
          <w:rtl/>
        </w:rPr>
        <w:t xml:space="preserve">ידעו </w:t>
      </w:r>
      <w:bookmarkStart w:id="14022" w:name="_ETM_Q18_578279"/>
      <w:bookmarkEnd w:id="14022"/>
      <w:r>
        <w:rPr>
          <w:rFonts w:hint="cs"/>
          <w:rtl/>
        </w:rPr>
        <w:t xml:space="preserve">אזרחי </w:t>
      </w:r>
      <w:bookmarkStart w:id="14023" w:name="_ETM_Q18_578759"/>
      <w:bookmarkEnd w:id="14023"/>
      <w:r>
        <w:rPr>
          <w:rFonts w:hint="cs"/>
          <w:rtl/>
        </w:rPr>
        <w:t xml:space="preserve">ישראל </w:t>
      </w:r>
      <w:bookmarkStart w:id="14024" w:name="_ETM_Q18_579689"/>
      <w:bookmarkEnd w:id="14024"/>
      <w:r>
        <w:rPr>
          <w:rFonts w:hint="cs"/>
          <w:rtl/>
        </w:rPr>
        <w:t xml:space="preserve">שחבר </w:t>
      </w:r>
      <w:bookmarkStart w:id="14025" w:name="_ETM_Q18_580200"/>
      <w:bookmarkEnd w:id="14025"/>
      <w:r>
        <w:rPr>
          <w:rFonts w:hint="cs"/>
          <w:rtl/>
        </w:rPr>
        <w:t xml:space="preserve">הכנסת </w:t>
      </w:r>
      <w:bookmarkStart w:id="14026" w:name="_ETM_Q18_580740"/>
      <w:bookmarkEnd w:id="14026"/>
      <w:r>
        <w:rPr>
          <w:rFonts w:hint="cs"/>
          <w:rtl/>
        </w:rPr>
        <w:t xml:space="preserve">רוטמן </w:t>
      </w:r>
      <w:bookmarkStart w:id="14027" w:name="_ETM_Q18_581130"/>
      <w:bookmarkEnd w:id="14027"/>
      <w:r>
        <w:rPr>
          <w:rFonts w:hint="cs"/>
          <w:rtl/>
        </w:rPr>
        <w:t xml:space="preserve">עמד </w:t>
      </w:r>
      <w:bookmarkStart w:id="14028" w:name="_ETM_Q18_581460"/>
      <w:bookmarkEnd w:id="14028"/>
      <w:r>
        <w:rPr>
          <w:rFonts w:hint="cs"/>
          <w:rtl/>
        </w:rPr>
        <w:t xml:space="preserve">כאן </w:t>
      </w:r>
      <w:bookmarkStart w:id="14029" w:name="_ETM_Q18_582730"/>
      <w:bookmarkEnd w:id="14029"/>
      <w:r>
        <w:rPr>
          <w:rFonts w:hint="cs"/>
          <w:rtl/>
        </w:rPr>
        <w:t xml:space="preserve">והזכיר </w:t>
      </w:r>
      <w:bookmarkStart w:id="14030" w:name="_ETM_Q18_583450"/>
      <w:bookmarkEnd w:id="14030"/>
      <w:r>
        <w:rPr>
          <w:rFonts w:hint="cs"/>
          <w:rtl/>
        </w:rPr>
        <w:t xml:space="preserve">פסקי </w:t>
      </w:r>
      <w:bookmarkStart w:id="14031" w:name="_ETM_Q18_583960"/>
      <w:bookmarkEnd w:id="14031"/>
      <w:r>
        <w:rPr>
          <w:rFonts w:hint="cs"/>
          <w:rtl/>
        </w:rPr>
        <w:t xml:space="preserve">דין </w:t>
      </w:r>
      <w:bookmarkStart w:id="14032" w:name="_ETM_Q18_584860"/>
      <w:bookmarkEnd w:id="14032"/>
      <w:r>
        <w:rPr>
          <w:rFonts w:hint="cs"/>
          <w:rtl/>
        </w:rPr>
        <w:t xml:space="preserve">שניתנו </w:t>
      </w:r>
      <w:bookmarkStart w:id="14033" w:name="_ETM_Q18_585610"/>
      <w:bookmarkEnd w:id="14033"/>
      <w:r>
        <w:rPr>
          <w:rFonts w:hint="cs"/>
          <w:rtl/>
        </w:rPr>
        <w:t>לא ע</w:t>
      </w:r>
      <w:bookmarkStart w:id="14034" w:name="_ETM_Q18_585000"/>
      <w:bookmarkEnd w:id="14034"/>
      <w:r>
        <w:rPr>
          <w:rFonts w:hint="cs"/>
          <w:rtl/>
        </w:rPr>
        <w:t xml:space="preserve">ל בסיס עילת הסבירות </w:t>
      </w:r>
      <w:bookmarkStart w:id="14035" w:name="_ETM_Q18_586000"/>
      <w:bookmarkStart w:id="14036" w:name="_ETM_Q18_586570"/>
      <w:bookmarkStart w:id="14037" w:name="_ETM_Q18_586660"/>
      <w:bookmarkStart w:id="14038" w:name="_ETM_Q18_587620"/>
      <w:bookmarkEnd w:id="14035"/>
      <w:bookmarkEnd w:id="14036"/>
      <w:bookmarkEnd w:id="14037"/>
      <w:bookmarkEnd w:id="14038"/>
      <w:r>
        <w:rPr>
          <w:rFonts w:hint="cs"/>
          <w:rtl/>
        </w:rPr>
        <w:t xml:space="preserve">אלא </w:t>
      </w:r>
      <w:bookmarkStart w:id="14039" w:name="_ETM_Q18_587950"/>
      <w:bookmarkEnd w:id="14039"/>
      <w:r>
        <w:rPr>
          <w:rFonts w:hint="cs"/>
          <w:rtl/>
        </w:rPr>
        <w:t xml:space="preserve">על </w:t>
      </w:r>
      <w:bookmarkStart w:id="14040" w:name="_ETM_Q18_588070"/>
      <w:bookmarkEnd w:id="14040"/>
      <w:r>
        <w:rPr>
          <w:rFonts w:hint="cs"/>
          <w:rtl/>
        </w:rPr>
        <w:t>בסיס עילת ה</w:t>
      </w:r>
      <w:bookmarkStart w:id="14041" w:name="_ETM_Q18_588700"/>
      <w:bookmarkStart w:id="14042" w:name="_ETM_Q18_588910"/>
      <w:bookmarkEnd w:id="14041"/>
      <w:bookmarkEnd w:id="14042"/>
      <w:r>
        <w:rPr>
          <w:rFonts w:hint="cs"/>
          <w:rtl/>
        </w:rPr>
        <w:t xml:space="preserve">מידתיות, </w:t>
      </w:r>
      <w:bookmarkStart w:id="14043" w:name="_ETM_Q18_589570"/>
      <w:bookmarkEnd w:id="14043"/>
      <w:r>
        <w:rPr>
          <w:rFonts w:hint="cs"/>
          <w:rtl/>
        </w:rPr>
        <w:t xml:space="preserve">לדוגמה, עילה שהוא טוען </w:t>
      </w:r>
      <w:bookmarkStart w:id="14044" w:name="_ETM_Q18_591000"/>
      <w:bookmarkStart w:id="14045" w:name="_ETM_Q18_590410"/>
      <w:bookmarkStart w:id="14046" w:name="_ETM_Q18_590560"/>
      <w:bookmarkStart w:id="14047" w:name="_ETM_Q18_591010"/>
      <w:bookmarkStart w:id="14048" w:name="_ETM_Q18_591310"/>
      <w:bookmarkStart w:id="14049" w:name="_ETM_Q18_591460"/>
      <w:bookmarkEnd w:id="14044"/>
      <w:bookmarkEnd w:id="14045"/>
      <w:bookmarkEnd w:id="14046"/>
      <w:bookmarkEnd w:id="14047"/>
      <w:bookmarkEnd w:id="14048"/>
      <w:bookmarkEnd w:id="14049"/>
      <w:r>
        <w:rPr>
          <w:rFonts w:hint="cs"/>
          <w:rtl/>
        </w:rPr>
        <w:t xml:space="preserve">שתישאר </w:t>
      </w:r>
      <w:bookmarkStart w:id="14050" w:name="_ETM_Q18_592330"/>
      <w:bookmarkStart w:id="14051" w:name="_ETM_Q18_592690"/>
      <w:bookmarkEnd w:id="14050"/>
      <w:bookmarkEnd w:id="14051"/>
      <w:r>
        <w:rPr>
          <w:rFonts w:hint="cs"/>
          <w:rtl/>
        </w:rPr>
        <w:t xml:space="preserve">ללא כל </w:t>
      </w:r>
      <w:bookmarkStart w:id="14052" w:name="_ETM_Q18_593050"/>
      <w:bookmarkEnd w:id="14052"/>
      <w:r>
        <w:rPr>
          <w:rFonts w:hint="cs"/>
          <w:rtl/>
        </w:rPr>
        <w:t xml:space="preserve">פגע. </w:t>
      </w:r>
      <w:bookmarkStart w:id="14053" w:name="_ETM_Q18_594329"/>
      <w:bookmarkEnd w:id="14053"/>
      <w:r>
        <w:rPr>
          <w:rFonts w:hint="cs"/>
          <w:rtl/>
        </w:rPr>
        <w:t xml:space="preserve">הרי </w:t>
      </w:r>
      <w:bookmarkStart w:id="14054" w:name="_ETM_Q18_594689"/>
      <w:bookmarkEnd w:id="14054"/>
      <w:r>
        <w:rPr>
          <w:rFonts w:hint="cs"/>
          <w:rtl/>
        </w:rPr>
        <w:t xml:space="preserve">הוא </w:t>
      </w:r>
      <w:bookmarkStart w:id="14055" w:name="_ETM_Q18_594839"/>
      <w:bookmarkEnd w:id="14055"/>
      <w:r>
        <w:rPr>
          <w:rFonts w:hint="cs"/>
          <w:rtl/>
        </w:rPr>
        <w:t xml:space="preserve">זה </w:t>
      </w:r>
      <w:bookmarkStart w:id="14056" w:name="_ETM_Q18_595079"/>
      <w:bookmarkEnd w:id="14056"/>
      <w:r>
        <w:rPr>
          <w:rFonts w:hint="cs"/>
          <w:rtl/>
        </w:rPr>
        <w:t xml:space="preserve">שאמר </w:t>
      </w:r>
      <w:bookmarkStart w:id="14057" w:name="_ETM_Q18_595619"/>
      <w:bookmarkEnd w:id="14057"/>
      <w:r>
        <w:rPr>
          <w:rFonts w:hint="cs"/>
          <w:rtl/>
        </w:rPr>
        <w:t xml:space="preserve">לנו </w:t>
      </w:r>
      <w:bookmarkStart w:id="14058" w:name="_ETM_Q18_595889"/>
      <w:bookmarkEnd w:id="14058"/>
      <w:r>
        <w:rPr>
          <w:rFonts w:hint="cs"/>
          <w:rtl/>
        </w:rPr>
        <w:t xml:space="preserve">שבועות: </w:t>
      </w:r>
      <w:bookmarkStart w:id="14059" w:name="_ETM_Q18_597119"/>
      <w:bookmarkEnd w:id="14059"/>
      <w:r>
        <w:rPr>
          <w:rFonts w:hint="cs"/>
          <w:rtl/>
        </w:rPr>
        <w:t xml:space="preserve">אל </w:t>
      </w:r>
      <w:bookmarkStart w:id="14060" w:name="_ETM_Q18_597390"/>
      <w:bookmarkEnd w:id="14060"/>
      <w:r>
        <w:rPr>
          <w:rFonts w:hint="cs"/>
          <w:rtl/>
        </w:rPr>
        <w:t xml:space="preserve">תדאגו </w:t>
      </w:r>
      <w:bookmarkStart w:id="14061" w:name="_ETM_Q18_598020"/>
      <w:bookmarkEnd w:id="14061"/>
      <w:r>
        <w:rPr>
          <w:rFonts w:hint="cs"/>
          <w:rtl/>
        </w:rPr>
        <w:t xml:space="preserve">מביטול </w:t>
      </w:r>
      <w:bookmarkStart w:id="14062" w:name="_ETM_Q18_598680"/>
      <w:bookmarkEnd w:id="14062"/>
      <w:r>
        <w:rPr>
          <w:rFonts w:hint="cs"/>
          <w:rtl/>
        </w:rPr>
        <w:t xml:space="preserve">עילת </w:t>
      </w:r>
      <w:bookmarkStart w:id="14063" w:name="_ETM_Q18_598920"/>
      <w:bookmarkEnd w:id="14063"/>
      <w:r>
        <w:rPr>
          <w:rFonts w:hint="cs"/>
          <w:rtl/>
        </w:rPr>
        <w:t xml:space="preserve">הסבירות, </w:t>
      </w:r>
      <w:bookmarkStart w:id="14064" w:name="_ETM_Q18_599850"/>
      <w:bookmarkEnd w:id="14064"/>
      <w:r>
        <w:rPr>
          <w:rFonts w:hint="cs"/>
          <w:rtl/>
        </w:rPr>
        <w:t xml:space="preserve">הרי </w:t>
      </w:r>
      <w:bookmarkStart w:id="14065" w:name="_ETM_Q18_600180"/>
      <w:bookmarkEnd w:id="14065"/>
      <w:r>
        <w:rPr>
          <w:rFonts w:hint="cs"/>
          <w:rtl/>
        </w:rPr>
        <w:t xml:space="preserve">יש </w:t>
      </w:r>
      <w:bookmarkStart w:id="14066" w:name="_ETM_Q18_600630"/>
      <w:bookmarkEnd w:id="14066"/>
      <w:r>
        <w:rPr>
          <w:rFonts w:hint="cs"/>
          <w:rtl/>
        </w:rPr>
        <w:t xml:space="preserve">את עילת המידתיות. </w:t>
      </w:r>
      <w:bookmarkStart w:id="14067" w:name="_ETM_Q18_600750"/>
      <w:bookmarkStart w:id="14068" w:name="_ETM_Q18_600869"/>
      <w:bookmarkStart w:id="14069" w:name="_ETM_Q18_602010"/>
      <w:bookmarkEnd w:id="14067"/>
      <w:bookmarkEnd w:id="14068"/>
      <w:bookmarkEnd w:id="14069"/>
      <w:r>
        <w:rPr>
          <w:rFonts w:hint="cs"/>
          <w:rtl/>
        </w:rPr>
        <w:t xml:space="preserve">אבל </w:t>
      </w:r>
      <w:bookmarkStart w:id="14070" w:name="_ETM_Q18_602369"/>
      <w:bookmarkEnd w:id="14070"/>
      <w:r>
        <w:rPr>
          <w:rFonts w:hint="cs"/>
          <w:rtl/>
        </w:rPr>
        <w:t xml:space="preserve">היום </w:t>
      </w:r>
      <w:bookmarkStart w:id="14071" w:name="_ETM_Q18_603029"/>
      <w:bookmarkEnd w:id="14071"/>
      <w:r>
        <w:rPr>
          <w:rFonts w:hint="cs"/>
          <w:rtl/>
        </w:rPr>
        <w:t xml:space="preserve">האיש </w:t>
      </w:r>
      <w:bookmarkStart w:id="14072" w:name="_ETM_Q18_603450"/>
      <w:bookmarkEnd w:id="14072"/>
      <w:r>
        <w:rPr>
          <w:rFonts w:hint="cs"/>
          <w:rtl/>
        </w:rPr>
        <w:t>הלא-</w:t>
      </w:r>
      <w:bookmarkStart w:id="14073" w:name="_ETM_Q18_603779"/>
      <w:bookmarkEnd w:id="14073"/>
      <w:r>
        <w:rPr>
          <w:rFonts w:hint="cs"/>
          <w:rtl/>
        </w:rPr>
        <w:t xml:space="preserve">מקצועי </w:t>
      </w:r>
      <w:bookmarkStart w:id="14074" w:name="_ETM_Q18_604470"/>
      <w:bookmarkEnd w:id="14074"/>
      <w:r>
        <w:rPr>
          <w:rFonts w:hint="cs"/>
          <w:rtl/>
        </w:rPr>
        <w:t xml:space="preserve">הזה </w:t>
      </w:r>
      <w:bookmarkStart w:id="14075" w:name="_ETM_Q18_605149"/>
      <w:bookmarkEnd w:id="14075"/>
      <w:r>
        <w:rPr>
          <w:rFonts w:hint="cs"/>
          <w:rtl/>
        </w:rPr>
        <w:t xml:space="preserve">עמד </w:t>
      </w:r>
      <w:bookmarkStart w:id="14076" w:name="_ETM_Q18_605569"/>
      <w:bookmarkEnd w:id="14076"/>
      <w:r>
        <w:rPr>
          <w:rFonts w:hint="cs"/>
          <w:rtl/>
        </w:rPr>
        <w:t xml:space="preserve">כאן </w:t>
      </w:r>
      <w:bookmarkStart w:id="14077" w:name="_ETM_Q18_605869"/>
      <w:bookmarkEnd w:id="14077"/>
      <w:r>
        <w:rPr>
          <w:rFonts w:hint="cs"/>
          <w:rtl/>
        </w:rPr>
        <w:t xml:space="preserve">על </w:t>
      </w:r>
      <w:bookmarkStart w:id="14078" w:name="_ETM_Q18_606020"/>
      <w:bookmarkEnd w:id="14078"/>
      <w:r>
        <w:rPr>
          <w:rFonts w:hint="cs"/>
          <w:rtl/>
        </w:rPr>
        <w:t xml:space="preserve">הבמה </w:t>
      </w:r>
      <w:bookmarkStart w:id="14079" w:name="_ETM_Q18_606829"/>
      <w:bookmarkEnd w:id="14079"/>
      <w:r>
        <w:rPr>
          <w:rFonts w:hint="cs"/>
          <w:rtl/>
        </w:rPr>
        <w:t xml:space="preserve">והקריא </w:t>
      </w:r>
      <w:bookmarkStart w:id="14080" w:name="_ETM_Q18_607429"/>
      <w:bookmarkEnd w:id="14080"/>
      <w:r>
        <w:rPr>
          <w:rFonts w:hint="cs"/>
          <w:rtl/>
        </w:rPr>
        <w:t xml:space="preserve">רשימה </w:t>
      </w:r>
      <w:bookmarkStart w:id="14081" w:name="_ETM_Q18_608029"/>
      <w:bookmarkEnd w:id="14081"/>
      <w:r>
        <w:rPr>
          <w:rFonts w:hint="cs"/>
          <w:rtl/>
        </w:rPr>
        <w:t xml:space="preserve">של </w:t>
      </w:r>
      <w:bookmarkStart w:id="14082" w:name="_ETM_Q18_608269"/>
      <w:bookmarkEnd w:id="14082"/>
      <w:r>
        <w:rPr>
          <w:rFonts w:hint="cs"/>
          <w:rtl/>
        </w:rPr>
        <w:t xml:space="preserve">פסקי </w:t>
      </w:r>
      <w:bookmarkStart w:id="14083" w:name="_ETM_Q18_608720"/>
      <w:bookmarkEnd w:id="14083"/>
      <w:r>
        <w:rPr>
          <w:rFonts w:hint="cs"/>
          <w:rtl/>
        </w:rPr>
        <w:t xml:space="preserve">דין </w:t>
      </w:r>
      <w:bookmarkStart w:id="14084" w:name="_ETM_Q18_609379"/>
      <w:bookmarkEnd w:id="14084"/>
      <w:r>
        <w:rPr>
          <w:rFonts w:hint="cs"/>
          <w:rtl/>
        </w:rPr>
        <w:t xml:space="preserve">שחצי </w:t>
      </w:r>
      <w:bookmarkStart w:id="14085" w:name="_ETM_Q18_610099"/>
      <w:bookmarkEnd w:id="14085"/>
      <w:r>
        <w:rPr>
          <w:rFonts w:hint="cs"/>
          <w:rtl/>
        </w:rPr>
        <w:t xml:space="preserve">מהם </w:t>
      </w:r>
      <w:bookmarkStart w:id="14086" w:name="_ETM_Q18_610790"/>
      <w:bookmarkEnd w:id="14086"/>
      <w:r>
        <w:rPr>
          <w:rFonts w:hint="cs"/>
          <w:rtl/>
        </w:rPr>
        <w:t xml:space="preserve">לא </w:t>
      </w:r>
      <w:bookmarkStart w:id="14087" w:name="_ETM_Q18_611000"/>
      <w:bookmarkEnd w:id="14087"/>
      <w:r>
        <w:rPr>
          <w:rFonts w:hint="cs"/>
          <w:rtl/>
        </w:rPr>
        <w:t xml:space="preserve">קשורים </w:t>
      </w:r>
      <w:bookmarkStart w:id="14088" w:name="_ETM_Q18_611450"/>
      <w:bookmarkEnd w:id="14088"/>
      <w:r>
        <w:rPr>
          <w:rFonts w:hint="cs"/>
          <w:rtl/>
        </w:rPr>
        <w:t xml:space="preserve">לעילת </w:t>
      </w:r>
      <w:bookmarkStart w:id="14089" w:name="_ETM_Q18_611840"/>
      <w:bookmarkStart w:id="14090" w:name="_ETM_Q18_611900"/>
      <w:bookmarkEnd w:id="14089"/>
      <w:bookmarkEnd w:id="14090"/>
      <w:r>
        <w:rPr>
          <w:rFonts w:hint="cs"/>
          <w:rtl/>
        </w:rPr>
        <w:t xml:space="preserve">הסבירות. השילוב </w:t>
      </w:r>
      <w:bookmarkStart w:id="14091" w:name="_ETM_Q18_613090"/>
      <w:bookmarkStart w:id="14092" w:name="_ETM_Q18_614840"/>
      <w:bookmarkEnd w:id="14091"/>
      <w:bookmarkEnd w:id="14092"/>
      <w:r>
        <w:rPr>
          <w:rFonts w:hint="cs"/>
          <w:rtl/>
        </w:rPr>
        <w:t xml:space="preserve">בין </w:t>
      </w:r>
      <w:bookmarkStart w:id="14093" w:name="_ETM_Q18_615320"/>
      <w:bookmarkEnd w:id="14093"/>
      <w:r>
        <w:rPr>
          <w:rFonts w:hint="cs"/>
          <w:rtl/>
        </w:rPr>
        <w:t xml:space="preserve">אובדן </w:t>
      </w:r>
      <w:bookmarkStart w:id="14094" w:name="_ETM_Q18_615890"/>
      <w:bookmarkEnd w:id="14094"/>
      <w:r>
        <w:rPr>
          <w:rFonts w:hint="cs"/>
          <w:rtl/>
        </w:rPr>
        <w:t xml:space="preserve">ערכים </w:t>
      </w:r>
      <w:bookmarkStart w:id="14095" w:name="_ETM_Q18_616340"/>
      <w:bookmarkEnd w:id="14095"/>
      <w:r>
        <w:rPr>
          <w:rFonts w:hint="cs"/>
          <w:rtl/>
        </w:rPr>
        <w:t xml:space="preserve">דמוקרטי </w:t>
      </w:r>
      <w:bookmarkStart w:id="14096" w:name="_ETM_Q18_617489"/>
      <w:bookmarkEnd w:id="14096"/>
      <w:r>
        <w:rPr>
          <w:rFonts w:hint="cs"/>
          <w:rtl/>
        </w:rPr>
        <w:t xml:space="preserve">לבין </w:t>
      </w:r>
      <w:bookmarkStart w:id="14097" w:name="_ETM_Q18_618029"/>
      <w:bookmarkEnd w:id="14097"/>
      <w:r>
        <w:rPr>
          <w:rFonts w:hint="cs"/>
          <w:rtl/>
        </w:rPr>
        <w:t xml:space="preserve">חובבנות </w:t>
      </w:r>
      <w:bookmarkStart w:id="14098" w:name="_ETM_Q18_618959"/>
      <w:bookmarkEnd w:id="14098"/>
      <w:r>
        <w:rPr>
          <w:rFonts w:hint="cs"/>
          <w:rtl/>
        </w:rPr>
        <w:t xml:space="preserve">מקצועית – </w:t>
      </w:r>
      <w:bookmarkStart w:id="14099" w:name="_ETM_Q18_620219"/>
      <w:bookmarkEnd w:id="14099"/>
      <w:r>
        <w:rPr>
          <w:rFonts w:hint="cs"/>
          <w:rtl/>
        </w:rPr>
        <w:t xml:space="preserve">זו </w:t>
      </w:r>
      <w:bookmarkStart w:id="14100" w:name="_ETM_Q18_620519"/>
      <w:bookmarkEnd w:id="14100"/>
      <w:r>
        <w:rPr>
          <w:rFonts w:hint="cs"/>
          <w:rtl/>
        </w:rPr>
        <w:t xml:space="preserve">הסכנה </w:t>
      </w:r>
      <w:bookmarkStart w:id="14101" w:name="_ETM_Q18_621209"/>
      <w:bookmarkEnd w:id="14101"/>
      <w:r>
        <w:rPr>
          <w:rFonts w:hint="cs"/>
          <w:rtl/>
        </w:rPr>
        <w:t xml:space="preserve">הכי </w:t>
      </w:r>
      <w:bookmarkStart w:id="14102" w:name="_ETM_Q18_621419"/>
      <w:bookmarkEnd w:id="14102"/>
      <w:r>
        <w:rPr>
          <w:rFonts w:hint="cs"/>
          <w:rtl/>
        </w:rPr>
        <w:t xml:space="preserve">גדולה </w:t>
      </w:r>
      <w:bookmarkStart w:id="14103" w:name="_ETM_Q18_621840"/>
      <w:bookmarkEnd w:id="14103"/>
      <w:r>
        <w:rPr>
          <w:rFonts w:hint="cs"/>
          <w:rtl/>
        </w:rPr>
        <w:t xml:space="preserve">שלנו, </w:t>
      </w:r>
      <w:bookmarkStart w:id="14104" w:name="_ETM_Q18_622829"/>
      <w:bookmarkEnd w:id="14104"/>
      <w:r>
        <w:rPr>
          <w:rFonts w:hint="cs"/>
          <w:rtl/>
        </w:rPr>
        <w:t xml:space="preserve">גם </w:t>
      </w:r>
      <w:bookmarkStart w:id="14105" w:name="_ETM_Q18_623129"/>
      <w:bookmarkEnd w:id="14105"/>
      <w:r>
        <w:rPr>
          <w:rFonts w:hint="cs"/>
          <w:rtl/>
        </w:rPr>
        <w:t xml:space="preserve">מידיו </w:t>
      </w:r>
      <w:bookmarkStart w:id="14106" w:name="_ETM_Q18_623579"/>
      <w:bookmarkEnd w:id="14106"/>
      <w:r>
        <w:rPr>
          <w:rFonts w:hint="cs"/>
          <w:rtl/>
        </w:rPr>
        <w:t xml:space="preserve">של </w:t>
      </w:r>
      <w:bookmarkStart w:id="14107" w:name="_ETM_Q18_623730"/>
      <w:bookmarkEnd w:id="14107"/>
      <w:r>
        <w:rPr>
          <w:rFonts w:hint="cs"/>
          <w:rtl/>
        </w:rPr>
        <w:t xml:space="preserve">חבר </w:t>
      </w:r>
      <w:bookmarkStart w:id="14108" w:name="_ETM_Q18_624060"/>
      <w:bookmarkEnd w:id="14108"/>
      <w:r>
        <w:rPr>
          <w:rFonts w:hint="cs"/>
          <w:rtl/>
        </w:rPr>
        <w:t xml:space="preserve">הכנסת </w:t>
      </w:r>
      <w:bookmarkStart w:id="14109" w:name="_ETM_Q18_624569"/>
      <w:bookmarkEnd w:id="14109"/>
      <w:r>
        <w:rPr>
          <w:rFonts w:hint="cs"/>
          <w:rtl/>
        </w:rPr>
        <w:t xml:space="preserve">רוטמן </w:t>
      </w:r>
      <w:bookmarkStart w:id="14110" w:name="_ETM_Q18_625469"/>
      <w:bookmarkEnd w:id="14110"/>
      <w:r>
        <w:rPr>
          <w:rFonts w:hint="cs"/>
          <w:rtl/>
        </w:rPr>
        <w:t xml:space="preserve">וגם </w:t>
      </w:r>
      <w:bookmarkStart w:id="14111" w:name="_ETM_Q18_625919"/>
      <w:bookmarkEnd w:id="14111"/>
      <w:r>
        <w:rPr>
          <w:rFonts w:hint="cs"/>
          <w:rtl/>
        </w:rPr>
        <w:t xml:space="preserve">מידיה </w:t>
      </w:r>
      <w:bookmarkStart w:id="14112" w:name="_ETM_Q18_626430"/>
      <w:bookmarkEnd w:id="14112"/>
      <w:r>
        <w:rPr>
          <w:rFonts w:hint="cs"/>
          <w:rtl/>
        </w:rPr>
        <w:t xml:space="preserve">של </w:t>
      </w:r>
      <w:bookmarkStart w:id="14113" w:name="_ETM_Q18_626669"/>
      <w:bookmarkEnd w:id="14113"/>
      <w:r>
        <w:rPr>
          <w:rFonts w:hint="cs"/>
          <w:rtl/>
        </w:rPr>
        <w:t xml:space="preserve">הקואליציה </w:t>
      </w:r>
      <w:bookmarkStart w:id="14114" w:name="_ETM_Q18_627359"/>
      <w:bookmarkEnd w:id="14114"/>
      <w:r>
        <w:rPr>
          <w:rFonts w:hint="cs"/>
          <w:rtl/>
        </w:rPr>
        <w:t>כולה.</w:t>
      </w:r>
    </w:p>
    <w:p w:rsidR="000C5C1F" w:rsidRDefault="000C5C1F" w:rsidP="000C5C1F">
      <w:pPr>
        <w:rPr>
          <w:rtl/>
        </w:rPr>
      </w:pPr>
    </w:p>
    <w:p w:rsidR="000C5C1F" w:rsidRDefault="000C5C1F" w:rsidP="000C5C1F">
      <w:pPr>
        <w:rPr>
          <w:rtl/>
        </w:rPr>
      </w:pPr>
      <w:bookmarkStart w:id="14115" w:name="_ETM_Q18_630000"/>
      <w:bookmarkStart w:id="14116" w:name="_ETM_Q18_628360"/>
      <w:bookmarkEnd w:id="14115"/>
      <w:bookmarkEnd w:id="14116"/>
      <w:r>
        <w:rPr>
          <w:rFonts w:hint="cs"/>
          <w:rtl/>
        </w:rPr>
        <w:t xml:space="preserve">בואו </w:t>
      </w:r>
      <w:bookmarkStart w:id="14117" w:name="_ETM_Q18_628690"/>
      <w:bookmarkEnd w:id="14117"/>
      <w:r>
        <w:rPr>
          <w:rFonts w:hint="cs"/>
          <w:rtl/>
        </w:rPr>
        <w:t xml:space="preserve">נזכיר </w:t>
      </w:r>
      <w:bookmarkStart w:id="14118" w:name="_ETM_Q18_630530"/>
      <w:bookmarkEnd w:id="14118"/>
      <w:r>
        <w:rPr>
          <w:rFonts w:hint="cs"/>
          <w:rtl/>
        </w:rPr>
        <w:t xml:space="preserve">שהצעת </w:t>
      </w:r>
      <w:bookmarkStart w:id="14119" w:name="_ETM_Q18_631190"/>
      <w:bookmarkEnd w:id="14119"/>
      <w:r>
        <w:rPr>
          <w:rFonts w:hint="cs"/>
          <w:rtl/>
        </w:rPr>
        <w:t xml:space="preserve">החוק </w:t>
      </w:r>
      <w:bookmarkStart w:id="14120" w:name="_ETM_Q18_631520"/>
      <w:bookmarkEnd w:id="14120"/>
      <w:r>
        <w:rPr>
          <w:rFonts w:hint="cs"/>
          <w:rtl/>
        </w:rPr>
        <w:t xml:space="preserve">הזו </w:t>
      </w:r>
      <w:bookmarkStart w:id="14121" w:name="_ETM_Q18_631790"/>
      <w:bookmarkEnd w:id="14121"/>
      <w:r>
        <w:rPr>
          <w:rFonts w:hint="cs"/>
          <w:rtl/>
        </w:rPr>
        <w:t xml:space="preserve">לא </w:t>
      </w:r>
      <w:bookmarkStart w:id="14122" w:name="_ETM_Q18_631940"/>
      <w:bookmarkEnd w:id="14122"/>
      <w:r>
        <w:rPr>
          <w:rFonts w:hint="cs"/>
          <w:rtl/>
        </w:rPr>
        <w:t xml:space="preserve">מצמצמת </w:t>
      </w:r>
      <w:bookmarkStart w:id="14123" w:name="_ETM_Q18_632660"/>
      <w:bookmarkEnd w:id="14123"/>
      <w:r>
        <w:rPr>
          <w:rFonts w:hint="cs"/>
          <w:rtl/>
        </w:rPr>
        <w:t xml:space="preserve">את </w:t>
      </w:r>
      <w:bookmarkStart w:id="14124" w:name="_ETM_Q18_632720"/>
      <w:bookmarkEnd w:id="14124"/>
      <w:r>
        <w:rPr>
          <w:rFonts w:hint="cs"/>
          <w:rtl/>
        </w:rPr>
        <w:t>עילת</w:t>
      </w:r>
      <w:bookmarkStart w:id="14125" w:name="_ETM_Q18_632000"/>
      <w:bookmarkEnd w:id="14125"/>
      <w:r>
        <w:rPr>
          <w:rFonts w:hint="cs"/>
          <w:rtl/>
        </w:rPr>
        <w:t xml:space="preserve"> </w:t>
      </w:r>
      <w:bookmarkStart w:id="14126" w:name="_ETM_Q18_633170"/>
      <w:bookmarkEnd w:id="14126"/>
      <w:r>
        <w:rPr>
          <w:rFonts w:hint="cs"/>
          <w:rtl/>
        </w:rPr>
        <w:t xml:space="preserve">הסבירות </w:t>
      </w:r>
      <w:bookmarkStart w:id="14127" w:name="_ETM_Q18_634180"/>
      <w:bookmarkEnd w:id="14127"/>
      <w:r>
        <w:rPr>
          <w:rFonts w:hint="cs"/>
          <w:rtl/>
        </w:rPr>
        <w:t xml:space="preserve">– היא </w:t>
      </w:r>
      <w:bookmarkStart w:id="14128" w:name="_ETM_Q18_634329"/>
      <w:bookmarkEnd w:id="14128"/>
      <w:r>
        <w:rPr>
          <w:rFonts w:hint="cs"/>
          <w:rtl/>
        </w:rPr>
        <w:t xml:space="preserve">מחסלת </w:t>
      </w:r>
      <w:bookmarkStart w:id="14129" w:name="_ETM_Q18_635200"/>
      <w:bookmarkEnd w:id="14129"/>
      <w:r>
        <w:rPr>
          <w:rFonts w:hint="cs"/>
          <w:rtl/>
        </w:rPr>
        <w:t xml:space="preserve">את עילת </w:t>
      </w:r>
      <w:bookmarkStart w:id="14130" w:name="_ETM_Q18_635319"/>
      <w:bookmarkEnd w:id="14130"/>
      <w:r>
        <w:rPr>
          <w:rFonts w:hint="cs"/>
          <w:rtl/>
        </w:rPr>
        <w:t xml:space="preserve"> </w:t>
      </w:r>
      <w:bookmarkStart w:id="14131" w:name="_ETM_Q18_635680"/>
      <w:bookmarkEnd w:id="14131"/>
      <w:r>
        <w:rPr>
          <w:rFonts w:hint="cs"/>
          <w:rtl/>
        </w:rPr>
        <w:t xml:space="preserve">הסבירות </w:t>
      </w:r>
      <w:bookmarkStart w:id="14132" w:name="_ETM_Q18_636579"/>
      <w:bookmarkEnd w:id="14132"/>
      <w:r>
        <w:rPr>
          <w:rFonts w:hint="cs"/>
          <w:rtl/>
        </w:rPr>
        <w:t xml:space="preserve">ויוצרת </w:t>
      </w:r>
      <w:bookmarkStart w:id="14133" w:name="_ETM_Q18_637340"/>
      <w:bookmarkEnd w:id="14133"/>
      <w:r>
        <w:rPr>
          <w:rFonts w:hint="cs"/>
          <w:rtl/>
        </w:rPr>
        <w:t xml:space="preserve">מצב </w:t>
      </w:r>
      <w:bookmarkStart w:id="14134" w:name="_ETM_Q18_637820"/>
      <w:bookmarkEnd w:id="14134"/>
      <w:r>
        <w:rPr>
          <w:rFonts w:hint="cs"/>
          <w:rtl/>
        </w:rPr>
        <w:t xml:space="preserve">שבו </w:t>
      </w:r>
      <w:bookmarkStart w:id="14135" w:name="_ETM_Q18_638300"/>
      <w:bookmarkEnd w:id="14135"/>
      <w:r>
        <w:rPr>
          <w:rFonts w:hint="cs"/>
          <w:rtl/>
        </w:rPr>
        <w:t xml:space="preserve">כל </w:t>
      </w:r>
      <w:bookmarkStart w:id="14136" w:name="_ETM_Q18_638690"/>
      <w:bookmarkEnd w:id="14136"/>
      <w:r>
        <w:rPr>
          <w:rFonts w:hint="cs"/>
          <w:rtl/>
        </w:rPr>
        <w:t xml:space="preserve">החלטה, </w:t>
      </w:r>
      <w:bookmarkStart w:id="14137" w:name="_ETM_Q18_639770"/>
      <w:bookmarkEnd w:id="14137"/>
      <w:r>
        <w:rPr>
          <w:rFonts w:hint="cs"/>
          <w:rtl/>
        </w:rPr>
        <w:t xml:space="preserve">גם </w:t>
      </w:r>
      <w:bookmarkStart w:id="14138" w:name="_ETM_Q18_640160"/>
      <w:bookmarkEnd w:id="14138"/>
      <w:r>
        <w:rPr>
          <w:rFonts w:hint="cs"/>
          <w:rtl/>
        </w:rPr>
        <w:t xml:space="preserve">של </w:t>
      </w:r>
      <w:bookmarkStart w:id="14139" w:name="_ETM_Q18_640370"/>
      <w:bookmarkEnd w:id="14139"/>
      <w:r>
        <w:rPr>
          <w:rFonts w:hint="cs"/>
          <w:rtl/>
        </w:rPr>
        <w:t xml:space="preserve">דרגים </w:t>
      </w:r>
      <w:bookmarkStart w:id="14140" w:name="_ETM_Q18_640760"/>
      <w:bookmarkEnd w:id="14140"/>
      <w:r>
        <w:rPr>
          <w:rFonts w:hint="cs"/>
          <w:rtl/>
        </w:rPr>
        <w:t xml:space="preserve">מקצועיים, </w:t>
      </w:r>
      <w:bookmarkStart w:id="14141" w:name="_ETM_Q18_641920"/>
      <w:bookmarkEnd w:id="14141"/>
      <w:r>
        <w:rPr>
          <w:rFonts w:hint="cs"/>
          <w:rtl/>
        </w:rPr>
        <w:t xml:space="preserve">תוכל </w:t>
      </w:r>
      <w:bookmarkStart w:id="14142" w:name="_ETM_Q18_642459"/>
      <w:bookmarkEnd w:id="14142"/>
      <w:r>
        <w:rPr>
          <w:rFonts w:hint="cs"/>
          <w:rtl/>
        </w:rPr>
        <w:t xml:space="preserve">להיות </w:t>
      </w:r>
      <w:bookmarkStart w:id="14143" w:name="_ETM_Q18_642819"/>
      <w:bookmarkEnd w:id="14143"/>
      <w:r>
        <w:rPr>
          <w:rFonts w:hint="cs"/>
          <w:rtl/>
        </w:rPr>
        <w:t xml:space="preserve">חסינה </w:t>
      </w:r>
      <w:bookmarkStart w:id="14144" w:name="_ETM_Q18_643510"/>
      <w:bookmarkEnd w:id="14144"/>
      <w:r>
        <w:rPr>
          <w:rFonts w:hint="cs"/>
          <w:rtl/>
        </w:rPr>
        <w:t xml:space="preserve">מפני </w:t>
      </w:r>
      <w:bookmarkStart w:id="14145" w:name="_ETM_Q18_643989"/>
      <w:bookmarkEnd w:id="14145"/>
      <w:r>
        <w:rPr>
          <w:rFonts w:hint="cs"/>
          <w:rtl/>
        </w:rPr>
        <w:t xml:space="preserve">ביקורת </w:t>
      </w:r>
      <w:bookmarkStart w:id="14146" w:name="_ETM_Q18_644469"/>
      <w:bookmarkEnd w:id="14146"/>
      <w:r>
        <w:rPr>
          <w:rFonts w:hint="cs"/>
          <w:rtl/>
        </w:rPr>
        <w:t xml:space="preserve">שיפוטית </w:t>
      </w:r>
      <w:bookmarkStart w:id="14147" w:name="_ETM_Q18_645519"/>
      <w:bookmarkEnd w:id="14147"/>
      <w:r>
        <w:rPr>
          <w:rFonts w:hint="cs"/>
          <w:rtl/>
        </w:rPr>
        <w:t xml:space="preserve">ברגע </w:t>
      </w:r>
      <w:bookmarkStart w:id="14148" w:name="_ETM_Q18_646030"/>
      <w:bookmarkEnd w:id="14148"/>
      <w:r>
        <w:rPr>
          <w:rFonts w:hint="cs"/>
          <w:rtl/>
        </w:rPr>
        <w:t xml:space="preserve">שהשר </w:t>
      </w:r>
      <w:bookmarkStart w:id="14149" w:name="_ETM_Q18_646689"/>
      <w:bookmarkEnd w:id="14149"/>
      <w:r>
        <w:rPr>
          <w:rFonts w:hint="cs"/>
          <w:rtl/>
        </w:rPr>
        <w:t xml:space="preserve">יחתום </w:t>
      </w:r>
      <w:bookmarkStart w:id="14150" w:name="_ETM_Q18_647230"/>
      <w:bookmarkEnd w:id="14150"/>
      <w:r>
        <w:rPr>
          <w:rFonts w:hint="cs"/>
          <w:rtl/>
        </w:rPr>
        <w:t xml:space="preserve">גם </w:t>
      </w:r>
      <w:bookmarkStart w:id="14151" w:name="_ETM_Q18_647469"/>
      <w:bookmarkEnd w:id="14151"/>
      <w:r>
        <w:rPr>
          <w:rFonts w:hint="cs"/>
          <w:rtl/>
        </w:rPr>
        <w:t xml:space="preserve">הוא </w:t>
      </w:r>
      <w:bookmarkStart w:id="14152" w:name="_ETM_Q18_647650"/>
      <w:bookmarkEnd w:id="14152"/>
      <w:r>
        <w:rPr>
          <w:rFonts w:hint="cs"/>
          <w:rtl/>
        </w:rPr>
        <w:t xml:space="preserve">על </w:t>
      </w:r>
      <w:bookmarkStart w:id="14153" w:name="_ETM_Q18_647829"/>
      <w:bookmarkEnd w:id="14153"/>
      <w:r>
        <w:rPr>
          <w:rFonts w:hint="cs"/>
          <w:rtl/>
        </w:rPr>
        <w:t xml:space="preserve">ההחלטה. </w:t>
      </w:r>
      <w:bookmarkStart w:id="14154" w:name="_ETM_Q18_648969"/>
      <w:bookmarkEnd w:id="14154"/>
      <w:r>
        <w:rPr>
          <w:rFonts w:hint="cs"/>
          <w:rtl/>
        </w:rPr>
        <w:t>אתם,</w:t>
      </w:r>
      <w:bookmarkStart w:id="14155" w:name="_ETM_Q18_649390"/>
      <w:bookmarkEnd w:id="14155"/>
      <w:r>
        <w:rPr>
          <w:rFonts w:hint="cs"/>
          <w:rtl/>
        </w:rPr>
        <w:t xml:space="preserve"> אזרחי </w:t>
      </w:r>
      <w:bookmarkStart w:id="14156" w:name="_ETM_Q18_649930"/>
      <w:bookmarkEnd w:id="14156"/>
      <w:r>
        <w:rPr>
          <w:rFonts w:hint="cs"/>
          <w:rtl/>
        </w:rPr>
        <w:t xml:space="preserve">ישראל, </w:t>
      </w:r>
      <w:bookmarkStart w:id="14157" w:name="_ETM_Q18_650469"/>
      <w:bookmarkEnd w:id="14157"/>
      <w:r>
        <w:rPr>
          <w:rFonts w:hint="cs"/>
          <w:rtl/>
        </w:rPr>
        <w:t xml:space="preserve">תגישו </w:t>
      </w:r>
      <w:bookmarkStart w:id="14158" w:name="_ETM_Q18_651010"/>
      <w:bookmarkEnd w:id="14158"/>
      <w:r>
        <w:rPr>
          <w:rFonts w:hint="cs"/>
          <w:rtl/>
        </w:rPr>
        <w:t xml:space="preserve">עתירות </w:t>
      </w:r>
      <w:bookmarkStart w:id="14159" w:name="_ETM_Q18_651489"/>
      <w:bookmarkEnd w:id="14159"/>
      <w:r>
        <w:rPr>
          <w:rFonts w:hint="cs"/>
          <w:rtl/>
        </w:rPr>
        <w:t xml:space="preserve">לבתי </w:t>
      </w:r>
      <w:bookmarkStart w:id="14160" w:name="_ETM_Q18_651939"/>
      <w:bookmarkEnd w:id="14160"/>
      <w:r>
        <w:rPr>
          <w:rFonts w:hint="cs"/>
          <w:rtl/>
        </w:rPr>
        <w:t xml:space="preserve">המשפט </w:t>
      </w:r>
      <w:bookmarkStart w:id="14161" w:name="_ETM_Q18_652450"/>
      <w:bookmarkEnd w:id="14161"/>
      <w:r>
        <w:rPr>
          <w:rFonts w:hint="cs"/>
          <w:rtl/>
        </w:rPr>
        <w:t xml:space="preserve">המינהליים, </w:t>
      </w:r>
      <w:bookmarkStart w:id="14162" w:name="_ETM_Q18_653530"/>
      <w:bookmarkEnd w:id="14162"/>
      <w:r>
        <w:rPr>
          <w:rFonts w:hint="cs"/>
          <w:rtl/>
        </w:rPr>
        <w:t xml:space="preserve">ואז, </w:t>
      </w:r>
      <w:bookmarkStart w:id="14163" w:name="_ETM_Q18_653950"/>
      <w:bookmarkEnd w:id="14163"/>
      <w:r>
        <w:rPr>
          <w:rFonts w:hint="cs"/>
          <w:rtl/>
        </w:rPr>
        <w:t xml:space="preserve">לפני </w:t>
      </w:r>
      <w:bookmarkStart w:id="14164" w:name="_ETM_Q18_654310"/>
      <w:bookmarkEnd w:id="14164"/>
      <w:r>
        <w:rPr>
          <w:rFonts w:hint="cs"/>
          <w:rtl/>
        </w:rPr>
        <w:t xml:space="preserve">הדיון </w:t>
      </w:r>
      <w:bookmarkStart w:id="14165" w:name="_ETM_Q18_654730"/>
      <w:bookmarkEnd w:id="14165"/>
      <w:r>
        <w:rPr>
          <w:rFonts w:hint="cs"/>
          <w:rtl/>
        </w:rPr>
        <w:t xml:space="preserve">הראשון </w:t>
      </w:r>
      <w:bookmarkStart w:id="14166" w:name="_ETM_Q18_655850"/>
      <w:bookmarkEnd w:id="14166"/>
      <w:r>
        <w:rPr>
          <w:rFonts w:hint="cs"/>
          <w:rtl/>
        </w:rPr>
        <w:t xml:space="preserve">ירוץ </w:t>
      </w:r>
      <w:bookmarkStart w:id="14167" w:name="_ETM_Q18_656390"/>
      <w:bookmarkEnd w:id="14167"/>
      <w:r>
        <w:rPr>
          <w:rFonts w:hint="cs"/>
          <w:rtl/>
        </w:rPr>
        <w:t xml:space="preserve">אותו </w:t>
      </w:r>
      <w:bookmarkStart w:id="14168" w:name="_ETM_Q18_656690"/>
      <w:bookmarkEnd w:id="14168"/>
      <w:r>
        <w:rPr>
          <w:rFonts w:hint="cs"/>
          <w:rtl/>
        </w:rPr>
        <w:t xml:space="preserve">פקיד </w:t>
      </w:r>
      <w:bookmarkStart w:id="14169" w:name="_ETM_Q18_657080"/>
      <w:bookmarkEnd w:id="14169"/>
      <w:r>
        <w:rPr>
          <w:rFonts w:hint="cs"/>
          <w:rtl/>
        </w:rPr>
        <w:t xml:space="preserve">אל השר </w:t>
      </w:r>
      <w:bookmarkStart w:id="14170" w:name="_ETM_Q18_657620"/>
      <w:bookmarkEnd w:id="14170"/>
      <w:r>
        <w:rPr>
          <w:rFonts w:hint="cs"/>
          <w:rtl/>
        </w:rPr>
        <w:t xml:space="preserve">ויאמר: </w:t>
      </w:r>
      <w:bookmarkStart w:id="14171" w:name="_ETM_Q18_658400"/>
      <w:bookmarkEnd w:id="14171"/>
      <w:r>
        <w:rPr>
          <w:rFonts w:hint="cs"/>
          <w:rtl/>
        </w:rPr>
        <w:t xml:space="preserve">אדוני </w:t>
      </w:r>
      <w:bookmarkStart w:id="14172" w:name="_ETM_Q18_658820"/>
      <w:bookmarkEnd w:id="14172"/>
      <w:r>
        <w:rPr>
          <w:rFonts w:hint="cs"/>
          <w:rtl/>
        </w:rPr>
        <w:t xml:space="preserve">השר, </w:t>
      </w:r>
      <w:bookmarkStart w:id="14173" w:name="_ETM_Q18_659210"/>
      <w:bookmarkEnd w:id="14173"/>
      <w:r>
        <w:rPr>
          <w:rFonts w:hint="cs"/>
          <w:rtl/>
        </w:rPr>
        <w:t xml:space="preserve">בוא </w:t>
      </w:r>
      <w:bookmarkStart w:id="14174" w:name="_ETM_Q18_659390"/>
      <w:bookmarkEnd w:id="14174"/>
      <w:r>
        <w:rPr>
          <w:rFonts w:hint="cs"/>
          <w:rtl/>
        </w:rPr>
        <w:t xml:space="preserve">רגע, </w:t>
      </w:r>
      <w:bookmarkStart w:id="14175" w:name="_ETM_Q18_659660"/>
      <w:bookmarkEnd w:id="14175"/>
      <w:r>
        <w:rPr>
          <w:rFonts w:hint="cs"/>
          <w:rtl/>
        </w:rPr>
        <w:t xml:space="preserve">תחתום </w:t>
      </w:r>
      <w:bookmarkStart w:id="14176" w:name="_ETM_Q18_660140"/>
      <w:bookmarkEnd w:id="14176"/>
      <w:r>
        <w:rPr>
          <w:rFonts w:hint="cs"/>
          <w:rtl/>
        </w:rPr>
        <w:t xml:space="preserve">גם </w:t>
      </w:r>
      <w:bookmarkStart w:id="14177" w:name="_ETM_Q18_660320"/>
      <w:bookmarkEnd w:id="14177"/>
      <w:r>
        <w:rPr>
          <w:rFonts w:hint="cs"/>
          <w:rtl/>
        </w:rPr>
        <w:t xml:space="preserve">אתה </w:t>
      </w:r>
      <w:bookmarkStart w:id="14178" w:name="_ETM_Q18_660680"/>
      <w:bookmarkEnd w:id="14178"/>
      <w:r>
        <w:rPr>
          <w:rFonts w:hint="cs"/>
          <w:rtl/>
        </w:rPr>
        <w:t xml:space="preserve">על ההחלטה. </w:t>
      </w:r>
      <w:bookmarkStart w:id="14179" w:name="_ETM_Q18_661850"/>
      <w:bookmarkEnd w:id="14179"/>
      <w:r>
        <w:rPr>
          <w:rFonts w:hint="cs"/>
          <w:rtl/>
        </w:rPr>
        <w:t xml:space="preserve">ואז </w:t>
      </w:r>
      <w:bookmarkStart w:id="14180" w:name="_ETM_Q18_662450"/>
      <w:bookmarkEnd w:id="14180"/>
      <w:r>
        <w:rPr>
          <w:rFonts w:hint="cs"/>
          <w:rtl/>
        </w:rPr>
        <w:t xml:space="preserve">הדיון </w:t>
      </w:r>
      <w:bookmarkStart w:id="14181" w:name="_ETM_Q18_662990"/>
      <w:bookmarkEnd w:id="14181"/>
      <w:r>
        <w:rPr>
          <w:rFonts w:hint="cs"/>
          <w:rtl/>
        </w:rPr>
        <w:t xml:space="preserve">יתייתר. </w:t>
      </w:r>
      <w:bookmarkStart w:id="14182" w:name="_ETM_Q18_664070"/>
      <w:bookmarkEnd w:id="14182"/>
      <w:r>
        <w:rPr>
          <w:rFonts w:hint="cs"/>
          <w:rtl/>
        </w:rPr>
        <w:t xml:space="preserve">זו </w:t>
      </w:r>
      <w:bookmarkStart w:id="14183" w:name="_ETM_Q18_664460"/>
      <w:bookmarkEnd w:id="14183"/>
      <w:r>
        <w:rPr>
          <w:rFonts w:hint="cs"/>
          <w:rtl/>
        </w:rPr>
        <w:t xml:space="preserve">הבשורה </w:t>
      </w:r>
      <w:bookmarkStart w:id="14184" w:name="_ETM_Q18_664970"/>
      <w:bookmarkEnd w:id="14184"/>
      <w:r>
        <w:rPr>
          <w:rFonts w:hint="cs"/>
          <w:rtl/>
        </w:rPr>
        <w:t xml:space="preserve">של </w:t>
      </w:r>
      <w:bookmarkStart w:id="14185" w:name="_ETM_Q18_665240"/>
      <w:bookmarkEnd w:id="14185"/>
      <w:r>
        <w:rPr>
          <w:rFonts w:hint="cs"/>
          <w:rtl/>
        </w:rPr>
        <w:t xml:space="preserve">הממשלה </w:t>
      </w:r>
      <w:bookmarkStart w:id="14186" w:name="_ETM_Q18_665840"/>
      <w:bookmarkEnd w:id="14186"/>
      <w:r>
        <w:rPr>
          <w:rFonts w:hint="cs"/>
          <w:rtl/>
        </w:rPr>
        <w:t xml:space="preserve">אליכם, </w:t>
      </w:r>
      <w:bookmarkStart w:id="14187" w:name="_ETM_Q18_666260"/>
      <w:bookmarkEnd w:id="14187"/>
      <w:r>
        <w:rPr>
          <w:rFonts w:hint="cs"/>
          <w:rtl/>
        </w:rPr>
        <w:t xml:space="preserve">אזרחי </w:t>
      </w:r>
      <w:bookmarkStart w:id="14188" w:name="_ETM_Q18_666740"/>
      <w:bookmarkEnd w:id="14188"/>
      <w:r>
        <w:rPr>
          <w:rFonts w:hint="cs"/>
          <w:rtl/>
        </w:rPr>
        <w:t xml:space="preserve">ישראל. </w:t>
      </w:r>
      <w:bookmarkStart w:id="14189" w:name="_ETM_Q18_667460"/>
      <w:bookmarkEnd w:id="14189"/>
      <w:r>
        <w:rPr>
          <w:rFonts w:hint="cs"/>
          <w:rtl/>
        </w:rPr>
        <w:t xml:space="preserve">לא </w:t>
      </w:r>
      <w:bookmarkStart w:id="14190" w:name="_ETM_Q18_667970"/>
      <w:bookmarkEnd w:id="14190"/>
      <w:r>
        <w:rPr>
          <w:rFonts w:hint="cs"/>
          <w:rtl/>
        </w:rPr>
        <w:t xml:space="preserve">תוכלו, </w:t>
      </w:r>
      <w:bookmarkStart w:id="14191" w:name="_ETM_Q18_668930"/>
      <w:bookmarkEnd w:id="14191"/>
      <w:r>
        <w:rPr>
          <w:rFonts w:hint="cs"/>
          <w:rtl/>
        </w:rPr>
        <w:t xml:space="preserve">לא </w:t>
      </w:r>
      <w:bookmarkStart w:id="14192" w:name="_ETM_Q18_669290"/>
      <w:bookmarkEnd w:id="14192"/>
      <w:r>
        <w:rPr>
          <w:rFonts w:hint="cs"/>
          <w:rtl/>
        </w:rPr>
        <w:t xml:space="preserve">תוכלו </w:t>
      </w:r>
      <w:bookmarkStart w:id="14193" w:name="_ETM_Q18_669680"/>
      <w:bookmarkEnd w:id="14193"/>
      <w:r>
        <w:rPr>
          <w:rFonts w:hint="cs"/>
          <w:rtl/>
        </w:rPr>
        <w:t xml:space="preserve">לגשת </w:t>
      </w:r>
      <w:bookmarkStart w:id="14194" w:name="_ETM_Q18_670160"/>
      <w:bookmarkEnd w:id="14194"/>
      <w:r>
        <w:rPr>
          <w:rFonts w:hint="cs"/>
          <w:rtl/>
        </w:rPr>
        <w:t xml:space="preserve">לבתי </w:t>
      </w:r>
      <w:bookmarkStart w:id="14195" w:name="_ETM_Q18_670580"/>
      <w:bookmarkEnd w:id="14195"/>
      <w:r>
        <w:rPr>
          <w:rFonts w:hint="cs"/>
          <w:rtl/>
        </w:rPr>
        <w:t xml:space="preserve">המשפט </w:t>
      </w:r>
      <w:bookmarkStart w:id="14196" w:name="_ETM_Q18_671210"/>
      <w:bookmarkEnd w:id="14196"/>
      <w:r>
        <w:rPr>
          <w:rFonts w:hint="cs"/>
          <w:rtl/>
        </w:rPr>
        <w:t xml:space="preserve">על </w:t>
      </w:r>
      <w:bookmarkStart w:id="14197" w:name="_ETM_Q18_671420"/>
      <w:bookmarkEnd w:id="14197"/>
      <w:r>
        <w:rPr>
          <w:rFonts w:hint="cs"/>
          <w:rtl/>
        </w:rPr>
        <w:t xml:space="preserve">אף </w:t>
      </w:r>
      <w:bookmarkStart w:id="14198" w:name="_ETM_Q18_671690"/>
      <w:bookmarkEnd w:id="14198"/>
      <w:r>
        <w:rPr>
          <w:rFonts w:hint="cs"/>
          <w:rtl/>
        </w:rPr>
        <w:t>החלטה</w:t>
      </w:r>
      <w:bookmarkStart w:id="14199" w:name="_ETM_Q18_672050"/>
      <w:bookmarkEnd w:id="14199"/>
      <w:r>
        <w:rPr>
          <w:rFonts w:hint="cs"/>
          <w:rtl/>
        </w:rPr>
        <w:t xml:space="preserve"> שלטונית. </w:t>
      </w:r>
      <w:bookmarkStart w:id="14200" w:name="_ETM_Q18_673390"/>
      <w:bookmarkStart w:id="14201" w:name="_ETM_Q18_676000"/>
      <w:bookmarkEnd w:id="14200"/>
      <w:bookmarkEnd w:id="14201"/>
    </w:p>
    <w:p w:rsidR="000C5C1F" w:rsidRDefault="000C5C1F" w:rsidP="000C5C1F">
      <w:pPr>
        <w:ind w:firstLine="0"/>
        <w:rPr>
          <w:rtl/>
        </w:rPr>
      </w:pPr>
    </w:p>
    <w:p w:rsidR="000C5C1F" w:rsidRDefault="000C5C1F" w:rsidP="000C5C1F">
      <w:pPr>
        <w:rPr>
          <w:rtl/>
        </w:rPr>
      </w:pPr>
      <w:r>
        <w:rPr>
          <w:rFonts w:hint="cs"/>
          <w:rtl/>
        </w:rPr>
        <w:t xml:space="preserve">השקר </w:t>
      </w:r>
      <w:bookmarkStart w:id="14202" w:name="_ETM_Q18_674110"/>
      <w:bookmarkEnd w:id="14202"/>
      <w:r>
        <w:rPr>
          <w:rFonts w:hint="cs"/>
          <w:rtl/>
        </w:rPr>
        <w:t xml:space="preserve">לא </w:t>
      </w:r>
      <w:bookmarkStart w:id="14203" w:name="_ETM_Q18_674290"/>
      <w:bookmarkEnd w:id="14203"/>
      <w:r>
        <w:rPr>
          <w:rFonts w:hint="cs"/>
          <w:rtl/>
        </w:rPr>
        <w:t xml:space="preserve">נגמר </w:t>
      </w:r>
      <w:bookmarkStart w:id="14204" w:name="_ETM_Q18_674860"/>
      <w:bookmarkEnd w:id="14204"/>
      <w:r>
        <w:rPr>
          <w:rFonts w:hint="cs"/>
          <w:rtl/>
        </w:rPr>
        <w:t xml:space="preserve">כאן. </w:t>
      </w:r>
      <w:bookmarkStart w:id="14205" w:name="_ETM_Q18_675730"/>
      <w:bookmarkStart w:id="14206" w:name="_ETM_Q18_677000"/>
      <w:bookmarkStart w:id="14207" w:name="_ETM_Q18_678000"/>
      <w:bookmarkEnd w:id="14205"/>
      <w:bookmarkEnd w:id="14206"/>
      <w:bookmarkEnd w:id="14207"/>
      <w:r>
        <w:rPr>
          <w:rFonts w:hint="cs"/>
          <w:rtl/>
        </w:rPr>
        <w:t xml:space="preserve">מספרים </w:t>
      </w:r>
      <w:bookmarkStart w:id="14208" w:name="_ETM_Q18_676480"/>
      <w:bookmarkEnd w:id="14208"/>
      <w:r>
        <w:rPr>
          <w:rFonts w:hint="cs"/>
          <w:rtl/>
        </w:rPr>
        <w:t xml:space="preserve">לכם </w:t>
      </w:r>
      <w:bookmarkStart w:id="14209" w:name="_ETM_Q18_677470"/>
      <w:bookmarkEnd w:id="14209"/>
      <w:r>
        <w:rPr>
          <w:rFonts w:hint="cs"/>
          <w:rtl/>
        </w:rPr>
        <w:t xml:space="preserve">שהצעת </w:t>
      </w:r>
      <w:bookmarkStart w:id="14210" w:name="_ETM_Q18_678160"/>
      <w:bookmarkEnd w:id="14210"/>
      <w:r>
        <w:rPr>
          <w:rFonts w:hint="cs"/>
          <w:rtl/>
        </w:rPr>
        <w:t xml:space="preserve">החוק </w:t>
      </w:r>
      <w:bookmarkStart w:id="14211" w:name="_ETM_Q18_678379"/>
      <w:bookmarkEnd w:id="14211"/>
      <w:r>
        <w:rPr>
          <w:rFonts w:hint="cs"/>
          <w:rtl/>
        </w:rPr>
        <w:t xml:space="preserve">הזאת נועדה לאזן </w:t>
      </w:r>
      <w:bookmarkStart w:id="14212" w:name="_ETM_Q18_680000"/>
      <w:bookmarkEnd w:id="14212"/>
      <w:r>
        <w:rPr>
          <w:rFonts w:hint="cs"/>
          <w:rtl/>
        </w:rPr>
        <w:t xml:space="preserve">מחדש את </w:t>
      </w:r>
      <w:bookmarkStart w:id="14213" w:name="_ETM_Q18_678559"/>
      <w:bookmarkStart w:id="14214" w:name="_ETM_Q18_679040"/>
      <w:bookmarkStart w:id="14215" w:name="_ETM_Q18_679669"/>
      <w:bookmarkStart w:id="14216" w:name="_ETM_Q18_679939"/>
      <w:bookmarkStart w:id="14217" w:name="_ETM_Q18_680540"/>
      <w:bookmarkStart w:id="14218" w:name="_ETM_Q18_680599"/>
      <w:bookmarkEnd w:id="14213"/>
      <w:bookmarkEnd w:id="14214"/>
      <w:bookmarkEnd w:id="14215"/>
      <w:bookmarkEnd w:id="14216"/>
      <w:bookmarkEnd w:id="14217"/>
      <w:bookmarkEnd w:id="14218"/>
      <w:r>
        <w:rPr>
          <w:rFonts w:hint="cs"/>
          <w:rtl/>
        </w:rPr>
        <w:t xml:space="preserve">הדברים, </w:t>
      </w:r>
      <w:bookmarkStart w:id="14219" w:name="_ETM_Q18_681469"/>
      <w:bookmarkEnd w:id="14219"/>
      <w:r>
        <w:rPr>
          <w:rFonts w:hint="cs"/>
          <w:rtl/>
        </w:rPr>
        <w:t xml:space="preserve">להחזיר </w:t>
      </w:r>
      <w:bookmarkStart w:id="14220" w:name="_ETM_Q18_682219"/>
      <w:bookmarkEnd w:id="14220"/>
      <w:r>
        <w:rPr>
          <w:rFonts w:hint="cs"/>
          <w:rtl/>
        </w:rPr>
        <w:t xml:space="preserve">אותנו </w:t>
      </w:r>
      <w:bookmarkStart w:id="14221" w:name="_ETM_Q18_682609"/>
      <w:bookmarkEnd w:id="14221"/>
      <w:r>
        <w:rPr>
          <w:rFonts w:hint="cs"/>
          <w:rtl/>
        </w:rPr>
        <w:t xml:space="preserve">לאחור, </w:t>
      </w:r>
      <w:bookmarkStart w:id="14222" w:name="_ETM_Q18_683209"/>
      <w:bookmarkEnd w:id="14222"/>
      <w:r>
        <w:rPr>
          <w:rFonts w:hint="cs"/>
          <w:rtl/>
        </w:rPr>
        <w:t xml:space="preserve">לעידן </w:t>
      </w:r>
      <w:bookmarkStart w:id="14223" w:name="_ETM_Q18_683779"/>
      <w:bookmarkEnd w:id="14223"/>
      <w:r>
        <w:rPr>
          <w:rFonts w:hint="cs"/>
          <w:rtl/>
        </w:rPr>
        <w:t xml:space="preserve">שלפני </w:t>
      </w:r>
      <w:bookmarkStart w:id="14224" w:name="_ETM_Q18_684469"/>
      <w:bookmarkEnd w:id="14224"/>
      <w:r>
        <w:rPr>
          <w:rFonts w:hint="cs"/>
          <w:rtl/>
        </w:rPr>
        <w:t xml:space="preserve">מהלכיו </w:t>
      </w:r>
      <w:bookmarkStart w:id="14225" w:name="_ETM_Q18_685519"/>
      <w:bookmarkEnd w:id="14225"/>
      <w:r>
        <w:rPr>
          <w:rFonts w:hint="cs"/>
          <w:rtl/>
        </w:rPr>
        <w:t xml:space="preserve">של </w:t>
      </w:r>
      <w:bookmarkStart w:id="14226" w:name="_ETM_Q18_685790"/>
      <w:bookmarkEnd w:id="14226"/>
      <w:r>
        <w:rPr>
          <w:rFonts w:hint="cs"/>
          <w:rtl/>
        </w:rPr>
        <w:t xml:space="preserve">הנשיא </w:t>
      </w:r>
      <w:bookmarkStart w:id="14227" w:name="_ETM_Q18_686180"/>
      <w:bookmarkEnd w:id="14227"/>
      <w:r>
        <w:rPr>
          <w:rFonts w:hint="cs"/>
          <w:rtl/>
        </w:rPr>
        <w:t xml:space="preserve">בדימוס </w:t>
      </w:r>
      <w:bookmarkStart w:id="14228" w:name="_ETM_Q18_686749"/>
      <w:bookmarkEnd w:id="14228"/>
      <w:r>
        <w:rPr>
          <w:rFonts w:hint="cs"/>
          <w:rtl/>
        </w:rPr>
        <w:t xml:space="preserve">ברק. </w:t>
      </w:r>
      <w:bookmarkStart w:id="14229" w:name="_ETM_Q18_687670"/>
      <w:bookmarkEnd w:id="14229"/>
      <w:r>
        <w:rPr>
          <w:rFonts w:hint="cs"/>
          <w:rtl/>
        </w:rPr>
        <w:t xml:space="preserve">שקר </w:t>
      </w:r>
      <w:bookmarkStart w:id="14230" w:name="_ETM_Q18_688390"/>
      <w:bookmarkEnd w:id="14230"/>
      <w:r>
        <w:rPr>
          <w:rFonts w:hint="cs"/>
          <w:rtl/>
        </w:rPr>
        <w:t xml:space="preserve">מוחלט. </w:t>
      </w:r>
      <w:bookmarkStart w:id="14231" w:name="_ETM_Q18_689409"/>
      <w:bookmarkEnd w:id="14231"/>
      <w:r>
        <w:rPr>
          <w:rFonts w:hint="cs"/>
          <w:rtl/>
        </w:rPr>
        <w:t xml:space="preserve">הצעת </w:t>
      </w:r>
      <w:bookmarkStart w:id="14232" w:name="_ETM_Q18_690069"/>
      <w:bookmarkEnd w:id="14232"/>
      <w:r>
        <w:rPr>
          <w:rFonts w:hint="cs"/>
          <w:rtl/>
        </w:rPr>
        <w:t xml:space="preserve">החוק </w:t>
      </w:r>
      <w:bookmarkStart w:id="14233" w:name="_ETM_Q18_690459"/>
      <w:bookmarkEnd w:id="14233"/>
      <w:r>
        <w:rPr>
          <w:rFonts w:hint="cs"/>
          <w:rtl/>
        </w:rPr>
        <w:t xml:space="preserve">הזו </w:t>
      </w:r>
      <w:bookmarkStart w:id="14234" w:name="_ETM_Q18_691190"/>
      <w:bookmarkEnd w:id="14234"/>
      <w:r>
        <w:rPr>
          <w:rFonts w:hint="cs"/>
          <w:rtl/>
        </w:rPr>
        <w:t xml:space="preserve">לא </w:t>
      </w:r>
      <w:bookmarkStart w:id="14235" w:name="_ETM_Q18_691430"/>
      <w:bookmarkEnd w:id="14235"/>
      <w:r>
        <w:rPr>
          <w:rFonts w:hint="cs"/>
          <w:rtl/>
        </w:rPr>
        <w:t xml:space="preserve">מסיגה </w:t>
      </w:r>
      <w:bookmarkStart w:id="14236" w:name="_ETM_Q18_691970"/>
      <w:bookmarkEnd w:id="14236"/>
      <w:r>
        <w:rPr>
          <w:rFonts w:hint="cs"/>
          <w:rtl/>
        </w:rPr>
        <w:t xml:space="preserve">אותנו </w:t>
      </w:r>
      <w:bookmarkStart w:id="14237" w:name="_ETM_Q18_692420"/>
      <w:bookmarkEnd w:id="14237"/>
      <w:r>
        <w:rPr>
          <w:rFonts w:hint="cs"/>
          <w:rtl/>
        </w:rPr>
        <w:t xml:space="preserve">לסוף </w:t>
      </w:r>
      <w:bookmarkStart w:id="14238" w:name="_ETM_Q18_692840"/>
      <w:bookmarkEnd w:id="14238"/>
      <w:r>
        <w:rPr>
          <w:rFonts w:hint="cs"/>
          <w:rtl/>
        </w:rPr>
        <w:t xml:space="preserve">שנות </w:t>
      </w:r>
      <w:bookmarkStart w:id="14239" w:name="_ETM_Q18_693110"/>
      <w:bookmarkEnd w:id="14239"/>
      <w:r>
        <w:rPr>
          <w:rFonts w:hint="cs"/>
          <w:rtl/>
        </w:rPr>
        <w:t>השבעים</w:t>
      </w:r>
      <w:bookmarkStart w:id="14240" w:name="_ETM_Q18_693980"/>
      <w:bookmarkEnd w:id="14240"/>
      <w:r>
        <w:rPr>
          <w:rFonts w:hint="cs"/>
          <w:rtl/>
        </w:rPr>
        <w:t xml:space="preserve">, אלא </w:t>
      </w:r>
      <w:bookmarkStart w:id="14241" w:name="_ETM_Q18_694250"/>
      <w:bookmarkEnd w:id="14241"/>
      <w:r>
        <w:rPr>
          <w:rFonts w:hint="cs"/>
          <w:rtl/>
        </w:rPr>
        <w:t xml:space="preserve">היא </w:t>
      </w:r>
      <w:bookmarkStart w:id="14242" w:name="_ETM_Q18_694370"/>
      <w:bookmarkEnd w:id="14242"/>
      <w:r>
        <w:rPr>
          <w:rFonts w:hint="cs"/>
          <w:rtl/>
        </w:rPr>
        <w:t xml:space="preserve">מבטלת </w:t>
      </w:r>
      <w:bookmarkStart w:id="14243" w:name="_ETM_Q18_695150"/>
      <w:bookmarkEnd w:id="14243"/>
      <w:r>
        <w:rPr>
          <w:rFonts w:hint="cs"/>
          <w:rtl/>
        </w:rPr>
        <w:t xml:space="preserve">לחלוטין </w:t>
      </w:r>
      <w:bookmarkStart w:id="14244" w:name="_ETM_Q18_695870"/>
      <w:bookmarkEnd w:id="14244"/>
      <w:r>
        <w:rPr>
          <w:rFonts w:hint="cs"/>
          <w:rtl/>
        </w:rPr>
        <w:t xml:space="preserve">את </w:t>
      </w:r>
      <w:bookmarkStart w:id="14245" w:name="_ETM_Q18_695960"/>
      <w:bookmarkEnd w:id="14245"/>
      <w:r>
        <w:rPr>
          <w:rFonts w:hint="cs"/>
          <w:rtl/>
        </w:rPr>
        <w:t xml:space="preserve">הדוקטרינה </w:t>
      </w:r>
      <w:bookmarkStart w:id="14246" w:name="_ETM_Q18_696590"/>
      <w:bookmarkEnd w:id="14246"/>
      <w:r>
        <w:rPr>
          <w:rFonts w:hint="cs"/>
          <w:rtl/>
        </w:rPr>
        <w:t xml:space="preserve">של </w:t>
      </w:r>
      <w:bookmarkStart w:id="14247" w:name="_ETM_Q18_696890"/>
      <w:bookmarkEnd w:id="14247"/>
      <w:r>
        <w:rPr>
          <w:rFonts w:hint="cs"/>
          <w:rtl/>
        </w:rPr>
        <w:t xml:space="preserve">הסבירות, </w:t>
      </w:r>
      <w:bookmarkStart w:id="14248" w:name="_ETM_Q18_697790"/>
      <w:bookmarkEnd w:id="14248"/>
      <w:r>
        <w:rPr>
          <w:rFonts w:hint="cs"/>
          <w:rtl/>
        </w:rPr>
        <w:t xml:space="preserve">גם </w:t>
      </w:r>
      <w:bookmarkStart w:id="14249" w:name="_ETM_Q18_698150"/>
      <w:bookmarkEnd w:id="14249"/>
      <w:r>
        <w:rPr>
          <w:rFonts w:hint="cs"/>
          <w:rtl/>
        </w:rPr>
        <w:t xml:space="preserve">זו </w:t>
      </w:r>
      <w:bookmarkStart w:id="14250" w:name="_ETM_Q18_698450"/>
      <w:bookmarkEnd w:id="14250"/>
      <w:r>
        <w:rPr>
          <w:rFonts w:hint="cs"/>
          <w:rtl/>
        </w:rPr>
        <w:t xml:space="preserve">שנהגה </w:t>
      </w:r>
      <w:bookmarkStart w:id="14251" w:name="_ETM_Q18_699139"/>
      <w:bookmarkEnd w:id="14251"/>
      <w:r>
        <w:rPr>
          <w:rFonts w:hint="cs"/>
          <w:rtl/>
        </w:rPr>
        <w:t xml:space="preserve">כאן </w:t>
      </w:r>
      <w:bookmarkStart w:id="14252" w:name="_ETM_Q18_699529"/>
      <w:bookmarkEnd w:id="14252"/>
      <w:r>
        <w:rPr>
          <w:rFonts w:hint="cs"/>
          <w:rtl/>
        </w:rPr>
        <w:t xml:space="preserve">בשנות </w:t>
      </w:r>
      <w:bookmarkStart w:id="14253" w:name="_ETM_Q18_699980"/>
      <w:bookmarkEnd w:id="14253"/>
      <w:r>
        <w:rPr>
          <w:rFonts w:hint="cs"/>
          <w:rtl/>
        </w:rPr>
        <w:t xml:space="preserve">החמישים, </w:t>
      </w:r>
      <w:bookmarkStart w:id="14254" w:name="_ETM_Q18_700969"/>
      <w:bookmarkEnd w:id="14254"/>
      <w:r>
        <w:rPr>
          <w:rFonts w:hint="cs"/>
          <w:rtl/>
        </w:rPr>
        <w:t xml:space="preserve">השישים </w:t>
      </w:r>
      <w:bookmarkStart w:id="14255" w:name="_ETM_Q18_701749"/>
      <w:bookmarkEnd w:id="14255"/>
      <w:r>
        <w:rPr>
          <w:rFonts w:hint="cs"/>
          <w:rtl/>
        </w:rPr>
        <w:t xml:space="preserve">והשבעים, זו </w:t>
      </w:r>
      <w:bookmarkStart w:id="14256" w:name="_ETM_Q18_703249"/>
      <w:bookmarkEnd w:id="14256"/>
      <w:r>
        <w:rPr>
          <w:rFonts w:hint="cs"/>
          <w:rtl/>
        </w:rPr>
        <w:t xml:space="preserve">שקיימת </w:t>
      </w:r>
      <w:bookmarkStart w:id="14257" w:name="_ETM_Q18_704090"/>
      <w:bookmarkEnd w:id="14257"/>
      <w:r>
        <w:rPr>
          <w:rFonts w:hint="cs"/>
          <w:rtl/>
        </w:rPr>
        <w:t xml:space="preserve">ברוב </w:t>
      </w:r>
      <w:bookmarkStart w:id="14258" w:name="_ETM_Q18_704450"/>
      <w:bookmarkEnd w:id="14258"/>
      <w:r>
        <w:rPr>
          <w:rFonts w:hint="cs"/>
          <w:rtl/>
        </w:rPr>
        <w:t xml:space="preserve">המכריע </w:t>
      </w:r>
      <w:bookmarkStart w:id="14259" w:name="_ETM_Q18_704959"/>
      <w:bookmarkEnd w:id="14259"/>
      <w:r>
        <w:rPr>
          <w:rFonts w:hint="cs"/>
          <w:rtl/>
        </w:rPr>
        <w:t xml:space="preserve">של </w:t>
      </w:r>
      <w:bookmarkStart w:id="14260" w:name="_ETM_Q18_705169"/>
      <w:bookmarkEnd w:id="14260"/>
      <w:r>
        <w:rPr>
          <w:rFonts w:hint="cs"/>
          <w:rtl/>
        </w:rPr>
        <w:t xml:space="preserve">מדינות </w:t>
      </w:r>
      <w:bookmarkStart w:id="14261" w:name="_ETM_Q18_705679"/>
      <w:bookmarkEnd w:id="14261"/>
      <w:r>
        <w:rPr>
          <w:rFonts w:hint="cs"/>
          <w:rtl/>
        </w:rPr>
        <w:t xml:space="preserve">העולם </w:t>
      </w:r>
      <w:bookmarkStart w:id="14262" w:name="_ETM_Q18_706099"/>
      <w:bookmarkEnd w:id="14262"/>
      <w:r>
        <w:rPr>
          <w:rFonts w:hint="cs"/>
          <w:rtl/>
        </w:rPr>
        <w:t xml:space="preserve">הדמוקרטי. </w:t>
      </w:r>
      <w:bookmarkStart w:id="14263" w:name="_ETM_Q18_707500"/>
      <w:bookmarkEnd w:id="14263"/>
      <w:r>
        <w:rPr>
          <w:rFonts w:hint="cs"/>
          <w:rtl/>
        </w:rPr>
        <w:t xml:space="preserve">הצעת </w:t>
      </w:r>
      <w:bookmarkStart w:id="14264" w:name="_ETM_Q18_708069"/>
      <w:bookmarkEnd w:id="14264"/>
      <w:r>
        <w:rPr>
          <w:rFonts w:hint="cs"/>
          <w:rtl/>
        </w:rPr>
        <w:t xml:space="preserve">החוק </w:t>
      </w:r>
      <w:bookmarkStart w:id="14265" w:name="_ETM_Q18_708400"/>
      <w:bookmarkEnd w:id="14265"/>
      <w:r>
        <w:rPr>
          <w:rFonts w:hint="cs"/>
          <w:rtl/>
        </w:rPr>
        <w:t xml:space="preserve">הזו </w:t>
      </w:r>
      <w:bookmarkStart w:id="14266" w:name="_ETM_Q18_708849"/>
      <w:bookmarkEnd w:id="14266"/>
      <w:r>
        <w:rPr>
          <w:rFonts w:hint="cs"/>
          <w:rtl/>
        </w:rPr>
        <w:t xml:space="preserve">אינה </w:t>
      </w:r>
      <w:bookmarkStart w:id="14267" w:name="_ETM_Q18_709209"/>
      <w:bookmarkEnd w:id="14267"/>
      <w:r>
        <w:rPr>
          <w:rFonts w:hint="cs"/>
          <w:rtl/>
        </w:rPr>
        <w:t xml:space="preserve">מייסדת </w:t>
      </w:r>
      <w:bookmarkStart w:id="14268" w:name="_ETM_Q18_709929"/>
      <w:bookmarkEnd w:id="14268"/>
      <w:r>
        <w:rPr>
          <w:rFonts w:hint="cs"/>
          <w:rtl/>
        </w:rPr>
        <w:t xml:space="preserve">מנגנונים </w:t>
      </w:r>
      <w:bookmarkStart w:id="14269" w:name="_ETM_Q18_710559"/>
      <w:bookmarkEnd w:id="14269"/>
      <w:r>
        <w:rPr>
          <w:rFonts w:hint="cs"/>
          <w:rtl/>
        </w:rPr>
        <w:t xml:space="preserve">אלטרנטיביים </w:t>
      </w:r>
      <w:bookmarkStart w:id="14270" w:name="_ETM_Q18_711730"/>
      <w:bookmarkEnd w:id="14270"/>
      <w:r>
        <w:rPr>
          <w:rFonts w:hint="cs"/>
          <w:rtl/>
        </w:rPr>
        <w:t xml:space="preserve">לביקורת </w:t>
      </w:r>
      <w:bookmarkStart w:id="14271" w:name="_ETM_Q18_712390"/>
      <w:bookmarkEnd w:id="14271"/>
      <w:r>
        <w:rPr>
          <w:rFonts w:hint="cs"/>
          <w:rtl/>
        </w:rPr>
        <w:t xml:space="preserve">השיפוטית. </w:t>
      </w:r>
      <w:bookmarkStart w:id="14272" w:name="_ETM_Q18_713500"/>
      <w:bookmarkEnd w:id="14272"/>
      <w:r>
        <w:rPr>
          <w:rFonts w:hint="cs"/>
          <w:rtl/>
        </w:rPr>
        <w:t xml:space="preserve">החבורה </w:t>
      </w:r>
      <w:bookmarkStart w:id="14273" w:name="_ETM_Q18_714129"/>
      <w:bookmarkEnd w:id="14273"/>
      <w:r>
        <w:rPr>
          <w:rFonts w:hint="cs"/>
          <w:rtl/>
        </w:rPr>
        <w:t xml:space="preserve">הזו </w:t>
      </w:r>
      <w:bookmarkStart w:id="14274" w:name="_ETM_Q18_714459"/>
      <w:bookmarkEnd w:id="14274"/>
      <w:r>
        <w:rPr>
          <w:rFonts w:hint="cs"/>
          <w:rtl/>
        </w:rPr>
        <w:t xml:space="preserve">מדברת </w:t>
      </w:r>
      <w:bookmarkStart w:id="14275" w:name="_ETM_Q18_715059"/>
      <w:bookmarkEnd w:id="14275"/>
      <w:r>
        <w:rPr>
          <w:rFonts w:hint="cs"/>
          <w:rtl/>
        </w:rPr>
        <w:t>גבוהה-</w:t>
      </w:r>
      <w:bookmarkStart w:id="14276" w:name="_ETM_Q18_715480"/>
      <w:bookmarkEnd w:id="14276"/>
      <w:r>
        <w:rPr>
          <w:rFonts w:hint="cs"/>
          <w:rtl/>
        </w:rPr>
        <w:t xml:space="preserve">גבוהה </w:t>
      </w:r>
      <w:bookmarkStart w:id="14277" w:name="_ETM_Q18_716440"/>
      <w:bookmarkEnd w:id="14277"/>
      <w:r>
        <w:rPr>
          <w:rFonts w:hint="cs"/>
          <w:rtl/>
        </w:rPr>
        <w:t xml:space="preserve">על </w:t>
      </w:r>
      <w:bookmarkStart w:id="14278" w:name="_ETM_Q18_716650"/>
      <w:bookmarkEnd w:id="14278"/>
      <w:r>
        <w:rPr>
          <w:rFonts w:hint="cs"/>
          <w:rtl/>
        </w:rPr>
        <w:t xml:space="preserve">הבחירות </w:t>
      </w:r>
      <w:bookmarkStart w:id="14279" w:name="_ETM_Q18_717640"/>
      <w:bookmarkEnd w:id="14279"/>
      <w:r>
        <w:rPr>
          <w:rFonts w:hint="cs"/>
          <w:rtl/>
        </w:rPr>
        <w:t xml:space="preserve">ותוצאות </w:t>
      </w:r>
      <w:bookmarkStart w:id="14280" w:name="_ETM_Q18_718269"/>
      <w:bookmarkEnd w:id="14280"/>
      <w:r>
        <w:rPr>
          <w:rFonts w:hint="cs"/>
          <w:rtl/>
        </w:rPr>
        <w:t xml:space="preserve">הבחירות </w:t>
      </w:r>
      <w:bookmarkStart w:id="14281" w:name="_ETM_Q18_718989"/>
      <w:bookmarkEnd w:id="14281"/>
      <w:r>
        <w:rPr>
          <w:rFonts w:hint="cs"/>
          <w:rtl/>
        </w:rPr>
        <w:t xml:space="preserve">והרוב </w:t>
      </w:r>
      <w:bookmarkStart w:id="14282" w:name="_ETM_Q18_719559"/>
      <w:bookmarkEnd w:id="14282"/>
      <w:r>
        <w:rPr>
          <w:rFonts w:hint="cs"/>
          <w:rtl/>
        </w:rPr>
        <w:t xml:space="preserve">בכנסת, </w:t>
      </w:r>
      <w:bookmarkStart w:id="14283" w:name="_ETM_Q18_720569"/>
      <w:bookmarkEnd w:id="14283"/>
      <w:r>
        <w:rPr>
          <w:rFonts w:hint="cs"/>
          <w:rtl/>
        </w:rPr>
        <w:t xml:space="preserve">אבל </w:t>
      </w:r>
      <w:bookmarkStart w:id="14284" w:name="_ETM_Q18_721110"/>
      <w:bookmarkEnd w:id="14284"/>
      <w:r>
        <w:rPr>
          <w:rFonts w:hint="cs"/>
          <w:rtl/>
        </w:rPr>
        <w:t xml:space="preserve">הצעת </w:t>
      </w:r>
      <w:bookmarkStart w:id="14285" w:name="_ETM_Q18_721590"/>
      <w:bookmarkEnd w:id="14285"/>
      <w:r>
        <w:rPr>
          <w:rFonts w:hint="cs"/>
          <w:rtl/>
        </w:rPr>
        <w:t xml:space="preserve">החוק </w:t>
      </w:r>
      <w:bookmarkStart w:id="14286" w:name="_ETM_Q18_721920"/>
      <w:bookmarkEnd w:id="14286"/>
      <w:r>
        <w:rPr>
          <w:rFonts w:hint="cs"/>
          <w:rtl/>
        </w:rPr>
        <w:t xml:space="preserve">הזו </w:t>
      </w:r>
      <w:bookmarkStart w:id="14287" w:name="_ETM_Q18_722250"/>
      <w:bookmarkEnd w:id="14287"/>
      <w:r>
        <w:rPr>
          <w:rFonts w:hint="cs"/>
          <w:rtl/>
        </w:rPr>
        <w:t xml:space="preserve">מחלישה </w:t>
      </w:r>
      <w:bookmarkStart w:id="14288" w:name="_ETM_Q18_723090"/>
      <w:bookmarkEnd w:id="14288"/>
      <w:r>
        <w:rPr>
          <w:rFonts w:hint="cs"/>
          <w:rtl/>
        </w:rPr>
        <w:t xml:space="preserve">את </w:t>
      </w:r>
      <w:bookmarkStart w:id="14289" w:name="_ETM_Q18_723179"/>
      <w:bookmarkEnd w:id="14289"/>
      <w:r>
        <w:rPr>
          <w:rFonts w:hint="cs"/>
          <w:rtl/>
        </w:rPr>
        <w:t xml:space="preserve">הכנסת. </w:t>
      </w:r>
      <w:bookmarkStart w:id="14290" w:name="_ETM_Q18_724360"/>
      <w:bookmarkEnd w:id="14290"/>
      <w:r>
        <w:rPr>
          <w:rFonts w:hint="cs"/>
          <w:rtl/>
        </w:rPr>
        <w:t xml:space="preserve">הם </w:t>
      </w:r>
      <w:bookmarkStart w:id="14291" w:name="_ETM_Q18_724599"/>
      <w:bookmarkEnd w:id="14291"/>
      <w:r>
        <w:rPr>
          <w:rFonts w:hint="cs"/>
          <w:rtl/>
        </w:rPr>
        <w:t xml:space="preserve">לא </w:t>
      </w:r>
      <w:bookmarkStart w:id="14292" w:name="_ETM_Q18_724929"/>
      <w:bookmarkEnd w:id="14292"/>
      <w:r>
        <w:rPr>
          <w:rFonts w:hint="cs"/>
          <w:rtl/>
        </w:rPr>
        <w:t xml:space="preserve">העניקו </w:t>
      </w:r>
      <w:bookmarkStart w:id="14293" w:name="_ETM_Q18_725380"/>
      <w:bookmarkEnd w:id="14293"/>
      <w:r>
        <w:rPr>
          <w:rFonts w:hint="cs"/>
          <w:rtl/>
        </w:rPr>
        <w:t xml:space="preserve">במסגרת </w:t>
      </w:r>
      <w:bookmarkStart w:id="14294" w:name="_ETM_Q18_726250"/>
      <w:bookmarkEnd w:id="14294"/>
      <w:r>
        <w:rPr>
          <w:rFonts w:hint="cs"/>
          <w:rtl/>
        </w:rPr>
        <w:t xml:space="preserve">המהלך </w:t>
      </w:r>
      <w:bookmarkStart w:id="14295" w:name="_ETM_Q18_726849"/>
      <w:bookmarkEnd w:id="14295"/>
      <w:r>
        <w:rPr>
          <w:rFonts w:hint="cs"/>
          <w:rtl/>
        </w:rPr>
        <w:t>הזה</w:t>
      </w:r>
      <w:bookmarkStart w:id="14296" w:name="_ETM_Q18_727010"/>
      <w:bookmarkEnd w:id="14296"/>
      <w:r>
        <w:rPr>
          <w:rFonts w:hint="cs"/>
          <w:rtl/>
        </w:rPr>
        <w:t xml:space="preserve"> </w:t>
      </w:r>
      <w:bookmarkStart w:id="14297" w:name="_ETM_Q18_727700"/>
      <w:bookmarkEnd w:id="14297"/>
      <w:r>
        <w:rPr>
          <w:rFonts w:hint="cs"/>
          <w:rtl/>
        </w:rPr>
        <w:t xml:space="preserve">אף </w:t>
      </w:r>
      <w:bookmarkStart w:id="14298" w:name="_ETM_Q18_728059"/>
      <w:bookmarkEnd w:id="14298"/>
      <w:r>
        <w:rPr>
          <w:rFonts w:hint="cs"/>
          <w:rtl/>
        </w:rPr>
        <w:t xml:space="preserve">סמכות </w:t>
      </w:r>
      <w:bookmarkStart w:id="14299" w:name="_ETM_Q18_728720"/>
      <w:bookmarkEnd w:id="14299"/>
      <w:r>
        <w:rPr>
          <w:rFonts w:hint="cs"/>
          <w:rtl/>
        </w:rPr>
        <w:t xml:space="preserve">נוספת </w:t>
      </w:r>
      <w:bookmarkStart w:id="14300" w:name="_ETM_Q18_729290"/>
      <w:bookmarkEnd w:id="14300"/>
      <w:r>
        <w:rPr>
          <w:rFonts w:hint="cs"/>
          <w:rtl/>
        </w:rPr>
        <w:t>לכנסת, לאזן</w:t>
      </w:r>
      <w:bookmarkStart w:id="14301" w:name="_ETM_Q18_730370"/>
      <w:bookmarkEnd w:id="14301"/>
      <w:r>
        <w:rPr>
          <w:rFonts w:hint="cs"/>
          <w:rtl/>
        </w:rPr>
        <w:t xml:space="preserve"> </w:t>
      </w:r>
      <w:bookmarkStart w:id="14302" w:name="_ETM_Q18_731000"/>
      <w:bookmarkEnd w:id="14302"/>
      <w:r>
        <w:rPr>
          <w:rFonts w:hint="cs"/>
          <w:rtl/>
        </w:rPr>
        <w:t xml:space="preserve">את </w:t>
      </w:r>
      <w:bookmarkStart w:id="14303" w:name="_ETM_Q18_731150"/>
      <w:bookmarkEnd w:id="14303"/>
      <w:r>
        <w:rPr>
          <w:rFonts w:hint="cs"/>
          <w:rtl/>
        </w:rPr>
        <w:t xml:space="preserve">לקיחת </w:t>
      </w:r>
      <w:bookmarkStart w:id="14304" w:name="_ETM_Q18_731689"/>
      <w:bookmarkEnd w:id="14304"/>
      <w:r>
        <w:rPr>
          <w:rFonts w:hint="cs"/>
          <w:rtl/>
        </w:rPr>
        <w:t xml:space="preserve">הסמכות </w:t>
      </w:r>
      <w:bookmarkStart w:id="14305" w:name="_ETM_Q18_732290"/>
      <w:bookmarkEnd w:id="14305"/>
      <w:r>
        <w:rPr>
          <w:rFonts w:hint="cs"/>
          <w:rtl/>
        </w:rPr>
        <w:t xml:space="preserve">מבית </w:t>
      </w:r>
      <w:bookmarkStart w:id="14306" w:name="_ETM_Q18_732709"/>
      <w:bookmarkEnd w:id="14306"/>
      <w:r>
        <w:rPr>
          <w:rFonts w:hint="cs"/>
          <w:rtl/>
        </w:rPr>
        <w:t xml:space="preserve">המשפט. </w:t>
      </w:r>
      <w:bookmarkStart w:id="14307" w:name="_ETM_Q18_733700"/>
      <w:bookmarkEnd w:id="14307"/>
      <w:r>
        <w:rPr>
          <w:rFonts w:hint="cs"/>
          <w:rtl/>
        </w:rPr>
        <w:t xml:space="preserve">אתם </w:t>
      </w:r>
      <w:bookmarkStart w:id="14308" w:name="_ETM_Q18_734059"/>
      <w:bookmarkEnd w:id="14308"/>
      <w:r>
        <w:rPr>
          <w:rFonts w:hint="cs"/>
          <w:rtl/>
        </w:rPr>
        <w:t xml:space="preserve">חושבים, </w:t>
      </w:r>
      <w:bookmarkStart w:id="14309" w:name="_ETM_Q18_734510"/>
      <w:bookmarkEnd w:id="14309"/>
      <w:r>
        <w:rPr>
          <w:rFonts w:hint="cs"/>
          <w:rtl/>
        </w:rPr>
        <w:t xml:space="preserve">אזרחי </w:t>
      </w:r>
      <w:bookmarkStart w:id="14310" w:name="_ETM_Q18_735019"/>
      <w:bookmarkEnd w:id="14310"/>
      <w:r>
        <w:rPr>
          <w:rFonts w:hint="cs"/>
          <w:rtl/>
        </w:rPr>
        <w:t xml:space="preserve">ישראל, </w:t>
      </w:r>
      <w:bookmarkStart w:id="14311" w:name="_ETM_Q18_735860"/>
      <w:bookmarkEnd w:id="14311"/>
      <w:r>
        <w:rPr>
          <w:rFonts w:hint="cs"/>
          <w:rtl/>
        </w:rPr>
        <w:t xml:space="preserve">שבתמורה </w:t>
      </w:r>
      <w:bookmarkStart w:id="14312" w:name="_ETM_Q18_736670"/>
      <w:bookmarkEnd w:id="14312"/>
      <w:r>
        <w:rPr>
          <w:rFonts w:hint="cs"/>
          <w:rtl/>
        </w:rPr>
        <w:t xml:space="preserve">לחסינות </w:t>
      </w:r>
      <w:bookmarkStart w:id="14313" w:name="_ETM_Q18_737450"/>
      <w:bookmarkEnd w:id="14313"/>
      <w:r>
        <w:rPr>
          <w:rFonts w:hint="cs"/>
          <w:rtl/>
        </w:rPr>
        <w:t xml:space="preserve">מביקורת </w:t>
      </w:r>
      <w:bookmarkStart w:id="14314" w:name="_ETM_Q18_738020"/>
      <w:bookmarkEnd w:id="14314"/>
      <w:r>
        <w:rPr>
          <w:rFonts w:hint="cs"/>
          <w:rtl/>
        </w:rPr>
        <w:t xml:space="preserve">שיפוטית </w:t>
      </w:r>
      <w:bookmarkStart w:id="14315" w:name="_ETM_Q18_739010"/>
      <w:bookmarkEnd w:id="14315"/>
      <w:r>
        <w:rPr>
          <w:rFonts w:hint="cs"/>
          <w:rtl/>
        </w:rPr>
        <w:t xml:space="preserve">חיזקו </w:t>
      </w:r>
      <w:bookmarkStart w:id="14316" w:name="_ETM_Q18_739550"/>
      <w:bookmarkEnd w:id="14316"/>
      <w:r>
        <w:rPr>
          <w:rFonts w:hint="cs"/>
          <w:rtl/>
        </w:rPr>
        <w:t xml:space="preserve">כאן </w:t>
      </w:r>
      <w:bookmarkStart w:id="14317" w:name="_ETM_Q18_739790"/>
      <w:bookmarkEnd w:id="14317"/>
      <w:r>
        <w:rPr>
          <w:rFonts w:hint="cs"/>
          <w:rtl/>
        </w:rPr>
        <w:t xml:space="preserve">את </w:t>
      </w:r>
      <w:bookmarkStart w:id="14318" w:name="_ETM_Q18_739940"/>
      <w:bookmarkEnd w:id="14318"/>
      <w:r>
        <w:rPr>
          <w:rFonts w:hint="cs"/>
          <w:rtl/>
        </w:rPr>
        <w:t xml:space="preserve">מעמדו </w:t>
      </w:r>
      <w:bookmarkStart w:id="14319" w:name="_ETM_Q18_740540"/>
      <w:bookmarkEnd w:id="14319"/>
      <w:r>
        <w:rPr>
          <w:rFonts w:hint="cs"/>
          <w:rtl/>
        </w:rPr>
        <w:t xml:space="preserve">של </w:t>
      </w:r>
      <w:bookmarkStart w:id="14320" w:name="_ETM_Q18_740750"/>
      <w:bookmarkEnd w:id="14320"/>
      <w:r>
        <w:rPr>
          <w:rFonts w:hint="cs"/>
          <w:rtl/>
        </w:rPr>
        <w:t xml:space="preserve">מבקר </w:t>
      </w:r>
      <w:bookmarkStart w:id="14321" w:name="_ETM_Q18_741260"/>
      <w:bookmarkEnd w:id="14321"/>
      <w:r>
        <w:rPr>
          <w:rFonts w:hint="cs"/>
          <w:rtl/>
        </w:rPr>
        <w:t xml:space="preserve">המדינה? </w:t>
      </w:r>
      <w:bookmarkStart w:id="14322" w:name="_ETM_Q18_742429"/>
      <w:bookmarkEnd w:id="14322"/>
      <w:r>
        <w:rPr>
          <w:rFonts w:hint="cs"/>
          <w:rtl/>
        </w:rPr>
        <w:t xml:space="preserve">המשיכו </w:t>
      </w:r>
      <w:bookmarkStart w:id="14323" w:name="_ETM_Q18_742940"/>
      <w:bookmarkEnd w:id="14323"/>
      <w:r>
        <w:rPr>
          <w:rFonts w:hint="cs"/>
          <w:rtl/>
        </w:rPr>
        <w:t xml:space="preserve">לחשוב. </w:t>
      </w:r>
      <w:bookmarkStart w:id="14324" w:name="_ETM_Q18_743929"/>
      <w:bookmarkEnd w:id="14324"/>
      <w:r>
        <w:rPr>
          <w:rFonts w:hint="cs"/>
          <w:rtl/>
        </w:rPr>
        <w:t xml:space="preserve">הרי </w:t>
      </w:r>
      <w:bookmarkStart w:id="14325" w:name="_ETM_Q18_744230"/>
      <w:bookmarkEnd w:id="14325"/>
      <w:r>
        <w:rPr>
          <w:rFonts w:hint="cs"/>
          <w:rtl/>
        </w:rPr>
        <w:t xml:space="preserve">כל </w:t>
      </w:r>
      <w:bookmarkStart w:id="14326" w:name="_ETM_Q18_744530"/>
      <w:bookmarkEnd w:id="14326"/>
      <w:r>
        <w:rPr>
          <w:rFonts w:hint="cs"/>
          <w:rtl/>
        </w:rPr>
        <w:t xml:space="preserve">מה </w:t>
      </w:r>
      <w:bookmarkStart w:id="14327" w:name="_ETM_Q18_744710"/>
      <w:bookmarkEnd w:id="14327"/>
      <w:r>
        <w:rPr>
          <w:rFonts w:hint="cs"/>
          <w:rtl/>
        </w:rPr>
        <w:t xml:space="preserve">שמעניין </w:t>
      </w:r>
      <w:bookmarkStart w:id="14328" w:name="_ETM_Q18_745400"/>
      <w:bookmarkEnd w:id="14328"/>
      <w:r>
        <w:rPr>
          <w:rFonts w:hint="cs"/>
          <w:rtl/>
        </w:rPr>
        <w:t xml:space="preserve">את </w:t>
      </w:r>
      <w:bookmarkStart w:id="14329" w:name="_ETM_Q18_745580"/>
      <w:bookmarkEnd w:id="14329"/>
      <w:r>
        <w:rPr>
          <w:rFonts w:hint="cs"/>
          <w:rtl/>
        </w:rPr>
        <w:t xml:space="preserve">רוטמן </w:t>
      </w:r>
      <w:bookmarkStart w:id="14330" w:name="_ETM_Q18_746090"/>
      <w:bookmarkEnd w:id="14330"/>
      <w:r>
        <w:rPr>
          <w:rFonts w:hint="cs"/>
          <w:rtl/>
        </w:rPr>
        <w:t xml:space="preserve">ושותפיו הוא </w:t>
      </w:r>
      <w:bookmarkStart w:id="14331" w:name="_ETM_Q18_747380"/>
      <w:bookmarkEnd w:id="14331"/>
      <w:r>
        <w:rPr>
          <w:rFonts w:hint="cs"/>
          <w:rtl/>
        </w:rPr>
        <w:t xml:space="preserve">להסיר </w:t>
      </w:r>
      <w:bookmarkStart w:id="14332" w:name="_ETM_Q18_748070"/>
      <w:bookmarkEnd w:id="14332"/>
      <w:r>
        <w:rPr>
          <w:rFonts w:hint="cs"/>
          <w:rtl/>
        </w:rPr>
        <w:t xml:space="preserve">כל </w:t>
      </w:r>
      <w:bookmarkStart w:id="14333" w:name="_ETM_Q18_748400"/>
      <w:bookmarkEnd w:id="14333"/>
      <w:r>
        <w:rPr>
          <w:rFonts w:hint="cs"/>
          <w:rtl/>
        </w:rPr>
        <w:t xml:space="preserve">מגבלה </w:t>
      </w:r>
      <w:bookmarkStart w:id="14334" w:name="_ETM_Q18_749150"/>
      <w:bookmarkEnd w:id="14334"/>
      <w:r>
        <w:rPr>
          <w:rFonts w:hint="cs"/>
          <w:rtl/>
        </w:rPr>
        <w:t xml:space="preserve">מעל </w:t>
      </w:r>
      <w:bookmarkStart w:id="14335" w:name="_ETM_Q18_749570"/>
      <w:bookmarkEnd w:id="14335"/>
      <w:r>
        <w:rPr>
          <w:rFonts w:hint="cs"/>
          <w:rtl/>
        </w:rPr>
        <w:t xml:space="preserve">כוחותיה </w:t>
      </w:r>
      <w:bookmarkStart w:id="14336" w:name="_ETM_Q18_750770"/>
      <w:bookmarkEnd w:id="14336"/>
      <w:r>
        <w:rPr>
          <w:rFonts w:hint="cs"/>
          <w:rtl/>
        </w:rPr>
        <w:t xml:space="preserve">של </w:t>
      </w:r>
      <w:bookmarkStart w:id="14337" w:name="_ETM_Q18_751070"/>
      <w:bookmarkEnd w:id="14337"/>
      <w:r>
        <w:rPr>
          <w:rFonts w:hint="cs"/>
          <w:rtl/>
        </w:rPr>
        <w:t>הממשלה.</w:t>
      </w:r>
      <w:bookmarkStart w:id="14338" w:name="_ETM_Q18_754000"/>
      <w:bookmarkStart w:id="14339" w:name="_ETM_Q18_752370"/>
      <w:bookmarkEnd w:id="14338"/>
      <w:bookmarkEnd w:id="14339"/>
      <w:r>
        <w:rPr>
          <w:rFonts w:hint="cs"/>
          <w:rtl/>
        </w:rPr>
        <w:t xml:space="preserve"> הצעת </w:t>
      </w:r>
      <w:bookmarkStart w:id="14340" w:name="_ETM_Q18_753150"/>
      <w:bookmarkEnd w:id="14340"/>
      <w:r>
        <w:rPr>
          <w:rFonts w:hint="cs"/>
          <w:rtl/>
        </w:rPr>
        <w:t xml:space="preserve">החוק </w:t>
      </w:r>
      <w:bookmarkStart w:id="14341" w:name="_ETM_Q18_753570"/>
      <w:bookmarkEnd w:id="14341"/>
      <w:r>
        <w:rPr>
          <w:rFonts w:hint="cs"/>
          <w:rtl/>
        </w:rPr>
        <w:t xml:space="preserve">הזאת </w:t>
      </w:r>
      <w:bookmarkStart w:id="14342" w:name="_ETM_Q18_753990"/>
      <w:bookmarkEnd w:id="14342"/>
      <w:r>
        <w:rPr>
          <w:rFonts w:hint="cs"/>
          <w:rtl/>
        </w:rPr>
        <w:t xml:space="preserve">קודמה </w:t>
      </w:r>
      <w:bookmarkStart w:id="14343" w:name="_ETM_Q18_754980"/>
      <w:bookmarkEnd w:id="14343"/>
      <w:r>
        <w:rPr>
          <w:rFonts w:hint="cs"/>
          <w:rtl/>
        </w:rPr>
        <w:t xml:space="preserve">תוך </w:t>
      </w:r>
      <w:bookmarkStart w:id="14344" w:name="_ETM_Q18_755250"/>
      <w:bookmarkEnd w:id="14344"/>
      <w:r>
        <w:rPr>
          <w:rFonts w:hint="cs"/>
          <w:rtl/>
        </w:rPr>
        <w:t xml:space="preserve">ניצול </w:t>
      </w:r>
      <w:bookmarkStart w:id="14345" w:name="_ETM_Q18_755850"/>
      <w:bookmarkEnd w:id="14345"/>
      <w:r>
        <w:rPr>
          <w:rFonts w:hint="cs"/>
          <w:rtl/>
        </w:rPr>
        <w:t xml:space="preserve">לרעה </w:t>
      </w:r>
      <w:bookmarkStart w:id="14346" w:name="_ETM_Q18_756360"/>
      <w:bookmarkEnd w:id="14346"/>
      <w:r>
        <w:rPr>
          <w:rFonts w:hint="cs"/>
          <w:rtl/>
        </w:rPr>
        <w:t xml:space="preserve">של </w:t>
      </w:r>
      <w:bookmarkStart w:id="14347" w:name="_ETM_Q18_756600"/>
      <w:bookmarkEnd w:id="14347"/>
      <w:r>
        <w:rPr>
          <w:rFonts w:hint="cs"/>
          <w:rtl/>
        </w:rPr>
        <w:t xml:space="preserve">סעיף </w:t>
      </w:r>
      <w:bookmarkStart w:id="14348" w:name="_ETM_Q18_756990"/>
      <w:bookmarkEnd w:id="14348"/>
      <w:r>
        <w:rPr>
          <w:rFonts w:hint="cs"/>
          <w:rtl/>
        </w:rPr>
        <w:t xml:space="preserve">מיוחד </w:t>
      </w:r>
      <w:bookmarkStart w:id="14349" w:name="_ETM_Q18_757470"/>
      <w:bookmarkEnd w:id="14349"/>
      <w:r>
        <w:rPr>
          <w:rFonts w:hint="cs"/>
          <w:rtl/>
        </w:rPr>
        <w:t xml:space="preserve">בתקנון </w:t>
      </w:r>
      <w:bookmarkStart w:id="14350" w:name="_ETM_Q18_758100"/>
      <w:bookmarkEnd w:id="14350"/>
      <w:r>
        <w:rPr>
          <w:rFonts w:hint="cs"/>
          <w:rtl/>
        </w:rPr>
        <w:t xml:space="preserve">הכנסת </w:t>
      </w:r>
      <w:bookmarkStart w:id="14351" w:name="_ETM_Q18_759150"/>
      <w:bookmarkEnd w:id="14351"/>
      <w:r>
        <w:rPr>
          <w:rFonts w:hint="cs"/>
          <w:rtl/>
        </w:rPr>
        <w:t xml:space="preserve">שמאפשר </w:t>
      </w:r>
      <w:bookmarkStart w:id="14352" w:name="_ETM_Q18_759960"/>
      <w:bookmarkEnd w:id="14352"/>
      <w:r>
        <w:rPr>
          <w:rFonts w:hint="cs"/>
          <w:rtl/>
        </w:rPr>
        <w:t xml:space="preserve">לעקוף </w:t>
      </w:r>
      <w:bookmarkStart w:id="14353" w:name="_ETM_Q18_760650"/>
      <w:bookmarkEnd w:id="14353"/>
      <w:r>
        <w:rPr>
          <w:rFonts w:hint="cs"/>
          <w:rtl/>
        </w:rPr>
        <w:t xml:space="preserve">את </w:t>
      </w:r>
      <w:bookmarkStart w:id="14354" w:name="_ETM_Q18_760830"/>
      <w:bookmarkEnd w:id="14354"/>
      <w:r>
        <w:rPr>
          <w:rFonts w:hint="cs"/>
          <w:rtl/>
        </w:rPr>
        <w:t xml:space="preserve">ההליכים </w:t>
      </w:r>
      <w:bookmarkStart w:id="14355" w:name="_ETM_Q18_761910"/>
      <w:bookmarkEnd w:id="14355"/>
      <w:r>
        <w:rPr>
          <w:rFonts w:hint="cs"/>
          <w:rtl/>
        </w:rPr>
        <w:t xml:space="preserve">של </w:t>
      </w:r>
      <w:bookmarkStart w:id="14356" w:name="_ETM_Q18_762179"/>
      <w:bookmarkEnd w:id="14356"/>
      <w:r>
        <w:rPr>
          <w:rFonts w:hint="cs"/>
          <w:rtl/>
        </w:rPr>
        <w:t xml:space="preserve">הצעות </w:t>
      </w:r>
      <w:bookmarkStart w:id="14357" w:name="_ETM_Q18_762690"/>
      <w:bookmarkEnd w:id="14357"/>
      <w:r>
        <w:rPr>
          <w:rFonts w:hint="cs"/>
          <w:rtl/>
        </w:rPr>
        <w:t xml:space="preserve">חוק </w:t>
      </w:r>
      <w:bookmarkStart w:id="14358" w:name="_ETM_Q18_762960"/>
      <w:bookmarkEnd w:id="14358"/>
      <w:r>
        <w:rPr>
          <w:rFonts w:hint="cs"/>
          <w:rtl/>
        </w:rPr>
        <w:t xml:space="preserve">פרטיות </w:t>
      </w:r>
      <w:bookmarkStart w:id="14359" w:name="_ETM_Q18_763590"/>
      <w:bookmarkEnd w:id="14359"/>
      <w:r>
        <w:rPr>
          <w:rFonts w:hint="cs"/>
          <w:rtl/>
        </w:rPr>
        <w:t xml:space="preserve">והצעות </w:t>
      </w:r>
      <w:bookmarkStart w:id="14360" w:name="_ETM_Q18_764160"/>
      <w:bookmarkEnd w:id="14360"/>
      <w:r>
        <w:rPr>
          <w:rFonts w:hint="cs"/>
          <w:rtl/>
        </w:rPr>
        <w:t xml:space="preserve">חוק </w:t>
      </w:r>
      <w:bookmarkStart w:id="14361" w:name="_ETM_Q18_764400"/>
      <w:bookmarkEnd w:id="14361"/>
      <w:r>
        <w:rPr>
          <w:rFonts w:hint="cs"/>
          <w:rtl/>
        </w:rPr>
        <w:t xml:space="preserve">מטעם </w:t>
      </w:r>
      <w:bookmarkStart w:id="14362" w:name="_ETM_Q18_764850"/>
      <w:bookmarkEnd w:id="14362"/>
      <w:r>
        <w:rPr>
          <w:rFonts w:hint="cs"/>
          <w:rtl/>
        </w:rPr>
        <w:t xml:space="preserve">הממשלה. </w:t>
      </w:r>
      <w:bookmarkStart w:id="14363" w:name="_ETM_Q18_765990"/>
      <w:bookmarkStart w:id="14364" w:name="TOR_Q19"/>
      <w:bookmarkStart w:id="14365" w:name="_ETM_Q19_180000"/>
      <w:bookmarkEnd w:id="14363"/>
      <w:bookmarkEnd w:id="14364"/>
      <w:bookmarkEnd w:id="14365"/>
      <w:r>
        <w:rPr>
          <w:rFonts w:hint="cs"/>
          <w:rtl/>
        </w:rPr>
        <w:t xml:space="preserve">ומהן הסיבות לשימוש המחפיר הזה באותו סעיף? השר לוין וחבר </w:t>
      </w:r>
      <w:bookmarkStart w:id="14366" w:name="_ETM_Q19_169000"/>
      <w:bookmarkEnd w:id="14366"/>
      <w:r>
        <w:rPr>
          <w:rFonts w:hint="cs"/>
          <w:rtl/>
        </w:rPr>
        <w:t>הכנסת רוטמן לא רצו שהדרג המקצועי במשרדי הממשלה</w:t>
      </w:r>
      <w:bookmarkStart w:id="14367" w:name="_ETM_Q19_174000"/>
      <w:bookmarkEnd w:id="14367"/>
      <w:r>
        <w:rPr>
          <w:rFonts w:hint="cs"/>
          <w:rtl/>
        </w:rPr>
        <w:t xml:space="preserve"> יכתוב חוות דעת על ה</w:t>
      </w:r>
      <w:bookmarkStart w:id="14368" w:name="_ETM_Q19_180329"/>
      <w:bookmarkEnd w:id="14368"/>
      <w:r>
        <w:rPr>
          <w:rFonts w:hint="cs"/>
          <w:rtl/>
        </w:rPr>
        <w:t xml:space="preserve">השלכות </w:t>
      </w:r>
      <w:bookmarkStart w:id="14369" w:name="_ETM_Q19_181050"/>
      <w:bookmarkEnd w:id="14369"/>
      <w:r>
        <w:rPr>
          <w:rFonts w:hint="cs"/>
          <w:rtl/>
        </w:rPr>
        <w:t xml:space="preserve">של </w:t>
      </w:r>
      <w:bookmarkStart w:id="14370" w:name="_ETM_Q19_181260"/>
      <w:bookmarkEnd w:id="14370"/>
      <w:r>
        <w:rPr>
          <w:rFonts w:hint="cs"/>
          <w:rtl/>
        </w:rPr>
        <w:t xml:space="preserve">החקיקה. </w:t>
      </w:r>
      <w:bookmarkStart w:id="14371" w:name="_ETM_Q19_182250"/>
      <w:bookmarkEnd w:id="14371"/>
      <w:r>
        <w:rPr>
          <w:rFonts w:hint="cs"/>
          <w:rtl/>
        </w:rPr>
        <w:t xml:space="preserve">לכן </w:t>
      </w:r>
      <w:bookmarkStart w:id="14372" w:name="_ETM_Q19_182820"/>
      <w:bookmarkEnd w:id="14372"/>
      <w:r>
        <w:rPr>
          <w:rFonts w:hint="cs"/>
          <w:rtl/>
        </w:rPr>
        <w:t>הם בחרו</w:t>
      </w:r>
      <w:bookmarkStart w:id="14373" w:name="_ETM_Q19_182939"/>
      <w:bookmarkStart w:id="14374" w:name="_ETM_Q19_183300"/>
      <w:bookmarkEnd w:id="14373"/>
      <w:bookmarkEnd w:id="14374"/>
      <w:r>
        <w:rPr>
          <w:rFonts w:hint="cs"/>
          <w:rtl/>
        </w:rPr>
        <w:t xml:space="preserve"> במסלול </w:t>
      </w:r>
      <w:bookmarkStart w:id="14375" w:name="_ETM_Q19_183810"/>
      <w:bookmarkEnd w:id="14375"/>
      <w:r>
        <w:rPr>
          <w:rFonts w:hint="cs"/>
          <w:rtl/>
        </w:rPr>
        <w:t xml:space="preserve">של </w:t>
      </w:r>
      <w:bookmarkStart w:id="14376" w:name="_ETM_Q19_183990"/>
      <w:bookmarkEnd w:id="14376"/>
      <w:r>
        <w:rPr>
          <w:rFonts w:hint="cs"/>
          <w:rtl/>
        </w:rPr>
        <w:t xml:space="preserve">סעיף </w:t>
      </w:r>
      <w:bookmarkStart w:id="14377" w:name="_ETM_Q19_184350"/>
      <w:bookmarkEnd w:id="14377"/>
      <w:r>
        <w:rPr>
          <w:rFonts w:hint="cs"/>
          <w:rtl/>
        </w:rPr>
        <w:t>80</w:t>
      </w:r>
      <w:bookmarkStart w:id="14378" w:name="_ETM_Q19_185250"/>
      <w:bookmarkEnd w:id="14378"/>
      <w:r>
        <w:rPr>
          <w:rFonts w:hint="cs"/>
          <w:rtl/>
        </w:rPr>
        <w:t xml:space="preserve">. הם </w:t>
      </w:r>
      <w:bookmarkStart w:id="14379" w:name="_ETM_Q19_185519"/>
      <w:bookmarkEnd w:id="14379"/>
      <w:r>
        <w:rPr>
          <w:rFonts w:hint="cs"/>
          <w:rtl/>
        </w:rPr>
        <w:t xml:space="preserve">לא </w:t>
      </w:r>
      <w:bookmarkStart w:id="14380" w:name="_ETM_Q19_185850"/>
      <w:bookmarkEnd w:id="14380"/>
      <w:r>
        <w:rPr>
          <w:rFonts w:hint="cs"/>
          <w:rtl/>
        </w:rPr>
        <w:t xml:space="preserve">רוצים </w:t>
      </w:r>
      <w:bookmarkStart w:id="14381" w:name="_ETM_Q19_186240"/>
      <w:bookmarkEnd w:id="14381"/>
      <w:r>
        <w:rPr>
          <w:rFonts w:hint="cs"/>
          <w:rtl/>
        </w:rPr>
        <w:t xml:space="preserve">להקשיב </w:t>
      </w:r>
      <w:bookmarkStart w:id="14382" w:name="_ETM_Q19_187589"/>
      <w:bookmarkEnd w:id="14382"/>
      <w:r>
        <w:rPr>
          <w:rFonts w:hint="cs"/>
          <w:rtl/>
        </w:rPr>
        <w:t xml:space="preserve">לפקידי </w:t>
      </w:r>
      <w:bookmarkStart w:id="14383" w:name="_ETM_Q19_188340"/>
      <w:bookmarkEnd w:id="14383"/>
      <w:r>
        <w:rPr>
          <w:rFonts w:hint="cs"/>
          <w:rtl/>
        </w:rPr>
        <w:t>ציבור</w:t>
      </w:r>
      <w:bookmarkStart w:id="14384" w:name="_ETM_Q19_188880"/>
      <w:bookmarkEnd w:id="14384"/>
      <w:r>
        <w:rPr>
          <w:rFonts w:hint="cs"/>
          <w:rtl/>
        </w:rPr>
        <w:t xml:space="preserve">, שעושים </w:t>
      </w:r>
      <w:bookmarkStart w:id="14385" w:name="_ETM_Q19_189389"/>
      <w:bookmarkEnd w:id="14385"/>
      <w:r>
        <w:rPr>
          <w:rFonts w:hint="cs"/>
          <w:rtl/>
        </w:rPr>
        <w:t xml:space="preserve">את </w:t>
      </w:r>
      <w:bookmarkStart w:id="14386" w:name="_ETM_Q19_189510"/>
      <w:bookmarkEnd w:id="14386"/>
      <w:r>
        <w:rPr>
          <w:rFonts w:hint="cs"/>
          <w:rtl/>
        </w:rPr>
        <w:t xml:space="preserve">מלאכתם </w:t>
      </w:r>
      <w:bookmarkStart w:id="14387" w:name="_ETM_Q19_190170"/>
      <w:bookmarkEnd w:id="14387"/>
      <w:r>
        <w:rPr>
          <w:rFonts w:hint="cs"/>
          <w:rtl/>
        </w:rPr>
        <w:t xml:space="preserve">נאמנה </w:t>
      </w:r>
      <w:bookmarkStart w:id="14388" w:name="_ETM_Q19_190679"/>
      <w:bookmarkEnd w:id="14388"/>
      <w:r>
        <w:rPr>
          <w:rFonts w:hint="cs"/>
          <w:rtl/>
        </w:rPr>
        <w:t xml:space="preserve">עשרות </w:t>
      </w:r>
      <w:bookmarkStart w:id="14389" w:name="_ETM_Q19_191099"/>
      <w:bookmarkEnd w:id="14389"/>
      <w:r>
        <w:rPr>
          <w:rFonts w:hint="cs"/>
          <w:rtl/>
        </w:rPr>
        <w:t xml:space="preserve">שנים, </w:t>
      </w:r>
      <w:bookmarkStart w:id="14390" w:name="_ETM_Q19_191459"/>
      <w:bookmarkEnd w:id="14390"/>
      <w:r>
        <w:rPr>
          <w:rFonts w:hint="cs"/>
          <w:rtl/>
        </w:rPr>
        <w:t xml:space="preserve">שרוצים </w:t>
      </w:r>
      <w:bookmarkStart w:id="14391" w:name="_ETM_Q19_192059"/>
      <w:bookmarkEnd w:id="14391"/>
      <w:r>
        <w:rPr>
          <w:rFonts w:hint="cs"/>
          <w:rtl/>
        </w:rPr>
        <w:t xml:space="preserve">לומר: </w:t>
      </w:r>
      <w:bookmarkStart w:id="14392" w:name="_ETM_Q19_193240"/>
      <w:bookmarkEnd w:id="14392"/>
      <w:r>
        <w:rPr>
          <w:rFonts w:hint="cs"/>
          <w:rtl/>
        </w:rPr>
        <w:t xml:space="preserve">מכובדינו </w:t>
      </w:r>
      <w:bookmarkStart w:id="14393" w:name="_ETM_Q19_194110"/>
      <w:bookmarkEnd w:id="14393"/>
      <w:r>
        <w:rPr>
          <w:rFonts w:hint="cs"/>
          <w:rtl/>
        </w:rPr>
        <w:t xml:space="preserve">השרים, </w:t>
      </w:r>
      <w:bookmarkStart w:id="14394" w:name="_ETM_Q19_195070"/>
      <w:bookmarkEnd w:id="14394"/>
      <w:r>
        <w:rPr>
          <w:rFonts w:hint="cs"/>
          <w:rtl/>
        </w:rPr>
        <w:t xml:space="preserve">יש </w:t>
      </w:r>
      <w:bookmarkStart w:id="14395" w:name="_ETM_Q19_195429"/>
      <w:bookmarkEnd w:id="14395"/>
      <w:r>
        <w:rPr>
          <w:rFonts w:hint="cs"/>
          <w:rtl/>
        </w:rPr>
        <w:t xml:space="preserve">כאן </w:t>
      </w:r>
      <w:bookmarkStart w:id="14396" w:name="_ETM_Q19_195639"/>
      <w:bookmarkEnd w:id="14396"/>
      <w:r>
        <w:rPr>
          <w:rFonts w:hint="cs"/>
          <w:rtl/>
        </w:rPr>
        <w:t xml:space="preserve">בעיה </w:t>
      </w:r>
      <w:bookmarkStart w:id="14397" w:name="_ETM_Q19_196150"/>
      <w:bookmarkEnd w:id="14397"/>
      <w:r>
        <w:rPr>
          <w:rFonts w:hint="cs"/>
          <w:rtl/>
        </w:rPr>
        <w:t xml:space="preserve">שדורשת </w:t>
      </w:r>
      <w:bookmarkStart w:id="14398" w:name="_ETM_Q19_196869"/>
      <w:bookmarkEnd w:id="14398"/>
      <w:r>
        <w:rPr>
          <w:rFonts w:hint="cs"/>
          <w:rtl/>
        </w:rPr>
        <w:t xml:space="preserve">התייחסות. הם </w:t>
      </w:r>
      <w:bookmarkStart w:id="14399" w:name="_ETM_Q19_197890"/>
      <w:bookmarkStart w:id="14400" w:name="_ETM_Q19_198070"/>
      <w:bookmarkEnd w:id="14399"/>
      <w:bookmarkEnd w:id="14400"/>
      <w:r>
        <w:rPr>
          <w:rFonts w:hint="cs"/>
          <w:rtl/>
        </w:rPr>
        <w:t xml:space="preserve">משתיקים </w:t>
      </w:r>
      <w:bookmarkStart w:id="14401" w:name="_ETM_Q19_198640"/>
      <w:bookmarkEnd w:id="14401"/>
      <w:r>
        <w:rPr>
          <w:rFonts w:hint="cs"/>
          <w:rtl/>
        </w:rPr>
        <w:t xml:space="preserve">את </w:t>
      </w:r>
      <w:bookmarkStart w:id="14402" w:name="_ETM_Q19_198789"/>
      <w:bookmarkEnd w:id="14402"/>
      <w:r>
        <w:rPr>
          <w:rFonts w:hint="cs"/>
          <w:rtl/>
        </w:rPr>
        <w:t xml:space="preserve">הייעוץ </w:t>
      </w:r>
      <w:bookmarkStart w:id="14403" w:name="_ETM_Q19_199239"/>
      <w:bookmarkEnd w:id="14403"/>
      <w:r>
        <w:rPr>
          <w:rFonts w:hint="cs"/>
          <w:rtl/>
        </w:rPr>
        <w:t xml:space="preserve">המשפטי </w:t>
      </w:r>
      <w:bookmarkStart w:id="14404" w:name="_ETM_Q19_199810"/>
      <w:bookmarkEnd w:id="14404"/>
      <w:r>
        <w:rPr>
          <w:rFonts w:hint="cs"/>
          <w:rtl/>
        </w:rPr>
        <w:t xml:space="preserve">בוועדה, </w:t>
      </w:r>
      <w:bookmarkStart w:id="14405" w:name="_ETM_Q19_200890"/>
      <w:bookmarkEnd w:id="14405"/>
      <w:r>
        <w:rPr>
          <w:rFonts w:hint="cs"/>
          <w:rtl/>
        </w:rPr>
        <w:t xml:space="preserve">כמו </w:t>
      </w:r>
      <w:bookmarkStart w:id="14406" w:name="_ETM_Q19_201189"/>
      <w:bookmarkEnd w:id="14406"/>
      <w:r>
        <w:rPr>
          <w:rFonts w:hint="cs"/>
          <w:rtl/>
        </w:rPr>
        <w:t xml:space="preserve">שהם </w:t>
      </w:r>
      <w:bookmarkStart w:id="14407" w:name="_ETM_Q19_201429"/>
      <w:bookmarkEnd w:id="14407"/>
      <w:r>
        <w:rPr>
          <w:rFonts w:hint="cs"/>
          <w:rtl/>
        </w:rPr>
        <w:t xml:space="preserve">השתיקו </w:t>
      </w:r>
      <w:bookmarkStart w:id="14408" w:name="_ETM_Q19_201939"/>
      <w:bookmarkEnd w:id="14408"/>
      <w:r>
        <w:rPr>
          <w:rFonts w:hint="cs"/>
          <w:rtl/>
        </w:rPr>
        <w:t xml:space="preserve">את </w:t>
      </w:r>
      <w:bookmarkStart w:id="14409" w:name="_ETM_Q19_202060"/>
      <w:bookmarkEnd w:id="14409"/>
      <w:r>
        <w:rPr>
          <w:rFonts w:hint="cs"/>
          <w:rtl/>
        </w:rPr>
        <w:t xml:space="preserve">היועצים </w:t>
      </w:r>
      <w:bookmarkStart w:id="14410" w:name="_ETM_Q19_202570"/>
      <w:bookmarkEnd w:id="14410"/>
      <w:r>
        <w:rPr>
          <w:rFonts w:hint="cs"/>
          <w:rtl/>
        </w:rPr>
        <w:t xml:space="preserve">המשפטיים </w:t>
      </w:r>
      <w:bookmarkStart w:id="14411" w:name="_ETM_Q19_203230"/>
      <w:bookmarkEnd w:id="14411"/>
      <w:r>
        <w:rPr>
          <w:rFonts w:hint="cs"/>
          <w:rtl/>
        </w:rPr>
        <w:t xml:space="preserve">במשרדים </w:t>
      </w:r>
      <w:bookmarkStart w:id="14412" w:name="_ETM_Q19_204399"/>
      <w:bookmarkEnd w:id="14412"/>
      <w:r>
        <w:rPr>
          <w:rFonts w:hint="cs"/>
          <w:rtl/>
        </w:rPr>
        <w:t xml:space="preserve">ואת </w:t>
      </w:r>
      <w:bookmarkStart w:id="14413" w:name="_ETM_Q19_204669"/>
      <w:bookmarkEnd w:id="14413"/>
      <w:r>
        <w:rPr>
          <w:rFonts w:hint="cs"/>
          <w:rtl/>
        </w:rPr>
        <w:t xml:space="preserve">כל </w:t>
      </w:r>
      <w:bookmarkStart w:id="14414" w:name="_ETM_Q19_204939"/>
      <w:bookmarkEnd w:id="14414"/>
      <w:r>
        <w:rPr>
          <w:rFonts w:hint="cs"/>
          <w:rtl/>
        </w:rPr>
        <w:t xml:space="preserve">פקידי </w:t>
      </w:r>
      <w:bookmarkStart w:id="14415" w:name="_ETM_Q19_205590"/>
      <w:bookmarkEnd w:id="14415"/>
      <w:r>
        <w:rPr>
          <w:rFonts w:hint="cs"/>
          <w:rtl/>
        </w:rPr>
        <w:t>הציבור.</w:t>
      </w:r>
    </w:p>
    <w:p w:rsidR="000C5C1F" w:rsidRDefault="000C5C1F" w:rsidP="000C5C1F">
      <w:pPr>
        <w:rPr>
          <w:rtl/>
        </w:rPr>
      </w:pPr>
      <w:bookmarkStart w:id="14416" w:name="_ETM_Q19_208000"/>
      <w:bookmarkEnd w:id="14416"/>
    </w:p>
    <w:p w:rsidR="000C5C1F" w:rsidRDefault="000C5C1F" w:rsidP="000C5C1F">
      <w:pPr>
        <w:rPr>
          <w:rtl/>
        </w:rPr>
      </w:pPr>
      <w:bookmarkStart w:id="14417" w:name="_ETM_Q19_204000"/>
      <w:bookmarkStart w:id="14418" w:name="_ETM_Q19_206619"/>
      <w:bookmarkEnd w:id="14417"/>
      <w:bookmarkEnd w:id="14418"/>
      <w:r>
        <w:rPr>
          <w:rFonts w:hint="cs"/>
          <w:rtl/>
        </w:rPr>
        <w:t xml:space="preserve">הצעת </w:t>
      </w:r>
      <w:bookmarkStart w:id="14419" w:name="_ETM_Q19_207250"/>
      <w:bookmarkEnd w:id="14419"/>
      <w:r>
        <w:rPr>
          <w:rFonts w:hint="cs"/>
          <w:rtl/>
        </w:rPr>
        <w:t xml:space="preserve">החוק </w:t>
      </w:r>
      <w:bookmarkStart w:id="14420" w:name="_ETM_Q19_207609"/>
      <w:bookmarkEnd w:id="14420"/>
      <w:r>
        <w:rPr>
          <w:rFonts w:hint="cs"/>
          <w:rtl/>
        </w:rPr>
        <w:t xml:space="preserve">הזאת, </w:t>
      </w:r>
      <w:bookmarkStart w:id="14421" w:name="_ETM_Q19_207880"/>
      <w:bookmarkEnd w:id="14421"/>
      <w:r>
        <w:rPr>
          <w:rFonts w:hint="cs"/>
          <w:rtl/>
        </w:rPr>
        <w:t xml:space="preserve">בניגוד </w:t>
      </w:r>
      <w:bookmarkStart w:id="14422" w:name="_ETM_Q19_208359"/>
      <w:bookmarkEnd w:id="14422"/>
      <w:r>
        <w:rPr>
          <w:rFonts w:hint="cs"/>
          <w:rtl/>
        </w:rPr>
        <w:t xml:space="preserve">מוחלט </w:t>
      </w:r>
      <w:bookmarkStart w:id="14423" w:name="_ETM_Q19_209349"/>
      <w:bookmarkEnd w:id="14423"/>
      <w:r>
        <w:rPr>
          <w:rFonts w:hint="cs"/>
          <w:rtl/>
        </w:rPr>
        <w:t xml:space="preserve">למצג </w:t>
      </w:r>
      <w:bookmarkStart w:id="14424" w:name="_ETM_Q19_210009"/>
      <w:bookmarkEnd w:id="14424"/>
      <w:r>
        <w:rPr>
          <w:rFonts w:hint="cs"/>
          <w:rtl/>
        </w:rPr>
        <w:t xml:space="preserve">השווא </w:t>
      </w:r>
      <w:bookmarkStart w:id="14425" w:name="_ETM_Q19_210310"/>
      <w:bookmarkEnd w:id="14425"/>
      <w:r>
        <w:rPr>
          <w:rFonts w:hint="cs"/>
          <w:rtl/>
        </w:rPr>
        <w:t xml:space="preserve">של </w:t>
      </w:r>
      <w:bookmarkStart w:id="14426" w:name="_ETM_Q19_210550"/>
      <w:bookmarkEnd w:id="14426"/>
      <w:r>
        <w:rPr>
          <w:rFonts w:hint="cs"/>
          <w:rtl/>
        </w:rPr>
        <w:t xml:space="preserve">רוטמן, </w:t>
      </w:r>
      <w:bookmarkStart w:id="14427" w:name="_ETM_Q19_211660"/>
      <w:bookmarkEnd w:id="14427"/>
      <w:r>
        <w:rPr>
          <w:rFonts w:hint="cs"/>
          <w:rtl/>
        </w:rPr>
        <w:t xml:space="preserve">לא </w:t>
      </w:r>
      <w:bookmarkStart w:id="14428" w:name="_ETM_Q19_212079"/>
      <w:bookmarkEnd w:id="14428"/>
      <w:r>
        <w:rPr>
          <w:rFonts w:hint="cs"/>
          <w:rtl/>
        </w:rPr>
        <w:t xml:space="preserve">גובשה </w:t>
      </w:r>
      <w:bookmarkStart w:id="14429" w:name="_ETM_Q19_213129"/>
      <w:bookmarkEnd w:id="14429"/>
      <w:r>
        <w:rPr>
          <w:rFonts w:hint="cs"/>
          <w:rtl/>
        </w:rPr>
        <w:t xml:space="preserve">בהליך </w:t>
      </w:r>
      <w:bookmarkStart w:id="14430" w:name="_ETM_Q19_213729"/>
      <w:bookmarkEnd w:id="14430"/>
      <w:r>
        <w:rPr>
          <w:rFonts w:hint="cs"/>
          <w:rtl/>
        </w:rPr>
        <w:t xml:space="preserve">ראוי </w:t>
      </w:r>
      <w:bookmarkStart w:id="14431" w:name="_ETM_Q19_214090"/>
      <w:bookmarkEnd w:id="14431"/>
      <w:r>
        <w:rPr>
          <w:rFonts w:hint="cs"/>
          <w:rtl/>
        </w:rPr>
        <w:t xml:space="preserve">של </w:t>
      </w:r>
      <w:bookmarkStart w:id="14432" w:name="_ETM_Q19_214360"/>
      <w:bookmarkEnd w:id="14432"/>
      <w:r>
        <w:rPr>
          <w:rFonts w:hint="cs"/>
          <w:rtl/>
        </w:rPr>
        <w:t>דיון</w:t>
      </w:r>
      <w:bookmarkStart w:id="14433" w:name="_ETM_Q19_215239"/>
      <w:bookmarkEnd w:id="14433"/>
      <w:r>
        <w:rPr>
          <w:rFonts w:hint="cs"/>
          <w:rtl/>
        </w:rPr>
        <w:t xml:space="preserve">. היא </w:t>
      </w:r>
      <w:bookmarkStart w:id="14434" w:name="_ETM_Q19_215390"/>
      <w:bookmarkEnd w:id="14434"/>
      <w:r>
        <w:rPr>
          <w:rFonts w:hint="cs"/>
          <w:rtl/>
        </w:rPr>
        <w:t xml:space="preserve">גובשה </w:t>
      </w:r>
      <w:bookmarkStart w:id="14435" w:name="_ETM_Q19_215960"/>
      <w:bookmarkEnd w:id="14435"/>
      <w:r>
        <w:rPr>
          <w:rFonts w:hint="cs"/>
          <w:rtl/>
        </w:rPr>
        <w:t xml:space="preserve">בבליץ </w:t>
      </w:r>
      <w:bookmarkStart w:id="14436" w:name="_ETM_Q19_216590"/>
      <w:bookmarkEnd w:id="14436"/>
      <w:r>
        <w:rPr>
          <w:rFonts w:hint="cs"/>
          <w:rtl/>
        </w:rPr>
        <w:t xml:space="preserve">של </w:t>
      </w:r>
      <w:bookmarkStart w:id="14437" w:name="_ETM_Q19_216829"/>
      <w:bookmarkEnd w:id="14437"/>
      <w:r>
        <w:rPr>
          <w:rFonts w:hint="cs"/>
          <w:rtl/>
        </w:rPr>
        <w:t xml:space="preserve">דיונים. </w:t>
      </w:r>
      <w:bookmarkStart w:id="14438" w:name="_ETM_Q19_217909"/>
      <w:bookmarkEnd w:id="14438"/>
      <w:r>
        <w:rPr>
          <w:rFonts w:hint="cs"/>
          <w:rtl/>
        </w:rPr>
        <w:t xml:space="preserve">אנחנו </w:t>
      </w:r>
      <w:bookmarkStart w:id="14439" w:name="_ETM_Q19_218360"/>
      <w:bookmarkEnd w:id="14439"/>
      <w:r>
        <w:rPr>
          <w:rFonts w:hint="cs"/>
          <w:rtl/>
        </w:rPr>
        <w:t xml:space="preserve">ביקשנו </w:t>
      </w:r>
      <w:bookmarkStart w:id="14440" w:name="_ETM_Q19_218960"/>
      <w:bookmarkEnd w:id="14440"/>
      <w:r>
        <w:rPr>
          <w:rFonts w:hint="cs"/>
          <w:rtl/>
        </w:rPr>
        <w:t xml:space="preserve">שהיועץ </w:t>
      </w:r>
      <w:bookmarkStart w:id="14441" w:name="_ETM_Q19_219500"/>
      <w:bookmarkEnd w:id="14441"/>
      <w:r>
        <w:rPr>
          <w:rFonts w:hint="cs"/>
          <w:rtl/>
        </w:rPr>
        <w:t xml:space="preserve">המשפטי </w:t>
      </w:r>
      <w:bookmarkStart w:id="14442" w:name="_ETM_Q19_220039"/>
      <w:bookmarkEnd w:id="14442"/>
      <w:r>
        <w:rPr>
          <w:rFonts w:hint="cs"/>
          <w:rtl/>
        </w:rPr>
        <w:t xml:space="preserve">של </w:t>
      </w:r>
      <w:bookmarkStart w:id="14443" w:name="_ETM_Q19_220250"/>
      <w:bookmarkEnd w:id="14443"/>
      <w:r>
        <w:rPr>
          <w:rFonts w:hint="cs"/>
          <w:rtl/>
        </w:rPr>
        <w:t xml:space="preserve">מערכת </w:t>
      </w:r>
      <w:bookmarkStart w:id="14444" w:name="_ETM_Q19_220760"/>
      <w:bookmarkEnd w:id="14444"/>
      <w:r>
        <w:rPr>
          <w:rFonts w:hint="cs"/>
          <w:rtl/>
        </w:rPr>
        <w:t xml:space="preserve">הביטחון </w:t>
      </w:r>
      <w:bookmarkStart w:id="14445" w:name="_ETM_Q19_221329"/>
      <w:bookmarkEnd w:id="14445"/>
      <w:r>
        <w:rPr>
          <w:rFonts w:hint="cs"/>
          <w:rtl/>
        </w:rPr>
        <w:t xml:space="preserve">יתייצב </w:t>
      </w:r>
      <w:bookmarkStart w:id="14446" w:name="_ETM_Q19_221870"/>
      <w:bookmarkEnd w:id="14446"/>
      <w:r>
        <w:rPr>
          <w:rFonts w:hint="cs"/>
          <w:rtl/>
        </w:rPr>
        <w:t xml:space="preserve">בוועדה, </w:t>
      </w:r>
      <w:bookmarkStart w:id="14447" w:name="_ETM_Q19_222890"/>
      <w:bookmarkEnd w:id="14447"/>
      <w:r>
        <w:rPr>
          <w:rFonts w:hint="cs"/>
          <w:rtl/>
        </w:rPr>
        <w:t xml:space="preserve">והפרקליטה </w:t>
      </w:r>
      <w:bookmarkStart w:id="14448" w:name="_ETM_Q19_223729"/>
      <w:bookmarkEnd w:id="14448"/>
      <w:r>
        <w:rPr>
          <w:rFonts w:hint="cs"/>
          <w:rtl/>
        </w:rPr>
        <w:t xml:space="preserve">הצבאית </w:t>
      </w:r>
      <w:bookmarkStart w:id="14449" w:name="_ETM_Q19_224210"/>
      <w:bookmarkEnd w:id="14449"/>
      <w:r>
        <w:rPr>
          <w:rFonts w:hint="cs"/>
          <w:rtl/>
        </w:rPr>
        <w:t xml:space="preserve">הראשית – </w:t>
      </w:r>
      <w:bookmarkStart w:id="14450" w:name="_ETM_Q19_225110"/>
      <w:bookmarkEnd w:id="14450"/>
      <w:r>
        <w:rPr>
          <w:rFonts w:hint="cs"/>
          <w:rtl/>
        </w:rPr>
        <w:t xml:space="preserve">אבל </w:t>
      </w:r>
      <w:bookmarkStart w:id="14451" w:name="_ETM_Q19_225530"/>
      <w:bookmarkEnd w:id="14451"/>
      <w:r>
        <w:rPr>
          <w:rFonts w:hint="cs"/>
          <w:rtl/>
        </w:rPr>
        <w:t>רוטמן</w:t>
      </w:r>
      <w:bookmarkStart w:id="14452" w:name="_ETM_Q19_225860"/>
      <w:bookmarkEnd w:id="14452"/>
      <w:r>
        <w:rPr>
          <w:rFonts w:hint="cs"/>
          <w:rtl/>
        </w:rPr>
        <w:t xml:space="preserve"> </w:t>
      </w:r>
      <w:bookmarkStart w:id="14453" w:name="_ETM_Q19_226100"/>
      <w:bookmarkEnd w:id="14453"/>
      <w:r>
        <w:rPr>
          <w:rFonts w:hint="cs"/>
          <w:rtl/>
        </w:rPr>
        <w:t xml:space="preserve">לא </w:t>
      </w:r>
      <w:bookmarkStart w:id="14454" w:name="_ETM_Q19_226250"/>
      <w:bookmarkEnd w:id="14454"/>
      <w:r>
        <w:rPr>
          <w:rFonts w:hint="cs"/>
          <w:rtl/>
        </w:rPr>
        <w:t xml:space="preserve">רצה </w:t>
      </w:r>
      <w:bookmarkStart w:id="14455" w:name="_ETM_Q19_226610"/>
      <w:bookmarkEnd w:id="14455"/>
      <w:r>
        <w:rPr>
          <w:rFonts w:hint="cs"/>
          <w:rtl/>
        </w:rPr>
        <w:t xml:space="preserve">לשמוע </w:t>
      </w:r>
      <w:bookmarkStart w:id="14456" w:name="_ETM_Q19_227089"/>
      <w:bookmarkEnd w:id="14456"/>
      <w:r>
        <w:rPr>
          <w:rFonts w:hint="cs"/>
          <w:rtl/>
        </w:rPr>
        <w:t xml:space="preserve">אותם. </w:t>
      </w:r>
      <w:bookmarkStart w:id="14457" w:name="_ETM_Q19_227979"/>
      <w:bookmarkEnd w:id="14457"/>
      <w:r>
        <w:rPr>
          <w:rFonts w:hint="cs"/>
          <w:rtl/>
        </w:rPr>
        <w:t xml:space="preserve">אנחנו </w:t>
      </w:r>
      <w:bookmarkStart w:id="14458" w:name="_ETM_Q19_228460"/>
      <w:bookmarkEnd w:id="14458"/>
      <w:r>
        <w:rPr>
          <w:rFonts w:hint="cs"/>
          <w:rtl/>
        </w:rPr>
        <w:t xml:space="preserve">דאגנו </w:t>
      </w:r>
      <w:bookmarkStart w:id="14459" w:name="_ETM_Q19_228880"/>
      <w:bookmarkEnd w:id="14459"/>
      <w:r>
        <w:rPr>
          <w:rFonts w:hint="cs"/>
          <w:rtl/>
        </w:rPr>
        <w:t xml:space="preserve">שמרכז </w:t>
      </w:r>
      <w:bookmarkStart w:id="14460" w:name="_ETM_Q19_229540"/>
      <w:bookmarkEnd w:id="14460"/>
      <w:r>
        <w:rPr>
          <w:rFonts w:hint="cs"/>
          <w:rtl/>
        </w:rPr>
        <w:t xml:space="preserve">המחקר </w:t>
      </w:r>
      <w:bookmarkStart w:id="14461" w:name="_ETM_Q19_229930"/>
      <w:bookmarkEnd w:id="14461"/>
      <w:r>
        <w:rPr>
          <w:rFonts w:hint="cs"/>
          <w:rtl/>
        </w:rPr>
        <w:t xml:space="preserve">והמידע </w:t>
      </w:r>
      <w:bookmarkStart w:id="14462" w:name="_ETM_Q19_230500"/>
      <w:bookmarkEnd w:id="14462"/>
      <w:r>
        <w:rPr>
          <w:rFonts w:hint="cs"/>
          <w:rtl/>
        </w:rPr>
        <w:t xml:space="preserve">של </w:t>
      </w:r>
      <w:bookmarkStart w:id="14463" w:name="_ETM_Q19_230710"/>
      <w:bookmarkEnd w:id="14463"/>
      <w:r>
        <w:rPr>
          <w:rFonts w:hint="cs"/>
          <w:rtl/>
        </w:rPr>
        <w:t xml:space="preserve">הכנסת </w:t>
      </w:r>
      <w:bookmarkStart w:id="14464" w:name="_ETM_Q19_231549"/>
      <w:bookmarkEnd w:id="14464"/>
      <w:r>
        <w:rPr>
          <w:rFonts w:hint="cs"/>
          <w:rtl/>
        </w:rPr>
        <w:t xml:space="preserve">יניח </w:t>
      </w:r>
      <w:bookmarkStart w:id="14465" w:name="_ETM_Q19_232059"/>
      <w:bookmarkEnd w:id="14465"/>
      <w:r>
        <w:rPr>
          <w:rFonts w:hint="cs"/>
          <w:rtl/>
        </w:rPr>
        <w:t xml:space="preserve">מסמך </w:t>
      </w:r>
      <w:bookmarkStart w:id="14466" w:name="_ETM_Q19_233120"/>
      <w:bookmarkEnd w:id="14466"/>
      <w:r>
        <w:rPr>
          <w:rFonts w:hint="cs"/>
          <w:rtl/>
        </w:rPr>
        <w:t xml:space="preserve">על </w:t>
      </w:r>
      <w:bookmarkStart w:id="14467" w:name="_ETM_Q19_233300"/>
      <w:bookmarkEnd w:id="14467"/>
      <w:r>
        <w:rPr>
          <w:rFonts w:hint="cs"/>
          <w:rtl/>
        </w:rPr>
        <w:t xml:space="preserve">מנגנונים </w:t>
      </w:r>
      <w:bookmarkStart w:id="14468" w:name="_ETM_Q19_234170"/>
      <w:bookmarkEnd w:id="14468"/>
      <w:r>
        <w:rPr>
          <w:rFonts w:hint="cs"/>
          <w:rtl/>
        </w:rPr>
        <w:t xml:space="preserve">שפותחו </w:t>
      </w:r>
      <w:bookmarkStart w:id="14469" w:name="_ETM_Q19_234800"/>
      <w:bookmarkEnd w:id="14469"/>
      <w:r>
        <w:rPr>
          <w:rFonts w:hint="cs"/>
          <w:rtl/>
        </w:rPr>
        <w:t xml:space="preserve">במדינות </w:t>
      </w:r>
      <w:bookmarkStart w:id="14470" w:name="_ETM_Q19_235489"/>
      <w:bookmarkEnd w:id="14470"/>
      <w:r>
        <w:rPr>
          <w:rFonts w:hint="cs"/>
          <w:rtl/>
        </w:rPr>
        <w:t xml:space="preserve">אחרות – </w:t>
      </w:r>
      <w:bookmarkStart w:id="14471" w:name="_ETM_Q19_236300"/>
      <w:bookmarkEnd w:id="14471"/>
      <w:r>
        <w:rPr>
          <w:rFonts w:hint="cs"/>
          <w:rtl/>
        </w:rPr>
        <w:t xml:space="preserve">רוטמן </w:t>
      </w:r>
      <w:bookmarkStart w:id="14472" w:name="_ETM_Q19_236929"/>
      <w:bookmarkEnd w:id="14472"/>
      <w:r>
        <w:rPr>
          <w:rFonts w:hint="cs"/>
          <w:rtl/>
        </w:rPr>
        <w:t xml:space="preserve">לא </w:t>
      </w:r>
      <w:bookmarkStart w:id="14473" w:name="_ETM_Q19_237050"/>
      <w:bookmarkEnd w:id="14473"/>
      <w:r>
        <w:rPr>
          <w:rFonts w:hint="cs"/>
          <w:rtl/>
        </w:rPr>
        <w:t xml:space="preserve">רצה </w:t>
      </w:r>
      <w:bookmarkStart w:id="14474" w:name="_ETM_Q19_237440"/>
      <w:bookmarkEnd w:id="14474"/>
      <w:r>
        <w:rPr>
          <w:rFonts w:hint="cs"/>
          <w:rtl/>
        </w:rPr>
        <w:t xml:space="preserve">לדון </w:t>
      </w:r>
      <w:bookmarkStart w:id="14475" w:name="_ETM_Q19_237829"/>
      <w:bookmarkEnd w:id="14475"/>
      <w:r>
        <w:rPr>
          <w:rFonts w:hint="cs"/>
          <w:rtl/>
        </w:rPr>
        <w:t xml:space="preserve">בו. </w:t>
      </w:r>
      <w:bookmarkStart w:id="14476" w:name="_ETM_Q19_238519"/>
      <w:bookmarkStart w:id="14477" w:name="_ETM_Q19_241467"/>
      <w:bookmarkStart w:id="14478" w:name="_ETM_Q19_241519"/>
      <w:bookmarkStart w:id="14479" w:name="_ETM_Q19_241583"/>
      <w:bookmarkStart w:id="14480" w:name="_ETM_Q19_241631"/>
      <w:bookmarkEnd w:id="14476"/>
      <w:bookmarkEnd w:id="14477"/>
      <w:bookmarkEnd w:id="14478"/>
      <w:bookmarkEnd w:id="14479"/>
      <w:bookmarkEnd w:id="14480"/>
      <w:r>
        <w:rPr>
          <w:rFonts w:hint="cs"/>
          <w:rtl/>
        </w:rPr>
        <w:t xml:space="preserve">רוטמן </w:t>
      </w:r>
      <w:bookmarkStart w:id="14481" w:name="_ETM_Q19_239300"/>
      <w:bookmarkEnd w:id="14481"/>
      <w:r>
        <w:rPr>
          <w:rFonts w:hint="cs"/>
          <w:rtl/>
        </w:rPr>
        <w:t xml:space="preserve">הוביל </w:t>
      </w:r>
      <w:bookmarkStart w:id="14482" w:name="_ETM_Q19_239749"/>
      <w:bookmarkEnd w:id="14482"/>
      <w:r>
        <w:rPr>
          <w:rFonts w:hint="cs"/>
          <w:rtl/>
        </w:rPr>
        <w:t xml:space="preserve">כאן </w:t>
      </w:r>
      <w:bookmarkStart w:id="14483" w:name="_ETM_Q19_240140"/>
      <w:bookmarkEnd w:id="14483"/>
      <w:r>
        <w:rPr>
          <w:rFonts w:hint="cs"/>
          <w:rtl/>
        </w:rPr>
        <w:t xml:space="preserve">מחטף, </w:t>
      </w:r>
      <w:bookmarkStart w:id="14484" w:name="_ETM_Q19_241380"/>
      <w:bookmarkEnd w:id="14484"/>
      <w:r>
        <w:rPr>
          <w:rFonts w:hint="cs"/>
          <w:rtl/>
        </w:rPr>
        <w:t xml:space="preserve">דרס </w:t>
      </w:r>
      <w:bookmarkStart w:id="14485" w:name="_ETM_Q19_242040"/>
      <w:bookmarkEnd w:id="14485"/>
      <w:r>
        <w:rPr>
          <w:rFonts w:hint="cs"/>
          <w:rtl/>
        </w:rPr>
        <w:t xml:space="preserve">את </w:t>
      </w:r>
      <w:bookmarkStart w:id="14486" w:name="_ETM_Q19_242250"/>
      <w:bookmarkEnd w:id="14486"/>
      <w:r>
        <w:rPr>
          <w:rFonts w:hint="cs"/>
          <w:rtl/>
        </w:rPr>
        <w:t xml:space="preserve">תקנון </w:t>
      </w:r>
      <w:bookmarkStart w:id="14487" w:name="_ETM_Q19_242850"/>
      <w:bookmarkEnd w:id="14487"/>
      <w:r>
        <w:rPr>
          <w:rFonts w:hint="cs"/>
          <w:rtl/>
        </w:rPr>
        <w:t xml:space="preserve">הכנסת, </w:t>
      </w:r>
      <w:bookmarkStart w:id="14488" w:name="_ETM_Q19_243860"/>
      <w:bookmarkEnd w:id="14488"/>
      <w:r>
        <w:rPr>
          <w:rFonts w:hint="cs"/>
          <w:rtl/>
        </w:rPr>
        <w:t xml:space="preserve">סתם </w:t>
      </w:r>
      <w:bookmarkStart w:id="14489" w:name="_ETM_Q19_244550"/>
      <w:bookmarkEnd w:id="14489"/>
      <w:r>
        <w:rPr>
          <w:rFonts w:hint="cs"/>
          <w:rtl/>
        </w:rPr>
        <w:t xml:space="preserve">את הפה של </w:t>
      </w:r>
      <w:bookmarkStart w:id="14490" w:name="_ETM_Q19_245000"/>
      <w:bookmarkStart w:id="14491" w:name="_ETM_Q19_245270"/>
      <w:bookmarkEnd w:id="14490"/>
      <w:bookmarkEnd w:id="14491"/>
      <w:r>
        <w:rPr>
          <w:rFonts w:hint="cs"/>
          <w:rtl/>
        </w:rPr>
        <w:t xml:space="preserve">חברי </w:t>
      </w:r>
      <w:bookmarkStart w:id="14492" w:name="_ETM_Q19_245780"/>
      <w:bookmarkEnd w:id="14492"/>
      <w:r>
        <w:rPr>
          <w:rFonts w:hint="cs"/>
          <w:rtl/>
        </w:rPr>
        <w:t xml:space="preserve">האופוזיציה, </w:t>
      </w:r>
      <w:bookmarkStart w:id="14493" w:name="_ETM_Q19_246440"/>
      <w:bookmarkEnd w:id="14493"/>
      <w:r>
        <w:rPr>
          <w:rFonts w:hint="cs"/>
          <w:rtl/>
        </w:rPr>
        <w:t xml:space="preserve">זרק </w:t>
      </w:r>
      <w:bookmarkStart w:id="14494" w:name="_ETM_Q19_247040"/>
      <w:bookmarkEnd w:id="14494"/>
      <w:r>
        <w:rPr>
          <w:rFonts w:hint="cs"/>
          <w:rtl/>
        </w:rPr>
        <w:t xml:space="preserve">אותם </w:t>
      </w:r>
      <w:bookmarkStart w:id="14495" w:name="_ETM_Q19_247310"/>
      <w:bookmarkEnd w:id="14495"/>
      <w:r>
        <w:rPr>
          <w:rFonts w:hint="cs"/>
          <w:rtl/>
        </w:rPr>
        <w:t xml:space="preserve">באופן </w:t>
      </w:r>
      <w:bookmarkStart w:id="14496" w:name="_ETM_Q19_247729"/>
      <w:bookmarkEnd w:id="14496"/>
      <w:r>
        <w:rPr>
          <w:rFonts w:hint="cs"/>
          <w:rtl/>
        </w:rPr>
        <w:t xml:space="preserve">סדרתי </w:t>
      </w:r>
      <w:bookmarkStart w:id="14497" w:name="_ETM_Q19_248750"/>
      <w:bookmarkEnd w:id="14497"/>
      <w:r>
        <w:rPr>
          <w:rFonts w:hint="cs"/>
          <w:rtl/>
        </w:rPr>
        <w:t xml:space="preserve">מחדר </w:t>
      </w:r>
      <w:bookmarkStart w:id="14498" w:name="_ETM_Q19_249410"/>
      <w:bookmarkEnd w:id="14498"/>
      <w:r>
        <w:rPr>
          <w:rFonts w:hint="cs"/>
          <w:rtl/>
        </w:rPr>
        <w:t xml:space="preserve">הוועדה </w:t>
      </w:r>
      <w:bookmarkStart w:id="14499" w:name="_ETM_Q19_250310"/>
      <w:bookmarkEnd w:id="14499"/>
      <w:r>
        <w:rPr>
          <w:rFonts w:hint="cs"/>
          <w:rtl/>
        </w:rPr>
        <w:t xml:space="preserve">וסתם </w:t>
      </w:r>
      <w:bookmarkStart w:id="14500" w:name="_ETM_Q19_251209"/>
      <w:bookmarkEnd w:id="14500"/>
      <w:r>
        <w:rPr>
          <w:rFonts w:hint="cs"/>
          <w:rtl/>
        </w:rPr>
        <w:t xml:space="preserve">את פיהם </w:t>
      </w:r>
      <w:bookmarkStart w:id="14501" w:name="_ETM_Q19_251899"/>
      <w:bookmarkEnd w:id="14501"/>
      <w:r>
        <w:rPr>
          <w:rFonts w:hint="cs"/>
          <w:rtl/>
        </w:rPr>
        <w:t xml:space="preserve">של </w:t>
      </w:r>
      <w:bookmarkStart w:id="14502" w:name="_ETM_Q19_252140"/>
      <w:bookmarkEnd w:id="14502"/>
      <w:r>
        <w:rPr>
          <w:rFonts w:hint="cs"/>
          <w:rtl/>
        </w:rPr>
        <w:t xml:space="preserve">היועצים </w:t>
      </w:r>
      <w:bookmarkStart w:id="14503" w:name="_ETM_Q19_252829"/>
      <w:bookmarkEnd w:id="14503"/>
      <w:r>
        <w:rPr>
          <w:rFonts w:hint="cs"/>
          <w:rtl/>
        </w:rPr>
        <w:t xml:space="preserve">המשפטיים. </w:t>
      </w:r>
      <w:bookmarkStart w:id="14504" w:name="_ETM_Q19_254630"/>
      <w:bookmarkEnd w:id="14504"/>
      <w:r>
        <w:rPr>
          <w:rFonts w:hint="cs"/>
          <w:rtl/>
        </w:rPr>
        <w:t xml:space="preserve">הדיונים </w:t>
      </w:r>
      <w:bookmarkStart w:id="14505" w:name="_ETM_Q19_255260"/>
      <w:bookmarkEnd w:id="14505"/>
      <w:r>
        <w:rPr>
          <w:rFonts w:hint="cs"/>
          <w:rtl/>
        </w:rPr>
        <w:t xml:space="preserve">התנהלו </w:t>
      </w:r>
      <w:bookmarkStart w:id="14506" w:name="_ETM_Q19_256010"/>
      <w:bookmarkEnd w:id="14506"/>
      <w:r>
        <w:rPr>
          <w:rFonts w:hint="cs"/>
          <w:rtl/>
        </w:rPr>
        <w:t xml:space="preserve">באופן </w:t>
      </w:r>
      <w:bookmarkStart w:id="14507" w:name="_ETM_Q19_256520"/>
      <w:bookmarkEnd w:id="14507"/>
      <w:r>
        <w:rPr>
          <w:rFonts w:hint="cs"/>
          <w:rtl/>
        </w:rPr>
        <w:t xml:space="preserve">כוחני, </w:t>
      </w:r>
      <w:bookmarkStart w:id="14508" w:name="_ETM_Q19_257630"/>
      <w:bookmarkEnd w:id="14508"/>
      <w:r>
        <w:rPr>
          <w:rFonts w:hint="cs"/>
          <w:rtl/>
        </w:rPr>
        <w:t xml:space="preserve">תוך </w:t>
      </w:r>
      <w:bookmarkStart w:id="14509" w:name="_ETM_Q19_257900"/>
      <w:bookmarkEnd w:id="14509"/>
      <w:r>
        <w:rPr>
          <w:rFonts w:hint="cs"/>
          <w:rtl/>
        </w:rPr>
        <w:t xml:space="preserve">השתקה </w:t>
      </w:r>
      <w:bookmarkStart w:id="14510" w:name="_ETM_Q19_258410"/>
      <w:bookmarkEnd w:id="14510"/>
      <w:r>
        <w:rPr>
          <w:rFonts w:hint="cs"/>
          <w:rtl/>
        </w:rPr>
        <w:t xml:space="preserve">של </w:t>
      </w:r>
      <w:bookmarkStart w:id="14511" w:name="_ETM_Q19_258620"/>
      <w:bookmarkEnd w:id="14511"/>
      <w:r>
        <w:rPr>
          <w:rFonts w:hint="cs"/>
          <w:rtl/>
        </w:rPr>
        <w:t xml:space="preserve">חברי </w:t>
      </w:r>
      <w:bookmarkStart w:id="14512" w:name="_ETM_Q19_259400"/>
      <w:bookmarkEnd w:id="14512"/>
      <w:r>
        <w:rPr>
          <w:rFonts w:hint="cs"/>
          <w:rtl/>
        </w:rPr>
        <w:t xml:space="preserve">האופוזיציה </w:t>
      </w:r>
      <w:bookmarkStart w:id="14513" w:name="_ETM_Q19_260630"/>
      <w:bookmarkEnd w:id="14513"/>
      <w:r>
        <w:rPr>
          <w:rFonts w:hint="cs"/>
          <w:rtl/>
        </w:rPr>
        <w:t xml:space="preserve">והשתקה </w:t>
      </w:r>
      <w:bookmarkStart w:id="14514" w:name="_ETM_Q19_261290"/>
      <w:bookmarkEnd w:id="14514"/>
      <w:r>
        <w:rPr>
          <w:rFonts w:hint="cs"/>
          <w:rtl/>
        </w:rPr>
        <w:t xml:space="preserve">של </w:t>
      </w:r>
      <w:bookmarkStart w:id="14515" w:name="_ETM_Q19_261530"/>
      <w:bookmarkEnd w:id="14515"/>
      <w:r>
        <w:rPr>
          <w:rFonts w:hint="cs"/>
          <w:rtl/>
        </w:rPr>
        <w:t xml:space="preserve">הייעוץ </w:t>
      </w:r>
      <w:bookmarkStart w:id="14516" w:name="_ETM_Q19_261920"/>
      <w:bookmarkEnd w:id="14516"/>
      <w:r>
        <w:rPr>
          <w:rFonts w:hint="cs"/>
          <w:rtl/>
        </w:rPr>
        <w:t xml:space="preserve">המשפטי </w:t>
      </w:r>
      <w:bookmarkStart w:id="14517" w:name="_ETM_Q19_263030"/>
      <w:bookmarkEnd w:id="14517"/>
      <w:r>
        <w:rPr>
          <w:rFonts w:hint="cs"/>
          <w:rtl/>
        </w:rPr>
        <w:t xml:space="preserve">באלימות </w:t>
      </w:r>
      <w:bookmarkStart w:id="14518" w:name="_ETM_Q19_263750"/>
      <w:bookmarkEnd w:id="14518"/>
      <w:r>
        <w:rPr>
          <w:rFonts w:hint="cs"/>
          <w:rtl/>
        </w:rPr>
        <w:t xml:space="preserve">דיונית </w:t>
      </w:r>
      <w:bookmarkStart w:id="14519" w:name="_ETM_Q19_264590"/>
      <w:bookmarkEnd w:id="14519"/>
      <w:r>
        <w:rPr>
          <w:rFonts w:hint="cs"/>
          <w:rtl/>
        </w:rPr>
        <w:t xml:space="preserve">של </w:t>
      </w:r>
      <w:bookmarkStart w:id="14520" w:name="_ETM_Q19_264890"/>
      <w:bookmarkEnd w:id="14520"/>
      <w:r>
        <w:rPr>
          <w:rFonts w:hint="cs"/>
          <w:rtl/>
        </w:rPr>
        <w:t>ממש.</w:t>
      </w:r>
    </w:p>
    <w:p w:rsidR="000C5C1F" w:rsidRDefault="000C5C1F" w:rsidP="000C5C1F">
      <w:pPr>
        <w:rPr>
          <w:rtl/>
        </w:rPr>
      </w:pPr>
    </w:p>
    <w:p w:rsidR="000C5C1F" w:rsidRDefault="000C5C1F" w:rsidP="000C5C1F">
      <w:pPr>
        <w:rPr>
          <w:rtl/>
        </w:rPr>
      </w:pPr>
      <w:bookmarkStart w:id="14521" w:name="_ETM_Q19_263000"/>
      <w:bookmarkStart w:id="14522" w:name="_ETM_Q19_266140"/>
      <w:bookmarkEnd w:id="14521"/>
      <w:bookmarkEnd w:id="14522"/>
      <w:r>
        <w:rPr>
          <w:rFonts w:hint="cs"/>
          <w:rtl/>
        </w:rPr>
        <w:t xml:space="preserve">לסיכום </w:t>
      </w:r>
      <w:bookmarkStart w:id="14523" w:name="_ETM_Q19_267009"/>
      <w:bookmarkEnd w:id="14523"/>
      <w:r>
        <w:rPr>
          <w:rFonts w:hint="cs"/>
          <w:rtl/>
        </w:rPr>
        <w:t xml:space="preserve">דבריי, </w:t>
      </w:r>
      <w:bookmarkStart w:id="14524" w:name="_ETM_Q19_267729"/>
      <w:bookmarkEnd w:id="14524"/>
      <w:r>
        <w:rPr>
          <w:rFonts w:hint="cs"/>
          <w:rtl/>
        </w:rPr>
        <w:t xml:space="preserve">אדוני </w:t>
      </w:r>
      <w:bookmarkStart w:id="14525" w:name="_ETM_Q19_268119"/>
      <w:bookmarkEnd w:id="14525"/>
      <w:r>
        <w:rPr>
          <w:rFonts w:hint="cs"/>
          <w:rtl/>
        </w:rPr>
        <w:t xml:space="preserve">היושב-ראש, </w:t>
      </w:r>
      <w:bookmarkStart w:id="14526" w:name="_ETM_Q19_269590"/>
      <w:bookmarkEnd w:id="14526"/>
      <w:r>
        <w:rPr>
          <w:rFonts w:hint="cs"/>
          <w:rtl/>
        </w:rPr>
        <w:t xml:space="preserve">מסכת </w:t>
      </w:r>
      <w:bookmarkStart w:id="14527" w:name="_ETM_Q19_270580"/>
      <w:bookmarkEnd w:id="14527"/>
      <w:r>
        <w:rPr>
          <w:rFonts w:hint="cs"/>
          <w:rtl/>
        </w:rPr>
        <w:t xml:space="preserve">שלמה </w:t>
      </w:r>
      <w:bookmarkStart w:id="14528" w:name="_ETM_Q19_271360"/>
      <w:bookmarkEnd w:id="14528"/>
      <w:r>
        <w:rPr>
          <w:rFonts w:hint="cs"/>
          <w:rtl/>
        </w:rPr>
        <w:t xml:space="preserve">של </w:t>
      </w:r>
      <w:bookmarkStart w:id="14529" w:name="_ETM_Q19_271660"/>
      <w:bookmarkEnd w:id="14529"/>
      <w:r>
        <w:rPr>
          <w:rFonts w:hint="cs"/>
          <w:rtl/>
        </w:rPr>
        <w:t xml:space="preserve">שקרים </w:t>
      </w:r>
      <w:bookmarkStart w:id="14530" w:name="_ETM_Q19_272780"/>
      <w:bookmarkEnd w:id="14530"/>
      <w:r>
        <w:rPr>
          <w:rFonts w:hint="cs"/>
          <w:rtl/>
        </w:rPr>
        <w:t xml:space="preserve">ושל </w:t>
      </w:r>
      <w:bookmarkStart w:id="14531" w:name="_ETM_Q19_273290"/>
      <w:bookmarkEnd w:id="14531"/>
      <w:r>
        <w:rPr>
          <w:rFonts w:hint="cs"/>
          <w:rtl/>
        </w:rPr>
        <w:t xml:space="preserve">חצאי </w:t>
      </w:r>
      <w:bookmarkStart w:id="14532" w:name="_ETM_Q19_273799"/>
      <w:bookmarkEnd w:id="14532"/>
      <w:r>
        <w:rPr>
          <w:rFonts w:hint="cs"/>
          <w:rtl/>
        </w:rPr>
        <w:t xml:space="preserve">אמיתות </w:t>
      </w:r>
      <w:bookmarkStart w:id="14533" w:name="_ETM_Q19_274850"/>
      <w:bookmarkEnd w:id="14533"/>
      <w:r>
        <w:rPr>
          <w:rFonts w:hint="cs"/>
          <w:rtl/>
        </w:rPr>
        <w:t xml:space="preserve">שמענו </w:t>
      </w:r>
      <w:bookmarkStart w:id="14534" w:name="_ETM_Q19_275450"/>
      <w:bookmarkEnd w:id="14534"/>
      <w:r>
        <w:rPr>
          <w:rFonts w:hint="cs"/>
          <w:rtl/>
        </w:rPr>
        <w:t xml:space="preserve">הבוקר </w:t>
      </w:r>
      <w:bookmarkStart w:id="14535" w:name="_ETM_Q19_275959"/>
      <w:bookmarkEnd w:id="14535"/>
      <w:r>
        <w:rPr>
          <w:rFonts w:hint="cs"/>
          <w:rtl/>
        </w:rPr>
        <w:t xml:space="preserve">הזה </w:t>
      </w:r>
      <w:bookmarkStart w:id="14536" w:name="_ETM_Q19_276319"/>
      <w:bookmarkEnd w:id="14536"/>
      <w:r>
        <w:rPr>
          <w:rFonts w:hint="cs"/>
          <w:rtl/>
        </w:rPr>
        <w:t xml:space="preserve">מפי </w:t>
      </w:r>
      <w:bookmarkStart w:id="14537" w:name="_ETM_Q19_276920"/>
      <w:bookmarkEnd w:id="14537"/>
      <w:r>
        <w:rPr>
          <w:rFonts w:hint="cs"/>
          <w:rtl/>
        </w:rPr>
        <w:t xml:space="preserve">יושב-ראש </w:t>
      </w:r>
      <w:bookmarkStart w:id="14538" w:name="_ETM_Q19_277610"/>
      <w:bookmarkEnd w:id="14538"/>
      <w:r>
        <w:rPr>
          <w:rFonts w:hint="cs"/>
          <w:rtl/>
        </w:rPr>
        <w:t xml:space="preserve">ועדת </w:t>
      </w:r>
      <w:bookmarkStart w:id="14539" w:name="_ETM_Q19_278090"/>
      <w:bookmarkEnd w:id="14539"/>
      <w:r>
        <w:rPr>
          <w:rFonts w:hint="cs"/>
          <w:rtl/>
        </w:rPr>
        <w:t xml:space="preserve">החוקה. </w:t>
      </w:r>
      <w:bookmarkStart w:id="14540" w:name="_ETM_Q19_279159"/>
      <w:bookmarkEnd w:id="14540"/>
      <w:r>
        <w:rPr>
          <w:rFonts w:hint="cs"/>
          <w:rtl/>
        </w:rPr>
        <w:t xml:space="preserve">דבר </w:t>
      </w:r>
      <w:bookmarkStart w:id="14541" w:name="_ETM_Q19_279850"/>
      <w:bookmarkStart w:id="14542" w:name="_ETM_Q19_280390"/>
      <w:bookmarkEnd w:id="14541"/>
      <w:bookmarkEnd w:id="14542"/>
      <w:r>
        <w:rPr>
          <w:rFonts w:hint="cs"/>
          <w:rtl/>
        </w:rPr>
        <w:t xml:space="preserve">אחד מעניין </w:t>
      </w:r>
      <w:bookmarkStart w:id="14543" w:name="_ETM_Q19_280959"/>
      <w:bookmarkEnd w:id="14543"/>
      <w:r>
        <w:rPr>
          <w:rFonts w:hint="cs"/>
          <w:rtl/>
        </w:rPr>
        <w:t>אותו</w:t>
      </w:r>
      <w:bookmarkStart w:id="14544" w:name="_ETM_Q19_281800"/>
      <w:bookmarkEnd w:id="14544"/>
      <w:r>
        <w:rPr>
          <w:rFonts w:hint="cs"/>
          <w:rtl/>
        </w:rPr>
        <w:t xml:space="preserve">: להסיר </w:t>
      </w:r>
      <w:bookmarkStart w:id="14545" w:name="_ETM_Q19_282640"/>
      <w:bookmarkEnd w:id="14545"/>
      <w:r>
        <w:rPr>
          <w:rFonts w:hint="cs"/>
          <w:rtl/>
        </w:rPr>
        <w:t>כל מגבלה - -</w:t>
      </w:r>
    </w:p>
    <w:p w:rsidR="000C5C1F" w:rsidRDefault="000C5C1F" w:rsidP="00337201">
      <w:pPr>
        <w:rPr>
          <w:rtl/>
        </w:rPr>
      </w:pPr>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rPr>
      </w:pPr>
    </w:p>
    <w:p w:rsidR="000C5C1F" w:rsidRDefault="000C5C1F" w:rsidP="000C5C1F">
      <w:pPr>
        <w:rPr>
          <w:rtl/>
        </w:rPr>
      </w:pPr>
      <w:bookmarkStart w:id="14546" w:name="_ETM_Q19_279000"/>
      <w:bookmarkStart w:id="14547" w:name="_ETM_Q19_283630"/>
      <w:bookmarkEnd w:id="14546"/>
      <w:bookmarkEnd w:id="14547"/>
      <w:r>
        <w:rPr>
          <w:rFonts w:hint="cs"/>
          <w:rtl/>
        </w:rPr>
        <w:t xml:space="preserve">תודה </w:t>
      </w:r>
      <w:bookmarkStart w:id="14548" w:name="_ETM_Q19_283930"/>
      <w:bookmarkEnd w:id="14548"/>
      <w:r>
        <w:rPr>
          <w:rFonts w:hint="cs"/>
          <w:rtl/>
        </w:rPr>
        <w:t>רבה.</w:t>
      </w:r>
    </w:p>
    <w:p w:rsidR="000C5C1F" w:rsidRDefault="000C5C1F" w:rsidP="000C5C1F">
      <w:pPr>
        <w:rPr>
          <w:rtl/>
        </w:rPr>
      </w:pPr>
      <w:bookmarkStart w:id="14549" w:name="_ETM_Q19_283000"/>
      <w:bookmarkEnd w:id="14549"/>
    </w:p>
    <w:p w:rsidR="000C5C1F" w:rsidRDefault="000C5C1F" w:rsidP="000C5C1F">
      <w:pPr>
        <w:pStyle w:val="-"/>
        <w:keepNext/>
        <w:rPr>
          <w:rtl/>
        </w:rPr>
      </w:pPr>
      <w:bookmarkStart w:id="14550" w:name="ET_speakercontinue_6156_2"/>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4550"/>
    </w:p>
    <w:p w:rsidR="000C5C1F" w:rsidRDefault="000C5C1F" w:rsidP="00337201">
      <w:pPr>
        <w:rPr>
          <w:rtl/>
        </w:rPr>
      </w:pPr>
    </w:p>
    <w:p w:rsidR="000C5C1F" w:rsidRDefault="000C5C1F" w:rsidP="000C5C1F">
      <w:pPr>
        <w:rPr>
          <w:rtl/>
        </w:rPr>
      </w:pPr>
      <w:r>
        <w:rPr>
          <w:rFonts w:hint="cs"/>
          <w:rtl/>
        </w:rPr>
        <w:t xml:space="preserve">- </w:t>
      </w:r>
      <w:bookmarkStart w:id="14551" w:name="_ETM_Q19_282000"/>
      <w:bookmarkEnd w:id="14551"/>
      <w:r>
        <w:rPr>
          <w:rFonts w:hint="cs"/>
          <w:rtl/>
        </w:rPr>
        <w:t xml:space="preserve">- </w:t>
      </w:r>
      <w:bookmarkStart w:id="14552" w:name="_ETM_Q19_284260"/>
      <w:bookmarkEnd w:id="14552"/>
      <w:r>
        <w:rPr>
          <w:rFonts w:hint="cs"/>
          <w:rtl/>
        </w:rPr>
        <w:t xml:space="preserve">כל </w:t>
      </w:r>
      <w:bookmarkStart w:id="14553" w:name="_ETM_Q19_284740"/>
      <w:bookmarkEnd w:id="14553"/>
      <w:r>
        <w:rPr>
          <w:rFonts w:hint="cs"/>
          <w:rtl/>
        </w:rPr>
        <w:t xml:space="preserve">גורם </w:t>
      </w:r>
      <w:bookmarkStart w:id="14554" w:name="_ETM_Q19_285310"/>
      <w:bookmarkEnd w:id="14554"/>
      <w:r>
        <w:rPr>
          <w:rFonts w:hint="cs"/>
          <w:rtl/>
        </w:rPr>
        <w:t xml:space="preserve">מאזן, </w:t>
      </w:r>
      <w:bookmarkStart w:id="14555" w:name="_ETM_Q19_286390"/>
      <w:bookmarkEnd w:id="14555"/>
      <w:r>
        <w:rPr>
          <w:rFonts w:hint="cs"/>
          <w:rtl/>
        </w:rPr>
        <w:t xml:space="preserve">מעל </w:t>
      </w:r>
      <w:bookmarkStart w:id="14556" w:name="_ETM_Q19_286870"/>
      <w:bookmarkEnd w:id="14556"/>
      <w:r>
        <w:rPr>
          <w:rFonts w:hint="cs"/>
          <w:rtl/>
        </w:rPr>
        <w:t xml:space="preserve">דרכה </w:t>
      </w:r>
      <w:bookmarkStart w:id="14557" w:name="_ETM_Q19_287830"/>
      <w:bookmarkEnd w:id="14557"/>
      <w:r>
        <w:rPr>
          <w:rFonts w:hint="cs"/>
          <w:rtl/>
        </w:rPr>
        <w:t xml:space="preserve">של </w:t>
      </w:r>
      <w:bookmarkStart w:id="14558" w:name="_ETM_Q19_288100"/>
      <w:bookmarkEnd w:id="14558"/>
      <w:r>
        <w:rPr>
          <w:rFonts w:hint="cs"/>
          <w:rtl/>
        </w:rPr>
        <w:t xml:space="preserve">הממשלה </w:t>
      </w:r>
      <w:bookmarkStart w:id="14559" w:name="_ETM_Q19_288940"/>
      <w:bookmarkEnd w:id="14559"/>
      <w:r>
        <w:rPr>
          <w:rFonts w:hint="cs"/>
          <w:rtl/>
        </w:rPr>
        <w:t xml:space="preserve">הקיצונית </w:t>
      </w:r>
      <w:bookmarkStart w:id="14560" w:name="_ETM_Q19_290260"/>
      <w:bookmarkEnd w:id="14560"/>
      <w:r>
        <w:rPr>
          <w:rFonts w:hint="cs"/>
          <w:rtl/>
        </w:rPr>
        <w:t xml:space="preserve">והבריונית </w:t>
      </w:r>
      <w:bookmarkStart w:id="14561" w:name="_ETM_Q19_291370"/>
      <w:bookmarkEnd w:id="14561"/>
      <w:r>
        <w:rPr>
          <w:rFonts w:hint="cs"/>
          <w:rtl/>
        </w:rPr>
        <w:t xml:space="preserve">ביותר </w:t>
      </w:r>
      <w:bookmarkStart w:id="14562" w:name="_ETM_Q19_292200"/>
      <w:bookmarkEnd w:id="14562"/>
      <w:r>
        <w:rPr>
          <w:rFonts w:hint="cs"/>
          <w:rtl/>
        </w:rPr>
        <w:t xml:space="preserve">בתולדותיה </w:t>
      </w:r>
      <w:bookmarkStart w:id="14563" w:name="_ETM_Q19_293160"/>
      <w:bookmarkEnd w:id="14563"/>
      <w:r>
        <w:rPr>
          <w:rFonts w:hint="cs"/>
          <w:rtl/>
        </w:rPr>
        <w:t xml:space="preserve">של </w:t>
      </w:r>
      <w:bookmarkStart w:id="14564" w:name="_ETM_Q19_293400"/>
      <w:bookmarkEnd w:id="14564"/>
      <w:r>
        <w:rPr>
          <w:rFonts w:hint="cs"/>
          <w:rtl/>
        </w:rPr>
        <w:t xml:space="preserve">מדינת </w:t>
      </w:r>
      <w:bookmarkStart w:id="14565" w:name="_ETM_Q19_294000"/>
      <w:bookmarkEnd w:id="14565"/>
      <w:r>
        <w:rPr>
          <w:rFonts w:hint="cs"/>
          <w:rtl/>
        </w:rPr>
        <w:t xml:space="preserve">ישראל. </w:t>
      </w:r>
      <w:bookmarkStart w:id="14566" w:name="_ETM_Q19_294960"/>
      <w:bookmarkEnd w:id="14566"/>
    </w:p>
    <w:p w:rsidR="000C5C1F" w:rsidRDefault="000C5C1F" w:rsidP="000C5C1F">
      <w:pPr>
        <w:rPr>
          <w:rtl/>
        </w:rPr>
      </w:pPr>
      <w:bookmarkStart w:id="14567" w:name="_ETM_Q19_296000"/>
      <w:bookmarkEnd w:id="14567"/>
    </w:p>
    <w:p w:rsidR="000C5C1F" w:rsidRDefault="000C5C1F" w:rsidP="000C5C1F">
      <w:pPr>
        <w:rPr>
          <w:rtl/>
        </w:rPr>
      </w:pPr>
      <w:bookmarkStart w:id="14568" w:name="_ETM_Q19_291000"/>
      <w:bookmarkEnd w:id="14568"/>
      <w:r>
        <w:rPr>
          <w:rFonts w:hint="cs"/>
          <w:rtl/>
        </w:rPr>
        <w:t xml:space="preserve">אנחנו </w:t>
      </w:r>
      <w:bookmarkStart w:id="14569" w:name="_ETM_Q19_296220"/>
      <w:bookmarkEnd w:id="14569"/>
      <w:r>
        <w:rPr>
          <w:rFonts w:hint="cs"/>
          <w:rtl/>
        </w:rPr>
        <w:t xml:space="preserve">נתייצב </w:t>
      </w:r>
      <w:bookmarkStart w:id="14570" w:name="_ETM_Q19_296970"/>
      <w:bookmarkEnd w:id="14570"/>
      <w:r>
        <w:rPr>
          <w:rFonts w:hint="cs"/>
          <w:rtl/>
        </w:rPr>
        <w:t xml:space="preserve">מולכם </w:t>
      </w:r>
      <w:bookmarkStart w:id="14571" w:name="_ETM_Q19_297840"/>
      <w:bookmarkEnd w:id="14571"/>
      <w:r>
        <w:rPr>
          <w:rFonts w:hint="cs"/>
          <w:rtl/>
        </w:rPr>
        <w:t xml:space="preserve">גם </w:t>
      </w:r>
      <w:bookmarkStart w:id="14572" w:name="_ETM_Q19_298170"/>
      <w:bookmarkEnd w:id="14572"/>
      <w:r>
        <w:rPr>
          <w:rFonts w:hint="cs"/>
          <w:rtl/>
        </w:rPr>
        <w:t xml:space="preserve">כאן, </w:t>
      </w:r>
      <w:bookmarkStart w:id="14573" w:name="_ETM_Q19_298950"/>
      <w:bookmarkEnd w:id="14573"/>
      <w:r>
        <w:rPr>
          <w:rFonts w:hint="cs"/>
          <w:rtl/>
        </w:rPr>
        <w:t xml:space="preserve">גם </w:t>
      </w:r>
      <w:bookmarkStart w:id="14574" w:name="_ETM_Q19_299280"/>
      <w:bookmarkEnd w:id="14574"/>
      <w:r>
        <w:rPr>
          <w:rFonts w:hint="cs"/>
          <w:rtl/>
        </w:rPr>
        <w:t xml:space="preserve">ברחובות, </w:t>
      </w:r>
      <w:bookmarkStart w:id="14575" w:name="_ETM_Q19_300330"/>
      <w:bookmarkEnd w:id="14575"/>
      <w:r>
        <w:rPr>
          <w:rFonts w:hint="cs"/>
          <w:rtl/>
        </w:rPr>
        <w:t xml:space="preserve">גם </w:t>
      </w:r>
      <w:bookmarkStart w:id="14576" w:name="_ETM_Q19_300660"/>
      <w:bookmarkEnd w:id="14576"/>
      <w:r>
        <w:rPr>
          <w:rFonts w:hint="cs"/>
          <w:rtl/>
        </w:rPr>
        <w:t xml:space="preserve">באולמות </w:t>
      </w:r>
      <w:bookmarkStart w:id="14577" w:name="_ETM_Q19_301290"/>
      <w:bookmarkEnd w:id="14577"/>
      <w:r>
        <w:rPr>
          <w:rFonts w:hint="cs"/>
          <w:rtl/>
        </w:rPr>
        <w:t xml:space="preserve">בית </w:t>
      </w:r>
      <w:bookmarkStart w:id="14578" w:name="_ETM_Q19_301530"/>
      <w:bookmarkEnd w:id="14578"/>
      <w:r>
        <w:rPr>
          <w:rFonts w:hint="cs"/>
          <w:rtl/>
        </w:rPr>
        <w:t xml:space="preserve">המשפט. </w:t>
      </w:r>
      <w:bookmarkStart w:id="14579" w:name="_ETM_Q19_302430"/>
      <w:bookmarkEnd w:id="14579"/>
      <w:r>
        <w:rPr>
          <w:rFonts w:hint="cs"/>
          <w:rtl/>
        </w:rPr>
        <w:t xml:space="preserve">לא </w:t>
      </w:r>
      <w:bookmarkStart w:id="14580" w:name="_ETM_Q19_302760"/>
      <w:bookmarkEnd w:id="14580"/>
      <w:r>
        <w:rPr>
          <w:rFonts w:hint="cs"/>
          <w:rtl/>
        </w:rPr>
        <w:t xml:space="preserve">ניתן </w:t>
      </w:r>
      <w:bookmarkStart w:id="14581" w:name="_ETM_Q19_303150"/>
      <w:bookmarkEnd w:id="14581"/>
      <w:r>
        <w:rPr>
          <w:rFonts w:hint="cs"/>
          <w:rtl/>
        </w:rPr>
        <w:t xml:space="preserve">לכם </w:t>
      </w:r>
      <w:bookmarkStart w:id="14582" w:name="_ETM_Q19_303450"/>
      <w:bookmarkStart w:id="14583" w:name="_ETM_Q19_303780"/>
      <w:bookmarkEnd w:id="14582"/>
      <w:bookmarkEnd w:id="14583"/>
      <w:r>
        <w:rPr>
          <w:rFonts w:hint="cs"/>
          <w:rtl/>
        </w:rPr>
        <w:t xml:space="preserve">להרים </w:t>
      </w:r>
      <w:bookmarkStart w:id="14584" w:name="_ETM_Q19_304229"/>
      <w:bookmarkEnd w:id="14584"/>
      <w:r>
        <w:rPr>
          <w:rFonts w:hint="cs"/>
          <w:rtl/>
        </w:rPr>
        <w:t xml:space="preserve">את </w:t>
      </w:r>
      <w:bookmarkStart w:id="14585" w:name="_ETM_Q19_304410"/>
      <w:bookmarkEnd w:id="14585"/>
      <w:r>
        <w:rPr>
          <w:rFonts w:hint="cs"/>
          <w:rtl/>
        </w:rPr>
        <w:t xml:space="preserve">היד – </w:t>
      </w:r>
      <w:bookmarkStart w:id="14586" w:name="_ETM_Q19_305119"/>
      <w:bookmarkEnd w:id="14586"/>
      <w:r>
        <w:rPr>
          <w:rFonts w:hint="cs"/>
          <w:rtl/>
        </w:rPr>
        <w:t xml:space="preserve">לא </w:t>
      </w:r>
      <w:bookmarkStart w:id="14587" w:name="_ETM_Q19_305389"/>
      <w:bookmarkEnd w:id="14587"/>
      <w:r>
        <w:rPr>
          <w:rFonts w:hint="cs"/>
          <w:rtl/>
        </w:rPr>
        <w:t xml:space="preserve">על </w:t>
      </w:r>
      <w:bookmarkStart w:id="14588" w:name="_ETM_Q19_305509"/>
      <w:bookmarkEnd w:id="14588"/>
      <w:r>
        <w:rPr>
          <w:rFonts w:hint="cs"/>
          <w:rtl/>
        </w:rPr>
        <w:t xml:space="preserve">הדמוקרטיה </w:t>
      </w:r>
      <w:bookmarkStart w:id="14589" w:name="_ETM_Q19_306380"/>
      <w:bookmarkEnd w:id="14589"/>
      <w:r>
        <w:rPr>
          <w:rFonts w:hint="cs"/>
          <w:rtl/>
        </w:rPr>
        <w:t xml:space="preserve">הישראלית </w:t>
      </w:r>
      <w:bookmarkStart w:id="14590" w:name="_ETM_Q19_307369"/>
      <w:bookmarkEnd w:id="14590"/>
      <w:r>
        <w:rPr>
          <w:rFonts w:hint="cs"/>
          <w:rtl/>
        </w:rPr>
        <w:t xml:space="preserve">ולא </w:t>
      </w:r>
      <w:bookmarkStart w:id="14591" w:name="_ETM_Q19_307759"/>
      <w:bookmarkEnd w:id="14591"/>
      <w:r>
        <w:rPr>
          <w:rFonts w:hint="cs"/>
          <w:rtl/>
        </w:rPr>
        <w:t xml:space="preserve">על </w:t>
      </w:r>
      <w:bookmarkStart w:id="14592" w:name="_ETM_Q19_307880"/>
      <w:bookmarkEnd w:id="14592"/>
      <w:r>
        <w:rPr>
          <w:rFonts w:hint="cs"/>
          <w:rtl/>
        </w:rPr>
        <w:t xml:space="preserve">הציונות. </w:t>
      </w:r>
      <w:bookmarkStart w:id="14593" w:name="_ETM_Q19_308840"/>
      <w:bookmarkEnd w:id="14593"/>
      <w:r>
        <w:rPr>
          <w:rFonts w:hint="cs"/>
          <w:rtl/>
        </w:rPr>
        <w:t>תודה.</w:t>
      </w:r>
    </w:p>
    <w:p w:rsidR="000C5C1F" w:rsidRDefault="000C5C1F" w:rsidP="000C5C1F">
      <w:pPr>
        <w:rPr>
          <w:rtl/>
        </w:rPr>
      </w:pPr>
      <w:bookmarkStart w:id="14594" w:name="_ETM_Q19_310000"/>
      <w:bookmarkEnd w:id="14594"/>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rPr>
      </w:pPr>
    </w:p>
    <w:p w:rsidR="000C5C1F" w:rsidRDefault="000C5C1F" w:rsidP="000C5C1F">
      <w:pPr>
        <w:rPr>
          <w:rtl/>
        </w:rPr>
      </w:pPr>
      <w:bookmarkStart w:id="14595" w:name="_ETM_Q19_306000"/>
      <w:bookmarkEnd w:id="14595"/>
      <w:r>
        <w:rPr>
          <w:rFonts w:hint="cs"/>
          <w:rtl/>
        </w:rPr>
        <w:t xml:space="preserve">תודה. </w:t>
      </w:r>
      <w:bookmarkStart w:id="14596" w:name="_ETM_Q19_310629"/>
      <w:bookmarkStart w:id="14597" w:name="_ETM_Q19_321887"/>
      <w:bookmarkStart w:id="14598" w:name="_ETM_Q19_321927"/>
      <w:bookmarkStart w:id="14599" w:name="_ETM_Q19_322295"/>
      <w:bookmarkStart w:id="14600" w:name="_ETM_Q19_322347"/>
      <w:bookmarkEnd w:id="14596"/>
      <w:bookmarkEnd w:id="14597"/>
      <w:bookmarkEnd w:id="14598"/>
      <w:bookmarkEnd w:id="14599"/>
      <w:bookmarkEnd w:id="14600"/>
      <w:r>
        <w:rPr>
          <w:rFonts w:hint="cs"/>
          <w:rtl/>
        </w:rPr>
        <w:t xml:space="preserve">חברת </w:t>
      </w:r>
      <w:bookmarkStart w:id="14601" w:name="_ETM_Q19_311560"/>
      <w:bookmarkEnd w:id="14601"/>
      <w:r>
        <w:rPr>
          <w:rFonts w:hint="cs"/>
          <w:rtl/>
        </w:rPr>
        <w:t xml:space="preserve">הכנסת </w:t>
      </w:r>
      <w:bookmarkStart w:id="14602" w:name="_ETM_Q19_311919"/>
      <w:bookmarkEnd w:id="14602"/>
      <w:r>
        <w:rPr>
          <w:rFonts w:hint="cs"/>
          <w:rtl/>
        </w:rPr>
        <w:t xml:space="preserve">קארין </w:t>
      </w:r>
      <w:bookmarkStart w:id="14603" w:name="_ETM_Q19_312189"/>
      <w:bookmarkEnd w:id="14603"/>
      <w:r>
        <w:rPr>
          <w:rFonts w:hint="cs"/>
          <w:rtl/>
        </w:rPr>
        <w:t xml:space="preserve">אלהרר, </w:t>
      </w:r>
      <w:bookmarkStart w:id="14604" w:name="_ETM_Q19_312549"/>
      <w:bookmarkEnd w:id="14604"/>
      <w:r>
        <w:rPr>
          <w:rFonts w:hint="cs"/>
          <w:rtl/>
        </w:rPr>
        <w:t>בבקשה.</w:t>
      </w:r>
      <w:bookmarkStart w:id="14605" w:name="_ETM_Q19_318919"/>
      <w:bookmarkStart w:id="14606" w:name="_ETM_Q19_321110"/>
      <w:bookmarkStart w:id="14607" w:name="_ETM_Q19_321590"/>
      <w:bookmarkStart w:id="14608" w:name="_ETM_Q19_321860"/>
      <w:bookmarkStart w:id="14609" w:name="_ETM_Q19_329790"/>
      <w:bookmarkEnd w:id="14605"/>
      <w:bookmarkEnd w:id="14606"/>
      <w:bookmarkEnd w:id="14607"/>
      <w:bookmarkEnd w:id="14608"/>
      <w:bookmarkEnd w:id="14609"/>
      <w:r>
        <w:rPr>
          <w:rFonts w:hint="cs"/>
          <w:rtl/>
        </w:rPr>
        <w:t xml:space="preserve"> </w:t>
      </w:r>
    </w:p>
    <w:p w:rsidR="000C5C1F" w:rsidRDefault="000C5C1F" w:rsidP="000C5C1F">
      <w:pPr>
        <w:rPr>
          <w:rtl/>
        </w:rPr>
      </w:pPr>
      <w:bookmarkStart w:id="14610" w:name="_ETM_Q19_326455"/>
      <w:bookmarkStart w:id="14611" w:name="_ETM_Q19_326512"/>
      <w:bookmarkEnd w:id="14610"/>
      <w:bookmarkEnd w:id="14611"/>
    </w:p>
    <w:p w:rsidR="000C5C1F" w:rsidRDefault="000C5C1F" w:rsidP="000C5C1F">
      <w:pPr>
        <w:rPr>
          <w:rtl/>
        </w:rPr>
      </w:pPr>
      <w:bookmarkStart w:id="14612" w:name="_ETM_Q19_326599"/>
      <w:bookmarkStart w:id="14613" w:name="_ETM_Q19_326661"/>
      <w:bookmarkEnd w:id="14612"/>
      <w:bookmarkEnd w:id="14613"/>
      <w:r>
        <w:rPr>
          <w:rFonts w:hint="cs"/>
          <w:rtl/>
        </w:rPr>
        <w:t xml:space="preserve">חבר </w:t>
      </w:r>
      <w:bookmarkStart w:id="14614" w:name="_ETM_Q19_330150"/>
      <w:bookmarkEnd w:id="14614"/>
      <w:r>
        <w:rPr>
          <w:rFonts w:hint="cs"/>
          <w:rtl/>
        </w:rPr>
        <w:t xml:space="preserve">הכנסת </w:t>
      </w:r>
      <w:bookmarkStart w:id="14615" w:name="_ETM_Q19_330510"/>
      <w:bookmarkEnd w:id="14615"/>
      <w:r>
        <w:rPr>
          <w:rFonts w:hint="cs"/>
          <w:rtl/>
        </w:rPr>
        <w:t xml:space="preserve">קריב, </w:t>
      </w:r>
      <w:bookmarkStart w:id="14616" w:name="_ETM_Q19_331840"/>
      <w:bookmarkEnd w:id="14616"/>
      <w:r>
        <w:rPr>
          <w:rFonts w:hint="cs"/>
          <w:rtl/>
        </w:rPr>
        <w:t xml:space="preserve">איפה </w:t>
      </w:r>
      <w:bookmarkStart w:id="14617" w:name="_ETM_Q19_332080"/>
      <w:bookmarkEnd w:id="14617"/>
      <w:r>
        <w:rPr>
          <w:rFonts w:hint="cs"/>
          <w:rtl/>
        </w:rPr>
        <w:t xml:space="preserve">היית </w:t>
      </w:r>
      <w:bookmarkStart w:id="14618" w:name="_ETM_Q19_332230"/>
      <w:bookmarkEnd w:id="14618"/>
      <w:r>
        <w:rPr>
          <w:rFonts w:hint="cs"/>
          <w:rtl/>
        </w:rPr>
        <w:t>בצבא?</w:t>
      </w:r>
    </w:p>
    <w:p w:rsidR="000C5C1F" w:rsidRDefault="000C5C1F" w:rsidP="000C5C1F">
      <w:pPr>
        <w:rPr>
          <w:rtl/>
        </w:rPr>
      </w:pPr>
      <w:bookmarkStart w:id="14619" w:name="_ETM_Q19_333000"/>
      <w:bookmarkEnd w:id="14619"/>
    </w:p>
    <w:p w:rsidR="000C5C1F" w:rsidRDefault="000C5C1F" w:rsidP="000C5C1F">
      <w:pPr>
        <w:pStyle w:val="af8"/>
        <w:keepNext/>
        <w:rPr>
          <w:rtl/>
        </w:rPr>
      </w:pPr>
      <w:bookmarkStart w:id="14620" w:name="ET_interruption_6156_6"/>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4620"/>
    </w:p>
    <w:p w:rsidR="000C5C1F" w:rsidRDefault="000C5C1F" w:rsidP="00337201">
      <w:pPr>
        <w:rPr>
          <w:rtl/>
        </w:rPr>
      </w:pPr>
    </w:p>
    <w:p w:rsidR="000C5C1F" w:rsidRDefault="000C5C1F" w:rsidP="000C5C1F">
      <w:pPr>
        <w:rPr>
          <w:rtl/>
        </w:rPr>
      </w:pPr>
      <w:r>
        <w:rPr>
          <w:rFonts w:hint="cs"/>
          <w:rtl/>
        </w:rPr>
        <w:t>אני? ב-8200. זה ממש לא פריבילגים.</w:t>
      </w:r>
    </w:p>
    <w:p w:rsidR="000C5C1F" w:rsidRDefault="000C5C1F" w:rsidP="000C5C1F">
      <w:pPr>
        <w:rPr>
          <w:rtl/>
        </w:rPr>
      </w:pPr>
      <w:bookmarkStart w:id="14621" w:name="_ETM_Q19_334000"/>
      <w:bookmarkEnd w:id="14621"/>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rPr>
      </w:pPr>
    </w:p>
    <w:p w:rsidR="000C5C1F" w:rsidRDefault="000C5C1F" w:rsidP="000C5C1F">
      <w:pPr>
        <w:rPr>
          <w:rtl/>
        </w:rPr>
      </w:pPr>
      <w:bookmarkStart w:id="14622" w:name="_ETM_Q19_330000"/>
      <w:bookmarkStart w:id="14623" w:name="_ETM_Q19_332000"/>
      <w:bookmarkStart w:id="14624" w:name="_ETM_Q19_335389"/>
      <w:bookmarkStart w:id="14625" w:name="_ETM_Q19_336360"/>
      <w:bookmarkEnd w:id="14622"/>
      <w:bookmarkEnd w:id="14623"/>
      <w:bookmarkEnd w:id="14624"/>
      <w:bookmarkEnd w:id="14625"/>
      <w:r>
        <w:rPr>
          <w:rFonts w:hint="cs"/>
          <w:rtl/>
        </w:rPr>
        <w:t xml:space="preserve">אז </w:t>
      </w:r>
      <w:bookmarkStart w:id="14626" w:name="_ETM_Q19_336540"/>
      <w:bookmarkEnd w:id="14626"/>
      <w:r>
        <w:rPr>
          <w:rFonts w:hint="cs"/>
          <w:rtl/>
        </w:rPr>
        <w:t xml:space="preserve">אתה </w:t>
      </w:r>
      <w:bookmarkStart w:id="14627" w:name="_ETM_Q19_336630"/>
      <w:bookmarkEnd w:id="14627"/>
      <w:r>
        <w:rPr>
          <w:rFonts w:hint="cs"/>
          <w:rtl/>
        </w:rPr>
        <w:t xml:space="preserve">לא </w:t>
      </w:r>
      <w:bookmarkStart w:id="14628" w:name="_ETM_Q19_336750"/>
      <w:bookmarkEnd w:id="14628"/>
      <w:r>
        <w:rPr>
          <w:rFonts w:hint="cs"/>
          <w:rtl/>
        </w:rPr>
        <w:t xml:space="preserve">יודע </w:t>
      </w:r>
      <w:bookmarkStart w:id="14629" w:name="_ETM_Q19_336930"/>
      <w:bookmarkEnd w:id="14629"/>
      <w:r>
        <w:rPr>
          <w:rFonts w:hint="cs"/>
          <w:rtl/>
        </w:rPr>
        <w:t xml:space="preserve">מה </w:t>
      </w:r>
      <w:bookmarkStart w:id="14630" w:name="_ETM_Q19_337050"/>
      <w:bookmarkEnd w:id="14630"/>
      <w:r>
        <w:rPr>
          <w:rFonts w:hint="cs"/>
          <w:rtl/>
        </w:rPr>
        <w:t xml:space="preserve">זה </w:t>
      </w:r>
      <w:bookmarkStart w:id="14631" w:name="_ETM_Q19_337290"/>
      <w:bookmarkEnd w:id="14631"/>
      <w:r>
        <w:rPr>
          <w:rFonts w:hint="cs"/>
          <w:rtl/>
        </w:rPr>
        <w:t xml:space="preserve">סדרת </w:t>
      </w:r>
      <w:bookmarkStart w:id="14632" w:name="_ETM_Q19_337620"/>
      <w:bookmarkEnd w:id="14632"/>
      <w:r>
        <w:rPr>
          <w:rFonts w:hint="cs"/>
          <w:rtl/>
        </w:rPr>
        <w:t xml:space="preserve">שבי, אה? </w:t>
      </w:r>
    </w:p>
    <w:p w:rsidR="000C5C1F" w:rsidRDefault="000C5C1F" w:rsidP="000C5C1F">
      <w:pPr>
        <w:rPr>
          <w:rtl/>
        </w:rPr>
      </w:pPr>
      <w:bookmarkStart w:id="14633" w:name="_ETM_Q19_336000"/>
      <w:bookmarkEnd w:id="14633"/>
    </w:p>
    <w:p w:rsidR="000C5C1F" w:rsidRDefault="000C5C1F" w:rsidP="000C5C1F">
      <w:pPr>
        <w:pStyle w:val="af8"/>
        <w:keepNext/>
        <w:rPr>
          <w:rtl/>
        </w:rPr>
      </w:pPr>
      <w:bookmarkStart w:id="14634" w:name="ET_interruption_6156_8"/>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4634"/>
    </w:p>
    <w:p w:rsidR="000C5C1F" w:rsidRDefault="000C5C1F" w:rsidP="00337201">
      <w:pPr>
        <w:rPr>
          <w:rtl/>
        </w:rPr>
      </w:pPr>
    </w:p>
    <w:p w:rsidR="000C5C1F" w:rsidRDefault="000C5C1F" w:rsidP="000C5C1F">
      <w:pPr>
        <w:rPr>
          <w:rtl/>
        </w:rPr>
      </w:pPr>
      <w:r>
        <w:rPr>
          <w:rFonts w:hint="cs"/>
          <w:rtl/>
        </w:rPr>
        <w:t>אתה הרגשת כמו בסדרת שבי?</w:t>
      </w:r>
    </w:p>
    <w:p w:rsidR="000C5C1F" w:rsidRDefault="000C5C1F" w:rsidP="000C5C1F">
      <w:pPr>
        <w:rPr>
          <w:rtl/>
        </w:rPr>
      </w:pPr>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rPr>
      </w:pPr>
    </w:p>
    <w:p w:rsidR="000C5C1F" w:rsidRDefault="000C5C1F" w:rsidP="000C5C1F">
      <w:pPr>
        <w:rPr>
          <w:rtl/>
        </w:rPr>
      </w:pPr>
      <w:bookmarkStart w:id="14635" w:name="_ETM_Q19_337000"/>
      <w:bookmarkEnd w:id="14635"/>
      <w:r>
        <w:rPr>
          <w:rFonts w:hint="cs"/>
          <w:rtl/>
        </w:rPr>
        <w:t>משהו.</w:t>
      </w:r>
    </w:p>
    <w:p w:rsidR="000C5C1F" w:rsidRDefault="000C5C1F" w:rsidP="000C5C1F">
      <w:pPr>
        <w:rPr>
          <w:rtl/>
        </w:rPr>
      </w:pPr>
      <w:bookmarkStart w:id="14636" w:name="_ETM_Q19_339000"/>
      <w:bookmarkEnd w:id="14636"/>
    </w:p>
    <w:p w:rsidR="000C5C1F" w:rsidRDefault="000C5C1F" w:rsidP="000C5C1F">
      <w:pPr>
        <w:pStyle w:val="af8"/>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0C5C1F" w:rsidRDefault="000C5C1F" w:rsidP="00337201">
      <w:pPr>
        <w:rPr>
          <w:rtl/>
        </w:rPr>
      </w:pPr>
    </w:p>
    <w:p w:rsidR="000C5C1F" w:rsidRDefault="000C5C1F" w:rsidP="000C5C1F">
      <w:pPr>
        <w:rPr>
          <w:rtl/>
        </w:rPr>
      </w:pPr>
      <w:bookmarkStart w:id="14637" w:name="_ETM_Q19_341000"/>
      <w:bookmarkEnd w:id="14637"/>
      <w:r>
        <w:rPr>
          <w:rFonts w:hint="cs"/>
          <w:rtl/>
        </w:rPr>
        <w:t xml:space="preserve">חכה. </w:t>
      </w:r>
    </w:p>
    <w:p w:rsidR="000C5C1F" w:rsidRDefault="000C5C1F" w:rsidP="000C5C1F">
      <w:pPr>
        <w:rPr>
          <w:rtl/>
        </w:rPr>
      </w:pPr>
      <w:bookmarkStart w:id="14638" w:name="_ETM_Q19_346000"/>
      <w:bookmarkEnd w:id="14638"/>
    </w:p>
    <w:p w:rsidR="000C5C1F" w:rsidRDefault="000C5C1F" w:rsidP="000C5C1F">
      <w:pPr>
        <w:pStyle w:val="af9"/>
        <w:keepNext/>
        <w:rPr>
          <w:rtl/>
        </w:rPr>
      </w:pPr>
      <w:bookmarkStart w:id="14639" w:name="ET_yor_6490_12"/>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bookmarkEnd w:id="14639"/>
    </w:p>
    <w:p w:rsidR="000C5C1F" w:rsidRDefault="000C5C1F" w:rsidP="00337201">
      <w:pPr>
        <w:rPr>
          <w:rtl/>
        </w:rPr>
      </w:pPr>
    </w:p>
    <w:p w:rsidR="000C5C1F" w:rsidRDefault="000C5C1F" w:rsidP="000C5C1F">
      <w:pPr>
        <w:rPr>
          <w:rtl/>
        </w:rPr>
      </w:pPr>
      <w:bookmarkStart w:id="14640" w:name="_ETM_Q19_351000"/>
      <w:bookmarkEnd w:id="14640"/>
      <w:r>
        <w:rPr>
          <w:rFonts w:hint="cs"/>
          <w:rtl/>
        </w:rPr>
        <w:t>חברת הכנסת קארין, בבקשה.</w:t>
      </w:r>
    </w:p>
    <w:p w:rsidR="000C5C1F" w:rsidRDefault="000C5C1F" w:rsidP="000C5C1F">
      <w:pPr>
        <w:rPr>
          <w:rtl/>
        </w:rPr>
      </w:pPr>
      <w:bookmarkStart w:id="14641" w:name="_ETM_Q19_353000"/>
      <w:bookmarkEnd w:id="14641"/>
    </w:p>
    <w:p w:rsidR="000C5C1F" w:rsidRDefault="000C5C1F" w:rsidP="000C5C1F">
      <w:pPr>
        <w:pStyle w:val="-"/>
        <w:keepNext/>
        <w:rPr>
          <w:rtl/>
        </w:rPr>
      </w:pPr>
      <w:bookmarkStart w:id="14642" w:name="ET_speakercontinue_5068_13"/>
      <w:r>
        <w:rPr>
          <w:rStyle w:val="TagStyle"/>
          <w:rFonts w:hint="cs"/>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bookmarkEnd w:id="14642"/>
    </w:p>
    <w:p w:rsidR="000C5C1F" w:rsidRDefault="000C5C1F" w:rsidP="00337201">
      <w:pPr>
        <w:rPr>
          <w:rtl/>
        </w:rPr>
      </w:pPr>
    </w:p>
    <w:p w:rsidR="000C5C1F" w:rsidRDefault="000C5C1F" w:rsidP="000C5C1F">
      <w:pPr>
        <w:rPr>
          <w:rtl/>
        </w:rPr>
      </w:pPr>
      <w:bookmarkStart w:id="14643" w:name="_ETM_Q19_354000"/>
      <w:bookmarkStart w:id="14644" w:name="_ETM_Q19_339910"/>
      <w:bookmarkStart w:id="14645" w:name="_ETM_Q19_340690"/>
      <w:bookmarkStart w:id="14646" w:name="_ETM_Q19_342370"/>
      <w:bookmarkStart w:id="14647" w:name="_ETM_Q19_345810"/>
      <w:bookmarkStart w:id="14648" w:name="_ETM_Q19_346050"/>
      <w:bookmarkStart w:id="14649" w:name="_ETM_Q19_346500"/>
      <w:bookmarkStart w:id="14650" w:name="_ETM_Q19_347810"/>
      <w:bookmarkStart w:id="14651" w:name="_ETM_Q19_348169"/>
      <w:bookmarkStart w:id="14652" w:name="_ETM_Q19_351409"/>
      <w:bookmarkStart w:id="14653" w:name="_ETM_Q19_354159"/>
      <w:bookmarkStart w:id="14654" w:name="_ETM_Q19_354250"/>
      <w:bookmarkStart w:id="14655" w:name="_ETM_Q19_354370"/>
      <w:bookmarkStart w:id="14656" w:name="_ETM_Q19_354599"/>
      <w:bookmarkStart w:id="14657" w:name="_ETM_Q19_355139"/>
      <w:bookmarkStart w:id="14658" w:name="_ETM_Q19_355980"/>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r>
        <w:rPr>
          <w:rFonts w:hint="cs"/>
          <w:rtl/>
        </w:rPr>
        <w:t xml:space="preserve">תודה </w:t>
      </w:r>
      <w:bookmarkStart w:id="14659" w:name="_ETM_Q19_356340"/>
      <w:bookmarkEnd w:id="14659"/>
      <w:r>
        <w:rPr>
          <w:rFonts w:hint="cs"/>
          <w:rtl/>
        </w:rPr>
        <w:t xml:space="preserve">רבה, </w:t>
      </w:r>
      <w:bookmarkStart w:id="14660" w:name="_ETM_Q19_356879"/>
      <w:bookmarkEnd w:id="14660"/>
      <w:r>
        <w:rPr>
          <w:rFonts w:hint="cs"/>
          <w:rtl/>
        </w:rPr>
        <w:t xml:space="preserve">אדוני </w:t>
      </w:r>
      <w:bookmarkStart w:id="14661" w:name="_ETM_Q19_357299"/>
      <w:bookmarkEnd w:id="14661"/>
      <w:r>
        <w:rPr>
          <w:rFonts w:hint="cs"/>
          <w:rtl/>
        </w:rPr>
        <w:t>היושב-ראש.</w:t>
      </w:r>
    </w:p>
    <w:p w:rsidR="000C5C1F" w:rsidRDefault="000C5C1F" w:rsidP="000C5C1F">
      <w:pPr>
        <w:rPr>
          <w:rtl/>
        </w:rPr>
      </w:pPr>
    </w:p>
    <w:p w:rsidR="000C5C1F" w:rsidRDefault="000C5C1F" w:rsidP="000C5C1F">
      <w:pPr>
        <w:pStyle w:val="af8"/>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0C5C1F" w:rsidRDefault="000C5C1F" w:rsidP="00337201">
      <w:pPr>
        <w:rPr>
          <w:rtl/>
        </w:rPr>
      </w:pPr>
    </w:p>
    <w:p w:rsidR="000C5C1F" w:rsidRDefault="000C5C1F" w:rsidP="000C5C1F">
      <w:pPr>
        <w:rPr>
          <w:rtl/>
        </w:rPr>
      </w:pPr>
      <w:bookmarkStart w:id="14662" w:name="_ETM_Q19_358000"/>
      <w:bookmarkEnd w:id="14662"/>
      <w:r>
        <w:rPr>
          <w:rFonts w:hint="cs"/>
          <w:rtl/>
        </w:rPr>
        <w:t>- - -</w:t>
      </w:r>
    </w:p>
    <w:p w:rsidR="000C5C1F" w:rsidRDefault="000C5C1F" w:rsidP="000C5C1F">
      <w:pPr>
        <w:rPr>
          <w:rtl/>
        </w:rPr>
      </w:pPr>
    </w:p>
    <w:p w:rsidR="000C5C1F" w:rsidRDefault="000C5C1F" w:rsidP="000C5C1F">
      <w:pPr>
        <w:pStyle w:val="af9"/>
        <w:keepNext/>
        <w:rPr>
          <w:rtl/>
        </w:rPr>
      </w:pPr>
      <w:bookmarkStart w:id="14663" w:name="ET_yor_6490_1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4663"/>
    </w:p>
    <w:p w:rsidR="000C5C1F" w:rsidRDefault="000C5C1F" w:rsidP="00337201">
      <w:pPr>
        <w:rPr>
          <w:rtl/>
        </w:rPr>
      </w:pPr>
    </w:p>
    <w:p w:rsidR="000C5C1F" w:rsidRDefault="000C5C1F" w:rsidP="000C5C1F">
      <w:pPr>
        <w:rPr>
          <w:rtl/>
        </w:rPr>
      </w:pPr>
      <w:bookmarkStart w:id="14664" w:name="_ETM_Q19_355000"/>
      <w:bookmarkStart w:id="14665" w:name="_ETM_Q19_358870"/>
      <w:bookmarkEnd w:id="14664"/>
      <w:bookmarkEnd w:id="14665"/>
      <w:r>
        <w:rPr>
          <w:rFonts w:hint="cs"/>
          <w:rtl/>
        </w:rPr>
        <w:t xml:space="preserve">אל </w:t>
      </w:r>
      <w:bookmarkStart w:id="14666" w:name="_ETM_Q19_359080"/>
      <w:bookmarkEnd w:id="14666"/>
      <w:r>
        <w:rPr>
          <w:rFonts w:hint="cs"/>
          <w:rtl/>
        </w:rPr>
        <w:t xml:space="preserve">תפריע </w:t>
      </w:r>
      <w:bookmarkStart w:id="14667" w:name="_ETM_Q19_359590"/>
      <w:bookmarkEnd w:id="14667"/>
      <w:r>
        <w:rPr>
          <w:rFonts w:hint="cs"/>
          <w:rtl/>
        </w:rPr>
        <w:t xml:space="preserve">לה. </w:t>
      </w:r>
      <w:bookmarkStart w:id="14668" w:name="_ETM_Q19_360169"/>
      <w:bookmarkEnd w:id="14668"/>
      <w:r>
        <w:rPr>
          <w:rFonts w:hint="cs"/>
          <w:rtl/>
        </w:rPr>
        <w:t xml:space="preserve">אל </w:t>
      </w:r>
      <w:bookmarkStart w:id="14669" w:name="_ETM_Q19_360349"/>
      <w:bookmarkEnd w:id="14669"/>
      <w:r>
        <w:rPr>
          <w:rFonts w:hint="cs"/>
          <w:rtl/>
        </w:rPr>
        <w:t xml:space="preserve">תפריע </w:t>
      </w:r>
      <w:bookmarkStart w:id="14670" w:name="_ETM_Q19_360739"/>
      <w:bookmarkEnd w:id="14670"/>
      <w:r>
        <w:rPr>
          <w:rFonts w:hint="cs"/>
          <w:rtl/>
        </w:rPr>
        <w:t xml:space="preserve">לה. </w:t>
      </w:r>
      <w:bookmarkStart w:id="14671" w:name="_ETM_Q19_360830"/>
      <w:bookmarkEnd w:id="14671"/>
      <w:r>
        <w:rPr>
          <w:rFonts w:hint="cs"/>
          <w:rtl/>
        </w:rPr>
        <w:t xml:space="preserve">די. </w:t>
      </w:r>
      <w:bookmarkStart w:id="14672" w:name="_ETM_Q19_361040"/>
      <w:bookmarkEnd w:id="14672"/>
      <w:r>
        <w:rPr>
          <w:rFonts w:hint="cs"/>
          <w:rtl/>
        </w:rPr>
        <w:t xml:space="preserve">תן </w:t>
      </w:r>
      <w:bookmarkStart w:id="14673" w:name="_ETM_Q19_361220"/>
      <w:bookmarkEnd w:id="14673"/>
      <w:r>
        <w:rPr>
          <w:rFonts w:hint="cs"/>
          <w:rtl/>
        </w:rPr>
        <w:t xml:space="preserve">לשמוע </w:t>
      </w:r>
      <w:bookmarkStart w:id="14674" w:name="_ETM_Q19_362690"/>
      <w:bookmarkEnd w:id="14674"/>
      <w:r>
        <w:rPr>
          <w:rFonts w:hint="cs"/>
          <w:rtl/>
        </w:rPr>
        <w:t xml:space="preserve">משהו שקט קצת. בנחת. </w:t>
      </w:r>
      <w:bookmarkStart w:id="14675" w:name="_ETM_Q19_362000"/>
      <w:bookmarkEnd w:id="14675"/>
      <w:r>
        <w:rPr>
          <w:rFonts w:hint="cs"/>
          <w:rtl/>
        </w:rPr>
        <w:t xml:space="preserve">חצי </w:t>
      </w:r>
      <w:bookmarkStart w:id="14676" w:name="_ETM_Q19_360000"/>
      <w:bookmarkEnd w:id="14676"/>
      <w:r>
        <w:rPr>
          <w:rFonts w:hint="cs"/>
          <w:rtl/>
        </w:rPr>
        <w:t>שעה צעקת פה, אפילו לא לקחת אוויר.</w:t>
      </w:r>
    </w:p>
    <w:p w:rsidR="000C5C1F" w:rsidRDefault="000C5C1F" w:rsidP="000C5C1F">
      <w:pPr>
        <w:rPr>
          <w:rtl/>
        </w:rPr>
      </w:pPr>
    </w:p>
    <w:p w:rsidR="000C5C1F" w:rsidRDefault="000C5C1F" w:rsidP="000C5C1F">
      <w:pPr>
        <w:pStyle w:val="af8"/>
        <w:keepNext/>
        <w:rPr>
          <w:rtl/>
        </w:rPr>
      </w:pPr>
      <w:bookmarkStart w:id="14677" w:name="ET_interruption_6156_18"/>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4677"/>
    </w:p>
    <w:p w:rsidR="000C5C1F" w:rsidRDefault="000C5C1F" w:rsidP="00337201">
      <w:pPr>
        <w:rPr>
          <w:rtl/>
        </w:rPr>
      </w:pPr>
    </w:p>
    <w:p w:rsidR="000C5C1F" w:rsidRDefault="000C5C1F" w:rsidP="000C5C1F">
      <w:pPr>
        <w:rPr>
          <w:rtl/>
        </w:rPr>
      </w:pPr>
      <w:bookmarkStart w:id="14678" w:name="_ETM_Q19_363000"/>
      <w:bookmarkEnd w:id="14678"/>
      <w:r>
        <w:rPr>
          <w:rFonts w:hint="cs"/>
          <w:rtl/>
        </w:rPr>
        <w:t>- - - אם צריך, אני אסייר</w:t>
      </w:r>
      <w:bookmarkStart w:id="14679" w:name="_ETM_Q19_361000"/>
      <w:bookmarkEnd w:id="14679"/>
      <w:r>
        <w:rPr>
          <w:rFonts w:hint="cs"/>
          <w:rtl/>
        </w:rPr>
        <w:t xml:space="preserve"> לחפש את רוטמן ולוין. אולי קרה</w:t>
      </w:r>
      <w:bookmarkStart w:id="14680" w:name="_ETM_Q19_364000"/>
      <w:bookmarkEnd w:id="14680"/>
      <w:r>
        <w:rPr>
          <w:rFonts w:hint="cs"/>
          <w:rtl/>
        </w:rPr>
        <w:t xml:space="preserve"> משהו. אני מוכן להוציא - - -</w:t>
      </w:r>
    </w:p>
    <w:p w:rsidR="000C5C1F" w:rsidRDefault="000C5C1F" w:rsidP="000C5C1F">
      <w:pPr>
        <w:rPr>
          <w:rtl/>
        </w:rPr>
      </w:pPr>
      <w:bookmarkStart w:id="14681" w:name="_ETM_Q19_366000"/>
      <w:bookmarkEnd w:id="14681"/>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rPr>
      </w:pPr>
    </w:p>
    <w:p w:rsidR="000C5C1F" w:rsidRDefault="000C5C1F" w:rsidP="000C5C1F">
      <w:pPr>
        <w:rPr>
          <w:rtl/>
        </w:rPr>
      </w:pPr>
      <w:bookmarkStart w:id="14682" w:name="_ETM_Q19_367000"/>
      <w:bookmarkEnd w:id="14682"/>
      <w:r>
        <w:rPr>
          <w:rFonts w:hint="cs"/>
          <w:rtl/>
        </w:rPr>
        <w:t xml:space="preserve">אחמד טיבי נחנק, שתה מים. אתה המשכת: טה, טה, טה. תגיד לי, </w:t>
      </w:r>
      <w:bookmarkStart w:id="14683" w:name="_ETM_Q19_370000"/>
      <w:bookmarkEnd w:id="14683"/>
      <w:r>
        <w:rPr>
          <w:rFonts w:hint="cs"/>
          <w:rtl/>
        </w:rPr>
        <w:t>מה זה? מכונה? לאט-לאט, תן להכיל את הדברים. אולי נסכים על משהו?</w:t>
      </w:r>
    </w:p>
    <w:p w:rsidR="000C5C1F" w:rsidRDefault="000C5C1F" w:rsidP="000C5C1F">
      <w:pPr>
        <w:rPr>
          <w:rtl/>
        </w:rPr>
      </w:pPr>
    </w:p>
    <w:p w:rsidR="000C5C1F" w:rsidRDefault="000C5C1F" w:rsidP="000C5C1F">
      <w:pPr>
        <w:pStyle w:val="-"/>
        <w:keepNext/>
        <w:rPr>
          <w:rtl/>
        </w:rPr>
      </w:pPr>
      <w:bookmarkStart w:id="14684" w:name="ET_speakercontinue_5068_20"/>
      <w:r>
        <w:rPr>
          <w:rStyle w:val="TagStyle"/>
          <w:rFonts w:hint="cs"/>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bookmarkEnd w:id="14684"/>
    </w:p>
    <w:p w:rsidR="000C5C1F" w:rsidRDefault="000C5C1F" w:rsidP="00337201">
      <w:pPr>
        <w:rPr>
          <w:rtl/>
        </w:rPr>
      </w:pPr>
    </w:p>
    <w:p w:rsidR="000C5C1F" w:rsidRDefault="000C5C1F" w:rsidP="000C5C1F">
      <w:pPr>
        <w:rPr>
          <w:rtl/>
        </w:rPr>
      </w:pPr>
      <w:bookmarkStart w:id="14685" w:name="_ETM_Q19_369000"/>
      <w:bookmarkEnd w:id="14685"/>
      <w:r>
        <w:rPr>
          <w:rFonts w:hint="cs"/>
          <w:rtl/>
        </w:rPr>
        <w:t>נוציא משלחת.</w:t>
      </w:r>
    </w:p>
    <w:p w:rsidR="000C5C1F" w:rsidRDefault="000C5C1F" w:rsidP="000C5C1F">
      <w:pPr>
        <w:rPr>
          <w:rtl/>
        </w:rPr>
      </w:pPr>
    </w:p>
    <w:p w:rsidR="000C5C1F" w:rsidRDefault="000C5C1F" w:rsidP="000C5C1F">
      <w:pPr>
        <w:pStyle w:val="af8"/>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0C5C1F" w:rsidRDefault="000C5C1F" w:rsidP="00337201">
      <w:pPr>
        <w:rPr>
          <w:rtl/>
        </w:rPr>
      </w:pPr>
    </w:p>
    <w:p w:rsidR="000C5C1F" w:rsidRDefault="000C5C1F" w:rsidP="000C5C1F">
      <w:pPr>
        <w:rPr>
          <w:rtl/>
        </w:rPr>
      </w:pPr>
      <w:bookmarkStart w:id="14686" w:name="_ETM_Q19_372000"/>
      <w:bookmarkEnd w:id="14686"/>
      <w:r>
        <w:rPr>
          <w:rFonts w:hint="cs"/>
          <w:rtl/>
        </w:rPr>
        <w:t xml:space="preserve">משלחת - - - קארין, לצאת לחיפושים? </w:t>
      </w:r>
    </w:p>
    <w:p w:rsidR="000C5C1F" w:rsidRDefault="000C5C1F" w:rsidP="000C5C1F">
      <w:pPr>
        <w:rPr>
          <w:rtl/>
        </w:rPr>
      </w:pPr>
    </w:p>
    <w:p w:rsidR="000C5C1F" w:rsidRDefault="000C5C1F" w:rsidP="000C5C1F">
      <w:pPr>
        <w:pStyle w:val="af8"/>
        <w:keepNext/>
        <w:rPr>
          <w:rtl/>
        </w:rPr>
      </w:pPr>
      <w:bookmarkStart w:id="14687" w:name="_ETM_Q19_374000"/>
      <w:bookmarkStart w:id="14688" w:name="ET_interruption_קר_אה_24"/>
      <w:bookmarkEnd w:id="14687"/>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4688"/>
    </w:p>
    <w:p w:rsidR="000C5C1F" w:rsidRDefault="000C5C1F" w:rsidP="00337201">
      <w:pPr>
        <w:rPr>
          <w:rtl/>
        </w:rPr>
      </w:pPr>
    </w:p>
    <w:p w:rsidR="000C5C1F" w:rsidRDefault="000C5C1F" w:rsidP="000C5C1F">
      <w:pPr>
        <w:rPr>
          <w:rtl/>
        </w:rPr>
      </w:pPr>
      <w:r>
        <w:rPr>
          <w:rFonts w:hint="cs"/>
          <w:rtl/>
        </w:rPr>
        <w:t>לא.</w:t>
      </w:r>
      <w:bookmarkStart w:id="14689" w:name="_ETM_Q19_375000"/>
      <w:bookmarkEnd w:id="14689"/>
      <w:r>
        <w:rPr>
          <w:rFonts w:hint="cs"/>
          <w:rtl/>
        </w:rPr>
        <w:t xml:space="preserve"> לצאת לשתות כוס מים.</w:t>
      </w:r>
    </w:p>
    <w:p w:rsidR="000C5C1F" w:rsidRDefault="000C5C1F" w:rsidP="000C5C1F">
      <w:pPr>
        <w:rPr>
          <w:rtl/>
        </w:rPr>
      </w:pPr>
      <w:bookmarkStart w:id="14690" w:name="_ETM_Q19_376000"/>
      <w:bookmarkEnd w:id="14690"/>
    </w:p>
    <w:p w:rsidR="000C5C1F" w:rsidRDefault="000C5C1F" w:rsidP="000C5C1F">
      <w:pPr>
        <w:pStyle w:val="af8"/>
        <w:keepNext/>
        <w:rPr>
          <w:rtl/>
        </w:rPr>
      </w:pPr>
      <w:bookmarkStart w:id="14691" w:name="ET_interruption_6156_25"/>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4691"/>
    </w:p>
    <w:p w:rsidR="000C5C1F" w:rsidRDefault="000C5C1F" w:rsidP="00337201">
      <w:pPr>
        <w:rPr>
          <w:rtl/>
        </w:rPr>
      </w:pPr>
    </w:p>
    <w:p w:rsidR="000C5C1F" w:rsidRDefault="000C5C1F" w:rsidP="000C5C1F">
      <w:pPr>
        <w:rPr>
          <w:rtl/>
        </w:rPr>
      </w:pPr>
      <w:r>
        <w:rPr>
          <w:rFonts w:hint="cs"/>
          <w:rtl/>
        </w:rPr>
        <w:t xml:space="preserve">אני אשתה כוס מים, ואז – ישר </w:t>
      </w:r>
      <w:bookmarkStart w:id="14692" w:name="_ETM_Q19_379000"/>
      <w:bookmarkEnd w:id="14692"/>
      <w:r>
        <w:rPr>
          <w:rFonts w:hint="cs"/>
          <w:rtl/>
        </w:rPr>
        <w:t>לצאת לחפש את רוטמן.</w:t>
      </w:r>
      <w:bookmarkStart w:id="14693" w:name="_ETM_Q19_381000"/>
      <w:bookmarkEnd w:id="14693"/>
    </w:p>
    <w:p w:rsidR="000C5C1F" w:rsidRDefault="000C5C1F" w:rsidP="000C5C1F">
      <w:pPr>
        <w:rPr>
          <w:rtl/>
        </w:rPr>
      </w:pPr>
      <w:bookmarkStart w:id="14694" w:name="_ETM_Q19_380000"/>
      <w:bookmarkEnd w:id="14694"/>
    </w:p>
    <w:p w:rsidR="000C5C1F" w:rsidRDefault="000C5C1F" w:rsidP="000C5C1F">
      <w:pPr>
        <w:pStyle w:val="af9"/>
        <w:keepNext/>
        <w:rPr>
          <w:rtl/>
        </w:rPr>
      </w:pPr>
      <w:bookmarkStart w:id="14695" w:name="ET_yor_6490_2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14695"/>
    </w:p>
    <w:p w:rsidR="000C5C1F" w:rsidRDefault="000C5C1F" w:rsidP="00337201">
      <w:pPr>
        <w:rPr>
          <w:rtl/>
        </w:rPr>
      </w:pPr>
    </w:p>
    <w:p w:rsidR="000C5C1F" w:rsidRDefault="000C5C1F" w:rsidP="000C5C1F">
      <w:pPr>
        <w:rPr>
          <w:rtl/>
        </w:rPr>
      </w:pPr>
      <w:bookmarkStart w:id="14696" w:name="_ETM_Q19_382000"/>
      <w:bookmarkEnd w:id="14696"/>
      <w:r>
        <w:rPr>
          <w:rFonts w:hint="cs"/>
          <w:rtl/>
        </w:rPr>
        <w:t>טוב, אני מבקש לא להפריע, חבר הכנסת קריב. בבקשה.</w:t>
      </w:r>
    </w:p>
    <w:p w:rsidR="000C5C1F" w:rsidRDefault="000C5C1F" w:rsidP="000C5C1F">
      <w:pPr>
        <w:rPr>
          <w:rtl/>
        </w:rPr>
      </w:pPr>
      <w:bookmarkStart w:id="14697" w:name="_ETM_Q19_383000"/>
      <w:bookmarkEnd w:id="14697"/>
    </w:p>
    <w:p w:rsidR="000C5C1F" w:rsidRDefault="000C5C1F" w:rsidP="000C5C1F">
      <w:pPr>
        <w:pStyle w:val="-"/>
        <w:keepNext/>
        <w:rPr>
          <w:rtl/>
        </w:rPr>
      </w:pPr>
      <w:bookmarkStart w:id="14698" w:name="ET_speakercontinue_5068_27"/>
      <w:r>
        <w:rPr>
          <w:rStyle w:val="TagStyle"/>
          <w:rFonts w:hint="cs"/>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bookmarkEnd w:id="14698"/>
    </w:p>
    <w:p w:rsidR="000C5C1F" w:rsidRDefault="000C5C1F" w:rsidP="00337201">
      <w:pPr>
        <w:rPr>
          <w:rtl/>
        </w:rPr>
      </w:pPr>
    </w:p>
    <w:p w:rsidR="000C5C1F" w:rsidRDefault="000C5C1F" w:rsidP="000C5C1F">
      <w:pPr>
        <w:rPr>
          <w:rtl/>
        </w:rPr>
      </w:pPr>
      <w:bookmarkStart w:id="14699" w:name="_ETM_Q19_384000"/>
      <w:bookmarkStart w:id="14700" w:name="_ETM_Q19_359000"/>
      <w:bookmarkStart w:id="14701" w:name="_ETM_Q19_364010"/>
      <w:bookmarkStart w:id="14702" w:name="_ETM_Q19_364400"/>
      <w:bookmarkStart w:id="14703" w:name="_ETM_Q19_368389"/>
      <w:bookmarkStart w:id="14704" w:name="_ETM_Q19_368779"/>
      <w:bookmarkStart w:id="14705" w:name="_ETM_Q19_369049"/>
      <w:bookmarkStart w:id="14706" w:name="_ETM_Q19_369620"/>
      <w:bookmarkStart w:id="14707" w:name="_ETM_Q19_369889"/>
      <w:bookmarkStart w:id="14708" w:name="_ETM_Q19_370219"/>
      <w:bookmarkStart w:id="14709" w:name="_ETM_Q19_370609"/>
      <w:bookmarkStart w:id="14710" w:name="_ETM_Q19_371569"/>
      <w:bookmarkStart w:id="14711" w:name="_ETM_Q19_371749"/>
      <w:bookmarkStart w:id="14712" w:name="_ETM_Q19_371840"/>
      <w:bookmarkStart w:id="14713" w:name="_ETM_Q19_371959"/>
      <w:bookmarkStart w:id="14714" w:name="_ETM_Q19_372529"/>
      <w:bookmarkStart w:id="14715" w:name="_ETM_Q19_372889"/>
      <w:bookmarkStart w:id="14716" w:name="_ETM_Q19_374419"/>
      <w:bookmarkStart w:id="14717" w:name="_ETM_Q19_374989"/>
      <w:bookmarkStart w:id="14718" w:name="_ETM_Q19_375079"/>
      <w:bookmarkStart w:id="14719" w:name="_ETM_Q19_375469"/>
      <w:bookmarkStart w:id="14720" w:name="_ETM_Q19_375529"/>
      <w:bookmarkStart w:id="14721" w:name="_ETM_Q19_375889"/>
      <w:bookmarkStart w:id="14722" w:name="_ETM_Q19_376249"/>
      <w:bookmarkStart w:id="14723" w:name="_ETM_Q19_376459"/>
      <w:bookmarkStart w:id="14724" w:name="_ETM_Q19_376939"/>
      <w:bookmarkStart w:id="14725" w:name="_ETM_Q19_382010"/>
      <w:bookmarkStart w:id="14726" w:name="_ETM_Q19_382579"/>
      <w:bookmarkStart w:id="14727" w:name="_ETM_Q19_386940"/>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r>
        <w:rPr>
          <w:rFonts w:hint="cs"/>
          <w:rtl/>
        </w:rPr>
        <w:t xml:space="preserve">אדוני </w:t>
      </w:r>
      <w:bookmarkStart w:id="14728" w:name="_ETM_Q19_387360"/>
      <w:bookmarkEnd w:id="14728"/>
      <w:r>
        <w:rPr>
          <w:rFonts w:hint="cs"/>
          <w:rtl/>
        </w:rPr>
        <w:t xml:space="preserve">היושב </w:t>
      </w:r>
      <w:bookmarkStart w:id="14729" w:name="_ETM_Q19_387720"/>
      <w:bookmarkEnd w:id="14729"/>
      <w:r>
        <w:rPr>
          <w:rFonts w:hint="cs"/>
          <w:rtl/>
        </w:rPr>
        <w:t xml:space="preserve">בראש, </w:t>
      </w:r>
      <w:bookmarkStart w:id="14730" w:name="_ETM_Q19_389279"/>
      <w:bookmarkEnd w:id="14730"/>
      <w:r>
        <w:rPr>
          <w:rFonts w:hint="cs"/>
          <w:rtl/>
        </w:rPr>
        <w:t xml:space="preserve">כנסת </w:t>
      </w:r>
      <w:bookmarkStart w:id="14731" w:name="_ETM_Q19_389699"/>
      <w:bookmarkEnd w:id="14731"/>
      <w:r>
        <w:rPr>
          <w:rFonts w:hint="cs"/>
          <w:rtl/>
        </w:rPr>
        <w:t xml:space="preserve">נכבדה, </w:t>
      </w:r>
      <w:bookmarkStart w:id="14732" w:name="_ETM_Q19_391639"/>
      <w:bookmarkEnd w:id="14732"/>
      <w:r>
        <w:rPr>
          <w:rFonts w:hint="cs"/>
          <w:rtl/>
        </w:rPr>
        <w:t xml:space="preserve">תדעו </w:t>
      </w:r>
      <w:bookmarkStart w:id="14733" w:name="_ETM_Q19_392000"/>
      <w:bookmarkEnd w:id="14733"/>
      <w:r>
        <w:rPr>
          <w:rFonts w:hint="cs"/>
          <w:rtl/>
        </w:rPr>
        <w:t xml:space="preserve">לכם </w:t>
      </w:r>
      <w:bookmarkStart w:id="14734" w:name="_ETM_Q19_393250"/>
      <w:bookmarkEnd w:id="14734"/>
      <w:r>
        <w:rPr>
          <w:rFonts w:hint="cs"/>
          <w:rtl/>
        </w:rPr>
        <w:t xml:space="preserve">שרק </w:t>
      </w:r>
      <w:bookmarkStart w:id="14735" w:name="_ETM_Q19_393700"/>
      <w:bookmarkEnd w:id="14735"/>
      <w:r>
        <w:rPr>
          <w:rFonts w:hint="cs"/>
          <w:rtl/>
        </w:rPr>
        <w:t xml:space="preserve">מי </w:t>
      </w:r>
      <w:bookmarkStart w:id="14736" w:name="_ETM_Q19_393849"/>
      <w:bookmarkEnd w:id="14736"/>
      <w:r>
        <w:rPr>
          <w:rFonts w:hint="cs"/>
          <w:rtl/>
        </w:rPr>
        <w:t xml:space="preserve">שרוצה </w:t>
      </w:r>
      <w:bookmarkStart w:id="14737" w:name="_ETM_Q19_394300"/>
      <w:bookmarkEnd w:id="14737"/>
      <w:r>
        <w:rPr>
          <w:rFonts w:hint="cs"/>
          <w:rtl/>
        </w:rPr>
        <w:t xml:space="preserve">לקבל </w:t>
      </w:r>
      <w:bookmarkStart w:id="14738" w:name="_ETM_Q19_394720"/>
      <w:bookmarkEnd w:id="14738"/>
      <w:r>
        <w:rPr>
          <w:rFonts w:hint="cs"/>
          <w:rtl/>
        </w:rPr>
        <w:t xml:space="preserve">החלטות </w:t>
      </w:r>
      <w:bookmarkStart w:id="14739" w:name="_ETM_Q19_395319"/>
      <w:bookmarkEnd w:id="14739"/>
      <w:r>
        <w:rPr>
          <w:rFonts w:hint="cs"/>
          <w:rtl/>
        </w:rPr>
        <w:t xml:space="preserve">לא </w:t>
      </w:r>
      <w:bookmarkStart w:id="14740" w:name="_ETM_Q19_395500"/>
      <w:bookmarkEnd w:id="14740"/>
      <w:r>
        <w:rPr>
          <w:rFonts w:hint="cs"/>
          <w:rtl/>
        </w:rPr>
        <w:t xml:space="preserve">סבירות </w:t>
      </w:r>
      <w:bookmarkStart w:id="14741" w:name="_ETM_Q19_396950"/>
      <w:bookmarkStart w:id="14742" w:name="_ETM_Q19_397070"/>
      <w:bookmarkEnd w:id="14741"/>
      <w:bookmarkEnd w:id="14742"/>
      <w:r>
        <w:rPr>
          <w:rFonts w:hint="cs"/>
          <w:rtl/>
        </w:rPr>
        <w:t xml:space="preserve">ירצה </w:t>
      </w:r>
      <w:bookmarkStart w:id="14743" w:name="_ETM_Q19_397370"/>
      <w:bookmarkEnd w:id="14743"/>
      <w:r>
        <w:rPr>
          <w:rFonts w:hint="cs"/>
          <w:rtl/>
        </w:rPr>
        <w:t xml:space="preserve">לבטל </w:t>
      </w:r>
      <w:bookmarkStart w:id="14744" w:name="_ETM_Q19_397790"/>
      <w:bookmarkEnd w:id="14744"/>
      <w:r>
        <w:rPr>
          <w:rFonts w:hint="cs"/>
          <w:rtl/>
        </w:rPr>
        <w:t xml:space="preserve">את עילת </w:t>
      </w:r>
      <w:bookmarkStart w:id="14745" w:name="_ETM_Q19_398300"/>
      <w:bookmarkEnd w:id="14745"/>
      <w:r>
        <w:rPr>
          <w:rFonts w:hint="cs"/>
          <w:rtl/>
        </w:rPr>
        <w:t xml:space="preserve">הסבירות – </w:t>
      </w:r>
      <w:bookmarkStart w:id="14746" w:name="_ETM_Q19_399780"/>
      <w:bookmarkEnd w:id="14746"/>
      <w:r>
        <w:rPr>
          <w:rFonts w:hint="cs"/>
          <w:rtl/>
        </w:rPr>
        <w:t xml:space="preserve">שזה </w:t>
      </w:r>
      <w:bookmarkStart w:id="14747" w:name="_ETM_Q19_400260"/>
      <w:bookmarkEnd w:id="14747"/>
      <w:r>
        <w:rPr>
          <w:rFonts w:hint="cs"/>
          <w:rtl/>
        </w:rPr>
        <w:t xml:space="preserve">מה </w:t>
      </w:r>
      <w:bookmarkStart w:id="14748" w:name="_ETM_Q19_400500"/>
      <w:bookmarkEnd w:id="14748"/>
      <w:r>
        <w:rPr>
          <w:rFonts w:hint="cs"/>
          <w:rtl/>
        </w:rPr>
        <w:t xml:space="preserve">שהקואליציה, </w:t>
      </w:r>
      <w:bookmarkStart w:id="14749" w:name="_ETM_Q19_402610"/>
      <w:bookmarkEnd w:id="14749"/>
      <w:r>
        <w:rPr>
          <w:rFonts w:hint="cs"/>
          <w:rtl/>
        </w:rPr>
        <w:t xml:space="preserve">הממשלה </w:t>
      </w:r>
      <w:bookmarkStart w:id="14750" w:name="_ETM_Q19_403420"/>
      <w:bookmarkEnd w:id="14750"/>
      <w:r>
        <w:rPr>
          <w:rFonts w:hint="cs"/>
          <w:rtl/>
        </w:rPr>
        <w:t xml:space="preserve">הכושלת </w:t>
      </w:r>
      <w:bookmarkStart w:id="14751" w:name="_ETM_Q19_404140"/>
      <w:bookmarkEnd w:id="14751"/>
      <w:r>
        <w:rPr>
          <w:rFonts w:hint="cs"/>
          <w:rtl/>
        </w:rPr>
        <w:t xml:space="preserve">הזאת, </w:t>
      </w:r>
      <w:bookmarkStart w:id="14752" w:name="_ETM_Q19_405190"/>
      <w:bookmarkEnd w:id="14752"/>
      <w:r>
        <w:rPr>
          <w:rFonts w:hint="cs"/>
          <w:rtl/>
        </w:rPr>
        <w:t xml:space="preserve">רוצה </w:t>
      </w:r>
      <w:bookmarkStart w:id="14753" w:name="_ETM_Q19_405610"/>
      <w:bookmarkEnd w:id="14753"/>
      <w:r>
        <w:rPr>
          <w:rFonts w:hint="cs"/>
          <w:rtl/>
        </w:rPr>
        <w:t xml:space="preserve">לעשות. </w:t>
      </w:r>
    </w:p>
    <w:p w:rsidR="000C5C1F" w:rsidRDefault="000C5C1F" w:rsidP="000C5C1F">
      <w:pPr>
        <w:rPr>
          <w:rtl/>
        </w:rPr>
      </w:pPr>
    </w:p>
    <w:p w:rsidR="000C5C1F" w:rsidRDefault="000C5C1F" w:rsidP="000C5C1F">
      <w:pPr>
        <w:rPr>
          <w:rtl/>
        </w:rPr>
      </w:pPr>
      <w:bookmarkStart w:id="14754" w:name="_ETM_Q19_411000"/>
      <w:bookmarkEnd w:id="14754"/>
      <w:r>
        <w:rPr>
          <w:rFonts w:hint="cs"/>
          <w:rtl/>
        </w:rPr>
        <w:t xml:space="preserve">בואו ניקח </w:t>
      </w:r>
      <w:bookmarkStart w:id="14755" w:name="_ETM_Q19_407409"/>
      <w:bookmarkStart w:id="14756" w:name="_ETM_Q19_407709"/>
      <w:bookmarkStart w:id="14757" w:name="_ETM_Q19_408099"/>
      <w:bookmarkEnd w:id="14755"/>
      <w:bookmarkEnd w:id="14756"/>
      <w:bookmarkEnd w:id="14757"/>
      <w:r>
        <w:rPr>
          <w:rFonts w:hint="cs"/>
          <w:rtl/>
        </w:rPr>
        <w:t xml:space="preserve">אתכם </w:t>
      </w:r>
      <w:bookmarkStart w:id="14758" w:name="_ETM_Q19_409360"/>
      <w:bookmarkEnd w:id="14758"/>
      <w:r>
        <w:rPr>
          <w:rFonts w:hint="cs"/>
          <w:rtl/>
        </w:rPr>
        <w:t xml:space="preserve">לטיול – </w:t>
      </w:r>
      <w:bookmarkStart w:id="14759" w:name="_ETM_Q19_411150"/>
      <w:bookmarkEnd w:id="14759"/>
      <w:r>
        <w:rPr>
          <w:rFonts w:hint="cs"/>
          <w:rtl/>
        </w:rPr>
        <w:t xml:space="preserve">איך </w:t>
      </w:r>
      <w:bookmarkStart w:id="14760" w:name="_ETM_Q19_411450"/>
      <w:bookmarkEnd w:id="14760"/>
      <w:r>
        <w:rPr>
          <w:rFonts w:hint="cs"/>
          <w:rtl/>
        </w:rPr>
        <w:t xml:space="preserve">הגענו </w:t>
      </w:r>
      <w:bookmarkStart w:id="14761" w:name="_ETM_Q19_412019"/>
      <w:bookmarkEnd w:id="14761"/>
      <w:r>
        <w:rPr>
          <w:rFonts w:hint="cs"/>
          <w:rtl/>
        </w:rPr>
        <w:t xml:space="preserve">לרגע </w:t>
      </w:r>
      <w:bookmarkStart w:id="14762" w:name="_ETM_Q19_412530"/>
      <w:bookmarkEnd w:id="14762"/>
      <w:r>
        <w:rPr>
          <w:rFonts w:hint="cs"/>
          <w:rtl/>
        </w:rPr>
        <w:t xml:space="preserve">הזה: </w:t>
      </w:r>
      <w:bookmarkStart w:id="14763" w:name="_ETM_Q19_414000"/>
      <w:bookmarkEnd w:id="14763"/>
      <w:r>
        <w:rPr>
          <w:rFonts w:hint="cs"/>
          <w:rtl/>
        </w:rPr>
        <w:t xml:space="preserve">נתחיל </w:t>
      </w:r>
      <w:bookmarkStart w:id="14764" w:name="_ETM_Q19_414480"/>
      <w:bookmarkEnd w:id="14764"/>
      <w:r>
        <w:rPr>
          <w:rFonts w:hint="cs"/>
          <w:rtl/>
        </w:rPr>
        <w:t xml:space="preserve">בפרוצדורה. </w:t>
      </w:r>
      <w:bookmarkStart w:id="14765" w:name="_ETM_Q19_416549"/>
      <w:bookmarkEnd w:id="14765"/>
      <w:r>
        <w:rPr>
          <w:rFonts w:hint="cs"/>
          <w:rtl/>
        </w:rPr>
        <w:t xml:space="preserve">זו </w:t>
      </w:r>
      <w:bookmarkStart w:id="14766" w:name="_ETM_Q19_416790"/>
      <w:bookmarkEnd w:id="14766"/>
      <w:r>
        <w:rPr>
          <w:rFonts w:hint="cs"/>
          <w:rtl/>
        </w:rPr>
        <w:t xml:space="preserve">לא </w:t>
      </w:r>
      <w:bookmarkStart w:id="14767" w:name="_ETM_Q19_416939"/>
      <w:bookmarkEnd w:id="14767"/>
      <w:r>
        <w:rPr>
          <w:rFonts w:hint="cs"/>
          <w:rtl/>
        </w:rPr>
        <w:t xml:space="preserve">הצעת </w:t>
      </w:r>
      <w:bookmarkStart w:id="14768" w:name="_ETM_Q19_417599"/>
      <w:bookmarkEnd w:id="14768"/>
      <w:r>
        <w:rPr>
          <w:rFonts w:hint="cs"/>
          <w:rtl/>
        </w:rPr>
        <w:t xml:space="preserve">חוק </w:t>
      </w:r>
      <w:bookmarkStart w:id="14769" w:name="_ETM_Q19_417900"/>
      <w:bookmarkEnd w:id="14769"/>
      <w:r>
        <w:rPr>
          <w:rFonts w:hint="cs"/>
          <w:rtl/>
        </w:rPr>
        <w:t xml:space="preserve">ממשלתית, </w:t>
      </w:r>
      <w:bookmarkStart w:id="14770" w:name="_ETM_Q19_419909"/>
      <w:bookmarkEnd w:id="14770"/>
      <w:r>
        <w:rPr>
          <w:rFonts w:hint="cs"/>
          <w:rtl/>
        </w:rPr>
        <w:t xml:space="preserve">שבה </w:t>
      </w:r>
      <w:bookmarkStart w:id="14771" w:name="_ETM_Q19_420359"/>
      <w:bookmarkEnd w:id="14771"/>
      <w:r>
        <w:rPr>
          <w:rFonts w:hint="cs"/>
          <w:rtl/>
        </w:rPr>
        <w:t xml:space="preserve">מתקבלות </w:t>
      </w:r>
      <w:bookmarkStart w:id="14772" w:name="_ETM_Q19_421379"/>
      <w:bookmarkEnd w:id="14772"/>
      <w:r>
        <w:rPr>
          <w:rFonts w:hint="cs"/>
          <w:rtl/>
        </w:rPr>
        <w:t xml:space="preserve">חוות </w:t>
      </w:r>
      <w:bookmarkStart w:id="14773" w:name="_ETM_Q19_421799"/>
      <w:bookmarkEnd w:id="14773"/>
      <w:r>
        <w:rPr>
          <w:rFonts w:hint="cs"/>
          <w:rtl/>
        </w:rPr>
        <w:t xml:space="preserve">דעת </w:t>
      </w:r>
      <w:bookmarkStart w:id="14774" w:name="_ETM_Q19_422890"/>
      <w:bookmarkEnd w:id="14774"/>
      <w:r>
        <w:rPr>
          <w:rFonts w:hint="cs"/>
          <w:rtl/>
        </w:rPr>
        <w:t xml:space="preserve">של </w:t>
      </w:r>
      <w:bookmarkStart w:id="14775" w:name="_ETM_Q19_423129"/>
      <w:bookmarkEnd w:id="14775"/>
      <w:r>
        <w:rPr>
          <w:rFonts w:hint="cs"/>
          <w:rtl/>
        </w:rPr>
        <w:t xml:space="preserve">יועצים </w:t>
      </w:r>
      <w:bookmarkStart w:id="14776" w:name="_ETM_Q19_423580"/>
      <w:bookmarkEnd w:id="14776"/>
      <w:r>
        <w:rPr>
          <w:rFonts w:hint="cs"/>
          <w:rtl/>
        </w:rPr>
        <w:t xml:space="preserve">משפטיים, </w:t>
      </w:r>
      <w:bookmarkStart w:id="14777" w:name="_ETM_Q19_425090"/>
      <w:bookmarkEnd w:id="14777"/>
      <w:r>
        <w:rPr>
          <w:rFonts w:hint="cs"/>
          <w:rtl/>
        </w:rPr>
        <w:t xml:space="preserve">מתקבלות </w:t>
      </w:r>
      <w:bookmarkStart w:id="14778" w:name="_ETM_Q19_425779"/>
      <w:bookmarkEnd w:id="14778"/>
      <w:r>
        <w:rPr>
          <w:rFonts w:hint="cs"/>
          <w:rtl/>
        </w:rPr>
        <w:t xml:space="preserve">הערות </w:t>
      </w:r>
      <w:bookmarkStart w:id="14779" w:name="_ETM_Q19_424000"/>
      <w:bookmarkStart w:id="14780" w:name="_ETM_Q19_426260"/>
      <w:bookmarkEnd w:id="14779"/>
      <w:bookmarkEnd w:id="14780"/>
      <w:r>
        <w:rPr>
          <w:rFonts w:hint="cs"/>
          <w:rtl/>
        </w:rPr>
        <w:t xml:space="preserve">מהציבור. </w:t>
      </w:r>
      <w:bookmarkStart w:id="14781" w:name="_ETM_Q19_427930"/>
      <w:bookmarkEnd w:id="14781"/>
      <w:r>
        <w:rPr>
          <w:rFonts w:hint="cs"/>
          <w:rtl/>
        </w:rPr>
        <w:t xml:space="preserve">לא, </w:t>
      </w:r>
      <w:bookmarkStart w:id="14782" w:name="_ETM_Q19_429299"/>
      <w:bookmarkEnd w:id="14782"/>
      <w:r>
        <w:rPr>
          <w:rFonts w:hint="cs"/>
          <w:rtl/>
        </w:rPr>
        <w:t xml:space="preserve">לא </w:t>
      </w:r>
      <w:bookmarkStart w:id="14783" w:name="_ETM_Q19_429569"/>
      <w:bookmarkEnd w:id="14783"/>
      <w:r>
        <w:rPr>
          <w:rFonts w:hint="cs"/>
          <w:rtl/>
        </w:rPr>
        <w:t xml:space="preserve">צריך </w:t>
      </w:r>
      <w:bookmarkStart w:id="14784" w:name="_ETM_Q19_429959"/>
      <w:bookmarkEnd w:id="14784"/>
      <w:r>
        <w:rPr>
          <w:rFonts w:hint="cs"/>
          <w:rtl/>
        </w:rPr>
        <w:t xml:space="preserve">לשמוע. </w:t>
      </w:r>
      <w:bookmarkStart w:id="14785" w:name="_ETM_Q19_431580"/>
      <w:bookmarkEnd w:id="14785"/>
      <w:r>
        <w:rPr>
          <w:rFonts w:hint="cs"/>
          <w:rtl/>
        </w:rPr>
        <w:t xml:space="preserve">זו </w:t>
      </w:r>
      <w:bookmarkStart w:id="14786" w:name="_ETM_Q19_431970"/>
      <w:bookmarkEnd w:id="14786"/>
      <w:r>
        <w:rPr>
          <w:rFonts w:hint="cs"/>
          <w:rtl/>
        </w:rPr>
        <w:t xml:space="preserve">אפילו </w:t>
      </w:r>
      <w:bookmarkStart w:id="14787" w:name="_ETM_Q19_432360"/>
      <w:bookmarkEnd w:id="14787"/>
      <w:r>
        <w:rPr>
          <w:rFonts w:hint="cs"/>
          <w:rtl/>
        </w:rPr>
        <w:t xml:space="preserve">להצעת </w:t>
      </w:r>
      <w:bookmarkStart w:id="14788" w:name="_ETM_Q19_432900"/>
      <w:bookmarkEnd w:id="14788"/>
      <w:r>
        <w:rPr>
          <w:rFonts w:hint="cs"/>
          <w:rtl/>
        </w:rPr>
        <w:t xml:space="preserve">חוק </w:t>
      </w:r>
      <w:bookmarkStart w:id="14789" w:name="_ETM_Q19_433200"/>
      <w:bookmarkEnd w:id="14789"/>
      <w:r>
        <w:rPr>
          <w:rFonts w:hint="cs"/>
          <w:rtl/>
        </w:rPr>
        <w:t xml:space="preserve">פרטית </w:t>
      </w:r>
      <w:bookmarkStart w:id="14790" w:name="_ETM_Q19_434470"/>
      <w:bookmarkEnd w:id="14790"/>
      <w:r>
        <w:rPr>
          <w:rFonts w:hint="cs"/>
          <w:rtl/>
        </w:rPr>
        <w:t xml:space="preserve">מטעם </w:t>
      </w:r>
      <w:bookmarkStart w:id="14791" w:name="_ETM_Q19_434950"/>
      <w:bookmarkEnd w:id="14791"/>
      <w:r>
        <w:rPr>
          <w:rFonts w:hint="cs"/>
          <w:rtl/>
        </w:rPr>
        <w:t xml:space="preserve">יו"ר </w:t>
      </w:r>
      <w:bookmarkStart w:id="14792" w:name="_ETM_Q19_435220"/>
      <w:bookmarkEnd w:id="14792"/>
      <w:r>
        <w:rPr>
          <w:rFonts w:hint="cs"/>
          <w:rtl/>
        </w:rPr>
        <w:t xml:space="preserve">הוועדה; זו הצעת חוק </w:t>
      </w:r>
      <w:bookmarkStart w:id="14793" w:name="_ETM_Q19_436830"/>
      <w:bookmarkStart w:id="14794" w:name="_ETM_Q19_438289"/>
      <w:bookmarkStart w:id="14795" w:name="_ETM_Q19_439419"/>
      <w:bookmarkEnd w:id="14793"/>
      <w:bookmarkEnd w:id="14794"/>
      <w:bookmarkEnd w:id="14795"/>
      <w:r>
        <w:rPr>
          <w:rFonts w:hint="cs"/>
          <w:rtl/>
        </w:rPr>
        <w:t xml:space="preserve">מטעם </w:t>
      </w:r>
      <w:bookmarkStart w:id="14796" w:name="_ETM_Q19_440349"/>
      <w:bookmarkEnd w:id="14796"/>
      <w:r>
        <w:rPr>
          <w:rFonts w:hint="cs"/>
          <w:rtl/>
        </w:rPr>
        <w:t xml:space="preserve">ועדת </w:t>
      </w:r>
      <w:bookmarkStart w:id="14797" w:name="_ETM_Q19_441069"/>
      <w:bookmarkEnd w:id="14797"/>
      <w:r>
        <w:rPr>
          <w:rFonts w:hint="cs"/>
          <w:rtl/>
        </w:rPr>
        <w:t xml:space="preserve">החוקה. </w:t>
      </w:r>
      <w:bookmarkStart w:id="14798" w:name="_ETM_Q19_443330"/>
      <w:bookmarkStart w:id="14799" w:name="_ETM_Q19_439000"/>
      <w:bookmarkStart w:id="14800" w:name="_ETM_Q19_440000"/>
      <w:bookmarkEnd w:id="14798"/>
      <w:bookmarkEnd w:id="14799"/>
      <w:bookmarkEnd w:id="14800"/>
      <w:r>
        <w:rPr>
          <w:rFonts w:hint="cs"/>
          <w:rtl/>
        </w:rPr>
        <w:t xml:space="preserve">מה </w:t>
      </w:r>
      <w:bookmarkStart w:id="14801" w:name="_ETM_Q19_443870"/>
      <w:bookmarkEnd w:id="14801"/>
      <w:r>
        <w:rPr>
          <w:rFonts w:hint="cs"/>
          <w:rtl/>
        </w:rPr>
        <w:t>הבעיה?</w:t>
      </w:r>
      <w:bookmarkStart w:id="14802" w:name="_ETM_Q19_445360"/>
      <w:bookmarkEnd w:id="14802"/>
      <w:r>
        <w:rPr>
          <w:rFonts w:hint="cs"/>
          <w:rtl/>
        </w:rPr>
        <w:t xml:space="preserve"> כמעט </w:t>
      </w:r>
      <w:bookmarkStart w:id="14803" w:name="_ETM_Q19_445779"/>
      <w:bookmarkEnd w:id="14803"/>
      <w:r>
        <w:rPr>
          <w:rFonts w:hint="cs"/>
          <w:rtl/>
        </w:rPr>
        <w:t xml:space="preserve">חצי </w:t>
      </w:r>
      <w:bookmarkStart w:id="14804" w:name="_ETM_Q19_446319"/>
      <w:bookmarkEnd w:id="14804"/>
      <w:r>
        <w:rPr>
          <w:rFonts w:hint="cs"/>
          <w:rtl/>
        </w:rPr>
        <w:t xml:space="preserve">מחברי </w:t>
      </w:r>
      <w:bookmarkStart w:id="14805" w:name="_ETM_Q19_446830"/>
      <w:bookmarkEnd w:id="14805"/>
      <w:r>
        <w:rPr>
          <w:rFonts w:hint="cs"/>
          <w:rtl/>
        </w:rPr>
        <w:t xml:space="preserve">הוועדה </w:t>
      </w:r>
      <w:bookmarkStart w:id="14806" w:name="_ETM_Q19_448189"/>
      <w:bookmarkEnd w:id="14806"/>
      <w:r>
        <w:rPr>
          <w:rFonts w:hint="cs"/>
          <w:rtl/>
        </w:rPr>
        <w:t xml:space="preserve">מתנגדים </w:t>
      </w:r>
      <w:bookmarkStart w:id="14807" w:name="_ETM_Q19_448970"/>
      <w:bookmarkEnd w:id="14807"/>
      <w:r>
        <w:rPr>
          <w:rFonts w:hint="cs"/>
          <w:rtl/>
        </w:rPr>
        <w:t xml:space="preserve">בתוקף </w:t>
      </w:r>
      <w:bookmarkStart w:id="14808" w:name="_ETM_Q19_450580"/>
      <w:bookmarkEnd w:id="14808"/>
      <w:r>
        <w:rPr>
          <w:rFonts w:hint="cs"/>
          <w:rtl/>
        </w:rPr>
        <w:t xml:space="preserve">להצעה </w:t>
      </w:r>
      <w:bookmarkStart w:id="14809" w:name="_ETM_Q19_451180"/>
      <w:bookmarkEnd w:id="14809"/>
      <w:r>
        <w:rPr>
          <w:rFonts w:hint="cs"/>
          <w:rtl/>
        </w:rPr>
        <w:t xml:space="preserve">הזאת. </w:t>
      </w:r>
      <w:bookmarkStart w:id="14810" w:name="_ETM_Q19_452610"/>
      <w:bookmarkEnd w:id="14810"/>
      <w:r>
        <w:rPr>
          <w:rFonts w:hint="cs"/>
          <w:rtl/>
        </w:rPr>
        <w:t xml:space="preserve">יש </w:t>
      </w:r>
      <w:bookmarkStart w:id="14811" w:name="_ETM_Q19_453000"/>
      <w:bookmarkEnd w:id="14811"/>
      <w:r>
        <w:rPr>
          <w:rFonts w:hint="cs"/>
          <w:rtl/>
        </w:rPr>
        <w:t xml:space="preserve">הצעות </w:t>
      </w:r>
      <w:bookmarkStart w:id="14812" w:name="_ETM_Q19_453480"/>
      <w:bookmarkEnd w:id="14812"/>
      <w:r>
        <w:rPr>
          <w:rFonts w:hint="cs"/>
          <w:rtl/>
        </w:rPr>
        <w:t xml:space="preserve">מטעם </w:t>
      </w:r>
      <w:bookmarkStart w:id="14813" w:name="_ETM_Q19_453960"/>
      <w:bookmarkEnd w:id="14813"/>
      <w:r>
        <w:rPr>
          <w:rFonts w:hint="cs"/>
          <w:rtl/>
        </w:rPr>
        <w:t xml:space="preserve">הוועדה. </w:t>
      </w:r>
      <w:bookmarkStart w:id="14814" w:name="_ETM_Q19_455380"/>
      <w:bookmarkEnd w:id="14814"/>
      <w:r>
        <w:rPr>
          <w:rFonts w:hint="cs"/>
          <w:rtl/>
        </w:rPr>
        <w:t xml:space="preserve">הן </w:t>
      </w:r>
      <w:bookmarkStart w:id="14815" w:name="_ETM_Q19_455620"/>
      <w:bookmarkEnd w:id="14815"/>
      <w:r>
        <w:rPr>
          <w:rFonts w:hint="cs"/>
          <w:rtl/>
        </w:rPr>
        <w:t xml:space="preserve">אף </w:t>
      </w:r>
      <w:bookmarkStart w:id="14816" w:name="_ETM_Q19_455770"/>
      <w:bookmarkEnd w:id="14816"/>
      <w:r>
        <w:rPr>
          <w:rFonts w:hint="cs"/>
          <w:rtl/>
        </w:rPr>
        <w:t xml:space="preserve">פעם </w:t>
      </w:r>
      <w:bookmarkStart w:id="14817" w:name="_ETM_Q19_456190"/>
      <w:bookmarkEnd w:id="14817"/>
      <w:r>
        <w:rPr>
          <w:rFonts w:hint="cs"/>
          <w:rtl/>
        </w:rPr>
        <w:t xml:space="preserve">לא </w:t>
      </w:r>
      <w:bookmarkStart w:id="14818" w:name="_ETM_Q19_456400"/>
      <w:bookmarkStart w:id="14819" w:name="_ETM_Q19_456970"/>
      <w:bookmarkEnd w:id="14818"/>
      <w:bookmarkEnd w:id="14819"/>
      <w:r>
        <w:rPr>
          <w:rFonts w:hint="cs"/>
          <w:rtl/>
        </w:rPr>
        <w:t xml:space="preserve">במחלוקת כזו, </w:t>
      </w:r>
      <w:bookmarkStart w:id="14820" w:name="_ETM_Q19_458860"/>
      <w:bookmarkEnd w:id="14820"/>
      <w:r>
        <w:rPr>
          <w:rFonts w:hint="cs"/>
          <w:rtl/>
        </w:rPr>
        <w:t xml:space="preserve">וזה </w:t>
      </w:r>
      <w:bookmarkStart w:id="14821" w:name="_ETM_Q19_459310"/>
      <w:bookmarkEnd w:id="14821"/>
      <w:r>
        <w:rPr>
          <w:rFonts w:hint="cs"/>
          <w:rtl/>
        </w:rPr>
        <w:t xml:space="preserve">אף </w:t>
      </w:r>
      <w:bookmarkStart w:id="14822" w:name="_ETM_Q19_459430"/>
      <w:bookmarkEnd w:id="14822"/>
      <w:r>
        <w:rPr>
          <w:rFonts w:hint="cs"/>
          <w:rtl/>
        </w:rPr>
        <w:t xml:space="preserve">פעם </w:t>
      </w:r>
      <w:bookmarkStart w:id="14823" w:name="_ETM_Q19_459729"/>
      <w:bookmarkEnd w:id="14823"/>
      <w:r>
        <w:rPr>
          <w:rFonts w:hint="cs"/>
          <w:rtl/>
        </w:rPr>
        <w:t xml:space="preserve">לא </w:t>
      </w:r>
      <w:bookmarkStart w:id="14824" w:name="_ETM_Q19_459879"/>
      <w:bookmarkEnd w:id="14824"/>
      <w:r>
        <w:rPr>
          <w:rFonts w:hint="cs"/>
          <w:rtl/>
        </w:rPr>
        <w:t xml:space="preserve">נעשה </w:t>
      </w:r>
      <w:bookmarkStart w:id="14825" w:name="_ETM_Q19_460270"/>
      <w:bookmarkEnd w:id="14825"/>
      <w:r>
        <w:rPr>
          <w:rFonts w:hint="cs"/>
          <w:rtl/>
        </w:rPr>
        <w:t xml:space="preserve">בצורה </w:t>
      </w:r>
      <w:bookmarkStart w:id="14826" w:name="_ETM_Q19_460779"/>
      <w:bookmarkEnd w:id="14826"/>
      <w:r>
        <w:rPr>
          <w:rFonts w:hint="cs"/>
          <w:rtl/>
        </w:rPr>
        <w:t xml:space="preserve">הזאת. </w:t>
      </w:r>
      <w:bookmarkStart w:id="14827" w:name="_ETM_Q19_462190"/>
      <w:bookmarkEnd w:id="14827"/>
      <w:r>
        <w:rPr>
          <w:rFonts w:hint="cs"/>
          <w:rtl/>
        </w:rPr>
        <w:t xml:space="preserve">הם </w:t>
      </w:r>
      <w:bookmarkStart w:id="14828" w:name="_ETM_Q19_462370"/>
      <w:bookmarkEnd w:id="14828"/>
      <w:r>
        <w:rPr>
          <w:rFonts w:hint="cs"/>
          <w:rtl/>
        </w:rPr>
        <w:t xml:space="preserve">פחדנים. </w:t>
      </w:r>
      <w:bookmarkStart w:id="14829" w:name="_ETM_Q19_464039"/>
      <w:bookmarkEnd w:id="14829"/>
      <w:r>
        <w:rPr>
          <w:rFonts w:hint="cs"/>
          <w:rtl/>
        </w:rPr>
        <w:t xml:space="preserve">הם </w:t>
      </w:r>
      <w:bookmarkStart w:id="14830" w:name="_ETM_Q19_464250"/>
      <w:bookmarkEnd w:id="14830"/>
      <w:r>
        <w:rPr>
          <w:rFonts w:hint="cs"/>
          <w:rtl/>
        </w:rPr>
        <w:t xml:space="preserve">לא </w:t>
      </w:r>
      <w:bookmarkStart w:id="14831" w:name="_ETM_Q19_464370"/>
      <w:bookmarkEnd w:id="14831"/>
      <w:r>
        <w:rPr>
          <w:rFonts w:hint="cs"/>
          <w:rtl/>
        </w:rPr>
        <w:t xml:space="preserve">רוצים </w:t>
      </w:r>
      <w:bookmarkStart w:id="14832" w:name="_ETM_Q19_464789"/>
      <w:bookmarkEnd w:id="14832"/>
      <w:r>
        <w:rPr>
          <w:rFonts w:hint="cs"/>
          <w:rtl/>
        </w:rPr>
        <w:t xml:space="preserve">לשמוע </w:t>
      </w:r>
      <w:bookmarkStart w:id="14833" w:name="_ETM_Q19_465920"/>
      <w:bookmarkEnd w:id="14833"/>
      <w:r>
        <w:rPr>
          <w:rFonts w:hint="cs"/>
          <w:rtl/>
        </w:rPr>
        <w:t xml:space="preserve">מה </w:t>
      </w:r>
      <w:bookmarkStart w:id="14834" w:name="_ETM_Q19_466310"/>
      <w:bookmarkEnd w:id="14834"/>
      <w:r>
        <w:rPr>
          <w:rFonts w:hint="cs"/>
          <w:rtl/>
        </w:rPr>
        <w:t xml:space="preserve">באמת </w:t>
      </w:r>
      <w:bookmarkStart w:id="14835" w:name="_ETM_Q19_466790"/>
      <w:bookmarkEnd w:id="14835"/>
      <w:r>
        <w:rPr>
          <w:rFonts w:hint="cs"/>
          <w:rtl/>
        </w:rPr>
        <w:t xml:space="preserve">חושבים </w:t>
      </w:r>
      <w:bookmarkStart w:id="14836" w:name="_ETM_Q19_467240"/>
      <w:bookmarkEnd w:id="14836"/>
      <w:r>
        <w:rPr>
          <w:rFonts w:hint="cs"/>
          <w:rtl/>
        </w:rPr>
        <w:t xml:space="preserve">על </w:t>
      </w:r>
      <w:bookmarkStart w:id="14837" w:name="_ETM_Q19_467390"/>
      <w:bookmarkEnd w:id="14837"/>
      <w:r>
        <w:rPr>
          <w:rFonts w:hint="cs"/>
          <w:rtl/>
        </w:rPr>
        <w:t xml:space="preserve">ההצעה </w:t>
      </w:r>
      <w:bookmarkStart w:id="14838" w:name="_ETM_Q19_467839"/>
      <w:bookmarkEnd w:id="14838"/>
      <w:r>
        <w:rPr>
          <w:rFonts w:hint="cs"/>
          <w:rtl/>
        </w:rPr>
        <w:t xml:space="preserve">שלהם. </w:t>
      </w:r>
      <w:bookmarkStart w:id="14839" w:name="_ETM_Q19_469960"/>
      <w:bookmarkEnd w:id="14839"/>
    </w:p>
    <w:p w:rsidR="000C5C1F" w:rsidRDefault="000C5C1F" w:rsidP="000C5C1F">
      <w:pPr>
        <w:rPr>
          <w:rtl/>
        </w:rPr>
      </w:pPr>
      <w:bookmarkStart w:id="14840" w:name="_ETM_Q19_473000"/>
      <w:bookmarkEnd w:id="14840"/>
    </w:p>
    <w:p w:rsidR="000C5C1F" w:rsidRDefault="000C5C1F" w:rsidP="000C5C1F">
      <w:pPr>
        <w:rPr>
          <w:rtl/>
        </w:rPr>
      </w:pPr>
      <w:bookmarkStart w:id="14841" w:name="_ETM_Q19_474000"/>
      <w:bookmarkEnd w:id="14841"/>
      <w:r>
        <w:rPr>
          <w:rFonts w:hint="cs"/>
          <w:rtl/>
        </w:rPr>
        <w:t xml:space="preserve">אני </w:t>
      </w:r>
      <w:bookmarkStart w:id="14842" w:name="_ETM_Q19_470229"/>
      <w:bookmarkEnd w:id="14842"/>
      <w:r>
        <w:rPr>
          <w:rFonts w:hint="cs"/>
          <w:rtl/>
        </w:rPr>
        <w:t xml:space="preserve">לא </w:t>
      </w:r>
      <w:bookmarkStart w:id="14843" w:name="_ETM_Q19_470379"/>
      <w:bookmarkEnd w:id="14843"/>
      <w:r>
        <w:rPr>
          <w:rFonts w:hint="cs"/>
          <w:rtl/>
        </w:rPr>
        <w:t xml:space="preserve">מצליחה </w:t>
      </w:r>
      <w:bookmarkStart w:id="14844" w:name="_ETM_Q19_470830"/>
      <w:bookmarkEnd w:id="14844"/>
      <w:r>
        <w:rPr>
          <w:rFonts w:hint="cs"/>
          <w:rtl/>
        </w:rPr>
        <w:t xml:space="preserve">להבין </w:t>
      </w:r>
      <w:bookmarkStart w:id="14845" w:name="_ETM_Q19_472220"/>
      <w:bookmarkEnd w:id="14845"/>
      <w:r>
        <w:rPr>
          <w:rFonts w:hint="cs"/>
          <w:rtl/>
        </w:rPr>
        <w:t xml:space="preserve">איך </w:t>
      </w:r>
      <w:bookmarkStart w:id="14846" w:name="_ETM_Q19_472520"/>
      <w:bookmarkEnd w:id="14846"/>
      <w:r>
        <w:rPr>
          <w:rFonts w:hint="cs"/>
          <w:rtl/>
        </w:rPr>
        <w:t xml:space="preserve">שרי </w:t>
      </w:r>
      <w:bookmarkStart w:id="14847" w:name="_ETM_Q19_472910"/>
      <w:bookmarkEnd w:id="14847"/>
      <w:r>
        <w:rPr>
          <w:rFonts w:hint="cs"/>
          <w:rtl/>
        </w:rPr>
        <w:t>הממשלה</w:t>
      </w:r>
      <w:bookmarkStart w:id="14848" w:name="_ETM_Q19_474500"/>
      <w:bookmarkEnd w:id="14848"/>
      <w:r>
        <w:rPr>
          <w:rFonts w:hint="cs"/>
          <w:rtl/>
        </w:rPr>
        <w:t xml:space="preserve">, החברים </w:t>
      </w:r>
      <w:bookmarkStart w:id="14849" w:name="_ETM_Q19_475129"/>
      <w:bookmarkEnd w:id="14849"/>
      <w:r>
        <w:rPr>
          <w:rFonts w:hint="cs"/>
          <w:rtl/>
        </w:rPr>
        <w:t xml:space="preserve">בקבינט, </w:t>
      </w:r>
      <w:bookmarkStart w:id="14850" w:name="_ETM_Q19_476659"/>
      <w:bookmarkEnd w:id="14850"/>
      <w:r>
        <w:rPr>
          <w:rFonts w:hint="cs"/>
          <w:rtl/>
        </w:rPr>
        <w:t xml:space="preserve">ישנים </w:t>
      </w:r>
      <w:bookmarkStart w:id="14851" w:name="_ETM_Q19_477169"/>
      <w:bookmarkEnd w:id="14851"/>
      <w:r>
        <w:rPr>
          <w:rFonts w:hint="cs"/>
          <w:rtl/>
        </w:rPr>
        <w:t xml:space="preserve">בשקט </w:t>
      </w:r>
      <w:bookmarkStart w:id="14852" w:name="_ETM_Q19_478839"/>
      <w:bookmarkEnd w:id="14852"/>
      <w:r>
        <w:rPr>
          <w:rFonts w:hint="cs"/>
          <w:rtl/>
        </w:rPr>
        <w:t xml:space="preserve">כשהם </w:t>
      </w:r>
      <w:bookmarkStart w:id="14853" w:name="_ETM_Q19_479170"/>
      <w:bookmarkEnd w:id="14853"/>
      <w:r>
        <w:rPr>
          <w:rFonts w:hint="cs"/>
          <w:rtl/>
        </w:rPr>
        <w:t xml:space="preserve">יודעים </w:t>
      </w:r>
      <w:bookmarkStart w:id="14854" w:name="_ETM_Q19_480430"/>
      <w:bookmarkEnd w:id="14854"/>
      <w:r>
        <w:rPr>
          <w:rFonts w:hint="cs"/>
          <w:rtl/>
        </w:rPr>
        <w:t xml:space="preserve">שיום </w:t>
      </w:r>
      <w:bookmarkStart w:id="14855" w:name="_ETM_Q19_480909"/>
      <w:bookmarkEnd w:id="14855"/>
      <w:r>
        <w:rPr>
          <w:rFonts w:hint="cs"/>
          <w:rtl/>
        </w:rPr>
        <w:t>יבוא –</w:t>
      </w:r>
      <w:bookmarkStart w:id="14856" w:name="_ETM_Q19_480000"/>
      <w:bookmarkEnd w:id="14856"/>
      <w:r>
        <w:rPr>
          <w:rFonts w:hint="cs"/>
          <w:rtl/>
        </w:rPr>
        <w:t xml:space="preserve"> אני </w:t>
      </w:r>
      <w:bookmarkStart w:id="14857" w:name="_ETM_Q19_481050"/>
      <w:bookmarkEnd w:id="14857"/>
      <w:r>
        <w:rPr>
          <w:rFonts w:hint="cs"/>
          <w:rtl/>
        </w:rPr>
        <w:t xml:space="preserve">מקווה שהוא לא </w:t>
      </w:r>
      <w:bookmarkStart w:id="14858" w:name="_ETM_Q19_481560"/>
      <w:bookmarkEnd w:id="14858"/>
      <w:r>
        <w:rPr>
          <w:rFonts w:hint="cs"/>
          <w:rtl/>
        </w:rPr>
        <w:t>יבוא</w:t>
      </w:r>
      <w:bookmarkStart w:id="14859" w:name="_ETM_Q19_482980"/>
      <w:bookmarkEnd w:id="14859"/>
      <w:r>
        <w:rPr>
          <w:rFonts w:hint="cs"/>
          <w:rtl/>
        </w:rPr>
        <w:t xml:space="preserve">, </w:t>
      </w:r>
      <w:bookmarkStart w:id="14860" w:name="_ETM_Q19_483219"/>
      <w:bookmarkStart w:id="14861" w:name="_ETM_Q19_483790"/>
      <w:bookmarkStart w:id="14862" w:name="_ETM_Q19_484060"/>
      <w:bookmarkStart w:id="14863" w:name="_ETM_Q19_484270"/>
      <w:bookmarkStart w:id="14864" w:name="_ETM_Q19_485350"/>
      <w:bookmarkEnd w:id="14860"/>
      <w:bookmarkEnd w:id="14861"/>
      <w:bookmarkEnd w:id="14862"/>
      <w:bookmarkEnd w:id="14863"/>
      <w:bookmarkEnd w:id="14864"/>
      <w:r>
        <w:rPr>
          <w:rFonts w:hint="cs"/>
          <w:rtl/>
        </w:rPr>
        <w:t xml:space="preserve">אבל </w:t>
      </w:r>
      <w:bookmarkStart w:id="14865" w:name="_ETM_Q19_485649"/>
      <w:bookmarkEnd w:id="14865"/>
      <w:r>
        <w:rPr>
          <w:rFonts w:hint="cs"/>
          <w:rtl/>
        </w:rPr>
        <w:t xml:space="preserve">הוא </w:t>
      </w:r>
      <w:bookmarkStart w:id="14866" w:name="_ETM_Q19_485709"/>
      <w:bookmarkEnd w:id="14866"/>
      <w:r>
        <w:rPr>
          <w:rFonts w:hint="cs"/>
          <w:rtl/>
        </w:rPr>
        <w:t xml:space="preserve">יכול </w:t>
      </w:r>
      <w:bookmarkStart w:id="14867" w:name="_ETM_Q19_486129"/>
      <w:bookmarkEnd w:id="14867"/>
      <w:r>
        <w:rPr>
          <w:rFonts w:hint="cs"/>
          <w:rtl/>
        </w:rPr>
        <w:t xml:space="preserve">לבוא </w:t>
      </w:r>
      <w:bookmarkStart w:id="14868" w:name="_ETM_Q19_486399"/>
      <w:bookmarkEnd w:id="14868"/>
      <w:r>
        <w:rPr>
          <w:rFonts w:hint="cs"/>
          <w:rtl/>
        </w:rPr>
        <w:t xml:space="preserve">בקרוב </w:t>
      </w:r>
      <w:bookmarkStart w:id="14869" w:name="_ETM_Q19_487759"/>
      <w:bookmarkEnd w:id="14869"/>
      <w:r>
        <w:rPr>
          <w:rFonts w:hint="cs"/>
          <w:rtl/>
        </w:rPr>
        <w:t xml:space="preserve">– שהם </w:t>
      </w:r>
      <w:bookmarkStart w:id="14870" w:name="_ETM_Q19_488059"/>
      <w:bookmarkEnd w:id="14870"/>
      <w:r>
        <w:rPr>
          <w:rFonts w:hint="cs"/>
          <w:rtl/>
        </w:rPr>
        <w:t xml:space="preserve">יצטרכו </w:t>
      </w:r>
      <w:bookmarkStart w:id="14871" w:name="_ETM_Q19_488570"/>
      <w:bookmarkEnd w:id="14871"/>
      <w:r>
        <w:rPr>
          <w:rFonts w:hint="cs"/>
          <w:rtl/>
        </w:rPr>
        <w:t xml:space="preserve">לשלוח </w:t>
      </w:r>
      <w:bookmarkStart w:id="14872" w:name="_ETM_Q19_489049"/>
      <w:bookmarkEnd w:id="14872"/>
      <w:r>
        <w:rPr>
          <w:rFonts w:hint="cs"/>
          <w:rtl/>
        </w:rPr>
        <w:t xml:space="preserve">את </w:t>
      </w:r>
      <w:bookmarkStart w:id="14873" w:name="_ETM_Q19_489230"/>
      <w:bookmarkEnd w:id="14873"/>
      <w:r>
        <w:rPr>
          <w:rFonts w:hint="cs"/>
          <w:rtl/>
        </w:rPr>
        <w:t xml:space="preserve">החיילים </w:t>
      </w:r>
      <w:bookmarkStart w:id="14874" w:name="_ETM_Q19_489830"/>
      <w:bookmarkEnd w:id="14874"/>
      <w:r>
        <w:rPr>
          <w:rFonts w:hint="cs"/>
          <w:rtl/>
        </w:rPr>
        <w:t xml:space="preserve">שלנו </w:t>
      </w:r>
      <w:bookmarkStart w:id="14875" w:name="_ETM_Q19_490919"/>
      <w:bookmarkEnd w:id="14875"/>
      <w:r>
        <w:rPr>
          <w:rFonts w:hint="cs"/>
          <w:rtl/>
        </w:rPr>
        <w:t xml:space="preserve">לשדה </w:t>
      </w:r>
      <w:bookmarkStart w:id="14876" w:name="_ETM_Q19_491429"/>
      <w:bookmarkEnd w:id="14876"/>
      <w:r>
        <w:rPr>
          <w:rFonts w:hint="cs"/>
          <w:rtl/>
        </w:rPr>
        <w:t xml:space="preserve">הקרב </w:t>
      </w:r>
      <w:bookmarkStart w:id="14877" w:name="_ETM_Q19_493410"/>
      <w:bookmarkEnd w:id="14877"/>
      <w:r>
        <w:rPr>
          <w:rFonts w:hint="cs"/>
          <w:rtl/>
        </w:rPr>
        <w:t xml:space="preserve">כשהם </w:t>
      </w:r>
      <w:bookmarkStart w:id="14878" w:name="_ETM_Q19_493769"/>
      <w:bookmarkEnd w:id="14878"/>
      <w:r>
        <w:rPr>
          <w:rFonts w:hint="cs"/>
          <w:rtl/>
        </w:rPr>
        <w:t xml:space="preserve">מבינים – </w:t>
      </w:r>
      <w:bookmarkStart w:id="14879" w:name="_ETM_Q19_495369"/>
      <w:bookmarkStart w:id="14880" w:name="_ETM_Q19_495549"/>
      <w:bookmarkEnd w:id="14879"/>
      <w:bookmarkEnd w:id="14880"/>
      <w:r>
        <w:rPr>
          <w:rFonts w:hint="cs"/>
          <w:rtl/>
        </w:rPr>
        <w:t xml:space="preserve">כי הם </w:t>
      </w:r>
      <w:bookmarkStart w:id="14881" w:name="_ETM_Q19_495669"/>
      <w:bookmarkEnd w:id="14881"/>
      <w:r>
        <w:rPr>
          <w:rFonts w:hint="cs"/>
          <w:rtl/>
        </w:rPr>
        <w:t xml:space="preserve">מבינים, </w:t>
      </w:r>
      <w:bookmarkStart w:id="14882" w:name="_ETM_Q19_496119"/>
      <w:bookmarkEnd w:id="14882"/>
      <w:r>
        <w:rPr>
          <w:rFonts w:hint="cs"/>
          <w:rtl/>
        </w:rPr>
        <w:t xml:space="preserve">גם </w:t>
      </w:r>
      <w:bookmarkStart w:id="14883" w:name="_ETM_Q19_496420"/>
      <w:bookmarkEnd w:id="14883"/>
      <w:r>
        <w:rPr>
          <w:rFonts w:hint="cs"/>
          <w:rtl/>
        </w:rPr>
        <w:t>אם</w:t>
      </w:r>
      <w:bookmarkStart w:id="14884" w:name="_ETM_Q19_496539"/>
      <w:bookmarkEnd w:id="14884"/>
      <w:r>
        <w:rPr>
          <w:rFonts w:hint="cs"/>
          <w:rtl/>
        </w:rPr>
        <w:t xml:space="preserve"> </w:t>
      </w:r>
      <w:bookmarkStart w:id="14885" w:name="_ETM_Q19_495000"/>
      <w:bookmarkEnd w:id="14885"/>
      <w:r>
        <w:rPr>
          <w:rFonts w:hint="cs"/>
          <w:rtl/>
        </w:rPr>
        <w:t xml:space="preserve">לא </w:t>
      </w:r>
      <w:bookmarkStart w:id="14886" w:name="_ETM_Q19_496689"/>
      <w:bookmarkEnd w:id="14886"/>
      <w:r>
        <w:rPr>
          <w:rFonts w:hint="cs"/>
          <w:rtl/>
        </w:rPr>
        <w:t xml:space="preserve">רוצים </w:t>
      </w:r>
      <w:bookmarkStart w:id="14887" w:name="_ETM_Q19_497050"/>
      <w:bookmarkEnd w:id="14887"/>
      <w:r>
        <w:rPr>
          <w:rFonts w:hint="cs"/>
          <w:rtl/>
        </w:rPr>
        <w:t xml:space="preserve">לראות </w:t>
      </w:r>
      <w:bookmarkStart w:id="14888" w:name="_ETM_Q19_497439"/>
      <w:bookmarkEnd w:id="14888"/>
      <w:r>
        <w:rPr>
          <w:rFonts w:hint="cs"/>
          <w:rtl/>
        </w:rPr>
        <w:t xml:space="preserve">את </w:t>
      </w:r>
      <w:bookmarkStart w:id="14889" w:name="_ETM_Q19_497560"/>
      <w:bookmarkEnd w:id="14889"/>
      <w:r>
        <w:rPr>
          <w:rFonts w:hint="cs"/>
          <w:rtl/>
        </w:rPr>
        <w:t>זה</w:t>
      </w:r>
      <w:bookmarkStart w:id="14890" w:name="_ETM_Q19_489939"/>
      <w:bookmarkEnd w:id="14890"/>
      <w:r>
        <w:rPr>
          <w:rFonts w:hint="cs"/>
          <w:rtl/>
        </w:rPr>
        <w:t xml:space="preserve">, </w:t>
      </w:r>
      <w:bookmarkStart w:id="14891" w:name="_ETM_Q19_498450"/>
      <w:bookmarkEnd w:id="14891"/>
      <w:r>
        <w:rPr>
          <w:rFonts w:hint="cs"/>
          <w:rtl/>
        </w:rPr>
        <w:t xml:space="preserve">הם </w:t>
      </w:r>
      <w:bookmarkStart w:id="14892" w:name="_ETM_Q19_498750"/>
      <w:bookmarkEnd w:id="14892"/>
      <w:r>
        <w:rPr>
          <w:rFonts w:hint="cs"/>
          <w:rtl/>
        </w:rPr>
        <w:t xml:space="preserve">מבינים </w:t>
      </w:r>
      <w:bookmarkStart w:id="14893" w:name="_ETM_Q19_500010"/>
      <w:bookmarkEnd w:id="14893"/>
      <w:r>
        <w:rPr>
          <w:rFonts w:hint="cs"/>
          <w:rtl/>
        </w:rPr>
        <w:t xml:space="preserve">שהצעת </w:t>
      </w:r>
      <w:bookmarkStart w:id="14894" w:name="_ETM_Q19_500699"/>
      <w:bookmarkEnd w:id="14894"/>
      <w:r>
        <w:rPr>
          <w:rFonts w:hint="cs"/>
          <w:rtl/>
        </w:rPr>
        <w:t xml:space="preserve">החוק </w:t>
      </w:r>
      <w:bookmarkStart w:id="14895" w:name="_ETM_Q19_501089"/>
      <w:bookmarkEnd w:id="14895"/>
      <w:r>
        <w:rPr>
          <w:rFonts w:hint="cs"/>
          <w:rtl/>
        </w:rPr>
        <w:t xml:space="preserve">הזאת </w:t>
      </w:r>
      <w:bookmarkStart w:id="14896" w:name="_ETM_Q19_502210"/>
      <w:bookmarkEnd w:id="14896"/>
      <w:r>
        <w:rPr>
          <w:rFonts w:hint="cs"/>
          <w:rtl/>
        </w:rPr>
        <w:t xml:space="preserve">תפגע </w:t>
      </w:r>
      <w:bookmarkStart w:id="14897" w:name="_ETM_Q19_502720"/>
      <w:bookmarkEnd w:id="14897"/>
      <w:r>
        <w:rPr>
          <w:rFonts w:hint="cs"/>
          <w:rtl/>
        </w:rPr>
        <w:t xml:space="preserve">בחגורה </w:t>
      </w:r>
      <w:bookmarkStart w:id="14898" w:name="_ETM_Q19_503380"/>
      <w:bookmarkEnd w:id="14898"/>
      <w:r>
        <w:rPr>
          <w:rFonts w:hint="cs"/>
          <w:rtl/>
        </w:rPr>
        <w:t xml:space="preserve">המשפטית </w:t>
      </w:r>
      <w:bookmarkStart w:id="14899" w:name="_ETM_Q19_504039"/>
      <w:bookmarkEnd w:id="14899"/>
      <w:r>
        <w:rPr>
          <w:rFonts w:hint="cs"/>
          <w:rtl/>
        </w:rPr>
        <w:t xml:space="preserve">שלהם. </w:t>
      </w:r>
      <w:bookmarkStart w:id="14900" w:name="_ETM_Q19_505710"/>
      <w:bookmarkEnd w:id="14900"/>
      <w:r>
        <w:rPr>
          <w:rFonts w:hint="cs"/>
          <w:rtl/>
        </w:rPr>
        <w:t xml:space="preserve">מי </w:t>
      </w:r>
      <w:bookmarkStart w:id="14901" w:name="_ETM_Q19_505980"/>
      <w:bookmarkEnd w:id="14901"/>
      <w:r>
        <w:rPr>
          <w:rFonts w:hint="cs"/>
          <w:rtl/>
        </w:rPr>
        <w:t xml:space="preserve">יציל </w:t>
      </w:r>
      <w:bookmarkStart w:id="14902" w:name="_ETM_Q19_506400"/>
      <w:bookmarkEnd w:id="14902"/>
      <w:r>
        <w:rPr>
          <w:rFonts w:hint="cs"/>
          <w:rtl/>
        </w:rPr>
        <w:t xml:space="preserve">אותם </w:t>
      </w:r>
      <w:bookmarkStart w:id="14903" w:name="_ETM_Q19_507480"/>
      <w:bookmarkEnd w:id="14903"/>
      <w:r>
        <w:rPr>
          <w:rFonts w:hint="cs"/>
          <w:rtl/>
        </w:rPr>
        <w:t xml:space="preserve">מידי </w:t>
      </w:r>
      <w:bookmarkStart w:id="14904" w:name="_ETM_Q19_507930"/>
      <w:bookmarkEnd w:id="14904"/>
      <w:r>
        <w:rPr>
          <w:rFonts w:hint="cs"/>
          <w:rtl/>
        </w:rPr>
        <w:t xml:space="preserve">הגורמים </w:t>
      </w:r>
      <w:bookmarkStart w:id="14905" w:name="_ETM_Q19_508410"/>
      <w:bookmarkEnd w:id="14905"/>
      <w:r>
        <w:rPr>
          <w:rFonts w:hint="cs"/>
          <w:rtl/>
        </w:rPr>
        <w:t xml:space="preserve">הבין-לאומיים? </w:t>
      </w:r>
      <w:bookmarkStart w:id="14906" w:name="_ETM_Q19_510510"/>
      <w:bookmarkEnd w:id="14906"/>
      <w:r>
        <w:rPr>
          <w:rFonts w:hint="cs"/>
          <w:rtl/>
        </w:rPr>
        <w:t xml:space="preserve">יריב </w:t>
      </w:r>
      <w:bookmarkStart w:id="14907" w:name="_ETM_Q19_510900"/>
      <w:bookmarkEnd w:id="14907"/>
      <w:r>
        <w:rPr>
          <w:rFonts w:hint="cs"/>
          <w:rtl/>
        </w:rPr>
        <w:t xml:space="preserve">לוין? </w:t>
      </w:r>
      <w:bookmarkStart w:id="14908" w:name="_ETM_Q19_513270"/>
      <w:bookmarkEnd w:id="14908"/>
      <w:r>
        <w:rPr>
          <w:rFonts w:hint="cs"/>
          <w:rtl/>
        </w:rPr>
        <w:t xml:space="preserve">מי, </w:t>
      </w:r>
      <w:bookmarkStart w:id="14909" w:name="_ETM_Q19_513839"/>
      <w:bookmarkEnd w:id="14909"/>
      <w:r>
        <w:rPr>
          <w:rFonts w:hint="cs"/>
          <w:rtl/>
        </w:rPr>
        <w:t xml:space="preserve">נתניהו? </w:t>
      </w:r>
      <w:bookmarkStart w:id="14910" w:name="_ETM_Q19_515500"/>
      <w:bookmarkEnd w:id="14910"/>
      <w:r>
        <w:rPr>
          <w:rFonts w:hint="cs"/>
          <w:rtl/>
        </w:rPr>
        <w:t xml:space="preserve">אולי </w:t>
      </w:r>
      <w:bookmarkStart w:id="14911" w:name="_ETM_Q19_515830"/>
      <w:bookmarkEnd w:id="14911"/>
      <w:r>
        <w:rPr>
          <w:rFonts w:hint="cs"/>
          <w:rtl/>
        </w:rPr>
        <w:t xml:space="preserve">שמחה </w:t>
      </w:r>
      <w:bookmarkStart w:id="14912" w:name="_ETM_Q19_516279"/>
      <w:bookmarkEnd w:id="14912"/>
      <w:r>
        <w:rPr>
          <w:rFonts w:hint="cs"/>
          <w:rtl/>
        </w:rPr>
        <w:t>רוטמן</w:t>
      </w:r>
      <w:bookmarkStart w:id="14913" w:name="_ETM_Q19_518750"/>
      <w:bookmarkEnd w:id="14913"/>
      <w:r>
        <w:rPr>
          <w:rFonts w:hint="cs"/>
          <w:rtl/>
        </w:rPr>
        <w:t>?</w:t>
      </w:r>
    </w:p>
    <w:p w:rsidR="000C5C1F" w:rsidRDefault="000C5C1F" w:rsidP="000C5C1F">
      <w:pPr>
        <w:rPr>
          <w:rtl/>
        </w:rPr>
      </w:pPr>
      <w:bookmarkStart w:id="14914" w:name="_ETM_Q19_519000"/>
      <w:bookmarkEnd w:id="14914"/>
    </w:p>
    <w:p w:rsidR="000C5C1F" w:rsidRDefault="000C5C1F" w:rsidP="000C5C1F">
      <w:pPr>
        <w:rPr>
          <w:rtl/>
        </w:rPr>
      </w:pPr>
      <w:r>
        <w:rPr>
          <w:rFonts w:hint="cs"/>
          <w:rtl/>
        </w:rPr>
        <w:t xml:space="preserve">אתם יודעים, הם </w:t>
      </w:r>
      <w:bookmarkStart w:id="14915" w:name="_ETM_Q19_519379"/>
      <w:bookmarkStart w:id="14916" w:name="_ETM_Q19_519589"/>
      <w:bookmarkEnd w:id="14915"/>
      <w:bookmarkEnd w:id="14916"/>
      <w:r>
        <w:rPr>
          <w:rFonts w:hint="cs"/>
          <w:rtl/>
        </w:rPr>
        <w:t xml:space="preserve">אפילו </w:t>
      </w:r>
      <w:bookmarkStart w:id="14917" w:name="_ETM_Q19_519950"/>
      <w:bookmarkEnd w:id="14917"/>
      <w:r>
        <w:rPr>
          <w:rFonts w:hint="cs"/>
          <w:rtl/>
        </w:rPr>
        <w:t xml:space="preserve">לא </w:t>
      </w:r>
      <w:bookmarkStart w:id="14918" w:name="_ETM_Q19_520100"/>
      <w:bookmarkEnd w:id="14918"/>
      <w:r>
        <w:rPr>
          <w:rFonts w:hint="cs"/>
          <w:rtl/>
        </w:rPr>
        <w:t xml:space="preserve">היו </w:t>
      </w:r>
      <w:bookmarkStart w:id="14919" w:name="_ETM_Q19_520370"/>
      <w:bookmarkEnd w:id="14919"/>
      <w:r>
        <w:rPr>
          <w:rFonts w:hint="cs"/>
          <w:rtl/>
        </w:rPr>
        <w:t xml:space="preserve">הגונים </w:t>
      </w:r>
      <w:bookmarkStart w:id="14920" w:name="_ETM_Q19_522010"/>
      <w:bookmarkEnd w:id="14920"/>
      <w:r>
        <w:rPr>
          <w:rFonts w:hint="cs"/>
          <w:rtl/>
        </w:rPr>
        <w:t xml:space="preserve">כדי </w:t>
      </w:r>
      <w:bookmarkStart w:id="14921" w:name="_ETM_Q19_522250"/>
      <w:bookmarkEnd w:id="14921"/>
      <w:r>
        <w:rPr>
          <w:rFonts w:hint="cs"/>
          <w:rtl/>
        </w:rPr>
        <w:t xml:space="preserve">לכתוב </w:t>
      </w:r>
      <w:bookmarkStart w:id="14922" w:name="_ETM_Q19_522610"/>
      <w:bookmarkEnd w:id="14922"/>
      <w:r>
        <w:rPr>
          <w:rFonts w:hint="cs"/>
          <w:rtl/>
        </w:rPr>
        <w:t xml:space="preserve">את </w:t>
      </w:r>
      <w:bookmarkStart w:id="14923" w:name="_ETM_Q19_522700"/>
      <w:bookmarkEnd w:id="14923"/>
      <w:r>
        <w:rPr>
          <w:rFonts w:hint="cs"/>
          <w:rtl/>
        </w:rPr>
        <w:t xml:space="preserve">זה </w:t>
      </w:r>
      <w:bookmarkStart w:id="14924" w:name="_ETM_Q19_522790"/>
      <w:bookmarkEnd w:id="14924"/>
      <w:r>
        <w:rPr>
          <w:rFonts w:hint="cs"/>
          <w:rtl/>
        </w:rPr>
        <w:t xml:space="preserve">בהצעת </w:t>
      </w:r>
      <w:bookmarkStart w:id="14925" w:name="_ETM_Q19_523270"/>
      <w:bookmarkEnd w:id="14925"/>
      <w:r>
        <w:rPr>
          <w:rFonts w:hint="cs"/>
          <w:rtl/>
        </w:rPr>
        <w:t xml:space="preserve">חוק </w:t>
      </w:r>
      <w:bookmarkStart w:id="14926" w:name="_ETM_Q19_523540"/>
      <w:bookmarkEnd w:id="14926"/>
      <w:r>
        <w:rPr>
          <w:rFonts w:hint="cs"/>
          <w:rtl/>
        </w:rPr>
        <w:t xml:space="preserve">רגילה. </w:t>
      </w:r>
      <w:bookmarkStart w:id="14927" w:name="_ETM_Q19_525339"/>
      <w:bookmarkEnd w:id="14927"/>
      <w:r>
        <w:rPr>
          <w:rFonts w:hint="cs"/>
          <w:rtl/>
        </w:rPr>
        <w:t xml:space="preserve">מה </w:t>
      </w:r>
      <w:bookmarkStart w:id="14928" w:name="_ETM_Q19_525579"/>
      <w:bookmarkEnd w:id="14928"/>
      <w:r>
        <w:rPr>
          <w:rFonts w:hint="cs"/>
          <w:rtl/>
        </w:rPr>
        <w:t xml:space="preserve">הבעיה </w:t>
      </w:r>
      <w:bookmarkStart w:id="14929" w:name="_ETM_Q19_526089"/>
      <w:bookmarkEnd w:id="14929"/>
      <w:r>
        <w:rPr>
          <w:rFonts w:hint="cs"/>
          <w:rtl/>
        </w:rPr>
        <w:t xml:space="preserve">לכתוב </w:t>
      </w:r>
      <w:bookmarkStart w:id="14930" w:name="_ETM_Q19_526690"/>
      <w:bookmarkEnd w:id="14930"/>
      <w:r>
        <w:rPr>
          <w:rFonts w:hint="cs"/>
          <w:rtl/>
        </w:rPr>
        <w:t xml:space="preserve">בהצעת </w:t>
      </w:r>
      <w:bookmarkStart w:id="14931" w:name="_ETM_Q19_527260"/>
      <w:bookmarkEnd w:id="14931"/>
      <w:r>
        <w:rPr>
          <w:rFonts w:hint="cs"/>
          <w:rtl/>
        </w:rPr>
        <w:t xml:space="preserve">חוק </w:t>
      </w:r>
      <w:bookmarkStart w:id="14932" w:name="_ETM_Q19_527529"/>
      <w:bookmarkEnd w:id="14932"/>
      <w:r>
        <w:rPr>
          <w:rFonts w:hint="cs"/>
          <w:rtl/>
        </w:rPr>
        <w:t>רגילה</w:t>
      </w:r>
      <w:bookmarkStart w:id="14933" w:name="_ETM_Q19_528990"/>
      <w:bookmarkEnd w:id="14933"/>
      <w:r>
        <w:rPr>
          <w:rFonts w:hint="cs"/>
          <w:rtl/>
        </w:rPr>
        <w:t xml:space="preserve">, תיקון </w:t>
      </w:r>
      <w:bookmarkStart w:id="14934" w:name="_ETM_Q19_529440"/>
      <w:bookmarkEnd w:id="14934"/>
      <w:r>
        <w:rPr>
          <w:rFonts w:hint="cs"/>
          <w:rtl/>
        </w:rPr>
        <w:t xml:space="preserve">סדרי </w:t>
      </w:r>
      <w:bookmarkStart w:id="14935" w:name="_ETM_Q19_529980"/>
      <w:bookmarkEnd w:id="14935"/>
      <w:r>
        <w:rPr>
          <w:rFonts w:hint="cs"/>
          <w:rtl/>
        </w:rPr>
        <w:t xml:space="preserve">המינהל – עילת סבירות? </w:t>
      </w:r>
      <w:bookmarkStart w:id="14936" w:name="_ETM_Q19_531650"/>
      <w:bookmarkStart w:id="14937" w:name="_ETM_Q19_533570"/>
      <w:bookmarkEnd w:id="14936"/>
      <w:bookmarkEnd w:id="14937"/>
      <w:r>
        <w:rPr>
          <w:rFonts w:hint="cs"/>
          <w:rtl/>
        </w:rPr>
        <w:t xml:space="preserve">מה </w:t>
      </w:r>
      <w:bookmarkStart w:id="14938" w:name="_ETM_Q19_533870"/>
      <w:bookmarkEnd w:id="14938"/>
      <w:r>
        <w:rPr>
          <w:rFonts w:hint="cs"/>
          <w:rtl/>
        </w:rPr>
        <w:t xml:space="preserve">הם </w:t>
      </w:r>
      <w:bookmarkStart w:id="14939" w:name="_ETM_Q19_533990"/>
      <w:bookmarkEnd w:id="14939"/>
      <w:r>
        <w:rPr>
          <w:rFonts w:hint="cs"/>
          <w:rtl/>
        </w:rPr>
        <w:t xml:space="preserve">עשו, </w:t>
      </w:r>
      <w:bookmarkStart w:id="14940" w:name="_ETM_Q19_534320"/>
      <w:bookmarkEnd w:id="14940"/>
      <w:r>
        <w:rPr>
          <w:rFonts w:hint="cs"/>
          <w:rtl/>
        </w:rPr>
        <w:t xml:space="preserve">חבר </w:t>
      </w:r>
      <w:bookmarkStart w:id="14941" w:name="_ETM_Q19_534560"/>
      <w:bookmarkEnd w:id="14941"/>
      <w:r>
        <w:rPr>
          <w:rFonts w:hint="cs"/>
          <w:rtl/>
        </w:rPr>
        <w:t xml:space="preserve">הכנסת </w:t>
      </w:r>
      <w:bookmarkStart w:id="14942" w:name="_ETM_Q19_534920"/>
      <w:bookmarkEnd w:id="14942"/>
      <w:r>
        <w:rPr>
          <w:rFonts w:hint="cs"/>
          <w:rtl/>
        </w:rPr>
        <w:t xml:space="preserve">בן </w:t>
      </w:r>
      <w:bookmarkStart w:id="14943" w:name="_ETM_Q19_535100"/>
      <w:bookmarkEnd w:id="14943"/>
      <w:r>
        <w:rPr>
          <w:rFonts w:hint="cs"/>
          <w:rtl/>
        </w:rPr>
        <w:t xml:space="preserve">ברק? </w:t>
      </w:r>
      <w:bookmarkStart w:id="14944" w:name="_ETM_Q19_536239"/>
      <w:bookmarkEnd w:id="14944"/>
      <w:r>
        <w:rPr>
          <w:rFonts w:hint="cs"/>
          <w:rtl/>
        </w:rPr>
        <w:t xml:space="preserve">הם </w:t>
      </w:r>
      <w:bookmarkStart w:id="14945" w:name="_ETM_Q19_532000"/>
      <w:bookmarkEnd w:id="14945"/>
      <w:r>
        <w:rPr>
          <w:rFonts w:hint="cs"/>
          <w:rtl/>
        </w:rPr>
        <w:t xml:space="preserve">הביאו </w:t>
      </w:r>
      <w:bookmarkStart w:id="14946" w:name="_ETM_Q19_536659"/>
      <w:bookmarkEnd w:id="14946"/>
      <w:r>
        <w:rPr>
          <w:rFonts w:hint="cs"/>
          <w:rtl/>
        </w:rPr>
        <w:t xml:space="preserve">את </w:t>
      </w:r>
      <w:bookmarkStart w:id="14947" w:name="_ETM_Q19_536749"/>
      <w:bookmarkEnd w:id="14947"/>
      <w:r>
        <w:rPr>
          <w:rFonts w:hint="cs"/>
          <w:rtl/>
        </w:rPr>
        <w:t xml:space="preserve">זה </w:t>
      </w:r>
      <w:bookmarkStart w:id="14948" w:name="_ETM_Q19_536870"/>
      <w:bookmarkEnd w:id="14948"/>
      <w:r>
        <w:rPr>
          <w:rFonts w:hint="cs"/>
          <w:rtl/>
        </w:rPr>
        <w:t xml:space="preserve">בהצעת </w:t>
      </w:r>
      <w:bookmarkStart w:id="14949" w:name="_ETM_Q19_537529"/>
      <w:bookmarkEnd w:id="14949"/>
      <w:r>
        <w:rPr>
          <w:rFonts w:hint="cs"/>
          <w:rtl/>
        </w:rPr>
        <w:t xml:space="preserve">חוק-יסוד, </w:t>
      </w:r>
      <w:bookmarkStart w:id="14950" w:name="_ETM_Q19_539609"/>
      <w:bookmarkEnd w:id="14950"/>
      <w:r>
        <w:rPr>
          <w:rFonts w:hint="cs"/>
          <w:rtl/>
        </w:rPr>
        <w:t xml:space="preserve">כי </w:t>
      </w:r>
      <w:bookmarkStart w:id="14951" w:name="_ETM_Q19_539699"/>
      <w:bookmarkEnd w:id="14951"/>
      <w:r>
        <w:rPr>
          <w:rFonts w:hint="cs"/>
          <w:rtl/>
        </w:rPr>
        <w:t xml:space="preserve">הם </w:t>
      </w:r>
      <w:bookmarkStart w:id="14952" w:name="_ETM_Q19_539820"/>
      <w:bookmarkEnd w:id="14952"/>
      <w:r>
        <w:rPr>
          <w:rFonts w:hint="cs"/>
          <w:rtl/>
        </w:rPr>
        <w:t xml:space="preserve">יודעים </w:t>
      </w:r>
      <w:bookmarkStart w:id="14953" w:name="_ETM_Q19_540149"/>
      <w:bookmarkEnd w:id="14953"/>
      <w:r>
        <w:rPr>
          <w:rFonts w:hint="cs"/>
          <w:rtl/>
        </w:rPr>
        <w:t>ש</w:t>
      </w:r>
      <w:bookmarkStart w:id="14954" w:name="_ETM_Q19_540329"/>
      <w:bookmarkEnd w:id="14954"/>
      <w:r>
        <w:rPr>
          <w:rFonts w:hint="cs"/>
          <w:rtl/>
        </w:rPr>
        <w:t xml:space="preserve">בית </w:t>
      </w:r>
      <w:bookmarkStart w:id="14955" w:name="_ETM_Q19_540570"/>
      <w:bookmarkEnd w:id="14955"/>
      <w:r>
        <w:rPr>
          <w:rFonts w:hint="cs"/>
          <w:rtl/>
        </w:rPr>
        <w:t xml:space="preserve">המשפט </w:t>
      </w:r>
      <w:bookmarkStart w:id="14956" w:name="_ETM_Q19_541230"/>
      <w:bookmarkEnd w:id="14956"/>
      <w:r>
        <w:rPr>
          <w:rFonts w:hint="cs"/>
          <w:rtl/>
        </w:rPr>
        <w:t xml:space="preserve">עד </w:t>
      </w:r>
      <w:bookmarkStart w:id="14957" w:name="_ETM_Q19_541499"/>
      <w:bookmarkEnd w:id="14957"/>
      <w:r>
        <w:rPr>
          <w:rFonts w:hint="cs"/>
          <w:rtl/>
        </w:rPr>
        <w:t xml:space="preserve">היום </w:t>
      </w:r>
      <w:bookmarkStart w:id="14958" w:name="_ETM_Q19_542550"/>
      <w:bookmarkEnd w:id="14958"/>
      <w:r>
        <w:rPr>
          <w:rFonts w:hint="cs"/>
          <w:rtl/>
        </w:rPr>
        <w:t xml:space="preserve">לא </w:t>
      </w:r>
      <w:bookmarkStart w:id="14959" w:name="_ETM_Q19_542789"/>
      <w:bookmarkEnd w:id="14959"/>
      <w:r>
        <w:rPr>
          <w:rFonts w:hint="cs"/>
          <w:rtl/>
        </w:rPr>
        <w:t xml:space="preserve">פסל </w:t>
      </w:r>
      <w:bookmarkStart w:id="14960" w:name="_ETM_Q19_543239"/>
      <w:bookmarkEnd w:id="14960"/>
      <w:r>
        <w:rPr>
          <w:rFonts w:hint="cs"/>
          <w:rtl/>
        </w:rPr>
        <w:t>חוקי</w:t>
      </w:r>
      <w:bookmarkStart w:id="14961" w:name="_ETM_Q19_543629"/>
      <w:bookmarkEnd w:id="14961"/>
      <w:r>
        <w:rPr>
          <w:rFonts w:hint="cs"/>
          <w:rtl/>
        </w:rPr>
        <w:t xml:space="preserve">-יסוד. </w:t>
      </w:r>
      <w:bookmarkStart w:id="14962" w:name="_ETM_Q19_544880"/>
      <w:bookmarkEnd w:id="14962"/>
      <w:r>
        <w:rPr>
          <w:rFonts w:hint="cs"/>
          <w:rtl/>
        </w:rPr>
        <w:t xml:space="preserve">אז </w:t>
      </w:r>
      <w:bookmarkStart w:id="14963" w:name="_ETM_Q19_545149"/>
      <w:bookmarkEnd w:id="14963"/>
      <w:r>
        <w:rPr>
          <w:rFonts w:hint="cs"/>
          <w:rtl/>
        </w:rPr>
        <w:t xml:space="preserve">הינה, </w:t>
      </w:r>
      <w:bookmarkStart w:id="14964" w:name="_ETM_Q19_545659"/>
      <w:bookmarkEnd w:id="14964"/>
      <w:r>
        <w:rPr>
          <w:rFonts w:hint="cs"/>
          <w:rtl/>
        </w:rPr>
        <w:t xml:space="preserve">עוד </w:t>
      </w:r>
      <w:bookmarkStart w:id="14965" w:name="_ETM_Q19_545899"/>
      <w:bookmarkEnd w:id="14965"/>
      <w:r>
        <w:rPr>
          <w:rFonts w:hint="cs"/>
          <w:rtl/>
        </w:rPr>
        <w:t xml:space="preserve">חגורת </w:t>
      </w:r>
      <w:bookmarkStart w:id="14966" w:name="_ETM_Q19_546409"/>
      <w:bookmarkEnd w:id="14966"/>
      <w:r>
        <w:rPr>
          <w:rFonts w:hint="cs"/>
          <w:rtl/>
        </w:rPr>
        <w:t xml:space="preserve">ביטחון </w:t>
      </w:r>
      <w:bookmarkStart w:id="14967" w:name="_ETM_Q19_547579"/>
      <w:bookmarkEnd w:id="14967"/>
      <w:r>
        <w:rPr>
          <w:rFonts w:hint="cs"/>
          <w:rtl/>
        </w:rPr>
        <w:t xml:space="preserve">לעצמם. </w:t>
      </w:r>
      <w:bookmarkStart w:id="14968" w:name="_ETM_Q19_549799"/>
      <w:bookmarkEnd w:id="14968"/>
    </w:p>
    <w:p w:rsidR="000C5C1F" w:rsidRDefault="000C5C1F" w:rsidP="000C5C1F">
      <w:pPr>
        <w:rPr>
          <w:rtl/>
        </w:rPr>
      </w:pPr>
      <w:bookmarkStart w:id="14969" w:name="_ETM_Q19_551000"/>
      <w:bookmarkEnd w:id="14969"/>
    </w:p>
    <w:p w:rsidR="000C5C1F" w:rsidRDefault="000C5C1F" w:rsidP="000C5C1F">
      <w:pPr>
        <w:rPr>
          <w:rtl/>
        </w:rPr>
      </w:pPr>
      <w:bookmarkStart w:id="14970" w:name="_ETM_Q19_546000"/>
      <w:bookmarkEnd w:id="14970"/>
      <w:r>
        <w:rPr>
          <w:rFonts w:hint="cs"/>
          <w:rtl/>
        </w:rPr>
        <w:t xml:space="preserve">שמעתי </w:t>
      </w:r>
      <w:bookmarkStart w:id="14971" w:name="_ETM_Q19_550670"/>
      <w:bookmarkEnd w:id="14971"/>
      <w:r>
        <w:rPr>
          <w:rFonts w:hint="cs"/>
          <w:rtl/>
        </w:rPr>
        <w:t xml:space="preserve">את </w:t>
      </w:r>
      <w:bookmarkStart w:id="14972" w:name="_ETM_Q19_550850"/>
      <w:bookmarkEnd w:id="14972"/>
      <w:r>
        <w:rPr>
          <w:rFonts w:hint="cs"/>
          <w:rtl/>
        </w:rPr>
        <w:t xml:space="preserve">חבר </w:t>
      </w:r>
      <w:bookmarkStart w:id="14973" w:name="_ETM_Q19_551180"/>
      <w:bookmarkEnd w:id="14973"/>
      <w:r>
        <w:rPr>
          <w:rFonts w:hint="cs"/>
          <w:rtl/>
        </w:rPr>
        <w:t xml:space="preserve">הכנסת </w:t>
      </w:r>
      <w:bookmarkStart w:id="14974" w:name="_ETM_Q19_551689"/>
      <w:bookmarkEnd w:id="14974"/>
      <w:r>
        <w:rPr>
          <w:rFonts w:hint="cs"/>
          <w:rtl/>
        </w:rPr>
        <w:t>רוטמן</w:t>
      </w:r>
      <w:bookmarkStart w:id="14975" w:name="_ETM_Q19_553079"/>
      <w:bookmarkEnd w:id="14975"/>
      <w:r>
        <w:rPr>
          <w:rFonts w:hint="cs"/>
          <w:rtl/>
        </w:rPr>
        <w:t xml:space="preserve">, שהציג </w:t>
      </w:r>
      <w:bookmarkStart w:id="14976" w:name="_ETM_Q19_553619"/>
      <w:bookmarkEnd w:id="14976"/>
      <w:r>
        <w:rPr>
          <w:rFonts w:hint="cs"/>
          <w:rtl/>
        </w:rPr>
        <w:t xml:space="preserve">את </w:t>
      </w:r>
      <w:bookmarkStart w:id="14977" w:name="_ETM_Q19_553740"/>
      <w:bookmarkEnd w:id="14977"/>
      <w:r>
        <w:rPr>
          <w:rFonts w:hint="cs"/>
          <w:rtl/>
        </w:rPr>
        <w:t xml:space="preserve">הצעת </w:t>
      </w:r>
      <w:bookmarkStart w:id="14978" w:name="_ETM_Q19_554159"/>
      <w:bookmarkEnd w:id="14978"/>
      <w:r>
        <w:rPr>
          <w:rFonts w:hint="cs"/>
          <w:rtl/>
        </w:rPr>
        <w:t xml:space="preserve">החוק. </w:t>
      </w:r>
      <w:bookmarkStart w:id="14979" w:name="_ETM_Q19_554490"/>
      <w:bookmarkEnd w:id="14979"/>
      <w:r>
        <w:rPr>
          <w:rFonts w:hint="cs"/>
          <w:rtl/>
        </w:rPr>
        <w:t xml:space="preserve">מה </w:t>
      </w:r>
      <w:bookmarkStart w:id="14980" w:name="_ETM_Q19_554700"/>
      <w:bookmarkEnd w:id="14980"/>
      <w:r>
        <w:rPr>
          <w:rFonts w:hint="cs"/>
          <w:rtl/>
        </w:rPr>
        <w:t xml:space="preserve">הוא </w:t>
      </w:r>
      <w:bookmarkStart w:id="14981" w:name="_ETM_Q19_554820"/>
      <w:bookmarkEnd w:id="14981"/>
      <w:r>
        <w:rPr>
          <w:rFonts w:hint="cs"/>
          <w:rtl/>
        </w:rPr>
        <w:t xml:space="preserve">אמר? </w:t>
      </w:r>
      <w:bookmarkStart w:id="14982" w:name="_ETM_Q19_555850"/>
      <w:bookmarkEnd w:id="14982"/>
      <w:r>
        <w:rPr>
          <w:rFonts w:hint="cs"/>
          <w:rtl/>
        </w:rPr>
        <w:t xml:space="preserve">זה, </w:t>
      </w:r>
      <w:bookmarkStart w:id="14983" w:name="_ETM_Q19_556329"/>
      <w:bookmarkEnd w:id="14983"/>
      <w:r>
        <w:rPr>
          <w:rFonts w:hint="cs"/>
          <w:rtl/>
        </w:rPr>
        <w:t xml:space="preserve">באמת, </w:t>
      </w:r>
      <w:bookmarkStart w:id="14984" w:name="_ETM_Q19_557049"/>
      <w:bookmarkEnd w:id="14984"/>
      <w:r>
        <w:rPr>
          <w:rFonts w:hint="cs"/>
          <w:rtl/>
        </w:rPr>
        <w:t xml:space="preserve">האירוניה </w:t>
      </w:r>
      <w:bookmarkStart w:id="14985" w:name="_ETM_Q19_557680"/>
      <w:bookmarkEnd w:id="14985"/>
      <w:r>
        <w:rPr>
          <w:rFonts w:hint="cs"/>
          <w:rtl/>
        </w:rPr>
        <w:t xml:space="preserve">התאבדה </w:t>
      </w:r>
      <w:bookmarkStart w:id="14986" w:name="_ETM_Q19_558189"/>
      <w:bookmarkEnd w:id="14986"/>
      <w:r>
        <w:rPr>
          <w:rFonts w:hint="cs"/>
          <w:rtl/>
        </w:rPr>
        <w:t xml:space="preserve">מהחלון. </w:t>
      </w:r>
      <w:bookmarkStart w:id="14987" w:name="_ETM_Q19_559760"/>
      <w:bookmarkEnd w:id="14987"/>
      <w:r>
        <w:rPr>
          <w:rFonts w:hint="cs"/>
          <w:rtl/>
        </w:rPr>
        <w:t xml:space="preserve">הוא אמר: </w:t>
      </w:r>
      <w:bookmarkStart w:id="14988" w:name="_ETM_Q19_561570"/>
      <w:bookmarkEnd w:id="14988"/>
      <w:r>
        <w:rPr>
          <w:rFonts w:hint="cs"/>
          <w:rtl/>
        </w:rPr>
        <w:t xml:space="preserve">אנחנו </w:t>
      </w:r>
      <w:bookmarkStart w:id="14989" w:name="_ETM_Q19_562049"/>
      <w:bookmarkEnd w:id="14989"/>
      <w:r>
        <w:rPr>
          <w:rFonts w:hint="cs"/>
          <w:rtl/>
        </w:rPr>
        <w:t xml:space="preserve">מחזקים </w:t>
      </w:r>
      <w:bookmarkStart w:id="14990" w:name="_ETM_Q19_562740"/>
      <w:bookmarkEnd w:id="14990"/>
      <w:r>
        <w:rPr>
          <w:rFonts w:hint="cs"/>
          <w:rtl/>
        </w:rPr>
        <w:t xml:space="preserve">את </w:t>
      </w:r>
      <w:bookmarkStart w:id="14991" w:name="_ETM_Q19_562890"/>
      <w:bookmarkEnd w:id="14991"/>
      <w:r>
        <w:rPr>
          <w:rFonts w:hint="cs"/>
          <w:rtl/>
        </w:rPr>
        <w:t xml:space="preserve">הדמוקרטיה </w:t>
      </w:r>
      <w:bookmarkStart w:id="14992" w:name="_ETM_Q19_564899"/>
      <w:bookmarkEnd w:id="14992"/>
      <w:r>
        <w:rPr>
          <w:rFonts w:hint="cs"/>
          <w:rtl/>
        </w:rPr>
        <w:t xml:space="preserve">ומחזקים </w:t>
      </w:r>
      <w:bookmarkStart w:id="14993" w:name="_ETM_Q19_565799"/>
      <w:bookmarkEnd w:id="14993"/>
      <w:r>
        <w:rPr>
          <w:rFonts w:hint="cs"/>
          <w:rtl/>
        </w:rPr>
        <w:t xml:space="preserve">את </w:t>
      </w:r>
      <w:bookmarkStart w:id="14994" w:name="_ETM_Q19_565920"/>
      <w:bookmarkEnd w:id="14994"/>
      <w:r>
        <w:rPr>
          <w:rFonts w:hint="cs"/>
          <w:rtl/>
        </w:rPr>
        <w:t xml:space="preserve">הפרדת </w:t>
      </w:r>
      <w:bookmarkStart w:id="14995" w:name="_ETM_Q19_566459"/>
      <w:bookmarkEnd w:id="14995"/>
      <w:r>
        <w:rPr>
          <w:rFonts w:hint="cs"/>
          <w:rtl/>
        </w:rPr>
        <w:t xml:space="preserve">הרשויות. </w:t>
      </w:r>
      <w:bookmarkStart w:id="14996" w:name="_ETM_Q19_568700"/>
      <w:bookmarkEnd w:id="14996"/>
      <w:r>
        <w:rPr>
          <w:rFonts w:hint="cs"/>
          <w:rtl/>
        </w:rPr>
        <w:t xml:space="preserve">נראה </w:t>
      </w:r>
      <w:bookmarkStart w:id="14997" w:name="_ETM_Q19_569029"/>
      <w:bookmarkEnd w:id="14997"/>
      <w:r>
        <w:rPr>
          <w:rFonts w:hint="cs"/>
          <w:rtl/>
        </w:rPr>
        <w:t xml:space="preserve">לי </w:t>
      </w:r>
      <w:bookmarkStart w:id="14998" w:name="_ETM_Q19_569150"/>
      <w:bookmarkEnd w:id="14998"/>
      <w:r>
        <w:rPr>
          <w:rFonts w:hint="cs"/>
          <w:rtl/>
        </w:rPr>
        <w:t xml:space="preserve">שהוא </w:t>
      </w:r>
      <w:bookmarkStart w:id="14999" w:name="_ETM_Q19_570689"/>
      <w:bookmarkStart w:id="15000" w:name="_ETM_Q19_570839"/>
      <w:bookmarkEnd w:id="14999"/>
      <w:bookmarkEnd w:id="15000"/>
      <w:r>
        <w:rPr>
          <w:rFonts w:hint="cs"/>
          <w:rtl/>
        </w:rPr>
        <w:t xml:space="preserve">לא </w:t>
      </w:r>
      <w:bookmarkStart w:id="15001" w:name="_ETM_Q19_571020"/>
      <w:bookmarkEnd w:id="15001"/>
      <w:r>
        <w:rPr>
          <w:rFonts w:hint="cs"/>
          <w:rtl/>
        </w:rPr>
        <w:t xml:space="preserve">היה </w:t>
      </w:r>
      <w:bookmarkStart w:id="15002" w:name="_ETM_Q19_572380"/>
      <w:bookmarkEnd w:id="15002"/>
      <w:r>
        <w:rPr>
          <w:rFonts w:hint="cs"/>
          <w:rtl/>
        </w:rPr>
        <w:t>בשיעור</w:t>
      </w:r>
      <w:bookmarkStart w:id="15003" w:name="_ETM_Q19_572920"/>
      <w:bookmarkEnd w:id="15003"/>
      <w:r>
        <w:rPr>
          <w:rFonts w:hint="cs"/>
          <w:rtl/>
        </w:rPr>
        <w:t xml:space="preserve"> האזרחות, </w:t>
      </w:r>
      <w:bookmarkStart w:id="15004" w:name="_ETM_Q19_574359"/>
      <w:bookmarkEnd w:id="15004"/>
      <w:r>
        <w:rPr>
          <w:rFonts w:hint="cs"/>
          <w:rtl/>
        </w:rPr>
        <w:t xml:space="preserve">פספס </w:t>
      </w:r>
      <w:bookmarkStart w:id="15005" w:name="_ETM_Q19_574810"/>
      <w:bookmarkEnd w:id="15005"/>
      <w:r>
        <w:rPr>
          <w:rFonts w:hint="cs"/>
          <w:rtl/>
        </w:rPr>
        <w:t xml:space="preserve">אותו. </w:t>
      </w:r>
      <w:bookmarkStart w:id="15006" w:name="_ETM_Q19_576529"/>
      <w:bookmarkEnd w:id="15006"/>
      <w:r>
        <w:rPr>
          <w:rFonts w:hint="cs"/>
          <w:rtl/>
        </w:rPr>
        <w:t xml:space="preserve">איפה </w:t>
      </w:r>
      <w:bookmarkStart w:id="15007" w:name="_ETM_Q19_577039"/>
      <w:bookmarkEnd w:id="15007"/>
      <w:r>
        <w:rPr>
          <w:rFonts w:hint="cs"/>
          <w:rtl/>
        </w:rPr>
        <w:t xml:space="preserve">הדמוקרטיה </w:t>
      </w:r>
      <w:bookmarkStart w:id="15008" w:name="_ETM_Q19_578850"/>
      <w:bookmarkEnd w:id="15008"/>
      <w:r>
        <w:rPr>
          <w:rFonts w:hint="cs"/>
          <w:rtl/>
        </w:rPr>
        <w:t xml:space="preserve">ואיפה </w:t>
      </w:r>
      <w:bookmarkStart w:id="15009" w:name="_ETM_Q19_579779"/>
      <w:bookmarkEnd w:id="15009"/>
      <w:r>
        <w:rPr>
          <w:rFonts w:hint="cs"/>
          <w:rtl/>
        </w:rPr>
        <w:t xml:space="preserve">הפרדת </w:t>
      </w:r>
      <w:bookmarkStart w:id="15010" w:name="_ETM_Q19_580320"/>
      <w:bookmarkEnd w:id="15010"/>
      <w:r>
        <w:rPr>
          <w:rFonts w:hint="cs"/>
          <w:rtl/>
        </w:rPr>
        <w:t xml:space="preserve">הרשויות? </w:t>
      </w:r>
      <w:bookmarkStart w:id="15011" w:name="_ETM_Q19_581940"/>
      <w:bookmarkEnd w:id="15011"/>
      <w:r>
        <w:rPr>
          <w:rFonts w:hint="cs"/>
          <w:rtl/>
        </w:rPr>
        <w:t xml:space="preserve">הרי </w:t>
      </w:r>
      <w:bookmarkStart w:id="15012" w:name="_ETM_Q19_582210"/>
      <w:bookmarkEnd w:id="15012"/>
      <w:r>
        <w:rPr>
          <w:rFonts w:hint="cs"/>
          <w:rtl/>
        </w:rPr>
        <w:t xml:space="preserve">בדמוקרטיה, </w:t>
      </w:r>
      <w:bookmarkStart w:id="15013" w:name="_ETM_Q19_583000"/>
      <w:bookmarkEnd w:id="15013"/>
      <w:r>
        <w:rPr>
          <w:rFonts w:hint="cs"/>
          <w:rtl/>
        </w:rPr>
        <w:t xml:space="preserve">חבר </w:t>
      </w:r>
      <w:bookmarkStart w:id="15014" w:name="_ETM_Q19_583479"/>
      <w:bookmarkEnd w:id="15014"/>
      <w:r>
        <w:rPr>
          <w:rFonts w:hint="cs"/>
          <w:rtl/>
        </w:rPr>
        <w:t xml:space="preserve">כנסת </w:t>
      </w:r>
      <w:bookmarkStart w:id="15015" w:name="_ETM_Q19_583990"/>
      <w:bookmarkEnd w:id="15015"/>
      <w:r>
        <w:rPr>
          <w:rFonts w:hint="cs"/>
          <w:rtl/>
        </w:rPr>
        <w:t xml:space="preserve">רוטמן, </w:t>
      </w:r>
      <w:bookmarkStart w:id="15016" w:name="_ETM_Q19_585600"/>
      <w:bookmarkEnd w:id="15016"/>
      <w:r>
        <w:rPr>
          <w:rFonts w:hint="cs"/>
          <w:rtl/>
        </w:rPr>
        <w:t xml:space="preserve">יש </w:t>
      </w:r>
      <w:bookmarkStart w:id="15017" w:name="_ETM_Q19_585869"/>
      <w:bookmarkEnd w:id="15017"/>
      <w:r>
        <w:rPr>
          <w:rFonts w:hint="cs"/>
          <w:rtl/>
        </w:rPr>
        <w:t xml:space="preserve">איזונים </w:t>
      </w:r>
      <w:bookmarkStart w:id="15018" w:name="_ETM_Q19_586320"/>
      <w:bookmarkEnd w:id="15018"/>
      <w:r>
        <w:rPr>
          <w:rFonts w:hint="cs"/>
          <w:rtl/>
        </w:rPr>
        <w:t xml:space="preserve">ובלמים. </w:t>
      </w:r>
      <w:bookmarkStart w:id="15019" w:name="_ETM_Q19_587890"/>
      <w:bookmarkEnd w:id="15019"/>
      <w:r>
        <w:rPr>
          <w:rFonts w:hint="cs"/>
          <w:rtl/>
        </w:rPr>
        <w:t xml:space="preserve">מה </w:t>
      </w:r>
      <w:bookmarkStart w:id="15020" w:name="_ETM_Q19_588130"/>
      <w:bookmarkEnd w:id="15020"/>
      <w:r>
        <w:rPr>
          <w:rFonts w:hint="cs"/>
          <w:rtl/>
        </w:rPr>
        <w:t xml:space="preserve">אתם </w:t>
      </w:r>
      <w:bookmarkStart w:id="15021" w:name="_ETM_Q19_588310"/>
      <w:bookmarkEnd w:id="15021"/>
      <w:r>
        <w:rPr>
          <w:rFonts w:hint="cs"/>
          <w:rtl/>
        </w:rPr>
        <w:t xml:space="preserve">עושים </w:t>
      </w:r>
      <w:bookmarkStart w:id="15022" w:name="_ETM_Q19_588670"/>
      <w:bookmarkEnd w:id="15022"/>
      <w:r>
        <w:rPr>
          <w:rFonts w:hint="cs"/>
          <w:rtl/>
        </w:rPr>
        <w:t xml:space="preserve">בהצעה </w:t>
      </w:r>
      <w:bookmarkStart w:id="15023" w:name="_ETM_Q19_589180"/>
      <w:bookmarkEnd w:id="15023"/>
      <w:r>
        <w:rPr>
          <w:rFonts w:hint="cs"/>
          <w:rtl/>
        </w:rPr>
        <w:t xml:space="preserve">הזאת? </w:t>
      </w:r>
      <w:bookmarkStart w:id="15024" w:name="_ETM_Q19_590679"/>
      <w:bookmarkEnd w:id="15024"/>
      <w:r>
        <w:rPr>
          <w:rFonts w:hint="cs"/>
          <w:rtl/>
        </w:rPr>
        <w:t xml:space="preserve">אתם </w:t>
      </w:r>
      <w:bookmarkStart w:id="15025" w:name="_ETM_Q19_591039"/>
      <w:bookmarkEnd w:id="15025"/>
      <w:r>
        <w:rPr>
          <w:rFonts w:hint="cs"/>
          <w:rtl/>
        </w:rPr>
        <w:t xml:space="preserve">רק </w:t>
      </w:r>
      <w:bookmarkStart w:id="15026" w:name="_ETM_Q19_591279"/>
      <w:bookmarkEnd w:id="15026"/>
      <w:r>
        <w:rPr>
          <w:rFonts w:hint="cs"/>
          <w:rtl/>
        </w:rPr>
        <w:t xml:space="preserve">נותנים </w:t>
      </w:r>
      <w:bookmarkStart w:id="15027" w:name="_ETM_Q19_591880"/>
      <w:bookmarkEnd w:id="15027"/>
      <w:r>
        <w:rPr>
          <w:rFonts w:hint="cs"/>
          <w:rtl/>
        </w:rPr>
        <w:t xml:space="preserve">עוד </w:t>
      </w:r>
      <w:bookmarkStart w:id="15028" w:name="_ETM_Q19_592270"/>
      <w:bookmarkEnd w:id="15028"/>
      <w:r>
        <w:rPr>
          <w:rFonts w:hint="cs"/>
          <w:rtl/>
        </w:rPr>
        <w:t xml:space="preserve">כוח </w:t>
      </w:r>
      <w:bookmarkStart w:id="15029" w:name="_ETM_Q19_592659"/>
      <w:bookmarkEnd w:id="15029"/>
      <w:r>
        <w:rPr>
          <w:rFonts w:hint="cs"/>
          <w:rtl/>
        </w:rPr>
        <w:t xml:space="preserve">לממשלה </w:t>
      </w:r>
      <w:bookmarkStart w:id="15030" w:name="_ETM_Q19_594290"/>
      <w:bookmarkEnd w:id="15030"/>
      <w:r>
        <w:rPr>
          <w:rFonts w:hint="cs"/>
          <w:rtl/>
        </w:rPr>
        <w:t xml:space="preserve">למנות </w:t>
      </w:r>
      <w:bookmarkStart w:id="15031" w:name="_ETM_Q19_594950"/>
      <w:bookmarkEnd w:id="15031"/>
      <w:r>
        <w:rPr>
          <w:rFonts w:hint="cs"/>
          <w:rtl/>
        </w:rPr>
        <w:t xml:space="preserve">את </w:t>
      </w:r>
      <w:bookmarkStart w:id="15032" w:name="_ETM_Q19_595190"/>
      <w:bookmarkEnd w:id="15032"/>
      <w:r>
        <w:rPr>
          <w:rFonts w:hint="cs"/>
          <w:rtl/>
        </w:rPr>
        <w:t xml:space="preserve">מי </w:t>
      </w:r>
      <w:bookmarkStart w:id="15033" w:name="_ETM_Q19_595490"/>
      <w:bookmarkEnd w:id="15033"/>
      <w:r>
        <w:rPr>
          <w:rFonts w:hint="cs"/>
          <w:rtl/>
        </w:rPr>
        <w:t xml:space="preserve">שהיא </w:t>
      </w:r>
      <w:bookmarkStart w:id="15034" w:name="_ETM_Q19_595790"/>
      <w:bookmarkEnd w:id="15034"/>
      <w:r>
        <w:rPr>
          <w:rFonts w:hint="cs"/>
          <w:rtl/>
        </w:rPr>
        <w:t xml:space="preserve">רוצה, </w:t>
      </w:r>
      <w:bookmarkStart w:id="15035" w:name="_ETM_Q19_597020"/>
      <w:bookmarkEnd w:id="15035"/>
      <w:r>
        <w:rPr>
          <w:rFonts w:hint="cs"/>
          <w:rtl/>
        </w:rPr>
        <w:t xml:space="preserve">מתי </w:t>
      </w:r>
      <w:bookmarkStart w:id="15036" w:name="_ETM_Q19_597649"/>
      <w:bookmarkEnd w:id="15036"/>
      <w:r>
        <w:rPr>
          <w:rFonts w:hint="cs"/>
          <w:rtl/>
        </w:rPr>
        <w:t xml:space="preserve">שהיא </w:t>
      </w:r>
      <w:bookmarkStart w:id="15037" w:name="_ETM_Q19_597979"/>
      <w:bookmarkEnd w:id="15037"/>
      <w:r>
        <w:rPr>
          <w:rFonts w:hint="cs"/>
          <w:rtl/>
        </w:rPr>
        <w:t xml:space="preserve">רוצה, </w:t>
      </w:r>
      <w:bookmarkStart w:id="15038" w:name="_ETM_Q19_599279"/>
      <w:bookmarkEnd w:id="15038"/>
      <w:r>
        <w:rPr>
          <w:rFonts w:hint="cs"/>
          <w:rtl/>
        </w:rPr>
        <w:t xml:space="preserve">לפטר </w:t>
      </w:r>
      <w:bookmarkStart w:id="15039" w:name="_ETM_Q19_600180"/>
      <w:bookmarkEnd w:id="15039"/>
      <w:r>
        <w:rPr>
          <w:rFonts w:hint="cs"/>
          <w:rtl/>
        </w:rPr>
        <w:t xml:space="preserve">את </w:t>
      </w:r>
      <w:bookmarkStart w:id="15040" w:name="_ETM_Q19_600329"/>
      <w:bookmarkEnd w:id="15040"/>
      <w:r>
        <w:rPr>
          <w:rFonts w:hint="cs"/>
          <w:rtl/>
        </w:rPr>
        <w:t xml:space="preserve">מי </w:t>
      </w:r>
      <w:bookmarkStart w:id="15041" w:name="_ETM_Q19_600570"/>
      <w:bookmarkEnd w:id="15041"/>
      <w:r>
        <w:rPr>
          <w:rFonts w:hint="cs"/>
          <w:rtl/>
        </w:rPr>
        <w:t xml:space="preserve">שהיא </w:t>
      </w:r>
      <w:bookmarkStart w:id="15042" w:name="_ETM_Q19_600899"/>
      <w:bookmarkEnd w:id="15042"/>
      <w:r>
        <w:rPr>
          <w:rFonts w:hint="cs"/>
          <w:rtl/>
        </w:rPr>
        <w:t xml:space="preserve">רוצה. </w:t>
      </w:r>
      <w:bookmarkStart w:id="15043" w:name="_ETM_Q19_602310"/>
      <w:bookmarkEnd w:id="15043"/>
      <w:r>
        <w:rPr>
          <w:rFonts w:hint="cs"/>
          <w:rtl/>
        </w:rPr>
        <w:t xml:space="preserve">לא </w:t>
      </w:r>
      <w:bookmarkStart w:id="15044" w:name="_ETM_Q19_602640"/>
      <w:bookmarkEnd w:id="15044"/>
      <w:r>
        <w:rPr>
          <w:rFonts w:hint="cs"/>
          <w:rtl/>
        </w:rPr>
        <w:t xml:space="preserve">יהיו </w:t>
      </w:r>
      <w:bookmarkStart w:id="15045" w:name="_ETM_Q19_602969"/>
      <w:bookmarkEnd w:id="15045"/>
      <w:r>
        <w:rPr>
          <w:rFonts w:hint="cs"/>
          <w:rtl/>
        </w:rPr>
        <w:t xml:space="preserve">לא </w:t>
      </w:r>
      <w:bookmarkStart w:id="15046" w:name="_ETM_Q19_603240"/>
      <w:bookmarkEnd w:id="15046"/>
      <w:r>
        <w:rPr>
          <w:rFonts w:hint="cs"/>
          <w:rtl/>
        </w:rPr>
        <w:t xml:space="preserve">דין </w:t>
      </w:r>
      <w:bookmarkStart w:id="15047" w:name="_ETM_Q19_603779"/>
      <w:bookmarkEnd w:id="15047"/>
      <w:r>
        <w:rPr>
          <w:rFonts w:hint="cs"/>
          <w:rtl/>
        </w:rPr>
        <w:t xml:space="preserve">ולא </w:t>
      </w:r>
      <w:bookmarkStart w:id="15048" w:name="_ETM_Q19_604020"/>
      <w:bookmarkEnd w:id="15048"/>
      <w:r>
        <w:rPr>
          <w:rFonts w:hint="cs"/>
          <w:rtl/>
        </w:rPr>
        <w:t xml:space="preserve">דיין. </w:t>
      </w:r>
      <w:bookmarkStart w:id="15049" w:name="_ETM_Q19_605170"/>
      <w:bookmarkEnd w:id="15049"/>
      <w:r>
        <w:rPr>
          <w:rFonts w:hint="cs"/>
          <w:rtl/>
        </w:rPr>
        <w:t xml:space="preserve">לא </w:t>
      </w:r>
      <w:bookmarkStart w:id="15050" w:name="_ETM_Q19_605380"/>
      <w:bookmarkEnd w:id="15050"/>
      <w:r>
        <w:rPr>
          <w:rFonts w:hint="cs"/>
          <w:rtl/>
        </w:rPr>
        <w:t xml:space="preserve">משנה </w:t>
      </w:r>
      <w:bookmarkStart w:id="15051" w:name="_ETM_Q19_605860"/>
      <w:bookmarkEnd w:id="15051"/>
      <w:r>
        <w:rPr>
          <w:rFonts w:hint="cs"/>
          <w:rtl/>
        </w:rPr>
        <w:t xml:space="preserve">אם </w:t>
      </w:r>
      <w:bookmarkStart w:id="15052" w:name="_ETM_Q19_605980"/>
      <w:bookmarkEnd w:id="15052"/>
      <w:r>
        <w:rPr>
          <w:rFonts w:hint="cs"/>
          <w:rtl/>
        </w:rPr>
        <w:t xml:space="preserve">זה </w:t>
      </w:r>
      <w:bookmarkStart w:id="15053" w:name="_ETM_Q19_606220"/>
      <w:bookmarkEnd w:id="15053"/>
      <w:r>
        <w:rPr>
          <w:rFonts w:hint="cs"/>
          <w:rtl/>
        </w:rPr>
        <w:t xml:space="preserve">בממשלה או שר בודד. </w:t>
      </w:r>
      <w:bookmarkStart w:id="15054" w:name="_ETM_Q19_607900"/>
      <w:bookmarkStart w:id="15055" w:name="_ETM_Q19_608350"/>
      <w:bookmarkStart w:id="15056" w:name="_ETM_Q19_610180"/>
      <w:bookmarkEnd w:id="15054"/>
      <w:bookmarkEnd w:id="15055"/>
      <w:bookmarkEnd w:id="15056"/>
      <w:r>
        <w:rPr>
          <w:rFonts w:hint="cs"/>
          <w:rtl/>
        </w:rPr>
        <w:t xml:space="preserve">והכי </w:t>
      </w:r>
      <w:bookmarkStart w:id="15057" w:name="_ETM_Q19_610750"/>
      <w:bookmarkEnd w:id="15057"/>
      <w:r>
        <w:rPr>
          <w:rFonts w:hint="cs"/>
          <w:rtl/>
        </w:rPr>
        <w:t>מצחיק</w:t>
      </w:r>
      <w:bookmarkStart w:id="15058" w:name="_ETM_Q19_611160"/>
      <w:bookmarkEnd w:id="15058"/>
      <w:r>
        <w:rPr>
          <w:rFonts w:hint="cs"/>
          <w:rtl/>
        </w:rPr>
        <w:t xml:space="preserve"> </w:t>
      </w:r>
      <w:bookmarkStart w:id="15059" w:name="_ETM_Q19_605000"/>
      <w:bookmarkEnd w:id="15059"/>
      <w:r>
        <w:rPr>
          <w:rFonts w:hint="cs"/>
          <w:rtl/>
        </w:rPr>
        <w:t xml:space="preserve">הוא שהם </w:t>
      </w:r>
      <w:bookmarkStart w:id="15060" w:name="_ETM_Q19_611490"/>
      <w:bookmarkEnd w:id="15060"/>
      <w:r>
        <w:rPr>
          <w:rFonts w:hint="cs"/>
          <w:rtl/>
        </w:rPr>
        <w:t xml:space="preserve">אומרים: </w:t>
      </w:r>
      <w:bookmarkStart w:id="15061" w:name="_ETM_Q19_612900"/>
      <w:bookmarkEnd w:id="15061"/>
      <w:r>
        <w:rPr>
          <w:rFonts w:hint="cs"/>
          <w:rtl/>
        </w:rPr>
        <w:t xml:space="preserve">תסמכו </w:t>
      </w:r>
      <w:bookmarkStart w:id="15062" w:name="_ETM_Q19_613620"/>
      <w:bookmarkEnd w:id="15062"/>
      <w:r>
        <w:rPr>
          <w:rFonts w:hint="cs"/>
          <w:rtl/>
        </w:rPr>
        <w:t xml:space="preserve">עלינו. </w:t>
      </w:r>
      <w:bookmarkStart w:id="15063" w:name="_ETM_Q19_615140"/>
      <w:bookmarkEnd w:id="15063"/>
      <w:r>
        <w:rPr>
          <w:rFonts w:hint="cs"/>
          <w:rtl/>
        </w:rPr>
        <w:t xml:space="preserve">אתה </w:t>
      </w:r>
      <w:bookmarkStart w:id="15064" w:name="_ETM_Q19_615260"/>
      <w:bookmarkEnd w:id="15064"/>
      <w:r>
        <w:rPr>
          <w:rFonts w:hint="cs"/>
          <w:rtl/>
        </w:rPr>
        <w:t xml:space="preserve">מכיר </w:t>
      </w:r>
      <w:bookmarkStart w:id="15065" w:name="_ETM_Q19_615620"/>
      <w:bookmarkEnd w:id="15065"/>
      <w:r>
        <w:rPr>
          <w:rFonts w:hint="cs"/>
          <w:rtl/>
        </w:rPr>
        <w:t xml:space="preserve">את זה? </w:t>
      </w:r>
      <w:bookmarkStart w:id="15066" w:name="_ETM_Q19_616700"/>
      <w:bookmarkEnd w:id="15066"/>
      <w:r>
        <w:rPr>
          <w:rFonts w:hint="cs"/>
          <w:rtl/>
        </w:rPr>
        <w:t xml:space="preserve">תסמכו </w:t>
      </w:r>
      <w:bookmarkStart w:id="15067" w:name="_ETM_Q19_617300"/>
      <w:bookmarkEnd w:id="15067"/>
      <w:r>
        <w:rPr>
          <w:rFonts w:hint="cs"/>
          <w:rtl/>
        </w:rPr>
        <w:t>עלינו.</w:t>
      </w:r>
    </w:p>
    <w:p w:rsidR="000C5C1F" w:rsidRDefault="000C5C1F" w:rsidP="000C5C1F">
      <w:pPr>
        <w:rPr>
          <w:rtl/>
        </w:rPr>
      </w:pPr>
    </w:p>
    <w:p w:rsidR="000C5C1F" w:rsidRDefault="000C5C1F" w:rsidP="000C5C1F">
      <w:pPr>
        <w:pStyle w:val="af8"/>
        <w:keepNext/>
        <w:rPr>
          <w:rtl/>
        </w:rPr>
      </w:pPr>
      <w:bookmarkStart w:id="15068" w:name="ET_interruption_5766_28"/>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15068"/>
    </w:p>
    <w:p w:rsidR="000C5C1F" w:rsidRDefault="000C5C1F" w:rsidP="00337201">
      <w:pPr>
        <w:rPr>
          <w:rtl/>
        </w:rPr>
      </w:pPr>
    </w:p>
    <w:p w:rsidR="000C5C1F" w:rsidRDefault="000C5C1F" w:rsidP="000C5C1F">
      <w:pPr>
        <w:rPr>
          <w:rtl/>
        </w:rPr>
      </w:pPr>
      <w:r>
        <w:rPr>
          <w:rFonts w:hint="cs"/>
          <w:rtl/>
        </w:rPr>
        <w:t>כן - - - את עצמם.</w:t>
      </w:r>
    </w:p>
    <w:p w:rsidR="000C5C1F" w:rsidRDefault="000C5C1F" w:rsidP="000C5C1F">
      <w:pPr>
        <w:rPr>
          <w:rtl/>
        </w:rPr>
      </w:pPr>
      <w:bookmarkStart w:id="15069" w:name="_ETM_Q19_614000"/>
      <w:bookmarkEnd w:id="15069"/>
    </w:p>
    <w:p w:rsidR="000C5C1F" w:rsidRDefault="000C5C1F" w:rsidP="000C5C1F">
      <w:pPr>
        <w:pStyle w:val="-"/>
        <w:keepNext/>
        <w:rPr>
          <w:rtl/>
        </w:rPr>
      </w:pPr>
      <w:bookmarkStart w:id="15070" w:name="ET_speakercontinue_5068_29"/>
      <w:r>
        <w:rPr>
          <w:rStyle w:val="TagStyle"/>
          <w:rFonts w:hint="cs"/>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bookmarkEnd w:id="15070"/>
    </w:p>
    <w:p w:rsidR="000C5C1F" w:rsidRDefault="000C5C1F" w:rsidP="00337201">
      <w:pPr>
        <w:rPr>
          <w:rtl/>
        </w:rPr>
      </w:pPr>
    </w:p>
    <w:p w:rsidR="000C5C1F" w:rsidRDefault="000C5C1F" w:rsidP="000C5C1F">
      <w:pPr>
        <w:rPr>
          <w:rtl/>
        </w:rPr>
      </w:pPr>
      <w:bookmarkStart w:id="15071" w:name="_ETM_Q19_615000"/>
      <w:bookmarkStart w:id="15072" w:name="_ETM_Q19_616000"/>
      <w:bookmarkStart w:id="15073" w:name="_ETM_Q19_613000"/>
      <w:bookmarkStart w:id="15074" w:name="_ETM_Q19_619500"/>
      <w:bookmarkStart w:id="15075" w:name="_ETM_Q19_619769"/>
      <w:bookmarkStart w:id="15076" w:name="_ETM_Q19_621410"/>
      <w:bookmarkStart w:id="15077" w:name="_ETM_Q19_622100"/>
      <w:bookmarkEnd w:id="15071"/>
      <w:bookmarkEnd w:id="15072"/>
      <w:bookmarkEnd w:id="15073"/>
      <w:bookmarkEnd w:id="15074"/>
      <w:bookmarkEnd w:id="15075"/>
      <w:bookmarkEnd w:id="15076"/>
      <w:bookmarkEnd w:id="15077"/>
      <w:r>
        <w:rPr>
          <w:rFonts w:hint="cs"/>
          <w:rtl/>
        </w:rPr>
        <w:t xml:space="preserve">רק הבוקר שמענו ששר </w:t>
      </w:r>
      <w:bookmarkStart w:id="15078" w:name="_ETM_Q19_622760"/>
      <w:bookmarkEnd w:id="15078"/>
      <w:r>
        <w:rPr>
          <w:rFonts w:hint="cs"/>
          <w:rtl/>
        </w:rPr>
        <w:t xml:space="preserve">בממשלה, </w:t>
      </w:r>
      <w:bookmarkStart w:id="15079" w:name="_ETM_Q19_624370"/>
      <w:bookmarkEnd w:id="15079"/>
      <w:r>
        <w:rPr>
          <w:rFonts w:hint="cs"/>
          <w:rtl/>
        </w:rPr>
        <w:t xml:space="preserve">הלוא </w:t>
      </w:r>
      <w:bookmarkStart w:id="15080" w:name="_ETM_Q19_624910"/>
      <w:bookmarkEnd w:id="15080"/>
      <w:r>
        <w:rPr>
          <w:rFonts w:hint="cs"/>
          <w:rtl/>
        </w:rPr>
        <w:t xml:space="preserve">הוא </w:t>
      </w:r>
      <w:bookmarkStart w:id="15081" w:name="_ETM_Q19_625060"/>
      <w:bookmarkEnd w:id="15081"/>
      <w:r>
        <w:rPr>
          <w:rFonts w:hint="cs"/>
          <w:rtl/>
        </w:rPr>
        <w:t xml:space="preserve">השר </w:t>
      </w:r>
      <w:bookmarkStart w:id="15082" w:name="_ETM_Q19_625450"/>
      <w:bookmarkEnd w:id="15082"/>
      <w:r>
        <w:rPr>
          <w:rFonts w:hint="cs"/>
          <w:rtl/>
        </w:rPr>
        <w:t xml:space="preserve">לענייני </w:t>
      </w:r>
      <w:bookmarkStart w:id="15083" w:name="_ETM_Q19_625990"/>
      <w:bookmarkEnd w:id="15083"/>
      <w:r>
        <w:rPr>
          <w:rFonts w:hint="cs"/>
          <w:rtl/>
        </w:rPr>
        <w:t xml:space="preserve">הכול </w:t>
      </w:r>
      <w:bookmarkStart w:id="15084" w:name="_ETM_Q19_624000"/>
      <w:bookmarkEnd w:id="15084"/>
      <w:r>
        <w:rPr>
          <w:rFonts w:hint="cs"/>
          <w:rtl/>
        </w:rPr>
        <w:t>– גרעין,</w:t>
      </w:r>
      <w:bookmarkStart w:id="15085" w:name="_ETM_Q19_627069"/>
      <w:bookmarkStart w:id="15086" w:name="_ETM_Q19_627669"/>
      <w:bookmarkEnd w:id="15085"/>
      <w:bookmarkEnd w:id="15086"/>
      <w:r>
        <w:rPr>
          <w:rFonts w:hint="cs"/>
          <w:rtl/>
        </w:rPr>
        <w:t xml:space="preserve"> </w:t>
      </w:r>
      <w:bookmarkStart w:id="15087" w:name="_ETM_Q19_628180"/>
      <w:bookmarkEnd w:id="15087"/>
      <w:r>
        <w:rPr>
          <w:rFonts w:hint="cs"/>
          <w:rtl/>
        </w:rPr>
        <w:t xml:space="preserve">רשויות </w:t>
      </w:r>
      <w:bookmarkStart w:id="15088" w:name="_ETM_Q19_629200"/>
      <w:bookmarkEnd w:id="15088"/>
      <w:r>
        <w:rPr>
          <w:rFonts w:hint="cs"/>
          <w:rtl/>
        </w:rPr>
        <w:t xml:space="preserve">ממשלתיות, </w:t>
      </w:r>
      <w:bookmarkStart w:id="15089" w:name="_ETM_Q19_631720"/>
      <w:bookmarkEnd w:id="15089"/>
      <w:r>
        <w:rPr>
          <w:rFonts w:hint="cs"/>
          <w:rtl/>
        </w:rPr>
        <w:t xml:space="preserve">שר </w:t>
      </w:r>
      <w:bookmarkStart w:id="15090" w:name="_ETM_Q19_632049"/>
      <w:bookmarkEnd w:id="15090"/>
      <w:r>
        <w:rPr>
          <w:rFonts w:hint="cs"/>
          <w:rtl/>
        </w:rPr>
        <w:t xml:space="preserve">במשרד </w:t>
      </w:r>
      <w:bookmarkStart w:id="15091" w:name="_ETM_Q19_632530"/>
      <w:bookmarkEnd w:id="15091"/>
      <w:r>
        <w:rPr>
          <w:rFonts w:hint="cs"/>
          <w:rtl/>
        </w:rPr>
        <w:t xml:space="preserve">המשפטים, </w:t>
      </w:r>
      <w:bookmarkStart w:id="15092" w:name="_ETM_Q19_634120"/>
      <w:bookmarkEnd w:id="15092"/>
      <w:r>
        <w:rPr>
          <w:rFonts w:hint="cs"/>
          <w:rtl/>
        </w:rPr>
        <w:t xml:space="preserve">שר </w:t>
      </w:r>
      <w:bookmarkStart w:id="15093" w:name="_ETM_Q19_634510"/>
      <w:bookmarkEnd w:id="15093"/>
      <w:r>
        <w:rPr>
          <w:rFonts w:hint="cs"/>
          <w:rtl/>
        </w:rPr>
        <w:t>מקשר - - -</w:t>
      </w:r>
    </w:p>
    <w:p w:rsidR="000C5C1F" w:rsidRDefault="000C5C1F" w:rsidP="000C5C1F">
      <w:pPr>
        <w:rPr>
          <w:rtl/>
        </w:rPr>
      </w:pPr>
      <w:bookmarkStart w:id="15094" w:name="_ETM_Q19_631000"/>
      <w:bookmarkEnd w:id="15094"/>
    </w:p>
    <w:p w:rsidR="000C5C1F" w:rsidRDefault="000C5C1F" w:rsidP="000C5C1F">
      <w:pPr>
        <w:pStyle w:val="af8"/>
        <w:keepNext/>
        <w:rPr>
          <w:rtl/>
        </w:rPr>
      </w:pPr>
      <w:bookmarkStart w:id="15095" w:name="ET_interruption_5766_30"/>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15095"/>
    </w:p>
    <w:p w:rsidR="000C5C1F" w:rsidRDefault="000C5C1F" w:rsidP="00337201">
      <w:pPr>
        <w:rPr>
          <w:rtl/>
        </w:rPr>
      </w:pPr>
    </w:p>
    <w:p w:rsidR="000C5C1F" w:rsidRDefault="000C5C1F" w:rsidP="000C5C1F">
      <w:pPr>
        <w:rPr>
          <w:rtl/>
        </w:rPr>
      </w:pPr>
      <w:r>
        <w:rPr>
          <w:rFonts w:hint="cs"/>
          <w:rtl/>
        </w:rPr>
        <w:t>השר המפייס הלאומי.</w:t>
      </w:r>
    </w:p>
    <w:p w:rsidR="000C5C1F" w:rsidRDefault="000C5C1F" w:rsidP="000C5C1F">
      <w:pPr>
        <w:rPr>
          <w:rtl/>
        </w:rPr>
      </w:pPr>
      <w:bookmarkStart w:id="15096" w:name="_ETM_Q19_635000"/>
      <w:bookmarkEnd w:id="15096"/>
    </w:p>
    <w:p w:rsidR="000C5C1F" w:rsidRDefault="000C5C1F" w:rsidP="000C5C1F">
      <w:pPr>
        <w:pStyle w:val="-"/>
        <w:keepNext/>
        <w:rPr>
          <w:rtl/>
        </w:rPr>
      </w:pPr>
      <w:bookmarkStart w:id="15097" w:name="ET_speakercontinue_5068_31"/>
      <w:r>
        <w:rPr>
          <w:rStyle w:val="TagStyle"/>
          <w:rFonts w:hint="cs"/>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bookmarkEnd w:id="15097"/>
    </w:p>
    <w:p w:rsidR="000C5C1F" w:rsidRDefault="000C5C1F" w:rsidP="00337201">
      <w:pPr>
        <w:rPr>
          <w:rtl/>
        </w:rPr>
      </w:pPr>
    </w:p>
    <w:p w:rsidR="000C5C1F" w:rsidRDefault="000C5C1F" w:rsidP="000C5C1F">
      <w:pPr>
        <w:rPr>
          <w:rtl/>
        </w:rPr>
      </w:pPr>
      <w:bookmarkStart w:id="15098" w:name="_ETM_Q19_637000"/>
      <w:bookmarkStart w:id="15099" w:name="_ETM_Q19_636230"/>
      <w:bookmarkEnd w:id="15098"/>
      <w:bookmarkEnd w:id="15099"/>
      <w:r>
        <w:rPr>
          <w:rFonts w:hint="cs"/>
          <w:rtl/>
        </w:rPr>
        <w:t>השר</w:t>
      </w:r>
      <w:bookmarkStart w:id="15100" w:name="_ETM_Q19_636560"/>
      <w:bookmarkEnd w:id="15100"/>
      <w:r>
        <w:rPr>
          <w:rFonts w:hint="cs"/>
          <w:rtl/>
        </w:rPr>
        <w:t xml:space="preserve"> המפייס </w:t>
      </w:r>
      <w:bookmarkStart w:id="15101" w:name="_ETM_Q19_637069"/>
      <w:bookmarkEnd w:id="15101"/>
      <w:r>
        <w:rPr>
          <w:rFonts w:hint="cs"/>
          <w:rtl/>
        </w:rPr>
        <w:t xml:space="preserve">הלאומי – </w:t>
      </w:r>
      <w:bookmarkStart w:id="15102" w:name="_ETM_Q19_637459"/>
      <w:bookmarkEnd w:id="15102"/>
      <w:r>
        <w:rPr>
          <w:rFonts w:hint="cs"/>
          <w:rtl/>
        </w:rPr>
        <w:t xml:space="preserve">אפשר </w:t>
      </w:r>
      <w:bookmarkStart w:id="15103" w:name="_ETM_Q19_637760"/>
      <w:bookmarkEnd w:id="15103"/>
      <w:r>
        <w:rPr>
          <w:rFonts w:hint="cs"/>
          <w:rtl/>
        </w:rPr>
        <w:t xml:space="preserve">למנות </w:t>
      </w:r>
      <w:bookmarkStart w:id="15104" w:name="_ETM_Q19_638269"/>
      <w:bookmarkEnd w:id="15104"/>
      <w:r>
        <w:rPr>
          <w:rFonts w:hint="cs"/>
          <w:rtl/>
        </w:rPr>
        <w:t xml:space="preserve">אותו. </w:t>
      </w:r>
      <w:bookmarkStart w:id="15105" w:name="_ETM_Q19_639560"/>
      <w:bookmarkEnd w:id="15105"/>
      <w:r>
        <w:rPr>
          <w:rFonts w:hint="cs"/>
          <w:rtl/>
        </w:rPr>
        <w:t xml:space="preserve">רק </w:t>
      </w:r>
      <w:bookmarkStart w:id="15106" w:name="_ETM_Q19_640999"/>
      <w:bookmarkEnd w:id="15106"/>
      <w:r>
        <w:rPr>
          <w:rFonts w:hint="cs"/>
          <w:rtl/>
        </w:rPr>
        <w:t xml:space="preserve">הבוקר </w:t>
      </w:r>
      <w:bookmarkStart w:id="15107" w:name="_ETM_Q19_641000"/>
      <w:bookmarkEnd w:id="15107"/>
      <w:r>
        <w:rPr>
          <w:rFonts w:hint="cs"/>
          <w:rtl/>
        </w:rPr>
        <w:t xml:space="preserve">מנכ"ל </w:t>
      </w:r>
      <w:bookmarkStart w:id="15108" w:name="_ETM_Q19_641599"/>
      <w:bookmarkEnd w:id="15108"/>
      <w:r>
        <w:rPr>
          <w:rFonts w:hint="cs"/>
          <w:rtl/>
        </w:rPr>
        <w:t xml:space="preserve">שהוא </w:t>
      </w:r>
      <w:bookmarkStart w:id="15109" w:name="_ETM_Q19_641870"/>
      <w:bookmarkEnd w:id="15109"/>
      <w:r>
        <w:rPr>
          <w:rFonts w:hint="cs"/>
          <w:rtl/>
        </w:rPr>
        <w:t xml:space="preserve">רוצה </w:t>
      </w:r>
      <w:bookmarkStart w:id="15110" w:name="_ETM_Q19_642170"/>
      <w:bookmarkEnd w:id="15110"/>
      <w:r>
        <w:rPr>
          <w:rFonts w:hint="cs"/>
          <w:rtl/>
        </w:rPr>
        <w:t xml:space="preserve">למנות, </w:t>
      </w:r>
      <w:bookmarkStart w:id="15111" w:name="_ETM_Q19_643710"/>
      <w:bookmarkEnd w:id="15111"/>
      <w:r>
        <w:rPr>
          <w:rFonts w:hint="cs"/>
          <w:rtl/>
        </w:rPr>
        <w:t xml:space="preserve">מה </w:t>
      </w:r>
      <w:bookmarkStart w:id="15112" w:name="_ETM_Q19_644130"/>
      <w:bookmarkEnd w:id="15112"/>
      <w:r>
        <w:rPr>
          <w:rFonts w:hint="cs"/>
          <w:rtl/>
        </w:rPr>
        <w:t xml:space="preserve">קרה? הוא </w:t>
      </w:r>
      <w:bookmarkStart w:id="15113" w:name="_ETM_Q19_645230"/>
      <w:bookmarkEnd w:id="15113"/>
      <w:r>
        <w:rPr>
          <w:rFonts w:hint="cs"/>
          <w:rtl/>
        </w:rPr>
        <w:t xml:space="preserve">נחקר </w:t>
      </w:r>
      <w:bookmarkStart w:id="15114" w:name="_ETM_Q19_645530"/>
      <w:bookmarkEnd w:id="15114"/>
      <w:r>
        <w:rPr>
          <w:rFonts w:hint="cs"/>
          <w:rtl/>
        </w:rPr>
        <w:t xml:space="preserve">במשטרה, כי הוא לא מסר </w:t>
      </w:r>
      <w:bookmarkStart w:id="15115" w:name="_ETM_Q19_644000"/>
      <w:bookmarkEnd w:id="15115"/>
      <w:r>
        <w:rPr>
          <w:rFonts w:hint="cs"/>
          <w:rtl/>
        </w:rPr>
        <w:t xml:space="preserve">פרטי אמת. אבל הי, בואו נסמוך עליהם. </w:t>
      </w:r>
      <w:bookmarkStart w:id="15116" w:name="_ETM_Q19_646980"/>
      <w:bookmarkStart w:id="15117" w:name="_ETM_Q19_647340"/>
      <w:bookmarkStart w:id="15118" w:name="_ETM_Q19_647819"/>
      <w:bookmarkStart w:id="15119" w:name="_ETM_Q19_647970"/>
      <w:bookmarkStart w:id="15120" w:name="_ETM_Q19_648390"/>
      <w:bookmarkStart w:id="15121" w:name="_ETM_Q19_649780"/>
      <w:bookmarkStart w:id="15122" w:name="_ETM_Q19_650050"/>
      <w:bookmarkStart w:id="15123" w:name="_ETM_Q19_650590"/>
      <w:bookmarkStart w:id="15124" w:name="_ETM_Q19_653120"/>
      <w:bookmarkEnd w:id="15116"/>
      <w:bookmarkEnd w:id="15117"/>
      <w:bookmarkEnd w:id="15118"/>
      <w:bookmarkEnd w:id="15119"/>
      <w:bookmarkEnd w:id="15120"/>
      <w:bookmarkEnd w:id="15121"/>
      <w:bookmarkEnd w:id="15122"/>
      <w:bookmarkEnd w:id="15123"/>
      <w:bookmarkEnd w:id="15124"/>
    </w:p>
    <w:p w:rsidR="000C5C1F" w:rsidRDefault="000C5C1F" w:rsidP="000C5C1F">
      <w:pPr>
        <w:rPr>
          <w:rtl/>
        </w:rPr>
      </w:pPr>
      <w:bookmarkStart w:id="15125" w:name="_ETM_Q19_654000"/>
      <w:bookmarkEnd w:id="15125"/>
    </w:p>
    <w:p w:rsidR="000C5C1F" w:rsidRDefault="000C5C1F" w:rsidP="000C5C1F">
      <w:pPr>
        <w:rPr>
          <w:rtl/>
        </w:rPr>
      </w:pPr>
      <w:bookmarkStart w:id="15126" w:name="_ETM_Q19_649000"/>
      <w:bookmarkEnd w:id="15126"/>
      <w:r>
        <w:rPr>
          <w:rFonts w:hint="cs"/>
          <w:rtl/>
        </w:rPr>
        <w:t xml:space="preserve">הצעת </w:t>
      </w:r>
      <w:bookmarkStart w:id="15127" w:name="_ETM_Q19_653569"/>
      <w:bookmarkEnd w:id="15127"/>
      <w:r>
        <w:rPr>
          <w:rFonts w:hint="cs"/>
          <w:rtl/>
        </w:rPr>
        <w:t xml:space="preserve">החוק </w:t>
      </w:r>
      <w:bookmarkStart w:id="15128" w:name="_ETM_Q19_653959"/>
      <w:bookmarkEnd w:id="15128"/>
      <w:r>
        <w:rPr>
          <w:rFonts w:hint="cs"/>
          <w:rtl/>
        </w:rPr>
        <w:t xml:space="preserve">הזאת </w:t>
      </w:r>
      <w:bookmarkStart w:id="15129" w:name="_ETM_Q19_654440"/>
      <w:bookmarkEnd w:id="15129"/>
      <w:r>
        <w:rPr>
          <w:rFonts w:hint="cs"/>
          <w:rtl/>
        </w:rPr>
        <w:t xml:space="preserve">לא </w:t>
      </w:r>
      <w:bookmarkStart w:id="15130" w:name="_ETM_Q19_654950"/>
      <w:bookmarkEnd w:id="15130"/>
      <w:r>
        <w:rPr>
          <w:rFonts w:hint="cs"/>
          <w:rtl/>
        </w:rPr>
        <w:t xml:space="preserve">נתמכת </w:t>
      </w:r>
      <w:bookmarkStart w:id="15131" w:name="_ETM_Q19_656459"/>
      <w:bookmarkEnd w:id="15131"/>
      <w:r>
        <w:rPr>
          <w:rFonts w:hint="cs"/>
          <w:rtl/>
        </w:rPr>
        <w:t xml:space="preserve">על ידי </w:t>
      </w:r>
      <w:bookmarkStart w:id="15132" w:name="_ETM_Q19_657630"/>
      <w:bookmarkEnd w:id="15132"/>
      <w:r>
        <w:rPr>
          <w:rFonts w:hint="cs"/>
          <w:rtl/>
        </w:rPr>
        <w:t xml:space="preserve">אף </w:t>
      </w:r>
      <w:bookmarkStart w:id="15133" w:name="_ETM_Q19_657780"/>
      <w:bookmarkEnd w:id="15133"/>
      <w:r>
        <w:rPr>
          <w:rFonts w:hint="cs"/>
          <w:rtl/>
        </w:rPr>
        <w:t xml:space="preserve">מומחה </w:t>
      </w:r>
      <w:bookmarkStart w:id="15134" w:name="_ETM_Q19_658319"/>
      <w:bookmarkEnd w:id="15134"/>
      <w:r>
        <w:rPr>
          <w:rFonts w:hint="cs"/>
          <w:rtl/>
        </w:rPr>
        <w:t xml:space="preserve">בעל </w:t>
      </w:r>
      <w:bookmarkStart w:id="15135" w:name="_ETM_Q19_658620"/>
      <w:bookmarkEnd w:id="15135"/>
      <w:r>
        <w:rPr>
          <w:rFonts w:hint="cs"/>
          <w:rtl/>
        </w:rPr>
        <w:t xml:space="preserve">שם, </w:t>
      </w:r>
      <w:bookmarkStart w:id="15136" w:name="_ETM_Q19_659770"/>
      <w:bookmarkEnd w:id="15136"/>
      <w:r>
        <w:rPr>
          <w:rFonts w:hint="cs"/>
          <w:rtl/>
        </w:rPr>
        <w:t xml:space="preserve">אפילו </w:t>
      </w:r>
      <w:bookmarkStart w:id="15137" w:name="_ETM_Q19_662330"/>
      <w:bookmarkEnd w:id="15137"/>
      <w:r>
        <w:rPr>
          <w:rFonts w:hint="cs"/>
          <w:rtl/>
        </w:rPr>
        <w:t xml:space="preserve">לא אחד. אמרו כבוד </w:t>
      </w:r>
      <w:bookmarkStart w:id="15138" w:name="_ETM_Q19_663620"/>
      <w:bookmarkEnd w:id="15138"/>
      <w:r>
        <w:rPr>
          <w:rFonts w:hint="cs"/>
          <w:rtl/>
        </w:rPr>
        <w:t xml:space="preserve">השופט </w:t>
      </w:r>
      <w:bookmarkStart w:id="15139" w:name="_ETM_Q19_664100"/>
      <w:bookmarkEnd w:id="15139"/>
      <w:r>
        <w:rPr>
          <w:rFonts w:hint="cs"/>
          <w:rtl/>
        </w:rPr>
        <w:t xml:space="preserve">נעם </w:t>
      </w:r>
      <w:bookmarkStart w:id="15140" w:name="_ETM_Q19_664370"/>
      <w:bookmarkEnd w:id="15140"/>
      <w:r>
        <w:rPr>
          <w:rFonts w:hint="cs"/>
          <w:rtl/>
        </w:rPr>
        <w:t xml:space="preserve">סולברג </w:t>
      </w:r>
      <w:bookmarkStart w:id="15141" w:name="_ETM_Q19_665810"/>
      <w:bookmarkEnd w:id="15141"/>
      <w:r>
        <w:rPr>
          <w:rFonts w:hint="cs"/>
          <w:rtl/>
        </w:rPr>
        <w:t xml:space="preserve">– הוא אמר: </w:t>
      </w:r>
      <w:bookmarkStart w:id="15142" w:name="_ETM_Q19_666650"/>
      <w:bookmarkEnd w:id="15142"/>
      <w:r>
        <w:rPr>
          <w:rFonts w:hint="cs"/>
          <w:rtl/>
        </w:rPr>
        <w:t xml:space="preserve">ממש </w:t>
      </w:r>
      <w:bookmarkStart w:id="15143" w:name="_ETM_Q19_667249"/>
      <w:bookmarkEnd w:id="15143"/>
      <w:r>
        <w:rPr>
          <w:rFonts w:hint="cs"/>
          <w:rtl/>
        </w:rPr>
        <w:t xml:space="preserve">לא. </w:t>
      </w:r>
      <w:bookmarkStart w:id="15144" w:name="_ETM_Q19_668360"/>
      <w:bookmarkEnd w:id="15144"/>
      <w:r>
        <w:rPr>
          <w:rFonts w:hint="cs"/>
          <w:rtl/>
        </w:rPr>
        <w:t xml:space="preserve">אמרו </w:t>
      </w:r>
      <w:bookmarkStart w:id="15145" w:name="_ETM_Q19_668780"/>
      <w:bookmarkEnd w:id="15145"/>
      <w:r>
        <w:rPr>
          <w:rFonts w:hint="cs"/>
          <w:rtl/>
        </w:rPr>
        <w:t xml:space="preserve">פרופ' </w:t>
      </w:r>
      <w:bookmarkStart w:id="15146" w:name="_ETM_Q19_669470"/>
      <w:bookmarkEnd w:id="15146"/>
      <w:r>
        <w:rPr>
          <w:rFonts w:hint="cs"/>
          <w:rtl/>
        </w:rPr>
        <w:t xml:space="preserve">אהרן </w:t>
      </w:r>
      <w:bookmarkStart w:id="15147" w:name="_ETM_Q19_669890"/>
      <w:bookmarkEnd w:id="15147"/>
      <w:r>
        <w:rPr>
          <w:rFonts w:hint="cs"/>
          <w:rtl/>
        </w:rPr>
        <w:t xml:space="preserve">ברק, </w:t>
      </w:r>
      <w:bookmarkStart w:id="15148" w:name="_ETM_Q19_670310"/>
      <w:bookmarkEnd w:id="15148"/>
      <w:r>
        <w:rPr>
          <w:rFonts w:hint="cs"/>
          <w:rtl/>
        </w:rPr>
        <w:t xml:space="preserve">הנשיא </w:t>
      </w:r>
      <w:bookmarkStart w:id="15149" w:name="_ETM_Q19_670730"/>
      <w:bookmarkEnd w:id="15149"/>
      <w:r>
        <w:rPr>
          <w:rFonts w:hint="cs"/>
          <w:rtl/>
        </w:rPr>
        <w:t>לשעבר.</w:t>
      </w:r>
    </w:p>
    <w:p w:rsidR="000C5C1F" w:rsidRDefault="000C5C1F" w:rsidP="000C5C1F">
      <w:pPr>
        <w:rPr>
          <w:rtl/>
        </w:rPr>
      </w:pPr>
      <w:bookmarkStart w:id="15150" w:name="_ETM_Q19_667000"/>
      <w:bookmarkEnd w:id="15150"/>
    </w:p>
    <w:p w:rsidR="000C5C1F" w:rsidRDefault="000C5C1F" w:rsidP="000C5C1F">
      <w:pPr>
        <w:pStyle w:val="af8"/>
        <w:keepNext/>
        <w:rPr>
          <w:rtl/>
        </w:rPr>
      </w:pPr>
      <w:bookmarkStart w:id="15151" w:name="ET_interruption_5766_32"/>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15151"/>
    </w:p>
    <w:p w:rsidR="000C5C1F" w:rsidRDefault="000C5C1F" w:rsidP="00337201">
      <w:pPr>
        <w:rPr>
          <w:rtl/>
        </w:rPr>
      </w:pPr>
    </w:p>
    <w:p w:rsidR="000C5C1F" w:rsidRDefault="000C5C1F" w:rsidP="000C5C1F">
      <w:pPr>
        <w:rPr>
          <w:rtl/>
        </w:rPr>
      </w:pPr>
      <w:bookmarkStart w:id="15152" w:name="_ETM_Q19_671000"/>
      <w:bookmarkEnd w:id="15152"/>
      <w:r>
        <w:rPr>
          <w:rFonts w:hint="cs"/>
          <w:rtl/>
        </w:rPr>
        <w:t>ממש לא.</w:t>
      </w:r>
    </w:p>
    <w:p w:rsidR="000C5C1F" w:rsidRDefault="000C5C1F" w:rsidP="000C5C1F">
      <w:pPr>
        <w:rPr>
          <w:rtl/>
        </w:rPr>
      </w:pPr>
      <w:bookmarkStart w:id="15153" w:name="_ETM_Q19_668000"/>
      <w:bookmarkEnd w:id="15153"/>
    </w:p>
    <w:p w:rsidR="000C5C1F" w:rsidRDefault="000C5C1F" w:rsidP="000C5C1F">
      <w:pPr>
        <w:pStyle w:val="af9"/>
        <w:keepNext/>
        <w:rPr>
          <w:rtl/>
        </w:rPr>
      </w:pPr>
      <w:r>
        <w:rPr>
          <w:rStyle w:val="TagStyle"/>
          <w:rFonts w:hint="cs"/>
          <w:rtl/>
        </w:rPr>
        <w:t xml:space="preserve">&lt;&lt; דובר_המשך &gt;&gt; </w:t>
      </w:r>
      <w:r>
        <w:rPr>
          <w:rFonts w:hint="cs"/>
          <w:rtl/>
        </w:rPr>
        <w:t>קארין אלהרר (יש עתיד):</w:t>
      </w:r>
      <w:r>
        <w:rPr>
          <w:rStyle w:val="TagStyle"/>
          <w:rtl/>
        </w:rPr>
        <w:t xml:space="preserve"> &lt;&lt; דובר_המשך &gt;&gt;</w:t>
      </w:r>
    </w:p>
    <w:p w:rsidR="000C5C1F" w:rsidRDefault="000C5C1F" w:rsidP="000C5C1F">
      <w:pPr>
        <w:rPr>
          <w:rtl/>
        </w:rPr>
      </w:pPr>
    </w:p>
    <w:p w:rsidR="000C5C1F" w:rsidRDefault="000C5C1F" w:rsidP="000C5C1F">
      <w:pPr>
        <w:rPr>
          <w:rtl/>
        </w:rPr>
      </w:pPr>
      <w:bookmarkStart w:id="15154" w:name="_ETM_Q19_669000"/>
      <w:bookmarkStart w:id="15155" w:name="_ETM_Q19_672190"/>
      <w:bookmarkEnd w:id="15154"/>
      <w:bookmarkEnd w:id="15155"/>
      <w:r>
        <w:rPr>
          <w:rFonts w:hint="cs"/>
          <w:rtl/>
        </w:rPr>
        <w:t xml:space="preserve">ממש </w:t>
      </w:r>
      <w:bookmarkStart w:id="15156" w:name="_ETM_Q19_672880"/>
      <w:bookmarkEnd w:id="15156"/>
      <w:r>
        <w:rPr>
          <w:rFonts w:hint="cs"/>
          <w:rtl/>
        </w:rPr>
        <w:t xml:space="preserve">לא. </w:t>
      </w:r>
      <w:bookmarkStart w:id="15157" w:name="_ETM_Q19_674150"/>
      <w:bookmarkEnd w:id="15157"/>
      <w:r>
        <w:rPr>
          <w:rFonts w:hint="cs"/>
          <w:rtl/>
        </w:rPr>
        <w:t xml:space="preserve">אמרו </w:t>
      </w:r>
      <w:bookmarkStart w:id="15158" w:name="_ETM_Q19_674540"/>
      <w:bookmarkEnd w:id="15158"/>
      <w:r>
        <w:rPr>
          <w:rFonts w:hint="cs"/>
          <w:rtl/>
        </w:rPr>
        <w:t xml:space="preserve">יואב </w:t>
      </w:r>
      <w:bookmarkStart w:id="15159" w:name="_ETM_Q19_674989"/>
      <w:bookmarkEnd w:id="15159"/>
      <w:r>
        <w:rPr>
          <w:rFonts w:hint="cs"/>
          <w:rtl/>
        </w:rPr>
        <w:t xml:space="preserve">דותן, </w:t>
      </w:r>
      <w:bookmarkStart w:id="15160" w:name="_ETM_Q19_676520"/>
      <w:bookmarkEnd w:id="15160"/>
      <w:r>
        <w:rPr>
          <w:rFonts w:hint="cs"/>
          <w:rtl/>
        </w:rPr>
        <w:t xml:space="preserve">פרופ' </w:t>
      </w:r>
      <w:bookmarkStart w:id="15161" w:name="_ETM_Q19_677090"/>
      <w:bookmarkEnd w:id="15161"/>
      <w:r>
        <w:rPr>
          <w:rFonts w:hint="cs"/>
          <w:rtl/>
        </w:rPr>
        <w:t xml:space="preserve">יואב </w:t>
      </w:r>
      <w:bookmarkStart w:id="15162" w:name="_ETM_Q19_677390"/>
      <w:bookmarkEnd w:id="15162"/>
      <w:r>
        <w:rPr>
          <w:rFonts w:hint="cs"/>
          <w:rtl/>
        </w:rPr>
        <w:t xml:space="preserve">דותן – הוא אמר: </w:t>
      </w:r>
      <w:bookmarkStart w:id="15163" w:name="_ETM_Q19_675000"/>
      <w:bookmarkEnd w:id="15163"/>
      <w:r>
        <w:rPr>
          <w:rFonts w:hint="cs"/>
          <w:rtl/>
        </w:rPr>
        <w:t xml:space="preserve">לא ולא. </w:t>
      </w:r>
      <w:bookmarkStart w:id="15164" w:name="_ETM_Q19_677989"/>
      <w:bookmarkStart w:id="15165" w:name="_ETM_Q19_679209"/>
      <w:bookmarkStart w:id="15166" w:name="_ETM_Q19_679599"/>
      <w:bookmarkStart w:id="15167" w:name="_ETM_Q19_679930"/>
      <w:bookmarkStart w:id="15168" w:name="_ETM_Q19_681000"/>
      <w:bookmarkEnd w:id="15164"/>
      <w:bookmarkEnd w:id="15165"/>
      <w:bookmarkEnd w:id="15166"/>
      <w:bookmarkEnd w:id="15167"/>
      <w:bookmarkEnd w:id="15168"/>
      <w:r>
        <w:rPr>
          <w:rFonts w:hint="cs"/>
          <w:rtl/>
        </w:rPr>
        <w:t>אמרו</w:t>
      </w:r>
      <w:bookmarkStart w:id="15169" w:name="_ETM_Q19_681360"/>
      <w:bookmarkEnd w:id="15169"/>
      <w:r>
        <w:rPr>
          <w:rFonts w:hint="cs"/>
          <w:rtl/>
        </w:rPr>
        <w:t xml:space="preserve"> </w:t>
      </w:r>
      <w:bookmarkStart w:id="15170" w:name="_ETM_Q19_682050"/>
      <w:bookmarkEnd w:id="15170"/>
      <w:r>
        <w:rPr>
          <w:rFonts w:hint="cs"/>
          <w:rtl/>
        </w:rPr>
        <w:t xml:space="preserve">כבוד </w:t>
      </w:r>
      <w:bookmarkStart w:id="15171" w:name="_ETM_Q19_682349"/>
      <w:bookmarkEnd w:id="15171"/>
      <w:r>
        <w:rPr>
          <w:rFonts w:hint="cs"/>
          <w:rtl/>
        </w:rPr>
        <w:t xml:space="preserve">השופטת </w:t>
      </w:r>
      <w:bookmarkStart w:id="15172" w:name="_ETM_Q19_682890"/>
      <w:bookmarkEnd w:id="15172"/>
      <w:r>
        <w:rPr>
          <w:rFonts w:hint="cs"/>
          <w:rtl/>
        </w:rPr>
        <w:t xml:space="preserve">לשעבר, </w:t>
      </w:r>
      <w:bookmarkStart w:id="15173" w:name="_ETM_Q19_683970"/>
      <w:bookmarkEnd w:id="15173"/>
      <w:r>
        <w:rPr>
          <w:rFonts w:hint="cs"/>
          <w:rtl/>
        </w:rPr>
        <w:t xml:space="preserve">בדימוס, </w:t>
      </w:r>
      <w:bookmarkStart w:id="15174" w:name="_ETM_Q19_684620"/>
      <w:bookmarkEnd w:id="15174"/>
      <w:r>
        <w:rPr>
          <w:rFonts w:hint="cs"/>
          <w:rtl/>
        </w:rPr>
        <w:t xml:space="preserve">אילה </w:t>
      </w:r>
      <w:bookmarkStart w:id="15175" w:name="_ETM_Q19_684980"/>
      <w:bookmarkEnd w:id="15175"/>
      <w:r>
        <w:rPr>
          <w:rFonts w:hint="cs"/>
          <w:rtl/>
        </w:rPr>
        <w:t xml:space="preserve">פרוקצ'יה, היא </w:t>
      </w:r>
      <w:bookmarkStart w:id="15176" w:name="_ETM_Q19_686610"/>
      <w:bookmarkEnd w:id="15176"/>
      <w:r>
        <w:rPr>
          <w:rFonts w:hint="cs"/>
          <w:rtl/>
        </w:rPr>
        <w:t>אמר</w:t>
      </w:r>
      <w:bookmarkStart w:id="15177" w:name="_ETM_Q19_687000"/>
      <w:bookmarkEnd w:id="15177"/>
      <w:r>
        <w:rPr>
          <w:rFonts w:hint="cs"/>
          <w:rtl/>
        </w:rPr>
        <w:t xml:space="preserve">ה: לא </w:t>
      </w:r>
      <w:bookmarkStart w:id="15178" w:name="_ETM_Q19_687150"/>
      <w:bookmarkEnd w:id="15178"/>
      <w:r>
        <w:rPr>
          <w:rFonts w:hint="cs"/>
          <w:rtl/>
        </w:rPr>
        <w:t xml:space="preserve">יקום </w:t>
      </w:r>
      <w:bookmarkStart w:id="15179" w:name="_ETM_Q19_687630"/>
      <w:bookmarkEnd w:id="15179"/>
      <w:r>
        <w:rPr>
          <w:rFonts w:hint="cs"/>
          <w:rtl/>
        </w:rPr>
        <w:t xml:space="preserve">ולא </w:t>
      </w:r>
      <w:bookmarkStart w:id="15180" w:name="_ETM_Q19_687930"/>
      <w:bookmarkEnd w:id="15180"/>
      <w:r>
        <w:rPr>
          <w:rFonts w:hint="cs"/>
          <w:rtl/>
        </w:rPr>
        <w:t xml:space="preserve">יהיה. </w:t>
      </w:r>
      <w:bookmarkStart w:id="15181" w:name="_ETM_Q19_689850"/>
      <w:bookmarkEnd w:id="15181"/>
      <w:r>
        <w:rPr>
          <w:rFonts w:hint="cs"/>
          <w:rtl/>
        </w:rPr>
        <w:t xml:space="preserve">מי </w:t>
      </w:r>
      <w:bookmarkStart w:id="15182" w:name="_ETM_Q19_690090"/>
      <w:bookmarkEnd w:id="15182"/>
      <w:r>
        <w:rPr>
          <w:rFonts w:hint="cs"/>
          <w:rtl/>
        </w:rPr>
        <w:t xml:space="preserve">נשאר? </w:t>
      </w:r>
      <w:bookmarkStart w:id="15183" w:name="_ETM_Q19_691590"/>
      <w:bookmarkEnd w:id="15183"/>
      <w:r>
        <w:rPr>
          <w:rFonts w:hint="cs"/>
          <w:rtl/>
        </w:rPr>
        <w:t xml:space="preserve">משפטן </w:t>
      </w:r>
      <w:bookmarkStart w:id="15184" w:name="_ETM_Q19_692330"/>
      <w:bookmarkEnd w:id="15184"/>
      <w:r>
        <w:rPr>
          <w:rFonts w:hint="cs"/>
          <w:rtl/>
        </w:rPr>
        <w:t xml:space="preserve">מקהלת. </w:t>
      </w:r>
      <w:bookmarkStart w:id="15185" w:name="_ETM_Q19_694809"/>
      <w:bookmarkEnd w:id="15185"/>
      <w:r>
        <w:rPr>
          <w:rFonts w:hint="cs"/>
          <w:rtl/>
        </w:rPr>
        <w:t>זהו.</w:t>
      </w:r>
    </w:p>
    <w:p w:rsidR="000C5C1F" w:rsidRDefault="000C5C1F" w:rsidP="000C5C1F">
      <w:pPr>
        <w:rPr>
          <w:rtl/>
        </w:rPr>
      </w:pPr>
    </w:p>
    <w:p w:rsidR="000C5C1F" w:rsidRDefault="000C5C1F" w:rsidP="000C5C1F">
      <w:pPr>
        <w:rPr>
          <w:rtl/>
        </w:rPr>
      </w:pPr>
      <w:r>
        <w:rPr>
          <w:rFonts w:hint="cs"/>
          <w:rtl/>
        </w:rPr>
        <w:t xml:space="preserve">עכשיו, תראו, אין </w:t>
      </w:r>
      <w:bookmarkStart w:id="15186" w:name="_ETM_Q19_696000"/>
      <w:bookmarkEnd w:id="15186"/>
      <w:r>
        <w:rPr>
          <w:rFonts w:hint="cs"/>
          <w:rtl/>
        </w:rPr>
        <w:t>מערכת - - -</w:t>
      </w:r>
    </w:p>
    <w:p w:rsidR="000C5C1F" w:rsidRDefault="000C5C1F" w:rsidP="000C5C1F">
      <w:pPr>
        <w:rPr>
          <w:rtl/>
        </w:rPr>
      </w:pPr>
      <w:bookmarkStart w:id="15187" w:name="_ETM_Q19_700000"/>
      <w:bookmarkEnd w:id="15187"/>
    </w:p>
    <w:p w:rsidR="000C5C1F" w:rsidRDefault="000C5C1F" w:rsidP="000C5C1F">
      <w:pPr>
        <w:pStyle w:val="af8"/>
        <w:keepNext/>
        <w:rPr>
          <w:rtl/>
        </w:rPr>
      </w:pPr>
      <w:bookmarkStart w:id="15188" w:name="ET_interruption_5766_34"/>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15188"/>
    </w:p>
    <w:p w:rsidR="000C5C1F" w:rsidRDefault="000C5C1F" w:rsidP="00337201">
      <w:pPr>
        <w:rPr>
          <w:rtl/>
        </w:rPr>
      </w:pPr>
    </w:p>
    <w:p w:rsidR="000C5C1F" w:rsidRDefault="000C5C1F" w:rsidP="000C5C1F">
      <w:pPr>
        <w:rPr>
          <w:rtl/>
        </w:rPr>
      </w:pPr>
      <w:r>
        <w:rPr>
          <w:rFonts w:hint="cs"/>
          <w:rtl/>
        </w:rPr>
        <w:t xml:space="preserve">- - - קהלת, שחולם להיות נשיא </w:t>
      </w:r>
      <w:bookmarkStart w:id="15189" w:name="_ETM_Q19_697000"/>
      <w:bookmarkEnd w:id="15189"/>
      <w:r>
        <w:rPr>
          <w:rFonts w:hint="cs"/>
          <w:rtl/>
        </w:rPr>
        <w:t>בית המשפט העליון.</w:t>
      </w:r>
    </w:p>
    <w:p w:rsidR="000C5C1F" w:rsidRDefault="000C5C1F" w:rsidP="000C5C1F">
      <w:pPr>
        <w:rPr>
          <w:rtl/>
        </w:rPr>
      </w:pPr>
    </w:p>
    <w:p w:rsidR="000C5C1F" w:rsidRDefault="000C5C1F" w:rsidP="000C5C1F">
      <w:pPr>
        <w:pStyle w:val="-"/>
        <w:keepNext/>
        <w:rPr>
          <w:rtl/>
        </w:rPr>
      </w:pPr>
      <w:bookmarkStart w:id="15190" w:name="ET_speakercontinue_5068_35"/>
      <w:r>
        <w:rPr>
          <w:rStyle w:val="TagStyle"/>
          <w:rFonts w:hint="cs"/>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bookmarkEnd w:id="15190"/>
    </w:p>
    <w:p w:rsidR="000C5C1F" w:rsidRDefault="000C5C1F" w:rsidP="00337201">
      <w:pPr>
        <w:rPr>
          <w:rtl/>
        </w:rPr>
      </w:pPr>
    </w:p>
    <w:p w:rsidR="000C5C1F" w:rsidRDefault="000C5C1F" w:rsidP="000C5C1F">
      <w:pPr>
        <w:rPr>
          <w:rtl/>
        </w:rPr>
      </w:pPr>
      <w:bookmarkStart w:id="15191" w:name="_ETM_Q19_698000"/>
      <w:bookmarkStart w:id="15192" w:name="_ETM_Q19_702000"/>
      <w:bookmarkStart w:id="15193" w:name="_ETM_Q19_697349"/>
      <w:bookmarkStart w:id="15194" w:name="_ETM_Q19_697799"/>
      <w:bookmarkStart w:id="15195" w:name="_ETM_Q19_698129"/>
      <w:bookmarkStart w:id="15196" w:name="_ETM_Q19_698699"/>
      <w:bookmarkStart w:id="15197" w:name="_ETM_Q19_702690"/>
      <w:bookmarkEnd w:id="15191"/>
      <w:bookmarkEnd w:id="15192"/>
      <w:bookmarkEnd w:id="15193"/>
      <w:bookmarkEnd w:id="15194"/>
      <w:bookmarkEnd w:id="15195"/>
      <w:bookmarkEnd w:id="15196"/>
      <w:bookmarkEnd w:id="15197"/>
      <w:r>
        <w:rPr>
          <w:rFonts w:hint="cs"/>
          <w:rtl/>
        </w:rPr>
        <w:t xml:space="preserve">כן, </w:t>
      </w:r>
      <w:bookmarkStart w:id="15198" w:name="_ETM_Q19_703050"/>
      <w:bookmarkEnd w:id="15198"/>
      <w:r>
        <w:rPr>
          <w:rFonts w:hint="cs"/>
          <w:rtl/>
        </w:rPr>
        <w:t xml:space="preserve">כמובן. </w:t>
      </w:r>
      <w:bookmarkStart w:id="15199" w:name="_ETM_Q19_704900"/>
      <w:bookmarkEnd w:id="15199"/>
      <w:r>
        <w:rPr>
          <w:rFonts w:hint="cs"/>
          <w:rtl/>
        </w:rPr>
        <w:t xml:space="preserve">אין </w:t>
      </w:r>
      <w:bookmarkStart w:id="15200" w:name="_ETM_Q19_705260"/>
      <w:bookmarkEnd w:id="15200"/>
      <w:r>
        <w:rPr>
          <w:rFonts w:hint="cs"/>
          <w:rtl/>
        </w:rPr>
        <w:t xml:space="preserve">פה </w:t>
      </w:r>
      <w:bookmarkStart w:id="15201" w:name="_ETM_Q19_705800"/>
      <w:bookmarkEnd w:id="15201"/>
      <w:r>
        <w:rPr>
          <w:rFonts w:hint="cs"/>
          <w:rtl/>
        </w:rPr>
        <w:t xml:space="preserve">לא </w:t>
      </w:r>
      <w:bookmarkStart w:id="15202" w:name="_ETM_Q19_706099"/>
      <w:bookmarkEnd w:id="15202"/>
      <w:r>
        <w:rPr>
          <w:rFonts w:hint="cs"/>
          <w:rtl/>
        </w:rPr>
        <w:t xml:space="preserve">איזונים, </w:t>
      </w:r>
      <w:bookmarkStart w:id="15203" w:name="_ETM_Q19_707459"/>
      <w:bookmarkEnd w:id="15203"/>
      <w:r>
        <w:rPr>
          <w:rFonts w:hint="cs"/>
          <w:rtl/>
        </w:rPr>
        <w:t xml:space="preserve">לא </w:t>
      </w:r>
      <w:bookmarkStart w:id="15204" w:name="_ETM_Q19_707880"/>
      <w:bookmarkEnd w:id="15204"/>
      <w:r>
        <w:rPr>
          <w:rFonts w:hint="cs"/>
          <w:rtl/>
        </w:rPr>
        <w:t xml:space="preserve">בלמים, </w:t>
      </w:r>
      <w:bookmarkStart w:id="15205" w:name="_ETM_Q19_709390"/>
      <w:bookmarkEnd w:id="15205"/>
      <w:r>
        <w:rPr>
          <w:rFonts w:hint="cs"/>
          <w:rtl/>
        </w:rPr>
        <w:t xml:space="preserve">כל </w:t>
      </w:r>
      <w:bookmarkStart w:id="15206" w:name="_ETM_Q19_709720"/>
      <w:bookmarkEnd w:id="15206"/>
      <w:r>
        <w:rPr>
          <w:rFonts w:hint="cs"/>
          <w:rtl/>
        </w:rPr>
        <w:t xml:space="preserve">מה </w:t>
      </w:r>
      <w:bookmarkStart w:id="15207" w:name="_ETM_Q19_709870"/>
      <w:bookmarkEnd w:id="15207"/>
      <w:r>
        <w:rPr>
          <w:rFonts w:hint="cs"/>
          <w:rtl/>
        </w:rPr>
        <w:t xml:space="preserve">שהם </w:t>
      </w:r>
      <w:bookmarkStart w:id="15208" w:name="_ETM_Q19_710140"/>
      <w:bookmarkEnd w:id="15208"/>
      <w:r>
        <w:rPr>
          <w:rFonts w:hint="cs"/>
          <w:rtl/>
        </w:rPr>
        <w:t>רוצים זה</w:t>
      </w:r>
      <w:bookmarkStart w:id="15209" w:name="_ETM_Q19_710390"/>
      <w:bookmarkStart w:id="15210" w:name="_ETM_Q19_711450"/>
      <w:bookmarkEnd w:id="15209"/>
      <w:bookmarkEnd w:id="15210"/>
      <w:r>
        <w:rPr>
          <w:rFonts w:hint="cs"/>
          <w:rtl/>
        </w:rPr>
        <w:t xml:space="preserve"> </w:t>
      </w:r>
      <w:bookmarkStart w:id="15211" w:name="_ETM_Q19_710000"/>
      <w:bookmarkEnd w:id="15211"/>
      <w:r>
        <w:rPr>
          <w:rFonts w:hint="cs"/>
          <w:rtl/>
        </w:rPr>
        <w:t xml:space="preserve">כוח. </w:t>
      </w:r>
      <w:bookmarkStart w:id="15212" w:name="_ETM_Q19_713819"/>
      <w:bookmarkEnd w:id="15212"/>
    </w:p>
    <w:p w:rsidR="000C5C1F" w:rsidRDefault="000C5C1F" w:rsidP="000C5C1F">
      <w:pPr>
        <w:rPr>
          <w:rtl/>
        </w:rPr>
      </w:pPr>
    </w:p>
    <w:p w:rsidR="000C5C1F" w:rsidRDefault="000C5C1F" w:rsidP="000C5C1F">
      <w:pPr>
        <w:rPr>
          <w:rtl/>
        </w:rPr>
      </w:pPr>
      <w:r>
        <w:rPr>
          <w:rFonts w:hint="cs"/>
          <w:rtl/>
        </w:rPr>
        <w:t xml:space="preserve">אין </w:t>
      </w:r>
      <w:bookmarkStart w:id="15213" w:name="_ETM_Q19_714089"/>
      <w:bookmarkEnd w:id="15213"/>
      <w:r>
        <w:rPr>
          <w:rFonts w:hint="cs"/>
          <w:rtl/>
        </w:rPr>
        <w:t xml:space="preserve">מערכת </w:t>
      </w:r>
      <w:bookmarkStart w:id="15214" w:name="_ETM_Q19_714599"/>
      <w:bookmarkEnd w:id="15214"/>
      <w:r>
        <w:rPr>
          <w:rFonts w:hint="cs"/>
          <w:rtl/>
        </w:rPr>
        <w:t xml:space="preserve">שלא </w:t>
      </w:r>
      <w:bookmarkStart w:id="15215" w:name="_ETM_Q19_714809"/>
      <w:bookmarkEnd w:id="15215"/>
      <w:r>
        <w:rPr>
          <w:rFonts w:hint="cs"/>
          <w:rtl/>
        </w:rPr>
        <w:t xml:space="preserve">זקוקה </w:t>
      </w:r>
      <w:bookmarkStart w:id="15216" w:name="_ETM_Q19_715260"/>
      <w:bookmarkEnd w:id="15216"/>
      <w:r>
        <w:rPr>
          <w:rFonts w:hint="cs"/>
          <w:rtl/>
        </w:rPr>
        <w:t xml:space="preserve">לתיקונים. </w:t>
      </w:r>
      <w:bookmarkStart w:id="15217" w:name="_ETM_Q19_716870"/>
      <w:bookmarkEnd w:id="15217"/>
      <w:r>
        <w:rPr>
          <w:rFonts w:hint="cs"/>
          <w:rtl/>
        </w:rPr>
        <w:t xml:space="preserve">אפשר </w:t>
      </w:r>
      <w:bookmarkStart w:id="15218" w:name="_ETM_Q19_717200"/>
      <w:bookmarkEnd w:id="15218"/>
      <w:r>
        <w:rPr>
          <w:rFonts w:hint="cs"/>
          <w:rtl/>
        </w:rPr>
        <w:t xml:space="preserve">לחשוב </w:t>
      </w:r>
      <w:bookmarkStart w:id="15219" w:name="_ETM_Q19_717590"/>
      <w:bookmarkEnd w:id="15219"/>
      <w:r>
        <w:rPr>
          <w:rFonts w:hint="cs"/>
          <w:rtl/>
        </w:rPr>
        <w:t xml:space="preserve">על </w:t>
      </w:r>
      <w:bookmarkStart w:id="15220" w:name="_ETM_Q19_717709"/>
      <w:bookmarkEnd w:id="15220"/>
      <w:r>
        <w:rPr>
          <w:rFonts w:hint="cs"/>
          <w:rtl/>
        </w:rPr>
        <w:t xml:space="preserve">תיקונים. </w:t>
      </w:r>
      <w:bookmarkStart w:id="15221" w:name="_ETM_Q19_719239"/>
      <w:bookmarkEnd w:id="15221"/>
      <w:r>
        <w:rPr>
          <w:rFonts w:hint="cs"/>
          <w:rtl/>
        </w:rPr>
        <w:t xml:space="preserve">אבל </w:t>
      </w:r>
      <w:bookmarkStart w:id="15222" w:name="_ETM_Q19_719510"/>
      <w:bookmarkEnd w:id="15222"/>
      <w:r>
        <w:rPr>
          <w:rFonts w:hint="cs"/>
          <w:rtl/>
        </w:rPr>
        <w:t xml:space="preserve">תיקונים </w:t>
      </w:r>
      <w:bookmarkStart w:id="15223" w:name="_ETM_Q19_720019"/>
      <w:bookmarkEnd w:id="15223"/>
      <w:r>
        <w:rPr>
          <w:rFonts w:hint="cs"/>
          <w:rtl/>
        </w:rPr>
        <w:t xml:space="preserve">כאלה </w:t>
      </w:r>
      <w:bookmarkStart w:id="15224" w:name="_ETM_Q19_720439"/>
      <w:bookmarkEnd w:id="15224"/>
      <w:r>
        <w:rPr>
          <w:rFonts w:hint="cs"/>
          <w:rtl/>
        </w:rPr>
        <w:t xml:space="preserve">עושים </w:t>
      </w:r>
      <w:bookmarkStart w:id="15225" w:name="_ETM_Q19_721489"/>
      <w:bookmarkEnd w:id="15225"/>
      <w:r>
        <w:rPr>
          <w:rFonts w:hint="cs"/>
          <w:rtl/>
        </w:rPr>
        <w:t xml:space="preserve">בהסכמה </w:t>
      </w:r>
      <w:bookmarkStart w:id="15226" w:name="_ETM_Q19_722390"/>
      <w:bookmarkEnd w:id="15226"/>
      <w:r>
        <w:rPr>
          <w:rFonts w:hint="cs"/>
          <w:rtl/>
        </w:rPr>
        <w:t xml:space="preserve">רחבה. </w:t>
      </w:r>
      <w:bookmarkStart w:id="15227" w:name="_ETM_Q19_723980"/>
      <w:bookmarkEnd w:id="15227"/>
      <w:r>
        <w:rPr>
          <w:rFonts w:hint="cs"/>
          <w:rtl/>
        </w:rPr>
        <w:t xml:space="preserve">זה </w:t>
      </w:r>
      <w:bookmarkStart w:id="15228" w:name="_ETM_Q19_724280"/>
      <w:bookmarkEnd w:id="15228"/>
      <w:r>
        <w:rPr>
          <w:rFonts w:hint="cs"/>
          <w:rtl/>
        </w:rPr>
        <w:t xml:space="preserve">לא </w:t>
      </w:r>
      <w:bookmarkStart w:id="15229" w:name="_ETM_Q19_724400"/>
      <w:bookmarkEnd w:id="15229"/>
      <w:r>
        <w:rPr>
          <w:rFonts w:hint="cs"/>
          <w:rtl/>
        </w:rPr>
        <w:t xml:space="preserve">מה </w:t>
      </w:r>
      <w:bookmarkStart w:id="15230" w:name="_ETM_Q19_724520"/>
      <w:bookmarkEnd w:id="15230"/>
      <w:r>
        <w:rPr>
          <w:rFonts w:hint="cs"/>
          <w:rtl/>
        </w:rPr>
        <w:t xml:space="preserve">שהם </w:t>
      </w:r>
      <w:bookmarkStart w:id="15231" w:name="_ETM_Q19_724760"/>
      <w:bookmarkEnd w:id="15231"/>
      <w:r>
        <w:rPr>
          <w:rFonts w:hint="cs"/>
          <w:rtl/>
        </w:rPr>
        <w:t xml:space="preserve">רוצים </w:t>
      </w:r>
      <w:bookmarkStart w:id="15232" w:name="_ETM_Q19_725120"/>
      <w:bookmarkEnd w:id="15232"/>
      <w:r>
        <w:rPr>
          <w:rFonts w:hint="cs"/>
          <w:rtl/>
        </w:rPr>
        <w:t xml:space="preserve">לעשות </w:t>
      </w:r>
      <w:bookmarkStart w:id="15233" w:name="_ETM_Q19_725630"/>
      <w:bookmarkEnd w:id="15233"/>
      <w:r>
        <w:rPr>
          <w:rFonts w:hint="cs"/>
          <w:rtl/>
        </w:rPr>
        <w:t xml:space="preserve">פה. </w:t>
      </w:r>
      <w:bookmarkStart w:id="15234" w:name="_ETM_Q19_727139"/>
      <w:bookmarkEnd w:id="15234"/>
      <w:r>
        <w:rPr>
          <w:rFonts w:hint="cs"/>
          <w:rtl/>
        </w:rPr>
        <w:t xml:space="preserve">הם </w:t>
      </w:r>
      <w:bookmarkStart w:id="15235" w:name="_ETM_Q19_727379"/>
      <w:bookmarkEnd w:id="15235"/>
      <w:r>
        <w:rPr>
          <w:rFonts w:hint="cs"/>
          <w:rtl/>
        </w:rPr>
        <w:t xml:space="preserve">לא </w:t>
      </w:r>
      <w:bookmarkStart w:id="15236" w:name="_ETM_Q19_727530"/>
      <w:bookmarkEnd w:id="15236"/>
      <w:r>
        <w:rPr>
          <w:rFonts w:hint="cs"/>
          <w:rtl/>
        </w:rPr>
        <w:t xml:space="preserve">רוצים </w:t>
      </w:r>
      <w:bookmarkStart w:id="15237" w:name="_ETM_Q19_728010"/>
      <w:bookmarkEnd w:id="15237"/>
      <w:r>
        <w:rPr>
          <w:rFonts w:hint="cs"/>
          <w:rtl/>
        </w:rPr>
        <w:t xml:space="preserve">מערכת </w:t>
      </w:r>
      <w:bookmarkStart w:id="15238" w:name="_ETM_Q19_728549"/>
      <w:bookmarkEnd w:id="15238"/>
      <w:r>
        <w:rPr>
          <w:rFonts w:hint="cs"/>
          <w:rtl/>
        </w:rPr>
        <w:t xml:space="preserve">משפט </w:t>
      </w:r>
      <w:bookmarkStart w:id="15239" w:name="_ETM_Q19_730090"/>
      <w:bookmarkEnd w:id="15239"/>
      <w:r>
        <w:rPr>
          <w:rFonts w:hint="cs"/>
          <w:rtl/>
        </w:rPr>
        <w:t xml:space="preserve">מקצועית, טובה. </w:t>
      </w:r>
      <w:bookmarkStart w:id="15240" w:name="_ETM_Q19_735040"/>
      <w:bookmarkEnd w:id="15240"/>
      <w:r>
        <w:rPr>
          <w:rFonts w:hint="cs"/>
          <w:rtl/>
        </w:rPr>
        <w:t xml:space="preserve">הם </w:t>
      </w:r>
      <w:bookmarkStart w:id="15241" w:name="_ETM_Q19_735250"/>
      <w:bookmarkEnd w:id="15241"/>
      <w:r>
        <w:rPr>
          <w:rFonts w:hint="cs"/>
          <w:rtl/>
        </w:rPr>
        <w:t xml:space="preserve">רוצים </w:t>
      </w:r>
      <w:bookmarkStart w:id="15242" w:name="_ETM_Q19_735730"/>
      <w:bookmarkEnd w:id="15242"/>
      <w:r>
        <w:rPr>
          <w:rFonts w:hint="cs"/>
          <w:rtl/>
        </w:rPr>
        <w:t xml:space="preserve">מערכת </w:t>
      </w:r>
      <w:bookmarkStart w:id="15243" w:name="_ETM_Q19_736240"/>
      <w:bookmarkEnd w:id="15243"/>
      <w:r>
        <w:rPr>
          <w:rFonts w:hint="cs"/>
          <w:rtl/>
        </w:rPr>
        <w:t xml:space="preserve">משפט </w:t>
      </w:r>
      <w:bookmarkStart w:id="15244" w:name="_ETM_Q19_736720"/>
      <w:bookmarkEnd w:id="15244"/>
      <w:r>
        <w:rPr>
          <w:rFonts w:hint="cs"/>
          <w:rtl/>
        </w:rPr>
        <w:t>מטעם.</w:t>
      </w:r>
    </w:p>
    <w:p w:rsidR="000C5C1F" w:rsidRDefault="000C5C1F" w:rsidP="000C5C1F">
      <w:pPr>
        <w:rPr>
          <w:rtl/>
        </w:rPr>
      </w:pPr>
    </w:p>
    <w:p w:rsidR="000C5C1F" w:rsidRDefault="000C5C1F" w:rsidP="000C5C1F">
      <w:pPr>
        <w:pStyle w:val="af8"/>
        <w:keepNext/>
        <w:rPr>
          <w:rtl/>
        </w:rPr>
      </w:pPr>
      <w:bookmarkStart w:id="15245" w:name="ET_interruption_5766_36"/>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15245"/>
    </w:p>
    <w:p w:rsidR="000C5C1F" w:rsidRDefault="000C5C1F" w:rsidP="00337201">
      <w:pPr>
        <w:rPr>
          <w:rtl/>
        </w:rPr>
      </w:pPr>
    </w:p>
    <w:p w:rsidR="000C5C1F" w:rsidRDefault="000C5C1F" w:rsidP="000C5C1F">
      <w:pPr>
        <w:rPr>
          <w:rtl/>
        </w:rPr>
      </w:pPr>
      <w:bookmarkStart w:id="15246" w:name="_ETM_Q19_735000"/>
      <w:bookmarkEnd w:id="15246"/>
      <w:r>
        <w:rPr>
          <w:rFonts w:hint="cs"/>
          <w:rtl/>
        </w:rPr>
        <w:t>כנועה.</w:t>
      </w:r>
    </w:p>
    <w:p w:rsidR="000C5C1F" w:rsidRDefault="000C5C1F" w:rsidP="000C5C1F">
      <w:pPr>
        <w:rPr>
          <w:rtl/>
        </w:rPr>
      </w:pPr>
    </w:p>
    <w:p w:rsidR="000C5C1F" w:rsidRDefault="000C5C1F" w:rsidP="000C5C1F">
      <w:pPr>
        <w:pStyle w:val="-"/>
        <w:keepNext/>
        <w:rPr>
          <w:rtl/>
        </w:rPr>
      </w:pPr>
      <w:bookmarkStart w:id="15247" w:name="_ETM_Q19_733000"/>
      <w:bookmarkStart w:id="15248" w:name="ET_speakercontinue_5068_38"/>
      <w:bookmarkEnd w:id="15247"/>
      <w:r>
        <w:rPr>
          <w:rStyle w:val="TagStyle"/>
          <w:rFonts w:hint="cs"/>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bookmarkEnd w:id="15248"/>
    </w:p>
    <w:p w:rsidR="000C5C1F" w:rsidRDefault="000C5C1F" w:rsidP="00337201">
      <w:pPr>
        <w:rPr>
          <w:rtl/>
          <w:lang w:eastAsia="he-IL"/>
        </w:rPr>
      </w:pPr>
    </w:p>
    <w:p w:rsidR="000C5C1F" w:rsidRDefault="000C5C1F" w:rsidP="000C5C1F">
      <w:pPr>
        <w:rPr>
          <w:rtl/>
        </w:rPr>
      </w:pPr>
      <w:bookmarkStart w:id="15249" w:name="_ETM_Q19_732000"/>
      <w:bookmarkStart w:id="15250" w:name="_ETM_Q19_734000"/>
      <w:bookmarkStart w:id="15251" w:name="_ETM_Q19_738640"/>
      <w:bookmarkEnd w:id="15249"/>
      <w:bookmarkEnd w:id="15250"/>
      <w:bookmarkEnd w:id="15251"/>
      <w:r>
        <w:rPr>
          <w:rFonts w:hint="cs"/>
          <w:rtl/>
        </w:rPr>
        <w:t xml:space="preserve">הם </w:t>
      </w:r>
      <w:bookmarkStart w:id="15252" w:name="_ETM_Q19_738850"/>
      <w:bookmarkEnd w:id="15252"/>
      <w:r>
        <w:rPr>
          <w:rFonts w:hint="cs"/>
          <w:rtl/>
        </w:rPr>
        <w:t xml:space="preserve">רוצים </w:t>
      </w:r>
      <w:bookmarkStart w:id="15253" w:name="_ETM_Q19_739690"/>
      <w:bookmarkEnd w:id="15253"/>
      <w:r>
        <w:rPr>
          <w:rFonts w:hint="cs"/>
          <w:rtl/>
        </w:rPr>
        <w:t xml:space="preserve">בלי </w:t>
      </w:r>
      <w:bookmarkStart w:id="15254" w:name="_ETM_Q19_740050"/>
      <w:bookmarkEnd w:id="15254"/>
      <w:r>
        <w:rPr>
          <w:rFonts w:hint="cs"/>
          <w:rtl/>
        </w:rPr>
        <w:t xml:space="preserve">שומרי </w:t>
      </w:r>
      <w:bookmarkStart w:id="15255" w:name="_ETM_Q19_740500"/>
      <w:bookmarkEnd w:id="15255"/>
      <w:r>
        <w:rPr>
          <w:rFonts w:hint="cs"/>
          <w:rtl/>
        </w:rPr>
        <w:t xml:space="preserve">סף. </w:t>
      </w:r>
      <w:bookmarkStart w:id="15256" w:name="_ETM_Q19_741720"/>
      <w:bookmarkEnd w:id="15256"/>
      <w:r>
        <w:rPr>
          <w:rFonts w:hint="cs"/>
          <w:rtl/>
        </w:rPr>
        <w:t xml:space="preserve">כי </w:t>
      </w:r>
      <w:bookmarkStart w:id="15257" w:name="_ETM_Q19_741870"/>
      <w:bookmarkEnd w:id="15257"/>
      <w:r>
        <w:rPr>
          <w:rFonts w:hint="cs"/>
          <w:rtl/>
        </w:rPr>
        <w:t xml:space="preserve">מה </w:t>
      </w:r>
      <w:bookmarkStart w:id="15258" w:name="_ETM_Q19_742050"/>
      <w:bookmarkEnd w:id="15258"/>
      <w:r>
        <w:rPr>
          <w:rFonts w:hint="cs"/>
          <w:rtl/>
        </w:rPr>
        <w:t xml:space="preserve">שווים </w:t>
      </w:r>
      <w:bookmarkStart w:id="15259" w:name="_ETM_Q19_742409"/>
      <w:bookmarkEnd w:id="15259"/>
      <w:r>
        <w:rPr>
          <w:rFonts w:hint="cs"/>
          <w:rtl/>
        </w:rPr>
        <w:t xml:space="preserve">שומרי </w:t>
      </w:r>
      <w:bookmarkStart w:id="15260" w:name="_ETM_Q19_742740"/>
      <w:bookmarkEnd w:id="15260"/>
      <w:r>
        <w:rPr>
          <w:rFonts w:hint="cs"/>
          <w:rtl/>
        </w:rPr>
        <w:t xml:space="preserve">הסף, </w:t>
      </w:r>
      <w:bookmarkStart w:id="15261" w:name="_ETM_Q19_744100"/>
      <w:bookmarkEnd w:id="15261"/>
      <w:r>
        <w:rPr>
          <w:rFonts w:hint="cs"/>
          <w:rtl/>
        </w:rPr>
        <w:t xml:space="preserve">אם </w:t>
      </w:r>
      <w:bookmarkStart w:id="15262" w:name="_ETM_Q19_744280"/>
      <w:bookmarkEnd w:id="15262"/>
      <w:r>
        <w:rPr>
          <w:rFonts w:hint="cs"/>
          <w:rtl/>
        </w:rPr>
        <w:t xml:space="preserve">לא </w:t>
      </w:r>
      <w:bookmarkStart w:id="15263" w:name="_ETM_Q19_744429"/>
      <w:bookmarkEnd w:id="15263"/>
      <w:r>
        <w:rPr>
          <w:rFonts w:hint="cs"/>
          <w:rtl/>
        </w:rPr>
        <w:t xml:space="preserve">נשלוט </w:t>
      </w:r>
      <w:bookmarkStart w:id="15264" w:name="_ETM_Q19_744910"/>
      <w:bookmarkEnd w:id="15264"/>
      <w:r>
        <w:rPr>
          <w:rFonts w:hint="cs"/>
          <w:rtl/>
        </w:rPr>
        <w:t>בהם? ואיך אמר בן גביר</w:t>
      </w:r>
      <w:bookmarkStart w:id="15265" w:name="_ETM_Q19_746570"/>
      <w:bookmarkEnd w:id="15265"/>
      <w:r>
        <w:rPr>
          <w:rFonts w:hint="cs"/>
          <w:rtl/>
        </w:rPr>
        <w:t xml:space="preserve">, </w:t>
      </w:r>
      <w:bookmarkStart w:id="15266" w:name="_ETM_Q19_748839"/>
      <w:bookmarkEnd w:id="15266"/>
      <w:r>
        <w:rPr>
          <w:rFonts w:hint="cs"/>
          <w:rtl/>
        </w:rPr>
        <w:t xml:space="preserve">בר </w:t>
      </w:r>
      <w:bookmarkStart w:id="15267" w:name="_ETM_Q19_749229"/>
      <w:bookmarkEnd w:id="15267"/>
      <w:r>
        <w:rPr>
          <w:rFonts w:hint="cs"/>
          <w:rtl/>
        </w:rPr>
        <w:t xml:space="preserve">הסלטים </w:t>
      </w:r>
      <w:bookmarkStart w:id="15268" w:name="_ETM_Q19_749949"/>
      <w:bookmarkEnd w:id="15268"/>
      <w:r>
        <w:rPr>
          <w:rFonts w:hint="cs"/>
          <w:rtl/>
        </w:rPr>
        <w:t xml:space="preserve">פתוח. </w:t>
      </w:r>
      <w:bookmarkStart w:id="15269" w:name="_ETM_Q19_752020"/>
      <w:bookmarkEnd w:id="15269"/>
      <w:r>
        <w:rPr>
          <w:rFonts w:hint="cs"/>
          <w:rtl/>
        </w:rPr>
        <w:t xml:space="preserve">לא </w:t>
      </w:r>
      <w:bookmarkStart w:id="15270" w:name="_ETM_Q19_752379"/>
      <w:bookmarkEnd w:id="15270"/>
      <w:r>
        <w:rPr>
          <w:rFonts w:hint="cs"/>
          <w:rtl/>
        </w:rPr>
        <w:t xml:space="preserve">רק </w:t>
      </w:r>
      <w:bookmarkStart w:id="15271" w:name="_ETM_Q19_752710"/>
      <w:bookmarkEnd w:id="15271"/>
      <w:r>
        <w:rPr>
          <w:rFonts w:hint="cs"/>
          <w:rtl/>
        </w:rPr>
        <w:t xml:space="preserve">שהם </w:t>
      </w:r>
      <w:bookmarkStart w:id="15272" w:name="_ETM_Q19_753039"/>
      <w:bookmarkEnd w:id="15272"/>
      <w:r>
        <w:rPr>
          <w:rFonts w:hint="cs"/>
          <w:rtl/>
        </w:rPr>
        <w:t xml:space="preserve">עושים </w:t>
      </w:r>
      <w:bookmarkStart w:id="15273" w:name="_ETM_Q19_753339"/>
      <w:bookmarkEnd w:id="15273"/>
      <w:r>
        <w:rPr>
          <w:rFonts w:hint="cs"/>
          <w:rtl/>
        </w:rPr>
        <w:t xml:space="preserve">את </w:t>
      </w:r>
      <w:bookmarkStart w:id="15274" w:name="_ETM_Q19_753490"/>
      <w:bookmarkEnd w:id="15274"/>
      <w:r>
        <w:rPr>
          <w:rFonts w:hint="cs"/>
          <w:rtl/>
        </w:rPr>
        <w:t xml:space="preserve">כל </w:t>
      </w:r>
      <w:bookmarkStart w:id="15275" w:name="_ETM_Q19_753729"/>
      <w:bookmarkEnd w:id="15275"/>
      <w:r>
        <w:rPr>
          <w:rFonts w:hint="cs"/>
          <w:rtl/>
        </w:rPr>
        <w:t xml:space="preserve">העוול </w:t>
      </w:r>
      <w:bookmarkStart w:id="15276" w:name="_ETM_Q19_754300"/>
      <w:bookmarkEnd w:id="15276"/>
      <w:r>
        <w:rPr>
          <w:rFonts w:hint="cs"/>
          <w:rtl/>
        </w:rPr>
        <w:t xml:space="preserve">הזה, </w:t>
      </w:r>
      <w:bookmarkStart w:id="15277" w:name="_ETM_Q19_755309"/>
      <w:bookmarkEnd w:id="15277"/>
      <w:r>
        <w:rPr>
          <w:rFonts w:hint="cs"/>
          <w:rtl/>
        </w:rPr>
        <w:t xml:space="preserve">לא </w:t>
      </w:r>
      <w:bookmarkStart w:id="15278" w:name="_ETM_Q19_755639"/>
      <w:bookmarkEnd w:id="15278"/>
      <w:r>
        <w:rPr>
          <w:rFonts w:hint="cs"/>
          <w:rtl/>
        </w:rPr>
        <w:t xml:space="preserve">רק </w:t>
      </w:r>
      <w:bookmarkStart w:id="15279" w:name="_ETM_Q19_755880"/>
      <w:bookmarkEnd w:id="15279"/>
      <w:r>
        <w:rPr>
          <w:rFonts w:hint="cs"/>
          <w:rtl/>
        </w:rPr>
        <w:t xml:space="preserve">שהם </w:t>
      </w:r>
      <w:bookmarkStart w:id="15280" w:name="_ETM_Q19_756150"/>
      <w:bookmarkEnd w:id="15280"/>
      <w:r>
        <w:rPr>
          <w:rFonts w:hint="cs"/>
          <w:rtl/>
        </w:rPr>
        <w:t xml:space="preserve">פוגעים </w:t>
      </w:r>
      <w:bookmarkStart w:id="15281" w:name="_ETM_Q19_756510"/>
      <w:bookmarkEnd w:id="15281"/>
      <w:r>
        <w:rPr>
          <w:rFonts w:hint="cs"/>
          <w:rtl/>
        </w:rPr>
        <w:t>בדמוקרטיה</w:t>
      </w:r>
      <w:bookmarkStart w:id="15282" w:name="_ETM_Q19_758190"/>
      <w:bookmarkEnd w:id="15282"/>
      <w:r>
        <w:rPr>
          <w:rFonts w:hint="cs"/>
          <w:rtl/>
        </w:rPr>
        <w:t xml:space="preserve"> – הם </w:t>
      </w:r>
      <w:bookmarkStart w:id="15283" w:name="_ETM_Q19_758370"/>
      <w:bookmarkEnd w:id="15283"/>
      <w:r>
        <w:rPr>
          <w:rFonts w:hint="cs"/>
          <w:rtl/>
        </w:rPr>
        <w:t xml:space="preserve">צריכים </w:t>
      </w:r>
      <w:bookmarkStart w:id="15284" w:name="_ETM_Q19_758700"/>
      <w:bookmarkEnd w:id="15284"/>
      <w:r>
        <w:rPr>
          <w:rFonts w:hint="cs"/>
          <w:rtl/>
        </w:rPr>
        <w:t xml:space="preserve">לעשות </w:t>
      </w:r>
      <w:bookmarkStart w:id="15285" w:name="_ETM_Q19_759120"/>
      <w:bookmarkEnd w:id="15285"/>
      <w:r>
        <w:rPr>
          <w:rFonts w:hint="cs"/>
          <w:rtl/>
        </w:rPr>
        <w:t xml:space="preserve">את </w:t>
      </w:r>
      <w:bookmarkStart w:id="15286" w:name="_ETM_Q19_759210"/>
      <w:bookmarkEnd w:id="15286"/>
      <w:r>
        <w:rPr>
          <w:rFonts w:hint="cs"/>
          <w:rtl/>
        </w:rPr>
        <w:t xml:space="preserve">זה </w:t>
      </w:r>
      <w:bookmarkStart w:id="15287" w:name="_ETM_Q19_759330"/>
      <w:bookmarkEnd w:id="15287"/>
      <w:r>
        <w:rPr>
          <w:rFonts w:hint="cs"/>
          <w:rtl/>
        </w:rPr>
        <w:t xml:space="preserve">עם </w:t>
      </w:r>
      <w:bookmarkStart w:id="15288" w:name="_ETM_Q19_759510"/>
      <w:bookmarkEnd w:id="15288"/>
      <w:r>
        <w:rPr>
          <w:rFonts w:hint="cs"/>
          <w:rtl/>
        </w:rPr>
        <w:t xml:space="preserve">אצבע </w:t>
      </w:r>
      <w:bookmarkStart w:id="15289" w:name="_ETM_Q19_759840"/>
      <w:bookmarkEnd w:id="15289"/>
      <w:r>
        <w:rPr>
          <w:rFonts w:hint="cs"/>
          <w:rtl/>
        </w:rPr>
        <w:t xml:space="preserve">בעין. </w:t>
      </w:r>
      <w:bookmarkStart w:id="15290" w:name="_ETM_Q19_761419"/>
      <w:bookmarkEnd w:id="15290"/>
      <w:r>
        <w:rPr>
          <w:rFonts w:hint="cs"/>
          <w:rtl/>
        </w:rPr>
        <w:t xml:space="preserve">כי מה </w:t>
      </w:r>
      <w:bookmarkStart w:id="15291" w:name="_ETM_Q19_761689"/>
      <w:bookmarkEnd w:id="15291"/>
      <w:r>
        <w:rPr>
          <w:rFonts w:hint="cs"/>
          <w:rtl/>
        </w:rPr>
        <w:t xml:space="preserve">זה </w:t>
      </w:r>
      <w:bookmarkStart w:id="15292" w:name="_ETM_Q19_761870"/>
      <w:bookmarkEnd w:id="15292"/>
      <w:r>
        <w:rPr>
          <w:rFonts w:hint="cs"/>
          <w:rtl/>
        </w:rPr>
        <w:t xml:space="preserve">שווה </w:t>
      </w:r>
      <w:bookmarkStart w:id="15293" w:name="_ETM_Q19_762199"/>
      <w:bookmarkEnd w:id="15293"/>
      <w:r>
        <w:rPr>
          <w:rFonts w:hint="cs"/>
          <w:rtl/>
        </w:rPr>
        <w:t xml:space="preserve">אם </w:t>
      </w:r>
      <w:bookmarkStart w:id="15294" w:name="_ETM_Q19_762319"/>
      <w:bookmarkEnd w:id="15294"/>
      <w:r>
        <w:rPr>
          <w:rFonts w:hint="cs"/>
          <w:rtl/>
        </w:rPr>
        <w:t xml:space="preserve">הם </w:t>
      </w:r>
      <w:bookmarkStart w:id="15295" w:name="_ETM_Q19_762469"/>
      <w:bookmarkEnd w:id="15295"/>
      <w:r>
        <w:rPr>
          <w:rFonts w:hint="cs"/>
          <w:rtl/>
        </w:rPr>
        <w:t xml:space="preserve">לא </w:t>
      </w:r>
      <w:bookmarkStart w:id="15296" w:name="_ETM_Q19_762590"/>
      <w:bookmarkEnd w:id="15296"/>
      <w:r>
        <w:rPr>
          <w:rFonts w:hint="cs"/>
          <w:rtl/>
        </w:rPr>
        <w:t xml:space="preserve">ייהנו </w:t>
      </w:r>
      <w:bookmarkStart w:id="15297" w:name="_ETM_Q19_758000"/>
      <w:bookmarkEnd w:id="15297"/>
      <w:r>
        <w:rPr>
          <w:rFonts w:hint="cs"/>
          <w:rtl/>
        </w:rPr>
        <w:t xml:space="preserve">על </w:t>
      </w:r>
      <w:bookmarkStart w:id="15298" w:name="_ETM_Q19_763069"/>
      <w:bookmarkStart w:id="15299" w:name="_ETM_Q19_763219"/>
      <w:bookmarkEnd w:id="15298"/>
      <w:bookmarkEnd w:id="15299"/>
      <w:r>
        <w:rPr>
          <w:rFonts w:hint="cs"/>
          <w:rtl/>
        </w:rPr>
        <w:t>הדרך?</w:t>
      </w:r>
    </w:p>
    <w:p w:rsidR="000C5C1F" w:rsidRDefault="000C5C1F" w:rsidP="000C5C1F">
      <w:pPr>
        <w:rPr>
          <w:rtl/>
        </w:rPr>
      </w:pPr>
    </w:p>
    <w:p w:rsidR="000C5C1F" w:rsidRDefault="000C5C1F" w:rsidP="000C5C1F">
      <w:pPr>
        <w:rPr>
          <w:rtl/>
        </w:rPr>
      </w:pPr>
      <w:bookmarkStart w:id="15300" w:name="TOR_Q20"/>
      <w:bookmarkEnd w:id="15300"/>
      <w:r>
        <w:rPr>
          <w:rFonts w:hint="cs"/>
          <w:rtl/>
        </w:rPr>
        <w:t xml:space="preserve">עכשיו, אני רוצה בעת הזאת להצדיע למאות אלפי הפטריוטים הישראלים שעזבו הכול בצד – את העבודה שלהם, את שעות הפנאי שלהם, את הזמן עם המשפחה – ויצאו להפגנות ולצעדות המרגשות. התמונה של מאות אלפי אנשים שצועדים בשמש הקופחת היא אות של כבוד לחברה הישראלית. הפולנים </w:t>
      </w:r>
      <w:bookmarkStart w:id="15301" w:name="_ETM_Q20_206000"/>
      <w:bookmarkEnd w:id="15301"/>
      <w:r>
        <w:rPr>
          <w:rFonts w:hint="cs"/>
          <w:rtl/>
        </w:rPr>
        <w:t>וההונגרים מסתכלים עלינו ואומרים: כמה חבל שאנחנו לא הצלחנו לעשו</w:t>
      </w:r>
      <w:bookmarkStart w:id="15302" w:name="_ETM_Q20_213000"/>
      <w:bookmarkEnd w:id="15302"/>
      <w:r>
        <w:rPr>
          <w:rFonts w:hint="cs"/>
          <w:rtl/>
        </w:rPr>
        <w:t>ת את זה.</w:t>
      </w:r>
    </w:p>
    <w:p w:rsidR="000C5C1F" w:rsidRDefault="000C5C1F" w:rsidP="000C5C1F">
      <w:pPr>
        <w:rPr>
          <w:rtl/>
        </w:rPr>
      </w:pPr>
      <w:bookmarkStart w:id="15303" w:name="_ETM_Q20_215000"/>
      <w:bookmarkEnd w:id="15303"/>
    </w:p>
    <w:p w:rsidR="000C5C1F" w:rsidRDefault="000C5C1F" w:rsidP="000C5C1F">
      <w:pPr>
        <w:rPr>
          <w:rtl/>
        </w:rPr>
      </w:pPr>
      <w:bookmarkStart w:id="15304" w:name="_ETM_Q20_216000"/>
      <w:bookmarkEnd w:id="15304"/>
      <w:r>
        <w:rPr>
          <w:rFonts w:hint="cs"/>
          <w:rtl/>
        </w:rPr>
        <w:t xml:space="preserve">נתניהו, עוד לא מאוחר. תדע </w:t>
      </w:r>
      <w:bookmarkStart w:id="15305" w:name="_ETM_Q20_219000"/>
      <w:bookmarkEnd w:id="15305"/>
      <w:r>
        <w:rPr>
          <w:rFonts w:hint="cs"/>
          <w:rtl/>
        </w:rPr>
        <w:t xml:space="preserve">לך שבהצעה הזאת יש לך אולי ממשלה, אבל אין לך </w:t>
      </w:r>
      <w:bookmarkStart w:id="15306" w:name="_ETM_Q20_227000"/>
      <w:bookmarkEnd w:id="15306"/>
      <w:r>
        <w:rPr>
          <w:rFonts w:hint="cs"/>
          <w:rtl/>
        </w:rPr>
        <w:t xml:space="preserve">מדינה. אתה פוגע בכלכלה, אתה פוגע בהייטק, אתה פוגע בביטחון. </w:t>
      </w:r>
      <w:bookmarkStart w:id="15307" w:name="_ETM_Q20_236000"/>
      <w:bookmarkEnd w:id="15307"/>
      <w:r>
        <w:rPr>
          <w:rFonts w:hint="cs"/>
          <w:rtl/>
        </w:rPr>
        <w:t xml:space="preserve">לא נתנו לנו אפילו לשמוע את הפצ"רית, לא נתנו לנו </w:t>
      </w:r>
      <w:bookmarkStart w:id="15308" w:name="_ETM_Q20_238000"/>
      <w:bookmarkEnd w:id="15308"/>
      <w:r>
        <w:rPr>
          <w:rFonts w:hint="cs"/>
          <w:rtl/>
        </w:rPr>
        <w:t xml:space="preserve">לשמוע את היועץ המשפטי של משרד הביטחון. אתה פוגע בחיילים – </w:t>
      </w:r>
      <w:bookmarkStart w:id="15309" w:name="_ETM_Q20_248000"/>
      <w:bookmarkEnd w:id="15309"/>
      <w:r>
        <w:rPr>
          <w:rFonts w:hint="cs"/>
          <w:rtl/>
        </w:rPr>
        <w:t xml:space="preserve">אותה ממשלה שהיא כאילו בעד החיילים, לא אכפת לה? </w:t>
      </w:r>
      <w:bookmarkStart w:id="15310" w:name="_ETM_Q20_254000"/>
      <w:bookmarkEnd w:id="15310"/>
      <w:r>
        <w:rPr>
          <w:rFonts w:hint="cs"/>
          <w:rtl/>
        </w:rPr>
        <w:t xml:space="preserve">הצבא נהרס. </w:t>
      </w:r>
      <w:bookmarkStart w:id="15311" w:name="_ETM_Q20_253000"/>
      <w:bookmarkEnd w:id="15311"/>
      <w:r>
        <w:rPr>
          <w:rFonts w:hint="cs"/>
          <w:rtl/>
        </w:rPr>
        <w:t xml:space="preserve">אתה פוגע ביחסי החוץ. אין אף מנהיג של מדינה </w:t>
      </w:r>
      <w:bookmarkStart w:id="15312" w:name="_ETM_Q20_260000"/>
      <w:bookmarkEnd w:id="15312"/>
      <w:r>
        <w:rPr>
          <w:rFonts w:hint="cs"/>
          <w:rtl/>
        </w:rPr>
        <w:t xml:space="preserve">דמוקרטית שפותח את הדלת בפני נתניהו. אפילו ביידן, </w:t>
      </w:r>
      <w:bookmarkStart w:id="15313" w:name="_ETM_Q20_268000"/>
      <w:bookmarkEnd w:id="15313"/>
      <w:r>
        <w:rPr>
          <w:rFonts w:hint="cs"/>
          <w:rtl/>
        </w:rPr>
        <w:t xml:space="preserve">שהם חברים, לא רוצה לפגוש אותו. </w:t>
      </w:r>
    </w:p>
    <w:p w:rsidR="000C5C1F" w:rsidRDefault="000C5C1F" w:rsidP="000C5C1F">
      <w:pPr>
        <w:rPr>
          <w:rtl/>
        </w:rPr>
      </w:pPr>
    </w:p>
    <w:p w:rsidR="000C5C1F" w:rsidRDefault="000C5C1F" w:rsidP="000C5C1F">
      <w:pPr>
        <w:rPr>
          <w:rtl/>
        </w:rPr>
      </w:pPr>
      <w:bookmarkStart w:id="15314" w:name="_ETM_Q20_267000"/>
      <w:bookmarkEnd w:id="15314"/>
      <w:r>
        <w:rPr>
          <w:rFonts w:hint="cs"/>
          <w:rtl/>
        </w:rPr>
        <w:t>אבל, נתניהו</w:t>
      </w:r>
      <w:bookmarkStart w:id="15315" w:name="_ETM_Q20_269000"/>
      <w:bookmarkEnd w:id="15315"/>
      <w:r>
        <w:rPr>
          <w:rFonts w:hint="cs"/>
          <w:rtl/>
        </w:rPr>
        <w:t xml:space="preserve">, עוד לא מאוחר. אתה יכול לעצור את זה. אתה צריך </w:t>
      </w:r>
      <w:bookmarkStart w:id="15316" w:name="_ETM_Q20_278000"/>
      <w:bookmarkEnd w:id="15316"/>
      <w:r>
        <w:rPr>
          <w:rFonts w:hint="cs"/>
          <w:rtl/>
        </w:rPr>
        <w:t xml:space="preserve">להיות ראש הממשלה של כולם. מה קרה לך, נתניהו? איפה </w:t>
      </w:r>
      <w:bookmarkStart w:id="15317" w:name="_ETM_Q20_286000"/>
      <w:bookmarkEnd w:id="15317"/>
      <w:r>
        <w:rPr>
          <w:rFonts w:hint="cs"/>
          <w:rtl/>
        </w:rPr>
        <w:t xml:space="preserve">נתניהו שעצר מהלכים פוגעניים? תעצור את זה. תגיע להידברות. פעם </w:t>
      </w:r>
      <w:bookmarkStart w:id="15318" w:name="_ETM_Q20_298000"/>
      <w:bookmarkEnd w:id="15318"/>
      <w:r>
        <w:rPr>
          <w:rFonts w:hint="cs"/>
          <w:rtl/>
        </w:rPr>
        <w:t xml:space="preserve">אחת, פעם אחת בחיים שלך תנסה בדרך הפחות-עקומה; פעם </w:t>
      </w:r>
      <w:bookmarkStart w:id="15319" w:name="_ETM_Q20_303000"/>
      <w:bookmarkEnd w:id="15319"/>
      <w:r>
        <w:rPr>
          <w:rFonts w:hint="cs"/>
          <w:rtl/>
        </w:rPr>
        <w:t xml:space="preserve">אחת תראה שלא רק אתה ועצמך והממשלה שלך הם </w:t>
      </w:r>
      <w:bookmarkStart w:id="15320" w:name="_ETM_Q20_312000"/>
      <w:bookmarkEnd w:id="15320"/>
      <w:r>
        <w:rPr>
          <w:rFonts w:hint="cs"/>
          <w:rtl/>
        </w:rPr>
        <w:t>מה שאכפת לך ממנו. תראה שאתה לא רוצה להרוס, להרוס</w:t>
      </w:r>
      <w:bookmarkStart w:id="15321" w:name="_ETM_Q20_318000"/>
      <w:bookmarkEnd w:id="15321"/>
      <w:r>
        <w:rPr>
          <w:rFonts w:hint="cs"/>
          <w:rtl/>
        </w:rPr>
        <w:t xml:space="preserve"> את כל מה שטוב פה.</w:t>
      </w:r>
      <w:bookmarkStart w:id="15322" w:name="_ETM_Q20_321000"/>
      <w:bookmarkEnd w:id="15322"/>
      <w:r>
        <w:rPr>
          <w:rFonts w:hint="cs"/>
          <w:rtl/>
        </w:rPr>
        <w:t xml:space="preserve"> אני קוראת לך – </w:t>
      </w:r>
      <w:bookmarkStart w:id="15323" w:name="_ETM_Q20_320000"/>
      <w:bookmarkEnd w:id="15323"/>
      <w:r>
        <w:rPr>
          <w:rFonts w:hint="cs"/>
          <w:rtl/>
        </w:rPr>
        <w:t xml:space="preserve">אני לא קוראת ליריב לוין, לא לרוטמן, לא לבן </w:t>
      </w:r>
      <w:bookmarkStart w:id="15324" w:name="_ETM_Q20_322000"/>
      <w:bookmarkEnd w:id="15324"/>
      <w:r>
        <w:rPr>
          <w:rFonts w:hint="cs"/>
          <w:rtl/>
        </w:rPr>
        <w:t>גביר ולא לסמוטריץ'. אני קוראת לך, כי אתה ראש הממשלה</w:t>
      </w:r>
      <w:bookmarkStart w:id="15325" w:name="_ETM_Q20_330000"/>
      <w:bookmarkEnd w:id="15325"/>
      <w:r>
        <w:rPr>
          <w:rFonts w:hint="cs"/>
          <w:rtl/>
        </w:rPr>
        <w:t xml:space="preserve">: תעצור את זה עכשיו לפני שיהיה מאוחר. </w:t>
      </w:r>
      <w:bookmarkStart w:id="15326" w:name="_ETM_Q20_337000"/>
      <w:bookmarkEnd w:id="15326"/>
      <w:r>
        <w:rPr>
          <w:rFonts w:hint="cs"/>
          <w:rtl/>
        </w:rPr>
        <w:t>תודה.</w:t>
      </w:r>
    </w:p>
    <w:p w:rsidR="000C5C1F" w:rsidRDefault="000C5C1F" w:rsidP="000C5C1F">
      <w:pPr>
        <w:rPr>
          <w:rtl/>
        </w:rPr>
      </w:pPr>
      <w:bookmarkStart w:id="15327" w:name="_ETM_Q20_341000"/>
      <w:bookmarkEnd w:id="15327"/>
    </w:p>
    <w:p w:rsidR="000C5C1F" w:rsidRDefault="000C5C1F" w:rsidP="000C5C1F">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0C5C1F" w:rsidRDefault="000C5C1F" w:rsidP="00337201">
      <w:pPr>
        <w:rPr>
          <w:rtl/>
        </w:rPr>
      </w:pPr>
    </w:p>
    <w:p w:rsidR="000C5C1F" w:rsidRDefault="000C5C1F" w:rsidP="000C5C1F">
      <w:pPr>
        <w:rPr>
          <w:rtl/>
        </w:rPr>
      </w:pPr>
      <w:bookmarkStart w:id="15328" w:name="_ETM_Q20_342000"/>
      <w:bookmarkEnd w:id="15328"/>
      <w:r>
        <w:rPr>
          <w:rFonts w:hint="cs"/>
          <w:rtl/>
        </w:rPr>
        <w:t>חבר הכנסת רם בן ברק.</w:t>
      </w:r>
    </w:p>
    <w:p w:rsidR="000C5C1F" w:rsidRDefault="000C5C1F" w:rsidP="000C5C1F">
      <w:pPr>
        <w:rPr>
          <w:rtl/>
        </w:rPr>
      </w:pPr>
      <w:bookmarkStart w:id="15329" w:name="_ETM_Q20_353000"/>
      <w:bookmarkEnd w:id="15329"/>
    </w:p>
    <w:p w:rsidR="000C5C1F" w:rsidRDefault="000C5C1F" w:rsidP="000C5C1F">
      <w:pPr>
        <w:pStyle w:val="a5"/>
        <w:keepNext/>
        <w:rPr>
          <w:rtl/>
        </w:rPr>
      </w:pPr>
      <w:bookmarkStart w:id="15330" w:name="ET_speaker_5766_3"/>
      <w:r>
        <w:rPr>
          <w:rStyle w:val="TagStyle"/>
          <w:rFonts w:hint="cs"/>
          <w:rtl/>
        </w:rPr>
        <w:t xml:space="preserve"> &lt;&lt; דובר &gt;&gt; </w:t>
      </w:r>
      <w:bookmarkStart w:id="15331" w:name="_Toc141034698"/>
      <w:bookmarkStart w:id="15332" w:name="_Toc141040465"/>
      <w:bookmarkStart w:id="15333" w:name="_Toc141196874"/>
      <w:bookmarkStart w:id="15334" w:name="_Toc141197138"/>
      <w:r>
        <w:rPr>
          <w:rFonts w:hint="cs"/>
          <w:rtl/>
        </w:rPr>
        <w:t>רם בן ברק (יש עתיד):</w:t>
      </w:r>
      <w:bookmarkEnd w:id="15331"/>
      <w:bookmarkEnd w:id="15332"/>
      <w:bookmarkEnd w:id="15333"/>
      <w:bookmarkEnd w:id="15334"/>
      <w:r>
        <w:rPr>
          <w:rStyle w:val="TagStyle"/>
          <w:rFonts w:hint="cs"/>
          <w:rtl/>
        </w:rPr>
        <w:t xml:space="preserve"> &lt;&lt; דובר &gt;&gt;</w:t>
      </w:r>
      <w:r>
        <w:rPr>
          <w:rFonts w:hint="cs"/>
          <w:rtl/>
        </w:rPr>
        <w:t xml:space="preserve">   </w:t>
      </w:r>
      <w:bookmarkEnd w:id="15330"/>
    </w:p>
    <w:p w:rsidR="000C5C1F" w:rsidRDefault="000C5C1F" w:rsidP="000C5C1F">
      <w:pPr>
        <w:rPr>
          <w:rtl/>
        </w:rPr>
      </w:pPr>
    </w:p>
    <w:p w:rsidR="000C5C1F" w:rsidRDefault="000C5C1F" w:rsidP="000C5C1F">
      <w:pPr>
        <w:rPr>
          <w:rtl/>
        </w:rPr>
      </w:pPr>
      <w:bookmarkStart w:id="15335" w:name="_ETM_Q20_355000"/>
      <w:bookmarkEnd w:id="15335"/>
      <w:r>
        <w:rPr>
          <w:rFonts w:hint="cs"/>
          <w:rtl/>
        </w:rPr>
        <w:t xml:space="preserve">אדוני היושב-ראש, חבריי חברי הכנסת, מועקה, </w:t>
      </w:r>
      <w:bookmarkStart w:id="15336" w:name="_ETM_Q20_402000"/>
      <w:bookmarkEnd w:id="15336"/>
      <w:r>
        <w:rPr>
          <w:rFonts w:hint="cs"/>
          <w:rtl/>
        </w:rPr>
        <w:t xml:space="preserve">מחנק בגרון, זו התחושה שעומדת בגרון של אזרחי ישראל כבר </w:t>
      </w:r>
      <w:bookmarkStart w:id="15337" w:name="_ETM_Q20_408000"/>
      <w:bookmarkEnd w:id="15337"/>
      <w:r>
        <w:rPr>
          <w:rFonts w:hint="cs"/>
          <w:rtl/>
        </w:rPr>
        <w:t xml:space="preserve">תקופה ארוכה – אנשים טובים מימין ומשמאל, אשכנזים ומזרחים, דתיים וחילונים, </w:t>
      </w:r>
      <w:bookmarkStart w:id="15338" w:name="_ETM_Q20_419000"/>
      <w:bookmarkEnd w:id="15338"/>
      <w:r>
        <w:rPr>
          <w:rFonts w:hint="cs"/>
          <w:rtl/>
        </w:rPr>
        <w:t>סטרייטים ולהט"בים, טייסים וגולנצ'יקים.</w:t>
      </w:r>
    </w:p>
    <w:p w:rsidR="000C5C1F" w:rsidRDefault="000C5C1F" w:rsidP="000C5C1F">
      <w:pPr>
        <w:rPr>
          <w:rtl/>
        </w:rPr>
      </w:pPr>
    </w:p>
    <w:p w:rsidR="000C5C1F" w:rsidRDefault="000C5C1F" w:rsidP="000C5C1F">
      <w:pPr>
        <w:rPr>
          <w:rtl/>
        </w:rPr>
      </w:pPr>
      <w:bookmarkStart w:id="15339" w:name="_ETM_Q20_423000"/>
      <w:bookmarkEnd w:id="15339"/>
      <w:r>
        <w:rPr>
          <w:rFonts w:hint="cs"/>
          <w:rtl/>
        </w:rPr>
        <w:t xml:space="preserve">אני כמובן אדבר תכף על ההפיכה ולאן </w:t>
      </w:r>
      <w:bookmarkStart w:id="15340" w:name="_ETM_Q20_425000"/>
      <w:bookmarkEnd w:id="15340"/>
      <w:r>
        <w:rPr>
          <w:rFonts w:hint="cs"/>
          <w:rtl/>
        </w:rPr>
        <w:t xml:space="preserve">היא תדרדר אותנו, אבל לפני כן כנבחרי ציבור בואו ונביט </w:t>
      </w:r>
      <w:bookmarkStart w:id="15341" w:name="_ETM_Q20_436000"/>
      <w:bookmarkEnd w:id="15341"/>
      <w:r>
        <w:rPr>
          <w:rFonts w:hint="cs"/>
          <w:rtl/>
        </w:rPr>
        <w:t xml:space="preserve">רגע סביבנו ונבין מה מצבו של העם שבחר בנו, שסמך </w:t>
      </w:r>
      <w:bookmarkStart w:id="15342" w:name="_ETM_Q20_440000"/>
      <w:bookmarkEnd w:id="15342"/>
      <w:r>
        <w:rPr>
          <w:rFonts w:hint="cs"/>
          <w:rtl/>
        </w:rPr>
        <w:t xml:space="preserve">עלינו. חברים הפכו ליריבים, משפחות מתקשות לשבת לאכול בנחת, כל </w:t>
      </w:r>
      <w:bookmarkStart w:id="15343" w:name="_ETM_Q20_447000"/>
      <w:bookmarkEnd w:id="15343"/>
      <w:r>
        <w:rPr>
          <w:rFonts w:hint="cs"/>
          <w:rtl/>
        </w:rPr>
        <w:t xml:space="preserve">התרעה בחדשות מציפה בגל של דאגה. אזרחים מעיזים להעלות את </w:t>
      </w:r>
      <w:bookmarkStart w:id="15344" w:name="_ETM_Q20_453000"/>
      <w:bookmarkEnd w:id="15344"/>
      <w:r>
        <w:rPr>
          <w:rFonts w:hint="cs"/>
          <w:rtl/>
        </w:rPr>
        <w:t xml:space="preserve">השאלה הקשה האם המדינה היא עדיין מקומם. טובי בנינו ובנותינו – </w:t>
      </w:r>
      <w:bookmarkStart w:id="15345" w:name="_ETM_Q20_460000"/>
      <w:bookmarkEnd w:id="15345"/>
      <w:r>
        <w:rPr>
          <w:rFonts w:hint="cs"/>
          <w:rtl/>
        </w:rPr>
        <w:t xml:space="preserve">כן, חברים – טובי בנינו ובנותינו מתחבטים בשאלה אם זו </w:t>
      </w:r>
      <w:bookmarkStart w:id="15346" w:name="_ETM_Q20_462000"/>
      <w:bookmarkEnd w:id="15346"/>
      <w:r>
        <w:rPr>
          <w:rFonts w:hint="cs"/>
          <w:rtl/>
        </w:rPr>
        <w:t>המדינה שנשבענו להגן עליה במחיר נפשם, בחייהם.</w:t>
      </w:r>
    </w:p>
    <w:p w:rsidR="000C5C1F" w:rsidRDefault="000C5C1F" w:rsidP="000C5C1F">
      <w:pPr>
        <w:rPr>
          <w:rtl/>
        </w:rPr>
      </w:pPr>
    </w:p>
    <w:p w:rsidR="000C5C1F" w:rsidRDefault="000C5C1F" w:rsidP="000C5C1F">
      <w:pPr>
        <w:rPr>
          <w:rtl/>
        </w:rPr>
      </w:pPr>
      <w:bookmarkStart w:id="15347" w:name="_ETM_Q20_469000"/>
      <w:bookmarkEnd w:id="15347"/>
      <w:r>
        <w:rPr>
          <w:rFonts w:hint="cs"/>
          <w:rtl/>
        </w:rPr>
        <w:t xml:space="preserve">אנשים בבית הזה יגחכו </w:t>
      </w:r>
      <w:bookmarkStart w:id="15348" w:name="_ETM_Q20_472000"/>
      <w:bookmarkEnd w:id="15348"/>
      <w:r>
        <w:rPr>
          <w:rFonts w:hint="cs"/>
          <w:rtl/>
        </w:rPr>
        <w:t xml:space="preserve">בציניות וימהרו להגיד: אז שילכו. לכל אחד יש תחליף. לאור </w:t>
      </w:r>
      <w:bookmarkStart w:id="15349" w:name="_ETM_Q20_476000"/>
      <w:bookmarkEnd w:id="15349"/>
      <w:r>
        <w:rPr>
          <w:rFonts w:hint="cs"/>
          <w:rtl/>
        </w:rPr>
        <w:t>האירועים, הם ינסו לצבוע את החרדה שלהם כבגידה. הכול הם</w:t>
      </w:r>
      <w:bookmarkStart w:id="15350" w:name="_ETM_Q20_485000"/>
      <w:bookmarkEnd w:id="15350"/>
      <w:r>
        <w:rPr>
          <w:rFonts w:hint="cs"/>
          <w:rtl/>
        </w:rPr>
        <w:t xml:space="preserve"> יעשו, חוץ מחשבון נפש. אנשים זועקים את דם ליבם – </w:t>
      </w:r>
      <w:bookmarkStart w:id="15351" w:name="_ETM_Q20_492000"/>
      <w:bookmarkEnd w:id="15351"/>
      <w:r>
        <w:rPr>
          <w:rFonts w:hint="cs"/>
          <w:rtl/>
        </w:rPr>
        <w:t xml:space="preserve">אתם חושבים שמישהו נהנה מזה? חצי שנה בכל שבוע עם </w:t>
      </w:r>
      <w:bookmarkStart w:id="15352" w:name="_ETM_Q20_498000"/>
      <w:bookmarkEnd w:id="15352"/>
      <w:r>
        <w:rPr>
          <w:rFonts w:hint="cs"/>
          <w:rtl/>
        </w:rPr>
        <w:t xml:space="preserve">הילדים על הכתפיים יוצאים להפגין, בקור ובחום, נגד הדיקטטורה ונגד </w:t>
      </w:r>
      <w:bookmarkStart w:id="15353" w:name="_ETM_Q20_503000"/>
      <w:bookmarkEnd w:id="15353"/>
      <w:r>
        <w:rPr>
          <w:rFonts w:hint="cs"/>
          <w:rtl/>
        </w:rPr>
        <w:t>הממשלה שמשנה את פני המדינה.</w:t>
      </w:r>
    </w:p>
    <w:p w:rsidR="000C5C1F" w:rsidRDefault="000C5C1F" w:rsidP="000C5C1F">
      <w:pPr>
        <w:rPr>
          <w:rtl/>
        </w:rPr>
      </w:pPr>
      <w:bookmarkStart w:id="15354" w:name="_ETM_Q20_507000"/>
      <w:bookmarkEnd w:id="15354"/>
    </w:p>
    <w:p w:rsidR="000C5C1F" w:rsidRDefault="000C5C1F" w:rsidP="000C5C1F">
      <w:pPr>
        <w:rPr>
          <w:rtl/>
        </w:rPr>
      </w:pPr>
      <w:bookmarkStart w:id="15355" w:name="_ETM_Q20_508000"/>
      <w:bookmarkEnd w:id="15355"/>
      <w:r>
        <w:rPr>
          <w:rFonts w:hint="cs"/>
          <w:rtl/>
        </w:rPr>
        <w:t xml:space="preserve">עד מחר אפשר להתנצח, להצטדק, לבוא </w:t>
      </w:r>
      <w:bookmarkStart w:id="15356" w:name="_ETM_Q20_513000"/>
      <w:bookmarkEnd w:id="15356"/>
      <w:r>
        <w:rPr>
          <w:rFonts w:hint="cs"/>
          <w:rtl/>
        </w:rPr>
        <w:t xml:space="preserve">בפלפולים, אבל דבר אחד אי-אפשר לעשות: לענות על השאלה </w:t>
      </w:r>
      <w:bookmarkStart w:id="15357" w:name="_ETM_Q20_516000"/>
      <w:bookmarkEnd w:id="15357"/>
      <w:r>
        <w:rPr>
          <w:rFonts w:hint="cs"/>
          <w:rtl/>
        </w:rPr>
        <w:t xml:space="preserve">הפשוטה איך אנשים, אזרחים למופת, מגיני המדינה עד </w:t>
      </w:r>
      <w:bookmarkStart w:id="15358" w:name="_ETM_Q20_519000"/>
      <w:bookmarkEnd w:id="15358"/>
      <w:r>
        <w:rPr>
          <w:rFonts w:hint="cs"/>
          <w:rtl/>
        </w:rPr>
        <w:t xml:space="preserve">לפני חצי שנה, הגיעו למצב שהם לא יודעים אם נכון </w:t>
      </w:r>
      <w:bookmarkStart w:id="15359" w:name="_ETM_Q20_525000"/>
      <w:bookmarkEnd w:id="15359"/>
      <w:r>
        <w:rPr>
          <w:rFonts w:hint="cs"/>
          <w:rtl/>
        </w:rPr>
        <w:t xml:space="preserve">להמשיך להתנדב למילואים. אפשר לטעון עד מחר שזה פייק, שזו </w:t>
      </w:r>
      <w:bookmarkStart w:id="15360" w:name="_ETM_Q20_535000"/>
      <w:bookmarkEnd w:id="15360"/>
      <w:r>
        <w:rPr>
          <w:rFonts w:hint="cs"/>
          <w:rtl/>
        </w:rPr>
        <w:t xml:space="preserve">פריבילגיה, ושבסך הכול מדובר בהחלטה מן המניין של ממשלה נבחרת; </w:t>
      </w:r>
      <w:bookmarkStart w:id="15361" w:name="_ETM_Q20_541000"/>
      <w:bookmarkEnd w:id="15361"/>
      <w:r>
        <w:rPr>
          <w:rFonts w:hint="cs"/>
          <w:rtl/>
        </w:rPr>
        <w:t xml:space="preserve">אפשר להמשיך לטעון שזה רק טיעון כדי להפיל ממשלה נבחרת, </w:t>
      </w:r>
      <w:bookmarkStart w:id="15362" w:name="_ETM_Q20_543000"/>
      <w:bookmarkEnd w:id="15362"/>
      <w:r>
        <w:rPr>
          <w:rFonts w:hint="cs"/>
          <w:rtl/>
        </w:rPr>
        <w:t xml:space="preserve">אבל אשאל שוב שאלה פשוטה: למה רק עכשיו? הימין בשלטון ברצף מ-1977 חוץ מהפסקה של חמש שנים, ומעולם זה </w:t>
      </w:r>
      <w:bookmarkStart w:id="15363" w:name="_ETM_Q20_552000"/>
      <w:bookmarkEnd w:id="15363"/>
      <w:r>
        <w:rPr>
          <w:rFonts w:hint="cs"/>
          <w:rtl/>
        </w:rPr>
        <w:t>לא קרה. אז למה רק עכשיו?</w:t>
      </w:r>
      <w:bookmarkStart w:id="15364" w:name="_ETM_Q20_560000"/>
      <w:bookmarkEnd w:id="15364"/>
      <w:r>
        <w:rPr>
          <w:rFonts w:hint="cs"/>
          <w:rtl/>
        </w:rPr>
        <w:t xml:space="preserve"> גם על זה, כמובן, הממשלה</w:t>
      </w:r>
      <w:bookmarkStart w:id="15365" w:name="_ETM_Q20_562000"/>
      <w:bookmarkEnd w:id="15365"/>
      <w:r>
        <w:rPr>
          <w:rFonts w:hint="cs"/>
          <w:rtl/>
        </w:rPr>
        <w:t xml:space="preserve"> לא יכולה לענות. ולמה? כי חשבון נפש הוא דבר מפחיד</w:t>
      </w:r>
      <w:bookmarkStart w:id="15366" w:name="_ETM_Q20_568000"/>
      <w:bookmarkEnd w:id="15366"/>
      <w:r>
        <w:rPr>
          <w:rFonts w:hint="cs"/>
          <w:rtl/>
        </w:rPr>
        <w:t xml:space="preserve">, במיוחד כשאתה אומר לעצמך את האמת הקשה, אבל </w:t>
      </w:r>
      <w:bookmarkStart w:id="15367" w:name="_ETM_Q20_572000"/>
      <w:bookmarkEnd w:id="15367"/>
      <w:r>
        <w:rPr>
          <w:rFonts w:hint="cs"/>
          <w:rtl/>
        </w:rPr>
        <w:t xml:space="preserve">עבור כל אזרחי ישראל שלא ישנים, שמפולגים, שטרודים – אולי הגיע </w:t>
      </w:r>
      <w:bookmarkStart w:id="15368" w:name="_ETM_Q20_575000"/>
      <w:bookmarkEnd w:id="15368"/>
      <w:r>
        <w:rPr>
          <w:rFonts w:hint="cs"/>
          <w:rtl/>
        </w:rPr>
        <w:t xml:space="preserve">הזמן לעשות אותו. אולי השבוע, שבו אנחנו מציינים את </w:t>
      </w:r>
      <w:bookmarkStart w:id="15369" w:name="_ETM_Q20_581000"/>
      <w:bookmarkEnd w:id="15369"/>
      <w:r>
        <w:rPr>
          <w:rFonts w:hint="cs"/>
          <w:rtl/>
        </w:rPr>
        <w:t xml:space="preserve">חורבני הבית בהיסטוריה שלנו, הגיע הזמן לשבת ולהפסיק לשקר, להפסיק </w:t>
      </w:r>
      <w:bookmarkStart w:id="15370" w:name="_ETM_Q20_591000"/>
      <w:bookmarkEnd w:id="15370"/>
      <w:r>
        <w:rPr>
          <w:rFonts w:hint="cs"/>
          <w:rtl/>
        </w:rPr>
        <w:t>להסית, להפסיק לבלבל ולהטעות ופשוט לומר את האמת.</w:t>
      </w:r>
    </w:p>
    <w:p w:rsidR="000C5C1F" w:rsidRDefault="000C5C1F" w:rsidP="000C5C1F">
      <w:pPr>
        <w:rPr>
          <w:rtl/>
        </w:rPr>
      </w:pPr>
    </w:p>
    <w:p w:rsidR="000C5C1F" w:rsidRDefault="000C5C1F" w:rsidP="000C5C1F">
      <w:pPr>
        <w:rPr>
          <w:rtl/>
        </w:rPr>
      </w:pPr>
      <w:bookmarkStart w:id="15371" w:name="_ETM_Q20_599000"/>
      <w:bookmarkEnd w:id="15371"/>
      <w:r>
        <w:rPr>
          <w:rFonts w:hint="cs"/>
          <w:rtl/>
        </w:rPr>
        <w:t xml:space="preserve">אז מהי האמת? </w:t>
      </w:r>
      <w:bookmarkStart w:id="15372" w:name="_ETM_Q20_597000"/>
      <w:bookmarkEnd w:id="15372"/>
      <w:r>
        <w:rPr>
          <w:rFonts w:hint="cs"/>
          <w:rtl/>
        </w:rPr>
        <w:t xml:space="preserve">האמת הפשוטה היא שטעיתם – טעיתם במהות, ולמזלנו </w:t>
      </w:r>
      <w:bookmarkStart w:id="15373" w:name="_ETM_Q20_607000"/>
      <w:bookmarkEnd w:id="15373"/>
      <w:r>
        <w:rPr>
          <w:rFonts w:hint="cs"/>
          <w:rtl/>
        </w:rPr>
        <w:t xml:space="preserve">גם טעיתם בדרך.  חשבתם שיבוא שר משפטים ביום בהיר, יכריז </w:t>
      </w:r>
      <w:bookmarkStart w:id="15374" w:name="_ETM_Q20_614000"/>
      <w:bookmarkEnd w:id="15374"/>
      <w:r>
        <w:rPr>
          <w:rFonts w:hint="cs"/>
          <w:rtl/>
        </w:rPr>
        <w:t xml:space="preserve">על שינוי אופי המשטר, ואז הכול יהיה בסדר; אחר כך חשבתם </w:t>
      </w:r>
      <w:bookmarkStart w:id="15375" w:name="_ETM_Q20_622000"/>
      <w:bookmarkEnd w:id="15375"/>
      <w:r>
        <w:rPr>
          <w:rFonts w:hint="cs"/>
          <w:rtl/>
        </w:rPr>
        <w:t xml:space="preserve">שאם תפצלו את ההפיכה לחלקים, לא ישימו לב: נתחיל </w:t>
      </w:r>
      <w:bookmarkStart w:id="15376" w:name="_ETM_Q20_624000"/>
      <w:bookmarkEnd w:id="15376"/>
      <w:r>
        <w:rPr>
          <w:rFonts w:hint="cs"/>
          <w:rtl/>
        </w:rPr>
        <w:t xml:space="preserve">בעילת סבירות, בקטנה. מי שמתנגד בטח מגזים – מה, עילת הסבירות זה סוף הדמוקרטיה? טעיתם גם באיך שהתייחסתם לציבור שבחר בנו </w:t>
      </w:r>
      <w:bookmarkStart w:id="15377" w:name="_ETM_Q20_633000"/>
      <w:bookmarkEnd w:id="15377"/>
      <w:r>
        <w:rPr>
          <w:rFonts w:hint="cs"/>
          <w:rtl/>
        </w:rPr>
        <w:t>– אני אומר "בנו", כי תהיו בטוחים שההתנגדות להפיכה המשטרית</w:t>
      </w:r>
      <w:bookmarkStart w:id="15378" w:name="_ETM_Q20_642000"/>
      <w:bookmarkEnd w:id="15378"/>
      <w:r>
        <w:rPr>
          <w:rFonts w:hint="cs"/>
          <w:rtl/>
        </w:rPr>
        <w:t xml:space="preserve"> חוצה מפלגות ומגזרים. אז חשבתם שרק לציבור החרדי יש קווים </w:t>
      </w:r>
      <w:bookmarkStart w:id="15379" w:name="_ETM_Q20_641000"/>
      <w:bookmarkEnd w:id="15379"/>
      <w:r>
        <w:rPr>
          <w:rFonts w:hint="cs"/>
          <w:rtl/>
        </w:rPr>
        <w:t xml:space="preserve">אדומים – אם נוגעים בהלכה, אם מנסים לגייס, יהפכו את </w:t>
      </w:r>
      <w:bookmarkStart w:id="15380" w:name="_ETM_Q20_653000"/>
      <w:bookmarkEnd w:id="15380"/>
      <w:r>
        <w:rPr>
          <w:rFonts w:hint="cs"/>
          <w:rtl/>
        </w:rPr>
        <w:t xml:space="preserve">המדינה; חשבתם שרק לציונות הדתית יש קווים אדומים – אם </w:t>
      </w:r>
      <w:bookmarkStart w:id="15381" w:name="_ETM_Q20_658000"/>
      <w:bookmarkEnd w:id="15381"/>
      <w:r>
        <w:rPr>
          <w:rFonts w:hint="cs"/>
          <w:rtl/>
        </w:rPr>
        <w:t xml:space="preserve">ייגעו בארץ ישראל השלמה, יהפכו את המדינה. אבל לציבור </w:t>
      </w:r>
      <w:bookmarkStart w:id="15382" w:name="_ETM_Q20_664000"/>
      <w:bookmarkEnd w:id="15382"/>
      <w:r>
        <w:rPr>
          <w:rFonts w:hint="cs"/>
          <w:rtl/>
        </w:rPr>
        <w:t xml:space="preserve">הליברלי הרחב, השפוי, שרק רוצה לחיות פה בכבוד במדינה יהודית </w:t>
      </w:r>
      <w:bookmarkStart w:id="15383" w:name="_ETM_Q20_669000"/>
      <w:bookmarkEnd w:id="15383"/>
      <w:r>
        <w:rPr>
          <w:rFonts w:hint="cs"/>
          <w:rtl/>
        </w:rPr>
        <w:t xml:space="preserve">ודמוקרטית חשבתם שאין קווים אדומים; שאפשר לנצל, לשקר, לדרוש, לשנות, </w:t>
      </w:r>
      <w:bookmarkStart w:id="15384" w:name="_ETM_Q20_680000"/>
      <w:bookmarkEnd w:id="15384"/>
      <w:r>
        <w:rPr>
          <w:rFonts w:hint="cs"/>
          <w:rtl/>
        </w:rPr>
        <w:t xml:space="preserve">לסחוט, ובסוף גם לשנות את אופי המשטר. אז גיליתם שגם </w:t>
      </w:r>
      <w:bookmarkStart w:id="15385" w:name="_ETM_Q20_684000"/>
      <w:bookmarkEnd w:id="15385"/>
      <w:r>
        <w:rPr>
          <w:rFonts w:hint="cs"/>
          <w:rtl/>
        </w:rPr>
        <w:t xml:space="preserve">לנו יש קווים אדומים, גם לנו יש עקרונות שנילחם עליהם </w:t>
      </w:r>
      <w:bookmarkStart w:id="15386" w:name="_ETM_Q20_690000"/>
      <w:bookmarkEnd w:id="15386"/>
      <w:r>
        <w:rPr>
          <w:rFonts w:hint="cs"/>
          <w:rtl/>
        </w:rPr>
        <w:t>בחירוף נפש, גם אנחנו אומרים די.</w:t>
      </w:r>
    </w:p>
    <w:p w:rsidR="000C5C1F" w:rsidRDefault="000C5C1F" w:rsidP="000C5C1F">
      <w:pPr>
        <w:rPr>
          <w:rtl/>
        </w:rPr>
      </w:pPr>
    </w:p>
    <w:p w:rsidR="000C5C1F" w:rsidRDefault="000C5C1F" w:rsidP="000C5C1F">
      <w:pPr>
        <w:rPr>
          <w:rtl/>
        </w:rPr>
      </w:pPr>
      <w:bookmarkStart w:id="15387" w:name="_ETM_Q20_694000"/>
      <w:bookmarkEnd w:id="15387"/>
      <w:r>
        <w:rPr>
          <w:rFonts w:hint="cs"/>
          <w:rtl/>
        </w:rPr>
        <w:t xml:space="preserve">אבל במקום להבין שטעיתם, במקום </w:t>
      </w:r>
      <w:bookmarkStart w:id="15388" w:name="_ETM_Q20_698000"/>
      <w:bookmarkEnd w:id="15388"/>
      <w:r>
        <w:rPr>
          <w:rFonts w:hint="cs"/>
          <w:rtl/>
        </w:rPr>
        <w:t xml:space="preserve">לעצור, אתם דוהרים; דוהרים ובדרך דורסים, משמיצים את כל מי </w:t>
      </w:r>
      <w:bookmarkStart w:id="15389" w:name="_ETM_Q20_705000"/>
      <w:bookmarkEnd w:id="15389"/>
      <w:r>
        <w:rPr>
          <w:rFonts w:hint="cs"/>
          <w:rtl/>
        </w:rPr>
        <w:t xml:space="preserve">שרק מעז להתנגד. אם הייתם מעיזים לרדת לרגע לקפלן ולראות </w:t>
      </w:r>
      <w:bookmarkStart w:id="15390" w:name="_ETM_Q20_707000"/>
      <w:bookmarkEnd w:id="15390"/>
      <w:r>
        <w:rPr>
          <w:rFonts w:hint="cs"/>
          <w:rtl/>
        </w:rPr>
        <w:t xml:space="preserve">איזה אנשים נפלאים יש שם, איזה אנרגיות יש שם, הייתם </w:t>
      </w:r>
      <w:bookmarkStart w:id="15391" w:name="_ETM_Q20_716000"/>
      <w:bookmarkEnd w:id="15391"/>
      <w:r>
        <w:rPr>
          <w:rFonts w:hint="cs"/>
          <w:rtl/>
        </w:rPr>
        <w:t xml:space="preserve">מבינים שאתם מנותקים. יש שם ימנים ושמאלנים, מזרחים וחרדים, </w:t>
      </w:r>
      <w:bookmarkStart w:id="15392" w:name="_ETM_Q20_721000"/>
      <w:bookmarkEnd w:id="15392"/>
      <w:r>
        <w:rPr>
          <w:rFonts w:hint="cs"/>
          <w:rtl/>
        </w:rPr>
        <w:t>אשכנזים, באים מכל הארץ –</w:t>
      </w:r>
      <w:r>
        <w:rPr>
          <w:rFonts w:hint="cs"/>
        </w:rPr>
        <w:t xml:space="preserve"> </w:t>
      </w:r>
      <w:r>
        <w:rPr>
          <w:rFonts w:hint="cs"/>
          <w:rtl/>
        </w:rPr>
        <w:t xml:space="preserve">אבל אתם חיים בבועה שלכם, שומעים גלי ישראל ורואים ערוץ 14; מקשיבים לקרעי ודיסטל וחושבים </w:t>
      </w:r>
      <w:bookmarkStart w:id="15393" w:name="_ETM_Q20_735000"/>
      <w:bookmarkEnd w:id="15393"/>
      <w:r>
        <w:rPr>
          <w:rFonts w:hint="cs"/>
          <w:rtl/>
        </w:rPr>
        <w:t xml:space="preserve">שזו המציאות. אתם מנותקים. </w:t>
      </w:r>
      <w:bookmarkStart w:id="15394" w:name="_ETM_Q20_737000"/>
      <w:bookmarkEnd w:id="15394"/>
      <w:r>
        <w:rPr>
          <w:rFonts w:hint="cs"/>
          <w:rtl/>
        </w:rPr>
        <w:t xml:space="preserve">אולי ניצחתם בבחירות, אבל הפסדתם את </w:t>
      </w:r>
      <w:bookmarkStart w:id="15395" w:name="_ETM_Q20_743000"/>
      <w:bookmarkEnd w:id="15395"/>
      <w:r>
        <w:rPr>
          <w:rFonts w:hint="cs"/>
          <w:rtl/>
        </w:rPr>
        <w:t xml:space="preserve">העם. </w:t>
      </w:r>
    </w:p>
    <w:p w:rsidR="000C5C1F" w:rsidRDefault="000C5C1F" w:rsidP="000C5C1F">
      <w:pPr>
        <w:rPr>
          <w:rtl/>
        </w:rPr>
      </w:pPr>
    </w:p>
    <w:p w:rsidR="000C5C1F" w:rsidRDefault="000C5C1F" w:rsidP="000C5C1F">
      <w:pPr>
        <w:rPr>
          <w:rtl/>
        </w:rPr>
      </w:pPr>
      <w:r>
        <w:rPr>
          <w:rFonts w:hint="cs"/>
          <w:rtl/>
        </w:rPr>
        <w:t xml:space="preserve">שימו רגע את הפוליטיקה בצד, אם זה בכלל </w:t>
      </w:r>
      <w:bookmarkStart w:id="15396" w:name="_ETM_Q20_742000"/>
      <w:bookmarkEnd w:id="15396"/>
      <w:r>
        <w:rPr>
          <w:rFonts w:hint="cs"/>
          <w:rtl/>
        </w:rPr>
        <w:t xml:space="preserve">אפשרי, ותענו לי רגע ברצינות: לאן נעלמה הבושה שלכם? </w:t>
      </w:r>
      <w:bookmarkStart w:id="15397" w:name="_ETM_Q20_746000"/>
      <w:bookmarkEnd w:id="15397"/>
      <w:r>
        <w:rPr>
          <w:rFonts w:hint="cs"/>
          <w:rtl/>
        </w:rPr>
        <w:t xml:space="preserve">אתם לא רואים את האבסורד? בן גביר, אדם שלא שירת </w:t>
      </w:r>
      <w:bookmarkStart w:id="15398" w:name="_ETM_Q20_755000"/>
      <w:bookmarkEnd w:id="15398"/>
      <w:r>
        <w:rPr>
          <w:rFonts w:hint="cs"/>
          <w:rtl/>
        </w:rPr>
        <w:t>יום אחד בצה"ל, מעז לגנות את המשרתים?</w:t>
      </w:r>
      <w:bookmarkStart w:id="15399" w:name="_ETM_Q20_339000"/>
      <w:bookmarkStart w:id="15400" w:name="TOR_Q21"/>
      <w:bookmarkStart w:id="15401" w:name="_ETM_Q21_180149"/>
      <w:bookmarkEnd w:id="15399"/>
      <w:bookmarkEnd w:id="15400"/>
      <w:bookmarkEnd w:id="15401"/>
      <w:r>
        <w:rPr>
          <w:rFonts w:hint="cs"/>
          <w:rtl/>
        </w:rPr>
        <w:t xml:space="preserve"> חברי כנסת חרדים מעיזים לומר שכל אחד אפשר להחליף. אותם חברי כנסת שמקדמים את ההפיכה הזאת כדי לפטור ציבור שלהם מגיוס יספרו סיפורים שרוב </w:t>
      </w:r>
      <w:bookmarkStart w:id="15402" w:name="_ETM_Q21_170000"/>
      <w:bookmarkEnd w:id="15402"/>
      <w:r>
        <w:rPr>
          <w:rFonts w:hint="cs"/>
          <w:rtl/>
        </w:rPr>
        <w:t xml:space="preserve">העם רוצה בזה, והינה, יש את ההפגנה בעד; יספרו לכם שזה עניין של אזרחים </w:t>
      </w:r>
      <w:bookmarkStart w:id="15403" w:name="_ETM_Q21_180569"/>
      <w:bookmarkEnd w:id="15403"/>
      <w:r>
        <w:rPr>
          <w:rFonts w:hint="cs"/>
          <w:rtl/>
        </w:rPr>
        <w:t xml:space="preserve">סוג א' וסוג ב'. מי הולך להפגנה בעד? אזרחים מבאר שבע? </w:t>
      </w:r>
      <w:bookmarkStart w:id="15404" w:name="_ETM_Q21_182050"/>
      <w:bookmarkEnd w:id="15404"/>
      <w:r>
        <w:rPr>
          <w:rFonts w:hint="cs"/>
          <w:rtl/>
        </w:rPr>
        <w:t xml:space="preserve">אזרחים מקריית שמונה? </w:t>
      </w:r>
      <w:bookmarkStart w:id="15405" w:name="_ETM_Q21_183460"/>
      <w:bookmarkEnd w:id="15405"/>
      <w:r>
        <w:rPr>
          <w:rFonts w:hint="cs"/>
          <w:rtl/>
        </w:rPr>
        <w:t xml:space="preserve">משדרות? </w:t>
      </w:r>
      <w:bookmarkStart w:id="15406" w:name="_ETM_Q21_184759"/>
      <w:bookmarkEnd w:id="15406"/>
      <w:r>
        <w:rPr>
          <w:rFonts w:hint="cs"/>
          <w:rtl/>
        </w:rPr>
        <w:t xml:space="preserve">מעטים </w:t>
      </w:r>
      <w:bookmarkStart w:id="15407" w:name="_ETM_Q21_185330"/>
      <w:bookmarkEnd w:id="15407"/>
      <w:r>
        <w:rPr>
          <w:rFonts w:hint="cs"/>
          <w:rtl/>
        </w:rPr>
        <w:t xml:space="preserve">מהם. </w:t>
      </w:r>
      <w:bookmarkStart w:id="15408" w:name="_ETM_Q21_186379"/>
      <w:bookmarkEnd w:id="15408"/>
      <w:r>
        <w:rPr>
          <w:rFonts w:hint="cs"/>
          <w:rtl/>
        </w:rPr>
        <w:t xml:space="preserve">להפגנה </w:t>
      </w:r>
      <w:bookmarkStart w:id="15409" w:name="_ETM_Q21_186920"/>
      <w:bookmarkEnd w:id="15409"/>
      <w:r>
        <w:rPr>
          <w:rFonts w:hint="cs"/>
          <w:rtl/>
        </w:rPr>
        <w:t xml:space="preserve">בעד </w:t>
      </w:r>
      <w:bookmarkStart w:id="15410" w:name="_ETM_Q21_187580"/>
      <w:bookmarkEnd w:id="15410"/>
      <w:r>
        <w:rPr>
          <w:rFonts w:hint="cs"/>
          <w:rtl/>
        </w:rPr>
        <w:t xml:space="preserve">ההפיכה </w:t>
      </w:r>
      <w:bookmarkStart w:id="15411" w:name="_ETM_Q21_188510"/>
      <w:bookmarkEnd w:id="15411"/>
      <w:r>
        <w:rPr>
          <w:rFonts w:hint="cs"/>
          <w:rtl/>
        </w:rPr>
        <w:t xml:space="preserve">יגיעו </w:t>
      </w:r>
      <w:bookmarkStart w:id="15412" w:name="_ETM_Q21_188869"/>
      <w:bookmarkEnd w:id="15412"/>
      <w:r>
        <w:rPr>
          <w:rFonts w:hint="cs"/>
          <w:rtl/>
        </w:rPr>
        <w:t xml:space="preserve">גרעינים </w:t>
      </w:r>
      <w:bookmarkStart w:id="15413" w:name="_ETM_Q21_189379"/>
      <w:bookmarkEnd w:id="15413"/>
      <w:r>
        <w:rPr>
          <w:rFonts w:hint="cs"/>
          <w:rtl/>
        </w:rPr>
        <w:t xml:space="preserve">ממשיכים </w:t>
      </w:r>
      <w:bookmarkStart w:id="15414" w:name="_ETM_Q21_190039"/>
      <w:bookmarkEnd w:id="15414"/>
      <w:r>
        <w:rPr>
          <w:rFonts w:hint="cs"/>
          <w:rtl/>
        </w:rPr>
        <w:t xml:space="preserve">מההתנחלויות – </w:t>
      </w:r>
      <w:bookmarkStart w:id="15415" w:name="_ETM_Q21_191369"/>
      <w:bookmarkEnd w:id="15415"/>
      <w:r>
        <w:rPr>
          <w:rFonts w:hint="cs"/>
          <w:rtl/>
        </w:rPr>
        <w:t xml:space="preserve">אין </w:t>
      </w:r>
      <w:bookmarkStart w:id="15416" w:name="_ETM_Q21_191580"/>
      <w:bookmarkEnd w:id="15416"/>
      <w:r>
        <w:rPr>
          <w:rFonts w:hint="cs"/>
          <w:rtl/>
        </w:rPr>
        <w:t xml:space="preserve">קשר </w:t>
      </w:r>
      <w:bookmarkStart w:id="15417" w:name="_ETM_Q21_191940"/>
      <w:bookmarkEnd w:id="15417"/>
      <w:r>
        <w:rPr>
          <w:rFonts w:hint="cs"/>
          <w:rtl/>
        </w:rPr>
        <w:t xml:space="preserve">לפריפריה. לא </w:t>
      </w:r>
      <w:bookmarkStart w:id="15418" w:name="_ETM_Q21_193289"/>
      <w:bookmarkEnd w:id="15418"/>
      <w:r>
        <w:rPr>
          <w:rFonts w:hint="cs"/>
          <w:rtl/>
        </w:rPr>
        <w:t xml:space="preserve">אכפת </w:t>
      </w:r>
      <w:bookmarkStart w:id="15419" w:name="_ETM_Q21_193650"/>
      <w:bookmarkEnd w:id="15419"/>
      <w:r>
        <w:rPr>
          <w:rFonts w:hint="cs"/>
          <w:rtl/>
        </w:rPr>
        <w:t xml:space="preserve">לכם </w:t>
      </w:r>
      <w:bookmarkStart w:id="15420" w:name="_ETM_Q21_193950"/>
      <w:bookmarkEnd w:id="15420"/>
      <w:r>
        <w:rPr>
          <w:rFonts w:hint="cs"/>
          <w:rtl/>
        </w:rPr>
        <w:t>מהפריפריה.</w:t>
      </w:r>
    </w:p>
    <w:p w:rsidR="000C5C1F" w:rsidRDefault="000C5C1F" w:rsidP="000C5C1F">
      <w:pPr>
        <w:rPr>
          <w:rtl/>
        </w:rPr>
      </w:pPr>
    </w:p>
    <w:p w:rsidR="000C5C1F" w:rsidRDefault="000C5C1F" w:rsidP="000C5C1F">
      <w:pPr>
        <w:rPr>
          <w:rtl/>
        </w:rPr>
      </w:pPr>
      <w:bookmarkStart w:id="15421" w:name="_ETM_Q21_195730"/>
      <w:bookmarkEnd w:id="15421"/>
      <w:r>
        <w:rPr>
          <w:rFonts w:hint="cs"/>
          <w:rtl/>
        </w:rPr>
        <w:t xml:space="preserve">גלנט, </w:t>
      </w:r>
      <w:bookmarkStart w:id="15422" w:name="_ETM_Q21_196970"/>
      <w:bookmarkEnd w:id="15422"/>
      <w:r>
        <w:rPr>
          <w:rFonts w:hint="cs"/>
          <w:rtl/>
        </w:rPr>
        <w:t xml:space="preserve">כאיש </w:t>
      </w:r>
      <w:bookmarkStart w:id="15423" w:name="_ETM_Q21_197269"/>
      <w:bookmarkEnd w:id="15423"/>
      <w:r>
        <w:rPr>
          <w:rFonts w:hint="cs"/>
          <w:rtl/>
        </w:rPr>
        <w:t xml:space="preserve">ביטחון </w:t>
      </w:r>
      <w:bookmarkStart w:id="15424" w:name="_ETM_Q21_197869"/>
      <w:bookmarkEnd w:id="15424"/>
      <w:r>
        <w:rPr>
          <w:rFonts w:hint="cs"/>
          <w:rtl/>
        </w:rPr>
        <w:t xml:space="preserve">לאיש </w:t>
      </w:r>
      <w:bookmarkStart w:id="15425" w:name="_ETM_Q21_197989"/>
      <w:bookmarkEnd w:id="15425"/>
      <w:r>
        <w:rPr>
          <w:rFonts w:hint="cs"/>
          <w:rtl/>
        </w:rPr>
        <w:t xml:space="preserve">ביטחון, </w:t>
      </w:r>
      <w:bookmarkStart w:id="15426" w:name="_ETM_Q21_199060"/>
      <w:bookmarkEnd w:id="15426"/>
      <w:r>
        <w:rPr>
          <w:rFonts w:hint="cs"/>
          <w:rtl/>
        </w:rPr>
        <w:t xml:space="preserve">אתה </w:t>
      </w:r>
      <w:bookmarkStart w:id="15427" w:name="_ETM_Q21_199360"/>
      <w:bookmarkEnd w:id="15427"/>
      <w:r>
        <w:rPr>
          <w:rFonts w:hint="cs"/>
          <w:rtl/>
        </w:rPr>
        <w:t xml:space="preserve">לא </w:t>
      </w:r>
      <w:bookmarkStart w:id="15428" w:name="_ETM_Q21_199480"/>
      <w:bookmarkEnd w:id="15428"/>
      <w:r>
        <w:rPr>
          <w:rFonts w:hint="cs"/>
          <w:rtl/>
        </w:rPr>
        <w:t xml:space="preserve">רואה </w:t>
      </w:r>
      <w:bookmarkStart w:id="15429" w:name="_ETM_Q21_199690"/>
      <w:bookmarkEnd w:id="15429"/>
      <w:r>
        <w:rPr>
          <w:rFonts w:hint="cs"/>
          <w:rtl/>
        </w:rPr>
        <w:t xml:space="preserve">מי </w:t>
      </w:r>
      <w:bookmarkStart w:id="15430" w:name="_ETM_Q21_199840"/>
      <w:bookmarkEnd w:id="15430"/>
      <w:r>
        <w:rPr>
          <w:rFonts w:hint="cs"/>
          <w:rtl/>
        </w:rPr>
        <w:t xml:space="preserve">יושב </w:t>
      </w:r>
      <w:bookmarkStart w:id="15431" w:name="_ETM_Q21_200199"/>
      <w:bookmarkEnd w:id="15431"/>
      <w:r>
        <w:rPr>
          <w:rFonts w:hint="cs"/>
          <w:rtl/>
        </w:rPr>
        <w:t xml:space="preserve">לידך? </w:t>
      </w:r>
      <w:bookmarkStart w:id="15432" w:name="_ETM_Q21_201449"/>
      <w:bookmarkEnd w:id="15432"/>
      <w:r>
        <w:rPr>
          <w:rFonts w:hint="cs"/>
          <w:rtl/>
        </w:rPr>
        <w:t xml:space="preserve">אתה </w:t>
      </w:r>
      <w:bookmarkStart w:id="15433" w:name="_ETM_Q21_201840"/>
      <w:bookmarkEnd w:id="15433"/>
      <w:r>
        <w:rPr>
          <w:rFonts w:hint="cs"/>
          <w:rtl/>
        </w:rPr>
        <w:t xml:space="preserve">הרי </w:t>
      </w:r>
      <w:bookmarkStart w:id="15434" w:name="_ETM_Q21_201989"/>
      <w:bookmarkEnd w:id="15434"/>
      <w:r>
        <w:rPr>
          <w:rFonts w:hint="cs"/>
          <w:rtl/>
        </w:rPr>
        <w:t xml:space="preserve">יודע </w:t>
      </w:r>
      <w:bookmarkStart w:id="15435" w:name="_ETM_Q21_203010"/>
      <w:bookmarkEnd w:id="15435"/>
      <w:r>
        <w:rPr>
          <w:rFonts w:hint="cs"/>
          <w:rtl/>
        </w:rPr>
        <w:t xml:space="preserve">מי </w:t>
      </w:r>
      <w:bookmarkStart w:id="15436" w:name="_ETM_Q21_203189"/>
      <w:bookmarkEnd w:id="15436"/>
      <w:r>
        <w:rPr>
          <w:rFonts w:hint="cs"/>
          <w:rtl/>
        </w:rPr>
        <w:t xml:space="preserve">עושה </w:t>
      </w:r>
      <w:bookmarkStart w:id="15437" w:name="_ETM_Q21_203489"/>
      <w:bookmarkEnd w:id="15437"/>
      <w:r>
        <w:rPr>
          <w:rFonts w:hint="cs"/>
          <w:rtl/>
        </w:rPr>
        <w:t xml:space="preserve">נזק </w:t>
      </w:r>
      <w:bookmarkStart w:id="15438" w:name="_ETM_Q21_204180"/>
      <w:bookmarkEnd w:id="15438"/>
      <w:r>
        <w:rPr>
          <w:rFonts w:hint="cs"/>
          <w:rtl/>
        </w:rPr>
        <w:t xml:space="preserve">למערכת </w:t>
      </w:r>
      <w:bookmarkStart w:id="15439" w:name="_ETM_Q21_204750"/>
      <w:bookmarkEnd w:id="15439"/>
      <w:r>
        <w:rPr>
          <w:rFonts w:hint="cs"/>
          <w:rtl/>
        </w:rPr>
        <w:t xml:space="preserve">הביטחון, </w:t>
      </w:r>
      <w:bookmarkStart w:id="15440" w:name="_ETM_Q21_206220"/>
      <w:bookmarkEnd w:id="15440"/>
      <w:r>
        <w:rPr>
          <w:rFonts w:hint="cs"/>
          <w:rtl/>
        </w:rPr>
        <w:t xml:space="preserve">מי </w:t>
      </w:r>
      <w:bookmarkStart w:id="15441" w:name="_ETM_Q21_206400"/>
      <w:bookmarkEnd w:id="15441"/>
      <w:r>
        <w:rPr>
          <w:rFonts w:hint="cs"/>
          <w:rtl/>
        </w:rPr>
        <w:t xml:space="preserve">עושה </w:t>
      </w:r>
      <w:bookmarkStart w:id="15442" w:name="_ETM_Q21_206730"/>
      <w:bookmarkEnd w:id="15442"/>
      <w:r>
        <w:rPr>
          <w:rFonts w:hint="cs"/>
          <w:rtl/>
        </w:rPr>
        <w:t xml:space="preserve">בה </w:t>
      </w:r>
      <w:bookmarkStart w:id="15443" w:name="_ETM_Q21_207029"/>
      <w:bookmarkEnd w:id="15443"/>
      <w:r>
        <w:rPr>
          <w:rFonts w:hint="cs"/>
          <w:rtl/>
        </w:rPr>
        <w:t xml:space="preserve">שימוש </w:t>
      </w:r>
      <w:bookmarkStart w:id="15444" w:name="_ETM_Q21_207420"/>
      <w:bookmarkEnd w:id="15444"/>
      <w:r>
        <w:rPr>
          <w:rFonts w:hint="cs"/>
          <w:rtl/>
        </w:rPr>
        <w:t xml:space="preserve">ציני. </w:t>
      </w:r>
      <w:bookmarkStart w:id="15445" w:name="_ETM_Q21_209449"/>
      <w:bookmarkEnd w:id="15445"/>
      <w:r>
        <w:rPr>
          <w:rFonts w:hint="cs"/>
          <w:rtl/>
        </w:rPr>
        <w:t xml:space="preserve">אתה </w:t>
      </w:r>
      <w:bookmarkStart w:id="15446" w:name="_ETM_Q21_209720"/>
      <w:bookmarkEnd w:id="15446"/>
      <w:r>
        <w:rPr>
          <w:rFonts w:hint="cs"/>
          <w:rtl/>
        </w:rPr>
        <w:t xml:space="preserve">יודע </w:t>
      </w:r>
      <w:bookmarkStart w:id="15447" w:name="_ETM_Q21_210110"/>
      <w:bookmarkEnd w:id="15447"/>
      <w:r>
        <w:rPr>
          <w:rFonts w:hint="cs"/>
          <w:rtl/>
        </w:rPr>
        <w:t xml:space="preserve">את </w:t>
      </w:r>
      <w:bookmarkStart w:id="15448" w:name="_ETM_Q21_210289"/>
      <w:bookmarkEnd w:id="15448"/>
      <w:r>
        <w:rPr>
          <w:rFonts w:hint="cs"/>
          <w:rtl/>
        </w:rPr>
        <w:t xml:space="preserve">האמת, </w:t>
      </w:r>
      <w:bookmarkStart w:id="15449" w:name="_ETM_Q21_211600"/>
      <w:bookmarkEnd w:id="15449"/>
      <w:r>
        <w:rPr>
          <w:rFonts w:hint="cs"/>
          <w:rtl/>
        </w:rPr>
        <w:t xml:space="preserve">אתה </w:t>
      </w:r>
      <w:bookmarkStart w:id="15450" w:name="_ETM_Q21_211900"/>
      <w:bookmarkEnd w:id="15450"/>
      <w:r>
        <w:rPr>
          <w:rFonts w:hint="cs"/>
          <w:rtl/>
        </w:rPr>
        <w:t xml:space="preserve">יודע </w:t>
      </w:r>
      <w:bookmarkStart w:id="15451" w:name="_ETM_Q21_212140"/>
      <w:bookmarkEnd w:id="15451"/>
      <w:r>
        <w:rPr>
          <w:rFonts w:hint="cs"/>
          <w:rtl/>
        </w:rPr>
        <w:t xml:space="preserve">למה </w:t>
      </w:r>
      <w:bookmarkStart w:id="15452" w:name="_ETM_Q21_212380"/>
      <w:bookmarkEnd w:id="15452"/>
      <w:r>
        <w:rPr>
          <w:rFonts w:hint="cs"/>
          <w:rtl/>
        </w:rPr>
        <w:t xml:space="preserve">חברי </w:t>
      </w:r>
      <w:bookmarkStart w:id="15453" w:name="_ETM_Q21_212710"/>
      <w:bookmarkEnd w:id="15453"/>
      <w:r>
        <w:rPr>
          <w:rFonts w:hint="cs"/>
          <w:rtl/>
        </w:rPr>
        <w:t xml:space="preserve">הכנסת </w:t>
      </w:r>
      <w:bookmarkStart w:id="15454" w:name="_ETM_Q21_213040"/>
      <w:bookmarkEnd w:id="15454"/>
      <w:r>
        <w:rPr>
          <w:rFonts w:hint="cs"/>
          <w:rtl/>
        </w:rPr>
        <w:t xml:space="preserve">החרדים </w:t>
      </w:r>
      <w:bookmarkStart w:id="15455" w:name="_ETM_Q21_213610"/>
      <w:bookmarkEnd w:id="15455"/>
      <w:r>
        <w:rPr>
          <w:rFonts w:hint="cs"/>
          <w:rtl/>
        </w:rPr>
        <w:t xml:space="preserve">תומכים </w:t>
      </w:r>
      <w:bookmarkStart w:id="15456" w:name="_ETM_Q21_214030"/>
      <w:bookmarkEnd w:id="15456"/>
      <w:r>
        <w:rPr>
          <w:rFonts w:hint="cs"/>
          <w:rtl/>
        </w:rPr>
        <w:t xml:space="preserve">בהפיכה </w:t>
      </w:r>
      <w:bookmarkStart w:id="15457" w:name="_ETM_Q21_214540"/>
      <w:bookmarkEnd w:id="15457"/>
      <w:r>
        <w:rPr>
          <w:rFonts w:hint="cs"/>
          <w:rtl/>
        </w:rPr>
        <w:t xml:space="preserve">הזאת: </w:t>
      </w:r>
      <w:bookmarkStart w:id="15458" w:name="_ETM_Q21_215560"/>
      <w:bookmarkEnd w:id="15458"/>
      <w:r>
        <w:rPr>
          <w:rFonts w:hint="cs"/>
          <w:rtl/>
        </w:rPr>
        <w:t xml:space="preserve">פטור </w:t>
      </w:r>
      <w:bookmarkStart w:id="15459" w:name="_ETM_Q21_215860"/>
      <w:bookmarkEnd w:id="15459"/>
      <w:r>
        <w:rPr>
          <w:rFonts w:hint="cs"/>
          <w:rtl/>
        </w:rPr>
        <w:t xml:space="preserve">מגיוס. </w:t>
      </w:r>
      <w:bookmarkStart w:id="15460" w:name="_ETM_Q21_217120"/>
      <w:bookmarkEnd w:id="15460"/>
      <w:r>
        <w:rPr>
          <w:rFonts w:hint="cs"/>
          <w:rtl/>
        </w:rPr>
        <w:t xml:space="preserve">אתה </w:t>
      </w:r>
      <w:bookmarkStart w:id="15461" w:name="_ETM_Q21_217390"/>
      <w:bookmarkEnd w:id="15461"/>
      <w:r>
        <w:rPr>
          <w:rFonts w:hint="cs"/>
          <w:rtl/>
        </w:rPr>
        <w:t xml:space="preserve">יודע </w:t>
      </w:r>
      <w:bookmarkStart w:id="15462" w:name="_ETM_Q21_217690"/>
      <w:bookmarkEnd w:id="15462"/>
      <w:r>
        <w:rPr>
          <w:rFonts w:hint="cs"/>
          <w:rtl/>
        </w:rPr>
        <w:t xml:space="preserve">גם </w:t>
      </w:r>
      <w:bookmarkStart w:id="15463" w:name="_ETM_Q21_217900"/>
      <w:bookmarkEnd w:id="15463"/>
      <w:r>
        <w:rPr>
          <w:rFonts w:hint="cs"/>
          <w:rtl/>
        </w:rPr>
        <w:t xml:space="preserve">מה </w:t>
      </w:r>
      <w:bookmarkStart w:id="15464" w:name="_ETM_Q21_217990"/>
      <w:bookmarkEnd w:id="15464"/>
      <w:r>
        <w:rPr>
          <w:rFonts w:hint="cs"/>
          <w:rtl/>
        </w:rPr>
        <w:t>רוצ</w:t>
      </w:r>
      <w:bookmarkStart w:id="15465" w:name="_ETM_Q21_218080"/>
      <w:bookmarkEnd w:id="15465"/>
      <w:r>
        <w:rPr>
          <w:rFonts w:hint="cs"/>
          <w:rtl/>
        </w:rPr>
        <w:t xml:space="preserve">ים </w:t>
      </w:r>
      <w:bookmarkStart w:id="15466" w:name="_ETM_Q21_219000"/>
      <w:bookmarkStart w:id="15467" w:name="_ETM_Q21_218320"/>
      <w:bookmarkEnd w:id="15466"/>
      <w:bookmarkEnd w:id="15467"/>
      <w:r>
        <w:rPr>
          <w:rFonts w:hint="cs"/>
          <w:rtl/>
        </w:rPr>
        <w:t xml:space="preserve">סמוטריץ' </w:t>
      </w:r>
      <w:bookmarkStart w:id="15468" w:name="_ETM_Q21_219040"/>
      <w:bookmarkEnd w:id="15468"/>
      <w:r>
        <w:rPr>
          <w:rFonts w:hint="cs"/>
          <w:rtl/>
        </w:rPr>
        <w:t xml:space="preserve">ובן </w:t>
      </w:r>
      <w:bookmarkStart w:id="15469" w:name="_ETM_Q21_219460"/>
      <w:bookmarkEnd w:id="15469"/>
      <w:r>
        <w:rPr>
          <w:rFonts w:hint="cs"/>
          <w:rtl/>
        </w:rPr>
        <w:t xml:space="preserve">גביר </w:t>
      </w:r>
      <w:bookmarkStart w:id="15470" w:name="_ETM_Q21_219700"/>
      <w:bookmarkEnd w:id="15470"/>
      <w:r>
        <w:rPr>
          <w:rFonts w:hint="cs"/>
          <w:rtl/>
        </w:rPr>
        <w:t xml:space="preserve">מההפיכה </w:t>
      </w:r>
      <w:bookmarkStart w:id="15471" w:name="_ETM_Q21_220270"/>
      <w:bookmarkEnd w:id="15471"/>
      <w:r>
        <w:rPr>
          <w:rFonts w:hint="cs"/>
          <w:rtl/>
        </w:rPr>
        <w:t xml:space="preserve">הזאת. </w:t>
      </w:r>
      <w:bookmarkStart w:id="15472" w:name="_ETM_Q21_221340"/>
      <w:bookmarkEnd w:id="15472"/>
      <w:r>
        <w:rPr>
          <w:rFonts w:hint="cs"/>
          <w:rtl/>
        </w:rPr>
        <w:t xml:space="preserve">אותו </w:t>
      </w:r>
      <w:bookmarkStart w:id="15473" w:name="_ETM_Q21_221640"/>
      <w:bookmarkEnd w:id="15473"/>
      <w:r>
        <w:rPr>
          <w:rFonts w:hint="cs"/>
          <w:rtl/>
        </w:rPr>
        <w:t xml:space="preserve">סמוטריץ' </w:t>
      </w:r>
      <w:bookmarkStart w:id="15474" w:name="_ETM_Q21_222329"/>
      <w:bookmarkEnd w:id="15474"/>
      <w:r>
        <w:rPr>
          <w:rFonts w:hint="cs"/>
          <w:rtl/>
        </w:rPr>
        <w:t xml:space="preserve">שהתיישב </w:t>
      </w:r>
      <w:bookmarkStart w:id="15475" w:name="_ETM_Q21_222840"/>
      <w:bookmarkEnd w:id="15475"/>
      <w:r>
        <w:rPr>
          <w:rFonts w:hint="cs"/>
          <w:rtl/>
        </w:rPr>
        <w:t xml:space="preserve">לידך </w:t>
      </w:r>
      <w:bookmarkStart w:id="15476" w:name="_ETM_Q21_223199"/>
      <w:bookmarkEnd w:id="15476"/>
      <w:r>
        <w:rPr>
          <w:rFonts w:hint="cs"/>
          <w:rtl/>
        </w:rPr>
        <w:t xml:space="preserve">במשרד </w:t>
      </w:r>
      <w:bookmarkStart w:id="15477" w:name="_ETM_Q21_223649"/>
      <w:bookmarkEnd w:id="15477"/>
      <w:r>
        <w:rPr>
          <w:rFonts w:hint="cs"/>
          <w:rtl/>
        </w:rPr>
        <w:t xml:space="preserve">הביטחון </w:t>
      </w:r>
      <w:bookmarkStart w:id="15478" w:name="_ETM_Q21_224790"/>
      <w:bookmarkEnd w:id="15478"/>
      <w:r>
        <w:rPr>
          <w:rFonts w:hint="cs"/>
          <w:rtl/>
        </w:rPr>
        <w:t xml:space="preserve">רוצה </w:t>
      </w:r>
      <w:bookmarkStart w:id="15479" w:name="_ETM_Q21_225180"/>
      <w:bookmarkEnd w:id="15479"/>
      <w:r>
        <w:rPr>
          <w:rFonts w:hint="cs"/>
          <w:rtl/>
        </w:rPr>
        <w:t xml:space="preserve">לעשות </w:t>
      </w:r>
      <w:bookmarkStart w:id="15480" w:name="_ETM_Q21_225630"/>
      <w:bookmarkEnd w:id="15480"/>
      <w:r>
        <w:rPr>
          <w:rFonts w:hint="cs"/>
          <w:rtl/>
        </w:rPr>
        <w:t xml:space="preserve">ממלכת </w:t>
      </w:r>
      <w:bookmarkStart w:id="15481" w:name="_ETM_Q21_226110"/>
      <w:bookmarkEnd w:id="15481"/>
      <w:r>
        <w:rPr>
          <w:rFonts w:hint="cs"/>
          <w:rtl/>
        </w:rPr>
        <w:t xml:space="preserve">יהודה </w:t>
      </w:r>
      <w:bookmarkStart w:id="15482" w:name="_ETM_Q21_226440"/>
      <w:bookmarkEnd w:id="15482"/>
      <w:r>
        <w:rPr>
          <w:rFonts w:hint="cs"/>
          <w:rtl/>
        </w:rPr>
        <w:t xml:space="preserve">בשטחים. </w:t>
      </w:r>
      <w:bookmarkStart w:id="15483" w:name="_ETM_Q21_227940"/>
      <w:bookmarkEnd w:id="15483"/>
      <w:r>
        <w:rPr>
          <w:rFonts w:hint="cs"/>
          <w:rtl/>
        </w:rPr>
        <w:t xml:space="preserve">אתה </w:t>
      </w:r>
      <w:bookmarkStart w:id="15484" w:name="_ETM_Q21_228150"/>
      <w:bookmarkEnd w:id="15484"/>
      <w:r>
        <w:rPr>
          <w:rFonts w:hint="cs"/>
          <w:rtl/>
        </w:rPr>
        <w:t xml:space="preserve">יודע </w:t>
      </w:r>
      <w:bookmarkStart w:id="15485" w:name="_ETM_Q21_228360"/>
      <w:bookmarkEnd w:id="15485"/>
      <w:r>
        <w:rPr>
          <w:rFonts w:hint="cs"/>
          <w:rtl/>
        </w:rPr>
        <w:t xml:space="preserve">טוב </w:t>
      </w:r>
      <w:bookmarkStart w:id="15486" w:name="_ETM_Q21_228630"/>
      <w:bookmarkEnd w:id="15486"/>
      <w:r>
        <w:rPr>
          <w:rFonts w:hint="cs"/>
          <w:rtl/>
        </w:rPr>
        <w:t xml:space="preserve">מאוד </w:t>
      </w:r>
      <w:bookmarkStart w:id="15487" w:name="_ETM_Q21_228960"/>
      <w:bookmarkEnd w:id="15487"/>
      <w:r>
        <w:rPr>
          <w:rFonts w:hint="cs"/>
          <w:rtl/>
        </w:rPr>
        <w:t xml:space="preserve">לאן </w:t>
      </w:r>
      <w:bookmarkStart w:id="15488" w:name="_ETM_Q21_229170"/>
      <w:bookmarkEnd w:id="15488"/>
      <w:r>
        <w:rPr>
          <w:rFonts w:hint="cs"/>
          <w:rtl/>
        </w:rPr>
        <w:t xml:space="preserve">זה </w:t>
      </w:r>
      <w:bookmarkStart w:id="15489" w:name="_ETM_Q21_229320"/>
      <w:bookmarkEnd w:id="15489"/>
      <w:r>
        <w:rPr>
          <w:rFonts w:hint="cs"/>
          <w:rtl/>
        </w:rPr>
        <w:t xml:space="preserve">יוביל. </w:t>
      </w:r>
      <w:bookmarkStart w:id="15490" w:name="_ETM_Q21_230519"/>
      <w:bookmarkEnd w:id="15490"/>
      <w:r>
        <w:rPr>
          <w:rFonts w:hint="cs"/>
          <w:rtl/>
        </w:rPr>
        <w:t xml:space="preserve">לא </w:t>
      </w:r>
      <w:bookmarkStart w:id="15491" w:name="_ETM_Q21_230699"/>
      <w:bookmarkEnd w:id="15491"/>
      <w:r>
        <w:rPr>
          <w:rFonts w:hint="cs"/>
          <w:rtl/>
        </w:rPr>
        <w:t xml:space="preserve">תוכל </w:t>
      </w:r>
      <w:bookmarkStart w:id="15492" w:name="_ETM_Q21_231059"/>
      <w:bookmarkEnd w:id="15492"/>
      <w:r>
        <w:rPr>
          <w:rFonts w:hint="cs"/>
          <w:rtl/>
        </w:rPr>
        <w:t xml:space="preserve">לומר </w:t>
      </w:r>
      <w:bookmarkStart w:id="15493" w:name="_ETM_Q21_231359"/>
      <w:bookmarkEnd w:id="15493"/>
      <w:r>
        <w:rPr>
          <w:rFonts w:hint="cs"/>
          <w:rtl/>
        </w:rPr>
        <w:t xml:space="preserve">שלא </w:t>
      </w:r>
      <w:bookmarkStart w:id="15494" w:name="_ETM_Q21_231629"/>
      <w:bookmarkEnd w:id="15494"/>
      <w:r>
        <w:rPr>
          <w:rFonts w:hint="cs"/>
          <w:rtl/>
        </w:rPr>
        <w:t xml:space="preserve">אמרנו </w:t>
      </w:r>
      <w:bookmarkStart w:id="15495" w:name="_ETM_Q21_231989"/>
      <w:bookmarkEnd w:id="15495"/>
      <w:r>
        <w:rPr>
          <w:rFonts w:hint="cs"/>
          <w:rtl/>
        </w:rPr>
        <w:t xml:space="preserve">לך, </w:t>
      </w:r>
      <w:bookmarkStart w:id="15496" w:name="_ETM_Q21_233240"/>
      <w:bookmarkEnd w:id="15496"/>
      <w:r>
        <w:rPr>
          <w:rFonts w:hint="cs"/>
          <w:rtl/>
        </w:rPr>
        <w:t xml:space="preserve">לא </w:t>
      </w:r>
      <w:bookmarkStart w:id="15497" w:name="_ETM_Q21_233390"/>
      <w:bookmarkEnd w:id="15497"/>
      <w:r>
        <w:rPr>
          <w:rFonts w:hint="cs"/>
          <w:rtl/>
        </w:rPr>
        <w:t xml:space="preserve">תוכל </w:t>
      </w:r>
      <w:bookmarkStart w:id="15498" w:name="_ETM_Q21_233720"/>
      <w:bookmarkEnd w:id="15498"/>
      <w:r>
        <w:rPr>
          <w:rFonts w:hint="cs"/>
          <w:rtl/>
        </w:rPr>
        <w:t xml:space="preserve">לומר: </w:t>
      </w:r>
      <w:bookmarkStart w:id="15499" w:name="_ETM_Q21_234080"/>
      <w:bookmarkEnd w:id="15499"/>
      <w:r>
        <w:rPr>
          <w:rFonts w:hint="cs"/>
          <w:rtl/>
        </w:rPr>
        <w:t xml:space="preserve">לא </w:t>
      </w:r>
      <w:bookmarkStart w:id="15500" w:name="_ETM_Q21_234200"/>
      <w:bookmarkEnd w:id="15500"/>
      <w:r>
        <w:rPr>
          <w:rFonts w:hint="cs"/>
          <w:rtl/>
        </w:rPr>
        <w:t xml:space="preserve">ידעתי, </w:t>
      </w:r>
      <w:bookmarkStart w:id="15501" w:name="_ETM_Q21_235649"/>
      <w:bookmarkEnd w:id="15501"/>
      <w:r>
        <w:rPr>
          <w:rFonts w:hint="cs"/>
          <w:rtl/>
        </w:rPr>
        <w:t xml:space="preserve">הרי </w:t>
      </w:r>
      <w:bookmarkStart w:id="15502" w:name="_ETM_Q21_235890"/>
      <w:bookmarkEnd w:id="15502"/>
      <w:r>
        <w:rPr>
          <w:rFonts w:hint="cs"/>
          <w:rtl/>
        </w:rPr>
        <w:t xml:space="preserve">לא </w:t>
      </w:r>
      <w:bookmarkStart w:id="15503" w:name="_ETM_Q21_236039"/>
      <w:bookmarkEnd w:id="15503"/>
      <w:r>
        <w:rPr>
          <w:rFonts w:hint="cs"/>
          <w:rtl/>
        </w:rPr>
        <w:t xml:space="preserve">סתם </w:t>
      </w:r>
      <w:bookmarkStart w:id="15504" w:name="_ETM_Q21_236370"/>
      <w:bookmarkEnd w:id="15504"/>
      <w:r>
        <w:rPr>
          <w:rFonts w:hint="cs"/>
          <w:rtl/>
        </w:rPr>
        <w:t xml:space="preserve">ניסית </w:t>
      </w:r>
      <w:bookmarkStart w:id="15505" w:name="_ETM_Q21_236789"/>
      <w:bookmarkEnd w:id="15505"/>
      <w:r>
        <w:rPr>
          <w:rFonts w:hint="cs"/>
          <w:rtl/>
        </w:rPr>
        <w:t xml:space="preserve">לדחות </w:t>
      </w:r>
      <w:bookmarkStart w:id="15506" w:name="_ETM_Q21_237120"/>
      <w:bookmarkEnd w:id="15506"/>
      <w:r>
        <w:rPr>
          <w:rFonts w:hint="cs"/>
          <w:rtl/>
        </w:rPr>
        <w:t xml:space="preserve">את </w:t>
      </w:r>
      <w:bookmarkStart w:id="15507" w:name="_ETM_Q21_237629"/>
      <w:bookmarkEnd w:id="15507"/>
      <w:r>
        <w:rPr>
          <w:rFonts w:hint="cs"/>
          <w:rtl/>
        </w:rPr>
        <w:t>החקיקה.</w:t>
      </w:r>
    </w:p>
    <w:p w:rsidR="000C5C1F" w:rsidRDefault="000C5C1F" w:rsidP="000C5C1F">
      <w:pPr>
        <w:rPr>
          <w:rtl/>
        </w:rPr>
      </w:pPr>
    </w:p>
    <w:p w:rsidR="000C5C1F" w:rsidRDefault="000C5C1F" w:rsidP="000C5C1F">
      <w:pPr>
        <w:rPr>
          <w:rtl/>
        </w:rPr>
      </w:pPr>
      <w:r>
        <w:rPr>
          <w:rFonts w:hint="cs"/>
          <w:rtl/>
        </w:rPr>
        <w:t xml:space="preserve">יו"ר הכנסת אמיר אוחנה, </w:t>
      </w:r>
      <w:bookmarkStart w:id="15508" w:name="_ETM_Q21_241579"/>
      <w:bookmarkEnd w:id="15508"/>
      <w:r>
        <w:rPr>
          <w:rFonts w:hint="cs"/>
          <w:rtl/>
        </w:rPr>
        <w:t xml:space="preserve">אתה </w:t>
      </w:r>
      <w:bookmarkStart w:id="15509" w:name="_ETM_Q21_241820"/>
      <w:bookmarkEnd w:id="15509"/>
      <w:r>
        <w:rPr>
          <w:rFonts w:hint="cs"/>
          <w:rtl/>
        </w:rPr>
        <w:t xml:space="preserve">יודע </w:t>
      </w:r>
      <w:bookmarkStart w:id="15510" w:name="_ETM_Q21_243320"/>
      <w:bookmarkEnd w:id="15510"/>
      <w:r>
        <w:rPr>
          <w:rFonts w:hint="cs"/>
          <w:rtl/>
        </w:rPr>
        <w:t xml:space="preserve">עמוק </w:t>
      </w:r>
      <w:bookmarkStart w:id="15511" w:name="_ETM_Q21_243680"/>
      <w:bookmarkEnd w:id="15511"/>
      <w:r>
        <w:rPr>
          <w:rFonts w:hint="cs"/>
          <w:rtl/>
        </w:rPr>
        <w:t xml:space="preserve">בפנים </w:t>
      </w:r>
      <w:bookmarkStart w:id="15512" w:name="_ETM_Q21_245079"/>
      <w:bookmarkEnd w:id="15512"/>
      <w:r>
        <w:rPr>
          <w:rFonts w:hint="cs"/>
          <w:rtl/>
        </w:rPr>
        <w:t xml:space="preserve">מה </w:t>
      </w:r>
      <w:bookmarkStart w:id="15513" w:name="_ETM_Q21_245439"/>
      <w:bookmarkEnd w:id="15513"/>
      <w:r>
        <w:rPr>
          <w:rFonts w:hint="cs"/>
          <w:rtl/>
        </w:rPr>
        <w:t xml:space="preserve">ההפיכה </w:t>
      </w:r>
      <w:bookmarkStart w:id="15514" w:name="_ETM_Q21_245920"/>
      <w:bookmarkEnd w:id="15514"/>
      <w:r>
        <w:rPr>
          <w:rFonts w:hint="cs"/>
          <w:rtl/>
        </w:rPr>
        <w:t xml:space="preserve">הזאת </w:t>
      </w:r>
      <w:bookmarkStart w:id="15515" w:name="_ETM_Q21_246219"/>
      <w:bookmarkEnd w:id="15515"/>
      <w:r>
        <w:rPr>
          <w:rFonts w:hint="cs"/>
          <w:rtl/>
        </w:rPr>
        <w:t xml:space="preserve">תעשה </w:t>
      </w:r>
      <w:bookmarkStart w:id="15516" w:name="_ETM_Q21_246579"/>
      <w:bookmarkEnd w:id="15516"/>
      <w:r>
        <w:rPr>
          <w:rFonts w:hint="cs"/>
          <w:rtl/>
        </w:rPr>
        <w:t xml:space="preserve">לקהילה </w:t>
      </w:r>
      <w:bookmarkStart w:id="15517" w:name="_ETM_Q21_247060"/>
      <w:bookmarkEnd w:id="15517"/>
      <w:r>
        <w:rPr>
          <w:rFonts w:hint="cs"/>
          <w:rtl/>
        </w:rPr>
        <w:t xml:space="preserve">הגאה. </w:t>
      </w:r>
      <w:bookmarkStart w:id="15518" w:name="_ETM_Q21_248140"/>
      <w:bookmarkEnd w:id="15518"/>
      <w:r>
        <w:rPr>
          <w:rFonts w:hint="cs"/>
          <w:rtl/>
        </w:rPr>
        <w:t xml:space="preserve">אתה </w:t>
      </w:r>
      <w:bookmarkStart w:id="15519" w:name="_ETM_Q21_248319"/>
      <w:bookmarkEnd w:id="15519"/>
      <w:r>
        <w:rPr>
          <w:rFonts w:hint="cs"/>
          <w:rtl/>
        </w:rPr>
        <w:t xml:space="preserve">יודע </w:t>
      </w:r>
      <w:bookmarkStart w:id="15520" w:name="_ETM_Q21_248590"/>
      <w:bookmarkEnd w:id="15520"/>
      <w:r>
        <w:rPr>
          <w:rFonts w:hint="cs"/>
          <w:rtl/>
        </w:rPr>
        <w:t xml:space="preserve">שבג"ץ </w:t>
      </w:r>
      <w:bookmarkStart w:id="15521" w:name="_ETM_Q21_249490"/>
      <w:bookmarkEnd w:id="15521"/>
      <w:r>
        <w:rPr>
          <w:rFonts w:hint="cs"/>
          <w:rtl/>
        </w:rPr>
        <w:t xml:space="preserve">שומר </w:t>
      </w:r>
      <w:bookmarkStart w:id="15522" w:name="_ETM_Q21_249910"/>
      <w:bookmarkEnd w:id="15522"/>
      <w:r>
        <w:rPr>
          <w:rFonts w:hint="cs"/>
          <w:rtl/>
        </w:rPr>
        <w:t xml:space="preserve">עליכם. </w:t>
      </w:r>
      <w:bookmarkStart w:id="15523" w:name="_ETM_Q21_250930"/>
      <w:bookmarkEnd w:id="15523"/>
      <w:r>
        <w:rPr>
          <w:rFonts w:hint="cs"/>
          <w:rtl/>
        </w:rPr>
        <w:t xml:space="preserve">אתה </w:t>
      </w:r>
      <w:bookmarkStart w:id="15524" w:name="_ETM_Q21_251230"/>
      <w:bookmarkEnd w:id="15524"/>
      <w:r>
        <w:rPr>
          <w:rFonts w:hint="cs"/>
          <w:rtl/>
        </w:rPr>
        <w:t xml:space="preserve">לא </w:t>
      </w:r>
      <w:bookmarkStart w:id="15525" w:name="_ETM_Q21_251380"/>
      <w:bookmarkEnd w:id="15525"/>
      <w:r>
        <w:rPr>
          <w:rFonts w:hint="cs"/>
          <w:rtl/>
        </w:rPr>
        <w:t xml:space="preserve">רואה </w:t>
      </w:r>
      <w:bookmarkStart w:id="15526" w:name="_ETM_Q21_251770"/>
      <w:bookmarkEnd w:id="15526"/>
      <w:r>
        <w:rPr>
          <w:rFonts w:hint="cs"/>
          <w:rtl/>
        </w:rPr>
        <w:t xml:space="preserve">שמי </w:t>
      </w:r>
      <w:bookmarkStart w:id="15527" w:name="_ETM_Q21_252040"/>
      <w:bookmarkEnd w:id="15527"/>
      <w:r>
        <w:rPr>
          <w:rFonts w:hint="cs"/>
          <w:rtl/>
        </w:rPr>
        <w:t xml:space="preserve">שיושב </w:t>
      </w:r>
      <w:bookmarkStart w:id="15528" w:name="_ETM_Q21_252459"/>
      <w:bookmarkEnd w:id="15528"/>
      <w:r>
        <w:rPr>
          <w:rFonts w:hint="cs"/>
          <w:rtl/>
        </w:rPr>
        <w:t xml:space="preserve">לידך </w:t>
      </w:r>
      <w:bookmarkStart w:id="15529" w:name="_ETM_Q21_252850"/>
      <w:bookmarkEnd w:id="15529"/>
      <w:r>
        <w:rPr>
          <w:rFonts w:hint="cs"/>
          <w:rtl/>
        </w:rPr>
        <w:t xml:space="preserve">לא </w:t>
      </w:r>
      <w:bookmarkStart w:id="15530" w:name="_ETM_Q21_252970"/>
      <w:bookmarkEnd w:id="15530"/>
      <w:r>
        <w:rPr>
          <w:rFonts w:hint="cs"/>
          <w:rtl/>
        </w:rPr>
        <w:t xml:space="preserve">מעוניין </w:t>
      </w:r>
      <w:bookmarkStart w:id="15531" w:name="_ETM_Q21_253420"/>
      <w:bookmarkEnd w:id="15531"/>
      <w:r>
        <w:rPr>
          <w:rFonts w:hint="cs"/>
          <w:rtl/>
        </w:rPr>
        <w:t xml:space="preserve">שתהיה </w:t>
      </w:r>
      <w:bookmarkStart w:id="15532" w:name="_ETM_Q21_253660"/>
      <w:bookmarkEnd w:id="15532"/>
      <w:r>
        <w:rPr>
          <w:rFonts w:hint="cs"/>
          <w:rtl/>
        </w:rPr>
        <w:t xml:space="preserve">לך </w:t>
      </w:r>
      <w:bookmarkStart w:id="15533" w:name="_ETM_Q21_253840"/>
      <w:bookmarkEnd w:id="15533"/>
      <w:r>
        <w:rPr>
          <w:rFonts w:hint="cs"/>
          <w:rtl/>
        </w:rPr>
        <w:t xml:space="preserve">משפחה, </w:t>
      </w:r>
      <w:bookmarkStart w:id="15534" w:name="_ETM_Q21_255130"/>
      <w:bookmarkEnd w:id="15534"/>
      <w:r>
        <w:rPr>
          <w:rFonts w:hint="cs"/>
          <w:rtl/>
        </w:rPr>
        <w:t xml:space="preserve">שיהיו לך </w:t>
      </w:r>
      <w:bookmarkStart w:id="15535" w:name="_ETM_Q21_255430"/>
      <w:bookmarkEnd w:id="15535"/>
      <w:r>
        <w:rPr>
          <w:rFonts w:hint="cs"/>
          <w:rtl/>
        </w:rPr>
        <w:t xml:space="preserve">ילדים? </w:t>
      </w:r>
      <w:bookmarkStart w:id="15536" w:name="_ETM_Q21_257390"/>
      <w:bookmarkEnd w:id="15536"/>
    </w:p>
    <w:p w:rsidR="000C5C1F" w:rsidRDefault="000C5C1F" w:rsidP="000C5C1F">
      <w:pPr>
        <w:rPr>
          <w:rtl/>
        </w:rPr>
      </w:pPr>
      <w:bookmarkStart w:id="15537" w:name="_ETM_Q21_259000"/>
      <w:bookmarkEnd w:id="15537"/>
    </w:p>
    <w:p w:rsidR="000C5C1F" w:rsidRDefault="000C5C1F" w:rsidP="000C5C1F">
      <w:pPr>
        <w:rPr>
          <w:rtl/>
        </w:rPr>
      </w:pPr>
      <w:r>
        <w:rPr>
          <w:rFonts w:hint="cs"/>
          <w:rtl/>
        </w:rPr>
        <w:t xml:space="preserve">ידידיי, </w:t>
      </w:r>
      <w:bookmarkStart w:id="15538" w:name="_ETM_Q21_258700"/>
      <w:bookmarkEnd w:id="15538"/>
      <w:r>
        <w:rPr>
          <w:rFonts w:hint="cs"/>
          <w:rtl/>
        </w:rPr>
        <w:t xml:space="preserve">אנשים </w:t>
      </w:r>
      <w:bookmarkStart w:id="15539" w:name="_ETM_Q21_259299"/>
      <w:bookmarkEnd w:id="15539"/>
      <w:r>
        <w:rPr>
          <w:rFonts w:hint="cs"/>
          <w:rtl/>
        </w:rPr>
        <w:t xml:space="preserve">ישרים </w:t>
      </w:r>
      <w:bookmarkStart w:id="15540" w:name="_ETM_Q21_259749"/>
      <w:bookmarkEnd w:id="15540"/>
      <w:r>
        <w:rPr>
          <w:rFonts w:hint="cs"/>
          <w:rtl/>
        </w:rPr>
        <w:t xml:space="preserve">וערכיים </w:t>
      </w:r>
      <w:bookmarkStart w:id="15541" w:name="_ETM_Q21_260259"/>
      <w:bookmarkEnd w:id="15541"/>
      <w:r>
        <w:rPr>
          <w:rFonts w:hint="cs"/>
          <w:rtl/>
        </w:rPr>
        <w:t xml:space="preserve">בליכוד, </w:t>
      </w:r>
      <w:bookmarkStart w:id="15542" w:name="_ETM_Q21_261319"/>
      <w:bookmarkEnd w:id="15542"/>
      <w:r>
        <w:rPr>
          <w:rFonts w:hint="cs"/>
          <w:rtl/>
        </w:rPr>
        <w:t xml:space="preserve">אני </w:t>
      </w:r>
      <w:bookmarkStart w:id="15543" w:name="_ETM_Q21_261709"/>
      <w:bookmarkEnd w:id="15543"/>
      <w:r>
        <w:rPr>
          <w:rFonts w:hint="cs"/>
          <w:rtl/>
        </w:rPr>
        <w:t xml:space="preserve">יודע </w:t>
      </w:r>
      <w:bookmarkStart w:id="15544" w:name="_ETM_Q21_262069"/>
      <w:bookmarkEnd w:id="15544"/>
      <w:r>
        <w:rPr>
          <w:rFonts w:hint="cs"/>
          <w:rtl/>
        </w:rPr>
        <w:t xml:space="preserve">מה </w:t>
      </w:r>
      <w:bookmarkStart w:id="15545" w:name="_ETM_Q21_263200"/>
      <w:bookmarkEnd w:id="15545"/>
      <w:r>
        <w:rPr>
          <w:rFonts w:hint="cs"/>
          <w:rtl/>
        </w:rPr>
        <w:t xml:space="preserve">בליבכם. </w:t>
      </w:r>
      <w:bookmarkStart w:id="15546" w:name="_ETM_Q21_263950"/>
      <w:bookmarkEnd w:id="15546"/>
      <w:r>
        <w:rPr>
          <w:rFonts w:hint="cs"/>
          <w:rtl/>
        </w:rPr>
        <w:t xml:space="preserve">אתם </w:t>
      </w:r>
      <w:bookmarkStart w:id="15547" w:name="_ETM_Q21_264250"/>
      <w:bookmarkEnd w:id="15547"/>
      <w:r>
        <w:rPr>
          <w:rFonts w:hint="cs"/>
          <w:rtl/>
        </w:rPr>
        <w:t xml:space="preserve">מבינים </w:t>
      </w:r>
      <w:bookmarkStart w:id="15548" w:name="_ETM_Q21_264640"/>
      <w:bookmarkEnd w:id="15548"/>
      <w:r>
        <w:rPr>
          <w:rFonts w:hint="cs"/>
          <w:rtl/>
        </w:rPr>
        <w:t xml:space="preserve">כמוני </w:t>
      </w:r>
      <w:bookmarkStart w:id="15549" w:name="_ETM_Q21_265209"/>
      <w:bookmarkEnd w:id="15549"/>
      <w:r>
        <w:rPr>
          <w:rFonts w:hint="cs"/>
          <w:rtl/>
        </w:rPr>
        <w:t xml:space="preserve">לאן </w:t>
      </w:r>
      <w:bookmarkStart w:id="15550" w:name="_ETM_Q21_265450"/>
      <w:bookmarkEnd w:id="15550"/>
      <w:r>
        <w:rPr>
          <w:rFonts w:hint="cs"/>
          <w:rtl/>
        </w:rPr>
        <w:t xml:space="preserve">כל </w:t>
      </w:r>
      <w:bookmarkStart w:id="15551" w:name="_ETM_Q21_265659"/>
      <w:bookmarkEnd w:id="15551"/>
      <w:r>
        <w:rPr>
          <w:rFonts w:hint="cs"/>
          <w:rtl/>
        </w:rPr>
        <w:t xml:space="preserve">הדבר </w:t>
      </w:r>
      <w:bookmarkStart w:id="15552" w:name="_ETM_Q21_266049"/>
      <w:bookmarkEnd w:id="15552"/>
      <w:r>
        <w:rPr>
          <w:rFonts w:hint="cs"/>
          <w:rtl/>
        </w:rPr>
        <w:t xml:space="preserve">הזה </w:t>
      </w:r>
      <w:bookmarkStart w:id="15553" w:name="_ETM_Q21_266289"/>
      <w:bookmarkEnd w:id="15553"/>
      <w:r>
        <w:rPr>
          <w:rFonts w:hint="cs"/>
          <w:rtl/>
        </w:rPr>
        <w:t xml:space="preserve">הולך. </w:t>
      </w:r>
      <w:bookmarkStart w:id="15554" w:name="_ETM_Q21_267359"/>
      <w:bookmarkEnd w:id="15554"/>
      <w:r>
        <w:rPr>
          <w:rFonts w:hint="cs"/>
          <w:rtl/>
        </w:rPr>
        <w:t xml:space="preserve">האם </w:t>
      </w:r>
      <w:bookmarkStart w:id="15555" w:name="_ETM_Q21_267569"/>
      <w:bookmarkEnd w:id="15555"/>
      <w:r>
        <w:rPr>
          <w:rFonts w:hint="cs"/>
          <w:rtl/>
        </w:rPr>
        <w:t xml:space="preserve">זה </w:t>
      </w:r>
      <w:bookmarkStart w:id="15556" w:name="_ETM_Q21_267689"/>
      <w:bookmarkEnd w:id="15556"/>
      <w:r>
        <w:rPr>
          <w:rFonts w:hint="cs"/>
          <w:rtl/>
        </w:rPr>
        <w:t xml:space="preserve">באמת </w:t>
      </w:r>
      <w:bookmarkStart w:id="15557" w:name="_ETM_Q21_268109"/>
      <w:bookmarkEnd w:id="15557"/>
      <w:r>
        <w:rPr>
          <w:rFonts w:hint="cs"/>
          <w:rtl/>
        </w:rPr>
        <w:t xml:space="preserve">מה </w:t>
      </w:r>
      <w:bookmarkStart w:id="15558" w:name="_ETM_Q21_268289"/>
      <w:bookmarkEnd w:id="15558"/>
      <w:r>
        <w:rPr>
          <w:rFonts w:hint="cs"/>
          <w:rtl/>
        </w:rPr>
        <w:t xml:space="preserve">שאתם </w:t>
      </w:r>
      <w:bookmarkStart w:id="15559" w:name="_ETM_Q21_268649"/>
      <w:bookmarkEnd w:id="15559"/>
      <w:r>
        <w:rPr>
          <w:rFonts w:hint="cs"/>
          <w:rtl/>
        </w:rPr>
        <w:t xml:space="preserve">רוצים? </w:t>
      </w:r>
      <w:bookmarkStart w:id="15560" w:name="_ETM_Q21_270050"/>
      <w:bookmarkEnd w:id="15560"/>
      <w:r>
        <w:rPr>
          <w:rFonts w:hint="cs"/>
          <w:rtl/>
        </w:rPr>
        <w:t xml:space="preserve">האם </w:t>
      </w:r>
      <w:bookmarkStart w:id="15561" w:name="_ETM_Q21_270260"/>
      <w:bookmarkEnd w:id="15561"/>
      <w:r>
        <w:rPr>
          <w:rFonts w:hint="cs"/>
          <w:rtl/>
        </w:rPr>
        <w:t xml:space="preserve">בשביל </w:t>
      </w:r>
      <w:bookmarkStart w:id="15562" w:name="_ETM_Q21_270620"/>
      <w:bookmarkEnd w:id="15562"/>
      <w:r>
        <w:rPr>
          <w:rFonts w:hint="cs"/>
          <w:rtl/>
        </w:rPr>
        <w:t xml:space="preserve">זה </w:t>
      </w:r>
      <w:bookmarkStart w:id="15563" w:name="_ETM_Q21_270800"/>
      <w:bookmarkEnd w:id="15563"/>
      <w:r>
        <w:rPr>
          <w:rFonts w:hint="cs"/>
          <w:rtl/>
        </w:rPr>
        <w:t xml:space="preserve">נבחרתם </w:t>
      </w:r>
      <w:bookmarkStart w:id="15564" w:name="_ETM_Q21_271340"/>
      <w:bookmarkEnd w:id="15564"/>
      <w:r>
        <w:rPr>
          <w:rFonts w:hint="cs"/>
          <w:rtl/>
        </w:rPr>
        <w:t xml:space="preserve">לכנסת? </w:t>
      </w:r>
      <w:bookmarkStart w:id="15565" w:name="_ETM_Q21_272850"/>
      <w:bookmarkEnd w:id="15565"/>
      <w:r>
        <w:rPr>
          <w:rFonts w:hint="cs"/>
          <w:rtl/>
        </w:rPr>
        <w:t xml:space="preserve">ברור </w:t>
      </w:r>
      <w:bookmarkStart w:id="15566" w:name="_ETM_Q21_273270"/>
      <w:bookmarkEnd w:id="15566"/>
      <w:r>
        <w:rPr>
          <w:rFonts w:hint="cs"/>
          <w:rtl/>
        </w:rPr>
        <w:t xml:space="preserve">שלא. </w:t>
      </w:r>
      <w:bookmarkStart w:id="15567" w:name="_ETM_Q21_274200"/>
      <w:bookmarkEnd w:id="15567"/>
      <w:r>
        <w:rPr>
          <w:rFonts w:hint="cs"/>
          <w:rtl/>
        </w:rPr>
        <w:t>אתם</w:t>
      </w:r>
      <w:bookmarkStart w:id="15568" w:name="_ETM_Q21_274619"/>
      <w:bookmarkEnd w:id="15568"/>
      <w:r>
        <w:rPr>
          <w:rFonts w:hint="cs"/>
          <w:rtl/>
        </w:rPr>
        <w:t xml:space="preserve"> לא </w:t>
      </w:r>
      <w:bookmarkStart w:id="15569" w:name="_ETM_Q21_274770"/>
      <w:bookmarkEnd w:id="15569"/>
      <w:r>
        <w:rPr>
          <w:rFonts w:hint="cs"/>
          <w:rtl/>
        </w:rPr>
        <w:t xml:space="preserve">מזדהים </w:t>
      </w:r>
      <w:bookmarkStart w:id="15570" w:name="_ETM_Q21_275189"/>
      <w:bookmarkEnd w:id="15570"/>
      <w:r>
        <w:rPr>
          <w:rFonts w:hint="cs"/>
          <w:rtl/>
        </w:rPr>
        <w:t xml:space="preserve">עם </w:t>
      </w:r>
      <w:bookmarkStart w:id="15571" w:name="_ETM_Q21_275369"/>
      <w:bookmarkEnd w:id="15571"/>
      <w:r>
        <w:rPr>
          <w:rFonts w:hint="cs"/>
          <w:rtl/>
        </w:rPr>
        <w:t xml:space="preserve">האמירות </w:t>
      </w:r>
      <w:bookmarkStart w:id="15572" w:name="_ETM_Q21_275819"/>
      <w:bookmarkEnd w:id="15572"/>
      <w:r>
        <w:rPr>
          <w:rFonts w:hint="cs"/>
          <w:rtl/>
        </w:rPr>
        <w:t xml:space="preserve">הבזויות </w:t>
      </w:r>
      <w:bookmarkStart w:id="15573" w:name="_ETM_Q21_276329"/>
      <w:bookmarkEnd w:id="15573"/>
      <w:r>
        <w:rPr>
          <w:rFonts w:hint="cs"/>
          <w:rtl/>
        </w:rPr>
        <w:t xml:space="preserve">שנאמרות </w:t>
      </w:r>
      <w:bookmarkStart w:id="15574" w:name="_ETM_Q21_276899"/>
      <w:bookmarkEnd w:id="15574"/>
      <w:r>
        <w:rPr>
          <w:rFonts w:hint="cs"/>
          <w:rtl/>
        </w:rPr>
        <w:t xml:space="preserve">מסביבכם, </w:t>
      </w:r>
      <w:bookmarkStart w:id="15575" w:name="_ETM_Q21_277979"/>
      <w:bookmarkEnd w:id="15575"/>
      <w:r>
        <w:rPr>
          <w:rFonts w:hint="cs"/>
          <w:rtl/>
        </w:rPr>
        <w:t xml:space="preserve">אתם </w:t>
      </w:r>
      <w:bookmarkStart w:id="15576" w:name="_ETM_Q21_278310"/>
      <w:bookmarkEnd w:id="15576"/>
      <w:r>
        <w:rPr>
          <w:rFonts w:hint="cs"/>
          <w:rtl/>
        </w:rPr>
        <w:t xml:space="preserve">לא </w:t>
      </w:r>
      <w:bookmarkStart w:id="15577" w:name="_ETM_Q21_278429"/>
      <w:bookmarkEnd w:id="15577"/>
      <w:r>
        <w:rPr>
          <w:rFonts w:hint="cs"/>
          <w:rtl/>
        </w:rPr>
        <w:t xml:space="preserve">מזדהים </w:t>
      </w:r>
      <w:bookmarkStart w:id="15578" w:name="_ETM_Q21_278909"/>
      <w:bookmarkEnd w:id="15578"/>
      <w:r>
        <w:rPr>
          <w:rFonts w:hint="cs"/>
          <w:rtl/>
        </w:rPr>
        <w:t xml:space="preserve">עם </w:t>
      </w:r>
      <w:bookmarkStart w:id="15579" w:name="_ETM_Q21_279060"/>
      <w:bookmarkEnd w:id="15579"/>
      <w:r>
        <w:rPr>
          <w:rFonts w:hint="cs"/>
          <w:rtl/>
        </w:rPr>
        <w:t xml:space="preserve">צמצום </w:t>
      </w:r>
      <w:bookmarkStart w:id="15580" w:name="_ETM_Q21_279569"/>
      <w:bookmarkEnd w:id="15580"/>
      <w:r>
        <w:rPr>
          <w:rFonts w:hint="cs"/>
          <w:rtl/>
        </w:rPr>
        <w:t xml:space="preserve">הדמוקרטיה </w:t>
      </w:r>
      <w:bookmarkStart w:id="15581" w:name="_ETM_Q21_280200"/>
      <w:bookmarkEnd w:id="15581"/>
      <w:r>
        <w:rPr>
          <w:rFonts w:hint="cs"/>
          <w:rtl/>
        </w:rPr>
        <w:t xml:space="preserve">הישראלית. </w:t>
      </w:r>
      <w:bookmarkStart w:id="15582" w:name="_ETM_Q21_281740"/>
      <w:bookmarkEnd w:id="15582"/>
      <w:r>
        <w:rPr>
          <w:rFonts w:hint="cs"/>
          <w:rtl/>
        </w:rPr>
        <w:t xml:space="preserve">יש </w:t>
      </w:r>
      <w:bookmarkStart w:id="15583" w:name="_ETM_Q21_281920"/>
      <w:bookmarkEnd w:id="15583"/>
      <w:r>
        <w:rPr>
          <w:rFonts w:hint="cs"/>
          <w:rtl/>
        </w:rPr>
        <w:t xml:space="preserve">עוד </w:t>
      </w:r>
      <w:bookmarkStart w:id="15584" w:name="_ETM_Q21_282069"/>
      <w:bookmarkEnd w:id="15584"/>
      <w:r>
        <w:rPr>
          <w:rFonts w:hint="cs"/>
          <w:rtl/>
        </w:rPr>
        <w:t xml:space="preserve">אנשים </w:t>
      </w:r>
      <w:bookmarkStart w:id="15585" w:name="_ETM_Q21_282520"/>
      <w:bookmarkEnd w:id="15585"/>
      <w:r>
        <w:rPr>
          <w:rFonts w:hint="cs"/>
          <w:rtl/>
        </w:rPr>
        <w:t xml:space="preserve">רבים, </w:t>
      </w:r>
      <w:bookmarkStart w:id="15586" w:name="_ETM_Q21_283539"/>
      <w:bookmarkEnd w:id="15586"/>
      <w:r>
        <w:rPr>
          <w:rFonts w:hint="cs"/>
          <w:rtl/>
        </w:rPr>
        <w:t xml:space="preserve">טובים, </w:t>
      </w:r>
      <w:bookmarkStart w:id="15587" w:name="_ETM_Q21_284380"/>
      <w:bookmarkEnd w:id="15587"/>
      <w:r>
        <w:rPr>
          <w:rFonts w:hint="cs"/>
          <w:rtl/>
        </w:rPr>
        <w:t xml:space="preserve">שלא </w:t>
      </w:r>
      <w:bookmarkStart w:id="15588" w:name="_ETM_Q21_284649"/>
      <w:bookmarkEnd w:id="15588"/>
      <w:r>
        <w:rPr>
          <w:rFonts w:hint="cs"/>
          <w:rtl/>
        </w:rPr>
        <w:t xml:space="preserve">מאמינים </w:t>
      </w:r>
      <w:bookmarkStart w:id="15589" w:name="_ETM_Q21_285159"/>
      <w:bookmarkEnd w:id="15589"/>
      <w:r>
        <w:rPr>
          <w:rFonts w:hint="cs"/>
          <w:rtl/>
        </w:rPr>
        <w:t xml:space="preserve">במה </w:t>
      </w:r>
      <w:bookmarkStart w:id="15590" w:name="_ETM_Q21_285399"/>
      <w:bookmarkEnd w:id="15590"/>
      <w:r>
        <w:rPr>
          <w:rFonts w:hint="cs"/>
          <w:rtl/>
        </w:rPr>
        <w:t xml:space="preserve">שקורה </w:t>
      </w:r>
      <w:bookmarkStart w:id="15591" w:name="_ETM_Q21_285789"/>
      <w:bookmarkEnd w:id="15591"/>
      <w:r>
        <w:rPr>
          <w:rFonts w:hint="cs"/>
          <w:rtl/>
        </w:rPr>
        <w:t xml:space="preserve">פה </w:t>
      </w:r>
      <w:bookmarkStart w:id="15592" w:name="_ETM_Q21_285969"/>
      <w:bookmarkEnd w:id="15592"/>
      <w:r>
        <w:rPr>
          <w:rFonts w:hint="cs"/>
          <w:rtl/>
        </w:rPr>
        <w:t xml:space="preserve">היום </w:t>
      </w:r>
      <w:bookmarkStart w:id="15593" w:name="_ETM_Q21_286990"/>
      <w:bookmarkStart w:id="15594" w:name="_ETM_Q21_287109"/>
      <w:bookmarkEnd w:id="15593"/>
      <w:bookmarkEnd w:id="15594"/>
      <w:r>
        <w:rPr>
          <w:rFonts w:hint="cs"/>
          <w:rtl/>
        </w:rPr>
        <w:t xml:space="preserve">ובחצי </w:t>
      </w:r>
      <w:bookmarkStart w:id="15595" w:name="_ETM_Q21_287530"/>
      <w:bookmarkEnd w:id="15595"/>
      <w:r>
        <w:rPr>
          <w:rFonts w:hint="cs"/>
          <w:rtl/>
        </w:rPr>
        <w:t xml:space="preserve">השנה </w:t>
      </w:r>
      <w:bookmarkStart w:id="15596" w:name="_ETM_Q21_287890"/>
      <w:bookmarkEnd w:id="15596"/>
      <w:r>
        <w:rPr>
          <w:rFonts w:hint="cs"/>
          <w:rtl/>
        </w:rPr>
        <w:t xml:space="preserve">האחרונה. </w:t>
      </w:r>
      <w:bookmarkStart w:id="15597" w:name="_ETM_Q21_289060"/>
      <w:bookmarkEnd w:id="15597"/>
      <w:r>
        <w:rPr>
          <w:rFonts w:hint="cs"/>
          <w:rtl/>
        </w:rPr>
        <w:t xml:space="preserve">אני </w:t>
      </w:r>
      <w:bookmarkStart w:id="15598" w:name="_ETM_Q21_289299"/>
      <w:bookmarkEnd w:id="15598"/>
      <w:r>
        <w:rPr>
          <w:rFonts w:hint="cs"/>
          <w:rtl/>
        </w:rPr>
        <w:t xml:space="preserve">פונה </w:t>
      </w:r>
      <w:bookmarkStart w:id="15599" w:name="_ETM_Q21_289630"/>
      <w:bookmarkEnd w:id="15599"/>
      <w:r>
        <w:rPr>
          <w:rFonts w:hint="cs"/>
          <w:rtl/>
        </w:rPr>
        <w:t xml:space="preserve">אליכם </w:t>
      </w:r>
      <w:bookmarkStart w:id="15600" w:name="_ETM_Q21_290140"/>
      <w:bookmarkEnd w:id="15600"/>
      <w:r>
        <w:rPr>
          <w:rFonts w:hint="cs"/>
          <w:rtl/>
        </w:rPr>
        <w:t xml:space="preserve">מעומק </w:t>
      </w:r>
      <w:bookmarkStart w:id="15601" w:name="_ETM_Q21_290619"/>
      <w:bookmarkEnd w:id="15601"/>
      <w:r>
        <w:rPr>
          <w:rFonts w:hint="cs"/>
          <w:rtl/>
        </w:rPr>
        <w:t xml:space="preserve">הלב, </w:t>
      </w:r>
      <w:bookmarkStart w:id="15602" w:name="_ETM_Q21_291340"/>
      <w:bookmarkEnd w:id="15602"/>
      <w:r>
        <w:rPr>
          <w:rFonts w:hint="cs"/>
          <w:rtl/>
        </w:rPr>
        <w:t xml:space="preserve">ללא </w:t>
      </w:r>
      <w:bookmarkStart w:id="15603" w:name="_ETM_Q21_291700"/>
      <w:bookmarkEnd w:id="15603"/>
      <w:r>
        <w:rPr>
          <w:rFonts w:hint="cs"/>
          <w:rtl/>
        </w:rPr>
        <w:t xml:space="preserve">ציניות, </w:t>
      </w:r>
      <w:bookmarkStart w:id="15604" w:name="_ETM_Q21_292819"/>
      <w:bookmarkEnd w:id="15604"/>
      <w:r>
        <w:rPr>
          <w:rFonts w:hint="cs"/>
          <w:rtl/>
        </w:rPr>
        <w:t xml:space="preserve">ללא </w:t>
      </w:r>
      <w:bookmarkStart w:id="15605" w:name="_ETM_Q21_293119"/>
      <w:bookmarkEnd w:id="15605"/>
      <w:r>
        <w:rPr>
          <w:rFonts w:hint="cs"/>
          <w:rtl/>
        </w:rPr>
        <w:t xml:space="preserve">מטרות </w:t>
      </w:r>
      <w:bookmarkStart w:id="15606" w:name="_ETM_Q21_293569"/>
      <w:bookmarkEnd w:id="15606"/>
      <w:r>
        <w:rPr>
          <w:rFonts w:hint="cs"/>
          <w:rtl/>
        </w:rPr>
        <w:t xml:space="preserve">רווח, </w:t>
      </w:r>
      <w:bookmarkStart w:id="15607" w:name="_ETM_Q21_294259"/>
      <w:bookmarkEnd w:id="15607"/>
      <w:r>
        <w:rPr>
          <w:rFonts w:hint="cs"/>
          <w:rtl/>
        </w:rPr>
        <w:t xml:space="preserve">פונה </w:t>
      </w:r>
      <w:bookmarkStart w:id="15608" w:name="_ETM_Q21_294619"/>
      <w:bookmarkEnd w:id="15608"/>
      <w:r>
        <w:rPr>
          <w:rFonts w:hint="cs"/>
          <w:rtl/>
        </w:rPr>
        <w:t xml:space="preserve">אליכם </w:t>
      </w:r>
      <w:bookmarkStart w:id="15609" w:name="_ETM_Q21_295100"/>
      <w:bookmarkEnd w:id="15609"/>
      <w:r>
        <w:rPr>
          <w:rFonts w:hint="cs"/>
          <w:rtl/>
        </w:rPr>
        <w:t xml:space="preserve">כאיש </w:t>
      </w:r>
      <w:bookmarkStart w:id="15610" w:name="_ETM_Q21_295399"/>
      <w:bookmarkEnd w:id="15610"/>
      <w:r>
        <w:rPr>
          <w:rFonts w:hint="cs"/>
          <w:rtl/>
        </w:rPr>
        <w:t xml:space="preserve">ביטחון </w:t>
      </w:r>
      <w:bookmarkStart w:id="15611" w:name="_ETM_Q21_295909"/>
      <w:bookmarkEnd w:id="15611"/>
      <w:r>
        <w:rPr>
          <w:rFonts w:hint="cs"/>
          <w:rtl/>
        </w:rPr>
        <w:t xml:space="preserve">שסחב </w:t>
      </w:r>
      <w:bookmarkStart w:id="15612" w:name="_ETM_Q21_296359"/>
      <w:bookmarkEnd w:id="15612"/>
      <w:r>
        <w:rPr>
          <w:rFonts w:hint="cs"/>
          <w:rtl/>
        </w:rPr>
        <w:t xml:space="preserve">את </w:t>
      </w:r>
      <w:bookmarkStart w:id="15613" w:name="_ETM_Q21_296509"/>
      <w:bookmarkEnd w:id="15613"/>
      <w:r>
        <w:rPr>
          <w:rFonts w:hint="cs"/>
          <w:rtl/>
        </w:rPr>
        <w:t xml:space="preserve">האלונקה </w:t>
      </w:r>
      <w:bookmarkStart w:id="15614" w:name="_ETM_Q21_297020"/>
      <w:bookmarkEnd w:id="15614"/>
      <w:r>
        <w:rPr>
          <w:rFonts w:hint="cs"/>
          <w:rtl/>
        </w:rPr>
        <w:t xml:space="preserve">לידכם, </w:t>
      </w:r>
      <w:bookmarkStart w:id="15615" w:name="_ETM_Q21_298140"/>
      <w:bookmarkEnd w:id="15615"/>
      <w:r>
        <w:rPr>
          <w:rFonts w:hint="cs"/>
          <w:rtl/>
        </w:rPr>
        <w:t xml:space="preserve">כחקלאי </w:t>
      </w:r>
      <w:bookmarkStart w:id="15616" w:name="_ETM_Q21_298770"/>
      <w:bookmarkEnd w:id="15616"/>
      <w:r>
        <w:rPr>
          <w:rFonts w:hint="cs"/>
          <w:rtl/>
        </w:rPr>
        <w:t xml:space="preserve">שאוהב </w:t>
      </w:r>
      <w:bookmarkStart w:id="15617" w:name="_ETM_Q21_299040"/>
      <w:bookmarkEnd w:id="15617"/>
      <w:r>
        <w:rPr>
          <w:rFonts w:hint="cs"/>
          <w:rtl/>
        </w:rPr>
        <w:t xml:space="preserve">את </w:t>
      </w:r>
      <w:bookmarkStart w:id="15618" w:name="_ETM_Q21_299189"/>
      <w:bookmarkEnd w:id="15618"/>
      <w:r>
        <w:rPr>
          <w:rFonts w:hint="cs"/>
          <w:rtl/>
        </w:rPr>
        <w:t xml:space="preserve">המדינה </w:t>
      </w:r>
      <w:bookmarkStart w:id="15619" w:name="_ETM_Q21_299640"/>
      <w:bookmarkEnd w:id="15619"/>
      <w:r>
        <w:rPr>
          <w:rFonts w:hint="cs"/>
          <w:rtl/>
        </w:rPr>
        <w:t xml:space="preserve">הזאת, </w:t>
      </w:r>
      <w:bookmarkStart w:id="15620" w:name="_ETM_Q21_300610"/>
      <w:bookmarkEnd w:id="15620"/>
      <w:r>
        <w:rPr>
          <w:rFonts w:hint="cs"/>
          <w:rtl/>
        </w:rPr>
        <w:t xml:space="preserve">כאזרח </w:t>
      </w:r>
      <w:bookmarkStart w:id="15621" w:name="_ETM_Q21_301520"/>
      <w:bookmarkEnd w:id="15621"/>
      <w:r>
        <w:rPr>
          <w:rFonts w:hint="cs"/>
          <w:rtl/>
        </w:rPr>
        <w:t xml:space="preserve">שבאמת </w:t>
      </w:r>
      <w:bookmarkStart w:id="15622" w:name="_ETM_Q21_302149"/>
      <w:bookmarkEnd w:id="15622"/>
      <w:r>
        <w:rPr>
          <w:rFonts w:hint="cs"/>
          <w:rtl/>
        </w:rPr>
        <w:t xml:space="preserve">חרד </w:t>
      </w:r>
      <w:bookmarkStart w:id="15623" w:name="_ETM_Q21_302600"/>
      <w:bookmarkEnd w:id="15623"/>
      <w:r>
        <w:rPr>
          <w:rFonts w:hint="cs"/>
          <w:rtl/>
        </w:rPr>
        <w:t xml:space="preserve">מהתהום </w:t>
      </w:r>
      <w:bookmarkStart w:id="15624" w:name="_ETM_Q21_303079"/>
      <w:bookmarkEnd w:id="15624"/>
      <w:r>
        <w:rPr>
          <w:rFonts w:hint="cs"/>
          <w:rtl/>
        </w:rPr>
        <w:t xml:space="preserve">שאליה </w:t>
      </w:r>
      <w:bookmarkStart w:id="15625" w:name="_ETM_Q21_303350"/>
      <w:bookmarkEnd w:id="15625"/>
      <w:r>
        <w:rPr>
          <w:rFonts w:hint="cs"/>
          <w:rtl/>
        </w:rPr>
        <w:t xml:space="preserve">אנחנו </w:t>
      </w:r>
      <w:bookmarkStart w:id="15626" w:name="_ETM_Q21_303679"/>
      <w:bookmarkEnd w:id="15626"/>
      <w:r>
        <w:rPr>
          <w:rFonts w:hint="cs"/>
          <w:rtl/>
        </w:rPr>
        <w:t xml:space="preserve">הולכים: </w:t>
      </w:r>
      <w:bookmarkStart w:id="15627" w:name="_ETM_Q21_304520"/>
      <w:bookmarkEnd w:id="15627"/>
      <w:r>
        <w:rPr>
          <w:rFonts w:hint="cs"/>
          <w:rtl/>
        </w:rPr>
        <w:t xml:space="preserve">תעשו </w:t>
      </w:r>
      <w:bookmarkStart w:id="15628" w:name="_ETM_Q21_305119"/>
      <w:bookmarkEnd w:id="15628"/>
      <w:r>
        <w:rPr>
          <w:rFonts w:hint="cs"/>
          <w:rtl/>
        </w:rPr>
        <w:t xml:space="preserve">מעשה, </w:t>
      </w:r>
      <w:bookmarkStart w:id="15629" w:name="_ETM_Q21_306640"/>
      <w:bookmarkEnd w:id="15629"/>
      <w:r>
        <w:rPr>
          <w:rFonts w:hint="cs"/>
          <w:rtl/>
        </w:rPr>
        <w:t xml:space="preserve">תצביעו </w:t>
      </w:r>
      <w:bookmarkStart w:id="15630" w:name="_ETM_Q21_307330"/>
      <w:bookmarkEnd w:id="15630"/>
      <w:r>
        <w:rPr>
          <w:rFonts w:hint="cs"/>
          <w:rtl/>
        </w:rPr>
        <w:t xml:space="preserve">בצד </w:t>
      </w:r>
      <w:bookmarkStart w:id="15631" w:name="_ETM_Q21_307840"/>
      <w:bookmarkEnd w:id="15631"/>
      <w:r>
        <w:rPr>
          <w:rFonts w:hint="cs"/>
          <w:rtl/>
        </w:rPr>
        <w:t xml:space="preserve">הנכון </w:t>
      </w:r>
      <w:bookmarkStart w:id="15632" w:name="_ETM_Q21_308230"/>
      <w:bookmarkEnd w:id="15632"/>
      <w:r>
        <w:rPr>
          <w:rFonts w:hint="cs"/>
          <w:rtl/>
        </w:rPr>
        <w:t xml:space="preserve">של </w:t>
      </w:r>
      <w:bookmarkStart w:id="15633" w:name="_ETM_Q21_308380"/>
      <w:bookmarkEnd w:id="15633"/>
      <w:r>
        <w:rPr>
          <w:rFonts w:hint="cs"/>
          <w:rtl/>
        </w:rPr>
        <w:t xml:space="preserve">ההיסטוריה. </w:t>
      </w:r>
      <w:bookmarkStart w:id="15634" w:name="_ETM_Q21_309930"/>
      <w:bookmarkEnd w:id="15634"/>
      <w:r>
        <w:rPr>
          <w:rFonts w:hint="cs"/>
          <w:rtl/>
        </w:rPr>
        <w:t xml:space="preserve">במקום </w:t>
      </w:r>
      <w:bookmarkStart w:id="15635" w:name="_ETM_Q21_310650"/>
      <w:bookmarkEnd w:id="15635"/>
      <w:r>
        <w:rPr>
          <w:rFonts w:hint="cs"/>
          <w:rtl/>
        </w:rPr>
        <w:t xml:space="preserve">שאין </w:t>
      </w:r>
      <w:bookmarkStart w:id="15636" w:name="_ETM_Q21_310950"/>
      <w:bookmarkEnd w:id="15636"/>
      <w:r>
        <w:rPr>
          <w:rFonts w:hint="cs"/>
          <w:rtl/>
        </w:rPr>
        <w:t xml:space="preserve">אנשים </w:t>
      </w:r>
      <w:bookmarkStart w:id="15637" w:name="_ETM_Q21_312090"/>
      <w:bookmarkEnd w:id="15637"/>
      <w:r>
        <w:rPr>
          <w:rFonts w:hint="cs"/>
          <w:rtl/>
        </w:rPr>
        <w:t xml:space="preserve">השתדל </w:t>
      </w:r>
      <w:bookmarkStart w:id="15638" w:name="_ETM_Q21_312720"/>
      <w:bookmarkEnd w:id="15638"/>
      <w:r>
        <w:rPr>
          <w:rFonts w:hint="cs"/>
          <w:rtl/>
        </w:rPr>
        <w:t xml:space="preserve">להיות </w:t>
      </w:r>
      <w:bookmarkStart w:id="15639" w:name="_ETM_Q21_313080"/>
      <w:bookmarkEnd w:id="15639"/>
      <w:r>
        <w:rPr>
          <w:rFonts w:hint="cs"/>
          <w:rtl/>
        </w:rPr>
        <w:t xml:space="preserve">איש. </w:t>
      </w:r>
      <w:bookmarkStart w:id="15640" w:name="_ETM_Q21_314060"/>
      <w:bookmarkEnd w:id="15640"/>
      <w:r>
        <w:rPr>
          <w:rFonts w:hint="cs"/>
          <w:rtl/>
        </w:rPr>
        <w:t xml:space="preserve">זה </w:t>
      </w:r>
      <w:bookmarkStart w:id="15641" w:name="_ETM_Q21_314239"/>
      <w:bookmarkEnd w:id="15641"/>
      <w:r>
        <w:rPr>
          <w:rFonts w:hint="cs"/>
          <w:rtl/>
        </w:rPr>
        <w:t xml:space="preserve">אף </w:t>
      </w:r>
      <w:bookmarkStart w:id="15642" w:name="_ETM_Q21_314419"/>
      <w:bookmarkEnd w:id="15642"/>
      <w:r>
        <w:rPr>
          <w:rFonts w:hint="cs"/>
          <w:rtl/>
        </w:rPr>
        <w:t xml:space="preserve">פעם </w:t>
      </w:r>
      <w:bookmarkStart w:id="15643" w:name="_ETM_Q21_314659"/>
      <w:bookmarkEnd w:id="15643"/>
      <w:r>
        <w:rPr>
          <w:rFonts w:hint="cs"/>
          <w:rtl/>
        </w:rPr>
        <w:t xml:space="preserve">לא </w:t>
      </w:r>
      <w:bookmarkStart w:id="15644" w:name="_ETM_Q21_314780"/>
      <w:bookmarkEnd w:id="15644"/>
      <w:r>
        <w:rPr>
          <w:rFonts w:hint="cs"/>
          <w:rtl/>
        </w:rPr>
        <w:t xml:space="preserve">קל, </w:t>
      </w:r>
      <w:bookmarkStart w:id="15645" w:name="_ETM_Q21_315669"/>
      <w:bookmarkEnd w:id="15645"/>
      <w:r>
        <w:rPr>
          <w:rFonts w:hint="cs"/>
          <w:rtl/>
        </w:rPr>
        <w:t xml:space="preserve">אבל </w:t>
      </w:r>
      <w:bookmarkStart w:id="15646" w:name="_ETM_Q21_315909"/>
      <w:bookmarkEnd w:id="15646"/>
      <w:r>
        <w:rPr>
          <w:rFonts w:hint="cs"/>
          <w:rtl/>
        </w:rPr>
        <w:t xml:space="preserve">אני </w:t>
      </w:r>
      <w:bookmarkStart w:id="15647" w:name="_ETM_Q21_316030"/>
      <w:bookmarkEnd w:id="15647"/>
      <w:r>
        <w:rPr>
          <w:rFonts w:hint="cs"/>
          <w:rtl/>
        </w:rPr>
        <w:t xml:space="preserve">אומר </w:t>
      </w:r>
      <w:bookmarkStart w:id="15648" w:name="_ETM_Q21_316239"/>
      <w:bookmarkEnd w:id="15648"/>
      <w:r>
        <w:rPr>
          <w:rFonts w:hint="cs"/>
          <w:rtl/>
        </w:rPr>
        <w:t xml:space="preserve">לכם </w:t>
      </w:r>
      <w:bookmarkStart w:id="15649" w:name="_ETM_Q21_316540"/>
      <w:bookmarkEnd w:id="15649"/>
      <w:r>
        <w:rPr>
          <w:rFonts w:hint="cs"/>
          <w:rtl/>
        </w:rPr>
        <w:t xml:space="preserve">היום: </w:t>
      </w:r>
      <w:bookmarkStart w:id="15650" w:name="_ETM_Q21_317570"/>
      <w:bookmarkEnd w:id="15650"/>
      <w:r>
        <w:rPr>
          <w:rFonts w:hint="cs"/>
          <w:rtl/>
        </w:rPr>
        <w:t xml:space="preserve">אין </w:t>
      </w:r>
      <w:bookmarkStart w:id="15651" w:name="_ETM_Q21_317780"/>
      <w:bookmarkEnd w:id="15651"/>
      <w:r>
        <w:rPr>
          <w:rFonts w:hint="cs"/>
          <w:rtl/>
        </w:rPr>
        <w:t xml:space="preserve">פוליטיקה. </w:t>
      </w:r>
      <w:bookmarkStart w:id="15652" w:name="_ETM_Q21_318900"/>
      <w:bookmarkEnd w:id="15652"/>
      <w:r>
        <w:rPr>
          <w:rFonts w:hint="cs"/>
          <w:rtl/>
        </w:rPr>
        <w:t xml:space="preserve">העם </w:t>
      </w:r>
      <w:bookmarkStart w:id="15653" w:name="_ETM_Q21_319230"/>
      <w:bookmarkEnd w:id="15653"/>
      <w:r>
        <w:rPr>
          <w:rFonts w:hint="cs"/>
          <w:rtl/>
        </w:rPr>
        <w:t xml:space="preserve">יודע </w:t>
      </w:r>
      <w:bookmarkStart w:id="15654" w:name="_ETM_Q21_319650"/>
      <w:bookmarkEnd w:id="15654"/>
      <w:r>
        <w:rPr>
          <w:rFonts w:hint="cs"/>
          <w:rtl/>
        </w:rPr>
        <w:t xml:space="preserve">מי </w:t>
      </w:r>
      <w:bookmarkStart w:id="15655" w:name="_ETM_Q21_319800"/>
      <w:bookmarkEnd w:id="15655"/>
      <w:r>
        <w:rPr>
          <w:rFonts w:hint="cs"/>
          <w:rtl/>
        </w:rPr>
        <w:t xml:space="preserve">מצביע </w:t>
      </w:r>
      <w:bookmarkStart w:id="15656" w:name="_ETM_Q21_320280"/>
      <w:bookmarkEnd w:id="15656"/>
      <w:r>
        <w:rPr>
          <w:rFonts w:hint="cs"/>
          <w:rtl/>
        </w:rPr>
        <w:t xml:space="preserve">עבורו </w:t>
      </w:r>
      <w:bookmarkStart w:id="15657" w:name="_ETM_Q21_320639"/>
      <w:bookmarkEnd w:id="15657"/>
      <w:r>
        <w:rPr>
          <w:rFonts w:hint="cs"/>
          <w:rtl/>
        </w:rPr>
        <w:t xml:space="preserve">היום, </w:t>
      </w:r>
      <w:bookmarkStart w:id="15658" w:name="_ETM_Q21_321360"/>
      <w:bookmarkEnd w:id="15658"/>
      <w:r>
        <w:rPr>
          <w:rFonts w:hint="cs"/>
          <w:rtl/>
        </w:rPr>
        <w:t xml:space="preserve">ומי </w:t>
      </w:r>
      <w:bookmarkStart w:id="15659" w:name="_ETM_Q21_321660"/>
      <w:bookmarkEnd w:id="15659"/>
      <w:r>
        <w:rPr>
          <w:rFonts w:hint="cs"/>
          <w:rtl/>
        </w:rPr>
        <w:t xml:space="preserve">מצביע </w:t>
      </w:r>
      <w:bookmarkStart w:id="15660" w:name="_ETM_Q21_322139"/>
      <w:bookmarkEnd w:id="15660"/>
      <w:r>
        <w:rPr>
          <w:rFonts w:hint="cs"/>
          <w:rtl/>
        </w:rPr>
        <w:t xml:space="preserve">עבור </w:t>
      </w:r>
      <w:bookmarkStart w:id="15661" w:name="_ETM_Q21_322380"/>
      <w:bookmarkEnd w:id="15661"/>
      <w:r>
        <w:rPr>
          <w:rFonts w:hint="cs"/>
          <w:rtl/>
        </w:rPr>
        <w:t xml:space="preserve">רווחים </w:t>
      </w:r>
      <w:bookmarkStart w:id="15662" w:name="_ETM_Q21_322800"/>
      <w:bookmarkEnd w:id="15662"/>
      <w:r>
        <w:rPr>
          <w:rFonts w:hint="cs"/>
          <w:rtl/>
        </w:rPr>
        <w:t xml:space="preserve">אישיים; </w:t>
      </w:r>
      <w:bookmarkStart w:id="15663" w:name="_ETM_Q21_324780"/>
      <w:bookmarkEnd w:id="15663"/>
      <w:r>
        <w:rPr>
          <w:rFonts w:hint="cs"/>
          <w:rtl/>
        </w:rPr>
        <w:t xml:space="preserve">מי </w:t>
      </w:r>
      <w:bookmarkStart w:id="15664" w:name="_ETM_Q21_324959"/>
      <w:bookmarkEnd w:id="15664"/>
      <w:r>
        <w:rPr>
          <w:rFonts w:hint="cs"/>
          <w:rtl/>
        </w:rPr>
        <w:t xml:space="preserve">מצביע </w:t>
      </w:r>
      <w:bookmarkStart w:id="15665" w:name="_ETM_Q21_325379"/>
      <w:bookmarkEnd w:id="15665"/>
      <w:r>
        <w:rPr>
          <w:rFonts w:hint="cs"/>
          <w:rtl/>
        </w:rPr>
        <w:t xml:space="preserve">עבור </w:t>
      </w:r>
      <w:bookmarkStart w:id="15666" w:name="_ETM_Q21_325650"/>
      <w:bookmarkEnd w:id="15666"/>
      <w:r>
        <w:rPr>
          <w:rFonts w:hint="cs"/>
          <w:rtl/>
        </w:rPr>
        <w:t xml:space="preserve">האזרח, </w:t>
      </w:r>
      <w:bookmarkStart w:id="15667" w:name="_ETM_Q21_326610"/>
      <w:bookmarkEnd w:id="15667"/>
      <w:r>
        <w:rPr>
          <w:rFonts w:hint="cs"/>
          <w:rtl/>
        </w:rPr>
        <w:t xml:space="preserve">ומי </w:t>
      </w:r>
      <w:bookmarkStart w:id="15668" w:name="_ETM_Q21_326849"/>
      <w:bookmarkEnd w:id="15668"/>
      <w:r>
        <w:rPr>
          <w:rFonts w:hint="cs"/>
          <w:rtl/>
        </w:rPr>
        <w:t xml:space="preserve">מצביע </w:t>
      </w:r>
      <w:bookmarkStart w:id="15669" w:name="_ETM_Q21_327299"/>
      <w:bookmarkEnd w:id="15669"/>
      <w:r>
        <w:rPr>
          <w:rFonts w:hint="cs"/>
          <w:rtl/>
        </w:rPr>
        <w:t xml:space="preserve">עבור </w:t>
      </w:r>
      <w:bookmarkStart w:id="15670" w:name="_ETM_Q21_327540"/>
      <w:bookmarkEnd w:id="15670"/>
      <w:r>
        <w:rPr>
          <w:rFonts w:hint="cs"/>
          <w:rtl/>
        </w:rPr>
        <w:t xml:space="preserve">הכיסא </w:t>
      </w:r>
      <w:bookmarkStart w:id="15671" w:name="_ETM_Q21_327959"/>
      <w:bookmarkEnd w:id="15671"/>
      <w:r>
        <w:rPr>
          <w:rFonts w:hint="cs"/>
          <w:rtl/>
        </w:rPr>
        <w:t xml:space="preserve">שלו. </w:t>
      </w:r>
      <w:bookmarkStart w:id="15672" w:name="_ETM_Q21_328930"/>
      <w:bookmarkEnd w:id="15672"/>
      <w:r>
        <w:rPr>
          <w:rFonts w:hint="cs"/>
          <w:rtl/>
        </w:rPr>
        <w:t xml:space="preserve">אני </w:t>
      </w:r>
      <w:bookmarkStart w:id="15673" w:name="_ETM_Q21_329200"/>
      <w:bookmarkEnd w:id="15673"/>
      <w:r>
        <w:rPr>
          <w:rFonts w:hint="cs"/>
          <w:rtl/>
        </w:rPr>
        <w:t xml:space="preserve">מושיט </w:t>
      </w:r>
      <w:bookmarkStart w:id="15674" w:name="_ETM_Q21_329560"/>
      <w:bookmarkEnd w:id="15674"/>
      <w:r>
        <w:rPr>
          <w:rFonts w:hint="cs"/>
          <w:rtl/>
        </w:rPr>
        <w:t xml:space="preserve">לכם </w:t>
      </w:r>
      <w:bookmarkStart w:id="15675" w:name="_ETM_Q21_329889"/>
      <w:bookmarkEnd w:id="15675"/>
      <w:r>
        <w:rPr>
          <w:rFonts w:hint="cs"/>
          <w:rtl/>
        </w:rPr>
        <w:t xml:space="preserve">יד; </w:t>
      </w:r>
      <w:bookmarkStart w:id="15676" w:name="_ETM_Q21_330770"/>
      <w:bookmarkEnd w:id="15676"/>
      <w:r>
        <w:rPr>
          <w:rFonts w:hint="cs"/>
          <w:rtl/>
        </w:rPr>
        <w:t xml:space="preserve">הזמן </w:t>
      </w:r>
      <w:bookmarkStart w:id="15677" w:name="_ETM_Q21_331250"/>
      <w:bookmarkEnd w:id="15677"/>
      <w:r>
        <w:rPr>
          <w:rFonts w:hint="cs"/>
          <w:rtl/>
        </w:rPr>
        <w:t xml:space="preserve">אוזל, </w:t>
      </w:r>
      <w:bookmarkStart w:id="15678" w:name="_ETM_Q21_332300"/>
      <w:bookmarkEnd w:id="15678"/>
      <w:r>
        <w:rPr>
          <w:rFonts w:hint="cs"/>
          <w:rtl/>
        </w:rPr>
        <w:t xml:space="preserve">קחו </w:t>
      </w:r>
      <w:bookmarkStart w:id="15679" w:name="_ETM_Q21_332570"/>
      <w:bookmarkEnd w:id="15679"/>
      <w:r>
        <w:rPr>
          <w:rFonts w:hint="cs"/>
          <w:rtl/>
        </w:rPr>
        <w:t xml:space="preserve">אותה. </w:t>
      </w:r>
      <w:bookmarkStart w:id="15680" w:name="_ETM_Q21_333520"/>
      <w:bookmarkEnd w:id="15680"/>
      <w:r>
        <w:rPr>
          <w:rFonts w:hint="cs"/>
          <w:rtl/>
        </w:rPr>
        <w:t xml:space="preserve">לאנשים </w:t>
      </w:r>
      <w:bookmarkStart w:id="15681" w:name="_ETM_Q21_334030"/>
      <w:bookmarkEnd w:id="15681"/>
      <w:r>
        <w:rPr>
          <w:rFonts w:hint="cs"/>
          <w:rtl/>
        </w:rPr>
        <w:t xml:space="preserve">ערכיים </w:t>
      </w:r>
      <w:bookmarkStart w:id="15682" w:name="_ETM_Q21_334389"/>
      <w:bookmarkEnd w:id="15682"/>
      <w:r>
        <w:rPr>
          <w:rFonts w:hint="cs"/>
          <w:rtl/>
        </w:rPr>
        <w:t xml:space="preserve">ואמיצים </w:t>
      </w:r>
      <w:bookmarkStart w:id="15683" w:name="_ETM_Q21_335169"/>
      <w:bookmarkEnd w:id="15683"/>
      <w:r>
        <w:rPr>
          <w:rFonts w:hint="cs"/>
          <w:rtl/>
        </w:rPr>
        <w:t xml:space="preserve">ידי </w:t>
      </w:r>
      <w:bookmarkStart w:id="15684" w:name="_ETM_Q21_335560"/>
      <w:bookmarkEnd w:id="15684"/>
      <w:r>
        <w:rPr>
          <w:rFonts w:hint="cs"/>
          <w:rtl/>
        </w:rPr>
        <w:t xml:space="preserve">תמיד </w:t>
      </w:r>
      <w:bookmarkStart w:id="15685" w:name="_ETM_Q21_335919"/>
      <w:bookmarkEnd w:id="15685"/>
      <w:r>
        <w:rPr>
          <w:rFonts w:hint="cs"/>
          <w:rtl/>
        </w:rPr>
        <w:t xml:space="preserve">מושטת. </w:t>
      </w:r>
      <w:bookmarkStart w:id="15686" w:name="_ETM_Q21_337340"/>
      <w:bookmarkEnd w:id="15686"/>
      <w:r>
        <w:rPr>
          <w:rFonts w:hint="cs"/>
          <w:rtl/>
        </w:rPr>
        <w:t xml:space="preserve">אין </w:t>
      </w:r>
      <w:bookmarkStart w:id="15687" w:name="_ETM_Q21_337550"/>
      <w:bookmarkEnd w:id="15687"/>
      <w:r>
        <w:rPr>
          <w:rFonts w:hint="cs"/>
          <w:rtl/>
        </w:rPr>
        <w:t xml:space="preserve">שום </w:t>
      </w:r>
      <w:bookmarkStart w:id="15688" w:name="_ETM_Q21_337790"/>
      <w:bookmarkEnd w:id="15688"/>
      <w:r>
        <w:rPr>
          <w:rFonts w:hint="cs"/>
          <w:rtl/>
        </w:rPr>
        <w:t xml:space="preserve">דבר </w:t>
      </w:r>
      <w:bookmarkStart w:id="15689" w:name="_ETM_Q21_338150"/>
      <w:bookmarkEnd w:id="15689"/>
      <w:r>
        <w:rPr>
          <w:rFonts w:hint="cs"/>
          <w:rtl/>
        </w:rPr>
        <w:t xml:space="preserve">שמחכה </w:t>
      </w:r>
      <w:bookmarkStart w:id="15690" w:name="_ETM_Q21_338630"/>
      <w:bookmarkEnd w:id="15690"/>
      <w:r>
        <w:rPr>
          <w:rFonts w:hint="cs"/>
          <w:rtl/>
        </w:rPr>
        <w:t xml:space="preserve">לכם </w:t>
      </w:r>
      <w:bookmarkStart w:id="15691" w:name="_ETM_Q21_338960"/>
      <w:bookmarkEnd w:id="15691"/>
      <w:r>
        <w:rPr>
          <w:rFonts w:hint="cs"/>
          <w:rtl/>
        </w:rPr>
        <w:t xml:space="preserve">מעבר </w:t>
      </w:r>
      <w:bookmarkStart w:id="15692" w:name="_ETM_Q21_339230"/>
      <w:bookmarkEnd w:id="15692"/>
      <w:r>
        <w:rPr>
          <w:rFonts w:hint="cs"/>
          <w:rtl/>
        </w:rPr>
        <w:t xml:space="preserve">להצבעה </w:t>
      </w:r>
      <w:bookmarkStart w:id="15693" w:name="_ETM_Q21_339710"/>
      <w:bookmarkEnd w:id="15693"/>
      <w:r>
        <w:rPr>
          <w:rFonts w:hint="cs"/>
          <w:rtl/>
        </w:rPr>
        <w:t xml:space="preserve">הזאת, </w:t>
      </w:r>
      <w:bookmarkStart w:id="15694" w:name="_ETM_Q21_340550"/>
      <w:bookmarkEnd w:id="15694"/>
      <w:r>
        <w:rPr>
          <w:rFonts w:hint="cs"/>
          <w:rtl/>
        </w:rPr>
        <w:t xml:space="preserve">רק </w:t>
      </w:r>
      <w:bookmarkStart w:id="15695" w:name="_ETM_Q21_340820"/>
      <w:bookmarkEnd w:id="15695"/>
      <w:r>
        <w:rPr>
          <w:rFonts w:hint="cs"/>
          <w:rtl/>
        </w:rPr>
        <w:t>תהום.</w:t>
      </w:r>
    </w:p>
    <w:p w:rsidR="000C5C1F" w:rsidRDefault="000C5C1F" w:rsidP="000C5C1F">
      <w:pPr>
        <w:rPr>
          <w:rtl/>
        </w:rPr>
      </w:pPr>
    </w:p>
    <w:p w:rsidR="000C5C1F" w:rsidRDefault="000C5C1F" w:rsidP="000C5C1F">
      <w:pPr>
        <w:rPr>
          <w:rtl/>
        </w:rPr>
      </w:pPr>
      <w:bookmarkStart w:id="15696" w:name="_ETM_Q21_342430"/>
      <w:bookmarkEnd w:id="15696"/>
      <w:r>
        <w:rPr>
          <w:rFonts w:hint="cs"/>
          <w:rtl/>
        </w:rPr>
        <w:t xml:space="preserve">לקבוצה </w:t>
      </w:r>
      <w:bookmarkStart w:id="15697" w:name="_ETM_Q21_343120"/>
      <w:bookmarkEnd w:id="15697"/>
      <w:r>
        <w:rPr>
          <w:rFonts w:hint="cs"/>
          <w:rtl/>
        </w:rPr>
        <w:t xml:space="preserve">השנייה, </w:t>
      </w:r>
      <w:bookmarkStart w:id="15698" w:name="_ETM_Q21_344220"/>
      <w:bookmarkEnd w:id="15698"/>
      <w:r>
        <w:rPr>
          <w:rFonts w:hint="cs"/>
          <w:rtl/>
        </w:rPr>
        <w:t xml:space="preserve">מהנדסי </w:t>
      </w:r>
      <w:bookmarkStart w:id="15699" w:name="_ETM_Q21_344790"/>
      <w:bookmarkEnd w:id="15699"/>
      <w:r>
        <w:rPr>
          <w:rFonts w:hint="cs"/>
          <w:rtl/>
        </w:rPr>
        <w:t xml:space="preserve">ההפיכה, </w:t>
      </w:r>
      <w:bookmarkStart w:id="15700" w:name="_ETM_Q21_346019"/>
      <w:bookmarkEnd w:id="15700"/>
      <w:r>
        <w:rPr>
          <w:rFonts w:hint="cs"/>
          <w:rtl/>
        </w:rPr>
        <w:t xml:space="preserve">אתם </w:t>
      </w:r>
      <w:bookmarkStart w:id="15701" w:name="_ETM_Q21_346379"/>
      <w:bookmarkEnd w:id="15701"/>
      <w:r>
        <w:rPr>
          <w:rFonts w:hint="cs"/>
          <w:rtl/>
        </w:rPr>
        <w:t xml:space="preserve">אפילו </w:t>
      </w:r>
      <w:bookmarkStart w:id="15702" w:name="_ETM_Q21_346650"/>
      <w:bookmarkEnd w:id="15702"/>
      <w:r>
        <w:rPr>
          <w:rFonts w:hint="cs"/>
          <w:rtl/>
        </w:rPr>
        <w:t xml:space="preserve">לא </w:t>
      </w:r>
      <w:bookmarkStart w:id="15703" w:name="_ETM_Q21_346769"/>
      <w:bookmarkEnd w:id="15703"/>
      <w:r>
        <w:rPr>
          <w:rFonts w:hint="cs"/>
          <w:rtl/>
        </w:rPr>
        <w:t xml:space="preserve">מסתירים </w:t>
      </w:r>
      <w:bookmarkStart w:id="15704" w:name="_ETM_Q21_347310"/>
      <w:bookmarkEnd w:id="15704"/>
      <w:r>
        <w:rPr>
          <w:rFonts w:hint="cs"/>
          <w:rtl/>
        </w:rPr>
        <w:t xml:space="preserve">את </w:t>
      </w:r>
      <w:bookmarkStart w:id="15705" w:name="_ETM_Q21_347459"/>
      <w:bookmarkEnd w:id="15705"/>
      <w:r>
        <w:rPr>
          <w:rFonts w:hint="cs"/>
          <w:rtl/>
        </w:rPr>
        <w:t xml:space="preserve">המניעים </w:t>
      </w:r>
      <w:bookmarkStart w:id="15706" w:name="_ETM_Q21_347909"/>
      <w:bookmarkEnd w:id="15706"/>
      <w:r>
        <w:rPr>
          <w:rFonts w:hint="cs"/>
          <w:rtl/>
        </w:rPr>
        <w:t xml:space="preserve">שלכם. </w:t>
      </w:r>
      <w:bookmarkStart w:id="15707" w:name="_ETM_Q21_348970"/>
      <w:bookmarkEnd w:id="15707"/>
      <w:r>
        <w:rPr>
          <w:rFonts w:hint="cs"/>
          <w:rtl/>
        </w:rPr>
        <w:t xml:space="preserve">הגרעין </w:t>
      </w:r>
      <w:bookmarkStart w:id="15708" w:name="_ETM_Q21_349510"/>
      <w:bookmarkEnd w:id="15708"/>
      <w:r>
        <w:rPr>
          <w:rFonts w:hint="cs"/>
          <w:rtl/>
        </w:rPr>
        <w:t xml:space="preserve">המשיחי </w:t>
      </w:r>
      <w:bookmarkStart w:id="15709" w:name="_ETM_Q21_350080"/>
      <w:bookmarkEnd w:id="15709"/>
      <w:r>
        <w:rPr>
          <w:rFonts w:hint="cs"/>
          <w:rtl/>
        </w:rPr>
        <w:t xml:space="preserve">בציונות </w:t>
      </w:r>
      <w:bookmarkStart w:id="15710" w:name="_ETM_Q21_350590"/>
      <w:bookmarkEnd w:id="15710"/>
      <w:r>
        <w:rPr>
          <w:rFonts w:hint="cs"/>
          <w:rtl/>
        </w:rPr>
        <w:t xml:space="preserve">הדתית </w:t>
      </w:r>
      <w:bookmarkStart w:id="15711" w:name="_ETM_Q21_351130"/>
      <w:bookmarkEnd w:id="15711"/>
      <w:r>
        <w:rPr>
          <w:rFonts w:hint="cs"/>
          <w:rtl/>
        </w:rPr>
        <w:t xml:space="preserve">רוצה </w:t>
      </w:r>
      <w:bookmarkStart w:id="15712" w:name="_ETM_Q21_351430"/>
      <w:bookmarkEnd w:id="15712"/>
      <w:r>
        <w:rPr>
          <w:rFonts w:hint="cs"/>
          <w:rtl/>
        </w:rPr>
        <w:t xml:space="preserve">הפיכה. </w:t>
      </w:r>
      <w:bookmarkStart w:id="15713" w:name="_ETM_Q21_352709"/>
      <w:bookmarkEnd w:id="15713"/>
      <w:r>
        <w:rPr>
          <w:rFonts w:hint="cs"/>
          <w:rtl/>
        </w:rPr>
        <w:t xml:space="preserve">מבחינתם הממשלה </w:t>
      </w:r>
      <w:bookmarkStart w:id="15714" w:name="_ETM_Q21_353280"/>
      <w:bookmarkEnd w:id="15714"/>
      <w:r>
        <w:rPr>
          <w:rFonts w:hint="cs"/>
          <w:rtl/>
        </w:rPr>
        <w:t xml:space="preserve">היא </w:t>
      </w:r>
      <w:bookmarkStart w:id="15715" w:name="_ETM_Q21_353370"/>
      <w:bookmarkStart w:id="15716" w:name="_ETM_Q21_354120"/>
      <w:bookmarkEnd w:id="15715"/>
      <w:bookmarkEnd w:id="15716"/>
      <w:r>
        <w:rPr>
          <w:rFonts w:hint="cs"/>
          <w:rtl/>
        </w:rPr>
        <w:t xml:space="preserve">חמורו </w:t>
      </w:r>
      <w:bookmarkStart w:id="15717" w:name="_ETM_Q21_354540"/>
      <w:bookmarkEnd w:id="15717"/>
      <w:r>
        <w:rPr>
          <w:rFonts w:hint="cs"/>
          <w:rtl/>
        </w:rPr>
        <w:t xml:space="preserve">של </w:t>
      </w:r>
      <w:bookmarkStart w:id="15718" w:name="_ETM_Q21_354749"/>
      <w:bookmarkEnd w:id="15718"/>
      <w:r>
        <w:rPr>
          <w:rFonts w:hint="cs"/>
          <w:rtl/>
        </w:rPr>
        <w:t xml:space="preserve">משיח, </w:t>
      </w:r>
      <w:bookmarkStart w:id="15719" w:name="_ETM_Q21_355859"/>
      <w:bookmarkEnd w:id="15719"/>
      <w:r>
        <w:rPr>
          <w:rFonts w:hint="cs"/>
          <w:rtl/>
        </w:rPr>
        <w:t xml:space="preserve">מבחינתם נתניהו </w:t>
      </w:r>
      <w:bookmarkStart w:id="15720" w:name="_ETM_Q21_356909"/>
      <w:bookmarkEnd w:id="15720"/>
      <w:r>
        <w:rPr>
          <w:rFonts w:hint="cs"/>
          <w:rtl/>
        </w:rPr>
        <w:t xml:space="preserve">הוא </w:t>
      </w:r>
      <w:bookmarkStart w:id="15721" w:name="_ETM_Q21_357090"/>
      <w:bookmarkEnd w:id="15721"/>
      <w:r>
        <w:rPr>
          <w:rFonts w:hint="cs"/>
          <w:rtl/>
        </w:rPr>
        <w:t xml:space="preserve">חמורו </w:t>
      </w:r>
      <w:bookmarkStart w:id="15722" w:name="_ETM_Q21_357540"/>
      <w:bookmarkEnd w:id="15722"/>
      <w:r>
        <w:rPr>
          <w:rFonts w:hint="cs"/>
          <w:rtl/>
        </w:rPr>
        <w:t xml:space="preserve">של </w:t>
      </w:r>
      <w:bookmarkStart w:id="15723" w:name="_ETM_Q21_357780"/>
      <w:bookmarkEnd w:id="15723"/>
      <w:r>
        <w:rPr>
          <w:rFonts w:hint="cs"/>
          <w:rtl/>
        </w:rPr>
        <w:t xml:space="preserve">המשיח. </w:t>
      </w:r>
      <w:bookmarkStart w:id="15724" w:name="_ETM_Q21_360209"/>
      <w:bookmarkEnd w:id="15724"/>
      <w:r>
        <w:rPr>
          <w:rFonts w:hint="cs"/>
          <w:rtl/>
        </w:rPr>
        <w:t xml:space="preserve">החרדים </w:t>
      </w:r>
      <w:bookmarkStart w:id="15725" w:name="_ETM_Q21_360870"/>
      <w:bookmarkEnd w:id="15725"/>
      <w:r>
        <w:rPr>
          <w:rFonts w:hint="cs"/>
          <w:rtl/>
        </w:rPr>
        <w:t xml:space="preserve">רוצים </w:t>
      </w:r>
      <w:bookmarkStart w:id="15726" w:name="_ETM_Q21_361319"/>
      <w:bookmarkEnd w:id="15726"/>
      <w:r>
        <w:rPr>
          <w:rFonts w:hint="cs"/>
          <w:rtl/>
        </w:rPr>
        <w:t xml:space="preserve">פטור </w:t>
      </w:r>
      <w:bookmarkStart w:id="15727" w:name="_ETM_Q21_361650"/>
      <w:bookmarkEnd w:id="15727"/>
      <w:r>
        <w:rPr>
          <w:rFonts w:hint="cs"/>
          <w:rtl/>
        </w:rPr>
        <w:t xml:space="preserve">משוויון </w:t>
      </w:r>
      <w:bookmarkStart w:id="15728" w:name="_ETM_Q21_362190"/>
      <w:bookmarkEnd w:id="15728"/>
      <w:r>
        <w:rPr>
          <w:rFonts w:hint="cs"/>
          <w:rtl/>
        </w:rPr>
        <w:t xml:space="preserve">בנטל, </w:t>
      </w:r>
      <w:bookmarkStart w:id="15729" w:name="_ETM_Q21_362790"/>
      <w:bookmarkEnd w:id="15729"/>
      <w:r>
        <w:rPr>
          <w:rFonts w:hint="cs"/>
          <w:rtl/>
        </w:rPr>
        <w:t xml:space="preserve">גם </w:t>
      </w:r>
      <w:bookmarkStart w:id="15730" w:name="_ETM_Q21_363030"/>
      <w:bookmarkEnd w:id="15730"/>
      <w:r>
        <w:rPr>
          <w:rFonts w:hint="cs"/>
          <w:rtl/>
        </w:rPr>
        <w:t xml:space="preserve">זה </w:t>
      </w:r>
      <w:bookmarkStart w:id="15731" w:name="_ETM_Q21_363180"/>
      <w:bookmarkEnd w:id="15731"/>
      <w:r>
        <w:rPr>
          <w:rFonts w:hint="cs"/>
          <w:rtl/>
        </w:rPr>
        <w:t xml:space="preserve">כבר </w:t>
      </w:r>
      <w:bookmarkStart w:id="15732" w:name="_ETM_Q21_363389"/>
      <w:bookmarkEnd w:id="15732"/>
      <w:r>
        <w:rPr>
          <w:rFonts w:hint="cs"/>
          <w:rtl/>
        </w:rPr>
        <w:t xml:space="preserve">גלוי; </w:t>
      </w:r>
      <w:bookmarkStart w:id="15733" w:name="_ETM_Q21_364139"/>
      <w:bookmarkEnd w:id="15733"/>
      <w:r>
        <w:rPr>
          <w:rFonts w:hint="cs"/>
          <w:rtl/>
        </w:rPr>
        <w:t xml:space="preserve">ואיך </w:t>
      </w:r>
      <w:bookmarkStart w:id="15734" w:name="_ETM_Q21_364500"/>
      <w:bookmarkEnd w:id="15734"/>
      <w:r>
        <w:rPr>
          <w:rFonts w:hint="cs"/>
          <w:rtl/>
        </w:rPr>
        <w:t xml:space="preserve">אפשר </w:t>
      </w:r>
      <w:bookmarkStart w:id="15735" w:name="_ETM_Q21_364800"/>
      <w:bookmarkEnd w:id="15735"/>
      <w:r>
        <w:rPr>
          <w:rFonts w:hint="cs"/>
          <w:rtl/>
        </w:rPr>
        <w:t xml:space="preserve">לשכוח </w:t>
      </w:r>
      <w:bookmarkStart w:id="15736" w:name="_ETM_Q21_365310"/>
      <w:bookmarkEnd w:id="15736"/>
      <w:r>
        <w:rPr>
          <w:rFonts w:hint="cs"/>
          <w:rtl/>
        </w:rPr>
        <w:t xml:space="preserve">את </w:t>
      </w:r>
      <w:bookmarkStart w:id="15737" w:name="_ETM_Q21_365430"/>
      <w:bookmarkEnd w:id="15737"/>
      <w:r>
        <w:rPr>
          <w:rFonts w:hint="cs"/>
          <w:rtl/>
        </w:rPr>
        <w:t xml:space="preserve">ראש </w:t>
      </w:r>
      <w:bookmarkStart w:id="15738" w:name="_ETM_Q21_365639"/>
      <w:bookmarkEnd w:id="15738"/>
      <w:r>
        <w:rPr>
          <w:rFonts w:hint="cs"/>
          <w:rtl/>
        </w:rPr>
        <w:t xml:space="preserve">הממשלה </w:t>
      </w:r>
      <w:bookmarkStart w:id="15739" w:name="_ETM_Q21_366270"/>
      <w:bookmarkEnd w:id="15739"/>
      <w:r>
        <w:rPr>
          <w:rFonts w:hint="cs"/>
          <w:rtl/>
        </w:rPr>
        <w:t xml:space="preserve">בנימין </w:t>
      </w:r>
      <w:bookmarkStart w:id="15740" w:name="_ETM_Q21_366660"/>
      <w:bookmarkEnd w:id="15740"/>
      <w:r>
        <w:rPr>
          <w:rFonts w:hint="cs"/>
          <w:rtl/>
        </w:rPr>
        <w:t xml:space="preserve">נתניהו, </w:t>
      </w:r>
      <w:bookmarkStart w:id="15741" w:name="_ETM_Q21_368000"/>
      <w:bookmarkEnd w:id="15741"/>
      <w:r>
        <w:rPr>
          <w:rFonts w:hint="cs"/>
          <w:rtl/>
        </w:rPr>
        <w:t xml:space="preserve">עם שלושה </w:t>
      </w:r>
      <w:bookmarkStart w:id="15742" w:name="_ETM_Q21_368370"/>
      <w:bookmarkEnd w:id="15742"/>
      <w:r>
        <w:rPr>
          <w:rFonts w:hint="cs"/>
          <w:rtl/>
        </w:rPr>
        <w:t xml:space="preserve">כתבי </w:t>
      </w:r>
      <w:bookmarkStart w:id="15743" w:name="_ETM_Q21_368790"/>
      <w:bookmarkEnd w:id="15743"/>
      <w:r>
        <w:rPr>
          <w:rFonts w:hint="cs"/>
          <w:rtl/>
        </w:rPr>
        <w:t xml:space="preserve">אישום – </w:t>
      </w:r>
      <w:bookmarkStart w:id="15744" w:name="_ETM_Q21_370049"/>
      <w:bookmarkStart w:id="15745" w:name="_ETM_Q21_371280"/>
      <w:bookmarkEnd w:id="15744"/>
      <w:bookmarkEnd w:id="15745"/>
      <w:r>
        <w:rPr>
          <w:rFonts w:hint="cs"/>
          <w:rtl/>
        </w:rPr>
        <w:t xml:space="preserve">עובדה </w:t>
      </w:r>
      <w:bookmarkStart w:id="15746" w:name="_ETM_Q21_371669"/>
      <w:bookmarkEnd w:id="15746"/>
      <w:r>
        <w:rPr>
          <w:rFonts w:hint="cs"/>
          <w:rtl/>
        </w:rPr>
        <w:t xml:space="preserve">שאיכשהו </w:t>
      </w:r>
      <w:bookmarkStart w:id="15747" w:name="_ETM_Q21_372300"/>
      <w:bookmarkEnd w:id="15747"/>
      <w:r>
        <w:rPr>
          <w:rFonts w:hint="cs"/>
          <w:rtl/>
        </w:rPr>
        <w:t xml:space="preserve">הפכה </w:t>
      </w:r>
      <w:bookmarkStart w:id="15748" w:name="_ETM_Q21_372569"/>
      <w:bookmarkEnd w:id="15748"/>
      <w:r>
        <w:rPr>
          <w:rFonts w:hint="cs"/>
          <w:rtl/>
        </w:rPr>
        <w:t xml:space="preserve">לנורמלית, </w:t>
      </w:r>
      <w:bookmarkStart w:id="15749" w:name="_ETM_Q21_373410"/>
      <w:bookmarkEnd w:id="15749"/>
      <w:r>
        <w:rPr>
          <w:rFonts w:hint="cs"/>
          <w:rtl/>
        </w:rPr>
        <w:t xml:space="preserve">כאילו </w:t>
      </w:r>
      <w:bookmarkStart w:id="15750" w:name="_ETM_Q21_373770"/>
      <w:bookmarkEnd w:id="15750"/>
      <w:r>
        <w:rPr>
          <w:rFonts w:hint="cs"/>
          <w:rtl/>
        </w:rPr>
        <w:t xml:space="preserve">אותו </w:t>
      </w:r>
      <w:bookmarkStart w:id="15751" w:name="_ETM_Q21_374040"/>
      <w:bookmarkEnd w:id="15751"/>
      <w:r>
        <w:rPr>
          <w:rFonts w:hint="cs"/>
          <w:rtl/>
        </w:rPr>
        <w:t xml:space="preserve">בנימין </w:t>
      </w:r>
      <w:bookmarkStart w:id="15752" w:name="_ETM_Q21_374460"/>
      <w:bookmarkEnd w:id="15752"/>
      <w:r>
        <w:rPr>
          <w:rFonts w:hint="cs"/>
          <w:rtl/>
        </w:rPr>
        <w:t xml:space="preserve">נתניהו </w:t>
      </w:r>
      <w:bookmarkStart w:id="15753" w:name="_ETM_Q21_375510"/>
      <w:bookmarkEnd w:id="15753"/>
      <w:r>
        <w:rPr>
          <w:rFonts w:hint="cs"/>
          <w:rtl/>
        </w:rPr>
        <w:t xml:space="preserve">לא </w:t>
      </w:r>
      <w:bookmarkStart w:id="15754" w:name="_ETM_Q21_375720"/>
      <w:bookmarkEnd w:id="15754"/>
      <w:r>
        <w:rPr>
          <w:rFonts w:hint="cs"/>
          <w:rtl/>
        </w:rPr>
        <w:t xml:space="preserve">קרא </w:t>
      </w:r>
      <w:bookmarkStart w:id="15755" w:name="_ETM_Q21_376050"/>
      <w:bookmarkEnd w:id="15755"/>
      <w:r>
        <w:rPr>
          <w:rFonts w:hint="cs"/>
          <w:rtl/>
        </w:rPr>
        <w:t xml:space="preserve">לפיטוריו </w:t>
      </w:r>
      <w:bookmarkStart w:id="15756" w:name="_ETM_Q21_376800"/>
      <w:bookmarkEnd w:id="15756"/>
      <w:r>
        <w:rPr>
          <w:rFonts w:hint="cs"/>
          <w:rtl/>
        </w:rPr>
        <w:t xml:space="preserve">של </w:t>
      </w:r>
      <w:bookmarkStart w:id="15757" w:name="_ETM_Q21_376950"/>
      <w:bookmarkEnd w:id="15757"/>
      <w:r>
        <w:rPr>
          <w:rFonts w:hint="cs"/>
          <w:rtl/>
        </w:rPr>
        <w:t xml:space="preserve">ראש </w:t>
      </w:r>
      <w:bookmarkStart w:id="15758" w:name="_ETM_Q21_377160"/>
      <w:bookmarkEnd w:id="15758"/>
      <w:r>
        <w:rPr>
          <w:rFonts w:hint="cs"/>
          <w:rtl/>
        </w:rPr>
        <w:t xml:space="preserve">ממשלה </w:t>
      </w:r>
      <w:bookmarkStart w:id="15759" w:name="_ETM_Q21_377669"/>
      <w:bookmarkEnd w:id="15759"/>
      <w:r>
        <w:rPr>
          <w:rFonts w:hint="cs"/>
          <w:rtl/>
        </w:rPr>
        <w:t xml:space="preserve">אחר </w:t>
      </w:r>
      <w:bookmarkStart w:id="15760" w:name="_ETM_Q21_378060"/>
      <w:bookmarkEnd w:id="15760"/>
      <w:r>
        <w:rPr>
          <w:rFonts w:hint="cs"/>
          <w:rtl/>
        </w:rPr>
        <w:t xml:space="preserve">כשהיה </w:t>
      </w:r>
      <w:bookmarkStart w:id="15761" w:name="_ETM_Q21_378330"/>
      <w:bookmarkEnd w:id="15761"/>
      <w:r>
        <w:rPr>
          <w:rFonts w:hint="cs"/>
          <w:rtl/>
        </w:rPr>
        <w:t xml:space="preserve">בחקירות. </w:t>
      </w:r>
      <w:bookmarkStart w:id="15762" w:name="_ETM_Q21_379709"/>
      <w:bookmarkEnd w:id="15762"/>
      <w:r>
        <w:rPr>
          <w:rFonts w:hint="cs"/>
          <w:rtl/>
        </w:rPr>
        <w:t xml:space="preserve">ועכשיו </w:t>
      </w:r>
      <w:bookmarkStart w:id="15763" w:name="_ETM_Q21_380099"/>
      <w:bookmarkEnd w:id="15763"/>
      <w:r>
        <w:rPr>
          <w:rFonts w:hint="cs"/>
          <w:rtl/>
        </w:rPr>
        <w:t xml:space="preserve">רוצים </w:t>
      </w:r>
      <w:bookmarkStart w:id="15764" w:name="_ETM_Q21_380400"/>
      <w:bookmarkEnd w:id="15764"/>
      <w:r>
        <w:rPr>
          <w:rFonts w:hint="cs"/>
          <w:rtl/>
        </w:rPr>
        <w:t xml:space="preserve">לשכנע </w:t>
      </w:r>
      <w:bookmarkStart w:id="15765" w:name="_ETM_Q21_380849"/>
      <w:bookmarkEnd w:id="15765"/>
      <w:r>
        <w:rPr>
          <w:rFonts w:hint="cs"/>
          <w:rtl/>
        </w:rPr>
        <w:t xml:space="preserve">אותנו </w:t>
      </w:r>
      <w:bookmarkStart w:id="15766" w:name="_ETM_Q21_381719"/>
      <w:bookmarkEnd w:id="15766"/>
      <w:r>
        <w:rPr>
          <w:rFonts w:hint="cs"/>
          <w:rtl/>
        </w:rPr>
        <w:t xml:space="preserve">שהמהפכה </w:t>
      </w:r>
      <w:bookmarkStart w:id="15767" w:name="_ETM_Q21_382469"/>
      <w:bookmarkEnd w:id="15767"/>
      <w:r>
        <w:rPr>
          <w:rFonts w:hint="cs"/>
          <w:rtl/>
        </w:rPr>
        <w:t xml:space="preserve">המשפטית </w:t>
      </w:r>
      <w:bookmarkStart w:id="15768" w:name="_ETM_Q21_383129"/>
      <w:bookmarkEnd w:id="15768"/>
      <w:r>
        <w:rPr>
          <w:rFonts w:hint="cs"/>
          <w:rtl/>
        </w:rPr>
        <w:t xml:space="preserve">לא </w:t>
      </w:r>
      <w:bookmarkStart w:id="15769" w:name="_ETM_Q21_383219"/>
      <w:bookmarkEnd w:id="15769"/>
      <w:r>
        <w:rPr>
          <w:rFonts w:hint="cs"/>
          <w:rtl/>
        </w:rPr>
        <w:t xml:space="preserve">קשורה </w:t>
      </w:r>
      <w:bookmarkStart w:id="15770" w:name="_ETM_Q21_383609"/>
      <w:bookmarkEnd w:id="15770"/>
      <w:r>
        <w:rPr>
          <w:rFonts w:hint="cs"/>
          <w:rtl/>
        </w:rPr>
        <w:t xml:space="preserve">בכלל </w:t>
      </w:r>
      <w:bookmarkStart w:id="15771" w:name="_ETM_Q21_383969"/>
      <w:bookmarkEnd w:id="15771"/>
      <w:r>
        <w:rPr>
          <w:rFonts w:hint="cs"/>
          <w:rtl/>
        </w:rPr>
        <w:t xml:space="preserve">למצבו </w:t>
      </w:r>
      <w:bookmarkStart w:id="15772" w:name="_ETM_Q21_384419"/>
      <w:bookmarkEnd w:id="15772"/>
      <w:r>
        <w:rPr>
          <w:rFonts w:hint="cs"/>
          <w:rtl/>
        </w:rPr>
        <w:t xml:space="preserve">המשפטי </w:t>
      </w:r>
      <w:bookmarkStart w:id="15773" w:name="_ETM_Q21_385409"/>
      <w:bookmarkEnd w:id="15773"/>
      <w:r>
        <w:rPr>
          <w:rFonts w:hint="cs"/>
          <w:rtl/>
        </w:rPr>
        <w:t xml:space="preserve">המחריד </w:t>
      </w:r>
      <w:bookmarkStart w:id="15774" w:name="_ETM_Q21_386010"/>
      <w:bookmarkEnd w:id="15774"/>
      <w:r>
        <w:rPr>
          <w:rFonts w:hint="cs"/>
          <w:rtl/>
        </w:rPr>
        <w:t xml:space="preserve">של ראש הממשלה. </w:t>
      </w:r>
      <w:bookmarkStart w:id="15775" w:name="_ETM_Q21_387359"/>
      <w:bookmarkEnd w:id="15775"/>
      <w:r>
        <w:rPr>
          <w:rFonts w:hint="cs"/>
          <w:rtl/>
        </w:rPr>
        <w:t xml:space="preserve">הבושה </w:t>
      </w:r>
      <w:bookmarkStart w:id="15776" w:name="_ETM_Q21_388610"/>
      <w:bookmarkStart w:id="15777" w:name="_ETM_Q21_389240"/>
      <w:bookmarkEnd w:id="15776"/>
      <w:bookmarkEnd w:id="15777"/>
      <w:r>
        <w:rPr>
          <w:rFonts w:hint="cs"/>
          <w:rtl/>
        </w:rPr>
        <w:t xml:space="preserve">נעלמה מזמן. היושרה שהייתה </w:t>
      </w:r>
      <w:bookmarkStart w:id="15778" w:name="_ETM_Q21_391169"/>
      <w:bookmarkEnd w:id="15778"/>
      <w:r>
        <w:rPr>
          <w:rFonts w:hint="cs"/>
          <w:rtl/>
        </w:rPr>
        <w:t xml:space="preserve">למנהיגים </w:t>
      </w:r>
      <w:bookmarkStart w:id="15779" w:name="_ETM_Q21_391709"/>
      <w:bookmarkEnd w:id="15779"/>
      <w:r>
        <w:rPr>
          <w:rFonts w:hint="cs"/>
          <w:rtl/>
        </w:rPr>
        <w:t xml:space="preserve">אמיתיים </w:t>
      </w:r>
      <w:bookmarkStart w:id="15780" w:name="_ETM_Q21_392159"/>
      <w:bookmarkEnd w:id="15780"/>
      <w:r>
        <w:rPr>
          <w:rFonts w:hint="cs"/>
          <w:rtl/>
        </w:rPr>
        <w:t xml:space="preserve">בישראל </w:t>
      </w:r>
      <w:bookmarkStart w:id="15781" w:name="_ETM_Q21_393150"/>
      <w:bookmarkEnd w:id="15781"/>
      <w:r>
        <w:rPr>
          <w:rFonts w:hint="cs"/>
          <w:rtl/>
        </w:rPr>
        <w:t xml:space="preserve">כבר </w:t>
      </w:r>
      <w:bookmarkStart w:id="15782" w:name="_ETM_Q21_393299"/>
      <w:bookmarkEnd w:id="15782"/>
      <w:r>
        <w:rPr>
          <w:rFonts w:hint="cs"/>
          <w:rtl/>
        </w:rPr>
        <w:t xml:space="preserve">לא </w:t>
      </w:r>
      <w:bookmarkStart w:id="15783" w:name="_ETM_Q21_393419"/>
      <w:bookmarkEnd w:id="15783"/>
      <w:r>
        <w:rPr>
          <w:rFonts w:hint="cs"/>
          <w:rtl/>
        </w:rPr>
        <w:t xml:space="preserve">קיימת. </w:t>
      </w:r>
      <w:bookmarkStart w:id="15784" w:name="_ETM_Q21_394620"/>
      <w:bookmarkEnd w:id="15784"/>
      <w:r>
        <w:rPr>
          <w:rFonts w:hint="cs"/>
          <w:rtl/>
        </w:rPr>
        <w:t xml:space="preserve">לאותו </w:t>
      </w:r>
      <w:bookmarkStart w:id="15785" w:name="_ETM_Q21_394950"/>
      <w:bookmarkEnd w:id="15785"/>
      <w:r>
        <w:rPr>
          <w:rFonts w:hint="cs"/>
          <w:rtl/>
        </w:rPr>
        <w:t xml:space="preserve">נתניהו </w:t>
      </w:r>
      <w:bookmarkStart w:id="15786" w:name="_ETM_Q21_396120"/>
      <w:bookmarkEnd w:id="15786"/>
      <w:r>
        <w:rPr>
          <w:rFonts w:hint="cs"/>
          <w:rtl/>
        </w:rPr>
        <w:t xml:space="preserve">מנסים </w:t>
      </w:r>
      <w:bookmarkStart w:id="15787" w:name="_ETM_Q21_396510"/>
      <w:bookmarkEnd w:id="15787"/>
      <w:r>
        <w:rPr>
          <w:rFonts w:hint="cs"/>
          <w:rtl/>
        </w:rPr>
        <w:t xml:space="preserve">לקרוא </w:t>
      </w:r>
      <w:bookmarkStart w:id="15788" w:name="_ETM_Q21_396870"/>
      <w:bookmarkEnd w:id="15788"/>
      <w:r>
        <w:rPr>
          <w:rFonts w:hint="cs"/>
          <w:rtl/>
        </w:rPr>
        <w:t xml:space="preserve">"אבי </w:t>
      </w:r>
      <w:bookmarkStart w:id="15789" w:name="_ETM_Q21_397170"/>
      <w:bookmarkEnd w:id="15789"/>
      <w:r>
        <w:rPr>
          <w:rFonts w:hint="cs"/>
          <w:rtl/>
        </w:rPr>
        <w:t xml:space="preserve">האומה" – </w:t>
      </w:r>
      <w:bookmarkStart w:id="15790" w:name="_ETM_Q21_398040"/>
      <w:bookmarkEnd w:id="15790"/>
      <w:r>
        <w:rPr>
          <w:rFonts w:hint="cs"/>
          <w:rtl/>
        </w:rPr>
        <w:t xml:space="preserve">בדיחה </w:t>
      </w:r>
      <w:bookmarkStart w:id="15791" w:name="_ETM_Q21_398579"/>
      <w:bookmarkEnd w:id="15791"/>
      <w:r>
        <w:rPr>
          <w:rFonts w:hint="cs"/>
          <w:rtl/>
        </w:rPr>
        <w:t xml:space="preserve">גרועה. </w:t>
      </w:r>
      <w:bookmarkStart w:id="15792" w:name="_ETM_Q21_399540"/>
      <w:bookmarkStart w:id="15793" w:name="_ETM_Q21_399989"/>
      <w:bookmarkEnd w:id="15792"/>
      <w:bookmarkEnd w:id="15793"/>
      <w:r>
        <w:rPr>
          <w:rFonts w:hint="cs"/>
          <w:rtl/>
        </w:rPr>
        <w:t xml:space="preserve">אולי הוא ייקרא </w:t>
      </w:r>
      <w:bookmarkStart w:id="15794" w:name="_ETM_Q21_401159"/>
      <w:bookmarkEnd w:id="15794"/>
      <w:r>
        <w:rPr>
          <w:rFonts w:hint="cs"/>
          <w:rtl/>
        </w:rPr>
        <w:t xml:space="preserve">"מחריב </w:t>
      </w:r>
      <w:bookmarkStart w:id="15795" w:name="_ETM_Q21_401819"/>
      <w:bookmarkEnd w:id="15795"/>
      <w:r>
        <w:rPr>
          <w:rFonts w:hint="cs"/>
          <w:rtl/>
        </w:rPr>
        <w:t xml:space="preserve">האומה", </w:t>
      </w:r>
      <w:bookmarkStart w:id="15796" w:name="_ETM_Q21_402540"/>
      <w:bookmarkEnd w:id="15796"/>
      <w:r>
        <w:rPr>
          <w:rFonts w:hint="cs"/>
          <w:rtl/>
        </w:rPr>
        <w:t xml:space="preserve">בוודאי </w:t>
      </w:r>
      <w:bookmarkStart w:id="15797" w:name="_ETM_Q21_403080"/>
      <w:bookmarkEnd w:id="15797"/>
      <w:r>
        <w:rPr>
          <w:rFonts w:hint="cs"/>
          <w:rtl/>
        </w:rPr>
        <w:t xml:space="preserve">לא </w:t>
      </w:r>
      <w:bookmarkStart w:id="15798" w:name="_ETM_Q21_403290"/>
      <w:bookmarkEnd w:id="15798"/>
      <w:r>
        <w:rPr>
          <w:rFonts w:hint="cs"/>
          <w:rtl/>
        </w:rPr>
        <w:t xml:space="preserve">"אבי </w:t>
      </w:r>
      <w:bookmarkStart w:id="15799" w:name="_ETM_Q21_403650"/>
      <w:bookmarkEnd w:id="15799"/>
      <w:r>
        <w:rPr>
          <w:rFonts w:hint="cs"/>
          <w:rtl/>
        </w:rPr>
        <w:t>האומה".</w:t>
      </w:r>
      <w:bookmarkStart w:id="15800" w:name="_ETM_Q21_405000"/>
      <w:bookmarkStart w:id="15801" w:name="_ETM_Q21_404750"/>
      <w:bookmarkEnd w:id="15800"/>
      <w:bookmarkEnd w:id="15801"/>
      <w:r>
        <w:rPr>
          <w:rFonts w:hint="cs"/>
          <w:rtl/>
        </w:rPr>
        <w:t xml:space="preserve"> דבר </w:t>
      </w:r>
      <w:bookmarkStart w:id="15802" w:name="_ETM_Q21_405080"/>
      <w:bookmarkEnd w:id="15802"/>
      <w:r>
        <w:rPr>
          <w:rFonts w:hint="cs"/>
          <w:rtl/>
        </w:rPr>
        <w:t xml:space="preserve">אחד </w:t>
      </w:r>
      <w:bookmarkStart w:id="15803" w:name="_ETM_Q21_405500"/>
      <w:bookmarkEnd w:id="15803"/>
      <w:r>
        <w:rPr>
          <w:rFonts w:hint="cs"/>
          <w:rtl/>
        </w:rPr>
        <w:t xml:space="preserve">משותף </w:t>
      </w:r>
      <w:bookmarkStart w:id="15804" w:name="_ETM_Q21_405980"/>
      <w:bookmarkEnd w:id="15804"/>
      <w:r>
        <w:rPr>
          <w:rFonts w:hint="cs"/>
          <w:rtl/>
        </w:rPr>
        <w:t xml:space="preserve">יש </w:t>
      </w:r>
      <w:bookmarkStart w:id="15805" w:name="_ETM_Q21_406160"/>
      <w:bookmarkEnd w:id="15805"/>
      <w:r>
        <w:rPr>
          <w:rFonts w:hint="cs"/>
          <w:rtl/>
        </w:rPr>
        <w:t xml:space="preserve">לך, </w:t>
      </w:r>
      <w:bookmarkStart w:id="15806" w:name="_ETM_Q21_406400"/>
      <w:bookmarkEnd w:id="15806"/>
      <w:r>
        <w:rPr>
          <w:rFonts w:hint="cs"/>
          <w:rtl/>
        </w:rPr>
        <w:t xml:space="preserve">ראש </w:t>
      </w:r>
      <w:bookmarkStart w:id="15807" w:name="_ETM_Q21_406610"/>
      <w:bookmarkEnd w:id="15807"/>
      <w:r>
        <w:rPr>
          <w:rFonts w:hint="cs"/>
          <w:rtl/>
        </w:rPr>
        <w:t xml:space="preserve">הממשלה, </w:t>
      </w:r>
      <w:bookmarkStart w:id="15808" w:name="_ETM_Q21_407060"/>
      <w:bookmarkEnd w:id="15808"/>
      <w:r>
        <w:rPr>
          <w:rFonts w:hint="cs"/>
          <w:rtl/>
        </w:rPr>
        <w:t xml:space="preserve">עם </w:t>
      </w:r>
      <w:bookmarkStart w:id="15809" w:name="_ETM_Q21_407150"/>
      <w:bookmarkEnd w:id="15809"/>
      <w:r>
        <w:rPr>
          <w:rFonts w:hint="cs"/>
          <w:rtl/>
        </w:rPr>
        <w:t xml:space="preserve">גדולי </w:t>
      </w:r>
      <w:bookmarkStart w:id="15810" w:name="_ETM_Q21_407480"/>
      <w:bookmarkEnd w:id="15810"/>
      <w:r>
        <w:rPr>
          <w:rFonts w:hint="cs"/>
          <w:rtl/>
        </w:rPr>
        <w:t xml:space="preserve">האומה: </w:t>
      </w:r>
      <w:bookmarkStart w:id="15811" w:name="_ETM_Q21_408230"/>
      <w:bookmarkEnd w:id="15811"/>
      <w:r>
        <w:rPr>
          <w:rFonts w:hint="cs"/>
          <w:rtl/>
        </w:rPr>
        <w:t xml:space="preserve">גם </w:t>
      </w:r>
      <w:bookmarkStart w:id="15812" w:name="_ETM_Q21_408530"/>
      <w:bookmarkEnd w:id="15812"/>
      <w:r>
        <w:rPr>
          <w:rFonts w:hint="cs"/>
          <w:rtl/>
        </w:rPr>
        <w:t xml:space="preserve">אתה </w:t>
      </w:r>
      <w:bookmarkStart w:id="15813" w:name="_ETM_Q21_408800"/>
      <w:bookmarkEnd w:id="15813"/>
      <w:r>
        <w:rPr>
          <w:rFonts w:hint="cs"/>
          <w:rtl/>
        </w:rPr>
        <w:t xml:space="preserve">כמוהם </w:t>
      </w:r>
      <w:bookmarkStart w:id="15814" w:name="_ETM_Q21_409900"/>
      <w:bookmarkEnd w:id="15814"/>
      <w:r>
        <w:rPr>
          <w:rFonts w:hint="cs"/>
          <w:rtl/>
        </w:rPr>
        <w:t xml:space="preserve">תבלוט </w:t>
      </w:r>
      <w:bookmarkStart w:id="15815" w:name="_ETM_Q21_410319"/>
      <w:bookmarkEnd w:id="15815"/>
      <w:r>
        <w:rPr>
          <w:rFonts w:hint="cs"/>
          <w:rtl/>
        </w:rPr>
        <w:t xml:space="preserve">בהיסטוריה. </w:t>
      </w:r>
      <w:bookmarkStart w:id="15816" w:name="_ETM_Q21_411579"/>
      <w:bookmarkEnd w:id="15816"/>
      <w:r>
        <w:rPr>
          <w:rFonts w:hint="cs"/>
          <w:rtl/>
        </w:rPr>
        <w:t xml:space="preserve">תהיה </w:t>
      </w:r>
      <w:bookmarkStart w:id="15817" w:name="_ETM_Q21_411760"/>
      <w:bookmarkEnd w:id="15817"/>
      <w:r>
        <w:rPr>
          <w:rFonts w:hint="cs"/>
          <w:rtl/>
        </w:rPr>
        <w:t xml:space="preserve">בטוח </w:t>
      </w:r>
      <w:bookmarkStart w:id="15818" w:name="_ETM_Q21_412120"/>
      <w:bookmarkEnd w:id="15818"/>
      <w:r>
        <w:rPr>
          <w:rFonts w:hint="cs"/>
          <w:rtl/>
        </w:rPr>
        <w:t xml:space="preserve">שכשיחזרו </w:t>
      </w:r>
      <w:bookmarkStart w:id="15819" w:name="_ETM_Q21_412840"/>
      <w:bookmarkEnd w:id="15819"/>
      <w:r>
        <w:rPr>
          <w:rFonts w:hint="cs"/>
          <w:rtl/>
        </w:rPr>
        <w:t xml:space="preserve">אחורה </w:t>
      </w:r>
      <w:bookmarkStart w:id="15820" w:name="_ETM_Q21_413290"/>
      <w:bookmarkEnd w:id="15820"/>
      <w:r>
        <w:rPr>
          <w:rFonts w:hint="cs"/>
          <w:rtl/>
        </w:rPr>
        <w:t xml:space="preserve">בהיסטוריה </w:t>
      </w:r>
      <w:bookmarkStart w:id="15821" w:name="_ETM_Q21_413769"/>
      <w:bookmarkStart w:id="15822" w:name="_ETM_Q21_414249"/>
      <w:bookmarkEnd w:id="15821"/>
      <w:bookmarkEnd w:id="15822"/>
      <w:r>
        <w:rPr>
          <w:rFonts w:hint="cs"/>
          <w:rtl/>
        </w:rPr>
        <w:t xml:space="preserve">וישאלו </w:t>
      </w:r>
      <w:bookmarkStart w:id="15823" w:name="_ETM_Q21_415250"/>
      <w:bookmarkEnd w:id="15823"/>
      <w:r>
        <w:rPr>
          <w:rFonts w:hint="cs"/>
          <w:rtl/>
        </w:rPr>
        <w:t xml:space="preserve">מה </w:t>
      </w:r>
      <w:bookmarkStart w:id="15824" w:name="_ETM_Q21_415459"/>
      <w:bookmarkEnd w:id="15824"/>
      <w:r>
        <w:rPr>
          <w:rFonts w:hint="cs"/>
          <w:rtl/>
        </w:rPr>
        <w:t xml:space="preserve">קרה </w:t>
      </w:r>
      <w:bookmarkStart w:id="15825" w:name="_ETM_Q21_415730"/>
      <w:bookmarkEnd w:id="15825"/>
      <w:r>
        <w:rPr>
          <w:rFonts w:hint="cs"/>
          <w:rtl/>
        </w:rPr>
        <w:t xml:space="preserve">למדינת </w:t>
      </w:r>
      <w:bookmarkStart w:id="15826" w:name="_ETM_Q21_416150"/>
      <w:bookmarkEnd w:id="15826"/>
      <w:r>
        <w:rPr>
          <w:rFonts w:hint="cs"/>
          <w:rtl/>
        </w:rPr>
        <w:t xml:space="preserve">ישראל, </w:t>
      </w:r>
      <w:bookmarkStart w:id="15827" w:name="_ETM_Q21_417400"/>
      <w:bookmarkEnd w:id="15827"/>
      <w:r>
        <w:rPr>
          <w:rFonts w:hint="cs"/>
          <w:rtl/>
        </w:rPr>
        <w:t xml:space="preserve">מה </w:t>
      </w:r>
      <w:bookmarkStart w:id="15828" w:name="_ETM_Q21_417699"/>
      <w:bookmarkEnd w:id="15828"/>
      <w:r>
        <w:rPr>
          <w:rFonts w:hint="cs"/>
          <w:rtl/>
        </w:rPr>
        <w:t xml:space="preserve">היה </w:t>
      </w:r>
      <w:bookmarkStart w:id="15829" w:name="_ETM_Q21_418840"/>
      <w:bookmarkEnd w:id="15829"/>
      <w:r>
        <w:rPr>
          <w:rFonts w:hint="cs"/>
          <w:rtl/>
        </w:rPr>
        <w:t xml:space="preserve">שורש </w:t>
      </w:r>
      <w:bookmarkStart w:id="15830" w:name="_ETM_Q21_419290"/>
      <w:bookmarkEnd w:id="15830"/>
      <w:r>
        <w:rPr>
          <w:rFonts w:hint="cs"/>
          <w:rtl/>
        </w:rPr>
        <w:t xml:space="preserve">המשבר </w:t>
      </w:r>
      <w:bookmarkStart w:id="15831" w:name="_ETM_Q21_419859"/>
      <w:bookmarkEnd w:id="15831"/>
      <w:r>
        <w:rPr>
          <w:rFonts w:hint="cs"/>
          <w:rtl/>
        </w:rPr>
        <w:t xml:space="preserve">הגדול </w:t>
      </w:r>
      <w:bookmarkStart w:id="15832" w:name="_ETM_Q21_420310"/>
      <w:bookmarkEnd w:id="15832"/>
      <w:r>
        <w:rPr>
          <w:rFonts w:hint="cs"/>
          <w:rtl/>
        </w:rPr>
        <w:t xml:space="preserve">ביותר </w:t>
      </w:r>
      <w:bookmarkStart w:id="15833" w:name="_ETM_Q21_420760"/>
      <w:bookmarkEnd w:id="15833"/>
      <w:r>
        <w:rPr>
          <w:rFonts w:hint="cs"/>
          <w:rtl/>
        </w:rPr>
        <w:t xml:space="preserve">בתולדות </w:t>
      </w:r>
      <w:bookmarkStart w:id="15834" w:name="_ETM_Q21_421269"/>
      <w:bookmarkEnd w:id="15834"/>
      <w:r>
        <w:rPr>
          <w:rFonts w:hint="cs"/>
          <w:rtl/>
        </w:rPr>
        <w:t xml:space="preserve">המדינה, </w:t>
      </w:r>
      <w:bookmarkStart w:id="15835" w:name="_ETM_Q21_422409"/>
      <w:bookmarkEnd w:id="15835"/>
      <w:r>
        <w:rPr>
          <w:rFonts w:hint="cs"/>
          <w:rtl/>
        </w:rPr>
        <w:t xml:space="preserve">לא </w:t>
      </w:r>
      <w:bookmarkStart w:id="15836" w:name="_ETM_Q21_422590"/>
      <w:bookmarkEnd w:id="15836"/>
      <w:r>
        <w:rPr>
          <w:rFonts w:hint="cs"/>
          <w:rtl/>
        </w:rPr>
        <w:t xml:space="preserve">יחשבו </w:t>
      </w:r>
      <w:bookmarkStart w:id="15837" w:name="_ETM_Q21_423010"/>
      <w:bookmarkEnd w:id="15837"/>
      <w:r>
        <w:rPr>
          <w:rFonts w:hint="cs"/>
          <w:rtl/>
        </w:rPr>
        <w:t xml:space="preserve">על </w:t>
      </w:r>
      <w:bookmarkStart w:id="15838" w:name="_ETM_Q21_423159"/>
      <w:bookmarkEnd w:id="15838"/>
      <w:r>
        <w:rPr>
          <w:rFonts w:hint="cs"/>
          <w:rtl/>
        </w:rPr>
        <w:t xml:space="preserve">לוין, </w:t>
      </w:r>
      <w:bookmarkStart w:id="15839" w:name="_ETM_Q21_424190"/>
      <w:bookmarkEnd w:id="15839"/>
      <w:r>
        <w:rPr>
          <w:rFonts w:hint="cs"/>
          <w:rtl/>
        </w:rPr>
        <w:t xml:space="preserve">לא </w:t>
      </w:r>
      <w:bookmarkStart w:id="15840" w:name="_ETM_Q21_424370"/>
      <w:bookmarkEnd w:id="15840"/>
      <w:r>
        <w:rPr>
          <w:rFonts w:hint="cs"/>
          <w:rtl/>
        </w:rPr>
        <w:t xml:space="preserve">יחשבו </w:t>
      </w:r>
      <w:bookmarkStart w:id="15841" w:name="_ETM_Q21_424489"/>
      <w:bookmarkStart w:id="15842" w:name="_ETM_Q21_424819"/>
      <w:bookmarkEnd w:id="15841"/>
      <w:bookmarkEnd w:id="15842"/>
      <w:r>
        <w:rPr>
          <w:rFonts w:hint="cs"/>
          <w:rtl/>
        </w:rPr>
        <w:t xml:space="preserve">על </w:t>
      </w:r>
      <w:bookmarkStart w:id="15843" w:name="_ETM_Q21_424880"/>
      <w:bookmarkEnd w:id="15843"/>
      <w:r>
        <w:rPr>
          <w:rFonts w:hint="cs"/>
          <w:rtl/>
        </w:rPr>
        <w:t xml:space="preserve">סמוטריץ'; </w:t>
      </w:r>
      <w:bookmarkStart w:id="15844" w:name="_ETM_Q21_425510"/>
      <w:bookmarkEnd w:id="15844"/>
      <w:r>
        <w:rPr>
          <w:rFonts w:hint="cs"/>
          <w:rtl/>
        </w:rPr>
        <w:t xml:space="preserve">רק </w:t>
      </w:r>
      <w:bookmarkStart w:id="15845" w:name="_ETM_Q21_425780"/>
      <w:bookmarkEnd w:id="15845"/>
      <w:r>
        <w:rPr>
          <w:rFonts w:hint="cs"/>
          <w:rtl/>
        </w:rPr>
        <w:t xml:space="preserve">שם </w:t>
      </w:r>
      <w:bookmarkStart w:id="15846" w:name="_ETM_Q21_426020"/>
      <w:bookmarkEnd w:id="15846"/>
      <w:r>
        <w:rPr>
          <w:rFonts w:hint="cs"/>
          <w:rtl/>
        </w:rPr>
        <w:t xml:space="preserve">אחד </w:t>
      </w:r>
      <w:bookmarkStart w:id="15847" w:name="_ETM_Q21_426319"/>
      <w:bookmarkEnd w:id="15847"/>
      <w:r>
        <w:rPr>
          <w:rFonts w:hint="cs"/>
          <w:rtl/>
        </w:rPr>
        <w:t xml:space="preserve">יעלה – </w:t>
      </w:r>
      <w:bookmarkStart w:id="15848" w:name="_ETM_Q21_426739"/>
      <w:bookmarkEnd w:id="15848"/>
      <w:r>
        <w:rPr>
          <w:rFonts w:hint="cs"/>
          <w:rtl/>
        </w:rPr>
        <w:t xml:space="preserve">שלך. </w:t>
      </w:r>
      <w:bookmarkStart w:id="15849" w:name="_ETM_Q21_427719"/>
      <w:bookmarkEnd w:id="15849"/>
      <w:r>
        <w:rPr>
          <w:rFonts w:hint="cs"/>
          <w:rtl/>
        </w:rPr>
        <w:t xml:space="preserve">הכול </w:t>
      </w:r>
      <w:bookmarkStart w:id="15850" w:name="_ETM_Q21_428409"/>
      <w:bookmarkEnd w:id="15850"/>
      <w:r>
        <w:rPr>
          <w:rFonts w:hint="cs"/>
          <w:rtl/>
        </w:rPr>
        <w:t xml:space="preserve">עליך. </w:t>
      </w:r>
      <w:bookmarkStart w:id="15851" w:name="_ETM_Q21_429370"/>
      <w:bookmarkEnd w:id="15851"/>
      <w:r>
        <w:rPr>
          <w:rFonts w:hint="cs"/>
          <w:rtl/>
        </w:rPr>
        <w:t xml:space="preserve">אתה </w:t>
      </w:r>
      <w:bookmarkStart w:id="15852" w:name="_ETM_Q21_429700"/>
      <w:bookmarkEnd w:id="15852"/>
      <w:r>
        <w:rPr>
          <w:rFonts w:hint="cs"/>
          <w:rtl/>
        </w:rPr>
        <w:t xml:space="preserve">חתום – </w:t>
      </w:r>
      <w:bookmarkStart w:id="15853" w:name="_ETM_Q21_430719"/>
      <w:bookmarkEnd w:id="15853"/>
      <w:r>
        <w:rPr>
          <w:rFonts w:hint="cs"/>
          <w:rtl/>
        </w:rPr>
        <w:t xml:space="preserve">אתה </w:t>
      </w:r>
      <w:bookmarkStart w:id="15854" w:name="_ETM_Q21_431319"/>
      <w:bookmarkEnd w:id="15854"/>
      <w:r>
        <w:rPr>
          <w:rFonts w:hint="cs"/>
          <w:rtl/>
        </w:rPr>
        <w:t>אשם.</w:t>
      </w:r>
    </w:p>
    <w:p w:rsidR="000C5C1F" w:rsidRDefault="000C5C1F" w:rsidP="000C5C1F">
      <w:pPr>
        <w:rPr>
          <w:rtl/>
        </w:rPr>
      </w:pPr>
      <w:bookmarkStart w:id="15855" w:name="_ETM_Q21_434000"/>
      <w:bookmarkEnd w:id="15855"/>
    </w:p>
    <w:p w:rsidR="000C5C1F" w:rsidRDefault="000C5C1F" w:rsidP="000C5C1F">
      <w:pPr>
        <w:rPr>
          <w:rtl/>
        </w:rPr>
      </w:pPr>
      <w:bookmarkStart w:id="15856" w:name="_ETM_Q21_432949"/>
      <w:bookmarkEnd w:id="15856"/>
      <w:r>
        <w:rPr>
          <w:rFonts w:hint="cs"/>
          <w:rtl/>
        </w:rPr>
        <w:t xml:space="preserve">ולכם, </w:t>
      </w:r>
      <w:bookmarkStart w:id="15857" w:name="_ETM_Q21_433340"/>
      <w:bookmarkEnd w:id="15857"/>
      <w:r>
        <w:rPr>
          <w:rFonts w:hint="cs"/>
          <w:rtl/>
        </w:rPr>
        <w:t xml:space="preserve">אזרחי </w:t>
      </w:r>
      <w:bookmarkStart w:id="15858" w:name="_ETM_Q21_433819"/>
      <w:bookmarkEnd w:id="15858"/>
      <w:r>
        <w:rPr>
          <w:rFonts w:hint="cs"/>
          <w:rtl/>
        </w:rPr>
        <w:t xml:space="preserve">ישראל, </w:t>
      </w:r>
      <w:bookmarkStart w:id="15859" w:name="_ETM_Q21_434749"/>
      <w:bookmarkEnd w:id="15859"/>
      <w:r>
        <w:rPr>
          <w:rFonts w:hint="cs"/>
          <w:rtl/>
        </w:rPr>
        <w:t xml:space="preserve">ששואלים </w:t>
      </w:r>
      <w:bookmarkStart w:id="15860" w:name="_ETM_Q21_435260"/>
      <w:bookmarkEnd w:id="15860"/>
      <w:r>
        <w:rPr>
          <w:rFonts w:hint="cs"/>
          <w:rtl/>
        </w:rPr>
        <w:t xml:space="preserve">את </w:t>
      </w:r>
      <w:bookmarkStart w:id="15861" w:name="_ETM_Q21_435409"/>
      <w:bookmarkEnd w:id="15861"/>
      <w:r>
        <w:rPr>
          <w:rFonts w:hint="cs"/>
          <w:rtl/>
        </w:rPr>
        <w:t xml:space="preserve">עצמכם </w:t>
      </w:r>
      <w:bookmarkStart w:id="15862" w:name="_ETM_Q21_435859"/>
      <w:bookmarkEnd w:id="15862"/>
      <w:r>
        <w:rPr>
          <w:rFonts w:hint="cs"/>
          <w:rtl/>
        </w:rPr>
        <w:t xml:space="preserve">את </w:t>
      </w:r>
      <w:bookmarkStart w:id="15863" w:name="_ETM_Q21_435980"/>
      <w:bookmarkEnd w:id="15863"/>
      <w:r>
        <w:rPr>
          <w:rFonts w:hint="cs"/>
          <w:rtl/>
        </w:rPr>
        <w:t xml:space="preserve">השאלה </w:t>
      </w:r>
      <w:bookmarkStart w:id="15864" w:name="_ETM_Q21_436490"/>
      <w:bookmarkEnd w:id="15864"/>
      <w:r>
        <w:rPr>
          <w:rFonts w:hint="cs"/>
          <w:rtl/>
        </w:rPr>
        <w:t xml:space="preserve">המזעזעת: </w:t>
      </w:r>
      <w:bookmarkStart w:id="15865" w:name="_ETM_Q21_437629"/>
      <w:bookmarkEnd w:id="15865"/>
      <w:r>
        <w:rPr>
          <w:rFonts w:hint="cs"/>
          <w:rtl/>
        </w:rPr>
        <w:t xml:space="preserve">האם </w:t>
      </w:r>
      <w:bookmarkStart w:id="15866" w:name="_ETM_Q21_438020"/>
      <w:bookmarkEnd w:id="15866"/>
      <w:r>
        <w:rPr>
          <w:rFonts w:hint="cs"/>
          <w:rtl/>
        </w:rPr>
        <w:t xml:space="preserve">זה </w:t>
      </w:r>
      <w:bookmarkStart w:id="15867" w:name="_ETM_Q21_438199"/>
      <w:bookmarkEnd w:id="15867"/>
      <w:r>
        <w:rPr>
          <w:rFonts w:hint="cs"/>
          <w:rtl/>
        </w:rPr>
        <w:t xml:space="preserve">מקומנו? </w:t>
      </w:r>
      <w:bookmarkStart w:id="15868" w:name="_ETM_Q21_439460"/>
      <w:bookmarkEnd w:id="15868"/>
      <w:r>
        <w:rPr>
          <w:rFonts w:hint="cs"/>
          <w:rtl/>
        </w:rPr>
        <w:t xml:space="preserve">אני </w:t>
      </w:r>
      <w:bookmarkStart w:id="15869" w:name="_ETM_Q21_439669"/>
      <w:bookmarkEnd w:id="15869"/>
      <w:r>
        <w:rPr>
          <w:rFonts w:hint="cs"/>
          <w:rtl/>
        </w:rPr>
        <w:t xml:space="preserve">רוצה </w:t>
      </w:r>
      <w:bookmarkStart w:id="15870" w:name="_ETM_Q21_439970"/>
      <w:bookmarkEnd w:id="15870"/>
      <w:r>
        <w:rPr>
          <w:rFonts w:hint="cs"/>
          <w:rtl/>
        </w:rPr>
        <w:t xml:space="preserve">לומר </w:t>
      </w:r>
      <w:bookmarkStart w:id="15871" w:name="_ETM_Q21_440270"/>
      <w:bookmarkEnd w:id="15871"/>
      <w:r>
        <w:rPr>
          <w:rFonts w:hint="cs"/>
          <w:rtl/>
        </w:rPr>
        <w:t xml:space="preserve">לכם </w:t>
      </w:r>
      <w:bookmarkStart w:id="15872" w:name="_ETM_Q21_440720"/>
      <w:bookmarkEnd w:id="15872"/>
      <w:r>
        <w:rPr>
          <w:rFonts w:hint="cs"/>
          <w:rtl/>
        </w:rPr>
        <w:t xml:space="preserve">היום </w:t>
      </w:r>
      <w:bookmarkStart w:id="15873" w:name="_ETM_Q21_441110"/>
      <w:bookmarkEnd w:id="15873"/>
      <w:r>
        <w:rPr>
          <w:rFonts w:hint="cs"/>
          <w:rtl/>
        </w:rPr>
        <w:t xml:space="preserve">בקול </w:t>
      </w:r>
      <w:bookmarkStart w:id="15874" w:name="_ETM_Q21_441889"/>
      <w:bookmarkEnd w:id="15874"/>
      <w:r>
        <w:rPr>
          <w:rFonts w:hint="cs"/>
          <w:rtl/>
        </w:rPr>
        <w:t xml:space="preserve">חזק </w:t>
      </w:r>
      <w:bookmarkStart w:id="15875" w:name="_ETM_Q21_442669"/>
      <w:bookmarkEnd w:id="15875"/>
      <w:r>
        <w:rPr>
          <w:rFonts w:hint="cs"/>
          <w:rtl/>
        </w:rPr>
        <w:t xml:space="preserve">וברור: </w:t>
      </w:r>
      <w:bookmarkStart w:id="15876" w:name="_ETM_Q21_443900"/>
      <w:bookmarkEnd w:id="15876"/>
      <w:r>
        <w:rPr>
          <w:rFonts w:hint="cs"/>
          <w:rtl/>
        </w:rPr>
        <w:t xml:space="preserve">זה </w:t>
      </w:r>
      <w:bookmarkStart w:id="15877" w:name="_ETM_Q21_444169"/>
      <w:bookmarkEnd w:id="15877"/>
      <w:r>
        <w:rPr>
          <w:rFonts w:hint="cs"/>
          <w:rtl/>
        </w:rPr>
        <w:t>מקו</w:t>
      </w:r>
      <w:bookmarkStart w:id="15878" w:name="_ETM_Q21_444529"/>
      <w:bookmarkEnd w:id="15878"/>
      <w:r>
        <w:rPr>
          <w:rFonts w:hint="cs"/>
          <w:rtl/>
        </w:rPr>
        <w:t xml:space="preserve">מכם, </w:t>
      </w:r>
      <w:bookmarkStart w:id="15879" w:name="_ETM_Q21_445490"/>
      <w:bookmarkEnd w:id="15879"/>
      <w:r>
        <w:rPr>
          <w:rFonts w:hint="cs"/>
          <w:rtl/>
        </w:rPr>
        <w:t xml:space="preserve">זו </w:t>
      </w:r>
      <w:bookmarkStart w:id="15880" w:name="_ETM_Q21_445729"/>
      <w:bookmarkEnd w:id="15880"/>
      <w:r>
        <w:rPr>
          <w:rFonts w:hint="cs"/>
          <w:rtl/>
        </w:rPr>
        <w:t xml:space="preserve">המדינה </w:t>
      </w:r>
      <w:bookmarkStart w:id="15881" w:name="_ETM_Q21_446210"/>
      <w:bookmarkEnd w:id="15881"/>
      <w:r>
        <w:rPr>
          <w:rFonts w:hint="cs"/>
          <w:rtl/>
        </w:rPr>
        <w:t xml:space="preserve">שלכם, </w:t>
      </w:r>
      <w:bookmarkStart w:id="15882" w:name="_ETM_Q21_447520"/>
      <w:bookmarkEnd w:id="15882"/>
      <w:r>
        <w:rPr>
          <w:rFonts w:hint="cs"/>
          <w:rtl/>
        </w:rPr>
        <w:t xml:space="preserve">שלנו. </w:t>
      </w:r>
      <w:bookmarkStart w:id="15883" w:name="_ETM_Q21_448599"/>
      <w:bookmarkEnd w:id="15883"/>
      <w:r>
        <w:rPr>
          <w:rFonts w:hint="cs"/>
          <w:rtl/>
        </w:rPr>
        <w:t xml:space="preserve">נלחמנו </w:t>
      </w:r>
      <w:bookmarkStart w:id="15884" w:name="_ETM_Q21_449259"/>
      <w:bookmarkEnd w:id="15884"/>
      <w:r>
        <w:rPr>
          <w:rFonts w:hint="cs"/>
          <w:rtl/>
        </w:rPr>
        <w:t xml:space="preserve">עליה, </w:t>
      </w:r>
      <w:bookmarkStart w:id="15885" w:name="_ETM_Q21_450310"/>
      <w:bookmarkEnd w:id="15885"/>
      <w:r>
        <w:rPr>
          <w:rFonts w:hint="cs"/>
          <w:rtl/>
        </w:rPr>
        <w:t xml:space="preserve">אהבנו </w:t>
      </w:r>
      <w:bookmarkStart w:id="15886" w:name="_ETM_Q21_450789"/>
      <w:bookmarkEnd w:id="15886"/>
      <w:r>
        <w:rPr>
          <w:rFonts w:hint="cs"/>
          <w:rtl/>
        </w:rPr>
        <w:t xml:space="preserve">אותה, </w:t>
      </w:r>
      <w:bookmarkStart w:id="15887" w:name="_ETM_Q21_451240"/>
      <w:bookmarkEnd w:id="15887"/>
      <w:r>
        <w:rPr>
          <w:rFonts w:hint="cs"/>
          <w:rtl/>
        </w:rPr>
        <w:t xml:space="preserve">אנחנו </w:t>
      </w:r>
      <w:bookmarkStart w:id="15888" w:name="_ETM_Q21_451779"/>
      <w:bookmarkEnd w:id="15888"/>
      <w:r>
        <w:rPr>
          <w:rFonts w:hint="cs"/>
          <w:rtl/>
        </w:rPr>
        <w:t xml:space="preserve">אוהבים </w:t>
      </w:r>
      <w:bookmarkStart w:id="15889" w:name="_ETM_Q21_452169"/>
      <w:bookmarkEnd w:id="15889"/>
      <w:r>
        <w:rPr>
          <w:rFonts w:hint="cs"/>
          <w:rtl/>
        </w:rPr>
        <w:t xml:space="preserve">אותה, </w:t>
      </w:r>
      <w:bookmarkStart w:id="15890" w:name="_ETM_Q21_453060"/>
      <w:bookmarkEnd w:id="15890"/>
      <w:r>
        <w:rPr>
          <w:rFonts w:hint="cs"/>
          <w:rtl/>
        </w:rPr>
        <w:t xml:space="preserve">נתנו </w:t>
      </w:r>
      <w:bookmarkStart w:id="15891" w:name="_ETM_Q21_453630"/>
      <w:bookmarkEnd w:id="15891"/>
      <w:r>
        <w:rPr>
          <w:rFonts w:hint="cs"/>
          <w:rtl/>
        </w:rPr>
        <w:t xml:space="preserve">לה </w:t>
      </w:r>
      <w:bookmarkStart w:id="15892" w:name="_ETM_Q21_453839"/>
      <w:bookmarkEnd w:id="15892"/>
      <w:r>
        <w:rPr>
          <w:rFonts w:hint="cs"/>
          <w:rtl/>
        </w:rPr>
        <w:t xml:space="preserve">הכול. </w:t>
      </w:r>
      <w:bookmarkStart w:id="15893" w:name="_ETM_Q21_454970"/>
      <w:bookmarkEnd w:id="15893"/>
      <w:r>
        <w:rPr>
          <w:rFonts w:hint="cs"/>
          <w:rtl/>
        </w:rPr>
        <w:t xml:space="preserve">איבדנו </w:t>
      </w:r>
      <w:bookmarkStart w:id="15894" w:name="_ETM_Q21_455720"/>
      <w:bookmarkEnd w:id="15894"/>
      <w:r>
        <w:rPr>
          <w:rFonts w:hint="cs"/>
          <w:rtl/>
        </w:rPr>
        <w:t xml:space="preserve">את </w:t>
      </w:r>
      <w:bookmarkStart w:id="15895" w:name="_ETM_Q21_455930"/>
      <w:bookmarkEnd w:id="15895"/>
      <w:r>
        <w:rPr>
          <w:rFonts w:hint="cs"/>
          <w:rtl/>
        </w:rPr>
        <w:t xml:space="preserve">אחינו </w:t>
      </w:r>
      <w:bookmarkStart w:id="15896" w:name="_ETM_Q21_456380"/>
      <w:bookmarkEnd w:id="15896"/>
      <w:r>
        <w:rPr>
          <w:rFonts w:hint="cs"/>
          <w:rtl/>
        </w:rPr>
        <w:t xml:space="preserve">שמה, </w:t>
      </w:r>
      <w:bookmarkStart w:id="15897" w:name="_ETM_Q21_456980"/>
      <w:bookmarkEnd w:id="15897"/>
      <w:r>
        <w:rPr>
          <w:rFonts w:hint="cs"/>
          <w:rtl/>
        </w:rPr>
        <w:t xml:space="preserve">את </w:t>
      </w:r>
      <w:bookmarkStart w:id="15898" w:name="_ETM_Q21_457190"/>
      <w:bookmarkEnd w:id="15898"/>
      <w:r>
        <w:rPr>
          <w:rFonts w:hint="cs"/>
          <w:rtl/>
        </w:rPr>
        <w:t xml:space="preserve">בנינו </w:t>
      </w:r>
      <w:bookmarkStart w:id="15899" w:name="_ETM_Q21_457699"/>
      <w:bookmarkEnd w:id="15899"/>
      <w:r>
        <w:rPr>
          <w:rFonts w:hint="cs"/>
          <w:rtl/>
        </w:rPr>
        <w:t xml:space="preserve">שמה, </w:t>
      </w:r>
      <w:bookmarkStart w:id="15900" w:name="_ETM_Q21_458900"/>
      <w:bookmarkEnd w:id="15900"/>
      <w:r>
        <w:rPr>
          <w:rFonts w:hint="cs"/>
          <w:rtl/>
        </w:rPr>
        <w:t xml:space="preserve">את </w:t>
      </w:r>
      <w:bookmarkStart w:id="15901" w:name="_ETM_Q21_459110"/>
      <w:bookmarkEnd w:id="15901"/>
      <w:r>
        <w:rPr>
          <w:rFonts w:hint="cs"/>
          <w:rtl/>
        </w:rPr>
        <w:t xml:space="preserve">ההורים </w:t>
      </w:r>
      <w:bookmarkStart w:id="15902" w:name="_ETM_Q21_459529"/>
      <w:bookmarkEnd w:id="15902"/>
      <w:r>
        <w:rPr>
          <w:rFonts w:hint="cs"/>
          <w:rtl/>
        </w:rPr>
        <w:t xml:space="preserve">שלנו. </w:t>
      </w:r>
      <w:bookmarkStart w:id="15903" w:name="_ETM_Q21_460990"/>
      <w:bookmarkEnd w:id="15903"/>
      <w:r>
        <w:rPr>
          <w:rFonts w:hint="cs"/>
          <w:rtl/>
        </w:rPr>
        <w:t xml:space="preserve">אנחנו </w:t>
      </w:r>
      <w:bookmarkStart w:id="15904" w:name="_ETM_Q21_461350"/>
      <w:bookmarkEnd w:id="15904"/>
      <w:r>
        <w:rPr>
          <w:rFonts w:hint="cs"/>
          <w:rtl/>
        </w:rPr>
        <w:t xml:space="preserve">לא </w:t>
      </w:r>
      <w:bookmarkStart w:id="15905" w:name="_ETM_Q21_461470"/>
      <w:bookmarkEnd w:id="15905"/>
      <w:r>
        <w:rPr>
          <w:rFonts w:hint="cs"/>
          <w:rtl/>
        </w:rPr>
        <w:t xml:space="preserve">נוותר </w:t>
      </w:r>
      <w:bookmarkStart w:id="15906" w:name="_ETM_Q21_462010"/>
      <w:bookmarkEnd w:id="15906"/>
      <w:r>
        <w:rPr>
          <w:rFonts w:hint="cs"/>
          <w:rtl/>
        </w:rPr>
        <w:t xml:space="preserve">עליה, </w:t>
      </w:r>
      <w:bookmarkStart w:id="15907" w:name="_ETM_Q21_462610"/>
      <w:bookmarkEnd w:id="15907"/>
      <w:r>
        <w:rPr>
          <w:rFonts w:hint="cs"/>
          <w:rtl/>
        </w:rPr>
        <w:t xml:space="preserve">לעולם </w:t>
      </w:r>
      <w:bookmarkStart w:id="15908" w:name="_ETM_Q21_463150"/>
      <w:bookmarkEnd w:id="15908"/>
      <w:r>
        <w:rPr>
          <w:rFonts w:hint="cs"/>
          <w:rtl/>
        </w:rPr>
        <w:t xml:space="preserve">לא </w:t>
      </w:r>
      <w:bookmarkStart w:id="15909" w:name="_ETM_Q21_463240"/>
      <w:bookmarkEnd w:id="15909"/>
      <w:r>
        <w:rPr>
          <w:rFonts w:hint="cs"/>
          <w:rtl/>
        </w:rPr>
        <w:t xml:space="preserve">נוותר </w:t>
      </w:r>
      <w:bookmarkStart w:id="15910" w:name="_ETM_Q21_463779"/>
      <w:bookmarkEnd w:id="15910"/>
      <w:r>
        <w:rPr>
          <w:rFonts w:hint="cs"/>
          <w:rtl/>
        </w:rPr>
        <w:t xml:space="preserve">עליה. </w:t>
      </w:r>
      <w:bookmarkStart w:id="15911" w:name="_ETM_Q21_464510"/>
      <w:bookmarkEnd w:id="15911"/>
      <w:r>
        <w:rPr>
          <w:rFonts w:hint="cs"/>
          <w:rtl/>
        </w:rPr>
        <w:t xml:space="preserve">אנחנו </w:t>
      </w:r>
      <w:bookmarkStart w:id="15912" w:name="_ETM_Q21_465020"/>
      <w:bookmarkEnd w:id="15912"/>
      <w:r>
        <w:rPr>
          <w:rFonts w:hint="cs"/>
          <w:rtl/>
        </w:rPr>
        <w:t xml:space="preserve">ננצח – </w:t>
      </w:r>
      <w:bookmarkStart w:id="15913" w:name="_ETM_Q21_466220"/>
      <w:bookmarkEnd w:id="15913"/>
      <w:r>
        <w:rPr>
          <w:rFonts w:hint="cs"/>
          <w:rtl/>
        </w:rPr>
        <w:t xml:space="preserve">לא </w:t>
      </w:r>
      <w:bookmarkStart w:id="15914" w:name="_ETM_Q21_466430"/>
      <w:bookmarkEnd w:id="15914"/>
      <w:r>
        <w:rPr>
          <w:rFonts w:hint="cs"/>
          <w:rtl/>
        </w:rPr>
        <w:t xml:space="preserve">ניצחון </w:t>
      </w:r>
      <w:bookmarkStart w:id="15915" w:name="_ETM_Q21_467029"/>
      <w:bookmarkEnd w:id="15915"/>
      <w:r>
        <w:rPr>
          <w:rFonts w:hint="cs"/>
          <w:rtl/>
        </w:rPr>
        <w:t xml:space="preserve">כזה </w:t>
      </w:r>
      <w:bookmarkStart w:id="15916" w:name="_ETM_Q21_467360"/>
      <w:bookmarkEnd w:id="15916"/>
      <w:r>
        <w:rPr>
          <w:rFonts w:hint="cs"/>
          <w:rtl/>
        </w:rPr>
        <w:t xml:space="preserve">שמשפיל </w:t>
      </w:r>
      <w:bookmarkStart w:id="15917" w:name="_ETM_Q21_467990"/>
      <w:bookmarkEnd w:id="15917"/>
      <w:r>
        <w:rPr>
          <w:rFonts w:hint="cs"/>
          <w:rtl/>
        </w:rPr>
        <w:t xml:space="preserve">את </w:t>
      </w:r>
      <w:bookmarkStart w:id="15918" w:name="_ETM_Q21_468140"/>
      <w:bookmarkEnd w:id="15918"/>
      <w:r>
        <w:rPr>
          <w:rFonts w:hint="cs"/>
          <w:rtl/>
        </w:rPr>
        <w:t xml:space="preserve">הצד </w:t>
      </w:r>
      <w:bookmarkStart w:id="15919" w:name="_ETM_Q21_468440"/>
      <w:bookmarkEnd w:id="15919"/>
      <w:r>
        <w:rPr>
          <w:rFonts w:hint="cs"/>
          <w:rtl/>
        </w:rPr>
        <w:t xml:space="preserve">השני, אלא </w:t>
      </w:r>
      <w:bookmarkStart w:id="15920" w:name="_ETM_Q21_469250"/>
      <w:bookmarkStart w:id="15921" w:name="_ETM_Q21_469520"/>
      <w:bookmarkEnd w:id="15920"/>
      <w:bookmarkEnd w:id="15921"/>
      <w:r>
        <w:rPr>
          <w:rFonts w:hint="cs"/>
          <w:rtl/>
        </w:rPr>
        <w:t xml:space="preserve">ניצחון </w:t>
      </w:r>
      <w:bookmarkStart w:id="15922" w:name="_ETM_Q21_470029"/>
      <w:bookmarkEnd w:id="15922"/>
      <w:r>
        <w:rPr>
          <w:rFonts w:hint="cs"/>
          <w:rtl/>
        </w:rPr>
        <w:t xml:space="preserve">כזה </w:t>
      </w:r>
      <w:bookmarkStart w:id="15923" w:name="_ETM_Q21_470750"/>
      <w:bookmarkEnd w:id="15923"/>
      <w:r>
        <w:rPr>
          <w:rFonts w:hint="cs"/>
          <w:rtl/>
        </w:rPr>
        <w:t xml:space="preserve">שמחזיר </w:t>
      </w:r>
      <w:bookmarkStart w:id="15924" w:name="_ETM_Q21_471290"/>
      <w:bookmarkEnd w:id="15924"/>
      <w:r>
        <w:rPr>
          <w:rFonts w:hint="cs"/>
          <w:rtl/>
        </w:rPr>
        <w:t xml:space="preserve">את </w:t>
      </w:r>
      <w:bookmarkStart w:id="15925" w:name="_ETM_Q21_471380"/>
      <w:bookmarkEnd w:id="15925"/>
      <w:r>
        <w:rPr>
          <w:rFonts w:hint="cs"/>
          <w:rtl/>
        </w:rPr>
        <w:t xml:space="preserve">השפיות </w:t>
      </w:r>
      <w:bookmarkStart w:id="15926" w:name="_ETM_Q21_472320"/>
      <w:bookmarkEnd w:id="15926"/>
      <w:r>
        <w:rPr>
          <w:rFonts w:hint="cs"/>
          <w:rtl/>
        </w:rPr>
        <w:t xml:space="preserve">למדינת </w:t>
      </w:r>
      <w:bookmarkStart w:id="15927" w:name="_ETM_Q21_473040"/>
      <w:bookmarkEnd w:id="15927"/>
      <w:r>
        <w:rPr>
          <w:rFonts w:hint="cs"/>
          <w:rtl/>
        </w:rPr>
        <w:t>ישראל.</w:t>
      </w:r>
    </w:p>
    <w:p w:rsidR="000C5C1F" w:rsidRDefault="000C5C1F" w:rsidP="000C5C1F">
      <w:pPr>
        <w:rPr>
          <w:rtl/>
        </w:rPr>
      </w:pPr>
      <w:bookmarkStart w:id="15928" w:name="_ETM_Q21_473000"/>
      <w:bookmarkEnd w:id="15928"/>
    </w:p>
    <w:p w:rsidR="000C5C1F" w:rsidRDefault="000C5C1F" w:rsidP="000C5C1F">
      <w:pPr>
        <w:rPr>
          <w:rtl/>
        </w:rPr>
      </w:pPr>
      <w:bookmarkStart w:id="15929" w:name="_ETM_Q21_474000"/>
      <w:bookmarkStart w:id="15930" w:name="_ETM_Q21_474900"/>
      <w:bookmarkEnd w:id="15929"/>
      <w:bookmarkEnd w:id="15930"/>
      <w:r>
        <w:rPr>
          <w:rFonts w:hint="cs"/>
          <w:rtl/>
        </w:rPr>
        <w:t xml:space="preserve">ראש </w:t>
      </w:r>
      <w:bookmarkStart w:id="15931" w:name="_ETM_Q21_475440"/>
      <w:bookmarkEnd w:id="15931"/>
      <w:r>
        <w:rPr>
          <w:rFonts w:hint="cs"/>
          <w:rtl/>
        </w:rPr>
        <w:t xml:space="preserve">הממשלה </w:t>
      </w:r>
      <w:bookmarkStart w:id="15932" w:name="_ETM_Q21_476100"/>
      <w:bookmarkEnd w:id="15932"/>
      <w:r>
        <w:rPr>
          <w:rFonts w:hint="cs"/>
          <w:rtl/>
        </w:rPr>
        <w:t xml:space="preserve">החצוף </w:t>
      </w:r>
      <w:bookmarkStart w:id="15933" w:name="_ETM_Q21_477120"/>
      <w:bookmarkEnd w:id="15933"/>
      <w:r>
        <w:rPr>
          <w:rFonts w:hint="cs"/>
          <w:rtl/>
        </w:rPr>
        <w:t xml:space="preserve">מדבר </w:t>
      </w:r>
      <w:bookmarkStart w:id="15934" w:name="_ETM_Q21_477630"/>
      <w:bookmarkEnd w:id="15934"/>
      <w:r>
        <w:rPr>
          <w:rFonts w:hint="cs"/>
          <w:rtl/>
        </w:rPr>
        <w:t xml:space="preserve">על </w:t>
      </w:r>
      <w:bookmarkStart w:id="15935" w:name="_ETM_Q21_477720"/>
      <w:bookmarkEnd w:id="15935"/>
      <w:r>
        <w:rPr>
          <w:rFonts w:hint="cs"/>
          <w:rtl/>
        </w:rPr>
        <w:t>סרבנות, כשמ</w:t>
      </w:r>
      <w:bookmarkStart w:id="15936" w:name="_ETM_Q21_479389"/>
      <w:bookmarkEnd w:id="15936"/>
      <w:r>
        <w:rPr>
          <w:rFonts w:hint="cs"/>
          <w:rtl/>
        </w:rPr>
        <w:t xml:space="preserve">סביבו </w:t>
      </w:r>
      <w:bookmarkStart w:id="15937" w:name="_ETM_Q21_479810"/>
      <w:bookmarkEnd w:id="15937"/>
      <w:r>
        <w:rPr>
          <w:rFonts w:hint="cs"/>
          <w:rtl/>
        </w:rPr>
        <w:t xml:space="preserve">בשולחן </w:t>
      </w:r>
      <w:bookmarkStart w:id="15938" w:name="_ETM_Q21_480839"/>
      <w:bookmarkEnd w:id="15938"/>
      <w:r>
        <w:rPr>
          <w:rFonts w:hint="cs"/>
          <w:rtl/>
        </w:rPr>
        <w:t xml:space="preserve">הממשלה </w:t>
      </w:r>
      <w:bookmarkStart w:id="15939" w:name="_ETM_Q21_480000"/>
      <w:bookmarkStart w:id="15940" w:name="_ETM_Q21_480630"/>
      <w:bookmarkEnd w:id="15939"/>
      <w:bookmarkEnd w:id="15940"/>
      <w:r>
        <w:rPr>
          <w:rFonts w:hint="cs"/>
          <w:rtl/>
        </w:rPr>
        <w:t xml:space="preserve">יושבים </w:t>
      </w:r>
      <w:bookmarkStart w:id="15941" w:name="_ETM_Q21_481170"/>
      <w:bookmarkStart w:id="15942" w:name="_ETM_Q21_481560"/>
      <w:bookmarkEnd w:id="15941"/>
      <w:bookmarkEnd w:id="15942"/>
      <w:r>
        <w:rPr>
          <w:rFonts w:hint="cs"/>
          <w:rtl/>
        </w:rPr>
        <w:t xml:space="preserve">נציגים </w:t>
      </w:r>
      <w:bookmarkStart w:id="15943" w:name="_ETM_Q21_482070"/>
      <w:bookmarkEnd w:id="15943"/>
      <w:r>
        <w:rPr>
          <w:rFonts w:hint="cs"/>
          <w:rtl/>
        </w:rPr>
        <w:t xml:space="preserve">חרדים, </w:t>
      </w:r>
      <w:bookmarkStart w:id="15944" w:name="_ETM_Q21_482639"/>
      <w:bookmarkEnd w:id="15944"/>
      <w:r>
        <w:rPr>
          <w:rFonts w:hint="cs"/>
          <w:rtl/>
        </w:rPr>
        <w:t xml:space="preserve">מתנחלים, </w:t>
      </w:r>
      <w:bookmarkStart w:id="15945" w:name="_ETM_Q21_483240"/>
      <w:bookmarkEnd w:id="15945"/>
      <w:r>
        <w:rPr>
          <w:rFonts w:hint="cs"/>
          <w:rtl/>
        </w:rPr>
        <w:t xml:space="preserve">נוער </w:t>
      </w:r>
      <w:bookmarkStart w:id="15946" w:name="_ETM_Q21_483510"/>
      <w:bookmarkEnd w:id="15946"/>
      <w:r>
        <w:rPr>
          <w:rFonts w:hint="cs"/>
          <w:rtl/>
        </w:rPr>
        <w:t xml:space="preserve">הגבעות, </w:t>
      </w:r>
      <w:bookmarkStart w:id="15947" w:name="_ETM_Q21_484380"/>
      <w:bookmarkEnd w:id="15947"/>
      <w:r>
        <w:rPr>
          <w:rFonts w:hint="cs"/>
          <w:rtl/>
        </w:rPr>
        <w:t xml:space="preserve">שהדמוקרטיה </w:t>
      </w:r>
      <w:bookmarkStart w:id="15948" w:name="_ETM_Q21_485250"/>
      <w:bookmarkEnd w:id="15948"/>
      <w:r>
        <w:rPr>
          <w:rFonts w:hint="cs"/>
          <w:rtl/>
        </w:rPr>
        <w:t xml:space="preserve">מהם </w:t>
      </w:r>
      <w:bookmarkStart w:id="15949" w:name="_ETM_Q21_485490"/>
      <w:bookmarkEnd w:id="15949"/>
      <w:r>
        <w:rPr>
          <w:rFonts w:hint="cs"/>
          <w:rtl/>
        </w:rPr>
        <w:t xml:space="preserve">והלאה </w:t>
      </w:r>
      <w:bookmarkStart w:id="15950" w:name="_ETM_Q21_486740"/>
      <w:bookmarkEnd w:id="15950"/>
      <w:r>
        <w:rPr>
          <w:rFonts w:hint="cs"/>
          <w:rtl/>
        </w:rPr>
        <w:t xml:space="preserve">ושהשירות </w:t>
      </w:r>
      <w:bookmarkStart w:id="15951" w:name="_ETM_Q21_487430"/>
      <w:bookmarkEnd w:id="15951"/>
      <w:r>
        <w:rPr>
          <w:rFonts w:hint="cs"/>
          <w:rtl/>
        </w:rPr>
        <w:t>בצה"ל</w:t>
      </w:r>
      <w:bookmarkStart w:id="15952" w:name="_ETM_Q21_487970"/>
      <w:bookmarkStart w:id="15953" w:name="_ETM_Q21_488240"/>
      <w:bookmarkStart w:id="15954" w:name="_ETM_Q21_488540"/>
      <w:bookmarkEnd w:id="15952"/>
      <w:bookmarkEnd w:id="15953"/>
      <w:bookmarkEnd w:id="15954"/>
      <w:r>
        <w:rPr>
          <w:rFonts w:hint="cs"/>
          <w:rtl/>
        </w:rPr>
        <w:t xml:space="preserve"> הוא תועבה בעיניהם. </w:t>
      </w:r>
      <w:bookmarkStart w:id="15955" w:name="_ETM_Q21_489420"/>
      <w:bookmarkStart w:id="15956" w:name="_ETM_Q21_502000"/>
      <w:bookmarkEnd w:id="15955"/>
      <w:bookmarkEnd w:id="15956"/>
      <w:r>
        <w:rPr>
          <w:rFonts w:hint="cs"/>
          <w:rtl/>
        </w:rPr>
        <w:t xml:space="preserve"> אותו </w:t>
      </w:r>
      <w:bookmarkStart w:id="15957" w:name="_ETM_Q21_489780"/>
      <w:bookmarkEnd w:id="15957"/>
      <w:r>
        <w:rPr>
          <w:rFonts w:hint="cs"/>
          <w:rtl/>
        </w:rPr>
        <w:t xml:space="preserve">ראש </w:t>
      </w:r>
      <w:bookmarkStart w:id="15958" w:name="_ETM_Q21_489990"/>
      <w:bookmarkEnd w:id="15958"/>
      <w:r>
        <w:rPr>
          <w:rFonts w:hint="cs"/>
          <w:rtl/>
        </w:rPr>
        <w:t xml:space="preserve">ממשלה – נגמר לי הנאום הכתוב </w:t>
      </w:r>
      <w:bookmarkStart w:id="15959" w:name="_ETM_Q21_494000"/>
      <w:bookmarkEnd w:id="15959"/>
      <w:r>
        <w:rPr>
          <w:rFonts w:hint="cs"/>
          <w:rtl/>
        </w:rPr>
        <w:t xml:space="preserve">והזמן עוד לא אזל, אז אני אמשיך בלי </w:t>
      </w:r>
      <w:bookmarkStart w:id="15960" w:name="_ETM_Q21_491889"/>
      <w:bookmarkStart w:id="15961" w:name="_ETM_Q21_492010"/>
      <w:bookmarkEnd w:id="15960"/>
      <w:bookmarkEnd w:id="15961"/>
      <w:r>
        <w:rPr>
          <w:rFonts w:hint="cs"/>
          <w:rtl/>
        </w:rPr>
        <w:t xml:space="preserve">הנאום </w:t>
      </w:r>
      <w:bookmarkStart w:id="15962" w:name="_ETM_Q21_492279"/>
      <w:bookmarkStart w:id="15963" w:name="_ETM_Q21_493440"/>
      <w:bookmarkStart w:id="15964" w:name="_ETM_Q21_493949"/>
      <w:bookmarkStart w:id="15965" w:name="_ETM_Q21_494129"/>
      <w:bookmarkStart w:id="15966" w:name="_ETM_Q21_495680"/>
      <w:bookmarkStart w:id="15967" w:name="_ETM_Q21_495800"/>
      <w:bookmarkStart w:id="15968" w:name="_ETM_Q21_495980"/>
      <w:bookmarkStart w:id="15969" w:name="_ETM_Q21_496520"/>
      <w:bookmarkStart w:id="15970" w:name="_ETM_Q21_497630"/>
      <w:bookmarkEnd w:id="15962"/>
      <w:bookmarkEnd w:id="15963"/>
      <w:bookmarkEnd w:id="15964"/>
      <w:bookmarkEnd w:id="15965"/>
      <w:bookmarkEnd w:id="15966"/>
      <w:bookmarkEnd w:id="15967"/>
      <w:bookmarkEnd w:id="15968"/>
      <w:bookmarkEnd w:id="15969"/>
      <w:bookmarkEnd w:id="15970"/>
      <w:r>
        <w:rPr>
          <w:rFonts w:hint="cs"/>
          <w:rtl/>
        </w:rPr>
        <w:t xml:space="preserve">– </w:t>
      </w:r>
      <w:bookmarkStart w:id="15971" w:name="_ETM_Q21_501000"/>
      <w:bookmarkEnd w:id="15971"/>
      <w:r>
        <w:rPr>
          <w:rFonts w:hint="cs"/>
          <w:rtl/>
        </w:rPr>
        <w:t xml:space="preserve">אותו </w:t>
      </w:r>
      <w:bookmarkStart w:id="15972" w:name="_ETM_Q21_497869"/>
      <w:bookmarkEnd w:id="15972"/>
      <w:r>
        <w:rPr>
          <w:rFonts w:hint="cs"/>
          <w:rtl/>
        </w:rPr>
        <w:t xml:space="preserve">ראש ממשלה </w:t>
      </w:r>
      <w:bookmarkStart w:id="15973" w:name="_ETM_Q21_501099"/>
      <w:bookmarkEnd w:id="15973"/>
      <w:r>
        <w:rPr>
          <w:rFonts w:hint="cs"/>
          <w:rtl/>
        </w:rPr>
        <w:t xml:space="preserve">יושב </w:t>
      </w:r>
      <w:bookmarkStart w:id="15974" w:name="_ETM_Q21_502400"/>
      <w:bookmarkEnd w:id="15974"/>
      <w:r>
        <w:rPr>
          <w:rFonts w:hint="cs"/>
          <w:rtl/>
        </w:rPr>
        <w:t xml:space="preserve">ופשוט </w:t>
      </w:r>
      <w:bookmarkStart w:id="15975" w:name="_ETM_Q21_503180"/>
      <w:bookmarkEnd w:id="15975"/>
      <w:r>
        <w:rPr>
          <w:rFonts w:hint="cs"/>
          <w:rtl/>
        </w:rPr>
        <w:t xml:space="preserve">מחרב </w:t>
      </w:r>
      <w:bookmarkStart w:id="15976" w:name="_ETM_Q21_503690"/>
      <w:bookmarkEnd w:id="15976"/>
      <w:r>
        <w:rPr>
          <w:rFonts w:hint="cs"/>
          <w:rtl/>
        </w:rPr>
        <w:t xml:space="preserve">את </w:t>
      </w:r>
      <w:bookmarkStart w:id="15977" w:name="_ETM_Q21_503839"/>
      <w:bookmarkEnd w:id="15977"/>
      <w:r>
        <w:rPr>
          <w:rFonts w:hint="cs"/>
          <w:rtl/>
        </w:rPr>
        <w:t xml:space="preserve">המדינה. </w:t>
      </w:r>
      <w:bookmarkStart w:id="15978" w:name="_ETM_Q21_505029"/>
      <w:bookmarkEnd w:id="15978"/>
      <w:r>
        <w:rPr>
          <w:rFonts w:hint="cs"/>
          <w:rtl/>
        </w:rPr>
        <w:t xml:space="preserve">אתה </w:t>
      </w:r>
      <w:bookmarkStart w:id="15979" w:name="_ETM_Q21_505359"/>
      <w:bookmarkEnd w:id="15979"/>
      <w:r>
        <w:rPr>
          <w:rFonts w:hint="cs"/>
          <w:rtl/>
        </w:rPr>
        <w:t xml:space="preserve">הרי </w:t>
      </w:r>
      <w:bookmarkStart w:id="15980" w:name="_ETM_Q21_505510"/>
      <w:bookmarkEnd w:id="15980"/>
      <w:r>
        <w:rPr>
          <w:rFonts w:hint="cs"/>
          <w:rtl/>
        </w:rPr>
        <w:t xml:space="preserve">יודע </w:t>
      </w:r>
      <w:bookmarkStart w:id="15981" w:name="_ETM_Q21_505869"/>
      <w:bookmarkEnd w:id="15981"/>
      <w:r>
        <w:rPr>
          <w:rFonts w:hint="cs"/>
          <w:rtl/>
        </w:rPr>
        <w:t xml:space="preserve">בדיוק </w:t>
      </w:r>
      <w:bookmarkStart w:id="15982" w:name="_ETM_Q21_506170"/>
      <w:bookmarkEnd w:id="15982"/>
      <w:r>
        <w:rPr>
          <w:rFonts w:hint="cs"/>
          <w:rtl/>
        </w:rPr>
        <w:t xml:space="preserve">כמוני, </w:t>
      </w:r>
      <w:bookmarkStart w:id="15983" w:name="_ETM_Q21_506680"/>
      <w:bookmarkEnd w:id="15983"/>
      <w:r>
        <w:rPr>
          <w:rFonts w:hint="cs"/>
          <w:rtl/>
        </w:rPr>
        <w:t xml:space="preserve">כי </w:t>
      </w:r>
      <w:bookmarkStart w:id="15984" w:name="_ETM_Q21_506830"/>
      <w:bookmarkEnd w:id="15984"/>
      <w:r>
        <w:rPr>
          <w:rFonts w:hint="cs"/>
          <w:rtl/>
        </w:rPr>
        <w:t xml:space="preserve">אני </w:t>
      </w:r>
      <w:bookmarkStart w:id="15985" w:name="_ETM_Q21_506980"/>
      <w:bookmarkEnd w:id="15985"/>
      <w:r>
        <w:rPr>
          <w:rFonts w:hint="cs"/>
          <w:rtl/>
        </w:rPr>
        <w:t xml:space="preserve">ואתה </w:t>
      </w:r>
      <w:bookmarkStart w:id="15986" w:name="_ETM_Q21_507339"/>
      <w:bookmarkEnd w:id="15986"/>
      <w:r>
        <w:rPr>
          <w:rFonts w:hint="cs"/>
          <w:rtl/>
        </w:rPr>
        <w:t xml:space="preserve">רואים </w:t>
      </w:r>
      <w:bookmarkStart w:id="15987" w:name="_ETM_Q21_507580"/>
      <w:bookmarkEnd w:id="15987"/>
      <w:r>
        <w:rPr>
          <w:rFonts w:hint="cs"/>
          <w:rtl/>
        </w:rPr>
        <w:t xml:space="preserve">את </w:t>
      </w:r>
      <w:bookmarkStart w:id="15988" w:name="_ETM_Q21_507699"/>
      <w:bookmarkEnd w:id="15988"/>
      <w:r>
        <w:rPr>
          <w:rFonts w:hint="cs"/>
          <w:rtl/>
        </w:rPr>
        <w:t xml:space="preserve">אותם </w:t>
      </w:r>
      <w:bookmarkStart w:id="15989" w:name="_ETM_Q21_508000"/>
      <w:bookmarkEnd w:id="15989"/>
      <w:r>
        <w:rPr>
          <w:rFonts w:hint="cs"/>
          <w:rtl/>
        </w:rPr>
        <w:t xml:space="preserve">דוחות </w:t>
      </w:r>
      <w:bookmarkStart w:id="15990" w:name="_ETM_Q21_508359"/>
      <w:bookmarkEnd w:id="15990"/>
      <w:r>
        <w:rPr>
          <w:rFonts w:hint="cs"/>
          <w:rtl/>
        </w:rPr>
        <w:t xml:space="preserve">מודיעיניים – </w:t>
      </w:r>
      <w:bookmarkStart w:id="15991" w:name="_ETM_Q21_509569"/>
      <w:bookmarkEnd w:id="15991"/>
      <w:r>
        <w:rPr>
          <w:rFonts w:hint="cs"/>
          <w:rtl/>
        </w:rPr>
        <w:t xml:space="preserve">אתה </w:t>
      </w:r>
      <w:bookmarkStart w:id="15992" w:name="_ETM_Q21_509720"/>
      <w:bookmarkEnd w:id="15992"/>
      <w:r>
        <w:rPr>
          <w:rFonts w:hint="cs"/>
          <w:rtl/>
        </w:rPr>
        <w:t xml:space="preserve">יודע </w:t>
      </w:r>
      <w:bookmarkStart w:id="15993" w:name="_ETM_Q21_509929"/>
      <w:bookmarkEnd w:id="15993"/>
      <w:r>
        <w:rPr>
          <w:rFonts w:hint="cs"/>
          <w:rtl/>
        </w:rPr>
        <w:t xml:space="preserve">בדיוק </w:t>
      </w:r>
      <w:bookmarkStart w:id="15994" w:name="_ETM_Q21_510259"/>
      <w:bookmarkEnd w:id="15994"/>
      <w:r>
        <w:rPr>
          <w:rFonts w:hint="cs"/>
          <w:rtl/>
        </w:rPr>
        <w:t xml:space="preserve">כמוני </w:t>
      </w:r>
      <w:bookmarkStart w:id="15995" w:name="_ETM_Q21_510710"/>
      <w:bookmarkEnd w:id="15995"/>
      <w:r>
        <w:rPr>
          <w:rFonts w:hint="cs"/>
          <w:rtl/>
        </w:rPr>
        <w:t xml:space="preserve">מה </w:t>
      </w:r>
      <w:bookmarkStart w:id="15996" w:name="_ETM_Q21_510890"/>
      <w:bookmarkEnd w:id="15996"/>
      <w:r>
        <w:rPr>
          <w:rFonts w:hint="cs"/>
          <w:rtl/>
        </w:rPr>
        <w:t xml:space="preserve">המצב </w:t>
      </w:r>
      <w:bookmarkStart w:id="15997" w:name="_ETM_Q21_511309"/>
      <w:bookmarkEnd w:id="15997"/>
      <w:r>
        <w:rPr>
          <w:rFonts w:hint="cs"/>
          <w:rtl/>
        </w:rPr>
        <w:t xml:space="preserve">שלנו; </w:t>
      </w:r>
      <w:bookmarkStart w:id="15998" w:name="_ETM_Q21_511990"/>
      <w:bookmarkEnd w:id="15998"/>
      <w:r>
        <w:rPr>
          <w:rFonts w:hint="cs"/>
          <w:rtl/>
        </w:rPr>
        <w:t xml:space="preserve">אתה </w:t>
      </w:r>
      <w:bookmarkStart w:id="15999" w:name="_ETM_Q21_512230"/>
      <w:bookmarkEnd w:id="15999"/>
      <w:r>
        <w:rPr>
          <w:rFonts w:hint="cs"/>
          <w:rtl/>
        </w:rPr>
        <w:t xml:space="preserve">יודע </w:t>
      </w:r>
      <w:bookmarkStart w:id="16000" w:name="_ETM_Q21_512440"/>
      <w:bookmarkEnd w:id="16000"/>
      <w:r>
        <w:rPr>
          <w:rFonts w:hint="cs"/>
          <w:rtl/>
        </w:rPr>
        <w:t xml:space="preserve">מה </w:t>
      </w:r>
      <w:bookmarkStart w:id="16001" w:name="_ETM_Q21_512560"/>
      <w:bookmarkEnd w:id="16001"/>
      <w:r>
        <w:rPr>
          <w:rFonts w:hint="cs"/>
          <w:rtl/>
        </w:rPr>
        <w:t xml:space="preserve">קורה </w:t>
      </w:r>
      <w:bookmarkStart w:id="16002" w:name="_ETM_Q21_512739"/>
      <w:bookmarkEnd w:id="16002"/>
      <w:r>
        <w:rPr>
          <w:rFonts w:hint="cs"/>
          <w:rtl/>
        </w:rPr>
        <w:t xml:space="preserve">בצפון, </w:t>
      </w:r>
      <w:bookmarkStart w:id="16003" w:name="_ETM_Q21_513989"/>
      <w:bookmarkEnd w:id="16003"/>
      <w:r>
        <w:rPr>
          <w:rFonts w:hint="cs"/>
          <w:rtl/>
        </w:rPr>
        <w:t xml:space="preserve">אתה </w:t>
      </w:r>
      <w:bookmarkStart w:id="16004" w:name="_ETM_Q21_514110"/>
      <w:bookmarkEnd w:id="16004"/>
      <w:r>
        <w:rPr>
          <w:rFonts w:hint="cs"/>
          <w:rtl/>
        </w:rPr>
        <w:t xml:space="preserve">יודע </w:t>
      </w:r>
      <w:bookmarkStart w:id="16005" w:name="_ETM_Q21_514290"/>
      <w:bookmarkEnd w:id="16005"/>
      <w:r>
        <w:rPr>
          <w:rFonts w:hint="cs"/>
          <w:rtl/>
        </w:rPr>
        <w:t xml:space="preserve">מה </w:t>
      </w:r>
      <w:bookmarkStart w:id="16006" w:name="_ETM_Q21_514410"/>
      <w:bookmarkEnd w:id="16006"/>
      <w:r>
        <w:rPr>
          <w:rFonts w:hint="cs"/>
          <w:rtl/>
        </w:rPr>
        <w:t xml:space="preserve">קורה </w:t>
      </w:r>
      <w:bookmarkStart w:id="16007" w:name="_ETM_Q21_514620"/>
      <w:bookmarkEnd w:id="16007"/>
      <w:r>
        <w:rPr>
          <w:rFonts w:hint="cs"/>
          <w:rtl/>
        </w:rPr>
        <w:t xml:space="preserve">בשטחים, </w:t>
      </w:r>
      <w:bookmarkStart w:id="16008" w:name="_ETM_Q21_516010"/>
      <w:bookmarkEnd w:id="16008"/>
      <w:r>
        <w:rPr>
          <w:rFonts w:hint="cs"/>
          <w:rtl/>
        </w:rPr>
        <w:t xml:space="preserve">אתה </w:t>
      </w:r>
      <w:bookmarkStart w:id="16009" w:name="_ETM_Q21_516160"/>
      <w:bookmarkEnd w:id="16009"/>
      <w:r>
        <w:rPr>
          <w:rFonts w:hint="cs"/>
          <w:rtl/>
        </w:rPr>
        <w:t xml:space="preserve">יודע </w:t>
      </w:r>
      <w:bookmarkStart w:id="16010" w:name="_ETM_Q21_516310"/>
      <w:bookmarkEnd w:id="16010"/>
      <w:r>
        <w:rPr>
          <w:rFonts w:hint="cs"/>
          <w:rtl/>
        </w:rPr>
        <w:t xml:space="preserve">מה </w:t>
      </w:r>
      <w:bookmarkStart w:id="16011" w:name="_ETM_Q21_516430"/>
      <w:bookmarkEnd w:id="16011"/>
      <w:r>
        <w:rPr>
          <w:rFonts w:hint="cs"/>
          <w:rtl/>
        </w:rPr>
        <w:t xml:space="preserve">קורה </w:t>
      </w:r>
      <w:bookmarkStart w:id="16012" w:name="_ETM_Q21_516670"/>
      <w:bookmarkEnd w:id="16012"/>
      <w:r>
        <w:rPr>
          <w:rFonts w:hint="cs"/>
          <w:rtl/>
        </w:rPr>
        <w:t xml:space="preserve">באיראן, </w:t>
      </w:r>
      <w:bookmarkStart w:id="16013" w:name="_ETM_Q21_518039"/>
      <w:bookmarkEnd w:id="16013"/>
      <w:r>
        <w:rPr>
          <w:rFonts w:hint="cs"/>
          <w:rtl/>
        </w:rPr>
        <w:t xml:space="preserve">אתה </w:t>
      </w:r>
      <w:bookmarkStart w:id="16014" w:name="_ETM_Q21_518250"/>
      <w:bookmarkEnd w:id="16014"/>
      <w:r>
        <w:rPr>
          <w:rFonts w:hint="cs"/>
          <w:rtl/>
        </w:rPr>
        <w:t xml:space="preserve">מבין </w:t>
      </w:r>
      <w:bookmarkStart w:id="16015" w:name="_ETM_Q21_519449"/>
      <w:bookmarkEnd w:id="16015"/>
      <w:r>
        <w:rPr>
          <w:rFonts w:hint="cs"/>
          <w:rtl/>
        </w:rPr>
        <w:t xml:space="preserve">שהסבירות </w:t>
      </w:r>
      <w:bookmarkStart w:id="16016" w:name="_ETM_Q21_520109"/>
      <w:bookmarkEnd w:id="16016"/>
      <w:r>
        <w:rPr>
          <w:rFonts w:hint="cs"/>
          <w:rtl/>
        </w:rPr>
        <w:t xml:space="preserve">למלחמה </w:t>
      </w:r>
      <w:bookmarkStart w:id="16017" w:name="_ETM_Q21_521250"/>
      <w:bookmarkEnd w:id="16017"/>
      <w:r>
        <w:rPr>
          <w:rFonts w:hint="cs"/>
          <w:rtl/>
        </w:rPr>
        <w:t xml:space="preserve">עלתה </w:t>
      </w:r>
      <w:bookmarkStart w:id="16018" w:name="_ETM_Q21_521699"/>
      <w:bookmarkEnd w:id="16018"/>
      <w:r>
        <w:rPr>
          <w:rFonts w:hint="cs"/>
          <w:rtl/>
        </w:rPr>
        <w:t xml:space="preserve">מאוד </w:t>
      </w:r>
      <w:bookmarkStart w:id="16019" w:name="_ETM_Q21_522029"/>
      <w:bookmarkStart w:id="16020" w:name="_ETM_Q21_522390"/>
      <w:bookmarkStart w:id="16021" w:name="_ETM_Q21_522600"/>
      <w:bookmarkEnd w:id="16019"/>
      <w:bookmarkEnd w:id="16020"/>
      <w:bookmarkEnd w:id="16021"/>
      <w:r>
        <w:rPr>
          <w:rFonts w:hint="cs"/>
          <w:rtl/>
        </w:rPr>
        <w:t xml:space="preserve">בשנה </w:t>
      </w:r>
      <w:bookmarkStart w:id="16022" w:name="_ETM_Q21_523079"/>
      <w:bookmarkEnd w:id="16022"/>
      <w:r>
        <w:rPr>
          <w:rFonts w:hint="cs"/>
          <w:rtl/>
        </w:rPr>
        <w:t xml:space="preserve">האחרונה, </w:t>
      </w:r>
      <w:bookmarkStart w:id="16023" w:name="_ETM_Q21_523829"/>
      <w:bookmarkEnd w:id="16023"/>
      <w:r>
        <w:rPr>
          <w:rFonts w:hint="cs"/>
          <w:rtl/>
        </w:rPr>
        <w:t xml:space="preserve">מאז </w:t>
      </w:r>
      <w:bookmarkStart w:id="16024" w:name="_ETM_Q21_524070"/>
      <w:bookmarkEnd w:id="16024"/>
      <w:r>
        <w:rPr>
          <w:rFonts w:hint="cs"/>
          <w:rtl/>
        </w:rPr>
        <w:t xml:space="preserve">שאתה </w:t>
      </w:r>
      <w:bookmarkStart w:id="16025" w:name="_ETM_Q21_524339"/>
      <w:bookmarkEnd w:id="16025"/>
      <w:r>
        <w:rPr>
          <w:rFonts w:hint="cs"/>
          <w:rtl/>
        </w:rPr>
        <w:t xml:space="preserve">בשלטון, </w:t>
      </w:r>
      <w:bookmarkStart w:id="16026" w:name="_ETM_Q21_524850"/>
      <w:bookmarkEnd w:id="16026"/>
      <w:r>
        <w:rPr>
          <w:rFonts w:hint="cs"/>
          <w:rtl/>
        </w:rPr>
        <w:t xml:space="preserve">דרך </w:t>
      </w:r>
      <w:bookmarkStart w:id="16027" w:name="_ETM_Q21_525059"/>
      <w:bookmarkEnd w:id="16027"/>
      <w:r>
        <w:rPr>
          <w:rFonts w:hint="cs"/>
          <w:rtl/>
        </w:rPr>
        <w:t xml:space="preserve">אגב, </w:t>
      </w:r>
      <w:bookmarkStart w:id="16028" w:name="_ETM_Q21_526910"/>
      <w:bookmarkEnd w:id="16028"/>
      <w:r>
        <w:rPr>
          <w:rFonts w:hint="cs"/>
          <w:rtl/>
        </w:rPr>
        <w:t xml:space="preserve">ואתה </w:t>
      </w:r>
      <w:bookmarkStart w:id="16029" w:name="_ETM_Q21_528800"/>
      <w:bookmarkEnd w:id="16029"/>
      <w:r>
        <w:rPr>
          <w:rFonts w:hint="cs"/>
          <w:rtl/>
        </w:rPr>
        <w:t xml:space="preserve">ממשיך </w:t>
      </w:r>
      <w:bookmarkStart w:id="16030" w:name="_ETM_Q21_530329"/>
      <w:bookmarkEnd w:id="16030"/>
      <w:r>
        <w:rPr>
          <w:rFonts w:hint="cs"/>
          <w:rtl/>
        </w:rPr>
        <w:t xml:space="preserve">ללכת </w:t>
      </w:r>
      <w:bookmarkStart w:id="16031" w:name="_ETM_Q21_532279"/>
      <w:bookmarkEnd w:id="16031"/>
      <w:r>
        <w:rPr>
          <w:rFonts w:hint="cs"/>
          <w:rtl/>
        </w:rPr>
        <w:t xml:space="preserve">בעיניים </w:t>
      </w:r>
      <w:bookmarkStart w:id="16032" w:name="_ETM_Q21_532790"/>
      <w:bookmarkEnd w:id="16032"/>
      <w:r>
        <w:rPr>
          <w:rFonts w:hint="cs"/>
          <w:rtl/>
        </w:rPr>
        <w:t xml:space="preserve">פקוחות </w:t>
      </w:r>
      <w:bookmarkStart w:id="16033" w:name="_ETM_Q21_534750"/>
      <w:bookmarkEnd w:id="16033"/>
      <w:r>
        <w:rPr>
          <w:rFonts w:hint="cs"/>
          <w:rtl/>
        </w:rPr>
        <w:t xml:space="preserve">לתוך </w:t>
      </w:r>
      <w:bookmarkStart w:id="16034" w:name="_ETM_Q21_535260"/>
      <w:bookmarkEnd w:id="16034"/>
      <w:r>
        <w:rPr>
          <w:rFonts w:hint="cs"/>
          <w:rtl/>
        </w:rPr>
        <w:t xml:space="preserve">התהום </w:t>
      </w:r>
      <w:bookmarkStart w:id="16035" w:name="_ETM_Q21_536550"/>
      <w:bookmarkEnd w:id="16035"/>
      <w:r>
        <w:rPr>
          <w:rFonts w:hint="cs"/>
          <w:rtl/>
        </w:rPr>
        <w:t xml:space="preserve">מתוך </w:t>
      </w:r>
      <w:bookmarkStart w:id="16036" w:name="_ETM_Q21_536910"/>
      <w:bookmarkEnd w:id="16036"/>
      <w:r>
        <w:rPr>
          <w:rFonts w:hint="cs"/>
          <w:rtl/>
        </w:rPr>
        <w:t xml:space="preserve">מחשבה </w:t>
      </w:r>
      <w:bookmarkStart w:id="16037" w:name="_ETM_Q21_538180"/>
      <w:bookmarkEnd w:id="16037"/>
      <w:r>
        <w:rPr>
          <w:rFonts w:hint="cs"/>
          <w:rtl/>
        </w:rPr>
        <w:t xml:space="preserve">שזה </w:t>
      </w:r>
      <w:bookmarkStart w:id="16038" w:name="_ETM_Q21_538510"/>
      <w:bookmarkEnd w:id="16038"/>
      <w:r>
        <w:rPr>
          <w:rFonts w:hint="cs"/>
          <w:rtl/>
        </w:rPr>
        <w:t xml:space="preserve">יהיה </w:t>
      </w:r>
      <w:bookmarkStart w:id="16039" w:name="_ETM_Q21_538660"/>
      <w:bookmarkEnd w:id="16039"/>
      <w:r>
        <w:rPr>
          <w:rFonts w:hint="cs"/>
          <w:rtl/>
        </w:rPr>
        <w:t xml:space="preserve">בסדר, המחאה תירגע. </w:t>
      </w:r>
      <w:bookmarkStart w:id="16040" w:name="_ETM_Q21_539839"/>
      <w:bookmarkStart w:id="16041" w:name="_ETM_Q21_540019"/>
      <w:bookmarkStart w:id="16042" w:name="_ETM_Q21_540469"/>
      <w:bookmarkStart w:id="16043" w:name="_ETM_Q21_541370"/>
      <w:bookmarkEnd w:id="16040"/>
      <w:bookmarkEnd w:id="16041"/>
      <w:bookmarkEnd w:id="16042"/>
      <w:bookmarkEnd w:id="16043"/>
      <w:r>
        <w:rPr>
          <w:rFonts w:hint="cs"/>
          <w:rtl/>
        </w:rPr>
        <w:t xml:space="preserve">אז </w:t>
      </w:r>
      <w:bookmarkStart w:id="16044" w:name="_ETM_Q21_541609"/>
      <w:bookmarkEnd w:id="16044"/>
      <w:r>
        <w:rPr>
          <w:rFonts w:hint="cs"/>
          <w:rtl/>
        </w:rPr>
        <w:t xml:space="preserve">אני </w:t>
      </w:r>
      <w:bookmarkStart w:id="16045" w:name="_ETM_Q21_541789"/>
      <w:bookmarkEnd w:id="16045"/>
      <w:r>
        <w:rPr>
          <w:rFonts w:hint="cs"/>
          <w:rtl/>
        </w:rPr>
        <w:t xml:space="preserve">אומר </w:t>
      </w:r>
      <w:bookmarkStart w:id="16046" w:name="_ETM_Q21_542089"/>
      <w:bookmarkEnd w:id="16046"/>
      <w:r>
        <w:rPr>
          <w:rFonts w:hint="cs"/>
          <w:rtl/>
        </w:rPr>
        <w:t xml:space="preserve">לך – </w:t>
      </w:r>
      <w:bookmarkStart w:id="16047" w:name="_ETM_Q21_542690"/>
      <w:bookmarkEnd w:id="16047"/>
      <w:r>
        <w:rPr>
          <w:rFonts w:hint="cs"/>
          <w:rtl/>
        </w:rPr>
        <w:t xml:space="preserve">זה </w:t>
      </w:r>
      <w:bookmarkStart w:id="16048" w:name="_ETM_Q21_542929"/>
      <w:bookmarkEnd w:id="16048"/>
      <w:r>
        <w:rPr>
          <w:rFonts w:hint="cs"/>
          <w:rtl/>
        </w:rPr>
        <w:t xml:space="preserve">לא </w:t>
      </w:r>
      <w:bookmarkStart w:id="16049" w:name="_ETM_Q21_543079"/>
      <w:bookmarkEnd w:id="16049"/>
      <w:r>
        <w:rPr>
          <w:rFonts w:hint="cs"/>
          <w:rtl/>
        </w:rPr>
        <w:t xml:space="preserve">יהיה </w:t>
      </w:r>
      <w:bookmarkStart w:id="16050" w:name="_ETM_Q21_543289"/>
      <w:bookmarkEnd w:id="16050"/>
      <w:r>
        <w:rPr>
          <w:rFonts w:hint="cs"/>
          <w:rtl/>
        </w:rPr>
        <w:t xml:space="preserve">בסדר, </w:t>
      </w:r>
      <w:bookmarkStart w:id="16051" w:name="_ETM_Q21_544290"/>
      <w:bookmarkEnd w:id="16051"/>
      <w:r>
        <w:rPr>
          <w:rFonts w:hint="cs"/>
          <w:rtl/>
        </w:rPr>
        <w:t>ה</w:t>
      </w:r>
      <w:bookmarkStart w:id="16052" w:name="_ETM_Q21_544439"/>
      <w:bookmarkEnd w:id="16052"/>
      <w:r>
        <w:rPr>
          <w:rFonts w:hint="cs"/>
          <w:rtl/>
        </w:rPr>
        <w:t xml:space="preserve">מחאה לא </w:t>
      </w:r>
      <w:bookmarkStart w:id="16053" w:name="_ETM_Q21_544589"/>
      <w:bookmarkEnd w:id="16053"/>
      <w:r>
        <w:rPr>
          <w:rFonts w:hint="cs"/>
          <w:rtl/>
        </w:rPr>
        <w:t>תירגע</w:t>
      </w:r>
      <w:bookmarkStart w:id="16054" w:name="_ETM_Q21_545829"/>
      <w:bookmarkStart w:id="16055" w:name="_ETM_Q21_546870"/>
      <w:bookmarkEnd w:id="16054"/>
      <w:bookmarkEnd w:id="16055"/>
      <w:r>
        <w:rPr>
          <w:rFonts w:hint="cs"/>
          <w:rtl/>
        </w:rPr>
        <w:t xml:space="preserve">. </w:t>
      </w:r>
      <w:bookmarkStart w:id="16056" w:name="_ETM_Q21_547470"/>
      <w:bookmarkEnd w:id="16056"/>
      <w:r>
        <w:rPr>
          <w:rFonts w:hint="cs"/>
          <w:rtl/>
        </w:rPr>
        <w:t xml:space="preserve">היא </w:t>
      </w:r>
      <w:bookmarkStart w:id="16057" w:name="_ETM_Q21_547620"/>
      <w:bookmarkEnd w:id="16057"/>
      <w:r>
        <w:rPr>
          <w:rFonts w:hint="cs"/>
          <w:rtl/>
        </w:rPr>
        <w:t xml:space="preserve">תמשיך </w:t>
      </w:r>
      <w:bookmarkStart w:id="16058" w:name="_ETM_Q21_548190"/>
      <w:bookmarkEnd w:id="16058"/>
      <w:r>
        <w:rPr>
          <w:rFonts w:hint="cs"/>
          <w:rtl/>
        </w:rPr>
        <w:t xml:space="preserve">ותהיה </w:t>
      </w:r>
      <w:bookmarkStart w:id="16059" w:name="_ETM_Q21_548610"/>
      <w:bookmarkEnd w:id="16059"/>
      <w:r>
        <w:rPr>
          <w:rFonts w:hint="cs"/>
          <w:rtl/>
        </w:rPr>
        <w:t xml:space="preserve">עצומה </w:t>
      </w:r>
      <w:bookmarkStart w:id="16060" w:name="_ETM_Q21_549060"/>
      <w:bookmarkEnd w:id="16060"/>
      <w:r>
        <w:rPr>
          <w:rFonts w:hint="cs"/>
          <w:rtl/>
        </w:rPr>
        <w:t xml:space="preserve">יותר </w:t>
      </w:r>
      <w:bookmarkStart w:id="16061" w:name="_ETM_Q21_549510"/>
      <w:bookmarkEnd w:id="16061"/>
      <w:r>
        <w:rPr>
          <w:rFonts w:hint="cs"/>
          <w:rtl/>
        </w:rPr>
        <w:t>ויותר.</w:t>
      </w:r>
    </w:p>
    <w:p w:rsidR="000C5C1F" w:rsidRDefault="000C5C1F" w:rsidP="000C5C1F">
      <w:pPr>
        <w:rPr>
          <w:rtl/>
        </w:rPr>
      </w:pPr>
      <w:bookmarkStart w:id="16062" w:name="_ETM_Q21_551000"/>
      <w:bookmarkEnd w:id="16062"/>
    </w:p>
    <w:p w:rsidR="000C5C1F" w:rsidRDefault="000C5C1F" w:rsidP="000C5C1F">
      <w:pPr>
        <w:rPr>
          <w:rtl/>
        </w:rPr>
      </w:pPr>
      <w:r>
        <w:rPr>
          <w:rFonts w:hint="cs"/>
          <w:rtl/>
        </w:rPr>
        <w:t xml:space="preserve"> </w:t>
      </w:r>
      <w:bookmarkStart w:id="16063" w:name="_ETM_Q21_550800"/>
      <w:bookmarkEnd w:id="16063"/>
      <w:r>
        <w:rPr>
          <w:rFonts w:hint="cs"/>
          <w:rtl/>
        </w:rPr>
        <w:t xml:space="preserve">ואני </w:t>
      </w:r>
      <w:bookmarkStart w:id="16064" w:name="_ETM_Q21_551040"/>
      <w:bookmarkEnd w:id="16064"/>
      <w:r>
        <w:rPr>
          <w:rFonts w:hint="cs"/>
          <w:rtl/>
        </w:rPr>
        <w:t xml:space="preserve">אגיד </w:t>
      </w:r>
      <w:bookmarkStart w:id="16065" w:name="_ETM_Q21_551190"/>
      <w:bookmarkEnd w:id="16065"/>
      <w:r>
        <w:rPr>
          <w:rFonts w:hint="cs"/>
          <w:rtl/>
        </w:rPr>
        <w:t xml:space="preserve">לך </w:t>
      </w:r>
      <w:bookmarkStart w:id="16066" w:name="_ETM_Q21_551370"/>
      <w:bookmarkEnd w:id="16066"/>
      <w:r>
        <w:rPr>
          <w:rFonts w:hint="cs"/>
          <w:rtl/>
        </w:rPr>
        <w:t xml:space="preserve">עוד </w:t>
      </w:r>
      <w:bookmarkStart w:id="16067" w:name="_ETM_Q21_551520"/>
      <w:bookmarkEnd w:id="16067"/>
      <w:r>
        <w:rPr>
          <w:rFonts w:hint="cs"/>
          <w:rtl/>
        </w:rPr>
        <w:t xml:space="preserve">משהו, </w:t>
      </w:r>
      <w:bookmarkStart w:id="16068" w:name="_ETM_Q21_551850"/>
      <w:bookmarkEnd w:id="16068"/>
      <w:r>
        <w:rPr>
          <w:rFonts w:hint="cs"/>
          <w:rtl/>
        </w:rPr>
        <w:t xml:space="preserve">אדוני </w:t>
      </w:r>
      <w:bookmarkStart w:id="16069" w:name="_ETM_Q21_552210"/>
      <w:bookmarkEnd w:id="16069"/>
      <w:r>
        <w:rPr>
          <w:rFonts w:hint="cs"/>
          <w:rtl/>
        </w:rPr>
        <w:t xml:space="preserve">ראש </w:t>
      </w:r>
      <w:bookmarkStart w:id="16070" w:name="_ETM_Q21_552420"/>
      <w:bookmarkEnd w:id="16070"/>
      <w:r>
        <w:rPr>
          <w:rFonts w:hint="cs"/>
          <w:rtl/>
        </w:rPr>
        <w:t xml:space="preserve">הממשלה, </w:t>
      </w:r>
      <w:bookmarkStart w:id="16071" w:name="_ETM_Q21_553020"/>
      <w:bookmarkEnd w:id="16071"/>
      <w:r>
        <w:rPr>
          <w:rFonts w:hint="cs"/>
          <w:rtl/>
        </w:rPr>
        <w:t xml:space="preserve">אם </w:t>
      </w:r>
      <w:bookmarkStart w:id="16072" w:name="_ETM_Q21_553140"/>
      <w:bookmarkEnd w:id="16072"/>
      <w:r>
        <w:rPr>
          <w:rFonts w:hint="cs"/>
          <w:rtl/>
        </w:rPr>
        <w:t xml:space="preserve">אתה </w:t>
      </w:r>
      <w:bookmarkStart w:id="16073" w:name="_ETM_Q21_553320"/>
      <w:bookmarkEnd w:id="16073"/>
      <w:r>
        <w:rPr>
          <w:rFonts w:hint="cs"/>
          <w:rtl/>
        </w:rPr>
        <w:t xml:space="preserve">מקשיב </w:t>
      </w:r>
      <w:bookmarkStart w:id="16074" w:name="_ETM_Q21_553710"/>
      <w:bookmarkEnd w:id="16074"/>
      <w:r>
        <w:rPr>
          <w:rFonts w:hint="cs"/>
          <w:rtl/>
        </w:rPr>
        <w:t xml:space="preserve">לי </w:t>
      </w:r>
      <w:bookmarkStart w:id="16075" w:name="_ETM_Q21_553830"/>
      <w:bookmarkEnd w:id="16075"/>
      <w:r>
        <w:rPr>
          <w:rFonts w:hint="cs"/>
          <w:rtl/>
        </w:rPr>
        <w:t xml:space="preserve">עכשיו: </w:t>
      </w:r>
      <w:bookmarkStart w:id="16076" w:name="_ETM_Q21_554970"/>
      <w:bookmarkStart w:id="16077" w:name="_ETM_Q21_555240"/>
      <w:bookmarkEnd w:id="16076"/>
      <w:bookmarkEnd w:id="16077"/>
      <w:r>
        <w:rPr>
          <w:rFonts w:hint="cs"/>
          <w:rtl/>
        </w:rPr>
        <w:t xml:space="preserve">אני </w:t>
      </w:r>
      <w:bookmarkStart w:id="16078" w:name="_ETM_Q21_555390"/>
      <w:bookmarkEnd w:id="16078"/>
      <w:r>
        <w:rPr>
          <w:rFonts w:hint="cs"/>
          <w:rtl/>
        </w:rPr>
        <w:t xml:space="preserve">מאחל </w:t>
      </w:r>
      <w:bookmarkStart w:id="16079" w:name="_ETM_Q21_555630"/>
      <w:bookmarkEnd w:id="16079"/>
      <w:r>
        <w:rPr>
          <w:rFonts w:hint="cs"/>
          <w:rtl/>
        </w:rPr>
        <w:t xml:space="preserve">לך </w:t>
      </w:r>
      <w:bookmarkStart w:id="16080" w:name="_ETM_Q21_555839"/>
      <w:bookmarkEnd w:id="16080"/>
      <w:r>
        <w:rPr>
          <w:rFonts w:hint="cs"/>
          <w:rtl/>
        </w:rPr>
        <w:t xml:space="preserve">בריאות, </w:t>
      </w:r>
      <w:bookmarkStart w:id="16081" w:name="_ETM_Q21_556860"/>
      <w:bookmarkEnd w:id="16081"/>
      <w:r>
        <w:rPr>
          <w:rFonts w:hint="cs"/>
          <w:rtl/>
        </w:rPr>
        <w:t xml:space="preserve">אבל </w:t>
      </w:r>
      <w:bookmarkStart w:id="16082" w:name="_ETM_Q21_557070"/>
      <w:bookmarkEnd w:id="16082"/>
      <w:r>
        <w:rPr>
          <w:rFonts w:hint="cs"/>
          <w:rtl/>
        </w:rPr>
        <w:t xml:space="preserve">אם </w:t>
      </w:r>
      <w:bookmarkStart w:id="16083" w:name="_ETM_Q21_557159"/>
      <w:bookmarkEnd w:id="16083"/>
      <w:r>
        <w:rPr>
          <w:rFonts w:hint="cs"/>
          <w:rtl/>
        </w:rPr>
        <w:t xml:space="preserve">אתה </w:t>
      </w:r>
      <w:bookmarkStart w:id="16084" w:name="_ETM_Q21_557339"/>
      <w:bookmarkEnd w:id="16084"/>
      <w:r>
        <w:rPr>
          <w:rFonts w:hint="cs"/>
          <w:rtl/>
        </w:rPr>
        <w:t xml:space="preserve">מקשיב </w:t>
      </w:r>
      <w:bookmarkStart w:id="16085" w:name="_ETM_Q21_557700"/>
      <w:bookmarkEnd w:id="16085"/>
      <w:r>
        <w:rPr>
          <w:rFonts w:hint="cs"/>
          <w:rtl/>
        </w:rPr>
        <w:t xml:space="preserve">לי, </w:t>
      </w:r>
      <w:bookmarkStart w:id="16086" w:name="_ETM_Q21_557790"/>
      <w:bookmarkEnd w:id="16086"/>
      <w:r>
        <w:rPr>
          <w:rFonts w:hint="cs"/>
          <w:rtl/>
        </w:rPr>
        <w:t xml:space="preserve">אני </w:t>
      </w:r>
      <w:bookmarkStart w:id="16087" w:name="_ETM_Q21_557909"/>
      <w:bookmarkEnd w:id="16087"/>
      <w:r>
        <w:rPr>
          <w:rFonts w:hint="cs"/>
          <w:rtl/>
        </w:rPr>
        <w:t xml:space="preserve">רוצה </w:t>
      </w:r>
      <w:bookmarkStart w:id="16088" w:name="_ETM_Q21_558089"/>
      <w:bookmarkEnd w:id="16088"/>
      <w:r>
        <w:rPr>
          <w:rFonts w:hint="cs"/>
          <w:rtl/>
        </w:rPr>
        <w:t xml:space="preserve">שתדע: </w:t>
      </w:r>
      <w:bookmarkStart w:id="16089" w:name="_ETM_Q21_559140"/>
      <w:bookmarkEnd w:id="16089"/>
      <w:r>
        <w:rPr>
          <w:rFonts w:hint="cs"/>
          <w:rtl/>
        </w:rPr>
        <w:t xml:space="preserve">יש </w:t>
      </w:r>
      <w:bookmarkStart w:id="16090" w:name="_ETM_Q21_559409"/>
      <w:bookmarkEnd w:id="16090"/>
      <w:r>
        <w:rPr>
          <w:rFonts w:hint="cs"/>
          <w:rtl/>
        </w:rPr>
        <w:t xml:space="preserve">שני </w:t>
      </w:r>
      <w:bookmarkStart w:id="16091" w:name="_ETM_Q21_559770"/>
      <w:bookmarkEnd w:id="16091"/>
      <w:r>
        <w:rPr>
          <w:rFonts w:hint="cs"/>
          <w:rtl/>
        </w:rPr>
        <w:t xml:space="preserve">עמודים </w:t>
      </w:r>
      <w:bookmarkStart w:id="16092" w:name="_ETM_Q21_560339"/>
      <w:bookmarkEnd w:id="16092"/>
      <w:r>
        <w:rPr>
          <w:rFonts w:hint="cs"/>
          <w:rtl/>
        </w:rPr>
        <w:t xml:space="preserve">שעליהם </w:t>
      </w:r>
      <w:bookmarkStart w:id="16093" w:name="_ETM_Q21_561179"/>
      <w:bookmarkEnd w:id="16093"/>
      <w:r>
        <w:rPr>
          <w:rFonts w:hint="cs"/>
          <w:rtl/>
        </w:rPr>
        <w:t xml:space="preserve">המדינה </w:t>
      </w:r>
      <w:bookmarkStart w:id="16094" w:name="_ETM_Q21_561689"/>
      <w:bookmarkEnd w:id="16094"/>
      <w:r>
        <w:rPr>
          <w:rFonts w:hint="cs"/>
          <w:rtl/>
        </w:rPr>
        <w:t xml:space="preserve">הזאת </w:t>
      </w:r>
      <w:bookmarkStart w:id="16095" w:name="_ETM_Q21_561899"/>
      <w:bookmarkStart w:id="16096" w:name="_ETM_Q21_561990"/>
      <w:bookmarkEnd w:id="16095"/>
      <w:bookmarkEnd w:id="16096"/>
      <w:r>
        <w:rPr>
          <w:rFonts w:hint="cs"/>
          <w:rtl/>
        </w:rPr>
        <w:t xml:space="preserve">יושבת: </w:t>
      </w:r>
      <w:bookmarkStart w:id="16097" w:name="_ETM_Q21_562850"/>
      <w:bookmarkEnd w:id="16097"/>
      <w:r>
        <w:rPr>
          <w:rFonts w:hint="cs"/>
          <w:rtl/>
        </w:rPr>
        <w:t xml:space="preserve">ה"יהודית" </w:t>
      </w:r>
      <w:bookmarkStart w:id="16098" w:name="_ETM_Q21_563630"/>
      <w:bookmarkEnd w:id="16098"/>
      <w:r>
        <w:rPr>
          <w:rFonts w:hint="cs"/>
          <w:rtl/>
        </w:rPr>
        <w:t xml:space="preserve">וה"דמוקרטית". </w:t>
      </w:r>
      <w:bookmarkStart w:id="16099" w:name="_ETM_Q21_565150"/>
      <w:bookmarkEnd w:id="16099"/>
      <w:r>
        <w:rPr>
          <w:rFonts w:hint="cs"/>
          <w:rtl/>
        </w:rPr>
        <w:t xml:space="preserve">וכמו </w:t>
      </w:r>
      <w:bookmarkStart w:id="16100" w:name="_ETM_Q21_565779"/>
      <w:bookmarkEnd w:id="16100"/>
      <w:r>
        <w:rPr>
          <w:rFonts w:hint="cs"/>
          <w:rtl/>
        </w:rPr>
        <w:t xml:space="preserve">שגם </w:t>
      </w:r>
      <w:bookmarkStart w:id="16101" w:name="_ETM_Q21_566200"/>
      <w:bookmarkEnd w:id="16101"/>
      <w:r>
        <w:rPr>
          <w:rFonts w:hint="cs"/>
          <w:rtl/>
        </w:rPr>
        <w:t xml:space="preserve">אני </w:t>
      </w:r>
      <w:bookmarkStart w:id="16102" w:name="_ETM_Q21_566439"/>
      <w:bookmarkEnd w:id="16102"/>
      <w:r>
        <w:rPr>
          <w:rFonts w:hint="cs"/>
          <w:rtl/>
        </w:rPr>
        <w:t xml:space="preserve">אצא </w:t>
      </w:r>
      <w:bookmarkStart w:id="16103" w:name="_ETM_Q21_566680"/>
      <w:bookmarkEnd w:id="16103"/>
      <w:r>
        <w:rPr>
          <w:rFonts w:hint="cs"/>
          <w:rtl/>
        </w:rPr>
        <w:t xml:space="preserve">לרחובות </w:t>
      </w:r>
      <w:bookmarkStart w:id="16104" w:name="_ETM_Q21_567700"/>
      <w:bookmarkEnd w:id="16104"/>
      <w:r>
        <w:rPr>
          <w:rFonts w:hint="cs"/>
          <w:rtl/>
        </w:rPr>
        <w:t xml:space="preserve">אם </w:t>
      </w:r>
      <w:bookmarkStart w:id="16105" w:name="_ETM_Q21_567909"/>
      <w:bookmarkEnd w:id="16105"/>
      <w:r>
        <w:rPr>
          <w:rFonts w:hint="cs"/>
          <w:rtl/>
        </w:rPr>
        <w:t xml:space="preserve">ינסו </w:t>
      </w:r>
      <w:bookmarkStart w:id="16106" w:name="_ETM_Q21_568240"/>
      <w:bookmarkEnd w:id="16106"/>
      <w:r>
        <w:rPr>
          <w:rFonts w:hint="cs"/>
          <w:rtl/>
        </w:rPr>
        <w:t xml:space="preserve">לפגוע </w:t>
      </w:r>
      <w:bookmarkStart w:id="16107" w:name="_ETM_Q21_568810"/>
      <w:bookmarkEnd w:id="16107"/>
      <w:r>
        <w:rPr>
          <w:rFonts w:hint="cs"/>
          <w:rtl/>
        </w:rPr>
        <w:t xml:space="preserve">בזהותה </w:t>
      </w:r>
      <w:bookmarkStart w:id="16108" w:name="_ETM_Q21_569409"/>
      <w:bookmarkEnd w:id="16108"/>
      <w:r>
        <w:rPr>
          <w:rFonts w:hint="cs"/>
          <w:rtl/>
        </w:rPr>
        <w:t xml:space="preserve">היהודית </w:t>
      </w:r>
      <w:bookmarkStart w:id="16109" w:name="_ETM_Q21_571159"/>
      <w:bookmarkEnd w:id="16109"/>
      <w:r>
        <w:rPr>
          <w:rFonts w:hint="cs"/>
          <w:rtl/>
        </w:rPr>
        <w:t xml:space="preserve">ולא </w:t>
      </w:r>
      <w:bookmarkStart w:id="16110" w:name="_ETM_Q21_571430"/>
      <w:bookmarkEnd w:id="16110"/>
      <w:r>
        <w:rPr>
          <w:rFonts w:hint="cs"/>
          <w:rtl/>
        </w:rPr>
        <w:t xml:space="preserve">אירגע </w:t>
      </w:r>
      <w:bookmarkStart w:id="16111" w:name="_ETM_Q21_572060"/>
      <w:bookmarkEnd w:id="16111"/>
      <w:r>
        <w:rPr>
          <w:rFonts w:hint="cs"/>
          <w:rtl/>
        </w:rPr>
        <w:t xml:space="preserve">עד שלא תיפסק </w:t>
      </w:r>
      <w:bookmarkStart w:id="16112" w:name="_ETM_Q21_572420"/>
      <w:bookmarkStart w:id="16113" w:name="_ETM_Q21_572779"/>
      <w:bookmarkStart w:id="16114" w:name="_ETM_Q21_573170"/>
      <w:bookmarkEnd w:id="16112"/>
      <w:bookmarkEnd w:id="16113"/>
      <w:bookmarkEnd w:id="16114"/>
      <w:r>
        <w:rPr>
          <w:rFonts w:hint="cs"/>
          <w:rtl/>
        </w:rPr>
        <w:t xml:space="preserve">הפגיעה, </w:t>
      </w:r>
      <w:bookmarkStart w:id="16115" w:name="_ETM_Q21_574190"/>
      <w:bookmarkEnd w:id="16115"/>
      <w:r>
        <w:rPr>
          <w:rFonts w:hint="cs"/>
          <w:rtl/>
        </w:rPr>
        <w:t xml:space="preserve">אותו </w:t>
      </w:r>
      <w:bookmarkStart w:id="16116" w:name="_ETM_Q21_574490"/>
      <w:bookmarkEnd w:id="16116"/>
      <w:r>
        <w:rPr>
          <w:rFonts w:hint="cs"/>
          <w:rtl/>
        </w:rPr>
        <w:t xml:space="preserve">דבר </w:t>
      </w:r>
      <w:bookmarkStart w:id="16117" w:name="_ETM_Q21_575319"/>
      <w:bookmarkEnd w:id="16117"/>
      <w:r>
        <w:rPr>
          <w:rFonts w:hint="cs"/>
          <w:rtl/>
        </w:rPr>
        <w:t xml:space="preserve">– אנחנו </w:t>
      </w:r>
      <w:bookmarkStart w:id="16118" w:name="_ETM_Q21_575829"/>
      <w:bookmarkEnd w:id="16118"/>
      <w:r>
        <w:rPr>
          <w:rFonts w:hint="cs"/>
          <w:rtl/>
        </w:rPr>
        <w:t xml:space="preserve">נצא </w:t>
      </w:r>
      <w:bookmarkStart w:id="16119" w:name="_ETM_Q21_576159"/>
      <w:bookmarkEnd w:id="16119"/>
      <w:r>
        <w:rPr>
          <w:rFonts w:hint="cs"/>
          <w:rtl/>
        </w:rPr>
        <w:t xml:space="preserve">לרחובות </w:t>
      </w:r>
      <w:bookmarkStart w:id="16120" w:name="_ETM_Q21_576880"/>
      <w:bookmarkEnd w:id="16120"/>
      <w:r>
        <w:rPr>
          <w:rFonts w:hint="cs"/>
          <w:rtl/>
        </w:rPr>
        <w:t xml:space="preserve">ולא </w:t>
      </w:r>
      <w:bookmarkStart w:id="16121" w:name="_ETM_Q21_577179"/>
      <w:bookmarkEnd w:id="16121"/>
      <w:r>
        <w:rPr>
          <w:rFonts w:hint="cs"/>
          <w:rtl/>
        </w:rPr>
        <w:t xml:space="preserve">נירגע </w:t>
      </w:r>
      <w:bookmarkStart w:id="16122" w:name="_ETM_Q21_578229"/>
      <w:bookmarkEnd w:id="16122"/>
      <w:r>
        <w:rPr>
          <w:rFonts w:hint="cs"/>
          <w:rtl/>
        </w:rPr>
        <w:t xml:space="preserve">עד </w:t>
      </w:r>
      <w:bookmarkStart w:id="16123" w:name="_ETM_Q21_578439"/>
      <w:bookmarkEnd w:id="16123"/>
      <w:r>
        <w:rPr>
          <w:rFonts w:hint="cs"/>
          <w:rtl/>
        </w:rPr>
        <w:t xml:space="preserve">שהעניין </w:t>
      </w:r>
      <w:bookmarkStart w:id="16124" w:name="_ETM_Q21_578979"/>
      <w:bookmarkStart w:id="16125" w:name="_ETM_Q21_579220"/>
      <w:bookmarkEnd w:id="16124"/>
      <w:bookmarkEnd w:id="16125"/>
      <w:r>
        <w:rPr>
          <w:rFonts w:hint="cs"/>
          <w:rtl/>
        </w:rPr>
        <w:t xml:space="preserve">הזה </w:t>
      </w:r>
      <w:bookmarkStart w:id="16126" w:name="_ETM_Q21_579460"/>
      <w:bookmarkEnd w:id="16126"/>
      <w:r>
        <w:rPr>
          <w:rFonts w:hint="cs"/>
          <w:rtl/>
        </w:rPr>
        <w:t xml:space="preserve">של </w:t>
      </w:r>
      <w:bookmarkStart w:id="16127" w:name="_ETM_Q21_579700"/>
      <w:bookmarkEnd w:id="16127"/>
      <w:r>
        <w:rPr>
          <w:rFonts w:hint="cs"/>
          <w:rtl/>
        </w:rPr>
        <w:t xml:space="preserve">פגיעה </w:t>
      </w:r>
      <w:bookmarkStart w:id="16128" w:name="_ETM_Q21_580029"/>
      <w:bookmarkEnd w:id="16128"/>
      <w:r>
        <w:rPr>
          <w:rFonts w:hint="cs"/>
          <w:rtl/>
        </w:rPr>
        <w:t xml:space="preserve">בדמוקרטיה </w:t>
      </w:r>
      <w:bookmarkStart w:id="16129" w:name="_ETM_Q21_580810"/>
      <w:bookmarkEnd w:id="16129"/>
      <w:r>
        <w:rPr>
          <w:rFonts w:hint="cs"/>
          <w:rtl/>
        </w:rPr>
        <w:t xml:space="preserve">לא </w:t>
      </w:r>
      <w:bookmarkStart w:id="16130" w:name="_ETM_Q21_580930"/>
      <w:bookmarkEnd w:id="16130"/>
      <w:r>
        <w:rPr>
          <w:rFonts w:hint="cs"/>
          <w:rtl/>
        </w:rPr>
        <w:t xml:space="preserve">יחלוף </w:t>
      </w:r>
      <w:bookmarkStart w:id="16131" w:name="_ETM_Q21_581380"/>
      <w:bookmarkEnd w:id="16131"/>
      <w:r>
        <w:rPr>
          <w:rFonts w:hint="cs"/>
          <w:rtl/>
        </w:rPr>
        <w:t xml:space="preserve">לנו </w:t>
      </w:r>
      <w:bookmarkStart w:id="16132" w:name="_ETM_Q21_582130"/>
      <w:bookmarkEnd w:id="16132"/>
      <w:r>
        <w:rPr>
          <w:rFonts w:hint="cs"/>
          <w:rtl/>
        </w:rPr>
        <w:t>מסדר</w:t>
      </w:r>
      <w:bookmarkStart w:id="16133" w:name="_ETM_Q21_582640"/>
      <w:bookmarkEnd w:id="16133"/>
      <w:r>
        <w:rPr>
          <w:rFonts w:hint="cs"/>
          <w:rtl/>
        </w:rPr>
        <w:t xml:space="preserve">-היום, </w:t>
      </w:r>
      <w:bookmarkStart w:id="16134" w:name="_ETM_Q21_583479"/>
      <w:bookmarkEnd w:id="16134"/>
      <w:r>
        <w:rPr>
          <w:rFonts w:hint="cs"/>
          <w:rtl/>
        </w:rPr>
        <w:t xml:space="preserve">ונחזור. </w:t>
      </w:r>
      <w:bookmarkStart w:id="16135" w:name="_ETM_Q21_584049"/>
      <w:bookmarkEnd w:id="16135"/>
      <w:r>
        <w:rPr>
          <w:rFonts w:hint="cs"/>
          <w:rtl/>
        </w:rPr>
        <w:t xml:space="preserve">תשאל </w:t>
      </w:r>
      <w:bookmarkStart w:id="16136" w:name="_ETM_Q21_584470"/>
      <w:bookmarkEnd w:id="16136"/>
      <w:r>
        <w:rPr>
          <w:rFonts w:hint="cs"/>
          <w:rtl/>
        </w:rPr>
        <w:t xml:space="preserve">את </w:t>
      </w:r>
      <w:bookmarkStart w:id="16137" w:name="_ETM_Q21_584560"/>
      <w:bookmarkEnd w:id="16137"/>
      <w:r>
        <w:rPr>
          <w:rFonts w:hint="cs"/>
          <w:rtl/>
        </w:rPr>
        <w:t xml:space="preserve">עצמך, </w:t>
      </w:r>
      <w:bookmarkStart w:id="16138" w:name="_ETM_Q21_585709"/>
      <w:bookmarkEnd w:id="16138"/>
      <w:r>
        <w:rPr>
          <w:rFonts w:hint="cs"/>
          <w:rtl/>
        </w:rPr>
        <w:t xml:space="preserve">הרי </w:t>
      </w:r>
      <w:bookmarkStart w:id="16139" w:name="_ETM_Q21_585979"/>
      <w:bookmarkEnd w:id="16139"/>
      <w:r>
        <w:rPr>
          <w:rFonts w:hint="cs"/>
          <w:rtl/>
        </w:rPr>
        <w:t xml:space="preserve">ב-1948 </w:t>
      </w:r>
      <w:bookmarkStart w:id="16140" w:name="_ETM_Q21_586849"/>
      <w:bookmarkEnd w:id="16140"/>
      <w:r>
        <w:rPr>
          <w:rFonts w:hint="cs"/>
          <w:rtl/>
        </w:rPr>
        <w:t xml:space="preserve">הקמנו </w:t>
      </w:r>
      <w:bookmarkStart w:id="16141" w:name="_ETM_Q21_587149"/>
      <w:bookmarkEnd w:id="16141"/>
      <w:r>
        <w:rPr>
          <w:rFonts w:hint="cs"/>
          <w:rtl/>
        </w:rPr>
        <w:t xml:space="preserve">את </w:t>
      </w:r>
      <w:bookmarkStart w:id="16142" w:name="_ETM_Q21_587209"/>
      <w:bookmarkEnd w:id="16142"/>
      <w:r>
        <w:rPr>
          <w:rFonts w:hint="cs"/>
          <w:rtl/>
        </w:rPr>
        <w:t xml:space="preserve">המדינה </w:t>
      </w:r>
      <w:bookmarkStart w:id="16143" w:name="_ETM_Q21_587630"/>
      <w:bookmarkEnd w:id="16143"/>
      <w:r>
        <w:rPr>
          <w:rFonts w:hint="cs"/>
          <w:rtl/>
        </w:rPr>
        <w:t xml:space="preserve">הזאת, </w:t>
      </w:r>
      <w:bookmarkStart w:id="16144" w:name="_ETM_Q21_588710"/>
      <w:bookmarkEnd w:id="16144"/>
      <w:r>
        <w:rPr>
          <w:rFonts w:hint="cs"/>
          <w:rtl/>
        </w:rPr>
        <w:t xml:space="preserve">ובזכות </w:t>
      </w:r>
      <w:bookmarkStart w:id="16145" w:name="_ETM_Q21_589940"/>
      <w:bookmarkEnd w:id="16145"/>
      <w:r>
        <w:rPr>
          <w:rFonts w:hint="cs"/>
          <w:rtl/>
        </w:rPr>
        <w:t xml:space="preserve">היותה </w:t>
      </w:r>
      <w:bookmarkStart w:id="16146" w:name="_ETM_Q21_590900"/>
      <w:bookmarkEnd w:id="16146"/>
      <w:r>
        <w:rPr>
          <w:rFonts w:hint="cs"/>
          <w:rtl/>
        </w:rPr>
        <w:t xml:space="preserve">יהודית, </w:t>
      </w:r>
      <w:bookmarkStart w:id="16147" w:name="_ETM_Q21_591470"/>
      <w:bookmarkEnd w:id="16147"/>
      <w:r>
        <w:rPr>
          <w:rFonts w:hint="cs"/>
          <w:rtl/>
        </w:rPr>
        <w:t xml:space="preserve">דמוקרטית </w:t>
      </w:r>
      <w:bookmarkStart w:id="16148" w:name="_ETM_Q21_592190"/>
      <w:bookmarkEnd w:id="16148"/>
      <w:r>
        <w:rPr>
          <w:rFonts w:hint="cs"/>
          <w:rtl/>
        </w:rPr>
        <w:t xml:space="preserve">וליברלית </w:t>
      </w:r>
      <w:bookmarkStart w:id="16149" w:name="_ETM_Q21_593279"/>
      <w:bookmarkEnd w:id="16149"/>
      <w:r>
        <w:rPr>
          <w:rFonts w:hint="cs"/>
          <w:rtl/>
        </w:rPr>
        <w:t xml:space="preserve">הגענו </w:t>
      </w:r>
      <w:bookmarkStart w:id="16150" w:name="_ETM_Q21_593670"/>
      <w:bookmarkEnd w:id="16150"/>
      <w:r>
        <w:rPr>
          <w:rFonts w:hint="cs"/>
          <w:rtl/>
        </w:rPr>
        <w:t xml:space="preserve">להישגים </w:t>
      </w:r>
      <w:bookmarkStart w:id="16151" w:name="_ETM_Q21_594150"/>
      <w:bookmarkEnd w:id="16151"/>
      <w:r>
        <w:rPr>
          <w:rFonts w:hint="cs"/>
          <w:rtl/>
        </w:rPr>
        <w:t xml:space="preserve">יוצאי </w:t>
      </w:r>
      <w:bookmarkStart w:id="16152" w:name="_ETM_Q21_594450"/>
      <w:bookmarkEnd w:id="16152"/>
      <w:r>
        <w:rPr>
          <w:rFonts w:hint="cs"/>
          <w:rtl/>
        </w:rPr>
        <w:t xml:space="preserve">דופן </w:t>
      </w:r>
      <w:bookmarkStart w:id="16153" w:name="_ETM_Q21_595509"/>
      <w:bookmarkEnd w:id="16153"/>
      <w:r>
        <w:rPr>
          <w:rFonts w:hint="cs"/>
          <w:rtl/>
        </w:rPr>
        <w:t xml:space="preserve">בכל </w:t>
      </w:r>
      <w:bookmarkStart w:id="16154" w:name="_ETM_Q21_596049"/>
      <w:bookmarkEnd w:id="16154"/>
      <w:r>
        <w:rPr>
          <w:rFonts w:hint="cs"/>
          <w:rtl/>
        </w:rPr>
        <w:t xml:space="preserve">דבר </w:t>
      </w:r>
      <w:bookmarkStart w:id="16155" w:name="_ETM_Q21_596439"/>
      <w:bookmarkEnd w:id="16155"/>
      <w:r>
        <w:rPr>
          <w:rFonts w:hint="cs"/>
          <w:rtl/>
        </w:rPr>
        <w:t xml:space="preserve">ועניין – </w:t>
      </w:r>
      <w:bookmarkStart w:id="16156" w:name="_ETM_Q21_597009"/>
      <w:bookmarkEnd w:id="16156"/>
      <w:r>
        <w:rPr>
          <w:rFonts w:hint="cs"/>
          <w:rtl/>
        </w:rPr>
        <w:t xml:space="preserve">בחינוך, </w:t>
      </w:r>
      <w:bookmarkStart w:id="16157" w:name="_ETM_Q21_600089"/>
      <w:bookmarkEnd w:id="16157"/>
      <w:r>
        <w:rPr>
          <w:rFonts w:hint="cs"/>
          <w:rtl/>
        </w:rPr>
        <w:t xml:space="preserve">בבריאות – הרי </w:t>
      </w:r>
      <w:bookmarkStart w:id="16158" w:name="_ETM_Q21_601899"/>
      <w:bookmarkEnd w:id="16158"/>
      <w:r>
        <w:rPr>
          <w:rFonts w:hint="cs"/>
          <w:rtl/>
        </w:rPr>
        <w:t xml:space="preserve">אנחנו </w:t>
      </w:r>
      <w:bookmarkStart w:id="16159" w:name="_ETM_Q21_602259"/>
      <w:bookmarkStart w:id="16160" w:name="_ETM_Q21_602439"/>
      <w:bookmarkEnd w:id="16159"/>
      <w:bookmarkEnd w:id="16160"/>
      <w:r>
        <w:rPr>
          <w:rFonts w:hint="cs"/>
          <w:rtl/>
        </w:rPr>
        <w:t xml:space="preserve">דוגמה </w:t>
      </w:r>
      <w:bookmarkStart w:id="16161" w:name="_ETM_Q21_602859"/>
      <w:bookmarkEnd w:id="16161"/>
      <w:r>
        <w:rPr>
          <w:rFonts w:hint="cs"/>
          <w:rtl/>
        </w:rPr>
        <w:t xml:space="preserve">לכל </w:t>
      </w:r>
      <w:bookmarkStart w:id="16162" w:name="_ETM_Q21_603189"/>
      <w:bookmarkEnd w:id="16162"/>
      <w:r>
        <w:rPr>
          <w:rFonts w:hint="cs"/>
          <w:rtl/>
        </w:rPr>
        <w:t xml:space="preserve">העולם </w:t>
      </w:r>
      <w:bookmarkStart w:id="16163" w:name="_ETM_Q21_603549"/>
      <w:bookmarkEnd w:id="16163"/>
      <w:r>
        <w:rPr>
          <w:rFonts w:hint="cs"/>
          <w:rtl/>
        </w:rPr>
        <w:t xml:space="preserve">במערכת </w:t>
      </w:r>
      <w:bookmarkStart w:id="16164" w:name="_ETM_Q21_603939"/>
      <w:bookmarkEnd w:id="16164"/>
      <w:r>
        <w:rPr>
          <w:rFonts w:hint="cs"/>
          <w:rtl/>
        </w:rPr>
        <w:t xml:space="preserve">הבריאות </w:t>
      </w:r>
      <w:bookmarkStart w:id="16165" w:name="_ETM_Q21_604270"/>
      <w:bookmarkEnd w:id="16165"/>
      <w:r>
        <w:rPr>
          <w:rFonts w:hint="cs"/>
          <w:rtl/>
        </w:rPr>
        <w:t xml:space="preserve">הציבורית </w:t>
      </w:r>
      <w:bookmarkStart w:id="16166" w:name="_ETM_Q21_604779"/>
      <w:bookmarkEnd w:id="16166"/>
      <w:r>
        <w:rPr>
          <w:rFonts w:hint="cs"/>
          <w:rtl/>
        </w:rPr>
        <w:t xml:space="preserve">שלנו, </w:t>
      </w:r>
      <w:bookmarkStart w:id="16167" w:name="_ETM_Q21_606510"/>
      <w:bookmarkEnd w:id="16167"/>
      <w:r>
        <w:rPr>
          <w:rFonts w:hint="cs"/>
          <w:rtl/>
        </w:rPr>
        <w:t xml:space="preserve">בביטחון, </w:t>
      </w:r>
      <w:bookmarkStart w:id="16168" w:name="_ETM_Q21_610200"/>
      <w:bookmarkEnd w:id="16168"/>
      <w:r>
        <w:rPr>
          <w:rFonts w:hint="cs"/>
          <w:rtl/>
        </w:rPr>
        <w:t xml:space="preserve">בכל </w:t>
      </w:r>
      <w:bookmarkStart w:id="16169" w:name="_ETM_Q21_610560"/>
      <w:bookmarkEnd w:id="16169"/>
      <w:r>
        <w:rPr>
          <w:rFonts w:hint="cs"/>
          <w:rtl/>
        </w:rPr>
        <w:t xml:space="preserve">דבר. </w:t>
      </w:r>
      <w:bookmarkStart w:id="16170" w:name="_ETM_Q21_611840"/>
      <w:bookmarkEnd w:id="16170"/>
      <w:r>
        <w:rPr>
          <w:rFonts w:hint="cs"/>
          <w:rtl/>
        </w:rPr>
        <w:t xml:space="preserve">מה </w:t>
      </w:r>
      <w:bookmarkStart w:id="16171" w:name="_ETM_Q21_612020"/>
      <w:bookmarkEnd w:id="16171"/>
      <w:r>
        <w:rPr>
          <w:rFonts w:hint="cs"/>
          <w:rtl/>
        </w:rPr>
        <w:t xml:space="preserve">עשה </w:t>
      </w:r>
      <w:bookmarkStart w:id="16172" w:name="_ETM_Q21_612319"/>
      <w:bookmarkEnd w:id="16172"/>
      <w:r>
        <w:rPr>
          <w:rFonts w:hint="cs"/>
          <w:rtl/>
        </w:rPr>
        <w:t xml:space="preserve">אותנו </w:t>
      </w:r>
      <w:bookmarkStart w:id="16173" w:name="_ETM_Q21_612739"/>
      <w:bookmarkEnd w:id="16173"/>
      <w:r>
        <w:rPr>
          <w:rFonts w:hint="cs"/>
          <w:rtl/>
        </w:rPr>
        <w:t xml:space="preserve">לכל </w:t>
      </w:r>
      <w:bookmarkStart w:id="16174" w:name="_ETM_Q21_612890"/>
      <w:bookmarkEnd w:id="16174"/>
      <w:r>
        <w:rPr>
          <w:rFonts w:hint="cs"/>
          <w:rtl/>
        </w:rPr>
        <w:t xml:space="preserve">כך </w:t>
      </w:r>
      <w:bookmarkStart w:id="16175" w:name="_ETM_Q21_613069"/>
      <w:bookmarkEnd w:id="16175"/>
      <w:r>
        <w:rPr>
          <w:rFonts w:hint="cs"/>
          <w:rtl/>
        </w:rPr>
        <w:t xml:space="preserve">מוצלחים? </w:t>
      </w:r>
      <w:bookmarkStart w:id="16176" w:name="_ETM_Q21_613000"/>
      <w:bookmarkEnd w:id="16176"/>
      <w:r>
        <w:rPr>
          <w:rFonts w:hint="cs"/>
          <w:rtl/>
        </w:rPr>
        <w:t>מה שעשה אותנו ל</w:t>
      </w:r>
      <w:bookmarkStart w:id="16177" w:name="_ETM_Q21_614880"/>
      <w:bookmarkEnd w:id="16177"/>
      <w:r>
        <w:rPr>
          <w:rFonts w:hint="cs"/>
          <w:rtl/>
        </w:rPr>
        <w:t xml:space="preserve">כל </w:t>
      </w:r>
      <w:bookmarkStart w:id="16178" w:name="_ETM_Q21_615000"/>
      <w:bookmarkEnd w:id="16178"/>
      <w:r>
        <w:rPr>
          <w:rFonts w:hint="cs"/>
          <w:rtl/>
        </w:rPr>
        <w:t xml:space="preserve">כך </w:t>
      </w:r>
      <w:bookmarkStart w:id="16179" w:name="_ETM_Q21_615210"/>
      <w:bookmarkEnd w:id="16179"/>
      <w:r>
        <w:rPr>
          <w:rFonts w:hint="cs"/>
          <w:rtl/>
        </w:rPr>
        <w:t xml:space="preserve">מוצלחים </w:t>
      </w:r>
      <w:bookmarkStart w:id="16180" w:name="_ETM_Q21_615840"/>
      <w:bookmarkEnd w:id="16180"/>
      <w:r>
        <w:rPr>
          <w:rFonts w:hint="cs"/>
          <w:rtl/>
        </w:rPr>
        <w:t xml:space="preserve">הוא </w:t>
      </w:r>
      <w:bookmarkStart w:id="16181" w:name="_ETM_Q21_616560"/>
      <w:bookmarkEnd w:id="16181"/>
      <w:r>
        <w:rPr>
          <w:rFonts w:hint="cs"/>
          <w:rtl/>
        </w:rPr>
        <w:t xml:space="preserve">שידענו </w:t>
      </w:r>
      <w:bookmarkStart w:id="16182" w:name="_ETM_Q21_617160"/>
      <w:bookmarkEnd w:id="16182"/>
      <w:r>
        <w:rPr>
          <w:rFonts w:hint="cs"/>
          <w:rtl/>
        </w:rPr>
        <w:t xml:space="preserve">לשלב </w:t>
      </w:r>
      <w:bookmarkStart w:id="16183" w:name="_ETM_Q21_618090"/>
      <w:bookmarkEnd w:id="16183"/>
      <w:r>
        <w:rPr>
          <w:rFonts w:hint="cs"/>
          <w:rtl/>
        </w:rPr>
        <w:t xml:space="preserve">"יהודית" </w:t>
      </w:r>
      <w:bookmarkStart w:id="16184" w:name="_ETM_Q21_618540"/>
      <w:bookmarkEnd w:id="16184"/>
      <w:r>
        <w:rPr>
          <w:rFonts w:hint="cs"/>
          <w:rtl/>
        </w:rPr>
        <w:t xml:space="preserve">ו"דמוקרטית", </w:t>
      </w:r>
      <w:bookmarkStart w:id="16185" w:name="_ETM_Q21_619320"/>
      <w:bookmarkStart w:id="16186" w:name="_ETM_Q21_619740"/>
      <w:bookmarkEnd w:id="16185"/>
      <w:bookmarkEnd w:id="16186"/>
      <w:r>
        <w:rPr>
          <w:rFonts w:hint="cs"/>
          <w:rtl/>
        </w:rPr>
        <w:t xml:space="preserve">לא </w:t>
      </w:r>
      <w:bookmarkStart w:id="16187" w:name="_ETM_Q21_619950"/>
      <w:bookmarkEnd w:id="16187"/>
      <w:r>
        <w:rPr>
          <w:rFonts w:hint="cs"/>
          <w:rtl/>
        </w:rPr>
        <w:t xml:space="preserve">התפשרנו </w:t>
      </w:r>
      <w:bookmarkStart w:id="16188" w:name="_ETM_Q21_620730"/>
      <w:bookmarkEnd w:id="16188"/>
      <w:r>
        <w:rPr>
          <w:rFonts w:hint="cs"/>
          <w:rtl/>
        </w:rPr>
        <w:t xml:space="preserve">על </w:t>
      </w:r>
      <w:bookmarkStart w:id="16189" w:name="_ETM_Q21_620880"/>
      <w:bookmarkEnd w:id="16189"/>
      <w:r>
        <w:rPr>
          <w:rFonts w:hint="cs"/>
          <w:rtl/>
        </w:rPr>
        <w:t xml:space="preserve">ערך </w:t>
      </w:r>
      <w:bookmarkStart w:id="16190" w:name="_ETM_Q21_621150"/>
      <w:bookmarkEnd w:id="16190"/>
      <w:r>
        <w:rPr>
          <w:rFonts w:hint="cs"/>
          <w:rtl/>
        </w:rPr>
        <w:t xml:space="preserve">השוויון, </w:t>
      </w:r>
      <w:bookmarkStart w:id="16191" w:name="_ETM_Q21_622230"/>
      <w:bookmarkEnd w:id="16191"/>
      <w:r>
        <w:rPr>
          <w:rFonts w:hint="cs"/>
          <w:rtl/>
        </w:rPr>
        <w:t xml:space="preserve">נלחמנו </w:t>
      </w:r>
      <w:bookmarkStart w:id="16192" w:name="_ETM_Q21_623430"/>
      <w:bookmarkEnd w:id="16192"/>
      <w:r>
        <w:rPr>
          <w:rFonts w:hint="cs"/>
          <w:rtl/>
        </w:rPr>
        <w:t xml:space="preserve">על </w:t>
      </w:r>
      <w:bookmarkStart w:id="16193" w:name="_ETM_Q21_623880"/>
      <w:bookmarkStart w:id="16194" w:name="_ETM_Q21_624030"/>
      <w:bookmarkEnd w:id="16193"/>
      <w:bookmarkEnd w:id="16194"/>
      <w:r>
        <w:rPr>
          <w:rFonts w:hint="cs"/>
          <w:rtl/>
        </w:rPr>
        <w:t xml:space="preserve">הדמוקרטיה </w:t>
      </w:r>
      <w:bookmarkStart w:id="16195" w:name="_ETM_Q21_624660"/>
      <w:bookmarkEnd w:id="16195"/>
      <w:r>
        <w:rPr>
          <w:rFonts w:hint="cs"/>
          <w:rtl/>
        </w:rPr>
        <w:t xml:space="preserve">שלנו </w:t>
      </w:r>
      <w:bookmarkStart w:id="16196" w:name="_ETM_Q21_625610"/>
      <w:bookmarkEnd w:id="16196"/>
      <w:r>
        <w:rPr>
          <w:rFonts w:hint="cs"/>
          <w:rtl/>
        </w:rPr>
        <w:t xml:space="preserve">ונתנו </w:t>
      </w:r>
      <w:bookmarkStart w:id="16197" w:name="_ETM_Q21_626150"/>
      <w:bookmarkEnd w:id="16197"/>
      <w:r>
        <w:rPr>
          <w:rFonts w:hint="cs"/>
          <w:rtl/>
        </w:rPr>
        <w:t xml:space="preserve">חופש </w:t>
      </w:r>
      <w:bookmarkStart w:id="16198" w:name="_ETM_Q21_626599"/>
      <w:bookmarkEnd w:id="16198"/>
      <w:r>
        <w:rPr>
          <w:rFonts w:hint="cs"/>
          <w:rtl/>
        </w:rPr>
        <w:t xml:space="preserve">לכולם. </w:t>
      </w:r>
      <w:bookmarkStart w:id="16199" w:name="_ETM_Q21_627550"/>
      <w:bookmarkEnd w:id="16199"/>
      <w:r>
        <w:rPr>
          <w:rFonts w:hint="cs"/>
          <w:rtl/>
        </w:rPr>
        <w:t xml:space="preserve">רק </w:t>
      </w:r>
      <w:bookmarkStart w:id="16200" w:name="_ETM_Q21_627819"/>
      <w:bookmarkEnd w:id="16200"/>
      <w:r>
        <w:rPr>
          <w:rFonts w:hint="cs"/>
          <w:rtl/>
        </w:rPr>
        <w:t xml:space="preserve">בזכות </w:t>
      </w:r>
      <w:bookmarkStart w:id="16201" w:name="_ETM_Q21_628239"/>
      <w:bookmarkEnd w:id="16201"/>
      <w:r>
        <w:rPr>
          <w:rFonts w:hint="cs"/>
          <w:rtl/>
        </w:rPr>
        <w:t xml:space="preserve">זה </w:t>
      </w:r>
      <w:bookmarkStart w:id="16202" w:name="_ETM_Q21_628420"/>
      <w:bookmarkEnd w:id="16202"/>
      <w:r>
        <w:rPr>
          <w:rFonts w:hint="cs"/>
          <w:rtl/>
        </w:rPr>
        <w:t xml:space="preserve">הגענו </w:t>
      </w:r>
      <w:bookmarkStart w:id="16203" w:name="_ETM_Q21_628720"/>
      <w:bookmarkEnd w:id="16203"/>
      <w:r>
        <w:rPr>
          <w:rFonts w:hint="cs"/>
          <w:rtl/>
        </w:rPr>
        <w:t xml:space="preserve">למה </w:t>
      </w:r>
      <w:bookmarkStart w:id="16204" w:name="_ETM_Q21_628900"/>
      <w:bookmarkEnd w:id="16204"/>
      <w:r>
        <w:rPr>
          <w:rFonts w:hint="cs"/>
          <w:rtl/>
        </w:rPr>
        <w:t xml:space="preserve">שהגענו, </w:t>
      </w:r>
      <w:bookmarkStart w:id="16205" w:name="_ETM_Q21_629560"/>
      <w:bookmarkEnd w:id="16205"/>
      <w:r>
        <w:rPr>
          <w:rFonts w:hint="cs"/>
          <w:rtl/>
        </w:rPr>
        <w:t xml:space="preserve">ואתה </w:t>
      </w:r>
      <w:bookmarkStart w:id="16206" w:name="_ETM_Q21_630750"/>
      <w:bookmarkEnd w:id="16206"/>
      <w:r>
        <w:rPr>
          <w:rFonts w:hint="cs"/>
          <w:rtl/>
        </w:rPr>
        <w:t xml:space="preserve">רוצה </w:t>
      </w:r>
      <w:bookmarkStart w:id="16207" w:name="_ETM_Q21_631110"/>
      <w:bookmarkEnd w:id="16207"/>
      <w:r>
        <w:rPr>
          <w:rFonts w:hint="cs"/>
          <w:rtl/>
        </w:rPr>
        <w:t xml:space="preserve">לקחת </w:t>
      </w:r>
      <w:bookmarkStart w:id="16208" w:name="_ETM_Q21_631530"/>
      <w:bookmarkEnd w:id="16208"/>
      <w:r>
        <w:rPr>
          <w:rFonts w:hint="cs"/>
          <w:rtl/>
        </w:rPr>
        <w:t xml:space="preserve">אותנו </w:t>
      </w:r>
      <w:bookmarkStart w:id="16209" w:name="_ETM_Q21_632069"/>
      <w:bookmarkEnd w:id="16209"/>
      <w:r>
        <w:rPr>
          <w:rFonts w:hint="cs"/>
          <w:rtl/>
        </w:rPr>
        <w:t xml:space="preserve">אחורה? </w:t>
      </w:r>
      <w:bookmarkStart w:id="16210" w:name="_ETM_Q21_634120"/>
      <w:bookmarkEnd w:id="16210"/>
      <w:r>
        <w:rPr>
          <w:rFonts w:hint="cs"/>
          <w:rtl/>
        </w:rPr>
        <w:t xml:space="preserve">הרי אתה </w:t>
      </w:r>
      <w:bookmarkStart w:id="16211" w:name="_ETM_Q21_634420"/>
      <w:bookmarkEnd w:id="16211"/>
      <w:r>
        <w:rPr>
          <w:rFonts w:hint="cs"/>
          <w:rtl/>
        </w:rPr>
        <w:t xml:space="preserve">לא </w:t>
      </w:r>
      <w:bookmarkStart w:id="16212" w:name="_ETM_Q21_634510"/>
      <w:bookmarkEnd w:id="16212"/>
      <w:r>
        <w:rPr>
          <w:rFonts w:hint="cs"/>
          <w:rtl/>
        </w:rPr>
        <w:t xml:space="preserve">מאמין </w:t>
      </w:r>
      <w:bookmarkStart w:id="16213" w:name="_ETM_Q21_634870"/>
      <w:bookmarkEnd w:id="16213"/>
      <w:r>
        <w:rPr>
          <w:rFonts w:hint="cs"/>
          <w:rtl/>
        </w:rPr>
        <w:t>בזה</w:t>
      </w:r>
      <w:bookmarkStart w:id="16214" w:name="_ETM_Q21_635170"/>
      <w:bookmarkStart w:id="16215" w:name="_ETM_Q21_635710"/>
      <w:bookmarkEnd w:id="16214"/>
      <w:bookmarkEnd w:id="16215"/>
      <w:r>
        <w:rPr>
          <w:rFonts w:hint="cs"/>
          <w:rtl/>
        </w:rPr>
        <w:t xml:space="preserve">. אתה </w:t>
      </w:r>
      <w:bookmarkStart w:id="16216" w:name="_ETM_Q21_636070"/>
      <w:bookmarkEnd w:id="16216"/>
      <w:r>
        <w:rPr>
          <w:rFonts w:hint="cs"/>
          <w:rtl/>
        </w:rPr>
        <w:t xml:space="preserve">בעצמך – </w:t>
      </w:r>
      <w:bookmarkStart w:id="16217" w:name="_ETM_Q21_637000"/>
      <w:bookmarkEnd w:id="16217"/>
      <w:r>
        <w:rPr>
          <w:rFonts w:hint="cs"/>
          <w:rtl/>
        </w:rPr>
        <w:t xml:space="preserve">אתה </w:t>
      </w:r>
      <w:bookmarkStart w:id="16218" w:name="_ETM_Q21_637360"/>
      <w:bookmarkEnd w:id="16218"/>
      <w:r>
        <w:rPr>
          <w:rFonts w:hint="cs"/>
          <w:rtl/>
        </w:rPr>
        <w:t xml:space="preserve">במילים </w:t>
      </w:r>
      <w:bookmarkStart w:id="16219" w:name="_ETM_Q21_637780"/>
      <w:bookmarkEnd w:id="16219"/>
      <w:r>
        <w:rPr>
          <w:rFonts w:hint="cs"/>
          <w:rtl/>
        </w:rPr>
        <w:t xml:space="preserve">שלך </w:t>
      </w:r>
      <w:bookmarkStart w:id="16220" w:name="_ETM_Q21_638200"/>
      <w:bookmarkEnd w:id="16220"/>
      <w:r>
        <w:rPr>
          <w:rFonts w:hint="cs"/>
          <w:rtl/>
        </w:rPr>
        <w:t xml:space="preserve">אמרת לפני </w:t>
      </w:r>
      <w:bookmarkStart w:id="16221" w:name="_ETM_Q21_638650"/>
      <w:bookmarkEnd w:id="16221"/>
      <w:r>
        <w:rPr>
          <w:rFonts w:hint="cs"/>
          <w:rtl/>
        </w:rPr>
        <w:t xml:space="preserve">שנים </w:t>
      </w:r>
      <w:bookmarkStart w:id="16222" w:name="_ETM_Q21_639100"/>
      <w:bookmarkEnd w:id="16222"/>
      <w:r>
        <w:rPr>
          <w:rFonts w:hint="cs"/>
          <w:rtl/>
        </w:rPr>
        <w:t xml:space="preserve">מעטות </w:t>
      </w:r>
      <w:bookmarkStart w:id="16223" w:name="_ETM_Q21_639610"/>
      <w:bookmarkEnd w:id="16223"/>
      <w:r>
        <w:rPr>
          <w:rFonts w:hint="cs"/>
          <w:rtl/>
        </w:rPr>
        <w:t xml:space="preserve">בלבד: </w:t>
      </w:r>
      <w:bookmarkStart w:id="16224" w:name="_ETM_Q21_641100"/>
      <w:bookmarkEnd w:id="16224"/>
      <w:r>
        <w:rPr>
          <w:rFonts w:hint="cs"/>
          <w:rtl/>
        </w:rPr>
        <w:t xml:space="preserve">ראש </w:t>
      </w:r>
      <w:bookmarkStart w:id="16225" w:name="_ETM_Q21_641310"/>
      <w:bookmarkEnd w:id="16225"/>
      <w:r>
        <w:rPr>
          <w:rFonts w:hint="cs"/>
          <w:rtl/>
        </w:rPr>
        <w:t xml:space="preserve">ממשלה </w:t>
      </w:r>
      <w:bookmarkStart w:id="16226" w:name="_ETM_Q21_641760"/>
      <w:bookmarkEnd w:id="16226"/>
      <w:r>
        <w:rPr>
          <w:rFonts w:hint="cs"/>
          <w:rtl/>
        </w:rPr>
        <w:t xml:space="preserve">שיש </w:t>
      </w:r>
      <w:bookmarkStart w:id="16227" w:name="_ETM_Q21_641970"/>
      <w:bookmarkEnd w:id="16227"/>
      <w:r>
        <w:rPr>
          <w:rFonts w:hint="cs"/>
          <w:rtl/>
        </w:rPr>
        <w:t xml:space="preserve">נגדו </w:t>
      </w:r>
      <w:bookmarkStart w:id="16228" w:name="_ETM_Q21_642240"/>
      <w:bookmarkEnd w:id="16228"/>
      <w:r>
        <w:rPr>
          <w:rFonts w:hint="cs"/>
          <w:rtl/>
        </w:rPr>
        <w:t xml:space="preserve">כתבי </w:t>
      </w:r>
      <w:bookmarkStart w:id="16229" w:name="_ETM_Q21_642570"/>
      <w:bookmarkEnd w:id="16229"/>
      <w:r>
        <w:rPr>
          <w:rFonts w:hint="cs"/>
          <w:rtl/>
        </w:rPr>
        <w:t xml:space="preserve">אישום </w:t>
      </w:r>
      <w:bookmarkStart w:id="16230" w:name="_ETM_Q21_642870"/>
      <w:bookmarkEnd w:id="16230"/>
      <w:r>
        <w:rPr>
          <w:rFonts w:hint="cs"/>
          <w:rtl/>
        </w:rPr>
        <w:t xml:space="preserve">לא </w:t>
      </w:r>
      <w:bookmarkStart w:id="16231" w:name="_ETM_Q21_642960"/>
      <w:bookmarkEnd w:id="16231"/>
      <w:r>
        <w:rPr>
          <w:rFonts w:hint="cs"/>
          <w:rtl/>
        </w:rPr>
        <w:t xml:space="preserve">יכול </w:t>
      </w:r>
      <w:bookmarkStart w:id="16232" w:name="_ETM_Q21_643200"/>
      <w:bookmarkEnd w:id="16232"/>
      <w:r>
        <w:rPr>
          <w:rFonts w:hint="cs"/>
          <w:rtl/>
        </w:rPr>
        <w:t xml:space="preserve">לכהן </w:t>
      </w:r>
      <w:bookmarkStart w:id="16233" w:name="_ETM_Q21_643470"/>
      <w:bookmarkEnd w:id="16233"/>
      <w:r>
        <w:rPr>
          <w:rFonts w:hint="cs"/>
          <w:rtl/>
        </w:rPr>
        <w:t xml:space="preserve">כראש </w:t>
      </w:r>
      <w:bookmarkStart w:id="16234" w:name="_ETM_Q21_643710"/>
      <w:bookmarkEnd w:id="16234"/>
      <w:r>
        <w:rPr>
          <w:rFonts w:hint="cs"/>
          <w:rtl/>
        </w:rPr>
        <w:t xml:space="preserve">ממשלה, </w:t>
      </w:r>
      <w:bookmarkStart w:id="16235" w:name="_ETM_Q21_645900"/>
      <w:bookmarkEnd w:id="16235"/>
      <w:r>
        <w:rPr>
          <w:rFonts w:hint="cs"/>
          <w:rtl/>
        </w:rPr>
        <w:t xml:space="preserve">כי </w:t>
      </w:r>
      <w:bookmarkStart w:id="16236" w:name="_ETM_Q21_646080"/>
      <w:bookmarkEnd w:id="16236"/>
      <w:r>
        <w:rPr>
          <w:rFonts w:hint="cs"/>
          <w:rtl/>
        </w:rPr>
        <w:t xml:space="preserve">לא בטוח שהשיקולים </w:t>
      </w:r>
      <w:bookmarkStart w:id="16237" w:name="_ETM_Q21_646530"/>
      <w:bookmarkEnd w:id="16237"/>
      <w:r>
        <w:rPr>
          <w:rFonts w:hint="cs"/>
          <w:rtl/>
        </w:rPr>
        <w:t xml:space="preserve">שלו </w:t>
      </w:r>
      <w:bookmarkStart w:id="16238" w:name="_ETM_Q21_646799"/>
      <w:bookmarkStart w:id="16239" w:name="_ETM_Q21_646890"/>
      <w:bookmarkStart w:id="16240" w:name="_ETM_Q21_647220"/>
      <w:bookmarkEnd w:id="16238"/>
      <w:bookmarkEnd w:id="16239"/>
      <w:bookmarkEnd w:id="16240"/>
      <w:r>
        <w:rPr>
          <w:rFonts w:hint="cs"/>
          <w:rtl/>
        </w:rPr>
        <w:t xml:space="preserve">יהיו </w:t>
      </w:r>
      <w:bookmarkStart w:id="16241" w:name="_ETM_Q21_647430"/>
      <w:bookmarkEnd w:id="16241"/>
      <w:r>
        <w:rPr>
          <w:rFonts w:hint="cs"/>
          <w:rtl/>
        </w:rPr>
        <w:t xml:space="preserve">השיקולים </w:t>
      </w:r>
      <w:bookmarkStart w:id="16242" w:name="_ETM_Q21_647879"/>
      <w:bookmarkEnd w:id="16242"/>
      <w:r>
        <w:rPr>
          <w:rFonts w:hint="cs"/>
          <w:rtl/>
        </w:rPr>
        <w:t xml:space="preserve">הנכונים. </w:t>
      </w:r>
      <w:bookmarkStart w:id="16243" w:name="_ETM_Q21_648760"/>
      <w:bookmarkEnd w:id="16243"/>
      <w:r>
        <w:rPr>
          <w:rFonts w:hint="cs"/>
          <w:rtl/>
        </w:rPr>
        <w:t xml:space="preserve">אתה </w:t>
      </w:r>
      <w:bookmarkStart w:id="16244" w:name="_ETM_Q21_649300"/>
      <w:bookmarkEnd w:id="16244"/>
      <w:r>
        <w:rPr>
          <w:rFonts w:hint="cs"/>
          <w:rtl/>
        </w:rPr>
        <w:t xml:space="preserve">נתת </w:t>
      </w:r>
      <w:bookmarkStart w:id="16245" w:name="_ETM_Q21_649720"/>
      <w:bookmarkEnd w:id="16245"/>
      <w:r>
        <w:rPr>
          <w:rFonts w:hint="cs"/>
          <w:rtl/>
        </w:rPr>
        <w:t xml:space="preserve">הרצאה </w:t>
      </w:r>
      <w:bookmarkStart w:id="16246" w:name="_ETM_Q21_650050"/>
      <w:bookmarkEnd w:id="16246"/>
      <w:r>
        <w:rPr>
          <w:rFonts w:hint="cs"/>
          <w:rtl/>
        </w:rPr>
        <w:t xml:space="preserve">מאלפת, </w:t>
      </w:r>
      <w:bookmarkStart w:id="16247" w:name="_ETM_Q21_651310"/>
      <w:bookmarkEnd w:id="16247"/>
      <w:r>
        <w:rPr>
          <w:rFonts w:hint="cs"/>
          <w:rtl/>
        </w:rPr>
        <w:t xml:space="preserve">כמו </w:t>
      </w:r>
      <w:bookmarkStart w:id="16248" w:name="_ETM_Q21_651459"/>
      <w:bookmarkEnd w:id="16248"/>
      <w:r>
        <w:rPr>
          <w:rFonts w:hint="cs"/>
          <w:rtl/>
        </w:rPr>
        <w:t xml:space="preserve">שאתה </w:t>
      </w:r>
      <w:bookmarkStart w:id="16249" w:name="_ETM_Q21_651640"/>
      <w:bookmarkEnd w:id="16249"/>
      <w:r>
        <w:rPr>
          <w:rFonts w:hint="cs"/>
          <w:rtl/>
        </w:rPr>
        <w:t xml:space="preserve">יודע, </w:t>
      </w:r>
      <w:bookmarkStart w:id="16250" w:name="_ETM_Q21_652650"/>
      <w:bookmarkEnd w:id="16250"/>
      <w:r>
        <w:rPr>
          <w:rFonts w:hint="cs"/>
          <w:rtl/>
        </w:rPr>
        <w:t xml:space="preserve">על </w:t>
      </w:r>
      <w:bookmarkStart w:id="16251" w:name="_ETM_Q21_652799"/>
      <w:bookmarkEnd w:id="16251"/>
      <w:r>
        <w:rPr>
          <w:rFonts w:hint="cs"/>
          <w:rtl/>
        </w:rPr>
        <w:t xml:space="preserve">הפרדת </w:t>
      </w:r>
      <w:bookmarkStart w:id="16252" w:name="_ETM_Q21_653249"/>
      <w:bookmarkEnd w:id="16252"/>
      <w:r>
        <w:rPr>
          <w:rFonts w:hint="cs"/>
          <w:rtl/>
        </w:rPr>
        <w:t xml:space="preserve">הרשויות, </w:t>
      </w:r>
      <w:bookmarkStart w:id="16253" w:name="_ETM_Q21_654239"/>
      <w:bookmarkEnd w:id="16253"/>
      <w:r>
        <w:rPr>
          <w:rFonts w:hint="cs"/>
          <w:rtl/>
        </w:rPr>
        <w:t xml:space="preserve">ושאסור </w:t>
      </w:r>
      <w:bookmarkStart w:id="16254" w:name="_ETM_Q21_654840"/>
      <w:bookmarkEnd w:id="16254"/>
      <w:r>
        <w:rPr>
          <w:rFonts w:hint="cs"/>
          <w:rtl/>
        </w:rPr>
        <w:t xml:space="preserve">לגעת </w:t>
      </w:r>
      <w:bookmarkStart w:id="16255" w:name="_ETM_Q21_655230"/>
      <w:bookmarkStart w:id="16256" w:name="_ETM_Q21_655829"/>
      <w:bookmarkEnd w:id="16255"/>
      <w:bookmarkEnd w:id="16256"/>
      <w:r>
        <w:rPr>
          <w:rFonts w:hint="cs"/>
          <w:rtl/>
        </w:rPr>
        <w:t xml:space="preserve">בבתי </w:t>
      </w:r>
      <w:bookmarkStart w:id="16257" w:name="_ETM_Q21_656279"/>
      <w:bookmarkEnd w:id="16257"/>
      <w:r>
        <w:rPr>
          <w:rFonts w:hint="cs"/>
          <w:rtl/>
        </w:rPr>
        <w:t xml:space="preserve">המשפט </w:t>
      </w:r>
      <w:bookmarkStart w:id="16258" w:name="_ETM_Q21_656939"/>
      <w:bookmarkEnd w:id="16258"/>
      <w:r>
        <w:rPr>
          <w:rFonts w:hint="cs"/>
          <w:rtl/>
        </w:rPr>
        <w:t xml:space="preserve">ושאסור </w:t>
      </w:r>
      <w:bookmarkStart w:id="16259" w:name="_ETM_Q21_657480"/>
      <w:bookmarkEnd w:id="16259"/>
      <w:r>
        <w:rPr>
          <w:rFonts w:hint="cs"/>
          <w:rtl/>
        </w:rPr>
        <w:t xml:space="preserve">לגעת </w:t>
      </w:r>
      <w:bookmarkStart w:id="16260" w:name="_ETM_Q21_657779"/>
      <w:bookmarkEnd w:id="16260"/>
      <w:r>
        <w:rPr>
          <w:rFonts w:hint="cs"/>
          <w:rtl/>
        </w:rPr>
        <w:t>ב</w:t>
      </w:r>
      <w:bookmarkStart w:id="16261" w:name="_ETM_Q21_657870"/>
      <w:bookmarkEnd w:id="16261"/>
      <w:r>
        <w:rPr>
          <w:rFonts w:hint="cs"/>
          <w:rtl/>
        </w:rPr>
        <w:t xml:space="preserve">יועצים </w:t>
      </w:r>
      <w:bookmarkStart w:id="16262" w:name="_ETM_Q21_658230"/>
      <w:bookmarkEnd w:id="16262"/>
      <w:r>
        <w:rPr>
          <w:rFonts w:hint="cs"/>
          <w:rtl/>
        </w:rPr>
        <w:t xml:space="preserve">המשפטיים. </w:t>
      </w:r>
      <w:bookmarkStart w:id="16263" w:name="_ETM_Q21_659239"/>
      <w:bookmarkEnd w:id="16263"/>
      <w:r>
        <w:rPr>
          <w:rFonts w:hint="cs"/>
          <w:rtl/>
        </w:rPr>
        <w:t xml:space="preserve">מה </w:t>
      </w:r>
      <w:bookmarkStart w:id="16264" w:name="_ETM_Q21_659450"/>
      <w:bookmarkEnd w:id="16264"/>
      <w:r>
        <w:rPr>
          <w:rFonts w:hint="cs"/>
          <w:rtl/>
        </w:rPr>
        <w:t xml:space="preserve">קרה </w:t>
      </w:r>
      <w:bookmarkStart w:id="16265" w:name="_ETM_Q21_659720"/>
      <w:bookmarkEnd w:id="16265"/>
      <w:r>
        <w:rPr>
          <w:rFonts w:hint="cs"/>
          <w:rtl/>
        </w:rPr>
        <w:t xml:space="preserve">לך? </w:t>
      </w:r>
      <w:bookmarkStart w:id="16266" w:name="_ETM_Q21_660930"/>
      <w:bookmarkEnd w:id="16266"/>
      <w:r>
        <w:rPr>
          <w:rFonts w:hint="cs"/>
          <w:rtl/>
        </w:rPr>
        <w:t xml:space="preserve">מה </w:t>
      </w:r>
      <w:bookmarkStart w:id="16267" w:name="_ETM_Q21_661079"/>
      <w:bookmarkEnd w:id="16267"/>
      <w:r>
        <w:rPr>
          <w:rFonts w:hint="cs"/>
          <w:rtl/>
        </w:rPr>
        <w:t xml:space="preserve">קרה </w:t>
      </w:r>
      <w:bookmarkStart w:id="16268" w:name="_ETM_Q21_661319"/>
      <w:bookmarkEnd w:id="16268"/>
      <w:r>
        <w:rPr>
          <w:rFonts w:hint="cs"/>
          <w:rtl/>
        </w:rPr>
        <w:t xml:space="preserve">לך? 10,000 </w:t>
      </w:r>
      <w:bookmarkStart w:id="16269" w:name="_ETM_Q21_662760"/>
      <w:bookmarkEnd w:id="16269"/>
      <w:r>
        <w:rPr>
          <w:rFonts w:hint="cs"/>
          <w:rtl/>
        </w:rPr>
        <w:t xml:space="preserve">מילואימניקים </w:t>
      </w:r>
      <w:bookmarkStart w:id="16270" w:name="_ETM_Q21_663689"/>
      <w:bookmarkEnd w:id="16270"/>
      <w:r>
        <w:rPr>
          <w:rFonts w:hint="cs"/>
          <w:rtl/>
        </w:rPr>
        <w:t xml:space="preserve">הודיעו </w:t>
      </w:r>
      <w:bookmarkStart w:id="16271" w:name="_ETM_Q21_664019"/>
      <w:bookmarkEnd w:id="16271"/>
      <w:r>
        <w:rPr>
          <w:rFonts w:hint="cs"/>
          <w:rtl/>
        </w:rPr>
        <w:t xml:space="preserve">לך </w:t>
      </w:r>
      <w:bookmarkStart w:id="16272" w:name="_ETM_Q21_664260"/>
      <w:bookmarkEnd w:id="16272"/>
      <w:r>
        <w:rPr>
          <w:rFonts w:hint="cs"/>
          <w:rtl/>
        </w:rPr>
        <w:t xml:space="preserve">שהם </w:t>
      </w:r>
      <w:bookmarkStart w:id="16273" w:name="_ETM_Q21_664439"/>
      <w:bookmarkEnd w:id="16273"/>
      <w:r>
        <w:rPr>
          <w:rFonts w:hint="cs"/>
          <w:rtl/>
        </w:rPr>
        <w:t xml:space="preserve">לא </w:t>
      </w:r>
      <w:bookmarkStart w:id="16274" w:name="_ETM_Q21_664530"/>
      <w:bookmarkEnd w:id="16274"/>
      <w:r>
        <w:rPr>
          <w:rFonts w:hint="cs"/>
          <w:rtl/>
        </w:rPr>
        <w:t xml:space="preserve">יתייצבו </w:t>
      </w:r>
      <w:bookmarkStart w:id="16275" w:name="_ETM_Q21_664920"/>
      <w:bookmarkEnd w:id="16275"/>
      <w:r>
        <w:rPr>
          <w:rFonts w:hint="cs"/>
          <w:rtl/>
        </w:rPr>
        <w:t xml:space="preserve">למילואים </w:t>
      </w:r>
      <w:bookmarkStart w:id="16276" w:name="_ETM_Q21_666000"/>
      <w:bookmarkEnd w:id="16276"/>
      <w:r>
        <w:rPr>
          <w:rFonts w:hint="cs"/>
          <w:rtl/>
        </w:rPr>
        <w:t xml:space="preserve">אם </w:t>
      </w:r>
      <w:bookmarkStart w:id="16277" w:name="_ETM_Q21_666180"/>
      <w:bookmarkEnd w:id="16277"/>
      <w:r>
        <w:rPr>
          <w:rFonts w:hint="cs"/>
          <w:rtl/>
        </w:rPr>
        <w:t xml:space="preserve">תהיה </w:t>
      </w:r>
      <w:bookmarkStart w:id="16278" w:name="_ETM_Q21_666420"/>
      <w:bookmarkEnd w:id="16278"/>
      <w:r>
        <w:rPr>
          <w:rFonts w:hint="cs"/>
          <w:rtl/>
        </w:rPr>
        <w:t xml:space="preserve">כאן </w:t>
      </w:r>
      <w:bookmarkStart w:id="16279" w:name="_ETM_Q21_667200"/>
      <w:bookmarkEnd w:id="16279"/>
      <w:r>
        <w:rPr>
          <w:rFonts w:hint="cs"/>
          <w:rtl/>
        </w:rPr>
        <w:t xml:space="preserve">החקיקה </w:t>
      </w:r>
      <w:bookmarkStart w:id="16280" w:name="_ETM_Q21_667709"/>
      <w:bookmarkEnd w:id="16280"/>
      <w:r>
        <w:rPr>
          <w:rFonts w:hint="cs"/>
          <w:rtl/>
        </w:rPr>
        <w:t xml:space="preserve">הזאת. </w:t>
      </w:r>
      <w:bookmarkStart w:id="16281" w:name="_ETM_Q21_668700"/>
      <w:bookmarkEnd w:id="16281"/>
    </w:p>
    <w:p w:rsidR="000C5C1F" w:rsidRDefault="000C5C1F" w:rsidP="000C5C1F">
      <w:pPr>
        <w:rPr>
          <w:rtl/>
        </w:rPr>
      </w:pPr>
    </w:p>
    <w:p w:rsidR="000C5C1F" w:rsidRDefault="000C5C1F" w:rsidP="000C5C1F">
      <w:pPr>
        <w:rPr>
          <w:rtl/>
        </w:rPr>
      </w:pPr>
      <w:r>
        <w:rPr>
          <w:rFonts w:hint="cs"/>
          <w:rtl/>
        </w:rPr>
        <w:t xml:space="preserve">אני </w:t>
      </w:r>
      <w:bookmarkStart w:id="16282" w:name="_ETM_Q21_668879"/>
      <w:bookmarkEnd w:id="16282"/>
      <w:r>
        <w:rPr>
          <w:rFonts w:hint="cs"/>
          <w:rtl/>
        </w:rPr>
        <w:t xml:space="preserve">פוגש </w:t>
      </w:r>
      <w:bookmarkStart w:id="16283" w:name="_ETM_Q21_669269"/>
      <w:bookmarkStart w:id="16284" w:name="_ETM_Q21_669689"/>
      <w:bookmarkEnd w:id="16283"/>
      <w:bookmarkEnd w:id="16284"/>
      <w:r>
        <w:rPr>
          <w:rFonts w:hint="cs"/>
          <w:rtl/>
        </w:rPr>
        <w:t xml:space="preserve">בכירים </w:t>
      </w:r>
      <w:bookmarkStart w:id="16285" w:name="_ETM_Q21_670110"/>
      <w:bookmarkEnd w:id="16285"/>
      <w:r>
        <w:rPr>
          <w:rFonts w:hint="cs"/>
          <w:rtl/>
        </w:rPr>
        <w:t xml:space="preserve">בקואליציה, </w:t>
      </w:r>
      <w:bookmarkStart w:id="16286" w:name="_ETM_Q21_670860"/>
      <w:bookmarkEnd w:id="16286"/>
      <w:r>
        <w:rPr>
          <w:rFonts w:hint="cs"/>
          <w:rtl/>
        </w:rPr>
        <w:t xml:space="preserve">חלקם </w:t>
      </w:r>
      <w:bookmarkStart w:id="16287" w:name="_ETM_Q21_671250"/>
      <w:bookmarkEnd w:id="16287"/>
      <w:r>
        <w:rPr>
          <w:rFonts w:hint="cs"/>
          <w:rtl/>
        </w:rPr>
        <w:t xml:space="preserve">נמצאים </w:t>
      </w:r>
      <w:bookmarkStart w:id="16288" w:name="_ETM_Q21_671579"/>
      <w:bookmarkEnd w:id="16288"/>
      <w:r>
        <w:rPr>
          <w:rFonts w:hint="cs"/>
          <w:rtl/>
        </w:rPr>
        <w:t xml:space="preserve">כאן </w:t>
      </w:r>
      <w:bookmarkStart w:id="16289" w:name="_ETM_Q21_673380"/>
      <w:bookmarkEnd w:id="16289"/>
      <w:r>
        <w:rPr>
          <w:rFonts w:hint="cs"/>
          <w:rtl/>
        </w:rPr>
        <w:t xml:space="preserve">באולם, והם </w:t>
      </w:r>
      <w:bookmarkStart w:id="16290" w:name="_ETM_Q21_673680"/>
      <w:bookmarkEnd w:id="16290"/>
      <w:r>
        <w:rPr>
          <w:rFonts w:hint="cs"/>
          <w:rtl/>
        </w:rPr>
        <w:t xml:space="preserve">אומרים </w:t>
      </w:r>
      <w:bookmarkStart w:id="16291" w:name="_ETM_Q21_673860"/>
      <w:bookmarkEnd w:id="16291"/>
      <w:r>
        <w:rPr>
          <w:rFonts w:hint="cs"/>
          <w:rtl/>
        </w:rPr>
        <w:t xml:space="preserve">לי: </w:t>
      </w:r>
      <w:bookmarkStart w:id="16292" w:name="_ETM_Q21_673950"/>
      <w:bookmarkEnd w:id="16292"/>
      <w:r>
        <w:rPr>
          <w:rFonts w:hint="cs"/>
          <w:rtl/>
        </w:rPr>
        <w:t xml:space="preserve">עזוב, </w:t>
      </w:r>
      <w:bookmarkStart w:id="16293" w:name="_ETM_Q21_674340"/>
      <w:bookmarkEnd w:id="16293"/>
      <w:r>
        <w:rPr>
          <w:rFonts w:hint="cs"/>
          <w:rtl/>
        </w:rPr>
        <w:t xml:space="preserve">רמי, </w:t>
      </w:r>
      <w:bookmarkStart w:id="16294" w:name="_ETM_Q21_674790"/>
      <w:bookmarkEnd w:id="16294"/>
      <w:r>
        <w:rPr>
          <w:rFonts w:hint="cs"/>
          <w:rtl/>
        </w:rPr>
        <w:t xml:space="preserve">זה </w:t>
      </w:r>
      <w:bookmarkStart w:id="16295" w:name="_ETM_Q21_674970"/>
      <w:bookmarkEnd w:id="16295"/>
      <w:r>
        <w:rPr>
          <w:rFonts w:hint="cs"/>
          <w:rtl/>
        </w:rPr>
        <w:t xml:space="preserve">שטויות, </w:t>
      </w:r>
      <w:bookmarkStart w:id="16296" w:name="_ETM_Q21_675600"/>
      <w:bookmarkEnd w:id="16296"/>
      <w:r>
        <w:rPr>
          <w:rFonts w:hint="cs"/>
          <w:rtl/>
        </w:rPr>
        <w:t xml:space="preserve">זה </w:t>
      </w:r>
      <w:bookmarkStart w:id="16297" w:name="_ETM_Q21_675780"/>
      <w:bookmarkEnd w:id="16297"/>
      <w:r>
        <w:rPr>
          <w:rFonts w:hint="cs"/>
          <w:rtl/>
        </w:rPr>
        <w:t xml:space="preserve">כולה </w:t>
      </w:r>
      <w:bookmarkStart w:id="16298" w:name="_ETM_Q21_676320"/>
      <w:bookmarkEnd w:id="16298"/>
      <w:r>
        <w:rPr>
          <w:rFonts w:hint="cs"/>
          <w:rtl/>
        </w:rPr>
        <w:t xml:space="preserve">עילת </w:t>
      </w:r>
      <w:bookmarkStart w:id="16299" w:name="_ETM_Q21_676650"/>
      <w:bookmarkEnd w:id="16299"/>
      <w:r>
        <w:rPr>
          <w:rFonts w:hint="cs"/>
          <w:rtl/>
        </w:rPr>
        <w:t xml:space="preserve">הסבירות – </w:t>
      </w:r>
      <w:bookmarkStart w:id="16300" w:name="_ETM_Q21_678360"/>
      <w:bookmarkEnd w:id="16300"/>
      <w:r>
        <w:rPr>
          <w:rFonts w:hint="cs"/>
          <w:rtl/>
        </w:rPr>
        <w:t xml:space="preserve">זה </w:t>
      </w:r>
      <w:bookmarkStart w:id="16301" w:name="_ETM_Q21_678630"/>
      <w:bookmarkEnd w:id="16301"/>
      <w:r>
        <w:rPr>
          <w:rFonts w:hint="cs"/>
          <w:rtl/>
        </w:rPr>
        <w:t xml:space="preserve">כולה </w:t>
      </w:r>
      <w:bookmarkStart w:id="16302" w:name="_ETM_Q21_680430"/>
      <w:bookmarkEnd w:id="16302"/>
      <w:r>
        <w:rPr>
          <w:rFonts w:hint="cs"/>
          <w:rtl/>
        </w:rPr>
        <w:t xml:space="preserve">האופציה </w:t>
      </w:r>
      <w:bookmarkStart w:id="16303" w:name="_ETM_Q21_683410"/>
      <w:bookmarkEnd w:id="16303"/>
      <w:r>
        <w:rPr>
          <w:rFonts w:hint="cs"/>
          <w:rtl/>
        </w:rPr>
        <w:t xml:space="preserve">לתת </w:t>
      </w:r>
      <w:bookmarkStart w:id="16304" w:name="_ETM_Q21_683890"/>
      <w:bookmarkEnd w:id="16304"/>
      <w:r>
        <w:rPr>
          <w:rFonts w:hint="cs"/>
          <w:rtl/>
        </w:rPr>
        <w:t xml:space="preserve">כאן </w:t>
      </w:r>
      <w:bookmarkStart w:id="16305" w:name="_ETM_Q21_684280"/>
      <w:bookmarkEnd w:id="16305"/>
      <w:r>
        <w:rPr>
          <w:rFonts w:hint="cs"/>
          <w:rtl/>
        </w:rPr>
        <w:t xml:space="preserve">השחתה </w:t>
      </w:r>
      <w:bookmarkStart w:id="16306" w:name="_ETM_Q21_684790"/>
      <w:bookmarkStart w:id="16307" w:name="_ETM_Q21_685510"/>
      <w:bookmarkEnd w:id="16306"/>
      <w:bookmarkEnd w:id="16307"/>
      <w:r>
        <w:rPr>
          <w:rFonts w:hint="cs"/>
          <w:rtl/>
        </w:rPr>
        <w:t xml:space="preserve">מסיבית </w:t>
      </w:r>
      <w:bookmarkStart w:id="16308" w:name="_ETM_Q21_686500"/>
      <w:bookmarkEnd w:id="16308"/>
      <w:r>
        <w:rPr>
          <w:rFonts w:hint="cs"/>
          <w:rtl/>
        </w:rPr>
        <w:t xml:space="preserve">של </w:t>
      </w:r>
      <w:bookmarkStart w:id="16309" w:name="_ETM_Q21_686709"/>
      <w:bookmarkEnd w:id="16309"/>
      <w:r>
        <w:rPr>
          <w:rFonts w:hint="cs"/>
          <w:rtl/>
        </w:rPr>
        <w:t xml:space="preserve">השירות </w:t>
      </w:r>
      <w:bookmarkStart w:id="16310" w:name="_ETM_Q21_687099"/>
      <w:bookmarkEnd w:id="16310"/>
      <w:r>
        <w:rPr>
          <w:rFonts w:hint="cs"/>
          <w:rtl/>
        </w:rPr>
        <w:t>הציבורי</w:t>
      </w:r>
      <w:bookmarkStart w:id="16311" w:name="_ETM_Q21_688999"/>
      <w:bookmarkEnd w:id="16311"/>
      <w:r>
        <w:rPr>
          <w:rFonts w:hint="cs"/>
          <w:rtl/>
        </w:rPr>
        <w:t xml:space="preserve">, השחתה </w:t>
      </w:r>
      <w:bookmarkStart w:id="16312" w:name="_ETM_Q21_689569"/>
      <w:bookmarkEnd w:id="16312"/>
      <w:r>
        <w:rPr>
          <w:rFonts w:hint="cs"/>
          <w:rtl/>
        </w:rPr>
        <w:t xml:space="preserve">מסיבית </w:t>
      </w:r>
      <w:bookmarkStart w:id="16313" w:name="_ETM_Q21_692370"/>
      <w:bookmarkEnd w:id="16313"/>
      <w:r>
        <w:rPr>
          <w:rFonts w:hint="cs"/>
          <w:rtl/>
        </w:rPr>
        <w:t xml:space="preserve">של </w:t>
      </w:r>
      <w:bookmarkStart w:id="16314" w:name="_ETM_Q21_692580"/>
      <w:bookmarkEnd w:id="16314"/>
      <w:r>
        <w:rPr>
          <w:rFonts w:hint="cs"/>
          <w:rtl/>
        </w:rPr>
        <w:t xml:space="preserve">הממשלה, </w:t>
      </w:r>
      <w:bookmarkStart w:id="16315" w:name="_ETM_Q21_695800"/>
      <w:bookmarkEnd w:id="16315"/>
      <w:r>
        <w:rPr>
          <w:rFonts w:hint="cs"/>
          <w:rtl/>
        </w:rPr>
        <w:t xml:space="preserve">פיטורים </w:t>
      </w:r>
      <w:bookmarkStart w:id="16316" w:name="_ETM_Q21_696879"/>
      <w:bookmarkEnd w:id="16316"/>
      <w:r>
        <w:rPr>
          <w:rFonts w:hint="cs"/>
          <w:rtl/>
        </w:rPr>
        <w:t xml:space="preserve">ומינויים </w:t>
      </w:r>
      <w:bookmarkStart w:id="16317" w:name="_ETM_Q21_697660"/>
      <w:bookmarkEnd w:id="16317"/>
      <w:r>
        <w:rPr>
          <w:rFonts w:hint="cs"/>
          <w:rtl/>
        </w:rPr>
        <w:t xml:space="preserve">של </w:t>
      </w:r>
      <w:bookmarkStart w:id="16318" w:name="_ETM_Q21_697870"/>
      <w:bookmarkEnd w:id="16318"/>
      <w:r>
        <w:rPr>
          <w:rFonts w:hint="cs"/>
          <w:rtl/>
        </w:rPr>
        <w:t xml:space="preserve">כל </w:t>
      </w:r>
      <w:bookmarkStart w:id="16319" w:name="_ETM_Q21_698050"/>
      <w:bookmarkEnd w:id="16319"/>
      <w:r>
        <w:rPr>
          <w:rFonts w:hint="cs"/>
          <w:rtl/>
        </w:rPr>
        <w:t xml:space="preserve">היועצים </w:t>
      </w:r>
      <w:bookmarkStart w:id="16320" w:name="_ETM_Q21_698470"/>
      <w:bookmarkEnd w:id="16320"/>
      <w:r>
        <w:rPr>
          <w:rFonts w:hint="cs"/>
          <w:rtl/>
        </w:rPr>
        <w:t xml:space="preserve">המשפטיים, </w:t>
      </w:r>
      <w:bookmarkStart w:id="16321" w:name="_ETM_Q21_699309"/>
      <w:bookmarkEnd w:id="16321"/>
      <w:r>
        <w:rPr>
          <w:rFonts w:hint="cs"/>
          <w:rtl/>
        </w:rPr>
        <w:t xml:space="preserve">שיהיו </w:t>
      </w:r>
      <w:bookmarkStart w:id="16322" w:name="_ETM_Q21_700150"/>
      <w:bookmarkEnd w:id="16322"/>
      <w:r>
        <w:rPr>
          <w:rFonts w:hint="cs"/>
          <w:rtl/>
        </w:rPr>
        <w:t xml:space="preserve">תלויים </w:t>
      </w:r>
      <w:bookmarkStart w:id="16323" w:name="_ETM_Q21_700390"/>
      <w:bookmarkEnd w:id="16323"/>
      <w:r>
        <w:rPr>
          <w:rFonts w:hint="cs"/>
          <w:rtl/>
        </w:rPr>
        <w:t xml:space="preserve">בשרים, </w:t>
      </w:r>
      <w:bookmarkStart w:id="16324" w:name="_ETM_Q21_701650"/>
      <w:bookmarkEnd w:id="16324"/>
      <w:r>
        <w:rPr>
          <w:rFonts w:hint="cs"/>
          <w:rtl/>
        </w:rPr>
        <w:t xml:space="preserve">ריסוק </w:t>
      </w:r>
      <w:bookmarkStart w:id="16325" w:name="_ETM_Q21_702099"/>
      <w:bookmarkEnd w:id="16325"/>
      <w:r>
        <w:rPr>
          <w:rFonts w:hint="cs"/>
          <w:rtl/>
        </w:rPr>
        <w:t xml:space="preserve">של </w:t>
      </w:r>
      <w:bookmarkStart w:id="16326" w:name="_ETM_Q21_702249"/>
      <w:bookmarkEnd w:id="16326"/>
      <w:r>
        <w:rPr>
          <w:rFonts w:hint="cs"/>
          <w:rtl/>
        </w:rPr>
        <w:t xml:space="preserve">שומרי </w:t>
      </w:r>
      <w:bookmarkStart w:id="16327" w:name="_ETM_Q21_702639"/>
      <w:bookmarkEnd w:id="16327"/>
      <w:r>
        <w:rPr>
          <w:rFonts w:hint="cs"/>
          <w:rtl/>
        </w:rPr>
        <w:t xml:space="preserve">הסף. </w:t>
      </w:r>
      <w:bookmarkStart w:id="16328" w:name="_ETM_Q21_704200"/>
      <w:bookmarkEnd w:id="16328"/>
      <w:r>
        <w:rPr>
          <w:rFonts w:hint="cs"/>
          <w:rtl/>
        </w:rPr>
        <w:t xml:space="preserve">הרי </w:t>
      </w:r>
      <w:bookmarkStart w:id="16329" w:name="_ETM_Q21_704440"/>
      <w:bookmarkEnd w:id="16329"/>
      <w:r>
        <w:rPr>
          <w:rFonts w:hint="cs"/>
          <w:rtl/>
        </w:rPr>
        <w:t xml:space="preserve">הדבר </w:t>
      </w:r>
      <w:bookmarkStart w:id="16330" w:name="_ETM_Q21_704800"/>
      <w:bookmarkEnd w:id="16330"/>
      <w:r>
        <w:rPr>
          <w:rFonts w:hint="cs"/>
          <w:rtl/>
        </w:rPr>
        <w:t xml:space="preserve">הזה </w:t>
      </w:r>
      <w:bookmarkStart w:id="16331" w:name="_ETM_Q21_706379"/>
      <w:bookmarkEnd w:id="16331"/>
      <w:r>
        <w:rPr>
          <w:rFonts w:hint="cs"/>
          <w:rtl/>
        </w:rPr>
        <w:t xml:space="preserve">הוא </w:t>
      </w:r>
      <w:bookmarkStart w:id="16332" w:name="_ETM_Q21_706500"/>
      <w:bookmarkEnd w:id="16332"/>
      <w:r>
        <w:rPr>
          <w:rFonts w:hint="cs"/>
          <w:rtl/>
        </w:rPr>
        <w:t xml:space="preserve">כמו </w:t>
      </w:r>
      <w:bookmarkStart w:id="16333" w:name="_ETM_Q21_706679"/>
      <w:bookmarkEnd w:id="16333"/>
      <w:r>
        <w:rPr>
          <w:rFonts w:hint="cs"/>
          <w:rtl/>
        </w:rPr>
        <w:t xml:space="preserve">גלגל </w:t>
      </w:r>
      <w:bookmarkStart w:id="16334" w:name="_ETM_Q21_707040"/>
      <w:bookmarkEnd w:id="16334"/>
      <w:r>
        <w:rPr>
          <w:rFonts w:hint="cs"/>
          <w:rtl/>
        </w:rPr>
        <w:t xml:space="preserve">שלג, כמו </w:t>
      </w:r>
      <w:bookmarkStart w:id="16335" w:name="_ETM_Q21_708110"/>
      <w:bookmarkStart w:id="16336" w:name="_ETM_Q21_708830"/>
      <w:bookmarkStart w:id="16337" w:name="_ETM_Q21_708980"/>
      <w:bookmarkEnd w:id="16335"/>
      <w:bookmarkEnd w:id="16336"/>
      <w:bookmarkEnd w:id="16337"/>
      <w:r>
        <w:rPr>
          <w:rFonts w:hint="cs"/>
          <w:rtl/>
        </w:rPr>
        <w:t xml:space="preserve">כדור </w:t>
      </w:r>
      <w:bookmarkStart w:id="16338" w:name="_ETM_Q21_709280"/>
      <w:bookmarkEnd w:id="16338"/>
      <w:r>
        <w:rPr>
          <w:rFonts w:hint="cs"/>
          <w:rtl/>
        </w:rPr>
        <w:t xml:space="preserve">שלג. </w:t>
      </w:r>
      <w:bookmarkStart w:id="16339" w:name="_ETM_Q21_709790"/>
      <w:bookmarkEnd w:id="16339"/>
      <w:r>
        <w:rPr>
          <w:rFonts w:hint="cs"/>
          <w:rtl/>
        </w:rPr>
        <w:t xml:space="preserve">הדבר </w:t>
      </w:r>
      <w:bookmarkStart w:id="16340" w:name="_ETM_Q21_710179"/>
      <w:bookmarkEnd w:id="16340"/>
      <w:r>
        <w:rPr>
          <w:rFonts w:hint="cs"/>
          <w:rtl/>
        </w:rPr>
        <w:t xml:space="preserve">הזה </w:t>
      </w:r>
      <w:bookmarkStart w:id="16341" w:name="_ETM_Q21_710569"/>
      <w:bookmarkEnd w:id="16341"/>
      <w:r>
        <w:rPr>
          <w:rFonts w:hint="cs"/>
          <w:rtl/>
        </w:rPr>
        <w:t xml:space="preserve">יביא </w:t>
      </w:r>
      <w:bookmarkStart w:id="16342" w:name="_ETM_Q21_710959"/>
      <w:bookmarkEnd w:id="16342"/>
      <w:r>
        <w:rPr>
          <w:rFonts w:hint="cs"/>
          <w:rtl/>
        </w:rPr>
        <w:t xml:space="preserve">לחורבן </w:t>
      </w:r>
      <w:bookmarkStart w:id="16343" w:name="_ETM_Q21_711590"/>
      <w:bookmarkEnd w:id="16343"/>
      <w:r>
        <w:rPr>
          <w:rFonts w:hint="cs"/>
          <w:rtl/>
        </w:rPr>
        <w:t>הדמוקרטיה.</w:t>
      </w:r>
    </w:p>
    <w:p w:rsidR="000C5C1F" w:rsidRDefault="000C5C1F" w:rsidP="000C5C1F">
      <w:pPr>
        <w:rPr>
          <w:rtl/>
        </w:rPr>
      </w:pPr>
    </w:p>
    <w:p w:rsidR="000C5C1F" w:rsidRDefault="000C5C1F" w:rsidP="000C5C1F">
      <w:pPr>
        <w:rPr>
          <w:rtl/>
        </w:rPr>
      </w:pPr>
      <w:bookmarkStart w:id="16344" w:name="_ETM_Q21_713830"/>
      <w:bookmarkEnd w:id="16344"/>
      <w:r>
        <w:rPr>
          <w:rFonts w:hint="cs"/>
          <w:rtl/>
        </w:rPr>
        <w:t xml:space="preserve">אני </w:t>
      </w:r>
      <w:bookmarkStart w:id="16345" w:name="_ETM_Q21_714160"/>
      <w:bookmarkEnd w:id="16345"/>
      <w:r>
        <w:rPr>
          <w:rFonts w:hint="cs"/>
          <w:rtl/>
        </w:rPr>
        <w:t xml:space="preserve">מתפלא </w:t>
      </w:r>
      <w:bookmarkStart w:id="16346" w:name="_ETM_Q21_714580"/>
      <w:bookmarkEnd w:id="16346"/>
      <w:r>
        <w:rPr>
          <w:rFonts w:hint="cs"/>
          <w:rtl/>
        </w:rPr>
        <w:t xml:space="preserve">גם </w:t>
      </w:r>
      <w:bookmarkStart w:id="16347" w:name="_ETM_Q21_714790"/>
      <w:bookmarkEnd w:id="16347"/>
      <w:r>
        <w:rPr>
          <w:rFonts w:hint="cs"/>
          <w:rtl/>
        </w:rPr>
        <w:t xml:space="preserve">על </w:t>
      </w:r>
      <w:bookmarkStart w:id="16348" w:name="_ETM_Q21_715150"/>
      <w:bookmarkStart w:id="16349" w:name="_ETM_Q21_715390"/>
      <w:bookmarkStart w:id="16350" w:name="_ETM_Q21_715720"/>
      <w:bookmarkEnd w:id="16348"/>
      <w:bookmarkEnd w:id="16349"/>
      <w:bookmarkEnd w:id="16350"/>
      <w:r>
        <w:rPr>
          <w:rFonts w:hint="cs"/>
          <w:rtl/>
        </w:rPr>
        <w:t xml:space="preserve">ש"ס, גם עליך, </w:t>
      </w:r>
      <w:bookmarkStart w:id="16351" w:name="_ETM_Q21_717130"/>
      <w:bookmarkStart w:id="16352" w:name="_ETM_Q21_717490"/>
      <w:bookmarkStart w:id="16353" w:name="_ETM_Q21_717760"/>
      <w:bookmarkEnd w:id="16351"/>
      <w:bookmarkEnd w:id="16352"/>
      <w:bookmarkEnd w:id="16353"/>
      <w:r>
        <w:rPr>
          <w:rFonts w:hint="cs"/>
          <w:rtl/>
        </w:rPr>
        <w:t xml:space="preserve">אדוני </w:t>
      </w:r>
      <w:bookmarkStart w:id="16354" w:name="_ETM_Q21_718059"/>
      <w:bookmarkEnd w:id="16354"/>
      <w:r>
        <w:rPr>
          <w:rFonts w:hint="cs"/>
          <w:rtl/>
        </w:rPr>
        <w:t xml:space="preserve">היושב-ראש. </w:t>
      </w:r>
      <w:bookmarkStart w:id="16355" w:name="_ETM_Q21_718840"/>
      <w:bookmarkEnd w:id="16355"/>
      <w:r>
        <w:rPr>
          <w:rFonts w:hint="cs"/>
          <w:rtl/>
        </w:rPr>
        <w:t xml:space="preserve">אתה </w:t>
      </w:r>
      <w:bookmarkStart w:id="16356" w:name="_ETM_Q21_719080"/>
      <w:bookmarkEnd w:id="16356"/>
      <w:r>
        <w:rPr>
          <w:rFonts w:hint="cs"/>
          <w:rtl/>
        </w:rPr>
        <w:t xml:space="preserve">מייצג </w:t>
      </w:r>
      <w:bookmarkStart w:id="16357" w:name="_ETM_Q21_719440"/>
      <w:bookmarkStart w:id="16358" w:name="_ETM_Q21_719770"/>
      <w:bookmarkEnd w:id="16357"/>
      <w:bookmarkEnd w:id="16358"/>
      <w:r>
        <w:rPr>
          <w:rFonts w:hint="cs"/>
          <w:rtl/>
        </w:rPr>
        <w:t xml:space="preserve">מפלגה </w:t>
      </w:r>
      <w:bookmarkStart w:id="16359" w:name="_ETM_Q21_720490"/>
      <w:bookmarkEnd w:id="16359"/>
      <w:r>
        <w:rPr>
          <w:rFonts w:hint="cs"/>
          <w:rtl/>
        </w:rPr>
        <w:t xml:space="preserve">מפוארת, </w:t>
      </w:r>
      <w:bookmarkStart w:id="16360" w:name="_ETM_Q21_722409"/>
      <w:bookmarkEnd w:id="16360"/>
      <w:r>
        <w:rPr>
          <w:rFonts w:hint="cs"/>
          <w:rtl/>
        </w:rPr>
        <w:t xml:space="preserve">שידעה </w:t>
      </w:r>
      <w:bookmarkStart w:id="16361" w:name="_ETM_Q21_722920"/>
      <w:bookmarkEnd w:id="16361"/>
      <w:r>
        <w:rPr>
          <w:rFonts w:hint="cs"/>
          <w:rtl/>
        </w:rPr>
        <w:t xml:space="preserve">לעמוד </w:t>
      </w:r>
      <w:bookmarkStart w:id="16362" w:name="_ETM_Q21_723340"/>
      <w:bookmarkEnd w:id="16362"/>
      <w:r>
        <w:rPr>
          <w:rFonts w:hint="cs"/>
          <w:rtl/>
        </w:rPr>
        <w:t xml:space="preserve">ברגעים </w:t>
      </w:r>
      <w:bookmarkStart w:id="16363" w:name="_ETM_Q21_723940"/>
      <w:bookmarkEnd w:id="16363"/>
      <w:r>
        <w:rPr>
          <w:rFonts w:hint="cs"/>
          <w:rtl/>
        </w:rPr>
        <w:t xml:space="preserve">קריטיים </w:t>
      </w:r>
      <w:bookmarkStart w:id="16364" w:name="_ETM_Q21_724929"/>
      <w:bookmarkEnd w:id="16364"/>
      <w:r>
        <w:rPr>
          <w:rFonts w:hint="cs"/>
          <w:rtl/>
        </w:rPr>
        <w:t xml:space="preserve">בצד </w:t>
      </w:r>
      <w:bookmarkStart w:id="16365" w:name="_ETM_Q21_725319"/>
      <w:bookmarkEnd w:id="16365"/>
      <w:r>
        <w:rPr>
          <w:rFonts w:hint="cs"/>
          <w:rtl/>
        </w:rPr>
        <w:t xml:space="preserve">הנכון </w:t>
      </w:r>
      <w:bookmarkStart w:id="16366" w:name="_ETM_Q21_725739"/>
      <w:bookmarkEnd w:id="16366"/>
      <w:r>
        <w:rPr>
          <w:rFonts w:hint="cs"/>
          <w:rtl/>
        </w:rPr>
        <w:t xml:space="preserve">של </w:t>
      </w:r>
      <w:bookmarkStart w:id="16367" w:name="_ETM_Q21_725890"/>
      <w:bookmarkEnd w:id="16367"/>
      <w:r>
        <w:rPr>
          <w:rFonts w:hint="cs"/>
          <w:rtl/>
        </w:rPr>
        <w:t xml:space="preserve">ההיסטוריה, </w:t>
      </w:r>
      <w:bookmarkStart w:id="16368" w:name="_ETM_Q21_727150"/>
      <w:bookmarkEnd w:id="16368"/>
      <w:r>
        <w:rPr>
          <w:rFonts w:hint="cs"/>
          <w:rtl/>
        </w:rPr>
        <w:t xml:space="preserve">והרב </w:t>
      </w:r>
      <w:bookmarkStart w:id="16369" w:name="_ETM_Q21_727629"/>
      <w:bookmarkEnd w:id="16369"/>
      <w:r>
        <w:rPr>
          <w:rFonts w:hint="cs"/>
          <w:rtl/>
        </w:rPr>
        <w:t xml:space="preserve">שלכם </w:t>
      </w:r>
      <w:bookmarkStart w:id="16370" w:name="_ETM_Q21_729319"/>
      <w:bookmarkEnd w:id="16370"/>
      <w:r>
        <w:rPr>
          <w:rFonts w:hint="cs"/>
          <w:rtl/>
        </w:rPr>
        <w:t xml:space="preserve">ידע </w:t>
      </w:r>
      <w:bookmarkStart w:id="16371" w:name="_ETM_Q21_731079"/>
      <w:bookmarkEnd w:id="16371"/>
      <w:r>
        <w:rPr>
          <w:rFonts w:hint="cs"/>
          <w:rtl/>
        </w:rPr>
        <w:t xml:space="preserve">להגיד </w:t>
      </w:r>
      <w:bookmarkStart w:id="16372" w:name="_ETM_Q21_731470"/>
      <w:bookmarkEnd w:id="16372"/>
      <w:r>
        <w:rPr>
          <w:rFonts w:hint="cs"/>
          <w:rtl/>
        </w:rPr>
        <w:t xml:space="preserve">דברים </w:t>
      </w:r>
      <w:bookmarkStart w:id="16373" w:name="_ETM_Q21_732129"/>
      <w:bookmarkEnd w:id="16373"/>
      <w:r>
        <w:rPr>
          <w:rFonts w:hint="cs"/>
          <w:rtl/>
        </w:rPr>
        <w:t xml:space="preserve">נועזים </w:t>
      </w:r>
      <w:bookmarkStart w:id="16374" w:name="_ETM_Q21_732879"/>
      <w:bookmarkEnd w:id="16374"/>
      <w:r>
        <w:rPr>
          <w:rFonts w:hint="cs"/>
          <w:rtl/>
        </w:rPr>
        <w:t xml:space="preserve">בזמנו </w:t>
      </w:r>
      <w:bookmarkStart w:id="16375" w:name="_ETM_Q21_734130"/>
      <w:bookmarkEnd w:id="16375"/>
      <w:r>
        <w:rPr>
          <w:rFonts w:hint="cs"/>
          <w:rtl/>
        </w:rPr>
        <w:t xml:space="preserve">לגבי </w:t>
      </w:r>
      <w:bookmarkStart w:id="16376" w:name="_ETM_Q21_734610"/>
      <w:bookmarkEnd w:id="16376"/>
      <w:r>
        <w:rPr>
          <w:rFonts w:hint="cs"/>
          <w:rtl/>
        </w:rPr>
        <w:t xml:space="preserve">ליברליות, </w:t>
      </w:r>
      <w:bookmarkStart w:id="16377" w:name="_ETM_Q21_735720"/>
      <w:bookmarkEnd w:id="16377"/>
      <w:r>
        <w:rPr>
          <w:rFonts w:hint="cs"/>
          <w:rtl/>
        </w:rPr>
        <w:t xml:space="preserve">לגבי </w:t>
      </w:r>
      <w:bookmarkStart w:id="16378" w:name="_ETM_Q21_736110"/>
      <w:bookmarkEnd w:id="16378"/>
      <w:r>
        <w:rPr>
          <w:rFonts w:hint="cs"/>
          <w:rtl/>
        </w:rPr>
        <w:t xml:space="preserve">שילוב </w:t>
      </w:r>
      <w:bookmarkStart w:id="16379" w:name="_ETM_Q21_737040"/>
      <w:bookmarkEnd w:id="16379"/>
      <w:r>
        <w:rPr>
          <w:rFonts w:hint="cs"/>
          <w:rtl/>
        </w:rPr>
        <w:t xml:space="preserve">של </w:t>
      </w:r>
      <w:bookmarkStart w:id="16380" w:name="_ETM_Q21_737250"/>
      <w:bookmarkEnd w:id="16380"/>
      <w:r>
        <w:rPr>
          <w:rFonts w:hint="cs"/>
          <w:rtl/>
        </w:rPr>
        <w:t xml:space="preserve">חילונים </w:t>
      </w:r>
      <w:bookmarkStart w:id="16381" w:name="_ETM_Q21_737760"/>
      <w:bookmarkEnd w:id="16381"/>
      <w:r>
        <w:rPr>
          <w:rFonts w:hint="cs"/>
          <w:rtl/>
        </w:rPr>
        <w:t xml:space="preserve">ודתיים. </w:t>
      </w:r>
      <w:bookmarkStart w:id="16382" w:name="_ETM_Q21_739590"/>
      <w:bookmarkEnd w:id="16382"/>
      <w:r>
        <w:rPr>
          <w:rFonts w:hint="cs"/>
          <w:rtl/>
        </w:rPr>
        <w:t xml:space="preserve">איפה </w:t>
      </w:r>
      <w:bookmarkStart w:id="16383" w:name="_ETM_Q21_739860"/>
      <w:bookmarkEnd w:id="16383"/>
      <w:r>
        <w:rPr>
          <w:rFonts w:hint="cs"/>
          <w:rtl/>
        </w:rPr>
        <w:t xml:space="preserve">אתם </w:t>
      </w:r>
      <w:bookmarkStart w:id="16384" w:name="_ETM_Q21_740100"/>
      <w:bookmarkEnd w:id="16384"/>
      <w:r>
        <w:rPr>
          <w:rFonts w:hint="cs"/>
          <w:rtl/>
        </w:rPr>
        <w:t xml:space="preserve">היום? </w:t>
      </w:r>
      <w:bookmarkStart w:id="16385" w:name="_ETM_Q21_741030"/>
      <w:bookmarkEnd w:id="16385"/>
      <w:r>
        <w:rPr>
          <w:rFonts w:hint="cs"/>
          <w:rtl/>
        </w:rPr>
        <w:t xml:space="preserve">איפה </w:t>
      </w:r>
      <w:bookmarkStart w:id="16386" w:name="_ETM_Q21_741419"/>
      <w:bookmarkEnd w:id="16386"/>
      <w:r>
        <w:rPr>
          <w:rFonts w:hint="cs"/>
          <w:rtl/>
        </w:rPr>
        <w:t xml:space="preserve">אתם </w:t>
      </w:r>
      <w:bookmarkStart w:id="16387" w:name="_ETM_Q21_741660"/>
      <w:bookmarkEnd w:id="16387"/>
      <w:r>
        <w:rPr>
          <w:rFonts w:hint="cs"/>
          <w:rtl/>
        </w:rPr>
        <w:t xml:space="preserve">היום? </w:t>
      </w:r>
      <w:bookmarkStart w:id="16388" w:name="_ETM_Q21_741900"/>
      <w:bookmarkEnd w:id="16388"/>
      <w:r>
        <w:rPr>
          <w:rFonts w:hint="cs"/>
          <w:rtl/>
        </w:rPr>
        <w:t xml:space="preserve">אתם </w:t>
      </w:r>
      <w:bookmarkStart w:id="16389" w:name="_ETM_Q21_742080"/>
      <w:bookmarkEnd w:id="16389"/>
      <w:r>
        <w:rPr>
          <w:rFonts w:hint="cs"/>
          <w:rtl/>
        </w:rPr>
        <w:t xml:space="preserve">הולכים </w:t>
      </w:r>
      <w:bookmarkStart w:id="16390" w:name="_ETM_Q21_743009"/>
      <w:bookmarkEnd w:id="16390"/>
      <w:r>
        <w:rPr>
          <w:rFonts w:hint="cs"/>
          <w:rtl/>
        </w:rPr>
        <w:t xml:space="preserve">לתמוך </w:t>
      </w:r>
      <w:bookmarkStart w:id="16391" w:name="_ETM_Q21_744030"/>
      <w:bookmarkEnd w:id="16391"/>
      <w:r>
        <w:rPr>
          <w:rFonts w:hint="cs"/>
          <w:rtl/>
        </w:rPr>
        <w:t xml:space="preserve">בפסקת </w:t>
      </w:r>
      <w:bookmarkStart w:id="16392" w:name="_ETM_Q21_744630"/>
      <w:bookmarkEnd w:id="16392"/>
      <w:r>
        <w:rPr>
          <w:rFonts w:hint="cs"/>
          <w:rtl/>
        </w:rPr>
        <w:t xml:space="preserve">התגברות </w:t>
      </w:r>
      <w:bookmarkStart w:id="16393" w:name="_ETM_Q21_745320"/>
      <w:bookmarkEnd w:id="16393"/>
      <w:r>
        <w:rPr>
          <w:rFonts w:hint="cs"/>
          <w:rtl/>
        </w:rPr>
        <w:t xml:space="preserve">בסבירות </w:t>
      </w:r>
      <w:bookmarkStart w:id="16394" w:name="_ETM_Q21_751830"/>
      <w:bookmarkEnd w:id="16394"/>
      <w:r>
        <w:rPr>
          <w:rFonts w:hint="cs"/>
          <w:rtl/>
        </w:rPr>
        <w:t xml:space="preserve">הקיצונית </w:t>
      </w:r>
      <w:bookmarkStart w:id="16395" w:name="_ETM_Q21_752400"/>
      <w:bookmarkEnd w:id="16395"/>
      <w:r>
        <w:rPr>
          <w:rFonts w:hint="cs"/>
          <w:rtl/>
        </w:rPr>
        <w:t xml:space="preserve">ביותר – </w:t>
      </w:r>
      <w:bookmarkStart w:id="16396" w:name="_ETM_Q21_753449"/>
      <w:bookmarkEnd w:id="16396"/>
      <w:r>
        <w:rPr>
          <w:rFonts w:hint="cs"/>
          <w:rtl/>
        </w:rPr>
        <w:t xml:space="preserve">עוד </w:t>
      </w:r>
      <w:bookmarkStart w:id="16397" w:name="_ETM_Q21_753629"/>
      <w:bookmarkEnd w:id="16397"/>
      <w:r>
        <w:rPr>
          <w:rFonts w:hint="cs"/>
          <w:rtl/>
        </w:rPr>
        <w:t xml:space="preserve">יותר </w:t>
      </w:r>
      <w:bookmarkStart w:id="16398" w:name="_ETM_Q21_753900"/>
      <w:bookmarkEnd w:id="16398"/>
      <w:r>
        <w:rPr>
          <w:rFonts w:hint="cs"/>
          <w:rtl/>
        </w:rPr>
        <w:t xml:space="preserve">קיצונית </w:t>
      </w:r>
      <w:bookmarkStart w:id="16399" w:name="_ETM_Q21_754379"/>
      <w:bookmarkEnd w:id="16399"/>
      <w:r>
        <w:rPr>
          <w:rFonts w:hint="cs"/>
          <w:rtl/>
        </w:rPr>
        <w:t xml:space="preserve">ממה </w:t>
      </w:r>
      <w:bookmarkStart w:id="16400" w:name="_ETM_Q21_754679"/>
      <w:bookmarkEnd w:id="16400"/>
      <w:r>
        <w:rPr>
          <w:rFonts w:hint="cs"/>
          <w:rtl/>
        </w:rPr>
        <w:t xml:space="preserve">שהייתה כשהתחילו </w:t>
      </w:r>
      <w:bookmarkStart w:id="16401" w:name="_ETM_Q21_755039"/>
      <w:bookmarkEnd w:id="16401"/>
      <w:r>
        <w:rPr>
          <w:rFonts w:hint="cs"/>
          <w:rtl/>
        </w:rPr>
        <w:t xml:space="preserve">הדיונים, </w:t>
      </w:r>
      <w:bookmarkStart w:id="16402" w:name="_ETM_Q21_755520"/>
      <w:bookmarkEnd w:id="16402"/>
    </w:p>
    <w:p w:rsidR="000C5C1F" w:rsidRDefault="000C5C1F" w:rsidP="000C5C1F">
      <w:pPr>
        <w:rPr>
          <w:rtl/>
        </w:rPr>
      </w:pPr>
    </w:p>
    <w:p w:rsidR="000C5C1F" w:rsidRDefault="000C5C1F" w:rsidP="000C5C1F">
      <w:pPr>
        <w:rPr>
          <w:rtl/>
        </w:rPr>
      </w:pPr>
      <w:bookmarkStart w:id="16403" w:name="TOR_Q22"/>
      <w:bookmarkEnd w:id="16403"/>
      <w:r>
        <w:rPr>
          <w:rFonts w:hint="cs"/>
          <w:rtl/>
        </w:rPr>
        <w:t xml:space="preserve">ואתה יודע את זה. לא רק שלא עשו ריכוך, עוד הוסיפו שני סעיפים במהלך הדרך ולא נגעו בפסיק – על </w:t>
      </w:r>
      <w:bookmarkStart w:id="16404" w:name="_ETM_Q22_162000"/>
      <w:bookmarkEnd w:id="16404"/>
      <w:r>
        <w:rPr>
          <w:rFonts w:hint="cs"/>
          <w:rtl/>
        </w:rPr>
        <w:t xml:space="preserve">כל המינויים, על כל ההחלטות, על כל המדיניות. זה לא שאי-אפשר להגיע לפשרה; אפשר להגיע לפשרה. אבל צריך פשרה אמיתית, כזאת שלא תפגע בדמוקרטיה, כזאת שלא </w:t>
      </w:r>
      <w:bookmarkStart w:id="16405" w:name="_ETM_Q22_175000"/>
      <w:bookmarkEnd w:id="16405"/>
      <w:r>
        <w:rPr>
          <w:rFonts w:hint="cs"/>
          <w:rtl/>
        </w:rPr>
        <w:t xml:space="preserve">תאפשר מינוי של יועצים משפטיים, כזאת שלא תאפשר השחתה של כל המערכת הציבורית. </w:t>
      </w:r>
    </w:p>
    <w:p w:rsidR="000C5C1F" w:rsidRDefault="000C5C1F" w:rsidP="000C5C1F">
      <w:pPr>
        <w:rPr>
          <w:rtl/>
        </w:rPr>
      </w:pPr>
      <w:bookmarkStart w:id="16406" w:name="_ETM_Q22_184000"/>
      <w:bookmarkEnd w:id="16406"/>
    </w:p>
    <w:p w:rsidR="000C5C1F" w:rsidRDefault="000C5C1F" w:rsidP="000C5C1F">
      <w:pPr>
        <w:rPr>
          <w:rtl/>
        </w:rPr>
      </w:pPr>
      <w:bookmarkStart w:id="16407" w:name="_ETM_Q22_185000"/>
      <w:bookmarkEnd w:id="16407"/>
      <w:r>
        <w:rPr>
          <w:rFonts w:hint="cs"/>
          <w:rtl/>
        </w:rPr>
        <w:t>ושלא יהיה לכם ספק, ההשחתה בוא תבוא, ותהיה גדולה יותר ממה שאתם מתארים לעצמכם. הרי אנחנו רואים בכל יום שני את</w:t>
      </w:r>
      <w:bookmarkStart w:id="16408" w:name="_ETM_Q22_192000"/>
      <w:bookmarkEnd w:id="16408"/>
      <w:r>
        <w:rPr>
          <w:rFonts w:hint="cs"/>
          <w:rtl/>
        </w:rPr>
        <w:t xml:space="preserve"> אותם אנשים שבאים לפה בשביל לקבל ג'ובים, והלחץ שלהם על</w:t>
      </w:r>
      <w:bookmarkStart w:id="16409" w:name="_ETM_Q22_196000"/>
      <w:bookmarkEnd w:id="16409"/>
      <w:r>
        <w:rPr>
          <w:rFonts w:hint="cs"/>
          <w:rtl/>
        </w:rPr>
        <w:t xml:space="preserve"> חברי הכנסת של הליכוד לאשר מהר, כאן ועכשיו, את החקיקה</w:t>
      </w:r>
      <w:bookmarkStart w:id="16410" w:name="_ETM_Q22_200000"/>
      <w:bookmarkEnd w:id="16410"/>
      <w:r>
        <w:rPr>
          <w:rFonts w:hint="cs"/>
          <w:rtl/>
        </w:rPr>
        <w:t xml:space="preserve"> הזאת, כדי שלא יהיה שום קריטריון למינוי. תגידו: אה, יש קריטריון של השירות הציבורי, אבל מי כמונו יודע איך גם </w:t>
      </w:r>
      <w:bookmarkStart w:id="16411" w:name="_ETM_Q22_209000"/>
      <w:bookmarkEnd w:id="16411"/>
      <w:r>
        <w:rPr>
          <w:rFonts w:hint="cs"/>
          <w:rtl/>
        </w:rPr>
        <w:t xml:space="preserve">היום, בזמן שיש את עילת הסבירות, אתם יודעים לעבור על החוק הזה. אתם יודעים מה? אני לא אגיד "אתם יודעים" – אנחנו יודעים. גם אני </w:t>
      </w:r>
      <w:bookmarkStart w:id="16412" w:name="_ETM_Q22_220000"/>
      <w:bookmarkEnd w:id="16412"/>
      <w:r>
        <w:rPr>
          <w:rFonts w:hint="cs"/>
          <w:rtl/>
        </w:rPr>
        <w:t xml:space="preserve">לא פטור מהדבר הזה. אנחנו יודעים היום איך להתקמבן. </w:t>
      </w:r>
      <w:bookmarkStart w:id="16413" w:name="_ETM_Q22_223000"/>
      <w:bookmarkEnd w:id="16413"/>
      <w:r>
        <w:rPr>
          <w:rFonts w:hint="cs"/>
          <w:rtl/>
        </w:rPr>
        <w:t>תארו</w:t>
      </w:r>
      <w:bookmarkStart w:id="16414" w:name="_ETM_Q22_224000"/>
      <w:bookmarkEnd w:id="16414"/>
      <w:r>
        <w:rPr>
          <w:rFonts w:hint="cs"/>
          <w:rtl/>
        </w:rPr>
        <w:t xml:space="preserve"> לכם שהחוק הזה עובר מחר בבוקר – מה יקרה כאן?</w:t>
      </w:r>
      <w:bookmarkStart w:id="16415" w:name="_ETM_Q22_227000"/>
      <w:bookmarkEnd w:id="16415"/>
      <w:r>
        <w:rPr>
          <w:rFonts w:hint="cs"/>
          <w:rtl/>
        </w:rPr>
        <w:t xml:space="preserve"> לא יהיה דין ולא יהיה דיין. יתמנו כאן אנשים לפי קרבה משפחתית, אנשים שהביאו </w:t>
      </w:r>
      <w:bookmarkStart w:id="16416" w:name="_ETM_Q22_232000"/>
      <w:bookmarkEnd w:id="16416"/>
      <w:r>
        <w:rPr>
          <w:rFonts w:hint="cs"/>
          <w:rtl/>
        </w:rPr>
        <w:t>לך 4,000 קולות יתקבלו להיות מנכ"לים של חברות, בלי שיש להם שום כישורים לזה. א</w:t>
      </w:r>
      <w:bookmarkStart w:id="16417" w:name="_ETM_Q22_238000"/>
      <w:bookmarkEnd w:id="16417"/>
      <w:r>
        <w:rPr>
          <w:rFonts w:hint="cs"/>
          <w:rtl/>
        </w:rPr>
        <w:t>ז אנחנו נתקן את הקריטריונים ככה שהם יוכלו. אנחנו כבר רואים את זה קורה היום. זה כבר</w:t>
      </w:r>
      <w:bookmarkStart w:id="16418" w:name="_ETM_Q22_245000"/>
      <w:bookmarkEnd w:id="16418"/>
      <w:r>
        <w:rPr>
          <w:rFonts w:hint="cs"/>
          <w:rtl/>
        </w:rPr>
        <w:t xml:space="preserve"> קורה היום. מה המינויים שמנסים לעשות במשרד התחבורה? היום, עם עילת הסבירות, לפני שביטלו אותה, מנסים להכניס אנשים לכל </w:t>
      </w:r>
      <w:bookmarkStart w:id="16419" w:name="_ETM_Q22_252000"/>
      <w:bookmarkEnd w:id="16419"/>
      <w:r>
        <w:rPr>
          <w:rFonts w:hint="cs"/>
          <w:rtl/>
        </w:rPr>
        <w:t>מיני ג'ובים, ואנחנו יודעים שהם לא מתאימים לתפקידים שלהם</w:t>
      </w:r>
      <w:bookmarkStart w:id="16420" w:name="_ETM_Q22_257000"/>
      <w:bookmarkEnd w:id="16420"/>
      <w:r>
        <w:rPr>
          <w:rFonts w:hint="cs"/>
          <w:rtl/>
        </w:rPr>
        <w:t xml:space="preserve">, ולא רק שם, בהרבה מאוד מקומות. </w:t>
      </w:r>
    </w:p>
    <w:p w:rsidR="000C5C1F" w:rsidRDefault="000C5C1F" w:rsidP="000C5C1F">
      <w:pPr>
        <w:rPr>
          <w:rtl/>
        </w:rPr>
      </w:pPr>
    </w:p>
    <w:p w:rsidR="000C5C1F" w:rsidRDefault="000C5C1F" w:rsidP="000C5C1F">
      <w:pPr>
        <w:rPr>
          <w:rtl/>
        </w:rPr>
      </w:pPr>
      <w:r>
        <w:rPr>
          <w:rFonts w:hint="cs"/>
          <w:rtl/>
        </w:rPr>
        <w:t>אתם יודעים מה זה יעשה לשירות הציבורי? תסתכלו, יש מדינות שבהן זה</w:t>
      </w:r>
      <w:bookmarkStart w:id="16421" w:name="_ETM_Q22_263000"/>
      <w:bookmarkEnd w:id="16421"/>
      <w:r>
        <w:rPr>
          <w:rFonts w:hint="cs"/>
          <w:rtl/>
        </w:rPr>
        <w:t xml:space="preserve"> קורה. תסתכלו מה מצבן. תראו מה קורה בפולין, תראו איך נראית הכלכלה של הונגריה מיום שעשו את זה. ואנחנו הולכים </w:t>
      </w:r>
      <w:bookmarkStart w:id="16422" w:name="_ETM_Q22_271000"/>
      <w:bookmarkEnd w:id="16422"/>
      <w:r>
        <w:rPr>
          <w:rFonts w:hint="cs"/>
          <w:rtl/>
        </w:rPr>
        <w:t>להיות הרבה יותר גרועים מהם. למה אנחנו הולכים להיות יותר</w:t>
      </w:r>
      <w:bookmarkStart w:id="16423" w:name="_ETM_Q22_276000"/>
      <w:bookmarkEnd w:id="16423"/>
      <w:r>
        <w:rPr>
          <w:rFonts w:hint="cs"/>
          <w:rtl/>
        </w:rPr>
        <w:t xml:space="preserve"> גרועים מהם? כי בתוך הממשלה הזאת יושבים אנשים – ולפחות לזכותם ייאמר שהם לא מסתירים</w:t>
      </w:r>
      <w:bookmarkStart w:id="16424" w:name="_ETM_Q22_282000"/>
      <w:bookmarkEnd w:id="16424"/>
      <w:r>
        <w:rPr>
          <w:rFonts w:hint="cs"/>
          <w:rtl/>
        </w:rPr>
        <w:t xml:space="preserve"> את זה – כמו סמוטריץ' ואחרים מהמפלגה שלו, שיש להם אג'נדה ברורה. הם לא מסתירים</w:t>
      </w:r>
      <w:bookmarkStart w:id="16425" w:name="_ETM_Q22_288000"/>
      <w:bookmarkEnd w:id="16425"/>
      <w:r>
        <w:rPr>
          <w:rFonts w:hint="cs"/>
          <w:rtl/>
        </w:rPr>
        <w:t xml:space="preserve"> אותה. הם אומרים: זאת המטרה, ואנחנו נשאף למטרה הזאת, ובסופו של דבר אנחנו נעשה כאן מדינת הלכה. זה מה שאנחנו רוצים. ייקח עשר שנים, ייקח עשרים שנה. </w:t>
      </w:r>
    </w:p>
    <w:p w:rsidR="000C5C1F" w:rsidRDefault="000C5C1F" w:rsidP="000C5C1F">
      <w:pPr>
        <w:rPr>
          <w:rtl/>
        </w:rPr>
      </w:pPr>
    </w:p>
    <w:p w:rsidR="000C5C1F" w:rsidRDefault="000C5C1F" w:rsidP="000C5C1F">
      <w:pPr>
        <w:pStyle w:val="af8"/>
        <w:keepNext/>
        <w:rPr>
          <w:rtl/>
        </w:rPr>
      </w:pPr>
      <w:bookmarkStart w:id="16426" w:name="ET_interruption_6430_11"/>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426"/>
    </w:p>
    <w:p w:rsidR="000C5C1F" w:rsidRDefault="000C5C1F" w:rsidP="00337201">
      <w:pPr>
        <w:rPr>
          <w:rtl/>
        </w:rPr>
      </w:pPr>
    </w:p>
    <w:p w:rsidR="000C5C1F" w:rsidRDefault="000C5C1F" w:rsidP="000C5C1F">
      <w:pPr>
        <w:rPr>
          <w:rtl/>
        </w:rPr>
      </w:pPr>
      <w:r>
        <w:rPr>
          <w:rFonts w:hint="cs"/>
          <w:rtl/>
        </w:rPr>
        <w:t xml:space="preserve">אני רוצה לשאול אותך שאלה. </w:t>
      </w:r>
    </w:p>
    <w:p w:rsidR="000C5C1F" w:rsidRDefault="000C5C1F" w:rsidP="000C5C1F">
      <w:pPr>
        <w:rPr>
          <w:rtl/>
        </w:rPr>
      </w:pPr>
      <w:bookmarkStart w:id="16427" w:name="_ETM_Q22_302000"/>
      <w:bookmarkEnd w:id="16427"/>
    </w:p>
    <w:p w:rsidR="000C5C1F" w:rsidRDefault="000C5C1F" w:rsidP="000C5C1F">
      <w:pPr>
        <w:pStyle w:val="-"/>
        <w:keepNext/>
        <w:rPr>
          <w:rtl/>
        </w:rPr>
      </w:pPr>
      <w:bookmarkStart w:id="16428" w:name="ET_speakercontinue_5766_12"/>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6428"/>
    </w:p>
    <w:p w:rsidR="000C5C1F" w:rsidRDefault="000C5C1F" w:rsidP="00337201">
      <w:pPr>
        <w:rPr>
          <w:rtl/>
        </w:rPr>
      </w:pPr>
    </w:p>
    <w:p w:rsidR="000C5C1F" w:rsidRDefault="000C5C1F" w:rsidP="000C5C1F">
      <w:pPr>
        <w:rPr>
          <w:rtl/>
        </w:rPr>
      </w:pPr>
      <w:bookmarkStart w:id="16429" w:name="_ETM_Q22_303000"/>
      <w:bookmarkEnd w:id="16429"/>
      <w:r>
        <w:rPr>
          <w:rFonts w:hint="cs"/>
          <w:rtl/>
        </w:rPr>
        <w:t xml:space="preserve">כן, בבקשה. </w:t>
      </w:r>
    </w:p>
    <w:p w:rsidR="000C5C1F" w:rsidRDefault="000C5C1F" w:rsidP="000C5C1F">
      <w:pPr>
        <w:rPr>
          <w:rtl/>
        </w:rPr>
      </w:pPr>
      <w:bookmarkStart w:id="16430" w:name="_ETM_Q22_305000"/>
      <w:bookmarkEnd w:id="16430"/>
    </w:p>
    <w:p w:rsidR="000C5C1F" w:rsidRDefault="000C5C1F" w:rsidP="000C5C1F">
      <w:pPr>
        <w:pStyle w:val="af8"/>
        <w:keepNext/>
        <w:rPr>
          <w:rtl/>
        </w:rPr>
      </w:pPr>
      <w:bookmarkStart w:id="16431" w:name="ET_interruption_6430_13"/>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431"/>
    </w:p>
    <w:p w:rsidR="000C5C1F" w:rsidRDefault="000C5C1F" w:rsidP="00337201">
      <w:pPr>
        <w:rPr>
          <w:rtl/>
        </w:rPr>
      </w:pPr>
    </w:p>
    <w:p w:rsidR="000C5C1F" w:rsidRDefault="000C5C1F" w:rsidP="000C5C1F">
      <w:pPr>
        <w:rPr>
          <w:rtl/>
        </w:rPr>
      </w:pPr>
      <w:bookmarkStart w:id="16432" w:name="_ETM_Q22_308000"/>
      <w:bookmarkEnd w:id="16432"/>
      <w:r>
        <w:rPr>
          <w:rFonts w:hint="cs"/>
          <w:rtl/>
        </w:rPr>
        <w:t xml:space="preserve">- </w:t>
      </w:r>
      <w:bookmarkStart w:id="16433" w:name="_ETM_Q22_315000"/>
      <w:bookmarkEnd w:id="16433"/>
      <w:r>
        <w:rPr>
          <w:rFonts w:hint="cs"/>
          <w:rtl/>
        </w:rPr>
        <w:t xml:space="preserve">- - יש פה בכנסת חלק שמתנגד - - - תתנגדו. </w:t>
      </w:r>
    </w:p>
    <w:p w:rsidR="000C5C1F" w:rsidRDefault="000C5C1F" w:rsidP="000C5C1F">
      <w:pPr>
        <w:rPr>
          <w:rtl/>
        </w:rPr>
      </w:pPr>
    </w:p>
    <w:p w:rsidR="000C5C1F" w:rsidRDefault="000C5C1F" w:rsidP="000C5C1F">
      <w:pPr>
        <w:pStyle w:val="-"/>
        <w:keepNext/>
        <w:rPr>
          <w:rtl/>
        </w:rPr>
      </w:pPr>
      <w:bookmarkStart w:id="16434" w:name="ET_speakercontinue_5766_4"/>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6434"/>
    </w:p>
    <w:p w:rsidR="000C5C1F" w:rsidRDefault="000C5C1F" w:rsidP="00337201">
      <w:pPr>
        <w:rPr>
          <w:rtl/>
          <w:lang w:eastAsia="he-IL"/>
        </w:rPr>
      </w:pPr>
    </w:p>
    <w:p w:rsidR="000C5C1F" w:rsidRDefault="000C5C1F" w:rsidP="000C5C1F">
      <w:pPr>
        <w:rPr>
          <w:rtl/>
          <w:lang w:eastAsia="he-IL"/>
        </w:rPr>
      </w:pPr>
      <w:r>
        <w:rPr>
          <w:rFonts w:hint="cs"/>
          <w:rtl/>
          <w:lang w:eastAsia="he-IL"/>
        </w:rPr>
        <w:t>אני רוצה להגיד לך משהו, אדוני שר השיכון, אנחנו - - -</w:t>
      </w:r>
    </w:p>
    <w:p w:rsidR="000C5C1F" w:rsidRDefault="000C5C1F" w:rsidP="000C5C1F">
      <w:pPr>
        <w:rPr>
          <w:rtl/>
          <w:lang w:eastAsia="he-IL"/>
        </w:rPr>
      </w:pPr>
    </w:p>
    <w:p w:rsidR="000C5C1F" w:rsidRDefault="000C5C1F" w:rsidP="000C5C1F">
      <w:pPr>
        <w:pStyle w:val="af8"/>
        <w:keepNext/>
        <w:rPr>
          <w:rtl/>
        </w:rPr>
      </w:pPr>
      <w:bookmarkStart w:id="16435" w:name="ET_interruption_6430_14"/>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435"/>
    </w:p>
    <w:p w:rsidR="000C5C1F" w:rsidRDefault="000C5C1F" w:rsidP="00337201">
      <w:pPr>
        <w:rPr>
          <w:rtl/>
          <w:lang w:eastAsia="he-IL"/>
        </w:rPr>
      </w:pPr>
    </w:p>
    <w:p w:rsidR="000C5C1F" w:rsidRDefault="000C5C1F" w:rsidP="000C5C1F">
      <w:pPr>
        <w:rPr>
          <w:rtl/>
          <w:lang w:eastAsia="he-IL"/>
        </w:rPr>
      </w:pPr>
      <w:r>
        <w:rPr>
          <w:rFonts w:hint="cs"/>
          <w:rtl/>
          <w:lang w:eastAsia="he-IL"/>
        </w:rPr>
        <w:t>- - -</w:t>
      </w:r>
    </w:p>
    <w:p w:rsidR="000C5C1F" w:rsidRDefault="000C5C1F" w:rsidP="000C5C1F">
      <w:pPr>
        <w:rPr>
          <w:rtl/>
          <w:lang w:eastAsia="he-IL"/>
        </w:rPr>
      </w:pPr>
      <w:bookmarkStart w:id="16436" w:name="_ETM_Q22_324000"/>
      <w:bookmarkEnd w:id="16436"/>
    </w:p>
    <w:p w:rsidR="000C5C1F" w:rsidRDefault="000C5C1F" w:rsidP="000C5C1F">
      <w:pPr>
        <w:pStyle w:val="-"/>
        <w:keepNext/>
        <w:rPr>
          <w:rtl/>
        </w:rPr>
      </w:pPr>
      <w:bookmarkStart w:id="16437" w:name="ET_speakercontinue_5766_15"/>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6437"/>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אני אענה </w:t>
      </w:r>
      <w:bookmarkStart w:id="16438" w:name="_ETM_Q22_325000"/>
      <w:bookmarkEnd w:id="16438"/>
      <w:r>
        <w:rPr>
          <w:rFonts w:hint="cs"/>
          <w:rtl/>
          <w:lang w:eastAsia="he-IL"/>
        </w:rPr>
        <w:t xml:space="preserve">לך, אני אענה לך. </w:t>
      </w:r>
    </w:p>
    <w:p w:rsidR="000C5C1F" w:rsidRDefault="000C5C1F" w:rsidP="000C5C1F">
      <w:pPr>
        <w:rPr>
          <w:rtl/>
          <w:lang w:eastAsia="he-IL"/>
        </w:rPr>
      </w:pPr>
      <w:bookmarkStart w:id="16439" w:name="_ETM_Q22_331000"/>
      <w:bookmarkEnd w:id="16439"/>
    </w:p>
    <w:p w:rsidR="000C5C1F" w:rsidRDefault="000C5C1F" w:rsidP="000C5C1F">
      <w:pPr>
        <w:pStyle w:val="af8"/>
        <w:keepNext/>
        <w:rPr>
          <w:rtl/>
        </w:rPr>
      </w:pPr>
      <w:bookmarkStart w:id="16440" w:name="ET_interruption_6430_16"/>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440"/>
    </w:p>
    <w:p w:rsidR="000C5C1F" w:rsidRDefault="000C5C1F" w:rsidP="00337201">
      <w:pPr>
        <w:rPr>
          <w:rtl/>
          <w:lang w:eastAsia="he-IL"/>
        </w:rPr>
      </w:pPr>
    </w:p>
    <w:p w:rsidR="000C5C1F" w:rsidRDefault="000C5C1F" w:rsidP="000C5C1F">
      <w:pPr>
        <w:rPr>
          <w:rtl/>
          <w:lang w:eastAsia="he-IL"/>
        </w:rPr>
      </w:pPr>
      <w:bookmarkStart w:id="16441" w:name="_ETM_Q22_328000"/>
      <w:bookmarkEnd w:id="16441"/>
      <w:r>
        <w:rPr>
          <w:rFonts w:hint="cs"/>
          <w:rtl/>
          <w:lang w:eastAsia="he-IL"/>
        </w:rPr>
        <w:t>- - - למה אתה סוחף</w:t>
      </w:r>
      <w:bookmarkStart w:id="16442" w:name="_ETM_Q22_334000"/>
      <w:bookmarkEnd w:id="16442"/>
      <w:r>
        <w:rPr>
          <w:rFonts w:hint="cs"/>
          <w:rtl/>
          <w:lang w:eastAsia="he-IL"/>
        </w:rPr>
        <w:t xml:space="preserve"> את המדינה </w:t>
      </w:r>
      <w:bookmarkStart w:id="16443" w:name="_ETM_Q22_329000"/>
      <w:bookmarkEnd w:id="16443"/>
      <w:r>
        <w:rPr>
          <w:rFonts w:hint="cs"/>
          <w:rtl/>
          <w:lang w:eastAsia="he-IL"/>
        </w:rPr>
        <w:t xml:space="preserve">- - - הקרב היה פה - - - </w:t>
      </w:r>
    </w:p>
    <w:p w:rsidR="000C5C1F" w:rsidRDefault="000C5C1F" w:rsidP="000C5C1F">
      <w:pPr>
        <w:rPr>
          <w:rtl/>
          <w:lang w:eastAsia="he-IL"/>
        </w:rPr>
      </w:pPr>
    </w:p>
    <w:p w:rsidR="000C5C1F" w:rsidRDefault="000C5C1F" w:rsidP="000C5C1F">
      <w:pPr>
        <w:pStyle w:val="-"/>
        <w:keepNext/>
        <w:rPr>
          <w:rtl/>
        </w:rPr>
      </w:pPr>
      <w:bookmarkStart w:id="16444" w:name="ET_speakercontinue_5766_5"/>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6444"/>
    </w:p>
    <w:p w:rsidR="000C5C1F" w:rsidRDefault="000C5C1F" w:rsidP="00337201">
      <w:pPr>
        <w:rPr>
          <w:rtl/>
          <w:lang w:eastAsia="he-IL"/>
        </w:rPr>
      </w:pPr>
    </w:p>
    <w:p w:rsidR="000C5C1F" w:rsidRDefault="000C5C1F" w:rsidP="000C5C1F">
      <w:pPr>
        <w:rPr>
          <w:rtl/>
          <w:lang w:eastAsia="he-IL"/>
        </w:rPr>
      </w:pPr>
      <w:r>
        <w:rPr>
          <w:rFonts w:hint="cs"/>
          <w:rtl/>
          <w:lang w:eastAsia="he-IL"/>
        </w:rPr>
        <w:t>זאת שאלה מצוינת, אני רוצה לענות לך. אנחנו לא נמצאים ברחוב – ברחוב</w:t>
      </w:r>
      <w:bookmarkStart w:id="16445" w:name="_ETM_Q22_345000"/>
      <w:bookmarkEnd w:id="16445"/>
      <w:r>
        <w:rPr>
          <w:rFonts w:hint="cs"/>
          <w:rtl/>
          <w:lang w:eastAsia="he-IL"/>
        </w:rPr>
        <w:t xml:space="preserve"> נמצא עם ישראל. אנחנו לא מעודדים אותם, אנחנו לא מממנים אותם. הם באים מרצונם. אתה יודע ש-550,000 איש היו אתמול בלילה ברחובות בכל המדינה? אני יודע, אני הייתי בהפגנה בנהלל - - - </w:t>
      </w:r>
    </w:p>
    <w:p w:rsidR="000C5C1F" w:rsidRDefault="000C5C1F" w:rsidP="000C5C1F">
      <w:pPr>
        <w:rPr>
          <w:rtl/>
          <w:lang w:eastAsia="he-IL"/>
        </w:rPr>
      </w:pPr>
    </w:p>
    <w:p w:rsidR="000C5C1F" w:rsidRDefault="000C5C1F" w:rsidP="000C5C1F">
      <w:pPr>
        <w:pStyle w:val="af8"/>
        <w:keepNext/>
        <w:rPr>
          <w:rtl/>
        </w:rPr>
      </w:pPr>
      <w:bookmarkStart w:id="16446" w:name="ET_interruption_6430_17"/>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446"/>
    </w:p>
    <w:p w:rsidR="000C5C1F" w:rsidRDefault="000C5C1F" w:rsidP="00337201">
      <w:pPr>
        <w:rPr>
          <w:rtl/>
          <w:lang w:eastAsia="he-IL"/>
        </w:rPr>
      </w:pPr>
    </w:p>
    <w:p w:rsidR="000C5C1F" w:rsidRDefault="000C5C1F" w:rsidP="000C5C1F">
      <w:pPr>
        <w:rPr>
          <w:rtl/>
          <w:lang w:eastAsia="he-IL"/>
        </w:rPr>
      </w:pPr>
      <w:r>
        <w:rPr>
          <w:rFonts w:hint="cs"/>
          <w:rtl/>
          <w:lang w:eastAsia="he-IL"/>
        </w:rPr>
        <w:t>450,000.</w:t>
      </w:r>
      <w:bookmarkStart w:id="16447" w:name="_ETM_Q22_366000"/>
      <w:bookmarkEnd w:id="16447"/>
      <w:r>
        <w:rPr>
          <w:rFonts w:hint="cs"/>
          <w:rtl/>
          <w:lang w:eastAsia="he-IL"/>
        </w:rPr>
        <w:t xml:space="preserve"> </w:t>
      </w:r>
    </w:p>
    <w:p w:rsidR="000C5C1F" w:rsidRDefault="000C5C1F" w:rsidP="000C5C1F">
      <w:pPr>
        <w:rPr>
          <w:rtl/>
          <w:lang w:eastAsia="he-IL"/>
        </w:rPr>
      </w:pPr>
    </w:p>
    <w:p w:rsidR="000C5C1F" w:rsidRDefault="000C5C1F" w:rsidP="000C5C1F">
      <w:pPr>
        <w:pStyle w:val="-"/>
        <w:keepNext/>
        <w:rPr>
          <w:rtl/>
        </w:rPr>
      </w:pPr>
      <w:bookmarkStart w:id="16448" w:name="ET_speakercontinue_5766_18"/>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6448"/>
    </w:p>
    <w:p w:rsidR="000C5C1F" w:rsidRDefault="000C5C1F" w:rsidP="00337201">
      <w:pPr>
        <w:rPr>
          <w:rtl/>
          <w:lang w:eastAsia="he-IL"/>
        </w:rPr>
      </w:pPr>
    </w:p>
    <w:p w:rsidR="000C5C1F" w:rsidRDefault="000C5C1F" w:rsidP="000C5C1F">
      <w:pPr>
        <w:rPr>
          <w:rtl/>
          <w:lang w:eastAsia="he-IL"/>
        </w:rPr>
      </w:pPr>
      <w:bookmarkStart w:id="16449" w:name="_ETM_Q22_365000"/>
      <w:bookmarkEnd w:id="16449"/>
      <w:r>
        <w:rPr>
          <w:rFonts w:hint="cs"/>
          <w:rtl/>
          <w:lang w:eastAsia="he-IL"/>
        </w:rPr>
        <w:t xml:space="preserve">לא נריב, </w:t>
      </w:r>
      <w:bookmarkStart w:id="16450" w:name="_ETM_Q22_367372"/>
      <w:bookmarkEnd w:id="16450"/>
      <w:r>
        <w:rPr>
          <w:rFonts w:hint="cs"/>
          <w:rtl/>
          <w:lang w:eastAsia="he-IL"/>
        </w:rPr>
        <w:t xml:space="preserve">בין 450,000 ל-550,000. </w:t>
      </w:r>
    </w:p>
    <w:p w:rsidR="000C5C1F" w:rsidRDefault="000C5C1F" w:rsidP="000C5C1F">
      <w:pPr>
        <w:rPr>
          <w:rtl/>
          <w:lang w:eastAsia="he-IL"/>
        </w:rPr>
      </w:pPr>
      <w:bookmarkStart w:id="16451" w:name="_ETM_Q22_368000"/>
      <w:bookmarkEnd w:id="16451"/>
    </w:p>
    <w:p w:rsidR="000C5C1F" w:rsidRDefault="000C5C1F" w:rsidP="000C5C1F">
      <w:pPr>
        <w:pStyle w:val="af8"/>
        <w:keepNext/>
        <w:rPr>
          <w:rtl/>
        </w:rPr>
      </w:pPr>
      <w:bookmarkStart w:id="16452" w:name="ET_interruption_6430_19"/>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452"/>
    </w:p>
    <w:p w:rsidR="000C5C1F" w:rsidRDefault="000C5C1F" w:rsidP="00337201">
      <w:pPr>
        <w:rPr>
          <w:rtl/>
          <w:lang w:eastAsia="he-IL"/>
        </w:rPr>
      </w:pPr>
    </w:p>
    <w:p w:rsidR="000C5C1F" w:rsidRDefault="000C5C1F" w:rsidP="000C5C1F">
      <w:pPr>
        <w:rPr>
          <w:rtl/>
          <w:lang w:eastAsia="he-IL"/>
        </w:rPr>
      </w:pPr>
      <w:bookmarkStart w:id="16453" w:name="_ETM_Q22_373000"/>
      <w:bookmarkEnd w:id="16453"/>
      <w:r>
        <w:rPr>
          <w:rFonts w:hint="cs"/>
          <w:rtl/>
          <w:lang w:eastAsia="he-IL"/>
        </w:rPr>
        <w:t xml:space="preserve">יש עשרה מיליון איש. </w:t>
      </w:r>
    </w:p>
    <w:p w:rsidR="000C5C1F" w:rsidRDefault="000C5C1F" w:rsidP="000C5C1F">
      <w:pPr>
        <w:rPr>
          <w:rtl/>
          <w:lang w:eastAsia="he-IL"/>
        </w:rPr>
      </w:pPr>
    </w:p>
    <w:p w:rsidR="000C5C1F" w:rsidRDefault="000C5C1F" w:rsidP="000C5C1F">
      <w:pPr>
        <w:pStyle w:val="-"/>
        <w:keepNext/>
        <w:rPr>
          <w:rtl/>
        </w:rPr>
      </w:pPr>
      <w:bookmarkStart w:id="16454" w:name="ET_speakercontinue_5766_6"/>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6454"/>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יש תשעה מיליון. אני הייתי בהפגנה בנהלל, </w:t>
      </w:r>
      <w:bookmarkStart w:id="16455" w:name="_ETM_Q22_378000"/>
      <w:bookmarkEnd w:id="16455"/>
      <w:r>
        <w:rPr>
          <w:rFonts w:hint="cs"/>
          <w:rtl/>
          <w:lang w:eastAsia="he-IL"/>
        </w:rPr>
        <w:t>אחרי זה הייתי בקפלן, אחרי זה הייתי בירושלים – מאות אלפי אנשים.</w:t>
      </w:r>
      <w:bookmarkStart w:id="16456" w:name="_ETM_Q22_383000"/>
      <w:bookmarkEnd w:id="16456"/>
      <w:r>
        <w:rPr>
          <w:rFonts w:hint="cs"/>
          <w:rtl/>
          <w:lang w:eastAsia="he-IL"/>
        </w:rPr>
        <w:t xml:space="preserve"> על כל בן אדם כזה שנמצא ברחוב – אני רואה במשפחה שלי – האבא או האימא</w:t>
      </w:r>
      <w:bookmarkStart w:id="16457" w:name="_ETM_Q22_388000"/>
      <w:bookmarkEnd w:id="16457"/>
      <w:r>
        <w:rPr>
          <w:rFonts w:hint="cs"/>
          <w:rtl/>
          <w:lang w:eastAsia="he-IL"/>
        </w:rPr>
        <w:t xml:space="preserve"> הולכים, האחר נשאר עם הילדים בבית. הרי לא כולם יכולים ללכת בלילה. זאת אומרת, </w:t>
      </w:r>
      <w:bookmarkStart w:id="16458" w:name="_ETM_Q22_395000"/>
      <w:bookmarkEnd w:id="16458"/>
      <w:r>
        <w:rPr>
          <w:rFonts w:hint="cs"/>
          <w:rtl/>
          <w:lang w:eastAsia="he-IL"/>
        </w:rPr>
        <w:t>תכפיל את זה בשתיים. כמיליון איש היו מספיק נחושים בשביל להיות ברחוב. גם אתה, במגזר שלך, כשאתם מפגינים, אתם לא מפגינים בבית, אתם</w:t>
      </w:r>
      <w:bookmarkStart w:id="16459" w:name="_ETM_Q22_406000"/>
      <w:bookmarkEnd w:id="16459"/>
      <w:r>
        <w:rPr>
          <w:rFonts w:hint="cs"/>
          <w:rtl/>
          <w:lang w:eastAsia="he-IL"/>
        </w:rPr>
        <w:t xml:space="preserve"> לא מפגינים בכנסת – אתם יוצאים לרחובות. אתם יוצאים, וההפגנות מאוד מאוד אלימות. כמיליון איש, כשני מיליון איש היו ברחובות, ולא</w:t>
      </w:r>
      <w:bookmarkStart w:id="16460" w:name="_ETM_Q22_418000"/>
      <w:bookmarkEnd w:id="16460"/>
      <w:r>
        <w:rPr>
          <w:rFonts w:hint="cs"/>
          <w:rtl/>
          <w:lang w:eastAsia="he-IL"/>
        </w:rPr>
        <w:t xml:space="preserve"> נסרט שוטר, לא נשרפה ניידת, לא נהרגה אישה ממכולה שגולגלה עליה, לא קרה שום דבר – הפגנות של עם ישראל ללא אלימות. באים ואומרים לממשלה: תקשיבו, </w:t>
      </w:r>
      <w:bookmarkStart w:id="16461" w:name="_ETM_Q22_433000"/>
      <w:bookmarkEnd w:id="16461"/>
      <w:r>
        <w:rPr>
          <w:rFonts w:hint="cs"/>
          <w:rtl/>
          <w:lang w:eastAsia="he-IL"/>
        </w:rPr>
        <w:t xml:space="preserve">זה שיש לכם רוב של 64 בכנסת לא מאפשר לכם לשנות את </w:t>
      </w:r>
      <w:bookmarkStart w:id="16462" w:name="_ETM_Q22_435000"/>
      <w:bookmarkEnd w:id="16462"/>
      <w:r>
        <w:rPr>
          <w:rFonts w:hint="cs"/>
          <w:rtl/>
          <w:lang w:eastAsia="he-IL"/>
        </w:rPr>
        <w:t xml:space="preserve">השיטה הנהוגה כאן מיום הקמת המדינה. </w:t>
      </w:r>
    </w:p>
    <w:p w:rsidR="000C5C1F" w:rsidRDefault="000C5C1F" w:rsidP="000C5C1F">
      <w:pPr>
        <w:rPr>
          <w:rtl/>
          <w:lang w:eastAsia="he-IL"/>
        </w:rPr>
      </w:pPr>
    </w:p>
    <w:p w:rsidR="000C5C1F" w:rsidRDefault="000C5C1F" w:rsidP="000C5C1F">
      <w:pPr>
        <w:pStyle w:val="af8"/>
        <w:keepNext/>
        <w:rPr>
          <w:rtl/>
        </w:rPr>
      </w:pPr>
      <w:bookmarkStart w:id="16463" w:name="ET_interruption_6430_20"/>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463"/>
    </w:p>
    <w:p w:rsidR="000C5C1F" w:rsidRDefault="000C5C1F" w:rsidP="00337201">
      <w:pPr>
        <w:rPr>
          <w:rtl/>
          <w:lang w:eastAsia="he-IL"/>
        </w:rPr>
      </w:pPr>
    </w:p>
    <w:p w:rsidR="000C5C1F" w:rsidRDefault="000C5C1F" w:rsidP="000C5C1F">
      <w:pPr>
        <w:rPr>
          <w:rtl/>
          <w:lang w:eastAsia="he-IL"/>
        </w:rPr>
      </w:pPr>
      <w:bookmarkStart w:id="16464" w:name="_ETM_Q22_440000"/>
      <w:bookmarkEnd w:id="16464"/>
      <w:r>
        <w:rPr>
          <w:rFonts w:hint="cs"/>
          <w:rtl/>
          <w:lang w:eastAsia="he-IL"/>
        </w:rPr>
        <w:t>אתה חייב להתנגד אם אתה מתנגד. תביע</w:t>
      </w:r>
      <w:bookmarkStart w:id="16465" w:name="_ETM_Q22_441000"/>
      <w:bookmarkEnd w:id="16465"/>
      <w:r>
        <w:rPr>
          <w:rFonts w:hint="cs"/>
          <w:rtl/>
          <w:lang w:eastAsia="he-IL"/>
        </w:rPr>
        <w:t xml:space="preserve"> את ההתנגדות, למה אתם סוחפים - - -</w:t>
      </w:r>
    </w:p>
    <w:p w:rsidR="000C5C1F" w:rsidRDefault="000C5C1F" w:rsidP="000C5C1F">
      <w:pPr>
        <w:rPr>
          <w:rtl/>
          <w:lang w:eastAsia="he-IL"/>
        </w:rPr>
      </w:pPr>
    </w:p>
    <w:p w:rsidR="000C5C1F" w:rsidRDefault="000C5C1F" w:rsidP="000C5C1F">
      <w:pPr>
        <w:pStyle w:val="-"/>
        <w:keepNext/>
        <w:rPr>
          <w:rtl/>
        </w:rPr>
      </w:pPr>
      <w:bookmarkStart w:id="16466" w:name="ET_speakercontinue_5766_7"/>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6466"/>
    </w:p>
    <w:p w:rsidR="000C5C1F" w:rsidRDefault="000C5C1F" w:rsidP="000C5C1F">
      <w:pPr>
        <w:rPr>
          <w:rtl/>
          <w:lang w:eastAsia="he-IL"/>
        </w:rPr>
      </w:pPr>
    </w:p>
    <w:p w:rsidR="000C5C1F" w:rsidRDefault="000C5C1F" w:rsidP="000C5C1F">
      <w:pPr>
        <w:rPr>
          <w:rtl/>
          <w:lang w:eastAsia="he-IL"/>
        </w:rPr>
      </w:pPr>
      <w:r>
        <w:rPr>
          <w:rFonts w:hint="cs"/>
          <w:rtl/>
          <w:lang w:eastAsia="he-IL"/>
        </w:rPr>
        <w:t xml:space="preserve">אנחנו לא סוחפים, העם נסחף. </w:t>
      </w:r>
      <w:bookmarkStart w:id="16467" w:name="_ETM_Q22_446000"/>
      <w:bookmarkEnd w:id="16467"/>
      <w:r>
        <w:rPr>
          <w:rFonts w:hint="cs"/>
          <w:rtl/>
          <w:lang w:eastAsia="he-IL"/>
        </w:rPr>
        <w:t>העם יוצא לרחובות. מה אתה חושב, שהם באים בגללי? שאני אומר להם לבוא? הפוך – לפעמים אנחנו נגררים אחריהם, הפוך. יש כאן</w:t>
      </w:r>
      <w:bookmarkStart w:id="16468" w:name="_ETM_Q22_457000"/>
      <w:bookmarkEnd w:id="16468"/>
      <w:r>
        <w:rPr>
          <w:rFonts w:hint="cs"/>
          <w:rtl/>
          <w:lang w:eastAsia="he-IL"/>
        </w:rPr>
        <w:t xml:space="preserve"> מאות אלפי אנשים שיוצאים, אף אחד לא אומר להם לצאת.</w:t>
      </w:r>
      <w:bookmarkStart w:id="16469" w:name="_ETM_Q22_458000"/>
      <w:bookmarkEnd w:id="16469"/>
      <w:r>
        <w:rPr>
          <w:rFonts w:hint="cs"/>
          <w:rtl/>
          <w:lang w:eastAsia="he-IL"/>
        </w:rPr>
        <w:t xml:space="preserve"> אצלנו זה לא כמו אצלכם, שהרב אומר: תצאו – יוצאים; תחזרו הביתה – חוזרים הביתה. </w:t>
      </w:r>
      <w:bookmarkStart w:id="16470" w:name="_ETM_Q22_463000"/>
      <w:bookmarkEnd w:id="16470"/>
      <w:r>
        <w:rPr>
          <w:rFonts w:hint="cs"/>
          <w:rtl/>
          <w:lang w:eastAsia="he-IL"/>
        </w:rPr>
        <w:t xml:space="preserve">אלה אנשים חופשיים, ליברליים, שעושים את מה שהם מרגישים שהם צריכים לעשות. </w:t>
      </w:r>
    </w:p>
    <w:p w:rsidR="000C5C1F" w:rsidRDefault="000C5C1F" w:rsidP="000C5C1F">
      <w:pPr>
        <w:rPr>
          <w:rtl/>
          <w:lang w:eastAsia="he-IL"/>
        </w:rPr>
      </w:pPr>
    </w:p>
    <w:p w:rsidR="000C5C1F" w:rsidRDefault="000C5C1F" w:rsidP="000C5C1F">
      <w:pPr>
        <w:pStyle w:val="af9"/>
        <w:keepNext/>
        <w:rPr>
          <w:rtl/>
        </w:rPr>
      </w:pPr>
      <w:bookmarkStart w:id="16471" w:name="ET_yor_6488_2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471"/>
    </w:p>
    <w:p w:rsidR="000C5C1F" w:rsidRDefault="000C5C1F" w:rsidP="00337201">
      <w:pPr>
        <w:rPr>
          <w:rtl/>
          <w:lang w:eastAsia="he-IL"/>
        </w:rPr>
      </w:pPr>
    </w:p>
    <w:p w:rsidR="000C5C1F" w:rsidRDefault="000C5C1F" w:rsidP="000C5C1F">
      <w:pPr>
        <w:rPr>
          <w:rtl/>
          <w:lang w:eastAsia="he-IL"/>
        </w:rPr>
      </w:pPr>
      <w:bookmarkStart w:id="16472" w:name="_ETM_Q22_468000"/>
      <w:bookmarkEnd w:id="16472"/>
      <w:r>
        <w:rPr>
          <w:rFonts w:hint="cs"/>
          <w:rtl/>
          <w:lang w:eastAsia="he-IL"/>
        </w:rPr>
        <w:t xml:space="preserve">תודה. </w:t>
      </w:r>
    </w:p>
    <w:p w:rsidR="000C5C1F" w:rsidRDefault="000C5C1F" w:rsidP="000C5C1F">
      <w:pPr>
        <w:rPr>
          <w:rtl/>
          <w:lang w:eastAsia="he-IL"/>
        </w:rPr>
      </w:pPr>
    </w:p>
    <w:p w:rsidR="000C5C1F" w:rsidRDefault="000C5C1F" w:rsidP="000C5C1F">
      <w:pPr>
        <w:pStyle w:val="-"/>
        <w:keepNext/>
        <w:rPr>
          <w:rtl/>
        </w:rPr>
      </w:pPr>
      <w:bookmarkStart w:id="16473" w:name="ET_speakercontinue_5766_22"/>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6473"/>
    </w:p>
    <w:p w:rsidR="000C5C1F" w:rsidRDefault="000C5C1F" w:rsidP="00337201">
      <w:pPr>
        <w:rPr>
          <w:rtl/>
          <w:lang w:eastAsia="he-IL"/>
        </w:rPr>
      </w:pPr>
    </w:p>
    <w:p w:rsidR="000C5C1F" w:rsidRDefault="000C5C1F" w:rsidP="000C5C1F">
      <w:pPr>
        <w:rPr>
          <w:rtl/>
          <w:lang w:eastAsia="he-IL"/>
        </w:rPr>
      </w:pPr>
      <w:bookmarkStart w:id="16474" w:name="_ETM_Q22_470000"/>
      <w:bookmarkEnd w:id="16474"/>
      <w:r>
        <w:rPr>
          <w:rFonts w:hint="cs"/>
          <w:rtl/>
          <w:lang w:eastAsia="he-IL"/>
        </w:rPr>
        <w:t>חבל, דווקא נהנינו.</w:t>
      </w:r>
    </w:p>
    <w:p w:rsidR="000C5C1F" w:rsidRDefault="000C5C1F" w:rsidP="000C5C1F">
      <w:pPr>
        <w:rPr>
          <w:rtl/>
          <w:lang w:eastAsia="he-IL"/>
        </w:rPr>
      </w:pPr>
    </w:p>
    <w:p w:rsidR="000C5C1F" w:rsidRDefault="000C5C1F" w:rsidP="000C5C1F">
      <w:pPr>
        <w:pStyle w:val="af9"/>
        <w:keepNext/>
        <w:rPr>
          <w:rtl/>
        </w:rPr>
      </w:pPr>
      <w:bookmarkStart w:id="16475" w:name="ET_yor_6488_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475"/>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תודה רבה לחבר הכנסת רם בן ברק. </w:t>
      </w:r>
      <w:bookmarkStart w:id="16476" w:name="_ETM_Q22_484000"/>
      <w:bookmarkEnd w:id="16476"/>
    </w:p>
    <w:p w:rsidR="000C5C1F" w:rsidRDefault="000C5C1F" w:rsidP="000C5C1F">
      <w:pPr>
        <w:rPr>
          <w:rtl/>
          <w:lang w:eastAsia="he-IL"/>
        </w:rPr>
      </w:pPr>
    </w:p>
    <w:p w:rsidR="000C5C1F" w:rsidRDefault="000C5C1F" w:rsidP="000C5C1F">
      <w:pPr>
        <w:rPr>
          <w:rtl/>
          <w:lang w:eastAsia="he-IL"/>
        </w:rPr>
      </w:pPr>
    </w:p>
    <w:p w:rsidR="000C5C1F" w:rsidRDefault="000C5C1F" w:rsidP="000C5C1F">
      <w:pPr>
        <w:pStyle w:val="a7"/>
        <w:rPr>
          <w:rtl/>
          <w:lang w:eastAsia="he-IL"/>
        </w:rPr>
      </w:pPr>
      <w:bookmarkStart w:id="16477" w:name="ET_subject_מסמכים_שהונחו_על_שולחן__10"/>
      <w:r>
        <w:rPr>
          <w:rStyle w:val="TagStyle"/>
          <w:rFonts w:hint="cs"/>
          <w:rtl/>
        </w:rPr>
        <w:t xml:space="preserve"> &lt;&lt; נושא &gt;&gt; </w:t>
      </w:r>
      <w:bookmarkStart w:id="16478" w:name="_Toc141034699"/>
      <w:bookmarkStart w:id="16479" w:name="_Toc141040466"/>
      <w:bookmarkStart w:id="16480" w:name="_Toc141196875"/>
      <w:bookmarkStart w:id="16481" w:name="_Toc141197139"/>
      <w:r>
        <w:rPr>
          <w:rFonts w:hint="cs"/>
          <w:rtl/>
          <w:lang w:eastAsia="he-IL"/>
        </w:rPr>
        <w:t>מסמכים שהונחו על שולחן הכנסת</w:t>
      </w:r>
      <w:bookmarkEnd w:id="16478"/>
      <w:bookmarkEnd w:id="16479"/>
      <w:bookmarkEnd w:id="16480"/>
      <w:bookmarkEnd w:id="16481"/>
      <w:r>
        <w:rPr>
          <w:rStyle w:val="TagStyle"/>
          <w:rFonts w:hint="cs"/>
          <w:rtl/>
        </w:rPr>
        <w:t xml:space="preserve"> &lt;&lt; נושא &gt;&gt;</w:t>
      </w:r>
      <w:r>
        <w:rPr>
          <w:rFonts w:hint="cs"/>
          <w:rtl/>
          <w:lang w:eastAsia="he-IL"/>
        </w:rPr>
        <w:t xml:space="preserve">   </w:t>
      </w:r>
      <w:bookmarkEnd w:id="16477"/>
    </w:p>
    <w:p w:rsidR="000C5C1F" w:rsidRDefault="000C5C1F" w:rsidP="00337201">
      <w:pPr>
        <w:rPr>
          <w:lang w:eastAsia="he-IL"/>
        </w:rPr>
      </w:pPr>
    </w:p>
    <w:p w:rsidR="000C5C1F" w:rsidRDefault="000C5C1F" w:rsidP="000C5C1F">
      <w:pPr>
        <w:pStyle w:val="af9"/>
        <w:keepNext/>
        <w:rPr>
          <w:rtl/>
        </w:rPr>
      </w:pPr>
      <w:bookmarkStart w:id="16482" w:name="ET_yor_6488_1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482"/>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הודעה לסגנית מזכיר הכנסת. </w:t>
      </w:r>
    </w:p>
    <w:p w:rsidR="000C5C1F" w:rsidRDefault="000C5C1F" w:rsidP="000C5C1F">
      <w:pPr>
        <w:rPr>
          <w:rtl/>
          <w:lang w:eastAsia="he-IL"/>
        </w:rPr>
      </w:pPr>
    </w:p>
    <w:p w:rsidR="000C5C1F" w:rsidRDefault="000C5C1F" w:rsidP="000C5C1F">
      <w:pPr>
        <w:pStyle w:val="a5"/>
        <w:rPr>
          <w:rtl/>
        </w:rPr>
      </w:pPr>
      <w:r>
        <w:rPr>
          <w:rStyle w:val="TagStyle"/>
          <w:rFonts w:hint="cs"/>
          <w:rtl/>
        </w:rPr>
        <w:t xml:space="preserve"> &lt;&lt; דובר &gt;&gt; </w:t>
      </w:r>
      <w:bookmarkStart w:id="16483" w:name="_Toc141040467"/>
      <w:bookmarkStart w:id="16484" w:name="_Toc141196876"/>
      <w:bookmarkStart w:id="16485" w:name="_Toc141197140"/>
      <w:r>
        <w:rPr>
          <w:rFonts w:hint="cs"/>
          <w:rtl/>
        </w:rPr>
        <w:t>סגנית מזכיר הכנסת ראדה חסייסי:</w:t>
      </w:r>
      <w:bookmarkEnd w:id="16483"/>
      <w:bookmarkEnd w:id="16484"/>
      <w:bookmarkEnd w:id="16485"/>
      <w:r>
        <w:rPr>
          <w:rStyle w:val="TagStyle"/>
          <w:rFonts w:hint="cs"/>
          <w:rtl/>
        </w:rPr>
        <w:t xml:space="preserve"> &lt;&lt; דובר &gt;&gt; </w:t>
      </w:r>
      <w:r>
        <w:rPr>
          <w:rFonts w:hint="cs"/>
          <w:rtl/>
        </w:rPr>
        <w:t xml:space="preserve">   </w:t>
      </w:r>
    </w:p>
    <w:p w:rsidR="000C5C1F" w:rsidRDefault="000C5C1F" w:rsidP="00337201">
      <w:pPr>
        <w:rPr>
          <w:rtl/>
          <w:lang w:eastAsia="he-IL"/>
        </w:rPr>
      </w:pPr>
    </w:p>
    <w:p w:rsidR="000C5C1F" w:rsidRDefault="000C5C1F" w:rsidP="000C5C1F">
      <w:pPr>
        <w:rPr>
          <w:rtl/>
          <w:lang w:eastAsia="he-IL"/>
        </w:rPr>
      </w:pPr>
      <w:bookmarkStart w:id="16486" w:name="_ETM_Q22_491000"/>
      <w:bookmarkEnd w:id="16486"/>
      <w:r>
        <w:rPr>
          <w:rFonts w:hint="cs"/>
          <w:rtl/>
          <w:lang w:eastAsia="he-IL"/>
        </w:rPr>
        <w:t>ברשות</w:t>
      </w:r>
      <w:bookmarkStart w:id="16487" w:name="_ETM_Q22_490000"/>
      <w:bookmarkEnd w:id="16487"/>
      <w:r>
        <w:rPr>
          <w:rFonts w:hint="cs"/>
          <w:rtl/>
          <w:lang w:eastAsia="he-IL"/>
        </w:rPr>
        <w:t xml:space="preserve"> יושב-ראש הישיבה, אני מתכבדת להודיעכם, כי הונחה היום על שו</w:t>
      </w:r>
      <w:bookmarkStart w:id="16488" w:name="_ETM_Q22_493000"/>
      <w:bookmarkEnd w:id="16488"/>
      <w:r>
        <w:rPr>
          <w:rFonts w:hint="cs"/>
          <w:rtl/>
          <w:lang w:eastAsia="he-IL"/>
        </w:rPr>
        <w:t xml:space="preserve">לחן הכנסת, </w:t>
      </w:r>
      <w:bookmarkStart w:id="16489" w:name="_ETM_Q22_492000"/>
      <w:bookmarkEnd w:id="16489"/>
      <w:r>
        <w:rPr>
          <w:rFonts w:hint="cs"/>
          <w:rtl/>
          <w:lang w:eastAsia="he-IL"/>
        </w:rPr>
        <w:t>לקריאה שנייה ולקריאה שלישית,</w:t>
      </w:r>
      <w:bookmarkStart w:id="16490" w:name="_ETM_Q22_496000"/>
      <w:bookmarkEnd w:id="16490"/>
      <w:r>
        <w:rPr>
          <w:rFonts w:hint="cs"/>
          <w:rtl/>
          <w:lang w:eastAsia="he-IL"/>
        </w:rPr>
        <w:t xml:space="preserve"> הצעת חוק</w:t>
      </w:r>
      <w:bookmarkStart w:id="16491" w:name="_ETM_Q22_497000"/>
      <w:bookmarkEnd w:id="16491"/>
      <w:r>
        <w:rPr>
          <w:rFonts w:hint="cs"/>
          <w:rtl/>
          <w:lang w:eastAsia="he-IL"/>
        </w:rPr>
        <w:t xml:space="preserve"> להסדר ההימורים בספורט (תיקון מס' 15), התשפ"ג–2023, שהחזירה ועדת הכספים. </w:t>
      </w:r>
      <w:bookmarkStart w:id="16492" w:name="_ETM_Q22_503000"/>
      <w:bookmarkEnd w:id="16492"/>
      <w:r>
        <w:rPr>
          <w:rFonts w:hint="cs"/>
          <w:rtl/>
          <w:lang w:eastAsia="he-IL"/>
        </w:rPr>
        <w:t xml:space="preserve">תודה. </w:t>
      </w:r>
    </w:p>
    <w:p w:rsidR="000C5C1F" w:rsidRDefault="000C5C1F" w:rsidP="000C5C1F">
      <w:pPr>
        <w:rPr>
          <w:rtl/>
          <w:lang w:eastAsia="he-IL"/>
        </w:rPr>
      </w:pPr>
      <w:bookmarkStart w:id="16493" w:name="_ETM_Q22_504000"/>
      <w:bookmarkEnd w:id="16493"/>
    </w:p>
    <w:p w:rsidR="000C5C1F" w:rsidRDefault="000C5C1F" w:rsidP="000C5C1F">
      <w:pPr>
        <w:pStyle w:val="af9"/>
        <w:keepNext/>
        <w:rPr>
          <w:rtl/>
        </w:rPr>
      </w:pPr>
      <w:bookmarkStart w:id="16494" w:name="ET_yor_6488_2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494"/>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תודה. </w:t>
      </w:r>
    </w:p>
    <w:p w:rsidR="000C5C1F" w:rsidRDefault="000C5C1F" w:rsidP="000C5C1F">
      <w:pPr>
        <w:rPr>
          <w:rtl/>
        </w:rPr>
      </w:pPr>
      <w:bookmarkStart w:id="16495" w:name="_ETM_Q22_489000"/>
      <w:bookmarkStart w:id="16496" w:name="ET_hatsach_640328_12"/>
      <w:bookmarkEnd w:id="16495"/>
    </w:p>
    <w:p w:rsidR="000C5C1F" w:rsidRDefault="000C5C1F" w:rsidP="000C5C1F">
      <w:pPr>
        <w:rPr>
          <w:rtl/>
        </w:rPr>
      </w:pPr>
    </w:p>
    <w:p w:rsidR="000C5C1F" w:rsidRDefault="000C5C1F" w:rsidP="000C5C1F">
      <w:pPr>
        <w:pStyle w:val="a7"/>
        <w:rPr>
          <w:rtl/>
          <w:lang w:eastAsia="he-IL"/>
        </w:rPr>
      </w:pPr>
      <w:bookmarkStart w:id="16497" w:name="_ETM_Q22_488000"/>
      <w:bookmarkEnd w:id="16497"/>
      <w:r>
        <w:rPr>
          <w:rStyle w:val="TagStyle"/>
          <w:rFonts w:hint="cs"/>
          <w:rtl/>
        </w:rPr>
        <w:t xml:space="preserve"> &lt;&lt; הצח &gt;&gt; </w:t>
      </w:r>
      <w:bookmarkStart w:id="16498" w:name="_Toc141034700"/>
      <w:bookmarkStart w:id="16499" w:name="_Toc141040468"/>
      <w:bookmarkStart w:id="16500" w:name="_Toc141196877"/>
      <w:bookmarkStart w:id="16501" w:name="_Toc141197141"/>
      <w:r>
        <w:rPr>
          <w:rFonts w:hint="cs"/>
          <w:rtl/>
          <w:lang w:eastAsia="he-IL"/>
        </w:rPr>
        <w:t>הצעת חוק-יסוד: השפיטה (תיקון מס' 4)</w:t>
      </w:r>
      <w:bookmarkEnd w:id="16498"/>
      <w:bookmarkEnd w:id="16499"/>
      <w:bookmarkEnd w:id="16500"/>
      <w:bookmarkEnd w:id="16501"/>
      <w:r>
        <w:rPr>
          <w:rStyle w:val="TagStyle"/>
          <w:rFonts w:hint="cs"/>
          <w:rtl/>
        </w:rPr>
        <w:t xml:space="preserve"> &lt;&lt; הצח &gt;&gt;</w:t>
      </w:r>
      <w:r>
        <w:rPr>
          <w:rFonts w:hint="cs"/>
          <w:rtl/>
          <w:lang w:eastAsia="he-IL"/>
        </w:rPr>
        <w:t xml:space="preserve">   </w:t>
      </w:r>
      <w:bookmarkEnd w:id="16496"/>
    </w:p>
    <w:p w:rsidR="000C5C1F" w:rsidRDefault="000C5C1F" w:rsidP="000C5C1F">
      <w:pPr>
        <w:pStyle w:val="-1"/>
        <w:rPr>
          <w:lang w:eastAsia="he-IL"/>
        </w:rPr>
      </w:pPr>
      <w:r>
        <w:rPr>
          <w:rFonts w:hint="cs"/>
          <w:rtl/>
          <w:lang w:eastAsia="he-IL"/>
        </w:rPr>
        <w:t>(קריאה שנייה וקריאה שלישית)</w:t>
      </w:r>
    </w:p>
    <w:p w:rsidR="000C5C1F" w:rsidRDefault="000C5C1F" w:rsidP="000C5C1F">
      <w:pPr>
        <w:rPr>
          <w:rtl/>
          <w:lang w:eastAsia="he-IL"/>
        </w:rPr>
      </w:pPr>
    </w:p>
    <w:p w:rsidR="000C5C1F" w:rsidRDefault="000C5C1F" w:rsidP="000C5C1F">
      <w:pPr>
        <w:pStyle w:val="af9"/>
        <w:keepNext/>
        <w:rPr>
          <w:rtl/>
        </w:rPr>
      </w:pPr>
      <w:bookmarkStart w:id="16502" w:name="ET_yor_6488_2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502"/>
    </w:p>
    <w:p w:rsidR="000C5C1F" w:rsidRDefault="000C5C1F" w:rsidP="00337201">
      <w:pPr>
        <w:rPr>
          <w:rtl/>
          <w:lang w:eastAsia="he-IL"/>
        </w:rPr>
      </w:pPr>
    </w:p>
    <w:p w:rsidR="000C5C1F" w:rsidRDefault="000C5C1F" w:rsidP="000C5C1F">
      <w:pPr>
        <w:rPr>
          <w:rtl/>
          <w:lang w:eastAsia="he-IL"/>
        </w:rPr>
      </w:pPr>
      <w:bookmarkStart w:id="16503" w:name="_ETM_Q22_505000"/>
      <w:bookmarkEnd w:id="16503"/>
      <w:r>
        <w:rPr>
          <w:rFonts w:hint="cs"/>
          <w:rtl/>
          <w:lang w:eastAsia="he-IL"/>
        </w:rPr>
        <w:t xml:space="preserve">חבר הכנסת יבגני סובה, בבקשה. </w:t>
      </w:r>
    </w:p>
    <w:p w:rsidR="000C5C1F" w:rsidRDefault="000C5C1F" w:rsidP="000C5C1F">
      <w:pPr>
        <w:rPr>
          <w:rtl/>
          <w:lang w:eastAsia="he-IL"/>
        </w:rPr>
      </w:pPr>
    </w:p>
    <w:p w:rsidR="000C5C1F" w:rsidRDefault="000C5C1F" w:rsidP="000C5C1F">
      <w:pPr>
        <w:pStyle w:val="a5"/>
        <w:rPr>
          <w:rtl/>
        </w:rPr>
      </w:pPr>
      <w:bookmarkStart w:id="16504" w:name="ET_speaker_5792_466"/>
      <w:r>
        <w:rPr>
          <w:rStyle w:val="TagStyle"/>
          <w:rFonts w:hint="cs"/>
          <w:rtl/>
        </w:rPr>
        <w:t xml:space="preserve"> &lt;&lt; דובר &gt;&gt; </w:t>
      </w:r>
      <w:bookmarkStart w:id="16505" w:name="_Toc141040469"/>
      <w:bookmarkStart w:id="16506" w:name="_Toc141196878"/>
      <w:bookmarkStart w:id="16507" w:name="_Toc141197142"/>
      <w:r>
        <w:rPr>
          <w:rFonts w:hint="cs"/>
          <w:rtl/>
        </w:rPr>
        <w:t>יבגני סובה (ישראל ביתנו):</w:t>
      </w:r>
      <w:bookmarkEnd w:id="16505"/>
      <w:bookmarkEnd w:id="16506"/>
      <w:bookmarkEnd w:id="16507"/>
      <w:r>
        <w:rPr>
          <w:rStyle w:val="TagStyle"/>
          <w:rFonts w:hint="cs"/>
          <w:rtl/>
        </w:rPr>
        <w:t xml:space="preserve"> &lt;&lt; דובר &gt;&gt;</w:t>
      </w:r>
      <w:bookmarkEnd w:id="16504"/>
      <w:r>
        <w:rPr>
          <w:rStyle w:val="TagStyle"/>
          <w:rFonts w:hint="cs"/>
          <w:rtl/>
        </w:rPr>
        <w:t xml:space="preserve"> </w:t>
      </w:r>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אדוני היושב-ראש, </w:t>
      </w:r>
      <w:bookmarkStart w:id="16508" w:name="_ETM_Q22_513000"/>
      <w:bookmarkEnd w:id="16508"/>
      <w:r>
        <w:rPr>
          <w:rFonts w:hint="cs"/>
          <w:rtl/>
          <w:lang w:eastAsia="he-IL"/>
        </w:rPr>
        <w:t>כבוד השר, כנסת נכבדה, תמיד כשאני אומר "כנסת נכבדה" ואני</w:t>
      </w:r>
      <w:bookmarkStart w:id="16509" w:name="_ETM_Q22_517000"/>
      <w:bookmarkEnd w:id="16509"/>
      <w:r>
        <w:rPr>
          <w:rFonts w:hint="cs"/>
          <w:rtl/>
          <w:lang w:eastAsia="he-IL"/>
        </w:rPr>
        <w:t xml:space="preserve"> רואה אולם ריק, ליבי נחמץ. דרך אגב, זה לא קשור</w:t>
      </w:r>
      <w:bookmarkStart w:id="16510" w:name="_ETM_Q22_522000"/>
      <w:bookmarkEnd w:id="16510"/>
      <w:r>
        <w:rPr>
          <w:rFonts w:hint="cs"/>
          <w:rtl/>
          <w:lang w:eastAsia="he-IL"/>
        </w:rPr>
        <w:t xml:space="preserve"> רק לאופוזיציה, גם לקואליציה. </w:t>
      </w:r>
    </w:p>
    <w:p w:rsidR="000C5C1F" w:rsidRDefault="000C5C1F" w:rsidP="000C5C1F">
      <w:pPr>
        <w:rPr>
          <w:rtl/>
          <w:lang w:eastAsia="he-IL"/>
        </w:rPr>
      </w:pPr>
    </w:p>
    <w:p w:rsidR="000C5C1F" w:rsidRDefault="000C5C1F" w:rsidP="000C5C1F">
      <w:pPr>
        <w:rPr>
          <w:rtl/>
          <w:lang w:eastAsia="he-IL"/>
        </w:rPr>
      </w:pPr>
      <w:r>
        <w:rPr>
          <w:rFonts w:hint="cs"/>
          <w:rtl/>
          <w:lang w:eastAsia="he-IL"/>
        </w:rPr>
        <w:t>אדוני היושב-ראש, בשבוע שעבר הגעתי</w:t>
      </w:r>
      <w:bookmarkStart w:id="16511" w:name="_ETM_Q22_530000"/>
      <w:bookmarkEnd w:id="16511"/>
      <w:r>
        <w:rPr>
          <w:rFonts w:hint="cs"/>
          <w:rtl/>
          <w:lang w:eastAsia="he-IL"/>
        </w:rPr>
        <w:t xml:space="preserve"> להפגנה בקריית גת. בשבעת החודשים האחרונים יצא לי להשתתף בכמה הפגנות ברחבי הארץ – פתח תקווה, ירושלים, ראשון לציון</w:t>
      </w:r>
      <w:bookmarkStart w:id="16512" w:name="_ETM_Q22_539000"/>
      <w:bookmarkEnd w:id="16512"/>
      <w:r>
        <w:rPr>
          <w:rFonts w:hint="cs"/>
          <w:rtl/>
          <w:lang w:eastAsia="he-IL"/>
        </w:rPr>
        <w:t xml:space="preserve"> ומקומות נוספים. הגעתי לעיר שנחשבת עיר של הקואליציה, היא לא</w:t>
      </w:r>
      <w:bookmarkStart w:id="16513" w:name="_ETM_Q22_545000"/>
      <w:bookmarkEnd w:id="16513"/>
      <w:r>
        <w:rPr>
          <w:rFonts w:hint="cs"/>
          <w:rtl/>
          <w:lang w:eastAsia="he-IL"/>
        </w:rPr>
        <w:t xml:space="preserve"> עיר של האופוזיציה – עיר ליכודית דתית, בואו</w:t>
      </w:r>
      <w:bookmarkStart w:id="16514" w:name="_ETM_Q22_548000"/>
      <w:bookmarkEnd w:id="16514"/>
      <w:r>
        <w:rPr>
          <w:rFonts w:hint="cs"/>
          <w:rtl/>
          <w:lang w:eastAsia="he-IL"/>
        </w:rPr>
        <w:t xml:space="preserve"> נקרא לזה ככה. </w:t>
      </w:r>
      <w:bookmarkStart w:id="16515" w:name="_ETM_Q22_553000"/>
      <w:bookmarkEnd w:id="16515"/>
      <w:r>
        <w:rPr>
          <w:rFonts w:hint="cs"/>
          <w:rtl/>
          <w:lang w:eastAsia="he-IL"/>
        </w:rPr>
        <w:t xml:space="preserve">להפגנה נגד הרפורמה הגיעו לא מעט מתושבי </w:t>
      </w:r>
      <w:bookmarkStart w:id="16516" w:name="_ETM_Q22_561000"/>
      <w:bookmarkEnd w:id="16516"/>
      <w:r>
        <w:rPr>
          <w:rFonts w:hint="cs"/>
          <w:rtl/>
          <w:lang w:eastAsia="he-IL"/>
        </w:rPr>
        <w:t xml:space="preserve">המקום, מאות מאות של אנשים. מול המוחים בא קומץ קטן </w:t>
      </w:r>
      <w:bookmarkStart w:id="16517" w:name="_ETM_Q22_569000"/>
      <w:bookmarkEnd w:id="16517"/>
      <w:r>
        <w:rPr>
          <w:rFonts w:hint="cs"/>
          <w:rtl/>
          <w:lang w:eastAsia="he-IL"/>
        </w:rPr>
        <w:t xml:space="preserve">של אנשים עם דגל של מפלגת הליכוד. מצד אחד מאות </w:t>
      </w:r>
      <w:bookmarkStart w:id="16518" w:name="_ETM_Q22_576000"/>
      <w:bookmarkEnd w:id="16518"/>
      <w:r>
        <w:rPr>
          <w:rFonts w:hint="cs"/>
          <w:rtl/>
          <w:lang w:eastAsia="he-IL"/>
        </w:rPr>
        <w:t>דגלים של מדינת ישראל, ומהצד השני שלושה, ארבעה, אולי חמישה</w:t>
      </w:r>
      <w:bookmarkStart w:id="16519" w:name="_ETM_Q22_582000"/>
      <w:bookmarkEnd w:id="16519"/>
      <w:r>
        <w:rPr>
          <w:rFonts w:hint="cs"/>
          <w:rtl/>
          <w:lang w:eastAsia="he-IL"/>
        </w:rPr>
        <w:t xml:space="preserve"> אנשים עם דגלי הליכוד. אני חייב לציין שכל אחד החזיק</w:t>
      </w:r>
      <w:bookmarkStart w:id="16520" w:name="_ETM_Q22_587000"/>
      <w:bookmarkEnd w:id="16520"/>
      <w:r>
        <w:rPr>
          <w:rFonts w:hint="cs"/>
          <w:rtl/>
          <w:lang w:eastAsia="he-IL"/>
        </w:rPr>
        <w:t xml:space="preserve"> את הדגל שלו בגאווה. אלה מהקומץ הקטן החזיקו בגאווה </w:t>
      </w:r>
      <w:bookmarkStart w:id="16521" w:name="_ETM_Q22_593000"/>
      <w:bookmarkEnd w:id="16521"/>
      <w:r>
        <w:rPr>
          <w:rFonts w:hint="cs"/>
          <w:rtl/>
          <w:lang w:eastAsia="he-IL"/>
        </w:rPr>
        <w:t>את דגל המפלגה שהם הצביעו לה – אני מניח</w:t>
      </w:r>
      <w:bookmarkStart w:id="16522" w:name="_ETM_Q22_594000"/>
      <w:bookmarkEnd w:id="16522"/>
      <w:r>
        <w:rPr>
          <w:rFonts w:hint="cs"/>
          <w:rtl/>
          <w:lang w:eastAsia="he-IL"/>
        </w:rPr>
        <w:t xml:space="preserve"> שהם הצביעו בבחירות האחרונות – ובצד השני, בצד שאני הייתי בו, </w:t>
      </w:r>
      <w:bookmarkStart w:id="16523" w:name="_ETM_Q22_601000"/>
      <w:bookmarkEnd w:id="16523"/>
      <w:r>
        <w:rPr>
          <w:rFonts w:hint="cs"/>
          <w:rtl/>
          <w:lang w:eastAsia="he-IL"/>
        </w:rPr>
        <w:t xml:space="preserve">מאות אנשים החזיקו בגאווה את דגל המדינה. </w:t>
      </w:r>
    </w:p>
    <w:p w:rsidR="000C5C1F" w:rsidRDefault="000C5C1F" w:rsidP="000C5C1F">
      <w:pPr>
        <w:rPr>
          <w:rtl/>
          <w:lang w:eastAsia="he-IL"/>
        </w:rPr>
      </w:pPr>
    </w:p>
    <w:p w:rsidR="000C5C1F" w:rsidRDefault="000C5C1F" w:rsidP="000C5C1F">
      <w:pPr>
        <w:rPr>
          <w:rtl/>
          <w:lang w:eastAsia="he-IL"/>
        </w:rPr>
      </w:pPr>
      <w:bookmarkStart w:id="16524" w:name="_ETM_Q22_526000"/>
      <w:bookmarkEnd w:id="16524"/>
      <w:r>
        <w:rPr>
          <w:rFonts w:hint="cs"/>
          <w:rtl/>
          <w:lang w:eastAsia="he-IL"/>
        </w:rPr>
        <w:t>ואז, כשהתחלתי לדבר</w:t>
      </w:r>
      <w:bookmarkStart w:id="16525" w:name="_ETM_Q22_608000"/>
      <w:bookmarkEnd w:id="16525"/>
      <w:r>
        <w:rPr>
          <w:rFonts w:hint="cs"/>
          <w:rtl/>
          <w:lang w:eastAsia="he-IL"/>
        </w:rPr>
        <w:t xml:space="preserve"> ופניתי למשתתפי המחאה, שמעתי קריאות מהקומץ הקטן. </w:t>
      </w:r>
      <w:bookmarkStart w:id="16526" w:name="_ETM_Q22_618000"/>
      <w:bookmarkEnd w:id="16526"/>
      <w:r>
        <w:rPr>
          <w:rFonts w:hint="cs"/>
          <w:rtl/>
          <w:lang w:eastAsia="he-IL"/>
        </w:rPr>
        <w:t xml:space="preserve">קודם כול אמרתי, זכות ההפגנה היא זכות שניתנת בכל </w:t>
      </w:r>
      <w:bookmarkStart w:id="16527" w:name="_ETM_Q22_624000"/>
      <w:bookmarkEnd w:id="16527"/>
      <w:r>
        <w:rPr>
          <w:rFonts w:hint="cs"/>
          <w:rtl/>
          <w:lang w:eastAsia="he-IL"/>
        </w:rPr>
        <w:t>משטר, בכל מדינה דמוקרטית. צריך לכבד את אלה, וצריך לכבד</w:t>
      </w:r>
      <w:bookmarkStart w:id="16528" w:name="_ETM_Q22_630000"/>
      <w:bookmarkEnd w:id="16528"/>
      <w:r>
        <w:rPr>
          <w:rFonts w:hint="cs"/>
          <w:rtl/>
          <w:lang w:eastAsia="he-IL"/>
        </w:rPr>
        <w:t xml:space="preserve"> את אלה. כל אחד רשאי להביע את מה</w:t>
      </w:r>
      <w:bookmarkStart w:id="16529" w:name="_ETM_Q22_632000"/>
      <w:bookmarkEnd w:id="16529"/>
      <w:r>
        <w:rPr>
          <w:rFonts w:hint="cs"/>
          <w:rtl/>
          <w:lang w:eastAsia="he-IL"/>
        </w:rPr>
        <w:t xml:space="preserve"> שהוא חושב במסגרת החוק, וכמובן, כל אחד צריך גם להקשיב </w:t>
      </w:r>
      <w:bookmarkStart w:id="16530" w:name="_ETM_Q22_641000"/>
      <w:bookmarkEnd w:id="16530"/>
      <w:r>
        <w:rPr>
          <w:rFonts w:hint="cs"/>
          <w:rtl/>
          <w:lang w:eastAsia="he-IL"/>
        </w:rPr>
        <w:t xml:space="preserve">לצד השני, כי כולנו חיים במדינה אחת. </w:t>
      </w:r>
      <w:bookmarkStart w:id="16531" w:name="_ETM_Q22_646000"/>
      <w:bookmarkStart w:id="16532" w:name="_ETM_Q22_647000"/>
      <w:bookmarkEnd w:id="16531"/>
      <w:bookmarkEnd w:id="16532"/>
      <w:r>
        <w:rPr>
          <w:rFonts w:hint="cs"/>
          <w:rtl/>
          <w:lang w:eastAsia="he-IL"/>
        </w:rPr>
        <w:t xml:space="preserve">ואז, כאשר שמעתי </w:t>
      </w:r>
      <w:bookmarkStart w:id="16533" w:name="_ETM_Q22_649000"/>
      <w:bookmarkEnd w:id="16533"/>
      <w:r>
        <w:rPr>
          <w:rFonts w:hint="cs"/>
          <w:rtl/>
          <w:lang w:eastAsia="he-IL"/>
        </w:rPr>
        <w:t>את הקללות והצעקות של הקומץ הקטן, באותו רגע הבנתי שהרוב,</w:t>
      </w:r>
      <w:bookmarkStart w:id="16534" w:name="_ETM_Q22_658000"/>
      <w:bookmarkEnd w:id="16534"/>
      <w:r>
        <w:rPr>
          <w:rFonts w:hint="cs"/>
          <w:rtl/>
          <w:lang w:eastAsia="he-IL"/>
        </w:rPr>
        <w:t xml:space="preserve"> שאני הייתי בחלק שלו, ינצח בסוף. ואתם יודעים למה הרוב</w:t>
      </w:r>
      <w:bookmarkStart w:id="16535" w:name="_ETM_Q22_663000"/>
      <w:bookmarkEnd w:id="16535"/>
      <w:r>
        <w:rPr>
          <w:rFonts w:hint="cs"/>
          <w:rtl/>
          <w:lang w:eastAsia="he-IL"/>
        </w:rPr>
        <w:t xml:space="preserve"> הזה ינצח? משום שהרוב הזה, שעומד עם דגל המדינה, נלחם </w:t>
      </w:r>
      <w:bookmarkStart w:id="16536" w:name="_ETM_Q22_671000"/>
      <w:bookmarkEnd w:id="16536"/>
      <w:r>
        <w:rPr>
          <w:rFonts w:hint="cs"/>
          <w:rtl/>
          <w:lang w:eastAsia="he-IL"/>
        </w:rPr>
        <w:t xml:space="preserve">על המדינה, ולא עבור המפלגה שאת הדגל שלה הוא מחזיק בידיו. </w:t>
      </w:r>
      <w:bookmarkStart w:id="16537" w:name="_ETM_Q22_678000"/>
      <w:bookmarkEnd w:id="16537"/>
      <w:r>
        <w:rPr>
          <w:rFonts w:hint="cs"/>
          <w:rtl/>
          <w:lang w:eastAsia="he-IL"/>
        </w:rPr>
        <w:t>וזאת</w:t>
      </w:r>
      <w:bookmarkStart w:id="16538" w:name="_ETM_Q22_682000"/>
      <w:bookmarkEnd w:id="16538"/>
      <w:r>
        <w:rPr>
          <w:rFonts w:hint="cs"/>
          <w:rtl/>
          <w:lang w:eastAsia="he-IL"/>
        </w:rPr>
        <w:t xml:space="preserve"> בעצם הנוסחה, אדוני השר: אתה יכול לצאת עם דגל המפלגה – אתה תפסיד; מי שיוצא עם דגל המדינה בסוף מנצח, כי האינטרס של המדינה מעל הכול. </w:t>
      </w:r>
    </w:p>
    <w:p w:rsidR="000C5C1F" w:rsidRDefault="000C5C1F" w:rsidP="000C5C1F">
      <w:pPr>
        <w:rPr>
          <w:rtl/>
          <w:lang w:eastAsia="he-IL"/>
        </w:rPr>
      </w:pPr>
    </w:p>
    <w:p w:rsidR="000C5C1F" w:rsidRDefault="000C5C1F" w:rsidP="000C5C1F">
      <w:pPr>
        <w:rPr>
          <w:rtl/>
        </w:rPr>
      </w:pPr>
      <w:bookmarkStart w:id="16539" w:name="_ETM_Q22_697000"/>
      <w:bookmarkEnd w:id="16539"/>
      <w:r>
        <w:rPr>
          <w:rFonts w:hint="cs"/>
          <w:rtl/>
          <w:lang w:eastAsia="he-IL"/>
        </w:rPr>
        <w:t>אני בארץ 26 שנה.</w:t>
      </w:r>
      <w:bookmarkStart w:id="16540" w:name="_ETM_Q22_701000"/>
      <w:bookmarkEnd w:id="16540"/>
      <w:r>
        <w:rPr>
          <w:rFonts w:hint="cs"/>
          <w:rtl/>
          <w:lang w:eastAsia="he-IL"/>
        </w:rPr>
        <w:t xml:space="preserve"> עליתי כשהייתי בן 17. 15 שנה הייתי פרשן מדיני-פוליטי, ארבע וחצי שנים אני כאן בכנסת כחבר כנסת. מעולם לא זכור </w:t>
      </w:r>
      <w:bookmarkStart w:id="16541" w:name="_ETM_Q22_712000"/>
      <w:bookmarkEnd w:id="16541"/>
      <w:r>
        <w:rPr>
          <w:rFonts w:hint="cs"/>
          <w:rtl/>
          <w:lang w:eastAsia="he-IL"/>
        </w:rPr>
        <w:t>לי מצב כמו שהגענו אליו. אני מכיר היטב את ההיסטוריה</w:t>
      </w:r>
      <w:bookmarkStart w:id="16542" w:name="_ETM_Q22_718000"/>
      <w:bookmarkEnd w:id="16542"/>
      <w:r>
        <w:rPr>
          <w:rFonts w:hint="cs"/>
          <w:rtl/>
          <w:lang w:eastAsia="he-IL"/>
        </w:rPr>
        <w:t xml:space="preserve"> הפוליטית של מדינת ישראל – כמובן, יש דברים שכולנו לא יודעים, אבל לומדים. ידענו לנהל</w:t>
      </w:r>
      <w:bookmarkStart w:id="16543" w:name="_ETM_Q22_726000"/>
      <w:bookmarkEnd w:id="16543"/>
      <w:r>
        <w:rPr>
          <w:rFonts w:hint="cs"/>
          <w:rtl/>
          <w:lang w:eastAsia="he-IL"/>
        </w:rPr>
        <w:t xml:space="preserve"> ויכוחים סוערים; מי שהיו פה לפנינו ידעו לנהל ויכוחים נועזים, קשים, עם דמעות וצעקות בבית הזה. דרך אגב, אדוני השר, אתה יודע </w:t>
      </w:r>
      <w:bookmarkStart w:id="16544" w:name="_ETM_Q22_737000"/>
      <w:bookmarkEnd w:id="16544"/>
      <w:r>
        <w:rPr>
          <w:rFonts w:hint="cs"/>
          <w:rtl/>
          <w:lang w:eastAsia="he-IL"/>
        </w:rPr>
        <w:t>כמה אנשים זכו להיות חברי כנסת בהיסטוריה של מדינת ישראל? מכל העם הגדול שלנו – כמה אנשים, לדעתך?</w:t>
      </w:r>
      <w:bookmarkStart w:id="16545" w:name="_ETM_Q22_745000"/>
      <w:bookmarkEnd w:id="16545"/>
      <w:r>
        <w:rPr>
          <w:rFonts w:hint="cs"/>
          <w:rtl/>
          <w:lang w:eastAsia="he-IL"/>
        </w:rPr>
        <w:t xml:space="preserve"> זרוק מספר. כמה אנשים זכו לשבת במקומות שבהם אנחנו יושבים באולם הזה? קצת למעלה מ-1,000 איש. </w:t>
      </w:r>
      <w:bookmarkStart w:id="16546" w:name="TOR_Q23"/>
      <w:bookmarkEnd w:id="16546"/>
      <w:r>
        <w:rPr>
          <w:rFonts w:hint="cs"/>
          <w:rtl/>
        </w:rPr>
        <w:t xml:space="preserve">75 שנה המדינה שלנו קיימת. הכנסת הזאת היא הכנסת העשרים-וחמש, הממשלה נדמה לי היא הממשלה השלושים-ושש, אם אני זוכר נכון, ועדיין קצת יותר מ-1,000 איש בסך הכול זכו </w:t>
      </w:r>
      <w:bookmarkStart w:id="16547" w:name="_ETM_Q23_176000"/>
      <w:bookmarkEnd w:id="16547"/>
      <w:r>
        <w:rPr>
          <w:rFonts w:hint="cs"/>
          <w:rtl/>
        </w:rPr>
        <w:t>להיבחר לכנסת ישראל ולייצג את עמנו.</w:t>
      </w:r>
    </w:p>
    <w:p w:rsidR="000C5C1F" w:rsidRDefault="000C5C1F" w:rsidP="000C5C1F">
      <w:pPr>
        <w:ind w:firstLine="0"/>
        <w:rPr>
          <w:rtl/>
        </w:rPr>
      </w:pPr>
      <w:bookmarkStart w:id="16548" w:name="_ETM_Q23_180000"/>
      <w:bookmarkEnd w:id="16548"/>
    </w:p>
    <w:p w:rsidR="000C5C1F" w:rsidRDefault="000C5C1F" w:rsidP="000C5C1F">
      <w:pPr>
        <w:rPr>
          <w:rtl/>
        </w:rPr>
      </w:pPr>
      <w:r>
        <w:rPr>
          <w:rFonts w:hint="cs"/>
          <w:rtl/>
        </w:rPr>
        <w:t xml:space="preserve">הוויכוחים היו פה סוערים, החל מהסכם השילומים בשנות החמישים - - </w:t>
      </w:r>
      <w:bookmarkStart w:id="16549" w:name="_ETM_Q23_191000"/>
      <w:bookmarkEnd w:id="16549"/>
    </w:p>
    <w:p w:rsidR="000C5C1F" w:rsidRDefault="000C5C1F" w:rsidP="000C5C1F">
      <w:pPr>
        <w:rPr>
          <w:rtl/>
        </w:rPr>
      </w:pPr>
    </w:p>
    <w:p w:rsidR="000C5C1F" w:rsidRDefault="000C5C1F" w:rsidP="000C5C1F">
      <w:pPr>
        <w:pStyle w:val="af8"/>
        <w:keepNext/>
        <w:rPr>
          <w:rtl/>
        </w:rPr>
      </w:pPr>
      <w:bookmarkStart w:id="16550" w:name="ET_interruption_6430_3"/>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550"/>
    </w:p>
    <w:p w:rsidR="000C5C1F" w:rsidRDefault="000C5C1F" w:rsidP="00337201">
      <w:pPr>
        <w:rPr>
          <w:rtl/>
          <w:lang w:eastAsia="he-IL"/>
        </w:rPr>
      </w:pPr>
    </w:p>
    <w:p w:rsidR="000C5C1F" w:rsidRDefault="000C5C1F" w:rsidP="000C5C1F">
      <w:pPr>
        <w:rPr>
          <w:rtl/>
          <w:lang w:eastAsia="he-IL"/>
        </w:rPr>
      </w:pPr>
      <w:r>
        <w:rPr>
          <w:rFonts w:hint="cs"/>
          <w:rtl/>
          <w:lang w:eastAsia="he-IL"/>
        </w:rPr>
        <w:t>מאיר וילנר היה לפני.</w:t>
      </w:r>
    </w:p>
    <w:p w:rsidR="000C5C1F" w:rsidRDefault="000C5C1F" w:rsidP="000C5C1F">
      <w:pPr>
        <w:rPr>
          <w:rtl/>
          <w:lang w:eastAsia="he-IL"/>
        </w:rPr>
      </w:pPr>
    </w:p>
    <w:p w:rsidR="000C5C1F" w:rsidRDefault="000C5C1F" w:rsidP="000C5C1F">
      <w:pPr>
        <w:pStyle w:val="-"/>
        <w:keepNext/>
        <w:rPr>
          <w:rtl/>
        </w:rPr>
      </w:pPr>
      <w:bookmarkStart w:id="16551" w:name="ET_speakercontinue_5792_4"/>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551"/>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 - היו ויכוחים על החינוך, היו ויכוחים בין המלחמות, </w:t>
      </w:r>
      <w:bookmarkStart w:id="16552" w:name="_ETM_Q23_199000"/>
      <w:bookmarkEnd w:id="16552"/>
      <w:r>
        <w:rPr>
          <w:rFonts w:hint="cs"/>
          <w:rtl/>
          <w:lang w:eastAsia="he-IL"/>
        </w:rPr>
        <w:t xml:space="preserve">היו גם ויכוחים על פינוי ימית. כמה ויכוחים היו פה בשנות השמונים, בשנות התשעים, בהסכמי אוסלו, בהתנתקות. הופכים את ההיסטוריה כפי שנוח היום להסתכל עליה – אני מדבר בעיקר על שרי </w:t>
      </w:r>
      <w:bookmarkStart w:id="16553" w:name="_ETM_Q23_213000"/>
      <w:bookmarkEnd w:id="16553"/>
      <w:r>
        <w:rPr>
          <w:rFonts w:hint="cs"/>
          <w:rtl/>
          <w:lang w:eastAsia="he-IL"/>
        </w:rPr>
        <w:t xml:space="preserve">הליכוד: מאשימים את האופוזיציה בהתנתקות, כשהליכוד העביר את ההתנתקות, </w:t>
      </w:r>
      <w:bookmarkStart w:id="16554" w:name="_ETM_Q23_220000"/>
      <w:bookmarkEnd w:id="16554"/>
      <w:r>
        <w:rPr>
          <w:rFonts w:hint="cs"/>
          <w:rtl/>
          <w:lang w:eastAsia="he-IL"/>
        </w:rPr>
        <w:t xml:space="preserve">כשהליכוד הצביע על ההתנתקות. והם מלמדים את הדור של היום היסטוריה מעוותת. כאילו שאין אנשים שיזכרו, בדור העתידי, מי הצביע. </w:t>
      </w:r>
    </w:p>
    <w:p w:rsidR="000C5C1F" w:rsidRDefault="000C5C1F" w:rsidP="000C5C1F">
      <w:pPr>
        <w:rPr>
          <w:rtl/>
          <w:lang w:eastAsia="he-IL"/>
        </w:rPr>
      </w:pPr>
      <w:bookmarkStart w:id="16555" w:name="_ETM_Q23_240041"/>
      <w:bookmarkStart w:id="16556" w:name="_ETM_Q23_240091"/>
      <w:bookmarkEnd w:id="16555"/>
      <w:bookmarkEnd w:id="16556"/>
    </w:p>
    <w:p w:rsidR="000C5C1F" w:rsidRDefault="000C5C1F" w:rsidP="000C5C1F">
      <w:pPr>
        <w:rPr>
          <w:rtl/>
          <w:lang w:eastAsia="he-IL"/>
        </w:rPr>
      </w:pPr>
      <w:bookmarkStart w:id="16557" w:name="_ETM_Q23_240621"/>
      <w:bookmarkStart w:id="16558" w:name="_ETM_Q23_240657"/>
      <w:bookmarkEnd w:id="16557"/>
      <w:bookmarkEnd w:id="16558"/>
      <w:r>
        <w:rPr>
          <w:rFonts w:hint="cs"/>
          <w:rtl/>
          <w:lang w:eastAsia="he-IL"/>
        </w:rPr>
        <w:t xml:space="preserve">ברור </w:t>
      </w:r>
      <w:bookmarkStart w:id="16559" w:name="_ETM_Q23_234000"/>
      <w:bookmarkEnd w:id="16559"/>
      <w:r>
        <w:rPr>
          <w:rFonts w:hint="cs"/>
          <w:rtl/>
          <w:lang w:eastAsia="he-IL"/>
        </w:rPr>
        <w:t xml:space="preserve">שהכול היה בכנסת. </w:t>
      </w:r>
      <w:bookmarkStart w:id="16560" w:name="_ETM_Q23_240000"/>
      <w:bookmarkEnd w:id="16560"/>
      <w:r>
        <w:rPr>
          <w:rFonts w:hint="cs"/>
          <w:rtl/>
          <w:lang w:eastAsia="he-IL"/>
        </w:rPr>
        <w:t xml:space="preserve">דבר אחד לא היה. ב-75 שנה </w:t>
      </w:r>
      <w:bookmarkStart w:id="16561" w:name="_ETM_Q23_244000"/>
      <w:bookmarkEnd w:id="16561"/>
      <w:r>
        <w:rPr>
          <w:rFonts w:hint="cs"/>
          <w:rtl/>
          <w:lang w:eastAsia="he-IL"/>
        </w:rPr>
        <w:t>לא היה אפילו מקרה אחד שאתה בא לכופף את החוקים</w:t>
      </w:r>
      <w:bookmarkStart w:id="16562" w:name="_ETM_Q23_249000"/>
      <w:bookmarkEnd w:id="16562"/>
      <w:r>
        <w:rPr>
          <w:rFonts w:hint="cs"/>
          <w:rtl/>
          <w:lang w:eastAsia="he-IL"/>
        </w:rPr>
        <w:t xml:space="preserve"> כפי שאתה רוצה למרות שניצחת בבחירות. לא להחזיר – לכופף </w:t>
      </w:r>
      <w:bookmarkStart w:id="16563" w:name="_ETM_Q23_254000"/>
      <w:bookmarkEnd w:id="16563"/>
      <w:r>
        <w:rPr>
          <w:rFonts w:hint="cs"/>
          <w:rtl/>
          <w:lang w:eastAsia="he-IL"/>
        </w:rPr>
        <w:t xml:space="preserve">כפי שאתה רוצה, כי אנחנו יודעים מהן המטרות של </w:t>
      </w:r>
      <w:bookmarkStart w:id="16564" w:name="_ETM_Q23_256000"/>
      <w:bookmarkEnd w:id="16564"/>
      <w:r>
        <w:rPr>
          <w:rFonts w:hint="cs"/>
          <w:rtl/>
          <w:lang w:eastAsia="he-IL"/>
        </w:rPr>
        <w:t>הכיפוף הזה.</w:t>
      </w:r>
    </w:p>
    <w:p w:rsidR="000C5C1F" w:rsidRDefault="000C5C1F" w:rsidP="000C5C1F">
      <w:pPr>
        <w:rPr>
          <w:rtl/>
          <w:lang w:eastAsia="he-IL"/>
        </w:rPr>
      </w:pPr>
    </w:p>
    <w:p w:rsidR="000C5C1F" w:rsidRDefault="000C5C1F" w:rsidP="000C5C1F">
      <w:pPr>
        <w:rPr>
          <w:rtl/>
          <w:lang w:eastAsia="he-IL"/>
        </w:rPr>
      </w:pPr>
      <w:bookmarkStart w:id="16565" w:name="_ETM_Q23_264000"/>
      <w:bookmarkEnd w:id="16565"/>
      <w:r>
        <w:rPr>
          <w:rFonts w:hint="cs"/>
          <w:rtl/>
          <w:lang w:eastAsia="he-IL"/>
        </w:rPr>
        <w:t xml:space="preserve">אתם מאשימים ניצול שואה בן 86, שאנחנו עוד </w:t>
      </w:r>
      <w:bookmarkStart w:id="16566" w:name="_ETM_Q23_267000"/>
      <w:bookmarkEnd w:id="16566"/>
      <w:r>
        <w:rPr>
          <w:rFonts w:hint="cs"/>
          <w:rtl/>
          <w:lang w:eastAsia="he-IL"/>
        </w:rPr>
        <w:t xml:space="preserve">נצטרך להגיד לו תודה על מה שהוא עשה בעבור מערכת </w:t>
      </w:r>
      <w:bookmarkStart w:id="16567" w:name="_ETM_Q23_271000"/>
      <w:bookmarkEnd w:id="16567"/>
      <w:r>
        <w:rPr>
          <w:rFonts w:hint="cs"/>
          <w:rtl/>
          <w:lang w:eastAsia="he-IL"/>
        </w:rPr>
        <w:t xml:space="preserve">המשפט הישראלית, ולא עוזבים את הבן אדם שכבר 20 שנה </w:t>
      </w:r>
      <w:bookmarkStart w:id="16568" w:name="_ETM_Q23_275000"/>
      <w:bookmarkEnd w:id="16568"/>
      <w:r>
        <w:rPr>
          <w:rFonts w:hint="cs"/>
          <w:rtl/>
          <w:lang w:eastAsia="he-IL"/>
        </w:rPr>
        <w:t>לא במערכת, אבל בואו נעזוב את כבוד הנשיא השופט ברק.</w:t>
      </w:r>
      <w:bookmarkStart w:id="16569" w:name="_ETM_Q23_281000"/>
      <w:bookmarkEnd w:id="16569"/>
      <w:r>
        <w:rPr>
          <w:rFonts w:hint="cs"/>
          <w:rtl/>
          <w:lang w:eastAsia="he-IL"/>
        </w:rPr>
        <w:t xml:space="preserve"> אני </w:t>
      </w:r>
      <w:bookmarkStart w:id="16570" w:name="_ETM_Q23_282000"/>
      <w:bookmarkEnd w:id="16570"/>
      <w:r>
        <w:rPr>
          <w:rFonts w:hint="cs"/>
          <w:rtl/>
          <w:lang w:eastAsia="he-IL"/>
        </w:rPr>
        <w:t xml:space="preserve">חושב שרוב-רובם של המשפטנים, דרך אגב כולל אנשים </w:t>
      </w:r>
      <w:bookmarkStart w:id="16571" w:name="_ETM_Q23_286000"/>
      <w:bookmarkEnd w:id="16571"/>
      <w:r>
        <w:rPr>
          <w:rFonts w:hint="cs"/>
          <w:rtl/>
          <w:lang w:eastAsia="he-IL"/>
        </w:rPr>
        <w:t xml:space="preserve">דתיים, למדו רק דברים טובים ממנו. וכשאני שומע אנשים </w:t>
      </w:r>
      <w:bookmarkStart w:id="16572" w:name="_ETM_Q23_291000"/>
      <w:bookmarkEnd w:id="16572"/>
      <w:r>
        <w:rPr>
          <w:rFonts w:hint="cs"/>
          <w:rtl/>
          <w:lang w:eastAsia="he-IL"/>
        </w:rPr>
        <w:t xml:space="preserve">שעוסקים במשפט הישראלי – תמיד אמרתי שברובו הוא גם מבוסס על </w:t>
      </w:r>
      <w:bookmarkStart w:id="16573" w:name="_ETM_Q23_296000"/>
      <w:bookmarkEnd w:id="16573"/>
      <w:r>
        <w:rPr>
          <w:rFonts w:hint="cs"/>
          <w:rtl/>
          <w:lang w:eastAsia="he-IL"/>
        </w:rPr>
        <w:t xml:space="preserve">המשפט העברי – יכולים ללמוד מהאיש הזה, וגם מהאישיות שלו, גם </w:t>
      </w:r>
      <w:bookmarkStart w:id="16574" w:name="_ETM_Q23_302000"/>
      <w:bookmarkEnd w:id="16574"/>
      <w:r>
        <w:rPr>
          <w:rFonts w:hint="cs"/>
          <w:rtl/>
          <w:lang w:eastAsia="he-IL"/>
        </w:rPr>
        <w:t xml:space="preserve">מהתרומה שלו למשפט הישראלי, כי התרומה שלו גם חיזקה את </w:t>
      </w:r>
      <w:bookmarkStart w:id="16575" w:name="_ETM_Q23_308000"/>
      <w:bookmarkEnd w:id="16575"/>
      <w:r>
        <w:rPr>
          <w:rFonts w:hint="cs"/>
          <w:rtl/>
          <w:lang w:eastAsia="he-IL"/>
        </w:rPr>
        <w:t>המשפט הישראלי בעולם.</w:t>
      </w:r>
    </w:p>
    <w:p w:rsidR="000C5C1F" w:rsidRDefault="000C5C1F" w:rsidP="000C5C1F">
      <w:pPr>
        <w:rPr>
          <w:rtl/>
          <w:lang w:eastAsia="he-IL"/>
        </w:rPr>
      </w:pPr>
      <w:bookmarkStart w:id="16576" w:name="_ETM_Q23_310000"/>
      <w:bookmarkEnd w:id="16576"/>
    </w:p>
    <w:p w:rsidR="000C5C1F" w:rsidRDefault="000C5C1F" w:rsidP="000C5C1F">
      <w:pPr>
        <w:rPr>
          <w:rtl/>
          <w:lang w:eastAsia="he-IL"/>
        </w:rPr>
      </w:pPr>
      <w:bookmarkStart w:id="16577" w:name="_ETM_Q23_311000"/>
      <w:bookmarkEnd w:id="16577"/>
      <w:r>
        <w:rPr>
          <w:rFonts w:hint="cs"/>
          <w:rtl/>
          <w:lang w:eastAsia="he-IL"/>
        </w:rPr>
        <w:t xml:space="preserve">אין לי הרבה זמן לדבר על זה, </w:t>
      </w:r>
      <w:bookmarkStart w:id="16578" w:name="_ETM_Q23_312000"/>
      <w:bookmarkEnd w:id="16578"/>
      <w:r>
        <w:rPr>
          <w:rFonts w:hint="cs"/>
          <w:rtl/>
          <w:lang w:eastAsia="he-IL"/>
        </w:rPr>
        <w:t>הייתי יכול להתייחס רק לשופטים ולמעמדם במערכת המשפט הבין-לאומית.</w:t>
      </w:r>
    </w:p>
    <w:p w:rsidR="000C5C1F" w:rsidRDefault="000C5C1F" w:rsidP="000C5C1F">
      <w:pPr>
        <w:rPr>
          <w:rtl/>
          <w:lang w:eastAsia="he-IL"/>
        </w:rPr>
      </w:pPr>
      <w:bookmarkStart w:id="16579" w:name="_ETM_Q23_319000"/>
      <w:bookmarkEnd w:id="16579"/>
      <w:r>
        <w:rPr>
          <w:rFonts w:hint="cs"/>
          <w:rtl/>
          <w:lang w:eastAsia="he-IL"/>
        </w:rPr>
        <w:t xml:space="preserve"> </w:t>
      </w:r>
    </w:p>
    <w:p w:rsidR="000C5C1F" w:rsidRDefault="000C5C1F" w:rsidP="000C5C1F">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לא שמעת אותי אומר מילה רעה </w:t>
      </w:r>
      <w:bookmarkStart w:id="16580" w:name="_ETM_Q23_320000"/>
      <w:bookmarkEnd w:id="16580"/>
      <w:r>
        <w:rPr>
          <w:rFonts w:hint="cs"/>
          <w:rtl/>
          <w:lang w:eastAsia="he-IL"/>
        </w:rPr>
        <w:t>על אף אדם בחיים. אמרתי לך שהצד השני אומר שצריך להחזיר את מה שהיה קודם.</w:t>
      </w:r>
    </w:p>
    <w:p w:rsidR="000C5C1F" w:rsidRDefault="000C5C1F" w:rsidP="000C5C1F">
      <w:pPr>
        <w:rPr>
          <w:rtl/>
          <w:lang w:eastAsia="he-IL"/>
        </w:rPr>
      </w:pPr>
      <w:bookmarkStart w:id="16581" w:name="_ETM_Q23_324000"/>
      <w:bookmarkEnd w:id="16581"/>
    </w:p>
    <w:p w:rsidR="000C5C1F" w:rsidRDefault="000C5C1F" w:rsidP="000C5C1F">
      <w:pPr>
        <w:pStyle w:val="-"/>
        <w:keepNext/>
        <w:rPr>
          <w:rtl/>
        </w:rPr>
      </w:pPr>
      <w:bookmarkStart w:id="16582" w:name="ET_speakercontinue_5792_5"/>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582"/>
    </w:p>
    <w:p w:rsidR="000C5C1F" w:rsidRDefault="000C5C1F" w:rsidP="00337201">
      <w:pPr>
        <w:rPr>
          <w:rtl/>
          <w:lang w:eastAsia="he-IL"/>
        </w:rPr>
      </w:pPr>
    </w:p>
    <w:p w:rsidR="000C5C1F" w:rsidRDefault="000C5C1F" w:rsidP="000C5C1F">
      <w:pPr>
        <w:rPr>
          <w:rtl/>
          <w:lang w:eastAsia="he-IL"/>
        </w:rPr>
      </w:pPr>
      <w:bookmarkStart w:id="16583" w:name="_ETM_Q23_327000"/>
      <w:bookmarkEnd w:id="16583"/>
      <w:r>
        <w:rPr>
          <w:rFonts w:hint="cs"/>
          <w:rtl/>
          <w:lang w:eastAsia="he-IL"/>
        </w:rPr>
        <w:t xml:space="preserve">קודם כול, אם אתה לא אמרת </w:t>
      </w:r>
      <w:bookmarkStart w:id="16584" w:name="_ETM_Q23_328000"/>
      <w:bookmarkEnd w:id="16584"/>
      <w:r>
        <w:rPr>
          <w:rFonts w:hint="cs"/>
          <w:rtl/>
          <w:lang w:eastAsia="he-IL"/>
        </w:rPr>
        <w:t>מילה רעה עליו, אז כל הכבוד לך. אם השותפים שלך לממשלה - -</w:t>
      </w:r>
    </w:p>
    <w:p w:rsidR="000C5C1F" w:rsidRDefault="000C5C1F" w:rsidP="000C5C1F">
      <w:pPr>
        <w:rPr>
          <w:rtl/>
          <w:lang w:eastAsia="he-IL"/>
        </w:rPr>
      </w:pPr>
      <w:bookmarkStart w:id="16585" w:name="_ETM_Q23_333000"/>
      <w:bookmarkEnd w:id="16585"/>
    </w:p>
    <w:p w:rsidR="000C5C1F" w:rsidRDefault="000C5C1F" w:rsidP="000C5C1F">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0C5C1F" w:rsidRDefault="000C5C1F" w:rsidP="00337201">
      <w:pPr>
        <w:rPr>
          <w:rtl/>
          <w:lang w:eastAsia="he-IL"/>
        </w:rPr>
      </w:pPr>
    </w:p>
    <w:p w:rsidR="000C5C1F" w:rsidRDefault="000C5C1F" w:rsidP="000C5C1F">
      <w:pPr>
        <w:rPr>
          <w:rtl/>
          <w:lang w:eastAsia="he-IL"/>
        </w:rPr>
      </w:pPr>
      <w:bookmarkStart w:id="16586" w:name="_ETM_Q23_331000"/>
      <w:bookmarkEnd w:id="16586"/>
      <w:r>
        <w:rPr>
          <w:rFonts w:hint="cs"/>
          <w:rtl/>
          <w:lang w:eastAsia="he-IL"/>
        </w:rPr>
        <w:t>הוא יהודי.</w:t>
      </w:r>
    </w:p>
    <w:p w:rsidR="000C5C1F" w:rsidRDefault="000C5C1F" w:rsidP="000C5C1F">
      <w:pPr>
        <w:rPr>
          <w:rtl/>
          <w:lang w:eastAsia="he-IL"/>
        </w:rPr>
      </w:pPr>
    </w:p>
    <w:p w:rsidR="000C5C1F" w:rsidRDefault="000C5C1F" w:rsidP="000C5C1F">
      <w:pPr>
        <w:pStyle w:val="-"/>
        <w:keepNext/>
        <w:rPr>
          <w:rtl/>
        </w:rPr>
      </w:pPr>
      <w:bookmarkStart w:id="16587" w:name="ET_speakercontinue_5792_12"/>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587"/>
    </w:p>
    <w:p w:rsidR="000C5C1F" w:rsidRDefault="000C5C1F" w:rsidP="00337201">
      <w:pPr>
        <w:rPr>
          <w:rtl/>
          <w:lang w:eastAsia="he-IL"/>
        </w:rPr>
      </w:pPr>
    </w:p>
    <w:p w:rsidR="000C5C1F" w:rsidRDefault="000C5C1F" w:rsidP="000C5C1F">
      <w:pPr>
        <w:rPr>
          <w:rtl/>
          <w:lang w:eastAsia="he-IL"/>
        </w:rPr>
      </w:pPr>
      <w:bookmarkStart w:id="16588" w:name="_ETM_Q23_334000"/>
      <w:bookmarkEnd w:id="16588"/>
      <w:r>
        <w:rPr>
          <w:rFonts w:hint="cs"/>
          <w:rtl/>
          <w:lang w:eastAsia="he-IL"/>
        </w:rPr>
        <w:t xml:space="preserve">- - היו לומדים ממך, יכול להיות </w:t>
      </w:r>
      <w:bookmarkStart w:id="16589" w:name="_ETM_Q23_337000"/>
      <w:bookmarkEnd w:id="16589"/>
      <w:r>
        <w:rPr>
          <w:rFonts w:hint="cs"/>
          <w:rtl/>
          <w:lang w:eastAsia="he-IL"/>
        </w:rPr>
        <w:t xml:space="preserve">שהמצב היה שונה לגמרי, לפחות ביחס ובכבוד שצריך לתת לבן </w:t>
      </w:r>
      <w:bookmarkStart w:id="16590" w:name="_ETM_Q23_346000"/>
      <w:bookmarkEnd w:id="16590"/>
      <w:r>
        <w:rPr>
          <w:rFonts w:hint="cs"/>
          <w:rtl/>
          <w:lang w:eastAsia="he-IL"/>
        </w:rPr>
        <w:t>אדם שתרם לא מעט למדינת ישראל.</w:t>
      </w:r>
    </w:p>
    <w:p w:rsidR="000C5C1F" w:rsidRDefault="000C5C1F" w:rsidP="000C5C1F">
      <w:pPr>
        <w:rPr>
          <w:rtl/>
          <w:lang w:eastAsia="he-IL"/>
        </w:rPr>
      </w:pPr>
    </w:p>
    <w:p w:rsidR="000C5C1F" w:rsidRDefault="000C5C1F" w:rsidP="000C5C1F">
      <w:pPr>
        <w:rPr>
          <w:rtl/>
          <w:lang w:eastAsia="he-IL"/>
        </w:rPr>
      </w:pPr>
      <w:bookmarkStart w:id="16591" w:name="_ETM_Q23_351000"/>
      <w:bookmarkEnd w:id="16591"/>
      <w:r>
        <w:rPr>
          <w:rFonts w:hint="cs"/>
          <w:rtl/>
          <w:lang w:eastAsia="he-IL"/>
        </w:rPr>
        <w:t>אבל אני רוצה לחזור</w:t>
      </w:r>
      <w:bookmarkStart w:id="16592" w:name="_ETM_Q23_354000"/>
      <w:bookmarkEnd w:id="16592"/>
      <w:r>
        <w:rPr>
          <w:rFonts w:hint="cs"/>
          <w:rtl/>
          <w:lang w:eastAsia="he-IL"/>
        </w:rPr>
        <w:t xml:space="preserve"> למה שאמרתי, לוויכוחים הסוערים שהתנהלו כאן בבית הזה. תמיד תמיד בוויכוחים האלה היה קונסנזוס אחד: האינטרס של מדינת ישראל </w:t>
      </w:r>
      <w:bookmarkStart w:id="16593" w:name="_ETM_Q23_364000"/>
      <w:bookmarkEnd w:id="16593"/>
      <w:r>
        <w:rPr>
          <w:rFonts w:hint="cs"/>
          <w:rtl/>
          <w:lang w:eastAsia="he-IL"/>
        </w:rPr>
        <w:t xml:space="preserve">כמדינה יהודית ודמוקרטית תמיד יהיה מעל כל ויכוח פוליטי. </w:t>
      </w:r>
      <w:bookmarkStart w:id="16594" w:name="_ETM_Q23_375000"/>
      <w:bookmarkEnd w:id="16594"/>
      <w:r>
        <w:rPr>
          <w:rFonts w:hint="cs"/>
          <w:rtl/>
          <w:lang w:eastAsia="he-IL"/>
        </w:rPr>
        <w:t xml:space="preserve">תחת ההבנה הזאת, אדוני היושב-ראש ידענו לחיות </w:t>
      </w:r>
      <w:bookmarkStart w:id="16595" w:name="_ETM_Q23_378000"/>
      <w:bookmarkEnd w:id="16595"/>
      <w:r>
        <w:rPr>
          <w:rFonts w:hint="cs"/>
          <w:rtl/>
          <w:lang w:eastAsia="he-IL"/>
        </w:rPr>
        <w:t>יחד; יחד לשרת בצבא, יחד לחנך את הילדים שלנו, יחד להמשיך בבניין הארץ. קוראים לזה, במילה אחת</w:t>
      </w:r>
      <w:bookmarkStart w:id="16596" w:name="_ETM_Q23_391000"/>
      <w:bookmarkEnd w:id="16596"/>
      <w:r>
        <w:rPr>
          <w:rFonts w:hint="cs"/>
          <w:rtl/>
          <w:lang w:eastAsia="he-IL"/>
        </w:rPr>
        <w:t>, ציונות.</w:t>
      </w:r>
      <w:bookmarkStart w:id="16597" w:name="_ETM_Q23_397000"/>
      <w:bookmarkEnd w:id="16597"/>
      <w:r>
        <w:rPr>
          <w:rFonts w:hint="cs"/>
          <w:rtl/>
          <w:lang w:eastAsia="he-IL"/>
        </w:rPr>
        <w:t xml:space="preserve"> </w:t>
      </w:r>
      <w:bookmarkStart w:id="16598" w:name="_ETM_Q23_382000"/>
      <w:bookmarkStart w:id="16599" w:name="_ETM_Q23_384000"/>
      <w:bookmarkEnd w:id="16598"/>
      <w:bookmarkEnd w:id="16599"/>
      <w:r>
        <w:rPr>
          <w:rFonts w:hint="cs"/>
          <w:rtl/>
          <w:lang w:eastAsia="he-IL"/>
        </w:rPr>
        <w:t xml:space="preserve">הקיצוניים שבינינו תמיד היו בבית הזה. תמיד היו פה בבית אנשים שהם לא ציונים. מדובר על קומץ קטן של </w:t>
      </w:r>
      <w:bookmarkStart w:id="16600" w:name="_ETM_Q23_407000"/>
      <w:bookmarkEnd w:id="16600"/>
      <w:r>
        <w:rPr>
          <w:rFonts w:hint="cs"/>
          <w:rtl/>
          <w:lang w:eastAsia="he-IL"/>
        </w:rPr>
        <w:t>קיצוניים, ומעולם לא היה מצב שהקיצוניים משתלטים על הרוב. לצערי, זה מה שקורה היום.</w:t>
      </w:r>
    </w:p>
    <w:p w:rsidR="000C5C1F" w:rsidRDefault="000C5C1F" w:rsidP="000C5C1F">
      <w:pPr>
        <w:rPr>
          <w:rtl/>
          <w:lang w:eastAsia="he-IL"/>
        </w:rPr>
      </w:pPr>
    </w:p>
    <w:p w:rsidR="000C5C1F" w:rsidRDefault="000C5C1F" w:rsidP="000C5C1F">
      <w:pPr>
        <w:rPr>
          <w:rtl/>
          <w:lang w:eastAsia="he-IL"/>
        </w:rPr>
      </w:pPr>
      <w:r>
        <w:rPr>
          <w:rFonts w:hint="cs"/>
          <w:rtl/>
          <w:lang w:eastAsia="he-IL"/>
        </w:rPr>
        <w:t xml:space="preserve">אני חייב להגיד שאני חרד ממפלס החרדה שעולה בשבועות ובחודשים האחרונים. אני מזהה את נקודת השבר הזאת עוד לפני פסח; אותו ליל גלנט, כך קוראים לזה, </w:t>
      </w:r>
      <w:bookmarkStart w:id="16601" w:name="_ETM_Q23_435000"/>
      <w:bookmarkEnd w:id="16601"/>
      <w:r>
        <w:rPr>
          <w:rFonts w:hint="cs"/>
          <w:rtl/>
          <w:lang w:eastAsia="he-IL"/>
        </w:rPr>
        <w:t xml:space="preserve">שאנשים יצאו לרחובות, עשרות אלפים. אני לא יודע אם הם יצאו להגנתו של שר הביטחון נגד פיטוריו או שהם יצאו </w:t>
      </w:r>
      <w:bookmarkStart w:id="16602" w:name="_ETM_Q23_446000"/>
      <w:bookmarkEnd w:id="16602"/>
      <w:r>
        <w:rPr>
          <w:rFonts w:hint="cs"/>
          <w:rtl/>
          <w:lang w:eastAsia="he-IL"/>
        </w:rPr>
        <w:t xml:space="preserve">מתוך חרדה מוחלטת שהם לא מסכימים עם מה שקורה במדינה, </w:t>
      </w:r>
      <w:bookmarkStart w:id="16603" w:name="_ETM_Q23_451000"/>
      <w:bookmarkEnd w:id="16603"/>
      <w:r>
        <w:rPr>
          <w:rFonts w:hint="cs"/>
          <w:rtl/>
          <w:lang w:eastAsia="he-IL"/>
        </w:rPr>
        <w:t xml:space="preserve">אבל אותו לילה קיבל את הכינוי "ליל גלנט" בגלל שבאותו לילה מצד אחד מפלס החרדה עלה ומצד </w:t>
      </w:r>
      <w:bookmarkStart w:id="16604" w:name="_ETM_Q23_460000"/>
      <w:bookmarkEnd w:id="16604"/>
      <w:r>
        <w:rPr>
          <w:rFonts w:hint="cs"/>
          <w:rtl/>
          <w:lang w:eastAsia="he-IL"/>
        </w:rPr>
        <w:t xml:space="preserve">שני מאות אלפים במדינה הזאת ראו שאפשר לעמוד על הערכים </w:t>
      </w:r>
      <w:bookmarkStart w:id="16605" w:name="_ETM_Q23_466000"/>
      <w:bookmarkEnd w:id="16605"/>
      <w:r>
        <w:rPr>
          <w:rFonts w:hint="cs"/>
          <w:rtl/>
          <w:lang w:eastAsia="he-IL"/>
        </w:rPr>
        <w:t>שלהם, ואפשר להגיד לממשלה לא.</w:t>
      </w:r>
    </w:p>
    <w:p w:rsidR="000C5C1F" w:rsidRDefault="000C5C1F" w:rsidP="000C5C1F">
      <w:pPr>
        <w:rPr>
          <w:rtl/>
          <w:lang w:eastAsia="he-IL"/>
        </w:rPr>
      </w:pPr>
    </w:p>
    <w:p w:rsidR="000C5C1F" w:rsidRDefault="000C5C1F" w:rsidP="000C5C1F">
      <w:pPr>
        <w:rPr>
          <w:rtl/>
          <w:lang w:eastAsia="he-IL"/>
        </w:rPr>
      </w:pPr>
      <w:bookmarkStart w:id="16606" w:name="_ETM_Q23_471000"/>
      <w:bookmarkEnd w:id="16606"/>
      <w:r>
        <w:rPr>
          <w:rFonts w:hint="cs"/>
          <w:rtl/>
          <w:lang w:eastAsia="he-IL"/>
        </w:rPr>
        <w:t xml:space="preserve">נכון, יש בחירות, אבל בחברה אזרחית מתוקנת ובחברה דמוקרטית העם יכול להשמיע את קולו גם </w:t>
      </w:r>
      <w:bookmarkStart w:id="16607" w:name="_ETM_Q23_480000"/>
      <w:bookmarkEnd w:id="16607"/>
      <w:r>
        <w:rPr>
          <w:rFonts w:hint="cs"/>
          <w:rtl/>
          <w:lang w:eastAsia="he-IL"/>
        </w:rPr>
        <w:t xml:space="preserve">בין הבחירות. זה היה אחרי מלחמת לבנון השנייה. אפשר להיכנס </w:t>
      </w:r>
      <w:bookmarkStart w:id="16608" w:name="_ETM_Q23_488000"/>
      <w:bookmarkEnd w:id="16608"/>
      <w:r>
        <w:rPr>
          <w:rFonts w:hint="cs"/>
          <w:rtl/>
          <w:lang w:eastAsia="he-IL"/>
        </w:rPr>
        <w:t>גם לוויכוח היסטורי, מי בדיוק מימן את מחאת המילואימניקים א</w:t>
      </w:r>
      <w:bookmarkStart w:id="16609" w:name="_ETM_Q23_490000"/>
      <w:bookmarkEnd w:id="16609"/>
      <w:r>
        <w:rPr>
          <w:rFonts w:hint="cs"/>
          <w:rtl/>
          <w:lang w:eastAsia="he-IL"/>
        </w:rPr>
        <w:t xml:space="preserve">חרי מלחמת לבנון השנייה ואיזו מפלגה הייתה אז באופוזיציה; איזו </w:t>
      </w:r>
      <w:bookmarkStart w:id="16610" w:name="_ETM_Q23_498000"/>
      <w:bookmarkEnd w:id="16610"/>
      <w:r>
        <w:rPr>
          <w:rFonts w:hint="cs"/>
          <w:rtl/>
          <w:lang w:eastAsia="he-IL"/>
        </w:rPr>
        <w:t>מפלגה מימנה את המחאה הזאת, והביאה לכך שזה ג</w:t>
      </w:r>
      <w:bookmarkStart w:id="16611" w:name="_ETM_Q23_501000"/>
      <w:bookmarkEnd w:id="16611"/>
      <w:r>
        <w:rPr>
          <w:rFonts w:hint="cs"/>
          <w:rtl/>
          <w:lang w:eastAsia="he-IL"/>
        </w:rPr>
        <w:t>רם גם לרמטכ"ל דאז להתפטר, ובסופו של דבר גם להפלת הממשלה.</w:t>
      </w:r>
      <w:bookmarkStart w:id="16612" w:name="_ETM_Q23_508000"/>
      <w:bookmarkEnd w:id="16612"/>
      <w:r>
        <w:rPr>
          <w:rFonts w:hint="cs"/>
          <w:rtl/>
          <w:lang w:eastAsia="he-IL"/>
        </w:rPr>
        <w:t xml:space="preserve"> אז א. זו לא בושה גם לתמוך במחאה, למרות שאנחנו לא תומכים. אין לנו שום עניין </w:t>
      </w:r>
      <w:bookmarkStart w:id="16613" w:name="_ETM_Q23_513000"/>
      <w:bookmarkEnd w:id="16613"/>
      <w:r>
        <w:rPr>
          <w:rFonts w:hint="cs"/>
          <w:rtl/>
          <w:lang w:eastAsia="he-IL"/>
        </w:rPr>
        <w:t xml:space="preserve">פה בתמיכה, לא במימון ולא בשום דבר שקשור למחאה. כפי שדיברו לפניי, המחאה הזאת עממית, וטוב שכך. אני שמח שאני חי במדינה שבה מאות אלפים </w:t>
      </w:r>
      <w:bookmarkStart w:id="16614" w:name="_ETM_Q23_527000"/>
      <w:bookmarkEnd w:id="16614"/>
      <w:r>
        <w:rPr>
          <w:rFonts w:hint="cs"/>
          <w:rtl/>
          <w:lang w:eastAsia="he-IL"/>
        </w:rPr>
        <w:t xml:space="preserve">יוצאים לרחוב, משמיעים את קולם, מלבד זה שמצביעים. חשוב גם לשמוע את קולם בין הבחירות, ולא להגיד: הסקר הכי טוב זה הבחירות. לא, זה לא הסקר הכי טוב, </w:t>
      </w:r>
      <w:bookmarkStart w:id="16615" w:name="_ETM_Q23_542000"/>
      <w:bookmarkEnd w:id="16615"/>
      <w:r>
        <w:rPr>
          <w:rFonts w:hint="cs"/>
          <w:rtl/>
          <w:lang w:eastAsia="he-IL"/>
        </w:rPr>
        <w:t xml:space="preserve">זה אחד הסקרים. בשביל זה קיים המושג החברה האזרחית, שהיא משפיעה על </w:t>
      </w:r>
      <w:bookmarkStart w:id="16616" w:name="_ETM_Q23_552000"/>
      <w:bookmarkEnd w:id="16616"/>
      <w:r>
        <w:rPr>
          <w:rFonts w:hint="cs"/>
          <w:rtl/>
          <w:lang w:eastAsia="he-IL"/>
        </w:rPr>
        <w:t xml:space="preserve">הממשלה, ובשביל זה יש המושג דמוקרטיה, שזה לא </w:t>
      </w:r>
      <w:bookmarkStart w:id="16617" w:name="_ETM_Q23_557000"/>
      <w:bookmarkEnd w:id="16617"/>
      <w:r>
        <w:rPr>
          <w:rFonts w:hint="cs"/>
          <w:rtl/>
          <w:lang w:eastAsia="he-IL"/>
        </w:rPr>
        <w:t xml:space="preserve">רק רוב העם. </w:t>
      </w:r>
    </w:p>
    <w:p w:rsidR="000C5C1F" w:rsidRDefault="000C5C1F" w:rsidP="000C5C1F">
      <w:pPr>
        <w:rPr>
          <w:rtl/>
          <w:lang w:eastAsia="he-IL"/>
        </w:rPr>
      </w:pPr>
      <w:bookmarkStart w:id="16618" w:name="_ETM_Q23_561000"/>
      <w:bookmarkEnd w:id="16618"/>
    </w:p>
    <w:p w:rsidR="000C5C1F" w:rsidRDefault="000C5C1F" w:rsidP="000C5C1F">
      <w:pPr>
        <w:rPr>
          <w:rtl/>
          <w:lang w:eastAsia="he-IL"/>
        </w:rPr>
      </w:pPr>
      <w:bookmarkStart w:id="16619" w:name="_ETM_Q23_562000"/>
      <w:bookmarkEnd w:id="16619"/>
      <w:r>
        <w:rPr>
          <w:rFonts w:hint="cs"/>
          <w:rtl/>
          <w:lang w:eastAsia="he-IL"/>
        </w:rPr>
        <w:t xml:space="preserve">אם אני מצטט את זאב ז'בוטינסקי, ב"תורת המשק" הוא כתב: </w:t>
      </w:r>
      <w:r>
        <w:rPr>
          <w:rFonts w:hint="cs"/>
          <w:shd w:val="clear" w:color="auto" w:fill="FFFFFF"/>
          <w:rtl/>
        </w:rPr>
        <w:t xml:space="preserve">"אולם בעצם אינה נכונה הזדהות עיוורת של הדמוקרטיה עם שלטון הרוב". </w:t>
      </w:r>
      <w:r>
        <w:rPr>
          <w:rFonts w:hint="cs"/>
          <w:rtl/>
          <w:lang w:eastAsia="he-IL"/>
        </w:rPr>
        <w:t xml:space="preserve">בעצם אינה נכונה הזדהות עיוורת של הדמוקרטיה עם שלטון </w:t>
      </w:r>
      <w:bookmarkStart w:id="16620" w:name="_ETM_Q23_573000"/>
      <w:bookmarkEnd w:id="16620"/>
      <w:r>
        <w:rPr>
          <w:rFonts w:hint="cs"/>
          <w:rtl/>
          <w:lang w:eastAsia="he-IL"/>
        </w:rPr>
        <w:t xml:space="preserve">הרוב. "את טעם הדמוקרטיה יש לבקש בתורת ההסכם והפשרה". מי שאמר את זה זה זאב ז'בוטינסקי. </w:t>
      </w:r>
      <w:bookmarkStart w:id="16621" w:name="_ETM_Q23_584000"/>
      <w:bookmarkEnd w:id="16621"/>
      <w:r>
        <w:rPr>
          <w:rFonts w:hint="cs"/>
          <w:rtl/>
          <w:lang w:eastAsia="he-IL"/>
        </w:rPr>
        <w:t xml:space="preserve">יש עדיין אנשים בליכוד שמתגאים שלמדו את תורתו, והם </w:t>
      </w:r>
      <w:bookmarkStart w:id="16622" w:name="_ETM_Q23_590000"/>
      <w:bookmarkEnd w:id="16622"/>
      <w:r>
        <w:rPr>
          <w:rFonts w:hint="cs"/>
          <w:rtl/>
          <w:lang w:eastAsia="he-IL"/>
        </w:rPr>
        <w:t>מתגאים שהם ממשיכים את דרכו.</w:t>
      </w:r>
    </w:p>
    <w:p w:rsidR="000C5C1F" w:rsidRDefault="000C5C1F" w:rsidP="000C5C1F">
      <w:pPr>
        <w:rPr>
          <w:rtl/>
          <w:lang w:eastAsia="he-IL"/>
        </w:rPr>
      </w:pPr>
    </w:p>
    <w:p w:rsidR="000C5C1F" w:rsidRDefault="000C5C1F" w:rsidP="000C5C1F">
      <w:pPr>
        <w:pStyle w:val="af8"/>
        <w:keepNext/>
        <w:rPr>
          <w:rtl/>
        </w:rPr>
      </w:pPr>
      <w:bookmarkStart w:id="16623" w:name="ET_interruption_5293_9"/>
      <w:r>
        <w:rPr>
          <w:rStyle w:val="TagStyle"/>
          <w:rFonts w:hint="cs"/>
          <w:rtl/>
        </w:rPr>
        <w:t xml:space="preserve"> &lt;&lt; קריאה &gt;&gt; </w:t>
      </w:r>
      <w:r>
        <w:rPr>
          <w:rFonts w:hint="cs"/>
          <w:rtl/>
        </w:rPr>
        <w:t>איימן עודה (חד"ש-תע"ל):</w:t>
      </w:r>
      <w:r>
        <w:rPr>
          <w:rStyle w:val="TagStyle"/>
          <w:rtl/>
        </w:rPr>
        <w:t xml:space="preserve"> &lt;&lt; קריאה &gt;&gt;</w:t>
      </w:r>
      <w:r>
        <w:rPr>
          <w:rFonts w:hint="cs"/>
          <w:rtl/>
        </w:rPr>
        <w:t xml:space="preserve">   </w:t>
      </w:r>
      <w:bookmarkEnd w:id="16623"/>
    </w:p>
    <w:p w:rsidR="000C5C1F" w:rsidRDefault="000C5C1F" w:rsidP="00337201">
      <w:pPr>
        <w:rPr>
          <w:rtl/>
          <w:lang w:eastAsia="he-IL"/>
        </w:rPr>
      </w:pPr>
    </w:p>
    <w:p w:rsidR="000C5C1F" w:rsidRDefault="000C5C1F" w:rsidP="000C5C1F">
      <w:pPr>
        <w:rPr>
          <w:rtl/>
          <w:lang w:eastAsia="he-IL"/>
        </w:rPr>
      </w:pPr>
      <w:r>
        <w:rPr>
          <w:rFonts w:hint="cs"/>
          <w:rtl/>
          <w:lang w:eastAsia="he-IL"/>
        </w:rPr>
        <w:t>- - -</w:t>
      </w:r>
    </w:p>
    <w:p w:rsidR="000C5C1F" w:rsidRDefault="000C5C1F" w:rsidP="000C5C1F">
      <w:pPr>
        <w:rPr>
          <w:rtl/>
          <w:lang w:eastAsia="he-IL"/>
        </w:rPr>
      </w:pPr>
    </w:p>
    <w:p w:rsidR="000C5C1F" w:rsidRDefault="000C5C1F" w:rsidP="000C5C1F">
      <w:pPr>
        <w:pStyle w:val="-"/>
        <w:keepNext/>
        <w:rPr>
          <w:rtl/>
        </w:rPr>
      </w:pPr>
      <w:bookmarkStart w:id="16624" w:name="ET_speakercontinue_5792_10"/>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624"/>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חבל שהיא יצאה, הייתי מתווכח איתה </w:t>
      </w:r>
      <w:bookmarkStart w:id="16625" w:name="_ETM_Q23_597000"/>
      <w:bookmarkEnd w:id="16625"/>
      <w:r>
        <w:rPr>
          <w:rFonts w:hint="cs"/>
          <w:rtl/>
          <w:lang w:eastAsia="he-IL"/>
        </w:rPr>
        <w:t xml:space="preserve">על זה. ולכן אני גאה לחיות במדינה שבה מאות אלפי </w:t>
      </w:r>
      <w:bookmarkStart w:id="16626" w:name="_ETM_Q23_604000"/>
      <w:bookmarkEnd w:id="16626"/>
      <w:r>
        <w:rPr>
          <w:rFonts w:hint="cs"/>
          <w:rtl/>
          <w:lang w:eastAsia="he-IL"/>
        </w:rPr>
        <w:t xml:space="preserve">אזרחים יוצאים ומשמיעים את קולם. </w:t>
      </w:r>
    </w:p>
    <w:p w:rsidR="000C5C1F" w:rsidRDefault="000C5C1F" w:rsidP="000C5C1F">
      <w:pPr>
        <w:rPr>
          <w:rtl/>
          <w:lang w:eastAsia="he-IL"/>
        </w:rPr>
      </w:pPr>
      <w:bookmarkStart w:id="16627" w:name="_ETM_Q23_610000"/>
      <w:bookmarkEnd w:id="16627"/>
    </w:p>
    <w:p w:rsidR="000C5C1F" w:rsidRDefault="000C5C1F" w:rsidP="000C5C1F">
      <w:pPr>
        <w:rPr>
          <w:rtl/>
          <w:lang w:eastAsia="he-IL"/>
        </w:rPr>
      </w:pPr>
      <w:bookmarkStart w:id="16628" w:name="_ETM_Q23_611000"/>
      <w:bookmarkEnd w:id="16628"/>
      <w:r>
        <w:rPr>
          <w:rFonts w:hint="cs"/>
          <w:rtl/>
          <w:lang w:eastAsia="he-IL"/>
        </w:rPr>
        <w:t xml:space="preserve">אבל אם אני חוזר אל </w:t>
      </w:r>
      <w:bookmarkStart w:id="16629" w:name="_ETM_Q23_613000"/>
      <w:bookmarkEnd w:id="16629"/>
      <w:r>
        <w:rPr>
          <w:rFonts w:hint="cs"/>
          <w:rtl/>
          <w:lang w:eastAsia="he-IL"/>
        </w:rPr>
        <w:t xml:space="preserve">מפלס החרדה, בוודאי שאני לא יכול להישאר אדיש, ואני חרד </w:t>
      </w:r>
      <w:bookmarkStart w:id="16630" w:name="_ETM_Q23_617000"/>
      <w:bookmarkEnd w:id="16630"/>
      <w:r>
        <w:rPr>
          <w:rFonts w:hint="cs"/>
          <w:rtl/>
          <w:lang w:eastAsia="he-IL"/>
        </w:rPr>
        <w:t xml:space="preserve">מהמפלס הזה שעולה. שני-שלישים מאזרחי המדינה חושבים שאנחנו כבר בתוך מלחמת אזרחים או לפחות בפתחה של מלחמת אזרחים. </w:t>
      </w:r>
      <w:bookmarkStart w:id="16631" w:name="_ETM_Q23_637000"/>
      <w:bookmarkStart w:id="16632" w:name="_ETM_Q23_638000"/>
      <w:bookmarkEnd w:id="16631"/>
      <w:bookmarkEnd w:id="16632"/>
      <w:r>
        <w:rPr>
          <w:rFonts w:hint="cs"/>
          <w:rtl/>
          <w:lang w:eastAsia="he-IL"/>
        </w:rPr>
        <w:t xml:space="preserve">וכשאני מדבר על מלחמת האזרחים </w:t>
      </w:r>
      <w:bookmarkStart w:id="16633" w:name="_ETM_Q23_632000"/>
      <w:bookmarkEnd w:id="16633"/>
      <w:r>
        <w:rPr>
          <w:rFonts w:hint="cs"/>
          <w:rtl/>
          <w:lang w:eastAsia="he-IL"/>
        </w:rPr>
        <w:t xml:space="preserve">אני מתכוון, אדוני השר, למלחמת אזרחים ולא מלחמת אחים. אני אולי אגיד דברים קשים, אבל זאת תחושתי. אני לא מרגיש </w:t>
      </w:r>
      <w:bookmarkStart w:id="16634" w:name="_ETM_Q23_643000"/>
      <w:bookmarkEnd w:id="16634"/>
      <w:r>
        <w:rPr>
          <w:rFonts w:hint="cs"/>
          <w:rtl/>
          <w:lang w:eastAsia="he-IL"/>
        </w:rPr>
        <w:t xml:space="preserve">את עצמי אח של אנשים שאומרים: חבל שבשואה נספו רק שישה </w:t>
      </w:r>
      <w:bookmarkStart w:id="16635" w:name="_ETM_Q23_650000"/>
      <w:bookmarkEnd w:id="16635"/>
      <w:r>
        <w:rPr>
          <w:rFonts w:hint="cs"/>
          <w:rtl/>
          <w:lang w:eastAsia="he-IL"/>
        </w:rPr>
        <w:t xml:space="preserve">מיליון יהודים. לא, הוא לא אח שלי. ואם אני נלחם מולו, או חלילה אצטרך להילחם מולו, </w:t>
      </w:r>
      <w:bookmarkStart w:id="16636" w:name="_ETM_Q23_656000"/>
      <w:bookmarkEnd w:id="16636"/>
      <w:r>
        <w:rPr>
          <w:rFonts w:hint="cs"/>
          <w:rtl/>
          <w:lang w:eastAsia="he-IL"/>
        </w:rPr>
        <w:t xml:space="preserve">אני לא רוצה לקרוא לזה מלחמת אחים. זאת תהיה </w:t>
      </w:r>
      <w:bookmarkStart w:id="16637" w:name="_ETM_Q23_660000"/>
      <w:bookmarkEnd w:id="16637"/>
      <w:r>
        <w:rPr>
          <w:rFonts w:hint="cs"/>
          <w:rtl/>
          <w:lang w:eastAsia="he-IL"/>
        </w:rPr>
        <w:t xml:space="preserve">מלחמת אזרחים. הוא לא אח שלי. </w:t>
      </w:r>
    </w:p>
    <w:p w:rsidR="000C5C1F" w:rsidRDefault="000C5C1F" w:rsidP="000C5C1F">
      <w:pPr>
        <w:rPr>
          <w:rtl/>
          <w:lang w:eastAsia="he-IL"/>
        </w:rPr>
      </w:pPr>
    </w:p>
    <w:p w:rsidR="000C5C1F" w:rsidRDefault="000C5C1F" w:rsidP="000C5C1F">
      <w:pPr>
        <w:rPr>
          <w:rtl/>
          <w:lang w:eastAsia="he-IL"/>
        </w:rPr>
      </w:pPr>
      <w:bookmarkStart w:id="16638" w:name="_ETM_Q23_665000"/>
      <w:bookmarkEnd w:id="16638"/>
      <w:r>
        <w:rPr>
          <w:rFonts w:hint="cs"/>
          <w:rtl/>
          <w:lang w:eastAsia="he-IL"/>
        </w:rPr>
        <w:t xml:space="preserve">אני גם לא מרגיש אח לאנשים ששונאים את העולים החדשים שמגיעים למדינת ישראל על פי חוק השבות. מגיע </w:t>
      </w:r>
      <w:bookmarkStart w:id="16639" w:name="_ETM_Q23_672000"/>
      <w:bookmarkEnd w:id="16639"/>
      <w:r>
        <w:rPr>
          <w:rFonts w:hint="cs"/>
          <w:rtl/>
          <w:lang w:eastAsia="he-IL"/>
        </w:rPr>
        <w:t xml:space="preserve">לך להיות חלק מהסוציום היהודי לפי חוק השבות, אז כולנו </w:t>
      </w:r>
      <w:bookmarkStart w:id="16640" w:name="_ETM_Q23_678000"/>
      <w:bookmarkEnd w:id="16640"/>
      <w:r>
        <w:rPr>
          <w:rFonts w:hint="cs"/>
          <w:rtl/>
          <w:lang w:eastAsia="he-IL"/>
        </w:rPr>
        <w:t xml:space="preserve">אחים. ומי ששונא אותם, מגנה אותם וקורא להם במילות גנאי, אני לא מרגיש שאני אח שלו. </w:t>
      </w:r>
    </w:p>
    <w:p w:rsidR="000C5C1F" w:rsidRDefault="000C5C1F" w:rsidP="000C5C1F">
      <w:pPr>
        <w:rPr>
          <w:rtl/>
          <w:lang w:eastAsia="he-IL"/>
        </w:rPr>
      </w:pPr>
      <w:bookmarkStart w:id="16641" w:name="_ETM_Q23_689444"/>
      <w:bookmarkStart w:id="16642" w:name="_ETM_Q23_689496"/>
      <w:bookmarkEnd w:id="16641"/>
      <w:bookmarkEnd w:id="16642"/>
    </w:p>
    <w:p w:rsidR="000C5C1F" w:rsidRDefault="000C5C1F" w:rsidP="000C5C1F">
      <w:pPr>
        <w:rPr>
          <w:rtl/>
          <w:lang w:eastAsia="he-IL"/>
        </w:rPr>
      </w:pPr>
      <w:bookmarkStart w:id="16643" w:name="_ETM_Q23_689595"/>
      <w:bookmarkStart w:id="16644" w:name="_ETM_Q23_689641"/>
      <w:bookmarkEnd w:id="16643"/>
      <w:bookmarkEnd w:id="16644"/>
      <w:r>
        <w:rPr>
          <w:rFonts w:hint="cs"/>
          <w:rtl/>
          <w:lang w:eastAsia="he-IL"/>
        </w:rPr>
        <w:t xml:space="preserve">דווקא טוב שאתה פה, אדוני השר. אני גם לא מרגיש אח לאנשים שאומרים: אני </w:t>
      </w:r>
      <w:bookmarkStart w:id="16645" w:name="_ETM_Q23_696000"/>
      <w:bookmarkEnd w:id="16645"/>
      <w:r>
        <w:rPr>
          <w:rFonts w:hint="cs"/>
          <w:rtl/>
          <w:lang w:eastAsia="he-IL"/>
        </w:rPr>
        <w:t xml:space="preserve">מעדיף לשבת בכלא מאשר לשרת בצבא. קשה לי לקרוא לאנשים האלה "אחים". </w:t>
      </w:r>
      <w:bookmarkStart w:id="16646" w:name="_ETM_Q23_701000"/>
      <w:bookmarkEnd w:id="16646"/>
      <w:r>
        <w:rPr>
          <w:rFonts w:hint="cs"/>
          <w:rtl/>
          <w:lang w:eastAsia="he-IL"/>
        </w:rPr>
        <w:t xml:space="preserve">הם אזרחים כמו שאני אזרח במדינה, אנחנו חיים במדינה </w:t>
      </w:r>
      <w:bookmarkStart w:id="16647" w:name="_ETM_Q23_706000"/>
      <w:bookmarkEnd w:id="16647"/>
      <w:r>
        <w:rPr>
          <w:rFonts w:hint="cs"/>
          <w:rtl/>
          <w:lang w:eastAsia="he-IL"/>
        </w:rPr>
        <w:t xml:space="preserve">אחת, אבל יש לי תחושת כעס מאוד גדולה על אותו קומץ – אני לא אומר שכולם – על אותו קומץ שאומר: אני מעדיף לשבת בכלא מאשר לשרת בצבא ההגנה לישראל. אני מקווה שלא נגיע למלחמה. אני רק מצטט את הסקרים שנעשים בחודשים האחרונים, ש-67% </w:t>
      </w:r>
      <w:bookmarkStart w:id="16648" w:name="_ETM_Q23_733000"/>
      <w:bookmarkEnd w:id="16648"/>
      <w:r>
        <w:rPr>
          <w:rFonts w:hint="cs"/>
          <w:rtl/>
          <w:lang w:eastAsia="he-IL"/>
        </w:rPr>
        <w:t xml:space="preserve">מאזרחי מדינת ישראל משיבים בחיוב על השאלה אם אנחנו נמצאים במלחמת אזרחים. אני חושב שזה תמרור אזהרה הכי גדול והכי זוהר שרק יכול להיות עבורכם, </w:t>
      </w:r>
      <w:bookmarkStart w:id="16649" w:name="_ETM_Q23_750000"/>
      <w:bookmarkEnd w:id="16649"/>
      <w:r>
        <w:rPr>
          <w:rFonts w:hint="cs"/>
          <w:rtl/>
          <w:lang w:eastAsia="he-IL"/>
        </w:rPr>
        <w:t>עבור הממשלה, כי האחריות היא על הממשלה.</w:t>
      </w:r>
    </w:p>
    <w:p w:rsidR="000C5C1F" w:rsidRDefault="000C5C1F" w:rsidP="000C5C1F">
      <w:pPr>
        <w:rPr>
          <w:rtl/>
          <w:lang w:eastAsia="he-IL"/>
        </w:rPr>
      </w:pPr>
    </w:p>
    <w:p w:rsidR="000C5C1F" w:rsidRDefault="000C5C1F" w:rsidP="000C5C1F">
      <w:pPr>
        <w:rPr>
          <w:rtl/>
        </w:rPr>
      </w:pPr>
      <w:bookmarkStart w:id="16650" w:name="TOR_Q24"/>
      <w:bookmarkEnd w:id="16650"/>
      <w:r>
        <w:rPr>
          <w:rFonts w:hint="cs"/>
          <w:rtl/>
        </w:rPr>
        <w:t xml:space="preserve">אני לא פעם דיברתי עם השרים, עם חלק מהשרים, שהיו אפילו בתקופת אולמרט ב-2008 – תקופה קשה מאוד: כעס בציבור, תחושת איבוד שליטה. אז לא ידענו להעריך איזו הרתעה השיג צה"ל בדרום לבנון, או בכלל </w:t>
      </w:r>
      <w:bookmarkStart w:id="16651" w:name="_ETM_Q24_180000"/>
      <w:bookmarkEnd w:id="16651"/>
      <w:r>
        <w:rPr>
          <w:rFonts w:hint="cs"/>
          <w:rtl/>
        </w:rPr>
        <w:t xml:space="preserve">בלבנון, מול החיזבאללה. הייתה תחושה שניהול המלחמה היה לקוי – לא תחושה, איבדנו חיילים, </w:t>
      </w:r>
      <w:bookmarkStart w:id="16652" w:name="_ETM_Q24_185000"/>
      <w:bookmarkEnd w:id="16652"/>
      <w:r>
        <w:rPr>
          <w:rFonts w:hint="cs"/>
          <w:rtl/>
        </w:rPr>
        <w:t xml:space="preserve">איבדנו אזרחים. שנתיים אחרי המלחמה הייתה תחושה של מלחמה כושלת. ואז מגיע העניין של החקירות נגד ראש </w:t>
      </w:r>
      <w:bookmarkStart w:id="16653" w:name="_ETM_Q24_199000"/>
      <w:bookmarkEnd w:id="16653"/>
      <w:r>
        <w:rPr>
          <w:rFonts w:hint="cs"/>
          <w:rtl/>
        </w:rPr>
        <w:t>הממשלה המכהן אולמרט. זה התחיל במאי 2008. אני לא יודע אם אתה זוכר, אני זו</w:t>
      </w:r>
      <w:bookmarkStart w:id="16654" w:name="_ETM_Q24_205000"/>
      <w:bookmarkEnd w:id="16654"/>
      <w:r>
        <w:rPr>
          <w:rFonts w:hint="cs"/>
          <w:rtl/>
        </w:rPr>
        <w:t xml:space="preserve">כר היטב כי כבר סיקרתי את המערכת הפוליטית. </w:t>
      </w:r>
    </w:p>
    <w:p w:rsidR="000C5C1F" w:rsidRDefault="000C5C1F" w:rsidP="000C5C1F">
      <w:pPr>
        <w:rPr>
          <w:rtl/>
        </w:rPr>
      </w:pPr>
    </w:p>
    <w:p w:rsidR="000C5C1F" w:rsidRDefault="000C5C1F" w:rsidP="000C5C1F">
      <w:pPr>
        <w:pStyle w:val="af8"/>
        <w:keepNext/>
        <w:rPr>
          <w:rtl/>
        </w:rPr>
      </w:pPr>
      <w:bookmarkStart w:id="16655" w:name="ET_interruption_6430_30"/>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655"/>
    </w:p>
    <w:p w:rsidR="000C5C1F" w:rsidRDefault="000C5C1F" w:rsidP="00337201">
      <w:pPr>
        <w:rPr>
          <w:rtl/>
        </w:rPr>
      </w:pPr>
    </w:p>
    <w:p w:rsidR="000C5C1F" w:rsidRDefault="000C5C1F" w:rsidP="000C5C1F">
      <w:pPr>
        <w:rPr>
          <w:rtl/>
        </w:rPr>
      </w:pPr>
      <w:bookmarkStart w:id="16656" w:name="_ETM_Q24_208000"/>
      <w:bookmarkEnd w:id="16656"/>
      <w:r>
        <w:rPr>
          <w:rFonts w:hint="cs"/>
          <w:rtl/>
        </w:rPr>
        <w:t xml:space="preserve">- - - פעם ראשונה לעיריית ירושלים, אני זוכר היטב. הייתי שם. </w:t>
      </w:r>
    </w:p>
    <w:p w:rsidR="000C5C1F" w:rsidRDefault="000C5C1F" w:rsidP="000C5C1F">
      <w:pPr>
        <w:rPr>
          <w:rtl/>
        </w:rPr>
      </w:pPr>
    </w:p>
    <w:p w:rsidR="000C5C1F" w:rsidRDefault="000C5C1F" w:rsidP="000C5C1F">
      <w:pPr>
        <w:pStyle w:val="-"/>
        <w:keepNext/>
        <w:rPr>
          <w:rtl/>
        </w:rPr>
      </w:pPr>
      <w:bookmarkStart w:id="16657" w:name="ET_speakercontinue_5792_31"/>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657"/>
    </w:p>
    <w:p w:rsidR="000C5C1F" w:rsidRDefault="000C5C1F" w:rsidP="00337201">
      <w:pPr>
        <w:rPr>
          <w:rtl/>
        </w:rPr>
      </w:pPr>
    </w:p>
    <w:p w:rsidR="000C5C1F" w:rsidRDefault="000C5C1F" w:rsidP="000C5C1F">
      <w:pPr>
        <w:rPr>
          <w:rtl/>
        </w:rPr>
      </w:pPr>
      <w:bookmarkStart w:id="16658" w:name="_ETM_Q24_209000"/>
      <w:bookmarkStart w:id="16659" w:name="_ETM_Q24_204000"/>
      <w:bookmarkEnd w:id="16658"/>
      <w:bookmarkEnd w:id="16659"/>
      <w:r>
        <w:rPr>
          <w:rFonts w:hint="cs"/>
          <w:rtl/>
        </w:rPr>
        <w:t xml:space="preserve">אז אתה אמור לזכור - </w:t>
      </w:r>
      <w:bookmarkStart w:id="16660" w:name="_ETM_Q24_210000"/>
      <w:bookmarkEnd w:id="16660"/>
      <w:r>
        <w:rPr>
          <w:rFonts w:hint="cs"/>
          <w:rtl/>
        </w:rPr>
        <w:t>- -</w:t>
      </w:r>
    </w:p>
    <w:p w:rsidR="000C5C1F" w:rsidRDefault="000C5C1F" w:rsidP="000C5C1F">
      <w:pPr>
        <w:rPr>
          <w:rtl/>
        </w:rPr>
      </w:pPr>
    </w:p>
    <w:p w:rsidR="000C5C1F" w:rsidRDefault="000C5C1F" w:rsidP="000C5C1F">
      <w:pPr>
        <w:pStyle w:val="af8"/>
        <w:keepNext/>
        <w:rPr>
          <w:rtl/>
        </w:rPr>
      </w:pPr>
      <w:bookmarkStart w:id="16661" w:name="ET_interruption_6430_32"/>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661"/>
    </w:p>
    <w:p w:rsidR="000C5C1F" w:rsidRDefault="000C5C1F" w:rsidP="00337201">
      <w:pPr>
        <w:rPr>
          <w:rtl/>
        </w:rPr>
      </w:pPr>
    </w:p>
    <w:p w:rsidR="000C5C1F" w:rsidRDefault="000C5C1F" w:rsidP="000C5C1F">
      <w:pPr>
        <w:rPr>
          <w:rtl/>
        </w:rPr>
      </w:pPr>
      <w:r>
        <w:rPr>
          <w:rFonts w:hint="cs"/>
          <w:rtl/>
        </w:rPr>
        <w:t>הייתי שם - - -</w:t>
      </w:r>
    </w:p>
    <w:p w:rsidR="000C5C1F" w:rsidRDefault="000C5C1F" w:rsidP="000C5C1F">
      <w:pPr>
        <w:rPr>
          <w:rtl/>
        </w:rPr>
      </w:pPr>
      <w:bookmarkStart w:id="16662" w:name="_ETM_Q24_213000"/>
      <w:bookmarkEnd w:id="16662"/>
    </w:p>
    <w:p w:rsidR="000C5C1F" w:rsidRDefault="000C5C1F" w:rsidP="000C5C1F">
      <w:pPr>
        <w:pStyle w:val="-"/>
        <w:keepNext/>
        <w:rPr>
          <w:rtl/>
        </w:rPr>
      </w:pPr>
      <w:bookmarkStart w:id="16663" w:name="ET_speakercontinue_5792_33"/>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663"/>
    </w:p>
    <w:p w:rsidR="000C5C1F" w:rsidRDefault="000C5C1F" w:rsidP="00337201">
      <w:pPr>
        <w:rPr>
          <w:rtl/>
        </w:rPr>
      </w:pPr>
    </w:p>
    <w:p w:rsidR="000C5C1F" w:rsidRDefault="000C5C1F" w:rsidP="000C5C1F">
      <w:pPr>
        <w:rPr>
          <w:rtl/>
        </w:rPr>
      </w:pPr>
      <w:bookmarkStart w:id="16664" w:name="_ETM_Q24_214000"/>
      <w:bookmarkStart w:id="16665" w:name="_ETM_Q24_211000"/>
      <w:bookmarkEnd w:id="16664"/>
      <w:bookmarkEnd w:id="16665"/>
      <w:r>
        <w:rPr>
          <w:rFonts w:hint="cs"/>
          <w:rtl/>
        </w:rPr>
        <w:t xml:space="preserve">יפה, אז אתה </w:t>
      </w:r>
      <w:bookmarkStart w:id="16666" w:name="_ETM_Q24_215000"/>
      <w:bookmarkEnd w:id="16666"/>
      <w:r>
        <w:rPr>
          <w:rFonts w:hint="cs"/>
          <w:rtl/>
        </w:rPr>
        <w:t xml:space="preserve">מכיר את אולמרט בטח מעיריית ירושלים, אז אתה אמור לזכור </w:t>
      </w:r>
      <w:bookmarkStart w:id="16667" w:name="_ETM_Q24_216000"/>
      <w:bookmarkEnd w:id="16667"/>
      <w:r>
        <w:rPr>
          <w:rFonts w:hint="cs"/>
          <w:rtl/>
        </w:rPr>
        <w:t xml:space="preserve">שבמאי 2008 בבית הזה האופוזיציה דאז – שזה יושב-ראש האופוזיציה – מקדם חוק שייאסר על ראש ממשלה מכהן להיות תחת כתב אישום. אם נפתחת חקירה פלילית, אפילו עוד לפני שמוגש כתב האישום – כי חקירה פלילית לא נפתחת על ידי החלטת </w:t>
      </w:r>
      <w:bookmarkStart w:id="16668" w:name="_ETM_Q24_243000"/>
      <w:bookmarkEnd w:id="16668"/>
      <w:r>
        <w:rPr>
          <w:rFonts w:hint="cs"/>
          <w:rtl/>
        </w:rPr>
        <w:t xml:space="preserve">המשטרה או הפרקליטות אלא על פי החלטה של היועץ המשפטי לממשלה – ראש הממשלה חייב להתפטר. זאת הייתה ההצעה המקורית של הליכוד, שהוגשה בכנסת </w:t>
      </w:r>
      <w:bookmarkStart w:id="16669" w:name="_ETM_Q24_255000"/>
      <w:bookmarkEnd w:id="16669"/>
      <w:r>
        <w:rPr>
          <w:rFonts w:hint="cs"/>
          <w:rtl/>
        </w:rPr>
        <w:t xml:space="preserve">הזאת, בחודש מאי 2008. גדעון סער אז היה בליכוד וקידם את ההצעה. מי הצביע בקריאה – נדמה לי </w:t>
      </w:r>
      <w:bookmarkStart w:id="16670" w:name="_ETM_Q24_263000"/>
      <w:bookmarkEnd w:id="16670"/>
      <w:r>
        <w:rPr>
          <w:rFonts w:hint="cs"/>
          <w:rtl/>
        </w:rPr>
        <w:t xml:space="preserve">שהטרומית, אני חושב, כי זאת הייתה הצעת חוק פרטית – בעד החוק הזה? כל הליכוד, כל האופוזיציה, כולל ראש הממשלה הנוכחי נתניהו, שאז היה יו"ר האופוזיציה. למה החוק הזה לא התקדם? הוא לא התקדם משום שבספטמבר 2008 אולמרט, כראש הממשלה, בטרם הוגשו נגדו כתבי אישום, מחליט להתפטר מתפקיד ראש הממשלה. הוא מעביר את השרביט לנשיא המדינה, אז שמעון פרס, ואומר: אני נשאר בתפקיד ממלא מקום ראש הממשלה, כל עוד מפלגת קדימה – מפלגת קדימה, שהוא עמד בראשה - - </w:t>
      </w:r>
    </w:p>
    <w:p w:rsidR="000C5C1F" w:rsidRDefault="000C5C1F" w:rsidP="000C5C1F">
      <w:pPr>
        <w:rPr>
          <w:rtl/>
        </w:rPr>
      </w:pPr>
      <w:bookmarkStart w:id="16671" w:name="_ETM_Q24_302000"/>
      <w:bookmarkEnd w:id="16671"/>
    </w:p>
    <w:p w:rsidR="000C5C1F" w:rsidRDefault="000C5C1F" w:rsidP="000C5C1F">
      <w:pPr>
        <w:pStyle w:val="af8"/>
        <w:keepNext/>
        <w:rPr>
          <w:rtl/>
        </w:rPr>
      </w:pPr>
      <w:bookmarkStart w:id="16672" w:name="ET_interruption_6430_34"/>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672"/>
    </w:p>
    <w:p w:rsidR="000C5C1F" w:rsidRDefault="000C5C1F" w:rsidP="00337201">
      <w:pPr>
        <w:rPr>
          <w:rtl/>
        </w:rPr>
      </w:pPr>
    </w:p>
    <w:p w:rsidR="000C5C1F" w:rsidRDefault="000C5C1F" w:rsidP="000C5C1F">
      <w:pPr>
        <w:rPr>
          <w:rtl/>
        </w:rPr>
      </w:pPr>
      <w:bookmarkStart w:id="16673" w:name="_ETM_Q24_304000"/>
      <w:bookmarkEnd w:id="16673"/>
      <w:r>
        <w:rPr>
          <w:rFonts w:hint="cs"/>
          <w:rtl/>
        </w:rPr>
        <w:t>- - -</w:t>
      </w:r>
    </w:p>
    <w:p w:rsidR="000C5C1F" w:rsidRDefault="000C5C1F" w:rsidP="000C5C1F">
      <w:pPr>
        <w:rPr>
          <w:rtl/>
        </w:rPr>
      </w:pPr>
      <w:bookmarkStart w:id="16674" w:name="_ETM_Q24_306000"/>
      <w:bookmarkEnd w:id="16674"/>
    </w:p>
    <w:p w:rsidR="000C5C1F" w:rsidRDefault="000C5C1F" w:rsidP="000C5C1F">
      <w:pPr>
        <w:pStyle w:val="-"/>
        <w:keepNext/>
        <w:rPr>
          <w:rtl/>
        </w:rPr>
      </w:pPr>
      <w:bookmarkStart w:id="16675" w:name="ET_speakercontinue_5792_35"/>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675"/>
    </w:p>
    <w:p w:rsidR="000C5C1F" w:rsidRDefault="000C5C1F" w:rsidP="00337201">
      <w:pPr>
        <w:rPr>
          <w:rtl/>
        </w:rPr>
      </w:pPr>
    </w:p>
    <w:p w:rsidR="000C5C1F" w:rsidRDefault="000C5C1F" w:rsidP="000C5C1F">
      <w:pPr>
        <w:rPr>
          <w:rtl/>
        </w:rPr>
      </w:pPr>
      <w:bookmarkStart w:id="16676" w:name="_ETM_Q24_307000"/>
      <w:bookmarkStart w:id="16677" w:name="_ETM_Q24_303000"/>
      <w:bookmarkEnd w:id="16676"/>
      <w:bookmarkEnd w:id="16677"/>
      <w:r>
        <w:rPr>
          <w:rFonts w:hint="cs"/>
          <w:rtl/>
        </w:rPr>
        <w:t xml:space="preserve">הוא אמר </w:t>
      </w:r>
      <w:bookmarkStart w:id="16678" w:name="_ETM_Q24_305000"/>
      <w:bookmarkEnd w:id="16678"/>
      <w:r>
        <w:rPr>
          <w:rFonts w:hint="cs"/>
          <w:rtl/>
        </w:rPr>
        <w:t xml:space="preserve">"מפלגת קדימה". </w:t>
      </w:r>
      <w:bookmarkStart w:id="16679" w:name="_ETM_Q24_315819"/>
      <w:bookmarkStart w:id="16680" w:name="_ETM_Q24_315874"/>
      <w:bookmarkStart w:id="16681" w:name="_ETM_Q24_315935"/>
      <w:bookmarkStart w:id="16682" w:name="_ETM_Q24_315981"/>
      <w:bookmarkStart w:id="16683" w:name="_ETM_Q24_317887"/>
      <w:bookmarkEnd w:id="16679"/>
      <w:bookmarkEnd w:id="16680"/>
      <w:bookmarkEnd w:id="16681"/>
      <w:bookmarkEnd w:id="16682"/>
      <w:bookmarkEnd w:id="16683"/>
      <w:r>
        <w:rPr>
          <w:rFonts w:hint="cs"/>
          <w:rtl/>
        </w:rPr>
        <w:t xml:space="preserve">- - תרכיב את הממשלה. אם הם ירכיבו את </w:t>
      </w:r>
      <w:bookmarkStart w:id="16684" w:name="_ETM_Q24_311000"/>
      <w:bookmarkEnd w:id="16684"/>
      <w:r>
        <w:rPr>
          <w:rFonts w:hint="cs"/>
          <w:rtl/>
        </w:rPr>
        <w:t xml:space="preserve">הממשלה, הממשלה תמשיך לכהן. ואז השרביט הזה מועבר </w:t>
      </w:r>
      <w:bookmarkStart w:id="16685" w:name="_ETM_Q24_315000"/>
      <w:bookmarkEnd w:id="16685"/>
      <w:r>
        <w:rPr>
          <w:rFonts w:hint="cs"/>
          <w:rtl/>
        </w:rPr>
        <w:t xml:space="preserve">לציפי לבני, שנכשלת במשימה, וכך המדינה הלכה לבחירות, שהיו </w:t>
      </w:r>
      <w:bookmarkStart w:id="16686" w:name="_ETM_Q24_324000"/>
      <w:bookmarkEnd w:id="16686"/>
      <w:r>
        <w:rPr>
          <w:rFonts w:hint="cs"/>
          <w:rtl/>
        </w:rPr>
        <w:t xml:space="preserve">בפברואר 2009. </w:t>
      </w:r>
    </w:p>
    <w:p w:rsidR="000C5C1F" w:rsidRDefault="000C5C1F" w:rsidP="000C5C1F">
      <w:pPr>
        <w:rPr>
          <w:rtl/>
        </w:rPr>
      </w:pPr>
      <w:bookmarkStart w:id="16687" w:name="_ETM_Q24_322000"/>
      <w:bookmarkEnd w:id="16687"/>
      <w:r>
        <w:rPr>
          <w:rFonts w:hint="cs"/>
          <w:rtl/>
        </w:rPr>
        <w:t xml:space="preserve"> </w:t>
      </w:r>
    </w:p>
    <w:p w:rsidR="000C5C1F" w:rsidRDefault="000C5C1F" w:rsidP="000C5C1F">
      <w:pPr>
        <w:rPr>
          <w:rtl/>
          <w:lang w:eastAsia="he-IL"/>
        </w:rPr>
      </w:pPr>
      <w:r>
        <w:rPr>
          <w:rFonts w:hint="cs"/>
          <w:rtl/>
          <w:lang w:eastAsia="he-IL"/>
        </w:rPr>
        <w:t xml:space="preserve">למה זה חשוב? משום שזה עניין של פוזיציה. </w:t>
      </w:r>
      <w:bookmarkStart w:id="16688" w:name="_ETM_Q24_331000"/>
      <w:bookmarkEnd w:id="16688"/>
      <w:r>
        <w:rPr>
          <w:rFonts w:hint="cs"/>
          <w:rtl/>
          <w:lang w:eastAsia="he-IL"/>
        </w:rPr>
        <w:t xml:space="preserve">כשנוח לך לבוא ולקדם חוק שמגביל אותך עם כתבי אישום להיות ראש הממשלה, אתה מצביע בעד. כשאתה נמצא תחת כתב אישום, אתה נמצא על ספסל הנאשמים, ואתה מנהל לא רק חמש מערכות בחירות; בואו ניזכר למה הלכנו כמה פעמים לבחירות – כי הוא לא קיבל את התוצאה הראויה. </w:t>
      </w:r>
    </w:p>
    <w:p w:rsidR="000C5C1F" w:rsidRDefault="000C5C1F" w:rsidP="000C5C1F">
      <w:pPr>
        <w:rPr>
          <w:rtl/>
          <w:lang w:eastAsia="he-IL"/>
        </w:rPr>
      </w:pPr>
      <w:bookmarkStart w:id="16689" w:name="_ETM_Q0_14002517"/>
      <w:bookmarkStart w:id="16690" w:name="_ETM_Q0_14002650"/>
      <w:bookmarkStart w:id="16691" w:name="_ETM_Q0_14002677"/>
      <w:bookmarkEnd w:id="16689"/>
      <w:bookmarkEnd w:id="16690"/>
      <w:bookmarkEnd w:id="16691"/>
    </w:p>
    <w:p w:rsidR="000C5C1F" w:rsidRDefault="000C5C1F" w:rsidP="000C5C1F">
      <w:pPr>
        <w:rPr>
          <w:rtl/>
          <w:lang w:eastAsia="he-IL"/>
        </w:rPr>
      </w:pPr>
      <w:bookmarkStart w:id="16692" w:name="_ETM_Q0_14002769"/>
      <w:bookmarkEnd w:id="16692"/>
      <w:r>
        <w:rPr>
          <w:rFonts w:hint="cs"/>
          <w:rtl/>
          <w:lang w:eastAsia="he-IL"/>
        </w:rPr>
        <w:t xml:space="preserve">צריך להגיד, דרך </w:t>
      </w:r>
      <w:bookmarkStart w:id="16693" w:name="_ETM_Q24_354000"/>
      <w:bookmarkEnd w:id="16693"/>
      <w:r>
        <w:rPr>
          <w:rFonts w:hint="cs"/>
          <w:rtl/>
          <w:lang w:eastAsia="he-IL"/>
        </w:rPr>
        <w:t xml:space="preserve">אגב, לזכותכם, שהציבור שלכם מקשיב לכם, לטוב או לרע, זאת הדעה האישית שלי, אבל לפחות בהצבעה יצאתם כמעט ב-100%. </w:t>
      </w:r>
      <w:bookmarkStart w:id="16694" w:name="_ETM_Q24_369255"/>
      <w:bookmarkStart w:id="16695" w:name="_ETM_Q24_369300"/>
      <w:bookmarkStart w:id="16696" w:name="_ETM_Q24_369391"/>
      <w:bookmarkStart w:id="16697" w:name="_ETM_Q24_369437"/>
      <w:bookmarkEnd w:id="16694"/>
      <w:bookmarkEnd w:id="16695"/>
      <w:bookmarkEnd w:id="16696"/>
      <w:bookmarkEnd w:id="16697"/>
      <w:r>
        <w:rPr>
          <w:rFonts w:hint="cs"/>
          <w:rtl/>
          <w:lang w:eastAsia="he-IL"/>
        </w:rPr>
        <w:t xml:space="preserve">הציבור החילוני ששומע אותנו היום, הוא צריך לבוא קודם כול בטענה לא רק אלינו כאופוזיציה, אלא </w:t>
      </w:r>
      <w:bookmarkStart w:id="16698" w:name="_ETM_Q24_377000"/>
      <w:bookmarkEnd w:id="16698"/>
      <w:r>
        <w:rPr>
          <w:rFonts w:hint="cs"/>
          <w:rtl/>
          <w:lang w:eastAsia="he-IL"/>
        </w:rPr>
        <w:t xml:space="preserve">גם להסתכל על נתוני ההצבעה. במקומות שהאוכלוסייה החרדית מתגוררת ההצבעה הייתה – אני לא יכול להגיד כמעט 100%, אבל במונחים של 89%, ובמקומות כמו בת ים, נוף הגליל, אשקלון, נתניה, זה לא עבר את ה-60% ומשהו, כשהממוצע היה 70%. </w:t>
      </w:r>
    </w:p>
    <w:p w:rsidR="000C5C1F" w:rsidRDefault="000C5C1F" w:rsidP="000C5C1F">
      <w:pPr>
        <w:rPr>
          <w:rtl/>
          <w:lang w:eastAsia="he-IL"/>
        </w:rPr>
      </w:pPr>
    </w:p>
    <w:p w:rsidR="000C5C1F" w:rsidRDefault="000C5C1F" w:rsidP="000C5C1F">
      <w:pPr>
        <w:rPr>
          <w:rtl/>
          <w:lang w:eastAsia="he-IL"/>
        </w:rPr>
      </w:pPr>
      <w:bookmarkStart w:id="16699" w:name="_ETM_Q24_398000"/>
      <w:bookmarkEnd w:id="16699"/>
      <w:r>
        <w:rPr>
          <w:rFonts w:hint="cs"/>
          <w:rtl/>
          <w:lang w:eastAsia="he-IL"/>
        </w:rPr>
        <w:t xml:space="preserve">אפשר להגיד </w:t>
      </w:r>
      <w:bookmarkStart w:id="16700" w:name="_ETM_Q24_400000"/>
      <w:bookmarkEnd w:id="16700"/>
      <w:r>
        <w:rPr>
          <w:rFonts w:hint="cs"/>
          <w:rtl/>
          <w:lang w:eastAsia="he-IL"/>
        </w:rPr>
        <w:t xml:space="preserve">שאתם הרוב? לא, אתם לא הרוב. אתה יודע מתמטיקה, למרות שאתה מעודד לא ללמוד ליבה. אתה יודע מתמטיקה היטב. </w:t>
      </w:r>
    </w:p>
    <w:p w:rsidR="000C5C1F" w:rsidRDefault="000C5C1F" w:rsidP="000C5C1F">
      <w:pPr>
        <w:rPr>
          <w:rtl/>
          <w:lang w:eastAsia="he-IL"/>
        </w:rPr>
      </w:pPr>
    </w:p>
    <w:p w:rsidR="000C5C1F" w:rsidRDefault="000C5C1F" w:rsidP="000C5C1F">
      <w:pPr>
        <w:pStyle w:val="af8"/>
        <w:keepNext/>
        <w:rPr>
          <w:rtl/>
        </w:rPr>
      </w:pPr>
      <w:bookmarkStart w:id="16701" w:name="ET_interruption_6430_36"/>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01"/>
    </w:p>
    <w:p w:rsidR="000C5C1F" w:rsidRDefault="000C5C1F" w:rsidP="00337201">
      <w:pPr>
        <w:rPr>
          <w:rtl/>
          <w:lang w:eastAsia="he-IL"/>
        </w:rPr>
      </w:pPr>
    </w:p>
    <w:p w:rsidR="000C5C1F" w:rsidRDefault="000C5C1F" w:rsidP="000C5C1F">
      <w:pPr>
        <w:rPr>
          <w:rtl/>
          <w:lang w:eastAsia="he-IL"/>
        </w:rPr>
      </w:pPr>
      <w:r>
        <w:rPr>
          <w:rFonts w:hint="cs"/>
          <w:rtl/>
          <w:lang w:eastAsia="he-IL"/>
        </w:rPr>
        <w:t>אני מעולם לא אמרתי את זה.</w:t>
      </w:r>
    </w:p>
    <w:p w:rsidR="000C5C1F" w:rsidRDefault="000C5C1F" w:rsidP="000C5C1F">
      <w:pPr>
        <w:rPr>
          <w:rtl/>
          <w:lang w:eastAsia="he-IL"/>
        </w:rPr>
      </w:pPr>
      <w:bookmarkStart w:id="16702" w:name="_ETM_Q24_413000"/>
      <w:bookmarkEnd w:id="16702"/>
    </w:p>
    <w:p w:rsidR="000C5C1F" w:rsidRDefault="000C5C1F" w:rsidP="000C5C1F">
      <w:pPr>
        <w:pStyle w:val="-"/>
        <w:keepNext/>
        <w:rPr>
          <w:rtl/>
        </w:rPr>
      </w:pPr>
      <w:bookmarkStart w:id="16703" w:name="ET_speakercontinue_5792_37"/>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03"/>
    </w:p>
    <w:p w:rsidR="000C5C1F" w:rsidRDefault="000C5C1F" w:rsidP="00337201">
      <w:pPr>
        <w:rPr>
          <w:rtl/>
          <w:lang w:eastAsia="he-IL"/>
        </w:rPr>
      </w:pPr>
    </w:p>
    <w:p w:rsidR="000C5C1F" w:rsidRDefault="000C5C1F" w:rsidP="000C5C1F">
      <w:pPr>
        <w:rPr>
          <w:rtl/>
          <w:lang w:eastAsia="he-IL"/>
        </w:rPr>
      </w:pPr>
      <w:bookmarkStart w:id="16704" w:name="_ETM_Q24_408000"/>
      <w:bookmarkEnd w:id="16704"/>
      <w:r>
        <w:rPr>
          <w:rFonts w:hint="cs"/>
          <w:rtl/>
          <w:lang w:eastAsia="he-IL"/>
        </w:rPr>
        <w:t xml:space="preserve">אה, אתה מעודד </w:t>
      </w:r>
      <w:bookmarkStart w:id="16705" w:name="_ETM_Q24_412000"/>
      <w:bookmarkEnd w:id="16705"/>
      <w:r>
        <w:rPr>
          <w:rFonts w:hint="cs"/>
          <w:rtl/>
          <w:lang w:eastAsia="he-IL"/>
        </w:rPr>
        <w:t xml:space="preserve">לימודי ליבה? טוב לדעת שאתה מעודד לימודי ליבה. </w:t>
      </w:r>
    </w:p>
    <w:p w:rsidR="000C5C1F" w:rsidRDefault="000C5C1F" w:rsidP="000C5C1F">
      <w:pPr>
        <w:rPr>
          <w:rtl/>
          <w:lang w:eastAsia="he-IL"/>
        </w:rPr>
      </w:pPr>
    </w:p>
    <w:p w:rsidR="000C5C1F" w:rsidRDefault="000C5C1F" w:rsidP="000C5C1F">
      <w:pPr>
        <w:pStyle w:val="af8"/>
        <w:keepNext/>
        <w:rPr>
          <w:rtl/>
        </w:rPr>
      </w:pPr>
      <w:bookmarkStart w:id="16706" w:name="ET_interruption_6430_38"/>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06"/>
    </w:p>
    <w:p w:rsidR="000C5C1F" w:rsidRDefault="000C5C1F" w:rsidP="00337201">
      <w:pPr>
        <w:rPr>
          <w:rtl/>
          <w:lang w:eastAsia="he-IL"/>
        </w:rPr>
      </w:pPr>
    </w:p>
    <w:p w:rsidR="000C5C1F" w:rsidRDefault="000C5C1F" w:rsidP="000C5C1F">
      <w:pPr>
        <w:rPr>
          <w:rtl/>
          <w:lang w:eastAsia="he-IL"/>
        </w:rPr>
      </w:pPr>
      <w:bookmarkStart w:id="16707" w:name="_ETM_Q24_414000"/>
      <w:bookmarkEnd w:id="16707"/>
      <w:r>
        <w:rPr>
          <w:rFonts w:hint="cs"/>
          <w:rtl/>
          <w:lang w:eastAsia="he-IL"/>
        </w:rPr>
        <w:t xml:space="preserve">אני אמרתי – בוא, בוא, אל תגיד בשמי משהו </w:t>
      </w:r>
      <w:bookmarkStart w:id="16708" w:name="_ETM_Q24_415000"/>
      <w:bookmarkEnd w:id="16708"/>
      <w:r>
        <w:rPr>
          <w:rFonts w:hint="cs"/>
          <w:rtl/>
          <w:lang w:eastAsia="he-IL"/>
        </w:rPr>
        <w:t>שאני - - -</w:t>
      </w:r>
    </w:p>
    <w:p w:rsidR="000C5C1F" w:rsidRDefault="000C5C1F" w:rsidP="000C5C1F">
      <w:pPr>
        <w:rPr>
          <w:rtl/>
          <w:lang w:eastAsia="he-IL"/>
        </w:rPr>
      </w:pPr>
    </w:p>
    <w:p w:rsidR="000C5C1F" w:rsidRDefault="000C5C1F" w:rsidP="000C5C1F">
      <w:pPr>
        <w:pStyle w:val="-"/>
        <w:keepNext/>
        <w:rPr>
          <w:rtl/>
        </w:rPr>
      </w:pPr>
      <w:bookmarkStart w:id="16709" w:name="ET_speakercontinue_5792_39"/>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09"/>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לא אגיד בשמך. </w:t>
      </w:r>
    </w:p>
    <w:p w:rsidR="000C5C1F" w:rsidRDefault="000C5C1F" w:rsidP="000C5C1F">
      <w:pPr>
        <w:rPr>
          <w:rtl/>
          <w:lang w:eastAsia="he-IL"/>
        </w:rPr>
      </w:pPr>
      <w:bookmarkStart w:id="16710" w:name="_ETM_Q24_417000"/>
      <w:bookmarkEnd w:id="16710"/>
    </w:p>
    <w:p w:rsidR="000C5C1F" w:rsidRDefault="000C5C1F" w:rsidP="000C5C1F">
      <w:pPr>
        <w:pStyle w:val="af8"/>
        <w:keepNext/>
        <w:rPr>
          <w:rtl/>
        </w:rPr>
      </w:pPr>
      <w:bookmarkStart w:id="16711" w:name="ET_interruption_6430_40"/>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11"/>
    </w:p>
    <w:p w:rsidR="000C5C1F" w:rsidRDefault="000C5C1F" w:rsidP="00337201">
      <w:pPr>
        <w:rPr>
          <w:rtl/>
          <w:lang w:eastAsia="he-IL"/>
        </w:rPr>
      </w:pPr>
    </w:p>
    <w:p w:rsidR="000C5C1F" w:rsidRDefault="000C5C1F" w:rsidP="000C5C1F">
      <w:pPr>
        <w:rPr>
          <w:rtl/>
          <w:lang w:eastAsia="he-IL"/>
        </w:rPr>
      </w:pPr>
      <w:bookmarkStart w:id="16712" w:name="_ETM_Q24_419000"/>
      <w:bookmarkEnd w:id="16712"/>
      <w:r>
        <w:rPr>
          <w:rFonts w:hint="cs"/>
          <w:rtl/>
          <w:lang w:eastAsia="he-IL"/>
        </w:rPr>
        <w:t xml:space="preserve">אין החי יכול להכחיש את החי. </w:t>
      </w:r>
    </w:p>
    <w:p w:rsidR="000C5C1F" w:rsidRDefault="000C5C1F" w:rsidP="000C5C1F">
      <w:pPr>
        <w:rPr>
          <w:rtl/>
          <w:lang w:eastAsia="he-IL"/>
        </w:rPr>
      </w:pPr>
    </w:p>
    <w:p w:rsidR="000C5C1F" w:rsidRDefault="000C5C1F" w:rsidP="000C5C1F">
      <w:pPr>
        <w:pStyle w:val="-"/>
        <w:keepNext/>
        <w:rPr>
          <w:rtl/>
        </w:rPr>
      </w:pPr>
      <w:bookmarkStart w:id="16713" w:name="ET_speakercontinue_5792_41"/>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13"/>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תגיד. אני נותן את הזמן שלי שאתה תגיד שאתה </w:t>
      </w:r>
      <w:bookmarkStart w:id="16714" w:name="_ETM_Q24_421000"/>
      <w:bookmarkEnd w:id="16714"/>
      <w:r>
        <w:rPr>
          <w:rFonts w:hint="cs"/>
          <w:rtl/>
          <w:lang w:eastAsia="he-IL"/>
        </w:rPr>
        <w:t xml:space="preserve">מעודד לימודי ליבה. </w:t>
      </w:r>
    </w:p>
    <w:p w:rsidR="000C5C1F" w:rsidRDefault="000C5C1F" w:rsidP="000C5C1F">
      <w:pPr>
        <w:rPr>
          <w:rtl/>
          <w:lang w:eastAsia="he-IL"/>
        </w:rPr>
      </w:pPr>
      <w:bookmarkStart w:id="16715" w:name="_ETM_Q24_422000"/>
      <w:bookmarkEnd w:id="16715"/>
    </w:p>
    <w:p w:rsidR="000C5C1F" w:rsidRDefault="000C5C1F" w:rsidP="000C5C1F">
      <w:pPr>
        <w:pStyle w:val="af8"/>
        <w:keepNext/>
        <w:rPr>
          <w:rtl/>
        </w:rPr>
      </w:pPr>
      <w:bookmarkStart w:id="16716" w:name="ET_interruption_6430_42"/>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16"/>
    </w:p>
    <w:p w:rsidR="000C5C1F" w:rsidRDefault="000C5C1F" w:rsidP="00337201">
      <w:pPr>
        <w:rPr>
          <w:rtl/>
          <w:lang w:eastAsia="he-IL"/>
        </w:rPr>
      </w:pPr>
    </w:p>
    <w:p w:rsidR="000C5C1F" w:rsidRDefault="000C5C1F" w:rsidP="000C5C1F">
      <w:pPr>
        <w:rPr>
          <w:rtl/>
          <w:lang w:eastAsia="he-IL"/>
        </w:rPr>
      </w:pPr>
      <w:bookmarkStart w:id="16717" w:name="_ETM_Q24_425000"/>
      <w:bookmarkEnd w:id="16717"/>
      <w:r>
        <w:rPr>
          <w:rFonts w:hint="cs"/>
          <w:rtl/>
          <w:lang w:eastAsia="he-IL"/>
        </w:rPr>
        <w:t xml:space="preserve">אני אמרתי שאני בהחלט סבור שצריך ללמוד ליבה, השאלה מי קובע מה זה הליבה. </w:t>
      </w:r>
    </w:p>
    <w:p w:rsidR="000C5C1F" w:rsidRDefault="000C5C1F" w:rsidP="000C5C1F">
      <w:pPr>
        <w:rPr>
          <w:rtl/>
          <w:lang w:eastAsia="he-IL"/>
        </w:rPr>
      </w:pPr>
      <w:bookmarkStart w:id="16718" w:name="_ETM_Q24_430000"/>
      <w:bookmarkEnd w:id="16718"/>
    </w:p>
    <w:p w:rsidR="000C5C1F" w:rsidRDefault="000C5C1F" w:rsidP="000C5C1F">
      <w:pPr>
        <w:pStyle w:val="-"/>
        <w:keepNext/>
        <w:rPr>
          <w:rtl/>
        </w:rPr>
      </w:pPr>
      <w:bookmarkStart w:id="16719" w:name="ET_speakercontinue_5792_43"/>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19"/>
    </w:p>
    <w:p w:rsidR="000C5C1F" w:rsidRDefault="000C5C1F" w:rsidP="00337201">
      <w:pPr>
        <w:rPr>
          <w:rtl/>
          <w:lang w:eastAsia="he-IL"/>
        </w:rPr>
      </w:pPr>
    </w:p>
    <w:p w:rsidR="000C5C1F" w:rsidRDefault="000C5C1F" w:rsidP="000C5C1F">
      <w:pPr>
        <w:rPr>
          <w:rtl/>
          <w:lang w:eastAsia="he-IL"/>
        </w:rPr>
      </w:pPr>
      <w:bookmarkStart w:id="16720" w:name="_ETM_Q24_431000"/>
      <w:bookmarkEnd w:id="16720"/>
      <w:r>
        <w:rPr>
          <w:rFonts w:hint="cs"/>
          <w:rtl/>
          <w:lang w:eastAsia="he-IL"/>
        </w:rPr>
        <w:t xml:space="preserve">תגיד, </w:t>
      </w:r>
      <w:bookmarkStart w:id="16721" w:name="_ETM_Q24_433000"/>
      <w:bookmarkEnd w:id="16721"/>
      <w:r>
        <w:rPr>
          <w:rFonts w:hint="cs"/>
          <w:rtl/>
          <w:lang w:eastAsia="he-IL"/>
        </w:rPr>
        <w:t>אתה בעד לימודי מתמטיקה?</w:t>
      </w:r>
    </w:p>
    <w:p w:rsidR="000C5C1F" w:rsidRDefault="000C5C1F" w:rsidP="000C5C1F">
      <w:pPr>
        <w:rPr>
          <w:rtl/>
          <w:lang w:eastAsia="he-IL"/>
        </w:rPr>
      </w:pPr>
    </w:p>
    <w:p w:rsidR="000C5C1F" w:rsidRDefault="000C5C1F" w:rsidP="000C5C1F">
      <w:pPr>
        <w:pStyle w:val="af8"/>
        <w:keepNext/>
        <w:rPr>
          <w:rtl/>
        </w:rPr>
      </w:pPr>
      <w:bookmarkStart w:id="16722" w:name="ET_interruption_6430_44"/>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22"/>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עכשיו שאלת אותי שאלה לתוך שאלה. </w:t>
      </w:r>
    </w:p>
    <w:p w:rsidR="000C5C1F" w:rsidRDefault="000C5C1F" w:rsidP="000C5C1F">
      <w:pPr>
        <w:rPr>
          <w:rtl/>
          <w:lang w:eastAsia="he-IL"/>
        </w:rPr>
      </w:pPr>
    </w:p>
    <w:p w:rsidR="000C5C1F" w:rsidRDefault="000C5C1F" w:rsidP="000C5C1F">
      <w:pPr>
        <w:pStyle w:val="-"/>
        <w:keepNext/>
        <w:rPr>
          <w:rtl/>
        </w:rPr>
      </w:pPr>
      <w:bookmarkStart w:id="16723" w:name="ET_speakercontinue_5792_45"/>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23"/>
    </w:p>
    <w:p w:rsidR="000C5C1F" w:rsidRDefault="000C5C1F" w:rsidP="00337201">
      <w:pPr>
        <w:rPr>
          <w:rtl/>
          <w:lang w:eastAsia="he-IL"/>
        </w:rPr>
      </w:pPr>
    </w:p>
    <w:p w:rsidR="000C5C1F" w:rsidRDefault="000C5C1F" w:rsidP="000C5C1F">
      <w:pPr>
        <w:rPr>
          <w:rtl/>
          <w:lang w:eastAsia="he-IL"/>
        </w:rPr>
      </w:pPr>
      <w:bookmarkStart w:id="16724" w:name="_ETM_Q24_432000"/>
      <w:bookmarkEnd w:id="16724"/>
      <w:r>
        <w:rPr>
          <w:rFonts w:hint="cs"/>
          <w:rtl/>
          <w:lang w:eastAsia="he-IL"/>
        </w:rPr>
        <w:t xml:space="preserve">כן, תגיד שאתה בעד </w:t>
      </w:r>
      <w:bookmarkStart w:id="16725" w:name="_ETM_Q24_436000"/>
      <w:bookmarkEnd w:id="16725"/>
      <w:r>
        <w:rPr>
          <w:rFonts w:hint="cs"/>
          <w:rtl/>
          <w:lang w:eastAsia="he-IL"/>
        </w:rPr>
        <w:t xml:space="preserve">לימודי מתמטיקה. </w:t>
      </w:r>
    </w:p>
    <w:p w:rsidR="000C5C1F" w:rsidRDefault="000C5C1F" w:rsidP="000C5C1F">
      <w:pPr>
        <w:rPr>
          <w:rtl/>
          <w:lang w:eastAsia="he-IL"/>
        </w:rPr>
      </w:pPr>
      <w:bookmarkStart w:id="16726" w:name="_ETM_Q24_434000"/>
      <w:bookmarkEnd w:id="16726"/>
    </w:p>
    <w:p w:rsidR="000C5C1F" w:rsidRDefault="000C5C1F" w:rsidP="000C5C1F">
      <w:pPr>
        <w:pStyle w:val="af8"/>
        <w:keepNext/>
        <w:rPr>
          <w:rtl/>
        </w:rPr>
      </w:pPr>
      <w:bookmarkStart w:id="16727" w:name="ET_interruption_6430_46"/>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27"/>
    </w:p>
    <w:p w:rsidR="000C5C1F" w:rsidRDefault="000C5C1F" w:rsidP="00337201">
      <w:pPr>
        <w:rPr>
          <w:rtl/>
          <w:lang w:eastAsia="he-IL"/>
        </w:rPr>
      </w:pPr>
    </w:p>
    <w:p w:rsidR="000C5C1F" w:rsidRDefault="000C5C1F" w:rsidP="000C5C1F">
      <w:pPr>
        <w:rPr>
          <w:rtl/>
          <w:lang w:eastAsia="he-IL"/>
        </w:rPr>
      </w:pPr>
      <w:bookmarkStart w:id="16728" w:name="_ETM_Q24_435000"/>
      <w:bookmarkEnd w:id="16728"/>
      <w:r>
        <w:rPr>
          <w:rFonts w:hint="cs"/>
          <w:rtl/>
          <w:lang w:eastAsia="he-IL"/>
        </w:rPr>
        <w:t>קודם תענה לי על השאלה: מי קובע מה זה ליבה? פרופסורים מדרום קוריאה, מאמריקה ומישראל?</w:t>
      </w:r>
    </w:p>
    <w:p w:rsidR="000C5C1F" w:rsidRDefault="000C5C1F" w:rsidP="000C5C1F">
      <w:pPr>
        <w:rPr>
          <w:rtl/>
          <w:lang w:eastAsia="he-IL"/>
        </w:rPr>
      </w:pPr>
    </w:p>
    <w:p w:rsidR="000C5C1F" w:rsidRDefault="000C5C1F" w:rsidP="000C5C1F">
      <w:pPr>
        <w:pStyle w:val="-"/>
        <w:keepNext/>
        <w:rPr>
          <w:rtl/>
        </w:rPr>
      </w:pPr>
      <w:bookmarkStart w:id="16729" w:name="ET_speakercontinue_5792_47"/>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29"/>
    </w:p>
    <w:p w:rsidR="000C5C1F" w:rsidRDefault="000C5C1F" w:rsidP="00337201">
      <w:pPr>
        <w:rPr>
          <w:rtl/>
          <w:lang w:eastAsia="he-IL"/>
        </w:rPr>
      </w:pPr>
    </w:p>
    <w:p w:rsidR="000C5C1F" w:rsidRDefault="000C5C1F" w:rsidP="000C5C1F">
      <w:pPr>
        <w:rPr>
          <w:rtl/>
          <w:lang w:eastAsia="he-IL"/>
        </w:rPr>
      </w:pPr>
      <w:bookmarkStart w:id="16730" w:name="_ETM_Q24_441000"/>
      <w:bookmarkEnd w:id="16730"/>
      <w:r>
        <w:rPr>
          <w:rFonts w:hint="cs"/>
          <w:rtl/>
          <w:lang w:eastAsia="he-IL"/>
        </w:rPr>
        <w:t xml:space="preserve">אני חושב שהוועדה שהייתה ב-2002 - </w:t>
      </w:r>
      <w:bookmarkStart w:id="16731" w:name="_ETM_Q24_445000"/>
      <w:bookmarkEnd w:id="16731"/>
      <w:r>
        <w:rPr>
          <w:rFonts w:hint="cs"/>
          <w:rtl/>
          <w:lang w:eastAsia="he-IL"/>
        </w:rPr>
        <w:t>- -</w:t>
      </w:r>
    </w:p>
    <w:p w:rsidR="000C5C1F" w:rsidRDefault="000C5C1F" w:rsidP="000C5C1F">
      <w:pPr>
        <w:rPr>
          <w:rtl/>
          <w:lang w:eastAsia="he-IL"/>
        </w:rPr>
      </w:pPr>
      <w:bookmarkStart w:id="16732" w:name="_ETM_Q24_443000"/>
      <w:bookmarkEnd w:id="16732"/>
    </w:p>
    <w:p w:rsidR="000C5C1F" w:rsidRDefault="000C5C1F" w:rsidP="000C5C1F">
      <w:pPr>
        <w:pStyle w:val="af8"/>
        <w:keepNext/>
        <w:rPr>
          <w:rtl/>
        </w:rPr>
      </w:pPr>
      <w:bookmarkStart w:id="16733" w:name="ET_interruption_6430_48"/>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33"/>
    </w:p>
    <w:p w:rsidR="000C5C1F" w:rsidRDefault="000C5C1F" w:rsidP="00337201">
      <w:pPr>
        <w:rPr>
          <w:rtl/>
          <w:lang w:eastAsia="he-IL"/>
        </w:rPr>
      </w:pPr>
    </w:p>
    <w:p w:rsidR="000C5C1F" w:rsidRDefault="000C5C1F" w:rsidP="000C5C1F">
      <w:pPr>
        <w:rPr>
          <w:rtl/>
          <w:lang w:eastAsia="he-IL"/>
        </w:rPr>
      </w:pPr>
      <w:bookmarkStart w:id="16734" w:name="_ETM_Q24_440000"/>
      <w:bookmarkEnd w:id="16734"/>
      <w:r>
        <w:rPr>
          <w:rFonts w:hint="cs"/>
          <w:rtl/>
          <w:lang w:eastAsia="he-IL"/>
        </w:rPr>
        <w:t xml:space="preserve">בוא נשב ביחד ונחליט מה זאת ליבה בכל המגזרים. </w:t>
      </w:r>
    </w:p>
    <w:p w:rsidR="000C5C1F" w:rsidRDefault="000C5C1F" w:rsidP="000C5C1F">
      <w:pPr>
        <w:rPr>
          <w:rtl/>
          <w:lang w:eastAsia="he-IL"/>
        </w:rPr>
      </w:pPr>
    </w:p>
    <w:p w:rsidR="000C5C1F" w:rsidRDefault="000C5C1F" w:rsidP="000C5C1F">
      <w:pPr>
        <w:pStyle w:val="af9"/>
        <w:keepNext/>
        <w:rPr>
          <w:rtl/>
        </w:rPr>
      </w:pPr>
      <w:bookmarkStart w:id="16735" w:name="ET_yor_6488_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735"/>
    </w:p>
    <w:p w:rsidR="000C5C1F" w:rsidRDefault="000C5C1F" w:rsidP="00337201">
      <w:pPr>
        <w:rPr>
          <w:rtl/>
          <w:lang w:eastAsia="he-IL"/>
        </w:rPr>
      </w:pPr>
    </w:p>
    <w:p w:rsidR="000C5C1F" w:rsidRDefault="000C5C1F" w:rsidP="000C5C1F">
      <w:pPr>
        <w:rPr>
          <w:rtl/>
          <w:lang w:eastAsia="he-IL"/>
        </w:rPr>
      </w:pPr>
      <w:bookmarkStart w:id="16736" w:name="_ETM_Q24_446000"/>
      <w:bookmarkEnd w:id="16736"/>
      <w:r>
        <w:rPr>
          <w:rFonts w:hint="cs"/>
          <w:rtl/>
          <w:lang w:eastAsia="he-IL"/>
        </w:rPr>
        <w:t xml:space="preserve">ראשי התיבות ליב"ה גם יכולים להיות "לימודי יהדות במוסדות החינוך", זה מה שהוא אומר. </w:t>
      </w:r>
    </w:p>
    <w:p w:rsidR="000C5C1F" w:rsidRDefault="000C5C1F" w:rsidP="00337201">
      <w:pPr>
        <w:rPr>
          <w:rtl/>
          <w:lang w:eastAsia="he-IL"/>
        </w:rPr>
      </w:pPr>
      <w:bookmarkStart w:id="16737" w:name="_ETM_Q24_451000"/>
      <w:bookmarkEnd w:id="16737"/>
    </w:p>
    <w:p w:rsidR="000C5C1F" w:rsidRDefault="000C5C1F" w:rsidP="000C5C1F">
      <w:pPr>
        <w:pStyle w:val="af8"/>
        <w:keepNext/>
        <w:rPr>
          <w:rtl/>
        </w:rPr>
      </w:pPr>
      <w:bookmarkStart w:id="16738" w:name="ET_interruption_6430_49"/>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38"/>
    </w:p>
    <w:p w:rsidR="000C5C1F" w:rsidRDefault="000C5C1F" w:rsidP="00337201">
      <w:pPr>
        <w:rPr>
          <w:rtl/>
          <w:lang w:eastAsia="he-IL"/>
        </w:rPr>
      </w:pPr>
    </w:p>
    <w:p w:rsidR="000C5C1F" w:rsidRDefault="000C5C1F" w:rsidP="000C5C1F">
      <w:pPr>
        <w:rPr>
          <w:rtl/>
          <w:lang w:eastAsia="he-IL"/>
        </w:rPr>
      </w:pPr>
      <w:bookmarkStart w:id="16739" w:name="_ETM_Q24_452000"/>
      <w:bookmarkEnd w:id="16739"/>
      <w:r>
        <w:rPr>
          <w:rFonts w:hint="cs"/>
          <w:rtl/>
          <w:lang w:eastAsia="he-IL"/>
        </w:rPr>
        <w:t xml:space="preserve">תכף ראשי </w:t>
      </w:r>
      <w:bookmarkStart w:id="16740" w:name="_ETM_Q24_456000"/>
      <w:bookmarkEnd w:id="16740"/>
      <w:r>
        <w:rPr>
          <w:rFonts w:hint="cs"/>
          <w:rtl/>
          <w:lang w:eastAsia="he-IL"/>
        </w:rPr>
        <w:t>תיבות – עוד לא הגעתי איתו לזה. קודם כול - - -</w:t>
      </w:r>
    </w:p>
    <w:p w:rsidR="000C5C1F" w:rsidRDefault="000C5C1F" w:rsidP="000C5C1F">
      <w:pPr>
        <w:rPr>
          <w:rtl/>
          <w:lang w:eastAsia="he-IL"/>
        </w:rPr>
      </w:pPr>
      <w:bookmarkStart w:id="16741" w:name="_ETM_Q24_455102"/>
      <w:bookmarkStart w:id="16742" w:name="_ETM_Q24_455224"/>
      <w:bookmarkEnd w:id="16741"/>
      <w:bookmarkEnd w:id="16742"/>
    </w:p>
    <w:p w:rsidR="000C5C1F" w:rsidRDefault="000C5C1F" w:rsidP="000C5C1F">
      <w:pPr>
        <w:pStyle w:val="-"/>
        <w:keepNext/>
        <w:rPr>
          <w:rtl/>
        </w:rPr>
      </w:pPr>
      <w:r>
        <w:rPr>
          <w:rStyle w:val="TagStyle"/>
          <w:rFonts w:hint="cs"/>
          <w:rtl/>
        </w:rPr>
        <w:t xml:space="preserve">&lt;&lt;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0C5C1F" w:rsidRDefault="000C5C1F" w:rsidP="00337201">
      <w:pPr>
        <w:rPr>
          <w:rtl/>
          <w:lang w:eastAsia="he-IL"/>
        </w:rPr>
      </w:pPr>
    </w:p>
    <w:p w:rsidR="000C5C1F" w:rsidRDefault="000C5C1F" w:rsidP="000C5C1F">
      <w:pPr>
        <w:rPr>
          <w:rtl/>
          <w:lang w:eastAsia="he-IL"/>
        </w:rPr>
      </w:pPr>
      <w:bookmarkStart w:id="16743" w:name="_ETM_Q24_454822"/>
      <w:bookmarkEnd w:id="16743"/>
      <w:r>
        <w:rPr>
          <w:rFonts w:hint="cs"/>
          <w:rtl/>
          <w:lang w:eastAsia="he-IL"/>
        </w:rPr>
        <w:t>לא, הוא חושב - - -</w:t>
      </w:r>
    </w:p>
    <w:p w:rsidR="000C5C1F" w:rsidRDefault="000C5C1F" w:rsidP="000C5C1F">
      <w:pPr>
        <w:rPr>
          <w:rtl/>
          <w:lang w:eastAsia="he-IL"/>
        </w:rPr>
      </w:pPr>
      <w:bookmarkStart w:id="16744" w:name="_ETM_Q24_454000"/>
      <w:bookmarkEnd w:id="16744"/>
    </w:p>
    <w:p w:rsidR="000C5C1F" w:rsidRDefault="000C5C1F" w:rsidP="000C5C1F">
      <w:pPr>
        <w:pStyle w:val="af9"/>
        <w:keepNext/>
        <w:rPr>
          <w:rtl/>
        </w:rPr>
      </w:pPr>
      <w:bookmarkStart w:id="16745" w:name="ET_yor_6488_5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745"/>
    </w:p>
    <w:p w:rsidR="000C5C1F" w:rsidRDefault="000C5C1F" w:rsidP="00337201">
      <w:pPr>
        <w:rPr>
          <w:rtl/>
          <w:lang w:eastAsia="he-IL"/>
        </w:rPr>
      </w:pPr>
    </w:p>
    <w:p w:rsidR="000C5C1F" w:rsidRDefault="000C5C1F" w:rsidP="000C5C1F">
      <w:pPr>
        <w:rPr>
          <w:rtl/>
          <w:lang w:eastAsia="he-IL"/>
        </w:rPr>
      </w:pPr>
      <w:bookmarkStart w:id="16746" w:name="_ETM_Q24_455000"/>
      <w:bookmarkEnd w:id="16746"/>
      <w:r>
        <w:rPr>
          <w:rFonts w:hint="cs"/>
          <w:rtl/>
          <w:lang w:eastAsia="he-IL"/>
        </w:rPr>
        <w:t xml:space="preserve">שאלת מי </w:t>
      </w:r>
      <w:bookmarkStart w:id="16747" w:name="_ETM_Q24_455286"/>
      <w:bookmarkEnd w:id="16747"/>
      <w:r>
        <w:rPr>
          <w:rFonts w:hint="cs"/>
          <w:rtl/>
          <w:lang w:eastAsia="he-IL"/>
        </w:rPr>
        <w:t xml:space="preserve">קובע מה זה ליבה. </w:t>
      </w:r>
      <w:bookmarkStart w:id="16748" w:name="_ETM_Q24_457000"/>
      <w:bookmarkEnd w:id="16748"/>
    </w:p>
    <w:p w:rsidR="000C5C1F" w:rsidRDefault="000C5C1F" w:rsidP="000C5C1F">
      <w:pPr>
        <w:rPr>
          <w:rtl/>
          <w:lang w:eastAsia="he-IL"/>
        </w:rPr>
      </w:pPr>
    </w:p>
    <w:p w:rsidR="000C5C1F" w:rsidRDefault="000C5C1F" w:rsidP="000C5C1F">
      <w:pPr>
        <w:pStyle w:val="-"/>
        <w:keepNext/>
        <w:rPr>
          <w:rtl/>
        </w:rPr>
      </w:pPr>
      <w:bookmarkStart w:id="16749" w:name="ET_speakercontinue_5792_51"/>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49"/>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אדוני היושב-ראש חושב במונחים </w:t>
      </w:r>
      <w:bookmarkStart w:id="16750" w:name="_ETM_Q24_458000"/>
      <w:bookmarkEnd w:id="16750"/>
      <w:r>
        <w:rPr>
          <w:rFonts w:hint="cs"/>
          <w:rtl/>
          <w:lang w:eastAsia="he-IL"/>
        </w:rPr>
        <w:t xml:space="preserve">של 31 באוקטובר. </w:t>
      </w:r>
    </w:p>
    <w:p w:rsidR="000C5C1F" w:rsidRDefault="000C5C1F" w:rsidP="000C5C1F">
      <w:pPr>
        <w:rPr>
          <w:rtl/>
          <w:lang w:eastAsia="he-IL"/>
        </w:rPr>
      </w:pPr>
      <w:bookmarkStart w:id="16751" w:name="_ETM_Q24_460000"/>
      <w:bookmarkEnd w:id="16751"/>
    </w:p>
    <w:p w:rsidR="000C5C1F" w:rsidRDefault="000C5C1F" w:rsidP="000C5C1F">
      <w:pPr>
        <w:pStyle w:val="af8"/>
        <w:keepNext/>
        <w:rPr>
          <w:rtl/>
        </w:rPr>
      </w:pPr>
      <w:bookmarkStart w:id="16752" w:name="ET_interruption_5785_7"/>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16752"/>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כבוד היושב-ראש - </w:t>
      </w:r>
      <w:bookmarkStart w:id="16753" w:name="_ETM_Q24_459000"/>
      <w:bookmarkEnd w:id="16753"/>
      <w:r>
        <w:rPr>
          <w:rFonts w:hint="cs"/>
          <w:rtl/>
          <w:lang w:eastAsia="he-IL"/>
        </w:rPr>
        <w:t xml:space="preserve">- - הדבר הזה לפני 55 שנה - - - </w:t>
      </w:r>
    </w:p>
    <w:p w:rsidR="000C5C1F" w:rsidRDefault="000C5C1F" w:rsidP="000C5C1F">
      <w:pPr>
        <w:rPr>
          <w:rtl/>
          <w:lang w:eastAsia="he-IL"/>
        </w:rPr>
      </w:pPr>
    </w:p>
    <w:p w:rsidR="000C5C1F" w:rsidRDefault="000C5C1F" w:rsidP="000C5C1F">
      <w:pPr>
        <w:pStyle w:val="-"/>
        <w:keepNext/>
        <w:rPr>
          <w:rtl/>
        </w:rPr>
      </w:pPr>
      <w:bookmarkStart w:id="16754" w:name="ET_speakercontinue_5792_8"/>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54"/>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הוא </w:t>
      </w:r>
      <w:bookmarkStart w:id="16755" w:name="_ETM_Q24_464000"/>
      <w:bookmarkEnd w:id="16755"/>
      <w:r>
        <w:rPr>
          <w:rFonts w:hint="cs"/>
          <w:rtl/>
          <w:lang w:eastAsia="he-IL"/>
        </w:rPr>
        <w:t xml:space="preserve">חושב במונחים של בחירות ב-31 באוקטובר. הייתה ועדה ב-2002 שקבעה מה זה לימודי ליבה. זה לא רק כיתה א' וב'. </w:t>
      </w:r>
    </w:p>
    <w:p w:rsidR="000C5C1F" w:rsidRDefault="000C5C1F" w:rsidP="000C5C1F">
      <w:pPr>
        <w:rPr>
          <w:rtl/>
          <w:lang w:eastAsia="he-IL"/>
        </w:rPr>
      </w:pPr>
      <w:bookmarkStart w:id="16756" w:name="_ETM_Q24_470000"/>
      <w:bookmarkEnd w:id="16756"/>
    </w:p>
    <w:p w:rsidR="000C5C1F" w:rsidRDefault="000C5C1F" w:rsidP="000C5C1F">
      <w:pPr>
        <w:pStyle w:val="af8"/>
        <w:keepNext/>
        <w:rPr>
          <w:rtl/>
        </w:rPr>
      </w:pPr>
      <w:bookmarkStart w:id="16757" w:name="ET_interruption_6430_52"/>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57"/>
    </w:p>
    <w:p w:rsidR="000C5C1F" w:rsidRDefault="000C5C1F" w:rsidP="00337201">
      <w:pPr>
        <w:rPr>
          <w:rtl/>
          <w:lang w:eastAsia="he-IL"/>
        </w:rPr>
      </w:pPr>
    </w:p>
    <w:p w:rsidR="000C5C1F" w:rsidRDefault="000C5C1F" w:rsidP="000C5C1F">
      <w:pPr>
        <w:rPr>
          <w:rtl/>
          <w:lang w:eastAsia="he-IL"/>
        </w:rPr>
      </w:pPr>
      <w:bookmarkStart w:id="16758" w:name="_ETM_Q24_469000"/>
      <w:bookmarkEnd w:id="16758"/>
      <w:r>
        <w:rPr>
          <w:rFonts w:hint="cs"/>
          <w:rtl/>
          <w:lang w:eastAsia="he-IL"/>
        </w:rPr>
        <w:t xml:space="preserve">- </w:t>
      </w:r>
      <w:bookmarkStart w:id="16759" w:name="_ETM_Q24_471000"/>
      <w:bookmarkEnd w:id="16759"/>
      <w:r>
        <w:rPr>
          <w:rFonts w:hint="cs"/>
          <w:rtl/>
          <w:lang w:eastAsia="he-IL"/>
        </w:rPr>
        <w:t>- - ועדה - - -</w:t>
      </w:r>
    </w:p>
    <w:p w:rsidR="000C5C1F" w:rsidRDefault="000C5C1F" w:rsidP="000C5C1F">
      <w:pPr>
        <w:rPr>
          <w:rtl/>
          <w:lang w:eastAsia="he-IL"/>
        </w:rPr>
      </w:pPr>
    </w:p>
    <w:p w:rsidR="000C5C1F" w:rsidRDefault="000C5C1F" w:rsidP="000C5C1F">
      <w:pPr>
        <w:pStyle w:val="-"/>
        <w:keepNext/>
        <w:rPr>
          <w:rtl/>
        </w:rPr>
      </w:pPr>
      <w:bookmarkStart w:id="16760" w:name="ET_speakercontinue_5792_53"/>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60"/>
    </w:p>
    <w:p w:rsidR="000C5C1F" w:rsidRDefault="000C5C1F" w:rsidP="00337201">
      <w:pPr>
        <w:rPr>
          <w:rtl/>
          <w:lang w:eastAsia="he-IL"/>
        </w:rPr>
      </w:pPr>
    </w:p>
    <w:p w:rsidR="000C5C1F" w:rsidRDefault="000C5C1F" w:rsidP="000C5C1F">
      <w:pPr>
        <w:rPr>
          <w:rtl/>
          <w:lang w:eastAsia="he-IL"/>
        </w:rPr>
      </w:pPr>
      <w:bookmarkStart w:id="16761" w:name="_ETM_Q24_472000"/>
      <w:bookmarkEnd w:id="16761"/>
      <w:r>
        <w:rPr>
          <w:rFonts w:hint="cs"/>
          <w:rtl/>
          <w:lang w:eastAsia="he-IL"/>
        </w:rPr>
        <w:t xml:space="preserve">לא, אני מניח שגם נציגים </w:t>
      </w:r>
      <w:bookmarkStart w:id="16762" w:name="_ETM_Q24_475000"/>
      <w:bookmarkEnd w:id="16762"/>
      <w:r>
        <w:rPr>
          <w:rFonts w:hint="cs"/>
          <w:rtl/>
          <w:lang w:eastAsia="he-IL"/>
        </w:rPr>
        <w:t xml:space="preserve">של המגזר. </w:t>
      </w:r>
    </w:p>
    <w:p w:rsidR="000C5C1F" w:rsidRDefault="000C5C1F" w:rsidP="000C5C1F">
      <w:pPr>
        <w:rPr>
          <w:rtl/>
          <w:lang w:eastAsia="he-IL"/>
        </w:rPr>
      </w:pPr>
      <w:bookmarkStart w:id="16763" w:name="_ETM_Q24_476000"/>
      <w:bookmarkEnd w:id="16763"/>
    </w:p>
    <w:p w:rsidR="000C5C1F" w:rsidRDefault="000C5C1F" w:rsidP="000C5C1F">
      <w:pPr>
        <w:pStyle w:val="af8"/>
        <w:keepNext/>
        <w:rPr>
          <w:rtl/>
        </w:rPr>
      </w:pPr>
      <w:bookmarkStart w:id="16764" w:name="ET_interruption_6430_54"/>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64"/>
    </w:p>
    <w:p w:rsidR="000C5C1F" w:rsidRDefault="000C5C1F" w:rsidP="00337201">
      <w:pPr>
        <w:rPr>
          <w:rtl/>
          <w:lang w:eastAsia="he-IL"/>
        </w:rPr>
      </w:pPr>
    </w:p>
    <w:p w:rsidR="000C5C1F" w:rsidRDefault="000C5C1F" w:rsidP="000C5C1F">
      <w:pPr>
        <w:rPr>
          <w:rtl/>
          <w:lang w:eastAsia="he-IL"/>
        </w:rPr>
      </w:pPr>
      <w:bookmarkStart w:id="16765" w:name="_ETM_Q24_473000"/>
      <w:bookmarkEnd w:id="16765"/>
      <w:r>
        <w:rPr>
          <w:rFonts w:hint="cs"/>
          <w:rtl/>
          <w:lang w:eastAsia="he-IL"/>
        </w:rPr>
        <w:t xml:space="preserve">איך אמרת, אנחנו 100%. לא 100%, אבל אנחנו </w:t>
      </w:r>
      <w:bookmarkStart w:id="16766" w:name="_ETM_Q24_479000"/>
      <w:bookmarkEnd w:id="16766"/>
      <w:r>
        <w:rPr>
          <w:rFonts w:hint="cs"/>
          <w:rtl/>
          <w:lang w:eastAsia="he-IL"/>
        </w:rPr>
        <w:t>גם קיימים? אז כשנחליט על ליבה, תיקחו גם אותנו</w:t>
      </w:r>
      <w:bookmarkStart w:id="16767" w:name="_ETM_Q24_485000"/>
      <w:bookmarkEnd w:id="16767"/>
      <w:r>
        <w:rPr>
          <w:rFonts w:hint="cs"/>
          <w:rtl/>
          <w:lang w:eastAsia="he-IL"/>
        </w:rPr>
        <w:t xml:space="preserve">, או שנחליט את זה וזה, או </w:t>
      </w:r>
      <w:bookmarkStart w:id="16768" w:name="_ETM_Q24_487000"/>
      <w:bookmarkEnd w:id="16768"/>
      <w:r>
        <w:rPr>
          <w:rFonts w:hint="cs"/>
          <w:rtl/>
          <w:lang w:eastAsia="he-IL"/>
        </w:rPr>
        <w:t xml:space="preserve">זה וזה, אבל להגיד: אנחנו קבענו מה זאת ליבה, ואתה - - - </w:t>
      </w:r>
    </w:p>
    <w:p w:rsidR="000C5C1F" w:rsidRDefault="000C5C1F" w:rsidP="000C5C1F">
      <w:pPr>
        <w:rPr>
          <w:rtl/>
          <w:lang w:eastAsia="he-IL"/>
        </w:rPr>
      </w:pPr>
    </w:p>
    <w:p w:rsidR="000C5C1F" w:rsidRDefault="000C5C1F" w:rsidP="000C5C1F">
      <w:pPr>
        <w:pStyle w:val="-"/>
        <w:keepNext/>
        <w:rPr>
          <w:rtl/>
        </w:rPr>
      </w:pPr>
      <w:bookmarkStart w:id="16769" w:name="ET_speakercontinue_5792_55"/>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69"/>
    </w:p>
    <w:p w:rsidR="000C5C1F" w:rsidRDefault="000C5C1F" w:rsidP="00337201">
      <w:pPr>
        <w:rPr>
          <w:rtl/>
          <w:lang w:eastAsia="he-IL"/>
        </w:rPr>
      </w:pPr>
    </w:p>
    <w:p w:rsidR="000C5C1F" w:rsidRDefault="000C5C1F" w:rsidP="000C5C1F">
      <w:pPr>
        <w:rPr>
          <w:rtl/>
          <w:lang w:eastAsia="he-IL"/>
        </w:rPr>
      </w:pPr>
      <w:bookmarkStart w:id="16770" w:name="_ETM_Q24_489000"/>
      <w:bookmarkEnd w:id="16770"/>
      <w:r>
        <w:rPr>
          <w:rFonts w:hint="cs"/>
          <w:rtl/>
          <w:lang w:eastAsia="he-IL"/>
        </w:rPr>
        <w:t xml:space="preserve">לא, </w:t>
      </w:r>
      <w:bookmarkStart w:id="16771" w:name="_ETM_Q24_491000"/>
      <w:bookmarkEnd w:id="16771"/>
      <w:r>
        <w:rPr>
          <w:rFonts w:hint="cs"/>
          <w:rtl/>
          <w:lang w:eastAsia="he-IL"/>
        </w:rPr>
        <w:t xml:space="preserve">אני לא יודע מי בדיוק ישב באותה ועדה - - -  </w:t>
      </w:r>
    </w:p>
    <w:p w:rsidR="000C5C1F" w:rsidRDefault="000C5C1F" w:rsidP="000C5C1F">
      <w:pPr>
        <w:rPr>
          <w:rtl/>
          <w:lang w:eastAsia="he-IL"/>
        </w:rPr>
      </w:pPr>
      <w:bookmarkStart w:id="16772" w:name="_ETM_Q24_493000"/>
      <w:bookmarkEnd w:id="16772"/>
    </w:p>
    <w:p w:rsidR="000C5C1F" w:rsidRDefault="000C5C1F" w:rsidP="000C5C1F">
      <w:pPr>
        <w:pStyle w:val="af8"/>
        <w:keepNext/>
        <w:rPr>
          <w:rtl/>
        </w:rPr>
      </w:pPr>
      <w:bookmarkStart w:id="16773" w:name="ET_interruption_6430_9"/>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73"/>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זאת דיקטטורה. זאת דיקטטורה, לא דמוקרטיה. </w:t>
      </w:r>
    </w:p>
    <w:p w:rsidR="000C5C1F" w:rsidRDefault="000C5C1F" w:rsidP="000C5C1F">
      <w:pPr>
        <w:rPr>
          <w:rtl/>
          <w:lang w:eastAsia="he-IL"/>
        </w:rPr>
      </w:pPr>
    </w:p>
    <w:p w:rsidR="000C5C1F" w:rsidRDefault="000C5C1F" w:rsidP="000C5C1F">
      <w:pPr>
        <w:pStyle w:val="-"/>
        <w:keepNext/>
        <w:rPr>
          <w:rtl/>
        </w:rPr>
      </w:pPr>
      <w:bookmarkStart w:id="16774" w:name="ET_speakercontinue_5792_56"/>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74"/>
    </w:p>
    <w:p w:rsidR="000C5C1F" w:rsidRDefault="000C5C1F" w:rsidP="00337201">
      <w:pPr>
        <w:rPr>
          <w:rtl/>
          <w:lang w:eastAsia="he-IL"/>
        </w:rPr>
      </w:pPr>
    </w:p>
    <w:p w:rsidR="000C5C1F" w:rsidRDefault="000C5C1F" w:rsidP="000C5C1F">
      <w:pPr>
        <w:rPr>
          <w:rtl/>
          <w:lang w:eastAsia="he-IL"/>
        </w:rPr>
      </w:pPr>
      <w:bookmarkStart w:id="16775" w:name="_ETM_Q24_495000"/>
      <w:bookmarkStart w:id="16776" w:name="_ETM_Q24_492000"/>
      <w:bookmarkEnd w:id="16775"/>
      <w:bookmarkEnd w:id="16776"/>
      <w:r>
        <w:rPr>
          <w:rFonts w:hint="cs"/>
          <w:rtl/>
          <w:lang w:eastAsia="he-IL"/>
        </w:rPr>
        <w:t xml:space="preserve">הבנתי. שר השיכון, אני לא </w:t>
      </w:r>
      <w:bookmarkStart w:id="16777" w:name="_ETM_Q24_498000"/>
      <w:bookmarkEnd w:id="16777"/>
      <w:r>
        <w:rPr>
          <w:rFonts w:hint="cs"/>
          <w:rtl/>
          <w:lang w:eastAsia="he-IL"/>
        </w:rPr>
        <w:t xml:space="preserve">זוכר בדיוק מי ישב בוועדה. אני רק שמעתי </w:t>
      </w:r>
      <w:bookmarkStart w:id="16778" w:name="_ETM_Q24_501000"/>
      <w:bookmarkEnd w:id="16778"/>
      <w:r>
        <w:rPr>
          <w:rFonts w:hint="cs"/>
          <w:rtl/>
          <w:lang w:eastAsia="he-IL"/>
        </w:rPr>
        <w:t xml:space="preserve">אותך אומר שאנגלית לא חשובה כמו ארמית – כן, </w:t>
      </w:r>
      <w:bookmarkStart w:id="16779" w:name="_ETM_Q24_504000"/>
      <w:bookmarkEnd w:id="16779"/>
      <w:r>
        <w:rPr>
          <w:rFonts w:hint="cs"/>
          <w:rtl/>
          <w:lang w:eastAsia="he-IL"/>
        </w:rPr>
        <w:t>את זה אמרת? ציטטתי אותך נכון?</w:t>
      </w:r>
    </w:p>
    <w:p w:rsidR="000C5C1F" w:rsidRDefault="000C5C1F" w:rsidP="000C5C1F">
      <w:pPr>
        <w:rPr>
          <w:rtl/>
          <w:lang w:eastAsia="he-IL"/>
        </w:rPr>
      </w:pPr>
    </w:p>
    <w:p w:rsidR="000C5C1F" w:rsidRDefault="000C5C1F" w:rsidP="000C5C1F">
      <w:pPr>
        <w:pStyle w:val="af8"/>
        <w:keepNext/>
        <w:rPr>
          <w:rtl/>
        </w:rPr>
      </w:pPr>
      <w:bookmarkStart w:id="16780" w:name="ET_interruption_6430_57"/>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80"/>
    </w:p>
    <w:p w:rsidR="000C5C1F" w:rsidRDefault="000C5C1F" w:rsidP="00337201">
      <w:pPr>
        <w:rPr>
          <w:rtl/>
          <w:lang w:eastAsia="he-IL"/>
        </w:rPr>
      </w:pPr>
    </w:p>
    <w:p w:rsidR="000C5C1F" w:rsidRDefault="000C5C1F" w:rsidP="00337201">
      <w:pPr>
        <w:rPr>
          <w:rtl/>
          <w:lang w:eastAsia="he-IL"/>
        </w:rPr>
      </w:pPr>
      <w:bookmarkStart w:id="16781" w:name="_ETM_Q24_505000"/>
      <w:bookmarkEnd w:id="16781"/>
      <w:r>
        <w:rPr>
          <w:rFonts w:hint="cs"/>
          <w:rtl/>
          <w:lang w:eastAsia="he-IL"/>
        </w:rPr>
        <w:t>ראשית כול, צריכים ללמוד ארמית</w:t>
      </w:r>
      <w:bookmarkStart w:id="16782" w:name="_ETM_Q24_506000"/>
      <w:bookmarkEnd w:id="16782"/>
      <w:r>
        <w:rPr>
          <w:rFonts w:hint="cs"/>
          <w:rtl/>
          <w:lang w:eastAsia="he-IL"/>
        </w:rPr>
        <w:t xml:space="preserve">. </w:t>
      </w:r>
    </w:p>
    <w:p w:rsidR="000C5C1F" w:rsidRDefault="000C5C1F" w:rsidP="000C5C1F">
      <w:pPr>
        <w:rPr>
          <w:rtl/>
          <w:lang w:eastAsia="he-IL"/>
        </w:rPr>
      </w:pPr>
    </w:p>
    <w:p w:rsidR="000C5C1F" w:rsidRDefault="000C5C1F" w:rsidP="000C5C1F">
      <w:pPr>
        <w:pStyle w:val="-"/>
        <w:keepNext/>
        <w:rPr>
          <w:rtl/>
        </w:rPr>
      </w:pPr>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לא, אמרת שאנגלית פחות חשובה. אמרת את זה. אז אני אומר </w:t>
      </w:r>
      <w:bookmarkStart w:id="16783" w:name="_ETM_Q24_515000"/>
      <w:bookmarkEnd w:id="16783"/>
      <w:r>
        <w:rPr>
          <w:rFonts w:hint="cs"/>
          <w:rtl/>
          <w:lang w:eastAsia="he-IL"/>
        </w:rPr>
        <w:t xml:space="preserve">לך שאני לא מסכים איתך. אני חושב שאנגלית חשובה </w:t>
      </w:r>
      <w:bookmarkStart w:id="16784" w:name="_ETM_Q24_514000"/>
      <w:bookmarkEnd w:id="16784"/>
      <w:r>
        <w:rPr>
          <w:rFonts w:hint="cs"/>
          <w:rtl/>
          <w:lang w:eastAsia="he-IL"/>
        </w:rPr>
        <w:t xml:space="preserve">יותר מארמית בעולם של היום. </w:t>
      </w:r>
    </w:p>
    <w:p w:rsidR="000C5C1F" w:rsidRDefault="000C5C1F" w:rsidP="000C5C1F">
      <w:pPr>
        <w:rPr>
          <w:rtl/>
          <w:lang w:eastAsia="he-IL"/>
        </w:rPr>
      </w:pPr>
    </w:p>
    <w:p w:rsidR="000C5C1F" w:rsidRDefault="000C5C1F" w:rsidP="000C5C1F">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תעשה לי טובה, אל תסכים איתי שזה טוב, אבל אל תפגין נגדי ברחוב קפלן בגלל זה. </w:t>
      </w:r>
    </w:p>
    <w:p w:rsidR="000C5C1F" w:rsidRDefault="000C5C1F" w:rsidP="000C5C1F">
      <w:pPr>
        <w:rPr>
          <w:rtl/>
          <w:lang w:eastAsia="he-IL"/>
        </w:rPr>
      </w:pPr>
    </w:p>
    <w:p w:rsidR="000C5C1F" w:rsidRDefault="000C5C1F" w:rsidP="000C5C1F">
      <w:pPr>
        <w:pStyle w:val="-"/>
        <w:keepNext/>
        <w:rPr>
          <w:rtl/>
        </w:rPr>
      </w:pPr>
      <w:bookmarkStart w:id="16785" w:name="ET_speakercontinue_5792_14"/>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85"/>
    </w:p>
    <w:p w:rsidR="000C5C1F" w:rsidRDefault="000C5C1F" w:rsidP="00337201">
      <w:pPr>
        <w:rPr>
          <w:rtl/>
          <w:lang w:eastAsia="he-IL"/>
        </w:rPr>
      </w:pPr>
    </w:p>
    <w:p w:rsidR="000C5C1F" w:rsidRDefault="000C5C1F" w:rsidP="000C5C1F">
      <w:pPr>
        <w:rPr>
          <w:rtl/>
          <w:lang w:eastAsia="he-IL"/>
        </w:rPr>
      </w:pPr>
      <w:r>
        <w:rPr>
          <w:rFonts w:hint="cs"/>
          <w:rtl/>
          <w:lang w:eastAsia="he-IL"/>
        </w:rPr>
        <w:t>אני רק אומר, אם אתה רוצה</w:t>
      </w:r>
      <w:bookmarkStart w:id="16786" w:name="_ETM_Q24_526000"/>
      <w:bookmarkEnd w:id="16786"/>
      <w:r>
        <w:rPr>
          <w:rFonts w:hint="cs"/>
          <w:rtl/>
          <w:lang w:eastAsia="he-IL"/>
        </w:rPr>
        <w:t xml:space="preserve">, ואני לוקח את העצה שלך, </w:t>
      </w:r>
      <w:bookmarkStart w:id="16787" w:name="_ETM_Q24_529000"/>
      <w:bookmarkEnd w:id="16787"/>
      <w:r>
        <w:rPr>
          <w:rFonts w:hint="cs"/>
          <w:rtl/>
          <w:lang w:eastAsia="he-IL"/>
        </w:rPr>
        <w:t xml:space="preserve">לשבת להחליט מה חשוב לכל ילד ישראלי או ילד יהודי, בבקשה. סבבה, אבל תגיד שאתה מוכן לשבת עם כולם, כי כרגע אתם לא הרוב, </w:t>
      </w:r>
      <w:bookmarkStart w:id="16788" w:name="_ETM_Q24_538000"/>
      <w:bookmarkEnd w:id="16788"/>
      <w:r>
        <w:rPr>
          <w:rFonts w:hint="cs"/>
          <w:rtl/>
          <w:lang w:eastAsia="he-IL"/>
        </w:rPr>
        <w:t>מה לעשות? החרדים לא הרוב במדינה, נכון?</w:t>
      </w:r>
    </w:p>
    <w:p w:rsidR="000C5C1F" w:rsidRDefault="000C5C1F" w:rsidP="000C5C1F">
      <w:pPr>
        <w:rPr>
          <w:rtl/>
          <w:lang w:eastAsia="he-IL"/>
        </w:rPr>
      </w:pPr>
    </w:p>
    <w:p w:rsidR="000C5C1F" w:rsidRDefault="000C5C1F" w:rsidP="000C5C1F">
      <w:pPr>
        <w:pStyle w:val="af8"/>
        <w:keepNext/>
        <w:rPr>
          <w:rtl/>
        </w:rPr>
      </w:pPr>
      <w:bookmarkStart w:id="16789" w:name="ET_interruption_6430_15"/>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89"/>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אבל הם לא פחות מהערבים. אז לפחות כמו </w:t>
      </w:r>
      <w:bookmarkStart w:id="16790" w:name="_ETM_Q24_545000"/>
      <w:bookmarkEnd w:id="16790"/>
      <w:r>
        <w:rPr>
          <w:rFonts w:hint="cs"/>
          <w:rtl/>
          <w:lang w:eastAsia="he-IL"/>
        </w:rPr>
        <w:t xml:space="preserve">שמתייחסים לערבים, צריך להתייחס גם לחרדים – גם לשלב אותם בעבודה, וגם לתת את </w:t>
      </w:r>
      <w:bookmarkStart w:id="16791" w:name="_ETM_Q0_14176569"/>
      <w:bookmarkEnd w:id="16791"/>
      <w:r>
        <w:rPr>
          <w:rFonts w:hint="cs"/>
          <w:rtl/>
          <w:lang w:eastAsia="he-IL"/>
        </w:rPr>
        <w:t xml:space="preserve">מה שמגיע, כשמגיע, להשוות את השכר של אותה גננת או </w:t>
      </w:r>
      <w:bookmarkStart w:id="16792" w:name="_ETM_Q24_554000"/>
      <w:bookmarkEnd w:id="16792"/>
      <w:r>
        <w:rPr>
          <w:rFonts w:hint="cs"/>
          <w:rtl/>
          <w:lang w:eastAsia="he-IL"/>
        </w:rPr>
        <w:t xml:space="preserve">מורה. </w:t>
      </w:r>
    </w:p>
    <w:p w:rsidR="000C5C1F" w:rsidRDefault="000C5C1F" w:rsidP="000C5C1F">
      <w:pPr>
        <w:rPr>
          <w:rtl/>
          <w:lang w:eastAsia="he-IL"/>
        </w:rPr>
      </w:pPr>
    </w:p>
    <w:p w:rsidR="000C5C1F" w:rsidRDefault="000C5C1F" w:rsidP="000C5C1F">
      <w:pPr>
        <w:pStyle w:val="-"/>
        <w:keepNext/>
        <w:rPr>
          <w:rtl/>
        </w:rPr>
      </w:pPr>
      <w:bookmarkStart w:id="16793" w:name="ET_speakercontinue_5792_16"/>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793"/>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לא, לא, אל תקפוץ </w:t>
      </w:r>
      <w:bookmarkStart w:id="16794" w:name="_ETM_Q24_558000"/>
      <w:bookmarkEnd w:id="16794"/>
      <w:r>
        <w:rPr>
          <w:rFonts w:hint="cs"/>
          <w:rtl/>
          <w:lang w:eastAsia="he-IL"/>
        </w:rPr>
        <w:t xml:space="preserve">לי לשכר, אתה קופץ כבר לגיל 18, ואני מדבר איתך על גיל שבע. אני מדבר איתך על </w:t>
      </w:r>
      <w:bookmarkStart w:id="16795" w:name="_ETM_Q24_566000"/>
      <w:bookmarkEnd w:id="16795"/>
      <w:r>
        <w:rPr>
          <w:rFonts w:hint="cs"/>
          <w:rtl/>
          <w:lang w:eastAsia="he-IL"/>
        </w:rPr>
        <w:t xml:space="preserve">גיל שש, שבע, כשהילד הולך לכיתה א'. בוא תשב, תגיד מה אתה </w:t>
      </w:r>
      <w:bookmarkStart w:id="16796" w:name="_ETM_Q24_569000"/>
      <w:bookmarkEnd w:id="16796"/>
      <w:r>
        <w:rPr>
          <w:rFonts w:hint="cs"/>
          <w:rtl/>
          <w:lang w:eastAsia="he-IL"/>
        </w:rPr>
        <w:t xml:space="preserve">מוכן שהילד במסגרת החינוך החרדי ילמד, מה שהוא לא לומד </w:t>
      </w:r>
      <w:bookmarkStart w:id="16797" w:name="_ETM_Q24_572000"/>
      <w:bookmarkEnd w:id="16797"/>
      <w:r>
        <w:rPr>
          <w:rFonts w:hint="cs"/>
          <w:rtl/>
          <w:lang w:eastAsia="he-IL"/>
        </w:rPr>
        <w:t xml:space="preserve">היום. אנחנו יודעים שיש הרבה דברים שמפריעים לו לצאת לשוק התעסוקה היום. </w:t>
      </w:r>
      <w:bookmarkStart w:id="16798" w:name="_ETM_Q24_577000"/>
      <w:bookmarkEnd w:id="16798"/>
    </w:p>
    <w:p w:rsidR="000C5C1F" w:rsidRDefault="000C5C1F" w:rsidP="000C5C1F">
      <w:pPr>
        <w:rPr>
          <w:rtl/>
          <w:lang w:eastAsia="he-IL"/>
        </w:rPr>
      </w:pPr>
    </w:p>
    <w:p w:rsidR="000C5C1F" w:rsidRDefault="000C5C1F" w:rsidP="000C5C1F">
      <w:pPr>
        <w:pStyle w:val="af8"/>
        <w:keepNext/>
        <w:rPr>
          <w:rtl/>
        </w:rPr>
      </w:pPr>
      <w:bookmarkStart w:id="16799" w:name="ET_interruption_6430_58"/>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799"/>
    </w:p>
    <w:p w:rsidR="000C5C1F" w:rsidRDefault="000C5C1F" w:rsidP="00337201">
      <w:pPr>
        <w:rPr>
          <w:rtl/>
          <w:lang w:eastAsia="he-IL"/>
        </w:rPr>
      </w:pPr>
    </w:p>
    <w:p w:rsidR="000C5C1F" w:rsidRDefault="000C5C1F" w:rsidP="000C5C1F">
      <w:pPr>
        <w:rPr>
          <w:rtl/>
          <w:lang w:eastAsia="he-IL"/>
        </w:rPr>
      </w:pPr>
      <w:bookmarkStart w:id="16800" w:name="_ETM_Q24_575000"/>
      <w:bookmarkEnd w:id="16800"/>
      <w:r>
        <w:rPr>
          <w:rFonts w:hint="cs"/>
          <w:rtl/>
          <w:lang w:eastAsia="he-IL"/>
        </w:rPr>
        <w:t>גן ילדים חרדי וממלכתי וממלכתי-דתי הם אותו דבר? אותם משחקים?</w:t>
      </w:r>
    </w:p>
    <w:p w:rsidR="000C5C1F" w:rsidRDefault="000C5C1F" w:rsidP="000C5C1F">
      <w:pPr>
        <w:rPr>
          <w:rtl/>
          <w:lang w:eastAsia="he-IL"/>
        </w:rPr>
      </w:pPr>
    </w:p>
    <w:p w:rsidR="000C5C1F" w:rsidRDefault="000C5C1F" w:rsidP="000C5C1F">
      <w:pPr>
        <w:pStyle w:val="-"/>
        <w:keepNext/>
        <w:rPr>
          <w:rtl/>
        </w:rPr>
      </w:pPr>
      <w:bookmarkStart w:id="16801" w:name="ET_speakercontinue_5792_59"/>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01"/>
    </w:p>
    <w:p w:rsidR="000C5C1F" w:rsidRDefault="000C5C1F" w:rsidP="00337201">
      <w:pPr>
        <w:rPr>
          <w:rtl/>
          <w:lang w:eastAsia="he-IL"/>
        </w:rPr>
      </w:pPr>
    </w:p>
    <w:p w:rsidR="000C5C1F" w:rsidRDefault="000C5C1F" w:rsidP="000C5C1F">
      <w:pPr>
        <w:rPr>
          <w:rtl/>
          <w:lang w:eastAsia="he-IL"/>
        </w:rPr>
      </w:pPr>
      <w:bookmarkStart w:id="16802" w:name="_ETM_Q24_579000"/>
      <w:bookmarkStart w:id="16803" w:name="_ETM_Q24_578000"/>
      <w:bookmarkEnd w:id="16802"/>
      <w:bookmarkEnd w:id="16803"/>
      <w:r>
        <w:rPr>
          <w:rFonts w:hint="cs"/>
          <w:rtl/>
          <w:lang w:eastAsia="he-IL"/>
        </w:rPr>
        <w:t xml:space="preserve">לא, זה לא אותו דבר, </w:t>
      </w:r>
      <w:bookmarkStart w:id="16804" w:name="_ETM_Q24_580000"/>
      <w:bookmarkEnd w:id="16804"/>
      <w:r>
        <w:rPr>
          <w:rFonts w:hint="cs"/>
          <w:rtl/>
          <w:lang w:eastAsia="he-IL"/>
        </w:rPr>
        <w:t>אבל אני רוצה - - -</w:t>
      </w:r>
    </w:p>
    <w:p w:rsidR="000C5C1F" w:rsidRDefault="000C5C1F" w:rsidP="000C5C1F">
      <w:pPr>
        <w:rPr>
          <w:rtl/>
          <w:lang w:eastAsia="he-IL"/>
        </w:rPr>
      </w:pPr>
      <w:bookmarkStart w:id="16805" w:name="_ETM_Q24_584000"/>
      <w:bookmarkEnd w:id="16805"/>
    </w:p>
    <w:p w:rsidR="000C5C1F" w:rsidRDefault="000C5C1F" w:rsidP="000C5C1F">
      <w:pPr>
        <w:pStyle w:val="af8"/>
        <w:keepNext/>
        <w:rPr>
          <w:rtl/>
        </w:rPr>
      </w:pPr>
      <w:bookmarkStart w:id="16806" w:name="ET_interruption_6430_60"/>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806"/>
    </w:p>
    <w:p w:rsidR="000C5C1F" w:rsidRDefault="000C5C1F" w:rsidP="00337201">
      <w:pPr>
        <w:rPr>
          <w:rtl/>
          <w:lang w:eastAsia="he-IL"/>
        </w:rPr>
      </w:pPr>
    </w:p>
    <w:p w:rsidR="000C5C1F" w:rsidRDefault="000C5C1F" w:rsidP="000C5C1F">
      <w:pPr>
        <w:rPr>
          <w:rtl/>
          <w:lang w:eastAsia="he-IL"/>
        </w:rPr>
      </w:pPr>
      <w:r>
        <w:rPr>
          <w:rFonts w:hint="cs"/>
          <w:rtl/>
          <w:lang w:eastAsia="he-IL"/>
        </w:rPr>
        <w:t>גן משחקים זה מקום אחר? קוביות - - -</w:t>
      </w:r>
    </w:p>
    <w:p w:rsidR="000C5C1F" w:rsidRDefault="000C5C1F" w:rsidP="000C5C1F">
      <w:pPr>
        <w:rPr>
          <w:rtl/>
          <w:lang w:eastAsia="he-IL"/>
        </w:rPr>
      </w:pPr>
    </w:p>
    <w:p w:rsidR="000C5C1F" w:rsidRDefault="000C5C1F" w:rsidP="000C5C1F">
      <w:pPr>
        <w:pStyle w:val="-"/>
        <w:keepNext/>
        <w:rPr>
          <w:rtl/>
        </w:rPr>
      </w:pPr>
      <w:bookmarkStart w:id="16807" w:name="ET_speakercontinue_5792_61"/>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07"/>
    </w:p>
    <w:p w:rsidR="000C5C1F" w:rsidRDefault="000C5C1F" w:rsidP="00337201">
      <w:pPr>
        <w:rPr>
          <w:rtl/>
          <w:lang w:eastAsia="he-IL"/>
        </w:rPr>
      </w:pPr>
    </w:p>
    <w:p w:rsidR="000C5C1F" w:rsidRDefault="000C5C1F" w:rsidP="000C5C1F">
      <w:pPr>
        <w:rPr>
          <w:rtl/>
          <w:lang w:eastAsia="he-IL"/>
        </w:rPr>
      </w:pPr>
      <w:bookmarkStart w:id="16808" w:name="_ETM_Q24_582000"/>
      <w:bookmarkEnd w:id="16808"/>
      <w:r>
        <w:rPr>
          <w:rFonts w:hint="cs"/>
          <w:rtl/>
          <w:lang w:eastAsia="he-IL"/>
        </w:rPr>
        <w:t>יש מערכת אוניברסלית - - -</w:t>
      </w:r>
    </w:p>
    <w:p w:rsidR="000C5C1F" w:rsidRDefault="000C5C1F" w:rsidP="000C5C1F">
      <w:pPr>
        <w:rPr>
          <w:rtl/>
          <w:lang w:eastAsia="he-IL"/>
        </w:rPr>
      </w:pPr>
      <w:bookmarkStart w:id="16809" w:name="_ETM_Q24_586000"/>
      <w:bookmarkEnd w:id="16809"/>
    </w:p>
    <w:p w:rsidR="000C5C1F" w:rsidRDefault="000C5C1F" w:rsidP="000C5C1F">
      <w:pPr>
        <w:pStyle w:val="af8"/>
        <w:keepNext/>
        <w:rPr>
          <w:rtl/>
        </w:rPr>
      </w:pPr>
      <w:bookmarkStart w:id="16810" w:name="ET_interruption_6430_62"/>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810"/>
    </w:p>
    <w:p w:rsidR="000C5C1F" w:rsidRDefault="000C5C1F" w:rsidP="00337201">
      <w:pPr>
        <w:rPr>
          <w:rtl/>
          <w:lang w:eastAsia="he-IL"/>
        </w:rPr>
      </w:pPr>
    </w:p>
    <w:p w:rsidR="000C5C1F" w:rsidRDefault="000C5C1F" w:rsidP="000C5C1F">
      <w:pPr>
        <w:rPr>
          <w:rtl/>
          <w:lang w:eastAsia="he-IL"/>
        </w:rPr>
      </w:pPr>
      <w:bookmarkStart w:id="16811" w:name="_ETM_Q24_588000"/>
      <w:bookmarkEnd w:id="16811"/>
      <w:r>
        <w:rPr>
          <w:rFonts w:hint="cs"/>
          <w:rtl/>
          <w:lang w:eastAsia="he-IL"/>
        </w:rPr>
        <w:t xml:space="preserve">- - - </w:t>
      </w:r>
      <w:bookmarkStart w:id="16812" w:name="_ETM_Q24_587000"/>
      <w:bookmarkEnd w:id="16812"/>
      <w:r>
        <w:rPr>
          <w:rFonts w:hint="cs"/>
          <w:rtl/>
          <w:lang w:eastAsia="he-IL"/>
        </w:rPr>
        <w:t>נראה אחרת - - - תגיד לי מה אחר.</w:t>
      </w:r>
    </w:p>
    <w:p w:rsidR="000C5C1F" w:rsidRDefault="000C5C1F" w:rsidP="000C5C1F">
      <w:pPr>
        <w:rPr>
          <w:rtl/>
          <w:lang w:eastAsia="he-IL"/>
        </w:rPr>
      </w:pPr>
    </w:p>
    <w:p w:rsidR="000C5C1F" w:rsidRDefault="000C5C1F" w:rsidP="000C5C1F">
      <w:pPr>
        <w:pStyle w:val="-"/>
        <w:keepNext/>
        <w:rPr>
          <w:rtl/>
        </w:rPr>
      </w:pPr>
      <w:bookmarkStart w:id="16813" w:name="ET_speakercontinue_5792_17"/>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13"/>
    </w:p>
    <w:p w:rsidR="000C5C1F" w:rsidRDefault="000C5C1F" w:rsidP="00337201">
      <w:pPr>
        <w:rPr>
          <w:rtl/>
          <w:lang w:eastAsia="he-IL"/>
        </w:rPr>
      </w:pPr>
    </w:p>
    <w:p w:rsidR="000C5C1F" w:rsidRDefault="000C5C1F" w:rsidP="000C5C1F">
      <w:pPr>
        <w:rPr>
          <w:rtl/>
          <w:lang w:eastAsia="he-IL"/>
        </w:rPr>
      </w:pPr>
      <w:r>
        <w:rPr>
          <w:rFonts w:hint="cs"/>
          <w:rtl/>
          <w:lang w:eastAsia="he-IL"/>
        </w:rPr>
        <w:t>אני אגיד לך מה, כשאני התחתנתי, חתמתי כתובה.</w:t>
      </w:r>
    </w:p>
    <w:p w:rsidR="000C5C1F" w:rsidRDefault="000C5C1F" w:rsidP="000C5C1F">
      <w:pPr>
        <w:rPr>
          <w:rtl/>
          <w:lang w:eastAsia="he-IL"/>
        </w:rPr>
      </w:pPr>
    </w:p>
    <w:p w:rsidR="000C5C1F" w:rsidRDefault="000C5C1F" w:rsidP="000C5C1F">
      <w:pPr>
        <w:pStyle w:val="af8"/>
        <w:keepNext/>
        <w:rPr>
          <w:rtl/>
        </w:rPr>
      </w:pPr>
      <w:bookmarkStart w:id="16814" w:name="ET_interruption_6430_63"/>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814"/>
    </w:p>
    <w:p w:rsidR="000C5C1F" w:rsidRDefault="000C5C1F" w:rsidP="00337201">
      <w:pPr>
        <w:rPr>
          <w:rtl/>
          <w:lang w:eastAsia="he-IL"/>
        </w:rPr>
      </w:pPr>
    </w:p>
    <w:p w:rsidR="000C5C1F" w:rsidRDefault="000C5C1F" w:rsidP="000C5C1F">
      <w:pPr>
        <w:rPr>
          <w:rtl/>
          <w:lang w:eastAsia="he-IL"/>
        </w:rPr>
      </w:pPr>
      <w:bookmarkStart w:id="16815" w:name="_ETM_Q24_589000"/>
      <w:bookmarkStart w:id="16816" w:name="_ETM_Q24_595000"/>
      <w:bookmarkEnd w:id="16815"/>
      <w:bookmarkEnd w:id="16816"/>
      <w:r>
        <w:rPr>
          <w:rFonts w:hint="cs"/>
          <w:rtl/>
          <w:lang w:eastAsia="he-IL"/>
        </w:rPr>
        <w:t xml:space="preserve">יפה, מזל טוב. </w:t>
      </w:r>
    </w:p>
    <w:p w:rsidR="000C5C1F" w:rsidRDefault="000C5C1F" w:rsidP="000C5C1F">
      <w:pPr>
        <w:rPr>
          <w:rtl/>
          <w:lang w:eastAsia="he-IL"/>
        </w:rPr>
      </w:pPr>
      <w:bookmarkStart w:id="16817" w:name="_ETM_Q24_593000"/>
      <w:bookmarkEnd w:id="16817"/>
    </w:p>
    <w:p w:rsidR="000C5C1F" w:rsidRDefault="000C5C1F" w:rsidP="000C5C1F">
      <w:pPr>
        <w:pStyle w:val="-"/>
        <w:keepNext/>
        <w:rPr>
          <w:rtl/>
        </w:rPr>
      </w:pPr>
      <w:bookmarkStart w:id="16818" w:name="ET_speakercontinue_5792_64"/>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18"/>
    </w:p>
    <w:p w:rsidR="000C5C1F" w:rsidRDefault="000C5C1F" w:rsidP="00337201">
      <w:pPr>
        <w:rPr>
          <w:rtl/>
          <w:lang w:eastAsia="he-IL"/>
        </w:rPr>
      </w:pPr>
    </w:p>
    <w:p w:rsidR="000C5C1F" w:rsidRDefault="000C5C1F" w:rsidP="000C5C1F">
      <w:pPr>
        <w:rPr>
          <w:rtl/>
          <w:lang w:eastAsia="he-IL"/>
        </w:rPr>
      </w:pPr>
      <w:bookmarkStart w:id="16819" w:name="_ETM_Q24_594000"/>
      <w:bookmarkEnd w:id="16819"/>
      <w:r>
        <w:rPr>
          <w:rFonts w:hint="cs"/>
          <w:rtl/>
          <w:lang w:eastAsia="he-IL"/>
        </w:rPr>
        <w:t>לא, התחתנתי לפני 15 שנה.</w:t>
      </w:r>
      <w:bookmarkStart w:id="16820" w:name="_ETM_Q24_596000"/>
      <w:bookmarkEnd w:id="16820"/>
      <w:r>
        <w:rPr>
          <w:rFonts w:hint="cs"/>
          <w:rtl/>
          <w:lang w:eastAsia="he-IL"/>
        </w:rPr>
        <w:t xml:space="preserve"> חתמתי על כתובה. בכתובה כתוב שאני מתחייב, והיה לי ויכוח נדמה לי </w:t>
      </w:r>
      <w:bookmarkStart w:id="16821" w:name="_ETM_Q24_605000"/>
      <w:bookmarkEnd w:id="16821"/>
      <w:r>
        <w:rPr>
          <w:rFonts w:hint="cs"/>
          <w:rtl/>
          <w:lang w:eastAsia="he-IL"/>
        </w:rPr>
        <w:t xml:space="preserve">עם השר קרעי, אני לא זוכר – כן, היה לי ויכוח על כך שבכתובה אני חתמתי שאני מתחייב לפרנס את אשתי, נכון? </w:t>
      </w:r>
      <w:bookmarkStart w:id="16822" w:name="_ETM_Q24_608000"/>
      <w:bookmarkEnd w:id="16822"/>
      <w:r>
        <w:rPr>
          <w:rFonts w:hint="cs"/>
          <w:rtl/>
          <w:lang w:eastAsia="he-IL"/>
        </w:rPr>
        <w:t xml:space="preserve">ככה זה, יש מצווה, נכון? </w:t>
      </w:r>
    </w:p>
    <w:p w:rsidR="000C5C1F" w:rsidRDefault="000C5C1F" w:rsidP="000C5C1F">
      <w:pPr>
        <w:rPr>
          <w:rtl/>
          <w:lang w:eastAsia="he-IL"/>
        </w:rPr>
      </w:pPr>
    </w:p>
    <w:p w:rsidR="000C5C1F" w:rsidRDefault="000C5C1F" w:rsidP="000C5C1F">
      <w:pPr>
        <w:pStyle w:val="af8"/>
        <w:keepNext/>
        <w:rPr>
          <w:rtl/>
        </w:rPr>
      </w:pPr>
      <w:bookmarkStart w:id="16823" w:name="ET_interruption_6430_65"/>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823"/>
    </w:p>
    <w:p w:rsidR="000C5C1F" w:rsidRDefault="000C5C1F" w:rsidP="00337201">
      <w:pPr>
        <w:rPr>
          <w:rtl/>
          <w:lang w:eastAsia="he-IL"/>
        </w:rPr>
      </w:pPr>
    </w:p>
    <w:p w:rsidR="000C5C1F" w:rsidRDefault="000C5C1F" w:rsidP="000C5C1F">
      <w:pPr>
        <w:rPr>
          <w:rtl/>
          <w:lang w:eastAsia="he-IL"/>
        </w:rPr>
      </w:pPr>
      <w:bookmarkStart w:id="16824" w:name="_ETM_Q24_609000"/>
      <w:bookmarkEnd w:id="16824"/>
      <w:r>
        <w:rPr>
          <w:rFonts w:hint="cs"/>
          <w:rtl/>
          <w:lang w:eastAsia="he-IL"/>
        </w:rPr>
        <w:t>- - -</w:t>
      </w:r>
    </w:p>
    <w:p w:rsidR="000C5C1F" w:rsidRDefault="000C5C1F" w:rsidP="000C5C1F">
      <w:pPr>
        <w:rPr>
          <w:rtl/>
          <w:lang w:eastAsia="he-IL"/>
        </w:rPr>
      </w:pPr>
    </w:p>
    <w:p w:rsidR="000C5C1F" w:rsidRDefault="000C5C1F" w:rsidP="000C5C1F">
      <w:pPr>
        <w:pStyle w:val="-"/>
        <w:keepNext/>
        <w:rPr>
          <w:rtl/>
        </w:rPr>
      </w:pPr>
      <w:bookmarkStart w:id="16825" w:name="ET_speakercontinue_5792_66"/>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25"/>
    </w:p>
    <w:p w:rsidR="000C5C1F" w:rsidRDefault="000C5C1F" w:rsidP="00337201">
      <w:pPr>
        <w:rPr>
          <w:rtl/>
          <w:lang w:eastAsia="he-IL"/>
        </w:rPr>
      </w:pPr>
    </w:p>
    <w:p w:rsidR="000C5C1F" w:rsidRDefault="000C5C1F" w:rsidP="000C5C1F">
      <w:pPr>
        <w:rPr>
          <w:rtl/>
          <w:lang w:eastAsia="he-IL"/>
        </w:rPr>
      </w:pPr>
      <w:bookmarkStart w:id="16826" w:name="_ETM_Q24_611000"/>
      <w:bookmarkStart w:id="16827" w:name="_ETM_Q24_612000"/>
      <w:bookmarkEnd w:id="16826"/>
      <w:bookmarkEnd w:id="16827"/>
      <w:r>
        <w:rPr>
          <w:rFonts w:hint="cs"/>
          <w:rtl/>
          <w:lang w:eastAsia="he-IL"/>
        </w:rPr>
        <w:t xml:space="preserve">יפה, ואז </w:t>
      </w:r>
      <w:bookmarkStart w:id="16828" w:name="_ETM_Q24_614000"/>
      <w:bookmarkEnd w:id="16828"/>
      <w:r>
        <w:rPr>
          <w:rFonts w:hint="cs"/>
          <w:rtl/>
          <w:lang w:eastAsia="he-IL"/>
        </w:rPr>
        <w:t xml:space="preserve">אמרתי: איך זה יכול להיות שאנשים שאין להם מקצוע, אין להם כלים למקצוע והם גם לא עובדים, הולכים ומתחתנים וחותמים על כתובה? אז מה, הם עובדים על הקדוש ברוך? לא הבנתי. </w:t>
      </w:r>
    </w:p>
    <w:p w:rsidR="000C5C1F" w:rsidRDefault="000C5C1F" w:rsidP="000C5C1F">
      <w:pPr>
        <w:rPr>
          <w:rtl/>
          <w:lang w:eastAsia="he-IL"/>
        </w:rPr>
      </w:pPr>
      <w:bookmarkStart w:id="16829" w:name="_ETM_Q24_626000"/>
      <w:bookmarkEnd w:id="16829"/>
    </w:p>
    <w:p w:rsidR="000C5C1F" w:rsidRDefault="000C5C1F" w:rsidP="000C5C1F">
      <w:pPr>
        <w:pStyle w:val="af8"/>
        <w:keepNext/>
        <w:rPr>
          <w:rtl/>
        </w:rPr>
      </w:pPr>
      <w:bookmarkStart w:id="16830" w:name="ET_interruption_6430_67"/>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830"/>
    </w:p>
    <w:p w:rsidR="000C5C1F" w:rsidRDefault="000C5C1F" w:rsidP="00337201">
      <w:pPr>
        <w:rPr>
          <w:rtl/>
          <w:lang w:eastAsia="he-IL"/>
        </w:rPr>
      </w:pPr>
    </w:p>
    <w:p w:rsidR="000C5C1F" w:rsidRDefault="000C5C1F" w:rsidP="000C5C1F">
      <w:pPr>
        <w:rPr>
          <w:rtl/>
          <w:lang w:eastAsia="he-IL"/>
        </w:rPr>
      </w:pPr>
      <w:bookmarkStart w:id="16831" w:name="_ETM_Q24_624000"/>
      <w:bookmarkEnd w:id="16831"/>
      <w:r>
        <w:rPr>
          <w:rFonts w:hint="cs"/>
          <w:rtl/>
          <w:lang w:eastAsia="he-IL"/>
        </w:rPr>
        <w:t xml:space="preserve">אתה פעם עשית סטטיסטיקה </w:t>
      </w:r>
      <w:bookmarkStart w:id="16832" w:name="_ETM_Q24_627000"/>
      <w:bookmarkEnd w:id="16832"/>
      <w:r>
        <w:rPr>
          <w:rFonts w:hint="cs"/>
          <w:rtl/>
          <w:lang w:eastAsia="he-IL"/>
        </w:rPr>
        <w:t>כמה חרדים עובדים מתוך החרדים? וכמה חילונים עובדים?</w:t>
      </w:r>
    </w:p>
    <w:p w:rsidR="000C5C1F" w:rsidRDefault="000C5C1F" w:rsidP="000C5C1F">
      <w:pPr>
        <w:rPr>
          <w:rtl/>
          <w:lang w:eastAsia="he-IL"/>
        </w:rPr>
      </w:pPr>
    </w:p>
    <w:p w:rsidR="000C5C1F" w:rsidRDefault="000C5C1F" w:rsidP="000C5C1F">
      <w:pPr>
        <w:pStyle w:val="-"/>
        <w:keepNext/>
        <w:rPr>
          <w:rtl/>
        </w:rPr>
      </w:pPr>
      <w:bookmarkStart w:id="16833" w:name="ET_speakercontinue_5792_18"/>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33"/>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רגע, יש לי סטטיסטיקה </w:t>
      </w:r>
      <w:bookmarkStart w:id="16834" w:name="_ETM_Q24_630000"/>
      <w:bookmarkEnd w:id="16834"/>
      <w:r>
        <w:rPr>
          <w:rFonts w:hint="cs"/>
          <w:rtl/>
          <w:lang w:eastAsia="he-IL"/>
        </w:rPr>
        <w:t xml:space="preserve">של הלשכה המרכזית לסטטיסטיקה, מה אני צריך את הסטטיסטיקה הדמיונית? </w:t>
      </w:r>
      <w:bookmarkStart w:id="16835" w:name="_ETM_Q24_631000"/>
      <w:bookmarkEnd w:id="16835"/>
      <w:r>
        <w:rPr>
          <w:rFonts w:hint="cs"/>
          <w:rtl/>
          <w:lang w:eastAsia="he-IL"/>
        </w:rPr>
        <w:t xml:space="preserve">53% אנשים עובדים, 47% לא עובדים. </w:t>
      </w:r>
    </w:p>
    <w:p w:rsidR="000C5C1F" w:rsidRDefault="000C5C1F" w:rsidP="000C5C1F">
      <w:pPr>
        <w:rPr>
          <w:rtl/>
          <w:lang w:eastAsia="he-IL"/>
        </w:rPr>
      </w:pPr>
    </w:p>
    <w:p w:rsidR="000C5C1F" w:rsidRDefault="000C5C1F" w:rsidP="000C5C1F">
      <w:pPr>
        <w:pStyle w:val="af9"/>
        <w:keepNext/>
        <w:rPr>
          <w:rtl/>
        </w:rPr>
      </w:pPr>
      <w:bookmarkStart w:id="16836" w:name="ET_yor_6488_1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836"/>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לא, לא, לא. רגע, בציבור החילוני, הכללי, </w:t>
      </w:r>
      <w:bookmarkStart w:id="16837" w:name="_ETM_Q24_634189"/>
      <w:bookmarkEnd w:id="16837"/>
      <w:r>
        <w:rPr>
          <w:rFonts w:hint="cs"/>
          <w:rtl/>
          <w:lang w:eastAsia="he-IL"/>
        </w:rPr>
        <w:t xml:space="preserve">כמה עובדים? </w:t>
      </w:r>
    </w:p>
    <w:p w:rsidR="000C5C1F" w:rsidRDefault="000C5C1F" w:rsidP="000C5C1F">
      <w:pPr>
        <w:rPr>
          <w:rtl/>
          <w:lang w:eastAsia="he-IL"/>
        </w:rPr>
      </w:pPr>
    </w:p>
    <w:p w:rsidR="000C5C1F" w:rsidRDefault="000C5C1F" w:rsidP="000C5C1F">
      <w:pPr>
        <w:pStyle w:val="-"/>
        <w:keepNext/>
        <w:rPr>
          <w:rtl/>
        </w:rPr>
      </w:pPr>
      <w:bookmarkStart w:id="16838" w:name="ET_speakercontinue_5792_20"/>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38"/>
    </w:p>
    <w:p w:rsidR="000C5C1F" w:rsidRDefault="000C5C1F" w:rsidP="00337201">
      <w:pPr>
        <w:rPr>
          <w:rtl/>
          <w:lang w:eastAsia="he-IL"/>
        </w:rPr>
      </w:pPr>
    </w:p>
    <w:p w:rsidR="000C5C1F" w:rsidRDefault="000C5C1F" w:rsidP="000C5C1F">
      <w:pPr>
        <w:rPr>
          <w:rtl/>
          <w:lang w:eastAsia="he-IL"/>
        </w:rPr>
      </w:pPr>
      <w:r>
        <w:rPr>
          <w:rFonts w:hint="cs"/>
          <w:rtl/>
          <w:lang w:eastAsia="he-IL"/>
        </w:rPr>
        <w:t>לא, הגבר</w:t>
      </w:r>
      <w:bookmarkStart w:id="16839" w:name="_ETM_Q24_642000"/>
      <w:bookmarkEnd w:id="16839"/>
      <w:r>
        <w:rPr>
          <w:rFonts w:hint="cs"/>
          <w:rtl/>
          <w:lang w:eastAsia="he-IL"/>
        </w:rPr>
        <w:t xml:space="preserve">ים מגיעים ל-78%. </w:t>
      </w:r>
    </w:p>
    <w:p w:rsidR="000C5C1F" w:rsidRDefault="000C5C1F" w:rsidP="000C5C1F">
      <w:pPr>
        <w:rPr>
          <w:rtl/>
          <w:lang w:eastAsia="he-IL"/>
        </w:rPr>
      </w:pPr>
    </w:p>
    <w:p w:rsidR="000C5C1F" w:rsidRDefault="000C5C1F" w:rsidP="000C5C1F">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0C5C1F" w:rsidRDefault="000C5C1F" w:rsidP="00337201">
      <w:pPr>
        <w:rPr>
          <w:rtl/>
          <w:lang w:eastAsia="he-IL"/>
        </w:rPr>
      </w:pPr>
    </w:p>
    <w:p w:rsidR="000C5C1F" w:rsidRDefault="000C5C1F" w:rsidP="000C5C1F">
      <w:pPr>
        <w:rPr>
          <w:rtl/>
          <w:lang w:eastAsia="he-IL"/>
        </w:rPr>
      </w:pPr>
      <w:r>
        <w:rPr>
          <w:rFonts w:hint="cs"/>
          <w:rtl/>
          <w:lang w:eastAsia="he-IL"/>
        </w:rPr>
        <w:t xml:space="preserve">לא, כשאתה אומר 54%, זה </w:t>
      </w:r>
      <w:bookmarkStart w:id="16840" w:name="_ETM_Q24_644000"/>
      <w:bookmarkEnd w:id="16840"/>
      <w:r>
        <w:rPr>
          <w:rFonts w:hint="cs"/>
          <w:rtl/>
          <w:lang w:eastAsia="he-IL"/>
        </w:rPr>
        <w:t xml:space="preserve">נשמע – </w:t>
      </w:r>
      <w:bookmarkStart w:id="16841" w:name="_ETM_Q24_643000"/>
      <w:bookmarkEnd w:id="16841"/>
      <w:r>
        <w:rPr>
          <w:rFonts w:hint="cs"/>
          <w:rtl/>
          <w:lang w:eastAsia="he-IL"/>
        </w:rPr>
        <w:t xml:space="preserve">אז ההפרש הוא בסוף 20%, לא 40%. </w:t>
      </w:r>
    </w:p>
    <w:p w:rsidR="000C5C1F" w:rsidRDefault="000C5C1F" w:rsidP="000C5C1F">
      <w:pPr>
        <w:rPr>
          <w:rtl/>
          <w:lang w:eastAsia="he-IL"/>
        </w:rPr>
      </w:pPr>
    </w:p>
    <w:p w:rsidR="000C5C1F" w:rsidRDefault="000C5C1F" w:rsidP="000C5C1F">
      <w:pPr>
        <w:pStyle w:val="-"/>
        <w:keepNext/>
        <w:rPr>
          <w:rtl/>
        </w:rPr>
      </w:pPr>
      <w:bookmarkStart w:id="16842" w:name="ET_speakercontinue_5792_69"/>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42"/>
    </w:p>
    <w:p w:rsidR="000C5C1F" w:rsidRDefault="000C5C1F" w:rsidP="00337201">
      <w:pPr>
        <w:rPr>
          <w:rtl/>
          <w:lang w:eastAsia="he-IL"/>
        </w:rPr>
      </w:pPr>
    </w:p>
    <w:p w:rsidR="000C5C1F" w:rsidRDefault="000C5C1F" w:rsidP="000C5C1F">
      <w:pPr>
        <w:rPr>
          <w:rtl/>
          <w:lang w:eastAsia="he-IL"/>
        </w:rPr>
      </w:pPr>
      <w:bookmarkStart w:id="16843" w:name="_ETM_Q24_646000"/>
      <w:bookmarkStart w:id="16844" w:name="_ETM_Q24_648000"/>
      <w:bookmarkEnd w:id="16843"/>
      <w:bookmarkEnd w:id="16844"/>
      <w:r>
        <w:rPr>
          <w:rFonts w:hint="cs"/>
          <w:rtl/>
          <w:lang w:eastAsia="he-IL"/>
        </w:rPr>
        <w:t xml:space="preserve">לא, תקשיב, תשמע, יש את הציבור של הגברים – עזוב, יש את אלה שלא מסוגלים לעבוד. </w:t>
      </w:r>
    </w:p>
    <w:p w:rsidR="000C5C1F" w:rsidRDefault="000C5C1F" w:rsidP="000C5C1F">
      <w:pPr>
        <w:rPr>
          <w:rtl/>
          <w:lang w:eastAsia="he-IL"/>
        </w:rPr>
      </w:pPr>
    </w:p>
    <w:p w:rsidR="000C5C1F" w:rsidRDefault="000C5C1F" w:rsidP="000C5C1F">
      <w:pPr>
        <w:pStyle w:val="af9"/>
        <w:keepNext/>
        <w:rPr>
          <w:rtl/>
        </w:rPr>
      </w:pPr>
      <w:bookmarkStart w:id="16845" w:name="ET_yor_6488_7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845"/>
    </w:p>
    <w:p w:rsidR="000C5C1F" w:rsidRDefault="000C5C1F" w:rsidP="00337201">
      <w:pPr>
        <w:rPr>
          <w:rtl/>
          <w:lang w:eastAsia="he-IL"/>
        </w:rPr>
      </w:pPr>
    </w:p>
    <w:p w:rsidR="000C5C1F" w:rsidRDefault="000C5C1F" w:rsidP="000C5C1F">
      <w:pPr>
        <w:rPr>
          <w:rtl/>
          <w:lang w:eastAsia="he-IL"/>
        </w:rPr>
      </w:pPr>
      <w:bookmarkStart w:id="16846" w:name="_ETM_Q24_653000"/>
      <w:bookmarkEnd w:id="16846"/>
      <w:r>
        <w:rPr>
          <w:rFonts w:hint="cs"/>
          <w:rtl/>
          <w:lang w:eastAsia="he-IL"/>
        </w:rPr>
        <w:t>אז אני אומר שההפרש הוא לא 40%, אלא 20% – זה לא 54% מול - - -</w:t>
      </w:r>
    </w:p>
    <w:p w:rsidR="000C5C1F" w:rsidRDefault="000C5C1F" w:rsidP="000C5C1F">
      <w:pPr>
        <w:rPr>
          <w:rtl/>
          <w:lang w:eastAsia="he-IL"/>
        </w:rPr>
      </w:pPr>
    </w:p>
    <w:p w:rsidR="000C5C1F" w:rsidRDefault="000C5C1F" w:rsidP="000C5C1F">
      <w:pPr>
        <w:pStyle w:val="-"/>
        <w:keepNext/>
        <w:rPr>
          <w:rtl/>
        </w:rPr>
      </w:pPr>
      <w:bookmarkStart w:id="16847" w:name="ET_speakercontinue_5792_71"/>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47"/>
    </w:p>
    <w:p w:rsidR="000C5C1F" w:rsidRDefault="000C5C1F" w:rsidP="00337201">
      <w:pPr>
        <w:rPr>
          <w:rtl/>
          <w:lang w:eastAsia="he-IL"/>
        </w:rPr>
      </w:pPr>
    </w:p>
    <w:p w:rsidR="000C5C1F" w:rsidRDefault="000C5C1F" w:rsidP="000C5C1F">
      <w:pPr>
        <w:rPr>
          <w:rtl/>
          <w:lang w:eastAsia="he-IL"/>
        </w:rPr>
      </w:pPr>
      <w:bookmarkStart w:id="16848" w:name="_ETM_Q24_659000"/>
      <w:bookmarkStart w:id="16849" w:name="_ETM_Q24_652000"/>
      <w:bookmarkEnd w:id="16848"/>
      <w:bookmarkEnd w:id="16849"/>
      <w:r>
        <w:rPr>
          <w:rFonts w:hint="cs"/>
          <w:rtl/>
          <w:lang w:eastAsia="he-IL"/>
        </w:rPr>
        <w:t xml:space="preserve">יש אנשים שלא מסוגלים לעבוד, כי המצב הבריאותי לא מאפשר להם. </w:t>
      </w:r>
    </w:p>
    <w:p w:rsidR="000C5C1F" w:rsidRDefault="000C5C1F" w:rsidP="000C5C1F">
      <w:pPr>
        <w:rPr>
          <w:rtl/>
          <w:lang w:eastAsia="he-IL"/>
        </w:rPr>
      </w:pPr>
    </w:p>
    <w:p w:rsidR="000C5C1F" w:rsidRDefault="000C5C1F" w:rsidP="000C5C1F">
      <w:pPr>
        <w:pStyle w:val="af9"/>
        <w:keepNext/>
        <w:rPr>
          <w:rtl/>
        </w:rPr>
      </w:pPr>
      <w:bookmarkStart w:id="16850" w:name="ET_yor_6488_7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850"/>
    </w:p>
    <w:p w:rsidR="000C5C1F" w:rsidRDefault="000C5C1F" w:rsidP="00337201">
      <w:pPr>
        <w:rPr>
          <w:rtl/>
          <w:lang w:eastAsia="he-IL"/>
        </w:rPr>
      </w:pPr>
    </w:p>
    <w:p w:rsidR="000C5C1F" w:rsidRDefault="000C5C1F" w:rsidP="000C5C1F">
      <w:pPr>
        <w:rPr>
          <w:rtl/>
          <w:lang w:eastAsia="he-IL"/>
        </w:rPr>
      </w:pPr>
      <w:bookmarkStart w:id="16851" w:name="_ETM_Q24_658000"/>
      <w:bookmarkEnd w:id="16851"/>
      <w:r>
        <w:rPr>
          <w:rFonts w:hint="cs"/>
          <w:rtl/>
          <w:lang w:eastAsia="he-IL"/>
        </w:rPr>
        <w:t>שזה בשני הצדדים.</w:t>
      </w:r>
      <w:bookmarkStart w:id="16852" w:name="_ETM_Q24_660000"/>
      <w:bookmarkEnd w:id="16852"/>
      <w:r>
        <w:rPr>
          <w:rFonts w:hint="cs"/>
          <w:rtl/>
          <w:lang w:eastAsia="he-IL"/>
        </w:rPr>
        <w:t xml:space="preserve"> </w:t>
      </w:r>
    </w:p>
    <w:p w:rsidR="000C5C1F" w:rsidRDefault="000C5C1F" w:rsidP="000C5C1F">
      <w:pPr>
        <w:rPr>
          <w:rtl/>
          <w:lang w:eastAsia="he-IL"/>
        </w:rPr>
      </w:pPr>
    </w:p>
    <w:p w:rsidR="000C5C1F" w:rsidRDefault="000C5C1F" w:rsidP="000C5C1F">
      <w:pPr>
        <w:pStyle w:val="-"/>
        <w:keepNext/>
        <w:rPr>
          <w:rtl/>
        </w:rPr>
      </w:pPr>
      <w:bookmarkStart w:id="16853" w:name="ET_speakercontinue_5792_73"/>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53"/>
    </w:p>
    <w:p w:rsidR="000C5C1F" w:rsidRDefault="000C5C1F" w:rsidP="00337201">
      <w:pPr>
        <w:rPr>
          <w:rtl/>
          <w:lang w:eastAsia="he-IL"/>
        </w:rPr>
      </w:pPr>
    </w:p>
    <w:p w:rsidR="000C5C1F" w:rsidRDefault="000C5C1F" w:rsidP="000C5C1F">
      <w:pPr>
        <w:rPr>
          <w:rtl/>
          <w:lang w:eastAsia="he-IL"/>
        </w:rPr>
      </w:pPr>
      <w:bookmarkStart w:id="16854" w:name="_ETM_Q24_661000"/>
      <w:bookmarkStart w:id="16855" w:name="_ETM_Q24_662000"/>
      <w:bookmarkEnd w:id="16854"/>
      <w:bookmarkEnd w:id="16855"/>
      <w:r>
        <w:rPr>
          <w:rFonts w:hint="cs"/>
          <w:rtl/>
          <w:lang w:eastAsia="he-IL"/>
        </w:rPr>
        <w:t xml:space="preserve">אני לא נכנס לזה, אני אומר מקרב האוכלוסייה הבריאה לחלוטין, </w:t>
      </w:r>
      <w:bookmarkStart w:id="16856" w:name="_ETM_Q24_664000"/>
      <w:bookmarkEnd w:id="16856"/>
      <w:r>
        <w:rPr>
          <w:rFonts w:hint="cs"/>
          <w:rtl/>
          <w:lang w:eastAsia="he-IL"/>
        </w:rPr>
        <w:t xml:space="preserve">בני 18 עד - - - </w:t>
      </w:r>
    </w:p>
    <w:p w:rsidR="000C5C1F" w:rsidRDefault="000C5C1F" w:rsidP="000C5C1F">
      <w:pPr>
        <w:rPr>
          <w:rtl/>
          <w:lang w:eastAsia="he-IL"/>
        </w:rPr>
      </w:pPr>
    </w:p>
    <w:p w:rsidR="000C5C1F" w:rsidRDefault="000C5C1F" w:rsidP="000C5C1F">
      <w:pPr>
        <w:pStyle w:val="af9"/>
        <w:keepNext/>
        <w:rPr>
          <w:rtl/>
        </w:rPr>
      </w:pPr>
      <w:bookmarkStart w:id="16857" w:name="ET_yor_6488_7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857"/>
    </w:p>
    <w:p w:rsidR="000C5C1F" w:rsidRDefault="000C5C1F" w:rsidP="00337201">
      <w:pPr>
        <w:rPr>
          <w:rtl/>
          <w:lang w:eastAsia="he-IL"/>
        </w:rPr>
      </w:pPr>
    </w:p>
    <w:p w:rsidR="000C5C1F" w:rsidRDefault="000C5C1F" w:rsidP="000C5C1F">
      <w:pPr>
        <w:rPr>
          <w:rtl/>
          <w:lang w:eastAsia="he-IL"/>
        </w:rPr>
      </w:pPr>
      <w:bookmarkStart w:id="16858" w:name="_ETM_Q24_663000"/>
      <w:bookmarkEnd w:id="16858"/>
      <w:r>
        <w:rPr>
          <w:rFonts w:hint="cs"/>
          <w:rtl/>
          <w:lang w:eastAsia="he-IL"/>
        </w:rPr>
        <w:t xml:space="preserve">של הציבור הכללי זה שמונים ומשהו אחוזים - - - </w:t>
      </w:r>
    </w:p>
    <w:p w:rsidR="000C5C1F" w:rsidRDefault="000C5C1F" w:rsidP="00337201">
      <w:pPr>
        <w:rPr>
          <w:rtl/>
          <w:lang w:eastAsia="he-IL"/>
        </w:rPr>
      </w:pPr>
      <w:bookmarkStart w:id="16859" w:name="_ETM_Q24_666000"/>
      <w:bookmarkEnd w:id="16859"/>
    </w:p>
    <w:p w:rsidR="000C5C1F" w:rsidRDefault="000C5C1F" w:rsidP="000C5C1F">
      <w:pPr>
        <w:pStyle w:val="-"/>
        <w:keepNext/>
        <w:rPr>
          <w:rtl/>
        </w:rPr>
      </w:pPr>
      <w:bookmarkStart w:id="16860" w:name="ET_speakercontinue_6430_86"/>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60"/>
    </w:p>
    <w:p w:rsidR="000C5C1F" w:rsidRDefault="000C5C1F" w:rsidP="00337201">
      <w:pPr>
        <w:rPr>
          <w:rtl/>
          <w:lang w:eastAsia="he-IL"/>
        </w:rPr>
      </w:pPr>
    </w:p>
    <w:p w:rsidR="000C5C1F" w:rsidRDefault="000C5C1F" w:rsidP="000C5C1F">
      <w:pPr>
        <w:rPr>
          <w:rtl/>
          <w:lang w:eastAsia="he-IL"/>
        </w:rPr>
      </w:pPr>
      <w:bookmarkStart w:id="16861" w:name="_ETM_Q24_671000"/>
      <w:bookmarkEnd w:id="16861"/>
      <w:r>
        <w:rPr>
          <w:rFonts w:hint="cs"/>
          <w:rtl/>
          <w:lang w:eastAsia="he-IL"/>
        </w:rPr>
        <w:t xml:space="preserve">רגע, בין 18 </w:t>
      </w:r>
      <w:bookmarkStart w:id="16862" w:name="_ETM_Q24_672000"/>
      <w:bookmarkEnd w:id="16862"/>
      <w:r>
        <w:rPr>
          <w:rFonts w:hint="cs"/>
          <w:rtl/>
          <w:lang w:eastAsia="he-IL"/>
        </w:rPr>
        <w:t xml:space="preserve">ל-67 הנתון הכי נמוך זה בקרב הציבור החרדי, לא אני המצאתי את זה. </w:t>
      </w:r>
    </w:p>
    <w:p w:rsidR="00BB59CD" w:rsidRDefault="00BB59CD" w:rsidP="00BB59CD">
      <w:pPr>
        <w:rPr>
          <w:rtl/>
          <w:lang w:eastAsia="he-IL"/>
        </w:rPr>
      </w:pPr>
    </w:p>
    <w:p w:rsidR="00BB59CD" w:rsidRDefault="00BB59CD" w:rsidP="00BB59CD">
      <w:pPr>
        <w:pStyle w:val="af8"/>
        <w:keepNext/>
        <w:rPr>
          <w:rtl/>
        </w:rPr>
      </w:pPr>
      <w:bookmarkStart w:id="16863" w:name="ET_interruption_6430_75"/>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863"/>
    </w:p>
    <w:p w:rsidR="00BB59CD" w:rsidRDefault="00BB59CD" w:rsidP="00337201">
      <w:pPr>
        <w:rPr>
          <w:rtl/>
          <w:lang w:eastAsia="he-IL"/>
        </w:rPr>
      </w:pPr>
    </w:p>
    <w:p w:rsidR="00BB59CD" w:rsidRDefault="00BB59CD" w:rsidP="00BB59CD">
      <w:pPr>
        <w:rPr>
          <w:rtl/>
          <w:lang w:eastAsia="he-IL"/>
        </w:rPr>
      </w:pPr>
      <w:bookmarkStart w:id="16864" w:name="_ETM_Q24_674000"/>
      <w:bookmarkEnd w:id="16864"/>
      <w:r>
        <w:rPr>
          <w:rFonts w:hint="cs"/>
          <w:rtl/>
          <w:lang w:eastAsia="he-IL"/>
        </w:rPr>
        <w:t xml:space="preserve">מה פתאום, מה פתאום. </w:t>
      </w:r>
    </w:p>
    <w:p w:rsidR="00BB59CD" w:rsidRDefault="00BB59CD" w:rsidP="00BB59CD">
      <w:pPr>
        <w:rPr>
          <w:rtl/>
          <w:lang w:eastAsia="he-IL"/>
        </w:rPr>
      </w:pPr>
    </w:p>
    <w:p w:rsidR="00BB59CD" w:rsidRDefault="00BB59CD" w:rsidP="00BB59CD">
      <w:pPr>
        <w:pStyle w:val="-"/>
        <w:keepNext/>
        <w:rPr>
          <w:rtl/>
        </w:rPr>
      </w:pPr>
      <w:bookmarkStart w:id="16865" w:name="ET_speakercontinue_5792_76"/>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6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מה זה מה פתאום? הלשכה המרכזית </w:t>
      </w:r>
      <w:bookmarkStart w:id="16866" w:name="_ETM_Q24_673000"/>
      <w:bookmarkEnd w:id="16866"/>
      <w:r>
        <w:rPr>
          <w:rFonts w:hint="cs"/>
          <w:rtl/>
          <w:lang w:eastAsia="he-IL"/>
        </w:rPr>
        <w:t xml:space="preserve">לסטטיסטיקה. </w:t>
      </w:r>
    </w:p>
    <w:p w:rsidR="00BB59CD" w:rsidRDefault="00BB59CD" w:rsidP="00BB59CD">
      <w:pPr>
        <w:rPr>
          <w:rtl/>
          <w:lang w:eastAsia="he-IL"/>
        </w:rPr>
      </w:pPr>
      <w:bookmarkStart w:id="16867" w:name="_ETM_Q24_675000"/>
      <w:bookmarkEnd w:id="16867"/>
    </w:p>
    <w:p w:rsidR="00BB59CD" w:rsidRDefault="00BB59CD" w:rsidP="00BB59CD">
      <w:pPr>
        <w:pStyle w:val="af8"/>
        <w:keepNext/>
        <w:rPr>
          <w:rtl/>
        </w:rPr>
      </w:pPr>
      <w:bookmarkStart w:id="16868" w:name="ET_interruption_6430_77"/>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868"/>
    </w:p>
    <w:p w:rsidR="00BB59CD" w:rsidRDefault="00BB59CD" w:rsidP="00337201">
      <w:pPr>
        <w:rPr>
          <w:rtl/>
          <w:lang w:eastAsia="he-IL"/>
        </w:rPr>
      </w:pPr>
    </w:p>
    <w:p w:rsidR="00BB59CD" w:rsidRDefault="00BB59CD" w:rsidP="00BB59CD">
      <w:pPr>
        <w:rPr>
          <w:rtl/>
          <w:lang w:eastAsia="he-IL"/>
        </w:rPr>
      </w:pPr>
      <w:bookmarkStart w:id="16869" w:name="_ETM_Q24_679000"/>
      <w:bookmarkEnd w:id="16869"/>
      <w:r>
        <w:rPr>
          <w:rFonts w:hint="cs"/>
          <w:rtl/>
          <w:lang w:eastAsia="he-IL"/>
        </w:rPr>
        <w:t xml:space="preserve">הלשכה הזאת גם אמרה שללפיד יהיו 70 מנדטים, ולא </w:t>
      </w:r>
      <w:bookmarkStart w:id="16870" w:name="_ETM_Q24_682000"/>
      <w:bookmarkEnd w:id="16870"/>
      <w:r>
        <w:rPr>
          <w:rFonts w:hint="cs"/>
          <w:rtl/>
          <w:lang w:eastAsia="he-IL"/>
        </w:rPr>
        <w:t xml:space="preserve">היו לו לפי כל מיני מדגמים וסקרים. בוא נלך למה שאמיתי. </w:t>
      </w:r>
    </w:p>
    <w:p w:rsidR="00BB59CD" w:rsidRDefault="00BB59CD" w:rsidP="00BB59CD">
      <w:pPr>
        <w:rPr>
          <w:rtl/>
          <w:lang w:eastAsia="he-IL"/>
        </w:rPr>
      </w:pPr>
    </w:p>
    <w:p w:rsidR="00BB59CD" w:rsidRDefault="00BB59CD" w:rsidP="00BB59CD">
      <w:pPr>
        <w:pStyle w:val="-"/>
        <w:keepNext/>
        <w:rPr>
          <w:rtl/>
        </w:rPr>
      </w:pPr>
      <w:bookmarkStart w:id="16871" w:name="ET_speakercontinue_5792_24"/>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7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מה זה אמיתי? </w:t>
      </w:r>
      <w:bookmarkStart w:id="16872" w:name="_ETM_Q24_687000"/>
      <w:bookmarkEnd w:id="16872"/>
      <w:r>
        <w:rPr>
          <w:rFonts w:hint="cs"/>
          <w:rtl/>
          <w:lang w:eastAsia="he-IL"/>
        </w:rPr>
        <w:t xml:space="preserve">יש נתונים, מה זאת אומרת? יש נתונים. </w:t>
      </w:r>
    </w:p>
    <w:p w:rsidR="00BB59CD" w:rsidRDefault="00BB59CD" w:rsidP="00BB59CD">
      <w:pPr>
        <w:rPr>
          <w:rtl/>
          <w:lang w:eastAsia="he-IL"/>
        </w:rPr>
      </w:pPr>
      <w:bookmarkStart w:id="16873" w:name="_ETM_Q24_686000"/>
      <w:bookmarkEnd w:id="16873"/>
    </w:p>
    <w:p w:rsidR="00BB59CD" w:rsidRDefault="00BB59CD" w:rsidP="00BB59CD">
      <w:pPr>
        <w:rPr>
          <w:rtl/>
          <w:lang w:eastAsia="he-IL"/>
        </w:rPr>
      </w:pPr>
      <w:bookmarkStart w:id="16874" w:name="_ETM_Q24_685000"/>
      <w:bookmarkEnd w:id="16874"/>
      <w:r>
        <w:rPr>
          <w:rFonts w:hint="cs"/>
          <w:rtl/>
          <w:lang w:eastAsia="he-IL"/>
        </w:rPr>
        <w:t>אגב, מתי זה עלה? אתה יודע מתי זה עלה?</w:t>
      </w:r>
      <w:bookmarkStart w:id="16875" w:name="_ETM_Q24_693000"/>
      <w:bookmarkEnd w:id="16875"/>
      <w:r>
        <w:rPr>
          <w:rFonts w:hint="cs"/>
          <w:rtl/>
          <w:lang w:eastAsia="he-IL"/>
        </w:rPr>
        <w:t xml:space="preserve"> זה עלה בין 2013 ל-2015. ב-2013–2015 זה עלה כמעט ל-55%, ואז זה ירד. </w:t>
      </w:r>
    </w:p>
    <w:p w:rsidR="00BB59CD" w:rsidRDefault="00BB59CD" w:rsidP="00BB59CD">
      <w:pPr>
        <w:rPr>
          <w:rtl/>
          <w:lang w:eastAsia="he-IL"/>
        </w:rPr>
      </w:pPr>
    </w:p>
    <w:p w:rsidR="00BB59CD" w:rsidRDefault="00BB59CD" w:rsidP="00BB59CD">
      <w:pPr>
        <w:pStyle w:val="af8"/>
        <w:keepNext/>
        <w:rPr>
          <w:rtl/>
        </w:rPr>
      </w:pPr>
      <w:bookmarkStart w:id="16876" w:name="ET_interruption_6430_25"/>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876"/>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אמרתם שנשים חרדיות לא עובדות. </w:t>
      </w:r>
    </w:p>
    <w:p w:rsidR="00BB59CD" w:rsidRDefault="00BB59CD" w:rsidP="00BB59CD">
      <w:pPr>
        <w:rPr>
          <w:rtl/>
          <w:lang w:eastAsia="he-IL"/>
        </w:rPr>
      </w:pPr>
    </w:p>
    <w:p w:rsidR="00BB59CD" w:rsidRDefault="00BB59CD" w:rsidP="00BB59CD">
      <w:pPr>
        <w:pStyle w:val="-"/>
        <w:keepNext/>
        <w:rPr>
          <w:rtl/>
        </w:rPr>
      </w:pPr>
      <w:bookmarkStart w:id="16877" w:name="ET_speakercontinue_5792_26"/>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7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לא אמרתי נשים, אדוני השר. כמו שאמרת שלא אדבר בשמך, אל תדבר </w:t>
      </w:r>
      <w:bookmarkStart w:id="16878" w:name="_ETM_Q24_702000"/>
      <w:bookmarkEnd w:id="16878"/>
      <w:r>
        <w:rPr>
          <w:rFonts w:hint="cs"/>
          <w:rtl/>
          <w:lang w:eastAsia="he-IL"/>
        </w:rPr>
        <w:t>בשמי.</w:t>
      </w:r>
    </w:p>
    <w:p w:rsidR="00BB59CD" w:rsidRDefault="00BB59CD" w:rsidP="00BB59CD">
      <w:pPr>
        <w:rPr>
          <w:rtl/>
          <w:lang w:eastAsia="he-IL"/>
        </w:rPr>
      </w:pPr>
    </w:p>
    <w:p w:rsidR="00BB59CD" w:rsidRDefault="00BB59CD" w:rsidP="00BB59CD">
      <w:pPr>
        <w:pStyle w:val="af8"/>
        <w:keepNext/>
        <w:rPr>
          <w:rtl/>
        </w:rPr>
      </w:pPr>
      <w:bookmarkStart w:id="16879" w:name="ET_interruption_6430_78"/>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16879"/>
    </w:p>
    <w:p w:rsidR="00BB59CD" w:rsidRDefault="00BB59CD" w:rsidP="00337201">
      <w:pPr>
        <w:rPr>
          <w:rtl/>
          <w:lang w:eastAsia="he-IL"/>
        </w:rPr>
      </w:pPr>
    </w:p>
    <w:p w:rsidR="00BB59CD" w:rsidRDefault="00BB59CD" w:rsidP="000C5C1F">
      <w:pPr>
        <w:rPr>
          <w:rtl/>
          <w:lang w:eastAsia="he-IL"/>
        </w:rPr>
      </w:pPr>
      <w:bookmarkStart w:id="16880" w:name="_ETM_Q24_703000"/>
      <w:bookmarkEnd w:id="16880"/>
      <w:r>
        <w:rPr>
          <w:rFonts w:hint="cs"/>
          <w:rtl/>
          <w:lang w:eastAsia="he-IL"/>
        </w:rPr>
        <w:t xml:space="preserve">לא אתה אמרת, לא אתה. </w:t>
      </w:r>
    </w:p>
    <w:p w:rsidR="00BB59CD" w:rsidRDefault="00BB59CD" w:rsidP="00BB59CD">
      <w:pPr>
        <w:rPr>
          <w:rtl/>
          <w:lang w:eastAsia="he-IL"/>
        </w:rPr>
      </w:pPr>
    </w:p>
    <w:p w:rsidR="00BB59CD" w:rsidRDefault="00BB59CD" w:rsidP="00BB59CD">
      <w:pPr>
        <w:pStyle w:val="-"/>
        <w:keepNext/>
        <w:rPr>
          <w:rtl/>
        </w:rPr>
      </w:pPr>
      <w:bookmarkStart w:id="16881" w:name="ET_speakercontinue_5792_79"/>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81"/>
    </w:p>
    <w:p w:rsidR="00BB59CD" w:rsidRDefault="00BB59CD" w:rsidP="00337201">
      <w:pPr>
        <w:rPr>
          <w:rtl/>
          <w:lang w:eastAsia="he-IL"/>
        </w:rPr>
      </w:pPr>
    </w:p>
    <w:p w:rsidR="00BB59CD" w:rsidRDefault="00BB59CD" w:rsidP="00BB59CD">
      <w:pPr>
        <w:rPr>
          <w:rtl/>
          <w:lang w:eastAsia="he-IL"/>
        </w:rPr>
      </w:pPr>
      <w:bookmarkStart w:id="16882" w:name="_ETM_Q24_706000"/>
      <w:bookmarkStart w:id="16883" w:name="_ETM_Q24_705000"/>
      <w:bookmarkEnd w:id="16882"/>
      <w:bookmarkEnd w:id="16883"/>
      <w:r>
        <w:rPr>
          <w:rFonts w:hint="cs"/>
          <w:rtl/>
          <w:lang w:eastAsia="he-IL"/>
        </w:rPr>
        <w:t xml:space="preserve">בקרב הנשים החרדיות אכן יש </w:t>
      </w:r>
      <w:bookmarkStart w:id="16884" w:name="_ETM_Q24_712000"/>
      <w:bookmarkEnd w:id="16884"/>
      <w:r>
        <w:rPr>
          <w:rFonts w:hint="cs"/>
          <w:rtl/>
          <w:lang w:eastAsia="he-IL"/>
        </w:rPr>
        <w:t>שיפור משמעותי, אבל גם שם, כשאתה מתעמק ומסתכל - -</w:t>
      </w:r>
    </w:p>
    <w:p w:rsidR="00BB59CD" w:rsidRDefault="00BB59CD" w:rsidP="00BB59CD">
      <w:pPr>
        <w:rPr>
          <w:rtl/>
          <w:lang w:eastAsia="he-IL"/>
        </w:rPr>
      </w:pPr>
    </w:p>
    <w:p w:rsidR="00BB59CD" w:rsidRDefault="00BB59CD" w:rsidP="00BB59CD">
      <w:pPr>
        <w:pStyle w:val="af9"/>
        <w:keepNext/>
        <w:rPr>
          <w:rtl/>
        </w:rPr>
      </w:pPr>
      <w:bookmarkStart w:id="16885" w:name="ET_yor_6488_2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88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צריך לזכור </w:t>
      </w:r>
      <w:bookmarkStart w:id="16886" w:name="_ETM_Q24_713000"/>
      <w:bookmarkEnd w:id="16886"/>
      <w:r>
        <w:rPr>
          <w:rFonts w:hint="cs"/>
          <w:rtl/>
          <w:lang w:eastAsia="he-IL"/>
        </w:rPr>
        <w:t xml:space="preserve">שיותר מהציבור הכללי. </w:t>
      </w:r>
    </w:p>
    <w:p w:rsidR="00BB59CD" w:rsidRDefault="00BB59CD" w:rsidP="00BB59CD">
      <w:pPr>
        <w:rPr>
          <w:rtl/>
          <w:lang w:eastAsia="he-IL"/>
        </w:rPr>
      </w:pPr>
    </w:p>
    <w:p w:rsidR="00BB59CD" w:rsidRDefault="00BB59CD" w:rsidP="00BB59CD">
      <w:pPr>
        <w:pStyle w:val="-"/>
        <w:keepNext/>
        <w:rPr>
          <w:rtl/>
        </w:rPr>
      </w:pPr>
      <w:bookmarkStart w:id="16887" w:name="ET_speakercontinue_5792_28"/>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8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 כשאתה מסתכל על אחוז המשרה ועל השכר שלהן ועל </w:t>
      </w:r>
      <w:bookmarkStart w:id="16888" w:name="_ETM_Q24_716000"/>
      <w:bookmarkEnd w:id="16888"/>
      <w:r>
        <w:rPr>
          <w:rFonts w:hint="cs"/>
          <w:rtl/>
          <w:lang w:eastAsia="he-IL"/>
        </w:rPr>
        <w:t>התרומה שלהן למשק, אתה עדיין מגיע למספרים נמוכים מאוד. אתה לא תראה הרבה נשים חרדיות - - -</w:t>
      </w:r>
    </w:p>
    <w:p w:rsidR="00BB59CD" w:rsidRDefault="00BB59CD" w:rsidP="00BB59CD">
      <w:pPr>
        <w:rPr>
          <w:rtl/>
          <w:lang w:eastAsia="he-IL"/>
        </w:rPr>
      </w:pPr>
    </w:p>
    <w:p w:rsidR="00BB59CD" w:rsidRDefault="00BB59CD" w:rsidP="00BB59CD">
      <w:pPr>
        <w:pStyle w:val="af9"/>
        <w:keepNext/>
        <w:rPr>
          <w:rtl/>
        </w:rPr>
      </w:pPr>
      <w:bookmarkStart w:id="16889" w:name="ET_yor_6488_8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889"/>
    </w:p>
    <w:p w:rsidR="00BB59CD" w:rsidRDefault="00BB59CD" w:rsidP="00337201">
      <w:pPr>
        <w:rPr>
          <w:rtl/>
          <w:lang w:eastAsia="he-IL"/>
        </w:rPr>
      </w:pPr>
    </w:p>
    <w:p w:rsidR="00BB59CD" w:rsidRDefault="00BB59CD" w:rsidP="00BB59CD">
      <w:pPr>
        <w:rPr>
          <w:rtl/>
          <w:lang w:eastAsia="he-IL"/>
        </w:rPr>
      </w:pPr>
      <w:bookmarkStart w:id="16890" w:name="_ETM_Q24_726000"/>
      <w:bookmarkEnd w:id="16890"/>
      <w:r>
        <w:rPr>
          <w:rFonts w:hint="cs"/>
          <w:rtl/>
          <w:lang w:eastAsia="he-IL"/>
        </w:rPr>
        <w:t xml:space="preserve">לא, לא, לא. </w:t>
      </w:r>
      <w:bookmarkStart w:id="16891" w:name="_ETM_Q24_727000"/>
      <w:bookmarkEnd w:id="16891"/>
    </w:p>
    <w:p w:rsidR="00BB59CD" w:rsidRDefault="00BB59CD" w:rsidP="00BB59CD">
      <w:pPr>
        <w:rPr>
          <w:rtl/>
          <w:lang w:eastAsia="he-IL"/>
        </w:rPr>
      </w:pPr>
    </w:p>
    <w:p w:rsidR="00BB59CD" w:rsidRDefault="00BB59CD" w:rsidP="00BB59CD">
      <w:pPr>
        <w:pStyle w:val="-"/>
        <w:keepNext/>
        <w:rPr>
          <w:rtl/>
        </w:rPr>
      </w:pPr>
      <w:bookmarkStart w:id="16892" w:name="ET_speakercontinue_5792_81"/>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892"/>
    </w:p>
    <w:p w:rsidR="00BB59CD" w:rsidRDefault="00BB59CD" w:rsidP="00337201">
      <w:pPr>
        <w:rPr>
          <w:rtl/>
          <w:lang w:eastAsia="he-IL"/>
        </w:rPr>
      </w:pPr>
    </w:p>
    <w:p w:rsidR="00BB59CD" w:rsidRDefault="00BB59CD" w:rsidP="000C5C1F">
      <w:pPr>
        <w:rPr>
          <w:rtl/>
          <w:lang w:eastAsia="he-IL"/>
        </w:rPr>
      </w:pPr>
      <w:bookmarkStart w:id="16893" w:name="_ETM_Q24_728000"/>
      <w:bookmarkStart w:id="16894" w:name="_ETM_Q24_725000"/>
      <w:bookmarkEnd w:id="16893"/>
      <w:bookmarkEnd w:id="16894"/>
      <w:r>
        <w:rPr>
          <w:rFonts w:hint="cs"/>
          <w:rtl/>
          <w:lang w:eastAsia="he-IL"/>
        </w:rPr>
        <w:t xml:space="preserve">השכר שלהן הוא לא גבוה ביחס לממוצע. זה גם מוביל לעוני. ונוסף לכך, אם השכר שלך לא גבוה והוא נמוך מהשכר הממוצע, גם התרומה שלך במיסים היא יותר נמוכה. אתה לא ממציא </w:t>
      </w:r>
      <w:r w:rsidR="000C5C1F">
        <w:rPr>
          <w:rFonts w:hint="cs"/>
          <w:rtl/>
          <w:lang w:eastAsia="he-IL"/>
        </w:rPr>
        <w:t>את ה</w:t>
      </w:r>
      <w:r>
        <w:rPr>
          <w:rFonts w:hint="cs"/>
          <w:rtl/>
          <w:lang w:eastAsia="he-IL"/>
        </w:rPr>
        <w:t>גלגל</w:t>
      </w:r>
      <w:r w:rsidR="000C5C1F">
        <w:rPr>
          <w:rFonts w:hint="cs"/>
          <w:rtl/>
          <w:lang w:eastAsia="he-IL"/>
        </w:rPr>
        <w:t>, בוא</w:t>
      </w:r>
      <w:r>
        <w:rPr>
          <w:rFonts w:hint="cs"/>
          <w:rtl/>
          <w:lang w:eastAsia="he-IL"/>
        </w:rPr>
        <w:t xml:space="preserve">. </w:t>
      </w:r>
    </w:p>
    <w:p w:rsidR="00BB59CD" w:rsidRDefault="00BB59CD" w:rsidP="00337201">
      <w:pPr>
        <w:rPr>
          <w:rtl/>
          <w:lang w:eastAsia="he-IL"/>
        </w:rPr>
      </w:pPr>
    </w:p>
    <w:p w:rsidR="00BB59CD" w:rsidRDefault="00BB59CD" w:rsidP="00BB59CD">
      <w:pPr>
        <w:pStyle w:val="af9"/>
        <w:keepNext/>
        <w:rPr>
          <w:rtl/>
        </w:rPr>
      </w:pPr>
      <w:bookmarkStart w:id="16895" w:name="ET_yor_6488_8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89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זה לא נכון. </w:t>
      </w:r>
    </w:p>
    <w:p w:rsidR="00BB59CD" w:rsidRDefault="00BB59CD" w:rsidP="00BB59CD">
      <w:pPr>
        <w:rPr>
          <w:rtl/>
          <w:lang w:eastAsia="he-IL"/>
        </w:rPr>
      </w:pPr>
      <w:bookmarkStart w:id="16896" w:name="_ETM_Q24_738000"/>
      <w:bookmarkEnd w:id="16896"/>
    </w:p>
    <w:p w:rsidR="00BB59CD" w:rsidRDefault="00BB59CD" w:rsidP="00BB59CD">
      <w:pPr>
        <w:pStyle w:val="af8"/>
        <w:keepNext/>
        <w:rPr>
          <w:rtl/>
        </w:rPr>
      </w:pPr>
      <w:r>
        <w:rPr>
          <w:rStyle w:val="TagStyle"/>
          <w:rFonts w:hint="cs"/>
          <w:rtl/>
        </w:rPr>
        <w:t xml:space="preserve">&lt;&lt;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0C5C1F">
      <w:pPr>
        <w:rPr>
          <w:rtl/>
          <w:lang w:eastAsia="he-IL"/>
        </w:rPr>
      </w:pPr>
      <w:bookmarkStart w:id="16897" w:name="_ETM_Q24_739000"/>
      <w:bookmarkStart w:id="16898" w:name="_ETM_Q24_741000"/>
      <w:bookmarkEnd w:id="16897"/>
      <w:bookmarkEnd w:id="16898"/>
      <w:r>
        <w:rPr>
          <w:rFonts w:hint="cs"/>
          <w:rtl/>
          <w:lang w:eastAsia="he-IL"/>
        </w:rPr>
        <w:t xml:space="preserve">מה זה לא נכון? יש נשים חרדיות שממוצע השכר שלהן יותר גבוה מהשכר </w:t>
      </w:r>
      <w:bookmarkStart w:id="16899" w:name="_ETM_Q24_742000"/>
      <w:bookmarkEnd w:id="16899"/>
      <w:r>
        <w:rPr>
          <w:rFonts w:hint="cs"/>
          <w:rtl/>
          <w:lang w:eastAsia="he-IL"/>
        </w:rPr>
        <w:t xml:space="preserve">הממוצע? מה פתאום. </w:t>
      </w:r>
    </w:p>
    <w:p w:rsidR="00BB59CD" w:rsidRDefault="00BB59CD" w:rsidP="00BB59CD">
      <w:pPr>
        <w:rPr>
          <w:rtl/>
          <w:lang w:eastAsia="he-IL"/>
        </w:rPr>
      </w:pPr>
    </w:p>
    <w:p w:rsidR="00BB59CD" w:rsidRDefault="00BB59CD" w:rsidP="00BB59CD">
      <w:pPr>
        <w:pStyle w:val="af9"/>
        <w:keepNext/>
        <w:rPr>
          <w:rtl/>
        </w:rPr>
      </w:pPr>
      <w:bookmarkStart w:id="16900" w:name="ET_yor_6488_2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900"/>
    </w:p>
    <w:p w:rsidR="00BB59CD" w:rsidRDefault="00BB59CD" w:rsidP="00337201">
      <w:pPr>
        <w:rPr>
          <w:rtl/>
          <w:lang w:eastAsia="he-IL"/>
        </w:rPr>
      </w:pPr>
    </w:p>
    <w:p w:rsidR="00BB59CD" w:rsidRDefault="00BB59CD" w:rsidP="000C5C1F">
      <w:pPr>
        <w:rPr>
          <w:rtl/>
          <w:lang w:eastAsia="he-IL"/>
        </w:rPr>
      </w:pPr>
      <w:r>
        <w:rPr>
          <w:rFonts w:hint="cs"/>
          <w:rtl/>
          <w:lang w:eastAsia="he-IL"/>
        </w:rPr>
        <w:t xml:space="preserve">אז אני אתן לך תשובה: אישה חרדית, גם אם השכר שלה נמוך, גם אם יש לה </w:t>
      </w:r>
      <w:bookmarkStart w:id="16901" w:name="_ETM_Q24_746000"/>
      <w:bookmarkEnd w:id="16901"/>
      <w:r>
        <w:rPr>
          <w:rFonts w:hint="cs"/>
          <w:rtl/>
          <w:lang w:eastAsia="he-IL"/>
        </w:rPr>
        <w:t xml:space="preserve">עשרה ילדים, היא משלמת מס על הלחם יותר ממה שאתה משלם על עצמך, זה </w:t>
      </w:r>
      <w:bookmarkStart w:id="16902" w:name="_ETM_Q24_752000"/>
      <w:bookmarkEnd w:id="16902"/>
      <w:r>
        <w:rPr>
          <w:rFonts w:hint="cs"/>
          <w:rtl/>
          <w:lang w:eastAsia="he-IL"/>
        </w:rPr>
        <w:t xml:space="preserve">לא דיפרנציאלי. </w:t>
      </w:r>
    </w:p>
    <w:p w:rsidR="00BB59CD" w:rsidRDefault="00BB59CD" w:rsidP="00BB59CD">
      <w:pPr>
        <w:rPr>
          <w:rtl/>
          <w:lang w:eastAsia="he-IL"/>
        </w:rPr>
      </w:pPr>
    </w:p>
    <w:p w:rsidR="00BB59CD" w:rsidRDefault="00BB59CD" w:rsidP="00BB59CD">
      <w:pPr>
        <w:pStyle w:val="-"/>
        <w:keepNext/>
        <w:rPr>
          <w:rtl/>
        </w:rPr>
      </w:pPr>
      <w:bookmarkStart w:id="16903" w:name="ET_speakercontinue_5792_30"/>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903"/>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הוויכוח על כוח הקנייה זה דבר אחד, והוויכוח על המיסים זה דבר אחר. </w:t>
      </w:r>
    </w:p>
    <w:p w:rsidR="00BB59CD" w:rsidRDefault="00BB59CD" w:rsidP="00BB59CD">
      <w:pPr>
        <w:rPr>
          <w:rtl/>
          <w:lang w:eastAsia="he-IL"/>
        </w:rPr>
      </w:pPr>
    </w:p>
    <w:p w:rsidR="00BB59CD" w:rsidRDefault="00BB59CD" w:rsidP="00BB59CD">
      <w:pPr>
        <w:pStyle w:val="af9"/>
        <w:keepNext/>
        <w:rPr>
          <w:rtl/>
        </w:rPr>
      </w:pPr>
      <w:bookmarkStart w:id="16904" w:name="ET_yor_6488_8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904"/>
    </w:p>
    <w:p w:rsidR="00BB59CD" w:rsidRDefault="00BB59CD" w:rsidP="00337201">
      <w:pPr>
        <w:rPr>
          <w:rtl/>
          <w:lang w:eastAsia="he-IL"/>
        </w:rPr>
      </w:pPr>
    </w:p>
    <w:p w:rsidR="00BB59CD" w:rsidRDefault="00BB59CD" w:rsidP="000C5C1F">
      <w:pPr>
        <w:rPr>
          <w:rtl/>
          <w:lang w:eastAsia="he-IL"/>
        </w:rPr>
      </w:pPr>
      <w:bookmarkStart w:id="16905" w:name="_ETM_Q24_761000"/>
      <w:bookmarkEnd w:id="16905"/>
      <w:r>
        <w:rPr>
          <w:rFonts w:hint="cs"/>
          <w:rtl/>
          <w:lang w:eastAsia="he-IL"/>
        </w:rPr>
        <w:t xml:space="preserve">מי שמשלם </w:t>
      </w:r>
      <w:bookmarkStart w:id="16906" w:name="_ETM_Q24_760000"/>
      <w:bookmarkEnd w:id="16906"/>
      <w:r>
        <w:rPr>
          <w:rFonts w:hint="cs"/>
          <w:rtl/>
          <w:lang w:eastAsia="he-IL"/>
        </w:rPr>
        <w:t>זה על הרווח הגדול</w:t>
      </w:r>
      <w:r w:rsidR="000C5C1F">
        <w:rPr>
          <w:rFonts w:hint="cs"/>
          <w:rtl/>
          <w:lang w:eastAsia="he-IL"/>
        </w:rPr>
        <w:t>,</w:t>
      </w:r>
      <w:r>
        <w:rPr>
          <w:rFonts w:hint="cs"/>
          <w:rtl/>
          <w:lang w:eastAsia="he-IL"/>
        </w:rPr>
        <w:t xml:space="preserve"> הוא משלם מס. </w:t>
      </w:r>
    </w:p>
    <w:p w:rsidR="00BB59CD" w:rsidRDefault="00BB59CD" w:rsidP="00BB59CD">
      <w:pPr>
        <w:rPr>
          <w:rtl/>
          <w:lang w:eastAsia="he-IL"/>
        </w:rPr>
      </w:pPr>
      <w:bookmarkStart w:id="16907" w:name="_ETM_Q24_759000"/>
      <w:bookmarkEnd w:id="16907"/>
    </w:p>
    <w:p w:rsidR="00BB59CD" w:rsidRDefault="00BB59CD" w:rsidP="00BB59CD">
      <w:pPr>
        <w:pStyle w:val="-"/>
        <w:keepNext/>
        <w:rPr>
          <w:rtl/>
        </w:rPr>
      </w:pPr>
      <w:bookmarkStart w:id="16908" w:name="TOR_Q25"/>
      <w:bookmarkStart w:id="16909" w:name="ET_speakercontinue_5792_29"/>
      <w:bookmarkEnd w:id="16908"/>
      <w:r>
        <w:rPr>
          <w:rStyle w:val="TagStyle"/>
          <w:rFonts w:hint="cs"/>
          <w:rtl/>
        </w:rPr>
        <w:t xml:space="preserve">&lt;&lt;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909"/>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תראה, אתה מחזיר אותי לוויכוח על אחוז האוכלוסייה. אחוז האוכלוסייה, כמה יש? 15%, 14% </w:t>
      </w:r>
      <w:bookmarkStart w:id="16910" w:name="_ETM_Q25_170493"/>
      <w:bookmarkEnd w:id="16910"/>
      <w:r>
        <w:rPr>
          <w:rFonts w:hint="cs"/>
          <w:rtl/>
          <w:lang w:eastAsia="he-IL"/>
        </w:rPr>
        <w:t xml:space="preserve">בקרב האוכלוסייה? כוח הקנייה שלכם הוא חזק, אבל </w:t>
      </w:r>
      <w:bookmarkStart w:id="16911" w:name="_ETM_Q25_172747"/>
      <w:bookmarkEnd w:id="16911"/>
      <w:r>
        <w:rPr>
          <w:rFonts w:hint="cs"/>
          <w:rtl/>
          <w:lang w:eastAsia="he-IL"/>
        </w:rPr>
        <w:t>אי-אפשר להשוות, לבוא ולהגיד שנשים חרדיות עובדות</w:t>
      </w:r>
      <w:bookmarkStart w:id="16912" w:name="_ETM_Q25_176653"/>
      <w:bookmarkEnd w:id="16912"/>
      <w:r>
        <w:rPr>
          <w:rFonts w:hint="cs"/>
          <w:rtl/>
          <w:lang w:eastAsia="he-IL"/>
        </w:rPr>
        <w:t xml:space="preserve">. בוא, רוב הנשים לא מגיעות לשכר הממוצע במשק, </w:t>
      </w:r>
      <w:bookmarkStart w:id="16913" w:name="_ETM_Q25_179206"/>
      <w:bookmarkEnd w:id="16913"/>
      <w:r>
        <w:rPr>
          <w:rFonts w:hint="cs"/>
          <w:rtl/>
          <w:lang w:eastAsia="he-IL"/>
        </w:rPr>
        <w:t>מה אתה מספר לי סיפורים?</w:t>
      </w:r>
    </w:p>
    <w:p w:rsidR="00BB59CD" w:rsidRDefault="00BB59CD" w:rsidP="00BB59CD">
      <w:pPr>
        <w:rPr>
          <w:rtl/>
          <w:lang w:eastAsia="he-IL"/>
        </w:rPr>
      </w:pPr>
      <w:bookmarkStart w:id="16914" w:name="_ETM_Q25_182042"/>
      <w:bookmarkStart w:id="16915" w:name="_ETM_Q25_182171"/>
      <w:bookmarkEnd w:id="16914"/>
      <w:bookmarkEnd w:id="16915"/>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עוד נקודה קטנה, </w:t>
      </w:r>
      <w:bookmarkStart w:id="16916" w:name="_ETM_Q25_182825"/>
      <w:bookmarkEnd w:id="16916"/>
      <w:r>
        <w:rPr>
          <w:rFonts w:hint="cs"/>
          <w:rtl/>
          <w:lang w:eastAsia="he-IL"/>
        </w:rPr>
        <w:t>אני לא רוצה להפריע לך, כי - - -</w:t>
      </w:r>
    </w:p>
    <w:p w:rsidR="00BB59CD" w:rsidRDefault="00BB59CD" w:rsidP="00BB59CD">
      <w:pPr>
        <w:keepNext/>
        <w:rPr>
          <w:rtl/>
        </w:rPr>
      </w:pPr>
    </w:p>
    <w:p w:rsidR="00BB59CD" w:rsidRDefault="00BB59CD" w:rsidP="00BB59CD">
      <w:pPr>
        <w:pStyle w:val="-"/>
        <w:keepNext/>
        <w:rPr>
          <w:rtl/>
        </w:rPr>
      </w:pPr>
      <w:bookmarkStart w:id="16917" w:name="_ETM_Q25_184595"/>
      <w:bookmarkStart w:id="16918" w:name="_ETM_Q25_184720"/>
      <w:bookmarkEnd w:id="16917"/>
      <w:bookmarkEnd w:id="16918"/>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16919" w:name="_ETM_Q25_185395"/>
      <w:bookmarkStart w:id="16920" w:name="_ETM_Q25_185504"/>
      <w:bookmarkEnd w:id="16919"/>
      <w:bookmarkEnd w:id="16920"/>
      <w:r>
        <w:rPr>
          <w:rFonts w:hint="cs"/>
          <w:rtl/>
          <w:lang w:eastAsia="he-IL"/>
        </w:rPr>
        <w:t xml:space="preserve">אתה לא </w:t>
      </w:r>
      <w:bookmarkStart w:id="16921" w:name="_ETM_Q25_184546"/>
      <w:bookmarkEnd w:id="16921"/>
      <w:r>
        <w:rPr>
          <w:rFonts w:hint="cs"/>
          <w:rtl/>
          <w:lang w:eastAsia="he-IL"/>
        </w:rPr>
        <w:t xml:space="preserve">מפריע, זה ויכוח שצריך להתנהל כאן, ולא </w:t>
      </w:r>
      <w:bookmarkStart w:id="16922" w:name="_ETM_Q25_186672"/>
      <w:bookmarkStart w:id="16923" w:name="_ETM_Q25_187563"/>
      <w:bookmarkStart w:id="16924" w:name="_ETM_Q25_187768"/>
      <w:bookmarkEnd w:id="16922"/>
      <w:bookmarkEnd w:id="16923"/>
      <w:bookmarkEnd w:id="16924"/>
      <w:r>
        <w:rPr>
          <w:rFonts w:hint="cs"/>
          <w:rtl/>
          <w:lang w:eastAsia="he-IL"/>
        </w:rPr>
        <w:t>בכוחניות ולא בהשתלטות.</w:t>
      </w:r>
    </w:p>
    <w:p w:rsidR="00BB59CD" w:rsidRDefault="00BB59CD" w:rsidP="00BB59CD">
      <w:pPr>
        <w:rPr>
          <w:rtl/>
          <w:lang w:eastAsia="he-IL"/>
        </w:rPr>
      </w:pPr>
      <w:bookmarkStart w:id="16925" w:name="_ETM_Q25_190122"/>
      <w:bookmarkStart w:id="16926" w:name="_ETM_Q25_190226"/>
      <w:bookmarkEnd w:id="16925"/>
      <w:bookmarkEnd w:id="16926"/>
    </w:p>
    <w:p w:rsidR="00BB59CD" w:rsidRDefault="00BB59CD" w:rsidP="00BB59CD">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אתה מדבר איתי</w:t>
      </w:r>
      <w:r w:rsidR="000C5C1F">
        <w:rPr>
          <w:rFonts w:hint="cs"/>
          <w:rtl/>
          <w:lang w:eastAsia="he-IL"/>
        </w:rPr>
        <w:t>,</w:t>
      </w:r>
      <w:r>
        <w:rPr>
          <w:rFonts w:hint="cs"/>
          <w:rtl/>
          <w:lang w:eastAsia="he-IL"/>
        </w:rPr>
        <w:t xml:space="preserve"> לדוגמה, </w:t>
      </w:r>
      <w:r w:rsidR="000C5C1F">
        <w:rPr>
          <w:rFonts w:hint="cs"/>
          <w:rtl/>
          <w:lang w:eastAsia="he-IL"/>
        </w:rPr>
        <w:t xml:space="preserve">על </w:t>
      </w:r>
      <w:r>
        <w:rPr>
          <w:rFonts w:hint="cs"/>
          <w:rtl/>
          <w:lang w:eastAsia="he-IL"/>
        </w:rPr>
        <w:t xml:space="preserve">כמה מיסים. </w:t>
      </w:r>
      <w:bookmarkStart w:id="16927" w:name="_ETM_Q25_192161"/>
      <w:bookmarkEnd w:id="16927"/>
      <w:r>
        <w:rPr>
          <w:rFonts w:hint="cs"/>
          <w:rtl/>
          <w:lang w:eastAsia="he-IL"/>
        </w:rPr>
        <w:t xml:space="preserve">כמה כסף הציבור החילוני הביא למדינת ישראל כדי לבנות מוסדות </w:t>
      </w:r>
      <w:bookmarkStart w:id="16928" w:name="_ETM_Q25_198042"/>
      <w:bookmarkEnd w:id="16928"/>
      <w:r>
        <w:rPr>
          <w:rFonts w:hint="cs"/>
          <w:rtl/>
          <w:lang w:eastAsia="he-IL"/>
        </w:rPr>
        <w:t xml:space="preserve">ציבור, וכמה כסף הציבור החרדי הביא למדינת ישראל לבנות מוסדות </w:t>
      </w:r>
      <w:bookmarkStart w:id="16929" w:name="_ETM_Q25_201283"/>
      <w:bookmarkEnd w:id="16929"/>
      <w:r>
        <w:rPr>
          <w:rFonts w:hint="cs"/>
          <w:rtl/>
          <w:lang w:eastAsia="he-IL"/>
        </w:rPr>
        <w:t>ציבור. אתה יודע שבערד - - -</w:t>
      </w:r>
    </w:p>
    <w:p w:rsidR="00BB59CD" w:rsidRDefault="00BB59CD" w:rsidP="00BB59CD">
      <w:pPr>
        <w:rPr>
          <w:highlight w:val="yellow"/>
          <w:rtl/>
          <w:lang w:eastAsia="he-IL"/>
        </w:rPr>
      </w:pPr>
    </w:p>
    <w:p w:rsidR="00BB59CD" w:rsidRDefault="00BB59CD" w:rsidP="00BB59CD">
      <w:pPr>
        <w:pStyle w:val="-"/>
        <w:keepNext/>
        <w:rPr>
          <w:rtl/>
        </w:rPr>
      </w:pPr>
      <w:bookmarkStart w:id="16930" w:name="ET_speakercontinue_5792_6"/>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930"/>
    </w:p>
    <w:p w:rsidR="00BB59CD" w:rsidRDefault="00BB59CD" w:rsidP="00337201">
      <w:pPr>
        <w:rPr>
          <w:rtl/>
          <w:lang w:eastAsia="he-IL"/>
        </w:rPr>
      </w:pPr>
    </w:p>
    <w:p w:rsidR="00BB59CD" w:rsidRDefault="00BB59CD" w:rsidP="00BB59CD">
      <w:pPr>
        <w:rPr>
          <w:rtl/>
          <w:lang w:eastAsia="he-IL"/>
        </w:rPr>
      </w:pPr>
      <w:r>
        <w:rPr>
          <w:rFonts w:hint="cs"/>
          <w:rtl/>
          <w:lang w:eastAsia="he-IL"/>
        </w:rPr>
        <w:t>תמלא דוח למס הכנסה ותגיד.</w:t>
      </w:r>
    </w:p>
    <w:p w:rsidR="00BB59CD" w:rsidRDefault="00BB59CD" w:rsidP="00BB59CD">
      <w:pPr>
        <w:rPr>
          <w:rtl/>
          <w:lang w:eastAsia="he-IL"/>
        </w:rPr>
      </w:pPr>
      <w:bookmarkStart w:id="16931" w:name="_ETM_Q25_206011"/>
      <w:bookmarkStart w:id="16932" w:name="_ETM_Q25_206146"/>
      <w:bookmarkEnd w:id="16931"/>
      <w:bookmarkEnd w:id="16932"/>
    </w:p>
    <w:p w:rsidR="00BB59CD" w:rsidRDefault="00BB59CD" w:rsidP="00BB59CD">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0C5C1F">
      <w:pPr>
        <w:rPr>
          <w:rtl/>
          <w:lang w:eastAsia="he-IL"/>
        </w:rPr>
      </w:pPr>
      <w:r>
        <w:rPr>
          <w:rFonts w:hint="cs"/>
          <w:rtl/>
          <w:lang w:eastAsia="he-IL"/>
        </w:rPr>
        <w:t xml:space="preserve">אתה יודע שבעיר ערד יש 60 כיתות ריקות, </w:t>
      </w:r>
      <w:bookmarkStart w:id="16933" w:name="_ETM_Q25_208417"/>
      <w:bookmarkEnd w:id="16933"/>
      <w:r>
        <w:rPr>
          <w:rFonts w:hint="cs"/>
          <w:rtl/>
          <w:lang w:eastAsia="he-IL"/>
        </w:rPr>
        <w:t>ולא נותנים את זה לחרדים. סגור הבניין. אתה יודע?</w:t>
      </w:r>
      <w:bookmarkStart w:id="16934" w:name="_ETM_Q25_213020"/>
      <w:bookmarkEnd w:id="16934"/>
      <w:r>
        <w:rPr>
          <w:rFonts w:hint="cs"/>
          <w:rtl/>
          <w:lang w:eastAsia="he-IL"/>
        </w:rPr>
        <w:t xml:space="preserve"> ואומרים להם</w:t>
      </w:r>
      <w:r w:rsidR="000C5C1F">
        <w:rPr>
          <w:rFonts w:hint="cs"/>
          <w:rtl/>
          <w:lang w:eastAsia="he-IL"/>
        </w:rPr>
        <w:t>:</w:t>
      </w:r>
      <w:r>
        <w:rPr>
          <w:rFonts w:hint="cs"/>
          <w:rtl/>
          <w:lang w:eastAsia="he-IL"/>
        </w:rPr>
        <w:t xml:space="preserve"> לכו תאספו כסף - - -</w:t>
      </w:r>
    </w:p>
    <w:p w:rsidR="00BB59CD" w:rsidRDefault="00BB59CD" w:rsidP="00BB59CD">
      <w:pPr>
        <w:rPr>
          <w:rtl/>
          <w:lang w:eastAsia="he-IL"/>
        </w:rPr>
      </w:pPr>
      <w:bookmarkStart w:id="16935" w:name="_ETM_Q25_213414"/>
      <w:bookmarkStart w:id="16936" w:name="_ETM_Q25_213533"/>
      <w:bookmarkEnd w:id="16935"/>
      <w:bookmarkEnd w:id="16936"/>
    </w:p>
    <w:p w:rsidR="00BB59CD" w:rsidRDefault="00BB59CD" w:rsidP="00BB59CD">
      <w:pPr>
        <w:pStyle w:val="-"/>
        <w:keepNext/>
        <w:rPr>
          <w:rtl/>
        </w:rPr>
      </w:pPr>
      <w:bookmarkStart w:id="16937" w:name="ET_speakercontinue_5792_7"/>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93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אדוני השר, יש </w:t>
      </w:r>
      <w:bookmarkStart w:id="16938" w:name="_ETM_Q25_215420"/>
      <w:bookmarkEnd w:id="16938"/>
      <w:r>
        <w:rPr>
          <w:rFonts w:hint="cs"/>
          <w:rtl/>
          <w:lang w:eastAsia="he-IL"/>
        </w:rPr>
        <w:t>לך יכולת מדהימה להתעלם מהמהות ולרדת לטכניקה. הטכניקה שלך – תראה, בזה אתה קצת דומה לשרים אחרים בממשלה. לא מדברים על</w:t>
      </w:r>
      <w:bookmarkStart w:id="16939" w:name="_ETM_Q25_224710"/>
      <w:bookmarkEnd w:id="16939"/>
      <w:r>
        <w:rPr>
          <w:rFonts w:hint="cs"/>
          <w:rtl/>
          <w:lang w:eastAsia="he-IL"/>
        </w:rPr>
        <w:t xml:space="preserve"> המהות, מדברים על: אהה, הוא אמר ככה, זה אמר ככה, זה עשה כאן, זה ככה.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BB59CD">
      <w:pPr>
        <w:keepNext/>
        <w:rPr>
          <w:rtl/>
          <w:lang w:eastAsia="he-IL"/>
        </w:rPr>
      </w:pPr>
    </w:p>
    <w:p w:rsidR="00BB59CD" w:rsidRDefault="00BB59CD" w:rsidP="00BB59CD">
      <w:pPr>
        <w:keepNext/>
        <w:rPr>
          <w:rtl/>
          <w:lang w:eastAsia="he-IL"/>
        </w:rPr>
      </w:pPr>
      <w:bookmarkStart w:id="16940" w:name="_ETM_Q25_227971"/>
      <w:bookmarkStart w:id="16941" w:name="_ETM_Q25_228023"/>
      <w:bookmarkEnd w:id="16940"/>
      <w:bookmarkEnd w:id="16941"/>
      <w:r>
        <w:rPr>
          <w:rFonts w:hint="cs"/>
          <w:rtl/>
          <w:lang w:eastAsia="he-IL"/>
        </w:rPr>
        <w:t>הוא אמר ככה - - - אתה מדבר על מיסים.</w:t>
      </w:r>
    </w:p>
    <w:p w:rsidR="00BB59CD" w:rsidRDefault="00BB59CD" w:rsidP="00BB59CD">
      <w:pPr>
        <w:rPr>
          <w:highlight w:val="yellow"/>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אתה יורד כרגע לרזולוציה של כיתות בעיר דרומית, עם אוכלוסייה </w:t>
      </w:r>
      <w:bookmarkStart w:id="16942" w:name="_ETM_Q25_233997"/>
      <w:bookmarkEnd w:id="16942"/>
      <w:r>
        <w:rPr>
          <w:rFonts w:hint="cs"/>
          <w:rtl/>
          <w:lang w:eastAsia="he-IL"/>
        </w:rPr>
        <w:t>של 35,000. אני אומר לך במהות, במהות.</w:t>
      </w:r>
    </w:p>
    <w:p w:rsidR="00BB59CD" w:rsidRDefault="00BB59CD" w:rsidP="00BB59CD">
      <w:pPr>
        <w:rPr>
          <w:rtl/>
          <w:lang w:eastAsia="he-IL"/>
        </w:rPr>
      </w:pPr>
      <w:bookmarkStart w:id="16943" w:name="_ETM_Q25_236102"/>
      <w:bookmarkEnd w:id="16943"/>
    </w:p>
    <w:p w:rsidR="00BB59CD" w:rsidRDefault="00BB59CD" w:rsidP="00BB59CD">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16944" w:name="_ETM_Q25_235503"/>
      <w:bookmarkStart w:id="16945" w:name="_ETM_Q25_235601"/>
      <w:bookmarkEnd w:id="16944"/>
      <w:bookmarkEnd w:id="16945"/>
      <w:r>
        <w:rPr>
          <w:rFonts w:hint="cs"/>
          <w:rtl/>
          <w:lang w:eastAsia="he-IL"/>
        </w:rPr>
        <w:t xml:space="preserve">דיברת על מיסים. </w:t>
      </w:r>
      <w:bookmarkStart w:id="16946" w:name="_ETM_Q25_238172"/>
      <w:bookmarkStart w:id="16947" w:name="_ETM_Q25_238270"/>
      <w:bookmarkEnd w:id="16946"/>
      <w:bookmarkEnd w:id="16947"/>
      <w:r>
        <w:rPr>
          <w:rFonts w:hint="cs"/>
          <w:rtl/>
          <w:lang w:eastAsia="he-IL"/>
        </w:rPr>
        <w:t>מיליארדים</w:t>
      </w:r>
      <w:bookmarkStart w:id="16948" w:name="_ETM_Q25_238342"/>
      <w:bookmarkEnd w:id="16948"/>
      <w:r>
        <w:rPr>
          <w:rFonts w:hint="cs"/>
          <w:rtl/>
          <w:lang w:eastAsia="he-IL"/>
        </w:rPr>
        <w:t xml:space="preserve"> של כסף הביאו פה לארץ, כל מיני חסידיות, </w:t>
      </w:r>
      <w:bookmarkStart w:id="16949" w:name="_ETM_Q25_242503"/>
      <w:bookmarkEnd w:id="16949"/>
      <w:r>
        <w:rPr>
          <w:rFonts w:hint="cs"/>
          <w:rtl/>
          <w:lang w:eastAsia="he-IL"/>
        </w:rPr>
        <w:t xml:space="preserve">אם זה סאטמר, אם זה ויז'ניץ, אם זה בעלז, </w:t>
      </w:r>
      <w:bookmarkStart w:id="16950" w:name="_ETM_Q25_244369"/>
      <w:bookmarkEnd w:id="16950"/>
      <w:r>
        <w:rPr>
          <w:rFonts w:hint="cs"/>
          <w:rtl/>
          <w:lang w:eastAsia="he-IL"/>
        </w:rPr>
        <w:t>אם זה - - -</w:t>
      </w:r>
    </w:p>
    <w:p w:rsidR="00BB59CD" w:rsidRDefault="00BB59CD" w:rsidP="00BB59CD">
      <w:pPr>
        <w:rPr>
          <w:rtl/>
          <w:lang w:eastAsia="he-IL"/>
        </w:rPr>
      </w:pPr>
    </w:p>
    <w:p w:rsidR="00BB59CD" w:rsidRDefault="00BB59CD" w:rsidP="00BB59CD">
      <w:pPr>
        <w:pStyle w:val="-"/>
        <w:keepNext/>
        <w:rPr>
          <w:rtl/>
        </w:rPr>
      </w:pPr>
      <w:bookmarkStart w:id="16951" w:name="ET_speakercontinue_5792_11"/>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951"/>
    </w:p>
    <w:p w:rsidR="00BB59CD" w:rsidRDefault="00BB59CD" w:rsidP="00337201">
      <w:pPr>
        <w:rPr>
          <w:rtl/>
          <w:lang w:eastAsia="he-IL"/>
        </w:rPr>
      </w:pPr>
    </w:p>
    <w:p w:rsidR="00BB59CD" w:rsidRDefault="00BB59CD" w:rsidP="00BB59CD">
      <w:pPr>
        <w:rPr>
          <w:rtl/>
          <w:lang w:eastAsia="he-IL"/>
        </w:rPr>
      </w:pPr>
      <w:bookmarkStart w:id="16952" w:name="_ETM_Q25_244230"/>
      <w:bookmarkEnd w:id="16952"/>
      <w:r>
        <w:rPr>
          <w:rFonts w:hint="cs"/>
          <w:rtl/>
          <w:lang w:eastAsia="he-IL"/>
        </w:rPr>
        <w:t>ומה הם מעודדים, המיליארדים האלה, מעודדים מה? שאנשים לא יצאו לשוק התעסוקה.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שיוכלו להתפלל, שיוכלו להתפלל.</w:t>
      </w:r>
    </w:p>
    <w:p w:rsidR="00BB59CD" w:rsidRDefault="00BB59CD" w:rsidP="00BB59CD">
      <w:pPr>
        <w:rPr>
          <w:rtl/>
          <w:lang w:eastAsia="he-IL"/>
        </w:rPr>
      </w:pPr>
      <w:bookmarkStart w:id="16953" w:name="_ETM_Q25_248626"/>
      <w:bookmarkStart w:id="16954" w:name="_ETM_Q25_248700"/>
      <w:bookmarkEnd w:id="16953"/>
      <w:bookmarkEnd w:id="16954"/>
    </w:p>
    <w:p w:rsidR="00BB59CD" w:rsidRDefault="00BB59CD" w:rsidP="00BB59CD">
      <w:pPr>
        <w:pStyle w:val="-"/>
        <w:keepNext/>
        <w:rPr>
          <w:rtl/>
        </w:rPr>
      </w:pPr>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16955" w:name="_ETM_Q25_249957"/>
      <w:bookmarkEnd w:id="16955"/>
      <w:r>
        <w:rPr>
          <w:rFonts w:hint="cs"/>
          <w:rtl/>
          <w:lang w:eastAsia="he-IL"/>
        </w:rPr>
        <w:t xml:space="preserve">בסדר, תפילה. בסדר, אני לא אמרתי שאסור להתפלל, אני רק </w:t>
      </w:r>
      <w:bookmarkStart w:id="16956" w:name="_ETM_Q25_255036"/>
      <w:bookmarkEnd w:id="16956"/>
      <w:r>
        <w:rPr>
          <w:rFonts w:hint="cs"/>
          <w:rtl/>
          <w:lang w:eastAsia="he-IL"/>
        </w:rPr>
        <w:t xml:space="preserve">אמרתי שמעל התפילה, כמו שאני אמרתי לך את הדוגמה האישית </w:t>
      </w:r>
      <w:bookmarkStart w:id="16957" w:name="_ETM_Q25_259711"/>
      <w:bookmarkEnd w:id="16957"/>
      <w:r>
        <w:rPr>
          <w:rFonts w:hint="cs"/>
          <w:rtl/>
          <w:lang w:eastAsia="he-IL"/>
        </w:rPr>
        <w:t xml:space="preserve">שלי כשאני חתמתי כתובה והתחתנתי עם חופה דרך הרבנות, חתמתי </w:t>
      </w:r>
      <w:bookmarkStart w:id="16958" w:name="_ETM_Q25_262836"/>
      <w:bookmarkEnd w:id="16958"/>
      <w:r>
        <w:rPr>
          <w:rFonts w:hint="cs"/>
          <w:rtl/>
          <w:lang w:eastAsia="he-IL"/>
        </w:rPr>
        <w:t xml:space="preserve">על זה שאני מתחייב לפרנס את אשתי. כך אני עושה, </w:t>
      </w:r>
      <w:bookmarkStart w:id="16959" w:name="_ETM_Q25_264998"/>
      <w:bookmarkEnd w:id="16959"/>
      <w:r>
        <w:rPr>
          <w:rFonts w:hint="cs"/>
          <w:rtl/>
          <w:lang w:eastAsia="he-IL"/>
        </w:rPr>
        <w:t>וככה אני גם עושה לילדי</w:t>
      </w:r>
      <w:r w:rsidR="000C5C1F">
        <w:rPr>
          <w:rFonts w:hint="cs"/>
          <w:rtl/>
          <w:lang w:eastAsia="he-IL"/>
        </w:rPr>
        <w:t>י</w:t>
      </w:r>
      <w:r>
        <w:rPr>
          <w:rFonts w:hint="cs"/>
          <w:rtl/>
          <w:lang w:eastAsia="he-IL"/>
        </w:rPr>
        <w:t xml:space="preserve">. אז אנשים שחותמים הם למעשה </w:t>
      </w:r>
      <w:bookmarkStart w:id="16960" w:name="_ETM_Q25_269474"/>
      <w:bookmarkEnd w:id="16960"/>
      <w:r>
        <w:rPr>
          <w:rFonts w:hint="cs"/>
          <w:rtl/>
          <w:lang w:eastAsia="he-IL"/>
        </w:rPr>
        <w:t xml:space="preserve">משקרים לעצמם. זה הסיפור. </w:t>
      </w:r>
    </w:p>
    <w:p w:rsidR="00BB59CD" w:rsidRDefault="00BB59CD" w:rsidP="00BB59CD">
      <w:pPr>
        <w:rPr>
          <w:rtl/>
          <w:lang w:eastAsia="he-IL"/>
        </w:rPr>
      </w:pPr>
      <w:bookmarkStart w:id="16961" w:name="_ETM_Q25_272946"/>
      <w:bookmarkEnd w:id="16961"/>
    </w:p>
    <w:p w:rsidR="00BB59CD" w:rsidRDefault="00BB59CD" w:rsidP="000C5C1F">
      <w:pPr>
        <w:rPr>
          <w:rtl/>
          <w:lang w:eastAsia="he-IL"/>
        </w:rPr>
      </w:pPr>
      <w:bookmarkStart w:id="16962" w:name="_ETM_Q25_273005"/>
      <w:bookmarkEnd w:id="16962"/>
      <w:r>
        <w:rPr>
          <w:rFonts w:hint="cs"/>
          <w:rtl/>
          <w:lang w:eastAsia="he-IL"/>
        </w:rPr>
        <w:t xml:space="preserve">אתה יודע מה ענה לי השר </w:t>
      </w:r>
      <w:bookmarkStart w:id="16963" w:name="_ETM_Q25_274305"/>
      <w:bookmarkEnd w:id="16963"/>
      <w:r w:rsidR="000C5C1F">
        <w:rPr>
          <w:rFonts w:hint="cs"/>
          <w:rtl/>
          <w:lang w:eastAsia="he-IL"/>
        </w:rPr>
        <w:t>קרעי, הוא אמר לי:</w:t>
      </w:r>
      <w:r>
        <w:rPr>
          <w:rFonts w:hint="cs"/>
          <w:rtl/>
          <w:lang w:eastAsia="he-IL"/>
        </w:rPr>
        <w:t xml:space="preserve"> יש לו הסכם עם אישה. אישה </w:t>
      </w:r>
      <w:bookmarkStart w:id="16964" w:name="_ETM_Q25_275612"/>
      <w:bookmarkEnd w:id="16964"/>
      <w:r>
        <w:rPr>
          <w:rFonts w:hint="cs"/>
          <w:rtl/>
          <w:lang w:eastAsia="he-IL"/>
        </w:rPr>
        <w:t xml:space="preserve">מוכנה לעבוד במקומו. איזה מין הסכם זה? מה זה? זה </w:t>
      </w:r>
      <w:bookmarkStart w:id="16965" w:name="_ETM_Q25_280156"/>
      <w:bookmarkEnd w:id="16965"/>
      <w:r>
        <w:rPr>
          <w:rFonts w:hint="cs"/>
          <w:rtl/>
          <w:lang w:eastAsia="he-IL"/>
        </w:rPr>
        <w:t>הסכם? מה, הוא מטיל על אשתו</w:t>
      </w:r>
      <w:bookmarkStart w:id="16966" w:name="_ETM_Q25_284695"/>
      <w:bookmarkEnd w:id="16966"/>
      <w:r>
        <w:rPr>
          <w:rFonts w:hint="cs"/>
          <w:rtl/>
          <w:lang w:eastAsia="he-IL"/>
        </w:rPr>
        <w:t xml:space="preserve">, אותו ילד בן 18, 19, שאין לו שום כלים </w:t>
      </w:r>
      <w:bookmarkStart w:id="16967" w:name="_ETM_Q25_285600"/>
      <w:bookmarkEnd w:id="16967"/>
      <w:r>
        <w:rPr>
          <w:rFonts w:hint="cs"/>
          <w:rtl/>
          <w:lang w:eastAsia="he-IL"/>
        </w:rPr>
        <w:t>לעבוד, מטיל על אשתו לפרנס אותו, באמת? מה זה?</w:t>
      </w:r>
      <w:bookmarkStart w:id="16968" w:name="_ETM_Q25_288987"/>
      <w:bookmarkEnd w:id="16968"/>
    </w:p>
    <w:p w:rsidR="00BB59CD" w:rsidRDefault="00BB59CD" w:rsidP="00BB59CD">
      <w:pPr>
        <w:rPr>
          <w:rtl/>
          <w:lang w:eastAsia="he-IL"/>
        </w:rPr>
      </w:pPr>
      <w:bookmarkStart w:id="16969" w:name="_ETM_Q25_289108"/>
      <w:bookmarkEnd w:id="16969"/>
    </w:p>
    <w:p w:rsidR="00BB59CD" w:rsidRDefault="00BB59CD" w:rsidP="00BB59CD">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0C5C1F">
      <w:pPr>
        <w:rPr>
          <w:rtl/>
          <w:lang w:eastAsia="he-IL"/>
        </w:rPr>
      </w:pPr>
      <w:r>
        <w:rPr>
          <w:rFonts w:hint="cs"/>
          <w:rtl/>
          <w:lang w:eastAsia="he-IL"/>
        </w:rPr>
        <w:t xml:space="preserve">תראה זה כלל, אתה גם לא תספר </w:t>
      </w:r>
      <w:r w:rsidR="000C5C1F">
        <w:rPr>
          <w:rFonts w:hint="cs"/>
          <w:rtl/>
          <w:lang w:eastAsia="he-IL"/>
        </w:rPr>
        <w:t>על</w:t>
      </w:r>
      <w:r>
        <w:rPr>
          <w:rFonts w:hint="cs"/>
          <w:rtl/>
          <w:lang w:eastAsia="he-IL"/>
        </w:rPr>
        <w:t xml:space="preserve"> </w:t>
      </w:r>
      <w:bookmarkStart w:id="16970" w:name="_ETM_Q25_291533"/>
      <w:bookmarkEnd w:id="16970"/>
      <w:r>
        <w:rPr>
          <w:rFonts w:hint="cs"/>
          <w:rtl/>
          <w:lang w:eastAsia="he-IL"/>
        </w:rPr>
        <w:t>ההסכמים שלך עם אשתך, רק הכתובה. לא אומר</w:t>
      </w:r>
      <w:r w:rsidR="000C5C1F">
        <w:rPr>
          <w:rFonts w:hint="cs"/>
          <w:rtl/>
          <w:lang w:eastAsia="he-IL"/>
        </w:rPr>
        <w:t>ים</w:t>
      </w:r>
      <w:r>
        <w:rPr>
          <w:rFonts w:hint="cs"/>
          <w:rtl/>
          <w:lang w:eastAsia="he-IL"/>
        </w:rPr>
        <w:t xml:space="preserve"> את </w:t>
      </w:r>
      <w:bookmarkStart w:id="16971" w:name="_ETM_Q25_294176"/>
      <w:bookmarkEnd w:id="16971"/>
      <w:r>
        <w:rPr>
          <w:rFonts w:hint="cs"/>
          <w:rtl/>
          <w:lang w:eastAsia="he-IL"/>
        </w:rPr>
        <w:t xml:space="preserve">כל ההסכמים. את ההסכם הזה שיש לך בכתובה, יש גם </w:t>
      </w:r>
      <w:bookmarkStart w:id="16972" w:name="_ETM_Q25_297435"/>
      <w:bookmarkEnd w:id="16972"/>
      <w:r>
        <w:rPr>
          <w:rFonts w:hint="cs"/>
          <w:rtl/>
          <w:lang w:eastAsia="he-IL"/>
        </w:rPr>
        <w:t>לו. אפילו לא תסכים - -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0C5C1F">
      <w:pPr>
        <w:rPr>
          <w:rtl/>
          <w:lang w:eastAsia="he-IL"/>
        </w:rPr>
      </w:pPr>
      <w:bookmarkStart w:id="16973" w:name="_ETM_Q25_299669"/>
      <w:bookmarkEnd w:id="16973"/>
      <w:r>
        <w:rPr>
          <w:rFonts w:hint="cs"/>
          <w:rtl/>
          <w:lang w:eastAsia="he-IL"/>
        </w:rPr>
        <w:t>אתה יודע, אתה יודע הסכמים</w:t>
      </w:r>
      <w:r w:rsidR="000C5C1F">
        <w:rPr>
          <w:rFonts w:hint="cs"/>
          <w:rtl/>
          <w:lang w:eastAsia="he-IL"/>
        </w:rPr>
        <w:t xml:space="preserve"> - - -</w:t>
      </w:r>
    </w:p>
    <w:p w:rsidR="00BB59CD" w:rsidRDefault="00BB59CD" w:rsidP="00BB59CD">
      <w:pPr>
        <w:rPr>
          <w:rtl/>
          <w:lang w:eastAsia="he-IL"/>
        </w:rPr>
      </w:pPr>
      <w:bookmarkStart w:id="16974" w:name="_ETM_Q25_299803"/>
      <w:bookmarkStart w:id="16975" w:name="_ETM_Q25_299902"/>
      <w:bookmarkEnd w:id="16974"/>
      <w:bookmarkEnd w:id="16975"/>
    </w:p>
    <w:p w:rsidR="00BB59CD" w:rsidRDefault="00BB59CD" w:rsidP="00BB59CD">
      <w:pPr>
        <w:pStyle w:val="af8"/>
        <w:keepNext/>
        <w:rPr>
          <w:rtl/>
        </w:rPr>
      </w:pPr>
      <w:bookmarkStart w:id="16976" w:name="_ETM_Q25_301147"/>
      <w:bookmarkStart w:id="16977" w:name="_ETM_Q25_301282"/>
      <w:bookmarkEnd w:id="16976"/>
      <w:bookmarkEnd w:id="16977"/>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16978" w:name="_ETM_Q25_299447"/>
      <w:bookmarkStart w:id="16979" w:name="_ETM_Q25_299545"/>
      <w:bookmarkEnd w:id="16978"/>
      <w:bookmarkEnd w:id="16979"/>
      <w:r>
        <w:rPr>
          <w:rFonts w:hint="cs"/>
          <w:rtl/>
          <w:lang w:eastAsia="he-IL"/>
        </w:rPr>
        <w:t>איך אמרת - -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BB59CD" w:rsidRDefault="00BB59CD" w:rsidP="00337201">
      <w:pPr>
        <w:rPr>
          <w:rtl/>
          <w:lang w:eastAsia="he-IL"/>
        </w:rPr>
      </w:pPr>
      <w:bookmarkStart w:id="16980" w:name="_ETM_Q25_299891"/>
      <w:bookmarkEnd w:id="16980"/>
    </w:p>
    <w:p w:rsidR="00BB59CD" w:rsidRDefault="00BB59CD" w:rsidP="00BB59CD">
      <w:pPr>
        <w:rPr>
          <w:rtl/>
          <w:lang w:eastAsia="he-IL"/>
        </w:rPr>
      </w:pPr>
      <w:bookmarkStart w:id="16981" w:name="_ETM_Q25_300024"/>
      <w:bookmarkEnd w:id="16981"/>
      <w:r>
        <w:rPr>
          <w:rFonts w:hint="cs"/>
          <w:rtl/>
          <w:lang w:eastAsia="he-IL"/>
        </w:rPr>
        <w:t>אין לי שום הסכם.</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16982" w:name="_ETM_Q25_302158"/>
      <w:bookmarkStart w:id="16983" w:name="_ETM_Q25_302276"/>
      <w:bookmarkEnd w:id="16982"/>
      <w:bookmarkEnd w:id="16983"/>
      <w:r>
        <w:rPr>
          <w:rFonts w:hint="cs"/>
          <w:rtl/>
          <w:lang w:eastAsia="he-IL"/>
        </w:rPr>
        <w:t xml:space="preserve">בוא לא נפתח </w:t>
      </w:r>
      <w:bookmarkStart w:id="16984" w:name="_ETM_Q25_301440"/>
      <w:bookmarkEnd w:id="16984"/>
      <w:r>
        <w:rPr>
          <w:rFonts w:hint="cs"/>
          <w:rtl/>
          <w:lang w:eastAsia="he-IL"/>
        </w:rPr>
        <w:t>את כל ההסכמים.</w:t>
      </w:r>
    </w:p>
    <w:p w:rsidR="00337201" w:rsidRDefault="00337201" w:rsidP="00BB59CD">
      <w:pPr>
        <w:rPr>
          <w:rtl/>
          <w:lang w:eastAsia="he-IL"/>
        </w:rPr>
      </w:pPr>
    </w:p>
    <w:p w:rsidR="00337201" w:rsidRDefault="00337201" w:rsidP="00337201">
      <w:pPr>
        <w:pStyle w:val="-"/>
        <w:keepNext/>
      </w:pPr>
      <w:bookmarkStart w:id="16985" w:name="_ETM_Q29_121455"/>
      <w:bookmarkStart w:id="16986" w:name="_ETM_Q29_121550"/>
      <w:bookmarkStart w:id="16987" w:name="ET_speakercontinue_5792_15"/>
      <w:bookmarkEnd w:id="16985"/>
      <w:bookmarkEnd w:id="16986"/>
      <w:r>
        <w:rPr>
          <w:rStyle w:val="TagStyle"/>
          <w:rFonts w:hint="cs"/>
          <w:rtl/>
        </w:rPr>
        <w:t xml:space="preserve">&lt;&lt;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6987"/>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אין לי שום הסכם, אין לי הסכם ממון, </w:t>
      </w:r>
      <w:bookmarkStart w:id="16988" w:name="_ETM_Q25_304076"/>
      <w:bookmarkEnd w:id="16988"/>
      <w:r>
        <w:rPr>
          <w:rFonts w:hint="cs"/>
          <w:rtl/>
          <w:lang w:eastAsia="he-IL"/>
        </w:rPr>
        <w:t xml:space="preserve">אין לי כלום. מה יש לי? כתובה. אגב, בכתובה כתוב גם מספר שאני אצטרך, חלילה, אם חס וחלילה, אני </w:t>
      </w:r>
      <w:bookmarkStart w:id="16989" w:name="_ETM_Q25_310809"/>
      <w:bookmarkEnd w:id="16989"/>
      <w:r>
        <w:rPr>
          <w:rFonts w:hint="cs"/>
          <w:rtl/>
          <w:lang w:eastAsia="he-IL"/>
        </w:rPr>
        <w:t xml:space="preserve">מקווה – אני בטוח שזה לא יבוא היום הזה אף פעם – אבל כתוב גם סכום. אמרו לי: תיזהר שזה </w:t>
      </w:r>
      <w:bookmarkStart w:id="16990" w:name="_ETM_Q0_14543859"/>
      <w:bookmarkEnd w:id="16990"/>
      <w:r>
        <w:rPr>
          <w:rFonts w:hint="cs"/>
          <w:rtl/>
          <w:lang w:eastAsia="he-IL"/>
        </w:rPr>
        <w:t>לא יהיה יותר מדי גבוה, ככה אמרו לי אלה שעברו</w:t>
      </w:r>
      <w:bookmarkStart w:id="16991" w:name="_ETM_Q25_320988"/>
      <w:bookmarkEnd w:id="16991"/>
      <w:r>
        <w:rPr>
          <w:rFonts w:hint="cs"/>
          <w:rtl/>
          <w:lang w:eastAsia="he-IL"/>
        </w:rPr>
        <w:t xml:space="preserve"> דברים לא נעימים, פחות נעימים. </w:t>
      </w:r>
    </w:p>
    <w:p w:rsidR="00337201" w:rsidRDefault="00337201" w:rsidP="00337201">
      <w:pPr>
        <w:rPr>
          <w:rtl/>
          <w:lang w:eastAsia="he-IL"/>
        </w:rPr>
      </w:pPr>
      <w:bookmarkStart w:id="16992" w:name="_ETM_Q25_323976"/>
      <w:bookmarkStart w:id="16993" w:name="_ETM_Q25_324059"/>
      <w:bookmarkEnd w:id="16992"/>
      <w:bookmarkEnd w:id="16993"/>
    </w:p>
    <w:p w:rsidR="00337201" w:rsidRDefault="00337201" w:rsidP="00337201">
      <w:pPr>
        <w:rPr>
          <w:rtl/>
          <w:lang w:eastAsia="he-IL"/>
        </w:rPr>
      </w:pPr>
      <w:bookmarkStart w:id="16994" w:name="_ETM_Q25_324342"/>
      <w:bookmarkStart w:id="16995" w:name="_ETM_Q25_324408"/>
      <w:bookmarkEnd w:id="16994"/>
      <w:bookmarkEnd w:id="16995"/>
      <w:r>
        <w:rPr>
          <w:rFonts w:hint="cs"/>
          <w:rtl/>
          <w:lang w:eastAsia="he-IL"/>
        </w:rPr>
        <w:t xml:space="preserve">אבל בוא, </w:t>
      </w:r>
      <w:bookmarkStart w:id="16996" w:name="_ETM_Q25_323740"/>
      <w:bookmarkEnd w:id="16996"/>
      <w:r>
        <w:rPr>
          <w:rFonts w:hint="cs"/>
          <w:rtl/>
          <w:lang w:eastAsia="he-IL"/>
        </w:rPr>
        <w:t>תראה, אני מקבל את העצה שלך,</w:t>
      </w:r>
      <w:bookmarkStart w:id="16997" w:name="_ETM_Q25_326013"/>
      <w:bookmarkEnd w:id="16997"/>
      <w:r>
        <w:rPr>
          <w:rFonts w:hint="cs"/>
          <w:rtl/>
          <w:lang w:eastAsia="he-IL"/>
        </w:rPr>
        <w:t xml:space="preserve"> באמת מקבל את העצה שלך, בתנאי אחד –  בתנאי שאתה תבין </w:t>
      </w:r>
      <w:bookmarkStart w:id="16998" w:name="_ETM_Q25_333000"/>
      <w:bookmarkEnd w:id="16998"/>
      <w:r>
        <w:rPr>
          <w:rFonts w:hint="cs"/>
          <w:rtl/>
          <w:lang w:eastAsia="he-IL"/>
        </w:rPr>
        <w:t>שהמדינה הזאת עדיין צריכה להיות מדינה ציונית. והציונות, בעיניי</w:t>
      </w:r>
      <w:bookmarkStart w:id="16999" w:name="_ETM_Q25_337920"/>
      <w:bookmarkEnd w:id="16999"/>
      <w:r>
        <w:rPr>
          <w:rFonts w:hint="cs"/>
          <w:rtl/>
          <w:lang w:eastAsia="he-IL"/>
        </w:rPr>
        <w:t xml:space="preserve">, בין היתר זה גם שירות בצה"ל. אני לא ראיתי – רוב </w:t>
      </w:r>
      <w:bookmarkStart w:id="17000" w:name="_ETM_Q25_342944"/>
      <w:bookmarkEnd w:id="17000"/>
      <w:r>
        <w:rPr>
          <w:rFonts w:hint="cs"/>
          <w:rtl/>
          <w:lang w:eastAsia="he-IL"/>
        </w:rPr>
        <w:t xml:space="preserve">הציבור שלכם, אתה יודע, הוא לא </w:t>
      </w:r>
      <w:bookmarkStart w:id="17001" w:name="_ETM_Q25_344549"/>
      <w:bookmarkEnd w:id="17001"/>
      <w:r>
        <w:rPr>
          <w:rFonts w:hint="cs"/>
          <w:rtl/>
          <w:lang w:eastAsia="he-IL"/>
        </w:rPr>
        <w:t xml:space="preserve">קשור לשירות בצה"ל. אבל אתה בא ואתה אומר, לא אתה </w:t>
      </w:r>
      <w:bookmarkStart w:id="17002" w:name="_ETM_Q25_349505"/>
      <w:bookmarkEnd w:id="17002"/>
      <w:r>
        <w:rPr>
          <w:rFonts w:hint="cs"/>
          <w:rtl/>
          <w:lang w:eastAsia="he-IL"/>
        </w:rPr>
        <w:t xml:space="preserve">אישית, כן, אבל הנציגים שלכם, על סרבנות. אתם מדברים </w:t>
      </w:r>
      <w:bookmarkStart w:id="17003" w:name="_ETM_Q25_352401"/>
      <w:bookmarkEnd w:id="17003"/>
      <w:r>
        <w:rPr>
          <w:rFonts w:hint="cs"/>
          <w:rtl/>
          <w:lang w:eastAsia="he-IL"/>
        </w:rPr>
        <w:t xml:space="preserve">על דברים. איזה סרבנות לממשלה יכולה להיות אם לא </w:t>
      </w:r>
      <w:bookmarkStart w:id="17004" w:name="_ETM_Q25_356256"/>
      <w:bookmarkEnd w:id="17004"/>
      <w:r>
        <w:rPr>
          <w:rFonts w:hint="cs"/>
          <w:rtl/>
          <w:lang w:eastAsia="he-IL"/>
        </w:rPr>
        <w:t>סרבנות לשירות בצה"ל.</w:t>
      </w:r>
    </w:p>
    <w:p w:rsidR="00337201" w:rsidRDefault="00337201" w:rsidP="00337201">
      <w:pPr>
        <w:rPr>
          <w:rtl/>
          <w:lang w:eastAsia="he-IL"/>
        </w:rPr>
      </w:pPr>
      <w:bookmarkStart w:id="17005" w:name="_ETM_Q25_356465"/>
      <w:bookmarkStart w:id="17006" w:name="_ETM_Q25_356574"/>
      <w:bookmarkEnd w:id="17005"/>
      <w:bookmarkEnd w:id="17006"/>
    </w:p>
    <w:p w:rsidR="00337201" w:rsidRDefault="00337201" w:rsidP="00337201">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כמה לא רוצים לשרת בצה"ל, אתה יודע?</w:t>
      </w:r>
      <w:bookmarkStart w:id="17007" w:name="_ETM_Q25_358960"/>
      <w:bookmarkEnd w:id="17007"/>
      <w:r>
        <w:rPr>
          <w:rFonts w:hint="cs"/>
          <w:rtl/>
          <w:lang w:eastAsia="he-IL"/>
        </w:rPr>
        <w:t xml:space="preserve"> </w:t>
      </w:r>
      <w:bookmarkStart w:id="17008" w:name="_ETM_Q25_359071"/>
      <w:bookmarkStart w:id="17009" w:name="_ETM_Q25_357610"/>
      <w:bookmarkStart w:id="17010" w:name="_ETM_Q25_357692"/>
      <w:bookmarkEnd w:id="17008"/>
      <w:bookmarkEnd w:id="17009"/>
      <w:bookmarkEnd w:id="17010"/>
      <w:r>
        <w:rPr>
          <w:rFonts w:hint="cs"/>
          <w:rtl/>
          <w:lang w:eastAsia="he-IL"/>
        </w:rPr>
        <w:t xml:space="preserve">כמה אחוז </w:t>
      </w:r>
      <w:bookmarkStart w:id="17011" w:name="_ETM_Q25_360294"/>
      <w:bookmarkEnd w:id="17011"/>
      <w:r>
        <w:rPr>
          <w:rFonts w:hint="cs"/>
          <w:rtl/>
          <w:lang w:eastAsia="he-IL"/>
        </w:rPr>
        <w:t>בציבור החילוני לא משרת בצה"ל?</w:t>
      </w:r>
    </w:p>
    <w:p w:rsidR="00337201" w:rsidRDefault="00337201" w:rsidP="00337201">
      <w:pPr>
        <w:rPr>
          <w:rtl/>
          <w:lang w:eastAsia="he-IL"/>
        </w:rPr>
      </w:pPr>
    </w:p>
    <w:p w:rsidR="00337201" w:rsidRDefault="00337201" w:rsidP="00337201">
      <w:pPr>
        <w:pStyle w:val="-"/>
        <w:keepNext/>
        <w:rPr>
          <w:rtl/>
        </w:rPr>
      </w:pPr>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337201" w:rsidRDefault="00337201" w:rsidP="00337201">
      <w:pPr>
        <w:rPr>
          <w:rtl/>
          <w:lang w:eastAsia="he-IL"/>
        </w:rPr>
      </w:pPr>
    </w:p>
    <w:p w:rsidR="00337201" w:rsidRDefault="00337201" w:rsidP="00337201">
      <w:pPr>
        <w:rPr>
          <w:rtl/>
          <w:lang w:eastAsia="he-IL"/>
        </w:rPr>
      </w:pPr>
      <w:bookmarkStart w:id="17012" w:name="_ETM_Q25_363148"/>
      <w:bookmarkEnd w:id="17012"/>
      <w:r>
        <w:rPr>
          <w:rFonts w:hint="cs"/>
          <w:rtl/>
          <w:lang w:eastAsia="he-IL"/>
        </w:rPr>
        <w:t xml:space="preserve">כן, אני יודע, זאת גם בעיה בפני עצמה. אתה חושב שאני לא מעלה את הבעיה הזו? </w:t>
      </w:r>
      <w:bookmarkStart w:id="17013" w:name="_ETM_Q25_365087"/>
      <w:bookmarkEnd w:id="17013"/>
      <w:r>
        <w:rPr>
          <w:rFonts w:hint="cs"/>
          <w:rtl/>
          <w:lang w:eastAsia="he-IL"/>
        </w:rPr>
        <w:t>כן, זו בעיה בפני עצמה.</w:t>
      </w:r>
    </w:p>
    <w:p w:rsidR="00337201" w:rsidRDefault="00337201" w:rsidP="00337201">
      <w:pPr>
        <w:rPr>
          <w:rtl/>
          <w:lang w:eastAsia="he-IL"/>
        </w:rPr>
      </w:pPr>
    </w:p>
    <w:p w:rsidR="00337201" w:rsidRDefault="00337201" w:rsidP="00337201">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אבל – אף פעם זה לא יעלה פה </w:t>
      </w:r>
      <w:bookmarkStart w:id="17014" w:name="_ETM_Q25_367045"/>
      <w:bookmarkEnd w:id="17014"/>
      <w:r>
        <w:rPr>
          <w:rFonts w:hint="cs"/>
          <w:rtl/>
          <w:lang w:eastAsia="he-IL"/>
        </w:rPr>
        <w:t>- - -</w:t>
      </w:r>
    </w:p>
    <w:p w:rsidR="00337201" w:rsidRDefault="00337201" w:rsidP="00337201">
      <w:pPr>
        <w:rPr>
          <w:highlight w:val="yellow"/>
          <w:rtl/>
          <w:lang w:eastAsia="he-IL"/>
        </w:rPr>
      </w:pPr>
    </w:p>
    <w:p w:rsidR="00337201" w:rsidRDefault="00337201" w:rsidP="00337201">
      <w:pPr>
        <w:pStyle w:val="-"/>
        <w:keepNext/>
        <w:rPr>
          <w:rtl/>
        </w:rPr>
      </w:pPr>
      <w:bookmarkStart w:id="17015" w:name="ET_speakercontinue_5792_19"/>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7015"/>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אבל לפחות הציבור החילוני הזה לא משתמש בכוח </w:t>
      </w:r>
      <w:bookmarkStart w:id="17016" w:name="_ETM_Q25_372003"/>
      <w:bookmarkEnd w:id="17016"/>
      <w:r>
        <w:rPr>
          <w:rFonts w:hint="cs"/>
          <w:rtl/>
          <w:lang w:eastAsia="he-IL"/>
        </w:rPr>
        <w:t xml:space="preserve">שלו בתוך הממשלה, כשיש ממשלה – היו מקרים שהיו </w:t>
      </w:r>
      <w:bookmarkStart w:id="17017" w:name="_ETM_Q25_375852"/>
      <w:bookmarkEnd w:id="17017"/>
      <w:r>
        <w:rPr>
          <w:rFonts w:hint="cs"/>
          <w:rtl/>
          <w:lang w:eastAsia="he-IL"/>
        </w:rPr>
        <w:t>ממשלות בלי הנציגים החרדים. אתם כן משתמשים בזה, כי אתם</w:t>
      </w:r>
      <w:bookmarkStart w:id="17018" w:name="_ETM_Q25_380955"/>
      <w:bookmarkEnd w:id="17018"/>
      <w:r>
        <w:rPr>
          <w:rFonts w:hint="cs"/>
          <w:rtl/>
          <w:lang w:eastAsia="he-IL"/>
        </w:rPr>
        <w:t xml:space="preserve"> מתכוונים להעביר חקיקה – אתם מתחילים לשנות חקיקה בהתאם לצרכים שלכם. </w:t>
      </w:r>
      <w:bookmarkStart w:id="17019" w:name="_ETM_Q25_385578"/>
      <w:bookmarkEnd w:id="17019"/>
    </w:p>
    <w:p w:rsidR="00337201" w:rsidRDefault="00337201" w:rsidP="00337201">
      <w:pPr>
        <w:rPr>
          <w:rtl/>
          <w:lang w:eastAsia="he-IL"/>
        </w:rPr>
      </w:pPr>
    </w:p>
    <w:p w:rsidR="00337201" w:rsidRDefault="00337201" w:rsidP="00337201">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אנחנו בטוחים שגם אתה תתמוך בזה - - -</w:t>
      </w:r>
    </w:p>
    <w:p w:rsidR="00337201" w:rsidRDefault="00337201" w:rsidP="00337201">
      <w:pPr>
        <w:rPr>
          <w:rtl/>
          <w:lang w:eastAsia="he-IL"/>
        </w:rPr>
      </w:pPr>
    </w:p>
    <w:p w:rsidR="00337201" w:rsidRDefault="00337201" w:rsidP="00337201">
      <w:pPr>
        <w:pStyle w:val="-"/>
        <w:keepNext/>
        <w:rPr>
          <w:rtl/>
        </w:rPr>
      </w:pPr>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לא, לא, </w:t>
      </w:r>
      <w:bookmarkStart w:id="17020" w:name="_ETM_Q25_387930"/>
      <w:bookmarkEnd w:id="17020"/>
      <w:r>
        <w:rPr>
          <w:rFonts w:hint="cs"/>
          <w:rtl/>
          <w:lang w:eastAsia="he-IL"/>
        </w:rPr>
        <w:t xml:space="preserve">לא, אני לא תומך בשום דבר שקשור לזה. אני אגיד </w:t>
      </w:r>
      <w:bookmarkStart w:id="17021" w:name="_ETM_Q25_391129"/>
      <w:bookmarkEnd w:id="17021"/>
      <w:r>
        <w:rPr>
          <w:rFonts w:hint="cs"/>
          <w:rtl/>
          <w:lang w:eastAsia="he-IL"/>
        </w:rPr>
        <w:t>מעבר לזה.</w:t>
      </w:r>
    </w:p>
    <w:p w:rsidR="00337201" w:rsidRDefault="00337201" w:rsidP="00337201">
      <w:pPr>
        <w:rPr>
          <w:rtl/>
          <w:lang w:eastAsia="he-IL"/>
        </w:rPr>
      </w:pPr>
    </w:p>
    <w:p w:rsidR="00337201" w:rsidRDefault="00337201" w:rsidP="00337201">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לימוד תורה צריך להיות - - </w:t>
      </w:r>
      <w:bookmarkStart w:id="17022" w:name="_ETM_Q25_393695"/>
      <w:bookmarkEnd w:id="17022"/>
      <w:r>
        <w:rPr>
          <w:rFonts w:hint="cs"/>
          <w:rtl/>
          <w:lang w:eastAsia="he-IL"/>
        </w:rPr>
        <w:t>-</w:t>
      </w:r>
    </w:p>
    <w:p w:rsidR="00337201" w:rsidRDefault="00337201" w:rsidP="00337201">
      <w:pPr>
        <w:rPr>
          <w:highlight w:val="yellow"/>
          <w:rtl/>
          <w:lang w:eastAsia="he-IL"/>
        </w:rPr>
      </w:pPr>
      <w:bookmarkStart w:id="17023" w:name="_ETM_Q25_393680"/>
      <w:bookmarkStart w:id="17024" w:name="_ETM_Q25_393815"/>
      <w:bookmarkEnd w:id="17023"/>
      <w:bookmarkEnd w:id="17024"/>
    </w:p>
    <w:p w:rsidR="00337201" w:rsidRDefault="00337201" w:rsidP="00337201">
      <w:pPr>
        <w:pStyle w:val="-"/>
        <w:keepNext/>
        <w:rPr>
          <w:rtl/>
        </w:rPr>
      </w:pPr>
      <w:bookmarkStart w:id="17025" w:name="ET_speakercontinue_5792_21"/>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7025"/>
    </w:p>
    <w:p w:rsidR="00337201" w:rsidRDefault="00337201" w:rsidP="00337201">
      <w:pPr>
        <w:rPr>
          <w:rtl/>
          <w:lang w:eastAsia="he-IL"/>
        </w:rPr>
      </w:pPr>
    </w:p>
    <w:p w:rsidR="00337201" w:rsidRDefault="00337201" w:rsidP="00337201">
      <w:pPr>
        <w:rPr>
          <w:rtl/>
          <w:lang w:eastAsia="he-IL"/>
        </w:rPr>
      </w:pPr>
      <w:r>
        <w:rPr>
          <w:rFonts w:hint="cs"/>
          <w:rtl/>
          <w:lang w:eastAsia="he-IL"/>
        </w:rPr>
        <w:t>אני אגיד לך עוד משהו - - -</w:t>
      </w:r>
    </w:p>
    <w:p w:rsidR="00337201" w:rsidRDefault="00337201" w:rsidP="00337201">
      <w:pPr>
        <w:rPr>
          <w:rtl/>
          <w:lang w:eastAsia="he-IL"/>
        </w:rPr>
      </w:pPr>
    </w:p>
    <w:p w:rsidR="00337201" w:rsidRDefault="00337201" w:rsidP="00337201">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אם אני עוד פעם מאזן </w:t>
      </w:r>
      <w:bookmarkStart w:id="17026" w:name="_ETM_Q25_395260"/>
      <w:bookmarkEnd w:id="17026"/>
      <w:r>
        <w:rPr>
          <w:rFonts w:hint="cs"/>
          <w:rtl/>
          <w:lang w:eastAsia="he-IL"/>
        </w:rPr>
        <w:t>- - -</w:t>
      </w:r>
    </w:p>
    <w:p w:rsidR="00337201" w:rsidRDefault="00337201" w:rsidP="00337201">
      <w:pPr>
        <w:rPr>
          <w:highlight w:val="yellow"/>
          <w:rtl/>
          <w:lang w:eastAsia="he-IL"/>
        </w:rPr>
      </w:pPr>
      <w:bookmarkStart w:id="17027" w:name="_ETM_Q25_396181"/>
      <w:bookmarkStart w:id="17028" w:name="_ETM_Q25_396302"/>
      <w:bookmarkEnd w:id="17027"/>
      <w:bookmarkEnd w:id="17028"/>
    </w:p>
    <w:p w:rsidR="00337201" w:rsidRDefault="00337201" w:rsidP="00337201">
      <w:pPr>
        <w:pStyle w:val="-"/>
        <w:keepNext/>
        <w:rPr>
          <w:rtl/>
        </w:rPr>
      </w:pPr>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337201" w:rsidRDefault="00337201" w:rsidP="00337201">
      <w:pPr>
        <w:rPr>
          <w:rtl/>
          <w:lang w:eastAsia="he-IL"/>
        </w:rPr>
      </w:pPr>
    </w:p>
    <w:p w:rsidR="00337201" w:rsidRDefault="00337201" w:rsidP="00337201">
      <w:pPr>
        <w:rPr>
          <w:rtl/>
          <w:lang w:eastAsia="he-IL"/>
        </w:rPr>
      </w:pPr>
      <w:bookmarkStart w:id="17029" w:name="_ETM_Q25_397875"/>
      <w:bookmarkEnd w:id="17029"/>
      <w:r>
        <w:rPr>
          <w:rFonts w:hint="cs"/>
          <w:rtl/>
          <w:lang w:eastAsia="he-IL"/>
        </w:rPr>
        <w:t xml:space="preserve">רגע, אבל נשארו לי שתי דקות, אדוני השר, תן לי, אני רוצה להגיד </w:t>
      </w:r>
      <w:bookmarkStart w:id="17030" w:name="_ETM_Q25_398433"/>
      <w:bookmarkEnd w:id="17030"/>
      <w:r>
        <w:rPr>
          <w:rFonts w:hint="cs"/>
          <w:rtl/>
          <w:lang w:eastAsia="he-IL"/>
        </w:rPr>
        <w:t xml:space="preserve">עוד משהו בשתי דקות. אני רוצה גם לדבר על נושא </w:t>
      </w:r>
      <w:bookmarkStart w:id="17031" w:name="_ETM_Q25_402643"/>
      <w:bookmarkEnd w:id="17031"/>
      <w:r>
        <w:rPr>
          <w:rFonts w:hint="cs"/>
          <w:rtl/>
          <w:lang w:eastAsia="he-IL"/>
        </w:rPr>
        <w:t xml:space="preserve">שבעיניי הוא נושא לא פחות חשוב מהציונות: </w:t>
      </w:r>
      <w:bookmarkStart w:id="17032" w:name="_ETM_Q25_406434"/>
      <w:bookmarkEnd w:id="17032"/>
      <w:r>
        <w:rPr>
          <w:rFonts w:hint="cs"/>
          <w:rtl/>
          <w:lang w:eastAsia="he-IL"/>
        </w:rPr>
        <w:t>אופי ההתבטאויות בכנסת בבית הזה. אני ארבע וחצי שנים בכנסת</w:t>
      </w:r>
      <w:bookmarkStart w:id="17033" w:name="_ETM_Q25_412389"/>
      <w:bookmarkEnd w:id="17033"/>
      <w:r>
        <w:rPr>
          <w:rFonts w:hint="cs"/>
          <w:rtl/>
          <w:lang w:eastAsia="he-IL"/>
        </w:rPr>
        <w:t xml:space="preserve">, כמו שאמרתי, ולא הרשתי לעצמי פעם אחת להשתמש בקללות. </w:t>
      </w:r>
      <w:bookmarkStart w:id="17034" w:name="_ETM_Q25_416399"/>
      <w:bookmarkEnd w:id="17034"/>
      <w:r>
        <w:rPr>
          <w:rFonts w:hint="cs"/>
          <w:rtl/>
          <w:lang w:eastAsia="he-IL"/>
        </w:rPr>
        <w:t xml:space="preserve">אני תמיד מקפיד לכבד את הבית הזה. אני מקפיד לכבד </w:t>
      </w:r>
      <w:bookmarkStart w:id="17035" w:name="_ETM_Q25_419605"/>
      <w:bookmarkEnd w:id="17035"/>
      <w:r>
        <w:rPr>
          <w:rFonts w:hint="cs"/>
          <w:rtl/>
          <w:lang w:eastAsia="he-IL"/>
        </w:rPr>
        <w:t>גם את אלה שאני לא מסכים איתם. אני לא זוכר, לפחות</w:t>
      </w:r>
      <w:bookmarkStart w:id="17036" w:name="_ETM_Q25_424590"/>
      <w:bookmarkEnd w:id="17036"/>
      <w:r>
        <w:rPr>
          <w:rFonts w:hint="cs"/>
          <w:rtl/>
          <w:lang w:eastAsia="he-IL"/>
        </w:rPr>
        <w:t xml:space="preserve"> – מישהו יזכיר לי, אני לא חושב שיש </w:t>
      </w:r>
      <w:bookmarkStart w:id="17037" w:name="_ETM_Q25_425509"/>
      <w:bookmarkEnd w:id="17037"/>
      <w:r>
        <w:rPr>
          <w:rFonts w:hint="cs"/>
          <w:rtl/>
          <w:lang w:eastAsia="he-IL"/>
        </w:rPr>
        <w:t xml:space="preserve">דבר כזה </w:t>
      </w:r>
      <w:bookmarkStart w:id="17038" w:name="_ETM_Q25_431650"/>
      <w:bookmarkEnd w:id="17038"/>
      <w:r>
        <w:rPr>
          <w:rFonts w:hint="cs"/>
          <w:rtl/>
          <w:lang w:eastAsia="he-IL"/>
        </w:rPr>
        <w:t xml:space="preserve">– שאני פעם הרשיתי לעצמי לרדת לרמה כזאת של </w:t>
      </w:r>
      <w:bookmarkStart w:id="17039" w:name="_ETM_Q25_429609"/>
      <w:bookmarkEnd w:id="17039"/>
      <w:r>
        <w:rPr>
          <w:rFonts w:hint="cs"/>
          <w:rtl/>
          <w:lang w:eastAsia="he-IL"/>
        </w:rPr>
        <w:t xml:space="preserve">דיבור כמו שאני שומע מחלק משרי הממשלה. </w:t>
      </w:r>
      <w:bookmarkStart w:id="17040" w:name="_ETM_Q25_434055"/>
      <w:bookmarkStart w:id="17041" w:name="_ETM_Q25_434140"/>
      <w:bookmarkStart w:id="17042" w:name="_ETM_Q25_434264"/>
      <w:bookmarkStart w:id="17043" w:name="_ETM_Q25_434351"/>
      <w:bookmarkEnd w:id="17040"/>
      <w:bookmarkEnd w:id="17041"/>
      <w:bookmarkEnd w:id="17042"/>
      <w:bookmarkEnd w:id="17043"/>
      <w:r>
        <w:rPr>
          <w:rFonts w:hint="cs"/>
          <w:rtl/>
          <w:lang w:eastAsia="he-IL"/>
        </w:rPr>
        <w:t xml:space="preserve">אני חושב שקודם </w:t>
      </w:r>
      <w:bookmarkStart w:id="17044" w:name="_ETM_Q25_434837"/>
      <w:bookmarkEnd w:id="17044"/>
      <w:r>
        <w:rPr>
          <w:rFonts w:hint="cs"/>
          <w:rtl/>
          <w:lang w:eastAsia="he-IL"/>
        </w:rPr>
        <w:t>כול אנחנו צריכים להוקיע את הדבר הזה.</w:t>
      </w:r>
    </w:p>
    <w:p w:rsidR="00337201" w:rsidRDefault="00337201" w:rsidP="00337201">
      <w:pPr>
        <w:rPr>
          <w:rtl/>
          <w:lang w:eastAsia="he-IL"/>
        </w:rPr>
      </w:pPr>
    </w:p>
    <w:p w:rsidR="00337201" w:rsidRDefault="00337201" w:rsidP="00337201">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יש פה קללות?</w:t>
      </w:r>
    </w:p>
    <w:p w:rsidR="00337201" w:rsidRDefault="00337201" w:rsidP="00337201">
      <w:pPr>
        <w:rPr>
          <w:rtl/>
          <w:lang w:eastAsia="he-IL"/>
        </w:rPr>
      </w:pPr>
    </w:p>
    <w:p w:rsidR="00337201" w:rsidRDefault="00337201" w:rsidP="00337201">
      <w:pPr>
        <w:pStyle w:val="-"/>
        <w:keepNext/>
        <w:rPr>
          <w:rtl/>
        </w:rPr>
      </w:pPr>
      <w:bookmarkStart w:id="17045" w:name="ET_speakercontinue_5792_23"/>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7045"/>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כן, בוודאי, יש פה הרבה קללות. מה, תגיד לי, יש קללות, גידופים, השמצות, אתה יודע מה? חוץ מקללות, גידופים </w:t>
      </w:r>
      <w:bookmarkStart w:id="17046" w:name="_ETM_Q25_445829"/>
      <w:bookmarkEnd w:id="17046"/>
      <w:r>
        <w:rPr>
          <w:rFonts w:hint="cs"/>
          <w:rtl/>
          <w:lang w:eastAsia="he-IL"/>
        </w:rPr>
        <w:t xml:space="preserve">וקללות זה לא אותו דבר. כשאני שומע את השרים בממשלה </w:t>
      </w:r>
      <w:bookmarkStart w:id="17047" w:name="_ETM_Q25_449763"/>
      <w:bookmarkEnd w:id="17047"/>
      <w:r>
        <w:rPr>
          <w:rFonts w:hint="cs"/>
          <w:rtl/>
          <w:lang w:eastAsia="he-IL"/>
        </w:rPr>
        <w:t xml:space="preserve">שמדברים בצורה כזאת נגד בעלי תפקידים; כשאני שומע שרים שאומרים: </w:t>
      </w:r>
      <w:bookmarkStart w:id="17048" w:name="_ETM_Q25_455889"/>
      <w:bookmarkEnd w:id="17048"/>
      <w:r>
        <w:rPr>
          <w:rFonts w:hint="cs"/>
          <w:rtl/>
          <w:lang w:eastAsia="he-IL"/>
        </w:rPr>
        <w:t xml:space="preserve">לכו לעזאזל; כשאני שומע – אני לא רוצה לחזור על </w:t>
      </w:r>
      <w:bookmarkStart w:id="17049" w:name="_ETM_Q25_458993"/>
      <w:bookmarkEnd w:id="17049"/>
      <w:r>
        <w:rPr>
          <w:rFonts w:hint="cs"/>
          <w:rtl/>
          <w:lang w:eastAsia="he-IL"/>
        </w:rPr>
        <w:t xml:space="preserve">הקללות, כן? כי אז יגידו שאני משתמש בקללות האלה. </w:t>
      </w:r>
    </w:p>
    <w:p w:rsidR="00337201" w:rsidRDefault="00337201" w:rsidP="00337201">
      <w:pPr>
        <w:rPr>
          <w:rtl/>
          <w:lang w:eastAsia="he-IL"/>
        </w:rPr>
      </w:pPr>
    </w:p>
    <w:p w:rsidR="00337201" w:rsidRDefault="00337201" w:rsidP="00337201">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רק מהשרים? הבעיה זה רק בשרים?</w:t>
      </w:r>
    </w:p>
    <w:p w:rsidR="00337201" w:rsidRDefault="00337201" w:rsidP="00337201">
      <w:pPr>
        <w:rPr>
          <w:rtl/>
          <w:lang w:eastAsia="he-IL"/>
        </w:rPr>
      </w:pPr>
    </w:p>
    <w:p w:rsidR="00337201" w:rsidRDefault="00337201" w:rsidP="00337201">
      <w:pPr>
        <w:pStyle w:val="-"/>
        <w:keepNext/>
        <w:rPr>
          <w:rtl/>
        </w:rPr>
      </w:pPr>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אני אומר שהבעיה היא בסגנון </w:t>
      </w:r>
      <w:bookmarkStart w:id="17050" w:name="_ETM_Q25_465862"/>
      <w:bookmarkEnd w:id="17050"/>
      <w:r>
        <w:rPr>
          <w:rFonts w:hint="cs"/>
          <w:rtl/>
          <w:lang w:eastAsia="he-IL"/>
        </w:rPr>
        <w:t>הדיבור.</w:t>
      </w:r>
    </w:p>
    <w:p w:rsidR="00337201" w:rsidRDefault="00337201" w:rsidP="00337201">
      <w:pPr>
        <w:rPr>
          <w:rtl/>
          <w:lang w:eastAsia="he-IL"/>
        </w:rPr>
      </w:pPr>
    </w:p>
    <w:p w:rsidR="00337201" w:rsidRDefault="00337201" w:rsidP="00337201">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בוא דבר איתם.</w:t>
      </w:r>
    </w:p>
    <w:p w:rsidR="00337201" w:rsidRDefault="00337201" w:rsidP="00337201">
      <w:pPr>
        <w:rPr>
          <w:highlight w:val="yellow"/>
          <w:rtl/>
          <w:lang w:eastAsia="he-IL"/>
        </w:rPr>
      </w:pPr>
    </w:p>
    <w:p w:rsidR="00337201" w:rsidRDefault="00337201" w:rsidP="00337201">
      <w:pPr>
        <w:pStyle w:val="-"/>
        <w:keepNext/>
        <w:rPr>
          <w:rtl/>
        </w:rPr>
      </w:pPr>
      <w:bookmarkStart w:id="17051" w:name="ET_speakercontinue_5792_25"/>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7051"/>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לא, לא, אני אומר שהבעיה היא בסגנון הדיבור. אתם כרגע בשלטון. אתם. זו אחריות שלכם. אתם אלה שמובילים </w:t>
      </w:r>
      <w:bookmarkStart w:id="17052" w:name="_ETM_Q25_475504"/>
      <w:bookmarkEnd w:id="17052"/>
      <w:r>
        <w:rPr>
          <w:rFonts w:hint="cs"/>
          <w:rtl/>
          <w:lang w:eastAsia="he-IL"/>
        </w:rPr>
        <w:t xml:space="preserve">את הממשלה. אם שר בממשלה שהיה אחראי על תחום משרדו, </w:t>
      </w:r>
      <w:bookmarkStart w:id="17053" w:name="_ETM_Q25_480378"/>
      <w:bookmarkEnd w:id="17053"/>
      <w:r>
        <w:rPr>
          <w:rFonts w:hint="cs"/>
          <w:rtl/>
          <w:lang w:eastAsia="he-IL"/>
        </w:rPr>
        <w:t xml:space="preserve">שבעה חודשים, במקום לעסוק בתחום העיסוק שלו, עוסק בעיקר בציוצים בטוויטר ובלהגן על ראש הממשלה ובודק את </w:t>
      </w:r>
      <w:bookmarkStart w:id="17054" w:name="_ETM_Q25_492093"/>
      <w:bookmarkEnd w:id="17054"/>
      <w:r>
        <w:rPr>
          <w:rFonts w:hint="cs"/>
          <w:rtl/>
          <w:lang w:eastAsia="he-IL"/>
        </w:rPr>
        <w:t xml:space="preserve">עצמו איך הוא מתקדם בסולם הפריימריז שלו במפלגה, אז הוא </w:t>
      </w:r>
      <w:bookmarkStart w:id="17055" w:name="_ETM_Q25_496106"/>
      <w:bookmarkEnd w:id="17055"/>
      <w:r>
        <w:rPr>
          <w:rFonts w:hint="cs"/>
          <w:rtl/>
          <w:lang w:eastAsia="he-IL"/>
        </w:rPr>
        <w:t>חוצה הרבה פעמים את הגבול. הוא חוצה את הקו הזה,</w:t>
      </w:r>
      <w:bookmarkStart w:id="17056" w:name="_ETM_Q25_499237"/>
      <w:bookmarkEnd w:id="17056"/>
      <w:r>
        <w:rPr>
          <w:rFonts w:hint="cs"/>
          <w:rtl/>
          <w:lang w:eastAsia="he-IL"/>
        </w:rPr>
        <w:t xml:space="preserve"> משתמש בשפה שהיא – עזוב שהיא </w:t>
      </w:r>
      <w:bookmarkStart w:id="17057" w:name="_ETM_Q0_14716388"/>
      <w:bookmarkEnd w:id="17057"/>
      <w:r>
        <w:rPr>
          <w:rFonts w:hint="cs"/>
          <w:rtl/>
          <w:lang w:eastAsia="he-IL"/>
        </w:rPr>
        <w:t xml:space="preserve">לא מתורבתת, זה יותר גרוע משפת עבריינים. זה יותר גרוע. </w:t>
      </w:r>
      <w:bookmarkStart w:id="17058" w:name="_ETM_Q25_517326"/>
      <w:bookmarkStart w:id="17059" w:name="_ETM_Q25_517400"/>
      <w:bookmarkStart w:id="17060" w:name="_ETM_Q25_517453"/>
      <w:bookmarkStart w:id="17061" w:name="_ETM_Q25_517510"/>
      <w:bookmarkEnd w:id="17058"/>
      <w:bookmarkEnd w:id="17059"/>
      <w:bookmarkEnd w:id="17060"/>
      <w:bookmarkEnd w:id="17061"/>
      <w:r>
        <w:rPr>
          <w:rFonts w:hint="cs"/>
          <w:rtl/>
          <w:lang w:eastAsia="he-IL"/>
        </w:rPr>
        <w:t>יש אפילו – בקודים של עבריינים</w:t>
      </w:r>
      <w:bookmarkStart w:id="17062" w:name="_ETM_Q25_510464"/>
      <w:bookmarkEnd w:id="17062"/>
      <w:r>
        <w:rPr>
          <w:rFonts w:hint="cs"/>
          <w:rtl/>
          <w:lang w:eastAsia="he-IL"/>
        </w:rPr>
        <w:t xml:space="preserve"> לא עוברים את הקודים האלה. לא עוברים לשפה הזאת, </w:t>
      </w:r>
      <w:bookmarkStart w:id="17063" w:name="_ETM_Q25_512801"/>
      <w:bookmarkEnd w:id="17063"/>
      <w:r>
        <w:rPr>
          <w:rFonts w:hint="cs"/>
          <w:rtl/>
          <w:lang w:eastAsia="he-IL"/>
        </w:rPr>
        <w:t>לאיומים האלה. לא עוברים. ופה אתה שומע דברים. ואז</w:t>
      </w:r>
      <w:bookmarkStart w:id="17064" w:name="_ETM_Q25_519247"/>
      <w:bookmarkEnd w:id="17064"/>
      <w:r>
        <w:rPr>
          <w:rFonts w:hint="cs"/>
          <w:rtl/>
          <w:lang w:eastAsia="he-IL"/>
        </w:rPr>
        <w:t xml:space="preserve">, אולי פעם בכמה שבועות יש איזשהו גינוי של ראש </w:t>
      </w:r>
      <w:bookmarkStart w:id="17065" w:name="_ETM_Q25_526338"/>
      <w:bookmarkEnd w:id="17065"/>
      <w:r>
        <w:rPr>
          <w:rFonts w:hint="cs"/>
          <w:rtl/>
          <w:lang w:eastAsia="he-IL"/>
        </w:rPr>
        <w:t>הממשלה, כשהוא פתאום רואה שזה מוריד לו מנדט</w:t>
      </w:r>
      <w:bookmarkStart w:id="17066" w:name="_ETM_Q25_528782"/>
      <w:bookmarkEnd w:id="17066"/>
      <w:r>
        <w:rPr>
          <w:rFonts w:hint="cs"/>
          <w:rtl/>
          <w:lang w:eastAsia="he-IL"/>
        </w:rPr>
        <w:t xml:space="preserve"> או שניים בסקרים, אז הוא יוצא. ואחר כך הוא עולה לפה </w:t>
      </w:r>
      <w:bookmarkStart w:id="17067" w:name="_ETM_Q25_533061"/>
      <w:bookmarkEnd w:id="17067"/>
      <w:r>
        <w:rPr>
          <w:rFonts w:hint="cs"/>
          <w:rtl/>
          <w:lang w:eastAsia="he-IL"/>
        </w:rPr>
        <w:t xml:space="preserve">לדוכן וממשיך את השיסוי שלו. הוא ממשיך לשסות: אלה </w:t>
      </w:r>
      <w:bookmarkStart w:id="17068" w:name="_ETM_Q25_535365"/>
      <w:bookmarkEnd w:id="17068"/>
      <w:r>
        <w:rPr>
          <w:rFonts w:hint="cs"/>
          <w:rtl/>
          <w:lang w:eastAsia="he-IL"/>
        </w:rPr>
        <w:t xml:space="preserve">ככה ואלה ככה, ואתם ככה ואתם ככה. איפה האחריות </w:t>
      </w:r>
      <w:bookmarkStart w:id="17069" w:name="_ETM_Q25_539260"/>
      <w:bookmarkEnd w:id="17069"/>
      <w:r>
        <w:rPr>
          <w:rFonts w:hint="cs"/>
          <w:rtl/>
          <w:lang w:eastAsia="he-IL"/>
        </w:rPr>
        <w:t xml:space="preserve">שלך, אדוני ראש הממשלה? איפה האחריות שלך? אתה לא יכול </w:t>
      </w:r>
      <w:bookmarkStart w:id="17070" w:name="_ETM_Q25_544005"/>
      <w:bookmarkEnd w:id="17070"/>
      <w:r>
        <w:rPr>
          <w:rFonts w:hint="cs"/>
          <w:rtl/>
          <w:lang w:eastAsia="he-IL"/>
        </w:rPr>
        <w:t>להאשים את כל העולם ולהגיד: אתם אחראים על ההפגנות. מה</w:t>
      </w:r>
      <w:bookmarkStart w:id="17071" w:name="_ETM_Q25_548988"/>
      <w:bookmarkEnd w:id="17071"/>
      <w:r>
        <w:rPr>
          <w:rFonts w:hint="cs"/>
          <w:rtl/>
          <w:lang w:eastAsia="he-IL"/>
        </w:rPr>
        <w:t xml:space="preserve"> זה "אתם"? אתה ראש הממשלה. כל הקרע שכרגע מתרחש </w:t>
      </w:r>
      <w:bookmarkStart w:id="17072" w:name="_ETM_Q25_555517"/>
      <w:bookmarkEnd w:id="17072"/>
      <w:r>
        <w:rPr>
          <w:rFonts w:hint="cs"/>
          <w:rtl/>
          <w:lang w:eastAsia="he-IL"/>
        </w:rPr>
        <w:t>בעמנו יירשם על שמו.</w:t>
      </w:r>
    </w:p>
    <w:p w:rsidR="00337201" w:rsidRDefault="00337201" w:rsidP="00337201">
      <w:pPr>
        <w:rPr>
          <w:rtl/>
          <w:lang w:eastAsia="he-IL"/>
        </w:rPr>
      </w:pPr>
    </w:p>
    <w:p w:rsidR="00337201" w:rsidRDefault="00337201" w:rsidP="00337201">
      <w:pPr>
        <w:pStyle w:val="af9"/>
        <w:keepNext/>
        <w:rPr>
          <w:rtl/>
        </w:rPr>
      </w:pPr>
      <w:bookmarkStart w:id="17073" w:name="ET_yor_6488_2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7073"/>
    </w:p>
    <w:p w:rsidR="00337201" w:rsidRDefault="00337201" w:rsidP="00337201">
      <w:pPr>
        <w:rPr>
          <w:rtl/>
          <w:lang w:eastAsia="he-IL"/>
        </w:rPr>
      </w:pPr>
    </w:p>
    <w:p w:rsidR="00337201" w:rsidRDefault="00337201" w:rsidP="00337201">
      <w:pPr>
        <w:rPr>
          <w:rtl/>
          <w:lang w:eastAsia="he-IL"/>
        </w:rPr>
      </w:pPr>
      <w:r>
        <w:rPr>
          <w:rFonts w:hint="cs"/>
          <w:rtl/>
          <w:lang w:eastAsia="he-IL"/>
        </w:rPr>
        <w:t>אתה צריך לסיים.</w:t>
      </w:r>
    </w:p>
    <w:p w:rsidR="00337201" w:rsidRDefault="00337201" w:rsidP="00337201">
      <w:pPr>
        <w:rPr>
          <w:rtl/>
          <w:lang w:eastAsia="he-IL"/>
        </w:rPr>
      </w:pPr>
      <w:bookmarkStart w:id="17074" w:name="_ETM_Q25_556467"/>
      <w:bookmarkStart w:id="17075" w:name="_ETM_Q25_556572"/>
      <w:bookmarkEnd w:id="17074"/>
      <w:bookmarkEnd w:id="17075"/>
    </w:p>
    <w:p w:rsidR="00337201" w:rsidRDefault="00337201" w:rsidP="00337201">
      <w:pPr>
        <w:pStyle w:val="-"/>
        <w:keepNext/>
        <w:rPr>
          <w:rtl/>
        </w:rPr>
      </w:pPr>
      <w:bookmarkStart w:id="17076" w:name="ET_speakercontinue_5792_27"/>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17076"/>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אני מסיים. </w:t>
      </w:r>
      <w:bookmarkStart w:id="17077" w:name="_ETM_Q25_557694"/>
      <w:bookmarkEnd w:id="17077"/>
      <w:r>
        <w:rPr>
          <w:rFonts w:hint="cs"/>
          <w:rtl/>
          <w:lang w:eastAsia="he-IL"/>
        </w:rPr>
        <w:t xml:space="preserve">שני משפטים. דבר אחרון, אדוני היושב-ראש: אנחנו </w:t>
      </w:r>
      <w:bookmarkStart w:id="17078" w:name="_ETM_Q25_565532"/>
      <w:bookmarkEnd w:id="17078"/>
      <w:r>
        <w:rPr>
          <w:rFonts w:hint="cs"/>
          <w:rtl/>
          <w:lang w:eastAsia="he-IL"/>
        </w:rPr>
        <w:t>דוהרים לא רק לתהום, אנחנו דוהרים למשבר חוקתי. עילת הסבירות</w:t>
      </w:r>
      <w:bookmarkStart w:id="17079" w:name="_ETM_Q25_570085"/>
      <w:bookmarkEnd w:id="17079"/>
      <w:r>
        <w:rPr>
          <w:rFonts w:hint="cs"/>
          <w:rtl/>
          <w:lang w:eastAsia="he-IL"/>
        </w:rPr>
        <w:t xml:space="preserve">, שיטת הסלמי, בר סלטים שנפתח, אולי ראש הממשלה </w:t>
      </w:r>
      <w:bookmarkStart w:id="17080" w:name="_ETM_Q25_576221"/>
      <w:bookmarkEnd w:id="17080"/>
      <w:r>
        <w:rPr>
          <w:rFonts w:hint="cs"/>
          <w:rtl/>
          <w:lang w:eastAsia="he-IL"/>
        </w:rPr>
        <w:t xml:space="preserve">פשוט מסתתר מתחת לשולחן בבר סלטים. צריך למצוא אותו שם. </w:t>
      </w:r>
      <w:bookmarkStart w:id="17081" w:name="_ETM_Q25_579335"/>
      <w:bookmarkEnd w:id="17081"/>
      <w:r>
        <w:rPr>
          <w:rFonts w:hint="cs"/>
          <w:rtl/>
          <w:lang w:eastAsia="he-IL"/>
        </w:rPr>
        <w:t xml:space="preserve">אנחנו דוהרים, לא רק לקרע – הקרע כבר קיים – אנחנו דוהרים </w:t>
      </w:r>
      <w:bookmarkStart w:id="17082" w:name="_ETM_Q25_583833"/>
      <w:bookmarkEnd w:id="17082"/>
      <w:r>
        <w:rPr>
          <w:rFonts w:hint="cs"/>
          <w:rtl/>
          <w:lang w:eastAsia="he-IL"/>
        </w:rPr>
        <w:t>למשבר חוקתי.</w:t>
      </w:r>
    </w:p>
    <w:p w:rsidR="00337201" w:rsidRDefault="00337201" w:rsidP="00337201">
      <w:pPr>
        <w:rPr>
          <w:rtl/>
          <w:lang w:eastAsia="he-IL"/>
        </w:rPr>
      </w:pPr>
      <w:bookmarkStart w:id="17083" w:name="_ETM_Q25_596357"/>
      <w:bookmarkStart w:id="17084" w:name="_ETM_Q25_596425"/>
      <w:bookmarkEnd w:id="17083"/>
      <w:bookmarkEnd w:id="17084"/>
    </w:p>
    <w:p w:rsidR="00337201" w:rsidRDefault="00337201" w:rsidP="00337201">
      <w:pPr>
        <w:rPr>
          <w:rtl/>
          <w:lang w:eastAsia="he-IL"/>
        </w:rPr>
      </w:pPr>
      <w:bookmarkStart w:id="17085" w:name="_ETM_Q25_596502"/>
      <w:bookmarkStart w:id="17086" w:name="_ETM_Q25_596560"/>
      <w:bookmarkEnd w:id="17085"/>
      <w:bookmarkEnd w:id="17086"/>
      <w:r>
        <w:rPr>
          <w:rFonts w:hint="cs"/>
          <w:rtl/>
          <w:lang w:eastAsia="he-IL"/>
        </w:rPr>
        <w:t xml:space="preserve">בזה אני מסיים, אדוני </w:t>
      </w:r>
      <w:bookmarkStart w:id="17087" w:name="_ETM_Q25_586756"/>
      <w:bookmarkEnd w:id="17087"/>
      <w:r>
        <w:rPr>
          <w:rFonts w:hint="cs"/>
          <w:rtl/>
          <w:lang w:eastAsia="he-IL"/>
        </w:rPr>
        <w:t xml:space="preserve">היושב-ראש: אני קורא לשופטי בג"ץ להתעשת ולהבין שאת המשבר החוקתי </w:t>
      </w:r>
      <w:bookmarkStart w:id="17088" w:name="_ETM_Q25_593719"/>
      <w:bookmarkEnd w:id="17088"/>
      <w:r>
        <w:rPr>
          <w:rFonts w:hint="cs"/>
          <w:rtl/>
          <w:lang w:eastAsia="he-IL"/>
        </w:rPr>
        <w:t xml:space="preserve">הזה אפשר למנוע כבר היום. אפשר למנוע את המשבר החוקתי </w:t>
      </w:r>
      <w:bookmarkStart w:id="17089" w:name="_ETM_Q25_599016"/>
      <w:bookmarkEnd w:id="17089"/>
      <w:r>
        <w:rPr>
          <w:rFonts w:hint="cs"/>
          <w:rtl/>
          <w:lang w:eastAsia="he-IL"/>
        </w:rPr>
        <w:t xml:space="preserve">בכך שבג"ץ היום, כמה שזה נשמע הזוי בעיני הקואליציה, הוא </w:t>
      </w:r>
      <w:bookmarkStart w:id="17090" w:name="_ETM_Q25_603417"/>
      <w:bookmarkEnd w:id="17090"/>
      <w:r>
        <w:rPr>
          <w:rFonts w:hint="cs"/>
          <w:rtl/>
          <w:lang w:eastAsia="he-IL"/>
        </w:rPr>
        <w:t>המגן על הדמוקרטיה. דמוקרטיה זה לא רק שלטון הרוב, זה גם משטר דמוקרטי ושמירה על מוסדות המשטר. דרך אגב,</w:t>
      </w:r>
      <w:bookmarkStart w:id="17091" w:name="_ETM_Q25_610994"/>
      <w:bookmarkEnd w:id="17091"/>
      <w:r>
        <w:rPr>
          <w:rFonts w:hint="cs"/>
          <w:rtl/>
          <w:lang w:eastAsia="he-IL"/>
        </w:rPr>
        <w:t xml:space="preserve"> את זה לא אני אמרתי, זה חוק-יסוד: שירות הביטחון הכללי</w:t>
      </w:r>
      <w:bookmarkStart w:id="17092" w:name="_ETM_Q25_614247"/>
      <w:bookmarkEnd w:id="17092"/>
      <w:r>
        <w:rPr>
          <w:rFonts w:hint="cs"/>
          <w:rtl/>
          <w:lang w:eastAsia="he-IL"/>
        </w:rPr>
        <w:t xml:space="preserve">, סעיף 7. בסעיף 7, אתה תבדוק אותי, </w:t>
      </w:r>
      <w:bookmarkStart w:id="17093" w:name="_ETM_Q25_616142"/>
      <w:bookmarkEnd w:id="17093"/>
      <w:r>
        <w:rPr>
          <w:rFonts w:hint="cs"/>
          <w:rtl/>
          <w:lang w:eastAsia="he-IL"/>
        </w:rPr>
        <w:t xml:space="preserve">אדוני השר, כתוב ששירות הביטחון הכללי אחראי על המשטר הדמוקרטי </w:t>
      </w:r>
      <w:bookmarkStart w:id="17094" w:name="_ETM_Q25_623297"/>
      <w:bookmarkEnd w:id="17094"/>
      <w:r>
        <w:rPr>
          <w:rFonts w:hint="cs"/>
          <w:rtl/>
          <w:lang w:eastAsia="he-IL"/>
        </w:rPr>
        <w:t>ומוסדותיו.</w:t>
      </w:r>
    </w:p>
    <w:p w:rsidR="00337201" w:rsidRDefault="00337201" w:rsidP="00337201">
      <w:pPr>
        <w:rPr>
          <w:rtl/>
          <w:lang w:eastAsia="he-IL"/>
        </w:rPr>
      </w:pPr>
    </w:p>
    <w:p w:rsidR="00337201" w:rsidRDefault="00337201" w:rsidP="00337201">
      <w:pPr>
        <w:pStyle w:val="af9"/>
        <w:keepNext/>
        <w:rPr>
          <w:rtl/>
        </w:rPr>
      </w:pPr>
      <w:bookmarkStart w:id="17095" w:name="ET_yor_6488_2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7095"/>
    </w:p>
    <w:p w:rsidR="00337201" w:rsidRDefault="00337201" w:rsidP="00337201">
      <w:pPr>
        <w:rPr>
          <w:rtl/>
          <w:lang w:eastAsia="he-IL"/>
        </w:rPr>
      </w:pPr>
    </w:p>
    <w:p w:rsidR="00337201" w:rsidRDefault="00337201" w:rsidP="00337201">
      <w:pPr>
        <w:rPr>
          <w:rtl/>
          <w:lang w:eastAsia="he-IL"/>
        </w:rPr>
      </w:pPr>
      <w:r>
        <w:rPr>
          <w:rFonts w:hint="cs"/>
          <w:rtl/>
          <w:lang w:eastAsia="he-IL"/>
        </w:rPr>
        <w:t>תודה.</w:t>
      </w:r>
    </w:p>
    <w:p w:rsidR="00337201" w:rsidRDefault="00337201" w:rsidP="00337201">
      <w:pPr>
        <w:rPr>
          <w:rtl/>
          <w:lang w:eastAsia="he-IL"/>
        </w:rPr>
      </w:pPr>
    </w:p>
    <w:p w:rsidR="00337201" w:rsidRDefault="00337201" w:rsidP="00337201">
      <w:pPr>
        <w:pStyle w:val="-"/>
        <w:keepNext/>
        <w:rPr>
          <w:rtl/>
        </w:rPr>
      </w:pPr>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מוסדות </w:t>
      </w:r>
      <w:bookmarkStart w:id="17096" w:name="_ETM_Q25_628277"/>
      <w:bookmarkEnd w:id="17096"/>
      <w:r>
        <w:rPr>
          <w:rFonts w:hint="cs"/>
          <w:rtl/>
          <w:lang w:eastAsia="he-IL"/>
        </w:rPr>
        <w:t xml:space="preserve">– זה בית המשפט העליון. מי שפוגע בבית המשפט העליון, </w:t>
      </w:r>
      <w:bookmarkStart w:id="17097" w:name="_ETM_Q25_629516"/>
      <w:bookmarkEnd w:id="17097"/>
      <w:r>
        <w:rPr>
          <w:rFonts w:hint="cs"/>
          <w:rtl/>
          <w:lang w:eastAsia="he-IL"/>
        </w:rPr>
        <w:t xml:space="preserve">המשמעות לפי חוק-יסוד: השב"כ שהוא גם פוגע במשטר </w:t>
      </w:r>
      <w:bookmarkStart w:id="17098" w:name="_ETM_Q25_633514"/>
      <w:bookmarkEnd w:id="17098"/>
      <w:r>
        <w:rPr>
          <w:rFonts w:hint="cs"/>
          <w:rtl/>
          <w:lang w:eastAsia="he-IL"/>
        </w:rPr>
        <w:t>הדמוקרטי. תודה רבה.</w:t>
      </w:r>
    </w:p>
    <w:p w:rsidR="00337201" w:rsidRDefault="00337201" w:rsidP="00337201">
      <w:pPr>
        <w:rPr>
          <w:rtl/>
          <w:lang w:eastAsia="he-IL"/>
        </w:rPr>
      </w:pPr>
      <w:bookmarkStart w:id="17099" w:name="_ETM_Q25_635770"/>
      <w:bookmarkStart w:id="17100" w:name="_ETM_Q25_635878"/>
      <w:bookmarkEnd w:id="17099"/>
      <w:bookmarkEnd w:id="17100"/>
    </w:p>
    <w:p w:rsidR="00337201" w:rsidRDefault="00337201" w:rsidP="00337201">
      <w:pPr>
        <w:pStyle w:val="af9"/>
        <w:keepNext/>
        <w:rPr>
          <w:rtl/>
        </w:rPr>
      </w:pPr>
      <w:bookmarkStart w:id="17101" w:name="ET_yor_6488_3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7101"/>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תודה רבה לחבר הכנסת יבגני סובה. הנואם הבא בתור, חבר הכנסת עופר כסיף. </w:t>
      </w:r>
      <w:bookmarkStart w:id="17102" w:name="_ETM_Q25_657267"/>
      <w:bookmarkStart w:id="17103" w:name="_ETM_Q25_657336"/>
      <w:bookmarkStart w:id="17104" w:name="_ETM_Q25_658755"/>
      <w:bookmarkStart w:id="17105" w:name="_ETM_Q0_14882449"/>
      <w:bookmarkEnd w:id="17102"/>
      <w:bookmarkEnd w:id="17103"/>
      <w:bookmarkEnd w:id="17104"/>
      <w:bookmarkEnd w:id="17105"/>
    </w:p>
    <w:p w:rsidR="00337201" w:rsidRDefault="00337201" w:rsidP="00337201">
      <w:pPr>
        <w:rPr>
          <w:rtl/>
          <w:lang w:eastAsia="he-IL"/>
        </w:rPr>
      </w:pPr>
      <w:bookmarkStart w:id="17106" w:name="_ETM_Q0_14882639"/>
      <w:bookmarkEnd w:id="17106"/>
    </w:p>
    <w:p w:rsidR="00337201" w:rsidRDefault="00337201" w:rsidP="00337201">
      <w:pPr>
        <w:pStyle w:val="a5"/>
        <w:keepNext/>
        <w:rPr>
          <w:rtl/>
        </w:rPr>
      </w:pPr>
      <w:bookmarkStart w:id="17107" w:name="ET_speaker_5785_31"/>
      <w:r>
        <w:rPr>
          <w:rStyle w:val="TagStyle"/>
          <w:rFonts w:hint="cs"/>
          <w:rtl/>
        </w:rPr>
        <w:t xml:space="preserve"> &lt;&lt; דובר &gt;&gt; </w:t>
      </w:r>
      <w:bookmarkStart w:id="17108" w:name="_Toc141034701"/>
      <w:bookmarkStart w:id="17109" w:name="_Toc141040470"/>
      <w:bookmarkStart w:id="17110" w:name="_Toc141196879"/>
      <w:bookmarkStart w:id="17111" w:name="_Toc141197143"/>
      <w:r>
        <w:rPr>
          <w:rFonts w:hint="cs"/>
          <w:rtl/>
        </w:rPr>
        <w:t>עופר כסיף (חד"ש-תע"ל):</w:t>
      </w:r>
      <w:bookmarkEnd w:id="17108"/>
      <w:bookmarkEnd w:id="17109"/>
      <w:bookmarkEnd w:id="17110"/>
      <w:bookmarkEnd w:id="17111"/>
      <w:r>
        <w:rPr>
          <w:rStyle w:val="TagStyle"/>
          <w:rFonts w:hint="cs"/>
          <w:rtl/>
        </w:rPr>
        <w:t xml:space="preserve"> &lt;&lt; דובר &gt;&gt;</w:t>
      </w:r>
      <w:r>
        <w:rPr>
          <w:rFonts w:hint="cs"/>
          <w:rtl/>
        </w:rPr>
        <w:t xml:space="preserve">   </w:t>
      </w:r>
      <w:bookmarkEnd w:id="17107"/>
    </w:p>
    <w:p w:rsidR="00337201" w:rsidRDefault="00337201" w:rsidP="00337201">
      <w:pPr>
        <w:rPr>
          <w:rtl/>
          <w:lang w:eastAsia="he-IL"/>
        </w:rPr>
      </w:pPr>
    </w:p>
    <w:p w:rsidR="00337201" w:rsidRDefault="00337201" w:rsidP="00337201">
      <w:pPr>
        <w:rPr>
          <w:rtl/>
          <w:lang w:eastAsia="he-IL"/>
        </w:rPr>
      </w:pPr>
      <w:bookmarkStart w:id="17112" w:name="_ETM_Q25_659442"/>
      <w:bookmarkStart w:id="17113" w:name="_ETM_Q25_659469"/>
      <w:bookmarkEnd w:id="17112"/>
      <w:bookmarkEnd w:id="17113"/>
      <w:r>
        <w:rPr>
          <w:rFonts w:hint="cs"/>
          <w:rtl/>
          <w:lang w:eastAsia="he-IL"/>
        </w:rPr>
        <w:t xml:space="preserve">כבוד היושב-ראש, חברי הכנסת, אם יש, כבוד השר, </w:t>
      </w:r>
      <w:bookmarkStart w:id="17114" w:name="_ETM_Q25_686227"/>
      <w:bookmarkEnd w:id="17114"/>
      <w:r>
        <w:rPr>
          <w:rFonts w:hint="cs"/>
          <w:rtl/>
          <w:lang w:eastAsia="he-IL"/>
        </w:rPr>
        <w:t xml:space="preserve">בשבוע שעבר עמד אחד מחברי הכנסת וקרא לי לערוך בדיקת </w:t>
      </w:r>
      <w:bookmarkStart w:id="17115" w:name="_ETM_Q25_690554"/>
      <w:bookmarkEnd w:id="17115"/>
      <w:r>
        <w:rPr>
          <w:rFonts w:hint="cs"/>
          <w:rtl/>
          <w:lang w:eastAsia="he-IL"/>
        </w:rPr>
        <w:t xml:space="preserve">דנ"א, שתוכיח, לשיטתו, שאינני יהודי טהור גזע. יפה ענה </w:t>
      </w:r>
      <w:bookmarkStart w:id="17116" w:name="_ETM_Q25_697939"/>
      <w:bookmarkEnd w:id="17116"/>
      <w:r>
        <w:rPr>
          <w:rFonts w:hint="cs"/>
          <w:rtl/>
          <w:lang w:eastAsia="he-IL"/>
        </w:rPr>
        <w:t xml:space="preserve">לו חברי חבר הכנסת אחמד טיבי, והזכיר לו שהמקום שבו זוהו אנשים על פי זהותם הביולוגית כביכול ונרדפו </w:t>
      </w:r>
      <w:bookmarkStart w:id="17117" w:name="_ETM_Q25_706993"/>
      <w:bookmarkEnd w:id="17117"/>
      <w:r>
        <w:rPr>
          <w:rFonts w:hint="cs"/>
          <w:rtl/>
          <w:lang w:eastAsia="he-IL"/>
        </w:rPr>
        <w:t xml:space="preserve">בשל כך היה אירופה של שנות השלושים והארבעים. זיהוי של </w:t>
      </w:r>
      <w:bookmarkStart w:id="17118" w:name="_ETM_Q25_712686"/>
      <w:bookmarkEnd w:id="17118"/>
      <w:r>
        <w:rPr>
          <w:rFonts w:hint="cs"/>
          <w:rtl/>
          <w:lang w:eastAsia="he-IL"/>
        </w:rPr>
        <w:t xml:space="preserve">אדם על פי מוצאו המומצא – המיתולוגי, יש להדגיש – נטוע אי </w:t>
      </w:r>
      <w:bookmarkStart w:id="17119" w:name="_ETM_Q25_719417"/>
      <w:bookmarkEnd w:id="17119"/>
      <w:r>
        <w:rPr>
          <w:rFonts w:hint="cs"/>
          <w:rtl/>
          <w:lang w:eastAsia="he-IL"/>
        </w:rPr>
        <w:t xml:space="preserve">שם במאה ה-18, במה שמכונה בספרות המקצועית של היסטוריונים, סוציולוגים, מדעני </w:t>
      </w:r>
      <w:bookmarkStart w:id="17120" w:name="_ETM_Q25_725656"/>
      <w:bookmarkEnd w:id="17120"/>
      <w:r>
        <w:rPr>
          <w:rFonts w:hint="cs"/>
          <w:rtl/>
          <w:lang w:eastAsia="he-IL"/>
        </w:rPr>
        <w:t xml:space="preserve">מדינה, שחקרו את זה, בשם "לאומנות של דם ואדמה". </w:t>
      </w:r>
      <w:bookmarkStart w:id="17121" w:name="_ETM_Q25_731280"/>
      <w:bookmarkEnd w:id="17121"/>
      <w:r>
        <w:rPr>
          <w:rFonts w:hint="cs"/>
          <w:rtl/>
          <w:lang w:eastAsia="he-IL"/>
        </w:rPr>
        <w:t xml:space="preserve">בגרמנית, אגב, זה נקרא </w:t>
      </w:r>
      <w:r>
        <w:rPr>
          <w:lang w:eastAsia="he-IL"/>
        </w:rPr>
        <w:t>Blut und Boden</w:t>
      </w:r>
      <w:r>
        <w:rPr>
          <w:rFonts w:hint="cs"/>
          <w:rtl/>
          <w:lang w:eastAsia="he-IL"/>
        </w:rPr>
        <w:t xml:space="preserve">, או בראשי תיבות </w:t>
      </w:r>
      <w:r>
        <w:rPr>
          <w:lang w:eastAsia="he-IL"/>
        </w:rPr>
        <w:t>BB</w:t>
      </w:r>
      <w:r>
        <w:rPr>
          <w:rFonts w:hint="cs"/>
          <w:rtl/>
          <w:lang w:eastAsia="he-IL"/>
        </w:rPr>
        <w:t xml:space="preserve">. </w:t>
      </w:r>
      <w:bookmarkStart w:id="17122" w:name="_ETM_Q25_737253"/>
      <w:bookmarkStart w:id="17123" w:name="_ETM_Q25_741069"/>
      <w:bookmarkStart w:id="17124" w:name="_ETM_Q25_741123"/>
      <w:bookmarkStart w:id="17125" w:name="_ETM_Q25_741413"/>
      <w:bookmarkStart w:id="17126" w:name="_ETM_Q25_741457"/>
      <w:bookmarkEnd w:id="17122"/>
      <w:bookmarkEnd w:id="17123"/>
      <w:bookmarkEnd w:id="17124"/>
      <w:bookmarkEnd w:id="17125"/>
      <w:bookmarkEnd w:id="17126"/>
      <w:r>
        <w:rPr>
          <w:rFonts w:hint="cs"/>
          <w:rtl/>
          <w:lang w:eastAsia="he-IL"/>
        </w:rPr>
        <w:t xml:space="preserve">לאומנות זו, ששימשה בסיס והשראה לפשיזם לגווניו, לרבות זה </w:t>
      </w:r>
      <w:bookmarkStart w:id="17127" w:name="_ETM_Q25_742648"/>
      <w:bookmarkEnd w:id="17127"/>
      <w:r>
        <w:rPr>
          <w:rFonts w:hint="cs"/>
          <w:rtl/>
          <w:lang w:eastAsia="he-IL"/>
        </w:rPr>
        <w:t xml:space="preserve">הנאצי, צמחה כריאקציה וכהתנגדות לערכי הנאורות, ששמה את האדם באשר </w:t>
      </w:r>
      <w:bookmarkStart w:id="17128" w:name="_ETM_Q25_750009"/>
      <w:bookmarkEnd w:id="17128"/>
      <w:r>
        <w:rPr>
          <w:rFonts w:hint="cs"/>
          <w:rtl/>
          <w:lang w:eastAsia="he-IL"/>
        </w:rPr>
        <w:t>הוא אדם במרכז, והעלתה על נס ערכים אוניברסליים</w:t>
      </w:r>
      <w:bookmarkStart w:id="17129" w:name="_ETM_Q25_756020"/>
      <w:bookmarkEnd w:id="17129"/>
      <w:r>
        <w:rPr>
          <w:rFonts w:hint="cs"/>
          <w:rtl/>
          <w:lang w:eastAsia="he-IL"/>
        </w:rPr>
        <w:t xml:space="preserve"> של שוויון, חירות וצדק; ערכים שמהם גם צמחה הדמוקרטיה המודרנית, שאת שמה נושאים לשווא רבים מחברי הבית הזה אין-ספור פעמים.</w:t>
      </w:r>
    </w:p>
    <w:p w:rsidR="00337201" w:rsidRDefault="00337201" w:rsidP="00337201">
      <w:pPr>
        <w:rPr>
          <w:rtl/>
          <w:lang w:eastAsia="he-IL"/>
        </w:rPr>
      </w:pPr>
      <w:bookmarkStart w:id="17130" w:name="_ETM_Q25_467421"/>
      <w:bookmarkStart w:id="17131" w:name="_ETM_Q25_467527"/>
      <w:bookmarkEnd w:id="17130"/>
      <w:bookmarkEnd w:id="17131"/>
    </w:p>
    <w:p w:rsidR="00337201" w:rsidRDefault="00337201" w:rsidP="00337201">
      <w:pPr>
        <w:rPr>
          <w:rtl/>
          <w:lang w:eastAsia="he-IL"/>
        </w:rPr>
      </w:pPr>
      <w:bookmarkStart w:id="17132" w:name="TOR_Q26"/>
      <w:bookmarkStart w:id="17133" w:name="_ETM_Q26_168229"/>
      <w:bookmarkStart w:id="17134" w:name="_ETM_Q26_168326"/>
      <w:bookmarkEnd w:id="17132"/>
      <w:bookmarkEnd w:id="17133"/>
      <w:bookmarkEnd w:id="17134"/>
      <w:r>
        <w:rPr>
          <w:rFonts w:hint="cs"/>
          <w:rtl/>
          <w:lang w:eastAsia="he-IL"/>
        </w:rPr>
        <w:t xml:space="preserve">הריאקציה לנאורות </w:t>
      </w:r>
      <w:bookmarkStart w:id="17135" w:name="_ETM_Q26_165462"/>
      <w:bookmarkEnd w:id="17135"/>
      <w:r>
        <w:rPr>
          <w:rFonts w:hint="cs"/>
          <w:rtl/>
          <w:lang w:eastAsia="he-IL"/>
        </w:rPr>
        <w:t xml:space="preserve">שהציגה לאומנות הדם והאדמה דחתה את קדימות זכויות האדם </w:t>
      </w:r>
      <w:bookmarkStart w:id="17136" w:name="_ETM_Q26_175627"/>
      <w:bookmarkEnd w:id="17136"/>
      <w:r>
        <w:rPr>
          <w:rFonts w:hint="cs"/>
          <w:rtl/>
          <w:lang w:eastAsia="he-IL"/>
        </w:rPr>
        <w:t xml:space="preserve">והאזרח ואת ערך השוויון האוניברסלי והכפיפה את כל אלה </w:t>
      </w:r>
      <w:bookmarkStart w:id="17137" w:name="_ETM_Q26_178367"/>
      <w:bookmarkEnd w:id="17137"/>
      <w:r>
        <w:rPr>
          <w:rFonts w:hint="cs"/>
          <w:rtl/>
          <w:lang w:eastAsia="he-IL"/>
        </w:rPr>
        <w:t xml:space="preserve">לתכתיבי האומה, שהוצגה כאילו הייתה שלם אורגני שיצר הטבע </w:t>
      </w:r>
      <w:bookmarkStart w:id="17138" w:name="_ETM_Q26_189095"/>
      <w:bookmarkEnd w:id="17138"/>
      <w:r>
        <w:rPr>
          <w:rFonts w:hint="cs"/>
          <w:rtl/>
          <w:lang w:eastAsia="he-IL"/>
        </w:rPr>
        <w:t xml:space="preserve">או האל – קבוצת אנשים שלא רצונם מחבר ביניהם, אלא קשר </w:t>
      </w:r>
      <w:bookmarkStart w:id="17139" w:name="_ETM_Q26_196115"/>
      <w:bookmarkEnd w:id="17139"/>
      <w:r>
        <w:rPr>
          <w:rFonts w:hint="cs"/>
          <w:rtl/>
          <w:lang w:eastAsia="he-IL"/>
        </w:rPr>
        <w:t xml:space="preserve">ביולוגי של דם, כביכול, ההופך אותם לאיברים בגוף שלם, שלו </w:t>
      </w:r>
      <w:bookmarkStart w:id="17140" w:name="_ETM_Q26_197603"/>
      <w:bookmarkEnd w:id="17140"/>
      <w:r>
        <w:rPr>
          <w:rFonts w:hint="cs"/>
          <w:rtl/>
          <w:lang w:eastAsia="he-IL"/>
        </w:rPr>
        <w:t>הם חייבים נאמנות עליונה, במקום להכיר בהם כיצורים רציונליים</w:t>
      </w:r>
      <w:bookmarkStart w:id="17141" w:name="_ETM_Q26_207869"/>
      <w:bookmarkEnd w:id="17141"/>
      <w:r>
        <w:rPr>
          <w:rFonts w:hint="cs"/>
          <w:rtl/>
          <w:lang w:eastAsia="he-IL"/>
        </w:rPr>
        <w:t xml:space="preserve"> ומה שמכונה בוחרים חופשיים בזכות עצמם.</w:t>
      </w:r>
      <w:bookmarkStart w:id="17142" w:name="_ETM_Q26_210794"/>
      <w:bookmarkStart w:id="17143" w:name="_ETM_Q26_210887"/>
      <w:bookmarkStart w:id="17144" w:name="_ETM_Q26_210955"/>
      <w:bookmarkStart w:id="17145" w:name="_ETM_Q26_211059"/>
      <w:bookmarkEnd w:id="17142"/>
      <w:bookmarkEnd w:id="17143"/>
      <w:bookmarkEnd w:id="17144"/>
      <w:bookmarkEnd w:id="17145"/>
      <w:r>
        <w:rPr>
          <w:rFonts w:hint="cs"/>
          <w:rtl/>
          <w:lang w:eastAsia="he-IL"/>
        </w:rPr>
        <w:t xml:space="preserve"> לקשר הדם תמיד נלווה גם קשר לחלקת אדמה כלשהי, שבה, על </w:t>
      </w:r>
      <w:bookmarkStart w:id="17146" w:name="_ETM_Q26_219472"/>
      <w:bookmarkEnd w:id="17146"/>
      <w:r>
        <w:rPr>
          <w:rFonts w:hint="cs"/>
          <w:rtl/>
          <w:lang w:eastAsia="he-IL"/>
        </w:rPr>
        <w:t>פי המיתו</w:t>
      </w:r>
      <w:bookmarkStart w:id="17147" w:name="_ETM_Q26_213727"/>
      <w:bookmarkEnd w:id="17147"/>
      <w:r>
        <w:rPr>
          <w:rFonts w:hint="cs"/>
          <w:rtl/>
          <w:lang w:eastAsia="he-IL"/>
        </w:rPr>
        <w:t xml:space="preserve">ס הלאומי, נולד או קנה לו העם אחיזה אי שם בהיסטוריה הרחוקה. אבל מי קובע מהי </w:t>
      </w:r>
      <w:bookmarkStart w:id="17148" w:name="_ETM_Q26_222672"/>
      <w:bookmarkEnd w:id="17148"/>
      <w:r>
        <w:rPr>
          <w:rFonts w:hint="cs"/>
          <w:rtl/>
          <w:lang w:eastAsia="he-IL"/>
        </w:rPr>
        <w:t xml:space="preserve">האומה? מי שייך אליה? מהם תכתיביה? מה רצונה? ומהם גבולות אדמתה? כאן נכנסים המאבק הפוליטי והשליטה המעמדית. אלו </w:t>
      </w:r>
      <w:bookmarkStart w:id="17149" w:name="_ETM_Q26_233619"/>
      <w:bookmarkEnd w:id="17149"/>
      <w:r>
        <w:rPr>
          <w:rFonts w:hint="cs"/>
          <w:rtl/>
          <w:lang w:eastAsia="he-IL"/>
        </w:rPr>
        <w:t xml:space="preserve">הם בעלי השררה והכוח המחוברים בטבורם לשליטה ומשאבי החברה </w:t>
      </w:r>
      <w:bookmarkStart w:id="17150" w:name="_ETM_Q26_244877"/>
      <w:bookmarkEnd w:id="17150"/>
      <w:r>
        <w:rPr>
          <w:rFonts w:hint="cs"/>
          <w:rtl/>
          <w:lang w:eastAsia="he-IL"/>
        </w:rPr>
        <w:t>החומריים, שמכתיבים את הזהות הלאומית ואת החובות הנגזרים ממנה.</w:t>
      </w:r>
    </w:p>
    <w:p w:rsidR="00337201" w:rsidRDefault="00337201" w:rsidP="00337201">
      <w:pPr>
        <w:rPr>
          <w:rtl/>
          <w:lang w:eastAsia="he-IL"/>
        </w:rPr>
      </w:pPr>
      <w:bookmarkStart w:id="17151" w:name="_ETM_Q26_251212"/>
      <w:bookmarkStart w:id="17152" w:name="_ETM_Q26_251328"/>
      <w:bookmarkEnd w:id="17151"/>
      <w:bookmarkEnd w:id="17152"/>
    </w:p>
    <w:p w:rsidR="00337201" w:rsidRDefault="00337201" w:rsidP="00337201">
      <w:pPr>
        <w:rPr>
          <w:rtl/>
          <w:lang w:eastAsia="he-IL"/>
        </w:rPr>
      </w:pPr>
      <w:bookmarkStart w:id="17153" w:name="_ETM_Q26_251352"/>
      <w:bookmarkStart w:id="17154" w:name="_ETM_Q26_251426"/>
      <w:bookmarkEnd w:id="17153"/>
      <w:bookmarkEnd w:id="17154"/>
      <w:r>
        <w:rPr>
          <w:rFonts w:hint="cs"/>
          <w:rtl/>
          <w:lang w:eastAsia="he-IL"/>
        </w:rPr>
        <w:t xml:space="preserve">הריאקציה הלאומנית </w:t>
      </w:r>
      <w:bookmarkStart w:id="17155" w:name="_ETM_Q26_250420"/>
      <w:bookmarkEnd w:id="17155"/>
      <w:r>
        <w:rPr>
          <w:rFonts w:hint="cs"/>
          <w:rtl/>
          <w:lang w:eastAsia="he-IL"/>
        </w:rPr>
        <w:t xml:space="preserve">הזאת אומנם הגיעה לביטויה הקיצוני ביותר בגרמניה, אך הלכה וקנתה </w:t>
      </w:r>
      <w:bookmarkStart w:id="17156" w:name="_ETM_Q26_253431"/>
      <w:bookmarkEnd w:id="17156"/>
      <w:r>
        <w:rPr>
          <w:rFonts w:hint="cs"/>
          <w:rtl/>
          <w:lang w:eastAsia="he-IL"/>
        </w:rPr>
        <w:t xml:space="preserve">לה אחיזה באירופה כולה – ומעבר לכך, כאשר האנטישמיות מהווה חלק </w:t>
      </w:r>
      <w:bookmarkStart w:id="17157" w:name="_ETM_Q26_262923"/>
      <w:bookmarkEnd w:id="17157"/>
      <w:r>
        <w:rPr>
          <w:rFonts w:hint="cs"/>
          <w:rtl/>
          <w:lang w:eastAsia="he-IL"/>
        </w:rPr>
        <w:t xml:space="preserve">יסודי בה. ראיית היהודים כגוף זר המכניס ערכים אוניברסליים זרים </w:t>
      </w:r>
      <w:bookmarkStart w:id="17158" w:name="_ETM_Q26_272712"/>
      <w:bookmarkEnd w:id="17158"/>
      <w:r>
        <w:rPr>
          <w:rFonts w:hint="cs"/>
          <w:rtl/>
          <w:lang w:eastAsia="he-IL"/>
        </w:rPr>
        <w:t xml:space="preserve">– יש איזה מישהו שרואה את עצמו כפילוסוף שהיה מכנה </w:t>
      </w:r>
      <w:bookmarkStart w:id="17159" w:name="_ETM_Q26_271021"/>
      <w:bookmarkEnd w:id="17159"/>
      <w:r>
        <w:rPr>
          <w:rFonts w:hint="cs"/>
          <w:rtl/>
          <w:lang w:eastAsia="he-IL"/>
        </w:rPr>
        <w:t xml:space="preserve">אותם "ניידים". ראיית היהודים כגוף זר, המכניס ערכים אוניברסליים זרים, אותם "ניידים", לאומה ולארצה מזהם את תרבותה </w:t>
      </w:r>
      <w:bookmarkStart w:id="17160" w:name="_ETM_Q26_280804"/>
      <w:bookmarkEnd w:id="17160"/>
      <w:r>
        <w:rPr>
          <w:rFonts w:hint="cs"/>
          <w:rtl/>
          <w:lang w:eastAsia="he-IL"/>
        </w:rPr>
        <w:t>וערכיה האותנטיים. אותו פילוסוף בעיני עצמו היה מכנה אותם</w:t>
      </w:r>
      <w:bookmarkStart w:id="17161" w:name="_ETM_Q26_290825"/>
      <w:bookmarkEnd w:id="17161"/>
      <w:r>
        <w:rPr>
          <w:rFonts w:hint="cs"/>
          <w:rtl/>
          <w:lang w:eastAsia="he-IL"/>
        </w:rPr>
        <w:t xml:space="preserve"> "נייחים". </w:t>
      </w:r>
      <w:bookmarkStart w:id="17162" w:name="_ETM_Q26_295461"/>
      <w:bookmarkStart w:id="17163" w:name="_ETM_Q26_295517"/>
      <w:bookmarkStart w:id="17164" w:name="_ETM_Q26_295594"/>
      <w:bookmarkStart w:id="17165" w:name="_ETM_Q26_295636"/>
      <w:bookmarkEnd w:id="17162"/>
      <w:bookmarkEnd w:id="17163"/>
      <w:bookmarkEnd w:id="17164"/>
      <w:bookmarkEnd w:id="17165"/>
      <w:r>
        <w:rPr>
          <w:rFonts w:hint="cs"/>
          <w:rtl/>
          <w:lang w:eastAsia="he-IL"/>
        </w:rPr>
        <w:t xml:space="preserve"> כך, למשל, מוריס בארס, ממובילי לאומנות הדם והאדמה הצרפתית</w:t>
      </w:r>
      <w:bookmarkStart w:id="17166" w:name="_ETM_Q26_293606"/>
      <w:bookmarkEnd w:id="17166"/>
      <w:r>
        <w:rPr>
          <w:rFonts w:hint="cs"/>
          <w:rtl/>
          <w:lang w:eastAsia="he-IL"/>
        </w:rPr>
        <w:t xml:space="preserve"> של המאה ה-19, התגייס בכל כוחו, בשם אומת הדם הצרפתית, </w:t>
      </w:r>
      <w:bookmarkStart w:id="17167" w:name="_ETM_Q26_299972"/>
      <w:bookmarkEnd w:id="17167"/>
      <w:r>
        <w:rPr>
          <w:rFonts w:hint="cs"/>
          <w:rtl/>
          <w:lang w:eastAsia="he-IL"/>
        </w:rPr>
        <w:t xml:space="preserve">למלחמת חורמה ביהודי "הזר" אלפרד דרייפוס, ובתומכיו הצרפתים הבוגדים. לא </w:t>
      </w:r>
      <w:bookmarkStart w:id="17168" w:name="_ETM_Q26_313542"/>
      <w:bookmarkEnd w:id="17168"/>
      <w:r>
        <w:rPr>
          <w:rFonts w:hint="cs"/>
          <w:rtl/>
          <w:lang w:eastAsia="he-IL"/>
        </w:rPr>
        <w:t xml:space="preserve">במקרה נקרא חיבורו של בארס בשם "האדמה ואבותינו הקבורים בה". </w:t>
      </w:r>
      <w:bookmarkStart w:id="17169" w:name="_ETM_Q26_321399"/>
      <w:bookmarkEnd w:id="17169"/>
    </w:p>
    <w:p w:rsidR="00337201" w:rsidRDefault="00337201" w:rsidP="00337201">
      <w:pPr>
        <w:rPr>
          <w:rtl/>
          <w:lang w:eastAsia="he-IL"/>
        </w:rPr>
      </w:pPr>
      <w:bookmarkStart w:id="17170" w:name="_ETM_Q26_319988"/>
      <w:bookmarkStart w:id="17171" w:name="_ETM_Q26_320060"/>
      <w:bookmarkEnd w:id="17170"/>
      <w:bookmarkEnd w:id="17171"/>
    </w:p>
    <w:p w:rsidR="00337201" w:rsidRDefault="00337201" w:rsidP="00337201">
      <w:pPr>
        <w:rPr>
          <w:rtl/>
          <w:lang w:eastAsia="he-IL"/>
        </w:rPr>
      </w:pPr>
      <w:bookmarkStart w:id="17172" w:name="_ETM_Q26_320133"/>
      <w:bookmarkStart w:id="17173" w:name="_ETM_Q26_320224"/>
      <w:bookmarkEnd w:id="17172"/>
      <w:bookmarkEnd w:id="17173"/>
      <w:r>
        <w:rPr>
          <w:rFonts w:hint="cs"/>
          <w:rtl/>
          <w:lang w:eastAsia="he-IL"/>
        </w:rPr>
        <w:t xml:space="preserve">מדינת ישראל מבוססת בעיקרה על לאומנות של דם ואדמה, </w:t>
      </w:r>
      <w:bookmarkStart w:id="17174" w:name="_ETM_Q26_326667"/>
      <w:bookmarkEnd w:id="17174"/>
      <w:r>
        <w:rPr>
          <w:rFonts w:hint="cs"/>
          <w:rtl/>
          <w:lang w:eastAsia="he-IL"/>
        </w:rPr>
        <w:t xml:space="preserve">שבה זהותו של כל אחד נקבעת על פי מוצאו. </w:t>
      </w:r>
      <w:bookmarkStart w:id="17175" w:name="_ETM_Q26_333202"/>
      <w:bookmarkEnd w:id="17175"/>
      <w:r>
        <w:rPr>
          <w:rFonts w:hint="cs"/>
          <w:rtl/>
          <w:lang w:eastAsia="he-IL"/>
        </w:rPr>
        <w:t xml:space="preserve">לא בכדי כתב הסוציולוג פרופ' ברוך קימרלינג כי בישראל </w:t>
      </w:r>
      <w:bookmarkStart w:id="17176" w:name="_ETM_Q26_334353"/>
      <w:bookmarkEnd w:id="17176"/>
      <w:r>
        <w:rPr>
          <w:rFonts w:hint="cs"/>
          <w:rtl/>
          <w:lang w:eastAsia="he-IL"/>
        </w:rPr>
        <w:t xml:space="preserve">גבולות היהדות הוגדרו פחות או יותר על פי ההגדרה </w:t>
      </w:r>
      <w:bookmarkStart w:id="17177" w:name="_ETM_Q26_340380"/>
      <w:bookmarkEnd w:id="17177"/>
      <w:r>
        <w:rPr>
          <w:rFonts w:hint="cs"/>
          <w:rtl/>
          <w:lang w:eastAsia="he-IL"/>
        </w:rPr>
        <w:t xml:space="preserve">המרחיבה של מיהו יהודי כפי שנקבעה בחוקי נירנברג. כך </w:t>
      </w:r>
      <w:bookmarkStart w:id="17178" w:name="_ETM_Q26_344659"/>
      <w:bookmarkEnd w:id="17178"/>
      <w:r>
        <w:rPr>
          <w:rFonts w:hint="cs"/>
          <w:rtl/>
          <w:lang w:eastAsia="he-IL"/>
        </w:rPr>
        <w:t>אמר פרופ' קימרלינג.</w:t>
      </w:r>
      <w:bookmarkStart w:id="17179" w:name="_ETM_Q26_351747"/>
      <w:bookmarkEnd w:id="17179"/>
      <w:r>
        <w:rPr>
          <w:rFonts w:hint="cs"/>
          <w:rtl/>
          <w:lang w:eastAsia="he-IL"/>
        </w:rPr>
        <w:t xml:space="preserve"> </w:t>
      </w:r>
      <w:bookmarkStart w:id="17180" w:name="_ETM_Q26_351861"/>
      <w:bookmarkStart w:id="17181" w:name="_ETM_Q26_351923"/>
      <w:bookmarkStart w:id="17182" w:name="_ETM_Q26_352008"/>
      <w:bookmarkEnd w:id="17180"/>
      <w:bookmarkEnd w:id="17181"/>
      <w:bookmarkEnd w:id="17182"/>
      <w:r>
        <w:rPr>
          <w:rFonts w:hint="cs"/>
          <w:rtl/>
          <w:lang w:eastAsia="he-IL"/>
        </w:rPr>
        <w:t xml:space="preserve">כך גם מוצגים קשריו של כל אחד לאדמת </w:t>
      </w:r>
      <w:bookmarkStart w:id="17183" w:name="_ETM_Q26_355242"/>
      <w:bookmarkEnd w:id="17183"/>
      <w:r>
        <w:rPr>
          <w:rFonts w:hint="cs"/>
          <w:rtl/>
          <w:lang w:eastAsia="he-IL"/>
        </w:rPr>
        <w:t xml:space="preserve">הארץ: היהודים, שקשרי דם ביניהם, הם בעלי הארץ ואדוניה. </w:t>
      </w:r>
      <w:bookmarkStart w:id="17184" w:name="_ETM_Q26_360509"/>
      <w:bookmarkEnd w:id="17184"/>
      <w:r>
        <w:rPr>
          <w:rFonts w:hint="cs"/>
          <w:rtl/>
          <w:lang w:eastAsia="he-IL"/>
        </w:rPr>
        <w:t xml:space="preserve">הפלסטינים – זרים, ויש המוסיפים: אורחים. זהו עיקרון מוביל במדינה, </w:t>
      </w:r>
      <w:bookmarkStart w:id="17185" w:name="_ETM_Q26_362540"/>
      <w:bookmarkEnd w:id="17185"/>
      <w:r>
        <w:rPr>
          <w:rFonts w:hint="cs"/>
          <w:rtl/>
          <w:lang w:eastAsia="he-IL"/>
        </w:rPr>
        <w:t xml:space="preserve">מאז היווסדה – עיקרון שהלך והקצין עם הכיבוש </w:t>
      </w:r>
      <w:bookmarkStart w:id="17186" w:name="_ETM_Q26_371886"/>
      <w:bookmarkEnd w:id="17186"/>
      <w:r>
        <w:rPr>
          <w:rFonts w:hint="cs"/>
          <w:rtl/>
          <w:lang w:eastAsia="he-IL"/>
        </w:rPr>
        <w:t>של 1967 והתחזקות הקנאות המשיחית בעקבותיו.</w:t>
      </w:r>
      <w:bookmarkStart w:id="17187" w:name="_ETM_Q26_378765"/>
      <w:bookmarkEnd w:id="17187"/>
    </w:p>
    <w:p w:rsidR="00337201" w:rsidRDefault="00337201" w:rsidP="00337201">
      <w:pPr>
        <w:rPr>
          <w:rtl/>
          <w:lang w:eastAsia="he-IL"/>
        </w:rPr>
      </w:pPr>
      <w:bookmarkStart w:id="17188" w:name="_ETM_Q26_378886"/>
      <w:bookmarkEnd w:id="17188"/>
    </w:p>
    <w:p w:rsidR="00337201" w:rsidRDefault="00337201" w:rsidP="00337201">
      <w:pPr>
        <w:rPr>
          <w:rtl/>
          <w:lang w:eastAsia="he-IL"/>
        </w:rPr>
      </w:pPr>
      <w:bookmarkStart w:id="17189" w:name="_ETM_Q26_378942"/>
      <w:bookmarkStart w:id="17190" w:name="_ETM_Q26_378996"/>
      <w:bookmarkEnd w:id="17189"/>
      <w:bookmarkEnd w:id="17190"/>
      <w:r>
        <w:rPr>
          <w:rFonts w:hint="cs"/>
          <w:rtl/>
          <w:lang w:eastAsia="he-IL"/>
        </w:rPr>
        <w:t xml:space="preserve">אז מה השתנה עכשיו, </w:t>
      </w:r>
      <w:bookmarkStart w:id="17191" w:name="_ETM_Q26_381233"/>
      <w:bookmarkEnd w:id="17191"/>
      <w:r>
        <w:rPr>
          <w:rFonts w:hint="cs"/>
          <w:rtl/>
          <w:lang w:eastAsia="he-IL"/>
        </w:rPr>
        <w:t xml:space="preserve">עם ההפיכה המשטרית בכלל ועם ביטול עילת הסבירות בפרט? מעבר </w:t>
      </w:r>
      <w:bookmarkStart w:id="17192" w:name="_ETM_Q26_382781"/>
      <w:bookmarkEnd w:id="17192"/>
      <w:r>
        <w:rPr>
          <w:rFonts w:hint="cs"/>
          <w:rtl/>
          <w:lang w:eastAsia="he-IL"/>
        </w:rPr>
        <w:t xml:space="preserve">לעתיד נורא של מינויים מופרעים, שחיתות עמוקה, עוני ופערים חברתיים </w:t>
      </w:r>
      <w:bookmarkStart w:id="17193" w:name="_ETM_Q26_388397"/>
      <w:bookmarkEnd w:id="17193"/>
      <w:r>
        <w:rPr>
          <w:rFonts w:hint="cs"/>
          <w:rtl/>
          <w:lang w:eastAsia="he-IL"/>
        </w:rPr>
        <w:t xml:space="preserve">מעמיקים ואלימות משתוללת בכול, צפויים לנו שני תהליכים חמורים במיוחד, </w:t>
      </w:r>
      <w:bookmarkStart w:id="17194" w:name="_ETM_Q26_400194"/>
      <w:bookmarkEnd w:id="17194"/>
      <w:r>
        <w:rPr>
          <w:rFonts w:hint="cs"/>
          <w:rtl/>
          <w:lang w:eastAsia="he-IL"/>
        </w:rPr>
        <w:t>כפי שהזהיר רון בן ישי עוד בפברואר, וכך הוא כתב:</w:t>
      </w:r>
      <w:bookmarkStart w:id="17195" w:name="_ETM_Q26_403893"/>
      <w:bookmarkEnd w:id="17195"/>
      <w:r>
        <w:rPr>
          <w:rFonts w:hint="cs"/>
          <w:rtl/>
          <w:lang w:eastAsia="he-IL"/>
        </w:rPr>
        <w:t xml:space="preserve"> </w:t>
      </w:r>
      <w:r>
        <w:rPr>
          <w:rFonts w:hint="cs"/>
          <w:rtl/>
        </w:rPr>
        <w:t xml:space="preserve">"ההפיכה המשפטית, מלבד המטרות המוצהרות שלה, נועדה באופן סמוי להניח מצע חוקי שישרת שני תהליכים פוליטיים שעלולים לשנות את פניה של מדינת ישראל ואת אורחות חיינו באופן בלתי הפיך. תהליך אחד נועד לספח באופן גורף את כל השטח שבין הירדן לים מבלי לתת אזרחות לפלסטינים ביהודה ושומרון. </w:t>
      </w:r>
      <w:bookmarkStart w:id="17196" w:name="_ETM_Q26_436967"/>
      <w:bookmarkEnd w:id="17196"/>
      <w:r>
        <w:rPr>
          <w:rFonts w:hint="cs"/>
          <w:rtl/>
        </w:rPr>
        <w:t>המתווה המפורט של התהליך נמצא ב'תוכנית ההכרעה'</w:t>
      </w:r>
      <w:r>
        <w:rPr>
          <w:rFonts w:hint="cs"/>
          <w:rtl/>
          <w:lang w:eastAsia="he-IL"/>
        </w:rPr>
        <w:t xml:space="preserve">", מה שנקרא, "מסמך שנוסח </w:t>
      </w:r>
      <w:bookmarkStart w:id="17197" w:name="_ETM_Q26_440137"/>
      <w:bookmarkEnd w:id="17197"/>
      <w:r>
        <w:rPr>
          <w:rFonts w:hint="cs"/>
          <w:rtl/>
          <w:lang w:eastAsia="he-IL"/>
        </w:rPr>
        <w:t xml:space="preserve">לפני חמש שנים, בבהירות ובהיגיון מפחידים, על ידי הח"כ דאז </w:t>
      </w:r>
      <w:bookmarkStart w:id="17198" w:name="_ETM_Q26_445757"/>
      <w:bookmarkEnd w:id="17198"/>
      <w:r>
        <w:rPr>
          <w:rFonts w:hint="cs"/>
          <w:rtl/>
          <w:lang w:eastAsia="he-IL"/>
        </w:rPr>
        <w:t xml:space="preserve">והשר כיום בצלאל סמוטריץ'". </w:t>
      </w:r>
      <w:bookmarkStart w:id="17199" w:name="_ETM_Q26_451915"/>
      <w:bookmarkStart w:id="17200" w:name="_ETM_Q26_452050"/>
      <w:bookmarkStart w:id="17201" w:name="_ETM_Q26_452087"/>
      <w:bookmarkStart w:id="17202" w:name="_ETM_Q26_452170"/>
      <w:bookmarkEnd w:id="17199"/>
      <w:bookmarkEnd w:id="17200"/>
      <w:bookmarkEnd w:id="17201"/>
      <w:bookmarkEnd w:id="17202"/>
      <w:r>
        <w:rPr>
          <w:rFonts w:hint="cs"/>
          <w:rtl/>
          <w:lang w:eastAsia="he-IL"/>
        </w:rPr>
        <w:t xml:space="preserve">התהליך השני שעליו מצביע בן </w:t>
      </w:r>
      <w:bookmarkStart w:id="17203" w:name="_ETM_Q26_450820"/>
      <w:bookmarkEnd w:id="17203"/>
      <w:r>
        <w:rPr>
          <w:rFonts w:hint="cs"/>
          <w:rtl/>
          <w:lang w:eastAsia="he-IL"/>
        </w:rPr>
        <w:t xml:space="preserve">ישי הוא הפיכת ישראל למדינת הלכה, כאשר, לדבריו, "שני </w:t>
      </w:r>
      <w:bookmarkStart w:id="17204" w:name="_ETM_Q26_461492"/>
      <w:bookmarkEnd w:id="17204"/>
      <w:r>
        <w:rPr>
          <w:rFonts w:hint="cs"/>
          <w:rtl/>
          <w:lang w:eastAsia="he-IL"/>
        </w:rPr>
        <w:t>התהליכים, למעשה, הופכים את ישראל למדינת אפרטהייד".</w:t>
      </w:r>
    </w:p>
    <w:p w:rsidR="00337201" w:rsidRDefault="00337201" w:rsidP="00337201">
      <w:pPr>
        <w:rPr>
          <w:rtl/>
          <w:lang w:eastAsia="he-IL"/>
        </w:rPr>
      </w:pPr>
      <w:bookmarkStart w:id="17205" w:name="_ETM_Q26_95073"/>
      <w:bookmarkEnd w:id="17205"/>
    </w:p>
    <w:p w:rsidR="00337201" w:rsidRDefault="00337201" w:rsidP="00337201">
      <w:pPr>
        <w:rPr>
          <w:rtl/>
          <w:lang w:eastAsia="he-IL"/>
        </w:rPr>
      </w:pPr>
      <w:bookmarkStart w:id="17206" w:name="_ETM_Q26_95172"/>
      <w:bookmarkStart w:id="17207" w:name="_ETM_Q26_95280"/>
      <w:bookmarkEnd w:id="17206"/>
      <w:bookmarkEnd w:id="17207"/>
      <w:r>
        <w:rPr>
          <w:rFonts w:hint="cs"/>
          <w:rtl/>
          <w:lang w:eastAsia="he-IL"/>
        </w:rPr>
        <w:t xml:space="preserve">ביטול </w:t>
      </w:r>
      <w:bookmarkStart w:id="17208" w:name="_ETM_Q26_466209"/>
      <w:bookmarkEnd w:id="17208"/>
      <w:r>
        <w:rPr>
          <w:rFonts w:hint="cs"/>
          <w:rtl/>
          <w:lang w:eastAsia="he-IL"/>
        </w:rPr>
        <w:t xml:space="preserve">עילת הסבירות הוא חלק מהפיכה משטרית דיקטטורית כוללת – הסלט </w:t>
      </w:r>
      <w:bookmarkStart w:id="17209" w:name="_ETM_Q26_470628"/>
      <w:bookmarkEnd w:id="17209"/>
      <w:r>
        <w:rPr>
          <w:rFonts w:hint="cs"/>
          <w:rtl/>
          <w:lang w:eastAsia="he-IL"/>
        </w:rPr>
        <w:t xml:space="preserve">שפותח את התיאבון – אבל גם כשמתמקדים רק בה, במנותק </w:t>
      </w:r>
      <w:bookmarkStart w:id="17210" w:name="_ETM_Q26_477102"/>
      <w:bookmarkEnd w:id="17210"/>
      <w:r>
        <w:rPr>
          <w:rFonts w:hint="cs"/>
          <w:rtl/>
          <w:lang w:eastAsia="he-IL"/>
        </w:rPr>
        <w:t>מהמכלול המפלצתי, היא כשלעצמה כ</w:t>
      </w:r>
      <w:bookmarkStart w:id="17211" w:name="_ETM_Q26_483290"/>
      <w:bookmarkEnd w:id="17211"/>
      <w:r>
        <w:rPr>
          <w:rFonts w:hint="cs"/>
          <w:rtl/>
          <w:lang w:eastAsia="he-IL"/>
        </w:rPr>
        <w:t>בר הופכת את לאומנות הדם והאדמה לא לעיקרון מוביל כפי שהיה עד כה, אלא</w:t>
      </w:r>
      <w:bookmarkStart w:id="17212" w:name="_ETM_Q26_490312"/>
      <w:bookmarkEnd w:id="17212"/>
      <w:r>
        <w:rPr>
          <w:rFonts w:hint="cs"/>
          <w:rtl/>
          <w:lang w:eastAsia="he-IL"/>
        </w:rPr>
        <w:t xml:space="preserve"> לעיקרון חוקתי יחיד ומחייב, שכל ערעור עליו כרוך ברדיפה וענישה</w:t>
      </w:r>
      <w:bookmarkStart w:id="17213" w:name="_ETM_Q26_498194"/>
      <w:bookmarkEnd w:id="17213"/>
      <w:r>
        <w:rPr>
          <w:rFonts w:hint="cs"/>
          <w:rtl/>
          <w:lang w:eastAsia="he-IL"/>
        </w:rPr>
        <w:t xml:space="preserve">. במילים אחרות, אם עד כה עוד היו פה ושם </w:t>
      </w:r>
      <w:bookmarkStart w:id="17214" w:name="_ETM_Q26_500564"/>
      <w:bookmarkEnd w:id="17214"/>
      <w:r>
        <w:rPr>
          <w:rFonts w:hint="cs"/>
          <w:rtl/>
          <w:lang w:eastAsia="he-IL"/>
        </w:rPr>
        <w:t xml:space="preserve">בלמים וריסונים לעיקרון זה כחלק מהמשחק בדמוקרטיה, הרי </w:t>
      </w:r>
      <w:bookmarkStart w:id="17215" w:name="_ETM_Q26_505885"/>
      <w:bookmarkEnd w:id="17215"/>
      <w:r>
        <w:rPr>
          <w:rFonts w:hint="cs"/>
          <w:rtl/>
          <w:lang w:eastAsia="he-IL"/>
        </w:rPr>
        <w:t>שעתה גם אלו יחוסלו ויוסרו לחלוטין.</w:t>
      </w:r>
    </w:p>
    <w:p w:rsidR="00337201" w:rsidRDefault="00337201" w:rsidP="00337201">
      <w:pPr>
        <w:rPr>
          <w:rtl/>
          <w:lang w:eastAsia="he-IL"/>
        </w:rPr>
      </w:pPr>
      <w:bookmarkStart w:id="17216" w:name="_ETM_Q26_515805"/>
      <w:bookmarkStart w:id="17217" w:name="_ETM_Q26_515908"/>
      <w:bookmarkEnd w:id="17216"/>
      <w:bookmarkEnd w:id="17217"/>
    </w:p>
    <w:p w:rsidR="00337201" w:rsidRDefault="00337201" w:rsidP="00337201">
      <w:pPr>
        <w:rPr>
          <w:rtl/>
          <w:lang w:eastAsia="he-IL"/>
        </w:rPr>
      </w:pPr>
      <w:r>
        <w:rPr>
          <w:rFonts w:hint="cs"/>
          <w:rtl/>
          <w:lang w:eastAsia="he-IL"/>
        </w:rPr>
        <w:t xml:space="preserve">כך צריך להבין את כל </w:t>
      </w:r>
      <w:bookmarkStart w:id="17218" w:name="_ETM_Q26_512247"/>
      <w:bookmarkEnd w:id="17218"/>
      <w:r>
        <w:rPr>
          <w:rFonts w:hint="cs"/>
          <w:rtl/>
          <w:lang w:eastAsia="he-IL"/>
        </w:rPr>
        <w:t xml:space="preserve">הצעות החוק, ההחלטות והרעיונות המופרעים שעלו כאן בשבועות האחרונים: הקשחת חוק ועדות הקבלה; חוק רדיפת סטודנטים וסתימת פיות בקמפוסים; </w:t>
      </w:r>
      <w:bookmarkStart w:id="17219" w:name="_ETM_Q26_528558"/>
      <w:bookmarkEnd w:id="17219"/>
      <w:r>
        <w:rPr>
          <w:rFonts w:hint="cs"/>
          <w:rtl/>
          <w:lang w:eastAsia="he-IL"/>
        </w:rPr>
        <w:t xml:space="preserve">ביטול חוק ההתנתקות; חוק לביטול דה פקטו של התקשורת החופשית; </w:t>
      </w:r>
      <w:bookmarkStart w:id="17220" w:name="_ETM_Q26_533522"/>
      <w:bookmarkEnd w:id="17220"/>
      <w:r>
        <w:rPr>
          <w:rFonts w:hint="cs"/>
          <w:rtl/>
          <w:lang w:eastAsia="he-IL"/>
        </w:rPr>
        <w:t xml:space="preserve">חוק איסור הנפת הדגל הפלסטיני; חוק ביטול הרשות למעמד </w:t>
      </w:r>
      <w:bookmarkStart w:id="17221" w:name="_ETM_Q26_535707"/>
      <w:bookmarkEnd w:id="17221"/>
      <w:r>
        <w:rPr>
          <w:rFonts w:hint="cs"/>
          <w:rtl/>
          <w:lang w:eastAsia="he-IL"/>
        </w:rPr>
        <w:t xml:space="preserve">האישה; חוק להסמכת בתי דין רבניים לדיון במזונות ילדים; השתקת </w:t>
      </w:r>
      <w:bookmarkStart w:id="17222" w:name="_ETM_Q26_539215"/>
      <w:bookmarkEnd w:id="17222"/>
      <w:r>
        <w:rPr>
          <w:rFonts w:hint="cs"/>
          <w:rtl/>
          <w:lang w:eastAsia="he-IL"/>
        </w:rPr>
        <w:t>ארגוני חברה אזרחיים, כמו פורום משפחות שכולות ועוד</w:t>
      </w:r>
      <w:bookmarkStart w:id="17223" w:name="_ETM_Q26_548371"/>
      <w:bookmarkEnd w:id="17223"/>
      <w:r>
        <w:rPr>
          <w:rFonts w:hint="cs"/>
          <w:rtl/>
          <w:lang w:eastAsia="he-IL"/>
        </w:rPr>
        <w:t xml:space="preserve"> ועוד.</w:t>
      </w:r>
      <w:bookmarkStart w:id="17224" w:name="_ETM_Q26_549763"/>
      <w:bookmarkStart w:id="17225" w:name="_ETM_Q26_549870"/>
      <w:bookmarkStart w:id="17226" w:name="_ETM_Q26_549890"/>
      <w:bookmarkStart w:id="17227" w:name="_ETM_Q26_549976"/>
      <w:bookmarkEnd w:id="17224"/>
      <w:bookmarkEnd w:id="17225"/>
      <w:bookmarkEnd w:id="17226"/>
      <w:bookmarkEnd w:id="17227"/>
      <w:r>
        <w:rPr>
          <w:rFonts w:hint="cs"/>
          <w:rtl/>
          <w:lang w:eastAsia="he-IL"/>
        </w:rPr>
        <w:t xml:space="preserve"> כבר עכשיו כל קריאת תיגר על משטר הכיבוש והעליונות היהודית </w:t>
      </w:r>
      <w:bookmarkStart w:id="17228" w:name="_ETM_Q26_554773"/>
      <w:bookmarkEnd w:id="17228"/>
      <w:r>
        <w:rPr>
          <w:rFonts w:hint="cs"/>
          <w:rtl/>
          <w:lang w:eastAsia="he-IL"/>
        </w:rPr>
        <w:t xml:space="preserve">הגזעני מוצגת בשיח הפרלמנטרי והציבורי כבגידה וכאנטישמיות, כאשר אלו </w:t>
      </w:r>
      <w:bookmarkStart w:id="17229" w:name="_ETM_Q26_560812"/>
      <w:bookmarkEnd w:id="17229"/>
      <w:r>
        <w:rPr>
          <w:rFonts w:hint="cs"/>
          <w:rtl/>
          <w:lang w:eastAsia="he-IL"/>
        </w:rPr>
        <w:t>המרימים קולם נגד העוולות האל</w:t>
      </w:r>
      <w:bookmarkStart w:id="17230" w:name="_ETM_Q26_567451"/>
      <w:bookmarkStart w:id="17231" w:name="_ETM_Q26_567562"/>
      <w:bookmarkEnd w:id="17230"/>
      <w:bookmarkEnd w:id="17231"/>
      <w:r>
        <w:rPr>
          <w:rFonts w:hint="cs"/>
          <w:rtl/>
          <w:lang w:eastAsia="he-IL"/>
        </w:rPr>
        <w:t xml:space="preserve">ה, יהודים כערבים </w:t>
      </w:r>
      <w:bookmarkStart w:id="17232" w:name="_ETM_Q26_569151"/>
      <w:bookmarkEnd w:id="17232"/>
      <w:r>
        <w:rPr>
          <w:rFonts w:hint="cs"/>
          <w:rtl/>
          <w:lang w:eastAsia="he-IL"/>
        </w:rPr>
        <w:t xml:space="preserve">ואחרים, מוקעים כגיס חמישי, תומכי טרור ושונאי ישראל, גם </w:t>
      </w:r>
      <w:bookmarkStart w:id="17233" w:name="_ETM_Q26_576225"/>
      <w:bookmarkEnd w:id="17233"/>
      <w:r>
        <w:rPr>
          <w:rFonts w:hint="cs"/>
          <w:rtl/>
          <w:lang w:eastAsia="he-IL"/>
        </w:rPr>
        <w:t>בבית הזה.</w:t>
      </w:r>
    </w:p>
    <w:p w:rsidR="00337201" w:rsidRDefault="00337201" w:rsidP="00337201">
      <w:pPr>
        <w:rPr>
          <w:rtl/>
          <w:lang w:eastAsia="he-IL"/>
        </w:rPr>
      </w:pPr>
      <w:bookmarkStart w:id="17234" w:name="_ETM_Q26_572227"/>
      <w:bookmarkStart w:id="17235" w:name="_ETM_Q26_572328"/>
      <w:bookmarkEnd w:id="17234"/>
      <w:bookmarkEnd w:id="17235"/>
    </w:p>
    <w:p w:rsidR="00337201" w:rsidRDefault="00337201" w:rsidP="00337201">
      <w:pPr>
        <w:rPr>
          <w:rtl/>
          <w:lang w:eastAsia="he-IL"/>
        </w:rPr>
      </w:pPr>
      <w:bookmarkStart w:id="17236" w:name="_ETM_Q26_572345"/>
      <w:bookmarkStart w:id="17237" w:name="_ETM_Q26_572446"/>
      <w:bookmarkEnd w:id="17236"/>
      <w:bookmarkEnd w:id="17237"/>
      <w:r>
        <w:rPr>
          <w:rFonts w:hint="cs"/>
          <w:rtl/>
          <w:lang w:eastAsia="he-IL"/>
        </w:rPr>
        <w:t xml:space="preserve">ביטול עילת הסבירות, ובעקבותיו המשך חקיקת ההפיכה המשטרית, </w:t>
      </w:r>
      <w:bookmarkStart w:id="17238" w:name="_ETM_Q26_579954"/>
      <w:bookmarkEnd w:id="17238"/>
      <w:r>
        <w:rPr>
          <w:rFonts w:hint="cs"/>
          <w:rtl/>
          <w:lang w:eastAsia="he-IL"/>
        </w:rPr>
        <w:t xml:space="preserve">באים למעשה לעגן בחוק – שאליו נלוות סנקציות פליליות או </w:t>
      </w:r>
      <w:bookmarkStart w:id="17239" w:name="_ETM_Q26_584404"/>
      <w:bookmarkEnd w:id="17239"/>
      <w:r>
        <w:rPr>
          <w:rFonts w:hint="cs"/>
          <w:rtl/>
          <w:lang w:eastAsia="he-IL"/>
        </w:rPr>
        <w:t xml:space="preserve">אזרחיות – איסור לבקר את המשטר ואת שלטון הימין הפשיסטי, ולהציג </w:t>
      </w:r>
      <w:bookmarkStart w:id="17240" w:name="_ETM_Q26_590648"/>
      <w:bookmarkEnd w:id="17240"/>
      <w:r>
        <w:rPr>
          <w:rFonts w:hint="cs"/>
          <w:rtl/>
          <w:lang w:eastAsia="he-IL"/>
        </w:rPr>
        <w:t xml:space="preserve">לו אלטרנטיבה כוללת. במילים אחרות, החקיקה הבאה עלינו לרעה לא </w:t>
      </w:r>
      <w:bookmarkStart w:id="17241" w:name="_ETM_Q26_595896"/>
      <w:bookmarkEnd w:id="17241"/>
      <w:r>
        <w:rPr>
          <w:rFonts w:hint="cs"/>
          <w:rtl/>
          <w:lang w:eastAsia="he-IL"/>
        </w:rPr>
        <w:t xml:space="preserve">באה רק כדי למסד את משטר האפרטהייד והעליונות הגזעית, אלא </w:t>
      </w:r>
      <w:bookmarkStart w:id="17242" w:name="_ETM_Q26_605620"/>
      <w:bookmarkEnd w:id="17242"/>
      <w:r>
        <w:rPr>
          <w:rFonts w:hint="cs"/>
          <w:rtl/>
          <w:lang w:eastAsia="he-IL"/>
        </w:rPr>
        <w:t xml:space="preserve">גם לעשות דה-לגיטימציה מוחלטת ולמנוע בכוח מחלוקת, ערעור </w:t>
      </w:r>
      <w:bookmarkStart w:id="17243" w:name="_ETM_Q26_608561"/>
      <w:bookmarkEnd w:id="17243"/>
      <w:r>
        <w:rPr>
          <w:rFonts w:hint="cs"/>
          <w:rtl/>
          <w:lang w:eastAsia="he-IL"/>
        </w:rPr>
        <w:t>ואף הרהור על חזון העוועים הכהנו-ביביסטי</w:t>
      </w:r>
      <w:bookmarkStart w:id="17244" w:name="_ETM_Q26_616631"/>
      <w:bookmarkEnd w:id="17244"/>
      <w:r>
        <w:rPr>
          <w:rFonts w:hint="cs"/>
          <w:rtl/>
          <w:lang w:eastAsia="he-IL"/>
        </w:rPr>
        <w:t xml:space="preserve"> הזה.</w:t>
      </w:r>
    </w:p>
    <w:p w:rsidR="00337201" w:rsidRDefault="00337201" w:rsidP="00337201">
      <w:pPr>
        <w:rPr>
          <w:rtl/>
          <w:lang w:eastAsia="he-IL"/>
        </w:rPr>
      </w:pPr>
      <w:bookmarkStart w:id="17245" w:name="_ETM_Q26_620719"/>
      <w:bookmarkStart w:id="17246" w:name="_ETM_Q26_620820"/>
      <w:bookmarkEnd w:id="17245"/>
      <w:bookmarkEnd w:id="17246"/>
    </w:p>
    <w:p w:rsidR="00337201" w:rsidRDefault="00337201" w:rsidP="00337201">
      <w:pPr>
        <w:rPr>
          <w:rtl/>
          <w:lang w:eastAsia="he-IL"/>
        </w:rPr>
      </w:pPr>
      <w:bookmarkStart w:id="17247" w:name="_ETM_Q26_620910"/>
      <w:bookmarkStart w:id="17248" w:name="_ETM_Q26_621009"/>
      <w:bookmarkEnd w:id="17247"/>
      <w:bookmarkEnd w:id="17248"/>
      <w:r>
        <w:rPr>
          <w:rFonts w:hint="cs"/>
          <w:rtl/>
          <w:lang w:eastAsia="he-IL"/>
        </w:rPr>
        <w:t>ביטול עילת הסבירות וכלל ההפיכה יאפשרו לחונטת</w:t>
      </w:r>
      <w:bookmarkStart w:id="17249" w:name="_ETM_Q26_619624"/>
      <w:bookmarkEnd w:id="17249"/>
      <w:r>
        <w:rPr>
          <w:rFonts w:hint="cs"/>
          <w:rtl/>
          <w:lang w:eastAsia="he-IL"/>
        </w:rPr>
        <w:t xml:space="preserve"> נתניהו-</w:t>
      </w:r>
      <w:r>
        <w:rPr>
          <w:rFonts w:hint="cs"/>
          <w:rtl/>
          <w:lang w:eastAsia="he-IL"/>
        </w:rPr>
        <w:softHyphen/>
        <w:t xml:space="preserve">סמוטריץ'-בן גביר לקבוע, באופן חד-צדדי ומוחלט, </w:t>
      </w:r>
      <w:bookmarkStart w:id="17250" w:name="_ETM_Q26_625919"/>
      <w:bookmarkEnd w:id="17250"/>
      <w:r>
        <w:rPr>
          <w:rFonts w:hint="cs"/>
          <w:rtl/>
          <w:lang w:eastAsia="he-IL"/>
        </w:rPr>
        <w:t xml:space="preserve">מה הפשר להיות יהודי, ומה הן החובות והזכויות הנגזרות </w:t>
      </w:r>
      <w:bookmarkStart w:id="17251" w:name="_ETM_Q26_633808"/>
      <w:bookmarkEnd w:id="17251"/>
      <w:r>
        <w:rPr>
          <w:rFonts w:hint="cs"/>
          <w:rtl/>
          <w:lang w:eastAsia="he-IL"/>
        </w:rPr>
        <w:t>מכך בעבור בני הגזע הנבחר – העם הקדוש, בלשון אות</w:t>
      </w:r>
      <w:bookmarkStart w:id="17252" w:name="_ETM_Q26_633578"/>
      <w:bookmarkEnd w:id="17252"/>
      <w:r>
        <w:rPr>
          <w:rFonts w:hint="cs"/>
          <w:rtl/>
          <w:lang w:eastAsia="he-IL"/>
        </w:rPr>
        <w:t xml:space="preserve">ו חבר כנסת חובב ביולוגיה שהזכרתי בתחילת דבריי – </w:t>
      </w:r>
      <w:bookmarkStart w:id="17253" w:name="_ETM_Q26_639684"/>
      <w:bookmarkEnd w:id="17253"/>
      <w:r>
        <w:rPr>
          <w:rFonts w:hint="cs"/>
          <w:rtl/>
          <w:lang w:eastAsia="he-IL"/>
        </w:rPr>
        <w:t xml:space="preserve">זה מחד גיסא, ובעבור אלו שאיתרע מזלם ואינם חלק מאותו גזע </w:t>
      </w:r>
      <w:bookmarkStart w:id="17254" w:name="_ETM_Q26_648385"/>
      <w:bookmarkEnd w:id="17254"/>
      <w:r>
        <w:rPr>
          <w:rFonts w:hint="cs"/>
          <w:rtl/>
          <w:lang w:eastAsia="he-IL"/>
        </w:rPr>
        <w:t>נבחר, מאידך גיסא. הדברים האלו כתובים במפורש ובבהירות בתוכנית ההכרעה –</w:t>
      </w:r>
      <w:bookmarkStart w:id="17255" w:name="_ETM_Q26_657090"/>
      <w:bookmarkEnd w:id="17255"/>
      <w:r>
        <w:rPr>
          <w:rFonts w:hint="cs"/>
          <w:rtl/>
          <w:lang w:eastAsia="he-IL"/>
        </w:rPr>
        <w:t xml:space="preserve"> מה שאני מכנה תוכנית הפתרון הסופי של שאלת הפלסטינים – של </w:t>
      </w:r>
      <w:bookmarkStart w:id="17256" w:name="_ETM_Q26_661037"/>
      <w:bookmarkEnd w:id="17256"/>
      <w:r>
        <w:rPr>
          <w:rFonts w:hint="cs"/>
          <w:rtl/>
          <w:lang w:eastAsia="he-IL"/>
        </w:rPr>
        <w:t>סמוטריץ'.</w:t>
      </w:r>
      <w:bookmarkStart w:id="17257" w:name="_ETM_Q26_663789"/>
      <w:bookmarkStart w:id="17258" w:name="_ETM_Q26_663871"/>
      <w:bookmarkStart w:id="17259" w:name="_ETM_Q26_663933"/>
      <w:bookmarkStart w:id="17260" w:name="_ETM_Q26_664019"/>
      <w:bookmarkEnd w:id="17257"/>
      <w:bookmarkEnd w:id="17258"/>
      <w:bookmarkEnd w:id="17259"/>
      <w:bookmarkEnd w:id="17260"/>
      <w:r>
        <w:rPr>
          <w:rFonts w:hint="cs"/>
          <w:rtl/>
          <w:lang w:eastAsia="he-IL"/>
        </w:rPr>
        <w:t xml:space="preserve"> עם חקיקת ההפיכה, תהפוך לאומנות הדם והאדמה לקרדום ב</w:t>
      </w:r>
      <w:bookmarkStart w:id="17261" w:name="_ETM_Q26_663673"/>
      <w:bookmarkEnd w:id="17261"/>
      <w:r>
        <w:rPr>
          <w:rFonts w:hint="cs"/>
          <w:rtl/>
          <w:lang w:eastAsia="he-IL"/>
        </w:rPr>
        <w:t>ידי הפשיסטים לחפור בו את קברנו כיחידים וכחברה.</w:t>
      </w:r>
    </w:p>
    <w:p w:rsidR="00337201" w:rsidRDefault="00337201" w:rsidP="00337201">
      <w:pPr>
        <w:rPr>
          <w:rtl/>
          <w:lang w:eastAsia="he-IL"/>
        </w:rPr>
      </w:pPr>
      <w:bookmarkStart w:id="17262" w:name="_ETM_Q26_675064"/>
      <w:bookmarkStart w:id="17263" w:name="_ETM_Q26_675168"/>
      <w:bookmarkEnd w:id="17262"/>
      <w:bookmarkEnd w:id="17263"/>
    </w:p>
    <w:p w:rsidR="00337201" w:rsidRDefault="00337201" w:rsidP="00337201">
      <w:pPr>
        <w:rPr>
          <w:rtl/>
          <w:lang w:eastAsia="he-IL"/>
        </w:rPr>
      </w:pPr>
      <w:bookmarkStart w:id="17264" w:name="_ETM_Q26_675209"/>
      <w:bookmarkEnd w:id="17264"/>
      <w:r>
        <w:rPr>
          <w:rFonts w:hint="cs"/>
          <w:rtl/>
          <w:lang w:eastAsia="he-IL"/>
        </w:rPr>
        <w:t>ב</w:t>
      </w:r>
      <w:bookmarkStart w:id="17265" w:name="_ETM_Q26_675327"/>
      <w:bookmarkEnd w:id="17265"/>
      <w:r>
        <w:rPr>
          <w:rFonts w:hint="cs"/>
          <w:rtl/>
          <w:lang w:eastAsia="he-IL"/>
        </w:rPr>
        <w:t xml:space="preserve">עידן של </w:t>
      </w:r>
      <w:bookmarkStart w:id="17266" w:name="_ETM_Q26_676136"/>
      <w:bookmarkEnd w:id="17266"/>
      <w:r>
        <w:rPr>
          <w:rFonts w:hint="cs"/>
          <w:rtl/>
          <w:lang w:eastAsia="he-IL"/>
        </w:rPr>
        <w:t xml:space="preserve">מחלוקת אדירה, יש עובדה אחת שעליה כולנו בבית </w:t>
      </w:r>
      <w:bookmarkStart w:id="17267" w:name="_ETM_Q26_677064"/>
      <w:bookmarkEnd w:id="17267"/>
      <w:r>
        <w:rPr>
          <w:rFonts w:hint="cs"/>
          <w:rtl/>
          <w:lang w:eastAsia="he-IL"/>
        </w:rPr>
        <w:t xml:space="preserve">הזה וברחובות מסכימים: ביטול </w:t>
      </w:r>
      <w:bookmarkStart w:id="17268" w:name="_ETM_Q26_682277"/>
      <w:bookmarkEnd w:id="17268"/>
      <w:r>
        <w:rPr>
          <w:rFonts w:hint="cs"/>
          <w:rtl/>
          <w:lang w:eastAsia="he-IL"/>
        </w:rPr>
        <w:t xml:space="preserve">עילת הסבירות הוא רק הצעד הראשון, רק המתאבן בדרך למנה </w:t>
      </w:r>
      <w:bookmarkStart w:id="17269" w:name="_ETM_Q26_689645"/>
      <w:bookmarkEnd w:id="17269"/>
      <w:r>
        <w:rPr>
          <w:rFonts w:hint="cs"/>
          <w:rtl/>
          <w:lang w:eastAsia="he-IL"/>
        </w:rPr>
        <w:t>העיקרית בסעודה האחרונה של שאריות הדמוקרטיה המאוד-מאוד מינוריות בישראל.</w:t>
      </w:r>
      <w:bookmarkStart w:id="17270" w:name="_ETM_Q26_698991"/>
      <w:bookmarkEnd w:id="17270"/>
      <w:r>
        <w:rPr>
          <w:rFonts w:hint="cs"/>
          <w:rtl/>
          <w:lang w:eastAsia="he-IL"/>
        </w:rPr>
        <w:t xml:space="preserve"> הנאשם נתניהו עצמו הודה בשאיפתו להמשיך בחקיקה </w:t>
      </w:r>
      <w:bookmarkStart w:id="17271" w:name="_ETM_Q26_701954"/>
      <w:bookmarkEnd w:id="17271"/>
      <w:r>
        <w:rPr>
          <w:rFonts w:hint="cs"/>
          <w:rtl/>
          <w:lang w:eastAsia="he-IL"/>
        </w:rPr>
        <w:t xml:space="preserve">חד-צדדית לשינוי הוועדה לבחירת שופטים, תוך התערבות ומינוי אפשרי </w:t>
      </w:r>
      <w:bookmarkStart w:id="17272" w:name="_ETM_Q26_704990"/>
      <w:bookmarkEnd w:id="17272"/>
      <w:r>
        <w:rPr>
          <w:rFonts w:hint="cs"/>
          <w:rtl/>
          <w:lang w:eastAsia="he-IL"/>
        </w:rPr>
        <w:t xml:space="preserve">של השופטים שידונו בעתידו הפלילי, וחברים אחרים בקואליציית דם, גזע ודמעות הצהירו </w:t>
      </w:r>
      <w:bookmarkStart w:id="17273" w:name="_ETM_Q26_713782"/>
      <w:bookmarkEnd w:id="17273"/>
      <w:r>
        <w:rPr>
          <w:rFonts w:hint="cs"/>
          <w:rtl/>
          <w:lang w:eastAsia="he-IL"/>
        </w:rPr>
        <w:t>על הרחבת החקיקה הדיקטטורית עוד ועוד. איש לא מאמין שתיאבונה</w:t>
      </w:r>
      <w:bookmarkStart w:id="17274" w:name="_ETM_Q26_723016"/>
      <w:bookmarkEnd w:id="17274"/>
      <w:r>
        <w:rPr>
          <w:rFonts w:hint="cs"/>
          <w:rtl/>
          <w:lang w:eastAsia="he-IL"/>
        </w:rPr>
        <w:t xml:space="preserve"> של ממשלת השחיתות ייפסק בבעילת הסבירות.</w:t>
      </w:r>
    </w:p>
    <w:p w:rsidR="00337201" w:rsidRDefault="00337201" w:rsidP="00337201">
      <w:pPr>
        <w:rPr>
          <w:rtl/>
          <w:lang w:eastAsia="he-IL"/>
        </w:rPr>
      </w:pPr>
      <w:bookmarkStart w:id="17275" w:name="_ETM_Q26_728109"/>
      <w:bookmarkStart w:id="17276" w:name="_ETM_Q26_728235"/>
      <w:bookmarkEnd w:id="17275"/>
      <w:bookmarkEnd w:id="17276"/>
    </w:p>
    <w:p w:rsidR="00337201" w:rsidRDefault="00337201" w:rsidP="00337201">
      <w:pPr>
        <w:rPr>
          <w:rtl/>
          <w:lang w:eastAsia="he-IL"/>
        </w:rPr>
      </w:pPr>
      <w:r>
        <w:rPr>
          <w:rFonts w:hint="cs"/>
          <w:rtl/>
          <w:lang w:eastAsia="he-IL"/>
        </w:rPr>
        <w:t>אך מהי בכלל עילת הסבירות?</w:t>
      </w:r>
      <w:r>
        <w:rPr>
          <w:rFonts w:hint="cs"/>
          <w:lang w:eastAsia="he-IL"/>
        </w:rPr>
        <w:t xml:space="preserve"> </w:t>
      </w:r>
      <w:bookmarkStart w:id="17277" w:name="_ETM_Q26_731441"/>
      <w:bookmarkEnd w:id="17277"/>
      <w:r>
        <w:rPr>
          <w:rFonts w:hint="cs"/>
          <w:rtl/>
          <w:lang w:eastAsia="he-IL"/>
        </w:rPr>
        <w:t xml:space="preserve">צריך לפרק את שקרי הקואליציה, על מנת לתת לציבור אפשרות </w:t>
      </w:r>
      <w:bookmarkStart w:id="17278" w:name="_ETM_Q26_734079"/>
      <w:bookmarkEnd w:id="17278"/>
      <w:r>
        <w:rPr>
          <w:rFonts w:hint="cs"/>
          <w:rtl/>
          <w:lang w:eastAsia="he-IL"/>
        </w:rPr>
        <w:t xml:space="preserve">להבין את התהליך הדיקטטורי על מלא מלא. עילת הסבירות היא כלי </w:t>
      </w:r>
      <w:bookmarkStart w:id="17279" w:name="_ETM_Q26_739961"/>
      <w:bookmarkEnd w:id="17279"/>
      <w:r>
        <w:rPr>
          <w:rFonts w:hint="cs"/>
          <w:rtl/>
          <w:lang w:eastAsia="he-IL"/>
        </w:rPr>
        <w:t xml:space="preserve">משפטי שנותן לפרט, לאזרח, לאדם, כוח לעמוד מול ממשלתו </w:t>
      </w:r>
      <w:bookmarkStart w:id="17280" w:name="_ETM_Q26_746175"/>
      <w:bookmarkEnd w:id="17280"/>
      <w:r>
        <w:rPr>
          <w:rFonts w:hint="cs"/>
          <w:rtl/>
          <w:lang w:eastAsia="he-IL"/>
        </w:rPr>
        <w:t xml:space="preserve">ולעמת אותה עם כשליה וחוסר סבירותה שלה. </w:t>
      </w:r>
      <w:bookmarkStart w:id="17281" w:name="_ETM_Q26_750901"/>
      <w:bookmarkEnd w:id="17281"/>
      <w:r>
        <w:rPr>
          <w:rFonts w:hint="cs"/>
          <w:rtl/>
          <w:lang w:eastAsia="he-IL"/>
        </w:rPr>
        <w:t>השימוש בעילת הסבירות</w:t>
      </w:r>
      <w:bookmarkStart w:id="17282" w:name="_ETM_Q26_755295"/>
      <w:bookmarkEnd w:id="17282"/>
      <w:r>
        <w:rPr>
          <w:rFonts w:hint="cs"/>
          <w:rtl/>
          <w:lang w:eastAsia="he-IL"/>
        </w:rPr>
        <w:t>, על אף השקרים הרבים שהופצו על ידי יושב-ראש</w:t>
      </w:r>
      <w:bookmarkStart w:id="17283" w:name="_ETM_Q26_755922"/>
      <w:bookmarkEnd w:id="17283"/>
      <w:r>
        <w:rPr>
          <w:rFonts w:hint="cs"/>
          <w:rtl/>
          <w:lang w:eastAsia="he-IL"/>
        </w:rPr>
        <w:t xml:space="preserve"> ועדת החוקה ואטלולא, לא מבקש להחליף את שיקול הדעת </w:t>
      </w:r>
      <w:bookmarkStart w:id="17284" w:name="_ETM_Q26_764930"/>
      <w:bookmarkEnd w:id="17284"/>
      <w:r>
        <w:rPr>
          <w:rFonts w:hint="cs"/>
          <w:rtl/>
          <w:lang w:eastAsia="he-IL"/>
        </w:rPr>
        <w:t xml:space="preserve">של הרשות המבצעת ולא נותן לבית המשפט כוח להחליף את </w:t>
      </w:r>
      <w:bookmarkStart w:id="17285" w:name="_ETM_Q26_769159"/>
      <w:bookmarkEnd w:id="17285"/>
      <w:r>
        <w:rPr>
          <w:rFonts w:hint="cs"/>
          <w:rtl/>
          <w:lang w:eastAsia="he-IL"/>
        </w:rPr>
        <w:t>מדיניותו של השלטון הנבחר.</w:t>
      </w:r>
    </w:p>
    <w:p w:rsidR="00337201" w:rsidRDefault="00337201" w:rsidP="00337201">
      <w:pPr>
        <w:rPr>
          <w:rtl/>
          <w:lang w:eastAsia="he-IL"/>
        </w:rPr>
      </w:pPr>
      <w:bookmarkStart w:id="17286" w:name="_ETM_Q26_95316"/>
      <w:bookmarkStart w:id="17287" w:name="_ETM_Q26_95374"/>
      <w:bookmarkStart w:id="17288" w:name="_ETM_Q26_95476"/>
      <w:bookmarkEnd w:id="17286"/>
      <w:bookmarkEnd w:id="17287"/>
      <w:bookmarkEnd w:id="17288"/>
    </w:p>
    <w:p w:rsidR="00337201" w:rsidRDefault="00337201" w:rsidP="00337201">
      <w:pPr>
        <w:rPr>
          <w:rtl/>
        </w:rPr>
      </w:pPr>
      <w:bookmarkStart w:id="17289" w:name="_ETM_Q26_95551"/>
      <w:bookmarkStart w:id="17290" w:name="TOR_Q27"/>
      <w:bookmarkEnd w:id="17289"/>
      <w:bookmarkEnd w:id="17290"/>
      <w:r>
        <w:rPr>
          <w:rFonts w:hint="cs"/>
          <w:rtl/>
        </w:rPr>
        <w:t xml:space="preserve">עילת הסבירות, שהשימוש בה על ידי הערכאות בכלל ובג"ץ בפרט היה מתון וזהיר לאורך </w:t>
      </w:r>
      <w:bookmarkStart w:id="17291" w:name="_ETM_Q27_178000"/>
      <w:bookmarkEnd w:id="17291"/>
      <w:r>
        <w:rPr>
          <w:rFonts w:hint="cs"/>
          <w:rtl/>
        </w:rPr>
        <w:t xml:space="preserve">השנים – לדעתי, אפילו מדי – נקלטה למשפט הישראלי מראשית דרכה של </w:t>
      </w:r>
      <w:bookmarkStart w:id="17292" w:name="_ETM_Q27_184000"/>
      <w:bookmarkEnd w:id="17292"/>
      <w:r>
        <w:rPr>
          <w:rFonts w:hint="cs"/>
          <w:rtl/>
        </w:rPr>
        <w:t xml:space="preserve">ישראל כמדינה עצמאית. את המושג חידש היועץ המשפטי השני לממשלה חיים כהן, עשורים לפני שהשופט אהרן ברק בכלל התחיל את לימודי המשפטים. </w:t>
      </w:r>
      <w:bookmarkStart w:id="17293" w:name="_ETM_Q27_200000"/>
      <w:bookmarkEnd w:id="17293"/>
      <w:r>
        <w:rPr>
          <w:rFonts w:hint="cs"/>
          <w:rtl/>
        </w:rPr>
        <w:t xml:space="preserve">בבסיסה עילת הסבירות פשוטה ונהירה: מקום שהשלטון אינו מאזן </w:t>
      </w:r>
      <w:bookmarkStart w:id="17294" w:name="_ETM_Q27_206000"/>
      <w:bookmarkEnd w:id="17294"/>
      <w:r>
        <w:rPr>
          <w:rFonts w:hint="cs"/>
          <w:rtl/>
        </w:rPr>
        <w:t xml:space="preserve">נכון בין שיקולים שונים, כך שתוצאתו הסופית אינה </w:t>
      </w:r>
      <w:bookmarkStart w:id="17295" w:name="_ETM_Q27_209000"/>
      <w:bookmarkEnd w:id="17295"/>
      <w:r>
        <w:rPr>
          <w:rFonts w:hint="cs"/>
          <w:rtl/>
        </w:rPr>
        <w:t>מיישמת כהלכה את מדיניותו שלו, פוגעת בזכות ההתבססות של היחיד</w:t>
      </w:r>
      <w:bookmarkStart w:id="17296" w:name="_ETM_Q27_217000"/>
      <w:bookmarkEnd w:id="17296"/>
      <w:r>
        <w:rPr>
          <w:rFonts w:hint="cs"/>
          <w:rtl/>
        </w:rPr>
        <w:t xml:space="preserve"> באופן אנוש או יוצרת תוצאה כה מופרכת – דינה להתבטל. במילותיו של השופט שמגר מפסק דין דקה משנת 1976: "</w:t>
      </w:r>
      <w:bookmarkStart w:id="17297" w:name="_ETM_Q27_230000"/>
      <w:bookmarkEnd w:id="17297"/>
      <w:r>
        <w:rPr>
          <w:rFonts w:hint="cs"/>
          <w:rtl/>
        </w:rPr>
        <w:t>לשיקולים הרלוונטיים השונים יוחס משקל בפרופורציה כה מעוותת ביניהם לבין עצמם, עד שהמסקנה הסופית הפכה מופרכת מעיקרה ובשל כך לבלתי סבירה לחלוטין". את זה אומר השופט שמגר, שלא ידוע כאקטיביסט ודווקא מאוד חביב על יושב-ראש ועדת חוקה ואטלולא וחבריו.</w:t>
      </w:r>
    </w:p>
    <w:p w:rsidR="00337201" w:rsidRDefault="00337201" w:rsidP="00337201">
      <w:pPr>
        <w:rPr>
          <w:rtl/>
        </w:rPr>
      </w:pPr>
    </w:p>
    <w:p w:rsidR="00337201" w:rsidRDefault="00337201" w:rsidP="00337201">
      <w:pPr>
        <w:rPr>
          <w:rtl/>
        </w:rPr>
      </w:pPr>
      <w:r>
        <w:rPr>
          <w:rFonts w:hint="cs"/>
          <w:rtl/>
        </w:rPr>
        <w:t xml:space="preserve">וכיצד הדברים התממשו בפועל? למשל, בשנת 2022 הקפיא בג"ץ, בהתבסס </w:t>
      </w:r>
      <w:bookmarkStart w:id="17298" w:name="_ETM_Q27_264000"/>
      <w:bookmarkEnd w:id="17298"/>
      <w:r>
        <w:rPr>
          <w:rFonts w:hint="cs"/>
          <w:rtl/>
        </w:rPr>
        <w:t xml:space="preserve">על עילת הסבירות, את החלטות שר האוצר והכלכלה להפסיק באופן מיידי מימון מעונות יום עבור </w:t>
      </w:r>
      <w:bookmarkStart w:id="17299" w:name="_ETM_Q27_269000"/>
      <w:bookmarkEnd w:id="17299"/>
      <w:r>
        <w:rPr>
          <w:rFonts w:hint="cs"/>
          <w:rtl/>
        </w:rPr>
        <w:t xml:space="preserve">פעוטות ממשפחות אברכים. בג"ץ החליט כי ביטולו בלי שום תקופת היערכות הוא </w:t>
      </w:r>
      <w:bookmarkStart w:id="17300" w:name="_ETM_Q27_278000"/>
      <w:bookmarkEnd w:id="17300"/>
      <w:r>
        <w:rPr>
          <w:rFonts w:hint="cs"/>
          <w:rtl/>
        </w:rPr>
        <w:t xml:space="preserve">"בלתי סביר באופן קיצוני". כך כתב בג"ץ: "הסובסידיה למעונות היום - - - משקפת את סדרי העדיפות הלאומית </w:t>
      </w:r>
      <w:bookmarkStart w:id="17301" w:name="_ETM_Q27_284000"/>
      <w:bookmarkEnd w:id="17301"/>
      <w:r>
        <w:rPr>
          <w:rFonts w:hint="cs"/>
          <w:rtl/>
        </w:rPr>
        <w:t xml:space="preserve">והשקפת העולם של השלטון, אשר לעולם יכולים להשתנות - - - לצד זאת, עלינו להדגיש כי העובדה שהממשלה לעולם רשאית לסגור </w:t>
      </w:r>
      <w:bookmarkStart w:id="17302" w:name="_ETM_Q27_299000"/>
      <w:bookmarkEnd w:id="17302"/>
      <w:r>
        <w:rPr>
          <w:rFonts w:hint="cs"/>
          <w:rtl/>
        </w:rPr>
        <w:t xml:space="preserve">את ברז הסבסוד - - - אין משמעה כי היא רשאית לעשות כן ללא הוראת </w:t>
      </w:r>
      <w:bookmarkStart w:id="17303" w:name="_ETM_Q27_305000"/>
      <w:bookmarkEnd w:id="17303"/>
      <w:r>
        <w:rPr>
          <w:rFonts w:hint="cs"/>
          <w:rtl/>
        </w:rPr>
        <w:t xml:space="preserve">מעבר הולמת". </w:t>
      </w:r>
      <w:bookmarkStart w:id="17304" w:name="_ETM_Q27_309000"/>
      <w:bookmarkEnd w:id="17304"/>
      <w:r>
        <w:rPr>
          <w:rFonts w:hint="cs"/>
          <w:rtl/>
        </w:rPr>
        <w:t xml:space="preserve">אילו היו עותרים האברכים לבית המשפט לאחר ההפיכה, היה עליו לגלגל אותם מכל המדרגות ולאפשר פגיעה </w:t>
      </w:r>
      <w:bookmarkStart w:id="17305" w:name="_ETM_Q27_313000"/>
      <w:bookmarkEnd w:id="17305"/>
      <w:r>
        <w:rPr>
          <w:rFonts w:hint="cs"/>
          <w:rtl/>
        </w:rPr>
        <w:t xml:space="preserve">קשה בזכותם של הורים וילדים. </w:t>
      </w:r>
    </w:p>
    <w:p w:rsidR="00337201" w:rsidRDefault="00337201" w:rsidP="00337201">
      <w:pPr>
        <w:rPr>
          <w:rtl/>
        </w:rPr>
      </w:pPr>
    </w:p>
    <w:p w:rsidR="00337201" w:rsidRDefault="00337201" w:rsidP="00337201">
      <w:pPr>
        <w:rPr>
          <w:rtl/>
        </w:rPr>
      </w:pPr>
      <w:r>
        <w:rPr>
          <w:rFonts w:hint="cs"/>
          <w:rtl/>
        </w:rPr>
        <w:t>ואילו יחליטו מחר בממשלה להיענות לדרישת הכהניסטים לשדוד את כספי הציבור הערבי</w:t>
      </w:r>
      <w:bookmarkStart w:id="17306" w:name="_ETM_Q27_326000"/>
      <w:bookmarkEnd w:id="17306"/>
      <w:r>
        <w:rPr>
          <w:rFonts w:hint="cs"/>
          <w:rtl/>
        </w:rPr>
        <w:t xml:space="preserve">, כיצד יתערב בית המשפט ללא עילת הסבירות בארסנל הכלים </w:t>
      </w:r>
      <w:bookmarkStart w:id="17307" w:name="_ETM_Q27_329000"/>
      <w:bookmarkEnd w:id="17307"/>
      <w:r>
        <w:rPr>
          <w:rFonts w:hint="cs"/>
          <w:rtl/>
        </w:rPr>
        <w:t xml:space="preserve">שלו? זאת הסיבה שההתנגדות לבעילת הסבירות חוצה מחנות פוליטיים מסורתיים. שותפים לה ליברלים מימין וסוציאליסטים משמאל, </w:t>
      </w:r>
      <w:bookmarkStart w:id="17308" w:name="_ETM_Q27_343000"/>
      <w:bookmarkEnd w:id="17308"/>
      <w:r>
        <w:rPr>
          <w:rFonts w:hint="cs"/>
          <w:rtl/>
        </w:rPr>
        <w:t xml:space="preserve">תנועות סביבתיות וחברתיות, ארגוני נשים, איגודי עובדים, אך גם </w:t>
      </w:r>
      <w:bookmarkStart w:id="17309" w:name="_ETM_Q27_349000"/>
      <w:bookmarkEnd w:id="17309"/>
      <w:r>
        <w:rPr>
          <w:rFonts w:hint="cs"/>
          <w:rtl/>
        </w:rPr>
        <w:t xml:space="preserve">תעשיינים ומעסיקים. את הכוח הזה מבקש השלטון המושחת לקחת מהאזרחים – את כוחם שלהם לבקר את המדיניות השלטונית </w:t>
      </w:r>
      <w:bookmarkStart w:id="17310" w:name="_ETM_Q27_359000"/>
      <w:bookmarkEnd w:id="17310"/>
      <w:r>
        <w:rPr>
          <w:rFonts w:hint="cs"/>
          <w:rtl/>
        </w:rPr>
        <w:t xml:space="preserve">כשתוצאותיה פוגעניות, מופרכות וחסרות היגיון. </w:t>
      </w:r>
    </w:p>
    <w:p w:rsidR="00337201" w:rsidRDefault="00337201" w:rsidP="00337201">
      <w:pPr>
        <w:rPr>
          <w:rtl/>
        </w:rPr>
      </w:pPr>
    </w:p>
    <w:p w:rsidR="00337201" w:rsidRDefault="00337201" w:rsidP="00337201">
      <w:pPr>
        <w:rPr>
          <w:rtl/>
        </w:rPr>
      </w:pPr>
      <w:r>
        <w:rPr>
          <w:rFonts w:hint="cs"/>
          <w:rtl/>
        </w:rPr>
        <w:t xml:space="preserve">מכאן קל לראות את הקשר הגורדי בין לאומנות הדם והאדמה לביטול עילת הסבירות. לאומנות הדם והאדמה כאידיאולוגיה שלטונית מחייבת </w:t>
      </w:r>
      <w:bookmarkStart w:id="17311" w:name="_ETM_Q27_375000"/>
      <w:bookmarkEnd w:id="17311"/>
      <w:r>
        <w:rPr>
          <w:rFonts w:hint="cs"/>
          <w:rtl/>
        </w:rPr>
        <w:t>- - -</w:t>
      </w:r>
    </w:p>
    <w:p w:rsidR="00337201" w:rsidRDefault="00337201" w:rsidP="00337201">
      <w:pPr>
        <w:rPr>
          <w:rtl/>
        </w:rPr>
      </w:pPr>
    </w:p>
    <w:p w:rsidR="00337201" w:rsidRDefault="00337201" w:rsidP="00337201">
      <w:pPr>
        <w:pStyle w:val="af8"/>
        <w:keepNext/>
        <w:rPr>
          <w:rtl/>
        </w:rPr>
      </w:pPr>
      <w:bookmarkStart w:id="17312" w:name="ET_interruption_5293_1"/>
      <w:r>
        <w:rPr>
          <w:rStyle w:val="TagStyle"/>
          <w:rFonts w:hint="cs"/>
          <w:rtl/>
        </w:rPr>
        <w:t xml:space="preserve"> &lt;&lt; קריאה &gt;&gt; </w:t>
      </w:r>
      <w:r>
        <w:rPr>
          <w:rFonts w:hint="cs"/>
          <w:rtl/>
        </w:rPr>
        <w:t>איימן עודה (חד"ש-תע"ל):</w:t>
      </w:r>
      <w:r>
        <w:rPr>
          <w:rStyle w:val="TagStyle"/>
          <w:rtl/>
        </w:rPr>
        <w:t xml:space="preserve"> &lt;&lt; קריאה &gt;&gt;</w:t>
      </w:r>
      <w:r>
        <w:rPr>
          <w:rFonts w:hint="cs"/>
          <w:rtl/>
        </w:rPr>
        <w:t xml:space="preserve"> </w:t>
      </w:r>
      <w:bookmarkEnd w:id="17312"/>
    </w:p>
    <w:p w:rsidR="00337201" w:rsidRDefault="00337201" w:rsidP="00337201">
      <w:pPr>
        <w:rPr>
          <w:rtl/>
          <w:lang w:eastAsia="he-IL"/>
        </w:rPr>
      </w:pPr>
    </w:p>
    <w:p w:rsidR="00337201" w:rsidRDefault="00337201" w:rsidP="00337201">
      <w:pPr>
        <w:rPr>
          <w:rtl/>
          <w:lang w:eastAsia="he-IL"/>
        </w:rPr>
      </w:pPr>
      <w:r>
        <w:rPr>
          <w:rFonts w:hint="cs"/>
          <w:rtl/>
          <w:lang w:eastAsia="he-IL"/>
        </w:rPr>
        <w:t>דם ואדמה.</w:t>
      </w:r>
    </w:p>
    <w:p w:rsidR="00337201" w:rsidRDefault="00337201" w:rsidP="00337201">
      <w:pPr>
        <w:rPr>
          <w:rtl/>
          <w:lang w:eastAsia="he-IL"/>
        </w:rPr>
      </w:pPr>
    </w:p>
    <w:p w:rsidR="00337201" w:rsidRDefault="00337201" w:rsidP="00337201">
      <w:pPr>
        <w:pStyle w:val="-"/>
        <w:keepNext/>
        <w:rPr>
          <w:rtl/>
        </w:rPr>
      </w:pPr>
      <w:bookmarkStart w:id="17313" w:name="ET_speakercontinue_5785_3"/>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bookmarkEnd w:id="17313"/>
    </w:p>
    <w:p w:rsidR="00337201" w:rsidRDefault="00337201" w:rsidP="00337201">
      <w:pPr>
        <w:rPr>
          <w:rtl/>
          <w:lang w:eastAsia="he-IL"/>
        </w:rPr>
      </w:pPr>
    </w:p>
    <w:p w:rsidR="00337201" w:rsidRDefault="00337201" w:rsidP="00337201">
      <w:pPr>
        <w:rPr>
          <w:rtl/>
          <w:lang w:eastAsia="he-IL"/>
        </w:rPr>
      </w:pPr>
      <w:r>
        <w:rPr>
          <w:rFonts w:hint="cs"/>
          <w:rtl/>
          <w:lang w:eastAsia="he-IL"/>
        </w:rPr>
        <w:t>לאומנות הדם והאדמה. לאומנות הדם והאדמה כאידיאולוגיה</w:t>
      </w:r>
      <w:bookmarkStart w:id="17314" w:name="_ETM_Q27_387000"/>
      <w:bookmarkEnd w:id="17314"/>
      <w:r>
        <w:rPr>
          <w:rFonts w:hint="cs"/>
          <w:rtl/>
          <w:lang w:eastAsia="he-IL"/>
        </w:rPr>
        <w:t xml:space="preserve"> שלטונית מחייבת ביצוע פעולות בלתי סבירות לחלוטין: מתן יד חופשית לטרור המתנחלים לשרוף את כפרי הגדה המערבית הכבושה</w:t>
      </w:r>
      <w:bookmarkStart w:id="17315" w:name="_ETM_Q27_397000"/>
      <w:bookmarkEnd w:id="17315"/>
      <w:r>
        <w:rPr>
          <w:rFonts w:hint="cs"/>
          <w:rtl/>
          <w:lang w:eastAsia="he-IL"/>
        </w:rPr>
        <w:t xml:space="preserve"> ללא דין וללא דיין; מינוי מקורבים מושחתים לתפקידי </w:t>
      </w:r>
      <w:bookmarkStart w:id="17316" w:name="_ETM_Q27_399000"/>
      <w:bookmarkEnd w:id="17316"/>
      <w:r>
        <w:rPr>
          <w:rFonts w:hint="cs"/>
          <w:rtl/>
          <w:lang w:eastAsia="he-IL"/>
        </w:rPr>
        <w:t>מפתח ופיטורי שומרי סף שיעזו להעביר ביקורת על השלטון</w:t>
      </w:r>
      <w:bookmarkStart w:id="17317" w:name="_ETM_Q27_407000"/>
      <w:bookmarkEnd w:id="17317"/>
      <w:r>
        <w:rPr>
          <w:rFonts w:hint="cs"/>
          <w:rtl/>
          <w:lang w:eastAsia="he-IL"/>
        </w:rPr>
        <w:t xml:space="preserve">; הקלות רגולטוריות, למשל בשוק התקשורת, כיוזמת השר קרעי, לטייקונים נאמנים למשטר; </w:t>
      </w:r>
      <w:bookmarkStart w:id="17318" w:name="_ETM_Q27_417000"/>
      <w:bookmarkEnd w:id="17318"/>
      <w:r>
        <w:rPr>
          <w:rFonts w:hint="cs"/>
          <w:rtl/>
          <w:lang w:eastAsia="he-IL"/>
        </w:rPr>
        <w:t xml:space="preserve">הפעלת אלימות משטרתית דווקא נגד מפגינים שלווים והצבת תנאים דרקוניים לאישור מחאות נגד השלטון; שינויים תכופים בתוכניות הלימוד והחדרת </w:t>
      </w:r>
      <w:bookmarkStart w:id="17319" w:name="_ETM_Q27_428000"/>
      <w:bookmarkEnd w:id="17319"/>
      <w:r>
        <w:rPr>
          <w:rFonts w:hint="cs"/>
          <w:rtl/>
          <w:lang w:eastAsia="he-IL"/>
        </w:rPr>
        <w:t xml:space="preserve">עמותות משיחיות ותכנים לאומניים לספרי הלימוד; איסור על התארגנויות פוליטיות בקמפוסים; שוד כספי תקציב שנועד למאבק בפשיעה בחברה הערבית והעברתם כשלמון פוליטי לכהניסטים; ועוד. כל אלה דוגמאות להחלטות שלטוניות </w:t>
      </w:r>
      <w:bookmarkStart w:id="17320" w:name="_ETM_Q27_449000"/>
      <w:bookmarkEnd w:id="17320"/>
      <w:r>
        <w:rPr>
          <w:rFonts w:hint="cs"/>
          <w:rtl/>
          <w:lang w:eastAsia="he-IL"/>
        </w:rPr>
        <w:t>מינהליות שהמשטר החדש של נתניהו, משטר העליונות היהודית של הדם והאדמה, מבקש לחסן את עצמו מפניהן. ביטול עילת הסבירות הוא האמצעי</w:t>
      </w:r>
      <w:bookmarkStart w:id="17321" w:name="_ETM_Q27_461000"/>
      <w:bookmarkEnd w:id="17321"/>
      <w:r>
        <w:rPr>
          <w:rFonts w:hint="cs"/>
          <w:rtl/>
          <w:lang w:eastAsia="he-IL"/>
        </w:rPr>
        <w:t xml:space="preserve">, הכלי שיאפשר זאת. </w:t>
      </w:r>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בעילת הסבירות והביטול האפקטיבי של הביקורת השיפוטית נועדו לתת הגמוניה מוחלטת ללאומנות הדם </w:t>
      </w:r>
      <w:bookmarkStart w:id="17322" w:name="_ETM_Q27_473000"/>
      <w:bookmarkEnd w:id="17322"/>
      <w:r>
        <w:rPr>
          <w:rFonts w:hint="cs"/>
          <w:rtl/>
          <w:lang w:eastAsia="he-IL"/>
        </w:rPr>
        <w:t xml:space="preserve">והאדמה ולהיגיון הגזעני המעוות שבבסיסה. קודם כול, זה נועד להצדיק אלימות רצחנית </w:t>
      </w:r>
      <w:bookmarkStart w:id="17323" w:name="_ETM_Q27_482000"/>
      <w:bookmarkEnd w:id="17323"/>
      <w:r>
        <w:rPr>
          <w:rFonts w:hint="cs"/>
          <w:rtl/>
          <w:lang w:eastAsia="he-IL"/>
        </w:rPr>
        <w:t xml:space="preserve">ודיכוי פוליטי נגד העם הפלסטיני הכבוש, נגד האזרחים הפלסטינים בתוך ישראל והיהודים הדמוקרטים שמעיזים להסתכל לכיבוש ולמשטר העליונות היהודית בעיניים, אך הוא יופנה במהרה גם נגד כל כיס התנגדות בתוך החברה הישראלית-יהודית וכנגד כל מי שיעז לנסח אלטרנטיבה רעיונית דמוקרטית למשטר. זהו </w:t>
      </w:r>
      <w:bookmarkStart w:id="17324" w:name="_ETM_Q27_510000"/>
      <w:bookmarkEnd w:id="17324"/>
      <w:r>
        <w:rPr>
          <w:rFonts w:hint="cs"/>
          <w:rtl/>
          <w:lang w:eastAsia="he-IL"/>
        </w:rPr>
        <w:t>צמצום של התפיסה והמחשבה היהודית לכדי ביטוי צר, משיחי ואלים; זוהי היהדות של טרור המתנחלים</w:t>
      </w:r>
      <w:bookmarkStart w:id="17325" w:name="_ETM_Q27_516000"/>
      <w:bookmarkEnd w:id="17325"/>
      <w:r>
        <w:rPr>
          <w:rFonts w:hint="cs"/>
          <w:rtl/>
          <w:lang w:eastAsia="he-IL"/>
        </w:rPr>
        <w:t xml:space="preserve"> ונערי הגבעות הארורים, אך זוהי אינה היהדות של ישעיהו ברלין ושפינוזה; זוהי היהדות רודפת הממון </w:t>
      </w:r>
      <w:bookmarkStart w:id="17326" w:name="_ETM_Q27_526000"/>
      <w:bookmarkEnd w:id="17326"/>
      <w:r>
        <w:rPr>
          <w:rFonts w:hint="cs"/>
          <w:rtl/>
          <w:lang w:eastAsia="he-IL"/>
        </w:rPr>
        <w:t xml:space="preserve">והמינויים המושחתים של אמסלם, אך זוהי אינה היהדות </w:t>
      </w:r>
      <w:bookmarkStart w:id="17327" w:name="_ETM_Q27_532000"/>
      <w:bookmarkEnd w:id="17327"/>
      <w:r>
        <w:rPr>
          <w:rFonts w:hint="cs"/>
          <w:rtl/>
          <w:lang w:eastAsia="he-IL"/>
        </w:rPr>
        <w:t xml:space="preserve">של אבן גבירול והחכם שלום שבזי, שכתב: "אם ננעלו דלתי נדיבים, דלתי מרום לא ננעלו"; זוהי </w:t>
      </w:r>
      <w:bookmarkStart w:id="17328" w:name="_ETM_Q27_541000"/>
      <w:bookmarkEnd w:id="17328"/>
      <w:r>
        <w:rPr>
          <w:rFonts w:hint="cs"/>
          <w:rtl/>
          <w:lang w:eastAsia="he-IL"/>
        </w:rPr>
        <w:t xml:space="preserve">תורת הגזע היהודית של כהנא, שהיה זה מיכאל איתן מהליכוד שהשווה בין מצעו לבין חוקי נירנברג, אך זוהי אינה היהדות של הרב עובדיה יוסף, שארבעה חודשים אחרי מלחמת </w:t>
      </w:r>
      <w:bookmarkStart w:id="17329" w:name="_ETM_Q27_555000"/>
      <w:bookmarkEnd w:id="17329"/>
      <w:r>
        <w:rPr>
          <w:rFonts w:hint="cs"/>
          <w:rtl/>
          <w:lang w:eastAsia="he-IL"/>
        </w:rPr>
        <w:t xml:space="preserve">1967, כאשר שימש דיין בבית הדין הרבני הגדול בירושלים, נימק במאמר הלכתי ארוך, שהתפרס על פני מחצית הגיליון של הביטאון התורני-חרדי "קול סיני" את </w:t>
      </w:r>
      <w:bookmarkStart w:id="17330" w:name="_ETM_Q27_569000"/>
      <w:bookmarkEnd w:id="17330"/>
      <w:r>
        <w:rPr>
          <w:rFonts w:hint="cs"/>
          <w:rtl/>
          <w:lang w:eastAsia="he-IL"/>
        </w:rPr>
        <w:t xml:space="preserve">האיסור על כניסת יהודים לשטח המכונה "הר הבית"; גם, כרב הראשי הספרדי השפיע הרב </w:t>
      </w:r>
      <w:bookmarkStart w:id="17331" w:name="_ETM_Q27_576000"/>
      <w:bookmarkEnd w:id="17331"/>
      <w:r>
        <w:rPr>
          <w:rFonts w:hint="cs"/>
          <w:rtl/>
          <w:lang w:eastAsia="he-IL"/>
        </w:rPr>
        <w:t xml:space="preserve">יוסף על ראש הממשלה בשעתו מנחם בגין לסרב לדרישות הלאומנים המשיחיים לפלוש לשם. </w:t>
      </w:r>
      <w:bookmarkStart w:id="17332" w:name="_ETM_Q27_589000"/>
      <w:bookmarkEnd w:id="17332"/>
      <w:r>
        <w:rPr>
          <w:rFonts w:hint="cs"/>
          <w:rtl/>
          <w:lang w:eastAsia="he-IL"/>
        </w:rPr>
        <w:t xml:space="preserve">את היהדות הזאת מבקשת הלאומנות של הדם והאדמה </w:t>
      </w:r>
      <w:bookmarkStart w:id="17333" w:name="_ETM_Q27_588000"/>
      <w:bookmarkEnd w:id="17333"/>
      <w:r>
        <w:rPr>
          <w:rFonts w:hint="cs"/>
          <w:rtl/>
          <w:lang w:eastAsia="he-IL"/>
        </w:rPr>
        <w:t xml:space="preserve">למחות מעל פני האדמה. </w:t>
      </w:r>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כפי שפתחתי לומר, לא מול בעילת הסבירות בלבד אנו עומדים היום אלא מול הפיכה של מחיקת הרשות השופטת כרשות עצמאית. אחרי הסלט והמתאבנים יגיע תור המנה </w:t>
      </w:r>
      <w:bookmarkStart w:id="17334" w:name="_ETM_Q27_609000"/>
      <w:bookmarkEnd w:id="17334"/>
      <w:r>
        <w:rPr>
          <w:rFonts w:hint="cs"/>
          <w:rtl/>
          <w:lang w:eastAsia="he-IL"/>
        </w:rPr>
        <w:t xml:space="preserve">העיקרית בתבשיל הרעל של הממשלה. אותו ההיגיון הדיקטטורי המעוות שבשמו מבקשים להכחיד את עילת </w:t>
      </w:r>
      <w:bookmarkStart w:id="17335" w:name="_ETM_Q27_618000"/>
      <w:bookmarkEnd w:id="17335"/>
      <w:r>
        <w:rPr>
          <w:rFonts w:hint="cs"/>
          <w:rtl/>
          <w:lang w:eastAsia="he-IL"/>
        </w:rPr>
        <w:t xml:space="preserve">הסבירות תקף גם ביחס לכל עילה שיפוטית אחרת. מדוע בית המשפט יכריע מהו חוסר תום לב </w:t>
      </w:r>
      <w:bookmarkStart w:id="17336" w:name="_ETM_Q27_626000"/>
      <w:bookmarkEnd w:id="17336"/>
      <w:r>
        <w:rPr>
          <w:rFonts w:hint="cs"/>
          <w:rtl/>
          <w:lang w:eastAsia="he-IL"/>
        </w:rPr>
        <w:t xml:space="preserve">ולא השר? למה היועץ המשפטי של המשרד יקבע מהם שיקולים </w:t>
      </w:r>
      <w:bookmarkStart w:id="17337" w:name="_ETM_Q27_632000"/>
      <w:bookmarkEnd w:id="17337"/>
      <w:r>
        <w:rPr>
          <w:rFonts w:hint="cs"/>
          <w:rtl/>
          <w:lang w:eastAsia="he-IL"/>
        </w:rPr>
        <w:t xml:space="preserve">זרים ולא המנכ"ל הנאמן? ומי יעמוד מול ראש הדיקטטורה בבגדיו החדשים ויעז לומר: המידתיות אבדה והמלך עירום? </w:t>
      </w:r>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אנו נאבקים על עצם ההגנה השיפוטית מידי רודנות הממשל </w:t>
      </w:r>
      <w:bookmarkStart w:id="17338" w:name="_ETM_Q27_651000"/>
      <w:bookmarkEnd w:id="17338"/>
      <w:r>
        <w:rPr>
          <w:rFonts w:hint="cs"/>
          <w:rtl/>
          <w:lang w:eastAsia="he-IL"/>
        </w:rPr>
        <w:t>ועריצות הרוב שבישראל של נתניהו-סמוטריץ'-בן גביר תהיה רודנות העליונות היהודית של הדם והאדמה; אנו נאבקים על הזכות לדרוש שוויון כמדיניות שלטונית. הצעת החוק מבקשת לקחת מכל אחד מאיתנו – מהאזרח הפשוט, מהשכבות המוחלשות</w:t>
      </w:r>
      <w:bookmarkStart w:id="17339" w:name="_ETM_Q27_671000"/>
      <w:bookmarkEnd w:id="17339"/>
      <w:r>
        <w:rPr>
          <w:rFonts w:hint="cs"/>
          <w:rtl/>
          <w:lang w:eastAsia="he-IL"/>
        </w:rPr>
        <w:t xml:space="preserve">, מהמיעוטים הפוליטיים והחברתיים – את האפשרות לפנות לבית המשפט ולבקש ממנו סעד מן הצדק. </w:t>
      </w:r>
    </w:p>
    <w:p w:rsidR="00337201" w:rsidRDefault="00337201" w:rsidP="00337201">
      <w:pPr>
        <w:rPr>
          <w:rtl/>
          <w:lang w:eastAsia="he-IL"/>
        </w:rPr>
      </w:pPr>
      <w:bookmarkStart w:id="17340" w:name="_ETM_Q27_682000"/>
      <w:bookmarkEnd w:id="17340"/>
    </w:p>
    <w:p w:rsidR="00337201" w:rsidRDefault="00337201" w:rsidP="00337201">
      <w:pPr>
        <w:rPr>
          <w:rtl/>
          <w:lang w:eastAsia="he-IL"/>
        </w:rPr>
      </w:pPr>
      <w:r>
        <w:rPr>
          <w:rFonts w:hint="cs"/>
          <w:rtl/>
          <w:lang w:eastAsia="he-IL"/>
        </w:rPr>
        <w:t xml:space="preserve">חשוב </w:t>
      </w:r>
      <w:bookmarkStart w:id="17341" w:name="_ETM_Q27_683000"/>
      <w:bookmarkEnd w:id="17341"/>
      <w:r>
        <w:rPr>
          <w:rFonts w:hint="cs"/>
          <w:rtl/>
          <w:lang w:eastAsia="he-IL"/>
        </w:rPr>
        <w:t xml:space="preserve">להדגיש, לחבריי ולי ביקורת קשה על מערכת המשפט – בעיקר על בג"ץ – שבאופן שיטתי נתנה ידה לרוב מוחלט של עוולות הכיבוש והעליונות היהודית ולא פעם אף </w:t>
      </w:r>
      <w:bookmarkStart w:id="17342" w:name="_ETM_Q27_696000"/>
      <w:bookmarkEnd w:id="17342"/>
      <w:r>
        <w:rPr>
          <w:rFonts w:hint="cs"/>
          <w:rtl/>
          <w:lang w:eastAsia="he-IL"/>
        </w:rPr>
        <w:t xml:space="preserve">יישרה קו עם הטייקונים ובעלי ההון, אבל חיסולה רק יחמיר את המצב, שכן, כאמור, עצם האפשרות לפנות לסעד ייפגע אנושות עד כדי חיסולה המוחלט. הזכות לשוויון, אם </w:t>
      </w:r>
      <w:bookmarkStart w:id="17343" w:name="_ETM_Q27_713000"/>
      <w:bookmarkEnd w:id="17343"/>
      <w:r>
        <w:rPr>
          <w:rFonts w:hint="cs"/>
          <w:rtl/>
          <w:lang w:eastAsia="he-IL"/>
        </w:rPr>
        <w:t>כך, היא הדבר המרכזי שאותו שואפת ממשלת הזוועות למחוק ולהעלים</w:t>
      </w:r>
      <w:bookmarkStart w:id="17344" w:name="_ETM_Q27_715000"/>
      <w:bookmarkEnd w:id="17344"/>
      <w:r>
        <w:rPr>
          <w:rFonts w:hint="cs"/>
          <w:rtl/>
          <w:lang w:eastAsia="he-IL"/>
        </w:rPr>
        <w:t xml:space="preserve">. כפי שכתב פרופ' ברק מדינה בשבוע האחרון: המאבק הוא לא על ביקורת שיפוטית, אלא על שוויון. וכך הוא </w:t>
      </w:r>
      <w:bookmarkStart w:id="17345" w:name="_ETM_Q27_724000"/>
      <w:bookmarkEnd w:id="17345"/>
      <w:r>
        <w:rPr>
          <w:rFonts w:hint="cs"/>
          <w:rtl/>
          <w:lang w:eastAsia="he-IL"/>
        </w:rPr>
        <w:t xml:space="preserve">כתב: אין לנו ברירה, אלא לנצח במאבק. אם נפסיד, גם בגבולות </w:t>
      </w:r>
      <w:bookmarkStart w:id="17346" w:name="_ETM_Q27_731000"/>
      <w:bookmarkEnd w:id="17346"/>
      <w:r>
        <w:rPr>
          <w:rFonts w:hint="cs"/>
          <w:rtl/>
          <w:lang w:eastAsia="he-IL"/>
        </w:rPr>
        <w:t xml:space="preserve">הקו הירוק לא תהיה כאן מדינה דמוקרטית. לכן במקום לעסוק בדקויות מה בדיוק </w:t>
      </w:r>
      <w:bookmarkStart w:id="17347" w:name="_ETM_Q27_736000"/>
      <w:bookmarkEnd w:id="17347"/>
      <w:r>
        <w:rPr>
          <w:rFonts w:hint="cs"/>
          <w:rtl/>
          <w:lang w:eastAsia="he-IL"/>
        </w:rPr>
        <w:t xml:space="preserve">ההשפעה הצפויה של תיקון זה או אחר לחוק-יסוד: השפיטה </w:t>
      </w:r>
      <w:bookmarkStart w:id="17348" w:name="_ETM_Q27_741000"/>
      <w:bookmarkEnd w:id="17348"/>
      <w:r>
        <w:rPr>
          <w:rFonts w:hint="cs"/>
          <w:rtl/>
          <w:lang w:eastAsia="he-IL"/>
        </w:rPr>
        <w:t xml:space="preserve">שיגרע מן הביקורת השיפוטית, יש לעסוק בתמונה הרחבה. כל צמצום </w:t>
      </w:r>
      <w:bookmarkStart w:id="17349" w:name="_ETM_Q27_750000"/>
      <w:bookmarkEnd w:id="17349"/>
      <w:r>
        <w:rPr>
          <w:rFonts w:hint="cs"/>
          <w:rtl/>
          <w:lang w:eastAsia="he-IL"/>
        </w:rPr>
        <w:t>שהוא בביקורת השיפוטית הוא סכנה ממשית למחויבות הממשלה והכנסת</w:t>
      </w:r>
      <w:bookmarkStart w:id="17350" w:name="_ETM_Q27_756000"/>
      <w:bookmarkEnd w:id="17350"/>
      <w:r>
        <w:rPr>
          <w:rFonts w:hint="cs"/>
          <w:rtl/>
          <w:lang w:eastAsia="he-IL"/>
        </w:rPr>
        <w:t xml:space="preserve"> הנוכחיות לזכות לשוויון, ולכן הוא פסול. </w:t>
      </w:r>
      <w:bookmarkStart w:id="17351" w:name="TOR_Q28"/>
      <w:bookmarkStart w:id="17352" w:name="_ETM_Q28_168440"/>
      <w:bookmarkStart w:id="17353" w:name="_ETM_Q28_163731"/>
      <w:bookmarkStart w:id="17354" w:name="_ETM_Q28_159370"/>
      <w:bookmarkStart w:id="17355" w:name="_ETM_Q28_157971"/>
      <w:bookmarkEnd w:id="17351"/>
      <w:bookmarkEnd w:id="17352"/>
      <w:bookmarkEnd w:id="17353"/>
      <w:bookmarkEnd w:id="17354"/>
      <w:bookmarkEnd w:id="17355"/>
      <w:r>
        <w:rPr>
          <w:rFonts w:hint="cs"/>
          <w:rtl/>
          <w:lang w:eastAsia="he-IL"/>
        </w:rPr>
        <w:t xml:space="preserve">על כל מי שבעד שוויון </w:t>
      </w:r>
      <w:bookmarkStart w:id="17356" w:name="_ETM_Q28_159332"/>
      <w:bookmarkStart w:id="17357" w:name="_ETM_Q28_154682"/>
      <w:bookmarkEnd w:id="17356"/>
      <w:bookmarkEnd w:id="17357"/>
      <w:r>
        <w:rPr>
          <w:rFonts w:hint="cs"/>
          <w:rtl/>
          <w:lang w:eastAsia="he-IL"/>
        </w:rPr>
        <w:t>להתנגד בעת הזו לכל צמצום</w:t>
      </w:r>
      <w:bookmarkStart w:id="17358" w:name="_ETM_Q28_160862"/>
      <w:bookmarkEnd w:id="17358"/>
      <w:r>
        <w:rPr>
          <w:rFonts w:hint="cs"/>
          <w:rtl/>
          <w:lang w:eastAsia="he-IL"/>
        </w:rPr>
        <w:t xml:space="preserve"> של הביקורת השיפוטית</w:t>
      </w:r>
      <w:bookmarkStart w:id="17359" w:name="_ETM_Q28_165573"/>
      <w:bookmarkEnd w:id="17359"/>
      <w:r>
        <w:rPr>
          <w:rFonts w:hint="cs"/>
          <w:rtl/>
          <w:lang w:eastAsia="he-IL"/>
        </w:rPr>
        <w:t xml:space="preserve">, ומי שתומך בהצעות </w:t>
      </w:r>
      <w:bookmarkStart w:id="17360" w:name="_ETM_Q28_167912"/>
      <w:bookmarkEnd w:id="17360"/>
      <w:r>
        <w:rPr>
          <w:rFonts w:hint="cs"/>
          <w:rtl/>
          <w:lang w:eastAsia="he-IL"/>
        </w:rPr>
        <w:t xml:space="preserve">הממשלה תומך, </w:t>
      </w:r>
      <w:bookmarkStart w:id="17361" w:name="_ETM_Q28_172686"/>
      <w:bookmarkEnd w:id="17361"/>
      <w:r>
        <w:rPr>
          <w:rFonts w:hint="cs"/>
          <w:rtl/>
          <w:lang w:eastAsia="he-IL"/>
        </w:rPr>
        <w:t>מדעת או שלא מדעת</w:t>
      </w:r>
      <w:bookmarkStart w:id="17362" w:name="_ETM_Q28_175725"/>
      <w:bookmarkStart w:id="17363" w:name="_ETM_Q28_171081"/>
      <w:bookmarkEnd w:id="17362"/>
      <w:bookmarkEnd w:id="17363"/>
      <w:r>
        <w:rPr>
          <w:rFonts w:hint="cs"/>
          <w:rtl/>
          <w:lang w:eastAsia="he-IL"/>
        </w:rPr>
        <w:t>, בגישה של עליונות יהודית,</w:t>
      </w:r>
      <w:bookmarkStart w:id="17364" w:name="_ETM_Q28_176958"/>
      <w:bookmarkEnd w:id="17364"/>
      <w:r>
        <w:rPr>
          <w:rFonts w:hint="cs"/>
          <w:rtl/>
          <w:lang w:eastAsia="he-IL"/>
        </w:rPr>
        <w:t xml:space="preserve"> בגזענות ובהפליה </w:t>
      </w:r>
      <w:bookmarkStart w:id="17365" w:name="_ETM_Q28_175525"/>
      <w:bookmarkEnd w:id="17365"/>
      <w:r>
        <w:rPr>
          <w:rFonts w:hint="cs"/>
          <w:rtl/>
          <w:lang w:eastAsia="he-IL"/>
        </w:rPr>
        <w:t>נגד נשים. כך כתב פרופ' ברק מדינה.</w:t>
      </w:r>
      <w:bookmarkStart w:id="17366" w:name="_ETM_Q28_183141"/>
      <w:bookmarkEnd w:id="17366"/>
    </w:p>
    <w:p w:rsidR="00337201" w:rsidRDefault="00337201" w:rsidP="00337201">
      <w:pPr>
        <w:rPr>
          <w:rtl/>
          <w:lang w:eastAsia="he-IL"/>
        </w:rPr>
      </w:pPr>
      <w:bookmarkStart w:id="17367" w:name="_ETM_Q28_183215"/>
      <w:bookmarkEnd w:id="17367"/>
    </w:p>
    <w:p w:rsidR="00337201" w:rsidRDefault="00337201" w:rsidP="00337201">
      <w:pPr>
        <w:rPr>
          <w:rtl/>
        </w:rPr>
      </w:pPr>
      <w:bookmarkStart w:id="17368" w:name="_ETM_Q28_183243"/>
      <w:bookmarkStart w:id="17369" w:name="_ETM_Q28_183307"/>
      <w:bookmarkEnd w:id="17368"/>
      <w:bookmarkEnd w:id="17369"/>
      <w:r>
        <w:rPr>
          <w:rFonts w:hint="cs"/>
          <w:rtl/>
          <w:lang w:eastAsia="he-IL"/>
        </w:rPr>
        <w:t xml:space="preserve">מספיק </w:t>
      </w:r>
      <w:bookmarkStart w:id="17370" w:name="_ETM_Q28_179511"/>
      <w:bookmarkStart w:id="17371" w:name="_ETM_Q28_180359"/>
      <w:bookmarkStart w:id="17372" w:name="_ETM_Q28_181760"/>
      <w:bookmarkStart w:id="17373" w:name="_ETM_Q28_182239"/>
      <w:bookmarkEnd w:id="17370"/>
      <w:bookmarkEnd w:id="17371"/>
      <w:bookmarkEnd w:id="17372"/>
      <w:bookmarkEnd w:id="17373"/>
      <w:r>
        <w:rPr>
          <w:rFonts w:hint="cs"/>
          <w:rtl/>
        </w:rPr>
        <w:t xml:space="preserve">לקרוא </w:t>
      </w:r>
      <w:bookmarkStart w:id="17374" w:name="_ETM_Q28_182570"/>
      <w:bookmarkEnd w:id="17374"/>
      <w:r>
        <w:rPr>
          <w:rFonts w:hint="cs"/>
          <w:rtl/>
        </w:rPr>
        <w:t xml:space="preserve">את </w:t>
      </w:r>
      <w:bookmarkStart w:id="17375" w:name="_ETM_Q28_182690"/>
      <w:bookmarkEnd w:id="17375"/>
      <w:r>
        <w:rPr>
          <w:rFonts w:hint="cs"/>
          <w:rtl/>
        </w:rPr>
        <w:t xml:space="preserve">הדיווחים </w:t>
      </w:r>
      <w:bookmarkStart w:id="17376" w:name="_ETM_Q28_183199"/>
      <w:bookmarkEnd w:id="17376"/>
      <w:r>
        <w:rPr>
          <w:rFonts w:hint="cs"/>
          <w:rtl/>
        </w:rPr>
        <w:t xml:space="preserve">מישיבת </w:t>
      </w:r>
      <w:bookmarkStart w:id="17377" w:name="_ETM_Q28_183679"/>
      <w:bookmarkEnd w:id="17377"/>
      <w:r>
        <w:rPr>
          <w:rFonts w:hint="cs"/>
          <w:rtl/>
        </w:rPr>
        <w:t xml:space="preserve">הממשלה </w:t>
      </w:r>
      <w:bookmarkStart w:id="17378" w:name="_ETM_Q28_184160"/>
      <w:bookmarkEnd w:id="17378"/>
      <w:r>
        <w:rPr>
          <w:rFonts w:hint="cs"/>
          <w:rtl/>
        </w:rPr>
        <w:t xml:space="preserve">האחרונה, </w:t>
      </w:r>
      <w:bookmarkStart w:id="17379" w:name="_ETM_Q28_185120"/>
      <w:bookmarkEnd w:id="17379"/>
      <w:r>
        <w:rPr>
          <w:rFonts w:hint="cs"/>
          <w:rtl/>
        </w:rPr>
        <w:t xml:space="preserve">שבה </w:t>
      </w:r>
      <w:bookmarkStart w:id="17380" w:name="_ETM_Q28_185509"/>
      <w:bookmarkEnd w:id="17380"/>
      <w:r>
        <w:rPr>
          <w:rFonts w:hint="cs"/>
          <w:rtl/>
        </w:rPr>
        <w:t xml:space="preserve">השרים </w:t>
      </w:r>
      <w:bookmarkStart w:id="17381" w:name="_ETM_Q28_187549"/>
      <w:bookmarkEnd w:id="17381"/>
      <w:r>
        <w:rPr>
          <w:rFonts w:hint="cs"/>
          <w:rtl/>
        </w:rPr>
        <w:t xml:space="preserve">התחרו </w:t>
      </w:r>
      <w:bookmarkStart w:id="17382" w:name="_ETM_Q28_188690"/>
      <w:bookmarkEnd w:id="17382"/>
      <w:r>
        <w:rPr>
          <w:rFonts w:hint="cs"/>
          <w:rtl/>
        </w:rPr>
        <w:t xml:space="preserve">מי </w:t>
      </w:r>
      <w:bookmarkStart w:id="17383" w:name="_ETM_Q28_190901"/>
      <w:bookmarkEnd w:id="17383"/>
      <w:r>
        <w:rPr>
          <w:rFonts w:hint="cs"/>
          <w:rtl/>
        </w:rPr>
        <w:t xml:space="preserve">תוקף </w:t>
      </w:r>
      <w:bookmarkStart w:id="17384" w:name="_ETM_Q28_189410"/>
      <w:bookmarkEnd w:id="17384"/>
      <w:r>
        <w:rPr>
          <w:rFonts w:hint="cs"/>
          <w:rtl/>
        </w:rPr>
        <w:t xml:space="preserve">חזק </w:t>
      </w:r>
      <w:bookmarkStart w:id="17385" w:name="_ETM_Q28_189799"/>
      <w:bookmarkEnd w:id="17385"/>
      <w:r>
        <w:rPr>
          <w:rFonts w:hint="cs"/>
          <w:rtl/>
        </w:rPr>
        <w:t xml:space="preserve">יותר </w:t>
      </w:r>
      <w:bookmarkStart w:id="17386" w:name="_ETM_Q28_190070"/>
      <w:bookmarkEnd w:id="17386"/>
      <w:r>
        <w:rPr>
          <w:rFonts w:hint="cs"/>
          <w:rtl/>
        </w:rPr>
        <w:t xml:space="preserve">את </w:t>
      </w:r>
      <w:bookmarkStart w:id="17387" w:name="_ETM_Q28_190219"/>
      <w:bookmarkEnd w:id="17387"/>
      <w:r>
        <w:rPr>
          <w:rFonts w:hint="cs"/>
          <w:rtl/>
        </w:rPr>
        <w:t xml:space="preserve">היועצת </w:t>
      </w:r>
      <w:bookmarkStart w:id="17388" w:name="_ETM_Q28_190670"/>
      <w:bookmarkEnd w:id="17388"/>
      <w:r>
        <w:rPr>
          <w:rFonts w:hint="cs"/>
          <w:rtl/>
        </w:rPr>
        <w:t xml:space="preserve">המשפטית </w:t>
      </w:r>
      <w:bookmarkStart w:id="17389" w:name="_ETM_Q28_191240"/>
      <w:bookmarkEnd w:id="17389"/>
      <w:r>
        <w:rPr>
          <w:rFonts w:hint="cs"/>
          <w:rtl/>
        </w:rPr>
        <w:t xml:space="preserve">לממשלה, </w:t>
      </w:r>
      <w:bookmarkStart w:id="17390" w:name="_ETM_Q28_192420"/>
      <w:bookmarkEnd w:id="17390"/>
      <w:r>
        <w:rPr>
          <w:rFonts w:hint="cs"/>
          <w:rtl/>
        </w:rPr>
        <w:t xml:space="preserve">מי </w:t>
      </w:r>
      <w:bookmarkStart w:id="17391" w:name="_ETM_Q28_192690"/>
      <w:bookmarkEnd w:id="17391"/>
      <w:r>
        <w:rPr>
          <w:rFonts w:hint="cs"/>
          <w:rtl/>
        </w:rPr>
        <w:t xml:space="preserve">מאיים </w:t>
      </w:r>
      <w:bookmarkStart w:id="17392" w:name="_ETM_Q28_193170"/>
      <w:bookmarkEnd w:id="17392"/>
      <w:r>
        <w:rPr>
          <w:rFonts w:hint="cs"/>
          <w:rtl/>
        </w:rPr>
        <w:t xml:space="preserve">יותר </w:t>
      </w:r>
      <w:bookmarkStart w:id="17393" w:name="_ETM_Q28_193530"/>
      <w:bookmarkEnd w:id="17393"/>
      <w:r>
        <w:rPr>
          <w:rFonts w:hint="cs"/>
          <w:rtl/>
        </w:rPr>
        <w:t xml:space="preserve">על </w:t>
      </w:r>
      <w:bookmarkStart w:id="17394" w:name="_ETM_Q28_193620"/>
      <w:bookmarkEnd w:id="17394"/>
      <w:r>
        <w:rPr>
          <w:rFonts w:hint="cs"/>
          <w:rtl/>
        </w:rPr>
        <w:t xml:space="preserve">חופש </w:t>
      </w:r>
      <w:bookmarkStart w:id="17395" w:name="_ETM_Q28_194040"/>
      <w:bookmarkEnd w:id="17395"/>
      <w:r>
        <w:rPr>
          <w:rFonts w:hint="cs"/>
          <w:rtl/>
        </w:rPr>
        <w:t xml:space="preserve">המחאה </w:t>
      </w:r>
      <w:bookmarkStart w:id="17396" w:name="_ETM_Q28_194969"/>
      <w:bookmarkEnd w:id="17396"/>
      <w:r>
        <w:rPr>
          <w:rFonts w:hint="cs"/>
          <w:rtl/>
        </w:rPr>
        <w:t xml:space="preserve">ועל </w:t>
      </w:r>
      <w:bookmarkStart w:id="17397" w:name="_ETM_Q28_195240"/>
      <w:bookmarkEnd w:id="17397"/>
      <w:r>
        <w:rPr>
          <w:rFonts w:hint="cs"/>
          <w:rtl/>
        </w:rPr>
        <w:t xml:space="preserve">חייהם </w:t>
      </w:r>
      <w:bookmarkStart w:id="17398" w:name="_ETM_Q28_195690"/>
      <w:bookmarkEnd w:id="17398"/>
      <w:r>
        <w:rPr>
          <w:rFonts w:hint="cs"/>
          <w:rtl/>
        </w:rPr>
        <w:t xml:space="preserve">וביטחונם </w:t>
      </w:r>
      <w:bookmarkStart w:id="17399" w:name="_ETM_Q28_196650"/>
      <w:bookmarkEnd w:id="17399"/>
      <w:r>
        <w:rPr>
          <w:rFonts w:hint="cs"/>
          <w:rtl/>
        </w:rPr>
        <w:t xml:space="preserve">של </w:t>
      </w:r>
      <w:bookmarkStart w:id="17400" w:name="_ETM_Q28_196890"/>
      <w:bookmarkEnd w:id="17400"/>
      <w:r>
        <w:rPr>
          <w:rFonts w:hint="cs"/>
          <w:rtl/>
        </w:rPr>
        <w:t xml:space="preserve">מפגינים </w:t>
      </w:r>
      <w:bookmarkStart w:id="17401" w:name="_ETM_Q28_197369"/>
      <w:bookmarkEnd w:id="17401"/>
      <w:r>
        <w:rPr>
          <w:rFonts w:hint="cs"/>
          <w:rtl/>
        </w:rPr>
        <w:t>שלווים</w:t>
      </w:r>
      <w:bookmarkStart w:id="17402" w:name="_ETM_Q28_196671"/>
      <w:bookmarkEnd w:id="17402"/>
      <w:r>
        <w:rPr>
          <w:rFonts w:hint="cs"/>
          <w:rtl/>
        </w:rPr>
        <w:t xml:space="preserve">, </w:t>
      </w:r>
      <w:bookmarkStart w:id="17403" w:name="_ETM_Q28_198300"/>
      <w:bookmarkEnd w:id="17403"/>
      <w:r>
        <w:rPr>
          <w:rFonts w:hint="cs"/>
          <w:rtl/>
        </w:rPr>
        <w:t xml:space="preserve">בכדי </w:t>
      </w:r>
      <w:bookmarkStart w:id="17404" w:name="_ETM_Q28_198720"/>
      <w:bookmarkEnd w:id="17404"/>
      <w:r>
        <w:rPr>
          <w:rFonts w:hint="cs"/>
          <w:rtl/>
        </w:rPr>
        <w:t xml:space="preserve">להבין </w:t>
      </w:r>
      <w:bookmarkStart w:id="17405" w:name="_ETM_Q28_199749"/>
      <w:bookmarkEnd w:id="17405"/>
      <w:r>
        <w:rPr>
          <w:rFonts w:hint="cs"/>
          <w:rtl/>
        </w:rPr>
        <w:t xml:space="preserve">– הממשלה </w:t>
      </w:r>
      <w:bookmarkStart w:id="17406" w:name="_ETM_Q28_200439"/>
      <w:bookmarkEnd w:id="17406"/>
      <w:r>
        <w:rPr>
          <w:rFonts w:hint="cs"/>
          <w:rtl/>
        </w:rPr>
        <w:t xml:space="preserve">הזאת </w:t>
      </w:r>
      <w:bookmarkStart w:id="17407" w:name="_ETM_Q28_200739"/>
      <w:bookmarkEnd w:id="17407"/>
      <w:r>
        <w:rPr>
          <w:rFonts w:hint="cs"/>
          <w:rtl/>
        </w:rPr>
        <w:t xml:space="preserve">איבדה </w:t>
      </w:r>
      <w:bookmarkStart w:id="17408" w:name="_ETM_Q28_201099"/>
      <w:bookmarkEnd w:id="17408"/>
      <w:r>
        <w:rPr>
          <w:rFonts w:hint="cs"/>
          <w:rtl/>
        </w:rPr>
        <w:t xml:space="preserve">כל </w:t>
      </w:r>
      <w:bookmarkStart w:id="17409" w:name="_ETM_Q28_201369"/>
      <w:bookmarkEnd w:id="17409"/>
      <w:r>
        <w:rPr>
          <w:rFonts w:hint="cs"/>
          <w:rtl/>
        </w:rPr>
        <w:t xml:space="preserve">סבירות </w:t>
      </w:r>
      <w:bookmarkStart w:id="17410" w:name="_ETM_Q28_202400"/>
      <w:bookmarkEnd w:id="17410"/>
      <w:r>
        <w:rPr>
          <w:rFonts w:hint="cs"/>
          <w:rtl/>
        </w:rPr>
        <w:t xml:space="preserve">ומחוקקת </w:t>
      </w:r>
      <w:bookmarkStart w:id="17411" w:name="_ETM_Q28_203150"/>
      <w:bookmarkEnd w:id="17411"/>
      <w:r>
        <w:rPr>
          <w:rFonts w:hint="cs"/>
          <w:rtl/>
        </w:rPr>
        <w:t xml:space="preserve">לעצמה </w:t>
      </w:r>
      <w:bookmarkStart w:id="17412" w:name="_ETM_Q28_203599"/>
      <w:bookmarkEnd w:id="17412"/>
      <w:r>
        <w:rPr>
          <w:rFonts w:hint="cs"/>
          <w:rtl/>
        </w:rPr>
        <w:t>ולראשי</w:t>
      </w:r>
      <w:bookmarkStart w:id="17413" w:name="_ETM_Q28_204140"/>
      <w:bookmarkEnd w:id="17413"/>
      <w:r>
        <w:rPr>
          <w:rFonts w:hint="cs"/>
          <w:rtl/>
        </w:rPr>
        <w:t xml:space="preserve">ה מילוט </w:t>
      </w:r>
      <w:bookmarkStart w:id="17414" w:name="_ETM_Q28_205160"/>
      <w:bookmarkEnd w:id="17414"/>
      <w:r>
        <w:rPr>
          <w:rFonts w:hint="cs"/>
          <w:rtl/>
        </w:rPr>
        <w:t xml:space="preserve">מאימת </w:t>
      </w:r>
      <w:bookmarkStart w:id="17415" w:name="_ETM_Q28_205699"/>
      <w:bookmarkEnd w:id="17415"/>
      <w:r>
        <w:rPr>
          <w:rFonts w:hint="cs"/>
          <w:rtl/>
        </w:rPr>
        <w:t>הדין</w:t>
      </w:r>
      <w:bookmarkStart w:id="17416" w:name="_ETM_Q28_204130"/>
      <w:bookmarkEnd w:id="17416"/>
      <w:r>
        <w:rPr>
          <w:rFonts w:hint="cs"/>
          <w:rtl/>
        </w:rPr>
        <w:t xml:space="preserve"> </w:t>
      </w:r>
      <w:bookmarkStart w:id="17417" w:name="_ETM_Q28_206419"/>
      <w:bookmarkEnd w:id="17417"/>
      <w:r>
        <w:rPr>
          <w:rFonts w:hint="cs"/>
          <w:rtl/>
        </w:rPr>
        <w:t xml:space="preserve">וצוהר </w:t>
      </w:r>
      <w:bookmarkStart w:id="17418" w:name="_ETM_Q28_207529"/>
      <w:bookmarkEnd w:id="17418"/>
      <w:r>
        <w:rPr>
          <w:rFonts w:hint="cs"/>
          <w:rtl/>
        </w:rPr>
        <w:t xml:space="preserve">להפיכת </w:t>
      </w:r>
      <w:bookmarkStart w:id="17419" w:name="_ETM_Q28_208189"/>
      <w:bookmarkEnd w:id="17419"/>
      <w:r>
        <w:rPr>
          <w:rFonts w:hint="cs"/>
          <w:rtl/>
        </w:rPr>
        <w:t xml:space="preserve">הדיקטטורה </w:t>
      </w:r>
      <w:bookmarkStart w:id="17420" w:name="_ETM_Q28_209029"/>
      <w:bookmarkEnd w:id="17420"/>
      <w:r>
        <w:rPr>
          <w:rFonts w:hint="cs"/>
          <w:rtl/>
        </w:rPr>
        <w:t xml:space="preserve">והלאומנות </w:t>
      </w:r>
      <w:bookmarkStart w:id="17421" w:name="_ETM_Q28_209779"/>
      <w:bookmarkEnd w:id="17421"/>
      <w:r>
        <w:rPr>
          <w:rFonts w:hint="cs"/>
          <w:rtl/>
        </w:rPr>
        <w:t xml:space="preserve">של </w:t>
      </w:r>
      <w:bookmarkStart w:id="17422" w:name="_ETM_Q28_209930"/>
      <w:bookmarkEnd w:id="17422"/>
      <w:r>
        <w:rPr>
          <w:rFonts w:hint="cs"/>
          <w:rtl/>
        </w:rPr>
        <w:t>ה</w:t>
      </w:r>
      <w:bookmarkStart w:id="17423" w:name="_ETM_Q28_207449"/>
      <w:bookmarkEnd w:id="17423"/>
      <w:r>
        <w:rPr>
          <w:rFonts w:hint="cs"/>
          <w:rtl/>
        </w:rPr>
        <w:t>ד</w:t>
      </w:r>
      <w:bookmarkStart w:id="17424" w:name="_ETM_Q28_209184"/>
      <w:bookmarkEnd w:id="17424"/>
      <w:r>
        <w:rPr>
          <w:rFonts w:hint="cs"/>
          <w:rtl/>
        </w:rPr>
        <w:t xml:space="preserve">ם </w:t>
      </w:r>
      <w:bookmarkStart w:id="17425" w:name="_ETM_Q28_210259"/>
      <w:bookmarkEnd w:id="17425"/>
      <w:r>
        <w:rPr>
          <w:rFonts w:hint="cs"/>
          <w:rtl/>
        </w:rPr>
        <w:t xml:space="preserve">והאדמה </w:t>
      </w:r>
      <w:bookmarkStart w:id="17426" w:name="_ETM_Q28_211369"/>
      <w:bookmarkEnd w:id="17426"/>
      <w:r>
        <w:rPr>
          <w:rFonts w:hint="cs"/>
          <w:rtl/>
        </w:rPr>
        <w:t xml:space="preserve">לעיקרון </w:t>
      </w:r>
      <w:bookmarkStart w:id="17427" w:name="_ETM_Q28_212149"/>
      <w:bookmarkEnd w:id="17427"/>
      <w:r>
        <w:rPr>
          <w:rFonts w:hint="cs"/>
          <w:rtl/>
        </w:rPr>
        <w:t xml:space="preserve">חוקתי </w:t>
      </w:r>
      <w:bookmarkStart w:id="17428" w:name="_ETM_Q28_212659"/>
      <w:bookmarkEnd w:id="17428"/>
      <w:r>
        <w:rPr>
          <w:rFonts w:hint="cs"/>
          <w:rtl/>
        </w:rPr>
        <w:t>מחייב.</w:t>
      </w:r>
      <w:bookmarkStart w:id="17429" w:name="_ETM_Q28_214300"/>
      <w:bookmarkEnd w:id="17429"/>
      <w:r>
        <w:rPr>
          <w:rFonts w:hint="cs"/>
          <w:rtl/>
        </w:rPr>
        <w:t xml:space="preserve"> </w:t>
      </w:r>
      <w:bookmarkStart w:id="17430" w:name="_ETM_Q28_216074"/>
      <w:bookmarkStart w:id="17431" w:name="_ETM_Q28_216142"/>
      <w:bookmarkStart w:id="17432" w:name="_ETM_Q28_216233"/>
      <w:bookmarkStart w:id="17433" w:name="_ETM_Q28_216278"/>
      <w:bookmarkStart w:id="17434" w:name="_ETM_Q28_222570"/>
      <w:bookmarkEnd w:id="17430"/>
      <w:bookmarkEnd w:id="17431"/>
      <w:bookmarkEnd w:id="17432"/>
      <w:bookmarkEnd w:id="17433"/>
      <w:bookmarkEnd w:id="17434"/>
      <w:r>
        <w:rPr>
          <w:rFonts w:hint="cs"/>
          <w:rtl/>
        </w:rPr>
        <w:t xml:space="preserve">הממשלה </w:t>
      </w:r>
      <w:bookmarkStart w:id="17435" w:name="_ETM_Q28_214900"/>
      <w:bookmarkEnd w:id="17435"/>
      <w:r>
        <w:rPr>
          <w:rFonts w:hint="cs"/>
          <w:rtl/>
        </w:rPr>
        <w:t xml:space="preserve">רוצה </w:t>
      </w:r>
      <w:bookmarkStart w:id="17436" w:name="_ETM_Q28_215229"/>
      <w:bookmarkEnd w:id="17436"/>
      <w:r>
        <w:rPr>
          <w:rFonts w:hint="cs"/>
          <w:rtl/>
        </w:rPr>
        <w:t xml:space="preserve">להפוך </w:t>
      </w:r>
      <w:bookmarkStart w:id="17437" w:name="_ETM_Q28_215680"/>
      <w:bookmarkEnd w:id="17437"/>
      <w:r>
        <w:rPr>
          <w:rFonts w:hint="cs"/>
          <w:rtl/>
        </w:rPr>
        <w:t xml:space="preserve">את </w:t>
      </w:r>
      <w:bookmarkStart w:id="17438" w:name="_ETM_Q28_215800"/>
      <w:bookmarkEnd w:id="17438"/>
      <w:r>
        <w:rPr>
          <w:rFonts w:hint="cs"/>
          <w:rtl/>
        </w:rPr>
        <w:t>האי</w:t>
      </w:r>
      <w:bookmarkStart w:id="17439" w:name="_ETM_Q28_215920"/>
      <w:bookmarkEnd w:id="17439"/>
      <w:r>
        <w:rPr>
          <w:rFonts w:hint="cs"/>
          <w:rtl/>
        </w:rPr>
        <w:t xml:space="preserve">-שוויון </w:t>
      </w:r>
      <w:bookmarkStart w:id="17440" w:name="_ETM_Q28_217239"/>
      <w:bookmarkEnd w:id="17440"/>
      <w:r>
        <w:rPr>
          <w:rFonts w:hint="cs"/>
          <w:rtl/>
        </w:rPr>
        <w:t>מ</w:t>
      </w:r>
      <w:bookmarkStart w:id="17441" w:name="_ETM_Q28_217510"/>
      <w:bookmarkEnd w:id="17441"/>
      <w:r>
        <w:rPr>
          <w:rFonts w:hint="cs"/>
          <w:rtl/>
        </w:rPr>
        <w:t xml:space="preserve">נגע </w:t>
      </w:r>
      <w:bookmarkStart w:id="17442" w:name="_ETM_Q28_218019"/>
      <w:bookmarkEnd w:id="17442"/>
      <w:r>
        <w:rPr>
          <w:rFonts w:hint="cs"/>
          <w:rtl/>
        </w:rPr>
        <w:t xml:space="preserve">פסול </w:t>
      </w:r>
      <w:bookmarkStart w:id="17443" w:name="_ETM_Q28_219129"/>
      <w:bookmarkEnd w:id="17443"/>
      <w:r>
        <w:rPr>
          <w:rFonts w:hint="cs"/>
          <w:rtl/>
        </w:rPr>
        <w:t>לאידיאל</w:t>
      </w:r>
      <w:bookmarkStart w:id="17444" w:name="_ETM_Q28_217047"/>
      <w:bookmarkEnd w:id="17444"/>
      <w:r>
        <w:rPr>
          <w:rFonts w:hint="cs"/>
          <w:rtl/>
        </w:rPr>
        <w:t xml:space="preserve"> </w:t>
      </w:r>
      <w:bookmarkStart w:id="17445" w:name="_ETM_Q28_220510"/>
      <w:bookmarkEnd w:id="17445"/>
      <w:r>
        <w:rPr>
          <w:rFonts w:hint="cs"/>
          <w:rtl/>
        </w:rPr>
        <w:t xml:space="preserve">וליעד </w:t>
      </w:r>
      <w:bookmarkStart w:id="17446" w:name="_ETM_Q28_221199"/>
      <w:bookmarkEnd w:id="17446"/>
      <w:r>
        <w:rPr>
          <w:rFonts w:hint="cs"/>
          <w:rtl/>
        </w:rPr>
        <w:t xml:space="preserve">פוליטי </w:t>
      </w:r>
      <w:bookmarkStart w:id="17447" w:name="_ETM_Q28_221739"/>
      <w:bookmarkEnd w:id="17447"/>
      <w:r>
        <w:rPr>
          <w:rFonts w:hint="cs"/>
          <w:rtl/>
        </w:rPr>
        <w:t xml:space="preserve">לגיטימי </w:t>
      </w:r>
      <w:bookmarkStart w:id="17448" w:name="_ETM_Q28_222729"/>
      <w:bookmarkEnd w:id="17448"/>
      <w:r>
        <w:rPr>
          <w:rFonts w:hint="cs"/>
          <w:rtl/>
        </w:rPr>
        <w:t xml:space="preserve">שאליו </w:t>
      </w:r>
      <w:bookmarkStart w:id="17449" w:name="_ETM_Q28_223149"/>
      <w:bookmarkEnd w:id="17449"/>
      <w:r>
        <w:rPr>
          <w:rFonts w:hint="cs"/>
          <w:rtl/>
        </w:rPr>
        <w:t xml:space="preserve">יש </w:t>
      </w:r>
      <w:bookmarkStart w:id="17450" w:name="_ETM_Q28_223329"/>
      <w:bookmarkEnd w:id="17450"/>
      <w:r>
        <w:rPr>
          <w:rFonts w:hint="cs"/>
          <w:rtl/>
        </w:rPr>
        <w:t>לשאוף.</w:t>
      </w:r>
      <w:bookmarkStart w:id="17451" w:name="_ETM_Q28_225310"/>
      <w:bookmarkEnd w:id="17451"/>
    </w:p>
    <w:p w:rsidR="00337201" w:rsidRDefault="00337201" w:rsidP="00337201">
      <w:pPr>
        <w:rPr>
          <w:rtl/>
        </w:rPr>
      </w:pPr>
    </w:p>
    <w:p w:rsidR="00337201" w:rsidRDefault="00337201" w:rsidP="00337201">
      <w:pPr>
        <w:rPr>
          <w:rtl/>
        </w:rPr>
      </w:pPr>
      <w:r>
        <w:rPr>
          <w:rFonts w:hint="cs"/>
          <w:rtl/>
        </w:rPr>
        <w:t xml:space="preserve">היה </w:t>
      </w:r>
      <w:bookmarkStart w:id="17452" w:name="_ETM_Q28_225640"/>
      <w:bookmarkEnd w:id="17452"/>
      <w:r>
        <w:rPr>
          <w:rFonts w:hint="cs"/>
          <w:rtl/>
        </w:rPr>
        <w:t xml:space="preserve">זה </w:t>
      </w:r>
      <w:bookmarkStart w:id="17453" w:name="_ETM_Q28_225880"/>
      <w:bookmarkStart w:id="17454" w:name="_ETM_Q28_222183"/>
      <w:bookmarkEnd w:id="17453"/>
      <w:bookmarkEnd w:id="17454"/>
      <w:r>
        <w:rPr>
          <w:rFonts w:hint="cs"/>
          <w:rtl/>
        </w:rPr>
        <w:t>אדמונד ברק</w:t>
      </w:r>
      <w:bookmarkStart w:id="17455" w:name="_ETM_Q28_226150"/>
      <w:bookmarkEnd w:id="17455"/>
      <w:r>
        <w:rPr>
          <w:rFonts w:hint="cs"/>
          <w:rtl/>
        </w:rPr>
        <w:t xml:space="preserve">, </w:t>
      </w:r>
      <w:bookmarkStart w:id="17456" w:name="_ETM_Q28_227280"/>
      <w:bookmarkEnd w:id="17456"/>
      <w:r>
        <w:rPr>
          <w:rFonts w:hint="cs"/>
          <w:rtl/>
        </w:rPr>
        <w:t xml:space="preserve">חבר </w:t>
      </w:r>
      <w:bookmarkStart w:id="17457" w:name="_ETM_Q28_227850"/>
      <w:bookmarkEnd w:id="17457"/>
      <w:r>
        <w:rPr>
          <w:rFonts w:hint="cs"/>
          <w:rtl/>
        </w:rPr>
        <w:t xml:space="preserve">הפרלמנט </w:t>
      </w:r>
      <w:bookmarkStart w:id="17458" w:name="_ETM_Q28_228449"/>
      <w:bookmarkEnd w:id="17458"/>
      <w:r>
        <w:rPr>
          <w:rFonts w:hint="cs"/>
          <w:rtl/>
        </w:rPr>
        <w:t xml:space="preserve">הבריטי </w:t>
      </w:r>
      <w:bookmarkStart w:id="17459" w:name="_ETM_Q28_229469"/>
      <w:bookmarkEnd w:id="17459"/>
      <w:r>
        <w:rPr>
          <w:rFonts w:hint="cs"/>
          <w:rtl/>
        </w:rPr>
        <w:t xml:space="preserve">ואבי </w:t>
      </w:r>
      <w:bookmarkStart w:id="17460" w:name="_ETM_Q28_230010"/>
      <w:bookmarkEnd w:id="17460"/>
      <w:r>
        <w:rPr>
          <w:rFonts w:hint="cs"/>
          <w:rtl/>
        </w:rPr>
        <w:t xml:space="preserve">המחשבה </w:t>
      </w:r>
      <w:bookmarkStart w:id="17461" w:name="_ETM_Q28_230549"/>
      <w:bookmarkEnd w:id="17461"/>
      <w:r>
        <w:rPr>
          <w:rFonts w:hint="cs"/>
          <w:rtl/>
        </w:rPr>
        <w:t xml:space="preserve">השמרנית – </w:t>
      </w:r>
      <w:bookmarkStart w:id="17462" w:name="_ETM_Q28_231780"/>
      <w:bookmarkStart w:id="17463" w:name="_ETM_Q28_229346"/>
      <w:bookmarkEnd w:id="17462"/>
      <w:bookmarkEnd w:id="17463"/>
      <w:r>
        <w:rPr>
          <w:rFonts w:hint="cs"/>
          <w:rtl/>
        </w:rPr>
        <w:t xml:space="preserve">אתם </w:t>
      </w:r>
      <w:bookmarkStart w:id="17464" w:name="_ETM_Q28_231869"/>
      <w:bookmarkEnd w:id="17464"/>
      <w:r>
        <w:rPr>
          <w:rFonts w:hint="cs"/>
          <w:rtl/>
        </w:rPr>
        <w:t xml:space="preserve">יכולים </w:t>
      </w:r>
      <w:bookmarkStart w:id="17465" w:name="_ETM_Q28_232109"/>
      <w:bookmarkEnd w:id="17465"/>
      <w:r>
        <w:rPr>
          <w:rFonts w:hint="cs"/>
          <w:rtl/>
        </w:rPr>
        <w:t xml:space="preserve">להבין, </w:t>
      </w:r>
      <w:bookmarkStart w:id="17466" w:name="_ETM_Q28_232409"/>
      <w:bookmarkEnd w:id="17466"/>
      <w:r>
        <w:rPr>
          <w:rFonts w:hint="cs"/>
          <w:rtl/>
        </w:rPr>
        <w:t xml:space="preserve">לא </w:t>
      </w:r>
      <w:bookmarkStart w:id="17467" w:name="_ETM_Q28_232499"/>
      <w:bookmarkEnd w:id="17467"/>
      <w:r>
        <w:rPr>
          <w:rFonts w:hint="cs"/>
          <w:rtl/>
        </w:rPr>
        <w:t xml:space="preserve">בדיוק </w:t>
      </w:r>
      <w:bookmarkStart w:id="17468" w:name="_ETM_Q28_233219"/>
      <w:bookmarkEnd w:id="17468"/>
      <w:r>
        <w:rPr>
          <w:rFonts w:hint="cs"/>
          <w:rtl/>
        </w:rPr>
        <w:t xml:space="preserve">כוס </w:t>
      </w:r>
      <w:bookmarkStart w:id="17469" w:name="_ETM_Q28_233459"/>
      <w:bookmarkEnd w:id="17469"/>
      <w:r>
        <w:rPr>
          <w:rFonts w:hint="cs"/>
          <w:rtl/>
        </w:rPr>
        <w:t xml:space="preserve">התה </w:t>
      </w:r>
      <w:bookmarkStart w:id="17470" w:name="_ETM_Q28_233729"/>
      <w:bookmarkEnd w:id="17470"/>
      <w:r>
        <w:rPr>
          <w:rFonts w:hint="cs"/>
          <w:rtl/>
        </w:rPr>
        <w:t xml:space="preserve">שלי – </w:t>
      </w:r>
      <w:bookmarkStart w:id="17471" w:name="_ETM_Q28_235059"/>
      <w:bookmarkEnd w:id="17471"/>
      <w:r>
        <w:rPr>
          <w:rFonts w:hint="cs"/>
          <w:rtl/>
        </w:rPr>
        <w:t xml:space="preserve">שהתנגד </w:t>
      </w:r>
      <w:bookmarkStart w:id="17472" w:name="_ETM_Q28_235899"/>
      <w:bookmarkEnd w:id="17472"/>
      <w:r>
        <w:rPr>
          <w:rFonts w:hint="cs"/>
          <w:rtl/>
        </w:rPr>
        <w:t xml:space="preserve">בקול </w:t>
      </w:r>
      <w:bookmarkStart w:id="17473" w:name="_ETM_Q28_236320"/>
      <w:bookmarkEnd w:id="17473"/>
      <w:r>
        <w:rPr>
          <w:rFonts w:hint="cs"/>
          <w:rtl/>
        </w:rPr>
        <w:t xml:space="preserve">גדול </w:t>
      </w:r>
      <w:bookmarkStart w:id="17474" w:name="_ETM_Q28_236739"/>
      <w:bookmarkEnd w:id="17474"/>
      <w:r>
        <w:rPr>
          <w:rFonts w:hint="cs"/>
          <w:rtl/>
        </w:rPr>
        <w:t xml:space="preserve">למדיניות </w:t>
      </w:r>
      <w:bookmarkStart w:id="17475" w:name="_ETM_Q28_237430"/>
      <w:bookmarkEnd w:id="17475"/>
      <w:r>
        <w:rPr>
          <w:rFonts w:hint="cs"/>
          <w:rtl/>
        </w:rPr>
        <w:t xml:space="preserve">הכתר </w:t>
      </w:r>
      <w:bookmarkStart w:id="17476" w:name="_ETM_Q28_237910"/>
      <w:bookmarkEnd w:id="17476"/>
      <w:r>
        <w:rPr>
          <w:rFonts w:hint="cs"/>
          <w:rtl/>
        </w:rPr>
        <w:t xml:space="preserve">הבריטי </w:t>
      </w:r>
      <w:bookmarkStart w:id="17477" w:name="_ETM_Q28_238930"/>
      <w:bookmarkEnd w:id="17477"/>
      <w:r>
        <w:rPr>
          <w:rFonts w:hint="cs"/>
          <w:rtl/>
        </w:rPr>
        <w:t xml:space="preserve">בקולוניות </w:t>
      </w:r>
      <w:bookmarkStart w:id="17478" w:name="_ETM_Q28_239890"/>
      <w:bookmarkEnd w:id="17478"/>
      <w:r>
        <w:rPr>
          <w:rFonts w:hint="cs"/>
          <w:rtl/>
        </w:rPr>
        <w:t>באמריקה, הודו</w:t>
      </w:r>
      <w:bookmarkStart w:id="17479" w:name="_ETM_Q28_237345"/>
      <w:bookmarkEnd w:id="17479"/>
      <w:r>
        <w:rPr>
          <w:rFonts w:hint="cs"/>
          <w:rtl/>
        </w:rPr>
        <w:t xml:space="preserve"> </w:t>
      </w:r>
      <w:bookmarkStart w:id="17480" w:name="_ETM_Q28_240730"/>
      <w:bookmarkStart w:id="17481" w:name="_ETM_Q28_241000"/>
      <w:bookmarkStart w:id="17482" w:name="_ETM_Q28_241450"/>
      <w:bookmarkEnd w:id="17480"/>
      <w:bookmarkEnd w:id="17481"/>
      <w:bookmarkEnd w:id="17482"/>
      <w:r>
        <w:rPr>
          <w:rFonts w:hint="cs"/>
          <w:rtl/>
        </w:rPr>
        <w:t xml:space="preserve">ואירלנד </w:t>
      </w:r>
      <w:bookmarkStart w:id="17483" w:name="_ETM_Q28_242230"/>
      <w:bookmarkEnd w:id="17483"/>
      <w:r>
        <w:rPr>
          <w:rFonts w:hint="cs"/>
          <w:rtl/>
        </w:rPr>
        <w:t xml:space="preserve">ואף </w:t>
      </w:r>
      <w:bookmarkStart w:id="17484" w:name="_ETM_Q28_242680"/>
      <w:bookmarkEnd w:id="17484"/>
      <w:r>
        <w:rPr>
          <w:rFonts w:hint="cs"/>
          <w:rtl/>
        </w:rPr>
        <w:t xml:space="preserve">תמך </w:t>
      </w:r>
      <w:bookmarkStart w:id="17485" w:name="_ETM_Q28_243250"/>
      <w:bookmarkEnd w:id="17485"/>
      <w:r>
        <w:rPr>
          <w:rFonts w:hint="cs"/>
          <w:rtl/>
        </w:rPr>
        <w:t>במאבקן</w:t>
      </w:r>
      <w:bookmarkStart w:id="17486" w:name="_ETM_Q28_241483"/>
      <w:bookmarkEnd w:id="17486"/>
      <w:r>
        <w:rPr>
          <w:rFonts w:hint="cs"/>
          <w:rtl/>
        </w:rPr>
        <w:t xml:space="preserve"> </w:t>
      </w:r>
      <w:bookmarkStart w:id="17487" w:name="_ETM_Q28_244540"/>
      <w:bookmarkEnd w:id="17487"/>
      <w:r>
        <w:rPr>
          <w:rFonts w:hint="cs"/>
          <w:rtl/>
        </w:rPr>
        <w:t xml:space="preserve">נגד </w:t>
      </w:r>
      <w:bookmarkStart w:id="17488" w:name="_ETM_Q28_244959"/>
      <w:bookmarkEnd w:id="17488"/>
      <w:r>
        <w:rPr>
          <w:rFonts w:hint="cs"/>
          <w:rtl/>
        </w:rPr>
        <w:t xml:space="preserve">השלטון </w:t>
      </w:r>
      <w:bookmarkStart w:id="17489" w:name="_ETM_Q28_245470"/>
      <w:bookmarkEnd w:id="17489"/>
      <w:r>
        <w:rPr>
          <w:rFonts w:hint="cs"/>
          <w:rtl/>
        </w:rPr>
        <w:t xml:space="preserve">הבריטי </w:t>
      </w:r>
      <w:bookmarkStart w:id="17490" w:name="_ETM_Q28_245890"/>
      <w:bookmarkEnd w:id="17490"/>
      <w:r>
        <w:rPr>
          <w:rFonts w:hint="cs"/>
          <w:rtl/>
        </w:rPr>
        <w:t>בע</w:t>
      </w:r>
      <w:bookmarkStart w:id="17491" w:name="_ETM_Q28_244489"/>
      <w:bookmarkEnd w:id="17491"/>
      <w:r>
        <w:rPr>
          <w:rFonts w:hint="cs"/>
          <w:rtl/>
        </w:rPr>
        <w:t xml:space="preserve">ודו </w:t>
      </w:r>
      <w:bookmarkStart w:id="17492" w:name="_ETM_Q28_246310"/>
      <w:bookmarkEnd w:id="17492"/>
      <w:r>
        <w:rPr>
          <w:rFonts w:hint="cs"/>
          <w:rtl/>
        </w:rPr>
        <w:t xml:space="preserve">חבר </w:t>
      </w:r>
      <w:bookmarkStart w:id="17493" w:name="_ETM_Q28_246610"/>
      <w:bookmarkEnd w:id="17493"/>
      <w:r>
        <w:rPr>
          <w:rFonts w:hint="cs"/>
          <w:rtl/>
        </w:rPr>
        <w:t xml:space="preserve">בפרלמנט. </w:t>
      </w:r>
      <w:bookmarkStart w:id="17494" w:name="_ETM_Q28_247910"/>
      <w:bookmarkEnd w:id="17494"/>
      <w:r>
        <w:rPr>
          <w:rFonts w:hint="cs"/>
          <w:rtl/>
        </w:rPr>
        <w:t xml:space="preserve">יש </w:t>
      </w:r>
      <w:bookmarkStart w:id="17495" w:name="_ETM_Q28_248090"/>
      <w:bookmarkEnd w:id="17495"/>
      <w:r>
        <w:rPr>
          <w:rFonts w:hint="cs"/>
          <w:rtl/>
        </w:rPr>
        <w:t xml:space="preserve">כאלה </w:t>
      </w:r>
      <w:bookmarkStart w:id="17496" w:name="_ETM_Q28_248330"/>
      <w:bookmarkEnd w:id="17496"/>
      <w:r>
        <w:rPr>
          <w:rFonts w:hint="cs"/>
          <w:rtl/>
        </w:rPr>
        <w:t xml:space="preserve">שאומרים </w:t>
      </w:r>
      <w:bookmarkStart w:id="17497" w:name="_ETM_Q28_248630"/>
      <w:bookmarkEnd w:id="17497"/>
      <w:r>
        <w:rPr>
          <w:rFonts w:hint="cs"/>
          <w:rtl/>
        </w:rPr>
        <w:t xml:space="preserve">בבית </w:t>
      </w:r>
      <w:bookmarkStart w:id="17498" w:name="_ETM_Q28_248959"/>
      <w:bookmarkEnd w:id="17498"/>
      <w:r>
        <w:rPr>
          <w:rFonts w:hint="cs"/>
          <w:rtl/>
        </w:rPr>
        <w:t>הזה</w:t>
      </w:r>
      <w:bookmarkStart w:id="17499" w:name="_ETM_Q28_247394"/>
      <w:bookmarkEnd w:id="17499"/>
      <w:r>
        <w:rPr>
          <w:rFonts w:hint="cs"/>
          <w:rtl/>
        </w:rPr>
        <w:t xml:space="preserve">, </w:t>
      </w:r>
      <w:bookmarkStart w:id="17500" w:name="_ETM_Q28_249170"/>
      <w:bookmarkEnd w:id="17500"/>
      <w:r>
        <w:rPr>
          <w:rFonts w:hint="cs"/>
          <w:rtl/>
        </w:rPr>
        <w:t xml:space="preserve">לא </w:t>
      </w:r>
      <w:bookmarkStart w:id="17501" w:name="_ETM_Q28_249290"/>
      <w:bookmarkEnd w:id="17501"/>
      <w:r>
        <w:rPr>
          <w:rFonts w:hint="cs"/>
          <w:rtl/>
        </w:rPr>
        <w:t xml:space="preserve">היה </w:t>
      </w:r>
      <w:bookmarkStart w:id="17502" w:name="_ETM_Q28_249470"/>
      <w:bookmarkEnd w:id="17502"/>
      <w:r>
        <w:rPr>
          <w:rFonts w:hint="cs"/>
          <w:rtl/>
        </w:rPr>
        <w:t xml:space="preserve">ולא </w:t>
      </w:r>
      <w:bookmarkStart w:id="17503" w:name="_ETM_Q28_249980"/>
      <w:bookmarkEnd w:id="17503"/>
      <w:r>
        <w:rPr>
          <w:rFonts w:hint="cs"/>
          <w:rtl/>
        </w:rPr>
        <w:t xml:space="preserve">נברא </w:t>
      </w:r>
      <w:bookmarkStart w:id="17504" w:name="_ETM_Q28_250310"/>
      <w:bookmarkStart w:id="17505" w:name="_ETM_Q28_250940"/>
      <w:bookmarkEnd w:id="17504"/>
      <w:bookmarkEnd w:id="17505"/>
      <w:r>
        <w:rPr>
          <w:rFonts w:hint="cs"/>
          <w:rtl/>
        </w:rPr>
        <w:t xml:space="preserve">דבר </w:t>
      </w:r>
      <w:bookmarkStart w:id="17506" w:name="_ETM_Q28_251330"/>
      <w:bookmarkEnd w:id="17506"/>
      <w:r>
        <w:rPr>
          <w:rFonts w:hint="cs"/>
          <w:rtl/>
        </w:rPr>
        <w:t xml:space="preserve">כזה – </w:t>
      </w:r>
      <w:bookmarkStart w:id="17507" w:name="_ETM_Q28_252170"/>
      <w:bookmarkEnd w:id="17507"/>
      <w:r>
        <w:rPr>
          <w:rFonts w:hint="cs"/>
          <w:rtl/>
        </w:rPr>
        <w:t>היה.</w:t>
      </w:r>
      <w:bookmarkStart w:id="17508" w:name="_ETM_Q28_249093"/>
      <w:bookmarkEnd w:id="17508"/>
      <w:r>
        <w:rPr>
          <w:rFonts w:hint="cs"/>
          <w:rtl/>
        </w:rPr>
        <w:t xml:space="preserve"> </w:t>
      </w:r>
      <w:bookmarkStart w:id="17509" w:name="_ETM_Q28_253600"/>
      <w:bookmarkEnd w:id="17509"/>
      <w:r>
        <w:rPr>
          <w:rFonts w:hint="cs"/>
          <w:rtl/>
        </w:rPr>
        <w:t xml:space="preserve">ממשלת </w:t>
      </w:r>
      <w:bookmarkStart w:id="17510" w:name="_ETM_Q28_254170"/>
      <w:bookmarkEnd w:id="17510"/>
      <w:r>
        <w:rPr>
          <w:rFonts w:hint="cs"/>
          <w:rtl/>
        </w:rPr>
        <w:t xml:space="preserve">בריטניה, </w:t>
      </w:r>
      <w:bookmarkStart w:id="17511" w:name="_ETM_Q28_254740"/>
      <w:bookmarkEnd w:id="17511"/>
      <w:r>
        <w:rPr>
          <w:rFonts w:hint="cs"/>
          <w:rtl/>
        </w:rPr>
        <w:t xml:space="preserve">הסביר, </w:t>
      </w:r>
      <w:bookmarkStart w:id="17512" w:name="_ETM_Q28_255799"/>
      <w:bookmarkEnd w:id="17512"/>
      <w:r>
        <w:rPr>
          <w:rFonts w:hint="cs"/>
          <w:rtl/>
        </w:rPr>
        <w:t xml:space="preserve">היא </w:t>
      </w:r>
      <w:bookmarkStart w:id="17513" w:name="_ETM_Q28_256069"/>
      <w:bookmarkEnd w:id="17513"/>
      <w:r>
        <w:rPr>
          <w:rFonts w:hint="cs"/>
          <w:rtl/>
        </w:rPr>
        <w:t xml:space="preserve">זו </w:t>
      </w:r>
      <w:bookmarkStart w:id="17514" w:name="_ETM_Q28_256310"/>
      <w:bookmarkEnd w:id="17514"/>
      <w:r>
        <w:rPr>
          <w:rFonts w:hint="cs"/>
          <w:rtl/>
        </w:rPr>
        <w:t xml:space="preserve">שמפירה </w:t>
      </w:r>
      <w:bookmarkStart w:id="17515" w:name="_ETM_Q28_256939"/>
      <w:bookmarkEnd w:id="17515"/>
      <w:r>
        <w:rPr>
          <w:rFonts w:hint="cs"/>
          <w:rtl/>
        </w:rPr>
        <w:t xml:space="preserve">את </w:t>
      </w:r>
      <w:bookmarkStart w:id="17516" w:name="_ETM_Q28_257090"/>
      <w:bookmarkEnd w:id="17516"/>
      <w:r>
        <w:rPr>
          <w:rFonts w:hint="cs"/>
          <w:rtl/>
        </w:rPr>
        <w:t xml:space="preserve">הסדר </w:t>
      </w:r>
      <w:bookmarkStart w:id="17517" w:name="_ETM_Q28_258200"/>
      <w:bookmarkEnd w:id="17517"/>
      <w:r>
        <w:rPr>
          <w:rFonts w:hint="cs"/>
          <w:rtl/>
        </w:rPr>
        <w:t xml:space="preserve">ומורדת </w:t>
      </w:r>
      <w:bookmarkStart w:id="17518" w:name="_ETM_Q28_258920"/>
      <w:bookmarkEnd w:id="17518"/>
      <w:r>
        <w:rPr>
          <w:rFonts w:hint="cs"/>
          <w:rtl/>
        </w:rPr>
        <w:t xml:space="preserve">במקובל </w:t>
      </w:r>
      <w:bookmarkStart w:id="17519" w:name="_ETM_Q28_259610"/>
      <w:bookmarkEnd w:id="17519"/>
      <w:r>
        <w:rPr>
          <w:rFonts w:hint="cs"/>
          <w:rtl/>
        </w:rPr>
        <w:t xml:space="preserve">באותן </w:t>
      </w:r>
      <w:bookmarkStart w:id="17520" w:name="_ETM_Q28_260060"/>
      <w:bookmarkEnd w:id="17520"/>
      <w:r>
        <w:rPr>
          <w:rFonts w:hint="cs"/>
          <w:rtl/>
        </w:rPr>
        <w:t xml:space="preserve">קולוניות, </w:t>
      </w:r>
      <w:bookmarkStart w:id="17521" w:name="_ETM_Q28_261270"/>
      <w:bookmarkEnd w:id="17521"/>
      <w:r>
        <w:rPr>
          <w:rFonts w:hint="cs"/>
          <w:rtl/>
        </w:rPr>
        <w:t xml:space="preserve">ועל </w:t>
      </w:r>
      <w:bookmarkStart w:id="17522" w:name="_ETM_Q28_261600"/>
      <w:bookmarkEnd w:id="17522"/>
      <w:r>
        <w:rPr>
          <w:rFonts w:hint="cs"/>
          <w:rtl/>
        </w:rPr>
        <w:t xml:space="preserve">כן </w:t>
      </w:r>
      <w:bookmarkStart w:id="17523" w:name="_ETM_Q28_262620"/>
      <w:bookmarkEnd w:id="17523"/>
      <w:r>
        <w:rPr>
          <w:rFonts w:hint="cs"/>
          <w:rtl/>
        </w:rPr>
        <w:t xml:space="preserve">אלו </w:t>
      </w:r>
      <w:bookmarkStart w:id="17524" w:name="_ETM_Q28_262950"/>
      <w:bookmarkEnd w:id="17524"/>
      <w:r>
        <w:rPr>
          <w:rFonts w:hint="cs"/>
          <w:rtl/>
        </w:rPr>
        <w:t xml:space="preserve">שמתנגדים </w:t>
      </w:r>
      <w:bookmarkStart w:id="17525" w:name="_ETM_Q28_263850"/>
      <w:bookmarkEnd w:id="17525"/>
      <w:r>
        <w:rPr>
          <w:rFonts w:hint="cs"/>
          <w:rtl/>
        </w:rPr>
        <w:t xml:space="preserve">לשלטונה </w:t>
      </w:r>
      <w:bookmarkStart w:id="17526" w:name="_ETM_Q28_264600"/>
      <w:bookmarkEnd w:id="17526"/>
      <w:r>
        <w:rPr>
          <w:rFonts w:hint="cs"/>
          <w:rtl/>
        </w:rPr>
        <w:t xml:space="preserve">שם </w:t>
      </w:r>
      <w:bookmarkStart w:id="17527" w:name="_ETM_Q28_265500"/>
      <w:bookmarkEnd w:id="17527"/>
      <w:r>
        <w:rPr>
          <w:rFonts w:hint="cs"/>
          <w:rtl/>
        </w:rPr>
        <w:t xml:space="preserve">אינם </w:t>
      </w:r>
      <w:bookmarkStart w:id="17528" w:name="_ETM_Q28_266010"/>
      <w:bookmarkEnd w:id="17528"/>
      <w:r>
        <w:rPr>
          <w:rFonts w:hint="cs"/>
          <w:rtl/>
        </w:rPr>
        <w:t xml:space="preserve">המורדים </w:t>
      </w:r>
      <w:bookmarkStart w:id="17529" w:name="_ETM_Q28_266580"/>
      <w:bookmarkEnd w:id="17529"/>
      <w:r>
        <w:rPr>
          <w:rFonts w:hint="cs"/>
          <w:rtl/>
        </w:rPr>
        <w:t xml:space="preserve">אלא </w:t>
      </w:r>
      <w:bookmarkStart w:id="17530" w:name="_ETM_Q28_266790"/>
      <w:bookmarkEnd w:id="17530"/>
      <w:r>
        <w:rPr>
          <w:rFonts w:hint="cs"/>
          <w:rtl/>
        </w:rPr>
        <w:t xml:space="preserve">המתגוננים. </w:t>
      </w:r>
      <w:bookmarkStart w:id="17531" w:name="_ETM_Q28_268459"/>
      <w:bookmarkEnd w:id="17531"/>
      <w:r>
        <w:rPr>
          <w:rFonts w:hint="cs"/>
          <w:rtl/>
        </w:rPr>
        <w:t xml:space="preserve">זה </w:t>
      </w:r>
      <w:bookmarkStart w:id="17532" w:name="_ETM_Q28_268759"/>
      <w:bookmarkEnd w:id="17532"/>
      <w:r>
        <w:rPr>
          <w:rFonts w:hint="cs"/>
          <w:rtl/>
        </w:rPr>
        <w:t xml:space="preserve">המצב </w:t>
      </w:r>
      <w:bookmarkStart w:id="17533" w:name="_ETM_Q28_269209"/>
      <w:bookmarkEnd w:id="17533"/>
      <w:r>
        <w:rPr>
          <w:rFonts w:hint="cs"/>
          <w:rtl/>
        </w:rPr>
        <w:t xml:space="preserve">גם </w:t>
      </w:r>
      <w:bookmarkStart w:id="17534" w:name="_ETM_Q28_269420"/>
      <w:bookmarkEnd w:id="17534"/>
      <w:r>
        <w:rPr>
          <w:rFonts w:hint="cs"/>
          <w:rtl/>
        </w:rPr>
        <w:t xml:space="preserve">פה </w:t>
      </w:r>
      <w:bookmarkStart w:id="17535" w:name="_ETM_Q28_270200"/>
      <w:bookmarkStart w:id="17536" w:name="_ETM_Q28_267911"/>
      <w:bookmarkEnd w:id="17535"/>
      <w:bookmarkEnd w:id="17536"/>
      <w:r>
        <w:rPr>
          <w:rFonts w:hint="cs"/>
          <w:rtl/>
        </w:rPr>
        <w:t xml:space="preserve">עם </w:t>
      </w:r>
      <w:bookmarkStart w:id="17537" w:name="_ETM_Q28_270469"/>
      <w:bookmarkEnd w:id="17537"/>
      <w:r>
        <w:rPr>
          <w:rFonts w:hint="cs"/>
          <w:rtl/>
        </w:rPr>
        <w:t xml:space="preserve">ההפיכה </w:t>
      </w:r>
      <w:bookmarkStart w:id="17538" w:name="_ETM_Q28_271039"/>
      <w:bookmarkEnd w:id="17538"/>
      <w:r>
        <w:rPr>
          <w:rFonts w:hint="cs"/>
          <w:rtl/>
        </w:rPr>
        <w:t xml:space="preserve">המשטרית </w:t>
      </w:r>
      <w:bookmarkStart w:id="17539" w:name="_ETM_Q28_271670"/>
      <w:bookmarkEnd w:id="17539"/>
      <w:r>
        <w:rPr>
          <w:rFonts w:hint="cs"/>
          <w:rtl/>
        </w:rPr>
        <w:t>הזו.</w:t>
      </w:r>
      <w:bookmarkStart w:id="17540" w:name="_ETM_Q28_273039"/>
      <w:bookmarkStart w:id="17541" w:name="_ETM_Q28_273379"/>
      <w:bookmarkStart w:id="17542" w:name="_ETM_Q28_273456"/>
      <w:bookmarkStart w:id="17543" w:name="_ETM_Q28_273521"/>
      <w:bookmarkStart w:id="17544" w:name="_ETM_Q28_273566"/>
      <w:bookmarkEnd w:id="17540"/>
      <w:bookmarkEnd w:id="17541"/>
      <w:bookmarkEnd w:id="17542"/>
      <w:bookmarkEnd w:id="17543"/>
      <w:bookmarkEnd w:id="17544"/>
      <w:r>
        <w:rPr>
          <w:rFonts w:hint="cs"/>
          <w:rtl/>
        </w:rPr>
        <w:t xml:space="preserve"> אנו </w:t>
      </w:r>
      <w:bookmarkStart w:id="17545" w:name="_ETM_Q28_273429"/>
      <w:bookmarkEnd w:id="17545"/>
      <w:r>
        <w:rPr>
          <w:rFonts w:hint="cs"/>
          <w:rtl/>
        </w:rPr>
        <w:t xml:space="preserve">עומדים </w:t>
      </w:r>
      <w:bookmarkStart w:id="17546" w:name="_ETM_Q28_273789"/>
      <w:bookmarkEnd w:id="17546"/>
      <w:r>
        <w:rPr>
          <w:rFonts w:hint="cs"/>
          <w:rtl/>
        </w:rPr>
        <w:t xml:space="preserve">בפני </w:t>
      </w:r>
      <w:bookmarkStart w:id="17547" w:name="_ETM_Q28_274060"/>
      <w:bookmarkEnd w:id="17547"/>
      <w:r>
        <w:rPr>
          <w:rFonts w:hint="cs"/>
          <w:rtl/>
        </w:rPr>
        <w:t xml:space="preserve">מרד </w:t>
      </w:r>
      <w:bookmarkStart w:id="17548" w:name="_ETM_Q28_274509"/>
      <w:bookmarkEnd w:id="17548"/>
      <w:r>
        <w:rPr>
          <w:rFonts w:hint="cs"/>
          <w:rtl/>
        </w:rPr>
        <w:t xml:space="preserve">אלים </w:t>
      </w:r>
      <w:bookmarkStart w:id="17549" w:name="_ETM_Q28_275439"/>
      <w:bookmarkEnd w:id="17549"/>
      <w:r>
        <w:rPr>
          <w:rFonts w:hint="cs"/>
          <w:rtl/>
        </w:rPr>
        <w:t xml:space="preserve">של </w:t>
      </w:r>
      <w:bookmarkStart w:id="17550" w:name="_ETM_Q28_275679"/>
      <w:bookmarkEnd w:id="17550"/>
      <w:r>
        <w:rPr>
          <w:rFonts w:hint="cs"/>
          <w:rtl/>
        </w:rPr>
        <w:t xml:space="preserve">הממשלה </w:t>
      </w:r>
      <w:bookmarkStart w:id="17551" w:name="_ETM_Q28_277620"/>
      <w:bookmarkEnd w:id="17551"/>
      <w:r>
        <w:rPr>
          <w:rFonts w:hint="cs"/>
          <w:rtl/>
        </w:rPr>
        <w:t xml:space="preserve">נגד </w:t>
      </w:r>
      <w:bookmarkStart w:id="17552" w:name="_ETM_Q28_278430"/>
      <w:bookmarkEnd w:id="17552"/>
      <w:r>
        <w:rPr>
          <w:rFonts w:hint="cs"/>
          <w:rtl/>
        </w:rPr>
        <w:t xml:space="preserve">שלטון </w:t>
      </w:r>
      <w:bookmarkStart w:id="17553" w:name="_ETM_Q28_278880"/>
      <w:bookmarkEnd w:id="17553"/>
      <w:r>
        <w:rPr>
          <w:rFonts w:hint="cs"/>
          <w:rtl/>
        </w:rPr>
        <w:t xml:space="preserve">החוק. </w:t>
      </w:r>
      <w:bookmarkStart w:id="17554" w:name="_ETM_Q28_279270"/>
      <w:bookmarkEnd w:id="17554"/>
      <w:r>
        <w:rPr>
          <w:rFonts w:hint="cs"/>
          <w:rtl/>
        </w:rPr>
        <w:t>כן</w:t>
      </w:r>
      <w:bookmarkStart w:id="17555" w:name="_ETM_Q28_276630"/>
      <w:bookmarkEnd w:id="17555"/>
      <w:r>
        <w:rPr>
          <w:rFonts w:hint="cs"/>
          <w:rtl/>
        </w:rPr>
        <w:t xml:space="preserve">, </w:t>
      </w:r>
      <w:bookmarkStart w:id="17556" w:name="_ETM_Q28_279480"/>
      <w:bookmarkEnd w:id="17556"/>
      <w:r>
        <w:rPr>
          <w:rFonts w:hint="cs"/>
          <w:rtl/>
        </w:rPr>
        <w:t xml:space="preserve">הממשלה </w:t>
      </w:r>
      <w:bookmarkStart w:id="17557" w:name="_ETM_Q28_279930"/>
      <w:bookmarkEnd w:id="17557"/>
      <w:r>
        <w:rPr>
          <w:rFonts w:hint="cs"/>
          <w:rtl/>
        </w:rPr>
        <w:t>היא ה</w:t>
      </w:r>
      <w:bookmarkStart w:id="17558" w:name="_ETM_Q28_280110"/>
      <w:bookmarkEnd w:id="17558"/>
      <w:r>
        <w:rPr>
          <w:rFonts w:hint="cs"/>
          <w:rtl/>
        </w:rPr>
        <w:t xml:space="preserve">מורדת. </w:t>
      </w:r>
      <w:bookmarkStart w:id="17559" w:name="_ETM_Q28_281750"/>
      <w:bookmarkEnd w:id="17559"/>
      <w:r>
        <w:rPr>
          <w:rFonts w:hint="cs"/>
          <w:rtl/>
        </w:rPr>
        <w:t xml:space="preserve">הציבור – </w:t>
      </w:r>
      <w:bookmarkStart w:id="17560" w:name="_ETM_Q28_283369"/>
      <w:bookmarkEnd w:id="17560"/>
      <w:r>
        <w:rPr>
          <w:rFonts w:hint="cs"/>
          <w:rtl/>
        </w:rPr>
        <w:t xml:space="preserve">האלפים </w:t>
      </w:r>
      <w:bookmarkStart w:id="17561" w:name="_ETM_Q28_283969"/>
      <w:bookmarkEnd w:id="17561"/>
      <w:r>
        <w:rPr>
          <w:rFonts w:hint="cs"/>
          <w:rtl/>
        </w:rPr>
        <w:t xml:space="preserve">שיוצאים </w:t>
      </w:r>
      <w:bookmarkStart w:id="17562" w:name="_ETM_Q28_284420"/>
      <w:bookmarkEnd w:id="17562"/>
      <w:r>
        <w:rPr>
          <w:rFonts w:hint="cs"/>
          <w:rtl/>
        </w:rPr>
        <w:t>להפגין</w:t>
      </w:r>
      <w:bookmarkStart w:id="17563" w:name="_ETM_Q28_284807"/>
      <w:bookmarkEnd w:id="17563"/>
      <w:r>
        <w:rPr>
          <w:rFonts w:hint="cs"/>
          <w:rtl/>
        </w:rPr>
        <w:t xml:space="preserve"> – </w:t>
      </w:r>
      <w:bookmarkStart w:id="17564" w:name="_ETM_Q28_286560"/>
      <w:bookmarkEnd w:id="17564"/>
      <w:r>
        <w:rPr>
          <w:rFonts w:hint="cs"/>
          <w:rtl/>
        </w:rPr>
        <w:t xml:space="preserve">הוא </w:t>
      </w:r>
      <w:bookmarkStart w:id="17565" w:name="_ETM_Q28_286799"/>
      <w:bookmarkStart w:id="17566" w:name="_ETM_Q28_286950"/>
      <w:bookmarkEnd w:id="17565"/>
      <w:bookmarkEnd w:id="17566"/>
      <w:r>
        <w:rPr>
          <w:rFonts w:hint="cs"/>
          <w:rtl/>
        </w:rPr>
        <w:t xml:space="preserve">הפועל </w:t>
      </w:r>
      <w:bookmarkStart w:id="17567" w:name="_ETM_Q28_287280"/>
      <w:bookmarkEnd w:id="17567"/>
      <w:r>
        <w:rPr>
          <w:rFonts w:hint="cs"/>
          <w:rtl/>
        </w:rPr>
        <w:t xml:space="preserve">בהגנה </w:t>
      </w:r>
      <w:bookmarkStart w:id="17568" w:name="_ETM_Q28_287880"/>
      <w:bookmarkEnd w:id="17568"/>
      <w:r>
        <w:rPr>
          <w:rFonts w:hint="cs"/>
          <w:rtl/>
        </w:rPr>
        <w:t xml:space="preserve">עצמית </w:t>
      </w:r>
      <w:bookmarkStart w:id="17569" w:name="_ETM_Q28_289320"/>
      <w:bookmarkEnd w:id="17569"/>
      <w:r>
        <w:rPr>
          <w:rFonts w:hint="cs"/>
          <w:rtl/>
        </w:rPr>
        <w:t xml:space="preserve">נגד </w:t>
      </w:r>
      <w:bookmarkStart w:id="17570" w:name="_ETM_Q28_289770"/>
      <w:bookmarkEnd w:id="17570"/>
      <w:r>
        <w:rPr>
          <w:rFonts w:hint="cs"/>
          <w:rtl/>
        </w:rPr>
        <w:t xml:space="preserve">הרודנות </w:t>
      </w:r>
      <w:bookmarkStart w:id="17571" w:name="_ETM_Q28_291310"/>
      <w:bookmarkEnd w:id="17571"/>
      <w:r>
        <w:rPr>
          <w:rFonts w:hint="cs"/>
          <w:rtl/>
        </w:rPr>
        <w:t xml:space="preserve">ומול </w:t>
      </w:r>
      <w:bookmarkStart w:id="17572" w:name="_ETM_Q28_291789"/>
      <w:bookmarkEnd w:id="17572"/>
      <w:r>
        <w:rPr>
          <w:rFonts w:hint="cs"/>
          <w:rtl/>
        </w:rPr>
        <w:t xml:space="preserve">מי </w:t>
      </w:r>
      <w:bookmarkStart w:id="17573" w:name="_ETM_Q28_291939"/>
      <w:bookmarkEnd w:id="17573"/>
      <w:r>
        <w:rPr>
          <w:rFonts w:hint="cs"/>
          <w:rtl/>
        </w:rPr>
        <w:t xml:space="preserve">שמבקש </w:t>
      </w:r>
      <w:bookmarkStart w:id="17574" w:name="_ETM_Q28_292509"/>
      <w:bookmarkEnd w:id="17574"/>
      <w:r>
        <w:rPr>
          <w:rFonts w:hint="cs"/>
          <w:rtl/>
        </w:rPr>
        <w:t xml:space="preserve">לצמצם </w:t>
      </w:r>
      <w:bookmarkStart w:id="17575" w:name="_ETM_Q28_293049"/>
      <w:bookmarkEnd w:id="17575"/>
      <w:r>
        <w:rPr>
          <w:rFonts w:hint="cs"/>
          <w:rtl/>
        </w:rPr>
        <w:t xml:space="preserve">ואף </w:t>
      </w:r>
      <w:bookmarkStart w:id="17576" w:name="_ETM_Q28_293259"/>
      <w:bookmarkEnd w:id="17576"/>
      <w:r>
        <w:rPr>
          <w:rFonts w:hint="cs"/>
          <w:rtl/>
        </w:rPr>
        <w:t xml:space="preserve">לחסל </w:t>
      </w:r>
      <w:bookmarkStart w:id="17577" w:name="_ETM_Q28_294359"/>
      <w:bookmarkEnd w:id="17577"/>
      <w:r>
        <w:rPr>
          <w:rFonts w:hint="cs"/>
          <w:rtl/>
        </w:rPr>
        <w:t xml:space="preserve">את </w:t>
      </w:r>
      <w:bookmarkStart w:id="17578" w:name="_ETM_Q28_294719"/>
      <w:bookmarkEnd w:id="17578"/>
      <w:r>
        <w:rPr>
          <w:rFonts w:hint="cs"/>
          <w:rtl/>
        </w:rPr>
        <w:t>שארית</w:t>
      </w:r>
      <w:bookmarkStart w:id="17579" w:name="_ETM_Q28_294165"/>
      <w:bookmarkEnd w:id="17579"/>
      <w:r>
        <w:rPr>
          <w:rFonts w:hint="cs"/>
          <w:rtl/>
        </w:rPr>
        <w:t xml:space="preserve"> </w:t>
      </w:r>
      <w:bookmarkStart w:id="17580" w:name="_ETM_Q28_295200"/>
      <w:bookmarkEnd w:id="17580"/>
      <w:r>
        <w:rPr>
          <w:rFonts w:hint="cs"/>
          <w:rtl/>
        </w:rPr>
        <w:t xml:space="preserve">זכויותיו; </w:t>
      </w:r>
      <w:bookmarkStart w:id="17581" w:name="_ETM_Q28_297240"/>
      <w:bookmarkEnd w:id="17581"/>
      <w:r>
        <w:rPr>
          <w:rFonts w:hint="cs"/>
          <w:rtl/>
        </w:rPr>
        <w:t xml:space="preserve">התנגדותו </w:t>
      </w:r>
      <w:bookmarkStart w:id="17582" w:name="_ETM_Q28_298080"/>
      <w:bookmarkEnd w:id="17582"/>
      <w:r>
        <w:rPr>
          <w:rFonts w:hint="cs"/>
          <w:rtl/>
        </w:rPr>
        <w:t xml:space="preserve">מתבקשת </w:t>
      </w:r>
      <w:bookmarkStart w:id="17583" w:name="_ETM_Q28_298800"/>
      <w:bookmarkEnd w:id="17583"/>
      <w:r>
        <w:rPr>
          <w:rFonts w:hint="cs"/>
          <w:rtl/>
        </w:rPr>
        <w:t xml:space="preserve">ומוצדקת </w:t>
      </w:r>
      <w:bookmarkStart w:id="17584" w:name="_ETM_Q28_299460"/>
      <w:bookmarkEnd w:id="17584"/>
      <w:r>
        <w:rPr>
          <w:rFonts w:hint="cs"/>
          <w:rtl/>
        </w:rPr>
        <w:t xml:space="preserve">מאין </w:t>
      </w:r>
      <w:bookmarkStart w:id="17585" w:name="_ETM_Q28_299820"/>
      <w:bookmarkEnd w:id="17585"/>
      <w:r>
        <w:rPr>
          <w:rFonts w:hint="cs"/>
          <w:rtl/>
        </w:rPr>
        <w:t xml:space="preserve">כמוה. </w:t>
      </w:r>
      <w:bookmarkStart w:id="17586" w:name="_ETM_Q28_301340"/>
      <w:bookmarkEnd w:id="17586"/>
      <w:r>
        <w:rPr>
          <w:rFonts w:hint="cs"/>
          <w:rtl/>
        </w:rPr>
        <w:t xml:space="preserve">לא </w:t>
      </w:r>
      <w:bookmarkStart w:id="17587" w:name="_ETM_Q28_301939"/>
      <w:bookmarkEnd w:id="17587"/>
      <w:r>
        <w:rPr>
          <w:rFonts w:hint="cs"/>
          <w:rtl/>
        </w:rPr>
        <w:t xml:space="preserve">המפגינים </w:t>
      </w:r>
      <w:bookmarkStart w:id="17588" w:name="_ETM_Q28_302630"/>
      <w:bookmarkEnd w:id="17588"/>
      <w:r>
        <w:rPr>
          <w:rFonts w:hint="cs"/>
          <w:rtl/>
        </w:rPr>
        <w:t xml:space="preserve">הם </w:t>
      </w:r>
      <w:bookmarkStart w:id="17589" w:name="_ETM_Q28_302780"/>
      <w:bookmarkEnd w:id="17589"/>
      <w:r>
        <w:rPr>
          <w:rFonts w:hint="cs"/>
          <w:rtl/>
        </w:rPr>
        <w:t>ה</w:t>
      </w:r>
      <w:bookmarkStart w:id="17590" w:name="_ETM_Q28_303680"/>
      <w:bookmarkEnd w:id="17590"/>
      <w:r>
        <w:rPr>
          <w:rFonts w:hint="cs"/>
          <w:rtl/>
        </w:rPr>
        <w:t xml:space="preserve">מורדים. </w:t>
      </w:r>
      <w:bookmarkStart w:id="17591" w:name="_ETM_Q28_305200"/>
      <w:bookmarkEnd w:id="17591"/>
      <w:r>
        <w:rPr>
          <w:rFonts w:hint="cs"/>
          <w:rtl/>
        </w:rPr>
        <w:t xml:space="preserve">הממשלה </w:t>
      </w:r>
      <w:bookmarkStart w:id="17592" w:name="_ETM_Q28_306009"/>
      <w:bookmarkEnd w:id="17592"/>
      <w:r>
        <w:rPr>
          <w:rFonts w:hint="cs"/>
          <w:rtl/>
        </w:rPr>
        <w:t>היא ה</w:t>
      </w:r>
      <w:bookmarkStart w:id="17593" w:name="_ETM_Q28_306219"/>
      <w:bookmarkStart w:id="17594" w:name="_ETM_Q28_303982"/>
      <w:bookmarkEnd w:id="17593"/>
      <w:bookmarkEnd w:id="17594"/>
      <w:r>
        <w:rPr>
          <w:rFonts w:hint="cs"/>
          <w:rtl/>
        </w:rPr>
        <w:t xml:space="preserve">מורדת, </w:t>
      </w:r>
      <w:bookmarkStart w:id="17595" w:name="_ETM_Q28_306729"/>
      <w:bookmarkEnd w:id="17595"/>
      <w:r>
        <w:rPr>
          <w:rFonts w:hint="cs"/>
          <w:rtl/>
        </w:rPr>
        <w:t xml:space="preserve">והמפגינים </w:t>
      </w:r>
      <w:bookmarkStart w:id="17596" w:name="_ETM_Q28_307389"/>
      <w:bookmarkEnd w:id="17596"/>
      <w:r>
        <w:rPr>
          <w:rFonts w:hint="cs"/>
          <w:rtl/>
        </w:rPr>
        <w:t xml:space="preserve">הם </w:t>
      </w:r>
      <w:bookmarkStart w:id="17597" w:name="_ETM_Q28_307509"/>
      <w:bookmarkEnd w:id="17597"/>
      <w:r>
        <w:rPr>
          <w:rFonts w:hint="cs"/>
          <w:rtl/>
        </w:rPr>
        <w:t xml:space="preserve">אלה </w:t>
      </w:r>
      <w:bookmarkStart w:id="17598" w:name="_ETM_Q28_307689"/>
      <w:bookmarkEnd w:id="17598"/>
      <w:r>
        <w:rPr>
          <w:rFonts w:hint="cs"/>
          <w:rtl/>
        </w:rPr>
        <w:t xml:space="preserve">שיוצאים </w:t>
      </w:r>
      <w:bookmarkStart w:id="17599" w:name="_ETM_Q28_309010"/>
      <w:bookmarkEnd w:id="17599"/>
      <w:r>
        <w:rPr>
          <w:rFonts w:hint="cs"/>
          <w:rtl/>
        </w:rPr>
        <w:t xml:space="preserve">למאבק </w:t>
      </w:r>
      <w:bookmarkStart w:id="17600" w:name="_ETM_Q28_309519"/>
      <w:bookmarkEnd w:id="17600"/>
      <w:r>
        <w:rPr>
          <w:rFonts w:hint="cs"/>
          <w:rtl/>
        </w:rPr>
        <w:t xml:space="preserve">של </w:t>
      </w:r>
      <w:bookmarkStart w:id="17601" w:name="_ETM_Q28_309669"/>
      <w:bookmarkEnd w:id="17601"/>
      <w:r>
        <w:rPr>
          <w:rFonts w:hint="cs"/>
          <w:rtl/>
        </w:rPr>
        <w:t xml:space="preserve">הגנה </w:t>
      </w:r>
      <w:bookmarkStart w:id="17602" w:name="_ETM_Q28_310000"/>
      <w:bookmarkEnd w:id="17602"/>
      <w:r>
        <w:rPr>
          <w:rFonts w:hint="cs"/>
          <w:rtl/>
        </w:rPr>
        <w:t>עצמית.</w:t>
      </w:r>
      <w:bookmarkStart w:id="17603" w:name="_ETM_Q28_311709"/>
      <w:bookmarkEnd w:id="17603"/>
    </w:p>
    <w:p w:rsidR="00337201" w:rsidRDefault="00337201" w:rsidP="00337201">
      <w:pPr>
        <w:rPr>
          <w:rtl/>
        </w:rPr>
      </w:pPr>
    </w:p>
    <w:p w:rsidR="00337201" w:rsidRDefault="00337201" w:rsidP="00337201">
      <w:pPr>
        <w:rPr>
          <w:rtl/>
        </w:rPr>
      </w:pPr>
      <w:bookmarkStart w:id="17604" w:name="_ETM_Q28_311694"/>
      <w:bookmarkEnd w:id="17604"/>
      <w:r>
        <w:rPr>
          <w:rFonts w:hint="cs"/>
          <w:rtl/>
        </w:rPr>
        <w:t xml:space="preserve">אלו </w:t>
      </w:r>
      <w:bookmarkStart w:id="17605" w:name="_ETM_Q28_312040"/>
      <w:bookmarkEnd w:id="17605"/>
      <w:r>
        <w:rPr>
          <w:rFonts w:hint="cs"/>
          <w:rtl/>
        </w:rPr>
        <w:t xml:space="preserve">המנסים </w:t>
      </w:r>
      <w:bookmarkStart w:id="17606" w:name="_ETM_Q28_312549"/>
      <w:bookmarkEnd w:id="17606"/>
      <w:r>
        <w:rPr>
          <w:rFonts w:hint="cs"/>
          <w:rtl/>
        </w:rPr>
        <w:t xml:space="preserve">להצדיק </w:t>
      </w:r>
      <w:bookmarkStart w:id="17607" w:name="_ETM_Q28_313030"/>
      <w:bookmarkEnd w:id="17607"/>
      <w:r>
        <w:rPr>
          <w:rFonts w:hint="cs"/>
          <w:rtl/>
        </w:rPr>
        <w:t xml:space="preserve">את </w:t>
      </w:r>
      <w:bookmarkStart w:id="17608" w:name="_ETM_Q28_313120"/>
      <w:bookmarkEnd w:id="17608"/>
      <w:r>
        <w:rPr>
          <w:rFonts w:hint="cs"/>
          <w:rtl/>
        </w:rPr>
        <w:t xml:space="preserve">בליץ </w:t>
      </w:r>
      <w:bookmarkStart w:id="17609" w:name="_ETM_Q28_313389"/>
      <w:bookmarkEnd w:id="17609"/>
      <w:r>
        <w:rPr>
          <w:rFonts w:hint="cs"/>
          <w:rtl/>
        </w:rPr>
        <w:t xml:space="preserve">החקיקה </w:t>
      </w:r>
      <w:bookmarkStart w:id="17610" w:name="_ETM_Q28_313989"/>
      <w:bookmarkEnd w:id="17610"/>
      <w:r>
        <w:rPr>
          <w:rFonts w:hint="cs"/>
          <w:rtl/>
        </w:rPr>
        <w:t xml:space="preserve">הרודנית </w:t>
      </w:r>
      <w:bookmarkStart w:id="17611" w:name="_ETM_Q28_314560"/>
      <w:bookmarkEnd w:id="17611"/>
      <w:r>
        <w:rPr>
          <w:rFonts w:hint="cs"/>
          <w:rtl/>
        </w:rPr>
        <w:t>הזו</w:t>
      </w:r>
      <w:bookmarkStart w:id="17612" w:name="_ETM_Q28_313751"/>
      <w:bookmarkStart w:id="17613" w:name="_ETM_Q28_316186"/>
      <w:bookmarkStart w:id="17614" w:name="_ETM_Q28_312733"/>
      <w:bookmarkEnd w:id="17612"/>
      <w:bookmarkEnd w:id="17613"/>
      <w:bookmarkEnd w:id="17614"/>
      <w:r>
        <w:rPr>
          <w:rFonts w:hint="cs"/>
          <w:rtl/>
        </w:rPr>
        <w:t xml:space="preserve"> </w:t>
      </w:r>
      <w:bookmarkStart w:id="17615" w:name="_ETM_Q28_315719"/>
      <w:bookmarkEnd w:id="17615"/>
      <w:r>
        <w:rPr>
          <w:rFonts w:hint="cs"/>
          <w:rtl/>
        </w:rPr>
        <w:t xml:space="preserve">משתמשים, </w:t>
      </w:r>
      <w:bookmarkStart w:id="17616" w:name="_ETM_Q28_316439"/>
      <w:bookmarkEnd w:id="17616"/>
      <w:r>
        <w:rPr>
          <w:rFonts w:hint="cs"/>
          <w:rtl/>
        </w:rPr>
        <w:t xml:space="preserve">בין </w:t>
      </w:r>
      <w:bookmarkStart w:id="17617" w:name="_ETM_Q28_316560"/>
      <w:bookmarkEnd w:id="17617"/>
      <w:r>
        <w:rPr>
          <w:rFonts w:hint="cs"/>
          <w:rtl/>
        </w:rPr>
        <w:t xml:space="preserve">השאר, </w:t>
      </w:r>
      <w:bookmarkStart w:id="17618" w:name="_ETM_Q28_316859"/>
      <w:bookmarkEnd w:id="17618"/>
      <w:r>
        <w:rPr>
          <w:rFonts w:hint="cs"/>
          <w:rtl/>
        </w:rPr>
        <w:t xml:space="preserve">בשני </w:t>
      </w:r>
      <w:bookmarkStart w:id="17619" w:name="_ETM_Q28_317219"/>
      <w:bookmarkEnd w:id="17619"/>
      <w:r>
        <w:rPr>
          <w:rFonts w:hint="cs"/>
          <w:rtl/>
        </w:rPr>
        <w:t xml:space="preserve">טיעונים </w:t>
      </w:r>
      <w:bookmarkStart w:id="17620" w:name="_ETM_Q28_317669"/>
      <w:bookmarkEnd w:id="17620"/>
      <w:r>
        <w:rPr>
          <w:rFonts w:hint="cs"/>
          <w:rtl/>
        </w:rPr>
        <w:t>מופרכים.</w:t>
      </w:r>
      <w:bookmarkStart w:id="17621" w:name="_ETM_Q28_316797"/>
      <w:bookmarkEnd w:id="17621"/>
      <w:r>
        <w:rPr>
          <w:rFonts w:hint="cs"/>
          <w:rtl/>
        </w:rPr>
        <w:t xml:space="preserve"> </w:t>
      </w:r>
      <w:bookmarkStart w:id="17622" w:name="_ETM_Q28_319790"/>
      <w:bookmarkEnd w:id="17622"/>
      <w:r>
        <w:rPr>
          <w:rFonts w:hint="cs"/>
          <w:rtl/>
        </w:rPr>
        <w:t xml:space="preserve">האחד, </w:t>
      </w:r>
      <w:bookmarkStart w:id="17623" w:name="_ETM_Q28_320240"/>
      <w:bookmarkEnd w:id="17623"/>
      <w:r>
        <w:rPr>
          <w:rFonts w:hint="cs"/>
          <w:rtl/>
        </w:rPr>
        <w:t xml:space="preserve">זה </w:t>
      </w:r>
      <w:bookmarkStart w:id="17624" w:name="_ETM_Q28_320360"/>
      <w:bookmarkEnd w:id="17624"/>
      <w:r>
        <w:rPr>
          <w:rFonts w:hint="cs"/>
          <w:rtl/>
        </w:rPr>
        <w:t>ש</w:t>
      </w:r>
      <w:bookmarkStart w:id="17625" w:name="_ETM_Q28_320690"/>
      <w:bookmarkEnd w:id="17625"/>
      <w:r>
        <w:rPr>
          <w:rFonts w:hint="cs"/>
          <w:rtl/>
        </w:rPr>
        <w:t>ההפיכה היא</w:t>
      </w:r>
      <w:bookmarkStart w:id="17626" w:name="_ETM_Q28_317820"/>
      <w:bookmarkEnd w:id="17626"/>
      <w:r>
        <w:rPr>
          <w:rFonts w:hint="cs"/>
          <w:rtl/>
        </w:rPr>
        <w:t xml:space="preserve"> </w:t>
      </w:r>
      <w:bookmarkStart w:id="17627" w:name="_ETM_Q28_320930"/>
      <w:bookmarkEnd w:id="17627"/>
      <w:r>
        <w:rPr>
          <w:rFonts w:hint="cs"/>
          <w:rtl/>
        </w:rPr>
        <w:t xml:space="preserve">רצון </w:t>
      </w:r>
      <w:bookmarkStart w:id="17628" w:name="_ETM_Q28_321350"/>
      <w:bookmarkEnd w:id="17628"/>
      <w:r>
        <w:rPr>
          <w:rFonts w:hint="cs"/>
          <w:rtl/>
        </w:rPr>
        <w:t xml:space="preserve">העם </w:t>
      </w:r>
      <w:bookmarkStart w:id="17629" w:name="_ETM_Q28_322230"/>
      <w:bookmarkEnd w:id="17629"/>
      <w:r>
        <w:rPr>
          <w:rFonts w:hint="cs"/>
          <w:rtl/>
        </w:rPr>
        <w:t xml:space="preserve">כפי </w:t>
      </w:r>
      <w:bookmarkStart w:id="17630" w:name="_ETM_Q28_322530"/>
      <w:bookmarkEnd w:id="17630"/>
      <w:r>
        <w:rPr>
          <w:rFonts w:hint="cs"/>
          <w:rtl/>
        </w:rPr>
        <w:t xml:space="preserve">שזה </w:t>
      </w:r>
      <w:bookmarkStart w:id="17631" w:name="_ETM_Q28_322770"/>
      <w:bookmarkEnd w:id="17631"/>
      <w:r>
        <w:rPr>
          <w:rFonts w:hint="cs"/>
          <w:rtl/>
        </w:rPr>
        <w:t xml:space="preserve">בא </w:t>
      </w:r>
      <w:bookmarkStart w:id="17632" w:name="_ETM_Q28_322919"/>
      <w:bookmarkEnd w:id="17632"/>
      <w:r>
        <w:rPr>
          <w:rFonts w:hint="cs"/>
          <w:rtl/>
        </w:rPr>
        <w:t xml:space="preserve">לידי </w:t>
      </w:r>
      <w:bookmarkStart w:id="17633" w:name="_ETM_Q28_323160"/>
      <w:bookmarkEnd w:id="17633"/>
      <w:r>
        <w:rPr>
          <w:rFonts w:hint="cs"/>
          <w:rtl/>
        </w:rPr>
        <w:t xml:space="preserve">ביטוי </w:t>
      </w:r>
      <w:bookmarkStart w:id="17634" w:name="_ETM_Q28_323550"/>
      <w:bookmarkEnd w:id="17634"/>
      <w:r>
        <w:rPr>
          <w:rFonts w:hint="cs"/>
          <w:rtl/>
        </w:rPr>
        <w:t xml:space="preserve">בבחירות, </w:t>
      </w:r>
      <w:bookmarkStart w:id="17635" w:name="_ETM_Q28_325270"/>
      <w:bookmarkEnd w:id="17635"/>
      <w:r>
        <w:rPr>
          <w:rFonts w:hint="cs"/>
          <w:rtl/>
        </w:rPr>
        <w:t xml:space="preserve">והשני, </w:t>
      </w:r>
      <w:bookmarkStart w:id="17636" w:name="_ETM_Q28_325840"/>
      <w:bookmarkEnd w:id="17636"/>
      <w:r>
        <w:rPr>
          <w:rFonts w:hint="cs"/>
          <w:rtl/>
        </w:rPr>
        <w:t>השופ</w:t>
      </w:r>
      <w:bookmarkStart w:id="17637" w:name="_ETM_Q28_324424"/>
      <w:bookmarkEnd w:id="17637"/>
      <w:r>
        <w:rPr>
          <w:rFonts w:hint="cs"/>
          <w:rtl/>
        </w:rPr>
        <w:t xml:space="preserve">טים </w:t>
      </w:r>
      <w:bookmarkStart w:id="17638" w:name="_ETM_Q28_326350"/>
      <w:bookmarkEnd w:id="17638"/>
      <w:r>
        <w:rPr>
          <w:rFonts w:hint="cs"/>
          <w:rtl/>
        </w:rPr>
        <w:t xml:space="preserve">והיועצים </w:t>
      </w:r>
      <w:bookmarkStart w:id="17639" w:name="_ETM_Q28_326740"/>
      <w:bookmarkEnd w:id="17639"/>
      <w:r>
        <w:rPr>
          <w:rFonts w:hint="cs"/>
          <w:rtl/>
        </w:rPr>
        <w:t>המשפטיים,</w:t>
      </w:r>
      <w:bookmarkStart w:id="17640" w:name="_ETM_Q28_326547"/>
      <w:bookmarkEnd w:id="17640"/>
      <w:r>
        <w:rPr>
          <w:rFonts w:hint="cs"/>
          <w:rtl/>
        </w:rPr>
        <w:t xml:space="preserve"> </w:t>
      </w:r>
      <w:bookmarkStart w:id="17641" w:name="_ETM_Q28_327940"/>
      <w:bookmarkEnd w:id="17641"/>
      <w:r>
        <w:rPr>
          <w:rFonts w:hint="cs"/>
          <w:rtl/>
        </w:rPr>
        <w:t xml:space="preserve">כפי </w:t>
      </w:r>
      <w:bookmarkStart w:id="17642" w:name="_ETM_Q28_328180"/>
      <w:bookmarkEnd w:id="17642"/>
      <w:r>
        <w:rPr>
          <w:rFonts w:hint="cs"/>
          <w:rtl/>
        </w:rPr>
        <w:t xml:space="preserve">שנבח </w:t>
      </w:r>
      <w:bookmarkStart w:id="17643" w:name="_ETM_Q28_329410"/>
      <w:bookmarkStart w:id="17644" w:name="_ETM_Q28_329710"/>
      <w:bookmarkEnd w:id="17643"/>
      <w:bookmarkEnd w:id="17644"/>
      <w:r>
        <w:rPr>
          <w:rFonts w:hint="cs"/>
          <w:rtl/>
        </w:rPr>
        <w:t xml:space="preserve">יו"ר </w:t>
      </w:r>
      <w:bookmarkStart w:id="17645" w:name="_ETM_Q28_327149"/>
      <w:bookmarkEnd w:id="17645"/>
      <w:r>
        <w:rPr>
          <w:rFonts w:hint="cs"/>
          <w:rtl/>
        </w:rPr>
        <w:t xml:space="preserve">ועדת </w:t>
      </w:r>
      <w:bookmarkStart w:id="17646" w:name="_ETM_Q28_330220"/>
      <w:bookmarkEnd w:id="17646"/>
      <w:r>
        <w:rPr>
          <w:rFonts w:hint="cs"/>
          <w:rtl/>
        </w:rPr>
        <w:t xml:space="preserve">בוקה </w:t>
      </w:r>
      <w:bookmarkStart w:id="17647" w:name="_ETM_Q28_330580"/>
      <w:bookmarkEnd w:id="17647"/>
      <w:r>
        <w:rPr>
          <w:rFonts w:hint="cs"/>
          <w:rtl/>
        </w:rPr>
        <w:t xml:space="preserve">ומבולקה </w:t>
      </w:r>
      <w:bookmarkStart w:id="17648" w:name="_ETM_Q28_331180"/>
      <w:bookmarkEnd w:id="17648"/>
      <w:r>
        <w:rPr>
          <w:rFonts w:hint="cs"/>
          <w:rtl/>
        </w:rPr>
        <w:t xml:space="preserve">על </w:t>
      </w:r>
      <w:bookmarkStart w:id="17649" w:name="_ETM_Q28_331270"/>
      <w:bookmarkEnd w:id="17649"/>
      <w:r>
        <w:rPr>
          <w:rFonts w:hint="cs"/>
          <w:rtl/>
        </w:rPr>
        <w:t xml:space="preserve">יועמ"ש </w:t>
      </w:r>
      <w:bookmarkStart w:id="17650" w:name="_ETM_Q28_331630"/>
      <w:bookmarkEnd w:id="17650"/>
      <w:r>
        <w:rPr>
          <w:rFonts w:hint="cs"/>
          <w:rtl/>
        </w:rPr>
        <w:t xml:space="preserve">הוועדה, </w:t>
      </w:r>
      <w:bookmarkStart w:id="17651" w:name="_ETM_Q28_333000"/>
      <w:bookmarkEnd w:id="17651"/>
      <w:r>
        <w:rPr>
          <w:rFonts w:hint="cs"/>
          <w:rtl/>
        </w:rPr>
        <w:t xml:space="preserve">אינם </w:t>
      </w:r>
      <w:bookmarkStart w:id="17652" w:name="_ETM_Q28_333419"/>
      <w:bookmarkEnd w:id="17652"/>
      <w:r>
        <w:rPr>
          <w:rFonts w:hint="cs"/>
          <w:rtl/>
        </w:rPr>
        <w:t xml:space="preserve">אנשי </w:t>
      </w:r>
      <w:bookmarkStart w:id="17653" w:name="_ETM_Q28_333690"/>
      <w:bookmarkEnd w:id="17653"/>
      <w:r>
        <w:rPr>
          <w:rFonts w:hint="cs"/>
          <w:rtl/>
        </w:rPr>
        <w:t xml:space="preserve">מקצוע </w:t>
      </w:r>
      <w:bookmarkStart w:id="17654" w:name="_ETM_Q28_334110"/>
      <w:bookmarkStart w:id="17655" w:name="_ETM_Q28_330835"/>
      <w:bookmarkEnd w:id="17654"/>
      <w:bookmarkEnd w:id="17655"/>
      <w:r>
        <w:rPr>
          <w:rFonts w:hint="cs"/>
          <w:rtl/>
        </w:rPr>
        <w:t xml:space="preserve">הבוחנים </w:t>
      </w:r>
      <w:bookmarkStart w:id="17656" w:name="_ETM_Q28_334530"/>
      <w:bookmarkEnd w:id="17656"/>
      <w:r>
        <w:rPr>
          <w:rFonts w:hint="cs"/>
          <w:rtl/>
        </w:rPr>
        <w:t xml:space="preserve">את </w:t>
      </w:r>
      <w:bookmarkStart w:id="17657" w:name="_ETM_Q28_334650"/>
      <w:bookmarkEnd w:id="17657"/>
      <w:r>
        <w:rPr>
          <w:rFonts w:hint="cs"/>
          <w:rtl/>
        </w:rPr>
        <w:t xml:space="preserve">הנושאים </w:t>
      </w:r>
      <w:bookmarkStart w:id="17658" w:name="_ETM_Q28_335069"/>
      <w:bookmarkEnd w:id="17658"/>
      <w:r>
        <w:rPr>
          <w:rFonts w:hint="cs"/>
          <w:rtl/>
        </w:rPr>
        <w:t xml:space="preserve">שלפניהם </w:t>
      </w:r>
      <w:bookmarkStart w:id="17659" w:name="_ETM_Q28_335639"/>
      <w:bookmarkEnd w:id="17659"/>
      <w:r>
        <w:rPr>
          <w:rFonts w:hint="cs"/>
          <w:rtl/>
        </w:rPr>
        <w:t xml:space="preserve">באופן </w:t>
      </w:r>
      <w:bookmarkStart w:id="17660" w:name="_ETM_Q28_336060"/>
      <w:bookmarkEnd w:id="17660"/>
      <w:r>
        <w:rPr>
          <w:rFonts w:hint="cs"/>
          <w:rtl/>
        </w:rPr>
        <w:t xml:space="preserve">ענייני </w:t>
      </w:r>
      <w:bookmarkStart w:id="17661" w:name="_ETM_Q28_337070"/>
      <w:bookmarkEnd w:id="17661"/>
      <w:r>
        <w:rPr>
          <w:rFonts w:hint="cs"/>
          <w:rtl/>
        </w:rPr>
        <w:t xml:space="preserve">אלא </w:t>
      </w:r>
      <w:bookmarkStart w:id="17662" w:name="_ETM_Q28_337520"/>
      <w:bookmarkEnd w:id="17662"/>
      <w:r>
        <w:rPr>
          <w:rFonts w:hint="cs"/>
          <w:rtl/>
        </w:rPr>
        <w:t xml:space="preserve">פוליטיקאים </w:t>
      </w:r>
      <w:bookmarkStart w:id="17663" w:name="_ETM_Q28_338870"/>
      <w:bookmarkEnd w:id="17663"/>
      <w:r>
        <w:rPr>
          <w:rFonts w:hint="cs"/>
          <w:rtl/>
        </w:rPr>
        <w:t>לא</w:t>
      </w:r>
      <w:bookmarkStart w:id="17664" w:name="_ETM_Q28_339169"/>
      <w:bookmarkEnd w:id="17664"/>
      <w:r>
        <w:rPr>
          <w:rFonts w:hint="cs"/>
          <w:rtl/>
        </w:rPr>
        <w:t xml:space="preserve"> נבחרים </w:t>
      </w:r>
      <w:bookmarkStart w:id="17665" w:name="_ETM_Q28_340200"/>
      <w:bookmarkEnd w:id="17665"/>
      <w:r>
        <w:rPr>
          <w:rFonts w:hint="cs"/>
          <w:rtl/>
        </w:rPr>
        <w:t xml:space="preserve">הפועלים </w:t>
      </w:r>
      <w:bookmarkStart w:id="17666" w:name="_ETM_Q28_340889"/>
      <w:bookmarkEnd w:id="17666"/>
      <w:r>
        <w:rPr>
          <w:rFonts w:hint="cs"/>
          <w:rtl/>
        </w:rPr>
        <w:t xml:space="preserve">מתוך </w:t>
      </w:r>
      <w:bookmarkStart w:id="17667" w:name="_ETM_Q28_341190"/>
      <w:bookmarkEnd w:id="17667"/>
      <w:r>
        <w:rPr>
          <w:rFonts w:hint="cs"/>
          <w:rtl/>
        </w:rPr>
        <w:t xml:space="preserve">אינטרס </w:t>
      </w:r>
      <w:bookmarkStart w:id="17668" w:name="_ETM_Q28_341639"/>
      <w:bookmarkEnd w:id="17668"/>
      <w:r>
        <w:rPr>
          <w:rFonts w:hint="cs"/>
          <w:rtl/>
        </w:rPr>
        <w:t xml:space="preserve">פוליטי </w:t>
      </w:r>
      <w:bookmarkStart w:id="17669" w:name="_ETM_Q28_342120"/>
      <w:bookmarkEnd w:id="17669"/>
      <w:r>
        <w:rPr>
          <w:rFonts w:hint="cs"/>
          <w:rtl/>
        </w:rPr>
        <w:t xml:space="preserve">צר </w:t>
      </w:r>
      <w:bookmarkStart w:id="17670" w:name="_ETM_Q28_342930"/>
      <w:bookmarkEnd w:id="17670"/>
      <w:r>
        <w:rPr>
          <w:rFonts w:hint="cs"/>
          <w:rtl/>
        </w:rPr>
        <w:t xml:space="preserve">ותו </w:t>
      </w:r>
      <w:bookmarkStart w:id="17671" w:name="_ETM_Q28_343380"/>
      <w:bookmarkEnd w:id="17671"/>
      <w:r>
        <w:rPr>
          <w:rFonts w:hint="cs"/>
          <w:rtl/>
        </w:rPr>
        <w:t>לא.</w:t>
      </w:r>
      <w:bookmarkStart w:id="17672" w:name="_ETM_Q28_341679"/>
      <w:bookmarkStart w:id="17673" w:name="_ETM_Q28_344819"/>
      <w:bookmarkEnd w:id="17672"/>
      <w:bookmarkEnd w:id="17673"/>
      <w:r>
        <w:rPr>
          <w:rFonts w:hint="cs"/>
          <w:rtl/>
        </w:rPr>
        <w:t xml:space="preserve"> </w:t>
      </w:r>
      <w:bookmarkStart w:id="17674" w:name="_ETM_Q28_340632"/>
      <w:bookmarkStart w:id="17675" w:name="_ETM_Q28_345090"/>
      <w:bookmarkStart w:id="17676" w:name="_ETM_Q28_350374"/>
      <w:bookmarkEnd w:id="17674"/>
      <w:bookmarkEnd w:id="17675"/>
      <w:bookmarkEnd w:id="17676"/>
      <w:r>
        <w:rPr>
          <w:rFonts w:hint="cs"/>
          <w:rtl/>
        </w:rPr>
        <w:t xml:space="preserve">ואם כבר בפוליטיקאים </w:t>
      </w:r>
      <w:bookmarkStart w:id="17677" w:name="_ETM_Q28_346110"/>
      <w:bookmarkEnd w:id="17677"/>
      <w:r>
        <w:rPr>
          <w:rFonts w:hint="cs"/>
          <w:rtl/>
        </w:rPr>
        <w:t>עסקינן,</w:t>
      </w:r>
      <w:bookmarkStart w:id="17678" w:name="_ETM_Q28_344482"/>
      <w:bookmarkEnd w:id="17678"/>
      <w:r>
        <w:rPr>
          <w:rFonts w:hint="cs"/>
          <w:rtl/>
        </w:rPr>
        <w:t xml:space="preserve"> </w:t>
      </w:r>
      <w:bookmarkStart w:id="17679" w:name="_ETM_Q28_347130"/>
      <w:bookmarkEnd w:id="17679"/>
      <w:r>
        <w:rPr>
          <w:rFonts w:hint="cs"/>
          <w:rtl/>
        </w:rPr>
        <w:t xml:space="preserve">לאלו </w:t>
      </w:r>
      <w:bookmarkStart w:id="17680" w:name="_ETM_Q28_347610"/>
      <w:bookmarkEnd w:id="17680"/>
      <w:r>
        <w:rPr>
          <w:rFonts w:hint="cs"/>
          <w:rtl/>
        </w:rPr>
        <w:t xml:space="preserve">הנבחרים </w:t>
      </w:r>
      <w:bookmarkStart w:id="17681" w:name="_ETM_Q28_348120"/>
      <w:bookmarkEnd w:id="17681"/>
      <w:r>
        <w:rPr>
          <w:rFonts w:hint="cs"/>
          <w:rtl/>
        </w:rPr>
        <w:t xml:space="preserve">צריכה </w:t>
      </w:r>
      <w:bookmarkStart w:id="17682" w:name="_ETM_Q28_348389"/>
      <w:bookmarkEnd w:id="17682"/>
      <w:r>
        <w:rPr>
          <w:rFonts w:hint="cs"/>
          <w:rtl/>
        </w:rPr>
        <w:t xml:space="preserve">להינתן </w:t>
      </w:r>
      <w:bookmarkStart w:id="17683" w:name="_ETM_Q28_348870"/>
      <w:bookmarkEnd w:id="17683"/>
      <w:r>
        <w:rPr>
          <w:rFonts w:hint="cs"/>
          <w:rtl/>
        </w:rPr>
        <w:t xml:space="preserve">המילה </w:t>
      </w:r>
      <w:bookmarkStart w:id="17684" w:name="_ETM_Q28_349260"/>
      <w:bookmarkEnd w:id="17684"/>
      <w:r>
        <w:rPr>
          <w:rFonts w:hint="cs"/>
          <w:rtl/>
        </w:rPr>
        <w:t xml:space="preserve">האחרונה, </w:t>
      </w:r>
      <w:bookmarkStart w:id="17685" w:name="_ETM_Q28_350510"/>
      <w:bookmarkEnd w:id="17685"/>
      <w:r>
        <w:rPr>
          <w:rFonts w:hint="cs"/>
          <w:rtl/>
        </w:rPr>
        <w:t xml:space="preserve">ולא </w:t>
      </w:r>
      <w:bookmarkStart w:id="17686" w:name="_ETM_Q28_350810"/>
      <w:bookmarkEnd w:id="17686"/>
      <w:r>
        <w:rPr>
          <w:rFonts w:hint="cs"/>
          <w:rtl/>
        </w:rPr>
        <w:t xml:space="preserve">לאלו </w:t>
      </w:r>
      <w:bookmarkStart w:id="17687" w:name="_ETM_Q28_351200"/>
      <w:bookmarkEnd w:id="17687"/>
      <w:r>
        <w:rPr>
          <w:rFonts w:hint="cs"/>
          <w:rtl/>
        </w:rPr>
        <w:t xml:space="preserve">הממנים </w:t>
      </w:r>
      <w:bookmarkStart w:id="17688" w:name="_ETM_Q28_351680"/>
      <w:bookmarkEnd w:id="17688"/>
      <w:r>
        <w:rPr>
          <w:rFonts w:hint="cs"/>
          <w:rtl/>
        </w:rPr>
        <w:t xml:space="preserve">את </w:t>
      </w:r>
      <w:bookmarkStart w:id="17689" w:name="_ETM_Q28_351799"/>
      <w:bookmarkEnd w:id="17689"/>
      <w:r>
        <w:rPr>
          <w:rFonts w:hint="cs"/>
          <w:rtl/>
        </w:rPr>
        <w:t xml:space="preserve">עצמם </w:t>
      </w:r>
      <w:bookmarkStart w:id="17690" w:name="_ETM_Q28_352129"/>
      <w:bookmarkEnd w:id="17690"/>
      <w:r>
        <w:rPr>
          <w:rFonts w:hint="cs"/>
          <w:rtl/>
        </w:rPr>
        <w:t xml:space="preserve">לפוסקים </w:t>
      </w:r>
      <w:bookmarkStart w:id="17691" w:name="_ETM_Q28_352639"/>
      <w:bookmarkEnd w:id="17691"/>
      <w:r>
        <w:rPr>
          <w:rFonts w:hint="cs"/>
          <w:rtl/>
        </w:rPr>
        <w:t xml:space="preserve">האחרונים </w:t>
      </w:r>
      <w:bookmarkStart w:id="17692" w:name="_ETM_Q28_353120"/>
      <w:bookmarkEnd w:id="17692"/>
      <w:r>
        <w:rPr>
          <w:rFonts w:hint="cs"/>
          <w:rtl/>
        </w:rPr>
        <w:t>לכאורה.</w:t>
      </w:r>
      <w:bookmarkStart w:id="17693" w:name="_ETM_Q28_354590"/>
      <w:bookmarkEnd w:id="17693"/>
      <w:r>
        <w:rPr>
          <w:rFonts w:hint="cs"/>
          <w:rtl/>
        </w:rPr>
        <w:t xml:space="preserve"> </w:t>
      </w:r>
      <w:bookmarkStart w:id="17694" w:name="_ETM_Q28_366355"/>
      <w:bookmarkEnd w:id="17694"/>
    </w:p>
    <w:p w:rsidR="00337201" w:rsidRDefault="00337201" w:rsidP="00337201">
      <w:pPr>
        <w:rPr>
          <w:rtl/>
        </w:rPr>
      </w:pPr>
      <w:bookmarkStart w:id="17695" w:name="_ETM_Q0_16381642"/>
      <w:bookmarkStart w:id="17696" w:name="_ETM_Q0_16381760"/>
      <w:bookmarkStart w:id="17697" w:name="_ETM_Q0_16381800"/>
      <w:bookmarkEnd w:id="17695"/>
      <w:bookmarkEnd w:id="17696"/>
      <w:bookmarkEnd w:id="17697"/>
    </w:p>
    <w:p w:rsidR="00337201" w:rsidRDefault="00337201" w:rsidP="00337201">
      <w:pPr>
        <w:rPr>
          <w:rtl/>
        </w:rPr>
      </w:pPr>
      <w:bookmarkStart w:id="17698" w:name="_ETM_Q0_16381978"/>
      <w:bookmarkEnd w:id="17698"/>
      <w:r>
        <w:rPr>
          <w:rFonts w:hint="cs"/>
          <w:rtl/>
        </w:rPr>
        <w:t xml:space="preserve">חברי </w:t>
      </w:r>
      <w:bookmarkStart w:id="17699" w:name="_ETM_Q28_354980"/>
      <w:bookmarkEnd w:id="17699"/>
      <w:r>
        <w:rPr>
          <w:rFonts w:hint="cs"/>
          <w:rtl/>
        </w:rPr>
        <w:t xml:space="preserve">הקואליציה </w:t>
      </w:r>
      <w:bookmarkStart w:id="17700" w:name="_ETM_Q28_355580"/>
      <w:bookmarkEnd w:id="17700"/>
      <w:r>
        <w:rPr>
          <w:rFonts w:hint="cs"/>
          <w:rtl/>
        </w:rPr>
        <w:t xml:space="preserve">המורדת </w:t>
      </w:r>
      <w:bookmarkStart w:id="17701" w:name="_ETM_Q28_356090"/>
      <w:bookmarkEnd w:id="17701"/>
      <w:r>
        <w:rPr>
          <w:rFonts w:hint="cs"/>
          <w:rtl/>
        </w:rPr>
        <w:t xml:space="preserve">טוענים </w:t>
      </w:r>
      <w:bookmarkStart w:id="17702" w:name="_ETM_Q28_357110"/>
      <w:bookmarkEnd w:id="17702"/>
      <w:r>
        <w:rPr>
          <w:rFonts w:hint="cs"/>
          <w:rtl/>
        </w:rPr>
        <w:t xml:space="preserve">שמדובר </w:t>
      </w:r>
      <w:bookmarkStart w:id="17703" w:name="_ETM_Q28_357950"/>
      <w:bookmarkEnd w:id="17703"/>
      <w:r>
        <w:rPr>
          <w:rFonts w:hint="cs"/>
          <w:rtl/>
        </w:rPr>
        <w:t xml:space="preserve">במימוש </w:t>
      </w:r>
      <w:bookmarkStart w:id="17704" w:name="_ETM_Q28_359160"/>
      <w:bookmarkEnd w:id="17704"/>
      <w:r>
        <w:rPr>
          <w:rFonts w:hint="cs"/>
          <w:rtl/>
        </w:rPr>
        <w:t xml:space="preserve">רצון </w:t>
      </w:r>
      <w:bookmarkStart w:id="17705" w:name="_ETM_Q28_359669"/>
      <w:bookmarkEnd w:id="17705"/>
      <w:r>
        <w:rPr>
          <w:rFonts w:hint="cs"/>
          <w:rtl/>
        </w:rPr>
        <w:t xml:space="preserve">העם, </w:t>
      </w:r>
      <w:bookmarkStart w:id="17706" w:name="_ETM_Q28_360730"/>
      <w:bookmarkEnd w:id="17706"/>
      <w:r>
        <w:rPr>
          <w:rFonts w:hint="cs"/>
          <w:rtl/>
        </w:rPr>
        <w:t xml:space="preserve">שההפיכה </w:t>
      </w:r>
      <w:bookmarkStart w:id="17707" w:name="_ETM_Q28_361599"/>
      <w:bookmarkEnd w:id="17707"/>
      <w:r>
        <w:rPr>
          <w:rFonts w:hint="cs"/>
          <w:rtl/>
        </w:rPr>
        <w:t>המשטר</w:t>
      </w:r>
      <w:bookmarkStart w:id="17708" w:name="_ETM_Q28_360659"/>
      <w:bookmarkEnd w:id="17708"/>
      <w:r>
        <w:rPr>
          <w:rFonts w:hint="cs"/>
          <w:rtl/>
        </w:rPr>
        <w:t xml:space="preserve">ית </w:t>
      </w:r>
      <w:bookmarkStart w:id="17709" w:name="_ETM_Q28_363010"/>
      <w:bookmarkEnd w:id="17709"/>
      <w:r>
        <w:rPr>
          <w:rFonts w:hint="cs"/>
          <w:rtl/>
        </w:rPr>
        <w:t xml:space="preserve">היא </w:t>
      </w:r>
      <w:bookmarkStart w:id="17710" w:name="_ETM_Q28_363189"/>
      <w:bookmarkEnd w:id="17710"/>
      <w:r>
        <w:rPr>
          <w:rFonts w:hint="cs"/>
          <w:rtl/>
        </w:rPr>
        <w:t xml:space="preserve">רצונו </w:t>
      </w:r>
      <w:bookmarkStart w:id="17711" w:name="_ETM_Q28_363879"/>
      <w:bookmarkEnd w:id="17711"/>
      <w:r>
        <w:rPr>
          <w:rFonts w:hint="cs"/>
          <w:rtl/>
        </w:rPr>
        <w:t xml:space="preserve">על </w:t>
      </w:r>
      <w:bookmarkStart w:id="17712" w:name="_ETM_Q28_364000"/>
      <w:bookmarkEnd w:id="17712"/>
      <w:r>
        <w:rPr>
          <w:rFonts w:hint="cs"/>
          <w:rtl/>
        </w:rPr>
        <w:t xml:space="preserve">פי </w:t>
      </w:r>
      <w:bookmarkStart w:id="17713" w:name="_ETM_Q28_364150"/>
      <w:bookmarkEnd w:id="17713"/>
      <w:r>
        <w:rPr>
          <w:rFonts w:hint="cs"/>
          <w:rtl/>
        </w:rPr>
        <w:t xml:space="preserve">תוצאות </w:t>
      </w:r>
      <w:bookmarkStart w:id="17714" w:name="_ETM_Q28_364540"/>
      <w:bookmarkEnd w:id="17714"/>
      <w:r>
        <w:rPr>
          <w:rFonts w:hint="cs"/>
          <w:rtl/>
        </w:rPr>
        <w:t>הבחירות.</w:t>
      </w:r>
      <w:bookmarkStart w:id="17715" w:name="_ETM_Q28_365940"/>
      <w:bookmarkEnd w:id="17715"/>
      <w:r>
        <w:rPr>
          <w:rFonts w:hint="cs"/>
          <w:rtl/>
        </w:rPr>
        <w:t xml:space="preserve"> אז </w:t>
      </w:r>
      <w:bookmarkStart w:id="17716" w:name="_ETM_Q28_366090"/>
      <w:bookmarkStart w:id="17717" w:name="_ETM_Q28_370837"/>
      <w:bookmarkStart w:id="17718" w:name="_ETM_Q28_367710"/>
      <w:bookmarkEnd w:id="17716"/>
      <w:bookmarkEnd w:id="17717"/>
      <w:bookmarkEnd w:id="17718"/>
      <w:r>
        <w:rPr>
          <w:rFonts w:hint="cs"/>
          <w:rtl/>
        </w:rPr>
        <w:t xml:space="preserve">לאמירה </w:t>
      </w:r>
      <w:bookmarkStart w:id="17719" w:name="_ETM_Q28_368340"/>
      <w:bookmarkEnd w:id="17719"/>
      <w:r>
        <w:rPr>
          <w:rFonts w:hint="cs"/>
          <w:rtl/>
        </w:rPr>
        <w:t xml:space="preserve">כנגד </w:t>
      </w:r>
      <w:bookmarkStart w:id="17720" w:name="_ETM_Q28_369569"/>
      <w:bookmarkEnd w:id="17720"/>
      <w:r>
        <w:rPr>
          <w:rFonts w:hint="cs"/>
          <w:rtl/>
        </w:rPr>
        <w:t xml:space="preserve">השופטים </w:t>
      </w:r>
      <w:bookmarkStart w:id="17721" w:name="_ETM_Q28_371159"/>
      <w:bookmarkEnd w:id="17721"/>
      <w:r>
        <w:rPr>
          <w:rFonts w:hint="cs"/>
          <w:rtl/>
        </w:rPr>
        <w:t xml:space="preserve">והיועצים </w:t>
      </w:r>
      <w:bookmarkStart w:id="17722" w:name="_ETM_Q28_371669"/>
      <w:bookmarkEnd w:id="17722"/>
      <w:r>
        <w:rPr>
          <w:rFonts w:hint="cs"/>
          <w:rtl/>
        </w:rPr>
        <w:t xml:space="preserve">המשפטיים, </w:t>
      </w:r>
      <w:bookmarkStart w:id="17723" w:name="_ETM_Q28_372419"/>
      <w:bookmarkEnd w:id="17723"/>
      <w:r>
        <w:rPr>
          <w:rFonts w:hint="cs"/>
          <w:rtl/>
        </w:rPr>
        <w:t xml:space="preserve">אני </w:t>
      </w:r>
      <w:bookmarkStart w:id="17724" w:name="_ETM_Q28_372569"/>
      <w:bookmarkEnd w:id="17724"/>
      <w:r>
        <w:rPr>
          <w:rFonts w:hint="cs"/>
          <w:rtl/>
        </w:rPr>
        <w:t xml:space="preserve">אתייחס </w:t>
      </w:r>
      <w:bookmarkStart w:id="17725" w:name="_ETM_Q28_372870"/>
      <w:bookmarkEnd w:id="17725"/>
      <w:r>
        <w:rPr>
          <w:rFonts w:hint="cs"/>
          <w:rtl/>
        </w:rPr>
        <w:t xml:space="preserve">לזה </w:t>
      </w:r>
      <w:bookmarkStart w:id="17726" w:name="_ETM_Q28_373049"/>
      <w:bookmarkEnd w:id="17726"/>
      <w:r>
        <w:rPr>
          <w:rFonts w:hint="cs"/>
          <w:rtl/>
        </w:rPr>
        <w:t xml:space="preserve">עוד </w:t>
      </w:r>
      <w:bookmarkStart w:id="17727" w:name="_ETM_Q28_373169"/>
      <w:bookmarkEnd w:id="17727"/>
      <w:r>
        <w:rPr>
          <w:rFonts w:hint="cs"/>
          <w:rtl/>
        </w:rPr>
        <w:t xml:space="preserve">מעט, </w:t>
      </w:r>
      <w:bookmarkStart w:id="17728" w:name="_ETM_Q28_374599"/>
      <w:bookmarkEnd w:id="17728"/>
      <w:r>
        <w:rPr>
          <w:rFonts w:hint="cs"/>
          <w:rtl/>
        </w:rPr>
        <w:t xml:space="preserve">אבל </w:t>
      </w:r>
      <w:bookmarkStart w:id="17729" w:name="_ETM_Q28_374840"/>
      <w:bookmarkEnd w:id="17729"/>
      <w:r>
        <w:rPr>
          <w:rFonts w:hint="cs"/>
          <w:rtl/>
        </w:rPr>
        <w:t xml:space="preserve">קודם </w:t>
      </w:r>
      <w:bookmarkStart w:id="17730" w:name="_ETM_Q28_375139"/>
      <w:bookmarkEnd w:id="17730"/>
      <w:r>
        <w:rPr>
          <w:rFonts w:hint="cs"/>
          <w:rtl/>
        </w:rPr>
        <w:t xml:space="preserve">כול </w:t>
      </w:r>
      <w:bookmarkStart w:id="17731" w:name="_ETM_Q28_376209"/>
      <w:bookmarkEnd w:id="17731"/>
      <w:r>
        <w:rPr>
          <w:rFonts w:hint="cs"/>
          <w:rtl/>
        </w:rPr>
        <w:t xml:space="preserve">מדובר </w:t>
      </w:r>
      <w:bookmarkStart w:id="17732" w:name="_ETM_Q28_376900"/>
      <w:bookmarkEnd w:id="17732"/>
      <w:r>
        <w:rPr>
          <w:rFonts w:hint="cs"/>
          <w:rtl/>
        </w:rPr>
        <w:t xml:space="preserve">בשקר </w:t>
      </w:r>
      <w:bookmarkStart w:id="17733" w:name="_ETM_Q28_377380"/>
      <w:bookmarkEnd w:id="17733"/>
      <w:r>
        <w:rPr>
          <w:rFonts w:hint="cs"/>
          <w:rtl/>
        </w:rPr>
        <w:t>כפול</w:t>
      </w:r>
      <w:bookmarkStart w:id="17734" w:name="_ETM_Q28_374425"/>
      <w:bookmarkEnd w:id="17734"/>
      <w:r>
        <w:rPr>
          <w:rFonts w:hint="cs"/>
          <w:rtl/>
        </w:rPr>
        <w:t xml:space="preserve"> </w:t>
      </w:r>
      <w:bookmarkStart w:id="17735" w:name="_ETM_Q28_377739"/>
      <w:bookmarkEnd w:id="17735"/>
      <w:r>
        <w:rPr>
          <w:rFonts w:hint="cs"/>
          <w:rtl/>
        </w:rPr>
        <w:t xml:space="preserve">בכל </w:t>
      </w:r>
      <w:bookmarkStart w:id="17736" w:name="_ETM_Q28_378160"/>
      <w:bookmarkEnd w:id="17736"/>
      <w:r>
        <w:rPr>
          <w:rFonts w:hint="cs"/>
          <w:rtl/>
        </w:rPr>
        <w:t xml:space="preserve">האמירות </w:t>
      </w:r>
      <w:bookmarkStart w:id="17737" w:name="_ETM_Q28_378700"/>
      <w:bookmarkEnd w:id="17737"/>
      <w:r>
        <w:rPr>
          <w:rFonts w:hint="cs"/>
          <w:rtl/>
        </w:rPr>
        <w:t xml:space="preserve">של </w:t>
      </w:r>
      <w:bookmarkStart w:id="17738" w:name="_ETM_Q28_378819"/>
      <w:bookmarkEnd w:id="17738"/>
      <w:r>
        <w:rPr>
          <w:rFonts w:hint="cs"/>
          <w:rtl/>
        </w:rPr>
        <w:t xml:space="preserve">חברי </w:t>
      </w:r>
      <w:bookmarkStart w:id="17739" w:name="_ETM_Q28_379150"/>
      <w:bookmarkEnd w:id="17739"/>
      <w:r>
        <w:rPr>
          <w:rFonts w:hint="cs"/>
          <w:rtl/>
        </w:rPr>
        <w:t xml:space="preserve">הקואליציה </w:t>
      </w:r>
      <w:bookmarkStart w:id="17740" w:name="_ETM_Q28_379840"/>
      <w:bookmarkEnd w:id="17740"/>
      <w:r>
        <w:rPr>
          <w:rFonts w:hint="cs"/>
          <w:rtl/>
        </w:rPr>
        <w:t xml:space="preserve">הטוענים </w:t>
      </w:r>
      <w:bookmarkStart w:id="17741" w:name="_ETM_Q28_380739"/>
      <w:bookmarkEnd w:id="17741"/>
      <w:r>
        <w:rPr>
          <w:rFonts w:hint="cs"/>
          <w:rtl/>
        </w:rPr>
        <w:t xml:space="preserve">שמדובר </w:t>
      </w:r>
      <w:bookmarkStart w:id="17742" w:name="_ETM_Q28_381220"/>
      <w:bookmarkEnd w:id="17742"/>
      <w:r>
        <w:rPr>
          <w:rFonts w:hint="cs"/>
          <w:rtl/>
        </w:rPr>
        <w:t xml:space="preserve">במימוש </w:t>
      </w:r>
      <w:bookmarkStart w:id="17743" w:name="_ETM_Q28_381700"/>
      <w:bookmarkEnd w:id="17743"/>
      <w:r>
        <w:rPr>
          <w:rFonts w:hint="cs"/>
          <w:rtl/>
        </w:rPr>
        <w:t xml:space="preserve">רצון </w:t>
      </w:r>
      <w:bookmarkStart w:id="17744" w:name="_ETM_Q28_382090"/>
      <w:bookmarkEnd w:id="17744"/>
      <w:r>
        <w:rPr>
          <w:rFonts w:hint="cs"/>
          <w:rtl/>
        </w:rPr>
        <w:t xml:space="preserve">העם. </w:t>
      </w:r>
      <w:bookmarkStart w:id="17745" w:name="_ETM_Q28_383159"/>
      <w:bookmarkEnd w:id="17745"/>
      <w:r>
        <w:rPr>
          <w:rFonts w:hint="cs"/>
          <w:rtl/>
        </w:rPr>
        <w:t xml:space="preserve">דבר </w:t>
      </w:r>
      <w:bookmarkStart w:id="17746" w:name="_ETM_Q28_383519"/>
      <w:bookmarkEnd w:id="17746"/>
      <w:r>
        <w:rPr>
          <w:rFonts w:hint="cs"/>
          <w:rtl/>
        </w:rPr>
        <w:t xml:space="preserve">ראשון, </w:t>
      </w:r>
      <w:bookmarkStart w:id="17747" w:name="_ETM_Q28_384750"/>
      <w:bookmarkEnd w:id="17747"/>
      <w:r>
        <w:rPr>
          <w:rFonts w:hint="cs"/>
          <w:rtl/>
        </w:rPr>
        <w:t xml:space="preserve">הנושא </w:t>
      </w:r>
      <w:bookmarkStart w:id="17748" w:name="_ETM_Q28_385169"/>
      <w:bookmarkEnd w:id="17748"/>
      <w:r>
        <w:rPr>
          <w:rFonts w:hint="cs"/>
          <w:rtl/>
        </w:rPr>
        <w:t xml:space="preserve">של </w:t>
      </w:r>
      <w:bookmarkStart w:id="17749" w:name="_ETM_Q28_385410"/>
      <w:bookmarkEnd w:id="17749"/>
      <w:r>
        <w:rPr>
          <w:rFonts w:hint="cs"/>
          <w:rtl/>
        </w:rPr>
        <w:t>ה</w:t>
      </w:r>
      <w:bookmarkStart w:id="17750" w:name="_ETM_Q28_382379"/>
      <w:bookmarkEnd w:id="17750"/>
      <w:r>
        <w:rPr>
          <w:rFonts w:hint="cs"/>
          <w:rtl/>
        </w:rPr>
        <w:t xml:space="preserve">הפיכה </w:t>
      </w:r>
      <w:bookmarkStart w:id="17751" w:name="_ETM_Q28_385919"/>
      <w:bookmarkEnd w:id="17751"/>
      <w:r>
        <w:rPr>
          <w:rFonts w:hint="cs"/>
          <w:rtl/>
        </w:rPr>
        <w:t xml:space="preserve">לא </w:t>
      </w:r>
      <w:bookmarkStart w:id="17752" w:name="_ETM_Q28_386070"/>
      <w:bookmarkEnd w:id="17752"/>
      <w:r>
        <w:rPr>
          <w:rFonts w:hint="cs"/>
          <w:rtl/>
        </w:rPr>
        <w:t xml:space="preserve">הוזכר </w:t>
      </w:r>
      <w:bookmarkStart w:id="17753" w:name="_ETM_Q28_386730"/>
      <w:bookmarkEnd w:id="17753"/>
      <w:r>
        <w:rPr>
          <w:rFonts w:hint="cs"/>
          <w:rtl/>
        </w:rPr>
        <w:t xml:space="preserve">כמעט </w:t>
      </w:r>
      <w:bookmarkStart w:id="17754" w:name="_ETM_Q28_383062"/>
      <w:bookmarkEnd w:id="17754"/>
      <w:r>
        <w:rPr>
          <w:rFonts w:hint="cs"/>
          <w:rtl/>
        </w:rPr>
        <w:t>בקמפיין.</w:t>
      </w:r>
      <w:bookmarkStart w:id="17755" w:name="_ETM_Q28_383898"/>
      <w:bookmarkEnd w:id="17755"/>
      <w:r>
        <w:rPr>
          <w:rFonts w:hint="cs"/>
          <w:rtl/>
        </w:rPr>
        <w:t xml:space="preserve"> </w:t>
      </w:r>
      <w:bookmarkStart w:id="17756" w:name="_ETM_Q28_388419"/>
      <w:bookmarkEnd w:id="17756"/>
      <w:r>
        <w:rPr>
          <w:rFonts w:hint="cs"/>
          <w:rtl/>
        </w:rPr>
        <w:t xml:space="preserve">דבר </w:t>
      </w:r>
      <w:bookmarkStart w:id="17757" w:name="_ETM_Q28_388810"/>
      <w:bookmarkEnd w:id="17757"/>
      <w:r>
        <w:rPr>
          <w:rFonts w:hint="cs"/>
          <w:rtl/>
        </w:rPr>
        <w:t xml:space="preserve">שני, </w:t>
      </w:r>
      <w:bookmarkStart w:id="17758" w:name="_ETM_Q28_389230"/>
      <w:bookmarkEnd w:id="17758"/>
      <w:r>
        <w:rPr>
          <w:rFonts w:hint="cs"/>
          <w:rtl/>
        </w:rPr>
        <w:t xml:space="preserve">תשימו </w:t>
      </w:r>
      <w:bookmarkStart w:id="17759" w:name="_ETM_Q28_389680"/>
      <w:bookmarkEnd w:id="17759"/>
      <w:r>
        <w:rPr>
          <w:rFonts w:hint="cs"/>
          <w:rtl/>
        </w:rPr>
        <w:t xml:space="preserve">לב, </w:t>
      </w:r>
      <w:bookmarkStart w:id="17760" w:name="_ETM_Q28_391180"/>
      <w:bookmarkEnd w:id="17760"/>
      <w:r>
        <w:rPr>
          <w:rFonts w:hint="cs"/>
          <w:rtl/>
        </w:rPr>
        <w:t xml:space="preserve">יש </w:t>
      </w:r>
      <w:bookmarkStart w:id="17761" w:name="_ETM_Q28_392019"/>
      <w:bookmarkEnd w:id="17761"/>
      <w:r>
        <w:rPr>
          <w:rFonts w:hint="cs"/>
          <w:rtl/>
        </w:rPr>
        <w:t xml:space="preserve">משפט </w:t>
      </w:r>
      <w:bookmarkStart w:id="17762" w:name="_ETM_Q28_392469"/>
      <w:bookmarkEnd w:id="17762"/>
      <w:r>
        <w:rPr>
          <w:rFonts w:hint="cs"/>
          <w:rtl/>
        </w:rPr>
        <w:t xml:space="preserve">מתמטי </w:t>
      </w:r>
      <w:bookmarkStart w:id="17763" w:name="_ETM_Q28_393010"/>
      <w:bookmarkEnd w:id="17763"/>
      <w:r>
        <w:rPr>
          <w:rFonts w:hint="cs"/>
          <w:rtl/>
        </w:rPr>
        <w:t xml:space="preserve">שנקרא </w:t>
      </w:r>
      <w:bookmarkStart w:id="17764" w:name="_ETM_Q28_393400"/>
      <w:bookmarkEnd w:id="17764"/>
      <w:r>
        <w:rPr>
          <w:rFonts w:hint="cs"/>
          <w:rtl/>
        </w:rPr>
        <w:t xml:space="preserve">משפט </w:t>
      </w:r>
      <w:bookmarkStart w:id="17765" w:name="_ETM_Q28_393879"/>
      <w:bookmarkEnd w:id="17765"/>
      <w:r>
        <w:rPr>
          <w:rFonts w:hint="cs"/>
          <w:rtl/>
        </w:rPr>
        <w:t>ארו</w:t>
      </w:r>
      <w:bookmarkStart w:id="17766" w:name="_ETM_Q28_395078"/>
      <w:bookmarkEnd w:id="17766"/>
      <w:r>
        <w:rPr>
          <w:rFonts w:hint="cs"/>
          <w:rtl/>
        </w:rPr>
        <w:t>,</w:t>
      </w:r>
      <w:bookmarkStart w:id="17767" w:name="_ETM_Q28_391617"/>
      <w:bookmarkEnd w:id="17767"/>
      <w:r>
        <w:rPr>
          <w:rFonts w:hint="cs"/>
          <w:rtl/>
        </w:rPr>
        <w:t xml:space="preserve"> </w:t>
      </w:r>
      <w:bookmarkStart w:id="17768" w:name="_ETM_Q28_394269"/>
      <w:bookmarkEnd w:id="17768"/>
      <w:r>
        <w:rPr>
          <w:rFonts w:hint="cs"/>
          <w:rtl/>
        </w:rPr>
        <w:t xml:space="preserve">שבודק </w:t>
      </w:r>
      <w:bookmarkStart w:id="17769" w:name="_ETM_Q28_395260"/>
      <w:bookmarkEnd w:id="17769"/>
      <w:r>
        <w:rPr>
          <w:rFonts w:hint="cs"/>
          <w:rtl/>
        </w:rPr>
        <w:t xml:space="preserve">השלכות </w:t>
      </w:r>
      <w:bookmarkStart w:id="17770" w:name="_ETM_Q28_396189"/>
      <w:bookmarkEnd w:id="17770"/>
      <w:r>
        <w:rPr>
          <w:rFonts w:hint="cs"/>
          <w:rtl/>
        </w:rPr>
        <w:t xml:space="preserve">של </w:t>
      </w:r>
      <w:bookmarkStart w:id="17771" w:name="_ETM_Q28_396400"/>
      <w:bookmarkEnd w:id="17771"/>
      <w:r>
        <w:rPr>
          <w:rFonts w:hint="cs"/>
          <w:rtl/>
        </w:rPr>
        <w:t xml:space="preserve">החלטות </w:t>
      </w:r>
      <w:bookmarkStart w:id="17772" w:name="_ETM_Q28_397569"/>
      <w:bookmarkEnd w:id="17772"/>
      <w:r>
        <w:rPr>
          <w:rFonts w:hint="cs"/>
          <w:rtl/>
        </w:rPr>
        <w:t xml:space="preserve">וקבלת </w:t>
      </w:r>
      <w:bookmarkStart w:id="17773" w:name="_ETM_Q28_398019"/>
      <w:bookmarkEnd w:id="17773"/>
      <w:r>
        <w:rPr>
          <w:rFonts w:hint="cs"/>
          <w:rtl/>
        </w:rPr>
        <w:t xml:space="preserve">החלטות </w:t>
      </w:r>
      <w:bookmarkStart w:id="17774" w:name="_ETM_Q28_398379"/>
      <w:bookmarkEnd w:id="17774"/>
      <w:r>
        <w:rPr>
          <w:rFonts w:hint="cs"/>
          <w:rtl/>
        </w:rPr>
        <w:t>בדמוקרטיה.</w:t>
      </w:r>
      <w:bookmarkStart w:id="17775" w:name="_ETM_Q28_400040"/>
      <w:bookmarkStart w:id="17776" w:name="_ETM_Q28_398857"/>
      <w:bookmarkEnd w:id="17775"/>
      <w:bookmarkEnd w:id="17776"/>
      <w:r>
        <w:rPr>
          <w:rFonts w:hint="cs"/>
          <w:rtl/>
        </w:rPr>
        <w:t xml:space="preserve"> מה </w:t>
      </w:r>
      <w:bookmarkStart w:id="17777" w:name="_ETM_Q28_400370"/>
      <w:bookmarkEnd w:id="17777"/>
      <w:r>
        <w:rPr>
          <w:rFonts w:hint="cs"/>
          <w:rtl/>
        </w:rPr>
        <w:t xml:space="preserve">זה </w:t>
      </w:r>
      <w:bookmarkStart w:id="17778" w:name="_ETM_Q28_400490"/>
      <w:bookmarkEnd w:id="17778"/>
      <w:r>
        <w:rPr>
          <w:rFonts w:hint="cs"/>
          <w:rtl/>
        </w:rPr>
        <w:t xml:space="preserve">בעצם </w:t>
      </w:r>
      <w:bookmarkStart w:id="17779" w:name="_ETM_Q28_400910"/>
      <w:bookmarkEnd w:id="17779"/>
      <w:r>
        <w:rPr>
          <w:rFonts w:hint="cs"/>
          <w:rtl/>
        </w:rPr>
        <w:t>אומר?</w:t>
      </w:r>
      <w:bookmarkStart w:id="17780" w:name="_ETM_Q28_396884"/>
      <w:bookmarkEnd w:id="17780"/>
      <w:r>
        <w:rPr>
          <w:rFonts w:hint="cs"/>
          <w:rtl/>
        </w:rPr>
        <w:t xml:space="preserve"> </w:t>
      </w:r>
      <w:bookmarkStart w:id="17781" w:name="_ETM_Q28_402239"/>
      <w:bookmarkEnd w:id="17781"/>
      <w:r>
        <w:rPr>
          <w:rFonts w:hint="cs"/>
          <w:rtl/>
        </w:rPr>
        <w:t xml:space="preserve">האנשים </w:t>
      </w:r>
      <w:bookmarkStart w:id="17782" w:name="_ETM_Q28_402719"/>
      <w:bookmarkEnd w:id="17782"/>
      <w:r>
        <w:rPr>
          <w:rFonts w:hint="cs"/>
          <w:rtl/>
        </w:rPr>
        <w:t xml:space="preserve">שהולכים </w:t>
      </w:r>
      <w:bookmarkStart w:id="17783" w:name="_ETM_Q28_403109"/>
      <w:bookmarkEnd w:id="17783"/>
      <w:r>
        <w:rPr>
          <w:rFonts w:hint="cs"/>
          <w:rtl/>
        </w:rPr>
        <w:t xml:space="preserve">להצביע </w:t>
      </w:r>
      <w:bookmarkStart w:id="17784" w:name="_ETM_Q28_403680"/>
      <w:bookmarkEnd w:id="17784"/>
      <w:r>
        <w:rPr>
          <w:rFonts w:hint="cs"/>
          <w:rtl/>
        </w:rPr>
        <w:t xml:space="preserve">עומדים </w:t>
      </w:r>
      <w:bookmarkStart w:id="17785" w:name="_ETM_Q28_404010"/>
      <w:bookmarkEnd w:id="17785"/>
      <w:r>
        <w:rPr>
          <w:rFonts w:hint="cs"/>
          <w:rtl/>
        </w:rPr>
        <w:t xml:space="preserve">בפני </w:t>
      </w:r>
      <w:bookmarkStart w:id="17786" w:name="_ETM_Q28_404310"/>
      <w:bookmarkEnd w:id="17786"/>
      <w:r>
        <w:rPr>
          <w:rFonts w:hint="cs"/>
          <w:rtl/>
        </w:rPr>
        <w:t xml:space="preserve">רשימות </w:t>
      </w:r>
      <w:bookmarkStart w:id="17787" w:name="_ETM_Q28_404819"/>
      <w:bookmarkEnd w:id="17787"/>
      <w:r>
        <w:rPr>
          <w:rFonts w:hint="cs"/>
          <w:rtl/>
        </w:rPr>
        <w:t xml:space="preserve">שונות, </w:t>
      </w:r>
      <w:bookmarkStart w:id="17788" w:name="_ETM_Q28_406040"/>
      <w:bookmarkEnd w:id="17788"/>
      <w:r>
        <w:rPr>
          <w:rFonts w:hint="cs"/>
          <w:rtl/>
        </w:rPr>
        <w:t xml:space="preserve">אבל </w:t>
      </w:r>
      <w:bookmarkStart w:id="17789" w:name="_ETM_Q28_406280"/>
      <w:bookmarkEnd w:id="17789"/>
      <w:r>
        <w:rPr>
          <w:rFonts w:hint="cs"/>
          <w:rtl/>
        </w:rPr>
        <w:t xml:space="preserve">לכל </w:t>
      </w:r>
      <w:bookmarkStart w:id="17790" w:name="_ETM_Q28_406549"/>
      <w:bookmarkEnd w:id="17790"/>
      <w:r>
        <w:rPr>
          <w:rFonts w:hint="cs"/>
          <w:rtl/>
        </w:rPr>
        <w:t xml:space="preserve">רשימה </w:t>
      </w:r>
      <w:bookmarkStart w:id="17791" w:name="_ETM_Q28_406939"/>
      <w:bookmarkEnd w:id="17791"/>
      <w:r>
        <w:rPr>
          <w:rFonts w:hint="cs"/>
          <w:rtl/>
        </w:rPr>
        <w:t xml:space="preserve">יש </w:t>
      </w:r>
      <w:bookmarkStart w:id="17792" w:name="_ETM_Q28_407209"/>
      <w:bookmarkEnd w:id="17792"/>
      <w:r>
        <w:rPr>
          <w:rFonts w:hint="cs"/>
          <w:rtl/>
        </w:rPr>
        <w:t xml:space="preserve">אוסף </w:t>
      </w:r>
      <w:bookmarkStart w:id="17793" w:name="_ETM_Q28_407599"/>
      <w:bookmarkEnd w:id="17793"/>
      <w:r>
        <w:rPr>
          <w:rFonts w:hint="cs"/>
          <w:rtl/>
        </w:rPr>
        <w:t xml:space="preserve">של </w:t>
      </w:r>
      <w:bookmarkStart w:id="17794" w:name="_ETM_Q28_407780"/>
      <w:bookmarkEnd w:id="17794"/>
      <w:r>
        <w:rPr>
          <w:rFonts w:hint="cs"/>
          <w:rtl/>
        </w:rPr>
        <w:t xml:space="preserve">עמדות </w:t>
      </w:r>
      <w:bookmarkStart w:id="17795" w:name="_ETM_Q28_408200"/>
      <w:bookmarkEnd w:id="17795"/>
      <w:r>
        <w:rPr>
          <w:rFonts w:hint="cs"/>
          <w:rtl/>
        </w:rPr>
        <w:t xml:space="preserve">בנושאים </w:t>
      </w:r>
      <w:bookmarkStart w:id="17796" w:name="_ETM_Q28_408680"/>
      <w:bookmarkEnd w:id="17796"/>
      <w:r>
        <w:rPr>
          <w:rFonts w:hint="cs"/>
          <w:rtl/>
        </w:rPr>
        <w:t xml:space="preserve">שונים. </w:t>
      </w:r>
      <w:bookmarkStart w:id="17797" w:name="_ETM_Q28_410140"/>
      <w:bookmarkEnd w:id="17797"/>
      <w:r>
        <w:rPr>
          <w:rFonts w:hint="cs"/>
          <w:rtl/>
        </w:rPr>
        <w:t xml:space="preserve">האנשים </w:t>
      </w:r>
      <w:bookmarkStart w:id="17798" w:name="_ETM_Q28_410650"/>
      <w:bookmarkEnd w:id="17798"/>
      <w:r>
        <w:rPr>
          <w:rFonts w:hint="cs"/>
          <w:rtl/>
        </w:rPr>
        <w:t xml:space="preserve">לא </w:t>
      </w:r>
      <w:bookmarkStart w:id="17799" w:name="_ETM_Q28_410830"/>
      <w:bookmarkEnd w:id="17799"/>
      <w:r>
        <w:rPr>
          <w:rFonts w:hint="cs"/>
          <w:rtl/>
        </w:rPr>
        <w:t xml:space="preserve">מצביעים </w:t>
      </w:r>
      <w:bookmarkStart w:id="17800" w:name="_ETM_Q28_411490"/>
      <w:bookmarkEnd w:id="17800"/>
      <w:r>
        <w:rPr>
          <w:rFonts w:hint="cs"/>
          <w:rtl/>
        </w:rPr>
        <w:t xml:space="preserve">כי </w:t>
      </w:r>
      <w:bookmarkStart w:id="17801" w:name="_ETM_Q28_411610"/>
      <w:bookmarkEnd w:id="17801"/>
      <w:r>
        <w:rPr>
          <w:rFonts w:hint="cs"/>
          <w:rtl/>
        </w:rPr>
        <w:t xml:space="preserve">הם </w:t>
      </w:r>
      <w:bookmarkStart w:id="17802" w:name="_ETM_Q28_411700"/>
      <w:bookmarkEnd w:id="17802"/>
      <w:r>
        <w:rPr>
          <w:rFonts w:hint="cs"/>
          <w:rtl/>
        </w:rPr>
        <w:t xml:space="preserve">מסכימים </w:t>
      </w:r>
      <w:bookmarkStart w:id="17803" w:name="_ETM_Q28_412180"/>
      <w:bookmarkEnd w:id="17803"/>
      <w:r>
        <w:rPr>
          <w:rFonts w:hint="cs"/>
          <w:rtl/>
        </w:rPr>
        <w:t xml:space="preserve">ב-100% </w:t>
      </w:r>
      <w:bookmarkStart w:id="17804" w:name="_ETM_Q28_413590"/>
      <w:bookmarkEnd w:id="17804"/>
      <w:r>
        <w:rPr>
          <w:rFonts w:hint="cs"/>
          <w:rtl/>
        </w:rPr>
        <w:t xml:space="preserve">עם </w:t>
      </w:r>
      <w:bookmarkStart w:id="17805" w:name="_ETM_Q28_413739"/>
      <w:bookmarkEnd w:id="17805"/>
      <w:r>
        <w:rPr>
          <w:rFonts w:hint="cs"/>
          <w:rtl/>
        </w:rPr>
        <w:t xml:space="preserve">כל </w:t>
      </w:r>
      <w:bookmarkStart w:id="17806" w:name="_ETM_Q28_413950"/>
      <w:bookmarkEnd w:id="17806"/>
      <w:r>
        <w:rPr>
          <w:rFonts w:hint="cs"/>
          <w:rtl/>
        </w:rPr>
        <w:t xml:space="preserve">מה </w:t>
      </w:r>
      <w:bookmarkStart w:id="17807" w:name="_ETM_Q28_414069"/>
      <w:bookmarkEnd w:id="17807"/>
      <w:r>
        <w:rPr>
          <w:rFonts w:hint="cs"/>
          <w:rtl/>
        </w:rPr>
        <w:t xml:space="preserve">שכל </w:t>
      </w:r>
      <w:bookmarkStart w:id="17808" w:name="_ETM_Q28_414370"/>
      <w:bookmarkEnd w:id="17808"/>
      <w:r>
        <w:rPr>
          <w:rFonts w:hint="cs"/>
          <w:rtl/>
        </w:rPr>
        <w:t xml:space="preserve">רשימה </w:t>
      </w:r>
      <w:bookmarkStart w:id="17809" w:name="_ETM_Q28_414790"/>
      <w:bookmarkEnd w:id="17809"/>
      <w:r>
        <w:rPr>
          <w:rFonts w:hint="cs"/>
          <w:rtl/>
        </w:rPr>
        <w:t xml:space="preserve">אומרת; </w:t>
      </w:r>
      <w:bookmarkStart w:id="17810" w:name="_ETM_Q28_415750"/>
      <w:bookmarkEnd w:id="17810"/>
      <w:r>
        <w:rPr>
          <w:rFonts w:hint="cs"/>
          <w:rtl/>
        </w:rPr>
        <w:t xml:space="preserve">אנשים </w:t>
      </w:r>
      <w:bookmarkStart w:id="17811" w:name="_ETM_Q28_416170"/>
      <w:bookmarkEnd w:id="17811"/>
      <w:r>
        <w:rPr>
          <w:rFonts w:hint="cs"/>
          <w:rtl/>
        </w:rPr>
        <w:t xml:space="preserve">מצביעים </w:t>
      </w:r>
      <w:bookmarkStart w:id="17812" w:name="_ETM_Q28_416500"/>
      <w:bookmarkEnd w:id="17812"/>
      <w:r>
        <w:rPr>
          <w:rFonts w:hint="cs"/>
          <w:rtl/>
        </w:rPr>
        <w:t xml:space="preserve">על </w:t>
      </w:r>
      <w:bookmarkStart w:id="17813" w:name="_ETM_Q28_416590"/>
      <w:bookmarkEnd w:id="17813"/>
      <w:r>
        <w:rPr>
          <w:rFonts w:hint="cs"/>
          <w:rtl/>
        </w:rPr>
        <w:t xml:space="preserve">פי </w:t>
      </w:r>
      <w:bookmarkStart w:id="17814" w:name="_ETM_Q28_416739"/>
      <w:bookmarkEnd w:id="17814"/>
      <w:r>
        <w:rPr>
          <w:rFonts w:hint="cs"/>
          <w:rtl/>
        </w:rPr>
        <w:t xml:space="preserve">סדר </w:t>
      </w:r>
      <w:bookmarkStart w:id="17815" w:name="_ETM_Q28_417069"/>
      <w:bookmarkEnd w:id="17815"/>
      <w:r>
        <w:rPr>
          <w:rFonts w:hint="cs"/>
          <w:rtl/>
        </w:rPr>
        <w:t xml:space="preserve">העדיפויות </w:t>
      </w:r>
      <w:bookmarkStart w:id="17816" w:name="_ETM_Q28_417609"/>
      <w:bookmarkEnd w:id="17816"/>
      <w:r>
        <w:rPr>
          <w:rFonts w:hint="cs"/>
          <w:rtl/>
        </w:rPr>
        <w:t xml:space="preserve">שלהם. </w:t>
      </w:r>
      <w:bookmarkStart w:id="17817" w:name="_ETM_Q28_419100"/>
      <w:bookmarkEnd w:id="17817"/>
      <w:r>
        <w:rPr>
          <w:rFonts w:hint="cs"/>
          <w:rtl/>
        </w:rPr>
        <w:t xml:space="preserve">אם </w:t>
      </w:r>
      <w:bookmarkStart w:id="17818" w:name="_ETM_Q28_419340"/>
      <w:bookmarkStart w:id="17819" w:name="_ETM_Q28_418039"/>
      <w:bookmarkStart w:id="17820" w:name="_ETM_Q28_419850"/>
      <w:bookmarkEnd w:id="17818"/>
      <w:bookmarkEnd w:id="17819"/>
      <w:bookmarkEnd w:id="17820"/>
      <w:r>
        <w:rPr>
          <w:rFonts w:hint="cs"/>
          <w:rtl/>
        </w:rPr>
        <w:t xml:space="preserve">הם </w:t>
      </w:r>
      <w:bookmarkStart w:id="17821" w:name="_ETM_Q28_419910"/>
      <w:bookmarkEnd w:id="17821"/>
      <w:r>
        <w:rPr>
          <w:rFonts w:hint="cs"/>
          <w:rtl/>
        </w:rPr>
        <w:t xml:space="preserve">צריכים </w:t>
      </w:r>
      <w:bookmarkStart w:id="17822" w:name="_ETM_Q28_420180"/>
      <w:bookmarkEnd w:id="17822"/>
      <w:r>
        <w:rPr>
          <w:rFonts w:hint="cs"/>
          <w:rtl/>
        </w:rPr>
        <w:t xml:space="preserve">להכריע </w:t>
      </w:r>
      <w:bookmarkStart w:id="17823" w:name="_ETM_Q28_420690"/>
      <w:bookmarkEnd w:id="17823"/>
      <w:r>
        <w:rPr>
          <w:rFonts w:hint="cs"/>
          <w:rtl/>
        </w:rPr>
        <w:t xml:space="preserve">בין </w:t>
      </w:r>
      <w:bookmarkStart w:id="17824" w:name="_ETM_Q28_420840"/>
      <w:bookmarkEnd w:id="17824"/>
      <w:r>
        <w:rPr>
          <w:rFonts w:hint="cs"/>
          <w:rtl/>
        </w:rPr>
        <w:t xml:space="preserve">רשימה </w:t>
      </w:r>
      <w:bookmarkStart w:id="17825" w:name="_ETM_Q28_421260"/>
      <w:bookmarkEnd w:id="17825"/>
      <w:r>
        <w:rPr>
          <w:rFonts w:hint="cs"/>
          <w:rtl/>
        </w:rPr>
        <w:t xml:space="preserve">א' </w:t>
      </w:r>
      <w:bookmarkStart w:id="17826" w:name="_ETM_Q28_421530"/>
      <w:bookmarkEnd w:id="17826"/>
      <w:r>
        <w:rPr>
          <w:rFonts w:hint="cs"/>
          <w:rtl/>
        </w:rPr>
        <w:t xml:space="preserve">לב', </w:t>
      </w:r>
      <w:bookmarkStart w:id="17827" w:name="_ETM_Q28_421980"/>
      <w:bookmarkEnd w:id="17827"/>
      <w:r>
        <w:rPr>
          <w:rFonts w:hint="cs"/>
          <w:rtl/>
        </w:rPr>
        <w:t xml:space="preserve">ולכל </w:t>
      </w:r>
      <w:bookmarkStart w:id="17828" w:name="_ETM_Q28_422340"/>
      <w:bookmarkStart w:id="17829" w:name="_ETM_Q28_422580"/>
      <w:bookmarkEnd w:id="17828"/>
      <w:bookmarkEnd w:id="17829"/>
      <w:r>
        <w:rPr>
          <w:rFonts w:hint="cs"/>
          <w:rtl/>
        </w:rPr>
        <w:t xml:space="preserve">אחת </w:t>
      </w:r>
      <w:bookmarkStart w:id="17830" w:name="_ETM_Q28_420251"/>
      <w:bookmarkEnd w:id="17830"/>
      <w:r>
        <w:rPr>
          <w:rFonts w:hint="cs"/>
          <w:rtl/>
        </w:rPr>
        <w:t xml:space="preserve">מהרשימות </w:t>
      </w:r>
      <w:bookmarkStart w:id="17831" w:name="_ETM_Q28_423030"/>
      <w:bookmarkEnd w:id="17831"/>
      <w:r>
        <w:rPr>
          <w:rFonts w:hint="cs"/>
          <w:rtl/>
        </w:rPr>
        <w:t xml:space="preserve">יש </w:t>
      </w:r>
      <w:bookmarkStart w:id="17832" w:name="_ETM_Q28_423400"/>
      <w:bookmarkEnd w:id="17832"/>
      <w:r>
        <w:rPr>
          <w:rFonts w:hint="cs"/>
          <w:rtl/>
        </w:rPr>
        <w:t xml:space="preserve">חמישה </w:t>
      </w:r>
      <w:bookmarkStart w:id="17833" w:name="_ETM_Q28_424000"/>
      <w:bookmarkEnd w:id="17833"/>
      <w:r>
        <w:rPr>
          <w:rFonts w:hint="cs"/>
          <w:rtl/>
        </w:rPr>
        <w:t xml:space="preserve">נושאים </w:t>
      </w:r>
      <w:bookmarkStart w:id="17834" w:name="_ETM_Q28_424420"/>
      <w:bookmarkEnd w:id="17834"/>
      <w:r>
        <w:rPr>
          <w:rFonts w:hint="cs"/>
          <w:rtl/>
        </w:rPr>
        <w:t xml:space="preserve">שונים, </w:t>
      </w:r>
      <w:bookmarkStart w:id="17835" w:name="_ETM_Q28_425430"/>
      <w:bookmarkEnd w:id="17835"/>
      <w:r>
        <w:rPr>
          <w:rFonts w:hint="cs"/>
          <w:rtl/>
        </w:rPr>
        <w:t>הבוחר,</w:t>
      </w:r>
      <w:bookmarkStart w:id="17836" w:name="_ETM_Q28_423192"/>
      <w:bookmarkEnd w:id="17836"/>
      <w:r>
        <w:rPr>
          <w:rFonts w:hint="cs"/>
          <w:rtl/>
        </w:rPr>
        <w:t xml:space="preserve"> </w:t>
      </w:r>
      <w:bookmarkStart w:id="17837" w:name="_ETM_Q28_426349"/>
      <w:bookmarkEnd w:id="17837"/>
      <w:r>
        <w:rPr>
          <w:rFonts w:hint="cs"/>
          <w:rtl/>
        </w:rPr>
        <w:t xml:space="preserve">אם </w:t>
      </w:r>
      <w:bookmarkStart w:id="17838" w:name="_ETM_Q28_426620"/>
      <w:bookmarkEnd w:id="17838"/>
      <w:r>
        <w:rPr>
          <w:rFonts w:hint="cs"/>
          <w:rtl/>
        </w:rPr>
        <w:t xml:space="preserve">הוא </w:t>
      </w:r>
      <w:bookmarkStart w:id="17839" w:name="_ETM_Q28_426680"/>
      <w:bookmarkEnd w:id="17839"/>
      <w:r>
        <w:rPr>
          <w:rFonts w:hint="cs"/>
          <w:rtl/>
        </w:rPr>
        <w:t xml:space="preserve">רציונלי, </w:t>
      </w:r>
      <w:bookmarkStart w:id="17840" w:name="_ETM_Q28_428469"/>
      <w:bookmarkEnd w:id="17840"/>
      <w:r>
        <w:rPr>
          <w:rFonts w:hint="cs"/>
          <w:rtl/>
        </w:rPr>
        <w:t xml:space="preserve">יבחר </w:t>
      </w:r>
      <w:bookmarkStart w:id="17841" w:name="_ETM_Q28_429040"/>
      <w:bookmarkEnd w:id="17841"/>
      <w:r>
        <w:rPr>
          <w:rFonts w:hint="cs"/>
          <w:rtl/>
        </w:rPr>
        <w:t xml:space="preserve">לא ברשימה </w:t>
      </w:r>
      <w:bookmarkStart w:id="17842" w:name="_ETM_Q28_429669"/>
      <w:bookmarkStart w:id="17843" w:name="_ETM_Q28_429790"/>
      <w:bookmarkEnd w:id="17842"/>
      <w:bookmarkEnd w:id="17843"/>
      <w:r>
        <w:rPr>
          <w:rFonts w:hint="cs"/>
          <w:rtl/>
        </w:rPr>
        <w:t xml:space="preserve">שהוא </w:t>
      </w:r>
      <w:bookmarkStart w:id="17844" w:name="_ETM_Q28_429939"/>
      <w:bookmarkEnd w:id="17844"/>
      <w:r>
        <w:rPr>
          <w:rFonts w:hint="cs"/>
          <w:rtl/>
        </w:rPr>
        <w:t xml:space="preserve">מסכים </w:t>
      </w:r>
      <w:bookmarkStart w:id="17845" w:name="_ETM_Q28_430299"/>
      <w:bookmarkEnd w:id="17845"/>
      <w:r>
        <w:rPr>
          <w:rFonts w:hint="cs"/>
          <w:rtl/>
        </w:rPr>
        <w:t xml:space="preserve">עם </w:t>
      </w:r>
      <w:bookmarkStart w:id="17846" w:name="_ETM_Q28_430389"/>
      <w:bookmarkEnd w:id="17846"/>
      <w:r>
        <w:rPr>
          <w:rFonts w:hint="cs"/>
          <w:rtl/>
        </w:rPr>
        <w:t xml:space="preserve">כל </w:t>
      </w:r>
      <w:bookmarkStart w:id="17847" w:name="_ETM_Q28_430569"/>
      <w:bookmarkEnd w:id="17847"/>
      <w:r>
        <w:rPr>
          <w:rFonts w:hint="cs"/>
          <w:rtl/>
        </w:rPr>
        <w:t>חמש</w:t>
      </w:r>
      <w:bookmarkStart w:id="17848" w:name="_ETM_Q28_429075"/>
      <w:bookmarkEnd w:id="17848"/>
      <w:r>
        <w:rPr>
          <w:rFonts w:hint="cs"/>
          <w:rtl/>
        </w:rPr>
        <w:t xml:space="preserve"> </w:t>
      </w:r>
      <w:bookmarkStart w:id="17849" w:name="_ETM_Q28_430870"/>
      <w:bookmarkEnd w:id="17849"/>
      <w:r>
        <w:rPr>
          <w:rFonts w:hint="cs"/>
          <w:rtl/>
        </w:rPr>
        <w:t xml:space="preserve">הנקודות </w:t>
      </w:r>
      <w:bookmarkStart w:id="17850" w:name="_ETM_Q28_431379"/>
      <w:bookmarkEnd w:id="17850"/>
      <w:r>
        <w:rPr>
          <w:rFonts w:hint="cs"/>
          <w:rtl/>
        </w:rPr>
        <w:t xml:space="preserve">שלה, </w:t>
      </w:r>
      <w:bookmarkStart w:id="17851" w:name="_ETM_Q28_432279"/>
      <w:bookmarkEnd w:id="17851"/>
      <w:r>
        <w:rPr>
          <w:rFonts w:hint="cs"/>
          <w:rtl/>
        </w:rPr>
        <w:t xml:space="preserve">אלא </w:t>
      </w:r>
      <w:bookmarkStart w:id="17852" w:name="_ETM_Q28_432549"/>
      <w:bookmarkEnd w:id="17852"/>
      <w:r>
        <w:rPr>
          <w:rFonts w:hint="cs"/>
          <w:rtl/>
        </w:rPr>
        <w:t xml:space="preserve">בזו שבה הוא </w:t>
      </w:r>
      <w:bookmarkStart w:id="17853" w:name="_ETM_Q28_432730"/>
      <w:bookmarkEnd w:id="17853"/>
      <w:r>
        <w:rPr>
          <w:rFonts w:hint="cs"/>
          <w:rtl/>
        </w:rPr>
        <w:t xml:space="preserve">מסכים </w:t>
      </w:r>
      <w:bookmarkStart w:id="17854" w:name="_ETM_Q28_433120"/>
      <w:bookmarkEnd w:id="17854"/>
      <w:r>
        <w:rPr>
          <w:rFonts w:hint="cs"/>
          <w:rtl/>
        </w:rPr>
        <w:t xml:space="preserve">עם </w:t>
      </w:r>
      <w:bookmarkStart w:id="17855" w:name="_ETM_Q28_433239"/>
      <w:bookmarkEnd w:id="17855"/>
      <w:r>
        <w:rPr>
          <w:rFonts w:hint="cs"/>
          <w:rtl/>
        </w:rPr>
        <w:t xml:space="preserve">הנקודה </w:t>
      </w:r>
      <w:bookmarkStart w:id="17856" w:name="_ETM_Q28_433719"/>
      <w:bookmarkEnd w:id="17856"/>
      <w:r>
        <w:rPr>
          <w:rFonts w:hint="cs"/>
          <w:rtl/>
        </w:rPr>
        <w:t xml:space="preserve">החשובה </w:t>
      </w:r>
      <w:bookmarkStart w:id="17857" w:name="_ETM_Q28_434109"/>
      <w:bookmarkEnd w:id="17857"/>
      <w:r>
        <w:rPr>
          <w:rFonts w:hint="cs"/>
          <w:rtl/>
        </w:rPr>
        <w:t xml:space="preserve">ביותר </w:t>
      </w:r>
      <w:bookmarkStart w:id="17858" w:name="_ETM_Q28_434559"/>
      <w:bookmarkEnd w:id="17858"/>
      <w:r>
        <w:rPr>
          <w:rFonts w:hint="cs"/>
          <w:rtl/>
        </w:rPr>
        <w:t>עבורו.</w:t>
      </w:r>
      <w:bookmarkStart w:id="17859" w:name="_ETM_Q28_436970"/>
      <w:bookmarkEnd w:id="17859"/>
      <w:r>
        <w:rPr>
          <w:rFonts w:hint="cs"/>
          <w:rtl/>
        </w:rPr>
        <w:t xml:space="preserve"> </w:t>
      </w:r>
      <w:bookmarkStart w:id="17860" w:name="_ETM_Q28_437941"/>
      <w:bookmarkStart w:id="17861" w:name="_ETM_Q28_438016"/>
      <w:bookmarkStart w:id="17862" w:name="_ETM_Q28_438114"/>
      <w:bookmarkStart w:id="17863" w:name="_ETM_Q28_438163"/>
      <w:bookmarkStart w:id="17864" w:name="_ETM_Q28_437240"/>
      <w:bookmarkStart w:id="17865" w:name="_ETM_Q28_434464"/>
      <w:bookmarkEnd w:id="17860"/>
      <w:bookmarkEnd w:id="17861"/>
      <w:bookmarkEnd w:id="17862"/>
      <w:bookmarkEnd w:id="17863"/>
      <w:bookmarkEnd w:id="17864"/>
      <w:bookmarkEnd w:id="17865"/>
      <w:r>
        <w:rPr>
          <w:rFonts w:hint="cs"/>
          <w:rtl/>
        </w:rPr>
        <w:t xml:space="preserve">ההפיכה </w:t>
      </w:r>
      <w:bookmarkStart w:id="17866" w:name="_ETM_Q28_437509"/>
      <w:bookmarkEnd w:id="17866"/>
      <w:r>
        <w:rPr>
          <w:rFonts w:hint="cs"/>
          <w:rtl/>
        </w:rPr>
        <w:t xml:space="preserve">לא </w:t>
      </w:r>
      <w:bookmarkStart w:id="17867" w:name="_ETM_Q28_437660"/>
      <w:bookmarkEnd w:id="17867"/>
      <w:r>
        <w:rPr>
          <w:rFonts w:hint="cs"/>
          <w:rtl/>
        </w:rPr>
        <w:t xml:space="preserve">הייתה </w:t>
      </w:r>
      <w:bookmarkStart w:id="17868" w:name="_ETM_Q28_437900"/>
      <w:bookmarkEnd w:id="17868"/>
      <w:r>
        <w:rPr>
          <w:rFonts w:hint="cs"/>
          <w:rtl/>
        </w:rPr>
        <w:t xml:space="preserve">בראש </w:t>
      </w:r>
      <w:bookmarkStart w:id="17869" w:name="_ETM_Q28_438169"/>
      <w:bookmarkEnd w:id="17869"/>
      <w:r>
        <w:rPr>
          <w:rFonts w:hint="cs"/>
          <w:rtl/>
        </w:rPr>
        <w:t xml:space="preserve">סדר </w:t>
      </w:r>
      <w:bookmarkStart w:id="17870" w:name="_ETM_Q28_438470"/>
      <w:bookmarkEnd w:id="17870"/>
      <w:r>
        <w:rPr>
          <w:rFonts w:hint="cs"/>
          <w:rtl/>
        </w:rPr>
        <w:t xml:space="preserve">העדיפויות </w:t>
      </w:r>
      <w:bookmarkStart w:id="17871" w:name="_ETM_Q28_439339"/>
      <w:bookmarkEnd w:id="17871"/>
      <w:r>
        <w:rPr>
          <w:rFonts w:hint="cs"/>
          <w:rtl/>
        </w:rPr>
        <w:t xml:space="preserve">של </w:t>
      </w:r>
      <w:bookmarkStart w:id="17872" w:name="_ETM_Q28_439550"/>
      <w:bookmarkEnd w:id="17872"/>
      <w:r>
        <w:rPr>
          <w:rFonts w:hint="cs"/>
          <w:rtl/>
        </w:rPr>
        <w:t xml:space="preserve">המצביעים </w:t>
      </w:r>
      <w:bookmarkStart w:id="17873" w:name="_ETM_Q28_440029"/>
      <w:bookmarkEnd w:id="17873"/>
      <w:r>
        <w:rPr>
          <w:rFonts w:hint="cs"/>
          <w:rtl/>
        </w:rPr>
        <w:t xml:space="preserve">שלכם, </w:t>
      </w:r>
      <w:bookmarkStart w:id="17874" w:name="_ETM_Q28_441490"/>
      <w:bookmarkEnd w:id="17874"/>
      <w:r>
        <w:rPr>
          <w:rFonts w:hint="cs"/>
          <w:rtl/>
        </w:rPr>
        <w:t xml:space="preserve">לכן </w:t>
      </w:r>
      <w:bookmarkStart w:id="17875" w:name="_ETM_Q28_441939"/>
      <w:bookmarkEnd w:id="17875"/>
      <w:r>
        <w:rPr>
          <w:rFonts w:hint="cs"/>
          <w:rtl/>
        </w:rPr>
        <w:t xml:space="preserve">להגיד </w:t>
      </w:r>
      <w:bookmarkStart w:id="17876" w:name="_ETM_Q28_442360"/>
      <w:bookmarkEnd w:id="17876"/>
      <w:r>
        <w:rPr>
          <w:rFonts w:hint="cs"/>
          <w:rtl/>
        </w:rPr>
        <w:t>ש</w:t>
      </w:r>
      <w:bookmarkStart w:id="17877" w:name="_ETM_Q28_443080"/>
      <w:bookmarkEnd w:id="17877"/>
      <w:r>
        <w:rPr>
          <w:rFonts w:hint="cs"/>
          <w:rtl/>
        </w:rPr>
        <w:t xml:space="preserve">הבחירה </w:t>
      </w:r>
      <w:bookmarkStart w:id="17878" w:name="_ETM_Q28_443620"/>
      <w:bookmarkEnd w:id="17878"/>
      <w:r>
        <w:rPr>
          <w:rFonts w:hint="cs"/>
          <w:rtl/>
        </w:rPr>
        <w:t xml:space="preserve">שלהם </w:t>
      </w:r>
      <w:bookmarkStart w:id="17879" w:name="_ETM_Q28_443949"/>
      <w:bookmarkStart w:id="17880" w:name="_ETM_Q28_444550"/>
      <w:bookmarkStart w:id="17881" w:name="_ETM_Q28_443812"/>
      <w:bookmarkEnd w:id="17879"/>
      <w:bookmarkEnd w:id="17880"/>
      <w:bookmarkEnd w:id="17881"/>
      <w:r>
        <w:rPr>
          <w:rFonts w:hint="cs"/>
          <w:rtl/>
        </w:rPr>
        <w:t xml:space="preserve">מבטאת </w:t>
      </w:r>
      <w:bookmarkStart w:id="17882" w:name="_ETM_Q28_445639"/>
      <w:bookmarkEnd w:id="17882"/>
      <w:r>
        <w:rPr>
          <w:rFonts w:hint="cs"/>
          <w:rtl/>
        </w:rPr>
        <w:t xml:space="preserve">תמיכה </w:t>
      </w:r>
      <w:bookmarkStart w:id="17883" w:name="_ETM_Q28_446120"/>
      <w:bookmarkEnd w:id="17883"/>
      <w:r>
        <w:rPr>
          <w:rFonts w:hint="cs"/>
          <w:rtl/>
        </w:rPr>
        <w:t xml:space="preserve">בהפיכה </w:t>
      </w:r>
      <w:bookmarkStart w:id="17884" w:name="_ETM_Q28_447199"/>
      <w:bookmarkEnd w:id="17884"/>
      <w:r>
        <w:rPr>
          <w:rFonts w:hint="cs"/>
          <w:rtl/>
        </w:rPr>
        <w:t xml:space="preserve">זה </w:t>
      </w:r>
      <w:bookmarkStart w:id="17885" w:name="_ETM_Q28_447410"/>
      <w:bookmarkEnd w:id="17885"/>
      <w:r>
        <w:rPr>
          <w:rFonts w:hint="cs"/>
          <w:rtl/>
        </w:rPr>
        <w:t xml:space="preserve">מופרך </w:t>
      </w:r>
      <w:bookmarkStart w:id="17886" w:name="_ETM_Q28_447800"/>
      <w:bookmarkEnd w:id="17886"/>
      <w:r>
        <w:rPr>
          <w:rFonts w:hint="cs"/>
          <w:rtl/>
        </w:rPr>
        <w:t xml:space="preserve">מתמטית, </w:t>
      </w:r>
      <w:bookmarkStart w:id="17887" w:name="_ETM_Q28_449200"/>
      <w:bookmarkEnd w:id="17887"/>
      <w:r>
        <w:rPr>
          <w:rFonts w:hint="cs"/>
          <w:rtl/>
        </w:rPr>
        <w:t>לוגית.</w:t>
      </w:r>
      <w:bookmarkStart w:id="17888" w:name="_ETM_Q28_451729"/>
      <w:bookmarkEnd w:id="17888"/>
    </w:p>
    <w:p w:rsidR="00337201" w:rsidRDefault="00337201" w:rsidP="00337201">
      <w:pPr>
        <w:rPr>
          <w:rtl/>
        </w:rPr>
      </w:pPr>
      <w:bookmarkStart w:id="17889" w:name="_ETM_Q28_449637"/>
      <w:bookmarkStart w:id="17890" w:name="_ETM_Q28_449698"/>
      <w:bookmarkEnd w:id="17889"/>
      <w:bookmarkEnd w:id="17890"/>
    </w:p>
    <w:p w:rsidR="00337201" w:rsidRDefault="00337201" w:rsidP="00337201">
      <w:pPr>
        <w:rPr>
          <w:rtl/>
        </w:rPr>
      </w:pPr>
      <w:bookmarkStart w:id="17891" w:name="_ETM_Q28_449794"/>
      <w:bookmarkStart w:id="17892" w:name="_ETM_Q28_449865"/>
      <w:bookmarkEnd w:id="17891"/>
      <w:bookmarkEnd w:id="17892"/>
      <w:r>
        <w:rPr>
          <w:rFonts w:hint="cs"/>
          <w:rtl/>
        </w:rPr>
        <w:t xml:space="preserve">שנית, </w:t>
      </w:r>
      <w:bookmarkStart w:id="17893" w:name="_ETM_Q28_452600"/>
      <w:bookmarkEnd w:id="17893"/>
      <w:r>
        <w:rPr>
          <w:rFonts w:hint="cs"/>
          <w:rtl/>
        </w:rPr>
        <w:t xml:space="preserve">בהקשר </w:t>
      </w:r>
      <w:bookmarkStart w:id="17894" w:name="_ETM_Q28_453080"/>
      <w:bookmarkEnd w:id="17894"/>
      <w:r>
        <w:rPr>
          <w:rFonts w:hint="cs"/>
          <w:rtl/>
        </w:rPr>
        <w:t xml:space="preserve">של </w:t>
      </w:r>
      <w:bookmarkStart w:id="17895" w:name="_ETM_Q28_453259"/>
      <w:bookmarkEnd w:id="17895"/>
      <w:r>
        <w:rPr>
          <w:rFonts w:hint="cs"/>
          <w:rtl/>
        </w:rPr>
        <w:t xml:space="preserve">רצון </w:t>
      </w:r>
      <w:bookmarkStart w:id="17896" w:name="_ETM_Q28_453680"/>
      <w:bookmarkEnd w:id="17896"/>
      <w:r>
        <w:rPr>
          <w:rFonts w:hint="cs"/>
          <w:rtl/>
        </w:rPr>
        <w:t>העם –</w:t>
      </w:r>
      <w:bookmarkStart w:id="17897" w:name="_ETM_Q28_453321"/>
      <w:bookmarkEnd w:id="17897"/>
      <w:r>
        <w:rPr>
          <w:rFonts w:hint="cs"/>
          <w:rtl/>
        </w:rPr>
        <w:t xml:space="preserve"> </w:t>
      </w:r>
      <w:bookmarkStart w:id="17898" w:name="_ETM_Q28_454850"/>
      <w:bookmarkEnd w:id="17898"/>
      <w:r>
        <w:rPr>
          <w:rFonts w:hint="cs"/>
          <w:rtl/>
        </w:rPr>
        <w:t xml:space="preserve">רצון </w:t>
      </w:r>
      <w:bookmarkStart w:id="17899" w:name="_ETM_Q28_455330"/>
      <w:bookmarkEnd w:id="17899"/>
      <w:r>
        <w:rPr>
          <w:rFonts w:hint="cs"/>
          <w:rtl/>
        </w:rPr>
        <w:t xml:space="preserve">העם </w:t>
      </w:r>
      <w:bookmarkStart w:id="17900" w:name="_ETM_Q28_456170"/>
      <w:bookmarkEnd w:id="17900"/>
      <w:r>
        <w:rPr>
          <w:rFonts w:hint="cs"/>
          <w:rtl/>
        </w:rPr>
        <w:t xml:space="preserve">משמעו </w:t>
      </w:r>
      <w:bookmarkStart w:id="17901" w:name="_ETM_Q28_456680"/>
      <w:bookmarkEnd w:id="17901"/>
      <w:r>
        <w:rPr>
          <w:rFonts w:hint="cs"/>
          <w:rtl/>
        </w:rPr>
        <w:t xml:space="preserve">רצונו </w:t>
      </w:r>
      <w:bookmarkStart w:id="17902" w:name="_ETM_Q28_457130"/>
      <w:bookmarkEnd w:id="17902"/>
      <w:r>
        <w:rPr>
          <w:rFonts w:hint="cs"/>
          <w:rtl/>
        </w:rPr>
        <w:t xml:space="preserve">של </w:t>
      </w:r>
      <w:bookmarkStart w:id="17903" w:name="_ETM_Q28_457460"/>
      <w:bookmarkEnd w:id="17903"/>
      <w:r>
        <w:rPr>
          <w:rFonts w:hint="cs"/>
          <w:rtl/>
        </w:rPr>
        <w:t xml:space="preserve">כל </w:t>
      </w:r>
      <w:bookmarkStart w:id="17904" w:name="_ETM_Q28_457910"/>
      <w:bookmarkEnd w:id="17904"/>
      <w:r>
        <w:rPr>
          <w:rFonts w:hint="cs"/>
          <w:rtl/>
        </w:rPr>
        <w:t xml:space="preserve">העם. אבל </w:t>
      </w:r>
      <w:bookmarkStart w:id="17905" w:name="_ETM_Q28_459200"/>
      <w:bookmarkEnd w:id="17905"/>
      <w:r>
        <w:rPr>
          <w:rFonts w:hint="cs"/>
          <w:rtl/>
        </w:rPr>
        <w:t xml:space="preserve">מה </w:t>
      </w:r>
      <w:bookmarkStart w:id="17906" w:name="_ETM_Q28_459320"/>
      <w:bookmarkEnd w:id="17906"/>
      <w:r>
        <w:rPr>
          <w:rFonts w:hint="cs"/>
          <w:rtl/>
        </w:rPr>
        <w:t xml:space="preserve">זה </w:t>
      </w:r>
      <w:bookmarkStart w:id="17907" w:name="_ETM_Q28_459440"/>
      <w:bookmarkEnd w:id="17907"/>
      <w:r>
        <w:rPr>
          <w:rFonts w:hint="cs"/>
          <w:rtl/>
        </w:rPr>
        <w:t xml:space="preserve">בדיוק </w:t>
      </w:r>
      <w:bookmarkStart w:id="17908" w:name="_ETM_Q28_459800"/>
      <w:bookmarkEnd w:id="17908"/>
      <w:r>
        <w:rPr>
          <w:rFonts w:hint="cs"/>
          <w:rtl/>
        </w:rPr>
        <w:t xml:space="preserve">אומר? </w:t>
      </w:r>
      <w:bookmarkStart w:id="17909" w:name="_ETM_Q28_461099"/>
      <w:bookmarkEnd w:id="17909"/>
      <w:r>
        <w:rPr>
          <w:rFonts w:hint="cs"/>
          <w:rtl/>
        </w:rPr>
        <w:t xml:space="preserve">הרי </w:t>
      </w:r>
      <w:bookmarkStart w:id="17910" w:name="_ETM_Q28_461339"/>
      <w:bookmarkEnd w:id="17910"/>
      <w:r>
        <w:rPr>
          <w:rFonts w:hint="cs"/>
          <w:rtl/>
        </w:rPr>
        <w:t>בר</w:t>
      </w:r>
      <w:bookmarkStart w:id="17911" w:name="_ETM_Q28_461669"/>
      <w:bookmarkEnd w:id="17911"/>
      <w:r>
        <w:rPr>
          <w:rFonts w:hint="cs"/>
          <w:rtl/>
        </w:rPr>
        <w:t>י לכול</w:t>
      </w:r>
      <w:bookmarkStart w:id="17912" w:name="_ETM_Q28_458467"/>
      <w:bookmarkEnd w:id="17912"/>
      <w:r>
        <w:rPr>
          <w:rFonts w:hint="cs"/>
          <w:rtl/>
        </w:rPr>
        <w:t xml:space="preserve"> </w:t>
      </w:r>
      <w:bookmarkStart w:id="17913" w:name="_ETM_Q28_461969"/>
      <w:bookmarkEnd w:id="17913"/>
      <w:r>
        <w:rPr>
          <w:rFonts w:hint="cs"/>
          <w:rtl/>
        </w:rPr>
        <w:t xml:space="preserve">שלא </w:t>
      </w:r>
      <w:bookmarkStart w:id="17914" w:name="_ETM_Q28_462210"/>
      <w:bookmarkEnd w:id="17914"/>
      <w:r>
        <w:rPr>
          <w:rFonts w:hint="cs"/>
          <w:rtl/>
        </w:rPr>
        <w:t>תיתכנה</w:t>
      </w:r>
      <w:bookmarkStart w:id="17915" w:name="_ETM_Q28_462719"/>
      <w:bookmarkEnd w:id="17915"/>
      <w:r>
        <w:rPr>
          <w:rFonts w:hint="cs"/>
          <w:rtl/>
        </w:rPr>
        <w:t xml:space="preserve"> </w:t>
      </w:r>
      <w:bookmarkStart w:id="17916" w:name="_ETM_Q28_459707"/>
      <w:bookmarkEnd w:id="17916"/>
      <w:r>
        <w:rPr>
          <w:rFonts w:hint="cs"/>
          <w:rtl/>
        </w:rPr>
        <w:t xml:space="preserve">הסכמות </w:t>
      </w:r>
      <w:bookmarkStart w:id="17917" w:name="_ETM_Q28_463259"/>
      <w:bookmarkEnd w:id="17917"/>
      <w:r>
        <w:rPr>
          <w:rFonts w:hint="cs"/>
          <w:rtl/>
        </w:rPr>
        <w:t xml:space="preserve">של </w:t>
      </w:r>
      <w:bookmarkStart w:id="17918" w:name="_ETM_Q28_463469"/>
      <w:bookmarkEnd w:id="17918"/>
      <w:r>
        <w:rPr>
          <w:rFonts w:hint="cs"/>
          <w:rtl/>
        </w:rPr>
        <w:t xml:space="preserve">עם שלם. </w:t>
      </w:r>
      <w:bookmarkStart w:id="17919" w:name="_ETM_Q28_464820"/>
      <w:bookmarkEnd w:id="17919"/>
      <w:r>
        <w:rPr>
          <w:rFonts w:hint="cs"/>
          <w:rtl/>
        </w:rPr>
        <w:t xml:space="preserve">תשובתה </w:t>
      </w:r>
      <w:bookmarkStart w:id="17920" w:name="_ETM_Q28_465360"/>
      <w:bookmarkEnd w:id="17920"/>
      <w:r>
        <w:rPr>
          <w:rFonts w:hint="cs"/>
          <w:rtl/>
        </w:rPr>
        <w:t xml:space="preserve">של </w:t>
      </w:r>
      <w:bookmarkStart w:id="17921" w:name="_ETM_Q28_465540"/>
      <w:bookmarkEnd w:id="17921"/>
      <w:r>
        <w:rPr>
          <w:rFonts w:hint="cs"/>
          <w:rtl/>
        </w:rPr>
        <w:t xml:space="preserve">הדמוקרטיה </w:t>
      </w:r>
      <w:bookmarkStart w:id="17922" w:name="_ETM_Q28_466140"/>
      <w:bookmarkEnd w:id="17922"/>
      <w:r>
        <w:rPr>
          <w:rFonts w:hint="cs"/>
          <w:rtl/>
        </w:rPr>
        <w:t xml:space="preserve">המודרנית </w:t>
      </w:r>
      <w:bookmarkStart w:id="17923" w:name="_ETM_Q28_467460"/>
      <w:bookmarkEnd w:id="17923"/>
      <w:r>
        <w:rPr>
          <w:rFonts w:hint="cs"/>
          <w:rtl/>
        </w:rPr>
        <w:t xml:space="preserve">ברורה </w:t>
      </w:r>
      <w:bookmarkStart w:id="17924" w:name="_ETM_Q28_467910"/>
      <w:bookmarkEnd w:id="17924"/>
      <w:r>
        <w:rPr>
          <w:rFonts w:hint="cs"/>
          <w:rtl/>
        </w:rPr>
        <w:t>וחד</w:t>
      </w:r>
      <w:bookmarkStart w:id="17925" w:name="_ETM_Q28_468270"/>
      <w:bookmarkEnd w:id="17925"/>
      <w:r>
        <w:rPr>
          <w:rFonts w:hint="cs"/>
          <w:rtl/>
        </w:rPr>
        <w:t xml:space="preserve">-משמעית: </w:t>
      </w:r>
      <w:bookmarkStart w:id="17926" w:name="_ETM_Q28_469839"/>
      <w:bookmarkEnd w:id="17926"/>
      <w:r>
        <w:rPr>
          <w:rFonts w:hint="cs"/>
          <w:rtl/>
        </w:rPr>
        <w:t xml:space="preserve">רצון </w:t>
      </w:r>
      <w:bookmarkStart w:id="17927" w:name="_ETM_Q28_470409"/>
      <w:bookmarkEnd w:id="17927"/>
      <w:r>
        <w:rPr>
          <w:rFonts w:hint="cs"/>
          <w:rtl/>
        </w:rPr>
        <w:t xml:space="preserve">העם </w:t>
      </w:r>
      <w:bookmarkStart w:id="17928" w:name="_ETM_Q28_471480"/>
      <w:bookmarkEnd w:id="17928"/>
      <w:r>
        <w:rPr>
          <w:rFonts w:hint="cs"/>
          <w:rtl/>
        </w:rPr>
        <w:t xml:space="preserve">יכול </w:t>
      </w:r>
      <w:bookmarkStart w:id="17929" w:name="_ETM_Q28_471930"/>
      <w:bookmarkEnd w:id="17929"/>
      <w:r>
        <w:rPr>
          <w:rFonts w:hint="cs"/>
          <w:rtl/>
        </w:rPr>
        <w:t xml:space="preserve">לבוא </w:t>
      </w:r>
      <w:bookmarkStart w:id="17930" w:name="_ETM_Q28_472170"/>
      <w:bookmarkEnd w:id="17930"/>
      <w:r>
        <w:rPr>
          <w:rFonts w:hint="cs"/>
          <w:rtl/>
        </w:rPr>
        <w:t xml:space="preserve">לידי </w:t>
      </w:r>
      <w:bookmarkStart w:id="17931" w:name="_ETM_Q28_472470"/>
      <w:bookmarkEnd w:id="17931"/>
      <w:r>
        <w:rPr>
          <w:rFonts w:hint="cs"/>
          <w:rtl/>
        </w:rPr>
        <w:t xml:space="preserve">ביטוי </w:t>
      </w:r>
      <w:bookmarkStart w:id="17932" w:name="_ETM_Q28_473550"/>
      <w:bookmarkEnd w:id="17932"/>
      <w:r>
        <w:rPr>
          <w:rFonts w:hint="cs"/>
          <w:rtl/>
        </w:rPr>
        <w:t xml:space="preserve">רק </w:t>
      </w:r>
      <w:bookmarkStart w:id="17933" w:name="_ETM_Q28_474439"/>
      <w:bookmarkEnd w:id="17933"/>
      <w:r>
        <w:rPr>
          <w:rFonts w:hint="cs"/>
          <w:rtl/>
        </w:rPr>
        <w:t xml:space="preserve">אם </w:t>
      </w:r>
      <w:bookmarkStart w:id="17934" w:name="_ETM_Q28_474620"/>
      <w:bookmarkEnd w:id="17934"/>
      <w:r>
        <w:rPr>
          <w:rFonts w:hint="cs"/>
          <w:rtl/>
        </w:rPr>
        <w:t xml:space="preserve">זכויותיו </w:t>
      </w:r>
      <w:bookmarkStart w:id="17935" w:name="_ETM_Q28_475400"/>
      <w:bookmarkEnd w:id="17935"/>
      <w:r>
        <w:rPr>
          <w:rFonts w:hint="cs"/>
          <w:rtl/>
        </w:rPr>
        <w:t xml:space="preserve">של </w:t>
      </w:r>
      <w:bookmarkStart w:id="17936" w:name="_ETM_Q28_475550"/>
      <w:bookmarkEnd w:id="17936"/>
      <w:r>
        <w:rPr>
          <w:rFonts w:hint="cs"/>
          <w:rtl/>
        </w:rPr>
        <w:t xml:space="preserve">הציבור </w:t>
      </w:r>
      <w:bookmarkStart w:id="17937" w:name="_ETM_Q28_476060"/>
      <w:bookmarkEnd w:id="17937"/>
      <w:r>
        <w:rPr>
          <w:rFonts w:hint="cs"/>
          <w:rtl/>
        </w:rPr>
        <w:t xml:space="preserve">כולו, </w:t>
      </w:r>
      <w:bookmarkStart w:id="17938" w:name="_ETM_Q28_477270"/>
      <w:bookmarkEnd w:id="17938"/>
      <w:r>
        <w:rPr>
          <w:rFonts w:hint="cs"/>
          <w:rtl/>
        </w:rPr>
        <w:t xml:space="preserve">בעיקר </w:t>
      </w:r>
      <w:bookmarkStart w:id="17939" w:name="_ETM_Q28_477810"/>
      <w:bookmarkEnd w:id="17939"/>
      <w:r>
        <w:rPr>
          <w:rFonts w:hint="cs"/>
          <w:rtl/>
        </w:rPr>
        <w:t>של ה</w:t>
      </w:r>
      <w:bookmarkStart w:id="17940" w:name="_ETM_Q28_475942"/>
      <w:bookmarkEnd w:id="17940"/>
      <w:r>
        <w:rPr>
          <w:rFonts w:hint="cs"/>
          <w:rtl/>
        </w:rPr>
        <w:t xml:space="preserve">מיעוטים </w:t>
      </w:r>
      <w:bookmarkStart w:id="17941" w:name="_ETM_Q28_478470"/>
      <w:bookmarkEnd w:id="17941"/>
      <w:r>
        <w:rPr>
          <w:rFonts w:hint="cs"/>
          <w:rtl/>
        </w:rPr>
        <w:t xml:space="preserve">שבו, </w:t>
      </w:r>
      <w:bookmarkStart w:id="17942" w:name="_ETM_Q28_478800"/>
      <w:bookmarkEnd w:id="17942"/>
      <w:r>
        <w:rPr>
          <w:rFonts w:hint="cs"/>
          <w:rtl/>
        </w:rPr>
        <w:t xml:space="preserve">נשמרות, </w:t>
      </w:r>
      <w:bookmarkStart w:id="17943" w:name="_ETM_Q28_479970"/>
      <w:bookmarkEnd w:id="17943"/>
      <w:r>
        <w:rPr>
          <w:rFonts w:hint="cs"/>
          <w:rtl/>
        </w:rPr>
        <w:t xml:space="preserve">בעיקר </w:t>
      </w:r>
      <w:bookmarkStart w:id="17944" w:name="_ETM_Q28_480449"/>
      <w:bookmarkEnd w:id="17944"/>
      <w:r>
        <w:rPr>
          <w:rFonts w:hint="cs"/>
          <w:rtl/>
        </w:rPr>
        <w:t xml:space="preserve">הזכות </w:t>
      </w:r>
      <w:bookmarkStart w:id="17945" w:name="_ETM_Q28_480839"/>
      <w:bookmarkEnd w:id="17945"/>
      <w:r>
        <w:rPr>
          <w:rFonts w:hint="cs"/>
          <w:rtl/>
        </w:rPr>
        <w:t xml:space="preserve">והיכולת </w:t>
      </w:r>
      <w:bookmarkStart w:id="17946" w:name="_ETM_Q28_480000"/>
      <w:bookmarkStart w:id="17947" w:name="_ETM_Q28_480650"/>
      <w:bookmarkStart w:id="17948" w:name="_ETM_Q28_481130"/>
      <w:bookmarkStart w:id="17949" w:name="_ETM_Q28_481520"/>
      <w:bookmarkStart w:id="17950" w:name="_ETM_Q28_482180"/>
      <w:bookmarkStart w:id="17951" w:name="_ETM_Q28_480485"/>
      <w:bookmarkEnd w:id="17946"/>
      <w:bookmarkEnd w:id="17947"/>
      <w:bookmarkEnd w:id="17948"/>
      <w:bookmarkEnd w:id="17949"/>
      <w:bookmarkEnd w:id="17950"/>
      <w:bookmarkEnd w:id="17951"/>
      <w:r>
        <w:rPr>
          <w:rFonts w:hint="cs"/>
          <w:rtl/>
        </w:rPr>
        <w:t xml:space="preserve">הממשית </w:t>
      </w:r>
      <w:bookmarkStart w:id="17952" w:name="_ETM_Q28_483620"/>
      <w:bookmarkEnd w:id="17952"/>
      <w:r>
        <w:rPr>
          <w:rFonts w:hint="cs"/>
          <w:rtl/>
        </w:rPr>
        <w:t>ל</w:t>
      </w:r>
      <w:bookmarkStart w:id="17953" w:name="_ETM_Q28_483979"/>
      <w:bookmarkEnd w:id="17953"/>
      <w:r>
        <w:rPr>
          <w:rFonts w:hint="cs"/>
          <w:rtl/>
        </w:rPr>
        <w:t xml:space="preserve">אתגר </w:t>
      </w:r>
      <w:bookmarkStart w:id="17954" w:name="_ETM_Q28_484250"/>
      <w:bookmarkEnd w:id="17954"/>
      <w:r>
        <w:rPr>
          <w:rFonts w:hint="cs"/>
          <w:rtl/>
        </w:rPr>
        <w:t xml:space="preserve">את </w:t>
      </w:r>
      <w:bookmarkStart w:id="17955" w:name="_ETM_Q28_484399"/>
      <w:bookmarkEnd w:id="17955"/>
      <w:r>
        <w:rPr>
          <w:rFonts w:hint="cs"/>
          <w:rtl/>
        </w:rPr>
        <w:t xml:space="preserve">השלטונות </w:t>
      </w:r>
      <w:bookmarkStart w:id="17956" w:name="_ETM_Q28_485029"/>
      <w:bookmarkEnd w:id="17956"/>
      <w:r>
        <w:rPr>
          <w:rFonts w:hint="cs"/>
          <w:rtl/>
        </w:rPr>
        <w:t xml:space="preserve">הנבחרים </w:t>
      </w:r>
      <w:bookmarkStart w:id="17957" w:name="_ETM_Q28_486200"/>
      <w:bookmarkEnd w:id="17957"/>
      <w:r>
        <w:rPr>
          <w:rFonts w:hint="cs"/>
          <w:rtl/>
        </w:rPr>
        <w:t xml:space="preserve">ולערער </w:t>
      </w:r>
      <w:bookmarkStart w:id="17958" w:name="_ETM_Q28_486830"/>
      <w:bookmarkEnd w:id="17958"/>
      <w:r>
        <w:rPr>
          <w:rFonts w:hint="cs"/>
          <w:rtl/>
        </w:rPr>
        <w:t xml:space="preserve">על </w:t>
      </w:r>
      <w:bookmarkStart w:id="17959" w:name="_ETM_Q28_486920"/>
      <w:bookmarkEnd w:id="17959"/>
      <w:r>
        <w:rPr>
          <w:rFonts w:hint="cs"/>
          <w:rtl/>
        </w:rPr>
        <w:t>החלטותיהם.</w:t>
      </w:r>
      <w:bookmarkStart w:id="17960" w:name="_ETM_Q28_488750"/>
      <w:bookmarkEnd w:id="17960"/>
    </w:p>
    <w:p w:rsidR="00337201" w:rsidRDefault="00337201" w:rsidP="00337201">
      <w:pPr>
        <w:rPr>
          <w:rtl/>
        </w:rPr>
      </w:pPr>
      <w:bookmarkStart w:id="17961" w:name="_ETM_Q28_489405"/>
      <w:bookmarkStart w:id="17962" w:name="_ETM_Q28_489471"/>
      <w:bookmarkEnd w:id="17961"/>
      <w:bookmarkEnd w:id="17962"/>
    </w:p>
    <w:p w:rsidR="00337201" w:rsidRDefault="00337201" w:rsidP="00337201">
      <w:pPr>
        <w:rPr>
          <w:rtl/>
        </w:rPr>
      </w:pPr>
      <w:bookmarkStart w:id="17963" w:name="_ETM_Q28_489549"/>
      <w:bookmarkStart w:id="17964" w:name="_ETM_Q28_489597"/>
      <w:bookmarkEnd w:id="17963"/>
      <w:bookmarkEnd w:id="17964"/>
      <w:r>
        <w:rPr>
          <w:rFonts w:hint="cs"/>
          <w:rtl/>
        </w:rPr>
        <w:t xml:space="preserve">האנשים </w:t>
      </w:r>
      <w:bookmarkStart w:id="17965" w:name="_ETM_Q28_489290"/>
      <w:bookmarkEnd w:id="17965"/>
      <w:r>
        <w:rPr>
          <w:rFonts w:hint="cs"/>
          <w:rtl/>
        </w:rPr>
        <w:t xml:space="preserve">המשתמשים </w:t>
      </w:r>
      <w:bookmarkStart w:id="17966" w:name="_ETM_Q28_489950"/>
      <w:bookmarkEnd w:id="17966"/>
      <w:r>
        <w:rPr>
          <w:rFonts w:hint="cs"/>
          <w:rtl/>
        </w:rPr>
        <w:t xml:space="preserve">בכוח </w:t>
      </w:r>
      <w:bookmarkStart w:id="17967" w:name="_ETM_Q28_491270"/>
      <w:bookmarkEnd w:id="17967"/>
      <w:r>
        <w:rPr>
          <w:rFonts w:hint="cs"/>
          <w:rtl/>
        </w:rPr>
        <w:t xml:space="preserve">לא </w:t>
      </w:r>
      <w:bookmarkStart w:id="17968" w:name="_ETM_Q28_491570"/>
      <w:bookmarkEnd w:id="17968"/>
      <w:r>
        <w:rPr>
          <w:rFonts w:hint="cs"/>
          <w:rtl/>
        </w:rPr>
        <w:t xml:space="preserve">תמיד </w:t>
      </w:r>
      <w:bookmarkStart w:id="17969" w:name="_ETM_Q28_491960"/>
      <w:bookmarkEnd w:id="17969"/>
      <w:r>
        <w:rPr>
          <w:rFonts w:hint="cs"/>
          <w:rtl/>
        </w:rPr>
        <w:t xml:space="preserve">זהים </w:t>
      </w:r>
      <w:bookmarkStart w:id="17970" w:name="_ETM_Q28_492350"/>
      <w:bookmarkEnd w:id="17970"/>
      <w:r>
        <w:rPr>
          <w:rFonts w:hint="cs"/>
          <w:rtl/>
        </w:rPr>
        <w:t xml:space="preserve">לאנשים </w:t>
      </w:r>
      <w:bookmarkStart w:id="17971" w:name="_ETM_Q28_492860"/>
      <w:bookmarkEnd w:id="17971"/>
      <w:r>
        <w:rPr>
          <w:rFonts w:hint="cs"/>
          <w:rtl/>
        </w:rPr>
        <w:t xml:space="preserve">שביחס </w:t>
      </w:r>
      <w:bookmarkStart w:id="17972" w:name="_ETM_Q28_493460"/>
      <w:bookmarkEnd w:id="17972"/>
      <w:r>
        <w:rPr>
          <w:rFonts w:hint="cs"/>
          <w:rtl/>
        </w:rPr>
        <w:t xml:space="preserve">אליהם </w:t>
      </w:r>
      <w:bookmarkStart w:id="17973" w:name="_ETM_Q28_494440"/>
      <w:bookmarkEnd w:id="17973"/>
      <w:r>
        <w:rPr>
          <w:rFonts w:hint="cs"/>
          <w:rtl/>
        </w:rPr>
        <w:t xml:space="preserve">הוא </w:t>
      </w:r>
      <w:bookmarkStart w:id="17974" w:name="_ETM_Q28_494559"/>
      <w:bookmarkEnd w:id="17974"/>
      <w:r>
        <w:rPr>
          <w:rFonts w:hint="cs"/>
          <w:rtl/>
        </w:rPr>
        <w:t>מופעל,</w:t>
      </w:r>
      <w:bookmarkStart w:id="17975" w:name="_ETM_Q28_491967"/>
      <w:bookmarkEnd w:id="17975"/>
      <w:r>
        <w:rPr>
          <w:rFonts w:hint="cs"/>
          <w:rtl/>
        </w:rPr>
        <w:t xml:space="preserve"> </w:t>
      </w:r>
      <w:bookmarkStart w:id="17976" w:name="_ETM_Q28_495570"/>
      <w:bookmarkEnd w:id="17976"/>
      <w:r>
        <w:rPr>
          <w:rFonts w:hint="cs"/>
          <w:rtl/>
        </w:rPr>
        <w:t xml:space="preserve">כתב </w:t>
      </w:r>
      <w:bookmarkStart w:id="17977" w:name="_ETM_Q28_496080"/>
      <w:bookmarkEnd w:id="17977"/>
      <w:r>
        <w:rPr>
          <w:rFonts w:hint="cs"/>
          <w:rtl/>
        </w:rPr>
        <w:t xml:space="preserve">הפילוסוף </w:t>
      </w:r>
      <w:bookmarkStart w:id="17978" w:name="_ETM_Q28_496589"/>
      <w:bookmarkEnd w:id="17978"/>
      <w:r>
        <w:rPr>
          <w:rFonts w:hint="cs"/>
          <w:rtl/>
        </w:rPr>
        <w:t>ג'ון סטיוארט</w:t>
      </w:r>
      <w:bookmarkStart w:id="17979" w:name="_ETM_Q28_497160"/>
      <w:bookmarkEnd w:id="17979"/>
      <w:r>
        <w:rPr>
          <w:rFonts w:hint="cs"/>
          <w:rtl/>
        </w:rPr>
        <w:t xml:space="preserve"> מיל </w:t>
      </w:r>
      <w:bookmarkStart w:id="17980" w:name="_ETM_Q28_497850"/>
      <w:bookmarkEnd w:id="17980"/>
      <w:r>
        <w:rPr>
          <w:rFonts w:hint="cs"/>
          <w:rtl/>
        </w:rPr>
        <w:t xml:space="preserve">בחיבורו </w:t>
      </w:r>
      <w:bookmarkStart w:id="17981" w:name="_ETM_Q28_498420"/>
      <w:bookmarkEnd w:id="17981"/>
      <w:r>
        <w:rPr>
          <w:rFonts w:hint="cs"/>
          <w:rtl/>
        </w:rPr>
        <w:t xml:space="preserve">על </w:t>
      </w:r>
      <w:bookmarkStart w:id="17982" w:name="_ETM_Q28_498510"/>
      <w:bookmarkEnd w:id="17982"/>
      <w:r>
        <w:rPr>
          <w:rFonts w:hint="cs"/>
          <w:rtl/>
        </w:rPr>
        <w:t>החירות</w:t>
      </w:r>
      <w:bookmarkStart w:id="17983" w:name="_ETM_Q28_494081"/>
      <w:bookmarkStart w:id="17984" w:name="_ETM_Q28_495191"/>
      <w:bookmarkEnd w:id="17983"/>
      <w:bookmarkEnd w:id="17984"/>
      <w:r>
        <w:rPr>
          <w:rFonts w:hint="cs"/>
          <w:rtl/>
        </w:rPr>
        <w:t xml:space="preserve">, </w:t>
      </w:r>
      <w:bookmarkStart w:id="17985" w:name="_ETM_Q28_499650"/>
      <w:bookmarkEnd w:id="17985"/>
      <w:r>
        <w:rPr>
          <w:rFonts w:hint="cs"/>
          <w:rtl/>
        </w:rPr>
        <w:t>ולכן,</w:t>
      </w:r>
      <w:bookmarkStart w:id="17986" w:name="_ETM_Q28_497487"/>
      <w:bookmarkEnd w:id="17986"/>
      <w:r>
        <w:rPr>
          <w:rFonts w:hint="cs"/>
          <w:rtl/>
        </w:rPr>
        <w:t xml:space="preserve"> </w:t>
      </w:r>
      <w:bookmarkStart w:id="17987" w:name="_ETM_Q28_500189"/>
      <w:bookmarkEnd w:id="17987"/>
      <w:r>
        <w:rPr>
          <w:rFonts w:hint="cs"/>
          <w:rtl/>
        </w:rPr>
        <w:t xml:space="preserve">הוא </w:t>
      </w:r>
      <w:bookmarkStart w:id="17988" w:name="_ETM_Q28_500250"/>
      <w:bookmarkEnd w:id="17988"/>
      <w:r>
        <w:rPr>
          <w:rFonts w:hint="cs"/>
          <w:rtl/>
        </w:rPr>
        <w:t xml:space="preserve">ממשיך, </w:t>
      </w:r>
      <w:bookmarkStart w:id="17989" w:name="_ETM_Q28_501179"/>
      <w:bookmarkEnd w:id="17989"/>
      <w:r>
        <w:rPr>
          <w:rFonts w:hint="cs"/>
          <w:rtl/>
        </w:rPr>
        <w:t xml:space="preserve">תנאי </w:t>
      </w:r>
      <w:bookmarkStart w:id="17990" w:name="_ETM_Q28_501689"/>
      <w:bookmarkEnd w:id="17990"/>
      <w:r>
        <w:rPr>
          <w:rFonts w:hint="cs"/>
          <w:rtl/>
        </w:rPr>
        <w:t xml:space="preserve">הכרחי </w:t>
      </w:r>
      <w:bookmarkStart w:id="17991" w:name="_ETM_Q28_502140"/>
      <w:bookmarkEnd w:id="17991"/>
      <w:r>
        <w:rPr>
          <w:rFonts w:hint="cs"/>
          <w:rtl/>
        </w:rPr>
        <w:t>לפעו</w:t>
      </w:r>
      <w:bookmarkStart w:id="17992" w:name="_ETM_Q28_498829"/>
      <w:bookmarkEnd w:id="17992"/>
      <w:r>
        <w:rPr>
          <w:rFonts w:hint="cs"/>
          <w:rtl/>
        </w:rPr>
        <w:t xml:space="preserve">לות </w:t>
      </w:r>
      <w:bookmarkStart w:id="17993" w:name="_ETM_Q28_502710"/>
      <w:bookmarkEnd w:id="17993"/>
      <w:r>
        <w:rPr>
          <w:rFonts w:hint="cs"/>
          <w:rtl/>
        </w:rPr>
        <w:t xml:space="preserve">החשובות </w:t>
      </w:r>
      <w:bookmarkStart w:id="17994" w:name="_ETM_Q28_503250"/>
      <w:bookmarkEnd w:id="17994"/>
      <w:r>
        <w:rPr>
          <w:rFonts w:hint="cs"/>
          <w:rtl/>
        </w:rPr>
        <w:t xml:space="preserve">ביותר </w:t>
      </w:r>
      <w:bookmarkStart w:id="17995" w:name="_ETM_Q28_504119"/>
      <w:bookmarkEnd w:id="17995"/>
      <w:r>
        <w:rPr>
          <w:rFonts w:hint="cs"/>
          <w:rtl/>
        </w:rPr>
        <w:t xml:space="preserve">של </w:t>
      </w:r>
      <w:bookmarkStart w:id="17996" w:name="_ETM_Q28_504359"/>
      <w:bookmarkEnd w:id="17996"/>
      <w:r>
        <w:rPr>
          <w:rFonts w:hint="cs"/>
          <w:rtl/>
        </w:rPr>
        <w:t xml:space="preserve">שלטון </w:t>
      </w:r>
      <w:bookmarkStart w:id="17997" w:name="_ETM_Q28_504869"/>
      <w:bookmarkEnd w:id="17997"/>
      <w:r>
        <w:rPr>
          <w:rFonts w:hint="cs"/>
          <w:rtl/>
        </w:rPr>
        <w:t xml:space="preserve">המבוסס </w:t>
      </w:r>
      <w:bookmarkStart w:id="17998" w:name="_ETM_Q28_505470"/>
      <w:bookmarkEnd w:id="17998"/>
      <w:r>
        <w:rPr>
          <w:rFonts w:hint="cs"/>
          <w:rtl/>
        </w:rPr>
        <w:t xml:space="preserve">על </w:t>
      </w:r>
      <w:bookmarkStart w:id="17999" w:name="_ETM_Q28_505589"/>
      <w:bookmarkEnd w:id="17999"/>
      <w:r>
        <w:rPr>
          <w:rFonts w:hint="cs"/>
          <w:rtl/>
        </w:rPr>
        <w:t xml:space="preserve">הקהילה </w:t>
      </w:r>
      <w:bookmarkStart w:id="18000" w:name="_ETM_Q28_507019"/>
      <w:bookmarkEnd w:id="18000"/>
      <w:r>
        <w:rPr>
          <w:rFonts w:hint="cs"/>
          <w:rtl/>
        </w:rPr>
        <w:t xml:space="preserve">הינו </w:t>
      </w:r>
      <w:bookmarkStart w:id="18001" w:name="_ETM_Q28_507439"/>
      <w:bookmarkEnd w:id="18001"/>
      <w:r>
        <w:rPr>
          <w:rFonts w:hint="cs"/>
          <w:rtl/>
        </w:rPr>
        <w:t xml:space="preserve">ייסודם </w:t>
      </w:r>
      <w:bookmarkStart w:id="18002" w:name="_ETM_Q28_508039"/>
      <w:bookmarkEnd w:id="18002"/>
      <w:r>
        <w:rPr>
          <w:rFonts w:hint="cs"/>
          <w:rtl/>
        </w:rPr>
        <w:t xml:space="preserve">של </w:t>
      </w:r>
      <w:bookmarkStart w:id="18003" w:name="_ETM_Q28_508220"/>
      <w:bookmarkEnd w:id="18003"/>
      <w:r>
        <w:rPr>
          <w:rFonts w:hint="cs"/>
          <w:rtl/>
        </w:rPr>
        <w:t xml:space="preserve">בלמים </w:t>
      </w:r>
      <w:bookmarkStart w:id="18004" w:name="_ETM_Q28_508669"/>
      <w:bookmarkEnd w:id="18004"/>
      <w:r>
        <w:rPr>
          <w:rFonts w:hint="cs"/>
          <w:rtl/>
        </w:rPr>
        <w:t xml:space="preserve">חוקתיים </w:t>
      </w:r>
      <w:bookmarkStart w:id="18005" w:name="_ETM_Q28_509779"/>
      <w:bookmarkEnd w:id="18005"/>
      <w:r>
        <w:rPr>
          <w:rFonts w:hint="cs"/>
          <w:rtl/>
        </w:rPr>
        <w:t xml:space="preserve">להגנה </w:t>
      </w:r>
      <w:bookmarkStart w:id="18006" w:name="_ETM_Q28_510349"/>
      <w:bookmarkEnd w:id="18006"/>
      <w:r>
        <w:rPr>
          <w:rFonts w:hint="cs"/>
          <w:rtl/>
        </w:rPr>
        <w:t xml:space="preserve">על </w:t>
      </w:r>
      <w:bookmarkStart w:id="18007" w:name="_ETM_Q28_510439"/>
      <w:bookmarkEnd w:id="18007"/>
      <w:r>
        <w:rPr>
          <w:rFonts w:hint="cs"/>
          <w:rtl/>
        </w:rPr>
        <w:t xml:space="preserve">זכויות </w:t>
      </w:r>
      <w:bookmarkStart w:id="18008" w:name="_ETM_Q28_510919"/>
      <w:bookmarkEnd w:id="18008"/>
      <w:r>
        <w:rPr>
          <w:rFonts w:hint="cs"/>
          <w:rtl/>
        </w:rPr>
        <w:t xml:space="preserve">הכרחיות </w:t>
      </w:r>
      <w:bookmarkStart w:id="18009" w:name="_ETM_Q28_511429"/>
      <w:bookmarkEnd w:id="18009"/>
      <w:r>
        <w:rPr>
          <w:rFonts w:hint="cs"/>
          <w:rtl/>
        </w:rPr>
        <w:t xml:space="preserve">של </w:t>
      </w:r>
      <w:bookmarkStart w:id="18010" w:name="_ETM_Q28_511579"/>
      <w:bookmarkEnd w:id="18010"/>
      <w:r>
        <w:rPr>
          <w:rFonts w:hint="cs"/>
          <w:rtl/>
        </w:rPr>
        <w:t xml:space="preserve">אזרחים. </w:t>
      </w:r>
      <w:bookmarkStart w:id="18011" w:name="_ETM_Q28_512610"/>
      <w:bookmarkEnd w:id="18011"/>
      <w:r>
        <w:rPr>
          <w:rFonts w:hint="cs"/>
          <w:rtl/>
        </w:rPr>
        <w:t>כלומר,</w:t>
      </w:r>
      <w:bookmarkStart w:id="18012" w:name="_ETM_Q28_510607"/>
      <w:bookmarkEnd w:id="18012"/>
      <w:r>
        <w:rPr>
          <w:rFonts w:hint="cs"/>
          <w:rtl/>
        </w:rPr>
        <w:t xml:space="preserve"> </w:t>
      </w:r>
      <w:bookmarkStart w:id="18013" w:name="_ETM_Q28_513720"/>
      <w:bookmarkEnd w:id="18013"/>
      <w:r>
        <w:rPr>
          <w:rFonts w:hint="cs"/>
          <w:rtl/>
        </w:rPr>
        <w:t xml:space="preserve">אין </w:t>
      </w:r>
      <w:bookmarkStart w:id="18014" w:name="_ETM_Q28_513960"/>
      <w:bookmarkEnd w:id="18014"/>
      <w:r>
        <w:rPr>
          <w:rFonts w:hint="cs"/>
          <w:rtl/>
        </w:rPr>
        <w:t xml:space="preserve">משמעות </w:t>
      </w:r>
      <w:bookmarkStart w:id="18015" w:name="_ETM_Q28_514500"/>
      <w:bookmarkEnd w:id="18015"/>
      <w:r>
        <w:rPr>
          <w:rFonts w:hint="cs"/>
          <w:rtl/>
        </w:rPr>
        <w:t xml:space="preserve">דמוקרטית </w:t>
      </w:r>
      <w:bookmarkStart w:id="18016" w:name="_ETM_Q28_515070"/>
      <w:bookmarkEnd w:id="18016"/>
      <w:r>
        <w:rPr>
          <w:rFonts w:hint="cs"/>
          <w:rtl/>
        </w:rPr>
        <w:t xml:space="preserve">לשלטון </w:t>
      </w:r>
      <w:bookmarkStart w:id="18017" w:name="_ETM_Q28_515640"/>
      <w:bookmarkEnd w:id="18017"/>
      <w:r>
        <w:rPr>
          <w:rFonts w:hint="cs"/>
          <w:rtl/>
        </w:rPr>
        <w:t xml:space="preserve">הרוב </w:t>
      </w:r>
      <w:bookmarkStart w:id="18018" w:name="_ETM_Q28_516440"/>
      <w:bookmarkEnd w:id="18018"/>
      <w:r>
        <w:rPr>
          <w:rFonts w:hint="cs"/>
          <w:rtl/>
        </w:rPr>
        <w:t xml:space="preserve">כמייצג </w:t>
      </w:r>
      <w:bookmarkStart w:id="18019" w:name="_ETM_Q28_517190"/>
      <w:bookmarkEnd w:id="18019"/>
      <w:r>
        <w:rPr>
          <w:rFonts w:hint="cs"/>
          <w:rtl/>
        </w:rPr>
        <w:t xml:space="preserve">רצון </w:t>
      </w:r>
      <w:bookmarkStart w:id="18020" w:name="_ETM_Q28_517610"/>
      <w:bookmarkEnd w:id="18020"/>
      <w:r>
        <w:rPr>
          <w:rFonts w:hint="cs"/>
          <w:rtl/>
        </w:rPr>
        <w:t xml:space="preserve">העם, </w:t>
      </w:r>
      <w:bookmarkStart w:id="18021" w:name="_ETM_Q28_518309"/>
      <w:bookmarkEnd w:id="18021"/>
      <w:r>
        <w:rPr>
          <w:rFonts w:hint="cs"/>
          <w:rtl/>
        </w:rPr>
        <w:t xml:space="preserve">ללא </w:t>
      </w:r>
      <w:bookmarkStart w:id="18022" w:name="_ETM_Q28_518819"/>
      <w:bookmarkEnd w:id="18022"/>
      <w:r>
        <w:rPr>
          <w:rFonts w:hint="cs"/>
          <w:rtl/>
        </w:rPr>
        <w:t>הגבל</w:t>
      </w:r>
      <w:bookmarkStart w:id="18023" w:name="_ETM_Q28_519179"/>
      <w:bookmarkEnd w:id="18023"/>
      <w:r>
        <w:rPr>
          <w:rFonts w:hint="cs"/>
          <w:rtl/>
        </w:rPr>
        <w:t xml:space="preserve">ת </w:t>
      </w:r>
      <w:bookmarkStart w:id="18024" w:name="_ETM_Q28_519300"/>
      <w:bookmarkEnd w:id="18024"/>
      <w:r>
        <w:rPr>
          <w:rFonts w:hint="cs"/>
          <w:rtl/>
        </w:rPr>
        <w:t xml:space="preserve">אותו </w:t>
      </w:r>
      <w:bookmarkStart w:id="18025" w:name="_ETM_Q28_519539"/>
      <w:bookmarkEnd w:id="18025"/>
      <w:r>
        <w:rPr>
          <w:rFonts w:hint="cs"/>
          <w:rtl/>
        </w:rPr>
        <w:t>שלטון</w:t>
      </w:r>
      <w:bookmarkStart w:id="18026" w:name="_ETM_Q28_515195"/>
      <w:bookmarkEnd w:id="18026"/>
      <w:r>
        <w:rPr>
          <w:rFonts w:hint="cs"/>
          <w:rtl/>
        </w:rPr>
        <w:t xml:space="preserve">, </w:t>
      </w:r>
      <w:bookmarkStart w:id="18027" w:name="_ETM_Q28_523089"/>
      <w:bookmarkEnd w:id="18027"/>
      <w:r>
        <w:rPr>
          <w:rFonts w:hint="cs"/>
          <w:rtl/>
        </w:rPr>
        <w:t xml:space="preserve">במידה </w:t>
      </w:r>
      <w:bookmarkStart w:id="18028" w:name="_ETM_Q28_523600"/>
      <w:bookmarkEnd w:id="18028"/>
      <w:r>
        <w:rPr>
          <w:rFonts w:hint="cs"/>
          <w:rtl/>
        </w:rPr>
        <w:t xml:space="preserve">רבה </w:t>
      </w:r>
      <w:bookmarkStart w:id="18029" w:name="_ETM_Q28_523960"/>
      <w:bookmarkEnd w:id="18029"/>
      <w:r>
        <w:rPr>
          <w:rFonts w:hint="cs"/>
          <w:rtl/>
        </w:rPr>
        <w:t xml:space="preserve">בידי </w:t>
      </w:r>
      <w:bookmarkStart w:id="18030" w:name="_ETM_Q28_524200"/>
      <w:bookmarkEnd w:id="18030"/>
      <w:r>
        <w:rPr>
          <w:rFonts w:hint="cs"/>
          <w:rtl/>
        </w:rPr>
        <w:t xml:space="preserve">מערכת </w:t>
      </w:r>
      <w:bookmarkStart w:id="18031" w:name="_ETM_Q28_524589"/>
      <w:bookmarkEnd w:id="18031"/>
      <w:r>
        <w:rPr>
          <w:rFonts w:hint="cs"/>
          <w:rtl/>
        </w:rPr>
        <w:t xml:space="preserve">משפט </w:t>
      </w:r>
      <w:bookmarkStart w:id="18032" w:name="_ETM_Q28_525010"/>
      <w:bookmarkEnd w:id="18032"/>
      <w:r>
        <w:rPr>
          <w:rFonts w:hint="cs"/>
          <w:rtl/>
        </w:rPr>
        <w:t xml:space="preserve">עצמאית </w:t>
      </w:r>
      <w:bookmarkStart w:id="18033" w:name="_ETM_Q28_525550"/>
      <w:bookmarkEnd w:id="18033"/>
      <w:r>
        <w:rPr>
          <w:rFonts w:hint="cs"/>
          <w:rtl/>
        </w:rPr>
        <w:t xml:space="preserve">ואפקטיבית. </w:t>
      </w:r>
      <w:bookmarkStart w:id="18034" w:name="_ETM_Q28_526839"/>
      <w:bookmarkEnd w:id="18034"/>
      <w:r>
        <w:rPr>
          <w:rFonts w:hint="cs"/>
          <w:rtl/>
        </w:rPr>
        <w:t xml:space="preserve">בדיוק </w:t>
      </w:r>
      <w:bookmarkStart w:id="18035" w:name="_ETM_Q28_527350"/>
      <w:bookmarkEnd w:id="18035"/>
      <w:r>
        <w:rPr>
          <w:rFonts w:hint="cs"/>
          <w:rtl/>
        </w:rPr>
        <w:t xml:space="preserve">מה </w:t>
      </w:r>
      <w:bookmarkStart w:id="18036" w:name="_ETM_Q28_527470"/>
      <w:bookmarkEnd w:id="18036"/>
      <w:r>
        <w:rPr>
          <w:rFonts w:hint="cs"/>
          <w:rtl/>
        </w:rPr>
        <w:t xml:space="preserve">שאתם </w:t>
      </w:r>
      <w:bookmarkStart w:id="18037" w:name="_ETM_Q28_527770"/>
      <w:bookmarkEnd w:id="18037"/>
      <w:r>
        <w:rPr>
          <w:rFonts w:hint="cs"/>
          <w:rtl/>
        </w:rPr>
        <w:t xml:space="preserve">רוצים </w:t>
      </w:r>
      <w:bookmarkStart w:id="18038" w:name="_ETM_Q28_528040"/>
      <w:bookmarkEnd w:id="18038"/>
      <w:r>
        <w:rPr>
          <w:rFonts w:hint="cs"/>
          <w:rtl/>
        </w:rPr>
        <w:t>לחסל.</w:t>
      </w:r>
      <w:bookmarkStart w:id="18039" w:name="_ETM_Q28_529800"/>
      <w:bookmarkEnd w:id="18039"/>
    </w:p>
    <w:p w:rsidR="00337201" w:rsidRDefault="00337201" w:rsidP="00337201">
      <w:pPr>
        <w:rPr>
          <w:rtl/>
        </w:rPr>
      </w:pPr>
      <w:bookmarkStart w:id="18040" w:name="_ETM_Q28_530567"/>
      <w:bookmarkStart w:id="18041" w:name="_ETM_Q28_530651"/>
      <w:bookmarkEnd w:id="18040"/>
      <w:bookmarkEnd w:id="18041"/>
    </w:p>
    <w:p w:rsidR="00337201" w:rsidRDefault="00337201" w:rsidP="00337201">
      <w:pPr>
        <w:rPr>
          <w:rtl/>
        </w:rPr>
      </w:pPr>
      <w:bookmarkStart w:id="18042" w:name="_ETM_Q28_530697"/>
      <w:bookmarkStart w:id="18043" w:name="_ETM_Q28_530750"/>
      <w:bookmarkEnd w:id="18042"/>
      <w:bookmarkEnd w:id="18043"/>
      <w:r>
        <w:rPr>
          <w:rFonts w:hint="cs"/>
          <w:rtl/>
        </w:rPr>
        <w:t xml:space="preserve">מה </w:t>
      </w:r>
      <w:bookmarkStart w:id="18044" w:name="_ETM_Q28_530130"/>
      <w:bookmarkEnd w:id="18044"/>
      <w:r>
        <w:rPr>
          <w:rFonts w:hint="cs"/>
          <w:rtl/>
        </w:rPr>
        <w:t xml:space="preserve">לגבי </w:t>
      </w:r>
      <w:bookmarkStart w:id="18045" w:name="_ETM_Q28_530490"/>
      <w:bookmarkEnd w:id="18045"/>
      <w:r>
        <w:rPr>
          <w:rFonts w:hint="cs"/>
          <w:rtl/>
        </w:rPr>
        <w:t>ה</w:t>
      </w:r>
      <w:bookmarkStart w:id="18046" w:name="_ETM_Q28_527233"/>
      <w:bookmarkEnd w:id="18046"/>
      <w:r>
        <w:rPr>
          <w:rFonts w:hint="cs"/>
          <w:rtl/>
        </w:rPr>
        <w:t>טיעון ש</w:t>
      </w:r>
      <w:bookmarkStart w:id="18047" w:name="_ETM_Q28_530940"/>
      <w:bookmarkEnd w:id="18047"/>
      <w:r>
        <w:rPr>
          <w:rFonts w:hint="cs"/>
          <w:rtl/>
        </w:rPr>
        <w:t xml:space="preserve">השופטים </w:t>
      </w:r>
      <w:bookmarkStart w:id="18048" w:name="_ETM_Q28_531420"/>
      <w:bookmarkEnd w:id="18048"/>
      <w:r>
        <w:rPr>
          <w:rFonts w:hint="cs"/>
          <w:rtl/>
        </w:rPr>
        <w:t xml:space="preserve">והיועצים </w:t>
      </w:r>
      <w:bookmarkStart w:id="18049" w:name="_ETM_Q28_531779"/>
      <w:bookmarkEnd w:id="18049"/>
      <w:r>
        <w:rPr>
          <w:rFonts w:hint="cs"/>
          <w:rtl/>
        </w:rPr>
        <w:t xml:space="preserve">המשפטיים </w:t>
      </w:r>
      <w:bookmarkStart w:id="18050" w:name="_ETM_Q28_532350"/>
      <w:bookmarkEnd w:id="18050"/>
      <w:r>
        <w:rPr>
          <w:rFonts w:hint="cs"/>
          <w:rtl/>
        </w:rPr>
        <w:t xml:space="preserve">אינם </w:t>
      </w:r>
      <w:bookmarkStart w:id="18051" w:name="_ETM_Q28_532620"/>
      <w:bookmarkEnd w:id="18051"/>
      <w:r>
        <w:rPr>
          <w:rFonts w:hint="cs"/>
          <w:rtl/>
        </w:rPr>
        <w:t xml:space="preserve">אלא </w:t>
      </w:r>
      <w:bookmarkStart w:id="18052" w:name="_ETM_Q28_532800"/>
      <w:bookmarkEnd w:id="18052"/>
      <w:r>
        <w:rPr>
          <w:rFonts w:hint="cs"/>
          <w:rtl/>
        </w:rPr>
        <w:t xml:space="preserve">פוליטיקאים </w:t>
      </w:r>
      <w:bookmarkStart w:id="18053" w:name="_ETM_Q28_533820"/>
      <w:bookmarkEnd w:id="18053"/>
      <w:r>
        <w:rPr>
          <w:rFonts w:hint="cs"/>
          <w:rtl/>
        </w:rPr>
        <w:t xml:space="preserve">שלא </w:t>
      </w:r>
      <w:bookmarkStart w:id="18054" w:name="_ETM_Q28_534150"/>
      <w:bookmarkEnd w:id="18054"/>
      <w:r>
        <w:rPr>
          <w:rFonts w:hint="cs"/>
          <w:rtl/>
        </w:rPr>
        <w:t xml:space="preserve">נבחרו? </w:t>
      </w:r>
      <w:bookmarkStart w:id="18055" w:name="_ETM_Q28_535480"/>
      <w:bookmarkEnd w:id="18055"/>
      <w:r>
        <w:rPr>
          <w:rFonts w:hint="cs"/>
          <w:rtl/>
        </w:rPr>
        <w:t xml:space="preserve">מטרת </w:t>
      </w:r>
      <w:bookmarkStart w:id="18056" w:name="_ETM_Q28_536019"/>
      <w:bookmarkEnd w:id="18056"/>
      <w:r>
        <w:rPr>
          <w:rFonts w:hint="cs"/>
          <w:rtl/>
        </w:rPr>
        <w:t xml:space="preserve">ממשלת </w:t>
      </w:r>
      <w:bookmarkStart w:id="18057" w:name="_ETM_Q28_536559"/>
      <w:bookmarkEnd w:id="18057"/>
      <w:r>
        <w:rPr>
          <w:rFonts w:hint="cs"/>
          <w:rtl/>
        </w:rPr>
        <w:t xml:space="preserve">ההפיכה </w:t>
      </w:r>
      <w:bookmarkStart w:id="18058" w:name="_ETM_Q28_537660"/>
      <w:bookmarkEnd w:id="18058"/>
      <w:r>
        <w:rPr>
          <w:rFonts w:hint="cs"/>
          <w:rtl/>
        </w:rPr>
        <w:t xml:space="preserve">היא </w:t>
      </w:r>
      <w:bookmarkStart w:id="18059" w:name="_ETM_Q28_537810"/>
      <w:bookmarkEnd w:id="18059"/>
      <w:r>
        <w:rPr>
          <w:rFonts w:hint="cs"/>
          <w:rtl/>
        </w:rPr>
        <w:t xml:space="preserve">לעשות </w:t>
      </w:r>
      <w:bookmarkStart w:id="18060" w:name="_ETM_Q28_538859"/>
      <w:bookmarkEnd w:id="18060"/>
      <w:r>
        <w:rPr>
          <w:rFonts w:hint="cs"/>
          <w:rtl/>
        </w:rPr>
        <w:t xml:space="preserve">דה-לגיטימציה </w:t>
      </w:r>
      <w:bookmarkStart w:id="18061" w:name="_ETM_Q28_540690"/>
      <w:bookmarkEnd w:id="18061"/>
      <w:r>
        <w:rPr>
          <w:rFonts w:hint="cs"/>
          <w:rtl/>
        </w:rPr>
        <w:t xml:space="preserve">לכל </w:t>
      </w:r>
      <w:bookmarkStart w:id="18062" w:name="_ETM_Q28_541529"/>
      <w:bookmarkEnd w:id="18062"/>
      <w:r>
        <w:rPr>
          <w:rFonts w:hint="cs"/>
          <w:rtl/>
        </w:rPr>
        <w:t xml:space="preserve">מי </w:t>
      </w:r>
      <w:bookmarkStart w:id="18063" w:name="_ETM_Q28_541800"/>
      <w:bookmarkEnd w:id="18063"/>
      <w:r>
        <w:rPr>
          <w:rFonts w:hint="cs"/>
          <w:rtl/>
        </w:rPr>
        <w:t xml:space="preserve">שמתנגד </w:t>
      </w:r>
      <w:bookmarkStart w:id="18064" w:name="_ETM_Q28_542640"/>
      <w:bookmarkEnd w:id="18064"/>
      <w:r>
        <w:rPr>
          <w:rFonts w:hint="cs"/>
          <w:rtl/>
        </w:rPr>
        <w:t xml:space="preserve">לה, ובעניין </w:t>
      </w:r>
      <w:bookmarkStart w:id="18065" w:name="_ETM_Q28_543989"/>
      <w:bookmarkStart w:id="18066" w:name="_ETM_Q28_544200"/>
      <w:bookmarkStart w:id="18067" w:name="_ETM_Q28_541954"/>
      <w:bookmarkEnd w:id="18065"/>
      <w:bookmarkEnd w:id="18066"/>
      <w:bookmarkEnd w:id="18067"/>
      <w:r>
        <w:rPr>
          <w:rFonts w:hint="cs"/>
          <w:rtl/>
        </w:rPr>
        <w:t xml:space="preserve">שומרי </w:t>
      </w:r>
      <w:bookmarkStart w:id="18068" w:name="_ETM_Q28_544589"/>
      <w:bookmarkEnd w:id="18068"/>
      <w:r>
        <w:rPr>
          <w:rFonts w:hint="cs"/>
          <w:rtl/>
        </w:rPr>
        <w:t xml:space="preserve">הסף </w:t>
      </w:r>
      <w:bookmarkStart w:id="18069" w:name="_ETM_Q28_545490"/>
      <w:bookmarkEnd w:id="18069"/>
      <w:r>
        <w:rPr>
          <w:rFonts w:hint="cs"/>
          <w:rtl/>
        </w:rPr>
        <w:t xml:space="preserve">הדבר </w:t>
      </w:r>
      <w:bookmarkStart w:id="18070" w:name="_ETM_Q28_545880"/>
      <w:bookmarkEnd w:id="18070"/>
      <w:r>
        <w:rPr>
          <w:rFonts w:hint="cs"/>
          <w:rtl/>
        </w:rPr>
        <w:t xml:space="preserve">נעשה </w:t>
      </w:r>
      <w:bookmarkStart w:id="18071" w:name="_ETM_Q28_546210"/>
      <w:bookmarkEnd w:id="18071"/>
      <w:r>
        <w:rPr>
          <w:rFonts w:hint="cs"/>
          <w:rtl/>
        </w:rPr>
        <w:t xml:space="preserve">באמצעות </w:t>
      </w:r>
      <w:bookmarkStart w:id="18072" w:name="_ETM_Q28_546659"/>
      <w:bookmarkEnd w:id="18072"/>
      <w:r>
        <w:rPr>
          <w:rFonts w:hint="cs"/>
          <w:rtl/>
        </w:rPr>
        <w:t xml:space="preserve">שני </w:t>
      </w:r>
      <w:bookmarkStart w:id="18073" w:name="_ETM_Q28_546930"/>
      <w:bookmarkEnd w:id="18073"/>
      <w:r>
        <w:rPr>
          <w:rFonts w:hint="cs"/>
          <w:rtl/>
        </w:rPr>
        <w:t xml:space="preserve">דברים: </w:t>
      </w:r>
      <w:bookmarkStart w:id="18074" w:name="_ETM_Q28_547910"/>
      <w:bookmarkStart w:id="18075" w:name="_ETM_Q28_548330"/>
      <w:bookmarkEnd w:id="18074"/>
      <w:bookmarkEnd w:id="18075"/>
      <w:r>
        <w:rPr>
          <w:rFonts w:hint="cs"/>
          <w:rtl/>
        </w:rPr>
        <w:t xml:space="preserve">האחד, </w:t>
      </w:r>
      <w:bookmarkStart w:id="18076" w:name="_ETM_Q28_545497"/>
      <w:bookmarkEnd w:id="18076"/>
      <w:r>
        <w:rPr>
          <w:rFonts w:hint="cs"/>
          <w:rtl/>
        </w:rPr>
        <w:t xml:space="preserve">כאמור, </w:t>
      </w:r>
      <w:bookmarkStart w:id="18077" w:name="_ETM_Q28_548839"/>
      <w:bookmarkEnd w:id="18077"/>
      <w:r>
        <w:rPr>
          <w:rFonts w:hint="cs"/>
          <w:rtl/>
        </w:rPr>
        <w:t xml:space="preserve">הצגתם </w:t>
      </w:r>
      <w:bookmarkStart w:id="18078" w:name="_ETM_Q28_549440"/>
      <w:bookmarkEnd w:id="18078"/>
      <w:r>
        <w:rPr>
          <w:rFonts w:hint="cs"/>
          <w:rtl/>
        </w:rPr>
        <w:t xml:space="preserve">כמוטים </w:t>
      </w:r>
      <w:bookmarkStart w:id="18079" w:name="_ETM_Q28_550010"/>
      <w:bookmarkEnd w:id="18079"/>
      <w:r>
        <w:rPr>
          <w:rFonts w:hint="cs"/>
          <w:rtl/>
        </w:rPr>
        <w:t xml:space="preserve">פוליטית </w:t>
      </w:r>
      <w:bookmarkStart w:id="18080" w:name="_ETM_Q28_550610"/>
      <w:bookmarkEnd w:id="18080"/>
      <w:r>
        <w:rPr>
          <w:rFonts w:hint="cs"/>
          <w:rtl/>
        </w:rPr>
        <w:t xml:space="preserve">וכפירה </w:t>
      </w:r>
      <w:bookmarkStart w:id="18081" w:name="_ETM_Q28_551660"/>
      <w:bookmarkEnd w:id="18081"/>
      <w:r>
        <w:rPr>
          <w:rFonts w:hint="cs"/>
          <w:rtl/>
        </w:rPr>
        <w:t>במקצועיותם,</w:t>
      </w:r>
      <w:bookmarkStart w:id="18082" w:name="_ETM_Q28_549608"/>
      <w:bookmarkEnd w:id="18082"/>
      <w:r>
        <w:rPr>
          <w:rFonts w:hint="cs"/>
          <w:rtl/>
        </w:rPr>
        <w:t xml:space="preserve"> </w:t>
      </w:r>
      <w:bookmarkStart w:id="18083" w:name="_ETM_Q28_553310"/>
      <w:bookmarkEnd w:id="18083"/>
      <w:r>
        <w:rPr>
          <w:rFonts w:hint="cs"/>
          <w:rtl/>
        </w:rPr>
        <w:t xml:space="preserve">והשני, </w:t>
      </w:r>
      <w:bookmarkStart w:id="18084" w:name="_ETM_Q28_553910"/>
      <w:bookmarkEnd w:id="18084"/>
      <w:r>
        <w:rPr>
          <w:rFonts w:hint="cs"/>
          <w:rtl/>
        </w:rPr>
        <w:t xml:space="preserve">הצגתם </w:t>
      </w:r>
      <w:bookmarkStart w:id="18085" w:name="_ETM_Q28_554450"/>
      <w:bookmarkEnd w:id="18085"/>
      <w:r>
        <w:rPr>
          <w:rFonts w:hint="cs"/>
          <w:rtl/>
        </w:rPr>
        <w:t xml:space="preserve">כחונטה </w:t>
      </w:r>
      <w:bookmarkStart w:id="18086" w:name="_ETM_Q28_554930"/>
      <w:bookmarkEnd w:id="18086"/>
      <w:r>
        <w:rPr>
          <w:rFonts w:hint="cs"/>
          <w:rtl/>
        </w:rPr>
        <w:t>חד</w:t>
      </w:r>
      <w:bookmarkStart w:id="18087" w:name="_ETM_Q28_555320"/>
      <w:bookmarkEnd w:id="18087"/>
      <w:r>
        <w:rPr>
          <w:rFonts w:hint="cs"/>
          <w:rtl/>
        </w:rPr>
        <w:t>-</w:t>
      </w:r>
      <w:bookmarkStart w:id="18088" w:name="_ETM_Q28_553160"/>
      <w:bookmarkEnd w:id="18088"/>
      <w:r>
        <w:rPr>
          <w:rFonts w:hint="cs"/>
          <w:rtl/>
        </w:rPr>
        <w:t xml:space="preserve">ממדית </w:t>
      </w:r>
      <w:bookmarkStart w:id="18089" w:name="_ETM_Q28_556130"/>
      <w:bookmarkEnd w:id="18089"/>
      <w:r>
        <w:rPr>
          <w:rFonts w:hint="cs"/>
          <w:rtl/>
        </w:rPr>
        <w:t xml:space="preserve">מאורגנת </w:t>
      </w:r>
      <w:bookmarkStart w:id="18090" w:name="_ETM_Q28_557510"/>
      <w:bookmarkEnd w:id="18090"/>
      <w:r>
        <w:rPr>
          <w:rFonts w:hint="cs"/>
          <w:rtl/>
        </w:rPr>
        <w:t xml:space="preserve">המקדמת </w:t>
      </w:r>
      <w:bookmarkStart w:id="18091" w:name="_ETM_Q28_558229"/>
      <w:bookmarkEnd w:id="18091"/>
      <w:r>
        <w:rPr>
          <w:rFonts w:hint="cs"/>
          <w:rtl/>
        </w:rPr>
        <w:t xml:space="preserve">אג'נדה </w:t>
      </w:r>
      <w:bookmarkStart w:id="18092" w:name="_ETM_Q28_558740"/>
      <w:bookmarkEnd w:id="18092"/>
      <w:r>
        <w:rPr>
          <w:rFonts w:hint="cs"/>
          <w:rtl/>
        </w:rPr>
        <w:t xml:space="preserve">ליברלית </w:t>
      </w:r>
      <w:bookmarkStart w:id="18093" w:name="_ETM_Q28_559339"/>
      <w:bookmarkEnd w:id="18093"/>
      <w:r>
        <w:rPr>
          <w:rFonts w:hint="cs"/>
          <w:rtl/>
        </w:rPr>
        <w:t xml:space="preserve">ואפילו </w:t>
      </w:r>
      <w:bookmarkStart w:id="18094" w:name="_ETM_Q28_560350"/>
      <w:bookmarkEnd w:id="18094"/>
      <w:r>
        <w:rPr>
          <w:rFonts w:hint="cs"/>
          <w:rtl/>
        </w:rPr>
        <w:t>אנטי</w:t>
      </w:r>
      <w:bookmarkStart w:id="18095" w:name="_ETM_Q28_560740"/>
      <w:bookmarkEnd w:id="18095"/>
      <w:r>
        <w:rPr>
          <w:rFonts w:hint="cs"/>
          <w:rtl/>
        </w:rPr>
        <w:t>-</w:t>
      </w:r>
      <w:bookmarkStart w:id="18096" w:name="_ETM_Q28_557658"/>
      <w:bookmarkEnd w:id="18096"/>
      <w:r>
        <w:rPr>
          <w:rFonts w:hint="cs"/>
          <w:rtl/>
        </w:rPr>
        <w:t xml:space="preserve">יהודית, </w:t>
      </w:r>
      <w:bookmarkStart w:id="18097" w:name="_ETM_Q28_561220"/>
      <w:bookmarkEnd w:id="18097"/>
      <w:r>
        <w:rPr>
          <w:rFonts w:hint="cs"/>
          <w:rtl/>
        </w:rPr>
        <w:t xml:space="preserve">רחמנא </w:t>
      </w:r>
      <w:bookmarkStart w:id="18098" w:name="_ETM_Q28_561640"/>
      <w:bookmarkEnd w:id="18098"/>
      <w:r>
        <w:rPr>
          <w:rFonts w:hint="cs"/>
          <w:rtl/>
        </w:rPr>
        <w:t>ליצלן.</w:t>
      </w:r>
      <w:bookmarkStart w:id="18099" w:name="_ETM_Q28_562759"/>
      <w:bookmarkStart w:id="18100" w:name="_ETM_Q28_563105"/>
      <w:bookmarkEnd w:id="18099"/>
      <w:bookmarkEnd w:id="18100"/>
    </w:p>
    <w:p w:rsidR="00337201" w:rsidRDefault="00337201" w:rsidP="00337201">
      <w:pPr>
        <w:rPr>
          <w:rtl/>
        </w:rPr>
      </w:pPr>
      <w:bookmarkStart w:id="18101" w:name="_ETM_Q28_563162"/>
      <w:bookmarkEnd w:id="18101"/>
    </w:p>
    <w:p w:rsidR="00337201" w:rsidRDefault="00337201" w:rsidP="00337201">
      <w:pPr>
        <w:rPr>
          <w:rtl/>
        </w:rPr>
      </w:pPr>
      <w:bookmarkStart w:id="18102" w:name="_ETM_Q28_563249"/>
      <w:bookmarkStart w:id="18103" w:name="_ETM_Q28_563294"/>
      <w:bookmarkEnd w:id="18102"/>
      <w:bookmarkEnd w:id="18103"/>
      <w:r>
        <w:rPr>
          <w:rFonts w:hint="cs"/>
          <w:rtl/>
        </w:rPr>
        <w:t xml:space="preserve">כמובן </w:t>
      </w:r>
      <w:bookmarkStart w:id="18104" w:name="_ETM_Q28_563240"/>
      <w:bookmarkEnd w:id="18104"/>
      <w:r>
        <w:rPr>
          <w:rFonts w:hint="cs"/>
          <w:rtl/>
        </w:rPr>
        <w:t>ש</w:t>
      </w:r>
      <w:bookmarkStart w:id="18105" w:name="_ETM_Q28_563420"/>
      <w:bookmarkStart w:id="18106" w:name="_ETM_Q28_560671"/>
      <w:bookmarkEnd w:id="18105"/>
      <w:bookmarkEnd w:id="18106"/>
      <w:r>
        <w:rPr>
          <w:rFonts w:hint="cs"/>
          <w:rtl/>
        </w:rPr>
        <w:t xml:space="preserve">לשופטים </w:t>
      </w:r>
      <w:bookmarkStart w:id="18107" w:name="_ETM_Q28_563899"/>
      <w:bookmarkEnd w:id="18107"/>
      <w:r>
        <w:rPr>
          <w:rFonts w:hint="cs"/>
          <w:rtl/>
        </w:rPr>
        <w:t xml:space="preserve">ואנשי </w:t>
      </w:r>
      <w:bookmarkStart w:id="18108" w:name="_ETM_Q28_564170"/>
      <w:bookmarkEnd w:id="18108"/>
      <w:r>
        <w:rPr>
          <w:rFonts w:hint="cs"/>
          <w:rtl/>
        </w:rPr>
        <w:t xml:space="preserve">מקצוע </w:t>
      </w:r>
      <w:bookmarkStart w:id="18109" w:name="_ETM_Q28_564529"/>
      <w:bookmarkEnd w:id="18109"/>
      <w:r>
        <w:rPr>
          <w:rFonts w:hint="cs"/>
          <w:rtl/>
        </w:rPr>
        <w:t xml:space="preserve">יש </w:t>
      </w:r>
      <w:bookmarkStart w:id="18110" w:name="_ETM_Q28_564740"/>
      <w:bookmarkEnd w:id="18110"/>
      <w:r>
        <w:rPr>
          <w:rFonts w:hint="cs"/>
          <w:rtl/>
        </w:rPr>
        <w:t xml:space="preserve">ערכים </w:t>
      </w:r>
      <w:bookmarkStart w:id="18111" w:name="_ETM_Q28_565189"/>
      <w:bookmarkEnd w:id="18111"/>
      <w:r>
        <w:rPr>
          <w:rFonts w:hint="cs"/>
          <w:rtl/>
        </w:rPr>
        <w:t xml:space="preserve">ועמדות </w:t>
      </w:r>
      <w:bookmarkStart w:id="18112" w:name="_ETM_Q28_565610"/>
      <w:bookmarkEnd w:id="18112"/>
      <w:r>
        <w:rPr>
          <w:rFonts w:hint="cs"/>
          <w:rtl/>
        </w:rPr>
        <w:t xml:space="preserve">פוליטיות. </w:t>
      </w:r>
      <w:bookmarkStart w:id="18113" w:name="_ETM_Q28_566630"/>
      <w:bookmarkEnd w:id="18113"/>
      <w:r>
        <w:rPr>
          <w:rFonts w:hint="cs"/>
          <w:rtl/>
        </w:rPr>
        <w:t xml:space="preserve">אף </w:t>
      </w:r>
      <w:bookmarkStart w:id="18114" w:name="_ETM_Q28_566869"/>
      <w:bookmarkEnd w:id="18114"/>
      <w:r>
        <w:rPr>
          <w:rFonts w:hint="cs"/>
          <w:rtl/>
        </w:rPr>
        <w:t>אחד</w:t>
      </w:r>
      <w:bookmarkStart w:id="18115" w:name="_ETM_Q28_563117"/>
      <w:bookmarkEnd w:id="18115"/>
      <w:r>
        <w:rPr>
          <w:rFonts w:hint="cs"/>
          <w:rtl/>
        </w:rPr>
        <w:t xml:space="preserve"> </w:t>
      </w:r>
      <w:bookmarkStart w:id="18116" w:name="_ETM_Q28_567049"/>
      <w:bookmarkEnd w:id="18116"/>
      <w:r>
        <w:rPr>
          <w:rFonts w:hint="cs"/>
          <w:rtl/>
        </w:rPr>
        <w:t xml:space="preserve">לא </w:t>
      </w:r>
      <w:bookmarkStart w:id="18117" w:name="_ETM_Q28_567110"/>
      <w:bookmarkEnd w:id="18117"/>
      <w:r>
        <w:rPr>
          <w:rFonts w:hint="cs"/>
          <w:rtl/>
        </w:rPr>
        <w:t xml:space="preserve">שולל </w:t>
      </w:r>
      <w:bookmarkStart w:id="18118" w:name="_ETM_Q28_567500"/>
      <w:bookmarkEnd w:id="18118"/>
      <w:r>
        <w:rPr>
          <w:rFonts w:hint="cs"/>
          <w:rtl/>
        </w:rPr>
        <w:t xml:space="preserve">את </w:t>
      </w:r>
      <w:bookmarkStart w:id="18119" w:name="_ETM_Q28_567589"/>
      <w:bookmarkEnd w:id="18119"/>
      <w:r>
        <w:rPr>
          <w:rFonts w:hint="cs"/>
          <w:rtl/>
        </w:rPr>
        <w:t xml:space="preserve">זה </w:t>
      </w:r>
      <w:bookmarkStart w:id="18120" w:name="_ETM_Q28_567710"/>
      <w:bookmarkEnd w:id="18120"/>
      <w:r>
        <w:rPr>
          <w:rFonts w:hint="cs"/>
          <w:rtl/>
        </w:rPr>
        <w:t xml:space="preserve">או </w:t>
      </w:r>
      <w:bookmarkStart w:id="18121" w:name="_ETM_Q28_567770"/>
      <w:bookmarkEnd w:id="18121"/>
      <w:r>
        <w:rPr>
          <w:rFonts w:hint="cs"/>
          <w:rtl/>
        </w:rPr>
        <w:t xml:space="preserve">מתכחש </w:t>
      </w:r>
      <w:bookmarkStart w:id="18122" w:name="_ETM_Q28_568279"/>
      <w:bookmarkEnd w:id="18122"/>
      <w:r>
        <w:rPr>
          <w:rFonts w:hint="cs"/>
          <w:rtl/>
        </w:rPr>
        <w:t xml:space="preserve">לכך. </w:t>
      </w:r>
      <w:bookmarkStart w:id="18123" w:name="_ETM_Q28_569299"/>
      <w:bookmarkEnd w:id="18123"/>
      <w:r>
        <w:rPr>
          <w:rFonts w:hint="cs"/>
          <w:rtl/>
        </w:rPr>
        <w:t xml:space="preserve">אבל </w:t>
      </w:r>
      <w:bookmarkStart w:id="18124" w:name="_ETM_Q28_569630"/>
      <w:bookmarkEnd w:id="18124"/>
      <w:r>
        <w:rPr>
          <w:rFonts w:hint="cs"/>
          <w:rtl/>
        </w:rPr>
        <w:t xml:space="preserve">האם </w:t>
      </w:r>
      <w:bookmarkStart w:id="18125" w:name="_ETM_Q28_570020"/>
      <w:bookmarkEnd w:id="18125"/>
      <w:r>
        <w:rPr>
          <w:rFonts w:hint="cs"/>
          <w:rtl/>
        </w:rPr>
        <w:t xml:space="preserve">הם </w:t>
      </w:r>
      <w:bookmarkStart w:id="18126" w:name="_ETM_Q28_570259"/>
      <w:bookmarkEnd w:id="18126"/>
      <w:r>
        <w:rPr>
          <w:rFonts w:hint="cs"/>
          <w:rtl/>
        </w:rPr>
        <w:t xml:space="preserve">אלו </w:t>
      </w:r>
      <w:bookmarkStart w:id="18127" w:name="_ETM_Q28_570619"/>
      <w:bookmarkEnd w:id="18127"/>
      <w:r>
        <w:rPr>
          <w:rFonts w:hint="cs"/>
          <w:rtl/>
        </w:rPr>
        <w:t xml:space="preserve">המכתיבים </w:t>
      </w:r>
      <w:bookmarkStart w:id="18128" w:name="_ETM_Q28_571189"/>
      <w:bookmarkEnd w:id="18128"/>
      <w:r>
        <w:rPr>
          <w:rFonts w:hint="cs"/>
          <w:rtl/>
        </w:rPr>
        <w:t xml:space="preserve">להם </w:t>
      </w:r>
      <w:bookmarkStart w:id="18129" w:name="_ETM_Q28_571399"/>
      <w:bookmarkEnd w:id="18129"/>
      <w:r>
        <w:rPr>
          <w:rFonts w:hint="cs"/>
          <w:rtl/>
        </w:rPr>
        <w:t xml:space="preserve">דרך </w:t>
      </w:r>
      <w:bookmarkStart w:id="18130" w:name="_ETM_Q28_571819"/>
      <w:bookmarkEnd w:id="18130"/>
      <w:r>
        <w:rPr>
          <w:rFonts w:hint="cs"/>
          <w:rtl/>
        </w:rPr>
        <w:t xml:space="preserve">קבע </w:t>
      </w:r>
      <w:bookmarkStart w:id="18131" w:name="_ETM_Q28_572779"/>
      <w:bookmarkEnd w:id="18131"/>
      <w:r>
        <w:rPr>
          <w:rFonts w:hint="cs"/>
          <w:rtl/>
        </w:rPr>
        <w:t xml:space="preserve">את </w:t>
      </w:r>
      <w:bookmarkStart w:id="18132" w:name="_ETM_Q28_573079"/>
      <w:bookmarkEnd w:id="18132"/>
      <w:r>
        <w:rPr>
          <w:rFonts w:hint="cs"/>
          <w:rtl/>
        </w:rPr>
        <w:t xml:space="preserve">התנהלותם </w:t>
      </w:r>
      <w:bookmarkStart w:id="18133" w:name="_ETM_Q28_573860"/>
      <w:bookmarkStart w:id="18134" w:name="_ETM_Q28_574189"/>
      <w:bookmarkEnd w:id="18133"/>
      <w:bookmarkEnd w:id="18134"/>
      <w:r>
        <w:rPr>
          <w:rFonts w:hint="cs"/>
          <w:rtl/>
        </w:rPr>
        <w:t>ואת הכרעותיה</w:t>
      </w:r>
      <w:bookmarkStart w:id="18135" w:name="_ETM_Q28_571035"/>
      <w:bookmarkEnd w:id="18135"/>
      <w:r>
        <w:rPr>
          <w:rFonts w:hint="cs"/>
          <w:rtl/>
        </w:rPr>
        <w:t>ם?</w:t>
      </w:r>
      <w:bookmarkStart w:id="18136" w:name="_ETM_Q28_574610"/>
      <w:bookmarkStart w:id="18137" w:name="_ETM_Q28_574939"/>
      <w:bookmarkStart w:id="18138" w:name="_ETM_Q28_575029"/>
      <w:bookmarkStart w:id="18139" w:name="_ETM_Q28_576220"/>
      <w:bookmarkStart w:id="18140" w:name="_ETM_Q28_576670"/>
      <w:bookmarkStart w:id="18141" w:name="_ETM_Q28_576820"/>
      <w:bookmarkEnd w:id="18136"/>
      <w:bookmarkEnd w:id="18137"/>
      <w:bookmarkEnd w:id="18138"/>
      <w:bookmarkEnd w:id="18139"/>
      <w:bookmarkEnd w:id="18140"/>
      <w:bookmarkEnd w:id="18141"/>
      <w:r>
        <w:rPr>
          <w:rFonts w:hint="cs"/>
          <w:rtl/>
        </w:rPr>
        <w:t xml:space="preserve"> האם הם מאורגנים </w:t>
      </w:r>
      <w:bookmarkStart w:id="18142" w:name="_ETM_Q28_578600"/>
      <w:bookmarkStart w:id="18143" w:name="_ETM_Q28_578810"/>
      <w:bookmarkStart w:id="18144" w:name="_ETM_Q28_573831"/>
      <w:bookmarkEnd w:id="18142"/>
      <w:bookmarkEnd w:id="18143"/>
      <w:bookmarkEnd w:id="18144"/>
      <w:r>
        <w:rPr>
          <w:rFonts w:hint="cs"/>
          <w:rtl/>
        </w:rPr>
        <w:t xml:space="preserve">כחונטה </w:t>
      </w:r>
      <w:bookmarkStart w:id="18145" w:name="_ETM_Q28_579289"/>
      <w:bookmarkEnd w:id="18145"/>
      <w:r>
        <w:rPr>
          <w:rFonts w:hint="cs"/>
          <w:rtl/>
        </w:rPr>
        <w:t xml:space="preserve">עם </w:t>
      </w:r>
      <w:bookmarkStart w:id="18146" w:name="_ETM_Q28_579409"/>
      <w:bookmarkEnd w:id="18146"/>
      <w:r>
        <w:rPr>
          <w:rFonts w:hint="cs"/>
          <w:rtl/>
        </w:rPr>
        <w:t>סדר</w:t>
      </w:r>
      <w:bookmarkStart w:id="18147" w:name="_ETM_Q28_579770"/>
      <w:bookmarkEnd w:id="18147"/>
      <w:r>
        <w:rPr>
          <w:rFonts w:hint="cs"/>
          <w:rtl/>
        </w:rPr>
        <w:t xml:space="preserve">-יום </w:t>
      </w:r>
      <w:bookmarkStart w:id="18148" w:name="_ETM_Q28_579979"/>
      <w:bookmarkEnd w:id="18148"/>
      <w:r>
        <w:rPr>
          <w:rFonts w:hint="cs"/>
          <w:rtl/>
        </w:rPr>
        <w:t xml:space="preserve">סדור? </w:t>
      </w:r>
      <w:bookmarkStart w:id="18149" w:name="_ETM_Q28_581180"/>
      <w:bookmarkEnd w:id="18149"/>
      <w:r>
        <w:rPr>
          <w:rFonts w:hint="cs"/>
          <w:rtl/>
        </w:rPr>
        <w:t xml:space="preserve">זוהי </w:t>
      </w:r>
      <w:bookmarkStart w:id="18150" w:name="_ETM_Q28_581689"/>
      <w:bookmarkEnd w:id="18150"/>
      <w:r>
        <w:rPr>
          <w:rFonts w:hint="cs"/>
          <w:rtl/>
        </w:rPr>
        <w:t xml:space="preserve">קונספירציה </w:t>
      </w:r>
      <w:bookmarkStart w:id="18151" w:name="_ETM_Q28_583159"/>
      <w:bookmarkEnd w:id="18151"/>
      <w:r>
        <w:rPr>
          <w:rFonts w:hint="cs"/>
          <w:rtl/>
        </w:rPr>
        <w:t xml:space="preserve">הזויה </w:t>
      </w:r>
      <w:bookmarkStart w:id="18152" w:name="_ETM_Q28_583729"/>
      <w:bookmarkEnd w:id="18152"/>
      <w:r>
        <w:rPr>
          <w:rFonts w:hint="cs"/>
          <w:rtl/>
        </w:rPr>
        <w:t xml:space="preserve">ומטורללת </w:t>
      </w:r>
      <w:bookmarkStart w:id="18153" w:name="_ETM_Q28_585270"/>
      <w:bookmarkEnd w:id="18153"/>
      <w:r>
        <w:rPr>
          <w:rFonts w:hint="cs"/>
          <w:rtl/>
        </w:rPr>
        <w:t xml:space="preserve">שנולדה </w:t>
      </w:r>
      <w:bookmarkStart w:id="18154" w:name="_ETM_Q28_585839"/>
      <w:bookmarkEnd w:id="18154"/>
      <w:r>
        <w:rPr>
          <w:rFonts w:hint="cs"/>
          <w:rtl/>
        </w:rPr>
        <w:t xml:space="preserve">במוחו </w:t>
      </w:r>
      <w:bookmarkStart w:id="18155" w:name="_ETM_Q28_586380"/>
      <w:bookmarkEnd w:id="18155"/>
      <w:r>
        <w:rPr>
          <w:rFonts w:hint="cs"/>
          <w:rtl/>
        </w:rPr>
        <w:t>המעוות</w:t>
      </w:r>
      <w:bookmarkStart w:id="18156" w:name="_ETM_Q28_583539"/>
      <w:bookmarkEnd w:id="18156"/>
      <w:r>
        <w:rPr>
          <w:rFonts w:hint="cs"/>
          <w:rtl/>
        </w:rPr>
        <w:t xml:space="preserve"> </w:t>
      </w:r>
      <w:bookmarkStart w:id="18157" w:name="_ETM_Q28_586920"/>
      <w:bookmarkEnd w:id="18157"/>
      <w:r>
        <w:rPr>
          <w:rFonts w:hint="cs"/>
          <w:rtl/>
        </w:rPr>
        <w:t xml:space="preserve">של </w:t>
      </w:r>
      <w:bookmarkStart w:id="18158" w:name="_ETM_Q28_587130"/>
      <w:bookmarkEnd w:id="18158"/>
      <w:r>
        <w:rPr>
          <w:rFonts w:hint="cs"/>
          <w:rtl/>
        </w:rPr>
        <w:t>הביבי</w:t>
      </w:r>
      <w:bookmarkStart w:id="18159" w:name="_ETM_Q28_587490"/>
      <w:bookmarkEnd w:id="18159"/>
      <w:r>
        <w:rPr>
          <w:rFonts w:hint="cs"/>
          <w:rtl/>
        </w:rPr>
        <w:t>זם</w:t>
      </w:r>
      <w:bookmarkStart w:id="18160" w:name="_ETM_Q28_582777"/>
      <w:bookmarkEnd w:id="18160"/>
      <w:r>
        <w:rPr>
          <w:rFonts w:hint="cs"/>
          <w:rtl/>
        </w:rPr>
        <w:t xml:space="preserve"> </w:t>
      </w:r>
      <w:bookmarkStart w:id="18161" w:name="_ETM_Q28_588240"/>
      <w:bookmarkEnd w:id="18161"/>
      <w:r>
        <w:rPr>
          <w:rFonts w:hint="cs"/>
          <w:rtl/>
        </w:rPr>
        <w:t xml:space="preserve">ומופצת </w:t>
      </w:r>
      <w:bookmarkStart w:id="18162" w:name="_ETM_Q28_588959"/>
      <w:bookmarkEnd w:id="18162"/>
      <w:r>
        <w:rPr>
          <w:rFonts w:hint="cs"/>
          <w:rtl/>
        </w:rPr>
        <w:t>בידי</w:t>
      </w:r>
      <w:bookmarkStart w:id="18163" w:name="_ETM_Q28_589289"/>
      <w:bookmarkStart w:id="18164" w:name="_ETM_Q28_589560"/>
      <w:bookmarkStart w:id="18165" w:name="_ETM_Q28_585238"/>
      <w:bookmarkEnd w:id="18163"/>
      <w:bookmarkEnd w:id="18164"/>
      <w:bookmarkEnd w:id="18165"/>
      <w:r>
        <w:rPr>
          <w:rFonts w:hint="cs"/>
          <w:rtl/>
        </w:rPr>
        <w:t xml:space="preserve"> שופריו.</w:t>
      </w:r>
      <w:bookmarkStart w:id="18166" w:name="_ETM_Q28_591240"/>
      <w:bookmarkEnd w:id="18166"/>
    </w:p>
    <w:p w:rsidR="00337201" w:rsidRDefault="00337201" w:rsidP="00337201">
      <w:pPr>
        <w:rPr>
          <w:rtl/>
        </w:rPr>
      </w:pPr>
    </w:p>
    <w:p w:rsidR="00337201" w:rsidRDefault="00337201" w:rsidP="00337201">
      <w:pPr>
        <w:rPr>
          <w:rtl/>
        </w:rPr>
      </w:pPr>
      <w:r>
        <w:rPr>
          <w:rFonts w:hint="cs"/>
          <w:rtl/>
        </w:rPr>
        <w:t xml:space="preserve">בעוד </w:t>
      </w:r>
      <w:bookmarkStart w:id="18167" w:name="_ETM_Q28_591600"/>
      <w:bookmarkEnd w:id="18167"/>
      <w:r>
        <w:rPr>
          <w:rFonts w:hint="cs"/>
          <w:rtl/>
        </w:rPr>
        <w:t xml:space="preserve">כחודש </w:t>
      </w:r>
      <w:bookmarkStart w:id="18168" w:name="_ETM_Q28_592140"/>
      <w:bookmarkEnd w:id="18168"/>
      <w:r>
        <w:rPr>
          <w:rFonts w:hint="cs"/>
          <w:rtl/>
        </w:rPr>
        <w:t xml:space="preserve">ימלאו </w:t>
      </w:r>
      <w:bookmarkStart w:id="18169" w:name="_ETM_Q28_592440"/>
      <w:bookmarkEnd w:id="18169"/>
      <w:r>
        <w:rPr>
          <w:rFonts w:hint="cs"/>
          <w:rtl/>
        </w:rPr>
        <w:t xml:space="preserve">60 </w:t>
      </w:r>
      <w:bookmarkStart w:id="18170" w:name="_ETM_Q28_592830"/>
      <w:bookmarkEnd w:id="18170"/>
      <w:r>
        <w:rPr>
          <w:rFonts w:hint="cs"/>
          <w:rtl/>
        </w:rPr>
        <w:t xml:space="preserve">שנה </w:t>
      </w:r>
      <w:bookmarkStart w:id="18171" w:name="_ETM_Q28_593130"/>
      <w:bookmarkEnd w:id="18171"/>
      <w:r>
        <w:rPr>
          <w:rFonts w:hint="cs"/>
          <w:rtl/>
        </w:rPr>
        <w:t xml:space="preserve">בדיוק </w:t>
      </w:r>
      <w:bookmarkStart w:id="18172" w:name="_ETM_Q28_593549"/>
      <w:bookmarkEnd w:id="18172"/>
      <w:r>
        <w:rPr>
          <w:rFonts w:hint="cs"/>
          <w:rtl/>
        </w:rPr>
        <w:t xml:space="preserve">לנאומו </w:t>
      </w:r>
      <w:bookmarkStart w:id="18173" w:name="_ETM_Q28_594089"/>
      <w:bookmarkEnd w:id="18173"/>
      <w:r>
        <w:rPr>
          <w:rFonts w:hint="cs"/>
          <w:rtl/>
        </w:rPr>
        <w:t xml:space="preserve">המונומנטלי </w:t>
      </w:r>
      <w:bookmarkStart w:id="18174" w:name="_ETM_Q28_595470"/>
      <w:bookmarkEnd w:id="18174"/>
      <w:r>
        <w:rPr>
          <w:rFonts w:hint="cs"/>
          <w:rtl/>
        </w:rPr>
        <w:t xml:space="preserve">של </w:t>
      </w:r>
      <w:bookmarkStart w:id="18175" w:name="_ETM_Q28_595710"/>
      <w:bookmarkEnd w:id="18175"/>
      <w:r>
        <w:rPr>
          <w:rFonts w:hint="cs"/>
          <w:rtl/>
        </w:rPr>
        <w:t xml:space="preserve">מרטין </w:t>
      </w:r>
      <w:bookmarkStart w:id="18176" w:name="_ETM_Q28_596130"/>
      <w:bookmarkEnd w:id="18176"/>
      <w:r>
        <w:rPr>
          <w:rFonts w:hint="cs"/>
          <w:rtl/>
        </w:rPr>
        <w:t xml:space="preserve">לותר </w:t>
      </w:r>
      <w:bookmarkStart w:id="18177" w:name="_ETM_Q28_596430"/>
      <w:bookmarkEnd w:id="18177"/>
      <w:r>
        <w:rPr>
          <w:rFonts w:hint="cs"/>
          <w:rtl/>
        </w:rPr>
        <w:t xml:space="preserve">קינג </w:t>
      </w:r>
      <w:bookmarkStart w:id="18178" w:name="_ETM_Q28_597510"/>
      <w:bookmarkEnd w:id="18178"/>
      <w:r>
        <w:rPr>
          <w:rFonts w:hint="cs"/>
          <w:rtl/>
        </w:rPr>
        <w:t xml:space="preserve">במצעד </w:t>
      </w:r>
      <w:bookmarkStart w:id="18179" w:name="_ETM_Q28_598110"/>
      <w:bookmarkEnd w:id="18179"/>
      <w:r>
        <w:rPr>
          <w:rFonts w:hint="cs"/>
          <w:rtl/>
        </w:rPr>
        <w:t>ה</w:t>
      </w:r>
      <w:bookmarkStart w:id="18180" w:name="_ETM_Q28_598589"/>
      <w:bookmarkEnd w:id="18180"/>
      <w:r>
        <w:rPr>
          <w:rFonts w:hint="cs"/>
          <w:rtl/>
        </w:rPr>
        <w:t xml:space="preserve">מיליון </w:t>
      </w:r>
      <w:bookmarkStart w:id="18181" w:name="_ETM_Q28_594473"/>
      <w:bookmarkEnd w:id="18181"/>
      <w:r>
        <w:rPr>
          <w:rFonts w:hint="cs"/>
          <w:rtl/>
        </w:rPr>
        <w:t xml:space="preserve">על </w:t>
      </w:r>
      <w:bookmarkStart w:id="18182" w:name="_ETM_Q28_598710"/>
      <w:bookmarkEnd w:id="18182"/>
      <w:r>
        <w:rPr>
          <w:rFonts w:hint="cs"/>
          <w:rtl/>
        </w:rPr>
        <w:t xml:space="preserve">וושינגטון. </w:t>
      </w:r>
      <w:bookmarkStart w:id="18183" w:name="_ETM_Q28_600029"/>
      <w:bookmarkEnd w:id="18183"/>
      <w:r>
        <w:rPr>
          <w:rFonts w:hint="cs"/>
          <w:rtl/>
        </w:rPr>
        <w:t xml:space="preserve">בפרפראזה </w:t>
      </w:r>
      <w:bookmarkStart w:id="18184" w:name="_ETM_Q28_600990"/>
      <w:bookmarkEnd w:id="18184"/>
      <w:r>
        <w:rPr>
          <w:rFonts w:hint="cs"/>
          <w:rtl/>
        </w:rPr>
        <w:t>על דבריו</w:t>
      </w:r>
      <w:bookmarkStart w:id="18185" w:name="_ETM_Q28_601439"/>
      <w:bookmarkEnd w:id="18185"/>
      <w:r>
        <w:rPr>
          <w:rFonts w:hint="cs"/>
          <w:rtl/>
        </w:rPr>
        <w:t xml:space="preserve"> </w:t>
      </w:r>
      <w:bookmarkStart w:id="18186" w:name="_ETM_Q28_599646"/>
      <w:bookmarkEnd w:id="18186"/>
      <w:r>
        <w:rPr>
          <w:rFonts w:hint="cs"/>
          <w:rtl/>
        </w:rPr>
        <w:t xml:space="preserve">אני </w:t>
      </w:r>
      <w:bookmarkStart w:id="18187" w:name="_ETM_Q28_601619"/>
      <w:bookmarkEnd w:id="18187"/>
      <w:r>
        <w:rPr>
          <w:rFonts w:hint="cs"/>
          <w:rtl/>
        </w:rPr>
        <w:t xml:space="preserve">יכול </w:t>
      </w:r>
      <w:bookmarkStart w:id="18188" w:name="_ETM_Q28_601920"/>
      <w:bookmarkEnd w:id="18188"/>
      <w:r>
        <w:rPr>
          <w:rFonts w:hint="cs"/>
          <w:rtl/>
        </w:rPr>
        <w:t>לומר –</w:t>
      </w:r>
      <w:bookmarkStart w:id="18189" w:name="_ETM_Q28_600126"/>
      <w:bookmarkEnd w:id="18189"/>
      <w:r>
        <w:rPr>
          <w:rFonts w:hint="cs"/>
          <w:rtl/>
        </w:rPr>
        <w:t xml:space="preserve"> </w:t>
      </w:r>
      <w:bookmarkStart w:id="18190" w:name="_ETM_Q28_603270"/>
      <w:bookmarkEnd w:id="18190"/>
      <w:r>
        <w:rPr>
          <w:rFonts w:hint="cs"/>
          <w:rtl/>
        </w:rPr>
        <w:t xml:space="preserve">חברי </w:t>
      </w:r>
      <w:bookmarkStart w:id="18191" w:name="_ETM_Q28_604229"/>
      <w:bookmarkEnd w:id="18191"/>
      <w:r>
        <w:rPr>
          <w:rFonts w:hint="cs"/>
          <w:rtl/>
        </w:rPr>
        <w:t xml:space="preserve">חבר </w:t>
      </w:r>
      <w:bookmarkStart w:id="18192" w:name="_ETM_Q28_604469"/>
      <w:bookmarkEnd w:id="18192"/>
      <w:r>
        <w:rPr>
          <w:rFonts w:hint="cs"/>
          <w:rtl/>
        </w:rPr>
        <w:t xml:space="preserve">הכנסת </w:t>
      </w:r>
      <w:bookmarkStart w:id="18193" w:name="_ETM_Q28_604859"/>
      <w:bookmarkEnd w:id="18193"/>
      <w:r>
        <w:rPr>
          <w:rFonts w:hint="cs"/>
          <w:rtl/>
        </w:rPr>
        <w:t xml:space="preserve">איימן </w:t>
      </w:r>
      <w:bookmarkStart w:id="18194" w:name="_ETM_Q28_605219"/>
      <w:bookmarkEnd w:id="18194"/>
      <w:r>
        <w:rPr>
          <w:rFonts w:hint="cs"/>
          <w:rtl/>
        </w:rPr>
        <w:t>עודה</w:t>
      </w:r>
      <w:bookmarkStart w:id="18195" w:name="_ETM_Q28_602810"/>
      <w:bookmarkStart w:id="18196" w:name="_ETM_Q28_605490"/>
      <w:bookmarkEnd w:id="18195"/>
      <w:bookmarkEnd w:id="18196"/>
      <w:r>
        <w:rPr>
          <w:rFonts w:hint="cs"/>
          <w:rtl/>
        </w:rPr>
        <w:t xml:space="preserve">, אני </w:t>
      </w:r>
      <w:bookmarkStart w:id="18197" w:name="_ETM_Q28_606179"/>
      <w:bookmarkEnd w:id="18197"/>
      <w:r>
        <w:rPr>
          <w:rFonts w:hint="cs"/>
          <w:rtl/>
        </w:rPr>
        <w:t xml:space="preserve">יודע </w:t>
      </w:r>
      <w:bookmarkStart w:id="18198" w:name="_ETM_Q28_606390"/>
      <w:bookmarkEnd w:id="18198"/>
      <w:r>
        <w:rPr>
          <w:rFonts w:hint="cs"/>
          <w:rtl/>
        </w:rPr>
        <w:t xml:space="preserve">שאתה </w:t>
      </w:r>
      <w:bookmarkStart w:id="18199" w:name="_ETM_Q28_606570"/>
      <w:bookmarkEnd w:id="18199"/>
      <w:r>
        <w:rPr>
          <w:rFonts w:hint="cs"/>
          <w:rtl/>
        </w:rPr>
        <w:t xml:space="preserve">חובב </w:t>
      </w:r>
      <w:bookmarkStart w:id="18200" w:name="_ETM_Q28_606960"/>
      <w:bookmarkEnd w:id="18200"/>
      <w:r>
        <w:rPr>
          <w:rFonts w:hint="cs"/>
          <w:rtl/>
        </w:rPr>
        <w:t xml:space="preserve">את </w:t>
      </w:r>
      <w:bookmarkStart w:id="18201" w:name="_ETM_Q28_607049"/>
      <w:bookmarkEnd w:id="18201"/>
      <w:r>
        <w:rPr>
          <w:rFonts w:hint="cs"/>
          <w:rtl/>
        </w:rPr>
        <w:t>מרטין לותר קינג</w:t>
      </w:r>
      <w:bookmarkStart w:id="18202" w:name="_ETM_Q28_603167"/>
      <w:bookmarkEnd w:id="18202"/>
      <w:r>
        <w:rPr>
          <w:rFonts w:hint="cs"/>
          <w:rtl/>
        </w:rPr>
        <w:t>, איימן</w:t>
      </w:r>
      <w:bookmarkStart w:id="18203" w:name="_ETM_Q28_607380"/>
      <w:bookmarkStart w:id="18204" w:name="_ETM_Q28_607529"/>
      <w:bookmarkStart w:id="18205" w:name="_ETM_Q28_608160"/>
      <w:bookmarkStart w:id="18206" w:name="_ETM_Q28_608690"/>
      <w:bookmarkEnd w:id="18203"/>
      <w:bookmarkEnd w:id="18204"/>
      <w:bookmarkEnd w:id="18205"/>
      <w:bookmarkEnd w:id="18206"/>
      <w:r>
        <w:rPr>
          <w:rFonts w:hint="cs"/>
          <w:rtl/>
        </w:rPr>
        <w:t xml:space="preserve"> – </w:t>
      </w:r>
      <w:bookmarkStart w:id="18207" w:name="_ETM_Q28_611650"/>
      <w:bookmarkEnd w:id="18207"/>
      <w:r>
        <w:rPr>
          <w:rFonts w:hint="cs"/>
          <w:rtl/>
        </w:rPr>
        <w:t xml:space="preserve">בפרפרזה </w:t>
      </w:r>
      <w:bookmarkStart w:id="18208" w:name="_ETM_Q28_612430"/>
      <w:bookmarkEnd w:id="18208"/>
      <w:r>
        <w:rPr>
          <w:rFonts w:hint="cs"/>
          <w:rtl/>
        </w:rPr>
        <w:t xml:space="preserve">לדבריו </w:t>
      </w:r>
      <w:bookmarkStart w:id="18209" w:name="_ETM_Q28_612909"/>
      <w:bookmarkEnd w:id="18209"/>
      <w:r>
        <w:rPr>
          <w:rFonts w:hint="cs"/>
          <w:rtl/>
        </w:rPr>
        <w:t xml:space="preserve">של </w:t>
      </w:r>
      <w:bookmarkStart w:id="18210" w:name="_ETM_Q28_613060"/>
      <w:bookmarkEnd w:id="18210"/>
      <w:r>
        <w:rPr>
          <w:rFonts w:hint="cs"/>
          <w:rtl/>
        </w:rPr>
        <w:t>מ</w:t>
      </w:r>
      <w:bookmarkStart w:id="18211" w:name="_ETM_Q28_613629"/>
      <w:bookmarkEnd w:id="18211"/>
      <w:r>
        <w:rPr>
          <w:rFonts w:hint="cs"/>
          <w:rtl/>
        </w:rPr>
        <w:t xml:space="preserve">רטין </w:t>
      </w:r>
      <w:bookmarkStart w:id="18212" w:name="_ETM_Q28_609192"/>
      <w:bookmarkEnd w:id="18212"/>
      <w:r>
        <w:rPr>
          <w:rFonts w:hint="cs"/>
          <w:rtl/>
        </w:rPr>
        <w:t xml:space="preserve">לותר קינג </w:t>
      </w:r>
      <w:bookmarkStart w:id="18213" w:name="_ETM_Q28_613900"/>
      <w:bookmarkEnd w:id="18213"/>
      <w:r>
        <w:rPr>
          <w:rFonts w:hint="cs"/>
          <w:rtl/>
        </w:rPr>
        <w:t xml:space="preserve">אני </w:t>
      </w:r>
      <w:bookmarkStart w:id="18214" w:name="_ETM_Q28_614019"/>
      <w:bookmarkEnd w:id="18214"/>
      <w:r>
        <w:rPr>
          <w:rFonts w:hint="cs"/>
          <w:rtl/>
        </w:rPr>
        <w:t xml:space="preserve">יכול </w:t>
      </w:r>
      <w:bookmarkStart w:id="18215" w:name="_ETM_Q28_614290"/>
      <w:bookmarkEnd w:id="18215"/>
      <w:r>
        <w:rPr>
          <w:rFonts w:hint="cs"/>
          <w:rtl/>
        </w:rPr>
        <w:t xml:space="preserve">לומר </w:t>
      </w:r>
      <w:bookmarkStart w:id="18216" w:name="_ETM_Q28_614530"/>
      <w:bookmarkEnd w:id="18216"/>
      <w:r>
        <w:rPr>
          <w:rFonts w:hint="cs"/>
          <w:rtl/>
        </w:rPr>
        <w:t xml:space="preserve">שגם </w:t>
      </w:r>
      <w:bookmarkStart w:id="18217" w:name="_ETM_Q28_614980"/>
      <w:bookmarkEnd w:id="18217"/>
      <w:r>
        <w:rPr>
          <w:rFonts w:hint="cs"/>
          <w:rtl/>
        </w:rPr>
        <w:t xml:space="preserve">לי </w:t>
      </w:r>
      <w:bookmarkStart w:id="18218" w:name="_ETM_Q28_615190"/>
      <w:bookmarkEnd w:id="18218"/>
      <w:r>
        <w:rPr>
          <w:rFonts w:hint="cs"/>
          <w:rtl/>
        </w:rPr>
        <w:t xml:space="preserve">יש </w:t>
      </w:r>
      <w:bookmarkStart w:id="18219" w:name="_ETM_Q28_615370"/>
      <w:bookmarkEnd w:id="18219"/>
      <w:r>
        <w:rPr>
          <w:rFonts w:hint="cs"/>
          <w:rtl/>
        </w:rPr>
        <w:t xml:space="preserve">חלום. </w:t>
      </w:r>
      <w:bookmarkStart w:id="18220" w:name="_ETM_Q28_616980"/>
      <w:bookmarkEnd w:id="18220"/>
      <w:r>
        <w:rPr>
          <w:rFonts w:hint="cs"/>
          <w:rtl/>
        </w:rPr>
        <w:t xml:space="preserve">יש </w:t>
      </w:r>
      <w:bookmarkStart w:id="18221" w:name="_ETM_Q28_617220"/>
      <w:bookmarkEnd w:id="18221"/>
      <w:r>
        <w:rPr>
          <w:rFonts w:hint="cs"/>
          <w:rtl/>
        </w:rPr>
        <w:t xml:space="preserve">לי </w:t>
      </w:r>
      <w:bookmarkStart w:id="18222" w:name="_ETM_Q28_617310"/>
      <w:bookmarkEnd w:id="18222"/>
      <w:r>
        <w:rPr>
          <w:rFonts w:hint="cs"/>
          <w:rtl/>
        </w:rPr>
        <w:t xml:space="preserve">חלון </w:t>
      </w:r>
      <w:bookmarkStart w:id="18223" w:name="_ETM_Q28_617670"/>
      <w:bookmarkEnd w:id="18223"/>
      <w:r>
        <w:rPr>
          <w:rFonts w:hint="cs"/>
          <w:rtl/>
        </w:rPr>
        <w:t xml:space="preserve">שיום </w:t>
      </w:r>
      <w:bookmarkStart w:id="18224" w:name="_ETM_Q28_617970"/>
      <w:bookmarkEnd w:id="18224"/>
      <w:r>
        <w:rPr>
          <w:rFonts w:hint="cs"/>
          <w:rtl/>
        </w:rPr>
        <w:t>אחד</w:t>
      </w:r>
      <w:bookmarkStart w:id="18225" w:name="_ETM_Q28_614526"/>
      <w:bookmarkEnd w:id="18225"/>
      <w:r>
        <w:rPr>
          <w:rFonts w:hint="cs"/>
          <w:rtl/>
        </w:rPr>
        <w:t xml:space="preserve"> </w:t>
      </w:r>
      <w:bookmarkStart w:id="18226" w:name="_ETM_Q28_618240"/>
      <w:bookmarkEnd w:id="18226"/>
      <w:r>
        <w:rPr>
          <w:rFonts w:hint="cs"/>
          <w:rtl/>
        </w:rPr>
        <w:t xml:space="preserve">נקום </w:t>
      </w:r>
      <w:bookmarkStart w:id="18227" w:name="_ETM_Q28_619350"/>
      <w:bookmarkEnd w:id="18227"/>
      <w:r>
        <w:rPr>
          <w:rFonts w:hint="cs"/>
          <w:rtl/>
        </w:rPr>
        <w:t xml:space="preserve">ונגשים </w:t>
      </w:r>
      <w:bookmarkStart w:id="18228" w:name="_ETM_Q28_619920"/>
      <w:bookmarkEnd w:id="18228"/>
      <w:r>
        <w:rPr>
          <w:rFonts w:hint="cs"/>
          <w:rtl/>
        </w:rPr>
        <w:t xml:space="preserve">את </w:t>
      </w:r>
      <w:bookmarkStart w:id="18229" w:name="_ETM_Q28_620070"/>
      <w:bookmarkStart w:id="18230" w:name="_ETM_Q28_620490"/>
      <w:bookmarkStart w:id="18231" w:name="_ETM_Q28_620970"/>
      <w:bookmarkEnd w:id="18229"/>
      <w:bookmarkEnd w:id="18230"/>
      <w:bookmarkEnd w:id="18231"/>
      <w:r>
        <w:rPr>
          <w:rFonts w:hint="cs"/>
          <w:rtl/>
        </w:rPr>
        <w:t>משמעותה</w:t>
      </w:r>
      <w:bookmarkStart w:id="18232" w:name="_ETM_Q28_617700"/>
      <w:bookmarkEnd w:id="18232"/>
      <w:r>
        <w:rPr>
          <w:rFonts w:hint="cs"/>
          <w:rtl/>
        </w:rPr>
        <w:t xml:space="preserve"> </w:t>
      </w:r>
      <w:bookmarkStart w:id="18233" w:name="_ETM_Q28_621570"/>
      <w:bookmarkEnd w:id="18233"/>
      <w:r>
        <w:rPr>
          <w:rFonts w:hint="cs"/>
          <w:rtl/>
        </w:rPr>
        <w:t xml:space="preserve">האמיתית </w:t>
      </w:r>
      <w:bookmarkStart w:id="18234" w:name="_ETM_Q28_622200"/>
      <w:bookmarkEnd w:id="18234"/>
      <w:r>
        <w:rPr>
          <w:rFonts w:hint="cs"/>
          <w:rtl/>
        </w:rPr>
        <w:t xml:space="preserve">של </w:t>
      </w:r>
      <w:bookmarkStart w:id="18235" w:name="_ETM_Q28_622380"/>
      <w:bookmarkEnd w:id="18235"/>
      <w:r>
        <w:rPr>
          <w:rFonts w:hint="cs"/>
          <w:rtl/>
        </w:rPr>
        <w:t xml:space="preserve">האמרה </w:t>
      </w:r>
      <w:bookmarkStart w:id="18236" w:name="_ETM_Q28_623340"/>
      <w:bookmarkEnd w:id="18236"/>
      <w:r>
        <w:rPr>
          <w:rFonts w:hint="cs"/>
          <w:rtl/>
        </w:rPr>
        <w:t xml:space="preserve">שכל </w:t>
      </w:r>
      <w:bookmarkStart w:id="18237" w:name="_ETM_Q28_623790"/>
      <w:bookmarkEnd w:id="18237"/>
      <w:r>
        <w:rPr>
          <w:rFonts w:hint="cs"/>
          <w:rtl/>
        </w:rPr>
        <w:t xml:space="preserve">בני האדם </w:t>
      </w:r>
      <w:bookmarkStart w:id="18238" w:name="_ETM_Q28_624630"/>
      <w:bookmarkEnd w:id="18238"/>
      <w:r>
        <w:rPr>
          <w:rFonts w:hint="cs"/>
          <w:rtl/>
        </w:rPr>
        <w:t xml:space="preserve">שווים. </w:t>
      </w:r>
      <w:bookmarkStart w:id="18239" w:name="_ETM_Q28_626269"/>
      <w:bookmarkEnd w:id="18239"/>
      <w:r>
        <w:rPr>
          <w:rFonts w:hint="cs"/>
          <w:rtl/>
        </w:rPr>
        <w:t xml:space="preserve">יש </w:t>
      </w:r>
      <w:bookmarkStart w:id="18240" w:name="_ETM_Q28_626510"/>
      <w:bookmarkEnd w:id="18240"/>
      <w:r>
        <w:rPr>
          <w:rFonts w:hint="cs"/>
          <w:rtl/>
        </w:rPr>
        <w:t xml:space="preserve">לי </w:t>
      </w:r>
      <w:bookmarkStart w:id="18241" w:name="_ETM_Q28_626599"/>
      <w:bookmarkEnd w:id="18241"/>
      <w:r>
        <w:rPr>
          <w:rFonts w:hint="cs"/>
          <w:rtl/>
        </w:rPr>
        <w:t>חלום</w:t>
      </w:r>
      <w:bookmarkStart w:id="18242" w:name="_ETM_Q28_624170"/>
      <w:bookmarkEnd w:id="18242"/>
      <w:r>
        <w:rPr>
          <w:rFonts w:hint="cs"/>
          <w:rtl/>
        </w:rPr>
        <w:t xml:space="preserve"> </w:t>
      </w:r>
      <w:bookmarkStart w:id="18243" w:name="_ETM_Q28_626959"/>
      <w:bookmarkEnd w:id="18243"/>
      <w:r>
        <w:rPr>
          <w:rFonts w:hint="cs"/>
          <w:rtl/>
        </w:rPr>
        <w:t xml:space="preserve">שיום </w:t>
      </w:r>
      <w:bookmarkStart w:id="18244" w:name="_ETM_Q28_627260"/>
      <w:bookmarkEnd w:id="18244"/>
      <w:r>
        <w:rPr>
          <w:rFonts w:hint="cs"/>
          <w:rtl/>
        </w:rPr>
        <w:t xml:space="preserve">אחד </w:t>
      </w:r>
      <w:bookmarkStart w:id="18245" w:name="_ETM_Q28_627620"/>
      <w:bookmarkEnd w:id="18245"/>
      <w:r>
        <w:rPr>
          <w:rFonts w:hint="cs"/>
          <w:rtl/>
        </w:rPr>
        <w:t xml:space="preserve">על </w:t>
      </w:r>
      <w:bookmarkStart w:id="18246" w:name="_ETM_Q28_627739"/>
      <w:bookmarkStart w:id="18247" w:name="_ETM_Q28_625203"/>
      <w:bookmarkEnd w:id="18246"/>
      <w:bookmarkEnd w:id="18247"/>
      <w:r>
        <w:rPr>
          <w:rFonts w:hint="cs"/>
          <w:rtl/>
        </w:rPr>
        <w:t xml:space="preserve">הריה </w:t>
      </w:r>
      <w:bookmarkStart w:id="18248" w:name="_ETM_Q28_628040"/>
      <w:bookmarkEnd w:id="18248"/>
      <w:r>
        <w:rPr>
          <w:rFonts w:hint="cs"/>
          <w:rtl/>
        </w:rPr>
        <w:t xml:space="preserve">של </w:t>
      </w:r>
      <w:bookmarkStart w:id="18249" w:name="_ETM_Q28_628220"/>
      <w:bookmarkEnd w:id="18249"/>
      <w:r>
        <w:rPr>
          <w:rFonts w:hint="cs"/>
          <w:rtl/>
        </w:rPr>
        <w:t xml:space="preserve">ירושלים </w:t>
      </w:r>
      <w:bookmarkStart w:id="18250" w:name="_ETM_Q28_629450"/>
      <w:bookmarkStart w:id="18251" w:name="_ETM_Q28_626110"/>
      <w:bookmarkEnd w:id="18250"/>
      <w:bookmarkEnd w:id="18251"/>
      <w:r>
        <w:rPr>
          <w:rFonts w:hint="cs"/>
          <w:rtl/>
        </w:rPr>
        <w:t xml:space="preserve">יוכלו </w:t>
      </w:r>
      <w:bookmarkStart w:id="18252" w:name="_ETM_Q28_629870"/>
      <w:bookmarkEnd w:id="18252"/>
      <w:r>
        <w:rPr>
          <w:rFonts w:hint="cs"/>
          <w:rtl/>
        </w:rPr>
        <w:t xml:space="preserve">בניהם </w:t>
      </w:r>
      <w:bookmarkStart w:id="18253" w:name="_ETM_Q28_630260"/>
      <w:bookmarkEnd w:id="18253"/>
      <w:r>
        <w:rPr>
          <w:rFonts w:hint="cs"/>
          <w:rtl/>
        </w:rPr>
        <w:t xml:space="preserve">של </w:t>
      </w:r>
      <w:bookmarkStart w:id="18254" w:name="_ETM_Q28_630440"/>
      <w:bookmarkEnd w:id="18254"/>
      <w:r>
        <w:rPr>
          <w:rFonts w:hint="cs"/>
          <w:rtl/>
        </w:rPr>
        <w:t xml:space="preserve">כבושים </w:t>
      </w:r>
      <w:bookmarkStart w:id="18255" w:name="_ETM_Q28_630920"/>
      <w:bookmarkEnd w:id="18255"/>
      <w:r>
        <w:rPr>
          <w:rFonts w:hint="cs"/>
          <w:rtl/>
        </w:rPr>
        <w:t xml:space="preserve">לשעבר </w:t>
      </w:r>
      <w:bookmarkStart w:id="18256" w:name="_ETM_Q28_632030"/>
      <w:bookmarkEnd w:id="18256"/>
      <w:r>
        <w:rPr>
          <w:rFonts w:hint="cs"/>
          <w:rtl/>
        </w:rPr>
        <w:t xml:space="preserve">ובניהם </w:t>
      </w:r>
      <w:bookmarkStart w:id="18257" w:name="_ETM_Q28_632510"/>
      <w:bookmarkEnd w:id="18257"/>
      <w:r>
        <w:rPr>
          <w:rFonts w:hint="cs"/>
          <w:rtl/>
        </w:rPr>
        <w:t xml:space="preserve">של </w:t>
      </w:r>
      <w:bookmarkStart w:id="18258" w:name="_ETM_Q28_632690"/>
      <w:bookmarkEnd w:id="18258"/>
      <w:r>
        <w:rPr>
          <w:rFonts w:hint="cs"/>
          <w:rtl/>
        </w:rPr>
        <w:t xml:space="preserve">כובשים </w:t>
      </w:r>
      <w:bookmarkStart w:id="18259" w:name="_ETM_Q28_633170"/>
      <w:bookmarkEnd w:id="18259"/>
      <w:r>
        <w:rPr>
          <w:rFonts w:hint="cs"/>
          <w:rtl/>
        </w:rPr>
        <w:t xml:space="preserve">לשעבר </w:t>
      </w:r>
      <w:bookmarkStart w:id="18260" w:name="_ETM_Q28_634310"/>
      <w:bookmarkEnd w:id="18260"/>
      <w:r>
        <w:rPr>
          <w:rFonts w:hint="cs"/>
          <w:rtl/>
        </w:rPr>
        <w:t xml:space="preserve">לשבת </w:t>
      </w:r>
      <w:bookmarkStart w:id="18261" w:name="_ETM_Q28_634849"/>
      <w:bookmarkEnd w:id="18261"/>
      <w:r>
        <w:rPr>
          <w:rFonts w:hint="cs"/>
          <w:rtl/>
        </w:rPr>
        <w:t xml:space="preserve">יחדיו </w:t>
      </w:r>
      <w:bookmarkStart w:id="18262" w:name="_ETM_Q28_635950"/>
      <w:bookmarkEnd w:id="18262"/>
      <w:r>
        <w:rPr>
          <w:rFonts w:hint="cs"/>
          <w:rtl/>
        </w:rPr>
        <w:t xml:space="preserve">לשולחן </w:t>
      </w:r>
      <w:bookmarkStart w:id="18263" w:name="_ETM_Q28_637300"/>
      <w:bookmarkEnd w:id="18263"/>
      <w:r>
        <w:rPr>
          <w:rFonts w:hint="cs"/>
          <w:rtl/>
        </w:rPr>
        <w:t>האחווה.</w:t>
      </w:r>
      <w:bookmarkStart w:id="18264" w:name="_ETM_Q28_638520"/>
      <w:bookmarkStart w:id="18265" w:name="_ETM_Q28_638939"/>
      <w:bookmarkStart w:id="18266" w:name="_ETM_Q28_639007"/>
      <w:bookmarkStart w:id="18267" w:name="_ETM_Q28_639069"/>
      <w:bookmarkStart w:id="18268" w:name="_ETM_Q28_639121"/>
      <w:bookmarkEnd w:id="18264"/>
      <w:bookmarkEnd w:id="18265"/>
      <w:bookmarkEnd w:id="18266"/>
      <w:bookmarkEnd w:id="18267"/>
      <w:bookmarkEnd w:id="18268"/>
      <w:r>
        <w:rPr>
          <w:rFonts w:hint="cs"/>
          <w:rtl/>
        </w:rPr>
        <w:t xml:space="preserve"> יש </w:t>
      </w:r>
      <w:bookmarkStart w:id="18269" w:name="_ETM_Q28_638790"/>
      <w:bookmarkEnd w:id="18269"/>
      <w:r>
        <w:rPr>
          <w:rFonts w:hint="cs"/>
          <w:rtl/>
        </w:rPr>
        <w:t xml:space="preserve">לי </w:t>
      </w:r>
      <w:bookmarkStart w:id="18270" w:name="_ETM_Q28_638880"/>
      <w:bookmarkEnd w:id="18270"/>
      <w:r>
        <w:rPr>
          <w:rFonts w:hint="cs"/>
          <w:rtl/>
        </w:rPr>
        <w:t xml:space="preserve">חלום </w:t>
      </w:r>
      <w:bookmarkStart w:id="18271" w:name="_ETM_Q28_639210"/>
      <w:bookmarkEnd w:id="18271"/>
      <w:r>
        <w:rPr>
          <w:rFonts w:hint="cs"/>
          <w:rtl/>
        </w:rPr>
        <w:t xml:space="preserve">שיום </w:t>
      </w:r>
      <w:bookmarkStart w:id="18272" w:name="_ETM_Q28_639480"/>
      <w:bookmarkStart w:id="18273" w:name="_ETM_Q28_639750"/>
      <w:bookmarkEnd w:id="18272"/>
      <w:bookmarkEnd w:id="18273"/>
      <w:r>
        <w:rPr>
          <w:rFonts w:hint="cs"/>
          <w:rtl/>
        </w:rPr>
        <w:t>אחד</w:t>
      </w:r>
      <w:bookmarkStart w:id="18274" w:name="_ETM_Q28_635152"/>
      <w:bookmarkEnd w:id="18274"/>
      <w:r>
        <w:rPr>
          <w:rFonts w:hint="cs"/>
          <w:rtl/>
        </w:rPr>
        <w:t xml:space="preserve"> הארץ </w:t>
      </w:r>
      <w:bookmarkStart w:id="18275" w:name="_ETM_Q28_640170"/>
      <w:bookmarkEnd w:id="18275"/>
      <w:r>
        <w:rPr>
          <w:rFonts w:hint="cs"/>
          <w:rtl/>
        </w:rPr>
        <w:t>הזו,</w:t>
      </w:r>
      <w:bookmarkStart w:id="18276" w:name="_ETM_Q28_637769"/>
      <w:bookmarkEnd w:id="18276"/>
      <w:r>
        <w:rPr>
          <w:rFonts w:hint="cs"/>
          <w:rtl/>
        </w:rPr>
        <w:t xml:space="preserve"> </w:t>
      </w:r>
      <w:bookmarkStart w:id="18277" w:name="_ETM_Q28_640890"/>
      <w:bookmarkEnd w:id="18277"/>
      <w:r>
        <w:rPr>
          <w:rFonts w:hint="cs"/>
          <w:rtl/>
        </w:rPr>
        <w:t>המזיעה</w:t>
      </w:r>
      <w:bookmarkStart w:id="18278" w:name="_ETM_Q28_639351"/>
      <w:bookmarkEnd w:id="18278"/>
      <w:r>
        <w:rPr>
          <w:rFonts w:hint="cs"/>
          <w:rtl/>
        </w:rPr>
        <w:t xml:space="preserve"> </w:t>
      </w:r>
      <w:bookmarkStart w:id="18279" w:name="_ETM_Q28_641490"/>
      <w:bookmarkEnd w:id="18279"/>
      <w:r>
        <w:rPr>
          <w:rFonts w:hint="cs"/>
          <w:rtl/>
        </w:rPr>
        <w:t xml:space="preserve">תחת </w:t>
      </w:r>
      <w:bookmarkStart w:id="18280" w:name="_ETM_Q28_641790"/>
      <w:bookmarkEnd w:id="18280"/>
      <w:r>
        <w:rPr>
          <w:rFonts w:hint="cs"/>
          <w:rtl/>
        </w:rPr>
        <w:t xml:space="preserve">חום </w:t>
      </w:r>
      <w:bookmarkStart w:id="18281" w:name="_ETM_Q28_642150"/>
      <w:bookmarkEnd w:id="18281"/>
      <w:r>
        <w:rPr>
          <w:rFonts w:hint="cs"/>
          <w:rtl/>
        </w:rPr>
        <w:t>האי</w:t>
      </w:r>
      <w:bookmarkStart w:id="18282" w:name="_ETM_Q28_642270"/>
      <w:bookmarkEnd w:id="18282"/>
      <w:r>
        <w:rPr>
          <w:rFonts w:hint="cs"/>
          <w:rtl/>
        </w:rPr>
        <w:t xml:space="preserve">-צדק </w:t>
      </w:r>
      <w:bookmarkStart w:id="18283" w:name="_ETM_Q28_642750"/>
      <w:bookmarkEnd w:id="18283"/>
      <w:r>
        <w:rPr>
          <w:rFonts w:hint="cs"/>
          <w:rtl/>
        </w:rPr>
        <w:t xml:space="preserve">והדיכוי, </w:t>
      </w:r>
      <w:bookmarkStart w:id="18284" w:name="_ETM_Q28_643980"/>
      <w:bookmarkEnd w:id="18284"/>
      <w:r>
        <w:rPr>
          <w:rFonts w:hint="cs"/>
          <w:rtl/>
        </w:rPr>
        <w:t xml:space="preserve">תהפוך </w:t>
      </w:r>
      <w:bookmarkStart w:id="18285" w:name="_ETM_Q28_644460"/>
      <w:bookmarkEnd w:id="18285"/>
      <w:r>
        <w:rPr>
          <w:rFonts w:hint="cs"/>
          <w:rtl/>
        </w:rPr>
        <w:t xml:space="preserve">לנווה </w:t>
      </w:r>
      <w:bookmarkStart w:id="18286" w:name="_ETM_Q28_644850"/>
      <w:bookmarkEnd w:id="18286"/>
      <w:r>
        <w:rPr>
          <w:rFonts w:hint="cs"/>
          <w:rtl/>
        </w:rPr>
        <w:t xml:space="preserve">מדבר </w:t>
      </w:r>
      <w:bookmarkStart w:id="18287" w:name="_ETM_Q28_645210"/>
      <w:bookmarkEnd w:id="18287"/>
      <w:r>
        <w:rPr>
          <w:rFonts w:hint="cs"/>
          <w:rtl/>
        </w:rPr>
        <w:t xml:space="preserve">של </w:t>
      </w:r>
      <w:bookmarkStart w:id="18288" w:name="_ETM_Q28_645390"/>
      <w:bookmarkEnd w:id="18288"/>
      <w:r>
        <w:rPr>
          <w:rFonts w:hint="cs"/>
          <w:rtl/>
        </w:rPr>
        <w:t xml:space="preserve">חופש </w:t>
      </w:r>
      <w:bookmarkStart w:id="18289" w:name="_ETM_Q28_645750"/>
      <w:bookmarkEnd w:id="18289"/>
      <w:r>
        <w:rPr>
          <w:rFonts w:hint="cs"/>
          <w:rtl/>
        </w:rPr>
        <w:t xml:space="preserve">ושל </w:t>
      </w:r>
      <w:bookmarkStart w:id="18290" w:name="_ETM_Q28_646050"/>
      <w:bookmarkEnd w:id="18290"/>
      <w:r>
        <w:rPr>
          <w:rFonts w:hint="cs"/>
          <w:rtl/>
        </w:rPr>
        <w:t>צדק.</w:t>
      </w:r>
      <w:bookmarkStart w:id="18291" w:name="_ETM_Q28_646593"/>
      <w:bookmarkEnd w:id="18291"/>
      <w:r>
        <w:rPr>
          <w:rFonts w:hint="cs"/>
          <w:rtl/>
        </w:rPr>
        <w:t xml:space="preserve"> </w:t>
      </w:r>
      <w:bookmarkStart w:id="18292" w:name="_ETM_Q28_647239"/>
      <w:bookmarkEnd w:id="18292"/>
      <w:r>
        <w:rPr>
          <w:rFonts w:hint="cs"/>
          <w:rtl/>
        </w:rPr>
        <w:t xml:space="preserve">יש </w:t>
      </w:r>
      <w:bookmarkStart w:id="18293" w:name="_ETM_Q28_647510"/>
      <w:bookmarkEnd w:id="18293"/>
      <w:r>
        <w:rPr>
          <w:rFonts w:hint="cs"/>
          <w:rtl/>
        </w:rPr>
        <w:t xml:space="preserve">לי </w:t>
      </w:r>
      <w:bookmarkStart w:id="18294" w:name="_ETM_Q28_647599"/>
      <w:bookmarkEnd w:id="18294"/>
      <w:r>
        <w:rPr>
          <w:rFonts w:hint="cs"/>
          <w:rtl/>
        </w:rPr>
        <w:t xml:space="preserve">חלום </w:t>
      </w:r>
      <w:bookmarkStart w:id="18295" w:name="_ETM_Q28_647959"/>
      <w:bookmarkEnd w:id="18295"/>
      <w:r>
        <w:rPr>
          <w:rFonts w:hint="cs"/>
          <w:rtl/>
        </w:rPr>
        <w:t xml:space="preserve">שילדי </w:t>
      </w:r>
      <w:bookmarkStart w:id="18296" w:name="_ETM_Q28_648530"/>
      <w:bookmarkEnd w:id="18296"/>
      <w:r>
        <w:rPr>
          <w:rFonts w:hint="cs"/>
          <w:rtl/>
        </w:rPr>
        <w:t xml:space="preserve">כולנו </w:t>
      </w:r>
      <w:bookmarkStart w:id="18297" w:name="_ETM_Q28_649010"/>
      <w:bookmarkEnd w:id="18297"/>
      <w:r>
        <w:rPr>
          <w:rFonts w:hint="cs"/>
          <w:rtl/>
        </w:rPr>
        <w:t xml:space="preserve">יחיו </w:t>
      </w:r>
      <w:bookmarkStart w:id="18298" w:name="_ETM_Q28_649340"/>
      <w:bookmarkEnd w:id="18298"/>
      <w:r>
        <w:rPr>
          <w:rFonts w:hint="cs"/>
          <w:rtl/>
        </w:rPr>
        <w:t xml:space="preserve">יום </w:t>
      </w:r>
      <w:bookmarkStart w:id="18299" w:name="_ETM_Q28_649519"/>
      <w:bookmarkEnd w:id="18299"/>
      <w:r>
        <w:rPr>
          <w:rFonts w:hint="cs"/>
          <w:rtl/>
        </w:rPr>
        <w:t xml:space="preserve">אחד </w:t>
      </w:r>
      <w:bookmarkStart w:id="18300" w:name="_ETM_Q28_649790"/>
      <w:bookmarkEnd w:id="18300"/>
      <w:r>
        <w:rPr>
          <w:rFonts w:hint="cs"/>
          <w:rtl/>
        </w:rPr>
        <w:t>בארץ</w:t>
      </w:r>
      <w:bookmarkStart w:id="18301" w:name="_ETM_Q28_650629"/>
      <w:bookmarkStart w:id="18302" w:name="_ETM_Q28_648238"/>
      <w:bookmarkEnd w:id="18301"/>
      <w:bookmarkEnd w:id="18302"/>
      <w:r>
        <w:rPr>
          <w:rFonts w:hint="cs"/>
          <w:rtl/>
        </w:rPr>
        <w:t xml:space="preserve"> </w:t>
      </w:r>
      <w:bookmarkStart w:id="18303" w:name="_ETM_Q28_651260"/>
      <w:bookmarkEnd w:id="18303"/>
      <w:r>
        <w:rPr>
          <w:rFonts w:hint="cs"/>
          <w:rtl/>
        </w:rPr>
        <w:t xml:space="preserve">שבה </w:t>
      </w:r>
      <w:bookmarkStart w:id="18304" w:name="_ETM_Q28_651439"/>
      <w:bookmarkEnd w:id="18304"/>
      <w:r>
        <w:rPr>
          <w:rFonts w:hint="cs"/>
          <w:rtl/>
        </w:rPr>
        <w:t xml:space="preserve">הם </w:t>
      </w:r>
      <w:bookmarkStart w:id="18305" w:name="_ETM_Q28_651560"/>
      <w:bookmarkEnd w:id="18305"/>
      <w:r>
        <w:rPr>
          <w:rFonts w:hint="cs"/>
          <w:rtl/>
        </w:rPr>
        <w:t xml:space="preserve">לא </w:t>
      </w:r>
      <w:bookmarkStart w:id="18306" w:name="_ETM_Q28_651709"/>
      <w:bookmarkEnd w:id="18306"/>
      <w:r>
        <w:rPr>
          <w:rFonts w:hint="cs"/>
          <w:rtl/>
        </w:rPr>
        <w:t xml:space="preserve">יישפטו </w:t>
      </w:r>
      <w:bookmarkStart w:id="18307" w:name="_ETM_Q28_652709"/>
      <w:bookmarkEnd w:id="18307"/>
      <w:r>
        <w:rPr>
          <w:rFonts w:hint="cs"/>
          <w:rtl/>
        </w:rPr>
        <w:t xml:space="preserve">על </w:t>
      </w:r>
      <w:bookmarkStart w:id="18308" w:name="_ETM_Q28_653010"/>
      <w:bookmarkEnd w:id="18308"/>
      <w:r>
        <w:rPr>
          <w:rFonts w:hint="cs"/>
          <w:rtl/>
        </w:rPr>
        <w:t xml:space="preserve">פי </w:t>
      </w:r>
      <w:bookmarkStart w:id="18309" w:name="_ETM_Q28_653220"/>
      <w:bookmarkEnd w:id="18309"/>
      <w:r>
        <w:rPr>
          <w:rFonts w:hint="cs"/>
          <w:rtl/>
        </w:rPr>
        <w:t xml:space="preserve">מוצאם אלא </w:t>
      </w:r>
      <w:bookmarkStart w:id="18310" w:name="_ETM_Q28_653700"/>
      <w:bookmarkStart w:id="18311" w:name="_ETM_Q28_653970"/>
      <w:bookmarkStart w:id="18312" w:name="_ETM_Q28_651179"/>
      <w:bookmarkEnd w:id="18310"/>
      <w:bookmarkEnd w:id="18311"/>
      <w:bookmarkEnd w:id="18312"/>
      <w:r>
        <w:rPr>
          <w:rFonts w:hint="cs"/>
          <w:rtl/>
        </w:rPr>
        <w:t xml:space="preserve">על </w:t>
      </w:r>
      <w:bookmarkStart w:id="18313" w:name="_ETM_Q28_654030"/>
      <w:bookmarkEnd w:id="18313"/>
      <w:r>
        <w:rPr>
          <w:rFonts w:hint="cs"/>
          <w:rtl/>
        </w:rPr>
        <w:t xml:space="preserve">פי </w:t>
      </w:r>
      <w:bookmarkStart w:id="18314" w:name="_ETM_Q28_654209"/>
      <w:bookmarkEnd w:id="18314"/>
      <w:r>
        <w:rPr>
          <w:rFonts w:hint="cs"/>
          <w:rtl/>
        </w:rPr>
        <w:t xml:space="preserve">טיב </w:t>
      </w:r>
      <w:bookmarkStart w:id="18315" w:name="_ETM_Q28_654450"/>
      <w:bookmarkEnd w:id="18315"/>
      <w:r>
        <w:rPr>
          <w:rFonts w:hint="cs"/>
          <w:rtl/>
        </w:rPr>
        <w:t xml:space="preserve">אישיותם. </w:t>
      </w:r>
      <w:bookmarkStart w:id="18316" w:name="_ETM_Q28_655830"/>
      <w:bookmarkEnd w:id="18316"/>
      <w:r>
        <w:rPr>
          <w:rFonts w:hint="cs"/>
          <w:rtl/>
        </w:rPr>
        <w:t xml:space="preserve">יש </w:t>
      </w:r>
      <w:bookmarkStart w:id="18317" w:name="_ETM_Q28_656099"/>
      <w:bookmarkEnd w:id="18317"/>
      <w:r>
        <w:rPr>
          <w:rFonts w:hint="cs"/>
          <w:rtl/>
        </w:rPr>
        <w:t xml:space="preserve">לי </w:t>
      </w:r>
      <w:bookmarkStart w:id="18318" w:name="_ETM_Q28_656190"/>
      <w:bookmarkEnd w:id="18318"/>
      <w:r>
        <w:rPr>
          <w:rFonts w:hint="cs"/>
          <w:rtl/>
        </w:rPr>
        <w:t xml:space="preserve">חלום </w:t>
      </w:r>
      <w:bookmarkStart w:id="18319" w:name="_ETM_Q28_656550"/>
      <w:bookmarkEnd w:id="18319"/>
      <w:r>
        <w:rPr>
          <w:rFonts w:hint="cs"/>
          <w:rtl/>
        </w:rPr>
        <w:t xml:space="preserve">שבו </w:t>
      </w:r>
      <w:bookmarkStart w:id="18320" w:name="_ETM_Q28_656849"/>
      <w:bookmarkEnd w:id="18320"/>
      <w:r>
        <w:rPr>
          <w:rFonts w:hint="cs"/>
          <w:rtl/>
        </w:rPr>
        <w:t xml:space="preserve">חקיקת </w:t>
      </w:r>
      <w:bookmarkStart w:id="18321" w:name="_ETM_Q28_657330"/>
      <w:bookmarkEnd w:id="18321"/>
      <w:r>
        <w:rPr>
          <w:rFonts w:hint="cs"/>
          <w:rtl/>
        </w:rPr>
        <w:t xml:space="preserve">השחיתות </w:t>
      </w:r>
      <w:bookmarkStart w:id="18322" w:name="_ETM_Q28_657870"/>
      <w:bookmarkEnd w:id="18322"/>
      <w:r>
        <w:rPr>
          <w:rFonts w:hint="cs"/>
          <w:rtl/>
        </w:rPr>
        <w:t xml:space="preserve">המוסרית, </w:t>
      </w:r>
      <w:bookmarkStart w:id="18323" w:name="_ETM_Q28_659250"/>
      <w:bookmarkStart w:id="18324" w:name="_ETM_Q28_659730"/>
      <w:bookmarkEnd w:id="18323"/>
      <w:bookmarkEnd w:id="18324"/>
      <w:r>
        <w:rPr>
          <w:rFonts w:hint="cs"/>
          <w:rtl/>
        </w:rPr>
        <w:t>האנטי-</w:t>
      </w:r>
      <w:bookmarkStart w:id="18325" w:name="_ETM_Q28_655776"/>
      <w:bookmarkEnd w:id="18325"/>
      <w:r>
        <w:rPr>
          <w:rFonts w:hint="cs"/>
          <w:rtl/>
        </w:rPr>
        <w:t xml:space="preserve">דמוקרטית </w:t>
      </w:r>
      <w:bookmarkStart w:id="18326" w:name="_ETM_Q28_660330"/>
      <w:bookmarkEnd w:id="18326"/>
      <w:r>
        <w:rPr>
          <w:rFonts w:hint="cs"/>
          <w:rtl/>
        </w:rPr>
        <w:t xml:space="preserve">והמנוגדת </w:t>
      </w:r>
      <w:bookmarkStart w:id="18327" w:name="_ETM_Q28_661080"/>
      <w:bookmarkEnd w:id="18327"/>
      <w:r>
        <w:rPr>
          <w:rFonts w:hint="cs"/>
          <w:rtl/>
        </w:rPr>
        <w:t xml:space="preserve">לסוג </w:t>
      </w:r>
      <w:bookmarkStart w:id="18328" w:name="_ETM_Q28_661440"/>
      <w:bookmarkEnd w:id="18328"/>
      <w:r>
        <w:rPr>
          <w:rFonts w:hint="cs"/>
          <w:rtl/>
        </w:rPr>
        <w:t xml:space="preserve">היהדות </w:t>
      </w:r>
      <w:bookmarkStart w:id="18329" w:name="_ETM_Q28_661920"/>
      <w:bookmarkEnd w:id="18329"/>
      <w:r>
        <w:rPr>
          <w:rFonts w:hint="cs"/>
          <w:rtl/>
        </w:rPr>
        <w:t>שמקד</w:t>
      </w:r>
      <w:bookmarkStart w:id="18330" w:name="_ETM_Q28_662430"/>
      <w:bookmarkEnd w:id="18330"/>
      <w:r>
        <w:rPr>
          <w:rFonts w:hint="cs"/>
          <w:rtl/>
        </w:rPr>
        <w:t xml:space="preserve">מת </w:t>
      </w:r>
      <w:bookmarkStart w:id="18331" w:name="_ETM_Q28_662550"/>
      <w:bookmarkEnd w:id="18331"/>
      <w:r>
        <w:rPr>
          <w:rFonts w:hint="cs"/>
          <w:rtl/>
        </w:rPr>
        <w:t>הקואליציה</w:t>
      </w:r>
      <w:bookmarkStart w:id="18332" w:name="_ETM_Q28_660164"/>
      <w:bookmarkEnd w:id="18332"/>
      <w:r>
        <w:rPr>
          <w:rFonts w:hint="cs"/>
          <w:rtl/>
        </w:rPr>
        <w:t xml:space="preserve"> </w:t>
      </w:r>
      <w:bookmarkStart w:id="18333" w:name="_ETM_Q28_663780"/>
      <w:bookmarkEnd w:id="18333"/>
      <w:r>
        <w:rPr>
          <w:rFonts w:hint="cs"/>
          <w:rtl/>
        </w:rPr>
        <w:t xml:space="preserve">תימחה </w:t>
      </w:r>
      <w:bookmarkStart w:id="18334" w:name="_ETM_Q28_664319"/>
      <w:bookmarkEnd w:id="18334"/>
      <w:r>
        <w:rPr>
          <w:rFonts w:hint="cs"/>
          <w:rtl/>
        </w:rPr>
        <w:t xml:space="preserve">מספר </w:t>
      </w:r>
      <w:bookmarkStart w:id="18335" w:name="_ETM_Q28_664950"/>
      <w:bookmarkEnd w:id="18335"/>
      <w:r>
        <w:rPr>
          <w:rFonts w:hint="cs"/>
          <w:rtl/>
        </w:rPr>
        <w:t>החוקים.</w:t>
      </w:r>
      <w:bookmarkStart w:id="18336" w:name="_ETM_Q28_662386"/>
      <w:bookmarkEnd w:id="18336"/>
      <w:r>
        <w:rPr>
          <w:rFonts w:hint="cs"/>
          <w:rtl/>
        </w:rPr>
        <w:t xml:space="preserve"> </w:t>
      </w:r>
      <w:bookmarkStart w:id="18337" w:name="_ETM_Q28_666150"/>
      <w:bookmarkEnd w:id="18337"/>
      <w:r>
        <w:rPr>
          <w:rFonts w:hint="cs"/>
          <w:rtl/>
        </w:rPr>
        <w:t>י</w:t>
      </w:r>
      <w:bookmarkStart w:id="18338" w:name="_ETM_Q28_664885"/>
      <w:bookmarkEnd w:id="18338"/>
      <w:r>
        <w:rPr>
          <w:rFonts w:hint="cs"/>
          <w:rtl/>
        </w:rPr>
        <w:t xml:space="preserve">ש </w:t>
      </w:r>
      <w:bookmarkStart w:id="18339" w:name="_ETM_Q28_666420"/>
      <w:bookmarkEnd w:id="18339"/>
      <w:r>
        <w:rPr>
          <w:rFonts w:hint="cs"/>
          <w:rtl/>
        </w:rPr>
        <w:t xml:space="preserve">לי </w:t>
      </w:r>
      <w:bookmarkStart w:id="18340" w:name="_ETM_Q28_666480"/>
      <w:bookmarkEnd w:id="18340"/>
      <w:r>
        <w:rPr>
          <w:rFonts w:hint="cs"/>
          <w:rtl/>
        </w:rPr>
        <w:t xml:space="preserve">חלום </w:t>
      </w:r>
      <w:bookmarkStart w:id="18341" w:name="_ETM_Q28_666870"/>
      <w:bookmarkEnd w:id="18341"/>
      <w:r>
        <w:rPr>
          <w:rFonts w:hint="cs"/>
          <w:rtl/>
        </w:rPr>
        <w:t xml:space="preserve">שלאומנות </w:t>
      </w:r>
      <w:bookmarkStart w:id="18342" w:name="_ETM_Q28_667499"/>
      <w:bookmarkEnd w:id="18342"/>
      <w:r>
        <w:rPr>
          <w:rFonts w:hint="cs"/>
          <w:rtl/>
        </w:rPr>
        <w:t xml:space="preserve">הדם </w:t>
      </w:r>
      <w:bookmarkStart w:id="18343" w:name="_ETM_Q28_667829"/>
      <w:bookmarkEnd w:id="18343"/>
      <w:r>
        <w:rPr>
          <w:rFonts w:hint="cs"/>
          <w:rtl/>
        </w:rPr>
        <w:t xml:space="preserve">והאדמה </w:t>
      </w:r>
      <w:bookmarkStart w:id="18344" w:name="_ETM_Q28_668819"/>
      <w:bookmarkEnd w:id="18344"/>
      <w:r>
        <w:rPr>
          <w:rFonts w:hint="cs"/>
          <w:rtl/>
        </w:rPr>
        <w:t xml:space="preserve">תפנה </w:t>
      </w:r>
      <w:bookmarkStart w:id="18345" w:name="_ETM_Q28_669269"/>
      <w:bookmarkEnd w:id="18345"/>
      <w:r>
        <w:rPr>
          <w:rFonts w:hint="cs"/>
          <w:rtl/>
        </w:rPr>
        <w:t xml:space="preserve">את </w:t>
      </w:r>
      <w:bookmarkStart w:id="18346" w:name="_ETM_Q28_669329"/>
      <w:bookmarkEnd w:id="18346"/>
      <w:r>
        <w:rPr>
          <w:rFonts w:hint="cs"/>
          <w:rtl/>
        </w:rPr>
        <w:t xml:space="preserve">מקומה </w:t>
      </w:r>
      <w:bookmarkStart w:id="18347" w:name="_ETM_Q28_669749"/>
      <w:bookmarkEnd w:id="18347"/>
      <w:r>
        <w:rPr>
          <w:rFonts w:hint="cs"/>
          <w:rtl/>
        </w:rPr>
        <w:t xml:space="preserve">לחברה </w:t>
      </w:r>
      <w:bookmarkStart w:id="18348" w:name="_ETM_Q28_670200"/>
      <w:bookmarkEnd w:id="18348"/>
      <w:r>
        <w:rPr>
          <w:rFonts w:hint="cs"/>
          <w:rtl/>
        </w:rPr>
        <w:t xml:space="preserve">שוויונית </w:t>
      </w:r>
      <w:bookmarkStart w:id="18349" w:name="_ETM_Q28_670769"/>
      <w:bookmarkEnd w:id="18349"/>
      <w:r>
        <w:rPr>
          <w:rFonts w:hint="cs"/>
          <w:rtl/>
        </w:rPr>
        <w:t xml:space="preserve">וצודקת. </w:t>
      </w:r>
      <w:bookmarkStart w:id="18350" w:name="_ETM_Q28_672160"/>
      <w:bookmarkEnd w:id="18350"/>
      <w:r>
        <w:rPr>
          <w:rFonts w:hint="cs"/>
          <w:rtl/>
        </w:rPr>
        <w:t xml:space="preserve">אבל </w:t>
      </w:r>
      <w:bookmarkStart w:id="18351" w:name="_ETM_Q28_672460"/>
      <w:bookmarkEnd w:id="18351"/>
      <w:r>
        <w:rPr>
          <w:rFonts w:hint="cs"/>
          <w:rtl/>
        </w:rPr>
        <w:t xml:space="preserve">כדי </w:t>
      </w:r>
      <w:bookmarkStart w:id="18352" w:name="_ETM_Q28_672790"/>
      <w:bookmarkEnd w:id="18352"/>
      <w:r>
        <w:rPr>
          <w:rFonts w:hint="cs"/>
          <w:rtl/>
        </w:rPr>
        <w:t xml:space="preserve">להגשים </w:t>
      </w:r>
      <w:bookmarkStart w:id="18353" w:name="_ETM_Q28_673270"/>
      <w:bookmarkEnd w:id="18353"/>
      <w:r>
        <w:rPr>
          <w:rFonts w:hint="cs"/>
          <w:rtl/>
        </w:rPr>
        <w:t xml:space="preserve">את </w:t>
      </w:r>
      <w:bookmarkStart w:id="18354" w:name="_ETM_Q28_673390"/>
      <w:bookmarkEnd w:id="18354"/>
      <w:r>
        <w:rPr>
          <w:rFonts w:hint="cs"/>
          <w:rtl/>
        </w:rPr>
        <w:t xml:space="preserve">החלום </w:t>
      </w:r>
      <w:bookmarkStart w:id="18355" w:name="_ETM_Q28_673750"/>
      <w:bookmarkEnd w:id="18355"/>
      <w:r>
        <w:rPr>
          <w:rFonts w:hint="cs"/>
          <w:rtl/>
        </w:rPr>
        <w:t xml:space="preserve">הזה </w:t>
      </w:r>
      <w:bookmarkStart w:id="18356" w:name="_ETM_Q28_673930"/>
      <w:bookmarkEnd w:id="18356"/>
      <w:r>
        <w:rPr>
          <w:rFonts w:hint="cs"/>
          <w:rtl/>
        </w:rPr>
        <w:t xml:space="preserve">צריכים </w:t>
      </w:r>
      <w:bookmarkStart w:id="18357" w:name="_ETM_Q28_674290"/>
      <w:bookmarkEnd w:id="18357"/>
      <w:r>
        <w:rPr>
          <w:rFonts w:hint="cs"/>
          <w:rtl/>
        </w:rPr>
        <w:t>להיאבק.</w:t>
      </w:r>
      <w:bookmarkStart w:id="18358" w:name="_ETM_Q28_675700"/>
      <w:bookmarkStart w:id="18359" w:name="_ETM_Q28_676124"/>
      <w:bookmarkStart w:id="18360" w:name="_ETM_Q28_676179"/>
      <w:bookmarkEnd w:id="18358"/>
      <w:bookmarkEnd w:id="18359"/>
      <w:bookmarkEnd w:id="18360"/>
      <w:r>
        <w:rPr>
          <w:rFonts w:hint="cs"/>
          <w:rtl/>
        </w:rPr>
        <w:t xml:space="preserve"> </w:t>
      </w:r>
      <w:bookmarkStart w:id="18361" w:name="_ETM_Q28_676266"/>
      <w:bookmarkStart w:id="18362" w:name="_ETM_Q28_676323"/>
      <w:bookmarkStart w:id="18363" w:name="_ETM_Q28_681500"/>
      <w:bookmarkEnd w:id="18361"/>
      <w:bookmarkEnd w:id="18362"/>
      <w:bookmarkEnd w:id="18363"/>
      <w:r>
        <w:rPr>
          <w:rFonts w:hint="cs"/>
          <w:rtl/>
        </w:rPr>
        <w:t xml:space="preserve">שחרור, </w:t>
      </w:r>
      <w:bookmarkStart w:id="18364" w:name="_ETM_Q28_676239"/>
      <w:bookmarkEnd w:id="18364"/>
      <w:r>
        <w:rPr>
          <w:rFonts w:hint="cs"/>
          <w:rtl/>
        </w:rPr>
        <w:t xml:space="preserve">שוויון </w:t>
      </w:r>
      <w:bookmarkStart w:id="18365" w:name="_ETM_Q28_676660"/>
      <w:bookmarkEnd w:id="18365"/>
      <w:r>
        <w:rPr>
          <w:rFonts w:hint="cs"/>
          <w:rtl/>
        </w:rPr>
        <w:t xml:space="preserve">וצדק </w:t>
      </w:r>
      <w:bookmarkStart w:id="18366" w:name="_ETM_Q28_677110"/>
      <w:bookmarkEnd w:id="18366"/>
      <w:r>
        <w:rPr>
          <w:rFonts w:hint="cs"/>
          <w:rtl/>
        </w:rPr>
        <w:t xml:space="preserve">מעולם </w:t>
      </w:r>
      <w:bookmarkStart w:id="18367" w:name="_ETM_Q28_677560"/>
      <w:bookmarkEnd w:id="18367"/>
      <w:r>
        <w:rPr>
          <w:rFonts w:hint="cs"/>
          <w:rtl/>
        </w:rPr>
        <w:t xml:space="preserve">לא </w:t>
      </w:r>
      <w:bookmarkStart w:id="18368" w:name="_ETM_Q28_677680"/>
      <w:bookmarkEnd w:id="18368"/>
      <w:r>
        <w:rPr>
          <w:rFonts w:hint="cs"/>
          <w:rtl/>
        </w:rPr>
        <w:t xml:space="preserve">הגיעו </w:t>
      </w:r>
      <w:bookmarkStart w:id="18369" w:name="_ETM_Q28_678630"/>
      <w:bookmarkEnd w:id="18369"/>
      <w:r>
        <w:rPr>
          <w:rFonts w:hint="cs"/>
          <w:rtl/>
        </w:rPr>
        <w:t xml:space="preserve">מטוב </w:t>
      </w:r>
      <w:bookmarkStart w:id="18370" w:name="_ETM_Q28_679080"/>
      <w:bookmarkEnd w:id="18370"/>
      <w:r>
        <w:rPr>
          <w:rFonts w:hint="cs"/>
          <w:rtl/>
        </w:rPr>
        <w:t>ל</w:t>
      </w:r>
      <w:bookmarkStart w:id="18371" w:name="_ETM_Q28_676106"/>
      <w:bookmarkEnd w:id="18371"/>
      <w:r>
        <w:rPr>
          <w:rFonts w:hint="cs"/>
          <w:rtl/>
        </w:rPr>
        <w:t xml:space="preserve">יבם </w:t>
      </w:r>
      <w:bookmarkStart w:id="18372" w:name="_ETM_Q28_677040"/>
      <w:bookmarkEnd w:id="18372"/>
      <w:r>
        <w:rPr>
          <w:rFonts w:hint="cs"/>
          <w:rtl/>
        </w:rPr>
        <w:t>של ה</w:t>
      </w:r>
      <w:bookmarkStart w:id="18373" w:name="_ETM_Q28_679440"/>
      <w:bookmarkStart w:id="18374" w:name="_ETM_Q28_679650"/>
      <w:bookmarkEnd w:id="18373"/>
      <w:bookmarkEnd w:id="18374"/>
      <w:r>
        <w:rPr>
          <w:rFonts w:hint="cs"/>
          <w:rtl/>
        </w:rPr>
        <w:t xml:space="preserve">מנצלים </w:t>
      </w:r>
      <w:bookmarkStart w:id="18375" w:name="_ETM_Q28_680190"/>
      <w:bookmarkEnd w:id="18375"/>
      <w:r>
        <w:rPr>
          <w:rFonts w:hint="cs"/>
          <w:rtl/>
        </w:rPr>
        <w:t>ו</w:t>
      </w:r>
      <w:bookmarkStart w:id="18376" w:name="_ETM_Q28_676372"/>
      <w:bookmarkEnd w:id="18376"/>
      <w:r>
        <w:rPr>
          <w:rFonts w:hint="cs"/>
          <w:rtl/>
        </w:rPr>
        <w:t xml:space="preserve">המדכאים, </w:t>
      </w:r>
      <w:bookmarkStart w:id="18377" w:name="_ETM_Q28_681660"/>
      <w:bookmarkEnd w:id="18377"/>
      <w:r>
        <w:rPr>
          <w:rFonts w:hint="cs"/>
          <w:rtl/>
        </w:rPr>
        <w:t xml:space="preserve">אלא </w:t>
      </w:r>
      <w:bookmarkStart w:id="18378" w:name="_ETM_Q28_681990"/>
      <w:bookmarkEnd w:id="18378"/>
      <w:r>
        <w:rPr>
          <w:rFonts w:hint="cs"/>
          <w:rtl/>
        </w:rPr>
        <w:t xml:space="preserve">מתוך </w:t>
      </w:r>
      <w:bookmarkStart w:id="18379" w:name="_ETM_Q28_682380"/>
      <w:bookmarkEnd w:id="18379"/>
      <w:r>
        <w:rPr>
          <w:rFonts w:hint="cs"/>
          <w:rtl/>
        </w:rPr>
        <w:t xml:space="preserve">מאבק </w:t>
      </w:r>
      <w:bookmarkStart w:id="18380" w:name="_ETM_Q28_682860"/>
      <w:bookmarkEnd w:id="18380"/>
      <w:r>
        <w:rPr>
          <w:rFonts w:hint="cs"/>
          <w:rtl/>
        </w:rPr>
        <w:t>נגדם.</w:t>
      </w:r>
      <w:bookmarkStart w:id="18381" w:name="_ETM_Q28_684599"/>
      <w:bookmarkEnd w:id="18381"/>
    </w:p>
    <w:p w:rsidR="00337201" w:rsidRDefault="00337201" w:rsidP="00337201">
      <w:pPr>
        <w:rPr>
          <w:rtl/>
        </w:rPr>
      </w:pPr>
    </w:p>
    <w:p w:rsidR="00337201" w:rsidRDefault="00337201" w:rsidP="00337201">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337201" w:rsidRDefault="00337201" w:rsidP="00337201">
      <w:pPr>
        <w:rPr>
          <w:rtl/>
          <w:lang w:eastAsia="he-IL"/>
        </w:rPr>
      </w:pPr>
    </w:p>
    <w:p w:rsidR="00337201" w:rsidRDefault="00337201" w:rsidP="00337201">
      <w:pPr>
        <w:rPr>
          <w:rtl/>
          <w:lang w:eastAsia="he-IL"/>
        </w:rPr>
      </w:pPr>
      <w:bookmarkStart w:id="18382" w:name="_ETM_Q28_680448"/>
      <w:bookmarkEnd w:id="18382"/>
      <w:r>
        <w:rPr>
          <w:rFonts w:hint="cs"/>
          <w:rtl/>
          <w:lang w:eastAsia="he-IL"/>
        </w:rPr>
        <w:t>אבקש לסיים.</w:t>
      </w:r>
    </w:p>
    <w:p w:rsidR="00337201" w:rsidRDefault="00337201" w:rsidP="00337201">
      <w:pPr>
        <w:rPr>
          <w:rtl/>
          <w:lang w:eastAsia="he-IL"/>
        </w:rPr>
      </w:pPr>
      <w:bookmarkStart w:id="18383" w:name="_ETM_Q28_683998"/>
      <w:bookmarkStart w:id="18384" w:name="_ETM_Q28_684076"/>
      <w:bookmarkEnd w:id="18383"/>
      <w:bookmarkEnd w:id="18384"/>
    </w:p>
    <w:p w:rsidR="00337201" w:rsidRDefault="00337201" w:rsidP="00337201">
      <w:pPr>
        <w:pStyle w:val="-"/>
        <w:keepNext/>
        <w:rPr>
          <w:rtl/>
        </w:rPr>
      </w:pPr>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p>
    <w:p w:rsidR="00337201" w:rsidRDefault="00337201" w:rsidP="00337201">
      <w:pPr>
        <w:rPr>
          <w:rtl/>
          <w:lang w:eastAsia="he-IL"/>
        </w:rPr>
      </w:pPr>
    </w:p>
    <w:p w:rsidR="00337201" w:rsidRDefault="00337201" w:rsidP="00337201">
      <w:pPr>
        <w:rPr>
          <w:rtl/>
        </w:rPr>
      </w:pPr>
      <w:bookmarkStart w:id="18385" w:name="_ETM_Q28_690749"/>
      <w:bookmarkStart w:id="18386" w:name="_ETM_Q28_686016"/>
      <w:bookmarkStart w:id="18387" w:name="_ETM_Q28_685049"/>
      <w:bookmarkStart w:id="18388" w:name="_ETM_Q28_685290"/>
      <w:bookmarkStart w:id="18389" w:name="_ETM_Q28_685739"/>
      <w:bookmarkStart w:id="18390" w:name="_ETM_Q28_685860"/>
      <w:bookmarkEnd w:id="18385"/>
      <w:bookmarkEnd w:id="18386"/>
      <w:bookmarkEnd w:id="18387"/>
      <w:bookmarkEnd w:id="18388"/>
      <w:bookmarkEnd w:id="18389"/>
      <w:bookmarkEnd w:id="18390"/>
      <w:r>
        <w:rPr>
          <w:rFonts w:hint="cs"/>
          <w:rtl/>
        </w:rPr>
        <w:t xml:space="preserve">תן </w:t>
      </w:r>
      <w:bookmarkStart w:id="18391" w:name="_ETM_Q28_686159"/>
      <w:bookmarkEnd w:id="18391"/>
      <w:r>
        <w:rPr>
          <w:rFonts w:hint="cs"/>
          <w:rtl/>
        </w:rPr>
        <w:t xml:space="preserve">לי, </w:t>
      </w:r>
      <w:bookmarkStart w:id="18392" w:name="_ETM_Q28_686250"/>
      <w:bookmarkEnd w:id="18392"/>
      <w:r>
        <w:rPr>
          <w:rFonts w:hint="cs"/>
          <w:rtl/>
        </w:rPr>
        <w:t xml:space="preserve">בבקשה, </w:t>
      </w:r>
      <w:bookmarkStart w:id="18393" w:name="_ETM_Q28_686549"/>
      <w:bookmarkEnd w:id="18393"/>
      <w:r>
        <w:rPr>
          <w:rFonts w:hint="cs"/>
          <w:rtl/>
        </w:rPr>
        <w:t xml:space="preserve">עוד </w:t>
      </w:r>
      <w:bookmarkStart w:id="18394" w:name="_ETM_Q28_686610"/>
      <w:bookmarkEnd w:id="18394"/>
      <w:r>
        <w:rPr>
          <w:rFonts w:hint="cs"/>
          <w:rtl/>
        </w:rPr>
        <w:t xml:space="preserve">כמה </w:t>
      </w:r>
      <w:bookmarkStart w:id="18395" w:name="_ETM_Q28_686879"/>
      <w:bookmarkEnd w:id="18395"/>
      <w:r>
        <w:rPr>
          <w:rFonts w:hint="cs"/>
          <w:rtl/>
        </w:rPr>
        <w:t>שניות.</w:t>
      </w:r>
      <w:bookmarkStart w:id="18396" w:name="_ETM_Q28_685536"/>
      <w:bookmarkEnd w:id="18396"/>
      <w:r>
        <w:rPr>
          <w:rFonts w:hint="cs"/>
          <w:rtl/>
        </w:rPr>
        <w:t xml:space="preserve"> </w:t>
      </w:r>
      <w:bookmarkStart w:id="18397" w:name="_ETM_Q28_688050"/>
      <w:bookmarkEnd w:id="18397"/>
      <w:r>
        <w:rPr>
          <w:rFonts w:hint="cs"/>
          <w:rtl/>
        </w:rPr>
        <w:t xml:space="preserve">הדבר </w:t>
      </w:r>
      <w:bookmarkStart w:id="18398" w:name="_ETM_Q28_688500"/>
      <w:bookmarkStart w:id="18399" w:name="_ETM_Q28_688154"/>
      <w:bookmarkStart w:id="18400" w:name="_ETM_Q28_688980"/>
      <w:bookmarkEnd w:id="18398"/>
      <w:bookmarkEnd w:id="18399"/>
      <w:bookmarkEnd w:id="18400"/>
      <w:r>
        <w:rPr>
          <w:rFonts w:hint="cs"/>
          <w:rtl/>
        </w:rPr>
        <w:t xml:space="preserve">נכון </w:t>
      </w:r>
      <w:bookmarkStart w:id="18401" w:name="_ETM_Q28_689340"/>
      <w:bookmarkEnd w:id="18401"/>
      <w:r>
        <w:rPr>
          <w:rFonts w:hint="cs"/>
          <w:rtl/>
        </w:rPr>
        <w:t xml:space="preserve">שבעתיים </w:t>
      </w:r>
      <w:bookmarkStart w:id="18402" w:name="_ETM_Q28_689820"/>
      <w:bookmarkEnd w:id="18402"/>
      <w:r>
        <w:rPr>
          <w:rFonts w:hint="cs"/>
          <w:rtl/>
        </w:rPr>
        <w:t xml:space="preserve">כאשר </w:t>
      </w:r>
      <w:bookmarkStart w:id="18403" w:name="_ETM_Q28_690090"/>
      <w:bookmarkEnd w:id="18403"/>
      <w:r>
        <w:rPr>
          <w:rFonts w:hint="cs"/>
          <w:rtl/>
        </w:rPr>
        <w:t xml:space="preserve">מדובר </w:t>
      </w:r>
      <w:bookmarkStart w:id="18404" w:name="_ETM_Q28_690510"/>
      <w:bookmarkEnd w:id="18404"/>
      <w:r>
        <w:rPr>
          <w:rFonts w:hint="cs"/>
          <w:rtl/>
        </w:rPr>
        <w:t xml:space="preserve">במאבק </w:t>
      </w:r>
      <w:bookmarkStart w:id="18405" w:name="_ETM_Q28_691550"/>
      <w:bookmarkEnd w:id="18405"/>
      <w:r>
        <w:rPr>
          <w:rFonts w:hint="cs"/>
          <w:rtl/>
        </w:rPr>
        <w:t xml:space="preserve">נגד </w:t>
      </w:r>
      <w:bookmarkStart w:id="18406" w:name="_ETM_Q28_691910"/>
      <w:bookmarkEnd w:id="18406"/>
      <w:r>
        <w:rPr>
          <w:rFonts w:hint="cs"/>
          <w:rtl/>
        </w:rPr>
        <w:t xml:space="preserve">דיקטטורות </w:t>
      </w:r>
      <w:bookmarkStart w:id="18407" w:name="_ETM_Q28_692690"/>
      <w:bookmarkEnd w:id="18407"/>
      <w:r>
        <w:rPr>
          <w:rFonts w:hint="cs"/>
          <w:rtl/>
        </w:rPr>
        <w:t xml:space="preserve">קיימות </w:t>
      </w:r>
      <w:bookmarkStart w:id="18408" w:name="_ETM_Q28_693650"/>
      <w:bookmarkEnd w:id="18408"/>
      <w:r>
        <w:rPr>
          <w:rFonts w:hint="cs"/>
          <w:rtl/>
        </w:rPr>
        <w:t xml:space="preserve">או </w:t>
      </w:r>
      <w:bookmarkStart w:id="18409" w:name="_ETM_Q28_694269"/>
      <w:bookmarkEnd w:id="18409"/>
      <w:r>
        <w:rPr>
          <w:rFonts w:hint="cs"/>
          <w:rtl/>
        </w:rPr>
        <w:t>מ</w:t>
      </w:r>
      <w:bookmarkStart w:id="18410" w:name="_ETM_Q28_694989"/>
      <w:bookmarkEnd w:id="18410"/>
      <w:r>
        <w:rPr>
          <w:rFonts w:hint="cs"/>
          <w:rtl/>
        </w:rPr>
        <w:t>תהוות.</w:t>
      </w:r>
      <w:bookmarkStart w:id="18411" w:name="_ETM_Q28_692383"/>
      <w:bookmarkStart w:id="18412" w:name="_ETM_Q28_695980"/>
      <w:bookmarkEnd w:id="18411"/>
      <w:bookmarkEnd w:id="18412"/>
    </w:p>
    <w:p w:rsidR="00337201" w:rsidRDefault="00337201" w:rsidP="00337201">
      <w:pPr>
        <w:rPr>
          <w:rtl/>
        </w:rPr>
      </w:pPr>
    </w:p>
    <w:p w:rsidR="00337201" w:rsidRDefault="00337201" w:rsidP="00337201">
      <w:pPr>
        <w:rPr>
          <w:rtl/>
        </w:rPr>
      </w:pPr>
      <w:bookmarkStart w:id="18413" w:name="_ETM_Q28_718168"/>
      <w:bookmarkEnd w:id="18413"/>
      <w:r>
        <w:rPr>
          <w:rFonts w:hint="cs"/>
          <w:rtl/>
        </w:rPr>
        <w:t xml:space="preserve">בהכרזת </w:t>
      </w:r>
      <w:bookmarkStart w:id="18414" w:name="_ETM_Q28_696609"/>
      <w:bookmarkEnd w:id="18414"/>
      <w:r>
        <w:rPr>
          <w:rFonts w:hint="cs"/>
          <w:rtl/>
        </w:rPr>
        <w:t xml:space="preserve">העצמאות </w:t>
      </w:r>
      <w:bookmarkStart w:id="18415" w:name="_ETM_Q28_697059"/>
      <w:bookmarkEnd w:id="18415"/>
      <w:r>
        <w:rPr>
          <w:rFonts w:hint="cs"/>
          <w:rtl/>
        </w:rPr>
        <w:t xml:space="preserve">האמריקאית </w:t>
      </w:r>
      <w:bookmarkStart w:id="18416" w:name="_ETM_Q28_697749"/>
      <w:bookmarkEnd w:id="18416"/>
      <w:r>
        <w:rPr>
          <w:rFonts w:hint="cs"/>
          <w:rtl/>
        </w:rPr>
        <w:t xml:space="preserve">נכתב </w:t>
      </w:r>
      <w:bookmarkStart w:id="18417" w:name="_ETM_Q28_699790"/>
      <w:bookmarkEnd w:id="18417"/>
      <w:r>
        <w:rPr>
          <w:rFonts w:hint="cs"/>
          <w:rtl/>
        </w:rPr>
        <w:t>–</w:t>
      </w:r>
      <w:bookmarkStart w:id="18418" w:name="_ETM_Q28_698005"/>
      <w:bookmarkEnd w:id="18418"/>
      <w:r>
        <w:rPr>
          <w:rFonts w:hint="cs"/>
          <w:rtl/>
        </w:rPr>
        <w:t xml:space="preserve"> </w:t>
      </w:r>
      <w:bookmarkStart w:id="18419" w:name="_ETM_Q28_700569"/>
      <w:bookmarkEnd w:id="18419"/>
      <w:r>
        <w:rPr>
          <w:rFonts w:hint="cs"/>
          <w:rtl/>
        </w:rPr>
        <w:t xml:space="preserve">אני </w:t>
      </w:r>
      <w:bookmarkStart w:id="18420" w:name="_ETM_Q28_700689"/>
      <w:bookmarkEnd w:id="18420"/>
      <w:r>
        <w:rPr>
          <w:rFonts w:hint="cs"/>
          <w:rtl/>
        </w:rPr>
        <w:t xml:space="preserve">מצטט </w:t>
      </w:r>
      <w:bookmarkStart w:id="18421" w:name="_ETM_Q28_701169"/>
      <w:bookmarkEnd w:id="18421"/>
      <w:r>
        <w:rPr>
          <w:rFonts w:hint="cs"/>
          <w:rtl/>
        </w:rPr>
        <w:t xml:space="preserve">מהכרזת </w:t>
      </w:r>
      <w:bookmarkStart w:id="18422" w:name="_ETM_Q28_701679"/>
      <w:bookmarkEnd w:id="18422"/>
      <w:r>
        <w:rPr>
          <w:rFonts w:hint="cs"/>
          <w:rtl/>
        </w:rPr>
        <w:t xml:space="preserve">העצמאות, </w:t>
      </w:r>
      <w:bookmarkStart w:id="18423" w:name="_ETM_Q28_702249"/>
      <w:bookmarkEnd w:id="18423"/>
      <w:r>
        <w:rPr>
          <w:rFonts w:hint="cs"/>
          <w:rtl/>
        </w:rPr>
        <w:t xml:space="preserve">ברשותך: </w:t>
      </w:r>
      <w:bookmarkStart w:id="18424" w:name="_ETM_Q28_703459"/>
      <w:bookmarkEnd w:id="18424"/>
      <w:r>
        <w:rPr>
          <w:rFonts w:hint="cs"/>
          <w:rtl/>
        </w:rPr>
        <w:t xml:space="preserve">"הזהירות </w:t>
      </w:r>
      <w:bookmarkStart w:id="18425" w:name="_ETM_Q28_704120"/>
      <w:bookmarkEnd w:id="18425"/>
      <w:r>
        <w:rPr>
          <w:rFonts w:hint="cs"/>
          <w:rtl/>
        </w:rPr>
        <w:t xml:space="preserve">השקולה </w:t>
      </w:r>
      <w:bookmarkStart w:id="18426" w:name="_ETM_Q28_704599"/>
      <w:bookmarkEnd w:id="18426"/>
      <w:r>
        <w:rPr>
          <w:rFonts w:hint="cs"/>
          <w:rtl/>
        </w:rPr>
        <w:t xml:space="preserve">מחייבת </w:t>
      </w:r>
      <w:bookmarkStart w:id="18427" w:name="_ETM_Q28_705170"/>
      <w:bookmarkEnd w:id="18427"/>
      <w:r>
        <w:rPr>
          <w:rFonts w:hint="cs"/>
          <w:rtl/>
        </w:rPr>
        <w:t xml:space="preserve">שצורות </w:t>
      </w:r>
      <w:bookmarkStart w:id="18428" w:name="_ETM_Q28_705709"/>
      <w:bookmarkEnd w:id="18428"/>
      <w:r>
        <w:rPr>
          <w:rFonts w:hint="cs"/>
          <w:rtl/>
        </w:rPr>
        <w:t xml:space="preserve">ממשל </w:t>
      </w:r>
      <w:bookmarkStart w:id="18429" w:name="_ETM_Q28_706159"/>
      <w:bookmarkEnd w:id="18429"/>
      <w:r>
        <w:rPr>
          <w:rFonts w:hint="cs"/>
          <w:rtl/>
        </w:rPr>
        <w:t xml:space="preserve">הקיימות </w:t>
      </w:r>
      <w:bookmarkStart w:id="18430" w:name="_ETM_Q28_706639"/>
      <w:bookmarkEnd w:id="18430"/>
      <w:r>
        <w:rPr>
          <w:rFonts w:hint="cs"/>
          <w:rtl/>
        </w:rPr>
        <w:t xml:space="preserve">זמן </w:t>
      </w:r>
      <w:bookmarkStart w:id="18431" w:name="_ETM_Q28_706939"/>
      <w:bookmarkEnd w:id="18431"/>
      <w:r>
        <w:rPr>
          <w:rFonts w:hint="cs"/>
          <w:rtl/>
        </w:rPr>
        <w:t xml:space="preserve">רב </w:t>
      </w:r>
      <w:bookmarkStart w:id="18432" w:name="_ETM_Q28_707580"/>
      <w:bookmarkEnd w:id="18432"/>
      <w:r>
        <w:rPr>
          <w:rFonts w:hint="cs"/>
          <w:rtl/>
        </w:rPr>
        <w:t xml:space="preserve">לא </w:t>
      </w:r>
      <w:bookmarkStart w:id="18433" w:name="_ETM_Q28_707940"/>
      <w:bookmarkEnd w:id="18433"/>
      <w:r>
        <w:rPr>
          <w:rFonts w:hint="cs"/>
          <w:rtl/>
        </w:rPr>
        <w:t>תוחל</w:t>
      </w:r>
      <w:bookmarkStart w:id="18434" w:name="_ETM_Q28_708420"/>
      <w:bookmarkStart w:id="18435" w:name="_ETM_Q28_705715"/>
      <w:bookmarkEnd w:id="18434"/>
      <w:bookmarkEnd w:id="18435"/>
      <w:r>
        <w:rPr>
          <w:rFonts w:hint="cs"/>
          <w:rtl/>
        </w:rPr>
        <w:t xml:space="preserve">פנה </w:t>
      </w:r>
      <w:bookmarkStart w:id="18436" w:name="_ETM_Q28_708540"/>
      <w:bookmarkEnd w:id="18436"/>
      <w:r>
        <w:rPr>
          <w:rFonts w:hint="cs"/>
          <w:rtl/>
        </w:rPr>
        <w:t xml:space="preserve">בגלל </w:t>
      </w:r>
      <w:bookmarkStart w:id="18437" w:name="_ETM_Q28_708840"/>
      <w:bookmarkEnd w:id="18437"/>
      <w:r>
        <w:rPr>
          <w:rFonts w:hint="cs"/>
          <w:rtl/>
        </w:rPr>
        <w:t xml:space="preserve">סיבות </w:t>
      </w:r>
      <w:bookmarkStart w:id="18438" w:name="_ETM_Q28_709290"/>
      <w:bookmarkEnd w:id="18438"/>
      <w:r>
        <w:rPr>
          <w:rFonts w:hint="cs"/>
          <w:rtl/>
        </w:rPr>
        <w:t xml:space="preserve">קלות </w:t>
      </w:r>
      <w:bookmarkStart w:id="18439" w:name="_ETM_Q28_709679"/>
      <w:bookmarkEnd w:id="18439"/>
      <w:r>
        <w:rPr>
          <w:rFonts w:hint="cs"/>
          <w:rtl/>
        </w:rPr>
        <w:t xml:space="preserve">וחולפות, </w:t>
      </w:r>
      <w:bookmarkStart w:id="18440" w:name="_ETM_Q28_711000"/>
      <w:bookmarkEnd w:id="18440"/>
      <w:r>
        <w:rPr>
          <w:rFonts w:hint="cs"/>
          <w:rtl/>
        </w:rPr>
        <w:t xml:space="preserve">כך, </w:t>
      </w:r>
      <w:bookmarkStart w:id="18441" w:name="_ETM_Q28_711420"/>
      <w:bookmarkEnd w:id="18441"/>
      <w:r>
        <w:rPr>
          <w:rFonts w:hint="cs"/>
          <w:rtl/>
        </w:rPr>
        <w:t xml:space="preserve">גם </w:t>
      </w:r>
      <w:bookmarkStart w:id="18442" w:name="_ETM_Q28_711599"/>
      <w:bookmarkStart w:id="18443" w:name="_ETM_Q28_711870"/>
      <w:bookmarkStart w:id="18444" w:name="_ETM_Q28_708306"/>
      <w:bookmarkEnd w:id="18442"/>
      <w:bookmarkEnd w:id="18443"/>
      <w:bookmarkEnd w:id="18444"/>
      <w:r>
        <w:rPr>
          <w:rFonts w:hint="cs"/>
          <w:rtl/>
        </w:rPr>
        <w:t xml:space="preserve">מראה הניסיון </w:t>
      </w:r>
      <w:bookmarkStart w:id="18445" w:name="_ETM_Q28_712829"/>
      <w:bookmarkEnd w:id="18445"/>
      <w:r>
        <w:rPr>
          <w:rFonts w:hint="cs"/>
          <w:rtl/>
        </w:rPr>
        <w:t xml:space="preserve">כי </w:t>
      </w:r>
      <w:bookmarkStart w:id="18446" w:name="_ETM_Q28_713010"/>
      <w:bookmarkEnd w:id="18446"/>
      <w:r>
        <w:rPr>
          <w:rFonts w:hint="cs"/>
          <w:rtl/>
        </w:rPr>
        <w:t xml:space="preserve">בני אדם </w:t>
      </w:r>
      <w:bookmarkStart w:id="18447" w:name="_ETM_Q28_713519"/>
      <w:bookmarkEnd w:id="18447"/>
      <w:r>
        <w:rPr>
          <w:rFonts w:hint="cs"/>
          <w:rtl/>
        </w:rPr>
        <w:t xml:space="preserve">מעדיפים </w:t>
      </w:r>
      <w:bookmarkStart w:id="18448" w:name="_ETM_Q28_713970"/>
      <w:bookmarkEnd w:id="18448"/>
      <w:r>
        <w:rPr>
          <w:rFonts w:hint="cs"/>
          <w:rtl/>
        </w:rPr>
        <w:t xml:space="preserve">לסבול </w:t>
      </w:r>
      <w:bookmarkStart w:id="18449" w:name="_ETM_Q28_714510"/>
      <w:bookmarkEnd w:id="18449"/>
      <w:r>
        <w:rPr>
          <w:rFonts w:hint="cs"/>
          <w:rtl/>
        </w:rPr>
        <w:t xml:space="preserve">כל </w:t>
      </w:r>
      <w:bookmarkStart w:id="18450" w:name="_ETM_Q28_714750"/>
      <w:bookmarkStart w:id="18451" w:name="_ETM_Q28_711038"/>
      <w:bookmarkStart w:id="18452" w:name="_ETM_Q28_715140"/>
      <w:bookmarkEnd w:id="18450"/>
      <w:bookmarkEnd w:id="18451"/>
      <w:bookmarkEnd w:id="18452"/>
      <w:r>
        <w:rPr>
          <w:rFonts w:hint="cs"/>
          <w:rtl/>
        </w:rPr>
        <w:t xml:space="preserve">עוד העוול נסבל </w:t>
      </w:r>
      <w:bookmarkStart w:id="18453" w:name="_ETM_Q28_716250"/>
      <w:bookmarkEnd w:id="18453"/>
      <w:r>
        <w:rPr>
          <w:rFonts w:hint="cs"/>
          <w:rtl/>
        </w:rPr>
        <w:t xml:space="preserve">מאשר </w:t>
      </w:r>
      <w:bookmarkStart w:id="18454" w:name="_ETM_Q28_716610"/>
      <w:bookmarkEnd w:id="18454"/>
      <w:r>
        <w:rPr>
          <w:rFonts w:hint="cs"/>
          <w:rtl/>
        </w:rPr>
        <w:t xml:space="preserve">לתקן </w:t>
      </w:r>
      <w:bookmarkStart w:id="18455" w:name="_ETM_Q28_717120"/>
      <w:bookmarkEnd w:id="18455"/>
      <w:r>
        <w:rPr>
          <w:rFonts w:hint="cs"/>
          <w:rtl/>
        </w:rPr>
        <w:t xml:space="preserve">את </w:t>
      </w:r>
      <w:bookmarkStart w:id="18456" w:name="_ETM_Q28_717209"/>
      <w:bookmarkEnd w:id="18456"/>
      <w:r>
        <w:rPr>
          <w:rFonts w:hint="cs"/>
          <w:rtl/>
        </w:rPr>
        <w:t xml:space="preserve">מצבם </w:t>
      </w:r>
      <w:bookmarkStart w:id="18457" w:name="_ETM_Q28_717659"/>
      <w:bookmarkEnd w:id="18457"/>
      <w:r>
        <w:rPr>
          <w:rFonts w:hint="cs"/>
          <w:rtl/>
        </w:rPr>
        <w:t>ע</w:t>
      </w:r>
      <w:bookmarkStart w:id="18458" w:name="_ETM_Q28_714221"/>
      <w:bookmarkEnd w:id="18458"/>
      <w:r>
        <w:rPr>
          <w:rFonts w:hint="cs"/>
          <w:rtl/>
        </w:rPr>
        <w:t xml:space="preserve">ל ידי </w:t>
      </w:r>
      <w:bookmarkStart w:id="18459" w:name="_ETM_Q28_717989"/>
      <w:bookmarkEnd w:id="18459"/>
      <w:r>
        <w:rPr>
          <w:rFonts w:hint="cs"/>
          <w:rtl/>
        </w:rPr>
        <w:t xml:space="preserve">ביטול </w:t>
      </w:r>
      <w:bookmarkStart w:id="18460" w:name="_ETM_Q28_718379"/>
      <w:bookmarkEnd w:id="18460"/>
      <w:r>
        <w:rPr>
          <w:rFonts w:hint="cs"/>
          <w:rtl/>
        </w:rPr>
        <w:t xml:space="preserve">צורות" </w:t>
      </w:r>
      <w:bookmarkStart w:id="18461" w:name="_ETM_Q28_718769"/>
      <w:bookmarkEnd w:id="18461"/>
      <w:r>
        <w:rPr>
          <w:rFonts w:hint="cs"/>
          <w:rtl/>
        </w:rPr>
        <w:t xml:space="preserve">הממשל </w:t>
      </w:r>
      <w:bookmarkStart w:id="18462" w:name="_ETM_Q28_719610"/>
      <w:bookmarkEnd w:id="18462"/>
      <w:r>
        <w:rPr>
          <w:rFonts w:hint="cs"/>
          <w:rtl/>
        </w:rPr>
        <w:t xml:space="preserve">"שהורגלו </w:t>
      </w:r>
      <w:bookmarkStart w:id="18463" w:name="_ETM_Q28_720629"/>
      <w:bookmarkEnd w:id="18463"/>
      <w:r>
        <w:rPr>
          <w:rFonts w:hint="cs"/>
          <w:rtl/>
        </w:rPr>
        <w:t xml:space="preserve">כן. </w:t>
      </w:r>
      <w:bookmarkStart w:id="18464" w:name="_ETM_Q28_721409"/>
      <w:bookmarkEnd w:id="18464"/>
      <w:r>
        <w:rPr>
          <w:rFonts w:hint="cs"/>
          <w:rtl/>
        </w:rPr>
        <w:t xml:space="preserve">אולם </w:t>
      </w:r>
      <w:bookmarkStart w:id="18465" w:name="_ETM_Q28_721679"/>
      <w:bookmarkEnd w:id="18465"/>
      <w:r>
        <w:rPr>
          <w:rFonts w:hint="cs"/>
          <w:rtl/>
        </w:rPr>
        <w:t xml:space="preserve">כאשר </w:t>
      </w:r>
      <w:bookmarkStart w:id="18466" w:name="_ETM_Q28_722159"/>
      <w:bookmarkEnd w:id="18466"/>
      <w:r>
        <w:rPr>
          <w:rFonts w:hint="cs"/>
          <w:rtl/>
        </w:rPr>
        <w:t xml:space="preserve">שרשרת </w:t>
      </w:r>
      <w:bookmarkStart w:id="18467" w:name="_ETM_Q28_722790"/>
      <w:bookmarkEnd w:id="18467"/>
      <w:r>
        <w:rPr>
          <w:rFonts w:hint="cs"/>
          <w:rtl/>
        </w:rPr>
        <w:t xml:space="preserve">ארוכה </w:t>
      </w:r>
      <w:bookmarkStart w:id="18468" w:name="_ETM_Q28_723850"/>
      <w:bookmarkEnd w:id="18468"/>
      <w:r>
        <w:rPr>
          <w:rFonts w:hint="cs"/>
          <w:rtl/>
        </w:rPr>
        <w:t xml:space="preserve">של </w:t>
      </w:r>
      <w:bookmarkStart w:id="18469" w:name="_ETM_Q28_720451"/>
      <w:bookmarkEnd w:id="18469"/>
      <w:r>
        <w:rPr>
          <w:rFonts w:hint="cs"/>
          <w:rtl/>
        </w:rPr>
        <w:t xml:space="preserve">מעשי </w:t>
      </w:r>
      <w:bookmarkStart w:id="18470" w:name="_ETM_Q28_724540"/>
      <w:bookmarkEnd w:id="18470"/>
      <w:r>
        <w:rPr>
          <w:rFonts w:hint="cs"/>
          <w:rtl/>
        </w:rPr>
        <w:t xml:space="preserve">עוול </w:t>
      </w:r>
      <w:bookmarkStart w:id="18471" w:name="_ETM_Q28_724870"/>
      <w:bookmarkEnd w:id="18471"/>
      <w:r>
        <w:rPr>
          <w:rFonts w:hint="cs"/>
          <w:rtl/>
        </w:rPr>
        <w:t xml:space="preserve">ועושק </w:t>
      </w:r>
      <w:bookmarkStart w:id="18472" w:name="_ETM_Q28_725350"/>
      <w:bookmarkEnd w:id="18472"/>
      <w:r>
        <w:rPr>
          <w:rFonts w:hint="cs"/>
          <w:rtl/>
        </w:rPr>
        <w:t xml:space="preserve">זכויות, </w:t>
      </w:r>
      <w:bookmarkStart w:id="18473" w:name="_ETM_Q28_726309"/>
      <w:bookmarkEnd w:id="18473"/>
      <w:r>
        <w:rPr>
          <w:rFonts w:hint="cs"/>
          <w:rtl/>
        </w:rPr>
        <w:t xml:space="preserve">המכוונים </w:t>
      </w:r>
      <w:bookmarkStart w:id="18474" w:name="_ETM_Q28_727120"/>
      <w:bookmarkEnd w:id="18474"/>
      <w:r>
        <w:rPr>
          <w:rFonts w:hint="cs"/>
          <w:rtl/>
        </w:rPr>
        <w:t xml:space="preserve">ללא </w:t>
      </w:r>
      <w:bookmarkStart w:id="18475" w:name="_ETM_Q28_727360"/>
      <w:bookmarkEnd w:id="18475"/>
      <w:r>
        <w:rPr>
          <w:rFonts w:hint="cs"/>
          <w:rtl/>
        </w:rPr>
        <w:t xml:space="preserve">הפסק </w:t>
      </w:r>
      <w:bookmarkStart w:id="18476" w:name="_ETM_Q28_727780"/>
      <w:bookmarkEnd w:id="18476"/>
      <w:r>
        <w:rPr>
          <w:rFonts w:hint="cs"/>
          <w:rtl/>
        </w:rPr>
        <w:t xml:space="preserve">לאותה </w:t>
      </w:r>
      <w:bookmarkStart w:id="18477" w:name="_ETM_Q28_728140"/>
      <w:bookmarkEnd w:id="18477"/>
      <w:r>
        <w:rPr>
          <w:rFonts w:hint="cs"/>
          <w:rtl/>
        </w:rPr>
        <w:t>מטרה,</w:t>
      </w:r>
      <w:bookmarkStart w:id="18478" w:name="_ETM_Q28_725730"/>
      <w:bookmarkEnd w:id="18478"/>
      <w:r>
        <w:rPr>
          <w:rFonts w:hint="cs"/>
          <w:rtl/>
        </w:rPr>
        <w:t xml:space="preserve"> </w:t>
      </w:r>
      <w:bookmarkStart w:id="18479" w:name="_ETM_Q28_729160"/>
      <w:bookmarkEnd w:id="18479"/>
      <w:r>
        <w:rPr>
          <w:rFonts w:hint="cs"/>
          <w:rtl/>
        </w:rPr>
        <w:t xml:space="preserve">מצביעה </w:t>
      </w:r>
      <w:bookmarkStart w:id="18480" w:name="_ETM_Q28_729760"/>
      <w:bookmarkEnd w:id="18480"/>
      <w:r>
        <w:rPr>
          <w:rFonts w:hint="cs"/>
          <w:rtl/>
        </w:rPr>
        <w:t xml:space="preserve">על </w:t>
      </w:r>
      <w:bookmarkStart w:id="18481" w:name="_ETM_Q28_729849"/>
      <w:bookmarkEnd w:id="18481"/>
      <w:r>
        <w:rPr>
          <w:rFonts w:hint="cs"/>
          <w:rtl/>
        </w:rPr>
        <w:t xml:space="preserve">תוכנית </w:t>
      </w:r>
      <w:bookmarkStart w:id="18482" w:name="_ETM_Q28_730300"/>
      <w:bookmarkEnd w:id="18482"/>
      <w:r>
        <w:rPr>
          <w:rFonts w:hint="cs"/>
          <w:rtl/>
        </w:rPr>
        <w:t xml:space="preserve">לשעבד" </w:t>
      </w:r>
      <w:bookmarkStart w:id="18483" w:name="_ETM_Q28_731410"/>
      <w:bookmarkEnd w:id="18483"/>
      <w:r>
        <w:rPr>
          <w:rFonts w:hint="cs"/>
          <w:rtl/>
        </w:rPr>
        <w:t xml:space="preserve">קבוצת </w:t>
      </w:r>
      <w:bookmarkStart w:id="18484" w:name="_ETM_Q28_731890"/>
      <w:bookmarkEnd w:id="18484"/>
      <w:r>
        <w:rPr>
          <w:rFonts w:hint="cs"/>
          <w:rtl/>
        </w:rPr>
        <w:t xml:space="preserve">אנשים </w:t>
      </w:r>
      <w:bookmarkStart w:id="18485" w:name="_ETM_Q28_732340"/>
      <w:bookmarkEnd w:id="18485"/>
      <w:r>
        <w:rPr>
          <w:rFonts w:hint="cs"/>
          <w:rtl/>
        </w:rPr>
        <w:t xml:space="preserve">"לרודנות </w:t>
      </w:r>
      <w:bookmarkStart w:id="18486" w:name="_ETM_Q28_732910"/>
      <w:bookmarkEnd w:id="18486"/>
      <w:r>
        <w:rPr>
          <w:rFonts w:hint="cs"/>
          <w:rtl/>
        </w:rPr>
        <w:t xml:space="preserve">מוחלטת, </w:t>
      </w:r>
      <w:bookmarkStart w:id="18487" w:name="_ETM_Q28_734100"/>
      <w:bookmarkEnd w:id="18487"/>
      <w:r>
        <w:rPr>
          <w:rFonts w:hint="cs"/>
          <w:rtl/>
        </w:rPr>
        <w:t xml:space="preserve">זכותם </w:t>
      </w:r>
      <w:bookmarkStart w:id="18488" w:name="_ETM_Q28_734700"/>
      <w:bookmarkEnd w:id="18488"/>
      <w:r>
        <w:rPr>
          <w:rFonts w:hint="cs"/>
          <w:rtl/>
        </w:rPr>
        <w:t xml:space="preserve">וחובתם </w:t>
      </w:r>
      <w:bookmarkStart w:id="18489" w:name="_ETM_Q28_735420"/>
      <w:bookmarkEnd w:id="18489"/>
      <w:r>
        <w:rPr>
          <w:rFonts w:hint="cs"/>
          <w:rtl/>
        </w:rPr>
        <w:t>להפיל</w:t>
      </w:r>
      <w:bookmarkStart w:id="18490" w:name="_ETM_Q28_731957"/>
      <w:bookmarkEnd w:id="18490"/>
      <w:r>
        <w:rPr>
          <w:rFonts w:hint="cs"/>
          <w:rtl/>
        </w:rPr>
        <w:t xml:space="preserve"> </w:t>
      </w:r>
      <w:bookmarkStart w:id="18491" w:name="_ETM_Q28_735780"/>
      <w:bookmarkEnd w:id="18491"/>
      <w:r>
        <w:rPr>
          <w:rFonts w:hint="cs"/>
          <w:rtl/>
        </w:rPr>
        <w:t xml:space="preserve">ממשל </w:t>
      </w:r>
      <w:bookmarkStart w:id="18492" w:name="_ETM_Q28_736230"/>
      <w:bookmarkEnd w:id="18492"/>
      <w:r>
        <w:rPr>
          <w:rFonts w:hint="cs"/>
          <w:rtl/>
        </w:rPr>
        <w:t xml:space="preserve">כזה </w:t>
      </w:r>
      <w:bookmarkStart w:id="18493" w:name="_ETM_Q28_736920"/>
      <w:bookmarkEnd w:id="18493"/>
      <w:r>
        <w:rPr>
          <w:rFonts w:hint="cs"/>
          <w:rtl/>
        </w:rPr>
        <w:t xml:space="preserve">ולקבוע </w:t>
      </w:r>
      <w:bookmarkStart w:id="18494" w:name="_ETM_Q28_737580"/>
      <w:bookmarkEnd w:id="18494"/>
      <w:r>
        <w:rPr>
          <w:rFonts w:hint="cs"/>
          <w:rtl/>
        </w:rPr>
        <w:t xml:space="preserve">ערבויות </w:t>
      </w:r>
      <w:bookmarkStart w:id="18495" w:name="_ETM_Q28_738030"/>
      <w:bookmarkEnd w:id="18495"/>
      <w:r>
        <w:rPr>
          <w:rFonts w:hint="cs"/>
          <w:rtl/>
        </w:rPr>
        <w:t xml:space="preserve">חדשות </w:t>
      </w:r>
      <w:bookmarkStart w:id="18496" w:name="_ETM_Q28_738870"/>
      <w:bookmarkEnd w:id="18496"/>
      <w:r>
        <w:rPr>
          <w:rFonts w:hint="cs"/>
          <w:rtl/>
        </w:rPr>
        <w:t xml:space="preserve">לביטחונם </w:t>
      </w:r>
      <w:bookmarkStart w:id="18497" w:name="_ETM_Q28_739590"/>
      <w:bookmarkEnd w:id="18497"/>
      <w:r>
        <w:rPr>
          <w:rFonts w:hint="cs"/>
          <w:rtl/>
        </w:rPr>
        <w:t>בעתיד".</w:t>
      </w:r>
      <w:bookmarkStart w:id="18498" w:name="_ETM_Q28_740700"/>
      <w:bookmarkEnd w:id="18498"/>
    </w:p>
    <w:p w:rsidR="00337201" w:rsidRDefault="00337201" w:rsidP="00337201">
      <w:pPr>
        <w:rPr>
          <w:rtl/>
        </w:rPr>
      </w:pPr>
      <w:bookmarkStart w:id="18499" w:name="_ETM_Q28_741114"/>
      <w:bookmarkStart w:id="18500" w:name="_ETM_Q28_741206"/>
      <w:bookmarkEnd w:id="18499"/>
      <w:bookmarkEnd w:id="18500"/>
    </w:p>
    <w:p w:rsidR="00337201" w:rsidRDefault="00337201" w:rsidP="00337201">
      <w:pPr>
        <w:rPr>
          <w:rtl/>
        </w:rPr>
      </w:pPr>
      <w:bookmarkStart w:id="18501" w:name="_ETM_Q28_741242"/>
      <w:bookmarkStart w:id="18502" w:name="_ETM_Q28_741312"/>
      <w:bookmarkEnd w:id="18501"/>
      <w:bookmarkEnd w:id="18502"/>
      <w:r>
        <w:rPr>
          <w:rFonts w:hint="cs"/>
          <w:rtl/>
        </w:rPr>
        <w:t xml:space="preserve">ביטול </w:t>
      </w:r>
      <w:bookmarkStart w:id="18503" w:name="_ETM_Q28_741270"/>
      <w:bookmarkEnd w:id="18503"/>
      <w:r>
        <w:rPr>
          <w:rFonts w:hint="cs"/>
          <w:rtl/>
        </w:rPr>
        <w:t xml:space="preserve">עילת </w:t>
      </w:r>
      <w:bookmarkStart w:id="18504" w:name="_ETM_Q28_741600"/>
      <w:bookmarkEnd w:id="18504"/>
      <w:r>
        <w:rPr>
          <w:rFonts w:hint="cs"/>
          <w:rtl/>
        </w:rPr>
        <w:t xml:space="preserve">הסבירות </w:t>
      </w:r>
      <w:bookmarkStart w:id="18505" w:name="_ETM_Q28_743629"/>
      <w:bookmarkEnd w:id="18505"/>
      <w:r>
        <w:rPr>
          <w:rFonts w:hint="cs"/>
          <w:rtl/>
        </w:rPr>
        <w:t xml:space="preserve">הוא </w:t>
      </w:r>
      <w:bookmarkStart w:id="18506" w:name="_ETM_Q28_743780"/>
      <w:bookmarkEnd w:id="18506"/>
      <w:r>
        <w:rPr>
          <w:rFonts w:hint="cs"/>
          <w:rtl/>
        </w:rPr>
        <w:t xml:space="preserve">חלק </w:t>
      </w:r>
      <w:bookmarkStart w:id="18507" w:name="_ETM_Q28_744169"/>
      <w:bookmarkEnd w:id="18507"/>
      <w:r>
        <w:rPr>
          <w:rFonts w:hint="cs"/>
          <w:rtl/>
        </w:rPr>
        <w:t xml:space="preserve">משרשרת </w:t>
      </w:r>
      <w:bookmarkStart w:id="18508" w:name="_ETM_Q28_744860"/>
      <w:bookmarkEnd w:id="18508"/>
      <w:r>
        <w:rPr>
          <w:rFonts w:hint="cs"/>
          <w:rtl/>
        </w:rPr>
        <w:t xml:space="preserve">ארוכה </w:t>
      </w:r>
      <w:bookmarkStart w:id="18509" w:name="_ETM_Q28_745280"/>
      <w:bookmarkEnd w:id="18509"/>
      <w:r>
        <w:rPr>
          <w:rFonts w:hint="cs"/>
          <w:rtl/>
        </w:rPr>
        <w:t xml:space="preserve">של </w:t>
      </w:r>
      <w:bookmarkStart w:id="18510" w:name="_ETM_Q28_745460"/>
      <w:bookmarkEnd w:id="18510"/>
      <w:r>
        <w:rPr>
          <w:rFonts w:hint="cs"/>
          <w:rtl/>
        </w:rPr>
        <w:t xml:space="preserve">מעשי </w:t>
      </w:r>
      <w:bookmarkStart w:id="18511" w:name="_ETM_Q28_745939"/>
      <w:bookmarkEnd w:id="18511"/>
      <w:r>
        <w:rPr>
          <w:rFonts w:hint="cs"/>
          <w:rtl/>
        </w:rPr>
        <w:t xml:space="preserve">עוול </w:t>
      </w:r>
      <w:bookmarkStart w:id="18512" w:name="_ETM_Q28_746629"/>
      <w:bookmarkEnd w:id="18512"/>
      <w:r>
        <w:rPr>
          <w:rFonts w:hint="cs"/>
          <w:rtl/>
        </w:rPr>
        <w:t xml:space="preserve">ועושק </w:t>
      </w:r>
      <w:bookmarkStart w:id="18513" w:name="_ETM_Q28_747139"/>
      <w:bookmarkEnd w:id="18513"/>
      <w:r>
        <w:rPr>
          <w:rFonts w:hint="cs"/>
          <w:rtl/>
        </w:rPr>
        <w:t xml:space="preserve">זכויות </w:t>
      </w:r>
      <w:bookmarkStart w:id="18514" w:name="_ETM_Q28_747620"/>
      <w:bookmarkEnd w:id="18514"/>
      <w:r>
        <w:rPr>
          <w:rFonts w:hint="cs"/>
          <w:rtl/>
        </w:rPr>
        <w:t xml:space="preserve">המכוונים </w:t>
      </w:r>
      <w:bookmarkStart w:id="18515" w:name="_ETM_Q28_748219"/>
      <w:bookmarkEnd w:id="18515"/>
      <w:r>
        <w:rPr>
          <w:rFonts w:hint="cs"/>
          <w:rtl/>
        </w:rPr>
        <w:t xml:space="preserve">למטרה </w:t>
      </w:r>
      <w:bookmarkStart w:id="18516" w:name="_ETM_Q28_748849"/>
      <w:bookmarkEnd w:id="18516"/>
      <w:r>
        <w:rPr>
          <w:rFonts w:hint="cs"/>
          <w:rtl/>
        </w:rPr>
        <w:t>אח</w:t>
      </w:r>
      <w:bookmarkStart w:id="18517" w:name="_ETM_Q28_745571"/>
      <w:bookmarkEnd w:id="18517"/>
      <w:r>
        <w:rPr>
          <w:rFonts w:hint="cs"/>
          <w:rtl/>
        </w:rPr>
        <w:t xml:space="preserve">ת </w:t>
      </w:r>
      <w:bookmarkStart w:id="18518" w:name="_ETM_Q28_747113"/>
      <w:bookmarkEnd w:id="18518"/>
      <w:r>
        <w:rPr>
          <w:rFonts w:hint="cs"/>
          <w:rtl/>
        </w:rPr>
        <w:t xml:space="preserve">– </w:t>
      </w:r>
      <w:bookmarkStart w:id="18519" w:name="_ETM_Q28_749770"/>
      <w:bookmarkEnd w:id="18519"/>
      <w:r>
        <w:rPr>
          <w:rFonts w:hint="cs"/>
          <w:rtl/>
        </w:rPr>
        <w:t xml:space="preserve">שעבוד </w:t>
      </w:r>
      <w:bookmarkStart w:id="18520" w:name="_ETM_Q28_750309"/>
      <w:bookmarkEnd w:id="18520"/>
      <w:r>
        <w:rPr>
          <w:rFonts w:hint="cs"/>
          <w:rtl/>
        </w:rPr>
        <w:t xml:space="preserve">אזרחי </w:t>
      </w:r>
      <w:bookmarkStart w:id="18521" w:name="_ETM_Q28_750760"/>
      <w:bookmarkEnd w:id="18521"/>
      <w:r>
        <w:rPr>
          <w:rFonts w:hint="cs"/>
          <w:rtl/>
        </w:rPr>
        <w:t xml:space="preserve">המדינה </w:t>
      </w:r>
      <w:bookmarkStart w:id="18522" w:name="_ETM_Q28_751210"/>
      <w:bookmarkEnd w:id="18522"/>
      <w:r>
        <w:rPr>
          <w:rFonts w:hint="cs"/>
          <w:rtl/>
        </w:rPr>
        <w:t xml:space="preserve">לרודנות </w:t>
      </w:r>
      <w:bookmarkStart w:id="18523" w:name="_ETM_Q28_751809"/>
      <w:bookmarkEnd w:id="18523"/>
      <w:r>
        <w:rPr>
          <w:rFonts w:hint="cs"/>
          <w:rtl/>
        </w:rPr>
        <w:t xml:space="preserve">מוחלטת, </w:t>
      </w:r>
      <w:bookmarkStart w:id="18524" w:name="_ETM_Q28_752860"/>
      <w:bookmarkEnd w:id="18524"/>
      <w:r>
        <w:rPr>
          <w:rFonts w:hint="cs"/>
          <w:rtl/>
        </w:rPr>
        <w:t xml:space="preserve">בד </w:t>
      </w:r>
      <w:bookmarkStart w:id="18525" w:name="_ETM_Q28_753220"/>
      <w:bookmarkEnd w:id="18525"/>
      <w:r>
        <w:rPr>
          <w:rFonts w:hint="cs"/>
          <w:rtl/>
        </w:rPr>
        <w:t xml:space="preserve">בבד </w:t>
      </w:r>
      <w:bookmarkStart w:id="18526" w:name="_ETM_Q28_753610"/>
      <w:bookmarkEnd w:id="18526"/>
      <w:r>
        <w:rPr>
          <w:rFonts w:hint="cs"/>
          <w:rtl/>
        </w:rPr>
        <w:t xml:space="preserve">עם </w:t>
      </w:r>
      <w:bookmarkStart w:id="18527" w:name="_ETM_Q28_753730"/>
      <w:bookmarkEnd w:id="18527"/>
      <w:r>
        <w:rPr>
          <w:rFonts w:hint="cs"/>
          <w:rtl/>
        </w:rPr>
        <w:t xml:space="preserve">החמרת </w:t>
      </w:r>
      <w:bookmarkStart w:id="18528" w:name="_ETM_Q28_754240"/>
      <w:bookmarkEnd w:id="18528"/>
      <w:r>
        <w:rPr>
          <w:rFonts w:hint="cs"/>
          <w:rtl/>
        </w:rPr>
        <w:t xml:space="preserve">משטר </w:t>
      </w:r>
      <w:bookmarkStart w:id="18529" w:name="_ETM_Q28_754630"/>
      <w:bookmarkEnd w:id="18529"/>
      <w:r>
        <w:rPr>
          <w:rFonts w:hint="cs"/>
          <w:rtl/>
        </w:rPr>
        <w:t xml:space="preserve">האפרטהייד </w:t>
      </w:r>
      <w:bookmarkStart w:id="18530" w:name="_ETM_Q28_755679"/>
      <w:bookmarkEnd w:id="18530"/>
      <w:r>
        <w:rPr>
          <w:rFonts w:hint="cs"/>
          <w:rtl/>
        </w:rPr>
        <w:t>וה</w:t>
      </w:r>
      <w:bookmarkStart w:id="18531" w:name="_ETM_Q28_751796"/>
      <w:bookmarkEnd w:id="18531"/>
      <w:r>
        <w:rPr>
          <w:rFonts w:hint="cs"/>
          <w:rtl/>
        </w:rPr>
        <w:t xml:space="preserve">טיהור </w:t>
      </w:r>
      <w:bookmarkStart w:id="18532" w:name="_ETM_Q28_756220"/>
      <w:bookmarkEnd w:id="18532"/>
      <w:r>
        <w:rPr>
          <w:rFonts w:hint="cs"/>
          <w:rtl/>
        </w:rPr>
        <w:t xml:space="preserve">האתני </w:t>
      </w:r>
      <w:bookmarkStart w:id="18533" w:name="_ETM_Q28_756580"/>
      <w:bookmarkEnd w:id="18533"/>
      <w:r>
        <w:rPr>
          <w:rFonts w:hint="cs"/>
          <w:rtl/>
        </w:rPr>
        <w:t>בשטחים</w:t>
      </w:r>
      <w:bookmarkStart w:id="18534" w:name="_ETM_Q28_753061"/>
      <w:bookmarkEnd w:id="18534"/>
      <w:r>
        <w:rPr>
          <w:rFonts w:hint="cs"/>
          <w:rtl/>
        </w:rPr>
        <w:t xml:space="preserve"> הפלסטיני</w:t>
      </w:r>
      <w:bookmarkStart w:id="18535" w:name="_ETM_Q28_753103"/>
      <w:bookmarkEnd w:id="18535"/>
      <w:r>
        <w:rPr>
          <w:rFonts w:hint="cs"/>
          <w:rtl/>
        </w:rPr>
        <w:t>ים הכבושים.</w:t>
      </w:r>
      <w:bookmarkStart w:id="18536" w:name="_ETM_Q28_757030"/>
      <w:bookmarkEnd w:id="18536"/>
    </w:p>
    <w:p w:rsidR="00337201" w:rsidRDefault="00337201" w:rsidP="00337201">
      <w:pPr>
        <w:rPr>
          <w:rtl/>
        </w:rPr>
      </w:pPr>
      <w:bookmarkStart w:id="18537" w:name="_ETM_Q28_756219"/>
      <w:bookmarkStart w:id="18538" w:name="_ETM_Q28_756271"/>
      <w:bookmarkStart w:id="18539" w:name="_ETM_Q28_752630"/>
      <w:bookmarkEnd w:id="18537"/>
      <w:bookmarkEnd w:id="18538"/>
      <w:bookmarkEnd w:id="18539"/>
    </w:p>
    <w:p w:rsidR="00337201" w:rsidRDefault="00337201" w:rsidP="00337201">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337201" w:rsidRDefault="00337201" w:rsidP="00337201">
      <w:pPr>
        <w:rPr>
          <w:rtl/>
          <w:lang w:eastAsia="he-IL"/>
        </w:rPr>
      </w:pPr>
    </w:p>
    <w:p w:rsidR="00337201" w:rsidRDefault="00337201" w:rsidP="00337201">
      <w:pPr>
        <w:rPr>
          <w:rtl/>
        </w:rPr>
      </w:pPr>
      <w:bookmarkStart w:id="18540" w:name="_ETM_Q28_753433"/>
      <w:bookmarkStart w:id="18541" w:name="_ETM_Q28_756350"/>
      <w:bookmarkEnd w:id="18540"/>
      <w:bookmarkEnd w:id="18541"/>
      <w:r>
        <w:rPr>
          <w:rFonts w:hint="cs"/>
          <w:rtl/>
        </w:rPr>
        <w:t xml:space="preserve">אבקש </w:t>
      </w:r>
      <w:bookmarkStart w:id="18542" w:name="_ETM_Q28_757360"/>
      <w:bookmarkEnd w:id="18542"/>
      <w:r>
        <w:rPr>
          <w:rFonts w:hint="cs"/>
          <w:rtl/>
        </w:rPr>
        <w:t xml:space="preserve">לסיים. אתה </w:t>
      </w:r>
      <w:bookmarkStart w:id="18543" w:name="_ETM_Q28_758080"/>
      <w:bookmarkEnd w:id="18543"/>
      <w:r>
        <w:rPr>
          <w:rFonts w:hint="cs"/>
          <w:rtl/>
        </w:rPr>
        <w:t xml:space="preserve">כבר </w:t>
      </w:r>
      <w:bookmarkStart w:id="18544" w:name="_ETM_Q28_758380"/>
      <w:bookmarkEnd w:id="18544"/>
      <w:r>
        <w:rPr>
          <w:rFonts w:hint="cs"/>
          <w:rtl/>
        </w:rPr>
        <w:t xml:space="preserve">דקה </w:t>
      </w:r>
      <w:bookmarkStart w:id="18545" w:name="_ETM_Q28_758650"/>
      <w:bookmarkEnd w:id="18545"/>
      <w:r>
        <w:rPr>
          <w:rFonts w:hint="cs"/>
          <w:rtl/>
        </w:rPr>
        <w:t>אחרי.</w:t>
      </w:r>
      <w:bookmarkStart w:id="18546" w:name="_ETM_Q28_759160"/>
      <w:bookmarkStart w:id="18547" w:name="_ETM_Q28_756038"/>
      <w:bookmarkStart w:id="18548" w:name="_ETM_Q28_761401"/>
      <w:bookmarkStart w:id="18549" w:name="_ETM_Q28_757123"/>
      <w:bookmarkEnd w:id="18546"/>
      <w:bookmarkEnd w:id="18547"/>
      <w:bookmarkEnd w:id="18548"/>
      <w:bookmarkEnd w:id="18549"/>
      <w:r>
        <w:rPr>
          <w:rFonts w:hint="cs"/>
          <w:rtl/>
        </w:rPr>
        <w:t xml:space="preserve"> אני נותן 20 שניות.</w:t>
      </w:r>
    </w:p>
    <w:p w:rsidR="00337201" w:rsidRDefault="00337201" w:rsidP="00337201">
      <w:pPr>
        <w:rPr>
          <w:rtl/>
        </w:rPr>
      </w:pPr>
    </w:p>
    <w:p w:rsidR="00337201" w:rsidRDefault="00337201" w:rsidP="00337201">
      <w:pPr>
        <w:ind w:firstLine="0"/>
        <w:rPr>
          <w:b/>
          <w:bCs/>
          <w:u w:val="single"/>
          <w:rtl/>
        </w:rPr>
      </w:pPr>
      <w:bookmarkStart w:id="18550" w:name="TOR_Q29"/>
      <w:bookmarkStart w:id="18551" w:name="_ETM_Q29_180000"/>
      <w:bookmarkStart w:id="18552" w:name="ET_speakercontinue_5785_2"/>
      <w:bookmarkEnd w:id="18550"/>
      <w:bookmarkEnd w:id="18551"/>
      <w:r>
        <w:rPr>
          <w:rStyle w:val="TagStyle"/>
          <w:rFonts w:hint="cs"/>
          <w:b/>
          <w:bCs/>
          <w:u w:val="single"/>
          <w:rtl/>
        </w:rPr>
        <w:t xml:space="preserve">&lt;&lt; דובר_המשך &gt;&gt; </w:t>
      </w:r>
      <w:r>
        <w:rPr>
          <w:rFonts w:hint="cs"/>
          <w:b/>
          <w:bCs/>
          <w:u w:val="single"/>
          <w:rtl/>
        </w:rPr>
        <w:t>עופר כסיף (חד"ש-תע"ל):</w:t>
      </w:r>
      <w:r>
        <w:rPr>
          <w:rStyle w:val="TagStyle"/>
          <w:b/>
          <w:bCs/>
          <w:u w:val="single"/>
          <w:rtl/>
        </w:rPr>
        <w:t xml:space="preserve"> &lt;&lt; דובר_המשך &gt;&gt;</w:t>
      </w:r>
      <w:r>
        <w:rPr>
          <w:rFonts w:hint="cs"/>
          <w:b/>
          <w:bCs/>
          <w:u w:val="single"/>
          <w:rtl/>
        </w:rPr>
        <w:t xml:space="preserve">   </w:t>
      </w:r>
      <w:bookmarkEnd w:id="18552"/>
    </w:p>
    <w:p w:rsidR="00337201" w:rsidRDefault="00337201" w:rsidP="00337201">
      <w:pPr>
        <w:rPr>
          <w:rtl/>
          <w:lang w:eastAsia="he-IL"/>
        </w:rPr>
      </w:pPr>
    </w:p>
    <w:p w:rsidR="00337201" w:rsidRDefault="00337201" w:rsidP="00337201">
      <w:pPr>
        <w:rPr>
          <w:lang w:eastAsia="he-IL"/>
        </w:rPr>
      </w:pPr>
      <w:r>
        <w:rPr>
          <w:rFonts w:hint="cs"/>
          <w:rtl/>
          <w:lang w:eastAsia="he-IL"/>
        </w:rPr>
        <w:t xml:space="preserve">אני מסיים, משפט אחרון. </w:t>
      </w:r>
      <w:bookmarkStart w:id="18553" w:name="_ETM_Q29_158227"/>
      <w:bookmarkStart w:id="18554" w:name="_ETM_Q29_158309"/>
      <w:bookmarkStart w:id="18555" w:name="_ETM_Q29_158371"/>
      <w:bookmarkStart w:id="18556" w:name="_ETM_Q29_158450"/>
      <w:bookmarkStart w:id="18557" w:name="_ETM_Q29_160275"/>
      <w:bookmarkStart w:id="18558" w:name="_ETM_Q29_160338"/>
      <w:bookmarkEnd w:id="18553"/>
      <w:bookmarkEnd w:id="18554"/>
      <w:bookmarkEnd w:id="18555"/>
      <w:bookmarkEnd w:id="18556"/>
      <w:bookmarkEnd w:id="18557"/>
      <w:bookmarkEnd w:id="18558"/>
      <w:r>
        <w:rPr>
          <w:rFonts w:hint="cs"/>
          <w:rtl/>
          <w:lang w:eastAsia="he-IL"/>
        </w:rPr>
        <w:t xml:space="preserve">זכות האזרחים ואף חובתם להפיל את הממשלה </w:t>
      </w:r>
      <w:bookmarkStart w:id="18559" w:name="_ETM_Q29_166578"/>
      <w:bookmarkEnd w:id="18559"/>
      <w:r>
        <w:rPr>
          <w:rFonts w:hint="cs"/>
          <w:rtl/>
          <w:lang w:eastAsia="he-IL"/>
        </w:rPr>
        <w:t xml:space="preserve">הזאת בכל דרך בלתי אלימה שקיימת ולקבוע ערבויות חדשות לביטחונם. </w:t>
      </w:r>
    </w:p>
    <w:p w:rsidR="00337201" w:rsidRDefault="00337201" w:rsidP="00337201">
      <w:pPr>
        <w:rPr>
          <w:rtl/>
          <w:lang w:eastAsia="he-IL"/>
        </w:rPr>
      </w:pPr>
      <w:bookmarkStart w:id="18560" w:name="_ETM_Q29_172792"/>
      <w:bookmarkStart w:id="18561" w:name="_ETM_Q29_172884"/>
      <w:bookmarkEnd w:id="18560"/>
      <w:bookmarkEnd w:id="18561"/>
    </w:p>
    <w:p w:rsidR="00337201" w:rsidRDefault="00337201" w:rsidP="00337201">
      <w:pPr>
        <w:rPr>
          <w:rtl/>
          <w:lang w:eastAsia="he-IL"/>
        </w:rPr>
      </w:pPr>
      <w:bookmarkStart w:id="18562" w:name="_ETM_Q29_172936"/>
      <w:bookmarkStart w:id="18563" w:name="_ETM_Q29_173019"/>
      <w:bookmarkEnd w:id="18562"/>
      <w:bookmarkEnd w:id="18563"/>
      <w:r>
        <w:rPr>
          <w:rFonts w:hint="cs"/>
          <w:rtl/>
          <w:lang w:eastAsia="he-IL"/>
        </w:rPr>
        <w:t xml:space="preserve">משפט באמת אחרון – אבל חשוב לזכור שערבויות כאלה לעולם </w:t>
      </w:r>
      <w:bookmarkStart w:id="18564" w:name="_ETM_Q29_178281"/>
      <w:bookmarkEnd w:id="18564"/>
      <w:r>
        <w:rPr>
          <w:rFonts w:hint="cs"/>
          <w:rtl/>
          <w:lang w:eastAsia="he-IL"/>
        </w:rPr>
        <w:t xml:space="preserve">לא תושגנה - - </w:t>
      </w:r>
    </w:p>
    <w:p w:rsidR="00337201" w:rsidRDefault="00337201" w:rsidP="00337201">
      <w:pPr>
        <w:ind w:left="720"/>
        <w:rPr>
          <w:rtl/>
          <w:lang w:eastAsia="he-IL"/>
        </w:rPr>
      </w:pPr>
    </w:p>
    <w:p w:rsidR="00337201" w:rsidRDefault="00337201" w:rsidP="00337201">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337201" w:rsidRDefault="00337201" w:rsidP="00337201">
      <w:pPr>
        <w:rPr>
          <w:rtl/>
          <w:lang w:eastAsia="he-IL"/>
        </w:rPr>
      </w:pPr>
    </w:p>
    <w:p w:rsidR="00337201" w:rsidRDefault="00337201" w:rsidP="00337201">
      <w:pPr>
        <w:rPr>
          <w:rtl/>
          <w:lang w:eastAsia="he-IL"/>
        </w:rPr>
      </w:pPr>
      <w:r>
        <w:rPr>
          <w:rFonts w:hint="cs"/>
          <w:rtl/>
          <w:lang w:eastAsia="he-IL"/>
        </w:rPr>
        <w:t xml:space="preserve">תודה רבה. חבר הכנסת ואליד אלהואשלה. </w:t>
      </w:r>
    </w:p>
    <w:p w:rsidR="00BB59CD" w:rsidRDefault="00BB59CD" w:rsidP="00BB59CD">
      <w:pPr>
        <w:ind w:left="720"/>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18565" w:name="_ETM_Q29_126007"/>
      <w:bookmarkEnd w:id="18565"/>
      <w:r>
        <w:rPr>
          <w:rFonts w:hint="cs"/>
          <w:rtl/>
          <w:lang w:eastAsia="he-IL"/>
        </w:rPr>
        <w:t xml:space="preserve">תודה רבה. חבר הכנסת ואליד אלהואשלה. </w:t>
      </w:r>
    </w:p>
    <w:p w:rsidR="00BB59CD" w:rsidRDefault="00BB59CD" w:rsidP="00BB59CD">
      <w:pPr>
        <w:rPr>
          <w:rtl/>
          <w:lang w:eastAsia="he-IL"/>
        </w:rPr>
      </w:pPr>
    </w:p>
    <w:p w:rsidR="00BB59CD" w:rsidRDefault="00BB59CD" w:rsidP="00BB59CD">
      <w:pPr>
        <w:ind w:firstLine="0"/>
        <w:rPr>
          <w:b/>
          <w:bCs/>
          <w:u w:val="single"/>
          <w:rtl/>
        </w:rPr>
      </w:pPr>
      <w:bookmarkStart w:id="18566" w:name="_ETM_Q29_126875"/>
      <w:bookmarkEnd w:id="18566"/>
      <w:r>
        <w:rPr>
          <w:rStyle w:val="TagStyle"/>
          <w:rFonts w:hint="cs"/>
          <w:b/>
          <w:bCs/>
          <w:u w:val="single"/>
          <w:rtl/>
        </w:rPr>
        <w:t xml:space="preserve">&lt;&lt; דובר_המשך &gt;&gt; </w:t>
      </w:r>
      <w:r>
        <w:rPr>
          <w:rFonts w:hint="cs"/>
          <w:b/>
          <w:bCs/>
          <w:u w:val="single"/>
          <w:rtl/>
        </w:rPr>
        <w:t>עופר כסיף (חד"ש-תע"ל):</w:t>
      </w:r>
      <w:r>
        <w:rPr>
          <w:rStyle w:val="TagStyle"/>
          <w:b/>
          <w:bCs/>
          <w:u w:val="single"/>
          <w:rtl/>
        </w:rPr>
        <w:t xml:space="preserve"> &lt;&lt; דובר_המשך &gt;&gt;</w:t>
      </w:r>
      <w:r>
        <w:rPr>
          <w:rFonts w:hint="cs"/>
          <w:b/>
          <w:bCs/>
          <w:u w:val="single"/>
          <w:rtl/>
        </w:rPr>
        <w:t xml:space="preserve">   </w:t>
      </w:r>
    </w:p>
    <w:p w:rsidR="00BB59CD" w:rsidRDefault="00BB59CD" w:rsidP="00BB59CD">
      <w:pPr>
        <w:rPr>
          <w:rtl/>
        </w:rPr>
      </w:pPr>
    </w:p>
    <w:p w:rsidR="00BB59CD" w:rsidRDefault="00BB59CD" w:rsidP="00BB59CD">
      <w:pPr>
        <w:rPr>
          <w:rtl/>
        </w:rPr>
      </w:pPr>
      <w:bookmarkStart w:id="18567" w:name="_ETM_Q29_174111"/>
      <w:bookmarkStart w:id="18568" w:name="_ETM_Q29_174185"/>
      <w:bookmarkEnd w:id="18567"/>
      <w:bookmarkEnd w:id="18568"/>
      <w:r>
        <w:rPr>
          <w:rFonts w:hint="cs"/>
          <w:rtl/>
        </w:rPr>
        <w:t xml:space="preserve">- - עם גזענות, עם </w:t>
      </w:r>
      <w:bookmarkStart w:id="18569" w:name="_ETM_Q29_180191"/>
      <w:bookmarkEnd w:id="18569"/>
      <w:r>
        <w:rPr>
          <w:rFonts w:hint="cs"/>
          <w:rtl/>
        </w:rPr>
        <w:t xml:space="preserve">כיבוש, עם - - - לאומנית ועם פונדמנטליזם דתי. </w:t>
      </w:r>
    </w:p>
    <w:p w:rsidR="00BB59CD" w:rsidRDefault="00BB59CD" w:rsidP="00BB59CD">
      <w:pPr>
        <w:rPr>
          <w:rtl/>
        </w:rPr>
      </w:pPr>
      <w:bookmarkStart w:id="18570" w:name="_ETM_Q29_177008"/>
      <w:bookmarkStart w:id="18571" w:name="_ETM_Q29_177093"/>
      <w:bookmarkEnd w:id="18570"/>
      <w:bookmarkEnd w:id="18571"/>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אני סופר את הזמן מהרגע שאתה קם. </w:t>
      </w:r>
    </w:p>
    <w:p w:rsidR="00BB59CD" w:rsidRDefault="00BB59CD" w:rsidP="00BB59CD">
      <w:pPr>
        <w:rPr>
          <w:rtl/>
        </w:rPr>
      </w:pPr>
      <w:bookmarkStart w:id="18572" w:name="_ETM_Q29_180774"/>
      <w:bookmarkStart w:id="18573" w:name="_ETM_Q29_180887"/>
      <w:bookmarkEnd w:id="18572"/>
      <w:bookmarkEnd w:id="18573"/>
    </w:p>
    <w:p w:rsidR="00BB59CD" w:rsidRDefault="00BB59CD" w:rsidP="00BB59CD">
      <w:pPr>
        <w:pStyle w:val="af8"/>
        <w:keepNext/>
        <w:rPr>
          <w:rtl/>
        </w:rPr>
      </w:pPr>
      <w:bookmarkStart w:id="18574" w:name="ET_interruption_5264_10"/>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18574"/>
    </w:p>
    <w:p w:rsidR="00BB59CD" w:rsidRDefault="00BB59CD" w:rsidP="00337201">
      <w:pPr>
        <w:rPr>
          <w:rtl/>
        </w:rPr>
      </w:pPr>
    </w:p>
    <w:p w:rsidR="00BB59CD" w:rsidRDefault="00BB59CD" w:rsidP="00BB59CD">
      <w:pPr>
        <w:rPr>
          <w:rtl/>
        </w:rPr>
      </w:pPr>
      <w:r>
        <w:rPr>
          <w:rFonts w:hint="cs"/>
          <w:rtl/>
        </w:rPr>
        <w:t xml:space="preserve">תסכם לנו את הנאום של עופר במשפט.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18575" w:name="_ETM_Q29_193385"/>
      <w:bookmarkEnd w:id="18575"/>
      <w:r>
        <w:rPr>
          <w:rFonts w:hint="cs"/>
          <w:rtl/>
        </w:rPr>
        <w:t xml:space="preserve">לא שמעתי, לא </w:t>
      </w:r>
      <w:bookmarkStart w:id="18576" w:name="_ETM_Q29_196032"/>
      <w:bookmarkEnd w:id="18576"/>
      <w:r>
        <w:rPr>
          <w:rFonts w:hint="cs"/>
          <w:rtl/>
        </w:rPr>
        <w:t xml:space="preserve">הקשבתי הרבה, האמת היא. </w:t>
      </w:r>
    </w:p>
    <w:p w:rsidR="00BB59CD" w:rsidRDefault="00BB59CD" w:rsidP="00BB59CD">
      <w:pPr>
        <w:rPr>
          <w:rtl/>
        </w:rPr>
      </w:pPr>
    </w:p>
    <w:p w:rsidR="00BB59CD" w:rsidRDefault="00BB59CD" w:rsidP="00BB59CD">
      <w:pPr>
        <w:pStyle w:val="af8"/>
        <w:keepNext/>
        <w:rPr>
          <w:rtl/>
        </w:rPr>
      </w:pPr>
      <w:bookmarkStart w:id="18577" w:name="ET_interruption_5785_12"/>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18577"/>
    </w:p>
    <w:p w:rsidR="00BB59CD" w:rsidRDefault="00BB59CD" w:rsidP="00337201">
      <w:pPr>
        <w:rPr>
          <w:rtl/>
        </w:rPr>
      </w:pPr>
    </w:p>
    <w:p w:rsidR="00BB59CD" w:rsidRDefault="00BB59CD" w:rsidP="00BB59CD">
      <w:pPr>
        <w:rPr>
          <w:rtl/>
        </w:rPr>
      </w:pPr>
      <w:r>
        <w:rPr>
          <w:rFonts w:hint="cs"/>
          <w:rtl/>
        </w:rPr>
        <w:t xml:space="preserve">זה אני מאמין לך. </w:t>
      </w:r>
    </w:p>
    <w:p w:rsidR="00BB59CD" w:rsidRDefault="00BB59CD" w:rsidP="00BB59CD">
      <w:pPr>
        <w:rPr>
          <w:rtl/>
        </w:rPr>
      </w:pPr>
      <w:bookmarkStart w:id="18578" w:name="_ETM_Q29_192951"/>
      <w:bookmarkStart w:id="18579" w:name="_ETM_Q29_193030"/>
      <w:bookmarkEnd w:id="18578"/>
      <w:bookmarkEnd w:id="18579"/>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לא, היה פה גם בוסו. הוא סבל את הרוב. </w:t>
      </w:r>
    </w:p>
    <w:p w:rsidR="00BB59CD" w:rsidRDefault="00BB59CD" w:rsidP="00BB59CD">
      <w:pPr>
        <w:rPr>
          <w:rtl/>
        </w:rPr>
      </w:pPr>
      <w:bookmarkStart w:id="18580" w:name="_ETM_Q29_196731"/>
      <w:bookmarkStart w:id="18581" w:name="_ETM_Q29_196807"/>
      <w:bookmarkEnd w:id="18580"/>
      <w:bookmarkEnd w:id="18581"/>
    </w:p>
    <w:p w:rsidR="00BB59CD" w:rsidRDefault="00BB59CD" w:rsidP="00BB59CD">
      <w:pPr>
        <w:pStyle w:val="a5"/>
        <w:keepNext/>
        <w:rPr>
          <w:rtl/>
        </w:rPr>
      </w:pPr>
      <w:bookmarkStart w:id="18582" w:name="_ETM_Q29_189654"/>
      <w:bookmarkStart w:id="18583" w:name="_ETM_Q29_189751"/>
      <w:bookmarkStart w:id="18584" w:name="ET_speaker_6340_9"/>
      <w:bookmarkEnd w:id="18582"/>
      <w:bookmarkEnd w:id="18583"/>
      <w:r>
        <w:rPr>
          <w:rStyle w:val="TagStyle"/>
          <w:rFonts w:hint="cs"/>
          <w:rtl/>
        </w:rPr>
        <w:t xml:space="preserve"> &lt;&lt; דובר &gt;&gt; </w:t>
      </w:r>
      <w:bookmarkStart w:id="18585" w:name="_Toc141197144"/>
      <w:bookmarkStart w:id="18586" w:name="_Toc141196880"/>
      <w:bookmarkStart w:id="18587" w:name="_Toc141040471"/>
      <w:bookmarkStart w:id="18588" w:name="_Toc141034702"/>
      <w:r>
        <w:rPr>
          <w:rFonts w:hint="cs"/>
          <w:rtl/>
        </w:rPr>
        <w:t>ואליד אלהואשלה (רע"מ – הרשימה הערבית המאוחדת):</w:t>
      </w:r>
      <w:bookmarkEnd w:id="18585"/>
      <w:bookmarkEnd w:id="18586"/>
      <w:bookmarkEnd w:id="18587"/>
      <w:bookmarkEnd w:id="18588"/>
      <w:r>
        <w:rPr>
          <w:rStyle w:val="TagStyle"/>
          <w:rFonts w:hint="cs"/>
          <w:rtl/>
        </w:rPr>
        <w:t xml:space="preserve"> &lt;&lt; דובר &gt;&gt;</w:t>
      </w:r>
      <w:r>
        <w:rPr>
          <w:rFonts w:hint="cs"/>
          <w:rtl/>
        </w:rPr>
        <w:t xml:space="preserve">   </w:t>
      </w:r>
      <w:bookmarkEnd w:id="18584"/>
    </w:p>
    <w:p w:rsidR="00BB59CD" w:rsidRDefault="00BB59CD" w:rsidP="00337201">
      <w:pPr>
        <w:rPr>
          <w:rtl/>
        </w:rPr>
      </w:pPr>
    </w:p>
    <w:p w:rsidR="00BB59CD" w:rsidRDefault="00BB59CD" w:rsidP="00A021B9">
      <w:pPr>
        <w:rPr>
          <w:rtl/>
        </w:rPr>
      </w:pPr>
      <w:bookmarkStart w:id="18589" w:name="_ETM_Q29_192547"/>
      <w:bookmarkStart w:id="18590" w:name="_ETM_Q29_182108"/>
      <w:bookmarkStart w:id="18591" w:name="_ETM_Q29_180930"/>
      <w:bookmarkStart w:id="18592" w:name="_ETM_Q29_181020"/>
      <w:bookmarkStart w:id="18593" w:name="_ETM_Q29_181110"/>
      <w:bookmarkStart w:id="18594" w:name="_ETM_Q29_181319"/>
      <w:bookmarkStart w:id="18595" w:name="_ETM_Q29_181920"/>
      <w:bookmarkStart w:id="18596" w:name="_ETM_Q29_182310"/>
      <w:bookmarkStart w:id="18597" w:name="_ETM_Q29_182699"/>
      <w:bookmarkStart w:id="18598" w:name="_ETM_Q29_183570"/>
      <w:bookmarkStart w:id="18599" w:name="_ETM_Q29_183870"/>
      <w:bookmarkStart w:id="18600" w:name="_ETM_Q29_184019"/>
      <w:bookmarkStart w:id="18601" w:name="_ETM_Q29_184290"/>
      <w:bookmarkStart w:id="18602" w:name="_ETM_Q29_184350"/>
      <w:bookmarkStart w:id="18603" w:name="_ETM_Q29_184590"/>
      <w:bookmarkStart w:id="18604" w:name="_ETM_Q29_184769"/>
      <w:bookmarkStart w:id="18605" w:name="_ETM_Q29_184950"/>
      <w:bookmarkStart w:id="18606" w:name="_ETM_Q29_193820"/>
      <w:bookmarkStart w:id="18607" w:name="_ETM_Q29_194060"/>
      <w:bookmarkStart w:id="18608" w:name="_ETM_Q29_194480"/>
      <w:bookmarkStart w:id="18609" w:name="_ETM_Q29_194570"/>
      <w:bookmarkStart w:id="18610" w:name="_ETM_Q29_194930"/>
      <w:bookmarkStart w:id="18611" w:name="_ETM_Q29_195200"/>
      <w:bookmarkStart w:id="18612" w:name="_ETM_Q29_196420"/>
      <w:bookmarkStart w:id="18613" w:name="_ETM_Q29_196540"/>
      <w:bookmarkStart w:id="18614" w:name="_ETM_Q29_198310"/>
      <w:bookmarkStart w:id="18615" w:name="_ETM_Q29_198519"/>
      <w:bookmarkStart w:id="18616" w:name="_ETM_Q29_198730"/>
      <w:bookmarkStart w:id="18617" w:name="_ETM_Q29_198910"/>
      <w:bookmarkStart w:id="18618" w:name="_ETM_Q29_199359"/>
      <w:bookmarkStart w:id="18619" w:name="_ETM_Q29_199810"/>
      <w:bookmarkStart w:id="18620" w:name="_ETM_Q29_200859"/>
      <w:bookmarkStart w:id="18621" w:name="_ETM_Q29_201009"/>
      <w:bookmarkStart w:id="18622" w:name="_ETM_Q29_220729"/>
      <w:bookmarkStart w:id="18623" w:name="_ETM_Q29_221150"/>
      <w:bookmarkStart w:id="18624" w:name="_ETM_Q29_221600"/>
      <w:bookmarkStart w:id="18625" w:name="_ETM_Q29_221960"/>
      <w:bookmarkStart w:id="18626" w:name="_ETM_Q29_222229"/>
      <w:bookmarkStart w:id="18627" w:name="_ETM_Q29_224429"/>
      <w:bookmarkStart w:id="18628" w:name="_ETM_Q29_224909"/>
      <w:bookmarkStart w:id="18629" w:name="_ETM_Q29_225390"/>
      <w:bookmarkStart w:id="18630" w:name="_ETM_Q29_225539"/>
      <w:bookmarkStart w:id="18631" w:name="_ETM_Q29_225870"/>
      <w:bookmarkStart w:id="18632" w:name="_ETM_Q29_226289"/>
      <w:bookmarkStart w:id="18633" w:name="_ETM_Q29_226769"/>
      <w:bookmarkStart w:id="18634" w:name="_ETM_Q29_226829"/>
      <w:bookmarkStart w:id="18635" w:name="_ETM_Q29_227190"/>
      <w:bookmarkStart w:id="18636" w:name="_ETM_Q29_228640"/>
      <w:bookmarkStart w:id="18637" w:name="_ETM_Q29_229120"/>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r>
        <w:rPr>
          <w:rFonts w:hint="cs"/>
          <w:rtl/>
        </w:rPr>
        <w:t xml:space="preserve">מכובדי היושב-ראש, מכובדיי </w:t>
      </w:r>
      <w:bookmarkStart w:id="18638" w:name="_ETM_Q29_224938"/>
      <w:bookmarkEnd w:id="18638"/>
      <w:r>
        <w:rPr>
          <w:rFonts w:hint="cs"/>
          <w:rtl/>
        </w:rPr>
        <w:t xml:space="preserve">חברי הכנסת, מדובר כאן על שינוי מהותי, שמגביל את מערכת </w:t>
      </w:r>
      <w:bookmarkStart w:id="18639" w:name="_ETM_Q29_225455"/>
      <w:bookmarkEnd w:id="18639"/>
      <w:r>
        <w:rPr>
          <w:rFonts w:hint="cs"/>
          <w:rtl/>
        </w:rPr>
        <w:t xml:space="preserve">המשפט ונותן יד </w:t>
      </w:r>
      <w:bookmarkStart w:id="18640" w:name="_ETM_Q29_229270"/>
      <w:bookmarkEnd w:id="18640"/>
      <w:r>
        <w:rPr>
          <w:rFonts w:hint="cs"/>
          <w:rtl/>
        </w:rPr>
        <w:t xml:space="preserve">חופשית </w:t>
      </w:r>
      <w:bookmarkStart w:id="18641" w:name="_ETM_Q29_229659"/>
      <w:bookmarkEnd w:id="18641"/>
      <w:r>
        <w:rPr>
          <w:rFonts w:hint="cs"/>
          <w:rtl/>
        </w:rPr>
        <w:t xml:space="preserve">לממשלה </w:t>
      </w:r>
      <w:bookmarkStart w:id="18642" w:name="_ETM_Q29_230200"/>
      <w:bookmarkEnd w:id="18642"/>
      <w:r>
        <w:rPr>
          <w:rFonts w:hint="cs"/>
          <w:rtl/>
        </w:rPr>
        <w:t xml:space="preserve">להחליט </w:t>
      </w:r>
      <w:bookmarkStart w:id="18643" w:name="_ETM_Q29_231120"/>
      <w:bookmarkEnd w:id="18643"/>
      <w:r>
        <w:rPr>
          <w:rFonts w:hint="cs"/>
          <w:rtl/>
        </w:rPr>
        <w:t xml:space="preserve">למנות </w:t>
      </w:r>
      <w:bookmarkStart w:id="18644" w:name="_ETM_Q29_231690"/>
      <w:bookmarkEnd w:id="18644"/>
      <w:r>
        <w:rPr>
          <w:rFonts w:hint="cs"/>
          <w:rtl/>
        </w:rPr>
        <w:t xml:space="preserve">ולקבל </w:t>
      </w:r>
      <w:bookmarkStart w:id="18645" w:name="_ETM_Q29_232079"/>
      <w:bookmarkEnd w:id="18645"/>
      <w:r>
        <w:rPr>
          <w:rFonts w:hint="cs"/>
          <w:rtl/>
        </w:rPr>
        <w:t xml:space="preserve">החלטות </w:t>
      </w:r>
      <w:bookmarkStart w:id="18646" w:name="_ETM_Q29_233320"/>
      <w:bookmarkEnd w:id="18646"/>
      <w:r>
        <w:rPr>
          <w:rFonts w:hint="cs"/>
          <w:rtl/>
        </w:rPr>
        <w:t xml:space="preserve">אשר </w:t>
      </w:r>
      <w:bookmarkStart w:id="18647" w:name="_ETM_Q29_233649"/>
      <w:bookmarkEnd w:id="18647"/>
      <w:r>
        <w:rPr>
          <w:rFonts w:hint="cs"/>
          <w:rtl/>
        </w:rPr>
        <w:t xml:space="preserve">עלולות </w:t>
      </w:r>
      <w:bookmarkStart w:id="18648" w:name="_ETM_Q29_234219"/>
      <w:bookmarkEnd w:id="18648"/>
      <w:r>
        <w:rPr>
          <w:rFonts w:hint="cs"/>
          <w:rtl/>
        </w:rPr>
        <w:t xml:space="preserve">לפגוע </w:t>
      </w:r>
      <w:bookmarkStart w:id="18649" w:name="_ETM_Q29_234940"/>
      <w:bookmarkEnd w:id="18649"/>
      <w:r>
        <w:rPr>
          <w:rFonts w:hint="cs"/>
          <w:rtl/>
        </w:rPr>
        <w:t xml:space="preserve">בכלל </w:t>
      </w:r>
      <w:bookmarkStart w:id="18650" w:name="_ETM_Q29_235239"/>
      <w:bookmarkEnd w:id="18650"/>
      <w:r>
        <w:rPr>
          <w:rFonts w:hint="cs"/>
          <w:rtl/>
        </w:rPr>
        <w:t>האזרחים</w:t>
      </w:r>
      <w:bookmarkStart w:id="18651" w:name="_ETM_Q29_236619"/>
      <w:bookmarkEnd w:id="18651"/>
      <w:r>
        <w:rPr>
          <w:rFonts w:hint="cs"/>
          <w:rtl/>
        </w:rPr>
        <w:t xml:space="preserve">, </w:t>
      </w:r>
      <w:bookmarkStart w:id="18652" w:name="_ETM_Q29_221522"/>
      <w:bookmarkStart w:id="18653" w:name="_ETM_Q29_237369"/>
      <w:bookmarkEnd w:id="18652"/>
      <w:bookmarkEnd w:id="18653"/>
      <w:r>
        <w:rPr>
          <w:rFonts w:hint="cs"/>
          <w:rtl/>
        </w:rPr>
        <w:t xml:space="preserve">במיעוטים </w:t>
      </w:r>
      <w:bookmarkStart w:id="18654" w:name="_ETM_Q29_238149"/>
      <w:bookmarkEnd w:id="18654"/>
      <w:r>
        <w:rPr>
          <w:rFonts w:hint="cs"/>
          <w:rtl/>
        </w:rPr>
        <w:t xml:space="preserve">בכלל </w:t>
      </w:r>
      <w:bookmarkStart w:id="18655" w:name="_ETM_Q29_238659"/>
      <w:bookmarkEnd w:id="18655"/>
      <w:r>
        <w:rPr>
          <w:rFonts w:hint="cs"/>
          <w:rtl/>
        </w:rPr>
        <w:t xml:space="preserve">ובחברה </w:t>
      </w:r>
      <w:bookmarkStart w:id="18656" w:name="_ETM_Q29_239139"/>
      <w:bookmarkEnd w:id="18656"/>
      <w:r>
        <w:rPr>
          <w:rFonts w:hint="cs"/>
          <w:rtl/>
        </w:rPr>
        <w:t xml:space="preserve">הערבית </w:t>
      </w:r>
      <w:bookmarkStart w:id="18657" w:name="_ETM_Q29_239409"/>
      <w:bookmarkEnd w:id="18657"/>
      <w:r>
        <w:rPr>
          <w:rFonts w:hint="cs"/>
          <w:rtl/>
        </w:rPr>
        <w:t xml:space="preserve">בפרט. </w:t>
      </w:r>
      <w:bookmarkStart w:id="18658" w:name="_ETM_Q29_241140"/>
      <w:bookmarkStart w:id="18659" w:name="_ETM_Q29_240240"/>
      <w:bookmarkStart w:id="18660" w:name="_ETM_Q29_240318"/>
      <w:bookmarkStart w:id="18661" w:name="_ETM_Q29_240368"/>
      <w:bookmarkStart w:id="18662" w:name="_ETM_Q29_240424"/>
      <w:bookmarkEnd w:id="18658"/>
      <w:bookmarkEnd w:id="18659"/>
      <w:bookmarkEnd w:id="18660"/>
      <w:bookmarkEnd w:id="18661"/>
      <w:bookmarkEnd w:id="18662"/>
      <w:r>
        <w:rPr>
          <w:rFonts w:hint="cs"/>
          <w:rtl/>
        </w:rPr>
        <w:t xml:space="preserve">למרות </w:t>
      </w:r>
      <w:bookmarkStart w:id="18663" w:name="_ETM_Q29_241559"/>
      <w:bookmarkEnd w:id="18663"/>
      <w:r>
        <w:rPr>
          <w:rFonts w:hint="cs"/>
          <w:rtl/>
        </w:rPr>
        <w:t xml:space="preserve">שבית </w:t>
      </w:r>
      <w:bookmarkStart w:id="18664" w:name="_ETM_Q29_241829"/>
      <w:bookmarkEnd w:id="18664"/>
      <w:r>
        <w:rPr>
          <w:rFonts w:hint="cs"/>
          <w:rtl/>
        </w:rPr>
        <w:t xml:space="preserve">המשפט </w:t>
      </w:r>
      <w:bookmarkStart w:id="18665" w:name="_ETM_Q29_242219"/>
      <w:bookmarkEnd w:id="18665"/>
      <w:r>
        <w:rPr>
          <w:rFonts w:hint="cs"/>
          <w:rtl/>
        </w:rPr>
        <w:t xml:space="preserve">העליון </w:t>
      </w:r>
      <w:bookmarkStart w:id="18666" w:name="_ETM_Q29_242550"/>
      <w:bookmarkEnd w:id="18666"/>
      <w:r>
        <w:rPr>
          <w:rFonts w:hint="cs"/>
          <w:rtl/>
        </w:rPr>
        <w:t xml:space="preserve">כמעט </w:t>
      </w:r>
      <w:bookmarkStart w:id="18667" w:name="_ETM_Q29_242910"/>
      <w:bookmarkEnd w:id="18667"/>
      <w:r>
        <w:rPr>
          <w:rFonts w:hint="cs"/>
          <w:rtl/>
        </w:rPr>
        <w:t xml:space="preserve">לא עמד </w:t>
      </w:r>
      <w:bookmarkStart w:id="18668" w:name="_ETM_Q29_243420"/>
      <w:bookmarkEnd w:id="18668"/>
      <w:r>
        <w:rPr>
          <w:rFonts w:hint="cs"/>
          <w:rtl/>
        </w:rPr>
        <w:t xml:space="preserve">לצד </w:t>
      </w:r>
      <w:bookmarkStart w:id="18669" w:name="_ETM_Q29_243750"/>
      <w:bookmarkEnd w:id="18669"/>
      <w:r>
        <w:rPr>
          <w:rFonts w:hint="cs"/>
          <w:rtl/>
        </w:rPr>
        <w:t xml:space="preserve">המיעוט </w:t>
      </w:r>
      <w:bookmarkStart w:id="18670" w:name="_ETM_Q29_244319"/>
      <w:bookmarkEnd w:id="18670"/>
      <w:r>
        <w:rPr>
          <w:rFonts w:hint="cs"/>
          <w:rtl/>
        </w:rPr>
        <w:t xml:space="preserve">ברוב </w:t>
      </w:r>
      <w:bookmarkStart w:id="18671" w:name="_ETM_Q29_244650"/>
      <w:bookmarkEnd w:id="18671"/>
      <w:r>
        <w:rPr>
          <w:rFonts w:hint="cs"/>
          <w:rtl/>
        </w:rPr>
        <w:t xml:space="preserve">המקרים, </w:t>
      </w:r>
      <w:bookmarkStart w:id="18672" w:name="_ETM_Q29_245929"/>
      <w:bookmarkEnd w:id="18672"/>
      <w:r>
        <w:rPr>
          <w:rFonts w:hint="cs"/>
          <w:rtl/>
        </w:rPr>
        <w:t xml:space="preserve">אנחנו </w:t>
      </w:r>
      <w:bookmarkStart w:id="18673" w:name="_ETM_Q29_246409"/>
      <w:bookmarkEnd w:id="18673"/>
      <w:r>
        <w:rPr>
          <w:rFonts w:hint="cs"/>
          <w:rtl/>
        </w:rPr>
        <w:t xml:space="preserve">נגד </w:t>
      </w:r>
      <w:bookmarkStart w:id="18674" w:name="_ETM_Q29_246920"/>
      <w:bookmarkEnd w:id="18674"/>
      <w:r>
        <w:rPr>
          <w:rFonts w:hint="cs"/>
          <w:rtl/>
        </w:rPr>
        <w:t xml:space="preserve">השינוי </w:t>
      </w:r>
      <w:bookmarkStart w:id="18675" w:name="_ETM_Q29_247520"/>
      <w:bookmarkEnd w:id="18675"/>
      <w:r>
        <w:rPr>
          <w:rFonts w:hint="cs"/>
          <w:rtl/>
        </w:rPr>
        <w:t xml:space="preserve">המהותי </w:t>
      </w:r>
      <w:bookmarkStart w:id="18676" w:name="_ETM_Q29_247939"/>
      <w:bookmarkEnd w:id="18676"/>
      <w:r>
        <w:rPr>
          <w:rFonts w:hint="cs"/>
          <w:rtl/>
        </w:rPr>
        <w:t xml:space="preserve">הזה. </w:t>
      </w:r>
      <w:bookmarkStart w:id="18677" w:name="_ETM_Q29_249330"/>
      <w:bookmarkEnd w:id="18677"/>
      <w:r>
        <w:rPr>
          <w:rFonts w:hint="cs"/>
          <w:rtl/>
        </w:rPr>
        <w:t xml:space="preserve">בנוסף, </w:t>
      </w:r>
      <w:bookmarkStart w:id="18678" w:name="_ETM_Q29_249840"/>
      <w:bookmarkEnd w:id="18678"/>
      <w:r>
        <w:rPr>
          <w:rFonts w:hint="cs"/>
          <w:rtl/>
        </w:rPr>
        <w:t xml:space="preserve">בית </w:t>
      </w:r>
      <w:bookmarkStart w:id="18679" w:name="_ETM_Q29_250080"/>
      <w:bookmarkEnd w:id="18679"/>
      <w:r>
        <w:rPr>
          <w:rFonts w:hint="cs"/>
          <w:rtl/>
        </w:rPr>
        <w:t xml:space="preserve">המשפט </w:t>
      </w:r>
      <w:bookmarkStart w:id="18680" w:name="_ETM_Q29_250500"/>
      <w:bookmarkEnd w:id="18680"/>
      <w:r>
        <w:rPr>
          <w:rFonts w:hint="cs"/>
          <w:rtl/>
        </w:rPr>
        <w:t xml:space="preserve">העליון </w:t>
      </w:r>
      <w:bookmarkStart w:id="18681" w:name="_ETM_Q29_250920"/>
      <w:bookmarkEnd w:id="18681"/>
      <w:r>
        <w:rPr>
          <w:rFonts w:hint="cs"/>
          <w:rtl/>
        </w:rPr>
        <w:t xml:space="preserve">לא </w:t>
      </w:r>
      <w:bookmarkStart w:id="18682" w:name="_ETM_Q29_251069"/>
      <w:bookmarkEnd w:id="18682"/>
      <w:r>
        <w:rPr>
          <w:rFonts w:hint="cs"/>
          <w:rtl/>
        </w:rPr>
        <w:t xml:space="preserve">התערב </w:t>
      </w:r>
      <w:bookmarkStart w:id="18683" w:name="_ETM_Q29_251459"/>
      <w:bookmarkEnd w:id="18683"/>
      <w:r>
        <w:rPr>
          <w:rFonts w:hint="cs"/>
          <w:rtl/>
        </w:rPr>
        <w:t xml:space="preserve">בחוק </w:t>
      </w:r>
      <w:bookmarkStart w:id="18684" w:name="_ETM_Q29_251790"/>
      <w:bookmarkEnd w:id="18684"/>
      <w:r>
        <w:rPr>
          <w:rFonts w:hint="cs"/>
          <w:rtl/>
        </w:rPr>
        <w:t xml:space="preserve">הלאום </w:t>
      </w:r>
      <w:bookmarkStart w:id="18685" w:name="_ETM_Q29_252959"/>
      <w:bookmarkEnd w:id="18685"/>
      <w:r>
        <w:rPr>
          <w:rFonts w:hint="cs"/>
          <w:rtl/>
        </w:rPr>
        <w:t xml:space="preserve">ובחוק </w:t>
      </w:r>
      <w:bookmarkStart w:id="18686" w:name="_ETM_Q29_253500"/>
      <w:bookmarkEnd w:id="18686"/>
      <w:r>
        <w:rPr>
          <w:rFonts w:hint="cs"/>
          <w:rtl/>
        </w:rPr>
        <w:t xml:space="preserve">קמיניץ, </w:t>
      </w:r>
      <w:bookmarkStart w:id="18687" w:name="_ETM_Q29_254650"/>
      <w:bookmarkEnd w:id="18687"/>
      <w:r>
        <w:rPr>
          <w:rFonts w:hint="cs"/>
          <w:rtl/>
        </w:rPr>
        <w:t xml:space="preserve">למרות </w:t>
      </w:r>
      <w:bookmarkStart w:id="18688" w:name="_ETM_Q29_255069"/>
      <w:bookmarkEnd w:id="18688"/>
      <w:r>
        <w:rPr>
          <w:rFonts w:hint="cs"/>
          <w:rtl/>
        </w:rPr>
        <w:t xml:space="preserve">שהם </w:t>
      </w:r>
      <w:bookmarkStart w:id="18689" w:name="_ETM_Q29_255310"/>
      <w:bookmarkEnd w:id="18689"/>
      <w:r>
        <w:rPr>
          <w:rFonts w:hint="cs"/>
          <w:rtl/>
        </w:rPr>
        <w:t xml:space="preserve">פוגעים </w:t>
      </w:r>
      <w:bookmarkStart w:id="18690" w:name="_ETM_Q29_255730"/>
      <w:bookmarkEnd w:id="18690"/>
      <w:r>
        <w:rPr>
          <w:rFonts w:hint="cs"/>
          <w:rtl/>
        </w:rPr>
        <w:t xml:space="preserve">בעיקר </w:t>
      </w:r>
      <w:bookmarkStart w:id="18691" w:name="_ETM_Q29_256180"/>
      <w:bookmarkEnd w:id="18691"/>
      <w:r>
        <w:rPr>
          <w:rFonts w:hint="cs"/>
          <w:rtl/>
        </w:rPr>
        <w:t xml:space="preserve">בחברה </w:t>
      </w:r>
      <w:bookmarkStart w:id="18692" w:name="_ETM_Q29_256630"/>
      <w:bookmarkEnd w:id="18692"/>
      <w:r>
        <w:rPr>
          <w:rFonts w:hint="cs"/>
          <w:rtl/>
        </w:rPr>
        <w:t xml:space="preserve">הערבית </w:t>
      </w:r>
      <w:bookmarkStart w:id="18693" w:name="_ETM_Q29_257290"/>
      <w:bookmarkEnd w:id="18693"/>
      <w:r>
        <w:rPr>
          <w:rFonts w:hint="cs"/>
          <w:rtl/>
        </w:rPr>
        <w:t xml:space="preserve">ובחקלאים, </w:t>
      </w:r>
      <w:bookmarkStart w:id="18694" w:name="_ETM_Q29_258310"/>
      <w:bookmarkEnd w:id="18694"/>
      <w:r>
        <w:rPr>
          <w:rFonts w:hint="cs"/>
          <w:rtl/>
        </w:rPr>
        <w:t xml:space="preserve">במעמד </w:t>
      </w:r>
      <w:bookmarkStart w:id="18695" w:name="_ETM_Q29_258850"/>
      <w:bookmarkEnd w:id="18695"/>
      <w:r>
        <w:rPr>
          <w:rFonts w:hint="cs"/>
          <w:rtl/>
        </w:rPr>
        <w:t xml:space="preserve">האזרחים </w:t>
      </w:r>
      <w:bookmarkStart w:id="18696" w:name="_ETM_Q29_259360"/>
      <w:bookmarkEnd w:id="18696"/>
      <w:r>
        <w:rPr>
          <w:rFonts w:hint="cs"/>
          <w:rtl/>
        </w:rPr>
        <w:t xml:space="preserve">המוחלשים. </w:t>
      </w:r>
      <w:bookmarkStart w:id="18697" w:name="_ETM_Q29_261010"/>
      <w:bookmarkEnd w:id="18697"/>
      <w:r>
        <w:rPr>
          <w:rFonts w:hint="cs"/>
          <w:rtl/>
        </w:rPr>
        <w:t xml:space="preserve">חוקים </w:t>
      </w:r>
      <w:bookmarkStart w:id="18698" w:name="_ETM_Q29_261459"/>
      <w:bookmarkEnd w:id="18698"/>
      <w:r>
        <w:rPr>
          <w:rFonts w:hint="cs"/>
          <w:rtl/>
        </w:rPr>
        <w:t xml:space="preserve">מפלים </w:t>
      </w:r>
      <w:bookmarkStart w:id="18699" w:name="_ETM_Q29_262030"/>
      <w:bookmarkEnd w:id="18699"/>
      <w:r>
        <w:rPr>
          <w:rFonts w:hint="cs"/>
          <w:rtl/>
        </w:rPr>
        <w:t xml:space="preserve">אלו מקשים </w:t>
      </w:r>
      <w:bookmarkStart w:id="18700" w:name="_ETM_Q29_262209"/>
      <w:bookmarkStart w:id="18701" w:name="_ETM_Q29_263249"/>
      <w:bookmarkEnd w:id="18700"/>
      <w:bookmarkEnd w:id="18701"/>
      <w:r>
        <w:rPr>
          <w:rFonts w:hint="cs"/>
          <w:rtl/>
        </w:rPr>
        <w:t xml:space="preserve">את </w:t>
      </w:r>
      <w:bookmarkStart w:id="18702" w:name="_ETM_Q29_263429"/>
      <w:bookmarkEnd w:id="18702"/>
      <w:r>
        <w:rPr>
          <w:rFonts w:hint="cs"/>
          <w:rtl/>
        </w:rPr>
        <w:t xml:space="preserve">חיי </w:t>
      </w:r>
      <w:bookmarkStart w:id="18703" w:name="_ETM_Q29_263729"/>
      <w:bookmarkEnd w:id="18703"/>
      <w:r>
        <w:rPr>
          <w:rFonts w:hint="cs"/>
          <w:rtl/>
        </w:rPr>
        <w:t xml:space="preserve">האזרחים </w:t>
      </w:r>
      <w:bookmarkStart w:id="18704" w:name="_ETM_Q29_264149"/>
      <w:bookmarkEnd w:id="18704"/>
      <w:r>
        <w:rPr>
          <w:rFonts w:hint="cs"/>
          <w:rtl/>
        </w:rPr>
        <w:t xml:space="preserve">הערבים </w:t>
      </w:r>
      <w:bookmarkStart w:id="18705" w:name="_ETM_Q29_264979"/>
      <w:bookmarkEnd w:id="18705"/>
      <w:r>
        <w:rPr>
          <w:rFonts w:hint="cs"/>
          <w:rtl/>
        </w:rPr>
        <w:t xml:space="preserve">בכל </w:t>
      </w:r>
      <w:bookmarkStart w:id="18706" w:name="_ETM_Q29_265430"/>
      <w:bookmarkEnd w:id="18706"/>
      <w:r>
        <w:rPr>
          <w:rFonts w:hint="cs"/>
          <w:rtl/>
        </w:rPr>
        <w:t xml:space="preserve">אספקט </w:t>
      </w:r>
      <w:bookmarkStart w:id="18707" w:name="_ETM_Q29_265909"/>
      <w:bookmarkEnd w:id="18707"/>
      <w:r>
        <w:rPr>
          <w:rFonts w:hint="cs"/>
          <w:rtl/>
        </w:rPr>
        <w:t xml:space="preserve">אפשרי </w:t>
      </w:r>
      <w:bookmarkStart w:id="18708" w:name="_ETM_Q29_266270"/>
      <w:bookmarkEnd w:id="18708"/>
      <w:r>
        <w:rPr>
          <w:rFonts w:hint="cs"/>
          <w:rtl/>
        </w:rPr>
        <w:t xml:space="preserve">ומשאירים </w:t>
      </w:r>
      <w:bookmarkStart w:id="18709" w:name="_ETM_Q29_267049"/>
      <w:bookmarkEnd w:id="18709"/>
      <w:r>
        <w:rPr>
          <w:rFonts w:hint="cs"/>
          <w:rtl/>
        </w:rPr>
        <w:t xml:space="preserve">אותם </w:t>
      </w:r>
      <w:bookmarkStart w:id="18710" w:name="_ETM_Q29_267530"/>
      <w:bookmarkEnd w:id="18710"/>
      <w:r>
        <w:rPr>
          <w:rFonts w:hint="cs"/>
          <w:rtl/>
        </w:rPr>
        <w:t xml:space="preserve">ללא </w:t>
      </w:r>
      <w:bookmarkStart w:id="18711" w:name="_ETM_Q29_267740"/>
      <w:bookmarkEnd w:id="18711"/>
      <w:r>
        <w:rPr>
          <w:rFonts w:hint="cs"/>
          <w:rtl/>
        </w:rPr>
        <w:t xml:space="preserve">קורת </w:t>
      </w:r>
      <w:bookmarkStart w:id="18712" w:name="_ETM_Q29_268069"/>
      <w:bookmarkEnd w:id="18712"/>
      <w:r>
        <w:rPr>
          <w:rFonts w:hint="cs"/>
          <w:rtl/>
        </w:rPr>
        <w:t>גג</w:t>
      </w:r>
      <w:r w:rsidR="00A021B9">
        <w:rPr>
          <w:rFonts w:hint="cs"/>
          <w:rtl/>
        </w:rPr>
        <w:t>,</w:t>
      </w:r>
      <w:r>
        <w:rPr>
          <w:rFonts w:hint="cs"/>
          <w:rtl/>
        </w:rPr>
        <w:t xml:space="preserve"> </w:t>
      </w:r>
      <w:bookmarkStart w:id="18713" w:name="_ETM_Q29_268939"/>
      <w:bookmarkEnd w:id="18713"/>
      <w:r>
        <w:rPr>
          <w:rFonts w:hint="cs"/>
          <w:rtl/>
        </w:rPr>
        <w:t xml:space="preserve">ובלא </w:t>
      </w:r>
      <w:bookmarkStart w:id="18714" w:name="_ETM_Q29_269209"/>
      <w:bookmarkEnd w:id="18714"/>
      <w:r>
        <w:rPr>
          <w:rFonts w:hint="cs"/>
          <w:rtl/>
        </w:rPr>
        <w:t xml:space="preserve">מעט </w:t>
      </w:r>
      <w:bookmarkStart w:id="18715" w:name="_ETM_Q29_269569"/>
      <w:bookmarkEnd w:id="18715"/>
      <w:r>
        <w:rPr>
          <w:rFonts w:hint="cs"/>
          <w:rtl/>
        </w:rPr>
        <w:t>מקרים</w:t>
      </w:r>
      <w:bookmarkStart w:id="18716" w:name="_ETM_Q29_270560"/>
      <w:bookmarkEnd w:id="18716"/>
      <w:r>
        <w:rPr>
          <w:rFonts w:hint="cs"/>
          <w:rtl/>
        </w:rPr>
        <w:t xml:space="preserve"> תחת </w:t>
      </w:r>
      <w:bookmarkStart w:id="18717" w:name="_ETM_Q29_270950"/>
      <w:bookmarkEnd w:id="18717"/>
      <w:r>
        <w:rPr>
          <w:rFonts w:hint="cs"/>
          <w:rtl/>
        </w:rPr>
        <w:t xml:space="preserve">המטרייה </w:t>
      </w:r>
      <w:bookmarkStart w:id="18718" w:name="_ETM_Q29_271490"/>
      <w:bookmarkEnd w:id="18718"/>
      <w:r>
        <w:rPr>
          <w:rFonts w:hint="cs"/>
          <w:rtl/>
        </w:rPr>
        <w:t xml:space="preserve">של </w:t>
      </w:r>
      <w:bookmarkStart w:id="18719" w:name="_ETM_Q29_271729"/>
      <w:bookmarkEnd w:id="18719"/>
      <w:r>
        <w:rPr>
          <w:rFonts w:hint="cs"/>
          <w:rtl/>
        </w:rPr>
        <w:t xml:space="preserve">המחוקק </w:t>
      </w:r>
      <w:bookmarkStart w:id="18720" w:name="_ETM_Q29_272780"/>
      <w:bookmarkEnd w:id="18720"/>
      <w:r>
        <w:rPr>
          <w:rFonts w:hint="cs"/>
          <w:rtl/>
        </w:rPr>
        <w:t xml:space="preserve">של </w:t>
      </w:r>
      <w:bookmarkStart w:id="18721" w:name="_ETM_Q29_273020"/>
      <w:bookmarkEnd w:id="18721"/>
      <w:r>
        <w:rPr>
          <w:rFonts w:hint="cs"/>
          <w:rtl/>
        </w:rPr>
        <w:t xml:space="preserve">חוק </w:t>
      </w:r>
      <w:bookmarkStart w:id="18722" w:name="_ETM_Q29_273440"/>
      <w:bookmarkEnd w:id="18722"/>
      <w:r>
        <w:rPr>
          <w:rFonts w:hint="cs"/>
          <w:rtl/>
        </w:rPr>
        <w:t>קמיניץ.</w:t>
      </w:r>
    </w:p>
    <w:p w:rsidR="00BB59CD" w:rsidRDefault="00BB59CD" w:rsidP="00BB59CD">
      <w:pPr>
        <w:rPr>
          <w:rtl/>
        </w:rPr>
      </w:pPr>
      <w:bookmarkStart w:id="18723" w:name="_ETM_Q29_275121"/>
      <w:bookmarkStart w:id="18724" w:name="_ETM_Q29_275211"/>
      <w:bookmarkEnd w:id="18723"/>
      <w:bookmarkEnd w:id="18724"/>
    </w:p>
    <w:p w:rsidR="00BB59CD" w:rsidRDefault="00BB59CD" w:rsidP="00A021B9">
      <w:pPr>
        <w:rPr>
          <w:rtl/>
        </w:rPr>
      </w:pPr>
      <w:bookmarkStart w:id="18725" w:name="_ETM_Q29_275281"/>
      <w:bookmarkStart w:id="18726" w:name="_ETM_Q29_275355"/>
      <w:bookmarkStart w:id="18727" w:name="_ETM_Q29_274729"/>
      <w:bookmarkEnd w:id="18725"/>
      <w:bookmarkEnd w:id="18726"/>
      <w:bookmarkEnd w:id="18727"/>
      <w:r>
        <w:rPr>
          <w:rFonts w:hint="cs"/>
          <w:rtl/>
        </w:rPr>
        <w:t xml:space="preserve">תחום </w:t>
      </w:r>
      <w:bookmarkStart w:id="18728" w:name="_ETM_Q29_275000"/>
      <w:bookmarkEnd w:id="18728"/>
      <w:r>
        <w:rPr>
          <w:rFonts w:hint="cs"/>
          <w:rtl/>
        </w:rPr>
        <w:t xml:space="preserve">האפליה </w:t>
      </w:r>
      <w:bookmarkStart w:id="18729" w:name="_ETM_Q29_275450"/>
      <w:bookmarkEnd w:id="18729"/>
      <w:r>
        <w:rPr>
          <w:rFonts w:hint="cs"/>
          <w:rtl/>
        </w:rPr>
        <w:t xml:space="preserve">נגד </w:t>
      </w:r>
      <w:bookmarkStart w:id="18730" w:name="_ETM_Q29_275750"/>
      <w:bookmarkEnd w:id="18730"/>
      <w:r>
        <w:rPr>
          <w:rFonts w:hint="cs"/>
          <w:rtl/>
        </w:rPr>
        <w:t xml:space="preserve">האזרחים </w:t>
      </w:r>
      <w:bookmarkStart w:id="18731" w:name="_ETM_Q29_276170"/>
      <w:bookmarkEnd w:id="18731"/>
      <w:r>
        <w:rPr>
          <w:rFonts w:hint="cs"/>
          <w:rtl/>
        </w:rPr>
        <w:t xml:space="preserve">הערבים </w:t>
      </w:r>
      <w:bookmarkStart w:id="18732" w:name="_ETM_Q29_276560"/>
      <w:bookmarkEnd w:id="18732"/>
      <w:r>
        <w:rPr>
          <w:rFonts w:hint="cs"/>
          <w:rtl/>
        </w:rPr>
        <w:t xml:space="preserve">בנגב </w:t>
      </w:r>
      <w:bookmarkStart w:id="18733" w:name="_ETM_Q29_277040"/>
      <w:bookmarkEnd w:id="18733"/>
      <w:r>
        <w:rPr>
          <w:rFonts w:hint="cs"/>
          <w:rtl/>
        </w:rPr>
        <w:t xml:space="preserve">הינו </w:t>
      </w:r>
      <w:bookmarkStart w:id="18734" w:name="_ETM_Q29_277310"/>
      <w:bookmarkEnd w:id="18734"/>
      <w:r>
        <w:rPr>
          <w:rFonts w:hint="cs"/>
          <w:rtl/>
        </w:rPr>
        <w:t xml:space="preserve">רחב </w:t>
      </w:r>
      <w:bookmarkStart w:id="18735" w:name="_ETM_Q29_278490"/>
      <w:bookmarkEnd w:id="18735"/>
      <w:r>
        <w:rPr>
          <w:rFonts w:hint="cs"/>
          <w:rtl/>
        </w:rPr>
        <w:t xml:space="preserve">ומקיף. </w:t>
      </w:r>
      <w:bookmarkStart w:id="18736" w:name="_ETM_Q29_278640"/>
      <w:bookmarkStart w:id="18737" w:name="_ETM_Q29_280630"/>
      <w:bookmarkEnd w:id="18736"/>
      <w:bookmarkEnd w:id="18737"/>
      <w:r>
        <w:rPr>
          <w:rFonts w:hint="cs"/>
          <w:rtl/>
        </w:rPr>
        <w:t xml:space="preserve">אביא </w:t>
      </w:r>
      <w:bookmarkStart w:id="18738" w:name="_ETM_Q29_280900"/>
      <w:bookmarkEnd w:id="18738"/>
      <w:r>
        <w:rPr>
          <w:rFonts w:hint="cs"/>
          <w:rtl/>
        </w:rPr>
        <w:t xml:space="preserve">כאן </w:t>
      </w:r>
      <w:bookmarkStart w:id="18739" w:name="_ETM_Q29_281110"/>
      <w:bookmarkEnd w:id="18739"/>
      <w:r>
        <w:rPr>
          <w:rFonts w:hint="cs"/>
          <w:rtl/>
        </w:rPr>
        <w:t xml:space="preserve">דוגמה: </w:t>
      </w:r>
      <w:bookmarkStart w:id="18740" w:name="_ETM_Q29_282250"/>
      <w:bookmarkEnd w:id="18740"/>
      <w:r>
        <w:rPr>
          <w:rFonts w:hint="cs"/>
          <w:rtl/>
        </w:rPr>
        <w:t xml:space="preserve">חוק </w:t>
      </w:r>
      <w:bookmarkStart w:id="18741" w:name="_ETM_Q29_282640"/>
      <w:bookmarkEnd w:id="18741"/>
      <w:r>
        <w:rPr>
          <w:rFonts w:hint="cs"/>
          <w:rtl/>
        </w:rPr>
        <w:t xml:space="preserve">הטבת </w:t>
      </w:r>
      <w:bookmarkStart w:id="18742" w:name="_ETM_Q29_283000"/>
      <w:bookmarkEnd w:id="18742"/>
      <w:r>
        <w:rPr>
          <w:rFonts w:hint="cs"/>
          <w:rtl/>
        </w:rPr>
        <w:t xml:space="preserve">מס </w:t>
      </w:r>
      <w:bookmarkStart w:id="18743" w:name="_ETM_Q29_283270"/>
      <w:bookmarkEnd w:id="18743"/>
      <w:r>
        <w:rPr>
          <w:rFonts w:hint="cs"/>
          <w:rtl/>
        </w:rPr>
        <w:t xml:space="preserve">לתושבי </w:t>
      </w:r>
      <w:bookmarkStart w:id="18744" w:name="_ETM_Q29_283750"/>
      <w:bookmarkEnd w:id="18744"/>
      <w:r>
        <w:rPr>
          <w:rFonts w:hint="cs"/>
          <w:rtl/>
        </w:rPr>
        <w:t xml:space="preserve">הנגב </w:t>
      </w:r>
      <w:bookmarkStart w:id="18745" w:name="_ETM_Q29_284080"/>
      <w:bookmarkEnd w:id="18745"/>
      <w:r>
        <w:rPr>
          <w:rFonts w:hint="cs"/>
          <w:rtl/>
        </w:rPr>
        <w:t xml:space="preserve">מפלה </w:t>
      </w:r>
      <w:bookmarkStart w:id="18746" w:name="_ETM_Q29_284439"/>
      <w:bookmarkEnd w:id="18746"/>
      <w:r>
        <w:rPr>
          <w:rFonts w:hint="cs"/>
          <w:rtl/>
        </w:rPr>
        <w:t xml:space="preserve">באופן </w:t>
      </w:r>
      <w:bookmarkStart w:id="18747" w:name="_ETM_Q29_284830"/>
      <w:bookmarkEnd w:id="18747"/>
      <w:r>
        <w:rPr>
          <w:rFonts w:hint="cs"/>
          <w:rtl/>
        </w:rPr>
        <w:t xml:space="preserve">גלוי </w:t>
      </w:r>
      <w:bookmarkStart w:id="18748" w:name="_ETM_Q29_285689"/>
      <w:bookmarkEnd w:id="18748"/>
      <w:r>
        <w:rPr>
          <w:rFonts w:hint="cs"/>
          <w:rtl/>
        </w:rPr>
        <w:t xml:space="preserve">בין </w:t>
      </w:r>
      <w:bookmarkStart w:id="18749" w:name="_ETM_Q29_286020"/>
      <w:bookmarkEnd w:id="18749"/>
      <w:r>
        <w:rPr>
          <w:rFonts w:hint="cs"/>
          <w:rtl/>
        </w:rPr>
        <w:t xml:space="preserve">האזרחים </w:t>
      </w:r>
      <w:bookmarkStart w:id="18750" w:name="_ETM_Q29_286530"/>
      <w:bookmarkEnd w:id="18750"/>
      <w:r>
        <w:rPr>
          <w:rFonts w:hint="cs"/>
          <w:rtl/>
        </w:rPr>
        <w:t xml:space="preserve">הבדואים </w:t>
      </w:r>
      <w:bookmarkStart w:id="18751" w:name="_ETM_Q29_286920"/>
      <w:bookmarkEnd w:id="18751"/>
      <w:r>
        <w:rPr>
          <w:rFonts w:hint="cs"/>
          <w:rtl/>
        </w:rPr>
        <w:t xml:space="preserve">בכפרים </w:t>
      </w:r>
      <w:bookmarkStart w:id="18752" w:name="_ETM_Q29_287340"/>
      <w:bookmarkEnd w:id="18752"/>
      <w:r>
        <w:rPr>
          <w:rFonts w:hint="cs"/>
          <w:rtl/>
        </w:rPr>
        <w:t xml:space="preserve">הלא-מוכרים </w:t>
      </w:r>
      <w:bookmarkStart w:id="18753" w:name="_ETM_Q29_288509"/>
      <w:bookmarkEnd w:id="18753"/>
      <w:r>
        <w:rPr>
          <w:rFonts w:hint="cs"/>
          <w:rtl/>
        </w:rPr>
        <w:t xml:space="preserve">לבין </w:t>
      </w:r>
      <w:bookmarkStart w:id="18754" w:name="_ETM_Q29_288869"/>
      <w:bookmarkEnd w:id="18754"/>
      <w:r>
        <w:rPr>
          <w:rFonts w:hint="cs"/>
          <w:rtl/>
        </w:rPr>
        <w:t xml:space="preserve">שאר </w:t>
      </w:r>
      <w:bookmarkStart w:id="18755" w:name="_ETM_Q29_289170"/>
      <w:bookmarkEnd w:id="18755"/>
      <w:r>
        <w:rPr>
          <w:rFonts w:hint="cs"/>
          <w:rtl/>
        </w:rPr>
        <w:t xml:space="preserve">תושבי </w:t>
      </w:r>
      <w:bookmarkStart w:id="18756" w:name="_ETM_Q29_289590"/>
      <w:bookmarkEnd w:id="18756"/>
      <w:r>
        <w:rPr>
          <w:rFonts w:hint="cs"/>
          <w:rtl/>
        </w:rPr>
        <w:t xml:space="preserve">הנגב. זאת </w:t>
      </w:r>
      <w:bookmarkStart w:id="18757" w:name="_ETM_Q29_290549"/>
      <w:bookmarkStart w:id="18758" w:name="_ETM_Q29_290909"/>
      <w:bookmarkEnd w:id="18757"/>
      <w:bookmarkEnd w:id="18758"/>
      <w:r>
        <w:rPr>
          <w:rFonts w:hint="cs"/>
          <w:rtl/>
        </w:rPr>
        <w:t xml:space="preserve">עדות </w:t>
      </w:r>
      <w:bookmarkStart w:id="18759" w:name="_ETM_Q29_291990"/>
      <w:bookmarkEnd w:id="18759"/>
      <w:r>
        <w:rPr>
          <w:rFonts w:hint="cs"/>
          <w:rtl/>
        </w:rPr>
        <w:t xml:space="preserve">מרשיעה </w:t>
      </w:r>
      <w:bookmarkStart w:id="18760" w:name="_ETM_Q29_293070"/>
      <w:bookmarkEnd w:id="18760"/>
      <w:r>
        <w:rPr>
          <w:rFonts w:hint="cs"/>
          <w:rtl/>
        </w:rPr>
        <w:t>ל</w:t>
      </w:r>
      <w:bookmarkStart w:id="18761" w:name="_ETM_Q29_293280"/>
      <w:bookmarkEnd w:id="18761"/>
      <w:r>
        <w:rPr>
          <w:rFonts w:hint="cs"/>
          <w:rtl/>
        </w:rPr>
        <w:t xml:space="preserve">אפליה </w:t>
      </w:r>
      <w:bookmarkStart w:id="18762" w:name="_ETM_Q29_293790"/>
      <w:bookmarkEnd w:id="18762"/>
      <w:r>
        <w:rPr>
          <w:rFonts w:hint="cs"/>
          <w:rtl/>
        </w:rPr>
        <w:t xml:space="preserve">כלפי </w:t>
      </w:r>
      <w:bookmarkStart w:id="18763" w:name="_ETM_Q29_294150"/>
      <w:bookmarkEnd w:id="18763"/>
      <w:r>
        <w:rPr>
          <w:rFonts w:hint="cs"/>
          <w:rtl/>
        </w:rPr>
        <w:t xml:space="preserve">הבדואים </w:t>
      </w:r>
      <w:bookmarkStart w:id="18764" w:name="_ETM_Q29_294510"/>
      <w:bookmarkEnd w:id="18764"/>
      <w:r>
        <w:rPr>
          <w:rFonts w:hint="cs"/>
          <w:rtl/>
        </w:rPr>
        <w:t xml:space="preserve">בנגב. </w:t>
      </w:r>
      <w:bookmarkStart w:id="18765" w:name="_ETM_Q29_296369"/>
      <w:bookmarkEnd w:id="18765"/>
      <w:r>
        <w:rPr>
          <w:rFonts w:hint="cs"/>
          <w:rtl/>
        </w:rPr>
        <w:t xml:space="preserve">הממשלה </w:t>
      </w:r>
      <w:bookmarkStart w:id="18766" w:name="_ETM_Q29_296969"/>
      <w:bookmarkEnd w:id="18766"/>
      <w:r>
        <w:rPr>
          <w:rFonts w:hint="cs"/>
          <w:rtl/>
        </w:rPr>
        <w:t xml:space="preserve">הזו </w:t>
      </w:r>
      <w:bookmarkStart w:id="18767" w:name="_ETM_Q29_298150"/>
      <w:bookmarkEnd w:id="18767"/>
      <w:r>
        <w:rPr>
          <w:rFonts w:hint="cs"/>
          <w:rtl/>
        </w:rPr>
        <w:t xml:space="preserve">מיום </w:t>
      </w:r>
      <w:bookmarkStart w:id="18768" w:name="_ETM_Q29_298510"/>
      <w:bookmarkEnd w:id="18768"/>
      <w:r>
        <w:rPr>
          <w:rFonts w:hint="cs"/>
          <w:rtl/>
        </w:rPr>
        <w:t xml:space="preserve">הקמתה </w:t>
      </w:r>
      <w:bookmarkStart w:id="18769" w:name="_ETM_Q29_299049"/>
      <w:bookmarkEnd w:id="18769"/>
      <w:r>
        <w:rPr>
          <w:rFonts w:hint="cs"/>
          <w:rtl/>
        </w:rPr>
        <w:t xml:space="preserve">מזניחה </w:t>
      </w:r>
      <w:bookmarkStart w:id="18770" w:name="_ETM_Q29_299619"/>
      <w:bookmarkEnd w:id="18770"/>
      <w:r>
        <w:rPr>
          <w:rFonts w:hint="cs"/>
          <w:rtl/>
        </w:rPr>
        <w:t xml:space="preserve">לא </w:t>
      </w:r>
      <w:bookmarkStart w:id="18771" w:name="_ETM_Q29_299740"/>
      <w:bookmarkEnd w:id="18771"/>
      <w:r>
        <w:rPr>
          <w:rFonts w:hint="cs"/>
          <w:rtl/>
        </w:rPr>
        <w:t xml:space="preserve">מעט </w:t>
      </w:r>
      <w:bookmarkStart w:id="18772" w:name="_ETM_Q29_300040"/>
      <w:bookmarkEnd w:id="18772"/>
      <w:r>
        <w:rPr>
          <w:rFonts w:hint="cs"/>
          <w:rtl/>
        </w:rPr>
        <w:t xml:space="preserve">נושאים </w:t>
      </w:r>
      <w:bookmarkStart w:id="18773" w:name="_ETM_Q29_300460"/>
      <w:bookmarkEnd w:id="18773"/>
      <w:r>
        <w:rPr>
          <w:rFonts w:hint="cs"/>
          <w:rtl/>
        </w:rPr>
        <w:t xml:space="preserve">קריטיים, </w:t>
      </w:r>
      <w:bookmarkStart w:id="18774" w:name="_ETM_Q29_300909"/>
      <w:bookmarkEnd w:id="18774"/>
      <w:r>
        <w:rPr>
          <w:rFonts w:hint="cs"/>
          <w:rtl/>
        </w:rPr>
        <w:t xml:space="preserve">מהותיים </w:t>
      </w:r>
      <w:bookmarkStart w:id="18775" w:name="_ETM_Q29_302070"/>
      <w:bookmarkEnd w:id="18775"/>
      <w:r>
        <w:rPr>
          <w:rFonts w:hint="cs"/>
          <w:rtl/>
        </w:rPr>
        <w:t xml:space="preserve">וחשובים </w:t>
      </w:r>
      <w:bookmarkStart w:id="18776" w:name="_ETM_Q29_303090"/>
      <w:bookmarkEnd w:id="18776"/>
      <w:r>
        <w:rPr>
          <w:rFonts w:hint="cs"/>
          <w:rtl/>
        </w:rPr>
        <w:t xml:space="preserve">מאין </w:t>
      </w:r>
      <w:bookmarkStart w:id="18777" w:name="_ETM_Q29_303390"/>
      <w:bookmarkEnd w:id="18777"/>
      <w:r>
        <w:rPr>
          <w:rFonts w:hint="cs"/>
          <w:rtl/>
        </w:rPr>
        <w:t>כמוהם. אחד</w:t>
      </w:r>
      <w:bookmarkStart w:id="18778" w:name="_ETM_Q29_304470"/>
      <w:bookmarkStart w:id="18779" w:name="_ETM_Q29_304740"/>
      <w:bookmarkEnd w:id="18778"/>
      <w:bookmarkEnd w:id="18779"/>
      <w:r>
        <w:rPr>
          <w:rFonts w:hint="cs"/>
          <w:rtl/>
        </w:rPr>
        <w:t xml:space="preserve"> הנושאים </w:t>
      </w:r>
      <w:bookmarkStart w:id="18780" w:name="_ETM_Q29_305220"/>
      <w:bookmarkEnd w:id="18780"/>
      <w:r>
        <w:rPr>
          <w:rFonts w:hint="cs"/>
          <w:rtl/>
        </w:rPr>
        <w:t xml:space="preserve">הכי </w:t>
      </w:r>
      <w:bookmarkStart w:id="18781" w:name="_ETM_Q29_305670"/>
      <w:bookmarkEnd w:id="18781"/>
      <w:r>
        <w:rPr>
          <w:rFonts w:hint="cs"/>
          <w:rtl/>
        </w:rPr>
        <w:t xml:space="preserve">בוערים </w:t>
      </w:r>
      <w:bookmarkStart w:id="18782" w:name="_ETM_Q29_306150"/>
      <w:bookmarkEnd w:id="18782"/>
      <w:r>
        <w:rPr>
          <w:rFonts w:hint="cs"/>
          <w:rtl/>
        </w:rPr>
        <w:t xml:space="preserve">הוא </w:t>
      </w:r>
      <w:bookmarkStart w:id="18783" w:name="_ETM_Q29_306299"/>
      <w:bookmarkEnd w:id="18783"/>
      <w:r>
        <w:rPr>
          <w:rFonts w:hint="cs"/>
          <w:rtl/>
        </w:rPr>
        <w:t xml:space="preserve">הפשע, </w:t>
      </w:r>
      <w:bookmarkStart w:id="18784" w:name="_ETM_Q29_307229"/>
      <w:bookmarkEnd w:id="18784"/>
      <w:r>
        <w:rPr>
          <w:rFonts w:hint="cs"/>
          <w:rtl/>
        </w:rPr>
        <w:t xml:space="preserve">האלימות </w:t>
      </w:r>
      <w:bookmarkStart w:id="18785" w:name="_ETM_Q29_308190"/>
      <w:bookmarkEnd w:id="18785"/>
      <w:r>
        <w:rPr>
          <w:rFonts w:hint="cs"/>
          <w:rtl/>
        </w:rPr>
        <w:t>ו</w:t>
      </w:r>
      <w:bookmarkStart w:id="18786" w:name="_ETM_Q29_308370"/>
      <w:bookmarkEnd w:id="18786"/>
      <w:r>
        <w:rPr>
          <w:rFonts w:hint="cs"/>
          <w:rtl/>
        </w:rPr>
        <w:t xml:space="preserve">מקרי </w:t>
      </w:r>
      <w:bookmarkStart w:id="18787" w:name="_ETM_Q29_308700"/>
      <w:bookmarkEnd w:id="18787"/>
      <w:r>
        <w:rPr>
          <w:rFonts w:hint="cs"/>
          <w:rtl/>
        </w:rPr>
        <w:t xml:space="preserve">הרצח </w:t>
      </w:r>
      <w:bookmarkStart w:id="18788" w:name="_ETM_Q29_309209"/>
      <w:bookmarkEnd w:id="18788"/>
      <w:r>
        <w:rPr>
          <w:rFonts w:hint="cs"/>
          <w:rtl/>
        </w:rPr>
        <w:t xml:space="preserve">היום-יומיים </w:t>
      </w:r>
      <w:bookmarkStart w:id="18789" w:name="_ETM_Q29_310290"/>
      <w:bookmarkEnd w:id="18789"/>
      <w:r>
        <w:rPr>
          <w:rFonts w:hint="cs"/>
          <w:rtl/>
        </w:rPr>
        <w:t xml:space="preserve">בחברה </w:t>
      </w:r>
      <w:bookmarkStart w:id="18790" w:name="_ETM_Q29_310800"/>
      <w:bookmarkEnd w:id="18790"/>
      <w:r>
        <w:rPr>
          <w:rFonts w:hint="cs"/>
          <w:rtl/>
        </w:rPr>
        <w:t>הערבית.</w:t>
      </w:r>
      <w:bookmarkStart w:id="18791" w:name="_ETM_Q29_311978"/>
      <w:bookmarkStart w:id="18792" w:name="_ETM_Q29_312073"/>
      <w:bookmarkStart w:id="18793" w:name="_ETM_Q29_312122"/>
      <w:bookmarkStart w:id="18794" w:name="_ETM_Q29_312214"/>
      <w:bookmarkStart w:id="18795" w:name="_ETM_Q29_312000"/>
      <w:bookmarkEnd w:id="18791"/>
      <w:bookmarkEnd w:id="18792"/>
      <w:bookmarkEnd w:id="18793"/>
      <w:bookmarkEnd w:id="18794"/>
      <w:bookmarkEnd w:id="18795"/>
      <w:r>
        <w:rPr>
          <w:rFonts w:hint="cs"/>
          <w:rtl/>
        </w:rPr>
        <w:t xml:space="preserve"> הממשלה </w:t>
      </w:r>
      <w:bookmarkStart w:id="18796" w:name="_ETM_Q29_312690"/>
      <w:bookmarkEnd w:id="18796"/>
      <w:r>
        <w:rPr>
          <w:rFonts w:hint="cs"/>
          <w:rtl/>
        </w:rPr>
        <w:t xml:space="preserve">לא </w:t>
      </w:r>
      <w:bookmarkStart w:id="18797" w:name="_ETM_Q29_312810"/>
      <w:bookmarkEnd w:id="18797"/>
      <w:r>
        <w:rPr>
          <w:rFonts w:hint="cs"/>
          <w:rtl/>
        </w:rPr>
        <w:t xml:space="preserve">משקיעה </w:t>
      </w:r>
      <w:bookmarkStart w:id="18798" w:name="_ETM_Q29_313260"/>
      <w:bookmarkEnd w:id="18798"/>
      <w:r>
        <w:rPr>
          <w:rFonts w:hint="cs"/>
          <w:rtl/>
        </w:rPr>
        <w:t xml:space="preserve">משאבים, </w:t>
      </w:r>
      <w:bookmarkStart w:id="18799" w:name="_ETM_Q29_314129"/>
      <w:bookmarkEnd w:id="18799"/>
      <w:r>
        <w:rPr>
          <w:rFonts w:hint="cs"/>
          <w:rtl/>
        </w:rPr>
        <w:t xml:space="preserve">או </w:t>
      </w:r>
      <w:bookmarkStart w:id="18800" w:name="_ETM_Q29_314280"/>
      <w:bookmarkEnd w:id="18800"/>
      <w:r>
        <w:rPr>
          <w:rFonts w:hint="cs"/>
          <w:rtl/>
        </w:rPr>
        <w:t xml:space="preserve">אפילו </w:t>
      </w:r>
      <w:bookmarkStart w:id="18801" w:name="_ETM_Q29_314639"/>
      <w:bookmarkEnd w:id="18801"/>
      <w:r>
        <w:rPr>
          <w:rFonts w:hint="cs"/>
          <w:rtl/>
        </w:rPr>
        <w:t xml:space="preserve">לא </w:t>
      </w:r>
      <w:bookmarkStart w:id="18802" w:name="_ETM_Q29_314790"/>
      <w:bookmarkEnd w:id="18802"/>
      <w:r>
        <w:rPr>
          <w:rFonts w:hint="cs"/>
          <w:rtl/>
        </w:rPr>
        <w:t xml:space="preserve">מראה </w:t>
      </w:r>
      <w:bookmarkStart w:id="18803" w:name="_ETM_Q29_315540"/>
      <w:bookmarkEnd w:id="18803"/>
      <w:r>
        <w:rPr>
          <w:rFonts w:hint="cs"/>
          <w:rtl/>
        </w:rPr>
        <w:t xml:space="preserve">רצון </w:t>
      </w:r>
      <w:bookmarkStart w:id="18804" w:name="_ETM_Q29_316110"/>
      <w:bookmarkEnd w:id="18804"/>
      <w:r>
        <w:rPr>
          <w:rFonts w:hint="cs"/>
          <w:rtl/>
        </w:rPr>
        <w:t xml:space="preserve">לטפל </w:t>
      </w:r>
      <w:bookmarkStart w:id="18805" w:name="_ETM_Q29_316769"/>
      <w:bookmarkEnd w:id="18805"/>
      <w:r>
        <w:rPr>
          <w:rFonts w:hint="cs"/>
          <w:rtl/>
        </w:rPr>
        <w:t xml:space="preserve">בעניין. </w:t>
      </w:r>
      <w:bookmarkStart w:id="18806" w:name="_ETM_Q29_318010"/>
      <w:bookmarkEnd w:id="18806"/>
      <w:r>
        <w:rPr>
          <w:rFonts w:hint="cs"/>
          <w:rtl/>
        </w:rPr>
        <w:t xml:space="preserve">אזרחים </w:t>
      </w:r>
      <w:bookmarkStart w:id="18807" w:name="_ETM_Q29_318519"/>
      <w:bookmarkEnd w:id="18807"/>
      <w:r>
        <w:rPr>
          <w:rFonts w:hint="cs"/>
          <w:rtl/>
        </w:rPr>
        <w:t xml:space="preserve">נרצחים </w:t>
      </w:r>
      <w:bookmarkStart w:id="18808" w:name="_ETM_Q29_319000"/>
      <w:bookmarkEnd w:id="18808"/>
      <w:r>
        <w:rPr>
          <w:rFonts w:hint="cs"/>
          <w:rtl/>
        </w:rPr>
        <w:t xml:space="preserve">מסביב </w:t>
      </w:r>
      <w:bookmarkStart w:id="18809" w:name="_ETM_Q29_319360"/>
      <w:bookmarkEnd w:id="18809"/>
      <w:r>
        <w:rPr>
          <w:rFonts w:hint="cs"/>
          <w:rtl/>
        </w:rPr>
        <w:t xml:space="preserve">לשעון, </w:t>
      </w:r>
      <w:bookmarkStart w:id="18810" w:name="_ETM_Q29_320720"/>
      <w:bookmarkEnd w:id="18810"/>
      <w:r>
        <w:rPr>
          <w:rFonts w:hint="cs"/>
          <w:rtl/>
        </w:rPr>
        <w:t xml:space="preserve">אזרחים </w:t>
      </w:r>
      <w:bookmarkStart w:id="18811" w:name="_ETM_Q29_321200"/>
      <w:bookmarkEnd w:id="18811"/>
      <w:r>
        <w:rPr>
          <w:rFonts w:hint="cs"/>
          <w:rtl/>
        </w:rPr>
        <w:t xml:space="preserve">נרצחים </w:t>
      </w:r>
      <w:bookmarkStart w:id="18812" w:name="_ETM_Q29_321980"/>
      <w:bookmarkEnd w:id="18812"/>
      <w:r>
        <w:rPr>
          <w:rFonts w:hint="cs"/>
          <w:rtl/>
        </w:rPr>
        <w:t xml:space="preserve">בבתים, </w:t>
      </w:r>
      <w:bookmarkStart w:id="18813" w:name="_ETM_Q29_322940"/>
      <w:bookmarkEnd w:id="18813"/>
      <w:r>
        <w:rPr>
          <w:rFonts w:hint="cs"/>
          <w:rtl/>
        </w:rPr>
        <w:t xml:space="preserve">אזרחים </w:t>
      </w:r>
      <w:bookmarkStart w:id="18814" w:name="_ETM_Q29_323540"/>
      <w:bookmarkEnd w:id="18814"/>
      <w:r>
        <w:rPr>
          <w:rFonts w:hint="cs"/>
          <w:rtl/>
        </w:rPr>
        <w:t xml:space="preserve">נרצחים </w:t>
      </w:r>
      <w:bookmarkStart w:id="18815" w:name="_ETM_Q29_324080"/>
      <w:bookmarkEnd w:id="18815"/>
      <w:r>
        <w:rPr>
          <w:rFonts w:hint="cs"/>
          <w:rtl/>
        </w:rPr>
        <w:t xml:space="preserve">ברחובות </w:t>
      </w:r>
      <w:bookmarkStart w:id="18816" w:name="_ETM_Q29_325270"/>
      <w:bookmarkEnd w:id="18816"/>
      <w:r>
        <w:rPr>
          <w:rFonts w:hint="cs"/>
          <w:rtl/>
        </w:rPr>
        <w:t xml:space="preserve">ואזרחים </w:t>
      </w:r>
      <w:bookmarkStart w:id="18817" w:name="_ETM_Q29_325840"/>
      <w:bookmarkEnd w:id="18817"/>
      <w:r>
        <w:rPr>
          <w:rFonts w:hint="cs"/>
          <w:rtl/>
        </w:rPr>
        <w:t xml:space="preserve">נרצחים </w:t>
      </w:r>
      <w:bookmarkStart w:id="18818" w:name="_ETM_Q29_326500"/>
      <w:bookmarkEnd w:id="18818"/>
      <w:r>
        <w:rPr>
          <w:rFonts w:hint="cs"/>
          <w:rtl/>
        </w:rPr>
        <w:t xml:space="preserve">בחתונות. לאף </w:t>
      </w:r>
      <w:bookmarkStart w:id="18819" w:name="_ETM_Q29_328000"/>
      <w:bookmarkStart w:id="18820" w:name="_ETM_Q29_328450"/>
      <w:bookmarkEnd w:id="18819"/>
      <w:bookmarkEnd w:id="18820"/>
      <w:r>
        <w:rPr>
          <w:rFonts w:hint="cs"/>
          <w:rtl/>
        </w:rPr>
        <w:t xml:space="preserve">שר </w:t>
      </w:r>
      <w:bookmarkStart w:id="18821" w:name="_ETM_Q29_328750"/>
      <w:bookmarkEnd w:id="18821"/>
      <w:r>
        <w:rPr>
          <w:rFonts w:hint="cs"/>
          <w:rtl/>
        </w:rPr>
        <w:t xml:space="preserve">או </w:t>
      </w:r>
      <w:bookmarkStart w:id="18822" w:name="_ETM_Q29_328810"/>
      <w:bookmarkEnd w:id="18822"/>
      <w:r>
        <w:rPr>
          <w:rFonts w:hint="cs"/>
          <w:rtl/>
        </w:rPr>
        <w:t xml:space="preserve">פקיד </w:t>
      </w:r>
      <w:bookmarkStart w:id="18823" w:name="_ETM_Q29_329230"/>
      <w:bookmarkEnd w:id="18823"/>
      <w:r>
        <w:rPr>
          <w:rFonts w:hint="cs"/>
          <w:rtl/>
        </w:rPr>
        <w:t xml:space="preserve">לא </w:t>
      </w:r>
      <w:bookmarkStart w:id="18824" w:name="_ETM_Q29_329319"/>
      <w:bookmarkEnd w:id="18824"/>
      <w:r>
        <w:rPr>
          <w:rFonts w:hint="cs"/>
          <w:rtl/>
        </w:rPr>
        <w:t xml:space="preserve">ממש </w:t>
      </w:r>
      <w:bookmarkStart w:id="18825" w:name="_ETM_Q29_329680"/>
      <w:bookmarkEnd w:id="18825"/>
      <w:r>
        <w:rPr>
          <w:rFonts w:hint="cs"/>
          <w:rtl/>
        </w:rPr>
        <w:t xml:space="preserve">אכפת, </w:t>
      </w:r>
      <w:bookmarkStart w:id="18826" w:name="_ETM_Q29_330739"/>
      <w:bookmarkEnd w:id="18826"/>
      <w:r>
        <w:rPr>
          <w:rFonts w:hint="cs"/>
          <w:rtl/>
        </w:rPr>
        <w:t xml:space="preserve">אנו </w:t>
      </w:r>
      <w:bookmarkStart w:id="18827" w:name="_ETM_Q29_330980"/>
      <w:bookmarkEnd w:id="18827"/>
      <w:r>
        <w:rPr>
          <w:rFonts w:hint="cs"/>
          <w:rtl/>
        </w:rPr>
        <w:t xml:space="preserve">שומעים </w:t>
      </w:r>
      <w:bookmarkStart w:id="18828" w:name="_ETM_Q29_331340"/>
      <w:bookmarkEnd w:id="18828"/>
      <w:r>
        <w:rPr>
          <w:rFonts w:hint="cs"/>
          <w:rtl/>
        </w:rPr>
        <w:t xml:space="preserve">רק </w:t>
      </w:r>
      <w:bookmarkStart w:id="18829" w:name="_ETM_Q29_331519"/>
      <w:bookmarkEnd w:id="18829"/>
      <w:r>
        <w:rPr>
          <w:rFonts w:hint="cs"/>
          <w:rtl/>
        </w:rPr>
        <w:t xml:space="preserve">דיבורים </w:t>
      </w:r>
      <w:bookmarkStart w:id="18830" w:name="_ETM_Q29_331999"/>
      <w:bookmarkEnd w:id="18830"/>
      <w:r>
        <w:rPr>
          <w:rFonts w:hint="cs"/>
          <w:rtl/>
        </w:rPr>
        <w:t xml:space="preserve">וסיסמאות. </w:t>
      </w:r>
      <w:bookmarkStart w:id="18831" w:name="_ETM_Q29_334099"/>
      <w:bookmarkEnd w:id="18831"/>
      <w:r>
        <w:rPr>
          <w:rFonts w:hint="cs"/>
          <w:rtl/>
        </w:rPr>
        <w:t xml:space="preserve">הדברים </w:t>
      </w:r>
      <w:bookmarkStart w:id="18832" w:name="_ETM_Q29_334790"/>
      <w:bookmarkEnd w:id="18832"/>
      <w:r>
        <w:rPr>
          <w:rFonts w:hint="cs"/>
          <w:rtl/>
        </w:rPr>
        <w:t xml:space="preserve">ברורים </w:t>
      </w:r>
      <w:bookmarkStart w:id="18833" w:name="_ETM_Q29_335450"/>
      <w:bookmarkEnd w:id="18833"/>
      <w:r>
        <w:rPr>
          <w:rFonts w:hint="cs"/>
          <w:rtl/>
        </w:rPr>
        <w:t xml:space="preserve">ונראים </w:t>
      </w:r>
      <w:bookmarkStart w:id="18834" w:name="_ETM_Q29_335900"/>
      <w:bookmarkEnd w:id="18834"/>
      <w:r>
        <w:rPr>
          <w:rFonts w:hint="cs"/>
          <w:rtl/>
        </w:rPr>
        <w:t xml:space="preserve">לעין. </w:t>
      </w:r>
      <w:bookmarkStart w:id="18835" w:name="_ETM_Q29_336959"/>
      <w:bookmarkEnd w:id="18835"/>
      <w:r>
        <w:rPr>
          <w:rFonts w:hint="cs"/>
          <w:rtl/>
        </w:rPr>
        <w:t xml:space="preserve">הממשלה </w:t>
      </w:r>
      <w:bookmarkStart w:id="18836" w:name="_ETM_Q29_337499"/>
      <w:bookmarkEnd w:id="18836"/>
      <w:r>
        <w:rPr>
          <w:rFonts w:hint="cs"/>
          <w:rtl/>
        </w:rPr>
        <w:t xml:space="preserve">נותנת </w:t>
      </w:r>
      <w:bookmarkStart w:id="18837" w:name="_ETM_Q29_337889"/>
      <w:bookmarkEnd w:id="18837"/>
      <w:r>
        <w:rPr>
          <w:rFonts w:hint="cs"/>
          <w:rtl/>
        </w:rPr>
        <w:t xml:space="preserve">יד </w:t>
      </w:r>
      <w:bookmarkStart w:id="18838" w:name="_ETM_Q29_338069"/>
      <w:bookmarkEnd w:id="18838"/>
      <w:r>
        <w:rPr>
          <w:rFonts w:hint="cs"/>
          <w:rtl/>
        </w:rPr>
        <w:t xml:space="preserve">חופשית </w:t>
      </w:r>
      <w:bookmarkStart w:id="18839" w:name="_ETM_Q29_338489"/>
      <w:bookmarkEnd w:id="18839"/>
      <w:r>
        <w:rPr>
          <w:rFonts w:hint="cs"/>
          <w:rtl/>
        </w:rPr>
        <w:t xml:space="preserve">להשתוללות </w:t>
      </w:r>
      <w:bookmarkStart w:id="18840" w:name="_ETM_Q29_339090"/>
      <w:bookmarkEnd w:id="18840"/>
      <w:r>
        <w:rPr>
          <w:rFonts w:hint="cs"/>
          <w:rtl/>
        </w:rPr>
        <w:t xml:space="preserve">הפשע </w:t>
      </w:r>
      <w:bookmarkStart w:id="18841" w:name="_ETM_Q29_339540"/>
      <w:bookmarkEnd w:id="18841"/>
      <w:r>
        <w:rPr>
          <w:rFonts w:hint="cs"/>
          <w:rtl/>
        </w:rPr>
        <w:t xml:space="preserve">והאלימות </w:t>
      </w:r>
      <w:bookmarkStart w:id="18842" w:name="_ETM_Q29_340049"/>
      <w:bookmarkEnd w:id="18842"/>
      <w:r>
        <w:rPr>
          <w:rFonts w:hint="cs"/>
          <w:rtl/>
        </w:rPr>
        <w:t xml:space="preserve">בחברה </w:t>
      </w:r>
      <w:bookmarkStart w:id="18843" w:name="_ETM_Q29_340409"/>
      <w:bookmarkEnd w:id="18843"/>
      <w:r>
        <w:rPr>
          <w:rFonts w:hint="cs"/>
          <w:rtl/>
        </w:rPr>
        <w:t xml:space="preserve">הערבית, </w:t>
      </w:r>
      <w:bookmarkStart w:id="18844" w:name="_ETM_Q29_341550"/>
      <w:bookmarkEnd w:id="18844"/>
      <w:r>
        <w:rPr>
          <w:rFonts w:hint="cs"/>
          <w:rtl/>
        </w:rPr>
        <w:t xml:space="preserve">בלי </w:t>
      </w:r>
      <w:bookmarkStart w:id="18845" w:name="_ETM_Q29_341790"/>
      <w:bookmarkEnd w:id="18845"/>
      <w:r>
        <w:rPr>
          <w:rFonts w:hint="cs"/>
          <w:rtl/>
        </w:rPr>
        <w:t xml:space="preserve">מעצורים </w:t>
      </w:r>
      <w:bookmarkStart w:id="18846" w:name="_ETM_Q29_342750"/>
      <w:bookmarkEnd w:id="18846"/>
      <w:r>
        <w:rPr>
          <w:rFonts w:hint="cs"/>
          <w:rtl/>
        </w:rPr>
        <w:t>ו</w:t>
      </w:r>
      <w:bookmarkStart w:id="18847" w:name="_ETM_Q29_342840"/>
      <w:bookmarkEnd w:id="18847"/>
      <w:r>
        <w:rPr>
          <w:rFonts w:hint="cs"/>
          <w:rtl/>
        </w:rPr>
        <w:t xml:space="preserve">בלי </w:t>
      </w:r>
      <w:bookmarkStart w:id="18848" w:name="_ETM_Q29_343050"/>
      <w:bookmarkEnd w:id="18848"/>
      <w:r>
        <w:rPr>
          <w:rFonts w:hint="cs"/>
          <w:rtl/>
        </w:rPr>
        <w:t xml:space="preserve">בלמים. </w:t>
      </w:r>
      <w:bookmarkStart w:id="18849" w:name="_ETM_Q29_344480"/>
      <w:bookmarkEnd w:id="18849"/>
    </w:p>
    <w:p w:rsidR="00BB59CD" w:rsidRDefault="00BB59CD" w:rsidP="00BB59CD">
      <w:pPr>
        <w:rPr>
          <w:rtl/>
        </w:rPr>
      </w:pPr>
      <w:bookmarkStart w:id="18850" w:name="_ETM_Q29_344595"/>
      <w:bookmarkStart w:id="18851" w:name="_ETM_Q29_344684"/>
      <w:bookmarkEnd w:id="18850"/>
      <w:bookmarkEnd w:id="18851"/>
    </w:p>
    <w:p w:rsidR="00BB59CD" w:rsidRDefault="00BB59CD" w:rsidP="00A021B9">
      <w:pPr>
        <w:rPr>
          <w:rtl/>
        </w:rPr>
      </w:pPr>
      <w:bookmarkStart w:id="18852" w:name="_ETM_Q29_344754"/>
      <w:bookmarkStart w:id="18853" w:name="_ETM_Q29_344824"/>
      <w:bookmarkEnd w:id="18852"/>
      <w:bookmarkEnd w:id="18853"/>
      <w:r>
        <w:rPr>
          <w:rFonts w:hint="cs"/>
          <w:rtl/>
        </w:rPr>
        <w:t xml:space="preserve">תחת </w:t>
      </w:r>
      <w:bookmarkStart w:id="18854" w:name="_ETM_Q29_344870"/>
      <w:bookmarkEnd w:id="18854"/>
      <w:r>
        <w:rPr>
          <w:rFonts w:hint="cs"/>
          <w:rtl/>
        </w:rPr>
        <w:t xml:space="preserve">שלטונה </w:t>
      </w:r>
      <w:bookmarkStart w:id="18855" w:name="_ETM_Q29_345290"/>
      <w:bookmarkEnd w:id="18855"/>
      <w:r>
        <w:rPr>
          <w:rFonts w:hint="cs"/>
          <w:rtl/>
        </w:rPr>
        <w:t xml:space="preserve">של </w:t>
      </w:r>
      <w:bookmarkStart w:id="18856" w:name="_ETM_Q29_345470"/>
      <w:bookmarkEnd w:id="18856"/>
      <w:r>
        <w:rPr>
          <w:rFonts w:hint="cs"/>
          <w:rtl/>
        </w:rPr>
        <w:t xml:space="preserve">ממשלת </w:t>
      </w:r>
      <w:bookmarkStart w:id="18857" w:name="_ETM_Q29_345860"/>
      <w:bookmarkEnd w:id="18857"/>
      <w:r>
        <w:rPr>
          <w:rFonts w:hint="cs"/>
          <w:rtl/>
        </w:rPr>
        <w:t xml:space="preserve">ישראל, </w:t>
      </w:r>
      <w:bookmarkStart w:id="18858" w:name="_ETM_Q29_346669"/>
      <w:bookmarkEnd w:id="18858"/>
      <w:r>
        <w:rPr>
          <w:rFonts w:hint="cs"/>
          <w:rtl/>
        </w:rPr>
        <w:t xml:space="preserve">ממשלת </w:t>
      </w:r>
      <w:bookmarkStart w:id="18859" w:name="_ETM_Q29_347090"/>
      <w:bookmarkEnd w:id="18859"/>
      <w:r>
        <w:rPr>
          <w:rFonts w:hint="cs"/>
          <w:rtl/>
        </w:rPr>
        <w:t xml:space="preserve">נתניהו </w:t>
      </w:r>
      <w:bookmarkStart w:id="18860" w:name="_ETM_Q29_348639"/>
      <w:bookmarkEnd w:id="18860"/>
      <w:r>
        <w:rPr>
          <w:rFonts w:hint="cs"/>
          <w:rtl/>
        </w:rPr>
        <w:t xml:space="preserve">הנוכחית, </w:t>
      </w:r>
      <w:bookmarkStart w:id="18861" w:name="_ETM_Q29_349270"/>
      <w:bookmarkEnd w:id="18861"/>
      <w:r>
        <w:rPr>
          <w:rFonts w:hint="cs"/>
          <w:rtl/>
        </w:rPr>
        <w:t xml:space="preserve">מקרי </w:t>
      </w:r>
      <w:bookmarkStart w:id="18862" w:name="_ETM_Q29_349630"/>
      <w:bookmarkEnd w:id="18862"/>
      <w:r>
        <w:rPr>
          <w:rFonts w:hint="cs"/>
          <w:rtl/>
        </w:rPr>
        <w:t xml:space="preserve">הרצח </w:t>
      </w:r>
      <w:bookmarkStart w:id="18863" w:name="_ETM_Q29_349959"/>
      <w:bookmarkEnd w:id="18863"/>
      <w:r>
        <w:rPr>
          <w:rFonts w:hint="cs"/>
          <w:rtl/>
        </w:rPr>
        <w:t xml:space="preserve">בחברה </w:t>
      </w:r>
      <w:bookmarkStart w:id="18864" w:name="_ETM_Q29_350380"/>
      <w:bookmarkEnd w:id="18864"/>
      <w:r>
        <w:rPr>
          <w:rFonts w:hint="cs"/>
          <w:rtl/>
        </w:rPr>
        <w:t xml:space="preserve">הערבית </w:t>
      </w:r>
      <w:bookmarkStart w:id="18865" w:name="_ETM_Q29_350830"/>
      <w:bookmarkEnd w:id="18865"/>
      <w:r>
        <w:rPr>
          <w:rFonts w:hint="cs"/>
          <w:rtl/>
        </w:rPr>
        <w:t xml:space="preserve">הפכו </w:t>
      </w:r>
      <w:bookmarkStart w:id="18866" w:name="_ETM_Q29_351860"/>
      <w:bookmarkEnd w:id="18866"/>
      <w:r>
        <w:rPr>
          <w:rFonts w:hint="cs"/>
          <w:rtl/>
        </w:rPr>
        <w:t xml:space="preserve">לשגרת </w:t>
      </w:r>
      <w:bookmarkStart w:id="18867" w:name="_ETM_Q29_352459"/>
      <w:bookmarkEnd w:id="18867"/>
      <w:r>
        <w:rPr>
          <w:rFonts w:hint="cs"/>
          <w:rtl/>
        </w:rPr>
        <w:t>יום</w:t>
      </w:r>
      <w:r w:rsidR="00A021B9">
        <w:rPr>
          <w:rFonts w:hint="cs"/>
          <w:rtl/>
        </w:rPr>
        <w:t>-יום</w:t>
      </w:r>
      <w:r>
        <w:rPr>
          <w:rFonts w:hint="cs"/>
          <w:rtl/>
        </w:rPr>
        <w:t xml:space="preserve">. </w:t>
      </w:r>
      <w:bookmarkStart w:id="18868" w:name="_ETM_Q29_353629"/>
      <w:bookmarkEnd w:id="18868"/>
      <w:r>
        <w:rPr>
          <w:rFonts w:hint="cs"/>
          <w:rtl/>
        </w:rPr>
        <w:t xml:space="preserve">לפי </w:t>
      </w:r>
      <w:bookmarkStart w:id="18869" w:name="_ETM_Q29_353959"/>
      <w:bookmarkEnd w:id="18869"/>
      <w:r>
        <w:rPr>
          <w:rFonts w:hint="cs"/>
          <w:rtl/>
        </w:rPr>
        <w:t xml:space="preserve">מרכז </w:t>
      </w:r>
      <w:bookmarkStart w:id="18870" w:name="_ETM_Q29_354409"/>
      <w:bookmarkStart w:id="18871" w:name="_ETM_Q29_355129"/>
      <w:bookmarkEnd w:id="18870"/>
      <w:bookmarkEnd w:id="18871"/>
      <w:r>
        <w:rPr>
          <w:rFonts w:hint="cs"/>
          <w:rtl/>
        </w:rPr>
        <w:t>אמאן</w:t>
      </w:r>
      <w:r w:rsidR="00A021B9">
        <w:rPr>
          <w:rFonts w:hint="cs"/>
          <w:rtl/>
        </w:rPr>
        <w:t>,</w:t>
      </w:r>
      <w:r>
        <w:rPr>
          <w:rFonts w:hint="cs"/>
          <w:rtl/>
        </w:rPr>
        <w:t xml:space="preserve"> 129 נרצחים מתחילת השנה </w:t>
      </w:r>
      <w:bookmarkStart w:id="18872" w:name="_ETM_Q29_356840"/>
      <w:bookmarkStart w:id="18873" w:name="_ETM_Q29_358530"/>
      <w:bookmarkStart w:id="18874" w:name="_ETM_Q29_359070"/>
      <w:bookmarkStart w:id="18875" w:name="_ETM_Q29_359910"/>
      <w:bookmarkStart w:id="18876" w:name="_ETM_Q29_360300"/>
      <w:bookmarkStart w:id="18877" w:name="_ETM_Q29_360870"/>
      <w:bookmarkStart w:id="18878" w:name="_ETM_Q29_361260"/>
      <w:bookmarkStart w:id="18879" w:name="_ETM_Q29_362069"/>
      <w:bookmarkEnd w:id="18872"/>
      <w:bookmarkEnd w:id="18873"/>
      <w:bookmarkEnd w:id="18874"/>
      <w:bookmarkEnd w:id="18875"/>
      <w:bookmarkEnd w:id="18876"/>
      <w:bookmarkEnd w:id="18877"/>
      <w:bookmarkEnd w:id="18878"/>
      <w:bookmarkEnd w:id="18879"/>
      <w:r>
        <w:rPr>
          <w:rFonts w:hint="cs"/>
          <w:rtl/>
        </w:rPr>
        <w:t xml:space="preserve">הם </w:t>
      </w:r>
      <w:bookmarkStart w:id="18880" w:name="_ETM_Q29_362400"/>
      <w:bookmarkEnd w:id="18880"/>
      <w:r>
        <w:rPr>
          <w:rFonts w:hint="cs"/>
          <w:rtl/>
        </w:rPr>
        <w:t xml:space="preserve">עדות </w:t>
      </w:r>
      <w:bookmarkStart w:id="18881" w:name="_ETM_Q29_362700"/>
      <w:bookmarkEnd w:id="18881"/>
      <w:r>
        <w:rPr>
          <w:rFonts w:hint="cs"/>
          <w:rtl/>
        </w:rPr>
        <w:t xml:space="preserve">לכישלונה </w:t>
      </w:r>
      <w:bookmarkStart w:id="18882" w:name="_ETM_Q29_363360"/>
      <w:bookmarkEnd w:id="18882"/>
      <w:r>
        <w:rPr>
          <w:rFonts w:hint="cs"/>
          <w:rtl/>
        </w:rPr>
        <w:t xml:space="preserve">החרוץ </w:t>
      </w:r>
      <w:bookmarkStart w:id="18883" w:name="_ETM_Q29_364020"/>
      <w:bookmarkEnd w:id="18883"/>
      <w:r>
        <w:rPr>
          <w:rFonts w:hint="cs"/>
          <w:rtl/>
        </w:rPr>
        <w:t xml:space="preserve">של </w:t>
      </w:r>
      <w:bookmarkStart w:id="18884" w:name="_ETM_Q29_364260"/>
      <w:bookmarkStart w:id="18885" w:name="_ETM_Q29_364770"/>
      <w:bookmarkStart w:id="18886" w:name="_ETM_Q29_365010"/>
      <w:bookmarkEnd w:id="18884"/>
      <w:bookmarkEnd w:id="18885"/>
      <w:bookmarkEnd w:id="18886"/>
      <w:r>
        <w:rPr>
          <w:rFonts w:hint="cs"/>
          <w:rtl/>
        </w:rPr>
        <w:t xml:space="preserve">הממשלה </w:t>
      </w:r>
      <w:bookmarkStart w:id="18887" w:name="_ETM_Q29_366010"/>
      <w:bookmarkEnd w:id="18887"/>
      <w:r>
        <w:rPr>
          <w:rFonts w:hint="cs"/>
          <w:rtl/>
        </w:rPr>
        <w:t xml:space="preserve">בטיפול </w:t>
      </w:r>
      <w:bookmarkStart w:id="18888" w:name="_ETM_Q29_366459"/>
      <w:bookmarkEnd w:id="18888"/>
      <w:r>
        <w:rPr>
          <w:rFonts w:hint="cs"/>
          <w:rtl/>
        </w:rPr>
        <w:t xml:space="preserve">במגפה </w:t>
      </w:r>
      <w:bookmarkStart w:id="18889" w:name="_ETM_Q29_366969"/>
      <w:bookmarkEnd w:id="18889"/>
      <w:r>
        <w:rPr>
          <w:rFonts w:hint="cs"/>
          <w:rtl/>
        </w:rPr>
        <w:t xml:space="preserve">החברתית </w:t>
      </w:r>
      <w:bookmarkStart w:id="18890" w:name="_ETM_Q29_367540"/>
      <w:bookmarkEnd w:id="18890"/>
      <w:r>
        <w:rPr>
          <w:rFonts w:hint="cs"/>
          <w:rtl/>
        </w:rPr>
        <w:t xml:space="preserve">הקשה </w:t>
      </w:r>
      <w:bookmarkStart w:id="18891" w:name="_ETM_Q29_367870"/>
      <w:bookmarkEnd w:id="18891"/>
      <w:r>
        <w:rPr>
          <w:rFonts w:hint="cs"/>
          <w:rtl/>
        </w:rPr>
        <w:t xml:space="preserve">מכולן. </w:t>
      </w:r>
      <w:bookmarkStart w:id="18892" w:name="_ETM_Q29_368709"/>
      <w:bookmarkEnd w:id="18892"/>
      <w:r>
        <w:rPr>
          <w:rFonts w:hint="cs"/>
          <w:rtl/>
        </w:rPr>
        <w:t xml:space="preserve">אני </w:t>
      </w:r>
      <w:bookmarkStart w:id="18893" w:name="_ETM_Q29_368919"/>
      <w:bookmarkEnd w:id="18893"/>
      <w:r>
        <w:rPr>
          <w:rFonts w:hint="cs"/>
          <w:rtl/>
        </w:rPr>
        <w:t xml:space="preserve">מזכיר </w:t>
      </w:r>
      <w:bookmarkStart w:id="18894" w:name="_ETM_Q29_369279"/>
      <w:bookmarkEnd w:id="18894"/>
      <w:r>
        <w:rPr>
          <w:rFonts w:hint="cs"/>
          <w:rtl/>
        </w:rPr>
        <w:t xml:space="preserve">לכולם </w:t>
      </w:r>
      <w:bookmarkStart w:id="18895" w:name="_ETM_Q29_370120"/>
      <w:bookmarkEnd w:id="18895"/>
      <w:r>
        <w:rPr>
          <w:rFonts w:hint="cs"/>
          <w:rtl/>
        </w:rPr>
        <w:t>ש</w:t>
      </w:r>
      <w:bookmarkStart w:id="18896" w:name="_ETM_Q29_370299"/>
      <w:bookmarkEnd w:id="18896"/>
      <w:r>
        <w:rPr>
          <w:rFonts w:hint="cs"/>
          <w:rtl/>
        </w:rPr>
        <w:t xml:space="preserve">בתקופה </w:t>
      </w:r>
      <w:bookmarkStart w:id="18897" w:name="_ETM_Q29_370900"/>
      <w:bookmarkEnd w:id="18897"/>
      <w:r>
        <w:rPr>
          <w:rFonts w:hint="cs"/>
          <w:rtl/>
        </w:rPr>
        <w:t xml:space="preserve">המקבילה </w:t>
      </w:r>
      <w:bookmarkStart w:id="18898" w:name="_ETM_Q29_371319"/>
      <w:bookmarkEnd w:id="18898"/>
      <w:r>
        <w:rPr>
          <w:rFonts w:hint="cs"/>
          <w:rtl/>
        </w:rPr>
        <w:t xml:space="preserve">אשתקד </w:t>
      </w:r>
      <w:bookmarkStart w:id="18899" w:name="_ETM_Q29_372159"/>
      <w:bookmarkEnd w:id="18899"/>
      <w:r>
        <w:rPr>
          <w:rFonts w:hint="cs"/>
          <w:rtl/>
        </w:rPr>
        <w:t xml:space="preserve">המספר </w:t>
      </w:r>
      <w:bookmarkStart w:id="18900" w:name="_ETM_Q29_372730"/>
      <w:bookmarkEnd w:id="18900"/>
      <w:r>
        <w:rPr>
          <w:rFonts w:hint="cs"/>
          <w:rtl/>
        </w:rPr>
        <w:t xml:space="preserve">עמד </w:t>
      </w:r>
      <w:bookmarkStart w:id="18901" w:name="_ETM_Q29_373060"/>
      <w:bookmarkEnd w:id="18901"/>
      <w:r>
        <w:rPr>
          <w:rFonts w:hint="cs"/>
          <w:rtl/>
        </w:rPr>
        <w:t xml:space="preserve">על </w:t>
      </w:r>
      <w:bookmarkStart w:id="18902" w:name="_ETM_Q29_373209"/>
      <w:bookmarkEnd w:id="18902"/>
      <w:r>
        <w:rPr>
          <w:rFonts w:hint="cs"/>
          <w:rtl/>
        </w:rPr>
        <w:t xml:space="preserve">54 </w:t>
      </w:r>
      <w:bookmarkStart w:id="18903" w:name="_ETM_Q29_373989"/>
      <w:bookmarkStart w:id="18904" w:name="_ETM_Q29_376910"/>
      <w:bookmarkEnd w:id="18903"/>
      <w:bookmarkEnd w:id="18904"/>
      <w:r>
        <w:rPr>
          <w:rFonts w:hint="cs"/>
          <w:rtl/>
        </w:rPr>
        <w:t xml:space="preserve">נרצחים. </w:t>
      </w:r>
      <w:bookmarkStart w:id="18905" w:name="_ETM_Q29_378620"/>
      <w:bookmarkStart w:id="18906" w:name="_ETM_Q29_378700"/>
      <w:bookmarkStart w:id="18907" w:name="_ETM_Q29_378747"/>
      <w:bookmarkStart w:id="18908" w:name="_ETM_Q29_378826"/>
      <w:bookmarkEnd w:id="18905"/>
      <w:bookmarkEnd w:id="18906"/>
      <w:bookmarkEnd w:id="18907"/>
      <w:bookmarkEnd w:id="18908"/>
      <w:r>
        <w:rPr>
          <w:rFonts w:hint="cs"/>
          <w:rtl/>
        </w:rPr>
        <w:t xml:space="preserve">על </w:t>
      </w:r>
      <w:bookmarkStart w:id="18909" w:name="_ETM_Q29_377150"/>
      <w:bookmarkEnd w:id="18909"/>
      <w:r>
        <w:rPr>
          <w:rFonts w:hint="cs"/>
          <w:rtl/>
        </w:rPr>
        <w:t xml:space="preserve">בסיס </w:t>
      </w:r>
      <w:bookmarkStart w:id="18910" w:name="_ETM_Q29_377540"/>
      <w:bookmarkEnd w:id="18910"/>
      <w:r>
        <w:rPr>
          <w:rFonts w:hint="cs"/>
          <w:rtl/>
        </w:rPr>
        <w:t xml:space="preserve">יומי </w:t>
      </w:r>
      <w:bookmarkStart w:id="18911" w:name="_ETM_Q29_377810"/>
      <w:bookmarkEnd w:id="18911"/>
      <w:r>
        <w:rPr>
          <w:rFonts w:hint="cs"/>
          <w:rtl/>
        </w:rPr>
        <w:t xml:space="preserve">נרצחים </w:t>
      </w:r>
      <w:bookmarkStart w:id="18912" w:name="_ETM_Q29_378260"/>
      <w:bookmarkEnd w:id="18912"/>
      <w:r>
        <w:rPr>
          <w:rFonts w:hint="cs"/>
          <w:rtl/>
        </w:rPr>
        <w:t xml:space="preserve">אנשים </w:t>
      </w:r>
      <w:bookmarkStart w:id="18913" w:name="_ETM_Q29_378560"/>
      <w:bookmarkEnd w:id="18913"/>
      <w:r>
        <w:rPr>
          <w:rFonts w:hint="cs"/>
          <w:rtl/>
        </w:rPr>
        <w:t xml:space="preserve">בבתים, </w:t>
      </w:r>
      <w:bookmarkStart w:id="18914" w:name="_ETM_Q29_379040"/>
      <w:bookmarkEnd w:id="18914"/>
      <w:r>
        <w:rPr>
          <w:rFonts w:hint="cs"/>
          <w:rtl/>
        </w:rPr>
        <w:t xml:space="preserve">ברחובות </w:t>
      </w:r>
      <w:bookmarkStart w:id="18915" w:name="_ETM_Q29_379639"/>
      <w:bookmarkEnd w:id="18915"/>
      <w:r>
        <w:rPr>
          <w:rFonts w:hint="cs"/>
          <w:rtl/>
        </w:rPr>
        <w:t xml:space="preserve">ובכל </w:t>
      </w:r>
      <w:bookmarkStart w:id="18916" w:name="_ETM_Q29_380000"/>
      <w:bookmarkEnd w:id="18916"/>
      <w:r>
        <w:rPr>
          <w:rFonts w:hint="cs"/>
          <w:rtl/>
        </w:rPr>
        <w:t xml:space="preserve">מקום. </w:t>
      </w:r>
      <w:bookmarkStart w:id="18917" w:name="_ETM_Q29_380540"/>
      <w:bookmarkEnd w:id="18917"/>
      <w:r>
        <w:rPr>
          <w:rFonts w:hint="cs"/>
          <w:rtl/>
        </w:rPr>
        <w:t xml:space="preserve">מקרי </w:t>
      </w:r>
      <w:bookmarkStart w:id="18918" w:name="_ETM_Q29_380930"/>
      <w:bookmarkEnd w:id="18918"/>
      <w:r>
        <w:rPr>
          <w:rFonts w:hint="cs"/>
          <w:rtl/>
        </w:rPr>
        <w:t xml:space="preserve">ירי </w:t>
      </w:r>
      <w:bookmarkStart w:id="18919" w:name="_ETM_Q29_381410"/>
      <w:bookmarkEnd w:id="18919"/>
      <w:r>
        <w:rPr>
          <w:rFonts w:hint="cs"/>
          <w:rtl/>
        </w:rPr>
        <w:t xml:space="preserve">הם </w:t>
      </w:r>
      <w:bookmarkStart w:id="18920" w:name="_ETM_Q29_381620"/>
      <w:bookmarkEnd w:id="18920"/>
      <w:r>
        <w:rPr>
          <w:rFonts w:hint="cs"/>
          <w:rtl/>
        </w:rPr>
        <w:t xml:space="preserve">כבר </w:t>
      </w:r>
      <w:bookmarkStart w:id="18921" w:name="_ETM_Q29_381919"/>
      <w:bookmarkEnd w:id="18921"/>
      <w:r>
        <w:rPr>
          <w:rFonts w:hint="cs"/>
          <w:rtl/>
        </w:rPr>
        <w:t xml:space="preserve">דבר </w:t>
      </w:r>
      <w:bookmarkStart w:id="18922" w:name="_ETM_Q29_382340"/>
      <w:bookmarkEnd w:id="18922"/>
      <w:r>
        <w:rPr>
          <w:rFonts w:hint="cs"/>
          <w:rtl/>
        </w:rPr>
        <w:t xml:space="preserve">רגיל, </w:t>
      </w:r>
      <w:bookmarkStart w:id="18923" w:name="_ETM_Q29_383180"/>
      <w:bookmarkEnd w:id="18923"/>
      <w:r>
        <w:rPr>
          <w:rFonts w:hint="cs"/>
          <w:rtl/>
        </w:rPr>
        <w:t xml:space="preserve">מציאות </w:t>
      </w:r>
      <w:bookmarkStart w:id="18924" w:name="_ETM_Q29_383570"/>
      <w:bookmarkEnd w:id="18924"/>
      <w:r>
        <w:rPr>
          <w:rFonts w:hint="cs"/>
          <w:rtl/>
        </w:rPr>
        <w:t xml:space="preserve">עגומה. </w:t>
      </w:r>
      <w:bookmarkStart w:id="18925" w:name="_ETM_Q29_384740"/>
      <w:bookmarkEnd w:id="18925"/>
      <w:r>
        <w:rPr>
          <w:rFonts w:hint="cs"/>
          <w:rtl/>
        </w:rPr>
        <w:t xml:space="preserve">צריך </w:t>
      </w:r>
      <w:bookmarkStart w:id="18926" w:name="_ETM_Q29_385010"/>
      <w:bookmarkEnd w:id="18926"/>
      <w:r>
        <w:rPr>
          <w:rFonts w:hint="cs"/>
          <w:rtl/>
        </w:rPr>
        <w:t xml:space="preserve">לקבל </w:t>
      </w:r>
      <w:bookmarkStart w:id="18927" w:name="_ETM_Q29_385400"/>
      <w:bookmarkEnd w:id="18927"/>
      <w:r>
        <w:rPr>
          <w:rFonts w:hint="cs"/>
          <w:rtl/>
        </w:rPr>
        <w:t xml:space="preserve">החלטות </w:t>
      </w:r>
      <w:bookmarkStart w:id="18928" w:name="_ETM_Q29_385940"/>
      <w:bookmarkEnd w:id="18928"/>
      <w:r>
        <w:rPr>
          <w:rFonts w:hint="cs"/>
          <w:rtl/>
        </w:rPr>
        <w:t xml:space="preserve">ולבצע </w:t>
      </w:r>
      <w:bookmarkStart w:id="18929" w:name="_ETM_Q29_386510"/>
      <w:bookmarkEnd w:id="18929"/>
      <w:r>
        <w:rPr>
          <w:rFonts w:hint="cs"/>
          <w:rtl/>
        </w:rPr>
        <w:t xml:space="preserve">מעשים </w:t>
      </w:r>
      <w:bookmarkStart w:id="18930" w:name="_ETM_Q29_386990"/>
      <w:bookmarkEnd w:id="18930"/>
      <w:r>
        <w:rPr>
          <w:rFonts w:hint="cs"/>
          <w:rtl/>
        </w:rPr>
        <w:t xml:space="preserve">באופן </w:t>
      </w:r>
      <w:bookmarkStart w:id="18931" w:name="_ETM_Q29_387350"/>
      <w:bookmarkEnd w:id="18931"/>
      <w:r>
        <w:rPr>
          <w:rFonts w:hint="cs"/>
          <w:rtl/>
        </w:rPr>
        <w:t xml:space="preserve">מיידי – </w:t>
      </w:r>
      <w:bookmarkStart w:id="18932" w:name="_ETM_Q29_388470"/>
      <w:bookmarkEnd w:id="18932"/>
      <w:r>
        <w:rPr>
          <w:rFonts w:hint="cs"/>
          <w:rtl/>
        </w:rPr>
        <w:t xml:space="preserve">העברת </w:t>
      </w:r>
      <w:bookmarkStart w:id="18933" w:name="_ETM_Q29_388980"/>
      <w:bookmarkEnd w:id="18933"/>
      <w:r>
        <w:rPr>
          <w:rFonts w:hint="cs"/>
          <w:rtl/>
        </w:rPr>
        <w:t>השר הממונה</w:t>
      </w:r>
      <w:bookmarkStart w:id="18934" w:name="_ETM_Q29_389340"/>
      <w:bookmarkEnd w:id="18934"/>
      <w:r>
        <w:rPr>
          <w:rFonts w:hint="cs"/>
          <w:rtl/>
        </w:rPr>
        <w:t xml:space="preserve"> </w:t>
      </w:r>
      <w:bookmarkStart w:id="18935" w:name="_ETM_Q29_389760"/>
      <w:bookmarkEnd w:id="18935"/>
      <w:r>
        <w:rPr>
          <w:rFonts w:hint="cs"/>
          <w:rtl/>
        </w:rPr>
        <w:t xml:space="preserve">מתפקידו. </w:t>
      </w:r>
      <w:bookmarkStart w:id="18936" w:name="_ETM_Q29_390930"/>
      <w:bookmarkEnd w:id="18936"/>
      <w:r>
        <w:rPr>
          <w:rFonts w:hint="cs"/>
          <w:rtl/>
        </w:rPr>
        <w:t xml:space="preserve">עדיף </w:t>
      </w:r>
      <w:bookmarkStart w:id="18937" w:name="_ETM_Q29_391380"/>
      <w:bookmarkEnd w:id="18937"/>
      <w:r>
        <w:rPr>
          <w:rFonts w:hint="cs"/>
          <w:rtl/>
        </w:rPr>
        <w:t xml:space="preserve">שיעסוק </w:t>
      </w:r>
      <w:bookmarkStart w:id="18938" w:name="_ETM_Q29_391860"/>
      <w:bookmarkEnd w:id="18938"/>
      <w:r>
        <w:rPr>
          <w:rFonts w:hint="cs"/>
          <w:rtl/>
        </w:rPr>
        <w:t xml:space="preserve">בסלטים, </w:t>
      </w:r>
      <w:bookmarkStart w:id="18939" w:name="_ETM_Q29_393120"/>
      <w:bookmarkStart w:id="18940" w:name="_ETM_Q29_393389"/>
      <w:bookmarkEnd w:id="18939"/>
      <w:bookmarkEnd w:id="18940"/>
      <w:r>
        <w:rPr>
          <w:rFonts w:hint="cs"/>
          <w:rtl/>
        </w:rPr>
        <w:t>אולי שם</w:t>
      </w:r>
      <w:r w:rsidR="00A021B9">
        <w:rPr>
          <w:rFonts w:hint="cs"/>
          <w:rtl/>
        </w:rPr>
        <w:t>, ו</w:t>
      </w:r>
      <w:bookmarkStart w:id="18941" w:name="_ETM_Q29_393689"/>
      <w:bookmarkEnd w:id="18941"/>
      <w:r>
        <w:rPr>
          <w:rFonts w:hint="cs"/>
          <w:rtl/>
        </w:rPr>
        <w:t xml:space="preserve">זה </w:t>
      </w:r>
      <w:bookmarkStart w:id="18942" w:name="_ETM_Q29_394200"/>
      <w:bookmarkEnd w:id="18942"/>
      <w:r>
        <w:rPr>
          <w:rFonts w:hint="cs"/>
          <w:rtl/>
        </w:rPr>
        <w:t xml:space="preserve">בספק </w:t>
      </w:r>
      <w:bookmarkStart w:id="18943" w:name="_ETM_Q29_394680"/>
      <w:bookmarkEnd w:id="18943"/>
      <w:r>
        <w:rPr>
          <w:rFonts w:hint="cs"/>
          <w:rtl/>
        </w:rPr>
        <w:t xml:space="preserve">אם </w:t>
      </w:r>
      <w:bookmarkStart w:id="18944" w:name="_ETM_Q29_394799"/>
      <w:bookmarkEnd w:id="18944"/>
      <w:r>
        <w:rPr>
          <w:rFonts w:hint="cs"/>
          <w:rtl/>
        </w:rPr>
        <w:t>יצליח</w:t>
      </w:r>
      <w:r w:rsidR="00A021B9">
        <w:rPr>
          <w:rFonts w:hint="cs"/>
          <w:rtl/>
        </w:rPr>
        <w:t>;</w:t>
      </w:r>
      <w:r>
        <w:rPr>
          <w:rFonts w:hint="cs"/>
          <w:rtl/>
        </w:rPr>
        <w:t xml:space="preserve"> </w:t>
      </w:r>
      <w:bookmarkStart w:id="18945" w:name="_ETM_Q29_395819"/>
      <w:bookmarkStart w:id="18946" w:name="_ETM_Q29_396329"/>
      <w:bookmarkEnd w:id="18945"/>
      <w:bookmarkEnd w:id="18946"/>
      <w:r>
        <w:rPr>
          <w:rFonts w:hint="cs"/>
          <w:rtl/>
        </w:rPr>
        <w:t xml:space="preserve">אם לא </w:t>
      </w:r>
      <w:bookmarkStart w:id="18947" w:name="_ETM_Q29_396540"/>
      <w:bookmarkEnd w:id="18947"/>
      <w:r>
        <w:rPr>
          <w:rFonts w:hint="cs"/>
          <w:rtl/>
        </w:rPr>
        <w:t xml:space="preserve">יצליח, </w:t>
      </w:r>
      <w:bookmarkStart w:id="18948" w:name="_ETM_Q29_396959"/>
      <w:bookmarkEnd w:id="18948"/>
      <w:r>
        <w:rPr>
          <w:rFonts w:hint="cs"/>
          <w:rtl/>
        </w:rPr>
        <w:t xml:space="preserve">אפשר </w:t>
      </w:r>
      <w:bookmarkStart w:id="18949" w:name="_ETM_Q29_397469"/>
      <w:bookmarkEnd w:id="18949"/>
      <w:r>
        <w:rPr>
          <w:rFonts w:hint="cs"/>
          <w:rtl/>
        </w:rPr>
        <w:t xml:space="preserve">בתחום </w:t>
      </w:r>
      <w:bookmarkStart w:id="18950" w:name="_ETM_Q29_397919"/>
      <w:bookmarkEnd w:id="18950"/>
      <w:r>
        <w:rPr>
          <w:rFonts w:hint="cs"/>
          <w:rtl/>
        </w:rPr>
        <w:t xml:space="preserve">הכרוב </w:t>
      </w:r>
      <w:bookmarkStart w:id="18951" w:name="_ETM_Q29_398579"/>
      <w:bookmarkEnd w:id="18951"/>
      <w:r>
        <w:rPr>
          <w:rFonts w:hint="cs"/>
          <w:rtl/>
        </w:rPr>
        <w:t xml:space="preserve">והחסה </w:t>
      </w:r>
      <w:bookmarkStart w:id="18952" w:name="_ETM_Q29_399569"/>
      <w:bookmarkEnd w:id="18952"/>
      <w:r>
        <w:rPr>
          <w:rFonts w:hint="cs"/>
          <w:rtl/>
        </w:rPr>
        <w:t xml:space="preserve">בלבד. </w:t>
      </w:r>
      <w:bookmarkStart w:id="18953" w:name="_ETM_Q29_401130"/>
      <w:bookmarkEnd w:id="18953"/>
      <w:r>
        <w:rPr>
          <w:rFonts w:hint="cs"/>
          <w:rtl/>
        </w:rPr>
        <w:t xml:space="preserve">מינוי </w:t>
      </w:r>
      <w:bookmarkStart w:id="18954" w:name="_ETM_Q29_402060"/>
      <w:bookmarkEnd w:id="18954"/>
      <w:r>
        <w:rPr>
          <w:rFonts w:hint="cs"/>
          <w:rtl/>
        </w:rPr>
        <w:t xml:space="preserve">איש </w:t>
      </w:r>
      <w:bookmarkStart w:id="18955" w:name="_ETM_Q29_402330"/>
      <w:bookmarkEnd w:id="18955"/>
      <w:r>
        <w:rPr>
          <w:rFonts w:hint="cs"/>
          <w:rtl/>
        </w:rPr>
        <w:t xml:space="preserve">מקצוע </w:t>
      </w:r>
      <w:bookmarkStart w:id="18956" w:name="_ETM_Q29_403200"/>
      <w:bookmarkEnd w:id="18956"/>
      <w:r>
        <w:rPr>
          <w:rFonts w:hint="cs"/>
          <w:rtl/>
        </w:rPr>
        <w:t xml:space="preserve">זה </w:t>
      </w:r>
      <w:bookmarkStart w:id="18957" w:name="_ETM_Q29_403440"/>
      <w:bookmarkEnd w:id="18957"/>
      <w:r>
        <w:rPr>
          <w:rFonts w:hint="cs"/>
          <w:rtl/>
        </w:rPr>
        <w:t xml:space="preserve">מה </w:t>
      </w:r>
      <w:bookmarkStart w:id="18958" w:name="_ETM_Q29_403560"/>
      <w:bookmarkEnd w:id="18958"/>
      <w:r>
        <w:rPr>
          <w:rFonts w:hint="cs"/>
          <w:rtl/>
        </w:rPr>
        <w:t>שנדרש</w:t>
      </w:r>
      <w:bookmarkStart w:id="18959" w:name="_ETM_Q29_404340"/>
      <w:bookmarkEnd w:id="18959"/>
      <w:r w:rsidR="00A021B9">
        <w:rPr>
          <w:rFonts w:hint="cs"/>
          <w:rtl/>
        </w:rPr>
        <w:t>,</w:t>
      </w:r>
      <w:r>
        <w:rPr>
          <w:rFonts w:hint="cs"/>
          <w:rtl/>
        </w:rPr>
        <w:t xml:space="preserve"> כזה שיכול </w:t>
      </w:r>
      <w:bookmarkStart w:id="18960" w:name="_ETM_Q29_404790"/>
      <w:bookmarkEnd w:id="18960"/>
      <w:r>
        <w:rPr>
          <w:rFonts w:hint="cs"/>
          <w:rtl/>
        </w:rPr>
        <w:t xml:space="preserve">להביא </w:t>
      </w:r>
      <w:bookmarkStart w:id="18961" w:name="_ETM_Q29_405090"/>
      <w:bookmarkEnd w:id="18961"/>
      <w:r>
        <w:rPr>
          <w:rFonts w:hint="cs"/>
          <w:rtl/>
        </w:rPr>
        <w:t xml:space="preserve">למלחמת </w:t>
      </w:r>
      <w:bookmarkStart w:id="18962" w:name="_ETM_Q29_405660"/>
      <w:bookmarkEnd w:id="18962"/>
      <w:r>
        <w:rPr>
          <w:rFonts w:hint="cs"/>
          <w:rtl/>
        </w:rPr>
        <w:t xml:space="preserve">חורמה </w:t>
      </w:r>
      <w:bookmarkStart w:id="18963" w:name="_ETM_Q29_406629"/>
      <w:bookmarkEnd w:id="18963"/>
      <w:r>
        <w:rPr>
          <w:rFonts w:hint="cs"/>
          <w:rtl/>
        </w:rPr>
        <w:t xml:space="preserve">באלימות </w:t>
      </w:r>
      <w:bookmarkStart w:id="18964" w:name="_ETM_Q29_407260"/>
      <w:bookmarkEnd w:id="18964"/>
      <w:r>
        <w:rPr>
          <w:rFonts w:hint="cs"/>
          <w:rtl/>
        </w:rPr>
        <w:t xml:space="preserve">ובפשע </w:t>
      </w:r>
      <w:bookmarkStart w:id="18965" w:name="_ETM_Q29_408309"/>
      <w:bookmarkEnd w:id="18965"/>
      <w:r>
        <w:rPr>
          <w:rFonts w:hint="cs"/>
          <w:rtl/>
        </w:rPr>
        <w:t xml:space="preserve">בחברה </w:t>
      </w:r>
      <w:bookmarkStart w:id="18966" w:name="_ETM_Q29_408730"/>
      <w:bookmarkEnd w:id="18966"/>
      <w:r>
        <w:rPr>
          <w:rFonts w:hint="cs"/>
          <w:rtl/>
        </w:rPr>
        <w:t xml:space="preserve">הערבית. </w:t>
      </w:r>
      <w:bookmarkStart w:id="18967" w:name="_ETM_Q29_410500"/>
      <w:bookmarkEnd w:id="18967"/>
      <w:r>
        <w:rPr>
          <w:rFonts w:hint="cs"/>
          <w:rtl/>
        </w:rPr>
        <w:t xml:space="preserve">לטיפול </w:t>
      </w:r>
      <w:bookmarkStart w:id="18968" w:name="_ETM_Q29_410890"/>
      <w:bookmarkEnd w:id="18968"/>
      <w:r>
        <w:rPr>
          <w:rFonts w:hint="cs"/>
          <w:rtl/>
        </w:rPr>
        <w:t xml:space="preserve">בפשיעה </w:t>
      </w:r>
      <w:bookmarkStart w:id="18969" w:name="_ETM_Q29_411550"/>
      <w:bookmarkEnd w:id="18969"/>
      <w:r>
        <w:rPr>
          <w:rFonts w:hint="cs"/>
          <w:rtl/>
        </w:rPr>
        <w:t xml:space="preserve">נדרשת </w:t>
      </w:r>
      <w:bookmarkStart w:id="18970" w:name="_ETM_Q29_412030"/>
      <w:bookmarkEnd w:id="18970"/>
      <w:r>
        <w:rPr>
          <w:rFonts w:hint="cs"/>
          <w:rtl/>
        </w:rPr>
        <w:t xml:space="preserve">התגייסות </w:t>
      </w:r>
      <w:bookmarkStart w:id="18971" w:name="_ETM_Q29_413200"/>
      <w:bookmarkEnd w:id="18971"/>
      <w:r>
        <w:rPr>
          <w:rFonts w:hint="cs"/>
          <w:rtl/>
        </w:rPr>
        <w:t xml:space="preserve">של </w:t>
      </w:r>
      <w:bookmarkStart w:id="18972" w:name="_ETM_Q29_413470"/>
      <w:bookmarkEnd w:id="18972"/>
      <w:r>
        <w:rPr>
          <w:rFonts w:hint="cs"/>
          <w:rtl/>
        </w:rPr>
        <w:t xml:space="preserve">כלל </w:t>
      </w:r>
      <w:bookmarkStart w:id="18973" w:name="_ETM_Q29_413830"/>
      <w:bookmarkEnd w:id="18973"/>
      <w:r>
        <w:rPr>
          <w:rFonts w:hint="cs"/>
          <w:rtl/>
        </w:rPr>
        <w:t xml:space="preserve">גורמי </w:t>
      </w:r>
      <w:bookmarkStart w:id="18974" w:name="_ETM_Q29_414190"/>
      <w:bookmarkEnd w:id="18974"/>
      <w:r>
        <w:rPr>
          <w:rFonts w:hint="cs"/>
          <w:rtl/>
        </w:rPr>
        <w:t xml:space="preserve">הממשלה </w:t>
      </w:r>
      <w:bookmarkStart w:id="18975" w:name="_ETM_Q29_414730"/>
      <w:bookmarkEnd w:id="18975"/>
      <w:r>
        <w:rPr>
          <w:rFonts w:hint="cs"/>
          <w:rtl/>
        </w:rPr>
        <w:t xml:space="preserve">והרשויות, </w:t>
      </w:r>
      <w:bookmarkStart w:id="18976" w:name="_ETM_Q29_415830"/>
      <w:bookmarkEnd w:id="18976"/>
      <w:r>
        <w:rPr>
          <w:rFonts w:hint="cs"/>
          <w:rtl/>
        </w:rPr>
        <w:t>ו</w:t>
      </w:r>
      <w:bookmarkStart w:id="18977" w:name="_ETM_Q29_416129"/>
      <w:bookmarkEnd w:id="18977"/>
      <w:r>
        <w:rPr>
          <w:rFonts w:hint="cs"/>
          <w:rtl/>
        </w:rPr>
        <w:t xml:space="preserve">לצערנו </w:t>
      </w:r>
      <w:bookmarkStart w:id="18978" w:name="_ETM_Q29_416940"/>
      <w:bookmarkEnd w:id="18978"/>
      <w:r w:rsidR="00A021B9">
        <w:rPr>
          <w:rFonts w:hint="cs"/>
          <w:rtl/>
        </w:rPr>
        <w:t xml:space="preserve">זה </w:t>
      </w:r>
      <w:r>
        <w:rPr>
          <w:rFonts w:hint="cs"/>
          <w:rtl/>
        </w:rPr>
        <w:t xml:space="preserve">לא </w:t>
      </w:r>
      <w:bookmarkStart w:id="18979" w:name="_ETM_Q29_417150"/>
      <w:bookmarkEnd w:id="18979"/>
      <w:r>
        <w:rPr>
          <w:rFonts w:hint="cs"/>
          <w:rtl/>
        </w:rPr>
        <w:t>קורה.</w:t>
      </w:r>
    </w:p>
    <w:p w:rsidR="00BB59CD" w:rsidRDefault="00BB59CD" w:rsidP="00BB59CD">
      <w:pPr>
        <w:rPr>
          <w:rtl/>
        </w:rPr>
      </w:pPr>
      <w:bookmarkStart w:id="18980" w:name="_ETM_Q29_419802"/>
      <w:bookmarkStart w:id="18981" w:name="_ETM_Q29_419900"/>
      <w:bookmarkEnd w:id="18980"/>
      <w:bookmarkEnd w:id="18981"/>
    </w:p>
    <w:p w:rsidR="00BB59CD" w:rsidRDefault="00BB59CD" w:rsidP="00A021B9">
      <w:pPr>
        <w:rPr>
          <w:rtl/>
        </w:rPr>
      </w:pPr>
      <w:bookmarkStart w:id="18982" w:name="_ETM_Q29_419993"/>
      <w:bookmarkStart w:id="18983" w:name="_ETM_Q29_420075"/>
      <w:bookmarkStart w:id="18984" w:name="_ETM_Q29_418560"/>
      <w:bookmarkEnd w:id="18982"/>
      <w:bookmarkEnd w:id="18983"/>
      <w:bookmarkEnd w:id="18984"/>
      <w:r>
        <w:rPr>
          <w:rFonts w:hint="cs"/>
          <w:rtl/>
        </w:rPr>
        <w:t xml:space="preserve">גם </w:t>
      </w:r>
      <w:bookmarkStart w:id="18985" w:name="_ETM_Q29_418860"/>
      <w:bookmarkEnd w:id="18985"/>
      <w:r>
        <w:rPr>
          <w:rFonts w:hint="cs"/>
          <w:rtl/>
        </w:rPr>
        <w:t xml:space="preserve">יושב-ראש </w:t>
      </w:r>
      <w:bookmarkStart w:id="18986" w:name="_ETM_Q29_419340"/>
      <w:bookmarkEnd w:id="18986"/>
      <w:r>
        <w:rPr>
          <w:rFonts w:hint="cs"/>
          <w:rtl/>
        </w:rPr>
        <w:t xml:space="preserve">ההסתדרות </w:t>
      </w:r>
      <w:bookmarkStart w:id="18987" w:name="_ETM_Q29_420440"/>
      <w:bookmarkEnd w:id="18987"/>
      <w:r>
        <w:rPr>
          <w:rFonts w:hint="cs"/>
          <w:rtl/>
        </w:rPr>
        <w:t xml:space="preserve">ארנון </w:t>
      </w:r>
      <w:bookmarkStart w:id="18988" w:name="_ETM_Q29_420860"/>
      <w:bookmarkEnd w:id="18988"/>
      <w:r>
        <w:rPr>
          <w:rFonts w:hint="cs"/>
          <w:rtl/>
        </w:rPr>
        <w:t>בן</w:t>
      </w:r>
      <w:bookmarkStart w:id="18989" w:name="_ETM_Q29_421070"/>
      <w:bookmarkEnd w:id="18989"/>
      <w:r w:rsidR="00A021B9">
        <w:rPr>
          <w:rFonts w:hint="cs"/>
          <w:rtl/>
        </w:rPr>
        <w:t>-</w:t>
      </w:r>
      <w:r>
        <w:rPr>
          <w:rFonts w:hint="cs"/>
          <w:rtl/>
        </w:rPr>
        <w:t xml:space="preserve">דוד, </w:t>
      </w:r>
      <w:bookmarkStart w:id="18990" w:name="_ETM_Q29_422180"/>
      <w:bookmarkEnd w:id="18990"/>
      <w:r>
        <w:rPr>
          <w:rFonts w:hint="cs"/>
          <w:rtl/>
        </w:rPr>
        <w:t xml:space="preserve">שמאיים </w:t>
      </w:r>
      <w:bookmarkStart w:id="18991" w:name="_ETM_Q29_422840"/>
      <w:bookmarkEnd w:id="18991"/>
      <w:r>
        <w:rPr>
          <w:rFonts w:hint="cs"/>
          <w:rtl/>
        </w:rPr>
        <w:t xml:space="preserve">מדי </w:t>
      </w:r>
      <w:bookmarkStart w:id="18992" w:name="_ETM_Q29_423049"/>
      <w:bookmarkEnd w:id="18992"/>
      <w:r>
        <w:rPr>
          <w:rFonts w:hint="cs"/>
          <w:rtl/>
        </w:rPr>
        <w:t xml:space="preserve">פעם </w:t>
      </w:r>
      <w:bookmarkStart w:id="18993" w:name="_ETM_Q29_423799"/>
      <w:bookmarkEnd w:id="18993"/>
      <w:r>
        <w:rPr>
          <w:rFonts w:hint="cs"/>
          <w:rtl/>
        </w:rPr>
        <w:t xml:space="preserve">בשביתות, </w:t>
      </w:r>
      <w:bookmarkStart w:id="18994" w:name="_ETM_Q29_424879"/>
      <w:bookmarkEnd w:id="18994"/>
      <w:r>
        <w:rPr>
          <w:rFonts w:hint="cs"/>
          <w:rtl/>
        </w:rPr>
        <w:t xml:space="preserve">לא </w:t>
      </w:r>
      <w:bookmarkStart w:id="18995" w:name="_ETM_Q29_425090"/>
      <w:bookmarkEnd w:id="18995"/>
      <w:r>
        <w:rPr>
          <w:rFonts w:hint="cs"/>
          <w:rtl/>
        </w:rPr>
        <w:t xml:space="preserve">טרח </w:t>
      </w:r>
      <w:bookmarkStart w:id="18996" w:name="_ETM_Q29_425450"/>
      <w:bookmarkEnd w:id="18996"/>
      <w:r>
        <w:rPr>
          <w:rFonts w:hint="cs"/>
          <w:rtl/>
        </w:rPr>
        <w:t xml:space="preserve">אפילו </w:t>
      </w:r>
      <w:bookmarkStart w:id="18997" w:name="_ETM_Q29_426319"/>
      <w:bookmarkEnd w:id="18997"/>
      <w:r>
        <w:rPr>
          <w:rFonts w:hint="cs"/>
          <w:rtl/>
        </w:rPr>
        <w:t xml:space="preserve">להגיד </w:t>
      </w:r>
      <w:bookmarkStart w:id="18998" w:name="_ETM_Q29_426860"/>
      <w:bookmarkEnd w:id="18998"/>
      <w:r>
        <w:rPr>
          <w:rFonts w:hint="cs"/>
          <w:rtl/>
        </w:rPr>
        <w:t xml:space="preserve">מילה </w:t>
      </w:r>
      <w:bookmarkStart w:id="18999" w:name="_ETM_Q29_427129"/>
      <w:bookmarkEnd w:id="18999"/>
      <w:r>
        <w:rPr>
          <w:rFonts w:hint="cs"/>
          <w:rtl/>
        </w:rPr>
        <w:t xml:space="preserve">בעניין </w:t>
      </w:r>
      <w:bookmarkStart w:id="19000" w:name="_ETM_Q29_427610"/>
      <w:bookmarkEnd w:id="19000"/>
      <w:r>
        <w:rPr>
          <w:rFonts w:hint="cs"/>
          <w:rtl/>
        </w:rPr>
        <w:t xml:space="preserve">מגפת </w:t>
      </w:r>
      <w:bookmarkStart w:id="19001" w:name="_ETM_Q29_428030"/>
      <w:bookmarkEnd w:id="19001"/>
      <w:r>
        <w:rPr>
          <w:rFonts w:hint="cs"/>
          <w:rtl/>
        </w:rPr>
        <w:t xml:space="preserve">האלימות </w:t>
      </w:r>
      <w:bookmarkStart w:id="19002" w:name="_ETM_Q29_428510"/>
      <w:bookmarkEnd w:id="19002"/>
      <w:r>
        <w:rPr>
          <w:rFonts w:hint="cs"/>
          <w:rtl/>
        </w:rPr>
        <w:t xml:space="preserve">והרציחות </w:t>
      </w:r>
      <w:bookmarkStart w:id="19003" w:name="_ETM_Q29_429620"/>
      <w:bookmarkEnd w:id="19003"/>
      <w:r>
        <w:rPr>
          <w:rFonts w:hint="cs"/>
          <w:rtl/>
        </w:rPr>
        <w:t xml:space="preserve">בחברה </w:t>
      </w:r>
      <w:bookmarkStart w:id="19004" w:name="_ETM_Q29_430190"/>
      <w:bookmarkEnd w:id="19004"/>
      <w:r>
        <w:rPr>
          <w:rFonts w:hint="cs"/>
          <w:rtl/>
        </w:rPr>
        <w:t xml:space="preserve">הערבית. </w:t>
      </w:r>
      <w:bookmarkStart w:id="19005" w:name="_ETM_Q29_431099"/>
      <w:bookmarkEnd w:id="19005"/>
      <w:r>
        <w:rPr>
          <w:rFonts w:hint="cs"/>
          <w:rtl/>
        </w:rPr>
        <w:t xml:space="preserve">בתור </w:t>
      </w:r>
      <w:bookmarkStart w:id="19006" w:name="_ETM_Q29_431520"/>
      <w:bookmarkEnd w:id="19006"/>
      <w:r>
        <w:rPr>
          <w:rFonts w:hint="cs"/>
          <w:rtl/>
        </w:rPr>
        <w:t xml:space="preserve">מי </w:t>
      </w:r>
      <w:bookmarkStart w:id="19007" w:name="_ETM_Q29_431640"/>
      <w:bookmarkEnd w:id="19007"/>
      <w:r>
        <w:rPr>
          <w:rFonts w:hint="cs"/>
          <w:rtl/>
        </w:rPr>
        <w:t xml:space="preserve">שעומד </w:t>
      </w:r>
      <w:bookmarkStart w:id="19008" w:name="_ETM_Q29_432060"/>
      <w:bookmarkEnd w:id="19008"/>
      <w:r>
        <w:rPr>
          <w:rFonts w:hint="cs"/>
          <w:rtl/>
        </w:rPr>
        <w:t xml:space="preserve">בראש </w:t>
      </w:r>
      <w:bookmarkStart w:id="19009" w:name="_ETM_Q29_432390"/>
      <w:bookmarkEnd w:id="19009"/>
      <w:r>
        <w:rPr>
          <w:rFonts w:hint="cs"/>
          <w:rtl/>
        </w:rPr>
        <w:t xml:space="preserve">ארגון </w:t>
      </w:r>
      <w:bookmarkStart w:id="19010" w:name="_ETM_Q29_432780"/>
      <w:bookmarkEnd w:id="19010"/>
      <w:r>
        <w:rPr>
          <w:rFonts w:hint="cs"/>
          <w:rtl/>
        </w:rPr>
        <w:t xml:space="preserve">שמאגד </w:t>
      </w:r>
      <w:bookmarkStart w:id="19011" w:name="_ETM_Q29_433260"/>
      <w:bookmarkEnd w:id="19011"/>
      <w:r>
        <w:rPr>
          <w:rFonts w:hint="cs"/>
          <w:rtl/>
        </w:rPr>
        <w:t xml:space="preserve">עשרות </w:t>
      </w:r>
      <w:bookmarkStart w:id="19012" w:name="_ETM_Q29_433800"/>
      <w:bookmarkEnd w:id="19012"/>
      <w:r>
        <w:rPr>
          <w:rFonts w:hint="cs"/>
          <w:rtl/>
        </w:rPr>
        <w:t xml:space="preserve">אלפי </w:t>
      </w:r>
      <w:bookmarkStart w:id="19013" w:name="_ETM_Q29_434040"/>
      <w:bookmarkEnd w:id="19013"/>
      <w:r>
        <w:rPr>
          <w:rFonts w:hint="cs"/>
          <w:rtl/>
        </w:rPr>
        <w:t xml:space="preserve">עובדים </w:t>
      </w:r>
      <w:bookmarkStart w:id="19014" w:name="_ETM_Q29_435049"/>
      <w:bookmarkEnd w:id="19014"/>
      <w:r>
        <w:rPr>
          <w:rFonts w:hint="cs"/>
          <w:rtl/>
        </w:rPr>
        <w:t xml:space="preserve">בכל </w:t>
      </w:r>
      <w:bookmarkStart w:id="19015" w:name="_ETM_Q29_435500"/>
      <w:bookmarkEnd w:id="19015"/>
      <w:r>
        <w:rPr>
          <w:rFonts w:hint="cs"/>
          <w:rtl/>
        </w:rPr>
        <w:t xml:space="preserve">התחומים, </w:t>
      </w:r>
      <w:bookmarkStart w:id="19016" w:name="_ETM_Q29_436600"/>
      <w:bookmarkEnd w:id="19016"/>
      <w:r>
        <w:rPr>
          <w:rFonts w:hint="cs"/>
          <w:rtl/>
        </w:rPr>
        <w:t xml:space="preserve">בכל </w:t>
      </w:r>
      <w:bookmarkStart w:id="19017" w:name="_ETM_Q29_437140"/>
      <w:bookmarkEnd w:id="19017"/>
      <w:r>
        <w:rPr>
          <w:rFonts w:hint="cs"/>
          <w:rtl/>
        </w:rPr>
        <w:t xml:space="preserve">שכבות </w:t>
      </w:r>
      <w:bookmarkStart w:id="19018" w:name="_ETM_Q29_437440"/>
      <w:bookmarkEnd w:id="19018"/>
      <w:r>
        <w:rPr>
          <w:rFonts w:hint="cs"/>
          <w:rtl/>
        </w:rPr>
        <w:t xml:space="preserve">את </w:t>
      </w:r>
      <w:bookmarkStart w:id="19019" w:name="_ETM_Q29_437500"/>
      <w:bookmarkEnd w:id="19019"/>
      <w:r>
        <w:rPr>
          <w:rFonts w:hint="cs"/>
          <w:rtl/>
        </w:rPr>
        <w:t xml:space="preserve">החברה, </w:t>
      </w:r>
      <w:bookmarkStart w:id="19020" w:name="_ETM_Q29_438470"/>
      <w:bookmarkEnd w:id="19020"/>
      <w:r>
        <w:rPr>
          <w:rFonts w:hint="cs"/>
          <w:rtl/>
        </w:rPr>
        <w:t xml:space="preserve">ראוי </w:t>
      </w:r>
      <w:bookmarkStart w:id="19021" w:name="_ETM_Q29_438949"/>
      <w:bookmarkEnd w:id="19021"/>
      <w:r>
        <w:rPr>
          <w:rFonts w:hint="cs"/>
          <w:rtl/>
        </w:rPr>
        <w:t xml:space="preserve">שייתן </w:t>
      </w:r>
      <w:bookmarkStart w:id="19022" w:name="_ETM_Q29_439400"/>
      <w:bookmarkEnd w:id="19022"/>
      <w:r>
        <w:rPr>
          <w:rFonts w:hint="cs"/>
          <w:rtl/>
        </w:rPr>
        <w:t xml:space="preserve">את </w:t>
      </w:r>
      <w:bookmarkStart w:id="19023" w:name="_ETM_Q29_439460"/>
      <w:bookmarkEnd w:id="19023"/>
      <w:r>
        <w:rPr>
          <w:rFonts w:hint="cs"/>
          <w:rtl/>
        </w:rPr>
        <w:t xml:space="preserve">דעתו </w:t>
      </w:r>
      <w:bookmarkStart w:id="19024" w:name="_ETM_Q29_439819"/>
      <w:bookmarkEnd w:id="19024"/>
      <w:r>
        <w:rPr>
          <w:rFonts w:hint="cs"/>
          <w:rtl/>
        </w:rPr>
        <w:t xml:space="preserve">ואמירתו </w:t>
      </w:r>
      <w:bookmarkStart w:id="19025" w:name="_ETM_Q29_440940"/>
      <w:bookmarkEnd w:id="19025"/>
      <w:r>
        <w:rPr>
          <w:rFonts w:hint="cs"/>
          <w:rtl/>
        </w:rPr>
        <w:t xml:space="preserve">בעניין </w:t>
      </w:r>
      <w:bookmarkStart w:id="19026" w:name="_ETM_Q29_441599"/>
      <w:bookmarkEnd w:id="19026"/>
      <w:r>
        <w:rPr>
          <w:rFonts w:hint="cs"/>
          <w:rtl/>
        </w:rPr>
        <w:t>כ</w:t>
      </w:r>
      <w:bookmarkStart w:id="19027" w:name="_ETM_Q29_441839"/>
      <w:bookmarkEnd w:id="19027"/>
      <w:r>
        <w:rPr>
          <w:rFonts w:hint="cs"/>
          <w:rtl/>
        </w:rPr>
        <w:t xml:space="preserve">ל כך </w:t>
      </w:r>
      <w:bookmarkStart w:id="19028" w:name="_ETM_Q29_442520"/>
      <w:bookmarkEnd w:id="19028"/>
      <w:r>
        <w:rPr>
          <w:rFonts w:hint="cs"/>
          <w:rtl/>
        </w:rPr>
        <w:t>אקוטי.</w:t>
      </w:r>
    </w:p>
    <w:p w:rsidR="00BB59CD" w:rsidRDefault="00BB59CD" w:rsidP="00BB59CD">
      <w:pPr>
        <w:rPr>
          <w:rtl/>
        </w:rPr>
      </w:pPr>
      <w:bookmarkStart w:id="19029" w:name="_ETM_Q29_441402"/>
      <w:bookmarkStart w:id="19030" w:name="_ETM_Q29_441497"/>
      <w:bookmarkEnd w:id="19029"/>
      <w:bookmarkEnd w:id="19030"/>
    </w:p>
    <w:p w:rsidR="00BB59CD" w:rsidRDefault="00BB59CD" w:rsidP="00BB59CD">
      <w:pPr>
        <w:rPr>
          <w:rtl/>
        </w:rPr>
      </w:pPr>
      <w:bookmarkStart w:id="19031" w:name="_ETM_Q29_441945"/>
      <w:bookmarkStart w:id="19032" w:name="_ETM_Q29_442030"/>
      <w:bookmarkStart w:id="19033" w:name="_ETM_Q29_444380"/>
      <w:bookmarkEnd w:id="19031"/>
      <w:bookmarkEnd w:id="19032"/>
      <w:bookmarkEnd w:id="19033"/>
      <w:r>
        <w:rPr>
          <w:rFonts w:hint="cs"/>
          <w:rtl/>
        </w:rPr>
        <w:t xml:space="preserve">אנחנו </w:t>
      </w:r>
      <w:bookmarkStart w:id="19034" w:name="_ETM_Q29_444800"/>
      <w:bookmarkEnd w:id="19034"/>
      <w:r>
        <w:rPr>
          <w:rFonts w:hint="cs"/>
          <w:rtl/>
        </w:rPr>
        <w:t xml:space="preserve">רואים </w:t>
      </w:r>
      <w:bookmarkStart w:id="19035" w:name="_ETM_Q29_445040"/>
      <w:bookmarkStart w:id="19036" w:name="_ETM_Q29_445130"/>
      <w:bookmarkEnd w:id="19035"/>
      <w:bookmarkEnd w:id="19036"/>
      <w:r>
        <w:rPr>
          <w:rFonts w:hint="cs"/>
          <w:rtl/>
        </w:rPr>
        <w:t xml:space="preserve">מהממשלה </w:t>
      </w:r>
      <w:bookmarkStart w:id="19037" w:name="_ETM_Q29_445820"/>
      <w:bookmarkEnd w:id="19037"/>
      <w:r>
        <w:rPr>
          <w:rFonts w:hint="cs"/>
          <w:rtl/>
        </w:rPr>
        <w:t xml:space="preserve">חדשות </w:t>
      </w:r>
      <w:bookmarkStart w:id="19038" w:name="_ETM_Q29_446330"/>
      <w:bookmarkEnd w:id="19038"/>
      <w:r>
        <w:rPr>
          <w:rFonts w:hint="cs"/>
          <w:rtl/>
        </w:rPr>
        <w:t xml:space="preserve">לבקרים </w:t>
      </w:r>
      <w:bookmarkStart w:id="19039" w:name="_ETM_Q29_446750"/>
      <w:bookmarkEnd w:id="19039"/>
      <w:r>
        <w:rPr>
          <w:rFonts w:hint="cs"/>
          <w:rtl/>
        </w:rPr>
        <w:t xml:space="preserve">ההחלטות </w:t>
      </w:r>
      <w:bookmarkStart w:id="19040" w:name="_ETM_Q29_447889"/>
      <w:bookmarkEnd w:id="19040"/>
      <w:r>
        <w:rPr>
          <w:rFonts w:hint="cs"/>
          <w:rtl/>
        </w:rPr>
        <w:t xml:space="preserve">על </w:t>
      </w:r>
      <w:bookmarkStart w:id="19041" w:name="_ETM_Q29_448099"/>
      <w:bookmarkEnd w:id="19041"/>
      <w:r>
        <w:rPr>
          <w:rFonts w:hint="cs"/>
          <w:rtl/>
        </w:rPr>
        <w:t xml:space="preserve">הקמת </w:t>
      </w:r>
      <w:bookmarkStart w:id="19042" w:name="_ETM_Q29_448520"/>
      <w:bookmarkEnd w:id="19042"/>
      <w:r>
        <w:rPr>
          <w:rFonts w:hint="cs"/>
          <w:rtl/>
        </w:rPr>
        <w:t xml:space="preserve">ועדות. </w:t>
      </w:r>
      <w:bookmarkStart w:id="19043" w:name="_ETM_Q29_449300"/>
      <w:bookmarkEnd w:id="19043"/>
      <w:r>
        <w:rPr>
          <w:rFonts w:hint="cs"/>
          <w:rtl/>
        </w:rPr>
        <w:t xml:space="preserve">ועדה </w:t>
      </w:r>
      <w:bookmarkStart w:id="19044" w:name="_ETM_Q29_449809"/>
      <w:bookmarkEnd w:id="19044"/>
      <w:r>
        <w:rPr>
          <w:rFonts w:hint="cs"/>
          <w:rtl/>
        </w:rPr>
        <w:t xml:space="preserve">ועוד </w:t>
      </w:r>
      <w:bookmarkStart w:id="19045" w:name="_ETM_Q29_450139"/>
      <w:bookmarkEnd w:id="19045"/>
      <w:r>
        <w:rPr>
          <w:rFonts w:hint="cs"/>
          <w:rtl/>
        </w:rPr>
        <w:t xml:space="preserve">ועדה </w:t>
      </w:r>
      <w:bookmarkStart w:id="19046" w:name="_ETM_Q29_451220"/>
      <w:bookmarkEnd w:id="19046"/>
      <w:r>
        <w:rPr>
          <w:rFonts w:hint="cs"/>
          <w:rtl/>
        </w:rPr>
        <w:t xml:space="preserve">ואולי </w:t>
      </w:r>
      <w:bookmarkStart w:id="19047" w:name="_ETM_Q29_452150"/>
      <w:bookmarkEnd w:id="19047"/>
      <w:r>
        <w:rPr>
          <w:rFonts w:hint="cs"/>
          <w:rtl/>
        </w:rPr>
        <w:t xml:space="preserve">עוד </w:t>
      </w:r>
      <w:bookmarkStart w:id="19048" w:name="_ETM_Q29_452389"/>
      <w:bookmarkEnd w:id="19048"/>
      <w:r>
        <w:rPr>
          <w:rFonts w:hint="cs"/>
          <w:rtl/>
        </w:rPr>
        <w:t xml:space="preserve">ועדה, </w:t>
      </w:r>
      <w:bookmarkStart w:id="19049" w:name="_ETM_Q29_453110"/>
      <w:bookmarkEnd w:id="19049"/>
      <w:r>
        <w:rPr>
          <w:rFonts w:hint="cs"/>
          <w:rtl/>
        </w:rPr>
        <w:t xml:space="preserve">ככה </w:t>
      </w:r>
      <w:bookmarkStart w:id="19050" w:name="_ETM_Q29_453740"/>
      <w:bookmarkEnd w:id="19050"/>
      <w:r>
        <w:rPr>
          <w:rFonts w:hint="cs"/>
          <w:rtl/>
        </w:rPr>
        <w:t xml:space="preserve">מורחים </w:t>
      </w:r>
      <w:bookmarkStart w:id="19051" w:name="_ETM_Q29_454070"/>
      <w:bookmarkEnd w:id="19051"/>
      <w:r>
        <w:rPr>
          <w:rFonts w:hint="cs"/>
          <w:rtl/>
        </w:rPr>
        <w:t xml:space="preserve">את </w:t>
      </w:r>
      <w:bookmarkStart w:id="19052" w:name="_ETM_Q29_454190"/>
      <w:bookmarkEnd w:id="19052"/>
      <w:r>
        <w:rPr>
          <w:rFonts w:hint="cs"/>
          <w:rtl/>
        </w:rPr>
        <w:t>הנושא.</w:t>
      </w:r>
    </w:p>
    <w:p w:rsidR="00BB59CD" w:rsidRDefault="00BB59CD" w:rsidP="00BB59CD">
      <w:pPr>
        <w:rPr>
          <w:rtl/>
        </w:rPr>
      </w:pPr>
      <w:bookmarkStart w:id="19053" w:name="_ETM_Q29_452223"/>
      <w:bookmarkStart w:id="19054" w:name="_ETM_Q29_452302"/>
      <w:bookmarkEnd w:id="19053"/>
      <w:bookmarkEnd w:id="19054"/>
    </w:p>
    <w:p w:rsidR="00BB59CD" w:rsidRDefault="00BB59CD" w:rsidP="00A021B9">
      <w:pPr>
        <w:rPr>
          <w:rtl/>
        </w:rPr>
      </w:pPr>
      <w:bookmarkStart w:id="19055" w:name="_ETM_Q29_452414"/>
      <w:bookmarkStart w:id="19056" w:name="_ETM_Q29_452491"/>
      <w:bookmarkStart w:id="19057" w:name="_ETM_Q29_455270"/>
      <w:bookmarkEnd w:id="19055"/>
      <w:bookmarkEnd w:id="19056"/>
      <w:bookmarkEnd w:id="19057"/>
      <w:r>
        <w:rPr>
          <w:rFonts w:hint="cs"/>
          <w:rtl/>
        </w:rPr>
        <w:t xml:space="preserve">עכשיו, </w:t>
      </w:r>
      <w:bookmarkStart w:id="19058" w:name="_ETM_Q29_455540"/>
      <w:bookmarkEnd w:id="19058"/>
      <w:r>
        <w:rPr>
          <w:rFonts w:hint="cs"/>
          <w:rtl/>
        </w:rPr>
        <w:t xml:space="preserve">בעניין </w:t>
      </w:r>
      <w:bookmarkStart w:id="19059" w:name="_ETM_Q29_455930"/>
      <w:bookmarkEnd w:id="19059"/>
      <w:r>
        <w:rPr>
          <w:rFonts w:hint="cs"/>
          <w:rtl/>
        </w:rPr>
        <w:t xml:space="preserve">של </w:t>
      </w:r>
      <w:bookmarkStart w:id="19060" w:name="_ETM_Q29_456410"/>
      <w:bookmarkEnd w:id="19060"/>
      <w:r>
        <w:rPr>
          <w:rFonts w:hint="cs"/>
          <w:rtl/>
        </w:rPr>
        <w:t xml:space="preserve">יושב-ראש </w:t>
      </w:r>
      <w:bookmarkStart w:id="19061" w:name="_ETM_Q29_456830"/>
      <w:bookmarkEnd w:id="19061"/>
      <w:r>
        <w:rPr>
          <w:rFonts w:hint="cs"/>
          <w:rtl/>
        </w:rPr>
        <w:t xml:space="preserve">ההסתדרות </w:t>
      </w:r>
      <w:bookmarkStart w:id="19062" w:name="_ETM_Q29_459520"/>
      <w:bookmarkStart w:id="19063" w:name="_ETM_Q29_460029"/>
      <w:bookmarkEnd w:id="19062"/>
      <w:bookmarkEnd w:id="19063"/>
      <w:r>
        <w:rPr>
          <w:rFonts w:hint="cs"/>
          <w:rtl/>
        </w:rPr>
        <w:t xml:space="preserve">– הוא </w:t>
      </w:r>
      <w:bookmarkStart w:id="19064" w:name="_ETM_Q29_460180"/>
      <w:bookmarkEnd w:id="19064"/>
      <w:r>
        <w:rPr>
          <w:rFonts w:hint="cs"/>
          <w:rtl/>
        </w:rPr>
        <w:t xml:space="preserve">מתערב </w:t>
      </w:r>
      <w:bookmarkStart w:id="19065" w:name="_ETM_Q29_460659"/>
      <w:bookmarkEnd w:id="19065"/>
      <w:r>
        <w:rPr>
          <w:rFonts w:hint="cs"/>
          <w:rtl/>
        </w:rPr>
        <w:t xml:space="preserve">לאחרונה </w:t>
      </w:r>
      <w:bookmarkStart w:id="19066" w:name="_ETM_Q29_462370"/>
      <w:bookmarkEnd w:id="19066"/>
      <w:r>
        <w:rPr>
          <w:rFonts w:hint="cs"/>
          <w:rtl/>
        </w:rPr>
        <w:t xml:space="preserve">בעניין </w:t>
      </w:r>
      <w:bookmarkStart w:id="19067" w:name="_ETM_Q29_463029"/>
      <w:bookmarkEnd w:id="19067"/>
      <w:r>
        <w:rPr>
          <w:rFonts w:hint="cs"/>
          <w:rtl/>
        </w:rPr>
        <w:t xml:space="preserve">הרפורמה </w:t>
      </w:r>
      <w:bookmarkStart w:id="19068" w:name="_ETM_Q29_463449"/>
      <w:bookmarkEnd w:id="19068"/>
      <w:r>
        <w:rPr>
          <w:rFonts w:hint="cs"/>
          <w:rtl/>
        </w:rPr>
        <w:t xml:space="preserve">המשפטית. </w:t>
      </w:r>
      <w:bookmarkStart w:id="19069" w:name="_ETM_Q29_464350"/>
      <w:bookmarkEnd w:id="19069"/>
      <w:r>
        <w:rPr>
          <w:rFonts w:hint="cs"/>
          <w:rtl/>
        </w:rPr>
        <w:t xml:space="preserve">אני </w:t>
      </w:r>
      <w:bookmarkStart w:id="19070" w:name="_ETM_Q29_464650"/>
      <w:bookmarkEnd w:id="19070"/>
      <w:r>
        <w:rPr>
          <w:rFonts w:hint="cs"/>
          <w:rtl/>
        </w:rPr>
        <w:t xml:space="preserve">רוצה </w:t>
      </w:r>
      <w:bookmarkStart w:id="19071" w:name="_ETM_Q29_464860"/>
      <w:bookmarkEnd w:id="19071"/>
      <w:r>
        <w:rPr>
          <w:rFonts w:hint="cs"/>
          <w:rtl/>
        </w:rPr>
        <w:t xml:space="preserve">להגיד </w:t>
      </w:r>
      <w:bookmarkStart w:id="19072" w:name="_ETM_Q29_465220"/>
      <w:bookmarkEnd w:id="19072"/>
      <w:r>
        <w:rPr>
          <w:rFonts w:hint="cs"/>
          <w:rtl/>
        </w:rPr>
        <w:t xml:space="preserve">כאן </w:t>
      </w:r>
      <w:bookmarkStart w:id="19073" w:name="_ETM_Q29_466879"/>
      <w:bookmarkEnd w:id="19073"/>
      <w:r>
        <w:rPr>
          <w:rFonts w:hint="cs"/>
          <w:rtl/>
        </w:rPr>
        <w:t xml:space="preserve">שיש </w:t>
      </w:r>
      <w:bookmarkStart w:id="19074" w:name="_ETM_Q29_467449"/>
      <w:bookmarkEnd w:id="19074"/>
      <w:r>
        <w:rPr>
          <w:rFonts w:hint="cs"/>
          <w:rtl/>
        </w:rPr>
        <w:t xml:space="preserve">קשיים </w:t>
      </w:r>
      <w:bookmarkStart w:id="19075" w:name="_ETM_Q29_467779"/>
      <w:bookmarkEnd w:id="19075"/>
      <w:r>
        <w:rPr>
          <w:rFonts w:hint="cs"/>
          <w:rtl/>
        </w:rPr>
        <w:t xml:space="preserve">בחברה </w:t>
      </w:r>
      <w:bookmarkStart w:id="19076" w:name="_ETM_Q29_468110"/>
      <w:bookmarkEnd w:id="19076"/>
      <w:r>
        <w:rPr>
          <w:rFonts w:hint="cs"/>
          <w:rtl/>
        </w:rPr>
        <w:t xml:space="preserve">הערבית, </w:t>
      </w:r>
      <w:bookmarkStart w:id="19077" w:name="_ETM_Q29_469189"/>
      <w:bookmarkEnd w:id="19077"/>
      <w:r>
        <w:rPr>
          <w:rFonts w:hint="cs"/>
          <w:rtl/>
        </w:rPr>
        <w:t xml:space="preserve">אנשים </w:t>
      </w:r>
      <w:bookmarkStart w:id="19078" w:name="_ETM_Q29_469490"/>
      <w:bookmarkEnd w:id="19078"/>
      <w:r>
        <w:rPr>
          <w:rFonts w:hint="cs"/>
          <w:rtl/>
        </w:rPr>
        <w:t xml:space="preserve">נרצחים </w:t>
      </w:r>
      <w:bookmarkStart w:id="19079" w:name="_ETM_Q29_470150"/>
      <w:bookmarkEnd w:id="19079"/>
      <w:r>
        <w:rPr>
          <w:rFonts w:hint="cs"/>
          <w:rtl/>
        </w:rPr>
        <w:t xml:space="preserve">מדי </w:t>
      </w:r>
      <w:bookmarkStart w:id="19080" w:name="_ETM_Q29_470479"/>
      <w:bookmarkEnd w:id="19080"/>
      <w:r>
        <w:rPr>
          <w:rFonts w:hint="cs"/>
          <w:rtl/>
        </w:rPr>
        <w:t xml:space="preserve">יום, </w:t>
      </w:r>
      <w:bookmarkStart w:id="19081" w:name="_ETM_Q29_471790"/>
      <w:bookmarkEnd w:id="19081"/>
      <w:r>
        <w:rPr>
          <w:rFonts w:hint="cs"/>
          <w:rtl/>
        </w:rPr>
        <w:t xml:space="preserve">ואנחנו </w:t>
      </w:r>
      <w:bookmarkStart w:id="19082" w:name="_ETM_Q29_472360"/>
      <w:bookmarkEnd w:id="19082"/>
      <w:r>
        <w:rPr>
          <w:rFonts w:hint="cs"/>
          <w:rtl/>
        </w:rPr>
        <w:t xml:space="preserve">מצפים </w:t>
      </w:r>
      <w:bookmarkStart w:id="19083" w:name="_ETM_Q29_473110"/>
      <w:bookmarkEnd w:id="19083"/>
      <w:r>
        <w:rPr>
          <w:rFonts w:hint="cs"/>
          <w:rtl/>
        </w:rPr>
        <w:t>שה</w:t>
      </w:r>
      <w:bookmarkStart w:id="19084" w:name="_ETM_Q29_474310"/>
      <w:bookmarkEnd w:id="19084"/>
      <w:r>
        <w:rPr>
          <w:rFonts w:hint="cs"/>
          <w:rtl/>
        </w:rPr>
        <w:t xml:space="preserve">יושב-ראש </w:t>
      </w:r>
      <w:bookmarkStart w:id="19085" w:name="_ETM_Q29_475060"/>
      <w:bookmarkEnd w:id="19085"/>
      <w:r>
        <w:rPr>
          <w:rFonts w:hint="cs"/>
          <w:rtl/>
        </w:rPr>
        <w:t xml:space="preserve">בגוף שמאגד </w:t>
      </w:r>
      <w:bookmarkStart w:id="19086" w:name="_ETM_Q29_475510"/>
      <w:bookmarkEnd w:id="19086"/>
      <w:r>
        <w:rPr>
          <w:rFonts w:hint="cs"/>
          <w:rtl/>
        </w:rPr>
        <w:t xml:space="preserve">בתוכו </w:t>
      </w:r>
      <w:bookmarkStart w:id="19087" w:name="_ETM_Q29_477339"/>
      <w:bookmarkEnd w:id="19087"/>
      <w:r>
        <w:rPr>
          <w:rFonts w:hint="cs"/>
          <w:rtl/>
        </w:rPr>
        <w:t xml:space="preserve">עשרות </w:t>
      </w:r>
      <w:bookmarkStart w:id="19088" w:name="_ETM_Q29_477910"/>
      <w:bookmarkEnd w:id="19088"/>
      <w:r>
        <w:rPr>
          <w:rFonts w:hint="cs"/>
          <w:rtl/>
        </w:rPr>
        <w:t xml:space="preserve">איגודים </w:t>
      </w:r>
      <w:bookmarkStart w:id="19089" w:name="_ETM_Q29_478510"/>
      <w:bookmarkEnd w:id="19089"/>
      <w:r>
        <w:rPr>
          <w:rFonts w:hint="cs"/>
          <w:rtl/>
        </w:rPr>
        <w:t xml:space="preserve">ועובדים </w:t>
      </w:r>
      <w:bookmarkStart w:id="19090" w:name="_ETM_Q29_479260"/>
      <w:bookmarkEnd w:id="19090"/>
      <w:r>
        <w:rPr>
          <w:rFonts w:hint="cs"/>
          <w:rtl/>
        </w:rPr>
        <w:t xml:space="preserve">שנמצאים </w:t>
      </w:r>
      <w:bookmarkStart w:id="19091" w:name="_ETM_Q29_479710"/>
      <w:bookmarkEnd w:id="19091"/>
      <w:r>
        <w:rPr>
          <w:rFonts w:hint="cs"/>
          <w:rtl/>
        </w:rPr>
        <w:t xml:space="preserve">תחת </w:t>
      </w:r>
      <w:bookmarkStart w:id="19092" w:name="_ETM_Q29_480400"/>
      <w:bookmarkEnd w:id="19092"/>
      <w:r>
        <w:rPr>
          <w:rFonts w:hint="cs"/>
          <w:rtl/>
        </w:rPr>
        <w:t xml:space="preserve">המטרייה </w:t>
      </w:r>
      <w:bookmarkStart w:id="19093" w:name="_ETM_Q29_480910"/>
      <w:bookmarkEnd w:id="19093"/>
      <w:r>
        <w:rPr>
          <w:rFonts w:hint="cs"/>
          <w:rtl/>
        </w:rPr>
        <w:t>שלו</w:t>
      </w:r>
      <w:bookmarkStart w:id="19094" w:name="_ETM_Q29_480000"/>
      <w:bookmarkStart w:id="19095" w:name="_ETM_Q29_480480"/>
      <w:bookmarkStart w:id="19096" w:name="_ETM_Q29_481569"/>
      <w:bookmarkStart w:id="19097" w:name="_ETM_Q29_482139"/>
      <w:bookmarkEnd w:id="19094"/>
      <w:bookmarkEnd w:id="19095"/>
      <w:bookmarkEnd w:id="19096"/>
      <w:bookmarkEnd w:id="19097"/>
      <w:r>
        <w:rPr>
          <w:rFonts w:hint="cs"/>
          <w:rtl/>
        </w:rPr>
        <w:t>, חשוב שייתן</w:t>
      </w:r>
      <w:bookmarkStart w:id="19098" w:name="_ETM_Q29_482529"/>
      <w:bookmarkStart w:id="19099" w:name="_ETM_Q29_482740"/>
      <w:bookmarkStart w:id="19100" w:name="_ETM_Q29_482830"/>
      <w:bookmarkEnd w:id="19098"/>
      <w:bookmarkEnd w:id="19099"/>
      <w:bookmarkEnd w:id="19100"/>
      <w:r>
        <w:rPr>
          <w:rFonts w:hint="cs"/>
          <w:rtl/>
        </w:rPr>
        <w:t xml:space="preserve"> את הדעת </w:t>
      </w:r>
      <w:bookmarkStart w:id="19101" w:name="_ETM_Q29_483160"/>
      <w:bookmarkEnd w:id="19101"/>
      <w:r>
        <w:rPr>
          <w:rFonts w:hint="cs"/>
          <w:rtl/>
        </w:rPr>
        <w:t xml:space="preserve">על </w:t>
      </w:r>
      <w:bookmarkStart w:id="19102" w:name="_ETM_Q29_483279"/>
      <w:bookmarkEnd w:id="19102"/>
      <w:r>
        <w:rPr>
          <w:rFonts w:hint="cs"/>
          <w:rtl/>
        </w:rPr>
        <w:t xml:space="preserve">הנושא </w:t>
      </w:r>
      <w:bookmarkStart w:id="19103" w:name="_ETM_Q29_483550"/>
      <w:bookmarkEnd w:id="19103"/>
      <w:r>
        <w:rPr>
          <w:rFonts w:hint="cs"/>
          <w:rtl/>
        </w:rPr>
        <w:t xml:space="preserve">הזה. </w:t>
      </w:r>
      <w:bookmarkStart w:id="19104" w:name="_ETM_Q29_483760"/>
      <w:bookmarkEnd w:id="19104"/>
      <w:r>
        <w:rPr>
          <w:rFonts w:hint="cs"/>
          <w:rtl/>
        </w:rPr>
        <w:t xml:space="preserve">חשוב </w:t>
      </w:r>
      <w:bookmarkStart w:id="19105" w:name="_ETM_Q29_484180"/>
      <w:bookmarkEnd w:id="19105"/>
      <w:r>
        <w:rPr>
          <w:rFonts w:hint="cs"/>
          <w:rtl/>
        </w:rPr>
        <w:t xml:space="preserve">שיתערב, </w:t>
      </w:r>
      <w:bookmarkStart w:id="19106" w:name="_ETM_Q29_485290"/>
      <w:bookmarkEnd w:id="19106"/>
      <w:r w:rsidR="00A021B9">
        <w:rPr>
          <w:rFonts w:hint="cs"/>
          <w:rtl/>
        </w:rPr>
        <w:t>ש</w:t>
      </w:r>
      <w:r>
        <w:rPr>
          <w:rFonts w:hint="cs"/>
          <w:rtl/>
        </w:rPr>
        <w:t xml:space="preserve">לפחות </w:t>
      </w:r>
      <w:bookmarkStart w:id="19107" w:name="_ETM_Q29_485740"/>
      <w:bookmarkEnd w:id="19107"/>
      <w:r>
        <w:rPr>
          <w:rFonts w:hint="cs"/>
          <w:rtl/>
        </w:rPr>
        <w:t xml:space="preserve">ישבית </w:t>
      </w:r>
      <w:bookmarkStart w:id="19108" w:name="_ETM_Q29_486039"/>
      <w:bookmarkEnd w:id="19108"/>
      <w:r>
        <w:rPr>
          <w:rFonts w:hint="cs"/>
          <w:rtl/>
        </w:rPr>
        <w:t xml:space="preserve">את </w:t>
      </w:r>
      <w:bookmarkStart w:id="19109" w:name="_ETM_Q29_486160"/>
      <w:bookmarkEnd w:id="19109"/>
      <w:r>
        <w:rPr>
          <w:rFonts w:hint="cs"/>
          <w:rtl/>
        </w:rPr>
        <w:t xml:space="preserve">המשק </w:t>
      </w:r>
      <w:bookmarkStart w:id="19110" w:name="_ETM_Q29_486490"/>
      <w:bookmarkEnd w:id="19110"/>
      <w:r>
        <w:rPr>
          <w:rFonts w:hint="cs"/>
          <w:rtl/>
        </w:rPr>
        <w:t>ליום</w:t>
      </w:r>
      <w:bookmarkStart w:id="19111" w:name="_ETM_Q29_486729"/>
      <w:bookmarkEnd w:id="19111"/>
      <w:r>
        <w:rPr>
          <w:rFonts w:hint="cs"/>
          <w:rtl/>
        </w:rPr>
        <w:t xml:space="preserve"> אחד, לא </w:t>
      </w:r>
      <w:bookmarkStart w:id="19112" w:name="_ETM_Q29_484975"/>
      <w:bookmarkEnd w:id="19112"/>
      <w:r>
        <w:rPr>
          <w:rFonts w:hint="cs"/>
          <w:rtl/>
        </w:rPr>
        <w:t xml:space="preserve">יקרה </w:t>
      </w:r>
      <w:bookmarkStart w:id="19113" w:name="_ETM_Q29_487089"/>
      <w:bookmarkStart w:id="19114" w:name="_ETM_Q29_487209"/>
      <w:bookmarkStart w:id="19115" w:name="_ETM_Q29_487419"/>
      <w:bookmarkEnd w:id="19113"/>
      <w:bookmarkEnd w:id="19114"/>
      <w:bookmarkEnd w:id="19115"/>
      <w:r>
        <w:rPr>
          <w:rFonts w:hint="cs"/>
          <w:rtl/>
        </w:rPr>
        <w:t xml:space="preserve">כלום, </w:t>
      </w:r>
      <w:bookmarkStart w:id="19116" w:name="_ETM_Q29_488350"/>
      <w:bookmarkEnd w:id="19116"/>
      <w:r>
        <w:rPr>
          <w:rFonts w:hint="cs"/>
          <w:rtl/>
        </w:rPr>
        <w:t>על</w:t>
      </w:r>
      <w:bookmarkStart w:id="19117" w:name="_ETM_Q29_488560"/>
      <w:bookmarkEnd w:id="19117"/>
      <w:r>
        <w:rPr>
          <w:rFonts w:hint="cs"/>
          <w:rtl/>
        </w:rPr>
        <w:t xml:space="preserve"> מנת </w:t>
      </w:r>
      <w:bookmarkStart w:id="19118" w:name="_ETM_Q29_488890"/>
      <w:bookmarkEnd w:id="19118"/>
      <w:r>
        <w:rPr>
          <w:rFonts w:hint="cs"/>
          <w:rtl/>
        </w:rPr>
        <w:t xml:space="preserve">לעצור </w:t>
      </w:r>
      <w:bookmarkStart w:id="19119" w:name="_ETM_Q29_489370"/>
      <w:bookmarkEnd w:id="19119"/>
      <w:r>
        <w:rPr>
          <w:rFonts w:hint="cs"/>
          <w:rtl/>
        </w:rPr>
        <w:t xml:space="preserve">את </w:t>
      </w:r>
      <w:bookmarkStart w:id="19120" w:name="_ETM_Q29_489820"/>
      <w:bookmarkEnd w:id="19120"/>
      <w:r>
        <w:rPr>
          <w:rFonts w:hint="cs"/>
          <w:rtl/>
        </w:rPr>
        <w:t xml:space="preserve">מרחץ </w:t>
      </w:r>
      <w:bookmarkStart w:id="19121" w:name="_ETM_Q29_490570"/>
      <w:bookmarkStart w:id="19122" w:name="_ETM_Q29_490750"/>
      <w:bookmarkEnd w:id="19121"/>
      <w:bookmarkEnd w:id="19122"/>
      <w:r>
        <w:rPr>
          <w:rFonts w:hint="cs"/>
          <w:rtl/>
        </w:rPr>
        <w:t xml:space="preserve">הדמים </w:t>
      </w:r>
      <w:bookmarkStart w:id="19123" w:name="_ETM_Q29_491730"/>
      <w:bookmarkEnd w:id="19123"/>
      <w:r>
        <w:rPr>
          <w:rFonts w:hint="cs"/>
          <w:rtl/>
        </w:rPr>
        <w:t xml:space="preserve">שנמצא </w:t>
      </w:r>
      <w:bookmarkStart w:id="19124" w:name="_ETM_Q29_492860"/>
      <w:bookmarkEnd w:id="19124"/>
      <w:r>
        <w:rPr>
          <w:rFonts w:hint="cs"/>
          <w:rtl/>
        </w:rPr>
        <w:t xml:space="preserve">בחברה </w:t>
      </w:r>
      <w:bookmarkStart w:id="19125" w:name="_ETM_Q29_493490"/>
      <w:bookmarkEnd w:id="19125"/>
      <w:r>
        <w:rPr>
          <w:rFonts w:hint="cs"/>
          <w:rtl/>
        </w:rPr>
        <w:t>הערבית</w:t>
      </w:r>
      <w:bookmarkStart w:id="19126" w:name="_ETM_Q29_496234"/>
      <w:bookmarkStart w:id="19127" w:name="_ETM_Q29_496335"/>
      <w:bookmarkStart w:id="19128" w:name="_ETM_Q29_496393"/>
      <w:bookmarkStart w:id="19129" w:name="_ETM_Q29_496465"/>
      <w:bookmarkStart w:id="19130" w:name="_ETM_Q29_495290"/>
      <w:bookmarkEnd w:id="19126"/>
      <w:bookmarkEnd w:id="19127"/>
      <w:bookmarkEnd w:id="19128"/>
      <w:bookmarkEnd w:id="19129"/>
      <w:bookmarkEnd w:id="19130"/>
      <w:r>
        <w:rPr>
          <w:rFonts w:hint="cs"/>
          <w:rtl/>
        </w:rPr>
        <w:t xml:space="preserve"> בתקווה </w:t>
      </w:r>
      <w:bookmarkStart w:id="19131" w:name="_ETM_Q29_495769"/>
      <w:bookmarkEnd w:id="19131"/>
      <w:r>
        <w:rPr>
          <w:rFonts w:hint="cs"/>
          <w:rtl/>
        </w:rPr>
        <w:t xml:space="preserve">שלאט-לאט </w:t>
      </w:r>
      <w:bookmarkStart w:id="19132" w:name="_ETM_Q29_496610"/>
      <w:bookmarkEnd w:id="19132"/>
      <w:r>
        <w:rPr>
          <w:rFonts w:hint="cs"/>
          <w:rtl/>
        </w:rPr>
        <w:t xml:space="preserve">כולנו </w:t>
      </w:r>
      <w:bookmarkStart w:id="19133" w:name="_ETM_Q29_497000"/>
      <w:bookmarkEnd w:id="19133"/>
      <w:r>
        <w:rPr>
          <w:rFonts w:hint="cs"/>
          <w:rtl/>
        </w:rPr>
        <w:t xml:space="preserve">נתרגל </w:t>
      </w:r>
      <w:bookmarkStart w:id="19134" w:name="_ETM_Q29_497480"/>
      <w:bookmarkEnd w:id="19134"/>
      <w:r>
        <w:rPr>
          <w:rFonts w:hint="cs"/>
          <w:rtl/>
        </w:rPr>
        <w:t xml:space="preserve">למציאות </w:t>
      </w:r>
      <w:bookmarkStart w:id="19135" w:name="_ETM_Q29_497990"/>
      <w:bookmarkEnd w:id="19135"/>
      <w:r>
        <w:rPr>
          <w:rFonts w:hint="cs"/>
          <w:rtl/>
        </w:rPr>
        <w:t xml:space="preserve">הזאת </w:t>
      </w:r>
      <w:bookmarkStart w:id="19136" w:name="_ETM_Q29_498650"/>
      <w:bookmarkEnd w:id="19136"/>
      <w:r>
        <w:rPr>
          <w:rFonts w:hint="cs"/>
          <w:rtl/>
        </w:rPr>
        <w:t xml:space="preserve">ונמשיך </w:t>
      </w:r>
      <w:bookmarkStart w:id="19137" w:name="_ETM_Q29_499279"/>
      <w:bookmarkEnd w:id="19137"/>
      <w:r>
        <w:rPr>
          <w:rFonts w:hint="cs"/>
          <w:rtl/>
        </w:rPr>
        <w:t xml:space="preserve">הלאה. </w:t>
      </w:r>
    </w:p>
    <w:p w:rsidR="00BB59CD" w:rsidRDefault="00BB59CD" w:rsidP="00BB59CD">
      <w:pPr>
        <w:rPr>
          <w:rtl/>
        </w:rPr>
      </w:pPr>
      <w:bookmarkStart w:id="19138" w:name="_ETM_Q29_496452"/>
      <w:bookmarkStart w:id="19139" w:name="_ETM_Q29_496540"/>
      <w:bookmarkEnd w:id="19138"/>
      <w:bookmarkEnd w:id="19139"/>
    </w:p>
    <w:p w:rsidR="00BB59CD" w:rsidRDefault="00BB59CD" w:rsidP="00BB59CD">
      <w:pPr>
        <w:rPr>
          <w:rtl/>
        </w:rPr>
      </w:pPr>
      <w:bookmarkStart w:id="19140" w:name="_ETM_Q29_496709"/>
      <w:bookmarkStart w:id="19141" w:name="_ETM_Q29_496778"/>
      <w:bookmarkEnd w:id="19140"/>
      <w:bookmarkEnd w:id="19141"/>
      <w:r>
        <w:rPr>
          <w:rFonts w:hint="cs"/>
          <w:rtl/>
        </w:rPr>
        <w:t xml:space="preserve">אז תרשו לי להודיע </w:t>
      </w:r>
      <w:bookmarkStart w:id="19142" w:name="_ETM_Q29_500220"/>
      <w:bookmarkStart w:id="19143" w:name="_ETM_Q29_500400"/>
      <w:bookmarkStart w:id="19144" w:name="_ETM_Q29_500609"/>
      <w:bookmarkStart w:id="19145" w:name="_ETM_Q29_500789"/>
      <w:bookmarkStart w:id="19146" w:name="_ETM_Q29_501210"/>
      <w:bookmarkEnd w:id="19142"/>
      <w:bookmarkEnd w:id="19143"/>
      <w:bookmarkEnd w:id="19144"/>
      <w:bookmarkEnd w:id="19145"/>
      <w:bookmarkEnd w:id="19146"/>
      <w:r>
        <w:rPr>
          <w:rFonts w:hint="cs"/>
          <w:rtl/>
        </w:rPr>
        <w:t xml:space="preserve">לראש </w:t>
      </w:r>
      <w:bookmarkStart w:id="19147" w:name="_ETM_Q29_501510"/>
      <w:bookmarkEnd w:id="19147"/>
      <w:r>
        <w:rPr>
          <w:rFonts w:hint="cs"/>
          <w:rtl/>
        </w:rPr>
        <w:t xml:space="preserve">הממשלה </w:t>
      </w:r>
      <w:bookmarkStart w:id="19148" w:name="_ETM_Q29_501990"/>
      <w:bookmarkEnd w:id="19148"/>
      <w:r>
        <w:rPr>
          <w:rFonts w:hint="cs"/>
          <w:rtl/>
        </w:rPr>
        <w:t xml:space="preserve">ולכלל </w:t>
      </w:r>
      <w:bookmarkStart w:id="19149" w:name="_ETM_Q29_502320"/>
      <w:bookmarkEnd w:id="19149"/>
      <w:r>
        <w:rPr>
          <w:rFonts w:hint="cs"/>
          <w:rtl/>
        </w:rPr>
        <w:t xml:space="preserve">הממשלה </w:t>
      </w:r>
      <w:bookmarkStart w:id="19150" w:name="_ETM_Q29_503410"/>
      <w:bookmarkEnd w:id="19150"/>
      <w:r>
        <w:rPr>
          <w:rFonts w:hint="cs"/>
          <w:rtl/>
        </w:rPr>
        <w:t xml:space="preserve">– אנחנו </w:t>
      </w:r>
      <w:bookmarkStart w:id="19151" w:name="_ETM_Q29_503950"/>
      <w:bookmarkEnd w:id="19151"/>
      <w:r>
        <w:rPr>
          <w:rFonts w:hint="cs"/>
          <w:rtl/>
        </w:rPr>
        <w:t xml:space="preserve">לא </w:t>
      </w:r>
      <w:bookmarkStart w:id="19152" w:name="_ETM_Q29_504160"/>
      <w:bookmarkEnd w:id="19152"/>
      <w:r>
        <w:rPr>
          <w:rFonts w:hint="cs"/>
          <w:rtl/>
        </w:rPr>
        <w:t xml:space="preserve">ניתן </w:t>
      </w:r>
      <w:bookmarkStart w:id="19153" w:name="_ETM_Q29_504490"/>
      <w:bookmarkEnd w:id="19153"/>
      <w:r>
        <w:rPr>
          <w:rFonts w:hint="cs"/>
          <w:rtl/>
        </w:rPr>
        <w:t xml:space="preserve">לזה </w:t>
      </w:r>
      <w:bookmarkStart w:id="19154" w:name="_ETM_Q29_504730"/>
      <w:bookmarkEnd w:id="19154"/>
      <w:r>
        <w:rPr>
          <w:rFonts w:hint="cs"/>
          <w:rtl/>
        </w:rPr>
        <w:t xml:space="preserve">לקרות. </w:t>
      </w:r>
      <w:bookmarkStart w:id="19155" w:name="_ETM_Q29_505120"/>
      <w:bookmarkEnd w:id="19155"/>
      <w:r>
        <w:rPr>
          <w:rFonts w:hint="cs"/>
          <w:rtl/>
        </w:rPr>
        <w:t xml:space="preserve">נמשיך </w:t>
      </w:r>
      <w:bookmarkStart w:id="19156" w:name="_ETM_Q29_505480"/>
      <w:bookmarkEnd w:id="19156"/>
      <w:r>
        <w:rPr>
          <w:rFonts w:hint="cs"/>
          <w:rtl/>
        </w:rPr>
        <w:t xml:space="preserve">לזעוק </w:t>
      </w:r>
      <w:bookmarkStart w:id="19157" w:name="_ETM_Q29_505900"/>
      <w:bookmarkEnd w:id="19157"/>
      <w:r>
        <w:rPr>
          <w:rFonts w:hint="cs"/>
          <w:rtl/>
        </w:rPr>
        <w:t xml:space="preserve">את זעקת </w:t>
      </w:r>
      <w:bookmarkStart w:id="19158" w:name="_ETM_Q29_506320"/>
      <w:bookmarkEnd w:id="19158"/>
      <w:r>
        <w:rPr>
          <w:rFonts w:hint="cs"/>
          <w:rtl/>
        </w:rPr>
        <w:t xml:space="preserve">האזרחים </w:t>
      </w:r>
      <w:bookmarkStart w:id="19159" w:name="_ETM_Q29_506800"/>
      <w:bookmarkEnd w:id="19159"/>
      <w:r>
        <w:rPr>
          <w:rFonts w:hint="cs"/>
          <w:rtl/>
        </w:rPr>
        <w:t xml:space="preserve">הערבים </w:t>
      </w:r>
      <w:bookmarkStart w:id="19160" w:name="_ETM_Q29_507160"/>
      <w:bookmarkEnd w:id="19160"/>
      <w:r>
        <w:rPr>
          <w:rFonts w:hint="cs"/>
          <w:rtl/>
        </w:rPr>
        <w:t xml:space="preserve">בכל </w:t>
      </w:r>
      <w:bookmarkStart w:id="19161" w:name="_ETM_Q29_507460"/>
      <w:bookmarkEnd w:id="19161"/>
      <w:r>
        <w:rPr>
          <w:rFonts w:hint="cs"/>
          <w:rtl/>
        </w:rPr>
        <w:t xml:space="preserve">מקום, </w:t>
      </w:r>
      <w:bookmarkStart w:id="19162" w:name="_ETM_Q29_508300"/>
      <w:bookmarkEnd w:id="19162"/>
      <w:r>
        <w:rPr>
          <w:rFonts w:hint="cs"/>
          <w:rtl/>
        </w:rPr>
        <w:t xml:space="preserve">בכל </w:t>
      </w:r>
      <w:bookmarkStart w:id="19163" w:name="_ETM_Q29_508630"/>
      <w:bookmarkEnd w:id="19163"/>
      <w:r>
        <w:rPr>
          <w:rFonts w:hint="cs"/>
          <w:rtl/>
        </w:rPr>
        <w:t xml:space="preserve">במה, </w:t>
      </w:r>
      <w:bookmarkStart w:id="19164" w:name="_ETM_Q29_509509"/>
      <w:bookmarkEnd w:id="19164"/>
      <w:r>
        <w:rPr>
          <w:rFonts w:hint="cs"/>
          <w:rtl/>
        </w:rPr>
        <w:t xml:space="preserve">בכל </w:t>
      </w:r>
      <w:bookmarkStart w:id="19165" w:name="_ETM_Q29_509809"/>
      <w:bookmarkEnd w:id="19165"/>
      <w:r>
        <w:rPr>
          <w:rFonts w:hint="cs"/>
          <w:rtl/>
        </w:rPr>
        <w:t xml:space="preserve">מצב. </w:t>
      </w:r>
      <w:bookmarkStart w:id="19166" w:name="_ETM_Q29_511000"/>
      <w:bookmarkEnd w:id="19166"/>
      <w:r>
        <w:rPr>
          <w:rFonts w:hint="cs"/>
          <w:rtl/>
        </w:rPr>
        <w:t xml:space="preserve">עוד </w:t>
      </w:r>
      <w:bookmarkStart w:id="19167" w:name="_ETM_Q29_511330"/>
      <w:bookmarkEnd w:id="19167"/>
      <w:r>
        <w:rPr>
          <w:rFonts w:hint="cs"/>
          <w:rtl/>
        </w:rPr>
        <w:t xml:space="preserve">אזכיר </w:t>
      </w:r>
      <w:bookmarkStart w:id="19168" w:name="_ETM_Q29_511750"/>
      <w:bookmarkEnd w:id="19168"/>
      <w:r>
        <w:rPr>
          <w:rFonts w:hint="cs"/>
          <w:rtl/>
        </w:rPr>
        <w:t xml:space="preserve">לראש </w:t>
      </w:r>
      <w:bookmarkStart w:id="19169" w:name="_ETM_Q29_512020"/>
      <w:bookmarkEnd w:id="19169"/>
      <w:r>
        <w:rPr>
          <w:rFonts w:hint="cs"/>
          <w:rtl/>
        </w:rPr>
        <w:t xml:space="preserve">הממשלה </w:t>
      </w:r>
      <w:bookmarkStart w:id="19170" w:name="_ETM_Q29_512589"/>
      <w:bookmarkEnd w:id="19170"/>
      <w:r>
        <w:rPr>
          <w:rFonts w:hint="cs"/>
          <w:rtl/>
        </w:rPr>
        <w:t xml:space="preserve">והשרים </w:t>
      </w:r>
      <w:bookmarkStart w:id="19171" w:name="_ETM_Q29_513810"/>
      <w:bookmarkEnd w:id="19171"/>
      <w:r>
        <w:rPr>
          <w:rFonts w:hint="cs"/>
          <w:rtl/>
        </w:rPr>
        <w:t xml:space="preserve">– האחריות </w:t>
      </w:r>
      <w:bookmarkStart w:id="19172" w:name="_ETM_Q29_514440"/>
      <w:bookmarkEnd w:id="19172"/>
      <w:r>
        <w:rPr>
          <w:rFonts w:hint="cs"/>
          <w:rtl/>
        </w:rPr>
        <w:t xml:space="preserve">היא </w:t>
      </w:r>
      <w:bookmarkStart w:id="19173" w:name="_ETM_Q29_514529"/>
      <w:bookmarkEnd w:id="19173"/>
      <w:r>
        <w:rPr>
          <w:rFonts w:hint="cs"/>
          <w:rtl/>
        </w:rPr>
        <w:t xml:space="preserve">שלכם. </w:t>
      </w:r>
      <w:bookmarkStart w:id="19174" w:name="_ETM_Q29_515390"/>
      <w:bookmarkEnd w:id="19174"/>
      <w:r>
        <w:rPr>
          <w:rFonts w:hint="cs"/>
          <w:rtl/>
        </w:rPr>
        <w:t xml:space="preserve">אתם </w:t>
      </w:r>
      <w:bookmarkStart w:id="19175" w:name="_ETM_Q29_515870"/>
      <w:bookmarkEnd w:id="19175"/>
      <w:r>
        <w:rPr>
          <w:rFonts w:hint="cs"/>
          <w:rtl/>
        </w:rPr>
        <w:t xml:space="preserve">האחראים </w:t>
      </w:r>
      <w:bookmarkStart w:id="19176" w:name="_ETM_Q29_516350"/>
      <w:bookmarkEnd w:id="19176"/>
      <w:r>
        <w:rPr>
          <w:rFonts w:hint="cs"/>
          <w:rtl/>
        </w:rPr>
        <w:t xml:space="preserve">לאנרכיה </w:t>
      </w:r>
      <w:bookmarkStart w:id="19177" w:name="_ETM_Q29_516949"/>
      <w:bookmarkEnd w:id="19177"/>
      <w:r>
        <w:rPr>
          <w:rFonts w:hint="cs"/>
          <w:rtl/>
        </w:rPr>
        <w:t xml:space="preserve">הזו, </w:t>
      </w:r>
      <w:bookmarkStart w:id="19178" w:name="_ETM_Q29_517839"/>
      <w:bookmarkEnd w:id="19178"/>
      <w:r>
        <w:rPr>
          <w:rFonts w:hint="cs"/>
          <w:rtl/>
        </w:rPr>
        <w:t xml:space="preserve">ודמם </w:t>
      </w:r>
      <w:bookmarkStart w:id="19179" w:name="_ETM_Q29_518379"/>
      <w:bookmarkEnd w:id="19179"/>
      <w:r>
        <w:rPr>
          <w:rFonts w:hint="cs"/>
          <w:rtl/>
        </w:rPr>
        <w:t xml:space="preserve">של </w:t>
      </w:r>
      <w:bookmarkStart w:id="19180" w:name="_ETM_Q29_518589"/>
      <w:bookmarkEnd w:id="19180"/>
      <w:r>
        <w:rPr>
          <w:rFonts w:hint="cs"/>
          <w:rtl/>
        </w:rPr>
        <w:t xml:space="preserve">האזרחים </w:t>
      </w:r>
      <w:bookmarkStart w:id="19181" w:name="_ETM_Q29_518980"/>
      <w:bookmarkEnd w:id="19181"/>
      <w:r>
        <w:rPr>
          <w:rFonts w:hint="cs"/>
          <w:rtl/>
        </w:rPr>
        <w:t xml:space="preserve">הערבים </w:t>
      </w:r>
      <w:bookmarkStart w:id="19182" w:name="_ETM_Q29_519370"/>
      <w:bookmarkEnd w:id="19182"/>
      <w:r>
        <w:rPr>
          <w:rFonts w:hint="cs"/>
          <w:rtl/>
        </w:rPr>
        <w:t xml:space="preserve">שנשפך </w:t>
      </w:r>
      <w:bookmarkStart w:id="19183" w:name="_ETM_Q29_519820"/>
      <w:bookmarkEnd w:id="19183"/>
      <w:r>
        <w:rPr>
          <w:rFonts w:hint="cs"/>
          <w:rtl/>
        </w:rPr>
        <w:t xml:space="preserve">ברחובות </w:t>
      </w:r>
      <w:bookmarkStart w:id="19184" w:name="_ETM_Q29_520420"/>
      <w:bookmarkEnd w:id="19184"/>
      <w:r>
        <w:rPr>
          <w:rFonts w:hint="cs"/>
          <w:rtl/>
        </w:rPr>
        <w:t xml:space="preserve">הוא </w:t>
      </w:r>
      <w:bookmarkStart w:id="19185" w:name="_ETM_Q29_520570"/>
      <w:bookmarkEnd w:id="19185"/>
      <w:r>
        <w:rPr>
          <w:rFonts w:hint="cs"/>
          <w:rtl/>
        </w:rPr>
        <w:t xml:space="preserve">במשמרת </w:t>
      </w:r>
      <w:bookmarkStart w:id="19186" w:name="_ETM_Q29_521140"/>
      <w:bookmarkEnd w:id="19186"/>
      <w:r>
        <w:rPr>
          <w:rFonts w:hint="cs"/>
          <w:rtl/>
        </w:rPr>
        <w:t xml:space="preserve">שלכם, </w:t>
      </w:r>
      <w:bookmarkStart w:id="19187" w:name="_ETM_Q29_522000"/>
      <w:bookmarkEnd w:id="19187"/>
      <w:r>
        <w:rPr>
          <w:rFonts w:hint="cs"/>
          <w:rtl/>
        </w:rPr>
        <w:t xml:space="preserve">באחריות </w:t>
      </w:r>
      <w:bookmarkStart w:id="19188" w:name="_ETM_Q29_522660"/>
      <w:bookmarkEnd w:id="19188"/>
      <w:r>
        <w:rPr>
          <w:rFonts w:hint="cs"/>
          <w:rtl/>
        </w:rPr>
        <w:t xml:space="preserve">שלכם, </w:t>
      </w:r>
      <w:bookmarkStart w:id="19189" w:name="_ETM_Q29_523699"/>
      <w:bookmarkEnd w:id="19189"/>
      <w:r>
        <w:rPr>
          <w:rFonts w:hint="cs"/>
          <w:rtl/>
        </w:rPr>
        <w:t xml:space="preserve">ועל </w:t>
      </w:r>
      <w:bookmarkStart w:id="19190" w:name="_ETM_Q29_524000"/>
      <w:bookmarkEnd w:id="19190"/>
      <w:r>
        <w:rPr>
          <w:rFonts w:hint="cs"/>
          <w:rtl/>
        </w:rPr>
        <w:t xml:space="preserve">זה </w:t>
      </w:r>
      <w:bookmarkStart w:id="19191" w:name="_ETM_Q29_524649"/>
      <w:bookmarkEnd w:id="19191"/>
      <w:r>
        <w:rPr>
          <w:rFonts w:hint="cs"/>
          <w:rtl/>
        </w:rPr>
        <w:t xml:space="preserve">הציבור </w:t>
      </w:r>
      <w:bookmarkStart w:id="19192" w:name="_ETM_Q29_525399"/>
      <w:bookmarkEnd w:id="19192"/>
      <w:r>
        <w:rPr>
          <w:rFonts w:hint="cs"/>
          <w:rtl/>
        </w:rPr>
        <w:t xml:space="preserve">ישפוט </w:t>
      </w:r>
      <w:bookmarkStart w:id="19193" w:name="_ETM_Q29_525760"/>
      <w:bookmarkEnd w:id="19193"/>
      <w:r>
        <w:rPr>
          <w:rFonts w:hint="cs"/>
          <w:rtl/>
        </w:rPr>
        <w:t>אתכם.</w:t>
      </w:r>
    </w:p>
    <w:p w:rsidR="00BB59CD" w:rsidRDefault="00BB59CD" w:rsidP="00BB59CD">
      <w:pPr>
        <w:rPr>
          <w:rtl/>
        </w:rPr>
      </w:pPr>
      <w:bookmarkStart w:id="19194" w:name="_ETM_Q29_522642"/>
      <w:bookmarkStart w:id="19195" w:name="_ETM_Q29_522741"/>
      <w:bookmarkEnd w:id="19194"/>
      <w:bookmarkEnd w:id="19195"/>
    </w:p>
    <w:p w:rsidR="00BB59CD" w:rsidRDefault="00BB59CD" w:rsidP="00BB59CD">
      <w:pPr>
        <w:rPr>
          <w:rtl/>
        </w:rPr>
      </w:pPr>
      <w:bookmarkStart w:id="19196" w:name="_ETM_Q29_522802"/>
      <w:bookmarkStart w:id="19197" w:name="_ETM_Q29_522895"/>
      <w:bookmarkStart w:id="19198" w:name="_ETM_Q29_526779"/>
      <w:bookmarkEnd w:id="19196"/>
      <w:bookmarkEnd w:id="19197"/>
      <w:bookmarkEnd w:id="19198"/>
      <w:r>
        <w:rPr>
          <w:rFonts w:hint="cs"/>
          <w:rtl/>
        </w:rPr>
        <w:t xml:space="preserve">אבל </w:t>
      </w:r>
      <w:bookmarkStart w:id="19199" w:name="_ETM_Q29_527110"/>
      <w:bookmarkEnd w:id="19199"/>
      <w:r>
        <w:rPr>
          <w:rFonts w:hint="cs"/>
          <w:rtl/>
        </w:rPr>
        <w:t xml:space="preserve">כנראה </w:t>
      </w:r>
      <w:bookmarkStart w:id="19200" w:name="_ETM_Q29_527589"/>
      <w:bookmarkEnd w:id="19200"/>
      <w:r>
        <w:rPr>
          <w:rFonts w:hint="cs"/>
          <w:rtl/>
        </w:rPr>
        <w:t xml:space="preserve">שהדבר </w:t>
      </w:r>
      <w:bookmarkStart w:id="19201" w:name="_ETM_Q29_528100"/>
      <w:bookmarkEnd w:id="19201"/>
      <w:r>
        <w:rPr>
          <w:rFonts w:hint="cs"/>
          <w:rtl/>
        </w:rPr>
        <w:t xml:space="preserve">לא </w:t>
      </w:r>
      <w:bookmarkStart w:id="19202" w:name="_ETM_Q29_528220"/>
      <w:bookmarkEnd w:id="19202"/>
      <w:r>
        <w:rPr>
          <w:rFonts w:hint="cs"/>
          <w:rtl/>
        </w:rPr>
        <w:t xml:space="preserve">נמצא </w:t>
      </w:r>
      <w:bookmarkStart w:id="19203" w:name="_ETM_Q29_528610"/>
      <w:bookmarkStart w:id="19204" w:name="_ETM_Q29_528730"/>
      <w:bookmarkEnd w:id="19203"/>
      <w:bookmarkEnd w:id="19204"/>
      <w:r>
        <w:rPr>
          <w:rFonts w:hint="cs"/>
          <w:rtl/>
        </w:rPr>
        <w:t xml:space="preserve">באג'נדה </w:t>
      </w:r>
      <w:bookmarkStart w:id="19205" w:name="_ETM_Q29_529120"/>
      <w:bookmarkEnd w:id="19205"/>
      <w:r>
        <w:rPr>
          <w:rFonts w:hint="cs"/>
          <w:rtl/>
        </w:rPr>
        <w:t xml:space="preserve">שלכם. </w:t>
      </w:r>
      <w:bookmarkStart w:id="19206" w:name="_ETM_Q29_530260"/>
      <w:bookmarkEnd w:id="19206"/>
      <w:r>
        <w:rPr>
          <w:rFonts w:hint="cs"/>
          <w:rtl/>
        </w:rPr>
        <w:t xml:space="preserve">אתם </w:t>
      </w:r>
      <w:bookmarkStart w:id="19207" w:name="_ETM_Q29_530589"/>
      <w:bookmarkEnd w:id="19207"/>
      <w:r>
        <w:rPr>
          <w:rFonts w:hint="cs"/>
          <w:rtl/>
        </w:rPr>
        <w:t xml:space="preserve">עסוקים </w:t>
      </w:r>
      <w:bookmarkStart w:id="19208" w:name="_ETM_Q29_531010"/>
      <w:bookmarkEnd w:id="19208"/>
      <w:r>
        <w:rPr>
          <w:rFonts w:hint="cs"/>
          <w:rtl/>
        </w:rPr>
        <w:t xml:space="preserve">בעצמכם </w:t>
      </w:r>
      <w:bookmarkStart w:id="19209" w:name="_ETM_Q29_532270"/>
      <w:bookmarkEnd w:id="19209"/>
      <w:r>
        <w:rPr>
          <w:rFonts w:hint="cs"/>
          <w:rtl/>
        </w:rPr>
        <w:t xml:space="preserve">בחוקים </w:t>
      </w:r>
      <w:bookmarkStart w:id="19210" w:name="_ETM_Q29_532839"/>
      <w:bookmarkEnd w:id="19210"/>
      <w:r>
        <w:rPr>
          <w:rFonts w:hint="cs"/>
          <w:rtl/>
        </w:rPr>
        <w:t xml:space="preserve">הזויים </w:t>
      </w:r>
      <w:bookmarkStart w:id="19211" w:name="_ETM_Q29_533890"/>
      <w:bookmarkEnd w:id="19211"/>
      <w:r>
        <w:rPr>
          <w:rFonts w:hint="cs"/>
          <w:rtl/>
        </w:rPr>
        <w:t xml:space="preserve">ובתגרות </w:t>
      </w:r>
      <w:bookmarkStart w:id="19212" w:name="_ETM_Q29_534579"/>
      <w:bookmarkEnd w:id="19212"/>
      <w:r>
        <w:rPr>
          <w:rFonts w:hint="cs"/>
          <w:rtl/>
        </w:rPr>
        <w:t xml:space="preserve">מיותרות. </w:t>
      </w:r>
      <w:bookmarkStart w:id="19213" w:name="_ETM_Q29_536510"/>
      <w:bookmarkEnd w:id="19213"/>
      <w:r>
        <w:rPr>
          <w:rFonts w:hint="cs"/>
          <w:rtl/>
        </w:rPr>
        <w:t xml:space="preserve">חיי </w:t>
      </w:r>
      <w:bookmarkStart w:id="19214" w:name="_ETM_Q29_536900"/>
      <w:bookmarkEnd w:id="19214"/>
      <w:r>
        <w:rPr>
          <w:rFonts w:hint="cs"/>
          <w:rtl/>
        </w:rPr>
        <w:t xml:space="preserve">האזרחים </w:t>
      </w:r>
      <w:bookmarkStart w:id="19215" w:name="_ETM_Q29_537320"/>
      <w:bookmarkEnd w:id="19215"/>
      <w:r>
        <w:rPr>
          <w:rFonts w:hint="cs"/>
          <w:rtl/>
        </w:rPr>
        <w:t xml:space="preserve">הבדואים </w:t>
      </w:r>
      <w:bookmarkStart w:id="19216" w:name="_ETM_Q29_537650"/>
      <w:bookmarkEnd w:id="19216"/>
      <w:r>
        <w:rPr>
          <w:rFonts w:hint="cs"/>
          <w:rtl/>
        </w:rPr>
        <w:t xml:space="preserve">בנגב </w:t>
      </w:r>
      <w:bookmarkStart w:id="19217" w:name="_ETM_Q29_538070"/>
      <w:bookmarkEnd w:id="19217"/>
      <w:r>
        <w:rPr>
          <w:rFonts w:hint="cs"/>
          <w:rtl/>
        </w:rPr>
        <w:t xml:space="preserve">הם </w:t>
      </w:r>
      <w:bookmarkStart w:id="19218" w:name="_ETM_Q29_538220"/>
      <w:bookmarkEnd w:id="19218"/>
      <w:r>
        <w:rPr>
          <w:rFonts w:hint="cs"/>
          <w:rtl/>
        </w:rPr>
        <w:t xml:space="preserve">סיוט </w:t>
      </w:r>
      <w:bookmarkStart w:id="19219" w:name="_ETM_Q29_538579"/>
      <w:bookmarkEnd w:id="19219"/>
      <w:r>
        <w:rPr>
          <w:rFonts w:hint="cs"/>
          <w:rtl/>
        </w:rPr>
        <w:t xml:space="preserve">מתמשך, </w:t>
      </w:r>
      <w:bookmarkStart w:id="19220" w:name="_ETM_Q29_539859"/>
      <w:bookmarkEnd w:id="19220"/>
      <w:r>
        <w:rPr>
          <w:rFonts w:hint="cs"/>
          <w:rtl/>
        </w:rPr>
        <w:t xml:space="preserve">סרט </w:t>
      </w:r>
      <w:bookmarkStart w:id="19221" w:name="_ETM_Q29_540219"/>
      <w:bookmarkEnd w:id="19221"/>
      <w:r>
        <w:rPr>
          <w:rFonts w:hint="cs"/>
          <w:rtl/>
        </w:rPr>
        <w:t xml:space="preserve">אימה </w:t>
      </w:r>
      <w:bookmarkStart w:id="19222" w:name="_ETM_Q29_540699"/>
      <w:bookmarkEnd w:id="19222"/>
      <w:r>
        <w:rPr>
          <w:rFonts w:hint="cs"/>
          <w:rtl/>
        </w:rPr>
        <w:t xml:space="preserve">ללא </w:t>
      </w:r>
      <w:bookmarkStart w:id="19223" w:name="_ETM_Q29_540999"/>
      <w:bookmarkEnd w:id="19223"/>
      <w:r>
        <w:rPr>
          <w:rFonts w:hint="cs"/>
          <w:rtl/>
        </w:rPr>
        <w:t xml:space="preserve">סוף. </w:t>
      </w:r>
      <w:bookmarkStart w:id="19224" w:name="_ETM_Q29_541869"/>
      <w:bookmarkEnd w:id="19224"/>
      <w:r>
        <w:rPr>
          <w:rFonts w:hint="cs"/>
          <w:rtl/>
        </w:rPr>
        <w:t>אי-</w:t>
      </w:r>
      <w:bookmarkStart w:id="19225" w:name="_ETM_Q29_542049"/>
      <w:bookmarkEnd w:id="19225"/>
      <w:r>
        <w:rPr>
          <w:rFonts w:hint="cs"/>
          <w:rtl/>
        </w:rPr>
        <w:t xml:space="preserve">אפשר </w:t>
      </w:r>
      <w:bookmarkStart w:id="19226" w:name="_ETM_Q29_542350"/>
      <w:bookmarkEnd w:id="19226"/>
      <w:r>
        <w:rPr>
          <w:rFonts w:hint="cs"/>
          <w:rtl/>
        </w:rPr>
        <w:t xml:space="preserve">לדבר </w:t>
      </w:r>
      <w:bookmarkStart w:id="19227" w:name="_ETM_Q29_542709"/>
      <w:bookmarkEnd w:id="19227"/>
      <w:r>
        <w:rPr>
          <w:rFonts w:hint="cs"/>
          <w:rtl/>
        </w:rPr>
        <w:t xml:space="preserve">עם </w:t>
      </w:r>
      <w:bookmarkStart w:id="19228" w:name="_ETM_Q29_542829"/>
      <w:bookmarkEnd w:id="19228"/>
      <w:r>
        <w:rPr>
          <w:rFonts w:hint="cs"/>
          <w:rtl/>
        </w:rPr>
        <w:t xml:space="preserve">הבדואים </w:t>
      </w:r>
      <w:bookmarkStart w:id="19229" w:name="_ETM_Q29_543249"/>
      <w:bookmarkEnd w:id="19229"/>
      <w:r>
        <w:rPr>
          <w:rFonts w:hint="cs"/>
          <w:rtl/>
        </w:rPr>
        <w:t xml:space="preserve">תמיד </w:t>
      </w:r>
      <w:bookmarkStart w:id="19230" w:name="_ETM_Q29_543549"/>
      <w:bookmarkEnd w:id="19230"/>
      <w:r>
        <w:rPr>
          <w:rFonts w:hint="cs"/>
          <w:rtl/>
        </w:rPr>
        <w:t xml:space="preserve">מלמעלה. </w:t>
      </w:r>
      <w:bookmarkStart w:id="19231" w:name="_ETM_Q29_544670"/>
      <w:bookmarkEnd w:id="19231"/>
      <w:r>
        <w:rPr>
          <w:rFonts w:hint="cs"/>
          <w:rtl/>
        </w:rPr>
        <w:t xml:space="preserve">לקבל </w:t>
      </w:r>
      <w:bookmarkStart w:id="19232" w:name="_ETM_Q29_545180"/>
      <w:bookmarkEnd w:id="19232"/>
      <w:r>
        <w:rPr>
          <w:rFonts w:hint="cs"/>
          <w:rtl/>
        </w:rPr>
        <w:t xml:space="preserve">עבורם </w:t>
      </w:r>
      <w:bookmarkStart w:id="19233" w:name="_ETM_Q29_545660"/>
      <w:bookmarkEnd w:id="19233"/>
      <w:r>
        <w:rPr>
          <w:rFonts w:hint="cs"/>
          <w:rtl/>
        </w:rPr>
        <w:t xml:space="preserve">ההחלטות </w:t>
      </w:r>
      <w:bookmarkStart w:id="19234" w:name="_ETM_Q29_546200"/>
      <w:bookmarkEnd w:id="19234"/>
      <w:r>
        <w:rPr>
          <w:rFonts w:hint="cs"/>
          <w:rtl/>
        </w:rPr>
        <w:t xml:space="preserve">שלא </w:t>
      </w:r>
      <w:bookmarkStart w:id="19235" w:name="_ETM_Q29_546350"/>
      <w:bookmarkEnd w:id="19235"/>
      <w:r>
        <w:rPr>
          <w:rFonts w:hint="cs"/>
          <w:rtl/>
        </w:rPr>
        <w:t xml:space="preserve">קשורות </w:t>
      </w:r>
      <w:bookmarkStart w:id="19236" w:name="_ETM_Q29_546680"/>
      <w:bookmarkEnd w:id="19236"/>
      <w:r>
        <w:rPr>
          <w:rFonts w:hint="cs"/>
          <w:rtl/>
        </w:rPr>
        <w:t xml:space="preserve">למציאות </w:t>
      </w:r>
      <w:bookmarkStart w:id="19237" w:name="_ETM_Q29_547759"/>
      <w:bookmarkEnd w:id="19237"/>
      <w:r>
        <w:rPr>
          <w:rFonts w:hint="cs"/>
          <w:rtl/>
        </w:rPr>
        <w:t xml:space="preserve">בלי </w:t>
      </w:r>
      <w:bookmarkStart w:id="19238" w:name="_ETM_Q29_547969"/>
      <w:bookmarkEnd w:id="19238"/>
      <w:r>
        <w:rPr>
          <w:rFonts w:hint="cs"/>
          <w:rtl/>
        </w:rPr>
        <w:t xml:space="preserve">הידברות </w:t>
      </w:r>
      <w:bookmarkStart w:id="19239" w:name="_ETM_Q29_548960"/>
      <w:bookmarkEnd w:id="19239"/>
      <w:r>
        <w:rPr>
          <w:rFonts w:hint="cs"/>
          <w:rtl/>
        </w:rPr>
        <w:t xml:space="preserve">או </w:t>
      </w:r>
      <w:bookmarkStart w:id="19240" w:name="_ETM_Q29_549079"/>
      <w:bookmarkEnd w:id="19240"/>
      <w:r>
        <w:rPr>
          <w:rFonts w:hint="cs"/>
          <w:rtl/>
        </w:rPr>
        <w:t xml:space="preserve">שיתוף </w:t>
      </w:r>
      <w:bookmarkStart w:id="19241" w:name="_ETM_Q29_549710"/>
      <w:bookmarkEnd w:id="19241"/>
      <w:r>
        <w:rPr>
          <w:rFonts w:hint="cs"/>
          <w:rtl/>
        </w:rPr>
        <w:t xml:space="preserve">עם </w:t>
      </w:r>
      <w:bookmarkStart w:id="19242" w:name="_ETM_Q29_549860"/>
      <w:bookmarkEnd w:id="19242"/>
      <w:r>
        <w:rPr>
          <w:rFonts w:hint="cs"/>
          <w:rtl/>
        </w:rPr>
        <w:t xml:space="preserve">התושבים. </w:t>
      </w:r>
      <w:bookmarkStart w:id="19243" w:name="_ETM_Q29_550960"/>
      <w:bookmarkEnd w:id="19243"/>
      <w:r>
        <w:rPr>
          <w:rFonts w:hint="cs"/>
          <w:rtl/>
        </w:rPr>
        <w:t xml:space="preserve">אנחנו </w:t>
      </w:r>
      <w:bookmarkStart w:id="19244" w:name="_ETM_Q29_551380"/>
      <w:bookmarkEnd w:id="19244"/>
      <w:r>
        <w:rPr>
          <w:rFonts w:hint="cs"/>
          <w:rtl/>
        </w:rPr>
        <w:t xml:space="preserve">לא </w:t>
      </w:r>
      <w:bookmarkStart w:id="19245" w:name="_ETM_Q29_551470"/>
      <w:bookmarkEnd w:id="19245"/>
      <w:r>
        <w:rPr>
          <w:rFonts w:hint="cs"/>
          <w:rtl/>
        </w:rPr>
        <w:t xml:space="preserve">רוצים </w:t>
      </w:r>
      <w:bookmarkStart w:id="19246" w:name="_ETM_Q29_551830"/>
      <w:bookmarkEnd w:id="19246"/>
      <w:r>
        <w:rPr>
          <w:rFonts w:hint="cs"/>
          <w:rtl/>
        </w:rPr>
        <w:t xml:space="preserve">פטרונים, </w:t>
      </w:r>
      <w:bookmarkStart w:id="19247" w:name="_ETM_Q29_552220"/>
      <w:bookmarkStart w:id="19248" w:name="_ETM_Q29_552550"/>
      <w:bookmarkEnd w:id="19247"/>
      <w:bookmarkEnd w:id="19248"/>
      <w:r>
        <w:rPr>
          <w:rFonts w:hint="cs"/>
          <w:rtl/>
        </w:rPr>
        <w:t xml:space="preserve">אנחנו </w:t>
      </w:r>
      <w:bookmarkStart w:id="19249" w:name="_ETM_Q29_552910"/>
      <w:bookmarkEnd w:id="19249"/>
      <w:r>
        <w:rPr>
          <w:rFonts w:hint="cs"/>
          <w:rtl/>
        </w:rPr>
        <w:t xml:space="preserve">אזרחים </w:t>
      </w:r>
      <w:bookmarkStart w:id="19250" w:name="_ETM_Q29_553589"/>
      <w:bookmarkEnd w:id="19250"/>
      <w:r>
        <w:rPr>
          <w:rFonts w:hint="cs"/>
          <w:rtl/>
        </w:rPr>
        <w:t xml:space="preserve">שווי </w:t>
      </w:r>
      <w:bookmarkStart w:id="19251" w:name="_ETM_Q29_553799"/>
      <w:bookmarkEnd w:id="19251"/>
      <w:r>
        <w:rPr>
          <w:rFonts w:hint="cs"/>
          <w:rtl/>
        </w:rPr>
        <w:t xml:space="preserve">זכויות. </w:t>
      </w:r>
      <w:bookmarkStart w:id="19252" w:name="_ETM_Q29_554990"/>
      <w:bookmarkStart w:id="19253" w:name="_ETM_Q29_557042"/>
      <w:bookmarkStart w:id="19254" w:name="_ETM_Q29_557110"/>
      <w:bookmarkStart w:id="19255" w:name="_ETM_Q29_557169"/>
      <w:bookmarkStart w:id="19256" w:name="_ETM_Q29_557289"/>
      <w:bookmarkEnd w:id="19252"/>
      <w:bookmarkEnd w:id="19253"/>
      <w:bookmarkEnd w:id="19254"/>
      <w:bookmarkEnd w:id="19255"/>
      <w:bookmarkEnd w:id="19256"/>
      <w:r>
        <w:rPr>
          <w:rFonts w:hint="cs"/>
          <w:rtl/>
        </w:rPr>
        <w:t xml:space="preserve">על </w:t>
      </w:r>
      <w:bookmarkStart w:id="19257" w:name="_ETM_Q29_555200"/>
      <w:bookmarkEnd w:id="19257"/>
      <w:r>
        <w:rPr>
          <w:rFonts w:hint="cs"/>
          <w:rtl/>
        </w:rPr>
        <w:t xml:space="preserve">הממשלה </w:t>
      </w:r>
      <w:bookmarkStart w:id="19258" w:name="_ETM_Q29_555770"/>
      <w:bookmarkEnd w:id="19258"/>
      <w:r>
        <w:rPr>
          <w:rFonts w:hint="cs"/>
          <w:rtl/>
        </w:rPr>
        <w:t xml:space="preserve">להפסיק </w:t>
      </w:r>
      <w:bookmarkStart w:id="19259" w:name="_ETM_Q29_556460"/>
      <w:bookmarkEnd w:id="19259"/>
      <w:r>
        <w:rPr>
          <w:rFonts w:hint="cs"/>
          <w:rtl/>
        </w:rPr>
        <w:t xml:space="preserve">מייד </w:t>
      </w:r>
      <w:bookmarkStart w:id="19260" w:name="_ETM_Q29_556909"/>
      <w:bookmarkEnd w:id="19260"/>
      <w:r>
        <w:rPr>
          <w:rFonts w:hint="cs"/>
          <w:rtl/>
        </w:rPr>
        <w:t xml:space="preserve">את </w:t>
      </w:r>
      <w:bookmarkStart w:id="19261" w:name="_ETM_Q29_557060"/>
      <w:bookmarkEnd w:id="19261"/>
      <w:r>
        <w:rPr>
          <w:rFonts w:hint="cs"/>
          <w:rtl/>
        </w:rPr>
        <w:t xml:space="preserve">ההריסות </w:t>
      </w:r>
      <w:bookmarkStart w:id="19262" w:name="_ETM_Q29_557450"/>
      <w:bookmarkEnd w:id="19262"/>
      <w:r>
        <w:rPr>
          <w:rFonts w:hint="cs"/>
          <w:rtl/>
        </w:rPr>
        <w:t xml:space="preserve">בנגב </w:t>
      </w:r>
      <w:bookmarkStart w:id="19263" w:name="_ETM_Q29_558640"/>
      <w:bookmarkEnd w:id="19263"/>
      <w:r>
        <w:rPr>
          <w:rFonts w:hint="cs"/>
          <w:rtl/>
        </w:rPr>
        <w:t xml:space="preserve">ולהביא </w:t>
      </w:r>
      <w:bookmarkStart w:id="19264" w:name="_ETM_Q29_559029"/>
      <w:bookmarkEnd w:id="19264"/>
      <w:r>
        <w:rPr>
          <w:rFonts w:hint="cs"/>
          <w:rtl/>
        </w:rPr>
        <w:t xml:space="preserve">להידברות </w:t>
      </w:r>
      <w:bookmarkStart w:id="19265" w:name="_ETM_Q29_559570"/>
      <w:bookmarkEnd w:id="19265"/>
      <w:r>
        <w:rPr>
          <w:rFonts w:hint="cs"/>
          <w:rtl/>
        </w:rPr>
        <w:t>ושיתוף</w:t>
      </w:r>
      <w:bookmarkStart w:id="19266" w:name="_ETM_Q29_560079"/>
      <w:bookmarkEnd w:id="19266"/>
      <w:r>
        <w:rPr>
          <w:rFonts w:hint="cs"/>
          <w:rtl/>
        </w:rPr>
        <w:t xml:space="preserve"> </w:t>
      </w:r>
      <w:bookmarkStart w:id="19267" w:name="_ETM_Q29_557645"/>
      <w:bookmarkEnd w:id="19267"/>
      <w:r>
        <w:rPr>
          <w:rFonts w:hint="cs"/>
          <w:rtl/>
        </w:rPr>
        <w:t xml:space="preserve">עם התושבים. </w:t>
      </w:r>
      <w:bookmarkStart w:id="19268" w:name="_ETM_Q29_561320"/>
      <w:bookmarkEnd w:id="19268"/>
      <w:r>
        <w:rPr>
          <w:rFonts w:hint="cs"/>
          <w:rtl/>
        </w:rPr>
        <w:t xml:space="preserve">יש </w:t>
      </w:r>
      <w:bookmarkStart w:id="19269" w:name="_ETM_Q29_561619"/>
      <w:bookmarkEnd w:id="19269"/>
      <w:r>
        <w:rPr>
          <w:rFonts w:hint="cs"/>
          <w:rtl/>
        </w:rPr>
        <w:t xml:space="preserve">להכיר </w:t>
      </w:r>
      <w:bookmarkStart w:id="19270" w:name="_ETM_Q29_561979"/>
      <w:bookmarkEnd w:id="19270"/>
      <w:r>
        <w:rPr>
          <w:rFonts w:hint="cs"/>
          <w:rtl/>
        </w:rPr>
        <w:t xml:space="preserve">בכפרים </w:t>
      </w:r>
      <w:bookmarkStart w:id="19271" w:name="_ETM_Q29_562400"/>
      <w:bookmarkEnd w:id="19271"/>
      <w:r>
        <w:rPr>
          <w:rFonts w:hint="cs"/>
          <w:rtl/>
        </w:rPr>
        <w:t xml:space="preserve">הלא-מוכרים </w:t>
      </w:r>
      <w:bookmarkStart w:id="19272" w:name="_ETM_Q29_563589"/>
      <w:bookmarkEnd w:id="19272"/>
      <w:r>
        <w:rPr>
          <w:rFonts w:hint="cs"/>
          <w:rtl/>
        </w:rPr>
        <w:t>ו</w:t>
      </w:r>
      <w:bookmarkStart w:id="19273" w:name="_ETM_Q29_564520"/>
      <w:bookmarkEnd w:id="19273"/>
      <w:r>
        <w:rPr>
          <w:rFonts w:hint="cs"/>
          <w:rtl/>
        </w:rPr>
        <w:t xml:space="preserve">לפתחם לפי </w:t>
      </w:r>
      <w:bookmarkStart w:id="19274" w:name="_ETM_Q29_565089"/>
      <w:bookmarkEnd w:id="19274"/>
      <w:r>
        <w:rPr>
          <w:rFonts w:hint="cs"/>
          <w:rtl/>
        </w:rPr>
        <w:t xml:space="preserve">אופי </w:t>
      </w:r>
      <w:bookmarkStart w:id="19275" w:name="_ETM_Q29_565359"/>
      <w:bookmarkEnd w:id="19275"/>
      <w:r>
        <w:rPr>
          <w:rFonts w:hint="cs"/>
          <w:rtl/>
        </w:rPr>
        <w:t xml:space="preserve">התושבים </w:t>
      </w:r>
      <w:bookmarkStart w:id="19276" w:name="_ETM_Q29_566610"/>
      <w:bookmarkEnd w:id="19276"/>
      <w:r>
        <w:rPr>
          <w:rFonts w:hint="cs"/>
          <w:rtl/>
        </w:rPr>
        <w:t>והמקום.</w:t>
      </w:r>
    </w:p>
    <w:p w:rsidR="00BB59CD" w:rsidRDefault="00BB59CD" w:rsidP="00BB59CD">
      <w:pPr>
        <w:rPr>
          <w:rtl/>
        </w:rPr>
      </w:pPr>
    </w:p>
    <w:p w:rsidR="00BB59CD" w:rsidRDefault="00BB59CD" w:rsidP="00A021B9">
      <w:pPr>
        <w:rPr>
          <w:rtl/>
        </w:rPr>
      </w:pPr>
      <w:bookmarkStart w:id="19277" w:name="_ETM_Q29_568170"/>
      <w:bookmarkEnd w:id="19277"/>
      <w:r>
        <w:rPr>
          <w:rFonts w:hint="cs"/>
          <w:rtl/>
        </w:rPr>
        <w:t xml:space="preserve">מכובדי </w:t>
      </w:r>
      <w:bookmarkStart w:id="19278" w:name="_ETM_Q29_568529"/>
      <w:bookmarkEnd w:id="19278"/>
      <w:r>
        <w:rPr>
          <w:rFonts w:hint="cs"/>
          <w:rtl/>
        </w:rPr>
        <w:t xml:space="preserve">היושב-ראש. </w:t>
      </w:r>
      <w:bookmarkStart w:id="19279" w:name="_ETM_Q29_569070"/>
      <w:bookmarkEnd w:id="19279"/>
      <w:r>
        <w:rPr>
          <w:rFonts w:hint="cs"/>
          <w:rtl/>
        </w:rPr>
        <w:t xml:space="preserve">אנחנו </w:t>
      </w:r>
      <w:bookmarkStart w:id="19280" w:name="_ETM_Q29_569430"/>
      <w:bookmarkEnd w:id="19280"/>
      <w:r>
        <w:rPr>
          <w:rFonts w:hint="cs"/>
          <w:rtl/>
        </w:rPr>
        <w:t xml:space="preserve">עדים </w:t>
      </w:r>
      <w:bookmarkStart w:id="19281" w:name="_ETM_Q29_569640"/>
      <w:bookmarkEnd w:id="19281"/>
      <w:r>
        <w:rPr>
          <w:rFonts w:hint="cs"/>
          <w:rtl/>
        </w:rPr>
        <w:t xml:space="preserve">בתקופה </w:t>
      </w:r>
      <w:bookmarkStart w:id="19282" w:name="_ETM_Q29_570000"/>
      <w:bookmarkEnd w:id="19282"/>
      <w:r>
        <w:rPr>
          <w:rFonts w:hint="cs"/>
          <w:rtl/>
        </w:rPr>
        <w:t xml:space="preserve">האחרונה </w:t>
      </w:r>
      <w:bookmarkStart w:id="19283" w:name="_ETM_Q29_570960"/>
      <w:bookmarkEnd w:id="19283"/>
      <w:r>
        <w:rPr>
          <w:rFonts w:hint="cs"/>
          <w:rtl/>
        </w:rPr>
        <w:t xml:space="preserve">למסע </w:t>
      </w:r>
      <w:bookmarkStart w:id="19284" w:name="_ETM_Q29_571439"/>
      <w:bookmarkEnd w:id="19284"/>
      <w:r>
        <w:rPr>
          <w:rFonts w:hint="cs"/>
          <w:rtl/>
        </w:rPr>
        <w:t xml:space="preserve">הרס </w:t>
      </w:r>
      <w:bookmarkStart w:id="19285" w:name="_ETM_Q29_572369"/>
      <w:bookmarkEnd w:id="19285"/>
      <w:r>
        <w:rPr>
          <w:rFonts w:hint="cs"/>
          <w:rtl/>
        </w:rPr>
        <w:t xml:space="preserve">בכפרים </w:t>
      </w:r>
      <w:bookmarkStart w:id="19286" w:name="_ETM_Q29_572850"/>
      <w:bookmarkEnd w:id="19286"/>
      <w:r>
        <w:rPr>
          <w:rFonts w:hint="cs"/>
          <w:rtl/>
        </w:rPr>
        <w:t>הבלתי</w:t>
      </w:r>
      <w:bookmarkStart w:id="19287" w:name="_ETM_Q29_573180"/>
      <w:bookmarkEnd w:id="19287"/>
      <w:r>
        <w:rPr>
          <w:rFonts w:hint="cs"/>
          <w:rtl/>
        </w:rPr>
        <w:t xml:space="preserve">-מוכרים </w:t>
      </w:r>
      <w:bookmarkStart w:id="19288" w:name="_ETM_Q29_573509"/>
      <w:bookmarkEnd w:id="19288"/>
      <w:r>
        <w:rPr>
          <w:rFonts w:hint="cs"/>
          <w:rtl/>
        </w:rPr>
        <w:t xml:space="preserve">בנגב. </w:t>
      </w:r>
      <w:bookmarkStart w:id="19289" w:name="_ETM_Q29_574619"/>
      <w:bookmarkEnd w:id="19289"/>
      <w:r>
        <w:rPr>
          <w:rFonts w:hint="cs"/>
          <w:rtl/>
        </w:rPr>
        <w:t xml:space="preserve">הגיע </w:t>
      </w:r>
      <w:bookmarkStart w:id="19290" w:name="_ETM_Q29_574979"/>
      <w:bookmarkEnd w:id="19290"/>
      <w:r>
        <w:rPr>
          <w:rFonts w:hint="cs"/>
          <w:rtl/>
        </w:rPr>
        <w:t xml:space="preserve">הזמן </w:t>
      </w:r>
      <w:bookmarkStart w:id="19291" w:name="_ETM_Q29_575729"/>
      <w:bookmarkEnd w:id="19291"/>
      <w:r>
        <w:rPr>
          <w:rFonts w:hint="cs"/>
          <w:rtl/>
        </w:rPr>
        <w:t xml:space="preserve">שממשלת </w:t>
      </w:r>
      <w:bookmarkStart w:id="19292" w:name="_ETM_Q29_576240"/>
      <w:bookmarkEnd w:id="19292"/>
      <w:r>
        <w:rPr>
          <w:rFonts w:hint="cs"/>
          <w:rtl/>
        </w:rPr>
        <w:t xml:space="preserve">נתניהו </w:t>
      </w:r>
      <w:bookmarkStart w:id="19293" w:name="_ETM_Q29_576630"/>
      <w:bookmarkEnd w:id="19293"/>
      <w:r>
        <w:rPr>
          <w:rFonts w:hint="cs"/>
          <w:rtl/>
        </w:rPr>
        <w:t xml:space="preserve">תתעשת </w:t>
      </w:r>
      <w:bookmarkStart w:id="19294" w:name="_ETM_Q29_577079"/>
      <w:bookmarkEnd w:id="19294"/>
      <w:r>
        <w:rPr>
          <w:rFonts w:hint="cs"/>
          <w:rtl/>
        </w:rPr>
        <w:t xml:space="preserve">ותפסיק </w:t>
      </w:r>
      <w:bookmarkStart w:id="19295" w:name="_ETM_Q29_577470"/>
      <w:bookmarkEnd w:id="19295"/>
      <w:r>
        <w:rPr>
          <w:rFonts w:hint="cs"/>
          <w:rtl/>
        </w:rPr>
        <w:t xml:space="preserve">את </w:t>
      </w:r>
      <w:bookmarkStart w:id="19296" w:name="_ETM_Q29_577589"/>
      <w:bookmarkEnd w:id="19296"/>
      <w:r>
        <w:rPr>
          <w:rFonts w:hint="cs"/>
          <w:rtl/>
        </w:rPr>
        <w:t xml:space="preserve">ההריסות </w:t>
      </w:r>
      <w:bookmarkStart w:id="19297" w:name="_ETM_Q29_578560"/>
      <w:bookmarkEnd w:id="19297"/>
      <w:r>
        <w:rPr>
          <w:rFonts w:hint="cs"/>
          <w:rtl/>
        </w:rPr>
        <w:t xml:space="preserve">ותכיר </w:t>
      </w:r>
      <w:bookmarkStart w:id="19298" w:name="_ETM_Q29_579070"/>
      <w:bookmarkEnd w:id="19298"/>
      <w:r>
        <w:rPr>
          <w:rFonts w:hint="cs"/>
          <w:rtl/>
        </w:rPr>
        <w:t xml:space="preserve">בכפרים </w:t>
      </w:r>
      <w:bookmarkStart w:id="19299" w:name="_ETM_Q29_579789"/>
      <w:bookmarkEnd w:id="19299"/>
      <w:r>
        <w:rPr>
          <w:rFonts w:hint="cs"/>
          <w:rtl/>
        </w:rPr>
        <w:t xml:space="preserve">הלא-מוכרים. </w:t>
      </w:r>
      <w:bookmarkStart w:id="19300" w:name="_ETM_Q29_581020"/>
      <w:bookmarkEnd w:id="19300"/>
      <w:r>
        <w:rPr>
          <w:rFonts w:hint="cs"/>
          <w:rtl/>
        </w:rPr>
        <w:t xml:space="preserve">המדינה </w:t>
      </w:r>
      <w:bookmarkStart w:id="19301" w:name="_ETM_Q29_581469"/>
      <w:bookmarkEnd w:id="19301"/>
      <w:r>
        <w:rPr>
          <w:rFonts w:hint="cs"/>
          <w:rtl/>
        </w:rPr>
        <w:t xml:space="preserve">הורסת </w:t>
      </w:r>
      <w:bookmarkStart w:id="19302" w:name="_ETM_Q29_581859"/>
      <w:bookmarkEnd w:id="19302"/>
      <w:r>
        <w:rPr>
          <w:rFonts w:hint="cs"/>
          <w:rtl/>
        </w:rPr>
        <w:t xml:space="preserve">בתל </w:t>
      </w:r>
      <w:bookmarkStart w:id="19303" w:name="_ETM_Q29_582069"/>
      <w:bookmarkEnd w:id="19303"/>
      <w:r>
        <w:rPr>
          <w:rFonts w:hint="cs"/>
          <w:rtl/>
        </w:rPr>
        <w:t xml:space="preserve">ערד, </w:t>
      </w:r>
      <w:bookmarkStart w:id="19304" w:name="_ETM_Q29_582759"/>
      <w:bookmarkEnd w:id="19304"/>
      <w:r>
        <w:rPr>
          <w:rFonts w:hint="cs"/>
          <w:rtl/>
        </w:rPr>
        <w:t xml:space="preserve">באל-פורעה, א-זערורה, ואדי אל-נעם, חורה, א-סייד, רהט. הדרישה </w:t>
      </w:r>
      <w:bookmarkStart w:id="19305" w:name="_ETM_Q29_583420"/>
      <w:bookmarkStart w:id="19306" w:name="_ETM_Q29_583990"/>
      <w:bookmarkEnd w:id="19305"/>
      <w:bookmarkEnd w:id="19306"/>
      <w:r>
        <w:rPr>
          <w:rFonts w:hint="cs"/>
          <w:rtl/>
        </w:rPr>
        <w:t xml:space="preserve">שלנו והציפייה שלנו </w:t>
      </w:r>
      <w:bookmarkStart w:id="19307" w:name="_ETM_Q29_584229"/>
      <w:bookmarkStart w:id="19308" w:name="_ETM_Q29_585259"/>
      <w:bookmarkStart w:id="19309" w:name="_ETM_Q29_585680"/>
      <w:bookmarkStart w:id="19310" w:name="_ETM_Q29_586040"/>
      <w:bookmarkStart w:id="19311" w:name="_ETM_Q29_586250"/>
      <w:bookmarkStart w:id="19312" w:name="_ETM_Q29_587179"/>
      <w:bookmarkStart w:id="19313" w:name="_ETM_Q29_587749"/>
      <w:bookmarkStart w:id="19314" w:name="_ETM_Q29_588139"/>
      <w:bookmarkStart w:id="19315" w:name="_ETM_Q29_588679"/>
      <w:bookmarkStart w:id="19316" w:name="_ETM_Q29_588889"/>
      <w:bookmarkEnd w:id="19307"/>
      <w:bookmarkEnd w:id="19308"/>
      <w:bookmarkEnd w:id="19309"/>
      <w:bookmarkEnd w:id="19310"/>
      <w:bookmarkEnd w:id="19311"/>
      <w:bookmarkEnd w:id="19312"/>
      <w:bookmarkEnd w:id="19313"/>
      <w:bookmarkEnd w:id="19314"/>
      <w:bookmarkEnd w:id="19315"/>
      <w:bookmarkEnd w:id="19316"/>
      <w:r>
        <w:rPr>
          <w:rFonts w:hint="cs"/>
          <w:rtl/>
        </w:rPr>
        <w:t xml:space="preserve">מהממשלה </w:t>
      </w:r>
      <w:bookmarkStart w:id="19317" w:name="_ETM_Q29_589969"/>
      <w:bookmarkStart w:id="19318" w:name="_ETM_Q29_590539"/>
      <w:bookmarkEnd w:id="19317"/>
      <w:bookmarkEnd w:id="19318"/>
      <w:r w:rsidR="00A021B9">
        <w:rPr>
          <w:rFonts w:hint="eastAsia"/>
          <w:rtl/>
        </w:rPr>
        <w:t>–</w:t>
      </w:r>
      <w:r w:rsidR="00A021B9">
        <w:rPr>
          <w:rFonts w:hint="cs"/>
          <w:rtl/>
        </w:rPr>
        <w:t xml:space="preserve"> </w:t>
      </w:r>
      <w:r>
        <w:rPr>
          <w:rFonts w:hint="cs"/>
          <w:rtl/>
        </w:rPr>
        <w:t xml:space="preserve">שתיתן אופק </w:t>
      </w:r>
      <w:bookmarkStart w:id="19319" w:name="_ETM_Q29_590779"/>
      <w:bookmarkEnd w:id="19319"/>
      <w:r>
        <w:rPr>
          <w:rFonts w:hint="cs"/>
          <w:rtl/>
        </w:rPr>
        <w:t>לאנשים.</w:t>
      </w:r>
      <w:bookmarkStart w:id="19320" w:name="_ETM_Q29_590035"/>
      <w:bookmarkStart w:id="19321" w:name="_ETM_Q29_590100"/>
      <w:bookmarkStart w:id="19322" w:name="_ETM_Q29_590185"/>
      <w:bookmarkStart w:id="19323" w:name="_ETM_Q29_590254"/>
      <w:bookmarkStart w:id="19324" w:name="_ETM_Q29_592289"/>
      <w:bookmarkStart w:id="19325" w:name="_ETM_Q29_592380"/>
      <w:bookmarkEnd w:id="19320"/>
      <w:bookmarkEnd w:id="19321"/>
      <w:bookmarkEnd w:id="19322"/>
      <w:bookmarkEnd w:id="19323"/>
      <w:bookmarkEnd w:id="19324"/>
      <w:bookmarkEnd w:id="19325"/>
      <w:r>
        <w:rPr>
          <w:rFonts w:hint="cs"/>
          <w:rtl/>
        </w:rPr>
        <w:t xml:space="preserve"> בצד </w:t>
      </w:r>
      <w:bookmarkStart w:id="19326" w:name="_ETM_Q29_592679"/>
      <w:bookmarkEnd w:id="19326"/>
      <w:r>
        <w:rPr>
          <w:rFonts w:hint="cs"/>
          <w:rtl/>
        </w:rPr>
        <w:t xml:space="preserve">הכלכלי </w:t>
      </w:r>
      <w:bookmarkStart w:id="19327" w:name="_ETM_Q29_593189"/>
      <w:bookmarkEnd w:id="19327"/>
      <w:r>
        <w:rPr>
          <w:rFonts w:hint="cs"/>
          <w:rtl/>
        </w:rPr>
        <w:t>התעסוקתי</w:t>
      </w:r>
      <w:bookmarkStart w:id="19328" w:name="_ETM_Q29_593759"/>
      <w:bookmarkEnd w:id="19328"/>
      <w:r>
        <w:rPr>
          <w:rFonts w:hint="cs"/>
          <w:rtl/>
        </w:rPr>
        <w:t xml:space="preserve"> </w:t>
      </w:r>
      <w:r w:rsidR="00A021B9">
        <w:rPr>
          <w:rFonts w:hint="eastAsia"/>
          <w:rtl/>
        </w:rPr>
        <w:t>–</w:t>
      </w:r>
      <w:r w:rsidR="00A021B9">
        <w:rPr>
          <w:rFonts w:hint="cs"/>
          <w:rtl/>
        </w:rPr>
        <w:t xml:space="preserve"> </w:t>
      </w:r>
      <w:r>
        <w:rPr>
          <w:rFonts w:hint="cs"/>
          <w:rtl/>
        </w:rPr>
        <w:t xml:space="preserve">הקמת </w:t>
      </w:r>
      <w:bookmarkStart w:id="19329" w:name="_ETM_Q29_594179"/>
      <w:bookmarkEnd w:id="19329"/>
      <w:r>
        <w:rPr>
          <w:rFonts w:hint="cs"/>
          <w:rtl/>
        </w:rPr>
        <w:t xml:space="preserve">אזורי </w:t>
      </w:r>
      <w:bookmarkStart w:id="19330" w:name="_ETM_Q29_594479"/>
      <w:bookmarkEnd w:id="19330"/>
      <w:r>
        <w:rPr>
          <w:rFonts w:hint="cs"/>
          <w:rtl/>
        </w:rPr>
        <w:t xml:space="preserve">מסחר </w:t>
      </w:r>
      <w:bookmarkStart w:id="19331" w:name="_ETM_Q29_594839"/>
      <w:bookmarkEnd w:id="19331"/>
      <w:r>
        <w:rPr>
          <w:rFonts w:hint="cs"/>
          <w:rtl/>
        </w:rPr>
        <w:t xml:space="preserve">ותעשייה, </w:t>
      </w:r>
      <w:bookmarkStart w:id="19332" w:name="_ETM_Q29_596069"/>
      <w:bookmarkEnd w:id="19332"/>
      <w:r>
        <w:rPr>
          <w:rFonts w:hint="cs"/>
          <w:rtl/>
        </w:rPr>
        <w:t xml:space="preserve">שיספקו </w:t>
      </w:r>
      <w:bookmarkStart w:id="19333" w:name="_ETM_Q29_596609"/>
      <w:bookmarkEnd w:id="19333"/>
      <w:r>
        <w:rPr>
          <w:rFonts w:hint="cs"/>
          <w:rtl/>
        </w:rPr>
        <w:t xml:space="preserve">לאזרחים </w:t>
      </w:r>
      <w:bookmarkStart w:id="19334" w:name="_ETM_Q29_597179"/>
      <w:bookmarkEnd w:id="19334"/>
      <w:r>
        <w:rPr>
          <w:rFonts w:hint="cs"/>
          <w:rtl/>
        </w:rPr>
        <w:t xml:space="preserve">אופק </w:t>
      </w:r>
      <w:bookmarkStart w:id="19335" w:name="_ETM_Q29_597479"/>
      <w:bookmarkEnd w:id="19335"/>
      <w:r>
        <w:rPr>
          <w:rFonts w:hint="cs"/>
          <w:rtl/>
        </w:rPr>
        <w:t xml:space="preserve">תעסוקתי </w:t>
      </w:r>
      <w:bookmarkStart w:id="19336" w:name="_ETM_Q29_598839"/>
      <w:bookmarkEnd w:id="19336"/>
      <w:r>
        <w:rPr>
          <w:rFonts w:hint="cs"/>
          <w:rtl/>
        </w:rPr>
        <w:t xml:space="preserve">לחיים </w:t>
      </w:r>
      <w:bookmarkStart w:id="19337" w:name="_ETM_Q29_599350"/>
      <w:bookmarkEnd w:id="19337"/>
      <w:r>
        <w:rPr>
          <w:rFonts w:hint="cs"/>
          <w:rtl/>
        </w:rPr>
        <w:t xml:space="preserve">נורמליים. </w:t>
      </w:r>
      <w:bookmarkStart w:id="19338" w:name="_ETM_Q29_600619"/>
      <w:bookmarkEnd w:id="19338"/>
      <w:r>
        <w:rPr>
          <w:rFonts w:hint="cs"/>
          <w:rtl/>
        </w:rPr>
        <w:t xml:space="preserve">דרושה </w:t>
      </w:r>
      <w:bookmarkStart w:id="19339" w:name="_ETM_Q29_601219"/>
      <w:bookmarkEnd w:id="19339"/>
      <w:r>
        <w:rPr>
          <w:rFonts w:hint="cs"/>
          <w:rtl/>
        </w:rPr>
        <w:t xml:space="preserve">השקעה </w:t>
      </w:r>
      <w:bookmarkStart w:id="19340" w:name="_ETM_Q29_601640"/>
      <w:bookmarkEnd w:id="19340"/>
      <w:r>
        <w:rPr>
          <w:rFonts w:hint="cs"/>
          <w:rtl/>
        </w:rPr>
        <w:t xml:space="preserve">מסיבית </w:t>
      </w:r>
      <w:bookmarkStart w:id="19341" w:name="_ETM_Q29_602359"/>
      <w:bookmarkEnd w:id="19341"/>
      <w:r>
        <w:rPr>
          <w:rFonts w:hint="cs"/>
          <w:rtl/>
        </w:rPr>
        <w:t xml:space="preserve">בהקמה </w:t>
      </w:r>
      <w:bookmarkStart w:id="19342" w:name="_ETM_Q29_602990"/>
      <w:bookmarkEnd w:id="19342"/>
      <w:r>
        <w:rPr>
          <w:rFonts w:hint="cs"/>
          <w:rtl/>
        </w:rPr>
        <w:t xml:space="preserve">ופיתוח </w:t>
      </w:r>
      <w:bookmarkStart w:id="19343" w:name="_ETM_Q29_603409"/>
      <w:bookmarkEnd w:id="19343"/>
      <w:r>
        <w:rPr>
          <w:rFonts w:hint="cs"/>
          <w:rtl/>
        </w:rPr>
        <w:t>של תשתיות. תחום</w:t>
      </w:r>
      <w:bookmarkStart w:id="19344" w:name="_ETM_Q29_604960"/>
      <w:bookmarkEnd w:id="19344"/>
      <w:r>
        <w:rPr>
          <w:rFonts w:hint="cs"/>
          <w:rtl/>
        </w:rPr>
        <w:t xml:space="preserve"> </w:t>
      </w:r>
      <w:bookmarkStart w:id="19345" w:name="_ETM_Q29_605200"/>
      <w:bookmarkEnd w:id="19345"/>
      <w:r>
        <w:rPr>
          <w:rFonts w:hint="cs"/>
          <w:rtl/>
        </w:rPr>
        <w:t xml:space="preserve">החינוך </w:t>
      </w:r>
      <w:bookmarkStart w:id="19346" w:name="_ETM_Q29_605649"/>
      <w:bookmarkEnd w:id="19346"/>
      <w:r>
        <w:rPr>
          <w:rFonts w:hint="cs"/>
          <w:rtl/>
        </w:rPr>
        <w:t xml:space="preserve">בחברה </w:t>
      </w:r>
      <w:bookmarkStart w:id="19347" w:name="_ETM_Q29_606070"/>
      <w:bookmarkEnd w:id="19347"/>
      <w:r>
        <w:rPr>
          <w:rFonts w:hint="cs"/>
          <w:rtl/>
        </w:rPr>
        <w:t xml:space="preserve">הבדואית </w:t>
      </w:r>
      <w:bookmarkStart w:id="19348" w:name="_ETM_Q29_606369"/>
      <w:bookmarkEnd w:id="19348"/>
      <w:r>
        <w:rPr>
          <w:rFonts w:hint="cs"/>
          <w:rtl/>
        </w:rPr>
        <w:t xml:space="preserve">בנגב </w:t>
      </w:r>
      <w:bookmarkStart w:id="19349" w:name="_ETM_Q29_606789"/>
      <w:bookmarkEnd w:id="19349"/>
      <w:r>
        <w:rPr>
          <w:rFonts w:hint="cs"/>
          <w:rtl/>
        </w:rPr>
        <w:t xml:space="preserve">הוא </w:t>
      </w:r>
      <w:bookmarkStart w:id="19350" w:name="_ETM_Q29_606880"/>
      <w:bookmarkEnd w:id="19350"/>
      <w:r>
        <w:rPr>
          <w:rFonts w:hint="cs"/>
          <w:rtl/>
        </w:rPr>
        <w:t xml:space="preserve">נושא </w:t>
      </w:r>
      <w:bookmarkStart w:id="19351" w:name="_ETM_Q29_607420"/>
      <w:bookmarkEnd w:id="19351"/>
      <w:r>
        <w:rPr>
          <w:rFonts w:hint="cs"/>
          <w:rtl/>
        </w:rPr>
        <w:t xml:space="preserve">כואב, </w:t>
      </w:r>
      <w:bookmarkStart w:id="19352" w:name="_ETM_Q29_608200"/>
      <w:bookmarkEnd w:id="19352"/>
      <w:r>
        <w:rPr>
          <w:rFonts w:hint="cs"/>
          <w:rtl/>
        </w:rPr>
        <w:t xml:space="preserve">עצוב, </w:t>
      </w:r>
      <w:bookmarkStart w:id="19353" w:name="_ETM_Q29_608650"/>
      <w:bookmarkEnd w:id="19353"/>
      <w:r>
        <w:rPr>
          <w:rFonts w:hint="cs"/>
          <w:rtl/>
        </w:rPr>
        <w:t xml:space="preserve">מוזנח </w:t>
      </w:r>
      <w:bookmarkStart w:id="19354" w:name="_ETM_Q29_609620"/>
      <w:bookmarkEnd w:id="19354"/>
      <w:r>
        <w:rPr>
          <w:rFonts w:hint="cs"/>
          <w:rtl/>
        </w:rPr>
        <w:t xml:space="preserve">ולא </w:t>
      </w:r>
      <w:bookmarkStart w:id="19355" w:name="_ETM_Q29_610310"/>
      <w:bookmarkEnd w:id="19355"/>
      <w:r>
        <w:rPr>
          <w:rFonts w:hint="cs"/>
          <w:rtl/>
        </w:rPr>
        <w:t xml:space="preserve">ברמה </w:t>
      </w:r>
      <w:bookmarkStart w:id="19356" w:name="_ETM_Q29_610640"/>
      <w:bookmarkEnd w:id="19356"/>
      <w:r>
        <w:rPr>
          <w:rFonts w:hint="cs"/>
          <w:rtl/>
        </w:rPr>
        <w:t>בסיסית</w:t>
      </w:r>
      <w:r w:rsidR="00A021B9">
        <w:rPr>
          <w:rFonts w:hint="cs"/>
          <w:rtl/>
        </w:rPr>
        <w:t>;</w:t>
      </w:r>
      <w:r>
        <w:rPr>
          <w:rFonts w:hint="cs"/>
          <w:rtl/>
        </w:rPr>
        <w:t xml:space="preserve"> </w:t>
      </w:r>
      <w:bookmarkStart w:id="19357" w:name="_ETM_Q29_611660"/>
      <w:bookmarkEnd w:id="19357"/>
      <w:r>
        <w:rPr>
          <w:rFonts w:hint="cs"/>
          <w:rtl/>
        </w:rPr>
        <w:t xml:space="preserve">דרושה </w:t>
      </w:r>
      <w:bookmarkStart w:id="19358" w:name="_ETM_Q29_612080"/>
      <w:bookmarkEnd w:id="19358"/>
      <w:r>
        <w:rPr>
          <w:rFonts w:hint="cs"/>
          <w:rtl/>
        </w:rPr>
        <w:t xml:space="preserve">השקעה </w:t>
      </w:r>
      <w:bookmarkStart w:id="19359" w:name="_ETM_Q29_612500"/>
      <w:bookmarkEnd w:id="19359"/>
      <w:r>
        <w:rPr>
          <w:rFonts w:hint="cs"/>
          <w:rtl/>
        </w:rPr>
        <w:t xml:space="preserve">בחינוך </w:t>
      </w:r>
      <w:bookmarkStart w:id="19360" w:name="_ETM_Q29_612890"/>
      <w:bookmarkEnd w:id="19360"/>
      <w:r>
        <w:rPr>
          <w:rFonts w:hint="cs"/>
          <w:rtl/>
        </w:rPr>
        <w:t xml:space="preserve">הבדואים </w:t>
      </w:r>
      <w:bookmarkStart w:id="19361" w:name="_ETM_Q29_613190"/>
      <w:bookmarkEnd w:id="19361"/>
      <w:r>
        <w:rPr>
          <w:rFonts w:hint="cs"/>
          <w:rtl/>
        </w:rPr>
        <w:t xml:space="preserve">בנגב, </w:t>
      </w:r>
      <w:bookmarkStart w:id="19362" w:name="_ETM_Q29_613970"/>
      <w:bookmarkEnd w:id="19362"/>
      <w:r>
        <w:rPr>
          <w:rFonts w:hint="cs"/>
          <w:rtl/>
        </w:rPr>
        <w:t xml:space="preserve">הקטנת </w:t>
      </w:r>
      <w:bookmarkStart w:id="19363" w:name="_ETM_Q29_614480"/>
      <w:bookmarkEnd w:id="19363"/>
      <w:r>
        <w:rPr>
          <w:rFonts w:hint="cs"/>
          <w:rtl/>
        </w:rPr>
        <w:t xml:space="preserve">מספר </w:t>
      </w:r>
      <w:bookmarkStart w:id="19364" w:name="_ETM_Q29_614840"/>
      <w:bookmarkEnd w:id="19364"/>
      <w:r>
        <w:rPr>
          <w:rFonts w:hint="cs"/>
          <w:rtl/>
        </w:rPr>
        <w:t xml:space="preserve">התלמידים </w:t>
      </w:r>
      <w:bookmarkStart w:id="19365" w:name="_ETM_Q29_615590"/>
      <w:bookmarkEnd w:id="19365"/>
      <w:r>
        <w:rPr>
          <w:rFonts w:hint="cs"/>
          <w:rtl/>
        </w:rPr>
        <w:t xml:space="preserve">בכיתות </w:t>
      </w:r>
      <w:bookmarkStart w:id="19366" w:name="_ETM_Q29_616450"/>
      <w:bookmarkEnd w:id="19366"/>
      <w:r>
        <w:rPr>
          <w:rFonts w:hint="cs"/>
          <w:rtl/>
        </w:rPr>
        <w:t xml:space="preserve">ופיצול </w:t>
      </w:r>
      <w:bookmarkStart w:id="19367" w:name="_ETM_Q29_616990"/>
      <w:bookmarkEnd w:id="19367"/>
      <w:r>
        <w:rPr>
          <w:rFonts w:hint="cs"/>
          <w:rtl/>
        </w:rPr>
        <w:t xml:space="preserve">בתי </w:t>
      </w:r>
      <w:bookmarkStart w:id="19368" w:name="_ETM_Q29_617350"/>
      <w:bookmarkEnd w:id="19368"/>
      <w:r>
        <w:rPr>
          <w:rFonts w:hint="cs"/>
          <w:rtl/>
        </w:rPr>
        <w:t xml:space="preserve">הספר </w:t>
      </w:r>
      <w:bookmarkStart w:id="19369" w:name="_ETM_Q29_617740"/>
      <w:bookmarkEnd w:id="19369"/>
      <w:r>
        <w:rPr>
          <w:rFonts w:hint="cs"/>
          <w:rtl/>
        </w:rPr>
        <w:t xml:space="preserve">הגדולים. </w:t>
      </w:r>
      <w:bookmarkStart w:id="19370" w:name="_ETM_Q29_619620"/>
      <w:bookmarkEnd w:id="19370"/>
      <w:r>
        <w:rPr>
          <w:rFonts w:hint="cs"/>
          <w:rtl/>
        </w:rPr>
        <w:t xml:space="preserve">לא </w:t>
      </w:r>
      <w:bookmarkStart w:id="19371" w:name="_ETM_Q29_619829"/>
      <w:bookmarkEnd w:id="19371"/>
      <w:r>
        <w:rPr>
          <w:rFonts w:hint="cs"/>
          <w:rtl/>
        </w:rPr>
        <w:t xml:space="preserve">מעט </w:t>
      </w:r>
      <w:bookmarkStart w:id="19372" w:name="_ETM_Q29_620159"/>
      <w:bookmarkEnd w:id="19372"/>
      <w:r>
        <w:rPr>
          <w:rFonts w:hint="cs"/>
          <w:rtl/>
        </w:rPr>
        <w:t xml:space="preserve">בתי </w:t>
      </w:r>
      <w:bookmarkStart w:id="19373" w:name="_ETM_Q29_620430"/>
      <w:bookmarkEnd w:id="19373"/>
      <w:r>
        <w:rPr>
          <w:rFonts w:hint="cs"/>
          <w:rtl/>
        </w:rPr>
        <w:t xml:space="preserve">ספר </w:t>
      </w:r>
      <w:bookmarkStart w:id="19374" w:name="_ETM_Q29_620730"/>
      <w:bookmarkEnd w:id="19374"/>
      <w:r>
        <w:rPr>
          <w:rFonts w:hint="cs"/>
          <w:rtl/>
        </w:rPr>
        <w:t xml:space="preserve">מגיעים </w:t>
      </w:r>
      <w:bookmarkStart w:id="19375" w:name="_ETM_Q29_621299"/>
      <w:bookmarkEnd w:id="19375"/>
      <w:r>
        <w:rPr>
          <w:rFonts w:hint="cs"/>
          <w:rtl/>
        </w:rPr>
        <w:t xml:space="preserve">למעל </w:t>
      </w:r>
      <w:bookmarkStart w:id="19376" w:name="_ETM_Q29_621689"/>
      <w:bookmarkEnd w:id="19376"/>
      <w:r>
        <w:rPr>
          <w:rFonts w:hint="cs"/>
          <w:rtl/>
        </w:rPr>
        <w:t xml:space="preserve">ל-1,000 </w:t>
      </w:r>
      <w:bookmarkStart w:id="19377" w:name="_ETM_Q29_622109"/>
      <w:bookmarkEnd w:id="19377"/>
      <w:r>
        <w:rPr>
          <w:rFonts w:hint="cs"/>
          <w:rtl/>
        </w:rPr>
        <w:t xml:space="preserve">תלמידים. זה </w:t>
      </w:r>
      <w:bookmarkStart w:id="19378" w:name="_ETM_Q29_623159"/>
      <w:bookmarkEnd w:id="19378"/>
      <w:r>
        <w:rPr>
          <w:rFonts w:hint="cs"/>
          <w:rtl/>
        </w:rPr>
        <w:t xml:space="preserve">בלתי </w:t>
      </w:r>
      <w:bookmarkStart w:id="19379" w:name="_ETM_Q29_623730"/>
      <w:bookmarkEnd w:id="19379"/>
      <w:r>
        <w:rPr>
          <w:rFonts w:hint="cs"/>
          <w:rtl/>
        </w:rPr>
        <w:t xml:space="preserve">נתפס, </w:t>
      </w:r>
      <w:bookmarkStart w:id="19380" w:name="_ETM_Q29_624680"/>
      <w:bookmarkEnd w:id="19380"/>
      <w:r>
        <w:rPr>
          <w:rFonts w:hint="cs"/>
          <w:rtl/>
        </w:rPr>
        <w:t xml:space="preserve">ואני </w:t>
      </w:r>
      <w:bookmarkStart w:id="19381" w:name="_ETM_Q29_625010"/>
      <w:bookmarkEnd w:id="19381"/>
      <w:r>
        <w:rPr>
          <w:rFonts w:hint="cs"/>
          <w:rtl/>
        </w:rPr>
        <w:t xml:space="preserve">רוצה </w:t>
      </w:r>
      <w:bookmarkStart w:id="19382" w:name="_ETM_Q29_625250"/>
      <w:bookmarkEnd w:id="19382"/>
      <w:r>
        <w:rPr>
          <w:rFonts w:hint="cs"/>
          <w:rtl/>
        </w:rPr>
        <w:t xml:space="preserve">להגיד </w:t>
      </w:r>
      <w:bookmarkStart w:id="19383" w:name="_ETM_Q29_625520"/>
      <w:bookmarkEnd w:id="19383"/>
      <w:r>
        <w:rPr>
          <w:rFonts w:hint="cs"/>
          <w:rtl/>
        </w:rPr>
        <w:t xml:space="preserve">לכם </w:t>
      </w:r>
      <w:bookmarkStart w:id="19384" w:name="_ETM_Q29_625790"/>
      <w:bookmarkEnd w:id="19384"/>
      <w:r>
        <w:rPr>
          <w:rFonts w:hint="cs"/>
          <w:rtl/>
        </w:rPr>
        <w:t xml:space="preserve">שמבחינת </w:t>
      </w:r>
      <w:bookmarkStart w:id="19385" w:name="_ETM_Q29_626120"/>
      <w:bookmarkEnd w:id="19385"/>
      <w:r>
        <w:rPr>
          <w:rFonts w:hint="cs"/>
          <w:rtl/>
        </w:rPr>
        <w:t xml:space="preserve">מספרים </w:t>
      </w:r>
      <w:bookmarkStart w:id="19386" w:name="_ETM_Q29_627519"/>
      <w:bookmarkEnd w:id="19386"/>
      <w:r>
        <w:rPr>
          <w:rFonts w:hint="cs"/>
          <w:rtl/>
        </w:rPr>
        <w:t xml:space="preserve">יש </w:t>
      </w:r>
      <w:bookmarkStart w:id="19387" w:name="_ETM_Q29_628120"/>
      <w:bookmarkEnd w:id="19387"/>
      <w:r>
        <w:rPr>
          <w:rFonts w:hint="cs"/>
          <w:rtl/>
        </w:rPr>
        <w:t xml:space="preserve">יותר </w:t>
      </w:r>
      <w:bookmarkStart w:id="19388" w:name="_ETM_Q29_628419"/>
      <w:bookmarkEnd w:id="19388"/>
      <w:r>
        <w:rPr>
          <w:rFonts w:hint="cs"/>
          <w:rtl/>
        </w:rPr>
        <w:t xml:space="preserve">מ-60 </w:t>
      </w:r>
      <w:bookmarkStart w:id="19389" w:name="_ETM_Q29_628809"/>
      <w:bookmarkEnd w:id="19389"/>
      <w:r>
        <w:rPr>
          <w:rFonts w:hint="cs"/>
          <w:rtl/>
        </w:rPr>
        <w:t xml:space="preserve">בתי </w:t>
      </w:r>
      <w:bookmarkStart w:id="19390" w:name="_ETM_Q29_629079"/>
      <w:bookmarkEnd w:id="19390"/>
      <w:r>
        <w:rPr>
          <w:rFonts w:hint="cs"/>
          <w:rtl/>
        </w:rPr>
        <w:t xml:space="preserve">ספר </w:t>
      </w:r>
      <w:bookmarkStart w:id="19391" w:name="_ETM_Q29_629349"/>
      <w:bookmarkEnd w:id="19391"/>
      <w:r>
        <w:rPr>
          <w:rFonts w:hint="cs"/>
          <w:rtl/>
        </w:rPr>
        <w:t xml:space="preserve">עם מעל </w:t>
      </w:r>
      <w:bookmarkStart w:id="19392" w:name="_ETM_Q29_629529"/>
      <w:bookmarkEnd w:id="19392"/>
      <w:r>
        <w:rPr>
          <w:rFonts w:hint="cs"/>
          <w:rtl/>
        </w:rPr>
        <w:t xml:space="preserve">550 </w:t>
      </w:r>
      <w:bookmarkStart w:id="19393" w:name="_ETM_Q29_630400"/>
      <w:bookmarkEnd w:id="19393"/>
      <w:r>
        <w:rPr>
          <w:rFonts w:hint="cs"/>
          <w:rtl/>
        </w:rPr>
        <w:t xml:space="preserve">תלמידים </w:t>
      </w:r>
      <w:bookmarkStart w:id="19394" w:name="_ETM_Q29_631600"/>
      <w:bookmarkEnd w:id="19394"/>
      <w:r>
        <w:rPr>
          <w:rFonts w:hint="cs"/>
          <w:rtl/>
        </w:rPr>
        <w:t xml:space="preserve">ו-11 </w:t>
      </w:r>
      <w:bookmarkStart w:id="19395" w:name="_ETM_Q29_632440"/>
      <w:bookmarkEnd w:id="19395"/>
      <w:r>
        <w:rPr>
          <w:rFonts w:hint="cs"/>
          <w:rtl/>
        </w:rPr>
        <w:t xml:space="preserve">בתי </w:t>
      </w:r>
      <w:bookmarkStart w:id="19396" w:name="_ETM_Q29_632650"/>
      <w:bookmarkEnd w:id="19396"/>
      <w:r>
        <w:rPr>
          <w:rFonts w:hint="cs"/>
          <w:rtl/>
        </w:rPr>
        <w:t xml:space="preserve">ספר </w:t>
      </w:r>
      <w:bookmarkStart w:id="19397" w:name="_ETM_Q29_632920"/>
      <w:bookmarkEnd w:id="19397"/>
      <w:r>
        <w:rPr>
          <w:rFonts w:hint="cs"/>
          <w:rtl/>
        </w:rPr>
        <w:t xml:space="preserve">במגזר </w:t>
      </w:r>
      <w:bookmarkStart w:id="19398" w:name="_ETM_Q29_633340"/>
      <w:bookmarkEnd w:id="19398"/>
      <w:r>
        <w:rPr>
          <w:rFonts w:hint="cs"/>
          <w:rtl/>
        </w:rPr>
        <w:t xml:space="preserve">הבדואי עם </w:t>
      </w:r>
      <w:bookmarkStart w:id="19399" w:name="_ETM_Q29_633670"/>
      <w:bookmarkEnd w:id="19399"/>
      <w:r>
        <w:rPr>
          <w:rFonts w:hint="cs"/>
          <w:rtl/>
        </w:rPr>
        <w:t xml:space="preserve">מעל </w:t>
      </w:r>
      <w:bookmarkStart w:id="19400" w:name="_ETM_Q29_634030"/>
      <w:bookmarkEnd w:id="19400"/>
      <w:r>
        <w:rPr>
          <w:rFonts w:hint="cs"/>
          <w:rtl/>
        </w:rPr>
        <w:t xml:space="preserve">1,000 </w:t>
      </w:r>
      <w:bookmarkStart w:id="19401" w:name="_ETM_Q29_634210"/>
      <w:bookmarkEnd w:id="19401"/>
      <w:r>
        <w:rPr>
          <w:rFonts w:hint="cs"/>
          <w:rtl/>
        </w:rPr>
        <w:t xml:space="preserve">תלמידים. </w:t>
      </w:r>
      <w:bookmarkStart w:id="19402" w:name="_ETM_Q29_635410"/>
      <w:bookmarkStart w:id="19403" w:name="_ETM_Q29_635830"/>
      <w:bookmarkEnd w:id="19402"/>
      <w:bookmarkEnd w:id="19403"/>
      <w:r>
        <w:rPr>
          <w:rFonts w:hint="cs"/>
          <w:rtl/>
        </w:rPr>
        <w:t xml:space="preserve">כאן </w:t>
      </w:r>
      <w:bookmarkStart w:id="19404" w:name="_ETM_Q29_636610"/>
      <w:bookmarkEnd w:id="19404"/>
      <w:r>
        <w:rPr>
          <w:rFonts w:hint="cs"/>
          <w:rtl/>
        </w:rPr>
        <w:t xml:space="preserve">נדרשת </w:t>
      </w:r>
      <w:bookmarkStart w:id="19405" w:name="_ETM_Q29_637090"/>
      <w:bookmarkEnd w:id="19405"/>
      <w:r>
        <w:rPr>
          <w:rFonts w:hint="cs"/>
          <w:rtl/>
        </w:rPr>
        <w:t xml:space="preserve">התערבות </w:t>
      </w:r>
      <w:bookmarkStart w:id="19406" w:name="_ETM_Q29_637540"/>
      <w:bookmarkEnd w:id="19406"/>
      <w:r>
        <w:rPr>
          <w:rFonts w:hint="cs"/>
          <w:rtl/>
        </w:rPr>
        <w:t xml:space="preserve">השר </w:t>
      </w:r>
      <w:bookmarkStart w:id="19407" w:name="_ETM_Q29_638230"/>
      <w:bookmarkEnd w:id="19407"/>
      <w:r>
        <w:rPr>
          <w:rFonts w:hint="cs"/>
          <w:rtl/>
        </w:rPr>
        <w:t xml:space="preserve">על מנת </w:t>
      </w:r>
      <w:bookmarkStart w:id="19408" w:name="_ETM_Q29_634925"/>
      <w:bookmarkStart w:id="19409" w:name="_ETM_Q29_638410"/>
      <w:bookmarkStart w:id="19410" w:name="_ETM_Q29_638710"/>
      <w:bookmarkEnd w:id="19408"/>
      <w:bookmarkEnd w:id="19409"/>
      <w:bookmarkEnd w:id="19410"/>
      <w:r>
        <w:rPr>
          <w:rFonts w:hint="cs"/>
          <w:rtl/>
        </w:rPr>
        <w:t xml:space="preserve">לפתור </w:t>
      </w:r>
      <w:bookmarkStart w:id="19411" w:name="_ETM_Q29_638980"/>
      <w:bookmarkEnd w:id="19411"/>
      <w:r>
        <w:rPr>
          <w:rFonts w:hint="cs"/>
          <w:rtl/>
        </w:rPr>
        <w:t xml:space="preserve">את </w:t>
      </w:r>
      <w:bookmarkStart w:id="19412" w:name="_ETM_Q29_639130"/>
      <w:bookmarkEnd w:id="19412"/>
      <w:r>
        <w:rPr>
          <w:rFonts w:hint="cs"/>
          <w:rtl/>
        </w:rPr>
        <w:t xml:space="preserve">הסוגיה </w:t>
      </w:r>
      <w:bookmarkStart w:id="19413" w:name="_ETM_Q29_639490"/>
      <w:bookmarkEnd w:id="19413"/>
      <w:r>
        <w:rPr>
          <w:rFonts w:hint="cs"/>
          <w:rtl/>
        </w:rPr>
        <w:t xml:space="preserve">הזאת. </w:t>
      </w:r>
      <w:bookmarkStart w:id="19414" w:name="_ETM_Q29_640690"/>
      <w:bookmarkEnd w:id="19414"/>
      <w:r>
        <w:rPr>
          <w:rFonts w:hint="cs"/>
          <w:rtl/>
        </w:rPr>
        <w:t xml:space="preserve">אני </w:t>
      </w:r>
      <w:bookmarkStart w:id="19415" w:name="_ETM_Q29_641020"/>
      <w:bookmarkEnd w:id="19415"/>
      <w:r>
        <w:rPr>
          <w:rFonts w:hint="cs"/>
          <w:rtl/>
        </w:rPr>
        <w:t xml:space="preserve">מקווה </w:t>
      </w:r>
      <w:bookmarkStart w:id="19416" w:name="_ETM_Q29_641380"/>
      <w:bookmarkEnd w:id="19416"/>
      <w:r>
        <w:rPr>
          <w:rFonts w:hint="cs"/>
          <w:rtl/>
        </w:rPr>
        <w:t xml:space="preserve">שאנשים </w:t>
      </w:r>
      <w:bookmarkStart w:id="19417" w:name="_ETM_Q29_641830"/>
      <w:bookmarkEnd w:id="19417"/>
      <w:r>
        <w:rPr>
          <w:rFonts w:hint="cs"/>
          <w:rtl/>
        </w:rPr>
        <w:t xml:space="preserve">בממשלה, </w:t>
      </w:r>
      <w:bookmarkStart w:id="19418" w:name="_ETM_Q29_642400"/>
      <w:bookmarkEnd w:id="19418"/>
      <w:r>
        <w:rPr>
          <w:rFonts w:hint="cs"/>
          <w:rtl/>
        </w:rPr>
        <w:t xml:space="preserve">השרים </w:t>
      </w:r>
      <w:bookmarkStart w:id="19419" w:name="_ETM_Q29_642730"/>
      <w:bookmarkEnd w:id="19419"/>
      <w:r>
        <w:rPr>
          <w:rFonts w:hint="cs"/>
          <w:rtl/>
        </w:rPr>
        <w:t xml:space="preserve">לפחות </w:t>
      </w:r>
      <w:bookmarkStart w:id="19420" w:name="_ETM_Q29_643810"/>
      <w:bookmarkEnd w:id="19420"/>
      <w:r>
        <w:rPr>
          <w:rFonts w:hint="cs"/>
          <w:rtl/>
        </w:rPr>
        <w:t xml:space="preserve">והמנכ"ל, </w:t>
      </w:r>
      <w:bookmarkStart w:id="19421" w:name="_ETM_Q29_644560"/>
      <w:bookmarkStart w:id="19422" w:name="_ETM_Q29_644680"/>
      <w:bookmarkEnd w:id="19421"/>
      <w:bookmarkEnd w:id="19422"/>
      <w:r>
        <w:rPr>
          <w:rFonts w:hint="cs"/>
          <w:rtl/>
        </w:rPr>
        <w:t xml:space="preserve">יתעשתו </w:t>
      </w:r>
      <w:bookmarkStart w:id="19423" w:name="_ETM_Q29_645810"/>
      <w:bookmarkEnd w:id="19423"/>
      <w:r>
        <w:rPr>
          <w:rFonts w:hint="cs"/>
          <w:rtl/>
        </w:rPr>
        <w:t xml:space="preserve">ויביאו </w:t>
      </w:r>
      <w:bookmarkStart w:id="19424" w:name="_ETM_Q29_646319"/>
      <w:bookmarkEnd w:id="19424"/>
      <w:r>
        <w:rPr>
          <w:rFonts w:hint="cs"/>
          <w:rtl/>
        </w:rPr>
        <w:t xml:space="preserve">פתרונות </w:t>
      </w:r>
      <w:bookmarkStart w:id="19425" w:name="_ETM_Q29_646799"/>
      <w:bookmarkEnd w:id="19425"/>
      <w:r>
        <w:rPr>
          <w:rFonts w:hint="cs"/>
          <w:rtl/>
        </w:rPr>
        <w:t xml:space="preserve">לאזרחים </w:t>
      </w:r>
      <w:bookmarkStart w:id="19426" w:name="_ETM_Q29_647310"/>
      <w:bookmarkEnd w:id="19426"/>
      <w:r>
        <w:rPr>
          <w:rFonts w:hint="cs"/>
          <w:rtl/>
        </w:rPr>
        <w:t>ולתושבים.</w:t>
      </w:r>
    </w:p>
    <w:p w:rsidR="00BB59CD" w:rsidRDefault="00BB59CD" w:rsidP="00BB59CD">
      <w:pPr>
        <w:rPr>
          <w:rtl/>
        </w:rPr>
      </w:pPr>
    </w:p>
    <w:p w:rsidR="00BB59CD" w:rsidRDefault="00BB59CD" w:rsidP="00A021B9">
      <w:pPr>
        <w:rPr>
          <w:rtl/>
        </w:rPr>
      </w:pPr>
      <w:bookmarkStart w:id="19427" w:name="_ETM_Q29_646314"/>
      <w:bookmarkStart w:id="19428" w:name="_ETM_Q29_649010"/>
      <w:bookmarkEnd w:id="19427"/>
      <w:bookmarkEnd w:id="19428"/>
      <w:r>
        <w:rPr>
          <w:rFonts w:hint="cs"/>
          <w:rtl/>
        </w:rPr>
        <w:t xml:space="preserve">העלאת </w:t>
      </w:r>
      <w:bookmarkStart w:id="19429" w:name="_ETM_Q29_649400"/>
      <w:bookmarkEnd w:id="19429"/>
      <w:r>
        <w:rPr>
          <w:rFonts w:hint="cs"/>
          <w:rtl/>
        </w:rPr>
        <w:t xml:space="preserve">רמת </w:t>
      </w:r>
      <w:bookmarkStart w:id="19430" w:name="_ETM_Q29_649670"/>
      <w:bookmarkEnd w:id="19430"/>
      <w:r>
        <w:rPr>
          <w:rFonts w:hint="cs"/>
          <w:rtl/>
        </w:rPr>
        <w:t xml:space="preserve">החינוך </w:t>
      </w:r>
      <w:bookmarkStart w:id="19431" w:name="_ETM_Q29_650000"/>
      <w:bookmarkEnd w:id="19431"/>
      <w:r>
        <w:rPr>
          <w:rFonts w:hint="cs"/>
          <w:rtl/>
        </w:rPr>
        <w:t xml:space="preserve">היא אמצעי </w:t>
      </w:r>
      <w:bookmarkStart w:id="19432" w:name="_ETM_Q29_650450"/>
      <w:bookmarkEnd w:id="19432"/>
      <w:r>
        <w:rPr>
          <w:rFonts w:hint="cs"/>
          <w:rtl/>
        </w:rPr>
        <w:t xml:space="preserve">למתן </w:t>
      </w:r>
      <w:bookmarkStart w:id="19433" w:name="_ETM_Q29_650840"/>
      <w:bookmarkEnd w:id="19433"/>
      <w:r>
        <w:rPr>
          <w:rFonts w:hint="cs"/>
          <w:rtl/>
        </w:rPr>
        <w:t xml:space="preserve">אופק </w:t>
      </w:r>
      <w:bookmarkStart w:id="19434" w:name="_ETM_Q29_651110"/>
      <w:bookmarkEnd w:id="19434"/>
      <w:r>
        <w:rPr>
          <w:rFonts w:hint="cs"/>
          <w:rtl/>
        </w:rPr>
        <w:t xml:space="preserve">אקדמי </w:t>
      </w:r>
      <w:bookmarkStart w:id="19435" w:name="_ETM_Q29_651590"/>
      <w:bookmarkEnd w:id="19435"/>
      <w:r>
        <w:rPr>
          <w:rFonts w:hint="cs"/>
          <w:rtl/>
        </w:rPr>
        <w:t xml:space="preserve">לתלמידים </w:t>
      </w:r>
      <w:bookmarkStart w:id="19436" w:name="_ETM_Q29_652040"/>
      <w:bookmarkEnd w:id="19436"/>
      <w:r>
        <w:rPr>
          <w:rFonts w:hint="cs"/>
          <w:rtl/>
        </w:rPr>
        <w:t xml:space="preserve">שהם </w:t>
      </w:r>
      <w:bookmarkStart w:id="19437" w:name="_ETM_Q29_652370"/>
      <w:bookmarkEnd w:id="19437"/>
      <w:r>
        <w:rPr>
          <w:rFonts w:hint="cs"/>
          <w:rtl/>
        </w:rPr>
        <w:t xml:space="preserve">דור </w:t>
      </w:r>
      <w:bookmarkStart w:id="19438" w:name="_ETM_Q29_652670"/>
      <w:bookmarkEnd w:id="19438"/>
      <w:r>
        <w:rPr>
          <w:rFonts w:hint="cs"/>
          <w:rtl/>
        </w:rPr>
        <w:t xml:space="preserve">העתיד. </w:t>
      </w:r>
      <w:bookmarkStart w:id="19439" w:name="_ETM_Q29_653820"/>
      <w:bookmarkEnd w:id="19439"/>
      <w:r>
        <w:rPr>
          <w:rFonts w:hint="cs"/>
          <w:rtl/>
        </w:rPr>
        <w:t xml:space="preserve">זה </w:t>
      </w:r>
      <w:bookmarkStart w:id="19440" w:name="_ETM_Q29_654000"/>
      <w:bookmarkEnd w:id="19440"/>
      <w:r>
        <w:rPr>
          <w:rFonts w:hint="cs"/>
          <w:rtl/>
        </w:rPr>
        <w:t xml:space="preserve">יעזור </w:t>
      </w:r>
      <w:bookmarkStart w:id="19441" w:name="_ETM_Q29_654360"/>
      <w:bookmarkEnd w:id="19441"/>
      <w:r>
        <w:rPr>
          <w:rFonts w:hint="cs"/>
          <w:rtl/>
        </w:rPr>
        <w:t xml:space="preserve">למיגור </w:t>
      </w:r>
      <w:bookmarkStart w:id="19442" w:name="_ETM_Q29_654690"/>
      <w:bookmarkEnd w:id="19442"/>
      <w:r>
        <w:rPr>
          <w:rFonts w:hint="cs"/>
          <w:rtl/>
        </w:rPr>
        <w:t xml:space="preserve">תופעת </w:t>
      </w:r>
      <w:bookmarkStart w:id="19443" w:name="_ETM_Q29_655080"/>
      <w:bookmarkEnd w:id="19443"/>
      <w:r>
        <w:rPr>
          <w:rFonts w:hint="cs"/>
          <w:rtl/>
        </w:rPr>
        <w:t>ח</w:t>
      </w:r>
      <w:r w:rsidR="00A021B9">
        <w:rPr>
          <w:rFonts w:hint="cs"/>
          <w:rtl/>
        </w:rPr>
        <w:t>ו</w:t>
      </w:r>
      <w:r>
        <w:rPr>
          <w:rFonts w:hint="cs"/>
          <w:rtl/>
        </w:rPr>
        <w:t xml:space="preserve">סר </w:t>
      </w:r>
      <w:bookmarkStart w:id="19444" w:name="_ETM_Q29_655500"/>
      <w:bookmarkEnd w:id="19444"/>
      <w:r w:rsidR="00A021B9">
        <w:rPr>
          <w:rFonts w:hint="cs"/>
          <w:rtl/>
        </w:rPr>
        <w:t>ה</w:t>
      </w:r>
      <w:r>
        <w:rPr>
          <w:rFonts w:hint="cs"/>
          <w:rtl/>
        </w:rPr>
        <w:t xml:space="preserve">מעש </w:t>
      </w:r>
      <w:bookmarkStart w:id="19445" w:name="_ETM_Q29_655920"/>
      <w:bookmarkEnd w:id="19445"/>
      <w:r>
        <w:rPr>
          <w:rFonts w:hint="cs"/>
          <w:rtl/>
        </w:rPr>
        <w:t xml:space="preserve">בקרב </w:t>
      </w:r>
      <w:bookmarkStart w:id="19446" w:name="_ETM_Q29_656280"/>
      <w:bookmarkEnd w:id="19446"/>
      <w:r>
        <w:rPr>
          <w:rFonts w:hint="cs"/>
          <w:rtl/>
        </w:rPr>
        <w:t xml:space="preserve">הצעירים. </w:t>
      </w:r>
      <w:bookmarkStart w:id="19447" w:name="_ETM_Q29_657470"/>
      <w:bookmarkEnd w:id="19447"/>
      <w:r>
        <w:rPr>
          <w:rFonts w:hint="cs"/>
          <w:rtl/>
        </w:rPr>
        <w:t xml:space="preserve">הנתונים </w:t>
      </w:r>
      <w:bookmarkStart w:id="19448" w:name="_ETM_Q29_657950"/>
      <w:bookmarkStart w:id="19449" w:name="_ETM_Q29_658010"/>
      <w:bookmarkEnd w:id="19448"/>
      <w:bookmarkEnd w:id="19449"/>
      <w:r>
        <w:rPr>
          <w:rFonts w:hint="cs"/>
          <w:rtl/>
        </w:rPr>
        <w:t xml:space="preserve">ברורים, </w:t>
      </w:r>
      <w:bookmarkStart w:id="19450" w:name="_ETM_Q29_658580"/>
      <w:bookmarkEnd w:id="19450"/>
      <w:r>
        <w:rPr>
          <w:rFonts w:hint="cs"/>
          <w:rtl/>
        </w:rPr>
        <w:t xml:space="preserve">רבותיי. אחד </w:t>
      </w:r>
      <w:bookmarkStart w:id="19451" w:name="_ETM_Q29_659209"/>
      <w:bookmarkStart w:id="19452" w:name="_ETM_Q29_659540"/>
      <w:bookmarkEnd w:id="19451"/>
      <w:bookmarkEnd w:id="19452"/>
      <w:r>
        <w:rPr>
          <w:rFonts w:hint="cs"/>
          <w:rtl/>
        </w:rPr>
        <w:t xml:space="preserve">מכל </w:t>
      </w:r>
      <w:bookmarkStart w:id="19453" w:name="_ETM_Q29_659810"/>
      <w:bookmarkEnd w:id="19453"/>
      <w:r>
        <w:rPr>
          <w:rFonts w:hint="cs"/>
          <w:rtl/>
        </w:rPr>
        <w:t xml:space="preserve">שלושה </w:t>
      </w:r>
      <w:bookmarkStart w:id="19454" w:name="_ETM_Q29_660200"/>
      <w:bookmarkEnd w:id="19454"/>
      <w:r>
        <w:rPr>
          <w:rFonts w:hint="cs"/>
          <w:rtl/>
        </w:rPr>
        <w:t xml:space="preserve">צעירים </w:t>
      </w:r>
      <w:bookmarkStart w:id="19455" w:name="_ETM_Q29_660530"/>
      <w:bookmarkEnd w:id="19455"/>
      <w:r>
        <w:rPr>
          <w:rFonts w:hint="cs"/>
          <w:rtl/>
        </w:rPr>
        <w:t xml:space="preserve">בדואים </w:t>
      </w:r>
      <w:bookmarkStart w:id="19456" w:name="_ETM_Q29_660860"/>
      <w:bookmarkEnd w:id="19456"/>
      <w:r>
        <w:rPr>
          <w:rFonts w:hint="cs"/>
          <w:rtl/>
        </w:rPr>
        <w:t xml:space="preserve">בנגב </w:t>
      </w:r>
      <w:bookmarkStart w:id="19457" w:name="_ETM_Q29_661720"/>
      <w:bookmarkEnd w:id="19457"/>
      <w:r>
        <w:rPr>
          <w:rFonts w:hint="cs"/>
          <w:rtl/>
        </w:rPr>
        <w:t xml:space="preserve">מוגדר </w:t>
      </w:r>
      <w:bookmarkStart w:id="19458" w:name="_ETM_Q29_662319"/>
      <w:bookmarkEnd w:id="19458"/>
      <w:r>
        <w:rPr>
          <w:rFonts w:hint="cs"/>
          <w:rtl/>
        </w:rPr>
        <w:t xml:space="preserve">כחסר </w:t>
      </w:r>
      <w:bookmarkStart w:id="19459" w:name="_ETM_Q29_663249"/>
      <w:bookmarkEnd w:id="19459"/>
      <w:r>
        <w:rPr>
          <w:rFonts w:hint="cs"/>
          <w:rtl/>
        </w:rPr>
        <w:t xml:space="preserve">מעש. </w:t>
      </w:r>
      <w:bookmarkStart w:id="19460" w:name="_ETM_Q29_664650"/>
      <w:bookmarkEnd w:id="19460"/>
      <w:r>
        <w:rPr>
          <w:rFonts w:hint="cs"/>
          <w:rtl/>
        </w:rPr>
        <w:t xml:space="preserve">כולנו </w:t>
      </w:r>
      <w:bookmarkStart w:id="19461" w:name="_ETM_Q29_665099"/>
      <w:bookmarkEnd w:id="19461"/>
      <w:r>
        <w:rPr>
          <w:rFonts w:hint="cs"/>
          <w:rtl/>
        </w:rPr>
        <w:t xml:space="preserve">יודעים </w:t>
      </w:r>
      <w:bookmarkStart w:id="19462" w:name="_ETM_Q29_665430"/>
      <w:bookmarkEnd w:id="19462"/>
      <w:r>
        <w:rPr>
          <w:rFonts w:hint="cs"/>
          <w:rtl/>
        </w:rPr>
        <w:t>של</w:t>
      </w:r>
      <w:bookmarkStart w:id="19463" w:name="_ETM_Q29_665579"/>
      <w:bookmarkEnd w:id="19463"/>
      <w:r>
        <w:rPr>
          <w:rFonts w:hint="cs"/>
          <w:rtl/>
        </w:rPr>
        <w:t xml:space="preserve">צעירים </w:t>
      </w:r>
      <w:bookmarkStart w:id="19464" w:name="_ETM_Q29_666029"/>
      <w:bookmarkEnd w:id="19464"/>
      <w:r>
        <w:rPr>
          <w:rFonts w:hint="cs"/>
          <w:rtl/>
        </w:rPr>
        <w:t xml:space="preserve">במצב </w:t>
      </w:r>
      <w:bookmarkStart w:id="19465" w:name="_ETM_Q29_666540"/>
      <w:bookmarkEnd w:id="19465"/>
      <w:r>
        <w:rPr>
          <w:rFonts w:hint="cs"/>
          <w:rtl/>
        </w:rPr>
        <w:t xml:space="preserve">כזה </w:t>
      </w:r>
      <w:bookmarkStart w:id="19466" w:name="_ETM_Q29_667230"/>
      <w:bookmarkEnd w:id="19466"/>
      <w:r>
        <w:rPr>
          <w:rFonts w:hint="cs"/>
          <w:rtl/>
        </w:rPr>
        <w:t xml:space="preserve">אין </w:t>
      </w:r>
      <w:bookmarkStart w:id="19467" w:name="_ETM_Q29_667409"/>
      <w:bookmarkEnd w:id="19467"/>
      <w:r>
        <w:rPr>
          <w:rFonts w:hint="cs"/>
          <w:rtl/>
        </w:rPr>
        <w:t xml:space="preserve">הרבה </w:t>
      </w:r>
      <w:bookmarkStart w:id="19468" w:name="_ETM_Q29_667709"/>
      <w:bookmarkEnd w:id="19468"/>
      <w:r>
        <w:rPr>
          <w:rFonts w:hint="cs"/>
          <w:rtl/>
        </w:rPr>
        <w:t xml:space="preserve">ברירות, </w:t>
      </w:r>
      <w:bookmarkStart w:id="19469" w:name="_ETM_Q29_668579"/>
      <w:bookmarkEnd w:id="19469"/>
      <w:r>
        <w:rPr>
          <w:rFonts w:hint="cs"/>
          <w:rtl/>
        </w:rPr>
        <w:t xml:space="preserve">ולכן </w:t>
      </w:r>
      <w:bookmarkStart w:id="19470" w:name="_ETM_Q29_669060"/>
      <w:bookmarkEnd w:id="19470"/>
      <w:r>
        <w:rPr>
          <w:rFonts w:hint="cs"/>
          <w:rtl/>
        </w:rPr>
        <w:t xml:space="preserve">מחובתנו </w:t>
      </w:r>
      <w:bookmarkStart w:id="19471" w:name="_ETM_Q29_669959"/>
      <w:bookmarkEnd w:id="19471"/>
      <w:r>
        <w:rPr>
          <w:rFonts w:hint="cs"/>
          <w:rtl/>
        </w:rPr>
        <w:t xml:space="preserve">לפעול </w:t>
      </w:r>
      <w:bookmarkStart w:id="19472" w:name="_ETM_Q29_671090"/>
      <w:bookmarkEnd w:id="19472"/>
      <w:r>
        <w:rPr>
          <w:rFonts w:hint="cs"/>
          <w:rtl/>
        </w:rPr>
        <w:t xml:space="preserve">– תושבים, </w:t>
      </w:r>
      <w:bookmarkStart w:id="19473" w:name="_ETM_Q29_671629"/>
      <w:bookmarkEnd w:id="19473"/>
      <w:r>
        <w:rPr>
          <w:rFonts w:hint="cs"/>
          <w:rtl/>
        </w:rPr>
        <w:t xml:space="preserve">אזרחים, </w:t>
      </w:r>
      <w:bookmarkStart w:id="19474" w:name="_ETM_Q29_672049"/>
      <w:bookmarkEnd w:id="19474"/>
      <w:r>
        <w:rPr>
          <w:rFonts w:hint="cs"/>
          <w:rtl/>
        </w:rPr>
        <w:t xml:space="preserve">ממשלה </w:t>
      </w:r>
      <w:bookmarkStart w:id="19475" w:name="_ETM_Q29_673240"/>
      <w:bookmarkEnd w:id="19475"/>
      <w:r>
        <w:rPr>
          <w:rFonts w:hint="cs"/>
          <w:rtl/>
        </w:rPr>
        <w:t xml:space="preserve">וגם </w:t>
      </w:r>
      <w:bookmarkStart w:id="19476" w:name="_ETM_Q29_674140"/>
      <w:bookmarkEnd w:id="19476"/>
      <w:r>
        <w:rPr>
          <w:rFonts w:hint="cs"/>
          <w:rtl/>
        </w:rPr>
        <w:t xml:space="preserve">פקידות. </w:t>
      </w:r>
      <w:bookmarkStart w:id="19477" w:name="_ETM_Q29_675130"/>
      <w:bookmarkEnd w:id="19477"/>
      <w:r>
        <w:rPr>
          <w:rFonts w:hint="cs"/>
          <w:rtl/>
        </w:rPr>
        <w:t xml:space="preserve">כולנו </w:t>
      </w:r>
      <w:bookmarkStart w:id="19478" w:name="_ETM_Q29_675490"/>
      <w:bookmarkEnd w:id="19478"/>
      <w:r>
        <w:rPr>
          <w:rFonts w:hint="cs"/>
          <w:rtl/>
        </w:rPr>
        <w:t xml:space="preserve">יודעים </w:t>
      </w:r>
      <w:bookmarkStart w:id="19479" w:name="_ETM_Q29_675850"/>
      <w:bookmarkEnd w:id="19479"/>
      <w:r>
        <w:rPr>
          <w:rFonts w:hint="cs"/>
          <w:rtl/>
        </w:rPr>
        <w:t>ש</w:t>
      </w:r>
      <w:bookmarkStart w:id="19480" w:name="_ETM_Q29_676420"/>
      <w:bookmarkEnd w:id="19480"/>
      <w:r>
        <w:rPr>
          <w:rFonts w:hint="cs"/>
          <w:rtl/>
        </w:rPr>
        <w:t xml:space="preserve">לצעירים במצב </w:t>
      </w:r>
      <w:bookmarkStart w:id="19481" w:name="_ETM_Q29_676900"/>
      <w:bookmarkEnd w:id="19481"/>
      <w:r>
        <w:rPr>
          <w:rFonts w:hint="cs"/>
          <w:rtl/>
        </w:rPr>
        <w:t xml:space="preserve">כזה </w:t>
      </w:r>
      <w:bookmarkStart w:id="19482" w:name="_ETM_Q29_677319"/>
      <w:bookmarkEnd w:id="19482"/>
      <w:r>
        <w:rPr>
          <w:rFonts w:hint="cs"/>
          <w:rtl/>
        </w:rPr>
        <w:t xml:space="preserve">אין </w:t>
      </w:r>
      <w:bookmarkStart w:id="19483" w:name="_ETM_Q29_677650"/>
      <w:bookmarkEnd w:id="19483"/>
      <w:r>
        <w:rPr>
          <w:rFonts w:hint="cs"/>
          <w:rtl/>
        </w:rPr>
        <w:t xml:space="preserve">הרבה </w:t>
      </w:r>
      <w:bookmarkStart w:id="19484" w:name="_ETM_Q29_677920"/>
      <w:bookmarkEnd w:id="19484"/>
      <w:r>
        <w:rPr>
          <w:rFonts w:hint="cs"/>
          <w:rtl/>
        </w:rPr>
        <w:t xml:space="preserve">ברירות </w:t>
      </w:r>
      <w:bookmarkStart w:id="19485" w:name="_ETM_Q29_678770"/>
      <w:bookmarkEnd w:id="19485"/>
      <w:r>
        <w:rPr>
          <w:rFonts w:hint="cs"/>
          <w:rtl/>
        </w:rPr>
        <w:t xml:space="preserve">ולכן </w:t>
      </w:r>
      <w:bookmarkStart w:id="19486" w:name="_ETM_Q29_679670"/>
      <w:bookmarkEnd w:id="19486"/>
      <w:r>
        <w:rPr>
          <w:rFonts w:hint="cs"/>
          <w:rtl/>
        </w:rPr>
        <w:t xml:space="preserve">הממשלה </w:t>
      </w:r>
      <w:bookmarkStart w:id="19487" w:name="_ETM_Q29_680210"/>
      <w:bookmarkEnd w:id="19487"/>
      <w:r>
        <w:rPr>
          <w:rFonts w:hint="cs"/>
          <w:rtl/>
        </w:rPr>
        <w:t xml:space="preserve">מחויבת </w:t>
      </w:r>
      <w:bookmarkStart w:id="19488" w:name="_ETM_Q29_680630"/>
      <w:bookmarkEnd w:id="19488"/>
      <w:r>
        <w:rPr>
          <w:rFonts w:hint="cs"/>
          <w:rtl/>
        </w:rPr>
        <w:t xml:space="preserve">לפעול. </w:t>
      </w:r>
      <w:bookmarkStart w:id="19489" w:name="_ETM_Q29_681620"/>
      <w:bookmarkEnd w:id="19489"/>
    </w:p>
    <w:p w:rsidR="00BB59CD" w:rsidRDefault="00BB59CD" w:rsidP="00BB59CD">
      <w:pPr>
        <w:rPr>
          <w:rtl/>
        </w:rPr>
      </w:pPr>
    </w:p>
    <w:p w:rsidR="00BB59CD" w:rsidRDefault="00BB59CD" w:rsidP="00BB59CD">
      <w:pPr>
        <w:rPr>
          <w:rtl/>
        </w:rPr>
      </w:pPr>
      <w:bookmarkStart w:id="19490" w:name="_ETM_Q29_679834"/>
      <w:bookmarkEnd w:id="19490"/>
      <w:r>
        <w:rPr>
          <w:rFonts w:hint="cs"/>
          <w:rtl/>
        </w:rPr>
        <w:t xml:space="preserve">אלו </w:t>
      </w:r>
      <w:bookmarkStart w:id="19491" w:name="_ETM_Q29_681919"/>
      <w:bookmarkEnd w:id="19491"/>
      <w:r>
        <w:rPr>
          <w:rFonts w:hint="cs"/>
          <w:rtl/>
        </w:rPr>
        <w:t xml:space="preserve">לא </w:t>
      </w:r>
      <w:bookmarkStart w:id="19492" w:name="_ETM_Q29_682069"/>
      <w:bookmarkEnd w:id="19492"/>
      <w:r>
        <w:rPr>
          <w:rFonts w:hint="cs"/>
          <w:rtl/>
        </w:rPr>
        <w:t xml:space="preserve">התחומים </w:t>
      </w:r>
      <w:bookmarkStart w:id="19493" w:name="_ETM_Q29_682699"/>
      <w:bookmarkEnd w:id="19493"/>
      <w:r>
        <w:rPr>
          <w:rFonts w:hint="cs"/>
          <w:rtl/>
        </w:rPr>
        <w:t xml:space="preserve">היחידים </w:t>
      </w:r>
      <w:bookmarkStart w:id="19494" w:name="_ETM_Q29_683120"/>
      <w:bookmarkEnd w:id="19494"/>
      <w:r>
        <w:rPr>
          <w:rFonts w:hint="cs"/>
          <w:rtl/>
        </w:rPr>
        <w:t xml:space="preserve">שהממשלה </w:t>
      </w:r>
      <w:bookmarkStart w:id="19495" w:name="_ETM_Q29_683749"/>
      <w:bookmarkEnd w:id="19495"/>
      <w:r>
        <w:rPr>
          <w:rFonts w:hint="cs"/>
          <w:rtl/>
        </w:rPr>
        <w:t xml:space="preserve">הזו </w:t>
      </w:r>
      <w:bookmarkStart w:id="19496" w:name="_ETM_Q29_683930"/>
      <w:bookmarkEnd w:id="19496"/>
      <w:r>
        <w:rPr>
          <w:rFonts w:hint="cs"/>
          <w:rtl/>
        </w:rPr>
        <w:t xml:space="preserve">מפקירה. </w:t>
      </w:r>
      <w:bookmarkStart w:id="19497" w:name="_ETM_Q29_685070"/>
      <w:bookmarkEnd w:id="19497"/>
      <w:r>
        <w:rPr>
          <w:rFonts w:hint="cs"/>
          <w:rtl/>
        </w:rPr>
        <w:t xml:space="preserve">יוקר </w:t>
      </w:r>
      <w:bookmarkStart w:id="19498" w:name="_ETM_Q29_685430"/>
      <w:bookmarkEnd w:id="19498"/>
      <w:r>
        <w:rPr>
          <w:rFonts w:hint="cs"/>
          <w:rtl/>
        </w:rPr>
        <w:t xml:space="preserve">המחיה </w:t>
      </w:r>
      <w:bookmarkStart w:id="19499" w:name="_ETM_Q29_685880"/>
      <w:bookmarkEnd w:id="19499"/>
      <w:r>
        <w:rPr>
          <w:rFonts w:hint="cs"/>
          <w:rtl/>
        </w:rPr>
        <w:t>הבלתי</w:t>
      </w:r>
      <w:bookmarkStart w:id="19500" w:name="_ETM_Q29_686240"/>
      <w:bookmarkEnd w:id="19500"/>
      <w:r>
        <w:rPr>
          <w:rFonts w:hint="cs"/>
          <w:rtl/>
        </w:rPr>
        <w:t xml:space="preserve">-נסבל </w:t>
      </w:r>
      <w:bookmarkStart w:id="19501" w:name="_ETM_Q29_687240"/>
      <w:bookmarkEnd w:id="19501"/>
      <w:r>
        <w:rPr>
          <w:rFonts w:hint="cs"/>
          <w:rtl/>
        </w:rPr>
        <w:t xml:space="preserve">הוא </w:t>
      </w:r>
      <w:bookmarkStart w:id="19502" w:name="_ETM_Q29_687330"/>
      <w:bookmarkEnd w:id="19502"/>
      <w:r>
        <w:rPr>
          <w:rFonts w:hint="cs"/>
          <w:rtl/>
        </w:rPr>
        <w:t xml:space="preserve">נושא </w:t>
      </w:r>
      <w:bookmarkStart w:id="19503" w:name="_ETM_Q29_687600"/>
      <w:bookmarkEnd w:id="19503"/>
      <w:r>
        <w:rPr>
          <w:rFonts w:hint="cs"/>
          <w:rtl/>
        </w:rPr>
        <w:t xml:space="preserve">שיש </w:t>
      </w:r>
      <w:bookmarkStart w:id="19504" w:name="_ETM_Q29_687900"/>
      <w:bookmarkEnd w:id="19504"/>
      <w:r>
        <w:rPr>
          <w:rFonts w:hint="cs"/>
          <w:rtl/>
        </w:rPr>
        <w:t xml:space="preserve">צורך </w:t>
      </w:r>
      <w:bookmarkStart w:id="19505" w:name="_ETM_Q29_688260"/>
      <w:bookmarkEnd w:id="19505"/>
      <w:r>
        <w:rPr>
          <w:rFonts w:hint="cs"/>
          <w:rtl/>
        </w:rPr>
        <w:t xml:space="preserve">מיידי </w:t>
      </w:r>
      <w:bookmarkStart w:id="19506" w:name="_ETM_Q29_688980"/>
      <w:bookmarkEnd w:id="19506"/>
      <w:r>
        <w:rPr>
          <w:rFonts w:hint="cs"/>
          <w:rtl/>
        </w:rPr>
        <w:t xml:space="preserve">לטפל </w:t>
      </w:r>
      <w:bookmarkStart w:id="19507" w:name="_ETM_Q29_689490"/>
      <w:bookmarkEnd w:id="19507"/>
      <w:r>
        <w:rPr>
          <w:rFonts w:hint="cs"/>
          <w:rtl/>
        </w:rPr>
        <w:t xml:space="preserve">בו. </w:t>
      </w:r>
      <w:bookmarkStart w:id="19508" w:name="_ETM_Q29_691230"/>
      <w:bookmarkEnd w:id="19508"/>
      <w:r>
        <w:rPr>
          <w:rFonts w:hint="cs"/>
          <w:rtl/>
        </w:rPr>
        <w:t xml:space="preserve">האזרחים </w:t>
      </w:r>
      <w:bookmarkStart w:id="19509" w:name="_ETM_Q29_691799"/>
      <w:bookmarkEnd w:id="19509"/>
      <w:r>
        <w:rPr>
          <w:rFonts w:hint="cs"/>
          <w:rtl/>
        </w:rPr>
        <w:t>מת</w:t>
      </w:r>
      <w:r>
        <w:rPr>
          <w:rFonts w:hint="cs"/>
          <w:i/>
          <w:iCs/>
          <w:rtl/>
        </w:rPr>
        <w:t>ק</w:t>
      </w:r>
      <w:r>
        <w:rPr>
          <w:rFonts w:hint="cs"/>
          <w:rtl/>
        </w:rPr>
        <w:t xml:space="preserve">שים </w:t>
      </w:r>
      <w:bookmarkStart w:id="19510" w:name="_ETM_Q29_692640"/>
      <w:bookmarkEnd w:id="19510"/>
      <w:r>
        <w:rPr>
          <w:rFonts w:hint="cs"/>
          <w:rtl/>
        </w:rPr>
        <w:t xml:space="preserve">בשגרה </w:t>
      </w:r>
      <w:bookmarkStart w:id="19511" w:name="_ETM_Q29_693179"/>
      <w:bookmarkEnd w:id="19511"/>
      <w:r>
        <w:rPr>
          <w:rFonts w:hint="cs"/>
          <w:rtl/>
        </w:rPr>
        <w:t xml:space="preserve">להתקיים, </w:t>
      </w:r>
      <w:bookmarkStart w:id="19512" w:name="_ETM_Q29_694340"/>
      <w:bookmarkEnd w:id="19512"/>
      <w:r>
        <w:rPr>
          <w:rFonts w:hint="cs"/>
          <w:rtl/>
        </w:rPr>
        <w:t xml:space="preserve">זאת </w:t>
      </w:r>
      <w:bookmarkStart w:id="19513" w:name="_ETM_Q29_694579"/>
      <w:bookmarkEnd w:id="19513"/>
      <w:r>
        <w:rPr>
          <w:rFonts w:hint="cs"/>
          <w:rtl/>
        </w:rPr>
        <w:t xml:space="preserve">האמת </w:t>
      </w:r>
      <w:bookmarkStart w:id="19514" w:name="_ETM_Q29_695569"/>
      <w:bookmarkEnd w:id="19514"/>
      <w:r>
        <w:rPr>
          <w:rFonts w:hint="cs"/>
          <w:rtl/>
        </w:rPr>
        <w:t xml:space="preserve">וזאת </w:t>
      </w:r>
      <w:bookmarkStart w:id="19515" w:name="_ETM_Q29_695870"/>
      <w:bookmarkEnd w:id="19515"/>
      <w:r>
        <w:rPr>
          <w:rFonts w:hint="cs"/>
          <w:rtl/>
        </w:rPr>
        <w:t xml:space="preserve">המציאות. </w:t>
      </w:r>
      <w:bookmarkStart w:id="19516" w:name="_ETM_Q29_697069"/>
      <w:bookmarkEnd w:id="19516"/>
      <w:r>
        <w:rPr>
          <w:rFonts w:hint="cs"/>
          <w:rtl/>
        </w:rPr>
        <w:t xml:space="preserve">הדבר </w:t>
      </w:r>
      <w:bookmarkStart w:id="19517" w:name="_ETM_Q29_697609"/>
      <w:bookmarkEnd w:id="19517"/>
      <w:r>
        <w:rPr>
          <w:rFonts w:hint="cs"/>
          <w:rtl/>
        </w:rPr>
        <w:t xml:space="preserve">מחייב </w:t>
      </w:r>
      <w:bookmarkStart w:id="19518" w:name="_ETM_Q29_698059"/>
      <w:bookmarkEnd w:id="19518"/>
      <w:r>
        <w:rPr>
          <w:rFonts w:hint="cs"/>
          <w:rtl/>
        </w:rPr>
        <w:t xml:space="preserve">טיפול </w:t>
      </w:r>
      <w:bookmarkStart w:id="19519" w:name="_ETM_Q29_698779"/>
      <w:bookmarkEnd w:id="19519"/>
      <w:r>
        <w:rPr>
          <w:rFonts w:hint="cs"/>
          <w:rtl/>
        </w:rPr>
        <w:t xml:space="preserve">שורש </w:t>
      </w:r>
      <w:bookmarkStart w:id="19520" w:name="_ETM_Q29_699260"/>
      <w:bookmarkEnd w:id="19520"/>
      <w:r>
        <w:rPr>
          <w:rFonts w:hint="cs"/>
          <w:rtl/>
        </w:rPr>
        <w:t xml:space="preserve">בעניין </w:t>
      </w:r>
      <w:bookmarkStart w:id="19521" w:name="_ETM_Q29_700279"/>
      <w:bookmarkEnd w:id="19521"/>
      <w:r>
        <w:rPr>
          <w:rFonts w:hint="cs"/>
          <w:rtl/>
        </w:rPr>
        <w:t xml:space="preserve">ולא </w:t>
      </w:r>
      <w:bookmarkStart w:id="19522" w:name="_ETM_Q29_700609"/>
      <w:bookmarkStart w:id="19523" w:name="_ETM_Q29_700999"/>
      <w:bookmarkStart w:id="19524" w:name="_ETM_Q29_701299"/>
      <w:bookmarkEnd w:id="19522"/>
      <w:bookmarkEnd w:id="19523"/>
      <w:bookmarkEnd w:id="19524"/>
      <w:r>
        <w:rPr>
          <w:rFonts w:hint="cs"/>
          <w:rtl/>
        </w:rPr>
        <w:t xml:space="preserve">כינוס </w:t>
      </w:r>
      <w:bookmarkStart w:id="19525" w:name="_ETM_Q29_701749"/>
      <w:bookmarkEnd w:id="19525"/>
      <w:r>
        <w:rPr>
          <w:rFonts w:hint="cs"/>
          <w:rtl/>
        </w:rPr>
        <w:t xml:space="preserve">ישיבות </w:t>
      </w:r>
      <w:bookmarkStart w:id="19526" w:name="_ETM_Q29_702139"/>
      <w:bookmarkEnd w:id="19526"/>
      <w:r>
        <w:rPr>
          <w:rFonts w:hint="cs"/>
          <w:rtl/>
        </w:rPr>
        <w:t xml:space="preserve">סרק </w:t>
      </w:r>
      <w:bookmarkStart w:id="19527" w:name="_ETM_Q29_703200"/>
      <w:bookmarkEnd w:id="19527"/>
      <w:r>
        <w:rPr>
          <w:rFonts w:hint="cs"/>
          <w:rtl/>
        </w:rPr>
        <w:t xml:space="preserve">ריקות </w:t>
      </w:r>
      <w:bookmarkStart w:id="19528" w:name="_ETM_Q29_703559"/>
      <w:bookmarkEnd w:id="19528"/>
      <w:r>
        <w:rPr>
          <w:rFonts w:hint="cs"/>
          <w:rtl/>
        </w:rPr>
        <w:t xml:space="preserve">מתוכן </w:t>
      </w:r>
      <w:bookmarkStart w:id="19529" w:name="_ETM_Q29_704280"/>
      <w:bookmarkEnd w:id="19529"/>
      <w:r>
        <w:rPr>
          <w:rFonts w:hint="cs"/>
          <w:rtl/>
        </w:rPr>
        <w:t xml:space="preserve">של </w:t>
      </w:r>
      <w:bookmarkStart w:id="19530" w:name="_ETM_Q29_704489"/>
      <w:bookmarkEnd w:id="19530"/>
      <w:r>
        <w:rPr>
          <w:rFonts w:hint="cs"/>
          <w:rtl/>
        </w:rPr>
        <w:t xml:space="preserve">ועדת </w:t>
      </w:r>
      <w:bookmarkStart w:id="19531" w:name="_ETM_Q29_704909"/>
      <w:bookmarkEnd w:id="19531"/>
      <w:r>
        <w:rPr>
          <w:rFonts w:hint="cs"/>
          <w:rtl/>
        </w:rPr>
        <w:t xml:space="preserve">השרים </w:t>
      </w:r>
      <w:bookmarkStart w:id="19532" w:name="_ETM_Q29_705360"/>
      <w:bookmarkEnd w:id="19532"/>
      <w:r>
        <w:rPr>
          <w:rFonts w:hint="cs"/>
          <w:rtl/>
        </w:rPr>
        <w:t xml:space="preserve">ליוקר </w:t>
      </w:r>
      <w:bookmarkStart w:id="19533" w:name="_ETM_Q29_705689"/>
      <w:bookmarkEnd w:id="19533"/>
      <w:r>
        <w:rPr>
          <w:rFonts w:hint="cs"/>
          <w:rtl/>
        </w:rPr>
        <w:t xml:space="preserve">המחיה. </w:t>
      </w:r>
      <w:bookmarkStart w:id="19534" w:name="_ETM_Q29_707370"/>
      <w:bookmarkEnd w:id="19534"/>
    </w:p>
    <w:p w:rsidR="00BB59CD" w:rsidRDefault="00BB59CD" w:rsidP="00BB59CD">
      <w:pPr>
        <w:rPr>
          <w:rtl/>
        </w:rPr>
      </w:pPr>
      <w:bookmarkStart w:id="19535" w:name="_ETM_Q29_706300"/>
      <w:bookmarkStart w:id="19536" w:name="_ETM_Q29_706355"/>
      <w:bookmarkEnd w:id="19535"/>
      <w:bookmarkEnd w:id="19536"/>
    </w:p>
    <w:p w:rsidR="00BB59CD" w:rsidRDefault="00BB59CD" w:rsidP="00BB59CD">
      <w:pPr>
        <w:rPr>
          <w:rtl/>
        </w:rPr>
      </w:pPr>
      <w:bookmarkStart w:id="19537" w:name="_ETM_Q29_706475"/>
      <w:bookmarkStart w:id="19538" w:name="_ETM_Q29_706525"/>
      <w:bookmarkEnd w:id="19537"/>
      <w:bookmarkEnd w:id="19538"/>
      <w:r>
        <w:rPr>
          <w:rFonts w:hint="cs"/>
          <w:rtl/>
        </w:rPr>
        <w:t xml:space="preserve">לא </w:t>
      </w:r>
      <w:bookmarkStart w:id="19539" w:name="_ETM_Q29_707640"/>
      <w:bookmarkEnd w:id="19539"/>
      <w:r>
        <w:rPr>
          <w:rFonts w:hint="cs"/>
          <w:rtl/>
        </w:rPr>
        <w:t xml:space="preserve">מזמן </w:t>
      </w:r>
      <w:bookmarkStart w:id="19540" w:name="_ETM_Q29_708059"/>
      <w:bookmarkEnd w:id="19540"/>
      <w:r>
        <w:rPr>
          <w:rFonts w:hint="cs"/>
          <w:rtl/>
        </w:rPr>
        <w:t xml:space="preserve">אמר </w:t>
      </w:r>
      <w:bookmarkStart w:id="19541" w:name="_ETM_Q29_708300"/>
      <w:bookmarkEnd w:id="19541"/>
      <w:r>
        <w:rPr>
          <w:rFonts w:hint="cs"/>
          <w:rtl/>
        </w:rPr>
        <w:t xml:space="preserve">נשיא </w:t>
      </w:r>
      <w:bookmarkStart w:id="19542" w:name="_ETM_Q29_708540"/>
      <w:bookmarkEnd w:id="19542"/>
      <w:r>
        <w:rPr>
          <w:rFonts w:hint="cs"/>
          <w:rtl/>
        </w:rPr>
        <w:t xml:space="preserve">ארצות </w:t>
      </w:r>
      <w:bookmarkStart w:id="19543" w:name="_ETM_Q29_708870"/>
      <w:bookmarkEnd w:id="19543"/>
      <w:r>
        <w:rPr>
          <w:rFonts w:hint="cs"/>
          <w:rtl/>
        </w:rPr>
        <w:t xml:space="preserve">הברית </w:t>
      </w:r>
      <w:bookmarkStart w:id="19544" w:name="_ETM_Q29_709970"/>
      <w:bookmarkEnd w:id="19544"/>
      <w:r>
        <w:rPr>
          <w:rFonts w:hint="cs"/>
          <w:rtl/>
        </w:rPr>
        <w:t xml:space="preserve">שזו </w:t>
      </w:r>
      <w:bookmarkStart w:id="19545" w:name="_ETM_Q29_710269"/>
      <w:bookmarkEnd w:id="19545"/>
      <w:r>
        <w:rPr>
          <w:rFonts w:hint="cs"/>
          <w:rtl/>
        </w:rPr>
        <w:t xml:space="preserve">הממשלה </w:t>
      </w:r>
      <w:bookmarkStart w:id="19546" w:name="_ETM_Q29_710750"/>
      <w:bookmarkEnd w:id="19546"/>
      <w:r>
        <w:rPr>
          <w:rFonts w:hint="cs"/>
          <w:rtl/>
        </w:rPr>
        <w:t xml:space="preserve">הכי </w:t>
      </w:r>
      <w:bookmarkStart w:id="19547" w:name="_ETM_Q29_710900"/>
      <w:bookmarkEnd w:id="19547"/>
      <w:r>
        <w:rPr>
          <w:rFonts w:hint="cs"/>
          <w:rtl/>
        </w:rPr>
        <w:t xml:space="preserve">קיצונית </w:t>
      </w:r>
      <w:bookmarkStart w:id="19548" w:name="_ETM_Q29_711409"/>
      <w:bookmarkEnd w:id="19548"/>
      <w:r>
        <w:rPr>
          <w:rFonts w:hint="cs"/>
          <w:rtl/>
        </w:rPr>
        <w:t xml:space="preserve">שהוא </w:t>
      </w:r>
      <w:bookmarkStart w:id="19549" w:name="_ETM_Q29_711590"/>
      <w:bookmarkEnd w:id="19549"/>
      <w:r>
        <w:rPr>
          <w:rFonts w:hint="cs"/>
          <w:rtl/>
        </w:rPr>
        <w:t xml:space="preserve">זוכר, </w:t>
      </w:r>
      <w:bookmarkStart w:id="19550" w:name="_ETM_Q29_712660"/>
      <w:bookmarkEnd w:id="19550"/>
      <w:r>
        <w:rPr>
          <w:rFonts w:hint="cs"/>
          <w:rtl/>
        </w:rPr>
        <w:t xml:space="preserve">והוא </w:t>
      </w:r>
      <w:bookmarkStart w:id="19551" w:name="_ETM_Q29_712900"/>
      <w:bookmarkEnd w:id="19551"/>
      <w:r>
        <w:rPr>
          <w:rFonts w:hint="cs"/>
          <w:rtl/>
        </w:rPr>
        <w:t xml:space="preserve">בהחלט </w:t>
      </w:r>
      <w:bookmarkStart w:id="19552" w:name="_ETM_Q29_713740"/>
      <w:bookmarkEnd w:id="19552"/>
      <w:r>
        <w:rPr>
          <w:rFonts w:hint="cs"/>
          <w:rtl/>
        </w:rPr>
        <w:t xml:space="preserve">לא </w:t>
      </w:r>
      <w:bookmarkStart w:id="19553" w:name="_ETM_Q29_713950"/>
      <w:bookmarkEnd w:id="19553"/>
      <w:r>
        <w:rPr>
          <w:rFonts w:hint="cs"/>
          <w:rtl/>
        </w:rPr>
        <w:t xml:space="preserve">טועה. </w:t>
      </w:r>
      <w:bookmarkStart w:id="19554" w:name="_ETM_Q29_714749"/>
      <w:bookmarkEnd w:id="19554"/>
      <w:r>
        <w:rPr>
          <w:rFonts w:hint="cs"/>
          <w:rtl/>
        </w:rPr>
        <w:t xml:space="preserve">ממשלה </w:t>
      </w:r>
      <w:bookmarkStart w:id="19555" w:name="_ETM_Q29_715319"/>
      <w:bookmarkEnd w:id="19555"/>
      <w:r>
        <w:rPr>
          <w:rFonts w:hint="cs"/>
          <w:rtl/>
        </w:rPr>
        <w:t xml:space="preserve">קיצונית, </w:t>
      </w:r>
      <w:bookmarkStart w:id="19556" w:name="_ETM_Q29_715859"/>
      <w:bookmarkStart w:id="19557" w:name="_ETM_Q29_715980"/>
      <w:bookmarkEnd w:id="19556"/>
      <w:bookmarkEnd w:id="19557"/>
      <w:r>
        <w:rPr>
          <w:rFonts w:hint="cs"/>
          <w:rtl/>
        </w:rPr>
        <w:t xml:space="preserve">שמצמצמת </w:t>
      </w:r>
      <w:bookmarkStart w:id="19558" w:name="_ETM_Q29_716579"/>
      <w:bookmarkEnd w:id="19558"/>
      <w:r>
        <w:rPr>
          <w:rFonts w:hint="cs"/>
          <w:rtl/>
        </w:rPr>
        <w:t xml:space="preserve">את </w:t>
      </w:r>
      <w:bookmarkStart w:id="19559" w:name="_ETM_Q29_716730"/>
      <w:bookmarkEnd w:id="19559"/>
      <w:r>
        <w:rPr>
          <w:rFonts w:hint="cs"/>
          <w:rtl/>
        </w:rPr>
        <w:t xml:space="preserve">המרחב </w:t>
      </w:r>
      <w:bookmarkStart w:id="19560" w:name="_ETM_Q29_717120"/>
      <w:bookmarkEnd w:id="19560"/>
      <w:r>
        <w:rPr>
          <w:rFonts w:hint="cs"/>
          <w:rtl/>
        </w:rPr>
        <w:t xml:space="preserve">הדמוקרטי, </w:t>
      </w:r>
      <w:bookmarkStart w:id="19561" w:name="_ETM_Q29_718410"/>
      <w:bookmarkEnd w:id="19561"/>
      <w:r>
        <w:rPr>
          <w:rFonts w:hint="cs"/>
          <w:rtl/>
        </w:rPr>
        <w:t xml:space="preserve">שמפקירה </w:t>
      </w:r>
      <w:bookmarkStart w:id="19562" w:name="_ETM_Q29_718950"/>
      <w:bookmarkEnd w:id="19562"/>
      <w:r>
        <w:rPr>
          <w:rFonts w:hint="cs"/>
          <w:rtl/>
        </w:rPr>
        <w:t xml:space="preserve">את </w:t>
      </w:r>
      <w:bookmarkStart w:id="19563" w:name="_ETM_Q29_719040"/>
      <w:bookmarkEnd w:id="19563"/>
      <w:r>
        <w:rPr>
          <w:rFonts w:hint="cs"/>
          <w:rtl/>
        </w:rPr>
        <w:t xml:space="preserve">אזרחיה </w:t>
      </w:r>
      <w:bookmarkStart w:id="19564" w:name="_ETM_Q29_719760"/>
      <w:bookmarkEnd w:id="19564"/>
      <w:r>
        <w:rPr>
          <w:rFonts w:hint="cs"/>
          <w:rtl/>
        </w:rPr>
        <w:t xml:space="preserve">להירצח </w:t>
      </w:r>
      <w:bookmarkStart w:id="19565" w:name="_ETM_Q29_720300"/>
      <w:bookmarkEnd w:id="19565"/>
      <w:r>
        <w:rPr>
          <w:rFonts w:hint="cs"/>
          <w:rtl/>
        </w:rPr>
        <w:t xml:space="preserve">ברחובות, </w:t>
      </w:r>
      <w:bookmarkStart w:id="19566" w:name="_ETM_Q29_721500"/>
      <w:bookmarkEnd w:id="19566"/>
      <w:r>
        <w:rPr>
          <w:rFonts w:hint="cs"/>
          <w:rtl/>
        </w:rPr>
        <w:t xml:space="preserve">הורסת </w:t>
      </w:r>
      <w:bookmarkStart w:id="19567" w:name="_ETM_Q29_721860"/>
      <w:bookmarkEnd w:id="19567"/>
      <w:r>
        <w:rPr>
          <w:rFonts w:hint="cs"/>
          <w:rtl/>
        </w:rPr>
        <w:t xml:space="preserve">את </w:t>
      </w:r>
      <w:bookmarkStart w:id="19568" w:name="_ETM_Q29_722040"/>
      <w:bookmarkEnd w:id="19568"/>
      <w:r>
        <w:rPr>
          <w:rFonts w:hint="cs"/>
          <w:rtl/>
        </w:rPr>
        <w:t>בתיהם</w:t>
      </w:r>
      <w:bookmarkStart w:id="19569" w:name="_ETM_Q29_723130"/>
      <w:bookmarkEnd w:id="19569"/>
      <w:r>
        <w:rPr>
          <w:rFonts w:hint="cs"/>
          <w:rtl/>
        </w:rPr>
        <w:t xml:space="preserve">, דוחקת </w:t>
      </w:r>
      <w:bookmarkStart w:id="19570" w:name="_ETM_Q29_723550"/>
      <w:bookmarkEnd w:id="19570"/>
      <w:r>
        <w:rPr>
          <w:rFonts w:hint="cs"/>
          <w:rtl/>
        </w:rPr>
        <w:t xml:space="preserve">אותם </w:t>
      </w:r>
      <w:bookmarkStart w:id="19571" w:name="_ETM_Q29_723970"/>
      <w:bookmarkEnd w:id="19571"/>
      <w:r>
        <w:rPr>
          <w:rFonts w:hint="cs"/>
          <w:rtl/>
        </w:rPr>
        <w:t xml:space="preserve">לפינה </w:t>
      </w:r>
      <w:bookmarkStart w:id="19572" w:name="_ETM_Q29_724990"/>
      <w:bookmarkEnd w:id="19572"/>
      <w:r>
        <w:rPr>
          <w:rFonts w:hint="cs"/>
          <w:rtl/>
        </w:rPr>
        <w:t xml:space="preserve">בלי </w:t>
      </w:r>
      <w:bookmarkStart w:id="19573" w:name="_ETM_Q29_725200"/>
      <w:bookmarkEnd w:id="19573"/>
      <w:r>
        <w:rPr>
          <w:rFonts w:hint="cs"/>
          <w:rtl/>
        </w:rPr>
        <w:t xml:space="preserve">אופק </w:t>
      </w:r>
      <w:bookmarkStart w:id="19574" w:name="_ETM_Q29_726010"/>
      <w:bookmarkEnd w:id="19574"/>
      <w:r>
        <w:rPr>
          <w:rFonts w:hint="cs"/>
          <w:rtl/>
        </w:rPr>
        <w:t xml:space="preserve">ובלי </w:t>
      </w:r>
      <w:bookmarkStart w:id="19575" w:name="_ETM_Q29_726309"/>
      <w:bookmarkEnd w:id="19575"/>
      <w:r>
        <w:rPr>
          <w:rFonts w:hint="cs"/>
          <w:rtl/>
        </w:rPr>
        <w:t xml:space="preserve">עתיד, </w:t>
      </w:r>
      <w:bookmarkStart w:id="19576" w:name="_ETM_Q29_727150"/>
      <w:bookmarkEnd w:id="19576"/>
      <w:r>
        <w:rPr>
          <w:rFonts w:hint="cs"/>
          <w:rtl/>
        </w:rPr>
        <w:t xml:space="preserve">מזניחה </w:t>
      </w:r>
      <w:bookmarkStart w:id="19577" w:name="_ETM_Q29_727749"/>
      <w:bookmarkEnd w:id="19577"/>
      <w:r>
        <w:rPr>
          <w:rFonts w:hint="cs"/>
          <w:rtl/>
        </w:rPr>
        <w:t xml:space="preserve">אותם </w:t>
      </w:r>
      <w:bookmarkStart w:id="19578" w:name="_ETM_Q29_728559"/>
      <w:bookmarkEnd w:id="19578"/>
      <w:r>
        <w:rPr>
          <w:rFonts w:hint="cs"/>
          <w:rtl/>
        </w:rPr>
        <w:t xml:space="preserve">לחיים </w:t>
      </w:r>
      <w:bookmarkStart w:id="19579" w:name="_ETM_Q29_729190"/>
      <w:bookmarkEnd w:id="19579"/>
      <w:r>
        <w:rPr>
          <w:rFonts w:hint="cs"/>
          <w:rtl/>
        </w:rPr>
        <w:t xml:space="preserve">בצל </w:t>
      </w:r>
      <w:bookmarkStart w:id="19580" w:name="_ETM_Q29_729520"/>
      <w:bookmarkEnd w:id="19580"/>
      <w:r>
        <w:rPr>
          <w:rFonts w:hint="cs"/>
          <w:rtl/>
        </w:rPr>
        <w:t xml:space="preserve">עליית </w:t>
      </w:r>
      <w:bookmarkStart w:id="19581" w:name="_ETM_Q29_729850"/>
      <w:bookmarkEnd w:id="19581"/>
      <w:r>
        <w:rPr>
          <w:rFonts w:hint="cs"/>
          <w:rtl/>
        </w:rPr>
        <w:t xml:space="preserve">מחירים </w:t>
      </w:r>
      <w:bookmarkStart w:id="19582" w:name="_ETM_Q29_730270"/>
      <w:bookmarkEnd w:id="19582"/>
      <w:r>
        <w:rPr>
          <w:rFonts w:hint="cs"/>
          <w:rtl/>
        </w:rPr>
        <w:t xml:space="preserve">לא </w:t>
      </w:r>
      <w:bookmarkStart w:id="19583" w:name="_ETM_Q29_730360"/>
      <w:bookmarkEnd w:id="19583"/>
      <w:r>
        <w:rPr>
          <w:rFonts w:hint="cs"/>
          <w:rtl/>
        </w:rPr>
        <w:t xml:space="preserve">סבירה </w:t>
      </w:r>
      <w:bookmarkStart w:id="19584" w:name="_ETM_Q29_731040"/>
      <w:bookmarkEnd w:id="19584"/>
      <w:r>
        <w:rPr>
          <w:rFonts w:hint="cs"/>
          <w:rtl/>
        </w:rPr>
        <w:t>בהחלט.</w:t>
      </w:r>
    </w:p>
    <w:p w:rsidR="00BB59CD" w:rsidRDefault="00BB59CD" w:rsidP="00BB59CD">
      <w:pPr>
        <w:rPr>
          <w:rtl/>
        </w:rPr>
      </w:pPr>
      <w:bookmarkStart w:id="19585" w:name="_ETM_Q29_734736"/>
      <w:bookmarkStart w:id="19586" w:name="_ETM_Q29_734821"/>
      <w:bookmarkEnd w:id="19585"/>
      <w:bookmarkEnd w:id="19586"/>
    </w:p>
    <w:p w:rsidR="00BB59CD" w:rsidRDefault="00BB59CD" w:rsidP="00A021B9">
      <w:pPr>
        <w:rPr>
          <w:rtl/>
        </w:rPr>
      </w:pPr>
      <w:bookmarkStart w:id="19587" w:name="_ETM_Q29_734897"/>
      <w:bookmarkStart w:id="19588" w:name="_ETM_Q29_734964"/>
      <w:bookmarkEnd w:id="19587"/>
      <w:bookmarkEnd w:id="19588"/>
      <w:r>
        <w:rPr>
          <w:rFonts w:hint="cs"/>
          <w:rtl/>
        </w:rPr>
        <w:t xml:space="preserve"> </w:t>
      </w:r>
      <w:bookmarkStart w:id="19589" w:name="_ETM_Q29_732900"/>
      <w:bookmarkEnd w:id="19589"/>
      <w:r>
        <w:rPr>
          <w:rFonts w:hint="cs"/>
          <w:rtl/>
        </w:rPr>
        <w:t xml:space="preserve">אדוני </w:t>
      </w:r>
      <w:bookmarkStart w:id="19590" w:name="_ETM_Q29_733230"/>
      <w:bookmarkEnd w:id="19590"/>
      <w:r>
        <w:rPr>
          <w:rFonts w:hint="cs"/>
          <w:rtl/>
        </w:rPr>
        <w:t xml:space="preserve">היושב-ראש, </w:t>
      </w:r>
      <w:bookmarkStart w:id="19591" w:name="_ETM_Q29_734099"/>
      <w:bookmarkEnd w:id="19591"/>
      <w:r>
        <w:rPr>
          <w:rFonts w:hint="cs"/>
          <w:rtl/>
        </w:rPr>
        <w:t xml:space="preserve">ברשותך, </w:t>
      </w:r>
      <w:bookmarkStart w:id="19592" w:name="_ETM_Q29_734549"/>
      <w:bookmarkEnd w:id="19592"/>
      <w:r>
        <w:rPr>
          <w:rFonts w:hint="cs"/>
          <w:rtl/>
        </w:rPr>
        <w:t xml:space="preserve">כמה </w:t>
      </w:r>
      <w:bookmarkStart w:id="19593" w:name="_ETM_Q29_734790"/>
      <w:bookmarkEnd w:id="19593"/>
      <w:r>
        <w:rPr>
          <w:rFonts w:hint="cs"/>
          <w:rtl/>
        </w:rPr>
        <w:t xml:space="preserve">מילים </w:t>
      </w:r>
      <w:bookmarkStart w:id="19594" w:name="_ETM_Q29_734969"/>
      <w:bookmarkEnd w:id="19594"/>
      <w:r>
        <w:rPr>
          <w:rFonts w:hint="cs"/>
          <w:rtl/>
        </w:rPr>
        <w:t xml:space="preserve">בערבית </w:t>
      </w:r>
      <w:bookmarkStart w:id="19595" w:name="_ETM_Q29_736289"/>
      <w:bookmarkEnd w:id="19595"/>
      <w:r>
        <w:rPr>
          <w:rFonts w:hint="cs"/>
          <w:rtl/>
        </w:rPr>
        <w:t xml:space="preserve">לאזרחים </w:t>
      </w:r>
      <w:bookmarkStart w:id="19596" w:name="_ETM_Q29_737340"/>
      <w:bookmarkEnd w:id="19596"/>
      <w:r>
        <w:rPr>
          <w:rFonts w:hint="cs"/>
          <w:rtl/>
        </w:rPr>
        <w:t xml:space="preserve">הערבים </w:t>
      </w:r>
      <w:bookmarkStart w:id="19597" w:name="_ETM_Q29_737729"/>
      <w:bookmarkEnd w:id="19597"/>
      <w:r>
        <w:rPr>
          <w:rFonts w:hint="cs"/>
          <w:rtl/>
        </w:rPr>
        <w:t>במדינה.</w:t>
      </w:r>
      <w:bookmarkStart w:id="19598" w:name="TOR_Q30"/>
      <w:bookmarkStart w:id="19599" w:name="_ETM_Q30_180480"/>
      <w:bookmarkEnd w:id="19598"/>
      <w:bookmarkEnd w:id="19599"/>
      <w:r>
        <w:rPr>
          <w:rFonts w:hint="cs"/>
          <w:rtl/>
        </w:rPr>
        <w:t xml:space="preserve"> (אומר דברים בשפה הערבית, להלן תרגומם: לאזרחים הערבים במדינה: בדרך כלל לכל ממשלה יש נקודות חוזקה בפן אחד או יותר ונקודות חולשה בפן אחר. לממשלה הזאת אין כוח מלבד על האזרח הערבי, אז רואים אותה הורסת את בתינו בנגב ומשתלטת על אדמותינו </w:t>
      </w:r>
      <w:r w:rsidR="001B1096">
        <w:rPr>
          <w:rFonts w:hint="cs"/>
          <w:rtl/>
        </w:rPr>
        <w:t xml:space="preserve">כדי </w:t>
      </w:r>
      <w:r>
        <w:rPr>
          <w:rFonts w:hint="cs"/>
          <w:rtl/>
        </w:rPr>
        <w:t>לבנות מעליהן התנחלויות ומקפיאה כל פרויקט שיש בו סימנים טובים לחברה שלנו. אפילו בתי הדין השרעיים שלנו לא ניצלו מהגזענות של הממשלה הז</w:t>
      </w:r>
      <w:r w:rsidR="001B1096">
        <w:rPr>
          <w:rFonts w:hint="cs"/>
          <w:rtl/>
        </w:rPr>
        <w:t>את</w:t>
      </w:r>
      <w:r>
        <w:rPr>
          <w:rFonts w:hint="cs"/>
          <w:rtl/>
        </w:rPr>
        <w:t xml:space="preserve"> ושנאתה לכל מה שהוא ערבי. זאת ממשלה של ייהוד של כל אינץ' בערים האל</w:t>
      </w:r>
      <w:r w:rsidR="001B1096">
        <w:rPr>
          <w:rFonts w:hint="cs"/>
          <w:rtl/>
        </w:rPr>
        <w:t>ה</w:t>
      </w:r>
      <w:r>
        <w:rPr>
          <w:rFonts w:hint="cs"/>
          <w:rtl/>
        </w:rPr>
        <w:t>, מהגליל ועד המשולש</w:t>
      </w:r>
      <w:r w:rsidR="001B1096">
        <w:rPr>
          <w:rFonts w:hint="cs"/>
          <w:rtl/>
        </w:rPr>
        <w:t>,</w:t>
      </w:r>
      <w:r>
        <w:rPr>
          <w:rFonts w:hint="cs"/>
          <w:rtl/>
        </w:rPr>
        <w:t xml:space="preserve"> ואפילו הנגב; ממשלת התנחלויות, יוקר מחיה, אפליה וחרם. הערבים אמרו: לא תפיק ענבים מהקוצים. כאשר ממשלת הימין הגזענית פועלת לצמצום המרחב הדמוקרטי, אין לנו אפשרות לסמוך עליה בפתרון הבעיות שלנו. אנחנו לא יכולים לסמוך עליה בפתרון בעיות הנגב, ואנחנו לא יכולים לסמוך עליה בפתרון מגפת האלימות והפשע. תארו לעצמכם מה מרגיש בן גביר בכל פעם שהוא מקבל ידיעה על רצח צעיר ערבי. האם אתם רואים אותו עצוב בשל כך? האם הוא מתקשר לאחראים מתחתיו כשהוא כעוס ומאשים? אני בטוח שגודל השמחה שלו כגודל העצב שלנו, אפילו יותר. אחיי ואחיותיי, הממשלה הזאת הבהירה לנו שהפוליטיקה דורשת מאיתנו חוכמה, בינה וראייה למרחק, ואין ספק שעלינו לנקוט צעדים אחראיים יותר כדי שלא נשליך את החברה שלנו לתהום</w:t>
      </w:r>
      <w:r w:rsidR="00A021B9">
        <w:rPr>
          <w:rFonts w:hint="cs"/>
          <w:rtl/>
        </w:rPr>
        <w:t>,</w:t>
      </w:r>
      <w:r>
        <w:rPr>
          <w:rFonts w:hint="cs"/>
          <w:rtl/>
        </w:rPr>
        <w:t xml:space="preserve"> כדי שלא נהיה גורם בשיבוש קידום הנושאים שלנו וכדי שלא נהווה נטל על עצמנו במקום לעזור לעצמנו.)</w:t>
      </w:r>
    </w:p>
    <w:p w:rsidR="00BB59CD" w:rsidRDefault="00BB59CD" w:rsidP="00BB59CD">
      <w:pPr>
        <w:rPr>
          <w:rtl/>
        </w:rPr>
      </w:pPr>
    </w:p>
    <w:p w:rsidR="00BB59CD" w:rsidRDefault="00BB59CD" w:rsidP="00BB59CD">
      <w:pPr>
        <w:rPr>
          <w:rtl/>
        </w:rPr>
      </w:pPr>
      <w:r>
        <w:rPr>
          <w:rFonts w:hint="cs"/>
          <w:rtl/>
        </w:rPr>
        <w:t xml:space="preserve">מכובדי היושב-ראש, חבריי חברי הכנסת, הממשלה הזאת, </w:t>
      </w:r>
      <w:bookmarkStart w:id="19600" w:name="_ETM_Q30_243278"/>
      <w:bookmarkEnd w:id="19600"/>
      <w:r>
        <w:rPr>
          <w:rFonts w:hint="cs"/>
          <w:rtl/>
        </w:rPr>
        <w:t xml:space="preserve">מאז שנבחרה לפני שישה חודשים, הבטיחה </w:t>
      </w:r>
      <w:bookmarkStart w:id="19601" w:name="_ETM_Q30_243291"/>
      <w:bookmarkStart w:id="19602" w:name="_ETM_Q30_243400"/>
      <w:bookmarkStart w:id="19603" w:name="_ETM_Q30_245930"/>
      <w:bookmarkStart w:id="19604" w:name="_ETM_Q30_246230"/>
      <w:bookmarkStart w:id="19605" w:name="_ETM_Q30_246530"/>
      <w:bookmarkStart w:id="19606" w:name="_ETM_Q30_246650"/>
      <w:bookmarkStart w:id="19607" w:name="_ETM_Q30_246980"/>
      <w:bookmarkStart w:id="19608" w:name="_ETM_Q30_247250"/>
      <w:bookmarkStart w:id="19609" w:name="_ETM_Q30_247490"/>
      <w:bookmarkStart w:id="19610" w:name="_ETM_Q30_248530"/>
      <w:bookmarkStart w:id="19611" w:name="_ETM_Q30_249340"/>
      <w:bookmarkStart w:id="19612" w:name="_ETM_Q30_250060"/>
      <w:bookmarkEnd w:id="19601"/>
      <w:bookmarkEnd w:id="19602"/>
      <w:bookmarkEnd w:id="19603"/>
      <w:bookmarkEnd w:id="19604"/>
      <w:bookmarkEnd w:id="19605"/>
      <w:bookmarkEnd w:id="19606"/>
      <w:bookmarkEnd w:id="19607"/>
      <w:bookmarkEnd w:id="19608"/>
      <w:bookmarkEnd w:id="19609"/>
      <w:bookmarkEnd w:id="19610"/>
      <w:bookmarkEnd w:id="19611"/>
      <w:bookmarkEnd w:id="19612"/>
      <w:r>
        <w:rPr>
          <w:rFonts w:hint="cs"/>
          <w:rtl/>
        </w:rPr>
        <w:t xml:space="preserve">המון </w:t>
      </w:r>
      <w:bookmarkStart w:id="19613" w:name="_ETM_Q30_250390"/>
      <w:bookmarkEnd w:id="19613"/>
      <w:r>
        <w:rPr>
          <w:rFonts w:hint="cs"/>
          <w:rtl/>
        </w:rPr>
        <w:t xml:space="preserve">הבטחות </w:t>
      </w:r>
      <w:bookmarkStart w:id="19614" w:name="_ETM_Q30_250750"/>
      <w:bookmarkEnd w:id="19614"/>
      <w:r>
        <w:rPr>
          <w:rFonts w:hint="cs"/>
          <w:rtl/>
        </w:rPr>
        <w:t xml:space="preserve">לאזרחים, </w:t>
      </w:r>
      <w:bookmarkStart w:id="19615" w:name="_ETM_Q30_251860"/>
      <w:bookmarkEnd w:id="19615"/>
      <w:r>
        <w:rPr>
          <w:rFonts w:hint="cs"/>
          <w:rtl/>
        </w:rPr>
        <w:t xml:space="preserve">לתושבים. </w:t>
      </w:r>
      <w:bookmarkStart w:id="19616" w:name="_ETM_Q30_254030"/>
      <w:bookmarkEnd w:id="19616"/>
      <w:r>
        <w:rPr>
          <w:rFonts w:hint="cs"/>
          <w:rtl/>
        </w:rPr>
        <w:t xml:space="preserve">נתניהו </w:t>
      </w:r>
      <w:bookmarkStart w:id="19617" w:name="_ETM_Q30_254450"/>
      <w:bookmarkEnd w:id="19617"/>
      <w:r>
        <w:rPr>
          <w:rFonts w:hint="cs"/>
          <w:rtl/>
        </w:rPr>
        <w:t xml:space="preserve">בעצמו </w:t>
      </w:r>
      <w:bookmarkStart w:id="19618" w:name="_ETM_Q30_254930"/>
      <w:bookmarkEnd w:id="19618"/>
      <w:r>
        <w:rPr>
          <w:rFonts w:hint="cs"/>
          <w:rtl/>
        </w:rPr>
        <w:t xml:space="preserve">הבטיח </w:t>
      </w:r>
      <w:bookmarkStart w:id="19619" w:name="_ETM_Q30_255590"/>
      <w:bookmarkEnd w:id="19619"/>
      <w:r>
        <w:rPr>
          <w:rFonts w:hint="cs"/>
          <w:rtl/>
        </w:rPr>
        <w:t xml:space="preserve">לציבור </w:t>
      </w:r>
      <w:bookmarkStart w:id="19620" w:name="_ETM_Q30_256040"/>
      <w:bookmarkEnd w:id="19620"/>
      <w:r>
        <w:rPr>
          <w:rFonts w:hint="cs"/>
          <w:rtl/>
        </w:rPr>
        <w:t xml:space="preserve">הערבי </w:t>
      </w:r>
      <w:bookmarkStart w:id="19621" w:name="_ETM_Q30_257569"/>
      <w:bookmarkEnd w:id="19621"/>
      <w:r>
        <w:rPr>
          <w:rFonts w:hint="cs"/>
          <w:rtl/>
        </w:rPr>
        <w:t xml:space="preserve">ולאזרחים </w:t>
      </w:r>
      <w:bookmarkStart w:id="19622" w:name="_ETM_Q30_258110"/>
      <w:bookmarkEnd w:id="19622"/>
      <w:r>
        <w:rPr>
          <w:rFonts w:hint="cs"/>
          <w:rtl/>
        </w:rPr>
        <w:t xml:space="preserve">הערבים לטפל </w:t>
      </w:r>
      <w:bookmarkStart w:id="19623" w:name="_ETM_Q30_258590"/>
      <w:bookmarkStart w:id="19624" w:name="_ETM_Q30_258830"/>
      <w:bookmarkStart w:id="19625" w:name="_ETM_Q30_259370"/>
      <w:bookmarkEnd w:id="19623"/>
      <w:bookmarkEnd w:id="19624"/>
      <w:bookmarkEnd w:id="19625"/>
      <w:r>
        <w:rPr>
          <w:rFonts w:hint="cs"/>
          <w:rtl/>
        </w:rPr>
        <w:t xml:space="preserve">בפשיעה </w:t>
      </w:r>
      <w:bookmarkStart w:id="19626" w:name="_ETM_Q30_260180"/>
      <w:bookmarkEnd w:id="19626"/>
      <w:r>
        <w:rPr>
          <w:rFonts w:hint="cs"/>
          <w:rtl/>
        </w:rPr>
        <w:t xml:space="preserve">בחברה </w:t>
      </w:r>
      <w:bookmarkStart w:id="19627" w:name="_ETM_Q30_260510"/>
      <w:bookmarkEnd w:id="19627"/>
      <w:r>
        <w:rPr>
          <w:rFonts w:hint="cs"/>
          <w:rtl/>
        </w:rPr>
        <w:t xml:space="preserve">הערבית. </w:t>
      </w:r>
      <w:bookmarkStart w:id="19628" w:name="_ETM_Q30_261140"/>
      <w:bookmarkEnd w:id="19628"/>
      <w:r>
        <w:rPr>
          <w:rFonts w:hint="cs"/>
          <w:rtl/>
        </w:rPr>
        <w:t xml:space="preserve">הקים </w:t>
      </w:r>
      <w:bookmarkStart w:id="19629" w:name="_ETM_Q30_261500"/>
      <w:bookmarkEnd w:id="19629"/>
      <w:r>
        <w:rPr>
          <w:rFonts w:hint="cs"/>
          <w:rtl/>
        </w:rPr>
        <w:t xml:space="preserve">ועדה. אנחנו </w:t>
      </w:r>
      <w:bookmarkStart w:id="19630" w:name="_ETM_Q30_263090"/>
      <w:bookmarkEnd w:id="19630"/>
      <w:r>
        <w:rPr>
          <w:rFonts w:hint="cs"/>
          <w:rtl/>
        </w:rPr>
        <w:t xml:space="preserve">זוכרים </w:t>
      </w:r>
      <w:bookmarkStart w:id="19631" w:name="_ETM_Q30_263540"/>
      <w:bookmarkEnd w:id="19631"/>
      <w:r>
        <w:rPr>
          <w:rFonts w:hint="cs"/>
          <w:rtl/>
        </w:rPr>
        <w:t xml:space="preserve">שבשנים </w:t>
      </w:r>
      <w:bookmarkStart w:id="19632" w:name="_ETM_Q30_264470"/>
      <w:bookmarkEnd w:id="19632"/>
      <w:r>
        <w:rPr>
          <w:rFonts w:hint="cs"/>
          <w:rtl/>
        </w:rPr>
        <w:t xml:space="preserve">קודמות, </w:t>
      </w:r>
      <w:bookmarkStart w:id="19633" w:name="_ETM_Q30_267306"/>
      <w:bookmarkEnd w:id="19633"/>
      <w:r>
        <w:rPr>
          <w:rFonts w:hint="cs"/>
          <w:rtl/>
        </w:rPr>
        <w:t xml:space="preserve">ב-2012 ו-2016, הוא הבטיח </w:t>
      </w:r>
      <w:bookmarkStart w:id="19634" w:name="_ETM_Q30_265859"/>
      <w:bookmarkStart w:id="19635" w:name="_ETM_Q30_266969"/>
      <w:bookmarkStart w:id="19636" w:name="_ETM_Q30_268259"/>
      <w:bookmarkStart w:id="19637" w:name="_ETM_Q30_268350"/>
      <w:bookmarkStart w:id="19638" w:name="_ETM_Q30_269780"/>
      <w:bookmarkEnd w:id="19634"/>
      <w:bookmarkEnd w:id="19635"/>
      <w:bookmarkEnd w:id="19636"/>
      <w:bookmarkEnd w:id="19637"/>
      <w:bookmarkEnd w:id="19638"/>
      <w:r>
        <w:rPr>
          <w:rFonts w:hint="cs"/>
          <w:rtl/>
        </w:rPr>
        <w:t xml:space="preserve">ולא </w:t>
      </w:r>
      <w:bookmarkStart w:id="19639" w:name="_ETM_Q30_270170"/>
      <w:bookmarkEnd w:id="19639"/>
      <w:r>
        <w:rPr>
          <w:rFonts w:hint="cs"/>
          <w:rtl/>
        </w:rPr>
        <w:t xml:space="preserve">קיים. </w:t>
      </w:r>
      <w:bookmarkStart w:id="19640" w:name="_ETM_Q30_270860"/>
      <w:bookmarkEnd w:id="19640"/>
      <w:r>
        <w:rPr>
          <w:rFonts w:hint="cs"/>
          <w:rtl/>
        </w:rPr>
        <w:t xml:space="preserve">הוא ישב </w:t>
      </w:r>
      <w:bookmarkStart w:id="19641" w:name="_ETM_Q30_271220"/>
      <w:bookmarkEnd w:id="19641"/>
      <w:r>
        <w:rPr>
          <w:rFonts w:hint="cs"/>
          <w:rtl/>
        </w:rPr>
        <w:t xml:space="preserve">בוועדות </w:t>
      </w:r>
      <w:bookmarkStart w:id="19642" w:name="_ETM_Q30_272090"/>
      <w:bookmarkEnd w:id="19642"/>
      <w:r>
        <w:rPr>
          <w:rFonts w:hint="cs"/>
          <w:rtl/>
        </w:rPr>
        <w:t xml:space="preserve">הכנסת </w:t>
      </w:r>
      <w:bookmarkStart w:id="19643" w:name="_ETM_Q30_273649"/>
      <w:bookmarkEnd w:id="19643"/>
      <w:r>
        <w:rPr>
          <w:rFonts w:hint="cs"/>
          <w:rtl/>
        </w:rPr>
        <w:t xml:space="preserve">והבטיח </w:t>
      </w:r>
      <w:bookmarkStart w:id="19644" w:name="_ETM_Q30_274100"/>
      <w:bookmarkEnd w:id="19644"/>
      <w:r>
        <w:rPr>
          <w:rFonts w:hint="cs"/>
          <w:rtl/>
        </w:rPr>
        <w:t>ל</w:t>
      </w:r>
      <w:bookmarkStart w:id="19645" w:name="_ETM_Q30_274459"/>
      <w:bookmarkEnd w:id="19645"/>
      <w:r>
        <w:rPr>
          <w:rFonts w:hint="cs"/>
          <w:rtl/>
        </w:rPr>
        <w:t xml:space="preserve">הקים </w:t>
      </w:r>
      <w:bookmarkStart w:id="19646" w:name="_ETM_Q30_274850"/>
      <w:bookmarkEnd w:id="19646"/>
      <w:r>
        <w:rPr>
          <w:rFonts w:hint="cs"/>
          <w:rtl/>
        </w:rPr>
        <w:t xml:space="preserve">ועדות על מנת שיטפל בכל ארגוני </w:t>
      </w:r>
      <w:bookmarkStart w:id="19647" w:name="_ETM_Q30_276902"/>
      <w:bookmarkEnd w:id="19647"/>
      <w:r>
        <w:rPr>
          <w:rFonts w:hint="cs"/>
          <w:rtl/>
        </w:rPr>
        <w:t xml:space="preserve">הפשיעה </w:t>
      </w:r>
      <w:bookmarkStart w:id="19648" w:name="_ETM_Q30_276819"/>
      <w:bookmarkStart w:id="19649" w:name="_ETM_Q30_277450"/>
      <w:bookmarkStart w:id="19650" w:name="_ETM_Q30_277780"/>
      <w:bookmarkStart w:id="19651" w:name="_ETM_Q30_278140"/>
      <w:bookmarkStart w:id="19652" w:name="_ETM_Q30_278680"/>
      <w:bookmarkStart w:id="19653" w:name="_ETM_Q30_279880"/>
      <w:bookmarkEnd w:id="19648"/>
      <w:bookmarkEnd w:id="19649"/>
      <w:bookmarkEnd w:id="19650"/>
      <w:bookmarkEnd w:id="19651"/>
      <w:bookmarkEnd w:id="19652"/>
      <w:bookmarkEnd w:id="19653"/>
      <w:r>
        <w:rPr>
          <w:rFonts w:hint="cs"/>
          <w:rtl/>
        </w:rPr>
        <w:t xml:space="preserve">שנמצאים ושעובדים </w:t>
      </w:r>
      <w:bookmarkStart w:id="19654" w:name="_ETM_Q30_280959"/>
      <w:bookmarkEnd w:id="19654"/>
      <w:r>
        <w:rPr>
          <w:rFonts w:hint="cs"/>
          <w:rtl/>
        </w:rPr>
        <w:t xml:space="preserve">בחברה </w:t>
      </w:r>
      <w:bookmarkStart w:id="19655" w:name="_ETM_Q30_281380"/>
      <w:bookmarkEnd w:id="19655"/>
      <w:r>
        <w:rPr>
          <w:rFonts w:hint="cs"/>
          <w:rtl/>
        </w:rPr>
        <w:t xml:space="preserve">הערבית. </w:t>
      </w:r>
      <w:bookmarkStart w:id="19656" w:name="_ETM_Q30_282119"/>
      <w:bookmarkEnd w:id="19656"/>
    </w:p>
    <w:p w:rsidR="00BB59CD" w:rsidRDefault="00BB59CD" w:rsidP="00BB59CD">
      <w:pPr>
        <w:rPr>
          <w:rtl/>
        </w:rPr>
      </w:pPr>
      <w:bookmarkStart w:id="19657" w:name="_ETM_Q30_306724"/>
      <w:bookmarkStart w:id="19658" w:name="_ETM_Q30_306821"/>
      <w:bookmarkEnd w:id="19657"/>
      <w:bookmarkEnd w:id="19658"/>
    </w:p>
    <w:p w:rsidR="00BB59CD" w:rsidRDefault="00BB59CD" w:rsidP="00A021B9">
      <w:pPr>
        <w:rPr>
          <w:rtl/>
        </w:rPr>
      </w:pPr>
      <w:bookmarkStart w:id="19659" w:name="_ETM_Q30_306875"/>
      <w:bookmarkStart w:id="19660" w:name="_ETM_Q30_306924"/>
      <w:bookmarkEnd w:id="19659"/>
      <w:bookmarkEnd w:id="19660"/>
      <w:r>
        <w:rPr>
          <w:rFonts w:hint="cs"/>
          <w:rtl/>
        </w:rPr>
        <w:t xml:space="preserve">הדרישה </w:t>
      </w:r>
      <w:bookmarkStart w:id="19661" w:name="_ETM_Q30_282750"/>
      <w:bookmarkEnd w:id="19661"/>
      <w:r>
        <w:rPr>
          <w:rFonts w:hint="cs"/>
          <w:rtl/>
        </w:rPr>
        <w:t xml:space="preserve">של </w:t>
      </w:r>
      <w:bookmarkStart w:id="19662" w:name="_ETM_Q30_282869"/>
      <w:bookmarkEnd w:id="19662"/>
      <w:r>
        <w:rPr>
          <w:rFonts w:hint="cs"/>
          <w:rtl/>
        </w:rPr>
        <w:t xml:space="preserve">הציבור </w:t>
      </w:r>
      <w:bookmarkStart w:id="19663" w:name="_ETM_Q30_283259"/>
      <w:bookmarkEnd w:id="19663"/>
      <w:r>
        <w:rPr>
          <w:rFonts w:hint="cs"/>
          <w:rtl/>
        </w:rPr>
        <w:t xml:space="preserve">הערבי </w:t>
      </w:r>
      <w:bookmarkStart w:id="19664" w:name="_ETM_Q30_283680"/>
      <w:bookmarkEnd w:id="19664"/>
      <w:r>
        <w:rPr>
          <w:rFonts w:hint="cs"/>
          <w:rtl/>
        </w:rPr>
        <w:t xml:space="preserve">מכל </w:t>
      </w:r>
      <w:bookmarkStart w:id="19665" w:name="_ETM_Q30_283860"/>
      <w:bookmarkEnd w:id="19665"/>
      <w:r>
        <w:rPr>
          <w:rFonts w:hint="cs"/>
          <w:rtl/>
        </w:rPr>
        <w:t xml:space="preserve">ממשלה </w:t>
      </w:r>
      <w:bookmarkStart w:id="19666" w:name="_ETM_Q30_284189"/>
      <w:bookmarkEnd w:id="19666"/>
      <w:r>
        <w:rPr>
          <w:rFonts w:hint="cs"/>
          <w:rtl/>
        </w:rPr>
        <w:t>בישראל</w:t>
      </w:r>
      <w:bookmarkStart w:id="19667" w:name="_ETM_Q30_285069"/>
      <w:bookmarkEnd w:id="19667"/>
      <w:r>
        <w:rPr>
          <w:rFonts w:hint="cs"/>
          <w:rtl/>
        </w:rPr>
        <w:t xml:space="preserve"> </w:t>
      </w:r>
      <w:bookmarkStart w:id="19668" w:name="_ETM_Q30_285670"/>
      <w:bookmarkEnd w:id="19668"/>
      <w:r>
        <w:rPr>
          <w:rFonts w:hint="cs"/>
          <w:rtl/>
        </w:rPr>
        <w:t xml:space="preserve">ומהממסד </w:t>
      </w:r>
      <w:bookmarkStart w:id="19669" w:name="_ETM_Q30_286209"/>
      <w:bookmarkEnd w:id="19669"/>
      <w:r>
        <w:rPr>
          <w:rFonts w:hint="cs"/>
          <w:rtl/>
        </w:rPr>
        <w:t xml:space="preserve">עצמו, </w:t>
      </w:r>
      <w:bookmarkStart w:id="19670" w:name="_ETM_Q30_287779"/>
      <w:bookmarkStart w:id="19671" w:name="_ETM_Q30_288380"/>
      <w:bookmarkStart w:id="19672" w:name="_ETM_Q30_288740"/>
      <w:bookmarkStart w:id="19673" w:name="_ETM_Q30_289369"/>
      <w:bookmarkStart w:id="19674" w:name="_ETM_Q30_289759"/>
      <w:bookmarkEnd w:id="19670"/>
      <w:bookmarkEnd w:id="19671"/>
      <w:bookmarkEnd w:id="19672"/>
      <w:bookmarkEnd w:id="19673"/>
      <w:bookmarkEnd w:id="19674"/>
      <w:r>
        <w:rPr>
          <w:rFonts w:hint="cs"/>
          <w:rtl/>
        </w:rPr>
        <w:t xml:space="preserve">הדרישה של האזרחים הערבים, היא </w:t>
      </w:r>
      <w:bookmarkStart w:id="19675" w:name="_ETM_Q30_289999"/>
      <w:bookmarkEnd w:id="19675"/>
      <w:r>
        <w:rPr>
          <w:rFonts w:hint="cs"/>
          <w:rtl/>
        </w:rPr>
        <w:t xml:space="preserve">הגנה. </w:t>
      </w:r>
      <w:bookmarkStart w:id="19676" w:name="_ETM_Q30_290599"/>
      <w:bookmarkEnd w:id="19676"/>
      <w:r>
        <w:rPr>
          <w:rFonts w:hint="cs"/>
          <w:rtl/>
        </w:rPr>
        <w:t xml:space="preserve">אנחנו </w:t>
      </w:r>
      <w:bookmarkStart w:id="19677" w:name="_ETM_Q30_290869"/>
      <w:bookmarkEnd w:id="19677"/>
      <w:r>
        <w:rPr>
          <w:rFonts w:hint="cs"/>
          <w:rtl/>
        </w:rPr>
        <w:t xml:space="preserve">מבקשים </w:t>
      </w:r>
      <w:bookmarkStart w:id="19678" w:name="_ETM_Q30_291289"/>
      <w:bookmarkEnd w:id="19678"/>
      <w:r>
        <w:rPr>
          <w:rFonts w:hint="cs"/>
          <w:rtl/>
        </w:rPr>
        <w:t xml:space="preserve">הגנה. </w:t>
      </w:r>
      <w:bookmarkStart w:id="19679" w:name="_ETM_Q30_292390"/>
      <w:bookmarkEnd w:id="19679"/>
      <w:r>
        <w:rPr>
          <w:rFonts w:hint="cs"/>
          <w:rtl/>
        </w:rPr>
        <w:t xml:space="preserve">מבקשים </w:t>
      </w:r>
      <w:bookmarkStart w:id="19680" w:name="_ETM_Q30_292720"/>
      <w:bookmarkEnd w:id="19680"/>
      <w:r>
        <w:rPr>
          <w:rFonts w:hint="cs"/>
          <w:rtl/>
        </w:rPr>
        <w:t xml:space="preserve">שהמדינה </w:t>
      </w:r>
      <w:bookmarkStart w:id="19681" w:name="_ETM_Q30_293170"/>
      <w:bookmarkEnd w:id="19681"/>
      <w:r>
        <w:rPr>
          <w:rFonts w:hint="cs"/>
          <w:rtl/>
        </w:rPr>
        <w:t xml:space="preserve">תטפל </w:t>
      </w:r>
      <w:bookmarkStart w:id="19682" w:name="_ETM_Q30_294159"/>
      <w:bookmarkEnd w:id="19682"/>
      <w:r>
        <w:rPr>
          <w:rFonts w:hint="cs"/>
          <w:rtl/>
        </w:rPr>
        <w:t xml:space="preserve">בכל </w:t>
      </w:r>
      <w:bookmarkStart w:id="19683" w:name="_ETM_Q30_294460"/>
      <w:bookmarkEnd w:id="19683"/>
      <w:r>
        <w:rPr>
          <w:rFonts w:hint="cs"/>
          <w:rtl/>
        </w:rPr>
        <w:t xml:space="preserve">מה </w:t>
      </w:r>
      <w:bookmarkStart w:id="19684" w:name="_ETM_Q30_294580"/>
      <w:bookmarkEnd w:id="19684"/>
      <w:r>
        <w:rPr>
          <w:rFonts w:hint="cs"/>
          <w:rtl/>
        </w:rPr>
        <w:t xml:space="preserve">שקורה </w:t>
      </w:r>
      <w:bookmarkStart w:id="19685" w:name="_ETM_Q30_294880"/>
      <w:bookmarkEnd w:id="19685"/>
      <w:r>
        <w:rPr>
          <w:rFonts w:hint="cs"/>
          <w:rtl/>
        </w:rPr>
        <w:t xml:space="preserve">בחברה </w:t>
      </w:r>
      <w:bookmarkStart w:id="19686" w:name="_ETM_Q30_295240"/>
      <w:bookmarkEnd w:id="19686"/>
      <w:r>
        <w:rPr>
          <w:rFonts w:hint="cs"/>
          <w:rtl/>
        </w:rPr>
        <w:t xml:space="preserve">הערבית </w:t>
      </w:r>
      <w:bookmarkStart w:id="19687" w:name="_ETM_Q30_296080"/>
      <w:bookmarkEnd w:id="19687"/>
      <w:r>
        <w:rPr>
          <w:rFonts w:hint="cs"/>
          <w:rtl/>
        </w:rPr>
        <w:t xml:space="preserve">ותביא </w:t>
      </w:r>
      <w:bookmarkStart w:id="19688" w:name="_ETM_Q30_296680"/>
      <w:bookmarkEnd w:id="19688"/>
      <w:r>
        <w:rPr>
          <w:rFonts w:hint="cs"/>
          <w:rtl/>
        </w:rPr>
        <w:t xml:space="preserve">לפתרון </w:t>
      </w:r>
      <w:bookmarkStart w:id="19689" w:name="_ETM_Q30_297490"/>
      <w:bookmarkEnd w:id="19689"/>
      <w:r>
        <w:rPr>
          <w:rFonts w:hint="cs"/>
          <w:rtl/>
        </w:rPr>
        <w:t xml:space="preserve">הסוגיה </w:t>
      </w:r>
      <w:bookmarkStart w:id="19690" w:name="_ETM_Q30_297850"/>
      <w:bookmarkEnd w:id="19690"/>
      <w:r>
        <w:rPr>
          <w:rFonts w:hint="cs"/>
          <w:rtl/>
        </w:rPr>
        <w:t xml:space="preserve">הזאת. </w:t>
      </w:r>
      <w:bookmarkStart w:id="19691" w:name="_ETM_Q30_298150"/>
      <w:bookmarkEnd w:id="19691"/>
      <w:r>
        <w:rPr>
          <w:rFonts w:hint="cs"/>
          <w:rtl/>
        </w:rPr>
        <w:t xml:space="preserve">לא </w:t>
      </w:r>
      <w:bookmarkStart w:id="19692" w:name="_ETM_Q30_298540"/>
      <w:bookmarkEnd w:id="19692"/>
      <w:r>
        <w:rPr>
          <w:rFonts w:hint="cs"/>
          <w:rtl/>
        </w:rPr>
        <w:t xml:space="preserve">ייתכן </w:t>
      </w:r>
      <w:bookmarkStart w:id="19693" w:name="_ETM_Q30_299530"/>
      <w:bookmarkEnd w:id="19693"/>
      <w:r>
        <w:rPr>
          <w:rFonts w:hint="cs"/>
          <w:rtl/>
        </w:rPr>
        <w:t xml:space="preserve">שממשלה </w:t>
      </w:r>
      <w:bookmarkStart w:id="19694" w:name="_ETM_Q30_300250"/>
      <w:bookmarkEnd w:id="19694"/>
      <w:r>
        <w:rPr>
          <w:rFonts w:hint="cs"/>
          <w:rtl/>
        </w:rPr>
        <w:t xml:space="preserve">אחרי </w:t>
      </w:r>
      <w:bookmarkStart w:id="19695" w:name="_ETM_Q30_300490"/>
      <w:bookmarkEnd w:id="19695"/>
      <w:r>
        <w:rPr>
          <w:rFonts w:hint="cs"/>
          <w:rtl/>
        </w:rPr>
        <w:t xml:space="preserve">ממשלה </w:t>
      </w:r>
      <w:bookmarkStart w:id="19696" w:name="_ETM_Q30_301119"/>
      <w:bookmarkEnd w:id="19696"/>
      <w:r>
        <w:rPr>
          <w:rFonts w:hint="cs"/>
          <w:rtl/>
        </w:rPr>
        <w:t xml:space="preserve">מזניחות </w:t>
      </w:r>
      <w:bookmarkStart w:id="19697" w:name="_ETM_Q30_301600"/>
      <w:bookmarkEnd w:id="19697"/>
      <w:r>
        <w:rPr>
          <w:rFonts w:hint="cs"/>
          <w:rtl/>
        </w:rPr>
        <w:t xml:space="preserve">את </w:t>
      </w:r>
      <w:bookmarkStart w:id="19698" w:name="_ETM_Q30_301720"/>
      <w:bookmarkEnd w:id="19698"/>
      <w:r>
        <w:rPr>
          <w:rFonts w:hint="cs"/>
          <w:rtl/>
        </w:rPr>
        <w:t xml:space="preserve">הנושא </w:t>
      </w:r>
      <w:bookmarkStart w:id="19699" w:name="_ETM_Q30_302050"/>
      <w:bookmarkEnd w:id="19699"/>
      <w:r>
        <w:rPr>
          <w:rFonts w:hint="cs"/>
          <w:rtl/>
        </w:rPr>
        <w:t xml:space="preserve">הזה. </w:t>
      </w:r>
      <w:bookmarkStart w:id="19700" w:name="_ETM_Q30_302260"/>
      <w:bookmarkEnd w:id="19700"/>
      <w:r>
        <w:rPr>
          <w:rFonts w:hint="cs"/>
          <w:rtl/>
        </w:rPr>
        <w:t xml:space="preserve">ואני </w:t>
      </w:r>
      <w:bookmarkStart w:id="19701" w:name="_ETM_Q30_302470"/>
      <w:bookmarkEnd w:id="19701"/>
      <w:r>
        <w:rPr>
          <w:rFonts w:hint="cs"/>
          <w:rtl/>
        </w:rPr>
        <w:t xml:space="preserve">מזכיר </w:t>
      </w:r>
      <w:bookmarkStart w:id="19702" w:name="_ETM_Q30_302740"/>
      <w:bookmarkEnd w:id="19702"/>
      <w:r>
        <w:rPr>
          <w:rFonts w:hint="cs"/>
          <w:rtl/>
        </w:rPr>
        <w:t xml:space="preserve">לכולם, </w:t>
      </w:r>
      <w:bookmarkStart w:id="19703" w:name="_ETM_Q30_303550"/>
      <w:bookmarkEnd w:id="19703"/>
      <w:r>
        <w:rPr>
          <w:rFonts w:hint="cs"/>
          <w:rtl/>
        </w:rPr>
        <w:t xml:space="preserve">כאשר </w:t>
      </w:r>
      <w:bookmarkStart w:id="19704" w:name="_ETM_Q30_304000"/>
      <w:bookmarkEnd w:id="19704"/>
      <w:r>
        <w:rPr>
          <w:rFonts w:hint="cs"/>
          <w:rtl/>
        </w:rPr>
        <w:t xml:space="preserve">רע"מ </w:t>
      </w:r>
      <w:bookmarkStart w:id="19705" w:name="_ETM_Q30_304330"/>
      <w:bookmarkStart w:id="19706" w:name="_ETM_Q30_304450"/>
      <w:bookmarkEnd w:id="19705"/>
      <w:bookmarkEnd w:id="19706"/>
      <w:r>
        <w:rPr>
          <w:rFonts w:hint="cs"/>
          <w:rtl/>
        </w:rPr>
        <w:t xml:space="preserve">הייתה </w:t>
      </w:r>
      <w:bookmarkStart w:id="19707" w:name="_ETM_Q30_304690"/>
      <w:bookmarkEnd w:id="19707"/>
      <w:r>
        <w:rPr>
          <w:rFonts w:hint="cs"/>
          <w:rtl/>
        </w:rPr>
        <w:t xml:space="preserve">שותפה </w:t>
      </w:r>
      <w:bookmarkStart w:id="19708" w:name="_ETM_Q30_305050"/>
      <w:bookmarkEnd w:id="19708"/>
      <w:r>
        <w:rPr>
          <w:rFonts w:hint="cs"/>
          <w:rtl/>
        </w:rPr>
        <w:t xml:space="preserve">בממשלה </w:t>
      </w:r>
      <w:bookmarkStart w:id="19709" w:name="_ETM_Q30_305530"/>
      <w:bookmarkEnd w:id="19709"/>
      <w:r>
        <w:rPr>
          <w:rFonts w:hint="cs"/>
          <w:rtl/>
        </w:rPr>
        <w:t xml:space="preserve">הקודמת </w:t>
      </w:r>
      <w:bookmarkStart w:id="19710" w:name="_ETM_Q30_306409"/>
      <w:bookmarkEnd w:id="19710"/>
      <w:r>
        <w:rPr>
          <w:rFonts w:hint="cs"/>
          <w:rtl/>
        </w:rPr>
        <w:t xml:space="preserve">אנחנו </w:t>
      </w:r>
      <w:bookmarkStart w:id="19711" w:name="_ETM_Q30_306830"/>
      <w:bookmarkEnd w:id="19711"/>
      <w:r>
        <w:rPr>
          <w:rFonts w:hint="cs"/>
          <w:rtl/>
        </w:rPr>
        <w:t xml:space="preserve">הצלחנו, </w:t>
      </w:r>
      <w:bookmarkStart w:id="19712" w:name="_ETM_Q30_307820"/>
      <w:bookmarkEnd w:id="19712"/>
      <w:r>
        <w:rPr>
          <w:rFonts w:hint="cs"/>
          <w:rtl/>
        </w:rPr>
        <w:t xml:space="preserve">יחד </w:t>
      </w:r>
      <w:bookmarkStart w:id="19713" w:name="_ETM_Q30_308209"/>
      <w:bookmarkEnd w:id="19713"/>
      <w:r>
        <w:rPr>
          <w:rFonts w:hint="cs"/>
          <w:rtl/>
        </w:rPr>
        <w:t xml:space="preserve">עם </w:t>
      </w:r>
      <w:bookmarkStart w:id="19714" w:name="_ETM_Q30_308330"/>
      <w:bookmarkEnd w:id="19714"/>
      <w:r>
        <w:rPr>
          <w:rFonts w:hint="cs"/>
          <w:rtl/>
        </w:rPr>
        <w:t xml:space="preserve">השותפים </w:t>
      </w:r>
      <w:bookmarkStart w:id="19715" w:name="_ETM_Q30_308810"/>
      <w:bookmarkEnd w:id="19715"/>
      <w:r>
        <w:rPr>
          <w:rFonts w:hint="cs"/>
          <w:rtl/>
        </w:rPr>
        <w:t xml:space="preserve">שלנו, </w:t>
      </w:r>
      <w:bookmarkStart w:id="19716" w:name="_ETM_Q30_309350"/>
      <w:bookmarkEnd w:id="19716"/>
      <w:r>
        <w:rPr>
          <w:rFonts w:hint="cs"/>
          <w:rtl/>
        </w:rPr>
        <w:t xml:space="preserve">להוריד </w:t>
      </w:r>
      <w:bookmarkStart w:id="19717" w:name="_ETM_Q30_309740"/>
      <w:bookmarkEnd w:id="19717"/>
      <w:r>
        <w:rPr>
          <w:rFonts w:hint="cs"/>
          <w:rtl/>
        </w:rPr>
        <w:t xml:space="preserve">את </w:t>
      </w:r>
      <w:bookmarkStart w:id="19718" w:name="_ETM_Q30_310400"/>
      <w:bookmarkEnd w:id="19718"/>
      <w:r>
        <w:rPr>
          <w:rFonts w:hint="cs"/>
          <w:rtl/>
        </w:rPr>
        <w:t xml:space="preserve">רמת </w:t>
      </w:r>
      <w:bookmarkStart w:id="19719" w:name="_ETM_Q30_310700"/>
      <w:bookmarkEnd w:id="19719"/>
      <w:r>
        <w:rPr>
          <w:rFonts w:hint="cs"/>
          <w:rtl/>
        </w:rPr>
        <w:t xml:space="preserve">הפשיעה </w:t>
      </w:r>
      <w:bookmarkStart w:id="19720" w:name="_ETM_Q30_311000"/>
      <w:bookmarkEnd w:id="19720"/>
      <w:r>
        <w:rPr>
          <w:rFonts w:hint="cs"/>
          <w:rtl/>
        </w:rPr>
        <w:t xml:space="preserve">בחברה </w:t>
      </w:r>
      <w:bookmarkStart w:id="19721" w:name="_ETM_Q30_311300"/>
      <w:bookmarkEnd w:id="19721"/>
      <w:r>
        <w:rPr>
          <w:rFonts w:hint="cs"/>
          <w:rtl/>
        </w:rPr>
        <w:t xml:space="preserve">הערבית. </w:t>
      </w:r>
      <w:bookmarkStart w:id="19722" w:name="_ETM_Q30_312250"/>
      <w:bookmarkStart w:id="19723" w:name="_ETM_Q30_306355"/>
      <w:bookmarkEnd w:id="19722"/>
      <w:bookmarkEnd w:id="19723"/>
      <w:r>
        <w:rPr>
          <w:rFonts w:hint="cs"/>
          <w:rtl/>
        </w:rPr>
        <w:t xml:space="preserve">אנחנו </w:t>
      </w:r>
      <w:bookmarkStart w:id="19724" w:name="_ETM_Q30_312760"/>
      <w:bookmarkStart w:id="19725" w:name="_ETM_Q30_312940"/>
      <w:bookmarkEnd w:id="19724"/>
      <w:bookmarkEnd w:id="19725"/>
      <w:r>
        <w:rPr>
          <w:rFonts w:hint="cs"/>
          <w:rtl/>
        </w:rPr>
        <w:t xml:space="preserve">דורשים </w:t>
      </w:r>
      <w:bookmarkStart w:id="19726" w:name="_ETM_Q30_313239"/>
      <w:bookmarkEnd w:id="19726"/>
      <w:r>
        <w:rPr>
          <w:rFonts w:hint="cs"/>
          <w:rtl/>
        </w:rPr>
        <w:t xml:space="preserve">את </w:t>
      </w:r>
      <w:bookmarkStart w:id="19727" w:name="_ETM_Q30_313300"/>
      <w:bookmarkEnd w:id="19727"/>
      <w:r>
        <w:rPr>
          <w:rFonts w:hint="cs"/>
          <w:rtl/>
        </w:rPr>
        <w:t xml:space="preserve">זה </w:t>
      </w:r>
      <w:bookmarkStart w:id="19728" w:name="_ETM_Q30_313450"/>
      <w:bookmarkStart w:id="19729" w:name="_ETM_Q30_314290"/>
      <w:bookmarkEnd w:id="19728"/>
      <w:bookmarkEnd w:id="19729"/>
      <w:r>
        <w:rPr>
          <w:rFonts w:hint="cs"/>
          <w:rtl/>
        </w:rPr>
        <w:t xml:space="preserve">גם עכשיו מראש </w:t>
      </w:r>
      <w:bookmarkStart w:id="19730" w:name="_ETM_Q30_314530"/>
      <w:bookmarkEnd w:id="19730"/>
      <w:r>
        <w:rPr>
          <w:rFonts w:hint="cs"/>
          <w:rtl/>
        </w:rPr>
        <w:t xml:space="preserve">הממשלה </w:t>
      </w:r>
      <w:bookmarkStart w:id="19731" w:name="_ETM_Q30_314919"/>
      <w:bookmarkEnd w:id="19731"/>
      <w:r>
        <w:rPr>
          <w:rFonts w:hint="cs"/>
          <w:rtl/>
        </w:rPr>
        <w:t>נתניהו</w:t>
      </w:r>
      <w:r w:rsidR="00A021B9">
        <w:rPr>
          <w:rFonts w:hint="cs"/>
          <w:rtl/>
        </w:rPr>
        <w:t xml:space="preserve">; </w:t>
      </w:r>
      <w:r>
        <w:rPr>
          <w:rFonts w:hint="cs"/>
          <w:rtl/>
        </w:rPr>
        <w:t xml:space="preserve">שיתערב </w:t>
      </w:r>
      <w:bookmarkStart w:id="19732" w:name="_ETM_Q30_316780"/>
      <w:bookmarkEnd w:id="19732"/>
      <w:r>
        <w:rPr>
          <w:rFonts w:hint="cs"/>
          <w:rtl/>
        </w:rPr>
        <w:t xml:space="preserve">בנושא </w:t>
      </w:r>
      <w:bookmarkStart w:id="19733" w:name="_ETM_Q30_317139"/>
      <w:bookmarkEnd w:id="19733"/>
      <w:r>
        <w:rPr>
          <w:rFonts w:hint="cs"/>
          <w:rtl/>
        </w:rPr>
        <w:t xml:space="preserve">הזה, יקבל החלטות, </w:t>
      </w:r>
      <w:bookmarkStart w:id="19734" w:name="_ETM_Q30_317560"/>
      <w:bookmarkStart w:id="19735" w:name="_ETM_Q30_317800"/>
      <w:bookmarkStart w:id="19736" w:name="_ETM_Q30_318160"/>
      <w:bookmarkStart w:id="19737" w:name="_ETM_Q30_318550"/>
      <w:bookmarkStart w:id="19738" w:name="_ETM_Q30_319690"/>
      <w:bookmarkStart w:id="19739" w:name="_ETM_Q30_319840"/>
      <w:bookmarkEnd w:id="19734"/>
      <w:bookmarkEnd w:id="19735"/>
      <w:bookmarkEnd w:id="19736"/>
      <w:bookmarkEnd w:id="19737"/>
      <w:bookmarkEnd w:id="19738"/>
      <w:bookmarkEnd w:id="19739"/>
      <w:r>
        <w:rPr>
          <w:rFonts w:hint="cs"/>
          <w:rtl/>
        </w:rPr>
        <w:t xml:space="preserve">כי זה </w:t>
      </w:r>
      <w:bookmarkStart w:id="19740" w:name="_ETM_Q30_320020"/>
      <w:bookmarkEnd w:id="19740"/>
      <w:r>
        <w:rPr>
          <w:rFonts w:hint="cs"/>
          <w:rtl/>
        </w:rPr>
        <w:t xml:space="preserve">אינטרס </w:t>
      </w:r>
      <w:bookmarkStart w:id="19741" w:name="_ETM_Q30_320620"/>
      <w:bookmarkEnd w:id="19741"/>
      <w:r>
        <w:rPr>
          <w:rFonts w:hint="cs"/>
          <w:rtl/>
        </w:rPr>
        <w:t xml:space="preserve">לא </w:t>
      </w:r>
      <w:bookmarkStart w:id="19742" w:name="_ETM_Q30_320889"/>
      <w:bookmarkEnd w:id="19742"/>
      <w:r>
        <w:rPr>
          <w:rFonts w:hint="cs"/>
          <w:rtl/>
        </w:rPr>
        <w:t xml:space="preserve">של </w:t>
      </w:r>
      <w:bookmarkStart w:id="19743" w:name="_ETM_Q30_321100"/>
      <w:bookmarkEnd w:id="19743"/>
      <w:r>
        <w:rPr>
          <w:rFonts w:hint="cs"/>
          <w:rtl/>
        </w:rPr>
        <w:t xml:space="preserve">החברה </w:t>
      </w:r>
      <w:bookmarkStart w:id="19744" w:name="_ETM_Q30_321460"/>
      <w:bookmarkEnd w:id="19744"/>
      <w:r>
        <w:rPr>
          <w:rFonts w:hint="cs"/>
          <w:rtl/>
        </w:rPr>
        <w:t xml:space="preserve">הערבית </w:t>
      </w:r>
      <w:bookmarkStart w:id="19745" w:name="_ETM_Q30_321730"/>
      <w:bookmarkEnd w:id="19745"/>
      <w:r>
        <w:rPr>
          <w:rFonts w:hint="cs"/>
          <w:rtl/>
        </w:rPr>
        <w:t xml:space="preserve">בלבד, </w:t>
      </w:r>
      <w:bookmarkStart w:id="19746" w:name="_ETM_Q30_322060"/>
      <w:bookmarkEnd w:id="19746"/>
      <w:r>
        <w:rPr>
          <w:rFonts w:hint="cs"/>
          <w:rtl/>
        </w:rPr>
        <w:t xml:space="preserve">זה </w:t>
      </w:r>
      <w:bookmarkStart w:id="19747" w:name="_ETM_Q30_322210"/>
      <w:bookmarkEnd w:id="19747"/>
      <w:r>
        <w:rPr>
          <w:rFonts w:hint="cs"/>
          <w:rtl/>
        </w:rPr>
        <w:t xml:space="preserve">אינטרס </w:t>
      </w:r>
      <w:bookmarkStart w:id="19748" w:name="_ETM_Q30_322810"/>
      <w:bookmarkEnd w:id="19748"/>
      <w:r>
        <w:rPr>
          <w:rFonts w:hint="cs"/>
          <w:rtl/>
        </w:rPr>
        <w:t xml:space="preserve">של </w:t>
      </w:r>
      <w:bookmarkStart w:id="19749" w:name="_ETM_Q30_323020"/>
      <w:bookmarkEnd w:id="19749"/>
      <w:r>
        <w:rPr>
          <w:rFonts w:hint="cs"/>
          <w:rtl/>
        </w:rPr>
        <w:t xml:space="preserve">כלל </w:t>
      </w:r>
      <w:bookmarkStart w:id="19750" w:name="_ETM_Q30_323230"/>
      <w:bookmarkEnd w:id="19750"/>
      <w:r>
        <w:rPr>
          <w:rFonts w:hint="cs"/>
          <w:rtl/>
        </w:rPr>
        <w:t xml:space="preserve">אזרחי </w:t>
      </w:r>
      <w:bookmarkStart w:id="19751" w:name="_ETM_Q30_323560"/>
      <w:bookmarkEnd w:id="19751"/>
      <w:r>
        <w:rPr>
          <w:rFonts w:hint="cs"/>
          <w:rtl/>
        </w:rPr>
        <w:t xml:space="preserve">המדינה. </w:t>
      </w:r>
      <w:bookmarkStart w:id="19752" w:name="_ETM_Q30_324980"/>
      <w:bookmarkEnd w:id="19752"/>
      <w:r>
        <w:rPr>
          <w:rFonts w:hint="cs"/>
          <w:rtl/>
        </w:rPr>
        <w:t>תודה.</w:t>
      </w:r>
    </w:p>
    <w:p w:rsidR="00BB59CD" w:rsidRDefault="00BB59CD" w:rsidP="00BB59CD">
      <w:pPr>
        <w:ind w:firstLine="0"/>
        <w:rPr>
          <w:rtl/>
        </w:rPr>
      </w:pPr>
      <w:bookmarkStart w:id="19753" w:name="_ETM_Q30_324160"/>
      <w:bookmarkStart w:id="19754" w:name="_ETM_Q30_324294"/>
      <w:bookmarkStart w:id="19755" w:name="_ETM_Q30_324368"/>
      <w:bookmarkStart w:id="19756" w:name="_ETM_Q30_324486"/>
      <w:bookmarkStart w:id="19757" w:name="_ETM_Q30_324576"/>
      <w:bookmarkEnd w:id="19753"/>
      <w:bookmarkEnd w:id="19754"/>
      <w:bookmarkEnd w:id="19755"/>
      <w:bookmarkEnd w:id="19756"/>
      <w:bookmarkEnd w:id="19757"/>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19758" w:name="_ETM_Q30_331791"/>
      <w:bookmarkEnd w:id="19758"/>
      <w:r>
        <w:rPr>
          <w:rFonts w:hint="cs"/>
          <w:rtl/>
        </w:rPr>
        <w:t xml:space="preserve">תודה. </w:t>
      </w:r>
      <w:bookmarkStart w:id="19759" w:name="_ETM_Q30_334333"/>
      <w:bookmarkStart w:id="19760" w:name="_ETM_Q30_334423"/>
      <w:bookmarkStart w:id="19761" w:name="_ETM_Q30_334509"/>
      <w:bookmarkStart w:id="19762" w:name="_ETM_Q30_334608"/>
      <w:bookmarkStart w:id="19763" w:name="_ETM_Q30_324684"/>
      <w:bookmarkStart w:id="19764" w:name="_ETM_Q30_324768"/>
      <w:bookmarkStart w:id="19765" w:name="_ETM_Q30_324885"/>
      <w:bookmarkStart w:id="19766" w:name="_ETM_Q30_327810"/>
      <w:bookmarkEnd w:id="19759"/>
      <w:bookmarkEnd w:id="19760"/>
      <w:bookmarkEnd w:id="19761"/>
      <w:bookmarkEnd w:id="19762"/>
      <w:bookmarkEnd w:id="19763"/>
      <w:bookmarkEnd w:id="19764"/>
      <w:bookmarkEnd w:id="19765"/>
      <w:bookmarkEnd w:id="19766"/>
      <w:r>
        <w:rPr>
          <w:rFonts w:hint="cs"/>
          <w:rtl/>
        </w:rPr>
        <w:t xml:space="preserve">חברת </w:t>
      </w:r>
      <w:bookmarkStart w:id="19767" w:name="_ETM_Q30_328230"/>
      <w:bookmarkEnd w:id="19767"/>
      <w:r>
        <w:rPr>
          <w:rFonts w:hint="cs"/>
          <w:rtl/>
        </w:rPr>
        <w:t xml:space="preserve">הכנסת </w:t>
      </w:r>
      <w:bookmarkStart w:id="19768" w:name="_ETM_Q30_328590"/>
      <w:bookmarkEnd w:id="19768"/>
      <w:r>
        <w:rPr>
          <w:rFonts w:hint="cs"/>
          <w:rtl/>
        </w:rPr>
        <w:t xml:space="preserve">מרב </w:t>
      </w:r>
      <w:bookmarkStart w:id="19769" w:name="_ETM_Q30_328830"/>
      <w:bookmarkEnd w:id="19769"/>
      <w:r>
        <w:rPr>
          <w:rFonts w:hint="cs"/>
          <w:rtl/>
        </w:rPr>
        <w:t>מיכאלי.</w:t>
      </w:r>
    </w:p>
    <w:p w:rsidR="00BB59CD" w:rsidRDefault="00BB59CD" w:rsidP="00BB59CD">
      <w:pPr>
        <w:rPr>
          <w:rtl/>
        </w:rPr>
      </w:pPr>
      <w:bookmarkStart w:id="19770" w:name="_ETM_Q30_341998"/>
      <w:bookmarkStart w:id="19771" w:name="_ETM_Q30_342119"/>
      <w:bookmarkStart w:id="19772" w:name="_ETM_Q30_342189"/>
      <w:bookmarkEnd w:id="19770"/>
      <w:bookmarkEnd w:id="19771"/>
      <w:bookmarkEnd w:id="19772"/>
    </w:p>
    <w:p w:rsidR="00BB59CD" w:rsidRDefault="00BB59CD" w:rsidP="00BB59CD">
      <w:pPr>
        <w:pStyle w:val="a5"/>
        <w:keepNext/>
        <w:rPr>
          <w:rtl/>
        </w:rPr>
      </w:pPr>
      <w:bookmarkStart w:id="19773" w:name="_ETM_Q30_342289"/>
      <w:bookmarkStart w:id="19774" w:name="_ETM_Q30_345630"/>
      <w:bookmarkStart w:id="19775" w:name="ET_speaker_5090_4"/>
      <w:bookmarkEnd w:id="19773"/>
      <w:bookmarkEnd w:id="19774"/>
      <w:r>
        <w:rPr>
          <w:rStyle w:val="TagStyle"/>
          <w:rFonts w:hint="cs"/>
          <w:rtl/>
        </w:rPr>
        <w:t xml:space="preserve"> &lt;&lt; דובר &gt;&gt; </w:t>
      </w:r>
      <w:bookmarkStart w:id="19776" w:name="_Toc141197145"/>
      <w:bookmarkStart w:id="19777" w:name="_Toc141196881"/>
      <w:bookmarkStart w:id="19778" w:name="_Toc141040472"/>
      <w:bookmarkStart w:id="19779" w:name="_Toc141034703"/>
      <w:r>
        <w:rPr>
          <w:rFonts w:hint="cs"/>
          <w:rtl/>
        </w:rPr>
        <w:t>מרב מיכאלי (העבודה):</w:t>
      </w:r>
      <w:bookmarkEnd w:id="19776"/>
      <w:bookmarkEnd w:id="19777"/>
      <w:bookmarkEnd w:id="19778"/>
      <w:bookmarkEnd w:id="19779"/>
      <w:r>
        <w:rPr>
          <w:rStyle w:val="TagStyle"/>
          <w:rFonts w:hint="cs"/>
          <w:rtl/>
        </w:rPr>
        <w:t xml:space="preserve"> &lt;&lt; דובר &gt;&gt;</w:t>
      </w:r>
      <w:r>
        <w:rPr>
          <w:rFonts w:hint="cs"/>
          <w:rtl/>
        </w:rPr>
        <w:t xml:space="preserve">   </w:t>
      </w:r>
      <w:bookmarkEnd w:id="19775"/>
    </w:p>
    <w:p w:rsidR="00BB59CD" w:rsidRDefault="00BB59CD" w:rsidP="00337201">
      <w:pPr>
        <w:rPr>
          <w:rtl/>
        </w:rPr>
      </w:pPr>
    </w:p>
    <w:p w:rsidR="00BB59CD" w:rsidRDefault="00BB59CD" w:rsidP="00A021B9">
      <w:pPr>
        <w:rPr>
          <w:rtl/>
        </w:rPr>
      </w:pPr>
      <w:bookmarkStart w:id="19780" w:name="_ETM_Q30_346357"/>
      <w:bookmarkStart w:id="19781" w:name="_ETM_Q30_346405"/>
      <w:bookmarkStart w:id="19782" w:name="_ETM_Q30_342381"/>
      <w:bookmarkStart w:id="19783" w:name="_ETM_Q30_342476"/>
      <w:bookmarkStart w:id="19784" w:name="_ETM_Q30_342574"/>
      <w:bookmarkStart w:id="19785" w:name="_ETM_Q30_342702"/>
      <w:bookmarkStart w:id="19786" w:name="_ETM_Q30_357980"/>
      <w:bookmarkStart w:id="19787" w:name="_ETM_Q30_358070"/>
      <w:bookmarkStart w:id="19788" w:name="_ETM_Q30_365730"/>
      <w:bookmarkEnd w:id="19780"/>
      <w:bookmarkEnd w:id="19781"/>
      <w:bookmarkEnd w:id="19782"/>
      <w:bookmarkEnd w:id="19783"/>
      <w:bookmarkEnd w:id="19784"/>
      <w:bookmarkEnd w:id="19785"/>
      <w:bookmarkEnd w:id="19786"/>
      <w:bookmarkEnd w:id="19787"/>
      <w:bookmarkEnd w:id="19788"/>
      <w:r>
        <w:rPr>
          <w:rFonts w:hint="cs"/>
          <w:rtl/>
        </w:rPr>
        <w:t xml:space="preserve">אדוני </w:t>
      </w:r>
      <w:bookmarkStart w:id="19789" w:name="_ETM_Q30_366090"/>
      <w:bookmarkEnd w:id="19789"/>
      <w:r>
        <w:rPr>
          <w:rFonts w:hint="cs"/>
          <w:rtl/>
        </w:rPr>
        <w:t xml:space="preserve">היושב-ראש, </w:t>
      </w:r>
      <w:bookmarkStart w:id="19790" w:name="_ETM_Q30_367370"/>
      <w:bookmarkEnd w:id="19790"/>
      <w:r>
        <w:rPr>
          <w:rFonts w:hint="cs"/>
          <w:rtl/>
        </w:rPr>
        <w:t xml:space="preserve">כנסת </w:t>
      </w:r>
      <w:bookmarkStart w:id="19791" w:name="_ETM_Q30_367849"/>
      <w:bookmarkEnd w:id="19791"/>
      <w:r>
        <w:rPr>
          <w:rFonts w:hint="cs"/>
          <w:rtl/>
        </w:rPr>
        <w:t xml:space="preserve">נכבדה, </w:t>
      </w:r>
      <w:bookmarkStart w:id="19792" w:name="_ETM_Q30_369000"/>
      <w:bookmarkEnd w:id="19792"/>
      <w:r>
        <w:rPr>
          <w:rFonts w:hint="cs"/>
          <w:rtl/>
        </w:rPr>
        <w:t xml:space="preserve">קודם </w:t>
      </w:r>
      <w:bookmarkStart w:id="19793" w:name="_ETM_Q30_369300"/>
      <w:bookmarkEnd w:id="19793"/>
      <w:r>
        <w:rPr>
          <w:rFonts w:hint="cs"/>
          <w:rtl/>
        </w:rPr>
        <w:t xml:space="preserve">כול </w:t>
      </w:r>
      <w:bookmarkStart w:id="19794" w:name="_ETM_Q30_369510"/>
      <w:bookmarkEnd w:id="19794"/>
      <w:r>
        <w:rPr>
          <w:rFonts w:hint="cs"/>
          <w:rtl/>
        </w:rPr>
        <w:t xml:space="preserve">אני </w:t>
      </w:r>
      <w:bookmarkStart w:id="19795" w:name="_ETM_Q30_369660"/>
      <w:bookmarkEnd w:id="19795"/>
      <w:r>
        <w:rPr>
          <w:rFonts w:hint="cs"/>
          <w:rtl/>
        </w:rPr>
        <w:t xml:space="preserve">רוצה </w:t>
      </w:r>
      <w:bookmarkStart w:id="19796" w:name="_ETM_Q30_370169"/>
      <w:bookmarkEnd w:id="19796"/>
      <w:r>
        <w:rPr>
          <w:rFonts w:hint="cs"/>
          <w:rtl/>
        </w:rPr>
        <w:t xml:space="preserve">לאחל </w:t>
      </w:r>
      <w:bookmarkStart w:id="19797" w:name="_ETM_Q30_370650"/>
      <w:bookmarkEnd w:id="19797"/>
      <w:r>
        <w:rPr>
          <w:rFonts w:hint="cs"/>
          <w:rtl/>
        </w:rPr>
        <w:t xml:space="preserve">מכאן </w:t>
      </w:r>
      <w:bookmarkStart w:id="19798" w:name="_ETM_Q30_371639"/>
      <w:bookmarkEnd w:id="19798"/>
      <w:r>
        <w:rPr>
          <w:rFonts w:hint="cs"/>
          <w:rtl/>
        </w:rPr>
        <w:t xml:space="preserve">איחולי </w:t>
      </w:r>
      <w:bookmarkStart w:id="19799" w:name="_ETM_Q30_372060"/>
      <w:bookmarkEnd w:id="19799"/>
      <w:r>
        <w:rPr>
          <w:rFonts w:hint="cs"/>
          <w:rtl/>
        </w:rPr>
        <w:t xml:space="preserve">בריאות </w:t>
      </w:r>
      <w:bookmarkStart w:id="19800" w:name="_ETM_Q30_372660"/>
      <w:bookmarkEnd w:id="19800"/>
      <w:r>
        <w:rPr>
          <w:rFonts w:hint="cs"/>
          <w:rtl/>
        </w:rPr>
        <w:t xml:space="preserve">והחלמה </w:t>
      </w:r>
      <w:bookmarkStart w:id="19801" w:name="_ETM_Q30_373500"/>
      <w:bookmarkEnd w:id="19801"/>
      <w:r>
        <w:rPr>
          <w:rFonts w:hint="cs"/>
          <w:rtl/>
        </w:rPr>
        <w:t xml:space="preserve">מהירה </w:t>
      </w:r>
      <w:bookmarkStart w:id="19802" w:name="_ETM_Q30_373950"/>
      <w:bookmarkEnd w:id="19802"/>
      <w:r>
        <w:rPr>
          <w:rFonts w:hint="cs"/>
          <w:rtl/>
        </w:rPr>
        <w:t xml:space="preserve">ורפואה </w:t>
      </w:r>
      <w:bookmarkStart w:id="19803" w:name="_ETM_Q30_374490"/>
      <w:bookmarkEnd w:id="19803"/>
      <w:r>
        <w:rPr>
          <w:rFonts w:hint="cs"/>
          <w:rtl/>
        </w:rPr>
        <w:t xml:space="preserve">שלמה </w:t>
      </w:r>
      <w:bookmarkStart w:id="19804" w:name="_ETM_Q30_374850"/>
      <w:bookmarkEnd w:id="19804"/>
      <w:r>
        <w:rPr>
          <w:rFonts w:hint="cs"/>
          <w:rtl/>
        </w:rPr>
        <w:t xml:space="preserve">לראש </w:t>
      </w:r>
      <w:bookmarkStart w:id="19805" w:name="_ETM_Q30_375120"/>
      <w:bookmarkEnd w:id="19805"/>
      <w:r>
        <w:rPr>
          <w:rFonts w:hint="cs"/>
          <w:rtl/>
        </w:rPr>
        <w:t xml:space="preserve">הממשלה </w:t>
      </w:r>
      <w:bookmarkStart w:id="19806" w:name="_ETM_Q30_375510"/>
      <w:bookmarkEnd w:id="19806"/>
      <w:r>
        <w:rPr>
          <w:rFonts w:hint="cs"/>
          <w:rtl/>
        </w:rPr>
        <w:t xml:space="preserve">בנימין </w:t>
      </w:r>
      <w:bookmarkStart w:id="19807" w:name="_ETM_Q30_375810"/>
      <w:bookmarkEnd w:id="19807"/>
      <w:r>
        <w:rPr>
          <w:rFonts w:hint="cs"/>
          <w:rtl/>
        </w:rPr>
        <w:t>נתניהו</w:t>
      </w:r>
      <w:bookmarkStart w:id="19808" w:name="_ETM_Q30_376959"/>
      <w:bookmarkEnd w:id="19808"/>
      <w:r>
        <w:rPr>
          <w:rFonts w:hint="cs"/>
          <w:rtl/>
        </w:rPr>
        <w:t xml:space="preserve">, </w:t>
      </w:r>
      <w:bookmarkStart w:id="19809" w:name="_ETM_Q30_377200"/>
      <w:bookmarkEnd w:id="19809"/>
      <w:r>
        <w:rPr>
          <w:rFonts w:hint="cs"/>
          <w:rtl/>
        </w:rPr>
        <w:t xml:space="preserve">ולחזק </w:t>
      </w:r>
      <w:bookmarkStart w:id="19810" w:name="_ETM_Q30_377560"/>
      <w:bookmarkEnd w:id="19810"/>
      <w:r>
        <w:rPr>
          <w:rFonts w:hint="cs"/>
          <w:rtl/>
        </w:rPr>
        <w:t xml:space="preserve">את </w:t>
      </w:r>
      <w:bookmarkStart w:id="19811" w:name="_ETM_Q30_377680"/>
      <w:bookmarkEnd w:id="19811"/>
      <w:r>
        <w:rPr>
          <w:rFonts w:hint="cs"/>
          <w:rtl/>
        </w:rPr>
        <w:t xml:space="preserve">ידיו </w:t>
      </w:r>
      <w:bookmarkStart w:id="19812" w:name="_ETM_Q30_378040"/>
      <w:bookmarkEnd w:id="19812"/>
      <w:r>
        <w:rPr>
          <w:rFonts w:hint="cs"/>
          <w:rtl/>
        </w:rPr>
        <w:t xml:space="preserve">ולקוות </w:t>
      </w:r>
      <w:bookmarkStart w:id="19813" w:name="_ETM_Q30_378519"/>
      <w:bookmarkEnd w:id="19813"/>
      <w:r>
        <w:rPr>
          <w:rFonts w:hint="cs"/>
          <w:rtl/>
        </w:rPr>
        <w:t>שהכול,</w:t>
      </w:r>
      <w:bookmarkStart w:id="19814" w:name="_ETM_Q30_378939"/>
      <w:bookmarkEnd w:id="19814"/>
      <w:r>
        <w:rPr>
          <w:rFonts w:hint="cs"/>
          <w:rtl/>
        </w:rPr>
        <w:t xml:space="preserve"> טפו </w:t>
      </w:r>
      <w:bookmarkStart w:id="19815" w:name="_ETM_Q30_379180"/>
      <w:bookmarkEnd w:id="19815"/>
      <w:r>
        <w:rPr>
          <w:rFonts w:hint="cs"/>
          <w:rtl/>
        </w:rPr>
        <w:t xml:space="preserve">טפו, </w:t>
      </w:r>
      <w:bookmarkStart w:id="19816" w:name="_ETM_Q30_379419"/>
      <w:bookmarkEnd w:id="19816"/>
      <w:r>
        <w:rPr>
          <w:rFonts w:hint="cs"/>
          <w:rtl/>
        </w:rPr>
        <w:t xml:space="preserve">יעבור </w:t>
      </w:r>
      <w:bookmarkStart w:id="19817" w:name="_ETM_Q30_379750"/>
      <w:bookmarkEnd w:id="19817"/>
      <w:r>
        <w:rPr>
          <w:rFonts w:hint="cs"/>
          <w:rtl/>
        </w:rPr>
        <w:t xml:space="preserve">בשלום, </w:t>
      </w:r>
      <w:bookmarkStart w:id="19818" w:name="_ETM_Q30_380290"/>
      <w:bookmarkEnd w:id="19818"/>
      <w:r>
        <w:rPr>
          <w:rFonts w:hint="cs"/>
          <w:rtl/>
        </w:rPr>
        <w:t xml:space="preserve">והוא </w:t>
      </w:r>
      <w:bookmarkStart w:id="19819" w:name="_ETM_Q30_380530"/>
      <w:bookmarkEnd w:id="19819"/>
      <w:r>
        <w:rPr>
          <w:rFonts w:hint="cs"/>
          <w:rtl/>
        </w:rPr>
        <w:t xml:space="preserve">באמת </w:t>
      </w:r>
      <w:bookmarkStart w:id="19820" w:name="_ETM_Q30_380859"/>
      <w:bookmarkEnd w:id="19820"/>
      <w:r>
        <w:rPr>
          <w:rFonts w:hint="cs"/>
          <w:rtl/>
        </w:rPr>
        <w:t xml:space="preserve">יהיה </w:t>
      </w:r>
      <w:bookmarkStart w:id="19821" w:name="_ETM_Q30_381040"/>
      <w:bookmarkEnd w:id="19821"/>
      <w:r>
        <w:rPr>
          <w:rFonts w:hint="cs"/>
          <w:rtl/>
        </w:rPr>
        <w:t xml:space="preserve">בריא </w:t>
      </w:r>
      <w:bookmarkStart w:id="19822" w:name="_ETM_Q30_381280"/>
      <w:bookmarkEnd w:id="19822"/>
      <w:r>
        <w:rPr>
          <w:rFonts w:hint="cs"/>
          <w:rtl/>
        </w:rPr>
        <w:t xml:space="preserve">ושלם. </w:t>
      </w:r>
      <w:bookmarkStart w:id="19823" w:name="_ETM_Q30_382629"/>
      <w:bookmarkEnd w:id="19823"/>
      <w:r>
        <w:rPr>
          <w:rFonts w:hint="cs"/>
          <w:rtl/>
        </w:rPr>
        <w:t xml:space="preserve">בכל </w:t>
      </w:r>
      <w:bookmarkStart w:id="19824" w:name="_ETM_Q30_383019"/>
      <w:bookmarkEnd w:id="19824"/>
      <w:r>
        <w:rPr>
          <w:rFonts w:hint="cs"/>
          <w:rtl/>
        </w:rPr>
        <w:t xml:space="preserve">זאת, </w:t>
      </w:r>
      <w:bookmarkStart w:id="19825" w:name="_ETM_Q30_384100"/>
      <w:bookmarkEnd w:id="19825"/>
      <w:r>
        <w:rPr>
          <w:rFonts w:hint="cs"/>
          <w:rtl/>
        </w:rPr>
        <w:t xml:space="preserve">העיקר </w:t>
      </w:r>
      <w:bookmarkStart w:id="19826" w:name="_ETM_Q30_384970"/>
      <w:bookmarkEnd w:id="19826"/>
      <w:r>
        <w:rPr>
          <w:rFonts w:hint="cs"/>
          <w:rtl/>
        </w:rPr>
        <w:t xml:space="preserve">הבריאות, </w:t>
      </w:r>
      <w:bookmarkStart w:id="19827" w:name="_ETM_Q30_385720"/>
      <w:bookmarkEnd w:id="19827"/>
      <w:r>
        <w:rPr>
          <w:rFonts w:hint="cs"/>
          <w:rtl/>
        </w:rPr>
        <w:t xml:space="preserve">אומרות </w:t>
      </w:r>
      <w:bookmarkStart w:id="19828" w:name="_ETM_Q30_386139"/>
      <w:bookmarkEnd w:id="19828"/>
      <w:r>
        <w:rPr>
          <w:rFonts w:hint="cs"/>
          <w:rtl/>
        </w:rPr>
        <w:t xml:space="preserve">ואומרים, </w:t>
      </w:r>
      <w:bookmarkStart w:id="19829" w:name="_ETM_Q30_386590"/>
      <w:bookmarkEnd w:id="19829"/>
      <w:r>
        <w:rPr>
          <w:rFonts w:hint="cs"/>
          <w:rtl/>
        </w:rPr>
        <w:t xml:space="preserve">וצודקים </w:t>
      </w:r>
      <w:bookmarkStart w:id="19830" w:name="_ETM_Q30_387490"/>
      <w:bookmarkEnd w:id="19830"/>
      <w:r>
        <w:rPr>
          <w:rFonts w:hint="cs"/>
          <w:rtl/>
        </w:rPr>
        <w:t xml:space="preserve">כשאומרים </w:t>
      </w:r>
      <w:bookmarkStart w:id="19831" w:name="_ETM_Q30_387970"/>
      <w:bookmarkEnd w:id="19831"/>
      <w:r>
        <w:rPr>
          <w:rFonts w:hint="cs"/>
          <w:rtl/>
        </w:rPr>
        <w:t xml:space="preserve">את </w:t>
      </w:r>
      <w:bookmarkStart w:id="19832" w:name="_ETM_Q30_388060"/>
      <w:bookmarkEnd w:id="19832"/>
      <w:r>
        <w:rPr>
          <w:rFonts w:hint="cs"/>
          <w:rtl/>
        </w:rPr>
        <w:t xml:space="preserve">זה. </w:t>
      </w:r>
      <w:bookmarkStart w:id="19833" w:name="_ETM_Q30_388780"/>
      <w:bookmarkEnd w:id="19833"/>
      <w:r>
        <w:rPr>
          <w:rFonts w:hint="cs"/>
          <w:rtl/>
        </w:rPr>
        <w:t xml:space="preserve">ועוד </w:t>
      </w:r>
      <w:bookmarkStart w:id="19834" w:name="_ETM_Q30_389020"/>
      <w:bookmarkEnd w:id="19834"/>
      <w:r>
        <w:rPr>
          <w:rFonts w:hint="cs"/>
          <w:rtl/>
        </w:rPr>
        <w:t xml:space="preserve">ענייני לב, </w:t>
      </w:r>
      <w:bookmarkStart w:id="19835" w:name="_ETM_Q30_386716"/>
      <w:bookmarkEnd w:id="19835"/>
      <w:r>
        <w:rPr>
          <w:rFonts w:hint="cs"/>
          <w:rtl/>
        </w:rPr>
        <w:t>לא עניין של מה בכך</w:t>
      </w:r>
      <w:r w:rsidR="00A021B9">
        <w:rPr>
          <w:rFonts w:hint="cs"/>
          <w:rtl/>
        </w:rPr>
        <w:t>.</w:t>
      </w:r>
      <w:r>
        <w:rPr>
          <w:rFonts w:hint="cs"/>
          <w:rtl/>
        </w:rPr>
        <w:t xml:space="preserve"> </w:t>
      </w:r>
      <w:bookmarkStart w:id="19836" w:name="_ETM_Q30_389380"/>
      <w:bookmarkStart w:id="19837" w:name="_ETM_Q30_389740"/>
      <w:bookmarkStart w:id="19838" w:name="_ETM_Q30_389889"/>
      <w:bookmarkStart w:id="19839" w:name="_ETM_Q30_390130"/>
      <w:bookmarkStart w:id="19840" w:name="_ETM_Q30_390310"/>
      <w:bookmarkStart w:id="19841" w:name="_ETM_Q30_390430"/>
      <w:bookmarkStart w:id="19842" w:name="_ETM_Q30_390850"/>
      <w:bookmarkEnd w:id="19836"/>
      <w:bookmarkEnd w:id="19837"/>
      <w:bookmarkEnd w:id="19838"/>
      <w:bookmarkEnd w:id="19839"/>
      <w:bookmarkEnd w:id="19840"/>
      <w:bookmarkEnd w:id="19841"/>
      <w:bookmarkEnd w:id="19842"/>
      <w:r>
        <w:rPr>
          <w:rFonts w:hint="cs"/>
          <w:rtl/>
        </w:rPr>
        <w:t xml:space="preserve">באמת </w:t>
      </w:r>
      <w:bookmarkStart w:id="19843" w:name="_ETM_Q30_391419"/>
      <w:bookmarkEnd w:id="19843"/>
      <w:r>
        <w:rPr>
          <w:rFonts w:hint="cs"/>
          <w:rtl/>
        </w:rPr>
        <w:t xml:space="preserve">חיזוק </w:t>
      </w:r>
      <w:bookmarkStart w:id="19844" w:name="_ETM_Q30_391810"/>
      <w:bookmarkEnd w:id="19844"/>
      <w:r>
        <w:rPr>
          <w:rFonts w:hint="cs"/>
          <w:rtl/>
        </w:rPr>
        <w:t xml:space="preserve">ידיים </w:t>
      </w:r>
      <w:bookmarkStart w:id="19845" w:name="_ETM_Q30_392260"/>
      <w:bookmarkEnd w:id="19845"/>
      <w:r>
        <w:rPr>
          <w:rFonts w:hint="cs"/>
          <w:rtl/>
        </w:rPr>
        <w:t xml:space="preserve">ואיחולי </w:t>
      </w:r>
      <w:bookmarkStart w:id="19846" w:name="_ETM_Q30_392800"/>
      <w:bookmarkEnd w:id="19846"/>
      <w:r>
        <w:rPr>
          <w:rFonts w:hint="cs"/>
          <w:rtl/>
        </w:rPr>
        <w:t>החלמה</w:t>
      </w:r>
      <w:r w:rsidR="00A021B9">
        <w:rPr>
          <w:rFonts w:hint="cs"/>
          <w:rtl/>
        </w:rPr>
        <w:t>,</w:t>
      </w:r>
      <w:r>
        <w:rPr>
          <w:rFonts w:hint="cs"/>
          <w:rtl/>
        </w:rPr>
        <w:t xml:space="preserve"> </w:t>
      </w:r>
      <w:bookmarkStart w:id="19847" w:name="_ETM_Q30_394020"/>
      <w:bookmarkEnd w:id="19847"/>
      <w:r>
        <w:rPr>
          <w:rFonts w:hint="cs"/>
          <w:rtl/>
        </w:rPr>
        <w:t xml:space="preserve">וטוב </w:t>
      </w:r>
      <w:bookmarkStart w:id="19848" w:name="_ETM_Q30_394380"/>
      <w:bookmarkEnd w:id="19848"/>
      <w:r>
        <w:rPr>
          <w:rFonts w:hint="cs"/>
          <w:rtl/>
        </w:rPr>
        <w:t xml:space="preserve">מאוד </w:t>
      </w:r>
      <w:bookmarkStart w:id="19849" w:name="_ETM_Q30_394680"/>
      <w:bookmarkEnd w:id="19849"/>
      <w:r>
        <w:rPr>
          <w:rFonts w:hint="cs"/>
          <w:rtl/>
        </w:rPr>
        <w:t xml:space="preserve">שאדוני </w:t>
      </w:r>
      <w:bookmarkStart w:id="19850" w:name="_ETM_Q30_395070"/>
      <w:bookmarkEnd w:id="19850"/>
      <w:r>
        <w:rPr>
          <w:rFonts w:hint="cs"/>
          <w:rtl/>
        </w:rPr>
        <w:t xml:space="preserve">מטפל </w:t>
      </w:r>
      <w:bookmarkStart w:id="19851" w:name="_ETM_Q30_395580"/>
      <w:bookmarkEnd w:id="19851"/>
      <w:r>
        <w:rPr>
          <w:rFonts w:hint="cs"/>
          <w:rtl/>
        </w:rPr>
        <w:t xml:space="preserve">בעצמו </w:t>
      </w:r>
      <w:bookmarkStart w:id="19852" w:name="_ETM_Q30_396090"/>
      <w:bookmarkEnd w:id="19852"/>
      <w:r>
        <w:rPr>
          <w:rFonts w:hint="cs"/>
          <w:rtl/>
        </w:rPr>
        <w:t xml:space="preserve">ודואג </w:t>
      </w:r>
      <w:bookmarkStart w:id="19853" w:name="_ETM_Q30_396750"/>
      <w:bookmarkEnd w:id="19853"/>
      <w:r>
        <w:rPr>
          <w:rFonts w:hint="cs"/>
          <w:rtl/>
        </w:rPr>
        <w:t xml:space="preserve">לזה </w:t>
      </w:r>
      <w:bookmarkStart w:id="19854" w:name="_ETM_Q30_397200"/>
      <w:bookmarkEnd w:id="19854"/>
      <w:r>
        <w:rPr>
          <w:rFonts w:hint="cs"/>
          <w:rtl/>
        </w:rPr>
        <w:t xml:space="preserve">שלא </w:t>
      </w:r>
      <w:bookmarkStart w:id="19855" w:name="_ETM_Q30_398130"/>
      <w:bookmarkEnd w:id="19855"/>
      <w:r>
        <w:rPr>
          <w:rFonts w:hint="cs"/>
          <w:rtl/>
        </w:rPr>
        <w:t xml:space="preserve">חלילה </w:t>
      </w:r>
      <w:bookmarkStart w:id="19856" w:name="_ETM_Q30_398790"/>
      <w:bookmarkEnd w:id="19856"/>
      <w:r>
        <w:rPr>
          <w:rFonts w:hint="cs"/>
          <w:rtl/>
        </w:rPr>
        <w:t xml:space="preserve">תהיה </w:t>
      </w:r>
      <w:bookmarkStart w:id="19857" w:name="_ETM_Q30_399060"/>
      <w:bookmarkEnd w:id="19857"/>
      <w:r>
        <w:rPr>
          <w:rFonts w:hint="cs"/>
          <w:rtl/>
        </w:rPr>
        <w:t xml:space="preserve">שום </w:t>
      </w:r>
      <w:bookmarkStart w:id="19858" w:name="_ETM_Q30_399270"/>
      <w:bookmarkEnd w:id="19858"/>
      <w:r>
        <w:rPr>
          <w:rFonts w:hint="cs"/>
          <w:rtl/>
        </w:rPr>
        <w:t xml:space="preserve">תקלה. </w:t>
      </w:r>
      <w:bookmarkStart w:id="19859" w:name="_ETM_Q30_400230"/>
      <w:bookmarkEnd w:id="19859"/>
      <w:r>
        <w:rPr>
          <w:rFonts w:hint="cs"/>
          <w:rtl/>
        </w:rPr>
        <w:t xml:space="preserve">חשוב </w:t>
      </w:r>
      <w:bookmarkStart w:id="19860" w:name="_ETM_Q30_400680"/>
      <w:bookmarkEnd w:id="19860"/>
      <w:r>
        <w:rPr>
          <w:rFonts w:hint="cs"/>
          <w:rtl/>
        </w:rPr>
        <w:t xml:space="preserve">ביותר. </w:t>
      </w:r>
      <w:bookmarkStart w:id="19861" w:name="_ETM_Q30_403109"/>
      <w:bookmarkEnd w:id="19861"/>
    </w:p>
    <w:p w:rsidR="00BB59CD" w:rsidRDefault="00BB59CD" w:rsidP="00BB59CD">
      <w:pPr>
        <w:rPr>
          <w:rtl/>
        </w:rPr>
      </w:pPr>
      <w:bookmarkStart w:id="19862" w:name="_ETM_Q30_406733"/>
      <w:bookmarkStart w:id="19863" w:name="_ETM_Q30_406840"/>
      <w:bookmarkEnd w:id="19862"/>
      <w:bookmarkEnd w:id="19863"/>
    </w:p>
    <w:p w:rsidR="00BB59CD" w:rsidRDefault="00BB59CD" w:rsidP="00A021B9">
      <w:pPr>
        <w:rPr>
          <w:rtl/>
        </w:rPr>
      </w:pPr>
      <w:bookmarkStart w:id="19864" w:name="_ETM_Q30_406900"/>
      <w:bookmarkStart w:id="19865" w:name="_ETM_Q30_406975"/>
      <w:bookmarkEnd w:id="19864"/>
      <w:bookmarkEnd w:id="19865"/>
      <w:r>
        <w:rPr>
          <w:rFonts w:hint="cs"/>
          <w:rtl/>
        </w:rPr>
        <w:t xml:space="preserve">אלא </w:t>
      </w:r>
      <w:bookmarkStart w:id="19866" w:name="_ETM_Q30_403319"/>
      <w:bookmarkEnd w:id="19866"/>
      <w:r>
        <w:rPr>
          <w:rFonts w:hint="cs"/>
          <w:rtl/>
        </w:rPr>
        <w:t xml:space="preserve">שבגלל </w:t>
      </w:r>
      <w:bookmarkStart w:id="19867" w:name="_ETM_Q30_403919"/>
      <w:bookmarkEnd w:id="19867"/>
      <w:r>
        <w:rPr>
          <w:rFonts w:hint="cs"/>
          <w:rtl/>
        </w:rPr>
        <w:t xml:space="preserve">שאדוני </w:t>
      </w:r>
      <w:bookmarkStart w:id="19868" w:name="_ETM_Q30_404459"/>
      <w:bookmarkEnd w:id="19868"/>
      <w:r>
        <w:rPr>
          <w:rFonts w:hint="cs"/>
          <w:rtl/>
        </w:rPr>
        <w:t xml:space="preserve">נאלץ </w:t>
      </w:r>
      <w:bookmarkStart w:id="19869" w:name="_ETM_Q30_404849"/>
      <w:bookmarkEnd w:id="19869"/>
      <w:r>
        <w:rPr>
          <w:rFonts w:hint="cs"/>
          <w:rtl/>
        </w:rPr>
        <w:t xml:space="preserve">היום </w:t>
      </w:r>
      <w:bookmarkStart w:id="19870" w:name="_ETM_Q30_405089"/>
      <w:bookmarkEnd w:id="19870"/>
      <w:r>
        <w:rPr>
          <w:rFonts w:hint="cs"/>
          <w:rtl/>
        </w:rPr>
        <w:t xml:space="preserve">להתפנות </w:t>
      </w:r>
      <w:bookmarkStart w:id="19871" w:name="_ETM_Q30_405659"/>
      <w:bookmarkEnd w:id="19871"/>
      <w:r>
        <w:rPr>
          <w:rFonts w:hint="cs"/>
          <w:rtl/>
        </w:rPr>
        <w:t xml:space="preserve">לטפל </w:t>
      </w:r>
      <w:bookmarkStart w:id="19872" w:name="_ETM_Q30_406379"/>
      <w:bookmarkEnd w:id="19872"/>
      <w:r>
        <w:rPr>
          <w:rFonts w:hint="cs"/>
          <w:rtl/>
        </w:rPr>
        <w:t xml:space="preserve">בעצמו, </w:t>
      </w:r>
      <w:bookmarkStart w:id="19873" w:name="_ETM_Q30_406859"/>
      <w:bookmarkEnd w:id="19873"/>
      <w:r>
        <w:rPr>
          <w:rFonts w:hint="cs"/>
          <w:rtl/>
        </w:rPr>
        <w:t xml:space="preserve">ובצדק, </w:t>
      </w:r>
      <w:bookmarkStart w:id="19874" w:name="_ETM_Q30_407999"/>
      <w:bookmarkEnd w:id="19874"/>
      <w:r>
        <w:rPr>
          <w:rFonts w:hint="cs"/>
          <w:rtl/>
        </w:rPr>
        <w:t xml:space="preserve">הוא </w:t>
      </w:r>
      <w:bookmarkStart w:id="19875" w:name="_ETM_Q30_408150"/>
      <w:bookmarkEnd w:id="19875"/>
      <w:r>
        <w:rPr>
          <w:rFonts w:hint="cs"/>
          <w:rtl/>
        </w:rPr>
        <w:t xml:space="preserve">לא </w:t>
      </w:r>
      <w:bookmarkStart w:id="19876" w:name="_ETM_Q30_408359"/>
      <w:bookmarkEnd w:id="19876"/>
      <w:r>
        <w:rPr>
          <w:rFonts w:hint="cs"/>
          <w:rtl/>
        </w:rPr>
        <w:t xml:space="preserve">מקיים </w:t>
      </w:r>
      <w:bookmarkStart w:id="19877" w:name="_ETM_Q30_409109"/>
      <w:bookmarkEnd w:id="19877"/>
      <w:r>
        <w:rPr>
          <w:rFonts w:hint="cs"/>
          <w:rtl/>
        </w:rPr>
        <w:t xml:space="preserve">את </w:t>
      </w:r>
      <w:bookmarkStart w:id="19878" w:name="_ETM_Q30_409349"/>
      <w:bookmarkEnd w:id="19878"/>
      <w:r>
        <w:rPr>
          <w:rFonts w:hint="cs"/>
          <w:rtl/>
        </w:rPr>
        <w:t xml:space="preserve">הפגישה </w:t>
      </w:r>
      <w:bookmarkStart w:id="19879" w:name="_ETM_Q30_410339"/>
      <w:bookmarkEnd w:id="19879"/>
      <w:r>
        <w:rPr>
          <w:rFonts w:hint="cs"/>
          <w:rtl/>
        </w:rPr>
        <w:t xml:space="preserve">שדווח </w:t>
      </w:r>
      <w:bookmarkStart w:id="19880" w:name="_ETM_Q30_411120"/>
      <w:bookmarkEnd w:id="19880"/>
      <w:r>
        <w:rPr>
          <w:rFonts w:hint="cs"/>
          <w:rtl/>
        </w:rPr>
        <w:t xml:space="preserve">אתמול </w:t>
      </w:r>
      <w:bookmarkStart w:id="19881" w:name="_ETM_Q30_411510"/>
      <w:bookmarkEnd w:id="19881"/>
      <w:r>
        <w:rPr>
          <w:rFonts w:hint="cs"/>
          <w:rtl/>
        </w:rPr>
        <w:t xml:space="preserve">שתתקיים </w:t>
      </w:r>
      <w:bookmarkStart w:id="19882" w:name="_ETM_Q30_412709"/>
      <w:bookmarkEnd w:id="19882"/>
      <w:r>
        <w:rPr>
          <w:rFonts w:hint="cs"/>
          <w:rtl/>
        </w:rPr>
        <w:t xml:space="preserve">עם </w:t>
      </w:r>
      <w:bookmarkStart w:id="19883" w:name="_ETM_Q30_412859"/>
      <w:bookmarkEnd w:id="19883"/>
      <w:r>
        <w:rPr>
          <w:rFonts w:hint="cs"/>
          <w:rtl/>
        </w:rPr>
        <w:t xml:space="preserve">הרמטכ"ל </w:t>
      </w:r>
      <w:bookmarkStart w:id="19884" w:name="_ETM_Q30_413400"/>
      <w:bookmarkEnd w:id="19884"/>
      <w:r>
        <w:rPr>
          <w:rFonts w:hint="cs"/>
          <w:rtl/>
        </w:rPr>
        <w:t xml:space="preserve">ועם </w:t>
      </w:r>
      <w:bookmarkStart w:id="19885" w:name="_ETM_Q30_413579"/>
      <w:bookmarkEnd w:id="19885"/>
      <w:r>
        <w:rPr>
          <w:rFonts w:hint="cs"/>
          <w:rtl/>
        </w:rPr>
        <w:t xml:space="preserve">ראשי </w:t>
      </w:r>
      <w:bookmarkStart w:id="19886" w:name="_ETM_Q30_413879"/>
      <w:bookmarkEnd w:id="19886"/>
      <w:r>
        <w:rPr>
          <w:rFonts w:hint="cs"/>
          <w:rtl/>
        </w:rPr>
        <w:t xml:space="preserve">מערכת </w:t>
      </w:r>
      <w:bookmarkStart w:id="19887" w:name="_ETM_Q30_414269"/>
      <w:bookmarkEnd w:id="19887"/>
      <w:r>
        <w:rPr>
          <w:rFonts w:hint="cs"/>
          <w:rtl/>
        </w:rPr>
        <w:t xml:space="preserve">הביטחון, </w:t>
      </w:r>
      <w:bookmarkStart w:id="19888" w:name="_ETM_Q30_415169"/>
      <w:bookmarkEnd w:id="19888"/>
      <w:r>
        <w:rPr>
          <w:rFonts w:hint="cs"/>
          <w:rtl/>
        </w:rPr>
        <w:t xml:space="preserve">כדי </w:t>
      </w:r>
      <w:bookmarkStart w:id="19889" w:name="_ETM_Q30_415439"/>
      <w:bookmarkEnd w:id="19889"/>
      <w:r>
        <w:rPr>
          <w:rFonts w:hint="cs"/>
          <w:rtl/>
        </w:rPr>
        <w:t xml:space="preserve">להתעדכן </w:t>
      </w:r>
      <w:bookmarkStart w:id="19890" w:name="_ETM_Q30_416069"/>
      <w:bookmarkEnd w:id="19890"/>
      <w:r>
        <w:rPr>
          <w:rFonts w:hint="cs"/>
          <w:rtl/>
        </w:rPr>
        <w:t xml:space="preserve">במצב </w:t>
      </w:r>
      <w:bookmarkStart w:id="19891" w:name="_ETM_Q30_416489"/>
      <w:bookmarkEnd w:id="19891"/>
      <w:r>
        <w:rPr>
          <w:rFonts w:hint="cs"/>
          <w:rtl/>
        </w:rPr>
        <w:t xml:space="preserve">הכשירות </w:t>
      </w:r>
      <w:bookmarkStart w:id="19892" w:name="_ETM_Q30_417120"/>
      <w:bookmarkEnd w:id="19892"/>
      <w:r>
        <w:rPr>
          <w:rFonts w:hint="cs"/>
          <w:rtl/>
        </w:rPr>
        <w:t xml:space="preserve">של </w:t>
      </w:r>
      <w:bookmarkStart w:id="19893" w:name="_ETM_Q30_417359"/>
      <w:bookmarkEnd w:id="19893"/>
      <w:r>
        <w:rPr>
          <w:rFonts w:hint="cs"/>
          <w:rtl/>
        </w:rPr>
        <w:t>צה"ל</w:t>
      </w:r>
      <w:r w:rsidR="00A021B9">
        <w:rPr>
          <w:rFonts w:hint="cs"/>
          <w:rtl/>
        </w:rPr>
        <w:t>.</w:t>
      </w:r>
      <w:r>
        <w:rPr>
          <w:rFonts w:hint="cs"/>
          <w:rtl/>
        </w:rPr>
        <w:t xml:space="preserve"> </w:t>
      </w:r>
      <w:bookmarkStart w:id="19894" w:name="_ETM_Q30_417959"/>
      <w:bookmarkEnd w:id="19894"/>
      <w:r>
        <w:rPr>
          <w:rFonts w:hint="cs"/>
          <w:rtl/>
        </w:rPr>
        <w:t>עכשיו</w:t>
      </w:r>
      <w:r w:rsidR="00A021B9">
        <w:rPr>
          <w:rFonts w:hint="cs"/>
          <w:rtl/>
        </w:rPr>
        <w:t>,</w:t>
      </w:r>
      <w:r>
        <w:rPr>
          <w:rFonts w:hint="cs"/>
          <w:rtl/>
        </w:rPr>
        <w:t xml:space="preserve"> </w:t>
      </w:r>
      <w:bookmarkStart w:id="19895" w:name="_ETM_Q30_418319"/>
      <w:bookmarkEnd w:id="19895"/>
      <w:r>
        <w:rPr>
          <w:rFonts w:hint="cs"/>
          <w:rtl/>
        </w:rPr>
        <w:t xml:space="preserve">כשמתבררים </w:t>
      </w:r>
      <w:bookmarkStart w:id="19896" w:name="_ETM_Q30_418979"/>
      <w:bookmarkEnd w:id="19896"/>
      <w:r>
        <w:rPr>
          <w:rFonts w:hint="cs"/>
          <w:rtl/>
        </w:rPr>
        <w:t>המספרים</w:t>
      </w:r>
      <w:r w:rsidR="00A021B9">
        <w:rPr>
          <w:rFonts w:hint="cs"/>
          <w:rtl/>
        </w:rPr>
        <w:t>,</w:t>
      </w:r>
      <w:r>
        <w:rPr>
          <w:rFonts w:hint="cs"/>
          <w:rtl/>
        </w:rPr>
        <w:t xml:space="preserve"> </w:t>
      </w:r>
      <w:bookmarkStart w:id="19897" w:name="_ETM_Q30_420240"/>
      <w:bookmarkEnd w:id="19897"/>
      <w:r>
        <w:rPr>
          <w:rFonts w:hint="cs"/>
          <w:rtl/>
        </w:rPr>
        <w:t xml:space="preserve">התברר </w:t>
      </w:r>
      <w:bookmarkStart w:id="19898" w:name="_ETM_Q30_420870"/>
      <w:bookmarkEnd w:id="19898"/>
      <w:r>
        <w:rPr>
          <w:rFonts w:hint="cs"/>
          <w:rtl/>
        </w:rPr>
        <w:t xml:space="preserve">שמדובר </w:t>
      </w:r>
      <w:bookmarkStart w:id="19899" w:name="_ETM_Q30_421860"/>
      <w:bookmarkEnd w:id="19899"/>
      <w:r w:rsidR="00A021B9">
        <w:rPr>
          <w:rFonts w:hint="cs"/>
          <w:rtl/>
        </w:rPr>
        <w:t>ב</w:t>
      </w:r>
      <w:r>
        <w:rPr>
          <w:rFonts w:hint="cs"/>
          <w:rtl/>
        </w:rPr>
        <w:t xml:space="preserve">למעלה </w:t>
      </w:r>
      <w:bookmarkStart w:id="19900" w:name="_ETM_Q30_422220"/>
      <w:bookmarkEnd w:id="19900"/>
      <w:r>
        <w:rPr>
          <w:rFonts w:hint="cs"/>
          <w:rtl/>
        </w:rPr>
        <w:t xml:space="preserve">מ-10,000 </w:t>
      </w:r>
      <w:bookmarkStart w:id="19901" w:name="_ETM_Q30_422910"/>
      <w:bookmarkStart w:id="19902" w:name="_ETM_Q30_423870"/>
      <w:bookmarkStart w:id="19903" w:name="_ETM_Q30_424049"/>
      <w:bookmarkEnd w:id="19901"/>
      <w:bookmarkEnd w:id="19902"/>
      <w:bookmarkEnd w:id="19903"/>
      <w:r>
        <w:rPr>
          <w:rFonts w:hint="cs"/>
          <w:rtl/>
        </w:rPr>
        <w:t xml:space="preserve">משרתים </w:t>
      </w:r>
      <w:bookmarkStart w:id="19904" w:name="_ETM_Q30_424650"/>
      <w:bookmarkEnd w:id="19904"/>
      <w:r>
        <w:rPr>
          <w:rFonts w:hint="cs"/>
          <w:rtl/>
        </w:rPr>
        <w:t xml:space="preserve">ומשרתות </w:t>
      </w:r>
      <w:bookmarkStart w:id="19905" w:name="_ETM_Q30_425159"/>
      <w:bookmarkEnd w:id="19905"/>
      <w:r>
        <w:rPr>
          <w:rFonts w:hint="cs"/>
          <w:rtl/>
        </w:rPr>
        <w:t xml:space="preserve">במילואים </w:t>
      </w:r>
      <w:bookmarkStart w:id="19906" w:name="_ETM_Q30_425790"/>
      <w:bookmarkEnd w:id="19906"/>
      <w:r>
        <w:rPr>
          <w:rFonts w:hint="cs"/>
          <w:rtl/>
        </w:rPr>
        <w:t xml:space="preserve">שמודיעים </w:t>
      </w:r>
      <w:bookmarkStart w:id="19907" w:name="_ETM_Q30_426750"/>
      <w:bookmarkEnd w:id="19907"/>
      <w:r>
        <w:rPr>
          <w:rFonts w:hint="cs"/>
          <w:rtl/>
        </w:rPr>
        <w:t xml:space="preserve">שלא </w:t>
      </w:r>
      <w:bookmarkStart w:id="19908" w:name="_ETM_Q30_427200"/>
      <w:bookmarkEnd w:id="19908"/>
      <w:r>
        <w:rPr>
          <w:rFonts w:hint="cs"/>
          <w:rtl/>
        </w:rPr>
        <w:t xml:space="preserve">יתנדבו </w:t>
      </w:r>
      <w:bookmarkStart w:id="19909" w:name="_ETM_Q30_427680"/>
      <w:bookmarkEnd w:id="19909"/>
      <w:r>
        <w:rPr>
          <w:rFonts w:hint="cs"/>
          <w:rtl/>
        </w:rPr>
        <w:t xml:space="preserve">למילואים </w:t>
      </w:r>
      <w:bookmarkStart w:id="19910" w:name="_ETM_Q30_428220"/>
      <w:bookmarkEnd w:id="19910"/>
      <w:r>
        <w:rPr>
          <w:rFonts w:hint="cs"/>
          <w:rtl/>
        </w:rPr>
        <w:t xml:space="preserve">אם </w:t>
      </w:r>
      <w:bookmarkStart w:id="19911" w:name="_ETM_Q30_428430"/>
      <w:bookmarkEnd w:id="19911"/>
      <w:r>
        <w:rPr>
          <w:rFonts w:hint="cs"/>
          <w:rtl/>
        </w:rPr>
        <w:t xml:space="preserve">החקיקה </w:t>
      </w:r>
      <w:bookmarkStart w:id="19912" w:name="_ETM_Q30_429269"/>
      <w:bookmarkEnd w:id="19912"/>
      <w:r>
        <w:rPr>
          <w:rFonts w:hint="cs"/>
          <w:rtl/>
        </w:rPr>
        <w:t xml:space="preserve">שאנחנו </w:t>
      </w:r>
      <w:bookmarkStart w:id="19913" w:name="_ETM_Q30_429840"/>
      <w:bookmarkEnd w:id="19913"/>
      <w:r>
        <w:rPr>
          <w:rFonts w:hint="cs"/>
          <w:rtl/>
        </w:rPr>
        <w:t xml:space="preserve">דנות </w:t>
      </w:r>
      <w:bookmarkStart w:id="19914" w:name="_ETM_Q30_430170"/>
      <w:bookmarkEnd w:id="19914"/>
      <w:r>
        <w:rPr>
          <w:rFonts w:hint="cs"/>
          <w:rtl/>
        </w:rPr>
        <w:t xml:space="preserve">ודנים </w:t>
      </w:r>
      <w:bookmarkStart w:id="19915" w:name="_ETM_Q30_430590"/>
      <w:bookmarkEnd w:id="19915"/>
      <w:r>
        <w:rPr>
          <w:rFonts w:hint="cs"/>
          <w:rtl/>
        </w:rPr>
        <w:t xml:space="preserve">בה </w:t>
      </w:r>
      <w:bookmarkStart w:id="19916" w:name="_ETM_Q30_430709"/>
      <w:bookmarkEnd w:id="19916"/>
      <w:r>
        <w:rPr>
          <w:rFonts w:hint="cs"/>
          <w:rtl/>
        </w:rPr>
        <w:t xml:space="preserve">עכשיו </w:t>
      </w:r>
      <w:bookmarkStart w:id="19917" w:name="_ETM_Q30_431220"/>
      <w:bookmarkEnd w:id="19917"/>
      <w:r>
        <w:rPr>
          <w:rFonts w:hint="cs"/>
          <w:rtl/>
        </w:rPr>
        <w:t xml:space="preserve">תעבור; </w:t>
      </w:r>
      <w:bookmarkStart w:id="19918" w:name="_ETM_Q30_432249"/>
      <w:bookmarkEnd w:id="19918"/>
      <w:r>
        <w:rPr>
          <w:rFonts w:hint="cs"/>
          <w:rtl/>
        </w:rPr>
        <w:t xml:space="preserve">שמדובר </w:t>
      </w:r>
      <w:bookmarkStart w:id="19919" w:name="_ETM_Q30_432999"/>
      <w:bookmarkEnd w:id="19919"/>
      <w:r>
        <w:rPr>
          <w:rFonts w:hint="cs"/>
          <w:rtl/>
        </w:rPr>
        <w:t xml:space="preserve">בכמעט </w:t>
      </w:r>
      <w:bookmarkStart w:id="19920" w:name="_ETM_Q30_433599"/>
      <w:bookmarkEnd w:id="19920"/>
      <w:r>
        <w:rPr>
          <w:rFonts w:hint="cs"/>
          <w:rtl/>
        </w:rPr>
        <w:t xml:space="preserve">1,500 </w:t>
      </w:r>
      <w:bookmarkStart w:id="19921" w:name="_ETM_Q30_434620"/>
      <w:bookmarkEnd w:id="19921"/>
      <w:r>
        <w:rPr>
          <w:rFonts w:hint="cs"/>
          <w:rtl/>
        </w:rPr>
        <w:t xml:space="preserve">אנשי </w:t>
      </w:r>
      <w:bookmarkStart w:id="19922" w:name="_ETM_Q30_434980"/>
      <w:bookmarkEnd w:id="19922"/>
      <w:r>
        <w:rPr>
          <w:rFonts w:hint="cs"/>
          <w:rtl/>
        </w:rPr>
        <w:t xml:space="preserve">חיל </w:t>
      </w:r>
      <w:bookmarkStart w:id="19923" w:name="_ETM_Q30_435219"/>
      <w:bookmarkEnd w:id="19923"/>
      <w:r>
        <w:rPr>
          <w:rFonts w:hint="cs"/>
          <w:rtl/>
        </w:rPr>
        <w:t xml:space="preserve">אוויר </w:t>
      </w:r>
      <w:bookmarkStart w:id="19924" w:name="_ETM_Q30_435890"/>
      <w:bookmarkEnd w:id="19924"/>
      <w:r>
        <w:rPr>
          <w:rFonts w:hint="cs"/>
          <w:rtl/>
        </w:rPr>
        <w:t>ש</w:t>
      </w:r>
      <w:bookmarkStart w:id="19925" w:name="_ETM_Q30_436730"/>
      <w:bookmarkEnd w:id="19925"/>
      <w:r>
        <w:rPr>
          <w:rFonts w:hint="cs"/>
          <w:rtl/>
        </w:rPr>
        <w:t xml:space="preserve">לא </w:t>
      </w:r>
      <w:bookmarkStart w:id="19926" w:name="_ETM_Q30_436970"/>
      <w:bookmarkEnd w:id="19926"/>
      <w:r>
        <w:rPr>
          <w:rFonts w:hint="cs"/>
          <w:rtl/>
        </w:rPr>
        <w:t xml:space="preserve">יגיעו </w:t>
      </w:r>
      <w:bookmarkStart w:id="19927" w:name="_ETM_Q30_437540"/>
      <w:bookmarkEnd w:id="19927"/>
      <w:r>
        <w:rPr>
          <w:rFonts w:hint="cs"/>
          <w:rtl/>
        </w:rPr>
        <w:t xml:space="preserve">ולא </w:t>
      </w:r>
      <w:bookmarkStart w:id="19928" w:name="_ETM_Q30_438080"/>
      <w:bookmarkEnd w:id="19928"/>
      <w:r>
        <w:rPr>
          <w:rFonts w:hint="cs"/>
          <w:rtl/>
        </w:rPr>
        <w:t xml:space="preserve">ימשיכו </w:t>
      </w:r>
      <w:bookmarkStart w:id="19929" w:name="_ETM_Q30_438589"/>
      <w:bookmarkEnd w:id="19929"/>
      <w:r>
        <w:rPr>
          <w:rFonts w:hint="cs"/>
          <w:rtl/>
        </w:rPr>
        <w:t xml:space="preserve">להתנדב </w:t>
      </w:r>
      <w:bookmarkStart w:id="19930" w:name="_ETM_Q30_439970"/>
      <w:bookmarkEnd w:id="19930"/>
      <w:r>
        <w:rPr>
          <w:rFonts w:hint="cs"/>
          <w:rtl/>
        </w:rPr>
        <w:t xml:space="preserve">אם </w:t>
      </w:r>
      <w:bookmarkStart w:id="19931" w:name="_ETM_Q30_440150"/>
      <w:bookmarkEnd w:id="19931"/>
      <w:r>
        <w:rPr>
          <w:rFonts w:hint="cs"/>
          <w:rtl/>
        </w:rPr>
        <w:t xml:space="preserve">החקיקה </w:t>
      </w:r>
      <w:bookmarkStart w:id="19932" w:name="_ETM_Q30_440630"/>
      <w:bookmarkEnd w:id="19932"/>
      <w:r>
        <w:rPr>
          <w:rFonts w:hint="cs"/>
          <w:rtl/>
        </w:rPr>
        <w:t xml:space="preserve">הזאת </w:t>
      </w:r>
      <w:bookmarkStart w:id="19933" w:name="_ETM_Q30_440839"/>
      <w:bookmarkEnd w:id="19933"/>
      <w:r>
        <w:rPr>
          <w:rFonts w:hint="cs"/>
          <w:rtl/>
        </w:rPr>
        <w:t xml:space="preserve">תעבור; </w:t>
      </w:r>
      <w:bookmarkStart w:id="19934" w:name="_ETM_Q30_441440"/>
      <w:bookmarkEnd w:id="19934"/>
      <w:r>
        <w:rPr>
          <w:rFonts w:hint="cs"/>
          <w:rtl/>
        </w:rPr>
        <w:t xml:space="preserve">שמדובר </w:t>
      </w:r>
      <w:bookmarkStart w:id="19935" w:name="_ETM_Q30_443000"/>
      <w:bookmarkEnd w:id="19935"/>
      <w:r>
        <w:rPr>
          <w:rFonts w:hint="cs"/>
          <w:rtl/>
        </w:rPr>
        <w:t xml:space="preserve">בסיירות </w:t>
      </w:r>
      <w:bookmarkStart w:id="19936" w:name="_ETM_Q30_443810"/>
      <w:bookmarkEnd w:id="19936"/>
      <w:r>
        <w:rPr>
          <w:rFonts w:hint="cs"/>
          <w:rtl/>
        </w:rPr>
        <w:t xml:space="preserve">מובחרות, </w:t>
      </w:r>
      <w:bookmarkStart w:id="19937" w:name="_ETM_Q30_444620"/>
      <w:bookmarkEnd w:id="19937"/>
      <w:r>
        <w:rPr>
          <w:rFonts w:hint="cs"/>
          <w:rtl/>
        </w:rPr>
        <w:t xml:space="preserve">בלוחמת </w:t>
      </w:r>
      <w:bookmarkStart w:id="19938" w:name="_ETM_Q30_445310"/>
      <w:bookmarkEnd w:id="19938"/>
      <w:r>
        <w:rPr>
          <w:rFonts w:hint="cs"/>
          <w:rtl/>
        </w:rPr>
        <w:t xml:space="preserve">סייבר </w:t>
      </w:r>
      <w:bookmarkStart w:id="19939" w:name="_ETM_Q30_446330"/>
      <w:bookmarkEnd w:id="19939"/>
      <w:r>
        <w:rPr>
          <w:rFonts w:hint="cs"/>
          <w:rtl/>
        </w:rPr>
        <w:t xml:space="preserve">– באמת </w:t>
      </w:r>
      <w:bookmarkStart w:id="19940" w:name="_ETM_Q30_447680"/>
      <w:bookmarkEnd w:id="19940"/>
      <w:r>
        <w:rPr>
          <w:rFonts w:hint="cs"/>
          <w:rtl/>
        </w:rPr>
        <w:t xml:space="preserve">עשרות </w:t>
      </w:r>
      <w:bookmarkStart w:id="19941" w:name="_ETM_Q30_448339"/>
      <w:bookmarkEnd w:id="19941"/>
      <w:r>
        <w:rPr>
          <w:rFonts w:hint="cs"/>
          <w:rtl/>
        </w:rPr>
        <w:t xml:space="preserve">אלפים </w:t>
      </w:r>
      <w:bookmarkStart w:id="19942" w:name="_ETM_Q30_448820"/>
      <w:bookmarkEnd w:id="19942"/>
      <w:r>
        <w:rPr>
          <w:rFonts w:hint="cs"/>
          <w:rtl/>
        </w:rPr>
        <w:t xml:space="preserve">בסך הכול </w:t>
      </w:r>
      <w:bookmarkStart w:id="19943" w:name="_ETM_Q30_450080"/>
      <w:bookmarkEnd w:id="19943"/>
      <w:r>
        <w:rPr>
          <w:rFonts w:hint="cs"/>
          <w:rtl/>
        </w:rPr>
        <w:t xml:space="preserve">של </w:t>
      </w:r>
      <w:bookmarkStart w:id="19944" w:name="_ETM_Q30_450290"/>
      <w:bookmarkEnd w:id="19944"/>
      <w:r>
        <w:rPr>
          <w:rFonts w:hint="cs"/>
          <w:rtl/>
        </w:rPr>
        <w:t xml:space="preserve">משרתים </w:t>
      </w:r>
      <w:bookmarkStart w:id="19945" w:name="_ETM_Q30_450770"/>
      <w:bookmarkEnd w:id="19945"/>
      <w:r>
        <w:rPr>
          <w:rFonts w:hint="cs"/>
          <w:rtl/>
        </w:rPr>
        <w:t xml:space="preserve">ומשרתות </w:t>
      </w:r>
      <w:bookmarkStart w:id="19946" w:name="_ETM_Q30_451279"/>
      <w:bookmarkEnd w:id="19946"/>
      <w:r>
        <w:rPr>
          <w:rFonts w:hint="cs"/>
          <w:rtl/>
        </w:rPr>
        <w:t xml:space="preserve">בצבא </w:t>
      </w:r>
      <w:bookmarkStart w:id="19947" w:name="_ETM_Q30_451700"/>
      <w:bookmarkEnd w:id="19947"/>
      <w:r>
        <w:rPr>
          <w:rFonts w:hint="cs"/>
          <w:rtl/>
        </w:rPr>
        <w:t xml:space="preserve">ההגנה </w:t>
      </w:r>
      <w:bookmarkStart w:id="19948" w:name="_ETM_Q30_452089"/>
      <w:bookmarkEnd w:id="19948"/>
      <w:r>
        <w:rPr>
          <w:rFonts w:hint="cs"/>
          <w:rtl/>
        </w:rPr>
        <w:t xml:space="preserve">לישראל </w:t>
      </w:r>
      <w:bookmarkStart w:id="19949" w:name="_ETM_Q30_453110"/>
      <w:bookmarkEnd w:id="19949"/>
      <w:r>
        <w:rPr>
          <w:rFonts w:hint="cs"/>
          <w:rtl/>
        </w:rPr>
        <w:t xml:space="preserve">שאומרים </w:t>
      </w:r>
      <w:bookmarkStart w:id="19950" w:name="_ETM_Q30_453710"/>
      <w:bookmarkEnd w:id="19950"/>
      <w:r>
        <w:rPr>
          <w:rFonts w:hint="cs"/>
          <w:rtl/>
        </w:rPr>
        <w:t xml:space="preserve">בצורה </w:t>
      </w:r>
      <w:bookmarkStart w:id="19951" w:name="_ETM_Q30_454130"/>
      <w:bookmarkEnd w:id="19951"/>
      <w:r>
        <w:rPr>
          <w:rFonts w:hint="cs"/>
          <w:rtl/>
        </w:rPr>
        <w:t>החד</w:t>
      </w:r>
      <w:bookmarkStart w:id="19952" w:name="_ETM_Q30_454580"/>
      <w:bookmarkEnd w:id="19952"/>
      <w:r>
        <w:rPr>
          <w:rFonts w:hint="cs"/>
          <w:rtl/>
        </w:rPr>
        <w:t xml:space="preserve">-משמעית </w:t>
      </w:r>
      <w:bookmarkStart w:id="19953" w:name="_ETM_Q30_455029"/>
      <w:bookmarkEnd w:id="19953"/>
      <w:r>
        <w:rPr>
          <w:rFonts w:hint="cs"/>
          <w:rtl/>
        </w:rPr>
        <w:t xml:space="preserve">והמפורשת </w:t>
      </w:r>
      <w:bookmarkStart w:id="19954" w:name="_ETM_Q30_455600"/>
      <w:bookmarkEnd w:id="19954"/>
      <w:r>
        <w:rPr>
          <w:rFonts w:hint="cs"/>
          <w:rtl/>
        </w:rPr>
        <w:t>ביותר:</w:t>
      </w:r>
      <w:bookmarkStart w:id="19955" w:name="_ETM_Q30_456380"/>
      <w:bookmarkEnd w:id="19955"/>
      <w:r>
        <w:rPr>
          <w:rFonts w:hint="cs"/>
          <w:rtl/>
        </w:rPr>
        <w:t xml:space="preserve"> </w:t>
      </w:r>
      <w:bookmarkStart w:id="19956" w:name="_ETM_Q30_454990"/>
      <w:bookmarkEnd w:id="19956"/>
      <w:r>
        <w:rPr>
          <w:rFonts w:hint="cs"/>
          <w:rtl/>
        </w:rPr>
        <w:t xml:space="preserve">לא </w:t>
      </w:r>
      <w:bookmarkStart w:id="19957" w:name="_ETM_Q30_456650"/>
      <w:bookmarkEnd w:id="19957"/>
      <w:r>
        <w:rPr>
          <w:rFonts w:hint="cs"/>
          <w:rtl/>
        </w:rPr>
        <w:t xml:space="preserve">נתייצב. </w:t>
      </w:r>
      <w:bookmarkStart w:id="19958" w:name="_ETM_Q30_459020"/>
      <w:bookmarkEnd w:id="19958"/>
    </w:p>
    <w:p w:rsidR="00BB59CD" w:rsidRDefault="00BB59CD" w:rsidP="00BB59CD">
      <w:pPr>
        <w:rPr>
          <w:rtl/>
        </w:rPr>
      </w:pPr>
      <w:bookmarkStart w:id="19959" w:name="_ETM_Q30_459699"/>
      <w:bookmarkStart w:id="19960" w:name="_ETM_Q30_459812"/>
      <w:bookmarkStart w:id="19961" w:name="_ETM_Q30_460691"/>
      <w:bookmarkEnd w:id="19959"/>
      <w:bookmarkEnd w:id="19960"/>
      <w:bookmarkEnd w:id="19961"/>
    </w:p>
    <w:p w:rsidR="00BB59CD" w:rsidRDefault="00BB59CD" w:rsidP="001C760D">
      <w:pPr>
        <w:rPr>
          <w:rtl/>
        </w:rPr>
      </w:pPr>
      <w:bookmarkStart w:id="19962" w:name="_ETM_Q30_460792"/>
      <w:bookmarkEnd w:id="19962"/>
      <w:r>
        <w:rPr>
          <w:rFonts w:hint="cs"/>
          <w:rtl/>
        </w:rPr>
        <w:t xml:space="preserve">המצב </w:t>
      </w:r>
      <w:bookmarkStart w:id="19963" w:name="_ETM_Q30_459790"/>
      <w:bookmarkEnd w:id="19963"/>
      <w:r>
        <w:rPr>
          <w:rFonts w:hint="cs"/>
          <w:rtl/>
        </w:rPr>
        <w:t xml:space="preserve">הזה </w:t>
      </w:r>
      <w:bookmarkStart w:id="19964" w:name="_ETM_Q30_460330"/>
      <w:bookmarkEnd w:id="19964"/>
      <w:r>
        <w:rPr>
          <w:rFonts w:hint="cs"/>
          <w:rtl/>
        </w:rPr>
        <w:t xml:space="preserve">לא </w:t>
      </w:r>
      <w:bookmarkStart w:id="19965" w:name="_ETM_Q30_460540"/>
      <w:bookmarkEnd w:id="19965"/>
      <w:r>
        <w:rPr>
          <w:rFonts w:hint="cs"/>
          <w:rtl/>
        </w:rPr>
        <w:t xml:space="preserve">היה </w:t>
      </w:r>
      <w:bookmarkStart w:id="19966" w:name="_ETM_Q30_460750"/>
      <w:bookmarkEnd w:id="19966"/>
      <w:r>
        <w:rPr>
          <w:rFonts w:hint="cs"/>
          <w:rtl/>
        </w:rPr>
        <w:t xml:space="preserve">בישראל </w:t>
      </w:r>
      <w:bookmarkStart w:id="19967" w:name="_ETM_Q30_461589"/>
      <w:bookmarkEnd w:id="19967"/>
      <w:r>
        <w:rPr>
          <w:rFonts w:hint="cs"/>
          <w:rtl/>
        </w:rPr>
        <w:t xml:space="preserve">מעולם, </w:t>
      </w:r>
      <w:bookmarkStart w:id="19968" w:name="_ETM_Q30_462490"/>
      <w:bookmarkEnd w:id="19968"/>
      <w:r>
        <w:rPr>
          <w:rFonts w:hint="cs"/>
          <w:rtl/>
        </w:rPr>
        <w:t xml:space="preserve">אדוני </w:t>
      </w:r>
      <w:bookmarkStart w:id="19969" w:name="_ETM_Q30_462820"/>
      <w:bookmarkEnd w:id="19969"/>
      <w:r>
        <w:rPr>
          <w:rFonts w:hint="cs"/>
          <w:rtl/>
        </w:rPr>
        <w:t xml:space="preserve">ראש </w:t>
      </w:r>
      <w:bookmarkStart w:id="19970" w:name="_ETM_Q30_463029"/>
      <w:bookmarkEnd w:id="19970"/>
      <w:r>
        <w:rPr>
          <w:rFonts w:hint="cs"/>
          <w:rtl/>
        </w:rPr>
        <w:t xml:space="preserve">הממשלה. </w:t>
      </w:r>
      <w:bookmarkStart w:id="19971" w:name="_ETM_Q30_464059"/>
      <w:bookmarkEnd w:id="19971"/>
      <w:r>
        <w:rPr>
          <w:rFonts w:hint="cs"/>
          <w:rtl/>
        </w:rPr>
        <w:t xml:space="preserve">לא </w:t>
      </w:r>
      <w:bookmarkStart w:id="19972" w:name="_ETM_Q30_464270"/>
      <w:bookmarkEnd w:id="19972"/>
      <w:r>
        <w:rPr>
          <w:rFonts w:hint="cs"/>
          <w:rtl/>
        </w:rPr>
        <w:t xml:space="preserve">בכדי </w:t>
      </w:r>
      <w:bookmarkStart w:id="19973" w:name="_ETM_Q30_465270"/>
      <w:bookmarkEnd w:id="19973"/>
      <w:r>
        <w:rPr>
          <w:rFonts w:hint="cs"/>
          <w:rtl/>
        </w:rPr>
        <w:t xml:space="preserve">אמרו </w:t>
      </w:r>
      <w:bookmarkStart w:id="19974" w:name="_ETM_Q30_465660"/>
      <w:bookmarkEnd w:id="19974"/>
      <w:r>
        <w:rPr>
          <w:rFonts w:hint="cs"/>
          <w:rtl/>
        </w:rPr>
        <w:t xml:space="preserve">שאתה </w:t>
      </w:r>
      <w:bookmarkStart w:id="19975" w:name="_ETM_Q30_465990"/>
      <w:bookmarkEnd w:id="19975"/>
      <w:r>
        <w:rPr>
          <w:rFonts w:hint="cs"/>
          <w:rtl/>
        </w:rPr>
        <w:t xml:space="preserve">תפגוש </w:t>
      </w:r>
      <w:bookmarkStart w:id="19976" w:name="_ETM_Q30_466500"/>
      <w:bookmarkEnd w:id="19976"/>
      <w:r>
        <w:rPr>
          <w:rFonts w:hint="cs"/>
          <w:rtl/>
        </w:rPr>
        <w:t xml:space="preserve">היום </w:t>
      </w:r>
      <w:bookmarkStart w:id="19977" w:name="_ETM_Q30_466740"/>
      <w:bookmarkEnd w:id="19977"/>
      <w:r>
        <w:rPr>
          <w:rFonts w:hint="cs"/>
          <w:rtl/>
        </w:rPr>
        <w:t xml:space="preserve">את </w:t>
      </w:r>
      <w:bookmarkStart w:id="19978" w:name="_ETM_Q30_466830"/>
      <w:bookmarkEnd w:id="19978"/>
      <w:r>
        <w:rPr>
          <w:rFonts w:hint="cs"/>
          <w:rtl/>
        </w:rPr>
        <w:t xml:space="preserve">הרמטכ"ל </w:t>
      </w:r>
      <w:bookmarkStart w:id="19979" w:name="_ETM_Q30_467670"/>
      <w:bookmarkEnd w:id="19979"/>
      <w:r>
        <w:rPr>
          <w:rFonts w:hint="cs"/>
          <w:rtl/>
        </w:rPr>
        <w:t xml:space="preserve">ואת </w:t>
      </w:r>
      <w:bookmarkStart w:id="19980" w:name="_ETM_Q30_467880"/>
      <w:bookmarkEnd w:id="19980"/>
      <w:r>
        <w:rPr>
          <w:rFonts w:hint="cs"/>
          <w:rtl/>
        </w:rPr>
        <w:t xml:space="preserve">ראשי </w:t>
      </w:r>
      <w:bookmarkStart w:id="19981" w:name="_ETM_Q30_468180"/>
      <w:bookmarkEnd w:id="19981"/>
      <w:r>
        <w:rPr>
          <w:rFonts w:hint="cs"/>
          <w:rtl/>
        </w:rPr>
        <w:t xml:space="preserve">מערכת </w:t>
      </w:r>
      <w:bookmarkStart w:id="19982" w:name="_ETM_Q30_468510"/>
      <w:bookmarkEnd w:id="19982"/>
      <w:r>
        <w:rPr>
          <w:rFonts w:hint="cs"/>
          <w:rtl/>
        </w:rPr>
        <w:t xml:space="preserve">הביטחון </w:t>
      </w:r>
      <w:bookmarkStart w:id="19983" w:name="_ETM_Q30_468960"/>
      <w:bookmarkEnd w:id="19983"/>
      <w:r>
        <w:rPr>
          <w:rFonts w:hint="cs"/>
          <w:rtl/>
        </w:rPr>
        <w:t xml:space="preserve">כדי </w:t>
      </w:r>
      <w:bookmarkStart w:id="19984" w:name="_ETM_Q30_469200"/>
      <w:bookmarkEnd w:id="19984"/>
      <w:r>
        <w:rPr>
          <w:rFonts w:hint="cs"/>
          <w:rtl/>
        </w:rPr>
        <w:t xml:space="preserve">להבין </w:t>
      </w:r>
      <w:bookmarkStart w:id="19985" w:name="_ETM_Q30_469529"/>
      <w:bookmarkEnd w:id="19985"/>
      <w:r>
        <w:rPr>
          <w:rFonts w:hint="cs"/>
          <w:rtl/>
        </w:rPr>
        <w:t xml:space="preserve">את </w:t>
      </w:r>
      <w:bookmarkStart w:id="19986" w:name="_ETM_Q30_469650"/>
      <w:bookmarkEnd w:id="19986"/>
      <w:r>
        <w:rPr>
          <w:rFonts w:hint="cs"/>
          <w:rtl/>
        </w:rPr>
        <w:t xml:space="preserve">ההשלכות </w:t>
      </w:r>
      <w:bookmarkStart w:id="19987" w:name="_ETM_Q30_471010"/>
      <w:bookmarkEnd w:id="19987"/>
      <w:r>
        <w:rPr>
          <w:rFonts w:hint="cs"/>
          <w:rtl/>
        </w:rPr>
        <w:t xml:space="preserve">של </w:t>
      </w:r>
      <w:bookmarkStart w:id="19988" w:name="_ETM_Q30_471220"/>
      <w:bookmarkEnd w:id="19988"/>
      <w:r>
        <w:rPr>
          <w:rFonts w:hint="cs"/>
          <w:rtl/>
        </w:rPr>
        <w:t xml:space="preserve">הדבר </w:t>
      </w:r>
      <w:bookmarkStart w:id="19989" w:name="_ETM_Q30_471610"/>
      <w:bookmarkEnd w:id="19989"/>
      <w:r>
        <w:rPr>
          <w:rFonts w:hint="cs"/>
          <w:rtl/>
        </w:rPr>
        <w:t xml:space="preserve">הזה </w:t>
      </w:r>
      <w:bookmarkStart w:id="19990" w:name="_ETM_Q30_472529"/>
      <w:bookmarkEnd w:id="19990"/>
      <w:r>
        <w:rPr>
          <w:rFonts w:hint="cs"/>
          <w:rtl/>
        </w:rPr>
        <w:t xml:space="preserve">על </w:t>
      </w:r>
      <w:bookmarkStart w:id="19991" w:name="_ETM_Q30_472770"/>
      <w:bookmarkEnd w:id="19991"/>
      <w:r>
        <w:rPr>
          <w:rFonts w:hint="cs"/>
          <w:rtl/>
        </w:rPr>
        <w:t xml:space="preserve">ביטחון </w:t>
      </w:r>
      <w:bookmarkStart w:id="19992" w:name="_ETM_Q30_473220"/>
      <w:bookmarkEnd w:id="19992"/>
      <w:r>
        <w:rPr>
          <w:rFonts w:hint="cs"/>
          <w:rtl/>
        </w:rPr>
        <w:t xml:space="preserve">ישראל. </w:t>
      </w:r>
      <w:bookmarkStart w:id="19993" w:name="_ETM_Q30_475839"/>
      <w:bookmarkEnd w:id="19993"/>
      <w:r>
        <w:rPr>
          <w:rFonts w:hint="cs"/>
          <w:rtl/>
        </w:rPr>
        <w:t xml:space="preserve">כאמור, </w:t>
      </w:r>
      <w:bookmarkStart w:id="19994" w:name="_ETM_Q30_476410"/>
      <w:bookmarkEnd w:id="19994"/>
      <w:r>
        <w:rPr>
          <w:rFonts w:hint="cs"/>
          <w:rtl/>
        </w:rPr>
        <w:t xml:space="preserve">אני </w:t>
      </w:r>
      <w:bookmarkStart w:id="19995" w:name="_ETM_Q30_476529"/>
      <w:bookmarkEnd w:id="19995"/>
      <w:r>
        <w:rPr>
          <w:rFonts w:hint="cs"/>
          <w:rtl/>
        </w:rPr>
        <w:t xml:space="preserve">מאחלת </w:t>
      </w:r>
      <w:bookmarkStart w:id="19996" w:name="_ETM_Q30_476980"/>
      <w:bookmarkEnd w:id="19996"/>
      <w:r>
        <w:rPr>
          <w:rFonts w:hint="cs"/>
          <w:rtl/>
        </w:rPr>
        <w:t xml:space="preserve">לך </w:t>
      </w:r>
      <w:bookmarkStart w:id="19997" w:name="_ETM_Q30_477250"/>
      <w:bookmarkEnd w:id="19997"/>
      <w:r>
        <w:rPr>
          <w:rFonts w:hint="cs"/>
          <w:rtl/>
        </w:rPr>
        <w:t xml:space="preserve">באמת </w:t>
      </w:r>
      <w:bookmarkStart w:id="19998" w:name="_ETM_Q30_477610"/>
      <w:bookmarkEnd w:id="19998"/>
      <w:r>
        <w:rPr>
          <w:rFonts w:hint="cs"/>
          <w:rtl/>
        </w:rPr>
        <w:t xml:space="preserve">החלמה </w:t>
      </w:r>
      <w:bookmarkStart w:id="19999" w:name="_ETM_Q30_478150"/>
      <w:bookmarkEnd w:id="19999"/>
      <w:r>
        <w:rPr>
          <w:rFonts w:hint="cs"/>
          <w:rtl/>
        </w:rPr>
        <w:t xml:space="preserve">מהירה </w:t>
      </w:r>
      <w:bookmarkStart w:id="20000" w:name="_ETM_Q30_478510"/>
      <w:bookmarkEnd w:id="20000"/>
      <w:r>
        <w:rPr>
          <w:rFonts w:hint="cs"/>
          <w:rtl/>
        </w:rPr>
        <w:t xml:space="preserve">ובריאות </w:t>
      </w:r>
      <w:bookmarkStart w:id="20001" w:name="_ETM_Q30_479290"/>
      <w:bookmarkEnd w:id="20001"/>
      <w:r>
        <w:rPr>
          <w:rFonts w:hint="cs"/>
          <w:rtl/>
        </w:rPr>
        <w:t xml:space="preserve">שלמה, </w:t>
      </w:r>
      <w:bookmarkStart w:id="20002" w:name="_ETM_Q30_480469"/>
      <w:bookmarkEnd w:id="20002"/>
      <w:r>
        <w:rPr>
          <w:rFonts w:hint="cs"/>
          <w:rtl/>
        </w:rPr>
        <w:t xml:space="preserve">אבל </w:t>
      </w:r>
      <w:bookmarkStart w:id="20003" w:name="_ETM_Q30_480000"/>
      <w:bookmarkStart w:id="20004" w:name="_ETM_Q30_480560"/>
      <w:bookmarkEnd w:id="20003"/>
      <w:bookmarkEnd w:id="20004"/>
      <w:r>
        <w:rPr>
          <w:rFonts w:hint="cs"/>
          <w:rtl/>
        </w:rPr>
        <w:t xml:space="preserve">איך </w:t>
      </w:r>
      <w:bookmarkStart w:id="20005" w:name="_ETM_Q30_481040"/>
      <w:bookmarkEnd w:id="20005"/>
      <w:r>
        <w:rPr>
          <w:rFonts w:hint="cs"/>
          <w:rtl/>
        </w:rPr>
        <w:t xml:space="preserve">אתה </w:t>
      </w:r>
      <w:bookmarkStart w:id="20006" w:name="_ETM_Q30_481520"/>
      <w:bookmarkEnd w:id="20006"/>
      <w:r>
        <w:rPr>
          <w:rFonts w:hint="cs"/>
          <w:rtl/>
        </w:rPr>
        <w:t xml:space="preserve">מעז </w:t>
      </w:r>
      <w:bookmarkStart w:id="20007" w:name="_ETM_Q30_483010"/>
      <w:bookmarkEnd w:id="20007"/>
      <w:r>
        <w:rPr>
          <w:rFonts w:hint="cs"/>
          <w:rtl/>
        </w:rPr>
        <w:t xml:space="preserve">להמשיך </w:t>
      </w:r>
      <w:bookmarkStart w:id="20008" w:name="_ETM_Q30_483730"/>
      <w:bookmarkEnd w:id="20008"/>
      <w:r>
        <w:rPr>
          <w:rFonts w:hint="cs"/>
          <w:rtl/>
        </w:rPr>
        <w:t xml:space="preserve">ולקדם </w:t>
      </w:r>
      <w:bookmarkStart w:id="20009" w:name="_ETM_Q30_484270"/>
      <w:bookmarkEnd w:id="20009"/>
      <w:r>
        <w:rPr>
          <w:rFonts w:hint="cs"/>
          <w:rtl/>
        </w:rPr>
        <w:t xml:space="preserve">את </w:t>
      </w:r>
      <w:bookmarkStart w:id="20010" w:name="_ETM_Q30_484359"/>
      <w:bookmarkEnd w:id="20010"/>
      <w:r>
        <w:rPr>
          <w:rFonts w:hint="cs"/>
          <w:rtl/>
        </w:rPr>
        <w:t xml:space="preserve">החקיקה </w:t>
      </w:r>
      <w:bookmarkStart w:id="20011" w:name="_ETM_Q30_484960"/>
      <w:bookmarkEnd w:id="20011"/>
      <w:r>
        <w:rPr>
          <w:rFonts w:hint="cs"/>
          <w:rtl/>
        </w:rPr>
        <w:t xml:space="preserve">הזאת </w:t>
      </w:r>
      <w:bookmarkStart w:id="20012" w:name="_ETM_Q30_485979"/>
      <w:bookmarkEnd w:id="20012"/>
      <w:r>
        <w:rPr>
          <w:rFonts w:hint="cs"/>
          <w:rtl/>
        </w:rPr>
        <w:t xml:space="preserve">בלי </w:t>
      </w:r>
      <w:bookmarkStart w:id="20013" w:name="_ETM_Q30_486270"/>
      <w:bookmarkStart w:id="20014" w:name="_ETM_Q30_487200"/>
      <w:bookmarkEnd w:id="20013"/>
      <w:bookmarkEnd w:id="20014"/>
      <w:r>
        <w:rPr>
          <w:rFonts w:hint="cs"/>
          <w:rtl/>
        </w:rPr>
        <w:t xml:space="preserve">להבין </w:t>
      </w:r>
      <w:bookmarkStart w:id="20015" w:name="_ETM_Q30_487830"/>
      <w:bookmarkEnd w:id="20015"/>
      <w:r>
        <w:rPr>
          <w:rFonts w:hint="cs"/>
          <w:rtl/>
        </w:rPr>
        <w:t xml:space="preserve">את </w:t>
      </w:r>
      <w:bookmarkStart w:id="20016" w:name="_ETM_Q30_487950"/>
      <w:bookmarkEnd w:id="20016"/>
      <w:r>
        <w:rPr>
          <w:rFonts w:hint="cs"/>
          <w:rtl/>
        </w:rPr>
        <w:t xml:space="preserve">המשמעויות </w:t>
      </w:r>
      <w:bookmarkStart w:id="20017" w:name="_ETM_Q30_489180"/>
      <w:bookmarkEnd w:id="20017"/>
      <w:r>
        <w:rPr>
          <w:rFonts w:hint="cs"/>
          <w:rtl/>
        </w:rPr>
        <w:t xml:space="preserve">של </w:t>
      </w:r>
      <w:bookmarkStart w:id="20018" w:name="_ETM_Q30_489420"/>
      <w:bookmarkEnd w:id="20018"/>
      <w:r>
        <w:rPr>
          <w:rFonts w:hint="cs"/>
          <w:rtl/>
        </w:rPr>
        <w:t xml:space="preserve">הפגיעה </w:t>
      </w:r>
      <w:bookmarkStart w:id="20019" w:name="_ETM_Q30_489930"/>
      <w:bookmarkEnd w:id="20019"/>
      <w:r>
        <w:rPr>
          <w:rFonts w:hint="cs"/>
          <w:rtl/>
        </w:rPr>
        <w:t xml:space="preserve">האנושה </w:t>
      </w:r>
      <w:bookmarkStart w:id="20020" w:name="_ETM_Q30_491040"/>
      <w:bookmarkEnd w:id="20020"/>
      <w:r>
        <w:rPr>
          <w:rFonts w:hint="cs"/>
          <w:rtl/>
        </w:rPr>
        <w:t xml:space="preserve">בכשירות </w:t>
      </w:r>
      <w:bookmarkStart w:id="20021" w:name="_ETM_Q30_492059"/>
      <w:bookmarkEnd w:id="20021"/>
      <w:r>
        <w:rPr>
          <w:rFonts w:hint="cs"/>
          <w:rtl/>
        </w:rPr>
        <w:t xml:space="preserve">של </w:t>
      </w:r>
      <w:bookmarkStart w:id="20022" w:name="_ETM_Q30_492360"/>
      <w:bookmarkEnd w:id="20022"/>
      <w:r>
        <w:rPr>
          <w:rFonts w:hint="cs"/>
          <w:rtl/>
        </w:rPr>
        <w:t xml:space="preserve">צה"ל </w:t>
      </w:r>
      <w:bookmarkStart w:id="20023" w:name="_ETM_Q30_492930"/>
      <w:bookmarkEnd w:id="20023"/>
      <w:r w:rsidR="001C760D">
        <w:rPr>
          <w:rFonts w:hint="eastAsia"/>
          <w:rtl/>
        </w:rPr>
        <w:t>–</w:t>
      </w:r>
      <w:r w:rsidR="001C760D">
        <w:rPr>
          <w:rFonts w:hint="cs"/>
          <w:rtl/>
        </w:rPr>
        <w:t xml:space="preserve"> </w:t>
      </w:r>
      <w:r>
        <w:rPr>
          <w:rFonts w:hint="cs"/>
          <w:rtl/>
        </w:rPr>
        <w:t xml:space="preserve">כפי </w:t>
      </w:r>
      <w:bookmarkStart w:id="20024" w:name="_ETM_Q30_493559"/>
      <w:bookmarkEnd w:id="20024"/>
      <w:r>
        <w:rPr>
          <w:rFonts w:hint="cs"/>
          <w:rtl/>
        </w:rPr>
        <w:t xml:space="preserve">שמובן </w:t>
      </w:r>
      <w:bookmarkStart w:id="20025" w:name="_ETM_Q30_494860"/>
      <w:bookmarkEnd w:id="20025"/>
      <w:r>
        <w:rPr>
          <w:rFonts w:hint="cs"/>
          <w:rtl/>
        </w:rPr>
        <w:t xml:space="preserve">לכל </w:t>
      </w:r>
      <w:bookmarkStart w:id="20026" w:name="_ETM_Q30_495160"/>
      <w:bookmarkEnd w:id="20026"/>
      <w:r>
        <w:rPr>
          <w:rFonts w:hint="cs"/>
          <w:rtl/>
        </w:rPr>
        <w:t xml:space="preserve">אדם </w:t>
      </w:r>
      <w:bookmarkStart w:id="20027" w:name="_ETM_Q30_495429"/>
      <w:bookmarkEnd w:id="20027"/>
      <w:r>
        <w:rPr>
          <w:rFonts w:hint="cs"/>
          <w:rtl/>
        </w:rPr>
        <w:t xml:space="preserve">שעיניו </w:t>
      </w:r>
      <w:bookmarkStart w:id="20028" w:name="_ETM_Q30_495940"/>
      <w:bookmarkEnd w:id="20028"/>
      <w:r>
        <w:rPr>
          <w:rFonts w:hint="cs"/>
          <w:rtl/>
        </w:rPr>
        <w:t xml:space="preserve">בראשו, </w:t>
      </w:r>
      <w:bookmarkStart w:id="20029" w:name="_ETM_Q30_496660"/>
      <w:bookmarkEnd w:id="20029"/>
      <w:r>
        <w:rPr>
          <w:rFonts w:hint="cs"/>
          <w:rtl/>
        </w:rPr>
        <w:t xml:space="preserve">לא </w:t>
      </w:r>
      <w:bookmarkStart w:id="20030" w:name="_ETM_Q30_496810"/>
      <w:bookmarkEnd w:id="20030"/>
      <w:r>
        <w:rPr>
          <w:rFonts w:hint="cs"/>
          <w:rtl/>
        </w:rPr>
        <w:t xml:space="preserve">כל </w:t>
      </w:r>
      <w:bookmarkStart w:id="20031" w:name="_ETM_Q30_497050"/>
      <w:bookmarkEnd w:id="20031"/>
      <w:r>
        <w:rPr>
          <w:rFonts w:hint="cs"/>
          <w:rtl/>
        </w:rPr>
        <w:t xml:space="preserve">שכן </w:t>
      </w:r>
      <w:bookmarkStart w:id="20032" w:name="_ETM_Q30_497350"/>
      <w:bookmarkEnd w:id="20032"/>
      <w:r>
        <w:rPr>
          <w:rFonts w:hint="cs"/>
          <w:rtl/>
        </w:rPr>
        <w:t xml:space="preserve">מי </w:t>
      </w:r>
      <w:bookmarkStart w:id="20033" w:name="_ETM_Q30_497500"/>
      <w:bookmarkEnd w:id="20033"/>
      <w:r>
        <w:rPr>
          <w:rFonts w:hint="cs"/>
          <w:rtl/>
        </w:rPr>
        <w:t xml:space="preserve">שהיו </w:t>
      </w:r>
      <w:bookmarkStart w:id="20034" w:name="_ETM_Q30_498160"/>
      <w:bookmarkEnd w:id="20034"/>
      <w:r>
        <w:rPr>
          <w:rFonts w:hint="cs"/>
          <w:rtl/>
        </w:rPr>
        <w:t xml:space="preserve">בקבינט </w:t>
      </w:r>
      <w:bookmarkStart w:id="20035" w:name="_ETM_Q30_498730"/>
      <w:bookmarkEnd w:id="20035"/>
      <w:r>
        <w:rPr>
          <w:rFonts w:hint="cs"/>
          <w:rtl/>
        </w:rPr>
        <w:t>המדיני</w:t>
      </w:r>
      <w:bookmarkStart w:id="20036" w:name="_ETM_Q30_499119"/>
      <w:bookmarkEnd w:id="20036"/>
      <w:r w:rsidR="001C760D">
        <w:rPr>
          <w:rFonts w:hint="cs"/>
          <w:rtl/>
        </w:rPr>
        <w:t>-</w:t>
      </w:r>
      <w:r>
        <w:rPr>
          <w:rFonts w:hint="cs"/>
          <w:rtl/>
        </w:rPr>
        <w:t xml:space="preserve">ביטחוני </w:t>
      </w:r>
      <w:bookmarkStart w:id="20037" w:name="_ETM_Q30_499869"/>
      <w:bookmarkEnd w:id="20037"/>
      <w:r>
        <w:rPr>
          <w:rFonts w:hint="cs"/>
          <w:rtl/>
        </w:rPr>
        <w:t xml:space="preserve">ובוועדת </w:t>
      </w:r>
      <w:bookmarkStart w:id="20038" w:name="_ETM_Q30_500740"/>
      <w:bookmarkEnd w:id="20038"/>
      <w:r>
        <w:rPr>
          <w:rFonts w:hint="cs"/>
          <w:rtl/>
        </w:rPr>
        <w:t xml:space="preserve">החוץ </w:t>
      </w:r>
      <w:bookmarkStart w:id="20039" w:name="_ETM_Q30_500980"/>
      <w:bookmarkEnd w:id="20039"/>
      <w:r>
        <w:rPr>
          <w:rFonts w:hint="cs"/>
          <w:rtl/>
        </w:rPr>
        <w:t xml:space="preserve">והביטחון </w:t>
      </w:r>
      <w:bookmarkStart w:id="20040" w:name="_ETM_Q30_501520"/>
      <w:bookmarkEnd w:id="20040"/>
      <w:r>
        <w:rPr>
          <w:rFonts w:hint="cs"/>
          <w:rtl/>
        </w:rPr>
        <w:t xml:space="preserve">כל </w:t>
      </w:r>
      <w:bookmarkStart w:id="20041" w:name="_ETM_Q30_501730"/>
      <w:bookmarkEnd w:id="20041"/>
      <w:r>
        <w:rPr>
          <w:rFonts w:hint="cs"/>
          <w:rtl/>
        </w:rPr>
        <w:t xml:space="preserve">השנים </w:t>
      </w:r>
      <w:bookmarkStart w:id="20042" w:name="_ETM_Q30_502789"/>
      <w:bookmarkEnd w:id="20042"/>
      <w:r w:rsidR="001C760D">
        <w:rPr>
          <w:rFonts w:hint="eastAsia"/>
          <w:rtl/>
        </w:rPr>
        <w:t>–</w:t>
      </w:r>
      <w:r w:rsidR="001C760D">
        <w:rPr>
          <w:rFonts w:hint="cs"/>
          <w:rtl/>
        </w:rPr>
        <w:t xml:space="preserve"> </w:t>
      </w:r>
      <w:r>
        <w:rPr>
          <w:rFonts w:hint="cs"/>
          <w:rtl/>
        </w:rPr>
        <w:t xml:space="preserve">על </w:t>
      </w:r>
      <w:bookmarkStart w:id="20043" w:name="_ETM_Q30_503210"/>
      <w:bookmarkEnd w:id="20043"/>
      <w:r>
        <w:rPr>
          <w:rFonts w:hint="cs"/>
          <w:rtl/>
        </w:rPr>
        <w:t xml:space="preserve">הביטחון </w:t>
      </w:r>
      <w:bookmarkStart w:id="20044" w:name="_ETM_Q30_503779"/>
      <w:bookmarkEnd w:id="20044"/>
      <w:r>
        <w:rPr>
          <w:rFonts w:hint="cs"/>
          <w:rtl/>
        </w:rPr>
        <w:t xml:space="preserve">שלנו? </w:t>
      </w:r>
      <w:bookmarkStart w:id="20045" w:name="_ETM_Q30_505099"/>
      <w:bookmarkEnd w:id="20045"/>
      <w:r>
        <w:rPr>
          <w:rFonts w:hint="cs"/>
          <w:rtl/>
        </w:rPr>
        <w:t xml:space="preserve">איך </w:t>
      </w:r>
      <w:bookmarkStart w:id="20046" w:name="_ETM_Q30_505490"/>
      <w:bookmarkEnd w:id="20046"/>
      <w:r>
        <w:rPr>
          <w:rFonts w:hint="cs"/>
          <w:rtl/>
        </w:rPr>
        <w:t xml:space="preserve">אתה </w:t>
      </w:r>
      <w:bookmarkStart w:id="20047" w:name="_ETM_Q30_505670"/>
      <w:bookmarkEnd w:id="20047"/>
      <w:r>
        <w:rPr>
          <w:rFonts w:hint="cs"/>
          <w:rtl/>
        </w:rPr>
        <w:t xml:space="preserve">מעז </w:t>
      </w:r>
      <w:bookmarkStart w:id="20048" w:name="_ETM_Q30_506060"/>
      <w:bookmarkEnd w:id="20048"/>
      <w:r>
        <w:rPr>
          <w:rFonts w:hint="cs"/>
          <w:rtl/>
        </w:rPr>
        <w:t xml:space="preserve">להפקיר </w:t>
      </w:r>
      <w:bookmarkStart w:id="20049" w:name="_ETM_Q30_506839"/>
      <w:bookmarkEnd w:id="20049"/>
      <w:r>
        <w:rPr>
          <w:rFonts w:hint="cs"/>
          <w:rtl/>
        </w:rPr>
        <w:t xml:space="preserve">ככה </w:t>
      </w:r>
      <w:bookmarkStart w:id="20050" w:name="_ETM_Q30_507230"/>
      <w:bookmarkEnd w:id="20050"/>
      <w:r>
        <w:rPr>
          <w:rFonts w:hint="cs"/>
          <w:rtl/>
        </w:rPr>
        <w:t xml:space="preserve">את </w:t>
      </w:r>
      <w:bookmarkStart w:id="20051" w:name="_ETM_Q30_507349"/>
      <w:bookmarkEnd w:id="20051"/>
      <w:r>
        <w:rPr>
          <w:rFonts w:hint="cs"/>
          <w:rtl/>
        </w:rPr>
        <w:t xml:space="preserve">ביטחון </w:t>
      </w:r>
      <w:bookmarkStart w:id="20052" w:name="_ETM_Q30_507769"/>
      <w:bookmarkEnd w:id="20052"/>
      <w:r>
        <w:rPr>
          <w:rFonts w:hint="cs"/>
          <w:rtl/>
        </w:rPr>
        <w:t xml:space="preserve">ישראל? </w:t>
      </w:r>
      <w:bookmarkStart w:id="20053" w:name="_ETM_Q30_508380"/>
      <w:bookmarkEnd w:id="20053"/>
      <w:r>
        <w:rPr>
          <w:rFonts w:hint="cs"/>
          <w:rtl/>
        </w:rPr>
        <w:t xml:space="preserve">איך </w:t>
      </w:r>
      <w:bookmarkStart w:id="20054" w:name="_ETM_Q30_508890"/>
      <w:bookmarkEnd w:id="20054"/>
      <w:r>
        <w:rPr>
          <w:rFonts w:hint="cs"/>
          <w:rtl/>
        </w:rPr>
        <w:t xml:space="preserve">אתה </w:t>
      </w:r>
      <w:bookmarkStart w:id="20055" w:name="_ETM_Q30_509339"/>
      <w:bookmarkEnd w:id="20055"/>
      <w:r>
        <w:rPr>
          <w:rFonts w:hint="cs"/>
          <w:rtl/>
        </w:rPr>
        <w:t xml:space="preserve">מעז? </w:t>
      </w:r>
      <w:bookmarkStart w:id="20056" w:name="_ETM_Q30_509730"/>
      <w:bookmarkEnd w:id="20056"/>
      <w:r>
        <w:rPr>
          <w:rFonts w:hint="cs"/>
          <w:rtl/>
        </w:rPr>
        <w:t xml:space="preserve"> </w:t>
      </w:r>
      <w:bookmarkStart w:id="20057" w:name="_ETM_Q30_512200"/>
      <w:bookmarkEnd w:id="20057"/>
      <w:r>
        <w:rPr>
          <w:rFonts w:hint="cs"/>
          <w:rtl/>
        </w:rPr>
        <w:t xml:space="preserve">בסדר </w:t>
      </w:r>
      <w:bookmarkStart w:id="20058" w:name="_ETM_Q30_512739"/>
      <w:bookmarkEnd w:id="20058"/>
      <w:r>
        <w:rPr>
          <w:rFonts w:hint="cs"/>
          <w:rtl/>
        </w:rPr>
        <w:t xml:space="preserve">גמור, </w:t>
      </w:r>
      <w:bookmarkStart w:id="20059" w:name="_ETM_Q30_512860"/>
      <w:bookmarkStart w:id="20060" w:name="_ETM_Q30_513100"/>
      <w:bookmarkEnd w:id="20059"/>
      <w:bookmarkEnd w:id="20060"/>
      <w:r>
        <w:rPr>
          <w:rFonts w:hint="cs"/>
          <w:rtl/>
        </w:rPr>
        <w:t xml:space="preserve">טפל </w:t>
      </w:r>
      <w:bookmarkStart w:id="20061" w:name="_ETM_Q30_513490"/>
      <w:bookmarkEnd w:id="20061"/>
      <w:r>
        <w:rPr>
          <w:rFonts w:hint="cs"/>
          <w:rtl/>
        </w:rPr>
        <w:t xml:space="preserve">בעצמך. </w:t>
      </w:r>
      <w:bookmarkStart w:id="20062" w:name="_ETM_Q30_514240"/>
      <w:bookmarkEnd w:id="20062"/>
      <w:r>
        <w:rPr>
          <w:rFonts w:hint="cs"/>
          <w:rtl/>
        </w:rPr>
        <w:t xml:space="preserve">תגיד: </w:t>
      </w:r>
      <w:bookmarkStart w:id="20063" w:name="_ETM_Q30_514750"/>
      <w:bookmarkEnd w:id="20063"/>
      <w:r>
        <w:rPr>
          <w:rFonts w:hint="cs"/>
          <w:rtl/>
        </w:rPr>
        <w:t xml:space="preserve">שנייה, </w:t>
      </w:r>
      <w:bookmarkStart w:id="20064" w:name="_ETM_Q30_515110"/>
      <w:bookmarkEnd w:id="20064"/>
      <w:r>
        <w:rPr>
          <w:rFonts w:hint="cs"/>
          <w:rtl/>
        </w:rPr>
        <w:t xml:space="preserve">רגע, </w:t>
      </w:r>
      <w:bookmarkStart w:id="20065" w:name="_ETM_Q30_515560"/>
      <w:bookmarkEnd w:id="20065"/>
      <w:r>
        <w:rPr>
          <w:rFonts w:hint="cs"/>
          <w:rtl/>
        </w:rPr>
        <w:t xml:space="preserve">אנחנו </w:t>
      </w:r>
      <w:bookmarkStart w:id="20066" w:name="_ETM_Q30_515890"/>
      <w:bookmarkEnd w:id="20066"/>
      <w:r>
        <w:rPr>
          <w:rFonts w:hint="cs"/>
          <w:rtl/>
        </w:rPr>
        <w:t xml:space="preserve">נאלצים </w:t>
      </w:r>
      <w:bookmarkStart w:id="20067" w:name="_ETM_Q30_516550"/>
      <w:bookmarkEnd w:id="20067"/>
      <w:r>
        <w:rPr>
          <w:rFonts w:hint="cs"/>
          <w:rtl/>
        </w:rPr>
        <w:t xml:space="preserve">להמתין </w:t>
      </w:r>
      <w:bookmarkStart w:id="20068" w:name="_ETM_Q30_517240"/>
      <w:bookmarkEnd w:id="20068"/>
      <w:r>
        <w:rPr>
          <w:rFonts w:hint="cs"/>
          <w:rtl/>
        </w:rPr>
        <w:t xml:space="preserve">עם </w:t>
      </w:r>
      <w:bookmarkStart w:id="20069" w:name="_ETM_Q30_517390"/>
      <w:bookmarkEnd w:id="20069"/>
      <w:r>
        <w:rPr>
          <w:rFonts w:hint="cs"/>
          <w:rtl/>
        </w:rPr>
        <w:t xml:space="preserve">החקיקה </w:t>
      </w:r>
      <w:bookmarkStart w:id="20070" w:name="_ETM_Q30_517870"/>
      <w:bookmarkEnd w:id="20070"/>
      <w:r>
        <w:rPr>
          <w:rFonts w:hint="cs"/>
          <w:rtl/>
        </w:rPr>
        <w:t xml:space="preserve">הזאת </w:t>
      </w:r>
      <w:bookmarkStart w:id="20071" w:name="_ETM_Q30_518670"/>
      <w:bookmarkEnd w:id="20071"/>
      <w:r>
        <w:rPr>
          <w:rFonts w:hint="cs"/>
          <w:rtl/>
        </w:rPr>
        <w:t xml:space="preserve">כדי </w:t>
      </w:r>
      <w:bookmarkStart w:id="20072" w:name="_ETM_Q30_519000"/>
      <w:bookmarkEnd w:id="20072"/>
      <w:r>
        <w:rPr>
          <w:rFonts w:hint="cs"/>
          <w:rtl/>
        </w:rPr>
        <w:t xml:space="preserve">שאני, </w:t>
      </w:r>
      <w:bookmarkStart w:id="20073" w:name="_ETM_Q30_519810"/>
      <w:bookmarkEnd w:id="20073"/>
      <w:r>
        <w:rPr>
          <w:rFonts w:hint="cs"/>
          <w:rtl/>
        </w:rPr>
        <w:t xml:space="preserve">שאמור </w:t>
      </w:r>
      <w:bookmarkStart w:id="20074" w:name="_ETM_Q30_520350"/>
      <w:bookmarkEnd w:id="20074"/>
      <w:r>
        <w:rPr>
          <w:rFonts w:hint="cs"/>
          <w:rtl/>
        </w:rPr>
        <w:t xml:space="preserve">להיות </w:t>
      </w:r>
      <w:bookmarkStart w:id="20075" w:name="_ETM_Q30_520560"/>
      <w:bookmarkEnd w:id="20075"/>
      <w:r>
        <w:rPr>
          <w:rFonts w:hint="cs"/>
          <w:rtl/>
        </w:rPr>
        <w:t xml:space="preserve">אחראי </w:t>
      </w:r>
      <w:bookmarkStart w:id="20076" w:name="_ETM_Q30_520920"/>
      <w:bookmarkEnd w:id="20076"/>
      <w:r>
        <w:rPr>
          <w:rFonts w:hint="cs"/>
          <w:rtl/>
        </w:rPr>
        <w:t xml:space="preserve">על </w:t>
      </w:r>
      <w:bookmarkStart w:id="20077" w:name="_ETM_Q30_520980"/>
      <w:bookmarkEnd w:id="20077"/>
      <w:r>
        <w:rPr>
          <w:rFonts w:hint="cs"/>
          <w:rtl/>
        </w:rPr>
        <w:t xml:space="preserve">ביטחון </w:t>
      </w:r>
      <w:bookmarkStart w:id="20078" w:name="_ETM_Q30_521310"/>
      <w:bookmarkEnd w:id="20078"/>
      <w:r>
        <w:rPr>
          <w:rFonts w:hint="cs"/>
          <w:rtl/>
        </w:rPr>
        <w:t xml:space="preserve">ישראל </w:t>
      </w:r>
      <w:bookmarkStart w:id="20079" w:name="_ETM_Q30_522100"/>
      <w:bookmarkEnd w:id="20079"/>
      <w:r>
        <w:rPr>
          <w:rFonts w:hint="cs"/>
          <w:rtl/>
        </w:rPr>
        <w:t xml:space="preserve">בראש </w:t>
      </w:r>
      <w:bookmarkStart w:id="20080" w:name="_ETM_Q30_522609"/>
      <w:bookmarkEnd w:id="20080"/>
      <w:r>
        <w:rPr>
          <w:rFonts w:hint="cs"/>
          <w:rtl/>
        </w:rPr>
        <w:t xml:space="preserve">הפירמידה, </w:t>
      </w:r>
      <w:bookmarkStart w:id="20081" w:name="_ETM_Q30_523719"/>
      <w:bookmarkEnd w:id="20081"/>
      <w:r>
        <w:rPr>
          <w:rFonts w:hint="cs"/>
          <w:rtl/>
        </w:rPr>
        <w:t xml:space="preserve">אבין </w:t>
      </w:r>
      <w:bookmarkStart w:id="20082" w:name="_ETM_Q30_524140"/>
      <w:bookmarkEnd w:id="20082"/>
      <w:r>
        <w:rPr>
          <w:rFonts w:hint="cs"/>
          <w:rtl/>
        </w:rPr>
        <w:t xml:space="preserve">בדיוק </w:t>
      </w:r>
      <w:bookmarkStart w:id="20083" w:name="_ETM_Q30_524469"/>
      <w:bookmarkEnd w:id="20083"/>
      <w:r>
        <w:rPr>
          <w:rFonts w:hint="cs"/>
          <w:rtl/>
        </w:rPr>
        <w:t xml:space="preserve">את </w:t>
      </w:r>
      <w:bookmarkStart w:id="20084" w:name="_ETM_Q30_524589"/>
      <w:bookmarkEnd w:id="20084"/>
      <w:r>
        <w:rPr>
          <w:rFonts w:hint="cs"/>
          <w:rtl/>
        </w:rPr>
        <w:t xml:space="preserve">המשמעות, </w:t>
      </w:r>
      <w:bookmarkStart w:id="20085" w:name="_ETM_Q30_526110"/>
      <w:bookmarkEnd w:id="20085"/>
      <w:r>
        <w:rPr>
          <w:rFonts w:hint="cs"/>
          <w:rtl/>
        </w:rPr>
        <w:t>אח</w:t>
      </w:r>
      <w:bookmarkStart w:id="20086" w:name="_ETM_Q30_526350"/>
      <w:bookmarkStart w:id="20087" w:name="_ETM_Q30_526470"/>
      <w:bookmarkEnd w:id="20086"/>
      <w:bookmarkEnd w:id="20087"/>
      <w:r>
        <w:rPr>
          <w:rFonts w:hint="cs"/>
          <w:rtl/>
        </w:rPr>
        <w:t xml:space="preserve">ליט </w:t>
      </w:r>
      <w:bookmarkStart w:id="20088" w:name="_ETM_Q30_526710"/>
      <w:bookmarkEnd w:id="20088"/>
      <w:r>
        <w:rPr>
          <w:rFonts w:hint="cs"/>
          <w:rtl/>
        </w:rPr>
        <w:t xml:space="preserve">איך להתמודד </w:t>
      </w:r>
      <w:bookmarkStart w:id="20089" w:name="_ETM_Q30_527339"/>
      <w:bookmarkEnd w:id="20089"/>
      <w:r>
        <w:rPr>
          <w:rFonts w:hint="cs"/>
          <w:rtl/>
        </w:rPr>
        <w:t xml:space="preserve">עם </w:t>
      </w:r>
      <w:bookmarkStart w:id="20090" w:name="_ETM_Q30_527460"/>
      <w:bookmarkEnd w:id="20090"/>
      <w:r>
        <w:rPr>
          <w:rFonts w:hint="cs"/>
          <w:rtl/>
        </w:rPr>
        <w:t xml:space="preserve">זה, </w:t>
      </w:r>
      <w:bookmarkStart w:id="20091" w:name="_ETM_Q30_528940"/>
      <w:bookmarkEnd w:id="20091"/>
      <w:r>
        <w:rPr>
          <w:rFonts w:hint="cs"/>
          <w:rtl/>
        </w:rPr>
        <w:t xml:space="preserve">ואז </w:t>
      </w:r>
      <w:bookmarkStart w:id="20092" w:name="_ETM_Q30_529360"/>
      <w:bookmarkEnd w:id="20092"/>
      <w:r>
        <w:rPr>
          <w:rFonts w:hint="cs"/>
          <w:rtl/>
        </w:rPr>
        <w:t xml:space="preserve">נראה </w:t>
      </w:r>
      <w:bookmarkStart w:id="20093" w:name="_ETM_Q30_529629"/>
      <w:bookmarkEnd w:id="20093"/>
      <w:r>
        <w:rPr>
          <w:rFonts w:hint="cs"/>
          <w:rtl/>
        </w:rPr>
        <w:t xml:space="preserve">מה </w:t>
      </w:r>
      <w:bookmarkStart w:id="20094" w:name="_ETM_Q30_529750"/>
      <w:bookmarkEnd w:id="20094"/>
      <w:r>
        <w:rPr>
          <w:rFonts w:hint="cs"/>
          <w:rtl/>
        </w:rPr>
        <w:t>נעשה.</w:t>
      </w:r>
    </w:p>
    <w:p w:rsidR="00BB59CD" w:rsidRDefault="00BB59CD" w:rsidP="00BB59CD">
      <w:pPr>
        <w:rPr>
          <w:rtl/>
        </w:rPr>
      </w:pPr>
      <w:bookmarkStart w:id="20095" w:name="_ETM_Q30_533304"/>
      <w:bookmarkStart w:id="20096" w:name="_ETM_Q30_533464"/>
      <w:bookmarkEnd w:id="20095"/>
      <w:bookmarkEnd w:id="20096"/>
    </w:p>
    <w:p w:rsidR="00BB59CD" w:rsidRDefault="00BB59CD" w:rsidP="001C760D">
      <w:pPr>
        <w:rPr>
          <w:rtl/>
        </w:rPr>
      </w:pPr>
      <w:bookmarkStart w:id="20097" w:name="_ETM_Q30_533513"/>
      <w:bookmarkStart w:id="20098" w:name="_ETM_Q30_533641"/>
      <w:bookmarkStart w:id="20099" w:name="_ETM_Q30_531960"/>
      <w:bookmarkEnd w:id="20097"/>
      <w:bookmarkEnd w:id="20098"/>
      <w:bookmarkEnd w:id="20099"/>
      <w:r>
        <w:rPr>
          <w:rFonts w:hint="cs"/>
          <w:rtl/>
        </w:rPr>
        <w:t xml:space="preserve">עכשיו, </w:t>
      </w:r>
      <w:bookmarkStart w:id="20100" w:name="_ETM_Q30_532200"/>
      <w:bookmarkEnd w:id="20100"/>
      <w:r>
        <w:rPr>
          <w:rFonts w:hint="cs"/>
          <w:rtl/>
        </w:rPr>
        <w:t xml:space="preserve">מינית </w:t>
      </w:r>
      <w:bookmarkStart w:id="20101" w:name="_ETM_Q30_532650"/>
      <w:bookmarkEnd w:id="20101"/>
      <w:r>
        <w:rPr>
          <w:rFonts w:hint="cs"/>
          <w:rtl/>
        </w:rPr>
        <w:t xml:space="preserve">את </w:t>
      </w:r>
      <w:bookmarkStart w:id="20102" w:name="_ETM_Q30_532740"/>
      <w:bookmarkEnd w:id="20102"/>
      <w:r>
        <w:rPr>
          <w:rFonts w:hint="cs"/>
          <w:rtl/>
        </w:rPr>
        <w:t xml:space="preserve">יריב </w:t>
      </w:r>
      <w:bookmarkStart w:id="20103" w:name="_ETM_Q30_533010"/>
      <w:bookmarkEnd w:id="20103"/>
      <w:r>
        <w:rPr>
          <w:rFonts w:hint="cs"/>
          <w:rtl/>
        </w:rPr>
        <w:t xml:space="preserve">לוין, </w:t>
      </w:r>
      <w:bookmarkStart w:id="20104" w:name="_ETM_Q30_533400"/>
      <w:bookmarkEnd w:id="20104"/>
      <w:r>
        <w:rPr>
          <w:rFonts w:hint="cs"/>
          <w:rtl/>
        </w:rPr>
        <w:t xml:space="preserve">שר </w:t>
      </w:r>
      <w:bookmarkStart w:id="20105" w:name="_ETM_Q30_533610"/>
      <w:bookmarkEnd w:id="20105"/>
      <w:r>
        <w:rPr>
          <w:rFonts w:hint="cs"/>
          <w:rtl/>
        </w:rPr>
        <w:t xml:space="preserve">המשפטים, </w:t>
      </w:r>
      <w:bookmarkStart w:id="20106" w:name="_ETM_Q30_534089"/>
      <w:bookmarkEnd w:id="20106"/>
      <w:r>
        <w:rPr>
          <w:rFonts w:hint="cs"/>
          <w:rtl/>
        </w:rPr>
        <w:t xml:space="preserve">לממלא </w:t>
      </w:r>
      <w:bookmarkStart w:id="20107" w:name="_ETM_Q30_534510"/>
      <w:bookmarkEnd w:id="20107"/>
      <w:r>
        <w:rPr>
          <w:rFonts w:hint="cs"/>
          <w:rtl/>
        </w:rPr>
        <w:t xml:space="preserve">מקומך </w:t>
      </w:r>
      <w:bookmarkStart w:id="20108" w:name="_ETM_Q30_535050"/>
      <w:bookmarkEnd w:id="20108"/>
      <w:r>
        <w:rPr>
          <w:rFonts w:hint="cs"/>
          <w:rtl/>
        </w:rPr>
        <w:t xml:space="preserve">למשך </w:t>
      </w:r>
      <w:bookmarkStart w:id="20109" w:name="_ETM_Q30_536220"/>
      <w:bookmarkEnd w:id="20109"/>
      <w:r>
        <w:rPr>
          <w:rFonts w:hint="cs"/>
          <w:rtl/>
        </w:rPr>
        <w:t xml:space="preserve">הזמן </w:t>
      </w:r>
      <w:bookmarkStart w:id="20110" w:name="_ETM_Q30_536670"/>
      <w:bookmarkEnd w:id="20110"/>
      <w:r>
        <w:rPr>
          <w:rFonts w:hint="cs"/>
          <w:rtl/>
        </w:rPr>
        <w:t xml:space="preserve">שאתה </w:t>
      </w:r>
      <w:bookmarkStart w:id="20111" w:name="_ETM_Q30_537210"/>
      <w:bookmarkEnd w:id="20111"/>
      <w:r>
        <w:rPr>
          <w:rFonts w:hint="cs"/>
          <w:rtl/>
        </w:rPr>
        <w:t xml:space="preserve">מטפל </w:t>
      </w:r>
      <w:bookmarkStart w:id="20112" w:name="_ETM_Q30_537660"/>
      <w:bookmarkEnd w:id="20112"/>
      <w:r>
        <w:rPr>
          <w:rFonts w:hint="cs"/>
          <w:rtl/>
        </w:rPr>
        <w:t xml:space="preserve">בעצמך </w:t>
      </w:r>
      <w:bookmarkStart w:id="20113" w:name="_ETM_Q30_538170"/>
      <w:bookmarkEnd w:id="20113"/>
      <w:r>
        <w:rPr>
          <w:rFonts w:hint="cs"/>
          <w:rtl/>
        </w:rPr>
        <w:t xml:space="preserve">בבית </w:t>
      </w:r>
      <w:bookmarkStart w:id="20114" w:name="_ETM_Q30_538515"/>
      <w:bookmarkEnd w:id="20114"/>
      <w:r>
        <w:rPr>
          <w:rFonts w:hint="cs"/>
          <w:rtl/>
        </w:rPr>
        <w:t xml:space="preserve">החולים, </w:t>
      </w:r>
      <w:bookmarkStart w:id="20115" w:name="_ETM_Q30_538860"/>
      <w:bookmarkEnd w:id="20115"/>
      <w:r>
        <w:rPr>
          <w:rFonts w:hint="cs"/>
          <w:rtl/>
        </w:rPr>
        <w:t xml:space="preserve">ובהצלחה. </w:t>
      </w:r>
      <w:bookmarkStart w:id="20116" w:name="_ETM_Q30_540600"/>
      <w:bookmarkEnd w:id="20116"/>
      <w:r>
        <w:rPr>
          <w:rFonts w:hint="cs"/>
          <w:rtl/>
        </w:rPr>
        <w:t xml:space="preserve">אז </w:t>
      </w:r>
      <w:bookmarkStart w:id="20117" w:name="_ETM_Q30_540779"/>
      <w:bookmarkEnd w:id="20117"/>
      <w:r>
        <w:rPr>
          <w:rFonts w:hint="cs"/>
          <w:rtl/>
        </w:rPr>
        <w:t xml:space="preserve">אדוני </w:t>
      </w:r>
      <w:bookmarkStart w:id="20118" w:name="_ETM_Q30_541079"/>
      <w:bookmarkEnd w:id="20118"/>
      <w:r>
        <w:rPr>
          <w:rFonts w:hint="cs"/>
          <w:rtl/>
        </w:rPr>
        <w:t xml:space="preserve">ממלא </w:t>
      </w:r>
      <w:bookmarkStart w:id="20119" w:name="_ETM_Q30_541379"/>
      <w:bookmarkEnd w:id="20119"/>
      <w:r>
        <w:rPr>
          <w:rFonts w:hint="cs"/>
          <w:rtl/>
        </w:rPr>
        <w:t xml:space="preserve">מקום </w:t>
      </w:r>
      <w:bookmarkStart w:id="20120" w:name="_ETM_Q30_541679"/>
      <w:bookmarkEnd w:id="20120"/>
      <w:r>
        <w:rPr>
          <w:rFonts w:hint="cs"/>
          <w:rtl/>
        </w:rPr>
        <w:t xml:space="preserve">ראש </w:t>
      </w:r>
      <w:bookmarkStart w:id="20121" w:name="_ETM_Q30_541859"/>
      <w:bookmarkEnd w:id="20121"/>
      <w:r>
        <w:rPr>
          <w:rFonts w:hint="cs"/>
          <w:rtl/>
        </w:rPr>
        <w:t xml:space="preserve">הממשלה, </w:t>
      </w:r>
      <w:bookmarkStart w:id="20122" w:name="_ETM_Q30_542279"/>
      <w:bookmarkEnd w:id="20122"/>
      <w:r>
        <w:rPr>
          <w:rFonts w:hint="cs"/>
          <w:rtl/>
        </w:rPr>
        <w:t xml:space="preserve">כרגע </w:t>
      </w:r>
      <w:bookmarkStart w:id="20123" w:name="_ETM_Q30_542640"/>
      <w:bookmarkEnd w:id="20123"/>
      <w:r>
        <w:rPr>
          <w:rFonts w:hint="cs"/>
          <w:rtl/>
        </w:rPr>
        <w:t xml:space="preserve">זה </w:t>
      </w:r>
      <w:bookmarkStart w:id="20124" w:name="_ETM_Q30_542850"/>
      <w:bookmarkEnd w:id="20124"/>
      <w:r>
        <w:rPr>
          <w:rFonts w:hint="cs"/>
          <w:rtl/>
        </w:rPr>
        <w:t xml:space="preserve">עליך. </w:t>
      </w:r>
      <w:bookmarkStart w:id="20125" w:name="_ETM_Q30_544180"/>
      <w:bookmarkEnd w:id="20125"/>
      <w:r>
        <w:rPr>
          <w:rFonts w:hint="cs"/>
          <w:rtl/>
        </w:rPr>
        <w:t xml:space="preserve">האחריות </w:t>
      </w:r>
      <w:bookmarkStart w:id="20126" w:name="_ETM_Q30_545049"/>
      <w:bookmarkEnd w:id="20126"/>
      <w:r>
        <w:rPr>
          <w:rFonts w:hint="cs"/>
          <w:rtl/>
        </w:rPr>
        <w:t xml:space="preserve">להמשיך </w:t>
      </w:r>
      <w:bookmarkStart w:id="20127" w:name="_ETM_Q30_545589"/>
      <w:bookmarkEnd w:id="20127"/>
      <w:r>
        <w:rPr>
          <w:rFonts w:hint="cs"/>
          <w:rtl/>
        </w:rPr>
        <w:t xml:space="preserve">היא </w:t>
      </w:r>
      <w:bookmarkStart w:id="20128" w:name="_ETM_Q30_545680"/>
      <w:bookmarkEnd w:id="20128"/>
      <w:r>
        <w:rPr>
          <w:rFonts w:hint="cs"/>
          <w:rtl/>
        </w:rPr>
        <w:t xml:space="preserve">לא </w:t>
      </w:r>
      <w:bookmarkStart w:id="20129" w:name="_ETM_Q30_545770"/>
      <w:bookmarkEnd w:id="20129"/>
      <w:r>
        <w:rPr>
          <w:rFonts w:hint="cs"/>
          <w:rtl/>
        </w:rPr>
        <w:t xml:space="preserve">רק </w:t>
      </w:r>
      <w:bookmarkStart w:id="20130" w:name="_ETM_Q30_545979"/>
      <w:bookmarkEnd w:id="20130"/>
      <w:r>
        <w:rPr>
          <w:rFonts w:hint="cs"/>
          <w:rtl/>
        </w:rPr>
        <w:t xml:space="preserve">האחריות </w:t>
      </w:r>
      <w:bookmarkStart w:id="20131" w:name="_ETM_Q30_546430"/>
      <w:bookmarkEnd w:id="20131"/>
      <w:r>
        <w:rPr>
          <w:rFonts w:hint="cs"/>
          <w:rtl/>
        </w:rPr>
        <w:t xml:space="preserve">להמשיך </w:t>
      </w:r>
      <w:bookmarkStart w:id="20132" w:name="_ETM_Q30_546970"/>
      <w:bookmarkEnd w:id="20132"/>
      <w:r>
        <w:rPr>
          <w:rFonts w:hint="cs"/>
          <w:rtl/>
        </w:rPr>
        <w:t xml:space="preserve">פה, </w:t>
      </w:r>
      <w:bookmarkStart w:id="20133" w:name="_ETM_Q30_547640"/>
      <w:bookmarkEnd w:id="20133"/>
      <w:r>
        <w:rPr>
          <w:rFonts w:hint="cs"/>
          <w:rtl/>
        </w:rPr>
        <w:t xml:space="preserve">לדהור </w:t>
      </w:r>
      <w:bookmarkStart w:id="20134" w:name="_ETM_Q30_548270"/>
      <w:bookmarkEnd w:id="20134"/>
      <w:r>
        <w:rPr>
          <w:rFonts w:hint="cs"/>
          <w:rtl/>
        </w:rPr>
        <w:t xml:space="preserve">קדימה </w:t>
      </w:r>
      <w:bookmarkStart w:id="20135" w:name="_ETM_Q30_548750"/>
      <w:bookmarkEnd w:id="20135"/>
      <w:r>
        <w:rPr>
          <w:rFonts w:hint="cs"/>
          <w:rtl/>
        </w:rPr>
        <w:t xml:space="preserve">עם </w:t>
      </w:r>
      <w:bookmarkStart w:id="20136" w:name="_ETM_Q30_548869"/>
      <w:bookmarkEnd w:id="20136"/>
      <w:r>
        <w:rPr>
          <w:rFonts w:hint="cs"/>
          <w:rtl/>
        </w:rPr>
        <w:t xml:space="preserve">הרמיסה </w:t>
      </w:r>
      <w:bookmarkStart w:id="20137" w:name="_ETM_Q30_549469"/>
      <w:bookmarkEnd w:id="20137"/>
      <w:r>
        <w:rPr>
          <w:rFonts w:hint="cs"/>
          <w:rtl/>
        </w:rPr>
        <w:t xml:space="preserve">הזאת, </w:t>
      </w:r>
      <w:bookmarkStart w:id="20138" w:name="_ETM_Q30_549710"/>
      <w:bookmarkEnd w:id="20138"/>
      <w:r>
        <w:rPr>
          <w:rFonts w:hint="cs"/>
          <w:rtl/>
        </w:rPr>
        <w:t xml:space="preserve">עם </w:t>
      </w:r>
      <w:bookmarkStart w:id="20139" w:name="_ETM_Q30_549799"/>
      <w:bookmarkEnd w:id="20139"/>
      <w:r>
        <w:rPr>
          <w:rFonts w:hint="cs"/>
          <w:rtl/>
        </w:rPr>
        <w:t xml:space="preserve">החקיקה </w:t>
      </w:r>
      <w:bookmarkStart w:id="20140" w:name="_ETM_Q30_550310"/>
      <w:bookmarkEnd w:id="20140"/>
      <w:r>
        <w:rPr>
          <w:rFonts w:hint="cs"/>
          <w:rtl/>
        </w:rPr>
        <w:t xml:space="preserve">הזאת. </w:t>
      </w:r>
      <w:bookmarkStart w:id="20141" w:name="_ETM_Q30_550400"/>
      <w:bookmarkStart w:id="20142" w:name="_ETM_Q30_550880"/>
      <w:bookmarkEnd w:id="20141"/>
      <w:bookmarkEnd w:id="20142"/>
      <w:r>
        <w:rPr>
          <w:rFonts w:hint="cs"/>
          <w:rtl/>
        </w:rPr>
        <w:t xml:space="preserve">האחריות </w:t>
      </w:r>
      <w:bookmarkStart w:id="20143" w:name="_ETM_Q30_551600"/>
      <w:bookmarkEnd w:id="20143"/>
      <w:r>
        <w:rPr>
          <w:rFonts w:hint="cs"/>
          <w:rtl/>
        </w:rPr>
        <w:t xml:space="preserve">על </w:t>
      </w:r>
      <w:bookmarkStart w:id="20144" w:name="_ETM_Q30_551690"/>
      <w:bookmarkEnd w:id="20144"/>
      <w:r>
        <w:rPr>
          <w:rFonts w:hint="cs"/>
          <w:rtl/>
        </w:rPr>
        <w:t xml:space="preserve">ביטחון </w:t>
      </w:r>
      <w:bookmarkStart w:id="20145" w:name="_ETM_Q30_552020"/>
      <w:bookmarkEnd w:id="20145"/>
      <w:r>
        <w:rPr>
          <w:rFonts w:hint="cs"/>
          <w:rtl/>
        </w:rPr>
        <w:t xml:space="preserve">ישראל, </w:t>
      </w:r>
      <w:bookmarkStart w:id="20146" w:name="_ETM_Q30_552350"/>
      <w:bookmarkStart w:id="20147" w:name="_ETM_Q30_552410"/>
      <w:bookmarkEnd w:id="20146"/>
      <w:bookmarkEnd w:id="20147"/>
      <w:r>
        <w:rPr>
          <w:rFonts w:hint="cs"/>
          <w:rtl/>
        </w:rPr>
        <w:t xml:space="preserve">כרגע, </w:t>
      </w:r>
      <w:bookmarkStart w:id="20148" w:name="_ETM_Q30_553040"/>
      <w:bookmarkEnd w:id="20148"/>
      <w:r>
        <w:rPr>
          <w:rFonts w:hint="cs"/>
          <w:rtl/>
        </w:rPr>
        <w:t xml:space="preserve">בשבתך </w:t>
      </w:r>
      <w:bookmarkStart w:id="20149" w:name="_ETM_Q30_553550"/>
      <w:bookmarkEnd w:id="20149"/>
      <w:r>
        <w:rPr>
          <w:rFonts w:hint="cs"/>
          <w:rtl/>
        </w:rPr>
        <w:t xml:space="preserve">כממלא </w:t>
      </w:r>
      <w:bookmarkStart w:id="20150" w:name="_ETM_Q30_554029"/>
      <w:bookmarkEnd w:id="20150"/>
      <w:r>
        <w:rPr>
          <w:rFonts w:hint="cs"/>
          <w:rtl/>
        </w:rPr>
        <w:t xml:space="preserve">מקום </w:t>
      </w:r>
      <w:bookmarkStart w:id="20151" w:name="_ETM_Q30_554570"/>
      <w:bookmarkEnd w:id="20151"/>
      <w:r>
        <w:rPr>
          <w:rFonts w:hint="cs"/>
          <w:rtl/>
        </w:rPr>
        <w:t xml:space="preserve">ראש </w:t>
      </w:r>
      <w:bookmarkStart w:id="20152" w:name="_ETM_Q30_554870"/>
      <w:bookmarkEnd w:id="20152"/>
      <w:r>
        <w:rPr>
          <w:rFonts w:hint="cs"/>
          <w:rtl/>
        </w:rPr>
        <w:t xml:space="preserve">הממשלה, </w:t>
      </w:r>
      <w:bookmarkStart w:id="20153" w:name="_ETM_Q30_555380"/>
      <w:bookmarkEnd w:id="20153"/>
      <w:r>
        <w:rPr>
          <w:rFonts w:hint="cs"/>
          <w:rtl/>
        </w:rPr>
        <w:t xml:space="preserve">היא </w:t>
      </w:r>
      <w:bookmarkStart w:id="20154" w:name="_ETM_Q30_555560"/>
      <w:bookmarkEnd w:id="20154"/>
      <w:r>
        <w:rPr>
          <w:rFonts w:hint="cs"/>
          <w:rtl/>
        </w:rPr>
        <w:t xml:space="preserve">עליך. </w:t>
      </w:r>
      <w:bookmarkStart w:id="20155" w:name="_ETM_Q30_556799"/>
      <w:bookmarkEnd w:id="20155"/>
      <w:r>
        <w:rPr>
          <w:rFonts w:hint="cs"/>
          <w:rtl/>
        </w:rPr>
        <w:t xml:space="preserve">ואתה, </w:t>
      </w:r>
      <w:bookmarkStart w:id="20156" w:name="_ETM_Q30_557520"/>
      <w:bookmarkEnd w:id="20156"/>
      <w:r>
        <w:rPr>
          <w:rFonts w:hint="cs"/>
          <w:rtl/>
        </w:rPr>
        <w:t xml:space="preserve">ואתם, </w:t>
      </w:r>
      <w:bookmarkStart w:id="20157" w:name="_ETM_Q30_558420"/>
      <w:bookmarkEnd w:id="20157"/>
      <w:r>
        <w:rPr>
          <w:rFonts w:hint="cs"/>
          <w:rtl/>
        </w:rPr>
        <w:t xml:space="preserve">מפקירים </w:t>
      </w:r>
      <w:bookmarkStart w:id="20158" w:name="_ETM_Q30_559110"/>
      <w:bookmarkEnd w:id="20158"/>
      <w:r>
        <w:rPr>
          <w:rFonts w:hint="cs"/>
          <w:rtl/>
        </w:rPr>
        <w:t xml:space="preserve">את </w:t>
      </w:r>
      <w:bookmarkStart w:id="20159" w:name="_ETM_Q30_559229"/>
      <w:bookmarkEnd w:id="20159"/>
      <w:r>
        <w:rPr>
          <w:rFonts w:hint="cs"/>
          <w:rtl/>
        </w:rPr>
        <w:t xml:space="preserve">הביטחון </w:t>
      </w:r>
      <w:bookmarkStart w:id="20160" w:name="_ETM_Q30_559770"/>
      <w:bookmarkEnd w:id="20160"/>
      <w:r>
        <w:rPr>
          <w:rFonts w:hint="cs"/>
          <w:rtl/>
        </w:rPr>
        <w:t xml:space="preserve">שלנו </w:t>
      </w:r>
      <w:bookmarkStart w:id="20161" w:name="_ETM_Q30_560130"/>
      <w:bookmarkEnd w:id="20161"/>
      <w:r>
        <w:rPr>
          <w:rFonts w:hint="cs"/>
          <w:rtl/>
        </w:rPr>
        <w:t xml:space="preserve">בצורה </w:t>
      </w:r>
      <w:bookmarkStart w:id="20162" w:name="_ETM_Q30_560729"/>
      <w:bookmarkEnd w:id="20162"/>
      <w:r>
        <w:rPr>
          <w:rFonts w:hint="cs"/>
          <w:rtl/>
        </w:rPr>
        <w:t xml:space="preserve">שהיא </w:t>
      </w:r>
      <w:bookmarkStart w:id="20163" w:name="_ETM_Q30_561029"/>
      <w:bookmarkEnd w:id="20163"/>
      <w:r>
        <w:rPr>
          <w:rFonts w:hint="cs"/>
          <w:rtl/>
        </w:rPr>
        <w:t xml:space="preserve">עוצרת </w:t>
      </w:r>
      <w:bookmarkStart w:id="20164" w:name="_ETM_Q30_561510"/>
      <w:bookmarkEnd w:id="20164"/>
      <w:r>
        <w:rPr>
          <w:rFonts w:hint="cs"/>
          <w:rtl/>
        </w:rPr>
        <w:t xml:space="preserve">נשימה. </w:t>
      </w:r>
      <w:bookmarkStart w:id="20165" w:name="_ETM_Q30_562440"/>
      <w:bookmarkEnd w:id="20165"/>
      <w:r>
        <w:rPr>
          <w:rFonts w:hint="cs"/>
          <w:rtl/>
        </w:rPr>
        <w:t xml:space="preserve">היא </w:t>
      </w:r>
      <w:bookmarkStart w:id="20166" w:name="_ETM_Q30_562529"/>
      <w:bookmarkEnd w:id="20166"/>
      <w:r>
        <w:rPr>
          <w:rFonts w:hint="cs"/>
          <w:rtl/>
        </w:rPr>
        <w:t xml:space="preserve">מבהילה. </w:t>
      </w:r>
      <w:bookmarkStart w:id="20167" w:name="_ETM_Q30_563950"/>
      <w:bookmarkEnd w:id="20167"/>
    </w:p>
    <w:p w:rsidR="00BB59CD" w:rsidRDefault="00BB59CD" w:rsidP="00BB59CD">
      <w:pPr>
        <w:rPr>
          <w:rtl/>
        </w:rPr>
      </w:pPr>
      <w:bookmarkStart w:id="20168" w:name="_ETM_Q30_565816"/>
      <w:bookmarkStart w:id="20169" w:name="_ETM_Q30_565910"/>
      <w:bookmarkEnd w:id="20168"/>
      <w:bookmarkEnd w:id="20169"/>
    </w:p>
    <w:p w:rsidR="00BB59CD" w:rsidRDefault="00BB59CD" w:rsidP="00BB59CD">
      <w:pPr>
        <w:rPr>
          <w:rtl/>
        </w:rPr>
      </w:pPr>
      <w:bookmarkStart w:id="20170" w:name="_ETM_Q30_565981"/>
      <w:bookmarkStart w:id="20171" w:name="_ETM_Q30_566059"/>
      <w:bookmarkEnd w:id="20170"/>
      <w:bookmarkEnd w:id="20171"/>
      <w:r>
        <w:rPr>
          <w:rFonts w:hint="cs"/>
          <w:rtl/>
        </w:rPr>
        <w:t xml:space="preserve">אז </w:t>
      </w:r>
      <w:bookmarkStart w:id="20172" w:name="_ETM_Q30_564100"/>
      <w:bookmarkEnd w:id="20172"/>
      <w:r>
        <w:rPr>
          <w:rFonts w:hint="cs"/>
          <w:rtl/>
        </w:rPr>
        <w:t xml:space="preserve">נכון, </w:t>
      </w:r>
      <w:bookmarkStart w:id="20173" w:name="_ETM_Q30_564490"/>
      <w:bookmarkEnd w:id="20173"/>
      <w:r>
        <w:rPr>
          <w:rFonts w:hint="cs"/>
          <w:rtl/>
        </w:rPr>
        <w:t xml:space="preserve">אתה </w:t>
      </w:r>
      <w:bookmarkStart w:id="20174" w:name="_ETM_Q30_564640"/>
      <w:bookmarkEnd w:id="20174"/>
      <w:r>
        <w:rPr>
          <w:rFonts w:hint="cs"/>
          <w:rtl/>
        </w:rPr>
        <w:t xml:space="preserve">מחזק </w:t>
      </w:r>
      <w:bookmarkStart w:id="20175" w:name="_ETM_Q30_565029"/>
      <w:bookmarkEnd w:id="20175"/>
      <w:r>
        <w:rPr>
          <w:rFonts w:hint="cs"/>
          <w:rtl/>
        </w:rPr>
        <w:t xml:space="preserve">את </w:t>
      </w:r>
      <w:bookmarkStart w:id="20176" w:name="_ETM_Q30_565149"/>
      <w:bookmarkEnd w:id="20176"/>
      <w:r>
        <w:rPr>
          <w:rFonts w:hint="cs"/>
          <w:rtl/>
        </w:rPr>
        <w:t xml:space="preserve">חמאס </w:t>
      </w:r>
      <w:bookmarkStart w:id="20177" w:name="_ETM_Q30_565930"/>
      <w:bookmarkEnd w:id="20177"/>
      <w:r>
        <w:rPr>
          <w:rFonts w:hint="cs"/>
          <w:rtl/>
        </w:rPr>
        <w:t xml:space="preserve">מאז </w:t>
      </w:r>
      <w:bookmarkStart w:id="20178" w:name="_ETM_Q30_566229"/>
      <w:bookmarkEnd w:id="20178"/>
      <w:r>
        <w:rPr>
          <w:rFonts w:hint="cs"/>
          <w:rtl/>
        </w:rPr>
        <w:t xml:space="preserve">שאתה </w:t>
      </w:r>
      <w:bookmarkStart w:id="20179" w:name="_ETM_Q30_566500"/>
      <w:bookmarkEnd w:id="20179"/>
      <w:r>
        <w:rPr>
          <w:rFonts w:hint="cs"/>
          <w:rtl/>
        </w:rPr>
        <w:t xml:space="preserve">בשלטון; </w:t>
      </w:r>
      <w:bookmarkStart w:id="20180" w:name="_ETM_Q30_567219"/>
      <w:bookmarkEnd w:id="20180"/>
      <w:r>
        <w:rPr>
          <w:rFonts w:hint="cs"/>
          <w:rtl/>
        </w:rPr>
        <w:t xml:space="preserve">נכון, </w:t>
      </w:r>
      <w:bookmarkStart w:id="20181" w:name="_ETM_Q30_567729"/>
      <w:bookmarkEnd w:id="20181"/>
      <w:r>
        <w:rPr>
          <w:rFonts w:hint="cs"/>
          <w:rtl/>
        </w:rPr>
        <w:t xml:space="preserve">איראן </w:t>
      </w:r>
      <w:bookmarkStart w:id="20182" w:name="_ETM_Q30_568060"/>
      <w:bookmarkEnd w:id="20182"/>
      <w:r>
        <w:rPr>
          <w:rFonts w:hint="cs"/>
          <w:rtl/>
        </w:rPr>
        <w:t xml:space="preserve">קרובה </w:t>
      </w:r>
      <w:bookmarkStart w:id="20183" w:name="_ETM_Q30_568479"/>
      <w:bookmarkEnd w:id="20183"/>
      <w:r>
        <w:rPr>
          <w:rFonts w:hint="cs"/>
          <w:rtl/>
        </w:rPr>
        <w:t xml:space="preserve">מאי </w:t>
      </w:r>
      <w:bookmarkStart w:id="20184" w:name="_ETM_Q30_568750"/>
      <w:bookmarkEnd w:id="20184"/>
      <w:r>
        <w:rPr>
          <w:rFonts w:hint="cs"/>
          <w:rtl/>
        </w:rPr>
        <w:t xml:space="preserve">פעם </w:t>
      </w:r>
      <w:bookmarkStart w:id="20185" w:name="_ETM_Q30_569020"/>
      <w:bookmarkEnd w:id="20185"/>
      <w:r>
        <w:rPr>
          <w:rFonts w:hint="cs"/>
          <w:rtl/>
        </w:rPr>
        <w:t xml:space="preserve">לגרעין </w:t>
      </w:r>
      <w:bookmarkStart w:id="20186" w:name="_ETM_Q30_569890"/>
      <w:bookmarkEnd w:id="20186"/>
      <w:r>
        <w:rPr>
          <w:rFonts w:hint="cs"/>
          <w:rtl/>
        </w:rPr>
        <w:t xml:space="preserve">מאז </w:t>
      </w:r>
      <w:bookmarkStart w:id="20187" w:name="_ETM_Q30_570310"/>
      <w:bookmarkEnd w:id="20187"/>
      <w:r>
        <w:rPr>
          <w:rFonts w:hint="cs"/>
          <w:rtl/>
        </w:rPr>
        <w:t xml:space="preserve">שאתה </w:t>
      </w:r>
      <w:bookmarkStart w:id="20188" w:name="_ETM_Q30_570640"/>
      <w:bookmarkEnd w:id="20188"/>
      <w:r>
        <w:rPr>
          <w:rFonts w:hint="cs"/>
          <w:rtl/>
        </w:rPr>
        <w:t xml:space="preserve">בשלטון; </w:t>
      </w:r>
      <w:bookmarkStart w:id="20189" w:name="_ETM_Q30_571539"/>
      <w:bookmarkEnd w:id="20189"/>
      <w:r>
        <w:rPr>
          <w:rFonts w:hint="cs"/>
          <w:rtl/>
        </w:rPr>
        <w:t xml:space="preserve">נכון, אתה </w:t>
      </w:r>
      <w:bookmarkStart w:id="20190" w:name="_ETM_Q30_572200"/>
      <w:bookmarkEnd w:id="20190"/>
      <w:r>
        <w:rPr>
          <w:rFonts w:hint="cs"/>
          <w:rtl/>
        </w:rPr>
        <w:t xml:space="preserve">מרסק </w:t>
      </w:r>
      <w:bookmarkStart w:id="20191" w:name="_ETM_Q30_572619"/>
      <w:bookmarkEnd w:id="20191"/>
      <w:r>
        <w:rPr>
          <w:rFonts w:hint="cs"/>
          <w:rtl/>
        </w:rPr>
        <w:t xml:space="preserve">את </w:t>
      </w:r>
      <w:bookmarkStart w:id="20192" w:name="_ETM_Q30_572710"/>
      <w:bookmarkEnd w:id="20192"/>
      <w:r>
        <w:rPr>
          <w:rFonts w:hint="cs"/>
          <w:rtl/>
        </w:rPr>
        <w:t xml:space="preserve">הרשות </w:t>
      </w:r>
      <w:bookmarkStart w:id="20193" w:name="_ETM_Q30_573039"/>
      <w:bookmarkEnd w:id="20193"/>
      <w:r>
        <w:rPr>
          <w:rFonts w:hint="cs"/>
          <w:rtl/>
        </w:rPr>
        <w:t xml:space="preserve">הפלסטינית </w:t>
      </w:r>
      <w:bookmarkStart w:id="20194" w:name="_ETM_Q30_573789"/>
      <w:bookmarkEnd w:id="20194"/>
      <w:r>
        <w:rPr>
          <w:rFonts w:hint="cs"/>
          <w:rtl/>
        </w:rPr>
        <w:t xml:space="preserve">ומקדם </w:t>
      </w:r>
      <w:bookmarkStart w:id="20195" w:name="_ETM_Q30_574329"/>
      <w:bookmarkEnd w:id="20195"/>
      <w:r>
        <w:rPr>
          <w:rFonts w:hint="cs"/>
          <w:rtl/>
        </w:rPr>
        <w:t xml:space="preserve">אותנו </w:t>
      </w:r>
      <w:bookmarkStart w:id="20196" w:name="_ETM_Q30_574899"/>
      <w:bookmarkEnd w:id="20196"/>
      <w:r>
        <w:rPr>
          <w:rFonts w:hint="cs"/>
          <w:rtl/>
        </w:rPr>
        <w:t xml:space="preserve">למציאות </w:t>
      </w:r>
      <w:bookmarkStart w:id="20197" w:name="_ETM_Q30_575529"/>
      <w:bookmarkEnd w:id="20197"/>
      <w:r>
        <w:rPr>
          <w:rFonts w:hint="cs"/>
          <w:rtl/>
        </w:rPr>
        <w:t xml:space="preserve">של </w:t>
      </w:r>
      <w:bookmarkStart w:id="20198" w:name="_ETM_Q30_575979"/>
      <w:bookmarkEnd w:id="20198"/>
      <w:r>
        <w:rPr>
          <w:rFonts w:hint="cs"/>
          <w:rtl/>
        </w:rPr>
        <w:t xml:space="preserve">מדינה </w:t>
      </w:r>
      <w:bookmarkStart w:id="20199" w:name="_ETM_Q30_576460"/>
      <w:bookmarkEnd w:id="20199"/>
      <w:r>
        <w:rPr>
          <w:rFonts w:hint="cs"/>
          <w:rtl/>
        </w:rPr>
        <w:t xml:space="preserve">דו-לאומית </w:t>
      </w:r>
      <w:bookmarkStart w:id="20200" w:name="_ETM_Q30_577119"/>
      <w:bookmarkEnd w:id="20200"/>
      <w:r>
        <w:rPr>
          <w:rFonts w:hint="cs"/>
          <w:rtl/>
        </w:rPr>
        <w:t xml:space="preserve">וסוף </w:t>
      </w:r>
      <w:bookmarkStart w:id="20201" w:name="_ETM_Q30_578020"/>
      <w:bookmarkEnd w:id="20201"/>
      <w:r>
        <w:rPr>
          <w:rFonts w:hint="cs"/>
          <w:rtl/>
        </w:rPr>
        <w:t xml:space="preserve">הפרויקט </w:t>
      </w:r>
      <w:bookmarkStart w:id="20202" w:name="_ETM_Q30_578740"/>
      <w:bookmarkEnd w:id="20202"/>
      <w:r>
        <w:rPr>
          <w:rFonts w:hint="cs"/>
          <w:rtl/>
        </w:rPr>
        <w:t xml:space="preserve">הציוני </w:t>
      </w:r>
      <w:bookmarkStart w:id="20203" w:name="_ETM_Q30_579460"/>
      <w:bookmarkEnd w:id="20203"/>
      <w:r>
        <w:rPr>
          <w:rFonts w:hint="cs"/>
          <w:rtl/>
        </w:rPr>
        <w:t xml:space="preserve">במדינת </w:t>
      </w:r>
      <w:bookmarkStart w:id="20204" w:name="_ETM_Q30_580060"/>
      <w:bookmarkEnd w:id="20204"/>
      <w:r>
        <w:rPr>
          <w:rFonts w:hint="cs"/>
          <w:rtl/>
        </w:rPr>
        <w:t xml:space="preserve">ישראל. </w:t>
      </w:r>
      <w:bookmarkStart w:id="20205" w:name="_ETM_Q30_581020"/>
      <w:bookmarkEnd w:id="20205"/>
      <w:r>
        <w:rPr>
          <w:rFonts w:hint="cs"/>
          <w:rtl/>
        </w:rPr>
        <w:t xml:space="preserve">אבל </w:t>
      </w:r>
      <w:bookmarkStart w:id="20206" w:name="_ETM_Q30_581350"/>
      <w:bookmarkEnd w:id="20206"/>
      <w:r>
        <w:rPr>
          <w:rFonts w:hint="cs"/>
          <w:rtl/>
        </w:rPr>
        <w:t xml:space="preserve">ככה? </w:t>
      </w:r>
      <w:bookmarkStart w:id="20207" w:name="_ETM_Q30_582750"/>
      <w:bookmarkEnd w:id="20207"/>
      <w:r>
        <w:rPr>
          <w:rFonts w:hint="cs"/>
          <w:rtl/>
        </w:rPr>
        <w:t xml:space="preserve">ככה? ככה </w:t>
      </w:r>
      <w:bookmarkStart w:id="20208" w:name="_ETM_Q30_584300"/>
      <w:bookmarkStart w:id="20209" w:name="_ETM_Q30_584640"/>
      <w:bookmarkStart w:id="20210" w:name="_ETM_Q30_585210"/>
      <w:bookmarkEnd w:id="20208"/>
      <w:bookmarkEnd w:id="20209"/>
      <w:bookmarkEnd w:id="20210"/>
      <w:r>
        <w:rPr>
          <w:rFonts w:hint="cs"/>
          <w:rtl/>
        </w:rPr>
        <w:t xml:space="preserve">לא </w:t>
      </w:r>
      <w:bookmarkStart w:id="20211" w:name="_ETM_Q30_585870"/>
      <w:bookmarkEnd w:id="20211"/>
      <w:r>
        <w:rPr>
          <w:rFonts w:hint="cs"/>
          <w:rtl/>
        </w:rPr>
        <w:t xml:space="preserve">לטפל </w:t>
      </w:r>
      <w:bookmarkStart w:id="20212" w:name="_ETM_Q30_587209"/>
      <w:bookmarkEnd w:id="20212"/>
      <w:r>
        <w:rPr>
          <w:rFonts w:hint="cs"/>
          <w:rtl/>
        </w:rPr>
        <w:t xml:space="preserve">באמירה </w:t>
      </w:r>
      <w:bookmarkStart w:id="20213" w:name="_ETM_Q30_588319"/>
      <w:bookmarkEnd w:id="20213"/>
      <w:r>
        <w:rPr>
          <w:rFonts w:hint="cs"/>
          <w:rtl/>
        </w:rPr>
        <w:t xml:space="preserve">המהדהדת </w:t>
      </w:r>
      <w:bookmarkStart w:id="20214" w:name="_ETM_Q30_589740"/>
      <w:bookmarkEnd w:id="20214"/>
      <w:r>
        <w:rPr>
          <w:rFonts w:hint="cs"/>
          <w:rtl/>
        </w:rPr>
        <w:t>והחד</w:t>
      </w:r>
      <w:bookmarkStart w:id="20215" w:name="_ETM_Q30_590220"/>
      <w:bookmarkEnd w:id="20215"/>
      <w:r>
        <w:rPr>
          <w:rFonts w:hint="cs"/>
          <w:rtl/>
        </w:rPr>
        <w:t xml:space="preserve">-משמעית </w:t>
      </w:r>
      <w:bookmarkStart w:id="20216" w:name="_ETM_Q30_590700"/>
      <w:bookmarkEnd w:id="20216"/>
      <w:r>
        <w:rPr>
          <w:rFonts w:hint="cs"/>
          <w:rtl/>
        </w:rPr>
        <w:t xml:space="preserve">הזאת </w:t>
      </w:r>
      <w:bookmarkStart w:id="20217" w:name="_ETM_Q30_591360"/>
      <w:bookmarkEnd w:id="20217"/>
      <w:r>
        <w:rPr>
          <w:rFonts w:hint="cs"/>
          <w:rtl/>
        </w:rPr>
        <w:t xml:space="preserve">של </w:t>
      </w:r>
      <w:bookmarkStart w:id="20218" w:name="_ETM_Q30_591570"/>
      <w:bookmarkEnd w:id="20218"/>
      <w:r>
        <w:rPr>
          <w:rFonts w:hint="cs"/>
          <w:rtl/>
        </w:rPr>
        <w:t xml:space="preserve">עשרות </w:t>
      </w:r>
      <w:bookmarkStart w:id="20219" w:name="_ETM_Q30_592050"/>
      <w:bookmarkEnd w:id="20219"/>
      <w:r>
        <w:rPr>
          <w:rFonts w:hint="cs"/>
          <w:rtl/>
        </w:rPr>
        <w:t xml:space="preserve">אלפי </w:t>
      </w:r>
      <w:bookmarkStart w:id="20220" w:name="_ETM_Q30_592410"/>
      <w:bookmarkEnd w:id="20220"/>
      <w:r>
        <w:rPr>
          <w:rFonts w:hint="cs"/>
          <w:rtl/>
        </w:rPr>
        <w:t>משרתות</w:t>
      </w:r>
      <w:bookmarkStart w:id="20221" w:name="_ETM_Q30_592860"/>
      <w:bookmarkEnd w:id="20221"/>
      <w:r>
        <w:rPr>
          <w:rFonts w:hint="cs"/>
          <w:rtl/>
        </w:rPr>
        <w:t xml:space="preserve"> ו</w:t>
      </w:r>
      <w:bookmarkStart w:id="20222" w:name="_ETM_Q30_592920"/>
      <w:bookmarkEnd w:id="20222"/>
      <w:r>
        <w:rPr>
          <w:rFonts w:hint="cs"/>
          <w:rtl/>
        </w:rPr>
        <w:t xml:space="preserve">משרתי </w:t>
      </w:r>
      <w:bookmarkStart w:id="20223" w:name="_ETM_Q30_593310"/>
      <w:bookmarkEnd w:id="20223"/>
      <w:r>
        <w:rPr>
          <w:rFonts w:hint="cs"/>
          <w:rtl/>
        </w:rPr>
        <w:t xml:space="preserve">מילואים: </w:t>
      </w:r>
      <w:bookmarkStart w:id="20224" w:name="_ETM_Q30_594150"/>
      <w:bookmarkEnd w:id="20224"/>
      <w:r>
        <w:rPr>
          <w:rFonts w:hint="cs"/>
          <w:rtl/>
        </w:rPr>
        <w:t xml:space="preserve">אנחנו </w:t>
      </w:r>
      <w:bookmarkStart w:id="20225" w:name="_ETM_Q30_594660"/>
      <w:bookmarkEnd w:id="20225"/>
      <w:r>
        <w:rPr>
          <w:rFonts w:hint="cs"/>
          <w:rtl/>
        </w:rPr>
        <w:t xml:space="preserve">לא </w:t>
      </w:r>
      <w:bookmarkStart w:id="20226" w:name="_ETM_Q30_594779"/>
      <w:bookmarkEnd w:id="20226"/>
      <w:r>
        <w:rPr>
          <w:rFonts w:hint="cs"/>
          <w:rtl/>
        </w:rPr>
        <w:t xml:space="preserve">נתייצב? </w:t>
      </w:r>
      <w:bookmarkStart w:id="20227" w:name="_ETM_Q30_597929"/>
      <w:bookmarkStart w:id="20228" w:name="_ETM_Q30_595189"/>
      <w:bookmarkStart w:id="20229" w:name="_ETM_Q30_595759"/>
      <w:bookmarkEnd w:id="20227"/>
      <w:bookmarkEnd w:id="20228"/>
      <w:bookmarkEnd w:id="20229"/>
      <w:r>
        <w:rPr>
          <w:rFonts w:hint="cs"/>
          <w:rtl/>
        </w:rPr>
        <w:t xml:space="preserve">פשוט </w:t>
      </w:r>
      <w:bookmarkStart w:id="20230" w:name="_ETM_Q30_597789"/>
      <w:bookmarkEnd w:id="20230"/>
      <w:r>
        <w:rPr>
          <w:rFonts w:hint="cs"/>
          <w:rtl/>
        </w:rPr>
        <w:t xml:space="preserve">לא </w:t>
      </w:r>
      <w:bookmarkStart w:id="20231" w:name="_ETM_Q30_597969"/>
      <w:bookmarkEnd w:id="20231"/>
      <w:r>
        <w:rPr>
          <w:rFonts w:hint="cs"/>
          <w:rtl/>
        </w:rPr>
        <w:t xml:space="preserve">להתעסק </w:t>
      </w:r>
      <w:bookmarkStart w:id="20232" w:name="_ETM_Q30_598509"/>
      <w:bookmarkEnd w:id="20232"/>
      <w:r>
        <w:rPr>
          <w:rFonts w:hint="cs"/>
          <w:rtl/>
        </w:rPr>
        <w:t>בזה</w:t>
      </w:r>
      <w:r w:rsidR="001C760D">
        <w:rPr>
          <w:rFonts w:hint="cs"/>
          <w:rtl/>
        </w:rPr>
        <w:t>,</w:t>
      </w:r>
      <w:r>
        <w:rPr>
          <w:rFonts w:hint="cs"/>
          <w:rtl/>
        </w:rPr>
        <w:t xml:space="preserve"> </w:t>
      </w:r>
      <w:bookmarkStart w:id="20233" w:name="_ETM_Q30_598809"/>
      <w:bookmarkEnd w:id="20233"/>
      <w:r>
        <w:rPr>
          <w:rFonts w:hint="cs"/>
          <w:rtl/>
        </w:rPr>
        <w:t xml:space="preserve">אפילו? </w:t>
      </w:r>
      <w:bookmarkStart w:id="20234" w:name="_ETM_Q30_599589"/>
      <w:bookmarkEnd w:id="20234"/>
      <w:r>
        <w:rPr>
          <w:rFonts w:hint="cs"/>
          <w:rtl/>
        </w:rPr>
        <w:t xml:space="preserve">ככה </w:t>
      </w:r>
      <w:bookmarkStart w:id="20235" w:name="_ETM_Q30_600040"/>
      <w:bookmarkEnd w:id="20235"/>
      <w:r>
        <w:rPr>
          <w:rFonts w:hint="cs"/>
          <w:rtl/>
        </w:rPr>
        <w:t xml:space="preserve">להפקיר </w:t>
      </w:r>
      <w:bookmarkStart w:id="20236" w:name="_ETM_Q30_600520"/>
      <w:bookmarkEnd w:id="20236"/>
      <w:r>
        <w:rPr>
          <w:rFonts w:hint="cs"/>
          <w:rtl/>
        </w:rPr>
        <w:t xml:space="preserve">את </w:t>
      </w:r>
      <w:bookmarkStart w:id="20237" w:name="_ETM_Q30_600580"/>
      <w:bookmarkEnd w:id="20237"/>
      <w:r>
        <w:rPr>
          <w:rFonts w:hint="cs"/>
          <w:rtl/>
        </w:rPr>
        <w:t xml:space="preserve">ביטחון </w:t>
      </w:r>
      <w:bookmarkStart w:id="20238" w:name="_ETM_Q30_600970"/>
      <w:bookmarkEnd w:id="20238"/>
      <w:r>
        <w:rPr>
          <w:rFonts w:hint="cs"/>
          <w:rtl/>
        </w:rPr>
        <w:t>ישראל?</w:t>
      </w:r>
      <w:bookmarkStart w:id="20239" w:name="_ETM_Q30_604816"/>
      <w:bookmarkStart w:id="20240" w:name="_ETM_Q30_604950"/>
      <w:bookmarkStart w:id="20241" w:name="_ETM_Q30_605008"/>
      <w:bookmarkStart w:id="20242" w:name="_ETM_Q30_605122"/>
      <w:bookmarkStart w:id="20243" w:name="_ETM_Q30_603869"/>
      <w:bookmarkEnd w:id="20239"/>
      <w:bookmarkEnd w:id="20240"/>
      <w:bookmarkEnd w:id="20241"/>
      <w:bookmarkEnd w:id="20242"/>
      <w:bookmarkEnd w:id="20243"/>
      <w:r>
        <w:rPr>
          <w:rFonts w:hint="cs"/>
          <w:rtl/>
        </w:rPr>
        <w:t xml:space="preserve"> </w:t>
      </w:r>
      <w:bookmarkStart w:id="20244" w:name="_ETM_Q30_617198"/>
      <w:bookmarkEnd w:id="20244"/>
      <w:r>
        <w:rPr>
          <w:rFonts w:hint="cs"/>
          <w:rtl/>
        </w:rPr>
        <w:t xml:space="preserve">אני </w:t>
      </w:r>
      <w:bookmarkStart w:id="20245" w:name="_ETM_Q30_604110"/>
      <w:bookmarkEnd w:id="20245"/>
      <w:r>
        <w:rPr>
          <w:rFonts w:hint="cs"/>
          <w:rtl/>
        </w:rPr>
        <w:t xml:space="preserve">לא </w:t>
      </w:r>
      <w:bookmarkStart w:id="20246" w:name="_ETM_Q30_604229"/>
      <w:bookmarkEnd w:id="20246"/>
      <w:r>
        <w:rPr>
          <w:rFonts w:hint="cs"/>
          <w:rtl/>
        </w:rPr>
        <w:t xml:space="preserve">מאמינה, </w:t>
      </w:r>
      <w:bookmarkStart w:id="20247" w:name="_ETM_Q30_604799"/>
      <w:bookmarkEnd w:id="20247"/>
      <w:r>
        <w:rPr>
          <w:rFonts w:hint="cs"/>
          <w:rtl/>
        </w:rPr>
        <w:t xml:space="preserve">אדוני </w:t>
      </w:r>
      <w:bookmarkStart w:id="20248" w:name="_ETM_Q30_605189"/>
      <w:bookmarkEnd w:id="20248"/>
      <w:r>
        <w:rPr>
          <w:rFonts w:hint="cs"/>
          <w:rtl/>
        </w:rPr>
        <w:t xml:space="preserve">ראש </w:t>
      </w:r>
      <w:bookmarkStart w:id="20249" w:name="_ETM_Q30_605369"/>
      <w:bookmarkEnd w:id="20249"/>
      <w:r>
        <w:rPr>
          <w:rFonts w:hint="cs"/>
          <w:rtl/>
        </w:rPr>
        <w:t xml:space="preserve">הממשלה, </w:t>
      </w:r>
      <w:bookmarkStart w:id="20250" w:name="_ETM_Q30_605939"/>
      <w:bookmarkEnd w:id="20250"/>
      <w:r>
        <w:rPr>
          <w:rFonts w:hint="cs"/>
          <w:rtl/>
        </w:rPr>
        <w:t xml:space="preserve">מר </w:t>
      </w:r>
      <w:bookmarkStart w:id="20251" w:name="_ETM_Q30_606119"/>
      <w:bookmarkEnd w:id="20251"/>
      <w:r>
        <w:rPr>
          <w:rFonts w:hint="cs"/>
          <w:rtl/>
        </w:rPr>
        <w:t xml:space="preserve">נתניהו, </w:t>
      </w:r>
      <w:bookmarkStart w:id="20252" w:name="_ETM_Q30_606720"/>
      <w:bookmarkEnd w:id="20252"/>
      <w:r>
        <w:rPr>
          <w:rFonts w:hint="cs"/>
          <w:rtl/>
        </w:rPr>
        <w:t xml:space="preserve">שיש </w:t>
      </w:r>
      <w:bookmarkStart w:id="20253" w:name="_ETM_Q30_607140"/>
      <w:bookmarkEnd w:id="20253"/>
      <w:r>
        <w:rPr>
          <w:rFonts w:hint="cs"/>
          <w:rtl/>
        </w:rPr>
        <w:t xml:space="preserve">מישהו </w:t>
      </w:r>
      <w:bookmarkStart w:id="20254" w:name="_ETM_Q30_607740"/>
      <w:bookmarkEnd w:id="20254"/>
      <w:r>
        <w:rPr>
          <w:rFonts w:hint="cs"/>
          <w:rtl/>
        </w:rPr>
        <w:t xml:space="preserve">שהעלה </w:t>
      </w:r>
      <w:bookmarkStart w:id="20255" w:name="_ETM_Q30_608339"/>
      <w:bookmarkEnd w:id="20255"/>
      <w:r>
        <w:rPr>
          <w:rFonts w:hint="cs"/>
          <w:rtl/>
        </w:rPr>
        <w:t xml:space="preserve">על </w:t>
      </w:r>
      <w:bookmarkStart w:id="20256" w:name="_ETM_Q30_608459"/>
      <w:bookmarkEnd w:id="20256"/>
      <w:r>
        <w:rPr>
          <w:rFonts w:hint="cs"/>
          <w:rtl/>
        </w:rPr>
        <w:t xml:space="preserve">דל </w:t>
      </w:r>
      <w:bookmarkStart w:id="20257" w:name="_ETM_Q30_608880"/>
      <w:bookmarkEnd w:id="20257"/>
      <w:r>
        <w:rPr>
          <w:rFonts w:hint="cs"/>
          <w:rtl/>
        </w:rPr>
        <w:t xml:space="preserve">דעתו </w:t>
      </w:r>
      <w:bookmarkStart w:id="20258" w:name="_ETM_Q30_609900"/>
      <w:bookmarkEnd w:id="20258"/>
      <w:r>
        <w:rPr>
          <w:rFonts w:hint="cs"/>
          <w:rtl/>
        </w:rPr>
        <w:t xml:space="preserve">שאתה </w:t>
      </w:r>
      <w:bookmarkStart w:id="20259" w:name="_ETM_Q30_610290"/>
      <w:bookmarkEnd w:id="20259"/>
      <w:r>
        <w:rPr>
          <w:rFonts w:hint="cs"/>
          <w:rtl/>
        </w:rPr>
        <w:t xml:space="preserve">תלך </w:t>
      </w:r>
      <w:bookmarkStart w:id="20260" w:name="_ETM_Q30_610590"/>
      <w:bookmarkEnd w:id="20260"/>
      <w:r>
        <w:rPr>
          <w:rFonts w:hint="cs"/>
          <w:rtl/>
        </w:rPr>
        <w:t xml:space="preserve">כל </w:t>
      </w:r>
      <w:bookmarkStart w:id="20261" w:name="_ETM_Q30_610860"/>
      <w:bookmarkEnd w:id="20261"/>
      <w:r>
        <w:rPr>
          <w:rFonts w:hint="cs"/>
          <w:rtl/>
        </w:rPr>
        <w:t xml:space="preserve">כך </w:t>
      </w:r>
      <w:bookmarkStart w:id="20262" w:name="_ETM_Q30_611160"/>
      <w:bookmarkEnd w:id="20262"/>
      <w:r>
        <w:rPr>
          <w:rFonts w:hint="cs"/>
          <w:rtl/>
        </w:rPr>
        <w:t xml:space="preserve">רחוק. </w:t>
      </w:r>
      <w:bookmarkStart w:id="20263" w:name="_ETM_Q30_613200"/>
      <w:bookmarkEnd w:id="20263"/>
    </w:p>
    <w:p w:rsidR="00BB59CD" w:rsidRDefault="00BB59CD" w:rsidP="00BB59CD">
      <w:pPr>
        <w:rPr>
          <w:rtl/>
        </w:rPr>
      </w:pPr>
      <w:bookmarkStart w:id="20264" w:name="_ETM_Q30_611451"/>
      <w:bookmarkStart w:id="20265" w:name="_ETM_Q30_611539"/>
      <w:bookmarkEnd w:id="20264"/>
      <w:bookmarkEnd w:id="20265"/>
    </w:p>
    <w:p w:rsidR="00BB59CD" w:rsidRDefault="00BB59CD" w:rsidP="001C760D">
      <w:pPr>
        <w:rPr>
          <w:rtl/>
        </w:rPr>
      </w:pPr>
      <w:bookmarkStart w:id="20266" w:name="_ETM_Q30_611597"/>
      <w:bookmarkStart w:id="20267" w:name="_ETM_Q30_611671"/>
      <w:bookmarkStart w:id="20268" w:name="_ETM_Q30_613500"/>
      <w:bookmarkEnd w:id="20266"/>
      <w:bookmarkEnd w:id="20267"/>
      <w:bookmarkEnd w:id="20268"/>
      <w:r>
        <w:rPr>
          <w:rFonts w:hint="cs"/>
          <w:rtl/>
        </w:rPr>
        <w:t xml:space="preserve">ראיתי </w:t>
      </w:r>
      <w:bookmarkStart w:id="20269" w:name="_ETM_Q30_614569"/>
      <w:bookmarkEnd w:id="20269"/>
      <w:r>
        <w:rPr>
          <w:rFonts w:hint="cs"/>
          <w:rtl/>
        </w:rPr>
        <w:t xml:space="preserve">שיש </w:t>
      </w:r>
      <w:bookmarkStart w:id="20270" w:name="_ETM_Q30_614960"/>
      <w:bookmarkEnd w:id="20270"/>
      <w:r>
        <w:rPr>
          <w:rFonts w:hint="cs"/>
          <w:rtl/>
        </w:rPr>
        <w:t xml:space="preserve">מתווה </w:t>
      </w:r>
      <w:bookmarkStart w:id="20271" w:name="_ETM_Q30_615350"/>
      <w:bookmarkEnd w:id="20271"/>
      <w:r>
        <w:rPr>
          <w:rFonts w:hint="cs"/>
          <w:rtl/>
        </w:rPr>
        <w:t xml:space="preserve">פשרה </w:t>
      </w:r>
      <w:bookmarkStart w:id="20272" w:name="_ETM_Q30_615830"/>
      <w:bookmarkEnd w:id="20272"/>
      <w:r>
        <w:rPr>
          <w:rFonts w:hint="cs"/>
          <w:rtl/>
        </w:rPr>
        <w:t xml:space="preserve">חדש. </w:t>
      </w:r>
      <w:bookmarkStart w:id="20273" w:name="_ETM_Q30_617760"/>
      <w:bookmarkEnd w:id="20273"/>
      <w:r>
        <w:rPr>
          <w:rFonts w:hint="cs"/>
          <w:rtl/>
        </w:rPr>
        <w:t xml:space="preserve">עכשיו, </w:t>
      </w:r>
      <w:bookmarkStart w:id="20274" w:name="_ETM_Q30_618000"/>
      <w:bookmarkEnd w:id="20274"/>
      <w:r>
        <w:rPr>
          <w:rFonts w:hint="cs"/>
          <w:rtl/>
        </w:rPr>
        <w:t xml:space="preserve">אני </w:t>
      </w:r>
      <w:bookmarkStart w:id="20275" w:name="_ETM_Q30_618180"/>
      <w:bookmarkEnd w:id="20275"/>
      <w:r>
        <w:rPr>
          <w:rFonts w:hint="cs"/>
          <w:rtl/>
        </w:rPr>
        <w:t xml:space="preserve">חייבת </w:t>
      </w:r>
      <w:bookmarkStart w:id="20276" w:name="_ETM_Q30_618450"/>
      <w:bookmarkEnd w:id="20276"/>
      <w:r>
        <w:rPr>
          <w:rFonts w:hint="cs"/>
          <w:rtl/>
        </w:rPr>
        <w:t xml:space="preserve">להגיד </w:t>
      </w:r>
      <w:bookmarkStart w:id="20277" w:name="_ETM_Q30_618720"/>
      <w:bookmarkEnd w:id="20277"/>
      <w:r>
        <w:rPr>
          <w:rFonts w:hint="cs"/>
          <w:rtl/>
        </w:rPr>
        <w:t xml:space="preserve">לכם, </w:t>
      </w:r>
      <w:bookmarkStart w:id="20278" w:name="_ETM_Q30_619740"/>
      <w:bookmarkEnd w:id="20278"/>
      <w:r>
        <w:rPr>
          <w:rFonts w:hint="cs"/>
          <w:rtl/>
        </w:rPr>
        <w:t xml:space="preserve">רבותיי, </w:t>
      </w:r>
      <w:bookmarkStart w:id="20279" w:name="_ETM_Q30_620220"/>
      <w:bookmarkEnd w:id="20279"/>
      <w:r>
        <w:rPr>
          <w:rFonts w:hint="cs"/>
          <w:rtl/>
        </w:rPr>
        <w:t xml:space="preserve">חבריי </w:t>
      </w:r>
      <w:bookmarkStart w:id="20280" w:name="_ETM_Q30_620580"/>
      <w:bookmarkEnd w:id="20280"/>
      <w:r>
        <w:rPr>
          <w:rFonts w:hint="cs"/>
          <w:rtl/>
        </w:rPr>
        <w:t xml:space="preserve">בקואליציה – </w:t>
      </w:r>
      <w:bookmarkStart w:id="20281" w:name="_ETM_Q30_622610"/>
      <w:bookmarkEnd w:id="20281"/>
      <w:r>
        <w:rPr>
          <w:rFonts w:hint="cs"/>
          <w:rtl/>
        </w:rPr>
        <w:t xml:space="preserve">פחות </w:t>
      </w:r>
      <w:bookmarkStart w:id="20282" w:name="_ETM_Q30_623120"/>
      <w:bookmarkEnd w:id="20282"/>
      <w:r>
        <w:rPr>
          <w:rFonts w:hint="cs"/>
          <w:rtl/>
        </w:rPr>
        <w:t xml:space="preserve">חבריי, </w:t>
      </w:r>
      <w:bookmarkStart w:id="20283" w:name="_ETM_Q30_623540"/>
      <w:bookmarkEnd w:id="20283"/>
      <w:r>
        <w:rPr>
          <w:rFonts w:hint="cs"/>
          <w:rtl/>
        </w:rPr>
        <w:t xml:space="preserve">אבל </w:t>
      </w:r>
      <w:bookmarkStart w:id="20284" w:name="_ETM_Q30_623750"/>
      <w:bookmarkEnd w:id="20284"/>
      <w:r>
        <w:rPr>
          <w:rFonts w:hint="cs"/>
          <w:rtl/>
        </w:rPr>
        <w:t xml:space="preserve">אתם </w:t>
      </w:r>
      <w:bookmarkStart w:id="20285" w:name="_ETM_Q30_623990"/>
      <w:bookmarkEnd w:id="20285"/>
      <w:r>
        <w:rPr>
          <w:rFonts w:hint="cs"/>
          <w:rtl/>
        </w:rPr>
        <w:t>בקואליציה</w:t>
      </w:r>
      <w:r w:rsidR="001C760D">
        <w:rPr>
          <w:rFonts w:hint="cs"/>
          <w:rtl/>
        </w:rPr>
        <w:t>:</w:t>
      </w:r>
      <w:r>
        <w:rPr>
          <w:rFonts w:hint="cs"/>
          <w:rtl/>
        </w:rPr>
        <w:t xml:space="preserve"> </w:t>
      </w:r>
      <w:bookmarkStart w:id="20286" w:name="_ETM_Q30_627069"/>
      <w:bookmarkEnd w:id="20286"/>
      <w:r>
        <w:rPr>
          <w:rFonts w:hint="cs"/>
          <w:rtl/>
        </w:rPr>
        <w:t xml:space="preserve">כל </w:t>
      </w:r>
      <w:bookmarkStart w:id="20287" w:name="_ETM_Q30_627340"/>
      <w:bookmarkEnd w:id="20287"/>
      <w:r>
        <w:rPr>
          <w:rFonts w:hint="cs"/>
          <w:rtl/>
        </w:rPr>
        <w:t xml:space="preserve">המיליונים </w:t>
      </w:r>
      <w:bookmarkStart w:id="20288" w:name="_ETM_Q30_628030"/>
      <w:bookmarkEnd w:id="20288"/>
      <w:r>
        <w:rPr>
          <w:rFonts w:hint="cs"/>
          <w:rtl/>
        </w:rPr>
        <w:t xml:space="preserve">בעבודה </w:t>
      </w:r>
      <w:bookmarkStart w:id="20289" w:name="_ETM_Q30_628540"/>
      <w:bookmarkEnd w:id="20289"/>
      <w:r>
        <w:rPr>
          <w:rFonts w:hint="cs"/>
          <w:rtl/>
        </w:rPr>
        <w:t xml:space="preserve">ובבית, </w:t>
      </w:r>
      <w:bookmarkStart w:id="20290" w:name="_ETM_Q30_629740"/>
      <w:bookmarkEnd w:id="20290"/>
      <w:r>
        <w:rPr>
          <w:rFonts w:hint="cs"/>
          <w:rtl/>
        </w:rPr>
        <w:t>המאות</w:t>
      </w:r>
      <w:bookmarkStart w:id="20291" w:name="_ETM_Q30_630310"/>
      <w:bookmarkEnd w:id="20291"/>
      <w:r>
        <w:rPr>
          <w:rFonts w:hint="cs"/>
          <w:rtl/>
        </w:rPr>
        <w:t xml:space="preserve">-אלפים </w:t>
      </w:r>
      <w:bookmarkStart w:id="20292" w:name="_ETM_Q30_630760"/>
      <w:bookmarkEnd w:id="20292"/>
      <w:r>
        <w:rPr>
          <w:rFonts w:hint="cs"/>
          <w:rtl/>
        </w:rPr>
        <w:t xml:space="preserve">שברחובות, </w:t>
      </w:r>
      <w:bookmarkStart w:id="20293" w:name="_ETM_Q30_632230"/>
      <w:bookmarkEnd w:id="20293"/>
      <w:r>
        <w:rPr>
          <w:rFonts w:hint="cs"/>
          <w:rtl/>
        </w:rPr>
        <w:t xml:space="preserve">האלפים </w:t>
      </w:r>
      <w:bookmarkStart w:id="20294" w:name="_ETM_Q30_633580"/>
      <w:bookmarkEnd w:id="20294"/>
      <w:r>
        <w:rPr>
          <w:rFonts w:hint="cs"/>
          <w:rtl/>
        </w:rPr>
        <w:t xml:space="preserve">שישנות </w:t>
      </w:r>
      <w:bookmarkStart w:id="20295" w:name="_ETM_Q30_634180"/>
      <w:bookmarkEnd w:id="20295"/>
      <w:r>
        <w:rPr>
          <w:rFonts w:hint="cs"/>
          <w:rtl/>
        </w:rPr>
        <w:t xml:space="preserve">וישנים </w:t>
      </w:r>
      <w:bookmarkStart w:id="20296" w:name="_ETM_Q30_634660"/>
      <w:bookmarkEnd w:id="20296"/>
      <w:r>
        <w:rPr>
          <w:rFonts w:hint="cs"/>
          <w:rtl/>
        </w:rPr>
        <w:t xml:space="preserve">באוהלים </w:t>
      </w:r>
      <w:bookmarkStart w:id="20297" w:name="_ETM_Q30_635650"/>
      <w:bookmarkEnd w:id="20297"/>
      <w:r>
        <w:rPr>
          <w:rFonts w:hint="cs"/>
          <w:rtl/>
        </w:rPr>
        <w:t xml:space="preserve">כבר </w:t>
      </w:r>
      <w:bookmarkStart w:id="20298" w:name="_ETM_Q30_635920"/>
      <w:bookmarkEnd w:id="20298"/>
      <w:r>
        <w:rPr>
          <w:rFonts w:hint="cs"/>
          <w:rtl/>
        </w:rPr>
        <w:t xml:space="preserve">לילות </w:t>
      </w:r>
      <w:bookmarkStart w:id="20299" w:name="_ETM_Q30_637040"/>
      <w:bookmarkEnd w:id="20299"/>
      <w:r>
        <w:rPr>
          <w:rFonts w:hint="cs"/>
          <w:rtl/>
        </w:rPr>
        <w:t xml:space="preserve">על </w:t>
      </w:r>
      <w:bookmarkStart w:id="20300" w:name="_ETM_Q30_637190"/>
      <w:bookmarkEnd w:id="20300"/>
      <w:r>
        <w:rPr>
          <w:rFonts w:hint="cs"/>
          <w:rtl/>
        </w:rPr>
        <w:t xml:space="preserve">גבי </w:t>
      </w:r>
      <w:bookmarkStart w:id="20301" w:name="_ETM_Q30_637490"/>
      <w:bookmarkEnd w:id="20301"/>
      <w:r>
        <w:rPr>
          <w:rFonts w:hint="cs"/>
          <w:rtl/>
        </w:rPr>
        <w:t xml:space="preserve">לילות </w:t>
      </w:r>
      <w:bookmarkStart w:id="20302" w:name="_ETM_Q30_638150"/>
      <w:bookmarkEnd w:id="20302"/>
      <w:r>
        <w:rPr>
          <w:rFonts w:hint="cs"/>
          <w:rtl/>
        </w:rPr>
        <w:t xml:space="preserve">כדי </w:t>
      </w:r>
      <w:bookmarkStart w:id="20303" w:name="_ETM_Q30_638540"/>
      <w:bookmarkEnd w:id="20303"/>
      <w:r>
        <w:rPr>
          <w:rFonts w:hint="cs"/>
          <w:rtl/>
        </w:rPr>
        <w:t xml:space="preserve">לעצור </w:t>
      </w:r>
      <w:bookmarkStart w:id="20304" w:name="_ETM_Q30_639110"/>
      <w:bookmarkEnd w:id="20304"/>
      <w:r>
        <w:rPr>
          <w:rFonts w:hint="cs"/>
          <w:rtl/>
        </w:rPr>
        <w:t xml:space="preserve">את </w:t>
      </w:r>
      <w:bookmarkStart w:id="20305" w:name="_ETM_Q30_639170"/>
      <w:bookmarkEnd w:id="20305"/>
      <w:r>
        <w:rPr>
          <w:rFonts w:hint="cs"/>
          <w:rtl/>
        </w:rPr>
        <w:t xml:space="preserve">החקיקה </w:t>
      </w:r>
      <w:bookmarkStart w:id="20306" w:name="_ETM_Q30_639650"/>
      <w:bookmarkEnd w:id="20306"/>
      <w:r>
        <w:rPr>
          <w:rFonts w:hint="cs"/>
          <w:rtl/>
        </w:rPr>
        <w:t xml:space="preserve">הזאת, </w:t>
      </w:r>
      <w:bookmarkStart w:id="20307" w:name="_ETM_Q30_640640"/>
      <w:bookmarkEnd w:id="20307"/>
      <w:r>
        <w:rPr>
          <w:rFonts w:hint="cs"/>
          <w:rtl/>
        </w:rPr>
        <w:t xml:space="preserve">כמהים </w:t>
      </w:r>
      <w:bookmarkStart w:id="20308" w:name="_ETM_Q30_641570"/>
      <w:bookmarkEnd w:id="20308"/>
      <w:r>
        <w:rPr>
          <w:rFonts w:hint="cs"/>
          <w:rtl/>
        </w:rPr>
        <w:t xml:space="preserve">ומשוועות ומשוועים </w:t>
      </w:r>
      <w:bookmarkStart w:id="20309" w:name="_ETM_Q30_642320"/>
      <w:bookmarkStart w:id="20310" w:name="_ETM_Q30_643370"/>
      <w:bookmarkEnd w:id="20309"/>
      <w:bookmarkEnd w:id="20310"/>
      <w:r>
        <w:rPr>
          <w:rFonts w:hint="cs"/>
          <w:rtl/>
        </w:rPr>
        <w:t xml:space="preserve">לפתרון, </w:t>
      </w:r>
      <w:bookmarkStart w:id="20311" w:name="_ETM_Q30_644090"/>
      <w:bookmarkEnd w:id="20311"/>
      <w:r>
        <w:rPr>
          <w:rFonts w:hint="cs"/>
          <w:rtl/>
        </w:rPr>
        <w:t xml:space="preserve">למוצא, </w:t>
      </w:r>
      <w:bookmarkStart w:id="20312" w:name="_ETM_Q30_645020"/>
      <w:bookmarkEnd w:id="20312"/>
      <w:r>
        <w:rPr>
          <w:rFonts w:hint="cs"/>
          <w:rtl/>
        </w:rPr>
        <w:t xml:space="preserve">למשהו </w:t>
      </w:r>
      <w:bookmarkStart w:id="20313" w:name="_ETM_Q30_645500"/>
      <w:bookmarkEnd w:id="20313"/>
      <w:r>
        <w:rPr>
          <w:rFonts w:hint="cs"/>
          <w:rtl/>
        </w:rPr>
        <w:t xml:space="preserve">שיעצור </w:t>
      </w:r>
      <w:bookmarkStart w:id="20314" w:name="_ETM_Q30_646220"/>
      <w:bookmarkEnd w:id="20314"/>
      <w:r>
        <w:rPr>
          <w:rFonts w:hint="cs"/>
          <w:rtl/>
        </w:rPr>
        <w:t xml:space="preserve">את </w:t>
      </w:r>
      <w:bookmarkStart w:id="20315" w:name="_ETM_Q30_646340"/>
      <w:bookmarkEnd w:id="20315"/>
      <w:r>
        <w:rPr>
          <w:rFonts w:hint="cs"/>
          <w:rtl/>
        </w:rPr>
        <w:t xml:space="preserve">האימה </w:t>
      </w:r>
      <w:bookmarkStart w:id="20316" w:name="_ETM_Q30_647330"/>
      <w:bookmarkEnd w:id="20316"/>
      <w:r>
        <w:rPr>
          <w:rFonts w:hint="cs"/>
          <w:rtl/>
        </w:rPr>
        <w:t xml:space="preserve">שמתרחשת </w:t>
      </w:r>
      <w:bookmarkStart w:id="20317" w:name="_ETM_Q30_648110"/>
      <w:bookmarkEnd w:id="20317"/>
      <w:r>
        <w:rPr>
          <w:rFonts w:hint="cs"/>
          <w:rtl/>
        </w:rPr>
        <w:t xml:space="preserve">בחיי </w:t>
      </w:r>
      <w:bookmarkStart w:id="20318" w:name="_ETM_Q30_648500"/>
      <w:bookmarkEnd w:id="20318"/>
      <w:r>
        <w:rPr>
          <w:rFonts w:hint="cs"/>
          <w:rtl/>
        </w:rPr>
        <w:t xml:space="preserve">כולנו </w:t>
      </w:r>
      <w:bookmarkStart w:id="20319" w:name="_ETM_Q30_648950"/>
      <w:bookmarkEnd w:id="20319"/>
      <w:r>
        <w:rPr>
          <w:rFonts w:hint="cs"/>
          <w:rtl/>
        </w:rPr>
        <w:t xml:space="preserve">בימים </w:t>
      </w:r>
      <w:bookmarkStart w:id="20320" w:name="_ETM_Q30_649340"/>
      <w:bookmarkEnd w:id="20320"/>
      <w:r>
        <w:rPr>
          <w:rFonts w:hint="cs"/>
          <w:rtl/>
        </w:rPr>
        <w:t xml:space="preserve">אלה. </w:t>
      </w:r>
      <w:bookmarkStart w:id="20321" w:name="_ETM_Q30_651239"/>
      <w:bookmarkEnd w:id="20321"/>
      <w:r>
        <w:rPr>
          <w:rFonts w:hint="cs"/>
          <w:rtl/>
        </w:rPr>
        <w:t xml:space="preserve"> אבל </w:t>
      </w:r>
      <w:bookmarkStart w:id="20322" w:name="_ETM_Q30_651480"/>
      <w:bookmarkEnd w:id="20322"/>
      <w:r>
        <w:rPr>
          <w:rFonts w:hint="cs"/>
          <w:rtl/>
        </w:rPr>
        <w:t xml:space="preserve">פתרון </w:t>
      </w:r>
      <w:bookmarkStart w:id="20323" w:name="_ETM_Q30_653400"/>
      <w:bookmarkEnd w:id="20323"/>
      <w:r>
        <w:rPr>
          <w:rFonts w:hint="cs"/>
          <w:rtl/>
        </w:rPr>
        <w:t xml:space="preserve">הוא </w:t>
      </w:r>
      <w:bookmarkStart w:id="20324" w:name="_ETM_Q30_653520"/>
      <w:bookmarkEnd w:id="20324"/>
      <w:r>
        <w:rPr>
          <w:rFonts w:hint="cs"/>
          <w:rtl/>
        </w:rPr>
        <w:t xml:space="preserve">לא </w:t>
      </w:r>
      <w:bookmarkStart w:id="20325" w:name="_ETM_Q30_653940"/>
      <w:bookmarkEnd w:id="20325"/>
      <w:r>
        <w:rPr>
          <w:rFonts w:hint="cs"/>
          <w:rtl/>
        </w:rPr>
        <w:t xml:space="preserve">פשרה </w:t>
      </w:r>
      <w:bookmarkStart w:id="20326" w:name="_ETM_Q30_654330"/>
      <w:bookmarkEnd w:id="20326"/>
      <w:r>
        <w:rPr>
          <w:rFonts w:hint="cs"/>
          <w:rtl/>
        </w:rPr>
        <w:t xml:space="preserve">על </w:t>
      </w:r>
      <w:bookmarkStart w:id="20327" w:name="_ETM_Q30_654540"/>
      <w:bookmarkEnd w:id="20327"/>
      <w:r>
        <w:rPr>
          <w:rFonts w:hint="cs"/>
          <w:rtl/>
        </w:rPr>
        <w:t xml:space="preserve">הדמוקרטיה </w:t>
      </w:r>
      <w:bookmarkStart w:id="20328" w:name="_ETM_Q30_655260"/>
      <w:bookmarkEnd w:id="20328"/>
      <w:r>
        <w:rPr>
          <w:rFonts w:hint="cs"/>
          <w:rtl/>
        </w:rPr>
        <w:t xml:space="preserve">שלנו, </w:t>
      </w:r>
      <w:bookmarkStart w:id="20329" w:name="_ETM_Q30_656420"/>
      <w:bookmarkEnd w:id="20329"/>
      <w:r>
        <w:rPr>
          <w:rFonts w:hint="cs"/>
          <w:rtl/>
        </w:rPr>
        <w:t xml:space="preserve">כי </w:t>
      </w:r>
      <w:bookmarkStart w:id="20330" w:name="_ETM_Q30_656659"/>
      <w:bookmarkEnd w:id="20330"/>
      <w:r>
        <w:rPr>
          <w:rFonts w:hint="cs"/>
          <w:rtl/>
        </w:rPr>
        <w:t xml:space="preserve">אין </w:t>
      </w:r>
      <w:bookmarkStart w:id="20331" w:name="_ETM_Q30_656840"/>
      <w:bookmarkEnd w:id="20331"/>
      <w:r>
        <w:rPr>
          <w:rFonts w:hint="cs"/>
          <w:rtl/>
        </w:rPr>
        <w:t xml:space="preserve">דבר </w:t>
      </w:r>
      <w:bookmarkStart w:id="20332" w:name="_ETM_Q30_657200"/>
      <w:bookmarkEnd w:id="20332"/>
      <w:r>
        <w:rPr>
          <w:rFonts w:hint="cs"/>
          <w:rtl/>
        </w:rPr>
        <w:t xml:space="preserve">כזה </w:t>
      </w:r>
      <w:bookmarkStart w:id="20333" w:name="_ETM_Q30_657470"/>
      <w:bookmarkEnd w:id="20333"/>
      <w:r>
        <w:rPr>
          <w:rFonts w:hint="cs"/>
          <w:rtl/>
        </w:rPr>
        <w:t xml:space="preserve">חצי </w:t>
      </w:r>
      <w:bookmarkStart w:id="20334" w:name="_ETM_Q30_657769"/>
      <w:bookmarkEnd w:id="20334"/>
      <w:r>
        <w:rPr>
          <w:rFonts w:hint="cs"/>
          <w:rtl/>
        </w:rPr>
        <w:t xml:space="preserve">דמוקרטיה. </w:t>
      </w:r>
      <w:bookmarkStart w:id="20335" w:name="_ETM_Q30_658430"/>
      <w:bookmarkEnd w:id="20335"/>
      <w:r>
        <w:rPr>
          <w:rFonts w:hint="cs"/>
          <w:rtl/>
        </w:rPr>
        <w:t xml:space="preserve">פשוט </w:t>
      </w:r>
      <w:bookmarkStart w:id="20336" w:name="_ETM_Q30_658879"/>
      <w:bookmarkEnd w:id="20336"/>
      <w:r>
        <w:rPr>
          <w:rFonts w:hint="cs"/>
          <w:rtl/>
        </w:rPr>
        <w:t xml:space="preserve">אין </w:t>
      </w:r>
      <w:bookmarkStart w:id="20337" w:name="_ETM_Q30_659120"/>
      <w:bookmarkEnd w:id="20337"/>
      <w:r>
        <w:rPr>
          <w:rFonts w:hint="cs"/>
          <w:rtl/>
        </w:rPr>
        <w:t xml:space="preserve">דבר </w:t>
      </w:r>
      <w:bookmarkStart w:id="20338" w:name="_ETM_Q30_659569"/>
      <w:bookmarkEnd w:id="20338"/>
      <w:r>
        <w:rPr>
          <w:rFonts w:hint="cs"/>
          <w:rtl/>
        </w:rPr>
        <w:t xml:space="preserve">כזה </w:t>
      </w:r>
      <w:bookmarkStart w:id="20339" w:name="_ETM_Q30_659870"/>
      <w:bookmarkEnd w:id="20339"/>
      <w:r>
        <w:rPr>
          <w:rFonts w:hint="cs"/>
          <w:rtl/>
        </w:rPr>
        <w:t xml:space="preserve">חצי </w:t>
      </w:r>
      <w:bookmarkStart w:id="20340" w:name="_ETM_Q30_660170"/>
      <w:bookmarkEnd w:id="20340"/>
      <w:r>
        <w:rPr>
          <w:rFonts w:hint="cs"/>
          <w:rtl/>
        </w:rPr>
        <w:t xml:space="preserve">דמוקרטיה. </w:t>
      </w:r>
      <w:bookmarkStart w:id="20341" w:name="_ETM_Q30_661280"/>
      <w:bookmarkEnd w:id="20341"/>
      <w:r>
        <w:rPr>
          <w:rFonts w:hint="cs"/>
          <w:rtl/>
        </w:rPr>
        <w:t xml:space="preserve">הדמוקרטיה </w:t>
      </w:r>
      <w:bookmarkStart w:id="20342" w:name="_ETM_Q30_662000"/>
      <w:bookmarkEnd w:id="20342"/>
      <w:r>
        <w:rPr>
          <w:rFonts w:hint="cs"/>
          <w:rtl/>
        </w:rPr>
        <w:t xml:space="preserve">שלנו </w:t>
      </w:r>
      <w:bookmarkStart w:id="20343" w:name="_ETM_Q30_662209"/>
      <w:bookmarkEnd w:id="20343"/>
      <w:r>
        <w:rPr>
          <w:rFonts w:hint="cs"/>
          <w:rtl/>
        </w:rPr>
        <w:t xml:space="preserve">לא </w:t>
      </w:r>
      <w:bookmarkStart w:id="20344" w:name="_ETM_Q30_662360"/>
      <w:bookmarkEnd w:id="20344"/>
      <w:r>
        <w:rPr>
          <w:rFonts w:hint="cs"/>
          <w:rtl/>
        </w:rPr>
        <w:t xml:space="preserve">למכירה, </w:t>
      </w:r>
      <w:bookmarkStart w:id="20345" w:name="_ETM_Q30_662870"/>
      <w:bookmarkEnd w:id="20345"/>
      <w:r>
        <w:rPr>
          <w:rFonts w:hint="cs"/>
          <w:rtl/>
        </w:rPr>
        <w:t xml:space="preserve">גם </w:t>
      </w:r>
      <w:bookmarkStart w:id="20346" w:name="_ETM_Q30_663110"/>
      <w:bookmarkEnd w:id="20346"/>
      <w:r>
        <w:rPr>
          <w:rFonts w:hint="cs"/>
          <w:rtl/>
        </w:rPr>
        <w:t xml:space="preserve">לא </w:t>
      </w:r>
      <w:bookmarkStart w:id="20347" w:name="_ETM_Q30_663319"/>
      <w:bookmarkEnd w:id="20347"/>
      <w:r>
        <w:rPr>
          <w:rFonts w:hint="cs"/>
          <w:rtl/>
        </w:rPr>
        <w:t xml:space="preserve">במחיר </w:t>
      </w:r>
      <w:bookmarkStart w:id="20348" w:name="_ETM_Q30_663890"/>
      <w:bookmarkEnd w:id="20348"/>
      <w:r>
        <w:rPr>
          <w:rFonts w:hint="cs"/>
          <w:rtl/>
        </w:rPr>
        <w:t xml:space="preserve">שמוצע </w:t>
      </w:r>
      <w:bookmarkStart w:id="20349" w:name="_ETM_Q30_664760"/>
      <w:bookmarkStart w:id="20350" w:name="_ETM_Q30_665270"/>
      <w:bookmarkEnd w:id="20349"/>
      <w:bookmarkEnd w:id="20350"/>
      <w:r>
        <w:rPr>
          <w:rFonts w:hint="cs"/>
          <w:rtl/>
        </w:rPr>
        <w:t>בכביכול</w:t>
      </w:r>
      <w:bookmarkStart w:id="20351" w:name="_ETM_Q30_665959"/>
      <w:bookmarkEnd w:id="20351"/>
      <w:r>
        <w:rPr>
          <w:rFonts w:hint="cs"/>
          <w:rtl/>
        </w:rPr>
        <w:t xml:space="preserve">-מתווה </w:t>
      </w:r>
      <w:bookmarkStart w:id="20352" w:name="_ETM_Q30_666349"/>
      <w:bookmarkEnd w:id="20352"/>
      <w:r>
        <w:rPr>
          <w:rFonts w:hint="cs"/>
          <w:rtl/>
        </w:rPr>
        <w:t xml:space="preserve">החדש, </w:t>
      </w:r>
      <w:bookmarkStart w:id="20353" w:name="_ETM_Q30_667370"/>
      <w:bookmarkEnd w:id="20353"/>
      <w:r>
        <w:rPr>
          <w:rFonts w:hint="cs"/>
          <w:rtl/>
        </w:rPr>
        <w:t xml:space="preserve">כי </w:t>
      </w:r>
      <w:bookmarkStart w:id="20354" w:name="_ETM_Q30_667550"/>
      <w:bookmarkEnd w:id="20354"/>
      <w:r>
        <w:rPr>
          <w:rFonts w:hint="cs"/>
          <w:rtl/>
        </w:rPr>
        <w:t xml:space="preserve">המתווה </w:t>
      </w:r>
      <w:bookmarkStart w:id="20355" w:name="_ETM_Q30_667940"/>
      <w:bookmarkEnd w:id="20355"/>
      <w:r>
        <w:rPr>
          <w:rFonts w:hint="cs"/>
          <w:rtl/>
        </w:rPr>
        <w:t xml:space="preserve">החדש </w:t>
      </w:r>
      <w:bookmarkStart w:id="20356" w:name="_ETM_Q30_668420"/>
      <w:bookmarkEnd w:id="20356"/>
      <w:r>
        <w:rPr>
          <w:rFonts w:hint="cs"/>
          <w:rtl/>
        </w:rPr>
        <w:t xml:space="preserve">לא </w:t>
      </w:r>
      <w:bookmarkStart w:id="20357" w:name="_ETM_Q30_668540"/>
      <w:bookmarkEnd w:id="20357"/>
      <w:r>
        <w:rPr>
          <w:rFonts w:hint="cs"/>
          <w:rtl/>
        </w:rPr>
        <w:t xml:space="preserve">מבטיח </w:t>
      </w:r>
      <w:bookmarkStart w:id="20358" w:name="_ETM_Q30_669050"/>
      <w:bookmarkEnd w:id="20358"/>
      <w:r>
        <w:rPr>
          <w:rFonts w:hint="cs"/>
          <w:rtl/>
        </w:rPr>
        <w:t xml:space="preserve">לנו </w:t>
      </w:r>
      <w:bookmarkStart w:id="20359" w:name="_ETM_Q30_669650"/>
      <w:bookmarkEnd w:id="20359"/>
      <w:r>
        <w:rPr>
          <w:rFonts w:hint="cs"/>
          <w:rtl/>
        </w:rPr>
        <w:t xml:space="preserve">שתכונס </w:t>
      </w:r>
      <w:bookmarkStart w:id="20360" w:name="_ETM_Q30_670310"/>
      <w:bookmarkEnd w:id="20360"/>
      <w:r>
        <w:rPr>
          <w:rFonts w:hint="cs"/>
          <w:rtl/>
        </w:rPr>
        <w:t xml:space="preserve">הוועדה </w:t>
      </w:r>
      <w:bookmarkStart w:id="20361" w:name="_ETM_Q30_670670"/>
      <w:bookmarkEnd w:id="20361"/>
      <w:r>
        <w:rPr>
          <w:rFonts w:hint="cs"/>
          <w:rtl/>
        </w:rPr>
        <w:t xml:space="preserve">למינוי </w:t>
      </w:r>
      <w:bookmarkStart w:id="20362" w:name="_ETM_Q30_671000"/>
      <w:bookmarkEnd w:id="20362"/>
      <w:r>
        <w:rPr>
          <w:rFonts w:hint="cs"/>
          <w:rtl/>
        </w:rPr>
        <w:t xml:space="preserve">שופטים, וימונו </w:t>
      </w:r>
      <w:bookmarkStart w:id="20363" w:name="_ETM_Q30_671450"/>
      <w:bookmarkStart w:id="20364" w:name="_ETM_Q30_672230"/>
      <w:bookmarkEnd w:id="20363"/>
      <w:bookmarkEnd w:id="20364"/>
      <w:r>
        <w:rPr>
          <w:rFonts w:hint="cs"/>
          <w:rtl/>
        </w:rPr>
        <w:t xml:space="preserve">שופטות </w:t>
      </w:r>
      <w:bookmarkStart w:id="20365" w:name="_ETM_Q30_672709"/>
      <w:bookmarkEnd w:id="20365"/>
      <w:r>
        <w:rPr>
          <w:rFonts w:hint="cs"/>
          <w:rtl/>
        </w:rPr>
        <w:t xml:space="preserve">ושופטים </w:t>
      </w:r>
      <w:bookmarkStart w:id="20366" w:name="_ETM_Q30_673550"/>
      <w:bookmarkEnd w:id="20366"/>
      <w:r>
        <w:rPr>
          <w:rFonts w:hint="cs"/>
          <w:rtl/>
        </w:rPr>
        <w:t xml:space="preserve">כמו </w:t>
      </w:r>
      <w:bookmarkStart w:id="20367" w:name="_ETM_Q30_673819"/>
      <w:bookmarkEnd w:id="20367"/>
      <w:r>
        <w:rPr>
          <w:rFonts w:hint="cs"/>
          <w:rtl/>
        </w:rPr>
        <w:t xml:space="preserve">שצריכים </w:t>
      </w:r>
      <w:bookmarkStart w:id="20368" w:name="_ETM_Q30_674420"/>
      <w:bookmarkEnd w:id="20368"/>
      <w:r>
        <w:rPr>
          <w:rFonts w:hint="cs"/>
          <w:rtl/>
        </w:rPr>
        <w:t xml:space="preserve">להיות </w:t>
      </w:r>
      <w:bookmarkStart w:id="20369" w:name="_ETM_Q30_674690"/>
      <w:bookmarkEnd w:id="20369"/>
      <w:r>
        <w:rPr>
          <w:rFonts w:hint="cs"/>
          <w:rtl/>
        </w:rPr>
        <w:t xml:space="preserve">ממונים; </w:t>
      </w:r>
      <w:bookmarkStart w:id="20370" w:name="_ETM_Q30_675650"/>
      <w:bookmarkEnd w:id="20370"/>
      <w:r>
        <w:rPr>
          <w:rFonts w:hint="cs"/>
          <w:rtl/>
        </w:rPr>
        <w:t xml:space="preserve">המתווה </w:t>
      </w:r>
      <w:bookmarkStart w:id="20371" w:name="_ETM_Q30_676099"/>
      <w:bookmarkEnd w:id="20371"/>
      <w:r>
        <w:rPr>
          <w:rFonts w:hint="cs"/>
          <w:rtl/>
        </w:rPr>
        <w:t xml:space="preserve">החדש </w:t>
      </w:r>
      <w:bookmarkStart w:id="20372" w:name="_ETM_Q30_676520"/>
      <w:bookmarkEnd w:id="20372"/>
      <w:r>
        <w:rPr>
          <w:rFonts w:hint="cs"/>
          <w:rtl/>
        </w:rPr>
        <w:t xml:space="preserve">לא </w:t>
      </w:r>
      <w:bookmarkStart w:id="20373" w:name="_ETM_Q30_676640"/>
      <w:bookmarkEnd w:id="20373"/>
      <w:r>
        <w:rPr>
          <w:rFonts w:hint="cs"/>
          <w:rtl/>
        </w:rPr>
        <w:t xml:space="preserve">מבטיח </w:t>
      </w:r>
      <w:bookmarkStart w:id="20374" w:name="_ETM_Q30_677090"/>
      <w:bookmarkEnd w:id="20374"/>
      <w:r>
        <w:rPr>
          <w:rFonts w:hint="cs"/>
          <w:rtl/>
        </w:rPr>
        <w:t xml:space="preserve">לנו </w:t>
      </w:r>
      <w:bookmarkStart w:id="20375" w:name="_ETM_Q30_677330"/>
      <w:bookmarkEnd w:id="20375"/>
      <w:r>
        <w:rPr>
          <w:rFonts w:hint="cs"/>
          <w:rtl/>
        </w:rPr>
        <w:t>שהיועמ"שית</w:t>
      </w:r>
      <w:bookmarkStart w:id="20376" w:name="_ETM_Q30_677989"/>
      <w:bookmarkEnd w:id="20376"/>
      <w:r>
        <w:rPr>
          <w:rFonts w:hint="cs"/>
          <w:rtl/>
        </w:rPr>
        <w:t xml:space="preserve"> </w:t>
      </w:r>
      <w:bookmarkStart w:id="20377" w:name="_ETM_Q30_678140"/>
      <w:bookmarkEnd w:id="20377"/>
      <w:r>
        <w:rPr>
          <w:rFonts w:hint="cs"/>
          <w:rtl/>
        </w:rPr>
        <w:t xml:space="preserve">לא </w:t>
      </w:r>
      <w:bookmarkStart w:id="20378" w:name="_ETM_Q30_678260"/>
      <w:bookmarkEnd w:id="20378"/>
      <w:r>
        <w:rPr>
          <w:rFonts w:hint="cs"/>
          <w:rtl/>
        </w:rPr>
        <w:t xml:space="preserve">תפוטר; </w:t>
      </w:r>
      <w:bookmarkStart w:id="20379" w:name="_ETM_Q30_679040"/>
      <w:bookmarkEnd w:id="20379"/>
      <w:r>
        <w:rPr>
          <w:rFonts w:hint="cs"/>
          <w:rtl/>
        </w:rPr>
        <w:t xml:space="preserve">הוא </w:t>
      </w:r>
      <w:bookmarkStart w:id="20380" w:name="_ETM_Q30_679129"/>
      <w:bookmarkEnd w:id="20380"/>
      <w:r>
        <w:rPr>
          <w:rFonts w:hint="cs"/>
          <w:rtl/>
        </w:rPr>
        <w:t xml:space="preserve">לא </w:t>
      </w:r>
      <w:bookmarkStart w:id="20381" w:name="_ETM_Q30_679250"/>
      <w:bookmarkEnd w:id="20381"/>
      <w:r>
        <w:rPr>
          <w:rFonts w:hint="cs"/>
          <w:rtl/>
        </w:rPr>
        <w:t xml:space="preserve">מבטיח </w:t>
      </w:r>
      <w:bookmarkStart w:id="20382" w:name="_ETM_Q30_679640"/>
      <w:bookmarkEnd w:id="20382"/>
      <w:r>
        <w:rPr>
          <w:rFonts w:hint="cs"/>
          <w:rtl/>
        </w:rPr>
        <w:t xml:space="preserve">לנו </w:t>
      </w:r>
      <w:bookmarkStart w:id="20383" w:name="_ETM_Q30_679849"/>
      <w:bookmarkEnd w:id="20383"/>
      <w:r>
        <w:rPr>
          <w:rFonts w:hint="cs"/>
          <w:rtl/>
        </w:rPr>
        <w:t xml:space="preserve">שלא </w:t>
      </w:r>
      <w:bookmarkStart w:id="20384" w:name="_ETM_Q30_680060"/>
      <w:bookmarkEnd w:id="20384"/>
      <w:r>
        <w:rPr>
          <w:rFonts w:hint="cs"/>
          <w:rtl/>
        </w:rPr>
        <w:t xml:space="preserve">תתקדמו </w:t>
      </w:r>
      <w:bookmarkStart w:id="20385" w:name="_ETM_Q30_680599"/>
      <w:bookmarkEnd w:id="20385"/>
      <w:r>
        <w:rPr>
          <w:rFonts w:hint="cs"/>
          <w:rtl/>
        </w:rPr>
        <w:t xml:space="preserve">בדהרה </w:t>
      </w:r>
      <w:bookmarkStart w:id="20386" w:name="_ETM_Q30_681110"/>
      <w:bookmarkEnd w:id="20386"/>
      <w:r>
        <w:rPr>
          <w:rFonts w:hint="cs"/>
          <w:rtl/>
        </w:rPr>
        <w:t xml:space="preserve">עם </w:t>
      </w:r>
      <w:bookmarkStart w:id="20387" w:name="_ETM_Q30_681230"/>
      <w:bookmarkEnd w:id="20387"/>
      <w:r>
        <w:rPr>
          <w:rFonts w:hint="cs"/>
          <w:rtl/>
        </w:rPr>
        <w:t xml:space="preserve">החקיקות </w:t>
      </w:r>
      <w:bookmarkStart w:id="20388" w:name="_ETM_Q30_681739"/>
      <w:bookmarkEnd w:id="20388"/>
      <w:r>
        <w:rPr>
          <w:rFonts w:hint="cs"/>
          <w:rtl/>
        </w:rPr>
        <w:t>של</w:t>
      </w:r>
      <w:bookmarkStart w:id="20389" w:name="_ETM_Q30_682310"/>
      <w:bookmarkEnd w:id="20389"/>
      <w:r>
        <w:rPr>
          <w:rFonts w:hint="cs"/>
          <w:rtl/>
        </w:rPr>
        <w:t xml:space="preserve">כם </w:t>
      </w:r>
      <w:bookmarkStart w:id="20390" w:name="_ETM_Q30_682790"/>
      <w:bookmarkEnd w:id="20390"/>
      <w:r>
        <w:rPr>
          <w:rFonts w:hint="cs"/>
          <w:rtl/>
        </w:rPr>
        <w:t xml:space="preserve">נגד </w:t>
      </w:r>
      <w:bookmarkStart w:id="20391" w:name="_ETM_Q30_683090"/>
      <w:bookmarkEnd w:id="20391"/>
      <w:r>
        <w:rPr>
          <w:rFonts w:hint="cs"/>
          <w:rtl/>
        </w:rPr>
        <w:t xml:space="preserve">נשים, </w:t>
      </w:r>
      <w:bookmarkStart w:id="20392" w:name="_ETM_Q30_683780"/>
      <w:bookmarkEnd w:id="20392"/>
      <w:r>
        <w:rPr>
          <w:rFonts w:hint="cs"/>
          <w:rtl/>
        </w:rPr>
        <w:t xml:space="preserve">נגד </w:t>
      </w:r>
      <w:bookmarkStart w:id="20393" w:name="_ETM_Q30_684140"/>
      <w:bookmarkEnd w:id="20393"/>
      <w:r>
        <w:rPr>
          <w:rFonts w:hint="cs"/>
          <w:rtl/>
        </w:rPr>
        <w:t xml:space="preserve">מערכת </w:t>
      </w:r>
      <w:bookmarkStart w:id="20394" w:name="_ETM_Q30_684560"/>
      <w:bookmarkEnd w:id="20394"/>
      <w:r>
        <w:rPr>
          <w:rFonts w:hint="cs"/>
          <w:rtl/>
        </w:rPr>
        <w:t xml:space="preserve">המשפט, </w:t>
      </w:r>
      <w:bookmarkStart w:id="20395" w:name="_ETM_Q30_685340"/>
      <w:bookmarkEnd w:id="20395"/>
      <w:r>
        <w:rPr>
          <w:rFonts w:hint="cs"/>
          <w:rtl/>
        </w:rPr>
        <w:t xml:space="preserve">נגד </w:t>
      </w:r>
      <w:bookmarkStart w:id="20396" w:name="_ETM_Q30_685730"/>
      <w:bookmarkEnd w:id="20396"/>
      <w:r>
        <w:rPr>
          <w:rFonts w:hint="cs"/>
          <w:rtl/>
        </w:rPr>
        <w:t xml:space="preserve">המרחב </w:t>
      </w:r>
      <w:bookmarkStart w:id="20397" w:name="_ETM_Q30_686480"/>
      <w:bookmarkEnd w:id="20397"/>
      <w:r>
        <w:rPr>
          <w:rFonts w:hint="cs"/>
          <w:rtl/>
        </w:rPr>
        <w:t xml:space="preserve">הציבורי </w:t>
      </w:r>
      <w:bookmarkStart w:id="20398" w:name="_ETM_Q30_687019"/>
      <w:bookmarkEnd w:id="20398"/>
      <w:r>
        <w:rPr>
          <w:rFonts w:hint="cs"/>
          <w:rtl/>
        </w:rPr>
        <w:t xml:space="preserve">שלנו, </w:t>
      </w:r>
      <w:bookmarkStart w:id="20399" w:name="_ETM_Q30_687709"/>
      <w:bookmarkEnd w:id="20399"/>
      <w:r>
        <w:rPr>
          <w:rFonts w:hint="cs"/>
          <w:rtl/>
        </w:rPr>
        <w:t xml:space="preserve">נגד </w:t>
      </w:r>
      <w:bookmarkStart w:id="20400" w:name="_ETM_Q30_688129"/>
      <w:bookmarkEnd w:id="20400"/>
      <w:r>
        <w:rPr>
          <w:rFonts w:hint="cs"/>
          <w:rtl/>
        </w:rPr>
        <w:t xml:space="preserve">הזכויות </w:t>
      </w:r>
      <w:bookmarkStart w:id="20401" w:name="_ETM_Q30_688730"/>
      <w:bookmarkEnd w:id="20401"/>
      <w:r>
        <w:rPr>
          <w:rFonts w:hint="cs"/>
          <w:rtl/>
        </w:rPr>
        <w:t xml:space="preserve">של </w:t>
      </w:r>
      <w:bookmarkStart w:id="20402" w:name="_ETM_Q30_688849"/>
      <w:bookmarkEnd w:id="20402"/>
      <w:r>
        <w:rPr>
          <w:rFonts w:hint="cs"/>
          <w:rtl/>
        </w:rPr>
        <w:t xml:space="preserve">אזרחיות </w:t>
      </w:r>
      <w:bookmarkStart w:id="20403" w:name="_ETM_Q30_689360"/>
      <w:bookmarkEnd w:id="20403"/>
      <w:r>
        <w:rPr>
          <w:rFonts w:hint="cs"/>
          <w:rtl/>
        </w:rPr>
        <w:t xml:space="preserve">ואזרחים </w:t>
      </w:r>
      <w:bookmarkStart w:id="20404" w:name="_ETM_Q30_689930"/>
      <w:bookmarkEnd w:id="20404"/>
      <w:r>
        <w:rPr>
          <w:rFonts w:hint="cs"/>
          <w:rtl/>
        </w:rPr>
        <w:t xml:space="preserve">בישראל, </w:t>
      </w:r>
      <w:bookmarkStart w:id="20405" w:name="_ETM_Q30_690410"/>
      <w:bookmarkEnd w:id="20405"/>
      <w:r>
        <w:rPr>
          <w:rFonts w:hint="cs"/>
          <w:rtl/>
        </w:rPr>
        <w:t xml:space="preserve">נגד </w:t>
      </w:r>
      <w:bookmarkStart w:id="20406" w:name="_ETM_Q30_690739"/>
      <w:bookmarkEnd w:id="20406"/>
      <w:r>
        <w:rPr>
          <w:rFonts w:hint="cs"/>
          <w:rtl/>
        </w:rPr>
        <w:t>השוויון.</w:t>
      </w:r>
    </w:p>
    <w:p w:rsidR="00BB59CD" w:rsidRDefault="00BB59CD" w:rsidP="00BB59CD">
      <w:pPr>
        <w:rPr>
          <w:rtl/>
        </w:rPr>
      </w:pPr>
      <w:bookmarkStart w:id="20407" w:name="_ETM_Q30_694437"/>
      <w:bookmarkStart w:id="20408" w:name="_ETM_Q30_694542"/>
      <w:bookmarkStart w:id="20409" w:name="_ETM_Q30_694629"/>
      <w:bookmarkEnd w:id="20407"/>
      <w:bookmarkEnd w:id="20408"/>
      <w:bookmarkEnd w:id="20409"/>
    </w:p>
    <w:p w:rsidR="00BB59CD" w:rsidRDefault="00BB59CD" w:rsidP="00BB59CD">
      <w:pPr>
        <w:rPr>
          <w:rtl/>
        </w:rPr>
      </w:pPr>
      <w:bookmarkStart w:id="20410" w:name="_ETM_Q30_694738"/>
      <w:bookmarkStart w:id="20411" w:name="_ETM_Q30_693080"/>
      <w:bookmarkEnd w:id="20410"/>
      <w:bookmarkEnd w:id="20411"/>
      <w:r>
        <w:rPr>
          <w:rFonts w:hint="cs"/>
          <w:rtl/>
        </w:rPr>
        <w:t xml:space="preserve">אז </w:t>
      </w:r>
      <w:bookmarkStart w:id="20412" w:name="_ETM_Q30_693290"/>
      <w:bookmarkEnd w:id="20412"/>
      <w:r>
        <w:rPr>
          <w:rFonts w:hint="cs"/>
          <w:rtl/>
        </w:rPr>
        <w:t xml:space="preserve">חברות </w:t>
      </w:r>
      <w:bookmarkStart w:id="20413" w:name="_ETM_Q30_693679"/>
      <w:bookmarkEnd w:id="20413"/>
      <w:r>
        <w:rPr>
          <w:rFonts w:hint="cs"/>
          <w:rtl/>
        </w:rPr>
        <w:t xml:space="preserve">וחברים </w:t>
      </w:r>
      <w:bookmarkStart w:id="20414" w:name="_ETM_Q30_694160"/>
      <w:bookmarkEnd w:id="20414"/>
      <w:r>
        <w:rPr>
          <w:rFonts w:hint="cs"/>
          <w:rtl/>
        </w:rPr>
        <w:t xml:space="preserve">בקואליציה, לא </w:t>
      </w:r>
      <w:bookmarkStart w:id="20415" w:name="_ETM_Q30_696599"/>
      <w:bookmarkEnd w:id="20415"/>
      <w:r>
        <w:rPr>
          <w:rFonts w:hint="cs"/>
          <w:rtl/>
        </w:rPr>
        <w:t xml:space="preserve">יעזור </w:t>
      </w:r>
      <w:bookmarkStart w:id="20416" w:name="_ETM_Q30_697080"/>
      <w:bookmarkEnd w:id="20416"/>
      <w:r>
        <w:rPr>
          <w:rFonts w:hint="cs"/>
          <w:rtl/>
        </w:rPr>
        <w:t>המתווה הזה.</w:t>
      </w:r>
      <w:bookmarkStart w:id="20417" w:name="_ETM_Q30_697470"/>
      <w:bookmarkEnd w:id="20417"/>
      <w:r>
        <w:rPr>
          <w:rFonts w:hint="cs"/>
          <w:rtl/>
        </w:rPr>
        <w:t xml:space="preserve"> </w:t>
      </w:r>
      <w:bookmarkStart w:id="20418" w:name="_ETM_Q30_698200"/>
      <w:bookmarkEnd w:id="20418"/>
      <w:r>
        <w:rPr>
          <w:rFonts w:hint="cs"/>
          <w:rtl/>
        </w:rPr>
        <w:t xml:space="preserve">הדבר </w:t>
      </w:r>
      <w:bookmarkStart w:id="20419" w:name="_ETM_Q30_698709"/>
      <w:bookmarkEnd w:id="20419"/>
      <w:r>
        <w:rPr>
          <w:rFonts w:hint="cs"/>
          <w:rtl/>
        </w:rPr>
        <w:t xml:space="preserve">היחיד </w:t>
      </w:r>
      <w:bookmarkStart w:id="20420" w:name="_ETM_Q30_699189"/>
      <w:bookmarkEnd w:id="20420"/>
      <w:r>
        <w:rPr>
          <w:rFonts w:hint="cs"/>
          <w:rtl/>
        </w:rPr>
        <w:t xml:space="preserve">שיציל </w:t>
      </w:r>
      <w:bookmarkStart w:id="20421" w:name="_ETM_Q30_699819"/>
      <w:bookmarkEnd w:id="20421"/>
      <w:r>
        <w:rPr>
          <w:rFonts w:hint="cs"/>
          <w:rtl/>
        </w:rPr>
        <w:t xml:space="preserve">את </w:t>
      </w:r>
      <w:bookmarkStart w:id="20422" w:name="_ETM_Q30_699939"/>
      <w:bookmarkEnd w:id="20422"/>
      <w:r>
        <w:rPr>
          <w:rFonts w:hint="cs"/>
          <w:rtl/>
        </w:rPr>
        <w:t xml:space="preserve">מדינת </w:t>
      </w:r>
      <w:bookmarkStart w:id="20423" w:name="_ETM_Q30_700359"/>
      <w:bookmarkEnd w:id="20423"/>
      <w:r>
        <w:rPr>
          <w:rFonts w:hint="cs"/>
          <w:rtl/>
        </w:rPr>
        <w:t xml:space="preserve">ישראל </w:t>
      </w:r>
      <w:bookmarkStart w:id="20424" w:name="_ETM_Q30_700749"/>
      <w:bookmarkEnd w:id="20424"/>
      <w:r>
        <w:rPr>
          <w:rFonts w:hint="cs"/>
          <w:rtl/>
        </w:rPr>
        <w:t xml:space="preserve">מהחורבן </w:t>
      </w:r>
      <w:bookmarkStart w:id="20425" w:name="_ETM_Q30_701590"/>
      <w:bookmarkEnd w:id="20425"/>
      <w:r>
        <w:rPr>
          <w:rFonts w:hint="cs"/>
          <w:rtl/>
        </w:rPr>
        <w:t xml:space="preserve">שאתם </w:t>
      </w:r>
      <w:bookmarkStart w:id="20426" w:name="_ETM_Q30_701889"/>
      <w:bookmarkEnd w:id="20426"/>
      <w:r>
        <w:rPr>
          <w:rFonts w:hint="cs"/>
          <w:rtl/>
        </w:rPr>
        <w:t xml:space="preserve">מביאים </w:t>
      </w:r>
      <w:bookmarkStart w:id="20427" w:name="_ETM_Q30_702189"/>
      <w:bookmarkEnd w:id="20427"/>
      <w:r>
        <w:rPr>
          <w:rFonts w:hint="cs"/>
          <w:rtl/>
        </w:rPr>
        <w:t xml:space="preserve">עליה </w:t>
      </w:r>
      <w:bookmarkStart w:id="20428" w:name="_ETM_Q30_702429"/>
      <w:bookmarkEnd w:id="20428"/>
      <w:r>
        <w:rPr>
          <w:rFonts w:hint="cs"/>
          <w:rtl/>
        </w:rPr>
        <w:t xml:space="preserve">כרגע, </w:t>
      </w:r>
      <w:bookmarkStart w:id="20429" w:name="_ETM_Q30_703450"/>
      <w:bookmarkEnd w:id="20429"/>
      <w:r>
        <w:rPr>
          <w:rFonts w:hint="cs"/>
          <w:rtl/>
        </w:rPr>
        <w:t xml:space="preserve">הדבר </w:t>
      </w:r>
      <w:bookmarkStart w:id="20430" w:name="_ETM_Q30_703870"/>
      <w:bookmarkEnd w:id="20430"/>
      <w:r>
        <w:rPr>
          <w:rFonts w:hint="cs"/>
          <w:rtl/>
        </w:rPr>
        <w:t xml:space="preserve">היחיד </w:t>
      </w:r>
      <w:bookmarkStart w:id="20431" w:name="_ETM_Q30_704260"/>
      <w:bookmarkEnd w:id="20431"/>
      <w:r>
        <w:rPr>
          <w:rFonts w:hint="cs"/>
          <w:rtl/>
        </w:rPr>
        <w:t xml:space="preserve">שיציל </w:t>
      </w:r>
      <w:bookmarkStart w:id="20432" w:name="_ETM_Q30_704709"/>
      <w:bookmarkEnd w:id="20432"/>
      <w:r>
        <w:rPr>
          <w:rFonts w:hint="cs"/>
          <w:rtl/>
        </w:rPr>
        <w:t xml:space="preserve">את </w:t>
      </w:r>
      <w:bookmarkStart w:id="20433" w:name="_ETM_Q30_704799"/>
      <w:bookmarkEnd w:id="20433"/>
      <w:r>
        <w:rPr>
          <w:rFonts w:hint="cs"/>
          <w:rtl/>
        </w:rPr>
        <w:t xml:space="preserve">ביטחון </w:t>
      </w:r>
      <w:bookmarkStart w:id="20434" w:name="_ETM_Q30_705429"/>
      <w:bookmarkEnd w:id="20434"/>
      <w:r>
        <w:rPr>
          <w:rFonts w:hint="cs"/>
          <w:rtl/>
        </w:rPr>
        <w:t xml:space="preserve">מדינת </w:t>
      </w:r>
      <w:bookmarkStart w:id="20435" w:name="_ETM_Q30_705909"/>
      <w:bookmarkEnd w:id="20435"/>
      <w:r>
        <w:rPr>
          <w:rFonts w:hint="cs"/>
          <w:rtl/>
        </w:rPr>
        <w:t xml:space="preserve">ישראל, זאת </w:t>
      </w:r>
      <w:bookmarkStart w:id="20436" w:name="_ETM_Q30_707260"/>
      <w:bookmarkEnd w:id="20436"/>
      <w:r>
        <w:rPr>
          <w:rFonts w:hint="cs"/>
          <w:rtl/>
        </w:rPr>
        <w:t xml:space="preserve">גניזה </w:t>
      </w:r>
      <w:bookmarkStart w:id="20437" w:name="_ETM_Q30_708309"/>
      <w:bookmarkEnd w:id="20437"/>
      <w:r>
        <w:rPr>
          <w:rFonts w:hint="cs"/>
          <w:rtl/>
        </w:rPr>
        <w:t xml:space="preserve">של </w:t>
      </w:r>
      <w:bookmarkStart w:id="20438" w:name="_ETM_Q30_708549"/>
      <w:bookmarkEnd w:id="20438"/>
      <w:r>
        <w:rPr>
          <w:rFonts w:hint="cs"/>
          <w:rtl/>
        </w:rPr>
        <w:t xml:space="preserve">החקיקה </w:t>
      </w:r>
      <w:bookmarkStart w:id="20439" w:name="_ETM_Q30_709120"/>
      <w:bookmarkEnd w:id="20439"/>
      <w:r>
        <w:rPr>
          <w:rFonts w:hint="cs"/>
          <w:rtl/>
        </w:rPr>
        <w:t xml:space="preserve">הזאת </w:t>
      </w:r>
      <w:bookmarkStart w:id="20440" w:name="_ETM_Q30_709749"/>
      <w:bookmarkEnd w:id="20440"/>
      <w:r>
        <w:rPr>
          <w:rFonts w:hint="cs"/>
          <w:rtl/>
        </w:rPr>
        <w:t xml:space="preserve">כאן </w:t>
      </w:r>
      <w:bookmarkStart w:id="20441" w:name="_ETM_Q30_710390"/>
      <w:bookmarkEnd w:id="20441"/>
      <w:r>
        <w:rPr>
          <w:rFonts w:hint="cs"/>
          <w:rtl/>
        </w:rPr>
        <w:t xml:space="preserve">ועכשיו. </w:t>
      </w:r>
      <w:bookmarkStart w:id="20442" w:name="_ETM_Q30_711579"/>
      <w:bookmarkEnd w:id="20442"/>
      <w:r>
        <w:rPr>
          <w:rFonts w:hint="cs"/>
          <w:rtl/>
        </w:rPr>
        <w:t xml:space="preserve">אין </w:t>
      </w:r>
      <w:bookmarkStart w:id="20443" w:name="_ETM_Q30_711909"/>
      <w:bookmarkEnd w:id="20443"/>
      <w:r>
        <w:rPr>
          <w:rFonts w:hint="cs"/>
          <w:rtl/>
        </w:rPr>
        <w:t xml:space="preserve">שום </w:t>
      </w:r>
      <w:bookmarkStart w:id="20444" w:name="_ETM_Q30_712299"/>
      <w:bookmarkEnd w:id="20444"/>
      <w:r>
        <w:rPr>
          <w:rFonts w:hint="cs"/>
          <w:rtl/>
        </w:rPr>
        <w:t xml:space="preserve">דרך </w:t>
      </w:r>
      <w:bookmarkStart w:id="20445" w:name="_ETM_Q30_712629"/>
      <w:bookmarkEnd w:id="20445"/>
      <w:r>
        <w:rPr>
          <w:rFonts w:hint="cs"/>
          <w:rtl/>
        </w:rPr>
        <w:t xml:space="preserve">אחרת. </w:t>
      </w:r>
      <w:bookmarkStart w:id="20446" w:name="_ETM_Q30_713860"/>
      <w:bookmarkEnd w:id="20446"/>
      <w:r>
        <w:rPr>
          <w:rFonts w:hint="cs"/>
          <w:rtl/>
        </w:rPr>
        <w:t xml:space="preserve">שום </w:t>
      </w:r>
      <w:bookmarkStart w:id="20447" w:name="_ETM_Q30_714640"/>
      <w:bookmarkEnd w:id="20447"/>
      <w:r>
        <w:rPr>
          <w:rFonts w:hint="cs"/>
          <w:rtl/>
        </w:rPr>
        <w:t xml:space="preserve">דרך </w:t>
      </w:r>
      <w:bookmarkStart w:id="20448" w:name="_ETM_Q30_715150"/>
      <w:bookmarkEnd w:id="20448"/>
      <w:r>
        <w:rPr>
          <w:rFonts w:hint="cs"/>
          <w:rtl/>
        </w:rPr>
        <w:t xml:space="preserve">אחרת. </w:t>
      </w:r>
      <w:bookmarkStart w:id="20449" w:name="_ETM_Q30_716300"/>
      <w:bookmarkEnd w:id="20449"/>
      <w:r>
        <w:rPr>
          <w:rFonts w:hint="cs"/>
          <w:rtl/>
        </w:rPr>
        <w:t xml:space="preserve">מיליונים </w:t>
      </w:r>
      <w:bookmarkStart w:id="20450" w:name="_ETM_Q30_718159"/>
      <w:bookmarkEnd w:id="20450"/>
      <w:r>
        <w:rPr>
          <w:rFonts w:hint="cs"/>
          <w:rtl/>
        </w:rPr>
        <w:t xml:space="preserve">נושאות </w:t>
      </w:r>
      <w:bookmarkStart w:id="20451" w:name="_ETM_Q30_716287"/>
      <w:bookmarkEnd w:id="20451"/>
      <w:r>
        <w:rPr>
          <w:rFonts w:hint="cs"/>
          <w:rtl/>
        </w:rPr>
        <w:t>ונושאים אליכם עיניים</w:t>
      </w:r>
      <w:r w:rsidR="001C760D">
        <w:rPr>
          <w:rFonts w:hint="cs"/>
          <w:rtl/>
        </w:rPr>
        <w:t>,</w:t>
      </w:r>
      <w:r>
        <w:rPr>
          <w:rFonts w:hint="cs"/>
          <w:rtl/>
        </w:rPr>
        <w:t xml:space="preserve"> </w:t>
      </w:r>
      <w:bookmarkStart w:id="20452" w:name="_ETM_Q30_718849"/>
      <w:bookmarkStart w:id="20453" w:name="_ETM_Q30_719389"/>
      <w:bookmarkStart w:id="20454" w:name="_ETM_Q30_719719"/>
      <w:bookmarkStart w:id="20455" w:name="_ETM_Q30_720760"/>
      <w:bookmarkEnd w:id="20452"/>
      <w:bookmarkEnd w:id="20453"/>
      <w:bookmarkEnd w:id="20454"/>
      <w:bookmarkEnd w:id="20455"/>
      <w:r>
        <w:rPr>
          <w:rFonts w:hint="cs"/>
          <w:rtl/>
        </w:rPr>
        <w:t xml:space="preserve">ואומרים </w:t>
      </w:r>
      <w:bookmarkStart w:id="20456" w:name="_ETM_Q30_721330"/>
      <w:bookmarkEnd w:id="20456"/>
      <w:r>
        <w:rPr>
          <w:rFonts w:hint="cs"/>
          <w:rtl/>
        </w:rPr>
        <w:t xml:space="preserve">לי </w:t>
      </w:r>
      <w:bookmarkStart w:id="20457" w:name="_ETM_Q30_721660"/>
      <w:bookmarkEnd w:id="20457"/>
      <w:r>
        <w:rPr>
          <w:rFonts w:hint="cs"/>
          <w:rtl/>
        </w:rPr>
        <w:t xml:space="preserve">כל </w:t>
      </w:r>
      <w:bookmarkStart w:id="20458" w:name="_ETM_Q30_721929"/>
      <w:bookmarkEnd w:id="20458"/>
      <w:r>
        <w:rPr>
          <w:rFonts w:hint="cs"/>
          <w:rtl/>
        </w:rPr>
        <w:t xml:space="preserve">הזמן: </w:t>
      </w:r>
      <w:bookmarkStart w:id="20459" w:name="_ETM_Q30_723769"/>
      <w:bookmarkEnd w:id="20459"/>
      <w:r>
        <w:rPr>
          <w:rFonts w:hint="cs"/>
          <w:rtl/>
        </w:rPr>
        <w:t xml:space="preserve">מה, </w:t>
      </w:r>
      <w:bookmarkStart w:id="20460" w:name="_ETM_Q30_725480"/>
      <w:bookmarkEnd w:id="20460"/>
      <w:r>
        <w:rPr>
          <w:rFonts w:hint="cs"/>
          <w:rtl/>
        </w:rPr>
        <w:t xml:space="preserve">לא </w:t>
      </w:r>
      <w:bookmarkStart w:id="20461" w:name="_ETM_Q30_725809"/>
      <w:bookmarkStart w:id="20462" w:name="_ETM_Q30_726019"/>
      <w:bookmarkEnd w:id="20461"/>
      <w:bookmarkEnd w:id="20462"/>
      <w:r>
        <w:rPr>
          <w:rFonts w:hint="cs"/>
          <w:rtl/>
        </w:rPr>
        <w:t xml:space="preserve">יהיה </w:t>
      </w:r>
      <w:bookmarkStart w:id="20463" w:name="_ETM_Q30_726290"/>
      <w:bookmarkEnd w:id="20463"/>
      <w:r>
        <w:rPr>
          <w:rFonts w:hint="cs"/>
          <w:rtl/>
        </w:rPr>
        <w:t xml:space="preserve">משהו? </w:t>
      </w:r>
      <w:bookmarkStart w:id="20464" w:name="_ETM_Q30_727189"/>
      <w:bookmarkEnd w:id="20464"/>
      <w:r>
        <w:rPr>
          <w:rFonts w:hint="cs"/>
          <w:rtl/>
        </w:rPr>
        <w:t xml:space="preserve">מה, </w:t>
      </w:r>
      <w:bookmarkStart w:id="20465" w:name="_ETM_Q30_727400"/>
      <w:bookmarkEnd w:id="20465"/>
      <w:r>
        <w:rPr>
          <w:rFonts w:hint="cs"/>
          <w:rtl/>
        </w:rPr>
        <w:t xml:space="preserve">הם </w:t>
      </w:r>
      <w:bookmarkStart w:id="20466" w:name="_ETM_Q30_727519"/>
      <w:bookmarkEnd w:id="20466"/>
      <w:r>
        <w:rPr>
          <w:rFonts w:hint="cs"/>
          <w:rtl/>
        </w:rPr>
        <w:t xml:space="preserve">לא </w:t>
      </w:r>
      <w:bookmarkStart w:id="20467" w:name="_ETM_Q30_727639"/>
      <w:bookmarkEnd w:id="20467"/>
      <w:r>
        <w:rPr>
          <w:rFonts w:hint="cs"/>
          <w:rtl/>
        </w:rPr>
        <w:t xml:space="preserve">רואים? </w:t>
      </w:r>
      <w:bookmarkStart w:id="20468" w:name="_ETM_Q30_728900"/>
      <w:bookmarkEnd w:id="20468"/>
      <w:r>
        <w:rPr>
          <w:rFonts w:hint="cs"/>
          <w:rtl/>
        </w:rPr>
        <w:t xml:space="preserve">הם </w:t>
      </w:r>
      <w:bookmarkStart w:id="20469" w:name="_ETM_Q30_729109"/>
      <w:bookmarkEnd w:id="20469"/>
      <w:r>
        <w:rPr>
          <w:rFonts w:hint="cs"/>
          <w:rtl/>
        </w:rPr>
        <w:t xml:space="preserve">לא </w:t>
      </w:r>
      <w:bookmarkStart w:id="20470" w:name="_ETM_Q30_729260"/>
      <w:bookmarkEnd w:id="20470"/>
      <w:r>
        <w:rPr>
          <w:rFonts w:hint="cs"/>
          <w:rtl/>
        </w:rPr>
        <w:t xml:space="preserve">שומעים? </w:t>
      </w:r>
      <w:bookmarkStart w:id="20471" w:name="_ETM_Q30_729519"/>
      <w:bookmarkStart w:id="20472" w:name="_ETM_Q30_730709"/>
      <w:bookmarkEnd w:id="20471"/>
      <w:bookmarkEnd w:id="20472"/>
      <w:r>
        <w:rPr>
          <w:rFonts w:hint="cs"/>
          <w:rtl/>
        </w:rPr>
        <w:t xml:space="preserve">הם </w:t>
      </w:r>
      <w:bookmarkStart w:id="20473" w:name="_ETM_Q30_730889"/>
      <w:bookmarkEnd w:id="20473"/>
      <w:r>
        <w:rPr>
          <w:rFonts w:hint="cs"/>
          <w:rtl/>
        </w:rPr>
        <w:t xml:space="preserve">לא </w:t>
      </w:r>
      <w:bookmarkStart w:id="20474" w:name="_ETM_Q30_730980"/>
      <w:bookmarkEnd w:id="20474"/>
      <w:r>
        <w:rPr>
          <w:rFonts w:hint="cs"/>
          <w:rtl/>
        </w:rPr>
        <w:t xml:space="preserve">מבינים </w:t>
      </w:r>
      <w:bookmarkStart w:id="20475" w:name="_ETM_Q30_732749"/>
      <w:bookmarkEnd w:id="20475"/>
      <w:r>
        <w:rPr>
          <w:rFonts w:hint="cs"/>
          <w:rtl/>
        </w:rPr>
        <w:t xml:space="preserve">מה </w:t>
      </w:r>
      <w:bookmarkStart w:id="20476" w:name="_ETM_Q30_732989"/>
      <w:bookmarkEnd w:id="20476"/>
      <w:r>
        <w:rPr>
          <w:rFonts w:hint="cs"/>
          <w:rtl/>
        </w:rPr>
        <w:t xml:space="preserve">מוטל </w:t>
      </w:r>
      <w:bookmarkStart w:id="20477" w:name="_ETM_Q30_733409"/>
      <w:bookmarkEnd w:id="20477"/>
      <w:r>
        <w:rPr>
          <w:rFonts w:hint="cs"/>
          <w:rtl/>
        </w:rPr>
        <w:t xml:space="preserve">פה </w:t>
      </w:r>
      <w:bookmarkStart w:id="20478" w:name="_ETM_Q30_733589"/>
      <w:bookmarkEnd w:id="20478"/>
      <w:r>
        <w:rPr>
          <w:rFonts w:hint="cs"/>
          <w:rtl/>
        </w:rPr>
        <w:t xml:space="preserve">על </w:t>
      </w:r>
      <w:bookmarkStart w:id="20479" w:name="_ETM_Q30_733709"/>
      <w:bookmarkEnd w:id="20479"/>
      <w:r>
        <w:rPr>
          <w:rFonts w:hint="cs"/>
          <w:rtl/>
        </w:rPr>
        <w:t xml:space="preserve">הכף? </w:t>
      </w:r>
      <w:bookmarkStart w:id="20480" w:name="_ETM_Q30_735179"/>
      <w:bookmarkEnd w:id="20480"/>
      <w:r>
        <w:rPr>
          <w:rFonts w:hint="cs"/>
          <w:rtl/>
        </w:rPr>
        <w:t>הם באמת באמת לא מבינים?</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0481" w:name="_ETM_Q30_735638"/>
      <w:bookmarkEnd w:id="20481"/>
      <w:r>
        <w:rPr>
          <w:rFonts w:hint="cs"/>
          <w:rtl/>
        </w:rPr>
        <w:t>אבקש לסיים. נגמר</w:t>
      </w:r>
      <w:r w:rsidR="001C760D">
        <w:rPr>
          <w:rFonts w:hint="cs"/>
          <w:rtl/>
        </w:rPr>
        <w:t>,</w:t>
      </w:r>
      <w:r>
        <w:rPr>
          <w:rFonts w:hint="cs"/>
          <w:rtl/>
        </w:rPr>
        <w:t xml:space="preserve"> כבר מזמן. </w:t>
      </w:r>
      <w:bookmarkStart w:id="20482" w:name="_ETM_Q30_741497"/>
      <w:bookmarkEnd w:id="20482"/>
    </w:p>
    <w:p w:rsidR="00BB59CD" w:rsidRDefault="00BB59CD" w:rsidP="00BB59CD">
      <w:pPr>
        <w:rPr>
          <w:rtl/>
        </w:rPr>
      </w:pPr>
      <w:bookmarkStart w:id="20483" w:name="_ETM_Q30_741617"/>
      <w:bookmarkEnd w:id="20483"/>
    </w:p>
    <w:p w:rsidR="00BB59CD" w:rsidRDefault="00BB59CD" w:rsidP="00BB59CD">
      <w:pPr>
        <w:pStyle w:val="-"/>
        <w:keepNext/>
        <w:rPr>
          <w:rtl/>
        </w:rPr>
      </w:pPr>
      <w:bookmarkStart w:id="20484" w:name="ET_speakercontinue_5090_6"/>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20484"/>
    </w:p>
    <w:p w:rsidR="00BB59CD" w:rsidRDefault="00BB59CD" w:rsidP="00337201">
      <w:pPr>
        <w:rPr>
          <w:rtl/>
        </w:rPr>
      </w:pPr>
    </w:p>
    <w:p w:rsidR="00BB59CD" w:rsidRDefault="00BB59CD" w:rsidP="001C760D">
      <w:pPr>
        <w:rPr>
          <w:rtl/>
        </w:rPr>
      </w:pPr>
      <w:bookmarkStart w:id="20485" w:name="_ETM_Q30_735390"/>
      <w:bookmarkStart w:id="20486" w:name="_ETM_Q30_735989"/>
      <w:bookmarkStart w:id="20487" w:name="_ETM_Q30_736259"/>
      <w:bookmarkStart w:id="20488" w:name="_ETM_Q30_736740"/>
      <w:bookmarkStart w:id="20489" w:name="_ETM_Q30_737610"/>
      <w:bookmarkStart w:id="20490" w:name="_ETM_Q30_737940"/>
      <w:bookmarkStart w:id="20491" w:name="_ETM_Q30_738120"/>
      <w:bookmarkStart w:id="20492" w:name="_ETM_Q30_739000"/>
      <w:bookmarkEnd w:id="20485"/>
      <w:bookmarkEnd w:id="20486"/>
      <w:bookmarkEnd w:id="20487"/>
      <w:bookmarkEnd w:id="20488"/>
      <w:bookmarkEnd w:id="20489"/>
      <w:bookmarkEnd w:id="20490"/>
      <w:bookmarkEnd w:id="20491"/>
      <w:bookmarkEnd w:id="20492"/>
      <w:r>
        <w:rPr>
          <w:rFonts w:hint="cs"/>
          <w:rtl/>
        </w:rPr>
        <w:t xml:space="preserve">אז </w:t>
      </w:r>
      <w:bookmarkStart w:id="20493" w:name="_ETM_Q30_739210"/>
      <w:bookmarkEnd w:id="20493"/>
      <w:r>
        <w:rPr>
          <w:rFonts w:hint="cs"/>
          <w:rtl/>
        </w:rPr>
        <w:t xml:space="preserve">אני </w:t>
      </w:r>
      <w:bookmarkStart w:id="20494" w:name="_ETM_Q30_739360"/>
      <w:bookmarkEnd w:id="20494"/>
      <w:r>
        <w:rPr>
          <w:rFonts w:hint="cs"/>
          <w:rtl/>
        </w:rPr>
        <w:t xml:space="preserve">אסיים </w:t>
      </w:r>
      <w:bookmarkStart w:id="20495" w:name="_ETM_Q30_739840"/>
      <w:bookmarkEnd w:id="20495"/>
      <w:r>
        <w:rPr>
          <w:rFonts w:hint="cs"/>
          <w:rtl/>
        </w:rPr>
        <w:t xml:space="preserve">בלהגיד </w:t>
      </w:r>
      <w:bookmarkStart w:id="20496" w:name="_ETM_Q30_740230"/>
      <w:bookmarkEnd w:id="20496"/>
      <w:r>
        <w:rPr>
          <w:rFonts w:hint="cs"/>
          <w:rtl/>
        </w:rPr>
        <w:t xml:space="preserve">לך, </w:t>
      </w:r>
      <w:bookmarkStart w:id="20497" w:name="_ETM_Q30_740440"/>
      <w:bookmarkEnd w:id="20497"/>
      <w:r>
        <w:rPr>
          <w:rFonts w:hint="cs"/>
          <w:rtl/>
        </w:rPr>
        <w:t xml:space="preserve">אדוני </w:t>
      </w:r>
      <w:bookmarkStart w:id="20498" w:name="_ETM_Q30_740710"/>
      <w:bookmarkEnd w:id="20498"/>
      <w:r>
        <w:rPr>
          <w:rFonts w:hint="cs"/>
          <w:rtl/>
        </w:rPr>
        <w:t xml:space="preserve">היושב-ראש, </w:t>
      </w:r>
      <w:bookmarkStart w:id="20499" w:name="_ETM_Q30_741280"/>
      <w:bookmarkEnd w:id="20499"/>
      <w:r>
        <w:rPr>
          <w:rFonts w:hint="cs"/>
          <w:rtl/>
        </w:rPr>
        <w:t xml:space="preserve">כמי </w:t>
      </w:r>
      <w:bookmarkStart w:id="20500" w:name="_ETM_Q30_741520"/>
      <w:bookmarkEnd w:id="20500"/>
      <w:r>
        <w:rPr>
          <w:rFonts w:hint="cs"/>
          <w:rtl/>
        </w:rPr>
        <w:t xml:space="preserve">שנמנה </w:t>
      </w:r>
      <w:bookmarkStart w:id="20501" w:name="_ETM_Q30_742500"/>
      <w:bookmarkEnd w:id="20501"/>
      <w:r>
        <w:rPr>
          <w:rFonts w:hint="cs"/>
          <w:rtl/>
        </w:rPr>
        <w:t xml:space="preserve">עם </w:t>
      </w:r>
      <w:bookmarkStart w:id="20502" w:name="_ETM_Q30_742680"/>
      <w:bookmarkEnd w:id="20502"/>
      <w:r>
        <w:rPr>
          <w:rFonts w:hint="cs"/>
          <w:rtl/>
        </w:rPr>
        <w:t xml:space="preserve">מפלגת </w:t>
      </w:r>
      <w:bookmarkStart w:id="20503" w:name="_ETM_Q30_743160"/>
      <w:bookmarkEnd w:id="20503"/>
      <w:r>
        <w:rPr>
          <w:rFonts w:hint="cs"/>
          <w:rtl/>
        </w:rPr>
        <w:t xml:space="preserve">השלטון </w:t>
      </w:r>
      <w:bookmarkStart w:id="20504" w:name="_ETM_Q30_743970"/>
      <w:bookmarkEnd w:id="20504"/>
      <w:r>
        <w:rPr>
          <w:rFonts w:hint="cs"/>
          <w:rtl/>
        </w:rPr>
        <w:t xml:space="preserve">ועם </w:t>
      </w:r>
      <w:bookmarkStart w:id="20505" w:name="_ETM_Q30_744240"/>
      <w:bookmarkEnd w:id="20505"/>
      <w:r>
        <w:rPr>
          <w:rFonts w:hint="cs"/>
          <w:rtl/>
        </w:rPr>
        <w:t xml:space="preserve">הקואליציה </w:t>
      </w:r>
      <w:bookmarkStart w:id="20506" w:name="_ETM_Q30_744930"/>
      <w:bookmarkEnd w:id="20506"/>
      <w:r>
        <w:rPr>
          <w:rFonts w:hint="cs"/>
          <w:rtl/>
        </w:rPr>
        <w:t xml:space="preserve">הזאת, </w:t>
      </w:r>
      <w:bookmarkStart w:id="20507" w:name="_ETM_Q30_746429"/>
      <w:bookmarkEnd w:id="20507"/>
      <w:r>
        <w:rPr>
          <w:rFonts w:hint="cs"/>
          <w:rtl/>
        </w:rPr>
        <w:t xml:space="preserve">שכל </w:t>
      </w:r>
      <w:bookmarkStart w:id="20508" w:name="_ETM_Q30_746880"/>
      <w:bookmarkEnd w:id="20508"/>
      <w:r>
        <w:rPr>
          <w:rFonts w:hint="cs"/>
          <w:rtl/>
        </w:rPr>
        <w:t xml:space="preserve">אלה </w:t>
      </w:r>
      <w:bookmarkStart w:id="20509" w:name="_ETM_Q30_747090"/>
      <w:bookmarkEnd w:id="20509"/>
      <w:r>
        <w:rPr>
          <w:rFonts w:hint="cs"/>
          <w:rtl/>
        </w:rPr>
        <w:t xml:space="preserve">שברחובות, </w:t>
      </w:r>
      <w:bookmarkStart w:id="20510" w:name="_ETM_Q30_748130"/>
      <w:bookmarkEnd w:id="20510"/>
      <w:r>
        <w:rPr>
          <w:rFonts w:hint="cs"/>
          <w:rtl/>
        </w:rPr>
        <w:t xml:space="preserve">וכל </w:t>
      </w:r>
      <w:bookmarkStart w:id="20511" w:name="_ETM_Q30_748820"/>
      <w:bookmarkEnd w:id="20511"/>
      <w:r>
        <w:rPr>
          <w:rFonts w:hint="cs"/>
          <w:rtl/>
        </w:rPr>
        <w:t xml:space="preserve">אלה </w:t>
      </w:r>
      <w:bookmarkStart w:id="20512" w:name="_ETM_Q30_749270"/>
      <w:bookmarkEnd w:id="20512"/>
      <w:r>
        <w:rPr>
          <w:rFonts w:hint="cs"/>
          <w:rtl/>
        </w:rPr>
        <w:t xml:space="preserve">שפועלות </w:t>
      </w:r>
      <w:bookmarkStart w:id="20513" w:name="_ETM_Q30_749929"/>
      <w:bookmarkEnd w:id="20513"/>
      <w:r>
        <w:rPr>
          <w:rFonts w:hint="cs"/>
          <w:rtl/>
        </w:rPr>
        <w:t xml:space="preserve">ופועלים </w:t>
      </w:r>
      <w:bookmarkStart w:id="20514" w:name="_ETM_Q30_750470"/>
      <w:bookmarkEnd w:id="20514"/>
      <w:r>
        <w:rPr>
          <w:rFonts w:hint="cs"/>
          <w:rtl/>
        </w:rPr>
        <w:t xml:space="preserve">כל </w:t>
      </w:r>
      <w:bookmarkStart w:id="20515" w:name="_ETM_Q30_750679"/>
      <w:bookmarkEnd w:id="20515"/>
      <w:r>
        <w:rPr>
          <w:rFonts w:hint="cs"/>
          <w:rtl/>
        </w:rPr>
        <w:t xml:space="preserve">כך </w:t>
      </w:r>
      <w:bookmarkStart w:id="20516" w:name="_ETM_Q30_750889"/>
      <w:bookmarkEnd w:id="20516"/>
      <w:r>
        <w:rPr>
          <w:rFonts w:hint="cs"/>
          <w:rtl/>
        </w:rPr>
        <w:t xml:space="preserve">כדי </w:t>
      </w:r>
      <w:bookmarkStart w:id="20517" w:name="_ETM_Q30_751160"/>
      <w:bookmarkEnd w:id="20517"/>
      <w:r>
        <w:rPr>
          <w:rFonts w:hint="cs"/>
          <w:rtl/>
        </w:rPr>
        <w:t xml:space="preserve">לעצור </w:t>
      </w:r>
      <w:bookmarkStart w:id="20518" w:name="_ETM_Q30_751490"/>
      <w:bookmarkEnd w:id="20518"/>
      <w:r>
        <w:rPr>
          <w:rFonts w:hint="cs"/>
          <w:rtl/>
        </w:rPr>
        <w:t xml:space="preserve">את </w:t>
      </w:r>
      <w:bookmarkStart w:id="20519" w:name="_ETM_Q30_751580"/>
      <w:bookmarkEnd w:id="20519"/>
      <w:r>
        <w:rPr>
          <w:rFonts w:hint="cs"/>
          <w:rtl/>
        </w:rPr>
        <w:t xml:space="preserve">החקיקה </w:t>
      </w:r>
      <w:bookmarkStart w:id="20520" w:name="_ETM_Q30_752059"/>
      <w:bookmarkEnd w:id="20520"/>
      <w:r>
        <w:rPr>
          <w:rFonts w:hint="cs"/>
          <w:rtl/>
        </w:rPr>
        <w:t xml:space="preserve">הזאת, </w:t>
      </w:r>
      <w:bookmarkStart w:id="20521" w:name="_ETM_Q30_753020"/>
      <w:bookmarkEnd w:id="20521"/>
      <w:r>
        <w:rPr>
          <w:rFonts w:hint="cs"/>
          <w:rtl/>
        </w:rPr>
        <w:t xml:space="preserve">עושים </w:t>
      </w:r>
      <w:bookmarkStart w:id="20522" w:name="_ETM_Q30_753379"/>
      <w:bookmarkEnd w:id="20522"/>
      <w:r>
        <w:rPr>
          <w:rFonts w:hint="cs"/>
          <w:rtl/>
        </w:rPr>
        <w:t xml:space="preserve">את </w:t>
      </w:r>
      <w:bookmarkStart w:id="20523" w:name="_ETM_Q30_753500"/>
      <w:bookmarkEnd w:id="20523"/>
      <w:r>
        <w:rPr>
          <w:rFonts w:hint="cs"/>
          <w:rtl/>
        </w:rPr>
        <w:t xml:space="preserve">זה </w:t>
      </w:r>
      <w:bookmarkStart w:id="20524" w:name="_ETM_Q30_753590"/>
      <w:bookmarkEnd w:id="20524"/>
      <w:r>
        <w:rPr>
          <w:rFonts w:hint="cs"/>
          <w:rtl/>
        </w:rPr>
        <w:t xml:space="preserve">מדם </w:t>
      </w:r>
      <w:bookmarkStart w:id="20525" w:name="_ETM_Q30_753979"/>
      <w:bookmarkEnd w:id="20525"/>
      <w:r>
        <w:rPr>
          <w:rFonts w:hint="cs"/>
          <w:rtl/>
        </w:rPr>
        <w:t>ליבם</w:t>
      </w:r>
      <w:r w:rsidR="001C760D">
        <w:rPr>
          <w:rFonts w:hint="cs"/>
          <w:rtl/>
        </w:rPr>
        <w:t>,</w:t>
      </w:r>
      <w:r>
        <w:rPr>
          <w:rFonts w:hint="cs"/>
          <w:rtl/>
        </w:rPr>
        <w:t xml:space="preserve"> </w:t>
      </w:r>
      <w:bookmarkStart w:id="20526" w:name="_ETM_Q30_754370"/>
      <w:bookmarkEnd w:id="20526"/>
      <w:r>
        <w:rPr>
          <w:rFonts w:hint="cs"/>
          <w:rtl/>
        </w:rPr>
        <w:t xml:space="preserve">מסתכלים </w:t>
      </w:r>
      <w:bookmarkStart w:id="20527" w:name="_ETM_Q30_755000"/>
      <w:bookmarkEnd w:id="20527"/>
      <w:r>
        <w:rPr>
          <w:rFonts w:hint="cs"/>
          <w:rtl/>
        </w:rPr>
        <w:t xml:space="preserve">אליכם </w:t>
      </w:r>
      <w:bookmarkStart w:id="20528" w:name="_ETM_Q30_755840"/>
      <w:bookmarkEnd w:id="20528"/>
      <w:r>
        <w:rPr>
          <w:rFonts w:hint="cs"/>
          <w:rtl/>
        </w:rPr>
        <w:t xml:space="preserve">ולא </w:t>
      </w:r>
      <w:bookmarkStart w:id="20529" w:name="_ETM_Q30_756169"/>
      <w:bookmarkEnd w:id="20529"/>
      <w:r>
        <w:rPr>
          <w:rFonts w:hint="cs"/>
          <w:rtl/>
        </w:rPr>
        <w:t xml:space="preserve">מבינים </w:t>
      </w:r>
      <w:bookmarkStart w:id="20530" w:name="_ETM_Q30_757340"/>
      <w:bookmarkEnd w:id="20530"/>
      <w:r>
        <w:rPr>
          <w:rFonts w:hint="cs"/>
          <w:rtl/>
        </w:rPr>
        <w:t xml:space="preserve">איך </w:t>
      </w:r>
      <w:bookmarkStart w:id="20531" w:name="_ETM_Q30_757639"/>
      <w:bookmarkEnd w:id="20531"/>
      <w:r>
        <w:rPr>
          <w:rFonts w:hint="cs"/>
          <w:rtl/>
        </w:rPr>
        <w:t xml:space="preserve">יכול </w:t>
      </w:r>
      <w:bookmarkStart w:id="20532" w:name="_ETM_Q30_757969"/>
      <w:bookmarkEnd w:id="20532"/>
      <w:r>
        <w:rPr>
          <w:rFonts w:hint="cs"/>
          <w:rtl/>
        </w:rPr>
        <w:t xml:space="preserve">להיות </w:t>
      </w:r>
      <w:bookmarkStart w:id="20533" w:name="_ETM_Q30_758740"/>
      <w:bookmarkEnd w:id="20533"/>
      <w:r>
        <w:rPr>
          <w:rFonts w:hint="cs"/>
          <w:rtl/>
        </w:rPr>
        <w:t xml:space="preserve">שאתם </w:t>
      </w:r>
      <w:bookmarkStart w:id="20534" w:name="_ETM_Q30_759159"/>
      <w:bookmarkEnd w:id="20534"/>
      <w:r>
        <w:rPr>
          <w:rFonts w:hint="cs"/>
          <w:rtl/>
        </w:rPr>
        <w:t xml:space="preserve">לא </w:t>
      </w:r>
      <w:bookmarkStart w:id="20535" w:name="_ETM_Q30_759249"/>
      <w:bookmarkEnd w:id="20535"/>
      <w:r>
        <w:rPr>
          <w:rFonts w:hint="cs"/>
          <w:rtl/>
        </w:rPr>
        <w:t xml:space="preserve">מקשיבים </w:t>
      </w:r>
      <w:bookmarkStart w:id="20536" w:name="_ETM_Q30_759759"/>
      <w:bookmarkEnd w:id="20536"/>
      <w:r>
        <w:rPr>
          <w:rFonts w:hint="cs"/>
          <w:rtl/>
        </w:rPr>
        <w:t xml:space="preserve">להם </w:t>
      </w:r>
      <w:bookmarkStart w:id="20537" w:name="_ETM_Q30_760270"/>
      <w:bookmarkEnd w:id="20537"/>
      <w:r>
        <w:rPr>
          <w:rFonts w:hint="cs"/>
          <w:rtl/>
        </w:rPr>
        <w:t xml:space="preserve">ולא </w:t>
      </w:r>
      <w:bookmarkStart w:id="20538" w:name="_ETM_Q30_760629"/>
      <w:bookmarkEnd w:id="20538"/>
      <w:r>
        <w:rPr>
          <w:rFonts w:hint="cs"/>
          <w:rtl/>
        </w:rPr>
        <w:t>עוצרים</w:t>
      </w:r>
      <w:bookmarkStart w:id="20539" w:name="_ETM_Q30_763389"/>
      <w:bookmarkEnd w:id="20539"/>
      <w:r>
        <w:rPr>
          <w:rFonts w:hint="cs"/>
          <w:rtl/>
        </w:rPr>
        <w:t>.</w:t>
      </w:r>
    </w:p>
    <w:p w:rsidR="00BB59CD" w:rsidRDefault="00BB59CD" w:rsidP="00BB59CD">
      <w:pPr>
        <w:rPr>
          <w:rtl/>
        </w:rPr>
      </w:pPr>
      <w:bookmarkStart w:id="20540" w:name="_ETM_Q30_763189"/>
      <w:bookmarkStart w:id="20541" w:name="_ETM_Q30_763267"/>
      <w:bookmarkStart w:id="20542" w:name="_ETM_Q30_763397"/>
      <w:bookmarkStart w:id="20543" w:name="_ETM_Q30_763491"/>
      <w:bookmarkStart w:id="20544" w:name="_ETM_Q30_763589"/>
      <w:bookmarkEnd w:id="20540"/>
      <w:bookmarkEnd w:id="20541"/>
      <w:bookmarkEnd w:id="20542"/>
      <w:bookmarkEnd w:id="20543"/>
      <w:bookmarkEnd w:id="20544"/>
    </w:p>
    <w:p w:rsidR="00BB59CD" w:rsidRDefault="00BB59CD" w:rsidP="00BB59CD">
      <w:pPr>
        <w:pStyle w:val="af9"/>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0545" w:name="_ETM_Q31_145721"/>
      <w:bookmarkStart w:id="20546" w:name="_ETM_Q31_145820"/>
      <w:bookmarkEnd w:id="20545"/>
      <w:bookmarkEnd w:id="20546"/>
      <w:r>
        <w:rPr>
          <w:rFonts w:hint="cs"/>
          <w:rtl/>
        </w:rPr>
        <w:t>תודה. חבר הכנסת מאיר כהן, בבקשה.</w:t>
      </w:r>
    </w:p>
    <w:p w:rsidR="00BB59CD" w:rsidRDefault="00BB59CD" w:rsidP="00BB59CD">
      <w:pPr>
        <w:rPr>
          <w:rtl/>
        </w:rPr>
      </w:pPr>
      <w:bookmarkStart w:id="20547" w:name="_ETM_Q31_151385"/>
      <w:bookmarkStart w:id="20548" w:name="_ETM_Q31_151484"/>
      <w:bookmarkStart w:id="20549" w:name="_ETM_Q31_154520"/>
      <w:bookmarkEnd w:id="20547"/>
      <w:bookmarkEnd w:id="20548"/>
      <w:bookmarkEnd w:id="20549"/>
    </w:p>
    <w:p w:rsidR="00BB59CD" w:rsidRDefault="00BB59CD" w:rsidP="00BB59CD">
      <w:pPr>
        <w:pStyle w:val="a5"/>
        <w:keepNext/>
        <w:rPr>
          <w:rtl/>
        </w:rPr>
      </w:pPr>
      <w:bookmarkStart w:id="20550" w:name="ET_speaker_5082_2"/>
      <w:r>
        <w:rPr>
          <w:rStyle w:val="TagStyle"/>
          <w:rFonts w:hint="cs"/>
          <w:rtl/>
        </w:rPr>
        <w:t xml:space="preserve"> &lt;&lt; דובר &gt;&gt; </w:t>
      </w:r>
      <w:bookmarkStart w:id="20551" w:name="_Toc141197146"/>
      <w:bookmarkStart w:id="20552" w:name="_Toc141196882"/>
      <w:bookmarkStart w:id="20553" w:name="_Toc141040473"/>
      <w:bookmarkStart w:id="20554" w:name="_Toc141034704"/>
      <w:r>
        <w:rPr>
          <w:rFonts w:hint="cs"/>
          <w:rtl/>
        </w:rPr>
        <w:t>מאיר כהן (יש עתיד):</w:t>
      </w:r>
      <w:bookmarkEnd w:id="20551"/>
      <w:bookmarkEnd w:id="20552"/>
      <w:bookmarkEnd w:id="20553"/>
      <w:bookmarkEnd w:id="20554"/>
      <w:r>
        <w:rPr>
          <w:rStyle w:val="TagStyle"/>
          <w:rFonts w:hint="cs"/>
          <w:rtl/>
        </w:rPr>
        <w:t xml:space="preserve"> &lt;&lt; דובר &gt;&gt;</w:t>
      </w:r>
      <w:r>
        <w:rPr>
          <w:rFonts w:hint="cs"/>
          <w:rtl/>
        </w:rPr>
        <w:t xml:space="preserve">   </w:t>
      </w:r>
      <w:bookmarkEnd w:id="20550"/>
    </w:p>
    <w:p w:rsidR="00BB59CD" w:rsidRDefault="00BB59CD" w:rsidP="00337201">
      <w:pPr>
        <w:rPr>
          <w:rtl/>
        </w:rPr>
      </w:pPr>
    </w:p>
    <w:p w:rsidR="00BB59CD" w:rsidRDefault="00BB59CD" w:rsidP="001C760D">
      <w:pPr>
        <w:rPr>
          <w:rtl/>
        </w:rPr>
      </w:pPr>
      <w:bookmarkStart w:id="20555" w:name="_ETM_Q31_155416"/>
      <w:bookmarkStart w:id="20556" w:name="_ETM_Q31_155492"/>
      <w:bookmarkStart w:id="20557" w:name="_ETM_Q31_142035"/>
      <w:bookmarkStart w:id="20558" w:name="_ETM_Q31_133604"/>
      <w:bookmarkEnd w:id="20555"/>
      <w:bookmarkEnd w:id="20556"/>
      <w:bookmarkEnd w:id="20557"/>
      <w:bookmarkEnd w:id="20558"/>
      <w:r>
        <w:rPr>
          <w:rFonts w:hint="cs"/>
          <w:rtl/>
        </w:rPr>
        <w:t xml:space="preserve">אדוני היושב-ראש, כנסת </w:t>
      </w:r>
      <w:bookmarkStart w:id="20559" w:name="_ETM_Q31_180909"/>
      <w:bookmarkEnd w:id="20559"/>
      <w:r>
        <w:rPr>
          <w:rFonts w:hint="cs"/>
          <w:rtl/>
        </w:rPr>
        <w:t>נכבדה, אדוני השר, מה שלומך, כנסת נכבדה וריקה,</w:t>
      </w:r>
      <w:bookmarkStart w:id="20560" w:name="_ETM_Q31_181360"/>
      <w:bookmarkEnd w:id="20560"/>
      <w:r>
        <w:rPr>
          <w:rFonts w:hint="cs"/>
          <w:rtl/>
        </w:rPr>
        <w:t xml:space="preserve"> </w:t>
      </w:r>
      <w:bookmarkStart w:id="20561" w:name="_ETM_Q31_182840"/>
      <w:bookmarkEnd w:id="20561"/>
      <w:r>
        <w:rPr>
          <w:rFonts w:hint="cs"/>
          <w:rtl/>
        </w:rPr>
        <w:t xml:space="preserve">אדוני </w:t>
      </w:r>
      <w:bookmarkStart w:id="20562" w:name="_ETM_Q31_183169"/>
      <w:bookmarkEnd w:id="20562"/>
      <w:r>
        <w:rPr>
          <w:rFonts w:hint="cs"/>
          <w:rtl/>
        </w:rPr>
        <w:t>המזכיר</w:t>
      </w:r>
      <w:bookmarkStart w:id="20563" w:name="_ETM_Q31_184220"/>
      <w:bookmarkEnd w:id="20563"/>
      <w:r>
        <w:rPr>
          <w:rFonts w:hint="cs"/>
          <w:rtl/>
        </w:rPr>
        <w:t xml:space="preserve"> </w:t>
      </w:r>
      <w:bookmarkStart w:id="20564" w:name="_ETM_Q31_185059"/>
      <w:bookmarkEnd w:id="20564"/>
      <w:r>
        <w:rPr>
          <w:rFonts w:hint="cs"/>
          <w:rtl/>
        </w:rPr>
        <w:t xml:space="preserve">– קל </w:t>
      </w:r>
      <w:bookmarkStart w:id="20565" w:name="_ETM_Q31_185390"/>
      <w:bookmarkEnd w:id="20565"/>
      <w:r>
        <w:rPr>
          <w:rFonts w:hint="cs"/>
          <w:rtl/>
        </w:rPr>
        <w:t xml:space="preserve">לי, </w:t>
      </w:r>
      <w:bookmarkStart w:id="20566" w:name="_ETM_Q31_185910"/>
      <w:bookmarkEnd w:id="20566"/>
      <w:r>
        <w:rPr>
          <w:rFonts w:hint="cs"/>
          <w:rtl/>
        </w:rPr>
        <w:t xml:space="preserve">ארבעה </w:t>
      </w:r>
      <w:bookmarkStart w:id="20567" w:name="_ETM_Q31_186390"/>
      <w:bookmarkEnd w:id="20567"/>
      <w:r>
        <w:rPr>
          <w:rFonts w:hint="cs"/>
          <w:rtl/>
        </w:rPr>
        <w:t xml:space="preserve">חבר'ה </w:t>
      </w:r>
      <w:bookmarkStart w:id="20568" w:name="_ETM_Q31_186720"/>
      <w:bookmarkEnd w:id="20568"/>
      <w:r>
        <w:rPr>
          <w:rFonts w:hint="cs"/>
          <w:rtl/>
        </w:rPr>
        <w:t xml:space="preserve">נמצאים, </w:t>
      </w:r>
      <w:bookmarkStart w:id="20569" w:name="_ETM_Q31_187230"/>
      <w:bookmarkEnd w:id="20569"/>
      <w:r>
        <w:rPr>
          <w:rFonts w:hint="cs"/>
          <w:rtl/>
        </w:rPr>
        <w:t xml:space="preserve">נקרא </w:t>
      </w:r>
      <w:bookmarkStart w:id="20570" w:name="_ETM_Q31_187560"/>
      <w:bookmarkEnd w:id="20570"/>
      <w:r>
        <w:rPr>
          <w:rFonts w:hint="cs"/>
          <w:rtl/>
        </w:rPr>
        <w:t xml:space="preserve">בשמם. </w:t>
      </w:r>
      <w:bookmarkStart w:id="20571" w:name="_ETM_Q31_188700"/>
      <w:bookmarkEnd w:id="20571"/>
      <w:r>
        <w:rPr>
          <w:rFonts w:hint="cs"/>
          <w:rtl/>
        </w:rPr>
        <w:t xml:space="preserve">בעוד </w:t>
      </w:r>
      <w:bookmarkStart w:id="20572" w:name="_ETM_Q31_189000"/>
      <w:bookmarkEnd w:id="20572"/>
      <w:r>
        <w:rPr>
          <w:rFonts w:hint="cs"/>
          <w:rtl/>
        </w:rPr>
        <w:t xml:space="preserve">פחות </w:t>
      </w:r>
      <w:bookmarkStart w:id="20573" w:name="_ETM_Q31_189300"/>
      <w:bookmarkEnd w:id="20573"/>
      <w:r>
        <w:rPr>
          <w:rFonts w:hint="cs"/>
          <w:rtl/>
        </w:rPr>
        <w:t xml:space="preserve">מ-24 </w:t>
      </w:r>
      <w:bookmarkStart w:id="20574" w:name="_ETM_Q31_189900"/>
      <w:bookmarkEnd w:id="20574"/>
      <w:r>
        <w:rPr>
          <w:rFonts w:hint="cs"/>
          <w:rtl/>
        </w:rPr>
        <w:t xml:space="preserve">שעות </w:t>
      </w:r>
      <w:bookmarkStart w:id="20575" w:name="_ETM_Q31_190380"/>
      <w:bookmarkEnd w:id="20575"/>
      <w:r>
        <w:rPr>
          <w:rFonts w:hint="cs"/>
          <w:rtl/>
        </w:rPr>
        <w:t xml:space="preserve">מסך </w:t>
      </w:r>
      <w:bookmarkStart w:id="20576" w:name="_ETM_Q31_191039"/>
      <w:bookmarkEnd w:id="20576"/>
      <w:r>
        <w:rPr>
          <w:rFonts w:hint="cs"/>
          <w:rtl/>
        </w:rPr>
        <w:t xml:space="preserve">ברזל </w:t>
      </w:r>
      <w:bookmarkStart w:id="20577" w:name="_ETM_Q31_191550"/>
      <w:bookmarkEnd w:id="20577"/>
      <w:r>
        <w:rPr>
          <w:rFonts w:hint="cs"/>
          <w:rtl/>
        </w:rPr>
        <w:t xml:space="preserve">ייפול </w:t>
      </w:r>
      <w:bookmarkStart w:id="20578" w:name="_ETM_Q31_192030"/>
      <w:bookmarkEnd w:id="20578"/>
      <w:r>
        <w:rPr>
          <w:rFonts w:hint="cs"/>
          <w:rtl/>
        </w:rPr>
        <w:t xml:space="preserve">מעל </w:t>
      </w:r>
      <w:bookmarkStart w:id="20579" w:name="_ETM_Q31_192299"/>
      <w:bookmarkEnd w:id="20579"/>
      <w:r>
        <w:rPr>
          <w:rFonts w:hint="cs"/>
          <w:rtl/>
        </w:rPr>
        <w:t xml:space="preserve">הכנסת </w:t>
      </w:r>
      <w:bookmarkStart w:id="20580" w:name="_ETM_Q31_192809"/>
      <w:bookmarkEnd w:id="20580"/>
      <w:r>
        <w:rPr>
          <w:rFonts w:hint="cs"/>
          <w:rtl/>
        </w:rPr>
        <w:t xml:space="preserve">הזאת, </w:t>
      </w:r>
      <w:bookmarkStart w:id="20581" w:name="_ETM_Q31_193110"/>
      <w:bookmarkEnd w:id="20581"/>
      <w:r>
        <w:rPr>
          <w:rFonts w:hint="cs"/>
          <w:rtl/>
        </w:rPr>
        <w:t>חברים</w:t>
      </w:r>
      <w:r w:rsidR="001C760D">
        <w:rPr>
          <w:rFonts w:hint="cs"/>
          <w:rtl/>
        </w:rPr>
        <w:t>,</w:t>
      </w:r>
      <w:r>
        <w:rPr>
          <w:rFonts w:hint="cs"/>
          <w:rtl/>
        </w:rPr>
        <w:t xml:space="preserve"> </w:t>
      </w:r>
      <w:bookmarkStart w:id="20582" w:name="_ETM_Q31_195240"/>
      <w:bookmarkEnd w:id="20582"/>
      <w:r>
        <w:rPr>
          <w:rFonts w:hint="cs"/>
          <w:rtl/>
        </w:rPr>
        <w:t xml:space="preserve">בעוד </w:t>
      </w:r>
      <w:bookmarkStart w:id="20583" w:name="_ETM_Q31_195880"/>
      <w:bookmarkEnd w:id="20583"/>
      <w:r>
        <w:rPr>
          <w:rFonts w:hint="cs"/>
          <w:rtl/>
        </w:rPr>
        <w:t xml:space="preserve">פחות </w:t>
      </w:r>
      <w:bookmarkStart w:id="20584" w:name="_ETM_Q31_196390"/>
      <w:bookmarkEnd w:id="20584"/>
      <w:r>
        <w:rPr>
          <w:rFonts w:hint="cs"/>
          <w:rtl/>
        </w:rPr>
        <w:t xml:space="preserve">מ-24 </w:t>
      </w:r>
      <w:bookmarkStart w:id="20585" w:name="_ETM_Q31_197110"/>
      <w:bookmarkEnd w:id="20585"/>
      <w:r>
        <w:rPr>
          <w:rFonts w:hint="cs"/>
          <w:rtl/>
        </w:rPr>
        <w:t xml:space="preserve">שעות. </w:t>
      </w:r>
      <w:bookmarkStart w:id="20586" w:name="_ETM_Q31_197560"/>
      <w:bookmarkEnd w:id="20586"/>
      <w:r>
        <w:rPr>
          <w:rFonts w:hint="cs"/>
          <w:rtl/>
        </w:rPr>
        <w:t xml:space="preserve">אני </w:t>
      </w:r>
      <w:bookmarkStart w:id="20587" w:name="_ETM_Q31_197770"/>
      <w:bookmarkEnd w:id="20587"/>
      <w:r>
        <w:rPr>
          <w:rFonts w:hint="cs"/>
          <w:rtl/>
        </w:rPr>
        <w:t xml:space="preserve">משער שמחר </w:t>
      </w:r>
      <w:bookmarkStart w:id="20588" w:name="_ETM_Q31_198489"/>
      <w:bookmarkEnd w:id="20588"/>
      <w:r>
        <w:rPr>
          <w:rFonts w:hint="cs"/>
          <w:rtl/>
        </w:rPr>
        <w:t xml:space="preserve">או מוחרתיים </w:t>
      </w:r>
      <w:bookmarkStart w:id="20589" w:name="_ETM_Q31_199120"/>
      <w:bookmarkEnd w:id="20589"/>
      <w:r>
        <w:rPr>
          <w:rFonts w:hint="cs"/>
          <w:rtl/>
        </w:rPr>
        <w:t xml:space="preserve">השמש </w:t>
      </w:r>
      <w:bookmarkStart w:id="20590" w:name="_ETM_Q31_199570"/>
      <w:bookmarkEnd w:id="20590"/>
      <w:r>
        <w:rPr>
          <w:rFonts w:hint="cs"/>
          <w:rtl/>
        </w:rPr>
        <w:t xml:space="preserve">תזרח, </w:t>
      </w:r>
      <w:bookmarkStart w:id="20591" w:name="_ETM_Q31_200590"/>
      <w:bookmarkEnd w:id="20591"/>
      <w:r>
        <w:rPr>
          <w:rFonts w:hint="cs"/>
          <w:rtl/>
        </w:rPr>
        <w:t xml:space="preserve">הציפורים </w:t>
      </w:r>
      <w:bookmarkStart w:id="20592" w:name="_ETM_Q31_201040"/>
      <w:bookmarkEnd w:id="20592"/>
      <w:r>
        <w:rPr>
          <w:rFonts w:hint="cs"/>
          <w:rtl/>
        </w:rPr>
        <w:t xml:space="preserve">יצייצו, </w:t>
      </w:r>
      <w:bookmarkStart w:id="20593" w:name="_ETM_Q31_201940"/>
      <w:bookmarkEnd w:id="20593"/>
      <w:r>
        <w:rPr>
          <w:rFonts w:hint="cs"/>
          <w:rtl/>
        </w:rPr>
        <w:t xml:space="preserve">האזרחים </w:t>
      </w:r>
      <w:bookmarkStart w:id="20594" w:name="_ETM_Q31_202480"/>
      <w:bookmarkEnd w:id="20594"/>
      <w:r>
        <w:rPr>
          <w:rFonts w:hint="cs"/>
          <w:rtl/>
        </w:rPr>
        <w:t xml:space="preserve">יקומו </w:t>
      </w:r>
      <w:bookmarkStart w:id="20595" w:name="_ETM_Q31_202900"/>
      <w:bookmarkEnd w:id="20595"/>
      <w:r>
        <w:rPr>
          <w:rFonts w:hint="cs"/>
          <w:rtl/>
        </w:rPr>
        <w:t xml:space="preserve">לעבודה, </w:t>
      </w:r>
      <w:bookmarkStart w:id="20596" w:name="_ETM_Q31_203890"/>
      <w:bookmarkEnd w:id="20596"/>
      <w:r>
        <w:rPr>
          <w:rFonts w:hint="cs"/>
          <w:rtl/>
        </w:rPr>
        <w:t xml:space="preserve">העסקים </w:t>
      </w:r>
      <w:bookmarkStart w:id="20597" w:name="_ETM_Q31_204670"/>
      <w:bookmarkEnd w:id="20597"/>
      <w:r>
        <w:rPr>
          <w:rFonts w:hint="cs"/>
          <w:rtl/>
        </w:rPr>
        <w:t xml:space="preserve">ייפתחו </w:t>
      </w:r>
      <w:bookmarkStart w:id="20598" w:name="_ETM_Q31_205090"/>
      <w:bookmarkEnd w:id="20598"/>
      <w:r>
        <w:rPr>
          <w:rFonts w:hint="cs"/>
          <w:rtl/>
        </w:rPr>
        <w:t xml:space="preserve">כרגיל, </w:t>
      </w:r>
      <w:bookmarkStart w:id="20599" w:name="_ETM_Q31_205929"/>
      <w:bookmarkEnd w:id="20599"/>
      <w:r>
        <w:rPr>
          <w:rFonts w:hint="cs"/>
          <w:rtl/>
        </w:rPr>
        <w:t xml:space="preserve">אבל </w:t>
      </w:r>
      <w:bookmarkStart w:id="20600" w:name="_ETM_Q31_207310"/>
      <w:bookmarkEnd w:id="20600"/>
      <w:r>
        <w:rPr>
          <w:rFonts w:hint="cs"/>
          <w:rtl/>
        </w:rPr>
        <w:t xml:space="preserve">משהו </w:t>
      </w:r>
      <w:bookmarkStart w:id="20601" w:name="_ETM_Q31_207759"/>
      <w:bookmarkEnd w:id="20601"/>
      <w:r>
        <w:rPr>
          <w:rFonts w:hint="cs"/>
          <w:rtl/>
        </w:rPr>
        <w:t xml:space="preserve">ישתנה. </w:t>
      </w:r>
      <w:bookmarkStart w:id="20602" w:name="_ETM_Q31_209250"/>
      <w:bookmarkEnd w:id="20602"/>
      <w:r>
        <w:rPr>
          <w:rFonts w:hint="cs"/>
          <w:rtl/>
        </w:rPr>
        <w:t xml:space="preserve">מדינת </w:t>
      </w:r>
      <w:bookmarkStart w:id="20603" w:name="_ETM_Q31_209820"/>
      <w:bookmarkEnd w:id="20603"/>
      <w:r>
        <w:rPr>
          <w:rFonts w:hint="cs"/>
          <w:rtl/>
        </w:rPr>
        <w:t xml:space="preserve">ישראל </w:t>
      </w:r>
      <w:bookmarkStart w:id="20604" w:name="_ETM_Q31_210150"/>
      <w:bookmarkEnd w:id="20604"/>
      <w:r>
        <w:rPr>
          <w:rFonts w:hint="cs"/>
          <w:rtl/>
        </w:rPr>
        <w:t xml:space="preserve">תפסיק </w:t>
      </w:r>
      <w:bookmarkStart w:id="20605" w:name="_ETM_Q31_210510"/>
      <w:bookmarkEnd w:id="20605"/>
      <w:r>
        <w:rPr>
          <w:rFonts w:hint="cs"/>
          <w:rtl/>
        </w:rPr>
        <w:t xml:space="preserve">להיות </w:t>
      </w:r>
      <w:bookmarkStart w:id="20606" w:name="_ETM_Q31_210779"/>
      <w:bookmarkEnd w:id="20606"/>
      <w:r>
        <w:rPr>
          <w:rFonts w:hint="cs"/>
          <w:rtl/>
        </w:rPr>
        <w:t xml:space="preserve">מדינה </w:t>
      </w:r>
      <w:bookmarkStart w:id="20607" w:name="_ETM_Q31_211140"/>
      <w:bookmarkEnd w:id="20607"/>
      <w:r>
        <w:rPr>
          <w:rFonts w:hint="cs"/>
          <w:rtl/>
        </w:rPr>
        <w:t>דמוקרטית</w:t>
      </w:r>
      <w:bookmarkStart w:id="20608" w:name="_ETM_Q31_214120"/>
      <w:bookmarkEnd w:id="20608"/>
      <w:r>
        <w:rPr>
          <w:rFonts w:hint="cs"/>
          <w:rtl/>
        </w:rPr>
        <w:t xml:space="preserve">, תפסיק </w:t>
      </w:r>
      <w:bookmarkStart w:id="20609" w:name="_ETM_Q31_214630"/>
      <w:bookmarkEnd w:id="20609"/>
      <w:r>
        <w:rPr>
          <w:rFonts w:hint="cs"/>
          <w:rtl/>
        </w:rPr>
        <w:t xml:space="preserve">להיות </w:t>
      </w:r>
      <w:bookmarkStart w:id="20610" w:name="_ETM_Q31_215090"/>
      <w:bookmarkEnd w:id="20610"/>
      <w:r>
        <w:rPr>
          <w:rFonts w:hint="cs"/>
          <w:rtl/>
        </w:rPr>
        <w:t xml:space="preserve">מדינה </w:t>
      </w:r>
      <w:bookmarkStart w:id="20611" w:name="_ETM_Q31_215600"/>
      <w:bookmarkEnd w:id="20611"/>
      <w:r>
        <w:rPr>
          <w:rFonts w:hint="cs"/>
          <w:rtl/>
        </w:rPr>
        <w:t xml:space="preserve">דמוקרטית. </w:t>
      </w:r>
      <w:bookmarkStart w:id="20612" w:name="_ETM_Q31_217050"/>
      <w:bookmarkEnd w:id="20612"/>
      <w:r>
        <w:rPr>
          <w:rFonts w:hint="cs"/>
          <w:rtl/>
        </w:rPr>
        <w:t xml:space="preserve">עכשיו, </w:t>
      </w:r>
      <w:bookmarkStart w:id="20613" w:name="_ETM_Q31_217409"/>
      <w:bookmarkEnd w:id="20613"/>
      <w:r>
        <w:rPr>
          <w:rFonts w:hint="cs"/>
          <w:rtl/>
        </w:rPr>
        <w:t xml:space="preserve">אין </w:t>
      </w:r>
      <w:bookmarkStart w:id="20614" w:name="_ETM_Q31_219120"/>
      <w:bookmarkEnd w:id="20614"/>
      <w:r>
        <w:rPr>
          <w:rFonts w:hint="cs"/>
          <w:rtl/>
        </w:rPr>
        <w:t xml:space="preserve">דמוקרטיה </w:t>
      </w:r>
      <w:bookmarkStart w:id="20615" w:name="_ETM_Q31_220170"/>
      <w:bookmarkEnd w:id="20615"/>
      <w:r>
        <w:rPr>
          <w:rFonts w:hint="cs"/>
          <w:rtl/>
        </w:rPr>
        <w:t xml:space="preserve">שהיא </w:t>
      </w:r>
      <w:bookmarkStart w:id="20616" w:name="_ETM_Q31_220440"/>
      <w:bookmarkEnd w:id="20616"/>
      <w:r>
        <w:rPr>
          <w:rFonts w:hint="cs"/>
          <w:rtl/>
        </w:rPr>
        <w:t xml:space="preserve">70% </w:t>
      </w:r>
      <w:bookmarkStart w:id="20617" w:name="_ETM_Q31_221370"/>
      <w:bookmarkEnd w:id="20617"/>
      <w:r>
        <w:rPr>
          <w:rFonts w:hint="cs"/>
          <w:rtl/>
        </w:rPr>
        <w:t xml:space="preserve">או </w:t>
      </w:r>
      <w:bookmarkStart w:id="20618" w:name="_ETM_Q31_221489"/>
      <w:bookmarkEnd w:id="20618"/>
      <w:r>
        <w:rPr>
          <w:rFonts w:hint="cs"/>
          <w:rtl/>
        </w:rPr>
        <w:t>20%</w:t>
      </w:r>
      <w:bookmarkStart w:id="20619" w:name="_ETM_Q31_222930"/>
      <w:bookmarkEnd w:id="20619"/>
      <w:r w:rsidR="001C760D">
        <w:rPr>
          <w:rFonts w:hint="cs"/>
          <w:rtl/>
        </w:rPr>
        <w:t>;</w:t>
      </w:r>
      <w:r>
        <w:rPr>
          <w:rFonts w:hint="cs"/>
          <w:rtl/>
        </w:rPr>
        <w:t xml:space="preserve"> ברגע </w:t>
      </w:r>
      <w:bookmarkStart w:id="20620" w:name="_ETM_Q31_224130"/>
      <w:bookmarkEnd w:id="20620"/>
      <w:r>
        <w:rPr>
          <w:rFonts w:hint="cs"/>
          <w:rtl/>
        </w:rPr>
        <w:t xml:space="preserve">שעברה </w:t>
      </w:r>
      <w:bookmarkStart w:id="20621" w:name="_ETM_Q31_224890"/>
      <w:bookmarkEnd w:id="20621"/>
      <w:r>
        <w:rPr>
          <w:rFonts w:hint="cs"/>
          <w:rtl/>
        </w:rPr>
        <w:t xml:space="preserve">עילת </w:t>
      </w:r>
      <w:bookmarkStart w:id="20622" w:name="_ETM_Q31_225429"/>
      <w:bookmarkEnd w:id="20622"/>
      <w:r>
        <w:rPr>
          <w:rFonts w:hint="cs"/>
          <w:rtl/>
        </w:rPr>
        <w:t xml:space="preserve">הסבירות </w:t>
      </w:r>
      <w:bookmarkStart w:id="20623" w:name="_ETM_Q31_226089"/>
      <w:bookmarkEnd w:id="20623"/>
      <w:r>
        <w:rPr>
          <w:rFonts w:hint="cs"/>
          <w:rtl/>
        </w:rPr>
        <w:t xml:space="preserve">במתכונת </w:t>
      </w:r>
      <w:bookmarkStart w:id="20624" w:name="_ETM_Q31_226929"/>
      <w:bookmarkEnd w:id="20624"/>
      <w:r>
        <w:rPr>
          <w:rFonts w:hint="cs"/>
          <w:rtl/>
        </w:rPr>
        <w:t xml:space="preserve">הזו, </w:t>
      </w:r>
      <w:bookmarkStart w:id="20625" w:name="_ETM_Q31_228059"/>
      <w:bookmarkEnd w:id="20625"/>
      <w:r>
        <w:rPr>
          <w:rFonts w:hint="cs"/>
          <w:rtl/>
        </w:rPr>
        <w:t xml:space="preserve">מדינת </w:t>
      </w:r>
      <w:bookmarkStart w:id="20626" w:name="_ETM_Q31_228600"/>
      <w:bookmarkEnd w:id="20626"/>
      <w:r>
        <w:rPr>
          <w:rFonts w:hint="cs"/>
          <w:rtl/>
        </w:rPr>
        <w:t xml:space="preserve">ישראל </w:t>
      </w:r>
      <w:bookmarkStart w:id="20627" w:name="_ETM_Q31_229109"/>
      <w:bookmarkEnd w:id="20627"/>
      <w:r>
        <w:rPr>
          <w:rFonts w:hint="cs"/>
          <w:rtl/>
        </w:rPr>
        <w:t xml:space="preserve">מפסיקה </w:t>
      </w:r>
      <w:bookmarkStart w:id="20628" w:name="_ETM_Q31_229769"/>
      <w:bookmarkEnd w:id="20628"/>
      <w:r>
        <w:rPr>
          <w:rFonts w:hint="cs"/>
          <w:rtl/>
        </w:rPr>
        <w:t xml:space="preserve">להיות </w:t>
      </w:r>
      <w:bookmarkStart w:id="20629" w:name="_ETM_Q31_230059"/>
      <w:bookmarkEnd w:id="20629"/>
      <w:r>
        <w:rPr>
          <w:rFonts w:hint="cs"/>
          <w:rtl/>
        </w:rPr>
        <w:t xml:space="preserve">דמוקרטית. </w:t>
      </w:r>
      <w:bookmarkStart w:id="20630" w:name="_ETM_Q31_233079"/>
      <w:bookmarkEnd w:id="20630"/>
      <w:r>
        <w:rPr>
          <w:rFonts w:hint="cs"/>
          <w:rtl/>
        </w:rPr>
        <w:t xml:space="preserve">בעוד </w:t>
      </w:r>
      <w:bookmarkStart w:id="20631" w:name="_ETM_Q31_233409"/>
      <w:bookmarkEnd w:id="20631"/>
      <w:r>
        <w:rPr>
          <w:rFonts w:hint="cs"/>
          <w:rtl/>
        </w:rPr>
        <w:t xml:space="preserve">24 </w:t>
      </w:r>
      <w:bookmarkStart w:id="20632" w:name="_ETM_Q31_233979"/>
      <w:bookmarkEnd w:id="20632"/>
      <w:r>
        <w:rPr>
          <w:rFonts w:hint="cs"/>
          <w:rtl/>
        </w:rPr>
        <w:t xml:space="preserve">שעות </w:t>
      </w:r>
      <w:bookmarkStart w:id="20633" w:name="_ETM_Q31_234670"/>
      <w:bookmarkStart w:id="20634" w:name="_ETM_Q31_234789"/>
      <w:bookmarkEnd w:id="20633"/>
      <w:bookmarkEnd w:id="20634"/>
      <w:r>
        <w:rPr>
          <w:rFonts w:hint="cs"/>
          <w:rtl/>
        </w:rPr>
        <w:t xml:space="preserve">עם </w:t>
      </w:r>
      <w:bookmarkStart w:id="20635" w:name="_ETM_Q31_234999"/>
      <w:bookmarkEnd w:id="20635"/>
      <w:r>
        <w:rPr>
          <w:rFonts w:hint="cs"/>
          <w:rtl/>
        </w:rPr>
        <w:t xml:space="preserve">ישראל </w:t>
      </w:r>
      <w:bookmarkStart w:id="20636" w:name="_ETM_Q31_235539"/>
      <w:bookmarkStart w:id="20637" w:name="_ETM_Q31_235629"/>
      <w:bookmarkStart w:id="20638" w:name="_ETM_Q31_235960"/>
      <w:bookmarkStart w:id="20639" w:name="_ETM_Q31_236109"/>
      <w:bookmarkEnd w:id="20636"/>
      <w:bookmarkEnd w:id="20637"/>
      <w:bookmarkEnd w:id="20638"/>
      <w:bookmarkEnd w:id="20639"/>
      <w:r>
        <w:rPr>
          <w:rFonts w:hint="cs"/>
          <w:rtl/>
        </w:rPr>
        <w:t xml:space="preserve">ייקרע לשניים, </w:t>
      </w:r>
      <w:bookmarkStart w:id="20640" w:name="_ETM_Q31_236649"/>
      <w:bookmarkEnd w:id="20640"/>
      <w:r>
        <w:rPr>
          <w:rFonts w:hint="cs"/>
          <w:rtl/>
        </w:rPr>
        <w:t xml:space="preserve">מדינת </w:t>
      </w:r>
      <w:bookmarkStart w:id="20641" w:name="_ETM_Q31_237399"/>
      <w:bookmarkEnd w:id="20641"/>
      <w:r>
        <w:rPr>
          <w:rFonts w:hint="cs"/>
          <w:rtl/>
        </w:rPr>
        <w:t xml:space="preserve">ישראל </w:t>
      </w:r>
      <w:bookmarkStart w:id="20642" w:name="_ETM_Q31_237819"/>
      <w:bookmarkEnd w:id="20642"/>
      <w:r>
        <w:rPr>
          <w:rFonts w:hint="cs"/>
          <w:rtl/>
        </w:rPr>
        <w:t>ת</w:t>
      </w:r>
      <w:r w:rsidR="001C760D">
        <w:rPr>
          <w:rFonts w:hint="cs"/>
          <w:rtl/>
        </w:rPr>
        <w:t>י</w:t>
      </w:r>
      <w:r>
        <w:rPr>
          <w:rFonts w:hint="cs"/>
          <w:rtl/>
        </w:rPr>
        <w:t xml:space="preserve">קרע </w:t>
      </w:r>
      <w:bookmarkStart w:id="20643" w:name="_ETM_Q31_238359"/>
      <w:bookmarkEnd w:id="20643"/>
      <w:r>
        <w:rPr>
          <w:rFonts w:hint="cs"/>
          <w:rtl/>
        </w:rPr>
        <w:t>ל</w:t>
      </w:r>
      <w:bookmarkStart w:id="20644" w:name="_ETM_Q31_239950"/>
      <w:bookmarkEnd w:id="20644"/>
      <w:r>
        <w:rPr>
          <w:rFonts w:hint="cs"/>
          <w:rtl/>
        </w:rPr>
        <w:t>שניים</w:t>
      </w:r>
      <w:bookmarkStart w:id="20645" w:name="_ETM_Q31_241942"/>
      <w:bookmarkEnd w:id="20645"/>
      <w:r>
        <w:rPr>
          <w:rFonts w:hint="cs"/>
          <w:rtl/>
        </w:rPr>
        <w:t xml:space="preserve">, כאשר </w:t>
      </w:r>
      <w:bookmarkStart w:id="20646" w:name="_ETM_Q31_240430"/>
      <w:bookmarkEnd w:id="20646"/>
      <w:r>
        <w:rPr>
          <w:rFonts w:hint="cs"/>
          <w:rtl/>
        </w:rPr>
        <w:t xml:space="preserve">מעל </w:t>
      </w:r>
      <w:bookmarkStart w:id="20647" w:name="_ETM_Q31_240730"/>
      <w:bookmarkEnd w:id="20647"/>
      <w:r>
        <w:rPr>
          <w:rFonts w:hint="cs"/>
          <w:rtl/>
        </w:rPr>
        <w:t xml:space="preserve">הכול, </w:t>
      </w:r>
      <w:bookmarkStart w:id="20648" w:name="_ETM_Q31_241090"/>
      <w:bookmarkEnd w:id="20648"/>
      <w:r>
        <w:rPr>
          <w:rFonts w:hint="cs"/>
          <w:rtl/>
        </w:rPr>
        <w:t xml:space="preserve">לצערי </w:t>
      </w:r>
      <w:bookmarkStart w:id="20649" w:name="_ETM_Q31_241630"/>
      <w:bookmarkEnd w:id="20649"/>
      <w:r>
        <w:rPr>
          <w:rFonts w:hint="cs"/>
          <w:rtl/>
        </w:rPr>
        <w:t xml:space="preserve">הגדול, </w:t>
      </w:r>
      <w:bookmarkStart w:id="20650" w:name="_ETM_Q31_242720"/>
      <w:bookmarkEnd w:id="20650"/>
      <w:r>
        <w:rPr>
          <w:rFonts w:hint="cs"/>
          <w:rtl/>
        </w:rPr>
        <w:t xml:space="preserve">עומדת </w:t>
      </w:r>
      <w:bookmarkStart w:id="20651" w:name="_ETM_Q31_243440"/>
      <w:bookmarkEnd w:id="20651"/>
      <w:r>
        <w:rPr>
          <w:rFonts w:hint="cs"/>
          <w:rtl/>
        </w:rPr>
        <w:t xml:space="preserve">ממשלה </w:t>
      </w:r>
      <w:bookmarkStart w:id="20652" w:name="_ETM_Q31_244530"/>
      <w:bookmarkEnd w:id="20652"/>
      <w:r>
        <w:rPr>
          <w:rFonts w:hint="cs"/>
          <w:rtl/>
        </w:rPr>
        <w:t xml:space="preserve">קיצונית, </w:t>
      </w:r>
      <w:bookmarkStart w:id="20653" w:name="_ETM_Q31_246290"/>
      <w:bookmarkStart w:id="20654" w:name="_ETM_Q31_247010"/>
      <w:bookmarkEnd w:id="20653"/>
      <w:bookmarkEnd w:id="20654"/>
      <w:r>
        <w:rPr>
          <w:rFonts w:hint="cs"/>
          <w:rtl/>
        </w:rPr>
        <w:t xml:space="preserve">וכמו </w:t>
      </w:r>
      <w:bookmarkStart w:id="20655" w:name="_ETM_Q31_247430"/>
      <w:bookmarkEnd w:id="20655"/>
      <w:r>
        <w:rPr>
          <w:rFonts w:hint="cs"/>
          <w:rtl/>
        </w:rPr>
        <w:t xml:space="preserve">שהנשיא </w:t>
      </w:r>
      <w:bookmarkStart w:id="20656" w:name="_ETM_Q31_248000"/>
      <w:bookmarkEnd w:id="20656"/>
      <w:r>
        <w:rPr>
          <w:rFonts w:hint="cs"/>
          <w:rtl/>
        </w:rPr>
        <w:t>ביידן אמר,</w:t>
      </w:r>
      <w:bookmarkStart w:id="20657" w:name="_ETM_Q31_248480"/>
      <w:bookmarkStart w:id="20658" w:name="_ETM_Q31_249110"/>
      <w:bookmarkEnd w:id="20657"/>
      <w:bookmarkEnd w:id="20658"/>
      <w:r>
        <w:rPr>
          <w:rFonts w:hint="cs"/>
          <w:rtl/>
        </w:rPr>
        <w:t xml:space="preserve"> הקיצונית ש</w:t>
      </w:r>
      <w:bookmarkStart w:id="20659" w:name="_ETM_Q31_249860"/>
      <w:bookmarkEnd w:id="20659"/>
      <w:r>
        <w:rPr>
          <w:rFonts w:hint="cs"/>
          <w:rtl/>
        </w:rPr>
        <w:t xml:space="preserve">אני </w:t>
      </w:r>
      <w:bookmarkStart w:id="20660" w:name="_ETM_Q31_250250"/>
      <w:bookmarkEnd w:id="20660"/>
      <w:r>
        <w:rPr>
          <w:rFonts w:hint="cs"/>
          <w:rtl/>
        </w:rPr>
        <w:t xml:space="preserve">מכיר </w:t>
      </w:r>
      <w:bookmarkStart w:id="20661" w:name="_ETM_Q31_251300"/>
      <w:bookmarkEnd w:id="20661"/>
      <w:r>
        <w:rPr>
          <w:rFonts w:hint="cs"/>
          <w:rtl/>
        </w:rPr>
        <w:t xml:space="preserve">מאז </w:t>
      </w:r>
      <w:bookmarkStart w:id="20662" w:name="_ETM_Q31_252260"/>
      <w:bookmarkEnd w:id="20662"/>
      <w:r>
        <w:rPr>
          <w:rFonts w:hint="cs"/>
          <w:rtl/>
        </w:rPr>
        <w:t xml:space="preserve">מלחמת </w:t>
      </w:r>
      <w:bookmarkStart w:id="20663" w:name="_ETM_Q31_252740"/>
      <w:bookmarkEnd w:id="20663"/>
      <w:r>
        <w:rPr>
          <w:rFonts w:hint="cs"/>
          <w:rtl/>
        </w:rPr>
        <w:t xml:space="preserve">יום </w:t>
      </w:r>
      <w:bookmarkStart w:id="20664" w:name="_ETM_Q31_252890"/>
      <w:bookmarkEnd w:id="20664"/>
      <w:r>
        <w:rPr>
          <w:rFonts w:hint="cs"/>
          <w:rtl/>
        </w:rPr>
        <w:t xml:space="preserve">הכיפורים; </w:t>
      </w:r>
      <w:bookmarkStart w:id="20665" w:name="_ETM_Q31_255010"/>
      <w:bookmarkEnd w:id="20665"/>
      <w:r>
        <w:rPr>
          <w:rFonts w:hint="cs"/>
          <w:rtl/>
        </w:rPr>
        <w:t xml:space="preserve">ממשלה </w:t>
      </w:r>
      <w:bookmarkStart w:id="20666" w:name="_ETM_Q31_255549"/>
      <w:bookmarkEnd w:id="20666"/>
      <w:r>
        <w:rPr>
          <w:rFonts w:hint="cs"/>
          <w:rtl/>
        </w:rPr>
        <w:t xml:space="preserve">שקורעת </w:t>
      </w:r>
      <w:bookmarkStart w:id="20667" w:name="_ETM_Q31_256509"/>
      <w:bookmarkEnd w:id="20667"/>
      <w:r>
        <w:rPr>
          <w:rFonts w:hint="cs"/>
          <w:rtl/>
        </w:rPr>
        <w:t xml:space="preserve">את </w:t>
      </w:r>
      <w:bookmarkStart w:id="20668" w:name="_ETM_Q31_256630"/>
      <w:bookmarkEnd w:id="20668"/>
      <w:r>
        <w:rPr>
          <w:rFonts w:hint="cs"/>
          <w:rtl/>
        </w:rPr>
        <w:t xml:space="preserve">המרקם </w:t>
      </w:r>
      <w:bookmarkStart w:id="20669" w:name="_ETM_Q31_257439"/>
      <w:bookmarkEnd w:id="20669"/>
      <w:r>
        <w:rPr>
          <w:rFonts w:hint="cs"/>
          <w:rtl/>
        </w:rPr>
        <w:t xml:space="preserve">האזרחי, </w:t>
      </w:r>
      <w:bookmarkStart w:id="20670" w:name="_ETM_Q31_258369"/>
      <w:bookmarkEnd w:id="20670"/>
      <w:r>
        <w:rPr>
          <w:rFonts w:hint="cs"/>
          <w:rtl/>
        </w:rPr>
        <w:t xml:space="preserve">המרקם </w:t>
      </w:r>
      <w:bookmarkStart w:id="20671" w:name="_ETM_Q31_259030"/>
      <w:bookmarkEnd w:id="20671"/>
      <w:r>
        <w:rPr>
          <w:rFonts w:hint="cs"/>
          <w:rtl/>
        </w:rPr>
        <w:t xml:space="preserve">הציבורי </w:t>
      </w:r>
      <w:bookmarkStart w:id="20672" w:name="_ETM_Q31_260500"/>
      <w:bookmarkEnd w:id="20672"/>
      <w:r>
        <w:rPr>
          <w:rFonts w:hint="cs"/>
          <w:rtl/>
        </w:rPr>
        <w:t xml:space="preserve">שנרקם </w:t>
      </w:r>
      <w:bookmarkStart w:id="20673" w:name="_ETM_Q31_261490"/>
      <w:bookmarkEnd w:id="20673"/>
      <w:r>
        <w:rPr>
          <w:rFonts w:hint="cs"/>
          <w:rtl/>
        </w:rPr>
        <w:t xml:space="preserve">כאן </w:t>
      </w:r>
      <w:bookmarkStart w:id="20674" w:name="_ETM_Q31_261850"/>
      <w:bookmarkEnd w:id="20674"/>
      <w:r>
        <w:rPr>
          <w:rFonts w:hint="cs"/>
          <w:rtl/>
        </w:rPr>
        <w:t>במשך</w:t>
      </w:r>
      <w:bookmarkStart w:id="20675" w:name="_ETM_Q31_262510"/>
      <w:bookmarkStart w:id="20676" w:name="_ETM_Q31_263399"/>
      <w:bookmarkEnd w:id="20675"/>
      <w:bookmarkEnd w:id="20676"/>
      <w:r>
        <w:rPr>
          <w:rFonts w:hint="cs"/>
          <w:rtl/>
        </w:rPr>
        <w:t xml:space="preserve"> </w:t>
      </w:r>
      <w:bookmarkStart w:id="20677" w:name="_ETM_Q31_264090"/>
      <w:bookmarkEnd w:id="20677"/>
      <w:r>
        <w:rPr>
          <w:rFonts w:hint="cs"/>
          <w:rtl/>
        </w:rPr>
        <w:t xml:space="preserve">75 </w:t>
      </w:r>
      <w:bookmarkStart w:id="20678" w:name="_ETM_Q31_264750"/>
      <w:bookmarkEnd w:id="20678"/>
      <w:r>
        <w:rPr>
          <w:rFonts w:hint="cs"/>
          <w:rtl/>
        </w:rPr>
        <w:t>שנים.</w:t>
      </w:r>
      <w:bookmarkStart w:id="20679" w:name="_ETM_Q31_266609"/>
      <w:bookmarkEnd w:id="20679"/>
    </w:p>
    <w:p w:rsidR="00BB59CD" w:rsidRDefault="00BB59CD" w:rsidP="00BB59CD">
      <w:pPr>
        <w:rPr>
          <w:rtl/>
        </w:rPr>
      </w:pPr>
      <w:bookmarkStart w:id="20680" w:name="_ETM_Q31_267611"/>
      <w:bookmarkStart w:id="20681" w:name="_ETM_Q31_267723"/>
      <w:bookmarkEnd w:id="20680"/>
      <w:bookmarkEnd w:id="20681"/>
    </w:p>
    <w:p w:rsidR="00BB59CD" w:rsidRDefault="00BB59CD" w:rsidP="001C760D">
      <w:pPr>
        <w:rPr>
          <w:rtl/>
        </w:rPr>
      </w:pPr>
      <w:bookmarkStart w:id="20682" w:name="_ETM_Q31_267884"/>
      <w:bookmarkStart w:id="20683" w:name="_ETM_Q31_267945"/>
      <w:bookmarkEnd w:id="20682"/>
      <w:bookmarkEnd w:id="20683"/>
      <w:r>
        <w:rPr>
          <w:rFonts w:hint="cs"/>
          <w:rtl/>
        </w:rPr>
        <w:t xml:space="preserve">אדוני </w:t>
      </w:r>
      <w:bookmarkStart w:id="20684" w:name="_ETM_Q31_266939"/>
      <w:bookmarkEnd w:id="20684"/>
      <w:r>
        <w:rPr>
          <w:rFonts w:hint="cs"/>
          <w:rtl/>
        </w:rPr>
        <w:t xml:space="preserve">היושב-ראש, </w:t>
      </w:r>
      <w:bookmarkStart w:id="20685" w:name="_ETM_Q31_267509"/>
      <w:bookmarkEnd w:id="20685"/>
      <w:r>
        <w:rPr>
          <w:rFonts w:hint="cs"/>
          <w:rtl/>
        </w:rPr>
        <w:t xml:space="preserve">אני </w:t>
      </w:r>
      <w:bookmarkStart w:id="20686" w:name="_ETM_Q31_267749"/>
      <w:bookmarkEnd w:id="20686"/>
      <w:r>
        <w:rPr>
          <w:rFonts w:hint="cs"/>
          <w:rtl/>
        </w:rPr>
        <w:t xml:space="preserve">אנסה </w:t>
      </w:r>
      <w:bookmarkStart w:id="20687" w:name="_ETM_Q31_268020"/>
      <w:bookmarkEnd w:id="20687"/>
      <w:r>
        <w:rPr>
          <w:rFonts w:hint="cs"/>
          <w:rtl/>
        </w:rPr>
        <w:t xml:space="preserve">לתאר </w:t>
      </w:r>
      <w:bookmarkStart w:id="20688" w:name="_ETM_Q31_268380"/>
      <w:bookmarkEnd w:id="20688"/>
      <w:r>
        <w:rPr>
          <w:rFonts w:hint="cs"/>
          <w:rtl/>
        </w:rPr>
        <w:t xml:space="preserve">מה </w:t>
      </w:r>
      <w:bookmarkStart w:id="20689" w:name="_ETM_Q31_268530"/>
      <w:bookmarkEnd w:id="20689"/>
      <w:r>
        <w:rPr>
          <w:rFonts w:hint="cs"/>
          <w:rtl/>
        </w:rPr>
        <w:t xml:space="preserve">היה </w:t>
      </w:r>
      <w:bookmarkStart w:id="20690" w:name="_ETM_Q31_268679"/>
      <w:bookmarkEnd w:id="20690"/>
      <w:r>
        <w:rPr>
          <w:rFonts w:hint="cs"/>
          <w:rtl/>
        </w:rPr>
        <w:t xml:space="preserve">כאן </w:t>
      </w:r>
      <w:bookmarkStart w:id="20691" w:name="_ETM_Q31_268859"/>
      <w:bookmarkEnd w:id="20691"/>
      <w:r>
        <w:rPr>
          <w:rFonts w:hint="cs"/>
          <w:rtl/>
        </w:rPr>
        <w:t xml:space="preserve">בסוף </w:t>
      </w:r>
      <w:bookmarkStart w:id="20692" w:name="_ETM_Q31_269159"/>
      <w:bookmarkEnd w:id="20692"/>
      <w:r>
        <w:rPr>
          <w:rFonts w:hint="cs"/>
          <w:rtl/>
        </w:rPr>
        <w:t xml:space="preserve">השבוע: </w:t>
      </w:r>
      <w:bookmarkStart w:id="20693" w:name="_ETM_Q31_269670"/>
      <w:bookmarkEnd w:id="20693"/>
      <w:r>
        <w:rPr>
          <w:rFonts w:hint="cs"/>
          <w:rtl/>
        </w:rPr>
        <w:t xml:space="preserve">מאות </w:t>
      </w:r>
      <w:bookmarkStart w:id="20694" w:name="_ETM_Q31_269939"/>
      <w:bookmarkEnd w:id="20694"/>
      <w:r>
        <w:rPr>
          <w:rFonts w:hint="cs"/>
          <w:rtl/>
        </w:rPr>
        <w:t xml:space="preserve">אלפי </w:t>
      </w:r>
      <w:bookmarkStart w:id="20695" w:name="_ETM_Q31_270209"/>
      <w:bookmarkEnd w:id="20695"/>
      <w:r>
        <w:rPr>
          <w:rFonts w:hint="cs"/>
          <w:rtl/>
        </w:rPr>
        <w:t xml:space="preserve">אנשים </w:t>
      </w:r>
      <w:bookmarkStart w:id="20696" w:name="_ETM_Q31_270600"/>
      <w:bookmarkEnd w:id="20696"/>
      <w:r>
        <w:rPr>
          <w:rFonts w:hint="cs"/>
          <w:rtl/>
        </w:rPr>
        <w:t xml:space="preserve">יצאו </w:t>
      </w:r>
      <w:bookmarkStart w:id="20697" w:name="_ETM_Q31_270990"/>
      <w:bookmarkEnd w:id="20697"/>
      <w:r>
        <w:rPr>
          <w:rFonts w:hint="cs"/>
          <w:rtl/>
        </w:rPr>
        <w:t xml:space="preserve">למחות </w:t>
      </w:r>
      <w:bookmarkStart w:id="20698" w:name="_ETM_Q31_271560"/>
      <w:bookmarkEnd w:id="20698"/>
      <w:r>
        <w:rPr>
          <w:rFonts w:hint="cs"/>
          <w:rtl/>
        </w:rPr>
        <w:t xml:space="preserve">נגד </w:t>
      </w:r>
      <w:bookmarkStart w:id="20699" w:name="_ETM_Q31_271920"/>
      <w:bookmarkStart w:id="20700" w:name="_ETM_Q31_272490"/>
      <w:bookmarkEnd w:id="20699"/>
      <w:bookmarkEnd w:id="20700"/>
      <w:r>
        <w:rPr>
          <w:rFonts w:hint="cs"/>
          <w:rtl/>
        </w:rPr>
        <w:t xml:space="preserve">ההפיכה המשטרית; </w:t>
      </w:r>
      <w:bookmarkStart w:id="20701" w:name="_ETM_Q31_273430"/>
      <w:bookmarkEnd w:id="20701"/>
      <w:r>
        <w:rPr>
          <w:rFonts w:hint="cs"/>
          <w:rtl/>
        </w:rPr>
        <w:t xml:space="preserve">עשרות </w:t>
      </w:r>
      <w:bookmarkStart w:id="20702" w:name="_ETM_Q31_274060"/>
      <w:bookmarkEnd w:id="20702"/>
      <w:r>
        <w:rPr>
          <w:rFonts w:hint="cs"/>
          <w:rtl/>
        </w:rPr>
        <w:t xml:space="preserve">אלפי </w:t>
      </w:r>
      <w:bookmarkStart w:id="20703" w:name="_ETM_Q31_275110"/>
      <w:bookmarkEnd w:id="20703"/>
      <w:r>
        <w:rPr>
          <w:rFonts w:hint="cs"/>
          <w:rtl/>
        </w:rPr>
        <w:t xml:space="preserve">משרתי </w:t>
      </w:r>
      <w:bookmarkStart w:id="20704" w:name="_ETM_Q31_275650"/>
      <w:bookmarkEnd w:id="20704"/>
      <w:r>
        <w:rPr>
          <w:rFonts w:hint="cs"/>
          <w:rtl/>
        </w:rPr>
        <w:t xml:space="preserve">מילואים </w:t>
      </w:r>
      <w:bookmarkStart w:id="20705" w:name="_ETM_Q31_276130"/>
      <w:bookmarkEnd w:id="20705"/>
      <w:r>
        <w:rPr>
          <w:rFonts w:hint="cs"/>
          <w:rtl/>
        </w:rPr>
        <w:t xml:space="preserve">הודיעו </w:t>
      </w:r>
      <w:bookmarkStart w:id="20706" w:name="_ETM_Q31_276610"/>
      <w:bookmarkEnd w:id="20706"/>
      <w:r>
        <w:rPr>
          <w:rFonts w:hint="cs"/>
          <w:rtl/>
        </w:rPr>
        <w:t xml:space="preserve">על </w:t>
      </w:r>
      <w:bookmarkStart w:id="20707" w:name="_ETM_Q31_276700"/>
      <w:bookmarkEnd w:id="20707"/>
      <w:r>
        <w:rPr>
          <w:rFonts w:hint="cs"/>
          <w:rtl/>
        </w:rPr>
        <w:t xml:space="preserve">הפסקת </w:t>
      </w:r>
      <w:bookmarkStart w:id="20708" w:name="_ETM_Q31_277119"/>
      <w:bookmarkEnd w:id="20708"/>
      <w:r>
        <w:rPr>
          <w:rFonts w:hint="cs"/>
          <w:rtl/>
        </w:rPr>
        <w:t xml:space="preserve">ההתנדבות; </w:t>
      </w:r>
      <w:bookmarkStart w:id="20709" w:name="_ETM_Q31_278380"/>
      <w:bookmarkEnd w:id="20709"/>
      <w:r>
        <w:rPr>
          <w:rFonts w:hint="cs"/>
          <w:rtl/>
        </w:rPr>
        <w:t xml:space="preserve">הייתה צעדה </w:t>
      </w:r>
      <w:bookmarkStart w:id="20710" w:name="_ETM_Q31_279100"/>
      <w:bookmarkEnd w:id="20710"/>
      <w:r>
        <w:rPr>
          <w:rFonts w:hint="cs"/>
          <w:rtl/>
        </w:rPr>
        <w:t xml:space="preserve">המונית </w:t>
      </w:r>
      <w:bookmarkStart w:id="20711" w:name="_ETM_Q31_279520"/>
      <w:bookmarkEnd w:id="20711"/>
      <w:r>
        <w:rPr>
          <w:rFonts w:hint="cs"/>
          <w:rtl/>
        </w:rPr>
        <w:t xml:space="preserve">שכללה </w:t>
      </w:r>
      <w:bookmarkStart w:id="20712" w:name="_ETM_Q31_280119"/>
      <w:bookmarkEnd w:id="20712"/>
      <w:r>
        <w:rPr>
          <w:rFonts w:hint="cs"/>
          <w:rtl/>
        </w:rPr>
        <w:t xml:space="preserve">עשרות </w:t>
      </w:r>
      <w:bookmarkStart w:id="20713" w:name="_ETM_Q31_280720"/>
      <w:bookmarkEnd w:id="20713"/>
      <w:r>
        <w:rPr>
          <w:rFonts w:hint="cs"/>
          <w:rtl/>
        </w:rPr>
        <w:t xml:space="preserve">אלפי </w:t>
      </w:r>
      <w:bookmarkStart w:id="20714" w:name="_ETM_Q31_280990"/>
      <w:bookmarkEnd w:id="20714"/>
      <w:r>
        <w:rPr>
          <w:rFonts w:hint="cs"/>
          <w:rtl/>
        </w:rPr>
        <w:t xml:space="preserve">אנשים </w:t>
      </w:r>
      <w:bookmarkStart w:id="20715" w:name="_ETM_Q31_281319"/>
      <w:bookmarkEnd w:id="20715"/>
      <w:r>
        <w:rPr>
          <w:rFonts w:hint="cs"/>
          <w:rtl/>
        </w:rPr>
        <w:t xml:space="preserve">שיצאו </w:t>
      </w:r>
      <w:bookmarkStart w:id="20716" w:name="_ETM_Q31_281740"/>
      <w:bookmarkEnd w:id="20716"/>
      <w:r>
        <w:rPr>
          <w:rFonts w:hint="cs"/>
          <w:rtl/>
        </w:rPr>
        <w:t xml:space="preserve">מתל </w:t>
      </w:r>
      <w:bookmarkStart w:id="20717" w:name="_ETM_Q31_282040"/>
      <w:bookmarkEnd w:id="20717"/>
      <w:r>
        <w:rPr>
          <w:rFonts w:hint="cs"/>
          <w:rtl/>
        </w:rPr>
        <w:t xml:space="preserve">אביב </w:t>
      </w:r>
      <w:bookmarkStart w:id="20718" w:name="_ETM_Q31_282749"/>
      <w:bookmarkEnd w:id="20718"/>
      <w:r>
        <w:rPr>
          <w:rFonts w:hint="cs"/>
          <w:rtl/>
        </w:rPr>
        <w:t xml:space="preserve">לכאן, </w:t>
      </w:r>
      <w:bookmarkStart w:id="20719" w:name="_ETM_Q31_283259"/>
      <w:bookmarkEnd w:id="20719"/>
      <w:r>
        <w:rPr>
          <w:rFonts w:hint="cs"/>
          <w:rtl/>
        </w:rPr>
        <w:t xml:space="preserve">לירושלים, </w:t>
      </w:r>
      <w:bookmarkStart w:id="20720" w:name="_ETM_Q31_283919"/>
      <w:bookmarkEnd w:id="20720"/>
      <w:r>
        <w:rPr>
          <w:rFonts w:hint="cs"/>
          <w:rtl/>
        </w:rPr>
        <w:t xml:space="preserve">לכנסת </w:t>
      </w:r>
      <w:bookmarkStart w:id="20721" w:name="_ETM_Q31_284429"/>
      <w:bookmarkEnd w:id="20721"/>
      <w:r>
        <w:rPr>
          <w:rFonts w:hint="cs"/>
          <w:rtl/>
        </w:rPr>
        <w:t xml:space="preserve">ישראל; </w:t>
      </w:r>
      <w:bookmarkStart w:id="20722" w:name="_ETM_Q31_286280"/>
      <w:bookmarkEnd w:id="20722"/>
      <w:r>
        <w:rPr>
          <w:rFonts w:hint="cs"/>
          <w:rtl/>
        </w:rPr>
        <w:t xml:space="preserve">שופטים, </w:t>
      </w:r>
      <w:bookmarkStart w:id="20723" w:name="_ETM_Q31_287390"/>
      <w:bookmarkEnd w:id="20723"/>
      <w:r>
        <w:rPr>
          <w:rFonts w:hint="cs"/>
          <w:rtl/>
        </w:rPr>
        <w:t xml:space="preserve">ניצבים, </w:t>
      </w:r>
      <w:bookmarkStart w:id="20724" w:name="_ETM_Q31_288630"/>
      <w:bookmarkEnd w:id="20724"/>
      <w:r>
        <w:rPr>
          <w:rFonts w:hint="cs"/>
          <w:rtl/>
        </w:rPr>
        <w:t xml:space="preserve">אלופים, </w:t>
      </w:r>
      <w:bookmarkStart w:id="20725" w:name="_ETM_Q31_289920"/>
      <w:bookmarkEnd w:id="20725"/>
      <w:r>
        <w:rPr>
          <w:rFonts w:hint="cs"/>
          <w:rtl/>
        </w:rPr>
        <w:t xml:space="preserve">ראשי </w:t>
      </w:r>
      <w:bookmarkStart w:id="20726" w:name="_ETM_Q31_290340"/>
      <w:bookmarkEnd w:id="20726"/>
      <w:r>
        <w:rPr>
          <w:rFonts w:hint="cs"/>
          <w:rtl/>
        </w:rPr>
        <w:t xml:space="preserve">שב"כ, </w:t>
      </w:r>
      <w:bookmarkStart w:id="20727" w:name="_ETM_Q31_291420"/>
      <w:bookmarkEnd w:id="20727"/>
      <w:r>
        <w:rPr>
          <w:rFonts w:hint="cs"/>
          <w:rtl/>
        </w:rPr>
        <w:t xml:space="preserve">ראשי </w:t>
      </w:r>
      <w:bookmarkStart w:id="20728" w:name="_ETM_Q31_291750"/>
      <w:bookmarkEnd w:id="20728"/>
      <w:r>
        <w:rPr>
          <w:rFonts w:hint="cs"/>
          <w:rtl/>
        </w:rPr>
        <w:t xml:space="preserve">מוסד, </w:t>
      </w:r>
      <w:bookmarkStart w:id="20729" w:name="_ETM_Q31_292680"/>
      <w:bookmarkEnd w:id="20729"/>
      <w:r>
        <w:rPr>
          <w:rFonts w:hint="cs"/>
          <w:rtl/>
        </w:rPr>
        <w:t xml:space="preserve">רמטכ"לים, </w:t>
      </w:r>
      <w:bookmarkStart w:id="20730" w:name="_ETM_Q31_293789"/>
      <w:bookmarkEnd w:id="20730"/>
      <w:r>
        <w:rPr>
          <w:rFonts w:hint="cs"/>
          <w:rtl/>
        </w:rPr>
        <w:t xml:space="preserve">מפכ"לים </w:t>
      </w:r>
      <w:bookmarkStart w:id="20731" w:name="_ETM_Q31_294630"/>
      <w:bookmarkEnd w:id="20731"/>
      <w:r>
        <w:rPr>
          <w:rFonts w:hint="cs"/>
          <w:rtl/>
        </w:rPr>
        <w:t xml:space="preserve">לשעבר, </w:t>
      </w:r>
      <w:bookmarkStart w:id="20732" w:name="_ETM_Q31_295289"/>
      <w:bookmarkEnd w:id="20732"/>
      <w:r>
        <w:rPr>
          <w:rFonts w:hint="cs"/>
          <w:rtl/>
        </w:rPr>
        <w:t xml:space="preserve">ראשי </w:t>
      </w:r>
      <w:bookmarkStart w:id="20733" w:name="_ETM_Q31_295619"/>
      <w:bookmarkEnd w:id="20733"/>
      <w:r>
        <w:rPr>
          <w:rFonts w:hint="cs"/>
          <w:rtl/>
        </w:rPr>
        <w:t xml:space="preserve">ממשלה, </w:t>
      </w:r>
      <w:bookmarkStart w:id="20734" w:name="_ETM_Q31_296490"/>
      <w:bookmarkEnd w:id="20734"/>
      <w:r>
        <w:rPr>
          <w:rFonts w:hint="cs"/>
          <w:rtl/>
        </w:rPr>
        <w:t xml:space="preserve">ראשי </w:t>
      </w:r>
      <w:bookmarkStart w:id="20735" w:name="_ETM_Q31_296939"/>
      <w:bookmarkEnd w:id="20735"/>
      <w:r>
        <w:rPr>
          <w:rFonts w:hint="cs"/>
          <w:rtl/>
        </w:rPr>
        <w:t>המשק, ראשי הכלכלה, כולם</w:t>
      </w:r>
      <w:bookmarkStart w:id="20736" w:name="_ETM_Q31_298099"/>
      <w:bookmarkStart w:id="20737" w:name="_ETM_Q31_298309"/>
      <w:bookmarkStart w:id="20738" w:name="_ETM_Q31_298579"/>
      <w:bookmarkStart w:id="20739" w:name="_ETM_Q31_300760"/>
      <w:bookmarkEnd w:id="20736"/>
      <w:bookmarkEnd w:id="20737"/>
      <w:bookmarkEnd w:id="20738"/>
      <w:bookmarkEnd w:id="20739"/>
      <w:r>
        <w:rPr>
          <w:rFonts w:hint="cs"/>
          <w:rtl/>
        </w:rPr>
        <w:t xml:space="preserve"> </w:t>
      </w:r>
      <w:bookmarkStart w:id="20740" w:name="_ETM_Q31_303660"/>
      <w:bookmarkEnd w:id="20740"/>
      <w:r>
        <w:rPr>
          <w:rFonts w:hint="cs"/>
          <w:rtl/>
        </w:rPr>
        <w:t xml:space="preserve">אומרים: </w:t>
      </w:r>
      <w:bookmarkStart w:id="20741" w:name="_ETM_Q31_304050"/>
      <w:bookmarkEnd w:id="20741"/>
      <w:r>
        <w:rPr>
          <w:rFonts w:hint="cs"/>
          <w:rtl/>
        </w:rPr>
        <w:t xml:space="preserve">תפסיקו. </w:t>
      </w:r>
      <w:bookmarkStart w:id="20742" w:name="_ETM_Q31_305749"/>
      <w:bookmarkEnd w:id="20742"/>
      <w:r>
        <w:rPr>
          <w:rFonts w:hint="cs"/>
          <w:rtl/>
        </w:rPr>
        <w:t xml:space="preserve">ואתם </w:t>
      </w:r>
      <w:r>
        <w:t>–</w:t>
      </w:r>
      <w:r>
        <w:rPr>
          <w:rFonts w:hint="cs"/>
          <w:rtl/>
        </w:rPr>
        <w:t xml:space="preserve"> </w:t>
      </w:r>
      <w:bookmarkStart w:id="20743" w:name="_ETM_Q31_307100"/>
      <w:bookmarkEnd w:id="20743"/>
      <w:r>
        <w:rPr>
          <w:rFonts w:hint="cs"/>
          <w:rtl/>
        </w:rPr>
        <w:t>כלום.</w:t>
      </w:r>
      <w:bookmarkStart w:id="20744" w:name="_ETM_Q31_308250"/>
      <w:bookmarkStart w:id="20745" w:name="_ETM_Q31_308915"/>
      <w:bookmarkStart w:id="20746" w:name="_ETM_Q31_309031"/>
      <w:bookmarkStart w:id="20747" w:name="_ETM_Q31_309065"/>
      <w:bookmarkStart w:id="20748" w:name="_ETM_Q31_309097"/>
      <w:bookmarkEnd w:id="20744"/>
      <w:bookmarkEnd w:id="20745"/>
      <w:bookmarkEnd w:id="20746"/>
      <w:bookmarkEnd w:id="20747"/>
      <w:bookmarkEnd w:id="20748"/>
      <w:r w:rsidR="001C760D">
        <w:rPr>
          <w:rFonts w:hint="cs"/>
          <w:rtl/>
        </w:rPr>
        <w:t xml:space="preserve"> </w:t>
      </w:r>
      <w:r>
        <w:rPr>
          <w:rFonts w:hint="cs"/>
          <w:rtl/>
        </w:rPr>
        <w:t xml:space="preserve">עיתונאים, </w:t>
      </w:r>
      <w:bookmarkStart w:id="20749" w:name="_ETM_Q31_309180"/>
      <w:bookmarkEnd w:id="20749"/>
      <w:r>
        <w:rPr>
          <w:rFonts w:hint="cs"/>
          <w:rtl/>
        </w:rPr>
        <w:t xml:space="preserve">פרשנים, </w:t>
      </w:r>
      <w:bookmarkStart w:id="20750" w:name="_ETM_Q31_310169"/>
      <w:bookmarkEnd w:id="20750"/>
      <w:r>
        <w:rPr>
          <w:rFonts w:hint="cs"/>
          <w:rtl/>
        </w:rPr>
        <w:t xml:space="preserve">נשיאי </w:t>
      </w:r>
      <w:bookmarkStart w:id="20751" w:name="_ETM_Q31_310620"/>
      <w:bookmarkEnd w:id="20751"/>
      <w:r>
        <w:rPr>
          <w:rFonts w:hint="cs"/>
          <w:rtl/>
        </w:rPr>
        <w:t xml:space="preserve">ארצות </w:t>
      </w:r>
      <w:bookmarkStart w:id="20752" w:name="_ETM_Q31_310980"/>
      <w:bookmarkEnd w:id="20752"/>
      <w:r>
        <w:rPr>
          <w:rFonts w:hint="cs"/>
          <w:rtl/>
        </w:rPr>
        <w:t xml:space="preserve">הברית, </w:t>
      </w:r>
      <w:bookmarkStart w:id="20753" w:name="_ETM_Q31_311459"/>
      <w:bookmarkEnd w:id="20753"/>
      <w:r>
        <w:rPr>
          <w:rFonts w:hint="cs"/>
          <w:rtl/>
        </w:rPr>
        <w:t xml:space="preserve">הידידה </w:t>
      </w:r>
      <w:bookmarkStart w:id="20754" w:name="_ETM_Q31_311879"/>
      <w:bookmarkEnd w:id="20754"/>
      <w:r>
        <w:rPr>
          <w:rFonts w:hint="cs"/>
          <w:rtl/>
        </w:rPr>
        <w:t xml:space="preserve">הגדולה </w:t>
      </w:r>
      <w:bookmarkStart w:id="20755" w:name="_ETM_Q31_312239"/>
      <w:bookmarkEnd w:id="20755"/>
      <w:r>
        <w:rPr>
          <w:rFonts w:hint="cs"/>
          <w:rtl/>
        </w:rPr>
        <w:t xml:space="preserve">שלנו, </w:t>
      </w:r>
      <w:bookmarkStart w:id="20756" w:name="_ETM_Q31_313779"/>
      <w:bookmarkEnd w:id="20756"/>
      <w:r>
        <w:rPr>
          <w:rFonts w:hint="cs"/>
          <w:rtl/>
        </w:rPr>
        <w:t xml:space="preserve">כולם </w:t>
      </w:r>
      <w:bookmarkStart w:id="20757" w:name="_ETM_Q31_314439"/>
      <w:bookmarkEnd w:id="20757"/>
      <w:r>
        <w:rPr>
          <w:rFonts w:hint="cs"/>
          <w:rtl/>
        </w:rPr>
        <w:t xml:space="preserve">אומרים: </w:t>
      </w:r>
      <w:bookmarkStart w:id="20758" w:name="_ETM_Q31_314919"/>
      <w:bookmarkEnd w:id="20758"/>
      <w:r>
        <w:rPr>
          <w:rFonts w:hint="cs"/>
          <w:rtl/>
        </w:rPr>
        <w:t xml:space="preserve">תפסיקו </w:t>
      </w:r>
      <w:bookmarkStart w:id="20759" w:name="_ETM_Q31_315730"/>
      <w:bookmarkEnd w:id="20759"/>
      <w:r>
        <w:rPr>
          <w:rFonts w:hint="cs"/>
          <w:rtl/>
        </w:rPr>
        <w:t xml:space="preserve">את </w:t>
      </w:r>
      <w:bookmarkStart w:id="20760" w:name="_ETM_Q31_315909"/>
      <w:bookmarkEnd w:id="20760"/>
      <w:r>
        <w:rPr>
          <w:rFonts w:hint="cs"/>
          <w:rtl/>
        </w:rPr>
        <w:t xml:space="preserve">החקיקה </w:t>
      </w:r>
      <w:bookmarkStart w:id="20761" w:name="_ETM_Q31_316840"/>
      <w:bookmarkEnd w:id="20761"/>
      <w:r>
        <w:rPr>
          <w:rFonts w:hint="cs"/>
          <w:rtl/>
        </w:rPr>
        <w:t>החד</w:t>
      </w:r>
      <w:bookmarkStart w:id="20762" w:name="_ETM_Q31_317109"/>
      <w:bookmarkEnd w:id="20762"/>
      <w:r>
        <w:rPr>
          <w:rFonts w:hint="cs"/>
          <w:rtl/>
        </w:rPr>
        <w:t xml:space="preserve">-צדדית. </w:t>
      </w:r>
      <w:bookmarkStart w:id="20763" w:name="_ETM_Q31_318209"/>
      <w:bookmarkEnd w:id="20763"/>
      <w:r>
        <w:rPr>
          <w:rFonts w:hint="cs"/>
          <w:rtl/>
        </w:rPr>
        <w:t xml:space="preserve">כולם. </w:t>
      </w:r>
      <w:bookmarkStart w:id="20764" w:name="_ETM_Q31_320500"/>
      <w:bookmarkEnd w:id="20764"/>
      <w:r>
        <w:rPr>
          <w:rFonts w:hint="cs"/>
          <w:rtl/>
        </w:rPr>
        <w:t xml:space="preserve">כולם </w:t>
      </w:r>
      <w:bookmarkStart w:id="20765" w:name="_ETM_Q31_320889"/>
      <w:bookmarkEnd w:id="20765"/>
      <w:r>
        <w:rPr>
          <w:rFonts w:hint="cs"/>
          <w:rtl/>
        </w:rPr>
        <w:t xml:space="preserve">באים </w:t>
      </w:r>
      <w:bookmarkStart w:id="20766" w:name="_ETM_Q31_321160"/>
      <w:bookmarkEnd w:id="20766"/>
      <w:r>
        <w:rPr>
          <w:rFonts w:hint="cs"/>
          <w:rtl/>
        </w:rPr>
        <w:t xml:space="preserve">ואומרים: </w:t>
      </w:r>
      <w:bookmarkStart w:id="20767" w:name="_ETM_Q31_322380"/>
      <w:bookmarkEnd w:id="20767"/>
      <w:r>
        <w:rPr>
          <w:rFonts w:hint="cs"/>
          <w:rtl/>
        </w:rPr>
        <w:t xml:space="preserve">ממשלת </w:t>
      </w:r>
      <w:bookmarkStart w:id="20768" w:name="_ETM_Q31_323250"/>
      <w:bookmarkEnd w:id="20768"/>
      <w:r>
        <w:rPr>
          <w:rFonts w:hint="cs"/>
          <w:rtl/>
        </w:rPr>
        <w:t xml:space="preserve">ישראל, </w:t>
      </w:r>
      <w:bookmarkStart w:id="20769" w:name="_ETM_Q31_323989"/>
      <w:bookmarkStart w:id="20770" w:name="_ETM_Q31_324290"/>
      <w:bookmarkEnd w:id="20769"/>
      <w:bookmarkEnd w:id="20770"/>
      <w:r>
        <w:rPr>
          <w:rFonts w:hint="cs"/>
          <w:rtl/>
        </w:rPr>
        <w:t xml:space="preserve">תעצרי, </w:t>
      </w:r>
      <w:bookmarkStart w:id="20771" w:name="_ETM_Q31_326580"/>
      <w:bookmarkEnd w:id="20771"/>
      <w:r>
        <w:rPr>
          <w:rFonts w:hint="cs"/>
          <w:rtl/>
        </w:rPr>
        <w:t xml:space="preserve">אתם </w:t>
      </w:r>
      <w:bookmarkStart w:id="20772" w:name="_ETM_Q31_326940"/>
      <w:bookmarkEnd w:id="20772"/>
      <w:r>
        <w:rPr>
          <w:rFonts w:hint="cs"/>
          <w:rtl/>
        </w:rPr>
        <w:t xml:space="preserve">דמוקרטיה </w:t>
      </w:r>
      <w:bookmarkStart w:id="20773" w:name="_ETM_Q31_327720"/>
      <w:bookmarkEnd w:id="20773"/>
      <w:r>
        <w:rPr>
          <w:rFonts w:hint="cs"/>
          <w:rtl/>
        </w:rPr>
        <w:t xml:space="preserve">חזקה, </w:t>
      </w:r>
      <w:bookmarkStart w:id="20774" w:name="_ETM_Q31_328919"/>
      <w:bookmarkEnd w:id="20774"/>
      <w:r>
        <w:rPr>
          <w:rFonts w:hint="cs"/>
          <w:rtl/>
        </w:rPr>
        <w:t xml:space="preserve">טובה, </w:t>
      </w:r>
      <w:bookmarkStart w:id="20775" w:name="_ETM_Q31_331180"/>
      <w:bookmarkEnd w:id="20775"/>
      <w:r>
        <w:rPr>
          <w:rFonts w:hint="cs"/>
          <w:rtl/>
        </w:rPr>
        <w:t xml:space="preserve">זה </w:t>
      </w:r>
      <w:bookmarkStart w:id="20776" w:name="_ETM_Q31_331419"/>
      <w:bookmarkEnd w:id="20776"/>
      <w:r>
        <w:rPr>
          <w:rFonts w:hint="cs"/>
          <w:rtl/>
        </w:rPr>
        <w:t xml:space="preserve">הייחוד </w:t>
      </w:r>
      <w:bookmarkStart w:id="20777" w:name="_ETM_Q31_332109"/>
      <w:bookmarkEnd w:id="20777"/>
      <w:r>
        <w:rPr>
          <w:rFonts w:hint="cs"/>
          <w:rtl/>
        </w:rPr>
        <w:t xml:space="preserve">שלכם </w:t>
      </w:r>
      <w:bookmarkStart w:id="20778" w:name="_ETM_Q31_332829"/>
      <w:bookmarkEnd w:id="20778"/>
      <w:r>
        <w:rPr>
          <w:rFonts w:hint="cs"/>
          <w:rtl/>
        </w:rPr>
        <w:t xml:space="preserve">במזרח </w:t>
      </w:r>
      <w:bookmarkStart w:id="20779" w:name="_ETM_Q31_333549"/>
      <w:bookmarkEnd w:id="20779"/>
      <w:r>
        <w:rPr>
          <w:rFonts w:hint="cs"/>
          <w:rtl/>
        </w:rPr>
        <w:t xml:space="preserve">התיכון </w:t>
      </w:r>
      <w:bookmarkStart w:id="20780" w:name="_ETM_Q31_334989"/>
      <w:bookmarkEnd w:id="20780"/>
      <w:r>
        <w:rPr>
          <w:rFonts w:hint="cs"/>
          <w:rtl/>
        </w:rPr>
        <w:t xml:space="preserve">רוחש </w:t>
      </w:r>
      <w:bookmarkStart w:id="20781" w:name="_ETM_Q31_335529"/>
      <w:bookmarkStart w:id="20782" w:name="_ETM_Q31_335709"/>
      <w:bookmarkEnd w:id="20781"/>
      <w:bookmarkEnd w:id="20782"/>
      <w:r>
        <w:rPr>
          <w:rFonts w:hint="cs"/>
          <w:rtl/>
        </w:rPr>
        <w:t xml:space="preserve">המדון </w:t>
      </w:r>
      <w:bookmarkStart w:id="20783" w:name="_ETM_Q31_336099"/>
      <w:bookmarkEnd w:id="20783"/>
      <w:r>
        <w:rPr>
          <w:rFonts w:hint="cs"/>
          <w:rtl/>
        </w:rPr>
        <w:t xml:space="preserve">והריב, </w:t>
      </w:r>
      <w:bookmarkStart w:id="20784" w:name="_ETM_Q31_339489"/>
      <w:bookmarkStart w:id="20785" w:name="_ETM_Q31_339969"/>
      <w:bookmarkStart w:id="20786" w:name="_ETM_Q31_340209"/>
      <w:bookmarkEnd w:id="20784"/>
      <w:bookmarkEnd w:id="20785"/>
      <w:bookmarkEnd w:id="20786"/>
      <w:r>
        <w:rPr>
          <w:rFonts w:hint="cs"/>
          <w:rtl/>
        </w:rPr>
        <w:t xml:space="preserve">תמנעי את </w:t>
      </w:r>
      <w:bookmarkStart w:id="20787" w:name="_ETM_Q31_340389"/>
      <w:bookmarkEnd w:id="20787"/>
      <w:r>
        <w:rPr>
          <w:rFonts w:hint="cs"/>
          <w:rtl/>
        </w:rPr>
        <w:t xml:space="preserve">התנגשות </w:t>
      </w:r>
      <w:bookmarkStart w:id="20788" w:name="_ETM_Q31_340989"/>
      <w:bookmarkEnd w:id="20788"/>
      <w:r>
        <w:rPr>
          <w:rFonts w:hint="cs"/>
          <w:rtl/>
        </w:rPr>
        <w:t xml:space="preserve">בתוך העם </w:t>
      </w:r>
      <w:r>
        <w:t>–</w:t>
      </w:r>
      <w:r>
        <w:rPr>
          <w:rFonts w:hint="cs"/>
          <w:rtl/>
        </w:rPr>
        <w:t xml:space="preserve"> </w:t>
      </w:r>
      <w:bookmarkStart w:id="20789" w:name="_ETM_Q31_342860"/>
      <w:bookmarkEnd w:id="20789"/>
      <w:r>
        <w:rPr>
          <w:rFonts w:hint="cs"/>
          <w:rtl/>
        </w:rPr>
        <w:t xml:space="preserve">וכלום. </w:t>
      </w:r>
      <w:bookmarkStart w:id="20790" w:name="_ETM_Q31_344450"/>
      <w:bookmarkEnd w:id="20790"/>
      <w:r>
        <w:rPr>
          <w:rFonts w:hint="cs"/>
          <w:rtl/>
        </w:rPr>
        <w:t>ברית ה</w:t>
      </w:r>
      <w:bookmarkStart w:id="20791" w:name="_ETM_Q31_345080"/>
      <w:bookmarkEnd w:id="20791"/>
      <w:r>
        <w:rPr>
          <w:rFonts w:hint="cs"/>
          <w:rtl/>
        </w:rPr>
        <w:t xml:space="preserve">קיצוניים </w:t>
      </w:r>
      <w:bookmarkStart w:id="20792" w:name="_ETM_Q31_346569"/>
      <w:bookmarkEnd w:id="20792"/>
      <w:r>
        <w:rPr>
          <w:rFonts w:hint="cs"/>
          <w:rtl/>
        </w:rPr>
        <w:t xml:space="preserve">בשלה: </w:t>
      </w:r>
      <w:bookmarkStart w:id="20793" w:name="_ETM_Q31_348690"/>
      <w:bookmarkEnd w:id="20793"/>
      <w:r>
        <w:rPr>
          <w:rFonts w:hint="cs"/>
          <w:rtl/>
        </w:rPr>
        <w:t xml:space="preserve">אנחנו </w:t>
      </w:r>
      <w:bookmarkStart w:id="20794" w:name="_ETM_Q31_349320"/>
      <w:bookmarkEnd w:id="20794"/>
      <w:r>
        <w:rPr>
          <w:rFonts w:hint="cs"/>
          <w:rtl/>
        </w:rPr>
        <w:t xml:space="preserve">ננצח </w:t>
      </w:r>
      <w:bookmarkStart w:id="20795" w:name="_ETM_Q31_350010"/>
      <w:bookmarkEnd w:id="20795"/>
      <w:r>
        <w:rPr>
          <w:rFonts w:hint="cs"/>
          <w:rtl/>
        </w:rPr>
        <w:t>אתכם.</w:t>
      </w:r>
      <w:bookmarkStart w:id="20796" w:name="_ETM_Q31_351760"/>
      <w:bookmarkEnd w:id="20796"/>
    </w:p>
    <w:p w:rsidR="00BB59CD" w:rsidRDefault="00BB59CD" w:rsidP="00BB59CD">
      <w:pPr>
        <w:rPr>
          <w:rtl/>
        </w:rPr>
      </w:pPr>
      <w:bookmarkStart w:id="20797" w:name="_ETM_Q31_352375"/>
      <w:bookmarkStart w:id="20798" w:name="_ETM_Q31_352475"/>
      <w:bookmarkEnd w:id="20797"/>
      <w:bookmarkEnd w:id="20798"/>
    </w:p>
    <w:p w:rsidR="00BB59CD" w:rsidRDefault="00BB59CD" w:rsidP="001C760D">
      <w:pPr>
        <w:rPr>
          <w:rtl/>
        </w:rPr>
      </w:pPr>
      <w:bookmarkStart w:id="20799" w:name="_ETM_Q31_352526"/>
      <w:bookmarkStart w:id="20800" w:name="_ETM_Q31_352557"/>
      <w:bookmarkEnd w:id="20799"/>
      <w:bookmarkEnd w:id="20800"/>
      <w:r>
        <w:rPr>
          <w:rFonts w:hint="cs"/>
          <w:rtl/>
        </w:rPr>
        <w:t xml:space="preserve">את </w:t>
      </w:r>
      <w:bookmarkStart w:id="20801" w:name="_ETM_Q31_351969"/>
      <w:bookmarkEnd w:id="20801"/>
      <w:r>
        <w:rPr>
          <w:rFonts w:hint="cs"/>
          <w:rtl/>
        </w:rPr>
        <w:t xml:space="preserve">מי </w:t>
      </w:r>
      <w:bookmarkStart w:id="20802" w:name="_ETM_Q31_352180"/>
      <w:bookmarkEnd w:id="20802"/>
      <w:r>
        <w:rPr>
          <w:rFonts w:hint="cs"/>
          <w:rtl/>
        </w:rPr>
        <w:t xml:space="preserve">אתם </w:t>
      </w:r>
      <w:bookmarkStart w:id="20803" w:name="_ETM_Q31_352389"/>
      <w:bookmarkEnd w:id="20803"/>
      <w:r>
        <w:rPr>
          <w:rFonts w:hint="cs"/>
          <w:rtl/>
        </w:rPr>
        <w:t xml:space="preserve">רוצים </w:t>
      </w:r>
      <w:bookmarkStart w:id="20804" w:name="_ETM_Q31_352719"/>
      <w:bookmarkEnd w:id="20804"/>
      <w:r>
        <w:rPr>
          <w:rFonts w:hint="cs"/>
          <w:rtl/>
        </w:rPr>
        <w:t xml:space="preserve">לנצח? </w:t>
      </w:r>
      <w:bookmarkStart w:id="20805" w:name="_ETM_Q31_354810"/>
      <w:bookmarkEnd w:id="20805"/>
      <w:r>
        <w:rPr>
          <w:rFonts w:hint="cs"/>
          <w:rtl/>
        </w:rPr>
        <w:t xml:space="preserve">75 </w:t>
      </w:r>
      <w:bookmarkStart w:id="20806" w:name="_ETM_Q31_355560"/>
      <w:bookmarkEnd w:id="20806"/>
      <w:r>
        <w:rPr>
          <w:rFonts w:hint="cs"/>
          <w:rtl/>
        </w:rPr>
        <w:t xml:space="preserve">שנה </w:t>
      </w:r>
      <w:bookmarkStart w:id="20807" w:name="_ETM_Q31_355830"/>
      <w:bookmarkEnd w:id="20807"/>
      <w:r>
        <w:rPr>
          <w:rFonts w:hint="cs"/>
          <w:rtl/>
        </w:rPr>
        <w:t xml:space="preserve">ידענו </w:t>
      </w:r>
      <w:bookmarkStart w:id="20808" w:name="_ETM_Q31_356850"/>
      <w:bookmarkEnd w:id="20808"/>
      <w:r>
        <w:rPr>
          <w:rFonts w:hint="cs"/>
          <w:rtl/>
        </w:rPr>
        <w:t xml:space="preserve">מחלוקות, </w:t>
      </w:r>
      <w:bookmarkStart w:id="20809" w:name="_ETM_Q31_358359"/>
      <w:bookmarkEnd w:id="20809"/>
      <w:r>
        <w:rPr>
          <w:rFonts w:hint="cs"/>
          <w:rtl/>
        </w:rPr>
        <w:t xml:space="preserve">רבנו, </w:t>
      </w:r>
      <w:bookmarkStart w:id="20810" w:name="_ETM_Q31_360630"/>
      <w:bookmarkEnd w:id="20810"/>
      <w:r>
        <w:rPr>
          <w:rFonts w:hint="cs"/>
          <w:rtl/>
        </w:rPr>
        <w:t>סכסוכים</w:t>
      </w:r>
      <w:r w:rsidR="001C760D">
        <w:rPr>
          <w:rFonts w:hint="cs"/>
          <w:rtl/>
        </w:rPr>
        <w:t>;</w:t>
      </w:r>
      <w:r>
        <w:rPr>
          <w:rFonts w:hint="cs"/>
          <w:rtl/>
        </w:rPr>
        <w:t xml:space="preserve"> </w:t>
      </w:r>
      <w:bookmarkStart w:id="20811" w:name="_ETM_Q31_363280"/>
      <w:bookmarkEnd w:id="20811"/>
      <w:r>
        <w:rPr>
          <w:rFonts w:hint="cs"/>
          <w:rtl/>
        </w:rPr>
        <w:t xml:space="preserve">מעולם </w:t>
      </w:r>
      <w:bookmarkStart w:id="20812" w:name="_ETM_Q31_364330"/>
      <w:bookmarkEnd w:id="20812"/>
      <w:r>
        <w:rPr>
          <w:rFonts w:hint="cs"/>
          <w:rtl/>
        </w:rPr>
        <w:t xml:space="preserve">לא </w:t>
      </w:r>
      <w:bookmarkStart w:id="20813" w:name="_ETM_Q31_364690"/>
      <w:bookmarkEnd w:id="20813"/>
      <w:r>
        <w:rPr>
          <w:rFonts w:hint="cs"/>
          <w:rtl/>
        </w:rPr>
        <w:t xml:space="preserve">פעלה </w:t>
      </w:r>
      <w:bookmarkStart w:id="20814" w:name="_ETM_Q31_365440"/>
      <w:bookmarkEnd w:id="20814"/>
      <w:r>
        <w:rPr>
          <w:rFonts w:hint="cs"/>
          <w:rtl/>
        </w:rPr>
        <w:t xml:space="preserve">הממשלה </w:t>
      </w:r>
      <w:bookmarkStart w:id="20815" w:name="_ETM_Q31_366639"/>
      <w:bookmarkEnd w:id="20815"/>
      <w:r>
        <w:rPr>
          <w:rFonts w:hint="cs"/>
          <w:rtl/>
        </w:rPr>
        <w:t xml:space="preserve">בצורה </w:t>
      </w:r>
      <w:bookmarkStart w:id="20816" w:name="_ETM_Q31_367300"/>
      <w:bookmarkEnd w:id="20816"/>
      <w:r>
        <w:rPr>
          <w:rFonts w:hint="cs"/>
          <w:rtl/>
        </w:rPr>
        <w:t xml:space="preserve">חד-צדדית, </w:t>
      </w:r>
      <w:bookmarkStart w:id="20817" w:name="_ETM_Q31_369109"/>
      <w:bookmarkEnd w:id="20817"/>
      <w:r>
        <w:rPr>
          <w:rFonts w:hint="cs"/>
          <w:rtl/>
        </w:rPr>
        <w:t xml:space="preserve">שמותירה </w:t>
      </w:r>
      <w:bookmarkStart w:id="20818" w:name="_ETM_Q31_370400"/>
      <w:bookmarkEnd w:id="20818"/>
      <w:r>
        <w:rPr>
          <w:rFonts w:hint="cs"/>
          <w:rtl/>
        </w:rPr>
        <w:t xml:space="preserve">חלק </w:t>
      </w:r>
      <w:bookmarkStart w:id="20819" w:name="_ETM_Q31_371209"/>
      <w:bookmarkEnd w:id="20819"/>
      <w:r>
        <w:rPr>
          <w:rFonts w:hint="cs"/>
          <w:rtl/>
        </w:rPr>
        <w:t xml:space="preserve">גדול, </w:t>
      </w:r>
      <w:bookmarkStart w:id="20820" w:name="_ETM_Q31_371900"/>
      <w:bookmarkEnd w:id="20820"/>
      <w:r>
        <w:rPr>
          <w:rFonts w:hint="cs"/>
          <w:rtl/>
        </w:rPr>
        <w:t xml:space="preserve">את </w:t>
      </w:r>
      <w:bookmarkStart w:id="20821" w:name="_ETM_Q31_372109"/>
      <w:bookmarkEnd w:id="20821"/>
      <w:r>
        <w:rPr>
          <w:rFonts w:hint="cs"/>
          <w:rtl/>
        </w:rPr>
        <w:t xml:space="preserve">רובו </w:t>
      </w:r>
      <w:bookmarkStart w:id="20822" w:name="_ETM_Q31_372530"/>
      <w:bookmarkEnd w:id="20822"/>
      <w:r>
        <w:rPr>
          <w:rFonts w:hint="cs"/>
          <w:rtl/>
        </w:rPr>
        <w:t xml:space="preserve">של העם, </w:t>
      </w:r>
      <w:bookmarkStart w:id="20823" w:name="_ETM_Q31_374330"/>
      <w:bookmarkEnd w:id="20823"/>
      <w:r>
        <w:rPr>
          <w:rFonts w:hint="cs"/>
          <w:rtl/>
        </w:rPr>
        <w:t xml:space="preserve">ללא </w:t>
      </w:r>
      <w:bookmarkStart w:id="20824" w:name="_ETM_Q31_375190"/>
      <w:bookmarkEnd w:id="20824"/>
      <w:r>
        <w:rPr>
          <w:rFonts w:hint="cs"/>
          <w:rtl/>
        </w:rPr>
        <w:t xml:space="preserve">תחושה </w:t>
      </w:r>
      <w:bookmarkStart w:id="20825" w:name="_ETM_Q31_376090"/>
      <w:bookmarkEnd w:id="20825"/>
      <w:r>
        <w:rPr>
          <w:rFonts w:hint="cs"/>
          <w:rtl/>
        </w:rPr>
        <w:t xml:space="preserve">של </w:t>
      </w:r>
      <w:bookmarkStart w:id="20826" w:name="_ETM_Q31_376330"/>
      <w:bookmarkEnd w:id="20826"/>
      <w:r>
        <w:rPr>
          <w:rFonts w:hint="cs"/>
          <w:rtl/>
        </w:rPr>
        <w:t xml:space="preserve">הזדהות </w:t>
      </w:r>
      <w:bookmarkStart w:id="20827" w:name="_ETM_Q31_377320"/>
      <w:bookmarkEnd w:id="20827"/>
      <w:r>
        <w:rPr>
          <w:rFonts w:hint="cs"/>
          <w:rtl/>
        </w:rPr>
        <w:t xml:space="preserve">ועם </w:t>
      </w:r>
      <w:bookmarkStart w:id="20828" w:name="_ETM_Q31_377560"/>
      <w:bookmarkEnd w:id="20828"/>
      <w:r>
        <w:rPr>
          <w:rFonts w:hint="cs"/>
          <w:rtl/>
        </w:rPr>
        <w:t xml:space="preserve">תחושת </w:t>
      </w:r>
      <w:bookmarkStart w:id="20829" w:name="_ETM_Q31_378269"/>
      <w:bookmarkEnd w:id="20829"/>
      <w:r>
        <w:rPr>
          <w:rFonts w:hint="cs"/>
          <w:rtl/>
        </w:rPr>
        <w:t>בלבול,</w:t>
      </w:r>
      <w:bookmarkStart w:id="20830" w:name="_ETM_Q31_379280"/>
      <w:bookmarkEnd w:id="20830"/>
      <w:r>
        <w:rPr>
          <w:rFonts w:hint="cs"/>
          <w:rtl/>
        </w:rPr>
        <w:t xml:space="preserve"> כולל</w:t>
      </w:r>
      <w:bookmarkStart w:id="20831" w:name="_ETM_Q31_379879"/>
      <w:bookmarkEnd w:id="20831"/>
      <w:r>
        <w:rPr>
          <w:rFonts w:hint="cs"/>
          <w:rtl/>
        </w:rPr>
        <w:t xml:space="preserve"> אנשים </w:t>
      </w:r>
      <w:bookmarkStart w:id="20832" w:name="_ETM_Q31_380360"/>
      <w:bookmarkEnd w:id="20832"/>
      <w:r>
        <w:rPr>
          <w:rFonts w:hint="cs"/>
          <w:rtl/>
        </w:rPr>
        <w:t xml:space="preserve">שהצביעו </w:t>
      </w:r>
      <w:bookmarkStart w:id="20833" w:name="_ETM_Q31_380989"/>
      <w:bookmarkEnd w:id="20833"/>
      <w:r>
        <w:rPr>
          <w:rFonts w:hint="cs"/>
          <w:rtl/>
        </w:rPr>
        <w:t xml:space="preserve">בשביל </w:t>
      </w:r>
      <w:bookmarkStart w:id="20834" w:name="_ETM_Q31_381379"/>
      <w:bookmarkEnd w:id="20834"/>
      <w:r>
        <w:rPr>
          <w:rFonts w:hint="cs"/>
          <w:rtl/>
        </w:rPr>
        <w:t>הקואליציה</w:t>
      </w:r>
      <w:r w:rsidR="001C760D">
        <w:rPr>
          <w:rFonts w:hint="cs"/>
          <w:rtl/>
        </w:rPr>
        <w:t>.</w:t>
      </w:r>
      <w:r>
        <w:rPr>
          <w:rFonts w:hint="cs"/>
          <w:rtl/>
        </w:rPr>
        <w:t xml:space="preserve"> </w:t>
      </w:r>
      <w:bookmarkStart w:id="20835" w:name="_ETM_Q31_382989"/>
      <w:bookmarkEnd w:id="20835"/>
      <w:r>
        <w:rPr>
          <w:rFonts w:hint="cs"/>
          <w:rtl/>
        </w:rPr>
        <w:t xml:space="preserve">אני </w:t>
      </w:r>
      <w:bookmarkStart w:id="20836" w:name="_ETM_Q31_383379"/>
      <w:bookmarkEnd w:id="20836"/>
      <w:r>
        <w:rPr>
          <w:rFonts w:hint="cs"/>
          <w:rtl/>
        </w:rPr>
        <w:t xml:space="preserve">פוגש </w:t>
      </w:r>
      <w:bookmarkStart w:id="20837" w:name="_ETM_Q31_383919"/>
      <w:bookmarkEnd w:id="20837"/>
      <w:r>
        <w:rPr>
          <w:rFonts w:hint="cs"/>
          <w:rtl/>
        </w:rPr>
        <w:t xml:space="preserve">אותם, </w:t>
      </w:r>
      <w:bookmarkStart w:id="20838" w:name="_ETM_Q31_385159"/>
      <w:bookmarkEnd w:id="20838"/>
      <w:r>
        <w:rPr>
          <w:rFonts w:hint="cs"/>
          <w:rtl/>
        </w:rPr>
        <w:t xml:space="preserve">והם אומרים </w:t>
      </w:r>
      <w:bookmarkStart w:id="20839" w:name="_ETM_Q31_385700"/>
      <w:bookmarkEnd w:id="20839"/>
      <w:r>
        <w:rPr>
          <w:rFonts w:hint="cs"/>
          <w:rtl/>
        </w:rPr>
        <w:t xml:space="preserve">לי: </w:t>
      </w:r>
      <w:bookmarkStart w:id="20840" w:name="_ETM_Q31_386120"/>
      <w:bookmarkEnd w:id="20840"/>
      <w:r>
        <w:rPr>
          <w:rFonts w:hint="cs"/>
          <w:rtl/>
        </w:rPr>
        <w:t xml:space="preserve">לא </w:t>
      </w:r>
      <w:bookmarkStart w:id="20841" w:name="_ETM_Q31_386629"/>
      <w:bookmarkEnd w:id="20841"/>
      <w:r>
        <w:rPr>
          <w:rFonts w:hint="cs"/>
          <w:rtl/>
        </w:rPr>
        <w:t xml:space="preserve">לילד </w:t>
      </w:r>
      <w:bookmarkStart w:id="20842" w:name="_ETM_Q31_387319"/>
      <w:bookmarkEnd w:id="20842"/>
      <w:r>
        <w:rPr>
          <w:rFonts w:hint="cs"/>
          <w:rtl/>
        </w:rPr>
        <w:t xml:space="preserve">הזה </w:t>
      </w:r>
      <w:bookmarkStart w:id="20843" w:name="_ETM_Q31_387930"/>
      <w:bookmarkEnd w:id="20843"/>
      <w:r>
        <w:rPr>
          <w:rFonts w:hint="cs"/>
          <w:rtl/>
        </w:rPr>
        <w:t xml:space="preserve">פיללנו. </w:t>
      </w:r>
      <w:bookmarkStart w:id="20844" w:name="_ETM_Q31_391160"/>
      <w:bookmarkEnd w:id="20844"/>
      <w:r>
        <w:rPr>
          <w:rFonts w:hint="cs"/>
          <w:rtl/>
        </w:rPr>
        <w:t xml:space="preserve">ואתם </w:t>
      </w:r>
      <w:bookmarkStart w:id="20845" w:name="_ETM_Q31_391610"/>
      <w:bookmarkEnd w:id="20845"/>
      <w:r>
        <w:rPr>
          <w:rFonts w:hint="cs"/>
          <w:rtl/>
        </w:rPr>
        <w:t xml:space="preserve">ממשיכים </w:t>
      </w:r>
      <w:bookmarkStart w:id="20846" w:name="_ETM_Q31_392060"/>
      <w:bookmarkEnd w:id="20846"/>
      <w:r>
        <w:rPr>
          <w:rFonts w:hint="cs"/>
          <w:rtl/>
        </w:rPr>
        <w:t>בש</w:t>
      </w:r>
      <w:bookmarkStart w:id="20847" w:name="_ETM_Q31_392360"/>
      <w:bookmarkEnd w:id="20847"/>
      <w:r>
        <w:rPr>
          <w:rFonts w:hint="cs"/>
          <w:rtl/>
        </w:rPr>
        <w:t xml:space="preserve">לכם </w:t>
      </w:r>
      <w:bookmarkStart w:id="20848" w:name="_ETM_Q31_392690"/>
      <w:bookmarkEnd w:id="20848"/>
      <w:r>
        <w:rPr>
          <w:rFonts w:hint="cs"/>
          <w:rtl/>
        </w:rPr>
        <w:t xml:space="preserve">כאילו </w:t>
      </w:r>
      <w:bookmarkStart w:id="20849" w:name="_ETM_Q31_393050"/>
      <w:bookmarkEnd w:id="20849"/>
      <w:r>
        <w:rPr>
          <w:rFonts w:hint="cs"/>
          <w:rtl/>
        </w:rPr>
        <w:t xml:space="preserve">שהמדינה </w:t>
      </w:r>
      <w:bookmarkStart w:id="20850" w:name="_ETM_Q31_395620"/>
      <w:bookmarkEnd w:id="20850"/>
      <w:r>
        <w:rPr>
          <w:rFonts w:hint="cs"/>
          <w:rtl/>
        </w:rPr>
        <w:t xml:space="preserve">הזאת היא </w:t>
      </w:r>
      <w:bookmarkStart w:id="20851" w:name="_ETM_Q31_396010"/>
      <w:bookmarkEnd w:id="20851"/>
      <w:r>
        <w:rPr>
          <w:rFonts w:hint="cs"/>
          <w:rtl/>
        </w:rPr>
        <w:t xml:space="preserve">איזה </w:t>
      </w:r>
      <w:bookmarkStart w:id="20852" w:name="_ETM_Q31_396340"/>
      <w:bookmarkEnd w:id="20852"/>
      <w:r>
        <w:rPr>
          <w:rFonts w:hint="cs"/>
          <w:rtl/>
        </w:rPr>
        <w:t xml:space="preserve">מטבע </w:t>
      </w:r>
      <w:bookmarkStart w:id="20853" w:name="_ETM_Q31_397150"/>
      <w:bookmarkEnd w:id="20853"/>
      <w:r>
        <w:rPr>
          <w:rFonts w:hint="cs"/>
          <w:rtl/>
        </w:rPr>
        <w:t xml:space="preserve">עובר </w:t>
      </w:r>
      <w:bookmarkStart w:id="20854" w:name="_ETM_Q31_397480"/>
      <w:bookmarkEnd w:id="20854"/>
      <w:r>
        <w:rPr>
          <w:rFonts w:hint="cs"/>
          <w:rtl/>
        </w:rPr>
        <w:t>לסוחר.</w:t>
      </w:r>
      <w:bookmarkStart w:id="20855" w:name="_ETM_Q31_399290"/>
      <w:bookmarkEnd w:id="20855"/>
    </w:p>
    <w:p w:rsidR="00BB59CD" w:rsidRDefault="00BB59CD" w:rsidP="00BB59CD">
      <w:pPr>
        <w:rPr>
          <w:rtl/>
        </w:rPr>
      </w:pPr>
      <w:bookmarkStart w:id="20856" w:name="_ETM_Q31_400069"/>
      <w:bookmarkStart w:id="20857" w:name="_ETM_Q31_400166"/>
      <w:bookmarkEnd w:id="20856"/>
      <w:bookmarkEnd w:id="20857"/>
    </w:p>
    <w:p w:rsidR="00BB59CD" w:rsidRDefault="00BB59CD" w:rsidP="001C760D">
      <w:pPr>
        <w:rPr>
          <w:rtl/>
        </w:rPr>
      </w:pPr>
      <w:bookmarkStart w:id="20858" w:name="_ETM_Q31_400216"/>
      <w:bookmarkStart w:id="20859" w:name="_ETM_Q31_400249"/>
      <w:bookmarkEnd w:id="20858"/>
      <w:bookmarkEnd w:id="20859"/>
      <w:r>
        <w:rPr>
          <w:rFonts w:hint="cs"/>
          <w:rtl/>
        </w:rPr>
        <w:t xml:space="preserve">מעולם </w:t>
      </w:r>
      <w:bookmarkStart w:id="20860" w:name="_ETM_Q31_399950"/>
      <w:bookmarkEnd w:id="20860"/>
      <w:r>
        <w:rPr>
          <w:rFonts w:hint="cs"/>
          <w:rtl/>
        </w:rPr>
        <w:t xml:space="preserve">הפגיעה </w:t>
      </w:r>
      <w:bookmarkStart w:id="20861" w:name="_ETM_Q31_400430"/>
      <w:bookmarkEnd w:id="20861"/>
      <w:r>
        <w:rPr>
          <w:rFonts w:hint="cs"/>
          <w:rtl/>
        </w:rPr>
        <w:t xml:space="preserve">בביטחון </w:t>
      </w:r>
      <w:bookmarkStart w:id="20862" w:name="_ETM_Q31_401030"/>
      <w:bookmarkEnd w:id="20862"/>
      <w:r>
        <w:rPr>
          <w:rFonts w:hint="cs"/>
          <w:rtl/>
        </w:rPr>
        <w:t xml:space="preserve">מדינת </w:t>
      </w:r>
      <w:bookmarkStart w:id="20863" w:name="_ETM_Q31_401510"/>
      <w:bookmarkEnd w:id="20863"/>
      <w:r>
        <w:rPr>
          <w:rFonts w:hint="cs"/>
          <w:rtl/>
        </w:rPr>
        <w:t xml:space="preserve">ישראל </w:t>
      </w:r>
      <w:bookmarkStart w:id="20864" w:name="_ETM_Q31_402139"/>
      <w:bookmarkEnd w:id="20864"/>
      <w:r>
        <w:rPr>
          <w:rFonts w:hint="cs"/>
          <w:rtl/>
        </w:rPr>
        <w:t xml:space="preserve">לא </w:t>
      </w:r>
      <w:bookmarkStart w:id="20865" w:name="_ETM_Q31_402409"/>
      <w:bookmarkEnd w:id="20865"/>
      <w:r>
        <w:rPr>
          <w:rFonts w:hint="cs"/>
          <w:rtl/>
        </w:rPr>
        <w:t xml:space="preserve">הייתה </w:t>
      </w:r>
      <w:bookmarkStart w:id="20866" w:name="_ETM_Q31_402950"/>
      <w:bookmarkEnd w:id="20866"/>
      <w:r>
        <w:rPr>
          <w:rFonts w:hint="cs"/>
          <w:rtl/>
        </w:rPr>
        <w:t xml:space="preserve">עצומה </w:t>
      </w:r>
      <w:bookmarkStart w:id="20867" w:name="_ETM_Q31_404330"/>
      <w:bookmarkEnd w:id="20867"/>
      <w:r>
        <w:rPr>
          <w:rFonts w:hint="cs"/>
          <w:rtl/>
        </w:rPr>
        <w:t xml:space="preserve">ומשמעותית </w:t>
      </w:r>
      <w:bookmarkStart w:id="20868" w:name="_ETM_Q31_405260"/>
      <w:bookmarkEnd w:id="20868"/>
      <w:r>
        <w:rPr>
          <w:rFonts w:hint="cs"/>
          <w:rtl/>
        </w:rPr>
        <w:t xml:space="preserve">כמו </w:t>
      </w:r>
      <w:bookmarkStart w:id="20869" w:name="_ETM_Q31_405470"/>
      <w:bookmarkEnd w:id="20869"/>
      <w:r>
        <w:rPr>
          <w:rFonts w:hint="cs"/>
          <w:rtl/>
        </w:rPr>
        <w:t>היום</w:t>
      </w:r>
      <w:bookmarkStart w:id="20870" w:name="_ETM_Q31_409689"/>
      <w:bookmarkEnd w:id="20870"/>
      <w:r>
        <w:rPr>
          <w:rFonts w:hint="cs"/>
          <w:rtl/>
        </w:rPr>
        <w:t xml:space="preserve">; ממשלה </w:t>
      </w:r>
      <w:bookmarkStart w:id="20871" w:name="_ETM_Q31_410620"/>
      <w:bookmarkEnd w:id="20871"/>
      <w:r>
        <w:rPr>
          <w:rFonts w:hint="cs"/>
          <w:rtl/>
        </w:rPr>
        <w:t xml:space="preserve">שיוצאת </w:t>
      </w:r>
      <w:bookmarkStart w:id="20872" w:name="_ETM_Q31_411250"/>
      <w:bookmarkEnd w:id="20872"/>
      <w:r>
        <w:rPr>
          <w:rFonts w:hint="cs"/>
          <w:rtl/>
        </w:rPr>
        <w:t xml:space="preserve">באופן </w:t>
      </w:r>
      <w:bookmarkStart w:id="20873" w:name="_ETM_Q31_411849"/>
      <w:bookmarkEnd w:id="20873"/>
      <w:r>
        <w:rPr>
          <w:rFonts w:hint="cs"/>
          <w:rtl/>
        </w:rPr>
        <w:t xml:space="preserve">גלוי </w:t>
      </w:r>
      <w:bookmarkStart w:id="20874" w:name="_ETM_Q31_412480"/>
      <w:bookmarkEnd w:id="20874"/>
      <w:r>
        <w:rPr>
          <w:rFonts w:hint="cs"/>
          <w:rtl/>
        </w:rPr>
        <w:t xml:space="preserve">נגד </w:t>
      </w:r>
      <w:bookmarkStart w:id="20875" w:name="_ETM_Q31_412900"/>
      <w:bookmarkEnd w:id="20875"/>
      <w:r>
        <w:rPr>
          <w:rFonts w:hint="cs"/>
          <w:rtl/>
        </w:rPr>
        <w:t xml:space="preserve">אזרחיה, </w:t>
      </w:r>
      <w:bookmarkStart w:id="20876" w:name="_ETM_Q31_413650"/>
      <w:bookmarkEnd w:id="20876"/>
      <w:r>
        <w:rPr>
          <w:rFonts w:hint="cs"/>
          <w:rtl/>
        </w:rPr>
        <w:t xml:space="preserve">נגד </w:t>
      </w:r>
      <w:bookmarkStart w:id="20877" w:name="_ETM_Q31_414010"/>
      <w:bookmarkEnd w:id="20877"/>
      <w:r>
        <w:rPr>
          <w:rFonts w:hint="cs"/>
          <w:rtl/>
        </w:rPr>
        <w:t xml:space="preserve">פקידיה, </w:t>
      </w:r>
      <w:bookmarkStart w:id="20878" w:name="_ETM_Q31_414519"/>
      <w:bookmarkEnd w:id="20878"/>
      <w:r>
        <w:rPr>
          <w:rFonts w:hint="cs"/>
          <w:rtl/>
        </w:rPr>
        <w:t xml:space="preserve">נגד </w:t>
      </w:r>
      <w:bookmarkStart w:id="20879" w:name="_ETM_Q31_414849"/>
      <w:bookmarkEnd w:id="20879"/>
      <w:r>
        <w:rPr>
          <w:rFonts w:hint="cs"/>
          <w:rtl/>
        </w:rPr>
        <w:t xml:space="preserve">חייליה, </w:t>
      </w:r>
      <w:bookmarkStart w:id="20880" w:name="_ETM_Q31_415540"/>
      <w:bookmarkEnd w:id="20880"/>
      <w:r>
        <w:rPr>
          <w:rFonts w:hint="cs"/>
          <w:rtl/>
        </w:rPr>
        <w:t xml:space="preserve">נגד </w:t>
      </w:r>
      <w:bookmarkStart w:id="20881" w:name="_ETM_Q31_416420"/>
      <w:bookmarkEnd w:id="20881"/>
      <w:r>
        <w:rPr>
          <w:rFonts w:hint="cs"/>
          <w:rtl/>
        </w:rPr>
        <w:t>ב</w:t>
      </w:r>
      <w:r w:rsidR="001C760D">
        <w:rPr>
          <w:rFonts w:hint="cs"/>
          <w:rtl/>
        </w:rPr>
        <w:t>עלו</w:t>
      </w:r>
      <w:r>
        <w:rPr>
          <w:rFonts w:hint="cs"/>
          <w:rtl/>
        </w:rPr>
        <w:t xml:space="preserve">ת </w:t>
      </w:r>
      <w:bookmarkStart w:id="20882" w:name="_ETM_Q31_416840"/>
      <w:bookmarkEnd w:id="20882"/>
      <w:r>
        <w:rPr>
          <w:rFonts w:hint="cs"/>
          <w:rtl/>
        </w:rPr>
        <w:t xml:space="preserve">בריתה </w:t>
      </w:r>
      <w:bookmarkStart w:id="20883" w:name="_ETM_Q31_417319"/>
      <w:bookmarkEnd w:id="20883"/>
      <w:r>
        <w:rPr>
          <w:rFonts w:hint="cs"/>
          <w:rtl/>
        </w:rPr>
        <w:t xml:space="preserve">בעולם, </w:t>
      </w:r>
      <w:bookmarkStart w:id="20884" w:name="_ETM_Q31_420030"/>
      <w:bookmarkEnd w:id="20884"/>
      <w:r>
        <w:rPr>
          <w:rFonts w:hint="cs"/>
          <w:rtl/>
        </w:rPr>
        <w:t xml:space="preserve">נגד </w:t>
      </w:r>
      <w:bookmarkStart w:id="20885" w:name="_ETM_Q31_420540"/>
      <w:bookmarkEnd w:id="20885"/>
      <w:r>
        <w:rPr>
          <w:rFonts w:hint="cs"/>
          <w:rtl/>
        </w:rPr>
        <w:t xml:space="preserve">ארצות </w:t>
      </w:r>
      <w:bookmarkStart w:id="20886" w:name="_ETM_Q31_420900"/>
      <w:bookmarkEnd w:id="20886"/>
      <w:r>
        <w:rPr>
          <w:rFonts w:hint="cs"/>
          <w:rtl/>
        </w:rPr>
        <w:t xml:space="preserve">הברית </w:t>
      </w:r>
      <w:bookmarkStart w:id="20887" w:name="_ETM_Q31_422474"/>
      <w:bookmarkEnd w:id="20887"/>
      <w:r>
        <w:rPr>
          <w:rFonts w:hint="cs"/>
          <w:rtl/>
        </w:rPr>
        <w:t xml:space="preserve">– </w:t>
      </w:r>
      <w:bookmarkStart w:id="20888" w:name="_ETM_Q31_423159"/>
      <w:bookmarkEnd w:id="20888"/>
      <w:r>
        <w:rPr>
          <w:rFonts w:hint="cs"/>
          <w:rtl/>
        </w:rPr>
        <w:t xml:space="preserve">המעצמה </w:t>
      </w:r>
      <w:bookmarkStart w:id="20889" w:name="_ETM_Q31_423939"/>
      <w:bookmarkEnd w:id="20889"/>
      <w:r>
        <w:rPr>
          <w:rFonts w:hint="cs"/>
          <w:rtl/>
        </w:rPr>
        <w:t xml:space="preserve">הגדולה, </w:t>
      </w:r>
      <w:bookmarkStart w:id="20890" w:name="_ETM_Q31_424359"/>
      <w:bookmarkStart w:id="20891" w:name="_ETM_Q31_424659"/>
      <w:bookmarkEnd w:id="20890"/>
      <w:bookmarkEnd w:id="20891"/>
      <w:r>
        <w:rPr>
          <w:rFonts w:hint="cs"/>
          <w:rtl/>
        </w:rPr>
        <w:t xml:space="preserve">שבכל </w:t>
      </w:r>
      <w:bookmarkStart w:id="20892" w:name="_ETM_Q31_425650"/>
      <w:bookmarkEnd w:id="20892"/>
      <w:r>
        <w:rPr>
          <w:rFonts w:hint="cs"/>
          <w:rtl/>
        </w:rPr>
        <w:t xml:space="preserve">פעם </w:t>
      </w:r>
      <w:bookmarkStart w:id="20893" w:name="_ETM_Q31_426249"/>
      <w:bookmarkEnd w:id="20893"/>
      <w:r>
        <w:rPr>
          <w:rFonts w:hint="cs"/>
          <w:rtl/>
        </w:rPr>
        <w:t xml:space="preserve">שהיא </w:t>
      </w:r>
      <w:bookmarkStart w:id="20894" w:name="_ETM_Q31_426519"/>
      <w:bookmarkEnd w:id="20894"/>
      <w:r>
        <w:rPr>
          <w:rFonts w:hint="cs"/>
          <w:rtl/>
        </w:rPr>
        <w:t xml:space="preserve">נדרשת לכך, </w:t>
      </w:r>
      <w:bookmarkStart w:id="20895" w:name="_ETM_Q31_429930"/>
      <w:bookmarkEnd w:id="20895"/>
      <w:r>
        <w:rPr>
          <w:rFonts w:hint="cs"/>
          <w:rtl/>
        </w:rPr>
        <w:t xml:space="preserve">היא </w:t>
      </w:r>
      <w:bookmarkStart w:id="20896" w:name="_ETM_Q31_430109"/>
      <w:bookmarkEnd w:id="20896"/>
      <w:r>
        <w:rPr>
          <w:rFonts w:hint="cs"/>
          <w:rtl/>
        </w:rPr>
        <w:t xml:space="preserve">נוסכת </w:t>
      </w:r>
      <w:bookmarkStart w:id="20897" w:name="_ETM_Q31_430680"/>
      <w:bookmarkEnd w:id="20897"/>
      <w:r>
        <w:rPr>
          <w:rFonts w:hint="cs"/>
          <w:rtl/>
        </w:rPr>
        <w:t xml:space="preserve">בנו </w:t>
      </w:r>
      <w:bookmarkStart w:id="20898" w:name="_ETM_Q31_430950"/>
      <w:bookmarkEnd w:id="20898"/>
      <w:r>
        <w:rPr>
          <w:rFonts w:hint="cs"/>
          <w:rtl/>
        </w:rPr>
        <w:t xml:space="preserve">ביטחון </w:t>
      </w:r>
      <w:bookmarkStart w:id="20899" w:name="_ETM_Q31_431549"/>
      <w:bookmarkEnd w:id="20899"/>
      <w:r>
        <w:rPr>
          <w:rFonts w:hint="cs"/>
          <w:rtl/>
        </w:rPr>
        <w:t xml:space="preserve">כי </w:t>
      </w:r>
      <w:bookmarkStart w:id="20900" w:name="_ETM_Q31_431760"/>
      <w:bookmarkEnd w:id="20900"/>
      <w:r>
        <w:rPr>
          <w:rFonts w:hint="cs"/>
          <w:rtl/>
        </w:rPr>
        <w:t xml:space="preserve">היא הידידה </w:t>
      </w:r>
      <w:bookmarkStart w:id="20901" w:name="_ETM_Q31_432450"/>
      <w:bookmarkEnd w:id="20901"/>
      <w:r>
        <w:rPr>
          <w:rFonts w:hint="cs"/>
          <w:rtl/>
        </w:rPr>
        <w:t xml:space="preserve">הגדולה </w:t>
      </w:r>
      <w:bookmarkStart w:id="20902" w:name="_ETM_Q31_432900"/>
      <w:bookmarkEnd w:id="20902"/>
      <w:r>
        <w:rPr>
          <w:rFonts w:hint="cs"/>
          <w:rtl/>
        </w:rPr>
        <w:t xml:space="preserve">ביותר </w:t>
      </w:r>
      <w:bookmarkStart w:id="20903" w:name="_ETM_Q31_433230"/>
      <w:bookmarkEnd w:id="20903"/>
      <w:r>
        <w:rPr>
          <w:rFonts w:hint="cs"/>
          <w:rtl/>
        </w:rPr>
        <w:t xml:space="preserve">שלנו. </w:t>
      </w:r>
      <w:bookmarkStart w:id="20904" w:name="_ETM_Q31_434900"/>
      <w:bookmarkEnd w:id="20904"/>
      <w:r>
        <w:rPr>
          <w:rFonts w:hint="cs"/>
          <w:rtl/>
        </w:rPr>
        <w:t xml:space="preserve">תגידו </w:t>
      </w:r>
      <w:bookmarkStart w:id="20905" w:name="_ETM_Q31_435260"/>
      <w:bookmarkEnd w:id="20905"/>
      <w:r>
        <w:rPr>
          <w:rFonts w:hint="cs"/>
          <w:rtl/>
        </w:rPr>
        <w:t xml:space="preserve">לי, </w:t>
      </w:r>
      <w:bookmarkStart w:id="20906" w:name="_ETM_Q31_435380"/>
      <w:bookmarkEnd w:id="20906"/>
      <w:r>
        <w:rPr>
          <w:rFonts w:hint="cs"/>
          <w:rtl/>
        </w:rPr>
        <w:t xml:space="preserve">השתגעתם? </w:t>
      </w:r>
      <w:bookmarkStart w:id="20907" w:name="_ETM_Q31_437240"/>
      <w:bookmarkEnd w:id="20907"/>
      <w:r>
        <w:rPr>
          <w:rFonts w:hint="cs"/>
          <w:rtl/>
        </w:rPr>
        <w:t xml:space="preserve">מה </w:t>
      </w:r>
      <w:bookmarkStart w:id="20908" w:name="_ETM_Q31_437450"/>
      <w:bookmarkEnd w:id="20908"/>
      <w:r>
        <w:rPr>
          <w:rFonts w:hint="cs"/>
          <w:rtl/>
        </w:rPr>
        <w:t xml:space="preserve">יש </w:t>
      </w:r>
      <w:bookmarkStart w:id="20909" w:name="_ETM_Q31_437630"/>
      <w:bookmarkEnd w:id="20909"/>
      <w:r>
        <w:rPr>
          <w:rFonts w:hint="cs"/>
          <w:rtl/>
        </w:rPr>
        <w:t>לכם</w:t>
      </w:r>
      <w:r w:rsidR="001C760D">
        <w:rPr>
          <w:rFonts w:hint="cs"/>
          <w:rtl/>
        </w:rPr>
        <w:t>,</w:t>
      </w:r>
      <w:r>
        <w:rPr>
          <w:rFonts w:hint="cs"/>
          <w:rtl/>
        </w:rPr>
        <w:t xml:space="preserve"> </w:t>
      </w:r>
      <w:bookmarkStart w:id="20910" w:name="_ETM_Q31_438930"/>
      <w:bookmarkEnd w:id="20910"/>
      <w:r>
        <w:rPr>
          <w:rFonts w:hint="cs"/>
          <w:rtl/>
        </w:rPr>
        <w:t xml:space="preserve">מי </w:t>
      </w:r>
      <w:bookmarkStart w:id="20911" w:name="_ETM_Q31_439139"/>
      <w:bookmarkEnd w:id="20911"/>
      <w:r>
        <w:rPr>
          <w:rFonts w:hint="cs"/>
          <w:rtl/>
        </w:rPr>
        <w:t xml:space="preserve">צריך </w:t>
      </w:r>
      <w:bookmarkStart w:id="20912" w:name="_ETM_Q31_439560"/>
      <w:bookmarkEnd w:id="20912"/>
      <w:r>
        <w:rPr>
          <w:rFonts w:hint="cs"/>
          <w:rtl/>
        </w:rPr>
        <w:t xml:space="preserve">את </w:t>
      </w:r>
      <w:bookmarkStart w:id="20913" w:name="_ETM_Q31_439650"/>
      <w:bookmarkEnd w:id="20913"/>
      <w:r>
        <w:rPr>
          <w:rFonts w:hint="cs"/>
          <w:rtl/>
        </w:rPr>
        <w:t xml:space="preserve">זה? </w:t>
      </w:r>
      <w:bookmarkStart w:id="20914" w:name="_ETM_Q31_440820"/>
      <w:bookmarkEnd w:id="20914"/>
      <w:r>
        <w:rPr>
          <w:rFonts w:hint="cs"/>
          <w:rtl/>
        </w:rPr>
        <w:t xml:space="preserve">מה </w:t>
      </w:r>
      <w:bookmarkStart w:id="20915" w:name="_ETM_Q31_441000"/>
      <w:bookmarkEnd w:id="20915"/>
      <w:r>
        <w:rPr>
          <w:rFonts w:hint="cs"/>
          <w:rtl/>
        </w:rPr>
        <w:t xml:space="preserve">אתם </w:t>
      </w:r>
      <w:bookmarkStart w:id="20916" w:name="_ETM_Q31_441240"/>
      <w:bookmarkEnd w:id="20916"/>
      <w:r>
        <w:rPr>
          <w:rFonts w:hint="cs"/>
          <w:rtl/>
        </w:rPr>
        <w:t>משמידים</w:t>
      </w:r>
      <w:r w:rsidR="00C02051">
        <w:rPr>
          <w:rFonts w:hint="cs"/>
          <w:rtl/>
        </w:rPr>
        <w:t>,</w:t>
      </w:r>
      <w:r>
        <w:rPr>
          <w:rFonts w:hint="cs"/>
          <w:rtl/>
        </w:rPr>
        <w:t xml:space="preserve"> </w:t>
      </w:r>
      <w:bookmarkStart w:id="20917" w:name="_ETM_Q31_441900"/>
      <w:bookmarkEnd w:id="20917"/>
      <w:r>
        <w:rPr>
          <w:rFonts w:hint="cs"/>
          <w:rtl/>
        </w:rPr>
        <w:t xml:space="preserve">אתם </w:t>
      </w:r>
      <w:bookmarkStart w:id="20918" w:name="_ETM_Q31_442139"/>
      <w:bookmarkEnd w:id="20918"/>
      <w:r>
        <w:rPr>
          <w:rFonts w:hint="cs"/>
          <w:rtl/>
        </w:rPr>
        <w:t xml:space="preserve">לא </w:t>
      </w:r>
      <w:bookmarkStart w:id="20919" w:name="_ETM_Q31_442260"/>
      <w:bookmarkEnd w:id="20919"/>
      <w:r>
        <w:rPr>
          <w:rFonts w:hint="cs"/>
          <w:rtl/>
        </w:rPr>
        <w:t xml:space="preserve">מבינים </w:t>
      </w:r>
      <w:bookmarkStart w:id="20920" w:name="_ETM_Q31_442620"/>
      <w:bookmarkEnd w:id="20920"/>
      <w:r>
        <w:rPr>
          <w:rFonts w:hint="cs"/>
          <w:rtl/>
        </w:rPr>
        <w:t xml:space="preserve">שאתם </w:t>
      </w:r>
      <w:bookmarkStart w:id="20921" w:name="_ETM_Q31_442950"/>
      <w:bookmarkEnd w:id="20921"/>
      <w:r>
        <w:rPr>
          <w:rFonts w:hint="cs"/>
          <w:rtl/>
        </w:rPr>
        <w:t xml:space="preserve">משמידים? </w:t>
      </w:r>
      <w:bookmarkStart w:id="20922" w:name="_ETM_Q31_444070"/>
      <w:bookmarkEnd w:id="20922"/>
      <w:r>
        <w:rPr>
          <w:rFonts w:hint="cs"/>
          <w:rtl/>
        </w:rPr>
        <w:t xml:space="preserve">מדינה </w:t>
      </w:r>
      <w:bookmarkStart w:id="20923" w:name="_ETM_Q31_444760"/>
      <w:bookmarkEnd w:id="20923"/>
      <w:r>
        <w:rPr>
          <w:rFonts w:hint="cs"/>
          <w:rtl/>
        </w:rPr>
        <w:t xml:space="preserve">שנבנתה, </w:t>
      </w:r>
      <w:bookmarkStart w:id="20924" w:name="_ETM_Q31_445589"/>
      <w:bookmarkEnd w:id="20924"/>
      <w:r>
        <w:rPr>
          <w:rFonts w:hint="cs"/>
          <w:rtl/>
        </w:rPr>
        <w:t xml:space="preserve">מרקם </w:t>
      </w:r>
      <w:bookmarkStart w:id="20925" w:name="_ETM_Q31_448010"/>
      <w:bookmarkEnd w:id="20925"/>
      <w:r>
        <w:rPr>
          <w:rFonts w:hint="cs"/>
          <w:rtl/>
        </w:rPr>
        <w:t xml:space="preserve">אזרחי, </w:t>
      </w:r>
      <w:bookmarkStart w:id="20926" w:name="_ETM_Q31_449089"/>
      <w:bookmarkEnd w:id="20926"/>
      <w:r>
        <w:rPr>
          <w:rFonts w:hint="cs"/>
          <w:rtl/>
        </w:rPr>
        <w:t xml:space="preserve">חברתי, </w:t>
      </w:r>
      <w:bookmarkStart w:id="20927" w:name="_ETM_Q31_450410"/>
      <w:bookmarkEnd w:id="20927"/>
      <w:r>
        <w:rPr>
          <w:rFonts w:hint="cs"/>
          <w:rtl/>
        </w:rPr>
        <w:t xml:space="preserve">פוליטי, </w:t>
      </w:r>
      <w:bookmarkStart w:id="20928" w:name="_ETM_Q31_451710"/>
      <w:bookmarkEnd w:id="20928"/>
      <w:r>
        <w:rPr>
          <w:rFonts w:hint="cs"/>
          <w:rtl/>
        </w:rPr>
        <w:t xml:space="preserve">אידיאולוגי, </w:t>
      </w:r>
      <w:bookmarkStart w:id="20929" w:name="_ETM_Q31_452490"/>
      <w:bookmarkEnd w:id="20929"/>
      <w:r>
        <w:rPr>
          <w:rFonts w:hint="cs"/>
          <w:rtl/>
        </w:rPr>
        <w:t xml:space="preserve">שנרקם </w:t>
      </w:r>
      <w:bookmarkStart w:id="20930" w:name="_ETM_Q31_453779"/>
      <w:bookmarkEnd w:id="20930"/>
      <w:r>
        <w:rPr>
          <w:rFonts w:hint="cs"/>
          <w:rtl/>
        </w:rPr>
        <w:t xml:space="preserve">בעבודה </w:t>
      </w:r>
      <w:bookmarkStart w:id="20931" w:name="_ETM_Q31_454289"/>
      <w:bookmarkEnd w:id="20931"/>
      <w:r>
        <w:rPr>
          <w:rFonts w:hint="cs"/>
          <w:rtl/>
        </w:rPr>
        <w:t xml:space="preserve">קשה </w:t>
      </w:r>
      <w:bookmarkStart w:id="20932" w:name="_ETM_Q31_454740"/>
      <w:bookmarkEnd w:id="20932"/>
      <w:r>
        <w:rPr>
          <w:rFonts w:hint="cs"/>
          <w:rtl/>
        </w:rPr>
        <w:t xml:space="preserve">מאוד </w:t>
      </w:r>
      <w:bookmarkStart w:id="20933" w:name="_ETM_Q31_454979"/>
      <w:bookmarkEnd w:id="20933"/>
      <w:r>
        <w:rPr>
          <w:rFonts w:hint="cs"/>
          <w:rtl/>
        </w:rPr>
        <w:t xml:space="preserve">של </w:t>
      </w:r>
      <w:bookmarkStart w:id="20934" w:name="_ETM_Q31_455159"/>
      <w:bookmarkEnd w:id="20934"/>
      <w:r>
        <w:rPr>
          <w:rFonts w:hint="cs"/>
          <w:rtl/>
        </w:rPr>
        <w:t>כולנו</w:t>
      </w:r>
      <w:bookmarkStart w:id="20935" w:name="_ETM_Q31_456770"/>
      <w:bookmarkEnd w:id="20935"/>
      <w:r w:rsidR="001C760D">
        <w:rPr>
          <w:rFonts w:hint="cs"/>
          <w:rtl/>
        </w:rPr>
        <w:t>,</w:t>
      </w:r>
      <w:r>
        <w:rPr>
          <w:rFonts w:hint="cs"/>
          <w:rtl/>
        </w:rPr>
        <w:t xml:space="preserve"> של </w:t>
      </w:r>
      <w:bookmarkStart w:id="20936" w:name="_ETM_Q31_457040"/>
      <w:bookmarkEnd w:id="20936"/>
      <w:r>
        <w:rPr>
          <w:rFonts w:hint="cs"/>
          <w:rtl/>
        </w:rPr>
        <w:t xml:space="preserve">ימין </w:t>
      </w:r>
      <w:bookmarkStart w:id="20937" w:name="_ETM_Q31_457490"/>
      <w:bookmarkEnd w:id="20937"/>
      <w:r>
        <w:rPr>
          <w:rFonts w:hint="cs"/>
          <w:rtl/>
        </w:rPr>
        <w:t xml:space="preserve">ושמאל, </w:t>
      </w:r>
      <w:bookmarkStart w:id="20938" w:name="_ETM_Q31_458029"/>
      <w:bookmarkEnd w:id="20938"/>
      <w:r>
        <w:rPr>
          <w:rFonts w:hint="cs"/>
          <w:rtl/>
        </w:rPr>
        <w:t xml:space="preserve">של </w:t>
      </w:r>
      <w:bookmarkStart w:id="20939" w:name="_ETM_Q31_458210"/>
      <w:bookmarkEnd w:id="20939"/>
      <w:r>
        <w:rPr>
          <w:rFonts w:hint="cs"/>
          <w:rtl/>
        </w:rPr>
        <w:t xml:space="preserve">חילונים </w:t>
      </w:r>
      <w:bookmarkStart w:id="20940" w:name="_ETM_Q31_458750"/>
      <w:bookmarkEnd w:id="20940"/>
      <w:r>
        <w:rPr>
          <w:rFonts w:hint="cs"/>
          <w:rtl/>
        </w:rPr>
        <w:t xml:space="preserve">וחרדים, </w:t>
      </w:r>
      <w:bookmarkStart w:id="20941" w:name="_ETM_Q31_459410"/>
      <w:bookmarkEnd w:id="20941"/>
      <w:r>
        <w:rPr>
          <w:rFonts w:hint="cs"/>
          <w:rtl/>
        </w:rPr>
        <w:t xml:space="preserve">של </w:t>
      </w:r>
      <w:bookmarkStart w:id="20942" w:name="_ETM_Q31_459680"/>
      <w:bookmarkEnd w:id="20942"/>
      <w:r>
        <w:rPr>
          <w:rFonts w:hint="cs"/>
          <w:rtl/>
        </w:rPr>
        <w:t xml:space="preserve">עולים </w:t>
      </w:r>
      <w:bookmarkStart w:id="20943" w:name="_ETM_Q31_460310"/>
      <w:bookmarkEnd w:id="20943"/>
      <w:r>
        <w:rPr>
          <w:rFonts w:hint="cs"/>
          <w:rtl/>
        </w:rPr>
        <w:t xml:space="preserve">וותיקים, </w:t>
      </w:r>
      <w:bookmarkStart w:id="20944" w:name="_ETM_Q31_461300"/>
      <w:bookmarkEnd w:id="20944"/>
      <w:r>
        <w:rPr>
          <w:rFonts w:hint="cs"/>
          <w:rtl/>
        </w:rPr>
        <w:t xml:space="preserve">של </w:t>
      </w:r>
      <w:bookmarkStart w:id="20945" w:name="_ETM_Q31_461510"/>
      <w:bookmarkEnd w:id="20945"/>
      <w:r>
        <w:rPr>
          <w:rFonts w:hint="cs"/>
          <w:rtl/>
        </w:rPr>
        <w:t xml:space="preserve">מזרחים </w:t>
      </w:r>
      <w:bookmarkStart w:id="20946" w:name="_ETM_Q31_462080"/>
      <w:bookmarkEnd w:id="20946"/>
      <w:r>
        <w:rPr>
          <w:rFonts w:hint="cs"/>
          <w:rtl/>
        </w:rPr>
        <w:t>ואשכנזים</w:t>
      </w:r>
      <w:bookmarkStart w:id="20947" w:name="_ETM_Q31_466639"/>
      <w:bookmarkEnd w:id="20947"/>
      <w:r>
        <w:rPr>
          <w:rFonts w:hint="cs"/>
          <w:rtl/>
        </w:rPr>
        <w:t xml:space="preserve"> </w:t>
      </w:r>
      <w:r w:rsidR="00C02051">
        <w:rPr>
          <w:rFonts w:hint="eastAsia"/>
          <w:rtl/>
        </w:rPr>
        <w:t>–</w:t>
      </w:r>
      <w:r w:rsidR="00C02051">
        <w:rPr>
          <w:rFonts w:hint="cs"/>
          <w:rtl/>
        </w:rPr>
        <w:t xml:space="preserve"> </w:t>
      </w:r>
      <w:r>
        <w:rPr>
          <w:rFonts w:hint="cs"/>
          <w:rtl/>
        </w:rPr>
        <w:t xml:space="preserve">של </w:t>
      </w:r>
      <w:bookmarkStart w:id="20948" w:name="_ETM_Q31_466819"/>
      <w:bookmarkEnd w:id="20948"/>
      <w:r>
        <w:rPr>
          <w:rFonts w:hint="cs"/>
          <w:rtl/>
        </w:rPr>
        <w:t xml:space="preserve">מזרחים </w:t>
      </w:r>
      <w:bookmarkStart w:id="20949" w:name="_ETM_Q31_467360"/>
      <w:bookmarkEnd w:id="20949"/>
      <w:r>
        <w:rPr>
          <w:rFonts w:hint="cs"/>
          <w:rtl/>
        </w:rPr>
        <w:t>ואשכנזים</w:t>
      </w:r>
      <w:bookmarkStart w:id="20950" w:name="_ETM_Q31_468139"/>
      <w:bookmarkEnd w:id="20950"/>
      <w:r w:rsidR="00C02051">
        <w:rPr>
          <w:rFonts w:hint="cs"/>
          <w:rtl/>
        </w:rPr>
        <w:t>,</w:t>
      </w:r>
      <w:r>
        <w:rPr>
          <w:rFonts w:hint="cs"/>
          <w:rtl/>
        </w:rPr>
        <w:t xml:space="preserve"> לכל </w:t>
      </w:r>
      <w:bookmarkStart w:id="20951" w:name="_ETM_Q31_469099"/>
      <w:bookmarkEnd w:id="20951"/>
      <w:r>
        <w:rPr>
          <w:rFonts w:hint="cs"/>
          <w:rtl/>
        </w:rPr>
        <w:t xml:space="preserve">אותם </w:t>
      </w:r>
      <w:bookmarkStart w:id="20952" w:name="_ETM_Q31_469580"/>
      <w:bookmarkEnd w:id="20952"/>
      <w:r>
        <w:rPr>
          <w:rFonts w:hint="cs"/>
          <w:rtl/>
        </w:rPr>
        <w:t xml:space="preserve">מטפטפי </w:t>
      </w:r>
      <w:bookmarkStart w:id="20953" w:name="_ETM_Q31_470330"/>
      <w:bookmarkEnd w:id="20953"/>
      <w:r>
        <w:rPr>
          <w:rFonts w:hint="cs"/>
          <w:rtl/>
        </w:rPr>
        <w:t>רעל</w:t>
      </w:r>
      <w:r w:rsidR="001C760D">
        <w:rPr>
          <w:rFonts w:hint="cs"/>
          <w:rtl/>
        </w:rPr>
        <w:t>;</w:t>
      </w:r>
      <w:r>
        <w:rPr>
          <w:rFonts w:hint="cs"/>
          <w:rtl/>
        </w:rPr>
        <w:t xml:space="preserve"> </w:t>
      </w:r>
      <w:bookmarkStart w:id="20954" w:name="_ETM_Q31_473560"/>
      <w:bookmarkEnd w:id="20954"/>
      <w:r>
        <w:rPr>
          <w:rFonts w:hint="cs"/>
          <w:rtl/>
        </w:rPr>
        <w:t xml:space="preserve">מעולם </w:t>
      </w:r>
      <w:bookmarkStart w:id="20955" w:name="_ETM_Q31_474279"/>
      <w:bookmarkEnd w:id="20955"/>
      <w:r>
        <w:rPr>
          <w:rFonts w:hint="cs"/>
          <w:rtl/>
        </w:rPr>
        <w:t xml:space="preserve">לא </w:t>
      </w:r>
      <w:bookmarkStart w:id="20956" w:name="_ETM_Q31_474370"/>
      <w:bookmarkEnd w:id="20956"/>
      <w:r>
        <w:rPr>
          <w:rFonts w:hint="cs"/>
          <w:rtl/>
        </w:rPr>
        <w:t xml:space="preserve">חשבתי </w:t>
      </w:r>
      <w:bookmarkStart w:id="20957" w:name="_ETM_Q31_474910"/>
      <w:bookmarkEnd w:id="20957"/>
      <w:r>
        <w:rPr>
          <w:rFonts w:hint="cs"/>
          <w:rtl/>
        </w:rPr>
        <w:t xml:space="preserve">שיגידו </w:t>
      </w:r>
      <w:bookmarkStart w:id="20958" w:name="_ETM_Q31_475509"/>
      <w:bookmarkEnd w:id="20958"/>
      <w:r>
        <w:rPr>
          <w:rFonts w:hint="cs"/>
          <w:rtl/>
        </w:rPr>
        <w:t xml:space="preserve">עליי </w:t>
      </w:r>
      <w:bookmarkStart w:id="20959" w:name="_ETM_Q31_475930"/>
      <w:bookmarkEnd w:id="20959"/>
      <w:r>
        <w:rPr>
          <w:rFonts w:hint="cs"/>
          <w:rtl/>
        </w:rPr>
        <w:t xml:space="preserve">"משתכנז" </w:t>
      </w:r>
      <w:bookmarkStart w:id="20960" w:name="_ETM_Q31_477279"/>
      <w:bookmarkEnd w:id="20960"/>
      <w:r>
        <w:rPr>
          <w:rFonts w:hint="cs"/>
          <w:rtl/>
        </w:rPr>
        <w:t>ו"פריבילג"</w:t>
      </w:r>
      <w:r w:rsidR="001C760D">
        <w:rPr>
          <w:rFonts w:hint="cs"/>
          <w:rtl/>
        </w:rPr>
        <w:t>.</w:t>
      </w:r>
      <w:r>
        <w:rPr>
          <w:rFonts w:hint="cs"/>
          <w:rtl/>
        </w:rPr>
        <w:t xml:space="preserve"> </w:t>
      </w:r>
      <w:bookmarkStart w:id="20961" w:name="_ETM_Q31_479020"/>
      <w:bookmarkEnd w:id="20961"/>
      <w:r>
        <w:rPr>
          <w:rFonts w:hint="cs"/>
          <w:rtl/>
        </w:rPr>
        <w:t xml:space="preserve">אני, </w:t>
      </w:r>
      <w:bookmarkStart w:id="20962" w:name="_ETM_Q31_479440"/>
      <w:bookmarkEnd w:id="20962"/>
      <w:r>
        <w:rPr>
          <w:rFonts w:hint="cs"/>
          <w:rtl/>
        </w:rPr>
        <w:t xml:space="preserve">שעליתי </w:t>
      </w:r>
      <w:bookmarkStart w:id="20963" w:name="_ETM_Q31_479950"/>
      <w:bookmarkEnd w:id="20963"/>
      <w:r>
        <w:rPr>
          <w:rFonts w:hint="cs"/>
          <w:rtl/>
        </w:rPr>
        <w:t xml:space="preserve">ממרוקו </w:t>
      </w:r>
      <w:bookmarkStart w:id="20964" w:name="_ETM_Q31_480640"/>
      <w:bookmarkEnd w:id="20964"/>
      <w:r>
        <w:rPr>
          <w:rFonts w:hint="cs"/>
          <w:rtl/>
        </w:rPr>
        <w:t>למעברה</w:t>
      </w:r>
      <w:bookmarkStart w:id="20965" w:name="_ETM_Q31_480000"/>
      <w:bookmarkStart w:id="20966" w:name="_ETM_Q31_480120"/>
      <w:bookmarkStart w:id="20967" w:name="_ETM_Q31_480630"/>
      <w:bookmarkStart w:id="20968" w:name="_ETM_Q31_481319"/>
      <w:bookmarkEnd w:id="20965"/>
      <w:bookmarkEnd w:id="20966"/>
      <w:bookmarkEnd w:id="20967"/>
      <w:bookmarkEnd w:id="20968"/>
      <w:r>
        <w:rPr>
          <w:rFonts w:hint="cs"/>
          <w:rtl/>
        </w:rPr>
        <w:t xml:space="preserve"> </w:t>
      </w:r>
      <w:bookmarkStart w:id="20969" w:name="_ETM_Q31_482070"/>
      <w:bookmarkEnd w:id="20969"/>
      <w:r>
        <w:rPr>
          <w:rFonts w:hint="cs"/>
          <w:rtl/>
        </w:rPr>
        <w:t xml:space="preserve">עם </w:t>
      </w:r>
      <w:bookmarkStart w:id="20970" w:name="_ETM_Q31_482220"/>
      <w:bookmarkEnd w:id="20970"/>
      <w:r>
        <w:rPr>
          <w:rFonts w:hint="cs"/>
          <w:rtl/>
        </w:rPr>
        <w:t xml:space="preserve">משפחתי </w:t>
      </w:r>
      <w:bookmarkStart w:id="20971" w:name="_ETM_Q31_482879"/>
      <w:bookmarkEnd w:id="20971"/>
      <w:r>
        <w:rPr>
          <w:rFonts w:hint="cs"/>
          <w:rtl/>
        </w:rPr>
        <w:t xml:space="preserve">הגדולה, </w:t>
      </w:r>
      <w:bookmarkStart w:id="20972" w:name="_ETM_Q31_484279"/>
      <w:bookmarkEnd w:id="20972"/>
      <w:r>
        <w:rPr>
          <w:rFonts w:hint="cs"/>
          <w:rtl/>
        </w:rPr>
        <w:t xml:space="preserve">שיחיו, </w:t>
      </w:r>
      <w:bookmarkStart w:id="20973" w:name="_ETM_Q31_485420"/>
      <w:bookmarkEnd w:id="20973"/>
      <w:r>
        <w:rPr>
          <w:rFonts w:hint="cs"/>
          <w:rtl/>
        </w:rPr>
        <w:t xml:space="preserve">ועם </w:t>
      </w:r>
      <w:bookmarkStart w:id="20974" w:name="_ETM_Q31_485750"/>
      <w:bookmarkEnd w:id="20974"/>
      <w:r>
        <w:rPr>
          <w:rFonts w:hint="cs"/>
          <w:rtl/>
        </w:rPr>
        <w:t xml:space="preserve">הוריי, </w:t>
      </w:r>
      <w:bookmarkStart w:id="20975" w:name="_ETM_Q31_486319"/>
      <w:bookmarkEnd w:id="20975"/>
      <w:r>
        <w:rPr>
          <w:rFonts w:hint="cs"/>
          <w:rtl/>
        </w:rPr>
        <w:t xml:space="preserve">זיכרונם </w:t>
      </w:r>
      <w:bookmarkStart w:id="20976" w:name="_ETM_Q31_486980"/>
      <w:bookmarkEnd w:id="20976"/>
      <w:r>
        <w:rPr>
          <w:rFonts w:hint="cs"/>
          <w:rtl/>
        </w:rPr>
        <w:t xml:space="preserve">לברכה; </w:t>
      </w:r>
      <w:bookmarkStart w:id="20977" w:name="_ETM_Q31_489980"/>
      <w:bookmarkEnd w:id="20977"/>
      <w:r>
        <w:rPr>
          <w:rFonts w:hint="cs"/>
          <w:rtl/>
        </w:rPr>
        <w:t xml:space="preserve">אני, </w:t>
      </w:r>
      <w:bookmarkStart w:id="20978" w:name="_ETM_Q31_490429"/>
      <w:bookmarkEnd w:id="20978"/>
      <w:r>
        <w:rPr>
          <w:rFonts w:hint="cs"/>
          <w:rtl/>
        </w:rPr>
        <w:t xml:space="preserve">שכל </w:t>
      </w:r>
      <w:bookmarkStart w:id="20979" w:name="_ETM_Q31_491000"/>
      <w:bookmarkEnd w:id="20979"/>
      <w:r>
        <w:rPr>
          <w:rFonts w:hint="cs"/>
          <w:rtl/>
        </w:rPr>
        <w:t xml:space="preserve">השנים </w:t>
      </w:r>
      <w:bookmarkStart w:id="20980" w:name="_ETM_Q31_491480"/>
      <w:bookmarkEnd w:id="20980"/>
      <w:r>
        <w:rPr>
          <w:rFonts w:hint="cs"/>
          <w:rtl/>
        </w:rPr>
        <w:t xml:space="preserve">גדלתי </w:t>
      </w:r>
      <w:bookmarkStart w:id="20981" w:name="_ETM_Q31_492349"/>
      <w:bookmarkEnd w:id="20981"/>
      <w:r>
        <w:rPr>
          <w:rFonts w:hint="cs"/>
          <w:rtl/>
        </w:rPr>
        <w:t xml:space="preserve">בעיירות </w:t>
      </w:r>
      <w:bookmarkStart w:id="20982" w:name="_ETM_Q31_493099"/>
      <w:bookmarkEnd w:id="20982"/>
      <w:r>
        <w:rPr>
          <w:rFonts w:hint="cs"/>
          <w:rtl/>
        </w:rPr>
        <w:t xml:space="preserve">פיתוח, </w:t>
      </w:r>
      <w:bookmarkStart w:id="20983" w:name="_ETM_Q31_493789"/>
      <w:bookmarkEnd w:id="20983"/>
      <w:r>
        <w:rPr>
          <w:rFonts w:hint="cs"/>
          <w:rtl/>
        </w:rPr>
        <w:t xml:space="preserve">בירוחם </w:t>
      </w:r>
      <w:bookmarkStart w:id="20984" w:name="_ETM_Q31_494420"/>
      <w:bookmarkEnd w:id="20984"/>
      <w:r>
        <w:rPr>
          <w:rFonts w:hint="cs"/>
          <w:rtl/>
        </w:rPr>
        <w:t xml:space="preserve">ובדימונה, </w:t>
      </w:r>
      <w:bookmarkStart w:id="20985" w:name="_ETM_Q31_497539"/>
      <w:bookmarkEnd w:id="20985"/>
      <w:r>
        <w:rPr>
          <w:rFonts w:hint="cs"/>
          <w:rtl/>
        </w:rPr>
        <w:t xml:space="preserve">והעמדתי </w:t>
      </w:r>
      <w:bookmarkStart w:id="20986" w:name="_ETM_Q31_498199"/>
      <w:bookmarkEnd w:id="20986"/>
      <w:r>
        <w:rPr>
          <w:rFonts w:hint="cs"/>
          <w:rtl/>
        </w:rPr>
        <w:t xml:space="preserve">דורות </w:t>
      </w:r>
      <w:bookmarkStart w:id="20987" w:name="_ETM_Q31_498830"/>
      <w:bookmarkEnd w:id="20987"/>
      <w:r>
        <w:rPr>
          <w:rFonts w:hint="cs"/>
          <w:rtl/>
        </w:rPr>
        <w:t xml:space="preserve">של </w:t>
      </w:r>
      <w:bookmarkStart w:id="20988" w:name="_ETM_Q31_500599"/>
      <w:bookmarkEnd w:id="20988"/>
      <w:r>
        <w:rPr>
          <w:rFonts w:hint="cs"/>
          <w:rtl/>
        </w:rPr>
        <w:t xml:space="preserve">תלמידים </w:t>
      </w:r>
      <w:bookmarkStart w:id="20989" w:name="_ETM_Q31_501289"/>
      <w:bookmarkEnd w:id="20989"/>
      <w:r>
        <w:rPr>
          <w:rFonts w:hint="cs"/>
          <w:rtl/>
        </w:rPr>
        <w:t xml:space="preserve">ותלמידות </w:t>
      </w:r>
      <w:bookmarkStart w:id="20990" w:name="_ETM_Q31_501859"/>
      <w:bookmarkEnd w:id="20990"/>
      <w:r>
        <w:rPr>
          <w:rFonts w:hint="cs"/>
          <w:rtl/>
        </w:rPr>
        <w:t xml:space="preserve">מופלאים </w:t>
      </w:r>
      <w:bookmarkStart w:id="20991" w:name="_ETM_Q31_504240"/>
      <w:bookmarkEnd w:id="20991"/>
      <w:r>
        <w:rPr>
          <w:rFonts w:hint="cs"/>
          <w:rtl/>
        </w:rPr>
        <w:t xml:space="preserve">ונאחזתי </w:t>
      </w:r>
      <w:bookmarkStart w:id="20992" w:name="_ETM_Q31_505589"/>
      <w:bookmarkEnd w:id="20992"/>
      <w:r>
        <w:rPr>
          <w:rFonts w:hint="cs"/>
          <w:rtl/>
        </w:rPr>
        <w:t xml:space="preserve">במדבר </w:t>
      </w:r>
      <w:bookmarkStart w:id="20993" w:name="_ETM_Q31_507810"/>
      <w:bookmarkEnd w:id="20993"/>
      <w:r>
        <w:rPr>
          <w:rFonts w:hint="cs"/>
          <w:rtl/>
        </w:rPr>
        <w:t xml:space="preserve">עם </w:t>
      </w:r>
      <w:bookmarkStart w:id="20994" w:name="_ETM_Q31_508019"/>
      <w:bookmarkEnd w:id="20994"/>
      <w:r>
        <w:rPr>
          <w:rFonts w:hint="cs"/>
          <w:rtl/>
        </w:rPr>
        <w:t xml:space="preserve">האנשים </w:t>
      </w:r>
      <w:bookmarkStart w:id="20995" w:name="_ETM_Q31_508470"/>
      <w:bookmarkEnd w:id="20995"/>
      <w:r>
        <w:rPr>
          <w:rFonts w:hint="cs"/>
          <w:rtl/>
        </w:rPr>
        <w:t xml:space="preserve">הטובים </w:t>
      </w:r>
      <w:bookmarkStart w:id="20996" w:name="_ETM_Q31_508980"/>
      <w:bookmarkEnd w:id="20996"/>
      <w:r>
        <w:rPr>
          <w:rFonts w:hint="cs"/>
          <w:rtl/>
        </w:rPr>
        <w:t xml:space="preserve">ביותר </w:t>
      </w:r>
      <w:bookmarkStart w:id="20997" w:name="_ETM_Q31_509369"/>
      <w:bookmarkEnd w:id="20997"/>
      <w:r>
        <w:rPr>
          <w:rFonts w:hint="cs"/>
          <w:rtl/>
        </w:rPr>
        <w:t xml:space="preserve">בעולם, </w:t>
      </w:r>
      <w:bookmarkStart w:id="20998" w:name="_ETM_Q31_511499"/>
      <w:bookmarkEnd w:id="20998"/>
      <w:r>
        <w:rPr>
          <w:rFonts w:hint="cs"/>
          <w:rtl/>
        </w:rPr>
        <w:t xml:space="preserve">מוצא </w:t>
      </w:r>
      <w:bookmarkStart w:id="20999" w:name="_ETM_Q31_511919"/>
      <w:bookmarkEnd w:id="20999"/>
      <w:r>
        <w:rPr>
          <w:rFonts w:hint="cs"/>
          <w:rtl/>
        </w:rPr>
        <w:t xml:space="preserve">את </w:t>
      </w:r>
      <w:bookmarkStart w:id="21000" w:name="_ETM_Q31_512010"/>
      <w:bookmarkEnd w:id="21000"/>
      <w:r>
        <w:rPr>
          <w:rFonts w:hint="cs"/>
          <w:rtl/>
        </w:rPr>
        <w:t xml:space="preserve">עצמי </w:t>
      </w:r>
      <w:bookmarkStart w:id="21001" w:name="_ETM_Q31_512399"/>
      <w:bookmarkEnd w:id="21001"/>
      <w:r>
        <w:rPr>
          <w:rFonts w:hint="cs"/>
          <w:rtl/>
        </w:rPr>
        <w:t xml:space="preserve">כאן </w:t>
      </w:r>
      <w:bookmarkStart w:id="21002" w:name="_ETM_Q31_512670"/>
      <w:bookmarkEnd w:id="21002"/>
      <w:r>
        <w:rPr>
          <w:rFonts w:hint="cs"/>
          <w:rtl/>
        </w:rPr>
        <w:t xml:space="preserve">מקשיב </w:t>
      </w:r>
      <w:bookmarkStart w:id="21003" w:name="_ETM_Q31_513239"/>
      <w:bookmarkEnd w:id="21003"/>
      <w:r>
        <w:rPr>
          <w:rFonts w:hint="cs"/>
          <w:rtl/>
        </w:rPr>
        <w:t xml:space="preserve">ולא </w:t>
      </w:r>
      <w:bookmarkStart w:id="21004" w:name="_ETM_Q31_513510"/>
      <w:bookmarkEnd w:id="21004"/>
      <w:r>
        <w:rPr>
          <w:rFonts w:hint="cs"/>
          <w:rtl/>
        </w:rPr>
        <w:t>מאמין</w:t>
      </w:r>
      <w:r w:rsidR="001C760D">
        <w:rPr>
          <w:rFonts w:hint="cs"/>
          <w:rtl/>
        </w:rPr>
        <w:t>.</w:t>
      </w:r>
      <w:r>
        <w:rPr>
          <w:rFonts w:hint="cs"/>
          <w:rtl/>
        </w:rPr>
        <w:t xml:space="preserve"> </w:t>
      </w:r>
      <w:bookmarkStart w:id="21005" w:name="_ETM_Q31_515109"/>
      <w:bookmarkEnd w:id="21005"/>
      <w:r>
        <w:rPr>
          <w:rFonts w:hint="cs"/>
          <w:rtl/>
        </w:rPr>
        <w:t xml:space="preserve">יוצא </w:t>
      </w:r>
      <w:bookmarkStart w:id="21006" w:name="_ETM_Q31_515649"/>
      <w:bookmarkEnd w:id="21006"/>
      <w:r>
        <w:rPr>
          <w:rFonts w:hint="cs"/>
          <w:rtl/>
        </w:rPr>
        <w:t>החוצה</w:t>
      </w:r>
      <w:r w:rsidR="001C760D">
        <w:rPr>
          <w:rFonts w:hint="cs"/>
          <w:rtl/>
        </w:rPr>
        <w:t>,</w:t>
      </w:r>
      <w:r>
        <w:rPr>
          <w:rFonts w:hint="cs"/>
          <w:rtl/>
        </w:rPr>
        <w:t xml:space="preserve"> </w:t>
      </w:r>
      <w:bookmarkStart w:id="21007" w:name="_ETM_Q31_516159"/>
      <w:bookmarkEnd w:id="21007"/>
      <w:r>
        <w:rPr>
          <w:rFonts w:hint="cs"/>
          <w:rtl/>
        </w:rPr>
        <w:t xml:space="preserve">ואומרים </w:t>
      </w:r>
      <w:bookmarkStart w:id="21008" w:name="_ETM_Q31_516579"/>
      <w:bookmarkEnd w:id="21008"/>
      <w:r>
        <w:rPr>
          <w:rFonts w:hint="cs"/>
          <w:rtl/>
        </w:rPr>
        <w:t xml:space="preserve">לי: </w:t>
      </w:r>
      <w:bookmarkStart w:id="21009" w:name="_ETM_Q31_516729"/>
      <w:bookmarkEnd w:id="21009"/>
      <w:r>
        <w:rPr>
          <w:rFonts w:hint="cs"/>
          <w:rtl/>
        </w:rPr>
        <w:t xml:space="preserve">אתה </w:t>
      </w:r>
      <w:bookmarkStart w:id="21010" w:name="_ETM_Q31_516909"/>
      <w:bookmarkStart w:id="21011" w:name="_ETM_Q31_517059"/>
      <w:bookmarkStart w:id="21012" w:name="_ETM_Q31_517120"/>
      <w:bookmarkStart w:id="21013" w:name="_ETM_Q31_517600"/>
      <w:bookmarkEnd w:id="21010"/>
      <w:bookmarkEnd w:id="21011"/>
      <w:bookmarkEnd w:id="21012"/>
      <w:bookmarkEnd w:id="21013"/>
      <w:r>
        <w:rPr>
          <w:rFonts w:hint="cs"/>
          <w:rtl/>
        </w:rPr>
        <w:t>השתכנזת</w:t>
      </w:r>
      <w:r w:rsidR="00C02051">
        <w:rPr>
          <w:rFonts w:hint="cs"/>
          <w:rtl/>
        </w:rPr>
        <w:t>,</w:t>
      </w:r>
      <w:r>
        <w:rPr>
          <w:rFonts w:hint="cs"/>
          <w:rtl/>
        </w:rPr>
        <w:t xml:space="preserve"> </w:t>
      </w:r>
      <w:bookmarkStart w:id="21014" w:name="_ETM_Q31_518390"/>
      <w:bookmarkEnd w:id="21014"/>
      <w:r>
        <w:rPr>
          <w:rFonts w:hint="cs"/>
          <w:rtl/>
        </w:rPr>
        <w:t xml:space="preserve">כי </w:t>
      </w:r>
      <w:bookmarkStart w:id="21015" w:name="_ETM_Q31_518600"/>
      <w:bookmarkEnd w:id="21015"/>
      <w:r>
        <w:rPr>
          <w:rFonts w:hint="cs"/>
          <w:rtl/>
        </w:rPr>
        <w:t xml:space="preserve">אתה </w:t>
      </w:r>
      <w:bookmarkStart w:id="21016" w:name="_ETM_Q31_518810"/>
      <w:bookmarkEnd w:id="21016"/>
      <w:r>
        <w:rPr>
          <w:rFonts w:hint="cs"/>
          <w:rtl/>
        </w:rPr>
        <w:t xml:space="preserve">לא </w:t>
      </w:r>
      <w:bookmarkStart w:id="21017" w:name="_ETM_Q31_518960"/>
      <w:bookmarkEnd w:id="21017"/>
      <w:r>
        <w:rPr>
          <w:rFonts w:hint="cs"/>
          <w:rtl/>
        </w:rPr>
        <w:t xml:space="preserve">תומך </w:t>
      </w:r>
      <w:bookmarkStart w:id="21018" w:name="_ETM_Q31_521010"/>
      <w:bookmarkEnd w:id="21018"/>
      <w:r>
        <w:rPr>
          <w:rFonts w:hint="cs"/>
          <w:rtl/>
        </w:rPr>
        <w:t xml:space="preserve">בליכוד. </w:t>
      </w:r>
      <w:bookmarkStart w:id="21019" w:name="_ETM_Q31_522010"/>
      <w:bookmarkEnd w:id="21019"/>
      <w:r>
        <w:rPr>
          <w:rFonts w:hint="cs"/>
          <w:rtl/>
        </w:rPr>
        <w:t xml:space="preserve">נפלתם </w:t>
      </w:r>
      <w:bookmarkStart w:id="21020" w:name="_ETM_Q31_522609"/>
      <w:bookmarkEnd w:id="21020"/>
      <w:r>
        <w:rPr>
          <w:rFonts w:hint="cs"/>
          <w:rtl/>
        </w:rPr>
        <w:t xml:space="preserve">על </w:t>
      </w:r>
      <w:bookmarkStart w:id="21021" w:name="_ETM_Q31_522730"/>
      <w:bookmarkEnd w:id="21021"/>
      <w:r>
        <w:rPr>
          <w:rFonts w:hint="cs"/>
          <w:rtl/>
        </w:rPr>
        <w:t xml:space="preserve">הראש. </w:t>
      </w:r>
      <w:bookmarkStart w:id="21022" w:name="_ETM_Q31_525000"/>
      <w:bookmarkEnd w:id="21022"/>
      <w:r>
        <w:rPr>
          <w:rFonts w:hint="cs"/>
          <w:rtl/>
        </w:rPr>
        <w:t xml:space="preserve">נפלתם </w:t>
      </w:r>
      <w:bookmarkStart w:id="21023" w:name="_ETM_Q31_525600"/>
      <w:bookmarkEnd w:id="21023"/>
      <w:r>
        <w:rPr>
          <w:rFonts w:hint="cs"/>
          <w:rtl/>
        </w:rPr>
        <w:t xml:space="preserve">על </w:t>
      </w:r>
      <w:bookmarkStart w:id="21024" w:name="_ETM_Q31_525750"/>
      <w:bookmarkEnd w:id="21024"/>
      <w:r>
        <w:rPr>
          <w:rFonts w:hint="cs"/>
          <w:rtl/>
        </w:rPr>
        <w:t xml:space="preserve">הראש. </w:t>
      </w:r>
      <w:bookmarkStart w:id="21025" w:name="_ETM_Q31_528370"/>
      <w:bookmarkEnd w:id="21025"/>
      <w:r>
        <w:rPr>
          <w:rFonts w:hint="cs"/>
          <w:rtl/>
        </w:rPr>
        <w:t xml:space="preserve">אתה </w:t>
      </w:r>
      <w:bookmarkStart w:id="21026" w:name="_ETM_Q31_528640"/>
      <w:bookmarkEnd w:id="21026"/>
      <w:r>
        <w:rPr>
          <w:rFonts w:hint="cs"/>
          <w:rtl/>
        </w:rPr>
        <w:t xml:space="preserve">מוקצה </w:t>
      </w:r>
      <w:bookmarkStart w:id="21027" w:name="_ETM_Q31_529180"/>
      <w:bookmarkEnd w:id="21027"/>
      <w:r>
        <w:rPr>
          <w:rFonts w:hint="cs"/>
          <w:rtl/>
        </w:rPr>
        <w:t xml:space="preserve">מהמחנה </w:t>
      </w:r>
      <w:bookmarkStart w:id="21028" w:name="_ETM_Q31_531219"/>
      <w:bookmarkEnd w:id="21028"/>
      <w:r>
        <w:rPr>
          <w:rFonts w:hint="cs"/>
          <w:rtl/>
        </w:rPr>
        <w:t xml:space="preserve">כי </w:t>
      </w:r>
      <w:bookmarkStart w:id="21029" w:name="_ETM_Q31_531489"/>
      <w:bookmarkEnd w:id="21029"/>
      <w:r>
        <w:rPr>
          <w:rFonts w:hint="cs"/>
          <w:rtl/>
        </w:rPr>
        <w:t xml:space="preserve">אתה </w:t>
      </w:r>
      <w:bookmarkStart w:id="21030" w:name="_ETM_Q31_531670"/>
      <w:bookmarkEnd w:id="21030"/>
      <w:r>
        <w:rPr>
          <w:rFonts w:hint="cs"/>
          <w:rtl/>
        </w:rPr>
        <w:t xml:space="preserve">לא </w:t>
      </w:r>
      <w:bookmarkStart w:id="21031" w:name="_ETM_Q31_531760"/>
      <w:bookmarkEnd w:id="21031"/>
      <w:r>
        <w:rPr>
          <w:rFonts w:hint="cs"/>
          <w:rtl/>
        </w:rPr>
        <w:t xml:space="preserve">חושב </w:t>
      </w:r>
      <w:bookmarkStart w:id="21032" w:name="_ETM_Q31_535360"/>
      <w:bookmarkEnd w:id="21032"/>
      <w:r>
        <w:rPr>
          <w:rFonts w:hint="cs"/>
          <w:rtl/>
        </w:rPr>
        <w:t xml:space="preserve">כמו </w:t>
      </w:r>
      <w:bookmarkStart w:id="21033" w:name="_ETM_Q31_536620"/>
      <w:bookmarkEnd w:id="21033"/>
      <w:r>
        <w:rPr>
          <w:rFonts w:hint="cs"/>
          <w:rtl/>
        </w:rPr>
        <w:t xml:space="preserve">המלך, </w:t>
      </w:r>
      <w:bookmarkStart w:id="21034" w:name="_ETM_Q31_537760"/>
      <w:bookmarkEnd w:id="21034"/>
      <w:r>
        <w:rPr>
          <w:rFonts w:hint="cs"/>
          <w:rtl/>
        </w:rPr>
        <w:t xml:space="preserve">כמו </w:t>
      </w:r>
      <w:bookmarkStart w:id="21035" w:name="_ETM_Q31_538000"/>
      <w:bookmarkEnd w:id="21035"/>
      <w:r>
        <w:rPr>
          <w:rFonts w:hint="cs"/>
          <w:rtl/>
        </w:rPr>
        <w:t xml:space="preserve">המנהיג. </w:t>
      </w:r>
      <w:bookmarkStart w:id="21036" w:name="_ETM_Q31_539769"/>
      <w:bookmarkEnd w:id="21036"/>
      <w:r>
        <w:rPr>
          <w:rFonts w:hint="cs"/>
          <w:rtl/>
        </w:rPr>
        <w:t xml:space="preserve">אויה </w:t>
      </w:r>
      <w:bookmarkStart w:id="21037" w:name="_ETM_Q31_540190"/>
      <w:bookmarkEnd w:id="21037"/>
      <w:r>
        <w:rPr>
          <w:rFonts w:hint="cs"/>
          <w:rtl/>
        </w:rPr>
        <w:t>לנו.</w:t>
      </w:r>
      <w:bookmarkStart w:id="21038" w:name="_ETM_Q31_544229"/>
      <w:bookmarkEnd w:id="21038"/>
    </w:p>
    <w:p w:rsidR="00BB59CD" w:rsidRDefault="00BB59CD" w:rsidP="00BB59CD">
      <w:pPr>
        <w:rPr>
          <w:rtl/>
        </w:rPr>
      </w:pPr>
    </w:p>
    <w:p w:rsidR="00BB59CD" w:rsidRDefault="00BB59CD" w:rsidP="001C760D">
      <w:pPr>
        <w:rPr>
          <w:rtl/>
        </w:rPr>
      </w:pPr>
      <w:bookmarkStart w:id="21039" w:name="ET_manager_6488_4"/>
      <w:r>
        <w:rPr>
          <w:rStyle w:val="TagStyle"/>
          <w:rFonts w:hint="cs"/>
          <w:rtl/>
        </w:rPr>
        <w:t xml:space="preserve"> &lt;&lt; מנהל &gt;&gt; </w:t>
      </w:r>
      <w:bookmarkEnd w:id="21039"/>
      <w:r>
        <w:rPr>
          <w:rFonts w:hint="cs"/>
          <w:rtl/>
        </w:rPr>
        <w:t xml:space="preserve">אני </w:t>
      </w:r>
      <w:bookmarkStart w:id="21040" w:name="_ETM_Q31_544439"/>
      <w:bookmarkEnd w:id="21040"/>
      <w:r>
        <w:rPr>
          <w:rFonts w:hint="cs"/>
          <w:rtl/>
        </w:rPr>
        <w:t xml:space="preserve">שומע </w:t>
      </w:r>
      <w:bookmarkStart w:id="21041" w:name="_ETM_Q31_544829"/>
      <w:bookmarkEnd w:id="21041"/>
      <w:r>
        <w:rPr>
          <w:rFonts w:hint="cs"/>
          <w:rtl/>
        </w:rPr>
        <w:t xml:space="preserve">שרים </w:t>
      </w:r>
      <w:bookmarkStart w:id="21042" w:name="_ETM_Q31_545219"/>
      <w:bookmarkEnd w:id="21042"/>
      <w:r>
        <w:rPr>
          <w:rFonts w:hint="cs"/>
          <w:rtl/>
        </w:rPr>
        <w:t xml:space="preserve">בממשלה </w:t>
      </w:r>
      <w:bookmarkStart w:id="21043" w:name="_ETM_Q31_545880"/>
      <w:bookmarkEnd w:id="21043"/>
      <w:r>
        <w:rPr>
          <w:rFonts w:hint="cs"/>
          <w:rtl/>
        </w:rPr>
        <w:t xml:space="preserve">שתוקפים </w:t>
      </w:r>
      <w:bookmarkStart w:id="21044" w:name="_ETM_Q31_546719"/>
      <w:bookmarkEnd w:id="21044"/>
      <w:r>
        <w:rPr>
          <w:rFonts w:hint="cs"/>
          <w:rtl/>
        </w:rPr>
        <w:t xml:space="preserve">אזרחים </w:t>
      </w:r>
      <w:bookmarkStart w:id="21045" w:name="_ETM_Q31_547289"/>
      <w:bookmarkEnd w:id="21045"/>
      <w:r>
        <w:rPr>
          <w:rFonts w:hint="cs"/>
          <w:rtl/>
        </w:rPr>
        <w:t xml:space="preserve">שיוצאים </w:t>
      </w:r>
      <w:bookmarkStart w:id="21046" w:name="_ETM_Q31_547979"/>
      <w:bookmarkEnd w:id="21046"/>
      <w:r>
        <w:rPr>
          <w:rFonts w:hint="cs"/>
          <w:rtl/>
        </w:rPr>
        <w:t xml:space="preserve">להפגין. </w:t>
      </w:r>
      <w:bookmarkStart w:id="21047" w:name="_ETM_Q31_551579"/>
      <w:bookmarkEnd w:id="21047"/>
      <w:r>
        <w:rPr>
          <w:rFonts w:hint="cs"/>
          <w:rtl/>
        </w:rPr>
        <w:t xml:space="preserve">שרים </w:t>
      </w:r>
      <w:bookmarkStart w:id="21048" w:name="_ETM_Q31_552119"/>
      <w:bookmarkEnd w:id="21048"/>
      <w:r>
        <w:rPr>
          <w:rFonts w:hint="cs"/>
          <w:rtl/>
        </w:rPr>
        <w:t xml:space="preserve">שמעולם </w:t>
      </w:r>
      <w:bookmarkStart w:id="21049" w:name="_ETM_Q31_552720"/>
      <w:bookmarkEnd w:id="21049"/>
      <w:r>
        <w:rPr>
          <w:rFonts w:hint="cs"/>
          <w:rtl/>
        </w:rPr>
        <w:t xml:space="preserve">לא </w:t>
      </w:r>
      <w:bookmarkStart w:id="21050" w:name="_ETM_Q31_552810"/>
      <w:bookmarkEnd w:id="21050"/>
      <w:r>
        <w:rPr>
          <w:rFonts w:hint="cs"/>
          <w:rtl/>
        </w:rPr>
        <w:t>ש</w:t>
      </w:r>
      <w:bookmarkStart w:id="21051" w:name="_ETM_Q31_553049"/>
      <w:bookmarkEnd w:id="21051"/>
      <w:r>
        <w:rPr>
          <w:rFonts w:hint="cs"/>
          <w:rtl/>
        </w:rPr>
        <w:t xml:space="preserve">ירתו </w:t>
      </w:r>
      <w:bookmarkStart w:id="21052" w:name="_ETM_Q31_553259"/>
      <w:bookmarkEnd w:id="21052"/>
      <w:r>
        <w:rPr>
          <w:rFonts w:hint="cs"/>
          <w:rtl/>
        </w:rPr>
        <w:t xml:space="preserve">יום </w:t>
      </w:r>
      <w:bookmarkStart w:id="21053" w:name="_ETM_Q31_553500"/>
      <w:bookmarkStart w:id="21054" w:name="_ETM_Q31_553799"/>
      <w:bookmarkEnd w:id="21053"/>
      <w:bookmarkEnd w:id="21054"/>
      <w:r>
        <w:rPr>
          <w:rFonts w:hint="cs"/>
          <w:rtl/>
        </w:rPr>
        <w:t>אחד בצבא, אחד,</w:t>
      </w:r>
      <w:bookmarkStart w:id="21055" w:name="_ETM_Q31_556759"/>
      <w:bookmarkEnd w:id="21055"/>
      <w:r>
        <w:rPr>
          <w:rFonts w:hint="cs"/>
          <w:rtl/>
        </w:rPr>
        <w:t xml:space="preserve"> </w:t>
      </w:r>
      <w:bookmarkStart w:id="21056" w:name="_ETM_Q31_558960"/>
      <w:bookmarkEnd w:id="21056"/>
      <w:r>
        <w:rPr>
          <w:rFonts w:hint="cs"/>
          <w:rtl/>
        </w:rPr>
        <w:t xml:space="preserve">מעיזים </w:t>
      </w:r>
      <w:bookmarkStart w:id="21057" w:name="_ETM_Q31_559469"/>
      <w:bookmarkEnd w:id="21057"/>
      <w:r>
        <w:rPr>
          <w:rFonts w:hint="cs"/>
          <w:rtl/>
        </w:rPr>
        <w:t xml:space="preserve">לדבר </w:t>
      </w:r>
      <w:bookmarkStart w:id="21058" w:name="_ETM_Q31_559990"/>
      <w:bookmarkEnd w:id="21058"/>
      <w:r>
        <w:rPr>
          <w:rFonts w:hint="cs"/>
          <w:rtl/>
        </w:rPr>
        <w:t xml:space="preserve">כנגד </w:t>
      </w:r>
      <w:bookmarkStart w:id="21059" w:name="_ETM_Q31_560619"/>
      <w:bookmarkEnd w:id="21059"/>
      <w:r>
        <w:rPr>
          <w:rFonts w:hint="cs"/>
          <w:rtl/>
        </w:rPr>
        <w:t xml:space="preserve">בכירי </w:t>
      </w:r>
      <w:bookmarkStart w:id="21060" w:name="_ETM_Q31_560979"/>
      <w:bookmarkEnd w:id="21060"/>
      <w:r>
        <w:rPr>
          <w:rFonts w:hint="cs"/>
          <w:rtl/>
        </w:rPr>
        <w:t xml:space="preserve">מערכת </w:t>
      </w:r>
      <w:bookmarkStart w:id="21061" w:name="_ETM_Q31_561460"/>
      <w:bookmarkEnd w:id="21061"/>
      <w:r>
        <w:rPr>
          <w:rFonts w:hint="cs"/>
          <w:rtl/>
        </w:rPr>
        <w:t xml:space="preserve">הביטחון, </w:t>
      </w:r>
      <w:bookmarkStart w:id="21062" w:name="_ETM_Q31_562509"/>
      <w:bookmarkEnd w:id="21062"/>
      <w:r>
        <w:rPr>
          <w:rFonts w:hint="cs"/>
          <w:rtl/>
        </w:rPr>
        <w:t xml:space="preserve">כנגד </w:t>
      </w:r>
      <w:bookmarkStart w:id="21063" w:name="_ETM_Q31_563130"/>
      <w:bookmarkEnd w:id="21063"/>
      <w:r>
        <w:rPr>
          <w:rFonts w:hint="cs"/>
          <w:rtl/>
        </w:rPr>
        <w:t xml:space="preserve">חיילי </w:t>
      </w:r>
      <w:bookmarkStart w:id="21064" w:name="_ETM_Q31_563579"/>
      <w:bookmarkEnd w:id="21064"/>
      <w:r>
        <w:rPr>
          <w:rFonts w:hint="cs"/>
          <w:rtl/>
        </w:rPr>
        <w:t xml:space="preserve">מילואים, </w:t>
      </w:r>
      <w:bookmarkStart w:id="21065" w:name="_ETM_Q31_564119"/>
      <w:bookmarkEnd w:id="21065"/>
      <w:r>
        <w:rPr>
          <w:rFonts w:hint="cs"/>
          <w:rtl/>
        </w:rPr>
        <w:t xml:space="preserve">כנגד </w:t>
      </w:r>
      <w:bookmarkStart w:id="21066" w:name="_ETM_Q31_564540"/>
      <w:bookmarkEnd w:id="21066"/>
      <w:r>
        <w:rPr>
          <w:rFonts w:hint="cs"/>
          <w:rtl/>
        </w:rPr>
        <w:t xml:space="preserve">טייסים, </w:t>
      </w:r>
      <w:bookmarkStart w:id="21067" w:name="_ETM_Q31_566110"/>
      <w:bookmarkEnd w:id="21067"/>
      <w:r>
        <w:rPr>
          <w:rFonts w:hint="cs"/>
          <w:rtl/>
        </w:rPr>
        <w:t xml:space="preserve">כנגד </w:t>
      </w:r>
      <w:bookmarkStart w:id="21068" w:name="_ETM_Q31_566650"/>
      <w:bookmarkEnd w:id="21068"/>
      <w:r>
        <w:rPr>
          <w:rFonts w:hint="cs"/>
          <w:rtl/>
        </w:rPr>
        <w:t xml:space="preserve">האנשים </w:t>
      </w:r>
      <w:bookmarkStart w:id="21069" w:name="_ETM_Q31_567160"/>
      <w:bookmarkEnd w:id="21069"/>
      <w:r>
        <w:rPr>
          <w:rFonts w:hint="cs"/>
          <w:rtl/>
        </w:rPr>
        <w:t xml:space="preserve">שאני, </w:t>
      </w:r>
      <w:bookmarkStart w:id="21070" w:name="_ETM_Q31_567700"/>
      <w:bookmarkEnd w:id="21070"/>
      <w:r>
        <w:rPr>
          <w:rFonts w:hint="cs"/>
          <w:rtl/>
        </w:rPr>
        <w:t xml:space="preserve">כתף </w:t>
      </w:r>
      <w:bookmarkStart w:id="21071" w:name="_ETM_Q31_568150"/>
      <w:bookmarkEnd w:id="21071"/>
      <w:r>
        <w:rPr>
          <w:rFonts w:hint="cs"/>
          <w:rtl/>
        </w:rPr>
        <w:t xml:space="preserve">אל כתף, </w:t>
      </w:r>
      <w:bookmarkStart w:id="21072" w:name="_ETM_Q31_568930"/>
      <w:bookmarkEnd w:id="21072"/>
      <w:r>
        <w:rPr>
          <w:rFonts w:hint="cs"/>
          <w:rtl/>
        </w:rPr>
        <w:t xml:space="preserve">ראיתי </w:t>
      </w:r>
      <w:bookmarkStart w:id="21073" w:name="_ETM_Q31_569290"/>
      <w:bookmarkEnd w:id="21073"/>
      <w:r>
        <w:rPr>
          <w:rFonts w:hint="cs"/>
          <w:rtl/>
        </w:rPr>
        <w:t xml:space="preserve">אותם </w:t>
      </w:r>
      <w:bookmarkStart w:id="21074" w:name="_ETM_Q31_569560"/>
      <w:bookmarkEnd w:id="21074"/>
      <w:r>
        <w:rPr>
          <w:rFonts w:hint="cs"/>
          <w:rtl/>
        </w:rPr>
        <w:t xml:space="preserve">מקריבים </w:t>
      </w:r>
      <w:bookmarkStart w:id="21075" w:name="_ETM_Q31_571039"/>
      <w:bookmarkEnd w:id="21075"/>
      <w:r>
        <w:rPr>
          <w:rFonts w:hint="cs"/>
          <w:rtl/>
        </w:rPr>
        <w:t xml:space="preserve">את </w:t>
      </w:r>
      <w:bookmarkStart w:id="21076" w:name="_ETM_Q31_571219"/>
      <w:bookmarkEnd w:id="21076"/>
      <w:r>
        <w:rPr>
          <w:rFonts w:hint="cs"/>
          <w:rtl/>
        </w:rPr>
        <w:t>חייהם</w:t>
      </w:r>
      <w:r w:rsidR="001C760D">
        <w:rPr>
          <w:rFonts w:hint="cs"/>
          <w:rtl/>
        </w:rPr>
        <w:t>.</w:t>
      </w:r>
      <w:r>
        <w:rPr>
          <w:rFonts w:hint="cs"/>
          <w:rtl/>
        </w:rPr>
        <w:t xml:space="preserve"> </w:t>
      </w:r>
      <w:bookmarkStart w:id="21077" w:name="_ETM_Q31_575860"/>
      <w:bookmarkEnd w:id="21077"/>
      <w:r>
        <w:rPr>
          <w:rFonts w:hint="cs"/>
          <w:rtl/>
        </w:rPr>
        <w:t xml:space="preserve">האנשים </w:t>
      </w:r>
      <w:bookmarkStart w:id="21078" w:name="_ETM_Q31_576400"/>
      <w:bookmarkEnd w:id="21078"/>
      <w:r>
        <w:rPr>
          <w:rFonts w:hint="cs"/>
          <w:rtl/>
        </w:rPr>
        <w:t xml:space="preserve">שעוזבים </w:t>
      </w:r>
      <w:bookmarkStart w:id="21079" w:name="_ETM_Q31_577119"/>
      <w:bookmarkEnd w:id="21079"/>
      <w:r>
        <w:rPr>
          <w:rFonts w:hint="cs"/>
          <w:rtl/>
        </w:rPr>
        <w:t xml:space="preserve">את </w:t>
      </w:r>
      <w:bookmarkStart w:id="21080" w:name="_ETM_Q31_577299"/>
      <w:bookmarkEnd w:id="21080"/>
      <w:r>
        <w:rPr>
          <w:rFonts w:hint="cs"/>
          <w:rtl/>
        </w:rPr>
        <w:t xml:space="preserve">הכול </w:t>
      </w:r>
      <w:bookmarkStart w:id="21081" w:name="_ETM_Q31_579229"/>
      <w:bookmarkEnd w:id="21081"/>
      <w:r>
        <w:rPr>
          <w:rFonts w:hint="cs"/>
          <w:rtl/>
        </w:rPr>
        <w:t xml:space="preserve">יום-יום </w:t>
      </w:r>
      <w:bookmarkStart w:id="21082" w:name="_ETM_Q31_580560"/>
      <w:bookmarkEnd w:id="21082"/>
      <w:r>
        <w:rPr>
          <w:rFonts w:hint="cs"/>
          <w:rtl/>
        </w:rPr>
        <w:t xml:space="preserve">בכדי </w:t>
      </w:r>
      <w:bookmarkStart w:id="21083" w:name="_ETM_Q31_580950"/>
      <w:bookmarkEnd w:id="21083"/>
      <w:r>
        <w:rPr>
          <w:rFonts w:hint="cs"/>
          <w:rtl/>
        </w:rPr>
        <w:t xml:space="preserve">להילחם </w:t>
      </w:r>
      <w:bookmarkStart w:id="21084" w:name="_ETM_Q31_581429"/>
      <w:bookmarkEnd w:id="21084"/>
      <w:r>
        <w:rPr>
          <w:rFonts w:hint="cs"/>
          <w:rtl/>
        </w:rPr>
        <w:t xml:space="preserve">על </w:t>
      </w:r>
      <w:bookmarkStart w:id="21085" w:name="_ETM_Q31_581549"/>
      <w:bookmarkEnd w:id="21085"/>
      <w:r>
        <w:rPr>
          <w:rFonts w:hint="cs"/>
          <w:rtl/>
        </w:rPr>
        <w:t xml:space="preserve">המדינה </w:t>
      </w:r>
      <w:bookmarkStart w:id="21086" w:name="_ETM_Q31_581969"/>
      <w:bookmarkEnd w:id="21086"/>
      <w:r>
        <w:rPr>
          <w:rFonts w:hint="cs"/>
          <w:rtl/>
        </w:rPr>
        <w:t xml:space="preserve">הזאת </w:t>
      </w:r>
      <w:bookmarkStart w:id="21087" w:name="_ETM_Q31_583779"/>
      <w:bookmarkEnd w:id="21087"/>
      <w:r w:rsidR="001C760D">
        <w:rPr>
          <w:rFonts w:hint="eastAsia"/>
          <w:rtl/>
        </w:rPr>
        <w:t>–</w:t>
      </w:r>
      <w:r w:rsidR="001C760D">
        <w:rPr>
          <w:rFonts w:hint="cs"/>
          <w:rtl/>
        </w:rPr>
        <w:t xml:space="preserve"> </w:t>
      </w:r>
      <w:r>
        <w:rPr>
          <w:rFonts w:hint="cs"/>
          <w:rtl/>
        </w:rPr>
        <w:t>אתם</w:t>
      </w:r>
      <w:r w:rsidR="001C760D">
        <w:rPr>
          <w:rFonts w:hint="cs"/>
          <w:rtl/>
        </w:rPr>
        <w:t>,</w:t>
      </w:r>
      <w:r>
        <w:rPr>
          <w:rFonts w:hint="cs"/>
          <w:rtl/>
        </w:rPr>
        <w:t xml:space="preserve"> </w:t>
      </w:r>
      <w:bookmarkStart w:id="21088" w:name="_ETM_Q31_584409"/>
      <w:bookmarkStart w:id="21089" w:name="_ETM_Q31_584979"/>
      <w:bookmarkStart w:id="21090" w:name="_ETM_Q31_585329"/>
      <w:bookmarkEnd w:id="21088"/>
      <w:bookmarkEnd w:id="21089"/>
      <w:bookmarkEnd w:id="21090"/>
      <w:r>
        <w:rPr>
          <w:rFonts w:hint="cs"/>
          <w:rtl/>
        </w:rPr>
        <w:t xml:space="preserve">בלי </w:t>
      </w:r>
      <w:bookmarkStart w:id="21091" w:name="_ETM_Q31_585630"/>
      <w:bookmarkEnd w:id="21091"/>
      <w:r>
        <w:rPr>
          <w:rFonts w:hint="cs"/>
          <w:rtl/>
        </w:rPr>
        <w:t>להתבייש</w:t>
      </w:r>
      <w:bookmarkStart w:id="21092" w:name="_ETM_Q31_587069"/>
      <w:bookmarkEnd w:id="21092"/>
      <w:r>
        <w:rPr>
          <w:rFonts w:hint="cs"/>
          <w:rtl/>
        </w:rPr>
        <w:t>, מחוצפים שכמותכם,</w:t>
      </w:r>
      <w:bookmarkStart w:id="21093" w:name="_ETM_Q31_587429"/>
      <w:bookmarkStart w:id="21094" w:name="_ETM_Q31_587819"/>
      <w:bookmarkStart w:id="21095" w:name="_ETM_Q31_587969"/>
      <w:bookmarkStart w:id="21096" w:name="_ETM_Q31_589700"/>
      <w:bookmarkStart w:id="21097" w:name="_ETM_Q31_592520"/>
      <w:bookmarkEnd w:id="21093"/>
      <w:bookmarkEnd w:id="21094"/>
      <w:bookmarkEnd w:id="21095"/>
      <w:bookmarkEnd w:id="21096"/>
      <w:bookmarkEnd w:id="21097"/>
      <w:r>
        <w:rPr>
          <w:rFonts w:hint="cs"/>
          <w:rtl/>
        </w:rPr>
        <w:t xml:space="preserve"> אתם </w:t>
      </w:r>
      <w:bookmarkStart w:id="21098" w:name="_ETM_Q31_592759"/>
      <w:bookmarkEnd w:id="21098"/>
      <w:r>
        <w:rPr>
          <w:rFonts w:hint="cs"/>
          <w:rtl/>
        </w:rPr>
        <w:t xml:space="preserve">קוראים </w:t>
      </w:r>
      <w:bookmarkStart w:id="21099" w:name="_ETM_Q31_593210"/>
      <w:bookmarkEnd w:id="21099"/>
      <w:r>
        <w:rPr>
          <w:rFonts w:hint="cs"/>
          <w:rtl/>
        </w:rPr>
        <w:t xml:space="preserve">להם </w:t>
      </w:r>
      <w:bookmarkStart w:id="21100" w:name="_ETM_Q31_593509"/>
      <w:bookmarkEnd w:id="21100"/>
      <w:r>
        <w:rPr>
          <w:rFonts w:hint="cs"/>
          <w:rtl/>
        </w:rPr>
        <w:t xml:space="preserve">"אספסוף", </w:t>
      </w:r>
      <w:bookmarkStart w:id="21101" w:name="_ETM_Q31_594380"/>
      <w:bookmarkEnd w:id="21101"/>
      <w:r>
        <w:rPr>
          <w:rFonts w:hint="cs"/>
          <w:rtl/>
        </w:rPr>
        <w:t xml:space="preserve">אתם </w:t>
      </w:r>
      <w:bookmarkStart w:id="21102" w:name="_ETM_Q31_594680"/>
      <w:bookmarkEnd w:id="21102"/>
      <w:r>
        <w:rPr>
          <w:rFonts w:hint="cs"/>
          <w:rtl/>
        </w:rPr>
        <w:t xml:space="preserve">קוראים </w:t>
      </w:r>
      <w:bookmarkStart w:id="21103" w:name="_ETM_Q31_595159"/>
      <w:bookmarkEnd w:id="21103"/>
      <w:r>
        <w:rPr>
          <w:rFonts w:hint="cs"/>
          <w:rtl/>
        </w:rPr>
        <w:t xml:space="preserve">להם </w:t>
      </w:r>
      <w:bookmarkStart w:id="21104" w:name="_ETM_Q31_597159"/>
      <w:bookmarkEnd w:id="21104"/>
      <w:r>
        <w:rPr>
          <w:rFonts w:hint="cs"/>
          <w:rtl/>
        </w:rPr>
        <w:t xml:space="preserve">"נבערים", </w:t>
      </w:r>
      <w:bookmarkStart w:id="21105" w:name="_ETM_Q31_599039"/>
      <w:bookmarkEnd w:id="21105"/>
      <w:r>
        <w:rPr>
          <w:rFonts w:hint="cs"/>
          <w:rtl/>
        </w:rPr>
        <w:t xml:space="preserve">"אנרכיסטים", </w:t>
      </w:r>
      <w:bookmarkStart w:id="21106" w:name="_ETM_Q31_601430"/>
      <w:bookmarkEnd w:id="21106"/>
      <w:r>
        <w:rPr>
          <w:rFonts w:hint="cs"/>
          <w:rtl/>
        </w:rPr>
        <w:t xml:space="preserve">רוצים </w:t>
      </w:r>
      <w:bookmarkStart w:id="21107" w:name="_ETM_Q31_602000"/>
      <w:bookmarkEnd w:id="21107"/>
      <w:r>
        <w:rPr>
          <w:rFonts w:hint="cs"/>
          <w:rtl/>
        </w:rPr>
        <w:t xml:space="preserve">לעשות </w:t>
      </w:r>
      <w:bookmarkStart w:id="21108" w:name="_ETM_Q31_602920"/>
      <w:bookmarkEnd w:id="21108"/>
      <w:r>
        <w:rPr>
          <w:rFonts w:hint="cs"/>
          <w:rtl/>
        </w:rPr>
        <w:t xml:space="preserve">הפיכה. </w:t>
      </w:r>
      <w:bookmarkStart w:id="21109" w:name="_ETM_Q31_603579"/>
      <w:bookmarkEnd w:id="21109"/>
      <w:r>
        <w:rPr>
          <w:rFonts w:hint="cs"/>
          <w:rtl/>
        </w:rPr>
        <w:t xml:space="preserve">תתביישו </w:t>
      </w:r>
      <w:bookmarkStart w:id="21110" w:name="_ETM_Q31_604089"/>
      <w:bookmarkEnd w:id="21110"/>
      <w:r>
        <w:rPr>
          <w:rFonts w:hint="cs"/>
          <w:rtl/>
        </w:rPr>
        <w:t>לכם.</w:t>
      </w:r>
      <w:bookmarkStart w:id="21111" w:name="_ETM_Q31_606859"/>
      <w:bookmarkEnd w:id="21111"/>
    </w:p>
    <w:p w:rsidR="00BB59CD" w:rsidRDefault="00BB59CD" w:rsidP="00BB59CD">
      <w:pPr>
        <w:rPr>
          <w:rtl/>
        </w:rPr>
      </w:pPr>
      <w:bookmarkStart w:id="21112" w:name="_ETM_Q31_607663"/>
      <w:bookmarkStart w:id="21113" w:name="_ETM_Q31_607757"/>
      <w:bookmarkEnd w:id="21112"/>
      <w:bookmarkEnd w:id="21113"/>
    </w:p>
    <w:p w:rsidR="00BB59CD" w:rsidRDefault="001C760D" w:rsidP="00C02051">
      <w:pPr>
        <w:rPr>
          <w:rtl/>
        </w:rPr>
      </w:pPr>
      <w:bookmarkStart w:id="21114" w:name="_ETM_Q31_607791"/>
      <w:bookmarkStart w:id="21115" w:name="_ETM_Q31_607847"/>
      <w:bookmarkEnd w:id="21114"/>
      <w:bookmarkEnd w:id="21115"/>
      <w:r>
        <w:rPr>
          <w:rFonts w:hint="cs"/>
          <w:rtl/>
        </w:rPr>
        <w:t>ו</w:t>
      </w:r>
      <w:r w:rsidR="00BB59CD">
        <w:rPr>
          <w:rFonts w:hint="cs"/>
          <w:rtl/>
        </w:rPr>
        <w:t xml:space="preserve">אני </w:t>
      </w:r>
      <w:bookmarkStart w:id="21116" w:name="_ETM_Q31_607250"/>
      <w:bookmarkEnd w:id="21116"/>
      <w:r w:rsidR="00BB59CD">
        <w:rPr>
          <w:rFonts w:hint="cs"/>
          <w:rtl/>
        </w:rPr>
        <w:t xml:space="preserve">לא </w:t>
      </w:r>
      <w:bookmarkStart w:id="21117" w:name="_ETM_Q31_607460"/>
      <w:bookmarkEnd w:id="21117"/>
      <w:r w:rsidR="00BB59CD">
        <w:rPr>
          <w:rFonts w:hint="cs"/>
          <w:rtl/>
        </w:rPr>
        <w:t xml:space="preserve">נוהג </w:t>
      </w:r>
      <w:bookmarkStart w:id="21118" w:name="_ETM_Q31_607969"/>
      <w:bookmarkEnd w:id="21118"/>
      <w:r w:rsidR="00BB59CD">
        <w:rPr>
          <w:rFonts w:hint="cs"/>
          <w:rtl/>
        </w:rPr>
        <w:t xml:space="preserve">לעלות </w:t>
      </w:r>
      <w:bookmarkStart w:id="21119" w:name="_ETM_Q31_608450"/>
      <w:bookmarkEnd w:id="21119"/>
      <w:r w:rsidR="00BB59CD">
        <w:rPr>
          <w:rFonts w:hint="cs"/>
          <w:rtl/>
        </w:rPr>
        <w:t xml:space="preserve">לכאן </w:t>
      </w:r>
      <w:bookmarkStart w:id="21120" w:name="_ETM_Q31_609330"/>
      <w:bookmarkEnd w:id="21120"/>
      <w:r w:rsidR="00BB59CD">
        <w:rPr>
          <w:rFonts w:hint="cs"/>
          <w:rtl/>
        </w:rPr>
        <w:t xml:space="preserve">ולכעוס, </w:t>
      </w:r>
      <w:bookmarkStart w:id="21121" w:name="_ETM_Q31_610260"/>
      <w:bookmarkEnd w:id="21121"/>
      <w:r w:rsidR="00BB59CD">
        <w:rPr>
          <w:rFonts w:hint="cs"/>
          <w:rtl/>
        </w:rPr>
        <w:t xml:space="preserve">אני </w:t>
      </w:r>
      <w:bookmarkStart w:id="21122" w:name="_ETM_Q31_610500"/>
      <w:bookmarkEnd w:id="21122"/>
      <w:r w:rsidR="00BB59CD">
        <w:rPr>
          <w:rFonts w:hint="cs"/>
          <w:rtl/>
        </w:rPr>
        <w:t xml:space="preserve">נוהג </w:t>
      </w:r>
      <w:bookmarkStart w:id="21123" w:name="_ETM_Q31_610830"/>
      <w:bookmarkEnd w:id="21123"/>
      <w:r w:rsidR="00BB59CD">
        <w:rPr>
          <w:rFonts w:hint="cs"/>
          <w:rtl/>
        </w:rPr>
        <w:t xml:space="preserve">להגיד </w:t>
      </w:r>
      <w:bookmarkStart w:id="21124" w:name="_ETM_Q31_611190"/>
      <w:bookmarkEnd w:id="21124"/>
      <w:r w:rsidR="00BB59CD">
        <w:rPr>
          <w:rFonts w:hint="cs"/>
          <w:rtl/>
        </w:rPr>
        <w:t xml:space="preserve">את </w:t>
      </w:r>
      <w:bookmarkStart w:id="21125" w:name="_ETM_Q31_611280"/>
      <w:bookmarkEnd w:id="21125"/>
      <w:r w:rsidR="00BB59CD">
        <w:rPr>
          <w:rFonts w:hint="cs"/>
          <w:rtl/>
        </w:rPr>
        <w:t xml:space="preserve">דבריי. </w:t>
      </w:r>
      <w:bookmarkStart w:id="21126" w:name="_ETM_Q31_612300"/>
      <w:bookmarkEnd w:id="21126"/>
      <w:r w:rsidR="00BB59CD">
        <w:rPr>
          <w:rFonts w:hint="cs"/>
          <w:rtl/>
        </w:rPr>
        <w:t xml:space="preserve">אבל </w:t>
      </w:r>
      <w:bookmarkStart w:id="21127" w:name="_ETM_Q31_612630"/>
      <w:bookmarkEnd w:id="21127"/>
      <w:r w:rsidR="00BB59CD">
        <w:rPr>
          <w:rFonts w:hint="cs"/>
          <w:rtl/>
        </w:rPr>
        <w:t xml:space="preserve">יש </w:t>
      </w:r>
      <w:bookmarkStart w:id="21128" w:name="_ETM_Q31_612900"/>
      <w:bookmarkEnd w:id="21128"/>
      <w:r w:rsidR="00BB59CD">
        <w:rPr>
          <w:rFonts w:hint="cs"/>
          <w:rtl/>
        </w:rPr>
        <w:t xml:space="preserve">גבול. </w:t>
      </w:r>
      <w:bookmarkStart w:id="21129" w:name="_ETM_Q31_614700"/>
      <w:bookmarkEnd w:id="21129"/>
      <w:r w:rsidR="00BB59CD">
        <w:rPr>
          <w:rFonts w:hint="cs"/>
          <w:rtl/>
        </w:rPr>
        <w:t xml:space="preserve">יש </w:t>
      </w:r>
      <w:bookmarkStart w:id="21130" w:name="_ETM_Q31_615030"/>
      <w:bookmarkEnd w:id="21130"/>
      <w:r w:rsidR="00BB59CD">
        <w:rPr>
          <w:rFonts w:hint="cs"/>
          <w:rtl/>
        </w:rPr>
        <w:t xml:space="preserve">גבול </w:t>
      </w:r>
      <w:bookmarkStart w:id="21131" w:name="_ETM_Q31_615390"/>
      <w:bookmarkEnd w:id="21131"/>
      <w:r w:rsidR="00BB59CD">
        <w:rPr>
          <w:rFonts w:hint="cs"/>
          <w:rtl/>
        </w:rPr>
        <w:t xml:space="preserve">עד </w:t>
      </w:r>
      <w:bookmarkStart w:id="21132" w:name="_ETM_Q31_615659"/>
      <w:bookmarkEnd w:id="21132"/>
      <w:r w:rsidR="00BB59CD">
        <w:rPr>
          <w:rFonts w:hint="cs"/>
          <w:rtl/>
        </w:rPr>
        <w:t xml:space="preserve">כמה </w:t>
      </w:r>
      <w:bookmarkStart w:id="21133" w:name="_ETM_Q31_616110"/>
      <w:bookmarkEnd w:id="21133"/>
      <w:r w:rsidR="00BB59CD">
        <w:rPr>
          <w:rFonts w:hint="cs"/>
          <w:rtl/>
        </w:rPr>
        <w:t xml:space="preserve">אפשר </w:t>
      </w:r>
      <w:bookmarkStart w:id="21134" w:name="_ETM_Q31_616680"/>
      <w:bookmarkEnd w:id="21134"/>
      <w:r w:rsidR="00BB59CD">
        <w:rPr>
          <w:rFonts w:hint="cs"/>
          <w:rtl/>
        </w:rPr>
        <w:t xml:space="preserve">לפרק </w:t>
      </w:r>
      <w:bookmarkStart w:id="21135" w:name="_ETM_Q31_617159"/>
      <w:bookmarkEnd w:id="21135"/>
      <w:r w:rsidR="00BB59CD">
        <w:rPr>
          <w:rFonts w:hint="cs"/>
          <w:rtl/>
        </w:rPr>
        <w:t xml:space="preserve">את </w:t>
      </w:r>
      <w:bookmarkStart w:id="21136" w:name="_ETM_Q31_617280"/>
      <w:bookmarkEnd w:id="21136"/>
      <w:r w:rsidR="00BB59CD">
        <w:rPr>
          <w:rFonts w:hint="cs"/>
          <w:rtl/>
        </w:rPr>
        <w:t xml:space="preserve">המדינה </w:t>
      </w:r>
      <w:bookmarkStart w:id="21137" w:name="_ETM_Q31_617790"/>
      <w:bookmarkEnd w:id="21137"/>
      <w:r w:rsidR="00BB59CD">
        <w:rPr>
          <w:rFonts w:hint="cs"/>
          <w:rtl/>
        </w:rPr>
        <w:t xml:space="preserve">הזאת, </w:t>
      </w:r>
      <w:bookmarkStart w:id="21138" w:name="_ETM_Q31_620100"/>
      <w:bookmarkEnd w:id="21138"/>
      <w:r w:rsidR="00BB59CD">
        <w:rPr>
          <w:rFonts w:hint="cs"/>
          <w:rtl/>
        </w:rPr>
        <w:t xml:space="preserve">ואתם </w:t>
      </w:r>
      <w:bookmarkStart w:id="21139" w:name="_ETM_Q31_620520"/>
      <w:bookmarkEnd w:id="21139"/>
      <w:r w:rsidR="00BB59CD">
        <w:rPr>
          <w:rFonts w:hint="cs"/>
          <w:rtl/>
        </w:rPr>
        <w:t xml:space="preserve">חושבים </w:t>
      </w:r>
      <w:bookmarkStart w:id="21140" w:name="_ETM_Q31_620970"/>
      <w:bookmarkEnd w:id="21140"/>
      <w:r w:rsidR="00BB59CD">
        <w:rPr>
          <w:rFonts w:hint="cs"/>
          <w:rtl/>
        </w:rPr>
        <w:t xml:space="preserve">שלנו </w:t>
      </w:r>
      <w:bookmarkStart w:id="21141" w:name="_ETM_Q31_621390"/>
      <w:bookmarkEnd w:id="21141"/>
      <w:r w:rsidR="00BB59CD">
        <w:rPr>
          <w:rFonts w:hint="cs"/>
          <w:rtl/>
        </w:rPr>
        <w:t xml:space="preserve">אין </w:t>
      </w:r>
      <w:bookmarkStart w:id="21142" w:name="_ETM_Q31_621540"/>
      <w:bookmarkEnd w:id="21142"/>
      <w:r w:rsidR="00BB59CD">
        <w:rPr>
          <w:rFonts w:hint="cs"/>
          <w:rtl/>
        </w:rPr>
        <w:t xml:space="preserve">מה </w:t>
      </w:r>
      <w:bookmarkStart w:id="21143" w:name="_ETM_Q31_621630"/>
      <w:bookmarkEnd w:id="21143"/>
      <w:r w:rsidR="00BB59CD">
        <w:rPr>
          <w:rFonts w:hint="cs"/>
          <w:rtl/>
        </w:rPr>
        <w:t xml:space="preserve">להגיד. </w:t>
      </w:r>
      <w:bookmarkStart w:id="21144" w:name="_ETM_Q31_622530"/>
      <w:bookmarkEnd w:id="21144"/>
      <w:r w:rsidR="00BB59CD">
        <w:rPr>
          <w:rFonts w:hint="cs"/>
          <w:rtl/>
        </w:rPr>
        <w:t xml:space="preserve">יש </w:t>
      </w:r>
      <w:bookmarkStart w:id="21145" w:name="_ETM_Q31_622800"/>
      <w:bookmarkEnd w:id="21145"/>
      <w:r w:rsidR="00BB59CD">
        <w:rPr>
          <w:rFonts w:hint="cs"/>
          <w:rtl/>
        </w:rPr>
        <w:t xml:space="preserve">ויש. </w:t>
      </w:r>
      <w:bookmarkStart w:id="21146" w:name="_ETM_Q31_624420"/>
      <w:bookmarkEnd w:id="21146"/>
      <w:r w:rsidR="00BB59CD">
        <w:rPr>
          <w:rFonts w:hint="cs"/>
          <w:rtl/>
        </w:rPr>
        <w:t xml:space="preserve">אתמול </w:t>
      </w:r>
      <w:bookmarkStart w:id="21147" w:name="_ETM_Q31_624780"/>
      <w:bookmarkEnd w:id="21147"/>
      <w:r w:rsidR="00BB59CD">
        <w:rPr>
          <w:rFonts w:hint="cs"/>
          <w:rtl/>
        </w:rPr>
        <w:t xml:space="preserve">הייתי </w:t>
      </w:r>
      <w:bookmarkStart w:id="21148" w:name="_ETM_Q31_625200"/>
      <w:bookmarkEnd w:id="21148"/>
      <w:r w:rsidR="00BB59CD">
        <w:rPr>
          <w:rFonts w:hint="cs"/>
          <w:rtl/>
        </w:rPr>
        <w:t xml:space="preserve">עם </w:t>
      </w:r>
      <w:bookmarkStart w:id="21149" w:name="_ETM_Q31_625290"/>
      <w:bookmarkEnd w:id="21149"/>
      <w:r w:rsidR="00BB59CD">
        <w:rPr>
          <w:rFonts w:hint="cs"/>
          <w:rtl/>
        </w:rPr>
        <w:t xml:space="preserve">המוחים </w:t>
      </w:r>
      <w:bookmarkStart w:id="21150" w:name="_ETM_Q31_627200"/>
      <w:bookmarkEnd w:id="21150"/>
      <w:r w:rsidR="00BB59CD">
        <w:rPr>
          <w:rFonts w:hint="cs"/>
          <w:rtl/>
        </w:rPr>
        <w:t xml:space="preserve">בצעדה </w:t>
      </w:r>
      <w:bookmarkStart w:id="21151" w:name="_ETM_Q31_627950"/>
      <w:bookmarkEnd w:id="21151"/>
      <w:r w:rsidR="00BB59CD">
        <w:rPr>
          <w:rFonts w:hint="cs"/>
          <w:rtl/>
        </w:rPr>
        <w:t xml:space="preserve">הגדולה </w:t>
      </w:r>
      <w:bookmarkStart w:id="21152" w:name="_ETM_Q31_628340"/>
      <w:bookmarkEnd w:id="21152"/>
      <w:r w:rsidR="00BB59CD">
        <w:rPr>
          <w:rFonts w:hint="cs"/>
          <w:rtl/>
        </w:rPr>
        <w:t xml:space="preserve">ושלשום </w:t>
      </w:r>
      <w:bookmarkStart w:id="21153" w:name="_ETM_Q31_629030"/>
      <w:bookmarkEnd w:id="21153"/>
      <w:r w:rsidR="00BB59CD">
        <w:rPr>
          <w:rFonts w:hint="cs"/>
          <w:rtl/>
        </w:rPr>
        <w:t xml:space="preserve">הייתי </w:t>
      </w:r>
      <w:bookmarkStart w:id="21154" w:name="_ETM_Q31_629359"/>
      <w:bookmarkEnd w:id="21154"/>
      <w:r w:rsidR="00BB59CD">
        <w:rPr>
          <w:rFonts w:hint="cs"/>
          <w:rtl/>
        </w:rPr>
        <w:t xml:space="preserve">איתם </w:t>
      </w:r>
      <w:bookmarkStart w:id="21155" w:name="_ETM_Q31_630939"/>
      <w:bookmarkEnd w:id="21155"/>
      <w:r w:rsidR="00BB59CD">
        <w:rPr>
          <w:rFonts w:hint="cs"/>
          <w:rtl/>
        </w:rPr>
        <w:t xml:space="preserve">וראיתי </w:t>
      </w:r>
      <w:bookmarkStart w:id="21156" w:name="_ETM_Q31_631840"/>
      <w:bookmarkEnd w:id="21156"/>
      <w:r w:rsidR="00BB59CD">
        <w:rPr>
          <w:rFonts w:hint="cs"/>
          <w:rtl/>
        </w:rPr>
        <w:t xml:space="preserve">את </w:t>
      </w:r>
      <w:bookmarkStart w:id="21157" w:name="_ETM_Q31_631989"/>
      <w:bookmarkEnd w:id="21157"/>
      <w:r w:rsidR="00BB59CD">
        <w:rPr>
          <w:rFonts w:hint="cs"/>
          <w:rtl/>
        </w:rPr>
        <w:t xml:space="preserve">מלח </w:t>
      </w:r>
      <w:bookmarkStart w:id="21158" w:name="_ETM_Q31_632409"/>
      <w:bookmarkEnd w:id="21158"/>
      <w:r w:rsidR="00BB59CD">
        <w:rPr>
          <w:rFonts w:hint="cs"/>
          <w:rtl/>
        </w:rPr>
        <w:t xml:space="preserve">הארץ, </w:t>
      </w:r>
      <w:bookmarkStart w:id="21159" w:name="_ETM_Q31_635099"/>
      <w:bookmarkEnd w:id="21159"/>
      <w:r w:rsidR="00BB59CD">
        <w:rPr>
          <w:rFonts w:hint="cs"/>
          <w:rtl/>
        </w:rPr>
        <w:t xml:space="preserve">ראיתי </w:t>
      </w:r>
      <w:bookmarkStart w:id="21160" w:name="_ETM_Q31_635640"/>
      <w:bookmarkEnd w:id="21160"/>
      <w:r w:rsidR="00BB59CD">
        <w:rPr>
          <w:rFonts w:hint="cs"/>
          <w:rtl/>
        </w:rPr>
        <w:t xml:space="preserve">את </w:t>
      </w:r>
      <w:bookmarkStart w:id="21161" w:name="_ETM_Q31_635790"/>
      <w:bookmarkEnd w:id="21161"/>
      <w:r w:rsidR="00BB59CD">
        <w:rPr>
          <w:rFonts w:hint="cs"/>
          <w:rtl/>
        </w:rPr>
        <w:t xml:space="preserve">האנשים </w:t>
      </w:r>
      <w:bookmarkStart w:id="21162" w:name="_ETM_Q31_636300"/>
      <w:bookmarkEnd w:id="21162"/>
      <w:r w:rsidR="00BB59CD">
        <w:rPr>
          <w:rFonts w:hint="cs"/>
          <w:rtl/>
        </w:rPr>
        <w:t xml:space="preserve">שמעולם </w:t>
      </w:r>
      <w:bookmarkStart w:id="21163" w:name="_ETM_Q31_637200"/>
      <w:bookmarkEnd w:id="21163"/>
      <w:r w:rsidR="00BB59CD">
        <w:rPr>
          <w:rFonts w:hint="cs"/>
          <w:rtl/>
        </w:rPr>
        <w:t xml:space="preserve">לא </w:t>
      </w:r>
      <w:bookmarkStart w:id="21164" w:name="_ETM_Q31_637319"/>
      <w:bookmarkEnd w:id="21164"/>
      <w:r w:rsidR="00BB59CD">
        <w:rPr>
          <w:rFonts w:hint="cs"/>
          <w:rtl/>
        </w:rPr>
        <w:t xml:space="preserve">חשבו </w:t>
      </w:r>
      <w:bookmarkStart w:id="21165" w:name="_ETM_Q31_637739"/>
      <w:bookmarkEnd w:id="21165"/>
      <w:r w:rsidR="00BB59CD">
        <w:rPr>
          <w:rFonts w:hint="cs"/>
          <w:rtl/>
        </w:rPr>
        <w:t xml:space="preserve">במושגים </w:t>
      </w:r>
      <w:bookmarkStart w:id="21166" w:name="_ETM_Q31_638340"/>
      <w:bookmarkEnd w:id="21166"/>
      <w:r w:rsidR="00BB59CD">
        <w:rPr>
          <w:rFonts w:hint="cs"/>
          <w:rtl/>
        </w:rPr>
        <w:t xml:space="preserve">של </w:t>
      </w:r>
      <w:bookmarkStart w:id="21167" w:name="_ETM_Q31_638580"/>
      <w:bookmarkEnd w:id="21167"/>
      <w:r w:rsidR="00BB59CD">
        <w:rPr>
          <w:rFonts w:hint="cs"/>
          <w:rtl/>
        </w:rPr>
        <w:t xml:space="preserve">ימין </w:t>
      </w:r>
      <w:bookmarkStart w:id="21168" w:name="_ETM_Q31_638940"/>
      <w:bookmarkEnd w:id="21168"/>
      <w:r w:rsidR="00BB59CD">
        <w:rPr>
          <w:rFonts w:hint="cs"/>
          <w:rtl/>
        </w:rPr>
        <w:t xml:space="preserve">ושמאל, </w:t>
      </w:r>
      <w:bookmarkStart w:id="21169" w:name="_ETM_Q31_640730"/>
      <w:bookmarkEnd w:id="21169"/>
      <w:r w:rsidR="00BB59CD">
        <w:rPr>
          <w:rFonts w:hint="cs"/>
          <w:rtl/>
        </w:rPr>
        <w:t>כל</w:t>
      </w:r>
      <w:bookmarkStart w:id="21170" w:name="_ETM_Q31_640970"/>
      <w:bookmarkEnd w:id="21170"/>
      <w:r w:rsidR="00BB59CD">
        <w:rPr>
          <w:rFonts w:hint="cs"/>
          <w:rtl/>
        </w:rPr>
        <w:t xml:space="preserve"> אחד </w:t>
      </w:r>
      <w:bookmarkStart w:id="21171" w:name="_ETM_Q31_641180"/>
      <w:bookmarkEnd w:id="21171"/>
      <w:r w:rsidR="00BB59CD">
        <w:rPr>
          <w:rFonts w:hint="cs"/>
          <w:rtl/>
        </w:rPr>
        <w:t xml:space="preserve">ודעתו, </w:t>
      </w:r>
      <w:bookmarkStart w:id="21172" w:name="_ETM_Q31_642110"/>
      <w:bookmarkEnd w:id="21172"/>
      <w:r w:rsidR="00BB59CD">
        <w:rPr>
          <w:rFonts w:hint="cs"/>
          <w:rtl/>
        </w:rPr>
        <w:t xml:space="preserve">אבל </w:t>
      </w:r>
      <w:bookmarkStart w:id="21173" w:name="_ETM_Q31_642410"/>
      <w:bookmarkEnd w:id="21173"/>
      <w:r w:rsidR="00BB59CD">
        <w:rPr>
          <w:rFonts w:hint="cs"/>
          <w:rtl/>
        </w:rPr>
        <w:t xml:space="preserve">הבינו </w:t>
      </w:r>
      <w:bookmarkStart w:id="21174" w:name="_ETM_Q31_643010"/>
      <w:bookmarkEnd w:id="21174"/>
      <w:r w:rsidR="00BB59CD">
        <w:rPr>
          <w:rFonts w:hint="cs"/>
          <w:rtl/>
        </w:rPr>
        <w:t xml:space="preserve">שהמדינה </w:t>
      </w:r>
      <w:bookmarkStart w:id="21175" w:name="_ETM_Q31_643730"/>
      <w:bookmarkEnd w:id="21175"/>
      <w:r w:rsidR="00BB59CD">
        <w:rPr>
          <w:rFonts w:hint="cs"/>
          <w:rtl/>
        </w:rPr>
        <w:t xml:space="preserve">הזאת </w:t>
      </w:r>
      <w:bookmarkStart w:id="21176" w:name="_ETM_Q31_644060"/>
      <w:bookmarkEnd w:id="21176"/>
      <w:r w:rsidR="00BB59CD">
        <w:rPr>
          <w:rFonts w:hint="cs"/>
          <w:rtl/>
        </w:rPr>
        <w:t xml:space="preserve">בנויה </w:t>
      </w:r>
      <w:bookmarkStart w:id="21177" w:name="_ETM_Q31_644570"/>
      <w:bookmarkEnd w:id="21177"/>
      <w:r w:rsidR="00BB59CD">
        <w:rPr>
          <w:rFonts w:hint="cs"/>
          <w:rtl/>
        </w:rPr>
        <w:t xml:space="preserve">מימין </w:t>
      </w:r>
      <w:bookmarkStart w:id="21178" w:name="_ETM_Q31_645230"/>
      <w:bookmarkEnd w:id="21178"/>
      <w:r w:rsidR="00BB59CD">
        <w:rPr>
          <w:rFonts w:hint="cs"/>
          <w:rtl/>
        </w:rPr>
        <w:t xml:space="preserve">ומשמאל </w:t>
      </w:r>
      <w:bookmarkStart w:id="21179" w:name="_ETM_Q31_647590"/>
      <w:bookmarkStart w:id="21180" w:name="_ETM_Q31_647890"/>
      <w:bookmarkEnd w:id="21179"/>
      <w:bookmarkEnd w:id="21180"/>
      <w:r w:rsidR="00BB59CD">
        <w:rPr>
          <w:rFonts w:hint="cs"/>
          <w:rtl/>
        </w:rPr>
        <w:t xml:space="preserve">וכיבדו </w:t>
      </w:r>
      <w:bookmarkStart w:id="21181" w:name="_ETM_Q31_648310"/>
      <w:bookmarkEnd w:id="21181"/>
      <w:r w:rsidR="00BB59CD">
        <w:rPr>
          <w:rFonts w:hint="cs"/>
          <w:rtl/>
        </w:rPr>
        <w:t xml:space="preserve">את </w:t>
      </w:r>
      <w:bookmarkStart w:id="21182" w:name="_ETM_Q31_648430"/>
      <w:bookmarkEnd w:id="21182"/>
      <w:r w:rsidR="00BB59CD">
        <w:rPr>
          <w:rFonts w:hint="cs"/>
          <w:rtl/>
        </w:rPr>
        <w:t>זה.</w:t>
      </w:r>
      <w:bookmarkStart w:id="21183" w:name="_ETM_Q31_649889"/>
      <w:bookmarkEnd w:id="21183"/>
      <w:r w:rsidR="00C02051">
        <w:rPr>
          <w:rFonts w:hint="cs"/>
          <w:rtl/>
        </w:rPr>
        <w:t xml:space="preserve"> </w:t>
      </w:r>
      <w:r w:rsidR="00BB59CD">
        <w:rPr>
          <w:rFonts w:hint="cs"/>
          <w:rtl/>
        </w:rPr>
        <w:t xml:space="preserve">והיום, </w:t>
      </w:r>
      <w:bookmarkStart w:id="21184" w:name="_ETM_Q31_650639"/>
      <w:bookmarkEnd w:id="21184"/>
      <w:r w:rsidR="00BB59CD">
        <w:rPr>
          <w:rFonts w:hint="cs"/>
          <w:rtl/>
        </w:rPr>
        <w:t xml:space="preserve">ברגע </w:t>
      </w:r>
      <w:bookmarkStart w:id="21185" w:name="_ETM_Q31_651480"/>
      <w:bookmarkEnd w:id="21185"/>
      <w:r w:rsidR="00BB59CD">
        <w:rPr>
          <w:rFonts w:hint="cs"/>
          <w:rtl/>
        </w:rPr>
        <w:t xml:space="preserve">שהם </w:t>
      </w:r>
      <w:bookmarkStart w:id="21186" w:name="_ETM_Q31_652079"/>
      <w:bookmarkEnd w:id="21186"/>
      <w:r w:rsidR="00BB59CD">
        <w:rPr>
          <w:rFonts w:hint="cs"/>
          <w:rtl/>
        </w:rPr>
        <w:t xml:space="preserve">יוצאים </w:t>
      </w:r>
      <w:bookmarkStart w:id="21187" w:name="_ETM_Q31_652739"/>
      <w:bookmarkEnd w:id="21187"/>
      <w:r w:rsidR="00BB59CD">
        <w:rPr>
          <w:rFonts w:hint="cs"/>
          <w:rtl/>
        </w:rPr>
        <w:t xml:space="preserve">כנגד </w:t>
      </w:r>
      <w:bookmarkStart w:id="21188" w:name="_ETM_Q31_653400"/>
      <w:bookmarkEnd w:id="21188"/>
      <w:r w:rsidR="00BB59CD">
        <w:rPr>
          <w:rFonts w:hint="cs"/>
          <w:rtl/>
        </w:rPr>
        <w:t xml:space="preserve">הניסיון </w:t>
      </w:r>
      <w:bookmarkStart w:id="21189" w:name="_ETM_Q31_654389"/>
      <w:bookmarkEnd w:id="21189"/>
      <w:r w:rsidR="00BB59CD">
        <w:rPr>
          <w:rFonts w:hint="cs"/>
          <w:rtl/>
        </w:rPr>
        <w:t xml:space="preserve">לשלול </w:t>
      </w:r>
      <w:bookmarkStart w:id="21190" w:name="_ETM_Q31_655139"/>
      <w:bookmarkEnd w:id="21190"/>
      <w:r w:rsidR="00BB59CD">
        <w:rPr>
          <w:rFonts w:hint="cs"/>
          <w:rtl/>
        </w:rPr>
        <w:t xml:space="preserve">מהמדינה </w:t>
      </w:r>
      <w:bookmarkStart w:id="21191" w:name="_ETM_Q31_655889"/>
      <w:bookmarkEnd w:id="21191"/>
      <w:r w:rsidR="00BB59CD">
        <w:rPr>
          <w:rFonts w:hint="cs"/>
          <w:rtl/>
        </w:rPr>
        <w:t xml:space="preserve">הזאת </w:t>
      </w:r>
      <w:bookmarkStart w:id="21192" w:name="_ETM_Q31_656279"/>
      <w:bookmarkEnd w:id="21192"/>
      <w:r w:rsidR="00BB59CD">
        <w:rPr>
          <w:rFonts w:hint="cs"/>
          <w:rtl/>
        </w:rPr>
        <w:t xml:space="preserve">את </w:t>
      </w:r>
      <w:bookmarkStart w:id="21193" w:name="_ETM_Q31_657390"/>
      <w:bookmarkEnd w:id="21193"/>
      <w:r w:rsidR="00BB59CD">
        <w:rPr>
          <w:rFonts w:hint="cs"/>
          <w:rtl/>
        </w:rPr>
        <w:t xml:space="preserve">מהות </w:t>
      </w:r>
      <w:bookmarkStart w:id="21194" w:name="_ETM_Q31_657870"/>
      <w:bookmarkEnd w:id="21194"/>
      <w:r w:rsidR="00BB59CD">
        <w:rPr>
          <w:rFonts w:hint="cs"/>
          <w:rtl/>
        </w:rPr>
        <w:t xml:space="preserve">חייה, </w:t>
      </w:r>
      <w:bookmarkStart w:id="21195" w:name="_ETM_Q31_658650"/>
      <w:bookmarkEnd w:id="21195"/>
      <w:r w:rsidR="00BB59CD">
        <w:rPr>
          <w:rFonts w:hint="cs"/>
          <w:rtl/>
        </w:rPr>
        <w:t xml:space="preserve">את </w:t>
      </w:r>
      <w:bookmarkStart w:id="21196" w:name="_ETM_Q31_658860"/>
      <w:bookmarkEnd w:id="21196"/>
      <w:r w:rsidR="00BB59CD">
        <w:rPr>
          <w:rFonts w:hint="cs"/>
          <w:rtl/>
        </w:rPr>
        <w:t xml:space="preserve">היותה </w:t>
      </w:r>
      <w:bookmarkStart w:id="21197" w:name="_ETM_Q31_659580"/>
      <w:bookmarkEnd w:id="21197"/>
      <w:r w:rsidR="00BB59CD">
        <w:rPr>
          <w:rFonts w:hint="cs"/>
          <w:rtl/>
        </w:rPr>
        <w:t xml:space="preserve">מדינה </w:t>
      </w:r>
      <w:bookmarkStart w:id="21198" w:name="_ETM_Q31_660030"/>
      <w:bookmarkEnd w:id="21198"/>
      <w:r w:rsidR="00BB59CD">
        <w:rPr>
          <w:rFonts w:hint="cs"/>
          <w:rtl/>
        </w:rPr>
        <w:t xml:space="preserve">דמוקרטית </w:t>
      </w:r>
      <w:bookmarkStart w:id="21199" w:name="_ETM_Q31_660780"/>
      <w:bookmarkEnd w:id="21199"/>
      <w:r w:rsidR="00BB59CD">
        <w:rPr>
          <w:rFonts w:hint="cs"/>
          <w:rtl/>
        </w:rPr>
        <w:t xml:space="preserve">יהודית </w:t>
      </w:r>
      <w:bookmarkStart w:id="21200" w:name="_ETM_Q31_661260"/>
      <w:bookmarkEnd w:id="21200"/>
      <w:r w:rsidR="00BB59CD">
        <w:rPr>
          <w:rFonts w:hint="cs"/>
          <w:rtl/>
        </w:rPr>
        <w:t xml:space="preserve">ליברלית, </w:t>
      </w:r>
      <w:bookmarkStart w:id="21201" w:name="_ETM_Q31_663250"/>
      <w:bookmarkEnd w:id="21201"/>
      <w:r w:rsidR="00BB59CD">
        <w:rPr>
          <w:rFonts w:hint="cs"/>
          <w:rtl/>
        </w:rPr>
        <w:t xml:space="preserve">הם </w:t>
      </w:r>
      <w:bookmarkStart w:id="21202" w:name="_ETM_Q31_663430"/>
      <w:bookmarkEnd w:id="21202"/>
      <w:r w:rsidR="00BB59CD">
        <w:rPr>
          <w:rFonts w:hint="cs"/>
          <w:rtl/>
        </w:rPr>
        <w:t xml:space="preserve">הופכים </w:t>
      </w:r>
      <w:bookmarkStart w:id="21203" w:name="_ETM_Q31_663819"/>
      <w:bookmarkEnd w:id="21203"/>
      <w:r w:rsidR="00BB59CD">
        <w:rPr>
          <w:rFonts w:hint="cs"/>
          <w:rtl/>
        </w:rPr>
        <w:t xml:space="preserve">לאויבי העם. </w:t>
      </w:r>
      <w:bookmarkStart w:id="21204" w:name="_ETM_Q31_664480"/>
      <w:bookmarkEnd w:id="21204"/>
      <w:r w:rsidR="00BB59CD">
        <w:rPr>
          <w:rFonts w:hint="cs"/>
          <w:rtl/>
        </w:rPr>
        <w:t xml:space="preserve">תתביישו </w:t>
      </w:r>
      <w:bookmarkStart w:id="21205" w:name="_ETM_Q31_665019"/>
      <w:bookmarkEnd w:id="21205"/>
      <w:r w:rsidR="00BB59CD">
        <w:rPr>
          <w:rFonts w:hint="cs"/>
          <w:rtl/>
        </w:rPr>
        <w:t xml:space="preserve">לכם. </w:t>
      </w:r>
      <w:bookmarkStart w:id="21206" w:name="_ETM_Q31_667430"/>
      <w:bookmarkEnd w:id="21206"/>
      <w:r w:rsidR="00BB59CD">
        <w:rPr>
          <w:rFonts w:hint="cs"/>
          <w:rtl/>
        </w:rPr>
        <w:t xml:space="preserve">אני </w:t>
      </w:r>
      <w:bookmarkStart w:id="21207" w:name="_ETM_Q31_667670"/>
      <w:bookmarkEnd w:id="21207"/>
      <w:r w:rsidR="00BB59CD">
        <w:rPr>
          <w:rFonts w:hint="cs"/>
          <w:rtl/>
        </w:rPr>
        <w:t xml:space="preserve">מאוד </w:t>
      </w:r>
      <w:bookmarkStart w:id="21208" w:name="_ETM_Q31_668030"/>
      <w:bookmarkEnd w:id="21208"/>
      <w:r w:rsidR="00BB59CD">
        <w:rPr>
          <w:rFonts w:hint="cs"/>
          <w:rtl/>
        </w:rPr>
        <w:t xml:space="preserve">מקווה </w:t>
      </w:r>
      <w:bookmarkStart w:id="21209" w:name="_ETM_Q31_668540"/>
      <w:bookmarkEnd w:id="21209"/>
      <w:r w:rsidR="00BB59CD">
        <w:rPr>
          <w:rFonts w:hint="cs"/>
          <w:rtl/>
        </w:rPr>
        <w:t>ש</w:t>
      </w:r>
      <w:bookmarkStart w:id="21210" w:name="_ETM_Q31_670380"/>
      <w:bookmarkEnd w:id="21210"/>
      <w:r w:rsidR="00BB59CD">
        <w:rPr>
          <w:rFonts w:hint="cs"/>
          <w:rtl/>
        </w:rPr>
        <w:t xml:space="preserve">לא </w:t>
      </w:r>
      <w:bookmarkStart w:id="21211" w:name="_ETM_Q31_670620"/>
      <w:bookmarkEnd w:id="21211"/>
      <w:r w:rsidR="00BB59CD">
        <w:rPr>
          <w:rFonts w:hint="cs"/>
          <w:rtl/>
        </w:rPr>
        <w:t xml:space="preserve">תהיו </w:t>
      </w:r>
      <w:bookmarkStart w:id="21212" w:name="_ETM_Q31_670920"/>
      <w:bookmarkEnd w:id="21212"/>
      <w:r w:rsidR="00BB59CD">
        <w:rPr>
          <w:rFonts w:hint="cs"/>
          <w:rtl/>
        </w:rPr>
        <w:t xml:space="preserve">כאן </w:t>
      </w:r>
      <w:bookmarkStart w:id="21213" w:name="_ETM_Q31_671100"/>
      <w:bookmarkEnd w:id="21213"/>
      <w:r w:rsidR="00BB59CD">
        <w:rPr>
          <w:rFonts w:hint="cs"/>
          <w:rtl/>
        </w:rPr>
        <w:t xml:space="preserve">בכנסת </w:t>
      </w:r>
      <w:bookmarkStart w:id="21214" w:name="_ETM_Q31_671940"/>
      <w:bookmarkEnd w:id="21214"/>
      <w:r w:rsidR="00BB59CD">
        <w:rPr>
          <w:rFonts w:hint="cs"/>
          <w:rtl/>
        </w:rPr>
        <w:t xml:space="preserve">– אנשים </w:t>
      </w:r>
      <w:bookmarkStart w:id="21215" w:name="_ETM_Q31_672420"/>
      <w:bookmarkEnd w:id="21215"/>
      <w:r w:rsidR="00BB59CD">
        <w:rPr>
          <w:rFonts w:hint="cs"/>
          <w:rtl/>
        </w:rPr>
        <w:t xml:space="preserve">מתוככם, </w:t>
      </w:r>
      <w:bookmarkStart w:id="21216" w:name="_ETM_Q31_674870"/>
      <w:bookmarkEnd w:id="21216"/>
      <w:r w:rsidR="00BB59CD">
        <w:rPr>
          <w:rFonts w:hint="cs"/>
          <w:rtl/>
        </w:rPr>
        <w:t xml:space="preserve">אלה </w:t>
      </w:r>
      <w:bookmarkStart w:id="21217" w:name="_ETM_Q31_675110"/>
      <w:bookmarkEnd w:id="21217"/>
      <w:r w:rsidR="00BB59CD">
        <w:rPr>
          <w:rFonts w:hint="cs"/>
          <w:rtl/>
        </w:rPr>
        <w:t xml:space="preserve">שמקללים </w:t>
      </w:r>
      <w:bookmarkStart w:id="21218" w:name="_ETM_Q31_676099"/>
      <w:bookmarkEnd w:id="21218"/>
      <w:r w:rsidR="00BB59CD">
        <w:rPr>
          <w:rFonts w:hint="cs"/>
          <w:rtl/>
        </w:rPr>
        <w:t xml:space="preserve">ואלה </w:t>
      </w:r>
      <w:bookmarkStart w:id="21219" w:name="_ETM_Q31_676370"/>
      <w:bookmarkEnd w:id="21219"/>
      <w:r w:rsidR="00BB59CD">
        <w:rPr>
          <w:rFonts w:hint="cs"/>
          <w:rtl/>
        </w:rPr>
        <w:t xml:space="preserve">שזורקים </w:t>
      </w:r>
      <w:bookmarkStart w:id="21220" w:name="_ETM_Q31_676970"/>
      <w:bookmarkEnd w:id="21220"/>
      <w:r w:rsidR="00BB59CD">
        <w:rPr>
          <w:rFonts w:hint="cs"/>
          <w:rtl/>
        </w:rPr>
        <w:t xml:space="preserve">אותם </w:t>
      </w:r>
      <w:bookmarkStart w:id="21221" w:name="_ETM_Q31_677239"/>
      <w:bookmarkEnd w:id="21221"/>
      <w:r w:rsidR="00BB59CD">
        <w:rPr>
          <w:rFonts w:hint="cs"/>
          <w:rtl/>
        </w:rPr>
        <w:t>לעזאזל</w:t>
      </w:r>
      <w:r w:rsidR="00C02051">
        <w:rPr>
          <w:rFonts w:hint="cs"/>
          <w:rtl/>
        </w:rPr>
        <w:t>,</w:t>
      </w:r>
      <w:r w:rsidR="00BB59CD">
        <w:rPr>
          <w:rFonts w:hint="cs"/>
          <w:rtl/>
        </w:rPr>
        <w:t xml:space="preserve"> </w:t>
      </w:r>
      <w:bookmarkStart w:id="21222" w:name="_ETM_Q31_679980"/>
      <w:bookmarkEnd w:id="21222"/>
      <w:r w:rsidR="00BB59CD">
        <w:rPr>
          <w:rFonts w:hint="cs"/>
          <w:rtl/>
        </w:rPr>
        <w:t xml:space="preserve">וכן, </w:t>
      </w:r>
      <w:bookmarkStart w:id="21223" w:name="_ETM_Q31_680670"/>
      <w:bookmarkEnd w:id="21223"/>
      <w:r w:rsidR="00BB59CD">
        <w:rPr>
          <w:rFonts w:hint="cs"/>
          <w:rtl/>
        </w:rPr>
        <w:t xml:space="preserve">ואלה </w:t>
      </w:r>
      <w:bookmarkStart w:id="21224" w:name="_ETM_Q31_681209"/>
      <w:bookmarkEnd w:id="21224"/>
      <w:r w:rsidR="00BB59CD">
        <w:rPr>
          <w:rFonts w:hint="cs"/>
          <w:rtl/>
        </w:rPr>
        <w:t xml:space="preserve">שמזכירים </w:t>
      </w:r>
      <w:bookmarkStart w:id="21225" w:name="_ETM_Q31_681989"/>
      <w:bookmarkEnd w:id="21225"/>
      <w:r w:rsidR="00BB59CD">
        <w:rPr>
          <w:rFonts w:hint="cs"/>
          <w:rtl/>
        </w:rPr>
        <w:t xml:space="preserve">לנו </w:t>
      </w:r>
      <w:bookmarkStart w:id="21226" w:name="_ETM_Q31_682230"/>
      <w:bookmarkEnd w:id="21226"/>
      <w:r w:rsidR="00BB59CD">
        <w:rPr>
          <w:rFonts w:hint="cs"/>
          <w:rtl/>
        </w:rPr>
        <w:t xml:space="preserve">את </w:t>
      </w:r>
      <w:bookmarkStart w:id="21227" w:name="_ETM_Q31_684959"/>
      <w:bookmarkStart w:id="21228" w:name="_ETM_Q31_682470"/>
      <w:bookmarkEnd w:id="21227"/>
      <w:bookmarkEnd w:id="21228"/>
      <w:r w:rsidR="00BB59CD">
        <w:rPr>
          <w:rFonts w:hint="cs"/>
          <w:rtl/>
        </w:rPr>
        <w:t xml:space="preserve">הנוראה </w:t>
      </w:r>
      <w:bookmarkStart w:id="21229" w:name="_ETM_Q31_685430"/>
      <w:bookmarkEnd w:id="21229"/>
      <w:r w:rsidR="00BB59CD">
        <w:rPr>
          <w:rFonts w:hint="cs"/>
          <w:rtl/>
        </w:rPr>
        <w:t xml:space="preserve">במלחמות, </w:t>
      </w:r>
      <w:bookmarkStart w:id="21230" w:name="_ETM_Q31_686390"/>
      <w:bookmarkEnd w:id="21230"/>
      <w:r w:rsidR="00BB59CD">
        <w:rPr>
          <w:rFonts w:hint="cs"/>
          <w:rtl/>
        </w:rPr>
        <w:t xml:space="preserve">את </w:t>
      </w:r>
      <w:bookmarkStart w:id="21231" w:name="_ETM_Q31_686450"/>
      <w:bookmarkEnd w:id="21231"/>
      <w:r w:rsidR="00BB59CD">
        <w:rPr>
          <w:rFonts w:hint="cs"/>
          <w:rtl/>
        </w:rPr>
        <w:t xml:space="preserve">מלחמת </w:t>
      </w:r>
      <w:bookmarkStart w:id="21232" w:name="_ETM_Q31_686900"/>
      <w:bookmarkEnd w:id="21232"/>
      <w:r w:rsidR="00BB59CD">
        <w:rPr>
          <w:rFonts w:hint="cs"/>
          <w:rtl/>
        </w:rPr>
        <w:t xml:space="preserve">העולם </w:t>
      </w:r>
      <w:bookmarkStart w:id="21233" w:name="_ETM_Q31_687230"/>
      <w:bookmarkEnd w:id="21233"/>
      <w:r w:rsidR="00BB59CD">
        <w:rPr>
          <w:rFonts w:hint="cs"/>
          <w:rtl/>
        </w:rPr>
        <w:t xml:space="preserve">השנייה, </w:t>
      </w:r>
      <w:bookmarkStart w:id="21234" w:name="_ETM_Q31_688340"/>
      <w:bookmarkEnd w:id="21234"/>
      <w:r w:rsidR="00BB59CD">
        <w:rPr>
          <w:rFonts w:hint="cs"/>
          <w:rtl/>
        </w:rPr>
        <w:t xml:space="preserve">ואת </w:t>
      </w:r>
      <w:bookmarkStart w:id="21235" w:name="_ETM_Q31_688730"/>
      <w:bookmarkEnd w:id="21235"/>
      <w:r w:rsidR="00BB59CD">
        <w:rPr>
          <w:rFonts w:hint="cs"/>
          <w:rtl/>
        </w:rPr>
        <w:t xml:space="preserve">האירוע </w:t>
      </w:r>
      <w:bookmarkStart w:id="21236" w:name="_ETM_Q31_689330"/>
      <w:bookmarkEnd w:id="21236"/>
      <w:r w:rsidR="00BB59CD">
        <w:rPr>
          <w:rFonts w:hint="cs"/>
          <w:rtl/>
        </w:rPr>
        <w:t xml:space="preserve">הנורא </w:t>
      </w:r>
      <w:bookmarkStart w:id="21237" w:name="_ETM_Q31_689960"/>
      <w:bookmarkEnd w:id="21237"/>
      <w:r w:rsidR="00BB59CD">
        <w:rPr>
          <w:rFonts w:hint="cs"/>
          <w:rtl/>
        </w:rPr>
        <w:t xml:space="preserve">שקרה </w:t>
      </w:r>
      <w:bookmarkStart w:id="21238" w:name="_ETM_Q31_690440"/>
      <w:bookmarkEnd w:id="21238"/>
      <w:r w:rsidR="00BB59CD">
        <w:rPr>
          <w:rFonts w:hint="cs"/>
          <w:rtl/>
        </w:rPr>
        <w:t xml:space="preserve">לעמנו, </w:t>
      </w:r>
      <w:bookmarkStart w:id="21239" w:name="_ETM_Q31_691940"/>
      <w:bookmarkEnd w:id="21239"/>
      <w:r w:rsidR="00BB59CD">
        <w:rPr>
          <w:rFonts w:hint="cs"/>
          <w:rtl/>
        </w:rPr>
        <w:t xml:space="preserve">הנורא </w:t>
      </w:r>
      <w:bookmarkStart w:id="21240" w:name="_ETM_Q31_692420"/>
      <w:bookmarkEnd w:id="21240"/>
      <w:r w:rsidR="00BB59CD">
        <w:rPr>
          <w:rFonts w:hint="cs"/>
          <w:rtl/>
        </w:rPr>
        <w:t xml:space="preserve">בתולדות </w:t>
      </w:r>
      <w:bookmarkStart w:id="21241" w:name="_ETM_Q31_692960"/>
      <w:bookmarkEnd w:id="21241"/>
      <w:r w:rsidR="00BB59CD">
        <w:rPr>
          <w:rFonts w:hint="cs"/>
          <w:rtl/>
        </w:rPr>
        <w:t xml:space="preserve">האנושות, </w:t>
      </w:r>
      <w:bookmarkStart w:id="21242" w:name="_ETM_Q31_695760"/>
      <w:bookmarkEnd w:id="21242"/>
      <w:r w:rsidR="00BB59CD">
        <w:rPr>
          <w:rFonts w:hint="cs"/>
          <w:rtl/>
        </w:rPr>
        <w:t xml:space="preserve">ומשתמשים </w:t>
      </w:r>
      <w:bookmarkStart w:id="21243" w:name="_ETM_Q31_696630"/>
      <w:bookmarkEnd w:id="21243"/>
      <w:r w:rsidR="00BB59CD">
        <w:rPr>
          <w:rFonts w:hint="cs"/>
          <w:rtl/>
        </w:rPr>
        <w:t xml:space="preserve">עם </w:t>
      </w:r>
      <w:bookmarkStart w:id="21244" w:name="_ETM_Q31_696780"/>
      <w:bookmarkEnd w:id="21244"/>
      <w:r w:rsidR="00BB59CD">
        <w:rPr>
          <w:rFonts w:hint="cs"/>
          <w:rtl/>
        </w:rPr>
        <w:t xml:space="preserve">זה </w:t>
      </w:r>
      <w:bookmarkStart w:id="21245" w:name="_ETM_Q31_696929"/>
      <w:bookmarkEnd w:id="21245"/>
      <w:r w:rsidR="00BB59CD">
        <w:rPr>
          <w:rFonts w:hint="cs"/>
          <w:rtl/>
        </w:rPr>
        <w:t xml:space="preserve">לוויכוח </w:t>
      </w:r>
      <w:bookmarkStart w:id="21246" w:name="_ETM_Q31_697470"/>
      <w:bookmarkEnd w:id="21246"/>
      <w:r w:rsidR="00BB59CD">
        <w:rPr>
          <w:rFonts w:hint="cs"/>
          <w:rtl/>
        </w:rPr>
        <w:t>פוליטי.</w:t>
      </w:r>
      <w:bookmarkStart w:id="21247" w:name="_ETM_Q31_699590"/>
      <w:bookmarkEnd w:id="21247"/>
    </w:p>
    <w:p w:rsidR="00BB59CD" w:rsidRDefault="00BB59CD" w:rsidP="00BB59CD">
      <w:pPr>
        <w:rPr>
          <w:rtl/>
        </w:rPr>
      </w:pPr>
      <w:bookmarkStart w:id="21248" w:name="_ETM_Q31_699506"/>
      <w:bookmarkStart w:id="21249" w:name="_ETM_Q31_699558"/>
      <w:bookmarkEnd w:id="21248"/>
      <w:bookmarkEnd w:id="21249"/>
    </w:p>
    <w:p w:rsidR="00BB59CD" w:rsidRDefault="00BB59CD" w:rsidP="00BB59CD">
      <w:pPr>
        <w:rPr>
          <w:rtl/>
        </w:rPr>
      </w:pPr>
      <w:bookmarkStart w:id="21250" w:name="_ETM_Q31_699635"/>
      <w:bookmarkStart w:id="21251" w:name="_ETM_Q31_699673"/>
      <w:bookmarkEnd w:id="21250"/>
      <w:bookmarkEnd w:id="21251"/>
      <w:r>
        <w:rPr>
          <w:rFonts w:hint="cs"/>
          <w:rtl/>
        </w:rPr>
        <w:t xml:space="preserve">היכן </w:t>
      </w:r>
      <w:bookmarkStart w:id="21252" w:name="_ETM_Q31_699980"/>
      <w:bookmarkEnd w:id="21252"/>
      <w:r>
        <w:rPr>
          <w:rFonts w:hint="cs"/>
          <w:rtl/>
        </w:rPr>
        <w:t xml:space="preserve">אתה, </w:t>
      </w:r>
      <w:bookmarkStart w:id="21253" w:name="_ETM_Q31_700159"/>
      <w:bookmarkEnd w:id="21253"/>
      <w:r>
        <w:rPr>
          <w:rFonts w:hint="cs"/>
          <w:rtl/>
        </w:rPr>
        <w:t xml:space="preserve">ראש </w:t>
      </w:r>
      <w:bookmarkStart w:id="21254" w:name="_ETM_Q31_700400"/>
      <w:bookmarkEnd w:id="21254"/>
      <w:r>
        <w:rPr>
          <w:rFonts w:hint="cs"/>
          <w:rtl/>
        </w:rPr>
        <w:t xml:space="preserve">הממשלה? </w:t>
      </w:r>
      <w:bookmarkStart w:id="21255" w:name="_ETM_Q31_702139"/>
      <w:bookmarkEnd w:id="21255"/>
      <w:r>
        <w:rPr>
          <w:rFonts w:hint="cs"/>
          <w:rtl/>
        </w:rPr>
        <w:t xml:space="preserve">צא </w:t>
      </w:r>
      <w:bookmarkStart w:id="21256" w:name="_ETM_Q31_702650"/>
      <w:bookmarkEnd w:id="21256"/>
      <w:r>
        <w:rPr>
          <w:rFonts w:hint="cs"/>
          <w:rtl/>
        </w:rPr>
        <w:t xml:space="preserve">ממקום </w:t>
      </w:r>
      <w:bookmarkStart w:id="21257" w:name="_ETM_Q31_703790"/>
      <w:bookmarkEnd w:id="21257"/>
      <w:r>
        <w:rPr>
          <w:rFonts w:hint="cs"/>
          <w:rtl/>
        </w:rPr>
        <w:t xml:space="preserve">שבייך. </w:t>
      </w:r>
      <w:bookmarkStart w:id="21258" w:name="_ETM_Q31_704329"/>
      <w:bookmarkEnd w:id="21258"/>
      <w:r>
        <w:rPr>
          <w:rFonts w:hint="cs"/>
          <w:rtl/>
        </w:rPr>
        <w:t xml:space="preserve">אתה </w:t>
      </w:r>
      <w:bookmarkStart w:id="21259" w:name="_ETM_Q31_704840"/>
      <w:bookmarkEnd w:id="21259"/>
      <w:r>
        <w:rPr>
          <w:rFonts w:hint="cs"/>
          <w:rtl/>
        </w:rPr>
        <w:t xml:space="preserve">שבוי. </w:t>
      </w:r>
      <w:bookmarkStart w:id="21260" w:name="_ETM_Q31_706549"/>
      <w:bookmarkEnd w:id="21260"/>
      <w:r>
        <w:rPr>
          <w:rFonts w:hint="cs"/>
          <w:rtl/>
        </w:rPr>
        <w:t xml:space="preserve">תשתחרר </w:t>
      </w:r>
      <w:bookmarkStart w:id="21261" w:name="_ETM_Q31_707389"/>
      <w:bookmarkEnd w:id="21261"/>
      <w:r>
        <w:rPr>
          <w:rFonts w:hint="cs"/>
          <w:rtl/>
        </w:rPr>
        <w:t xml:space="preserve">מהחיבוק </w:t>
      </w:r>
      <w:bookmarkStart w:id="21262" w:name="_ETM_Q31_708049"/>
      <w:bookmarkEnd w:id="21262"/>
      <w:r>
        <w:rPr>
          <w:rFonts w:hint="cs"/>
          <w:rtl/>
        </w:rPr>
        <w:t xml:space="preserve">של הקיצוניים. </w:t>
      </w:r>
      <w:bookmarkStart w:id="21263" w:name="_ETM_Q31_708439"/>
      <w:bookmarkStart w:id="21264" w:name="_ETM_Q31_711150"/>
      <w:bookmarkStart w:id="21265" w:name="_ETM_Q31_711599"/>
      <w:bookmarkEnd w:id="21263"/>
      <w:bookmarkEnd w:id="21264"/>
      <w:bookmarkEnd w:id="21265"/>
      <w:r>
        <w:rPr>
          <w:rFonts w:hint="cs"/>
          <w:rtl/>
        </w:rPr>
        <w:t xml:space="preserve">תשתחרר </w:t>
      </w:r>
      <w:bookmarkStart w:id="21266" w:name="_ETM_Q31_711839"/>
      <w:bookmarkEnd w:id="21266"/>
      <w:r>
        <w:rPr>
          <w:rFonts w:hint="cs"/>
          <w:rtl/>
        </w:rPr>
        <w:t xml:space="preserve">מהחיבוק </w:t>
      </w:r>
      <w:bookmarkStart w:id="21267" w:name="_ETM_Q31_712620"/>
      <w:bookmarkEnd w:id="21267"/>
      <w:r>
        <w:rPr>
          <w:rFonts w:hint="cs"/>
          <w:rtl/>
        </w:rPr>
        <w:t xml:space="preserve">הזה, </w:t>
      </w:r>
      <w:bookmarkStart w:id="21268" w:name="_ETM_Q31_712979"/>
      <w:bookmarkEnd w:id="21268"/>
      <w:r>
        <w:rPr>
          <w:rFonts w:hint="cs"/>
          <w:rtl/>
        </w:rPr>
        <w:t xml:space="preserve">שיוביל </w:t>
      </w:r>
      <w:bookmarkStart w:id="21269" w:name="_ETM_Q31_713459"/>
      <w:bookmarkEnd w:id="21269"/>
      <w:r>
        <w:rPr>
          <w:rFonts w:hint="cs"/>
          <w:rtl/>
        </w:rPr>
        <w:t xml:space="preserve">אותך </w:t>
      </w:r>
      <w:bookmarkStart w:id="21270" w:name="_ETM_Q31_714029"/>
      <w:bookmarkEnd w:id="21270"/>
      <w:r>
        <w:rPr>
          <w:rFonts w:hint="cs"/>
          <w:rtl/>
        </w:rPr>
        <w:t xml:space="preserve">ואת </w:t>
      </w:r>
      <w:bookmarkStart w:id="21271" w:name="_ETM_Q31_714269"/>
      <w:bookmarkEnd w:id="21271"/>
      <w:r>
        <w:rPr>
          <w:rFonts w:hint="cs"/>
          <w:rtl/>
        </w:rPr>
        <w:t xml:space="preserve">המדינה </w:t>
      </w:r>
      <w:bookmarkStart w:id="21272" w:name="_ETM_Q31_714870"/>
      <w:bookmarkEnd w:id="21272"/>
      <w:r>
        <w:rPr>
          <w:rFonts w:hint="cs"/>
          <w:rtl/>
        </w:rPr>
        <w:t xml:space="preserve">לאבדון. </w:t>
      </w:r>
      <w:bookmarkStart w:id="21273" w:name="_ETM_Q31_718200"/>
      <w:bookmarkEnd w:id="21273"/>
      <w:r>
        <w:rPr>
          <w:rFonts w:hint="cs"/>
          <w:rtl/>
        </w:rPr>
        <w:t xml:space="preserve">אני, </w:t>
      </w:r>
      <w:bookmarkStart w:id="21274" w:name="_ETM_Q31_718439"/>
      <w:bookmarkEnd w:id="21274"/>
      <w:r>
        <w:rPr>
          <w:rFonts w:hint="cs"/>
          <w:rtl/>
        </w:rPr>
        <w:t xml:space="preserve">אגב, </w:t>
      </w:r>
      <w:bookmarkStart w:id="21275" w:name="_ETM_Q31_718799"/>
      <w:bookmarkEnd w:id="21275"/>
      <w:r>
        <w:rPr>
          <w:rFonts w:hint="cs"/>
          <w:rtl/>
        </w:rPr>
        <w:t xml:space="preserve">מאחל </w:t>
      </w:r>
      <w:bookmarkStart w:id="21276" w:name="_ETM_Q31_719400"/>
      <w:bookmarkEnd w:id="21276"/>
      <w:r>
        <w:rPr>
          <w:rFonts w:hint="cs"/>
          <w:rtl/>
        </w:rPr>
        <w:t>לך</w:t>
      </w:r>
      <w:r w:rsidR="00C02051">
        <w:rPr>
          <w:rFonts w:hint="cs"/>
          <w:rtl/>
        </w:rPr>
        <w:t>,</w:t>
      </w:r>
      <w:r>
        <w:rPr>
          <w:rFonts w:hint="cs"/>
          <w:rtl/>
        </w:rPr>
        <w:t xml:space="preserve"> </w:t>
      </w:r>
      <w:bookmarkStart w:id="21277" w:name="_ETM_Q31_719700"/>
      <w:bookmarkEnd w:id="21277"/>
      <w:r>
        <w:rPr>
          <w:rFonts w:hint="cs"/>
          <w:rtl/>
        </w:rPr>
        <w:t>אדוני</w:t>
      </w:r>
      <w:r w:rsidR="00C02051">
        <w:rPr>
          <w:rFonts w:hint="cs"/>
          <w:rtl/>
        </w:rPr>
        <w:t>,</w:t>
      </w:r>
      <w:r>
        <w:rPr>
          <w:rFonts w:hint="cs"/>
          <w:rtl/>
        </w:rPr>
        <w:t xml:space="preserve"> </w:t>
      </w:r>
      <w:bookmarkStart w:id="21278" w:name="_ETM_Q31_720030"/>
      <w:bookmarkEnd w:id="21278"/>
      <w:r>
        <w:rPr>
          <w:rFonts w:hint="cs"/>
          <w:rtl/>
        </w:rPr>
        <w:t xml:space="preserve">שתהיה </w:t>
      </w:r>
      <w:bookmarkStart w:id="21279" w:name="_ETM_Q31_720480"/>
      <w:bookmarkEnd w:id="21279"/>
      <w:r>
        <w:rPr>
          <w:rFonts w:hint="cs"/>
          <w:rtl/>
        </w:rPr>
        <w:t xml:space="preserve">בריא </w:t>
      </w:r>
      <w:bookmarkStart w:id="21280" w:name="_ETM_Q31_722270"/>
      <w:bookmarkEnd w:id="21280"/>
      <w:r>
        <w:rPr>
          <w:rFonts w:hint="cs"/>
          <w:rtl/>
        </w:rPr>
        <w:t xml:space="preserve">ושתחזור </w:t>
      </w:r>
      <w:bookmarkStart w:id="21281" w:name="_ETM_Q31_722959"/>
      <w:bookmarkEnd w:id="21281"/>
      <w:r>
        <w:rPr>
          <w:rFonts w:hint="cs"/>
          <w:rtl/>
        </w:rPr>
        <w:t xml:space="preserve">לכאן, </w:t>
      </w:r>
      <w:bookmarkStart w:id="21282" w:name="_ETM_Q31_723980"/>
      <w:bookmarkEnd w:id="21282"/>
      <w:r>
        <w:rPr>
          <w:rFonts w:hint="cs"/>
          <w:rtl/>
        </w:rPr>
        <w:t xml:space="preserve">שתהיה </w:t>
      </w:r>
      <w:bookmarkStart w:id="21283" w:name="_ETM_Q31_724429"/>
      <w:bookmarkEnd w:id="21283"/>
      <w:r>
        <w:rPr>
          <w:rFonts w:hint="cs"/>
          <w:rtl/>
        </w:rPr>
        <w:t xml:space="preserve">בריא. </w:t>
      </w:r>
      <w:bookmarkStart w:id="21284" w:name="_ETM_Q31_726379"/>
      <w:bookmarkEnd w:id="21284"/>
      <w:r>
        <w:rPr>
          <w:rFonts w:hint="cs"/>
          <w:rtl/>
        </w:rPr>
        <w:t xml:space="preserve">אבל </w:t>
      </w:r>
      <w:bookmarkStart w:id="21285" w:name="_ETM_Q31_726829"/>
      <w:bookmarkEnd w:id="21285"/>
      <w:r>
        <w:rPr>
          <w:rFonts w:hint="cs"/>
          <w:rtl/>
        </w:rPr>
        <w:t xml:space="preserve">אני </w:t>
      </w:r>
      <w:bookmarkStart w:id="21286" w:name="_ETM_Q31_727040"/>
      <w:bookmarkEnd w:id="21286"/>
      <w:r>
        <w:rPr>
          <w:rFonts w:hint="cs"/>
          <w:rtl/>
        </w:rPr>
        <w:t xml:space="preserve">שוב </w:t>
      </w:r>
      <w:bookmarkStart w:id="21287" w:name="_ETM_Q31_727370"/>
      <w:bookmarkEnd w:id="21287"/>
      <w:r>
        <w:rPr>
          <w:rFonts w:hint="cs"/>
          <w:rtl/>
        </w:rPr>
        <w:t xml:space="preserve">קורא </w:t>
      </w:r>
      <w:bookmarkStart w:id="21288" w:name="_ETM_Q31_727730"/>
      <w:bookmarkEnd w:id="21288"/>
      <w:r>
        <w:rPr>
          <w:rFonts w:hint="cs"/>
          <w:rtl/>
        </w:rPr>
        <w:t xml:space="preserve">לך: </w:t>
      </w:r>
      <w:bookmarkStart w:id="21289" w:name="_ETM_Q31_728150"/>
      <w:bookmarkEnd w:id="21289"/>
      <w:r>
        <w:rPr>
          <w:rFonts w:hint="cs"/>
          <w:rtl/>
        </w:rPr>
        <w:t xml:space="preserve">צא </w:t>
      </w:r>
      <w:bookmarkStart w:id="21290" w:name="_ETM_Q31_728689"/>
      <w:bookmarkEnd w:id="21290"/>
      <w:r>
        <w:rPr>
          <w:rFonts w:hint="cs"/>
          <w:rtl/>
        </w:rPr>
        <w:t xml:space="preserve">מתוך </w:t>
      </w:r>
      <w:bookmarkStart w:id="21291" w:name="_ETM_Q31_729999"/>
      <w:bookmarkEnd w:id="21291"/>
      <w:r>
        <w:rPr>
          <w:rFonts w:hint="cs"/>
          <w:rtl/>
        </w:rPr>
        <w:t xml:space="preserve">מקום </w:t>
      </w:r>
      <w:bookmarkStart w:id="21292" w:name="_ETM_Q31_730719"/>
      <w:bookmarkEnd w:id="21292"/>
      <w:r>
        <w:rPr>
          <w:rFonts w:hint="cs"/>
          <w:rtl/>
        </w:rPr>
        <w:t xml:space="preserve">השבי </w:t>
      </w:r>
      <w:bookmarkStart w:id="21293" w:name="_ETM_Q31_731969"/>
      <w:bookmarkEnd w:id="21293"/>
      <w:r>
        <w:rPr>
          <w:rFonts w:hint="cs"/>
          <w:rtl/>
        </w:rPr>
        <w:t xml:space="preserve">שלך. </w:t>
      </w:r>
      <w:bookmarkStart w:id="21294" w:name="_ETM_Q31_734099"/>
      <w:bookmarkEnd w:id="21294"/>
      <w:r>
        <w:rPr>
          <w:rFonts w:hint="cs"/>
          <w:rtl/>
        </w:rPr>
        <w:t xml:space="preserve">אתה </w:t>
      </w:r>
      <w:bookmarkStart w:id="21295" w:name="_ETM_Q31_734520"/>
      <w:bookmarkEnd w:id="21295"/>
      <w:r>
        <w:rPr>
          <w:rFonts w:hint="cs"/>
          <w:rtl/>
        </w:rPr>
        <w:t xml:space="preserve">ראש </w:t>
      </w:r>
      <w:bookmarkStart w:id="21296" w:name="_ETM_Q31_734760"/>
      <w:bookmarkEnd w:id="21296"/>
      <w:r>
        <w:rPr>
          <w:rFonts w:hint="cs"/>
          <w:rtl/>
        </w:rPr>
        <w:t xml:space="preserve">ממשלת </w:t>
      </w:r>
      <w:bookmarkStart w:id="21297" w:name="_ETM_Q31_735330"/>
      <w:bookmarkEnd w:id="21297"/>
      <w:r>
        <w:rPr>
          <w:rFonts w:hint="cs"/>
          <w:rtl/>
        </w:rPr>
        <w:t xml:space="preserve">ישראל, </w:t>
      </w:r>
      <w:bookmarkStart w:id="21298" w:name="_ETM_Q31_735900"/>
      <w:bookmarkEnd w:id="21298"/>
      <w:r>
        <w:rPr>
          <w:rFonts w:hint="cs"/>
          <w:rtl/>
        </w:rPr>
        <w:t xml:space="preserve">אתה </w:t>
      </w:r>
      <w:bookmarkStart w:id="21299" w:name="_ETM_Q31_736110"/>
      <w:bookmarkEnd w:id="21299"/>
      <w:r>
        <w:rPr>
          <w:rFonts w:hint="cs"/>
          <w:rtl/>
        </w:rPr>
        <w:t xml:space="preserve">ראש </w:t>
      </w:r>
      <w:bookmarkStart w:id="21300" w:name="_ETM_Q31_736320"/>
      <w:bookmarkEnd w:id="21300"/>
      <w:r>
        <w:rPr>
          <w:rFonts w:hint="cs"/>
          <w:rtl/>
        </w:rPr>
        <w:t xml:space="preserve">הממשלה </w:t>
      </w:r>
      <w:bookmarkStart w:id="21301" w:name="_ETM_Q31_737010"/>
      <w:bookmarkEnd w:id="21301"/>
      <w:r>
        <w:rPr>
          <w:rFonts w:hint="cs"/>
          <w:rtl/>
        </w:rPr>
        <w:t xml:space="preserve">של </w:t>
      </w:r>
      <w:bookmarkStart w:id="21302" w:name="_ETM_Q31_737370"/>
      <w:bookmarkEnd w:id="21302"/>
      <w:r>
        <w:rPr>
          <w:rFonts w:hint="cs"/>
          <w:rtl/>
        </w:rPr>
        <w:t xml:space="preserve">כולם, </w:t>
      </w:r>
      <w:bookmarkStart w:id="21303" w:name="_ETM_Q31_738540"/>
      <w:bookmarkEnd w:id="21303"/>
      <w:r>
        <w:rPr>
          <w:rFonts w:hint="cs"/>
          <w:rtl/>
        </w:rPr>
        <w:t xml:space="preserve">תקשיב </w:t>
      </w:r>
      <w:bookmarkStart w:id="21304" w:name="_ETM_Q31_739230"/>
      <w:bookmarkEnd w:id="21304"/>
      <w:r>
        <w:rPr>
          <w:rFonts w:hint="cs"/>
          <w:rtl/>
        </w:rPr>
        <w:t xml:space="preserve">לרחשי </w:t>
      </w:r>
      <w:bookmarkStart w:id="21305" w:name="_ETM_Q31_739860"/>
      <w:bookmarkEnd w:id="21305"/>
      <w:r>
        <w:rPr>
          <w:rFonts w:hint="cs"/>
          <w:rtl/>
        </w:rPr>
        <w:t xml:space="preserve">הלב, </w:t>
      </w:r>
      <w:bookmarkStart w:id="21306" w:name="_ETM_Q31_742030"/>
      <w:bookmarkEnd w:id="21306"/>
      <w:r>
        <w:rPr>
          <w:rFonts w:hint="cs"/>
          <w:rtl/>
        </w:rPr>
        <w:t xml:space="preserve">אל </w:t>
      </w:r>
      <w:bookmarkStart w:id="21307" w:name="_ETM_Q31_742419"/>
      <w:bookmarkEnd w:id="21307"/>
      <w:r>
        <w:rPr>
          <w:rFonts w:hint="cs"/>
          <w:rtl/>
        </w:rPr>
        <w:t xml:space="preserve">תקשיב </w:t>
      </w:r>
      <w:bookmarkStart w:id="21308" w:name="_ETM_Q31_742929"/>
      <w:bookmarkEnd w:id="21308"/>
      <w:r>
        <w:rPr>
          <w:rFonts w:hint="cs"/>
          <w:rtl/>
        </w:rPr>
        <w:t xml:space="preserve">רק </w:t>
      </w:r>
      <w:bookmarkStart w:id="21309" w:name="_ETM_Q31_743139"/>
      <w:bookmarkEnd w:id="21309"/>
      <w:r>
        <w:rPr>
          <w:rFonts w:hint="cs"/>
          <w:rtl/>
        </w:rPr>
        <w:t xml:space="preserve">לסביבה </w:t>
      </w:r>
      <w:bookmarkStart w:id="21310" w:name="_ETM_Q31_743800"/>
      <w:bookmarkEnd w:id="21310"/>
      <w:r>
        <w:rPr>
          <w:rFonts w:hint="cs"/>
          <w:rtl/>
        </w:rPr>
        <w:t xml:space="preserve">הקרובה </w:t>
      </w:r>
      <w:bookmarkStart w:id="21311" w:name="_ETM_Q31_744429"/>
      <w:bookmarkEnd w:id="21311"/>
      <w:r>
        <w:rPr>
          <w:rFonts w:hint="cs"/>
          <w:rtl/>
        </w:rPr>
        <w:t xml:space="preserve">אליך. </w:t>
      </w:r>
      <w:bookmarkStart w:id="21312" w:name="_ETM_Q31_745300"/>
      <w:bookmarkEnd w:id="21312"/>
      <w:r>
        <w:rPr>
          <w:rFonts w:hint="cs"/>
          <w:rtl/>
        </w:rPr>
        <w:t xml:space="preserve">אל </w:t>
      </w:r>
      <w:bookmarkStart w:id="21313" w:name="_ETM_Q31_745539"/>
      <w:bookmarkEnd w:id="21313"/>
      <w:r>
        <w:rPr>
          <w:rFonts w:hint="cs"/>
          <w:rtl/>
        </w:rPr>
        <w:t xml:space="preserve">תקשיב </w:t>
      </w:r>
      <w:bookmarkStart w:id="21314" w:name="_ETM_Q31_746080"/>
      <w:bookmarkEnd w:id="21314"/>
      <w:r>
        <w:rPr>
          <w:rFonts w:hint="cs"/>
          <w:rtl/>
        </w:rPr>
        <w:t xml:space="preserve">רק </w:t>
      </w:r>
      <w:bookmarkStart w:id="21315" w:name="_ETM_Q31_746289"/>
      <w:bookmarkEnd w:id="21315"/>
      <w:r>
        <w:rPr>
          <w:rFonts w:hint="cs"/>
          <w:rtl/>
        </w:rPr>
        <w:t xml:space="preserve">לסמוטריץ', </w:t>
      </w:r>
      <w:bookmarkStart w:id="21316" w:name="_ETM_Q31_747639"/>
      <w:bookmarkEnd w:id="21316"/>
      <w:r>
        <w:rPr>
          <w:rFonts w:hint="cs"/>
          <w:rtl/>
        </w:rPr>
        <w:t xml:space="preserve">לוין, </w:t>
      </w:r>
      <w:bookmarkStart w:id="21317" w:name="_ETM_Q31_748800"/>
      <w:bookmarkEnd w:id="21317"/>
      <w:r>
        <w:rPr>
          <w:rFonts w:hint="cs"/>
          <w:rtl/>
        </w:rPr>
        <w:t xml:space="preserve">רוטמן </w:t>
      </w:r>
      <w:bookmarkStart w:id="21318" w:name="_ETM_Q31_750470"/>
      <w:bookmarkEnd w:id="21318"/>
      <w:r>
        <w:rPr>
          <w:rFonts w:hint="cs"/>
          <w:rtl/>
        </w:rPr>
        <w:t xml:space="preserve">ועוד </w:t>
      </w:r>
      <w:bookmarkStart w:id="21319" w:name="_ETM_Q31_751010"/>
      <w:bookmarkEnd w:id="21319"/>
      <w:r>
        <w:rPr>
          <w:rFonts w:hint="cs"/>
          <w:rtl/>
        </w:rPr>
        <w:t xml:space="preserve">ועוד </w:t>
      </w:r>
      <w:bookmarkStart w:id="21320" w:name="_ETM_Q31_752270"/>
      <w:bookmarkEnd w:id="21320"/>
      <w:r>
        <w:rPr>
          <w:rFonts w:hint="cs"/>
          <w:rtl/>
        </w:rPr>
        <w:t xml:space="preserve">קיצוניים </w:t>
      </w:r>
      <w:bookmarkStart w:id="21321" w:name="_ETM_Q31_753140"/>
      <w:bookmarkEnd w:id="21321"/>
      <w:r>
        <w:rPr>
          <w:rFonts w:hint="cs"/>
          <w:rtl/>
        </w:rPr>
        <w:t>בסביבתך; תקשיב לקול השפוי, לרוב של המדינה הזאת.</w:t>
      </w:r>
    </w:p>
    <w:p w:rsidR="00BB59CD" w:rsidRDefault="00BB59CD" w:rsidP="00BB59CD">
      <w:pPr>
        <w:rPr>
          <w:rtl/>
        </w:rPr>
      </w:pPr>
    </w:p>
    <w:p w:rsidR="00BB59CD" w:rsidRDefault="00BB59CD" w:rsidP="00BB59CD">
      <w:pPr>
        <w:rPr>
          <w:rtl/>
          <w:lang w:eastAsia="he-IL"/>
        </w:rPr>
      </w:pPr>
      <w:bookmarkStart w:id="21322" w:name="TOR_Q32"/>
      <w:bookmarkEnd w:id="21322"/>
      <w:r>
        <w:rPr>
          <w:rFonts w:hint="cs"/>
          <w:rtl/>
          <w:lang w:eastAsia="he-IL"/>
        </w:rPr>
        <w:t xml:space="preserve">אנחנו נמשיך להילחם ברחובות, אדוני ראש הממשלה. אנחנו נהיה בצמתים, בכיכרות, בכל </w:t>
      </w:r>
      <w:bookmarkStart w:id="21323" w:name="_ETM_Q32_168000"/>
      <w:bookmarkEnd w:id="21323"/>
      <w:r>
        <w:rPr>
          <w:rFonts w:hint="cs"/>
          <w:rtl/>
          <w:lang w:eastAsia="he-IL"/>
        </w:rPr>
        <w:t xml:space="preserve">מקום. זאת העוצמה שנשארה בידי האזרחים והאזרחיות שהדמוקרטיה יקרה להם מכול. הצלחתם להרוס את המושג צבא </w:t>
      </w:r>
      <w:bookmarkStart w:id="21324" w:name="_ETM_Q32_180000"/>
      <w:bookmarkEnd w:id="21324"/>
      <w:r>
        <w:rPr>
          <w:rFonts w:hint="cs"/>
          <w:rtl/>
          <w:lang w:eastAsia="he-IL"/>
        </w:rPr>
        <w:t xml:space="preserve">העם. אמרתם: מי שבצבא ולא מסכים איתנו, שילך לעזאזל. אנחנו נחזיר את הכבוד לצבא העם. ואני מודה לכל האנשים שנמצאים ברחובות, וגם לאלה שלא נמצאים ברחובות. אתם מפיחים רוח חיים במדינה </w:t>
      </w:r>
      <w:bookmarkStart w:id="21325" w:name="_ETM_Q32_209000"/>
      <w:bookmarkEnd w:id="21325"/>
      <w:r>
        <w:rPr>
          <w:rFonts w:hint="cs"/>
          <w:rtl/>
          <w:lang w:eastAsia="he-IL"/>
        </w:rPr>
        <w:t xml:space="preserve">הזאת בשעותיה הקשות ביותר. תודה רבה לכל אחד, אתמול, עם התרמיל ועם הדגל ועם בקבוק </w:t>
      </w:r>
      <w:bookmarkStart w:id="21326" w:name="_ETM_Q32_221000"/>
      <w:bookmarkEnd w:id="21326"/>
      <w:r>
        <w:rPr>
          <w:rFonts w:hint="cs"/>
          <w:rtl/>
          <w:lang w:eastAsia="he-IL"/>
        </w:rPr>
        <w:t xml:space="preserve">המים, שצעד ושר בגרון ניחר עד כמה הוא אוהב את המדינה הזאת. לא ניתן לכם להרוס אותה בשום פנים ואופן. </w:t>
      </w:r>
    </w:p>
    <w:p w:rsidR="00BB59CD" w:rsidRDefault="00BB59CD" w:rsidP="00BB59CD">
      <w:pPr>
        <w:rPr>
          <w:rtl/>
          <w:lang w:eastAsia="he-IL"/>
        </w:rPr>
      </w:pPr>
      <w:bookmarkStart w:id="21327" w:name="_ETM_Q32_239866"/>
      <w:bookmarkStart w:id="21328" w:name="_ETM_Q32_239923"/>
      <w:bookmarkEnd w:id="21327"/>
      <w:bookmarkEnd w:id="21328"/>
    </w:p>
    <w:p w:rsidR="00BB59CD" w:rsidRDefault="00BB59CD" w:rsidP="00BB59CD">
      <w:pPr>
        <w:rPr>
          <w:rtl/>
          <w:lang w:eastAsia="he-IL"/>
        </w:rPr>
      </w:pPr>
      <w:bookmarkStart w:id="21329" w:name="_ETM_Q32_240005"/>
      <w:bookmarkStart w:id="21330" w:name="_ETM_Q32_240083"/>
      <w:bookmarkEnd w:id="21329"/>
      <w:bookmarkEnd w:id="21330"/>
      <w:r>
        <w:rPr>
          <w:rFonts w:hint="cs"/>
          <w:rtl/>
          <w:lang w:eastAsia="he-IL"/>
        </w:rPr>
        <w:t xml:space="preserve">כאב גדול. כאב גדול. רשומים ציטוטים, אלעזר, של מה ששרים אמרו על האנשים האלה, אני אפילו </w:t>
      </w:r>
      <w:bookmarkStart w:id="21331" w:name="_ETM_Q32_246000"/>
      <w:bookmarkEnd w:id="21331"/>
      <w:r>
        <w:rPr>
          <w:rFonts w:hint="cs"/>
          <w:rtl/>
          <w:lang w:eastAsia="he-IL"/>
        </w:rPr>
        <w:t xml:space="preserve">לא רוצה לחזור על זה. כאב גדול. מעולם לא חשבנו שאנחנו נגיע למצב שבו אנחנו מתמודדים עם משבר כזה. שבר </w:t>
      </w:r>
      <w:bookmarkStart w:id="21332" w:name="_ETM_Q32_256000"/>
      <w:bookmarkEnd w:id="21332"/>
      <w:r>
        <w:rPr>
          <w:rFonts w:hint="cs"/>
          <w:rtl/>
          <w:lang w:eastAsia="he-IL"/>
        </w:rPr>
        <w:t xml:space="preserve">כל כך גדול בין ממשלה לבין אזרחיה. ואנחנו יודעים שנבחרתם, אל תזכירו לנו את זה. </w:t>
      </w:r>
      <w:bookmarkStart w:id="21333" w:name="_ETM_Q32_265000"/>
      <w:bookmarkEnd w:id="21333"/>
      <w:r>
        <w:rPr>
          <w:rFonts w:hint="cs"/>
          <w:rtl/>
          <w:lang w:eastAsia="he-IL"/>
        </w:rPr>
        <w:t>אין לנו שום ספק</w:t>
      </w:r>
      <w:r w:rsidR="00C02051">
        <w:rPr>
          <w:rFonts w:hint="cs"/>
          <w:rtl/>
          <w:lang w:eastAsia="he-IL"/>
        </w:rPr>
        <w:t>,</w:t>
      </w:r>
      <w:r>
        <w:rPr>
          <w:rFonts w:hint="cs"/>
          <w:rtl/>
          <w:lang w:eastAsia="he-IL"/>
        </w:rPr>
        <w:t xml:space="preserve"> ואנחנו כיבדנו את הכרעת הרוב; אנחנו לא נקבל את עריצות הרוב. את ההרעה קיבלנו, יש לכם 64 מנדטים, אוקיי, אבל להפוך את 64 המנדטים האלה לעריצות – לזה, כמו שעיניכם </w:t>
      </w:r>
      <w:bookmarkStart w:id="21334" w:name="_ETM_Q32_286000"/>
      <w:bookmarkEnd w:id="21334"/>
      <w:r>
        <w:rPr>
          <w:rFonts w:hint="cs"/>
          <w:rtl/>
          <w:lang w:eastAsia="he-IL"/>
        </w:rPr>
        <w:t xml:space="preserve">רואות ואוזניכם שומעות, העם לא יסכים, לזה העם לא יסכים. העליתם את צה"ל על המוקד. במקום לנסות להבין ממה השבר נובע, החלטתם להעמיק אותו ולהעצים אותו. </w:t>
      </w:r>
    </w:p>
    <w:p w:rsidR="00BB59CD" w:rsidRDefault="00BB59CD" w:rsidP="00BB59CD">
      <w:pPr>
        <w:rPr>
          <w:rtl/>
          <w:lang w:eastAsia="he-IL"/>
        </w:rPr>
      </w:pPr>
    </w:p>
    <w:p w:rsidR="00BB59CD" w:rsidRDefault="00BB59CD" w:rsidP="00C02051">
      <w:pPr>
        <w:rPr>
          <w:rtl/>
          <w:lang w:eastAsia="he-IL"/>
        </w:rPr>
      </w:pPr>
      <w:bookmarkStart w:id="21335" w:name="_ETM_Q32_315000"/>
      <w:bookmarkEnd w:id="21335"/>
      <w:r>
        <w:rPr>
          <w:rFonts w:hint="cs"/>
          <w:rtl/>
          <w:lang w:eastAsia="he-IL"/>
        </w:rPr>
        <w:t xml:space="preserve">פיטורים פוליטיים, למנות את היועצים המשפטיים – אני לא מבין מי צריך את זה, אדוני </w:t>
      </w:r>
      <w:bookmarkStart w:id="21336" w:name="_ETM_Q32_327000"/>
      <w:bookmarkEnd w:id="21336"/>
      <w:r>
        <w:rPr>
          <w:rFonts w:hint="cs"/>
          <w:rtl/>
          <w:lang w:eastAsia="he-IL"/>
        </w:rPr>
        <w:t xml:space="preserve">היושב-ראש. הייתי ראש עיר, הייתי שר פעמיים, מי אמר שהיועצים המשפטיים הם האויבים שלנו? כי שר מסוים התווכח עם היועץ המשפטי? אז מה? כשנכנסתי לתפקידי קראתי לשני אנשים, קראתי ליועץ המשפטי וקראתי לגזבר, ואמרתי, חבריא, אתם תבצעו את </w:t>
      </w:r>
      <w:bookmarkStart w:id="21337" w:name="_ETM_Q32_356000"/>
      <w:bookmarkEnd w:id="21337"/>
      <w:r>
        <w:rPr>
          <w:rFonts w:hint="cs"/>
          <w:rtl/>
          <w:lang w:eastAsia="he-IL"/>
        </w:rPr>
        <w:t xml:space="preserve">המדיניות שלי, אבל אתם גם תגנו עליי ותסתכלו על קבלת </w:t>
      </w:r>
      <w:bookmarkStart w:id="21338" w:name="_ETM_Q32_362000"/>
      <w:bookmarkEnd w:id="21338"/>
      <w:r>
        <w:rPr>
          <w:rFonts w:hint="cs"/>
          <w:rtl/>
          <w:lang w:eastAsia="he-IL"/>
        </w:rPr>
        <w:t>ההחלטות שלי. ואם צריך, תעירו לי. כך נוהגת מדינה מתוקנת. אבל השררה, הכוח – עכשיו מינו אותי לשר, אני אמנה את מי שאני רוצה</w:t>
      </w:r>
      <w:r w:rsidR="00C02051">
        <w:rPr>
          <w:rFonts w:hint="cs"/>
          <w:rtl/>
          <w:lang w:eastAsia="he-IL"/>
        </w:rPr>
        <w:t>.</w:t>
      </w:r>
      <w:r>
        <w:rPr>
          <w:rFonts w:hint="cs"/>
          <w:rtl/>
          <w:lang w:eastAsia="he-IL"/>
        </w:rPr>
        <w:t xml:space="preserve"> </w:t>
      </w:r>
      <w:bookmarkStart w:id="21339" w:name="_ETM_Q32_383000"/>
      <w:bookmarkEnd w:id="21339"/>
      <w:r>
        <w:rPr>
          <w:rFonts w:hint="cs"/>
          <w:rtl/>
          <w:lang w:eastAsia="he-IL"/>
        </w:rPr>
        <w:t xml:space="preserve">כמה פעמים בג"ץ השתמש בעילת הסבירות? אתם מפיצים שקר, אתם מפיצים פייק ניוז. אילולא הבג"ץ, תלמידי העוטף הרבה שנים היו יושבים בתוך כיתות </w:t>
      </w:r>
      <w:bookmarkStart w:id="21340" w:name="_ETM_Q32_405000"/>
      <w:bookmarkEnd w:id="21340"/>
      <w:r>
        <w:rPr>
          <w:rFonts w:hint="cs"/>
          <w:rtl/>
          <w:lang w:eastAsia="he-IL"/>
        </w:rPr>
        <w:t xml:space="preserve">לא ממוגנות. זה מדהים, אלעזר, אבל שר המשפטים לוין, ב-2006, הגיש בג"ץ כנגד ראש הממשלה דאז אולמרט. </w:t>
      </w:r>
    </w:p>
    <w:p w:rsidR="00BB59CD" w:rsidRDefault="00BB59CD" w:rsidP="00BB59CD">
      <w:pPr>
        <w:rPr>
          <w:rtl/>
          <w:lang w:eastAsia="he-IL"/>
        </w:rPr>
      </w:pPr>
    </w:p>
    <w:p w:rsidR="00BB59CD" w:rsidRDefault="00BB59CD" w:rsidP="00BB59CD">
      <w:pPr>
        <w:pStyle w:val="af8"/>
        <w:keepNext/>
        <w:rPr>
          <w:rtl/>
        </w:rPr>
      </w:pPr>
      <w:bookmarkStart w:id="21341" w:name="ET_interruption_5109_3"/>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2134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על עילת הסבירות. </w:t>
      </w:r>
    </w:p>
    <w:p w:rsidR="00BB59CD" w:rsidRDefault="00BB59CD" w:rsidP="00BB59CD">
      <w:pPr>
        <w:rPr>
          <w:rtl/>
          <w:lang w:eastAsia="he-IL"/>
        </w:rPr>
      </w:pPr>
    </w:p>
    <w:p w:rsidR="00BB59CD" w:rsidRDefault="00BB59CD" w:rsidP="00BB59CD">
      <w:pPr>
        <w:pStyle w:val="-"/>
        <w:keepNext/>
        <w:rPr>
          <w:rtl/>
        </w:rPr>
      </w:pPr>
      <w:bookmarkStart w:id="21342" w:name="ET_speakercontinue_5082_4"/>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21342"/>
    </w:p>
    <w:p w:rsidR="00BB59CD" w:rsidRDefault="00BB59CD" w:rsidP="00337201">
      <w:pPr>
        <w:rPr>
          <w:rtl/>
          <w:lang w:eastAsia="he-IL"/>
        </w:rPr>
      </w:pPr>
    </w:p>
    <w:p w:rsidR="00BB59CD" w:rsidRDefault="00BB59CD" w:rsidP="00C02051">
      <w:pPr>
        <w:rPr>
          <w:rtl/>
          <w:lang w:eastAsia="he-IL"/>
        </w:rPr>
      </w:pPr>
      <w:r>
        <w:rPr>
          <w:rFonts w:hint="cs"/>
          <w:rtl/>
          <w:lang w:eastAsia="he-IL"/>
        </w:rPr>
        <w:t xml:space="preserve">על עילת הסבירות. אגב, הבג"ץ שלו </w:t>
      </w:r>
      <w:bookmarkStart w:id="21343" w:name="_ETM_Q32_426000"/>
      <w:bookmarkEnd w:id="21343"/>
      <w:r>
        <w:rPr>
          <w:rFonts w:hint="cs"/>
          <w:rtl/>
          <w:lang w:eastAsia="he-IL"/>
        </w:rPr>
        <w:t>היה נכון. שר המשפטים לוין פנה ב-2006 ו</w:t>
      </w:r>
      <w:r w:rsidR="00C02051">
        <w:rPr>
          <w:rFonts w:hint="cs"/>
          <w:rtl/>
          <w:lang w:eastAsia="he-IL"/>
        </w:rPr>
        <w:t xml:space="preserve">שאל </w:t>
      </w:r>
      <w:r>
        <w:rPr>
          <w:rFonts w:hint="cs"/>
          <w:rtl/>
          <w:lang w:eastAsia="he-IL"/>
        </w:rPr>
        <w:t>למה אולמרט, ראש הממשלה, לא ממנה שר רווחה</w:t>
      </w:r>
      <w:r w:rsidR="00C02051">
        <w:rPr>
          <w:rFonts w:hint="cs"/>
          <w:rtl/>
          <w:lang w:eastAsia="he-IL"/>
        </w:rPr>
        <w:t>.</w:t>
      </w:r>
      <w:r>
        <w:rPr>
          <w:rFonts w:hint="cs"/>
          <w:rtl/>
          <w:lang w:eastAsia="he-IL"/>
        </w:rPr>
        <w:t xml:space="preserve"> אגב, הסכמתי איתו, המדינה הזאת לא יכולה להתקיים </w:t>
      </w:r>
      <w:bookmarkStart w:id="21344" w:name="_ETM_Q32_446000"/>
      <w:bookmarkEnd w:id="21344"/>
      <w:r>
        <w:rPr>
          <w:rFonts w:hint="cs"/>
          <w:rtl/>
          <w:lang w:eastAsia="he-IL"/>
        </w:rPr>
        <w:t xml:space="preserve">- - </w:t>
      </w:r>
    </w:p>
    <w:p w:rsidR="00BB59CD" w:rsidRDefault="00BB59CD" w:rsidP="00BB59CD">
      <w:pPr>
        <w:rPr>
          <w:rtl/>
          <w:lang w:eastAsia="he-IL"/>
        </w:rPr>
      </w:pPr>
    </w:p>
    <w:p w:rsidR="00BB59CD" w:rsidRDefault="00BB59CD" w:rsidP="00BB59CD">
      <w:pPr>
        <w:pStyle w:val="af8"/>
        <w:keepNext/>
        <w:rPr>
          <w:rtl/>
        </w:rPr>
      </w:pPr>
      <w:bookmarkStart w:id="21345" w:name="ET_interruption_5109_5"/>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2134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במיוחד כשר רווחה. </w:t>
      </w:r>
    </w:p>
    <w:p w:rsidR="00BB59CD" w:rsidRDefault="00BB59CD" w:rsidP="00BB59CD">
      <w:pPr>
        <w:rPr>
          <w:rtl/>
          <w:lang w:eastAsia="he-IL"/>
        </w:rPr>
      </w:pPr>
    </w:p>
    <w:p w:rsidR="00BB59CD" w:rsidRDefault="00BB59CD" w:rsidP="00BB59CD">
      <w:pPr>
        <w:pStyle w:val="-"/>
        <w:keepNext/>
        <w:rPr>
          <w:rtl/>
        </w:rPr>
      </w:pPr>
      <w:bookmarkStart w:id="21346" w:name="ET_speakercontinue_5082_6"/>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21346"/>
    </w:p>
    <w:p w:rsidR="00BB59CD" w:rsidRDefault="00BB59CD" w:rsidP="00337201">
      <w:pPr>
        <w:rPr>
          <w:rtl/>
          <w:lang w:eastAsia="he-IL"/>
        </w:rPr>
      </w:pPr>
    </w:p>
    <w:p w:rsidR="00BB59CD" w:rsidRDefault="00C02051" w:rsidP="00C02051">
      <w:pPr>
        <w:rPr>
          <w:rtl/>
          <w:lang w:eastAsia="he-IL"/>
        </w:rPr>
      </w:pPr>
      <w:r>
        <w:rPr>
          <w:rFonts w:hint="cs"/>
          <w:rtl/>
          <w:lang w:eastAsia="he-IL"/>
        </w:rPr>
        <w:t xml:space="preserve"> - - </w:t>
      </w:r>
      <w:r w:rsidR="00BB59CD">
        <w:rPr>
          <w:rFonts w:hint="cs"/>
          <w:rtl/>
          <w:lang w:eastAsia="he-IL"/>
        </w:rPr>
        <w:t xml:space="preserve">כשכל פעם מחליטים שהשר הזה, צריך לנפנף אותו. </w:t>
      </w:r>
      <w:bookmarkStart w:id="21347" w:name="_ETM_Q32_454000"/>
      <w:bookmarkEnd w:id="21347"/>
      <w:r w:rsidR="00BB59CD">
        <w:rPr>
          <w:rFonts w:hint="cs"/>
          <w:rtl/>
          <w:lang w:eastAsia="he-IL"/>
        </w:rPr>
        <w:t>והוא זכה</w:t>
      </w:r>
      <w:r>
        <w:rPr>
          <w:rFonts w:hint="cs"/>
          <w:rtl/>
          <w:lang w:eastAsia="he-IL"/>
        </w:rPr>
        <w:t>,</w:t>
      </w:r>
      <w:r w:rsidR="00BB59CD">
        <w:rPr>
          <w:rFonts w:hint="cs"/>
          <w:rtl/>
          <w:lang w:eastAsia="he-IL"/>
        </w:rPr>
        <w:t xml:space="preserve"> אותו שר משפטים עומד כאן ובלי להתפתל ובלי להתבייש מספר לכולנו שאבי</w:t>
      </w:r>
      <w:r>
        <w:rPr>
          <w:rFonts w:hint="cs"/>
          <w:rtl/>
          <w:lang w:eastAsia="he-IL"/>
        </w:rPr>
        <w:t xml:space="preserve"> </w:t>
      </w:r>
      <w:r w:rsidR="00BB59CD">
        <w:rPr>
          <w:rFonts w:hint="cs"/>
          <w:rtl/>
          <w:lang w:eastAsia="he-IL"/>
        </w:rPr>
        <w:t xml:space="preserve">אבות הטומאה זה עילת הסבירות. אז אדוני היושב-ראש, לא ולא. עילת הסבירות אמורה </w:t>
      </w:r>
      <w:bookmarkStart w:id="21348" w:name="_ETM_Q32_474000"/>
      <w:bookmarkEnd w:id="21348"/>
      <w:r w:rsidR="00BB59CD">
        <w:rPr>
          <w:rFonts w:hint="cs"/>
          <w:rtl/>
          <w:lang w:eastAsia="he-IL"/>
        </w:rPr>
        <w:t>להבהיר לנו כמנהיגים שלא כל החלטה שלנו היא שרירה וקיימת</w:t>
      </w:r>
      <w:r>
        <w:rPr>
          <w:rFonts w:hint="cs"/>
          <w:rtl/>
          <w:lang w:eastAsia="he-IL"/>
        </w:rPr>
        <w:t>,</w:t>
      </w:r>
      <w:r w:rsidR="00BB59CD">
        <w:rPr>
          <w:rFonts w:hint="cs"/>
          <w:rtl/>
          <w:lang w:eastAsia="he-IL"/>
        </w:rPr>
        <w:t xml:space="preserve"> שכן יכולים לערער, ורצוי שיהיו עוד עיניים שיסתכלו על ההחלטות האלה. </w:t>
      </w:r>
      <w:bookmarkStart w:id="21349" w:name="_ETM_Q32_488000"/>
      <w:bookmarkEnd w:id="21349"/>
    </w:p>
    <w:p w:rsidR="00BB59CD" w:rsidRDefault="00BB59CD" w:rsidP="00BB59CD">
      <w:pPr>
        <w:rPr>
          <w:rtl/>
          <w:lang w:eastAsia="he-IL"/>
        </w:rPr>
      </w:pPr>
    </w:p>
    <w:p w:rsidR="00BB59CD" w:rsidRDefault="00BB59CD" w:rsidP="00C02051">
      <w:pPr>
        <w:rPr>
          <w:rtl/>
          <w:lang w:eastAsia="he-IL"/>
        </w:rPr>
      </w:pPr>
      <w:r>
        <w:rPr>
          <w:rFonts w:hint="cs"/>
          <w:rtl/>
          <w:lang w:eastAsia="he-IL"/>
        </w:rPr>
        <w:t>השבוע אנחנו נציין את תשעה באב, אדוני השר. פעמיים נחרב הבית הזה על שנאת חינם, וכמורה להיסטוריה אני יכול להוסיף – תמיד היינו בסכנה כשקיצונ</w:t>
      </w:r>
      <w:r w:rsidR="00C02051">
        <w:rPr>
          <w:rFonts w:hint="cs"/>
          <w:rtl/>
          <w:lang w:eastAsia="he-IL"/>
        </w:rPr>
        <w:t>י</w:t>
      </w:r>
      <w:r>
        <w:rPr>
          <w:rFonts w:hint="cs"/>
          <w:rtl/>
          <w:lang w:eastAsia="he-IL"/>
        </w:rPr>
        <w:t xml:space="preserve">ים השתלטו על השיח. אני רואה מה הם עושים ביהודה ושומרון. אני רואה איך הם מנסים לפרק הסכמות ולפרק מציאות שעזרה לנו. תושבי מדינת ישראל צריכים לדעת </w:t>
      </w:r>
      <w:bookmarkStart w:id="21350" w:name="_ETM_Q32_544000"/>
      <w:bookmarkEnd w:id="21350"/>
      <w:r>
        <w:rPr>
          <w:rFonts w:hint="cs"/>
          <w:rtl/>
          <w:lang w:eastAsia="he-IL"/>
        </w:rPr>
        <w:t xml:space="preserve">ששיתוף הפעולה עם הרשות הפלסטינית הוא חשוב מאוד. אומרים את </w:t>
      </w:r>
      <w:bookmarkStart w:id="21351" w:name="_ETM_Q32_552000"/>
      <w:bookmarkEnd w:id="21351"/>
      <w:r>
        <w:rPr>
          <w:rFonts w:hint="cs"/>
          <w:rtl/>
          <w:lang w:eastAsia="he-IL"/>
        </w:rPr>
        <w:t>זה כל אנשי הביטחון, שטרן, גם אתה. ואני שומע שרים</w:t>
      </w:r>
      <w:bookmarkStart w:id="21352" w:name="_ETM_Q32_558000"/>
      <w:bookmarkEnd w:id="21352"/>
      <w:r>
        <w:rPr>
          <w:rFonts w:hint="cs"/>
          <w:rtl/>
          <w:lang w:eastAsia="he-IL"/>
        </w:rPr>
        <w:t xml:space="preserve"> מתוך הממשלה, שמצהירים: צריך לפרק את הרשות הפלסטינית, צריך לחזור בנו מכל </w:t>
      </w:r>
      <w:bookmarkStart w:id="21353" w:name="_ETM_Q32_568000"/>
      <w:bookmarkEnd w:id="21353"/>
      <w:r>
        <w:rPr>
          <w:rFonts w:hint="cs"/>
          <w:rtl/>
          <w:lang w:eastAsia="he-IL"/>
        </w:rPr>
        <w:t xml:space="preserve">ההסכמות של אוסלו. כאילו, זהו, ברית הקנאים השתלטה על </w:t>
      </w:r>
      <w:bookmarkStart w:id="21354" w:name="_ETM_Q32_575000"/>
      <w:bookmarkEnd w:id="21354"/>
      <w:r>
        <w:rPr>
          <w:rFonts w:hint="cs"/>
          <w:rtl/>
          <w:lang w:eastAsia="he-IL"/>
        </w:rPr>
        <w:t xml:space="preserve">המדינה, מעכשיו והלאה כל דבר אפשר להרוס, אפשר לשבור. מה, אתם לא מבינים שבמקום שאין שיטור, גם כשהוא עולה ויורד, גם כשפעם הוא טוב ופעם הוא </w:t>
      </w:r>
      <w:bookmarkStart w:id="21355" w:name="_ETM_Q32_596000"/>
      <w:bookmarkEnd w:id="21355"/>
      <w:r>
        <w:rPr>
          <w:rFonts w:hint="cs"/>
          <w:rtl/>
          <w:lang w:eastAsia="he-IL"/>
        </w:rPr>
        <w:t xml:space="preserve">פחות טוב, אבל במקום שאין שיטור שנכנס לטפל בג'נין או במקום אחר, </w:t>
      </w:r>
      <w:bookmarkStart w:id="21356" w:name="_ETM_Q32_597000"/>
      <w:bookmarkEnd w:id="21356"/>
      <w:r>
        <w:rPr>
          <w:rFonts w:hint="cs"/>
          <w:rtl/>
          <w:lang w:eastAsia="he-IL"/>
        </w:rPr>
        <w:t>החיילים, הבנים שלנו, הבנות שלנו, יצטרכו להיכנס לשם ולסכן את חייהם</w:t>
      </w:r>
      <w:r w:rsidR="00C02051">
        <w:rPr>
          <w:rFonts w:hint="cs"/>
          <w:rtl/>
          <w:lang w:eastAsia="he-IL"/>
        </w:rPr>
        <w:t>?</w:t>
      </w:r>
      <w:r>
        <w:rPr>
          <w:rFonts w:hint="cs"/>
          <w:rtl/>
          <w:lang w:eastAsia="he-IL"/>
        </w:rPr>
        <w:t xml:space="preserve"> אז אם הגיעו להסכמות, למה לפרק אותה? למה? </w:t>
      </w:r>
    </w:p>
    <w:p w:rsidR="00BB59CD" w:rsidRDefault="00BB59CD" w:rsidP="00BB59CD">
      <w:pPr>
        <w:rPr>
          <w:rtl/>
          <w:lang w:eastAsia="he-IL"/>
        </w:rPr>
      </w:pPr>
    </w:p>
    <w:p w:rsidR="00BB59CD" w:rsidRDefault="00BB59CD" w:rsidP="004F0855">
      <w:pPr>
        <w:rPr>
          <w:rtl/>
          <w:lang w:eastAsia="he-IL"/>
        </w:rPr>
      </w:pPr>
      <w:bookmarkStart w:id="21357" w:name="_ETM_Q32_612000"/>
      <w:bookmarkEnd w:id="21357"/>
      <w:r>
        <w:rPr>
          <w:rFonts w:hint="cs"/>
          <w:rtl/>
          <w:lang w:eastAsia="he-IL"/>
        </w:rPr>
        <w:t xml:space="preserve">והתחושה הזאת של שרים בממשלה </w:t>
      </w:r>
      <w:r w:rsidR="00C02051">
        <w:rPr>
          <w:rFonts w:hint="cs"/>
          <w:rtl/>
          <w:lang w:eastAsia="he-IL"/>
        </w:rPr>
        <w:t>ז</w:t>
      </w:r>
      <w:r>
        <w:rPr>
          <w:rFonts w:hint="cs"/>
          <w:rtl/>
          <w:lang w:eastAsia="he-IL"/>
        </w:rPr>
        <w:t xml:space="preserve">את התחושה שמובילה אותם להרגשה שצריך וחובה לשנות את הרכבה של מדינת ישראל ולהפוך אותה למדינה אנטי-ליברלית </w:t>
      </w:r>
      <w:bookmarkStart w:id="21358" w:name="_ETM_Q32_633000"/>
      <w:bookmarkEnd w:id="21358"/>
      <w:r>
        <w:rPr>
          <w:rFonts w:hint="cs"/>
          <w:rtl/>
          <w:lang w:eastAsia="he-IL"/>
        </w:rPr>
        <w:t>ואנטי-דמוקרטית – התחושה הזאת ש</w:t>
      </w:r>
      <w:r w:rsidR="00C02051">
        <w:rPr>
          <w:rFonts w:hint="cs"/>
          <w:rtl/>
          <w:lang w:eastAsia="he-IL"/>
        </w:rPr>
        <w:t xml:space="preserve">ל: </w:t>
      </w:r>
      <w:r>
        <w:rPr>
          <w:rFonts w:hint="cs"/>
          <w:rtl/>
          <w:lang w:eastAsia="he-IL"/>
        </w:rPr>
        <w:t xml:space="preserve">אנחנו המשיחיים יודעים מה נכון </w:t>
      </w:r>
      <w:bookmarkStart w:id="21359" w:name="_ETM_Q32_637000"/>
      <w:bookmarkEnd w:id="21359"/>
      <w:r>
        <w:rPr>
          <w:rFonts w:hint="cs"/>
          <w:rtl/>
          <w:lang w:eastAsia="he-IL"/>
        </w:rPr>
        <w:t xml:space="preserve">בעולם הזה, ונכון הוא להביא את המדינה הזאת למשבר, לקונפליקט בפני כולם, העיקר שהאידיאולוגיה שלנו עבור תעבור. אז אני מודיע לכם, ברית הקיצונים, יש במדינה הזאת </w:t>
      </w:r>
      <w:bookmarkStart w:id="21360" w:name="_ETM_Q32_657000"/>
      <w:bookmarkEnd w:id="21360"/>
      <w:r>
        <w:rPr>
          <w:rFonts w:hint="cs"/>
          <w:rtl/>
          <w:lang w:eastAsia="he-IL"/>
        </w:rPr>
        <w:t xml:space="preserve">ברית גדולה יותר מכם של מתונים, של אנשים שהמדינה </w:t>
      </w:r>
      <w:bookmarkStart w:id="21361" w:name="_ETM_Q32_661000"/>
      <w:bookmarkEnd w:id="21361"/>
      <w:r>
        <w:rPr>
          <w:rFonts w:hint="cs"/>
          <w:rtl/>
          <w:lang w:eastAsia="he-IL"/>
        </w:rPr>
        <w:t xml:space="preserve">הזאת יקרה להם מאוד, של אנשים שרואים את המחר, של אנשים שמבינים שהמדינה הזאת היא חלק ממשפחת העמים, שאנחנו לא עם לבדד ישכון. אנחנו תמיד צריכים לדאוג לעצמנו ותמיד צריכים לדאוג ולסמוך עלינו, על חיילינו </w:t>
      </w:r>
      <w:r w:rsidR="004F0855">
        <w:rPr>
          <w:rFonts w:hint="eastAsia"/>
          <w:rtl/>
          <w:lang w:eastAsia="he-IL"/>
        </w:rPr>
        <w:t>–</w:t>
      </w:r>
      <w:r w:rsidR="004F0855">
        <w:rPr>
          <w:rFonts w:hint="cs"/>
          <w:rtl/>
          <w:lang w:eastAsia="he-IL"/>
        </w:rPr>
        <w:t xml:space="preserve"> </w:t>
      </w:r>
      <w:r>
        <w:rPr>
          <w:rFonts w:hint="cs"/>
          <w:rtl/>
          <w:lang w:eastAsia="he-IL"/>
        </w:rPr>
        <w:t>כן, וגם על הקדוש ברוך הוא</w:t>
      </w:r>
      <w:r w:rsidR="004F0855">
        <w:rPr>
          <w:rFonts w:hint="cs"/>
          <w:rtl/>
          <w:lang w:eastAsia="he-IL"/>
        </w:rPr>
        <w:t>,</w:t>
      </w:r>
      <w:r>
        <w:rPr>
          <w:rFonts w:hint="cs"/>
          <w:rtl/>
          <w:lang w:eastAsia="he-IL"/>
        </w:rPr>
        <w:t xml:space="preserve"> אבל אנחנו לא אמורים להתגרות באומות העולם</w:t>
      </w:r>
      <w:r w:rsidR="004F0855">
        <w:rPr>
          <w:rFonts w:hint="cs"/>
          <w:rtl/>
          <w:lang w:eastAsia="he-IL"/>
        </w:rPr>
        <w:t>,</w:t>
      </w:r>
      <w:r>
        <w:rPr>
          <w:rFonts w:hint="cs"/>
          <w:rtl/>
          <w:lang w:eastAsia="he-IL"/>
        </w:rPr>
        <w:t xml:space="preserve"> לא אמורים לעשות את זה. </w:t>
      </w:r>
      <w:bookmarkStart w:id="21362" w:name="_ETM_Q32_699000"/>
      <w:bookmarkEnd w:id="21362"/>
      <w:r>
        <w:rPr>
          <w:rFonts w:hint="cs"/>
          <w:rtl/>
          <w:lang w:eastAsia="he-IL"/>
        </w:rPr>
        <w:t xml:space="preserve">איפה זה נשמע? בפעם האחרונה שזה קרה, אנחנו יודעים לאן הגענו. </w:t>
      </w:r>
    </w:p>
    <w:p w:rsidR="00BB59CD" w:rsidRDefault="00BB59CD" w:rsidP="00BB59CD">
      <w:pPr>
        <w:rPr>
          <w:rtl/>
          <w:lang w:eastAsia="he-IL"/>
        </w:rPr>
      </w:pPr>
    </w:p>
    <w:p w:rsidR="00BB59CD" w:rsidRDefault="00BB59CD" w:rsidP="00BB59CD">
      <w:pPr>
        <w:rPr>
          <w:rtl/>
          <w:lang w:eastAsia="he-IL"/>
        </w:rPr>
      </w:pPr>
      <w:bookmarkStart w:id="21363" w:name="_ETM_Q32_709000"/>
      <w:bookmarkEnd w:id="21363"/>
      <w:r>
        <w:rPr>
          <w:rFonts w:hint="cs"/>
          <w:rtl/>
          <w:lang w:eastAsia="he-IL"/>
        </w:rPr>
        <w:t xml:space="preserve">אני מאוד מקווה שההיגיון יגבר. אני מאוד מקווה, אדוני היושב-ראש, שבעזרת השם, המתווה הזה שאני שומע עליו בשעה האחרונה – אנחנו צריכים לבדוק אותו, לראות מהו, אולי הוא ישנה את המציאות בשעות הבאות ולא נמצא את עצמנו נקרעים כאן וקורעים </w:t>
      </w:r>
      <w:bookmarkStart w:id="21364" w:name="_ETM_Q32_734000"/>
      <w:bookmarkEnd w:id="21364"/>
      <w:r>
        <w:rPr>
          <w:rFonts w:hint="cs"/>
          <w:rtl/>
          <w:lang w:eastAsia="he-IL"/>
        </w:rPr>
        <w:t xml:space="preserve">אחד את השני וקורעים את המדינה הזאת. אבל בכל אופן אני, כמייצגה של מפלגה, ביחד עם חבריי שנמצאים כאן, אנחנו ניאבק על דמותה של המדינה הזאת. אנחנו ניאבק בבית הזה, מפלגת יש </w:t>
      </w:r>
      <w:bookmarkStart w:id="21365" w:name="_ETM_Q32_758000"/>
      <w:bookmarkEnd w:id="21365"/>
      <w:r>
        <w:rPr>
          <w:rFonts w:hint="cs"/>
          <w:rtl/>
          <w:lang w:eastAsia="he-IL"/>
        </w:rPr>
        <w:t xml:space="preserve">עתיד, עם השותפים שלנו לאופוזיציה, כל אחד מאיתנו, כל מי שיושב כאן ומי שלא יושב כאן; מירב ושטרן, ניאבק על דמותה של המדינה הזאת </w:t>
      </w:r>
      <w:bookmarkStart w:id="21366" w:name="_ETM_Q32_773000"/>
      <w:bookmarkEnd w:id="21366"/>
      <w:r>
        <w:rPr>
          <w:rFonts w:hint="cs"/>
          <w:rtl/>
          <w:lang w:eastAsia="he-IL"/>
        </w:rPr>
        <w:t xml:space="preserve">כאן, מתוך הבית. </w:t>
      </w:r>
    </w:p>
    <w:p w:rsidR="00BB59CD" w:rsidRDefault="00BB59CD" w:rsidP="00BB59CD">
      <w:pPr>
        <w:rPr>
          <w:rtl/>
          <w:lang w:eastAsia="he-IL"/>
        </w:rPr>
      </w:pPr>
      <w:bookmarkStart w:id="21367" w:name="_ETM_Q32_776000"/>
      <w:bookmarkEnd w:id="21367"/>
    </w:p>
    <w:p w:rsidR="00BB59CD" w:rsidRDefault="00BB59CD" w:rsidP="00BB59CD">
      <w:pPr>
        <w:rPr>
          <w:rtl/>
          <w:lang w:eastAsia="he-IL"/>
        </w:rPr>
      </w:pPr>
      <w:bookmarkStart w:id="21368" w:name="_ETM_Q32_777000"/>
      <w:bookmarkEnd w:id="21368"/>
      <w:r>
        <w:rPr>
          <w:rFonts w:hint="cs"/>
          <w:rtl/>
          <w:lang w:eastAsia="he-IL"/>
        </w:rPr>
        <w:t xml:space="preserve">ולאותם אנשים שאמרו לי: קומו </w:t>
      </w:r>
      <w:bookmarkStart w:id="21369" w:name="_ETM_Q32_778000"/>
      <w:bookmarkEnd w:id="21369"/>
      <w:r>
        <w:rPr>
          <w:rFonts w:hint="cs"/>
          <w:rtl/>
          <w:lang w:eastAsia="he-IL"/>
        </w:rPr>
        <w:t xml:space="preserve">ותעזבו את הבית הזה, אני אומר: אנחנו נהיה כאן, והגם </w:t>
      </w:r>
      <w:bookmarkStart w:id="21370" w:name="_ETM_Q32_780000"/>
      <w:bookmarkEnd w:id="21370"/>
      <w:r>
        <w:rPr>
          <w:rFonts w:hint="cs"/>
          <w:rtl/>
          <w:lang w:eastAsia="he-IL"/>
        </w:rPr>
        <w:t xml:space="preserve">שאנחנו באופוזיציה ובמיעוט, בסופו של דבר אנחנו ננצח. </w:t>
      </w:r>
      <w:bookmarkStart w:id="21371" w:name="_ETM_Q32_791000"/>
      <w:bookmarkEnd w:id="21371"/>
      <w:r>
        <w:rPr>
          <w:rFonts w:hint="cs"/>
          <w:rtl/>
          <w:lang w:eastAsia="he-IL"/>
        </w:rPr>
        <w:t xml:space="preserve">כי רוב העם הזה, גם אם חלקיו נמצאים בימין, גם </w:t>
      </w:r>
      <w:bookmarkStart w:id="21372" w:name="_ETM_Q32_795000"/>
      <w:bookmarkEnd w:id="21372"/>
      <w:r>
        <w:rPr>
          <w:rFonts w:hint="cs"/>
          <w:rtl/>
          <w:lang w:eastAsia="he-IL"/>
        </w:rPr>
        <w:t xml:space="preserve">אם חלקיו נמצאים בשמאל, הרוב מבין שאחדות העם היא </w:t>
      </w:r>
      <w:bookmarkStart w:id="21373" w:name="_ETM_Q32_801000"/>
      <w:bookmarkEnd w:id="21373"/>
      <w:r>
        <w:rPr>
          <w:rFonts w:hint="cs"/>
          <w:rtl/>
          <w:lang w:eastAsia="he-IL"/>
        </w:rPr>
        <w:t xml:space="preserve">מעבר לכל דבר. זה מה שהגן עלינו וזה מה שיגן </w:t>
      </w:r>
      <w:bookmarkStart w:id="21374" w:name="_ETM_Q32_804000"/>
      <w:bookmarkEnd w:id="21374"/>
      <w:r>
        <w:rPr>
          <w:rFonts w:hint="cs"/>
          <w:rtl/>
          <w:lang w:eastAsia="he-IL"/>
        </w:rPr>
        <w:t xml:space="preserve">עלינו כל הזמן. תודה רבה, אדוני. </w:t>
      </w:r>
    </w:p>
    <w:p w:rsidR="00BB59CD" w:rsidRDefault="00BB59CD" w:rsidP="00BB59CD">
      <w:pPr>
        <w:rPr>
          <w:rtl/>
          <w:lang w:eastAsia="he-IL"/>
        </w:rPr>
      </w:pPr>
    </w:p>
    <w:p w:rsidR="00BB59CD" w:rsidRDefault="00BB59CD" w:rsidP="00BB59CD">
      <w:pPr>
        <w:pStyle w:val="af9"/>
        <w:keepNext/>
        <w:rPr>
          <w:rtl/>
        </w:rPr>
      </w:pPr>
      <w:bookmarkStart w:id="21375" w:name="ET_yor_6488_1"/>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bookmarkEnd w:id="21375"/>
    </w:p>
    <w:p w:rsidR="00BB59CD" w:rsidRDefault="00BB59CD" w:rsidP="00337201">
      <w:pPr>
        <w:rPr>
          <w:rtl/>
        </w:rPr>
      </w:pPr>
    </w:p>
    <w:p w:rsidR="00BB59CD" w:rsidRDefault="00BB59CD" w:rsidP="00BB59CD">
      <w:pPr>
        <w:rPr>
          <w:rtl/>
        </w:rPr>
      </w:pPr>
      <w:bookmarkStart w:id="21376" w:name="_ETM_Q33_189000"/>
      <w:bookmarkStart w:id="21377" w:name="_ETM_Q33_209099"/>
      <w:bookmarkEnd w:id="21376"/>
      <w:bookmarkEnd w:id="21377"/>
      <w:r>
        <w:rPr>
          <w:rFonts w:hint="cs"/>
          <w:rtl/>
        </w:rPr>
        <w:t xml:space="preserve">תודה </w:t>
      </w:r>
      <w:bookmarkStart w:id="21378" w:name="_ETM_Q33_209310"/>
      <w:bookmarkEnd w:id="21378"/>
      <w:r>
        <w:rPr>
          <w:rFonts w:hint="cs"/>
          <w:rtl/>
        </w:rPr>
        <w:t xml:space="preserve">רבה </w:t>
      </w:r>
      <w:bookmarkStart w:id="21379" w:name="_ETM_Q33_209490"/>
      <w:bookmarkEnd w:id="21379"/>
      <w:r>
        <w:rPr>
          <w:rFonts w:hint="cs"/>
          <w:rtl/>
        </w:rPr>
        <w:t xml:space="preserve">לחבר </w:t>
      </w:r>
      <w:bookmarkStart w:id="21380" w:name="_ETM_Q33_209790"/>
      <w:bookmarkEnd w:id="21380"/>
      <w:r>
        <w:rPr>
          <w:rFonts w:hint="cs"/>
          <w:rtl/>
        </w:rPr>
        <w:t xml:space="preserve">הכנסת </w:t>
      </w:r>
      <w:bookmarkStart w:id="21381" w:name="_ETM_Q33_210119"/>
      <w:bookmarkEnd w:id="21381"/>
      <w:r>
        <w:rPr>
          <w:rFonts w:hint="cs"/>
          <w:rtl/>
        </w:rPr>
        <w:t xml:space="preserve">מאיר </w:t>
      </w:r>
      <w:bookmarkStart w:id="21382" w:name="_ETM_Q33_210330"/>
      <w:bookmarkEnd w:id="21382"/>
      <w:r>
        <w:rPr>
          <w:rFonts w:hint="cs"/>
          <w:rtl/>
        </w:rPr>
        <w:t xml:space="preserve">כהן. </w:t>
      </w:r>
      <w:bookmarkStart w:id="21383" w:name="_ETM_Q33_212090"/>
      <w:bookmarkEnd w:id="21383"/>
      <w:r>
        <w:rPr>
          <w:rFonts w:hint="cs"/>
          <w:rtl/>
        </w:rPr>
        <w:t xml:space="preserve">הדוברת </w:t>
      </w:r>
      <w:bookmarkStart w:id="21384" w:name="_ETM_Q33_212690"/>
      <w:bookmarkEnd w:id="21384"/>
      <w:r>
        <w:rPr>
          <w:rFonts w:hint="cs"/>
          <w:rtl/>
        </w:rPr>
        <w:t xml:space="preserve">הבאה </w:t>
      </w:r>
      <w:bookmarkStart w:id="21385" w:name="_ETM_Q33_212989"/>
      <w:bookmarkEnd w:id="21385"/>
      <w:r>
        <w:rPr>
          <w:rFonts w:hint="cs"/>
          <w:rtl/>
        </w:rPr>
        <w:t xml:space="preserve">– חברת </w:t>
      </w:r>
      <w:bookmarkStart w:id="21386" w:name="_ETM_Q33_213320"/>
      <w:bookmarkEnd w:id="21386"/>
      <w:r>
        <w:rPr>
          <w:rFonts w:hint="cs"/>
          <w:rtl/>
        </w:rPr>
        <w:t xml:space="preserve">הכנסת </w:t>
      </w:r>
      <w:bookmarkStart w:id="21387" w:name="_ETM_Q33_213890"/>
      <w:bookmarkEnd w:id="21387"/>
      <w:r>
        <w:rPr>
          <w:rFonts w:hint="cs"/>
          <w:rtl/>
        </w:rPr>
        <w:t xml:space="preserve">מירב </w:t>
      </w:r>
      <w:bookmarkStart w:id="21388" w:name="_ETM_Q33_214280"/>
      <w:bookmarkEnd w:id="21388"/>
      <w:r>
        <w:rPr>
          <w:rFonts w:hint="cs"/>
          <w:rtl/>
        </w:rPr>
        <w:t xml:space="preserve">כהן. </w:t>
      </w:r>
      <w:bookmarkStart w:id="21389" w:name="_ETM_Q33_216370"/>
      <w:bookmarkEnd w:id="21389"/>
      <w:r>
        <w:rPr>
          <w:rFonts w:hint="cs"/>
          <w:rtl/>
        </w:rPr>
        <w:t xml:space="preserve">נאום </w:t>
      </w:r>
      <w:bookmarkStart w:id="21390" w:name="_ETM_Q33_216640"/>
      <w:bookmarkEnd w:id="21390"/>
      <w:r>
        <w:rPr>
          <w:rFonts w:hint="cs"/>
          <w:rtl/>
        </w:rPr>
        <w:t>הכוהנים.</w:t>
      </w:r>
    </w:p>
    <w:p w:rsidR="00BB59CD" w:rsidRDefault="00BB59CD" w:rsidP="00BB59CD">
      <w:pPr>
        <w:rPr>
          <w:rtl/>
        </w:rPr>
      </w:pPr>
      <w:bookmarkStart w:id="21391" w:name="_ETM_Q33_219000"/>
      <w:bookmarkEnd w:id="21391"/>
    </w:p>
    <w:p w:rsidR="00BB59CD" w:rsidRDefault="00BB59CD" w:rsidP="00BB59CD">
      <w:pPr>
        <w:pStyle w:val="af8"/>
        <w:keepNext/>
        <w:rPr>
          <w:rtl/>
        </w:rPr>
      </w:pPr>
      <w:bookmarkStart w:id="21392" w:name="ET_interruption_5082_2"/>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21392"/>
    </w:p>
    <w:p w:rsidR="00BB59CD" w:rsidRDefault="00BB59CD" w:rsidP="00337201">
      <w:pPr>
        <w:rPr>
          <w:rtl/>
        </w:rPr>
      </w:pPr>
    </w:p>
    <w:p w:rsidR="00BB59CD" w:rsidRDefault="00BB59CD" w:rsidP="00BB59CD">
      <w:pPr>
        <w:rPr>
          <w:rtl/>
        </w:rPr>
      </w:pPr>
      <w:bookmarkStart w:id="21393" w:name="_ETM_Q33_217000"/>
      <w:bookmarkEnd w:id="21393"/>
      <w:r>
        <w:rPr>
          <w:rFonts w:hint="cs"/>
          <w:rtl/>
        </w:rPr>
        <w:t xml:space="preserve">כן. ואחרי זה נקרא </w:t>
      </w:r>
      <w:bookmarkStart w:id="21394" w:name="_ETM_Q33_220300"/>
      <w:bookmarkEnd w:id="21394"/>
      <w:r>
        <w:rPr>
          <w:rFonts w:hint="cs"/>
          <w:rtl/>
        </w:rPr>
        <w:t>לכץ.</w:t>
      </w:r>
    </w:p>
    <w:p w:rsidR="00BB59CD" w:rsidRDefault="00BB59CD" w:rsidP="00BB59CD">
      <w:pPr>
        <w:rPr>
          <w:rtl/>
        </w:rPr>
      </w:pPr>
    </w:p>
    <w:p w:rsidR="00BB59CD" w:rsidRDefault="00BB59CD" w:rsidP="00BB59CD">
      <w:pPr>
        <w:pStyle w:val="af9"/>
        <w:keepNext/>
        <w:rPr>
          <w:rtl/>
        </w:rPr>
      </w:pPr>
      <w:bookmarkStart w:id="21395" w:name="_ETM_Q33_226000"/>
      <w:bookmarkStart w:id="21396" w:name="ET_yor_6488_3"/>
      <w:bookmarkEnd w:id="2139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1396"/>
    </w:p>
    <w:p w:rsidR="00BB59CD" w:rsidRDefault="00BB59CD" w:rsidP="00337201">
      <w:pPr>
        <w:rPr>
          <w:rtl/>
        </w:rPr>
      </w:pPr>
    </w:p>
    <w:p w:rsidR="00BB59CD" w:rsidRDefault="00BB59CD" w:rsidP="00BB59CD">
      <w:pPr>
        <w:rPr>
          <w:rtl/>
        </w:rPr>
      </w:pPr>
      <w:bookmarkStart w:id="21397" w:name="_ETM_Q33_228000"/>
      <w:bookmarkEnd w:id="21397"/>
      <w:r>
        <w:rPr>
          <w:rFonts w:hint="cs"/>
          <w:rtl/>
        </w:rPr>
        <w:t xml:space="preserve">שייבנה בית המקדש עד </w:t>
      </w:r>
      <w:bookmarkStart w:id="21398" w:name="_ETM_Q33_224000"/>
      <w:bookmarkEnd w:id="21398"/>
      <w:r>
        <w:rPr>
          <w:rFonts w:hint="cs"/>
          <w:rtl/>
        </w:rPr>
        <w:t>יום – אז אתם תהיו - - -</w:t>
      </w:r>
    </w:p>
    <w:p w:rsidR="00BB59CD" w:rsidRDefault="00BB59CD" w:rsidP="00BB59CD">
      <w:pPr>
        <w:rPr>
          <w:rtl/>
        </w:rPr>
      </w:pPr>
      <w:bookmarkStart w:id="21399" w:name="_ETM_Q33_225000"/>
      <w:bookmarkEnd w:id="21399"/>
    </w:p>
    <w:p w:rsidR="00BB59CD" w:rsidRDefault="00BB59CD" w:rsidP="00BB59CD">
      <w:pPr>
        <w:pStyle w:val="af8"/>
        <w:keepNext/>
        <w:rPr>
          <w:rtl/>
        </w:rPr>
      </w:pPr>
      <w:bookmarkStart w:id="21400" w:name="ET_interruption_5082_5"/>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21400"/>
    </w:p>
    <w:p w:rsidR="00BB59CD" w:rsidRDefault="00BB59CD" w:rsidP="00337201">
      <w:pPr>
        <w:rPr>
          <w:rtl/>
        </w:rPr>
      </w:pPr>
    </w:p>
    <w:p w:rsidR="00BB59CD" w:rsidRDefault="00BB59CD" w:rsidP="00BB59CD">
      <w:pPr>
        <w:rPr>
          <w:rtl/>
        </w:rPr>
      </w:pPr>
      <w:r>
        <w:rPr>
          <w:rFonts w:hint="cs"/>
          <w:rtl/>
        </w:rPr>
        <w:t xml:space="preserve">סוף-סוף תהיה לנו </w:t>
      </w:r>
      <w:bookmarkStart w:id="21401" w:name="_ETM_Q33_229000"/>
      <w:bookmarkEnd w:id="21401"/>
      <w:r>
        <w:rPr>
          <w:rFonts w:hint="cs"/>
          <w:rtl/>
        </w:rPr>
        <w:t>עבודה.</w:t>
      </w:r>
    </w:p>
    <w:p w:rsidR="00BB59CD" w:rsidRDefault="00BB59CD" w:rsidP="00BB59CD">
      <w:pPr>
        <w:rPr>
          <w:rtl/>
        </w:rPr>
      </w:pPr>
    </w:p>
    <w:p w:rsidR="00BB59CD" w:rsidRDefault="00BB59CD" w:rsidP="00BB59CD">
      <w:pPr>
        <w:pStyle w:val="af9"/>
        <w:keepNext/>
        <w:rPr>
          <w:rtl/>
        </w:rPr>
      </w:pPr>
      <w:bookmarkStart w:id="21402" w:name="ET_yor_6488_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1402"/>
    </w:p>
    <w:p w:rsidR="00BB59CD" w:rsidRDefault="00BB59CD" w:rsidP="00337201">
      <w:pPr>
        <w:rPr>
          <w:rtl/>
        </w:rPr>
      </w:pPr>
    </w:p>
    <w:p w:rsidR="00BB59CD" w:rsidRDefault="00BB59CD" w:rsidP="00BB59CD">
      <w:pPr>
        <w:rPr>
          <w:rtl/>
        </w:rPr>
      </w:pPr>
      <w:bookmarkStart w:id="21403" w:name="_ETM_Q33_227000"/>
      <w:bookmarkEnd w:id="21403"/>
      <w:r>
        <w:rPr>
          <w:rFonts w:hint="cs"/>
          <w:rtl/>
        </w:rPr>
        <w:t xml:space="preserve">אתם תהיו, כן, עם עבודה. </w:t>
      </w:r>
    </w:p>
    <w:p w:rsidR="00BB59CD" w:rsidRDefault="00BB59CD" w:rsidP="00BB59CD">
      <w:pPr>
        <w:rPr>
          <w:rtl/>
        </w:rPr>
      </w:pPr>
      <w:bookmarkStart w:id="21404" w:name="_ETM_Q33_231000"/>
      <w:bookmarkEnd w:id="21404"/>
    </w:p>
    <w:p w:rsidR="00BB59CD" w:rsidRDefault="00BB59CD" w:rsidP="00BB59CD">
      <w:pPr>
        <w:pStyle w:val="af8"/>
        <w:keepNext/>
        <w:rPr>
          <w:rtl/>
        </w:rPr>
      </w:pPr>
      <w:bookmarkStart w:id="21405" w:name="_ETM_Q33_241581"/>
      <w:bookmarkStart w:id="21406" w:name="ET_interruption_5783_7"/>
      <w:bookmarkEnd w:id="21405"/>
      <w:r>
        <w:rPr>
          <w:rStyle w:val="TagStyle"/>
          <w:rFonts w:hint="cs"/>
          <w:rtl/>
        </w:rPr>
        <w:t xml:space="preserve"> &lt;&lt; קריאה &gt;&gt; </w:t>
      </w:r>
      <w:r>
        <w:rPr>
          <w:rFonts w:hint="cs"/>
          <w:rtl/>
        </w:rPr>
        <w:t>מירב כהן (יש עתיד):</w:t>
      </w:r>
      <w:r>
        <w:rPr>
          <w:rStyle w:val="TagStyle"/>
          <w:rtl/>
        </w:rPr>
        <w:t xml:space="preserve"> &lt;&lt; קריאה &gt;&gt; </w:t>
      </w:r>
      <w:r>
        <w:rPr>
          <w:rFonts w:hint="cs"/>
          <w:rtl/>
        </w:rPr>
        <w:t xml:space="preserve">  </w:t>
      </w:r>
      <w:bookmarkEnd w:id="21406"/>
    </w:p>
    <w:p w:rsidR="00BB59CD" w:rsidRDefault="00BB59CD" w:rsidP="00337201">
      <w:pPr>
        <w:rPr>
          <w:rtl/>
        </w:rPr>
      </w:pPr>
    </w:p>
    <w:p w:rsidR="00BB59CD" w:rsidRDefault="00BB59CD" w:rsidP="00BB59CD">
      <w:pPr>
        <w:rPr>
          <w:rtl/>
        </w:rPr>
      </w:pPr>
      <w:r>
        <w:rPr>
          <w:rFonts w:hint="cs"/>
          <w:rtl/>
        </w:rPr>
        <w:t>אתה חושב</w:t>
      </w:r>
      <w:bookmarkStart w:id="21407" w:name="_ETM_Q33_232000"/>
      <w:bookmarkEnd w:id="21407"/>
      <w:r>
        <w:rPr>
          <w:rFonts w:hint="cs"/>
          <w:rtl/>
        </w:rPr>
        <w:t xml:space="preserve"> שגם לנשים, לכוהנות? או רק לכוהנים?</w:t>
      </w:r>
    </w:p>
    <w:p w:rsidR="00BB59CD" w:rsidRDefault="00BB59CD" w:rsidP="00BB59CD">
      <w:pPr>
        <w:rPr>
          <w:rtl/>
        </w:rPr>
      </w:pPr>
      <w:bookmarkStart w:id="21408" w:name="_ETM_Q33_235000"/>
      <w:bookmarkEnd w:id="21408"/>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מה, נשות הכוהנים? יש </w:t>
      </w:r>
      <w:bookmarkStart w:id="21409" w:name="_ETM_Q33_234000"/>
      <w:bookmarkEnd w:id="21409"/>
      <w:r>
        <w:rPr>
          <w:rFonts w:hint="cs"/>
          <w:rtl/>
        </w:rPr>
        <w:t xml:space="preserve">להן זכויות באכילת </w:t>
      </w:r>
      <w:bookmarkStart w:id="21410" w:name="_ETM_Q33_233000"/>
      <w:bookmarkEnd w:id="21410"/>
      <w:r>
        <w:rPr>
          <w:rFonts w:hint="cs"/>
          <w:rtl/>
        </w:rPr>
        <w:t>- - -</w:t>
      </w:r>
    </w:p>
    <w:p w:rsidR="00BB59CD" w:rsidRDefault="00BB59CD" w:rsidP="00BB59CD">
      <w:pPr>
        <w:rPr>
          <w:rtl/>
        </w:rPr>
      </w:pPr>
    </w:p>
    <w:p w:rsidR="00BB59CD" w:rsidRDefault="00BB59CD" w:rsidP="00BB59CD">
      <w:pPr>
        <w:pStyle w:val="af8"/>
        <w:keepNext/>
        <w:rPr>
          <w:rtl/>
        </w:rPr>
      </w:pPr>
      <w:bookmarkStart w:id="21411" w:name="ET_interruption_5783_9"/>
      <w:r>
        <w:rPr>
          <w:rStyle w:val="TagStyle"/>
          <w:rFonts w:hint="cs"/>
          <w:rtl/>
        </w:rPr>
        <w:t xml:space="preserve"> &lt;&lt; קריאה &gt;&gt; </w:t>
      </w:r>
      <w:r>
        <w:rPr>
          <w:rFonts w:hint="cs"/>
          <w:rtl/>
        </w:rPr>
        <w:t>מירב כהן (יש עתיד):</w:t>
      </w:r>
      <w:r>
        <w:rPr>
          <w:rStyle w:val="TagStyle"/>
          <w:rtl/>
        </w:rPr>
        <w:t xml:space="preserve"> &lt;&lt; קריאה &gt;&gt; </w:t>
      </w:r>
      <w:r>
        <w:rPr>
          <w:rFonts w:hint="cs"/>
          <w:rtl/>
        </w:rPr>
        <w:t xml:space="preserve">  </w:t>
      </w:r>
      <w:bookmarkEnd w:id="21411"/>
    </w:p>
    <w:p w:rsidR="00BB59CD" w:rsidRDefault="00BB59CD" w:rsidP="00337201">
      <w:pPr>
        <w:rPr>
          <w:rtl/>
        </w:rPr>
      </w:pPr>
    </w:p>
    <w:p w:rsidR="00BB59CD" w:rsidRDefault="00BB59CD" w:rsidP="00BB59CD">
      <w:pPr>
        <w:rPr>
          <w:rtl/>
        </w:rPr>
      </w:pPr>
      <w:bookmarkStart w:id="21412" w:name="_ETM_Q33_236000"/>
      <w:bookmarkEnd w:id="21412"/>
      <w:r>
        <w:rPr>
          <w:rFonts w:hint="cs"/>
          <w:rtl/>
        </w:rPr>
        <w:t>כי אני שמרתי על שם</w:t>
      </w:r>
      <w:bookmarkStart w:id="21413" w:name="_ETM_Q33_239000"/>
      <w:bookmarkEnd w:id="21413"/>
      <w:r>
        <w:rPr>
          <w:rFonts w:hint="cs"/>
          <w:rtl/>
        </w:rPr>
        <w:t xml:space="preserve"> המשפחה אחרי שהתחתנתי. </w:t>
      </w:r>
    </w:p>
    <w:p w:rsidR="00BB59CD" w:rsidRDefault="00BB59CD" w:rsidP="00BB59CD">
      <w:pPr>
        <w:rPr>
          <w:rtl/>
        </w:rPr>
      </w:pPr>
      <w:bookmarkStart w:id="21414" w:name="_ETM_Q33_240000"/>
      <w:bookmarkEnd w:id="21414"/>
    </w:p>
    <w:p w:rsidR="00BB59CD" w:rsidRDefault="00BB59CD" w:rsidP="00BB59CD">
      <w:pPr>
        <w:pStyle w:val="af9"/>
        <w:keepNext/>
        <w:rPr>
          <w:rtl/>
        </w:rPr>
      </w:pPr>
      <w:bookmarkStart w:id="21415" w:name="ET_yor_6488_1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1415"/>
    </w:p>
    <w:p w:rsidR="00BB59CD" w:rsidRDefault="00BB59CD" w:rsidP="00337201">
      <w:pPr>
        <w:rPr>
          <w:rtl/>
        </w:rPr>
      </w:pPr>
    </w:p>
    <w:p w:rsidR="00BB59CD" w:rsidRDefault="00BB59CD" w:rsidP="00BB59CD">
      <w:pPr>
        <w:rPr>
          <w:rtl/>
        </w:rPr>
      </w:pPr>
      <w:bookmarkStart w:id="21416" w:name="_ETM_Q33_241000"/>
      <w:bookmarkEnd w:id="21416"/>
      <w:r>
        <w:rPr>
          <w:rFonts w:hint="cs"/>
          <w:rtl/>
        </w:rPr>
        <w:t>חשוב מאוד. 20 דקות לרשותך.</w:t>
      </w:r>
    </w:p>
    <w:p w:rsidR="00BB59CD" w:rsidRDefault="00BB59CD" w:rsidP="00BB59CD">
      <w:pPr>
        <w:rPr>
          <w:rtl/>
        </w:rPr>
      </w:pPr>
    </w:p>
    <w:p w:rsidR="00BB59CD" w:rsidRDefault="00BB59CD" w:rsidP="00BB59CD">
      <w:pPr>
        <w:pStyle w:val="a5"/>
        <w:keepNext/>
        <w:rPr>
          <w:rtl/>
        </w:rPr>
      </w:pPr>
      <w:bookmarkStart w:id="21417" w:name="_ETM_Q33_240766"/>
      <w:bookmarkStart w:id="21418" w:name="ET_speakercontinue_5783_11"/>
      <w:bookmarkEnd w:id="21417"/>
      <w:r>
        <w:rPr>
          <w:rStyle w:val="TagStyle"/>
          <w:rFonts w:hint="cs"/>
          <w:rtl/>
        </w:rPr>
        <w:t xml:space="preserve"> &lt;&lt; דובר &gt;&gt; </w:t>
      </w:r>
      <w:bookmarkStart w:id="21419" w:name="_Toc141197147"/>
      <w:bookmarkStart w:id="21420" w:name="_Toc141196883"/>
      <w:bookmarkStart w:id="21421" w:name="_Toc141040474"/>
      <w:bookmarkStart w:id="21422" w:name="_Toc141034705"/>
      <w:r>
        <w:rPr>
          <w:rFonts w:hint="cs"/>
          <w:rtl/>
        </w:rPr>
        <w:t>מירב כהן (יש עתיד):</w:t>
      </w:r>
      <w:bookmarkEnd w:id="21419"/>
      <w:bookmarkEnd w:id="21420"/>
      <w:bookmarkEnd w:id="21421"/>
      <w:bookmarkEnd w:id="21422"/>
      <w:r>
        <w:rPr>
          <w:rStyle w:val="TagStyle"/>
          <w:rFonts w:hint="cs"/>
          <w:rtl/>
        </w:rPr>
        <w:t xml:space="preserve"> &lt;&lt; דובר &gt;&gt; </w:t>
      </w:r>
      <w:r>
        <w:rPr>
          <w:rFonts w:hint="cs"/>
          <w:rtl/>
        </w:rPr>
        <w:t xml:space="preserve">  </w:t>
      </w:r>
      <w:bookmarkEnd w:id="21418"/>
    </w:p>
    <w:p w:rsidR="00BB59CD" w:rsidRDefault="00BB59CD" w:rsidP="00337201">
      <w:pPr>
        <w:rPr>
          <w:rtl/>
        </w:rPr>
      </w:pPr>
    </w:p>
    <w:p w:rsidR="00BB59CD" w:rsidRDefault="00BB59CD" w:rsidP="00BB59CD">
      <w:pPr>
        <w:rPr>
          <w:rtl/>
        </w:rPr>
      </w:pPr>
      <w:bookmarkStart w:id="21423" w:name="_ETM_Q33_242000"/>
      <w:bookmarkEnd w:id="21423"/>
      <w:r>
        <w:rPr>
          <w:rFonts w:hint="cs"/>
          <w:rtl/>
        </w:rPr>
        <w:t>תודה</w:t>
      </w:r>
      <w:bookmarkStart w:id="21424" w:name="_ETM_Q33_220420"/>
      <w:bookmarkEnd w:id="21424"/>
      <w:r>
        <w:rPr>
          <w:rFonts w:hint="cs"/>
          <w:rtl/>
        </w:rPr>
        <w:t xml:space="preserve">. </w:t>
      </w:r>
      <w:bookmarkStart w:id="21425" w:name="_ETM_Q33_220750"/>
      <w:bookmarkStart w:id="21426" w:name="_ETM_Q33_227579"/>
      <w:bookmarkStart w:id="21427" w:name="_ETM_Q33_228149"/>
      <w:bookmarkStart w:id="21428" w:name="_ETM_Q33_228659"/>
      <w:bookmarkStart w:id="21429" w:name="_ETM_Q33_228809"/>
      <w:bookmarkStart w:id="21430" w:name="_ETM_Q33_229019"/>
      <w:bookmarkStart w:id="21431" w:name="_ETM_Q33_229260"/>
      <w:bookmarkStart w:id="21432" w:name="_ETM_Q33_229680"/>
      <w:bookmarkStart w:id="21433" w:name="_ETM_Q33_230100"/>
      <w:bookmarkStart w:id="21434" w:name="_ETM_Q33_231600"/>
      <w:bookmarkStart w:id="21435" w:name="_ETM_Q33_231960"/>
      <w:bookmarkStart w:id="21436" w:name="_ETM_Q33_232260"/>
      <w:bookmarkStart w:id="21437" w:name="_ETM_Q33_232530"/>
      <w:bookmarkStart w:id="21438" w:name="_ETM_Q33_232979"/>
      <w:bookmarkStart w:id="21439" w:name="_ETM_Q33_233190"/>
      <w:bookmarkStart w:id="21440" w:name="_ETM_Q33_233519"/>
      <w:bookmarkStart w:id="21441" w:name="_ETM_Q33_233820"/>
      <w:bookmarkStart w:id="21442" w:name="_ETM_Q33_234600"/>
      <w:bookmarkStart w:id="21443" w:name="_ETM_Q33_234839"/>
      <w:bookmarkStart w:id="21444" w:name="_ETM_Q33_235920"/>
      <w:bookmarkStart w:id="21445" w:name="_ETM_Q33_236010"/>
      <w:bookmarkStart w:id="21446" w:name="_ETM_Q33_236340"/>
      <w:bookmarkStart w:id="21447" w:name="_ETM_Q33_236820"/>
      <w:bookmarkStart w:id="21448" w:name="_ETM_Q33_237329"/>
      <w:bookmarkStart w:id="21449" w:name="_ETM_Q33_238199"/>
      <w:bookmarkStart w:id="21450" w:name="_ETM_Q33_238289"/>
      <w:bookmarkStart w:id="21451" w:name="_ETM_Q33_238440"/>
      <w:bookmarkStart w:id="21452" w:name="_ETM_Q33_238949"/>
      <w:bookmarkStart w:id="21453" w:name="_ETM_Q33_239460"/>
      <w:bookmarkStart w:id="21454" w:name="_ETM_Q33_239910"/>
      <w:bookmarkStart w:id="21455" w:name="_ETM_Q33_240269"/>
      <w:bookmarkStart w:id="21456" w:name="_ETM_Q33_240750"/>
      <w:bookmarkStart w:id="21457" w:name="_ETM_Q33_240960"/>
      <w:bookmarkStart w:id="21458" w:name="_ETM_Q33_242039"/>
      <w:bookmarkStart w:id="21459" w:name="_ETM_Q33_243379"/>
      <w:bookmarkStart w:id="21460" w:name="_ETM_Q33_243680"/>
      <w:bookmarkStart w:id="21461" w:name="_ETM_Q33_243989"/>
      <w:bookmarkStart w:id="21462" w:name="_ETM_Q33_246109"/>
      <w:bookmarkStart w:id="21463" w:name="_ETM_Q33_246799"/>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r>
        <w:rPr>
          <w:rFonts w:hint="cs"/>
          <w:rtl/>
        </w:rPr>
        <w:t xml:space="preserve">כנסת </w:t>
      </w:r>
      <w:bookmarkStart w:id="21464" w:name="_ETM_Q33_247219"/>
      <w:bookmarkEnd w:id="21464"/>
      <w:r>
        <w:rPr>
          <w:rFonts w:hint="cs"/>
          <w:rtl/>
        </w:rPr>
        <w:t xml:space="preserve">נכבדה, </w:t>
      </w:r>
      <w:bookmarkStart w:id="21465" w:name="_ETM_Q33_247729"/>
      <w:bookmarkEnd w:id="21465"/>
      <w:r>
        <w:rPr>
          <w:rFonts w:hint="cs"/>
          <w:rtl/>
        </w:rPr>
        <w:t xml:space="preserve">כבוד </w:t>
      </w:r>
      <w:bookmarkStart w:id="21466" w:name="_ETM_Q33_248030"/>
      <w:bookmarkEnd w:id="21466"/>
      <w:r>
        <w:rPr>
          <w:rFonts w:hint="cs"/>
          <w:rtl/>
        </w:rPr>
        <w:t xml:space="preserve">היושב-ראש, </w:t>
      </w:r>
      <w:bookmarkStart w:id="21467" w:name="_ETM_Q33_249889"/>
      <w:bookmarkEnd w:id="21467"/>
      <w:r>
        <w:rPr>
          <w:rFonts w:hint="cs"/>
          <w:rtl/>
        </w:rPr>
        <w:t xml:space="preserve">תראו, </w:t>
      </w:r>
      <w:bookmarkStart w:id="21468" w:name="_ETM_Q33_250189"/>
      <w:bookmarkEnd w:id="21468"/>
      <w:r>
        <w:rPr>
          <w:rFonts w:hint="cs"/>
          <w:rtl/>
        </w:rPr>
        <w:t xml:space="preserve">עברנו </w:t>
      </w:r>
      <w:bookmarkStart w:id="21469" w:name="_ETM_Q33_250819"/>
      <w:bookmarkEnd w:id="21469"/>
      <w:r>
        <w:rPr>
          <w:rFonts w:hint="cs"/>
          <w:rtl/>
        </w:rPr>
        <w:t xml:space="preserve">שבת </w:t>
      </w:r>
      <w:bookmarkStart w:id="21470" w:name="_ETM_Q33_252290"/>
      <w:bookmarkEnd w:id="21470"/>
      <w:r>
        <w:rPr>
          <w:rFonts w:hint="cs"/>
          <w:rtl/>
        </w:rPr>
        <w:t xml:space="preserve">מדהימה. </w:t>
      </w:r>
      <w:bookmarkStart w:id="21471" w:name="_ETM_Q33_254130"/>
      <w:bookmarkEnd w:id="21471"/>
      <w:r>
        <w:rPr>
          <w:rFonts w:hint="cs"/>
          <w:rtl/>
        </w:rPr>
        <w:t xml:space="preserve">יצאנו </w:t>
      </w:r>
      <w:bookmarkStart w:id="21472" w:name="_ETM_Q33_255180"/>
      <w:bookmarkEnd w:id="21472"/>
      <w:r>
        <w:rPr>
          <w:rFonts w:hint="cs"/>
          <w:rtl/>
        </w:rPr>
        <w:t xml:space="preserve">לצעדה </w:t>
      </w:r>
      <w:bookmarkStart w:id="21473" w:name="_ETM_Q33_256259"/>
      <w:bookmarkEnd w:id="21473"/>
      <w:r>
        <w:rPr>
          <w:rFonts w:hint="cs"/>
          <w:rtl/>
        </w:rPr>
        <w:t xml:space="preserve">לירושלים </w:t>
      </w:r>
      <w:bookmarkStart w:id="21474" w:name="_ETM_Q33_257549"/>
      <w:bookmarkEnd w:id="21474"/>
      <w:r>
        <w:rPr>
          <w:rFonts w:hint="cs"/>
          <w:rtl/>
        </w:rPr>
        <w:t xml:space="preserve">עשרות </w:t>
      </w:r>
      <w:bookmarkStart w:id="21475" w:name="_ETM_Q33_258240"/>
      <w:bookmarkEnd w:id="21475"/>
      <w:r>
        <w:rPr>
          <w:rFonts w:hint="cs"/>
          <w:rtl/>
        </w:rPr>
        <w:t xml:space="preserve">אלפי </w:t>
      </w:r>
      <w:bookmarkStart w:id="21476" w:name="_ETM_Q33_258630"/>
      <w:bookmarkEnd w:id="21476"/>
      <w:r>
        <w:rPr>
          <w:rFonts w:hint="cs"/>
          <w:rtl/>
        </w:rPr>
        <w:t xml:space="preserve">אנשים. </w:t>
      </w:r>
      <w:bookmarkStart w:id="21477" w:name="_ETM_Q33_259289"/>
      <w:bookmarkEnd w:id="21477"/>
      <w:r>
        <w:rPr>
          <w:rFonts w:hint="cs"/>
          <w:rtl/>
        </w:rPr>
        <w:t xml:space="preserve">זה </w:t>
      </w:r>
      <w:bookmarkStart w:id="21478" w:name="_ETM_Q33_259560"/>
      <w:bookmarkEnd w:id="21478"/>
      <w:r>
        <w:rPr>
          <w:rFonts w:hint="cs"/>
          <w:rtl/>
        </w:rPr>
        <w:t xml:space="preserve">היה </w:t>
      </w:r>
      <w:bookmarkStart w:id="21479" w:name="_ETM_Q33_259709"/>
      <w:bookmarkEnd w:id="21479"/>
      <w:r>
        <w:rPr>
          <w:rFonts w:hint="cs"/>
          <w:rtl/>
        </w:rPr>
        <w:t xml:space="preserve">מדהים </w:t>
      </w:r>
      <w:bookmarkStart w:id="21480" w:name="_ETM_Q33_260219"/>
      <w:bookmarkEnd w:id="21480"/>
      <w:r>
        <w:rPr>
          <w:rFonts w:hint="cs"/>
          <w:rtl/>
        </w:rPr>
        <w:t>לראות</w:t>
      </w:r>
      <w:bookmarkStart w:id="21481" w:name="_ETM_Q33_260670"/>
      <w:bookmarkStart w:id="21482" w:name="_ETM_Q33_260850"/>
      <w:bookmarkEnd w:id="21481"/>
      <w:bookmarkEnd w:id="21482"/>
      <w:r>
        <w:rPr>
          <w:rFonts w:hint="cs"/>
          <w:rtl/>
        </w:rPr>
        <w:t xml:space="preserve"> </w:t>
      </w:r>
      <w:bookmarkStart w:id="21483" w:name="_ETM_Q33_261579"/>
      <w:bookmarkEnd w:id="21483"/>
      <w:r>
        <w:rPr>
          <w:rFonts w:hint="cs"/>
          <w:rtl/>
        </w:rPr>
        <w:t xml:space="preserve">את </w:t>
      </w:r>
      <w:bookmarkStart w:id="21484" w:name="_ETM_Q33_261819"/>
      <w:bookmarkEnd w:id="21484"/>
      <w:r>
        <w:rPr>
          <w:rFonts w:hint="cs"/>
          <w:rtl/>
        </w:rPr>
        <w:t xml:space="preserve">האנשים </w:t>
      </w:r>
      <w:bookmarkStart w:id="21485" w:name="_ETM_Q33_262240"/>
      <w:bookmarkEnd w:id="21485"/>
      <w:r>
        <w:rPr>
          <w:rFonts w:hint="cs"/>
          <w:rtl/>
        </w:rPr>
        <w:t xml:space="preserve">שהצטרפו </w:t>
      </w:r>
      <w:bookmarkStart w:id="21486" w:name="_ETM_Q33_262959"/>
      <w:bookmarkEnd w:id="21486"/>
      <w:r>
        <w:rPr>
          <w:rFonts w:hint="cs"/>
          <w:rtl/>
        </w:rPr>
        <w:t xml:space="preserve">לדרך, </w:t>
      </w:r>
      <w:bookmarkStart w:id="21487" w:name="_ETM_Q33_263499"/>
      <w:bookmarkEnd w:id="21487"/>
      <w:r>
        <w:rPr>
          <w:rFonts w:hint="cs"/>
          <w:rtl/>
        </w:rPr>
        <w:t xml:space="preserve">באמת </w:t>
      </w:r>
      <w:bookmarkStart w:id="21488" w:name="_ETM_Q33_264009"/>
      <w:bookmarkEnd w:id="21488"/>
      <w:r>
        <w:rPr>
          <w:rFonts w:hint="cs"/>
          <w:rtl/>
        </w:rPr>
        <w:t xml:space="preserve">מכל </w:t>
      </w:r>
      <w:bookmarkStart w:id="21489" w:name="_ETM_Q33_264399"/>
      <w:bookmarkEnd w:id="21489"/>
      <w:r>
        <w:rPr>
          <w:rFonts w:hint="cs"/>
          <w:rtl/>
        </w:rPr>
        <w:t xml:space="preserve">קצוות </w:t>
      </w:r>
      <w:bookmarkStart w:id="21490" w:name="_ETM_Q33_264939"/>
      <w:bookmarkEnd w:id="21490"/>
      <w:r>
        <w:rPr>
          <w:rFonts w:hint="cs"/>
          <w:rtl/>
        </w:rPr>
        <w:t xml:space="preserve">הארץ, </w:t>
      </w:r>
      <w:bookmarkStart w:id="21491" w:name="_ETM_Q33_266189"/>
      <w:bookmarkEnd w:id="21491"/>
      <w:r>
        <w:rPr>
          <w:rFonts w:hint="cs"/>
          <w:rtl/>
        </w:rPr>
        <w:t xml:space="preserve">צעירים, </w:t>
      </w:r>
      <w:bookmarkStart w:id="21492" w:name="_ETM_Q33_267240"/>
      <w:bookmarkEnd w:id="21492"/>
      <w:r>
        <w:rPr>
          <w:rFonts w:hint="cs"/>
          <w:rtl/>
        </w:rPr>
        <w:t xml:space="preserve">מבוגרים. </w:t>
      </w:r>
      <w:bookmarkStart w:id="21493" w:name="_ETM_Q33_270229"/>
      <w:bookmarkEnd w:id="21493"/>
      <w:r>
        <w:rPr>
          <w:rFonts w:hint="cs"/>
          <w:rtl/>
        </w:rPr>
        <w:t xml:space="preserve">הייתה </w:t>
      </w:r>
      <w:bookmarkStart w:id="21494" w:name="_ETM_Q33_270560"/>
      <w:bookmarkEnd w:id="21494"/>
      <w:r>
        <w:rPr>
          <w:rFonts w:hint="cs"/>
          <w:rtl/>
        </w:rPr>
        <w:t xml:space="preserve">גם </w:t>
      </w:r>
      <w:bookmarkStart w:id="21495" w:name="_ETM_Q33_270709"/>
      <w:bookmarkEnd w:id="21495"/>
      <w:r>
        <w:rPr>
          <w:rFonts w:hint="cs"/>
          <w:rtl/>
        </w:rPr>
        <w:t xml:space="preserve">הדלקת </w:t>
      </w:r>
      <w:bookmarkStart w:id="21496" w:name="_ETM_Q33_271130"/>
      <w:bookmarkEnd w:id="21496"/>
      <w:r>
        <w:rPr>
          <w:rFonts w:hint="cs"/>
          <w:rtl/>
        </w:rPr>
        <w:t xml:space="preserve">נרות </w:t>
      </w:r>
      <w:bookmarkStart w:id="21497" w:name="_ETM_Q33_271399"/>
      <w:bookmarkEnd w:id="21497"/>
      <w:r>
        <w:rPr>
          <w:rFonts w:hint="cs"/>
          <w:rtl/>
        </w:rPr>
        <w:t xml:space="preserve">שבת. </w:t>
      </w:r>
      <w:bookmarkStart w:id="21498" w:name="_ETM_Q33_272270"/>
      <w:bookmarkEnd w:id="21498"/>
      <w:r>
        <w:rPr>
          <w:rFonts w:hint="cs"/>
          <w:rtl/>
        </w:rPr>
        <w:t xml:space="preserve">היו </w:t>
      </w:r>
      <w:bookmarkStart w:id="21499" w:name="_ETM_Q33_272509"/>
      <w:bookmarkEnd w:id="21499"/>
      <w:r>
        <w:rPr>
          <w:rFonts w:hint="cs"/>
          <w:rtl/>
        </w:rPr>
        <w:t xml:space="preserve">שם </w:t>
      </w:r>
      <w:bookmarkStart w:id="21500" w:name="_ETM_Q33_272719"/>
      <w:bookmarkEnd w:id="21500"/>
      <w:r>
        <w:rPr>
          <w:rFonts w:hint="cs"/>
          <w:rtl/>
        </w:rPr>
        <w:t>דתיים</w:t>
      </w:r>
      <w:bookmarkStart w:id="21501" w:name="_ETM_Q33_273499"/>
      <w:bookmarkStart w:id="21502" w:name="_ETM_Q33_273709"/>
      <w:bookmarkEnd w:id="21501"/>
      <w:bookmarkEnd w:id="21502"/>
      <w:r>
        <w:rPr>
          <w:rFonts w:hint="cs"/>
          <w:rtl/>
        </w:rPr>
        <w:t xml:space="preserve">, היו שם </w:t>
      </w:r>
      <w:bookmarkStart w:id="21503" w:name="_ETM_Q33_273920"/>
      <w:bookmarkEnd w:id="21503"/>
      <w:r>
        <w:rPr>
          <w:rFonts w:hint="cs"/>
          <w:rtl/>
        </w:rPr>
        <w:t xml:space="preserve">חילונים. </w:t>
      </w:r>
      <w:bookmarkStart w:id="21504" w:name="_ETM_Q33_274490"/>
      <w:bookmarkEnd w:id="21504"/>
      <w:r>
        <w:rPr>
          <w:rFonts w:hint="cs"/>
          <w:rtl/>
        </w:rPr>
        <w:t xml:space="preserve">אגב, </w:t>
      </w:r>
      <w:bookmarkStart w:id="21505" w:name="_ETM_Q33_274849"/>
      <w:bookmarkStart w:id="21506" w:name="_ETM_Q33_276270"/>
      <w:bookmarkEnd w:id="21505"/>
      <w:bookmarkEnd w:id="21506"/>
      <w:r>
        <w:rPr>
          <w:rFonts w:hint="cs"/>
          <w:rtl/>
        </w:rPr>
        <w:t xml:space="preserve">לא </w:t>
      </w:r>
      <w:bookmarkStart w:id="21507" w:name="_ETM_Q33_276479"/>
      <w:bookmarkEnd w:id="21507"/>
      <w:r>
        <w:rPr>
          <w:rFonts w:hint="cs"/>
          <w:rtl/>
        </w:rPr>
        <w:t xml:space="preserve">משהו </w:t>
      </w:r>
      <w:bookmarkStart w:id="21508" w:name="_ETM_Q33_276780"/>
      <w:bookmarkEnd w:id="21508"/>
      <w:r>
        <w:rPr>
          <w:rFonts w:hint="cs"/>
          <w:rtl/>
        </w:rPr>
        <w:t xml:space="preserve">שמחלל </w:t>
      </w:r>
      <w:bookmarkStart w:id="21509" w:name="_ETM_Q33_277350"/>
      <w:bookmarkEnd w:id="21509"/>
      <w:r>
        <w:rPr>
          <w:rFonts w:hint="cs"/>
          <w:rtl/>
        </w:rPr>
        <w:t xml:space="preserve">שבת </w:t>
      </w:r>
      <w:bookmarkStart w:id="21510" w:name="_ETM_Q33_277800"/>
      <w:bookmarkEnd w:id="21510"/>
      <w:r>
        <w:rPr>
          <w:rFonts w:hint="cs"/>
          <w:rtl/>
        </w:rPr>
        <w:t xml:space="preserve">בהכרח, </w:t>
      </w:r>
      <w:bookmarkStart w:id="21511" w:name="_ETM_Q33_278370"/>
      <w:bookmarkEnd w:id="21511"/>
      <w:r>
        <w:rPr>
          <w:rFonts w:hint="cs"/>
          <w:rtl/>
        </w:rPr>
        <w:t xml:space="preserve">כל </w:t>
      </w:r>
      <w:bookmarkStart w:id="21512" w:name="_ETM_Q33_278580"/>
      <w:bookmarkStart w:id="21513" w:name="_ETM_Q33_278819"/>
      <w:bookmarkEnd w:id="21512"/>
      <w:bookmarkEnd w:id="21513"/>
      <w:r>
        <w:rPr>
          <w:rFonts w:hint="cs"/>
          <w:rtl/>
        </w:rPr>
        <w:t xml:space="preserve">אחד עשה </w:t>
      </w:r>
      <w:bookmarkStart w:id="21514" w:name="_ETM_Q33_279090"/>
      <w:bookmarkEnd w:id="21514"/>
      <w:r>
        <w:rPr>
          <w:rFonts w:hint="cs"/>
          <w:rtl/>
        </w:rPr>
        <w:t xml:space="preserve">את </w:t>
      </w:r>
      <w:bookmarkStart w:id="21515" w:name="_ETM_Q33_279180"/>
      <w:bookmarkEnd w:id="21515"/>
      <w:r>
        <w:rPr>
          <w:rFonts w:hint="cs"/>
          <w:rtl/>
        </w:rPr>
        <w:t xml:space="preserve">זה </w:t>
      </w:r>
      <w:bookmarkStart w:id="21516" w:name="_ETM_Q33_280180"/>
      <w:bookmarkEnd w:id="21516"/>
      <w:r>
        <w:rPr>
          <w:rFonts w:hint="cs"/>
          <w:rtl/>
        </w:rPr>
        <w:t xml:space="preserve">לפי </w:t>
      </w:r>
      <w:bookmarkStart w:id="21517" w:name="_ETM_Q33_280750"/>
      <w:bookmarkEnd w:id="21517"/>
      <w:r>
        <w:rPr>
          <w:rFonts w:hint="cs"/>
          <w:rtl/>
        </w:rPr>
        <w:t xml:space="preserve">אורח </w:t>
      </w:r>
      <w:bookmarkStart w:id="21518" w:name="_ETM_Q33_281260"/>
      <w:bookmarkEnd w:id="21518"/>
      <w:r>
        <w:rPr>
          <w:rFonts w:hint="cs"/>
          <w:rtl/>
        </w:rPr>
        <w:t xml:space="preserve">החיים </w:t>
      </w:r>
      <w:bookmarkStart w:id="21519" w:name="_ETM_Q33_281500"/>
      <w:bookmarkEnd w:id="21519"/>
      <w:r>
        <w:rPr>
          <w:rFonts w:hint="cs"/>
          <w:rtl/>
        </w:rPr>
        <w:t xml:space="preserve">שלו. </w:t>
      </w:r>
      <w:bookmarkStart w:id="21520" w:name="_ETM_Q33_282800"/>
      <w:bookmarkEnd w:id="21520"/>
      <w:r>
        <w:rPr>
          <w:rFonts w:hint="cs"/>
          <w:rtl/>
        </w:rPr>
        <w:t xml:space="preserve">באמת </w:t>
      </w:r>
      <w:bookmarkStart w:id="21521" w:name="_ETM_Q33_283310"/>
      <w:bookmarkEnd w:id="21521"/>
      <w:r>
        <w:rPr>
          <w:rFonts w:hint="cs"/>
          <w:rtl/>
        </w:rPr>
        <w:t xml:space="preserve">היינו </w:t>
      </w:r>
      <w:bookmarkStart w:id="21522" w:name="_ETM_Q33_283520"/>
      <w:bookmarkEnd w:id="21522"/>
      <w:r>
        <w:rPr>
          <w:rFonts w:hint="cs"/>
          <w:rtl/>
        </w:rPr>
        <w:t xml:space="preserve">שם </w:t>
      </w:r>
      <w:bookmarkStart w:id="21523" w:name="_ETM_Q33_283700"/>
      <w:bookmarkEnd w:id="21523"/>
      <w:r>
        <w:rPr>
          <w:rFonts w:hint="cs"/>
          <w:rtl/>
        </w:rPr>
        <w:t xml:space="preserve">אנשים </w:t>
      </w:r>
      <w:bookmarkStart w:id="21524" w:name="_ETM_Q33_284000"/>
      <w:bookmarkEnd w:id="21524"/>
      <w:r>
        <w:rPr>
          <w:rFonts w:hint="cs"/>
          <w:rtl/>
        </w:rPr>
        <w:t xml:space="preserve">מכל </w:t>
      </w:r>
      <w:bookmarkStart w:id="21525" w:name="_ETM_Q33_284330"/>
      <w:bookmarkEnd w:id="21525"/>
      <w:r>
        <w:rPr>
          <w:rFonts w:hint="cs"/>
          <w:rtl/>
        </w:rPr>
        <w:t xml:space="preserve">חלקי </w:t>
      </w:r>
      <w:bookmarkStart w:id="21526" w:name="_ETM_Q33_284720"/>
      <w:bookmarkEnd w:id="21526"/>
      <w:r>
        <w:rPr>
          <w:rFonts w:hint="cs"/>
          <w:rtl/>
        </w:rPr>
        <w:t>הארץ</w:t>
      </w:r>
      <w:bookmarkStart w:id="21527" w:name="_ETM_Q33_285840"/>
      <w:bookmarkEnd w:id="21527"/>
      <w:r>
        <w:rPr>
          <w:rFonts w:hint="cs"/>
          <w:rtl/>
        </w:rPr>
        <w:t xml:space="preserve">. </w:t>
      </w:r>
    </w:p>
    <w:p w:rsidR="00BB59CD" w:rsidRDefault="00BB59CD" w:rsidP="00BB59CD">
      <w:pPr>
        <w:rPr>
          <w:rtl/>
        </w:rPr>
      </w:pPr>
      <w:bookmarkStart w:id="21528" w:name="_ETM_Q33_286000"/>
      <w:bookmarkEnd w:id="21528"/>
    </w:p>
    <w:p w:rsidR="00BB59CD" w:rsidRDefault="00BB59CD" w:rsidP="004F0855">
      <w:pPr>
        <w:rPr>
          <w:rtl/>
        </w:rPr>
      </w:pPr>
      <w:bookmarkStart w:id="21529" w:name="_ETM_Q33_287000"/>
      <w:bookmarkEnd w:id="21529"/>
      <w:r>
        <w:rPr>
          <w:rFonts w:hint="cs"/>
          <w:rtl/>
        </w:rPr>
        <w:t xml:space="preserve">בחיים </w:t>
      </w:r>
      <w:bookmarkStart w:id="21530" w:name="_ETM_Q33_286439"/>
      <w:bookmarkEnd w:id="21530"/>
      <w:r>
        <w:rPr>
          <w:rFonts w:hint="cs"/>
          <w:rtl/>
        </w:rPr>
        <w:t xml:space="preserve">שלי </w:t>
      </w:r>
      <w:bookmarkStart w:id="21531" w:name="_ETM_Q33_286709"/>
      <w:bookmarkEnd w:id="21531"/>
      <w:r>
        <w:rPr>
          <w:rFonts w:hint="cs"/>
          <w:rtl/>
        </w:rPr>
        <w:t xml:space="preserve">לא </w:t>
      </w:r>
      <w:bookmarkStart w:id="21532" w:name="_ETM_Q33_286799"/>
      <w:bookmarkEnd w:id="21532"/>
      <w:r>
        <w:rPr>
          <w:rFonts w:hint="cs"/>
          <w:rtl/>
        </w:rPr>
        <w:t xml:space="preserve">ראיתי </w:t>
      </w:r>
      <w:bookmarkStart w:id="21533" w:name="_ETM_Q33_287069"/>
      <w:bookmarkEnd w:id="21533"/>
      <w:r>
        <w:rPr>
          <w:rFonts w:hint="cs"/>
          <w:rtl/>
        </w:rPr>
        <w:t xml:space="preserve">דבר </w:t>
      </w:r>
      <w:bookmarkStart w:id="21534" w:name="_ETM_Q33_287399"/>
      <w:bookmarkEnd w:id="21534"/>
      <w:r>
        <w:rPr>
          <w:rFonts w:hint="cs"/>
          <w:rtl/>
        </w:rPr>
        <w:t xml:space="preserve">כזה. </w:t>
      </w:r>
      <w:bookmarkStart w:id="21535" w:name="_ETM_Q33_287789"/>
      <w:bookmarkEnd w:id="21535"/>
      <w:r>
        <w:rPr>
          <w:rFonts w:hint="cs"/>
          <w:rtl/>
        </w:rPr>
        <w:t xml:space="preserve">אני </w:t>
      </w:r>
      <w:bookmarkStart w:id="21536" w:name="_ETM_Q33_289439"/>
      <w:bookmarkEnd w:id="21536"/>
      <w:r>
        <w:rPr>
          <w:rFonts w:hint="cs"/>
          <w:rtl/>
        </w:rPr>
        <w:t xml:space="preserve">גדלתי </w:t>
      </w:r>
      <w:bookmarkStart w:id="21537" w:name="_ETM_Q33_289979"/>
      <w:bookmarkEnd w:id="21537"/>
      <w:r>
        <w:rPr>
          <w:rFonts w:hint="cs"/>
          <w:rtl/>
        </w:rPr>
        <w:t xml:space="preserve">בהפגנות. </w:t>
      </w:r>
      <w:bookmarkStart w:id="21538" w:name="_ETM_Q33_291079"/>
      <w:bookmarkEnd w:id="21538"/>
      <w:r>
        <w:rPr>
          <w:rFonts w:hint="cs"/>
          <w:rtl/>
        </w:rPr>
        <w:t xml:space="preserve">אני </w:t>
      </w:r>
      <w:bookmarkStart w:id="21539" w:name="_ETM_Q33_291380"/>
      <w:bookmarkEnd w:id="21539"/>
      <w:r>
        <w:rPr>
          <w:rFonts w:hint="cs"/>
          <w:rtl/>
        </w:rPr>
        <w:t xml:space="preserve">גדלתי </w:t>
      </w:r>
      <w:bookmarkStart w:id="21540" w:name="_ETM_Q33_291740"/>
      <w:bookmarkEnd w:id="21540"/>
      <w:r>
        <w:rPr>
          <w:rFonts w:hint="cs"/>
          <w:rtl/>
        </w:rPr>
        <w:t xml:space="preserve">בהפגנות </w:t>
      </w:r>
      <w:bookmarkStart w:id="21541" w:name="_ETM_Q33_292369"/>
      <w:bookmarkEnd w:id="21541"/>
      <w:r>
        <w:rPr>
          <w:rFonts w:hint="cs"/>
          <w:rtl/>
        </w:rPr>
        <w:t xml:space="preserve">על </w:t>
      </w:r>
      <w:bookmarkStart w:id="21542" w:name="_ETM_Q33_292490"/>
      <w:bookmarkEnd w:id="21542"/>
      <w:r>
        <w:rPr>
          <w:rFonts w:hint="cs"/>
          <w:rtl/>
        </w:rPr>
        <w:t xml:space="preserve">צביונה </w:t>
      </w:r>
      <w:bookmarkStart w:id="21543" w:name="_ETM_Q33_292880"/>
      <w:bookmarkEnd w:id="21543"/>
      <w:r>
        <w:rPr>
          <w:rFonts w:hint="cs"/>
          <w:rtl/>
        </w:rPr>
        <w:t xml:space="preserve">של </w:t>
      </w:r>
      <w:bookmarkStart w:id="21544" w:name="_ETM_Q33_293030"/>
      <w:bookmarkEnd w:id="21544"/>
      <w:r>
        <w:rPr>
          <w:rFonts w:hint="cs"/>
          <w:rtl/>
        </w:rPr>
        <w:t xml:space="preserve">ירושלים, </w:t>
      </w:r>
      <w:bookmarkStart w:id="21545" w:name="_ETM_Q33_293869"/>
      <w:bookmarkEnd w:id="21545"/>
      <w:r>
        <w:rPr>
          <w:rFonts w:hint="cs"/>
          <w:rtl/>
        </w:rPr>
        <w:t xml:space="preserve">על </w:t>
      </w:r>
      <w:bookmarkStart w:id="21546" w:name="_ETM_Q33_294020"/>
      <w:bookmarkEnd w:id="21546"/>
      <w:r>
        <w:rPr>
          <w:rFonts w:hint="cs"/>
          <w:rtl/>
        </w:rPr>
        <w:t xml:space="preserve">פתיחת </w:t>
      </w:r>
      <w:bookmarkStart w:id="21547" w:name="_ETM_Q33_294350"/>
      <w:bookmarkEnd w:id="21547"/>
      <w:r>
        <w:rPr>
          <w:rFonts w:hint="cs"/>
          <w:rtl/>
        </w:rPr>
        <w:t xml:space="preserve">חניון </w:t>
      </w:r>
      <w:bookmarkStart w:id="21548" w:name="_ETM_Q33_294680"/>
      <w:bookmarkEnd w:id="21548"/>
      <w:r>
        <w:rPr>
          <w:rFonts w:hint="cs"/>
          <w:rtl/>
        </w:rPr>
        <w:t xml:space="preserve">קרתא </w:t>
      </w:r>
      <w:bookmarkStart w:id="21549" w:name="_ETM_Q33_295039"/>
      <w:bookmarkEnd w:id="21549"/>
      <w:r>
        <w:rPr>
          <w:rFonts w:hint="cs"/>
          <w:rtl/>
        </w:rPr>
        <w:t xml:space="preserve">בשבת, </w:t>
      </w:r>
      <w:bookmarkStart w:id="21550" w:name="_ETM_Q33_296210"/>
      <w:bookmarkEnd w:id="21550"/>
      <w:r>
        <w:rPr>
          <w:rFonts w:hint="cs"/>
          <w:rtl/>
        </w:rPr>
        <w:t xml:space="preserve">על </w:t>
      </w:r>
      <w:bookmarkStart w:id="21551" w:name="_ETM_Q33_296420"/>
      <w:bookmarkEnd w:id="21551"/>
      <w:r>
        <w:rPr>
          <w:rFonts w:hint="cs"/>
          <w:rtl/>
        </w:rPr>
        <w:t xml:space="preserve">שמירת </w:t>
      </w:r>
      <w:bookmarkStart w:id="21552" w:name="_ETM_Q33_296719"/>
      <w:bookmarkStart w:id="21553" w:name="_ETM_Q33_296780"/>
      <w:bookmarkEnd w:id="21552"/>
      <w:bookmarkEnd w:id="21553"/>
      <w:r>
        <w:rPr>
          <w:rFonts w:hint="cs"/>
          <w:rtl/>
        </w:rPr>
        <w:t xml:space="preserve">הצעירים </w:t>
      </w:r>
      <w:bookmarkStart w:id="21554" w:name="_ETM_Q33_297200"/>
      <w:bookmarkEnd w:id="21554"/>
      <w:r>
        <w:rPr>
          <w:rFonts w:hint="cs"/>
          <w:rtl/>
        </w:rPr>
        <w:t xml:space="preserve">החילונים </w:t>
      </w:r>
      <w:bookmarkStart w:id="21555" w:name="_ETM_Q33_297740"/>
      <w:bookmarkEnd w:id="21555"/>
      <w:r>
        <w:rPr>
          <w:rFonts w:hint="cs"/>
          <w:rtl/>
        </w:rPr>
        <w:t xml:space="preserve">בעיר. </w:t>
      </w:r>
      <w:bookmarkStart w:id="21556" w:name="_ETM_Q33_298070"/>
      <w:bookmarkEnd w:id="21556"/>
      <w:r>
        <w:rPr>
          <w:rFonts w:hint="cs"/>
          <w:rtl/>
        </w:rPr>
        <w:t xml:space="preserve">נפגשנו </w:t>
      </w:r>
      <w:bookmarkStart w:id="21557" w:name="_ETM_Q33_298549"/>
      <w:bookmarkEnd w:id="21557"/>
      <w:r>
        <w:rPr>
          <w:rFonts w:hint="cs"/>
          <w:rtl/>
        </w:rPr>
        <w:t xml:space="preserve">בסיבובים </w:t>
      </w:r>
      <w:bookmarkStart w:id="21558" w:name="_ETM_Q33_299360"/>
      <w:bookmarkEnd w:id="21558"/>
      <w:r>
        <w:rPr>
          <w:rFonts w:hint="cs"/>
          <w:rtl/>
        </w:rPr>
        <w:t xml:space="preserve">קודמים, </w:t>
      </w:r>
      <w:bookmarkStart w:id="21559" w:name="_ETM_Q33_300049"/>
      <w:bookmarkEnd w:id="21559"/>
      <w:r>
        <w:rPr>
          <w:rFonts w:hint="cs"/>
          <w:rtl/>
        </w:rPr>
        <w:t>השר גולדקנופ.</w:t>
      </w:r>
      <w:bookmarkStart w:id="21560" w:name="_ETM_Q33_300350"/>
      <w:bookmarkStart w:id="21561" w:name="_ETM_Q33_300590"/>
      <w:bookmarkEnd w:id="21560"/>
      <w:bookmarkEnd w:id="21561"/>
      <w:r>
        <w:rPr>
          <w:rFonts w:hint="cs"/>
          <w:rtl/>
        </w:rPr>
        <w:t xml:space="preserve"> </w:t>
      </w:r>
      <w:bookmarkStart w:id="21562" w:name="_ETM_Q33_301380"/>
      <w:bookmarkEnd w:id="21562"/>
      <w:r>
        <w:rPr>
          <w:rFonts w:hint="cs"/>
          <w:rtl/>
        </w:rPr>
        <w:t xml:space="preserve">בחיים </w:t>
      </w:r>
      <w:bookmarkStart w:id="21563" w:name="_ETM_Q33_302429"/>
      <w:bookmarkEnd w:id="21563"/>
      <w:r>
        <w:rPr>
          <w:rFonts w:hint="cs"/>
          <w:rtl/>
        </w:rPr>
        <w:t xml:space="preserve">לא </w:t>
      </w:r>
      <w:bookmarkStart w:id="21564" w:name="_ETM_Q33_302700"/>
      <w:bookmarkEnd w:id="21564"/>
      <w:r>
        <w:rPr>
          <w:rFonts w:hint="cs"/>
          <w:rtl/>
        </w:rPr>
        <w:t xml:space="preserve">ראיתי </w:t>
      </w:r>
      <w:bookmarkStart w:id="21565" w:name="_ETM_Q33_303450"/>
      <w:bookmarkEnd w:id="21565"/>
      <w:r>
        <w:rPr>
          <w:rFonts w:hint="cs"/>
          <w:rtl/>
        </w:rPr>
        <w:t xml:space="preserve">הפגנות </w:t>
      </w:r>
      <w:bookmarkStart w:id="21566" w:name="_ETM_Q33_304079"/>
      <w:bookmarkEnd w:id="21566"/>
      <w:r>
        <w:rPr>
          <w:rFonts w:hint="cs"/>
          <w:rtl/>
        </w:rPr>
        <w:t xml:space="preserve">כל </w:t>
      </w:r>
      <w:bookmarkStart w:id="21567" w:name="_ETM_Q33_304380"/>
      <w:bookmarkEnd w:id="21567"/>
      <w:r>
        <w:rPr>
          <w:rFonts w:hint="cs"/>
          <w:rtl/>
        </w:rPr>
        <w:t xml:space="preserve">כך </w:t>
      </w:r>
      <w:bookmarkStart w:id="21568" w:name="_ETM_Q33_305780"/>
      <w:bookmarkEnd w:id="21568"/>
      <w:r>
        <w:rPr>
          <w:rFonts w:hint="cs"/>
          <w:rtl/>
        </w:rPr>
        <w:t xml:space="preserve">מעצימות, </w:t>
      </w:r>
      <w:bookmarkStart w:id="21569" w:name="_ETM_Q33_307039"/>
      <w:bookmarkEnd w:id="21569"/>
      <w:r>
        <w:rPr>
          <w:rFonts w:hint="cs"/>
          <w:rtl/>
        </w:rPr>
        <w:t xml:space="preserve">מרגשות. </w:t>
      </w:r>
      <w:bookmarkStart w:id="21570" w:name="_ETM_Q33_308669"/>
      <w:bookmarkEnd w:id="21570"/>
      <w:r>
        <w:rPr>
          <w:rFonts w:hint="cs"/>
          <w:rtl/>
        </w:rPr>
        <w:t xml:space="preserve">אנשים, </w:t>
      </w:r>
      <w:bookmarkStart w:id="21571" w:name="_ETM_Q33_309660"/>
      <w:bookmarkEnd w:id="21571"/>
      <w:r>
        <w:rPr>
          <w:rFonts w:hint="cs"/>
          <w:rtl/>
        </w:rPr>
        <w:t xml:space="preserve">ב-40 </w:t>
      </w:r>
      <w:bookmarkStart w:id="21572" w:name="_ETM_Q33_310990"/>
      <w:bookmarkEnd w:id="21572"/>
      <w:r>
        <w:rPr>
          <w:rFonts w:hint="cs"/>
          <w:rtl/>
        </w:rPr>
        <w:t xml:space="preserve">מעלות </w:t>
      </w:r>
      <w:bookmarkStart w:id="21573" w:name="_ETM_Q33_311650"/>
      <w:bookmarkEnd w:id="21573"/>
      <w:r>
        <w:rPr>
          <w:rFonts w:hint="cs"/>
          <w:rtl/>
        </w:rPr>
        <w:t xml:space="preserve">חום, </w:t>
      </w:r>
      <w:bookmarkStart w:id="21574" w:name="_ETM_Q33_312430"/>
      <w:bookmarkEnd w:id="21574"/>
      <w:r>
        <w:rPr>
          <w:rFonts w:hint="cs"/>
          <w:rtl/>
        </w:rPr>
        <w:t xml:space="preserve">חום </w:t>
      </w:r>
      <w:bookmarkStart w:id="21575" w:name="_ETM_Q33_312760"/>
      <w:bookmarkEnd w:id="21575"/>
      <w:r>
        <w:rPr>
          <w:rFonts w:hint="cs"/>
          <w:rtl/>
        </w:rPr>
        <w:t xml:space="preserve">אימים, </w:t>
      </w:r>
      <w:bookmarkStart w:id="21576" w:name="_ETM_Q33_312000"/>
      <w:bookmarkEnd w:id="21576"/>
      <w:r>
        <w:rPr>
          <w:rFonts w:hint="cs"/>
          <w:rtl/>
        </w:rPr>
        <w:t>עושים את</w:t>
      </w:r>
      <w:bookmarkStart w:id="21577" w:name="_ETM_Q33_313940"/>
      <w:bookmarkEnd w:id="21577"/>
      <w:r>
        <w:rPr>
          <w:rFonts w:hint="cs"/>
          <w:rtl/>
        </w:rPr>
        <w:t xml:space="preserve"> </w:t>
      </w:r>
      <w:bookmarkStart w:id="21578" w:name="_ETM_Q33_314250"/>
      <w:bookmarkEnd w:id="21578"/>
      <w:r>
        <w:rPr>
          <w:rFonts w:hint="cs"/>
          <w:rtl/>
        </w:rPr>
        <w:t xml:space="preserve">העלייה </w:t>
      </w:r>
      <w:bookmarkStart w:id="21579" w:name="_ETM_Q33_314639"/>
      <w:bookmarkEnd w:id="21579"/>
      <w:r>
        <w:rPr>
          <w:rFonts w:hint="cs"/>
          <w:rtl/>
        </w:rPr>
        <w:t xml:space="preserve">לירושלים </w:t>
      </w:r>
      <w:bookmarkStart w:id="21580" w:name="_ETM_Q33_315990"/>
      <w:bookmarkEnd w:id="21580"/>
      <w:r>
        <w:rPr>
          <w:rFonts w:hint="cs"/>
          <w:rtl/>
        </w:rPr>
        <w:t xml:space="preserve">עם </w:t>
      </w:r>
      <w:bookmarkStart w:id="21581" w:name="_ETM_Q33_316200"/>
      <w:bookmarkEnd w:id="21581"/>
      <w:r>
        <w:rPr>
          <w:rFonts w:hint="cs"/>
          <w:rtl/>
        </w:rPr>
        <w:t xml:space="preserve">הילדים </w:t>
      </w:r>
      <w:bookmarkStart w:id="21582" w:name="_ETM_Q33_316770"/>
      <w:bookmarkEnd w:id="21582"/>
      <w:r>
        <w:rPr>
          <w:rFonts w:hint="cs"/>
          <w:rtl/>
        </w:rPr>
        <w:t xml:space="preserve">שלהם, </w:t>
      </w:r>
      <w:bookmarkStart w:id="21583" w:name="_ETM_Q33_317430"/>
      <w:bookmarkEnd w:id="21583"/>
      <w:r>
        <w:rPr>
          <w:rFonts w:hint="cs"/>
          <w:rtl/>
        </w:rPr>
        <w:t xml:space="preserve">עם </w:t>
      </w:r>
      <w:bookmarkStart w:id="21584" w:name="_ETM_Q33_317610"/>
      <w:bookmarkEnd w:id="21584"/>
      <w:r>
        <w:rPr>
          <w:rFonts w:hint="cs"/>
          <w:rtl/>
        </w:rPr>
        <w:t xml:space="preserve">עגלות, </w:t>
      </w:r>
      <w:bookmarkStart w:id="21585" w:name="_ETM_Q33_318300"/>
      <w:bookmarkEnd w:id="21585"/>
      <w:r>
        <w:rPr>
          <w:rFonts w:hint="cs"/>
          <w:rtl/>
        </w:rPr>
        <w:t xml:space="preserve">ילדים </w:t>
      </w:r>
      <w:bookmarkStart w:id="21586" w:name="_ETM_Q33_318780"/>
      <w:bookmarkEnd w:id="21586"/>
      <w:r>
        <w:rPr>
          <w:rFonts w:hint="cs"/>
          <w:rtl/>
        </w:rPr>
        <w:t xml:space="preserve">על </w:t>
      </w:r>
      <w:bookmarkStart w:id="21587" w:name="_ETM_Q33_318900"/>
      <w:bookmarkEnd w:id="21587"/>
      <w:r>
        <w:rPr>
          <w:rFonts w:hint="cs"/>
          <w:rtl/>
        </w:rPr>
        <w:t xml:space="preserve">הכתפיים, </w:t>
      </w:r>
      <w:bookmarkStart w:id="21588" w:name="_ETM_Q33_319710"/>
      <w:bookmarkEnd w:id="21588"/>
      <w:r>
        <w:rPr>
          <w:rFonts w:hint="cs"/>
          <w:rtl/>
        </w:rPr>
        <w:t xml:space="preserve">אנשים </w:t>
      </w:r>
      <w:bookmarkStart w:id="21589" w:name="_ETM_Q33_320100"/>
      <w:bookmarkEnd w:id="21589"/>
      <w:r>
        <w:rPr>
          <w:rFonts w:hint="cs"/>
          <w:rtl/>
        </w:rPr>
        <w:t xml:space="preserve">מבוגרים, </w:t>
      </w:r>
      <w:bookmarkStart w:id="21590" w:name="_ETM_Q33_320580"/>
      <w:bookmarkEnd w:id="21590"/>
      <w:r>
        <w:rPr>
          <w:rFonts w:hint="cs"/>
          <w:rtl/>
        </w:rPr>
        <w:t xml:space="preserve">אנשים </w:t>
      </w:r>
      <w:bookmarkStart w:id="21591" w:name="_ETM_Q33_320970"/>
      <w:bookmarkEnd w:id="21591"/>
      <w:r>
        <w:rPr>
          <w:rFonts w:hint="cs"/>
          <w:rtl/>
        </w:rPr>
        <w:t xml:space="preserve">עם </w:t>
      </w:r>
      <w:bookmarkStart w:id="21592" w:name="_ETM_Q33_321060"/>
      <w:bookmarkEnd w:id="21592"/>
      <w:r>
        <w:rPr>
          <w:rFonts w:hint="cs"/>
          <w:rtl/>
        </w:rPr>
        <w:t xml:space="preserve">קביים, </w:t>
      </w:r>
      <w:bookmarkStart w:id="21593" w:name="_ETM_Q33_322020"/>
      <w:bookmarkEnd w:id="21593"/>
      <w:r>
        <w:rPr>
          <w:rFonts w:hint="cs"/>
          <w:rtl/>
        </w:rPr>
        <w:t xml:space="preserve">עושים </w:t>
      </w:r>
      <w:bookmarkStart w:id="21594" w:name="_ETM_Q33_322380"/>
      <w:bookmarkEnd w:id="21594"/>
      <w:r>
        <w:rPr>
          <w:rFonts w:hint="cs"/>
          <w:rtl/>
        </w:rPr>
        <w:t xml:space="preserve">את העלייה </w:t>
      </w:r>
      <w:bookmarkStart w:id="21595" w:name="_ETM_Q33_323460"/>
      <w:bookmarkEnd w:id="21595"/>
      <w:r>
        <w:rPr>
          <w:rFonts w:hint="cs"/>
          <w:rtl/>
        </w:rPr>
        <w:t xml:space="preserve">מתוך </w:t>
      </w:r>
      <w:bookmarkStart w:id="21596" w:name="_ETM_Q33_324200"/>
      <w:bookmarkEnd w:id="21596"/>
      <w:r>
        <w:rPr>
          <w:rFonts w:hint="cs"/>
          <w:rtl/>
        </w:rPr>
        <w:t xml:space="preserve">אמונה </w:t>
      </w:r>
      <w:bookmarkStart w:id="21597" w:name="_ETM_Q33_325340"/>
      <w:bookmarkEnd w:id="21597"/>
      <w:r>
        <w:rPr>
          <w:rFonts w:hint="cs"/>
          <w:rtl/>
        </w:rPr>
        <w:t xml:space="preserve">ואהבה </w:t>
      </w:r>
      <w:bookmarkStart w:id="21598" w:name="_ETM_Q33_326329"/>
      <w:bookmarkEnd w:id="21598"/>
      <w:r>
        <w:rPr>
          <w:rFonts w:hint="cs"/>
          <w:rtl/>
        </w:rPr>
        <w:t xml:space="preserve">ודאגה </w:t>
      </w:r>
      <w:bookmarkStart w:id="21599" w:name="_ETM_Q33_327319"/>
      <w:bookmarkEnd w:id="21599"/>
      <w:r>
        <w:rPr>
          <w:rFonts w:hint="cs"/>
          <w:rtl/>
        </w:rPr>
        <w:t xml:space="preserve">למדינה </w:t>
      </w:r>
      <w:bookmarkStart w:id="21600" w:name="_ETM_Q33_327889"/>
      <w:bookmarkEnd w:id="21600"/>
      <w:r>
        <w:rPr>
          <w:rFonts w:hint="cs"/>
          <w:rtl/>
        </w:rPr>
        <w:t xml:space="preserve">שלנו. </w:t>
      </w:r>
      <w:bookmarkStart w:id="21601" w:name="_ETM_Q33_329480"/>
      <w:bookmarkEnd w:id="21601"/>
      <w:r>
        <w:rPr>
          <w:rFonts w:hint="cs"/>
          <w:rtl/>
        </w:rPr>
        <w:t xml:space="preserve">זה </w:t>
      </w:r>
      <w:bookmarkStart w:id="21602" w:name="_ETM_Q33_329810"/>
      <w:bookmarkEnd w:id="21602"/>
      <w:r>
        <w:rPr>
          <w:rFonts w:hint="cs"/>
          <w:rtl/>
        </w:rPr>
        <w:t xml:space="preserve">אירוע </w:t>
      </w:r>
      <w:bookmarkStart w:id="21603" w:name="_ETM_Q33_330230"/>
      <w:bookmarkEnd w:id="21603"/>
      <w:r>
        <w:rPr>
          <w:rFonts w:hint="cs"/>
          <w:rtl/>
        </w:rPr>
        <w:t xml:space="preserve">שהוא </w:t>
      </w:r>
      <w:bookmarkStart w:id="21604" w:name="_ETM_Q33_330900"/>
      <w:bookmarkEnd w:id="21604"/>
      <w:r>
        <w:rPr>
          <w:rFonts w:hint="cs"/>
          <w:rtl/>
        </w:rPr>
        <w:t xml:space="preserve">בעיניי </w:t>
      </w:r>
      <w:r>
        <w:t>peak</w:t>
      </w:r>
      <w:bookmarkStart w:id="21605" w:name="_ETM_Q33_331560"/>
      <w:bookmarkEnd w:id="21605"/>
      <w:r>
        <w:rPr>
          <w:rFonts w:hint="cs"/>
          <w:rtl/>
        </w:rPr>
        <w:t xml:space="preserve"> </w:t>
      </w:r>
      <w:bookmarkStart w:id="21606" w:name="_ETM_Q33_332460"/>
      <w:bookmarkEnd w:id="21606"/>
      <w:r>
        <w:rPr>
          <w:rFonts w:hint="cs"/>
          <w:rtl/>
        </w:rPr>
        <w:t xml:space="preserve">של </w:t>
      </w:r>
      <w:bookmarkStart w:id="21607" w:name="_ETM_Q33_332790"/>
      <w:bookmarkEnd w:id="21607"/>
      <w:r>
        <w:rPr>
          <w:rFonts w:hint="cs"/>
          <w:rtl/>
        </w:rPr>
        <w:t xml:space="preserve">חצי </w:t>
      </w:r>
      <w:bookmarkStart w:id="21608" w:name="_ETM_Q33_333240"/>
      <w:bookmarkEnd w:id="21608"/>
      <w:r>
        <w:rPr>
          <w:rFonts w:hint="cs"/>
          <w:rtl/>
        </w:rPr>
        <w:t xml:space="preserve">שנה </w:t>
      </w:r>
      <w:bookmarkStart w:id="21609" w:name="_ETM_Q33_333630"/>
      <w:bookmarkEnd w:id="21609"/>
      <w:r>
        <w:rPr>
          <w:rFonts w:hint="cs"/>
          <w:rtl/>
        </w:rPr>
        <w:t xml:space="preserve">של </w:t>
      </w:r>
      <w:bookmarkStart w:id="21610" w:name="_ETM_Q33_333840"/>
      <w:bookmarkEnd w:id="21610"/>
      <w:r>
        <w:rPr>
          <w:rFonts w:hint="cs"/>
          <w:rtl/>
        </w:rPr>
        <w:t xml:space="preserve">מאבק </w:t>
      </w:r>
      <w:bookmarkStart w:id="21611" w:name="_ETM_Q33_335069"/>
      <w:bookmarkEnd w:id="21611"/>
      <w:r>
        <w:rPr>
          <w:rFonts w:hint="cs"/>
          <w:rtl/>
        </w:rPr>
        <w:t xml:space="preserve">לא </w:t>
      </w:r>
      <w:bookmarkStart w:id="21612" w:name="_ETM_Q33_335340"/>
      <w:bookmarkEnd w:id="21612"/>
      <w:r>
        <w:rPr>
          <w:rFonts w:hint="cs"/>
          <w:rtl/>
        </w:rPr>
        <w:t xml:space="preserve">אלים, </w:t>
      </w:r>
      <w:bookmarkStart w:id="21613" w:name="_ETM_Q33_337110"/>
      <w:bookmarkEnd w:id="21613"/>
      <w:r>
        <w:rPr>
          <w:rFonts w:hint="cs"/>
          <w:rtl/>
        </w:rPr>
        <w:t xml:space="preserve">באמת </w:t>
      </w:r>
      <w:bookmarkStart w:id="21614" w:name="_ETM_Q33_337590"/>
      <w:bookmarkEnd w:id="21614"/>
      <w:r>
        <w:rPr>
          <w:rFonts w:hint="cs"/>
          <w:rtl/>
        </w:rPr>
        <w:t xml:space="preserve">בכל </w:t>
      </w:r>
      <w:bookmarkStart w:id="21615" w:name="_ETM_Q33_337950"/>
      <w:bookmarkEnd w:id="21615"/>
      <w:r>
        <w:rPr>
          <w:rFonts w:hint="cs"/>
          <w:rtl/>
        </w:rPr>
        <w:t xml:space="preserve">רחבי </w:t>
      </w:r>
      <w:bookmarkStart w:id="21616" w:name="_ETM_Q33_338430"/>
      <w:bookmarkEnd w:id="21616"/>
      <w:r>
        <w:rPr>
          <w:rFonts w:hint="cs"/>
          <w:rtl/>
        </w:rPr>
        <w:t xml:space="preserve">הארץ. </w:t>
      </w:r>
      <w:bookmarkStart w:id="21617" w:name="_ETM_Q33_339440"/>
      <w:bookmarkEnd w:id="21617"/>
      <w:r>
        <w:rPr>
          <w:rFonts w:hint="cs"/>
          <w:rtl/>
        </w:rPr>
        <w:t xml:space="preserve">כמו </w:t>
      </w:r>
      <w:bookmarkStart w:id="21618" w:name="_ETM_Q33_339710"/>
      <w:bookmarkEnd w:id="21618"/>
      <w:r>
        <w:rPr>
          <w:rFonts w:hint="cs"/>
          <w:rtl/>
        </w:rPr>
        <w:t xml:space="preserve">שהמפכ"ל </w:t>
      </w:r>
      <w:bookmarkStart w:id="21619" w:name="_ETM_Q33_340340"/>
      <w:bookmarkEnd w:id="21619"/>
      <w:r>
        <w:rPr>
          <w:rFonts w:hint="cs"/>
          <w:rtl/>
        </w:rPr>
        <w:t xml:space="preserve">אמר, </w:t>
      </w:r>
      <w:bookmarkStart w:id="21620" w:name="_ETM_Q33_340910"/>
      <w:bookmarkEnd w:id="21620"/>
      <w:r>
        <w:rPr>
          <w:rFonts w:hint="cs"/>
          <w:rtl/>
        </w:rPr>
        <w:t xml:space="preserve">לא </w:t>
      </w:r>
      <w:bookmarkStart w:id="21621" w:name="_ETM_Q33_341120"/>
      <w:bookmarkEnd w:id="21621"/>
      <w:r>
        <w:rPr>
          <w:rFonts w:hint="cs"/>
          <w:rtl/>
        </w:rPr>
        <w:t xml:space="preserve">ראיתי </w:t>
      </w:r>
      <w:bookmarkStart w:id="21622" w:name="_ETM_Q33_341389"/>
      <w:bookmarkEnd w:id="21622"/>
      <w:r>
        <w:rPr>
          <w:rFonts w:hint="cs"/>
          <w:rtl/>
        </w:rPr>
        <w:t xml:space="preserve">דבר </w:t>
      </w:r>
      <w:bookmarkStart w:id="21623" w:name="_ETM_Q33_341720"/>
      <w:bookmarkEnd w:id="21623"/>
      <w:r>
        <w:rPr>
          <w:rFonts w:hint="cs"/>
          <w:rtl/>
        </w:rPr>
        <w:t xml:space="preserve">כזה </w:t>
      </w:r>
      <w:bookmarkStart w:id="21624" w:name="_ETM_Q33_341960"/>
      <w:bookmarkEnd w:id="21624"/>
      <w:r>
        <w:rPr>
          <w:rFonts w:hint="cs"/>
          <w:rtl/>
        </w:rPr>
        <w:t xml:space="preserve">שחצי </w:t>
      </w:r>
      <w:bookmarkStart w:id="21625" w:name="_ETM_Q33_342410"/>
      <w:bookmarkEnd w:id="21625"/>
      <w:r>
        <w:rPr>
          <w:rFonts w:hint="cs"/>
          <w:rtl/>
        </w:rPr>
        <w:t xml:space="preserve">שנה </w:t>
      </w:r>
      <w:bookmarkStart w:id="21626" w:name="_ETM_Q33_342680"/>
      <w:bookmarkEnd w:id="21626"/>
      <w:r>
        <w:rPr>
          <w:rFonts w:hint="cs"/>
          <w:rtl/>
        </w:rPr>
        <w:t xml:space="preserve">יש </w:t>
      </w:r>
      <w:bookmarkStart w:id="21627" w:name="_ETM_Q33_342800"/>
      <w:bookmarkEnd w:id="21627"/>
      <w:r>
        <w:rPr>
          <w:rFonts w:hint="cs"/>
          <w:rtl/>
        </w:rPr>
        <w:t xml:space="preserve">מחאות </w:t>
      </w:r>
      <w:bookmarkStart w:id="21628" w:name="_ETM_Q33_343400"/>
      <w:bookmarkEnd w:id="21628"/>
      <w:r>
        <w:rPr>
          <w:rFonts w:hint="cs"/>
          <w:rtl/>
        </w:rPr>
        <w:t xml:space="preserve">ואין </w:t>
      </w:r>
      <w:bookmarkStart w:id="21629" w:name="_ETM_Q33_343760"/>
      <w:bookmarkEnd w:id="21629"/>
      <w:r>
        <w:rPr>
          <w:rFonts w:hint="cs"/>
          <w:rtl/>
        </w:rPr>
        <w:t xml:space="preserve">אפילו </w:t>
      </w:r>
      <w:bookmarkStart w:id="21630" w:name="_ETM_Q33_344060"/>
      <w:bookmarkEnd w:id="21630"/>
      <w:r>
        <w:rPr>
          <w:rFonts w:hint="cs"/>
          <w:rtl/>
        </w:rPr>
        <w:t>שוטר אחד</w:t>
      </w:r>
      <w:bookmarkStart w:id="21631" w:name="_ETM_Q33_344389"/>
      <w:bookmarkEnd w:id="21631"/>
      <w:r>
        <w:rPr>
          <w:rFonts w:hint="cs"/>
          <w:rtl/>
        </w:rPr>
        <w:t xml:space="preserve"> </w:t>
      </w:r>
      <w:bookmarkStart w:id="21632" w:name="_ETM_Q33_344660"/>
      <w:bookmarkEnd w:id="21632"/>
      <w:r>
        <w:rPr>
          <w:rFonts w:hint="cs"/>
          <w:rtl/>
        </w:rPr>
        <w:t xml:space="preserve">שנפגע. </w:t>
      </w:r>
      <w:bookmarkStart w:id="21633" w:name="_ETM_Q33_345770"/>
      <w:bookmarkEnd w:id="21633"/>
      <w:r>
        <w:rPr>
          <w:rFonts w:hint="cs"/>
          <w:rtl/>
        </w:rPr>
        <w:t xml:space="preserve">הכול </w:t>
      </w:r>
      <w:bookmarkStart w:id="21634" w:name="_ETM_Q33_346250"/>
      <w:bookmarkEnd w:id="21634"/>
      <w:r>
        <w:rPr>
          <w:rFonts w:hint="cs"/>
          <w:rtl/>
        </w:rPr>
        <w:t xml:space="preserve">באמת </w:t>
      </w:r>
      <w:bookmarkStart w:id="21635" w:name="_ETM_Q33_346700"/>
      <w:bookmarkEnd w:id="21635"/>
      <w:r>
        <w:rPr>
          <w:rFonts w:hint="cs"/>
          <w:rtl/>
        </w:rPr>
        <w:t xml:space="preserve">באהבה </w:t>
      </w:r>
      <w:bookmarkStart w:id="21636" w:name="_ETM_Q33_347120"/>
      <w:bookmarkEnd w:id="21636"/>
      <w:r>
        <w:rPr>
          <w:rFonts w:hint="cs"/>
          <w:rtl/>
        </w:rPr>
        <w:t xml:space="preserve">גדולה </w:t>
      </w:r>
      <w:bookmarkStart w:id="21637" w:name="_ETM_Q33_347450"/>
      <w:bookmarkEnd w:id="21637"/>
      <w:r>
        <w:rPr>
          <w:rFonts w:hint="cs"/>
          <w:rtl/>
        </w:rPr>
        <w:t xml:space="preserve">ובדאגה </w:t>
      </w:r>
      <w:bookmarkStart w:id="21638" w:name="_ETM_Q33_347960"/>
      <w:bookmarkEnd w:id="21638"/>
      <w:r>
        <w:rPr>
          <w:rFonts w:hint="cs"/>
          <w:rtl/>
        </w:rPr>
        <w:t xml:space="preserve">גדולה. </w:t>
      </w:r>
      <w:bookmarkStart w:id="21639" w:name="_ETM_Q33_349060"/>
      <w:bookmarkEnd w:id="21639"/>
    </w:p>
    <w:p w:rsidR="00BB59CD" w:rsidRDefault="00BB59CD" w:rsidP="00BB59CD">
      <w:pPr>
        <w:rPr>
          <w:rtl/>
        </w:rPr>
      </w:pPr>
      <w:bookmarkStart w:id="21640" w:name="_ETM_Q33_351000"/>
      <w:bookmarkEnd w:id="21640"/>
    </w:p>
    <w:p w:rsidR="00BB59CD" w:rsidRDefault="00BB59CD" w:rsidP="00BB59CD">
      <w:pPr>
        <w:rPr>
          <w:rtl/>
        </w:rPr>
      </w:pPr>
      <w:r>
        <w:rPr>
          <w:rFonts w:hint="cs"/>
          <w:rtl/>
        </w:rPr>
        <w:t xml:space="preserve">זה </w:t>
      </w:r>
      <w:bookmarkStart w:id="21641" w:name="_ETM_Q33_349450"/>
      <w:bookmarkEnd w:id="21641"/>
      <w:r>
        <w:rPr>
          <w:rFonts w:hint="cs"/>
          <w:rtl/>
        </w:rPr>
        <w:t xml:space="preserve">היה </w:t>
      </w:r>
      <w:bookmarkStart w:id="21642" w:name="_ETM_Q33_349630"/>
      <w:bookmarkEnd w:id="21642"/>
      <w:r>
        <w:rPr>
          <w:rFonts w:hint="cs"/>
          <w:rtl/>
        </w:rPr>
        <w:t xml:space="preserve">אירוע </w:t>
      </w:r>
      <w:bookmarkStart w:id="21643" w:name="_ETM_Q33_349959"/>
      <w:bookmarkEnd w:id="21643"/>
      <w:r>
        <w:rPr>
          <w:rFonts w:hint="cs"/>
          <w:rtl/>
        </w:rPr>
        <w:t xml:space="preserve">מאוד </w:t>
      </w:r>
      <w:bookmarkStart w:id="21644" w:name="_ETM_Q33_350319"/>
      <w:bookmarkEnd w:id="21644"/>
      <w:r>
        <w:rPr>
          <w:rFonts w:hint="cs"/>
          <w:rtl/>
        </w:rPr>
        <w:t xml:space="preserve">מאוד </w:t>
      </w:r>
      <w:bookmarkStart w:id="21645" w:name="_ETM_Q33_350560"/>
      <w:bookmarkEnd w:id="21645"/>
      <w:r>
        <w:rPr>
          <w:rFonts w:hint="cs"/>
          <w:rtl/>
        </w:rPr>
        <w:t xml:space="preserve">מרגש, </w:t>
      </w:r>
      <w:bookmarkStart w:id="21646" w:name="_ETM_Q33_351800"/>
      <w:bookmarkEnd w:id="21646"/>
      <w:r>
        <w:rPr>
          <w:rFonts w:hint="cs"/>
          <w:rtl/>
        </w:rPr>
        <w:t xml:space="preserve">שאני </w:t>
      </w:r>
      <w:bookmarkStart w:id="21647" w:name="_ETM_Q33_352160"/>
      <w:bookmarkEnd w:id="21647"/>
      <w:r>
        <w:rPr>
          <w:rFonts w:hint="cs"/>
          <w:rtl/>
        </w:rPr>
        <w:t xml:space="preserve">מקווה </w:t>
      </w:r>
      <w:bookmarkStart w:id="21648" w:name="_ETM_Q33_352970"/>
      <w:bookmarkEnd w:id="21648"/>
      <w:r>
        <w:rPr>
          <w:rFonts w:hint="cs"/>
          <w:rtl/>
        </w:rPr>
        <w:t xml:space="preserve">שיגרום </w:t>
      </w:r>
      <w:bookmarkStart w:id="21649" w:name="_ETM_Q33_353989"/>
      <w:bookmarkEnd w:id="21649"/>
      <w:r>
        <w:rPr>
          <w:rFonts w:hint="cs"/>
          <w:rtl/>
        </w:rPr>
        <w:t xml:space="preserve">לממשלה </w:t>
      </w:r>
      <w:bookmarkStart w:id="21650" w:name="_ETM_Q33_355069"/>
      <w:bookmarkEnd w:id="21650"/>
      <w:r>
        <w:rPr>
          <w:rFonts w:hint="cs"/>
          <w:rtl/>
        </w:rPr>
        <w:t xml:space="preserve">לעצור </w:t>
      </w:r>
      <w:bookmarkStart w:id="21651" w:name="_ETM_Q33_355580"/>
      <w:bookmarkEnd w:id="21651"/>
      <w:r>
        <w:rPr>
          <w:rFonts w:hint="cs"/>
          <w:rtl/>
        </w:rPr>
        <w:t xml:space="preserve">רגע </w:t>
      </w:r>
      <w:bookmarkStart w:id="21652" w:name="_ETM_Q33_355790"/>
      <w:bookmarkEnd w:id="21652"/>
      <w:r>
        <w:rPr>
          <w:rFonts w:hint="cs"/>
          <w:rtl/>
        </w:rPr>
        <w:t xml:space="preserve">ולחשוב. </w:t>
      </w:r>
      <w:bookmarkStart w:id="21653" w:name="_ETM_Q33_356569"/>
      <w:bookmarkEnd w:id="21653"/>
      <w:r>
        <w:rPr>
          <w:rFonts w:hint="cs"/>
          <w:rtl/>
        </w:rPr>
        <w:t xml:space="preserve">לעצור </w:t>
      </w:r>
      <w:bookmarkStart w:id="21654" w:name="_ETM_Q33_357200"/>
      <w:bookmarkEnd w:id="21654"/>
      <w:r>
        <w:rPr>
          <w:rFonts w:hint="cs"/>
          <w:rtl/>
        </w:rPr>
        <w:t xml:space="preserve">רגע </w:t>
      </w:r>
      <w:bookmarkStart w:id="21655" w:name="_ETM_Q33_357650"/>
      <w:bookmarkEnd w:id="21655"/>
      <w:r>
        <w:rPr>
          <w:rFonts w:hint="cs"/>
          <w:rtl/>
        </w:rPr>
        <w:t xml:space="preserve">ולהקשיב, </w:t>
      </w:r>
      <w:bookmarkStart w:id="21656" w:name="_ETM_Q33_359419"/>
      <w:bookmarkEnd w:id="21656"/>
      <w:r>
        <w:rPr>
          <w:rFonts w:hint="cs"/>
          <w:rtl/>
        </w:rPr>
        <w:t xml:space="preserve">כי </w:t>
      </w:r>
      <w:bookmarkStart w:id="21657" w:name="_ETM_Q33_360590"/>
      <w:bookmarkEnd w:id="21657"/>
      <w:r>
        <w:rPr>
          <w:rFonts w:hint="cs"/>
          <w:rtl/>
        </w:rPr>
        <w:t xml:space="preserve">העם </w:t>
      </w:r>
      <w:bookmarkStart w:id="21658" w:name="_ETM_Q33_360860"/>
      <w:bookmarkEnd w:id="21658"/>
      <w:r>
        <w:rPr>
          <w:rFonts w:hint="cs"/>
          <w:rtl/>
        </w:rPr>
        <w:t xml:space="preserve">לא </w:t>
      </w:r>
      <w:bookmarkStart w:id="21659" w:name="_ETM_Q33_360980"/>
      <w:bookmarkEnd w:id="21659"/>
      <w:r>
        <w:rPr>
          <w:rFonts w:hint="cs"/>
          <w:rtl/>
        </w:rPr>
        <w:t xml:space="preserve">איתכם. </w:t>
      </w:r>
      <w:bookmarkStart w:id="21660" w:name="_ETM_Q33_362060"/>
      <w:bookmarkEnd w:id="21660"/>
      <w:r>
        <w:rPr>
          <w:rFonts w:hint="cs"/>
          <w:rtl/>
        </w:rPr>
        <w:t xml:space="preserve">היו </w:t>
      </w:r>
      <w:bookmarkStart w:id="21661" w:name="_ETM_Q33_362300"/>
      <w:bookmarkEnd w:id="21661"/>
      <w:r>
        <w:rPr>
          <w:rFonts w:hint="cs"/>
          <w:rtl/>
        </w:rPr>
        <w:t xml:space="preserve">שם </w:t>
      </w:r>
      <w:bookmarkStart w:id="21662" w:name="_ETM_Q33_362480"/>
      <w:bookmarkEnd w:id="21662"/>
      <w:r>
        <w:rPr>
          <w:rFonts w:hint="cs"/>
          <w:rtl/>
        </w:rPr>
        <w:t xml:space="preserve">גם </w:t>
      </w:r>
      <w:bookmarkStart w:id="21663" w:name="_ETM_Q33_362660"/>
      <w:bookmarkEnd w:id="21663"/>
      <w:r>
        <w:rPr>
          <w:rFonts w:hint="cs"/>
          <w:rtl/>
        </w:rPr>
        <w:t xml:space="preserve">מצביעי </w:t>
      </w:r>
      <w:bookmarkStart w:id="21664" w:name="_ETM_Q33_363080"/>
      <w:bookmarkEnd w:id="21664"/>
      <w:r>
        <w:rPr>
          <w:rFonts w:hint="cs"/>
          <w:rtl/>
        </w:rPr>
        <w:t xml:space="preserve">ימין </w:t>
      </w:r>
      <w:bookmarkStart w:id="21665" w:name="_ETM_Q33_363860"/>
      <w:bookmarkEnd w:id="21665"/>
      <w:r>
        <w:rPr>
          <w:rFonts w:hint="cs"/>
          <w:rtl/>
        </w:rPr>
        <w:t xml:space="preserve">שחושבים </w:t>
      </w:r>
      <w:bookmarkStart w:id="21666" w:name="_ETM_Q33_364489"/>
      <w:bookmarkEnd w:id="21666"/>
      <w:r>
        <w:rPr>
          <w:rFonts w:hint="cs"/>
          <w:rtl/>
        </w:rPr>
        <w:t xml:space="preserve">שזה </w:t>
      </w:r>
      <w:bookmarkStart w:id="21667" w:name="_ETM_Q33_364819"/>
      <w:bookmarkEnd w:id="21667"/>
      <w:r>
        <w:rPr>
          <w:rFonts w:hint="cs"/>
          <w:rtl/>
        </w:rPr>
        <w:t xml:space="preserve">לא </w:t>
      </w:r>
      <w:bookmarkStart w:id="21668" w:name="_ETM_Q33_364940"/>
      <w:bookmarkEnd w:id="21668"/>
      <w:r>
        <w:rPr>
          <w:rFonts w:hint="cs"/>
          <w:rtl/>
        </w:rPr>
        <w:t xml:space="preserve">מה </w:t>
      </w:r>
      <w:bookmarkStart w:id="21669" w:name="_ETM_Q33_365060"/>
      <w:bookmarkEnd w:id="21669"/>
      <w:r>
        <w:rPr>
          <w:rFonts w:hint="cs"/>
          <w:rtl/>
        </w:rPr>
        <w:t xml:space="preserve">שהם </w:t>
      </w:r>
      <w:bookmarkStart w:id="21670" w:name="_ETM_Q33_365330"/>
      <w:bookmarkEnd w:id="21670"/>
      <w:r>
        <w:rPr>
          <w:rFonts w:hint="cs"/>
          <w:rtl/>
        </w:rPr>
        <w:t xml:space="preserve">הצביעו </w:t>
      </w:r>
      <w:bookmarkStart w:id="21671" w:name="_ETM_Q33_365840"/>
      <w:bookmarkEnd w:id="21671"/>
      <w:r>
        <w:rPr>
          <w:rFonts w:hint="cs"/>
          <w:rtl/>
        </w:rPr>
        <w:t xml:space="preserve">לו. </w:t>
      </w:r>
      <w:bookmarkStart w:id="21672" w:name="_ETM_Q33_366080"/>
      <w:bookmarkEnd w:id="21672"/>
      <w:r>
        <w:rPr>
          <w:rFonts w:hint="cs"/>
          <w:rtl/>
        </w:rPr>
        <w:t xml:space="preserve">העם </w:t>
      </w:r>
      <w:bookmarkStart w:id="21673" w:name="_ETM_Q33_367069"/>
      <w:bookmarkEnd w:id="21673"/>
      <w:r>
        <w:rPr>
          <w:rFonts w:hint="cs"/>
          <w:rtl/>
        </w:rPr>
        <w:t xml:space="preserve">נתן </w:t>
      </w:r>
      <w:bookmarkStart w:id="21674" w:name="_ETM_Q33_367730"/>
      <w:bookmarkEnd w:id="21674"/>
      <w:r>
        <w:rPr>
          <w:rFonts w:hint="cs"/>
          <w:rtl/>
        </w:rPr>
        <w:t xml:space="preserve">את </w:t>
      </w:r>
      <w:bookmarkStart w:id="21675" w:name="_ETM_Q33_367880"/>
      <w:bookmarkEnd w:id="21675"/>
      <w:r>
        <w:rPr>
          <w:rFonts w:hint="cs"/>
          <w:rtl/>
        </w:rPr>
        <w:t xml:space="preserve">הכוח </w:t>
      </w:r>
      <w:bookmarkStart w:id="21676" w:name="_ETM_Q33_368239"/>
      <w:bookmarkEnd w:id="21676"/>
      <w:r>
        <w:rPr>
          <w:rFonts w:hint="cs"/>
          <w:rtl/>
        </w:rPr>
        <w:t xml:space="preserve">לממשלה </w:t>
      </w:r>
      <w:bookmarkStart w:id="21677" w:name="_ETM_Q33_368810"/>
      <w:bookmarkEnd w:id="21677"/>
      <w:r>
        <w:rPr>
          <w:rFonts w:hint="cs"/>
          <w:rtl/>
        </w:rPr>
        <w:t xml:space="preserve">הזו, </w:t>
      </w:r>
      <w:bookmarkStart w:id="21678" w:name="_ETM_Q33_369260"/>
      <w:bookmarkStart w:id="21679" w:name="_ETM_Q33_369709"/>
      <w:bookmarkEnd w:id="21678"/>
      <w:bookmarkEnd w:id="21679"/>
      <w:r>
        <w:rPr>
          <w:rFonts w:hint="cs"/>
          <w:rtl/>
        </w:rPr>
        <w:t xml:space="preserve">לא </w:t>
      </w:r>
      <w:bookmarkStart w:id="21680" w:name="_ETM_Q33_369830"/>
      <w:bookmarkEnd w:id="21680"/>
      <w:r>
        <w:rPr>
          <w:rFonts w:hint="cs"/>
          <w:rtl/>
        </w:rPr>
        <w:t xml:space="preserve">לשינוי </w:t>
      </w:r>
      <w:bookmarkStart w:id="21681" w:name="_ETM_Q33_370250"/>
      <w:bookmarkEnd w:id="21681"/>
      <w:r>
        <w:rPr>
          <w:rFonts w:hint="cs"/>
          <w:rtl/>
        </w:rPr>
        <w:t xml:space="preserve">משטר. </w:t>
      </w:r>
      <w:bookmarkStart w:id="21682" w:name="_ETM_Q33_371209"/>
      <w:bookmarkEnd w:id="21682"/>
      <w:r>
        <w:rPr>
          <w:rFonts w:hint="cs"/>
          <w:rtl/>
        </w:rPr>
        <w:t xml:space="preserve">אני </w:t>
      </w:r>
      <w:bookmarkStart w:id="21683" w:name="_ETM_Q33_371900"/>
      <w:bookmarkEnd w:id="21683"/>
      <w:r>
        <w:rPr>
          <w:rFonts w:hint="cs"/>
          <w:rtl/>
        </w:rPr>
        <w:t xml:space="preserve">חושבת </w:t>
      </w:r>
      <w:bookmarkStart w:id="21684" w:name="_ETM_Q33_372290"/>
      <w:bookmarkEnd w:id="21684"/>
      <w:r>
        <w:rPr>
          <w:rFonts w:hint="cs"/>
          <w:rtl/>
        </w:rPr>
        <w:t xml:space="preserve">שזה </w:t>
      </w:r>
      <w:bookmarkStart w:id="21685" w:name="_ETM_Q33_372620"/>
      <w:bookmarkEnd w:id="21685"/>
      <w:r>
        <w:rPr>
          <w:rFonts w:hint="cs"/>
          <w:rtl/>
        </w:rPr>
        <w:t xml:space="preserve">הזמן, </w:t>
      </w:r>
      <w:bookmarkStart w:id="21686" w:name="_ETM_Q33_373280"/>
      <w:bookmarkEnd w:id="21686"/>
      <w:r>
        <w:rPr>
          <w:rFonts w:hint="cs"/>
          <w:rtl/>
        </w:rPr>
        <w:t xml:space="preserve">בטוב, </w:t>
      </w:r>
      <w:bookmarkStart w:id="21687" w:name="_ETM_Q33_374120"/>
      <w:bookmarkEnd w:id="21687"/>
      <w:r>
        <w:rPr>
          <w:rFonts w:hint="cs"/>
          <w:rtl/>
        </w:rPr>
        <w:t xml:space="preserve">באהבה, </w:t>
      </w:r>
      <w:bookmarkStart w:id="21688" w:name="_ETM_Q33_374840"/>
      <w:bookmarkEnd w:id="21688"/>
      <w:r>
        <w:rPr>
          <w:rFonts w:hint="cs"/>
          <w:rtl/>
        </w:rPr>
        <w:t xml:space="preserve">להקשיב </w:t>
      </w:r>
      <w:bookmarkStart w:id="21689" w:name="_ETM_Q33_375349"/>
      <w:bookmarkEnd w:id="21689"/>
      <w:r>
        <w:rPr>
          <w:rFonts w:hint="cs"/>
          <w:rtl/>
        </w:rPr>
        <w:t xml:space="preserve">ולכבד </w:t>
      </w:r>
      <w:bookmarkStart w:id="21690" w:name="_ETM_Q33_376250"/>
      <w:bookmarkEnd w:id="21690"/>
      <w:r>
        <w:rPr>
          <w:rFonts w:hint="cs"/>
          <w:rtl/>
        </w:rPr>
        <w:t xml:space="preserve">גם </w:t>
      </w:r>
      <w:bookmarkStart w:id="21691" w:name="_ETM_Q33_376519"/>
      <w:bookmarkEnd w:id="21691"/>
      <w:r>
        <w:rPr>
          <w:rFonts w:hint="cs"/>
          <w:rtl/>
        </w:rPr>
        <w:t xml:space="preserve">את </w:t>
      </w:r>
      <w:bookmarkStart w:id="21692" w:name="_ETM_Q33_376669"/>
      <w:bookmarkEnd w:id="21692"/>
      <w:r>
        <w:rPr>
          <w:rFonts w:hint="cs"/>
          <w:rtl/>
        </w:rPr>
        <w:t xml:space="preserve">הצד </w:t>
      </w:r>
      <w:bookmarkStart w:id="21693" w:name="_ETM_Q33_376970"/>
      <w:bookmarkEnd w:id="21693"/>
      <w:r>
        <w:rPr>
          <w:rFonts w:hint="cs"/>
          <w:rtl/>
        </w:rPr>
        <w:t xml:space="preserve">השני. </w:t>
      </w:r>
      <w:bookmarkStart w:id="21694" w:name="_ETM_Q33_377900"/>
      <w:bookmarkEnd w:id="21694"/>
      <w:r>
        <w:rPr>
          <w:rFonts w:hint="cs"/>
          <w:rtl/>
        </w:rPr>
        <w:t xml:space="preserve">כי אנחנו </w:t>
      </w:r>
      <w:bookmarkStart w:id="21695" w:name="_ETM_Q33_378109"/>
      <w:bookmarkEnd w:id="21695"/>
      <w:r>
        <w:rPr>
          <w:rFonts w:hint="cs"/>
          <w:rtl/>
        </w:rPr>
        <w:t xml:space="preserve">רואים </w:t>
      </w:r>
      <w:bookmarkStart w:id="21696" w:name="_ETM_Q33_378590"/>
      <w:bookmarkEnd w:id="21696"/>
      <w:r>
        <w:rPr>
          <w:rFonts w:hint="cs"/>
          <w:rtl/>
        </w:rPr>
        <w:t xml:space="preserve">מיליונים, </w:t>
      </w:r>
      <w:bookmarkStart w:id="21697" w:name="_ETM_Q33_379549"/>
      <w:bookmarkEnd w:id="21697"/>
      <w:r>
        <w:rPr>
          <w:rFonts w:hint="cs"/>
          <w:rtl/>
        </w:rPr>
        <w:t xml:space="preserve">מיליונים </w:t>
      </w:r>
      <w:bookmarkStart w:id="21698" w:name="_ETM_Q33_380120"/>
      <w:bookmarkEnd w:id="21698"/>
      <w:r>
        <w:rPr>
          <w:rFonts w:hint="cs"/>
          <w:rtl/>
        </w:rPr>
        <w:t xml:space="preserve">של </w:t>
      </w:r>
      <w:bookmarkStart w:id="21699" w:name="_ETM_Q33_380299"/>
      <w:bookmarkEnd w:id="21699"/>
      <w:r>
        <w:rPr>
          <w:rFonts w:hint="cs"/>
          <w:rtl/>
        </w:rPr>
        <w:t xml:space="preserve">אנשים </w:t>
      </w:r>
      <w:bookmarkStart w:id="21700" w:name="_ETM_Q33_380569"/>
      <w:bookmarkEnd w:id="21700"/>
      <w:r>
        <w:rPr>
          <w:rFonts w:hint="cs"/>
          <w:rtl/>
        </w:rPr>
        <w:t xml:space="preserve">ברחובות, </w:t>
      </w:r>
      <w:bookmarkStart w:id="21701" w:name="_ETM_Q33_381109"/>
      <w:bookmarkEnd w:id="21701"/>
      <w:r>
        <w:rPr>
          <w:rFonts w:hint="cs"/>
          <w:rtl/>
        </w:rPr>
        <w:t xml:space="preserve">מיליוני </w:t>
      </w:r>
      <w:bookmarkStart w:id="21702" w:name="_ETM_Q33_381560"/>
      <w:bookmarkEnd w:id="21702"/>
      <w:r>
        <w:rPr>
          <w:rFonts w:hint="cs"/>
          <w:rtl/>
        </w:rPr>
        <w:t xml:space="preserve">אנשים </w:t>
      </w:r>
      <w:bookmarkStart w:id="21703" w:name="_ETM_Q33_381919"/>
      <w:bookmarkEnd w:id="21703"/>
      <w:r>
        <w:rPr>
          <w:rFonts w:hint="cs"/>
          <w:rtl/>
        </w:rPr>
        <w:t xml:space="preserve">ברחובות. </w:t>
      </w:r>
      <w:bookmarkStart w:id="21704" w:name="_ETM_Q33_383060"/>
      <w:bookmarkEnd w:id="21704"/>
      <w:r>
        <w:rPr>
          <w:rFonts w:hint="cs"/>
          <w:rtl/>
        </w:rPr>
        <w:t xml:space="preserve">אנחנו </w:t>
      </w:r>
      <w:bookmarkStart w:id="21705" w:name="_ETM_Q33_383299"/>
      <w:bookmarkEnd w:id="21705"/>
      <w:r>
        <w:rPr>
          <w:rFonts w:hint="cs"/>
          <w:rtl/>
        </w:rPr>
        <w:t xml:space="preserve">רואים </w:t>
      </w:r>
      <w:bookmarkStart w:id="21706" w:name="_ETM_Q33_383480"/>
      <w:bookmarkEnd w:id="21706"/>
      <w:r>
        <w:rPr>
          <w:rFonts w:hint="cs"/>
          <w:rtl/>
        </w:rPr>
        <w:t xml:space="preserve">גם </w:t>
      </w:r>
      <w:bookmarkStart w:id="21707" w:name="_ETM_Q33_383629"/>
      <w:bookmarkEnd w:id="21707"/>
      <w:r>
        <w:rPr>
          <w:rFonts w:hint="cs"/>
          <w:rtl/>
        </w:rPr>
        <w:t xml:space="preserve">בסקרים </w:t>
      </w:r>
      <w:bookmarkStart w:id="21708" w:name="_ETM_Q33_384950"/>
      <w:bookmarkEnd w:id="21708"/>
      <w:r>
        <w:rPr>
          <w:rFonts w:hint="cs"/>
          <w:rtl/>
        </w:rPr>
        <w:t xml:space="preserve">שמצביעי </w:t>
      </w:r>
      <w:bookmarkStart w:id="21709" w:name="_ETM_Q33_385579"/>
      <w:bookmarkEnd w:id="21709"/>
      <w:r>
        <w:rPr>
          <w:rFonts w:hint="cs"/>
          <w:rtl/>
        </w:rPr>
        <w:t xml:space="preserve">הימין </w:t>
      </w:r>
      <w:bookmarkStart w:id="21710" w:name="_ETM_Q33_385909"/>
      <w:bookmarkEnd w:id="21710"/>
      <w:r>
        <w:rPr>
          <w:rFonts w:hint="cs"/>
          <w:rtl/>
        </w:rPr>
        <w:t xml:space="preserve">אומרים: </w:t>
      </w:r>
      <w:bookmarkStart w:id="21711" w:name="_ETM_Q33_386599"/>
      <w:bookmarkEnd w:id="21711"/>
      <w:r>
        <w:rPr>
          <w:rFonts w:hint="cs"/>
          <w:rtl/>
        </w:rPr>
        <w:t xml:space="preserve">זה </w:t>
      </w:r>
      <w:bookmarkStart w:id="21712" w:name="_ETM_Q33_386870"/>
      <w:bookmarkEnd w:id="21712"/>
      <w:r>
        <w:rPr>
          <w:rFonts w:hint="cs"/>
          <w:rtl/>
        </w:rPr>
        <w:t xml:space="preserve">לא </w:t>
      </w:r>
      <w:bookmarkStart w:id="21713" w:name="_ETM_Q33_386959"/>
      <w:bookmarkEnd w:id="21713"/>
      <w:r>
        <w:rPr>
          <w:rFonts w:hint="cs"/>
          <w:rtl/>
        </w:rPr>
        <w:t xml:space="preserve">מה </w:t>
      </w:r>
      <w:bookmarkStart w:id="21714" w:name="_ETM_Q33_387079"/>
      <w:bookmarkEnd w:id="21714"/>
      <w:r>
        <w:rPr>
          <w:rFonts w:hint="cs"/>
          <w:rtl/>
        </w:rPr>
        <w:t xml:space="preserve">שרצינו; אנחנו </w:t>
      </w:r>
      <w:bookmarkStart w:id="21715" w:name="_ETM_Q33_387529"/>
      <w:bookmarkStart w:id="21716" w:name="_ETM_Q33_387989"/>
      <w:bookmarkEnd w:id="21715"/>
      <w:bookmarkEnd w:id="21716"/>
      <w:r>
        <w:rPr>
          <w:rFonts w:hint="cs"/>
          <w:rtl/>
        </w:rPr>
        <w:t xml:space="preserve">אפילו </w:t>
      </w:r>
      <w:bookmarkStart w:id="21717" w:name="_ETM_Q33_388260"/>
      <w:bookmarkEnd w:id="21717"/>
      <w:r>
        <w:rPr>
          <w:rFonts w:hint="cs"/>
          <w:rtl/>
        </w:rPr>
        <w:t xml:space="preserve">לא </w:t>
      </w:r>
      <w:bookmarkStart w:id="21718" w:name="_ETM_Q33_388409"/>
      <w:bookmarkEnd w:id="21718"/>
      <w:r>
        <w:rPr>
          <w:rFonts w:hint="cs"/>
          <w:rtl/>
        </w:rPr>
        <w:t xml:space="preserve">ידענו </w:t>
      </w:r>
      <w:bookmarkStart w:id="21719" w:name="_ETM_Q33_389279"/>
      <w:bookmarkEnd w:id="21719"/>
      <w:r>
        <w:rPr>
          <w:rFonts w:hint="cs"/>
          <w:rtl/>
        </w:rPr>
        <w:t xml:space="preserve">על </w:t>
      </w:r>
      <w:bookmarkStart w:id="21720" w:name="_ETM_Q33_389430"/>
      <w:bookmarkEnd w:id="21720"/>
      <w:r>
        <w:rPr>
          <w:rFonts w:hint="cs"/>
          <w:rtl/>
        </w:rPr>
        <w:t xml:space="preserve">ההפיכה </w:t>
      </w:r>
      <w:bookmarkStart w:id="21721" w:name="_ETM_Q33_389879"/>
      <w:bookmarkEnd w:id="21721"/>
      <w:r>
        <w:rPr>
          <w:rFonts w:hint="cs"/>
          <w:rtl/>
        </w:rPr>
        <w:t xml:space="preserve">המשטרית </w:t>
      </w:r>
      <w:bookmarkStart w:id="21722" w:name="_ETM_Q33_390450"/>
      <w:bookmarkEnd w:id="21722"/>
      <w:r>
        <w:rPr>
          <w:rFonts w:hint="cs"/>
          <w:rtl/>
        </w:rPr>
        <w:t xml:space="preserve">מבעוד </w:t>
      </w:r>
      <w:bookmarkStart w:id="21723" w:name="_ETM_Q33_390779"/>
      <w:bookmarkEnd w:id="21723"/>
      <w:r>
        <w:rPr>
          <w:rFonts w:hint="cs"/>
          <w:rtl/>
        </w:rPr>
        <w:t xml:space="preserve">מועד, </w:t>
      </w:r>
      <w:bookmarkStart w:id="21724" w:name="_ETM_Q33_392000"/>
      <w:bookmarkEnd w:id="21724"/>
      <w:r>
        <w:rPr>
          <w:rFonts w:hint="cs"/>
          <w:rtl/>
        </w:rPr>
        <w:t>אלה</w:t>
      </w:r>
      <w:bookmarkStart w:id="21725" w:name="_ETM_Q33_391610"/>
      <w:bookmarkEnd w:id="21725"/>
      <w:r>
        <w:rPr>
          <w:rFonts w:hint="cs"/>
          <w:rtl/>
        </w:rPr>
        <w:t xml:space="preserve"> </w:t>
      </w:r>
      <w:bookmarkStart w:id="21726" w:name="_ETM_Q33_391730"/>
      <w:bookmarkEnd w:id="21726"/>
      <w:r>
        <w:rPr>
          <w:rFonts w:hint="cs"/>
          <w:rtl/>
        </w:rPr>
        <w:t xml:space="preserve">דברים </w:t>
      </w:r>
      <w:bookmarkStart w:id="21727" w:name="_ETM_Q33_392090"/>
      <w:bookmarkEnd w:id="21727"/>
      <w:r>
        <w:rPr>
          <w:rFonts w:hint="cs"/>
          <w:rtl/>
        </w:rPr>
        <w:t>ש</w:t>
      </w:r>
      <w:bookmarkStart w:id="21728" w:name="_ETM_Q33_392690"/>
      <w:bookmarkEnd w:id="21728"/>
      <w:r>
        <w:rPr>
          <w:rFonts w:hint="cs"/>
          <w:rtl/>
        </w:rPr>
        <w:t xml:space="preserve">למדנו </w:t>
      </w:r>
      <w:bookmarkStart w:id="21729" w:name="_ETM_Q33_393139"/>
      <w:bookmarkEnd w:id="21729"/>
      <w:r>
        <w:rPr>
          <w:rFonts w:hint="cs"/>
          <w:rtl/>
        </w:rPr>
        <w:t xml:space="preserve">עליהם </w:t>
      </w:r>
      <w:bookmarkStart w:id="21730" w:name="_ETM_Q33_393440"/>
      <w:bookmarkEnd w:id="21730"/>
      <w:r>
        <w:rPr>
          <w:rFonts w:hint="cs"/>
          <w:rtl/>
        </w:rPr>
        <w:t xml:space="preserve">אחרי </w:t>
      </w:r>
      <w:bookmarkStart w:id="21731" w:name="_ETM_Q33_393800"/>
      <w:bookmarkEnd w:id="21731"/>
      <w:r>
        <w:rPr>
          <w:rFonts w:hint="cs"/>
          <w:rtl/>
        </w:rPr>
        <w:t>הבחירות.</w:t>
      </w:r>
    </w:p>
    <w:p w:rsidR="00BB59CD" w:rsidRDefault="00BB59CD" w:rsidP="00BB59CD">
      <w:pPr>
        <w:rPr>
          <w:rtl/>
        </w:rPr>
      </w:pPr>
      <w:bookmarkStart w:id="21732" w:name="_ETM_Q33_397000"/>
      <w:bookmarkEnd w:id="21732"/>
    </w:p>
    <w:p w:rsidR="00BB59CD" w:rsidRDefault="00BB59CD" w:rsidP="004F0855">
      <w:pPr>
        <w:rPr>
          <w:rtl/>
        </w:rPr>
      </w:pPr>
      <w:bookmarkStart w:id="21733" w:name="_ETM_Q33_394940"/>
      <w:bookmarkStart w:id="21734" w:name="_ETM_Q33_395090"/>
      <w:bookmarkEnd w:id="21733"/>
      <w:bookmarkEnd w:id="21734"/>
      <w:r>
        <w:rPr>
          <w:rFonts w:hint="cs"/>
          <w:rtl/>
        </w:rPr>
        <w:t xml:space="preserve">ואתם </w:t>
      </w:r>
      <w:bookmarkStart w:id="21735" w:name="_ETM_Q33_395240"/>
      <w:bookmarkEnd w:id="21735"/>
      <w:r>
        <w:rPr>
          <w:rFonts w:hint="cs"/>
          <w:rtl/>
        </w:rPr>
        <w:t xml:space="preserve">יודעים </w:t>
      </w:r>
      <w:bookmarkStart w:id="21736" w:name="_ETM_Q33_395830"/>
      <w:bookmarkEnd w:id="21736"/>
      <w:r>
        <w:rPr>
          <w:rFonts w:hint="cs"/>
          <w:rtl/>
        </w:rPr>
        <w:t xml:space="preserve">מה? כן, </w:t>
      </w:r>
      <w:bookmarkStart w:id="21737" w:name="_ETM_Q33_396730"/>
      <w:bookmarkEnd w:id="21737"/>
      <w:r>
        <w:rPr>
          <w:rFonts w:hint="cs"/>
          <w:rtl/>
        </w:rPr>
        <w:t xml:space="preserve">גם </w:t>
      </w:r>
      <w:bookmarkStart w:id="21738" w:name="_ETM_Q33_397060"/>
      <w:bookmarkEnd w:id="21738"/>
      <w:r>
        <w:rPr>
          <w:rFonts w:hint="cs"/>
          <w:rtl/>
        </w:rPr>
        <w:t xml:space="preserve">למילואימניקים </w:t>
      </w:r>
      <w:bookmarkStart w:id="21739" w:name="_ETM_Q33_397900"/>
      <w:bookmarkEnd w:id="21739"/>
      <w:r>
        <w:rPr>
          <w:rFonts w:hint="cs"/>
          <w:rtl/>
        </w:rPr>
        <w:t xml:space="preserve">כדאי </w:t>
      </w:r>
      <w:bookmarkStart w:id="21740" w:name="_ETM_Q33_398260"/>
      <w:bookmarkEnd w:id="21740"/>
      <w:r>
        <w:rPr>
          <w:rFonts w:hint="cs"/>
          <w:rtl/>
        </w:rPr>
        <w:t xml:space="preserve">וראוי </w:t>
      </w:r>
      <w:bookmarkStart w:id="21741" w:name="_ETM_Q33_398650"/>
      <w:bookmarkEnd w:id="21741"/>
      <w:r>
        <w:rPr>
          <w:rFonts w:hint="cs"/>
          <w:rtl/>
        </w:rPr>
        <w:t xml:space="preserve">להקשיב. </w:t>
      </w:r>
      <w:bookmarkStart w:id="21742" w:name="_ETM_Q33_399520"/>
      <w:bookmarkEnd w:id="21742"/>
      <w:r>
        <w:rPr>
          <w:rFonts w:hint="cs"/>
          <w:rtl/>
        </w:rPr>
        <w:t xml:space="preserve">בסוף </w:t>
      </w:r>
      <w:bookmarkStart w:id="21743" w:name="_ETM_Q33_399880"/>
      <w:bookmarkEnd w:id="21743"/>
      <w:r>
        <w:rPr>
          <w:rFonts w:hint="cs"/>
          <w:rtl/>
        </w:rPr>
        <w:t xml:space="preserve">יש </w:t>
      </w:r>
      <w:bookmarkStart w:id="21744" w:name="_ETM_Q33_400000"/>
      <w:bookmarkEnd w:id="21744"/>
      <w:r>
        <w:rPr>
          <w:rFonts w:hint="cs"/>
          <w:rtl/>
        </w:rPr>
        <w:t xml:space="preserve">במדינה </w:t>
      </w:r>
      <w:bookmarkStart w:id="21745" w:name="_ETM_Q33_400510"/>
      <w:bookmarkEnd w:id="21745"/>
      <w:r>
        <w:rPr>
          <w:rFonts w:hint="cs"/>
          <w:rtl/>
        </w:rPr>
        <w:t xml:space="preserve">הזו </w:t>
      </w:r>
      <w:bookmarkStart w:id="21746" w:name="_ETM_Q33_401349"/>
      <w:bookmarkEnd w:id="21746"/>
      <w:r>
        <w:rPr>
          <w:rFonts w:hint="cs"/>
          <w:rtl/>
        </w:rPr>
        <w:t>1%</w:t>
      </w:r>
      <w:bookmarkStart w:id="21747" w:name="_ETM_Q33_401709"/>
      <w:bookmarkStart w:id="21748" w:name="_ETM_Q33_402010"/>
      <w:bookmarkEnd w:id="21747"/>
      <w:bookmarkEnd w:id="21748"/>
      <w:r>
        <w:rPr>
          <w:rFonts w:hint="cs"/>
          <w:rtl/>
        </w:rPr>
        <w:t xml:space="preserve"> </w:t>
      </w:r>
      <w:bookmarkStart w:id="21749" w:name="_ETM_Q33_402309"/>
      <w:bookmarkEnd w:id="21749"/>
      <w:r>
        <w:rPr>
          <w:rFonts w:hint="cs"/>
          <w:rtl/>
        </w:rPr>
        <w:t xml:space="preserve">מהציבור </w:t>
      </w:r>
      <w:bookmarkStart w:id="21750" w:name="_ETM_Q33_402909"/>
      <w:bookmarkEnd w:id="21750"/>
      <w:r>
        <w:rPr>
          <w:rFonts w:hint="cs"/>
          <w:rtl/>
        </w:rPr>
        <w:t xml:space="preserve">שהם </w:t>
      </w:r>
      <w:bookmarkStart w:id="21751" w:name="_ETM_Q33_403930"/>
      <w:bookmarkEnd w:id="21751"/>
      <w:r>
        <w:rPr>
          <w:rFonts w:hint="cs"/>
          <w:rtl/>
        </w:rPr>
        <w:t xml:space="preserve">משרתי </w:t>
      </w:r>
      <w:bookmarkStart w:id="21752" w:name="_ETM_Q33_404589"/>
      <w:bookmarkEnd w:id="21752"/>
      <w:r>
        <w:rPr>
          <w:rFonts w:hint="cs"/>
          <w:rtl/>
        </w:rPr>
        <w:t xml:space="preserve">מילואים </w:t>
      </w:r>
      <w:bookmarkStart w:id="21753" w:name="_ETM_Q33_405219"/>
      <w:bookmarkEnd w:id="21753"/>
      <w:r>
        <w:rPr>
          <w:rFonts w:hint="cs"/>
          <w:rtl/>
        </w:rPr>
        <w:t>פעילים.</w:t>
      </w:r>
      <w:bookmarkStart w:id="21754" w:name="_ETM_Q33_406290"/>
      <w:bookmarkEnd w:id="21754"/>
      <w:r>
        <w:rPr>
          <w:rFonts w:hint="cs"/>
          <w:rtl/>
        </w:rPr>
        <w:t xml:space="preserve"> </w:t>
      </w:r>
      <w:bookmarkStart w:id="21755" w:name="_ETM_Q33_406590"/>
      <w:bookmarkEnd w:id="21755"/>
      <w:r w:rsidR="004F0855">
        <w:rPr>
          <w:rFonts w:hint="cs"/>
          <w:rtl/>
        </w:rPr>
        <w:t xml:space="preserve">זה </w:t>
      </w:r>
      <w:r>
        <w:rPr>
          <w:rFonts w:hint="cs"/>
          <w:rtl/>
        </w:rPr>
        <w:t xml:space="preserve">לא </w:t>
      </w:r>
      <w:bookmarkStart w:id="21756" w:name="_ETM_Q33_406920"/>
      <w:bookmarkEnd w:id="21756"/>
      <w:r>
        <w:rPr>
          <w:rFonts w:hint="cs"/>
          <w:rtl/>
        </w:rPr>
        <w:t xml:space="preserve">בושה </w:t>
      </w:r>
      <w:bookmarkStart w:id="21757" w:name="_ETM_Q33_407130"/>
      <w:bookmarkEnd w:id="21757"/>
      <w:r>
        <w:rPr>
          <w:rFonts w:hint="cs"/>
          <w:rtl/>
        </w:rPr>
        <w:t xml:space="preserve">להקשיב </w:t>
      </w:r>
      <w:bookmarkStart w:id="21758" w:name="_ETM_Q33_407670"/>
      <w:bookmarkEnd w:id="21758"/>
      <w:r>
        <w:rPr>
          <w:rFonts w:hint="cs"/>
          <w:rtl/>
        </w:rPr>
        <w:t>להם</w:t>
      </w:r>
      <w:r w:rsidR="004F0855">
        <w:rPr>
          <w:rFonts w:hint="cs"/>
          <w:rtl/>
        </w:rPr>
        <w:t xml:space="preserve">, </w:t>
      </w:r>
      <w:bookmarkStart w:id="21759" w:name="_ETM_Q33_408730"/>
      <w:bookmarkStart w:id="21760" w:name="_ETM_Q33_408909"/>
      <w:bookmarkEnd w:id="21759"/>
      <w:bookmarkEnd w:id="21760"/>
      <w:r w:rsidR="004F0855">
        <w:rPr>
          <w:rFonts w:hint="cs"/>
          <w:rtl/>
        </w:rPr>
        <w:t xml:space="preserve">זה </w:t>
      </w:r>
      <w:r>
        <w:rPr>
          <w:rFonts w:hint="cs"/>
          <w:rtl/>
        </w:rPr>
        <w:t xml:space="preserve">לא </w:t>
      </w:r>
      <w:bookmarkStart w:id="21761" w:name="_ETM_Q33_409000"/>
      <w:bookmarkEnd w:id="21761"/>
      <w:r>
        <w:rPr>
          <w:rFonts w:hint="cs"/>
          <w:rtl/>
        </w:rPr>
        <w:t xml:space="preserve">בושה </w:t>
      </w:r>
      <w:bookmarkStart w:id="21762" w:name="_ETM_Q33_409569"/>
      <w:bookmarkEnd w:id="21762"/>
      <w:r>
        <w:rPr>
          <w:rFonts w:hint="cs"/>
          <w:rtl/>
        </w:rPr>
        <w:t xml:space="preserve">להקשיב </w:t>
      </w:r>
      <w:bookmarkStart w:id="21763" w:name="_ETM_Q33_410109"/>
      <w:bookmarkEnd w:id="21763"/>
      <w:r>
        <w:rPr>
          <w:rFonts w:hint="cs"/>
          <w:rtl/>
        </w:rPr>
        <w:t xml:space="preserve">ולכבד </w:t>
      </w:r>
      <w:bookmarkStart w:id="21764" w:name="_ETM_Q33_410680"/>
      <w:bookmarkEnd w:id="21764"/>
      <w:r>
        <w:rPr>
          <w:rFonts w:hint="cs"/>
          <w:rtl/>
        </w:rPr>
        <w:t xml:space="preserve">את </w:t>
      </w:r>
      <w:bookmarkStart w:id="21765" w:name="_ETM_Q33_410799"/>
      <w:bookmarkEnd w:id="21765"/>
      <w:r>
        <w:rPr>
          <w:rFonts w:hint="cs"/>
          <w:rtl/>
        </w:rPr>
        <w:t xml:space="preserve">מה </w:t>
      </w:r>
      <w:bookmarkStart w:id="21766" w:name="_ETM_Q33_410950"/>
      <w:bookmarkEnd w:id="21766"/>
      <w:r>
        <w:rPr>
          <w:rFonts w:hint="cs"/>
          <w:rtl/>
        </w:rPr>
        <w:t xml:space="preserve">שהאנשים </w:t>
      </w:r>
      <w:bookmarkStart w:id="21767" w:name="_ETM_Q33_411430"/>
      <w:bookmarkEnd w:id="21767"/>
      <w:r>
        <w:rPr>
          <w:rFonts w:hint="cs"/>
          <w:rtl/>
        </w:rPr>
        <w:t xml:space="preserve">היקרים </w:t>
      </w:r>
      <w:bookmarkStart w:id="21768" w:name="_ETM_Q33_411879"/>
      <w:bookmarkEnd w:id="21768"/>
      <w:r>
        <w:rPr>
          <w:rFonts w:hint="cs"/>
          <w:rtl/>
        </w:rPr>
        <w:t xml:space="preserve">האלה </w:t>
      </w:r>
      <w:bookmarkStart w:id="21769" w:name="_ETM_Q33_412150"/>
      <w:bookmarkEnd w:id="21769"/>
      <w:r>
        <w:rPr>
          <w:rFonts w:hint="cs"/>
          <w:rtl/>
        </w:rPr>
        <w:t xml:space="preserve">אומרים. </w:t>
      </w:r>
      <w:bookmarkStart w:id="21770" w:name="_ETM_Q33_413079"/>
      <w:bookmarkEnd w:id="21770"/>
      <w:r>
        <w:rPr>
          <w:rFonts w:hint="cs"/>
          <w:rtl/>
        </w:rPr>
        <w:t xml:space="preserve">אנשים </w:t>
      </w:r>
      <w:bookmarkStart w:id="21771" w:name="_ETM_Q33_413620"/>
      <w:bookmarkEnd w:id="21771"/>
      <w:r>
        <w:rPr>
          <w:rFonts w:hint="cs"/>
          <w:rtl/>
        </w:rPr>
        <w:t xml:space="preserve">שבאמת </w:t>
      </w:r>
      <w:bookmarkStart w:id="21772" w:name="_ETM_Q33_414280"/>
      <w:bookmarkEnd w:id="21772"/>
      <w:r>
        <w:rPr>
          <w:rFonts w:hint="cs"/>
          <w:rtl/>
        </w:rPr>
        <w:t xml:space="preserve">סיכנו </w:t>
      </w:r>
      <w:bookmarkStart w:id="21773" w:name="_ETM_Q33_414760"/>
      <w:bookmarkEnd w:id="21773"/>
      <w:r>
        <w:rPr>
          <w:rFonts w:hint="cs"/>
          <w:rtl/>
        </w:rPr>
        <w:t xml:space="preserve">את </w:t>
      </w:r>
      <w:bookmarkStart w:id="21774" w:name="_ETM_Q33_414879"/>
      <w:bookmarkEnd w:id="21774"/>
      <w:r>
        <w:rPr>
          <w:rFonts w:hint="cs"/>
          <w:rtl/>
        </w:rPr>
        <w:t xml:space="preserve">חייהם. </w:t>
      </w:r>
      <w:bookmarkStart w:id="21775" w:name="_ETM_Q33_416599"/>
      <w:bookmarkStart w:id="21776" w:name="_ETM_Q33_417540"/>
      <w:bookmarkStart w:id="21777" w:name="_ETM_Q33_414000"/>
      <w:bookmarkEnd w:id="21775"/>
      <w:bookmarkEnd w:id="21776"/>
      <w:bookmarkEnd w:id="21777"/>
      <w:r>
        <w:rPr>
          <w:rFonts w:hint="cs"/>
          <w:rtl/>
        </w:rPr>
        <w:t xml:space="preserve">אם </w:t>
      </w:r>
      <w:bookmarkStart w:id="21778" w:name="_ETM_Q33_417749"/>
      <w:bookmarkEnd w:id="21778"/>
      <w:r>
        <w:rPr>
          <w:rFonts w:hint="cs"/>
          <w:rtl/>
        </w:rPr>
        <w:t xml:space="preserve">תעשו </w:t>
      </w:r>
      <w:bookmarkStart w:id="21779" w:name="_ETM_Q33_418200"/>
      <w:bookmarkEnd w:id="21779"/>
      <w:r>
        <w:rPr>
          <w:rFonts w:hint="cs"/>
          <w:rtl/>
        </w:rPr>
        <w:t xml:space="preserve">את </w:t>
      </w:r>
      <w:bookmarkStart w:id="21780" w:name="_ETM_Q33_418290"/>
      <w:bookmarkEnd w:id="21780"/>
      <w:r>
        <w:rPr>
          <w:rFonts w:hint="cs"/>
          <w:rtl/>
        </w:rPr>
        <w:t xml:space="preserve">זה, </w:t>
      </w:r>
      <w:bookmarkStart w:id="21781" w:name="_ETM_Q33_418439"/>
      <w:bookmarkEnd w:id="21781"/>
      <w:r>
        <w:rPr>
          <w:rFonts w:hint="cs"/>
          <w:rtl/>
        </w:rPr>
        <w:t xml:space="preserve">אני </w:t>
      </w:r>
      <w:bookmarkStart w:id="21782" w:name="_ETM_Q33_418560"/>
      <w:bookmarkEnd w:id="21782"/>
      <w:r>
        <w:rPr>
          <w:rFonts w:hint="cs"/>
          <w:rtl/>
        </w:rPr>
        <w:t xml:space="preserve">חושבת </w:t>
      </w:r>
      <w:bookmarkStart w:id="21783" w:name="_ETM_Q33_418980"/>
      <w:bookmarkEnd w:id="21783"/>
      <w:r>
        <w:rPr>
          <w:rFonts w:hint="cs"/>
          <w:rtl/>
        </w:rPr>
        <w:t xml:space="preserve">שיהיה </w:t>
      </w:r>
      <w:bookmarkStart w:id="21784" w:name="_ETM_Q33_419249"/>
      <w:bookmarkEnd w:id="21784"/>
      <w:r>
        <w:rPr>
          <w:rFonts w:hint="cs"/>
          <w:rtl/>
        </w:rPr>
        <w:t xml:space="preserve">אפשר </w:t>
      </w:r>
      <w:bookmarkStart w:id="21785" w:name="_ETM_Q33_419639"/>
      <w:bookmarkEnd w:id="21785"/>
      <w:r>
        <w:rPr>
          <w:rFonts w:hint="cs"/>
          <w:rtl/>
        </w:rPr>
        <w:t xml:space="preserve">להגיע </w:t>
      </w:r>
      <w:bookmarkStart w:id="21786" w:name="_ETM_Q33_419999"/>
      <w:bookmarkEnd w:id="21786"/>
      <w:r>
        <w:rPr>
          <w:rFonts w:hint="cs"/>
          <w:rtl/>
        </w:rPr>
        <w:t xml:space="preserve">לפתרון </w:t>
      </w:r>
      <w:bookmarkStart w:id="21787" w:name="_ETM_Q33_420540"/>
      <w:bookmarkEnd w:id="21787"/>
      <w:r>
        <w:rPr>
          <w:rFonts w:hint="cs"/>
          <w:rtl/>
        </w:rPr>
        <w:t xml:space="preserve">שימנע </w:t>
      </w:r>
      <w:bookmarkStart w:id="21788" w:name="_ETM_Q33_421200"/>
      <w:bookmarkEnd w:id="21788"/>
      <w:r>
        <w:rPr>
          <w:rFonts w:hint="cs"/>
          <w:rtl/>
        </w:rPr>
        <w:t xml:space="preserve">קרע </w:t>
      </w:r>
      <w:bookmarkStart w:id="21789" w:name="_ETM_Q33_421529"/>
      <w:bookmarkEnd w:id="21789"/>
      <w:r>
        <w:rPr>
          <w:rFonts w:hint="cs"/>
          <w:rtl/>
        </w:rPr>
        <w:t xml:space="preserve">מאוד </w:t>
      </w:r>
      <w:bookmarkStart w:id="21790" w:name="_ETM_Q33_421829"/>
      <w:bookmarkEnd w:id="21790"/>
      <w:r>
        <w:rPr>
          <w:rFonts w:hint="cs"/>
          <w:rtl/>
        </w:rPr>
        <w:t xml:space="preserve">מאוד </w:t>
      </w:r>
      <w:bookmarkStart w:id="21791" w:name="_ETM_Q33_422069"/>
      <w:bookmarkEnd w:id="21791"/>
      <w:r>
        <w:rPr>
          <w:rFonts w:hint="cs"/>
          <w:rtl/>
        </w:rPr>
        <w:t xml:space="preserve">גדול </w:t>
      </w:r>
      <w:bookmarkStart w:id="21792" w:name="_ETM_Q33_422459"/>
      <w:bookmarkEnd w:id="21792"/>
      <w:r>
        <w:rPr>
          <w:rFonts w:hint="cs"/>
          <w:rtl/>
        </w:rPr>
        <w:t xml:space="preserve">בעם </w:t>
      </w:r>
      <w:bookmarkStart w:id="21793" w:name="_ETM_Q33_422790"/>
      <w:bookmarkEnd w:id="21793"/>
      <w:r>
        <w:rPr>
          <w:rFonts w:hint="cs"/>
          <w:rtl/>
        </w:rPr>
        <w:t xml:space="preserve">שלנו. </w:t>
      </w:r>
      <w:bookmarkStart w:id="21794" w:name="_ETM_Q33_426349"/>
      <w:bookmarkEnd w:id="21794"/>
    </w:p>
    <w:p w:rsidR="00BB59CD" w:rsidRDefault="00BB59CD" w:rsidP="00BB59CD">
      <w:pPr>
        <w:rPr>
          <w:rtl/>
        </w:rPr>
      </w:pPr>
    </w:p>
    <w:p w:rsidR="00BB59CD" w:rsidRDefault="00BB59CD" w:rsidP="00BB59CD">
      <w:pPr>
        <w:rPr>
          <w:rtl/>
        </w:rPr>
      </w:pPr>
      <w:bookmarkStart w:id="21795" w:name="_ETM_Q33_427000"/>
      <w:bookmarkEnd w:id="21795"/>
      <w:r>
        <w:rPr>
          <w:rFonts w:hint="cs"/>
          <w:rtl/>
        </w:rPr>
        <w:t xml:space="preserve">ניסינו </w:t>
      </w:r>
      <w:bookmarkStart w:id="21796" w:name="_ETM_Q33_426800"/>
      <w:bookmarkEnd w:id="21796"/>
      <w:r>
        <w:rPr>
          <w:rFonts w:hint="cs"/>
          <w:rtl/>
        </w:rPr>
        <w:t xml:space="preserve">להגיע </w:t>
      </w:r>
      <w:bookmarkStart w:id="21797" w:name="_ETM_Q33_427160"/>
      <w:bookmarkEnd w:id="21797"/>
      <w:r>
        <w:rPr>
          <w:rFonts w:hint="cs"/>
          <w:rtl/>
        </w:rPr>
        <w:t xml:space="preserve">למהלך </w:t>
      </w:r>
      <w:bookmarkStart w:id="21798" w:name="_ETM_Q33_427610"/>
      <w:bookmarkEnd w:id="21798"/>
      <w:r>
        <w:rPr>
          <w:rFonts w:hint="cs"/>
          <w:rtl/>
        </w:rPr>
        <w:t xml:space="preserve">של </w:t>
      </w:r>
      <w:bookmarkStart w:id="21799" w:name="_ETM_Q33_427790"/>
      <w:bookmarkEnd w:id="21799"/>
      <w:r>
        <w:rPr>
          <w:rFonts w:hint="cs"/>
          <w:rtl/>
        </w:rPr>
        <w:t xml:space="preserve">פשרה. </w:t>
      </w:r>
      <w:bookmarkStart w:id="21800" w:name="_ETM_Q33_428780"/>
      <w:bookmarkEnd w:id="21800"/>
      <w:r>
        <w:rPr>
          <w:rFonts w:hint="cs"/>
          <w:rtl/>
        </w:rPr>
        <w:t xml:space="preserve">זה </w:t>
      </w:r>
      <w:bookmarkStart w:id="21801" w:name="_ETM_Q33_428989"/>
      <w:bookmarkEnd w:id="21801"/>
      <w:r>
        <w:rPr>
          <w:rFonts w:hint="cs"/>
          <w:rtl/>
        </w:rPr>
        <w:t xml:space="preserve">לא </w:t>
      </w:r>
      <w:bookmarkStart w:id="21802" w:name="_ETM_Q33_429080"/>
      <w:bookmarkEnd w:id="21802"/>
      <w:r>
        <w:rPr>
          <w:rFonts w:hint="cs"/>
          <w:rtl/>
        </w:rPr>
        <w:t xml:space="preserve">שאנחנו </w:t>
      </w:r>
      <w:bookmarkStart w:id="21803" w:name="_ETM_Q33_429530"/>
      <w:bookmarkEnd w:id="21803"/>
      <w:r>
        <w:rPr>
          <w:rFonts w:hint="cs"/>
          <w:rtl/>
        </w:rPr>
        <w:t xml:space="preserve">לא </w:t>
      </w:r>
      <w:bookmarkStart w:id="21804" w:name="_ETM_Q33_429680"/>
      <w:bookmarkEnd w:id="21804"/>
      <w:r>
        <w:rPr>
          <w:rFonts w:hint="cs"/>
          <w:rtl/>
        </w:rPr>
        <w:t xml:space="preserve">מאמינים </w:t>
      </w:r>
      <w:bookmarkStart w:id="21805" w:name="_ETM_Q33_430099"/>
      <w:bookmarkEnd w:id="21805"/>
      <w:r>
        <w:rPr>
          <w:rFonts w:hint="cs"/>
          <w:rtl/>
        </w:rPr>
        <w:t>בפשרות. אף</w:t>
      </w:r>
      <w:bookmarkStart w:id="21806" w:name="_ETM_Q33_430640"/>
      <w:bookmarkEnd w:id="21806"/>
      <w:r>
        <w:rPr>
          <w:rFonts w:hint="cs"/>
          <w:rtl/>
        </w:rPr>
        <w:t xml:space="preserve"> </w:t>
      </w:r>
      <w:bookmarkStart w:id="21807" w:name="_ETM_Q33_430879"/>
      <w:bookmarkEnd w:id="21807"/>
      <w:r>
        <w:rPr>
          <w:rFonts w:hint="cs"/>
          <w:rtl/>
        </w:rPr>
        <w:t xml:space="preserve">שאנחנו </w:t>
      </w:r>
      <w:bookmarkStart w:id="21808" w:name="_ETM_Q33_431269"/>
      <w:bookmarkEnd w:id="21808"/>
      <w:r>
        <w:rPr>
          <w:rFonts w:hint="cs"/>
          <w:rtl/>
        </w:rPr>
        <w:t xml:space="preserve">אופוזיציה, </w:t>
      </w:r>
      <w:bookmarkStart w:id="21809" w:name="_ETM_Q33_431840"/>
      <w:bookmarkEnd w:id="21809"/>
      <w:r>
        <w:rPr>
          <w:rFonts w:hint="cs"/>
          <w:rtl/>
        </w:rPr>
        <w:t xml:space="preserve">אתם </w:t>
      </w:r>
      <w:bookmarkStart w:id="21810" w:name="_ETM_Q33_432019"/>
      <w:bookmarkEnd w:id="21810"/>
      <w:r>
        <w:rPr>
          <w:rFonts w:hint="cs"/>
          <w:rtl/>
        </w:rPr>
        <w:t xml:space="preserve">רואים </w:t>
      </w:r>
      <w:bookmarkStart w:id="21811" w:name="_ETM_Q33_432230"/>
      <w:bookmarkEnd w:id="21811"/>
      <w:r>
        <w:rPr>
          <w:rFonts w:hint="cs"/>
          <w:rtl/>
        </w:rPr>
        <w:t xml:space="preserve">איך </w:t>
      </w:r>
      <w:bookmarkStart w:id="21812" w:name="_ETM_Q33_432500"/>
      <w:bookmarkStart w:id="21813" w:name="_ETM_Q33_432680"/>
      <w:bookmarkEnd w:id="21812"/>
      <w:bookmarkEnd w:id="21813"/>
      <w:r>
        <w:rPr>
          <w:rFonts w:hint="cs"/>
          <w:rtl/>
        </w:rPr>
        <w:t xml:space="preserve">אנחנו </w:t>
      </w:r>
      <w:bookmarkStart w:id="21814" w:name="_ETM_Q33_432950"/>
      <w:bookmarkEnd w:id="21814"/>
      <w:r>
        <w:rPr>
          <w:rFonts w:hint="cs"/>
          <w:rtl/>
        </w:rPr>
        <w:t xml:space="preserve">מתנהלים – אנחנו </w:t>
      </w:r>
      <w:bookmarkStart w:id="21815" w:name="_ETM_Q33_433790"/>
      <w:bookmarkStart w:id="21816" w:name="_ETM_Q33_434090"/>
      <w:bookmarkEnd w:id="21815"/>
      <w:bookmarkEnd w:id="21816"/>
      <w:r>
        <w:rPr>
          <w:rFonts w:hint="cs"/>
          <w:rtl/>
        </w:rPr>
        <w:t xml:space="preserve">יום-יום </w:t>
      </w:r>
      <w:bookmarkStart w:id="21817" w:name="_ETM_Q33_434450"/>
      <w:bookmarkEnd w:id="21817"/>
      <w:r>
        <w:rPr>
          <w:rFonts w:hint="cs"/>
          <w:rtl/>
        </w:rPr>
        <w:t xml:space="preserve">מגיעים </w:t>
      </w:r>
      <w:bookmarkStart w:id="21818" w:name="_ETM_Q33_434780"/>
      <w:bookmarkEnd w:id="21818"/>
      <w:r>
        <w:rPr>
          <w:rFonts w:hint="cs"/>
          <w:rtl/>
        </w:rPr>
        <w:t xml:space="preserve">פה </w:t>
      </w:r>
      <w:bookmarkStart w:id="21819" w:name="_ETM_Q33_434959"/>
      <w:bookmarkEnd w:id="21819"/>
      <w:r>
        <w:rPr>
          <w:rFonts w:hint="cs"/>
          <w:rtl/>
        </w:rPr>
        <w:t xml:space="preserve">למליאה </w:t>
      </w:r>
      <w:bookmarkStart w:id="21820" w:name="_ETM_Q33_435470"/>
      <w:bookmarkEnd w:id="21820"/>
      <w:r>
        <w:rPr>
          <w:rFonts w:hint="cs"/>
          <w:rtl/>
        </w:rPr>
        <w:t xml:space="preserve">ומצביעים </w:t>
      </w:r>
      <w:bookmarkStart w:id="21821" w:name="_ETM_Q33_436460"/>
      <w:bookmarkEnd w:id="21821"/>
      <w:r>
        <w:rPr>
          <w:rFonts w:hint="cs"/>
          <w:rtl/>
        </w:rPr>
        <w:t xml:space="preserve">בעד </w:t>
      </w:r>
      <w:bookmarkStart w:id="21822" w:name="_ETM_Q33_436850"/>
      <w:bookmarkEnd w:id="21822"/>
      <w:r>
        <w:rPr>
          <w:rFonts w:hint="cs"/>
          <w:rtl/>
        </w:rPr>
        <w:t xml:space="preserve">חוקים </w:t>
      </w:r>
      <w:bookmarkStart w:id="21823" w:name="_ETM_Q33_437630"/>
      <w:bookmarkEnd w:id="21823"/>
      <w:r>
        <w:rPr>
          <w:rFonts w:hint="cs"/>
          <w:rtl/>
        </w:rPr>
        <w:t xml:space="preserve">שאנחנו </w:t>
      </w:r>
      <w:bookmarkStart w:id="21824" w:name="_ETM_Q33_437930"/>
      <w:bookmarkEnd w:id="21824"/>
      <w:r>
        <w:rPr>
          <w:rFonts w:hint="cs"/>
          <w:rtl/>
        </w:rPr>
        <w:t xml:space="preserve">חושבים </w:t>
      </w:r>
      <w:bookmarkStart w:id="21825" w:name="_ETM_Q33_438200"/>
      <w:bookmarkEnd w:id="21825"/>
      <w:r>
        <w:rPr>
          <w:rFonts w:hint="cs"/>
          <w:rtl/>
        </w:rPr>
        <w:t xml:space="preserve">שהם </w:t>
      </w:r>
      <w:bookmarkStart w:id="21826" w:name="_ETM_Q33_438410"/>
      <w:bookmarkEnd w:id="21826"/>
      <w:r>
        <w:rPr>
          <w:rFonts w:hint="cs"/>
          <w:rtl/>
        </w:rPr>
        <w:t xml:space="preserve">לטובת </w:t>
      </w:r>
      <w:bookmarkStart w:id="21827" w:name="_ETM_Q33_438740"/>
      <w:bookmarkEnd w:id="21827"/>
      <w:r>
        <w:rPr>
          <w:rFonts w:hint="cs"/>
          <w:rtl/>
        </w:rPr>
        <w:t xml:space="preserve">המדינה; </w:t>
      </w:r>
      <w:bookmarkStart w:id="21828" w:name="_ETM_Q33_439220"/>
      <w:bookmarkEnd w:id="21828"/>
      <w:r>
        <w:rPr>
          <w:rFonts w:hint="cs"/>
          <w:rtl/>
        </w:rPr>
        <w:t xml:space="preserve">נגד </w:t>
      </w:r>
      <w:bookmarkStart w:id="21829" w:name="_ETM_Q33_439550"/>
      <w:bookmarkEnd w:id="21829"/>
      <w:r>
        <w:rPr>
          <w:rFonts w:hint="cs"/>
          <w:rtl/>
        </w:rPr>
        <w:t xml:space="preserve">חוקים </w:t>
      </w:r>
      <w:bookmarkStart w:id="21830" w:name="_ETM_Q33_439850"/>
      <w:bookmarkEnd w:id="21830"/>
      <w:r>
        <w:rPr>
          <w:rFonts w:hint="cs"/>
          <w:rtl/>
        </w:rPr>
        <w:t xml:space="preserve">שאנחנו </w:t>
      </w:r>
      <w:bookmarkStart w:id="21831" w:name="_ETM_Q33_440120"/>
      <w:bookmarkEnd w:id="21831"/>
      <w:r>
        <w:rPr>
          <w:rFonts w:hint="cs"/>
          <w:rtl/>
        </w:rPr>
        <w:t xml:space="preserve">חושבים </w:t>
      </w:r>
      <w:bookmarkStart w:id="21832" w:name="_ETM_Q33_440389"/>
      <w:bookmarkEnd w:id="21832"/>
      <w:r>
        <w:rPr>
          <w:rFonts w:hint="cs"/>
          <w:rtl/>
        </w:rPr>
        <w:t xml:space="preserve">שהם </w:t>
      </w:r>
      <w:bookmarkStart w:id="21833" w:name="_ETM_Q33_440810"/>
      <w:bookmarkEnd w:id="21833"/>
      <w:r>
        <w:rPr>
          <w:rFonts w:hint="cs"/>
          <w:rtl/>
        </w:rPr>
        <w:t xml:space="preserve">לא </w:t>
      </w:r>
      <w:bookmarkStart w:id="21834" w:name="_ETM_Q33_441110"/>
      <w:bookmarkEnd w:id="21834"/>
      <w:r>
        <w:rPr>
          <w:rFonts w:hint="cs"/>
          <w:rtl/>
        </w:rPr>
        <w:t xml:space="preserve">טובים </w:t>
      </w:r>
      <w:bookmarkStart w:id="21835" w:name="_ETM_Q33_441410"/>
      <w:bookmarkEnd w:id="21835"/>
      <w:r>
        <w:rPr>
          <w:rFonts w:hint="cs"/>
          <w:rtl/>
        </w:rPr>
        <w:t>למדינה ובעד</w:t>
      </w:r>
      <w:bookmarkStart w:id="21836" w:name="_ETM_Q33_441979"/>
      <w:bookmarkEnd w:id="21836"/>
      <w:r>
        <w:rPr>
          <w:rFonts w:hint="cs"/>
          <w:rtl/>
        </w:rPr>
        <w:t xml:space="preserve"> </w:t>
      </w:r>
      <w:bookmarkStart w:id="21837" w:name="_ETM_Q33_442219"/>
      <w:bookmarkEnd w:id="21837"/>
      <w:r>
        <w:rPr>
          <w:rFonts w:hint="cs"/>
          <w:rtl/>
        </w:rPr>
        <w:t xml:space="preserve">חוקים </w:t>
      </w:r>
      <w:bookmarkStart w:id="21838" w:name="_ETM_Q33_443029"/>
      <w:bookmarkEnd w:id="21838"/>
      <w:r>
        <w:rPr>
          <w:rFonts w:hint="cs"/>
          <w:rtl/>
        </w:rPr>
        <w:t xml:space="preserve">שהם </w:t>
      </w:r>
      <w:bookmarkStart w:id="21839" w:name="_ETM_Q33_443240"/>
      <w:bookmarkEnd w:id="21839"/>
      <w:r>
        <w:rPr>
          <w:rFonts w:hint="cs"/>
          <w:rtl/>
        </w:rPr>
        <w:t xml:space="preserve">לטובת </w:t>
      </w:r>
      <w:bookmarkStart w:id="21840" w:name="_ETM_Q33_443569"/>
      <w:bookmarkEnd w:id="21840"/>
      <w:r>
        <w:rPr>
          <w:rFonts w:hint="cs"/>
          <w:rtl/>
        </w:rPr>
        <w:t xml:space="preserve">המדינה. </w:t>
      </w:r>
      <w:bookmarkStart w:id="21841" w:name="_ETM_Q33_443960"/>
      <w:bookmarkEnd w:id="21841"/>
      <w:r>
        <w:rPr>
          <w:rFonts w:hint="cs"/>
          <w:rtl/>
        </w:rPr>
        <w:t xml:space="preserve">אנחנו </w:t>
      </w:r>
      <w:bookmarkStart w:id="21842" w:name="_ETM_Q33_444199"/>
      <w:bookmarkEnd w:id="21842"/>
      <w:r>
        <w:rPr>
          <w:rFonts w:hint="cs"/>
          <w:rtl/>
        </w:rPr>
        <w:t xml:space="preserve">משתדלים </w:t>
      </w:r>
      <w:bookmarkStart w:id="21843" w:name="_ETM_Q33_444800"/>
      <w:bookmarkEnd w:id="21843"/>
      <w:r>
        <w:rPr>
          <w:rFonts w:hint="cs"/>
          <w:rtl/>
        </w:rPr>
        <w:t xml:space="preserve">להיות </w:t>
      </w:r>
      <w:bookmarkStart w:id="21844" w:name="_ETM_Q33_445129"/>
      <w:bookmarkEnd w:id="21844"/>
      <w:r>
        <w:rPr>
          <w:rFonts w:hint="cs"/>
          <w:rtl/>
        </w:rPr>
        <w:t xml:space="preserve">ענייניים. </w:t>
      </w:r>
      <w:bookmarkStart w:id="21845" w:name="_ETM_Q33_446339"/>
      <w:bookmarkEnd w:id="21845"/>
      <w:r>
        <w:rPr>
          <w:rFonts w:hint="cs"/>
          <w:rtl/>
        </w:rPr>
        <w:t xml:space="preserve">אנחנו </w:t>
      </w:r>
      <w:bookmarkStart w:id="21846" w:name="_ETM_Q33_447180"/>
      <w:bookmarkEnd w:id="21846"/>
      <w:r>
        <w:rPr>
          <w:rFonts w:hint="cs"/>
          <w:rtl/>
        </w:rPr>
        <w:t xml:space="preserve">במסגרת </w:t>
      </w:r>
      <w:bookmarkStart w:id="21847" w:name="_ETM_Q33_447870"/>
      <w:bookmarkEnd w:id="21847"/>
      <w:r>
        <w:rPr>
          <w:rFonts w:hint="cs"/>
          <w:rtl/>
        </w:rPr>
        <w:t xml:space="preserve">הזו </w:t>
      </w:r>
      <w:bookmarkStart w:id="21848" w:name="_ETM_Q33_448080"/>
      <w:bookmarkEnd w:id="21848"/>
      <w:r>
        <w:rPr>
          <w:rFonts w:hint="cs"/>
          <w:rtl/>
        </w:rPr>
        <w:t xml:space="preserve">גם </w:t>
      </w:r>
      <w:bookmarkStart w:id="21849" w:name="_ETM_Q33_448259"/>
      <w:bookmarkEnd w:id="21849"/>
      <w:r>
        <w:rPr>
          <w:rFonts w:hint="cs"/>
          <w:rtl/>
        </w:rPr>
        <w:t xml:space="preserve">הגענו </w:t>
      </w:r>
      <w:bookmarkStart w:id="21850" w:name="_ETM_Q33_448650"/>
      <w:bookmarkEnd w:id="21850"/>
      <w:r>
        <w:rPr>
          <w:rFonts w:hint="cs"/>
          <w:rtl/>
        </w:rPr>
        <w:t xml:space="preserve">לבית </w:t>
      </w:r>
      <w:bookmarkStart w:id="21851" w:name="_ETM_Q33_448949"/>
      <w:bookmarkEnd w:id="21851"/>
      <w:r>
        <w:rPr>
          <w:rFonts w:hint="cs"/>
          <w:rtl/>
        </w:rPr>
        <w:t xml:space="preserve">הנשיא </w:t>
      </w:r>
      <w:bookmarkStart w:id="21852" w:name="_ETM_Q33_449370"/>
      <w:bookmarkEnd w:id="21852"/>
      <w:r>
        <w:rPr>
          <w:rFonts w:hint="cs"/>
          <w:rtl/>
        </w:rPr>
        <w:t xml:space="preserve">ורצינו </w:t>
      </w:r>
      <w:bookmarkStart w:id="21853" w:name="_ETM_Q33_449850"/>
      <w:bookmarkEnd w:id="21853"/>
      <w:r>
        <w:rPr>
          <w:rFonts w:hint="cs"/>
          <w:rtl/>
        </w:rPr>
        <w:t xml:space="preserve">למצוא </w:t>
      </w:r>
      <w:bookmarkStart w:id="21854" w:name="_ETM_Q33_450150"/>
      <w:bookmarkEnd w:id="21854"/>
      <w:r>
        <w:rPr>
          <w:rFonts w:hint="cs"/>
          <w:rtl/>
        </w:rPr>
        <w:t xml:space="preserve">פתרון </w:t>
      </w:r>
      <w:bookmarkStart w:id="21855" w:name="_ETM_Q33_450540"/>
      <w:bookmarkEnd w:id="21855"/>
      <w:r>
        <w:rPr>
          <w:rFonts w:hint="cs"/>
          <w:rtl/>
        </w:rPr>
        <w:t xml:space="preserve">כולל. </w:t>
      </w:r>
      <w:bookmarkStart w:id="21856" w:name="_ETM_Q33_450960"/>
      <w:bookmarkEnd w:id="21856"/>
      <w:r>
        <w:rPr>
          <w:rFonts w:hint="cs"/>
          <w:rtl/>
        </w:rPr>
        <w:t xml:space="preserve">ויש </w:t>
      </w:r>
      <w:bookmarkStart w:id="21857" w:name="_ETM_Q33_451169"/>
      <w:bookmarkEnd w:id="21857"/>
      <w:r>
        <w:rPr>
          <w:rFonts w:hint="cs"/>
          <w:rtl/>
        </w:rPr>
        <w:t xml:space="preserve">גם </w:t>
      </w:r>
      <w:bookmarkStart w:id="21858" w:name="_ETM_Q33_451320"/>
      <w:bookmarkEnd w:id="21858"/>
      <w:r>
        <w:rPr>
          <w:rFonts w:hint="cs"/>
          <w:rtl/>
        </w:rPr>
        <w:t xml:space="preserve">את </w:t>
      </w:r>
      <w:bookmarkStart w:id="21859" w:name="_ETM_Q33_451440"/>
      <w:bookmarkEnd w:id="21859"/>
      <w:r>
        <w:rPr>
          <w:rFonts w:hint="cs"/>
          <w:rtl/>
        </w:rPr>
        <w:t xml:space="preserve">מתווה </w:t>
      </w:r>
      <w:bookmarkStart w:id="21860" w:name="_ETM_Q33_451830"/>
      <w:bookmarkEnd w:id="21860"/>
      <w:r>
        <w:rPr>
          <w:rFonts w:hint="cs"/>
          <w:rtl/>
        </w:rPr>
        <w:t xml:space="preserve">הנשיא, </w:t>
      </w:r>
      <w:bookmarkStart w:id="21861" w:name="_ETM_Q33_448000"/>
      <w:bookmarkEnd w:id="21861"/>
      <w:r>
        <w:rPr>
          <w:rFonts w:hint="cs"/>
          <w:rtl/>
        </w:rPr>
        <w:t xml:space="preserve">מתווה העם, </w:t>
      </w:r>
      <w:bookmarkStart w:id="21862" w:name="_ETM_Q33_452310"/>
      <w:bookmarkStart w:id="21863" w:name="_ETM_Q33_453319"/>
      <w:bookmarkStart w:id="21864" w:name="_ETM_Q33_453499"/>
      <w:bookmarkEnd w:id="21862"/>
      <w:bookmarkEnd w:id="21863"/>
      <w:bookmarkEnd w:id="21864"/>
      <w:r>
        <w:rPr>
          <w:rFonts w:hint="cs"/>
          <w:rtl/>
        </w:rPr>
        <w:t xml:space="preserve">שאמרנו </w:t>
      </w:r>
      <w:bookmarkStart w:id="21865" w:name="_ETM_Q33_453770"/>
      <w:bookmarkEnd w:id="21865"/>
      <w:r>
        <w:rPr>
          <w:rFonts w:hint="cs"/>
          <w:rtl/>
        </w:rPr>
        <w:t xml:space="preserve">שאנחנו </w:t>
      </w:r>
      <w:bookmarkStart w:id="21866" w:name="_ETM_Q33_454249"/>
      <w:bookmarkEnd w:id="21866"/>
      <w:r>
        <w:rPr>
          <w:rFonts w:hint="cs"/>
          <w:rtl/>
        </w:rPr>
        <w:t xml:space="preserve">לא הכי </w:t>
      </w:r>
      <w:bookmarkStart w:id="21867" w:name="_ETM_Q33_454460"/>
      <w:bookmarkEnd w:id="21867"/>
      <w:r>
        <w:rPr>
          <w:rFonts w:hint="cs"/>
          <w:rtl/>
        </w:rPr>
        <w:t xml:space="preserve">אוהבים </w:t>
      </w:r>
      <w:bookmarkStart w:id="21868" w:name="_ETM_Q33_454789"/>
      <w:bookmarkEnd w:id="21868"/>
      <w:r>
        <w:rPr>
          <w:rFonts w:hint="cs"/>
          <w:rtl/>
        </w:rPr>
        <w:t xml:space="preserve">אותו, </w:t>
      </w:r>
      <w:bookmarkStart w:id="21869" w:name="_ETM_Q33_455029"/>
      <w:bookmarkEnd w:id="21869"/>
      <w:r>
        <w:rPr>
          <w:rFonts w:hint="cs"/>
          <w:rtl/>
        </w:rPr>
        <w:t xml:space="preserve">אבל </w:t>
      </w:r>
      <w:bookmarkStart w:id="21870" w:name="_ETM_Q33_455240"/>
      <w:bookmarkEnd w:id="21870"/>
      <w:r>
        <w:rPr>
          <w:rFonts w:hint="cs"/>
          <w:rtl/>
        </w:rPr>
        <w:t xml:space="preserve">אין </w:t>
      </w:r>
      <w:bookmarkStart w:id="21871" w:name="_ETM_Q33_455449"/>
      <w:bookmarkEnd w:id="21871"/>
      <w:r>
        <w:rPr>
          <w:rFonts w:hint="cs"/>
          <w:rtl/>
        </w:rPr>
        <w:t xml:space="preserve">מה </w:t>
      </w:r>
      <w:bookmarkStart w:id="21872" w:name="_ETM_Q33_455539"/>
      <w:bookmarkEnd w:id="21872"/>
      <w:r>
        <w:rPr>
          <w:rFonts w:hint="cs"/>
          <w:rtl/>
        </w:rPr>
        <w:t xml:space="preserve">לעשות, </w:t>
      </w:r>
      <w:bookmarkStart w:id="21873" w:name="_ETM_Q33_455900"/>
      <w:bookmarkEnd w:id="21873"/>
      <w:r>
        <w:rPr>
          <w:rFonts w:hint="cs"/>
          <w:rtl/>
        </w:rPr>
        <w:t xml:space="preserve">צריך </w:t>
      </w:r>
      <w:bookmarkStart w:id="21874" w:name="_ETM_Q33_456199"/>
      <w:bookmarkEnd w:id="21874"/>
      <w:r>
        <w:rPr>
          <w:rFonts w:hint="cs"/>
          <w:rtl/>
        </w:rPr>
        <w:t xml:space="preserve">להגיע </w:t>
      </w:r>
      <w:bookmarkStart w:id="21875" w:name="_ETM_Q33_456529"/>
      <w:bookmarkEnd w:id="21875"/>
      <w:r>
        <w:rPr>
          <w:rFonts w:hint="cs"/>
          <w:rtl/>
        </w:rPr>
        <w:t xml:space="preserve">לפשרות. </w:t>
      </w:r>
      <w:bookmarkStart w:id="21876" w:name="_ETM_Q33_457560"/>
      <w:bookmarkStart w:id="21877" w:name="_ETM_Q33_456000"/>
      <w:bookmarkStart w:id="21878" w:name="_ETM_Q33_457000"/>
      <w:bookmarkEnd w:id="21876"/>
      <w:bookmarkEnd w:id="21877"/>
      <w:bookmarkEnd w:id="21878"/>
      <w:r>
        <w:rPr>
          <w:rFonts w:hint="cs"/>
          <w:rtl/>
        </w:rPr>
        <w:t>לצערי,</w:t>
      </w:r>
      <w:bookmarkStart w:id="21879" w:name="_ETM_Q33_458219"/>
      <w:bookmarkEnd w:id="21879"/>
      <w:r>
        <w:rPr>
          <w:rFonts w:hint="cs"/>
          <w:rtl/>
        </w:rPr>
        <w:t xml:space="preserve"> </w:t>
      </w:r>
      <w:bookmarkStart w:id="21880" w:name="_ETM_Q33_458290"/>
      <w:bookmarkEnd w:id="21880"/>
      <w:r>
        <w:rPr>
          <w:rFonts w:hint="cs"/>
          <w:rtl/>
        </w:rPr>
        <w:t xml:space="preserve">הדברים </w:t>
      </w:r>
      <w:bookmarkStart w:id="21881" w:name="_ETM_Q33_458680"/>
      <w:bookmarkEnd w:id="21881"/>
      <w:r>
        <w:rPr>
          <w:rFonts w:hint="cs"/>
          <w:rtl/>
        </w:rPr>
        <w:t xml:space="preserve">האלה </w:t>
      </w:r>
      <w:bookmarkStart w:id="21882" w:name="_ETM_Q33_458920"/>
      <w:bookmarkEnd w:id="21882"/>
      <w:r>
        <w:rPr>
          <w:rFonts w:hint="cs"/>
          <w:rtl/>
        </w:rPr>
        <w:t>נדחו.</w:t>
      </w:r>
      <w:bookmarkStart w:id="21883" w:name="_ETM_Q33_460210"/>
      <w:bookmarkEnd w:id="21883"/>
      <w:r>
        <w:rPr>
          <w:rFonts w:hint="cs"/>
          <w:rtl/>
        </w:rPr>
        <w:t xml:space="preserve"> </w:t>
      </w:r>
    </w:p>
    <w:p w:rsidR="00BB59CD" w:rsidRDefault="00BB59CD" w:rsidP="00BB59CD">
      <w:pPr>
        <w:rPr>
          <w:rtl/>
        </w:rPr>
      </w:pPr>
    </w:p>
    <w:p w:rsidR="00BB59CD" w:rsidRDefault="00BB59CD" w:rsidP="004F0855">
      <w:pPr>
        <w:rPr>
          <w:rtl/>
        </w:rPr>
      </w:pPr>
      <w:bookmarkStart w:id="21884" w:name="_ETM_Q33_462000"/>
      <w:bookmarkEnd w:id="21884"/>
      <w:r>
        <w:rPr>
          <w:rFonts w:hint="cs"/>
          <w:rtl/>
        </w:rPr>
        <w:t xml:space="preserve">מה </w:t>
      </w:r>
      <w:bookmarkStart w:id="21885" w:name="_ETM_Q33_460510"/>
      <w:bookmarkEnd w:id="21885"/>
      <w:r>
        <w:rPr>
          <w:rFonts w:hint="cs"/>
          <w:rtl/>
        </w:rPr>
        <w:t xml:space="preserve">שקורה </w:t>
      </w:r>
      <w:bookmarkStart w:id="21886" w:name="_ETM_Q33_460930"/>
      <w:bookmarkEnd w:id="21886"/>
      <w:r>
        <w:rPr>
          <w:rFonts w:hint="cs"/>
          <w:rtl/>
        </w:rPr>
        <w:t xml:space="preserve">כרגע </w:t>
      </w:r>
      <w:bookmarkStart w:id="21887" w:name="_ETM_Q33_461440"/>
      <w:bookmarkEnd w:id="21887"/>
      <w:r>
        <w:rPr>
          <w:rFonts w:hint="cs"/>
          <w:rtl/>
        </w:rPr>
        <w:t xml:space="preserve">בעיניי </w:t>
      </w:r>
      <w:bookmarkStart w:id="21888" w:name="_ETM_Q33_462160"/>
      <w:bookmarkStart w:id="21889" w:name="_ETM_Q33_462279"/>
      <w:bookmarkEnd w:id="21888"/>
      <w:bookmarkEnd w:id="21889"/>
      <w:r>
        <w:rPr>
          <w:rFonts w:hint="cs"/>
          <w:rtl/>
        </w:rPr>
        <w:t xml:space="preserve">ממש </w:t>
      </w:r>
      <w:bookmarkStart w:id="21890" w:name="_ETM_Q33_462610"/>
      <w:bookmarkEnd w:id="21890"/>
      <w:r>
        <w:rPr>
          <w:rFonts w:hint="cs"/>
          <w:rtl/>
        </w:rPr>
        <w:t xml:space="preserve">דומה </w:t>
      </w:r>
      <w:bookmarkStart w:id="21891" w:name="_ETM_Q33_462880"/>
      <w:bookmarkEnd w:id="21891"/>
      <w:r>
        <w:rPr>
          <w:rFonts w:hint="cs"/>
          <w:rtl/>
        </w:rPr>
        <w:t xml:space="preserve">לבזאר </w:t>
      </w:r>
      <w:bookmarkStart w:id="21892" w:name="_ETM_Q33_463240"/>
      <w:bookmarkEnd w:id="21892"/>
      <w:r>
        <w:rPr>
          <w:rFonts w:hint="cs"/>
          <w:rtl/>
        </w:rPr>
        <w:t xml:space="preserve">הטורקי: </w:t>
      </w:r>
      <w:bookmarkStart w:id="21893" w:name="_ETM_Q33_464270"/>
      <w:bookmarkEnd w:id="21893"/>
      <w:r>
        <w:rPr>
          <w:rFonts w:hint="cs"/>
          <w:rtl/>
        </w:rPr>
        <w:t xml:space="preserve">יש </w:t>
      </w:r>
      <w:bookmarkStart w:id="21894" w:name="_ETM_Q33_464509"/>
      <w:bookmarkEnd w:id="21894"/>
      <w:r>
        <w:rPr>
          <w:rFonts w:hint="cs"/>
          <w:rtl/>
        </w:rPr>
        <w:t xml:space="preserve">לנו </w:t>
      </w:r>
      <w:bookmarkStart w:id="21895" w:name="_ETM_Q33_464720"/>
      <w:bookmarkEnd w:id="21895"/>
      <w:r>
        <w:rPr>
          <w:rFonts w:hint="cs"/>
          <w:rtl/>
        </w:rPr>
        <w:t xml:space="preserve">24 </w:t>
      </w:r>
      <w:bookmarkStart w:id="21896" w:name="_ETM_Q33_465319"/>
      <w:bookmarkEnd w:id="21896"/>
      <w:r>
        <w:rPr>
          <w:rFonts w:hint="cs"/>
          <w:rtl/>
        </w:rPr>
        <w:t xml:space="preserve">שעות </w:t>
      </w:r>
      <w:bookmarkStart w:id="21897" w:name="_ETM_Q33_465589"/>
      <w:bookmarkEnd w:id="21897"/>
      <w:r>
        <w:rPr>
          <w:rFonts w:hint="cs"/>
          <w:rtl/>
        </w:rPr>
        <w:t xml:space="preserve">להגיע </w:t>
      </w:r>
      <w:bookmarkStart w:id="21898" w:name="_ETM_Q33_465979"/>
      <w:bookmarkEnd w:id="21898"/>
      <w:r>
        <w:rPr>
          <w:rFonts w:hint="cs"/>
          <w:rtl/>
        </w:rPr>
        <w:t xml:space="preserve">להבנות; אם לא </w:t>
      </w:r>
      <w:bookmarkStart w:id="21899" w:name="_ETM_Q33_466689"/>
      <w:bookmarkEnd w:id="21899"/>
      <w:r>
        <w:rPr>
          <w:rFonts w:hint="cs"/>
          <w:rtl/>
        </w:rPr>
        <w:t xml:space="preserve">נגיע </w:t>
      </w:r>
      <w:bookmarkStart w:id="21900" w:name="_ETM_Q33_466930"/>
      <w:bookmarkEnd w:id="21900"/>
      <w:r>
        <w:rPr>
          <w:rFonts w:hint="cs"/>
          <w:rtl/>
        </w:rPr>
        <w:t xml:space="preserve">להבנות </w:t>
      </w:r>
      <w:bookmarkStart w:id="21901" w:name="_ETM_Q33_467259"/>
      <w:bookmarkEnd w:id="21901"/>
      <w:r>
        <w:rPr>
          <w:rFonts w:hint="cs"/>
          <w:rtl/>
        </w:rPr>
        <w:t xml:space="preserve">תוך </w:t>
      </w:r>
      <w:bookmarkStart w:id="21902" w:name="_ETM_Q33_467499"/>
      <w:bookmarkEnd w:id="21902"/>
      <w:r>
        <w:rPr>
          <w:rFonts w:hint="cs"/>
          <w:rtl/>
        </w:rPr>
        <w:t xml:space="preserve">24 </w:t>
      </w:r>
      <w:bookmarkStart w:id="21903" w:name="_ETM_Q33_467949"/>
      <w:bookmarkEnd w:id="21903"/>
      <w:r>
        <w:rPr>
          <w:rFonts w:hint="cs"/>
          <w:rtl/>
        </w:rPr>
        <w:t xml:space="preserve">שעות, </w:t>
      </w:r>
      <w:bookmarkStart w:id="21904" w:name="_ETM_Q33_468219"/>
      <w:bookmarkEnd w:id="21904"/>
      <w:r>
        <w:rPr>
          <w:rFonts w:hint="cs"/>
          <w:rtl/>
        </w:rPr>
        <w:t xml:space="preserve">אנחנו </w:t>
      </w:r>
      <w:bookmarkStart w:id="21905" w:name="_ETM_Q33_468460"/>
      <w:bookmarkEnd w:id="21905"/>
      <w:r>
        <w:rPr>
          <w:rFonts w:hint="cs"/>
          <w:rtl/>
        </w:rPr>
        <w:t xml:space="preserve">נעביר </w:t>
      </w:r>
      <w:bookmarkStart w:id="21906" w:name="_ETM_Q33_468759"/>
      <w:bookmarkEnd w:id="21906"/>
      <w:r>
        <w:rPr>
          <w:rFonts w:hint="cs"/>
          <w:rtl/>
        </w:rPr>
        <w:t xml:space="preserve">את </w:t>
      </w:r>
      <w:bookmarkStart w:id="21907" w:name="_ETM_Q33_468849"/>
      <w:bookmarkEnd w:id="21907"/>
      <w:r>
        <w:rPr>
          <w:rFonts w:hint="cs"/>
          <w:rtl/>
        </w:rPr>
        <w:t xml:space="preserve">זה </w:t>
      </w:r>
      <w:bookmarkStart w:id="21908" w:name="_ETM_Q33_468939"/>
      <w:bookmarkEnd w:id="21908"/>
      <w:r>
        <w:rPr>
          <w:rFonts w:hint="cs"/>
          <w:rtl/>
        </w:rPr>
        <w:t xml:space="preserve">ככה. </w:t>
      </w:r>
      <w:bookmarkStart w:id="21909" w:name="_ETM_Q33_470050"/>
      <w:bookmarkEnd w:id="21909"/>
      <w:r>
        <w:rPr>
          <w:rFonts w:hint="cs"/>
          <w:rtl/>
        </w:rPr>
        <w:t xml:space="preserve">כאילו </w:t>
      </w:r>
      <w:bookmarkStart w:id="21910" w:name="_ETM_Q33_470409"/>
      <w:bookmarkEnd w:id="21910"/>
      <w:r>
        <w:rPr>
          <w:rFonts w:hint="cs"/>
          <w:rtl/>
        </w:rPr>
        <w:t xml:space="preserve">יורים </w:t>
      </w:r>
      <w:bookmarkStart w:id="21911" w:name="_ETM_Q33_470740"/>
      <w:bookmarkEnd w:id="21911"/>
      <w:r>
        <w:rPr>
          <w:rFonts w:hint="cs"/>
          <w:rtl/>
        </w:rPr>
        <w:t xml:space="preserve">עלינו. </w:t>
      </w:r>
      <w:bookmarkStart w:id="21912" w:name="_ETM_Q33_471349"/>
      <w:bookmarkEnd w:id="21912"/>
      <w:r>
        <w:rPr>
          <w:rFonts w:hint="cs"/>
          <w:rtl/>
        </w:rPr>
        <w:t xml:space="preserve">מה </w:t>
      </w:r>
      <w:bookmarkStart w:id="21913" w:name="_ETM_Q33_472520"/>
      <w:bookmarkEnd w:id="21913"/>
      <w:r>
        <w:rPr>
          <w:rFonts w:hint="cs"/>
          <w:rtl/>
        </w:rPr>
        <w:t xml:space="preserve">קרה? עילת </w:t>
      </w:r>
      <w:bookmarkStart w:id="21914" w:name="_ETM_Q33_472849"/>
      <w:bookmarkEnd w:id="21914"/>
      <w:r>
        <w:rPr>
          <w:rFonts w:hint="cs"/>
          <w:rtl/>
        </w:rPr>
        <w:t xml:space="preserve">הסבירות </w:t>
      </w:r>
      <w:bookmarkStart w:id="21915" w:name="_ETM_Q33_473120"/>
      <w:bookmarkEnd w:id="21915"/>
      <w:r>
        <w:rPr>
          <w:rFonts w:hint="cs"/>
          <w:rtl/>
        </w:rPr>
        <w:t xml:space="preserve">זה </w:t>
      </w:r>
      <w:bookmarkStart w:id="21916" w:name="_ETM_Q33_473300"/>
      <w:bookmarkEnd w:id="21916"/>
      <w:r>
        <w:rPr>
          <w:rFonts w:hint="cs"/>
          <w:rtl/>
        </w:rPr>
        <w:t xml:space="preserve">הדבר </w:t>
      </w:r>
      <w:bookmarkStart w:id="21917" w:name="_ETM_Q33_473570"/>
      <w:bookmarkEnd w:id="21917"/>
      <w:r>
        <w:rPr>
          <w:rFonts w:hint="cs"/>
          <w:rtl/>
        </w:rPr>
        <w:t xml:space="preserve">היחידי </w:t>
      </w:r>
      <w:bookmarkStart w:id="21918" w:name="_ETM_Q33_474080"/>
      <w:bookmarkEnd w:id="21918"/>
      <w:r>
        <w:rPr>
          <w:rFonts w:hint="cs"/>
          <w:rtl/>
        </w:rPr>
        <w:t xml:space="preserve">שחשוב </w:t>
      </w:r>
      <w:bookmarkStart w:id="21919" w:name="_ETM_Q33_474470"/>
      <w:bookmarkEnd w:id="21919"/>
      <w:r>
        <w:rPr>
          <w:rFonts w:hint="cs"/>
          <w:rtl/>
        </w:rPr>
        <w:t xml:space="preserve">במדינת </w:t>
      </w:r>
      <w:bookmarkStart w:id="21920" w:name="_ETM_Q33_474830"/>
      <w:bookmarkEnd w:id="21920"/>
      <w:r>
        <w:rPr>
          <w:rFonts w:hint="cs"/>
          <w:rtl/>
        </w:rPr>
        <w:t xml:space="preserve">ישראל? </w:t>
      </w:r>
      <w:bookmarkStart w:id="21921" w:name="_ETM_Q33_476189"/>
      <w:bookmarkEnd w:id="21921"/>
      <w:r>
        <w:rPr>
          <w:rFonts w:hint="cs"/>
          <w:rtl/>
        </w:rPr>
        <w:t xml:space="preserve">איפה כל הבטחות </w:t>
      </w:r>
      <w:bookmarkStart w:id="21922" w:name="_ETM_Q33_476610"/>
      <w:bookmarkEnd w:id="21922"/>
      <w:r>
        <w:rPr>
          <w:rFonts w:hint="cs"/>
          <w:rtl/>
        </w:rPr>
        <w:t xml:space="preserve">הבחירות </w:t>
      </w:r>
      <w:bookmarkStart w:id="21923" w:name="_ETM_Q33_476969"/>
      <w:bookmarkEnd w:id="21923"/>
      <w:r>
        <w:rPr>
          <w:rFonts w:hint="cs"/>
          <w:rtl/>
        </w:rPr>
        <w:t xml:space="preserve">שלכם </w:t>
      </w:r>
      <w:bookmarkStart w:id="21924" w:name="_ETM_Q33_477809"/>
      <w:bookmarkEnd w:id="21924"/>
      <w:r>
        <w:rPr>
          <w:rFonts w:hint="cs"/>
          <w:rtl/>
        </w:rPr>
        <w:t xml:space="preserve">– יוקר </w:t>
      </w:r>
      <w:bookmarkStart w:id="21925" w:name="_ETM_Q33_478169"/>
      <w:bookmarkEnd w:id="21925"/>
      <w:r>
        <w:rPr>
          <w:rFonts w:hint="cs"/>
          <w:rtl/>
        </w:rPr>
        <w:t xml:space="preserve">המחיה, </w:t>
      </w:r>
      <w:bookmarkStart w:id="21926" w:name="_ETM_Q33_478979"/>
      <w:bookmarkEnd w:id="21926"/>
      <w:r>
        <w:rPr>
          <w:rFonts w:hint="cs"/>
          <w:rtl/>
        </w:rPr>
        <w:t xml:space="preserve">הטרור, </w:t>
      </w:r>
      <w:bookmarkStart w:id="21927" w:name="_ETM_Q33_479969"/>
      <w:bookmarkEnd w:id="21927"/>
      <w:r>
        <w:rPr>
          <w:rFonts w:hint="cs"/>
          <w:rtl/>
        </w:rPr>
        <w:t xml:space="preserve">המצב </w:t>
      </w:r>
      <w:bookmarkStart w:id="21928" w:name="_ETM_Q33_480389"/>
      <w:bookmarkEnd w:id="21928"/>
      <w:r>
        <w:rPr>
          <w:rFonts w:hint="cs"/>
          <w:rtl/>
        </w:rPr>
        <w:t xml:space="preserve">הביטחוני, </w:t>
      </w:r>
      <w:bookmarkStart w:id="21929" w:name="_ETM_Q33_480000"/>
      <w:bookmarkStart w:id="21930" w:name="_ETM_Q33_480870"/>
      <w:bookmarkEnd w:id="21929"/>
      <w:bookmarkEnd w:id="21930"/>
      <w:r>
        <w:rPr>
          <w:rFonts w:hint="cs"/>
          <w:rtl/>
        </w:rPr>
        <w:t xml:space="preserve">הרציחות </w:t>
      </w:r>
      <w:bookmarkStart w:id="21931" w:name="_ETM_Q33_481560"/>
      <w:bookmarkEnd w:id="21931"/>
      <w:r>
        <w:rPr>
          <w:rFonts w:hint="cs"/>
          <w:rtl/>
        </w:rPr>
        <w:t>ברחובות, מספר</w:t>
      </w:r>
      <w:bookmarkStart w:id="21932" w:name="_ETM_Q33_482779"/>
      <w:bookmarkStart w:id="21933" w:name="_ETM_Q33_482960"/>
      <w:bookmarkEnd w:id="21932"/>
      <w:bookmarkEnd w:id="21933"/>
      <w:r>
        <w:rPr>
          <w:rFonts w:hint="cs"/>
          <w:rtl/>
        </w:rPr>
        <w:t xml:space="preserve"> הנרצחים </w:t>
      </w:r>
      <w:bookmarkStart w:id="21934" w:name="_ETM_Q33_483510"/>
      <w:bookmarkEnd w:id="21934"/>
      <w:r>
        <w:rPr>
          <w:rFonts w:hint="cs"/>
          <w:rtl/>
        </w:rPr>
        <w:t xml:space="preserve">בחברה </w:t>
      </w:r>
      <w:bookmarkStart w:id="21935" w:name="_ETM_Q33_483870"/>
      <w:bookmarkEnd w:id="21935"/>
      <w:r>
        <w:rPr>
          <w:rFonts w:hint="cs"/>
          <w:rtl/>
        </w:rPr>
        <w:t xml:space="preserve">הערבית </w:t>
      </w:r>
      <w:bookmarkStart w:id="21936" w:name="_ETM_Q33_484680"/>
      <w:bookmarkEnd w:id="21936"/>
      <w:r>
        <w:rPr>
          <w:rFonts w:hint="cs"/>
          <w:rtl/>
        </w:rPr>
        <w:t xml:space="preserve">– איפה? </w:t>
      </w:r>
      <w:bookmarkStart w:id="21937" w:name="_ETM_Q33_485430"/>
      <w:bookmarkEnd w:id="21937"/>
      <w:r>
        <w:rPr>
          <w:rFonts w:hint="cs"/>
          <w:rtl/>
        </w:rPr>
        <w:t xml:space="preserve">אפשר </w:t>
      </w:r>
      <w:bookmarkStart w:id="21938" w:name="_ETM_Q33_485729"/>
      <w:bookmarkEnd w:id="21938"/>
      <w:r>
        <w:rPr>
          <w:rFonts w:hint="cs"/>
          <w:rtl/>
        </w:rPr>
        <w:t xml:space="preserve">להתעסק </w:t>
      </w:r>
      <w:bookmarkStart w:id="21939" w:name="_ETM_Q33_486089"/>
      <w:bookmarkEnd w:id="21939"/>
      <w:r>
        <w:rPr>
          <w:rFonts w:hint="cs"/>
          <w:rtl/>
        </w:rPr>
        <w:t xml:space="preserve">גם </w:t>
      </w:r>
      <w:bookmarkStart w:id="21940" w:name="_ETM_Q33_486210"/>
      <w:bookmarkEnd w:id="21940"/>
      <w:r>
        <w:rPr>
          <w:rFonts w:hint="cs"/>
          <w:rtl/>
        </w:rPr>
        <w:t xml:space="preserve">בדברים </w:t>
      </w:r>
      <w:bookmarkStart w:id="21941" w:name="_ETM_Q33_486629"/>
      <w:bookmarkEnd w:id="21941"/>
      <w:r>
        <w:rPr>
          <w:rFonts w:hint="cs"/>
          <w:rtl/>
        </w:rPr>
        <w:t xml:space="preserve">האלה. </w:t>
      </w:r>
      <w:bookmarkStart w:id="21942" w:name="_ETM_Q33_487109"/>
      <w:bookmarkEnd w:id="21942"/>
      <w:r>
        <w:rPr>
          <w:rFonts w:hint="cs"/>
          <w:rtl/>
        </w:rPr>
        <w:t xml:space="preserve">מה </w:t>
      </w:r>
      <w:bookmarkStart w:id="21943" w:name="_ETM_Q33_487379"/>
      <w:bookmarkEnd w:id="21943"/>
      <w:r>
        <w:rPr>
          <w:rFonts w:hint="cs"/>
          <w:rtl/>
        </w:rPr>
        <w:t>הלחץ</w:t>
      </w:r>
      <w:bookmarkStart w:id="21944" w:name="_ETM_Q33_487720"/>
      <w:bookmarkEnd w:id="21944"/>
      <w:r>
        <w:rPr>
          <w:rFonts w:hint="cs"/>
          <w:rtl/>
        </w:rPr>
        <w:t xml:space="preserve"> </w:t>
      </w:r>
      <w:bookmarkStart w:id="21945" w:name="_ETM_Q33_488290"/>
      <w:bookmarkEnd w:id="21945"/>
      <w:r>
        <w:rPr>
          <w:rFonts w:hint="cs"/>
          <w:rtl/>
        </w:rPr>
        <w:t xml:space="preserve">– עכשיו </w:t>
      </w:r>
      <w:bookmarkStart w:id="21946" w:name="_ETM_Q33_488860"/>
      <w:bookmarkEnd w:id="21946"/>
      <w:r>
        <w:rPr>
          <w:rFonts w:hint="cs"/>
          <w:rtl/>
        </w:rPr>
        <w:t xml:space="preserve">תוך </w:t>
      </w:r>
      <w:bookmarkStart w:id="21947" w:name="_ETM_Q33_489040"/>
      <w:bookmarkEnd w:id="21947"/>
      <w:r>
        <w:rPr>
          <w:rFonts w:hint="cs"/>
          <w:rtl/>
        </w:rPr>
        <w:t xml:space="preserve">24 </w:t>
      </w:r>
      <w:bookmarkStart w:id="21948" w:name="_ETM_Q33_489610"/>
      <w:bookmarkEnd w:id="21948"/>
      <w:r>
        <w:rPr>
          <w:rFonts w:hint="cs"/>
          <w:rtl/>
        </w:rPr>
        <w:t xml:space="preserve">שעות, </w:t>
      </w:r>
      <w:bookmarkStart w:id="21949" w:name="_ETM_Q33_490000"/>
      <w:bookmarkEnd w:id="21949"/>
      <w:r>
        <w:rPr>
          <w:rFonts w:hint="cs"/>
          <w:rtl/>
        </w:rPr>
        <w:t xml:space="preserve">אם </w:t>
      </w:r>
      <w:bookmarkStart w:id="21950" w:name="_ETM_Q33_490120"/>
      <w:bookmarkEnd w:id="21950"/>
      <w:r>
        <w:rPr>
          <w:rFonts w:hint="cs"/>
          <w:rtl/>
        </w:rPr>
        <w:t xml:space="preserve">אתם </w:t>
      </w:r>
      <w:bookmarkStart w:id="21951" w:name="_ETM_Q33_490299"/>
      <w:bookmarkEnd w:id="21951"/>
      <w:r>
        <w:rPr>
          <w:rFonts w:hint="cs"/>
          <w:rtl/>
        </w:rPr>
        <w:t xml:space="preserve">לא </w:t>
      </w:r>
      <w:bookmarkStart w:id="21952" w:name="_ETM_Q33_490389"/>
      <w:bookmarkEnd w:id="21952"/>
      <w:r>
        <w:rPr>
          <w:rFonts w:hint="cs"/>
          <w:rtl/>
        </w:rPr>
        <w:t xml:space="preserve">מדברים, </w:t>
      </w:r>
      <w:bookmarkStart w:id="21953" w:name="_ETM_Q33_491230"/>
      <w:bookmarkEnd w:id="21953"/>
      <w:r>
        <w:rPr>
          <w:rFonts w:hint="cs"/>
          <w:rtl/>
        </w:rPr>
        <w:t xml:space="preserve">אנחנו </w:t>
      </w:r>
      <w:bookmarkStart w:id="21954" w:name="_ETM_Q33_491529"/>
      <w:bookmarkEnd w:id="21954"/>
      <w:r>
        <w:rPr>
          <w:rFonts w:hint="cs"/>
          <w:rtl/>
        </w:rPr>
        <w:t xml:space="preserve">מעבירים </w:t>
      </w:r>
      <w:bookmarkStart w:id="21955" w:name="_ETM_Q33_491950"/>
      <w:bookmarkEnd w:id="21955"/>
      <w:r>
        <w:rPr>
          <w:rFonts w:hint="cs"/>
          <w:rtl/>
        </w:rPr>
        <w:t xml:space="preserve">את </w:t>
      </w:r>
      <w:bookmarkStart w:id="21956" w:name="_ETM_Q33_492039"/>
      <w:bookmarkEnd w:id="21956"/>
      <w:r>
        <w:rPr>
          <w:rFonts w:hint="cs"/>
          <w:rtl/>
        </w:rPr>
        <w:t xml:space="preserve">זה </w:t>
      </w:r>
      <w:bookmarkStart w:id="21957" w:name="_ETM_Q33_492190"/>
      <w:bookmarkEnd w:id="21957"/>
      <w:r>
        <w:t>as is</w:t>
      </w:r>
      <w:r>
        <w:rPr>
          <w:rtl/>
        </w:rPr>
        <w:t xml:space="preserve"> </w:t>
      </w:r>
      <w:bookmarkStart w:id="21958" w:name="_ETM_Q33_492980"/>
      <w:bookmarkEnd w:id="21958"/>
      <w:r>
        <w:rPr>
          <w:rFonts w:hint="cs"/>
          <w:rtl/>
        </w:rPr>
        <w:t xml:space="preserve">– למה? </w:t>
      </w:r>
      <w:bookmarkStart w:id="21959" w:name="_ETM_Q33_494120"/>
      <w:bookmarkEnd w:id="21959"/>
      <w:r>
        <w:rPr>
          <w:rFonts w:hint="cs"/>
          <w:rtl/>
        </w:rPr>
        <w:t xml:space="preserve">למה </w:t>
      </w:r>
      <w:bookmarkStart w:id="21960" w:name="_ETM_Q33_494719"/>
      <w:bookmarkEnd w:id="21960"/>
      <w:r>
        <w:rPr>
          <w:rFonts w:hint="cs"/>
          <w:rtl/>
        </w:rPr>
        <w:t xml:space="preserve">להתנהל </w:t>
      </w:r>
      <w:bookmarkStart w:id="21961" w:name="_ETM_Q33_495349"/>
      <w:bookmarkEnd w:id="21961"/>
      <w:r>
        <w:rPr>
          <w:rFonts w:hint="cs"/>
          <w:rtl/>
        </w:rPr>
        <w:t xml:space="preserve">ככה, </w:t>
      </w:r>
      <w:bookmarkStart w:id="21962" w:name="_ETM_Q33_496160"/>
      <w:bookmarkEnd w:id="21962"/>
      <w:r>
        <w:rPr>
          <w:rFonts w:hint="cs"/>
          <w:rtl/>
        </w:rPr>
        <w:t xml:space="preserve">למה </w:t>
      </w:r>
      <w:bookmarkStart w:id="21963" w:name="_ETM_Q33_496610"/>
      <w:bookmarkEnd w:id="21963"/>
      <w:r>
        <w:rPr>
          <w:rFonts w:hint="cs"/>
          <w:rtl/>
        </w:rPr>
        <w:t xml:space="preserve">לעשות </w:t>
      </w:r>
      <w:bookmarkStart w:id="21964" w:name="_ETM_Q33_497000"/>
      <w:bookmarkEnd w:id="21964"/>
      <w:r>
        <w:rPr>
          <w:rFonts w:hint="cs"/>
          <w:rtl/>
        </w:rPr>
        <w:t xml:space="preserve">את </w:t>
      </w:r>
      <w:bookmarkStart w:id="21965" w:name="_ETM_Q33_497119"/>
      <w:bookmarkEnd w:id="21965"/>
      <w:r>
        <w:rPr>
          <w:rFonts w:hint="cs"/>
          <w:rtl/>
        </w:rPr>
        <w:t xml:space="preserve">זה </w:t>
      </w:r>
      <w:bookmarkStart w:id="21966" w:name="_ETM_Q33_497240"/>
      <w:bookmarkEnd w:id="21966"/>
      <w:r>
        <w:rPr>
          <w:rFonts w:hint="cs"/>
          <w:rtl/>
        </w:rPr>
        <w:t xml:space="preserve">ככה </w:t>
      </w:r>
      <w:bookmarkStart w:id="21967" w:name="_ETM_Q33_497539"/>
      <w:bookmarkEnd w:id="21967"/>
      <w:r>
        <w:rPr>
          <w:rFonts w:hint="cs"/>
          <w:rtl/>
        </w:rPr>
        <w:t xml:space="preserve">עם </w:t>
      </w:r>
      <w:bookmarkStart w:id="21968" w:name="_ETM_Q33_497630"/>
      <w:bookmarkEnd w:id="21968"/>
      <w:r>
        <w:rPr>
          <w:rFonts w:hint="cs"/>
          <w:rtl/>
        </w:rPr>
        <w:t xml:space="preserve">אקדח </w:t>
      </w:r>
      <w:bookmarkStart w:id="21969" w:name="_ETM_Q33_497990"/>
      <w:bookmarkEnd w:id="21969"/>
      <w:r>
        <w:rPr>
          <w:rFonts w:hint="cs"/>
          <w:rtl/>
        </w:rPr>
        <w:t>לרקה?</w:t>
      </w:r>
    </w:p>
    <w:p w:rsidR="00BB59CD" w:rsidRDefault="00BB59CD" w:rsidP="00BB59CD">
      <w:pPr>
        <w:rPr>
          <w:rtl/>
        </w:rPr>
      </w:pPr>
      <w:bookmarkStart w:id="21970" w:name="_ETM_Q33_500000"/>
      <w:bookmarkEnd w:id="21970"/>
    </w:p>
    <w:p w:rsidR="00BB59CD" w:rsidRDefault="00BB59CD" w:rsidP="00BB59CD">
      <w:pPr>
        <w:rPr>
          <w:rtl/>
        </w:rPr>
      </w:pPr>
      <w:r>
        <w:rPr>
          <w:rFonts w:hint="cs"/>
          <w:rtl/>
        </w:rPr>
        <w:t>אתם יודעים, בפע</w:t>
      </w:r>
      <w:bookmarkStart w:id="21971" w:name="_ETM_Q33_498890"/>
      <w:bookmarkStart w:id="21972" w:name="_ETM_Q33_499730"/>
      <w:bookmarkEnd w:id="21971"/>
      <w:bookmarkEnd w:id="21972"/>
      <w:r>
        <w:rPr>
          <w:rFonts w:hint="cs"/>
          <w:rtl/>
        </w:rPr>
        <w:t xml:space="preserve">ם </w:t>
      </w:r>
      <w:bookmarkStart w:id="21973" w:name="_ETM_Q33_500150"/>
      <w:bookmarkEnd w:id="21973"/>
      <w:r>
        <w:rPr>
          <w:rFonts w:hint="cs"/>
          <w:rtl/>
        </w:rPr>
        <w:t xml:space="preserve">הקודמת </w:t>
      </w:r>
      <w:bookmarkStart w:id="21974" w:name="_ETM_Q33_500570"/>
      <w:bookmarkEnd w:id="21974"/>
      <w:r>
        <w:rPr>
          <w:rFonts w:hint="cs"/>
          <w:rtl/>
        </w:rPr>
        <w:t xml:space="preserve">שתיקנו </w:t>
      </w:r>
      <w:bookmarkStart w:id="21975" w:name="_ETM_Q33_501410"/>
      <w:bookmarkEnd w:id="21975"/>
      <w:r>
        <w:rPr>
          <w:rFonts w:hint="cs"/>
          <w:rtl/>
        </w:rPr>
        <w:t>חוק</w:t>
      </w:r>
      <w:bookmarkStart w:id="21976" w:name="_ETM_Q33_501770"/>
      <w:bookmarkEnd w:id="21976"/>
      <w:r>
        <w:rPr>
          <w:rFonts w:hint="cs"/>
          <w:rtl/>
        </w:rPr>
        <w:t xml:space="preserve">-יסוד, </w:t>
      </w:r>
      <w:bookmarkStart w:id="21977" w:name="_ETM_Q33_502769"/>
      <w:bookmarkEnd w:id="21977"/>
      <w:r>
        <w:rPr>
          <w:rFonts w:hint="cs"/>
          <w:rtl/>
        </w:rPr>
        <w:t xml:space="preserve">זה </w:t>
      </w:r>
      <w:bookmarkStart w:id="21978" w:name="_ETM_Q33_502980"/>
      <w:bookmarkEnd w:id="21978"/>
      <w:r>
        <w:rPr>
          <w:rFonts w:hint="cs"/>
          <w:rtl/>
        </w:rPr>
        <w:t xml:space="preserve">היה </w:t>
      </w:r>
      <w:bookmarkStart w:id="21979" w:name="_ETM_Q33_503909"/>
      <w:bookmarkEnd w:id="21979"/>
      <w:r>
        <w:rPr>
          <w:rFonts w:hint="cs"/>
          <w:rtl/>
        </w:rPr>
        <w:t xml:space="preserve">כבוד </w:t>
      </w:r>
      <w:bookmarkStart w:id="21980" w:name="_ETM_Q33_504210"/>
      <w:bookmarkEnd w:id="21980"/>
      <w:r>
        <w:rPr>
          <w:rFonts w:hint="cs"/>
          <w:rtl/>
        </w:rPr>
        <w:t xml:space="preserve">האדם </w:t>
      </w:r>
      <w:bookmarkStart w:id="21981" w:name="_ETM_Q33_504509"/>
      <w:bookmarkEnd w:id="21981"/>
      <w:r>
        <w:rPr>
          <w:rFonts w:hint="cs"/>
          <w:rtl/>
        </w:rPr>
        <w:t xml:space="preserve">וחירותו </w:t>
      </w:r>
      <w:bookmarkStart w:id="21982" w:name="_ETM_Q33_505810"/>
      <w:bookmarkEnd w:id="21982"/>
      <w:r>
        <w:rPr>
          <w:rFonts w:hint="cs"/>
          <w:rtl/>
        </w:rPr>
        <w:t xml:space="preserve">בשנות </w:t>
      </w:r>
      <w:bookmarkStart w:id="21983" w:name="_ETM_Q33_506200"/>
      <w:bookmarkEnd w:id="21983"/>
      <w:r>
        <w:rPr>
          <w:rFonts w:hint="cs"/>
          <w:rtl/>
        </w:rPr>
        <w:t xml:space="preserve">התשעים. </w:t>
      </w:r>
      <w:bookmarkStart w:id="21984" w:name="_ETM_Q33_507000"/>
      <w:bookmarkStart w:id="21985" w:name="_ETM_Q33_507240"/>
      <w:bookmarkEnd w:id="21984"/>
      <w:bookmarkEnd w:id="21985"/>
      <w:r>
        <w:rPr>
          <w:rFonts w:hint="cs"/>
          <w:rtl/>
        </w:rPr>
        <w:t xml:space="preserve">חמש </w:t>
      </w:r>
      <w:bookmarkStart w:id="21986" w:name="_ETM_Q33_507810"/>
      <w:bookmarkEnd w:id="21986"/>
      <w:r>
        <w:rPr>
          <w:rFonts w:hint="cs"/>
          <w:rtl/>
        </w:rPr>
        <w:t xml:space="preserve">שנים </w:t>
      </w:r>
      <w:bookmarkStart w:id="21987" w:name="_ETM_Q33_508140"/>
      <w:bookmarkEnd w:id="21987"/>
      <w:r>
        <w:rPr>
          <w:rFonts w:hint="cs"/>
          <w:rtl/>
        </w:rPr>
        <w:t xml:space="preserve">עבדו </w:t>
      </w:r>
      <w:bookmarkStart w:id="21988" w:name="_ETM_Q33_508439"/>
      <w:bookmarkEnd w:id="21988"/>
      <w:r>
        <w:rPr>
          <w:rFonts w:hint="cs"/>
          <w:rtl/>
        </w:rPr>
        <w:t xml:space="preserve">על </w:t>
      </w:r>
      <w:bookmarkStart w:id="21989" w:name="_ETM_Q33_508560"/>
      <w:bookmarkEnd w:id="21989"/>
      <w:r>
        <w:rPr>
          <w:rFonts w:hint="cs"/>
          <w:rtl/>
        </w:rPr>
        <w:t xml:space="preserve">החקיקה </w:t>
      </w:r>
      <w:bookmarkStart w:id="21990" w:name="_ETM_Q33_509010"/>
      <w:bookmarkEnd w:id="21990"/>
      <w:r>
        <w:rPr>
          <w:rFonts w:hint="cs"/>
          <w:rtl/>
        </w:rPr>
        <w:t xml:space="preserve">של </w:t>
      </w:r>
      <w:bookmarkStart w:id="21991" w:name="_ETM_Q33_509189"/>
      <w:bookmarkEnd w:id="21991"/>
      <w:r>
        <w:rPr>
          <w:rFonts w:hint="cs"/>
          <w:rtl/>
        </w:rPr>
        <w:t xml:space="preserve">החוק </w:t>
      </w:r>
      <w:bookmarkStart w:id="21992" w:name="_ETM_Q33_509520"/>
      <w:bookmarkEnd w:id="21992"/>
      <w:r>
        <w:rPr>
          <w:rFonts w:hint="cs"/>
          <w:rtl/>
        </w:rPr>
        <w:t xml:space="preserve">הזה. </w:t>
      </w:r>
      <w:bookmarkStart w:id="21993" w:name="_ETM_Q33_510240"/>
      <w:bookmarkEnd w:id="21993"/>
      <w:r>
        <w:rPr>
          <w:rFonts w:hint="cs"/>
          <w:rtl/>
        </w:rPr>
        <w:t xml:space="preserve">הקימו </w:t>
      </w:r>
      <w:bookmarkStart w:id="21994" w:name="_ETM_Q33_510689"/>
      <w:bookmarkEnd w:id="21994"/>
      <w:r>
        <w:rPr>
          <w:rFonts w:hint="cs"/>
          <w:rtl/>
        </w:rPr>
        <w:t xml:space="preserve">צוות </w:t>
      </w:r>
      <w:bookmarkStart w:id="21995" w:name="_ETM_Q33_511019"/>
      <w:bookmarkEnd w:id="21995"/>
      <w:r>
        <w:rPr>
          <w:rFonts w:hint="cs"/>
          <w:rtl/>
        </w:rPr>
        <w:t xml:space="preserve">ממשלתי. </w:t>
      </w:r>
      <w:bookmarkStart w:id="21996" w:name="_ETM_Q33_513410"/>
      <w:bookmarkEnd w:id="21996"/>
      <w:r>
        <w:rPr>
          <w:rFonts w:hint="cs"/>
          <w:rtl/>
        </w:rPr>
        <w:t xml:space="preserve">עשו </w:t>
      </w:r>
      <w:bookmarkStart w:id="21997" w:name="_ETM_Q33_513829"/>
      <w:bookmarkEnd w:id="21997"/>
      <w:r>
        <w:rPr>
          <w:rFonts w:hint="cs"/>
          <w:rtl/>
        </w:rPr>
        <w:t xml:space="preserve">שיתוף </w:t>
      </w:r>
      <w:bookmarkStart w:id="21998" w:name="_ETM_Q33_514250"/>
      <w:bookmarkEnd w:id="21998"/>
      <w:r>
        <w:rPr>
          <w:rFonts w:hint="cs"/>
          <w:rtl/>
        </w:rPr>
        <w:t xml:space="preserve">ציבור. </w:t>
      </w:r>
      <w:bookmarkStart w:id="21999" w:name="_ETM_Q33_514640"/>
      <w:bookmarkEnd w:id="21999"/>
      <w:r>
        <w:rPr>
          <w:rFonts w:hint="cs"/>
          <w:rtl/>
        </w:rPr>
        <w:t xml:space="preserve">פרסמו </w:t>
      </w:r>
      <w:bookmarkStart w:id="22000" w:name="_ETM_Q33_515270"/>
      <w:bookmarkEnd w:id="22000"/>
      <w:r>
        <w:rPr>
          <w:rFonts w:hint="cs"/>
          <w:rtl/>
        </w:rPr>
        <w:t xml:space="preserve">לציבור </w:t>
      </w:r>
      <w:bookmarkStart w:id="22001" w:name="_ETM_Q33_515720"/>
      <w:bookmarkEnd w:id="22001"/>
      <w:r>
        <w:rPr>
          <w:rFonts w:hint="cs"/>
          <w:rtl/>
        </w:rPr>
        <w:t>חודש</w:t>
      </w:r>
      <w:bookmarkStart w:id="22002" w:name="_ETM_Q33_516010"/>
      <w:bookmarkStart w:id="22003" w:name="_ETM_Q33_516279"/>
      <w:bookmarkEnd w:id="22002"/>
      <w:bookmarkEnd w:id="22003"/>
      <w:r>
        <w:rPr>
          <w:rFonts w:hint="cs"/>
          <w:rtl/>
        </w:rPr>
        <w:t xml:space="preserve">ים, חודשים </w:t>
      </w:r>
      <w:bookmarkStart w:id="22004" w:name="_ETM_Q33_516699"/>
      <w:bookmarkEnd w:id="22004"/>
      <w:r>
        <w:rPr>
          <w:rFonts w:hint="cs"/>
          <w:rtl/>
        </w:rPr>
        <w:t xml:space="preserve">לפני, </w:t>
      </w:r>
      <w:bookmarkStart w:id="22005" w:name="_ETM_Q33_517029"/>
      <w:bookmarkEnd w:id="22005"/>
      <w:r>
        <w:rPr>
          <w:rFonts w:hint="cs"/>
          <w:rtl/>
        </w:rPr>
        <w:t xml:space="preserve">את </w:t>
      </w:r>
      <w:bookmarkStart w:id="22006" w:name="_ETM_Q33_517149"/>
      <w:bookmarkEnd w:id="22006"/>
      <w:r>
        <w:rPr>
          <w:rFonts w:hint="cs"/>
          <w:rtl/>
        </w:rPr>
        <w:t xml:space="preserve">הנוסח, </w:t>
      </w:r>
      <w:bookmarkStart w:id="22007" w:name="_ETM_Q33_517539"/>
      <w:bookmarkEnd w:id="22007"/>
      <w:r>
        <w:rPr>
          <w:rFonts w:hint="cs"/>
          <w:rtl/>
        </w:rPr>
        <w:t xml:space="preserve">כדי </w:t>
      </w:r>
      <w:bookmarkStart w:id="22008" w:name="_ETM_Q33_517750"/>
      <w:bookmarkEnd w:id="22008"/>
      <w:r>
        <w:rPr>
          <w:rFonts w:hint="cs"/>
          <w:rtl/>
        </w:rPr>
        <w:t xml:space="preserve">שכל </w:t>
      </w:r>
      <w:bookmarkStart w:id="22009" w:name="_ETM_Q33_517969"/>
      <w:bookmarkStart w:id="22010" w:name="_ETM_Q33_518059"/>
      <w:bookmarkStart w:id="22011" w:name="_ETM_Q33_518300"/>
      <w:bookmarkEnd w:id="22009"/>
      <w:bookmarkEnd w:id="22010"/>
      <w:bookmarkEnd w:id="22011"/>
      <w:r>
        <w:rPr>
          <w:rFonts w:hint="cs"/>
          <w:rtl/>
        </w:rPr>
        <w:t xml:space="preserve">אחד יוכל </w:t>
      </w:r>
      <w:bookmarkStart w:id="22012" w:name="_ETM_Q33_518569"/>
      <w:bookmarkEnd w:id="22012"/>
      <w:r>
        <w:rPr>
          <w:rFonts w:hint="cs"/>
          <w:rtl/>
        </w:rPr>
        <w:t xml:space="preserve">לתת </w:t>
      </w:r>
      <w:bookmarkStart w:id="22013" w:name="_ETM_Q33_518809"/>
      <w:bookmarkEnd w:id="22013"/>
      <w:r>
        <w:rPr>
          <w:rFonts w:hint="cs"/>
          <w:rtl/>
        </w:rPr>
        <w:t xml:space="preserve">את </w:t>
      </w:r>
      <w:bookmarkStart w:id="22014" w:name="_ETM_Q33_518929"/>
      <w:bookmarkEnd w:id="22014"/>
      <w:r>
        <w:rPr>
          <w:rFonts w:hint="cs"/>
          <w:rtl/>
        </w:rPr>
        <w:t xml:space="preserve">הפידבק </w:t>
      </w:r>
      <w:bookmarkStart w:id="22015" w:name="_ETM_Q33_519379"/>
      <w:bookmarkEnd w:id="22015"/>
      <w:r>
        <w:rPr>
          <w:rFonts w:hint="cs"/>
          <w:rtl/>
        </w:rPr>
        <w:t xml:space="preserve">שלו. </w:t>
      </w:r>
      <w:bookmarkStart w:id="22016" w:name="_ETM_Q33_519940"/>
      <w:bookmarkEnd w:id="22016"/>
      <w:r>
        <w:rPr>
          <w:rFonts w:hint="cs"/>
          <w:rtl/>
        </w:rPr>
        <w:t xml:space="preserve">ואז, </w:t>
      </w:r>
      <w:bookmarkStart w:id="22017" w:name="_ETM_Q33_520480"/>
      <w:bookmarkEnd w:id="22017"/>
      <w:r>
        <w:rPr>
          <w:rFonts w:hint="cs"/>
          <w:rtl/>
        </w:rPr>
        <w:t xml:space="preserve">בצורה </w:t>
      </w:r>
      <w:bookmarkStart w:id="22018" w:name="_ETM_Q33_520960"/>
      <w:bookmarkEnd w:id="22018"/>
      <w:r>
        <w:rPr>
          <w:rFonts w:hint="cs"/>
          <w:rtl/>
        </w:rPr>
        <w:t xml:space="preserve">מקצועית </w:t>
      </w:r>
      <w:bookmarkStart w:id="22019" w:name="_ETM_Q33_521649"/>
      <w:bookmarkEnd w:id="22019"/>
      <w:r>
        <w:rPr>
          <w:rFonts w:hint="cs"/>
          <w:rtl/>
        </w:rPr>
        <w:t xml:space="preserve">וממלכתית, </w:t>
      </w:r>
      <w:bookmarkStart w:id="22020" w:name="_ETM_Q33_522760"/>
      <w:bookmarkEnd w:id="22020"/>
      <w:r>
        <w:rPr>
          <w:rFonts w:hint="cs"/>
          <w:rtl/>
        </w:rPr>
        <w:t xml:space="preserve">העבירו </w:t>
      </w:r>
      <w:bookmarkStart w:id="22021" w:name="_ETM_Q33_523480"/>
      <w:bookmarkEnd w:id="22021"/>
      <w:r>
        <w:rPr>
          <w:rFonts w:hint="cs"/>
          <w:rtl/>
        </w:rPr>
        <w:t>חוק</w:t>
      </w:r>
      <w:bookmarkStart w:id="22022" w:name="_ETM_Q33_523930"/>
      <w:bookmarkEnd w:id="22022"/>
      <w:r>
        <w:rPr>
          <w:rFonts w:hint="cs"/>
          <w:rtl/>
        </w:rPr>
        <w:t xml:space="preserve">-יסוד </w:t>
      </w:r>
      <w:bookmarkStart w:id="22023" w:name="_ETM_Q33_524410"/>
      <w:bookmarkEnd w:id="22023"/>
      <w:r>
        <w:rPr>
          <w:rFonts w:hint="cs"/>
          <w:rtl/>
        </w:rPr>
        <w:t xml:space="preserve">במדינת </w:t>
      </w:r>
      <w:bookmarkStart w:id="22024" w:name="_ETM_Q33_524860"/>
      <w:bookmarkEnd w:id="22024"/>
      <w:r>
        <w:rPr>
          <w:rFonts w:hint="cs"/>
          <w:rtl/>
        </w:rPr>
        <w:t xml:space="preserve">ישראל. </w:t>
      </w:r>
      <w:bookmarkStart w:id="22025" w:name="_ETM_Q33_525850"/>
      <w:bookmarkEnd w:id="22025"/>
      <w:r>
        <w:rPr>
          <w:rFonts w:hint="cs"/>
          <w:rtl/>
        </w:rPr>
        <w:t xml:space="preserve">מה </w:t>
      </w:r>
      <w:bookmarkStart w:id="22026" w:name="_ETM_Q33_526060"/>
      <w:bookmarkEnd w:id="22026"/>
      <w:r>
        <w:rPr>
          <w:rFonts w:hint="cs"/>
          <w:rtl/>
        </w:rPr>
        <w:t xml:space="preserve">קורה </w:t>
      </w:r>
      <w:bookmarkStart w:id="22027" w:name="_ETM_Q33_526360"/>
      <w:bookmarkEnd w:id="22027"/>
      <w:r>
        <w:rPr>
          <w:rFonts w:hint="cs"/>
          <w:rtl/>
        </w:rPr>
        <w:t>פה?</w:t>
      </w:r>
    </w:p>
    <w:p w:rsidR="00BB59CD" w:rsidRDefault="00BB59CD" w:rsidP="00BB59CD">
      <w:pPr>
        <w:rPr>
          <w:rtl/>
        </w:rPr>
      </w:pPr>
      <w:bookmarkStart w:id="22028" w:name="_ETM_Q33_527000"/>
      <w:bookmarkEnd w:id="22028"/>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 - -</w:t>
      </w:r>
    </w:p>
    <w:p w:rsidR="00BB59CD" w:rsidRDefault="00BB59CD" w:rsidP="00BB59CD">
      <w:pPr>
        <w:rPr>
          <w:rtl/>
        </w:rPr>
      </w:pPr>
      <w:bookmarkStart w:id="22029" w:name="_ETM_Q33_523000"/>
      <w:bookmarkEnd w:id="22029"/>
    </w:p>
    <w:p w:rsidR="00BB59CD" w:rsidRDefault="00BB59CD" w:rsidP="00BB59CD">
      <w:pPr>
        <w:pStyle w:val="-"/>
        <w:keepNext/>
        <w:rPr>
          <w:rtl/>
        </w:rPr>
      </w:pPr>
      <w:bookmarkStart w:id="22030" w:name="ET_speakercontinue_5783_13"/>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bookmarkEnd w:id="22030"/>
    </w:p>
    <w:p w:rsidR="00BB59CD" w:rsidRDefault="00BB59CD" w:rsidP="00337201">
      <w:pPr>
        <w:rPr>
          <w:rtl/>
        </w:rPr>
      </w:pPr>
    </w:p>
    <w:p w:rsidR="00BB59CD" w:rsidRDefault="00BB59CD" w:rsidP="00BB59CD">
      <w:pPr>
        <w:rPr>
          <w:rtl/>
        </w:rPr>
      </w:pPr>
      <w:bookmarkStart w:id="22031" w:name="_ETM_Q33_524000"/>
      <w:bookmarkEnd w:id="22031"/>
      <w:r>
        <w:rPr>
          <w:rFonts w:hint="cs"/>
          <w:rtl/>
        </w:rPr>
        <w:t>כן, השר גולדקנופ.</w:t>
      </w:r>
    </w:p>
    <w:p w:rsidR="00BB59CD" w:rsidRDefault="00BB59CD" w:rsidP="00BB59CD">
      <w:pPr>
        <w:rPr>
          <w:b/>
          <w:bCs/>
          <w:u w:val="single"/>
          <w:rtl/>
          <w:lang w:eastAsia="he-IL"/>
        </w:rPr>
      </w:pPr>
      <w:bookmarkStart w:id="22032" w:name="_ETM_Q33_525000"/>
      <w:bookmarkStart w:id="22033" w:name="_ETM_Q33_526000"/>
      <w:bookmarkEnd w:id="22032"/>
      <w:bookmarkEnd w:id="22033"/>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כמה זמן</w:t>
      </w:r>
      <w:bookmarkStart w:id="22034" w:name="_ETM_Q33_528000"/>
      <w:bookmarkEnd w:id="22034"/>
      <w:r>
        <w:rPr>
          <w:rFonts w:hint="cs"/>
          <w:rtl/>
        </w:rPr>
        <w:t xml:space="preserve"> לקח לאהרן ברק להעביר את עילת הסבירות - - -</w:t>
      </w:r>
    </w:p>
    <w:p w:rsidR="00BB59CD" w:rsidRDefault="00BB59CD" w:rsidP="00BB59CD">
      <w:pPr>
        <w:rPr>
          <w:rtl/>
        </w:rPr>
      </w:pPr>
      <w:bookmarkStart w:id="22035" w:name="_ETM_Q33_534000"/>
      <w:bookmarkEnd w:id="22035"/>
    </w:p>
    <w:p w:rsidR="00BB59CD" w:rsidRDefault="00BB59CD" w:rsidP="00BB59CD">
      <w:pPr>
        <w:pStyle w:val="-"/>
        <w:keepNext/>
        <w:rPr>
          <w:rtl/>
        </w:rPr>
      </w:pPr>
      <w:bookmarkStart w:id="22036" w:name="_ETM_Q33_539000"/>
      <w:bookmarkStart w:id="22037" w:name="ET_speakercontinue_5783_18"/>
      <w:bookmarkEnd w:id="22036"/>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bookmarkEnd w:id="22037"/>
    </w:p>
    <w:p w:rsidR="00BB59CD" w:rsidRDefault="00BB59CD" w:rsidP="00337201">
      <w:pPr>
        <w:rPr>
          <w:rtl/>
        </w:rPr>
      </w:pPr>
    </w:p>
    <w:p w:rsidR="00BB59CD" w:rsidRDefault="00BB59CD" w:rsidP="00BB59CD">
      <w:pPr>
        <w:rPr>
          <w:rtl/>
        </w:rPr>
      </w:pPr>
      <w:bookmarkStart w:id="22038" w:name="_ETM_Q33_540000"/>
      <w:bookmarkEnd w:id="22038"/>
      <w:r>
        <w:rPr>
          <w:rFonts w:hint="cs"/>
          <w:rtl/>
        </w:rPr>
        <w:t xml:space="preserve">אז אני אגיד לך. </w:t>
      </w:r>
      <w:bookmarkStart w:id="22039" w:name="_ETM_Q33_535000"/>
      <w:bookmarkStart w:id="22040" w:name="_ETM_Q33_526600"/>
      <w:bookmarkStart w:id="22041" w:name="_ETM_Q33_528700"/>
      <w:bookmarkStart w:id="22042" w:name="_ETM_Q33_528970"/>
      <w:bookmarkStart w:id="22043" w:name="_ETM_Q33_529210"/>
      <w:bookmarkStart w:id="22044" w:name="_ETM_Q33_529390"/>
      <w:bookmarkStart w:id="22045" w:name="_ETM_Q33_535140"/>
      <w:bookmarkStart w:id="22046" w:name="_ETM_Q33_537839"/>
      <w:bookmarkStart w:id="22047" w:name="_ETM_Q33_539710"/>
      <w:bookmarkStart w:id="22048" w:name="_ETM_Q33_539890"/>
      <w:bookmarkStart w:id="22049" w:name="_ETM_Q33_540040"/>
      <w:bookmarkStart w:id="22050" w:name="_ETM_Q33_540250"/>
      <w:bookmarkStart w:id="22051" w:name="_ETM_Q33_540819"/>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r>
        <w:rPr>
          <w:rFonts w:hint="cs"/>
          <w:rtl/>
        </w:rPr>
        <w:t xml:space="preserve">במידה </w:t>
      </w:r>
      <w:bookmarkStart w:id="22052" w:name="_ETM_Q33_541359"/>
      <w:bookmarkEnd w:id="22052"/>
      <w:r>
        <w:rPr>
          <w:rFonts w:hint="cs"/>
          <w:rtl/>
        </w:rPr>
        <w:t xml:space="preserve">רבה, </w:t>
      </w:r>
      <w:bookmarkStart w:id="22053" w:name="_ETM_Q33_541809"/>
      <w:bookmarkEnd w:id="22053"/>
      <w:r>
        <w:rPr>
          <w:rFonts w:hint="cs"/>
          <w:rtl/>
        </w:rPr>
        <w:t xml:space="preserve">אהרן </w:t>
      </w:r>
      <w:bookmarkStart w:id="22054" w:name="_ETM_Q33_542199"/>
      <w:bookmarkEnd w:id="22054"/>
      <w:r>
        <w:rPr>
          <w:rFonts w:hint="cs"/>
          <w:rtl/>
        </w:rPr>
        <w:t xml:space="preserve">ברק </w:t>
      </w:r>
      <w:bookmarkStart w:id="22055" w:name="_ETM_Q33_542469"/>
      <w:bookmarkStart w:id="22056" w:name="_ETM_Q33_542829"/>
      <w:bookmarkEnd w:id="22055"/>
      <w:bookmarkEnd w:id="22056"/>
      <w:r>
        <w:rPr>
          <w:rFonts w:hint="cs"/>
          <w:rtl/>
        </w:rPr>
        <w:t xml:space="preserve">ובתי </w:t>
      </w:r>
      <w:bookmarkStart w:id="22057" w:name="_ETM_Q33_543309"/>
      <w:bookmarkEnd w:id="22057"/>
      <w:r>
        <w:rPr>
          <w:rFonts w:hint="cs"/>
          <w:rtl/>
        </w:rPr>
        <w:t xml:space="preserve">המשפט </w:t>
      </w:r>
      <w:bookmarkStart w:id="22058" w:name="_ETM_Q33_543729"/>
      <w:bookmarkEnd w:id="22058"/>
      <w:r>
        <w:rPr>
          <w:rFonts w:hint="cs"/>
          <w:rtl/>
        </w:rPr>
        <w:t xml:space="preserve">בכלל </w:t>
      </w:r>
      <w:bookmarkStart w:id="22059" w:name="_ETM_Q33_544149"/>
      <w:bookmarkEnd w:id="22059"/>
      <w:r>
        <w:rPr>
          <w:rFonts w:hint="cs"/>
          <w:rtl/>
        </w:rPr>
        <w:t xml:space="preserve">נדרשו </w:t>
      </w:r>
      <w:bookmarkStart w:id="22060" w:name="_ETM_Q33_544630"/>
      <w:bookmarkEnd w:id="22060"/>
      <w:r>
        <w:rPr>
          <w:rFonts w:hint="cs"/>
          <w:rtl/>
        </w:rPr>
        <w:t xml:space="preserve">להיכנס </w:t>
      </w:r>
      <w:bookmarkStart w:id="22061" w:name="_ETM_Q33_545049"/>
      <w:bookmarkEnd w:id="22061"/>
      <w:r>
        <w:rPr>
          <w:rFonts w:hint="cs"/>
          <w:rtl/>
        </w:rPr>
        <w:t xml:space="preserve">לסוגיות </w:t>
      </w:r>
      <w:bookmarkStart w:id="22062" w:name="_ETM_Q33_546470"/>
      <w:bookmarkEnd w:id="22062"/>
      <w:r>
        <w:rPr>
          <w:rFonts w:hint="cs"/>
          <w:rtl/>
        </w:rPr>
        <w:t xml:space="preserve">שאני </w:t>
      </w:r>
      <w:bookmarkStart w:id="22063" w:name="_ETM_Q33_546770"/>
      <w:bookmarkEnd w:id="22063"/>
      <w:r>
        <w:rPr>
          <w:rFonts w:hint="cs"/>
          <w:rtl/>
        </w:rPr>
        <w:t xml:space="preserve">חושבת </w:t>
      </w:r>
      <w:bookmarkStart w:id="22064" w:name="_ETM_Q33_547130"/>
      <w:bookmarkEnd w:id="22064"/>
      <w:r>
        <w:rPr>
          <w:rFonts w:hint="cs"/>
          <w:rtl/>
        </w:rPr>
        <w:t xml:space="preserve">שלא </w:t>
      </w:r>
      <w:bookmarkStart w:id="22065" w:name="_ETM_Q33_547340"/>
      <w:bookmarkEnd w:id="22065"/>
      <w:r>
        <w:rPr>
          <w:rFonts w:hint="cs"/>
          <w:rtl/>
        </w:rPr>
        <w:t xml:space="preserve">היה </w:t>
      </w:r>
      <w:bookmarkStart w:id="22066" w:name="_ETM_Q33_547550"/>
      <w:bookmarkEnd w:id="22066"/>
      <w:r>
        <w:rPr>
          <w:rFonts w:hint="cs"/>
          <w:rtl/>
        </w:rPr>
        <w:t xml:space="preserve">להם </w:t>
      </w:r>
      <w:bookmarkStart w:id="22067" w:name="_ETM_Q33_547910"/>
      <w:bookmarkEnd w:id="22067"/>
      <w:r>
        <w:rPr>
          <w:rFonts w:hint="cs"/>
          <w:rtl/>
        </w:rPr>
        <w:t xml:space="preserve">בכלל </w:t>
      </w:r>
      <w:bookmarkStart w:id="22068" w:name="_ETM_Q33_548330"/>
      <w:bookmarkEnd w:id="22068"/>
      <w:r>
        <w:rPr>
          <w:rFonts w:hint="cs"/>
          <w:rtl/>
        </w:rPr>
        <w:t xml:space="preserve">עניין </w:t>
      </w:r>
      <w:bookmarkStart w:id="22069" w:name="_ETM_Q33_548630"/>
      <w:bookmarkEnd w:id="22069"/>
      <w:r>
        <w:rPr>
          <w:rFonts w:hint="cs"/>
          <w:rtl/>
        </w:rPr>
        <w:t xml:space="preserve">להיכנס </w:t>
      </w:r>
      <w:bookmarkStart w:id="22070" w:name="_ETM_Q33_549080"/>
      <w:bookmarkEnd w:id="22070"/>
      <w:r>
        <w:rPr>
          <w:rFonts w:hint="cs"/>
          <w:rtl/>
        </w:rPr>
        <w:t xml:space="preserve">אליהן, </w:t>
      </w:r>
      <w:bookmarkStart w:id="22071" w:name="_ETM_Q33_549800"/>
      <w:bookmarkEnd w:id="22071"/>
      <w:r>
        <w:rPr>
          <w:rFonts w:hint="cs"/>
          <w:rtl/>
        </w:rPr>
        <w:t xml:space="preserve">כיוון </w:t>
      </w:r>
      <w:bookmarkStart w:id="22072" w:name="_ETM_Q33_550160"/>
      <w:bookmarkEnd w:id="22072"/>
      <w:r>
        <w:rPr>
          <w:rFonts w:hint="cs"/>
          <w:rtl/>
        </w:rPr>
        <w:t xml:space="preserve">שהממשלה </w:t>
      </w:r>
      <w:bookmarkStart w:id="22073" w:name="_ETM_Q33_550790"/>
      <w:bookmarkEnd w:id="22073"/>
      <w:r>
        <w:rPr>
          <w:rFonts w:hint="cs"/>
          <w:rtl/>
        </w:rPr>
        <w:t xml:space="preserve">שלנו </w:t>
      </w:r>
      <w:bookmarkStart w:id="22074" w:name="_ETM_Q33_551210"/>
      <w:bookmarkEnd w:id="22074"/>
      <w:r>
        <w:rPr>
          <w:rFonts w:hint="cs"/>
          <w:rtl/>
        </w:rPr>
        <w:t xml:space="preserve">שנים </w:t>
      </w:r>
      <w:bookmarkStart w:id="22075" w:name="_ETM_Q33_551570"/>
      <w:bookmarkEnd w:id="22075"/>
      <w:r>
        <w:rPr>
          <w:rFonts w:hint="cs"/>
          <w:rtl/>
        </w:rPr>
        <w:t xml:space="preserve">רבות </w:t>
      </w:r>
      <w:bookmarkStart w:id="22076" w:name="_ETM_Q33_551900"/>
      <w:bookmarkEnd w:id="22076"/>
      <w:r>
        <w:rPr>
          <w:rFonts w:hint="cs"/>
          <w:rtl/>
        </w:rPr>
        <w:t xml:space="preserve">גם </w:t>
      </w:r>
      <w:bookmarkStart w:id="22077" w:name="_ETM_Q33_552110"/>
      <w:bookmarkEnd w:id="22077"/>
      <w:r>
        <w:rPr>
          <w:rFonts w:hint="cs"/>
          <w:rtl/>
        </w:rPr>
        <w:t xml:space="preserve">פחדה </w:t>
      </w:r>
      <w:bookmarkStart w:id="22078" w:name="_ETM_Q33_552700"/>
      <w:bookmarkEnd w:id="22078"/>
      <w:r>
        <w:rPr>
          <w:rFonts w:hint="cs"/>
          <w:rtl/>
        </w:rPr>
        <w:t xml:space="preserve">לקבל </w:t>
      </w:r>
      <w:bookmarkStart w:id="22079" w:name="_ETM_Q33_553180"/>
      <w:bookmarkEnd w:id="22079"/>
      <w:r>
        <w:rPr>
          <w:rFonts w:hint="cs"/>
          <w:rtl/>
        </w:rPr>
        <w:t xml:space="preserve">החלטות </w:t>
      </w:r>
      <w:bookmarkStart w:id="22080" w:name="_ETM_Q33_553630"/>
      <w:bookmarkEnd w:id="22080"/>
      <w:r>
        <w:rPr>
          <w:rFonts w:hint="cs"/>
          <w:rtl/>
        </w:rPr>
        <w:t xml:space="preserve">של </w:t>
      </w:r>
      <w:bookmarkStart w:id="22081" w:name="_ETM_Q33_553779"/>
      <w:bookmarkEnd w:id="22081"/>
      <w:r>
        <w:rPr>
          <w:rFonts w:hint="cs"/>
          <w:rtl/>
        </w:rPr>
        <w:t xml:space="preserve">מדיניות, </w:t>
      </w:r>
      <w:bookmarkStart w:id="22082" w:name="_ETM_Q33_554930"/>
      <w:bookmarkEnd w:id="22082"/>
      <w:r>
        <w:rPr>
          <w:rFonts w:hint="cs"/>
          <w:rtl/>
        </w:rPr>
        <w:t xml:space="preserve">והעבירה, </w:t>
      </w:r>
      <w:bookmarkStart w:id="22083" w:name="_ETM_Q33_556339"/>
      <w:bookmarkEnd w:id="22083"/>
      <w:r>
        <w:rPr>
          <w:rFonts w:hint="cs"/>
          <w:rtl/>
        </w:rPr>
        <w:t xml:space="preserve">זרקה </w:t>
      </w:r>
      <w:bookmarkStart w:id="22084" w:name="_ETM_Q33_556790"/>
      <w:bookmarkEnd w:id="22084"/>
      <w:r>
        <w:rPr>
          <w:rFonts w:hint="cs"/>
          <w:rtl/>
        </w:rPr>
        <w:t xml:space="preserve">תפוחי </w:t>
      </w:r>
      <w:bookmarkStart w:id="22085" w:name="_ETM_Q33_557210"/>
      <w:bookmarkEnd w:id="22085"/>
      <w:r>
        <w:rPr>
          <w:rFonts w:hint="cs"/>
          <w:rtl/>
        </w:rPr>
        <w:t xml:space="preserve">אדמה </w:t>
      </w:r>
      <w:bookmarkStart w:id="22086" w:name="_ETM_Q33_557480"/>
      <w:bookmarkEnd w:id="22086"/>
      <w:r>
        <w:rPr>
          <w:rFonts w:hint="cs"/>
          <w:rtl/>
        </w:rPr>
        <w:t xml:space="preserve">לוהטים </w:t>
      </w:r>
      <w:bookmarkStart w:id="22087" w:name="_ETM_Q33_557930"/>
      <w:bookmarkEnd w:id="22087"/>
      <w:r>
        <w:rPr>
          <w:rFonts w:hint="cs"/>
          <w:rtl/>
        </w:rPr>
        <w:t xml:space="preserve">לבתי </w:t>
      </w:r>
      <w:bookmarkStart w:id="22088" w:name="_ETM_Q33_558320"/>
      <w:bookmarkEnd w:id="22088"/>
      <w:r>
        <w:rPr>
          <w:rFonts w:hint="cs"/>
          <w:rtl/>
        </w:rPr>
        <w:t xml:space="preserve">המשפט </w:t>
      </w:r>
      <w:bookmarkStart w:id="22089" w:name="_ETM_Q33_558770"/>
      <w:bookmarkEnd w:id="22089"/>
      <w:r>
        <w:rPr>
          <w:rFonts w:hint="cs"/>
          <w:rtl/>
        </w:rPr>
        <w:t xml:space="preserve">מתוך </w:t>
      </w:r>
      <w:bookmarkStart w:id="22090" w:name="_ETM_Q33_559279"/>
      <w:bookmarkEnd w:id="22090"/>
      <w:r>
        <w:rPr>
          <w:rFonts w:hint="cs"/>
          <w:rtl/>
        </w:rPr>
        <w:t xml:space="preserve">חוסר </w:t>
      </w:r>
      <w:bookmarkStart w:id="22091" w:name="_ETM_Q33_559760"/>
      <w:bookmarkEnd w:id="22091"/>
      <w:r>
        <w:rPr>
          <w:rFonts w:hint="cs"/>
          <w:rtl/>
        </w:rPr>
        <w:t xml:space="preserve">מנהיגות </w:t>
      </w:r>
      <w:bookmarkStart w:id="22092" w:name="_ETM_Q33_560420"/>
      <w:bookmarkEnd w:id="22092"/>
      <w:r>
        <w:rPr>
          <w:rFonts w:hint="cs"/>
          <w:rtl/>
        </w:rPr>
        <w:t xml:space="preserve">ואומץ. </w:t>
      </w:r>
      <w:bookmarkStart w:id="22093" w:name="_ETM_Q33_561670"/>
      <w:bookmarkEnd w:id="22093"/>
    </w:p>
    <w:p w:rsidR="00BB59CD" w:rsidRDefault="00BB59CD" w:rsidP="00BB59CD">
      <w:pPr>
        <w:rPr>
          <w:rtl/>
        </w:rPr>
      </w:pPr>
    </w:p>
    <w:p w:rsidR="00BB59CD" w:rsidRDefault="00BB59CD" w:rsidP="004F0855">
      <w:pPr>
        <w:rPr>
          <w:rtl/>
        </w:rPr>
      </w:pPr>
      <w:bookmarkStart w:id="22094" w:name="_ETM_Q33_560000"/>
      <w:bookmarkEnd w:id="22094"/>
      <w:r>
        <w:rPr>
          <w:rFonts w:hint="cs"/>
          <w:rtl/>
        </w:rPr>
        <w:t>עכשיו</w:t>
      </w:r>
      <w:bookmarkStart w:id="22095" w:name="_ETM_Q33_561969"/>
      <w:bookmarkEnd w:id="22095"/>
      <w:r>
        <w:rPr>
          <w:rFonts w:hint="cs"/>
          <w:rtl/>
        </w:rPr>
        <w:t xml:space="preserve">, </w:t>
      </w:r>
      <w:bookmarkStart w:id="22096" w:name="_ETM_Q33_562000"/>
      <w:bookmarkEnd w:id="22096"/>
      <w:r>
        <w:rPr>
          <w:rFonts w:hint="cs"/>
          <w:rtl/>
        </w:rPr>
        <w:t xml:space="preserve">אני </w:t>
      </w:r>
      <w:bookmarkStart w:id="22097" w:name="_ETM_Q33_562089"/>
      <w:bookmarkEnd w:id="22097"/>
      <w:r>
        <w:rPr>
          <w:rFonts w:hint="cs"/>
          <w:rtl/>
        </w:rPr>
        <w:t>רוצה</w:t>
      </w:r>
      <w:bookmarkStart w:id="22098" w:name="_ETM_Q33_562259"/>
      <w:bookmarkEnd w:id="22098"/>
      <w:r>
        <w:rPr>
          <w:rFonts w:hint="cs"/>
          <w:rtl/>
        </w:rPr>
        <w:t xml:space="preserve"> </w:t>
      </w:r>
      <w:bookmarkStart w:id="22099" w:name="_ETM_Q33_562409"/>
      <w:bookmarkEnd w:id="22099"/>
      <w:r>
        <w:rPr>
          <w:rFonts w:hint="cs"/>
          <w:rtl/>
        </w:rPr>
        <w:t xml:space="preserve">לחזור. </w:t>
      </w:r>
      <w:bookmarkStart w:id="22100" w:name="_ETM_Q33_563600"/>
      <w:bookmarkEnd w:id="22100"/>
      <w:r>
        <w:rPr>
          <w:rFonts w:hint="cs"/>
          <w:rtl/>
        </w:rPr>
        <w:t xml:space="preserve">כבוד </w:t>
      </w:r>
      <w:bookmarkStart w:id="22101" w:name="_ETM_Q33_563990"/>
      <w:bookmarkEnd w:id="22101"/>
      <w:r>
        <w:rPr>
          <w:rFonts w:hint="cs"/>
          <w:rtl/>
        </w:rPr>
        <w:t xml:space="preserve">האדם </w:t>
      </w:r>
      <w:bookmarkStart w:id="22102" w:name="_ETM_Q33_564319"/>
      <w:bookmarkEnd w:id="22102"/>
      <w:r>
        <w:rPr>
          <w:rFonts w:hint="cs"/>
          <w:rtl/>
        </w:rPr>
        <w:t xml:space="preserve">וחירותו, </w:t>
      </w:r>
      <w:bookmarkStart w:id="22103" w:name="_ETM_Q33_565039"/>
      <w:bookmarkEnd w:id="22103"/>
      <w:r>
        <w:rPr>
          <w:rFonts w:hint="cs"/>
          <w:rtl/>
        </w:rPr>
        <w:t xml:space="preserve">לקח </w:t>
      </w:r>
      <w:bookmarkStart w:id="22104" w:name="_ETM_Q33_565399"/>
      <w:bookmarkStart w:id="22105" w:name="_ETM_Q33_565880"/>
      <w:bookmarkEnd w:id="22104"/>
      <w:bookmarkEnd w:id="22105"/>
      <w:r>
        <w:rPr>
          <w:rFonts w:hint="cs"/>
          <w:rtl/>
        </w:rPr>
        <w:t xml:space="preserve">חמש שנים </w:t>
      </w:r>
      <w:bookmarkStart w:id="22106" w:name="_ETM_Q33_566149"/>
      <w:bookmarkEnd w:id="22106"/>
      <w:r>
        <w:rPr>
          <w:rFonts w:hint="cs"/>
          <w:rtl/>
        </w:rPr>
        <w:t xml:space="preserve">לחוקק </w:t>
      </w:r>
      <w:bookmarkStart w:id="22107" w:name="_ETM_Q33_566630"/>
      <w:bookmarkEnd w:id="22107"/>
      <w:r>
        <w:rPr>
          <w:rFonts w:hint="cs"/>
          <w:rtl/>
        </w:rPr>
        <w:t xml:space="preserve">את </w:t>
      </w:r>
      <w:bookmarkStart w:id="22108" w:name="_ETM_Q33_566749"/>
      <w:bookmarkEnd w:id="22108"/>
      <w:r>
        <w:rPr>
          <w:rFonts w:hint="cs"/>
          <w:rtl/>
        </w:rPr>
        <w:t xml:space="preserve">זה </w:t>
      </w:r>
      <w:bookmarkStart w:id="22109" w:name="_ETM_Q33_567079"/>
      <w:bookmarkEnd w:id="22109"/>
      <w:r>
        <w:rPr>
          <w:rFonts w:hint="cs"/>
          <w:rtl/>
        </w:rPr>
        <w:t xml:space="preserve">בצורה </w:t>
      </w:r>
      <w:bookmarkStart w:id="22110" w:name="_ETM_Q33_567649"/>
      <w:bookmarkEnd w:id="22110"/>
      <w:r>
        <w:rPr>
          <w:rFonts w:hint="cs"/>
          <w:rtl/>
        </w:rPr>
        <w:t xml:space="preserve">שקופה, </w:t>
      </w:r>
      <w:bookmarkStart w:id="22111" w:name="_ETM_Q33_568279"/>
      <w:bookmarkEnd w:id="22111"/>
      <w:r>
        <w:rPr>
          <w:rFonts w:hint="cs"/>
          <w:rtl/>
        </w:rPr>
        <w:t xml:space="preserve">עם </w:t>
      </w:r>
      <w:bookmarkStart w:id="22112" w:name="_ETM_Q33_568399"/>
      <w:bookmarkEnd w:id="22112"/>
      <w:r>
        <w:rPr>
          <w:rFonts w:hint="cs"/>
          <w:rtl/>
        </w:rPr>
        <w:t xml:space="preserve">שיתוף </w:t>
      </w:r>
      <w:bookmarkStart w:id="22113" w:name="_ETM_Q33_568789"/>
      <w:bookmarkEnd w:id="22113"/>
      <w:r>
        <w:rPr>
          <w:rFonts w:hint="cs"/>
          <w:rtl/>
        </w:rPr>
        <w:t xml:space="preserve">הציבור. </w:t>
      </w:r>
      <w:bookmarkStart w:id="22114" w:name="_ETM_Q33_569490"/>
      <w:bookmarkEnd w:id="22114"/>
      <w:r>
        <w:rPr>
          <w:rFonts w:hint="cs"/>
          <w:rtl/>
        </w:rPr>
        <w:t xml:space="preserve">מה </w:t>
      </w:r>
      <w:bookmarkStart w:id="22115" w:name="_ETM_Q33_569790"/>
      <w:bookmarkEnd w:id="22115"/>
      <w:r>
        <w:rPr>
          <w:rFonts w:hint="cs"/>
          <w:rtl/>
        </w:rPr>
        <w:t>קורה פה?</w:t>
      </w:r>
      <w:bookmarkStart w:id="22116" w:name="_ETM_Q33_570089"/>
      <w:bookmarkStart w:id="22117" w:name="_ETM_Q33_570420"/>
      <w:bookmarkEnd w:id="22116"/>
      <w:bookmarkEnd w:id="22117"/>
      <w:r>
        <w:rPr>
          <w:rFonts w:hint="cs"/>
          <w:rtl/>
        </w:rPr>
        <w:t xml:space="preserve"> </w:t>
      </w:r>
      <w:bookmarkStart w:id="22118" w:name="_ETM_Q33_571100"/>
      <w:bookmarkEnd w:id="22118"/>
      <w:r>
        <w:rPr>
          <w:rFonts w:hint="cs"/>
          <w:rtl/>
        </w:rPr>
        <w:t xml:space="preserve">באה </w:t>
      </w:r>
      <w:bookmarkStart w:id="22119" w:name="_ETM_Q33_571310"/>
      <w:bookmarkEnd w:id="22119"/>
      <w:r>
        <w:rPr>
          <w:rFonts w:hint="cs"/>
          <w:rtl/>
        </w:rPr>
        <w:t xml:space="preserve">הממשלה, </w:t>
      </w:r>
      <w:bookmarkStart w:id="22120" w:name="_ETM_Q33_572460"/>
      <w:bookmarkEnd w:id="22120"/>
      <w:r>
        <w:rPr>
          <w:rFonts w:hint="cs"/>
          <w:rtl/>
        </w:rPr>
        <w:t xml:space="preserve">אומרת: </w:t>
      </w:r>
      <w:bookmarkStart w:id="22121" w:name="_ETM_Q33_573450"/>
      <w:bookmarkEnd w:id="22121"/>
      <w:r>
        <w:rPr>
          <w:rFonts w:hint="cs"/>
          <w:rtl/>
        </w:rPr>
        <w:t xml:space="preserve">אני </w:t>
      </w:r>
      <w:bookmarkStart w:id="22122" w:name="_ETM_Q33_573689"/>
      <w:bookmarkEnd w:id="22122"/>
      <w:r>
        <w:rPr>
          <w:rFonts w:hint="cs"/>
          <w:rtl/>
        </w:rPr>
        <w:t xml:space="preserve">לא </w:t>
      </w:r>
      <w:bookmarkStart w:id="22123" w:name="_ETM_Q33_573810"/>
      <w:bookmarkEnd w:id="22123"/>
      <w:r>
        <w:rPr>
          <w:rFonts w:hint="cs"/>
          <w:rtl/>
        </w:rPr>
        <w:t xml:space="preserve">מעוניינת </w:t>
      </w:r>
      <w:bookmarkStart w:id="22124" w:name="_ETM_Q33_574289"/>
      <w:bookmarkEnd w:id="22124"/>
      <w:r>
        <w:rPr>
          <w:rFonts w:hint="cs"/>
          <w:rtl/>
        </w:rPr>
        <w:t xml:space="preserve">להתנהל </w:t>
      </w:r>
      <w:bookmarkStart w:id="22125" w:name="_ETM_Q33_574649"/>
      <w:bookmarkEnd w:id="22125"/>
      <w:r>
        <w:rPr>
          <w:rFonts w:hint="cs"/>
          <w:rtl/>
        </w:rPr>
        <w:t xml:space="preserve">בשקיפות </w:t>
      </w:r>
      <w:bookmarkStart w:id="22126" w:name="_ETM_Q33_575249"/>
      <w:bookmarkEnd w:id="22126"/>
      <w:r>
        <w:rPr>
          <w:rFonts w:hint="cs"/>
          <w:rtl/>
        </w:rPr>
        <w:t xml:space="preserve">או </w:t>
      </w:r>
      <w:bookmarkStart w:id="22127" w:name="_ETM_Q33_575310"/>
      <w:bookmarkEnd w:id="22127"/>
      <w:r>
        <w:rPr>
          <w:rFonts w:hint="cs"/>
          <w:rtl/>
        </w:rPr>
        <w:t xml:space="preserve">לשתף </w:t>
      </w:r>
      <w:bookmarkStart w:id="22128" w:name="_ETM_Q33_575700"/>
      <w:bookmarkEnd w:id="22128"/>
      <w:r>
        <w:rPr>
          <w:rFonts w:hint="cs"/>
          <w:rtl/>
        </w:rPr>
        <w:t xml:space="preserve">את </w:t>
      </w:r>
      <w:bookmarkStart w:id="22129" w:name="_ETM_Q33_575819"/>
      <w:bookmarkEnd w:id="22129"/>
      <w:r>
        <w:rPr>
          <w:rFonts w:hint="cs"/>
          <w:rtl/>
        </w:rPr>
        <w:t xml:space="preserve">הציבור </w:t>
      </w:r>
      <w:bookmarkStart w:id="22130" w:name="_ETM_Q33_576270"/>
      <w:bookmarkEnd w:id="22130"/>
      <w:r>
        <w:rPr>
          <w:rFonts w:hint="cs"/>
          <w:rtl/>
        </w:rPr>
        <w:t xml:space="preserve">או </w:t>
      </w:r>
      <w:bookmarkStart w:id="22131" w:name="_ETM_Q33_576329"/>
      <w:bookmarkEnd w:id="22131"/>
      <w:r>
        <w:rPr>
          <w:rFonts w:hint="cs"/>
          <w:rtl/>
        </w:rPr>
        <w:t xml:space="preserve">לקבל </w:t>
      </w:r>
      <w:bookmarkStart w:id="22132" w:name="_ETM_Q33_576880"/>
      <w:bookmarkStart w:id="22133" w:name="_ETM_Q33_577029"/>
      <w:bookmarkStart w:id="22134" w:name="_ETM_Q33_577270"/>
      <w:bookmarkEnd w:id="22132"/>
      <w:bookmarkEnd w:id="22133"/>
      <w:bookmarkEnd w:id="22134"/>
      <w:r>
        <w:rPr>
          <w:rFonts w:hint="cs"/>
          <w:rtl/>
        </w:rPr>
        <w:t>איזושהי הערה</w:t>
      </w:r>
      <w:bookmarkStart w:id="22135" w:name="_ETM_Q33_577970"/>
      <w:bookmarkEnd w:id="22135"/>
      <w:r>
        <w:rPr>
          <w:rFonts w:hint="cs"/>
          <w:rtl/>
        </w:rPr>
        <w:t xml:space="preserve">, אנחנו </w:t>
      </w:r>
      <w:bookmarkStart w:id="22136" w:name="_ETM_Q33_578270"/>
      <w:bookmarkEnd w:id="22136"/>
      <w:r>
        <w:rPr>
          <w:rFonts w:hint="cs"/>
          <w:rtl/>
        </w:rPr>
        <w:t xml:space="preserve">נעשה </w:t>
      </w:r>
      <w:bookmarkStart w:id="22137" w:name="_ETM_Q33_578570"/>
      <w:bookmarkEnd w:id="22137"/>
      <w:r>
        <w:rPr>
          <w:rFonts w:hint="cs"/>
          <w:rtl/>
        </w:rPr>
        <w:t xml:space="preserve">את </w:t>
      </w:r>
      <w:bookmarkStart w:id="22138" w:name="_ETM_Q33_578630"/>
      <w:bookmarkEnd w:id="22138"/>
      <w:r>
        <w:rPr>
          <w:rFonts w:hint="cs"/>
          <w:rtl/>
        </w:rPr>
        <w:t xml:space="preserve">זה </w:t>
      </w:r>
      <w:bookmarkStart w:id="22139" w:name="_ETM_Q33_578839"/>
      <w:bookmarkEnd w:id="22139"/>
      <w:r w:rsidR="004F0855">
        <w:rPr>
          <w:rFonts w:hint="cs"/>
          <w:rtl/>
        </w:rPr>
        <w:t>ב</w:t>
      </w:r>
      <w:r>
        <w:rPr>
          <w:rFonts w:hint="cs"/>
          <w:rtl/>
        </w:rPr>
        <w:t xml:space="preserve">מסלול </w:t>
      </w:r>
      <w:bookmarkStart w:id="22140" w:name="_ETM_Q33_579200"/>
      <w:bookmarkEnd w:id="22140"/>
      <w:r>
        <w:rPr>
          <w:rFonts w:hint="cs"/>
          <w:rtl/>
        </w:rPr>
        <w:t xml:space="preserve">עוקף: </w:t>
      </w:r>
      <w:bookmarkStart w:id="22141" w:name="_ETM_Q33_579990"/>
      <w:bookmarkEnd w:id="22141"/>
      <w:r>
        <w:rPr>
          <w:rFonts w:hint="cs"/>
          <w:rtl/>
        </w:rPr>
        <w:t xml:space="preserve">לא </w:t>
      </w:r>
      <w:bookmarkStart w:id="22142" w:name="_ETM_Q33_580170"/>
      <w:bookmarkEnd w:id="22142"/>
      <w:r>
        <w:rPr>
          <w:rFonts w:hint="cs"/>
          <w:rtl/>
        </w:rPr>
        <w:t xml:space="preserve">חקיקה </w:t>
      </w:r>
      <w:bookmarkStart w:id="22143" w:name="_ETM_Q33_580589"/>
      <w:bookmarkEnd w:id="22143"/>
      <w:r>
        <w:rPr>
          <w:rFonts w:hint="cs"/>
          <w:rtl/>
        </w:rPr>
        <w:t xml:space="preserve">ממשלתית </w:t>
      </w:r>
      <w:bookmarkStart w:id="22144" w:name="_ETM_Q33_581450"/>
      <w:bookmarkEnd w:id="22144"/>
      <w:r>
        <w:rPr>
          <w:rFonts w:hint="cs"/>
          <w:rtl/>
        </w:rPr>
        <w:t xml:space="preserve">– חקיקה </w:t>
      </w:r>
      <w:bookmarkStart w:id="22145" w:name="_ETM_Q33_582050"/>
      <w:bookmarkEnd w:id="22145"/>
      <w:r>
        <w:rPr>
          <w:rFonts w:hint="cs"/>
          <w:rtl/>
        </w:rPr>
        <w:t>פרטית</w:t>
      </w:r>
      <w:bookmarkStart w:id="22146" w:name="_ETM_Q33_582860"/>
      <w:bookmarkEnd w:id="22146"/>
      <w:r>
        <w:rPr>
          <w:rFonts w:hint="cs"/>
          <w:rtl/>
        </w:rPr>
        <w:t xml:space="preserve">, בלי </w:t>
      </w:r>
      <w:bookmarkStart w:id="22147" w:name="_ETM_Q33_583190"/>
      <w:bookmarkEnd w:id="22147"/>
      <w:r>
        <w:rPr>
          <w:rFonts w:hint="cs"/>
          <w:rtl/>
        </w:rPr>
        <w:t xml:space="preserve">תזכיר, </w:t>
      </w:r>
      <w:bookmarkStart w:id="22148" w:name="_ETM_Q33_583940"/>
      <w:bookmarkEnd w:id="22148"/>
      <w:r>
        <w:rPr>
          <w:rFonts w:hint="cs"/>
          <w:rtl/>
        </w:rPr>
        <w:t xml:space="preserve">בלי </w:t>
      </w:r>
      <w:bookmarkStart w:id="22149" w:name="_ETM_Q33_584210"/>
      <w:bookmarkEnd w:id="22149"/>
      <w:r>
        <w:rPr>
          <w:rFonts w:hint="cs"/>
          <w:rtl/>
        </w:rPr>
        <w:t xml:space="preserve">שקיפות, </w:t>
      </w:r>
      <w:bookmarkStart w:id="22150" w:name="_ETM_Q33_584930"/>
      <w:bookmarkEnd w:id="22150"/>
      <w:r>
        <w:rPr>
          <w:rFonts w:hint="cs"/>
          <w:rtl/>
        </w:rPr>
        <w:t xml:space="preserve">בלי </w:t>
      </w:r>
      <w:bookmarkStart w:id="22151" w:name="_ETM_Q33_585200"/>
      <w:bookmarkEnd w:id="22151"/>
      <w:r>
        <w:rPr>
          <w:rFonts w:hint="cs"/>
          <w:rtl/>
        </w:rPr>
        <w:t xml:space="preserve">הערות </w:t>
      </w:r>
      <w:bookmarkStart w:id="22152" w:name="_ETM_Q33_585529"/>
      <w:bookmarkEnd w:id="22152"/>
      <w:r>
        <w:rPr>
          <w:rFonts w:hint="cs"/>
          <w:rtl/>
        </w:rPr>
        <w:t xml:space="preserve">הציבור, </w:t>
      </w:r>
      <w:bookmarkStart w:id="22153" w:name="_ETM_Q33_585920"/>
      <w:bookmarkEnd w:id="22153"/>
      <w:r>
        <w:rPr>
          <w:rFonts w:hint="cs"/>
          <w:rtl/>
        </w:rPr>
        <w:t xml:space="preserve">כלום. </w:t>
      </w:r>
      <w:bookmarkStart w:id="22154" w:name="_ETM_Q33_586899"/>
      <w:bookmarkEnd w:id="22154"/>
      <w:r>
        <w:rPr>
          <w:rFonts w:hint="cs"/>
          <w:rtl/>
        </w:rPr>
        <w:t xml:space="preserve">מביאים </w:t>
      </w:r>
      <w:bookmarkStart w:id="22155" w:name="_ETM_Q33_587350"/>
      <w:bookmarkEnd w:id="22155"/>
      <w:r>
        <w:rPr>
          <w:rFonts w:hint="cs"/>
          <w:rtl/>
        </w:rPr>
        <w:t xml:space="preserve">חקיקה </w:t>
      </w:r>
      <w:bookmarkStart w:id="22156" w:name="_ETM_Q33_587920"/>
      <w:bookmarkEnd w:id="22156"/>
      <w:r>
        <w:rPr>
          <w:rFonts w:hint="cs"/>
          <w:rtl/>
        </w:rPr>
        <w:t xml:space="preserve">דורסנית </w:t>
      </w:r>
      <w:bookmarkStart w:id="22157" w:name="_ETM_Q33_588640"/>
      <w:bookmarkEnd w:id="22157"/>
      <w:r>
        <w:rPr>
          <w:rFonts w:hint="cs"/>
          <w:rtl/>
        </w:rPr>
        <w:t xml:space="preserve">ביותר, </w:t>
      </w:r>
      <w:bookmarkStart w:id="22158" w:name="_ETM_Q33_589000"/>
      <w:bookmarkEnd w:id="22158"/>
      <w:r>
        <w:rPr>
          <w:rFonts w:hint="cs"/>
          <w:rtl/>
        </w:rPr>
        <w:t xml:space="preserve">מפרסמים </w:t>
      </w:r>
      <w:bookmarkStart w:id="22159" w:name="_ETM_Q33_589409"/>
      <w:bookmarkStart w:id="22160" w:name="_ETM_Q33_589619"/>
      <w:bookmarkEnd w:id="22159"/>
      <w:bookmarkEnd w:id="22160"/>
      <w:r>
        <w:rPr>
          <w:rFonts w:hint="cs"/>
          <w:rtl/>
        </w:rPr>
        <w:t xml:space="preserve">אותה </w:t>
      </w:r>
      <w:bookmarkStart w:id="22161" w:name="_ETM_Q33_589950"/>
      <w:bookmarkEnd w:id="22161"/>
      <w:r>
        <w:rPr>
          <w:rFonts w:hint="cs"/>
          <w:rtl/>
        </w:rPr>
        <w:t xml:space="preserve">ימים </w:t>
      </w:r>
      <w:bookmarkStart w:id="22162" w:name="_ETM_Q33_590310"/>
      <w:bookmarkEnd w:id="22162"/>
      <w:r>
        <w:rPr>
          <w:rFonts w:hint="cs"/>
          <w:rtl/>
        </w:rPr>
        <w:t xml:space="preserve">ספורים </w:t>
      </w:r>
      <w:bookmarkStart w:id="22163" w:name="_ETM_Q33_590729"/>
      <w:bookmarkEnd w:id="22163"/>
      <w:r>
        <w:rPr>
          <w:rFonts w:hint="cs"/>
          <w:rtl/>
        </w:rPr>
        <w:t xml:space="preserve">לפני </w:t>
      </w:r>
      <w:bookmarkStart w:id="22164" w:name="_ETM_Q33_590969"/>
      <w:bookmarkEnd w:id="22164"/>
      <w:r>
        <w:rPr>
          <w:rFonts w:hint="cs"/>
          <w:rtl/>
        </w:rPr>
        <w:t xml:space="preserve">שהיא </w:t>
      </w:r>
      <w:bookmarkStart w:id="22165" w:name="_ETM_Q33_591119"/>
      <w:bookmarkEnd w:id="22165"/>
      <w:r>
        <w:rPr>
          <w:rFonts w:hint="cs"/>
          <w:rtl/>
        </w:rPr>
        <w:t xml:space="preserve">מובאת </w:t>
      </w:r>
      <w:bookmarkStart w:id="22166" w:name="_ETM_Q33_591539"/>
      <w:bookmarkEnd w:id="22166"/>
      <w:r>
        <w:rPr>
          <w:rFonts w:hint="cs"/>
          <w:rtl/>
        </w:rPr>
        <w:t xml:space="preserve">להצבעה </w:t>
      </w:r>
      <w:bookmarkStart w:id="22167" w:name="_ETM_Q33_592079"/>
      <w:bookmarkEnd w:id="22167"/>
      <w:r>
        <w:rPr>
          <w:rFonts w:hint="cs"/>
          <w:rtl/>
        </w:rPr>
        <w:t xml:space="preserve">בכנסת. </w:t>
      </w:r>
      <w:bookmarkStart w:id="22168" w:name="_ETM_Q33_593250"/>
      <w:bookmarkEnd w:id="22168"/>
      <w:r>
        <w:rPr>
          <w:rFonts w:hint="cs"/>
          <w:rtl/>
        </w:rPr>
        <w:t xml:space="preserve">אתה </w:t>
      </w:r>
      <w:bookmarkStart w:id="22169" w:name="_ETM_Q33_593529"/>
      <w:bookmarkEnd w:id="22169"/>
      <w:r>
        <w:rPr>
          <w:rFonts w:hint="cs"/>
          <w:rtl/>
        </w:rPr>
        <w:t xml:space="preserve">משתתף </w:t>
      </w:r>
      <w:bookmarkStart w:id="22170" w:name="_ETM_Q33_593950"/>
      <w:bookmarkEnd w:id="22170"/>
      <w:r>
        <w:rPr>
          <w:rFonts w:hint="cs"/>
          <w:rtl/>
        </w:rPr>
        <w:t xml:space="preserve">בדיונים, </w:t>
      </w:r>
      <w:bookmarkStart w:id="22171" w:name="_ETM_Q33_594430"/>
      <w:bookmarkEnd w:id="22171"/>
      <w:r>
        <w:rPr>
          <w:rFonts w:hint="cs"/>
          <w:rtl/>
        </w:rPr>
        <w:t xml:space="preserve">אתה </w:t>
      </w:r>
      <w:bookmarkStart w:id="22172" w:name="_ETM_Q33_594640"/>
      <w:bookmarkEnd w:id="22172"/>
      <w:r>
        <w:rPr>
          <w:rFonts w:hint="cs"/>
          <w:rtl/>
        </w:rPr>
        <w:t xml:space="preserve">מרים </w:t>
      </w:r>
      <w:bookmarkStart w:id="22173" w:name="_ETM_Q33_594940"/>
      <w:bookmarkEnd w:id="22173"/>
      <w:r>
        <w:rPr>
          <w:rFonts w:hint="cs"/>
          <w:rtl/>
        </w:rPr>
        <w:t xml:space="preserve">את </w:t>
      </w:r>
      <w:bookmarkStart w:id="22174" w:name="_ETM_Q33_595000"/>
      <w:bookmarkEnd w:id="22174"/>
      <w:r>
        <w:rPr>
          <w:rFonts w:hint="cs"/>
          <w:rtl/>
        </w:rPr>
        <w:t xml:space="preserve">היד </w:t>
      </w:r>
      <w:bookmarkStart w:id="22175" w:name="_ETM_Q33_595200"/>
      <w:bookmarkEnd w:id="22175"/>
      <w:r>
        <w:rPr>
          <w:rFonts w:hint="cs"/>
          <w:rtl/>
        </w:rPr>
        <w:t xml:space="preserve">ברשות דיבור, </w:t>
      </w:r>
      <w:bookmarkStart w:id="22176" w:name="_ETM_Q33_596000"/>
      <w:bookmarkStart w:id="22177" w:name="_ETM_Q33_595589"/>
      <w:bookmarkStart w:id="22178" w:name="_ETM_Q33_596009"/>
      <w:bookmarkStart w:id="22179" w:name="_ETM_Q33_596279"/>
      <w:bookmarkEnd w:id="22176"/>
      <w:bookmarkEnd w:id="22177"/>
      <w:bookmarkEnd w:id="22178"/>
      <w:bookmarkEnd w:id="22179"/>
      <w:r>
        <w:rPr>
          <w:rFonts w:hint="cs"/>
          <w:rtl/>
        </w:rPr>
        <w:t xml:space="preserve">מבקש </w:t>
      </w:r>
      <w:bookmarkStart w:id="22180" w:name="_ETM_Q33_596640"/>
      <w:bookmarkEnd w:id="22180"/>
      <w:r>
        <w:rPr>
          <w:rFonts w:hint="cs"/>
          <w:rtl/>
        </w:rPr>
        <w:t xml:space="preserve">לשאול </w:t>
      </w:r>
      <w:bookmarkStart w:id="22181" w:name="_ETM_Q33_596880"/>
      <w:bookmarkEnd w:id="22181"/>
      <w:r>
        <w:rPr>
          <w:rFonts w:hint="cs"/>
          <w:rtl/>
        </w:rPr>
        <w:t>שאלה, אומרים לך:</w:t>
      </w:r>
      <w:bookmarkStart w:id="22182" w:name="_ETM_Q33_597149"/>
      <w:bookmarkEnd w:id="22182"/>
      <w:r>
        <w:rPr>
          <w:rFonts w:hint="cs"/>
          <w:rtl/>
        </w:rPr>
        <w:t xml:space="preserve"> </w:t>
      </w:r>
      <w:bookmarkStart w:id="22183" w:name="_ETM_Q33_597779"/>
      <w:bookmarkEnd w:id="22183"/>
      <w:r>
        <w:rPr>
          <w:rFonts w:hint="cs"/>
          <w:rtl/>
        </w:rPr>
        <w:t xml:space="preserve">צא </w:t>
      </w:r>
      <w:bookmarkStart w:id="22184" w:name="_ETM_Q33_597960"/>
      <w:bookmarkEnd w:id="22184"/>
      <w:r>
        <w:rPr>
          <w:rFonts w:hint="cs"/>
          <w:rtl/>
        </w:rPr>
        <w:t xml:space="preserve">החוצה; </w:t>
      </w:r>
      <w:bookmarkStart w:id="22185" w:name="_ETM_Q33_598710"/>
      <w:bookmarkEnd w:id="22185"/>
      <w:r>
        <w:rPr>
          <w:rFonts w:hint="cs"/>
          <w:rtl/>
        </w:rPr>
        <w:t xml:space="preserve">שאלה </w:t>
      </w:r>
      <w:bookmarkStart w:id="22186" w:name="_ETM_Q33_599010"/>
      <w:bookmarkEnd w:id="22186"/>
      <w:r w:rsidR="004F0855">
        <w:rPr>
          <w:rFonts w:hint="eastAsia"/>
          <w:rtl/>
        </w:rPr>
        <w:t>–</w:t>
      </w:r>
      <w:r w:rsidR="004F0855">
        <w:rPr>
          <w:rFonts w:hint="cs"/>
          <w:rtl/>
        </w:rPr>
        <w:t xml:space="preserve"> </w:t>
      </w:r>
      <w:r>
        <w:rPr>
          <w:rFonts w:hint="cs"/>
          <w:rtl/>
        </w:rPr>
        <w:t xml:space="preserve">לא </w:t>
      </w:r>
      <w:bookmarkStart w:id="22187" w:name="_ETM_Q33_599159"/>
      <w:bookmarkEnd w:id="22187"/>
      <w:r>
        <w:rPr>
          <w:rFonts w:hint="cs"/>
          <w:rtl/>
        </w:rPr>
        <w:t>פה</w:t>
      </w:r>
      <w:r w:rsidR="004F0855">
        <w:rPr>
          <w:rFonts w:hint="cs"/>
          <w:rtl/>
        </w:rPr>
        <w:t>,</w:t>
      </w:r>
      <w:r>
        <w:rPr>
          <w:rFonts w:hint="cs"/>
          <w:rtl/>
        </w:rPr>
        <w:t xml:space="preserve"> צא החוצה. </w:t>
      </w:r>
      <w:bookmarkStart w:id="22188" w:name="_ETM_Q33_599640"/>
      <w:bookmarkStart w:id="22189" w:name="_ETM_Q33_600619"/>
      <w:bookmarkStart w:id="22190" w:name="_ETM_Q33_601100"/>
      <w:bookmarkStart w:id="22191" w:name="_ETM_Q33_601189"/>
      <w:bookmarkEnd w:id="22188"/>
      <w:bookmarkEnd w:id="22189"/>
      <w:bookmarkEnd w:id="22190"/>
      <w:bookmarkEnd w:id="22191"/>
      <w:r>
        <w:rPr>
          <w:rFonts w:hint="cs"/>
          <w:rtl/>
        </w:rPr>
        <w:t xml:space="preserve">אפס שיח </w:t>
      </w:r>
      <w:bookmarkStart w:id="22192" w:name="_ETM_Q33_601399"/>
      <w:bookmarkEnd w:id="22192"/>
      <w:r>
        <w:rPr>
          <w:rFonts w:hint="cs"/>
          <w:rtl/>
        </w:rPr>
        <w:t xml:space="preserve">ענייני. </w:t>
      </w:r>
      <w:bookmarkStart w:id="22193" w:name="_ETM_Q33_602310"/>
      <w:bookmarkEnd w:id="22193"/>
      <w:r>
        <w:rPr>
          <w:rFonts w:hint="cs"/>
          <w:rtl/>
        </w:rPr>
        <w:t xml:space="preserve">והראיה </w:t>
      </w:r>
      <w:bookmarkStart w:id="22194" w:name="_ETM_Q33_602909"/>
      <w:bookmarkEnd w:id="22194"/>
      <w:r>
        <w:rPr>
          <w:rFonts w:hint="cs"/>
          <w:rtl/>
        </w:rPr>
        <w:t xml:space="preserve">הטובה </w:t>
      </w:r>
      <w:bookmarkStart w:id="22195" w:name="_ETM_Q33_603239"/>
      <w:bookmarkEnd w:id="22195"/>
      <w:r>
        <w:rPr>
          <w:rFonts w:hint="cs"/>
          <w:rtl/>
        </w:rPr>
        <w:t>ביותר היא</w:t>
      </w:r>
      <w:bookmarkStart w:id="22196" w:name="_ETM_Q33_603520"/>
      <w:bookmarkStart w:id="22197" w:name="_ETM_Q33_604060"/>
      <w:bookmarkEnd w:id="22196"/>
      <w:bookmarkEnd w:id="22197"/>
      <w:r>
        <w:rPr>
          <w:rFonts w:hint="cs"/>
          <w:rtl/>
        </w:rPr>
        <w:t xml:space="preserve"> </w:t>
      </w:r>
      <w:bookmarkStart w:id="22198" w:name="_ETM_Q33_604299"/>
      <w:bookmarkEnd w:id="22198"/>
      <w:r>
        <w:rPr>
          <w:rFonts w:hint="cs"/>
          <w:rtl/>
        </w:rPr>
        <w:t xml:space="preserve">שהחוק </w:t>
      </w:r>
      <w:bookmarkStart w:id="22199" w:name="_ETM_Q33_604790"/>
      <w:bookmarkEnd w:id="22199"/>
      <w:r>
        <w:rPr>
          <w:rFonts w:hint="cs"/>
          <w:rtl/>
        </w:rPr>
        <w:t xml:space="preserve">יצא </w:t>
      </w:r>
      <w:bookmarkStart w:id="22200" w:name="_ETM_Q33_605270"/>
      <w:bookmarkEnd w:id="22200"/>
      <w:r>
        <w:rPr>
          <w:rFonts w:hint="cs"/>
          <w:rtl/>
        </w:rPr>
        <w:t xml:space="preserve">בדיוק </w:t>
      </w:r>
      <w:bookmarkStart w:id="22201" w:name="_ETM_Q33_605549"/>
      <w:bookmarkEnd w:id="22201"/>
      <w:r>
        <w:rPr>
          <w:rFonts w:hint="cs"/>
          <w:rtl/>
        </w:rPr>
        <w:t xml:space="preserve">כפי </w:t>
      </w:r>
      <w:bookmarkStart w:id="22202" w:name="_ETM_Q33_605819"/>
      <w:bookmarkEnd w:id="22202"/>
      <w:r>
        <w:rPr>
          <w:rFonts w:hint="cs"/>
          <w:rtl/>
        </w:rPr>
        <w:t xml:space="preserve">שהוא </w:t>
      </w:r>
      <w:bookmarkStart w:id="22203" w:name="_ETM_Q33_605999"/>
      <w:bookmarkEnd w:id="22203"/>
      <w:r>
        <w:rPr>
          <w:rFonts w:hint="cs"/>
          <w:rtl/>
        </w:rPr>
        <w:t xml:space="preserve">נכנס. </w:t>
      </w:r>
      <w:bookmarkStart w:id="22204" w:name="_ETM_Q33_606749"/>
      <w:bookmarkEnd w:id="22204"/>
      <w:r>
        <w:rPr>
          <w:rFonts w:hint="cs"/>
          <w:rtl/>
        </w:rPr>
        <w:t xml:space="preserve">ראיתם </w:t>
      </w:r>
      <w:bookmarkStart w:id="22205" w:name="_ETM_Q33_607049"/>
      <w:bookmarkEnd w:id="22205"/>
      <w:r>
        <w:rPr>
          <w:rFonts w:hint="cs"/>
          <w:rtl/>
        </w:rPr>
        <w:t xml:space="preserve">דבר </w:t>
      </w:r>
      <w:bookmarkStart w:id="22206" w:name="_ETM_Q33_607319"/>
      <w:bookmarkEnd w:id="22206"/>
      <w:r>
        <w:rPr>
          <w:rFonts w:hint="cs"/>
          <w:rtl/>
        </w:rPr>
        <w:t xml:space="preserve">כזה </w:t>
      </w:r>
      <w:bookmarkStart w:id="22207" w:name="_ETM_Q33_607619"/>
      <w:bookmarkEnd w:id="22207"/>
      <w:r>
        <w:rPr>
          <w:rFonts w:hint="cs"/>
          <w:rtl/>
        </w:rPr>
        <w:t xml:space="preserve">בכנסת </w:t>
      </w:r>
      <w:bookmarkStart w:id="22208" w:name="_ETM_Q33_608069"/>
      <w:bookmarkEnd w:id="22208"/>
      <w:r>
        <w:rPr>
          <w:rFonts w:hint="cs"/>
          <w:rtl/>
        </w:rPr>
        <w:t xml:space="preserve">ישראל, </w:t>
      </w:r>
      <w:bookmarkStart w:id="22209" w:name="_ETM_Q33_609420"/>
      <w:bookmarkEnd w:id="22209"/>
      <w:r>
        <w:rPr>
          <w:rFonts w:hint="cs"/>
          <w:rtl/>
        </w:rPr>
        <w:t xml:space="preserve">שחוק </w:t>
      </w:r>
      <w:bookmarkStart w:id="22210" w:name="_ETM_Q33_610020"/>
      <w:bookmarkStart w:id="22211" w:name="_ETM_Q33_610410"/>
      <w:bookmarkEnd w:id="22210"/>
      <w:bookmarkEnd w:id="22211"/>
      <w:r>
        <w:rPr>
          <w:rFonts w:hint="cs"/>
          <w:rtl/>
        </w:rPr>
        <w:t xml:space="preserve">יוצא </w:t>
      </w:r>
      <w:bookmarkStart w:id="22212" w:name="_ETM_Q33_610650"/>
      <w:bookmarkEnd w:id="22212"/>
      <w:r w:rsidR="004F0855">
        <w:rPr>
          <w:rFonts w:hint="cs"/>
          <w:rtl/>
        </w:rPr>
        <w:t xml:space="preserve">בדיוק </w:t>
      </w:r>
      <w:r>
        <w:rPr>
          <w:rFonts w:hint="cs"/>
          <w:rtl/>
        </w:rPr>
        <w:t xml:space="preserve">כמו </w:t>
      </w:r>
      <w:bookmarkStart w:id="22213" w:name="_ETM_Q33_610860"/>
      <w:bookmarkEnd w:id="22213"/>
      <w:r>
        <w:rPr>
          <w:rFonts w:hint="cs"/>
          <w:rtl/>
        </w:rPr>
        <w:t>שהוא</w:t>
      </w:r>
      <w:bookmarkStart w:id="22214" w:name="_ETM_Q33_611340"/>
      <w:bookmarkStart w:id="22215" w:name="_ETM_Q33_611520"/>
      <w:bookmarkStart w:id="22216" w:name="_ETM_Q33_611730"/>
      <w:bookmarkEnd w:id="22214"/>
      <w:bookmarkEnd w:id="22215"/>
      <w:bookmarkEnd w:id="22216"/>
      <w:r>
        <w:rPr>
          <w:rFonts w:hint="cs"/>
          <w:rtl/>
        </w:rPr>
        <w:t xml:space="preserve"> נכנס</w:t>
      </w:r>
      <w:bookmarkStart w:id="22217" w:name="_ETM_Q33_612840"/>
      <w:bookmarkEnd w:id="22217"/>
      <w:r>
        <w:rPr>
          <w:rFonts w:hint="cs"/>
          <w:rtl/>
        </w:rPr>
        <w:t xml:space="preserve">, ועוד </w:t>
      </w:r>
      <w:bookmarkStart w:id="22218" w:name="_ETM_Q33_613260"/>
      <w:bookmarkEnd w:id="22218"/>
      <w:r>
        <w:rPr>
          <w:rFonts w:hint="cs"/>
          <w:rtl/>
        </w:rPr>
        <w:t xml:space="preserve">בנושא </w:t>
      </w:r>
      <w:bookmarkStart w:id="22219" w:name="_ETM_Q33_613890"/>
      <w:bookmarkEnd w:id="22219"/>
      <w:r>
        <w:rPr>
          <w:rFonts w:hint="cs"/>
          <w:rtl/>
        </w:rPr>
        <w:t>כל</w:t>
      </w:r>
      <w:bookmarkStart w:id="22220" w:name="_ETM_Q33_614209"/>
      <w:bookmarkEnd w:id="22220"/>
      <w:r>
        <w:rPr>
          <w:rFonts w:hint="cs"/>
          <w:rtl/>
        </w:rPr>
        <w:t xml:space="preserve"> </w:t>
      </w:r>
      <w:bookmarkStart w:id="22221" w:name="_ETM_Q33_614299"/>
      <w:bookmarkEnd w:id="22221"/>
      <w:r>
        <w:rPr>
          <w:rFonts w:hint="cs"/>
          <w:rtl/>
        </w:rPr>
        <w:t xml:space="preserve">כך </w:t>
      </w:r>
      <w:bookmarkStart w:id="22222" w:name="_ETM_Q33_614450"/>
      <w:bookmarkEnd w:id="22222"/>
      <w:r>
        <w:rPr>
          <w:rFonts w:hint="cs"/>
          <w:rtl/>
        </w:rPr>
        <w:t xml:space="preserve">רגיש </w:t>
      </w:r>
      <w:bookmarkStart w:id="22223" w:name="_ETM_Q33_614959"/>
      <w:bookmarkEnd w:id="22223"/>
      <w:r>
        <w:rPr>
          <w:rFonts w:hint="cs"/>
          <w:rtl/>
        </w:rPr>
        <w:t xml:space="preserve">של </w:t>
      </w:r>
      <w:bookmarkStart w:id="22224" w:name="_ETM_Q33_615000"/>
      <w:bookmarkEnd w:id="22224"/>
      <w:r>
        <w:rPr>
          <w:rFonts w:hint="cs"/>
          <w:rtl/>
        </w:rPr>
        <w:t xml:space="preserve">חקיקת </w:t>
      </w:r>
      <w:bookmarkStart w:id="22225" w:name="_ETM_Q33_615499"/>
      <w:bookmarkEnd w:id="22225"/>
      <w:r>
        <w:rPr>
          <w:rFonts w:hint="cs"/>
          <w:rtl/>
        </w:rPr>
        <w:t>חוק</w:t>
      </w:r>
      <w:bookmarkStart w:id="22226" w:name="_ETM_Q33_615769"/>
      <w:bookmarkEnd w:id="22226"/>
      <w:r>
        <w:rPr>
          <w:rFonts w:hint="cs"/>
          <w:rtl/>
        </w:rPr>
        <w:t xml:space="preserve">-יסוד? </w:t>
      </w:r>
      <w:bookmarkStart w:id="22227" w:name="_ETM_Q33_616950"/>
      <w:bookmarkEnd w:id="22227"/>
      <w:r>
        <w:rPr>
          <w:rFonts w:hint="cs"/>
          <w:rtl/>
        </w:rPr>
        <w:t xml:space="preserve">חוק-יסוד </w:t>
      </w:r>
      <w:bookmarkStart w:id="22228" w:name="_ETM_Q33_617370"/>
      <w:bookmarkEnd w:id="22228"/>
      <w:r>
        <w:rPr>
          <w:rFonts w:hint="cs"/>
          <w:rtl/>
        </w:rPr>
        <w:t xml:space="preserve">זה </w:t>
      </w:r>
      <w:bookmarkStart w:id="22229" w:name="_ETM_Q33_617430"/>
      <w:bookmarkEnd w:id="22229"/>
      <w:r>
        <w:rPr>
          <w:rFonts w:hint="cs"/>
          <w:rtl/>
        </w:rPr>
        <w:t xml:space="preserve">דבר </w:t>
      </w:r>
      <w:bookmarkStart w:id="22230" w:name="_ETM_Q33_617970"/>
      <w:bookmarkEnd w:id="22230"/>
      <w:r>
        <w:rPr>
          <w:rFonts w:hint="cs"/>
          <w:rtl/>
        </w:rPr>
        <w:t xml:space="preserve">כבד, </w:t>
      </w:r>
      <w:bookmarkStart w:id="22231" w:name="_ETM_Q33_618420"/>
      <w:bookmarkEnd w:id="22231"/>
      <w:r>
        <w:rPr>
          <w:rFonts w:hint="cs"/>
          <w:rtl/>
        </w:rPr>
        <w:t xml:space="preserve">שראוי </w:t>
      </w:r>
      <w:bookmarkStart w:id="22232" w:name="_ETM_Q33_618720"/>
      <w:bookmarkEnd w:id="22232"/>
      <w:r>
        <w:rPr>
          <w:rFonts w:hint="cs"/>
          <w:rtl/>
        </w:rPr>
        <w:t xml:space="preserve">שייעשה </w:t>
      </w:r>
      <w:bookmarkStart w:id="22233" w:name="_ETM_Q33_619140"/>
      <w:bookmarkEnd w:id="22233"/>
      <w:r>
        <w:rPr>
          <w:rFonts w:hint="cs"/>
          <w:rtl/>
        </w:rPr>
        <w:t xml:space="preserve">בצורה </w:t>
      </w:r>
      <w:bookmarkStart w:id="22234" w:name="_ETM_Q33_619590"/>
      <w:bookmarkEnd w:id="22234"/>
      <w:r>
        <w:rPr>
          <w:rFonts w:hint="cs"/>
          <w:rtl/>
        </w:rPr>
        <w:t xml:space="preserve">אחראית, </w:t>
      </w:r>
      <w:bookmarkStart w:id="22235" w:name="_ETM_Q33_620160"/>
      <w:bookmarkEnd w:id="22235"/>
      <w:r>
        <w:rPr>
          <w:rFonts w:hint="cs"/>
          <w:rtl/>
        </w:rPr>
        <w:t xml:space="preserve">ולא </w:t>
      </w:r>
      <w:bookmarkStart w:id="22236" w:name="_ETM_Q33_620400"/>
      <w:bookmarkEnd w:id="22236"/>
      <w:r>
        <w:rPr>
          <w:rFonts w:hint="cs"/>
          <w:rtl/>
        </w:rPr>
        <w:t xml:space="preserve">בדרך </w:t>
      </w:r>
      <w:bookmarkStart w:id="22237" w:name="_ETM_Q33_620910"/>
      <w:bookmarkEnd w:id="22237"/>
      <w:r>
        <w:rPr>
          <w:rFonts w:hint="cs"/>
          <w:rtl/>
        </w:rPr>
        <w:t xml:space="preserve">המפלגת </w:t>
      </w:r>
      <w:bookmarkStart w:id="22238" w:name="_ETM_Q33_621780"/>
      <w:bookmarkEnd w:id="22238"/>
      <w:r>
        <w:rPr>
          <w:rFonts w:hint="cs"/>
          <w:rtl/>
        </w:rPr>
        <w:t>והכל</w:t>
      </w:r>
      <w:bookmarkStart w:id="22239" w:name="_ETM_Q33_622110"/>
      <w:bookmarkEnd w:id="22239"/>
      <w:r w:rsidR="004F0855">
        <w:rPr>
          <w:rFonts w:hint="cs"/>
          <w:rtl/>
        </w:rPr>
        <w:t>-</w:t>
      </w:r>
      <w:r>
        <w:rPr>
          <w:rFonts w:hint="cs"/>
          <w:rtl/>
        </w:rPr>
        <w:t xml:space="preserve">כך </w:t>
      </w:r>
      <w:bookmarkStart w:id="22240" w:name="_ETM_Q33_622349"/>
      <w:bookmarkEnd w:id="22240"/>
      <w:r>
        <w:rPr>
          <w:rFonts w:hint="cs"/>
          <w:rtl/>
        </w:rPr>
        <w:t>לא</w:t>
      </w:r>
      <w:r w:rsidR="004F0855">
        <w:rPr>
          <w:rFonts w:hint="cs"/>
          <w:rtl/>
        </w:rPr>
        <w:t xml:space="preserve"> </w:t>
      </w:r>
      <w:r>
        <w:rPr>
          <w:rFonts w:hint="cs"/>
          <w:rtl/>
        </w:rPr>
        <w:t xml:space="preserve">אחראית </w:t>
      </w:r>
      <w:bookmarkStart w:id="22241" w:name="_ETM_Q33_622980"/>
      <w:bookmarkEnd w:id="22241"/>
      <w:r>
        <w:rPr>
          <w:rFonts w:hint="cs"/>
          <w:rtl/>
        </w:rPr>
        <w:t xml:space="preserve">הזו. </w:t>
      </w:r>
      <w:bookmarkStart w:id="22242" w:name="_ETM_Q33_624030"/>
      <w:bookmarkEnd w:id="22242"/>
    </w:p>
    <w:p w:rsidR="00BB59CD" w:rsidRDefault="00BB59CD" w:rsidP="00BB59CD">
      <w:pPr>
        <w:rPr>
          <w:rtl/>
        </w:rPr>
      </w:pPr>
      <w:bookmarkStart w:id="22243" w:name="_ETM_Q33_621000"/>
      <w:bookmarkEnd w:id="22243"/>
    </w:p>
    <w:p w:rsidR="00BB59CD" w:rsidRDefault="00BB59CD" w:rsidP="004F0855">
      <w:pPr>
        <w:rPr>
          <w:rtl/>
        </w:rPr>
      </w:pPr>
      <w:bookmarkStart w:id="22244" w:name="_ETM_Q33_622000"/>
      <w:bookmarkEnd w:id="22244"/>
      <w:r>
        <w:rPr>
          <w:rFonts w:hint="cs"/>
          <w:rtl/>
        </w:rPr>
        <w:t xml:space="preserve">אבל </w:t>
      </w:r>
      <w:bookmarkStart w:id="22245" w:name="_ETM_Q33_624300"/>
      <w:bookmarkEnd w:id="22245"/>
      <w:r>
        <w:rPr>
          <w:rFonts w:hint="cs"/>
          <w:rtl/>
        </w:rPr>
        <w:t xml:space="preserve">בסופו </w:t>
      </w:r>
      <w:bookmarkStart w:id="22246" w:name="_ETM_Q33_624610"/>
      <w:bookmarkEnd w:id="22246"/>
      <w:r>
        <w:rPr>
          <w:rFonts w:hint="cs"/>
          <w:rtl/>
        </w:rPr>
        <w:t>ש</w:t>
      </w:r>
      <w:r w:rsidR="004F0855">
        <w:rPr>
          <w:rFonts w:hint="cs"/>
          <w:rtl/>
        </w:rPr>
        <w:t>ל</w:t>
      </w:r>
      <w:r>
        <w:rPr>
          <w:rFonts w:hint="cs"/>
          <w:rtl/>
        </w:rPr>
        <w:t xml:space="preserve"> </w:t>
      </w:r>
      <w:bookmarkStart w:id="22247" w:name="_ETM_Q33_624790"/>
      <w:bookmarkEnd w:id="22247"/>
      <w:r>
        <w:rPr>
          <w:rFonts w:hint="cs"/>
          <w:rtl/>
        </w:rPr>
        <w:t xml:space="preserve">דבר </w:t>
      </w:r>
      <w:bookmarkStart w:id="22248" w:name="_ETM_Q33_625060"/>
      <w:bookmarkEnd w:id="22248"/>
      <w:r>
        <w:rPr>
          <w:rFonts w:hint="cs"/>
          <w:rtl/>
        </w:rPr>
        <w:t xml:space="preserve">אני </w:t>
      </w:r>
      <w:bookmarkStart w:id="22249" w:name="_ETM_Q33_625240"/>
      <w:bookmarkEnd w:id="22249"/>
      <w:r>
        <w:rPr>
          <w:rFonts w:hint="cs"/>
          <w:rtl/>
        </w:rPr>
        <w:t xml:space="preserve">מאמינה </w:t>
      </w:r>
      <w:bookmarkStart w:id="22250" w:name="_ETM_Q33_625750"/>
      <w:bookmarkEnd w:id="22250"/>
      <w:r>
        <w:rPr>
          <w:rFonts w:hint="cs"/>
          <w:rtl/>
        </w:rPr>
        <w:t xml:space="preserve">שכל </w:t>
      </w:r>
      <w:bookmarkStart w:id="22251" w:name="_ETM_Q33_626050"/>
      <w:bookmarkEnd w:id="22251"/>
      <w:r>
        <w:rPr>
          <w:rFonts w:hint="cs"/>
          <w:rtl/>
        </w:rPr>
        <w:t xml:space="preserve">ניסיונות </w:t>
      </w:r>
      <w:bookmarkStart w:id="22252" w:name="_ETM_Q33_626500"/>
      <w:bookmarkEnd w:id="22252"/>
      <w:r>
        <w:rPr>
          <w:rFonts w:hint="cs"/>
          <w:rtl/>
        </w:rPr>
        <w:t xml:space="preserve">ההידברות </w:t>
      </w:r>
      <w:bookmarkStart w:id="22253" w:name="_ETM_Q33_627400"/>
      <w:bookmarkEnd w:id="22253"/>
      <w:r>
        <w:rPr>
          <w:rFonts w:hint="cs"/>
          <w:rtl/>
        </w:rPr>
        <w:t xml:space="preserve">לא </w:t>
      </w:r>
      <w:bookmarkStart w:id="22254" w:name="_ETM_Q33_627580"/>
      <w:bookmarkEnd w:id="22254"/>
      <w:r>
        <w:rPr>
          <w:rFonts w:hint="cs"/>
          <w:rtl/>
        </w:rPr>
        <w:t xml:space="preserve">צלחו </w:t>
      </w:r>
      <w:bookmarkStart w:id="22255" w:name="_ETM_Q33_628240"/>
      <w:bookmarkEnd w:id="22255"/>
      <w:r>
        <w:rPr>
          <w:rFonts w:hint="cs"/>
          <w:rtl/>
        </w:rPr>
        <w:t xml:space="preserve">כי </w:t>
      </w:r>
      <w:bookmarkStart w:id="22256" w:name="_ETM_Q33_628390"/>
      <w:bookmarkEnd w:id="22256"/>
      <w:r>
        <w:rPr>
          <w:rFonts w:hint="cs"/>
          <w:rtl/>
        </w:rPr>
        <w:t xml:space="preserve">יש </w:t>
      </w:r>
      <w:bookmarkStart w:id="22257" w:name="_ETM_Q33_628480"/>
      <w:bookmarkEnd w:id="22257"/>
      <w:r>
        <w:rPr>
          <w:rFonts w:hint="cs"/>
          <w:rtl/>
        </w:rPr>
        <w:t xml:space="preserve">פה </w:t>
      </w:r>
      <w:bookmarkStart w:id="22258" w:name="_ETM_Q33_628630"/>
      <w:bookmarkEnd w:id="22258"/>
      <w:r>
        <w:rPr>
          <w:rFonts w:hint="cs"/>
          <w:rtl/>
        </w:rPr>
        <w:t xml:space="preserve">פער </w:t>
      </w:r>
      <w:bookmarkStart w:id="22259" w:name="_ETM_Q33_628930"/>
      <w:bookmarkEnd w:id="22259"/>
      <w:r>
        <w:rPr>
          <w:rFonts w:hint="cs"/>
          <w:rtl/>
        </w:rPr>
        <w:t xml:space="preserve">אמיתי. </w:t>
      </w:r>
      <w:bookmarkStart w:id="22260" w:name="_ETM_Q33_630020"/>
      <w:bookmarkEnd w:id="22260"/>
      <w:r>
        <w:rPr>
          <w:rFonts w:hint="cs"/>
          <w:rtl/>
        </w:rPr>
        <w:t xml:space="preserve">בסוף </w:t>
      </w:r>
      <w:bookmarkStart w:id="22261" w:name="_ETM_Q33_630440"/>
      <w:bookmarkEnd w:id="22261"/>
      <w:r>
        <w:rPr>
          <w:rFonts w:hint="cs"/>
          <w:rtl/>
        </w:rPr>
        <w:t xml:space="preserve">החקיקה </w:t>
      </w:r>
      <w:bookmarkStart w:id="22262" w:name="_ETM_Q33_631010"/>
      <w:bookmarkEnd w:id="22262"/>
      <w:r>
        <w:rPr>
          <w:rFonts w:hint="cs"/>
          <w:rtl/>
        </w:rPr>
        <w:t xml:space="preserve">הזו, </w:t>
      </w:r>
      <w:bookmarkStart w:id="22263" w:name="_ETM_Q33_631250"/>
      <w:bookmarkEnd w:id="22263"/>
      <w:r>
        <w:rPr>
          <w:rFonts w:hint="cs"/>
          <w:rtl/>
        </w:rPr>
        <w:t xml:space="preserve">החקיקה </w:t>
      </w:r>
      <w:bookmarkStart w:id="22264" w:name="_ETM_Q33_631640"/>
      <w:bookmarkEnd w:id="22264"/>
      <w:r>
        <w:rPr>
          <w:rFonts w:hint="cs"/>
          <w:rtl/>
        </w:rPr>
        <w:t xml:space="preserve">המשפטית, </w:t>
      </w:r>
      <w:bookmarkStart w:id="22265" w:name="_ETM_Q33_632090"/>
      <w:bookmarkEnd w:id="22265"/>
      <w:r>
        <w:rPr>
          <w:rFonts w:hint="cs"/>
          <w:rtl/>
        </w:rPr>
        <w:t xml:space="preserve">נולדה </w:t>
      </w:r>
      <w:bookmarkStart w:id="22266" w:name="_ETM_Q33_632360"/>
      <w:bookmarkEnd w:id="22266"/>
      <w:r>
        <w:rPr>
          <w:rFonts w:hint="cs"/>
          <w:rtl/>
        </w:rPr>
        <w:t xml:space="preserve">בחטא </w:t>
      </w:r>
      <w:bookmarkStart w:id="22267" w:name="_ETM_Q33_633290"/>
      <w:bookmarkEnd w:id="22267"/>
      <w:r>
        <w:rPr>
          <w:rFonts w:hint="cs"/>
          <w:rtl/>
        </w:rPr>
        <w:t xml:space="preserve">על ידי </w:t>
      </w:r>
      <w:bookmarkStart w:id="22268" w:name="_ETM_Q33_633709"/>
      <w:bookmarkEnd w:id="22268"/>
      <w:r>
        <w:rPr>
          <w:rFonts w:hint="cs"/>
          <w:rtl/>
        </w:rPr>
        <w:t xml:space="preserve">ראש </w:t>
      </w:r>
      <w:bookmarkStart w:id="22269" w:name="_ETM_Q33_633950"/>
      <w:bookmarkEnd w:id="22269"/>
      <w:r>
        <w:rPr>
          <w:rFonts w:hint="cs"/>
          <w:rtl/>
        </w:rPr>
        <w:t xml:space="preserve">ממשלה </w:t>
      </w:r>
      <w:bookmarkStart w:id="22270" w:name="_ETM_Q33_634400"/>
      <w:bookmarkEnd w:id="22270"/>
      <w:r>
        <w:rPr>
          <w:rFonts w:hint="cs"/>
          <w:rtl/>
        </w:rPr>
        <w:t xml:space="preserve">שנמצא </w:t>
      </w:r>
      <w:bookmarkStart w:id="22271" w:name="_ETM_Q33_634819"/>
      <w:bookmarkEnd w:id="22271"/>
      <w:r>
        <w:rPr>
          <w:rFonts w:hint="cs"/>
          <w:rtl/>
        </w:rPr>
        <w:t xml:space="preserve">בניגוד </w:t>
      </w:r>
      <w:bookmarkStart w:id="22272" w:name="_ETM_Q33_635209"/>
      <w:bookmarkEnd w:id="22272"/>
      <w:r>
        <w:rPr>
          <w:rFonts w:hint="cs"/>
          <w:rtl/>
        </w:rPr>
        <w:t xml:space="preserve">עניינים. </w:t>
      </w:r>
      <w:bookmarkStart w:id="22273" w:name="_ETM_Q33_636049"/>
      <w:bookmarkEnd w:id="22273"/>
      <w:r>
        <w:rPr>
          <w:rFonts w:hint="cs"/>
          <w:rtl/>
        </w:rPr>
        <w:t xml:space="preserve">אמרו </w:t>
      </w:r>
      <w:bookmarkStart w:id="22274" w:name="_ETM_Q33_636470"/>
      <w:bookmarkEnd w:id="22274"/>
      <w:r>
        <w:rPr>
          <w:rFonts w:hint="cs"/>
          <w:rtl/>
        </w:rPr>
        <w:t xml:space="preserve">לו: </w:t>
      </w:r>
      <w:bookmarkStart w:id="22275" w:name="_ETM_Q33_636620"/>
      <w:bookmarkStart w:id="22276" w:name="_ETM_Q33_636830"/>
      <w:bookmarkEnd w:id="22275"/>
      <w:bookmarkEnd w:id="22276"/>
      <w:r>
        <w:rPr>
          <w:rFonts w:hint="cs"/>
          <w:rtl/>
        </w:rPr>
        <w:t xml:space="preserve">יש </w:t>
      </w:r>
      <w:bookmarkStart w:id="22277" w:name="_ETM_Q33_636950"/>
      <w:bookmarkEnd w:id="22277"/>
      <w:r>
        <w:rPr>
          <w:rFonts w:hint="cs"/>
          <w:rtl/>
        </w:rPr>
        <w:t xml:space="preserve">לך </w:t>
      </w:r>
      <w:bookmarkStart w:id="22278" w:name="_ETM_Q33_637310"/>
      <w:bookmarkEnd w:id="22278"/>
      <w:r>
        <w:rPr>
          <w:rFonts w:hint="cs"/>
          <w:rtl/>
        </w:rPr>
        <w:t xml:space="preserve">כתבי </w:t>
      </w:r>
      <w:bookmarkStart w:id="22279" w:name="_ETM_Q33_637670"/>
      <w:bookmarkEnd w:id="22279"/>
      <w:r>
        <w:rPr>
          <w:rFonts w:hint="cs"/>
          <w:rtl/>
        </w:rPr>
        <w:t>אישום</w:t>
      </w:r>
      <w:bookmarkStart w:id="22280" w:name="_ETM_Q33_637970"/>
      <w:bookmarkEnd w:id="22280"/>
      <w:r>
        <w:rPr>
          <w:rFonts w:hint="cs"/>
          <w:rtl/>
        </w:rPr>
        <w:t xml:space="preserve">, אל </w:t>
      </w:r>
      <w:bookmarkStart w:id="22281" w:name="_ETM_Q33_638030"/>
      <w:bookmarkEnd w:id="22281"/>
      <w:r>
        <w:rPr>
          <w:rFonts w:hint="cs"/>
          <w:rtl/>
        </w:rPr>
        <w:t xml:space="preserve">תעסוק </w:t>
      </w:r>
      <w:bookmarkStart w:id="22282" w:name="_ETM_Q33_638660"/>
      <w:bookmarkEnd w:id="22282"/>
      <w:r>
        <w:rPr>
          <w:rFonts w:hint="cs"/>
          <w:rtl/>
        </w:rPr>
        <w:t xml:space="preserve">בנושא </w:t>
      </w:r>
      <w:bookmarkStart w:id="22283" w:name="_ETM_Q33_639050"/>
      <w:bookmarkEnd w:id="22283"/>
      <w:r>
        <w:rPr>
          <w:rFonts w:hint="cs"/>
          <w:rtl/>
        </w:rPr>
        <w:t xml:space="preserve">המשפטי; </w:t>
      </w:r>
      <w:bookmarkStart w:id="22284" w:name="_ETM_Q33_639530"/>
      <w:bookmarkEnd w:id="22284"/>
      <w:r>
        <w:rPr>
          <w:rFonts w:hint="cs"/>
          <w:rtl/>
        </w:rPr>
        <w:t xml:space="preserve">אתה </w:t>
      </w:r>
      <w:bookmarkStart w:id="22285" w:name="_ETM_Q33_639709"/>
      <w:bookmarkEnd w:id="22285"/>
      <w:r>
        <w:rPr>
          <w:rFonts w:hint="cs"/>
          <w:rtl/>
        </w:rPr>
        <w:t xml:space="preserve">יכול </w:t>
      </w:r>
      <w:bookmarkStart w:id="22286" w:name="_ETM_Q33_639950"/>
      <w:bookmarkEnd w:id="22286"/>
      <w:r>
        <w:rPr>
          <w:rFonts w:hint="cs"/>
          <w:rtl/>
        </w:rPr>
        <w:t xml:space="preserve">לעסוק </w:t>
      </w:r>
      <w:bookmarkStart w:id="22287" w:name="_ETM_Q33_640240"/>
      <w:bookmarkEnd w:id="22287"/>
      <w:r>
        <w:rPr>
          <w:rFonts w:hint="cs"/>
          <w:rtl/>
        </w:rPr>
        <w:t xml:space="preserve">בכל </w:t>
      </w:r>
      <w:bookmarkStart w:id="22288" w:name="_ETM_Q33_640540"/>
      <w:bookmarkEnd w:id="22288"/>
      <w:r>
        <w:rPr>
          <w:rFonts w:hint="cs"/>
          <w:rtl/>
        </w:rPr>
        <w:t xml:space="preserve">התחומים, </w:t>
      </w:r>
      <w:bookmarkStart w:id="22289" w:name="_ETM_Q33_641500"/>
      <w:bookmarkEnd w:id="22289"/>
      <w:r>
        <w:rPr>
          <w:rFonts w:hint="cs"/>
          <w:rtl/>
        </w:rPr>
        <w:t xml:space="preserve">זה </w:t>
      </w:r>
      <w:bookmarkStart w:id="22290" w:name="_ETM_Q33_641650"/>
      <w:bookmarkEnd w:id="22290"/>
      <w:r>
        <w:rPr>
          <w:rFonts w:hint="cs"/>
          <w:rtl/>
        </w:rPr>
        <w:t xml:space="preserve">בסדר </w:t>
      </w:r>
      <w:bookmarkStart w:id="22291" w:name="_ETM_Q33_642069"/>
      <w:bookmarkEnd w:id="22291"/>
      <w:r>
        <w:rPr>
          <w:rFonts w:hint="cs"/>
          <w:rtl/>
        </w:rPr>
        <w:t xml:space="preserve">גמור </w:t>
      </w:r>
      <w:bookmarkStart w:id="22292" w:name="_ETM_Q33_642310"/>
      <w:bookmarkEnd w:id="22292"/>
      <w:r>
        <w:rPr>
          <w:rFonts w:hint="cs"/>
          <w:rtl/>
        </w:rPr>
        <w:t xml:space="preserve">שתהיה </w:t>
      </w:r>
      <w:bookmarkStart w:id="22293" w:name="_ETM_Q33_642609"/>
      <w:bookmarkEnd w:id="22293"/>
      <w:r>
        <w:rPr>
          <w:rFonts w:hint="cs"/>
          <w:rtl/>
        </w:rPr>
        <w:t xml:space="preserve">ראש </w:t>
      </w:r>
      <w:bookmarkStart w:id="22294" w:name="_ETM_Q33_642760"/>
      <w:bookmarkEnd w:id="22294"/>
      <w:r>
        <w:rPr>
          <w:rFonts w:hint="cs"/>
          <w:rtl/>
        </w:rPr>
        <w:t xml:space="preserve">ממשלה, </w:t>
      </w:r>
      <w:bookmarkStart w:id="22295" w:name="_ETM_Q33_643299"/>
      <w:bookmarkEnd w:id="22295"/>
      <w:r>
        <w:rPr>
          <w:rFonts w:hint="cs"/>
          <w:rtl/>
        </w:rPr>
        <w:t xml:space="preserve">אבל </w:t>
      </w:r>
      <w:bookmarkStart w:id="22296" w:name="_ETM_Q33_643540"/>
      <w:bookmarkEnd w:id="22296"/>
      <w:r>
        <w:rPr>
          <w:rFonts w:hint="cs"/>
          <w:rtl/>
        </w:rPr>
        <w:t xml:space="preserve">בתחום </w:t>
      </w:r>
      <w:bookmarkStart w:id="22297" w:name="_ETM_Q33_643989"/>
      <w:bookmarkEnd w:id="22297"/>
      <w:r>
        <w:rPr>
          <w:rFonts w:hint="cs"/>
          <w:rtl/>
        </w:rPr>
        <w:t xml:space="preserve">המשפטים </w:t>
      </w:r>
      <w:bookmarkStart w:id="22298" w:name="_ETM_Q33_644590"/>
      <w:bookmarkEnd w:id="22298"/>
      <w:r>
        <w:rPr>
          <w:rFonts w:hint="cs"/>
          <w:rtl/>
        </w:rPr>
        <w:t xml:space="preserve">יש לך </w:t>
      </w:r>
      <w:bookmarkStart w:id="22299" w:name="_ETM_Q33_644829"/>
      <w:bookmarkEnd w:id="22299"/>
      <w:r>
        <w:rPr>
          <w:rFonts w:hint="cs"/>
          <w:rtl/>
        </w:rPr>
        <w:t xml:space="preserve">ניגוד </w:t>
      </w:r>
      <w:bookmarkStart w:id="22300" w:name="_ETM_Q33_645099"/>
      <w:bookmarkEnd w:id="22300"/>
      <w:r>
        <w:rPr>
          <w:rFonts w:hint="cs"/>
          <w:rtl/>
        </w:rPr>
        <w:t xml:space="preserve">עניינים; </w:t>
      </w:r>
      <w:bookmarkStart w:id="22301" w:name="_ETM_Q33_645459"/>
      <w:bookmarkEnd w:id="22301"/>
      <w:r>
        <w:rPr>
          <w:rFonts w:hint="cs"/>
          <w:rtl/>
        </w:rPr>
        <w:t xml:space="preserve">אל </w:t>
      </w:r>
      <w:bookmarkStart w:id="22302" w:name="_ETM_Q33_645670"/>
      <w:bookmarkEnd w:id="22302"/>
      <w:r>
        <w:rPr>
          <w:rFonts w:hint="cs"/>
          <w:rtl/>
        </w:rPr>
        <w:t>תעסוק</w:t>
      </w:r>
      <w:bookmarkStart w:id="22303" w:name="_ETM_Q33_646670"/>
      <w:bookmarkStart w:id="22304" w:name="_ETM_Q33_647120"/>
      <w:bookmarkEnd w:id="22303"/>
      <w:bookmarkEnd w:id="22304"/>
      <w:r w:rsidR="004F0855">
        <w:rPr>
          <w:rFonts w:hint="cs"/>
          <w:rtl/>
        </w:rPr>
        <w:t>.</w:t>
      </w:r>
      <w:r>
        <w:rPr>
          <w:rFonts w:hint="cs"/>
          <w:rtl/>
        </w:rPr>
        <w:t xml:space="preserve"> בחר ראש הממשלה </w:t>
      </w:r>
      <w:bookmarkStart w:id="22305" w:name="_ETM_Q33_647870"/>
      <w:bookmarkEnd w:id="22305"/>
      <w:r>
        <w:rPr>
          <w:rFonts w:hint="cs"/>
          <w:rtl/>
        </w:rPr>
        <w:t xml:space="preserve">לעשות </w:t>
      </w:r>
      <w:bookmarkStart w:id="22306" w:name="_ETM_Q33_648360"/>
      <w:bookmarkEnd w:id="22306"/>
      <w:r>
        <w:rPr>
          <w:rFonts w:hint="cs"/>
          <w:rtl/>
        </w:rPr>
        <w:t xml:space="preserve">דווקא </w:t>
      </w:r>
      <w:bookmarkStart w:id="22307" w:name="_ETM_Q33_648660"/>
      <w:bookmarkEnd w:id="22307"/>
      <w:r>
        <w:rPr>
          <w:rFonts w:hint="cs"/>
          <w:rtl/>
        </w:rPr>
        <w:t xml:space="preserve">בזה </w:t>
      </w:r>
      <w:bookmarkStart w:id="22308" w:name="_ETM_Q33_649290"/>
      <w:bookmarkEnd w:id="22308"/>
      <w:r>
        <w:rPr>
          <w:rFonts w:hint="cs"/>
          <w:rtl/>
        </w:rPr>
        <w:t xml:space="preserve">ורק </w:t>
      </w:r>
      <w:bookmarkStart w:id="22309" w:name="_ETM_Q33_649980"/>
      <w:bookmarkEnd w:id="22309"/>
      <w:r>
        <w:rPr>
          <w:rFonts w:hint="cs"/>
          <w:rtl/>
        </w:rPr>
        <w:t xml:space="preserve">בזה. </w:t>
      </w:r>
      <w:bookmarkStart w:id="22310" w:name="_ETM_Q33_650840"/>
      <w:bookmarkEnd w:id="22310"/>
      <w:r>
        <w:rPr>
          <w:rFonts w:hint="cs"/>
          <w:rtl/>
        </w:rPr>
        <w:t xml:space="preserve">הוא </w:t>
      </w:r>
      <w:bookmarkStart w:id="22311" w:name="_ETM_Q33_651409"/>
      <w:bookmarkEnd w:id="22311"/>
      <w:r>
        <w:rPr>
          <w:rFonts w:hint="cs"/>
          <w:rtl/>
        </w:rPr>
        <w:t xml:space="preserve">בא </w:t>
      </w:r>
      <w:bookmarkStart w:id="22312" w:name="_ETM_Q33_651650"/>
      <w:bookmarkEnd w:id="22312"/>
      <w:r>
        <w:rPr>
          <w:rFonts w:hint="cs"/>
          <w:rtl/>
        </w:rPr>
        <w:t xml:space="preserve">עם </w:t>
      </w:r>
      <w:bookmarkStart w:id="22313" w:name="_ETM_Q33_651769"/>
      <w:bookmarkEnd w:id="22313"/>
      <w:r>
        <w:rPr>
          <w:rFonts w:hint="cs"/>
          <w:rtl/>
        </w:rPr>
        <w:t xml:space="preserve">האינטרסים </w:t>
      </w:r>
      <w:bookmarkStart w:id="22314" w:name="_ETM_Q33_652340"/>
      <w:bookmarkEnd w:id="22314"/>
      <w:r>
        <w:rPr>
          <w:rFonts w:hint="cs"/>
          <w:rtl/>
        </w:rPr>
        <w:t xml:space="preserve">האישיים </w:t>
      </w:r>
      <w:bookmarkStart w:id="22315" w:name="_ETM_Q33_652790"/>
      <w:bookmarkEnd w:id="22315"/>
      <w:r>
        <w:rPr>
          <w:rFonts w:hint="cs"/>
          <w:rtl/>
        </w:rPr>
        <w:t xml:space="preserve">שלו, </w:t>
      </w:r>
      <w:bookmarkStart w:id="22316" w:name="_ETM_Q33_653770"/>
      <w:bookmarkEnd w:id="22316"/>
      <w:r>
        <w:rPr>
          <w:rFonts w:hint="cs"/>
          <w:rtl/>
        </w:rPr>
        <w:t xml:space="preserve">שתכליתם </w:t>
      </w:r>
      <w:bookmarkStart w:id="22317" w:name="_ETM_Q33_654550"/>
      <w:bookmarkEnd w:id="22317"/>
      <w:r>
        <w:rPr>
          <w:rFonts w:hint="cs"/>
          <w:rtl/>
        </w:rPr>
        <w:t xml:space="preserve">היא </w:t>
      </w:r>
      <w:bookmarkStart w:id="22318" w:name="_ETM_Q33_653000"/>
      <w:bookmarkEnd w:id="22318"/>
      <w:r>
        <w:rPr>
          <w:rFonts w:hint="cs"/>
          <w:rtl/>
        </w:rPr>
        <w:t xml:space="preserve">לבוא </w:t>
      </w:r>
      <w:bookmarkStart w:id="22319" w:name="_ETM_Q33_655060"/>
      <w:bookmarkEnd w:id="22319"/>
      <w:r>
        <w:rPr>
          <w:rFonts w:hint="cs"/>
          <w:rtl/>
        </w:rPr>
        <w:t xml:space="preserve">ולרסק </w:t>
      </w:r>
      <w:bookmarkStart w:id="22320" w:name="_ETM_Q33_655630"/>
      <w:bookmarkEnd w:id="22320"/>
      <w:r>
        <w:rPr>
          <w:rFonts w:hint="cs"/>
          <w:rtl/>
        </w:rPr>
        <w:t xml:space="preserve">את </w:t>
      </w:r>
      <w:bookmarkStart w:id="22321" w:name="_ETM_Q33_655750"/>
      <w:bookmarkEnd w:id="22321"/>
      <w:r>
        <w:rPr>
          <w:rFonts w:hint="cs"/>
          <w:rtl/>
        </w:rPr>
        <w:t xml:space="preserve">בתי </w:t>
      </w:r>
      <w:bookmarkStart w:id="22322" w:name="_ETM_Q33_656020"/>
      <w:bookmarkEnd w:id="22322"/>
      <w:r>
        <w:rPr>
          <w:rFonts w:hint="cs"/>
          <w:rtl/>
        </w:rPr>
        <w:t xml:space="preserve">המשפט, </w:t>
      </w:r>
      <w:bookmarkStart w:id="22323" w:name="_ETM_Q33_656470"/>
      <w:bookmarkEnd w:id="22323"/>
      <w:r>
        <w:rPr>
          <w:rFonts w:hint="cs"/>
          <w:rtl/>
        </w:rPr>
        <w:t xml:space="preserve">ואנחנו </w:t>
      </w:r>
      <w:bookmarkStart w:id="22324" w:name="_ETM_Q33_656920"/>
      <w:bookmarkEnd w:id="22324"/>
      <w:r>
        <w:rPr>
          <w:rFonts w:hint="cs"/>
          <w:rtl/>
        </w:rPr>
        <w:t xml:space="preserve">באים </w:t>
      </w:r>
      <w:bookmarkStart w:id="22325" w:name="_ETM_Q33_657190"/>
      <w:bookmarkEnd w:id="22325"/>
      <w:r>
        <w:rPr>
          <w:rFonts w:hint="cs"/>
          <w:rtl/>
        </w:rPr>
        <w:t xml:space="preserve">עם האמונה </w:t>
      </w:r>
      <w:bookmarkStart w:id="22326" w:name="_ETM_Q33_657730"/>
      <w:bookmarkStart w:id="22327" w:name="_ETM_Q33_658150"/>
      <w:bookmarkEnd w:id="22326"/>
      <w:bookmarkEnd w:id="22327"/>
      <w:r>
        <w:rPr>
          <w:rFonts w:hint="cs"/>
          <w:rtl/>
        </w:rPr>
        <w:t>שלנו</w:t>
      </w:r>
      <w:bookmarkStart w:id="22328" w:name="_ETM_Q33_658980"/>
      <w:bookmarkEnd w:id="22328"/>
      <w:r>
        <w:rPr>
          <w:rFonts w:hint="cs"/>
          <w:rtl/>
        </w:rPr>
        <w:t xml:space="preserve"> שצריך </w:t>
      </w:r>
      <w:bookmarkStart w:id="22329" w:name="_ETM_Q33_659500"/>
      <w:bookmarkEnd w:id="22329"/>
      <w:r>
        <w:rPr>
          <w:rFonts w:hint="cs"/>
          <w:rtl/>
        </w:rPr>
        <w:t xml:space="preserve">בית </w:t>
      </w:r>
      <w:bookmarkStart w:id="22330" w:name="_ETM_Q33_659710"/>
      <w:bookmarkEnd w:id="22330"/>
      <w:r>
        <w:rPr>
          <w:rFonts w:hint="cs"/>
          <w:rtl/>
        </w:rPr>
        <w:t xml:space="preserve">משפט </w:t>
      </w:r>
      <w:bookmarkStart w:id="22331" w:name="_ETM_Q33_660010"/>
      <w:bookmarkEnd w:id="22331"/>
      <w:r>
        <w:rPr>
          <w:rFonts w:hint="cs"/>
          <w:rtl/>
        </w:rPr>
        <w:t xml:space="preserve">חזק </w:t>
      </w:r>
      <w:bookmarkStart w:id="22332" w:name="_ETM_Q33_660520"/>
      <w:bookmarkEnd w:id="22332"/>
      <w:r>
        <w:rPr>
          <w:rFonts w:hint="cs"/>
          <w:rtl/>
        </w:rPr>
        <w:t xml:space="preserve">ועצמאי, לכן </w:t>
      </w:r>
      <w:bookmarkStart w:id="22333" w:name="_ETM_Q33_661330"/>
      <w:bookmarkStart w:id="22334" w:name="_ETM_Q33_662250"/>
      <w:bookmarkEnd w:id="22333"/>
      <w:bookmarkEnd w:id="22334"/>
      <w:r>
        <w:rPr>
          <w:rFonts w:hint="cs"/>
          <w:rtl/>
        </w:rPr>
        <w:t xml:space="preserve">לא </w:t>
      </w:r>
      <w:bookmarkStart w:id="22335" w:name="_ETM_Q33_662430"/>
      <w:bookmarkEnd w:id="22335"/>
      <w:r>
        <w:rPr>
          <w:rFonts w:hint="cs"/>
          <w:rtl/>
        </w:rPr>
        <w:t xml:space="preserve">הצלחנו </w:t>
      </w:r>
      <w:bookmarkStart w:id="22336" w:name="_ETM_Q33_662849"/>
      <w:bookmarkEnd w:id="22336"/>
      <w:r>
        <w:rPr>
          <w:rFonts w:hint="cs"/>
          <w:rtl/>
        </w:rPr>
        <w:t xml:space="preserve">להגיע </w:t>
      </w:r>
      <w:bookmarkStart w:id="22337" w:name="_ETM_Q33_663239"/>
      <w:bookmarkEnd w:id="22337"/>
      <w:r>
        <w:rPr>
          <w:rFonts w:hint="cs"/>
          <w:rtl/>
        </w:rPr>
        <w:t xml:space="preserve">לפשרה. </w:t>
      </w:r>
      <w:bookmarkStart w:id="22338" w:name="_ETM_Q33_664170"/>
      <w:bookmarkEnd w:id="22338"/>
      <w:r>
        <w:rPr>
          <w:rFonts w:hint="cs"/>
          <w:rtl/>
        </w:rPr>
        <w:t xml:space="preserve">כי </w:t>
      </w:r>
      <w:bookmarkStart w:id="22339" w:name="_ETM_Q33_664379"/>
      <w:bookmarkStart w:id="22340" w:name="_ETM_Q33_665590"/>
      <w:bookmarkEnd w:id="22339"/>
      <w:bookmarkEnd w:id="22340"/>
      <w:r>
        <w:rPr>
          <w:rFonts w:hint="cs"/>
          <w:rtl/>
        </w:rPr>
        <w:t xml:space="preserve">המקסימום שלו </w:t>
      </w:r>
      <w:bookmarkStart w:id="22341" w:name="_ETM_Q33_665860"/>
      <w:bookmarkStart w:id="22342" w:name="_ETM_Q33_666569"/>
      <w:bookmarkEnd w:id="22341"/>
      <w:bookmarkEnd w:id="22342"/>
      <w:r>
        <w:rPr>
          <w:rFonts w:hint="cs"/>
          <w:rtl/>
        </w:rPr>
        <w:t xml:space="preserve">והמינימום </w:t>
      </w:r>
      <w:bookmarkStart w:id="22343" w:name="_ETM_Q33_667349"/>
      <w:bookmarkEnd w:id="22343"/>
      <w:r>
        <w:rPr>
          <w:rFonts w:hint="cs"/>
          <w:rtl/>
        </w:rPr>
        <w:t xml:space="preserve">שלנו </w:t>
      </w:r>
      <w:bookmarkStart w:id="22344" w:name="_ETM_Q33_668010"/>
      <w:bookmarkEnd w:id="22344"/>
      <w:r>
        <w:rPr>
          <w:rFonts w:hint="cs"/>
          <w:rtl/>
        </w:rPr>
        <w:t xml:space="preserve">זה </w:t>
      </w:r>
      <w:bookmarkStart w:id="22345" w:name="_ETM_Q33_668250"/>
      <w:bookmarkEnd w:id="22345"/>
      <w:r>
        <w:rPr>
          <w:rFonts w:hint="cs"/>
          <w:rtl/>
        </w:rPr>
        <w:t xml:space="preserve">לא </w:t>
      </w:r>
      <w:bookmarkStart w:id="22346" w:name="_ETM_Q33_668370"/>
      <w:bookmarkEnd w:id="22346"/>
      <w:r>
        <w:rPr>
          <w:rFonts w:hint="cs"/>
          <w:rtl/>
        </w:rPr>
        <w:t xml:space="preserve">אותו דבר, </w:t>
      </w:r>
      <w:bookmarkStart w:id="22347" w:name="_ETM_Q33_669040"/>
      <w:bookmarkEnd w:id="22347"/>
      <w:r>
        <w:rPr>
          <w:rFonts w:hint="cs"/>
          <w:rtl/>
        </w:rPr>
        <w:t xml:space="preserve">זה </w:t>
      </w:r>
      <w:bookmarkStart w:id="22348" w:name="_ETM_Q33_669220"/>
      <w:bookmarkEnd w:id="22348"/>
      <w:r>
        <w:rPr>
          <w:rFonts w:hint="cs"/>
          <w:rtl/>
        </w:rPr>
        <w:t xml:space="preserve">לא </w:t>
      </w:r>
      <w:bookmarkStart w:id="22349" w:name="_ETM_Q33_669640"/>
      <w:bookmarkEnd w:id="22349"/>
      <w:r>
        <w:rPr>
          <w:rFonts w:hint="cs"/>
          <w:rtl/>
        </w:rPr>
        <w:t>נפגש, כי</w:t>
      </w:r>
      <w:bookmarkStart w:id="22350" w:name="_ETM_Q33_670330"/>
      <w:bookmarkEnd w:id="22350"/>
      <w:r>
        <w:rPr>
          <w:rFonts w:hint="cs"/>
          <w:rtl/>
        </w:rPr>
        <w:t xml:space="preserve"> </w:t>
      </w:r>
      <w:bookmarkStart w:id="22351" w:name="_ETM_Q33_670540"/>
      <w:bookmarkEnd w:id="22351"/>
      <w:r>
        <w:rPr>
          <w:rFonts w:hint="cs"/>
          <w:rtl/>
        </w:rPr>
        <w:t xml:space="preserve">לנו </w:t>
      </w:r>
      <w:bookmarkStart w:id="22352" w:name="_ETM_Q33_670900"/>
      <w:bookmarkEnd w:id="22352"/>
      <w:r>
        <w:rPr>
          <w:rFonts w:hint="cs"/>
          <w:rtl/>
        </w:rPr>
        <w:t xml:space="preserve">חשוב </w:t>
      </w:r>
      <w:bookmarkStart w:id="22353" w:name="_ETM_Q33_671380"/>
      <w:bookmarkEnd w:id="22353"/>
      <w:r>
        <w:rPr>
          <w:rFonts w:hint="cs"/>
          <w:rtl/>
        </w:rPr>
        <w:t xml:space="preserve">לשמור </w:t>
      </w:r>
      <w:bookmarkStart w:id="22354" w:name="_ETM_Q33_671830"/>
      <w:bookmarkEnd w:id="22354"/>
      <w:r>
        <w:rPr>
          <w:rFonts w:hint="cs"/>
          <w:rtl/>
        </w:rPr>
        <w:t xml:space="preserve">על </w:t>
      </w:r>
      <w:bookmarkStart w:id="22355" w:name="_ETM_Q33_671920"/>
      <w:bookmarkEnd w:id="22355"/>
      <w:r>
        <w:rPr>
          <w:rFonts w:hint="cs"/>
          <w:rtl/>
        </w:rPr>
        <w:t xml:space="preserve">בית </w:t>
      </w:r>
      <w:bookmarkStart w:id="22356" w:name="_ETM_Q33_672130"/>
      <w:bookmarkEnd w:id="22356"/>
      <w:r>
        <w:rPr>
          <w:rFonts w:hint="cs"/>
          <w:rtl/>
        </w:rPr>
        <w:t xml:space="preserve">המשפט </w:t>
      </w:r>
      <w:bookmarkStart w:id="22357" w:name="_ETM_Q33_672520"/>
      <w:bookmarkEnd w:id="22357"/>
      <w:r>
        <w:rPr>
          <w:rFonts w:hint="cs"/>
          <w:rtl/>
        </w:rPr>
        <w:t xml:space="preserve">עצמאי, </w:t>
      </w:r>
      <w:bookmarkStart w:id="22358" w:name="_ETM_Q33_673450"/>
      <w:bookmarkEnd w:id="22358"/>
      <w:r>
        <w:rPr>
          <w:rFonts w:hint="cs"/>
          <w:rtl/>
        </w:rPr>
        <w:t xml:space="preserve">וזה </w:t>
      </w:r>
      <w:bookmarkStart w:id="22359" w:name="_ETM_Q33_673780"/>
      <w:bookmarkEnd w:id="22359"/>
      <w:r>
        <w:rPr>
          <w:rFonts w:hint="cs"/>
          <w:rtl/>
        </w:rPr>
        <w:t xml:space="preserve">פער </w:t>
      </w:r>
      <w:bookmarkStart w:id="22360" w:name="_ETM_Q33_674380"/>
      <w:bookmarkEnd w:id="22360"/>
      <w:r>
        <w:rPr>
          <w:rFonts w:hint="cs"/>
          <w:rtl/>
        </w:rPr>
        <w:t xml:space="preserve">מהותי </w:t>
      </w:r>
      <w:bookmarkStart w:id="22361" w:name="_ETM_Q33_674920"/>
      <w:bookmarkEnd w:id="22361"/>
      <w:r>
        <w:rPr>
          <w:rFonts w:hint="cs"/>
          <w:rtl/>
        </w:rPr>
        <w:t>ביותר.</w:t>
      </w:r>
    </w:p>
    <w:p w:rsidR="00BB59CD" w:rsidRDefault="00BB59CD" w:rsidP="00BB59CD">
      <w:pPr>
        <w:rPr>
          <w:rtl/>
        </w:rPr>
      </w:pPr>
    </w:p>
    <w:p w:rsidR="00BB59CD" w:rsidRDefault="00BB59CD" w:rsidP="00BB59CD">
      <w:pPr>
        <w:rPr>
          <w:rtl/>
        </w:rPr>
      </w:pPr>
      <w:bookmarkStart w:id="22362" w:name="_ETM_Q33_672000"/>
      <w:bookmarkEnd w:id="22362"/>
      <w:r>
        <w:rPr>
          <w:rFonts w:hint="cs"/>
          <w:rtl/>
        </w:rPr>
        <w:t xml:space="preserve"> </w:t>
      </w:r>
      <w:bookmarkStart w:id="22363" w:name="_ETM_Q33_676000"/>
      <w:bookmarkEnd w:id="22363"/>
      <w:r>
        <w:rPr>
          <w:rFonts w:hint="cs"/>
          <w:rtl/>
        </w:rPr>
        <w:t xml:space="preserve">עכשיו </w:t>
      </w:r>
      <w:bookmarkStart w:id="22364" w:name="_ETM_Q33_676209"/>
      <w:bookmarkEnd w:id="22364"/>
      <w:r>
        <w:rPr>
          <w:rFonts w:hint="cs"/>
          <w:rtl/>
        </w:rPr>
        <w:t xml:space="preserve">תקשיבו, </w:t>
      </w:r>
      <w:bookmarkStart w:id="22365" w:name="_ETM_Q33_676600"/>
      <w:bookmarkEnd w:id="22365"/>
      <w:r>
        <w:rPr>
          <w:rFonts w:hint="cs"/>
          <w:rtl/>
        </w:rPr>
        <w:t xml:space="preserve">לכל </w:t>
      </w:r>
      <w:bookmarkStart w:id="22366" w:name="_ETM_Q33_677110"/>
      <w:bookmarkEnd w:id="22366"/>
      <w:r>
        <w:rPr>
          <w:rFonts w:hint="cs"/>
          <w:rtl/>
        </w:rPr>
        <w:t xml:space="preserve">בן אדם, </w:t>
      </w:r>
      <w:bookmarkStart w:id="22367" w:name="_ETM_Q33_678010"/>
      <w:bookmarkStart w:id="22368" w:name="_ETM_Q33_678700"/>
      <w:bookmarkEnd w:id="22367"/>
      <w:bookmarkEnd w:id="22368"/>
      <w:r>
        <w:rPr>
          <w:rFonts w:hint="cs"/>
          <w:rtl/>
        </w:rPr>
        <w:t xml:space="preserve">בין </w:t>
      </w:r>
      <w:bookmarkStart w:id="22369" w:name="_ETM_Q33_678910"/>
      <w:bookmarkEnd w:id="22369"/>
      <w:r>
        <w:rPr>
          <w:rFonts w:hint="cs"/>
          <w:rtl/>
        </w:rPr>
        <w:t xml:space="preserve">אם </w:t>
      </w:r>
      <w:bookmarkStart w:id="22370" w:name="_ETM_Q33_679030"/>
      <w:bookmarkEnd w:id="22370"/>
      <w:r>
        <w:rPr>
          <w:rFonts w:hint="cs"/>
          <w:rtl/>
        </w:rPr>
        <w:t xml:space="preserve">הוא </w:t>
      </w:r>
      <w:bookmarkStart w:id="22371" w:name="_ETM_Q33_679120"/>
      <w:bookmarkEnd w:id="22371"/>
      <w:r>
        <w:rPr>
          <w:rFonts w:hint="cs"/>
          <w:rtl/>
        </w:rPr>
        <w:t xml:space="preserve">נבחר </w:t>
      </w:r>
      <w:bookmarkStart w:id="22372" w:name="_ETM_Q33_679510"/>
      <w:bookmarkEnd w:id="22372"/>
      <w:r>
        <w:rPr>
          <w:rFonts w:hint="cs"/>
          <w:rtl/>
        </w:rPr>
        <w:t xml:space="preserve">ציבור </w:t>
      </w:r>
      <w:bookmarkStart w:id="22373" w:name="_ETM_Q33_679990"/>
      <w:bookmarkEnd w:id="22373"/>
      <w:r>
        <w:rPr>
          <w:rFonts w:hint="cs"/>
          <w:rtl/>
        </w:rPr>
        <w:t xml:space="preserve">ובין </w:t>
      </w:r>
      <w:bookmarkStart w:id="22374" w:name="_ETM_Q33_680290"/>
      <w:bookmarkEnd w:id="22374"/>
      <w:r>
        <w:rPr>
          <w:rFonts w:hint="cs"/>
          <w:rtl/>
        </w:rPr>
        <w:t xml:space="preserve">אם </w:t>
      </w:r>
      <w:bookmarkStart w:id="22375" w:name="_ETM_Q33_680410"/>
      <w:bookmarkEnd w:id="22375"/>
      <w:r>
        <w:rPr>
          <w:rFonts w:hint="cs"/>
          <w:rtl/>
        </w:rPr>
        <w:t xml:space="preserve">הוא </w:t>
      </w:r>
      <w:bookmarkStart w:id="22376" w:name="_ETM_Q33_680500"/>
      <w:bookmarkEnd w:id="22376"/>
      <w:r>
        <w:rPr>
          <w:rFonts w:hint="cs"/>
          <w:rtl/>
        </w:rPr>
        <w:t xml:space="preserve">פקיד </w:t>
      </w:r>
      <w:bookmarkStart w:id="22377" w:name="_ETM_Q33_680920"/>
      <w:bookmarkEnd w:id="22377"/>
      <w:r>
        <w:rPr>
          <w:rFonts w:hint="cs"/>
          <w:rtl/>
        </w:rPr>
        <w:t xml:space="preserve">ציבור, </w:t>
      </w:r>
      <w:bookmarkStart w:id="22378" w:name="_ETM_Q33_681889"/>
      <w:bookmarkEnd w:id="22378"/>
      <w:r>
        <w:rPr>
          <w:rFonts w:hint="cs"/>
          <w:rtl/>
        </w:rPr>
        <w:t xml:space="preserve">יש </w:t>
      </w:r>
      <w:bookmarkStart w:id="22379" w:name="_ETM_Q33_682170"/>
      <w:bookmarkEnd w:id="22379"/>
      <w:r>
        <w:rPr>
          <w:rFonts w:hint="cs"/>
          <w:rtl/>
        </w:rPr>
        <w:t xml:space="preserve">הסדר </w:t>
      </w:r>
      <w:bookmarkStart w:id="22380" w:name="_ETM_Q33_682440"/>
      <w:bookmarkEnd w:id="22380"/>
      <w:r>
        <w:rPr>
          <w:rFonts w:hint="cs"/>
          <w:rtl/>
        </w:rPr>
        <w:t xml:space="preserve">ניגוד </w:t>
      </w:r>
      <w:bookmarkStart w:id="22381" w:name="_ETM_Q33_682740"/>
      <w:bookmarkEnd w:id="22381"/>
      <w:r>
        <w:rPr>
          <w:rFonts w:hint="cs"/>
          <w:rtl/>
        </w:rPr>
        <w:t xml:space="preserve">עניינים. </w:t>
      </w:r>
      <w:bookmarkStart w:id="22382" w:name="_ETM_Q33_683099"/>
      <w:bookmarkEnd w:id="22382"/>
      <w:r>
        <w:rPr>
          <w:rFonts w:hint="cs"/>
          <w:rtl/>
        </w:rPr>
        <w:t xml:space="preserve">ברגע </w:t>
      </w:r>
      <w:bookmarkStart w:id="22383" w:name="_ETM_Q33_683400"/>
      <w:bookmarkEnd w:id="22383"/>
      <w:r>
        <w:rPr>
          <w:rFonts w:hint="cs"/>
          <w:rtl/>
        </w:rPr>
        <w:t xml:space="preserve">שהוא </w:t>
      </w:r>
      <w:bookmarkStart w:id="22384" w:name="_ETM_Q33_683550"/>
      <w:bookmarkEnd w:id="22384"/>
      <w:r>
        <w:rPr>
          <w:rFonts w:hint="cs"/>
          <w:rtl/>
        </w:rPr>
        <w:t xml:space="preserve">נכנס </w:t>
      </w:r>
      <w:bookmarkStart w:id="22385" w:name="_ETM_Q33_683849"/>
      <w:bookmarkEnd w:id="22385"/>
      <w:r>
        <w:rPr>
          <w:rFonts w:hint="cs"/>
          <w:rtl/>
        </w:rPr>
        <w:t xml:space="preserve">לממשלה, כותבים לו </w:t>
      </w:r>
      <w:bookmarkStart w:id="22386" w:name="_ETM_Q33_684300"/>
      <w:bookmarkStart w:id="22387" w:name="_ETM_Q33_684730"/>
      <w:bookmarkEnd w:id="22386"/>
      <w:bookmarkEnd w:id="22387"/>
      <w:r>
        <w:rPr>
          <w:rFonts w:hint="cs"/>
          <w:rtl/>
        </w:rPr>
        <w:t xml:space="preserve">הסדר </w:t>
      </w:r>
      <w:bookmarkStart w:id="22388" w:name="_ETM_Q33_685000"/>
      <w:bookmarkEnd w:id="22388"/>
      <w:r>
        <w:rPr>
          <w:rFonts w:hint="cs"/>
          <w:rtl/>
        </w:rPr>
        <w:t xml:space="preserve">ניגוד </w:t>
      </w:r>
      <w:bookmarkStart w:id="22389" w:name="_ETM_Q33_685269"/>
      <w:bookmarkEnd w:id="22389"/>
      <w:r>
        <w:rPr>
          <w:rFonts w:hint="cs"/>
          <w:rtl/>
        </w:rPr>
        <w:t xml:space="preserve">עניינים. </w:t>
      </w:r>
      <w:bookmarkStart w:id="22390" w:name="_ETM_Q33_685659"/>
      <w:bookmarkEnd w:id="22390"/>
      <w:r>
        <w:rPr>
          <w:rFonts w:hint="cs"/>
          <w:rtl/>
        </w:rPr>
        <w:t xml:space="preserve">גם </w:t>
      </w:r>
      <w:bookmarkStart w:id="22391" w:name="_ETM_Q33_685870"/>
      <w:bookmarkEnd w:id="22391"/>
      <w:r>
        <w:rPr>
          <w:rFonts w:hint="cs"/>
          <w:rtl/>
        </w:rPr>
        <w:t xml:space="preserve">לי </w:t>
      </w:r>
      <w:bookmarkStart w:id="22392" w:name="_ETM_Q33_686019"/>
      <w:bookmarkEnd w:id="22392"/>
      <w:r>
        <w:rPr>
          <w:rFonts w:hint="cs"/>
          <w:rtl/>
        </w:rPr>
        <w:t xml:space="preserve">היה </w:t>
      </w:r>
      <w:bookmarkStart w:id="22393" w:name="_ETM_Q33_686260"/>
      <w:bookmarkEnd w:id="22393"/>
      <w:r>
        <w:rPr>
          <w:rFonts w:hint="cs"/>
          <w:rtl/>
        </w:rPr>
        <w:t xml:space="preserve">כזה. </w:t>
      </w:r>
      <w:bookmarkStart w:id="22394" w:name="_ETM_Q33_687510"/>
      <w:bookmarkEnd w:id="22394"/>
      <w:r>
        <w:rPr>
          <w:rFonts w:hint="cs"/>
          <w:rtl/>
        </w:rPr>
        <w:t>כשראש</w:t>
      </w:r>
      <w:bookmarkStart w:id="22395" w:name="_ETM_Q33_687819"/>
      <w:bookmarkStart w:id="22396" w:name="_ETM_Q33_687969"/>
      <w:bookmarkEnd w:id="22395"/>
      <w:bookmarkEnd w:id="22396"/>
      <w:r>
        <w:rPr>
          <w:rFonts w:hint="cs"/>
          <w:rtl/>
        </w:rPr>
        <w:t xml:space="preserve"> הממשלה </w:t>
      </w:r>
      <w:bookmarkStart w:id="22397" w:name="_ETM_Q33_688450"/>
      <w:bookmarkEnd w:id="22397"/>
      <w:r>
        <w:rPr>
          <w:rFonts w:hint="cs"/>
          <w:rtl/>
        </w:rPr>
        <w:t xml:space="preserve">נבחר, </w:t>
      </w:r>
      <w:bookmarkStart w:id="22398" w:name="_ETM_Q33_688930"/>
      <w:bookmarkEnd w:id="22398"/>
      <w:r>
        <w:rPr>
          <w:rFonts w:hint="cs"/>
          <w:rtl/>
        </w:rPr>
        <w:t xml:space="preserve">נכתב </w:t>
      </w:r>
      <w:bookmarkStart w:id="22399" w:name="_ETM_Q33_689590"/>
      <w:bookmarkEnd w:id="22399"/>
      <w:r>
        <w:rPr>
          <w:rFonts w:hint="cs"/>
          <w:rtl/>
        </w:rPr>
        <w:t xml:space="preserve">לו </w:t>
      </w:r>
      <w:bookmarkStart w:id="22400" w:name="_ETM_Q33_689769"/>
      <w:bookmarkEnd w:id="22400"/>
      <w:r>
        <w:rPr>
          <w:rFonts w:hint="cs"/>
          <w:rtl/>
        </w:rPr>
        <w:t xml:space="preserve">הסדר </w:t>
      </w:r>
      <w:bookmarkStart w:id="22401" w:name="_ETM_Q33_690099"/>
      <w:bookmarkEnd w:id="22401"/>
      <w:r>
        <w:rPr>
          <w:rFonts w:hint="cs"/>
          <w:rtl/>
        </w:rPr>
        <w:t xml:space="preserve">ניגוד </w:t>
      </w:r>
      <w:bookmarkStart w:id="22402" w:name="_ETM_Q33_690370"/>
      <w:bookmarkEnd w:id="22402"/>
      <w:r>
        <w:rPr>
          <w:rFonts w:hint="cs"/>
          <w:rtl/>
        </w:rPr>
        <w:t xml:space="preserve">עניינים </w:t>
      </w:r>
      <w:bookmarkStart w:id="22403" w:name="_ETM_Q33_690670"/>
      <w:bookmarkEnd w:id="22403"/>
      <w:r>
        <w:rPr>
          <w:rFonts w:hint="cs"/>
          <w:rtl/>
        </w:rPr>
        <w:t xml:space="preserve">רגיש </w:t>
      </w:r>
      <w:bookmarkStart w:id="22404" w:name="_ETM_Q33_691090"/>
      <w:bookmarkEnd w:id="22404"/>
      <w:r>
        <w:rPr>
          <w:rFonts w:hint="cs"/>
          <w:rtl/>
        </w:rPr>
        <w:t xml:space="preserve">במיוחד, </w:t>
      </w:r>
      <w:bookmarkStart w:id="22405" w:name="_ETM_Q33_692080"/>
      <w:bookmarkEnd w:id="22405"/>
      <w:r>
        <w:rPr>
          <w:rFonts w:hint="cs"/>
          <w:rtl/>
        </w:rPr>
        <w:t xml:space="preserve">כיוון </w:t>
      </w:r>
      <w:bookmarkStart w:id="22406" w:name="_ETM_Q33_692379"/>
      <w:bookmarkEnd w:id="22406"/>
      <w:r>
        <w:rPr>
          <w:rFonts w:hint="cs"/>
          <w:rtl/>
        </w:rPr>
        <w:t xml:space="preserve">שיש </w:t>
      </w:r>
      <w:bookmarkStart w:id="22407" w:name="_ETM_Q33_692530"/>
      <w:bookmarkEnd w:id="22407"/>
      <w:r>
        <w:rPr>
          <w:rFonts w:hint="cs"/>
          <w:rtl/>
        </w:rPr>
        <w:t xml:space="preserve">פה </w:t>
      </w:r>
      <w:bookmarkStart w:id="22408" w:name="_ETM_Q33_692650"/>
      <w:bookmarkEnd w:id="22408"/>
      <w:r>
        <w:rPr>
          <w:rFonts w:hint="cs"/>
          <w:rtl/>
        </w:rPr>
        <w:t xml:space="preserve">תקדים </w:t>
      </w:r>
      <w:bookmarkStart w:id="22409" w:name="_ETM_Q33_693610"/>
      <w:bookmarkEnd w:id="22409"/>
      <w:r>
        <w:rPr>
          <w:rFonts w:hint="cs"/>
          <w:rtl/>
        </w:rPr>
        <w:t xml:space="preserve">של </w:t>
      </w:r>
      <w:bookmarkStart w:id="22410" w:name="_ETM_Q33_693819"/>
      <w:bookmarkEnd w:id="22410"/>
      <w:r>
        <w:rPr>
          <w:rFonts w:hint="cs"/>
          <w:rtl/>
        </w:rPr>
        <w:t xml:space="preserve">ראש </w:t>
      </w:r>
      <w:bookmarkStart w:id="22411" w:name="_ETM_Q33_694030"/>
      <w:bookmarkEnd w:id="22411"/>
      <w:r>
        <w:rPr>
          <w:rFonts w:hint="cs"/>
          <w:rtl/>
        </w:rPr>
        <w:t xml:space="preserve">ממשלה </w:t>
      </w:r>
      <w:bookmarkStart w:id="22412" w:name="_ETM_Q33_694510"/>
      <w:bookmarkEnd w:id="22412"/>
      <w:r>
        <w:rPr>
          <w:rFonts w:hint="cs"/>
          <w:rtl/>
        </w:rPr>
        <w:t xml:space="preserve">עם </w:t>
      </w:r>
      <w:bookmarkStart w:id="22413" w:name="_ETM_Q33_694599"/>
      <w:bookmarkEnd w:id="22413"/>
      <w:r>
        <w:rPr>
          <w:rFonts w:hint="cs"/>
          <w:rtl/>
        </w:rPr>
        <w:t xml:space="preserve">כתבי </w:t>
      </w:r>
      <w:bookmarkStart w:id="22414" w:name="_ETM_Q33_694989"/>
      <w:bookmarkEnd w:id="22414"/>
      <w:r>
        <w:rPr>
          <w:rFonts w:hint="cs"/>
          <w:rtl/>
        </w:rPr>
        <w:t xml:space="preserve">אישום. </w:t>
      </w:r>
      <w:bookmarkStart w:id="22415" w:name="_ETM_Q33_696329"/>
      <w:bookmarkStart w:id="22416" w:name="_ETM_Q33_696000"/>
      <w:bookmarkEnd w:id="22415"/>
      <w:bookmarkEnd w:id="22416"/>
      <w:r>
        <w:rPr>
          <w:rFonts w:hint="cs"/>
          <w:rtl/>
        </w:rPr>
        <w:t>עכשיו,</w:t>
      </w:r>
      <w:bookmarkStart w:id="22417" w:name="_ETM_Q33_697769"/>
      <w:bookmarkStart w:id="22418" w:name="_ETM_Q33_698249"/>
      <w:bookmarkEnd w:id="22417"/>
      <w:bookmarkEnd w:id="22418"/>
      <w:r>
        <w:rPr>
          <w:rFonts w:hint="cs"/>
          <w:rtl/>
        </w:rPr>
        <w:t xml:space="preserve"> במקום</w:t>
      </w:r>
      <w:bookmarkStart w:id="22419" w:name="_ETM_Q33_697000"/>
      <w:bookmarkEnd w:id="22419"/>
      <w:r>
        <w:rPr>
          <w:rFonts w:hint="cs"/>
          <w:rtl/>
        </w:rPr>
        <w:t xml:space="preserve"> לבוא ולהילחם </w:t>
      </w:r>
      <w:bookmarkStart w:id="22420" w:name="_ETM_Q33_699209"/>
      <w:bookmarkEnd w:id="22420"/>
      <w:r>
        <w:rPr>
          <w:rFonts w:hint="cs"/>
          <w:rtl/>
        </w:rPr>
        <w:t xml:space="preserve">על </w:t>
      </w:r>
      <w:bookmarkStart w:id="22421" w:name="_ETM_Q33_699299"/>
      <w:bookmarkEnd w:id="22421"/>
      <w:r>
        <w:rPr>
          <w:rFonts w:hint="cs"/>
          <w:rtl/>
        </w:rPr>
        <w:t xml:space="preserve">חפותו </w:t>
      </w:r>
      <w:bookmarkStart w:id="22422" w:name="_ETM_Q33_700200"/>
      <w:bookmarkEnd w:id="22422"/>
      <w:r>
        <w:rPr>
          <w:rFonts w:hint="cs"/>
          <w:rtl/>
        </w:rPr>
        <w:t xml:space="preserve">כמו </w:t>
      </w:r>
      <w:bookmarkStart w:id="22423" w:name="_ETM_Q33_700439"/>
      <w:bookmarkEnd w:id="22423"/>
      <w:r>
        <w:rPr>
          <w:rFonts w:hint="cs"/>
          <w:rtl/>
        </w:rPr>
        <w:t xml:space="preserve">גבר, </w:t>
      </w:r>
      <w:bookmarkStart w:id="22424" w:name="_ETM_Q33_700859"/>
      <w:bookmarkEnd w:id="22424"/>
      <w:r>
        <w:rPr>
          <w:rFonts w:hint="cs"/>
          <w:rtl/>
        </w:rPr>
        <w:t xml:space="preserve">במערכת </w:t>
      </w:r>
      <w:bookmarkStart w:id="22425" w:name="_ETM_Q33_701429"/>
      <w:bookmarkEnd w:id="22425"/>
      <w:r>
        <w:rPr>
          <w:rFonts w:hint="cs"/>
          <w:rtl/>
        </w:rPr>
        <w:t xml:space="preserve">המשפט, להגיד: </w:t>
      </w:r>
      <w:bookmarkStart w:id="22426" w:name="_ETM_Q33_702480"/>
      <w:bookmarkStart w:id="22427" w:name="_ETM_Q33_702959"/>
      <w:bookmarkEnd w:id="22426"/>
      <w:bookmarkEnd w:id="22427"/>
      <w:r>
        <w:rPr>
          <w:rFonts w:hint="cs"/>
          <w:rtl/>
        </w:rPr>
        <w:t xml:space="preserve">פה </w:t>
      </w:r>
      <w:bookmarkStart w:id="22428" w:name="_ETM_Q33_703110"/>
      <w:bookmarkEnd w:id="22428"/>
      <w:r>
        <w:rPr>
          <w:rFonts w:hint="cs"/>
          <w:rtl/>
        </w:rPr>
        <w:t xml:space="preserve">אתם </w:t>
      </w:r>
      <w:bookmarkStart w:id="22429" w:name="_ETM_Q33_703350"/>
      <w:bookmarkEnd w:id="22429"/>
      <w:r>
        <w:rPr>
          <w:rFonts w:hint="cs"/>
          <w:rtl/>
        </w:rPr>
        <w:t xml:space="preserve">טועים – </w:t>
      </w:r>
      <w:bookmarkStart w:id="22430" w:name="_ETM_Q33_703989"/>
      <w:bookmarkEnd w:id="22430"/>
      <w:r>
        <w:rPr>
          <w:rFonts w:hint="cs"/>
          <w:rtl/>
        </w:rPr>
        <w:t xml:space="preserve">ויכול </w:t>
      </w:r>
      <w:bookmarkStart w:id="22431" w:name="_ETM_Q33_704409"/>
      <w:bookmarkEnd w:id="22431"/>
      <w:r>
        <w:rPr>
          <w:rFonts w:hint="cs"/>
          <w:rtl/>
        </w:rPr>
        <w:t xml:space="preserve">להיות </w:t>
      </w:r>
      <w:bookmarkStart w:id="22432" w:name="_ETM_Q33_704559"/>
      <w:bookmarkEnd w:id="22432"/>
      <w:r>
        <w:rPr>
          <w:rFonts w:hint="cs"/>
          <w:rtl/>
        </w:rPr>
        <w:t xml:space="preserve">שהוא </w:t>
      </w:r>
      <w:bookmarkStart w:id="22433" w:name="_ETM_Q33_704679"/>
      <w:bookmarkEnd w:id="22433"/>
      <w:r>
        <w:rPr>
          <w:rFonts w:hint="cs"/>
          <w:rtl/>
        </w:rPr>
        <w:t xml:space="preserve">גם </w:t>
      </w:r>
      <w:bookmarkStart w:id="22434" w:name="_ETM_Q33_704829"/>
      <w:bookmarkEnd w:id="22434"/>
      <w:r>
        <w:rPr>
          <w:rFonts w:hint="cs"/>
          <w:rtl/>
        </w:rPr>
        <w:t xml:space="preserve">יצא </w:t>
      </w:r>
      <w:bookmarkStart w:id="22435" w:name="_ETM_Q33_705040"/>
      <w:bookmarkEnd w:id="22435"/>
      <w:r>
        <w:rPr>
          <w:rFonts w:hint="cs"/>
          <w:rtl/>
        </w:rPr>
        <w:t xml:space="preserve">זכאי, </w:t>
      </w:r>
      <w:bookmarkStart w:id="22436" w:name="_ETM_Q33_705309"/>
      <w:bookmarkEnd w:id="22436"/>
      <w:r>
        <w:rPr>
          <w:rFonts w:hint="cs"/>
          <w:rtl/>
        </w:rPr>
        <w:t xml:space="preserve">אני </w:t>
      </w:r>
      <w:bookmarkStart w:id="22437" w:name="_ETM_Q33_705400"/>
      <w:bookmarkEnd w:id="22437"/>
      <w:r>
        <w:rPr>
          <w:rFonts w:hint="cs"/>
          <w:rtl/>
        </w:rPr>
        <w:t xml:space="preserve">מאחלת </w:t>
      </w:r>
      <w:bookmarkStart w:id="22438" w:name="_ETM_Q33_705939"/>
      <w:bookmarkEnd w:id="22438"/>
      <w:r>
        <w:rPr>
          <w:rFonts w:hint="cs"/>
          <w:rtl/>
        </w:rPr>
        <w:t xml:space="preserve">לו, </w:t>
      </w:r>
      <w:bookmarkStart w:id="22439" w:name="_ETM_Q33_706419"/>
      <w:bookmarkEnd w:id="22439"/>
      <w:r>
        <w:rPr>
          <w:rFonts w:hint="cs"/>
          <w:rtl/>
        </w:rPr>
        <w:t xml:space="preserve">אין </w:t>
      </w:r>
      <w:bookmarkStart w:id="22440" w:name="_ETM_Q33_706599"/>
      <w:bookmarkEnd w:id="22440"/>
      <w:r>
        <w:rPr>
          <w:rFonts w:hint="cs"/>
          <w:rtl/>
        </w:rPr>
        <w:t xml:space="preserve">לי </w:t>
      </w:r>
      <w:bookmarkStart w:id="22441" w:name="_ETM_Q33_706659"/>
      <w:bookmarkEnd w:id="22441"/>
      <w:r>
        <w:rPr>
          <w:rFonts w:hint="cs"/>
          <w:rtl/>
        </w:rPr>
        <w:t xml:space="preserve">שום </w:t>
      </w:r>
      <w:bookmarkStart w:id="22442" w:name="_ETM_Q33_706840"/>
      <w:bookmarkEnd w:id="22442"/>
      <w:r>
        <w:rPr>
          <w:rFonts w:hint="cs"/>
          <w:rtl/>
        </w:rPr>
        <w:t xml:space="preserve">דבר </w:t>
      </w:r>
      <w:bookmarkStart w:id="22443" w:name="_ETM_Q33_707040"/>
      <w:bookmarkEnd w:id="22443"/>
      <w:r>
        <w:rPr>
          <w:rFonts w:hint="cs"/>
          <w:rtl/>
        </w:rPr>
        <w:t xml:space="preserve">אישי נגדו </w:t>
      </w:r>
      <w:bookmarkStart w:id="22444" w:name="_ETM_Q33_703000"/>
      <w:bookmarkEnd w:id="22444"/>
      <w:r>
        <w:rPr>
          <w:rFonts w:hint="cs"/>
          <w:rtl/>
        </w:rPr>
        <w:t xml:space="preserve">– </w:t>
      </w:r>
      <w:bookmarkStart w:id="22445" w:name="_ETM_Q33_707280"/>
      <w:bookmarkStart w:id="22446" w:name="_ETM_Q33_707939"/>
      <w:bookmarkEnd w:id="22445"/>
      <w:bookmarkEnd w:id="22446"/>
      <w:r>
        <w:rPr>
          <w:rFonts w:hint="cs"/>
          <w:rtl/>
        </w:rPr>
        <w:t xml:space="preserve">אבל </w:t>
      </w:r>
      <w:bookmarkStart w:id="22447" w:name="_ETM_Q33_708230"/>
      <w:bookmarkEnd w:id="22447"/>
      <w:r>
        <w:rPr>
          <w:rFonts w:hint="cs"/>
          <w:rtl/>
        </w:rPr>
        <w:t xml:space="preserve">במקום </w:t>
      </w:r>
      <w:bookmarkStart w:id="22448" w:name="_ETM_Q33_708559"/>
      <w:bookmarkEnd w:id="22448"/>
      <w:r>
        <w:rPr>
          <w:rFonts w:hint="cs"/>
          <w:rtl/>
        </w:rPr>
        <w:t xml:space="preserve">לבוא </w:t>
      </w:r>
      <w:bookmarkStart w:id="22449" w:name="_ETM_Q33_708890"/>
      <w:bookmarkEnd w:id="22449"/>
      <w:r>
        <w:rPr>
          <w:rFonts w:hint="cs"/>
          <w:rtl/>
        </w:rPr>
        <w:t xml:space="preserve">ולהתמודד </w:t>
      </w:r>
      <w:bookmarkStart w:id="22450" w:name="_ETM_Q33_709640"/>
      <w:bookmarkEnd w:id="22450"/>
      <w:r>
        <w:rPr>
          <w:rFonts w:hint="cs"/>
          <w:rtl/>
        </w:rPr>
        <w:t xml:space="preserve">ולהילחם </w:t>
      </w:r>
      <w:bookmarkStart w:id="22451" w:name="_ETM_Q33_710239"/>
      <w:bookmarkEnd w:id="22451"/>
      <w:r>
        <w:rPr>
          <w:rFonts w:hint="cs"/>
          <w:rtl/>
        </w:rPr>
        <w:t xml:space="preserve">על </w:t>
      </w:r>
      <w:bookmarkStart w:id="22452" w:name="_ETM_Q33_710330"/>
      <w:bookmarkEnd w:id="22452"/>
      <w:r>
        <w:rPr>
          <w:rFonts w:hint="cs"/>
          <w:rtl/>
        </w:rPr>
        <w:t xml:space="preserve">חפותו, </w:t>
      </w:r>
      <w:bookmarkStart w:id="22453" w:name="_ETM_Q33_711189"/>
      <w:bookmarkEnd w:id="22453"/>
      <w:r>
        <w:rPr>
          <w:rFonts w:hint="cs"/>
          <w:rtl/>
        </w:rPr>
        <w:t xml:space="preserve">הוא בחר </w:t>
      </w:r>
      <w:bookmarkStart w:id="22454" w:name="_ETM_Q33_711670"/>
      <w:bookmarkEnd w:id="22454"/>
      <w:r>
        <w:rPr>
          <w:rFonts w:hint="cs"/>
          <w:rtl/>
        </w:rPr>
        <w:t xml:space="preserve">בדרך </w:t>
      </w:r>
      <w:bookmarkStart w:id="22455" w:name="_ETM_Q33_712120"/>
      <w:bookmarkEnd w:id="22455"/>
      <w:r>
        <w:rPr>
          <w:rFonts w:hint="cs"/>
          <w:rtl/>
        </w:rPr>
        <w:t>הלא</w:t>
      </w:r>
      <w:bookmarkStart w:id="22456" w:name="_ETM_Q33_712390"/>
      <w:bookmarkEnd w:id="22456"/>
      <w:r>
        <w:rPr>
          <w:rFonts w:hint="cs"/>
          <w:rtl/>
        </w:rPr>
        <w:t>-ראויה</w:t>
      </w:r>
      <w:bookmarkStart w:id="22457" w:name="_ETM_Q33_713140"/>
      <w:bookmarkEnd w:id="22457"/>
      <w:r>
        <w:rPr>
          <w:rFonts w:hint="cs"/>
          <w:rtl/>
        </w:rPr>
        <w:t xml:space="preserve">, והיא </w:t>
      </w:r>
      <w:bookmarkStart w:id="22458" w:name="_ETM_Q33_713470"/>
      <w:bookmarkEnd w:id="22458"/>
      <w:r>
        <w:rPr>
          <w:rFonts w:hint="cs"/>
          <w:rtl/>
        </w:rPr>
        <w:t xml:space="preserve">לרסק </w:t>
      </w:r>
      <w:bookmarkStart w:id="22459" w:name="_ETM_Q33_713920"/>
      <w:bookmarkEnd w:id="22459"/>
      <w:r>
        <w:rPr>
          <w:rFonts w:hint="cs"/>
          <w:rtl/>
        </w:rPr>
        <w:t xml:space="preserve">את </w:t>
      </w:r>
      <w:bookmarkStart w:id="22460" w:name="_ETM_Q33_714010"/>
      <w:bookmarkEnd w:id="22460"/>
      <w:r>
        <w:rPr>
          <w:rFonts w:hint="cs"/>
          <w:rtl/>
        </w:rPr>
        <w:t xml:space="preserve">בתי </w:t>
      </w:r>
      <w:bookmarkStart w:id="22461" w:name="_ETM_Q33_714280"/>
      <w:bookmarkEnd w:id="22461"/>
      <w:r>
        <w:rPr>
          <w:rFonts w:hint="cs"/>
          <w:rtl/>
        </w:rPr>
        <w:t xml:space="preserve">המשפט, </w:t>
      </w:r>
      <w:bookmarkStart w:id="22462" w:name="_ETM_Q33_715160"/>
      <w:bookmarkEnd w:id="22462"/>
      <w:r>
        <w:rPr>
          <w:rFonts w:hint="cs"/>
          <w:rtl/>
        </w:rPr>
        <w:t xml:space="preserve">וזה </w:t>
      </w:r>
      <w:bookmarkStart w:id="22463" w:name="_ETM_Q33_715580"/>
      <w:bookmarkEnd w:id="22463"/>
      <w:r>
        <w:rPr>
          <w:rFonts w:hint="cs"/>
          <w:rtl/>
        </w:rPr>
        <w:t xml:space="preserve">לא </w:t>
      </w:r>
      <w:bookmarkStart w:id="22464" w:name="_ETM_Q33_715670"/>
      <w:bookmarkEnd w:id="22464"/>
      <w:r>
        <w:rPr>
          <w:rFonts w:hint="cs"/>
          <w:rtl/>
        </w:rPr>
        <w:t xml:space="preserve">ראוי. </w:t>
      </w:r>
      <w:bookmarkStart w:id="22465" w:name="_ETM_Q33_716370"/>
      <w:bookmarkEnd w:id="22465"/>
    </w:p>
    <w:p w:rsidR="00BB59CD" w:rsidRDefault="00BB59CD" w:rsidP="00BB59CD">
      <w:pPr>
        <w:rPr>
          <w:rtl/>
        </w:rPr>
      </w:pPr>
      <w:bookmarkStart w:id="22466" w:name="_ETM_Q33_720237"/>
      <w:bookmarkStart w:id="22467" w:name="_ETM_Q33_720310"/>
      <w:bookmarkEnd w:id="22466"/>
      <w:bookmarkEnd w:id="22467"/>
    </w:p>
    <w:p w:rsidR="00BB59CD" w:rsidRDefault="00BB59CD" w:rsidP="001C760D">
      <w:pPr>
        <w:rPr>
          <w:rtl/>
        </w:rPr>
      </w:pPr>
      <w:bookmarkStart w:id="22468" w:name="_ETM_Q33_720364"/>
      <w:bookmarkStart w:id="22469" w:name="_ETM_Q33_720464"/>
      <w:bookmarkEnd w:id="22468"/>
      <w:bookmarkEnd w:id="22469"/>
      <w:r>
        <w:rPr>
          <w:rFonts w:hint="cs"/>
          <w:rtl/>
        </w:rPr>
        <w:t xml:space="preserve">עכשיו, יקרו פה אחד מהשניים: </w:t>
      </w:r>
      <w:bookmarkStart w:id="22470" w:name="_ETM_Q33_716819"/>
      <w:bookmarkStart w:id="22471" w:name="_ETM_Q33_716909"/>
      <w:bookmarkStart w:id="22472" w:name="_ETM_Q33_717269"/>
      <w:bookmarkStart w:id="22473" w:name="_ETM_Q33_717540"/>
      <w:bookmarkStart w:id="22474" w:name="_ETM_Q33_719999"/>
      <w:bookmarkStart w:id="22475" w:name="_ETM_Q33_720569"/>
      <w:bookmarkStart w:id="22476" w:name="_ETM_Q33_721079"/>
      <w:bookmarkEnd w:id="22470"/>
      <w:bookmarkEnd w:id="22471"/>
      <w:bookmarkEnd w:id="22472"/>
      <w:bookmarkEnd w:id="22473"/>
      <w:bookmarkEnd w:id="22474"/>
      <w:bookmarkEnd w:id="22475"/>
      <w:bookmarkEnd w:id="22476"/>
      <w:r>
        <w:rPr>
          <w:rFonts w:hint="cs"/>
          <w:rtl/>
        </w:rPr>
        <w:t xml:space="preserve">או </w:t>
      </w:r>
      <w:bookmarkStart w:id="22477" w:name="_ETM_Q33_717000"/>
      <w:bookmarkEnd w:id="22477"/>
      <w:r>
        <w:rPr>
          <w:rFonts w:hint="cs"/>
          <w:rtl/>
        </w:rPr>
        <w:t xml:space="preserve">שכל נבחר ציבור או כל </w:t>
      </w:r>
      <w:bookmarkStart w:id="22478" w:name="_ETM_Q33_721199"/>
      <w:bookmarkStart w:id="22479" w:name="_ETM_Q33_721409"/>
      <w:bookmarkEnd w:id="22478"/>
      <w:bookmarkEnd w:id="22479"/>
      <w:r>
        <w:rPr>
          <w:rFonts w:hint="cs"/>
          <w:rtl/>
        </w:rPr>
        <w:t xml:space="preserve">פקיד </w:t>
      </w:r>
      <w:bookmarkStart w:id="22480" w:name="_ETM_Q33_721739"/>
      <w:bookmarkEnd w:id="22480"/>
      <w:r>
        <w:rPr>
          <w:rFonts w:hint="cs"/>
          <w:rtl/>
        </w:rPr>
        <w:t xml:space="preserve">ציבור </w:t>
      </w:r>
      <w:bookmarkStart w:id="22481" w:name="_ETM_Q33_722040"/>
      <w:bookmarkEnd w:id="22481"/>
      <w:r>
        <w:rPr>
          <w:rFonts w:hint="cs"/>
          <w:rtl/>
        </w:rPr>
        <w:t xml:space="preserve">יגיד: </w:t>
      </w:r>
      <w:bookmarkStart w:id="22482" w:name="_ETM_Q33_722579"/>
      <w:bookmarkEnd w:id="22482"/>
      <w:r>
        <w:rPr>
          <w:rFonts w:hint="cs"/>
          <w:rtl/>
        </w:rPr>
        <w:t xml:space="preserve">אם </w:t>
      </w:r>
      <w:bookmarkStart w:id="22483" w:name="_ETM_Q33_722729"/>
      <w:bookmarkEnd w:id="22483"/>
      <w:r>
        <w:rPr>
          <w:rFonts w:hint="cs"/>
          <w:rtl/>
        </w:rPr>
        <w:t xml:space="preserve">ראש </w:t>
      </w:r>
      <w:bookmarkStart w:id="22484" w:name="_ETM_Q33_722939"/>
      <w:bookmarkEnd w:id="22484"/>
      <w:r>
        <w:rPr>
          <w:rFonts w:hint="cs"/>
          <w:rtl/>
        </w:rPr>
        <w:t xml:space="preserve">הממשלה </w:t>
      </w:r>
      <w:bookmarkStart w:id="22485" w:name="_ETM_Q33_723200"/>
      <w:bookmarkStart w:id="22486" w:name="_ETM_Q33_723470"/>
      <w:bookmarkEnd w:id="22485"/>
      <w:bookmarkEnd w:id="22486"/>
      <w:r>
        <w:rPr>
          <w:rFonts w:hint="cs"/>
          <w:rtl/>
        </w:rPr>
        <w:t xml:space="preserve">לא </w:t>
      </w:r>
      <w:bookmarkStart w:id="22487" w:name="_ETM_Q33_723559"/>
      <w:bookmarkEnd w:id="22487"/>
      <w:r>
        <w:rPr>
          <w:rFonts w:hint="cs"/>
          <w:rtl/>
        </w:rPr>
        <w:t xml:space="preserve">מכבד </w:t>
      </w:r>
      <w:bookmarkStart w:id="22488" w:name="_ETM_Q33_723980"/>
      <w:bookmarkEnd w:id="22488"/>
      <w:r>
        <w:rPr>
          <w:rFonts w:hint="cs"/>
          <w:rtl/>
        </w:rPr>
        <w:t xml:space="preserve">את </w:t>
      </w:r>
      <w:bookmarkStart w:id="22489" w:name="_ETM_Q33_724099"/>
      <w:bookmarkEnd w:id="22489"/>
      <w:r>
        <w:rPr>
          <w:rFonts w:hint="cs"/>
          <w:rtl/>
        </w:rPr>
        <w:t xml:space="preserve">הסדר </w:t>
      </w:r>
      <w:bookmarkStart w:id="22490" w:name="_ETM_Q33_724429"/>
      <w:bookmarkEnd w:id="22490"/>
      <w:r>
        <w:rPr>
          <w:rFonts w:hint="cs"/>
          <w:rtl/>
        </w:rPr>
        <w:t xml:space="preserve">ניגוד </w:t>
      </w:r>
      <w:bookmarkStart w:id="22491" w:name="_ETM_Q33_724730"/>
      <w:bookmarkEnd w:id="22491"/>
      <w:r>
        <w:rPr>
          <w:rFonts w:hint="cs"/>
          <w:rtl/>
        </w:rPr>
        <w:t xml:space="preserve">העניינים </w:t>
      </w:r>
      <w:bookmarkStart w:id="22492" w:name="_ETM_Q33_725090"/>
      <w:bookmarkEnd w:id="22492"/>
      <w:r>
        <w:rPr>
          <w:rFonts w:hint="cs"/>
          <w:rtl/>
        </w:rPr>
        <w:t xml:space="preserve">שלו, </w:t>
      </w:r>
      <w:bookmarkStart w:id="22493" w:name="_ETM_Q33_725780"/>
      <w:bookmarkEnd w:id="22493"/>
      <w:r>
        <w:rPr>
          <w:rFonts w:hint="cs"/>
          <w:rtl/>
        </w:rPr>
        <w:t xml:space="preserve">אז </w:t>
      </w:r>
      <w:bookmarkStart w:id="22494" w:name="_ETM_Q33_725989"/>
      <w:bookmarkEnd w:id="22494"/>
      <w:r>
        <w:rPr>
          <w:rFonts w:hint="cs"/>
          <w:rtl/>
        </w:rPr>
        <w:t xml:space="preserve">למה </w:t>
      </w:r>
      <w:bookmarkStart w:id="22495" w:name="_ETM_Q33_726230"/>
      <w:bookmarkEnd w:id="22495"/>
      <w:r>
        <w:rPr>
          <w:rFonts w:hint="cs"/>
          <w:rtl/>
        </w:rPr>
        <w:t xml:space="preserve">שאני </w:t>
      </w:r>
      <w:bookmarkStart w:id="22496" w:name="_ETM_Q33_726510"/>
      <w:bookmarkEnd w:id="22496"/>
      <w:r>
        <w:rPr>
          <w:rFonts w:hint="cs"/>
          <w:rtl/>
        </w:rPr>
        <w:t xml:space="preserve">אכבד </w:t>
      </w:r>
      <w:bookmarkStart w:id="22497" w:name="_ETM_Q33_726809"/>
      <w:bookmarkEnd w:id="22497"/>
      <w:r>
        <w:rPr>
          <w:rFonts w:hint="cs"/>
          <w:rtl/>
        </w:rPr>
        <w:t xml:space="preserve">את </w:t>
      </w:r>
      <w:bookmarkStart w:id="22498" w:name="_ETM_Q33_726929"/>
      <w:bookmarkEnd w:id="22498"/>
      <w:r>
        <w:rPr>
          <w:rFonts w:hint="cs"/>
          <w:rtl/>
        </w:rPr>
        <w:t xml:space="preserve">הסדר </w:t>
      </w:r>
      <w:bookmarkStart w:id="22499" w:name="_ETM_Q33_727260"/>
      <w:bookmarkEnd w:id="22499"/>
      <w:r>
        <w:rPr>
          <w:rFonts w:hint="cs"/>
          <w:rtl/>
        </w:rPr>
        <w:t xml:space="preserve">ניגוד </w:t>
      </w:r>
      <w:bookmarkStart w:id="22500" w:name="_ETM_Q33_727559"/>
      <w:bookmarkEnd w:id="22500"/>
      <w:r>
        <w:rPr>
          <w:rFonts w:hint="cs"/>
          <w:rtl/>
        </w:rPr>
        <w:t xml:space="preserve">העניינים </w:t>
      </w:r>
      <w:bookmarkStart w:id="22501" w:name="_ETM_Q33_727950"/>
      <w:bookmarkEnd w:id="22501"/>
      <w:r>
        <w:rPr>
          <w:rFonts w:hint="cs"/>
          <w:rtl/>
        </w:rPr>
        <w:t xml:space="preserve">שלי? </w:t>
      </w:r>
      <w:bookmarkStart w:id="22502" w:name="_ETM_Q33_728520"/>
      <w:bookmarkEnd w:id="22502"/>
      <w:r>
        <w:rPr>
          <w:rFonts w:hint="cs"/>
          <w:rtl/>
        </w:rPr>
        <w:t xml:space="preserve">ואז </w:t>
      </w:r>
      <w:bookmarkStart w:id="22503" w:name="_ETM_Q33_728850"/>
      <w:bookmarkEnd w:id="22503"/>
      <w:r>
        <w:rPr>
          <w:rFonts w:hint="cs"/>
          <w:rtl/>
        </w:rPr>
        <w:t xml:space="preserve">זה פתח </w:t>
      </w:r>
      <w:bookmarkStart w:id="22504" w:name="_ETM_Q33_729330"/>
      <w:bookmarkEnd w:id="22504"/>
      <w:r>
        <w:rPr>
          <w:rFonts w:hint="cs"/>
          <w:rtl/>
        </w:rPr>
        <w:t xml:space="preserve">אדיר </w:t>
      </w:r>
      <w:bookmarkStart w:id="22505" w:name="_ETM_Q33_729599"/>
      <w:bookmarkStart w:id="22506" w:name="_ETM_Q33_729959"/>
      <w:bookmarkEnd w:id="22505"/>
      <w:bookmarkEnd w:id="22506"/>
      <w:r>
        <w:rPr>
          <w:rFonts w:hint="cs"/>
          <w:rtl/>
        </w:rPr>
        <w:t xml:space="preserve">לשחיתות, </w:t>
      </w:r>
      <w:bookmarkStart w:id="22507" w:name="_ETM_Q33_730650"/>
      <w:bookmarkEnd w:id="22507"/>
      <w:r>
        <w:rPr>
          <w:rFonts w:hint="cs"/>
          <w:rtl/>
        </w:rPr>
        <w:t xml:space="preserve">כי </w:t>
      </w:r>
      <w:bookmarkStart w:id="22508" w:name="_ETM_Q33_730769"/>
      <w:bookmarkEnd w:id="22508"/>
      <w:r>
        <w:rPr>
          <w:rFonts w:hint="cs"/>
          <w:rtl/>
        </w:rPr>
        <w:t>כל אחד</w:t>
      </w:r>
      <w:bookmarkStart w:id="22509" w:name="_ETM_Q33_731010"/>
      <w:bookmarkEnd w:id="22509"/>
      <w:r>
        <w:rPr>
          <w:rFonts w:hint="cs"/>
          <w:rtl/>
        </w:rPr>
        <w:t xml:space="preserve"> </w:t>
      </w:r>
      <w:bookmarkStart w:id="22510" w:name="_ETM_Q33_731700"/>
      <w:bookmarkEnd w:id="22510"/>
      <w:r>
        <w:rPr>
          <w:rFonts w:hint="cs"/>
          <w:rtl/>
        </w:rPr>
        <w:t xml:space="preserve">יוכל </w:t>
      </w:r>
      <w:bookmarkStart w:id="22511" w:name="_ETM_Q33_732029"/>
      <w:bookmarkEnd w:id="22511"/>
      <w:r>
        <w:rPr>
          <w:rFonts w:hint="cs"/>
          <w:rtl/>
        </w:rPr>
        <w:t xml:space="preserve">למנות </w:t>
      </w:r>
      <w:bookmarkStart w:id="22512" w:name="_ETM_Q33_733140"/>
      <w:bookmarkEnd w:id="22512"/>
      <w:r>
        <w:rPr>
          <w:rFonts w:hint="cs"/>
          <w:rtl/>
        </w:rPr>
        <w:t xml:space="preserve">או </w:t>
      </w:r>
      <w:bookmarkStart w:id="22513" w:name="_ETM_Q33_733620"/>
      <w:bookmarkEnd w:id="22513"/>
      <w:r>
        <w:rPr>
          <w:rFonts w:hint="cs"/>
          <w:rtl/>
        </w:rPr>
        <w:t xml:space="preserve">לחלק </w:t>
      </w:r>
      <w:bookmarkStart w:id="22514" w:name="_ETM_Q33_734010"/>
      <w:bookmarkEnd w:id="22514"/>
      <w:r>
        <w:rPr>
          <w:rFonts w:hint="cs"/>
          <w:rtl/>
        </w:rPr>
        <w:t xml:space="preserve">כספים </w:t>
      </w:r>
      <w:bookmarkStart w:id="22515" w:name="_ETM_Q33_734429"/>
      <w:bookmarkEnd w:id="22515"/>
      <w:r>
        <w:rPr>
          <w:rFonts w:hint="cs"/>
          <w:rtl/>
        </w:rPr>
        <w:t xml:space="preserve">למי </w:t>
      </w:r>
      <w:bookmarkStart w:id="22516" w:name="_ETM_Q33_734610"/>
      <w:bookmarkEnd w:id="22516"/>
      <w:r>
        <w:rPr>
          <w:rFonts w:hint="cs"/>
          <w:rtl/>
        </w:rPr>
        <w:t xml:space="preserve">שהוא </w:t>
      </w:r>
      <w:bookmarkStart w:id="22517" w:name="_ETM_Q33_734730"/>
      <w:bookmarkEnd w:id="22517"/>
      <w:r>
        <w:rPr>
          <w:rFonts w:hint="cs"/>
          <w:rtl/>
        </w:rPr>
        <w:t xml:space="preserve">מוצא </w:t>
      </w:r>
      <w:bookmarkStart w:id="22518" w:name="_ETM_Q33_735000"/>
      <w:bookmarkEnd w:id="22518"/>
      <w:r>
        <w:rPr>
          <w:rFonts w:hint="cs"/>
          <w:rtl/>
        </w:rPr>
        <w:t xml:space="preserve">לנכון, </w:t>
      </w:r>
      <w:bookmarkStart w:id="22519" w:name="_ETM_Q33_735920"/>
      <w:bookmarkEnd w:id="22519"/>
      <w:r>
        <w:rPr>
          <w:rFonts w:hint="cs"/>
          <w:rtl/>
        </w:rPr>
        <w:t xml:space="preserve">ללא </w:t>
      </w:r>
      <w:bookmarkStart w:id="22520" w:name="_ETM_Q33_736250"/>
      <w:bookmarkEnd w:id="22520"/>
      <w:r>
        <w:rPr>
          <w:rFonts w:hint="cs"/>
          <w:rtl/>
        </w:rPr>
        <w:t xml:space="preserve">כחל </w:t>
      </w:r>
      <w:bookmarkStart w:id="22521" w:name="_ETM_Q33_736550"/>
      <w:bookmarkEnd w:id="22521"/>
      <w:r>
        <w:rPr>
          <w:rFonts w:hint="cs"/>
          <w:rtl/>
        </w:rPr>
        <w:t xml:space="preserve">ושרק. </w:t>
      </w:r>
      <w:bookmarkStart w:id="22522" w:name="_ETM_Q33_737830"/>
      <w:bookmarkEnd w:id="22522"/>
      <w:r>
        <w:rPr>
          <w:rFonts w:hint="cs"/>
          <w:rtl/>
        </w:rPr>
        <w:t xml:space="preserve">או </w:t>
      </w:r>
      <w:bookmarkStart w:id="22523" w:name="_ETM_Q33_738159"/>
      <w:bookmarkStart w:id="22524" w:name="_ETM_Q33_747100"/>
      <w:bookmarkStart w:id="22525" w:name="_ETM_Q33_747216"/>
      <w:bookmarkEnd w:id="22523"/>
      <w:r>
        <w:rPr>
          <w:rFonts w:hint="cs"/>
          <w:rtl/>
        </w:rPr>
        <w:t>לחלו</w:t>
      </w:r>
      <w:bookmarkEnd w:id="22524"/>
      <w:bookmarkEnd w:id="22525"/>
      <w:r>
        <w:rPr>
          <w:rFonts w:hint="cs"/>
          <w:rtl/>
        </w:rPr>
        <w:t xml:space="preserve">פין </w:t>
      </w:r>
      <w:bookmarkStart w:id="22526" w:name="_ETM_Q33_738729"/>
      <w:bookmarkEnd w:id="22526"/>
      <w:r>
        <w:rPr>
          <w:rFonts w:hint="cs"/>
          <w:rtl/>
        </w:rPr>
        <w:t xml:space="preserve">– רק </w:t>
      </w:r>
      <w:bookmarkStart w:id="22527" w:name="_ETM_Q33_739210"/>
      <w:bookmarkEnd w:id="22527"/>
      <w:r>
        <w:rPr>
          <w:rFonts w:hint="cs"/>
          <w:rtl/>
        </w:rPr>
        <w:t xml:space="preserve">לראש </w:t>
      </w:r>
      <w:bookmarkStart w:id="22528" w:name="_ETM_Q33_739509"/>
      <w:bookmarkEnd w:id="22528"/>
      <w:r>
        <w:rPr>
          <w:rFonts w:hint="cs"/>
          <w:rtl/>
        </w:rPr>
        <w:t xml:space="preserve">הממשלה </w:t>
      </w:r>
      <w:bookmarkStart w:id="22529" w:name="_ETM_Q33_739990"/>
      <w:bookmarkEnd w:id="22529"/>
      <w:r>
        <w:rPr>
          <w:rFonts w:hint="cs"/>
          <w:rtl/>
        </w:rPr>
        <w:t xml:space="preserve">יש </w:t>
      </w:r>
      <w:bookmarkStart w:id="22530" w:name="_ETM_Q33_740229"/>
      <w:bookmarkEnd w:id="22530"/>
      <w:r>
        <w:rPr>
          <w:rFonts w:hint="cs"/>
          <w:rtl/>
        </w:rPr>
        <w:t xml:space="preserve">את </w:t>
      </w:r>
      <w:bookmarkStart w:id="22531" w:name="_ETM_Q33_740289"/>
      <w:bookmarkEnd w:id="22531"/>
      <w:r>
        <w:rPr>
          <w:rFonts w:hint="cs"/>
          <w:rtl/>
        </w:rPr>
        <w:t xml:space="preserve">הזכות </w:t>
      </w:r>
      <w:bookmarkStart w:id="22532" w:name="_ETM_Q33_740620"/>
      <w:bookmarkEnd w:id="22532"/>
      <w:r>
        <w:rPr>
          <w:rFonts w:hint="cs"/>
          <w:rtl/>
        </w:rPr>
        <w:t>לעבור</w:t>
      </w:r>
      <w:bookmarkStart w:id="22533" w:name="_ETM_Q33_740850"/>
      <w:bookmarkEnd w:id="22533"/>
      <w:r>
        <w:rPr>
          <w:rFonts w:hint="cs"/>
          <w:rtl/>
        </w:rPr>
        <w:t xml:space="preserve"> על </w:t>
      </w:r>
      <w:bookmarkStart w:id="22534" w:name="_ETM_Q33_741030"/>
      <w:bookmarkEnd w:id="22534"/>
      <w:r>
        <w:rPr>
          <w:rFonts w:hint="cs"/>
          <w:rtl/>
        </w:rPr>
        <w:t xml:space="preserve">החוק </w:t>
      </w:r>
      <w:bookmarkStart w:id="22535" w:name="_ETM_Q33_741360"/>
      <w:bookmarkEnd w:id="22535"/>
      <w:r>
        <w:rPr>
          <w:rFonts w:hint="cs"/>
          <w:rtl/>
        </w:rPr>
        <w:t xml:space="preserve">ולא </w:t>
      </w:r>
      <w:bookmarkStart w:id="22536" w:name="_ETM_Q33_741570"/>
      <w:bookmarkEnd w:id="22536"/>
      <w:r>
        <w:rPr>
          <w:rFonts w:hint="cs"/>
          <w:rtl/>
        </w:rPr>
        <w:t xml:space="preserve">לכבד </w:t>
      </w:r>
      <w:bookmarkStart w:id="22537" w:name="_ETM_Q33_742020"/>
      <w:bookmarkEnd w:id="22537"/>
      <w:r>
        <w:rPr>
          <w:rFonts w:hint="cs"/>
          <w:rtl/>
        </w:rPr>
        <w:t xml:space="preserve">את </w:t>
      </w:r>
      <w:bookmarkStart w:id="22538" w:name="_ETM_Q33_742140"/>
      <w:bookmarkEnd w:id="22538"/>
      <w:r>
        <w:rPr>
          <w:rFonts w:hint="cs"/>
          <w:rtl/>
        </w:rPr>
        <w:t xml:space="preserve">הסדר </w:t>
      </w:r>
      <w:bookmarkStart w:id="22539" w:name="_ETM_Q33_742389"/>
      <w:bookmarkEnd w:id="22539"/>
      <w:r>
        <w:rPr>
          <w:rFonts w:hint="cs"/>
          <w:rtl/>
        </w:rPr>
        <w:t xml:space="preserve">ניגוד </w:t>
      </w:r>
      <w:bookmarkStart w:id="22540" w:name="_ETM_Q33_742780"/>
      <w:bookmarkEnd w:id="22540"/>
      <w:r>
        <w:rPr>
          <w:rFonts w:hint="cs"/>
          <w:rtl/>
        </w:rPr>
        <w:t xml:space="preserve">העניינים </w:t>
      </w:r>
      <w:bookmarkStart w:id="22541" w:name="_ETM_Q33_743139"/>
      <w:bookmarkEnd w:id="22541"/>
      <w:r>
        <w:rPr>
          <w:rFonts w:hint="cs"/>
          <w:rtl/>
        </w:rPr>
        <w:t xml:space="preserve">שלו. </w:t>
      </w:r>
      <w:bookmarkStart w:id="22542" w:name="_ETM_Q33_744040"/>
      <w:bookmarkEnd w:id="22542"/>
      <w:r>
        <w:rPr>
          <w:rFonts w:hint="cs"/>
          <w:rtl/>
        </w:rPr>
        <w:t xml:space="preserve">ואז </w:t>
      </w:r>
      <w:bookmarkStart w:id="22543" w:name="_ETM_Q33_744370"/>
      <w:bookmarkEnd w:id="22543"/>
      <w:r>
        <w:rPr>
          <w:rFonts w:hint="cs"/>
          <w:rtl/>
        </w:rPr>
        <w:t xml:space="preserve">הוא </w:t>
      </w:r>
      <w:bookmarkStart w:id="22544" w:name="_ETM_Q33_744460"/>
      <w:bookmarkEnd w:id="22544"/>
      <w:r>
        <w:rPr>
          <w:rFonts w:hint="cs"/>
          <w:rtl/>
        </w:rPr>
        <w:t>מלך</w:t>
      </w:r>
      <w:r w:rsidR="001C760D">
        <w:rPr>
          <w:rFonts w:hint="cs"/>
          <w:rtl/>
        </w:rPr>
        <w:t>,</w:t>
      </w:r>
      <w:r>
        <w:rPr>
          <w:rFonts w:hint="cs"/>
          <w:rtl/>
        </w:rPr>
        <w:t xml:space="preserve"> </w:t>
      </w:r>
      <w:bookmarkStart w:id="22545" w:name="_ETM_Q33_745389"/>
      <w:bookmarkEnd w:id="22545"/>
      <w:r>
        <w:rPr>
          <w:rFonts w:hint="cs"/>
          <w:rtl/>
        </w:rPr>
        <w:t xml:space="preserve">ואז </w:t>
      </w:r>
      <w:bookmarkStart w:id="22546" w:name="_ETM_Q33_745689"/>
      <w:bookmarkEnd w:id="22546"/>
      <w:r>
        <w:rPr>
          <w:rFonts w:hint="cs"/>
          <w:rtl/>
        </w:rPr>
        <w:t xml:space="preserve">זה </w:t>
      </w:r>
      <w:bookmarkStart w:id="22547" w:name="_ETM_Q33_745779"/>
      <w:bookmarkEnd w:id="22547"/>
      <w:r>
        <w:rPr>
          <w:rFonts w:hint="cs"/>
          <w:rtl/>
        </w:rPr>
        <w:t xml:space="preserve">לא </w:t>
      </w:r>
      <w:bookmarkStart w:id="22548" w:name="_ETM_Q33_745900"/>
      <w:bookmarkEnd w:id="22548"/>
      <w:r>
        <w:rPr>
          <w:rFonts w:hint="cs"/>
          <w:rtl/>
        </w:rPr>
        <w:t>דמוקרטיה</w:t>
      </w:r>
      <w:bookmarkStart w:id="22549" w:name="_ETM_Q33_747270"/>
      <w:bookmarkEnd w:id="22549"/>
      <w:r w:rsidR="001C760D">
        <w:rPr>
          <w:rFonts w:hint="cs"/>
          <w:rtl/>
        </w:rPr>
        <w:t xml:space="preserve">, </w:t>
      </w:r>
      <w:r>
        <w:rPr>
          <w:rFonts w:hint="cs"/>
          <w:rtl/>
        </w:rPr>
        <w:t xml:space="preserve">וזו </w:t>
      </w:r>
      <w:bookmarkStart w:id="22550" w:name="_ETM_Q33_747569"/>
      <w:bookmarkEnd w:id="22550"/>
      <w:r>
        <w:rPr>
          <w:rFonts w:hint="cs"/>
          <w:rtl/>
        </w:rPr>
        <w:t xml:space="preserve">בעיה </w:t>
      </w:r>
      <w:bookmarkStart w:id="22551" w:name="_ETM_Q33_747870"/>
      <w:bookmarkEnd w:id="22551"/>
      <w:r>
        <w:rPr>
          <w:rFonts w:hint="cs"/>
          <w:rtl/>
        </w:rPr>
        <w:t xml:space="preserve">גדולה, </w:t>
      </w:r>
      <w:bookmarkStart w:id="22552" w:name="_ETM_Q33_748199"/>
      <w:bookmarkEnd w:id="22552"/>
      <w:r>
        <w:rPr>
          <w:rFonts w:hint="cs"/>
          <w:rtl/>
        </w:rPr>
        <w:t xml:space="preserve">שצריכה </w:t>
      </w:r>
      <w:bookmarkStart w:id="22553" w:name="_ETM_Q33_748679"/>
      <w:bookmarkEnd w:id="22553"/>
      <w:r>
        <w:rPr>
          <w:rFonts w:hint="cs"/>
          <w:rtl/>
        </w:rPr>
        <w:t xml:space="preserve">להטריד </w:t>
      </w:r>
      <w:bookmarkStart w:id="22554" w:name="_ETM_Q33_749099"/>
      <w:bookmarkEnd w:id="22554"/>
      <w:r>
        <w:rPr>
          <w:rFonts w:hint="cs"/>
          <w:rtl/>
        </w:rPr>
        <w:t xml:space="preserve">את </w:t>
      </w:r>
      <w:bookmarkStart w:id="22555" w:name="_ETM_Q33_749250"/>
      <w:bookmarkEnd w:id="22555"/>
      <w:r>
        <w:rPr>
          <w:rFonts w:hint="cs"/>
          <w:rtl/>
        </w:rPr>
        <w:t xml:space="preserve">כולם. </w:t>
      </w:r>
      <w:bookmarkStart w:id="22556" w:name="_ETM_Q33_751179"/>
      <w:bookmarkStart w:id="22557" w:name="_ETM_Q33_751900"/>
      <w:bookmarkEnd w:id="22556"/>
      <w:bookmarkEnd w:id="22557"/>
      <w:r>
        <w:rPr>
          <w:rFonts w:hint="cs"/>
          <w:rtl/>
        </w:rPr>
        <w:t xml:space="preserve">היה </w:t>
      </w:r>
      <w:bookmarkStart w:id="22558" w:name="_ETM_Q33_752110"/>
      <w:bookmarkEnd w:id="22558"/>
      <w:r>
        <w:rPr>
          <w:rFonts w:hint="cs"/>
          <w:rtl/>
        </w:rPr>
        <w:t xml:space="preserve">ראוי שראש </w:t>
      </w:r>
      <w:bookmarkStart w:id="22559" w:name="_ETM_Q33_747000"/>
      <w:bookmarkEnd w:id="22559"/>
      <w:r>
        <w:rPr>
          <w:rFonts w:hint="cs"/>
          <w:rtl/>
        </w:rPr>
        <w:t xml:space="preserve">הממשלה </w:t>
      </w:r>
      <w:bookmarkStart w:id="22560" w:name="_ETM_Q33_752559"/>
      <w:bookmarkEnd w:id="22560"/>
      <w:r>
        <w:rPr>
          <w:rFonts w:hint="cs"/>
          <w:rtl/>
        </w:rPr>
        <w:t xml:space="preserve">יתעסק </w:t>
      </w:r>
      <w:bookmarkStart w:id="22561" w:name="_ETM_Q33_753130"/>
      <w:bookmarkEnd w:id="22561"/>
      <w:r>
        <w:rPr>
          <w:rFonts w:hint="cs"/>
          <w:rtl/>
        </w:rPr>
        <w:t xml:space="preserve">בסוגיות </w:t>
      </w:r>
      <w:bookmarkStart w:id="22562" w:name="_ETM_Q33_754030"/>
      <w:bookmarkEnd w:id="22562"/>
      <w:r>
        <w:rPr>
          <w:rFonts w:hint="cs"/>
          <w:rtl/>
        </w:rPr>
        <w:t xml:space="preserve">שבאמת </w:t>
      </w:r>
      <w:bookmarkStart w:id="22563" w:name="_ETM_Q33_754600"/>
      <w:bookmarkEnd w:id="22563"/>
      <w:r>
        <w:rPr>
          <w:rFonts w:hint="cs"/>
          <w:rtl/>
        </w:rPr>
        <w:t xml:space="preserve">מטרידות </w:t>
      </w:r>
      <w:bookmarkStart w:id="22564" w:name="_ETM_Q33_755050"/>
      <w:bookmarkEnd w:id="22564"/>
      <w:r>
        <w:rPr>
          <w:rFonts w:hint="cs"/>
          <w:rtl/>
        </w:rPr>
        <w:t xml:space="preserve">את </w:t>
      </w:r>
      <w:bookmarkStart w:id="22565" w:name="_ETM_Q33_755200"/>
      <w:bookmarkEnd w:id="22565"/>
      <w:r>
        <w:rPr>
          <w:rFonts w:hint="cs"/>
          <w:rtl/>
        </w:rPr>
        <w:t xml:space="preserve">הציבור </w:t>
      </w:r>
      <w:bookmarkStart w:id="22566" w:name="_ETM_Q33_756389"/>
      <w:bookmarkEnd w:id="22566"/>
      <w:r>
        <w:rPr>
          <w:rFonts w:hint="cs"/>
          <w:rtl/>
        </w:rPr>
        <w:t xml:space="preserve">ולא </w:t>
      </w:r>
      <w:bookmarkStart w:id="22567" w:name="_ETM_Q33_757050"/>
      <w:bookmarkEnd w:id="22567"/>
      <w:r>
        <w:rPr>
          <w:rFonts w:hint="cs"/>
          <w:rtl/>
        </w:rPr>
        <w:t xml:space="preserve">דווקא </w:t>
      </w:r>
      <w:bookmarkStart w:id="22568" w:name="_ETM_Q33_757710"/>
      <w:bookmarkEnd w:id="22568"/>
      <w:r>
        <w:rPr>
          <w:rFonts w:hint="cs"/>
          <w:rtl/>
        </w:rPr>
        <w:t xml:space="preserve">בסוגיה </w:t>
      </w:r>
      <w:bookmarkStart w:id="22569" w:name="_ETM_Q33_758250"/>
      <w:bookmarkEnd w:id="22569"/>
      <w:r>
        <w:rPr>
          <w:rFonts w:hint="cs"/>
          <w:rtl/>
        </w:rPr>
        <w:t xml:space="preserve">שבה </w:t>
      </w:r>
      <w:bookmarkStart w:id="22570" w:name="_ETM_Q33_758639"/>
      <w:bookmarkEnd w:id="22570"/>
      <w:r>
        <w:rPr>
          <w:rFonts w:hint="cs"/>
          <w:rtl/>
        </w:rPr>
        <w:t xml:space="preserve">הוא </w:t>
      </w:r>
      <w:bookmarkStart w:id="22571" w:name="_ETM_Q33_758730"/>
      <w:bookmarkEnd w:id="22571"/>
      <w:r>
        <w:rPr>
          <w:rFonts w:hint="cs"/>
          <w:rtl/>
        </w:rPr>
        <w:t xml:space="preserve">מצוי </w:t>
      </w:r>
      <w:bookmarkStart w:id="22572" w:name="_ETM_Q33_759059"/>
      <w:bookmarkEnd w:id="22572"/>
      <w:r>
        <w:rPr>
          <w:rFonts w:hint="cs"/>
          <w:rtl/>
        </w:rPr>
        <w:t xml:space="preserve">בניגוד </w:t>
      </w:r>
      <w:bookmarkStart w:id="22573" w:name="_ETM_Q33_759600"/>
      <w:bookmarkEnd w:id="22573"/>
      <w:r>
        <w:rPr>
          <w:rFonts w:hint="cs"/>
          <w:rtl/>
        </w:rPr>
        <w:t xml:space="preserve">עניינים </w:t>
      </w:r>
      <w:bookmarkStart w:id="22574" w:name="_ETM_Q33_760050"/>
      <w:bookmarkEnd w:id="22574"/>
      <w:r>
        <w:rPr>
          <w:rFonts w:hint="cs"/>
          <w:rtl/>
        </w:rPr>
        <w:t>עמוק.</w:t>
      </w:r>
    </w:p>
    <w:p w:rsidR="00BB59CD" w:rsidRDefault="00BB59CD" w:rsidP="00BB59CD">
      <w:pPr>
        <w:rPr>
          <w:rtl/>
        </w:rPr>
      </w:pPr>
    </w:p>
    <w:p w:rsidR="00BB59CD" w:rsidRDefault="00BB59CD" w:rsidP="001C760D">
      <w:pPr>
        <w:rPr>
          <w:rtl/>
        </w:rPr>
      </w:pPr>
      <w:bookmarkStart w:id="22575" w:name="TOR_Q34"/>
      <w:bookmarkEnd w:id="22575"/>
      <w:r>
        <w:rPr>
          <w:rFonts w:hint="cs"/>
          <w:rtl/>
        </w:rPr>
        <w:t>אני רוצה לפנות מכאן להסתדרות, לארגון היציג של העובדים במדינת ישראל. תראו, לפני ארבעה חודשים ההסתדרות אמרה: עד כאן</w:t>
      </w:r>
      <w:r w:rsidR="001C760D">
        <w:rPr>
          <w:rFonts w:hint="cs"/>
          <w:rtl/>
        </w:rPr>
        <w:t>,</w:t>
      </w:r>
      <w:r>
        <w:rPr>
          <w:rFonts w:hint="cs"/>
          <w:rtl/>
        </w:rPr>
        <w:t xml:space="preserve"> מדינת ישראל היא מדינה דמוקרטית, חוצים פה את הגבולות, אני משביתה את המשק. עכשיו לא קרה שום דבר שמשנה את המציאות הזו, פשוט הממשלה התארגנה מחדש ובמקום לבוא בבליץ של חקיקה היא באה בשיטת </w:t>
      </w:r>
      <w:r w:rsidR="001C760D">
        <w:rPr>
          <w:rFonts w:hint="cs"/>
          <w:rtl/>
        </w:rPr>
        <w:t>ה</w:t>
      </w:r>
      <w:r>
        <w:rPr>
          <w:rFonts w:hint="cs"/>
          <w:rtl/>
        </w:rPr>
        <w:t>סלמי, אבל המהות היא אותה מהות. ואם אתם רוצים לשמור על הדמוקרטיה, עכשיו זה הזמן שלכם להתייצב ולהגן על הדמוקרטיה. אם לא תעשו את זה, תחטאו באופן משמעותי לתפקידכם, כי בית המשפט הוא המגן הגדול ביותר על זכויות עובדים במדינת ישראל. הוא זה שהביא את זכות השימוע ומגן עליה, הוא זה שמגן על הזכות לשביתה, על השוויון בשכר, על אין</w:t>
      </w:r>
      <w:r w:rsidR="001C760D">
        <w:rPr>
          <w:rFonts w:hint="cs"/>
          <w:rtl/>
        </w:rPr>
        <w:t>-</w:t>
      </w:r>
      <w:r>
        <w:rPr>
          <w:rFonts w:hint="cs"/>
          <w:rtl/>
        </w:rPr>
        <w:t>ספור זכויות של עובדים. ואם לא תעשו את זה</w:t>
      </w:r>
      <w:r w:rsidR="001C760D">
        <w:rPr>
          <w:rFonts w:hint="cs"/>
          <w:rtl/>
        </w:rPr>
        <w:t>,</w:t>
      </w:r>
      <w:r>
        <w:rPr>
          <w:rFonts w:hint="cs"/>
          <w:rtl/>
        </w:rPr>
        <w:t xml:space="preserve"> גם תאבדו את הרלוונטיות שלכם, כיוון שביום שאחרי כל הכוח כבר ירוכז על ידי הממשלה, הכול יהיה מרוכז שם. איזה כוח יהיה לארגון עובדים? גם</w:t>
      </w:r>
      <w:r w:rsidR="001C760D">
        <w:rPr>
          <w:rFonts w:hint="cs"/>
          <w:rtl/>
        </w:rPr>
        <w:t>,</w:t>
      </w:r>
      <w:r>
        <w:rPr>
          <w:rFonts w:hint="cs"/>
          <w:rtl/>
        </w:rPr>
        <w:t xml:space="preserve"> סליחה, סמוטריץ', רוטמן – הם לא מסתירים את כוונתם להביא חקיקות ומהלכי המשך שבכלל יפרקו את הרעיון של העבודה המאורגנת במדינת ישראל. ולכן, אם אתם לא תתייצבו עכשיו לצד המאבק, אתם תהיו חתומים על נזק בלתי הפיך במדינת ישראל.</w:t>
      </w:r>
    </w:p>
    <w:p w:rsidR="00BB59CD" w:rsidRDefault="00BB59CD" w:rsidP="00BB59CD">
      <w:pPr>
        <w:rPr>
          <w:rtl/>
        </w:rPr>
      </w:pPr>
    </w:p>
    <w:p w:rsidR="00BB59CD" w:rsidRDefault="00BB59CD" w:rsidP="00BB59CD">
      <w:pPr>
        <w:rPr>
          <w:rtl/>
        </w:rPr>
      </w:pPr>
      <w:r>
        <w:rPr>
          <w:rFonts w:hint="cs"/>
          <w:rtl/>
        </w:rPr>
        <w:t>ברשותכם, אני רוצה להקריא מאמר שפרסמתי ברשתות, כיוון שלחלקכם אולי אין גישה לרשתות החברתיות. השר גולדקנופ, אני לא יודעת אם יש לך פייסבוק, טוויטר וכן הלאה, אבל אם אין לך, אז ברשותך אקריא לך דברים שכתבתי, כי אולי פספסת את זה שם. טיקטוק, אתה שם? פחות.</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אין לי.</w:t>
      </w:r>
    </w:p>
    <w:p w:rsidR="00BB59CD" w:rsidRDefault="00BB59CD" w:rsidP="00BB59CD">
      <w:pPr>
        <w:rPr>
          <w:rtl/>
        </w:rPr>
      </w:pPr>
    </w:p>
    <w:p w:rsidR="00BB59CD" w:rsidRDefault="00BB59CD" w:rsidP="00BB59CD">
      <w:pPr>
        <w:pStyle w:val="-"/>
        <w:keepNext/>
        <w:rPr>
          <w:rtl/>
        </w:rPr>
      </w:pPr>
      <w:bookmarkStart w:id="22576" w:name="ET_speakercontinue_5783_21"/>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bookmarkEnd w:id="22576"/>
    </w:p>
    <w:p w:rsidR="00BB59CD" w:rsidRDefault="00BB59CD" w:rsidP="00337201">
      <w:pPr>
        <w:rPr>
          <w:rtl/>
        </w:rPr>
      </w:pPr>
    </w:p>
    <w:p w:rsidR="00BB59CD" w:rsidRDefault="00BB59CD" w:rsidP="001C760D">
      <w:pPr>
        <w:rPr>
          <w:rtl/>
        </w:rPr>
      </w:pPr>
      <w:r>
        <w:rPr>
          <w:rFonts w:hint="cs"/>
          <w:rtl/>
        </w:rPr>
        <w:t>אני פרסמתי מאמר תחת הכותרת</w:t>
      </w:r>
      <w:r w:rsidR="001C760D">
        <w:rPr>
          <w:rFonts w:hint="cs"/>
          <w:rtl/>
        </w:rPr>
        <w:t xml:space="preserve"> "</w:t>
      </w:r>
      <w:r>
        <w:rPr>
          <w:rFonts w:hint="cs"/>
          <w:rtl/>
        </w:rPr>
        <w:t>נתניהו חצה את הרוביקון</w:t>
      </w:r>
      <w:r w:rsidR="001C760D">
        <w:rPr>
          <w:rFonts w:hint="cs"/>
          <w:rtl/>
        </w:rPr>
        <w:t xml:space="preserve">": </w:t>
      </w:r>
      <w:r>
        <w:rPr>
          <w:rFonts w:hint="cs"/>
          <w:rtl/>
        </w:rPr>
        <w:t xml:space="preserve">חברים, הגענו לנקודת האל-חזור, לא רק שלנו אלא גם של נתניהו. הוא חצה את הרוביקון. בשביל להסביר למה, חייבים לעשות </w:t>
      </w:r>
      <w:r w:rsidR="00C02051">
        <w:t>Zoom out</w:t>
      </w:r>
      <w:r>
        <w:rPr>
          <w:rFonts w:hint="cs"/>
          <w:rtl/>
        </w:rPr>
        <w:t xml:space="preserve"> לרגע: נגד נתניהו מתנהלים שלושה תיקים פליליים. בכל מצב עולם סביר, ראש ממשלה היה מתפטר עם הגשת כתבי האישום ומתפנה להילחם על חפותו בבית המשפט. נתניהו בעצמו דרש מאולמרט בזמנו לעשות זאת ואף תמך בחקיקה שתסדיר את זה. אולמרט, אגב, אכן התפטר. על עצמו נתניהו החליט אחרת, הוא החליט לסרס את מערכת המשפט גם במחיר של הרס החברה הישראלית ומדינת ישראל כולה.</w:t>
      </w:r>
    </w:p>
    <w:p w:rsidR="00BB59CD" w:rsidRDefault="00BB59CD" w:rsidP="00BB59CD">
      <w:pPr>
        <w:rPr>
          <w:rtl/>
        </w:rPr>
      </w:pPr>
    </w:p>
    <w:p w:rsidR="00BB59CD" w:rsidRDefault="00BB59CD" w:rsidP="00BB59CD">
      <w:pPr>
        <w:rPr>
          <w:rtl/>
        </w:rPr>
      </w:pPr>
      <w:r>
        <w:rPr>
          <w:rFonts w:hint="cs"/>
          <w:rtl/>
        </w:rPr>
        <w:t>לאחר שנבחר שוב, בג"ץ פסק שהוא יכול לכהן כראש ממשלה אך תחת הסדר ניגוד עניינים ברור. הסדר כזה נערך לו על ידי הייעוץ המשפטי לממשלה, ונכתב שם שהוא מנוע מלעסוק במערכת המשפט. הגיוני, נכון? או כמו שאומרים, סביר. אחרת הוא בניגוד עניינים מטורף.</w:t>
      </w:r>
    </w:p>
    <w:p w:rsidR="00BB59CD" w:rsidRDefault="00BB59CD" w:rsidP="00BB59CD">
      <w:pPr>
        <w:rPr>
          <w:rtl/>
        </w:rPr>
      </w:pPr>
    </w:p>
    <w:p w:rsidR="00BB59CD" w:rsidRDefault="00BB59CD" w:rsidP="00BB59CD">
      <w:pPr>
        <w:rPr>
          <w:rtl/>
        </w:rPr>
      </w:pPr>
      <w:r>
        <w:rPr>
          <w:rFonts w:hint="cs"/>
          <w:rtl/>
        </w:rPr>
        <w:t xml:space="preserve">מה עשה נתניהו? במקום להקדיש את הקדנציה הזו לענייני כלכלה, ביטחון, מדינאות וכל דבר אחר שאיננו השינויים הדרמטיים במערכת המשפט והמבנה החוקתי של מדינת ישראל, הוא החליט ללכת על הפיכה משטרית, עד הסוף. בהתחלה הוא שיחק אותה כאילו יריב לוין מקדם את הפיכה המשטרית והוא עצמו אכן לא נוגע בשום דבר, בהתאם להסדר ניגוד העניינים שלו, עד שהוא נשבר והודיע רשמית: אני נכנס לאירוע. </w:t>
      </w:r>
    </w:p>
    <w:p w:rsidR="00BB59CD" w:rsidRDefault="00BB59CD" w:rsidP="00BB59CD">
      <w:pPr>
        <w:rPr>
          <w:rtl/>
        </w:rPr>
      </w:pPr>
    </w:p>
    <w:p w:rsidR="00BB59CD" w:rsidRDefault="00BB59CD" w:rsidP="00BB59CD">
      <w:pPr>
        <w:rPr>
          <w:rtl/>
        </w:rPr>
      </w:pPr>
      <w:r>
        <w:rPr>
          <w:rFonts w:hint="cs"/>
          <w:rtl/>
        </w:rPr>
        <w:t>הובהר לו שוב על ידי הייעוץ המשפטי לממשלה שהוא פועל בניגוד עניינים, אבל הפעם הוא בחר לצפצף על זה. בהתחלה – כאילו בשביל להגיע להסכמות רחבות, אבל זה היה בלוף. כעת הוא פועל בכל הכוח, בריש גלי, לקידום ההפיכה המשטרית.</w:t>
      </w:r>
    </w:p>
    <w:p w:rsidR="00BB59CD" w:rsidRDefault="00BB59CD" w:rsidP="00BB59CD">
      <w:pPr>
        <w:rPr>
          <w:rtl/>
        </w:rPr>
      </w:pPr>
    </w:p>
    <w:p w:rsidR="00BB59CD" w:rsidRDefault="00BB59CD" w:rsidP="00BB59CD">
      <w:pPr>
        <w:rPr>
          <w:rtl/>
        </w:rPr>
      </w:pPr>
      <w:r>
        <w:rPr>
          <w:rFonts w:hint="cs"/>
          <w:rtl/>
        </w:rPr>
        <w:t xml:space="preserve">תבינו עד כמה זה חמור: ראש ממשלה שמתנהל נגדו משפט פלילי עוסק באופן אישי בשינוי ההרכב של </w:t>
      </w:r>
      <w:bookmarkStart w:id="22577" w:name="_ETM_Q34_405000"/>
      <w:bookmarkEnd w:id="22577"/>
      <w:r>
        <w:rPr>
          <w:rFonts w:hint="cs"/>
          <w:rtl/>
        </w:rPr>
        <w:t xml:space="preserve">הוועדה לבחירת שופטים, שתחליט בין היתר לגבי הקידום העתידי של </w:t>
      </w:r>
      <w:bookmarkStart w:id="22578" w:name="_ETM_Q34_407000"/>
      <w:bookmarkEnd w:id="22578"/>
      <w:r>
        <w:rPr>
          <w:rFonts w:hint="cs"/>
          <w:rtl/>
        </w:rPr>
        <w:t xml:space="preserve">השופטים במשפטו, ובביטול עילת הסבירות, שזה יאפשר את פיטורי היועצת </w:t>
      </w:r>
      <w:bookmarkStart w:id="22579" w:name="_ETM_Q34_413000"/>
      <w:bookmarkEnd w:id="22579"/>
      <w:r>
        <w:rPr>
          <w:rFonts w:hint="cs"/>
          <w:rtl/>
        </w:rPr>
        <w:t xml:space="preserve">המשפטית לממשלה, שהיא ראש התביעה במשפטו. זה כמו שראש ארגון </w:t>
      </w:r>
      <w:bookmarkStart w:id="22580" w:name="_ETM_Q34_423000"/>
      <w:bookmarkEnd w:id="22580"/>
      <w:r>
        <w:rPr>
          <w:rFonts w:hint="cs"/>
          <w:rtl/>
        </w:rPr>
        <w:t xml:space="preserve">מאפיה יעסוק במינוי של מפקד משטרה. </w:t>
      </w:r>
    </w:p>
    <w:p w:rsidR="00BB59CD" w:rsidRDefault="00BB59CD" w:rsidP="00BB59CD">
      <w:pPr>
        <w:rPr>
          <w:rtl/>
        </w:rPr>
      </w:pPr>
    </w:p>
    <w:p w:rsidR="00BB59CD" w:rsidRDefault="00BB59CD" w:rsidP="00BB59CD">
      <w:pPr>
        <w:rPr>
          <w:rtl/>
        </w:rPr>
      </w:pPr>
      <w:bookmarkStart w:id="22581" w:name="_ETM_Q34_427000"/>
      <w:bookmarkEnd w:id="22581"/>
      <w:r>
        <w:rPr>
          <w:rFonts w:hint="cs"/>
          <w:rtl/>
        </w:rPr>
        <w:t xml:space="preserve">נתניהו פועל כיום במודע, </w:t>
      </w:r>
      <w:bookmarkStart w:id="22582" w:name="_ETM_Q34_430000"/>
      <w:bookmarkEnd w:id="22582"/>
      <w:r>
        <w:rPr>
          <w:rFonts w:hint="cs"/>
          <w:rtl/>
        </w:rPr>
        <w:t xml:space="preserve">בלי להתבייש, בניגוד עניינים מובהק. זה לגמרי יכול לעלות כדי </w:t>
      </w:r>
      <w:bookmarkStart w:id="22583" w:name="_ETM_Q34_433000"/>
      <w:bookmarkEnd w:id="22583"/>
      <w:r>
        <w:rPr>
          <w:rFonts w:hint="cs"/>
          <w:rtl/>
        </w:rPr>
        <w:t>עבירה פלילית נוספת של הפרת אמונים.</w:t>
      </w:r>
    </w:p>
    <w:p w:rsidR="00BB59CD" w:rsidRDefault="00BB59CD" w:rsidP="00BB59CD">
      <w:pPr>
        <w:rPr>
          <w:rtl/>
        </w:rPr>
      </w:pPr>
    </w:p>
    <w:p w:rsidR="00BB59CD" w:rsidRDefault="00BB59CD" w:rsidP="00BB59CD">
      <w:pPr>
        <w:pStyle w:val="af9"/>
        <w:keepNext/>
        <w:rPr>
          <w:rtl/>
        </w:rPr>
      </w:pPr>
      <w:bookmarkStart w:id="22584" w:name="_ETM_Q34_436000"/>
      <w:bookmarkEnd w:id="2258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אבל אני שומע </w:t>
      </w:r>
      <w:bookmarkStart w:id="22585" w:name="_ETM_Q34_437000"/>
      <w:bookmarkEnd w:id="22585"/>
      <w:r>
        <w:rPr>
          <w:rFonts w:hint="cs"/>
          <w:rtl/>
        </w:rPr>
        <w:t xml:space="preserve">שכל הזמן בצדדים מבקשים מראש הממשלה שייכנס לתמונה ויעצור את </w:t>
      </w:r>
      <w:bookmarkStart w:id="22586" w:name="_ETM_Q34_440000"/>
      <w:bookmarkEnd w:id="22586"/>
      <w:r>
        <w:rPr>
          <w:rFonts w:hint="cs"/>
          <w:rtl/>
        </w:rPr>
        <w:t>החקיקה. לעצור הוא יכול? זה לא ניגוד עניינים?</w:t>
      </w:r>
    </w:p>
    <w:p w:rsidR="00BB59CD" w:rsidRDefault="00BB59CD" w:rsidP="00BB59CD">
      <w:pPr>
        <w:keepNext/>
        <w:rPr>
          <w:rtl/>
        </w:rPr>
      </w:pPr>
    </w:p>
    <w:p w:rsidR="00BB59CD" w:rsidRDefault="00BB59CD" w:rsidP="00BB59CD">
      <w:pPr>
        <w:pStyle w:val="-"/>
        <w:keepNext/>
        <w:rPr>
          <w:rtl/>
        </w:rPr>
      </w:pPr>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ראש הממשלה היה יכול מלכתחילה לא להיכנס לאירוע הזה, כפי שנכתב בהסדר ניגוד העניינים.</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לעצור הוא יכול? אולי הוא צריך להגיד גם עכשיו: </w:t>
      </w:r>
      <w:bookmarkStart w:id="22587" w:name="_ETM_Q34_447000"/>
      <w:bookmarkEnd w:id="22587"/>
      <w:r>
        <w:rPr>
          <w:rFonts w:hint="cs"/>
          <w:rtl/>
        </w:rPr>
        <w:t>אני מושך את ידי.</w:t>
      </w:r>
    </w:p>
    <w:p w:rsidR="00BB59CD" w:rsidRDefault="00BB59CD" w:rsidP="00BB59CD">
      <w:pPr>
        <w:keepNext/>
        <w:rPr>
          <w:rtl/>
        </w:rPr>
      </w:pPr>
    </w:p>
    <w:p w:rsidR="00BB59CD" w:rsidRDefault="00BB59CD" w:rsidP="00BB59CD">
      <w:pPr>
        <w:pStyle w:val="-"/>
        <w:keepNext/>
        <w:rPr>
          <w:rtl/>
        </w:rPr>
      </w:pPr>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1C760D">
      <w:pPr>
        <w:rPr>
          <w:rtl/>
        </w:rPr>
      </w:pPr>
      <w:r>
        <w:rPr>
          <w:rFonts w:hint="cs"/>
          <w:rtl/>
        </w:rPr>
        <w:t xml:space="preserve">לא הבנתי, שר המשפטים הוא </w:t>
      </w:r>
      <w:bookmarkStart w:id="22588" w:name="_ETM_Q34_452000"/>
      <w:bookmarkEnd w:id="22588"/>
      <w:r>
        <w:rPr>
          <w:rFonts w:hint="cs"/>
          <w:rtl/>
        </w:rPr>
        <w:t xml:space="preserve">לא בשליטתו? הוא לא יודע לשלוט בחברי ממשלתו? יש הסדר </w:t>
      </w:r>
      <w:bookmarkStart w:id="22589" w:name="_ETM_Q34_456000"/>
      <w:bookmarkEnd w:id="22589"/>
      <w:r>
        <w:rPr>
          <w:rFonts w:hint="cs"/>
          <w:rtl/>
        </w:rPr>
        <w:t xml:space="preserve">ניגוד עניינים, וכשעושים הפיכה בסדרי גודל כאלה ברור שראש ממשלה יהיה מעורב. אם מישהו מאמין שבאיזשהו שלב </w:t>
      </w:r>
      <w:bookmarkStart w:id="22590" w:name="_ETM_Q34_462000"/>
      <w:bookmarkEnd w:id="22590"/>
      <w:r>
        <w:rPr>
          <w:rFonts w:hint="cs"/>
          <w:rtl/>
        </w:rPr>
        <w:t>הוא לא היה מעורב</w:t>
      </w:r>
      <w:r w:rsidR="001C760D">
        <w:rPr>
          <w:rFonts w:hint="cs"/>
          <w:rtl/>
        </w:rPr>
        <w:t>,</w:t>
      </w:r>
      <w:r>
        <w:rPr>
          <w:rFonts w:hint="cs"/>
          <w:rtl/>
        </w:rPr>
        <w:t xml:space="preserve"> אז הוא טיפש, לא צריכים </w:t>
      </w:r>
      <w:bookmarkStart w:id="22591" w:name="_ETM_Q34_466000"/>
      <w:bookmarkEnd w:id="22591"/>
      <w:r>
        <w:rPr>
          <w:rFonts w:hint="cs"/>
          <w:rtl/>
        </w:rPr>
        <w:t xml:space="preserve">להיות תמימים. </w:t>
      </w:r>
      <w:bookmarkStart w:id="22592" w:name="_ETM_Q34_472000"/>
      <w:bookmarkEnd w:id="22592"/>
      <w:r>
        <w:rPr>
          <w:rFonts w:hint="cs"/>
          <w:rtl/>
        </w:rPr>
        <w:t xml:space="preserve">ברור שהוא היה מעורב וברור שזו לא הפיכה </w:t>
      </w:r>
      <w:bookmarkStart w:id="22593" w:name="_ETM_Q34_470000"/>
      <w:bookmarkEnd w:id="22593"/>
      <w:r>
        <w:rPr>
          <w:rFonts w:hint="cs"/>
          <w:rtl/>
        </w:rPr>
        <w:t xml:space="preserve">שהממשלה הזו הייתה צריכה לקחת על עצמה. </w:t>
      </w:r>
      <w:bookmarkStart w:id="22594" w:name="_ETM_Q34_473000"/>
      <w:bookmarkStart w:id="22595" w:name="_ETM_Q34_472455"/>
      <w:bookmarkStart w:id="22596" w:name="_ETM_Q34_472572"/>
      <w:bookmarkStart w:id="22597" w:name="_ETM_Q34_472898"/>
      <w:bookmarkStart w:id="22598" w:name="_ETM_Q34_473016"/>
      <w:bookmarkEnd w:id="22594"/>
      <w:bookmarkEnd w:id="22595"/>
      <w:bookmarkEnd w:id="22596"/>
      <w:bookmarkEnd w:id="22597"/>
      <w:bookmarkEnd w:id="22598"/>
      <w:r>
        <w:rPr>
          <w:rFonts w:hint="cs"/>
          <w:rtl/>
        </w:rPr>
        <w:t xml:space="preserve">הרבה אתגרים למדינת ישראל, זה לא האתגר הגדול והדחוף מכולם, על כך כולם יסכימו. מעניין שדווקא בעיתוי הזה הוא בחר </w:t>
      </w:r>
      <w:bookmarkStart w:id="22599" w:name="_ETM_Q34_477000"/>
      <w:bookmarkEnd w:id="22599"/>
      <w:r>
        <w:rPr>
          <w:rFonts w:hint="cs"/>
          <w:rtl/>
        </w:rPr>
        <w:t>דווקא את המערכת הזו לתקן – חשוד</w:t>
      </w:r>
      <w:r w:rsidR="001C760D">
        <w:rPr>
          <w:rFonts w:hint="cs"/>
          <w:rtl/>
        </w:rPr>
        <w:t>,</w:t>
      </w:r>
      <w:r>
        <w:rPr>
          <w:rFonts w:hint="cs"/>
          <w:rtl/>
        </w:rPr>
        <w:t xml:space="preserve"> וגם לא </w:t>
      </w:r>
      <w:bookmarkStart w:id="22600" w:name="_ETM_Q34_485000"/>
      <w:bookmarkEnd w:id="22600"/>
      <w:r>
        <w:rPr>
          <w:rFonts w:hint="cs"/>
          <w:rtl/>
        </w:rPr>
        <w:t>חוקי, כי זה בניגוד להסדר העניינים שלו.</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1C760D">
      <w:pPr>
        <w:rPr>
          <w:rtl/>
        </w:rPr>
      </w:pPr>
      <w:r>
        <w:rPr>
          <w:rFonts w:hint="cs"/>
          <w:rtl/>
        </w:rPr>
        <w:t>- - - אמר</w:t>
      </w:r>
      <w:r w:rsidR="001C760D">
        <w:rPr>
          <w:rFonts w:hint="cs"/>
          <w:rtl/>
        </w:rPr>
        <w:t>:</w:t>
      </w:r>
      <w:r>
        <w:rPr>
          <w:rFonts w:hint="cs"/>
          <w:rtl/>
        </w:rPr>
        <w:t xml:space="preserve"> אני יוצא החוצה מהישיבה, אני בניגוד עניינים ואני יוצא. זה ייאמר לזכותו.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אז אתה אומר שבכל הישיבות על הרפורמה הוא אמר: אני לא פה.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2601" w:name="_ETM_Q34_503000"/>
      <w:bookmarkEnd w:id="22601"/>
      <w:r>
        <w:rPr>
          <w:rFonts w:hint="cs"/>
          <w:rtl/>
          <w:lang w:eastAsia="he-IL"/>
        </w:rPr>
        <w:t>באו</w:t>
      </w:r>
      <w:bookmarkStart w:id="22602" w:name="_ETM_Q34_505000"/>
      <w:bookmarkEnd w:id="22602"/>
      <w:r>
        <w:rPr>
          <w:rFonts w:hint="cs"/>
          <w:rtl/>
          <w:lang w:eastAsia="he-IL"/>
        </w:rPr>
        <w:t xml:space="preserve"> אליו ואמרו לו - - - מדובר פה על ביטחון המדינה - - - אתה חייב להיכנס לתמונה, אם אתה לא תיכנס לתמונה אין מי שיעשה את זה. </w:t>
      </w:r>
      <w:bookmarkStart w:id="22603" w:name="_ETM_Q34_514000"/>
      <w:bookmarkEnd w:id="22603"/>
      <w:r>
        <w:rPr>
          <w:rFonts w:hint="cs"/>
          <w:rtl/>
          <w:lang w:eastAsia="he-IL"/>
        </w:rPr>
        <w:t xml:space="preserve">הראיה שאנשים, גם </w:t>
      </w:r>
      <w:bookmarkStart w:id="22604" w:name="_ETM_Q34_522000"/>
      <w:bookmarkEnd w:id="22604"/>
      <w:r>
        <w:rPr>
          <w:rFonts w:hint="cs"/>
          <w:rtl/>
          <w:lang w:eastAsia="he-IL"/>
        </w:rPr>
        <w:t xml:space="preserve">מהאופוזיציה, באים אליו ומנסים לדבר איתו – השאלה אם הוא יוכל לעשות </w:t>
      </w:r>
      <w:bookmarkStart w:id="22605" w:name="_ETM_Q34_524000"/>
      <w:bookmarkEnd w:id="22605"/>
      <w:r>
        <w:rPr>
          <w:rFonts w:hint="cs"/>
          <w:rtl/>
          <w:lang w:eastAsia="he-IL"/>
        </w:rPr>
        <w:t>את זה?</w:t>
      </w:r>
    </w:p>
    <w:p w:rsidR="00BB59CD" w:rsidRDefault="00BB59CD" w:rsidP="00BB59CD">
      <w:pPr>
        <w:keepNext/>
        <w:rPr>
          <w:rtl/>
        </w:rPr>
      </w:pPr>
    </w:p>
    <w:p w:rsidR="00BB59CD" w:rsidRDefault="00BB59CD" w:rsidP="00BB59CD">
      <w:pPr>
        <w:pStyle w:val="-"/>
        <w:keepNext/>
        <w:rPr>
          <w:rtl/>
        </w:rPr>
      </w:pPr>
      <w:bookmarkStart w:id="22606" w:name="_ETM_Q34_525000"/>
      <w:bookmarkEnd w:id="22606"/>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יש לי שאלה, השר גולדקנופ: האם עולה בדעתך שמהלך כל כך דרסטי, עם שורה של תיקוני חקיקה של חוקי-יסוד ושינוי כל מערכת היחסים בין שלוש הרשויות במדינת ישראל – אתה חושב שראש הממשלה לא חשב שזה יגיע </w:t>
      </w:r>
      <w:bookmarkStart w:id="22607" w:name="_ETM_Q34_539000"/>
      <w:bookmarkEnd w:id="22607"/>
      <w:r>
        <w:rPr>
          <w:rFonts w:hint="cs"/>
          <w:rtl/>
          <w:lang w:eastAsia="he-IL"/>
        </w:rPr>
        <w:t>לפתחו? אתה חושב שהוא חשב שזה ככה</w:t>
      </w:r>
      <w:r w:rsidR="001C760D">
        <w:rPr>
          <w:rFonts w:hint="cs"/>
          <w:rtl/>
          <w:lang w:eastAsia="he-IL"/>
        </w:rPr>
        <w:t>,</w:t>
      </w:r>
      <w:r>
        <w:rPr>
          <w:rFonts w:hint="cs"/>
          <w:rtl/>
          <w:lang w:eastAsia="he-IL"/>
        </w:rPr>
        <w:t xml:space="preserve"> בקטנה, שהוא לא יידרש לסוגיה הזו? כשיריב לוין בא ועשה מסיבת עיתונאים שבה הוא </w:t>
      </w:r>
      <w:bookmarkStart w:id="22608" w:name="_ETM_Q34_547000"/>
      <w:bookmarkEnd w:id="22608"/>
      <w:r>
        <w:rPr>
          <w:rFonts w:hint="cs"/>
          <w:rtl/>
          <w:lang w:eastAsia="he-IL"/>
        </w:rPr>
        <w:t>פרס את משנתו ואת המגה-תוכנית שלו לשינוי צ</w:t>
      </w:r>
      <w:bookmarkStart w:id="22609" w:name="_ETM_Q34_551000"/>
      <w:bookmarkEnd w:id="22609"/>
      <w:r>
        <w:rPr>
          <w:rFonts w:hint="cs"/>
          <w:rtl/>
          <w:lang w:eastAsia="he-IL"/>
        </w:rPr>
        <w:t xml:space="preserve">ביון מדינת ישראל, ראש הממשלה לא חשב שזה משהו שהוא </w:t>
      </w:r>
      <w:bookmarkStart w:id="22610" w:name="_ETM_Q34_558000"/>
      <w:bookmarkEnd w:id="22610"/>
      <w:r>
        <w:rPr>
          <w:rFonts w:hint="cs"/>
          <w:rtl/>
          <w:lang w:eastAsia="he-IL"/>
        </w:rPr>
        <w:t xml:space="preserve">יהיה מעורב בו? אתה חושב שהוא חשב שזה משהו שלא </w:t>
      </w:r>
      <w:bookmarkStart w:id="22611" w:name="_ETM_Q34_559000"/>
      <w:bookmarkEnd w:id="22611"/>
      <w:r>
        <w:rPr>
          <w:rFonts w:hint="cs"/>
          <w:rtl/>
          <w:lang w:eastAsia="he-IL"/>
        </w:rPr>
        <w:t xml:space="preserve">מצריך מעורבות של ראש ממשלה? אם כן, </w:t>
      </w:r>
      <w:bookmarkStart w:id="22612" w:name="_ETM_Q34_563000"/>
      <w:bookmarkEnd w:id="22612"/>
      <w:r>
        <w:rPr>
          <w:rFonts w:hint="cs"/>
          <w:rtl/>
          <w:lang w:eastAsia="he-IL"/>
        </w:rPr>
        <w:t>הוא לא איתנו.</w:t>
      </w:r>
    </w:p>
    <w:p w:rsidR="00BB59CD" w:rsidRDefault="00BB59CD" w:rsidP="00BB59CD">
      <w:pPr>
        <w:rPr>
          <w:rtl/>
          <w:lang w:eastAsia="he-IL"/>
        </w:rPr>
      </w:pPr>
      <w:bookmarkStart w:id="22613" w:name="_ETM_Q34_566000"/>
      <w:bookmarkEnd w:id="22613"/>
    </w:p>
    <w:p w:rsidR="00BB59CD" w:rsidRDefault="00BB59CD" w:rsidP="00BB59CD">
      <w:pPr>
        <w:pStyle w:val="af8"/>
        <w:keepNext/>
        <w:rPr>
          <w:rtl/>
        </w:rPr>
      </w:pPr>
      <w:bookmarkStart w:id="22614" w:name="ET_interruption_6430_24"/>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2261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אם את שואלת אותי מה היה צריך ראש </w:t>
      </w:r>
      <w:bookmarkStart w:id="22615" w:name="_ETM_Q34_570000"/>
      <w:bookmarkEnd w:id="22615"/>
      <w:r>
        <w:rPr>
          <w:rFonts w:hint="cs"/>
          <w:rtl/>
          <w:lang w:eastAsia="he-IL"/>
        </w:rPr>
        <w:t xml:space="preserve">הממשלה לחשוב, אני חושב שגם אנחנו היינו צריכים </w:t>
      </w:r>
      <w:bookmarkStart w:id="22616" w:name="_ETM_Q34_572000"/>
      <w:bookmarkEnd w:id="22616"/>
      <w:r>
        <w:rPr>
          <w:rFonts w:hint="cs"/>
          <w:rtl/>
          <w:lang w:eastAsia="he-IL"/>
        </w:rPr>
        <w:t xml:space="preserve">לחשוב שאם יש ראש ממשלה שאתם חושבים שהוא נאשם </w:t>
      </w:r>
      <w:bookmarkStart w:id="22617" w:name="_ETM_Q34_577000"/>
      <w:bookmarkEnd w:id="22617"/>
      <w:r>
        <w:rPr>
          <w:rFonts w:hint="cs"/>
          <w:rtl/>
          <w:lang w:eastAsia="he-IL"/>
        </w:rPr>
        <w:t>- -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אנחנו לא חושבים, יש נגדו כתבי אישום, זה עובדות.</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8270E7">
      <w:pPr>
        <w:rPr>
          <w:rtl/>
          <w:lang w:eastAsia="he-IL"/>
        </w:rPr>
      </w:pPr>
      <w:r>
        <w:rPr>
          <w:rFonts w:hint="cs"/>
          <w:rtl/>
          <w:lang w:eastAsia="he-IL"/>
        </w:rPr>
        <w:t>אנחנו גם רואים שכתבי האישום לאט</w:t>
      </w:r>
      <w:r w:rsidR="008270E7">
        <w:rPr>
          <w:rFonts w:hint="cs"/>
          <w:rtl/>
          <w:lang w:eastAsia="he-IL"/>
        </w:rPr>
        <w:t>-לאט מי</w:t>
      </w:r>
      <w:r>
        <w:rPr>
          <w:rFonts w:hint="cs"/>
          <w:rtl/>
          <w:lang w:eastAsia="he-IL"/>
        </w:rPr>
        <w:t>דלדלים.</w:t>
      </w:r>
    </w:p>
    <w:p w:rsidR="00BB59CD" w:rsidRDefault="00BB59CD" w:rsidP="00BB59CD">
      <w:pPr>
        <w:keepNext/>
        <w:rPr>
          <w:rtl/>
        </w:rPr>
      </w:pPr>
    </w:p>
    <w:p w:rsidR="00BB59CD" w:rsidRDefault="00BB59CD" w:rsidP="00BB59CD">
      <w:pPr>
        <w:pStyle w:val="-"/>
        <w:keepNext/>
        <w:rPr>
          <w:rtl/>
        </w:rPr>
      </w:pPr>
      <w:bookmarkStart w:id="22618" w:name="_ETM_Q34_581000"/>
      <w:bookmarkEnd w:id="22618"/>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מאחלת לו בריאות ושכתבי האישום ייגמרו בלא כלום – אני מאחלת לו רק טוב. איש של כתבי אישום לא </w:t>
      </w:r>
      <w:bookmarkStart w:id="22619" w:name="_ETM_Q34_586000"/>
      <w:bookmarkEnd w:id="22619"/>
      <w:r>
        <w:rPr>
          <w:rFonts w:hint="cs"/>
          <w:rtl/>
          <w:lang w:eastAsia="he-IL"/>
        </w:rPr>
        <w:t>יכול לשנות את מערכת המשפט.</w:t>
      </w:r>
    </w:p>
    <w:p w:rsidR="00BB59CD" w:rsidRDefault="00BB59CD" w:rsidP="00BB59CD">
      <w:pPr>
        <w:rPr>
          <w:rtl/>
          <w:lang w:eastAsia="he-IL"/>
        </w:rPr>
      </w:pPr>
    </w:p>
    <w:p w:rsidR="00BB59CD" w:rsidRDefault="00BB59CD" w:rsidP="00BB59CD">
      <w:pPr>
        <w:pStyle w:val="af8"/>
        <w:keepNext/>
        <w:rPr>
          <w:rtl/>
        </w:rPr>
      </w:pPr>
      <w:bookmarkStart w:id="22620" w:name="ET_interruption_6430_26"/>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22620"/>
    </w:p>
    <w:p w:rsidR="00BB59CD" w:rsidRDefault="00BB59CD" w:rsidP="00337201">
      <w:pPr>
        <w:rPr>
          <w:rtl/>
          <w:lang w:eastAsia="he-IL"/>
        </w:rPr>
      </w:pPr>
    </w:p>
    <w:p w:rsidR="00BB59CD" w:rsidRDefault="008270E7" w:rsidP="00BB59CD">
      <w:pPr>
        <w:rPr>
          <w:rtl/>
          <w:lang w:eastAsia="he-IL"/>
        </w:rPr>
      </w:pPr>
      <w:bookmarkStart w:id="22621" w:name="_ETM_Q34_591000"/>
      <w:bookmarkEnd w:id="22621"/>
      <w:r>
        <w:rPr>
          <w:rFonts w:hint="cs"/>
          <w:rtl/>
          <w:lang w:eastAsia="he-IL"/>
        </w:rPr>
        <w:t>- - - כתבי אישום מי</w:t>
      </w:r>
      <w:r w:rsidR="00BB59CD">
        <w:rPr>
          <w:rFonts w:hint="cs"/>
          <w:rtl/>
          <w:lang w:eastAsia="he-IL"/>
        </w:rPr>
        <w:t xml:space="preserve">דלדלים, </w:t>
      </w:r>
      <w:bookmarkStart w:id="22622" w:name="_ETM_Q34_594000"/>
      <w:bookmarkEnd w:id="22622"/>
      <w:r w:rsidR="00BB59CD">
        <w:rPr>
          <w:rFonts w:hint="cs"/>
          <w:rtl/>
          <w:lang w:eastAsia="he-IL"/>
        </w:rPr>
        <w:t>יש בזה - -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8270E7" w:rsidP="008270E7">
      <w:pPr>
        <w:rPr>
          <w:rtl/>
          <w:lang w:eastAsia="he-IL"/>
        </w:rPr>
      </w:pPr>
      <w:r>
        <w:rPr>
          <w:rFonts w:hint="cs"/>
          <w:rtl/>
          <w:lang w:eastAsia="he-IL"/>
        </w:rPr>
        <w:t>מאה אחוז</w:t>
      </w:r>
      <w:r w:rsidR="00BB59CD">
        <w:rPr>
          <w:rFonts w:hint="cs"/>
          <w:rtl/>
          <w:lang w:eastAsia="he-IL"/>
        </w:rPr>
        <w:t>, שיבטל את כתבי האישום ואחר כך יבוא ויעשה מה שהוא רוצה במערכת המשפט.</w:t>
      </w:r>
    </w:p>
    <w:p w:rsidR="00BB59CD" w:rsidRDefault="00BB59CD" w:rsidP="00BB59CD">
      <w:pPr>
        <w:rPr>
          <w:rtl/>
          <w:lang w:eastAsia="he-IL"/>
        </w:rPr>
      </w:pPr>
    </w:p>
    <w:p w:rsidR="00BB59CD" w:rsidRDefault="00BB59CD" w:rsidP="00BB59CD">
      <w:pPr>
        <w:pStyle w:val="af8"/>
        <w:keepNext/>
        <w:rPr>
          <w:rtl/>
        </w:rPr>
      </w:pPr>
      <w:bookmarkStart w:id="22623" w:name="ET_interruption_6430_27"/>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22623"/>
    </w:p>
    <w:p w:rsidR="00BB59CD" w:rsidRDefault="00BB59CD" w:rsidP="00337201">
      <w:pPr>
        <w:rPr>
          <w:rtl/>
          <w:lang w:eastAsia="he-IL"/>
        </w:rPr>
      </w:pPr>
    </w:p>
    <w:p w:rsidR="00BB59CD" w:rsidRDefault="00BB59CD" w:rsidP="00BB59CD">
      <w:pPr>
        <w:rPr>
          <w:rtl/>
          <w:lang w:eastAsia="he-IL"/>
        </w:rPr>
      </w:pPr>
      <w:bookmarkStart w:id="22624" w:name="_ETM_Q34_602000"/>
      <w:bookmarkEnd w:id="22624"/>
      <w:r>
        <w:rPr>
          <w:rFonts w:hint="cs"/>
          <w:rtl/>
          <w:lang w:eastAsia="he-IL"/>
        </w:rPr>
        <w:t xml:space="preserve">- - - בתקופות הקודמות - - - גם שם היו </w:t>
      </w:r>
      <w:bookmarkStart w:id="22625" w:name="_ETM_Q34_615000"/>
      <w:bookmarkEnd w:id="22625"/>
      <w:r>
        <w:rPr>
          <w:rFonts w:hint="cs"/>
          <w:rtl/>
          <w:lang w:eastAsia="he-IL"/>
        </w:rPr>
        <w:t>אישומים נגד ראשי ממשלה ושרים אבל ידעו</w:t>
      </w:r>
      <w:r w:rsidR="008270E7">
        <w:rPr>
          <w:rFonts w:hint="cs"/>
          <w:rtl/>
          <w:lang w:eastAsia="he-IL"/>
        </w:rPr>
        <w:t>,</w:t>
      </w:r>
      <w:r>
        <w:rPr>
          <w:rFonts w:hint="cs"/>
          <w:rtl/>
          <w:lang w:eastAsia="he-IL"/>
        </w:rPr>
        <w:t xml:space="preserve"> במדינת </w:t>
      </w:r>
      <w:bookmarkStart w:id="22626" w:name="_ETM_Q34_617000"/>
      <w:bookmarkEnd w:id="22626"/>
      <w:r>
        <w:rPr>
          <w:rFonts w:hint="cs"/>
          <w:rtl/>
          <w:lang w:eastAsia="he-IL"/>
        </w:rPr>
        <w:t xml:space="preserve">ישראל, גם אם באים להאשים ראש ממשלה, זה לא דבר שמחנך </w:t>
      </w:r>
      <w:bookmarkStart w:id="22627" w:name="_ETM_Q34_625000"/>
      <w:bookmarkEnd w:id="22627"/>
      <w:r>
        <w:rPr>
          <w:rFonts w:hint="cs"/>
          <w:rtl/>
          <w:lang w:eastAsia="he-IL"/>
        </w:rPr>
        <w:t xml:space="preserve">את - </w:t>
      </w:r>
      <w:bookmarkStart w:id="22628" w:name="_ETM_Q34_627247"/>
      <w:bookmarkEnd w:id="22628"/>
      <w:r>
        <w:rPr>
          <w:rFonts w:hint="cs"/>
          <w:rtl/>
          <w:lang w:eastAsia="he-IL"/>
        </w:rPr>
        <w:t xml:space="preserve">- - של הציבור הישראלי, ודאי מול הנוער הישראלי. כל הנושא הזה </w:t>
      </w:r>
      <w:bookmarkStart w:id="22629" w:name="_ETM_Q34_632000"/>
      <w:bookmarkEnd w:id="22629"/>
      <w:r>
        <w:rPr>
          <w:rFonts w:hint="cs"/>
          <w:rtl/>
          <w:lang w:eastAsia="he-IL"/>
        </w:rPr>
        <w:t xml:space="preserve">בכלל, האם צריכים כל היום לדבר על הנושא הזה? הוא </w:t>
      </w:r>
      <w:bookmarkStart w:id="22630" w:name="_ETM_Q34_635000"/>
      <w:bookmarkEnd w:id="22630"/>
      <w:r>
        <w:rPr>
          <w:rFonts w:hint="cs"/>
          <w:rtl/>
          <w:lang w:eastAsia="he-IL"/>
        </w:rPr>
        <w:t>נאשם, הוא אשם, הוא גנב, הואשם - -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אני חושבת שהיו פחות מדברים על זה אם הוא לא היה מנסה למנות את שופטיו.</w:t>
      </w:r>
    </w:p>
    <w:p w:rsidR="00BB59CD" w:rsidRDefault="00BB59CD" w:rsidP="00BB59CD">
      <w:pPr>
        <w:rPr>
          <w:rtl/>
          <w:lang w:eastAsia="he-IL"/>
        </w:rPr>
      </w:pPr>
    </w:p>
    <w:p w:rsidR="00BB59CD" w:rsidRDefault="00BB59CD" w:rsidP="00BB59CD">
      <w:pPr>
        <w:pStyle w:val="af8"/>
        <w:keepNext/>
        <w:rPr>
          <w:rtl/>
        </w:rPr>
      </w:pPr>
      <w:bookmarkStart w:id="22631" w:name="ET_interruption_6430_28"/>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2263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בצרפת יש חוק שלא מאשימים </w:t>
      </w:r>
      <w:bookmarkStart w:id="22632" w:name="_ETM_Q34_649773"/>
      <w:bookmarkEnd w:id="22632"/>
      <w:r>
        <w:rPr>
          <w:rFonts w:hint="cs"/>
          <w:rtl/>
          <w:lang w:eastAsia="he-IL"/>
        </w:rPr>
        <w:t>ראש ממשלה - -</w:t>
      </w:r>
      <w:bookmarkStart w:id="22633" w:name="_ETM_Q34_647000"/>
      <w:bookmarkEnd w:id="22633"/>
      <w:r>
        <w:rPr>
          <w:rFonts w:hint="cs"/>
          <w:rtl/>
          <w:lang w:eastAsia="he-IL"/>
        </w:rPr>
        <w:t xml:space="preserve">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תראה, בסוף בסוף זו לא מדינה של אבא שלי, זו לא מדינה של אבא שלך, זו מדינה עם מנגנונים של הציבור. יש כללים. הכלל אומר שאם יש לך הסדר ניגוד עניינים, </w:t>
      </w:r>
      <w:bookmarkStart w:id="22634" w:name="_ETM_Q34_656000"/>
      <w:bookmarkEnd w:id="22634"/>
      <w:r>
        <w:rPr>
          <w:rFonts w:hint="cs"/>
          <w:rtl/>
          <w:lang w:eastAsia="he-IL"/>
        </w:rPr>
        <w:t>אתה לא יכול לעסוק בתחום הזה. זהו. פשוט. שחור ולבן. שחור ולבן. נכון שכללים צריך לכבד? אתה מכבד כללים?</w:t>
      </w:r>
    </w:p>
    <w:p w:rsidR="00BB59CD" w:rsidRDefault="00BB59CD" w:rsidP="00BB59CD">
      <w:pPr>
        <w:rPr>
          <w:rtl/>
          <w:lang w:eastAsia="he-IL"/>
        </w:rPr>
      </w:pPr>
    </w:p>
    <w:p w:rsidR="00BB59CD" w:rsidRDefault="00BB59CD" w:rsidP="00BB59CD">
      <w:pPr>
        <w:pStyle w:val="af8"/>
        <w:keepNext/>
        <w:rPr>
          <w:rtl/>
        </w:rPr>
      </w:pPr>
      <w:bookmarkStart w:id="22635" w:name="ET_interruption_6430_29"/>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22635"/>
    </w:p>
    <w:p w:rsidR="00BB59CD" w:rsidRDefault="00BB59CD" w:rsidP="00337201">
      <w:pPr>
        <w:rPr>
          <w:rtl/>
          <w:lang w:eastAsia="he-IL"/>
        </w:rPr>
      </w:pPr>
    </w:p>
    <w:p w:rsidR="00BB59CD" w:rsidRDefault="00BB59CD" w:rsidP="00BB59CD">
      <w:pPr>
        <w:rPr>
          <w:rtl/>
          <w:lang w:eastAsia="he-IL"/>
        </w:rPr>
      </w:pPr>
      <w:bookmarkStart w:id="22636" w:name="_ETM_Q34_666000"/>
      <w:bookmarkEnd w:id="22636"/>
      <w:r>
        <w:rPr>
          <w:rFonts w:hint="cs"/>
          <w:rtl/>
          <w:lang w:eastAsia="he-IL"/>
        </w:rPr>
        <w:t xml:space="preserve">- </w:t>
      </w:r>
      <w:bookmarkStart w:id="22637" w:name="_ETM_Q34_669000"/>
      <w:bookmarkEnd w:id="22637"/>
      <w:r>
        <w:rPr>
          <w:rFonts w:hint="cs"/>
          <w:rtl/>
          <w:lang w:eastAsia="he-IL"/>
        </w:rPr>
        <w:t>-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בכל מקרה, זה שהוא יודע שהוא פועל בניגוד עניינים - - -</w:t>
      </w:r>
    </w:p>
    <w:p w:rsidR="00BB59CD" w:rsidRDefault="00BB59CD" w:rsidP="00BB59CD">
      <w:pPr>
        <w:rPr>
          <w:rtl/>
          <w:lang w:eastAsia="he-IL"/>
        </w:rPr>
      </w:pPr>
      <w:bookmarkStart w:id="22638" w:name="_ETM_Q34_676000"/>
      <w:bookmarkEnd w:id="22638"/>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2639" w:name="_ETM_Q34_675000"/>
      <w:bookmarkEnd w:id="22639"/>
      <w:r>
        <w:rPr>
          <w:rFonts w:hint="cs"/>
          <w:rtl/>
          <w:lang w:eastAsia="he-IL"/>
        </w:rPr>
        <w:t xml:space="preserve">אני לא רוצה להפריע לך - </w:t>
      </w:r>
      <w:bookmarkStart w:id="22640" w:name="_ETM_Q34_673000"/>
      <w:bookmarkEnd w:id="22640"/>
      <w:r>
        <w:rPr>
          <w:rFonts w:hint="cs"/>
          <w:rtl/>
          <w:lang w:eastAsia="he-IL"/>
        </w:rPr>
        <w:t>- -</w:t>
      </w:r>
    </w:p>
    <w:p w:rsidR="00BB59CD" w:rsidRDefault="00BB59CD" w:rsidP="00BB59CD">
      <w:pPr>
        <w:rPr>
          <w:rtl/>
          <w:lang w:eastAsia="he-IL"/>
        </w:rPr>
      </w:pPr>
      <w:bookmarkStart w:id="22641" w:name="_ETM_Q34_674000"/>
      <w:bookmarkEnd w:id="22641"/>
    </w:p>
    <w:p w:rsidR="00BB59CD" w:rsidRDefault="00BB59CD" w:rsidP="00BB59CD">
      <w:pPr>
        <w:pStyle w:val="-"/>
        <w:keepNext/>
        <w:rPr>
          <w:rtl/>
        </w:rPr>
      </w:pPr>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8270E7">
      <w:pPr>
        <w:rPr>
          <w:rtl/>
          <w:lang w:eastAsia="he-IL"/>
        </w:rPr>
      </w:pPr>
      <w:r>
        <w:rPr>
          <w:rFonts w:hint="cs"/>
          <w:rtl/>
          <w:lang w:eastAsia="he-IL"/>
        </w:rPr>
        <w:t>לא, לא, אני מקשיבה לך ואף שמחה לנהל דו-שיח, אין שום בעיה. אני פשוט לא מבינה את ההיתממות</w:t>
      </w:r>
      <w:r w:rsidR="008270E7">
        <w:rPr>
          <w:rFonts w:hint="cs"/>
          <w:rtl/>
          <w:lang w:eastAsia="he-IL"/>
        </w:rPr>
        <w:t>.</w:t>
      </w:r>
      <w:r>
        <w:rPr>
          <w:rFonts w:hint="cs"/>
          <w:rtl/>
          <w:lang w:eastAsia="he-IL"/>
        </w:rPr>
        <w:t xml:space="preserve"> איך זה שאנחנו לא מסכימים על הדבר הבסיסי הזה, שאם לראש ממשלה יש הסדר </w:t>
      </w:r>
      <w:bookmarkStart w:id="22642" w:name="_ETM_Q34_692000"/>
      <w:bookmarkEnd w:id="22642"/>
      <w:r>
        <w:rPr>
          <w:rFonts w:hint="cs"/>
          <w:rtl/>
          <w:lang w:eastAsia="he-IL"/>
        </w:rPr>
        <w:t xml:space="preserve">ניגוד עניינים הוא חייב לכבד אותו כפי שכל נבחר ציבור או פקיד ציבור מחויב </w:t>
      </w:r>
      <w:bookmarkStart w:id="22643" w:name="_ETM_Q34_698000"/>
      <w:bookmarkEnd w:id="22643"/>
      <w:r>
        <w:rPr>
          <w:rFonts w:hint="cs"/>
          <w:rtl/>
          <w:lang w:eastAsia="he-IL"/>
        </w:rPr>
        <w:t>לעשות</w:t>
      </w:r>
      <w:r w:rsidR="008270E7">
        <w:rPr>
          <w:rFonts w:hint="cs"/>
          <w:rtl/>
          <w:lang w:eastAsia="he-IL"/>
        </w:rPr>
        <w:t>?</w:t>
      </w:r>
      <w:r>
        <w:rPr>
          <w:rFonts w:hint="cs"/>
          <w:rtl/>
          <w:lang w:eastAsia="he-IL"/>
        </w:rPr>
        <w:t xml:space="preserve"> במה הוא שונה מאחרים? זו מין תשתית עובדתית שצריך </w:t>
      </w:r>
      <w:bookmarkStart w:id="22644" w:name="_ETM_Q34_700000"/>
      <w:bookmarkEnd w:id="22644"/>
      <w:r>
        <w:rPr>
          <w:rFonts w:hint="cs"/>
          <w:rtl/>
          <w:lang w:eastAsia="he-IL"/>
        </w:rPr>
        <w:t xml:space="preserve">להסכים עליה. ואילו היינו מסכימים עליה, כל ההפיכה הזו לא </w:t>
      </w:r>
      <w:bookmarkStart w:id="22645" w:name="_ETM_Q34_709000"/>
      <w:bookmarkEnd w:id="22645"/>
      <w:r>
        <w:rPr>
          <w:rFonts w:hint="cs"/>
          <w:rtl/>
          <w:lang w:eastAsia="he-IL"/>
        </w:rPr>
        <w:t>הייתה באה לאוויר העולם</w:t>
      </w:r>
      <w:r w:rsidR="008270E7">
        <w:rPr>
          <w:rFonts w:hint="cs"/>
          <w:rtl/>
          <w:lang w:eastAsia="he-IL"/>
        </w:rPr>
        <w:t>.</w:t>
      </w:r>
      <w:r>
        <w:rPr>
          <w:rFonts w:hint="cs"/>
          <w:rtl/>
          <w:lang w:eastAsia="he-IL"/>
        </w:rPr>
        <w:t xml:space="preserve"> היא נולדה בחטא</w:t>
      </w:r>
      <w:r w:rsidR="008270E7">
        <w:rPr>
          <w:rFonts w:hint="cs"/>
          <w:rtl/>
          <w:lang w:eastAsia="he-IL"/>
        </w:rPr>
        <w:t>,</w:t>
      </w:r>
      <w:r>
        <w:rPr>
          <w:rFonts w:hint="cs"/>
          <w:rtl/>
          <w:lang w:eastAsia="he-IL"/>
        </w:rPr>
        <w:t xml:space="preserve"> והיא מבוססת </w:t>
      </w:r>
      <w:bookmarkStart w:id="22646" w:name="_ETM_Q34_712000"/>
      <w:bookmarkEnd w:id="22646"/>
      <w:r>
        <w:rPr>
          <w:rFonts w:hint="cs"/>
          <w:rtl/>
          <w:lang w:eastAsia="he-IL"/>
        </w:rPr>
        <w:t>על שקרים, ומפה לא תצמח טובה.</w:t>
      </w:r>
    </w:p>
    <w:p w:rsidR="00BB59CD" w:rsidRDefault="00BB59CD" w:rsidP="00BB59CD">
      <w:pPr>
        <w:rPr>
          <w:rtl/>
          <w:lang w:eastAsia="he-IL"/>
        </w:rPr>
      </w:pPr>
    </w:p>
    <w:p w:rsidR="00BB59CD" w:rsidRDefault="00BB59CD" w:rsidP="00BB59CD">
      <w:pPr>
        <w:pStyle w:val="af8"/>
        <w:keepNext/>
        <w:rPr>
          <w:rtl/>
        </w:rPr>
      </w:pPr>
      <w:bookmarkStart w:id="22647" w:name="ET_interruption_6430_31"/>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22647"/>
    </w:p>
    <w:p w:rsidR="00BB59CD" w:rsidRDefault="00BB59CD" w:rsidP="00337201">
      <w:pPr>
        <w:rPr>
          <w:rtl/>
          <w:lang w:eastAsia="he-IL"/>
        </w:rPr>
      </w:pPr>
    </w:p>
    <w:p w:rsidR="00BB59CD" w:rsidRDefault="00BB59CD" w:rsidP="00BB59CD">
      <w:pPr>
        <w:rPr>
          <w:rtl/>
          <w:lang w:eastAsia="he-IL"/>
        </w:rPr>
      </w:pPr>
      <w:r>
        <w:rPr>
          <w:rFonts w:hint="cs"/>
          <w:rtl/>
          <w:lang w:eastAsia="he-IL"/>
        </w:rPr>
        <w:t>- - - במציאות.</w:t>
      </w:r>
    </w:p>
    <w:p w:rsidR="00BB59CD" w:rsidRDefault="00BB59CD" w:rsidP="00BB59CD">
      <w:pPr>
        <w:rPr>
          <w:rtl/>
          <w:lang w:eastAsia="he-IL"/>
        </w:rPr>
      </w:pPr>
      <w:bookmarkStart w:id="22648" w:name="_ETM_Q34_716000"/>
      <w:bookmarkEnd w:id="22648"/>
    </w:p>
    <w:p w:rsidR="00BB59CD" w:rsidRDefault="00BB59CD" w:rsidP="00BB59CD">
      <w:pPr>
        <w:pStyle w:val="-"/>
        <w:keepNext/>
        <w:rPr>
          <w:rtl/>
        </w:rPr>
      </w:pPr>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8270E7">
      <w:pPr>
        <w:rPr>
          <w:rtl/>
          <w:lang w:eastAsia="he-IL"/>
        </w:rPr>
      </w:pPr>
      <w:r>
        <w:rPr>
          <w:rFonts w:hint="cs"/>
          <w:rtl/>
          <w:lang w:eastAsia="he-IL"/>
        </w:rPr>
        <w:t xml:space="preserve">וזה שנתניהו עכשיו </w:t>
      </w:r>
      <w:bookmarkStart w:id="22649" w:name="_ETM_Q34_718000"/>
      <w:bookmarkEnd w:id="22649"/>
      <w:r>
        <w:rPr>
          <w:rFonts w:hint="cs"/>
          <w:rtl/>
          <w:lang w:eastAsia="he-IL"/>
        </w:rPr>
        <w:t>עושה את כל זה תחת ניגוד עניינים ברור, ז</w:t>
      </w:r>
      <w:r w:rsidR="008270E7">
        <w:rPr>
          <w:rFonts w:hint="cs"/>
          <w:rtl/>
          <w:lang w:eastAsia="he-IL"/>
        </w:rPr>
        <w:t>ה</w:t>
      </w:r>
      <w:r>
        <w:rPr>
          <w:rFonts w:hint="cs"/>
          <w:rtl/>
          <w:lang w:eastAsia="he-IL"/>
        </w:rPr>
        <w:t xml:space="preserve"> עוד עבירה על החוק שהוא עושה, וכיוון שהוא יודע שהוא כבר הלך כל כך רחוק – המבול אחריו. מבחינתו הוא </w:t>
      </w:r>
      <w:bookmarkStart w:id="22650" w:name="_ETM_Q34_731000"/>
      <w:bookmarkEnd w:id="22650"/>
      <w:r>
        <w:rPr>
          <w:rFonts w:hint="cs"/>
          <w:rtl/>
          <w:lang w:eastAsia="he-IL"/>
        </w:rPr>
        <w:t>כבר לא יסתכן בעוד סנקציות, נכון? אז אני חושבת שהוא מאותת לנו שמבחינתו כבר אין דרך חזרה, ולכן החובה שלנו היא לבוא ולהתנגד לחקיקה הזו בכל הכוח.</w:t>
      </w:r>
    </w:p>
    <w:p w:rsidR="00BB59CD" w:rsidRDefault="00BB59CD" w:rsidP="00BB59CD">
      <w:pPr>
        <w:rPr>
          <w:rtl/>
          <w:lang w:eastAsia="he-IL"/>
        </w:rPr>
      </w:pPr>
    </w:p>
    <w:p w:rsidR="00BB59CD" w:rsidRDefault="00BB59CD" w:rsidP="008270E7">
      <w:pPr>
        <w:rPr>
          <w:rtl/>
        </w:rPr>
      </w:pPr>
      <w:r>
        <w:rPr>
          <w:rFonts w:hint="cs"/>
          <w:rtl/>
          <w:lang w:eastAsia="he-IL"/>
        </w:rPr>
        <w:t xml:space="preserve">אני רוצה לנצל את הבמה הזו כדי לתקן עוול שנעשה לבית </w:t>
      </w:r>
      <w:bookmarkStart w:id="22651" w:name="_ETM_Q34_752000"/>
      <w:bookmarkEnd w:id="22651"/>
      <w:r>
        <w:rPr>
          <w:rFonts w:hint="cs"/>
          <w:rtl/>
          <w:lang w:eastAsia="he-IL"/>
        </w:rPr>
        <w:t xml:space="preserve">המשפט. בחודשים האחרונים, בחצי השנה הזו, באמת הטילו כל כך הרבה רפש על שופטים ועל מוסד בית המשפט, </w:t>
      </w:r>
      <w:r w:rsidR="008270E7">
        <w:rPr>
          <w:rFonts w:hint="cs"/>
          <w:rtl/>
          <w:lang w:eastAsia="he-IL"/>
        </w:rPr>
        <w:t>ו</w:t>
      </w:r>
      <w:r>
        <w:rPr>
          <w:rFonts w:hint="cs"/>
          <w:rtl/>
          <w:lang w:eastAsia="he-IL"/>
        </w:rPr>
        <w:t xml:space="preserve">בית המשפט שלנו הוא מפואר, </w:t>
      </w:r>
      <w:bookmarkStart w:id="22652" w:name="_ETM_Q34_764000"/>
      <w:bookmarkEnd w:id="22652"/>
      <w:r>
        <w:rPr>
          <w:rFonts w:hint="cs"/>
          <w:rtl/>
          <w:lang w:eastAsia="he-IL"/>
        </w:rPr>
        <w:t xml:space="preserve">והציגו אותו כאילו הוא מייצג רק פריבילגים וכאילו יש </w:t>
      </w:r>
      <w:bookmarkStart w:id="22653" w:name="_ETM_Q34_766000"/>
      <w:bookmarkEnd w:id="22653"/>
      <w:r>
        <w:rPr>
          <w:rFonts w:hint="cs"/>
          <w:rtl/>
          <w:lang w:eastAsia="he-IL"/>
        </w:rPr>
        <w:t xml:space="preserve">לו דעה פוליטית, כשהאמת היא ממש ממש אחרת. </w:t>
      </w:r>
      <w:bookmarkStart w:id="22654" w:name="TOR_Q35"/>
      <w:bookmarkStart w:id="22655" w:name="_ETM_Q35_180000"/>
      <w:bookmarkEnd w:id="22654"/>
      <w:bookmarkEnd w:id="22655"/>
      <w:r>
        <w:rPr>
          <w:rFonts w:hint="cs"/>
          <w:rtl/>
        </w:rPr>
        <w:t xml:space="preserve">בית המשפט שלנו הוא מאוזן; באים מכל העולם ללמוד עליו. אני רוצה להביא כאן דוגמאות לפסיקות שמלמדות </w:t>
      </w:r>
      <w:r w:rsidR="008270E7">
        <w:rPr>
          <w:rFonts w:hint="cs"/>
          <w:rtl/>
        </w:rPr>
        <w:t>על</w:t>
      </w:r>
      <w:r>
        <w:rPr>
          <w:rFonts w:hint="cs"/>
          <w:rtl/>
        </w:rPr>
        <w:t xml:space="preserve"> </w:t>
      </w:r>
      <w:bookmarkStart w:id="22656" w:name="_ETM_Q35_184000"/>
      <w:bookmarkEnd w:id="22656"/>
      <w:r>
        <w:rPr>
          <w:rFonts w:hint="cs"/>
          <w:rtl/>
        </w:rPr>
        <w:t xml:space="preserve">עצמאותו של בית המשפט ועד כמה בית המשפט שלנו הוא </w:t>
      </w:r>
      <w:bookmarkStart w:id="22657" w:name="_ETM_Q35_185000"/>
      <w:bookmarkStart w:id="22658" w:name="_ETM_Q35_185559"/>
      <w:bookmarkStart w:id="22659" w:name="_ETM_Q35_185859"/>
      <w:bookmarkEnd w:id="22657"/>
      <w:bookmarkEnd w:id="22658"/>
      <w:bookmarkEnd w:id="22659"/>
      <w:r>
        <w:rPr>
          <w:rFonts w:hint="cs"/>
          <w:rtl/>
        </w:rPr>
        <w:t xml:space="preserve">מקור </w:t>
      </w:r>
      <w:bookmarkStart w:id="22660" w:name="_ETM_Q35_186220"/>
      <w:bookmarkEnd w:id="22660"/>
      <w:r>
        <w:rPr>
          <w:rFonts w:hint="cs"/>
          <w:rtl/>
        </w:rPr>
        <w:t xml:space="preserve">לגאווה. </w:t>
      </w:r>
      <w:bookmarkStart w:id="22661" w:name="_ETM_Q35_187359"/>
      <w:bookmarkEnd w:id="22661"/>
      <w:r>
        <w:rPr>
          <w:rFonts w:hint="cs"/>
          <w:rtl/>
        </w:rPr>
        <w:t xml:space="preserve">אני </w:t>
      </w:r>
      <w:bookmarkStart w:id="22662" w:name="_ETM_Q35_187600"/>
      <w:bookmarkEnd w:id="22662"/>
      <w:r>
        <w:rPr>
          <w:rFonts w:hint="cs"/>
          <w:rtl/>
        </w:rPr>
        <w:t xml:space="preserve">לא </w:t>
      </w:r>
      <w:bookmarkStart w:id="22663" w:name="_ETM_Q35_187720"/>
      <w:bookmarkEnd w:id="22663"/>
      <w:r>
        <w:rPr>
          <w:rFonts w:hint="cs"/>
          <w:rtl/>
        </w:rPr>
        <w:t xml:space="preserve">אומרת </w:t>
      </w:r>
      <w:bookmarkStart w:id="22664" w:name="_ETM_Q35_188019"/>
      <w:bookmarkEnd w:id="22664"/>
      <w:r>
        <w:rPr>
          <w:rFonts w:hint="cs"/>
          <w:rtl/>
        </w:rPr>
        <w:t xml:space="preserve">שאין </w:t>
      </w:r>
      <w:bookmarkStart w:id="22665" w:name="_ETM_Q35_188200"/>
      <w:bookmarkEnd w:id="22665"/>
      <w:r>
        <w:rPr>
          <w:rFonts w:hint="cs"/>
          <w:rtl/>
        </w:rPr>
        <w:t xml:space="preserve">מקום </w:t>
      </w:r>
      <w:bookmarkStart w:id="22666" w:name="_ETM_Q35_188500"/>
      <w:bookmarkEnd w:id="22666"/>
      <w:r>
        <w:rPr>
          <w:rFonts w:hint="cs"/>
          <w:rtl/>
        </w:rPr>
        <w:t xml:space="preserve">לתיקון </w:t>
      </w:r>
      <w:bookmarkStart w:id="22667" w:name="_ETM_Q35_188889"/>
      <w:bookmarkEnd w:id="22667"/>
      <w:r>
        <w:rPr>
          <w:rFonts w:hint="cs"/>
          <w:rtl/>
        </w:rPr>
        <w:t xml:space="preserve">של </w:t>
      </w:r>
      <w:bookmarkStart w:id="22668" w:name="_ETM_Q35_189039"/>
      <w:bookmarkEnd w:id="22668"/>
      <w:r>
        <w:rPr>
          <w:rFonts w:hint="cs"/>
          <w:rtl/>
        </w:rPr>
        <w:t xml:space="preserve">דברים; </w:t>
      </w:r>
      <w:bookmarkStart w:id="22669" w:name="_ETM_Q35_189760"/>
      <w:bookmarkEnd w:id="22669"/>
      <w:r>
        <w:rPr>
          <w:rFonts w:hint="cs"/>
          <w:rtl/>
        </w:rPr>
        <w:t xml:space="preserve">כל </w:t>
      </w:r>
      <w:bookmarkStart w:id="22670" w:name="_ETM_Q35_190090"/>
      <w:bookmarkEnd w:id="22670"/>
      <w:r>
        <w:rPr>
          <w:rFonts w:hint="cs"/>
          <w:rtl/>
        </w:rPr>
        <w:t xml:space="preserve">מערכת </w:t>
      </w:r>
      <w:bookmarkStart w:id="22671" w:name="_ETM_Q35_190570"/>
      <w:bookmarkEnd w:id="22671"/>
      <w:r>
        <w:rPr>
          <w:rFonts w:hint="cs"/>
          <w:rtl/>
        </w:rPr>
        <w:t xml:space="preserve">ציבורית </w:t>
      </w:r>
      <w:bookmarkStart w:id="22672" w:name="_ETM_Q35_191349"/>
      <w:bookmarkEnd w:id="22672"/>
      <w:r>
        <w:rPr>
          <w:rFonts w:hint="cs"/>
          <w:rtl/>
        </w:rPr>
        <w:t xml:space="preserve">ניתן </w:t>
      </w:r>
      <w:bookmarkStart w:id="22673" w:name="_ETM_Q35_191799"/>
      <w:bookmarkEnd w:id="22673"/>
      <w:r>
        <w:rPr>
          <w:rFonts w:hint="cs"/>
          <w:rtl/>
        </w:rPr>
        <w:t xml:space="preserve">וצריך </w:t>
      </w:r>
      <w:bookmarkStart w:id="22674" w:name="_ETM_Q35_192219"/>
      <w:bookmarkEnd w:id="22674"/>
      <w:r>
        <w:rPr>
          <w:rFonts w:hint="cs"/>
          <w:rtl/>
        </w:rPr>
        <w:t xml:space="preserve">לתקן, </w:t>
      </w:r>
      <w:bookmarkStart w:id="22675" w:name="_ETM_Q35_193059"/>
      <w:bookmarkEnd w:id="22675"/>
      <w:r>
        <w:rPr>
          <w:rFonts w:hint="cs"/>
          <w:rtl/>
        </w:rPr>
        <w:t xml:space="preserve">רק </w:t>
      </w:r>
      <w:bookmarkStart w:id="22676" w:name="_ETM_Q35_193299"/>
      <w:bookmarkEnd w:id="22676"/>
      <w:r>
        <w:rPr>
          <w:rFonts w:hint="cs"/>
          <w:rtl/>
        </w:rPr>
        <w:t xml:space="preserve">במידתיות </w:t>
      </w:r>
      <w:bookmarkStart w:id="22677" w:name="_ETM_Q35_194469"/>
      <w:bookmarkEnd w:id="22677"/>
      <w:r>
        <w:rPr>
          <w:rFonts w:hint="cs"/>
          <w:rtl/>
        </w:rPr>
        <w:t xml:space="preserve">ולא </w:t>
      </w:r>
      <w:bookmarkStart w:id="22678" w:name="_ETM_Q35_194799"/>
      <w:bookmarkEnd w:id="22678"/>
      <w:r>
        <w:rPr>
          <w:rFonts w:hint="cs"/>
          <w:rtl/>
        </w:rPr>
        <w:t xml:space="preserve">על ידי </w:t>
      </w:r>
      <w:bookmarkStart w:id="22679" w:name="_ETM_Q35_195129"/>
      <w:bookmarkEnd w:id="22679"/>
      <w:r>
        <w:rPr>
          <w:rFonts w:hint="cs"/>
          <w:rtl/>
        </w:rPr>
        <w:t xml:space="preserve">אנשים </w:t>
      </w:r>
      <w:bookmarkStart w:id="22680" w:name="_ETM_Q35_195490"/>
      <w:bookmarkEnd w:id="22680"/>
      <w:r>
        <w:rPr>
          <w:rFonts w:hint="cs"/>
          <w:rtl/>
        </w:rPr>
        <w:t xml:space="preserve">שיש </w:t>
      </w:r>
      <w:bookmarkStart w:id="22681" w:name="_ETM_Q35_195730"/>
      <w:bookmarkEnd w:id="22681"/>
      <w:r>
        <w:rPr>
          <w:rFonts w:hint="cs"/>
          <w:rtl/>
        </w:rPr>
        <w:t xml:space="preserve">להם </w:t>
      </w:r>
      <w:bookmarkStart w:id="22682" w:name="_ETM_Q35_195910"/>
      <w:bookmarkEnd w:id="22682"/>
      <w:r>
        <w:rPr>
          <w:rFonts w:hint="cs"/>
          <w:rtl/>
        </w:rPr>
        <w:t xml:space="preserve">אינטרס </w:t>
      </w:r>
      <w:bookmarkStart w:id="22683" w:name="_ETM_Q35_196300"/>
      <w:bookmarkEnd w:id="22683"/>
      <w:r>
        <w:rPr>
          <w:rFonts w:hint="cs"/>
          <w:rtl/>
        </w:rPr>
        <w:t xml:space="preserve">אישי </w:t>
      </w:r>
      <w:bookmarkStart w:id="22684" w:name="_ETM_Q35_196570"/>
      <w:bookmarkEnd w:id="22684"/>
      <w:r>
        <w:rPr>
          <w:rFonts w:hint="cs"/>
          <w:rtl/>
        </w:rPr>
        <w:t>במערכת.</w:t>
      </w:r>
    </w:p>
    <w:p w:rsidR="00BB59CD" w:rsidRDefault="00BB59CD" w:rsidP="00BB59CD">
      <w:pPr>
        <w:ind w:firstLine="0"/>
        <w:rPr>
          <w:rtl/>
        </w:rPr>
      </w:pPr>
    </w:p>
    <w:p w:rsidR="00BB59CD" w:rsidRDefault="00BB59CD" w:rsidP="00C4415F">
      <w:pPr>
        <w:rPr>
          <w:rtl/>
        </w:rPr>
      </w:pPr>
      <w:bookmarkStart w:id="22685" w:name="_ETM_Q35_198380"/>
      <w:bookmarkStart w:id="22686" w:name="_ETM_Q35_198560"/>
      <w:bookmarkStart w:id="22687" w:name="_ETM_Q35_198710"/>
      <w:bookmarkStart w:id="22688" w:name="_ETM_Q35_198980"/>
      <w:bookmarkEnd w:id="22685"/>
      <w:bookmarkEnd w:id="22686"/>
      <w:bookmarkEnd w:id="22687"/>
      <w:bookmarkEnd w:id="22688"/>
      <w:r>
        <w:rPr>
          <w:rFonts w:hint="cs"/>
          <w:rtl/>
        </w:rPr>
        <w:t xml:space="preserve">ברשותכם, אני רוצה </w:t>
      </w:r>
      <w:bookmarkStart w:id="22689" w:name="_ETM_Q35_200660"/>
      <w:bookmarkEnd w:id="22689"/>
      <w:r>
        <w:rPr>
          <w:rFonts w:hint="cs"/>
          <w:rtl/>
        </w:rPr>
        <w:t xml:space="preserve">לדבר </w:t>
      </w:r>
      <w:bookmarkStart w:id="22690" w:name="_ETM_Q35_201529"/>
      <w:bookmarkEnd w:id="22690"/>
      <w:r>
        <w:rPr>
          <w:rFonts w:hint="cs"/>
          <w:rtl/>
        </w:rPr>
        <w:t xml:space="preserve">על </w:t>
      </w:r>
      <w:bookmarkStart w:id="22691" w:name="_ETM_Q35_202460"/>
      <w:bookmarkEnd w:id="22691"/>
      <w:r>
        <w:rPr>
          <w:rFonts w:hint="cs"/>
          <w:rtl/>
        </w:rPr>
        <w:t xml:space="preserve">בג"ץ </w:t>
      </w:r>
      <w:bookmarkStart w:id="22692" w:name="_ETM_Q35_203489"/>
      <w:bookmarkEnd w:id="22692"/>
      <w:r>
        <w:rPr>
          <w:rFonts w:hint="cs"/>
          <w:rtl/>
        </w:rPr>
        <w:t>ש</w:t>
      </w:r>
      <w:bookmarkStart w:id="22693" w:name="_ETM_Q35_205109"/>
      <w:bookmarkStart w:id="22694" w:name="_ETM_Q35_206099"/>
      <w:bookmarkEnd w:id="22693"/>
      <w:bookmarkEnd w:id="22694"/>
      <w:r>
        <w:rPr>
          <w:rFonts w:hint="cs"/>
          <w:rtl/>
        </w:rPr>
        <w:t xml:space="preserve">פסק </w:t>
      </w:r>
      <w:bookmarkStart w:id="22695" w:name="_ETM_Q35_206429"/>
      <w:bookmarkEnd w:id="22695"/>
      <w:r>
        <w:rPr>
          <w:rFonts w:hint="cs"/>
          <w:rtl/>
        </w:rPr>
        <w:t xml:space="preserve">הדין </w:t>
      </w:r>
      <w:bookmarkStart w:id="22696" w:name="_ETM_Q35_206999"/>
      <w:bookmarkEnd w:id="22696"/>
      <w:r>
        <w:rPr>
          <w:rFonts w:hint="cs"/>
          <w:rtl/>
        </w:rPr>
        <w:t xml:space="preserve">בו ניתן </w:t>
      </w:r>
      <w:bookmarkStart w:id="22697" w:name="_ETM_Q35_207329"/>
      <w:bookmarkEnd w:id="22697"/>
      <w:r>
        <w:rPr>
          <w:rFonts w:hint="cs"/>
          <w:rtl/>
        </w:rPr>
        <w:t xml:space="preserve">בשנת </w:t>
      </w:r>
      <w:bookmarkStart w:id="22698" w:name="_ETM_Q35_207630"/>
      <w:bookmarkEnd w:id="22698"/>
      <w:r>
        <w:rPr>
          <w:rFonts w:hint="cs"/>
          <w:rtl/>
        </w:rPr>
        <w:t xml:space="preserve">2020. </w:t>
      </w:r>
      <w:bookmarkStart w:id="22699" w:name="_ETM_Q35_208949"/>
      <w:bookmarkEnd w:id="22699"/>
      <w:r>
        <w:rPr>
          <w:rFonts w:hint="cs"/>
          <w:rtl/>
        </w:rPr>
        <w:t xml:space="preserve">זה </w:t>
      </w:r>
      <w:bookmarkStart w:id="22700" w:name="_ETM_Q35_209070"/>
      <w:bookmarkEnd w:id="22700"/>
      <w:r>
        <w:rPr>
          <w:rFonts w:hint="cs"/>
          <w:rtl/>
        </w:rPr>
        <w:t xml:space="preserve">בג"ץ </w:t>
      </w:r>
      <w:bookmarkStart w:id="22701" w:name="_ETM_Q35_209340"/>
      <w:bookmarkEnd w:id="22701"/>
      <w:r>
        <w:rPr>
          <w:rFonts w:hint="cs"/>
          <w:rtl/>
        </w:rPr>
        <w:t xml:space="preserve">שהוגש </w:t>
      </w:r>
      <w:bookmarkStart w:id="22702" w:name="_ETM_Q35_209789"/>
      <w:bookmarkEnd w:id="22702"/>
      <w:r>
        <w:rPr>
          <w:rFonts w:hint="cs"/>
          <w:rtl/>
        </w:rPr>
        <w:t xml:space="preserve">נגד </w:t>
      </w:r>
      <w:bookmarkStart w:id="22703" w:name="_ETM_Q35_210240"/>
      <w:bookmarkEnd w:id="22703"/>
      <w:r>
        <w:rPr>
          <w:rFonts w:hint="cs"/>
          <w:rtl/>
        </w:rPr>
        <w:t xml:space="preserve">שר </w:t>
      </w:r>
      <w:bookmarkStart w:id="22704" w:name="_ETM_Q35_210570"/>
      <w:bookmarkEnd w:id="22704"/>
      <w:r>
        <w:rPr>
          <w:rFonts w:hint="cs"/>
          <w:rtl/>
        </w:rPr>
        <w:t xml:space="preserve">הבריאות, </w:t>
      </w:r>
      <w:bookmarkStart w:id="22705" w:name="_ETM_Q35_212079"/>
      <w:bookmarkEnd w:id="22705"/>
      <w:r>
        <w:rPr>
          <w:rFonts w:hint="cs"/>
          <w:rtl/>
        </w:rPr>
        <w:t xml:space="preserve">והכותרת </w:t>
      </w:r>
      <w:bookmarkStart w:id="22706" w:name="_ETM_Q35_212620"/>
      <w:bookmarkEnd w:id="22706"/>
      <w:r>
        <w:rPr>
          <w:rFonts w:hint="cs"/>
          <w:rtl/>
        </w:rPr>
        <w:t>שלו</w:t>
      </w:r>
      <w:bookmarkStart w:id="22707" w:name="_ETM_Q35_212829"/>
      <w:bookmarkEnd w:id="22707"/>
      <w:r>
        <w:rPr>
          <w:rFonts w:hint="cs"/>
          <w:rtl/>
        </w:rPr>
        <w:t xml:space="preserve"> היא: </w:t>
      </w:r>
      <w:bookmarkStart w:id="22708" w:name="_ETM_Q35_212950"/>
      <w:bookmarkEnd w:id="22708"/>
      <w:r>
        <w:rPr>
          <w:rFonts w:hint="cs"/>
          <w:rtl/>
        </w:rPr>
        <w:t xml:space="preserve">צמצום </w:t>
      </w:r>
      <w:bookmarkStart w:id="22709" w:name="_ETM_Q35_213399"/>
      <w:bookmarkEnd w:id="22709"/>
      <w:r>
        <w:rPr>
          <w:rFonts w:hint="cs"/>
          <w:rtl/>
        </w:rPr>
        <w:t xml:space="preserve">פערים </w:t>
      </w:r>
      <w:bookmarkStart w:id="22710" w:name="_ETM_Q35_213790"/>
      <w:bookmarkStart w:id="22711" w:name="_ETM_Q35_214570"/>
      <w:bookmarkEnd w:id="22710"/>
      <w:bookmarkEnd w:id="22711"/>
      <w:r>
        <w:rPr>
          <w:rFonts w:hint="cs"/>
          <w:rtl/>
        </w:rPr>
        <w:t xml:space="preserve">בשירותים </w:t>
      </w:r>
      <w:bookmarkStart w:id="22712" w:name="_ETM_Q35_215770"/>
      <w:bookmarkEnd w:id="22712"/>
      <w:r>
        <w:rPr>
          <w:rFonts w:hint="cs"/>
          <w:rtl/>
        </w:rPr>
        <w:t xml:space="preserve">ושיקום </w:t>
      </w:r>
      <w:bookmarkStart w:id="22713" w:name="_ETM_Q35_216610"/>
      <w:bookmarkEnd w:id="22713"/>
      <w:r>
        <w:rPr>
          <w:rFonts w:hint="cs"/>
          <w:rtl/>
        </w:rPr>
        <w:t xml:space="preserve">בין </w:t>
      </w:r>
      <w:bookmarkStart w:id="22714" w:name="_ETM_Q35_216940"/>
      <w:bookmarkEnd w:id="22714"/>
      <w:r>
        <w:rPr>
          <w:rFonts w:hint="cs"/>
          <w:rtl/>
        </w:rPr>
        <w:t xml:space="preserve">המרכז </w:t>
      </w:r>
      <w:bookmarkStart w:id="22715" w:name="_ETM_Q35_217540"/>
      <w:bookmarkEnd w:id="22715"/>
      <w:r>
        <w:rPr>
          <w:rFonts w:hint="cs"/>
          <w:rtl/>
        </w:rPr>
        <w:t xml:space="preserve">לפריפריה. </w:t>
      </w:r>
      <w:bookmarkStart w:id="22716" w:name="_ETM_Q35_219219"/>
      <w:bookmarkEnd w:id="22716"/>
      <w:r>
        <w:rPr>
          <w:rFonts w:hint="cs"/>
          <w:rtl/>
        </w:rPr>
        <w:t xml:space="preserve">העתירה </w:t>
      </w:r>
      <w:bookmarkStart w:id="22717" w:name="_ETM_Q35_219729"/>
      <w:bookmarkEnd w:id="22717"/>
      <w:r>
        <w:rPr>
          <w:rFonts w:hint="cs"/>
          <w:rtl/>
        </w:rPr>
        <w:t xml:space="preserve">הזאת </w:t>
      </w:r>
      <w:bookmarkStart w:id="22718" w:name="_ETM_Q35_220120"/>
      <w:bookmarkEnd w:id="22718"/>
      <w:r>
        <w:rPr>
          <w:rFonts w:hint="cs"/>
          <w:rtl/>
        </w:rPr>
        <w:t xml:space="preserve">לבג"ץ </w:t>
      </w:r>
      <w:bookmarkStart w:id="22719" w:name="_ETM_Q35_220659"/>
      <w:bookmarkEnd w:id="22719"/>
      <w:r>
        <w:rPr>
          <w:rFonts w:hint="cs"/>
          <w:rtl/>
        </w:rPr>
        <w:t xml:space="preserve">אילצה </w:t>
      </w:r>
      <w:bookmarkStart w:id="22720" w:name="_ETM_Q35_221050"/>
      <w:bookmarkEnd w:id="22720"/>
      <w:r>
        <w:rPr>
          <w:rFonts w:hint="cs"/>
          <w:rtl/>
        </w:rPr>
        <w:t xml:space="preserve">את </w:t>
      </w:r>
      <w:bookmarkStart w:id="22721" w:name="_ETM_Q35_221170"/>
      <w:bookmarkEnd w:id="22721"/>
      <w:r>
        <w:rPr>
          <w:rFonts w:hint="cs"/>
          <w:rtl/>
        </w:rPr>
        <w:t xml:space="preserve">המדינה </w:t>
      </w:r>
      <w:bookmarkStart w:id="22722" w:name="_ETM_Q35_221589"/>
      <w:bookmarkEnd w:id="22722"/>
      <w:r>
        <w:rPr>
          <w:rFonts w:hint="cs"/>
          <w:rtl/>
        </w:rPr>
        <w:t xml:space="preserve">לצמצם </w:t>
      </w:r>
      <w:bookmarkStart w:id="22723" w:name="_ETM_Q35_222280"/>
      <w:bookmarkEnd w:id="22723"/>
      <w:r>
        <w:rPr>
          <w:rFonts w:hint="cs"/>
          <w:rtl/>
        </w:rPr>
        <w:t xml:space="preserve">פערים </w:t>
      </w:r>
      <w:bookmarkStart w:id="22724" w:name="_ETM_Q35_222789"/>
      <w:bookmarkEnd w:id="22724"/>
      <w:r>
        <w:rPr>
          <w:rFonts w:hint="cs"/>
          <w:rtl/>
        </w:rPr>
        <w:t xml:space="preserve">באיכות </w:t>
      </w:r>
      <w:bookmarkStart w:id="22725" w:name="_ETM_Q35_223269"/>
      <w:bookmarkEnd w:id="22725"/>
      <w:r>
        <w:rPr>
          <w:rFonts w:hint="cs"/>
          <w:rtl/>
        </w:rPr>
        <w:t xml:space="preserve">שירותי </w:t>
      </w:r>
      <w:bookmarkStart w:id="22726" w:name="_ETM_Q35_223659"/>
      <w:bookmarkEnd w:id="22726"/>
      <w:r>
        <w:rPr>
          <w:rFonts w:hint="cs"/>
          <w:rtl/>
        </w:rPr>
        <w:t xml:space="preserve">הבריאות </w:t>
      </w:r>
      <w:bookmarkStart w:id="22727" w:name="_ETM_Q35_224199"/>
      <w:bookmarkEnd w:id="22727"/>
      <w:r>
        <w:rPr>
          <w:rFonts w:hint="cs"/>
          <w:rtl/>
        </w:rPr>
        <w:t xml:space="preserve">ולשפר </w:t>
      </w:r>
      <w:bookmarkStart w:id="22728" w:name="_ETM_Q35_224979"/>
      <w:bookmarkEnd w:id="22728"/>
      <w:r>
        <w:rPr>
          <w:rFonts w:hint="cs"/>
          <w:rtl/>
        </w:rPr>
        <w:t xml:space="preserve">את </w:t>
      </w:r>
      <w:bookmarkStart w:id="22729" w:name="_ETM_Q35_225070"/>
      <w:bookmarkEnd w:id="22729"/>
      <w:r>
        <w:rPr>
          <w:rFonts w:hint="cs"/>
          <w:rtl/>
        </w:rPr>
        <w:t xml:space="preserve">שירותי </w:t>
      </w:r>
      <w:bookmarkStart w:id="22730" w:name="_ETM_Q35_225519"/>
      <w:bookmarkEnd w:id="22730"/>
      <w:r>
        <w:rPr>
          <w:rFonts w:hint="cs"/>
          <w:rtl/>
        </w:rPr>
        <w:t xml:space="preserve">השיקום </w:t>
      </w:r>
      <w:bookmarkStart w:id="22731" w:name="_ETM_Q35_225940"/>
      <w:bookmarkEnd w:id="22731"/>
      <w:r>
        <w:rPr>
          <w:rFonts w:hint="cs"/>
          <w:rtl/>
        </w:rPr>
        <w:t xml:space="preserve">בפריפריה. </w:t>
      </w:r>
      <w:bookmarkStart w:id="22732" w:name="_ETM_Q35_227409"/>
      <w:bookmarkEnd w:id="22732"/>
      <w:r>
        <w:rPr>
          <w:rFonts w:hint="cs"/>
          <w:rtl/>
        </w:rPr>
        <w:t xml:space="preserve">העתירה הזאת, עתירה </w:t>
      </w:r>
      <w:bookmarkStart w:id="22733" w:name="_ETM_Q35_227989"/>
      <w:bookmarkStart w:id="22734" w:name="_ETM_Q35_228469"/>
      <w:bookmarkStart w:id="22735" w:name="_ETM_Q35_228829"/>
      <w:bookmarkEnd w:id="22733"/>
      <w:bookmarkEnd w:id="22734"/>
      <w:bookmarkEnd w:id="22735"/>
      <w:r>
        <w:rPr>
          <w:rFonts w:hint="cs"/>
          <w:rtl/>
        </w:rPr>
        <w:t>מאוד</w:t>
      </w:r>
      <w:bookmarkStart w:id="22736" w:name="_ETM_Q35_229070"/>
      <w:bookmarkEnd w:id="22736"/>
      <w:r>
        <w:rPr>
          <w:rFonts w:hint="cs"/>
          <w:rtl/>
        </w:rPr>
        <w:t xml:space="preserve"> מאוד </w:t>
      </w:r>
      <w:bookmarkStart w:id="22737" w:name="_ETM_Q35_229280"/>
      <w:bookmarkEnd w:id="22737"/>
      <w:r>
        <w:rPr>
          <w:rFonts w:hint="cs"/>
          <w:rtl/>
        </w:rPr>
        <w:t xml:space="preserve">חשובה, </w:t>
      </w:r>
      <w:bookmarkStart w:id="22738" w:name="_ETM_Q35_229879"/>
      <w:bookmarkEnd w:id="22738"/>
      <w:r>
        <w:rPr>
          <w:rFonts w:hint="cs"/>
          <w:rtl/>
        </w:rPr>
        <w:t xml:space="preserve">הוגשה </w:t>
      </w:r>
      <w:bookmarkStart w:id="22739" w:name="_ETM_Q35_230749"/>
      <w:bookmarkEnd w:id="22739"/>
      <w:r>
        <w:rPr>
          <w:rFonts w:hint="cs"/>
          <w:rtl/>
        </w:rPr>
        <w:t xml:space="preserve">בשל </w:t>
      </w:r>
      <w:bookmarkStart w:id="22740" w:name="_ETM_Q35_231199"/>
      <w:bookmarkEnd w:id="22740"/>
      <w:r w:rsidR="00C4415F">
        <w:rPr>
          <w:rFonts w:hint="cs"/>
          <w:rtl/>
        </w:rPr>
        <w:t>ה</w:t>
      </w:r>
      <w:r>
        <w:rPr>
          <w:rFonts w:hint="cs"/>
          <w:rtl/>
        </w:rPr>
        <w:t>אי</w:t>
      </w:r>
      <w:bookmarkStart w:id="22741" w:name="_ETM_Q35_231440"/>
      <w:bookmarkEnd w:id="22741"/>
      <w:r>
        <w:rPr>
          <w:rFonts w:hint="cs"/>
          <w:rtl/>
        </w:rPr>
        <w:t xml:space="preserve">-שוויון </w:t>
      </w:r>
      <w:bookmarkStart w:id="22742" w:name="_ETM_Q35_231889"/>
      <w:bookmarkEnd w:id="22742"/>
      <w:r>
        <w:rPr>
          <w:rFonts w:hint="cs"/>
          <w:rtl/>
        </w:rPr>
        <w:t xml:space="preserve">החריף </w:t>
      </w:r>
      <w:bookmarkStart w:id="22743" w:name="_ETM_Q35_232699"/>
      <w:bookmarkEnd w:id="22743"/>
      <w:r>
        <w:rPr>
          <w:rFonts w:hint="cs"/>
          <w:rtl/>
        </w:rPr>
        <w:t xml:space="preserve">בין </w:t>
      </w:r>
      <w:bookmarkStart w:id="22744" w:name="_ETM_Q35_232969"/>
      <w:bookmarkEnd w:id="22744"/>
      <w:r>
        <w:rPr>
          <w:rFonts w:hint="cs"/>
          <w:rtl/>
        </w:rPr>
        <w:t xml:space="preserve">הזמינות </w:t>
      </w:r>
      <w:bookmarkStart w:id="22745" w:name="_ETM_Q35_233780"/>
      <w:bookmarkEnd w:id="22745"/>
      <w:r>
        <w:rPr>
          <w:rFonts w:hint="cs"/>
          <w:rtl/>
        </w:rPr>
        <w:t xml:space="preserve">והאיכות </w:t>
      </w:r>
      <w:bookmarkStart w:id="22746" w:name="_ETM_Q35_234319"/>
      <w:bookmarkEnd w:id="22746"/>
      <w:r>
        <w:rPr>
          <w:rFonts w:hint="cs"/>
          <w:rtl/>
        </w:rPr>
        <w:t xml:space="preserve">של </w:t>
      </w:r>
      <w:bookmarkStart w:id="22747" w:name="_ETM_Q35_234440"/>
      <w:bookmarkEnd w:id="22747"/>
      <w:r>
        <w:rPr>
          <w:rFonts w:hint="cs"/>
          <w:rtl/>
        </w:rPr>
        <w:t xml:space="preserve">שירותי </w:t>
      </w:r>
      <w:bookmarkStart w:id="22748" w:name="_ETM_Q35_234829"/>
      <w:bookmarkEnd w:id="22748"/>
      <w:r>
        <w:rPr>
          <w:rFonts w:hint="cs"/>
          <w:rtl/>
        </w:rPr>
        <w:t xml:space="preserve">השיקום </w:t>
      </w:r>
      <w:bookmarkStart w:id="22749" w:name="_ETM_Q35_235219"/>
      <w:bookmarkEnd w:id="22749"/>
      <w:r>
        <w:rPr>
          <w:rFonts w:hint="cs"/>
          <w:rtl/>
        </w:rPr>
        <w:t xml:space="preserve">הרפואי </w:t>
      </w:r>
      <w:bookmarkStart w:id="22750" w:name="_ETM_Q35_235909"/>
      <w:bookmarkEnd w:id="22750"/>
      <w:r>
        <w:rPr>
          <w:rFonts w:hint="cs"/>
          <w:rtl/>
        </w:rPr>
        <w:t xml:space="preserve">בדרום </w:t>
      </w:r>
      <w:bookmarkStart w:id="22751" w:name="_ETM_Q35_236389"/>
      <w:bookmarkEnd w:id="22751"/>
      <w:r>
        <w:rPr>
          <w:rFonts w:hint="cs"/>
          <w:rtl/>
        </w:rPr>
        <w:t xml:space="preserve">ובצפון </w:t>
      </w:r>
      <w:bookmarkStart w:id="22752" w:name="_ETM_Q35_237380"/>
      <w:bookmarkEnd w:id="22752"/>
      <w:r>
        <w:rPr>
          <w:rFonts w:hint="cs"/>
          <w:rtl/>
        </w:rPr>
        <w:t xml:space="preserve">לעומת </w:t>
      </w:r>
      <w:bookmarkStart w:id="22753" w:name="_ETM_Q35_238070"/>
      <w:bookmarkEnd w:id="22753"/>
      <w:r>
        <w:rPr>
          <w:rFonts w:hint="cs"/>
          <w:rtl/>
        </w:rPr>
        <w:t xml:space="preserve">מרכז </w:t>
      </w:r>
      <w:bookmarkStart w:id="22754" w:name="_ETM_Q35_238550"/>
      <w:bookmarkEnd w:id="22754"/>
      <w:r>
        <w:rPr>
          <w:rFonts w:hint="cs"/>
          <w:rtl/>
        </w:rPr>
        <w:t xml:space="preserve">הארץ. </w:t>
      </w:r>
      <w:bookmarkStart w:id="22755" w:name="_ETM_Q35_239620"/>
      <w:bookmarkEnd w:id="22755"/>
      <w:r>
        <w:rPr>
          <w:rFonts w:hint="cs"/>
          <w:rtl/>
        </w:rPr>
        <w:t xml:space="preserve">האפליה </w:t>
      </w:r>
      <w:bookmarkStart w:id="22756" w:name="_ETM_Q35_240460"/>
      <w:bookmarkEnd w:id="22756"/>
      <w:r>
        <w:rPr>
          <w:rFonts w:hint="cs"/>
          <w:rtl/>
        </w:rPr>
        <w:t xml:space="preserve">הזו </w:t>
      </w:r>
      <w:bookmarkStart w:id="22757" w:name="_ETM_Q35_240670"/>
      <w:bookmarkEnd w:id="22757"/>
      <w:r>
        <w:rPr>
          <w:rFonts w:hint="cs"/>
          <w:rtl/>
        </w:rPr>
        <w:t xml:space="preserve">נובעת </w:t>
      </w:r>
      <w:bookmarkStart w:id="22758" w:name="_ETM_Q35_241390"/>
      <w:bookmarkEnd w:id="22758"/>
      <w:r>
        <w:rPr>
          <w:rFonts w:hint="cs"/>
          <w:rtl/>
        </w:rPr>
        <w:t xml:space="preserve">מחלוקה </w:t>
      </w:r>
      <w:bookmarkStart w:id="22759" w:name="_ETM_Q35_241989"/>
      <w:bookmarkEnd w:id="22759"/>
      <w:r>
        <w:rPr>
          <w:rFonts w:hint="cs"/>
          <w:rtl/>
        </w:rPr>
        <w:t xml:space="preserve">בלתי </w:t>
      </w:r>
      <w:bookmarkStart w:id="22760" w:name="_ETM_Q35_242290"/>
      <w:bookmarkEnd w:id="22760"/>
      <w:r>
        <w:rPr>
          <w:rFonts w:hint="cs"/>
          <w:rtl/>
        </w:rPr>
        <w:t xml:space="preserve">צודקת </w:t>
      </w:r>
      <w:bookmarkStart w:id="22761" w:name="_ETM_Q35_242770"/>
      <w:bookmarkEnd w:id="22761"/>
      <w:r>
        <w:rPr>
          <w:rFonts w:hint="cs"/>
          <w:rtl/>
        </w:rPr>
        <w:t xml:space="preserve">ומפלה </w:t>
      </w:r>
      <w:bookmarkStart w:id="22762" w:name="_ETM_Q35_243520"/>
      <w:bookmarkEnd w:id="22762"/>
      <w:r>
        <w:rPr>
          <w:rFonts w:hint="cs"/>
          <w:rtl/>
        </w:rPr>
        <w:t xml:space="preserve">של </w:t>
      </w:r>
      <w:bookmarkStart w:id="22763" w:name="_ETM_Q35_243730"/>
      <w:bookmarkEnd w:id="22763"/>
      <w:r>
        <w:rPr>
          <w:rFonts w:hint="cs"/>
          <w:rtl/>
        </w:rPr>
        <w:t xml:space="preserve">משאבי </w:t>
      </w:r>
      <w:bookmarkStart w:id="22764" w:name="_ETM_Q35_244150"/>
      <w:bookmarkEnd w:id="22764"/>
      <w:r>
        <w:rPr>
          <w:rFonts w:hint="cs"/>
          <w:rtl/>
        </w:rPr>
        <w:t xml:space="preserve">הבריאות. </w:t>
      </w:r>
      <w:bookmarkStart w:id="22765" w:name="_ETM_Q35_245200"/>
      <w:bookmarkEnd w:id="22765"/>
      <w:r>
        <w:rPr>
          <w:rFonts w:hint="cs"/>
          <w:rtl/>
        </w:rPr>
        <w:t xml:space="preserve">העתירה </w:t>
      </w:r>
      <w:bookmarkStart w:id="22766" w:name="_ETM_Q35_245800"/>
      <w:bookmarkEnd w:id="22766"/>
      <w:r>
        <w:rPr>
          <w:rFonts w:hint="cs"/>
          <w:rtl/>
        </w:rPr>
        <w:t xml:space="preserve">הובילה </w:t>
      </w:r>
      <w:bookmarkStart w:id="22767" w:name="_ETM_Q35_246130"/>
      <w:bookmarkEnd w:id="22767"/>
      <w:r>
        <w:rPr>
          <w:rFonts w:hint="cs"/>
          <w:rtl/>
        </w:rPr>
        <w:t xml:space="preserve">לשיפורים </w:t>
      </w:r>
      <w:bookmarkStart w:id="22768" w:name="_ETM_Q35_246580"/>
      <w:bookmarkEnd w:id="22768"/>
      <w:r>
        <w:rPr>
          <w:rFonts w:hint="cs"/>
          <w:rtl/>
        </w:rPr>
        <w:t xml:space="preserve">משמעותיים </w:t>
      </w:r>
      <w:bookmarkStart w:id="22769" w:name="_ETM_Q35_247360"/>
      <w:bookmarkEnd w:id="22769"/>
      <w:r>
        <w:rPr>
          <w:rFonts w:hint="cs"/>
          <w:rtl/>
        </w:rPr>
        <w:t xml:space="preserve">בזמינות </w:t>
      </w:r>
      <w:bookmarkStart w:id="22770" w:name="_ETM_Q35_247840"/>
      <w:bookmarkEnd w:id="22770"/>
      <w:r>
        <w:rPr>
          <w:rFonts w:hint="cs"/>
          <w:rtl/>
        </w:rPr>
        <w:t xml:space="preserve">של </w:t>
      </w:r>
      <w:bookmarkStart w:id="22771" w:name="_ETM_Q35_247959"/>
      <w:bookmarkEnd w:id="22771"/>
      <w:r>
        <w:rPr>
          <w:rFonts w:hint="cs"/>
          <w:rtl/>
        </w:rPr>
        <w:t xml:space="preserve">השירותים </w:t>
      </w:r>
      <w:bookmarkStart w:id="22772" w:name="_ETM_Q35_248409"/>
      <w:bookmarkEnd w:id="22772"/>
      <w:r>
        <w:rPr>
          <w:rFonts w:hint="cs"/>
          <w:rtl/>
        </w:rPr>
        <w:t xml:space="preserve">בפריפריה </w:t>
      </w:r>
      <w:bookmarkStart w:id="22773" w:name="_ETM_Q35_249040"/>
      <w:bookmarkEnd w:id="22773"/>
      <w:r>
        <w:rPr>
          <w:rFonts w:hint="cs"/>
          <w:rtl/>
        </w:rPr>
        <w:t xml:space="preserve">ולהקמה </w:t>
      </w:r>
      <w:bookmarkStart w:id="22774" w:name="_ETM_Q35_249640"/>
      <w:bookmarkEnd w:id="22774"/>
      <w:r>
        <w:rPr>
          <w:rFonts w:hint="cs"/>
          <w:rtl/>
        </w:rPr>
        <w:t xml:space="preserve">של </w:t>
      </w:r>
      <w:bookmarkStart w:id="22775" w:name="_ETM_Q35_249790"/>
      <w:bookmarkEnd w:id="22775"/>
      <w:r>
        <w:rPr>
          <w:rFonts w:hint="cs"/>
          <w:rtl/>
        </w:rPr>
        <w:t xml:space="preserve">ועדה </w:t>
      </w:r>
      <w:bookmarkStart w:id="22776" w:name="_ETM_Q35_250209"/>
      <w:bookmarkEnd w:id="22776"/>
      <w:r>
        <w:rPr>
          <w:rFonts w:hint="cs"/>
          <w:rtl/>
        </w:rPr>
        <w:t xml:space="preserve">במשרד </w:t>
      </w:r>
      <w:bookmarkStart w:id="22777" w:name="_ETM_Q35_250900"/>
      <w:bookmarkEnd w:id="22777"/>
      <w:r>
        <w:rPr>
          <w:rFonts w:hint="cs"/>
          <w:rtl/>
        </w:rPr>
        <w:t xml:space="preserve">הבריאות </w:t>
      </w:r>
      <w:bookmarkStart w:id="22778" w:name="_ETM_Q35_251709"/>
      <w:bookmarkEnd w:id="22778"/>
      <w:r>
        <w:rPr>
          <w:rFonts w:hint="cs"/>
          <w:rtl/>
        </w:rPr>
        <w:t xml:space="preserve">לבחינת </w:t>
      </w:r>
      <w:bookmarkStart w:id="22779" w:name="_ETM_Q35_252840"/>
      <w:bookmarkEnd w:id="22779"/>
      <w:r>
        <w:rPr>
          <w:rFonts w:hint="cs"/>
          <w:rtl/>
        </w:rPr>
        <w:t xml:space="preserve">קביעת </w:t>
      </w:r>
      <w:bookmarkStart w:id="22780" w:name="_ETM_Q35_253380"/>
      <w:bookmarkEnd w:id="22780"/>
      <w:r>
        <w:rPr>
          <w:rFonts w:hint="cs"/>
          <w:rtl/>
        </w:rPr>
        <w:t xml:space="preserve">סטנדרטים </w:t>
      </w:r>
      <w:bookmarkStart w:id="22781" w:name="_ETM_Q35_254040"/>
      <w:bookmarkEnd w:id="22781"/>
      <w:r>
        <w:rPr>
          <w:rFonts w:hint="cs"/>
          <w:rtl/>
        </w:rPr>
        <w:t xml:space="preserve">של </w:t>
      </w:r>
      <w:bookmarkStart w:id="22782" w:name="_ETM_Q35_254220"/>
      <w:bookmarkEnd w:id="22782"/>
      <w:r>
        <w:rPr>
          <w:rFonts w:hint="cs"/>
          <w:rtl/>
        </w:rPr>
        <w:t xml:space="preserve">זמן, </w:t>
      </w:r>
      <w:bookmarkStart w:id="22783" w:name="_ETM_Q35_254580"/>
      <w:bookmarkEnd w:id="22783"/>
      <w:r>
        <w:rPr>
          <w:rFonts w:hint="cs"/>
          <w:rtl/>
        </w:rPr>
        <w:t xml:space="preserve">מרחק </w:t>
      </w:r>
      <w:bookmarkStart w:id="22784" w:name="_ETM_Q35_255060"/>
      <w:bookmarkEnd w:id="22784"/>
      <w:r>
        <w:rPr>
          <w:rFonts w:hint="cs"/>
          <w:rtl/>
        </w:rPr>
        <w:t xml:space="preserve">ואיכות </w:t>
      </w:r>
      <w:bookmarkStart w:id="22785" w:name="_ETM_Q35_255630"/>
      <w:bookmarkEnd w:id="22785"/>
      <w:r>
        <w:rPr>
          <w:rFonts w:hint="cs"/>
          <w:rtl/>
        </w:rPr>
        <w:t xml:space="preserve">סבירים. </w:t>
      </w:r>
      <w:bookmarkStart w:id="22786" w:name="_ETM_Q35_256890"/>
      <w:bookmarkEnd w:id="22786"/>
      <w:r>
        <w:rPr>
          <w:rFonts w:hint="cs"/>
          <w:rtl/>
        </w:rPr>
        <w:t xml:space="preserve">לנוכח </w:t>
      </w:r>
      <w:bookmarkStart w:id="22787" w:name="_ETM_Q35_257520"/>
      <w:bookmarkEnd w:id="22787"/>
      <w:r>
        <w:rPr>
          <w:rFonts w:hint="cs"/>
          <w:rtl/>
        </w:rPr>
        <w:t xml:space="preserve">השינויים </w:t>
      </w:r>
      <w:bookmarkStart w:id="22788" w:name="_ETM_Q35_258060"/>
      <w:bookmarkEnd w:id="22788"/>
      <w:r>
        <w:rPr>
          <w:rFonts w:hint="cs"/>
          <w:rtl/>
        </w:rPr>
        <w:t xml:space="preserve">האלה </w:t>
      </w:r>
      <w:bookmarkStart w:id="22789" w:name="_ETM_Q35_258420"/>
      <w:bookmarkEnd w:id="22789"/>
      <w:r>
        <w:rPr>
          <w:rFonts w:hint="cs"/>
          <w:rtl/>
        </w:rPr>
        <w:t xml:space="preserve">שהמדינה </w:t>
      </w:r>
      <w:bookmarkStart w:id="22790" w:name="_ETM_Q35_258959"/>
      <w:bookmarkEnd w:id="22790"/>
      <w:r w:rsidR="00C4415F">
        <w:rPr>
          <w:rFonts w:hint="cs"/>
          <w:rtl/>
        </w:rPr>
        <w:t>עשתה</w:t>
      </w:r>
      <w:r>
        <w:rPr>
          <w:rFonts w:hint="cs"/>
          <w:rtl/>
        </w:rPr>
        <w:t xml:space="preserve"> </w:t>
      </w:r>
      <w:bookmarkStart w:id="22791" w:name="_ETM_Q35_259289"/>
      <w:bookmarkEnd w:id="22791"/>
      <w:r>
        <w:rPr>
          <w:rFonts w:hint="cs"/>
          <w:rtl/>
        </w:rPr>
        <w:t xml:space="preserve">לבקשת </w:t>
      </w:r>
      <w:bookmarkStart w:id="22792" w:name="_ETM_Q35_259799"/>
      <w:bookmarkEnd w:id="22792"/>
      <w:r>
        <w:rPr>
          <w:rFonts w:hint="cs"/>
          <w:rtl/>
        </w:rPr>
        <w:t xml:space="preserve">בג"ץ, </w:t>
      </w:r>
      <w:bookmarkStart w:id="22793" w:name="_ETM_Q35_260799"/>
      <w:bookmarkEnd w:id="22793"/>
      <w:r>
        <w:rPr>
          <w:rFonts w:hint="cs"/>
          <w:rtl/>
        </w:rPr>
        <w:t xml:space="preserve">בג"ץ </w:t>
      </w:r>
      <w:bookmarkStart w:id="22794" w:name="_ETM_Q35_261159"/>
      <w:bookmarkEnd w:id="22794"/>
      <w:r>
        <w:rPr>
          <w:rFonts w:hint="cs"/>
          <w:rtl/>
        </w:rPr>
        <w:t xml:space="preserve">מחק </w:t>
      </w:r>
      <w:bookmarkStart w:id="22795" w:name="_ETM_Q35_261609"/>
      <w:bookmarkEnd w:id="22795"/>
      <w:r>
        <w:rPr>
          <w:rFonts w:hint="cs"/>
          <w:rtl/>
        </w:rPr>
        <w:t xml:space="preserve">את </w:t>
      </w:r>
      <w:bookmarkStart w:id="22796" w:name="_ETM_Q35_261819"/>
      <w:bookmarkEnd w:id="22796"/>
      <w:r>
        <w:rPr>
          <w:rFonts w:hint="cs"/>
          <w:rtl/>
        </w:rPr>
        <w:t xml:space="preserve">העתירה. </w:t>
      </w:r>
      <w:bookmarkStart w:id="22797" w:name="_ETM_Q35_262389"/>
      <w:bookmarkEnd w:id="22797"/>
      <w:r>
        <w:rPr>
          <w:rFonts w:hint="cs"/>
          <w:rtl/>
        </w:rPr>
        <w:t xml:space="preserve">תראה </w:t>
      </w:r>
      <w:bookmarkStart w:id="22798" w:name="_ETM_Q35_262810"/>
      <w:bookmarkEnd w:id="22798"/>
      <w:r>
        <w:rPr>
          <w:rFonts w:hint="cs"/>
          <w:rtl/>
        </w:rPr>
        <w:t xml:space="preserve">איזה </w:t>
      </w:r>
      <w:bookmarkStart w:id="22799" w:name="_ETM_Q35_263020"/>
      <w:bookmarkEnd w:id="22799"/>
      <w:r>
        <w:rPr>
          <w:rFonts w:hint="cs"/>
          <w:rtl/>
        </w:rPr>
        <w:t>חשיבות.</w:t>
      </w:r>
    </w:p>
    <w:p w:rsidR="00BB59CD" w:rsidRDefault="00BB59CD" w:rsidP="00BB59CD">
      <w:pPr>
        <w:rPr>
          <w:rtl/>
        </w:rPr>
      </w:pPr>
      <w:bookmarkStart w:id="22800" w:name="_ETM_Q35_266000"/>
      <w:bookmarkEnd w:id="22800"/>
    </w:p>
    <w:p w:rsidR="00BB59CD" w:rsidRDefault="00BB59CD" w:rsidP="00BB59CD">
      <w:pPr>
        <w:rPr>
          <w:rtl/>
        </w:rPr>
      </w:pPr>
      <w:bookmarkStart w:id="22801" w:name="_ETM_Q35_264590"/>
      <w:bookmarkEnd w:id="22801"/>
      <w:r>
        <w:rPr>
          <w:rFonts w:hint="cs"/>
          <w:rtl/>
        </w:rPr>
        <w:t xml:space="preserve">אני </w:t>
      </w:r>
      <w:bookmarkStart w:id="22802" w:name="_ETM_Q35_264829"/>
      <w:bookmarkEnd w:id="22802"/>
      <w:r>
        <w:rPr>
          <w:rFonts w:hint="cs"/>
          <w:rtl/>
        </w:rPr>
        <w:t xml:space="preserve">יכולה </w:t>
      </w:r>
      <w:bookmarkStart w:id="22803" w:name="_ETM_Q35_265040"/>
      <w:bookmarkEnd w:id="22803"/>
      <w:r>
        <w:rPr>
          <w:rFonts w:hint="cs"/>
          <w:rtl/>
        </w:rPr>
        <w:t xml:space="preserve">להביא </w:t>
      </w:r>
      <w:bookmarkStart w:id="22804" w:name="_ETM_Q35_265340"/>
      <w:bookmarkEnd w:id="22804"/>
      <w:r>
        <w:rPr>
          <w:rFonts w:hint="cs"/>
          <w:rtl/>
        </w:rPr>
        <w:t xml:space="preserve">עוד </w:t>
      </w:r>
      <w:bookmarkStart w:id="22805" w:name="_ETM_Q35_265520"/>
      <w:bookmarkEnd w:id="22805"/>
      <w:r>
        <w:rPr>
          <w:rFonts w:hint="cs"/>
          <w:rtl/>
        </w:rPr>
        <w:t xml:space="preserve">דוגמה </w:t>
      </w:r>
      <w:bookmarkStart w:id="22806" w:name="_ETM_Q35_265819"/>
      <w:bookmarkEnd w:id="22806"/>
      <w:r>
        <w:rPr>
          <w:rFonts w:hint="cs"/>
          <w:rtl/>
        </w:rPr>
        <w:t xml:space="preserve">חשובה: </w:t>
      </w:r>
      <w:bookmarkStart w:id="22807" w:name="_ETM_Q35_267209"/>
      <w:bookmarkEnd w:id="22807"/>
      <w:r>
        <w:rPr>
          <w:rFonts w:hint="cs"/>
          <w:rtl/>
        </w:rPr>
        <w:t xml:space="preserve">עמותת </w:t>
      </w:r>
      <w:bookmarkStart w:id="22808" w:name="_ETM_Q35_267000"/>
      <w:bookmarkEnd w:id="22808"/>
      <w:r>
        <w:rPr>
          <w:rFonts w:hint="cs"/>
          <w:rtl/>
        </w:rPr>
        <w:t xml:space="preserve">שיח </w:t>
      </w:r>
      <w:bookmarkStart w:id="22809" w:name="_ETM_Q35_267990"/>
      <w:bookmarkEnd w:id="22809"/>
      <w:r>
        <w:rPr>
          <w:rFonts w:hint="cs"/>
          <w:rtl/>
        </w:rPr>
        <w:t xml:space="preserve">חדש </w:t>
      </w:r>
      <w:bookmarkStart w:id="22810" w:name="_ETM_Q35_268410"/>
      <w:bookmarkEnd w:id="22810"/>
      <w:r>
        <w:rPr>
          <w:rFonts w:hint="cs"/>
          <w:rtl/>
        </w:rPr>
        <w:t xml:space="preserve">למען </w:t>
      </w:r>
      <w:bookmarkStart w:id="22811" w:name="_ETM_Q35_268920"/>
      <w:bookmarkEnd w:id="22811"/>
      <w:r>
        <w:rPr>
          <w:rFonts w:hint="cs"/>
          <w:rtl/>
        </w:rPr>
        <w:t xml:space="preserve">השיח </w:t>
      </w:r>
      <w:bookmarkStart w:id="22812" w:name="_ETM_Q35_269310"/>
      <w:bookmarkEnd w:id="22812"/>
      <w:r w:rsidR="00C4415F">
        <w:rPr>
          <w:rFonts w:hint="cs"/>
          <w:rtl/>
        </w:rPr>
        <w:t>הדמוקרטי</w:t>
      </w:r>
      <w:r>
        <w:rPr>
          <w:rFonts w:hint="cs"/>
          <w:rtl/>
        </w:rPr>
        <w:t xml:space="preserve"> </w:t>
      </w:r>
      <w:bookmarkStart w:id="22813" w:name="_ETM_Q35_270120"/>
      <w:bookmarkEnd w:id="22813"/>
      <w:r>
        <w:rPr>
          <w:rFonts w:hint="cs"/>
          <w:rtl/>
        </w:rPr>
        <w:t xml:space="preserve">נגד </w:t>
      </w:r>
      <w:bookmarkStart w:id="22814" w:name="_ETM_Q35_270480"/>
      <w:bookmarkEnd w:id="22814"/>
      <w:r>
        <w:rPr>
          <w:rFonts w:hint="cs"/>
          <w:rtl/>
        </w:rPr>
        <w:t xml:space="preserve">שר </w:t>
      </w:r>
      <w:bookmarkStart w:id="22815" w:name="_ETM_Q35_270750"/>
      <w:bookmarkEnd w:id="22815"/>
      <w:r>
        <w:rPr>
          <w:rFonts w:hint="cs"/>
          <w:rtl/>
        </w:rPr>
        <w:t xml:space="preserve">התשתיות </w:t>
      </w:r>
      <w:bookmarkStart w:id="22816" w:name="_ETM_Q35_271290"/>
      <w:bookmarkEnd w:id="22816"/>
      <w:r>
        <w:rPr>
          <w:rFonts w:hint="cs"/>
          <w:rtl/>
        </w:rPr>
        <w:t xml:space="preserve">הלאומיות. </w:t>
      </w:r>
      <w:bookmarkStart w:id="22817" w:name="_ETM_Q35_272800"/>
      <w:bookmarkEnd w:id="22817"/>
      <w:r>
        <w:rPr>
          <w:rFonts w:hint="cs"/>
          <w:rtl/>
        </w:rPr>
        <w:t xml:space="preserve">העתירה </w:t>
      </w:r>
      <w:bookmarkStart w:id="22818" w:name="_ETM_Q35_273280"/>
      <w:bookmarkEnd w:id="22818"/>
      <w:r>
        <w:rPr>
          <w:rFonts w:hint="cs"/>
          <w:rtl/>
        </w:rPr>
        <w:t xml:space="preserve">הזו </w:t>
      </w:r>
      <w:bookmarkStart w:id="22819" w:name="_ETM_Q35_273520"/>
      <w:bookmarkEnd w:id="22819"/>
      <w:r>
        <w:rPr>
          <w:rFonts w:hint="cs"/>
          <w:rtl/>
        </w:rPr>
        <w:t xml:space="preserve">עסקה </w:t>
      </w:r>
      <w:bookmarkStart w:id="22820" w:name="_ETM_Q35_273909"/>
      <w:bookmarkEnd w:id="22820"/>
      <w:r>
        <w:rPr>
          <w:rFonts w:hint="cs"/>
          <w:rtl/>
        </w:rPr>
        <w:t xml:space="preserve">באפליית </w:t>
      </w:r>
      <w:bookmarkStart w:id="22821" w:name="_ETM_Q35_274569"/>
      <w:bookmarkEnd w:id="22821"/>
      <w:r>
        <w:rPr>
          <w:rFonts w:hint="cs"/>
          <w:rtl/>
        </w:rPr>
        <w:t xml:space="preserve">עיירות </w:t>
      </w:r>
      <w:bookmarkStart w:id="22822" w:name="_ETM_Q35_275020"/>
      <w:bookmarkEnd w:id="22822"/>
      <w:r>
        <w:rPr>
          <w:rFonts w:hint="cs"/>
          <w:rtl/>
        </w:rPr>
        <w:t xml:space="preserve">הפיתוח </w:t>
      </w:r>
      <w:bookmarkStart w:id="22823" w:name="_ETM_Q35_275560"/>
      <w:bookmarkEnd w:id="22823"/>
      <w:r>
        <w:rPr>
          <w:rFonts w:hint="cs"/>
          <w:rtl/>
        </w:rPr>
        <w:t xml:space="preserve">וכלל </w:t>
      </w:r>
      <w:bookmarkStart w:id="22824" w:name="_ETM_Q35_276010"/>
      <w:bookmarkEnd w:id="22824"/>
      <w:r>
        <w:rPr>
          <w:rFonts w:hint="cs"/>
          <w:rtl/>
        </w:rPr>
        <w:t xml:space="preserve">הציבור </w:t>
      </w:r>
      <w:bookmarkStart w:id="22825" w:name="_ETM_Q35_276580"/>
      <w:bookmarkEnd w:id="22825"/>
      <w:r>
        <w:rPr>
          <w:rFonts w:hint="cs"/>
          <w:rtl/>
        </w:rPr>
        <w:t xml:space="preserve">בהקצאת </w:t>
      </w:r>
      <w:bookmarkStart w:id="22826" w:name="_ETM_Q35_277060"/>
      <w:bookmarkEnd w:id="22826"/>
      <w:r>
        <w:rPr>
          <w:rFonts w:hint="cs"/>
          <w:rtl/>
        </w:rPr>
        <w:t xml:space="preserve">משאבים </w:t>
      </w:r>
      <w:bookmarkStart w:id="22827" w:name="_ETM_Q35_277840"/>
      <w:bookmarkEnd w:id="22827"/>
      <w:r>
        <w:rPr>
          <w:rFonts w:hint="cs"/>
          <w:rtl/>
        </w:rPr>
        <w:t xml:space="preserve">של </w:t>
      </w:r>
      <w:bookmarkStart w:id="22828" w:name="_ETM_Q35_278140"/>
      <w:bookmarkEnd w:id="22828"/>
      <w:r>
        <w:rPr>
          <w:rFonts w:hint="cs"/>
          <w:rtl/>
        </w:rPr>
        <w:t>קרקע.</w:t>
      </w:r>
    </w:p>
    <w:p w:rsidR="00BB59CD" w:rsidRDefault="00BB59CD" w:rsidP="00BB59CD">
      <w:pPr>
        <w:rPr>
          <w:rtl/>
        </w:rPr>
      </w:pPr>
      <w:bookmarkStart w:id="22829" w:name="_ETM_Q35_280000"/>
      <w:bookmarkEnd w:id="22829"/>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נא לסיים. </w:t>
      </w:r>
    </w:p>
    <w:p w:rsidR="00BB59CD" w:rsidRDefault="00BB59CD" w:rsidP="00BB59CD">
      <w:pPr>
        <w:rPr>
          <w:rtl/>
        </w:rPr>
      </w:pPr>
    </w:p>
    <w:p w:rsidR="00BB59CD" w:rsidRDefault="00BB59CD" w:rsidP="00BB59CD">
      <w:pPr>
        <w:pStyle w:val="-"/>
        <w:keepNext/>
        <w:rPr>
          <w:rtl/>
        </w:rPr>
      </w:pPr>
      <w:bookmarkStart w:id="22830" w:name="ET_speakercontinue_5783_3"/>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bookmarkEnd w:id="22830"/>
    </w:p>
    <w:p w:rsidR="00BB59CD" w:rsidRDefault="00BB59CD" w:rsidP="00337201">
      <w:pPr>
        <w:rPr>
          <w:rtl/>
          <w:lang w:eastAsia="he-IL"/>
        </w:rPr>
      </w:pPr>
    </w:p>
    <w:p w:rsidR="00BB59CD" w:rsidRDefault="00BB59CD" w:rsidP="00BB59CD">
      <w:pPr>
        <w:rPr>
          <w:rtl/>
        </w:rPr>
      </w:pPr>
      <w:bookmarkStart w:id="22831" w:name="_ETM_Q35_278830"/>
      <w:bookmarkStart w:id="22832" w:name="_ETM_Q35_278979"/>
      <w:bookmarkStart w:id="22833" w:name="_ETM_Q35_279900"/>
      <w:bookmarkEnd w:id="22831"/>
      <w:bookmarkEnd w:id="22832"/>
      <w:bookmarkEnd w:id="22833"/>
      <w:r>
        <w:rPr>
          <w:rFonts w:hint="cs"/>
          <w:rtl/>
        </w:rPr>
        <w:t xml:space="preserve">אני </w:t>
      </w:r>
      <w:bookmarkStart w:id="22834" w:name="_ETM_Q35_280260"/>
      <w:bookmarkEnd w:id="22834"/>
      <w:r>
        <w:rPr>
          <w:rFonts w:hint="cs"/>
          <w:rtl/>
        </w:rPr>
        <w:t xml:space="preserve">רק </w:t>
      </w:r>
      <w:bookmarkStart w:id="22835" w:name="_ETM_Q35_280410"/>
      <w:bookmarkEnd w:id="22835"/>
      <w:r>
        <w:rPr>
          <w:rFonts w:hint="cs"/>
          <w:rtl/>
        </w:rPr>
        <w:t xml:space="preserve">אגיד </w:t>
      </w:r>
      <w:bookmarkStart w:id="22836" w:name="_ETM_Q35_280590"/>
      <w:bookmarkEnd w:id="22836"/>
      <w:r>
        <w:rPr>
          <w:rFonts w:hint="cs"/>
          <w:rtl/>
        </w:rPr>
        <w:t xml:space="preserve">את </w:t>
      </w:r>
      <w:bookmarkStart w:id="22837" w:name="_ETM_Q35_280650"/>
      <w:bookmarkEnd w:id="22837"/>
      <w:r>
        <w:rPr>
          <w:rFonts w:hint="cs"/>
          <w:rtl/>
        </w:rPr>
        <w:t xml:space="preserve">המשפט </w:t>
      </w:r>
      <w:bookmarkStart w:id="22838" w:name="_ETM_Q35_281010"/>
      <w:bookmarkEnd w:id="22838"/>
      <w:r>
        <w:rPr>
          <w:rFonts w:hint="cs"/>
          <w:rtl/>
        </w:rPr>
        <w:t xml:space="preserve">הזה. </w:t>
      </w:r>
      <w:bookmarkStart w:id="22839" w:name="_ETM_Q35_281430"/>
      <w:bookmarkEnd w:id="22839"/>
      <w:r>
        <w:rPr>
          <w:rFonts w:hint="cs"/>
          <w:rtl/>
        </w:rPr>
        <w:t xml:space="preserve">בבג"ץ </w:t>
      </w:r>
      <w:bookmarkStart w:id="22840" w:name="_ETM_Q35_281940"/>
      <w:bookmarkEnd w:id="22840"/>
      <w:r>
        <w:rPr>
          <w:rFonts w:hint="cs"/>
          <w:rtl/>
        </w:rPr>
        <w:t xml:space="preserve">הזה </w:t>
      </w:r>
      <w:bookmarkStart w:id="22841" w:name="_ETM_Q35_282779"/>
      <w:bookmarkEnd w:id="22841"/>
      <w:r>
        <w:rPr>
          <w:rFonts w:hint="cs"/>
          <w:rtl/>
        </w:rPr>
        <w:t xml:space="preserve">נקבע </w:t>
      </w:r>
      <w:bookmarkStart w:id="22842" w:name="_ETM_Q35_283560"/>
      <w:bookmarkEnd w:id="22842"/>
      <w:r>
        <w:rPr>
          <w:rFonts w:hint="cs"/>
          <w:rtl/>
        </w:rPr>
        <w:t xml:space="preserve">שהקצאת </w:t>
      </w:r>
      <w:bookmarkStart w:id="22843" w:name="_ETM_Q35_284159"/>
      <w:bookmarkEnd w:id="22843"/>
      <w:r>
        <w:rPr>
          <w:rFonts w:hint="cs"/>
          <w:rtl/>
        </w:rPr>
        <w:t xml:space="preserve">קרקעות </w:t>
      </w:r>
      <w:bookmarkStart w:id="22844" w:name="_ETM_Q35_284639"/>
      <w:bookmarkEnd w:id="22844"/>
      <w:r>
        <w:rPr>
          <w:rFonts w:hint="cs"/>
          <w:rtl/>
        </w:rPr>
        <w:t xml:space="preserve">של </w:t>
      </w:r>
      <w:bookmarkStart w:id="22845" w:name="_ETM_Q35_284880"/>
      <w:bookmarkEnd w:id="22845"/>
      <w:r>
        <w:rPr>
          <w:rFonts w:hint="cs"/>
          <w:rtl/>
        </w:rPr>
        <w:t xml:space="preserve">המדינה </w:t>
      </w:r>
      <w:bookmarkStart w:id="22846" w:name="_ETM_Q35_285689"/>
      <w:bookmarkEnd w:id="22846"/>
      <w:r>
        <w:rPr>
          <w:rFonts w:hint="cs"/>
          <w:rtl/>
        </w:rPr>
        <w:t xml:space="preserve">למגזר </w:t>
      </w:r>
      <w:bookmarkStart w:id="22847" w:name="_ETM_Q35_286319"/>
      <w:bookmarkEnd w:id="22847"/>
      <w:r>
        <w:rPr>
          <w:rFonts w:hint="cs"/>
          <w:rtl/>
        </w:rPr>
        <w:t xml:space="preserve">צר </w:t>
      </w:r>
      <w:bookmarkStart w:id="22848" w:name="_ETM_Q35_287489"/>
      <w:bookmarkEnd w:id="22848"/>
      <w:r w:rsidR="00C4415F">
        <w:rPr>
          <w:rFonts w:hint="cs"/>
          <w:rtl/>
        </w:rPr>
        <w:t>בחברה</w:t>
      </w:r>
      <w:r>
        <w:rPr>
          <w:rFonts w:hint="cs"/>
          <w:rtl/>
        </w:rPr>
        <w:t xml:space="preserve"> </w:t>
      </w:r>
      <w:bookmarkStart w:id="22849" w:name="_ETM_Q35_288119"/>
      <w:bookmarkEnd w:id="22849"/>
      <w:r>
        <w:rPr>
          <w:rFonts w:hint="cs"/>
          <w:rtl/>
        </w:rPr>
        <w:t xml:space="preserve">פוגעת </w:t>
      </w:r>
      <w:bookmarkStart w:id="22850" w:name="_ETM_Q35_288689"/>
      <w:bookmarkEnd w:id="22850"/>
      <w:r>
        <w:rPr>
          <w:rFonts w:hint="cs"/>
          <w:rtl/>
        </w:rPr>
        <w:t xml:space="preserve">ביתר </w:t>
      </w:r>
      <w:bookmarkStart w:id="22851" w:name="_ETM_Q35_288989"/>
      <w:bookmarkEnd w:id="22851"/>
      <w:r>
        <w:rPr>
          <w:rFonts w:hint="cs"/>
          <w:rtl/>
        </w:rPr>
        <w:t xml:space="preserve">הציבור </w:t>
      </w:r>
      <w:bookmarkStart w:id="22852" w:name="_ETM_Q35_289439"/>
      <w:bookmarkEnd w:id="22852"/>
      <w:r>
        <w:rPr>
          <w:rFonts w:hint="cs"/>
          <w:rtl/>
        </w:rPr>
        <w:t xml:space="preserve">מתוקף </w:t>
      </w:r>
      <w:bookmarkStart w:id="22853" w:name="_ETM_Q35_289919"/>
      <w:bookmarkEnd w:id="22853"/>
      <w:r>
        <w:rPr>
          <w:rFonts w:hint="cs"/>
          <w:rtl/>
        </w:rPr>
        <w:t xml:space="preserve">עקרון </w:t>
      </w:r>
      <w:bookmarkStart w:id="22854" w:name="_ETM_Q35_290219"/>
      <w:bookmarkEnd w:id="22854"/>
      <w:r>
        <w:rPr>
          <w:rFonts w:hint="cs"/>
          <w:rtl/>
        </w:rPr>
        <w:t xml:space="preserve">השוויון. </w:t>
      </w:r>
      <w:bookmarkStart w:id="22855" w:name="_ETM_Q35_291149"/>
      <w:bookmarkEnd w:id="22855"/>
      <w:r>
        <w:rPr>
          <w:rFonts w:hint="cs"/>
          <w:rtl/>
        </w:rPr>
        <w:t xml:space="preserve">בעצם </w:t>
      </w:r>
      <w:bookmarkStart w:id="22856" w:name="_ETM_Q35_291899"/>
      <w:bookmarkEnd w:id="22856"/>
      <w:r>
        <w:rPr>
          <w:rFonts w:hint="cs"/>
          <w:rtl/>
        </w:rPr>
        <w:t xml:space="preserve">אמרו </w:t>
      </w:r>
      <w:bookmarkStart w:id="22857" w:name="_ETM_Q35_292289"/>
      <w:bookmarkEnd w:id="22857"/>
      <w:r>
        <w:rPr>
          <w:rFonts w:hint="cs"/>
          <w:rtl/>
        </w:rPr>
        <w:t xml:space="preserve">שזה </w:t>
      </w:r>
      <w:bookmarkStart w:id="22858" w:name="_ETM_Q35_292619"/>
      <w:bookmarkEnd w:id="22858"/>
      <w:r>
        <w:rPr>
          <w:rFonts w:hint="cs"/>
          <w:rtl/>
        </w:rPr>
        <w:t xml:space="preserve">שנותנים </w:t>
      </w:r>
      <w:bookmarkStart w:id="22859" w:name="_ETM_Q35_293159"/>
      <w:bookmarkEnd w:id="22859"/>
      <w:r>
        <w:rPr>
          <w:rFonts w:hint="cs"/>
          <w:rtl/>
        </w:rPr>
        <w:t xml:space="preserve">לקיבוצים </w:t>
      </w:r>
      <w:bookmarkStart w:id="22860" w:name="_ETM_Q35_293759"/>
      <w:bookmarkEnd w:id="22860"/>
      <w:r>
        <w:rPr>
          <w:rFonts w:hint="cs"/>
          <w:rtl/>
        </w:rPr>
        <w:t xml:space="preserve">ולמושבים </w:t>
      </w:r>
      <w:bookmarkStart w:id="22861" w:name="_ETM_Q35_294569"/>
      <w:bookmarkEnd w:id="22861"/>
      <w:r>
        <w:rPr>
          <w:rFonts w:hint="cs"/>
          <w:rtl/>
        </w:rPr>
        <w:t xml:space="preserve">יותר </w:t>
      </w:r>
      <w:bookmarkStart w:id="22862" w:name="_ETM_Q35_294959"/>
      <w:bookmarkEnd w:id="22862"/>
      <w:r>
        <w:rPr>
          <w:rFonts w:hint="cs"/>
          <w:rtl/>
        </w:rPr>
        <w:t xml:space="preserve">ויותר </w:t>
      </w:r>
      <w:bookmarkStart w:id="22863" w:name="_ETM_Q35_295289"/>
      <w:bookmarkEnd w:id="22863"/>
      <w:r>
        <w:rPr>
          <w:rFonts w:hint="cs"/>
          <w:rtl/>
        </w:rPr>
        <w:t xml:space="preserve">קרקעות </w:t>
      </w:r>
      <w:bookmarkStart w:id="22864" w:name="_ETM_Q35_295770"/>
      <w:bookmarkEnd w:id="22864"/>
      <w:r>
        <w:rPr>
          <w:rFonts w:hint="cs"/>
          <w:rtl/>
        </w:rPr>
        <w:t xml:space="preserve">בצורה </w:t>
      </w:r>
      <w:bookmarkStart w:id="22865" w:name="_ETM_Q35_296129"/>
      <w:bookmarkEnd w:id="22865"/>
      <w:r>
        <w:rPr>
          <w:rFonts w:hint="cs"/>
          <w:rtl/>
        </w:rPr>
        <w:t xml:space="preserve">לא </w:t>
      </w:r>
      <w:bookmarkStart w:id="22866" w:name="_ETM_Q35_296249"/>
      <w:bookmarkEnd w:id="22866"/>
      <w:r>
        <w:rPr>
          <w:rFonts w:hint="cs"/>
          <w:rtl/>
        </w:rPr>
        <w:t xml:space="preserve">שוויונית, </w:t>
      </w:r>
      <w:bookmarkStart w:id="22867" w:name="_ETM_Q35_296729"/>
      <w:bookmarkEnd w:id="22867"/>
      <w:r>
        <w:rPr>
          <w:rFonts w:hint="cs"/>
          <w:rtl/>
        </w:rPr>
        <w:t xml:space="preserve">זה </w:t>
      </w:r>
      <w:bookmarkStart w:id="22868" w:name="_ETM_Q35_296879"/>
      <w:bookmarkEnd w:id="22868"/>
      <w:r>
        <w:rPr>
          <w:rFonts w:hint="cs"/>
          <w:rtl/>
        </w:rPr>
        <w:t xml:space="preserve">לא </w:t>
      </w:r>
      <w:bookmarkStart w:id="22869" w:name="_ETM_Q35_296999"/>
      <w:bookmarkEnd w:id="22869"/>
      <w:r>
        <w:rPr>
          <w:rFonts w:hint="cs"/>
          <w:rtl/>
        </w:rPr>
        <w:t xml:space="preserve">תקין. </w:t>
      </w:r>
      <w:bookmarkStart w:id="22870" w:name="_ETM_Q35_297869"/>
      <w:bookmarkEnd w:id="22870"/>
    </w:p>
    <w:p w:rsidR="00BB59CD" w:rsidRDefault="00BB59CD" w:rsidP="00BB59CD">
      <w:pPr>
        <w:rPr>
          <w:rtl/>
        </w:rPr>
      </w:pPr>
      <w:bookmarkStart w:id="22871" w:name="_ETM_Q35_301000"/>
      <w:bookmarkEnd w:id="22871"/>
    </w:p>
    <w:p w:rsidR="00BB59CD" w:rsidRDefault="00BB59CD" w:rsidP="00BB59CD">
      <w:pPr>
        <w:rPr>
          <w:rtl/>
        </w:rPr>
      </w:pPr>
      <w:r>
        <w:rPr>
          <w:rFonts w:hint="cs"/>
          <w:rtl/>
        </w:rPr>
        <w:t xml:space="preserve">אז </w:t>
      </w:r>
      <w:bookmarkStart w:id="22872" w:name="_ETM_Q35_298200"/>
      <w:bookmarkEnd w:id="22872"/>
      <w:r>
        <w:rPr>
          <w:rFonts w:hint="cs"/>
          <w:rtl/>
        </w:rPr>
        <w:t xml:space="preserve">באמת, </w:t>
      </w:r>
      <w:bookmarkStart w:id="22873" w:name="_ETM_Q35_298619"/>
      <w:bookmarkStart w:id="22874" w:name="_ETM_Q35_298950"/>
      <w:bookmarkEnd w:id="22873"/>
      <w:bookmarkEnd w:id="22874"/>
      <w:r>
        <w:rPr>
          <w:rFonts w:hint="cs"/>
          <w:rtl/>
        </w:rPr>
        <w:t xml:space="preserve">אעצור </w:t>
      </w:r>
      <w:bookmarkStart w:id="22875" w:name="_ETM_Q35_299400"/>
      <w:bookmarkEnd w:id="22875"/>
      <w:r>
        <w:rPr>
          <w:rFonts w:hint="cs"/>
          <w:rtl/>
        </w:rPr>
        <w:t xml:space="preserve">כאן </w:t>
      </w:r>
      <w:bookmarkStart w:id="22876" w:name="_ETM_Q35_299700"/>
      <w:bookmarkEnd w:id="22876"/>
      <w:r>
        <w:rPr>
          <w:rFonts w:hint="cs"/>
          <w:rtl/>
        </w:rPr>
        <w:t xml:space="preserve">כי </w:t>
      </w:r>
      <w:bookmarkStart w:id="22877" w:name="_ETM_Q35_300090"/>
      <w:bookmarkEnd w:id="22877"/>
      <w:r>
        <w:rPr>
          <w:rFonts w:hint="cs"/>
          <w:rtl/>
        </w:rPr>
        <w:t xml:space="preserve">תם </w:t>
      </w:r>
      <w:bookmarkStart w:id="22878" w:name="_ETM_Q35_300840"/>
      <w:bookmarkEnd w:id="22878"/>
      <w:r>
        <w:rPr>
          <w:rFonts w:hint="cs"/>
          <w:rtl/>
        </w:rPr>
        <w:t xml:space="preserve">זמני, </w:t>
      </w:r>
      <w:bookmarkStart w:id="22879" w:name="_ETM_Q35_301890"/>
      <w:bookmarkEnd w:id="22879"/>
      <w:r>
        <w:rPr>
          <w:rFonts w:hint="cs"/>
          <w:rtl/>
        </w:rPr>
        <w:t xml:space="preserve">אבל </w:t>
      </w:r>
      <w:bookmarkStart w:id="22880" w:name="_ETM_Q35_302400"/>
      <w:bookmarkEnd w:id="22880"/>
      <w:r>
        <w:rPr>
          <w:rFonts w:hint="cs"/>
          <w:rtl/>
        </w:rPr>
        <w:t xml:space="preserve">חשוב </w:t>
      </w:r>
      <w:bookmarkStart w:id="22881" w:name="_ETM_Q35_303000"/>
      <w:bookmarkEnd w:id="22881"/>
      <w:r>
        <w:rPr>
          <w:rFonts w:hint="cs"/>
          <w:rtl/>
        </w:rPr>
        <w:t xml:space="preserve">לי </w:t>
      </w:r>
      <w:bookmarkStart w:id="22882" w:name="_ETM_Q35_303299"/>
      <w:bookmarkEnd w:id="22882"/>
      <w:r>
        <w:rPr>
          <w:rFonts w:hint="cs"/>
          <w:rtl/>
        </w:rPr>
        <w:t xml:space="preserve">להגן </w:t>
      </w:r>
      <w:bookmarkStart w:id="22883" w:name="_ETM_Q35_303899"/>
      <w:bookmarkEnd w:id="22883"/>
      <w:r>
        <w:rPr>
          <w:rFonts w:hint="cs"/>
          <w:rtl/>
        </w:rPr>
        <w:t xml:space="preserve">על </w:t>
      </w:r>
      <w:bookmarkStart w:id="22884" w:name="_ETM_Q35_303990"/>
      <w:bookmarkEnd w:id="22884"/>
      <w:r>
        <w:rPr>
          <w:rFonts w:hint="cs"/>
          <w:rtl/>
        </w:rPr>
        <w:t xml:space="preserve">כבודו </w:t>
      </w:r>
      <w:bookmarkStart w:id="22885" w:name="_ETM_Q35_304380"/>
      <w:bookmarkEnd w:id="22885"/>
      <w:r>
        <w:rPr>
          <w:rFonts w:hint="cs"/>
          <w:rtl/>
        </w:rPr>
        <w:t xml:space="preserve">של </w:t>
      </w:r>
      <w:bookmarkStart w:id="22886" w:name="_ETM_Q35_304530"/>
      <w:bookmarkEnd w:id="22886"/>
      <w:r>
        <w:rPr>
          <w:rFonts w:hint="cs"/>
          <w:rtl/>
        </w:rPr>
        <w:t xml:space="preserve">בג"ץ </w:t>
      </w:r>
      <w:bookmarkStart w:id="22887" w:name="_ETM_Q35_304979"/>
      <w:bookmarkEnd w:id="22887"/>
      <w:r>
        <w:rPr>
          <w:rFonts w:hint="cs"/>
          <w:rtl/>
        </w:rPr>
        <w:t xml:space="preserve">מעל </w:t>
      </w:r>
      <w:bookmarkStart w:id="22888" w:name="_ETM_Q35_305310"/>
      <w:bookmarkEnd w:id="22888"/>
      <w:r>
        <w:rPr>
          <w:rFonts w:hint="cs"/>
          <w:rtl/>
        </w:rPr>
        <w:t xml:space="preserve">הבמה </w:t>
      </w:r>
      <w:bookmarkStart w:id="22889" w:name="_ETM_Q35_305610"/>
      <w:bookmarkEnd w:id="22889"/>
      <w:r>
        <w:rPr>
          <w:rFonts w:hint="cs"/>
          <w:rtl/>
        </w:rPr>
        <w:t xml:space="preserve">הזאת, </w:t>
      </w:r>
      <w:bookmarkStart w:id="22890" w:name="_ETM_Q35_306350"/>
      <w:bookmarkEnd w:id="22890"/>
      <w:r>
        <w:rPr>
          <w:rFonts w:hint="cs"/>
          <w:rtl/>
        </w:rPr>
        <w:t xml:space="preserve">שהגן </w:t>
      </w:r>
      <w:bookmarkStart w:id="22891" w:name="_ETM_Q35_307549"/>
      <w:bookmarkEnd w:id="22891"/>
      <w:r>
        <w:rPr>
          <w:rFonts w:hint="cs"/>
          <w:rtl/>
        </w:rPr>
        <w:t xml:space="preserve">על </w:t>
      </w:r>
      <w:bookmarkStart w:id="22892" w:name="_ETM_Q35_307850"/>
      <w:bookmarkStart w:id="22893" w:name="_ETM_Q35_308540"/>
      <w:bookmarkEnd w:id="22892"/>
      <w:bookmarkEnd w:id="22893"/>
      <w:r>
        <w:rPr>
          <w:rFonts w:hint="cs"/>
          <w:rtl/>
        </w:rPr>
        <w:t xml:space="preserve">יוצאי </w:t>
      </w:r>
      <w:bookmarkStart w:id="22894" w:name="_ETM_Q35_308900"/>
      <w:bookmarkEnd w:id="22894"/>
      <w:r>
        <w:rPr>
          <w:rFonts w:hint="cs"/>
          <w:rtl/>
        </w:rPr>
        <w:t xml:space="preserve">העדה </w:t>
      </w:r>
      <w:bookmarkStart w:id="22895" w:name="_ETM_Q35_309139"/>
      <w:bookmarkEnd w:id="22895"/>
      <w:r>
        <w:rPr>
          <w:rFonts w:hint="cs"/>
          <w:rtl/>
        </w:rPr>
        <w:t xml:space="preserve">האתיופית, </w:t>
      </w:r>
      <w:bookmarkStart w:id="22896" w:name="_ETM_Q35_310130"/>
      <w:bookmarkEnd w:id="22896"/>
      <w:r>
        <w:rPr>
          <w:rFonts w:hint="cs"/>
          <w:rtl/>
        </w:rPr>
        <w:t xml:space="preserve">על </w:t>
      </w:r>
      <w:bookmarkStart w:id="22897" w:name="_ETM_Q35_310340"/>
      <w:bookmarkEnd w:id="22897"/>
      <w:r>
        <w:rPr>
          <w:rFonts w:hint="cs"/>
          <w:rtl/>
        </w:rPr>
        <w:t xml:space="preserve">מזרחים, </w:t>
      </w:r>
      <w:bookmarkStart w:id="22898" w:name="_ETM_Q35_311360"/>
      <w:bookmarkEnd w:id="22898"/>
      <w:r>
        <w:rPr>
          <w:rFonts w:hint="cs"/>
          <w:rtl/>
        </w:rPr>
        <w:t xml:space="preserve">על </w:t>
      </w:r>
      <w:bookmarkStart w:id="22899" w:name="_ETM_Q35_311569"/>
      <w:bookmarkEnd w:id="22899"/>
      <w:r>
        <w:rPr>
          <w:rFonts w:hint="cs"/>
          <w:rtl/>
        </w:rPr>
        <w:t xml:space="preserve">נשים, </w:t>
      </w:r>
      <w:bookmarkStart w:id="22900" w:name="_ETM_Q35_312440"/>
      <w:bookmarkEnd w:id="22900"/>
      <w:r>
        <w:rPr>
          <w:rFonts w:hint="cs"/>
          <w:rtl/>
        </w:rPr>
        <w:t xml:space="preserve">על </w:t>
      </w:r>
      <w:bookmarkStart w:id="22901" w:name="_ETM_Q35_312650"/>
      <w:bookmarkEnd w:id="22901"/>
      <w:r>
        <w:rPr>
          <w:rFonts w:hint="cs"/>
          <w:rtl/>
        </w:rPr>
        <w:t xml:space="preserve">תושבי </w:t>
      </w:r>
      <w:bookmarkStart w:id="22902" w:name="_ETM_Q35_313010"/>
      <w:bookmarkEnd w:id="22902"/>
      <w:r>
        <w:rPr>
          <w:rFonts w:hint="cs"/>
          <w:rtl/>
        </w:rPr>
        <w:t xml:space="preserve">הפריפריה, </w:t>
      </w:r>
      <w:bookmarkStart w:id="22903" w:name="_ETM_Q35_313760"/>
      <w:bookmarkEnd w:id="22903"/>
      <w:r>
        <w:rPr>
          <w:rFonts w:hint="cs"/>
          <w:rtl/>
        </w:rPr>
        <w:t xml:space="preserve">לא </w:t>
      </w:r>
      <w:bookmarkStart w:id="22904" w:name="_ETM_Q35_313940"/>
      <w:bookmarkEnd w:id="22904"/>
      <w:r>
        <w:rPr>
          <w:rFonts w:hint="cs"/>
          <w:rtl/>
        </w:rPr>
        <w:t xml:space="preserve">פעם </w:t>
      </w:r>
      <w:bookmarkStart w:id="22905" w:name="_ETM_Q35_314270"/>
      <w:bookmarkEnd w:id="22905"/>
      <w:r>
        <w:rPr>
          <w:rFonts w:hint="cs"/>
          <w:rtl/>
        </w:rPr>
        <w:t xml:space="preserve">ולא </w:t>
      </w:r>
      <w:bookmarkStart w:id="22906" w:name="_ETM_Q35_314480"/>
      <w:bookmarkEnd w:id="22906"/>
      <w:r>
        <w:rPr>
          <w:rFonts w:hint="cs"/>
          <w:rtl/>
        </w:rPr>
        <w:t xml:space="preserve">פעמיים. </w:t>
      </w:r>
      <w:bookmarkStart w:id="22907" w:name="_ETM_Q35_315319"/>
      <w:bookmarkEnd w:id="22907"/>
      <w:r>
        <w:rPr>
          <w:rFonts w:hint="cs"/>
          <w:rtl/>
        </w:rPr>
        <w:t xml:space="preserve">הוא </w:t>
      </w:r>
      <w:bookmarkStart w:id="22908" w:name="_ETM_Q35_315440"/>
      <w:bookmarkEnd w:id="22908"/>
      <w:r>
        <w:rPr>
          <w:rFonts w:hint="cs"/>
          <w:rtl/>
        </w:rPr>
        <w:t xml:space="preserve">נלחם </w:t>
      </w:r>
      <w:bookmarkStart w:id="22909" w:name="_ETM_Q35_315860"/>
      <w:bookmarkEnd w:id="22909"/>
      <w:r>
        <w:rPr>
          <w:rFonts w:hint="cs"/>
          <w:rtl/>
        </w:rPr>
        <w:t xml:space="preserve">למעננו </w:t>
      </w:r>
      <w:bookmarkStart w:id="22910" w:name="_ETM_Q35_316340"/>
      <w:bookmarkEnd w:id="22910"/>
      <w:r>
        <w:rPr>
          <w:rFonts w:hint="cs"/>
          <w:rtl/>
        </w:rPr>
        <w:t xml:space="preserve">פעמים </w:t>
      </w:r>
      <w:bookmarkStart w:id="22911" w:name="_ETM_Q35_316730"/>
      <w:bookmarkEnd w:id="22911"/>
      <w:r>
        <w:rPr>
          <w:rFonts w:hint="cs"/>
          <w:rtl/>
        </w:rPr>
        <w:t>רבות</w:t>
      </w:r>
      <w:r w:rsidR="00C4415F">
        <w:rPr>
          <w:rFonts w:hint="cs"/>
          <w:rtl/>
        </w:rPr>
        <w:t>,</w:t>
      </w:r>
      <w:r>
        <w:rPr>
          <w:rFonts w:hint="cs"/>
          <w:rtl/>
        </w:rPr>
        <w:t xml:space="preserve"> </w:t>
      </w:r>
      <w:bookmarkStart w:id="22912" w:name="_ETM_Q35_317389"/>
      <w:bookmarkEnd w:id="22912"/>
      <w:r>
        <w:rPr>
          <w:rFonts w:hint="cs"/>
          <w:rtl/>
        </w:rPr>
        <w:t xml:space="preserve">ועכשיו </w:t>
      </w:r>
      <w:bookmarkStart w:id="22913" w:name="_ETM_Q35_317780"/>
      <w:bookmarkEnd w:id="22913"/>
      <w:r>
        <w:rPr>
          <w:rFonts w:hint="cs"/>
          <w:rtl/>
        </w:rPr>
        <w:t xml:space="preserve">אנחנו </w:t>
      </w:r>
      <w:bookmarkStart w:id="22914" w:name="_ETM_Q35_318290"/>
      <w:bookmarkEnd w:id="22914"/>
      <w:r>
        <w:rPr>
          <w:rFonts w:hint="cs"/>
          <w:rtl/>
        </w:rPr>
        <w:t xml:space="preserve">נילחם </w:t>
      </w:r>
      <w:bookmarkStart w:id="22915" w:name="_ETM_Q35_318709"/>
      <w:bookmarkEnd w:id="22915"/>
      <w:r>
        <w:rPr>
          <w:rFonts w:hint="cs"/>
          <w:rtl/>
        </w:rPr>
        <w:t xml:space="preserve">למענו. </w:t>
      </w:r>
      <w:bookmarkStart w:id="22916" w:name="_ETM_Q35_319490"/>
      <w:bookmarkEnd w:id="22916"/>
      <w:r>
        <w:rPr>
          <w:rFonts w:hint="cs"/>
          <w:rtl/>
        </w:rPr>
        <w:t>תודה.</w:t>
      </w:r>
    </w:p>
    <w:p w:rsidR="00BB59CD" w:rsidRDefault="00BB59CD" w:rsidP="00BB59CD">
      <w:pPr>
        <w:rPr>
          <w:rtl/>
        </w:rPr>
      </w:pPr>
    </w:p>
    <w:p w:rsidR="00BB59CD" w:rsidRDefault="00BB59CD" w:rsidP="00BB59CD">
      <w:pPr>
        <w:pStyle w:val="af9"/>
        <w:keepNext/>
        <w:rPr>
          <w:rtl/>
        </w:rPr>
      </w:pPr>
      <w:bookmarkStart w:id="22917" w:name="ET_yor_6488_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2917"/>
    </w:p>
    <w:p w:rsidR="00BB59CD" w:rsidRDefault="00BB59CD" w:rsidP="00337201">
      <w:pPr>
        <w:rPr>
          <w:rtl/>
        </w:rPr>
      </w:pPr>
    </w:p>
    <w:p w:rsidR="00BB59CD" w:rsidRDefault="00BB59CD" w:rsidP="00BB59CD">
      <w:pPr>
        <w:rPr>
          <w:rtl/>
        </w:rPr>
      </w:pPr>
      <w:bookmarkStart w:id="22918" w:name="_ETM_Q35_318000"/>
      <w:bookmarkStart w:id="22919" w:name="_ETM_Q35_320360"/>
      <w:bookmarkEnd w:id="22918"/>
      <w:bookmarkEnd w:id="22919"/>
      <w:r>
        <w:rPr>
          <w:rFonts w:hint="cs"/>
          <w:rtl/>
        </w:rPr>
        <w:t xml:space="preserve">תודה </w:t>
      </w:r>
      <w:bookmarkStart w:id="22920" w:name="_ETM_Q35_320630"/>
      <w:bookmarkEnd w:id="22920"/>
      <w:r>
        <w:rPr>
          <w:rFonts w:hint="cs"/>
          <w:rtl/>
        </w:rPr>
        <w:t xml:space="preserve">רבה, </w:t>
      </w:r>
      <w:bookmarkStart w:id="22921" w:name="_ETM_Q35_321020"/>
      <w:bookmarkEnd w:id="22921"/>
      <w:r>
        <w:rPr>
          <w:rFonts w:hint="cs"/>
          <w:rtl/>
        </w:rPr>
        <w:t xml:space="preserve">חברת </w:t>
      </w:r>
      <w:bookmarkStart w:id="22922" w:name="_ETM_Q35_321350"/>
      <w:bookmarkEnd w:id="22922"/>
      <w:r>
        <w:rPr>
          <w:rFonts w:hint="cs"/>
          <w:rtl/>
        </w:rPr>
        <w:t xml:space="preserve">הכנסת </w:t>
      </w:r>
      <w:bookmarkStart w:id="22923" w:name="_ETM_Q35_321800"/>
      <w:bookmarkEnd w:id="22923"/>
      <w:r>
        <w:rPr>
          <w:rFonts w:hint="cs"/>
          <w:rtl/>
        </w:rPr>
        <w:t xml:space="preserve">מירב </w:t>
      </w:r>
      <w:bookmarkStart w:id="22924" w:name="_ETM_Q35_322069"/>
      <w:bookmarkEnd w:id="22924"/>
      <w:r>
        <w:rPr>
          <w:rFonts w:hint="cs"/>
          <w:rtl/>
        </w:rPr>
        <w:t xml:space="preserve">כהן. </w:t>
      </w:r>
      <w:bookmarkStart w:id="22925" w:name="_ETM_Q35_323650"/>
      <w:bookmarkEnd w:id="22925"/>
      <w:r>
        <w:rPr>
          <w:rFonts w:hint="cs"/>
          <w:rtl/>
        </w:rPr>
        <w:t xml:space="preserve">הדוברת </w:t>
      </w:r>
      <w:bookmarkStart w:id="22926" w:name="_ETM_Q35_324159"/>
      <w:bookmarkEnd w:id="22926"/>
      <w:r>
        <w:rPr>
          <w:rFonts w:hint="cs"/>
          <w:rtl/>
        </w:rPr>
        <w:t>הבאה</w:t>
      </w:r>
      <w:r w:rsidR="00C4415F">
        <w:rPr>
          <w:rFonts w:hint="cs"/>
          <w:rtl/>
        </w:rPr>
        <w:t>,</w:t>
      </w:r>
      <w:r>
        <w:rPr>
          <w:rFonts w:hint="cs"/>
          <w:rtl/>
        </w:rPr>
        <w:t xml:space="preserve"> </w:t>
      </w:r>
      <w:bookmarkStart w:id="22927" w:name="_ETM_Q35_324430"/>
      <w:bookmarkEnd w:id="22927"/>
      <w:r>
        <w:rPr>
          <w:rFonts w:hint="cs"/>
          <w:rtl/>
        </w:rPr>
        <w:t xml:space="preserve">חברת </w:t>
      </w:r>
      <w:bookmarkStart w:id="22928" w:name="_ETM_Q35_324760"/>
      <w:bookmarkEnd w:id="22928"/>
      <w:r>
        <w:rPr>
          <w:rFonts w:hint="cs"/>
          <w:rtl/>
        </w:rPr>
        <w:t xml:space="preserve">הכנסת </w:t>
      </w:r>
      <w:bookmarkStart w:id="22929" w:name="_ETM_Q35_325150"/>
      <w:bookmarkEnd w:id="22929"/>
      <w:r>
        <w:rPr>
          <w:rFonts w:hint="cs"/>
          <w:rtl/>
        </w:rPr>
        <w:t xml:space="preserve">נעמה </w:t>
      </w:r>
      <w:bookmarkStart w:id="22930" w:name="_ETM_Q35_325450"/>
      <w:bookmarkEnd w:id="22930"/>
      <w:r>
        <w:rPr>
          <w:rFonts w:hint="cs"/>
          <w:rtl/>
        </w:rPr>
        <w:t xml:space="preserve">לזימי, </w:t>
      </w:r>
      <w:bookmarkStart w:id="22931" w:name="_ETM_Q35_326409"/>
      <w:bookmarkEnd w:id="22931"/>
      <w:r>
        <w:rPr>
          <w:rFonts w:hint="cs"/>
          <w:rtl/>
        </w:rPr>
        <w:t xml:space="preserve">בבקשה. </w:t>
      </w:r>
    </w:p>
    <w:p w:rsidR="00BB59CD" w:rsidRDefault="00BB59CD" w:rsidP="00BB59CD">
      <w:pPr>
        <w:rPr>
          <w:rtl/>
        </w:rPr>
      </w:pPr>
    </w:p>
    <w:p w:rsidR="00BB59CD" w:rsidRDefault="00BB59CD" w:rsidP="00BB59CD">
      <w:pPr>
        <w:pStyle w:val="af8"/>
        <w:keepNext/>
        <w:rPr>
          <w:rtl/>
        </w:rPr>
      </w:pPr>
      <w:bookmarkStart w:id="22932" w:name="ET_interruption_קר_אה_5"/>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2932"/>
    </w:p>
    <w:p w:rsidR="00BB59CD" w:rsidRDefault="00BB59CD" w:rsidP="00337201">
      <w:pPr>
        <w:rPr>
          <w:rtl/>
        </w:rPr>
      </w:pPr>
    </w:p>
    <w:p w:rsidR="00BB59CD" w:rsidRDefault="00BB59CD" w:rsidP="00BB59CD">
      <w:pPr>
        <w:rPr>
          <w:rtl/>
        </w:rPr>
      </w:pPr>
      <w:r>
        <w:rPr>
          <w:rFonts w:hint="cs"/>
          <w:rtl/>
        </w:rPr>
        <w:t xml:space="preserve">-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2933" w:name="_ETM_Q35_332000"/>
      <w:bookmarkStart w:id="22934" w:name="_ETM_Q35_335290"/>
      <w:bookmarkEnd w:id="22933"/>
      <w:bookmarkEnd w:id="22934"/>
      <w:r>
        <w:rPr>
          <w:rFonts w:hint="cs"/>
          <w:rtl/>
        </w:rPr>
        <w:t xml:space="preserve">כן, </w:t>
      </w:r>
      <w:bookmarkStart w:id="22935" w:name="_ETM_Q35_335530"/>
      <w:bookmarkEnd w:id="22935"/>
      <w:r>
        <w:rPr>
          <w:rFonts w:hint="cs"/>
          <w:rtl/>
        </w:rPr>
        <w:t xml:space="preserve">היא </w:t>
      </w:r>
      <w:bookmarkStart w:id="22936" w:name="_ETM_Q35_335560"/>
      <w:bookmarkEnd w:id="22936"/>
      <w:r>
        <w:rPr>
          <w:rFonts w:hint="cs"/>
          <w:rtl/>
        </w:rPr>
        <w:t xml:space="preserve">סיימה </w:t>
      </w:r>
      <w:bookmarkStart w:id="22937" w:name="_ETM_Q35_335889"/>
      <w:bookmarkEnd w:id="22937"/>
      <w:r>
        <w:rPr>
          <w:rFonts w:hint="cs"/>
          <w:rtl/>
        </w:rPr>
        <w:t xml:space="preserve">את </w:t>
      </w:r>
      <w:bookmarkStart w:id="22938" w:name="_ETM_Q35_335980"/>
      <w:bookmarkEnd w:id="22938"/>
      <w:r>
        <w:rPr>
          <w:rFonts w:hint="cs"/>
          <w:rtl/>
        </w:rPr>
        <w:t xml:space="preserve">20 הדקות שלה. </w:t>
      </w:r>
      <w:bookmarkStart w:id="22939" w:name="_ETM_Q35_339000"/>
      <w:bookmarkEnd w:id="22939"/>
    </w:p>
    <w:p w:rsidR="00BB59CD" w:rsidRDefault="00BB59CD" w:rsidP="00BB59CD">
      <w:pPr>
        <w:rPr>
          <w:rtl/>
        </w:rPr>
      </w:pPr>
    </w:p>
    <w:p w:rsidR="00BB59CD" w:rsidRDefault="00BB59CD" w:rsidP="00BB59CD">
      <w:pPr>
        <w:pStyle w:val="af8"/>
        <w:keepNext/>
        <w:rPr>
          <w:rtl/>
        </w:rPr>
      </w:pPr>
      <w:bookmarkStart w:id="22940" w:name="ET_interruption_קר_אה_38"/>
      <w:r>
        <w:rPr>
          <w:rStyle w:val="TagStyle"/>
          <w:rFonts w:hint="cs"/>
          <w:rtl/>
        </w:rPr>
        <w:t xml:space="preserve"> &lt;&lt; קריאה &gt;&gt; </w:t>
      </w:r>
      <w:r>
        <w:rPr>
          <w:rFonts w:hint="cs"/>
          <w:rtl/>
        </w:rPr>
        <w:t>קריאה:</w:t>
      </w:r>
      <w:r>
        <w:rPr>
          <w:rStyle w:val="TagStyle"/>
          <w:rtl/>
        </w:rPr>
        <w:t xml:space="preserve"> &lt;&lt; קריאה &gt;&gt;</w:t>
      </w:r>
      <w:bookmarkEnd w:id="22940"/>
      <w:r>
        <w:rPr>
          <w:rFonts w:hint="cs"/>
          <w:rtl/>
        </w:rPr>
        <w:t xml:space="preserve">  </w:t>
      </w:r>
    </w:p>
    <w:p w:rsidR="00BB59CD" w:rsidRDefault="00BB59CD" w:rsidP="00337201">
      <w:pPr>
        <w:rPr>
          <w:rtl/>
        </w:rPr>
      </w:pPr>
    </w:p>
    <w:p w:rsidR="00BB59CD" w:rsidRDefault="00BB59CD" w:rsidP="00BB59CD">
      <w:pPr>
        <w:rPr>
          <w:rtl/>
        </w:rPr>
      </w:pPr>
      <w:bookmarkStart w:id="22941" w:name="_ETM_Q35_338480"/>
      <w:bookmarkEnd w:id="22941"/>
      <w:r>
        <w:rPr>
          <w:rFonts w:hint="cs"/>
          <w:rtl/>
        </w:rPr>
        <w:t xml:space="preserve">לי רשום </w:t>
      </w:r>
      <w:bookmarkStart w:id="22942" w:name="_ETM_Q35_338840"/>
      <w:bookmarkEnd w:id="22942"/>
      <w:r>
        <w:rPr>
          <w:rFonts w:hint="cs"/>
          <w:rtl/>
        </w:rPr>
        <w:t xml:space="preserve">20, </w:t>
      </w:r>
      <w:bookmarkStart w:id="22943" w:name="_ETM_Q35_339169"/>
      <w:bookmarkEnd w:id="22943"/>
      <w:r>
        <w:rPr>
          <w:rFonts w:hint="cs"/>
          <w:rtl/>
        </w:rPr>
        <w:t>סליחה.</w:t>
      </w:r>
    </w:p>
    <w:p w:rsidR="00BB59CD" w:rsidRDefault="00BB59CD" w:rsidP="00BB59CD">
      <w:pPr>
        <w:rPr>
          <w:rtl/>
        </w:rPr>
      </w:pPr>
    </w:p>
    <w:p w:rsidR="00BB59CD" w:rsidRDefault="00BB59CD" w:rsidP="00BB59CD">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לא נתתי לה 30? </w:t>
      </w:r>
      <w:bookmarkStart w:id="22944" w:name="_ETM_Q35_342090"/>
      <w:bookmarkStart w:id="22945" w:name="_ETM_Q35_346850"/>
      <w:bookmarkStart w:id="22946" w:name="_ETM_Q35_347030"/>
      <w:bookmarkStart w:id="22947" w:name="_ETM_Q35_347480"/>
      <w:bookmarkStart w:id="22948" w:name="_ETM_Q35_347630"/>
      <w:bookmarkStart w:id="22949" w:name="_ETM_Q35_347780"/>
      <w:bookmarkStart w:id="22950" w:name="_ETM_Q35_348110"/>
      <w:bookmarkStart w:id="22951" w:name="_ETM_Q35_348200"/>
      <w:bookmarkStart w:id="22952" w:name="_ETM_Q35_349700"/>
      <w:bookmarkEnd w:id="22944"/>
      <w:bookmarkEnd w:id="22945"/>
      <w:bookmarkEnd w:id="22946"/>
      <w:bookmarkEnd w:id="22947"/>
      <w:bookmarkEnd w:id="22948"/>
      <w:bookmarkEnd w:id="22949"/>
      <w:bookmarkEnd w:id="22950"/>
      <w:bookmarkEnd w:id="22951"/>
      <w:bookmarkEnd w:id="22952"/>
    </w:p>
    <w:p w:rsidR="00BB59CD" w:rsidRDefault="00BB59CD" w:rsidP="00C4415F">
      <w:pPr>
        <w:ind w:firstLine="0"/>
        <w:rPr>
          <w:rtl/>
        </w:rPr>
      </w:pPr>
    </w:p>
    <w:p w:rsidR="00BB59CD" w:rsidRDefault="00BB59CD" w:rsidP="00BB59CD">
      <w:pPr>
        <w:rPr>
          <w:rtl/>
        </w:rPr>
      </w:pPr>
      <w:bookmarkStart w:id="22953" w:name="_ETM_Q35_352559"/>
      <w:bookmarkEnd w:id="22953"/>
      <w:r>
        <w:rPr>
          <w:rFonts w:hint="cs"/>
          <w:rtl/>
        </w:rPr>
        <w:t xml:space="preserve">אני </w:t>
      </w:r>
      <w:bookmarkStart w:id="22954" w:name="_ETM_Q35_352650"/>
      <w:bookmarkEnd w:id="22954"/>
      <w:r>
        <w:rPr>
          <w:rFonts w:hint="cs"/>
          <w:rtl/>
        </w:rPr>
        <w:t xml:space="preserve">מוכן, </w:t>
      </w:r>
      <w:bookmarkStart w:id="22955" w:name="_ETM_Q35_354090"/>
      <w:bookmarkEnd w:id="22955"/>
      <w:r>
        <w:rPr>
          <w:rFonts w:hint="cs"/>
          <w:rtl/>
        </w:rPr>
        <w:t xml:space="preserve">אם </w:t>
      </w:r>
      <w:bookmarkStart w:id="22956" w:name="_ETM_Q35_354239"/>
      <w:bookmarkEnd w:id="22956"/>
      <w:r>
        <w:rPr>
          <w:rFonts w:hint="cs"/>
          <w:rtl/>
        </w:rPr>
        <w:t>תרצו</w:t>
      </w:r>
      <w:bookmarkStart w:id="22957" w:name="_ETM_Q35_354569"/>
      <w:bookmarkStart w:id="22958" w:name="_ETM_Q35_354900"/>
      <w:bookmarkEnd w:id="22957"/>
      <w:bookmarkEnd w:id="22958"/>
      <w:r>
        <w:rPr>
          <w:rFonts w:hint="cs"/>
          <w:rtl/>
        </w:rPr>
        <w:t xml:space="preserve"> אחרי עשר </w:t>
      </w:r>
      <w:bookmarkStart w:id="22959" w:name="_ETM_Q35_355139"/>
      <w:bookmarkEnd w:id="22959"/>
      <w:r>
        <w:rPr>
          <w:rFonts w:hint="cs"/>
          <w:rtl/>
        </w:rPr>
        <w:t xml:space="preserve">הדקות </w:t>
      </w:r>
      <w:bookmarkStart w:id="22960" w:name="_ETM_Q35_355379"/>
      <w:bookmarkEnd w:id="22960"/>
      <w:r>
        <w:rPr>
          <w:rFonts w:hint="cs"/>
          <w:rtl/>
        </w:rPr>
        <w:t xml:space="preserve">הנוספות, </w:t>
      </w:r>
      <w:bookmarkStart w:id="22961" w:name="_ETM_Q35_355919"/>
      <w:bookmarkEnd w:id="22961"/>
      <w:r>
        <w:rPr>
          <w:rFonts w:hint="cs"/>
          <w:rtl/>
        </w:rPr>
        <w:t xml:space="preserve">אני </w:t>
      </w:r>
      <w:bookmarkStart w:id="22962" w:name="_ETM_Q35_356099"/>
      <w:bookmarkStart w:id="22963" w:name="_ETM_Q35_356340"/>
      <w:bookmarkEnd w:id="22962"/>
      <w:bookmarkEnd w:id="22963"/>
      <w:r>
        <w:rPr>
          <w:rFonts w:hint="cs"/>
          <w:rtl/>
        </w:rPr>
        <w:t xml:space="preserve">אתן </w:t>
      </w:r>
      <w:bookmarkStart w:id="22964" w:name="_ETM_Q35_356000"/>
      <w:bookmarkEnd w:id="22964"/>
      <w:r>
        <w:rPr>
          <w:rFonts w:hint="cs"/>
          <w:rtl/>
        </w:rPr>
        <w:t xml:space="preserve">לה. </w:t>
      </w:r>
      <w:bookmarkStart w:id="22965" w:name="_ETM_Q35_358630"/>
      <w:bookmarkEnd w:id="22965"/>
    </w:p>
    <w:p w:rsidR="00BB59CD" w:rsidRDefault="00BB59CD" w:rsidP="00BB59CD">
      <w:pPr>
        <w:rPr>
          <w:rtl/>
        </w:rPr>
      </w:pPr>
    </w:p>
    <w:p w:rsidR="00BB59CD" w:rsidRDefault="00BB59CD" w:rsidP="00BB59CD">
      <w:pPr>
        <w:pStyle w:val="a5"/>
        <w:keepNext/>
        <w:rPr>
          <w:rtl/>
        </w:rPr>
      </w:pPr>
      <w:bookmarkStart w:id="22966" w:name="ET_speaker_6236_14"/>
      <w:r>
        <w:rPr>
          <w:rStyle w:val="TagStyle"/>
          <w:rFonts w:hint="cs"/>
          <w:rtl/>
        </w:rPr>
        <w:t xml:space="preserve"> &lt;&lt; דובר &gt;&gt; </w:t>
      </w:r>
      <w:bookmarkStart w:id="22967" w:name="_Toc141197148"/>
      <w:bookmarkStart w:id="22968" w:name="_Toc141196884"/>
      <w:bookmarkStart w:id="22969" w:name="_Toc141040475"/>
      <w:r>
        <w:rPr>
          <w:rFonts w:hint="cs"/>
          <w:rtl/>
        </w:rPr>
        <w:t>נעמה לזימי (העבודה):</w:t>
      </w:r>
      <w:bookmarkEnd w:id="22967"/>
      <w:bookmarkEnd w:id="22968"/>
      <w:bookmarkEnd w:id="22969"/>
      <w:r>
        <w:rPr>
          <w:rStyle w:val="TagStyle"/>
          <w:rFonts w:hint="cs"/>
          <w:rtl/>
        </w:rPr>
        <w:t xml:space="preserve"> &lt;&lt; דובר &gt;&gt;</w:t>
      </w:r>
      <w:r>
        <w:rPr>
          <w:rFonts w:hint="cs"/>
          <w:rtl/>
        </w:rPr>
        <w:t xml:space="preserve">  </w:t>
      </w:r>
      <w:bookmarkEnd w:id="22966"/>
    </w:p>
    <w:p w:rsidR="00BB59CD" w:rsidRDefault="00BB59CD" w:rsidP="00337201">
      <w:pPr>
        <w:rPr>
          <w:rtl/>
        </w:rPr>
      </w:pPr>
    </w:p>
    <w:p w:rsidR="00BB59CD" w:rsidRDefault="00BB59CD" w:rsidP="00BB59CD">
      <w:pPr>
        <w:rPr>
          <w:rtl/>
        </w:rPr>
      </w:pPr>
      <w:r>
        <w:rPr>
          <w:rFonts w:hint="cs"/>
          <w:rtl/>
        </w:rPr>
        <w:t xml:space="preserve">לי לא אכפת, מה שתרצו, אני רק צריכה להתארגן. </w:t>
      </w:r>
      <w:bookmarkStart w:id="22970" w:name="_ETM_Q35_360000"/>
      <w:bookmarkEnd w:id="22970"/>
    </w:p>
    <w:p w:rsidR="00BB59CD" w:rsidRDefault="00BB59CD" w:rsidP="00BB59CD">
      <w:pPr>
        <w:rPr>
          <w:rtl/>
        </w:rPr>
      </w:pPr>
    </w:p>
    <w:p w:rsidR="00BB59CD" w:rsidRDefault="00BB59CD" w:rsidP="00BB59CD">
      <w:pPr>
        <w:pStyle w:val="af9"/>
        <w:keepNext/>
        <w:rPr>
          <w:rtl/>
        </w:rPr>
      </w:pPr>
      <w:bookmarkStart w:id="22971" w:name="ET_yor_6488_1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2971"/>
    </w:p>
    <w:p w:rsidR="00BB59CD" w:rsidRDefault="00BB59CD" w:rsidP="00337201">
      <w:pPr>
        <w:rPr>
          <w:rtl/>
        </w:rPr>
      </w:pPr>
    </w:p>
    <w:p w:rsidR="00BB59CD" w:rsidRDefault="00BB59CD" w:rsidP="00BB59CD">
      <w:pPr>
        <w:rPr>
          <w:rtl/>
        </w:rPr>
      </w:pPr>
      <w:r>
        <w:rPr>
          <w:rFonts w:hint="cs"/>
          <w:rtl/>
        </w:rPr>
        <w:t xml:space="preserve">כרגע יש לה </w:t>
      </w:r>
      <w:bookmarkStart w:id="22972" w:name="_ETM_Q35_361000"/>
      <w:bookmarkStart w:id="22973" w:name="_ETM_Q35_359830"/>
      <w:bookmarkStart w:id="22974" w:name="_ETM_Q35_360400"/>
      <w:bookmarkStart w:id="22975" w:name="_ETM_Q35_360550"/>
      <w:bookmarkStart w:id="22976" w:name="_ETM_Q35_360669"/>
      <w:bookmarkStart w:id="22977" w:name="_ETM_Q35_361120"/>
      <w:bookmarkStart w:id="22978" w:name="_ETM_Q35_361300"/>
      <w:bookmarkStart w:id="22979" w:name="_ETM_Q35_361419"/>
      <w:bookmarkEnd w:id="22972"/>
      <w:bookmarkEnd w:id="22973"/>
      <w:bookmarkEnd w:id="22974"/>
      <w:bookmarkEnd w:id="22975"/>
      <w:bookmarkEnd w:id="22976"/>
      <w:bookmarkEnd w:id="22977"/>
      <w:bookmarkEnd w:id="22978"/>
      <w:bookmarkEnd w:id="22979"/>
      <w:r>
        <w:rPr>
          <w:rFonts w:hint="cs"/>
          <w:rtl/>
        </w:rPr>
        <w:t xml:space="preserve">40 </w:t>
      </w:r>
      <w:bookmarkStart w:id="22980" w:name="_ETM_Q35_361690"/>
      <w:bookmarkEnd w:id="22980"/>
      <w:r>
        <w:rPr>
          <w:rFonts w:hint="cs"/>
          <w:rtl/>
        </w:rPr>
        <w:t xml:space="preserve">דקות. </w:t>
      </w:r>
      <w:bookmarkStart w:id="22981" w:name="_ETM_Q35_362110"/>
      <w:bookmarkEnd w:id="22981"/>
      <w:r>
        <w:rPr>
          <w:rFonts w:hint="cs"/>
          <w:rtl/>
        </w:rPr>
        <w:t xml:space="preserve">אם </w:t>
      </w:r>
      <w:bookmarkStart w:id="22982" w:name="_ETM_Q35_362290"/>
      <w:bookmarkEnd w:id="22982"/>
      <w:r>
        <w:rPr>
          <w:rFonts w:hint="cs"/>
          <w:rtl/>
        </w:rPr>
        <w:t xml:space="preserve">תרצו, </w:t>
      </w:r>
      <w:bookmarkStart w:id="22983" w:name="_ETM_Q35_363250"/>
      <w:bookmarkEnd w:id="22983"/>
      <w:r>
        <w:rPr>
          <w:rFonts w:hint="cs"/>
          <w:rtl/>
        </w:rPr>
        <w:t>אפילו</w:t>
      </w:r>
      <w:bookmarkStart w:id="22984" w:name="_ETM_Q35_363760"/>
      <w:bookmarkEnd w:id="22984"/>
      <w:r w:rsidR="00C4415F">
        <w:rPr>
          <w:rFonts w:hint="cs"/>
          <w:rtl/>
        </w:rPr>
        <w:t xml:space="preserve">, </w:t>
      </w:r>
      <w:r>
        <w:rPr>
          <w:rFonts w:hint="cs"/>
          <w:rtl/>
        </w:rPr>
        <w:t xml:space="preserve">שהיא </w:t>
      </w:r>
      <w:bookmarkStart w:id="22985" w:name="_ETM_Q35_364030"/>
      <w:bookmarkEnd w:id="22985"/>
      <w:r>
        <w:rPr>
          <w:rFonts w:hint="cs"/>
          <w:rtl/>
        </w:rPr>
        <w:t xml:space="preserve">תעלה </w:t>
      </w:r>
      <w:bookmarkStart w:id="22986" w:name="_ETM_Q35_364510"/>
      <w:bookmarkEnd w:id="22986"/>
      <w:r>
        <w:rPr>
          <w:rFonts w:hint="cs"/>
          <w:rtl/>
        </w:rPr>
        <w:t xml:space="preserve">עוד </w:t>
      </w:r>
      <w:bookmarkStart w:id="22987" w:name="_ETM_Q35_364720"/>
      <w:bookmarkEnd w:id="22987"/>
      <w:r>
        <w:rPr>
          <w:rFonts w:hint="cs"/>
          <w:rtl/>
        </w:rPr>
        <w:t xml:space="preserve">פעם </w:t>
      </w:r>
      <w:r w:rsidR="00C4415F">
        <w:rPr>
          <w:rFonts w:hint="cs"/>
          <w:rtl/>
        </w:rPr>
        <w:t>ל</w:t>
      </w:r>
      <w:r>
        <w:rPr>
          <w:rFonts w:hint="cs"/>
          <w:rtl/>
        </w:rPr>
        <w:t xml:space="preserve">עשר דקות אחר כך, אני </w:t>
      </w:r>
      <w:bookmarkStart w:id="22988" w:name="_ETM_Q35_367000"/>
      <w:bookmarkEnd w:id="22988"/>
      <w:r>
        <w:rPr>
          <w:rFonts w:hint="cs"/>
          <w:rtl/>
        </w:rPr>
        <w:t xml:space="preserve">אתן לה. </w:t>
      </w:r>
      <w:bookmarkStart w:id="22989" w:name="_ETM_Q35_364989"/>
      <w:bookmarkStart w:id="22990" w:name="_ETM_Q35_365230"/>
      <w:bookmarkStart w:id="22991" w:name="_ETM_Q35_365500"/>
      <w:bookmarkStart w:id="22992" w:name="_ETM_Q35_365709"/>
      <w:bookmarkEnd w:id="22989"/>
      <w:bookmarkEnd w:id="22990"/>
      <w:bookmarkEnd w:id="22991"/>
      <w:bookmarkEnd w:id="22992"/>
    </w:p>
    <w:p w:rsidR="00BB59CD" w:rsidRDefault="00BB59CD" w:rsidP="00BB59CD">
      <w:pPr>
        <w:rPr>
          <w:rtl/>
        </w:rPr>
      </w:pPr>
    </w:p>
    <w:p w:rsidR="00BB59CD" w:rsidRDefault="00BB59CD" w:rsidP="00BB59CD">
      <w:pPr>
        <w:pStyle w:val="-"/>
        <w:keepNext/>
        <w:rPr>
          <w:rtl/>
        </w:rPr>
      </w:pPr>
      <w:bookmarkStart w:id="22993" w:name="ET_speakercontinue_6236_16"/>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2993"/>
    </w:p>
    <w:p w:rsidR="00BB59CD" w:rsidRDefault="00BB59CD" w:rsidP="00337201">
      <w:pPr>
        <w:rPr>
          <w:rtl/>
        </w:rPr>
      </w:pPr>
    </w:p>
    <w:p w:rsidR="00BB59CD" w:rsidRDefault="00BB59CD" w:rsidP="00BB59CD">
      <w:pPr>
        <w:rPr>
          <w:rtl/>
        </w:rPr>
      </w:pPr>
      <w:r>
        <w:rPr>
          <w:rFonts w:hint="cs"/>
          <w:rtl/>
        </w:rPr>
        <w:t xml:space="preserve">מה שתגידו לי, </w:t>
      </w:r>
      <w:bookmarkStart w:id="22994" w:name="_ETM_Q35_373000"/>
      <w:bookmarkStart w:id="22995" w:name="_ETM_Q35_365889"/>
      <w:bookmarkStart w:id="22996" w:name="_ETM_Q35_367230"/>
      <w:bookmarkStart w:id="22997" w:name="_ETM_Q35_370249"/>
      <w:bookmarkStart w:id="22998" w:name="_ETM_Q35_370400"/>
      <w:bookmarkStart w:id="22999" w:name="_ETM_Q35_370489"/>
      <w:bookmarkStart w:id="23000" w:name="_ETM_Q35_370999"/>
      <w:bookmarkStart w:id="23001" w:name="_ETM_Q35_371059"/>
      <w:bookmarkStart w:id="23002" w:name="_ETM_Q35_371209"/>
      <w:bookmarkEnd w:id="22994"/>
      <w:bookmarkEnd w:id="22995"/>
      <w:bookmarkEnd w:id="22996"/>
      <w:bookmarkEnd w:id="22997"/>
      <w:bookmarkEnd w:id="22998"/>
      <w:bookmarkEnd w:id="22999"/>
      <w:bookmarkEnd w:id="23000"/>
      <w:bookmarkEnd w:id="23001"/>
      <w:bookmarkEnd w:id="23002"/>
      <w:r>
        <w:rPr>
          <w:rFonts w:hint="cs"/>
          <w:rtl/>
        </w:rPr>
        <w:t xml:space="preserve">אני </w:t>
      </w:r>
      <w:bookmarkStart w:id="23003" w:name="_ETM_Q35_371329"/>
      <w:bookmarkEnd w:id="23003"/>
      <w:r>
        <w:rPr>
          <w:rFonts w:hint="cs"/>
          <w:rtl/>
        </w:rPr>
        <w:t xml:space="preserve">רק צריכה </w:t>
      </w:r>
      <w:bookmarkStart w:id="23004" w:name="_ETM_Q35_371629"/>
      <w:bookmarkEnd w:id="23004"/>
      <w:r>
        <w:rPr>
          <w:rFonts w:hint="cs"/>
          <w:rtl/>
        </w:rPr>
        <w:t xml:space="preserve">להיערך </w:t>
      </w:r>
      <w:bookmarkStart w:id="23005" w:name="_ETM_Q35_371959"/>
      <w:bookmarkEnd w:id="23005"/>
      <w:r>
        <w:rPr>
          <w:rFonts w:hint="cs"/>
          <w:rtl/>
        </w:rPr>
        <w:t xml:space="preserve">בזמן. </w:t>
      </w:r>
      <w:bookmarkStart w:id="23006" w:name="_ETM_Q35_373879"/>
      <w:bookmarkStart w:id="23007" w:name="_ETM_Q35_379700"/>
      <w:bookmarkStart w:id="23008" w:name="_ETM_Q35_389530"/>
      <w:bookmarkEnd w:id="23006"/>
      <w:bookmarkEnd w:id="23007"/>
      <w:bookmarkEnd w:id="23008"/>
    </w:p>
    <w:p w:rsidR="00BB59CD" w:rsidRDefault="00BB59CD" w:rsidP="00BB59CD">
      <w:pPr>
        <w:rPr>
          <w:rtl/>
        </w:rPr>
      </w:pPr>
    </w:p>
    <w:p w:rsidR="00BB59CD" w:rsidRDefault="00BB59CD" w:rsidP="00C4415F">
      <w:pPr>
        <w:rPr>
          <w:rtl/>
        </w:rPr>
      </w:pPr>
      <w:r>
        <w:rPr>
          <w:rFonts w:hint="cs"/>
          <w:rtl/>
        </w:rPr>
        <w:t xml:space="preserve">קודם </w:t>
      </w:r>
      <w:bookmarkStart w:id="23009" w:name="_ETM_Q35_389830"/>
      <w:bookmarkEnd w:id="23009"/>
      <w:r>
        <w:rPr>
          <w:rFonts w:hint="cs"/>
          <w:rtl/>
        </w:rPr>
        <w:t xml:space="preserve">כול, כבוד יו"ר </w:t>
      </w:r>
      <w:bookmarkStart w:id="23010" w:name="_ETM_Q35_390520"/>
      <w:bookmarkEnd w:id="23010"/>
      <w:r>
        <w:rPr>
          <w:rFonts w:hint="cs"/>
          <w:rtl/>
        </w:rPr>
        <w:t xml:space="preserve">הכנסת, </w:t>
      </w:r>
      <w:bookmarkStart w:id="23011" w:name="_ETM_Q35_392110"/>
      <w:bookmarkEnd w:id="23011"/>
      <w:r>
        <w:rPr>
          <w:rFonts w:hint="cs"/>
          <w:rtl/>
        </w:rPr>
        <w:t xml:space="preserve">כנסת </w:t>
      </w:r>
      <w:bookmarkStart w:id="23012" w:name="_ETM_Q35_392500"/>
      <w:bookmarkEnd w:id="23012"/>
      <w:r>
        <w:rPr>
          <w:rFonts w:hint="cs"/>
          <w:rtl/>
        </w:rPr>
        <w:t>נכבדה</w:t>
      </w:r>
      <w:bookmarkStart w:id="23013" w:name="_ETM_Q35_395670"/>
      <w:bookmarkEnd w:id="23013"/>
      <w:r w:rsidR="00C4415F">
        <w:rPr>
          <w:rFonts w:hint="cs"/>
          <w:rtl/>
        </w:rPr>
        <w:t xml:space="preserve"> </w:t>
      </w:r>
      <w:r w:rsidR="00C4415F">
        <w:rPr>
          <w:rFonts w:hint="eastAsia"/>
          <w:rtl/>
        </w:rPr>
        <w:t>–</w:t>
      </w:r>
      <w:r>
        <w:rPr>
          <w:rFonts w:hint="cs"/>
          <w:rtl/>
        </w:rPr>
        <w:t xml:space="preserve"> נכבדה, </w:t>
      </w:r>
      <w:bookmarkStart w:id="23014" w:name="_ETM_Q35_396540"/>
      <w:bookmarkEnd w:id="23014"/>
      <w:r>
        <w:rPr>
          <w:rFonts w:hint="cs"/>
          <w:rtl/>
        </w:rPr>
        <w:t xml:space="preserve">אך </w:t>
      </w:r>
      <w:bookmarkStart w:id="23015" w:name="_ETM_Q35_396750"/>
      <w:bookmarkEnd w:id="23015"/>
      <w:r>
        <w:rPr>
          <w:rFonts w:hint="cs"/>
          <w:rtl/>
        </w:rPr>
        <w:t xml:space="preserve">לא </w:t>
      </w:r>
      <w:bookmarkStart w:id="23016" w:name="_ETM_Q35_396900"/>
      <w:bookmarkEnd w:id="23016"/>
      <w:r>
        <w:rPr>
          <w:rFonts w:hint="cs"/>
          <w:rtl/>
        </w:rPr>
        <w:t xml:space="preserve">מכבדת </w:t>
      </w:r>
      <w:bookmarkStart w:id="23017" w:name="_ETM_Q35_397379"/>
      <w:bookmarkEnd w:id="23017"/>
      <w:r>
        <w:rPr>
          <w:rFonts w:hint="cs"/>
          <w:rtl/>
        </w:rPr>
        <w:t xml:space="preserve">את </w:t>
      </w:r>
      <w:bookmarkStart w:id="23018" w:name="_ETM_Q35_397530"/>
      <w:bookmarkEnd w:id="23018"/>
      <w:r>
        <w:rPr>
          <w:rFonts w:hint="cs"/>
          <w:rtl/>
        </w:rPr>
        <w:t>העם</w:t>
      </w:r>
      <w:r w:rsidR="00C4415F">
        <w:rPr>
          <w:rFonts w:hint="cs"/>
          <w:rtl/>
        </w:rPr>
        <w:t>;</w:t>
      </w:r>
      <w:r>
        <w:rPr>
          <w:rFonts w:hint="cs"/>
          <w:rtl/>
        </w:rPr>
        <w:t xml:space="preserve"> </w:t>
      </w:r>
      <w:bookmarkStart w:id="23019" w:name="_ETM_Q35_399450"/>
      <w:bookmarkEnd w:id="23019"/>
      <w:r>
        <w:rPr>
          <w:rFonts w:hint="cs"/>
          <w:rtl/>
        </w:rPr>
        <w:t xml:space="preserve">כנסת </w:t>
      </w:r>
      <w:bookmarkStart w:id="23020" w:name="_ETM_Q35_399870"/>
      <w:bookmarkEnd w:id="23020"/>
      <w:r>
        <w:rPr>
          <w:rFonts w:hint="cs"/>
          <w:rtl/>
        </w:rPr>
        <w:t xml:space="preserve">שהחליטה </w:t>
      </w:r>
      <w:bookmarkStart w:id="23021" w:name="_ETM_Q35_401199"/>
      <w:bookmarkEnd w:id="23021"/>
      <w:r>
        <w:rPr>
          <w:rFonts w:hint="cs"/>
          <w:rtl/>
        </w:rPr>
        <w:t xml:space="preserve">במקום </w:t>
      </w:r>
      <w:bookmarkStart w:id="23022" w:name="_ETM_Q35_401859"/>
      <w:bookmarkEnd w:id="23022"/>
      <w:r>
        <w:rPr>
          <w:rFonts w:hint="cs"/>
          <w:rtl/>
        </w:rPr>
        <w:t xml:space="preserve">לחוקק </w:t>
      </w:r>
      <w:bookmarkStart w:id="23023" w:name="_ETM_Q35_402279"/>
      <w:bookmarkEnd w:id="23023"/>
      <w:r>
        <w:rPr>
          <w:rFonts w:hint="cs"/>
          <w:rtl/>
        </w:rPr>
        <w:t xml:space="preserve">פה </w:t>
      </w:r>
      <w:bookmarkStart w:id="23024" w:name="_ETM_Q35_402400"/>
      <w:bookmarkEnd w:id="23024"/>
      <w:r>
        <w:rPr>
          <w:rFonts w:hint="cs"/>
          <w:rtl/>
        </w:rPr>
        <w:t xml:space="preserve">חוקים </w:t>
      </w:r>
      <w:bookmarkStart w:id="23025" w:name="_ETM_Q35_402729"/>
      <w:bookmarkEnd w:id="23025"/>
      <w:r>
        <w:rPr>
          <w:rFonts w:hint="cs"/>
          <w:rtl/>
        </w:rPr>
        <w:t xml:space="preserve">חברתיים, </w:t>
      </w:r>
      <w:bookmarkStart w:id="23026" w:name="_ETM_Q35_403479"/>
      <w:bookmarkEnd w:id="23026"/>
      <w:r>
        <w:rPr>
          <w:rFonts w:hint="cs"/>
          <w:rtl/>
        </w:rPr>
        <w:t xml:space="preserve">חוקים </w:t>
      </w:r>
      <w:bookmarkStart w:id="23027" w:name="_ETM_Q35_403809"/>
      <w:bookmarkEnd w:id="23027"/>
      <w:r>
        <w:rPr>
          <w:rFonts w:hint="cs"/>
          <w:rtl/>
        </w:rPr>
        <w:t xml:space="preserve">טובים, </w:t>
      </w:r>
      <w:bookmarkStart w:id="23028" w:name="_ETM_Q35_404439"/>
      <w:bookmarkEnd w:id="23028"/>
      <w:r>
        <w:rPr>
          <w:rFonts w:hint="cs"/>
          <w:rtl/>
        </w:rPr>
        <w:t xml:space="preserve">חוקים </w:t>
      </w:r>
      <w:bookmarkStart w:id="23029" w:name="_ETM_Q35_404859"/>
      <w:bookmarkEnd w:id="23029"/>
      <w:r>
        <w:rPr>
          <w:rFonts w:hint="cs"/>
          <w:rtl/>
        </w:rPr>
        <w:t>מ</w:t>
      </w:r>
      <w:r w:rsidR="00C4415F">
        <w:rPr>
          <w:rFonts w:hint="cs"/>
          <w:rtl/>
        </w:rPr>
        <w:t>י</w:t>
      </w:r>
      <w:r>
        <w:rPr>
          <w:rFonts w:hint="cs"/>
          <w:rtl/>
        </w:rPr>
        <w:t xml:space="preserve">טיבים, </w:t>
      </w:r>
      <w:bookmarkStart w:id="23030" w:name="_ETM_Q35_405790"/>
      <w:bookmarkEnd w:id="23030"/>
      <w:r>
        <w:rPr>
          <w:rFonts w:hint="cs"/>
          <w:rtl/>
        </w:rPr>
        <w:t xml:space="preserve">לעסוק </w:t>
      </w:r>
      <w:bookmarkStart w:id="23031" w:name="_ETM_Q35_406269"/>
      <w:bookmarkEnd w:id="23031"/>
      <w:r>
        <w:rPr>
          <w:rFonts w:hint="cs"/>
          <w:rtl/>
        </w:rPr>
        <w:t xml:space="preserve">ביוקר </w:t>
      </w:r>
      <w:bookmarkStart w:id="23032" w:name="_ETM_Q35_406689"/>
      <w:bookmarkEnd w:id="23032"/>
      <w:r>
        <w:rPr>
          <w:rFonts w:hint="cs"/>
          <w:rtl/>
        </w:rPr>
        <w:t xml:space="preserve">המחיה, </w:t>
      </w:r>
      <w:bookmarkStart w:id="23033" w:name="_ETM_Q35_407199"/>
      <w:bookmarkEnd w:id="23033"/>
      <w:r>
        <w:rPr>
          <w:rFonts w:hint="cs"/>
          <w:rtl/>
        </w:rPr>
        <w:t xml:space="preserve">משבר </w:t>
      </w:r>
      <w:bookmarkStart w:id="23034" w:name="_ETM_Q35_407650"/>
      <w:bookmarkEnd w:id="23034"/>
      <w:r>
        <w:rPr>
          <w:rFonts w:hint="cs"/>
          <w:rtl/>
        </w:rPr>
        <w:t xml:space="preserve">הדיור, </w:t>
      </w:r>
      <w:bookmarkStart w:id="23035" w:name="_ETM_Q35_408040"/>
      <w:bookmarkEnd w:id="23035"/>
      <w:r>
        <w:rPr>
          <w:rFonts w:hint="cs"/>
          <w:rtl/>
        </w:rPr>
        <w:t xml:space="preserve">החיים </w:t>
      </w:r>
      <w:bookmarkStart w:id="23036" w:name="_ETM_Q35_408400"/>
      <w:bookmarkEnd w:id="23036"/>
      <w:r>
        <w:rPr>
          <w:rFonts w:hint="cs"/>
          <w:rtl/>
        </w:rPr>
        <w:t xml:space="preserve">עצמם </w:t>
      </w:r>
      <w:bookmarkStart w:id="23037" w:name="_ETM_Q35_409400"/>
      <w:bookmarkEnd w:id="23037"/>
      <w:r>
        <w:rPr>
          <w:rFonts w:hint="cs"/>
          <w:rtl/>
        </w:rPr>
        <w:t xml:space="preserve">– החליטה </w:t>
      </w:r>
      <w:bookmarkStart w:id="23038" w:name="_ETM_Q35_410600"/>
      <w:bookmarkEnd w:id="23038"/>
      <w:r>
        <w:rPr>
          <w:rFonts w:hint="cs"/>
          <w:rtl/>
        </w:rPr>
        <w:t xml:space="preserve">לרמוס </w:t>
      </w:r>
      <w:bookmarkStart w:id="23039" w:name="_ETM_Q35_411410"/>
      <w:bookmarkEnd w:id="23039"/>
      <w:r>
        <w:rPr>
          <w:rFonts w:hint="cs"/>
          <w:rtl/>
        </w:rPr>
        <w:t xml:space="preserve">באופן </w:t>
      </w:r>
      <w:bookmarkStart w:id="23040" w:name="_ETM_Q35_411980"/>
      <w:bookmarkEnd w:id="23040"/>
      <w:r>
        <w:rPr>
          <w:rFonts w:hint="cs"/>
          <w:rtl/>
        </w:rPr>
        <w:t xml:space="preserve">שיטתי </w:t>
      </w:r>
      <w:bookmarkStart w:id="23041" w:name="_ETM_Q35_412819"/>
      <w:bookmarkEnd w:id="23041"/>
      <w:r>
        <w:rPr>
          <w:rFonts w:hint="cs"/>
          <w:rtl/>
        </w:rPr>
        <w:t xml:space="preserve">את </w:t>
      </w:r>
      <w:bookmarkStart w:id="23042" w:name="_ETM_Q35_413000"/>
      <w:bookmarkEnd w:id="23042"/>
      <w:r>
        <w:rPr>
          <w:rFonts w:hint="cs"/>
          <w:rtl/>
        </w:rPr>
        <w:t xml:space="preserve">ההגנות </w:t>
      </w:r>
      <w:bookmarkStart w:id="23043" w:name="_ETM_Q35_413480"/>
      <w:bookmarkEnd w:id="23043"/>
      <w:r>
        <w:rPr>
          <w:rFonts w:hint="cs"/>
          <w:rtl/>
        </w:rPr>
        <w:t xml:space="preserve">ואת </w:t>
      </w:r>
      <w:bookmarkStart w:id="23044" w:name="_ETM_Q35_413630"/>
      <w:bookmarkEnd w:id="23044"/>
      <w:r>
        <w:rPr>
          <w:rFonts w:hint="cs"/>
          <w:rtl/>
        </w:rPr>
        <w:t xml:space="preserve">הזכויות </w:t>
      </w:r>
      <w:bookmarkStart w:id="23045" w:name="_ETM_Q35_415099"/>
      <w:bookmarkEnd w:id="23045"/>
      <w:r>
        <w:rPr>
          <w:rFonts w:hint="cs"/>
          <w:rtl/>
        </w:rPr>
        <w:t xml:space="preserve">של </w:t>
      </w:r>
      <w:bookmarkStart w:id="23046" w:name="_ETM_Q35_415340"/>
      <w:bookmarkEnd w:id="23046"/>
      <w:r>
        <w:rPr>
          <w:rFonts w:hint="cs"/>
          <w:rtl/>
        </w:rPr>
        <w:t xml:space="preserve">הציבור </w:t>
      </w:r>
      <w:bookmarkStart w:id="23047" w:name="_ETM_Q35_415730"/>
      <w:bookmarkEnd w:id="23047"/>
      <w:r>
        <w:rPr>
          <w:rFonts w:hint="cs"/>
          <w:rtl/>
        </w:rPr>
        <w:t xml:space="preserve">בישראל. </w:t>
      </w:r>
      <w:bookmarkStart w:id="23048" w:name="_ETM_Q35_417450"/>
      <w:bookmarkEnd w:id="23048"/>
      <w:r>
        <w:rPr>
          <w:rFonts w:hint="cs"/>
          <w:rtl/>
        </w:rPr>
        <w:t xml:space="preserve">באופן </w:t>
      </w:r>
      <w:bookmarkStart w:id="23049" w:name="_ETM_Q35_417989"/>
      <w:bookmarkEnd w:id="23049"/>
      <w:r>
        <w:rPr>
          <w:rFonts w:hint="cs"/>
          <w:rtl/>
        </w:rPr>
        <w:t>מאוד</w:t>
      </w:r>
      <w:bookmarkStart w:id="23050" w:name="_ETM_Q35_418170"/>
      <w:bookmarkEnd w:id="23050"/>
      <w:r>
        <w:rPr>
          <w:rFonts w:hint="cs"/>
          <w:rtl/>
        </w:rPr>
        <w:t xml:space="preserve"> מאוד </w:t>
      </w:r>
      <w:bookmarkStart w:id="23051" w:name="_ETM_Q35_418349"/>
      <w:bookmarkEnd w:id="23051"/>
      <w:r>
        <w:rPr>
          <w:rFonts w:hint="cs"/>
          <w:rtl/>
        </w:rPr>
        <w:t xml:space="preserve">סימבולי </w:t>
      </w:r>
      <w:bookmarkStart w:id="23052" w:name="_ETM_Q35_419989"/>
      <w:bookmarkEnd w:id="23052"/>
      <w:r>
        <w:rPr>
          <w:rFonts w:hint="cs"/>
          <w:rtl/>
        </w:rPr>
        <w:t xml:space="preserve">הכנסת </w:t>
      </w:r>
      <w:bookmarkStart w:id="23053" w:name="_ETM_Q35_420590"/>
      <w:bookmarkEnd w:id="23053"/>
      <w:r>
        <w:rPr>
          <w:rFonts w:hint="cs"/>
          <w:rtl/>
        </w:rPr>
        <w:t xml:space="preserve">הזו </w:t>
      </w:r>
      <w:bookmarkStart w:id="23054" w:name="_ETM_Q35_421099"/>
      <w:bookmarkEnd w:id="23054"/>
      <w:r>
        <w:rPr>
          <w:rFonts w:hint="cs"/>
          <w:rtl/>
        </w:rPr>
        <w:t xml:space="preserve">ריקה </w:t>
      </w:r>
      <w:bookmarkStart w:id="23055" w:name="_ETM_Q35_421459"/>
      <w:bookmarkEnd w:id="23055"/>
      <w:r>
        <w:rPr>
          <w:rFonts w:hint="cs"/>
          <w:rtl/>
        </w:rPr>
        <w:t xml:space="preserve">מאדם. </w:t>
      </w:r>
      <w:bookmarkStart w:id="23056" w:name="_ETM_Q35_423020"/>
      <w:bookmarkEnd w:id="23056"/>
      <w:r>
        <w:rPr>
          <w:rFonts w:hint="cs"/>
          <w:rtl/>
        </w:rPr>
        <w:t xml:space="preserve">חוששים </w:t>
      </w:r>
      <w:bookmarkStart w:id="23057" w:name="_ETM_Q35_423680"/>
      <w:bookmarkEnd w:id="23057"/>
      <w:r>
        <w:rPr>
          <w:rFonts w:hint="cs"/>
          <w:rtl/>
        </w:rPr>
        <w:t xml:space="preserve">מפרובוקציות, </w:t>
      </w:r>
      <w:bookmarkStart w:id="23058" w:name="_ETM_Q35_424610"/>
      <w:bookmarkEnd w:id="23058"/>
      <w:r>
        <w:rPr>
          <w:rFonts w:hint="cs"/>
          <w:rtl/>
        </w:rPr>
        <w:t xml:space="preserve">אז </w:t>
      </w:r>
      <w:bookmarkStart w:id="23059" w:name="_ETM_Q35_424700"/>
      <w:bookmarkEnd w:id="23059"/>
      <w:r>
        <w:rPr>
          <w:rFonts w:hint="cs"/>
          <w:rtl/>
        </w:rPr>
        <w:t xml:space="preserve">הציבור </w:t>
      </w:r>
      <w:bookmarkStart w:id="23060" w:name="_ETM_Q35_425150"/>
      <w:bookmarkEnd w:id="23060"/>
      <w:r>
        <w:rPr>
          <w:rFonts w:hint="cs"/>
          <w:rtl/>
        </w:rPr>
        <w:t xml:space="preserve">לא </w:t>
      </w:r>
      <w:bookmarkStart w:id="23061" w:name="_ETM_Q35_425270"/>
      <w:bookmarkEnd w:id="23061"/>
      <w:r>
        <w:rPr>
          <w:rFonts w:hint="cs"/>
          <w:rtl/>
        </w:rPr>
        <w:t xml:space="preserve">יכול </w:t>
      </w:r>
      <w:bookmarkStart w:id="23062" w:name="_ETM_Q35_425600"/>
      <w:bookmarkEnd w:id="23062"/>
      <w:r>
        <w:rPr>
          <w:rFonts w:hint="cs"/>
          <w:rtl/>
        </w:rPr>
        <w:t xml:space="preserve">לראות </w:t>
      </w:r>
      <w:bookmarkStart w:id="23063" w:name="_ETM_Q35_425930"/>
      <w:bookmarkEnd w:id="23063"/>
      <w:r>
        <w:rPr>
          <w:rFonts w:hint="cs"/>
          <w:rtl/>
        </w:rPr>
        <w:t xml:space="preserve">מה </w:t>
      </w:r>
      <w:bookmarkStart w:id="23064" w:name="_ETM_Q35_426050"/>
      <w:bookmarkEnd w:id="23064"/>
      <w:r>
        <w:rPr>
          <w:rFonts w:hint="cs"/>
          <w:rtl/>
        </w:rPr>
        <w:t xml:space="preserve">קורה </w:t>
      </w:r>
      <w:bookmarkStart w:id="23065" w:name="_ETM_Q35_426350"/>
      <w:bookmarkEnd w:id="23065"/>
      <w:r>
        <w:rPr>
          <w:rFonts w:hint="cs"/>
          <w:rtl/>
        </w:rPr>
        <w:t>פה.</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 - - </w:t>
      </w:r>
    </w:p>
    <w:p w:rsidR="00BB59CD" w:rsidRDefault="00BB59CD" w:rsidP="00BB59CD">
      <w:pPr>
        <w:rPr>
          <w:rtl/>
        </w:rPr>
      </w:pPr>
    </w:p>
    <w:p w:rsidR="00BB59CD" w:rsidRDefault="00BB59CD" w:rsidP="00BB59CD">
      <w:pPr>
        <w:pStyle w:val="-"/>
        <w:keepNext/>
        <w:rPr>
          <w:rtl/>
        </w:rPr>
      </w:pPr>
      <w:bookmarkStart w:id="23066" w:name="ET_speakercontinue_6236_18"/>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066"/>
    </w:p>
    <w:p w:rsidR="00BB59CD" w:rsidRDefault="00BB59CD" w:rsidP="00337201">
      <w:pPr>
        <w:rPr>
          <w:rtl/>
        </w:rPr>
      </w:pPr>
    </w:p>
    <w:p w:rsidR="00BB59CD" w:rsidRDefault="00BB59CD" w:rsidP="00BB59CD">
      <w:pPr>
        <w:rPr>
          <w:rtl/>
        </w:rPr>
      </w:pPr>
      <w:bookmarkStart w:id="23067" w:name="_ETM_Q35_428000"/>
      <w:bookmarkEnd w:id="23067"/>
      <w:r>
        <w:rPr>
          <w:rFonts w:hint="cs"/>
          <w:rtl/>
        </w:rPr>
        <w:t xml:space="preserve"> </w:t>
      </w:r>
      <w:bookmarkStart w:id="23068" w:name="_ETM_Q35_427650"/>
      <w:bookmarkEnd w:id="23068"/>
      <w:r>
        <w:rPr>
          <w:rFonts w:hint="cs"/>
          <w:rtl/>
        </w:rPr>
        <w:t xml:space="preserve">הסתכל, </w:t>
      </w:r>
      <w:bookmarkStart w:id="23069" w:name="_ETM_Q35_428610"/>
      <w:bookmarkEnd w:id="23069"/>
      <w:r>
        <w:rPr>
          <w:rFonts w:hint="cs"/>
          <w:rtl/>
        </w:rPr>
        <w:t xml:space="preserve">יש </w:t>
      </w:r>
      <w:bookmarkStart w:id="23070" w:name="_ETM_Q35_428730"/>
      <w:bookmarkEnd w:id="23070"/>
      <w:r>
        <w:rPr>
          <w:rFonts w:hint="cs"/>
          <w:rtl/>
        </w:rPr>
        <w:t xml:space="preserve">פה </w:t>
      </w:r>
      <w:bookmarkStart w:id="23071" w:name="_ETM_Q35_428879"/>
      <w:bookmarkEnd w:id="23071"/>
      <w:r>
        <w:rPr>
          <w:rFonts w:hint="cs"/>
          <w:rtl/>
        </w:rPr>
        <w:t xml:space="preserve">תמיד </w:t>
      </w:r>
      <w:bookmarkStart w:id="23072" w:name="_ETM_Q35_429120"/>
      <w:bookmarkEnd w:id="23072"/>
      <w:r>
        <w:rPr>
          <w:rFonts w:hint="cs"/>
          <w:rtl/>
        </w:rPr>
        <w:t xml:space="preserve">אורחים, </w:t>
      </w:r>
      <w:bookmarkStart w:id="23073" w:name="_ETM_Q35_429780"/>
      <w:bookmarkEnd w:id="23073"/>
      <w:r>
        <w:rPr>
          <w:rFonts w:hint="cs"/>
          <w:rtl/>
        </w:rPr>
        <w:t xml:space="preserve">כבוד </w:t>
      </w:r>
      <w:bookmarkStart w:id="23074" w:name="_ETM_Q35_430050"/>
      <w:bookmarkEnd w:id="23074"/>
      <w:r>
        <w:rPr>
          <w:rFonts w:hint="cs"/>
          <w:rtl/>
        </w:rPr>
        <w:t xml:space="preserve">השר. </w:t>
      </w:r>
      <w:bookmarkStart w:id="23075" w:name="_ETM_Q35_431290"/>
      <w:bookmarkEnd w:id="23075"/>
      <w:r>
        <w:rPr>
          <w:rFonts w:hint="cs"/>
          <w:rtl/>
        </w:rPr>
        <w:t xml:space="preserve">תמיד </w:t>
      </w:r>
      <w:bookmarkStart w:id="23076" w:name="_ETM_Q35_431650"/>
      <w:bookmarkEnd w:id="23076"/>
      <w:r>
        <w:rPr>
          <w:rFonts w:hint="cs"/>
          <w:rtl/>
        </w:rPr>
        <w:t xml:space="preserve">מגיעים, </w:t>
      </w:r>
      <w:bookmarkStart w:id="23077" w:name="_ETM_Q35_432219"/>
      <w:bookmarkEnd w:id="23077"/>
      <w:r>
        <w:rPr>
          <w:rFonts w:hint="cs"/>
          <w:rtl/>
        </w:rPr>
        <w:t xml:space="preserve">צופים, </w:t>
      </w:r>
      <w:bookmarkStart w:id="23078" w:name="_ETM_Q35_433000"/>
      <w:bookmarkEnd w:id="23078"/>
      <w:r>
        <w:rPr>
          <w:rFonts w:hint="cs"/>
          <w:rtl/>
        </w:rPr>
        <w:t xml:space="preserve">אנחנו </w:t>
      </w:r>
      <w:bookmarkStart w:id="23079" w:name="_ETM_Q35_433269"/>
      <w:bookmarkEnd w:id="23079"/>
      <w:r>
        <w:rPr>
          <w:rFonts w:hint="cs"/>
          <w:rtl/>
        </w:rPr>
        <w:t xml:space="preserve">מדברים </w:t>
      </w:r>
      <w:bookmarkStart w:id="23080" w:name="_ETM_Q35_433719"/>
      <w:bookmarkEnd w:id="23080"/>
      <w:r>
        <w:rPr>
          <w:rFonts w:hint="cs"/>
          <w:rtl/>
        </w:rPr>
        <w:t xml:space="preserve">איתם, </w:t>
      </w:r>
      <w:bookmarkStart w:id="23081" w:name="_ETM_Q35_433989"/>
      <w:bookmarkEnd w:id="23081"/>
      <w:r>
        <w:rPr>
          <w:rFonts w:hint="cs"/>
          <w:rtl/>
        </w:rPr>
        <w:t xml:space="preserve">אומרים </w:t>
      </w:r>
      <w:bookmarkStart w:id="23082" w:name="_ETM_Q35_434170"/>
      <w:bookmarkEnd w:id="23082"/>
      <w:r>
        <w:rPr>
          <w:rFonts w:hint="cs"/>
          <w:rtl/>
        </w:rPr>
        <w:t xml:space="preserve">להם </w:t>
      </w:r>
      <w:bookmarkStart w:id="23083" w:name="_ETM_Q35_434319"/>
      <w:bookmarkEnd w:id="23083"/>
      <w:r>
        <w:rPr>
          <w:rFonts w:hint="cs"/>
          <w:rtl/>
        </w:rPr>
        <w:t xml:space="preserve">שלום, </w:t>
      </w:r>
      <w:bookmarkStart w:id="23084" w:name="_ETM_Q35_434829"/>
      <w:bookmarkEnd w:id="23084"/>
      <w:r>
        <w:rPr>
          <w:rFonts w:hint="cs"/>
          <w:rtl/>
        </w:rPr>
        <w:t xml:space="preserve">מכבדים </w:t>
      </w:r>
      <w:bookmarkStart w:id="23085" w:name="_ETM_Q35_435400"/>
      <w:bookmarkEnd w:id="23085"/>
      <w:r>
        <w:rPr>
          <w:rFonts w:hint="cs"/>
          <w:rtl/>
        </w:rPr>
        <w:t>אותם.</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 </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אני לא בן אדם? </w:t>
      </w:r>
    </w:p>
    <w:p w:rsidR="00BB59CD" w:rsidRDefault="00BB59CD" w:rsidP="00BB59CD">
      <w:pPr>
        <w:rPr>
          <w:rtl/>
        </w:rPr>
      </w:pPr>
      <w:bookmarkStart w:id="23086" w:name="_ETM_Q35_437000"/>
      <w:bookmarkEnd w:id="23086"/>
    </w:p>
    <w:p w:rsidR="00BB59CD" w:rsidRDefault="00BB59CD" w:rsidP="00BB59CD">
      <w:pPr>
        <w:pStyle w:val="-"/>
        <w:keepNext/>
        <w:rPr>
          <w:rtl/>
        </w:rPr>
      </w:pPr>
      <w:bookmarkStart w:id="23087" w:name="ET_speakercontinue_6236_39"/>
      <w:r>
        <w:rPr>
          <w:rStyle w:val="TagStyle"/>
          <w:rFonts w:hint="cs"/>
          <w:rtl/>
        </w:rPr>
        <w:t xml:space="preserve">&lt;&lt; דובר_המשך &gt;&gt; </w:t>
      </w:r>
      <w:r>
        <w:rPr>
          <w:rFonts w:hint="cs"/>
          <w:rtl/>
        </w:rPr>
        <w:t>נעמה לזימי (העבודה):</w:t>
      </w:r>
      <w:r>
        <w:rPr>
          <w:rStyle w:val="TagStyle"/>
          <w:rtl/>
        </w:rPr>
        <w:t xml:space="preserve"> &lt;&lt; דובר_המשך &gt;&gt;</w:t>
      </w:r>
      <w:bookmarkEnd w:id="23087"/>
      <w:r>
        <w:rPr>
          <w:rFonts w:hint="cs"/>
          <w:rtl/>
        </w:rPr>
        <w:t xml:space="preserve">  </w:t>
      </w:r>
    </w:p>
    <w:p w:rsidR="00BB59CD" w:rsidRDefault="00BB59CD" w:rsidP="00337201">
      <w:pPr>
        <w:rPr>
          <w:rtl/>
        </w:rPr>
      </w:pPr>
    </w:p>
    <w:p w:rsidR="00BB59CD" w:rsidRDefault="00BB59CD" w:rsidP="00BB59CD">
      <w:pPr>
        <w:rPr>
          <w:rtl/>
        </w:rPr>
      </w:pPr>
      <w:bookmarkStart w:id="23088" w:name="_ETM_Q35_438000"/>
      <w:bookmarkEnd w:id="23088"/>
      <w:r>
        <w:rPr>
          <w:rFonts w:hint="cs"/>
          <w:rtl/>
        </w:rPr>
        <w:t xml:space="preserve">אתה בכנסת, </w:t>
      </w:r>
      <w:bookmarkStart w:id="23089" w:name="_ETM_Q35_437420"/>
      <w:bookmarkStart w:id="23090" w:name="_ETM_Q35_437810"/>
      <w:bookmarkStart w:id="23091" w:name="_ETM_Q35_438810"/>
      <w:bookmarkEnd w:id="23089"/>
      <w:bookmarkEnd w:id="23090"/>
      <w:bookmarkEnd w:id="23091"/>
      <w:r>
        <w:rPr>
          <w:rFonts w:hint="cs"/>
          <w:rtl/>
        </w:rPr>
        <w:t xml:space="preserve">אנחנו </w:t>
      </w:r>
      <w:bookmarkStart w:id="23092" w:name="_ETM_Q35_439199"/>
      <w:bookmarkEnd w:id="23092"/>
      <w:r>
        <w:rPr>
          <w:rFonts w:hint="cs"/>
          <w:rtl/>
        </w:rPr>
        <w:t xml:space="preserve">פה. </w:t>
      </w:r>
      <w:bookmarkStart w:id="23093" w:name="_ETM_Q35_439979"/>
      <w:bookmarkEnd w:id="23093"/>
      <w:r>
        <w:rPr>
          <w:rFonts w:hint="cs"/>
          <w:rtl/>
        </w:rPr>
        <w:t xml:space="preserve">אבל </w:t>
      </w:r>
      <w:bookmarkStart w:id="23094" w:name="_ETM_Q35_440279"/>
      <w:bookmarkStart w:id="23095" w:name="_ETM_Q35_441550"/>
      <w:bookmarkEnd w:id="23094"/>
      <w:bookmarkEnd w:id="23095"/>
      <w:r>
        <w:rPr>
          <w:rFonts w:hint="cs"/>
          <w:rtl/>
        </w:rPr>
        <w:t>אס</w:t>
      </w:r>
      <w:bookmarkStart w:id="23096" w:name="_ETM_Q35_441970"/>
      <w:bookmarkEnd w:id="23096"/>
      <w:r>
        <w:rPr>
          <w:rFonts w:hint="cs"/>
          <w:rtl/>
        </w:rPr>
        <w:t xml:space="preserve">רו להיכנס ליציע, ויש סיבה, </w:t>
      </w:r>
      <w:bookmarkStart w:id="23097" w:name="_ETM_Q35_444900"/>
      <w:bookmarkEnd w:id="23097"/>
      <w:r>
        <w:rPr>
          <w:rFonts w:hint="cs"/>
          <w:rtl/>
        </w:rPr>
        <w:t xml:space="preserve">כי </w:t>
      </w:r>
      <w:bookmarkStart w:id="23098" w:name="_ETM_Q35_445050"/>
      <w:bookmarkEnd w:id="23098"/>
      <w:r>
        <w:rPr>
          <w:rFonts w:hint="cs"/>
          <w:rtl/>
        </w:rPr>
        <w:t xml:space="preserve">כשרוצים </w:t>
      </w:r>
      <w:bookmarkStart w:id="23099" w:name="_ETM_Q35_445589"/>
      <w:bookmarkEnd w:id="23099"/>
      <w:r>
        <w:rPr>
          <w:rFonts w:hint="cs"/>
          <w:rtl/>
        </w:rPr>
        <w:t xml:space="preserve">לעשות </w:t>
      </w:r>
      <w:bookmarkStart w:id="23100" w:name="_ETM_Q35_446009"/>
      <w:bookmarkEnd w:id="23100"/>
      <w:r>
        <w:rPr>
          <w:rFonts w:hint="cs"/>
          <w:rtl/>
        </w:rPr>
        <w:t xml:space="preserve">דברים </w:t>
      </w:r>
      <w:bookmarkStart w:id="23101" w:name="_ETM_Q35_446490"/>
      <w:bookmarkEnd w:id="23101"/>
      <w:r>
        <w:rPr>
          <w:rFonts w:hint="cs"/>
          <w:rtl/>
        </w:rPr>
        <w:t xml:space="preserve">לא </w:t>
      </w:r>
      <w:bookmarkStart w:id="23102" w:name="_ETM_Q35_446610"/>
      <w:bookmarkEnd w:id="23102"/>
      <w:r>
        <w:rPr>
          <w:rFonts w:hint="cs"/>
          <w:rtl/>
        </w:rPr>
        <w:t xml:space="preserve">סבירים, </w:t>
      </w:r>
      <w:bookmarkStart w:id="23103" w:name="_ETM_Q35_447570"/>
      <w:bookmarkEnd w:id="23103"/>
      <w:r>
        <w:rPr>
          <w:rFonts w:hint="cs"/>
          <w:rtl/>
        </w:rPr>
        <w:t xml:space="preserve">לא </w:t>
      </w:r>
      <w:bookmarkStart w:id="23104" w:name="_ETM_Q35_447779"/>
      <w:bookmarkEnd w:id="23104"/>
      <w:r>
        <w:rPr>
          <w:rFonts w:hint="cs"/>
          <w:rtl/>
        </w:rPr>
        <w:t xml:space="preserve">רוצים </w:t>
      </w:r>
      <w:bookmarkStart w:id="23105" w:name="_ETM_Q35_448139"/>
      <w:bookmarkEnd w:id="23105"/>
      <w:r>
        <w:rPr>
          <w:rFonts w:hint="cs"/>
          <w:rtl/>
        </w:rPr>
        <w:t xml:space="preserve">שיסתכלו. </w:t>
      </w:r>
      <w:bookmarkStart w:id="23106" w:name="_ETM_Q35_449750"/>
      <w:bookmarkEnd w:id="23106"/>
      <w:r>
        <w:rPr>
          <w:rFonts w:hint="cs"/>
          <w:rtl/>
        </w:rPr>
        <w:t xml:space="preserve">לכן </w:t>
      </w:r>
      <w:bookmarkStart w:id="23107" w:name="_ETM_Q35_450110"/>
      <w:bookmarkEnd w:id="23107"/>
      <w:r>
        <w:rPr>
          <w:rFonts w:hint="cs"/>
          <w:rtl/>
        </w:rPr>
        <w:t xml:space="preserve">רוצים </w:t>
      </w:r>
      <w:bookmarkStart w:id="23108" w:name="_ETM_Q35_450379"/>
      <w:bookmarkEnd w:id="23108"/>
      <w:r>
        <w:rPr>
          <w:rFonts w:hint="cs"/>
          <w:rtl/>
        </w:rPr>
        <w:t xml:space="preserve">לפטר </w:t>
      </w:r>
      <w:bookmarkStart w:id="23109" w:name="_ETM_Q35_450800"/>
      <w:bookmarkEnd w:id="23109"/>
      <w:r>
        <w:rPr>
          <w:rFonts w:hint="cs"/>
          <w:rtl/>
        </w:rPr>
        <w:t xml:space="preserve">שומרי </w:t>
      </w:r>
      <w:bookmarkStart w:id="23110" w:name="_ETM_Q35_451159"/>
      <w:bookmarkEnd w:id="23110"/>
      <w:r>
        <w:rPr>
          <w:rFonts w:hint="cs"/>
          <w:rtl/>
        </w:rPr>
        <w:t xml:space="preserve">סף; </w:t>
      </w:r>
      <w:bookmarkStart w:id="23111" w:name="_ETM_Q35_452810"/>
      <w:bookmarkStart w:id="23112" w:name="_ETM_Q35_456070"/>
      <w:bookmarkEnd w:id="23111"/>
      <w:bookmarkEnd w:id="23112"/>
      <w:r>
        <w:rPr>
          <w:rFonts w:hint="cs"/>
          <w:rtl/>
        </w:rPr>
        <w:t xml:space="preserve">לכן </w:t>
      </w:r>
      <w:bookmarkStart w:id="23113" w:name="_ETM_Q35_456729"/>
      <w:bookmarkEnd w:id="23113"/>
      <w:r>
        <w:rPr>
          <w:rFonts w:hint="cs"/>
          <w:rtl/>
        </w:rPr>
        <w:t xml:space="preserve">יש </w:t>
      </w:r>
      <w:bookmarkStart w:id="23114" w:name="_ETM_Q35_456970"/>
      <w:bookmarkEnd w:id="23114"/>
      <w:r>
        <w:rPr>
          <w:rFonts w:hint="cs"/>
          <w:rtl/>
        </w:rPr>
        <w:t xml:space="preserve">פה </w:t>
      </w:r>
      <w:bookmarkStart w:id="23115" w:name="_ETM_Q35_458470"/>
      <w:bookmarkEnd w:id="23115"/>
      <w:r>
        <w:rPr>
          <w:rFonts w:hint="cs"/>
          <w:rtl/>
        </w:rPr>
        <w:t>- - -</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 - - </w:t>
      </w:r>
    </w:p>
    <w:p w:rsidR="00BB59CD" w:rsidRDefault="00BB59CD" w:rsidP="00BB59CD">
      <w:pPr>
        <w:rPr>
          <w:rtl/>
        </w:rPr>
      </w:pPr>
    </w:p>
    <w:p w:rsidR="00BB59CD" w:rsidRDefault="00BB59CD" w:rsidP="00BB59CD">
      <w:pPr>
        <w:pStyle w:val="-"/>
        <w:keepNext/>
        <w:rPr>
          <w:rtl/>
        </w:rPr>
      </w:pPr>
      <w:bookmarkStart w:id="23116" w:name="ET_speakercontinue_6236_40"/>
      <w:r>
        <w:rPr>
          <w:rStyle w:val="TagStyle"/>
          <w:rFonts w:hint="cs"/>
          <w:rtl/>
        </w:rPr>
        <w:t xml:space="preserve">&lt;&lt; דובר_המשך &gt;&gt; </w:t>
      </w:r>
      <w:r>
        <w:rPr>
          <w:rFonts w:hint="cs"/>
          <w:rtl/>
        </w:rPr>
        <w:t>נעמה לזימי (העבודה):</w:t>
      </w:r>
      <w:r>
        <w:rPr>
          <w:rStyle w:val="TagStyle"/>
          <w:rtl/>
        </w:rPr>
        <w:t xml:space="preserve"> &lt;&lt; דובר_המשך &gt;&gt;</w:t>
      </w:r>
      <w:bookmarkEnd w:id="23116"/>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לא, </w:t>
      </w:r>
      <w:bookmarkStart w:id="23117" w:name="_ETM_Q35_458800"/>
      <w:bookmarkEnd w:id="23117"/>
      <w:r>
        <w:rPr>
          <w:rFonts w:hint="cs"/>
          <w:rtl/>
        </w:rPr>
        <w:t xml:space="preserve">אסרו </w:t>
      </w:r>
      <w:bookmarkStart w:id="23118" w:name="_ETM_Q35_459100"/>
      <w:bookmarkEnd w:id="23118"/>
      <w:r>
        <w:rPr>
          <w:rFonts w:hint="cs"/>
          <w:rtl/>
        </w:rPr>
        <w:t xml:space="preserve">על </w:t>
      </w:r>
      <w:bookmarkStart w:id="23119" w:name="_ETM_Q35_459160"/>
      <w:bookmarkEnd w:id="23119"/>
      <w:r>
        <w:rPr>
          <w:rFonts w:hint="cs"/>
          <w:rtl/>
        </w:rPr>
        <w:t xml:space="preserve">כניסות </w:t>
      </w:r>
      <w:bookmarkStart w:id="23120" w:name="_ETM_Q35_459580"/>
      <w:bookmarkStart w:id="23121" w:name="_ETM_Q35_459940"/>
      <w:bookmarkEnd w:id="23120"/>
      <w:bookmarkEnd w:id="23121"/>
      <w:r>
        <w:rPr>
          <w:rFonts w:hint="cs"/>
          <w:rtl/>
        </w:rPr>
        <w:t xml:space="preserve">ביום </w:t>
      </w:r>
      <w:bookmarkStart w:id="23122" w:name="_ETM_Q35_460210"/>
      <w:bookmarkEnd w:id="23122"/>
      <w:r>
        <w:rPr>
          <w:rFonts w:hint="cs"/>
          <w:rtl/>
        </w:rPr>
        <w:t xml:space="preserve">הזה לכנסת.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תאמין לי שהם יודעים </w:t>
      </w:r>
      <w:bookmarkStart w:id="23123" w:name="_ETM_Q35_462000"/>
      <w:bookmarkEnd w:id="23123"/>
      <w:r>
        <w:rPr>
          <w:rFonts w:hint="cs"/>
          <w:rtl/>
        </w:rPr>
        <w:t xml:space="preserve">מה הסיבה שסגרו את הדלתות. </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 </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אז תגיד. </w:t>
      </w:r>
    </w:p>
    <w:p w:rsidR="00BB59CD" w:rsidRDefault="00BB59CD" w:rsidP="00BB59CD">
      <w:pPr>
        <w:rPr>
          <w:rtl/>
        </w:rPr>
      </w:pPr>
    </w:p>
    <w:p w:rsidR="00BB59CD" w:rsidRDefault="00BB59CD" w:rsidP="00BB59CD">
      <w:pPr>
        <w:pStyle w:val="-"/>
        <w:keepNext/>
        <w:rPr>
          <w:rtl/>
        </w:rPr>
      </w:pPr>
      <w:bookmarkStart w:id="23124" w:name="ET_speakercontinue_6236_41"/>
      <w:r>
        <w:rPr>
          <w:rStyle w:val="TagStyle"/>
          <w:rFonts w:hint="cs"/>
          <w:rtl/>
        </w:rPr>
        <w:t xml:space="preserve">&lt;&lt; דובר_המשך &gt;&gt; </w:t>
      </w:r>
      <w:r>
        <w:rPr>
          <w:rFonts w:hint="cs"/>
          <w:rtl/>
        </w:rPr>
        <w:t>נעמה לזימי (העבודה):</w:t>
      </w:r>
      <w:r>
        <w:rPr>
          <w:rStyle w:val="TagStyle"/>
          <w:rtl/>
        </w:rPr>
        <w:t xml:space="preserve"> &lt;&lt; דובר_המשך &gt;&gt;</w:t>
      </w:r>
      <w:bookmarkEnd w:id="23124"/>
      <w:r>
        <w:rPr>
          <w:rFonts w:hint="cs"/>
          <w:rtl/>
        </w:rPr>
        <w:t xml:space="preserve">  </w:t>
      </w:r>
    </w:p>
    <w:p w:rsidR="00BB59CD" w:rsidRDefault="00BB59CD" w:rsidP="00337201">
      <w:pPr>
        <w:rPr>
          <w:rtl/>
        </w:rPr>
      </w:pPr>
    </w:p>
    <w:p w:rsidR="00BB59CD" w:rsidRDefault="00BB59CD" w:rsidP="00E364AC">
      <w:pPr>
        <w:rPr>
          <w:rtl/>
        </w:rPr>
      </w:pPr>
      <w:r>
        <w:rPr>
          <w:rFonts w:hint="cs"/>
          <w:rtl/>
        </w:rPr>
        <w:t xml:space="preserve">אתה יודע משהו? </w:t>
      </w:r>
      <w:bookmarkStart w:id="23125" w:name="_ETM_Q35_465000"/>
      <w:bookmarkStart w:id="23126" w:name="_ETM_Q35_460419"/>
      <w:bookmarkStart w:id="23127" w:name="_ETM_Q35_460990"/>
      <w:bookmarkStart w:id="23128" w:name="_ETM_Q35_461560"/>
      <w:bookmarkStart w:id="23129" w:name="_ETM_Q35_461770"/>
      <w:bookmarkStart w:id="23130" w:name="_ETM_Q35_461830"/>
      <w:bookmarkStart w:id="23131" w:name="_ETM_Q35_462010"/>
      <w:bookmarkStart w:id="23132" w:name="_ETM_Q35_462279"/>
      <w:bookmarkStart w:id="23133" w:name="_ETM_Q35_462400"/>
      <w:bookmarkStart w:id="23134" w:name="_ETM_Q35_462730"/>
      <w:bookmarkEnd w:id="23125"/>
      <w:bookmarkEnd w:id="23126"/>
      <w:bookmarkEnd w:id="23127"/>
      <w:bookmarkEnd w:id="23128"/>
      <w:bookmarkEnd w:id="23129"/>
      <w:bookmarkEnd w:id="23130"/>
      <w:bookmarkEnd w:id="23131"/>
      <w:bookmarkEnd w:id="23132"/>
      <w:bookmarkEnd w:id="23133"/>
      <w:bookmarkEnd w:id="23134"/>
      <w:r>
        <w:rPr>
          <w:rFonts w:hint="cs"/>
          <w:rtl/>
        </w:rPr>
        <w:t xml:space="preserve">גם אם יש פה אמירות קשות; גם יהיו פה אנשים שיזעקו; גם אם </w:t>
      </w:r>
      <w:bookmarkStart w:id="23135" w:name="_ETM_Q35_462880"/>
      <w:bookmarkStart w:id="23136" w:name="_ETM_Q35_463300"/>
      <w:bookmarkStart w:id="23137" w:name="_ETM_Q35_463570"/>
      <w:bookmarkStart w:id="23138" w:name="_ETM_Q35_465310"/>
      <w:bookmarkStart w:id="23139" w:name="_ETM_Q35_465490"/>
      <w:bookmarkStart w:id="23140" w:name="_ETM_Q35_466000"/>
      <w:bookmarkStart w:id="23141" w:name="_ETM_Q35_466270"/>
      <w:bookmarkStart w:id="23142" w:name="_ETM_Q35_466450"/>
      <w:bookmarkStart w:id="23143" w:name="_ETM_Q35_467169"/>
      <w:bookmarkStart w:id="23144" w:name="_ETM_Q35_469439"/>
      <w:bookmarkStart w:id="23145" w:name="_ETM_Q35_469650"/>
      <w:bookmarkStart w:id="23146" w:name="_ETM_Q35_469740"/>
      <w:bookmarkEnd w:id="23135"/>
      <w:bookmarkEnd w:id="23136"/>
      <w:bookmarkEnd w:id="23137"/>
      <w:bookmarkEnd w:id="23138"/>
      <w:bookmarkEnd w:id="23139"/>
      <w:bookmarkEnd w:id="23140"/>
      <w:bookmarkEnd w:id="23141"/>
      <w:bookmarkEnd w:id="23142"/>
      <w:bookmarkEnd w:id="23143"/>
      <w:bookmarkEnd w:id="23144"/>
      <w:bookmarkEnd w:id="23145"/>
      <w:bookmarkEnd w:id="23146"/>
      <w:r>
        <w:rPr>
          <w:rFonts w:hint="cs"/>
          <w:rtl/>
        </w:rPr>
        <w:t xml:space="preserve">הרבה </w:t>
      </w:r>
      <w:bookmarkStart w:id="23147" w:name="_ETM_Q35_470009"/>
      <w:bookmarkEnd w:id="23147"/>
      <w:r>
        <w:rPr>
          <w:rFonts w:hint="cs"/>
          <w:rtl/>
        </w:rPr>
        <w:t xml:space="preserve">דברים </w:t>
      </w:r>
      <w:bookmarkStart w:id="23148" w:name="_ETM_Q35_471219"/>
      <w:bookmarkEnd w:id="23148"/>
      <w:r>
        <w:rPr>
          <w:rFonts w:hint="cs"/>
          <w:rtl/>
        </w:rPr>
        <w:t xml:space="preserve">יקרו – זה </w:t>
      </w:r>
      <w:bookmarkStart w:id="23149" w:name="_ETM_Q35_471460"/>
      <w:bookmarkEnd w:id="23149"/>
      <w:r>
        <w:rPr>
          <w:rFonts w:hint="cs"/>
          <w:rtl/>
        </w:rPr>
        <w:t xml:space="preserve">לא </w:t>
      </w:r>
      <w:bookmarkStart w:id="23150" w:name="_ETM_Q35_471639"/>
      <w:bookmarkEnd w:id="23150"/>
      <w:r>
        <w:rPr>
          <w:rFonts w:hint="cs"/>
          <w:rtl/>
        </w:rPr>
        <w:t xml:space="preserve">סיבה </w:t>
      </w:r>
      <w:bookmarkStart w:id="23151" w:name="_ETM_Q35_475640"/>
      <w:bookmarkEnd w:id="23151"/>
      <w:r>
        <w:rPr>
          <w:rFonts w:hint="cs"/>
          <w:rtl/>
        </w:rPr>
        <w:t xml:space="preserve">זאת </w:t>
      </w:r>
      <w:bookmarkStart w:id="23152" w:name="_ETM_Q35_475760"/>
      <w:bookmarkEnd w:id="23152"/>
      <w:r>
        <w:rPr>
          <w:rFonts w:hint="cs"/>
          <w:rtl/>
        </w:rPr>
        <w:t xml:space="preserve">לחסום את העין הציבורית מלראות מה </w:t>
      </w:r>
      <w:bookmarkStart w:id="23153" w:name="_ETM_Q35_474000"/>
      <w:bookmarkEnd w:id="23153"/>
      <w:r>
        <w:rPr>
          <w:rFonts w:hint="cs"/>
          <w:rtl/>
        </w:rPr>
        <w:t xml:space="preserve">קורה. זאת לא סיבה. ממשלה שרוצה לעשות דברים </w:t>
      </w:r>
      <w:bookmarkStart w:id="23154" w:name="_ETM_Q35_475880"/>
      <w:bookmarkStart w:id="23155" w:name="_ETM_Q35_476660"/>
      <w:bookmarkStart w:id="23156" w:name="_ETM_Q35_477140"/>
      <w:bookmarkStart w:id="23157" w:name="_ETM_Q35_478130"/>
      <w:bookmarkStart w:id="23158" w:name="_ETM_Q35_478580"/>
      <w:bookmarkStart w:id="23159" w:name="_ETM_Q35_478970"/>
      <w:bookmarkStart w:id="23160" w:name="_ETM_Q35_479390"/>
      <w:bookmarkEnd w:id="23154"/>
      <w:bookmarkEnd w:id="23155"/>
      <w:bookmarkEnd w:id="23156"/>
      <w:bookmarkEnd w:id="23157"/>
      <w:bookmarkEnd w:id="23158"/>
      <w:bookmarkEnd w:id="23159"/>
      <w:bookmarkEnd w:id="23160"/>
      <w:r>
        <w:rPr>
          <w:rFonts w:hint="cs"/>
          <w:rtl/>
        </w:rPr>
        <w:t xml:space="preserve">לא </w:t>
      </w:r>
      <w:bookmarkStart w:id="23161" w:name="_ETM_Q35_479510"/>
      <w:bookmarkEnd w:id="23161"/>
      <w:r>
        <w:rPr>
          <w:rFonts w:hint="cs"/>
          <w:rtl/>
        </w:rPr>
        <w:t xml:space="preserve">סבירים, </w:t>
      </w:r>
      <w:bookmarkStart w:id="23162" w:name="_ETM_Q35_480620"/>
      <w:bookmarkEnd w:id="23162"/>
      <w:r>
        <w:rPr>
          <w:rFonts w:hint="cs"/>
          <w:rtl/>
        </w:rPr>
        <w:t xml:space="preserve">רוצה </w:t>
      </w:r>
      <w:bookmarkStart w:id="23163" w:name="_ETM_Q35_481100"/>
      <w:bookmarkEnd w:id="23163"/>
      <w:r>
        <w:rPr>
          <w:rFonts w:hint="cs"/>
          <w:rtl/>
        </w:rPr>
        <w:t xml:space="preserve">לבטל </w:t>
      </w:r>
      <w:bookmarkStart w:id="23164" w:name="_ETM_Q35_480000"/>
      <w:bookmarkStart w:id="23165" w:name="_ETM_Q35_480179"/>
      <w:bookmarkStart w:id="23166" w:name="_ETM_Q35_481279"/>
      <w:bookmarkStart w:id="23167" w:name="_ETM_Q35_481760"/>
      <w:bookmarkStart w:id="23168" w:name="_ETM_Q35_482120"/>
      <w:bookmarkEnd w:id="23164"/>
      <w:bookmarkEnd w:id="23165"/>
      <w:bookmarkEnd w:id="23166"/>
      <w:bookmarkEnd w:id="23167"/>
      <w:bookmarkEnd w:id="23168"/>
      <w:r>
        <w:rPr>
          <w:rFonts w:hint="cs"/>
          <w:rtl/>
        </w:rPr>
        <w:t xml:space="preserve">את </w:t>
      </w:r>
      <w:bookmarkStart w:id="23169" w:name="_ETM_Q35_482210"/>
      <w:bookmarkEnd w:id="23169"/>
      <w:r>
        <w:rPr>
          <w:rFonts w:hint="cs"/>
          <w:rtl/>
        </w:rPr>
        <w:t xml:space="preserve">עילת </w:t>
      </w:r>
      <w:bookmarkStart w:id="23170" w:name="_ETM_Q35_482420"/>
      <w:bookmarkEnd w:id="23170"/>
      <w:r>
        <w:rPr>
          <w:rFonts w:hint="cs"/>
          <w:rtl/>
        </w:rPr>
        <w:t xml:space="preserve">הסבירות </w:t>
      </w:r>
      <w:bookmarkStart w:id="23171" w:name="_ETM_Q35_482960"/>
      <w:bookmarkEnd w:id="23171"/>
      <w:r w:rsidR="00E364AC">
        <w:rPr>
          <w:rFonts w:hint="eastAsia"/>
          <w:rtl/>
        </w:rPr>
        <w:t>–</w:t>
      </w:r>
      <w:r w:rsidR="00E364AC">
        <w:rPr>
          <w:rFonts w:hint="cs"/>
          <w:rtl/>
        </w:rPr>
        <w:t xml:space="preserve"> </w:t>
      </w:r>
      <w:r>
        <w:rPr>
          <w:rFonts w:hint="cs"/>
          <w:rtl/>
        </w:rPr>
        <w:t xml:space="preserve">זאת </w:t>
      </w:r>
      <w:bookmarkStart w:id="23172" w:name="_ETM_Q35_483110"/>
      <w:bookmarkEnd w:id="23172"/>
      <w:r>
        <w:rPr>
          <w:rFonts w:hint="cs"/>
          <w:rtl/>
        </w:rPr>
        <w:t xml:space="preserve">האמת, </w:t>
      </w:r>
      <w:bookmarkStart w:id="23173" w:name="_ETM_Q35_483650"/>
      <w:bookmarkEnd w:id="23173"/>
      <w:r>
        <w:rPr>
          <w:rFonts w:hint="cs"/>
          <w:rtl/>
        </w:rPr>
        <w:t>כבוד</w:t>
      </w:r>
      <w:bookmarkStart w:id="23174" w:name="_ETM_Q35_484069"/>
      <w:bookmarkEnd w:id="23174"/>
      <w:r>
        <w:rPr>
          <w:rFonts w:hint="cs"/>
          <w:rtl/>
        </w:rPr>
        <w:t xml:space="preserve"> </w:t>
      </w:r>
      <w:r w:rsidR="00E364AC">
        <w:rPr>
          <w:rFonts w:hint="cs"/>
          <w:rtl/>
        </w:rPr>
        <w:t>ה</w:t>
      </w:r>
      <w:r>
        <w:rPr>
          <w:rFonts w:hint="cs"/>
          <w:rtl/>
        </w:rPr>
        <w:t xml:space="preserve">יו"ר, </w:t>
      </w:r>
      <w:bookmarkStart w:id="23175" w:name="_ETM_Q35_484490"/>
      <w:bookmarkEnd w:id="23175"/>
      <w:r>
        <w:rPr>
          <w:rFonts w:hint="cs"/>
          <w:rtl/>
        </w:rPr>
        <w:t xml:space="preserve">אתה </w:t>
      </w:r>
      <w:bookmarkStart w:id="23176" w:name="_ETM_Q35_484640"/>
      <w:bookmarkEnd w:id="23176"/>
      <w:r>
        <w:rPr>
          <w:rFonts w:hint="cs"/>
          <w:rtl/>
        </w:rPr>
        <w:t xml:space="preserve">יודע </w:t>
      </w:r>
      <w:bookmarkStart w:id="23177" w:name="_ETM_Q35_485060"/>
      <w:bookmarkEnd w:id="23177"/>
      <w:r>
        <w:rPr>
          <w:rFonts w:hint="cs"/>
          <w:rtl/>
        </w:rPr>
        <w:t xml:space="preserve">את </w:t>
      </w:r>
      <w:bookmarkStart w:id="23178" w:name="_ETM_Q35_485210"/>
      <w:bookmarkEnd w:id="23178"/>
      <w:r>
        <w:rPr>
          <w:rFonts w:hint="cs"/>
          <w:rtl/>
        </w:rPr>
        <w:t xml:space="preserve">זה. </w:t>
      </w:r>
      <w:bookmarkStart w:id="23179" w:name="_ETM_Q35_486450"/>
      <w:bookmarkStart w:id="23180" w:name="_ETM_Q35_486810"/>
      <w:bookmarkEnd w:id="23179"/>
      <w:bookmarkEnd w:id="23180"/>
      <w:r>
        <w:rPr>
          <w:rFonts w:hint="cs"/>
          <w:rtl/>
        </w:rPr>
        <w:t xml:space="preserve">לא </w:t>
      </w:r>
      <w:bookmarkStart w:id="23181" w:name="_ETM_Q35_486990"/>
      <w:bookmarkEnd w:id="23181"/>
      <w:r>
        <w:rPr>
          <w:rFonts w:hint="cs"/>
          <w:rtl/>
        </w:rPr>
        <w:t xml:space="preserve">סתם </w:t>
      </w:r>
      <w:bookmarkStart w:id="23182" w:name="_ETM_Q35_488010"/>
      <w:bookmarkEnd w:id="23182"/>
      <w:r>
        <w:rPr>
          <w:rFonts w:hint="cs"/>
          <w:rtl/>
        </w:rPr>
        <w:t xml:space="preserve">לא </w:t>
      </w:r>
      <w:bookmarkStart w:id="23183" w:name="_ETM_Q35_488279"/>
      <w:bookmarkEnd w:id="23183"/>
      <w:r>
        <w:rPr>
          <w:rFonts w:hint="cs"/>
          <w:rtl/>
        </w:rPr>
        <w:t>העברת</w:t>
      </w:r>
      <w:bookmarkStart w:id="23184" w:name="_ETM_Q35_489000"/>
      <w:bookmarkEnd w:id="23184"/>
      <w:r>
        <w:rPr>
          <w:rFonts w:hint="cs"/>
          <w:rtl/>
        </w:rPr>
        <w:t xml:space="preserve">ם </w:t>
      </w:r>
      <w:bookmarkStart w:id="23185" w:name="_ETM_Q35_490790"/>
      <w:bookmarkEnd w:id="23185"/>
      <w:r>
        <w:rPr>
          <w:rFonts w:hint="cs"/>
          <w:rtl/>
        </w:rPr>
        <w:t xml:space="preserve">את </w:t>
      </w:r>
      <w:bookmarkStart w:id="23186" w:name="_ETM_Q35_491060"/>
      <w:bookmarkEnd w:id="23186"/>
      <w:r>
        <w:rPr>
          <w:rFonts w:hint="cs"/>
          <w:rtl/>
        </w:rPr>
        <w:t xml:space="preserve">ביטול </w:t>
      </w:r>
      <w:bookmarkStart w:id="23187" w:name="_ETM_Q35_491720"/>
      <w:bookmarkEnd w:id="23187"/>
      <w:r>
        <w:rPr>
          <w:rFonts w:hint="cs"/>
          <w:rtl/>
        </w:rPr>
        <w:t xml:space="preserve">העילה </w:t>
      </w:r>
      <w:bookmarkStart w:id="23188" w:name="_ETM_Q35_492170"/>
      <w:bookmarkEnd w:id="23188"/>
      <w:r>
        <w:rPr>
          <w:rFonts w:hint="cs"/>
          <w:rtl/>
        </w:rPr>
        <w:t xml:space="preserve">הזאת </w:t>
      </w:r>
      <w:bookmarkStart w:id="23189" w:name="_ETM_Q35_492790"/>
      <w:bookmarkEnd w:id="23189"/>
      <w:r>
        <w:rPr>
          <w:rFonts w:hint="cs"/>
          <w:rtl/>
        </w:rPr>
        <w:t xml:space="preserve">במתכונת </w:t>
      </w:r>
      <w:bookmarkStart w:id="23190" w:name="_ETM_Q35_493240"/>
      <w:bookmarkEnd w:id="23190"/>
      <w:r>
        <w:rPr>
          <w:rFonts w:hint="cs"/>
          <w:rtl/>
        </w:rPr>
        <w:t>מאוד</w:t>
      </w:r>
      <w:bookmarkStart w:id="23191" w:name="_ETM_Q35_493660"/>
      <w:bookmarkEnd w:id="23191"/>
      <w:r>
        <w:rPr>
          <w:rFonts w:hint="cs"/>
          <w:rtl/>
        </w:rPr>
        <w:t xml:space="preserve"> מאוד </w:t>
      </w:r>
      <w:bookmarkStart w:id="23192" w:name="_ETM_Q35_493839"/>
      <w:bookmarkEnd w:id="23192"/>
      <w:r>
        <w:rPr>
          <w:rFonts w:hint="cs"/>
          <w:rtl/>
        </w:rPr>
        <w:t xml:space="preserve">מצומצמת. </w:t>
      </w:r>
      <w:bookmarkStart w:id="23193" w:name="_ETM_Q35_494950"/>
      <w:bookmarkEnd w:id="23193"/>
      <w:r>
        <w:rPr>
          <w:rFonts w:hint="cs"/>
          <w:rtl/>
        </w:rPr>
        <w:t xml:space="preserve">אתם </w:t>
      </w:r>
      <w:bookmarkStart w:id="23194" w:name="_ETM_Q35_495309"/>
      <w:bookmarkEnd w:id="23194"/>
      <w:r>
        <w:rPr>
          <w:rFonts w:hint="cs"/>
          <w:rtl/>
        </w:rPr>
        <w:t xml:space="preserve">התפרעתם, </w:t>
      </w:r>
      <w:bookmarkStart w:id="23195" w:name="_ETM_Q35_496750"/>
      <w:bookmarkEnd w:id="23195"/>
      <w:r>
        <w:rPr>
          <w:rFonts w:hint="cs"/>
          <w:rtl/>
        </w:rPr>
        <w:t xml:space="preserve">כי </w:t>
      </w:r>
      <w:bookmarkStart w:id="23196" w:name="_ETM_Q35_496930"/>
      <w:bookmarkEnd w:id="23196"/>
      <w:r>
        <w:rPr>
          <w:rFonts w:hint="cs"/>
          <w:rtl/>
        </w:rPr>
        <w:t xml:space="preserve">אתם </w:t>
      </w:r>
      <w:bookmarkStart w:id="23197" w:name="_ETM_Q35_497110"/>
      <w:bookmarkEnd w:id="23197"/>
      <w:r>
        <w:rPr>
          <w:rFonts w:hint="cs"/>
          <w:rtl/>
        </w:rPr>
        <w:t xml:space="preserve">שיכורים </w:t>
      </w:r>
      <w:bookmarkStart w:id="23198" w:name="_ETM_Q35_497589"/>
      <w:bookmarkEnd w:id="23198"/>
      <w:r>
        <w:rPr>
          <w:rFonts w:hint="cs"/>
          <w:rtl/>
        </w:rPr>
        <w:t xml:space="preserve">מכוח, </w:t>
      </w:r>
      <w:bookmarkStart w:id="23199" w:name="_ETM_Q35_498000"/>
      <w:bookmarkEnd w:id="23199"/>
      <w:r>
        <w:rPr>
          <w:rFonts w:hint="cs"/>
          <w:rtl/>
        </w:rPr>
        <w:t xml:space="preserve">כי אתם </w:t>
      </w:r>
      <w:bookmarkStart w:id="23200" w:name="_ETM_Q35_499339"/>
      <w:bookmarkStart w:id="23201" w:name="_ETM_Q35_499760"/>
      <w:bookmarkEnd w:id="23200"/>
      <w:bookmarkEnd w:id="23201"/>
      <w:r>
        <w:rPr>
          <w:rFonts w:hint="cs"/>
          <w:rtl/>
        </w:rPr>
        <w:t xml:space="preserve">רוצים </w:t>
      </w:r>
      <w:bookmarkStart w:id="23202" w:name="_ETM_Q35_500690"/>
      <w:bookmarkEnd w:id="23202"/>
      <w:r>
        <w:rPr>
          <w:rFonts w:hint="cs"/>
          <w:rtl/>
        </w:rPr>
        <w:t>שליטה - - -</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bookmarkStart w:id="23203" w:name="_ETM_Q35_502000"/>
      <w:bookmarkEnd w:id="23203"/>
      <w:r>
        <w:rPr>
          <w:rFonts w:hint="cs"/>
          <w:rtl/>
        </w:rPr>
        <w:t>חברת הכנסת לזימי - - - אני רוצה להראות לך למה לא - - -</w:t>
      </w:r>
    </w:p>
    <w:p w:rsidR="00BB59CD" w:rsidRDefault="00BB59CD" w:rsidP="00BB59CD">
      <w:pPr>
        <w:rPr>
          <w:rtl/>
        </w:rPr>
      </w:pPr>
      <w:bookmarkStart w:id="23204" w:name="_ETM_Q35_509000"/>
      <w:bookmarkEnd w:id="23204"/>
    </w:p>
    <w:p w:rsidR="00BB59CD" w:rsidRDefault="00BB59CD" w:rsidP="00BB59CD">
      <w:pPr>
        <w:pStyle w:val="-"/>
        <w:keepNext/>
        <w:rPr>
          <w:rtl/>
        </w:rPr>
      </w:pPr>
      <w:bookmarkStart w:id="23205" w:name="ET_speakercontinue_6236_42"/>
      <w:r>
        <w:rPr>
          <w:rStyle w:val="TagStyle"/>
          <w:rFonts w:hint="cs"/>
          <w:rtl/>
        </w:rPr>
        <w:t xml:space="preserve">&lt;&lt; דובר_המשך &gt;&gt; </w:t>
      </w:r>
      <w:r>
        <w:rPr>
          <w:rFonts w:hint="cs"/>
          <w:rtl/>
        </w:rPr>
        <w:t>נעמה לזימי (העבודה):</w:t>
      </w:r>
      <w:r>
        <w:rPr>
          <w:rStyle w:val="TagStyle"/>
          <w:rtl/>
        </w:rPr>
        <w:t xml:space="preserve"> &lt;&lt; דובר_המשך &gt;&gt;</w:t>
      </w:r>
      <w:bookmarkEnd w:id="23205"/>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כי הם חוששים שמישהו יניף איזה דגל, שמישהו יניף פה איזה שלט. </w:t>
      </w:r>
    </w:p>
    <w:p w:rsidR="00BB59CD" w:rsidRDefault="00BB59CD" w:rsidP="00BB59CD">
      <w:pPr>
        <w:rPr>
          <w:rtl/>
        </w:rPr>
      </w:pPr>
      <w:bookmarkStart w:id="23206" w:name="_ETM_Q35_514000"/>
      <w:bookmarkEnd w:id="23206"/>
    </w:p>
    <w:p w:rsidR="00BB59CD" w:rsidRDefault="00BB59CD" w:rsidP="00BB59CD">
      <w:pPr>
        <w:pStyle w:val="af8"/>
        <w:keepNext/>
        <w:rPr>
          <w:rtl/>
        </w:rPr>
      </w:pPr>
      <w:r>
        <w:rPr>
          <w:rStyle w:val="TagStyle"/>
          <w:rFonts w:hint="cs"/>
          <w:rtl/>
        </w:rPr>
        <w:t xml:space="preserve">&lt;&lt;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rPr>
      </w:pPr>
    </w:p>
    <w:p w:rsidR="00BB59CD" w:rsidRDefault="00E364AC" w:rsidP="00BB59CD">
      <w:pPr>
        <w:rPr>
          <w:rtl/>
        </w:rPr>
      </w:pPr>
      <w:r>
        <w:rPr>
          <w:rFonts w:hint="cs"/>
          <w:rtl/>
        </w:rPr>
        <w:t xml:space="preserve">את </w:t>
      </w:r>
      <w:r w:rsidR="00BB59CD">
        <w:rPr>
          <w:rFonts w:hint="cs"/>
          <w:rtl/>
        </w:rPr>
        <w:t xml:space="preserve">זה את אומרת. </w:t>
      </w:r>
    </w:p>
    <w:p w:rsidR="00BB59CD" w:rsidRDefault="00BB59CD" w:rsidP="00BB59CD">
      <w:pPr>
        <w:rPr>
          <w:rtl/>
        </w:rPr>
      </w:pPr>
    </w:p>
    <w:p w:rsidR="00BB59CD" w:rsidRDefault="00BB59CD" w:rsidP="00BB59CD">
      <w:pPr>
        <w:pStyle w:val="af9"/>
        <w:keepNext/>
        <w:rPr>
          <w:rtl/>
        </w:rPr>
      </w:pPr>
      <w:bookmarkStart w:id="23207" w:name="ET_yor_6488_3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207"/>
    </w:p>
    <w:p w:rsidR="00BB59CD" w:rsidRDefault="00BB59CD" w:rsidP="00337201">
      <w:pPr>
        <w:rPr>
          <w:rtl/>
        </w:rPr>
      </w:pPr>
    </w:p>
    <w:p w:rsidR="00BB59CD" w:rsidRDefault="00E364AC" w:rsidP="00BB59CD">
      <w:pPr>
        <w:rPr>
          <w:rtl/>
        </w:rPr>
      </w:pPr>
      <w:r>
        <w:rPr>
          <w:rFonts w:hint="cs"/>
          <w:rtl/>
        </w:rPr>
        <w:t xml:space="preserve">לא, </w:t>
      </w:r>
      <w:r w:rsidR="00BB59CD">
        <w:rPr>
          <w:rFonts w:hint="cs"/>
          <w:rtl/>
        </w:rPr>
        <w:t xml:space="preserve">כמעט פרצו פה לתוך המליאה, שזה הרבה יותר מהקפיטול. </w:t>
      </w:r>
    </w:p>
    <w:p w:rsidR="00BB59CD" w:rsidRDefault="00BB59CD" w:rsidP="00BB59CD">
      <w:pPr>
        <w:rPr>
          <w:rtl/>
        </w:rPr>
      </w:pPr>
      <w:bookmarkStart w:id="23208" w:name="_ETM_Q35_522360"/>
      <w:bookmarkEnd w:id="23208"/>
    </w:p>
    <w:p w:rsidR="00BB59CD" w:rsidRDefault="00BB59CD" w:rsidP="00BB59CD">
      <w:pPr>
        <w:pStyle w:val="-"/>
        <w:keepNext/>
        <w:rPr>
          <w:rtl/>
        </w:rPr>
      </w:pPr>
      <w:bookmarkStart w:id="23209" w:name="ET_speakercontinue_6236_43"/>
      <w:r>
        <w:rPr>
          <w:rStyle w:val="TagStyle"/>
          <w:rFonts w:hint="cs"/>
          <w:rtl/>
        </w:rPr>
        <w:t xml:space="preserve">&lt;&lt; דובר_המשך &gt;&gt; </w:t>
      </w:r>
      <w:r>
        <w:rPr>
          <w:rFonts w:hint="cs"/>
          <w:rtl/>
        </w:rPr>
        <w:t>נעמה לזימי (העבודה):</w:t>
      </w:r>
      <w:r>
        <w:rPr>
          <w:rStyle w:val="TagStyle"/>
          <w:rtl/>
        </w:rPr>
        <w:t xml:space="preserve"> &lt;&lt; דובר_המשך &gt;&gt;</w:t>
      </w:r>
      <w:bookmarkEnd w:id="23209"/>
      <w:r>
        <w:rPr>
          <w:rFonts w:hint="cs"/>
          <w:rtl/>
        </w:rPr>
        <w:t xml:space="preserve">  </w:t>
      </w:r>
    </w:p>
    <w:p w:rsidR="00BB59CD" w:rsidRDefault="00BB59CD" w:rsidP="00337201">
      <w:pPr>
        <w:rPr>
          <w:rtl/>
        </w:rPr>
      </w:pPr>
    </w:p>
    <w:p w:rsidR="00BB59CD" w:rsidRDefault="00BB59CD" w:rsidP="00E364AC">
      <w:pPr>
        <w:rPr>
          <w:rtl/>
        </w:rPr>
      </w:pPr>
      <w:r>
        <w:rPr>
          <w:rFonts w:hint="cs"/>
          <w:rtl/>
        </w:rPr>
        <w:t xml:space="preserve">אתה יודע שאפשר לתת לאנשים </w:t>
      </w:r>
      <w:bookmarkStart w:id="23210" w:name="_ETM_Q35_522690"/>
      <w:bookmarkEnd w:id="23210"/>
      <w:r>
        <w:rPr>
          <w:rFonts w:hint="cs"/>
          <w:rtl/>
        </w:rPr>
        <w:t xml:space="preserve">לצפות </w:t>
      </w:r>
      <w:bookmarkStart w:id="23211" w:name="_ETM_Q35_523529"/>
      <w:bookmarkEnd w:id="23211"/>
      <w:r>
        <w:rPr>
          <w:rFonts w:hint="cs"/>
          <w:rtl/>
        </w:rPr>
        <w:t xml:space="preserve">פה, ועדיין להשגיח. דבר שני, </w:t>
      </w:r>
      <w:bookmarkStart w:id="23212" w:name="_ETM_Q35_524399"/>
      <w:bookmarkStart w:id="23213" w:name="_ETM_Q35_524789"/>
      <w:bookmarkStart w:id="23214" w:name="_ETM_Q35_525550"/>
      <w:bookmarkEnd w:id="23212"/>
      <w:bookmarkEnd w:id="23213"/>
      <w:bookmarkEnd w:id="23214"/>
      <w:r>
        <w:rPr>
          <w:rFonts w:hint="cs"/>
          <w:rtl/>
        </w:rPr>
        <w:t xml:space="preserve">אולי </w:t>
      </w:r>
      <w:bookmarkStart w:id="23215" w:name="_ETM_Q35_526480"/>
      <w:bookmarkEnd w:id="23215"/>
      <w:r>
        <w:rPr>
          <w:rFonts w:hint="cs"/>
          <w:rtl/>
        </w:rPr>
        <w:t xml:space="preserve">תחשוב מה מביא </w:t>
      </w:r>
      <w:bookmarkStart w:id="23216" w:name="_ETM_Q35_526899"/>
      <w:bookmarkEnd w:id="23216"/>
      <w:r>
        <w:rPr>
          <w:rFonts w:hint="cs"/>
          <w:rtl/>
        </w:rPr>
        <w:t>אנשים</w:t>
      </w:r>
      <w:bookmarkStart w:id="23217" w:name="_ETM_Q35_528279"/>
      <w:bookmarkEnd w:id="23217"/>
      <w:r>
        <w:rPr>
          <w:rFonts w:hint="cs"/>
          <w:rtl/>
        </w:rPr>
        <w:t xml:space="preserve"> </w:t>
      </w:r>
      <w:bookmarkStart w:id="23218" w:name="_ETM_Q35_530136"/>
      <w:bookmarkEnd w:id="23218"/>
      <w:r>
        <w:rPr>
          <w:rFonts w:hint="cs"/>
          <w:rtl/>
        </w:rPr>
        <w:t xml:space="preserve">– אנשים </w:t>
      </w:r>
      <w:bookmarkStart w:id="23219" w:name="_ETM_Q35_529930"/>
      <w:bookmarkEnd w:id="23219"/>
      <w:r>
        <w:rPr>
          <w:rFonts w:hint="cs"/>
          <w:rtl/>
        </w:rPr>
        <w:t xml:space="preserve">הגונים, שומרי </w:t>
      </w:r>
      <w:bookmarkStart w:id="23220" w:name="_ETM_Q35_530320"/>
      <w:bookmarkEnd w:id="23220"/>
      <w:r>
        <w:rPr>
          <w:rFonts w:hint="cs"/>
          <w:rtl/>
        </w:rPr>
        <w:t>חוק</w:t>
      </w:r>
      <w:bookmarkStart w:id="23221" w:name="_ETM_Q35_531000"/>
      <w:bookmarkEnd w:id="23221"/>
      <w:r>
        <w:rPr>
          <w:rFonts w:hint="cs"/>
          <w:rtl/>
        </w:rPr>
        <w:t xml:space="preserve"> – למחות </w:t>
      </w:r>
      <w:bookmarkStart w:id="23222" w:name="_ETM_Q35_532629"/>
      <w:bookmarkEnd w:id="23222"/>
      <w:r>
        <w:rPr>
          <w:rFonts w:hint="cs"/>
          <w:rtl/>
        </w:rPr>
        <w:t xml:space="preserve">בתוך </w:t>
      </w:r>
      <w:bookmarkStart w:id="23223" w:name="_ETM_Q35_533139"/>
      <w:bookmarkEnd w:id="23223"/>
      <w:r>
        <w:rPr>
          <w:rFonts w:hint="cs"/>
          <w:rtl/>
        </w:rPr>
        <w:t xml:space="preserve">המשכן? אתה יודע איפה </w:t>
      </w:r>
      <w:bookmarkStart w:id="23224" w:name="_ETM_Q35_534670"/>
      <w:bookmarkEnd w:id="23224"/>
      <w:r>
        <w:rPr>
          <w:rFonts w:hint="cs"/>
          <w:rtl/>
        </w:rPr>
        <w:t xml:space="preserve">הם </w:t>
      </w:r>
      <w:bookmarkStart w:id="23225" w:name="_ETM_Q35_534790"/>
      <w:bookmarkEnd w:id="23225"/>
      <w:r>
        <w:rPr>
          <w:rFonts w:hint="cs"/>
          <w:rtl/>
        </w:rPr>
        <w:t xml:space="preserve">אמורים </w:t>
      </w:r>
      <w:bookmarkStart w:id="23226" w:name="_ETM_Q35_535149"/>
      <w:bookmarkStart w:id="23227" w:name="_ETM_Q35_536370"/>
      <w:bookmarkEnd w:id="23226"/>
      <w:bookmarkEnd w:id="23227"/>
      <w:r>
        <w:rPr>
          <w:rFonts w:hint="cs"/>
          <w:rtl/>
        </w:rPr>
        <w:t xml:space="preserve">להיות? הם אמורים להיות איתנו בוועדות, </w:t>
      </w:r>
      <w:bookmarkStart w:id="23228" w:name="_ETM_Q35_537029"/>
      <w:bookmarkEnd w:id="23228"/>
      <w:r>
        <w:rPr>
          <w:rFonts w:hint="cs"/>
          <w:rtl/>
        </w:rPr>
        <w:t xml:space="preserve">להילחם </w:t>
      </w:r>
      <w:bookmarkStart w:id="23229" w:name="_ETM_Q35_537390"/>
      <w:bookmarkEnd w:id="23229"/>
      <w:r>
        <w:rPr>
          <w:rFonts w:hint="cs"/>
          <w:rtl/>
        </w:rPr>
        <w:t xml:space="preserve">על </w:t>
      </w:r>
      <w:bookmarkStart w:id="23230" w:name="_ETM_Q35_537479"/>
      <w:bookmarkEnd w:id="23230"/>
      <w:r>
        <w:rPr>
          <w:rFonts w:hint="cs"/>
          <w:rtl/>
        </w:rPr>
        <w:t xml:space="preserve">החיים </w:t>
      </w:r>
      <w:bookmarkStart w:id="23231" w:name="_ETM_Q35_537719"/>
      <w:bookmarkEnd w:id="23231"/>
      <w:r>
        <w:rPr>
          <w:rFonts w:hint="cs"/>
          <w:rtl/>
        </w:rPr>
        <w:t xml:space="preserve">עצמם. בוועדת הצעירים </w:t>
      </w:r>
      <w:bookmarkStart w:id="23232" w:name="_ETM_Q35_539110"/>
      <w:bookmarkEnd w:id="23232"/>
      <w:r>
        <w:rPr>
          <w:rFonts w:hint="cs"/>
          <w:rtl/>
        </w:rPr>
        <w:t xml:space="preserve">אני </w:t>
      </w:r>
      <w:bookmarkStart w:id="23233" w:name="_ETM_Q35_539320"/>
      <w:bookmarkStart w:id="23234" w:name="_ETM_Q35_539649"/>
      <w:bookmarkEnd w:id="23233"/>
      <w:bookmarkEnd w:id="23234"/>
      <w:r>
        <w:rPr>
          <w:rFonts w:hint="cs"/>
          <w:rtl/>
        </w:rPr>
        <w:t xml:space="preserve">מקפידה תמיד </w:t>
      </w:r>
      <w:bookmarkStart w:id="23235" w:name="_ETM_Q35_539860"/>
      <w:bookmarkStart w:id="23236" w:name="_ETM_Q35_539980"/>
      <w:bookmarkStart w:id="23237" w:name="_ETM_Q35_540070"/>
      <w:bookmarkStart w:id="23238" w:name="_ETM_Q35_541239"/>
      <w:bookmarkEnd w:id="23235"/>
      <w:bookmarkEnd w:id="23236"/>
      <w:bookmarkEnd w:id="23237"/>
      <w:bookmarkEnd w:id="23238"/>
      <w:r>
        <w:rPr>
          <w:rFonts w:hint="cs"/>
          <w:rtl/>
        </w:rPr>
        <w:t xml:space="preserve">להביא קולות </w:t>
      </w:r>
      <w:bookmarkStart w:id="23239" w:name="_ETM_Q35_540000"/>
      <w:bookmarkStart w:id="23240" w:name="_ETM_Q35_542170"/>
      <w:bookmarkEnd w:id="23239"/>
      <w:bookmarkEnd w:id="23240"/>
      <w:r>
        <w:rPr>
          <w:rFonts w:hint="cs"/>
          <w:rtl/>
        </w:rPr>
        <w:t xml:space="preserve">מכל </w:t>
      </w:r>
      <w:bookmarkStart w:id="23241" w:name="_ETM_Q35_542500"/>
      <w:bookmarkEnd w:id="23241"/>
      <w:r>
        <w:rPr>
          <w:rFonts w:hint="cs"/>
          <w:rtl/>
        </w:rPr>
        <w:t xml:space="preserve">הרקעים </w:t>
      </w:r>
      <w:bookmarkStart w:id="23242" w:name="_ETM_Q35_542920"/>
      <w:bookmarkEnd w:id="23242"/>
      <w:r>
        <w:rPr>
          <w:rFonts w:hint="cs"/>
          <w:rtl/>
        </w:rPr>
        <w:t xml:space="preserve">בחברה; להביא את כולם ולהשמיע. כשעשיתי דיונים על פרופיילינג ואלימות </w:t>
      </w:r>
      <w:bookmarkStart w:id="23243" w:name="_ETM_Q35_546060"/>
      <w:bookmarkStart w:id="23244" w:name="_ETM_Q35_549560"/>
      <w:bookmarkEnd w:id="23243"/>
      <w:bookmarkEnd w:id="23244"/>
      <w:r>
        <w:rPr>
          <w:rFonts w:hint="cs"/>
          <w:rtl/>
        </w:rPr>
        <w:t xml:space="preserve">משטרתית הבאתי את כל הקולות. </w:t>
      </w:r>
      <w:bookmarkStart w:id="23245" w:name="_ETM_Q35_551090"/>
      <w:bookmarkStart w:id="23246" w:name="_ETM_Q35_553470"/>
      <w:bookmarkStart w:id="23247" w:name="_ETM_Q35_556890"/>
      <w:bookmarkStart w:id="23248" w:name="_ETM_Q35_557160"/>
      <w:bookmarkEnd w:id="23245"/>
      <w:bookmarkEnd w:id="23246"/>
      <w:bookmarkEnd w:id="23247"/>
      <w:bookmarkEnd w:id="23248"/>
      <w:r>
        <w:rPr>
          <w:rFonts w:hint="cs"/>
          <w:rtl/>
        </w:rPr>
        <w:t xml:space="preserve">אני חושבת שזה המקום </w:t>
      </w:r>
      <w:bookmarkStart w:id="23249" w:name="_ETM_Q35_557520"/>
      <w:bookmarkEnd w:id="23249"/>
      <w:r>
        <w:rPr>
          <w:rFonts w:hint="cs"/>
          <w:rtl/>
        </w:rPr>
        <w:t xml:space="preserve">של </w:t>
      </w:r>
      <w:bookmarkStart w:id="23250" w:name="_ETM_Q35_557640"/>
      <w:bookmarkEnd w:id="23250"/>
      <w:r>
        <w:rPr>
          <w:rFonts w:hint="cs"/>
          <w:rtl/>
        </w:rPr>
        <w:t xml:space="preserve">הכנסת: </w:t>
      </w:r>
      <w:bookmarkStart w:id="23251" w:name="_ETM_Q35_558000"/>
      <w:bookmarkEnd w:id="23251"/>
      <w:r>
        <w:rPr>
          <w:rFonts w:hint="cs"/>
          <w:rtl/>
        </w:rPr>
        <w:t xml:space="preserve">להיות </w:t>
      </w:r>
      <w:bookmarkStart w:id="23252" w:name="_ETM_Q35_558270"/>
      <w:bookmarkEnd w:id="23252"/>
      <w:r>
        <w:rPr>
          <w:rFonts w:hint="cs"/>
          <w:rtl/>
        </w:rPr>
        <w:t xml:space="preserve">מקום </w:t>
      </w:r>
      <w:bookmarkStart w:id="23253" w:name="_ETM_Q35_558570"/>
      <w:bookmarkEnd w:id="23253"/>
      <w:r>
        <w:rPr>
          <w:rFonts w:hint="cs"/>
          <w:rtl/>
        </w:rPr>
        <w:t xml:space="preserve">שהציבור </w:t>
      </w:r>
      <w:bookmarkStart w:id="23254" w:name="_ETM_Q35_559110"/>
      <w:bookmarkEnd w:id="23254"/>
      <w:r>
        <w:rPr>
          <w:rFonts w:hint="cs"/>
          <w:rtl/>
        </w:rPr>
        <w:t xml:space="preserve">יכול </w:t>
      </w:r>
      <w:bookmarkStart w:id="23255" w:name="_ETM_Q35_559470"/>
      <w:bookmarkEnd w:id="23255"/>
      <w:r>
        <w:rPr>
          <w:rFonts w:hint="cs"/>
          <w:rtl/>
        </w:rPr>
        <w:t xml:space="preserve">להרגיש </w:t>
      </w:r>
      <w:bookmarkStart w:id="23256" w:name="_ETM_Q35_560420"/>
      <w:bookmarkEnd w:id="23256"/>
      <w:r>
        <w:rPr>
          <w:rFonts w:hint="cs"/>
          <w:rtl/>
        </w:rPr>
        <w:t xml:space="preserve">שהוא </w:t>
      </w:r>
      <w:bookmarkStart w:id="23257" w:name="_ETM_Q35_560839"/>
      <w:bookmarkEnd w:id="23257"/>
      <w:r>
        <w:rPr>
          <w:rFonts w:hint="cs"/>
          <w:rtl/>
        </w:rPr>
        <w:t xml:space="preserve">מפלטו </w:t>
      </w:r>
      <w:bookmarkStart w:id="23258" w:name="_ETM_Q35_562010"/>
      <w:bookmarkEnd w:id="23258"/>
      <w:r>
        <w:rPr>
          <w:rFonts w:hint="cs"/>
          <w:rtl/>
        </w:rPr>
        <w:t xml:space="preserve">אל </w:t>
      </w:r>
      <w:bookmarkStart w:id="23259" w:name="_ETM_Q35_562190"/>
      <w:bookmarkEnd w:id="23259"/>
      <w:r>
        <w:rPr>
          <w:rFonts w:hint="cs"/>
          <w:rtl/>
        </w:rPr>
        <w:t xml:space="preserve">מול </w:t>
      </w:r>
      <w:bookmarkStart w:id="23260" w:name="_ETM_Q35_562460"/>
      <w:bookmarkEnd w:id="23260"/>
      <w:r>
        <w:rPr>
          <w:rFonts w:hint="cs"/>
          <w:rtl/>
        </w:rPr>
        <w:t xml:space="preserve">עוולות </w:t>
      </w:r>
      <w:bookmarkStart w:id="23261" w:name="_ETM_Q35_563600"/>
      <w:bookmarkEnd w:id="23261"/>
      <w:r>
        <w:rPr>
          <w:rFonts w:hint="cs"/>
          <w:rtl/>
        </w:rPr>
        <w:t>ו</w:t>
      </w:r>
      <w:bookmarkStart w:id="23262" w:name="_ETM_Q35_563930"/>
      <w:bookmarkEnd w:id="23262"/>
      <w:r>
        <w:rPr>
          <w:rFonts w:hint="cs"/>
          <w:rtl/>
        </w:rPr>
        <w:t xml:space="preserve">אי-צדק, </w:t>
      </w:r>
      <w:bookmarkStart w:id="23263" w:name="_ETM_Q35_564619"/>
      <w:bookmarkEnd w:id="23263"/>
      <w:r>
        <w:rPr>
          <w:rFonts w:hint="cs"/>
          <w:rtl/>
        </w:rPr>
        <w:t xml:space="preserve">לתקן. </w:t>
      </w:r>
      <w:bookmarkStart w:id="23264" w:name="_ETM_Q35_565520"/>
      <w:bookmarkEnd w:id="23264"/>
      <w:r>
        <w:rPr>
          <w:rFonts w:hint="cs"/>
          <w:rtl/>
        </w:rPr>
        <w:t xml:space="preserve">אבל </w:t>
      </w:r>
      <w:bookmarkStart w:id="23265" w:name="_ETM_Q35_565850"/>
      <w:bookmarkEnd w:id="23265"/>
      <w:r>
        <w:rPr>
          <w:rFonts w:hint="cs"/>
          <w:rtl/>
        </w:rPr>
        <w:t xml:space="preserve">פה, </w:t>
      </w:r>
      <w:bookmarkStart w:id="23266" w:name="_ETM_Q35_566299"/>
      <w:bookmarkEnd w:id="23266"/>
      <w:r>
        <w:rPr>
          <w:rFonts w:hint="cs"/>
          <w:rtl/>
        </w:rPr>
        <w:t xml:space="preserve">מאז </w:t>
      </w:r>
      <w:bookmarkStart w:id="23267" w:name="_ETM_Q35_566659"/>
      <w:bookmarkEnd w:id="23267"/>
      <w:r>
        <w:rPr>
          <w:rFonts w:hint="cs"/>
          <w:rtl/>
        </w:rPr>
        <w:t xml:space="preserve">שקמה </w:t>
      </w:r>
      <w:bookmarkStart w:id="23268" w:name="_ETM_Q35_567110"/>
      <w:bookmarkEnd w:id="23268"/>
      <w:r>
        <w:rPr>
          <w:rFonts w:hint="cs"/>
          <w:rtl/>
        </w:rPr>
        <w:t xml:space="preserve">הממשלה, </w:t>
      </w:r>
      <w:bookmarkStart w:id="23269" w:name="_ETM_Q35_568810"/>
      <w:bookmarkEnd w:id="23269"/>
      <w:r>
        <w:rPr>
          <w:rFonts w:hint="cs"/>
          <w:rtl/>
        </w:rPr>
        <w:t xml:space="preserve">אתם </w:t>
      </w:r>
      <w:bookmarkStart w:id="23270" w:name="_ETM_Q35_569170"/>
      <w:bookmarkEnd w:id="23270"/>
      <w:r>
        <w:rPr>
          <w:rFonts w:hint="cs"/>
          <w:rtl/>
        </w:rPr>
        <w:t xml:space="preserve">הרי </w:t>
      </w:r>
      <w:bookmarkStart w:id="23271" w:name="_ETM_Q35_569350"/>
      <w:bookmarkEnd w:id="23271"/>
      <w:r>
        <w:rPr>
          <w:rFonts w:hint="cs"/>
          <w:rtl/>
        </w:rPr>
        <w:t xml:space="preserve">עוסקים </w:t>
      </w:r>
      <w:bookmarkStart w:id="23272" w:name="_ETM_Q35_570850"/>
      <w:bookmarkStart w:id="23273" w:name="_ETM_Q35_572290"/>
      <w:bookmarkEnd w:id="23272"/>
      <w:bookmarkEnd w:id="23273"/>
      <w:r>
        <w:rPr>
          <w:rFonts w:hint="cs"/>
          <w:rtl/>
        </w:rPr>
        <w:t xml:space="preserve">בבליץ פרסונלי </w:t>
      </w:r>
      <w:bookmarkStart w:id="23274" w:name="_ETM_Q35_573759"/>
      <w:bookmarkEnd w:id="23274"/>
      <w:r>
        <w:rPr>
          <w:rFonts w:hint="cs"/>
          <w:rtl/>
        </w:rPr>
        <w:t>מושחת.</w:t>
      </w:r>
    </w:p>
    <w:p w:rsidR="00BB59CD" w:rsidRDefault="00BB59CD" w:rsidP="00BB59CD">
      <w:pPr>
        <w:rPr>
          <w:rtl/>
        </w:rPr>
      </w:pPr>
    </w:p>
    <w:p w:rsidR="00BB59CD" w:rsidRDefault="00BB59CD" w:rsidP="00BB59CD">
      <w:pPr>
        <w:pStyle w:val="af8"/>
        <w:keepNext/>
        <w:rPr>
          <w:rtl/>
        </w:rPr>
      </w:pPr>
      <w:bookmarkStart w:id="23275" w:name="ET_interruption_6430_33"/>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bookmarkEnd w:id="23275"/>
    </w:p>
    <w:p w:rsidR="00BB59CD" w:rsidRDefault="00BB59CD" w:rsidP="00337201">
      <w:pPr>
        <w:rPr>
          <w:rtl/>
        </w:rPr>
      </w:pPr>
    </w:p>
    <w:p w:rsidR="00BB59CD" w:rsidRDefault="00BB59CD" w:rsidP="00BB59CD">
      <w:pPr>
        <w:rPr>
          <w:rtl/>
        </w:rPr>
      </w:pPr>
      <w:r>
        <w:rPr>
          <w:rFonts w:hint="cs"/>
          <w:rtl/>
        </w:rPr>
        <w:t xml:space="preserve">- - - </w:t>
      </w:r>
    </w:p>
    <w:p w:rsidR="00BB59CD" w:rsidRDefault="00BB59CD" w:rsidP="00BB59CD">
      <w:pPr>
        <w:rPr>
          <w:rtl/>
        </w:rPr>
      </w:pPr>
    </w:p>
    <w:p w:rsidR="00BB59CD" w:rsidRDefault="00BB59CD" w:rsidP="00BB59CD">
      <w:pPr>
        <w:pStyle w:val="-"/>
        <w:keepNext/>
        <w:rPr>
          <w:rtl/>
        </w:rPr>
      </w:pPr>
      <w:bookmarkStart w:id="23276" w:name="ET_speakercontinue_6236_44"/>
      <w:r>
        <w:rPr>
          <w:rStyle w:val="TagStyle"/>
          <w:rFonts w:hint="cs"/>
          <w:rtl/>
        </w:rPr>
        <w:t xml:space="preserve">&lt;&lt; דובר_המשך &gt;&gt; </w:t>
      </w:r>
      <w:r>
        <w:rPr>
          <w:rFonts w:hint="cs"/>
          <w:rtl/>
        </w:rPr>
        <w:t>נעמה לזימי (העבודה):</w:t>
      </w:r>
      <w:r>
        <w:rPr>
          <w:rStyle w:val="TagStyle"/>
          <w:rtl/>
        </w:rPr>
        <w:t xml:space="preserve"> &lt;&lt; דובר_המשך &gt;&gt;</w:t>
      </w:r>
      <w:bookmarkEnd w:id="23276"/>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הינה, אני אתן לך דוגמה, כבוד שר השיכון. </w:t>
      </w:r>
      <w:bookmarkStart w:id="23277" w:name="_ETM_Q35_578000"/>
      <w:bookmarkEnd w:id="23277"/>
      <w:r>
        <w:rPr>
          <w:rFonts w:hint="cs"/>
          <w:rtl/>
        </w:rPr>
        <w:t xml:space="preserve">באותו יום אנחנו </w:t>
      </w:r>
      <w:bookmarkStart w:id="23278" w:name="_ETM_Q35_575200"/>
      <w:bookmarkStart w:id="23279" w:name="_ETM_Q35_575680"/>
      <w:bookmarkStart w:id="23280" w:name="_ETM_Q35_575799"/>
      <w:bookmarkStart w:id="23281" w:name="_ETM_Q35_575979"/>
      <w:bookmarkStart w:id="23282" w:name="_ETM_Q35_576159"/>
      <w:bookmarkStart w:id="23283" w:name="_ETM_Q35_576310"/>
      <w:bookmarkStart w:id="23284" w:name="_ETM_Q35_577089"/>
      <w:bookmarkStart w:id="23285" w:name="_ETM_Q35_577329"/>
      <w:bookmarkStart w:id="23286" w:name="_ETM_Q35_577570"/>
      <w:bookmarkStart w:id="23287" w:name="_ETM_Q35_580200"/>
      <w:bookmarkEnd w:id="23278"/>
      <w:bookmarkEnd w:id="23279"/>
      <w:bookmarkEnd w:id="23280"/>
      <w:bookmarkEnd w:id="23281"/>
      <w:bookmarkEnd w:id="23282"/>
      <w:bookmarkEnd w:id="23283"/>
      <w:bookmarkEnd w:id="23284"/>
      <w:bookmarkEnd w:id="23285"/>
      <w:bookmarkEnd w:id="23286"/>
      <w:bookmarkEnd w:id="23287"/>
      <w:r>
        <w:rPr>
          <w:rFonts w:hint="cs"/>
          <w:rtl/>
        </w:rPr>
        <w:t xml:space="preserve">העברנו שני חוקים: האחד הוא חוק טבריה המושחת, והשני, </w:t>
      </w:r>
      <w:bookmarkStart w:id="23288" w:name="_ETM_Q35_580799"/>
      <w:bookmarkStart w:id="23289" w:name="_ETM_Q35_580979"/>
      <w:bookmarkStart w:id="23290" w:name="_ETM_Q35_581219"/>
      <w:bookmarkStart w:id="23291" w:name="_ETM_Q35_581339"/>
      <w:bookmarkStart w:id="23292" w:name="_ETM_Q35_581729"/>
      <w:bookmarkStart w:id="23293" w:name="_ETM_Q35_582089"/>
      <w:bookmarkStart w:id="23294" w:name="_ETM_Q35_582969"/>
      <w:bookmarkStart w:id="23295" w:name="_ETM_Q35_583839"/>
      <w:bookmarkEnd w:id="23288"/>
      <w:bookmarkEnd w:id="23289"/>
      <w:bookmarkEnd w:id="23290"/>
      <w:bookmarkEnd w:id="23291"/>
      <w:bookmarkEnd w:id="23292"/>
      <w:bookmarkEnd w:id="23293"/>
      <w:bookmarkEnd w:id="23294"/>
      <w:bookmarkEnd w:id="23295"/>
      <w:r>
        <w:rPr>
          <w:rFonts w:hint="cs"/>
          <w:rtl/>
        </w:rPr>
        <w:t xml:space="preserve">חוק זכויות הרכישה </w:t>
      </w:r>
      <w:bookmarkStart w:id="23296" w:name="_ETM_Q35_584200"/>
      <w:bookmarkStart w:id="23297" w:name="_ETM_Q35_584469"/>
      <w:bookmarkStart w:id="23298" w:name="_ETM_Q35_584649"/>
      <w:bookmarkEnd w:id="23296"/>
      <w:bookmarkEnd w:id="23297"/>
      <w:bookmarkEnd w:id="23298"/>
      <w:r>
        <w:rPr>
          <w:rFonts w:hint="cs"/>
          <w:rtl/>
        </w:rPr>
        <w:t xml:space="preserve">של דיירי </w:t>
      </w:r>
      <w:bookmarkStart w:id="23299" w:name="_ETM_Q35_584979"/>
      <w:bookmarkEnd w:id="23299"/>
      <w:r>
        <w:rPr>
          <w:rFonts w:hint="cs"/>
          <w:rtl/>
        </w:rPr>
        <w:t xml:space="preserve">הדיור </w:t>
      </w:r>
      <w:bookmarkStart w:id="23300" w:name="_ETM_Q35_585279"/>
      <w:bookmarkEnd w:id="23300"/>
      <w:r>
        <w:rPr>
          <w:rFonts w:hint="cs"/>
          <w:rtl/>
        </w:rPr>
        <w:t xml:space="preserve">הציבורי, </w:t>
      </w:r>
      <w:bookmarkStart w:id="23301" w:name="_ETM_Q35_585700"/>
      <w:bookmarkEnd w:id="23301"/>
      <w:r>
        <w:rPr>
          <w:rFonts w:hint="cs"/>
          <w:rtl/>
        </w:rPr>
        <w:t xml:space="preserve">רן </w:t>
      </w:r>
      <w:bookmarkStart w:id="23302" w:name="_ETM_Q35_585969"/>
      <w:bookmarkEnd w:id="23302"/>
      <w:r>
        <w:rPr>
          <w:rFonts w:hint="cs"/>
          <w:rtl/>
        </w:rPr>
        <w:t xml:space="preserve">כהן. </w:t>
      </w:r>
      <w:bookmarkStart w:id="23303" w:name="_ETM_Q35_586520"/>
      <w:bookmarkEnd w:id="23303"/>
      <w:r>
        <w:rPr>
          <w:rFonts w:hint="cs"/>
          <w:rtl/>
        </w:rPr>
        <w:t xml:space="preserve">מה </w:t>
      </w:r>
      <w:bookmarkStart w:id="23304" w:name="_ETM_Q35_587180"/>
      <w:bookmarkEnd w:id="23304"/>
      <w:r>
        <w:rPr>
          <w:rFonts w:hint="cs"/>
          <w:rtl/>
        </w:rPr>
        <w:t xml:space="preserve">כבר חוקק </w:t>
      </w:r>
      <w:bookmarkStart w:id="23305" w:name="_ETM_Q35_587479"/>
      <w:bookmarkEnd w:id="23305"/>
      <w:r>
        <w:rPr>
          <w:rFonts w:hint="cs"/>
          <w:rtl/>
        </w:rPr>
        <w:t xml:space="preserve">ומה </w:t>
      </w:r>
      <w:bookmarkStart w:id="23306" w:name="_ETM_Q35_587779"/>
      <w:bookmarkEnd w:id="23306"/>
      <w:r>
        <w:rPr>
          <w:rFonts w:hint="cs"/>
          <w:rtl/>
        </w:rPr>
        <w:t xml:space="preserve">נמרח </w:t>
      </w:r>
      <w:bookmarkStart w:id="23307" w:name="_ETM_Q35_588200"/>
      <w:bookmarkEnd w:id="23307"/>
      <w:r>
        <w:rPr>
          <w:rFonts w:hint="cs"/>
          <w:rtl/>
        </w:rPr>
        <w:t xml:space="preserve">ונמרח? </w:t>
      </w:r>
      <w:bookmarkStart w:id="23308" w:name="_ETM_Q35_590240"/>
      <w:bookmarkEnd w:id="23308"/>
      <w:r>
        <w:rPr>
          <w:rFonts w:hint="cs"/>
          <w:rtl/>
        </w:rPr>
        <w:t xml:space="preserve">לא </w:t>
      </w:r>
      <w:bookmarkStart w:id="23309" w:name="_ETM_Q35_590359"/>
      <w:bookmarkEnd w:id="23309"/>
      <w:r>
        <w:rPr>
          <w:rFonts w:hint="cs"/>
          <w:rtl/>
        </w:rPr>
        <w:t xml:space="preserve">צריך </w:t>
      </w:r>
      <w:bookmarkStart w:id="23310" w:name="_ETM_Q35_590659"/>
      <w:bookmarkEnd w:id="23310"/>
      <w:r>
        <w:rPr>
          <w:rFonts w:hint="cs"/>
          <w:rtl/>
        </w:rPr>
        <w:t xml:space="preserve">להגיד </w:t>
      </w:r>
      <w:bookmarkStart w:id="23311" w:name="_ETM_Q35_590899"/>
      <w:bookmarkEnd w:id="23311"/>
      <w:r>
        <w:rPr>
          <w:rFonts w:hint="cs"/>
          <w:rtl/>
        </w:rPr>
        <w:t xml:space="preserve">לנו; </w:t>
      </w:r>
      <w:bookmarkStart w:id="23312" w:name="_ETM_Q35_591109"/>
      <w:bookmarkEnd w:id="23312"/>
      <w:r>
        <w:rPr>
          <w:rFonts w:hint="cs"/>
          <w:rtl/>
        </w:rPr>
        <w:t xml:space="preserve">אנחנו </w:t>
      </w:r>
      <w:bookmarkStart w:id="23313" w:name="_ETM_Q35_591380"/>
      <w:bookmarkEnd w:id="23313"/>
      <w:r>
        <w:rPr>
          <w:rFonts w:hint="cs"/>
          <w:rtl/>
        </w:rPr>
        <w:t xml:space="preserve">יודעים </w:t>
      </w:r>
      <w:bookmarkStart w:id="23314" w:name="_ETM_Q35_591619"/>
      <w:bookmarkEnd w:id="23314"/>
      <w:r>
        <w:rPr>
          <w:rFonts w:hint="cs"/>
          <w:rtl/>
        </w:rPr>
        <w:t xml:space="preserve">את </w:t>
      </w:r>
      <w:bookmarkStart w:id="23315" w:name="_ETM_Q35_591740"/>
      <w:bookmarkEnd w:id="23315"/>
      <w:r>
        <w:rPr>
          <w:rFonts w:hint="cs"/>
          <w:rtl/>
        </w:rPr>
        <w:t xml:space="preserve">מי </w:t>
      </w:r>
      <w:bookmarkStart w:id="23316" w:name="_ETM_Q35_591859"/>
      <w:bookmarkEnd w:id="23316"/>
      <w:r>
        <w:rPr>
          <w:rFonts w:hint="cs"/>
          <w:rtl/>
        </w:rPr>
        <w:t>את</w:t>
      </w:r>
      <w:r w:rsidR="00E364AC">
        <w:rPr>
          <w:rFonts w:hint="cs"/>
          <w:rtl/>
        </w:rPr>
        <w:t>ם</w:t>
      </w:r>
      <w:r>
        <w:rPr>
          <w:rFonts w:hint="cs"/>
          <w:rtl/>
        </w:rPr>
        <w:t xml:space="preserve"> </w:t>
      </w:r>
      <w:bookmarkStart w:id="23317" w:name="_ETM_Q35_591920"/>
      <w:bookmarkEnd w:id="23317"/>
      <w:r>
        <w:rPr>
          <w:rFonts w:hint="cs"/>
          <w:rtl/>
        </w:rPr>
        <w:t xml:space="preserve">משאירים מאחור – </w:t>
      </w:r>
      <w:bookmarkStart w:id="23318" w:name="_ETM_Q35_592009"/>
      <w:bookmarkStart w:id="23319" w:name="_ETM_Q35_592369"/>
      <w:bookmarkStart w:id="23320" w:name="_ETM_Q35_593250"/>
      <w:bookmarkEnd w:id="23318"/>
      <w:bookmarkEnd w:id="23319"/>
      <w:bookmarkEnd w:id="23320"/>
      <w:r>
        <w:rPr>
          <w:rFonts w:hint="cs"/>
          <w:rtl/>
        </w:rPr>
        <w:t xml:space="preserve">את </w:t>
      </w:r>
      <w:bookmarkStart w:id="23321" w:name="_ETM_Q35_593400"/>
      <w:bookmarkEnd w:id="23321"/>
      <w:r>
        <w:rPr>
          <w:rFonts w:hint="cs"/>
          <w:rtl/>
        </w:rPr>
        <w:t xml:space="preserve">ישראל </w:t>
      </w:r>
      <w:bookmarkStart w:id="23322" w:name="_ETM_Q35_593759"/>
      <w:bookmarkEnd w:id="23322"/>
      <w:r>
        <w:rPr>
          <w:rFonts w:hint="cs"/>
          <w:rtl/>
        </w:rPr>
        <w:t xml:space="preserve">השנייה, את הכי מוחלשים. </w:t>
      </w:r>
      <w:bookmarkStart w:id="23323" w:name="_ETM_Q35_594330"/>
      <w:bookmarkStart w:id="23324" w:name="_ETM_Q35_594479"/>
      <w:bookmarkStart w:id="23325" w:name="_ETM_Q35_594720"/>
      <w:bookmarkStart w:id="23326" w:name="_ETM_Q35_595740"/>
      <w:bookmarkEnd w:id="23323"/>
      <w:bookmarkEnd w:id="23324"/>
      <w:bookmarkEnd w:id="23325"/>
      <w:bookmarkEnd w:id="23326"/>
      <w:r>
        <w:rPr>
          <w:rFonts w:hint="cs"/>
          <w:rtl/>
        </w:rPr>
        <w:t xml:space="preserve">בכוונת </w:t>
      </w:r>
      <w:bookmarkStart w:id="23327" w:name="_ETM_Q35_596549"/>
      <w:bookmarkEnd w:id="23327"/>
      <w:r>
        <w:rPr>
          <w:rFonts w:hint="cs"/>
          <w:rtl/>
        </w:rPr>
        <w:t xml:space="preserve">מכוון </w:t>
      </w:r>
      <w:bookmarkStart w:id="23328" w:name="_ETM_Q35_597089"/>
      <w:bookmarkEnd w:id="23328"/>
      <w:r>
        <w:rPr>
          <w:rFonts w:hint="cs"/>
          <w:rtl/>
        </w:rPr>
        <w:t xml:space="preserve">אתם </w:t>
      </w:r>
      <w:bookmarkStart w:id="23329" w:name="_ETM_Q35_597330"/>
      <w:bookmarkEnd w:id="23329"/>
      <w:r>
        <w:rPr>
          <w:rFonts w:hint="cs"/>
          <w:rtl/>
        </w:rPr>
        <w:t xml:space="preserve">דואגים </w:t>
      </w:r>
      <w:bookmarkStart w:id="23330" w:name="_ETM_Q35_597750"/>
      <w:bookmarkEnd w:id="23330"/>
      <w:r>
        <w:rPr>
          <w:rFonts w:hint="cs"/>
          <w:rtl/>
        </w:rPr>
        <w:t xml:space="preserve">רק </w:t>
      </w:r>
      <w:bookmarkStart w:id="23331" w:name="_ETM_Q35_597900"/>
      <w:bookmarkEnd w:id="23331"/>
      <w:r>
        <w:rPr>
          <w:rFonts w:hint="cs"/>
          <w:rtl/>
        </w:rPr>
        <w:t xml:space="preserve">לעצמכם. </w:t>
      </w:r>
      <w:bookmarkStart w:id="23332" w:name="_ETM_Q35_599029"/>
      <w:bookmarkEnd w:id="23332"/>
      <w:r>
        <w:rPr>
          <w:rFonts w:hint="cs"/>
          <w:rtl/>
        </w:rPr>
        <w:t>אי</w:t>
      </w:r>
      <w:bookmarkStart w:id="23333" w:name="_ETM_Q35_599179"/>
      <w:bookmarkEnd w:id="23333"/>
      <w:r>
        <w:rPr>
          <w:rFonts w:hint="cs"/>
          <w:rtl/>
        </w:rPr>
        <w:t xml:space="preserve">-אפשר </w:t>
      </w:r>
      <w:bookmarkStart w:id="23334" w:name="_ETM_Q35_599389"/>
      <w:bookmarkEnd w:id="23334"/>
      <w:r>
        <w:rPr>
          <w:rFonts w:hint="cs"/>
          <w:rtl/>
        </w:rPr>
        <w:t xml:space="preserve">להגיד </w:t>
      </w:r>
      <w:bookmarkStart w:id="23335" w:name="_ETM_Q35_599630"/>
      <w:bookmarkEnd w:id="23335"/>
      <w:r>
        <w:rPr>
          <w:rFonts w:hint="cs"/>
          <w:rtl/>
        </w:rPr>
        <w:t xml:space="preserve">את </w:t>
      </w:r>
      <w:bookmarkStart w:id="23336" w:name="_ETM_Q35_599719"/>
      <w:bookmarkEnd w:id="23336"/>
      <w:r>
        <w:rPr>
          <w:rFonts w:hint="cs"/>
          <w:rtl/>
        </w:rPr>
        <w:t xml:space="preserve">זה </w:t>
      </w:r>
      <w:bookmarkStart w:id="23337" w:name="_ETM_Q35_599839"/>
      <w:bookmarkEnd w:id="23337"/>
      <w:r>
        <w:rPr>
          <w:rFonts w:hint="cs"/>
          <w:rtl/>
        </w:rPr>
        <w:t>אחרת.</w:t>
      </w:r>
    </w:p>
    <w:p w:rsidR="00BB59CD" w:rsidRDefault="00BB59CD" w:rsidP="00BB59CD">
      <w:pPr>
        <w:rPr>
          <w:rtl/>
        </w:rPr>
      </w:pPr>
      <w:bookmarkStart w:id="23338" w:name="_ETM_Q35_605355"/>
      <w:bookmarkStart w:id="23339" w:name="_ETM_Q35_605435"/>
      <w:bookmarkEnd w:id="23338"/>
      <w:bookmarkEnd w:id="23339"/>
    </w:p>
    <w:p w:rsidR="00BB59CD" w:rsidRDefault="00BB59CD" w:rsidP="00BB59CD">
      <w:pPr>
        <w:rPr>
          <w:rtl/>
        </w:rPr>
      </w:pPr>
      <w:bookmarkStart w:id="23340" w:name="_ETM_Q35_605498"/>
      <w:bookmarkStart w:id="23341" w:name="_ETM_Q35_605571"/>
      <w:bookmarkStart w:id="23342" w:name="_ETM_Q35_600589"/>
      <w:bookmarkEnd w:id="23340"/>
      <w:bookmarkEnd w:id="23341"/>
      <w:bookmarkEnd w:id="23342"/>
      <w:r>
        <w:rPr>
          <w:rFonts w:hint="cs"/>
          <w:rtl/>
        </w:rPr>
        <w:t xml:space="preserve">ראיתי </w:t>
      </w:r>
      <w:bookmarkStart w:id="23343" w:name="_ETM_Q35_601069"/>
      <w:bookmarkEnd w:id="23343"/>
      <w:r>
        <w:rPr>
          <w:rFonts w:hint="cs"/>
          <w:rtl/>
        </w:rPr>
        <w:t xml:space="preserve">שכשרוצים </w:t>
      </w:r>
      <w:bookmarkStart w:id="23344" w:name="_ETM_Q35_601639"/>
      <w:bookmarkEnd w:id="23344"/>
      <w:r>
        <w:rPr>
          <w:rFonts w:hint="cs"/>
          <w:rtl/>
        </w:rPr>
        <w:t xml:space="preserve">לחוקק </w:t>
      </w:r>
      <w:bookmarkStart w:id="23345" w:name="_ETM_Q35_602089"/>
      <w:bookmarkEnd w:id="23345"/>
      <w:r>
        <w:rPr>
          <w:rFonts w:hint="cs"/>
          <w:rtl/>
        </w:rPr>
        <w:t xml:space="preserve">משהו, </w:t>
      </w:r>
      <w:bookmarkStart w:id="23346" w:name="_ETM_Q35_603029"/>
      <w:bookmarkEnd w:id="23346"/>
      <w:r>
        <w:rPr>
          <w:rFonts w:hint="cs"/>
          <w:rtl/>
        </w:rPr>
        <w:t xml:space="preserve">איך </w:t>
      </w:r>
      <w:bookmarkStart w:id="23347" w:name="_ETM_Q35_603270"/>
      <w:bookmarkEnd w:id="23347"/>
      <w:r>
        <w:rPr>
          <w:rFonts w:hint="cs"/>
          <w:rtl/>
        </w:rPr>
        <w:t xml:space="preserve">רצים. </w:t>
      </w:r>
      <w:bookmarkStart w:id="23348" w:name="_ETM_Q35_603930"/>
      <w:bookmarkEnd w:id="23348"/>
      <w:r>
        <w:rPr>
          <w:rFonts w:hint="cs"/>
          <w:rtl/>
        </w:rPr>
        <w:t>משו</w:t>
      </w:r>
      <w:bookmarkStart w:id="23349" w:name="_ETM_Q35_604350"/>
      <w:bookmarkEnd w:id="23349"/>
      <w:r>
        <w:rPr>
          <w:rFonts w:hint="cs"/>
          <w:rtl/>
        </w:rPr>
        <w:t>ם מה</w:t>
      </w:r>
      <w:r w:rsidR="00E364AC">
        <w:rPr>
          <w:rFonts w:hint="cs"/>
          <w:rtl/>
        </w:rPr>
        <w:t>,</w:t>
      </w:r>
      <w:r>
        <w:rPr>
          <w:rFonts w:hint="cs"/>
          <w:rtl/>
        </w:rPr>
        <w:t xml:space="preserve"> תמיד </w:t>
      </w:r>
      <w:bookmarkStart w:id="23350" w:name="_ETM_Q35_604560"/>
      <w:bookmarkEnd w:id="23350"/>
      <w:r>
        <w:rPr>
          <w:rFonts w:hint="cs"/>
          <w:rtl/>
        </w:rPr>
        <w:t xml:space="preserve">זה </w:t>
      </w:r>
      <w:bookmarkStart w:id="23351" w:name="_ETM_Q35_604649"/>
      <w:bookmarkEnd w:id="23351"/>
      <w:r>
        <w:rPr>
          <w:rFonts w:hint="cs"/>
          <w:rtl/>
        </w:rPr>
        <w:t xml:space="preserve">בשביל </w:t>
      </w:r>
      <w:bookmarkStart w:id="23352" w:name="_ETM_Q35_604859"/>
      <w:bookmarkEnd w:id="23352"/>
      <w:r>
        <w:rPr>
          <w:rFonts w:hint="cs"/>
          <w:rtl/>
        </w:rPr>
        <w:t xml:space="preserve">החברים </w:t>
      </w:r>
      <w:bookmarkStart w:id="23353" w:name="_ETM_Q35_605369"/>
      <w:bookmarkEnd w:id="23353"/>
      <w:r>
        <w:rPr>
          <w:rFonts w:hint="cs"/>
          <w:rtl/>
        </w:rPr>
        <w:t xml:space="preserve">של, </w:t>
      </w:r>
      <w:bookmarkStart w:id="23354" w:name="_ETM_Q35_605700"/>
      <w:bookmarkEnd w:id="23354"/>
      <w:r>
        <w:rPr>
          <w:rFonts w:hint="cs"/>
          <w:rtl/>
        </w:rPr>
        <w:t xml:space="preserve">המקורבים </w:t>
      </w:r>
      <w:bookmarkStart w:id="23355" w:name="_ETM_Q35_606359"/>
      <w:bookmarkEnd w:id="23355"/>
      <w:r>
        <w:rPr>
          <w:rFonts w:hint="cs"/>
          <w:rtl/>
        </w:rPr>
        <w:t xml:space="preserve">של, או בשביל </w:t>
      </w:r>
      <w:bookmarkStart w:id="23356" w:name="_ETM_Q35_607259"/>
      <w:bookmarkEnd w:id="23356"/>
      <w:r>
        <w:rPr>
          <w:rFonts w:hint="cs"/>
          <w:rtl/>
        </w:rPr>
        <w:t xml:space="preserve">אינטרסים אישיים, </w:t>
      </w:r>
      <w:bookmarkStart w:id="23357" w:name="_ETM_Q35_607679"/>
      <w:bookmarkStart w:id="23358" w:name="_ETM_Q35_608900"/>
      <w:bookmarkEnd w:id="23357"/>
      <w:bookmarkEnd w:id="23358"/>
      <w:r>
        <w:rPr>
          <w:rFonts w:hint="cs"/>
          <w:rtl/>
        </w:rPr>
        <w:t xml:space="preserve">אף פעם לא </w:t>
      </w:r>
      <w:bookmarkStart w:id="23359" w:name="_ETM_Q35_609020"/>
      <w:bookmarkEnd w:id="23359"/>
      <w:r>
        <w:rPr>
          <w:rFonts w:hint="cs"/>
          <w:rtl/>
        </w:rPr>
        <w:t xml:space="preserve">לציבור. </w:t>
      </w:r>
      <w:bookmarkStart w:id="23360" w:name="_ETM_Q35_610130"/>
      <w:bookmarkEnd w:id="23360"/>
      <w:r>
        <w:rPr>
          <w:rFonts w:hint="cs"/>
          <w:rtl/>
        </w:rPr>
        <w:t xml:space="preserve">אתם </w:t>
      </w:r>
      <w:bookmarkStart w:id="23361" w:name="_ETM_Q35_610430"/>
      <w:bookmarkEnd w:id="23361"/>
      <w:r>
        <w:rPr>
          <w:rFonts w:hint="cs"/>
          <w:rtl/>
        </w:rPr>
        <w:t xml:space="preserve">יודעים, </w:t>
      </w:r>
      <w:bookmarkStart w:id="23362" w:name="_ETM_Q35_610670"/>
      <w:bookmarkEnd w:id="23362"/>
      <w:r>
        <w:rPr>
          <w:rFonts w:hint="cs"/>
          <w:rtl/>
        </w:rPr>
        <w:t xml:space="preserve">בסופו </w:t>
      </w:r>
      <w:bookmarkStart w:id="23363" w:name="_ETM_Q35_611030"/>
      <w:bookmarkEnd w:id="23363"/>
      <w:r>
        <w:rPr>
          <w:rFonts w:hint="cs"/>
          <w:rtl/>
        </w:rPr>
        <w:t xml:space="preserve">של </w:t>
      </w:r>
      <w:bookmarkStart w:id="23364" w:name="_ETM_Q35_611150"/>
      <w:bookmarkEnd w:id="23364"/>
      <w:r>
        <w:rPr>
          <w:rFonts w:hint="cs"/>
          <w:rtl/>
        </w:rPr>
        <w:t xml:space="preserve">דבר </w:t>
      </w:r>
      <w:bookmarkStart w:id="23365" w:name="_ETM_Q35_611570"/>
      <w:bookmarkEnd w:id="23365"/>
      <w:r>
        <w:rPr>
          <w:rFonts w:hint="cs"/>
          <w:rtl/>
        </w:rPr>
        <w:t xml:space="preserve">הרצף </w:t>
      </w:r>
      <w:bookmarkStart w:id="23366" w:name="_ETM_Q35_612080"/>
      <w:bookmarkEnd w:id="23366"/>
      <w:r>
        <w:rPr>
          <w:rFonts w:hint="cs"/>
          <w:rtl/>
        </w:rPr>
        <w:t xml:space="preserve">הזה </w:t>
      </w:r>
      <w:bookmarkStart w:id="23367" w:name="_ETM_Q35_612680"/>
      <w:bookmarkEnd w:id="23367"/>
      <w:r>
        <w:rPr>
          <w:rFonts w:hint="cs"/>
          <w:rtl/>
        </w:rPr>
        <w:t xml:space="preserve">אומר </w:t>
      </w:r>
      <w:bookmarkStart w:id="23368" w:name="_ETM_Q35_612980"/>
      <w:bookmarkEnd w:id="23368"/>
      <w:r>
        <w:rPr>
          <w:rFonts w:hint="cs"/>
          <w:rtl/>
        </w:rPr>
        <w:t xml:space="preserve">דורשני. </w:t>
      </w:r>
      <w:bookmarkStart w:id="23369" w:name="_ETM_Q35_614240"/>
      <w:bookmarkEnd w:id="23369"/>
      <w:r>
        <w:rPr>
          <w:rFonts w:hint="cs"/>
          <w:rtl/>
        </w:rPr>
        <w:t xml:space="preserve">כינסת קבינט דיור? בסוף </w:t>
      </w:r>
      <w:bookmarkStart w:id="23370" w:name="_ETM_Q35_617000"/>
      <w:bookmarkEnd w:id="23370"/>
      <w:r>
        <w:rPr>
          <w:rFonts w:hint="cs"/>
          <w:rtl/>
        </w:rPr>
        <w:t xml:space="preserve">רואים עוד פעם </w:t>
      </w:r>
      <w:bookmarkStart w:id="23371" w:name="_ETM_Q35_614540"/>
      <w:bookmarkStart w:id="23372" w:name="_ETM_Q35_614780"/>
      <w:bookmarkStart w:id="23373" w:name="_ETM_Q35_615110"/>
      <w:bookmarkStart w:id="23374" w:name="_ETM_Q35_616490"/>
      <w:bookmarkStart w:id="23375" w:name="_ETM_Q35_616910"/>
      <w:bookmarkStart w:id="23376" w:name="_ETM_Q35_617180"/>
      <w:bookmarkStart w:id="23377" w:name="_ETM_Q35_617300"/>
      <w:bookmarkStart w:id="23378" w:name="_ETM_Q35_617599"/>
      <w:bookmarkStart w:id="23379" w:name="_ETM_Q35_617840"/>
      <w:bookmarkEnd w:id="23371"/>
      <w:bookmarkEnd w:id="23372"/>
      <w:bookmarkEnd w:id="23373"/>
      <w:bookmarkEnd w:id="23374"/>
      <w:bookmarkEnd w:id="23375"/>
      <w:bookmarkEnd w:id="23376"/>
      <w:bookmarkEnd w:id="23377"/>
      <w:bookmarkEnd w:id="23378"/>
      <w:bookmarkEnd w:id="23379"/>
      <w:r>
        <w:rPr>
          <w:rFonts w:hint="cs"/>
          <w:rtl/>
        </w:rPr>
        <w:t xml:space="preserve">הנחות סקטוריאליות. </w:t>
      </w:r>
      <w:bookmarkStart w:id="23380" w:name="_ETM_Q35_619099"/>
      <w:bookmarkEnd w:id="23380"/>
      <w:r>
        <w:rPr>
          <w:rFonts w:hint="cs"/>
          <w:rtl/>
        </w:rPr>
        <w:t xml:space="preserve">למה </w:t>
      </w:r>
      <w:bookmarkStart w:id="23381" w:name="_ETM_Q35_619400"/>
      <w:bookmarkEnd w:id="23381"/>
      <w:r>
        <w:rPr>
          <w:rFonts w:hint="cs"/>
          <w:rtl/>
        </w:rPr>
        <w:t xml:space="preserve">לא </w:t>
      </w:r>
      <w:bookmarkStart w:id="23382" w:name="_ETM_Q35_619489"/>
      <w:bookmarkEnd w:id="23382"/>
      <w:r>
        <w:rPr>
          <w:rFonts w:hint="cs"/>
          <w:rtl/>
        </w:rPr>
        <w:t xml:space="preserve">לכולם? </w:t>
      </w:r>
      <w:bookmarkStart w:id="23383" w:name="_ETM_Q35_620689"/>
      <w:bookmarkEnd w:id="23383"/>
      <w:r>
        <w:rPr>
          <w:rFonts w:hint="cs"/>
          <w:rtl/>
        </w:rPr>
        <w:t>הבטחתם</w:t>
      </w:r>
      <w:r w:rsidR="00E364AC">
        <w:rPr>
          <w:rFonts w:hint="cs"/>
          <w:rtl/>
        </w:rPr>
        <w:t>,</w:t>
      </w:r>
      <w:r>
        <w:rPr>
          <w:rFonts w:hint="cs"/>
          <w:rtl/>
        </w:rPr>
        <w:t xml:space="preserve"> </w:t>
      </w:r>
      <w:bookmarkStart w:id="23384" w:name="_ETM_Q35_621409"/>
      <w:bookmarkEnd w:id="23384"/>
      <w:r>
        <w:rPr>
          <w:rFonts w:hint="cs"/>
          <w:rtl/>
        </w:rPr>
        <w:t>אתם</w:t>
      </w:r>
      <w:r w:rsidR="00E364AC">
        <w:rPr>
          <w:rFonts w:hint="cs"/>
          <w:rtl/>
        </w:rPr>
        <w:t>,</w:t>
      </w:r>
      <w:r>
        <w:rPr>
          <w:rFonts w:hint="cs"/>
          <w:rtl/>
        </w:rPr>
        <w:t xml:space="preserve"> </w:t>
      </w:r>
      <w:bookmarkStart w:id="23385" w:name="_ETM_Q35_621709"/>
      <w:bookmarkEnd w:id="23385"/>
      <w:r>
        <w:rPr>
          <w:rFonts w:hint="cs"/>
          <w:rtl/>
        </w:rPr>
        <w:t xml:space="preserve">אצלכם </w:t>
      </w:r>
      <w:bookmarkStart w:id="23386" w:name="_ETM_Q35_622219"/>
      <w:bookmarkEnd w:id="23386"/>
      <w:r>
        <w:rPr>
          <w:rFonts w:hint="cs"/>
          <w:rtl/>
        </w:rPr>
        <w:t xml:space="preserve">– ישבתי </w:t>
      </w:r>
      <w:bookmarkStart w:id="23387" w:name="_ETM_Q35_622549"/>
      <w:bookmarkEnd w:id="23387"/>
      <w:r>
        <w:rPr>
          <w:rFonts w:hint="cs"/>
          <w:rtl/>
        </w:rPr>
        <w:t xml:space="preserve">אצלך, </w:t>
      </w:r>
      <w:bookmarkStart w:id="23388" w:name="_ETM_Q35_623060"/>
      <w:bookmarkEnd w:id="23388"/>
      <w:r>
        <w:rPr>
          <w:rFonts w:hint="cs"/>
          <w:rtl/>
        </w:rPr>
        <w:t xml:space="preserve">כבוד </w:t>
      </w:r>
      <w:bookmarkStart w:id="23389" w:name="_ETM_Q35_623329"/>
      <w:bookmarkEnd w:id="23389"/>
      <w:r>
        <w:rPr>
          <w:rFonts w:hint="cs"/>
          <w:rtl/>
        </w:rPr>
        <w:t xml:space="preserve">השר, </w:t>
      </w:r>
      <w:bookmarkStart w:id="23390" w:name="_ETM_Q35_623739"/>
      <w:bookmarkEnd w:id="23390"/>
      <w:r>
        <w:rPr>
          <w:rFonts w:hint="cs"/>
          <w:rtl/>
        </w:rPr>
        <w:t xml:space="preserve">והבטחת </w:t>
      </w:r>
      <w:bookmarkStart w:id="23391" w:name="_ETM_Q35_624219"/>
      <w:bookmarkEnd w:id="23391"/>
      <w:r>
        <w:rPr>
          <w:rFonts w:hint="cs"/>
          <w:rtl/>
        </w:rPr>
        <w:t xml:space="preserve">לי </w:t>
      </w:r>
      <w:bookmarkStart w:id="23392" w:name="_ETM_Q35_624669"/>
      <w:bookmarkEnd w:id="23392"/>
      <w:r>
        <w:rPr>
          <w:rFonts w:hint="cs"/>
          <w:rtl/>
        </w:rPr>
        <w:t xml:space="preserve">שהדיור </w:t>
      </w:r>
      <w:bookmarkStart w:id="23393" w:name="_ETM_Q35_625329"/>
      <w:bookmarkEnd w:id="23393"/>
      <w:r>
        <w:rPr>
          <w:rFonts w:hint="cs"/>
          <w:rtl/>
        </w:rPr>
        <w:t xml:space="preserve">הציבורי </w:t>
      </w:r>
      <w:bookmarkStart w:id="23394" w:name="_ETM_Q35_625989"/>
      <w:bookmarkEnd w:id="23394"/>
      <w:r>
        <w:rPr>
          <w:rFonts w:hint="cs"/>
          <w:rtl/>
        </w:rPr>
        <w:t xml:space="preserve">ייכנס </w:t>
      </w:r>
      <w:bookmarkStart w:id="23395" w:name="_ETM_Q35_626499"/>
      <w:bookmarkEnd w:id="23395"/>
      <w:r>
        <w:rPr>
          <w:rFonts w:hint="cs"/>
          <w:rtl/>
        </w:rPr>
        <w:t xml:space="preserve">לתקציב, </w:t>
      </w:r>
      <w:bookmarkStart w:id="23396" w:name="_ETM_Q35_627190"/>
      <w:bookmarkEnd w:id="23396"/>
      <w:r>
        <w:rPr>
          <w:rFonts w:hint="cs"/>
          <w:rtl/>
        </w:rPr>
        <w:t xml:space="preserve">ועוד </w:t>
      </w:r>
      <w:bookmarkStart w:id="23397" w:name="_ETM_Q35_627459"/>
      <w:bookmarkEnd w:id="23397"/>
      <w:r>
        <w:rPr>
          <w:rFonts w:hint="cs"/>
          <w:rtl/>
        </w:rPr>
        <w:t xml:space="preserve">פעם הוא לא </w:t>
      </w:r>
      <w:bookmarkStart w:id="23398" w:name="_ETM_Q35_627730"/>
      <w:bookmarkEnd w:id="23398"/>
      <w:r>
        <w:rPr>
          <w:rFonts w:hint="cs"/>
          <w:rtl/>
        </w:rPr>
        <w:t xml:space="preserve">נכנס </w:t>
      </w:r>
      <w:bookmarkStart w:id="23399" w:name="_ETM_Q35_627970"/>
      <w:bookmarkEnd w:id="23399"/>
      <w:r>
        <w:rPr>
          <w:rFonts w:hint="cs"/>
          <w:rtl/>
        </w:rPr>
        <w:t xml:space="preserve">לתקציב. </w:t>
      </w:r>
      <w:bookmarkStart w:id="23400" w:name="_ETM_Q35_629080"/>
      <w:bookmarkEnd w:id="23400"/>
      <w:r>
        <w:rPr>
          <w:rFonts w:hint="cs"/>
          <w:rtl/>
        </w:rPr>
        <w:t xml:space="preserve">אתם </w:t>
      </w:r>
      <w:bookmarkStart w:id="23401" w:name="_ETM_Q35_629800"/>
      <w:bookmarkEnd w:id="23401"/>
      <w:r>
        <w:rPr>
          <w:rFonts w:hint="cs"/>
          <w:rtl/>
        </w:rPr>
        <w:t xml:space="preserve">עוסקים </w:t>
      </w:r>
      <w:bookmarkStart w:id="23402" w:name="_ETM_Q35_631390"/>
      <w:bookmarkEnd w:id="23402"/>
      <w:r>
        <w:rPr>
          <w:rFonts w:hint="cs"/>
          <w:rtl/>
        </w:rPr>
        <w:t xml:space="preserve">רק </w:t>
      </w:r>
      <w:bookmarkStart w:id="23403" w:name="_ETM_Q35_631840"/>
      <w:bookmarkEnd w:id="23403"/>
      <w:r>
        <w:rPr>
          <w:rFonts w:hint="cs"/>
          <w:rtl/>
        </w:rPr>
        <w:t xml:space="preserve">בהפיכה </w:t>
      </w:r>
      <w:bookmarkStart w:id="23404" w:name="_ETM_Q35_632470"/>
      <w:bookmarkEnd w:id="23404"/>
      <w:r>
        <w:rPr>
          <w:rFonts w:hint="cs"/>
          <w:rtl/>
        </w:rPr>
        <w:t xml:space="preserve">המשטרית, </w:t>
      </w:r>
      <w:bookmarkStart w:id="23405" w:name="_ETM_Q35_633760"/>
      <w:bookmarkEnd w:id="23405"/>
      <w:r>
        <w:rPr>
          <w:rFonts w:hint="cs"/>
          <w:rtl/>
        </w:rPr>
        <w:t>למה?</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E364AC">
      <w:pPr>
        <w:rPr>
          <w:rtl/>
        </w:rPr>
      </w:pPr>
      <w:r>
        <w:rPr>
          <w:rFonts w:hint="cs"/>
          <w:rtl/>
        </w:rPr>
        <w:t>חיילי מילואים</w:t>
      </w:r>
      <w:r w:rsidR="00E364AC">
        <w:rPr>
          <w:rFonts w:hint="cs"/>
          <w:rtl/>
        </w:rPr>
        <w:t>,</w:t>
      </w:r>
      <w:r>
        <w:rPr>
          <w:rFonts w:hint="cs"/>
          <w:rtl/>
        </w:rPr>
        <w:t xml:space="preserve"> משרתים בצה"ל, נכי צה"ל.</w:t>
      </w:r>
    </w:p>
    <w:p w:rsidR="00BB59CD" w:rsidRDefault="00BB59CD" w:rsidP="00BB59CD">
      <w:pPr>
        <w:rPr>
          <w:rtl/>
        </w:rPr>
      </w:pPr>
    </w:p>
    <w:p w:rsidR="00BB59CD" w:rsidRDefault="00BB59CD" w:rsidP="00BB59CD">
      <w:pPr>
        <w:pStyle w:val="-"/>
        <w:keepNext/>
        <w:rPr>
          <w:rtl/>
        </w:rPr>
      </w:pPr>
      <w:bookmarkStart w:id="23406" w:name="ET_speakercontinue_6236_45"/>
      <w:r>
        <w:rPr>
          <w:rStyle w:val="TagStyle"/>
          <w:rFonts w:hint="cs"/>
          <w:rtl/>
        </w:rPr>
        <w:t xml:space="preserve">&lt;&lt; דובר_המשך &gt;&gt; </w:t>
      </w:r>
      <w:r>
        <w:rPr>
          <w:rFonts w:hint="cs"/>
          <w:rtl/>
        </w:rPr>
        <w:t>נעמה לזימי (העבודה):</w:t>
      </w:r>
      <w:r>
        <w:rPr>
          <w:rStyle w:val="TagStyle"/>
          <w:rtl/>
        </w:rPr>
        <w:t xml:space="preserve"> &lt;&lt; דובר_המשך &gt;&gt;</w:t>
      </w:r>
      <w:bookmarkEnd w:id="23406"/>
      <w:r>
        <w:rPr>
          <w:rFonts w:hint="cs"/>
          <w:rtl/>
        </w:rPr>
        <w:t xml:space="preserve">  </w:t>
      </w:r>
    </w:p>
    <w:p w:rsidR="00BB59CD" w:rsidRDefault="00BB59CD" w:rsidP="00337201">
      <w:pPr>
        <w:rPr>
          <w:rtl/>
        </w:rPr>
      </w:pPr>
    </w:p>
    <w:p w:rsidR="00BB59CD" w:rsidRDefault="00BB59CD" w:rsidP="00E364AC">
      <w:pPr>
        <w:rPr>
          <w:rtl/>
        </w:rPr>
      </w:pPr>
      <w:bookmarkStart w:id="23407" w:name="_ETM_Q35_638300"/>
      <w:bookmarkStart w:id="23408" w:name="_ETM_Q35_641680"/>
      <w:bookmarkStart w:id="23409" w:name="_ETM_Q35_641769"/>
      <w:bookmarkStart w:id="23410" w:name="_ETM_Q35_641890"/>
      <w:bookmarkStart w:id="23411" w:name="_ETM_Q35_642879"/>
      <w:bookmarkEnd w:id="23407"/>
      <w:bookmarkEnd w:id="23408"/>
      <w:bookmarkEnd w:id="23409"/>
      <w:bookmarkEnd w:id="23410"/>
      <w:bookmarkEnd w:id="23411"/>
      <w:r>
        <w:rPr>
          <w:rFonts w:hint="cs"/>
          <w:rtl/>
        </w:rPr>
        <w:t xml:space="preserve">חיילי </w:t>
      </w:r>
      <w:bookmarkStart w:id="23412" w:name="_ETM_Q35_643299"/>
      <w:bookmarkEnd w:id="23412"/>
      <w:r>
        <w:rPr>
          <w:rFonts w:hint="cs"/>
          <w:rtl/>
        </w:rPr>
        <w:t xml:space="preserve">מילואים </w:t>
      </w:r>
      <w:bookmarkStart w:id="23413" w:name="_ETM_Q35_643689"/>
      <w:bookmarkEnd w:id="23413"/>
      <w:r>
        <w:rPr>
          <w:rFonts w:hint="cs"/>
          <w:rtl/>
        </w:rPr>
        <w:t>קורא</w:t>
      </w:r>
      <w:r w:rsidR="00E364AC">
        <w:rPr>
          <w:rFonts w:hint="cs"/>
          <w:rtl/>
        </w:rPr>
        <w:t>ים</w:t>
      </w:r>
      <w:r>
        <w:rPr>
          <w:rFonts w:hint="cs"/>
          <w:rtl/>
        </w:rPr>
        <w:t xml:space="preserve"> תיגר עליכם. אני </w:t>
      </w:r>
      <w:bookmarkStart w:id="23414" w:name="_ETM_Q35_643000"/>
      <w:bookmarkEnd w:id="23414"/>
      <w:r>
        <w:rPr>
          <w:rFonts w:hint="cs"/>
          <w:rtl/>
        </w:rPr>
        <w:t xml:space="preserve">הייתי קצינת קישור </w:t>
      </w:r>
      <w:bookmarkStart w:id="23415" w:name="_ETM_Q35_643840"/>
      <w:bookmarkStart w:id="23416" w:name="_ETM_Q35_644430"/>
      <w:bookmarkStart w:id="23417" w:name="_ETM_Q35_644579"/>
      <w:bookmarkEnd w:id="23415"/>
      <w:bookmarkEnd w:id="23416"/>
      <w:bookmarkEnd w:id="23417"/>
      <w:r>
        <w:rPr>
          <w:rFonts w:hint="cs"/>
          <w:rtl/>
        </w:rPr>
        <w:t xml:space="preserve">במשרד </w:t>
      </w:r>
      <w:bookmarkStart w:id="23418" w:name="_ETM_Q35_644849"/>
      <w:bookmarkEnd w:id="23418"/>
      <w:r>
        <w:rPr>
          <w:rFonts w:hint="cs"/>
          <w:rtl/>
        </w:rPr>
        <w:t xml:space="preserve">הביטחון; הייתי אחראית על </w:t>
      </w:r>
      <w:bookmarkStart w:id="23419" w:name="_ETM_Q35_646439"/>
      <w:bookmarkEnd w:id="23419"/>
      <w:r>
        <w:rPr>
          <w:rFonts w:hint="cs"/>
          <w:rtl/>
        </w:rPr>
        <w:t xml:space="preserve">מילואים </w:t>
      </w:r>
      <w:bookmarkStart w:id="23420" w:name="_ETM_Q35_648730"/>
      <w:bookmarkEnd w:id="23420"/>
      <w:r>
        <w:rPr>
          <w:rFonts w:hint="cs"/>
          <w:rtl/>
        </w:rPr>
        <w:t xml:space="preserve">בכל השירות הצבאי </w:t>
      </w:r>
      <w:bookmarkStart w:id="23421" w:name="_ETM_Q35_647000"/>
      <w:bookmarkEnd w:id="23421"/>
      <w:r>
        <w:rPr>
          <w:rFonts w:hint="cs"/>
          <w:rtl/>
        </w:rPr>
        <w:t xml:space="preserve">שלי ובכל שירות המילואים שלי, עד לדרגת סרן. </w:t>
      </w:r>
      <w:bookmarkStart w:id="23422" w:name="_ETM_Q35_650000"/>
      <w:bookmarkEnd w:id="23422"/>
      <w:r>
        <w:rPr>
          <w:rFonts w:hint="cs"/>
          <w:rtl/>
        </w:rPr>
        <w:t xml:space="preserve">אני יודעת מה זה זן המילואים, כבוד השר. </w:t>
      </w:r>
      <w:bookmarkStart w:id="23423" w:name="_ETM_Q35_649030"/>
      <w:bookmarkStart w:id="23424" w:name="_ETM_Q35_653120"/>
      <w:bookmarkStart w:id="23425" w:name="_ETM_Q35_653360"/>
      <w:bookmarkStart w:id="23426" w:name="_ETM_Q35_653810"/>
      <w:bookmarkStart w:id="23427" w:name="_ETM_Q35_654050"/>
      <w:bookmarkStart w:id="23428" w:name="_ETM_Q35_659460"/>
      <w:bookmarkStart w:id="23429" w:name="_ETM_Q35_659640"/>
      <w:bookmarkStart w:id="23430" w:name="_ETM_Q35_661810"/>
      <w:bookmarkEnd w:id="23423"/>
      <w:bookmarkEnd w:id="23424"/>
      <w:bookmarkEnd w:id="23425"/>
      <w:bookmarkEnd w:id="23426"/>
      <w:bookmarkEnd w:id="23427"/>
      <w:bookmarkEnd w:id="23428"/>
      <w:bookmarkEnd w:id="23429"/>
      <w:bookmarkEnd w:id="23430"/>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bookmarkStart w:id="23431" w:name="_ETM_Q35_654000"/>
      <w:bookmarkEnd w:id="23431"/>
      <w:r>
        <w:rPr>
          <w:rFonts w:hint="cs"/>
          <w:rtl/>
        </w:rPr>
        <w:t xml:space="preserve">אנחנו הבאנו קדימות והנחות </w:t>
      </w:r>
      <w:r w:rsidR="00E364AC">
        <w:rPr>
          <w:rFonts w:hint="cs"/>
          <w:rtl/>
        </w:rPr>
        <w:t xml:space="preserve">בדיור </w:t>
      </w:r>
      <w:r>
        <w:rPr>
          <w:rFonts w:hint="cs"/>
          <w:rtl/>
        </w:rPr>
        <w:t xml:space="preserve">- - - </w:t>
      </w:r>
    </w:p>
    <w:p w:rsidR="00BB59CD" w:rsidRDefault="00BB59CD" w:rsidP="00BB59CD">
      <w:pPr>
        <w:rPr>
          <w:rtl/>
        </w:rPr>
      </w:pPr>
    </w:p>
    <w:p w:rsidR="00BB59CD" w:rsidRDefault="00BB59CD" w:rsidP="00BB59CD">
      <w:pPr>
        <w:pStyle w:val="-"/>
        <w:keepNext/>
        <w:rPr>
          <w:rtl/>
        </w:rPr>
      </w:pPr>
      <w:bookmarkStart w:id="23432" w:name="ET_speakercontinue_6236_46"/>
      <w:r>
        <w:rPr>
          <w:rStyle w:val="TagStyle"/>
          <w:rFonts w:hint="cs"/>
          <w:rtl/>
        </w:rPr>
        <w:t xml:space="preserve">&lt;&lt; דובר_המשך &gt;&gt; </w:t>
      </w:r>
      <w:r>
        <w:rPr>
          <w:rFonts w:hint="cs"/>
          <w:rtl/>
        </w:rPr>
        <w:t>נעמה לזימי (העבודה):</w:t>
      </w:r>
      <w:r>
        <w:rPr>
          <w:rStyle w:val="TagStyle"/>
          <w:rtl/>
        </w:rPr>
        <w:t xml:space="preserve"> &lt;&lt; דובר_המשך &gt;&gt;</w:t>
      </w:r>
      <w:bookmarkEnd w:id="23432"/>
      <w:r>
        <w:rPr>
          <w:rFonts w:hint="cs"/>
          <w:rtl/>
        </w:rPr>
        <w:t xml:space="preserve">  </w:t>
      </w:r>
    </w:p>
    <w:p w:rsidR="00BB59CD" w:rsidRDefault="00BB59CD" w:rsidP="00337201">
      <w:pPr>
        <w:rPr>
          <w:rtl/>
        </w:rPr>
      </w:pPr>
    </w:p>
    <w:p w:rsidR="00BB59CD" w:rsidRDefault="00BB59CD" w:rsidP="00BB59CD">
      <w:pPr>
        <w:rPr>
          <w:rtl/>
        </w:rPr>
      </w:pPr>
      <w:bookmarkStart w:id="23433" w:name="_ETM_Q35_657000"/>
      <w:bookmarkEnd w:id="23433"/>
      <w:r>
        <w:rPr>
          <w:rFonts w:hint="cs"/>
          <w:rtl/>
        </w:rPr>
        <w:t xml:space="preserve">קדימות והנחות? הם לא מוכנים לשרת דיקטטורה; הם מבטלים את ההתנדבות שלהם. אם אכפת לכם מהמילואימניקים, תדברו איתם, אל תקראו להם </w:t>
      </w:r>
      <w:r w:rsidR="00E364AC">
        <w:rPr>
          <w:rFonts w:hint="cs"/>
          <w:rtl/>
        </w:rPr>
        <w:t>"</w:t>
      </w:r>
      <w:r>
        <w:rPr>
          <w:rFonts w:hint="cs"/>
          <w:rtl/>
        </w:rPr>
        <w:t>מוגלה</w:t>
      </w:r>
      <w:r w:rsidR="00E364AC">
        <w:rPr>
          <w:rFonts w:hint="cs"/>
          <w:rtl/>
        </w:rPr>
        <w:t>"</w:t>
      </w:r>
      <w:r>
        <w:rPr>
          <w:rFonts w:hint="cs"/>
          <w:rtl/>
        </w:rPr>
        <w:t xml:space="preserve">; אל תקראו להם </w:t>
      </w:r>
      <w:r w:rsidR="00E364AC">
        <w:rPr>
          <w:rFonts w:hint="cs"/>
          <w:rtl/>
        </w:rPr>
        <w:t>"</w:t>
      </w:r>
      <w:r>
        <w:rPr>
          <w:rFonts w:hint="cs"/>
          <w:rtl/>
        </w:rPr>
        <w:t>נפולת של נמושות</w:t>
      </w:r>
      <w:r w:rsidR="00E364AC">
        <w:rPr>
          <w:rFonts w:hint="cs"/>
          <w:rtl/>
        </w:rPr>
        <w:t>"</w:t>
      </w:r>
      <w:r>
        <w:rPr>
          <w:rFonts w:hint="cs"/>
          <w:rtl/>
        </w:rPr>
        <w:t xml:space="preserve">; אל תקראו להם </w:t>
      </w:r>
      <w:bookmarkStart w:id="23434" w:name="_ETM_Q35_670000"/>
      <w:bookmarkEnd w:id="23434"/>
      <w:r w:rsidR="00E364AC">
        <w:rPr>
          <w:rFonts w:hint="cs"/>
          <w:rtl/>
        </w:rPr>
        <w:t>"</w:t>
      </w:r>
      <w:r>
        <w:rPr>
          <w:rFonts w:hint="cs"/>
          <w:rtl/>
        </w:rPr>
        <w:t>שפלים</w:t>
      </w:r>
      <w:r w:rsidR="00E364AC">
        <w:rPr>
          <w:rFonts w:hint="cs"/>
          <w:rtl/>
        </w:rPr>
        <w:t>"</w:t>
      </w:r>
      <w:r>
        <w:rPr>
          <w:rFonts w:hint="cs"/>
          <w:rtl/>
        </w:rPr>
        <w:t xml:space="preserve">; אל תקראו להם </w:t>
      </w:r>
      <w:r w:rsidR="00E364AC">
        <w:rPr>
          <w:rFonts w:hint="cs"/>
          <w:rtl/>
        </w:rPr>
        <w:t>"</w:t>
      </w:r>
      <w:r>
        <w:rPr>
          <w:rFonts w:hint="cs"/>
          <w:rtl/>
        </w:rPr>
        <w:t>פריבילגים</w:t>
      </w:r>
      <w:r w:rsidR="00E364AC">
        <w:rPr>
          <w:rFonts w:hint="cs"/>
          <w:rtl/>
        </w:rPr>
        <w:t>"</w:t>
      </w:r>
      <w:r>
        <w:rPr>
          <w:rFonts w:hint="cs"/>
          <w:rtl/>
        </w:rPr>
        <w:t xml:space="preserve">. שבו איתם. אנחנו יודעים </w:t>
      </w:r>
      <w:bookmarkStart w:id="23435" w:name="_ETM_Q35_675000"/>
      <w:bookmarkEnd w:id="23435"/>
      <w:r>
        <w:rPr>
          <w:rFonts w:hint="cs"/>
          <w:rtl/>
        </w:rPr>
        <w:t xml:space="preserve">ששר הביטחון </w:t>
      </w:r>
      <w:bookmarkStart w:id="23436" w:name="_ETM_Q35_661959"/>
      <w:bookmarkStart w:id="23437" w:name="_ETM_Q35_662020"/>
      <w:bookmarkStart w:id="23438" w:name="_ETM_Q35_663459"/>
      <w:bookmarkStart w:id="23439" w:name="_ETM_Q35_671750"/>
      <w:bookmarkStart w:id="23440" w:name="_ETM_Q35_671900"/>
      <w:bookmarkStart w:id="23441" w:name="_ETM_Q35_672230"/>
      <w:bookmarkStart w:id="23442" w:name="_ETM_Q35_672410"/>
      <w:bookmarkStart w:id="23443" w:name="_ETM_Q35_673730"/>
      <w:bookmarkStart w:id="23444" w:name="_ETM_Q35_674450"/>
      <w:bookmarkStart w:id="23445" w:name="_ETM_Q35_675670"/>
      <w:bookmarkStart w:id="23446" w:name="_ETM_Q35_675940"/>
      <w:bookmarkStart w:id="23447" w:name="_ETM_Q35_676210"/>
      <w:bookmarkStart w:id="23448" w:name="_ETM_Q35_676540"/>
      <w:bookmarkStart w:id="23449" w:name="_ETM_Q35_676870"/>
      <w:bookmarkStart w:id="23450" w:name="_ETM_Q35_677830"/>
      <w:bookmarkStart w:id="23451" w:name="_ETM_Q35_679030"/>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r>
        <w:rPr>
          <w:rFonts w:hint="cs"/>
          <w:rtl/>
        </w:rPr>
        <w:t xml:space="preserve">מבקש לכנס </w:t>
      </w:r>
      <w:bookmarkStart w:id="23452" w:name="_ETM_Q35_679659"/>
      <w:bookmarkEnd w:id="23452"/>
      <w:r>
        <w:rPr>
          <w:rFonts w:hint="cs"/>
          <w:rtl/>
        </w:rPr>
        <w:t xml:space="preserve">קבינט </w:t>
      </w:r>
      <w:bookmarkStart w:id="23453" w:name="_ETM_Q35_680110"/>
      <w:bookmarkEnd w:id="23453"/>
      <w:r>
        <w:rPr>
          <w:rFonts w:hint="cs"/>
          <w:rtl/>
        </w:rPr>
        <w:t xml:space="preserve">נוכח </w:t>
      </w:r>
      <w:bookmarkStart w:id="23454" w:name="_ETM_Q35_680409"/>
      <w:bookmarkEnd w:id="23454"/>
      <w:r>
        <w:rPr>
          <w:rFonts w:hint="cs"/>
          <w:rtl/>
        </w:rPr>
        <w:t xml:space="preserve">המצב </w:t>
      </w:r>
      <w:bookmarkStart w:id="23455" w:name="_ETM_Q35_680860"/>
      <w:bookmarkEnd w:id="23455"/>
      <w:r>
        <w:rPr>
          <w:rFonts w:hint="cs"/>
          <w:rtl/>
        </w:rPr>
        <w:t xml:space="preserve">ולא </w:t>
      </w:r>
      <w:bookmarkStart w:id="23456" w:name="_ETM_Q35_681010"/>
      <w:bookmarkEnd w:id="23456"/>
      <w:r>
        <w:rPr>
          <w:rFonts w:hint="cs"/>
          <w:rtl/>
        </w:rPr>
        <w:t xml:space="preserve">נותנים לו עוד פעם. </w:t>
      </w:r>
      <w:bookmarkStart w:id="23457" w:name="_ETM_Q35_681670"/>
      <w:bookmarkEnd w:id="23457"/>
      <w:r>
        <w:rPr>
          <w:rFonts w:hint="cs"/>
          <w:rtl/>
        </w:rPr>
        <w:t xml:space="preserve">אתם </w:t>
      </w:r>
      <w:bookmarkStart w:id="23458" w:name="_ETM_Q35_682900"/>
      <w:bookmarkEnd w:id="23458"/>
      <w:r>
        <w:rPr>
          <w:rFonts w:hint="cs"/>
          <w:rtl/>
        </w:rPr>
        <w:t xml:space="preserve">דואגים </w:t>
      </w:r>
      <w:bookmarkStart w:id="23459" w:name="_ETM_Q35_683200"/>
      <w:bookmarkEnd w:id="23459"/>
      <w:r>
        <w:rPr>
          <w:rFonts w:hint="cs"/>
          <w:rtl/>
        </w:rPr>
        <w:t xml:space="preserve">לביטחון </w:t>
      </w:r>
      <w:bookmarkStart w:id="23460" w:name="_ETM_Q35_683560"/>
      <w:bookmarkEnd w:id="23460"/>
      <w:r>
        <w:rPr>
          <w:rFonts w:hint="cs"/>
          <w:rtl/>
        </w:rPr>
        <w:t xml:space="preserve">ישראל? </w:t>
      </w:r>
      <w:bookmarkStart w:id="23461" w:name="_ETM_Q35_684549"/>
      <w:bookmarkEnd w:id="23461"/>
      <w:r>
        <w:rPr>
          <w:rFonts w:hint="cs"/>
          <w:rtl/>
        </w:rPr>
        <w:t xml:space="preserve">אתם </w:t>
      </w:r>
      <w:bookmarkStart w:id="23462" w:name="_ETM_Q35_684799"/>
      <w:bookmarkEnd w:id="23462"/>
      <w:r>
        <w:rPr>
          <w:rFonts w:hint="cs"/>
          <w:rtl/>
        </w:rPr>
        <w:t xml:space="preserve">עובדים נגד הביטחון. </w:t>
      </w:r>
      <w:bookmarkStart w:id="23463" w:name="_ETM_Q35_687000"/>
      <w:bookmarkEnd w:id="23463"/>
      <w:r>
        <w:rPr>
          <w:rFonts w:hint="cs"/>
          <w:rtl/>
        </w:rPr>
        <w:t xml:space="preserve">שר ביטחון מבקש קבינט ביטחוני, ואתם לא עונים לו. </w:t>
      </w:r>
      <w:bookmarkStart w:id="23464" w:name="_ETM_Q35_692000"/>
      <w:bookmarkStart w:id="23465" w:name="_ETM_Q35_687540"/>
      <w:bookmarkStart w:id="23466" w:name="_ETM_Q35_691689"/>
      <w:bookmarkEnd w:id="23464"/>
      <w:bookmarkEnd w:id="23465"/>
      <w:bookmarkEnd w:id="23466"/>
    </w:p>
    <w:p w:rsidR="00BB59CD" w:rsidRDefault="00BB59CD" w:rsidP="00BB59CD">
      <w:pPr>
        <w:rPr>
          <w:rtl/>
        </w:rPr>
      </w:pPr>
    </w:p>
    <w:p w:rsidR="00BB59CD" w:rsidRDefault="00BB59CD" w:rsidP="000145FA">
      <w:pPr>
        <w:rPr>
          <w:rtl/>
        </w:rPr>
      </w:pPr>
      <w:r>
        <w:rPr>
          <w:rFonts w:hint="cs"/>
          <w:rtl/>
        </w:rPr>
        <w:t xml:space="preserve">אבל אני </w:t>
      </w:r>
      <w:bookmarkStart w:id="23467" w:name="_ETM_Q35_691810"/>
      <w:bookmarkEnd w:id="23467"/>
      <w:r>
        <w:rPr>
          <w:rFonts w:hint="cs"/>
          <w:rtl/>
        </w:rPr>
        <w:t xml:space="preserve">רוצה </w:t>
      </w:r>
      <w:bookmarkStart w:id="23468" w:name="_ETM_Q35_692019"/>
      <w:bookmarkEnd w:id="23468"/>
      <w:r>
        <w:rPr>
          <w:rFonts w:hint="cs"/>
          <w:rtl/>
        </w:rPr>
        <w:t xml:space="preserve">להגיד </w:t>
      </w:r>
      <w:bookmarkStart w:id="23469" w:name="_ETM_Q35_692260"/>
      <w:bookmarkEnd w:id="23469"/>
      <w:r>
        <w:rPr>
          <w:rFonts w:hint="cs"/>
          <w:rtl/>
        </w:rPr>
        <w:t xml:space="preserve">משהו </w:t>
      </w:r>
      <w:bookmarkStart w:id="23470" w:name="_ETM_Q35_694219"/>
      <w:bookmarkEnd w:id="23470"/>
      <w:r>
        <w:rPr>
          <w:rFonts w:hint="cs"/>
          <w:rtl/>
        </w:rPr>
        <w:t xml:space="preserve">– אני </w:t>
      </w:r>
      <w:bookmarkStart w:id="23471" w:name="_ETM_Q35_694429"/>
      <w:bookmarkEnd w:id="23471"/>
      <w:r>
        <w:rPr>
          <w:rFonts w:hint="cs"/>
          <w:rtl/>
        </w:rPr>
        <w:t xml:space="preserve">רוצה </w:t>
      </w:r>
      <w:bookmarkStart w:id="23472" w:name="_ETM_Q35_694819"/>
      <w:bookmarkEnd w:id="23472"/>
      <w:r>
        <w:rPr>
          <w:rFonts w:hint="cs"/>
          <w:rtl/>
        </w:rPr>
        <w:t xml:space="preserve">דווקא </w:t>
      </w:r>
      <w:bookmarkStart w:id="23473" w:name="_ETM_Q35_695150"/>
      <w:bookmarkEnd w:id="23473"/>
      <w:r>
        <w:rPr>
          <w:rFonts w:hint="cs"/>
          <w:rtl/>
        </w:rPr>
        <w:t xml:space="preserve">להקריא כאן. </w:t>
      </w:r>
      <w:bookmarkStart w:id="23474" w:name="_ETM_Q35_695569"/>
      <w:bookmarkStart w:id="23475" w:name="_ETM_Q35_698230"/>
      <w:bookmarkEnd w:id="23474"/>
      <w:bookmarkEnd w:id="23475"/>
      <w:r>
        <w:rPr>
          <w:rFonts w:hint="cs"/>
          <w:rtl/>
        </w:rPr>
        <w:t xml:space="preserve">אנחנו </w:t>
      </w:r>
      <w:bookmarkStart w:id="23476" w:name="_ETM_Q35_698620"/>
      <w:bookmarkEnd w:id="23476"/>
      <w:r>
        <w:rPr>
          <w:rFonts w:hint="cs"/>
          <w:rtl/>
        </w:rPr>
        <w:t xml:space="preserve">בימים </w:t>
      </w:r>
      <w:bookmarkStart w:id="23477" w:name="_ETM_Q35_700170"/>
      <w:bookmarkEnd w:id="23477"/>
      <w:r>
        <w:rPr>
          <w:rFonts w:hint="cs"/>
          <w:rtl/>
        </w:rPr>
        <w:t xml:space="preserve">שלפני </w:t>
      </w:r>
      <w:bookmarkStart w:id="23478" w:name="_ETM_Q35_701040"/>
      <w:bookmarkEnd w:id="23478"/>
      <w:r>
        <w:rPr>
          <w:rFonts w:hint="cs"/>
          <w:rtl/>
        </w:rPr>
        <w:t xml:space="preserve">תשעה </w:t>
      </w:r>
      <w:bookmarkStart w:id="23479" w:name="_ETM_Q35_701400"/>
      <w:bookmarkEnd w:id="23479"/>
      <w:r>
        <w:rPr>
          <w:rFonts w:hint="cs"/>
          <w:rtl/>
        </w:rPr>
        <w:t xml:space="preserve">באב </w:t>
      </w:r>
      <w:bookmarkStart w:id="23480" w:name="_ETM_Q35_702410"/>
      <w:bookmarkEnd w:id="23480"/>
      <w:r>
        <w:rPr>
          <w:rFonts w:hint="cs"/>
          <w:rtl/>
        </w:rPr>
        <w:t xml:space="preserve">ואני </w:t>
      </w:r>
      <w:bookmarkStart w:id="23481" w:name="_ETM_Q35_702650"/>
      <w:bookmarkEnd w:id="23481"/>
      <w:r>
        <w:rPr>
          <w:rFonts w:hint="cs"/>
          <w:rtl/>
        </w:rPr>
        <w:t xml:space="preserve">רוצה </w:t>
      </w:r>
      <w:bookmarkStart w:id="23482" w:name="_ETM_Q35_702920"/>
      <w:bookmarkEnd w:id="23482"/>
      <w:r>
        <w:rPr>
          <w:rFonts w:hint="cs"/>
          <w:rtl/>
        </w:rPr>
        <w:t xml:space="preserve">להקריא </w:t>
      </w:r>
      <w:bookmarkStart w:id="23483" w:name="_ETM_Q35_703220"/>
      <w:bookmarkEnd w:id="23483"/>
      <w:r>
        <w:rPr>
          <w:rFonts w:hint="cs"/>
          <w:rtl/>
        </w:rPr>
        <w:t xml:space="preserve">כאן </w:t>
      </w:r>
      <w:bookmarkStart w:id="23484" w:name="_ETM_Q35_703370"/>
      <w:bookmarkEnd w:id="23484"/>
      <w:r>
        <w:rPr>
          <w:rFonts w:hint="cs"/>
          <w:rtl/>
        </w:rPr>
        <w:t xml:space="preserve">את </w:t>
      </w:r>
      <w:bookmarkStart w:id="23485" w:name="_ETM_Q35_703490"/>
      <w:bookmarkEnd w:id="23485"/>
      <w:r>
        <w:rPr>
          <w:rFonts w:hint="cs"/>
          <w:rtl/>
        </w:rPr>
        <w:t xml:space="preserve">האמירות </w:t>
      </w:r>
      <w:bookmarkStart w:id="23486" w:name="_ETM_Q35_704640"/>
      <w:bookmarkEnd w:id="23486"/>
      <w:r>
        <w:rPr>
          <w:rFonts w:hint="cs"/>
          <w:rtl/>
        </w:rPr>
        <w:t xml:space="preserve">של </w:t>
      </w:r>
      <w:bookmarkStart w:id="23487" w:name="_ETM_Q35_704850"/>
      <w:bookmarkEnd w:id="23487"/>
      <w:r>
        <w:rPr>
          <w:rFonts w:hint="cs"/>
          <w:rtl/>
        </w:rPr>
        <w:t xml:space="preserve">אנשי </w:t>
      </w:r>
      <w:bookmarkStart w:id="23488" w:name="_ETM_Q35_705150"/>
      <w:bookmarkEnd w:id="23488"/>
      <w:r>
        <w:rPr>
          <w:rFonts w:hint="cs"/>
          <w:rtl/>
        </w:rPr>
        <w:t xml:space="preserve">הממשלה </w:t>
      </w:r>
      <w:bookmarkStart w:id="23489" w:name="_ETM_Q35_705660"/>
      <w:bookmarkEnd w:id="23489"/>
      <w:r>
        <w:rPr>
          <w:rFonts w:hint="cs"/>
          <w:rtl/>
        </w:rPr>
        <w:t xml:space="preserve">והקואליציה </w:t>
      </w:r>
      <w:bookmarkStart w:id="23490" w:name="_ETM_Q35_706380"/>
      <w:bookmarkEnd w:id="23490"/>
      <w:r>
        <w:rPr>
          <w:rFonts w:hint="cs"/>
          <w:rtl/>
        </w:rPr>
        <w:t xml:space="preserve">הזאת </w:t>
      </w:r>
      <w:bookmarkStart w:id="23491" w:name="_ETM_Q35_707390"/>
      <w:bookmarkEnd w:id="23491"/>
      <w:r>
        <w:rPr>
          <w:rFonts w:hint="cs"/>
          <w:rtl/>
        </w:rPr>
        <w:t xml:space="preserve">מהתקופה </w:t>
      </w:r>
      <w:bookmarkStart w:id="23492" w:name="_ETM_Q35_708050"/>
      <w:bookmarkEnd w:id="23492"/>
      <w:r>
        <w:rPr>
          <w:rFonts w:hint="cs"/>
          <w:rtl/>
        </w:rPr>
        <w:t xml:space="preserve">האחרונה. </w:t>
      </w:r>
      <w:bookmarkStart w:id="23493" w:name="_ETM_Q35_711219"/>
      <w:bookmarkEnd w:id="23493"/>
      <w:r>
        <w:rPr>
          <w:rFonts w:hint="cs"/>
          <w:rtl/>
        </w:rPr>
        <w:t xml:space="preserve">השר </w:t>
      </w:r>
      <w:bookmarkStart w:id="23494" w:name="_ETM_Q35_711879"/>
      <w:bookmarkEnd w:id="23494"/>
      <w:r>
        <w:rPr>
          <w:rFonts w:hint="cs"/>
          <w:rtl/>
        </w:rPr>
        <w:t xml:space="preserve">דוד </w:t>
      </w:r>
      <w:bookmarkStart w:id="23495" w:name="_ETM_Q35_712209"/>
      <w:bookmarkEnd w:id="23495"/>
      <w:r>
        <w:rPr>
          <w:rFonts w:hint="cs"/>
          <w:rtl/>
        </w:rPr>
        <w:t xml:space="preserve">אמסלם, </w:t>
      </w:r>
      <w:bookmarkStart w:id="23496" w:name="_ETM_Q35_713019"/>
      <w:bookmarkEnd w:id="23496"/>
      <w:r>
        <w:rPr>
          <w:rFonts w:hint="cs"/>
          <w:rtl/>
        </w:rPr>
        <w:t xml:space="preserve">שר </w:t>
      </w:r>
      <w:bookmarkStart w:id="23497" w:name="_ETM_Q35_713499"/>
      <w:bookmarkEnd w:id="23497"/>
      <w:r>
        <w:rPr>
          <w:rFonts w:hint="cs"/>
          <w:rtl/>
        </w:rPr>
        <w:t xml:space="preserve">נוסף </w:t>
      </w:r>
      <w:bookmarkStart w:id="23498" w:name="_ETM_Q35_714040"/>
      <w:bookmarkEnd w:id="23498"/>
      <w:r>
        <w:rPr>
          <w:rFonts w:hint="cs"/>
          <w:rtl/>
        </w:rPr>
        <w:t xml:space="preserve">במשרד </w:t>
      </w:r>
      <w:bookmarkStart w:id="23499" w:name="_ETM_Q35_714579"/>
      <w:bookmarkEnd w:id="23499"/>
      <w:r>
        <w:rPr>
          <w:rFonts w:hint="cs"/>
          <w:rtl/>
        </w:rPr>
        <w:t xml:space="preserve">המשפטים, </w:t>
      </w:r>
      <w:bookmarkStart w:id="23500" w:name="_ETM_Q35_716290"/>
      <w:bookmarkEnd w:id="23500"/>
      <w:r>
        <w:rPr>
          <w:rFonts w:hint="cs"/>
          <w:rtl/>
        </w:rPr>
        <w:t xml:space="preserve">אוקיי? </w:t>
      </w:r>
      <w:bookmarkStart w:id="23501" w:name="_ETM_Q35_718090"/>
      <w:bookmarkEnd w:id="23501"/>
      <w:r>
        <w:rPr>
          <w:rFonts w:hint="cs"/>
          <w:rtl/>
        </w:rPr>
        <w:t xml:space="preserve">מה הוא אמר </w:t>
      </w:r>
      <w:bookmarkStart w:id="23502" w:name="_ETM_Q35_720400"/>
      <w:bookmarkEnd w:id="23502"/>
      <w:r>
        <w:rPr>
          <w:rFonts w:hint="cs"/>
          <w:rtl/>
        </w:rPr>
        <w:t xml:space="preserve">על </w:t>
      </w:r>
      <w:bookmarkStart w:id="23503" w:name="_ETM_Q35_720609"/>
      <w:bookmarkEnd w:id="23503"/>
      <w:r>
        <w:rPr>
          <w:rFonts w:hint="cs"/>
          <w:rtl/>
        </w:rPr>
        <w:t xml:space="preserve">פציעת </w:t>
      </w:r>
      <w:bookmarkStart w:id="23504" w:name="_ETM_Q35_722299"/>
      <w:bookmarkEnd w:id="23504"/>
      <w:r>
        <w:rPr>
          <w:rFonts w:hint="cs"/>
          <w:rtl/>
        </w:rPr>
        <w:t xml:space="preserve">הטייס </w:t>
      </w:r>
      <w:bookmarkStart w:id="23505" w:name="_ETM_Q35_723049"/>
      <w:bookmarkEnd w:id="23505"/>
      <w:r>
        <w:rPr>
          <w:rFonts w:hint="cs"/>
          <w:rtl/>
        </w:rPr>
        <w:t>ש</w:t>
      </w:r>
      <w:bookmarkStart w:id="23506" w:name="_ETM_Q35_723650"/>
      <w:bookmarkEnd w:id="23506"/>
      <w:r>
        <w:rPr>
          <w:rFonts w:hint="cs"/>
          <w:rtl/>
        </w:rPr>
        <w:t xml:space="preserve">כמעט </w:t>
      </w:r>
      <w:bookmarkStart w:id="23507" w:name="_ETM_Q35_724129"/>
      <w:bookmarkEnd w:id="23507"/>
      <w:r>
        <w:rPr>
          <w:rFonts w:hint="cs"/>
          <w:rtl/>
        </w:rPr>
        <w:t xml:space="preserve">איבד </w:t>
      </w:r>
      <w:bookmarkStart w:id="23508" w:name="_ETM_Q35_724459"/>
      <w:bookmarkEnd w:id="23508"/>
      <w:r>
        <w:rPr>
          <w:rFonts w:hint="cs"/>
          <w:rtl/>
        </w:rPr>
        <w:t xml:space="preserve">את </w:t>
      </w:r>
      <w:bookmarkStart w:id="23509" w:name="_ETM_Q35_724609"/>
      <w:bookmarkEnd w:id="23509"/>
      <w:r>
        <w:rPr>
          <w:rFonts w:hint="cs"/>
          <w:rtl/>
        </w:rPr>
        <w:t xml:space="preserve">העין </w:t>
      </w:r>
      <w:bookmarkStart w:id="23510" w:name="_ETM_Q35_724969"/>
      <w:bookmarkEnd w:id="23510"/>
      <w:r>
        <w:rPr>
          <w:rFonts w:hint="cs"/>
          <w:rtl/>
        </w:rPr>
        <w:t xml:space="preserve">שלו </w:t>
      </w:r>
      <w:bookmarkStart w:id="23511" w:name="_ETM_Q35_725239"/>
      <w:bookmarkEnd w:id="23511"/>
      <w:r>
        <w:rPr>
          <w:rFonts w:hint="cs"/>
          <w:rtl/>
        </w:rPr>
        <w:t>מ</w:t>
      </w:r>
      <w:bookmarkStart w:id="23512" w:name="_ETM_Q35_725569"/>
      <w:bookmarkEnd w:id="23512"/>
      <w:r>
        <w:rPr>
          <w:rFonts w:hint="cs"/>
          <w:rtl/>
        </w:rPr>
        <w:t xml:space="preserve">מכת"זית, </w:t>
      </w:r>
      <w:bookmarkStart w:id="23513" w:name="_ETM_Q35_726840"/>
      <w:bookmarkEnd w:id="23513"/>
      <w:r>
        <w:rPr>
          <w:rFonts w:hint="cs"/>
          <w:rtl/>
        </w:rPr>
        <w:t xml:space="preserve">שכוונה </w:t>
      </w:r>
      <w:bookmarkStart w:id="23514" w:name="_ETM_Q35_727469"/>
      <w:bookmarkEnd w:id="23514"/>
      <w:r>
        <w:rPr>
          <w:rFonts w:hint="cs"/>
          <w:rtl/>
        </w:rPr>
        <w:t>לראש</w:t>
      </w:r>
      <w:r w:rsidR="00E364AC">
        <w:rPr>
          <w:rFonts w:hint="cs"/>
          <w:rtl/>
        </w:rPr>
        <w:t>?</w:t>
      </w:r>
      <w:r>
        <w:rPr>
          <w:rFonts w:hint="cs"/>
          <w:rtl/>
        </w:rPr>
        <w:t xml:space="preserve"> </w:t>
      </w:r>
      <w:bookmarkStart w:id="23515" w:name="_ETM_Q35_728599"/>
      <w:bookmarkEnd w:id="23515"/>
      <w:r>
        <w:rPr>
          <w:rFonts w:hint="cs"/>
          <w:rtl/>
        </w:rPr>
        <w:t xml:space="preserve">אנחנו </w:t>
      </w:r>
      <w:bookmarkStart w:id="23516" w:name="_ETM_Q35_729049"/>
      <w:bookmarkEnd w:id="23516"/>
      <w:r>
        <w:rPr>
          <w:rFonts w:hint="cs"/>
          <w:rtl/>
        </w:rPr>
        <w:t xml:space="preserve">הרי </w:t>
      </w:r>
      <w:bookmarkStart w:id="23517" w:name="_ETM_Q35_729230"/>
      <w:bookmarkEnd w:id="23517"/>
      <w:r>
        <w:rPr>
          <w:rFonts w:hint="cs"/>
          <w:rtl/>
        </w:rPr>
        <w:t xml:space="preserve">נאבקים </w:t>
      </w:r>
      <w:bookmarkStart w:id="23518" w:name="_ETM_Q35_729889"/>
      <w:bookmarkEnd w:id="23518"/>
      <w:r>
        <w:rPr>
          <w:rFonts w:hint="cs"/>
          <w:rtl/>
        </w:rPr>
        <w:t xml:space="preserve">נגד </w:t>
      </w:r>
      <w:bookmarkStart w:id="23519" w:name="_ETM_Q35_730249"/>
      <w:bookmarkEnd w:id="23519"/>
      <w:r>
        <w:rPr>
          <w:rFonts w:hint="cs"/>
          <w:rtl/>
        </w:rPr>
        <w:t xml:space="preserve">השימוש </w:t>
      </w:r>
      <w:bookmarkStart w:id="23520" w:name="_ETM_Q35_730760"/>
      <w:bookmarkEnd w:id="23520"/>
      <w:r>
        <w:rPr>
          <w:rFonts w:hint="cs"/>
          <w:rtl/>
        </w:rPr>
        <w:t xml:space="preserve">החריג </w:t>
      </w:r>
      <w:bookmarkStart w:id="23521" w:name="_ETM_Q35_731089"/>
      <w:bookmarkEnd w:id="23521"/>
      <w:r>
        <w:rPr>
          <w:rFonts w:hint="cs"/>
          <w:rtl/>
        </w:rPr>
        <w:t xml:space="preserve">הזה </w:t>
      </w:r>
      <w:bookmarkStart w:id="23522" w:name="_ETM_Q35_731329"/>
      <w:bookmarkEnd w:id="23522"/>
      <w:r>
        <w:rPr>
          <w:rFonts w:hint="cs"/>
          <w:rtl/>
        </w:rPr>
        <w:t xml:space="preserve">במכת"זית </w:t>
      </w:r>
      <w:bookmarkStart w:id="23523" w:name="_ETM_Q35_731839"/>
      <w:bookmarkEnd w:id="23523"/>
      <w:r>
        <w:rPr>
          <w:rFonts w:hint="cs"/>
          <w:rtl/>
        </w:rPr>
        <w:t xml:space="preserve">כבר </w:t>
      </w:r>
      <w:bookmarkStart w:id="23524" w:name="_ETM_Q35_732019"/>
      <w:bookmarkEnd w:id="23524"/>
      <w:r>
        <w:rPr>
          <w:rFonts w:hint="cs"/>
          <w:rtl/>
        </w:rPr>
        <w:t xml:space="preserve">שנים, </w:t>
      </w:r>
      <w:bookmarkStart w:id="23525" w:name="_ETM_Q35_732859"/>
      <w:bookmarkEnd w:id="23525"/>
      <w:r>
        <w:rPr>
          <w:rFonts w:hint="cs"/>
          <w:rtl/>
        </w:rPr>
        <w:t xml:space="preserve">נגד </w:t>
      </w:r>
      <w:bookmarkStart w:id="23526" w:name="_ETM_Q35_733279"/>
      <w:bookmarkEnd w:id="23526"/>
      <w:r>
        <w:rPr>
          <w:rFonts w:hint="cs"/>
          <w:rtl/>
        </w:rPr>
        <w:t xml:space="preserve">השימוש </w:t>
      </w:r>
      <w:bookmarkStart w:id="23527" w:name="_ETM_Q35_733699"/>
      <w:bookmarkEnd w:id="23527"/>
      <w:r>
        <w:rPr>
          <w:rFonts w:hint="cs"/>
          <w:rtl/>
        </w:rPr>
        <w:t xml:space="preserve">בו </w:t>
      </w:r>
      <w:bookmarkStart w:id="23528" w:name="_ETM_Q35_733790"/>
      <w:bookmarkEnd w:id="23528"/>
      <w:r>
        <w:rPr>
          <w:rFonts w:hint="cs"/>
          <w:rtl/>
        </w:rPr>
        <w:t xml:space="preserve">כלפי </w:t>
      </w:r>
      <w:bookmarkStart w:id="23529" w:name="_ETM_Q35_734209"/>
      <w:bookmarkEnd w:id="23529"/>
      <w:r>
        <w:rPr>
          <w:rFonts w:hint="cs"/>
          <w:rtl/>
        </w:rPr>
        <w:t xml:space="preserve">חרדים, </w:t>
      </w:r>
      <w:bookmarkStart w:id="23530" w:name="_ETM_Q35_734989"/>
      <w:bookmarkEnd w:id="23530"/>
      <w:r>
        <w:rPr>
          <w:rFonts w:hint="cs"/>
          <w:rtl/>
        </w:rPr>
        <w:t xml:space="preserve">כלפי </w:t>
      </w:r>
      <w:bookmarkStart w:id="23531" w:name="_ETM_Q35_735379"/>
      <w:bookmarkEnd w:id="23531"/>
      <w:r>
        <w:rPr>
          <w:rFonts w:hint="cs"/>
          <w:rtl/>
        </w:rPr>
        <w:t xml:space="preserve">אתיופים, </w:t>
      </w:r>
      <w:bookmarkStart w:id="23532" w:name="_ETM_Q35_735920"/>
      <w:bookmarkEnd w:id="23532"/>
      <w:r>
        <w:rPr>
          <w:rFonts w:hint="cs"/>
          <w:rtl/>
        </w:rPr>
        <w:t xml:space="preserve">כלפי </w:t>
      </w:r>
      <w:bookmarkStart w:id="23533" w:name="_ETM_Q35_736340"/>
      <w:bookmarkEnd w:id="23533"/>
      <w:r>
        <w:rPr>
          <w:rFonts w:hint="cs"/>
          <w:rtl/>
        </w:rPr>
        <w:t xml:space="preserve">חברות </w:t>
      </w:r>
      <w:bookmarkStart w:id="23534" w:name="_ETM_Q35_736669"/>
      <w:bookmarkEnd w:id="23534"/>
      <w:r>
        <w:rPr>
          <w:rFonts w:hint="cs"/>
          <w:rtl/>
        </w:rPr>
        <w:t>מודרות</w:t>
      </w:r>
      <w:r w:rsidR="00E364AC">
        <w:rPr>
          <w:rFonts w:hint="cs"/>
          <w:rtl/>
        </w:rPr>
        <w:t>;</w:t>
      </w:r>
      <w:r>
        <w:rPr>
          <w:rFonts w:hint="cs"/>
          <w:rtl/>
        </w:rPr>
        <w:t xml:space="preserve"> </w:t>
      </w:r>
      <w:bookmarkStart w:id="23535" w:name="_ETM_Q35_737360"/>
      <w:bookmarkEnd w:id="23535"/>
      <w:r>
        <w:rPr>
          <w:rFonts w:hint="cs"/>
          <w:rtl/>
        </w:rPr>
        <w:t xml:space="preserve">אתם, </w:t>
      </w:r>
      <w:bookmarkStart w:id="23536" w:name="_ETM_Q35_737750"/>
      <w:bookmarkEnd w:id="23536"/>
      <w:r>
        <w:rPr>
          <w:rFonts w:hint="cs"/>
          <w:rtl/>
        </w:rPr>
        <w:t xml:space="preserve">במקום </w:t>
      </w:r>
      <w:bookmarkStart w:id="23537" w:name="_ETM_Q35_738050"/>
      <w:bookmarkEnd w:id="23537"/>
      <w:r>
        <w:rPr>
          <w:rFonts w:hint="cs"/>
          <w:rtl/>
        </w:rPr>
        <w:t xml:space="preserve">לבטל </w:t>
      </w:r>
      <w:bookmarkStart w:id="23538" w:name="_ETM_Q35_738479"/>
      <w:bookmarkEnd w:id="23538"/>
      <w:r>
        <w:rPr>
          <w:rFonts w:hint="cs"/>
          <w:rtl/>
        </w:rPr>
        <w:t xml:space="preserve">את </w:t>
      </w:r>
      <w:bookmarkStart w:id="23539" w:name="_ETM_Q35_738569"/>
      <w:bookmarkEnd w:id="23539"/>
      <w:r>
        <w:rPr>
          <w:rFonts w:hint="cs"/>
          <w:rtl/>
        </w:rPr>
        <w:t xml:space="preserve">השימוש </w:t>
      </w:r>
      <w:bookmarkStart w:id="23540" w:name="_ETM_Q35_738960"/>
      <w:bookmarkEnd w:id="23540"/>
      <w:r>
        <w:rPr>
          <w:rFonts w:hint="cs"/>
          <w:rtl/>
        </w:rPr>
        <w:t xml:space="preserve">החריג, </w:t>
      </w:r>
      <w:bookmarkStart w:id="23541" w:name="_ETM_Q35_739319"/>
      <w:bookmarkStart w:id="23542" w:name="_ETM_Q35_739500"/>
      <w:bookmarkEnd w:id="23541"/>
      <w:bookmarkEnd w:id="23542"/>
      <w:r>
        <w:rPr>
          <w:rFonts w:hint="cs"/>
          <w:rtl/>
        </w:rPr>
        <w:t xml:space="preserve">מרחיבים </w:t>
      </w:r>
      <w:bookmarkStart w:id="23543" w:name="_ETM_Q35_739800"/>
      <w:bookmarkEnd w:id="23543"/>
      <w:r>
        <w:rPr>
          <w:rFonts w:hint="cs"/>
          <w:rtl/>
        </w:rPr>
        <w:t xml:space="preserve">אותו </w:t>
      </w:r>
      <w:bookmarkStart w:id="23544" w:name="_ETM_Q35_739980"/>
      <w:bookmarkEnd w:id="23544"/>
      <w:r>
        <w:rPr>
          <w:rFonts w:hint="cs"/>
          <w:rtl/>
        </w:rPr>
        <w:t xml:space="preserve">לכולם. </w:t>
      </w:r>
      <w:bookmarkStart w:id="23545" w:name="_ETM_Q35_741300"/>
      <w:bookmarkEnd w:id="23545"/>
      <w:r>
        <w:rPr>
          <w:rFonts w:hint="cs"/>
          <w:rtl/>
        </w:rPr>
        <w:t xml:space="preserve">מה </w:t>
      </w:r>
      <w:bookmarkStart w:id="23546" w:name="_ETM_Q35_741480"/>
      <w:bookmarkEnd w:id="23546"/>
      <w:r>
        <w:rPr>
          <w:rFonts w:hint="cs"/>
          <w:rtl/>
        </w:rPr>
        <w:t xml:space="preserve">הוא </w:t>
      </w:r>
      <w:bookmarkStart w:id="23547" w:name="_ETM_Q35_741600"/>
      <w:bookmarkEnd w:id="23547"/>
      <w:r>
        <w:rPr>
          <w:rFonts w:hint="cs"/>
          <w:rtl/>
        </w:rPr>
        <w:t xml:space="preserve">אמר? </w:t>
      </w:r>
      <w:bookmarkStart w:id="23548" w:name="_ETM_Q35_742479"/>
      <w:bookmarkEnd w:id="23548"/>
      <w:r>
        <w:rPr>
          <w:rFonts w:hint="cs"/>
          <w:rtl/>
        </w:rPr>
        <w:t>צפו</w:t>
      </w:r>
      <w:bookmarkStart w:id="23549" w:name="_ETM_Q35_742900"/>
      <w:bookmarkEnd w:id="23549"/>
      <w:r>
        <w:rPr>
          <w:rFonts w:hint="cs"/>
          <w:rtl/>
        </w:rPr>
        <w:t>נבון, נ</w:t>
      </w:r>
      <w:r w:rsidR="000145FA">
        <w:rPr>
          <w:rFonts w:hint="cs"/>
          <w:rtl/>
        </w:rPr>
        <w:t>ס</w:t>
      </w:r>
      <w:r>
        <w:rPr>
          <w:rFonts w:hint="cs"/>
          <w:rtl/>
        </w:rPr>
        <w:t xml:space="preserve">רט ליד העין. </w:t>
      </w:r>
      <w:bookmarkStart w:id="23550" w:name="_ETM_Q35_743319"/>
      <w:bookmarkStart w:id="23551" w:name="_ETM_Q35_743770"/>
      <w:bookmarkStart w:id="23552" w:name="_ETM_Q35_744669"/>
      <w:bookmarkEnd w:id="23550"/>
      <w:bookmarkEnd w:id="23551"/>
      <w:bookmarkEnd w:id="23552"/>
      <w:r>
        <w:rPr>
          <w:rFonts w:hint="cs"/>
          <w:rtl/>
        </w:rPr>
        <w:t xml:space="preserve">האיש </w:t>
      </w:r>
      <w:bookmarkStart w:id="23553" w:name="_ETM_Q35_744940"/>
      <w:bookmarkEnd w:id="23553"/>
      <w:r>
        <w:rPr>
          <w:rFonts w:hint="cs"/>
          <w:rtl/>
        </w:rPr>
        <w:t xml:space="preserve">כבר </w:t>
      </w:r>
      <w:bookmarkStart w:id="23554" w:name="_ETM_Q35_745090"/>
      <w:bookmarkEnd w:id="23554"/>
      <w:r>
        <w:rPr>
          <w:rFonts w:hint="cs"/>
          <w:rtl/>
        </w:rPr>
        <w:t xml:space="preserve">עבר </w:t>
      </w:r>
      <w:bookmarkStart w:id="23555" w:name="_ETM_Q35_745300"/>
      <w:bookmarkEnd w:id="23555"/>
      <w:r>
        <w:rPr>
          <w:rFonts w:hint="cs"/>
          <w:rtl/>
        </w:rPr>
        <w:t xml:space="preserve">ניתוח </w:t>
      </w:r>
      <w:bookmarkStart w:id="23556" w:name="_ETM_Q35_745660"/>
      <w:bookmarkEnd w:id="23556"/>
      <w:r>
        <w:rPr>
          <w:rFonts w:hint="cs"/>
          <w:rtl/>
        </w:rPr>
        <w:t xml:space="preserve">רביעי </w:t>
      </w:r>
      <w:bookmarkStart w:id="23557" w:name="_ETM_Q35_746020"/>
      <w:bookmarkEnd w:id="23557"/>
      <w:r>
        <w:rPr>
          <w:rFonts w:hint="cs"/>
          <w:rtl/>
        </w:rPr>
        <w:t xml:space="preserve">בעין. </w:t>
      </w:r>
      <w:bookmarkStart w:id="23558" w:name="_ETM_Q35_747039"/>
      <w:bookmarkEnd w:id="23558"/>
      <w:r>
        <w:rPr>
          <w:rFonts w:hint="cs"/>
          <w:rtl/>
        </w:rPr>
        <w:t xml:space="preserve">בושה. </w:t>
      </w:r>
      <w:bookmarkStart w:id="23559" w:name="_ETM_Q35_749320"/>
      <w:bookmarkEnd w:id="23559"/>
      <w:r>
        <w:rPr>
          <w:rFonts w:hint="cs"/>
          <w:rtl/>
        </w:rPr>
        <w:t xml:space="preserve">מה </w:t>
      </w:r>
      <w:bookmarkStart w:id="23560" w:name="_ETM_Q35_749530"/>
      <w:bookmarkEnd w:id="23560"/>
      <w:r>
        <w:rPr>
          <w:rFonts w:hint="cs"/>
          <w:rtl/>
        </w:rPr>
        <w:t xml:space="preserve">עוד </w:t>
      </w:r>
      <w:bookmarkStart w:id="23561" w:name="_ETM_Q35_749800"/>
      <w:bookmarkEnd w:id="23561"/>
      <w:r>
        <w:rPr>
          <w:rFonts w:hint="cs"/>
          <w:rtl/>
        </w:rPr>
        <w:t xml:space="preserve">הוא </w:t>
      </w:r>
      <w:bookmarkStart w:id="23562" w:name="_ETM_Q35_749890"/>
      <w:bookmarkEnd w:id="23562"/>
      <w:r>
        <w:rPr>
          <w:rFonts w:hint="cs"/>
          <w:rtl/>
        </w:rPr>
        <w:t>עשה</w:t>
      </w:r>
      <w:r w:rsidR="00E364AC">
        <w:rPr>
          <w:rFonts w:hint="cs"/>
          <w:rtl/>
        </w:rPr>
        <w:t>,</w:t>
      </w:r>
      <w:r>
        <w:rPr>
          <w:rFonts w:hint="cs"/>
          <w:rtl/>
        </w:rPr>
        <w:t xml:space="preserve"> </w:t>
      </w:r>
      <w:bookmarkStart w:id="23563" w:name="_ETM_Q35_750790"/>
      <w:bookmarkEnd w:id="23563"/>
      <w:r>
        <w:rPr>
          <w:rFonts w:hint="cs"/>
          <w:rtl/>
        </w:rPr>
        <w:t xml:space="preserve">בעודו </w:t>
      </w:r>
      <w:bookmarkStart w:id="23564" w:name="_ETM_Q35_751450"/>
      <w:bookmarkEnd w:id="23564"/>
      <w:r>
        <w:rPr>
          <w:rFonts w:hint="cs"/>
          <w:rtl/>
        </w:rPr>
        <w:t xml:space="preserve">עונד </w:t>
      </w:r>
      <w:bookmarkStart w:id="23565" w:name="_ETM_Q35_751990"/>
      <w:bookmarkEnd w:id="23565"/>
      <w:r>
        <w:rPr>
          <w:rFonts w:hint="cs"/>
          <w:rtl/>
        </w:rPr>
        <w:t xml:space="preserve">שעון </w:t>
      </w:r>
      <w:bookmarkStart w:id="23566" w:name="_ETM_Q35_752350"/>
      <w:bookmarkEnd w:id="23566"/>
      <w:r>
        <w:rPr>
          <w:rFonts w:hint="cs"/>
          <w:rtl/>
        </w:rPr>
        <w:t xml:space="preserve">יוקרה? אמר: </w:t>
      </w:r>
      <w:bookmarkStart w:id="23567" w:name="_ETM_Q35_754319"/>
      <w:bookmarkStart w:id="23568" w:name="_ETM_Q35_754590"/>
      <w:bookmarkEnd w:id="23567"/>
      <w:bookmarkEnd w:id="23568"/>
      <w:r>
        <w:rPr>
          <w:rFonts w:hint="cs"/>
          <w:rtl/>
        </w:rPr>
        <w:t xml:space="preserve">המפגינים </w:t>
      </w:r>
      <w:bookmarkStart w:id="23569" w:name="_ETM_Q35_755309"/>
      <w:bookmarkEnd w:id="23569"/>
      <w:r>
        <w:rPr>
          <w:rFonts w:hint="cs"/>
          <w:rtl/>
        </w:rPr>
        <w:t xml:space="preserve">עם רולקסים ומרצדסים. כנופיה </w:t>
      </w:r>
      <w:bookmarkStart w:id="23570" w:name="_ETM_Q35_755669"/>
      <w:bookmarkStart w:id="23571" w:name="_ETM_Q35_756000"/>
      <w:bookmarkStart w:id="23572" w:name="_ETM_Q35_757419"/>
      <w:bookmarkStart w:id="23573" w:name="_ETM_Q35_758020"/>
      <w:bookmarkEnd w:id="23570"/>
      <w:bookmarkEnd w:id="23571"/>
      <w:bookmarkEnd w:id="23572"/>
      <w:bookmarkEnd w:id="23573"/>
      <w:r>
        <w:rPr>
          <w:rFonts w:hint="cs"/>
          <w:rtl/>
        </w:rPr>
        <w:t xml:space="preserve">מטורפת, </w:t>
      </w:r>
      <w:bookmarkStart w:id="23574" w:name="_ETM_Q35_758760"/>
      <w:bookmarkEnd w:id="23574"/>
      <w:r>
        <w:rPr>
          <w:rFonts w:hint="cs"/>
          <w:rtl/>
        </w:rPr>
        <w:t xml:space="preserve">בולשביקית </w:t>
      </w:r>
      <w:bookmarkStart w:id="23575" w:name="_ETM_Q35_759570"/>
      <w:bookmarkEnd w:id="23575"/>
      <w:r>
        <w:rPr>
          <w:rFonts w:hint="cs"/>
          <w:rtl/>
        </w:rPr>
        <w:t xml:space="preserve">ואנטי-ציונית </w:t>
      </w:r>
      <w:bookmarkStart w:id="23576" w:name="_ETM_Q35_760500"/>
      <w:bookmarkEnd w:id="23576"/>
      <w:r>
        <w:rPr>
          <w:rFonts w:hint="cs"/>
          <w:rtl/>
        </w:rPr>
        <w:t>השתלטה ע</w:t>
      </w:r>
      <w:bookmarkStart w:id="23577" w:name="_ETM_Q35_760949"/>
      <w:bookmarkEnd w:id="23577"/>
      <w:r>
        <w:rPr>
          <w:rFonts w:hint="cs"/>
          <w:rtl/>
        </w:rPr>
        <w:t xml:space="preserve">ל המדינה. </w:t>
      </w:r>
      <w:bookmarkStart w:id="23578" w:name="_ETM_Q35_762210"/>
      <w:bookmarkStart w:id="23579" w:name="TOR_Q36"/>
      <w:bookmarkEnd w:id="23578"/>
      <w:bookmarkEnd w:id="23579"/>
      <w:r>
        <w:rPr>
          <w:rFonts w:hint="cs"/>
          <w:rtl/>
        </w:rPr>
        <w:t>זה בן אדם שיושב במשרד המשפטים, ממתין עם 400 מינויים לדירקטורים בחברות הממשלתיות, מחכה לביטול עילת הסבירות כדי למנות את המקורבים שלו. זה מי שמדבר ככה, ואז אנחנו אמורים לתמוך בביטול העילה, שתאפשר לאנשים מקצועיים להיכנס</w:t>
      </w:r>
      <w:bookmarkStart w:id="23580" w:name="_ETM_Q36_186000"/>
      <w:bookmarkEnd w:id="23580"/>
      <w:r>
        <w:rPr>
          <w:rFonts w:hint="cs"/>
          <w:rtl/>
        </w:rPr>
        <w:t xml:space="preserve"> </w:t>
      </w:r>
      <w:r w:rsidR="00E364AC">
        <w:rPr>
          <w:rFonts w:hint="cs"/>
          <w:rtl/>
        </w:rPr>
        <w:t>ו</w:t>
      </w:r>
      <w:r>
        <w:rPr>
          <w:rFonts w:hint="cs"/>
          <w:rtl/>
        </w:rPr>
        <w:t>להיות אחראים על הכספים שלנו, על המיסים שלנו,</w:t>
      </w:r>
      <w:bookmarkStart w:id="23581" w:name="_ETM_Q36_189000"/>
      <w:bookmarkEnd w:id="23581"/>
      <w:r>
        <w:rPr>
          <w:rFonts w:hint="cs"/>
          <w:rtl/>
        </w:rPr>
        <w:t xml:space="preserve"> על השירותים שלנו, על מה שהמדינה אמורה לתת?</w:t>
      </w:r>
    </w:p>
    <w:p w:rsidR="00BB59CD" w:rsidRDefault="00BB59CD" w:rsidP="00BB59CD">
      <w:pPr>
        <w:rPr>
          <w:rtl/>
        </w:rPr>
      </w:pPr>
    </w:p>
    <w:p w:rsidR="00BB59CD" w:rsidRDefault="00BB59CD" w:rsidP="00BB59CD">
      <w:pPr>
        <w:rPr>
          <w:rtl/>
        </w:rPr>
      </w:pPr>
      <w:r>
        <w:rPr>
          <w:rFonts w:hint="cs"/>
          <w:rtl/>
        </w:rPr>
        <w:t xml:space="preserve">השר עמיחי אליהו – שהוא באמת, יש לו </w:t>
      </w:r>
      <w:bookmarkStart w:id="23582" w:name="_ETM_Q36_195000"/>
      <w:bookmarkEnd w:id="23582"/>
      <w:r>
        <w:rPr>
          <w:rFonts w:hint="cs"/>
          <w:rtl/>
        </w:rPr>
        <w:t>הרבה פנינים – אמר: הנגיד היה "צריך להיות מגולגל מכל המדרגות. זה פרא אדם. לא ייתכן שפקידים יצאו נגד הממשלה". והמשיך: הקריאה של ברק למרי אזרחי – תקשיב, כבוד</w:t>
      </w:r>
      <w:bookmarkStart w:id="23583" w:name="_ETM_Q36_214000"/>
      <w:bookmarkEnd w:id="23583"/>
      <w:r>
        <w:rPr>
          <w:rFonts w:hint="cs"/>
          <w:rtl/>
        </w:rPr>
        <w:t xml:space="preserve"> יו"ר הכנסת – גרועה יותר מהאונס של קצב. הזיה. "אני שמח שאשד עוזב את המשטרה, אין שמח ממני. הוא פוליטיקאי", הוסיף, "אנחנו צריכים להוציא את המוגלה". אנשים שנתנו שירות</w:t>
      </w:r>
      <w:bookmarkStart w:id="23584" w:name="_ETM_Q36_233000"/>
      <w:bookmarkEnd w:id="23584"/>
      <w:r>
        <w:rPr>
          <w:rFonts w:hint="cs"/>
          <w:rtl/>
        </w:rPr>
        <w:t xml:space="preserve"> כל חייהם למערכת אכיפת החוק, לשמור ולהגן על אזרחים, הפכו למוגלה רק כי הם לא רצו לראות דם ברחובות, אלא רצו לממש את תפקידם לשמור על הסדר הציבורי. </w:t>
      </w:r>
    </w:p>
    <w:p w:rsidR="00BB59CD" w:rsidRDefault="00BB59CD" w:rsidP="00BB59CD">
      <w:pPr>
        <w:rPr>
          <w:rtl/>
        </w:rPr>
      </w:pPr>
      <w:bookmarkStart w:id="23585" w:name="_ETM_Q36_249000"/>
      <w:bookmarkEnd w:id="23585"/>
    </w:p>
    <w:p w:rsidR="00BB59CD" w:rsidRDefault="00BB59CD" w:rsidP="00E364AC">
      <w:pPr>
        <w:rPr>
          <w:rtl/>
        </w:rPr>
      </w:pPr>
      <w:bookmarkStart w:id="23586" w:name="_ETM_Q36_250000"/>
      <w:bookmarkEnd w:id="23586"/>
      <w:r>
        <w:rPr>
          <w:rFonts w:hint="cs"/>
          <w:rtl/>
        </w:rPr>
        <w:t xml:space="preserve">השר עמיחי שיקלי, שכנראה הפריימריז הבא </w:t>
      </w:r>
      <w:bookmarkStart w:id="23587" w:name="_ETM_Q36_253000"/>
      <w:bookmarkEnd w:id="23587"/>
      <w:r>
        <w:rPr>
          <w:rFonts w:hint="cs"/>
          <w:rtl/>
        </w:rPr>
        <w:t>שלו מלחיץ אותו, אמר: "תבוסה מוחלטת של האנרכיסטים, ממחאה אותנטית רחבה לארגון פשיעה מאורגן וממומן, המחבל בסדר הציבורי ומסכן חיי אדם. עוד</w:t>
      </w:r>
      <w:bookmarkStart w:id="23588" w:name="_ETM_Q36_270000"/>
      <w:bookmarkEnd w:id="23588"/>
      <w:r>
        <w:rPr>
          <w:rFonts w:hint="cs"/>
          <w:rtl/>
        </w:rPr>
        <w:t xml:space="preserve"> נקודת שפל בקריירה העלובה של סוחר הקנביס אהוד ברק". </w:t>
      </w:r>
      <w:bookmarkStart w:id="23589" w:name="_ETM_Q36_281000"/>
      <w:bookmarkEnd w:id="23589"/>
      <w:r>
        <w:rPr>
          <w:rFonts w:hint="cs"/>
          <w:rtl/>
        </w:rPr>
        <w:t>יש פה הרבה דברים של</w:t>
      </w:r>
      <w:bookmarkStart w:id="23590" w:name="_ETM_Q36_277000"/>
      <w:bookmarkEnd w:id="23590"/>
      <w:r>
        <w:rPr>
          <w:rFonts w:hint="cs"/>
          <w:rtl/>
        </w:rPr>
        <w:t xml:space="preserve"> שיקלי, ואני אגיד עוד משהו. או</w:t>
      </w:r>
      <w:r w:rsidR="00E364AC">
        <w:rPr>
          <w:rFonts w:hint="cs"/>
          <w:rtl/>
        </w:rPr>
        <w:t>ה</w:t>
      </w:r>
      <w:r>
        <w:rPr>
          <w:rFonts w:hint="cs"/>
          <w:rtl/>
        </w:rPr>
        <w:t xml:space="preserve">, את זה אתה תאהב, כי אתה בטח גם מאוד תתחבר לציטוט הזה, כבוד </w:t>
      </w:r>
      <w:bookmarkStart w:id="23591" w:name="_ETM_Q36_280000"/>
      <w:bookmarkEnd w:id="23591"/>
      <w:r w:rsidR="00E364AC">
        <w:rPr>
          <w:rFonts w:hint="cs"/>
          <w:rtl/>
        </w:rPr>
        <w:t>ה</w:t>
      </w:r>
      <w:r>
        <w:rPr>
          <w:rFonts w:hint="cs"/>
          <w:rtl/>
        </w:rPr>
        <w:t xml:space="preserve">יו"ר: "גאה לעבוד עם פורום קהלת המעולה" – בְּזַעַת – "חבל שיו"ר ההסתדרות מתבטא כמו ראש מאפיה" – עבודה מאורגנת על הכוונת כאן – "אבל האמת היא שלכתחילה לא היו לי ציפיות גבוהות </w:t>
      </w:r>
      <w:bookmarkStart w:id="23592" w:name="_ETM_Q36_301000"/>
      <w:bookmarkEnd w:id="23592"/>
      <w:r>
        <w:rPr>
          <w:rFonts w:hint="cs"/>
          <w:rtl/>
        </w:rPr>
        <w:t>ממנו". זה יושב איתכם פה בשולחן הממשלה. בושה. יוצא נגד עובדים, נגד עבודה מאורגנת, מאיים על ראשי ועדי עובדים</w:t>
      </w:r>
      <w:bookmarkStart w:id="23593" w:name="_ETM_Q36_311000"/>
      <w:bookmarkEnd w:id="23593"/>
      <w:r>
        <w:rPr>
          <w:rFonts w:hint="cs"/>
          <w:rtl/>
        </w:rPr>
        <w:t xml:space="preserve"> – ראינו את זה – וגאה בעבודה עם קהלת. הרי שנינו נלחמנו </w:t>
      </w:r>
      <w:bookmarkStart w:id="23594" w:name="_ETM_Q36_315000"/>
      <w:bookmarkEnd w:id="23594"/>
      <w:r>
        <w:rPr>
          <w:rFonts w:hint="cs"/>
          <w:rtl/>
        </w:rPr>
        <w:t xml:space="preserve">מול המדיניות הדורסנית שלהם. אתה יודע בדיוק כמוני מה הם מעוללים לחברה הישראלית. האנשים האלה מפרקים את הסולידריות ואת הערבות ההדדית כבר המון שנים. אבל עכשיו, בשם ההפיכה הזאת, </w:t>
      </w:r>
      <w:bookmarkStart w:id="23595" w:name="_ETM_Q36_330000"/>
      <w:bookmarkEnd w:id="23595"/>
      <w:r>
        <w:rPr>
          <w:rFonts w:hint="cs"/>
          <w:rtl/>
        </w:rPr>
        <w:t xml:space="preserve">אנחנו מכשירים את המדיניות הזאת, שאומרת: המדינה תנהג במדיניות של אדם לאדם זאב, ולא מתוך מדיניות סולידרית. </w:t>
      </w:r>
    </w:p>
    <w:p w:rsidR="00BB59CD" w:rsidRDefault="00BB59CD" w:rsidP="00BB59CD">
      <w:pPr>
        <w:rPr>
          <w:rtl/>
        </w:rPr>
      </w:pPr>
      <w:bookmarkStart w:id="23596" w:name="_ETM_Q36_341000"/>
      <w:bookmarkEnd w:id="23596"/>
    </w:p>
    <w:p w:rsidR="00BB59CD" w:rsidRDefault="00BB59CD" w:rsidP="00E364AC">
      <w:pPr>
        <w:rPr>
          <w:rtl/>
        </w:rPr>
      </w:pPr>
      <w:bookmarkStart w:id="23597" w:name="_ETM_Q36_342000"/>
      <w:bookmarkEnd w:id="23597"/>
      <w:r>
        <w:rPr>
          <w:rFonts w:hint="cs"/>
          <w:rtl/>
        </w:rPr>
        <w:t>אבל יש לנו עוד כוכבת</w:t>
      </w:r>
      <w:r w:rsidR="00E364AC">
        <w:rPr>
          <w:rFonts w:hint="cs"/>
          <w:rtl/>
        </w:rPr>
        <w:t>,</w:t>
      </w:r>
      <w:r>
        <w:rPr>
          <w:rFonts w:hint="cs"/>
          <w:rtl/>
        </w:rPr>
        <w:t xml:space="preserve"> השרה גלית דיסטל אטבריאן. על הטייסים: "נפולת של נמושות"</w:t>
      </w:r>
      <w:r w:rsidR="00E364AC">
        <w:rPr>
          <w:rFonts w:hint="cs"/>
          <w:rtl/>
        </w:rPr>
        <w:t>,</w:t>
      </w:r>
      <w:r>
        <w:rPr>
          <w:rFonts w:hint="cs"/>
          <w:rtl/>
        </w:rPr>
        <w:t xml:space="preserve"> לא פטריוטים, לא </w:t>
      </w:r>
      <w:bookmarkStart w:id="23598" w:name="_ETM_Q36_351000"/>
      <w:bookmarkEnd w:id="23598"/>
      <w:r>
        <w:rPr>
          <w:rFonts w:hint="cs"/>
          <w:rtl/>
        </w:rPr>
        <w:t>ציונים</w:t>
      </w:r>
      <w:r w:rsidR="00E364AC">
        <w:rPr>
          <w:rFonts w:hint="cs"/>
          <w:rtl/>
        </w:rPr>
        <w:t>,</w:t>
      </w:r>
      <w:r>
        <w:rPr>
          <w:rFonts w:hint="cs"/>
          <w:rtl/>
        </w:rPr>
        <w:t xml:space="preserve"> הם לא עם ישראל. שרה. סרבני שירות, קבוצה של בגירים שנמצאים ברגרסיה מנטלית, </w:t>
      </w:r>
      <w:bookmarkStart w:id="23599" w:name="_ETM_Q36_363000"/>
      <w:bookmarkEnd w:id="23599"/>
      <w:r>
        <w:rPr>
          <w:rFonts w:hint="cs"/>
          <w:rtl/>
        </w:rPr>
        <w:t>שממוקמת פחות או יותר בגן חובה</w:t>
      </w:r>
      <w:r w:rsidR="00E364AC">
        <w:rPr>
          <w:rFonts w:hint="cs"/>
          <w:rtl/>
        </w:rPr>
        <w:t>,</w:t>
      </w:r>
      <w:r>
        <w:rPr>
          <w:rFonts w:hint="cs"/>
          <w:rtl/>
        </w:rPr>
        <w:t xml:space="preserve"> בעלי נטייה פשיסטית מטרידה. הפוסל במומו פוסל. יש פה ציטוט משובח</w:t>
      </w:r>
      <w:bookmarkStart w:id="23600" w:name="_ETM_Q36_378000"/>
      <w:bookmarkEnd w:id="23600"/>
      <w:r>
        <w:rPr>
          <w:rFonts w:hint="cs"/>
          <w:rtl/>
        </w:rPr>
        <w:t xml:space="preserve"> שלה: שנים הזדעזעתי מזילות השואה</w:t>
      </w:r>
      <w:r w:rsidR="00E364AC">
        <w:rPr>
          <w:rFonts w:hint="cs"/>
          <w:rtl/>
        </w:rPr>
        <w:t>,</w:t>
      </w:r>
      <w:r>
        <w:rPr>
          <w:rFonts w:hint="cs"/>
          <w:rtl/>
        </w:rPr>
        <w:t xml:space="preserve"> שנים כיבדתי את זיכרון השואה</w:t>
      </w:r>
      <w:r w:rsidR="00E364AC">
        <w:rPr>
          <w:rFonts w:hint="cs"/>
          <w:rtl/>
        </w:rPr>
        <w:t>,</w:t>
      </w:r>
      <w:r>
        <w:rPr>
          <w:rFonts w:hint="cs"/>
          <w:rtl/>
        </w:rPr>
        <w:t xml:space="preserve"> אני כבר לא מזדעזעת; "אלו המשפחות שלכם שנשרפו שם". היא יושבת בשולחן הממשלה, אישה </w:t>
      </w:r>
      <w:bookmarkStart w:id="23601" w:name="_ETM_Q36_392000"/>
      <w:bookmarkEnd w:id="23601"/>
      <w:r>
        <w:rPr>
          <w:rFonts w:hint="cs"/>
          <w:rtl/>
        </w:rPr>
        <w:t xml:space="preserve">שאומרת אמירה אנטישמית ממש. ממש אנטישמית. אבל היא המשיכה עם האנטישמיות שלה ועם הגזענות שלה, ויש לה עוד </w:t>
      </w:r>
      <w:bookmarkStart w:id="23602" w:name="_ETM_Q36_405000"/>
      <w:bookmarkEnd w:id="23602"/>
      <w:r>
        <w:rPr>
          <w:rFonts w:hint="cs"/>
          <w:rtl/>
        </w:rPr>
        <w:t xml:space="preserve">משפט שהולך איתה תקופה, והיא עוד עומדת מאחוריו: "הגבר היהודי האשכנזי יותר אינטליגנטי". אז תדברו איתנו </w:t>
      </w:r>
      <w:bookmarkStart w:id="23603" w:name="_ETM_Q36_412000"/>
      <w:bookmarkEnd w:id="23603"/>
      <w:r>
        <w:rPr>
          <w:rFonts w:hint="cs"/>
          <w:rtl/>
        </w:rPr>
        <w:t xml:space="preserve">על ישראל השנייה ועל מזרחים, אבל יושבת פה, כשרה, גזענית שממש תורת גזע מה שהיא אומרת. </w:t>
      </w:r>
    </w:p>
    <w:p w:rsidR="00BB59CD" w:rsidRDefault="00BB59CD" w:rsidP="00BB59CD">
      <w:pPr>
        <w:rPr>
          <w:rtl/>
        </w:rPr>
      </w:pPr>
      <w:bookmarkStart w:id="23604" w:name="_ETM_Q36_422000"/>
      <w:bookmarkEnd w:id="23604"/>
    </w:p>
    <w:p w:rsidR="00BB59CD" w:rsidRDefault="00BB59CD" w:rsidP="00BB59CD">
      <w:pPr>
        <w:rPr>
          <w:rtl/>
        </w:rPr>
      </w:pPr>
      <w:bookmarkStart w:id="23605" w:name="_ETM_Q36_439152"/>
      <w:bookmarkStart w:id="23606" w:name="_ETM_Q36_439230"/>
      <w:bookmarkEnd w:id="23605"/>
      <w:bookmarkEnd w:id="23606"/>
      <w:r>
        <w:rPr>
          <w:rFonts w:hint="cs"/>
          <w:rtl/>
        </w:rPr>
        <w:t xml:space="preserve">והינה מאי גולן, שבכלל אין מה לדבר, באמת, על כמה שנאה היא מביאה למקום הזה. ומה היא אומרת? "לא מנהלים משא ומתן עם </w:t>
      </w:r>
      <w:bookmarkStart w:id="23607" w:name="_ETM_Q36_437000"/>
      <w:bookmarkEnd w:id="23607"/>
      <w:r>
        <w:rPr>
          <w:rFonts w:hint="cs"/>
          <w:rtl/>
        </w:rPr>
        <w:t xml:space="preserve">טרוריסטים". מפגינים, אוהבי ישראל, חרדים למצב המדינה, חרדים לזכויות שלהם, והיא קוראת להם "טרוריסטים". ואז אתם גם </w:t>
      </w:r>
      <w:bookmarkStart w:id="23608" w:name="_ETM_Q36_445000"/>
      <w:bookmarkEnd w:id="23608"/>
      <w:r>
        <w:rPr>
          <w:rFonts w:hint="cs"/>
          <w:rtl/>
        </w:rPr>
        <w:t>תגידו לנו: אחים אנחנו, ובית המק</w:t>
      </w:r>
      <w:r w:rsidR="00E364AC">
        <w:rPr>
          <w:rFonts w:hint="cs"/>
          <w:rtl/>
        </w:rPr>
        <w:t>ד</w:t>
      </w:r>
      <w:r>
        <w:rPr>
          <w:rFonts w:hint="cs"/>
          <w:rtl/>
        </w:rPr>
        <w:t xml:space="preserve">ש נחרב על שנאת חינם. זאת שנאת חינם, כבוד שר השיכון. זאת שנאת חינם. תגנו. </w:t>
      </w:r>
    </w:p>
    <w:p w:rsidR="00BB59CD" w:rsidRDefault="00BB59CD" w:rsidP="00BB59CD">
      <w:pPr>
        <w:rPr>
          <w:rtl/>
        </w:rPr>
      </w:pPr>
    </w:p>
    <w:p w:rsidR="00BB59CD" w:rsidRDefault="00BB59CD" w:rsidP="00E364AC">
      <w:pPr>
        <w:rPr>
          <w:rtl/>
        </w:rPr>
      </w:pPr>
      <w:r>
        <w:rPr>
          <w:rFonts w:hint="cs"/>
          <w:rtl/>
        </w:rPr>
        <w:t xml:space="preserve">יש פה מירי רגב – נעבור </w:t>
      </w:r>
      <w:r w:rsidR="00E364AC">
        <w:rPr>
          <w:rFonts w:hint="eastAsia"/>
          <w:rtl/>
        </w:rPr>
        <w:t>–</w:t>
      </w:r>
      <w:r w:rsidR="00E364AC">
        <w:rPr>
          <w:rFonts w:hint="cs"/>
          <w:rtl/>
        </w:rPr>
        <w:t xml:space="preserve"> </w:t>
      </w:r>
      <w:r>
        <w:rPr>
          <w:rFonts w:hint="cs"/>
          <w:rtl/>
        </w:rPr>
        <w:t xml:space="preserve">יש כאן כל מיני. אבל הינה השרה אורית סטרוק, על בכירי מערכת הביטחון. </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הבינוי והשיכון יצחק גולדקנופ:</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 אומרת - - - </w:t>
      </w:r>
    </w:p>
    <w:p w:rsidR="00BB59CD" w:rsidRDefault="00BB59CD" w:rsidP="00BB59CD">
      <w:pPr>
        <w:rPr>
          <w:rtl/>
          <w:lang w:eastAsia="he-IL"/>
        </w:rPr>
      </w:pPr>
      <w:bookmarkStart w:id="23609" w:name="_ETM_Q36_472000"/>
      <w:bookmarkEnd w:id="23609"/>
    </w:p>
    <w:p w:rsidR="00BB59CD" w:rsidRDefault="00BB59CD" w:rsidP="00BB59CD">
      <w:pPr>
        <w:pStyle w:val="-"/>
        <w:keepNext/>
        <w:rPr>
          <w:rtl/>
        </w:rPr>
      </w:pPr>
      <w:bookmarkStart w:id="23610" w:name="ET_speakercontinue_6236_4"/>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610"/>
    </w:p>
    <w:p w:rsidR="00BB59CD" w:rsidRDefault="00BB59CD" w:rsidP="00337201">
      <w:pPr>
        <w:rPr>
          <w:rtl/>
          <w:lang w:eastAsia="he-IL"/>
        </w:rPr>
      </w:pPr>
    </w:p>
    <w:p w:rsidR="00BB59CD" w:rsidRDefault="00BB59CD" w:rsidP="00E364AC">
      <w:pPr>
        <w:rPr>
          <w:rtl/>
          <w:lang w:eastAsia="he-IL"/>
        </w:rPr>
      </w:pPr>
      <w:r>
        <w:rPr>
          <w:rFonts w:hint="cs"/>
          <w:rtl/>
          <w:lang w:eastAsia="he-IL"/>
        </w:rPr>
        <w:t>אתם הממשלה, אתם נבחרתם</w:t>
      </w:r>
      <w:bookmarkStart w:id="23611" w:name="_ETM_Q36_476000"/>
      <w:bookmarkEnd w:id="23611"/>
      <w:r>
        <w:rPr>
          <w:rFonts w:hint="cs"/>
          <w:rtl/>
          <w:lang w:eastAsia="he-IL"/>
        </w:rPr>
        <w:t xml:space="preserve"> למשול. כבוד השר, נבחרתם למשול בכוח. אי-אפשר להתקרבן וגם למשול. זה לא </w:t>
      </w:r>
      <w:bookmarkStart w:id="23612" w:name="_ETM_Q36_479000"/>
      <w:bookmarkEnd w:id="23612"/>
      <w:r>
        <w:rPr>
          <w:rFonts w:hint="cs"/>
          <w:rtl/>
          <w:lang w:eastAsia="he-IL"/>
        </w:rPr>
        <w:t xml:space="preserve">עובד ביחד. החלטתם למשול, והכוח בידכם, וכל אמירה שלכם, יש לה משנה תוקף, כי אתם יושבים בשולחן הממשלה. בחרתם את </w:t>
      </w:r>
      <w:bookmarkStart w:id="23613" w:name="_ETM_Q36_491000"/>
      <w:bookmarkEnd w:id="23613"/>
      <w:r>
        <w:rPr>
          <w:rFonts w:hint="cs"/>
          <w:rtl/>
          <w:lang w:eastAsia="he-IL"/>
        </w:rPr>
        <w:t xml:space="preserve">זה. </w:t>
      </w:r>
    </w:p>
    <w:p w:rsidR="00BB59CD" w:rsidRDefault="00BB59CD" w:rsidP="00BB59CD">
      <w:pPr>
        <w:rPr>
          <w:rtl/>
          <w:lang w:eastAsia="he-IL"/>
        </w:rPr>
      </w:pPr>
    </w:p>
    <w:p w:rsidR="00BB59CD" w:rsidRDefault="00BB59CD" w:rsidP="00E364AC">
      <w:pPr>
        <w:rPr>
          <w:rtl/>
          <w:lang w:eastAsia="he-IL"/>
        </w:rPr>
      </w:pPr>
      <w:bookmarkStart w:id="23614" w:name="_ETM_Q36_493000"/>
      <w:bookmarkEnd w:id="23614"/>
      <w:r>
        <w:rPr>
          <w:rFonts w:hint="cs"/>
          <w:rtl/>
          <w:lang w:eastAsia="he-IL"/>
        </w:rPr>
        <w:t>השרה אורית סטרוק על בכירי מערכת הביטחון: "מי אתם</w:t>
      </w:r>
      <w:bookmarkStart w:id="23615" w:name="_ETM_Q36_496000"/>
      <w:bookmarkEnd w:id="23615"/>
      <w:r w:rsidR="00E364AC">
        <w:rPr>
          <w:rFonts w:hint="cs"/>
          <w:rtl/>
          <w:lang w:eastAsia="he-IL"/>
        </w:rPr>
        <w:t>,</w:t>
      </w:r>
      <w:r>
        <w:rPr>
          <w:rFonts w:hint="cs"/>
          <w:rtl/>
          <w:lang w:eastAsia="he-IL"/>
        </w:rPr>
        <w:t xml:space="preserve"> כוח וגנר?" או חוק האפליה: אסור לכפות על רופא או רופאה לתת טיפול שעומד בניגוד לעמדתם הדתית </w:t>
      </w:r>
      <w:r w:rsidR="00E364AC">
        <w:rPr>
          <w:rFonts w:hint="eastAsia"/>
          <w:rtl/>
          <w:lang w:eastAsia="he-IL"/>
        </w:rPr>
        <w:t>–</w:t>
      </w:r>
      <w:r w:rsidR="00E364AC">
        <w:rPr>
          <w:rFonts w:hint="cs"/>
          <w:rtl/>
          <w:lang w:eastAsia="he-IL"/>
        </w:rPr>
        <w:t xml:space="preserve"> </w:t>
      </w:r>
      <w:r>
        <w:rPr>
          <w:rFonts w:hint="cs"/>
          <w:rtl/>
          <w:lang w:eastAsia="he-IL"/>
        </w:rPr>
        <w:t>חוק שאומר ששבועת הרופא אינה תקפה. אתם תצאו נגד שביתת הרופאים והרופאות, אבל הם מבינים לאן אתם מביאים אותם</w:t>
      </w:r>
      <w:r w:rsidR="00E364AC">
        <w:rPr>
          <w:rFonts w:hint="cs"/>
          <w:rtl/>
          <w:lang w:eastAsia="he-IL"/>
        </w:rPr>
        <w:t>,</w:t>
      </w:r>
      <w:r>
        <w:rPr>
          <w:rFonts w:hint="cs"/>
          <w:rtl/>
          <w:lang w:eastAsia="he-IL"/>
        </w:rPr>
        <w:t xml:space="preserve"> </w:t>
      </w:r>
      <w:bookmarkStart w:id="23616" w:name="_ETM_Q36_517000"/>
      <w:bookmarkEnd w:id="23616"/>
      <w:r>
        <w:rPr>
          <w:rFonts w:hint="cs"/>
          <w:rtl/>
          <w:lang w:eastAsia="he-IL"/>
        </w:rPr>
        <w:t>אתם מביאים אותם לחקיקה שאומרת שאפליה במתן שירותי רפואה תהיה חוקית. הם בולמים אתכם בצדק, כי הם שומעים בקולכם את מה שאתם אומרים</w:t>
      </w:r>
      <w:r w:rsidR="00E364AC">
        <w:rPr>
          <w:rFonts w:hint="cs"/>
          <w:rtl/>
          <w:lang w:eastAsia="he-IL"/>
        </w:rPr>
        <w:t>,</w:t>
      </w:r>
      <w:r>
        <w:rPr>
          <w:rFonts w:hint="cs"/>
          <w:rtl/>
          <w:lang w:eastAsia="he-IL"/>
        </w:rPr>
        <w:t xml:space="preserve"> הם</w:t>
      </w:r>
      <w:bookmarkStart w:id="23617" w:name="_ETM_Q36_528000"/>
      <w:bookmarkEnd w:id="23617"/>
      <w:r>
        <w:rPr>
          <w:rFonts w:hint="cs"/>
          <w:rtl/>
          <w:lang w:eastAsia="he-IL"/>
        </w:rPr>
        <w:t xml:space="preserve"> שומעים לאן אתם רוצים להביא אותנו</w:t>
      </w:r>
      <w:r w:rsidR="00E364AC">
        <w:rPr>
          <w:rFonts w:hint="cs"/>
          <w:rtl/>
          <w:lang w:eastAsia="he-IL"/>
        </w:rPr>
        <w:t>,</w:t>
      </w:r>
      <w:r>
        <w:rPr>
          <w:rFonts w:hint="cs"/>
          <w:rtl/>
          <w:lang w:eastAsia="he-IL"/>
        </w:rPr>
        <w:t xml:space="preserve"> לחקיקה שהיא כל מה שאנחנו מתנגדים לו – אפליה וגזענות. אבל אם מישהו יגיד משהו על חרדים </w:t>
      </w:r>
      <w:bookmarkStart w:id="23618" w:name="_ETM_Q36_541000"/>
      <w:bookmarkEnd w:id="23618"/>
      <w:r>
        <w:rPr>
          <w:rFonts w:hint="cs"/>
          <w:rtl/>
          <w:lang w:eastAsia="he-IL"/>
        </w:rPr>
        <w:t>הרי תצאו כולכם, ותגנו. אז למה? למה לקבל בחוק אפליה</w:t>
      </w:r>
      <w:bookmarkStart w:id="23619" w:name="_ETM_Q36_549000"/>
      <w:bookmarkEnd w:id="23619"/>
      <w:r>
        <w:rPr>
          <w:rFonts w:hint="cs"/>
          <w:rtl/>
          <w:lang w:eastAsia="he-IL"/>
        </w:rPr>
        <w:t xml:space="preserve"> וגזענות? ומה אתם מצפים, שהרופאים והרופאות יעמדו מהצד ויגידו: ניתן להחריב את שבועת</w:t>
      </w:r>
      <w:bookmarkStart w:id="23620" w:name="_ETM_Q36_555000"/>
      <w:bookmarkEnd w:id="23620"/>
      <w:r>
        <w:rPr>
          <w:rFonts w:hint="cs"/>
          <w:rtl/>
          <w:lang w:eastAsia="he-IL"/>
        </w:rPr>
        <w:t xml:space="preserve"> הרופא? גינוי אחד לא היה. </w:t>
      </w:r>
    </w:p>
    <w:p w:rsidR="00BB59CD" w:rsidRDefault="00BB59CD" w:rsidP="00BB59CD">
      <w:pPr>
        <w:rPr>
          <w:rtl/>
          <w:lang w:eastAsia="he-IL"/>
        </w:rPr>
      </w:pPr>
    </w:p>
    <w:p w:rsidR="00BB59CD" w:rsidRDefault="00BB59CD" w:rsidP="00E364AC">
      <w:pPr>
        <w:rPr>
          <w:rtl/>
          <w:lang w:eastAsia="he-IL"/>
        </w:rPr>
      </w:pPr>
      <w:r>
        <w:rPr>
          <w:rFonts w:hint="cs"/>
          <w:rtl/>
          <w:lang w:eastAsia="he-IL"/>
        </w:rPr>
        <w:t xml:space="preserve">השר קרעי, שיש עליו פה שני עמודים, כמובן – הוא כוכב – סימנתי כמה דברים מהציטוטים פה. "לסרבנים המחוצפים נאמר - - - עם ישראל יסתדר בלעדיכם, ואתם תלכו </w:t>
      </w:r>
      <w:bookmarkStart w:id="23621" w:name="_ETM_Q36_576000"/>
      <w:bookmarkEnd w:id="23621"/>
      <w:r>
        <w:rPr>
          <w:rFonts w:hint="cs"/>
          <w:rtl/>
          <w:lang w:eastAsia="he-IL"/>
        </w:rPr>
        <w:t>לעזאזל". טוב, נשמע שראש הממשלה בנימין נתניהו מסכים איתו.</w:t>
      </w:r>
      <w:bookmarkStart w:id="23622" w:name="_ETM_Q36_582000"/>
      <w:bookmarkEnd w:id="23622"/>
      <w:r>
        <w:rPr>
          <w:rFonts w:hint="cs"/>
          <w:rtl/>
          <w:lang w:eastAsia="he-IL"/>
        </w:rPr>
        <w:t xml:space="preserve"> הרי הוא לא רוצה לכנס את הקבינט הביטחוני</w:t>
      </w:r>
      <w:r w:rsidR="00E364AC">
        <w:rPr>
          <w:rFonts w:hint="cs"/>
          <w:rtl/>
          <w:lang w:eastAsia="he-IL"/>
        </w:rPr>
        <w:t>,</w:t>
      </w:r>
      <w:r>
        <w:rPr>
          <w:rFonts w:hint="cs"/>
          <w:rtl/>
          <w:lang w:eastAsia="he-IL"/>
        </w:rPr>
        <w:t xml:space="preserve"> הוא לא רוצה לשמוע על סכנות על</w:t>
      </w:r>
      <w:bookmarkStart w:id="23623" w:name="_ETM_Q36_585000"/>
      <w:bookmarkEnd w:id="23623"/>
      <w:r>
        <w:rPr>
          <w:rFonts w:hint="cs"/>
          <w:rtl/>
          <w:lang w:eastAsia="he-IL"/>
        </w:rPr>
        <w:t xml:space="preserve"> הביטחון שלנו. אז אחד אומר: נסתדר בלעדיכם, תלכו לעזאזל, ואחד לא רוצה לשמוע את האמת. זה מסתדר יחד. בעצם הטייסים וכל משרתי המילואים</w:t>
      </w:r>
      <w:bookmarkStart w:id="23624" w:name="_ETM_Q36_598000"/>
      <w:bookmarkEnd w:id="23624"/>
      <w:r>
        <w:rPr>
          <w:rFonts w:hint="cs"/>
          <w:rtl/>
          <w:lang w:eastAsia="he-IL"/>
        </w:rPr>
        <w:t xml:space="preserve"> והמתנדבים מגיבים כי כבר חצי שנה הם שומעים שר אחרי שר, בקולם, אומרים אמירות מחפירות ומזעזעות. </w:t>
      </w:r>
    </w:p>
    <w:p w:rsidR="00BB59CD" w:rsidRDefault="00BB59CD" w:rsidP="00BB59CD">
      <w:pPr>
        <w:rPr>
          <w:rtl/>
          <w:lang w:eastAsia="he-IL"/>
        </w:rPr>
      </w:pPr>
    </w:p>
    <w:p w:rsidR="00BB59CD" w:rsidRDefault="00BB59CD" w:rsidP="00E364AC">
      <w:pPr>
        <w:rPr>
          <w:rtl/>
          <w:lang w:eastAsia="he-IL"/>
        </w:rPr>
      </w:pPr>
      <w:bookmarkStart w:id="23625" w:name="_ETM_Q36_609000"/>
      <w:bookmarkEnd w:id="23625"/>
      <w:r>
        <w:rPr>
          <w:rFonts w:hint="cs"/>
          <w:rtl/>
          <w:lang w:eastAsia="he-IL"/>
        </w:rPr>
        <w:t>המשיך השר קרעי – כי הרי הוא כוכב,</w:t>
      </w:r>
      <w:bookmarkStart w:id="23626" w:name="_ETM_Q36_611000"/>
      <w:bookmarkEnd w:id="23626"/>
      <w:r>
        <w:rPr>
          <w:rFonts w:hint="cs"/>
          <w:rtl/>
          <w:lang w:eastAsia="he-IL"/>
        </w:rPr>
        <w:t xml:space="preserve"> אנחנו יודעים – באמירות שלו</w:t>
      </w:r>
      <w:r w:rsidR="00E364AC">
        <w:rPr>
          <w:rFonts w:hint="cs"/>
          <w:rtl/>
          <w:lang w:eastAsia="he-IL"/>
        </w:rPr>
        <w:t>:</w:t>
      </w:r>
      <w:r>
        <w:rPr>
          <w:rFonts w:hint="cs"/>
          <w:rtl/>
          <w:lang w:eastAsia="he-IL"/>
        </w:rPr>
        <w:t xml:space="preserve"> מי שאומר</w:t>
      </w:r>
      <w:r w:rsidR="00E364AC">
        <w:rPr>
          <w:rFonts w:hint="cs"/>
          <w:rtl/>
          <w:lang w:eastAsia="he-IL"/>
        </w:rPr>
        <w:t>,</w:t>
      </w:r>
      <w:r>
        <w:rPr>
          <w:rFonts w:hint="cs"/>
          <w:rtl/>
          <w:lang w:eastAsia="he-IL"/>
        </w:rPr>
        <w:t xml:space="preserve"> אני לא אתגייס למילואים, אני לא אבוא למבצע ביטחוני, בגלל שהממשלה הזאת לא מוצאת </w:t>
      </w:r>
      <w:bookmarkStart w:id="23627" w:name="_ETM_Q36_619000"/>
      <w:bookmarkEnd w:id="23627"/>
      <w:r>
        <w:rPr>
          <w:rFonts w:hint="cs"/>
          <w:rtl/>
          <w:lang w:eastAsia="he-IL"/>
        </w:rPr>
        <w:t xml:space="preserve">חן בעיניי, אז בהחלט שילך לעזאזל. רמה גבוהה, אין מה לומר. </w:t>
      </w:r>
    </w:p>
    <w:p w:rsidR="00BB59CD" w:rsidRDefault="00BB59CD" w:rsidP="00BB59CD">
      <w:pPr>
        <w:rPr>
          <w:rtl/>
          <w:lang w:eastAsia="he-IL"/>
        </w:rPr>
      </w:pPr>
    </w:p>
    <w:p w:rsidR="00BB59CD" w:rsidRDefault="00BB59CD" w:rsidP="00BB59CD">
      <w:pPr>
        <w:rPr>
          <w:rtl/>
          <w:lang w:eastAsia="he-IL"/>
        </w:rPr>
      </w:pPr>
      <w:r>
        <w:rPr>
          <w:rFonts w:hint="cs"/>
          <w:rtl/>
          <w:lang w:eastAsia="he-IL"/>
        </w:rPr>
        <w:t>נעבור את סון הר מלך. בצלאל סמוטריץ'.</w:t>
      </w:r>
    </w:p>
    <w:p w:rsidR="00BB59CD" w:rsidRDefault="00BB59CD" w:rsidP="00BB59CD">
      <w:pPr>
        <w:rPr>
          <w:rtl/>
          <w:lang w:eastAsia="he-IL"/>
        </w:rPr>
      </w:pPr>
    </w:p>
    <w:p w:rsidR="00BB59CD" w:rsidRDefault="00BB59CD" w:rsidP="00BB59CD">
      <w:pPr>
        <w:pStyle w:val="af8"/>
        <w:keepNext/>
        <w:rPr>
          <w:rtl/>
        </w:rPr>
      </w:pPr>
      <w:bookmarkStart w:id="23628" w:name="ET_interruption_6156_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628"/>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מתי התור </w:t>
      </w:r>
      <w:bookmarkStart w:id="23629" w:name="_ETM_Q36_632000"/>
      <w:bookmarkEnd w:id="23629"/>
      <w:r>
        <w:rPr>
          <w:rFonts w:hint="cs"/>
          <w:rtl/>
          <w:lang w:eastAsia="he-IL"/>
        </w:rPr>
        <w:t>של טלי?</w:t>
      </w:r>
    </w:p>
    <w:p w:rsidR="00BB59CD" w:rsidRDefault="00BB59CD" w:rsidP="00BB59CD">
      <w:pPr>
        <w:rPr>
          <w:rtl/>
          <w:lang w:eastAsia="he-IL"/>
        </w:rPr>
      </w:pPr>
      <w:bookmarkStart w:id="23630" w:name="_ETM_Q36_634000"/>
      <w:bookmarkEnd w:id="23630"/>
    </w:p>
    <w:p w:rsidR="00BB59CD" w:rsidRDefault="00BB59CD" w:rsidP="00BB59CD">
      <w:pPr>
        <w:pStyle w:val="af8"/>
        <w:keepNext/>
        <w:rPr>
          <w:rtl/>
        </w:rPr>
      </w:pPr>
      <w:bookmarkStart w:id="23631" w:name="ET_interruption_6345_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631"/>
    </w:p>
    <w:p w:rsidR="00BB59CD" w:rsidRDefault="00BB59CD" w:rsidP="00337201">
      <w:pPr>
        <w:rPr>
          <w:rtl/>
          <w:lang w:eastAsia="he-IL"/>
        </w:rPr>
      </w:pPr>
    </w:p>
    <w:p w:rsidR="00BB59CD" w:rsidRDefault="00BB59CD" w:rsidP="00BB59CD">
      <w:pPr>
        <w:rPr>
          <w:rtl/>
          <w:lang w:eastAsia="he-IL"/>
        </w:rPr>
      </w:pPr>
      <w:r>
        <w:rPr>
          <w:rFonts w:hint="cs"/>
          <w:rtl/>
          <w:lang w:eastAsia="he-IL"/>
        </w:rPr>
        <w:t>גם אם תתאמץ, תתאמץ - - -</w:t>
      </w:r>
    </w:p>
    <w:p w:rsidR="00BB59CD" w:rsidRDefault="00BB59CD" w:rsidP="00BB59CD">
      <w:pPr>
        <w:rPr>
          <w:rtl/>
          <w:lang w:eastAsia="he-IL"/>
        </w:rPr>
      </w:pPr>
    </w:p>
    <w:p w:rsidR="00BB59CD" w:rsidRDefault="00BB59CD" w:rsidP="00BB59CD">
      <w:pPr>
        <w:pStyle w:val="af8"/>
        <w:keepNext/>
        <w:rPr>
          <w:rtl/>
        </w:rPr>
      </w:pPr>
      <w:bookmarkStart w:id="23632" w:name="ET_interruption_6461_6"/>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23632"/>
    </w:p>
    <w:p w:rsidR="00BB59CD" w:rsidRDefault="00BB59CD" w:rsidP="00337201">
      <w:pPr>
        <w:rPr>
          <w:rtl/>
          <w:lang w:eastAsia="he-IL"/>
        </w:rPr>
      </w:pPr>
    </w:p>
    <w:p w:rsidR="00BB59CD" w:rsidRDefault="00BB59CD" w:rsidP="00BB59CD">
      <w:pPr>
        <w:rPr>
          <w:rtl/>
          <w:lang w:eastAsia="he-IL"/>
        </w:rPr>
      </w:pPr>
      <w:r>
        <w:rPr>
          <w:rFonts w:hint="cs"/>
          <w:rtl/>
          <w:lang w:eastAsia="he-IL"/>
        </w:rPr>
        <w:t>מה הפסדתי?</w:t>
      </w:r>
    </w:p>
    <w:p w:rsidR="00BB59CD" w:rsidRDefault="00BB59CD" w:rsidP="00BB59CD">
      <w:pPr>
        <w:rPr>
          <w:rtl/>
          <w:lang w:eastAsia="he-IL"/>
        </w:rPr>
      </w:pPr>
      <w:bookmarkStart w:id="23633" w:name="_ETM_Q36_636000"/>
      <w:bookmarkEnd w:id="23633"/>
    </w:p>
    <w:p w:rsidR="00BB59CD" w:rsidRDefault="00BB59CD" w:rsidP="00BB59CD">
      <w:pPr>
        <w:pStyle w:val="-"/>
        <w:keepNext/>
        <w:rPr>
          <w:rtl/>
        </w:rPr>
      </w:pPr>
      <w:bookmarkStart w:id="23634" w:name="ET_speakercontinue_6236_7"/>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634"/>
    </w:p>
    <w:p w:rsidR="00BB59CD" w:rsidRDefault="00BB59CD" w:rsidP="00337201">
      <w:pPr>
        <w:rPr>
          <w:rtl/>
          <w:lang w:eastAsia="he-IL"/>
        </w:rPr>
      </w:pPr>
    </w:p>
    <w:p w:rsidR="00BB59CD" w:rsidRDefault="00BB59CD" w:rsidP="00BB59CD">
      <w:pPr>
        <w:rPr>
          <w:rtl/>
          <w:lang w:eastAsia="he-IL"/>
        </w:rPr>
      </w:pPr>
      <w:bookmarkStart w:id="23635" w:name="_ETM_Q36_637000"/>
      <w:bookmarkEnd w:id="23635"/>
      <w:r>
        <w:rPr>
          <w:rFonts w:hint="cs"/>
          <w:rtl/>
          <w:lang w:eastAsia="he-IL"/>
        </w:rPr>
        <w:t xml:space="preserve">בדיוק דיברתי על הפנינים מפיך, השר קרעי. </w:t>
      </w:r>
    </w:p>
    <w:p w:rsidR="00BB59CD" w:rsidRDefault="00BB59CD" w:rsidP="00BB59CD">
      <w:pPr>
        <w:rPr>
          <w:rtl/>
          <w:lang w:eastAsia="he-IL"/>
        </w:rPr>
      </w:pPr>
      <w:bookmarkStart w:id="23636" w:name="_ETM_Q36_639000"/>
      <w:bookmarkEnd w:id="23636"/>
    </w:p>
    <w:p w:rsidR="00BB59CD" w:rsidRDefault="00BB59CD" w:rsidP="00BB59CD">
      <w:pPr>
        <w:pStyle w:val="-"/>
        <w:keepNext/>
        <w:rPr>
          <w:rtl/>
        </w:rPr>
      </w:pPr>
      <w:bookmarkStart w:id="23637" w:name="ET_speakercontinue_6236_9"/>
      <w:r>
        <w:rPr>
          <w:rStyle w:val="TagStyle"/>
          <w:rFonts w:hint="cs"/>
          <w:rtl/>
        </w:rPr>
        <w:t xml:space="preserve">&lt;&lt; דובר_המשך &gt;&gt; </w:t>
      </w:r>
      <w:r>
        <w:rPr>
          <w:rFonts w:hint="cs"/>
          <w:rtl/>
        </w:rPr>
        <w:t>נעמה לזימי (העבודה):</w:t>
      </w:r>
      <w:r>
        <w:rPr>
          <w:rStyle w:val="TagStyle"/>
          <w:rtl/>
        </w:rPr>
        <w:t xml:space="preserve"> &lt;&lt; דובר_המשך &gt;&gt;</w:t>
      </w:r>
      <w:r>
        <w:rPr>
          <w:rFonts w:hint="cs"/>
          <w:rtl/>
        </w:rPr>
        <w:t xml:space="preserve">   </w:t>
      </w:r>
      <w:bookmarkEnd w:id="23637"/>
    </w:p>
    <w:p w:rsidR="00BB59CD" w:rsidRDefault="00BB59CD" w:rsidP="00337201">
      <w:pPr>
        <w:rPr>
          <w:rtl/>
          <w:lang w:eastAsia="he-IL"/>
        </w:rPr>
      </w:pPr>
    </w:p>
    <w:p w:rsidR="00BB59CD" w:rsidRDefault="00BB59CD" w:rsidP="00BB59CD">
      <w:pPr>
        <w:rPr>
          <w:rtl/>
          <w:lang w:eastAsia="he-IL"/>
        </w:rPr>
      </w:pPr>
      <w:bookmarkStart w:id="23638" w:name="_ETM_Q36_643000"/>
      <w:bookmarkEnd w:id="23638"/>
      <w:r>
        <w:rPr>
          <w:rFonts w:hint="cs"/>
          <w:rtl/>
          <w:lang w:eastAsia="he-IL"/>
        </w:rPr>
        <w:t>לסרבנים המחוצפים נאמר: עם</w:t>
      </w:r>
      <w:bookmarkStart w:id="23639" w:name="_ETM_Q36_644000"/>
      <w:bookmarkEnd w:id="23639"/>
      <w:r>
        <w:rPr>
          <w:rFonts w:hint="cs"/>
          <w:rtl/>
          <w:lang w:eastAsia="he-IL"/>
        </w:rPr>
        <w:t xml:space="preserve"> ישראל – רגע, אדוני, תעצור את הזמן. </w:t>
      </w:r>
    </w:p>
    <w:p w:rsidR="00BB59CD" w:rsidRDefault="00BB59CD" w:rsidP="00BB59CD">
      <w:pPr>
        <w:rPr>
          <w:rtl/>
          <w:lang w:eastAsia="he-IL"/>
        </w:rPr>
      </w:pPr>
    </w:p>
    <w:p w:rsidR="00BB59CD" w:rsidRDefault="00BB59CD" w:rsidP="00BB59CD">
      <w:pPr>
        <w:pStyle w:val="af8"/>
        <w:keepNext/>
        <w:rPr>
          <w:rtl/>
        </w:rPr>
      </w:pPr>
      <w:bookmarkStart w:id="23640" w:name="ET_interruption_6345_1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640"/>
    </w:p>
    <w:p w:rsidR="00BB59CD" w:rsidRDefault="00BB59CD" w:rsidP="00337201">
      <w:pPr>
        <w:rPr>
          <w:rtl/>
          <w:lang w:eastAsia="he-IL"/>
        </w:rPr>
      </w:pPr>
    </w:p>
    <w:p w:rsidR="00BB59CD" w:rsidRDefault="00BB59CD" w:rsidP="00BB59CD">
      <w:pPr>
        <w:rPr>
          <w:rtl/>
          <w:lang w:eastAsia="he-IL"/>
        </w:rPr>
      </w:pPr>
      <w:r>
        <w:rPr>
          <w:rFonts w:hint="cs"/>
          <w:rtl/>
          <w:lang w:eastAsia="he-IL"/>
        </w:rPr>
        <w:t>לא תמצא. אני לא - - -</w:t>
      </w:r>
    </w:p>
    <w:p w:rsidR="00BB59CD" w:rsidRDefault="00BB59CD" w:rsidP="00BB59CD">
      <w:pPr>
        <w:rPr>
          <w:rtl/>
          <w:lang w:eastAsia="he-IL"/>
        </w:rPr>
      </w:pPr>
      <w:bookmarkStart w:id="23641" w:name="_ETM_Q36_649000"/>
      <w:bookmarkEnd w:id="23641"/>
    </w:p>
    <w:p w:rsidR="00BB59CD" w:rsidRDefault="00BB59CD" w:rsidP="00BB59CD">
      <w:pPr>
        <w:pStyle w:val="af8"/>
        <w:keepNext/>
        <w:rPr>
          <w:rtl/>
        </w:rPr>
      </w:pPr>
      <w:bookmarkStart w:id="23642" w:name="ET_interruption_6156_11"/>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642"/>
    </w:p>
    <w:p w:rsidR="00BB59CD" w:rsidRDefault="00BB59CD" w:rsidP="00337201">
      <w:pPr>
        <w:rPr>
          <w:rtl/>
          <w:lang w:eastAsia="he-IL"/>
        </w:rPr>
      </w:pPr>
    </w:p>
    <w:p w:rsidR="00BB59CD" w:rsidRDefault="00BB59CD" w:rsidP="00BB59CD">
      <w:pPr>
        <w:rPr>
          <w:rtl/>
          <w:lang w:eastAsia="he-IL"/>
        </w:rPr>
      </w:pPr>
      <w:bookmarkStart w:id="23643" w:name="_ETM_Q36_650000"/>
      <w:bookmarkEnd w:id="23643"/>
      <w:r>
        <w:rPr>
          <w:rFonts w:hint="cs"/>
          <w:rtl/>
          <w:lang w:eastAsia="he-IL"/>
        </w:rPr>
        <w:t>את מלכה.</w:t>
      </w:r>
    </w:p>
    <w:p w:rsidR="00BB59CD" w:rsidRDefault="00BB59CD" w:rsidP="00BB59CD">
      <w:pPr>
        <w:rPr>
          <w:rtl/>
          <w:lang w:eastAsia="he-IL"/>
        </w:rPr>
      </w:pPr>
    </w:p>
    <w:p w:rsidR="00BB59CD" w:rsidRDefault="00BB59CD" w:rsidP="00BB59CD">
      <w:pPr>
        <w:pStyle w:val="af8"/>
        <w:keepNext/>
        <w:rPr>
          <w:rtl/>
        </w:rPr>
      </w:pPr>
      <w:bookmarkStart w:id="23644" w:name="ET_interruption_6345_1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644"/>
    </w:p>
    <w:p w:rsidR="00BB59CD" w:rsidRDefault="00BB59CD" w:rsidP="00337201">
      <w:pPr>
        <w:rPr>
          <w:rtl/>
          <w:lang w:eastAsia="he-IL"/>
        </w:rPr>
      </w:pPr>
    </w:p>
    <w:p w:rsidR="00BB59CD" w:rsidRDefault="00BB59CD" w:rsidP="00BB59CD">
      <w:pPr>
        <w:rPr>
          <w:rtl/>
          <w:lang w:eastAsia="he-IL"/>
        </w:rPr>
      </w:pPr>
      <w:bookmarkStart w:id="23645" w:name="_ETM_Q36_653673"/>
      <w:bookmarkEnd w:id="23645"/>
      <w:r>
        <w:rPr>
          <w:rFonts w:hint="cs"/>
          <w:rtl/>
          <w:lang w:eastAsia="he-IL"/>
        </w:rPr>
        <w:t>מ</w:t>
      </w:r>
      <w:bookmarkStart w:id="23646" w:name="_ETM_Q36_653929"/>
      <w:bookmarkEnd w:id="23646"/>
      <w:r>
        <w:rPr>
          <w:rFonts w:hint="cs"/>
          <w:rtl/>
          <w:lang w:eastAsia="he-IL"/>
        </w:rPr>
        <w:t>ל</w:t>
      </w:r>
      <w:bookmarkStart w:id="23647" w:name="_ETM_Q36_654120"/>
      <w:bookmarkEnd w:id="23647"/>
      <w:r>
        <w:rPr>
          <w:rFonts w:hint="cs"/>
          <w:rtl/>
          <w:lang w:eastAsia="he-IL"/>
        </w:rPr>
        <w:t>כת החושך, אבל - - -</w:t>
      </w:r>
    </w:p>
    <w:p w:rsidR="00BB59CD" w:rsidRDefault="00BB59CD" w:rsidP="00BB59CD">
      <w:pPr>
        <w:rPr>
          <w:rtl/>
          <w:lang w:eastAsia="he-IL"/>
        </w:rPr>
      </w:pPr>
      <w:bookmarkStart w:id="23648" w:name="_ETM_Q36_652172"/>
      <w:bookmarkStart w:id="23649" w:name="_ETM_Q36_652308"/>
      <w:bookmarkEnd w:id="23648"/>
      <w:bookmarkEnd w:id="23649"/>
    </w:p>
    <w:p w:rsidR="00BB59CD" w:rsidRDefault="00BB59CD" w:rsidP="00BB59CD">
      <w:pPr>
        <w:pStyle w:val="af9"/>
        <w:keepNext/>
        <w:rPr>
          <w:rtl/>
        </w:rPr>
      </w:pPr>
      <w:bookmarkStart w:id="23650" w:name="ET_yor_6488_1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650"/>
    </w:p>
    <w:p w:rsidR="00BB59CD" w:rsidRDefault="00BB59CD" w:rsidP="00337201">
      <w:pPr>
        <w:rPr>
          <w:rtl/>
          <w:lang w:eastAsia="he-IL"/>
        </w:rPr>
      </w:pPr>
    </w:p>
    <w:p w:rsidR="00BB59CD" w:rsidRDefault="00BB59CD" w:rsidP="00BB59CD">
      <w:pPr>
        <w:rPr>
          <w:rtl/>
          <w:lang w:eastAsia="he-IL"/>
        </w:rPr>
      </w:pPr>
      <w:bookmarkStart w:id="23651" w:name="_ETM_Q36_658000"/>
      <w:bookmarkEnd w:id="23651"/>
      <w:r>
        <w:rPr>
          <w:rFonts w:hint="cs"/>
          <w:rtl/>
          <w:lang w:eastAsia="he-IL"/>
        </w:rPr>
        <w:t>חברת הכנסת גוטליב, עצרתי</w:t>
      </w:r>
      <w:bookmarkStart w:id="23652" w:name="_ETM_Q36_657000"/>
      <w:bookmarkEnd w:id="23652"/>
      <w:r>
        <w:rPr>
          <w:rFonts w:hint="cs"/>
          <w:rtl/>
          <w:lang w:eastAsia="he-IL"/>
        </w:rPr>
        <w:t xml:space="preserve"> את הזמן.</w:t>
      </w:r>
    </w:p>
    <w:p w:rsidR="00BB59CD" w:rsidRDefault="00BB59CD" w:rsidP="00BB59CD">
      <w:pPr>
        <w:rPr>
          <w:rtl/>
          <w:lang w:eastAsia="he-IL"/>
        </w:rPr>
      </w:pPr>
      <w:bookmarkStart w:id="23653" w:name="_ETM_Q36_659000"/>
      <w:bookmarkEnd w:id="23653"/>
    </w:p>
    <w:p w:rsidR="00BB59CD" w:rsidRDefault="00BB59CD" w:rsidP="00BB59CD">
      <w:pPr>
        <w:pStyle w:val="-"/>
        <w:keepNext/>
        <w:rPr>
          <w:rtl/>
        </w:rPr>
      </w:pPr>
      <w:bookmarkStart w:id="23654" w:name="ET_speakercontinue_6236_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65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גוטליב עושה פיליבסטר עם האופוזיציה. </w:t>
      </w:r>
    </w:p>
    <w:p w:rsidR="00BB59CD" w:rsidRDefault="00BB59CD" w:rsidP="00BB59CD">
      <w:pPr>
        <w:rPr>
          <w:rtl/>
          <w:lang w:eastAsia="he-IL"/>
        </w:rPr>
      </w:pPr>
    </w:p>
    <w:p w:rsidR="00BB59CD" w:rsidRDefault="00BB59CD" w:rsidP="00BB59CD">
      <w:pPr>
        <w:pStyle w:val="af8"/>
        <w:keepNext/>
        <w:rPr>
          <w:rtl/>
        </w:rPr>
      </w:pPr>
      <w:bookmarkStart w:id="23655" w:name="ET_interruption_6345_1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655"/>
    </w:p>
    <w:p w:rsidR="00BB59CD" w:rsidRDefault="00BB59CD" w:rsidP="00337201">
      <w:pPr>
        <w:rPr>
          <w:rtl/>
          <w:lang w:eastAsia="he-IL"/>
        </w:rPr>
      </w:pPr>
    </w:p>
    <w:p w:rsidR="00BB59CD" w:rsidRDefault="00BB59CD" w:rsidP="00BB59CD">
      <w:pPr>
        <w:rPr>
          <w:rtl/>
          <w:lang w:eastAsia="he-IL"/>
        </w:rPr>
      </w:pPr>
      <w:bookmarkStart w:id="23656" w:name="_ETM_Q36_661000"/>
      <w:bookmarkEnd w:id="23656"/>
      <w:r>
        <w:rPr>
          <w:rFonts w:hint="cs"/>
          <w:rtl/>
          <w:lang w:eastAsia="he-IL"/>
        </w:rPr>
        <w:t xml:space="preserve">אני לא מפריעה לך. תמשיכי. </w:t>
      </w:r>
    </w:p>
    <w:p w:rsidR="00BB59CD" w:rsidRDefault="00BB59CD" w:rsidP="00BB59CD">
      <w:pPr>
        <w:rPr>
          <w:rtl/>
          <w:lang w:eastAsia="he-IL"/>
        </w:rPr>
      </w:pPr>
      <w:bookmarkStart w:id="23657" w:name="_ETM_Q36_662000"/>
      <w:bookmarkEnd w:id="23657"/>
    </w:p>
    <w:p w:rsidR="00BB59CD" w:rsidRDefault="00BB59CD" w:rsidP="00BB59CD">
      <w:pPr>
        <w:pStyle w:val="-"/>
        <w:keepNext/>
        <w:rPr>
          <w:rtl/>
        </w:rPr>
      </w:pPr>
      <w:bookmarkStart w:id="23658" w:name="ET_speakercontinue_6236_14"/>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658"/>
    </w:p>
    <w:p w:rsidR="00BB59CD" w:rsidRDefault="00BB59CD" w:rsidP="00337201">
      <w:pPr>
        <w:rPr>
          <w:rtl/>
          <w:lang w:eastAsia="he-IL"/>
        </w:rPr>
      </w:pPr>
    </w:p>
    <w:p w:rsidR="00BB59CD" w:rsidRDefault="00BB59CD" w:rsidP="00BB59CD">
      <w:pPr>
        <w:rPr>
          <w:rtl/>
          <w:lang w:eastAsia="he-IL"/>
        </w:rPr>
      </w:pPr>
      <w:bookmarkStart w:id="23659" w:name="_ETM_Q36_663000"/>
      <w:bookmarkEnd w:id="23659"/>
      <w:r>
        <w:rPr>
          <w:rFonts w:hint="cs"/>
          <w:rtl/>
          <w:lang w:eastAsia="he-IL"/>
        </w:rPr>
        <w:t xml:space="preserve">תודה רבה. הזמן עצר, אני בסדר. תחליטו. </w:t>
      </w:r>
    </w:p>
    <w:p w:rsidR="00BB59CD" w:rsidRDefault="00BB59CD" w:rsidP="00BB59CD">
      <w:pPr>
        <w:rPr>
          <w:rtl/>
          <w:lang w:eastAsia="he-IL"/>
        </w:rPr>
      </w:pPr>
      <w:bookmarkStart w:id="23660" w:name="_ETM_Q36_664000"/>
      <w:bookmarkEnd w:id="23660"/>
    </w:p>
    <w:p w:rsidR="00BB59CD" w:rsidRDefault="00BB59CD" w:rsidP="00BB59CD">
      <w:pPr>
        <w:pStyle w:val="af8"/>
        <w:keepNext/>
        <w:rPr>
          <w:rtl/>
        </w:rPr>
      </w:pPr>
      <w:bookmarkStart w:id="23661" w:name="ET_interruption_6345_1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66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w:t>
      </w:r>
      <w:bookmarkStart w:id="23662" w:name="_ETM_Q36_666000"/>
      <w:bookmarkEnd w:id="23662"/>
      <w:r>
        <w:rPr>
          <w:rFonts w:hint="cs"/>
          <w:rtl/>
          <w:lang w:eastAsia="he-IL"/>
        </w:rPr>
        <w:t xml:space="preserve">לא מפריעה לך.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הכול טוב. תודה. השר קרעי, אני פשוט ציטטתי אותך, את כל הדברים החשובים שיש לך לומר: </w:t>
      </w:r>
      <w:bookmarkStart w:id="23663" w:name="_ETM_Q36_672000"/>
      <w:bookmarkEnd w:id="23663"/>
      <w:r>
        <w:rPr>
          <w:rFonts w:hint="cs"/>
          <w:rtl/>
          <w:lang w:eastAsia="he-IL"/>
        </w:rPr>
        <w:t xml:space="preserve">לסרבנים המחוצפים נאמר: </w:t>
      </w:r>
      <w:r w:rsidR="000145FA">
        <w:rPr>
          <w:rFonts w:hint="cs"/>
          <w:rtl/>
          <w:lang w:eastAsia="he-IL"/>
        </w:rPr>
        <w:t>"</w:t>
      </w:r>
      <w:r>
        <w:rPr>
          <w:rFonts w:hint="cs"/>
          <w:rtl/>
          <w:lang w:eastAsia="he-IL"/>
        </w:rPr>
        <w:t>עם ישראל יסתדר בלעדיכם, ואתם תלכו לעזאזל</w:t>
      </w:r>
      <w:r w:rsidR="000145FA">
        <w:rPr>
          <w:rFonts w:hint="cs"/>
          <w:rtl/>
          <w:lang w:eastAsia="he-IL"/>
        </w:rPr>
        <w:t>"</w:t>
      </w:r>
      <w:r>
        <w:rPr>
          <w:rFonts w:hint="cs"/>
          <w:rtl/>
          <w:lang w:eastAsia="he-IL"/>
        </w:rPr>
        <w:t>. אבל כנראה הרמה הגבוהה פה</w:t>
      </w:r>
      <w:bookmarkStart w:id="23664" w:name="_ETM_Q36_683000"/>
      <w:bookmarkEnd w:id="23664"/>
      <w:r>
        <w:rPr>
          <w:rFonts w:hint="cs"/>
          <w:rtl/>
          <w:lang w:eastAsia="he-IL"/>
        </w:rPr>
        <w:t xml:space="preserve"> אפילו לא נותנת להתייחס. </w:t>
      </w:r>
    </w:p>
    <w:p w:rsidR="00BB59CD" w:rsidRDefault="00BB59CD" w:rsidP="00BB59CD">
      <w:pPr>
        <w:rPr>
          <w:rtl/>
          <w:lang w:eastAsia="he-IL"/>
        </w:rPr>
      </w:pPr>
    </w:p>
    <w:p w:rsidR="00BB59CD" w:rsidRDefault="00BB59CD" w:rsidP="004A5D21">
      <w:pPr>
        <w:rPr>
          <w:rtl/>
          <w:lang w:eastAsia="he-IL"/>
        </w:rPr>
      </w:pPr>
      <w:bookmarkStart w:id="23665" w:name="_ETM_Q36_685000"/>
      <w:bookmarkEnd w:id="23665"/>
      <w:r>
        <w:rPr>
          <w:rFonts w:hint="cs"/>
          <w:rtl/>
          <w:lang w:eastAsia="he-IL"/>
        </w:rPr>
        <w:t xml:space="preserve">השר בצלאל סמוטריץ': "למחוק את חווארה". שר האוצר ושר נוסף במשרד הביטחון קורא לפשעי מלחמה ופשע </w:t>
      </w:r>
      <w:bookmarkStart w:id="23666" w:name="_ETM_Q36_696000"/>
      <w:bookmarkEnd w:id="23666"/>
      <w:r>
        <w:rPr>
          <w:rFonts w:hint="cs"/>
          <w:rtl/>
          <w:lang w:eastAsia="he-IL"/>
        </w:rPr>
        <w:t>עם. פשוט קורא. לא מחכה לכוחות הביטחון, לא מחכה לשום מערכת שתעשה את עבודתה, אלא פועל כאחרון הטוקבקיסטים, ופשוט עושה גם בושה בין-לאומית ענקית, וגם מראה</w:t>
      </w:r>
      <w:bookmarkStart w:id="23667" w:name="_ETM_Q36_713000"/>
      <w:bookmarkEnd w:id="23667"/>
      <w:r>
        <w:rPr>
          <w:rFonts w:hint="cs"/>
          <w:rtl/>
          <w:lang w:eastAsia="he-IL"/>
        </w:rPr>
        <w:t xml:space="preserve"> מה זה אובדן ערכים וצלם אנוש ומוסר בסיסי ברמה הברורה ביותר. אבל מסתבר שהשר בצלאל סמוטריץ' הוא גם </w:t>
      </w:r>
      <w:bookmarkStart w:id="23668" w:name="_ETM_Q36_724000"/>
      <w:bookmarkEnd w:id="23668"/>
      <w:r>
        <w:rPr>
          <w:rFonts w:hint="cs"/>
          <w:rtl/>
          <w:lang w:eastAsia="he-IL"/>
        </w:rPr>
        <w:t>איש תיאוריות קונספירציה. אני אצטט: "מי שכשל בשמירה על ראש הממשלה יצחק רבין הם לא אנשי הימין והציונות הדתית והמתנחלים</w:t>
      </w:r>
      <w:bookmarkStart w:id="23669" w:name="_ETM_Q36_736000"/>
      <w:bookmarkEnd w:id="23669"/>
      <w:r>
        <w:rPr>
          <w:rFonts w:hint="cs"/>
          <w:rtl/>
          <w:lang w:eastAsia="he-IL"/>
        </w:rPr>
        <w:t>, אלא שירותי הביטחון, שלא רק כשלו בשמירה עליו אלא גם השתמשו במניפולציות חסרות אחריות, שעד היום לא נחשפו במלואן, כדי לעודד את הרוצח לבצע את זממו". הבנתם? אין לתאר.</w:t>
      </w:r>
    </w:p>
    <w:p w:rsidR="00BB59CD" w:rsidRDefault="00BB59CD" w:rsidP="00BB59CD">
      <w:pPr>
        <w:rPr>
          <w:rtl/>
          <w:lang w:eastAsia="he-IL"/>
        </w:rPr>
      </w:pPr>
    </w:p>
    <w:p w:rsidR="00BB59CD" w:rsidRDefault="00BB59CD" w:rsidP="00BB59CD">
      <w:pPr>
        <w:rPr>
          <w:rtl/>
        </w:rPr>
      </w:pPr>
      <w:bookmarkStart w:id="23670" w:name="TOR_Q37"/>
      <w:bookmarkEnd w:id="23670"/>
      <w:r>
        <w:rPr>
          <w:rFonts w:hint="cs"/>
          <w:rtl/>
        </w:rPr>
        <w:t xml:space="preserve">השר איתמר בן גביר, אחרי סרטונים קשים של אלימות משטרתית </w:t>
      </w:r>
      <w:bookmarkStart w:id="23671" w:name="_ETM_Q37_167000"/>
      <w:bookmarkEnd w:id="23671"/>
      <w:r>
        <w:rPr>
          <w:rFonts w:hint="cs"/>
          <w:rtl/>
        </w:rPr>
        <w:t>– מה לעשות, כשדברים מצול</w:t>
      </w:r>
      <w:bookmarkStart w:id="23672" w:name="_ETM_Q37_165000"/>
      <w:bookmarkEnd w:id="23672"/>
      <w:r>
        <w:rPr>
          <w:rFonts w:hint="cs"/>
          <w:rtl/>
        </w:rPr>
        <w:t>מים, הם פשוט מצולמים, וכולם רואים בבירור: לא ראיתי אלימות שוטרים, היה כוח סביר.</w:t>
      </w:r>
    </w:p>
    <w:p w:rsidR="00BB59CD" w:rsidRDefault="00BB59CD" w:rsidP="00BB59CD">
      <w:pPr>
        <w:rPr>
          <w:rtl/>
        </w:rPr>
      </w:pPr>
    </w:p>
    <w:p w:rsidR="00BB59CD" w:rsidRDefault="00BB59CD" w:rsidP="00BB59CD">
      <w:pPr>
        <w:pStyle w:val="af8"/>
        <w:keepNext/>
        <w:rPr>
          <w:rtl/>
        </w:rPr>
      </w:pPr>
      <w:bookmarkStart w:id="23673" w:name="ET_interruption_6156_3"/>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673"/>
    </w:p>
    <w:p w:rsidR="00BB59CD" w:rsidRDefault="00BB59CD" w:rsidP="00337201">
      <w:pPr>
        <w:rPr>
          <w:rtl/>
          <w:lang w:eastAsia="he-IL"/>
        </w:rPr>
      </w:pPr>
    </w:p>
    <w:p w:rsidR="00BB59CD" w:rsidRDefault="00BB59CD" w:rsidP="00BB59CD">
      <w:pPr>
        <w:rPr>
          <w:rtl/>
          <w:lang w:eastAsia="he-IL"/>
        </w:rPr>
      </w:pPr>
      <w:r>
        <w:rPr>
          <w:rFonts w:hint="cs"/>
          <w:rtl/>
          <w:lang w:eastAsia="he-IL"/>
        </w:rPr>
        <w:t>הוא עושה סלטים בדיוק.</w:t>
      </w:r>
    </w:p>
    <w:p w:rsidR="00BB59CD" w:rsidRDefault="00BB59CD" w:rsidP="00BB59CD">
      <w:pPr>
        <w:rPr>
          <w:rtl/>
          <w:lang w:eastAsia="he-IL"/>
        </w:rPr>
      </w:pPr>
    </w:p>
    <w:p w:rsidR="00BB59CD" w:rsidRDefault="00BB59CD" w:rsidP="00BB59CD">
      <w:pPr>
        <w:pStyle w:val="af8"/>
        <w:keepNext/>
        <w:rPr>
          <w:rtl/>
        </w:rPr>
      </w:pPr>
      <w:bookmarkStart w:id="23674" w:name="ET_interruption_6461_4"/>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bookmarkEnd w:id="23674"/>
    </w:p>
    <w:p w:rsidR="00BB59CD" w:rsidRDefault="00BB59CD" w:rsidP="00337201">
      <w:pPr>
        <w:rPr>
          <w:rtl/>
          <w:lang w:eastAsia="he-IL"/>
        </w:rPr>
      </w:pPr>
    </w:p>
    <w:p w:rsidR="00BB59CD" w:rsidRDefault="00BB59CD" w:rsidP="00BB59CD">
      <w:pPr>
        <w:rPr>
          <w:rtl/>
          <w:lang w:eastAsia="he-IL"/>
        </w:rPr>
      </w:pPr>
      <w:r>
        <w:rPr>
          <w:rFonts w:hint="cs"/>
          <w:rtl/>
          <w:lang w:eastAsia="he-IL"/>
        </w:rPr>
        <w:t>לא נעים – לא נורא, כך אמרה הבוסית שלך.</w:t>
      </w:r>
    </w:p>
    <w:p w:rsidR="00BB59CD" w:rsidRDefault="00BB59CD" w:rsidP="00337201">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3675" w:name="_ETM_Q37_179000"/>
      <w:bookmarkEnd w:id="23675"/>
      <w:r>
        <w:rPr>
          <w:rFonts w:hint="cs"/>
          <w:rtl/>
          <w:lang w:eastAsia="he-IL"/>
        </w:rPr>
        <w:t>אתם</w:t>
      </w:r>
      <w:bookmarkStart w:id="23676" w:name="_ETM_Q37_181000"/>
      <w:bookmarkEnd w:id="23676"/>
      <w:r>
        <w:rPr>
          <w:rFonts w:hint="cs"/>
          <w:rtl/>
          <w:lang w:eastAsia="he-IL"/>
        </w:rPr>
        <w:t xml:space="preserve"> גם רוצים כוח, וגם רוצים למשול וגם לא יודעים להגן </w:t>
      </w:r>
      <w:bookmarkStart w:id="23677" w:name="_ETM_Q37_183000"/>
      <w:bookmarkEnd w:id="23677"/>
      <w:r>
        <w:rPr>
          <w:rFonts w:hint="cs"/>
          <w:rtl/>
          <w:lang w:eastAsia="he-IL"/>
        </w:rPr>
        <w:t xml:space="preserve">על הציבור ולקחת אחריות. רק להאשים. זאת הדרך היחידה. זה </w:t>
      </w:r>
      <w:bookmarkStart w:id="23678" w:name="_ETM_Q37_188000"/>
      <w:bookmarkEnd w:id="23678"/>
      <w:r>
        <w:rPr>
          <w:rFonts w:hint="cs"/>
          <w:rtl/>
          <w:lang w:eastAsia="he-IL"/>
        </w:rPr>
        <w:t>נייר הלקמוס שלכם, האשמה בלבד.</w:t>
      </w:r>
    </w:p>
    <w:p w:rsidR="00BB59CD" w:rsidRDefault="00BB59CD" w:rsidP="00BB59CD">
      <w:pPr>
        <w:rPr>
          <w:rtl/>
          <w:lang w:eastAsia="he-IL"/>
        </w:rPr>
      </w:pPr>
    </w:p>
    <w:p w:rsidR="00BB59CD" w:rsidRDefault="00BB59CD" w:rsidP="000B2C80">
      <w:pPr>
        <w:rPr>
          <w:rtl/>
          <w:lang w:eastAsia="he-IL"/>
        </w:rPr>
      </w:pPr>
      <w:bookmarkStart w:id="23679" w:name="_ETM_Q37_194000"/>
      <w:bookmarkEnd w:id="23679"/>
      <w:r>
        <w:rPr>
          <w:rFonts w:hint="cs"/>
          <w:rtl/>
          <w:lang w:eastAsia="he-IL"/>
        </w:rPr>
        <w:t>בועז ביסמוט – תנחשו – ציטוט: המחאה הזאת היא אנטישמית. ספרו במצטבר כשני מיליון איש שיצאו למחאות הללו לאורך חצי השנה הזאת. ביסמוט</w:t>
      </w:r>
      <w:r w:rsidR="004A5D21">
        <w:rPr>
          <w:rFonts w:hint="cs"/>
          <w:rtl/>
          <w:lang w:eastAsia="he-IL"/>
        </w:rPr>
        <w:t>,</w:t>
      </w:r>
      <w:r>
        <w:rPr>
          <w:rFonts w:hint="cs"/>
          <w:rtl/>
          <w:lang w:eastAsia="he-IL"/>
        </w:rPr>
        <w:t xml:space="preserve"> מבחינתו, שני </w:t>
      </w:r>
      <w:bookmarkStart w:id="23680" w:name="_ETM_Q37_214000"/>
      <w:bookmarkEnd w:id="23680"/>
      <w:r>
        <w:rPr>
          <w:rFonts w:hint="cs"/>
          <w:rtl/>
          <w:lang w:eastAsia="he-IL"/>
        </w:rPr>
        <w:t xml:space="preserve">מיליון איש כאן אנטישמים. האם היה גינוי? מה פתאום. </w:t>
      </w:r>
      <w:bookmarkStart w:id="23681" w:name="_ETM_Q37_220000"/>
      <w:bookmarkEnd w:id="23681"/>
      <w:r>
        <w:rPr>
          <w:rFonts w:hint="cs"/>
          <w:rtl/>
          <w:lang w:eastAsia="he-IL"/>
        </w:rPr>
        <w:t>אחים אנחנו</w:t>
      </w:r>
      <w:r w:rsidR="000B2C80">
        <w:rPr>
          <w:rFonts w:hint="cs"/>
          <w:rtl/>
          <w:lang w:eastAsia="he-IL"/>
        </w:rPr>
        <w:t>,</w:t>
      </w:r>
      <w:r>
        <w:rPr>
          <w:rFonts w:hint="cs"/>
          <w:rtl/>
          <w:lang w:eastAsia="he-IL"/>
        </w:rPr>
        <w:t xml:space="preserve"> הם יגידו. </w:t>
      </w:r>
      <w:bookmarkStart w:id="23682" w:name="_ETM_Q37_223000"/>
      <w:bookmarkStart w:id="23683" w:name="_ETM_Q37_224000"/>
      <w:bookmarkEnd w:id="23682"/>
      <w:bookmarkEnd w:id="23683"/>
      <w:r>
        <w:rPr>
          <w:rFonts w:hint="cs"/>
          <w:rtl/>
          <w:lang w:eastAsia="he-IL"/>
        </w:rPr>
        <w:t>יואב קיש, שר החינוך שלנו</w:t>
      </w:r>
      <w:bookmarkStart w:id="23684" w:name="_ETM_Q37_229000"/>
      <w:bookmarkEnd w:id="23684"/>
      <w:r>
        <w:rPr>
          <w:rFonts w:hint="cs"/>
          <w:rtl/>
          <w:lang w:eastAsia="he-IL"/>
        </w:rPr>
        <w:t xml:space="preserve">: לא ניכנע לטרור – על המפגינים. עוד </w:t>
      </w:r>
      <w:bookmarkStart w:id="23685" w:name="_ETM_Q37_232000"/>
      <w:bookmarkEnd w:id="23685"/>
      <w:r>
        <w:rPr>
          <w:rFonts w:hint="cs"/>
          <w:rtl/>
          <w:lang w:eastAsia="he-IL"/>
        </w:rPr>
        <w:t xml:space="preserve">פעם התרת דם והסתה כלפי אזרחים </w:t>
      </w:r>
      <w:r w:rsidR="000B2C80">
        <w:rPr>
          <w:rFonts w:hint="eastAsia"/>
          <w:rtl/>
          <w:lang w:eastAsia="he-IL"/>
        </w:rPr>
        <w:t>–</w:t>
      </w:r>
      <w:r w:rsidR="000B2C80">
        <w:rPr>
          <w:rFonts w:hint="cs"/>
          <w:rtl/>
          <w:lang w:eastAsia="he-IL"/>
        </w:rPr>
        <w:t xml:space="preserve"> </w:t>
      </w:r>
      <w:r>
        <w:rPr>
          <w:rFonts w:hint="cs"/>
          <w:rtl/>
          <w:lang w:eastAsia="he-IL"/>
        </w:rPr>
        <w:t xml:space="preserve">לא ניכנע לטרור. </w:t>
      </w:r>
      <w:bookmarkStart w:id="23686" w:name="_ETM_Q37_241000"/>
      <w:bookmarkEnd w:id="23686"/>
      <w:r>
        <w:rPr>
          <w:rFonts w:hint="cs"/>
          <w:rtl/>
          <w:lang w:eastAsia="he-IL"/>
        </w:rPr>
        <w:t xml:space="preserve">השר ישראל </w:t>
      </w:r>
      <w:bookmarkStart w:id="23687" w:name="_ETM_Q37_246000"/>
      <w:bookmarkEnd w:id="23687"/>
      <w:r>
        <w:rPr>
          <w:rFonts w:hint="cs"/>
          <w:rtl/>
          <w:lang w:eastAsia="he-IL"/>
        </w:rPr>
        <w:t xml:space="preserve">כץ קרא לעצור פעילי מחאה בולטים בגין המרדה. </w:t>
      </w:r>
      <w:bookmarkStart w:id="23688" w:name="_ETM_Q37_252000"/>
      <w:bookmarkEnd w:id="23688"/>
      <w:r>
        <w:rPr>
          <w:rFonts w:hint="cs"/>
          <w:rtl/>
          <w:lang w:eastAsia="he-IL"/>
        </w:rPr>
        <w:t xml:space="preserve">יש מי שנדמה לו שאנחנו כבר בעיצומה של הדיקטטורה, </w:t>
      </w:r>
      <w:bookmarkStart w:id="23689" w:name="_ETM_Q37_256000"/>
      <w:bookmarkEnd w:id="23689"/>
      <w:r>
        <w:rPr>
          <w:rFonts w:hint="cs"/>
          <w:rtl/>
          <w:lang w:eastAsia="he-IL"/>
        </w:rPr>
        <w:t xml:space="preserve">ויש להם את המיליציה הפרטית שלהם לעצור אנשים משום מקום. </w:t>
      </w:r>
      <w:bookmarkStart w:id="23690" w:name="_ETM_Q37_263000"/>
      <w:bookmarkEnd w:id="23690"/>
      <w:r>
        <w:rPr>
          <w:rFonts w:hint="cs"/>
          <w:rtl/>
          <w:lang w:eastAsia="he-IL"/>
        </w:rPr>
        <w:t xml:space="preserve">התבלבלו, אנחנו עדיין לא במקומות הללו, ולא ניתן להם. </w:t>
      </w:r>
      <w:bookmarkStart w:id="23691" w:name="_ETM_Q37_271000"/>
      <w:bookmarkEnd w:id="23691"/>
      <w:r>
        <w:rPr>
          <w:rFonts w:hint="cs"/>
          <w:rtl/>
          <w:lang w:eastAsia="he-IL"/>
        </w:rPr>
        <w:t xml:space="preserve">שמחה רוטמן </w:t>
      </w:r>
      <w:bookmarkStart w:id="23692" w:name="_ETM_Q37_270000"/>
      <w:bookmarkEnd w:id="23692"/>
      <w:r>
        <w:rPr>
          <w:rFonts w:hint="cs"/>
          <w:rtl/>
          <w:lang w:eastAsia="he-IL"/>
        </w:rPr>
        <w:t xml:space="preserve">כינה מפגינים נגדו "מוגבלים". זה, אין לתאר. הוא </w:t>
      </w:r>
      <w:bookmarkStart w:id="23693" w:name="_ETM_Q37_266000"/>
      <w:bookmarkEnd w:id="23693"/>
      <w:r>
        <w:rPr>
          <w:rFonts w:hint="cs"/>
          <w:rtl/>
          <w:lang w:eastAsia="he-IL"/>
        </w:rPr>
        <w:t xml:space="preserve">חטף ממפגינה מגפון באלימות. אני מכירה את המפגינה הזאת, אישה מדהימה, פעילה </w:t>
      </w:r>
      <w:bookmarkStart w:id="23694" w:name="_ETM_Q37_285000"/>
      <w:bookmarkEnd w:id="23694"/>
      <w:r>
        <w:rPr>
          <w:rFonts w:hint="cs"/>
          <w:rtl/>
          <w:lang w:eastAsia="he-IL"/>
        </w:rPr>
        <w:t xml:space="preserve">חברתית, שומרת חוק, הוא פשוט קרע מצווארה את המגפון </w:t>
      </w:r>
      <w:bookmarkStart w:id="23695" w:name="_ETM_Q37_291000"/>
      <w:bookmarkEnd w:id="23695"/>
      <w:r>
        <w:rPr>
          <w:rFonts w:hint="cs"/>
          <w:rtl/>
          <w:lang w:eastAsia="he-IL"/>
        </w:rPr>
        <w:t>כאחרון האלימים. גם הוא חושב שאסור לכפות על רופא לתת טיפול, וצריך לאפשר את החוק שמאשר גזענות ואפליה במתן שירותי רפואה למטופלים. אז מתפלאים שהרופאים והרופאות חוששים ממה שקורה כאן – והשופטים.</w:t>
      </w:r>
    </w:p>
    <w:p w:rsidR="00BB59CD" w:rsidRDefault="00BB59CD" w:rsidP="00BB59CD">
      <w:pPr>
        <w:rPr>
          <w:rtl/>
          <w:lang w:eastAsia="he-IL"/>
        </w:rPr>
      </w:pPr>
    </w:p>
    <w:p w:rsidR="00BB59CD" w:rsidRDefault="00BB59CD" w:rsidP="000B2C80">
      <w:pPr>
        <w:rPr>
          <w:rtl/>
          <w:lang w:eastAsia="he-IL"/>
        </w:rPr>
      </w:pPr>
      <w:r>
        <w:rPr>
          <w:rFonts w:hint="cs"/>
          <w:rtl/>
          <w:lang w:eastAsia="he-IL"/>
        </w:rPr>
        <w:t xml:space="preserve">יש לנו פה כוכב רציני. תנחש מי </w:t>
      </w:r>
      <w:bookmarkStart w:id="23696" w:name="_ETM_Q37_320000"/>
      <w:bookmarkEnd w:id="23696"/>
      <w:r>
        <w:rPr>
          <w:rFonts w:hint="cs"/>
          <w:rtl/>
          <w:lang w:eastAsia="he-IL"/>
        </w:rPr>
        <w:t xml:space="preserve">הכוכב הרציני. אתה בטוח יודע. מי הכוכב הרציני של האמירות הכי </w:t>
      </w:r>
      <w:bookmarkStart w:id="23697" w:name="_ETM_Q37_325000"/>
      <w:bookmarkEnd w:id="23697"/>
      <w:r>
        <w:rPr>
          <w:rFonts w:hint="cs"/>
          <w:rtl/>
          <w:lang w:eastAsia="he-IL"/>
        </w:rPr>
        <w:t xml:space="preserve">מטורללות שיכולות להיות כלפי הציבור פה? אתה מחייך, אתה </w:t>
      </w:r>
      <w:bookmarkStart w:id="23698" w:name="_ETM_Q37_331000"/>
      <w:bookmarkEnd w:id="23698"/>
      <w:r>
        <w:rPr>
          <w:rFonts w:hint="cs"/>
          <w:rtl/>
          <w:lang w:eastAsia="he-IL"/>
        </w:rPr>
        <w:t>יודע, ואני לא אעמיד אותך במצב הזה. אני אגיד.</w:t>
      </w:r>
      <w:bookmarkStart w:id="23699" w:name="_ETM_Q37_336000"/>
      <w:bookmarkStart w:id="23700" w:name="_ETM_Q37_337000"/>
      <w:bookmarkEnd w:id="23699"/>
      <w:bookmarkEnd w:id="23700"/>
      <w:r>
        <w:rPr>
          <w:rFonts w:hint="cs"/>
          <w:rtl/>
          <w:lang w:eastAsia="he-IL"/>
        </w:rPr>
        <w:t xml:space="preserve"> חבר הכנסת ניסים ואטורי על הטייסים – במקרים אחרים </w:t>
      </w:r>
      <w:bookmarkStart w:id="23701" w:name="_ETM_Q37_342000"/>
      <w:bookmarkEnd w:id="23701"/>
      <w:r>
        <w:rPr>
          <w:rFonts w:hint="cs"/>
          <w:rtl/>
          <w:lang w:eastAsia="he-IL"/>
        </w:rPr>
        <w:t xml:space="preserve">לא היה גינוי, אני מזכירה: "אנשים שהם בוגדים בשדה הקרב, </w:t>
      </w:r>
      <w:bookmarkStart w:id="23702" w:name="_ETM_Q37_345000"/>
      <w:bookmarkEnd w:id="23702"/>
      <w:r>
        <w:rPr>
          <w:rFonts w:hint="cs"/>
          <w:rtl/>
          <w:lang w:eastAsia="he-IL"/>
        </w:rPr>
        <w:t xml:space="preserve">לוחם שבוגד בך, אני לא רוצה להגיד" – אבל אומר – "יורים </w:t>
      </w:r>
      <w:bookmarkStart w:id="23703" w:name="_ETM_Q37_349000"/>
      <w:bookmarkEnd w:id="23703"/>
      <w:r>
        <w:rPr>
          <w:rFonts w:hint="cs"/>
          <w:rtl/>
          <w:lang w:eastAsia="he-IL"/>
        </w:rPr>
        <w:t xml:space="preserve">בו. פשוט מוציאים אותו להורג בשדה הקרב". יפה, </w:t>
      </w:r>
      <w:bookmarkStart w:id="23704" w:name="_ETM_Q37_353000"/>
      <w:bookmarkEnd w:id="23704"/>
      <w:r>
        <w:rPr>
          <w:rFonts w:hint="cs"/>
          <w:rtl/>
          <w:lang w:eastAsia="he-IL"/>
        </w:rPr>
        <w:t xml:space="preserve">לפני תשעה באב אנשים פה אמרו דברים. </w:t>
      </w:r>
      <w:bookmarkStart w:id="23705" w:name="_ETM_Q37_356000"/>
      <w:bookmarkStart w:id="23706" w:name="_ETM_Q37_355000"/>
      <w:bookmarkEnd w:id="23705"/>
      <w:bookmarkEnd w:id="23706"/>
      <w:r>
        <w:rPr>
          <w:rFonts w:hint="cs"/>
          <w:rtl/>
          <w:lang w:eastAsia="he-IL"/>
        </w:rPr>
        <w:t>"רב</w:t>
      </w:r>
      <w:r w:rsidR="000B2C80">
        <w:rPr>
          <w:rFonts w:hint="cs"/>
          <w:rtl/>
          <w:lang w:eastAsia="he-IL"/>
        </w:rPr>
        <w:t>-</w:t>
      </w:r>
      <w:r>
        <w:rPr>
          <w:rFonts w:hint="cs"/>
          <w:rtl/>
          <w:lang w:eastAsia="he-IL"/>
        </w:rPr>
        <w:t xml:space="preserve">חובל – כשמישהו </w:t>
      </w:r>
      <w:bookmarkStart w:id="23707" w:name="_ETM_Q37_357000"/>
      <w:bookmarkEnd w:id="23707"/>
      <w:r>
        <w:rPr>
          <w:rFonts w:hint="cs"/>
          <w:rtl/>
          <w:lang w:eastAsia="he-IL"/>
        </w:rPr>
        <w:t xml:space="preserve">בוגד בספינה, מותר לירות עליו". הוא המשיך, "במדינות אחרות </w:t>
      </w:r>
      <w:bookmarkStart w:id="23708" w:name="_ETM_Q37_362000"/>
      <w:bookmarkEnd w:id="23708"/>
      <w:r>
        <w:rPr>
          <w:rFonts w:hint="cs"/>
          <w:rtl/>
          <w:lang w:eastAsia="he-IL"/>
        </w:rPr>
        <w:t xml:space="preserve">אהוד ברק היה מועמד לתלייה"; צה"ל זאת דיקטטורה, "את </w:t>
      </w:r>
      <w:bookmarkStart w:id="23709" w:name="_ETM_Q37_368000"/>
      <w:bookmarkEnd w:id="23709"/>
      <w:r>
        <w:rPr>
          <w:rFonts w:hint="cs"/>
          <w:rtl/>
          <w:lang w:eastAsia="he-IL"/>
        </w:rPr>
        <w:t xml:space="preserve">הסרבנים צריך לבעוט מפה"; על המפגינים – "אלה </w:t>
      </w:r>
      <w:bookmarkStart w:id="23710" w:name="_ETM_Q37_371000"/>
      <w:bookmarkEnd w:id="23710"/>
      <w:r>
        <w:rPr>
          <w:rFonts w:hint="cs"/>
          <w:rtl/>
          <w:lang w:eastAsia="he-IL"/>
        </w:rPr>
        <w:t xml:space="preserve">אנרכיסטים שתומכים בחמאס"; על הקהילה הגאה </w:t>
      </w:r>
      <w:r w:rsidR="000B2C80">
        <w:rPr>
          <w:rFonts w:hint="eastAsia"/>
          <w:rtl/>
          <w:lang w:eastAsia="he-IL"/>
        </w:rPr>
        <w:t>–</w:t>
      </w:r>
      <w:r w:rsidR="000B2C80">
        <w:rPr>
          <w:rFonts w:hint="cs"/>
          <w:rtl/>
          <w:lang w:eastAsia="he-IL"/>
        </w:rPr>
        <w:t xml:space="preserve"> </w:t>
      </w:r>
      <w:r>
        <w:rPr>
          <w:rFonts w:hint="cs"/>
          <w:rtl/>
          <w:lang w:eastAsia="he-IL"/>
        </w:rPr>
        <w:t xml:space="preserve">"יש הורים שמעודדים </w:t>
      </w:r>
      <w:bookmarkStart w:id="23711" w:name="_ETM_Q37_382000"/>
      <w:bookmarkEnd w:id="23711"/>
      <w:r>
        <w:rPr>
          <w:rFonts w:hint="cs"/>
          <w:rtl/>
          <w:lang w:eastAsia="he-IL"/>
        </w:rPr>
        <w:t xml:space="preserve">להט"ביות, יש הורים ששמים בובה לילד, כי נראה להם שהוא </w:t>
      </w:r>
      <w:bookmarkStart w:id="23712" w:name="_ETM_Q37_387000"/>
      <w:bookmarkEnd w:id="23712"/>
      <w:r>
        <w:rPr>
          <w:rFonts w:hint="cs"/>
          <w:rtl/>
          <w:lang w:eastAsia="he-IL"/>
        </w:rPr>
        <w:t>צריך להיות הומו". הזיה.</w:t>
      </w:r>
    </w:p>
    <w:p w:rsidR="00BB59CD" w:rsidRDefault="00BB59CD" w:rsidP="00BB59CD">
      <w:pPr>
        <w:rPr>
          <w:rtl/>
          <w:lang w:eastAsia="he-IL"/>
        </w:rPr>
      </w:pPr>
    </w:p>
    <w:p w:rsidR="00BB59CD" w:rsidRDefault="00BB59CD" w:rsidP="000B2C80">
      <w:pPr>
        <w:rPr>
          <w:rtl/>
          <w:lang w:eastAsia="he-IL"/>
        </w:rPr>
      </w:pPr>
      <w:r>
        <w:rPr>
          <w:rFonts w:hint="cs"/>
          <w:rtl/>
          <w:lang w:eastAsia="he-IL"/>
        </w:rPr>
        <w:t xml:space="preserve">נעבור לפינדרוס, יש עוד מלא דברים לוואטורי, כמו שתראה פה, אבל אנחנו </w:t>
      </w:r>
      <w:bookmarkStart w:id="23713" w:name="_ETM_Q37_403000"/>
      <w:bookmarkEnd w:id="23713"/>
      <w:r>
        <w:rPr>
          <w:rFonts w:hint="cs"/>
          <w:rtl/>
          <w:lang w:eastAsia="he-IL"/>
        </w:rPr>
        <w:t>נעבור רגע לפינדרוס</w:t>
      </w:r>
      <w:r w:rsidR="000B2C80">
        <w:rPr>
          <w:rFonts w:hint="cs"/>
          <w:rtl/>
          <w:lang w:eastAsia="he-IL"/>
        </w:rPr>
        <w:t xml:space="preserve">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יש לך עוד 20 דקות.</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3714" w:name="_ETM_Q37_404000"/>
      <w:bookmarkEnd w:id="23714"/>
      <w:r>
        <w:rPr>
          <w:rFonts w:hint="cs"/>
          <w:rtl/>
          <w:lang w:eastAsia="he-IL"/>
        </w:rPr>
        <w:t xml:space="preserve">אל תדאג, יש לי </w:t>
      </w:r>
      <w:bookmarkStart w:id="23715" w:name="_ETM_Q37_407000"/>
      <w:bookmarkEnd w:id="23715"/>
      <w:r>
        <w:rPr>
          <w:rFonts w:hint="cs"/>
          <w:rtl/>
          <w:lang w:eastAsia="he-IL"/>
        </w:rPr>
        <w:t xml:space="preserve">פה עוד דברים. </w:t>
      </w:r>
    </w:p>
    <w:p w:rsidR="00BB59CD" w:rsidRDefault="00BB59CD" w:rsidP="00BB59CD">
      <w:pPr>
        <w:rPr>
          <w:rtl/>
          <w:lang w:eastAsia="he-IL"/>
        </w:rPr>
      </w:pPr>
    </w:p>
    <w:p w:rsidR="00BB59CD" w:rsidRDefault="00BB59CD" w:rsidP="00BB59CD">
      <w:pPr>
        <w:pStyle w:val="af9"/>
        <w:keepNext/>
        <w:rPr>
          <w:rtl/>
        </w:rPr>
      </w:pPr>
      <w:bookmarkStart w:id="23716" w:name="ET_yor_6488_1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716"/>
    </w:p>
    <w:p w:rsidR="00BB59CD" w:rsidRDefault="00BB59CD" w:rsidP="00337201">
      <w:pPr>
        <w:rPr>
          <w:rtl/>
          <w:lang w:eastAsia="he-IL"/>
        </w:rPr>
      </w:pPr>
    </w:p>
    <w:p w:rsidR="00BB59CD" w:rsidRDefault="00BB59CD" w:rsidP="00BB59CD">
      <w:pPr>
        <w:rPr>
          <w:rtl/>
          <w:lang w:eastAsia="he-IL"/>
        </w:rPr>
      </w:pPr>
      <w:bookmarkStart w:id="23717" w:name="_ETM_Q37_411000"/>
      <w:bookmarkEnd w:id="23717"/>
      <w:r>
        <w:rPr>
          <w:rFonts w:hint="cs"/>
          <w:rtl/>
          <w:lang w:eastAsia="he-IL"/>
        </w:rPr>
        <w:t>אפילו חצי שעה,</w:t>
      </w:r>
      <w:bookmarkStart w:id="23718" w:name="_ETM_Q37_413000"/>
      <w:bookmarkEnd w:id="23718"/>
      <w:r>
        <w:rPr>
          <w:rFonts w:hint="cs"/>
          <w:rtl/>
          <w:lang w:eastAsia="he-IL"/>
        </w:rPr>
        <w:t xml:space="preserve"> ככל שתרצי להוסיף.</w:t>
      </w:r>
    </w:p>
    <w:p w:rsidR="00BB59CD" w:rsidRDefault="00BB59CD" w:rsidP="00BB59CD">
      <w:pPr>
        <w:rPr>
          <w:rtl/>
          <w:lang w:eastAsia="he-IL"/>
        </w:rPr>
      </w:pPr>
      <w:bookmarkStart w:id="23719" w:name="_ETM_Q37_414000"/>
      <w:bookmarkEnd w:id="23719"/>
    </w:p>
    <w:p w:rsidR="00BB59CD" w:rsidRDefault="00BB59CD" w:rsidP="00BB59CD">
      <w:pPr>
        <w:pStyle w:val="-"/>
        <w:keepNext/>
        <w:rPr>
          <w:rtl/>
        </w:rPr>
      </w:pPr>
      <w:bookmarkStart w:id="23720" w:name="ET_speakercontinue_6236_19"/>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720"/>
    </w:p>
    <w:p w:rsidR="00BB59CD" w:rsidRDefault="00BB59CD" w:rsidP="00337201">
      <w:pPr>
        <w:rPr>
          <w:rtl/>
          <w:lang w:eastAsia="he-IL"/>
        </w:rPr>
      </w:pPr>
    </w:p>
    <w:p w:rsidR="00BB59CD" w:rsidRDefault="000B2C80" w:rsidP="00BB59CD">
      <w:pPr>
        <w:rPr>
          <w:rtl/>
          <w:lang w:eastAsia="he-IL"/>
        </w:rPr>
      </w:pPr>
      <w:bookmarkStart w:id="23721" w:name="_ETM_Q37_408000"/>
      <w:bookmarkStart w:id="23722" w:name="_ETM_Q37_360013"/>
      <w:bookmarkStart w:id="23723" w:name="_ETM_Q37_360090"/>
      <w:bookmarkStart w:id="23724" w:name="_ETM_Q37_360656"/>
      <w:bookmarkStart w:id="23725" w:name="_ETM_Q37_360734"/>
      <w:bookmarkEnd w:id="23721"/>
      <w:bookmarkEnd w:id="23722"/>
      <w:bookmarkEnd w:id="23723"/>
      <w:bookmarkEnd w:id="23724"/>
      <w:bookmarkEnd w:id="23725"/>
      <w:r>
        <w:rPr>
          <w:rFonts w:hint="cs"/>
          <w:rtl/>
          <w:lang w:eastAsia="he-IL"/>
        </w:rPr>
        <w:t xml:space="preserve">- - </w:t>
      </w:r>
      <w:r w:rsidR="00BB59CD">
        <w:rPr>
          <w:rFonts w:hint="cs"/>
          <w:rtl/>
          <w:lang w:eastAsia="he-IL"/>
        </w:rPr>
        <w:t xml:space="preserve">הדבר הכי מסוכן למדינת ישראל, יותר מדאעש </w:t>
      </w:r>
      <w:bookmarkStart w:id="23726" w:name="_ETM_Q37_410000"/>
      <w:bookmarkEnd w:id="23726"/>
      <w:r w:rsidR="00BB59CD">
        <w:rPr>
          <w:rFonts w:hint="cs"/>
          <w:rtl/>
          <w:lang w:eastAsia="he-IL"/>
        </w:rPr>
        <w:t xml:space="preserve">וחיזבאללה, זה </w:t>
      </w:r>
      <w:bookmarkStart w:id="23727" w:name="_ETM_Q37_415000"/>
      <w:bookmarkEnd w:id="23727"/>
      <w:r w:rsidR="00BB59CD">
        <w:rPr>
          <w:rFonts w:hint="cs"/>
          <w:rtl/>
          <w:lang w:eastAsia="he-IL"/>
        </w:rPr>
        <w:t xml:space="preserve">הפריצות בעריות. במקבילה שלי אני צריך למנוע, לא רק </w:t>
      </w:r>
      <w:bookmarkStart w:id="23728" w:name="_ETM_Q37_420000"/>
      <w:bookmarkEnd w:id="23728"/>
      <w:r w:rsidR="00BB59CD">
        <w:rPr>
          <w:rFonts w:hint="cs"/>
          <w:rtl/>
          <w:lang w:eastAsia="he-IL"/>
        </w:rPr>
        <w:t>את מצעד הגאווה, אלא את התנועה הזאת.</w:t>
      </w:r>
    </w:p>
    <w:p w:rsidR="00BB59CD" w:rsidRDefault="00BB59CD" w:rsidP="00BB59CD">
      <w:pPr>
        <w:rPr>
          <w:rtl/>
          <w:lang w:eastAsia="he-IL"/>
        </w:rPr>
      </w:pPr>
      <w:bookmarkStart w:id="23729" w:name="_ETM_Q37_426000"/>
      <w:bookmarkEnd w:id="23729"/>
    </w:p>
    <w:p w:rsidR="00BB59CD" w:rsidRDefault="00BB59CD" w:rsidP="00BB59CD">
      <w:pPr>
        <w:rPr>
          <w:rtl/>
          <w:lang w:eastAsia="he-IL"/>
        </w:rPr>
      </w:pPr>
      <w:bookmarkStart w:id="23730" w:name="_ETM_Q37_427000"/>
      <w:bookmarkEnd w:id="23730"/>
      <w:r>
        <w:rPr>
          <w:rFonts w:hint="cs"/>
          <w:rtl/>
          <w:lang w:eastAsia="he-IL"/>
        </w:rPr>
        <w:t>השר לוין על המפגינים</w:t>
      </w:r>
      <w:bookmarkStart w:id="23731" w:name="_ETM_Q37_429000"/>
      <w:bookmarkEnd w:id="23731"/>
      <w:r>
        <w:rPr>
          <w:rFonts w:hint="cs"/>
          <w:rtl/>
          <w:lang w:eastAsia="he-IL"/>
        </w:rPr>
        <w:t xml:space="preserve">: קבוצה אלימה, מזל שלא שרפו דירה; היועמ"שית ומערכת האכיפה </w:t>
      </w:r>
      <w:bookmarkStart w:id="23732" w:name="_ETM_Q37_435000"/>
      <w:bookmarkEnd w:id="23732"/>
      <w:r>
        <w:rPr>
          <w:rFonts w:hint="cs"/>
          <w:rtl/>
          <w:lang w:eastAsia="he-IL"/>
        </w:rPr>
        <w:t>"קורצות לאלימים".</w:t>
      </w:r>
    </w:p>
    <w:p w:rsidR="00BB59CD" w:rsidRDefault="00BB59CD" w:rsidP="00BB59CD">
      <w:pPr>
        <w:rPr>
          <w:rtl/>
          <w:lang w:eastAsia="he-IL"/>
        </w:rPr>
      </w:pPr>
    </w:p>
    <w:p w:rsidR="00BB59CD" w:rsidRDefault="00BB59CD" w:rsidP="000B2C80">
      <w:pPr>
        <w:rPr>
          <w:rtl/>
          <w:lang w:eastAsia="he-IL"/>
        </w:rPr>
      </w:pPr>
      <w:bookmarkStart w:id="23733" w:name="_ETM_Q37_441000"/>
      <w:bookmarkEnd w:id="23733"/>
      <w:r>
        <w:rPr>
          <w:rFonts w:hint="cs"/>
          <w:rtl/>
          <w:lang w:eastAsia="he-IL"/>
        </w:rPr>
        <w:t xml:space="preserve">ראש הממשלה נתניהו, מי שחשבו עוד שיהיה </w:t>
      </w:r>
      <w:bookmarkStart w:id="23734" w:name="_ETM_Q37_445000"/>
      <w:bookmarkEnd w:id="23734"/>
      <w:r>
        <w:rPr>
          <w:rFonts w:hint="cs"/>
          <w:rtl/>
          <w:lang w:eastAsia="he-IL"/>
        </w:rPr>
        <w:t xml:space="preserve">מתון בממשלה הזאת: מובילי המחאה הם קבוצה קיצונית ומסוכנת שרוצה </w:t>
      </w:r>
      <w:bookmarkStart w:id="23735" w:name="_ETM_Q37_448000"/>
      <w:bookmarkEnd w:id="23735"/>
      <w:r>
        <w:rPr>
          <w:rFonts w:hint="cs"/>
          <w:rtl/>
          <w:lang w:eastAsia="he-IL"/>
        </w:rPr>
        <w:t xml:space="preserve">לשרוף את המועדון; אנרכיסטים, סרבנים, פוגעים בצה"ל ובביטחון המדינה. האיש שמפרק את צבא העם, מאשים את מי </w:t>
      </w:r>
      <w:bookmarkStart w:id="23736" w:name="_ETM_Q37_459000"/>
      <w:bookmarkEnd w:id="23736"/>
      <w:r>
        <w:rPr>
          <w:rFonts w:hint="cs"/>
          <w:rtl/>
          <w:lang w:eastAsia="he-IL"/>
        </w:rPr>
        <w:t>שמתריעים מפני שבירת כל טאבו, רעיון ותפיסת הישראליות כקולקטיב שיש לשמור עליו.</w:t>
      </w:r>
    </w:p>
    <w:p w:rsidR="00BB59CD" w:rsidRDefault="00BB59CD" w:rsidP="00BB59CD">
      <w:pPr>
        <w:rPr>
          <w:rtl/>
          <w:lang w:eastAsia="he-IL"/>
        </w:rPr>
      </w:pPr>
      <w:bookmarkStart w:id="23737" w:name="_ETM_Q37_471000"/>
      <w:bookmarkEnd w:id="23737"/>
    </w:p>
    <w:p w:rsidR="00BB59CD" w:rsidRDefault="00BB59CD" w:rsidP="000B2C80">
      <w:pPr>
        <w:rPr>
          <w:rtl/>
          <w:lang w:eastAsia="he-IL"/>
        </w:rPr>
      </w:pPr>
      <w:bookmarkStart w:id="23738" w:name="_ETM_Q37_472000"/>
      <w:bookmarkEnd w:id="23738"/>
      <w:r>
        <w:rPr>
          <w:rFonts w:hint="cs"/>
          <w:rtl/>
          <w:lang w:eastAsia="he-IL"/>
        </w:rPr>
        <w:t>יש</w:t>
      </w:r>
      <w:bookmarkStart w:id="23739" w:name="_ETM_Q37_473000"/>
      <w:bookmarkEnd w:id="23739"/>
      <w:r>
        <w:rPr>
          <w:rFonts w:hint="cs"/>
          <w:rtl/>
          <w:lang w:eastAsia="he-IL"/>
        </w:rPr>
        <w:t xml:space="preserve"> לנו גם את אלמוג כהן. אני אגיד מה שהוא אמר על מנהלת בן שמן: "אני מגיע אליכם לקייטנה, אני מפוצץ </w:t>
      </w:r>
      <w:bookmarkStart w:id="23740" w:name="_ETM_Q37_486000"/>
      <w:bookmarkEnd w:id="23740"/>
      <w:r>
        <w:rPr>
          <w:rFonts w:hint="cs"/>
          <w:rtl/>
          <w:lang w:eastAsia="he-IL"/>
        </w:rPr>
        <w:t xml:space="preserve">לכם את הקייטנה, ואני סוגר אתכם, בעזרת השם. איך סחבק?" </w:t>
      </w:r>
      <w:bookmarkStart w:id="23741" w:name="_ETM_Q37_491000"/>
      <w:bookmarkEnd w:id="23741"/>
      <w:r>
        <w:rPr>
          <w:rFonts w:hint="cs"/>
          <w:rtl/>
          <w:lang w:eastAsia="he-IL"/>
        </w:rPr>
        <w:t>רמה גבוהה, אין מה לומר.</w:t>
      </w:r>
      <w:bookmarkStart w:id="23742" w:name="_ETM_Q37_494000"/>
      <w:bookmarkEnd w:id="23742"/>
      <w:r>
        <w:rPr>
          <w:rFonts w:hint="cs"/>
          <w:rtl/>
          <w:lang w:eastAsia="he-IL"/>
        </w:rPr>
        <w:t xml:space="preserve"> על הח"כים הערבים: "אתה מדבר </w:t>
      </w:r>
      <w:bookmarkStart w:id="23743" w:name="_ETM_Q37_499000"/>
      <w:bookmarkEnd w:id="23743"/>
      <w:r>
        <w:rPr>
          <w:rFonts w:hint="cs"/>
          <w:rtl/>
          <w:lang w:eastAsia="he-IL"/>
        </w:rPr>
        <w:t>איתם בשפה שלהם, הם מבינים אותך, כמו כבש"</w:t>
      </w:r>
      <w:r w:rsidR="000B2C80">
        <w:rPr>
          <w:rFonts w:hint="cs"/>
          <w:rtl/>
          <w:lang w:eastAsia="he-IL"/>
        </w:rPr>
        <w:t>;</w:t>
      </w:r>
      <w:r>
        <w:rPr>
          <w:rFonts w:hint="cs"/>
          <w:rtl/>
          <w:lang w:eastAsia="he-IL"/>
        </w:rPr>
        <w:t xml:space="preserve"> אני לא </w:t>
      </w:r>
      <w:bookmarkStart w:id="23744" w:name="_ETM_Q37_501000"/>
      <w:bookmarkEnd w:id="23744"/>
      <w:r>
        <w:rPr>
          <w:rFonts w:hint="cs"/>
          <w:rtl/>
          <w:lang w:eastAsia="he-IL"/>
        </w:rPr>
        <w:t>אומר להם שקט בעברית, כי הם לא מבינים עברית. דוחה.</w:t>
      </w:r>
    </w:p>
    <w:p w:rsidR="00BB59CD" w:rsidRDefault="00BB59CD" w:rsidP="00BB59CD">
      <w:pPr>
        <w:rPr>
          <w:rtl/>
          <w:lang w:eastAsia="he-IL"/>
        </w:rPr>
      </w:pPr>
      <w:bookmarkStart w:id="23745" w:name="_ETM_Q37_509000"/>
      <w:bookmarkEnd w:id="2374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באיזה עמוד אני נמצא?</w:t>
      </w:r>
    </w:p>
    <w:p w:rsidR="00BB59CD" w:rsidRDefault="00BB59CD" w:rsidP="00BB59CD">
      <w:pPr>
        <w:rPr>
          <w:rtl/>
          <w:lang w:eastAsia="he-IL"/>
        </w:rPr>
      </w:pPr>
    </w:p>
    <w:p w:rsidR="00BB59CD" w:rsidRDefault="00BB59CD" w:rsidP="00BB59CD">
      <w:pPr>
        <w:pStyle w:val="-"/>
        <w:keepNext/>
        <w:rPr>
          <w:rtl/>
        </w:rPr>
      </w:pPr>
      <w:bookmarkStart w:id="23746" w:name="ET_speakercontinue_6236_11"/>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746"/>
    </w:p>
    <w:p w:rsidR="00BB59CD" w:rsidRDefault="00BB59CD" w:rsidP="00337201">
      <w:pPr>
        <w:rPr>
          <w:rtl/>
          <w:lang w:eastAsia="he-IL"/>
        </w:rPr>
      </w:pPr>
    </w:p>
    <w:p w:rsidR="00BB59CD" w:rsidRDefault="00BB59CD" w:rsidP="00BB59CD">
      <w:pPr>
        <w:rPr>
          <w:rtl/>
          <w:lang w:eastAsia="he-IL"/>
        </w:rPr>
      </w:pPr>
      <w:bookmarkStart w:id="23747" w:name="_ETM_Q37_516000"/>
      <w:bookmarkEnd w:id="23747"/>
      <w:r>
        <w:rPr>
          <w:rFonts w:hint="cs"/>
          <w:rtl/>
          <w:lang w:eastAsia="he-IL"/>
        </w:rPr>
        <w:t xml:space="preserve">אתה יודע איפה הבעיה שלך? שאתה לא מגנה, שאתה עומד מנגד, שאתה לא אומר "לא בשמי", כי בזמנים </w:t>
      </w:r>
      <w:bookmarkStart w:id="23748" w:name="_ETM_Q37_526000"/>
      <w:bookmarkEnd w:id="23748"/>
      <w:r>
        <w:rPr>
          <w:rFonts w:hint="cs"/>
          <w:rtl/>
          <w:lang w:eastAsia="he-IL"/>
        </w:rPr>
        <w:t xml:space="preserve">האלה אני בטוחה שאתה מתחלחל מהאמירות הללו, אני בטוחה שאתה </w:t>
      </w:r>
      <w:bookmarkStart w:id="23749" w:name="_ETM_Q37_529000"/>
      <w:bookmarkEnd w:id="23749"/>
      <w:r>
        <w:rPr>
          <w:rFonts w:hint="cs"/>
          <w:rtl/>
          <w:lang w:eastAsia="he-IL"/>
        </w:rPr>
        <w:t>יודע כמה זה קיצוני ומביש, אבל גם לעמוד מנגד ולא לגנות זאת עמדה.</w:t>
      </w:r>
    </w:p>
    <w:p w:rsidR="00BB59CD" w:rsidRDefault="00BB59CD" w:rsidP="00BB59CD">
      <w:pPr>
        <w:rPr>
          <w:rtl/>
          <w:lang w:eastAsia="he-IL"/>
        </w:rPr>
      </w:pPr>
    </w:p>
    <w:p w:rsidR="00BB59CD" w:rsidRDefault="00BB59CD" w:rsidP="000B2C80">
      <w:pPr>
        <w:rPr>
          <w:rtl/>
          <w:lang w:eastAsia="he-IL"/>
        </w:rPr>
      </w:pPr>
      <w:r>
        <w:rPr>
          <w:rFonts w:hint="cs"/>
          <w:rtl/>
          <w:lang w:eastAsia="he-IL"/>
        </w:rPr>
        <w:t xml:space="preserve">על אהרן ברק הוא אמר: צבוע חלול, היום בערב אנחנו מצביעים ואומרים לו: יאללה, ברה, </w:t>
      </w:r>
      <w:bookmarkStart w:id="23750" w:name="_ETM_Q37_544000"/>
      <w:bookmarkEnd w:id="23750"/>
      <w:r>
        <w:rPr>
          <w:rFonts w:hint="cs"/>
          <w:rtl/>
          <w:lang w:eastAsia="he-IL"/>
        </w:rPr>
        <w:t>גזגז. השותפים של</w:t>
      </w:r>
      <w:r w:rsidR="000B2C80">
        <w:rPr>
          <w:rFonts w:hint="cs"/>
          <w:rtl/>
          <w:lang w:eastAsia="he-IL"/>
        </w:rPr>
        <w:t>ך</w:t>
      </w:r>
      <w:r>
        <w:rPr>
          <w:rFonts w:hint="cs"/>
          <w:rtl/>
          <w:lang w:eastAsia="he-IL"/>
        </w:rPr>
        <w:t xml:space="preserve"> משהו, סוגה עילית.</w:t>
      </w:r>
    </w:p>
    <w:p w:rsidR="00BB59CD" w:rsidRDefault="00BB59CD" w:rsidP="00BB59CD">
      <w:pPr>
        <w:rPr>
          <w:rtl/>
          <w:lang w:eastAsia="he-IL"/>
        </w:rPr>
      </w:pPr>
    </w:p>
    <w:p w:rsidR="00BB59CD" w:rsidRDefault="00BB59CD" w:rsidP="00BB59CD">
      <w:pPr>
        <w:rPr>
          <w:rtl/>
          <w:lang w:eastAsia="he-IL"/>
        </w:rPr>
      </w:pPr>
      <w:bookmarkStart w:id="23751" w:name="_ETM_Q37_548000"/>
      <w:bookmarkEnd w:id="23751"/>
      <w:r>
        <w:rPr>
          <w:rFonts w:hint="cs"/>
          <w:rtl/>
          <w:lang w:eastAsia="he-IL"/>
        </w:rPr>
        <w:t xml:space="preserve">צבי סוכות, נעבור גם אותו. </w:t>
      </w:r>
      <w:bookmarkStart w:id="23752" w:name="_ETM_Q37_554000"/>
      <w:bookmarkEnd w:id="23752"/>
      <w:r>
        <w:rPr>
          <w:rFonts w:hint="cs"/>
          <w:rtl/>
          <w:lang w:eastAsia="he-IL"/>
        </w:rPr>
        <w:t>אני בוררת פה. יש פה מלא. טלי, יש אותך, רגע</w:t>
      </w:r>
      <w:r w:rsidR="000B2C80">
        <w:rPr>
          <w:rFonts w:hint="cs"/>
          <w:rtl/>
          <w:lang w:eastAsia="he-IL"/>
        </w:rPr>
        <w:t>,</w:t>
      </w:r>
      <w:r>
        <w:rPr>
          <w:rFonts w:hint="cs"/>
          <w:rtl/>
          <w:lang w:eastAsia="he-IL"/>
        </w:rPr>
        <w:t xml:space="preserve"> </w:t>
      </w:r>
      <w:bookmarkStart w:id="23753" w:name="_ETM_Q37_557000"/>
      <w:bookmarkEnd w:id="23753"/>
      <w:r>
        <w:rPr>
          <w:rFonts w:hint="cs"/>
          <w:rtl/>
          <w:lang w:eastAsia="he-IL"/>
        </w:rPr>
        <w:t>סליחה.</w:t>
      </w:r>
    </w:p>
    <w:p w:rsidR="00BB59CD" w:rsidRDefault="00BB59CD" w:rsidP="00BB59CD">
      <w:pPr>
        <w:rPr>
          <w:rtl/>
          <w:lang w:eastAsia="he-IL"/>
        </w:rPr>
      </w:pPr>
      <w:bookmarkStart w:id="23754" w:name="_ETM_Q37_556000"/>
      <w:bookmarkEnd w:id="23754"/>
    </w:p>
    <w:p w:rsidR="00BB59CD" w:rsidRDefault="00BB59CD" w:rsidP="00BB59CD">
      <w:pPr>
        <w:pStyle w:val="af8"/>
        <w:keepNext/>
        <w:rPr>
          <w:rtl/>
        </w:rPr>
      </w:pPr>
      <w:bookmarkStart w:id="23755" w:name="ET_interruption_6345_2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755"/>
    </w:p>
    <w:p w:rsidR="00BB59CD" w:rsidRDefault="00BB59CD" w:rsidP="00337201">
      <w:pPr>
        <w:rPr>
          <w:rtl/>
          <w:lang w:eastAsia="he-IL"/>
        </w:rPr>
      </w:pPr>
    </w:p>
    <w:p w:rsidR="00BB59CD" w:rsidRDefault="00BB59CD" w:rsidP="00BB59CD">
      <w:pPr>
        <w:rPr>
          <w:rtl/>
          <w:lang w:eastAsia="he-IL"/>
        </w:rPr>
      </w:pPr>
      <w:r>
        <w:rPr>
          <w:rFonts w:hint="cs"/>
          <w:rtl/>
          <w:lang w:eastAsia="he-IL"/>
        </w:rPr>
        <w:t>בבקשה.</w:t>
      </w:r>
    </w:p>
    <w:p w:rsidR="00BB59CD" w:rsidRDefault="00BB59CD" w:rsidP="00BB59CD">
      <w:pPr>
        <w:rPr>
          <w:rtl/>
          <w:lang w:eastAsia="he-IL"/>
        </w:rPr>
      </w:pPr>
    </w:p>
    <w:p w:rsidR="00BB59CD" w:rsidRDefault="00BB59CD" w:rsidP="00BB59CD">
      <w:pPr>
        <w:pStyle w:val="-"/>
        <w:keepNext/>
        <w:rPr>
          <w:rtl/>
        </w:rPr>
      </w:pPr>
      <w:bookmarkStart w:id="23756" w:name="ET_speakercontinue_6236_21"/>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756"/>
    </w:p>
    <w:p w:rsidR="00BB59CD" w:rsidRDefault="00BB59CD" w:rsidP="00337201">
      <w:pPr>
        <w:rPr>
          <w:rtl/>
          <w:lang w:eastAsia="he-IL"/>
        </w:rPr>
      </w:pPr>
    </w:p>
    <w:p w:rsidR="00BB59CD" w:rsidRDefault="00BB59CD" w:rsidP="00BB59CD">
      <w:pPr>
        <w:ind w:firstLine="0"/>
        <w:rPr>
          <w:rtl/>
          <w:lang w:eastAsia="he-IL"/>
        </w:rPr>
      </w:pPr>
      <w:bookmarkStart w:id="23757" w:name="_ETM_Q37_558000"/>
      <w:bookmarkEnd w:id="23757"/>
      <w:r>
        <w:rPr>
          <w:rFonts w:hint="cs"/>
          <w:rtl/>
          <w:lang w:eastAsia="he-IL"/>
        </w:rPr>
        <w:tab/>
        <w:t>אפילו הגשתי תלונה על הדבר הזה, על הנשיאה אסתר חיות.</w:t>
      </w:r>
    </w:p>
    <w:p w:rsidR="00BB59CD" w:rsidRDefault="00BB59CD" w:rsidP="00BB59CD">
      <w:pPr>
        <w:ind w:firstLine="0"/>
        <w:rPr>
          <w:rtl/>
          <w:lang w:eastAsia="he-IL"/>
        </w:rPr>
      </w:pPr>
    </w:p>
    <w:p w:rsidR="00BB59CD" w:rsidRDefault="00BB59CD" w:rsidP="00BB59CD">
      <w:pPr>
        <w:pStyle w:val="af8"/>
        <w:keepNext/>
        <w:rPr>
          <w:rtl/>
        </w:rPr>
      </w:pPr>
      <w:bookmarkStart w:id="23758" w:name="ET_interruption_6345_2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758"/>
    </w:p>
    <w:p w:rsidR="00BB59CD" w:rsidRDefault="00BB59CD" w:rsidP="00337201">
      <w:pPr>
        <w:rPr>
          <w:rtl/>
          <w:lang w:eastAsia="he-IL"/>
        </w:rPr>
      </w:pPr>
    </w:p>
    <w:p w:rsidR="00BB59CD" w:rsidRDefault="00BB59CD" w:rsidP="00BB59CD">
      <w:pPr>
        <w:rPr>
          <w:rtl/>
          <w:lang w:eastAsia="he-IL"/>
        </w:rPr>
      </w:pPr>
      <w:bookmarkStart w:id="23759" w:name="_ETM_Q37_563000"/>
      <w:bookmarkEnd w:id="23759"/>
      <w:r>
        <w:rPr>
          <w:rFonts w:hint="cs"/>
          <w:rtl/>
          <w:lang w:eastAsia="he-IL"/>
        </w:rPr>
        <w:t>תלונתך נדחתה.</w:t>
      </w:r>
      <w:r w:rsidR="000B2C80">
        <w:rPr>
          <w:rFonts w:hint="cs"/>
          <w:rtl/>
          <w:lang w:eastAsia="he-IL"/>
        </w:rPr>
        <w:t xml:space="preserve"> אה, התלונה </w:t>
      </w:r>
      <w:bookmarkStart w:id="23760" w:name="_ETM_Q0_21990838"/>
      <w:bookmarkEnd w:id="23760"/>
      <w:r w:rsidR="000B2C80">
        <w:rPr>
          <w:rFonts w:hint="cs"/>
          <w:rtl/>
          <w:lang w:eastAsia="he-IL"/>
        </w:rPr>
        <w:t xml:space="preserve">הזאת? </w:t>
      </w:r>
    </w:p>
    <w:p w:rsidR="00BB59CD" w:rsidRDefault="00BB59CD" w:rsidP="00BB59CD">
      <w:pPr>
        <w:rPr>
          <w:rtl/>
          <w:lang w:eastAsia="he-IL"/>
        </w:rPr>
      </w:pPr>
    </w:p>
    <w:p w:rsidR="00BB59CD" w:rsidRDefault="00BB59CD" w:rsidP="00BB59CD">
      <w:pPr>
        <w:pStyle w:val="-"/>
        <w:keepNext/>
        <w:rPr>
          <w:rtl/>
        </w:rPr>
      </w:pPr>
      <w:bookmarkStart w:id="23761" w:name="ET_speakercontinue_6236_2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761"/>
    </w:p>
    <w:p w:rsidR="00BB59CD" w:rsidRDefault="00BB59CD" w:rsidP="00337201">
      <w:pPr>
        <w:rPr>
          <w:rtl/>
          <w:lang w:eastAsia="he-IL"/>
        </w:rPr>
      </w:pPr>
    </w:p>
    <w:p w:rsidR="00BB59CD" w:rsidRDefault="00BB59CD" w:rsidP="00BB59CD">
      <w:pPr>
        <w:rPr>
          <w:rtl/>
          <w:lang w:eastAsia="he-IL"/>
        </w:rPr>
      </w:pPr>
      <w:bookmarkStart w:id="23762" w:name="_ETM_Q37_565000"/>
      <w:bookmarkEnd w:id="23762"/>
      <w:r>
        <w:rPr>
          <w:rFonts w:hint="cs"/>
          <w:rtl/>
          <w:lang w:eastAsia="he-IL"/>
        </w:rPr>
        <w:t>היא לא נדחתה. לקחו לך סמכויות באותו זמן.</w:t>
      </w:r>
    </w:p>
    <w:p w:rsidR="00BB59CD" w:rsidRDefault="00BB59CD" w:rsidP="00BB59CD">
      <w:pPr>
        <w:rPr>
          <w:rtl/>
          <w:lang w:eastAsia="he-IL"/>
        </w:rPr>
      </w:pPr>
      <w:bookmarkStart w:id="23763" w:name="_ETM_Q37_566000"/>
      <w:bookmarkEnd w:id="23763"/>
    </w:p>
    <w:p w:rsidR="00BB59CD" w:rsidRDefault="00BB59CD" w:rsidP="00BB59CD">
      <w:pPr>
        <w:pStyle w:val="af8"/>
        <w:keepNext/>
        <w:rPr>
          <w:rtl/>
        </w:rPr>
      </w:pPr>
      <w:bookmarkStart w:id="23764" w:name="ET_interruption_6345_2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764"/>
    </w:p>
    <w:p w:rsidR="00BB59CD" w:rsidRDefault="00BB59CD" w:rsidP="00337201">
      <w:pPr>
        <w:rPr>
          <w:rtl/>
          <w:lang w:eastAsia="he-IL"/>
        </w:rPr>
      </w:pPr>
    </w:p>
    <w:p w:rsidR="00BB59CD" w:rsidRDefault="00BB59CD" w:rsidP="00BB59CD">
      <w:pPr>
        <w:rPr>
          <w:rtl/>
          <w:lang w:eastAsia="he-IL"/>
        </w:rPr>
      </w:pPr>
      <w:bookmarkStart w:id="23765" w:name="_ETM_Q37_567000"/>
      <w:bookmarkEnd w:id="23765"/>
      <w:r>
        <w:rPr>
          <w:rFonts w:hint="cs"/>
          <w:rtl/>
          <w:lang w:eastAsia="he-IL"/>
        </w:rPr>
        <w:t xml:space="preserve">בסדר. </w:t>
      </w:r>
      <w:bookmarkStart w:id="23766" w:name="_ETM_Q37_569000"/>
      <w:bookmarkEnd w:id="23766"/>
      <w:r>
        <w:rPr>
          <w:rFonts w:hint="cs"/>
          <w:rtl/>
          <w:lang w:eastAsia="he-IL"/>
        </w:rPr>
        <w:t>נכון. תתביישי שהתלוננת על זה ופגעת בחופש הביטוי שלי.</w:t>
      </w:r>
    </w:p>
    <w:p w:rsidR="00BB59CD" w:rsidRDefault="00BB59CD" w:rsidP="00BB59CD">
      <w:pPr>
        <w:rPr>
          <w:rtl/>
          <w:lang w:eastAsia="he-IL"/>
        </w:rPr>
      </w:pPr>
      <w:bookmarkStart w:id="23767" w:name="_ETM_Q37_571000"/>
      <w:bookmarkEnd w:id="23767"/>
    </w:p>
    <w:p w:rsidR="00BB59CD" w:rsidRDefault="00BB59CD" w:rsidP="00BB59CD">
      <w:pPr>
        <w:pStyle w:val="-"/>
        <w:keepNext/>
        <w:rPr>
          <w:rtl/>
        </w:rPr>
      </w:pPr>
      <w:bookmarkStart w:id="23768" w:name="ET_speakercontinue_6236_2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768"/>
    </w:p>
    <w:p w:rsidR="00BB59CD" w:rsidRDefault="00BB59CD" w:rsidP="00337201">
      <w:pPr>
        <w:rPr>
          <w:rtl/>
          <w:lang w:eastAsia="he-IL"/>
        </w:rPr>
      </w:pPr>
    </w:p>
    <w:p w:rsidR="00BB59CD" w:rsidRDefault="00BB59CD" w:rsidP="00BB59CD">
      <w:pPr>
        <w:rPr>
          <w:rtl/>
          <w:lang w:eastAsia="he-IL"/>
        </w:rPr>
      </w:pPr>
      <w:bookmarkStart w:id="23769" w:name="_ETM_Q37_572000"/>
      <w:bookmarkEnd w:id="23769"/>
      <w:r>
        <w:rPr>
          <w:rFonts w:hint="cs"/>
          <w:rtl/>
          <w:lang w:eastAsia="he-IL"/>
        </w:rPr>
        <w:t>סליחה, ועדת האתיקה החליטה.</w:t>
      </w:r>
    </w:p>
    <w:p w:rsidR="00BB59CD" w:rsidRDefault="00BB59CD" w:rsidP="00BB59CD">
      <w:pPr>
        <w:rPr>
          <w:rtl/>
          <w:lang w:eastAsia="he-IL"/>
        </w:rPr>
      </w:pPr>
    </w:p>
    <w:p w:rsidR="00BB59CD" w:rsidRDefault="00BB59CD" w:rsidP="00BB59CD">
      <w:pPr>
        <w:pStyle w:val="af8"/>
        <w:keepNext/>
        <w:rPr>
          <w:rtl/>
        </w:rPr>
      </w:pPr>
      <w:bookmarkStart w:id="23770" w:name="ET_interruption_6345_2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770"/>
    </w:p>
    <w:p w:rsidR="00BB59CD" w:rsidRDefault="00BB59CD" w:rsidP="00337201">
      <w:pPr>
        <w:rPr>
          <w:rtl/>
          <w:lang w:eastAsia="he-IL"/>
        </w:rPr>
      </w:pPr>
    </w:p>
    <w:p w:rsidR="00BB59CD" w:rsidRDefault="00BB59CD" w:rsidP="00BB59CD">
      <w:pPr>
        <w:rPr>
          <w:rtl/>
          <w:lang w:eastAsia="he-IL"/>
        </w:rPr>
      </w:pPr>
      <w:bookmarkStart w:id="23771" w:name="_ETM_Q37_573000"/>
      <w:bookmarkEnd w:id="23771"/>
      <w:r>
        <w:rPr>
          <w:rFonts w:hint="cs"/>
          <w:rtl/>
          <w:lang w:eastAsia="he-IL"/>
        </w:rPr>
        <w:t xml:space="preserve">אני לא אתלונן עלייך, גם לא כשאת מדברת </w:t>
      </w:r>
      <w:bookmarkStart w:id="23772" w:name="_ETM_Q37_576000"/>
      <w:bookmarkEnd w:id="23772"/>
      <w:r>
        <w:rPr>
          <w:rFonts w:hint="cs"/>
          <w:rtl/>
          <w:lang w:eastAsia="he-IL"/>
        </w:rPr>
        <w:t xml:space="preserve">אליי הכי מגעיל בעולם. אף פעם אני לא הייתי מתלוננת </w:t>
      </w:r>
      <w:bookmarkStart w:id="23773" w:name="_ETM_Q37_579000"/>
      <w:bookmarkEnd w:id="23773"/>
      <w:r>
        <w:rPr>
          <w:rFonts w:hint="cs"/>
          <w:rtl/>
          <w:lang w:eastAsia="he-IL"/>
        </w:rPr>
        <w:t>עלייך, לא משנה מה. התלוננת על דעה לגיטימית שלי.</w:t>
      </w:r>
    </w:p>
    <w:p w:rsidR="00BB59CD" w:rsidRDefault="00BB59CD" w:rsidP="00BB59CD">
      <w:pPr>
        <w:rPr>
          <w:rtl/>
          <w:lang w:eastAsia="he-IL"/>
        </w:rPr>
      </w:pPr>
    </w:p>
    <w:p w:rsidR="00BB59CD" w:rsidRDefault="00BB59CD" w:rsidP="00BB59CD">
      <w:pPr>
        <w:pStyle w:val="-"/>
        <w:keepNext/>
        <w:rPr>
          <w:rtl/>
        </w:rPr>
      </w:pPr>
      <w:bookmarkStart w:id="23774" w:name="ET_speakercontinue_6236_27"/>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774"/>
    </w:p>
    <w:p w:rsidR="00BB59CD" w:rsidRDefault="00BB59CD" w:rsidP="00337201">
      <w:pPr>
        <w:rPr>
          <w:rtl/>
          <w:lang w:eastAsia="he-IL"/>
        </w:rPr>
      </w:pPr>
    </w:p>
    <w:p w:rsidR="00BB59CD" w:rsidRDefault="00BB59CD" w:rsidP="00BB59CD">
      <w:pPr>
        <w:rPr>
          <w:rtl/>
          <w:lang w:eastAsia="he-IL"/>
        </w:rPr>
      </w:pPr>
      <w:bookmarkStart w:id="23775" w:name="_ETM_Q37_581000"/>
      <w:bookmarkEnd w:id="23775"/>
      <w:r>
        <w:rPr>
          <w:rFonts w:hint="cs"/>
          <w:rtl/>
          <w:lang w:eastAsia="he-IL"/>
        </w:rPr>
        <w:t>טלי, את אמרת: אני מאשימה - -</w:t>
      </w:r>
    </w:p>
    <w:p w:rsidR="00BB59CD" w:rsidRDefault="00BB59CD" w:rsidP="00BB59CD">
      <w:pPr>
        <w:rPr>
          <w:rtl/>
          <w:lang w:eastAsia="he-IL"/>
        </w:rPr>
      </w:pPr>
    </w:p>
    <w:p w:rsidR="00BB59CD" w:rsidRDefault="00BB59CD" w:rsidP="00BB59CD">
      <w:pPr>
        <w:pStyle w:val="af8"/>
        <w:keepNext/>
        <w:rPr>
          <w:rtl/>
        </w:rPr>
      </w:pPr>
      <w:bookmarkStart w:id="23776" w:name="ET_interruption_6345_2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776"/>
    </w:p>
    <w:p w:rsidR="00BB59CD" w:rsidRDefault="00BB59CD" w:rsidP="00337201">
      <w:pPr>
        <w:rPr>
          <w:rtl/>
          <w:lang w:eastAsia="he-IL"/>
        </w:rPr>
      </w:pPr>
    </w:p>
    <w:p w:rsidR="00BB59CD" w:rsidRDefault="00BB59CD" w:rsidP="00BB59CD">
      <w:pPr>
        <w:rPr>
          <w:rtl/>
          <w:lang w:eastAsia="he-IL"/>
        </w:rPr>
      </w:pPr>
      <w:bookmarkStart w:id="23777" w:name="_ETM_Q37_582000"/>
      <w:bookmarkEnd w:id="23777"/>
      <w:r>
        <w:rPr>
          <w:rFonts w:hint="cs"/>
          <w:rtl/>
          <w:lang w:eastAsia="he-IL"/>
        </w:rPr>
        <w:t xml:space="preserve">אני </w:t>
      </w:r>
      <w:bookmarkStart w:id="23778" w:name="_ETM_Q37_583000"/>
      <w:bookmarkEnd w:id="23778"/>
      <w:r>
        <w:rPr>
          <w:rFonts w:hint="cs"/>
          <w:rtl/>
          <w:lang w:eastAsia="he-IL"/>
        </w:rPr>
        <w:t>מאשימה את חיות במצב בארץ.</w:t>
      </w:r>
    </w:p>
    <w:p w:rsidR="00BB59CD" w:rsidRDefault="00BB59CD" w:rsidP="00BB59CD">
      <w:pPr>
        <w:rPr>
          <w:rtl/>
          <w:lang w:eastAsia="he-IL"/>
        </w:rPr>
      </w:pPr>
      <w:bookmarkStart w:id="23779" w:name="_ETM_Q37_584000"/>
      <w:bookmarkEnd w:id="23779"/>
    </w:p>
    <w:p w:rsidR="00BB59CD" w:rsidRDefault="00BB59CD" w:rsidP="00BB59CD">
      <w:pPr>
        <w:pStyle w:val="-"/>
        <w:keepNext/>
        <w:rPr>
          <w:rtl/>
        </w:rPr>
      </w:pPr>
      <w:bookmarkStart w:id="23780" w:name="ET_speakercontinue_6236_29"/>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780"/>
    </w:p>
    <w:p w:rsidR="00BB59CD" w:rsidRDefault="00BB59CD" w:rsidP="00337201">
      <w:pPr>
        <w:rPr>
          <w:rtl/>
          <w:lang w:eastAsia="he-IL"/>
        </w:rPr>
      </w:pPr>
    </w:p>
    <w:p w:rsidR="00BB59CD" w:rsidRDefault="00BB59CD" w:rsidP="000B2C80">
      <w:pPr>
        <w:rPr>
          <w:rtl/>
          <w:lang w:eastAsia="he-IL"/>
        </w:rPr>
      </w:pPr>
      <w:bookmarkStart w:id="23781" w:name="_ETM_Q37_585000"/>
      <w:bookmarkEnd w:id="23781"/>
      <w:r>
        <w:rPr>
          <w:rFonts w:hint="cs"/>
          <w:rtl/>
          <w:lang w:eastAsia="he-IL"/>
        </w:rPr>
        <w:t>- - את נשיאת העליון אסתר חיות בפיגוע.</w:t>
      </w:r>
    </w:p>
    <w:p w:rsidR="00BB59CD" w:rsidRDefault="00BB59CD" w:rsidP="00BB59CD">
      <w:pPr>
        <w:rPr>
          <w:rtl/>
          <w:lang w:eastAsia="he-IL"/>
        </w:rPr>
      </w:pPr>
    </w:p>
    <w:p w:rsidR="00BB59CD" w:rsidRDefault="00BB59CD" w:rsidP="00BB59CD">
      <w:pPr>
        <w:pStyle w:val="af8"/>
        <w:keepNext/>
        <w:rPr>
          <w:rtl/>
        </w:rPr>
      </w:pPr>
      <w:bookmarkStart w:id="23782" w:name="ET_interruption_6345_3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782"/>
    </w:p>
    <w:p w:rsidR="00BB59CD" w:rsidRDefault="00BB59CD" w:rsidP="00337201">
      <w:pPr>
        <w:rPr>
          <w:rtl/>
          <w:lang w:eastAsia="he-IL"/>
        </w:rPr>
      </w:pPr>
    </w:p>
    <w:p w:rsidR="00BB59CD" w:rsidRDefault="00BB59CD" w:rsidP="00BB59CD">
      <w:pPr>
        <w:rPr>
          <w:rtl/>
          <w:lang w:eastAsia="he-IL"/>
        </w:rPr>
      </w:pPr>
      <w:bookmarkStart w:id="23783" w:name="_ETM_Q37_586000"/>
      <w:bookmarkEnd w:id="23783"/>
      <w:r>
        <w:rPr>
          <w:rFonts w:hint="cs"/>
          <w:rtl/>
          <w:lang w:eastAsia="he-IL"/>
        </w:rPr>
        <w:t xml:space="preserve">נכון. ממשיכה </w:t>
      </w:r>
      <w:bookmarkStart w:id="23784" w:name="_ETM_Q37_587000"/>
      <w:bookmarkEnd w:id="23784"/>
      <w:r>
        <w:rPr>
          <w:rFonts w:hint="cs"/>
          <w:rtl/>
          <w:lang w:eastAsia="he-IL"/>
        </w:rPr>
        <w:t>להאשים אותה. גם אם תסתמי לי את הפה, אני אמשיך לומר את זה.</w:t>
      </w:r>
    </w:p>
    <w:p w:rsidR="00BB59CD" w:rsidRDefault="00BB59CD" w:rsidP="00BB59CD">
      <w:pPr>
        <w:rPr>
          <w:rtl/>
          <w:lang w:eastAsia="he-IL"/>
        </w:rPr>
      </w:pPr>
      <w:bookmarkStart w:id="23785" w:name="_ETM_Q37_590000"/>
      <w:bookmarkEnd w:id="23785"/>
    </w:p>
    <w:p w:rsidR="00BB59CD" w:rsidRDefault="00BB59CD" w:rsidP="00BB59CD">
      <w:pPr>
        <w:pStyle w:val="-"/>
        <w:keepNext/>
        <w:rPr>
          <w:rtl/>
        </w:rPr>
      </w:pPr>
      <w:bookmarkStart w:id="23786" w:name="ET_speakercontinue_6236_31"/>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786"/>
    </w:p>
    <w:p w:rsidR="00BB59CD" w:rsidRDefault="00BB59CD" w:rsidP="00337201">
      <w:pPr>
        <w:rPr>
          <w:rtl/>
          <w:lang w:eastAsia="he-IL"/>
        </w:rPr>
      </w:pPr>
    </w:p>
    <w:p w:rsidR="00BB59CD" w:rsidRDefault="00BB59CD" w:rsidP="00BB59CD">
      <w:pPr>
        <w:rPr>
          <w:rtl/>
          <w:lang w:eastAsia="he-IL"/>
        </w:rPr>
      </w:pPr>
      <w:bookmarkStart w:id="23787" w:name="_ETM_Q37_589000"/>
      <w:bookmarkEnd w:id="23787"/>
      <w:r>
        <w:rPr>
          <w:rFonts w:hint="cs"/>
          <w:rtl/>
          <w:lang w:eastAsia="he-IL"/>
        </w:rPr>
        <w:t>אין לי מה לומר.</w:t>
      </w:r>
    </w:p>
    <w:p w:rsidR="00BB59CD" w:rsidRDefault="00BB59CD" w:rsidP="00BB59CD">
      <w:pPr>
        <w:rPr>
          <w:rtl/>
          <w:lang w:eastAsia="he-IL"/>
        </w:rPr>
      </w:pPr>
    </w:p>
    <w:p w:rsidR="00BB59CD" w:rsidRDefault="00BB59CD" w:rsidP="00BB59CD">
      <w:pPr>
        <w:pStyle w:val="af8"/>
        <w:keepNext/>
        <w:rPr>
          <w:rtl/>
        </w:rPr>
      </w:pPr>
      <w:bookmarkStart w:id="23788" w:name="ET_interruption_6345_3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788"/>
    </w:p>
    <w:p w:rsidR="00BB59CD" w:rsidRDefault="00BB59CD" w:rsidP="00337201">
      <w:pPr>
        <w:rPr>
          <w:rtl/>
          <w:lang w:eastAsia="he-IL"/>
        </w:rPr>
      </w:pPr>
    </w:p>
    <w:p w:rsidR="00BB59CD" w:rsidRDefault="00BB59CD" w:rsidP="00BB59CD">
      <w:pPr>
        <w:rPr>
          <w:rtl/>
          <w:lang w:eastAsia="he-IL"/>
        </w:rPr>
      </w:pPr>
      <w:bookmarkStart w:id="23789" w:name="_ETM_Q37_591000"/>
      <w:bookmarkEnd w:id="23789"/>
      <w:r>
        <w:rPr>
          <w:rFonts w:hint="cs"/>
          <w:rtl/>
          <w:lang w:eastAsia="he-IL"/>
        </w:rPr>
        <w:t>לא תוכלי לקחת לי את זה.</w:t>
      </w:r>
    </w:p>
    <w:p w:rsidR="00BB59CD" w:rsidRDefault="00BB59CD" w:rsidP="00BB59CD">
      <w:pPr>
        <w:rPr>
          <w:rtl/>
          <w:lang w:eastAsia="he-IL"/>
        </w:rPr>
      </w:pPr>
    </w:p>
    <w:p w:rsidR="00BB59CD" w:rsidRDefault="00BB59CD" w:rsidP="00BB59CD">
      <w:pPr>
        <w:pStyle w:val="-"/>
        <w:keepNext/>
        <w:rPr>
          <w:rtl/>
        </w:rPr>
      </w:pPr>
      <w:bookmarkStart w:id="23790" w:name="ET_speakercontinue_6236_3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790"/>
    </w:p>
    <w:p w:rsidR="00BB59CD" w:rsidRDefault="00BB59CD" w:rsidP="00337201">
      <w:pPr>
        <w:rPr>
          <w:rtl/>
          <w:lang w:eastAsia="he-IL"/>
        </w:rPr>
      </w:pPr>
    </w:p>
    <w:p w:rsidR="00BB59CD" w:rsidRDefault="00BB59CD" w:rsidP="00BB59CD">
      <w:pPr>
        <w:rPr>
          <w:rtl/>
          <w:lang w:eastAsia="he-IL"/>
        </w:rPr>
      </w:pPr>
      <w:bookmarkStart w:id="23791" w:name="_ETM_Q37_593000"/>
      <w:bookmarkEnd w:id="23791"/>
      <w:r>
        <w:rPr>
          <w:rFonts w:hint="cs"/>
          <w:rtl/>
          <w:lang w:eastAsia="he-IL"/>
        </w:rPr>
        <w:t>לפחות על סמלי שלטון אני אגן כאן.</w:t>
      </w:r>
    </w:p>
    <w:p w:rsidR="00BB59CD" w:rsidRDefault="00BB59CD" w:rsidP="00BB59CD">
      <w:pPr>
        <w:rPr>
          <w:rtl/>
          <w:lang w:eastAsia="he-IL"/>
        </w:rPr>
      </w:pPr>
      <w:bookmarkStart w:id="23792" w:name="_ETM_Q37_595000"/>
      <w:bookmarkEnd w:id="23792"/>
    </w:p>
    <w:p w:rsidR="00BB59CD" w:rsidRDefault="00BB59CD" w:rsidP="00BB59CD">
      <w:pPr>
        <w:pStyle w:val="af8"/>
        <w:keepNext/>
        <w:rPr>
          <w:rtl/>
        </w:rPr>
      </w:pPr>
      <w:bookmarkStart w:id="23793" w:name="ET_interruption_6345_3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793"/>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זה לא </w:t>
      </w:r>
      <w:bookmarkStart w:id="23794" w:name="_ETM_Q37_596000"/>
      <w:bookmarkEnd w:id="23794"/>
      <w:r>
        <w:rPr>
          <w:rFonts w:hint="cs"/>
          <w:rtl/>
          <w:lang w:eastAsia="he-IL"/>
        </w:rPr>
        <w:t>סמל שלטון. זה לא סמל שלטון.</w:t>
      </w:r>
    </w:p>
    <w:p w:rsidR="00BB59CD" w:rsidRDefault="00BB59CD" w:rsidP="00BB59CD">
      <w:pPr>
        <w:rPr>
          <w:rtl/>
          <w:lang w:eastAsia="he-IL"/>
        </w:rPr>
      </w:pPr>
    </w:p>
    <w:p w:rsidR="00BB59CD" w:rsidRDefault="00BB59CD" w:rsidP="00BB59CD">
      <w:pPr>
        <w:pStyle w:val="-"/>
        <w:keepNext/>
        <w:rPr>
          <w:rtl/>
        </w:rPr>
      </w:pPr>
      <w:bookmarkStart w:id="23795" w:name="ET_speakercontinue_6236_3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79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סליחה, נשיאת בית </w:t>
      </w:r>
      <w:r w:rsidR="000B2C80">
        <w:rPr>
          <w:rFonts w:hint="cs"/>
          <w:rtl/>
          <w:lang w:eastAsia="he-IL"/>
        </w:rPr>
        <w:t>ה</w:t>
      </w:r>
      <w:r>
        <w:rPr>
          <w:rFonts w:hint="cs"/>
          <w:rtl/>
          <w:lang w:eastAsia="he-IL"/>
        </w:rPr>
        <w:t xml:space="preserve">משפט </w:t>
      </w:r>
      <w:r w:rsidR="000B2C80">
        <w:rPr>
          <w:rFonts w:hint="cs"/>
          <w:rtl/>
          <w:lang w:eastAsia="he-IL"/>
        </w:rPr>
        <w:t>ה</w:t>
      </w:r>
      <w:r>
        <w:rPr>
          <w:rFonts w:hint="cs"/>
          <w:rtl/>
          <w:lang w:eastAsia="he-IL"/>
        </w:rPr>
        <w:t>עליון זה סמל שלטון.</w:t>
      </w:r>
    </w:p>
    <w:p w:rsidR="00BB59CD" w:rsidRDefault="00BB59CD" w:rsidP="00BB59CD">
      <w:pPr>
        <w:rPr>
          <w:rtl/>
          <w:lang w:eastAsia="he-IL"/>
        </w:rPr>
      </w:pPr>
    </w:p>
    <w:p w:rsidR="00BB59CD" w:rsidRDefault="00BB59CD" w:rsidP="00BB59CD">
      <w:pPr>
        <w:pStyle w:val="af8"/>
        <w:keepNext/>
        <w:rPr>
          <w:rtl/>
        </w:rPr>
      </w:pPr>
      <w:bookmarkStart w:id="23796" w:name="ET_interruption_6345_3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796"/>
    </w:p>
    <w:p w:rsidR="00BB59CD" w:rsidRDefault="00BB59CD" w:rsidP="00337201">
      <w:pPr>
        <w:rPr>
          <w:rtl/>
          <w:lang w:eastAsia="he-IL"/>
        </w:rPr>
      </w:pPr>
    </w:p>
    <w:p w:rsidR="00BB59CD" w:rsidRDefault="000B2C80" w:rsidP="000B2C80">
      <w:pPr>
        <w:rPr>
          <w:rtl/>
          <w:lang w:eastAsia="he-IL"/>
        </w:rPr>
      </w:pPr>
      <w:r>
        <w:rPr>
          <w:rFonts w:hint="cs"/>
          <w:rtl/>
          <w:lang w:eastAsia="he-IL"/>
        </w:rPr>
        <w:t xml:space="preserve">זה </w:t>
      </w:r>
      <w:r w:rsidR="00BB59CD">
        <w:rPr>
          <w:rFonts w:hint="cs"/>
          <w:rtl/>
          <w:lang w:eastAsia="he-IL"/>
        </w:rPr>
        <w:t xml:space="preserve">סמל שלטון שהפר כללי אתיקה </w:t>
      </w:r>
      <w:r>
        <w:rPr>
          <w:rFonts w:hint="cs"/>
          <w:rtl/>
          <w:lang w:eastAsia="he-IL"/>
        </w:rPr>
        <w:t xml:space="preserve">ויצא לציבור והפחיד את העם. </w:t>
      </w:r>
    </w:p>
    <w:p w:rsidR="00BB59CD" w:rsidRDefault="00BB59CD" w:rsidP="00BB59CD">
      <w:pPr>
        <w:rPr>
          <w:rtl/>
          <w:lang w:eastAsia="he-IL"/>
        </w:rPr>
      </w:pPr>
    </w:p>
    <w:p w:rsidR="00BB59CD" w:rsidRDefault="00BB59CD" w:rsidP="00BB59CD">
      <w:pPr>
        <w:pStyle w:val="-"/>
        <w:keepNext/>
        <w:rPr>
          <w:rtl/>
        </w:rPr>
      </w:pPr>
      <w:bookmarkStart w:id="23797" w:name="ET_speakercontinue_6236_37"/>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797"/>
    </w:p>
    <w:p w:rsidR="00BB59CD" w:rsidRDefault="00BB59CD" w:rsidP="00337201">
      <w:pPr>
        <w:rPr>
          <w:rtl/>
          <w:lang w:eastAsia="he-IL"/>
        </w:rPr>
      </w:pPr>
    </w:p>
    <w:p w:rsidR="00BB59CD" w:rsidRDefault="00BB59CD" w:rsidP="000B2C80">
      <w:pPr>
        <w:rPr>
          <w:rtl/>
          <w:lang w:eastAsia="he-IL"/>
        </w:rPr>
      </w:pPr>
      <w:bookmarkStart w:id="23798" w:name="_ETM_Q37_601000"/>
      <w:bookmarkEnd w:id="23798"/>
      <w:r>
        <w:rPr>
          <w:rFonts w:hint="cs"/>
          <w:rtl/>
          <w:lang w:eastAsia="he-IL"/>
        </w:rPr>
        <w:t xml:space="preserve">את מחליטה </w:t>
      </w:r>
      <w:bookmarkStart w:id="23799" w:name="_ETM_Q37_602000"/>
      <w:bookmarkEnd w:id="23799"/>
      <w:r>
        <w:rPr>
          <w:rFonts w:hint="cs"/>
          <w:rtl/>
          <w:lang w:eastAsia="he-IL"/>
        </w:rPr>
        <w:t>שזה כאילו לא סמל שלטון עכשיו.</w:t>
      </w:r>
      <w:r w:rsidR="000B2C80">
        <w:rPr>
          <w:rFonts w:hint="cs"/>
          <w:rtl/>
          <w:lang w:eastAsia="he-IL"/>
        </w:rPr>
        <w:t xml:space="preserve"> </w:t>
      </w:r>
      <w:bookmarkStart w:id="23800" w:name="_ETM_Q37_598000"/>
      <w:bookmarkStart w:id="23801" w:name="_ETM_Q37_604000"/>
      <w:bookmarkEnd w:id="23800"/>
      <w:bookmarkEnd w:id="23801"/>
      <w:r>
        <w:rPr>
          <w:rFonts w:hint="cs"/>
          <w:rtl/>
          <w:lang w:eastAsia="he-IL"/>
        </w:rPr>
        <w:t>כנראה גם לזה אתם חותרים.</w:t>
      </w:r>
    </w:p>
    <w:p w:rsidR="000B2C80" w:rsidRDefault="000B2C80" w:rsidP="000B2C80">
      <w:pPr>
        <w:rPr>
          <w:rtl/>
          <w:lang w:eastAsia="he-IL"/>
        </w:rPr>
      </w:pPr>
    </w:p>
    <w:p w:rsidR="000B2C80" w:rsidRDefault="000B2C80" w:rsidP="000B2C80">
      <w:pPr>
        <w:rPr>
          <w:rtl/>
          <w:lang w:eastAsia="he-IL"/>
        </w:rPr>
      </w:pPr>
      <w:r>
        <w:rPr>
          <w:rFonts w:hint="cs"/>
          <w:rtl/>
          <w:lang w:eastAsia="he-IL"/>
        </w:rPr>
        <w:t xml:space="preserve">אוקיי. צביקה פוגל. </w:t>
      </w:r>
    </w:p>
    <w:p w:rsidR="00BB59CD" w:rsidRDefault="00BB59CD" w:rsidP="00BB59CD">
      <w:pPr>
        <w:rPr>
          <w:rtl/>
          <w:lang w:eastAsia="he-IL"/>
        </w:rPr>
      </w:pPr>
      <w:bookmarkStart w:id="23802" w:name="_ETM_Q37_605000"/>
      <w:bookmarkEnd w:id="23802"/>
    </w:p>
    <w:p w:rsidR="00BB59CD" w:rsidRDefault="00BB59CD" w:rsidP="00BB59CD">
      <w:pPr>
        <w:pStyle w:val="af8"/>
        <w:keepNext/>
        <w:rPr>
          <w:rtl/>
        </w:rPr>
      </w:pPr>
      <w:bookmarkStart w:id="23803" w:name="ET_interruption_6345_4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03"/>
    </w:p>
    <w:p w:rsidR="00BB59CD" w:rsidRDefault="00BB59CD" w:rsidP="00337201">
      <w:pPr>
        <w:rPr>
          <w:rtl/>
          <w:lang w:eastAsia="he-IL"/>
        </w:rPr>
      </w:pPr>
    </w:p>
    <w:p w:rsidR="00BB59CD" w:rsidRDefault="00BB59CD" w:rsidP="000B2C80">
      <w:pPr>
        <w:rPr>
          <w:rtl/>
          <w:lang w:eastAsia="he-IL"/>
        </w:rPr>
      </w:pPr>
      <w:bookmarkStart w:id="23804" w:name="_ETM_Q37_603000"/>
      <w:bookmarkEnd w:id="23804"/>
      <w:r>
        <w:rPr>
          <w:rFonts w:hint="cs"/>
          <w:rtl/>
          <w:lang w:eastAsia="he-IL"/>
        </w:rPr>
        <w:t>סמל שלטון היא לא. היא לא סמל שלטון.</w:t>
      </w:r>
      <w:r w:rsidR="000B2C80">
        <w:rPr>
          <w:rFonts w:hint="cs"/>
          <w:rtl/>
          <w:lang w:eastAsia="he-IL"/>
        </w:rPr>
        <w:t xml:space="preserve"> </w:t>
      </w:r>
      <w:bookmarkStart w:id="23805" w:name="_ETM_Q37_607000"/>
      <w:bookmarkStart w:id="23806" w:name="_ETM_Q37_609000"/>
      <w:bookmarkEnd w:id="23805"/>
      <w:bookmarkEnd w:id="23806"/>
      <w:r>
        <w:rPr>
          <w:rFonts w:hint="cs"/>
          <w:rtl/>
          <w:lang w:eastAsia="he-IL"/>
        </w:rPr>
        <w:t>סמל שלטון זה חבר כנסת שיש לו חופש ביטוי לומר דעותיו.</w:t>
      </w:r>
    </w:p>
    <w:p w:rsidR="00BB59CD" w:rsidRDefault="00BB59CD" w:rsidP="00BB59CD">
      <w:pPr>
        <w:rPr>
          <w:rtl/>
          <w:lang w:eastAsia="he-IL"/>
        </w:rPr>
      </w:pPr>
      <w:bookmarkStart w:id="23807" w:name="_ETM_Q37_610000"/>
      <w:bookmarkEnd w:id="23807"/>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3808" w:name="_ETM_Q37_611000"/>
      <w:bookmarkEnd w:id="23808"/>
      <w:r>
        <w:rPr>
          <w:rFonts w:hint="cs"/>
          <w:rtl/>
          <w:lang w:eastAsia="he-IL"/>
        </w:rPr>
        <w:t xml:space="preserve">תעצור לי בינתיים את </w:t>
      </w:r>
      <w:bookmarkStart w:id="23809" w:name="_ETM_Q37_612000"/>
      <w:bookmarkEnd w:id="23809"/>
      <w:r>
        <w:rPr>
          <w:rFonts w:hint="cs"/>
          <w:rtl/>
          <w:lang w:eastAsia="he-IL"/>
        </w:rPr>
        <w:t>השעון?</w:t>
      </w:r>
    </w:p>
    <w:p w:rsidR="00BB59CD" w:rsidRDefault="00BB59CD" w:rsidP="00BB59CD">
      <w:pPr>
        <w:rPr>
          <w:rtl/>
          <w:lang w:eastAsia="he-IL"/>
        </w:rPr>
      </w:pPr>
    </w:p>
    <w:p w:rsidR="00BB59CD" w:rsidRDefault="00BB59CD" w:rsidP="00BB59CD">
      <w:pPr>
        <w:pStyle w:val="af8"/>
        <w:keepNext/>
        <w:rPr>
          <w:rtl/>
        </w:rPr>
      </w:pPr>
      <w:bookmarkStart w:id="23810" w:name="ET_interruption_6345_4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10"/>
    </w:p>
    <w:p w:rsidR="00BB59CD" w:rsidRDefault="00BB59CD" w:rsidP="00337201">
      <w:pPr>
        <w:rPr>
          <w:rtl/>
          <w:lang w:eastAsia="he-IL"/>
        </w:rPr>
      </w:pPr>
    </w:p>
    <w:p w:rsidR="00BB59CD" w:rsidRDefault="00BB59CD" w:rsidP="000B2C80">
      <w:pPr>
        <w:rPr>
          <w:rtl/>
          <w:lang w:eastAsia="he-IL"/>
        </w:rPr>
      </w:pPr>
      <w:bookmarkStart w:id="23811" w:name="_ETM_Q37_613000"/>
      <w:bookmarkEnd w:id="23811"/>
      <w:r>
        <w:rPr>
          <w:rFonts w:hint="cs"/>
          <w:rtl/>
          <w:lang w:eastAsia="he-IL"/>
        </w:rPr>
        <w:t xml:space="preserve">את רצית לסתום לי את הפה. אני, גם כשאת מדברת </w:t>
      </w:r>
      <w:bookmarkStart w:id="23812" w:name="_ETM_Q37_616000"/>
      <w:bookmarkEnd w:id="23812"/>
      <w:r>
        <w:rPr>
          <w:rFonts w:hint="cs"/>
          <w:rtl/>
          <w:lang w:eastAsia="he-IL"/>
        </w:rPr>
        <w:t>בצורה לא הגונה כלפיי, אני לא אתלונן עלייך.</w:t>
      </w:r>
    </w:p>
    <w:p w:rsidR="00BB59CD" w:rsidRDefault="00BB59CD" w:rsidP="00BB59CD">
      <w:pPr>
        <w:rPr>
          <w:rtl/>
          <w:lang w:eastAsia="he-IL"/>
        </w:rPr>
      </w:pPr>
      <w:bookmarkStart w:id="23813" w:name="_ETM_Q37_617000"/>
      <w:bookmarkEnd w:id="23813"/>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3814" w:name="_ETM_Q37_618000"/>
      <w:bookmarkEnd w:id="23814"/>
      <w:r>
        <w:rPr>
          <w:rFonts w:hint="cs"/>
          <w:rtl/>
          <w:lang w:eastAsia="he-IL"/>
        </w:rPr>
        <w:t>מה אמרתי לא הגון? אין. אין משהו בוועדת האתיקה.</w:t>
      </w:r>
    </w:p>
    <w:p w:rsidR="00BB59CD" w:rsidRDefault="00BB59CD" w:rsidP="00BB59CD">
      <w:pPr>
        <w:rPr>
          <w:rtl/>
          <w:lang w:eastAsia="he-IL"/>
        </w:rPr>
      </w:pPr>
      <w:bookmarkStart w:id="23815" w:name="_ETM_Q37_620000"/>
      <w:bookmarkEnd w:id="23815"/>
    </w:p>
    <w:p w:rsidR="00BB59CD" w:rsidRDefault="00BB59CD" w:rsidP="00BB59CD">
      <w:pPr>
        <w:pStyle w:val="af8"/>
        <w:keepNext/>
        <w:rPr>
          <w:rtl/>
        </w:rPr>
      </w:pPr>
      <w:bookmarkStart w:id="23816" w:name="ET_interruption_6345_4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16"/>
    </w:p>
    <w:p w:rsidR="00BB59CD" w:rsidRDefault="00BB59CD" w:rsidP="00337201">
      <w:pPr>
        <w:rPr>
          <w:rtl/>
          <w:lang w:eastAsia="he-IL"/>
        </w:rPr>
      </w:pPr>
    </w:p>
    <w:p w:rsidR="00BB59CD" w:rsidRDefault="00BB59CD" w:rsidP="00BB59CD">
      <w:pPr>
        <w:rPr>
          <w:rtl/>
          <w:lang w:eastAsia="he-IL"/>
        </w:rPr>
      </w:pPr>
      <w:bookmarkStart w:id="23817" w:name="_ETM_Q37_621000"/>
      <w:bookmarkEnd w:id="23817"/>
      <w:r>
        <w:rPr>
          <w:rFonts w:hint="cs"/>
          <w:rtl/>
          <w:lang w:eastAsia="he-IL"/>
        </w:rPr>
        <w:t xml:space="preserve">ממש לא. לא פעם ולא </w:t>
      </w:r>
      <w:bookmarkStart w:id="23818" w:name="_ETM_Q37_624000"/>
      <w:bookmarkEnd w:id="23818"/>
      <w:r>
        <w:rPr>
          <w:rFonts w:hint="cs"/>
          <w:rtl/>
          <w:lang w:eastAsia="he-IL"/>
        </w:rPr>
        <w:t xml:space="preserve">פעמיים, אבל אני מכבדת את זה שאת אומרת דברים בעידנא </w:t>
      </w:r>
      <w:bookmarkStart w:id="23819" w:name="_ETM_Q37_627000"/>
      <w:bookmarkEnd w:id="23819"/>
      <w:r>
        <w:rPr>
          <w:rFonts w:hint="cs"/>
          <w:rtl/>
          <w:lang w:eastAsia="he-IL"/>
        </w:rPr>
        <w:t>דרתחא. אני לא אלך להתלונן עלייך.</w:t>
      </w:r>
    </w:p>
    <w:p w:rsidR="00BB59CD" w:rsidRDefault="00BB59CD" w:rsidP="00BB59CD">
      <w:pPr>
        <w:rPr>
          <w:rtl/>
          <w:lang w:eastAsia="he-IL"/>
        </w:rPr>
      </w:pPr>
    </w:p>
    <w:p w:rsidR="00BB59CD" w:rsidRDefault="00BB59CD" w:rsidP="00BB59CD">
      <w:pPr>
        <w:pStyle w:val="-"/>
        <w:keepNext/>
        <w:rPr>
          <w:rtl/>
        </w:rPr>
      </w:pPr>
      <w:bookmarkStart w:id="23820" w:name="ET_speakercontinue_6236_47"/>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20"/>
    </w:p>
    <w:p w:rsidR="00BB59CD" w:rsidRDefault="00BB59CD" w:rsidP="00337201">
      <w:pPr>
        <w:rPr>
          <w:rtl/>
          <w:lang w:eastAsia="he-IL"/>
        </w:rPr>
      </w:pPr>
    </w:p>
    <w:p w:rsidR="00BB59CD" w:rsidRDefault="00BB59CD" w:rsidP="00BB59CD">
      <w:pPr>
        <w:rPr>
          <w:rtl/>
          <w:lang w:eastAsia="he-IL"/>
        </w:rPr>
      </w:pPr>
      <w:bookmarkStart w:id="23821" w:name="_ETM_Q37_628000"/>
      <w:bookmarkEnd w:id="23821"/>
      <w:r>
        <w:rPr>
          <w:rFonts w:hint="cs"/>
          <w:rtl/>
          <w:lang w:eastAsia="he-IL"/>
        </w:rPr>
        <w:t xml:space="preserve">טלי, אי-אפשר להאשים נשיאת בית </w:t>
      </w:r>
      <w:bookmarkStart w:id="23822" w:name="_ETM_Q37_631000"/>
      <w:bookmarkEnd w:id="23822"/>
      <w:r>
        <w:rPr>
          <w:rFonts w:hint="cs"/>
          <w:rtl/>
          <w:lang w:eastAsia="he-IL"/>
        </w:rPr>
        <w:t>משפט עליון בפיגוע טרור. מה לעשות, יש כללים במקום הזה.</w:t>
      </w:r>
    </w:p>
    <w:p w:rsidR="00BB59CD" w:rsidRDefault="00BB59CD" w:rsidP="00BB59CD">
      <w:pPr>
        <w:rPr>
          <w:rtl/>
          <w:lang w:eastAsia="he-IL"/>
        </w:rPr>
      </w:pPr>
      <w:bookmarkStart w:id="23823" w:name="_ETM_Q37_630000"/>
      <w:bookmarkEnd w:id="23823"/>
    </w:p>
    <w:p w:rsidR="00BB59CD" w:rsidRDefault="00BB59CD" w:rsidP="00BB59CD">
      <w:pPr>
        <w:pStyle w:val="af8"/>
        <w:keepNext/>
        <w:rPr>
          <w:rtl/>
        </w:rPr>
      </w:pPr>
      <w:bookmarkStart w:id="23824" w:name="ET_interruption_6345_4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24"/>
    </w:p>
    <w:p w:rsidR="00BB59CD" w:rsidRDefault="00BB59CD" w:rsidP="00337201">
      <w:pPr>
        <w:rPr>
          <w:rtl/>
          <w:lang w:eastAsia="he-IL"/>
        </w:rPr>
      </w:pPr>
    </w:p>
    <w:p w:rsidR="00BB59CD" w:rsidRDefault="00BB59CD" w:rsidP="00BB59CD">
      <w:pPr>
        <w:rPr>
          <w:rtl/>
          <w:lang w:eastAsia="he-IL"/>
        </w:rPr>
      </w:pPr>
      <w:bookmarkStart w:id="23825" w:name="_ETM_Q37_632000"/>
      <w:bookmarkEnd w:id="23825"/>
      <w:r>
        <w:rPr>
          <w:rFonts w:hint="cs"/>
          <w:rtl/>
          <w:lang w:eastAsia="he-IL"/>
        </w:rPr>
        <w:t>אני</w:t>
      </w:r>
      <w:bookmarkStart w:id="23826" w:name="_ETM_Q37_634000"/>
      <w:bookmarkEnd w:id="23826"/>
      <w:r>
        <w:rPr>
          <w:rFonts w:hint="cs"/>
          <w:rtl/>
          <w:lang w:eastAsia="he-IL"/>
        </w:rPr>
        <w:t xml:space="preserve"> מאשימה אותה. אבל</w:t>
      </w:r>
      <w:bookmarkStart w:id="23827" w:name="_ETM_Q37_641605"/>
      <w:bookmarkEnd w:id="23827"/>
      <w:r>
        <w:rPr>
          <w:rFonts w:hint="cs"/>
          <w:rtl/>
          <w:lang w:eastAsia="he-IL"/>
        </w:rPr>
        <w:t xml:space="preserve"> זכותי להאשים אותה.</w:t>
      </w:r>
      <w:r w:rsidR="000B2C80">
        <w:rPr>
          <w:rFonts w:hint="cs"/>
          <w:rtl/>
          <w:lang w:eastAsia="he-IL"/>
        </w:rPr>
        <w:t xml:space="preserve"> זכותי להאשים אותה. </w:t>
      </w:r>
    </w:p>
    <w:p w:rsidR="00BB59CD" w:rsidRDefault="00BB59CD" w:rsidP="00BB59CD">
      <w:pPr>
        <w:rPr>
          <w:rtl/>
          <w:lang w:eastAsia="he-IL"/>
        </w:rPr>
      </w:pPr>
    </w:p>
    <w:p w:rsidR="00BB59CD" w:rsidRDefault="00BB59CD" w:rsidP="00BB59CD">
      <w:pPr>
        <w:pStyle w:val="-"/>
        <w:keepNext/>
        <w:rPr>
          <w:rtl/>
        </w:rPr>
      </w:pPr>
      <w:bookmarkStart w:id="23828" w:name="ET_speakercontinue_6236_49"/>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28"/>
    </w:p>
    <w:p w:rsidR="00BB59CD" w:rsidRDefault="00BB59CD" w:rsidP="00337201">
      <w:pPr>
        <w:rPr>
          <w:rtl/>
          <w:lang w:eastAsia="he-IL"/>
        </w:rPr>
      </w:pPr>
    </w:p>
    <w:p w:rsidR="00BB59CD" w:rsidRDefault="00BB59CD" w:rsidP="000B2C80">
      <w:pPr>
        <w:rPr>
          <w:rtl/>
          <w:lang w:eastAsia="he-IL"/>
        </w:rPr>
      </w:pPr>
      <w:bookmarkStart w:id="23829" w:name="_ETM_Q37_635000"/>
      <w:bookmarkEnd w:id="23829"/>
      <w:r>
        <w:rPr>
          <w:rFonts w:hint="cs"/>
          <w:rtl/>
          <w:lang w:eastAsia="he-IL"/>
        </w:rPr>
        <w:t>אנחנו במשכן הזה צריכים להיות מגדלור.</w:t>
      </w:r>
      <w:bookmarkStart w:id="23830" w:name="_ETM_Q37_639000"/>
      <w:bookmarkEnd w:id="23830"/>
      <w:r w:rsidR="000B2C80">
        <w:rPr>
          <w:rFonts w:hint="cs"/>
          <w:rtl/>
          <w:lang w:eastAsia="he-IL"/>
        </w:rPr>
        <w:t xml:space="preserve"> </w:t>
      </w:r>
      <w:r>
        <w:rPr>
          <w:rFonts w:hint="cs"/>
          <w:rtl/>
          <w:lang w:eastAsia="he-IL"/>
        </w:rPr>
        <w:t>עובדה, ועדת האתיקה פסלה את הזכות הזאת.</w:t>
      </w:r>
    </w:p>
    <w:p w:rsidR="00BB59CD" w:rsidRDefault="00BB59CD" w:rsidP="00BB59CD">
      <w:pPr>
        <w:rPr>
          <w:rtl/>
          <w:lang w:eastAsia="he-IL"/>
        </w:rPr>
      </w:pPr>
      <w:bookmarkStart w:id="23831" w:name="_ETM_Q37_641000"/>
      <w:bookmarkEnd w:id="23831"/>
    </w:p>
    <w:p w:rsidR="00BB59CD" w:rsidRDefault="00BB59CD" w:rsidP="00BB59CD">
      <w:pPr>
        <w:pStyle w:val="af8"/>
        <w:keepNext/>
        <w:rPr>
          <w:rtl/>
        </w:rPr>
      </w:pPr>
      <w:bookmarkStart w:id="23832" w:name="ET_interruption_6345_5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32"/>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לצערי הרב. </w:t>
      </w:r>
      <w:bookmarkStart w:id="23833" w:name="_ETM_Q37_642000"/>
      <w:bookmarkEnd w:id="23833"/>
      <w:r>
        <w:rPr>
          <w:rFonts w:hint="cs"/>
          <w:rtl/>
          <w:lang w:eastAsia="he-IL"/>
        </w:rPr>
        <w:t>זאת טעות, ואני אמשיך להגיד את זה.</w:t>
      </w:r>
    </w:p>
    <w:p w:rsidR="00BB59CD" w:rsidRDefault="00BB59CD" w:rsidP="00BB59CD">
      <w:pPr>
        <w:rPr>
          <w:rtl/>
          <w:lang w:eastAsia="he-IL"/>
        </w:rPr>
      </w:pPr>
    </w:p>
    <w:p w:rsidR="00BB59CD" w:rsidRDefault="00BB59CD" w:rsidP="00BB59CD">
      <w:pPr>
        <w:pStyle w:val="-"/>
        <w:keepNext/>
        <w:rPr>
          <w:rtl/>
        </w:rPr>
      </w:pPr>
      <w:bookmarkStart w:id="23834" w:name="ET_speakercontinue_6236_5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34"/>
    </w:p>
    <w:p w:rsidR="00BB59CD" w:rsidRDefault="00BB59CD" w:rsidP="00337201">
      <w:pPr>
        <w:rPr>
          <w:rtl/>
          <w:lang w:eastAsia="he-IL"/>
        </w:rPr>
      </w:pPr>
    </w:p>
    <w:p w:rsidR="00BB59CD" w:rsidRDefault="00BB59CD" w:rsidP="00BB59CD">
      <w:pPr>
        <w:rPr>
          <w:rtl/>
          <w:lang w:eastAsia="he-IL"/>
        </w:rPr>
      </w:pPr>
      <w:bookmarkStart w:id="23835" w:name="_ETM_Q37_645000"/>
      <w:bookmarkEnd w:id="23835"/>
      <w:r>
        <w:rPr>
          <w:rFonts w:hint="cs"/>
          <w:rtl/>
          <w:lang w:eastAsia="he-IL"/>
        </w:rPr>
        <w:t xml:space="preserve">אתם רוצים פה משהו </w:t>
      </w:r>
      <w:bookmarkStart w:id="23836" w:name="_ETM_Q37_648000"/>
      <w:bookmarkEnd w:id="23836"/>
      <w:r>
        <w:rPr>
          <w:rFonts w:hint="cs"/>
          <w:rtl/>
          <w:lang w:eastAsia="he-IL"/>
        </w:rPr>
        <w:t>פרוץ, אתם רוצים שלא יהיו פה כללים.</w:t>
      </w:r>
    </w:p>
    <w:p w:rsidR="00BB59CD" w:rsidRDefault="00BB59CD" w:rsidP="00BB59CD">
      <w:pPr>
        <w:rPr>
          <w:rtl/>
          <w:lang w:eastAsia="he-IL"/>
        </w:rPr>
      </w:pPr>
    </w:p>
    <w:p w:rsidR="00BB59CD" w:rsidRDefault="00BB59CD" w:rsidP="00BB59CD">
      <w:pPr>
        <w:pStyle w:val="af8"/>
        <w:keepNext/>
        <w:rPr>
          <w:rtl/>
        </w:rPr>
      </w:pPr>
      <w:bookmarkStart w:id="23837" w:name="ET_interruption_6345_5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37"/>
    </w:p>
    <w:p w:rsidR="00BB59CD" w:rsidRDefault="00BB59CD" w:rsidP="00337201">
      <w:pPr>
        <w:rPr>
          <w:rtl/>
          <w:lang w:eastAsia="he-IL"/>
        </w:rPr>
      </w:pPr>
    </w:p>
    <w:p w:rsidR="00BB59CD" w:rsidRDefault="00BB59CD" w:rsidP="00BB59CD">
      <w:pPr>
        <w:rPr>
          <w:rtl/>
          <w:lang w:eastAsia="he-IL"/>
        </w:rPr>
      </w:pPr>
      <w:bookmarkStart w:id="23838" w:name="_ETM_Q37_646000"/>
      <w:bookmarkEnd w:id="23838"/>
      <w:r>
        <w:rPr>
          <w:rFonts w:hint="cs"/>
          <w:rtl/>
          <w:lang w:eastAsia="he-IL"/>
        </w:rPr>
        <w:t xml:space="preserve">תקשיבי לי, </w:t>
      </w:r>
      <w:bookmarkStart w:id="23839" w:name="_ETM_Q37_647000"/>
      <w:bookmarkEnd w:id="23839"/>
      <w:r>
        <w:rPr>
          <w:rFonts w:hint="cs"/>
          <w:rtl/>
          <w:lang w:eastAsia="he-IL"/>
        </w:rPr>
        <w:t xml:space="preserve">אני אמשיך להאשים אותה. ואני אגיד לך יותר </w:t>
      </w:r>
      <w:bookmarkStart w:id="23840" w:name="_ETM_Q37_651000"/>
      <w:bookmarkEnd w:id="23840"/>
      <w:r>
        <w:rPr>
          <w:rFonts w:hint="cs"/>
          <w:rtl/>
          <w:lang w:eastAsia="he-IL"/>
        </w:rPr>
        <w:t>מזה: היא פגעה, חטאה ופשעה לכללי האתיקה של שופטים.</w:t>
      </w:r>
    </w:p>
    <w:p w:rsidR="00BB59CD" w:rsidRDefault="00BB59CD" w:rsidP="00BB59CD">
      <w:pPr>
        <w:rPr>
          <w:rtl/>
          <w:lang w:eastAsia="he-IL"/>
        </w:rPr>
      </w:pPr>
      <w:bookmarkStart w:id="23841" w:name="_ETM_Q37_652000"/>
      <w:bookmarkEnd w:id="23841"/>
    </w:p>
    <w:p w:rsidR="00BB59CD" w:rsidRDefault="00BB59CD" w:rsidP="00BB59CD">
      <w:pPr>
        <w:pStyle w:val="-"/>
        <w:keepNext/>
        <w:rPr>
          <w:rtl/>
        </w:rPr>
      </w:pPr>
      <w:bookmarkStart w:id="23842" w:name="ET_speakercontinue_6236_5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42"/>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לא. היא </w:t>
      </w:r>
      <w:bookmarkStart w:id="23843" w:name="_ETM_Q37_655000"/>
      <w:bookmarkEnd w:id="23843"/>
      <w:r>
        <w:rPr>
          <w:rFonts w:hint="cs"/>
          <w:rtl/>
          <w:lang w:eastAsia="he-IL"/>
        </w:rPr>
        <w:t>לא. היא לא אשמה בפיגוע טרור. היא לא.</w:t>
      </w:r>
    </w:p>
    <w:p w:rsidR="00BB59CD" w:rsidRDefault="00BB59CD" w:rsidP="00BB59CD">
      <w:pPr>
        <w:rPr>
          <w:rtl/>
          <w:lang w:eastAsia="he-IL"/>
        </w:rPr>
      </w:pPr>
    </w:p>
    <w:p w:rsidR="00BB59CD" w:rsidRDefault="00BB59CD" w:rsidP="00BB59CD">
      <w:pPr>
        <w:pStyle w:val="af8"/>
        <w:keepNext/>
        <w:rPr>
          <w:rtl/>
        </w:rPr>
      </w:pPr>
      <w:bookmarkStart w:id="23844" w:name="ET_interruption_6345_5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44"/>
    </w:p>
    <w:p w:rsidR="00BB59CD" w:rsidRDefault="00BB59CD" w:rsidP="00337201">
      <w:pPr>
        <w:rPr>
          <w:rtl/>
          <w:lang w:eastAsia="he-IL"/>
        </w:rPr>
      </w:pPr>
    </w:p>
    <w:p w:rsidR="00BB59CD" w:rsidRDefault="00BB59CD" w:rsidP="000B2C80">
      <w:pPr>
        <w:rPr>
          <w:rtl/>
          <w:lang w:eastAsia="he-IL"/>
        </w:rPr>
      </w:pPr>
      <w:bookmarkStart w:id="23845" w:name="_ETM_Q37_657000"/>
      <w:bookmarkEnd w:id="23845"/>
      <w:r>
        <w:rPr>
          <w:rFonts w:hint="cs"/>
          <w:rtl/>
          <w:lang w:eastAsia="he-IL"/>
        </w:rPr>
        <w:t>הם מאסו בה.</w:t>
      </w:r>
      <w:r w:rsidR="000B2C80">
        <w:rPr>
          <w:rFonts w:hint="cs"/>
          <w:rtl/>
          <w:lang w:eastAsia="he-IL"/>
        </w:rPr>
        <w:t xml:space="preserve"> </w:t>
      </w:r>
      <w:r>
        <w:rPr>
          <w:rFonts w:hint="cs"/>
          <w:rtl/>
          <w:lang w:eastAsia="he-IL"/>
        </w:rPr>
        <w:t>היא התסיסה בעם.</w:t>
      </w:r>
    </w:p>
    <w:p w:rsidR="00BB59CD" w:rsidRDefault="00BB59CD" w:rsidP="00BB59CD">
      <w:pPr>
        <w:rPr>
          <w:rtl/>
          <w:lang w:eastAsia="he-IL"/>
        </w:rPr>
      </w:pPr>
    </w:p>
    <w:p w:rsidR="00BB59CD" w:rsidRDefault="00BB59CD" w:rsidP="00BB59CD">
      <w:pPr>
        <w:pStyle w:val="-"/>
        <w:keepNext/>
        <w:rPr>
          <w:rtl/>
        </w:rPr>
      </w:pPr>
      <w:bookmarkStart w:id="23846" w:name="ET_speakercontinue_6236_59"/>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46"/>
    </w:p>
    <w:p w:rsidR="00BB59CD" w:rsidRDefault="00BB59CD" w:rsidP="00337201">
      <w:pPr>
        <w:rPr>
          <w:rtl/>
          <w:lang w:eastAsia="he-IL"/>
        </w:rPr>
      </w:pPr>
    </w:p>
    <w:p w:rsidR="00BB59CD" w:rsidRDefault="000B2C80" w:rsidP="000B2C80">
      <w:pPr>
        <w:rPr>
          <w:rtl/>
          <w:lang w:eastAsia="he-IL"/>
        </w:rPr>
      </w:pPr>
      <w:bookmarkStart w:id="23847" w:name="_ETM_Q37_659000"/>
      <w:bookmarkEnd w:id="23847"/>
      <w:r>
        <w:rPr>
          <w:rFonts w:hint="cs"/>
          <w:rtl/>
          <w:lang w:eastAsia="he-IL"/>
        </w:rPr>
        <w:t xml:space="preserve">לא. אני אגן עליה כל הזמן.  </w:t>
      </w:r>
      <w:r w:rsidR="00BB59CD">
        <w:rPr>
          <w:rFonts w:hint="cs"/>
          <w:rtl/>
          <w:lang w:eastAsia="he-IL"/>
        </w:rPr>
        <w:t>אני אגן על כל סמל שלטון - -</w:t>
      </w:r>
    </w:p>
    <w:p w:rsidR="00BB59CD" w:rsidRDefault="00BB59CD" w:rsidP="00BB59CD">
      <w:pPr>
        <w:rPr>
          <w:rtl/>
          <w:lang w:eastAsia="he-IL"/>
        </w:rPr>
      </w:pPr>
    </w:p>
    <w:p w:rsidR="00BB59CD" w:rsidRDefault="00BB59CD" w:rsidP="00BB59CD">
      <w:pPr>
        <w:pStyle w:val="af8"/>
        <w:keepNext/>
        <w:rPr>
          <w:rtl/>
        </w:rPr>
      </w:pPr>
      <w:bookmarkStart w:id="23848" w:name="ET_interruption_6345_6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48"/>
    </w:p>
    <w:p w:rsidR="00BB59CD" w:rsidRDefault="00BB59CD" w:rsidP="00337201">
      <w:pPr>
        <w:rPr>
          <w:rtl/>
          <w:lang w:eastAsia="he-IL"/>
        </w:rPr>
      </w:pPr>
    </w:p>
    <w:p w:rsidR="00BB59CD" w:rsidRDefault="00BB59CD" w:rsidP="00BB59CD">
      <w:pPr>
        <w:rPr>
          <w:rtl/>
          <w:lang w:eastAsia="he-IL"/>
        </w:rPr>
      </w:pPr>
      <w:bookmarkStart w:id="23849" w:name="_ETM_Q37_662000"/>
      <w:bookmarkEnd w:id="23849"/>
      <w:r>
        <w:rPr>
          <w:rFonts w:hint="cs"/>
          <w:rtl/>
          <w:lang w:eastAsia="he-IL"/>
        </w:rPr>
        <w:t>בבקשה, תגני. תגני.</w:t>
      </w:r>
    </w:p>
    <w:p w:rsidR="00BB59CD" w:rsidRDefault="00BB59CD" w:rsidP="00BB59CD">
      <w:pPr>
        <w:rPr>
          <w:rtl/>
          <w:lang w:eastAsia="he-IL"/>
        </w:rPr>
      </w:pPr>
      <w:bookmarkStart w:id="23850" w:name="_ETM_Q37_663000"/>
      <w:bookmarkEnd w:id="23850"/>
    </w:p>
    <w:p w:rsidR="00BB59CD" w:rsidRDefault="00BB59CD" w:rsidP="00BB59CD">
      <w:pPr>
        <w:pStyle w:val="-"/>
        <w:keepNext/>
        <w:rPr>
          <w:rtl/>
        </w:rPr>
      </w:pPr>
      <w:bookmarkStart w:id="23851" w:name="ET_speakercontinue_6236_62"/>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51"/>
    </w:p>
    <w:p w:rsidR="00BB59CD" w:rsidRDefault="00BB59CD" w:rsidP="00337201">
      <w:pPr>
        <w:rPr>
          <w:rtl/>
          <w:lang w:eastAsia="he-IL"/>
        </w:rPr>
      </w:pPr>
    </w:p>
    <w:p w:rsidR="00BB59CD" w:rsidRDefault="00BB59CD" w:rsidP="00BB59CD">
      <w:pPr>
        <w:rPr>
          <w:rtl/>
          <w:lang w:eastAsia="he-IL"/>
        </w:rPr>
      </w:pPr>
      <w:bookmarkStart w:id="23852" w:name="_ETM_Q37_664000"/>
      <w:bookmarkEnd w:id="23852"/>
      <w:r>
        <w:rPr>
          <w:rFonts w:hint="cs"/>
          <w:rtl/>
          <w:lang w:eastAsia="he-IL"/>
        </w:rPr>
        <w:t>- - שאתם תסיתו נגדו ותתירו את דמו.</w:t>
      </w:r>
    </w:p>
    <w:p w:rsidR="00BB59CD" w:rsidRDefault="00BB59CD" w:rsidP="00BB59CD">
      <w:pPr>
        <w:rPr>
          <w:rtl/>
          <w:lang w:eastAsia="he-IL"/>
        </w:rPr>
      </w:pPr>
    </w:p>
    <w:p w:rsidR="00BB59CD" w:rsidRDefault="00BB59CD" w:rsidP="00BB59CD">
      <w:pPr>
        <w:pStyle w:val="af8"/>
        <w:keepNext/>
        <w:rPr>
          <w:rtl/>
        </w:rPr>
      </w:pPr>
      <w:bookmarkStart w:id="23853" w:name="ET_interruption_6345_6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53"/>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בשבילי היא לא </w:t>
      </w:r>
      <w:bookmarkStart w:id="23854" w:name="_ETM_Q37_666000"/>
      <w:bookmarkEnd w:id="23854"/>
      <w:r>
        <w:rPr>
          <w:rFonts w:hint="cs"/>
          <w:rtl/>
          <w:lang w:eastAsia="he-IL"/>
        </w:rPr>
        <w:t xml:space="preserve">סמל שלטון. היא לא סמל </w:t>
      </w:r>
      <w:bookmarkStart w:id="23855" w:name="_ETM_Q37_668000"/>
      <w:bookmarkEnd w:id="23855"/>
      <w:r>
        <w:rPr>
          <w:rFonts w:hint="cs"/>
          <w:rtl/>
          <w:lang w:eastAsia="he-IL"/>
        </w:rPr>
        <w:t>שלטון.</w:t>
      </w:r>
    </w:p>
    <w:p w:rsidR="00BB59CD" w:rsidRDefault="00BB59CD" w:rsidP="00BB59CD">
      <w:pPr>
        <w:rPr>
          <w:rtl/>
          <w:lang w:eastAsia="he-IL"/>
        </w:rPr>
      </w:pPr>
    </w:p>
    <w:p w:rsidR="00BB59CD" w:rsidRDefault="00BB59CD" w:rsidP="00BB59CD">
      <w:pPr>
        <w:pStyle w:val="-"/>
        <w:keepNext/>
        <w:rPr>
          <w:rtl/>
        </w:rPr>
      </w:pPr>
      <w:bookmarkStart w:id="23856" w:name="ET_speakercontinue_6236_6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56"/>
    </w:p>
    <w:p w:rsidR="00BB59CD" w:rsidRDefault="00BB59CD" w:rsidP="00337201">
      <w:pPr>
        <w:rPr>
          <w:rtl/>
          <w:lang w:eastAsia="he-IL"/>
        </w:rPr>
      </w:pPr>
    </w:p>
    <w:p w:rsidR="00BB59CD" w:rsidRDefault="00BB59CD" w:rsidP="00BB59CD">
      <w:pPr>
        <w:rPr>
          <w:rtl/>
          <w:lang w:eastAsia="he-IL"/>
        </w:rPr>
      </w:pPr>
      <w:bookmarkStart w:id="23857" w:name="_ETM_Q37_667000"/>
      <w:bookmarkEnd w:id="23857"/>
      <w:r>
        <w:rPr>
          <w:rFonts w:hint="cs"/>
          <w:rtl/>
          <w:lang w:eastAsia="he-IL"/>
        </w:rPr>
        <w:t>את יודעת מה, לא סמל שלטון. אני מתקנת</w:t>
      </w:r>
      <w:r w:rsidR="000B2C80">
        <w:rPr>
          <w:rFonts w:hint="cs"/>
          <w:rtl/>
          <w:lang w:eastAsia="he-IL"/>
        </w:rPr>
        <w:t>,</w:t>
      </w:r>
      <w:r>
        <w:rPr>
          <w:rFonts w:hint="cs"/>
          <w:rtl/>
          <w:lang w:eastAsia="he-IL"/>
        </w:rPr>
        <w:t xml:space="preserve"> טלי, אני מתקנת: אני אגן על כל אזרח ואדם שתתירו </w:t>
      </w:r>
      <w:bookmarkStart w:id="23858" w:name="_ETM_Q37_672000"/>
      <w:bookmarkEnd w:id="23858"/>
      <w:r>
        <w:rPr>
          <w:rFonts w:hint="cs"/>
          <w:rtl/>
          <w:lang w:eastAsia="he-IL"/>
        </w:rPr>
        <w:t>את דמו. אני אגן על כל אזרח ואדם.</w:t>
      </w:r>
    </w:p>
    <w:p w:rsidR="00BB59CD" w:rsidRDefault="00BB59CD" w:rsidP="00BB59CD">
      <w:pPr>
        <w:rPr>
          <w:rtl/>
          <w:lang w:eastAsia="he-IL"/>
        </w:rPr>
      </w:pPr>
      <w:bookmarkStart w:id="23859" w:name="_ETM_Q37_675000"/>
      <w:bookmarkEnd w:id="23859"/>
    </w:p>
    <w:p w:rsidR="00BB59CD" w:rsidRDefault="00BB59CD" w:rsidP="00BB59CD">
      <w:pPr>
        <w:pStyle w:val="af8"/>
        <w:keepNext/>
        <w:rPr>
          <w:rtl/>
        </w:rPr>
      </w:pPr>
      <w:bookmarkStart w:id="23860" w:name="ET_interruption_6345_6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60"/>
    </w:p>
    <w:p w:rsidR="00BB59CD" w:rsidRDefault="00BB59CD" w:rsidP="00337201">
      <w:pPr>
        <w:rPr>
          <w:rtl/>
          <w:lang w:eastAsia="he-IL"/>
        </w:rPr>
      </w:pPr>
    </w:p>
    <w:p w:rsidR="00BB59CD" w:rsidRDefault="00BB59CD" w:rsidP="00BB59CD">
      <w:pPr>
        <w:rPr>
          <w:rtl/>
          <w:lang w:eastAsia="he-IL"/>
        </w:rPr>
      </w:pPr>
      <w:bookmarkStart w:id="23861" w:name="_ETM_Q37_674000"/>
      <w:bookmarkEnd w:id="23861"/>
      <w:r>
        <w:rPr>
          <w:rFonts w:hint="cs"/>
          <w:rtl/>
          <w:lang w:eastAsia="he-IL"/>
        </w:rPr>
        <w:t xml:space="preserve">את דמי התירו, </w:t>
      </w:r>
      <w:bookmarkStart w:id="23862" w:name="_ETM_Q37_677000"/>
      <w:bookmarkEnd w:id="23862"/>
      <w:r>
        <w:rPr>
          <w:rFonts w:hint="cs"/>
          <w:rtl/>
          <w:lang w:eastAsia="he-IL"/>
        </w:rPr>
        <w:t xml:space="preserve">ולא ראיתי שהגנת עליי. לא. זה סיסמה מה שאת אומרת, </w:t>
      </w:r>
      <w:bookmarkStart w:id="23863" w:name="_ETM_Q37_681000"/>
      <w:bookmarkEnd w:id="23863"/>
      <w:r>
        <w:rPr>
          <w:rFonts w:hint="cs"/>
          <w:rtl/>
          <w:lang w:eastAsia="he-IL"/>
        </w:rPr>
        <w:t>נעמה -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תאמיני לי - - -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0B2C80">
      <w:pPr>
        <w:rPr>
          <w:rtl/>
          <w:lang w:eastAsia="he-IL"/>
        </w:rPr>
      </w:pPr>
      <w:r>
        <w:rPr>
          <w:rFonts w:hint="cs"/>
          <w:rtl/>
          <w:lang w:eastAsia="he-IL"/>
        </w:rPr>
        <w:t xml:space="preserve">- - והנשיאה חיות, שנעלמה מתחת לסלע, היא שותקת, כשהיא יודעת </w:t>
      </w:r>
      <w:bookmarkStart w:id="23864" w:name="_ETM_Q37_688000"/>
      <w:bookmarkEnd w:id="23864"/>
      <w:r>
        <w:rPr>
          <w:rFonts w:hint="cs"/>
          <w:rtl/>
          <w:lang w:eastAsia="he-IL"/>
        </w:rPr>
        <w:t xml:space="preserve">שעילת הסבירות זה כלום ושום דבר, והיא לא יוצאת </w:t>
      </w:r>
      <w:bookmarkStart w:id="23865" w:name="_ETM_Q37_690000"/>
      <w:bookmarkEnd w:id="23865"/>
      <w:r>
        <w:rPr>
          <w:rFonts w:hint="cs"/>
          <w:rtl/>
          <w:lang w:eastAsia="he-IL"/>
        </w:rPr>
        <w:t xml:space="preserve">ולא אומרת מילה. נוח לה ליהנות מהמחאה הזאת, שמשסעת את העם </w:t>
      </w:r>
      <w:bookmarkStart w:id="23866" w:name="_ETM_Q37_695000"/>
      <w:bookmarkEnd w:id="23866"/>
      <w:r>
        <w:rPr>
          <w:rFonts w:hint="cs"/>
          <w:rtl/>
          <w:lang w:eastAsia="he-IL"/>
        </w:rPr>
        <w:t xml:space="preserve">ואין מאחוריה כלום, כי ברור לך שצמצום עילת הסבירות לא </w:t>
      </w:r>
      <w:bookmarkStart w:id="23867" w:name="_ETM_Q37_699000"/>
      <w:bookmarkEnd w:id="23867"/>
      <w:r>
        <w:rPr>
          <w:rFonts w:hint="cs"/>
          <w:rtl/>
          <w:lang w:eastAsia="he-IL"/>
        </w:rPr>
        <w:t>קשורה לא לדיקטטורה ולא לכלום. לשום דבר.</w:t>
      </w:r>
    </w:p>
    <w:p w:rsidR="00BB59CD" w:rsidRDefault="00BB59CD" w:rsidP="00BB59CD">
      <w:pPr>
        <w:rPr>
          <w:rtl/>
          <w:lang w:eastAsia="he-IL"/>
        </w:rPr>
      </w:pPr>
    </w:p>
    <w:p w:rsidR="00BB59CD" w:rsidRDefault="00BB59CD" w:rsidP="00BB59CD">
      <w:pPr>
        <w:pStyle w:val="-"/>
        <w:keepNext/>
        <w:rPr>
          <w:rtl/>
        </w:rPr>
      </w:pPr>
      <w:bookmarkStart w:id="23868" w:name="ET_speakercontinue_6236_6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68"/>
    </w:p>
    <w:p w:rsidR="00BB59CD" w:rsidRDefault="00BB59CD" w:rsidP="00337201">
      <w:pPr>
        <w:rPr>
          <w:rtl/>
          <w:lang w:eastAsia="he-IL"/>
        </w:rPr>
      </w:pPr>
    </w:p>
    <w:p w:rsidR="00BB59CD" w:rsidRDefault="00BB59CD" w:rsidP="000B2C80">
      <w:pPr>
        <w:rPr>
          <w:rtl/>
          <w:lang w:eastAsia="he-IL"/>
        </w:rPr>
      </w:pPr>
      <w:r>
        <w:rPr>
          <w:rFonts w:hint="cs"/>
          <w:rtl/>
          <w:lang w:eastAsia="he-IL"/>
        </w:rPr>
        <w:t xml:space="preserve">אני אסיים. ציטוט אחרון </w:t>
      </w:r>
      <w:bookmarkStart w:id="23869" w:name="_ETM_Q37_703000"/>
      <w:bookmarkEnd w:id="23869"/>
      <w:r>
        <w:rPr>
          <w:rFonts w:hint="cs"/>
          <w:rtl/>
          <w:lang w:eastAsia="he-IL"/>
        </w:rPr>
        <w:t xml:space="preserve">של צביקה פוגל </w:t>
      </w:r>
      <w:r w:rsidR="000B2C80">
        <w:rPr>
          <w:rFonts w:hint="eastAsia"/>
          <w:rtl/>
          <w:lang w:eastAsia="he-IL"/>
        </w:rPr>
        <w:t>–</w:t>
      </w:r>
      <w:r w:rsidR="000B2C80">
        <w:rPr>
          <w:rFonts w:hint="cs"/>
          <w:rtl/>
          <w:lang w:eastAsia="he-IL"/>
        </w:rPr>
        <w:t xml:space="preserve"> </w:t>
      </w:r>
      <w:r>
        <w:rPr>
          <w:rFonts w:hint="cs"/>
          <w:rtl/>
          <w:lang w:eastAsia="he-IL"/>
        </w:rPr>
        <w:t xml:space="preserve">אפשר לחזור </w:t>
      </w:r>
      <w:r w:rsidR="000B2C80">
        <w:rPr>
          <w:rFonts w:hint="eastAsia"/>
          <w:rtl/>
          <w:lang w:eastAsia="he-IL"/>
        </w:rPr>
        <w:t>–</w:t>
      </w:r>
      <w:r w:rsidR="000B2C80">
        <w:rPr>
          <w:rFonts w:hint="cs"/>
          <w:rtl/>
          <w:lang w:eastAsia="he-IL"/>
        </w:rPr>
        <w:t xml:space="preserve"> </w:t>
      </w:r>
      <w:r>
        <w:rPr>
          <w:rFonts w:hint="cs"/>
          <w:rtl/>
          <w:lang w:eastAsia="he-IL"/>
        </w:rPr>
        <w:t xml:space="preserve">על יאיר לפיד, בני גנץ, </w:t>
      </w:r>
      <w:bookmarkStart w:id="23870" w:name="_ETM_Q37_706000"/>
      <w:bookmarkEnd w:id="23870"/>
      <w:r>
        <w:rPr>
          <w:rFonts w:hint="cs"/>
          <w:rtl/>
          <w:lang w:eastAsia="he-IL"/>
        </w:rPr>
        <w:t>יאיר גולן ובוגי יעלון</w:t>
      </w:r>
      <w:r w:rsidR="000B2C80">
        <w:rPr>
          <w:rFonts w:hint="cs"/>
          <w:rtl/>
          <w:lang w:eastAsia="he-IL"/>
        </w:rPr>
        <w:t>:</w:t>
      </w:r>
      <w:r>
        <w:rPr>
          <w:rFonts w:hint="cs"/>
          <w:rtl/>
          <w:lang w:eastAsia="he-IL"/>
        </w:rPr>
        <w:t xml:space="preserve"> את הארבעה האלה "צריך לעצור עכשיו, </w:t>
      </w:r>
      <w:bookmarkStart w:id="23871" w:name="_ETM_Q37_710000"/>
      <w:bookmarkEnd w:id="23871"/>
      <w:r>
        <w:rPr>
          <w:rFonts w:hint="cs"/>
          <w:rtl/>
          <w:lang w:eastAsia="he-IL"/>
        </w:rPr>
        <w:t xml:space="preserve">הם האנשים המסוכנים ביותר שיש כרגע. הם מדברים בסגנון של </w:t>
      </w:r>
      <w:bookmarkStart w:id="23872" w:name="_ETM_Q37_715000"/>
      <w:bookmarkEnd w:id="23872"/>
      <w:r>
        <w:rPr>
          <w:rFonts w:hint="cs"/>
          <w:rtl/>
          <w:lang w:eastAsia="he-IL"/>
        </w:rPr>
        <w:t xml:space="preserve">מלחמה. אני חשבתי שמלחמה זה נגד אויבים. מבחינתי </w:t>
      </w:r>
      <w:bookmarkStart w:id="23873" w:name="_ETM_Q37_720000"/>
      <w:bookmarkEnd w:id="23873"/>
      <w:r>
        <w:rPr>
          <w:rFonts w:hint="cs"/>
          <w:rtl/>
          <w:lang w:eastAsia="he-IL"/>
        </w:rPr>
        <w:t>זו בגידה במולדת. אם לא הייתי מספיק ברור – זאת עילה למעצר".</w:t>
      </w:r>
    </w:p>
    <w:p w:rsidR="00BB59CD" w:rsidRDefault="00BB59CD" w:rsidP="00BB59CD">
      <w:pPr>
        <w:pStyle w:val="-"/>
        <w:keepNext/>
        <w:rPr>
          <w:b w:val="0"/>
          <w:bCs w:val="0"/>
          <w:u w:val="none"/>
          <w:rtl/>
        </w:rPr>
      </w:pPr>
      <w:bookmarkStart w:id="23874" w:name="ET_speakercontinue_6236_66"/>
    </w:p>
    <w:p w:rsidR="00BB59CD" w:rsidRDefault="00BB59CD" w:rsidP="00BB59CD">
      <w:pPr>
        <w:pStyle w:val="af8"/>
        <w:keepNext/>
        <w:rPr>
          <w:rtl/>
        </w:rPr>
      </w:pPr>
      <w:bookmarkStart w:id="23875" w:name="ET_interruption_6345_67"/>
      <w:r>
        <w:rPr>
          <w:rStyle w:val="TagStyle"/>
          <w:rFonts w:hint="cs"/>
          <w:rtl/>
        </w:rPr>
        <w:t xml:space="preserve"> &lt;&lt; קריאה &gt;&gt; </w:t>
      </w:r>
      <w:r>
        <w:rPr>
          <w:rFonts w:hint="cs"/>
          <w:rtl/>
        </w:rPr>
        <w:t>טלי גוטליב (הליכוד):</w:t>
      </w:r>
      <w:r>
        <w:rPr>
          <w:rStyle w:val="TagStyle"/>
          <w:rtl/>
        </w:rPr>
        <w:t xml:space="preserve"> &lt;&lt; קריאה &gt;&gt;   </w:t>
      </w:r>
      <w:bookmarkEnd w:id="23875"/>
    </w:p>
    <w:p w:rsidR="00BB59CD" w:rsidRDefault="00BB59CD" w:rsidP="00337201">
      <w:pPr>
        <w:rPr>
          <w:rtl/>
        </w:rPr>
      </w:pPr>
    </w:p>
    <w:p w:rsidR="00BB59CD" w:rsidRDefault="00BB59CD" w:rsidP="00BB59CD">
      <w:pPr>
        <w:ind w:left="720" w:firstLine="0"/>
        <w:rPr>
          <w:rtl/>
        </w:rPr>
      </w:pPr>
      <w:r>
        <w:rPr>
          <w:rFonts w:hint="cs"/>
          <w:rtl/>
        </w:rPr>
        <w:t>ברור. זו עילה למעצר. זו הסתה.</w:t>
      </w:r>
    </w:p>
    <w:p w:rsidR="00BB59CD" w:rsidRDefault="00BB59CD" w:rsidP="00BB59CD">
      <w:pPr>
        <w:ind w:left="720" w:firstLine="0"/>
        <w:rPr>
          <w:rtl/>
        </w:rPr>
      </w:pPr>
    </w:p>
    <w:p w:rsidR="00BB59CD" w:rsidRDefault="00BB59CD" w:rsidP="00BB59CD">
      <w:pPr>
        <w:pStyle w:val="-"/>
        <w:keepNext/>
        <w:rPr>
          <w:rtl/>
        </w:rPr>
      </w:pPr>
      <w:bookmarkStart w:id="23876" w:name="ET_speakercontinue_6236_68"/>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76"/>
    </w:p>
    <w:p w:rsidR="00BB59CD" w:rsidRDefault="00BB59CD" w:rsidP="00337201">
      <w:pPr>
        <w:rPr>
          <w:rtl/>
        </w:rPr>
      </w:pPr>
    </w:p>
    <w:p w:rsidR="00BB59CD" w:rsidRDefault="00BB59CD" w:rsidP="00BB59CD">
      <w:pPr>
        <w:rPr>
          <w:rtl/>
        </w:rPr>
      </w:pPr>
      <w:bookmarkStart w:id="23877" w:name="_ETM_Q37_724000"/>
      <w:bookmarkEnd w:id="23877"/>
      <w:r>
        <w:rPr>
          <w:rFonts w:hint="cs"/>
          <w:rtl/>
        </w:rPr>
        <w:t>בטח, בטח, בטח. בואי</w:t>
      </w:r>
      <w:r w:rsidR="000B2C80">
        <w:rPr>
          <w:rFonts w:hint="cs"/>
          <w:rtl/>
        </w:rPr>
        <w:t>,</w:t>
      </w:r>
      <w:r>
        <w:rPr>
          <w:rFonts w:hint="cs"/>
          <w:rtl/>
        </w:rPr>
        <w:t xml:space="preserve"> באמת - - -</w:t>
      </w:r>
    </w:p>
    <w:p w:rsidR="00BB59CD" w:rsidRDefault="00BB59CD" w:rsidP="00BB59CD">
      <w:pPr>
        <w:rPr>
          <w:rtl/>
        </w:rPr>
      </w:pPr>
      <w:bookmarkStart w:id="23878" w:name="_ETM_Q37_725000"/>
      <w:bookmarkEnd w:id="23878"/>
    </w:p>
    <w:p w:rsidR="00BB59CD" w:rsidRDefault="00BB59CD" w:rsidP="00BB59CD">
      <w:pPr>
        <w:pStyle w:val="af8"/>
        <w:keepNext/>
        <w:rPr>
          <w:rtl/>
        </w:rPr>
      </w:pPr>
      <w:bookmarkStart w:id="23879" w:name="ET_interruption_6345_6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79"/>
    </w:p>
    <w:p w:rsidR="00BB59CD" w:rsidRDefault="00BB59CD" w:rsidP="00337201">
      <w:pPr>
        <w:rPr>
          <w:rtl/>
        </w:rPr>
      </w:pPr>
    </w:p>
    <w:p w:rsidR="00BB59CD" w:rsidRDefault="00BB59CD" w:rsidP="00BB59CD">
      <w:pPr>
        <w:rPr>
          <w:rtl/>
        </w:rPr>
      </w:pPr>
      <w:r>
        <w:rPr>
          <w:rFonts w:hint="cs"/>
          <w:rtl/>
        </w:rPr>
        <w:t>קריאה למרד, קריאה למרי, קריאה לסירוב פקודה. אלה עבירות פליליות.</w:t>
      </w:r>
    </w:p>
    <w:p w:rsidR="00BB59CD" w:rsidRDefault="00BB59CD" w:rsidP="00BB59CD">
      <w:pPr>
        <w:rPr>
          <w:rtl/>
          <w:lang w:eastAsia="he-IL"/>
        </w:rPr>
      </w:pPr>
      <w:bookmarkStart w:id="23880" w:name="_ETM_Q37_722000"/>
      <w:bookmarkEnd w:id="23874"/>
      <w:bookmarkEnd w:id="23880"/>
    </w:p>
    <w:p w:rsidR="00BB59CD" w:rsidRDefault="00BB59CD" w:rsidP="00BB59CD">
      <w:pPr>
        <w:pStyle w:val="-"/>
        <w:keepNext/>
        <w:rPr>
          <w:rtl/>
        </w:rPr>
      </w:pPr>
      <w:bookmarkStart w:id="23881" w:name="ET_speakercontinue_6236_70"/>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81"/>
    </w:p>
    <w:p w:rsidR="00BB59CD" w:rsidRDefault="00BB59CD" w:rsidP="00337201">
      <w:pPr>
        <w:rPr>
          <w:rtl/>
          <w:lang w:eastAsia="he-IL"/>
        </w:rPr>
      </w:pPr>
    </w:p>
    <w:p w:rsidR="00BB59CD" w:rsidRDefault="00BB59CD" w:rsidP="00BB59CD">
      <w:pPr>
        <w:rPr>
          <w:rtl/>
          <w:lang w:eastAsia="he-IL"/>
        </w:rPr>
      </w:pPr>
      <w:bookmarkStart w:id="23882" w:name="_ETM_Q37_726000"/>
      <w:bookmarkEnd w:id="23882"/>
      <w:r>
        <w:rPr>
          <w:rFonts w:hint="cs"/>
          <w:rtl/>
          <w:lang w:eastAsia="he-IL"/>
        </w:rPr>
        <w:t xml:space="preserve">אז </w:t>
      </w:r>
      <w:bookmarkStart w:id="23883" w:name="_ETM_Q37_728000"/>
      <w:bookmarkEnd w:id="23883"/>
      <w:r>
        <w:rPr>
          <w:rFonts w:hint="cs"/>
          <w:rtl/>
          <w:lang w:eastAsia="he-IL"/>
        </w:rPr>
        <w:t xml:space="preserve">הם יודעים שהם פועלים למען חיזוק הדמוקרטיה. אנשים לא יודעים </w:t>
      </w:r>
      <w:bookmarkStart w:id="23884" w:name="_ETM_Q37_730000"/>
      <w:bookmarkEnd w:id="23884"/>
      <w:r>
        <w:rPr>
          <w:rFonts w:hint="cs"/>
          <w:rtl/>
          <w:lang w:eastAsia="he-IL"/>
        </w:rPr>
        <w:t>מה זה דמוקרטיה. תעצור.</w:t>
      </w:r>
    </w:p>
    <w:p w:rsidR="00BB59CD" w:rsidRDefault="00BB59CD" w:rsidP="00BB59CD">
      <w:pPr>
        <w:rPr>
          <w:rtl/>
          <w:lang w:eastAsia="he-IL"/>
        </w:rPr>
      </w:pPr>
    </w:p>
    <w:p w:rsidR="00BB59CD" w:rsidRDefault="00BB59CD" w:rsidP="00BB59CD">
      <w:pPr>
        <w:pStyle w:val="af8"/>
        <w:keepNext/>
        <w:rPr>
          <w:rtl/>
        </w:rPr>
      </w:pPr>
      <w:bookmarkStart w:id="23885" w:name="ET_interruption_6345_7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85"/>
    </w:p>
    <w:p w:rsidR="00BB59CD" w:rsidRDefault="00BB59CD" w:rsidP="00337201">
      <w:pPr>
        <w:rPr>
          <w:rtl/>
          <w:lang w:eastAsia="he-IL"/>
        </w:rPr>
      </w:pPr>
    </w:p>
    <w:p w:rsidR="00BB59CD" w:rsidRDefault="00BB59CD" w:rsidP="00BB59CD">
      <w:pPr>
        <w:rPr>
          <w:rtl/>
          <w:lang w:eastAsia="he-IL"/>
        </w:rPr>
      </w:pPr>
      <w:r>
        <w:rPr>
          <w:rFonts w:hint="cs"/>
          <w:rtl/>
          <w:lang w:eastAsia="he-IL"/>
        </w:rPr>
        <w:t>אלה עבירות פליליות. פייגלין ישב.</w:t>
      </w:r>
    </w:p>
    <w:p w:rsidR="00BB59CD" w:rsidRDefault="00BB59CD" w:rsidP="00BB59CD">
      <w:pPr>
        <w:rPr>
          <w:rtl/>
          <w:lang w:eastAsia="he-IL"/>
        </w:rPr>
      </w:pPr>
      <w:bookmarkStart w:id="23886" w:name="_ETM_Q37_732000"/>
      <w:bookmarkEnd w:id="23886"/>
    </w:p>
    <w:p w:rsidR="00BB59CD" w:rsidRDefault="00BB59CD" w:rsidP="00BB59CD">
      <w:pPr>
        <w:pStyle w:val="-"/>
        <w:keepNext/>
        <w:rPr>
          <w:rtl/>
        </w:rPr>
      </w:pPr>
      <w:bookmarkStart w:id="23887" w:name="ET_speakercontinue_6236_72"/>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8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היא עושה פיליבסטר. </w:t>
      </w:r>
      <w:bookmarkStart w:id="23888" w:name="_ETM_Q37_734000"/>
      <w:bookmarkEnd w:id="23888"/>
      <w:r>
        <w:rPr>
          <w:rFonts w:hint="cs"/>
          <w:rtl/>
          <w:lang w:eastAsia="he-IL"/>
        </w:rPr>
        <w:t>תעצור.</w:t>
      </w:r>
    </w:p>
    <w:p w:rsidR="00BB59CD" w:rsidRDefault="00BB59CD" w:rsidP="00BB59CD">
      <w:pPr>
        <w:rPr>
          <w:rtl/>
          <w:lang w:eastAsia="he-IL"/>
        </w:rPr>
      </w:pPr>
    </w:p>
    <w:p w:rsidR="00BB59CD" w:rsidRDefault="00BB59CD" w:rsidP="00BB59CD">
      <w:pPr>
        <w:pStyle w:val="-"/>
        <w:keepNext/>
        <w:rPr>
          <w:rtl/>
        </w:rPr>
      </w:pPr>
      <w:bookmarkStart w:id="23889" w:name="ET_speakercontinue_6236_7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89"/>
    </w:p>
    <w:p w:rsidR="00BB59CD" w:rsidRDefault="00BB59CD" w:rsidP="00337201">
      <w:pPr>
        <w:rPr>
          <w:rtl/>
          <w:lang w:eastAsia="he-IL"/>
        </w:rPr>
      </w:pPr>
    </w:p>
    <w:p w:rsidR="00BB59CD" w:rsidRDefault="00BB59CD" w:rsidP="00BB59CD">
      <w:pPr>
        <w:rPr>
          <w:rtl/>
          <w:lang w:eastAsia="he-IL"/>
        </w:rPr>
      </w:pPr>
      <w:bookmarkStart w:id="23890" w:name="_ETM_Q37_733000"/>
      <w:bookmarkEnd w:id="23890"/>
      <w:r>
        <w:rPr>
          <w:rFonts w:hint="cs"/>
          <w:rtl/>
          <w:lang w:eastAsia="he-IL"/>
        </w:rPr>
        <w:t xml:space="preserve">פייגלין ישב 18 חודשים על זה. פייגלין ישב 18 חודשים. </w:t>
      </w:r>
      <w:bookmarkStart w:id="23891" w:name="_ETM_Q37_739000"/>
      <w:bookmarkEnd w:id="23891"/>
      <w:r>
        <w:rPr>
          <w:rFonts w:hint="cs"/>
          <w:rtl/>
          <w:lang w:eastAsia="he-IL"/>
        </w:rPr>
        <w:t>את מעדיפה לדבר למליאה ריקה בלי שאני אענה?</w:t>
      </w:r>
    </w:p>
    <w:p w:rsidR="00BB59CD" w:rsidRDefault="00BB59CD" w:rsidP="00BB59CD">
      <w:pPr>
        <w:rPr>
          <w:rtl/>
          <w:lang w:eastAsia="he-IL"/>
        </w:rPr>
      </w:pPr>
      <w:bookmarkStart w:id="23892" w:name="_ETM_Q37_740000"/>
      <w:bookmarkEnd w:id="23892"/>
    </w:p>
    <w:p w:rsidR="00BB59CD" w:rsidRDefault="00BB59CD" w:rsidP="00BB59CD">
      <w:pPr>
        <w:pStyle w:val="-"/>
        <w:keepNext/>
        <w:rPr>
          <w:rtl/>
        </w:rPr>
      </w:pPr>
      <w:bookmarkStart w:id="23893" w:name="ET_speakercontinue_6236_74"/>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893"/>
    </w:p>
    <w:p w:rsidR="00BB59CD" w:rsidRDefault="00BB59CD" w:rsidP="00337201">
      <w:pPr>
        <w:rPr>
          <w:rtl/>
          <w:lang w:eastAsia="he-IL"/>
        </w:rPr>
      </w:pPr>
    </w:p>
    <w:p w:rsidR="00BB59CD" w:rsidRDefault="00BB59CD" w:rsidP="00BB59CD">
      <w:pPr>
        <w:rPr>
          <w:rtl/>
          <w:lang w:eastAsia="he-IL"/>
        </w:rPr>
      </w:pPr>
      <w:r>
        <w:rPr>
          <w:rFonts w:hint="cs"/>
          <w:rtl/>
          <w:lang w:eastAsia="he-IL"/>
        </w:rPr>
        <w:t>יש לי נאום. אני הכנתי.</w:t>
      </w:r>
    </w:p>
    <w:p w:rsidR="00BB59CD" w:rsidRDefault="00BB59CD" w:rsidP="00BB59CD">
      <w:pPr>
        <w:rPr>
          <w:rtl/>
          <w:lang w:eastAsia="he-IL"/>
        </w:rPr>
      </w:pPr>
      <w:bookmarkStart w:id="23894" w:name="_ETM_Q37_741000"/>
      <w:bookmarkEnd w:id="23894"/>
    </w:p>
    <w:p w:rsidR="00BB59CD" w:rsidRDefault="00BB59CD" w:rsidP="00BB59CD">
      <w:pPr>
        <w:pStyle w:val="af9"/>
        <w:keepNext/>
        <w:rPr>
          <w:rtl/>
        </w:rPr>
      </w:pPr>
      <w:bookmarkStart w:id="23895" w:name="ET_yor_6488_7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895"/>
    </w:p>
    <w:p w:rsidR="00BB59CD" w:rsidRDefault="00BB59CD" w:rsidP="00337201">
      <w:pPr>
        <w:rPr>
          <w:rtl/>
          <w:lang w:eastAsia="he-IL"/>
        </w:rPr>
      </w:pPr>
    </w:p>
    <w:p w:rsidR="00BB59CD" w:rsidRDefault="00BB59CD" w:rsidP="00BB59CD">
      <w:pPr>
        <w:rPr>
          <w:rtl/>
          <w:lang w:eastAsia="he-IL"/>
        </w:rPr>
      </w:pPr>
      <w:bookmarkStart w:id="23896" w:name="_ETM_Q37_742000"/>
      <w:bookmarkEnd w:id="23896"/>
      <w:r>
        <w:rPr>
          <w:rFonts w:hint="cs"/>
          <w:rtl/>
          <w:lang w:eastAsia="he-IL"/>
        </w:rPr>
        <w:t>פייגלין קיבל 18</w:t>
      </w:r>
      <w:r w:rsidR="000B2C80">
        <w:rPr>
          <w:rFonts w:hint="cs"/>
          <w:rtl/>
          <w:lang w:eastAsia="he-IL"/>
        </w:rPr>
        <w:t xml:space="preserve"> חודשים, ובסוף המתיקו לו את זה ל</w:t>
      </w:r>
      <w:r>
        <w:rPr>
          <w:rFonts w:hint="cs"/>
          <w:rtl/>
          <w:lang w:eastAsia="he-IL"/>
        </w:rPr>
        <w:t>שישה חודשים.</w:t>
      </w:r>
    </w:p>
    <w:p w:rsidR="00BB59CD" w:rsidRDefault="00BB59CD" w:rsidP="00BB59CD">
      <w:pPr>
        <w:rPr>
          <w:rtl/>
          <w:lang w:eastAsia="he-IL"/>
        </w:rPr>
      </w:pPr>
    </w:p>
    <w:p w:rsidR="00BB59CD" w:rsidRDefault="00BB59CD" w:rsidP="00BB59CD">
      <w:pPr>
        <w:pStyle w:val="af8"/>
        <w:keepNext/>
        <w:rPr>
          <w:rtl/>
        </w:rPr>
      </w:pPr>
      <w:bookmarkStart w:id="23897" w:name="ET_interruption_6345_7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3897"/>
    </w:p>
    <w:p w:rsidR="00BB59CD" w:rsidRDefault="00BB59CD" w:rsidP="00337201">
      <w:pPr>
        <w:rPr>
          <w:rtl/>
          <w:lang w:eastAsia="he-IL"/>
        </w:rPr>
      </w:pPr>
    </w:p>
    <w:p w:rsidR="00BB59CD" w:rsidRDefault="00BB59CD" w:rsidP="00BB59CD">
      <w:pPr>
        <w:rPr>
          <w:rtl/>
          <w:lang w:eastAsia="he-IL"/>
        </w:rPr>
      </w:pPr>
      <w:r>
        <w:rPr>
          <w:rFonts w:hint="cs"/>
          <w:rtl/>
          <w:lang w:eastAsia="he-IL"/>
        </w:rPr>
        <w:t>זה לא משנה. הוא קיבל 18 חודש.</w:t>
      </w:r>
    </w:p>
    <w:p w:rsidR="00BB59CD" w:rsidRDefault="00BB59CD" w:rsidP="00BB59CD">
      <w:pPr>
        <w:rPr>
          <w:rtl/>
          <w:lang w:eastAsia="he-IL"/>
        </w:rPr>
      </w:pPr>
    </w:p>
    <w:p w:rsidR="00BB59CD" w:rsidRDefault="00BB59CD" w:rsidP="00BB59CD">
      <w:pPr>
        <w:pStyle w:val="af9"/>
        <w:keepNext/>
        <w:rPr>
          <w:rtl/>
        </w:rPr>
      </w:pPr>
      <w:bookmarkStart w:id="23898" w:name="ET_yor_6488_7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898"/>
    </w:p>
    <w:p w:rsidR="00BB59CD" w:rsidRDefault="00BB59CD" w:rsidP="00337201">
      <w:pPr>
        <w:rPr>
          <w:rtl/>
          <w:lang w:eastAsia="he-IL"/>
        </w:rPr>
      </w:pPr>
    </w:p>
    <w:p w:rsidR="00BB59CD" w:rsidRDefault="00BB59CD" w:rsidP="00BB59CD">
      <w:pPr>
        <w:rPr>
          <w:rtl/>
          <w:lang w:eastAsia="he-IL"/>
        </w:rPr>
      </w:pPr>
      <w:bookmarkStart w:id="23899" w:name="_ETM_Q37_748000"/>
      <w:bookmarkEnd w:id="23899"/>
      <w:r>
        <w:rPr>
          <w:rFonts w:hint="cs"/>
          <w:rtl/>
          <w:lang w:eastAsia="he-IL"/>
        </w:rPr>
        <w:t xml:space="preserve">רגע. רגע. למה </w:t>
      </w:r>
      <w:bookmarkStart w:id="23900" w:name="_ETM_Q37_749000"/>
      <w:bookmarkEnd w:id="23900"/>
      <w:r>
        <w:rPr>
          <w:rFonts w:hint="cs"/>
          <w:rtl/>
          <w:lang w:eastAsia="he-IL"/>
        </w:rPr>
        <w:t xml:space="preserve">את לא מקשיבה עד הסוף? נתנו לו קלון, והוא לא </w:t>
      </w:r>
      <w:bookmarkStart w:id="23901" w:name="_ETM_Q37_754000"/>
      <w:bookmarkEnd w:id="23901"/>
      <w:r>
        <w:rPr>
          <w:rFonts w:hint="cs"/>
          <w:rtl/>
          <w:lang w:eastAsia="he-IL"/>
        </w:rPr>
        <w:t xml:space="preserve">יכול היה להתמודד לכנסת. ועל מה? הוא לא סגר כביש. </w:t>
      </w:r>
      <w:bookmarkStart w:id="23902" w:name="_ETM_Q37_756000"/>
      <w:bookmarkEnd w:id="23902"/>
      <w:r>
        <w:rPr>
          <w:rFonts w:hint="cs"/>
          <w:rtl/>
          <w:lang w:eastAsia="he-IL"/>
        </w:rPr>
        <w:t>הוא אמר שצריך לסגור כביש.</w:t>
      </w:r>
    </w:p>
    <w:p w:rsidR="00BB59CD" w:rsidRDefault="00BB59CD" w:rsidP="00BB59CD">
      <w:pPr>
        <w:rPr>
          <w:rtl/>
          <w:lang w:eastAsia="he-IL"/>
        </w:rPr>
      </w:pPr>
      <w:bookmarkStart w:id="23903" w:name="_ETM_Q37_758000"/>
      <w:bookmarkEnd w:id="23903"/>
    </w:p>
    <w:p w:rsidR="00BB59CD" w:rsidRDefault="00BB59CD" w:rsidP="00BB59CD">
      <w:pPr>
        <w:pStyle w:val="af8"/>
        <w:keepNext/>
        <w:rPr>
          <w:rtl/>
        </w:rPr>
      </w:pPr>
      <w:bookmarkStart w:id="23904" w:name="ET_interruption_6345_1"/>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bookmarkEnd w:id="23904"/>
    </w:p>
    <w:p w:rsidR="00BB59CD" w:rsidRDefault="00BB59CD" w:rsidP="00337201">
      <w:pPr>
        <w:rPr>
          <w:rtl/>
          <w:lang w:eastAsia="he-IL"/>
        </w:rPr>
      </w:pPr>
    </w:p>
    <w:p w:rsidR="00BB59CD" w:rsidRDefault="00BB59CD" w:rsidP="000B2C80">
      <w:pPr>
        <w:rPr>
          <w:rtl/>
          <w:lang w:eastAsia="he-IL"/>
        </w:rPr>
      </w:pPr>
      <w:r>
        <w:rPr>
          <w:rFonts w:hint="cs"/>
          <w:rtl/>
          <w:lang w:eastAsia="he-IL"/>
        </w:rPr>
        <w:t xml:space="preserve">ואתה יודע, מה שמדהים, משתמשים בהרשעה קודמת של בן גביר נגדו, מה </w:t>
      </w:r>
      <w:bookmarkStart w:id="23905" w:name="_ETM_Q38_167000"/>
      <w:bookmarkEnd w:id="23905"/>
      <w:r>
        <w:rPr>
          <w:rFonts w:hint="cs"/>
          <w:rtl/>
          <w:lang w:eastAsia="he-IL"/>
        </w:rPr>
        <w:t xml:space="preserve">בן גביר עשה? בן גביר הרים שלט. הרים שלט. </w:t>
      </w:r>
    </w:p>
    <w:p w:rsidR="00BB59CD" w:rsidRDefault="00BB59CD" w:rsidP="00BB59CD">
      <w:pPr>
        <w:rPr>
          <w:rtl/>
          <w:lang w:eastAsia="he-IL"/>
        </w:rPr>
      </w:pPr>
      <w:bookmarkStart w:id="23906" w:name="_ETM_Q38_172949"/>
      <w:bookmarkStart w:id="23907" w:name="_ETM_Q38_173084"/>
      <w:bookmarkEnd w:id="23906"/>
      <w:bookmarkEnd w:id="23907"/>
    </w:p>
    <w:p w:rsidR="00BB59CD" w:rsidRDefault="00BB59CD" w:rsidP="00BB59CD">
      <w:pPr>
        <w:pStyle w:val="af9"/>
        <w:keepNext/>
        <w:rPr>
          <w:rtl/>
        </w:rPr>
      </w:pPr>
      <w:bookmarkStart w:id="23908" w:name="ET_yor_6488_3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908"/>
    </w:p>
    <w:p w:rsidR="00BB59CD" w:rsidRDefault="00BB59CD" w:rsidP="00337201">
      <w:pPr>
        <w:rPr>
          <w:rtl/>
          <w:lang w:eastAsia="he-IL"/>
        </w:rPr>
      </w:pPr>
    </w:p>
    <w:p w:rsidR="00BB59CD" w:rsidRDefault="00BB59CD" w:rsidP="00BB59CD">
      <w:pPr>
        <w:rPr>
          <w:rtl/>
          <w:lang w:eastAsia="he-IL"/>
        </w:rPr>
      </w:pPr>
      <w:bookmarkStart w:id="23909" w:name="_ETM_Q38_174741"/>
      <w:bookmarkEnd w:id="23909"/>
      <w:r>
        <w:rPr>
          <w:rFonts w:hint="cs"/>
          <w:rtl/>
          <w:lang w:eastAsia="he-IL"/>
        </w:rPr>
        <w:t xml:space="preserve">זה הזמן שלה. </w:t>
      </w:r>
      <w:r w:rsidR="000B2C80">
        <w:rPr>
          <w:rFonts w:hint="cs"/>
          <w:rtl/>
          <w:lang w:eastAsia="he-IL"/>
        </w:rPr>
        <w:t xml:space="preserve">זה הזמן שלה. </w:t>
      </w:r>
      <w:r>
        <w:rPr>
          <w:rFonts w:hint="cs"/>
          <w:rtl/>
          <w:lang w:eastAsia="he-IL"/>
        </w:rPr>
        <w:t>חברת הכנסת גוטליב, זה הזמן שלה.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אבל להבעיר את איילון זה בסדר, </w:t>
      </w:r>
      <w:bookmarkStart w:id="23910" w:name="_ETM_Q38_175000"/>
      <w:bookmarkEnd w:id="23910"/>
      <w:r>
        <w:rPr>
          <w:rFonts w:hint="cs"/>
          <w:rtl/>
          <w:lang w:eastAsia="he-IL"/>
        </w:rPr>
        <w:t>נו.</w:t>
      </w:r>
    </w:p>
    <w:p w:rsidR="00BB59CD" w:rsidRDefault="00BB59CD" w:rsidP="00BB59CD">
      <w:pPr>
        <w:rPr>
          <w:rtl/>
          <w:lang w:eastAsia="he-IL"/>
        </w:rPr>
      </w:pPr>
    </w:p>
    <w:p w:rsidR="00BB59CD" w:rsidRDefault="00BB59CD" w:rsidP="00BB59CD">
      <w:pPr>
        <w:pStyle w:val="-"/>
        <w:keepNext/>
        <w:rPr>
          <w:rtl/>
        </w:rPr>
      </w:pPr>
      <w:bookmarkStart w:id="23911" w:name="ET_speakercontinue_6236_3"/>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911"/>
    </w:p>
    <w:p w:rsidR="00BB59CD" w:rsidRDefault="00BB59CD" w:rsidP="00337201">
      <w:pPr>
        <w:rPr>
          <w:rtl/>
          <w:lang w:eastAsia="he-IL"/>
        </w:rPr>
      </w:pPr>
    </w:p>
    <w:p w:rsidR="00BB59CD" w:rsidRDefault="00BB59CD" w:rsidP="000B2C80">
      <w:pPr>
        <w:rPr>
          <w:rtl/>
          <w:lang w:eastAsia="he-IL"/>
        </w:rPr>
      </w:pPr>
      <w:r>
        <w:rPr>
          <w:rFonts w:hint="cs"/>
          <w:rtl/>
          <w:lang w:eastAsia="he-IL"/>
        </w:rPr>
        <w:t xml:space="preserve">עכשיו אני רוצה לומר למה אנחנו לא מאמינים שהכול </w:t>
      </w:r>
      <w:bookmarkStart w:id="23912" w:name="_ETM_Q38_178000"/>
      <w:bookmarkEnd w:id="23912"/>
      <w:r>
        <w:rPr>
          <w:rFonts w:hint="cs"/>
          <w:rtl/>
          <w:lang w:eastAsia="he-IL"/>
        </w:rPr>
        <w:t xml:space="preserve">פה בתום לב, ולמה הסיפור של עילת הסבירות לא </w:t>
      </w:r>
      <w:bookmarkStart w:id="23913" w:name="_ETM_Q38_181000"/>
      <w:bookmarkEnd w:id="23913"/>
      <w:r>
        <w:rPr>
          <w:rFonts w:hint="cs"/>
          <w:rtl/>
          <w:lang w:eastAsia="he-IL"/>
        </w:rPr>
        <w:t xml:space="preserve">רק חמור בפני עצמו אלא נמצא תחת קונטקסט ברור, ואני אקריא אמירות על המשך ההפיכה – רק חלקן, כי יש </w:t>
      </w:r>
      <w:bookmarkStart w:id="23914" w:name="_ETM_Q38_191000"/>
      <w:bookmarkEnd w:id="23914"/>
      <w:r>
        <w:rPr>
          <w:rFonts w:hint="cs"/>
          <w:rtl/>
          <w:lang w:eastAsia="he-IL"/>
        </w:rPr>
        <w:t>פה הרבה:</w:t>
      </w:r>
    </w:p>
    <w:p w:rsidR="00BB59CD" w:rsidRDefault="00BB59CD" w:rsidP="00BB59CD">
      <w:pPr>
        <w:rPr>
          <w:rtl/>
          <w:lang w:eastAsia="he-IL"/>
        </w:rPr>
      </w:pPr>
    </w:p>
    <w:p w:rsidR="00BB59CD" w:rsidRDefault="00BB59CD" w:rsidP="000B2C80">
      <w:pPr>
        <w:rPr>
          <w:rtl/>
          <w:lang w:eastAsia="he-IL"/>
        </w:rPr>
      </w:pPr>
      <w:bookmarkStart w:id="23915" w:name="_ETM_Q38_189000"/>
      <w:bookmarkEnd w:id="23915"/>
      <w:r>
        <w:rPr>
          <w:rFonts w:hint="cs"/>
          <w:rtl/>
          <w:lang w:eastAsia="he-IL"/>
        </w:rPr>
        <w:t xml:space="preserve">עמיחי אליהו: "אנחנו עושים את הדברים טיפה אחר </w:t>
      </w:r>
      <w:bookmarkStart w:id="23916" w:name="_ETM_Q38_192000"/>
      <w:bookmarkEnd w:id="23916"/>
      <w:r>
        <w:rPr>
          <w:rFonts w:hint="cs"/>
          <w:rtl/>
          <w:lang w:eastAsia="he-IL"/>
        </w:rPr>
        <w:t xml:space="preserve">טיפה. שיטת הטיפות במקום שיטת הסלמי. רוצים לקדם את החקיקה </w:t>
      </w:r>
      <w:bookmarkStart w:id="23917" w:name="_ETM_Q38_201000"/>
      <w:bookmarkEnd w:id="23917"/>
      <w:r>
        <w:rPr>
          <w:rFonts w:hint="cs"/>
          <w:rtl/>
          <w:lang w:eastAsia="he-IL"/>
        </w:rPr>
        <w:t xml:space="preserve">שיהיה גשם ולא סערה". אני לא אמשיך את הציטוט. בבקשה, את זה שר אחד אמר. </w:t>
      </w:r>
      <w:bookmarkStart w:id="23918" w:name="_ETM_Q38_206000"/>
      <w:bookmarkEnd w:id="23918"/>
      <w:r>
        <w:rPr>
          <w:rFonts w:hint="cs"/>
          <w:rtl/>
          <w:lang w:eastAsia="he-IL"/>
        </w:rPr>
        <w:t xml:space="preserve">שר האוצר בצלאל סמוטריץ': </w:t>
      </w:r>
      <w:bookmarkStart w:id="23919" w:name="_ETM_Q38_205000"/>
      <w:bookmarkEnd w:id="23919"/>
      <w:r>
        <w:rPr>
          <w:rFonts w:hint="cs"/>
          <w:rtl/>
          <w:lang w:eastAsia="he-IL"/>
        </w:rPr>
        <w:t xml:space="preserve">"נמשיך בעזרת השם לבצע את התיקונים במערכת המשפט מתוך אחריות </w:t>
      </w:r>
      <w:bookmarkStart w:id="23920" w:name="_ETM_Q38_213000"/>
      <w:bookmarkEnd w:id="23920"/>
      <w:r>
        <w:rPr>
          <w:rFonts w:hint="cs"/>
          <w:rtl/>
          <w:lang w:eastAsia="he-IL"/>
        </w:rPr>
        <w:t xml:space="preserve">ובשיקול דעת, כל זאת תחת המנדט שקיבלנו באופן ברור בבחירות </w:t>
      </w:r>
      <w:bookmarkStart w:id="23921" w:name="_ETM_Q38_214000"/>
      <w:bookmarkEnd w:id="23921"/>
      <w:r>
        <w:rPr>
          <w:rFonts w:hint="cs"/>
          <w:rtl/>
          <w:lang w:eastAsia="he-IL"/>
        </w:rPr>
        <w:t xml:space="preserve">האחרונות" – סמוטריץ' בישיבת סיעת הציונות הדתית; "ישנה הסכמה בין </w:t>
      </w:r>
      <w:bookmarkStart w:id="23922" w:name="_ETM_Q38_216000"/>
      <w:bookmarkEnd w:id="23922"/>
      <w:r>
        <w:rPr>
          <w:rFonts w:hint="cs"/>
          <w:rtl/>
          <w:lang w:eastAsia="he-IL"/>
        </w:rPr>
        <w:t xml:space="preserve">כל ראשי הקואליציה שהשלב הבא בחקיקה צריך להיות השינוי </w:t>
      </w:r>
      <w:bookmarkStart w:id="23923" w:name="_ETM_Q38_220000"/>
      <w:bookmarkEnd w:id="23923"/>
      <w:r>
        <w:rPr>
          <w:rFonts w:hint="cs"/>
          <w:rtl/>
          <w:lang w:eastAsia="he-IL"/>
        </w:rPr>
        <w:t>בהרכב הוועדה לבחירת שופטים". בקולם, בקולם. בן גביר: ה</w:t>
      </w:r>
      <w:bookmarkStart w:id="23924" w:name="_ETM_Q38_226000"/>
      <w:bookmarkEnd w:id="23924"/>
      <w:r>
        <w:rPr>
          <w:rFonts w:hint="cs"/>
          <w:rtl/>
          <w:lang w:eastAsia="he-IL"/>
        </w:rPr>
        <w:t>חוק לצמצום עילת הסבירות הוא הספתח ברפורמה המשפטית, רק "ה'סלטים' שפותחים את התיאבון".</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3925" w:name="_ETM_Q38_234000"/>
      <w:bookmarkEnd w:id="23925"/>
      <w:r>
        <w:rPr>
          <w:rFonts w:hint="cs"/>
          <w:rtl/>
          <w:lang w:eastAsia="he-IL"/>
        </w:rPr>
        <w:t>ממתי סלטים פותחים תיאבון?</w:t>
      </w:r>
    </w:p>
    <w:p w:rsidR="00BB59CD" w:rsidRDefault="00BB59CD" w:rsidP="00BB59CD">
      <w:pPr>
        <w:rPr>
          <w:rtl/>
          <w:lang w:eastAsia="he-IL"/>
        </w:rPr>
      </w:pPr>
      <w:bookmarkStart w:id="23926" w:name="_ETM_Q38_235000"/>
      <w:bookmarkEnd w:id="23926"/>
    </w:p>
    <w:p w:rsidR="00BB59CD" w:rsidRDefault="00BB59CD" w:rsidP="00BB59CD">
      <w:pPr>
        <w:pStyle w:val="-"/>
        <w:keepNext/>
        <w:rPr>
          <w:rtl/>
        </w:rPr>
      </w:pPr>
      <w:bookmarkStart w:id="23927" w:name="ET_speakercontinue_6236_1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3927"/>
    </w:p>
    <w:p w:rsidR="00BB59CD" w:rsidRDefault="00BB59CD" w:rsidP="00337201">
      <w:pPr>
        <w:rPr>
          <w:rtl/>
          <w:lang w:eastAsia="he-IL"/>
        </w:rPr>
      </w:pPr>
    </w:p>
    <w:p w:rsidR="00BB59CD" w:rsidRDefault="00BB59CD" w:rsidP="00BB59CD">
      <w:pPr>
        <w:rPr>
          <w:rtl/>
          <w:lang w:eastAsia="he-IL"/>
        </w:rPr>
      </w:pPr>
      <w:bookmarkStart w:id="23928" w:name="_ETM_Q38_238000"/>
      <w:bookmarkStart w:id="23929" w:name="_ETM_Q38_239000"/>
      <w:bookmarkEnd w:id="23928"/>
      <w:bookmarkEnd w:id="23929"/>
      <w:r>
        <w:rPr>
          <w:rFonts w:hint="cs"/>
          <w:rtl/>
          <w:lang w:eastAsia="he-IL"/>
        </w:rPr>
        <w:t>הוא המשיך עם עוד ציטוטים</w:t>
      </w:r>
      <w:bookmarkStart w:id="23930" w:name="_ETM_Q38_242000"/>
      <w:bookmarkEnd w:id="23930"/>
      <w:r>
        <w:rPr>
          <w:rFonts w:hint="cs"/>
          <w:rtl/>
          <w:lang w:eastAsia="he-IL"/>
        </w:rPr>
        <w:t xml:space="preserve"> בנושא הזה. </w:t>
      </w:r>
    </w:p>
    <w:p w:rsidR="00BB59CD" w:rsidRDefault="00BB59CD" w:rsidP="00BB59CD">
      <w:pPr>
        <w:rPr>
          <w:rtl/>
          <w:lang w:eastAsia="he-IL"/>
        </w:rPr>
      </w:pPr>
      <w:bookmarkStart w:id="23931" w:name="_ETM_Q38_244000"/>
      <w:bookmarkEnd w:id="23931"/>
    </w:p>
    <w:p w:rsidR="00BB59CD" w:rsidRDefault="00BB59CD" w:rsidP="000B2C80">
      <w:pPr>
        <w:rPr>
          <w:rtl/>
          <w:lang w:eastAsia="he-IL"/>
        </w:rPr>
      </w:pPr>
      <w:r>
        <w:rPr>
          <w:rFonts w:hint="cs"/>
          <w:rtl/>
          <w:lang w:eastAsia="he-IL"/>
        </w:rPr>
        <w:t xml:space="preserve">מיקי זוהר: "את הרפורמה המשפטית אנחנו חייבים לעשות, </w:t>
      </w:r>
      <w:bookmarkStart w:id="23932" w:name="_ETM_Q38_245000"/>
      <w:bookmarkEnd w:id="23932"/>
      <w:r>
        <w:rPr>
          <w:rFonts w:hint="cs"/>
          <w:rtl/>
          <w:lang w:eastAsia="he-IL"/>
        </w:rPr>
        <w:t xml:space="preserve">ולא יכולים לסגת ממנה". יש עוד המשך, </w:t>
      </w:r>
      <w:bookmarkStart w:id="23933" w:name="_ETM_Q38_249000"/>
      <w:bookmarkEnd w:id="23933"/>
      <w:r>
        <w:rPr>
          <w:rFonts w:hint="cs"/>
          <w:rtl/>
          <w:lang w:eastAsia="he-IL"/>
        </w:rPr>
        <w:t xml:space="preserve">אבל גם הוא אומר את זה. </w:t>
      </w:r>
      <w:bookmarkStart w:id="23934" w:name="_ETM_Q38_251000"/>
      <w:bookmarkStart w:id="23935" w:name="_ETM_Q38_252000"/>
      <w:bookmarkEnd w:id="23934"/>
      <w:bookmarkEnd w:id="23935"/>
      <w:r>
        <w:rPr>
          <w:rFonts w:hint="cs"/>
          <w:rtl/>
          <w:lang w:eastAsia="he-IL"/>
        </w:rPr>
        <w:t>יריב לוין ודוד אמסלם, הדלפה מפגישה עם נתניהו:</w:t>
      </w:r>
      <w:bookmarkStart w:id="23936" w:name="_ETM_Q38_253000"/>
      <w:bookmarkEnd w:id="23936"/>
      <w:r>
        <w:rPr>
          <w:rFonts w:hint="cs"/>
          <w:rtl/>
          <w:lang w:eastAsia="he-IL"/>
        </w:rPr>
        <w:t xml:space="preserve"> לוין לוחץ לקדם חקיקה נוספת מהרפורמה שלו לפני פגרת הקיץ </w:t>
      </w:r>
      <w:bookmarkStart w:id="23937" w:name="_ETM_Q38_259000"/>
      <w:bookmarkEnd w:id="23937"/>
      <w:r>
        <w:rPr>
          <w:rFonts w:hint="cs"/>
          <w:rtl/>
          <w:lang w:eastAsia="he-IL"/>
        </w:rPr>
        <w:t xml:space="preserve">של הכנסת בנוסף לחוק לצמצום עילת הסבירות. הוא מעוניין להתחיל </w:t>
      </w:r>
      <w:bookmarkStart w:id="23938" w:name="_ETM_Q38_263000"/>
      <w:bookmarkEnd w:id="23938"/>
      <w:r>
        <w:rPr>
          <w:rFonts w:hint="cs"/>
          <w:rtl/>
          <w:lang w:eastAsia="he-IL"/>
        </w:rPr>
        <w:t xml:space="preserve">לקדם כבר את חוק היועמ"שים, או שינוי בהרכב הוועדה לבחירת </w:t>
      </w:r>
      <w:bookmarkStart w:id="23939" w:name="_ETM_Q38_267000"/>
      <w:bookmarkEnd w:id="23939"/>
      <w:r>
        <w:rPr>
          <w:rFonts w:hint="cs"/>
          <w:rtl/>
          <w:lang w:eastAsia="he-IL"/>
        </w:rPr>
        <w:t xml:space="preserve">שופטים – לא נמשיך את זה. </w:t>
      </w:r>
      <w:bookmarkStart w:id="23940" w:name="_ETM_Q38_271000"/>
      <w:bookmarkEnd w:id="23940"/>
      <w:r>
        <w:rPr>
          <w:rFonts w:hint="cs"/>
          <w:rtl/>
          <w:lang w:eastAsia="he-IL"/>
        </w:rPr>
        <w:t xml:space="preserve">דודי אמסלם: "נעשה את </w:t>
      </w:r>
      <w:bookmarkStart w:id="23941" w:name="_ETM_Q38_276000"/>
      <w:bookmarkEnd w:id="23941"/>
      <w:r>
        <w:rPr>
          <w:rFonts w:hint="cs"/>
          <w:rtl/>
          <w:lang w:eastAsia="he-IL"/>
        </w:rPr>
        <w:t xml:space="preserve">המהפכה על אפכם וחמתכם"; "מי שיעבור על החוק ישב בבית </w:t>
      </w:r>
      <w:bookmarkStart w:id="23942" w:name="_ETM_Q38_281000"/>
      <w:bookmarkEnd w:id="23942"/>
      <w:r>
        <w:rPr>
          <w:rFonts w:hint="cs"/>
          <w:rtl/>
          <w:lang w:eastAsia="he-IL"/>
        </w:rPr>
        <w:t xml:space="preserve">סוהר". </w:t>
      </w:r>
      <w:bookmarkStart w:id="23943" w:name="_ETM_Q38_283000"/>
      <w:bookmarkEnd w:id="23943"/>
      <w:r>
        <w:rPr>
          <w:rFonts w:hint="cs"/>
          <w:rtl/>
          <w:lang w:eastAsia="he-IL"/>
        </w:rPr>
        <w:t xml:space="preserve">אני רק רוצה לומר, עד כמה אין פה תום </w:t>
      </w:r>
      <w:bookmarkStart w:id="23944" w:name="_ETM_Q38_287000"/>
      <w:bookmarkEnd w:id="23944"/>
      <w:r>
        <w:rPr>
          <w:rFonts w:hint="cs"/>
          <w:rtl/>
          <w:lang w:eastAsia="he-IL"/>
        </w:rPr>
        <w:t xml:space="preserve">לב. יש פה כוונה ברורה לחלוטין. </w:t>
      </w:r>
      <w:bookmarkStart w:id="23945" w:name="_ETM_Q38_293000"/>
      <w:bookmarkEnd w:id="23945"/>
    </w:p>
    <w:p w:rsidR="00BB59CD" w:rsidRDefault="00BB59CD" w:rsidP="00BB59CD">
      <w:pPr>
        <w:rPr>
          <w:rtl/>
          <w:lang w:eastAsia="he-IL"/>
        </w:rPr>
      </w:pPr>
      <w:bookmarkStart w:id="23946" w:name="_ETM_Q38_294856"/>
      <w:bookmarkStart w:id="23947" w:name="_ETM_Q38_294938"/>
      <w:bookmarkEnd w:id="23946"/>
      <w:bookmarkEnd w:id="23947"/>
    </w:p>
    <w:p w:rsidR="00BB59CD" w:rsidRDefault="00BB59CD" w:rsidP="00BB59CD">
      <w:pPr>
        <w:rPr>
          <w:rtl/>
          <w:lang w:eastAsia="he-IL"/>
        </w:rPr>
      </w:pPr>
      <w:bookmarkStart w:id="23948" w:name="_ETM_Q38_295002"/>
      <w:bookmarkStart w:id="23949" w:name="_ETM_Q38_295124"/>
      <w:bookmarkEnd w:id="23948"/>
      <w:bookmarkEnd w:id="23949"/>
      <w:r>
        <w:rPr>
          <w:rFonts w:hint="cs"/>
          <w:rtl/>
          <w:lang w:eastAsia="he-IL"/>
        </w:rPr>
        <w:t xml:space="preserve">אני רוצה לקרוא פה קטע. </w:t>
      </w:r>
      <w:bookmarkStart w:id="23950" w:name="_ETM_Q38_291000"/>
      <w:bookmarkEnd w:id="23950"/>
      <w:r>
        <w:rPr>
          <w:rFonts w:hint="cs"/>
          <w:rtl/>
          <w:lang w:eastAsia="he-IL"/>
        </w:rPr>
        <w:t xml:space="preserve">בשבוע שעבר, בוועדת החוקה – תעצור רגע. </w:t>
      </w:r>
    </w:p>
    <w:p w:rsidR="00BB59CD" w:rsidRDefault="00BB59CD" w:rsidP="00BB59CD">
      <w:pPr>
        <w:rPr>
          <w:rtl/>
          <w:lang w:eastAsia="he-IL"/>
        </w:rPr>
      </w:pPr>
    </w:p>
    <w:p w:rsidR="00BB59CD" w:rsidRDefault="00BB59CD" w:rsidP="00BB59CD">
      <w:pPr>
        <w:pStyle w:val="af9"/>
        <w:keepNext/>
        <w:rPr>
          <w:rtl/>
        </w:rPr>
      </w:pPr>
      <w:bookmarkStart w:id="23951" w:name="ET_yor_6488_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95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חברת הכנסת גוטליב, זה מפריע לה קצת.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3952" w:name="_ETM_Q38_316000"/>
      <w:bookmarkEnd w:id="23952"/>
      <w:r>
        <w:rPr>
          <w:rFonts w:hint="cs"/>
          <w:rtl/>
          <w:lang w:eastAsia="he-IL"/>
        </w:rPr>
        <w:t xml:space="preserve">אני חייבת מזגן – קירור.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3953" w:name="_ETM_Q38_317000"/>
      <w:bookmarkStart w:id="23954" w:name="_ETM_Q38_327000"/>
      <w:bookmarkEnd w:id="23953"/>
      <w:bookmarkEnd w:id="23954"/>
      <w:r>
        <w:rPr>
          <w:rFonts w:hint="cs"/>
          <w:rtl/>
          <w:lang w:eastAsia="he-IL"/>
        </w:rPr>
        <w:t xml:space="preserve">הוסיפו, הוסיפו קצת, אני מרגיש את ההבדל. </w:t>
      </w:r>
      <w:bookmarkStart w:id="23955" w:name="_ETM_Q38_335000"/>
      <w:bookmarkEnd w:id="23955"/>
      <w:r>
        <w:rPr>
          <w:rFonts w:hint="cs"/>
          <w:rtl/>
          <w:lang w:eastAsia="he-IL"/>
        </w:rPr>
        <w:t xml:space="preserve">בבקשה. </w:t>
      </w:r>
    </w:p>
    <w:p w:rsidR="00BB59CD" w:rsidRDefault="00BB59CD" w:rsidP="00BB59CD">
      <w:pPr>
        <w:rPr>
          <w:rtl/>
          <w:lang w:eastAsia="he-IL"/>
        </w:rPr>
      </w:pPr>
    </w:p>
    <w:p w:rsidR="00BB59CD" w:rsidRDefault="00BB59CD" w:rsidP="00337201">
      <w:pPr>
        <w:rPr>
          <w:rStyle w:val="TagStyle"/>
          <w:b/>
          <w:bCs/>
          <w:u w:val="single"/>
          <w:rtl/>
          <w:specVanish/>
        </w:rPr>
      </w:pPr>
      <w:bookmarkStart w:id="23956" w:name="_ETM_Q38_336000"/>
      <w:bookmarkEnd w:id="23956"/>
    </w:p>
    <w:p w:rsidR="00BB59CD" w:rsidRDefault="00BB59CD" w:rsidP="00BB59CD">
      <w:pPr>
        <w:pStyle w:val="-"/>
        <w:keepNext/>
        <w:rPr>
          <w:rtl/>
        </w:rPr>
      </w:pPr>
      <w:bookmarkStart w:id="23957" w:name="_ETM_Q38_337000"/>
      <w:bookmarkEnd w:id="23957"/>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3958" w:name="_ETM_Q38_338000"/>
      <w:bookmarkEnd w:id="23958"/>
      <w:r>
        <w:rPr>
          <w:rFonts w:hint="cs"/>
          <w:rtl/>
          <w:lang w:eastAsia="he-IL"/>
        </w:rPr>
        <w:t xml:space="preserve">בוועדת החוקה בשבוע שעבר הקראתי ציטוט מהספר "רודנות בחסות </w:t>
      </w:r>
      <w:bookmarkStart w:id="23959" w:name="_ETM_Q38_340000"/>
      <w:bookmarkEnd w:id="23959"/>
      <w:r>
        <w:rPr>
          <w:rFonts w:hint="cs"/>
          <w:rtl/>
          <w:lang w:eastAsia="he-IL"/>
        </w:rPr>
        <w:t xml:space="preserve">החוק", של קים ליין שפלי. היא חוקרת סוציולוגית מדהימה, שממש </w:t>
      </w:r>
      <w:bookmarkStart w:id="23960" w:name="_ETM_Q38_351000"/>
      <w:bookmarkEnd w:id="23960"/>
      <w:r>
        <w:rPr>
          <w:rFonts w:hint="cs"/>
          <w:rtl/>
          <w:lang w:eastAsia="he-IL"/>
        </w:rPr>
        <w:t>מנתחת איך דמוקרטיות ליברליות משתנות כשיש מנהיגים רודנים שמשתמשים במערכ</w:t>
      </w:r>
      <w:bookmarkStart w:id="23961" w:name="_ETM_Q38_357000"/>
      <w:bookmarkEnd w:id="23961"/>
      <w:r>
        <w:rPr>
          <w:rFonts w:hint="cs"/>
          <w:rtl/>
          <w:lang w:eastAsia="he-IL"/>
        </w:rPr>
        <w:t xml:space="preserve">ת הדמוקרטית ובחוק כדי להפוך אותן. </w:t>
      </w:r>
    </w:p>
    <w:p w:rsidR="00BB59CD" w:rsidRDefault="00BB59CD" w:rsidP="00BB59CD">
      <w:pPr>
        <w:rPr>
          <w:rtl/>
          <w:lang w:eastAsia="he-IL"/>
        </w:rPr>
      </w:pPr>
    </w:p>
    <w:p w:rsidR="00BB59CD" w:rsidRDefault="00BB59CD" w:rsidP="000B2C80">
      <w:pPr>
        <w:rPr>
          <w:rtl/>
          <w:lang w:eastAsia="he-IL"/>
        </w:rPr>
      </w:pPr>
      <w:bookmarkStart w:id="23962" w:name="_ETM_Q38_362000"/>
      <w:bookmarkEnd w:id="23962"/>
      <w:r>
        <w:rPr>
          <w:rFonts w:hint="cs"/>
          <w:rtl/>
          <w:lang w:eastAsia="he-IL"/>
        </w:rPr>
        <w:t xml:space="preserve">אבל פה אני רוצה להקריא – רגע, יש ממש רעש. תעצור, תעצור רגע, זה כבר בכוונה, </w:t>
      </w:r>
      <w:bookmarkStart w:id="23963" w:name="_ETM_Q38_372000"/>
      <w:bookmarkEnd w:id="23963"/>
      <w:r>
        <w:rPr>
          <w:rFonts w:hint="cs"/>
          <w:rtl/>
          <w:lang w:eastAsia="he-IL"/>
        </w:rPr>
        <w:t xml:space="preserve">זה כמו פיליבסטר.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3964" w:name="_ETM_Q38_370000"/>
      <w:bookmarkEnd w:id="23964"/>
      <w:r>
        <w:rPr>
          <w:rFonts w:hint="cs"/>
          <w:rtl/>
          <w:lang w:eastAsia="he-IL"/>
        </w:rPr>
        <w:t xml:space="preserve">לא, זה לא בכוונה. הם מדברים על התנהלות, אלה לא הערות ביניים.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אז אני לא יכולה</w:t>
      </w:r>
      <w:bookmarkStart w:id="23965" w:name="_ETM_Q38_377542"/>
      <w:bookmarkEnd w:id="23965"/>
      <w:r>
        <w:rPr>
          <w:rFonts w:hint="cs"/>
          <w:rtl/>
          <w:lang w:eastAsia="he-IL"/>
        </w:rPr>
        <w:t xml:space="preserve"> לדבר, תעצור רגע.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3966" w:name="_ETM_Q38_377000"/>
      <w:bookmarkEnd w:id="23966"/>
      <w:r>
        <w:rPr>
          <w:rFonts w:hint="cs"/>
          <w:rtl/>
          <w:lang w:eastAsia="he-IL"/>
        </w:rPr>
        <w:t xml:space="preserve">אבל אלה לא הערות ביניים, </w:t>
      </w:r>
      <w:bookmarkStart w:id="23967" w:name="_ETM_Q38_374000"/>
      <w:bookmarkEnd w:id="23967"/>
      <w:r>
        <w:rPr>
          <w:rFonts w:hint="cs"/>
          <w:rtl/>
          <w:lang w:eastAsia="he-IL"/>
        </w:rPr>
        <w:t xml:space="preserve">אלה לא קריאות ביניים. </w:t>
      </w:r>
    </w:p>
    <w:p w:rsidR="00BB59CD" w:rsidRDefault="00BB59CD" w:rsidP="00BB59CD">
      <w:pPr>
        <w:rPr>
          <w:rtl/>
          <w:lang w:eastAsia="he-IL"/>
        </w:rPr>
      </w:pPr>
      <w:bookmarkStart w:id="23968" w:name="_ETM_Q38_376000"/>
      <w:bookmarkStart w:id="23969" w:name="_ETM_Q38_375000"/>
      <w:bookmarkEnd w:id="23968"/>
      <w:bookmarkEnd w:id="23969"/>
    </w:p>
    <w:p w:rsidR="00BB59CD" w:rsidRDefault="00BB59CD" w:rsidP="00BB59CD">
      <w:pPr>
        <w:pStyle w:val="af8"/>
        <w:keepNext/>
        <w:rPr>
          <w:rtl/>
        </w:rPr>
      </w:pPr>
      <w:bookmarkStart w:id="23970" w:name="ET_interruption_5786_10"/>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3970"/>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 לא יכולה לדבר? </w:t>
      </w:r>
    </w:p>
    <w:p w:rsidR="00BB59CD" w:rsidRDefault="00BB59CD" w:rsidP="00BB59CD">
      <w:pPr>
        <w:rPr>
          <w:rtl/>
          <w:lang w:eastAsia="he-IL"/>
        </w:rPr>
      </w:pPr>
    </w:p>
    <w:p w:rsidR="00BB59CD" w:rsidRDefault="00BB59CD" w:rsidP="00BB59CD">
      <w:pPr>
        <w:pStyle w:val="af9"/>
        <w:keepNext/>
        <w:rPr>
          <w:rtl/>
        </w:rPr>
      </w:pPr>
      <w:bookmarkStart w:id="23971" w:name="ET_yor_6488_3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971"/>
    </w:p>
    <w:p w:rsidR="00BB59CD" w:rsidRDefault="00BB59CD" w:rsidP="00337201">
      <w:pPr>
        <w:rPr>
          <w:rtl/>
          <w:lang w:eastAsia="he-IL"/>
        </w:rPr>
      </w:pPr>
    </w:p>
    <w:p w:rsidR="000B2C80" w:rsidRDefault="00BB59CD" w:rsidP="000B2C80">
      <w:pPr>
        <w:rPr>
          <w:rtl/>
          <w:lang w:eastAsia="he-IL"/>
        </w:rPr>
      </w:pPr>
      <w:r>
        <w:rPr>
          <w:rFonts w:hint="cs"/>
          <w:rtl/>
          <w:lang w:eastAsia="he-IL"/>
        </w:rPr>
        <w:t xml:space="preserve">אבל חברים, תדברו קצת יותר בשקט, זה מפריע לה. </w:t>
      </w:r>
      <w:r w:rsidR="000B2C80">
        <w:rPr>
          <w:rFonts w:hint="cs"/>
          <w:rtl/>
          <w:lang w:eastAsia="he-IL"/>
        </w:rPr>
        <w:t xml:space="preserve">כשהאולם ריק מרגישים כל דיבור. </w:t>
      </w:r>
    </w:p>
    <w:p w:rsidR="00BB59CD" w:rsidRDefault="00BB59CD" w:rsidP="00BB59CD">
      <w:pPr>
        <w:rPr>
          <w:rtl/>
          <w:lang w:eastAsia="he-IL"/>
        </w:rPr>
      </w:pPr>
      <w:bookmarkStart w:id="23972" w:name="_ETM_Q38_385000"/>
      <w:bookmarkEnd w:id="23972"/>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אי-אפשר, </w:t>
      </w:r>
      <w:bookmarkStart w:id="23973" w:name="_ETM_Q38_384000"/>
      <w:bookmarkEnd w:id="23973"/>
      <w:r>
        <w:rPr>
          <w:rFonts w:hint="cs"/>
          <w:rtl/>
          <w:lang w:eastAsia="he-IL"/>
        </w:rPr>
        <w:t xml:space="preserve">בחייאת. </w:t>
      </w:r>
    </w:p>
    <w:p w:rsidR="00BB59CD" w:rsidRDefault="00BB59CD" w:rsidP="00BB59CD">
      <w:pPr>
        <w:rPr>
          <w:rtl/>
          <w:lang w:eastAsia="he-IL"/>
        </w:rPr>
      </w:pPr>
    </w:p>
    <w:p w:rsidR="00BB59CD" w:rsidRDefault="00BB59CD" w:rsidP="000B2C80">
      <w:pPr>
        <w:rPr>
          <w:rtl/>
          <w:lang w:eastAsia="he-IL"/>
        </w:rPr>
      </w:pPr>
      <w:bookmarkStart w:id="23974" w:name="_ETM_Q38_386000"/>
      <w:bookmarkStart w:id="23975" w:name="_ETM_Q38_389000"/>
      <w:bookmarkStart w:id="23976" w:name="_ETM_Q38_387000"/>
      <w:bookmarkStart w:id="23977" w:name="_ETM_Q38_392000"/>
      <w:bookmarkEnd w:id="23974"/>
      <w:bookmarkEnd w:id="23975"/>
      <w:bookmarkEnd w:id="23976"/>
      <w:bookmarkEnd w:id="23977"/>
      <w:r>
        <w:rPr>
          <w:rFonts w:hint="cs"/>
          <w:rtl/>
          <w:lang w:eastAsia="he-IL"/>
        </w:rPr>
        <w:t xml:space="preserve">קטע שאני רוצה להקריא, דווקא מאחרית הדבר שכתב החוקר יונתן לוי, מתוך הפרק "מדינת פרנקנשטיין": בכל הקשור להבנת מטרות הרפורמה, יש לחוקרת מפרינסטון עצה שימושית עבורנו בישראל: התמקדו תמיד </w:t>
      </w:r>
      <w:bookmarkStart w:id="23978" w:name="_ETM_Q38_410000"/>
      <w:bookmarkEnd w:id="23978"/>
      <w:r>
        <w:rPr>
          <w:rFonts w:hint="cs"/>
          <w:rtl/>
          <w:lang w:eastAsia="he-IL"/>
        </w:rPr>
        <w:t>בתמונה הגדולה, לא בפרטי</w:t>
      </w:r>
      <w:r w:rsidR="000B2C80">
        <w:rPr>
          <w:rFonts w:hint="cs"/>
          <w:rtl/>
          <w:lang w:eastAsia="he-IL"/>
        </w:rPr>
        <w:t>-</w:t>
      </w:r>
      <w:r>
        <w:rPr>
          <w:rFonts w:hint="cs"/>
          <w:rtl/>
          <w:lang w:eastAsia="he-IL"/>
        </w:rPr>
        <w:t xml:space="preserve">הפרטים של תוכניות הממשלה. </w:t>
      </w:r>
      <w:bookmarkStart w:id="23979" w:name="_ETM_Q38_417000"/>
      <w:bookmarkEnd w:id="23979"/>
      <w:r>
        <w:rPr>
          <w:rFonts w:hint="cs"/>
          <w:rtl/>
          <w:lang w:eastAsia="he-IL"/>
        </w:rPr>
        <w:t xml:space="preserve">במאמר אחר שלה </w:t>
      </w:r>
      <w:r w:rsidR="000B2C80">
        <w:rPr>
          <w:rFonts w:hint="cs"/>
          <w:rtl/>
          <w:lang w:eastAsia="he-IL"/>
        </w:rPr>
        <w:t>היא ט</w:t>
      </w:r>
      <w:r>
        <w:rPr>
          <w:rFonts w:hint="cs"/>
          <w:rtl/>
          <w:lang w:eastAsia="he-IL"/>
        </w:rPr>
        <w:t>בעה את המושג מדינת פרנקנשטיין, המתאר מצב שבו ממשלה בעלת כוונות אנטי-דמוקרטיות מעצבת מחדש את המבנה החוקתי של המדינה באמצעות שאילה מניפולטיבית של הסדרים חוקתיים ממדינות אחרות – זוכרים את כל ה-</w:t>
      </w:r>
      <w:r>
        <w:rPr>
          <w:lang w:eastAsia="he-IL"/>
        </w:rPr>
        <w:t>cherry picking</w:t>
      </w:r>
      <w:r>
        <w:rPr>
          <w:rFonts w:hint="cs"/>
          <w:rtl/>
          <w:lang w:eastAsia="he-IL"/>
        </w:rPr>
        <w:t xml:space="preserve">, </w:t>
      </w:r>
      <w:bookmarkStart w:id="23980" w:name="_ETM_Q38_438000"/>
      <w:bookmarkEnd w:id="23980"/>
      <w:r>
        <w:rPr>
          <w:rFonts w:hint="cs"/>
          <w:rtl/>
          <w:lang w:eastAsia="he-IL"/>
        </w:rPr>
        <w:t>שעשו לנו פה בכל הדיונים?</w:t>
      </w:r>
    </w:p>
    <w:p w:rsidR="00BB59CD" w:rsidRDefault="00BB59CD" w:rsidP="00BB59CD">
      <w:pPr>
        <w:rPr>
          <w:rtl/>
          <w:lang w:eastAsia="he-IL"/>
        </w:rPr>
      </w:pPr>
    </w:p>
    <w:p w:rsidR="00BB59CD" w:rsidRDefault="00BB59CD" w:rsidP="00EE125D">
      <w:pPr>
        <w:rPr>
          <w:rtl/>
          <w:lang w:eastAsia="he-IL"/>
        </w:rPr>
      </w:pPr>
      <w:r>
        <w:rPr>
          <w:rFonts w:hint="cs"/>
          <w:rtl/>
          <w:lang w:eastAsia="he-IL"/>
        </w:rPr>
        <w:t xml:space="preserve">כמו המפלצת המפורסמת של פרנקנשטיין, המורכבת מאיברים שנלקחו כל אחד מגוף אנושי אחר, המדינה הלא-דמוקרטית יכולה להיות מורכבת מאיברים שנלקחו ממדינות דמוקרטיות. כל איבר כשלעצמו מתפקד באופן תקין </w:t>
      </w:r>
      <w:bookmarkStart w:id="23981" w:name="_ETM_Q38_459000"/>
      <w:bookmarkEnd w:id="23981"/>
      <w:r>
        <w:rPr>
          <w:rFonts w:hint="cs"/>
          <w:rtl/>
          <w:lang w:eastAsia="he-IL"/>
        </w:rPr>
        <w:t xml:space="preserve">בגוף שממנו הגיע, כלומר במדינת המקור שלו </w:t>
      </w:r>
      <w:r w:rsidR="00EE125D">
        <w:rPr>
          <w:rFonts w:hint="eastAsia"/>
          <w:rtl/>
          <w:lang w:eastAsia="he-IL"/>
        </w:rPr>
        <w:t>–</w:t>
      </w:r>
      <w:r w:rsidR="00EE125D">
        <w:rPr>
          <w:rFonts w:hint="cs"/>
          <w:rtl/>
          <w:lang w:eastAsia="he-IL"/>
        </w:rPr>
        <w:t xml:space="preserve"> </w:t>
      </w:r>
      <w:r>
        <w:rPr>
          <w:rFonts w:hint="cs"/>
          <w:rtl/>
          <w:lang w:eastAsia="he-IL"/>
        </w:rPr>
        <w:t xml:space="preserve">למשל מקום עם שני בתי פרלמנט, עם חוקה, </w:t>
      </w:r>
      <w:bookmarkStart w:id="23982" w:name="_ETM_Q38_463000"/>
      <w:bookmarkEnd w:id="23982"/>
      <w:r>
        <w:rPr>
          <w:rFonts w:hint="cs"/>
          <w:rtl/>
          <w:lang w:eastAsia="he-IL"/>
        </w:rPr>
        <w:t>עם הסדרים, שאם לוקחים משהו אחר, שואבים</w:t>
      </w:r>
      <w:r w:rsidR="00EE125D">
        <w:rPr>
          <w:rFonts w:hint="cs"/>
          <w:rtl/>
          <w:lang w:eastAsia="he-IL"/>
        </w:rPr>
        <w:t xml:space="preserve">, </w:t>
      </w:r>
      <w:r>
        <w:rPr>
          <w:rFonts w:hint="cs"/>
          <w:rtl/>
          <w:lang w:eastAsia="he-IL"/>
        </w:rPr>
        <w:t>השינוי החוקתי שלנו הוא אחר לגמרי</w:t>
      </w:r>
      <w:r w:rsidR="00EE125D">
        <w:rPr>
          <w:rFonts w:hint="cs"/>
          <w:rtl/>
          <w:lang w:eastAsia="he-IL"/>
        </w:rPr>
        <w:t xml:space="preserve"> </w:t>
      </w:r>
      <w:r w:rsidR="00EE125D">
        <w:rPr>
          <w:rFonts w:hint="eastAsia"/>
          <w:rtl/>
          <w:lang w:eastAsia="he-IL"/>
        </w:rPr>
        <w:t>–</w:t>
      </w:r>
      <w:r w:rsidR="00EE125D">
        <w:rPr>
          <w:rFonts w:hint="cs"/>
          <w:rtl/>
          <w:lang w:eastAsia="he-IL"/>
        </w:rPr>
        <w:t xml:space="preserve"> </w:t>
      </w:r>
      <w:r>
        <w:rPr>
          <w:rFonts w:hint="cs"/>
          <w:rtl/>
          <w:lang w:eastAsia="he-IL"/>
        </w:rPr>
        <w:t xml:space="preserve">מפני ששם הוא פועל כחלק ממערכת שלמה של איזונים ובלמים </w:t>
      </w:r>
      <w:bookmarkStart w:id="23983" w:name="_ETM_Q38_479000"/>
      <w:bookmarkEnd w:id="23983"/>
      <w:r>
        <w:rPr>
          <w:rFonts w:hint="cs"/>
          <w:rtl/>
          <w:lang w:eastAsia="he-IL"/>
        </w:rPr>
        <w:t xml:space="preserve">המתאימה לו, אבל כשמטליאים – מלשון טלאי – את האיברים הנפרדים זה לזה ללא הקשר חוקתי רחב, ללא מנגנוני איזון, ללא תרבות פוליטית מתאימה, נוצרת מפלצת.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אני כל כך ממליצה לקרוא </w:t>
      </w:r>
      <w:bookmarkStart w:id="23984" w:name="_ETM_Q38_499000"/>
      <w:bookmarkEnd w:id="23984"/>
      <w:r>
        <w:rPr>
          <w:rFonts w:hint="cs"/>
          <w:rtl/>
          <w:lang w:eastAsia="he-IL"/>
        </w:rPr>
        <w:t xml:space="preserve">את הספר הזה, </w:t>
      </w:r>
      <w:r w:rsidR="00EE125D">
        <w:rPr>
          <w:rFonts w:hint="cs"/>
          <w:rtl/>
          <w:lang w:eastAsia="he-IL"/>
        </w:rPr>
        <w:t>"</w:t>
      </w:r>
      <w:r>
        <w:rPr>
          <w:rFonts w:hint="cs"/>
          <w:rtl/>
          <w:lang w:eastAsia="he-IL"/>
        </w:rPr>
        <w:t>רודנות בחסות החוק</w:t>
      </w:r>
      <w:r w:rsidR="00EE125D">
        <w:rPr>
          <w:rFonts w:hint="cs"/>
          <w:rtl/>
          <w:lang w:eastAsia="he-IL"/>
        </w:rPr>
        <w:t>"</w:t>
      </w:r>
      <w:r>
        <w:rPr>
          <w:rFonts w:hint="cs"/>
          <w:rtl/>
          <w:lang w:eastAsia="he-IL"/>
        </w:rPr>
        <w:t>. את אחרית הדבר קראתי היום בבוקר והייתי עם דמעות בעיניים, כי הוא פשוט תיאר את המקרה הישראלי בהקשר של התיאוריה הרחבה, והרגשתי את החיים שלנו, את המציאות שלנו כתובה פה, ואת מה שעתיד לבוא</w:t>
      </w:r>
      <w:bookmarkStart w:id="23985" w:name="_ETM_Q38_523000"/>
      <w:bookmarkEnd w:id="23985"/>
      <w:r>
        <w:rPr>
          <w:rFonts w:hint="cs"/>
          <w:rtl/>
          <w:lang w:eastAsia="he-IL"/>
        </w:rPr>
        <w:t xml:space="preserve"> עלינו אם לא נבלום, המחנה הדמוקרטי-ליברלי, את ההפיכה הזו.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אבל את החלק האחרון של הנאום הזה, של הפיליבסטר הזה, החלטתי להקדיש לנושא שמאוד יקר לליבי, שאני חושבת שבמידה מסוימת הוא חלק מהשליחות שלי בכנסת ובכלל בעשייה הציבורית שלי – צמצום פערים ואי-שוויון. ואם נדבר על זה רגע </w:t>
      </w:r>
      <w:bookmarkStart w:id="23986" w:name="_ETM_Q38_559000"/>
      <w:bookmarkEnd w:id="23986"/>
      <w:r>
        <w:rPr>
          <w:rFonts w:hint="cs"/>
          <w:rtl/>
          <w:lang w:eastAsia="he-IL"/>
        </w:rPr>
        <w:t xml:space="preserve">במונחים של מה שקורה לנו היום, אז בואו נדבר רגע על ישראל השנייה, זו שלא מעט פה נושאים את שמה לשווא בלי בושה. </w:t>
      </w:r>
    </w:p>
    <w:p w:rsidR="00BB59CD" w:rsidRDefault="00BB59CD" w:rsidP="00BB59CD">
      <w:pPr>
        <w:rPr>
          <w:rtl/>
          <w:lang w:eastAsia="he-IL"/>
        </w:rPr>
      </w:pPr>
      <w:bookmarkStart w:id="23987" w:name="_ETM_Q38_551107"/>
      <w:bookmarkStart w:id="23988" w:name="_ETM_Q38_551283"/>
      <w:bookmarkEnd w:id="23987"/>
      <w:bookmarkEnd w:id="23988"/>
    </w:p>
    <w:p w:rsidR="00BB59CD" w:rsidRDefault="00BB59CD" w:rsidP="00EE125D">
      <w:pPr>
        <w:rPr>
          <w:rtl/>
          <w:lang w:eastAsia="he-IL"/>
        </w:rPr>
      </w:pPr>
      <w:r>
        <w:rPr>
          <w:rFonts w:hint="cs"/>
          <w:rtl/>
          <w:lang w:eastAsia="he-IL"/>
        </w:rPr>
        <w:t xml:space="preserve">הטרגדיה של ישראל השנייה היא לא רק מעמדה והאי-שוויון המתקיים בה ודרכה אלא שלמרות האמון שנתנה בכם, עבורכם היא רק כלי לניגוח פוליטי ואף פעם לא שאיפה לתיקון, אפילו </w:t>
      </w:r>
      <w:bookmarkStart w:id="23989" w:name="_ETM_Q38_591000"/>
      <w:bookmarkEnd w:id="23989"/>
      <w:r>
        <w:rPr>
          <w:rFonts w:hint="cs"/>
          <w:rtl/>
          <w:lang w:eastAsia="he-IL"/>
        </w:rPr>
        <w:t xml:space="preserve">לא למען הכרת הטוב. בחוק ההסדרים האחרון הוצאתם את התיקון שנועד לשיקום מבנים מסוכנים, כי מה אכפת לכם מיישובי הפריפריה שנמצאים על השבר הסורי-אפריקאי והבתים שם בסכנת התמוטטות על יושביהם? בחודש מרץ האחרון נתתם לחוק זכויות הרכישה של דיירי הדיור הציבורי, חוק רן כהן, למות. את </w:t>
      </w:r>
      <w:bookmarkStart w:id="23990" w:name="_ETM_Q38_624000"/>
      <w:bookmarkEnd w:id="23990"/>
      <w:r>
        <w:rPr>
          <w:rFonts w:hint="cs"/>
          <w:rtl/>
          <w:lang w:eastAsia="he-IL"/>
        </w:rPr>
        <w:t xml:space="preserve">החידוש שלו, שהתחיל לאחר מאבק קשה, אתם משהים, כי מה אכפת לכם מהדיירים שממתינים שנים לקניית הדירה, לוודאות של קורת </w:t>
      </w:r>
      <w:bookmarkStart w:id="23991" w:name="_ETM_Q38_637000"/>
      <w:bookmarkEnd w:id="23991"/>
      <w:r>
        <w:rPr>
          <w:rFonts w:hint="cs"/>
          <w:rtl/>
          <w:lang w:eastAsia="he-IL"/>
        </w:rPr>
        <w:t>גג וניתוק ילדיהם מהעוני הרב-דורי?</w:t>
      </w:r>
      <w:r w:rsidR="00EE125D">
        <w:rPr>
          <w:rFonts w:hint="cs"/>
          <w:rtl/>
          <w:lang w:eastAsia="he-IL"/>
        </w:rPr>
        <w:t xml:space="preserve"> </w:t>
      </w:r>
      <w:r>
        <w:rPr>
          <w:rFonts w:hint="cs"/>
          <w:rtl/>
          <w:lang w:eastAsia="he-IL"/>
        </w:rPr>
        <w:t xml:space="preserve">הוספתם חטא על פשע והתחלתם בפינויים מסיביים של דיירי הדיור הציבורי – שילכו לישון באוהל בפארק, הם מחוץ לרדאר שלכם. היחידים שקיימו על הפינויים האלו דיון היו מיכאל ביטון ואני, מהאופוזיציה, נושא שעסקנו בו גם כחברי קואליציה, כי אל מול דיירי הדיור הציבורי אין פוזיציה. ואיפה אתם? נעלמתם </w:t>
      </w:r>
      <w:bookmarkStart w:id="23992" w:name="_ETM_Q38_671000"/>
      <w:bookmarkEnd w:id="23992"/>
      <w:r>
        <w:rPr>
          <w:rFonts w:hint="cs"/>
          <w:rtl/>
          <w:lang w:eastAsia="he-IL"/>
        </w:rPr>
        <w:t xml:space="preserve">להם.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גילינו שראש הממשלה, שדיבר על ביטול מס הסוכר בקמפיין הבחירות, נדהם לגלות השנה את נתוני הסוכרת וקטיעת הגפיים בישראל. מר "את משעממת אותי" מכה שנית, גילה שיש אוכלוסיות שנפגעות כשהמדינה מסירה ידיה. </w:t>
      </w:r>
      <w:bookmarkStart w:id="23993" w:name="_ETM_Q38_700000"/>
      <w:bookmarkEnd w:id="23993"/>
      <w:r>
        <w:rPr>
          <w:rFonts w:hint="cs"/>
          <w:rtl/>
          <w:lang w:eastAsia="he-IL"/>
        </w:rPr>
        <w:t xml:space="preserve">אתם, שחילקתם כסף מגזרי וסקטוריאלי, לא שמתם לב למי לא נשאר, והינה, מרכזי הגמילה מהתמכרויות בישראל בסכנת סגירה, כי מה אכפת לכם מהושטת ידה של המדינה למען שיקום ועתיד אחר? שהמכורות והמכורים ייפלו אל התהום.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ומה עם הביטחון התזונתי? </w:t>
      </w:r>
      <w:bookmarkStart w:id="23994" w:name="_ETM_Q38_726000"/>
      <w:bookmarkEnd w:id="23994"/>
      <w:r>
        <w:rPr>
          <w:rFonts w:hint="cs"/>
          <w:rtl/>
          <w:lang w:eastAsia="he-IL"/>
        </w:rPr>
        <w:t xml:space="preserve">לא השארתם כסף לחידוש הרחבת המיזם לעוד 6,000 משפחות שזקוקות לסיוע הזה. עסקתם בהפיכה ולא בעיסוק בחיים עצמם, ברשלנות פושעת. </w:t>
      </w:r>
    </w:p>
    <w:p w:rsidR="00BB59CD" w:rsidRDefault="00BB59CD" w:rsidP="00BB59CD">
      <w:pPr>
        <w:rPr>
          <w:rtl/>
          <w:lang w:eastAsia="he-IL"/>
        </w:rPr>
      </w:pPr>
    </w:p>
    <w:p w:rsidR="00BB59CD" w:rsidRDefault="00BB59CD" w:rsidP="00EE125D">
      <w:pPr>
        <w:rPr>
          <w:rtl/>
          <w:lang w:eastAsia="he-IL"/>
        </w:rPr>
      </w:pPr>
      <w:r>
        <w:rPr>
          <w:rFonts w:hint="cs"/>
          <w:rtl/>
          <w:lang w:eastAsia="he-IL"/>
        </w:rPr>
        <w:t xml:space="preserve">ותגיד לי, כבוד יו"ר הכנסת, איפה דוח ביטון? העברתם מיליארדים לעצמכם ושכחתם את המורשת והתרבות שלנו מאחור. ילד לא יכול להיות מה שהוא לא רואה. ילדה לא יכולה להיות מה שהיא לא רואה. </w:t>
      </w:r>
      <w:bookmarkStart w:id="23995" w:name="TOR_Q39"/>
      <w:bookmarkEnd w:id="23995"/>
      <w:r>
        <w:rPr>
          <w:rFonts w:hint="cs"/>
          <w:rtl/>
          <w:lang w:eastAsia="he-IL"/>
        </w:rPr>
        <w:t>אבל בוא</w:t>
      </w:r>
      <w:r w:rsidR="00EE125D">
        <w:rPr>
          <w:rFonts w:hint="cs"/>
          <w:rtl/>
          <w:lang w:eastAsia="he-IL"/>
        </w:rPr>
        <w:t>ו</w:t>
      </w:r>
      <w:r>
        <w:rPr>
          <w:rFonts w:hint="cs"/>
          <w:rtl/>
          <w:lang w:eastAsia="he-IL"/>
        </w:rPr>
        <w:t xml:space="preserve"> נדבר על איך שהמעשים שכן עשיתם עומדים נגד הציבור שלכם או זה שאתם מתיימרים לייצג. </w:t>
      </w:r>
      <w:bookmarkStart w:id="23996" w:name="_ETM_Q39_170237"/>
      <w:bookmarkEnd w:id="23996"/>
      <w:r>
        <w:rPr>
          <w:rFonts w:hint="cs"/>
          <w:rtl/>
          <w:lang w:eastAsia="he-IL"/>
        </w:rPr>
        <w:t xml:space="preserve">בתקצוב חינוך מפלגתי פרטי וללא ליבה, אתם מי שגוזרים </w:t>
      </w:r>
      <w:bookmarkStart w:id="23997" w:name="_ETM_Q39_178104"/>
      <w:bookmarkEnd w:id="23997"/>
      <w:r>
        <w:rPr>
          <w:rFonts w:hint="cs"/>
          <w:rtl/>
          <w:lang w:eastAsia="he-IL"/>
        </w:rPr>
        <w:t xml:space="preserve">על ילדים חרדים היעדר כישורי פרנסה, יכולת לקבל השכלה ולממש </w:t>
      </w:r>
      <w:bookmarkStart w:id="23998" w:name="_ETM_Q39_186085"/>
      <w:bookmarkEnd w:id="23998"/>
      <w:r>
        <w:rPr>
          <w:rFonts w:hint="cs"/>
          <w:rtl/>
          <w:lang w:eastAsia="he-IL"/>
        </w:rPr>
        <w:t xml:space="preserve">את עצמם לפי יכולתם ורצונם. חיסול עתידם של ילדים לחינוך ללא לימודי ליבה, בלי שיש להם את היכולת לבחור </w:t>
      </w:r>
      <w:bookmarkStart w:id="23999" w:name="_ETM_Q39_192150"/>
      <w:bookmarkEnd w:id="23999"/>
      <w:r>
        <w:rPr>
          <w:rFonts w:hint="cs"/>
          <w:rtl/>
          <w:lang w:eastAsia="he-IL"/>
        </w:rPr>
        <w:t>ולקבל הזדמנות שווה, זה פשע. התשובה היא חינוך ממלכתי</w:t>
      </w:r>
      <w:bookmarkStart w:id="24000" w:name="_ETM_Q39_199688"/>
      <w:bookmarkEnd w:id="24000"/>
      <w:r>
        <w:rPr>
          <w:rFonts w:hint="cs"/>
          <w:rtl/>
          <w:lang w:eastAsia="he-IL"/>
        </w:rPr>
        <w:t xml:space="preserve">-חרדי, כמו שרצה מרן הרב עובדיה יוסף, זכר צדיק לברכה. </w:t>
      </w:r>
      <w:bookmarkStart w:id="24001" w:name="_ETM_Q39_205367"/>
      <w:bookmarkEnd w:id="24001"/>
    </w:p>
    <w:p w:rsidR="00BB59CD" w:rsidRDefault="00BB59CD" w:rsidP="00BB59CD">
      <w:pPr>
        <w:rPr>
          <w:rtl/>
          <w:lang w:eastAsia="he-IL"/>
        </w:rPr>
      </w:pPr>
    </w:p>
    <w:p w:rsidR="00BB59CD" w:rsidRDefault="00BB59CD" w:rsidP="00EE125D">
      <w:pPr>
        <w:rPr>
          <w:rtl/>
          <w:lang w:eastAsia="he-IL"/>
        </w:rPr>
      </w:pPr>
      <w:r>
        <w:rPr>
          <w:rFonts w:hint="cs"/>
          <w:rtl/>
          <w:lang w:eastAsia="he-IL"/>
        </w:rPr>
        <w:t xml:space="preserve">אתם מי שמרחיבים את הסמכויות בבתי הדין הרבניים ועובדים </w:t>
      </w:r>
      <w:bookmarkStart w:id="24002" w:name="_ETM_Q39_209872"/>
      <w:bookmarkEnd w:id="24002"/>
      <w:r>
        <w:rPr>
          <w:rFonts w:hint="cs"/>
          <w:rtl/>
          <w:lang w:eastAsia="he-IL"/>
        </w:rPr>
        <w:t xml:space="preserve">על חוק שמעביר את תחום המזונות אל בתי הדין הרבניים </w:t>
      </w:r>
      <w:bookmarkStart w:id="24003" w:name="_ETM_Q39_215107"/>
      <w:bookmarkEnd w:id="24003"/>
      <w:r>
        <w:rPr>
          <w:rFonts w:hint="cs"/>
          <w:rtl/>
          <w:lang w:eastAsia="he-IL"/>
        </w:rPr>
        <w:t xml:space="preserve">כדי להעצים את מערכת הסחיטה והכליאה של נשים מסורתיות, דתיות </w:t>
      </w:r>
      <w:bookmarkStart w:id="24004" w:name="_ETM_Q39_221380"/>
      <w:bookmarkEnd w:id="24004"/>
      <w:r>
        <w:rPr>
          <w:rFonts w:hint="cs"/>
          <w:rtl/>
          <w:lang w:eastAsia="he-IL"/>
        </w:rPr>
        <w:t xml:space="preserve">וחרדיות. במקום לבטל עגינות נשים, להוציא את הכוח הבלתי-מוגבל </w:t>
      </w:r>
      <w:bookmarkStart w:id="24005" w:name="_ETM_Q39_228613"/>
      <w:bookmarkEnd w:id="24005"/>
      <w:r>
        <w:rPr>
          <w:rFonts w:hint="cs"/>
          <w:rtl/>
          <w:lang w:eastAsia="he-IL"/>
        </w:rPr>
        <w:t xml:space="preserve">והאוטונומי של בתי הדין הרבניים, אתם מעצימים את העיוותים </w:t>
      </w:r>
      <w:bookmarkStart w:id="24006" w:name="_ETM_Q39_234099"/>
      <w:bookmarkEnd w:id="24006"/>
      <w:r>
        <w:rPr>
          <w:rFonts w:hint="cs"/>
          <w:rtl/>
          <w:lang w:eastAsia="he-IL"/>
        </w:rPr>
        <w:t xml:space="preserve">ואת הכאב. </w:t>
      </w:r>
      <w:bookmarkStart w:id="24007" w:name="_ETM_Q39_236258"/>
      <w:bookmarkStart w:id="24008" w:name="_ETM_Q39_236397"/>
      <w:bookmarkStart w:id="24009" w:name="_ETM_Q39_236515"/>
      <w:bookmarkStart w:id="24010" w:name="_ETM_Q39_236619"/>
      <w:bookmarkEnd w:id="24007"/>
      <w:bookmarkEnd w:id="24008"/>
      <w:bookmarkEnd w:id="24009"/>
      <w:bookmarkEnd w:id="24010"/>
      <w:r>
        <w:rPr>
          <w:rFonts w:hint="cs"/>
          <w:rtl/>
          <w:lang w:eastAsia="he-IL"/>
        </w:rPr>
        <w:t xml:space="preserve">אתם מי שמנסים להעביר כאן חוקי הדרה ובולמים </w:t>
      </w:r>
      <w:bookmarkStart w:id="24011" w:name="_ETM_Q39_240511"/>
      <w:bookmarkEnd w:id="24011"/>
      <w:r>
        <w:rPr>
          <w:rFonts w:hint="cs"/>
          <w:rtl/>
          <w:lang w:eastAsia="he-IL"/>
        </w:rPr>
        <w:t xml:space="preserve">כל קול של נשים חרדיות ודתיות, שיודעות עד כמה החקיקה </w:t>
      </w:r>
      <w:bookmarkStart w:id="24012" w:name="_ETM_Q39_245598"/>
      <w:bookmarkEnd w:id="24012"/>
      <w:r>
        <w:rPr>
          <w:rFonts w:hint="cs"/>
          <w:rtl/>
          <w:lang w:eastAsia="he-IL"/>
        </w:rPr>
        <w:t xml:space="preserve">הזו תפגע בהן בכל מרחב ובכל מקום. אתם מי שמבקשים </w:t>
      </w:r>
      <w:bookmarkStart w:id="24013" w:name="_ETM_Q39_252654"/>
      <w:bookmarkEnd w:id="24013"/>
      <w:r>
        <w:rPr>
          <w:rFonts w:hint="cs"/>
          <w:rtl/>
          <w:lang w:eastAsia="he-IL"/>
        </w:rPr>
        <w:t xml:space="preserve">להשוות אלימות משטרתית, זו שהייתה בקרב חברות מודרות ומוחלשות, אל </w:t>
      </w:r>
      <w:bookmarkStart w:id="24014" w:name="_ETM_Q39_258066"/>
      <w:bookmarkEnd w:id="24014"/>
      <w:r>
        <w:rPr>
          <w:rFonts w:hint="cs"/>
          <w:rtl/>
          <w:lang w:eastAsia="he-IL"/>
        </w:rPr>
        <w:t>כלל הציבור, במקום למגר אותה מהציבור כולו. אלימות משטר</w:t>
      </w:r>
      <w:bookmarkStart w:id="24015" w:name="_ETM_Q39_263061"/>
      <w:bookmarkEnd w:id="24015"/>
      <w:r>
        <w:rPr>
          <w:rFonts w:hint="cs"/>
          <w:rtl/>
          <w:lang w:eastAsia="he-IL"/>
        </w:rPr>
        <w:t xml:space="preserve">תית הייתה הטריגר – רגע, אני רוצה שכבוד </w:t>
      </w:r>
      <w:r w:rsidR="00EE125D">
        <w:rPr>
          <w:rFonts w:hint="cs"/>
          <w:rtl/>
          <w:lang w:eastAsia="he-IL"/>
        </w:rPr>
        <w:t>ה</w:t>
      </w:r>
      <w:r>
        <w:rPr>
          <w:rFonts w:hint="cs"/>
          <w:rtl/>
          <w:lang w:eastAsia="he-IL"/>
        </w:rPr>
        <w:t xml:space="preserve">יו"ר </w:t>
      </w:r>
      <w:bookmarkStart w:id="24016" w:name="_ETM_Q39_271208"/>
      <w:bookmarkEnd w:id="24016"/>
      <w:r>
        <w:rPr>
          <w:rFonts w:hint="cs"/>
          <w:rtl/>
          <w:lang w:eastAsia="he-IL"/>
        </w:rPr>
        <w:t xml:space="preserve">ישמע את זה – אלימות משטרתית הייתה הטריגר לפרוץ המאבק </w:t>
      </w:r>
      <w:bookmarkStart w:id="24017" w:name="_ETM_Q39_275152"/>
      <w:bookmarkEnd w:id="24017"/>
      <w:r>
        <w:rPr>
          <w:rFonts w:hint="cs"/>
          <w:rtl/>
          <w:lang w:eastAsia="he-IL"/>
        </w:rPr>
        <w:t xml:space="preserve">המזרחי בישראל, עוד בוואדי סאליב, עם הירי ברגלו של </w:t>
      </w:r>
      <w:bookmarkStart w:id="24018" w:name="_ETM_Q39_278457"/>
      <w:bookmarkEnd w:id="24018"/>
      <w:r>
        <w:rPr>
          <w:rFonts w:hint="cs"/>
          <w:rtl/>
          <w:lang w:eastAsia="he-IL"/>
        </w:rPr>
        <w:t>עקיבא יעקב אלקריף, זכרו לברכה, ועד היום.</w:t>
      </w:r>
    </w:p>
    <w:p w:rsidR="00BB59CD" w:rsidRDefault="00BB59CD" w:rsidP="00BB59CD">
      <w:pPr>
        <w:rPr>
          <w:rtl/>
          <w:lang w:eastAsia="he-IL"/>
        </w:rPr>
      </w:pPr>
      <w:bookmarkStart w:id="24019" w:name="_ETM_Q39_284222"/>
      <w:bookmarkStart w:id="24020" w:name="_ETM_Q39_284343"/>
      <w:bookmarkEnd w:id="24019"/>
      <w:bookmarkEnd w:id="24020"/>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 יודעת מי הרגיע </w:t>
      </w:r>
      <w:bookmarkStart w:id="24021" w:name="_ETM_Q39_284199"/>
      <w:bookmarkEnd w:id="24021"/>
      <w:r>
        <w:rPr>
          <w:rFonts w:hint="cs"/>
          <w:rtl/>
          <w:lang w:eastAsia="he-IL"/>
        </w:rPr>
        <w:t>שם את הרוחות באירועי ואדי סאליב?</w:t>
      </w:r>
    </w:p>
    <w:p w:rsidR="00BB59CD" w:rsidRDefault="00BB59CD" w:rsidP="00BB59CD">
      <w:pPr>
        <w:rPr>
          <w:rtl/>
          <w:lang w:eastAsia="he-IL"/>
        </w:rPr>
      </w:pPr>
    </w:p>
    <w:p w:rsidR="00BB59CD" w:rsidRDefault="00BB59CD" w:rsidP="00BB59CD">
      <w:pPr>
        <w:pStyle w:val="-"/>
        <w:keepNext/>
        <w:rPr>
          <w:rtl/>
        </w:rPr>
      </w:pPr>
      <w:bookmarkStart w:id="24022" w:name="ET_speakercontinue_6236_6"/>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4022"/>
    </w:p>
    <w:p w:rsidR="00BB59CD" w:rsidRDefault="00BB59CD" w:rsidP="00337201">
      <w:pPr>
        <w:rPr>
          <w:rtl/>
          <w:lang w:eastAsia="he-IL"/>
        </w:rPr>
      </w:pPr>
    </w:p>
    <w:p w:rsidR="00BB59CD" w:rsidRDefault="00BB59CD" w:rsidP="00BB59CD">
      <w:pPr>
        <w:rPr>
          <w:rtl/>
          <w:lang w:eastAsia="he-IL"/>
        </w:rPr>
      </w:pPr>
      <w:r>
        <w:rPr>
          <w:rFonts w:hint="cs"/>
          <w:rtl/>
          <w:lang w:eastAsia="he-IL"/>
        </w:rPr>
        <w:t>היה את אבוחציר</w:t>
      </w:r>
      <w:bookmarkStart w:id="24023" w:name="_ETM_Q39_286932"/>
      <w:bookmarkEnd w:id="24023"/>
      <w:r>
        <w:rPr>
          <w:rFonts w:hint="cs"/>
          <w:rtl/>
          <w:lang w:eastAsia="he-IL"/>
        </w:rPr>
        <w:t>א, שהיה בוועדת עציוני.</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EE125D">
      <w:pPr>
        <w:rPr>
          <w:rtl/>
          <w:lang w:eastAsia="he-IL"/>
        </w:rPr>
      </w:pPr>
      <w:r>
        <w:rPr>
          <w:rFonts w:hint="cs"/>
          <w:rtl/>
          <w:lang w:eastAsia="he-IL"/>
        </w:rPr>
        <w:t>סבא שלי.</w:t>
      </w:r>
      <w:r w:rsidR="00EE125D">
        <w:rPr>
          <w:rFonts w:hint="cs"/>
          <w:rtl/>
          <w:lang w:eastAsia="he-IL"/>
        </w:rPr>
        <w:t xml:space="preserve"> </w:t>
      </w:r>
      <w:bookmarkStart w:id="24024" w:name="_ETM_Q39_288980"/>
      <w:bookmarkStart w:id="24025" w:name="_ETM_Q39_289073"/>
      <w:bookmarkEnd w:id="24024"/>
      <w:bookmarkEnd w:id="24025"/>
      <w:r>
        <w:rPr>
          <w:rFonts w:hint="cs"/>
          <w:rtl/>
          <w:lang w:eastAsia="he-IL"/>
        </w:rPr>
        <w:t xml:space="preserve">סבא שלי נשלח על ידי בן-גוריון להרגיע את הרוחות, </w:t>
      </w:r>
      <w:bookmarkStart w:id="24026" w:name="_ETM_Q39_296378"/>
      <w:bookmarkEnd w:id="24026"/>
      <w:r>
        <w:rPr>
          <w:rFonts w:hint="cs"/>
          <w:rtl/>
          <w:lang w:eastAsia="he-IL"/>
        </w:rPr>
        <w:t>ואגב, בעקבותיו קמה ועדת חקירה, והקצבאות - -</w:t>
      </w:r>
    </w:p>
    <w:p w:rsidR="00BB59CD" w:rsidRDefault="00BB59CD" w:rsidP="00BB59CD">
      <w:pPr>
        <w:rPr>
          <w:rtl/>
          <w:lang w:eastAsia="he-IL"/>
        </w:rPr>
      </w:pPr>
    </w:p>
    <w:p w:rsidR="00BB59CD" w:rsidRDefault="00BB59CD" w:rsidP="00BB59CD">
      <w:pPr>
        <w:pStyle w:val="-"/>
        <w:keepNext/>
        <w:rPr>
          <w:rtl/>
        </w:rPr>
      </w:pPr>
      <w:bookmarkStart w:id="24027" w:name="ET_speakercontinue_6236_10"/>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402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שלא הייתה </w:t>
      </w:r>
      <w:bookmarkStart w:id="24028" w:name="_ETM_Q39_300363"/>
      <w:bookmarkEnd w:id="24028"/>
      <w:r>
        <w:rPr>
          <w:rFonts w:hint="cs"/>
          <w:rtl/>
          <w:lang w:eastAsia="he-IL"/>
        </w:rPr>
        <w:t>הכי מדהימה.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 התחילו אז.</w:t>
      </w:r>
    </w:p>
    <w:p w:rsidR="00BB59CD" w:rsidRDefault="00BB59CD" w:rsidP="00BB59CD">
      <w:pPr>
        <w:rPr>
          <w:rtl/>
          <w:lang w:eastAsia="he-IL"/>
        </w:rPr>
      </w:pPr>
    </w:p>
    <w:p w:rsidR="00BB59CD" w:rsidRDefault="00BB59CD" w:rsidP="00BB59CD">
      <w:pPr>
        <w:pStyle w:val="-"/>
        <w:keepNext/>
        <w:rPr>
          <w:rtl/>
        </w:rPr>
      </w:pPr>
      <w:bookmarkStart w:id="24029" w:name="ET_speakercontinue_6236_12"/>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4029"/>
    </w:p>
    <w:p w:rsidR="00BB59CD" w:rsidRDefault="00BB59CD" w:rsidP="00337201">
      <w:pPr>
        <w:rPr>
          <w:rtl/>
          <w:lang w:eastAsia="he-IL"/>
        </w:rPr>
      </w:pPr>
    </w:p>
    <w:p w:rsidR="00BB59CD" w:rsidRDefault="00BB59CD" w:rsidP="00BB59CD">
      <w:pPr>
        <w:rPr>
          <w:rtl/>
          <w:lang w:eastAsia="he-IL"/>
        </w:rPr>
      </w:pPr>
      <w:r>
        <w:rPr>
          <w:rFonts w:hint="cs"/>
          <w:rtl/>
          <w:lang w:eastAsia="he-IL"/>
        </w:rPr>
        <w:t>נכון, קצבאות הילדים התחילו אז. זה הישג מדהים של אותה מחאה אמיתית וקשה.</w:t>
      </w:r>
    </w:p>
    <w:p w:rsidR="00BB59CD" w:rsidRDefault="00BB59CD" w:rsidP="00BB59CD">
      <w:pPr>
        <w:rPr>
          <w:rtl/>
          <w:lang w:eastAsia="he-IL"/>
        </w:rPr>
      </w:pPr>
    </w:p>
    <w:p w:rsidR="00BB59CD" w:rsidRDefault="00BB59CD" w:rsidP="00BB59CD">
      <w:pPr>
        <w:pStyle w:val="af9"/>
        <w:keepNext/>
        <w:rPr>
          <w:rtl/>
        </w:rPr>
      </w:pPr>
      <w:bookmarkStart w:id="24030" w:name="ET_yor_6488_1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030"/>
    </w:p>
    <w:p w:rsidR="00BB59CD" w:rsidRDefault="00BB59CD" w:rsidP="00337201">
      <w:pPr>
        <w:rPr>
          <w:rtl/>
          <w:lang w:eastAsia="he-IL"/>
        </w:rPr>
      </w:pPr>
    </w:p>
    <w:p w:rsidR="00BB59CD" w:rsidRDefault="00BB59CD" w:rsidP="00BB59CD">
      <w:pPr>
        <w:rPr>
          <w:rtl/>
          <w:lang w:eastAsia="he-IL"/>
        </w:rPr>
      </w:pPr>
      <w:r>
        <w:rPr>
          <w:rFonts w:hint="cs"/>
          <w:rtl/>
          <w:lang w:eastAsia="he-IL"/>
        </w:rPr>
        <w:t>סבא שלי התעקש שיהיו תוצאות מוועדת החקירה.</w:t>
      </w:r>
    </w:p>
    <w:p w:rsidR="00BB59CD" w:rsidRDefault="00BB59CD" w:rsidP="00BB59CD">
      <w:pPr>
        <w:rPr>
          <w:rtl/>
          <w:lang w:eastAsia="he-IL"/>
        </w:rPr>
      </w:pPr>
      <w:bookmarkStart w:id="24031" w:name="_ETM_Q39_308643"/>
      <w:bookmarkStart w:id="24032" w:name="_ETM_Q39_308777"/>
      <w:bookmarkEnd w:id="24031"/>
      <w:bookmarkEnd w:id="24032"/>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EE125D">
      <w:pPr>
        <w:rPr>
          <w:rtl/>
          <w:lang w:eastAsia="he-IL"/>
        </w:rPr>
      </w:pPr>
      <w:bookmarkStart w:id="24033" w:name="_ETM_Q39_309936"/>
      <w:bookmarkEnd w:id="24033"/>
      <w:r>
        <w:rPr>
          <w:rFonts w:hint="cs"/>
          <w:rtl/>
          <w:lang w:eastAsia="he-IL"/>
        </w:rPr>
        <w:t>אבל אני רוצה להגיד שהפצע המדמם אז</w:t>
      </w:r>
      <w:r w:rsidR="00EE125D">
        <w:rPr>
          <w:rFonts w:hint="cs"/>
          <w:rtl/>
          <w:lang w:eastAsia="he-IL"/>
        </w:rPr>
        <w:t>,</w:t>
      </w:r>
      <w:r>
        <w:rPr>
          <w:rFonts w:hint="cs"/>
          <w:rtl/>
          <w:lang w:eastAsia="he-IL"/>
        </w:rPr>
        <w:t xml:space="preserve"> היום אתם מלבים אותו במדיניות. אתם מרחיבים את </w:t>
      </w:r>
      <w:bookmarkStart w:id="24034" w:name="_ETM_Q39_315633"/>
      <w:bookmarkEnd w:id="24034"/>
      <w:r>
        <w:rPr>
          <w:rFonts w:hint="cs"/>
          <w:rtl/>
          <w:lang w:eastAsia="he-IL"/>
        </w:rPr>
        <w:t>אלימות המשטרה.</w:t>
      </w:r>
    </w:p>
    <w:p w:rsidR="00BB59CD" w:rsidRDefault="00BB59CD" w:rsidP="00BB59CD">
      <w:pPr>
        <w:rPr>
          <w:rtl/>
          <w:lang w:eastAsia="he-IL"/>
        </w:rPr>
      </w:pPr>
      <w:bookmarkStart w:id="24035" w:name="_ETM_Q39_315872"/>
      <w:bookmarkStart w:id="24036" w:name="_ETM_Q39_316001"/>
      <w:bookmarkEnd w:id="24035"/>
      <w:bookmarkEnd w:id="24036"/>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4037" w:name="_ETM_Q39_317025"/>
      <w:bookmarkEnd w:id="24037"/>
      <w:r>
        <w:rPr>
          <w:rFonts w:hint="cs"/>
          <w:rtl/>
          <w:lang w:eastAsia="he-IL"/>
        </w:rPr>
        <w:t xml:space="preserve">אני יכול לענות לך על זה, אבל אני מעדיף </w:t>
      </w:r>
      <w:bookmarkStart w:id="24038" w:name="_ETM_Q39_317992"/>
      <w:bookmarkEnd w:id="24038"/>
      <w:r>
        <w:rPr>
          <w:rFonts w:hint="cs"/>
          <w:rtl/>
          <w:lang w:eastAsia="he-IL"/>
        </w:rPr>
        <w:t>להישאר יושב-ראש.</w:t>
      </w:r>
      <w:bookmarkStart w:id="24039" w:name="_ETM_Q39_319087"/>
      <w:bookmarkEnd w:id="24039"/>
    </w:p>
    <w:p w:rsidR="00BB59CD" w:rsidRDefault="00BB59CD" w:rsidP="00BB59CD">
      <w:pPr>
        <w:rPr>
          <w:rtl/>
          <w:lang w:eastAsia="he-IL"/>
        </w:rPr>
      </w:pPr>
      <w:bookmarkStart w:id="24040" w:name="_ETM_Q39_319167"/>
      <w:bookmarkEnd w:id="24040"/>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לא, אבל אני אומרת, אתם הופכים להיות החומה </w:t>
      </w:r>
      <w:bookmarkStart w:id="24041" w:name="_ETM_Q39_321539"/>
      <w:bookmarkEnd w:id="24041"/>
      <w:r>
        <w:rPr>
          <w:rFonts w:hint="cs"/>
          <w:rtl/>
          <w:lang w:eastAsia="he-IL"/>
        </w:rPr>
        <w:t>שמגינה על מה שהסבים והסבתות שלנו נאבקו נגדו.</w:t>
      </w:r>
    </w:p>
    <w:p w:rsidR="00BB59CD" w:rsidRDefault="00BB59CD" w:rsidP="00BB59CD">
      <w:pPr>
        <w:rPr>
          <w:rtl/>
          <w:lang w:eastAsia="he-IL"/>
        </w:rPr>
      </w:pPr>
    </w:p>
    <w:p w:rsidR="00BB59CD" w:rsidRDefault="00BB59CD" w:rsidP="00BB59CD">
      <w:pPr>
        <w:pStyle w:val="af9"/>
        <w:keepNext/>
        <w:rPr>
          <w:rtl/>
        </w:rPr>
      </w:pPr>
      <w:bookmarkStart w:id="24042" w:name="ET_yor_6488_1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042"/>
    </w:p>
    <w:p w:rsidR="00BB59CD" w:rsidRDefault="00BB59CD" w:rsidP="00337201">
      <w:pPr>
        <w:rPr>
          <w:rtl/>
          <w:lang w:eastAsia="he-IL"/>
        </w:rPr>
      </w:pPr>
    </w:p>
    <w:p w:rsidR="00BB59CD" w:rsidRDefault="00BB59CD" w:rsidP="00BB59CD">
      <w:pPr>
        <w:rPr>
          <w:rtl/>
          <w:lang w:eastAsia="he-IL"/>
        </w:rPr>
      </w:pPr>
      <w:r>
        <w:rPr>
          <w:rFonts w:hint="cs"/>
          <w:rtl/>
          <w:lang w:eastAsia="he-IL"/>
        </w:rPr>
        <w:t>את לא חושבת</w:t>
      </w:r>
      <w:bookmarkStart w:id="24043" w:name="_ETM_Q39_326450"/>
      <w:bookmarkEnd w:id="24043"/>
      <w:r>
        <w:rPr>
          <w:rFonts w:hint="cs"/>
          <w:rtl/>
          <w:lang w:eastAsia="he-IL"/>
        </w:rPr>
        <w:t xml:space="preserve"> שזה היה אותו דבר בתקופה ההיא, שדיכאו קבוצה מסוימת?</w:t>
      </w:r>
      <w:bookmarkStart w:id="24044" w:name="_ETM_Q39_328731"/>
      <w:bookmarkEnd w:id="24044"/>
      <w:r w:rsidR="00EE125D">
        <w:rPr>
          <w:rFonts w:hint="cs"/>
          <w:rtl/>
          <w:lang w:eastAsia="he-IL"/>
        </w:rPr>
        <w:t xml:space="preserve"> גם כאן דיכאו. </w:t>
      </w:r>
    </w:p>
    <w:p w:rsidR="00BB59CD" w:rsidRDefault="00BB59CD" w:rsidP="00BB59CD">
      <w:pPr>
        <w:rPr>
          <w:rtl/>
          <w:lang w:eastAsia="he-IL"/>
        </w:rPr>
      </w:pPr>
      <w:bookmarkStart w:id="24045" w:name="_ETM_Q39_328823"/>
      <w:bookmarkEnd w:id="24045"/>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EE125D">
      <w:pPr>
        <w:rPr>
          <w:rtl/>
          <w:lang w:eastAsia="he-IL"/>
        </w:rPr>
      </w:pPr>
      <w:bookmarkStart w:id="24046" w:name="_ETM_Q39_330544"/>
      <w:bookmarkEnd w:id="24046"/>
      <w:r>
        <w:rPr>
          <w:rFonts w:hint="cs"/>
          <w:rtl/>
          <w:lang w:eastAsia="he-IL"/>
        </w:rPr>
        <w:t xml:space="preserve">אני תכף עונה לך על זה, כי יש לי פה את </w:t>
      </w:r>
      <w:bookmarkStart w:id="24047" w:name="_ETM_Q39_331214"/>
      <w:bookmarkEnd w:id="24047"/>
      <w:r>
        <w:rPr>
          <w:rFonts w:hint="cs"/>
          <w:rtl/>
          <w:lang w:eastAsia="he-IL"/>
        </w:rPr>
        <w:t>המצע.</w:t>
      </w:r>
      <w:bookmarkStart w:id="24048" w:name="_ETM_Q39_331439"/>
      <w:bookmarkStart w:id="24049" w:name="_ETM_Q39_331547"/>
      <w:bookmarkEnd w:id="24048"/>
      <w:bookmarkEnd w:id="24049"/>
    </w:p>
    <w:p w:rsidR="00EE125D" w:rsidRDefault="00EE125D" w:rsidP="00EE125D">
      <w:pPr>
        <w:rPr>
          <w:rtl/>
          <w:lang w:eastAsia="he-IL"/>
        </w:rPr>
      </w:pPr>
    </w:p>
    <w:p w:rsidR="00BB59CD" w:rsidRDefault="00BB59CD" w:rsidP="00BB59CD">
      <w:pPr>
        <w:rPr>
          <w:rtl/>
          <w:lang w:eastAsia="he-IL"/>
        </w:rPr>
      </w:pPr>
      <w:r>
        <w:rPr>
          <w:rFonts w:hint="cs"/>
          <w:rtl/>
          <w:lang w:eastAsia="he-IL"/>
        </w:rPr>
        <w:t>ואני אגיד לך יותר מזה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4050" w:name="_ETM_Q39_333691"/>
      <w:bookmarkEnd w:id="24050"/>
      <w:r>
        <w:rPr>
          <w:rFonts w:hint="cs"/>
          <w:rtl/>
          <w:lang w:eastAsia="he-IL"/>
        </w:rPr>
        <w:t xml:space="preserve">יש </w:t>
      </w:r>
      <w:bookmarkStart w:id="24051" w:name="_ETM_Q39_334173"/>
      <w:bookmarkEnd w:id="24051"/>
      <w:r>
        <w:rPr>
          <w:rFonts w:hint="cs"/>
          <w:rtl/>
          <w:lang w:eastAsia="he-IL"/>
        </w:rPr>
        <w:t>גם כאן קבוצה שמרגישה מדוכאת.</w:t>
      </w:r>
    </w:p>
    <w:p w:rsidR="00BB59CD" w:rsidRDefault="00BB59CD" w:rsidP="00BB59CD">
      <w:pPr>
        <w:rPr>
          <w:rtl/>
          <w:lang w:eastAsia="he-IL"/>
        </w:rPr>
      </w:pPr>
      <w:bookmarkStart w:id="24052" w:name="_ETM_Q39_333446"/>
      <w:bookmarkStart w:id="24053" w:name="_ETM_Q39_333526"/>
      <w:bookmarkEnd w:id="24052"/>
      <w:bookmarkEnd w:id="24053"/>
    </w:p>
    <w:p w:rsidR="00BB59CD" w:rsidRDefault="00BB59CD" w:rsidP="00EE125D">
      <w:pPr>
        <w:pStyle w:val="-"/>
        <w:keepNext/>
        <w:rPr>
          <w:rtl/>
        </w:rPr>
      </w:pPr>
      <w:bookmarkStart w:id="24054" w:name="ET_speakercontinue_6236_22"/>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4054"/>
    </w:p>
    <w:p w:rsidR="00BB59CD" w:rsidRDefault="00BB59CD" w:rsidP="00BB59CD">
      <w:pPr>
        <w:rPr>
          <w:rtl/>
          <w:lang w:eastAsia="he-IL"/>
        </w:rPr>
      </w:pPr>
    </w:p>
    <w:p w:rsidR="00BB59CD" w:rsidRDefault="00BB59CD" w:rsidP="00EE125D">
      <w:pPr>
        <w:rPr>
          <w:rtl/>
          <w:lang w:eastAsia="he-IL"/>
        </w:rPr>
      </w:pPr>
      <w:r>
        <w:rPr>
          <w:rFonts w:hint="cs"/>
          <w:rtl/>
          <w:lang w:eastAsia="he-IL"/>
        </w:rPr>
        <w:t xml:space="preserve">- - אני, הייתי </w:t>
      </w:r>
      <w:bookmarkStart w:id="24055" w:name="_ETM_Q39_334118"/>
      <w:bookmarkEnd w:id="24055"/>
      <w:r>
        <w:rPr>
          <w:rFonts w:hint="cs"/>
          <w:rtl/>
          <w:lang w:eastAsia="he-IL"/>
        </w:rPr>
        <w:t xml:space="preserve">לי אובססיה למאבק הזה. אירועי 60 למרד ואדי </w:t>
      </w:r>
      <w:bookmarkStart w:id="24056" w:name="_ETM_Q39_340320"/>
      <w:bookmarkEnd w:id="24056"/>
      <w:r>
        <w:rPr>
          <w:rFonts w:hint="cs"/>
          <w:rtl/>
          <w:lang w:eastAsia="he-IL"/>
        </w:rPr>
        <w:t xml:space="preserve">סאליב – אני הייתי מהמארגנות בחיפה כשהייתי חברת מועצת עיר; </w:t>
      </w:r>
      <w:bookmarkStart w:id="24057" w:name="_ETM_Q39_343154"/>
      <w:bookmarkEnd w:id="24057"/>
      <w:r>
        <w:rPr>
          <w:rFonts w:hint="cs"/>
          <w:rtl/>
          <w:lang w:eastAsia="he-IL"/>
        </w:rPr>
        <w:t xml:space="preserve">התערוכה ההיסטורית הראשונה שנעשתה על המאבק הזה במוזיאון העיר חיפה </w:t>
      </w:r>
      <w:bookmarkStart w:id="24058" w:name="_ETM_Q39_345444"/>
      <w:bookmarkEnd w:id="24058"/>
      <w:r>
        <w:rPr>
          <w:rFonts w:hint="cs"/>
          <w:rtl/>
          <w:lang w:eastAsia="he-IL"/>
        </w:rPr>
        <w:t>– אני הייתי מהיוזמות כשהייתי יושבת-ראש הדירקטוריון, והיא הייתה תערוכה מדהימה</w:t>
      </w:r>
      <w:r w:rsidR="00EE125D">
        <w:rPr>
          <w:rFonts w:hint="cs"/>
          <w:rtl/>
          <w:lang w:eastAsia="he-IL"/>
        </w:rPr>
        <w:t xml:space="preserve">, פורצת דרך.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EE125D">
      <w:pPr>
        <w:rPr>
          <w:rtl/>
          <w:lang w:eastAsia="he-IL"/>
        </w:rPr>
      </w:pPr>
      <w:r>
        <w:rPr>
          <w:rFonts w:hint="cs"/>
          <w:rtl/>
          <w:lang w:eastAsia="he-IL"/>
        </w:rPr>
        <w:t>סבא שלי מוזכר שם?</w:t>
      </w:r>
      <w:bookmarkStart w:id="24059" w:name="_ETM_Q39_350588"/>
      <w:bookmarkEnd w:id="24059"/>
      <w:r w:rsidR="00EE125D">
        <w:rPr>
          <w:rFonts w:hint="cs"/>
          <w:rtl/>
          <w:lang w:eastAsia="he-IL"/>
        </w:rPr>
        <w:t xml:space="preserve"> </w:t>
      </w:r>
      <w:bookmarkStart w:id="24060" w:name="_ETM_Q39_350657"/>
      <w:bookmarkEnd w:id="24060"/>
      <w:r>
        <w:rPr>
          <w:rFonts w:hint="cs"/>
          <w:rtl/>
          <w:lang w:eastAsia="he-IL"/>
        </w:rPr>
        <w:t>הבבא חאקי, רבי יצחק אביחצירא.</w:t>
      </w:r>
    </w:p>
    <w:p w:rsidR="00BB59CD" w:rsidRDefault="00BB59CD" w:rsidP="00BB59CD">
      <w:pPr>
        <w:rPr>
          <w:rtl/>
          <w:lang w:eastAsia="he-IL"/>
        </w:rPr>
      </w:pPr>
      <w:bookmarkStart w:id="24061" w:name="_ETM_Q39_352104"/>
      <w:bookmarkStart w:id="24062" w:name="_ETM_Q39_338731"/>
      <w:bookmarkStart w:id="24063" w:name="_ETM_Q39_338852"/>
      <w:bookmarkEnd w:id="24061"/>
      <w:bookmarkEnd w:id="24062"/>
      <w:bookmarkEnd w:id="24063"/>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ודאי.</w:t>
      </w:r>
    </w:p>
    <w:p w:rsidR="00BB59CD" w:rsidRDefault="00BB59CD" w:rsidP="00BB59CD">
      <w:pPr>
        <w:rPr>
          <w:rtl/>
          <w:lang w:eastAsia="he-IL"/>
        </w:rPr>
      </w:pPr>
      <w:bookmarkStart w:id="24064" w:name="_ETM_Q39_351902"/>
      <w:bookmarkStart w:id="24065" w:name="_ETM_Q39_352006"/>
      <w:bookmarkEnd w:id="24064"/>
      <w:bookmarkEnd w:id="2406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4066" w:name="_ETM_Q39_353679"/>
      <w:bookmarkEnd w:id="24066"/>
      <w:r>
        <w:rPr>
          <w:rFonts w:hint="cs"/>
          <w:rtl/>
          <w:lang w:eastAsia="he-IL"/>
        </w:rPr>
        <w:t xml:space="preserve">היום האזכרה של סבתא שלי, עליה </w:t>
      </w:r>
      <w:bookmarkStart w:id="24067" w:name="_ETM_Q39_355231"/>
      <w:bookmarkEnd w:id="24067"/>
      <w:r>
        <w:rPr>
          <w:rFonts w:hint="cs"/>
          <w:rtl/>
          <w:lang w:eastAsia="he-IL"/>
        </w:rPr>
        <w:t>השלום. אנחנו פה.</w:t>
      </w:r>
    </w:p>
    <w:p w:rsidR="00BB59CD" w:rsidRDefault="00BB59CD" w:rsidP="00BB59CD">
      <w:pPr>
        <w:rPr>
          <w:rtl/>
          <w:lang w:eastAsia="he-IL"/>
        </w:rPr>
      </w:pPr>
      <w:bookmarkStart w:id="24068" w:name="_ETM_Q39_358793"/>
      <w:bookmarkStart w:id="24069" w:name="_ETM_Q39_358894"/>
      <w:bookmarkEnd w:id="24068"/>
      <w:bookmarkEnd w:id="24069"/>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7B6EE4">
      <w:pPr>
        <w:rPr>
          <w:rtl/>
          <w:lang w:eastAsia="he-IL"/>
        </w:rPr>
      </w:pPr>
      <w:bookmarkStart w:id="24070" w:name="_ETM_Q39_360523"/>
      <w:bookmarkEnd w:id="24070"/>
      <w:r>
        <w:rPr>
          <w:rFonts w:hint="cs"/>
          <w:rtl/>
          <w:lang w:eastAsia="he-IL"/>
        </w:rPr>
        <w:t>אבל אני רוצה להגיד לך</w:t>
      </w:r>
      <w:r w:rsidR="007B6EE4">
        <w:rPr>
          <w:rFonts w:hint="cs"/>
          <w:rtl/>
          <w:lang w:eastAsia="he-IL"/>
        </w:rPr>
        <w:t>,</w:t>
      </w:r>
      <w:r>
        <w:rPr>
          <w:rFonts w:hint="cs"/>
          <w:rtl/>
          <w:lang w:eastAsia="he-IL"/>
        </w:rPr>
        <w:t xml:space="preserve"> כי אני גם</w:t>
      </w:r>
      <w:bookmarkStart w:id="24071" w:name="_ETM_Q39_362060"/>
      <w:bookmarkEnd w:id="24071"/>
      <w:r>
        <w:rPr>
          <w:rFonts w:hint="cs"/>
          <w:rtl/>
          <w:lang w:eastAsia="he-IL"/>
        </w:rPr>
        <w:t xml:space="preserve"> באמת מצפה מכם גם למעט יושרה מול מה שקורה. אני </w:t>
      </w:r>
      <w:bookmarkStart w:id="24072" w:name="_ETM_Q39_364918"/>
      <w:bookmarkEnd w:id="24072"/>
      <w:r>
        <w:rPr>
          <w:rFonts w:hint="cs"/>
          <w:rtl/>
          <w:lang w:eastAsia="he-IL"/>
        </w:rPr>
        <w:t>רוצה לשאול אותך שאלה: של מי היה המצע הזה:</w:t>
      </w:r>
      <w:bookmarkStart w:id="24073" w:name="_ETM_Q39_371095"/>
      <w:bookmarkStart w:id="24074" w:name="_ETM_Q39_371227"/>
      <w:bookmarkStart w:id="24075" w:name="_ETM_Q39_373352"/>
      <w:bookmarkStart w:id="24076" w:name="_ETM_Q39_373431"/>
      <w:bookmarkEnd w:id="24073"/>
      <w:bookmarkEnd w:id="24074"/>
      <w:bookmarkEnd w:id="24075"/>
      <w:bookmarkEnd w:id="24076"/>
      <w:r>
        <w:rPr>
          <w:rFonts w:hint="cs"/>
          <w:rtl/>
          <w:lang w:eastAsia="he-IL"/>
        </w:rPr>
        <w:t xml:space="preserve"> </w:t>
      </w:r>
      <w:bookmarkStart w:id="24077" w:name="_ETM_Q39_374595"/>
      <w:bookmarkEnd w:id="24077"/>
      <w:r>
        <w:rPr>
          <w:rFonts w:hint="cs"/>
          <w:rtl/>
          <w:lang w:eastAsia="he-IL"/>
        </w:rPr>
        <w:t xml:space="preserve">"קודם </w:t>
      </w:r>
      <w:bookmarkStart w:id="24078" w:name="_ETM_Q39_371414"/>
      <w:bookmarkEnd w:id="24078"/>
      <w:r>
        <w:rPr>
          <w:rFonts w:hint="cs"/>
          <w:rtl/>
          <w:lang w:eastAsia="he-IL"/>
        </w:rPr>
        <w:t xml:space="preserve">כול החשוב מכול חופש הכלל והפרט, חופש העיתונות, חופש הדת". </w:t>
      </w:r>
      <w:bookmarkStart w:id="24079" w:name="_ETM_Q39_380490"/>
      <w:bookmarkEnd w:id="24079"/>
      <w:r>
        <w:rPr>
          <w:rFonts w:hint="cs"/>
          <w:rtl/>
          <w:lang w:eastAsia="he-IL"/>
        </w:rPr>
        <w:t>רגע, חשוב לי שהוא ישמע. אפשר? "קודם כול החשוב מכל חופש הכלל והפרט, חופש העיתונות, חופש הדת"</w:t>
      </w:r>
      <w:r w:rsidR="007B6EE4">
        <w:rPr>
          <w:rFonts w:hint="cs"/>
          <w:rtl/>
          <w:lang w:eastAsia="he-IL"/>
        </w:rPr>
        <w:t>;</w:t>
      </w:r>
      <w:r>
        <w:rPr>
          <w:rFonts w:hint="cs"/>
          <w:rtl/>
          <w:lang w:eastAsia="he-IL"/>
        </w:rPr>
        <w:t xml:space="preserve"> </w:t>
      </w:r>
      <w:bookmarkStart w:id="24080" w:name="_ETM_Q39_389315"/>
      <w:bookmarkEnd w:id="24080"/>
      <w:r>
        <w:rPr>
          <w:rFonts w:hint="cs"/>
          <w:rtl/>
          <w:lang w:eastAsia="he-IL"/>
        </w:rPr>
        <w:t>"חיסול האפליה, חיסול הקיפוח והפרוטקציה"</w:t>
      </w:r>
      <w:r w:rsidR="007B6EE4">
        <w:rPr>
          <w:rFonts w:hint="cs"/>
          <w:rtl/>
          <w:lang w:eastAsia="he-IL"/>
        </w:rPr>
        <w:t>;</w:t>
      </w:r>
      <w:r>
        <w:rPr>
          <w:rFonts w:hint="cs"/>
          <w:rtl/>
          <w:lang w:eastAsia="he-IL"/>
        </w:rPr>
        <w:t xml:space="preserve"> ביטול עילת הסבירות</w:t>
      </w:r>
      <w:bookmarkStart w:id="24081" w:name="_ETM_Q39_397623"/>
      <w:bookmarkEnd w:id="24081"/>
      <w:r>
        <w:rPr>
          <w:rFonts w:hint="cs"/>
          <w:rtl/>
          <w:lang w:eastAsia="he-IL"/>
        </w:rPr>
        <w:t xml:space="preserve"> זה העצמת הפרוטקציה</w:t>
      </w:r>
      <w:r w:rsidR="007B6EE4">
        <w:rPr>
          <w:rFonts w:hint="cs"/>
          <w:rtl/>
          <w:lang w:eastAsia="he-IL"/>
        </w:rPr>
        <w:t>;</w:t>
      </w:r>
      <w:r>
        <w:rPr>
          <w:rFonts w:hint="cs"/>
          <w:rtl/>
          <w:lang w:eastAsia="he-IL"/>
        </w:rPr>
        <w:t xml:space="preserve"> "חינוך תיכון חינם לכל מוכשר; הבטחת קיום </w:t>
      </w:r>
      <w:bookmarkStart w:id="24082" w:name="_ETM_Q39_402992"/>
      <w:bookmarkEnd w:id="24082"/>
      <w:r>
        <w:rPr>
          <w:rFonts w:hint="cs"/>
          <w:rtl/>
          <w:lang w:eastAsia="he-IL"/>
        </w:rPr>
        <w:t xml:space="preserve">מינימלי לכל אדם, חיסול משרות כפולות לאדם אחד; </w:t>
      </w:r>
      <w:bookmarkStart w:id="24083" w:name="_ETM_Q39_407930"/>
      <w:bookmarkEnd w:id="24083"/>
      <w:r>
        <w:rPr>
          <w:rFonts w:hint="cs"/>
          <w:rtl/>
          <w:lang w:eastAsia="he-IL"/>
        </w:rPr>
        <w:t xml:space="preserve">דיור אנושי לכל משפחה, חיסולן המיידי של כל המעברות, חיסול </w:t>
      </w:r>
      <w:bookmarkStart w:id="24084" w:name="_ETM_Q39_414370"/>
      <w:bookmarkEnd w:id="24084"/>
      <w:r>
        <w:rPr>
          <w:rFonts w:hint="cs"/>
          <w:rtl/>
          <w:lang w:eastAsia="he-IL"/>
        </w:rPr>
        <w:t xml:space="preserve">משכנות העוני" – לא מה שעשו פה לדיור הציבורי – בניית </w:t>
      </w:r>
      <w:bookmarkStart w:id="24085" w:name="_ETM_Q39_420075"/>
      <w:bookmarkEnd w:id="24085"/>
      <w:r>
        <w:rPr>
          <w:rFonts w:hint="cs"/>
          <w:rtl/>
          <w:lang w:eastAsia="he-IL"/>
        </w:rPr>
        <w:t>דיור לרווקים, לחיילים משוחררים ולמחוסרי בית</w:t>
      </w:r>
      <w:r w:rsidR="007B6EE4">
        <w:rPr>
          <w:rFonts w:hint="cs"/>
          <w:rtl/>
          <w:lang w:eastAsia="he-IL"/>
        </w:rPr>
        <w:t>;</w:t>
      </w:r>
      <w:r>
        <w:rPr>
          <w:rFonts w:hint="cs"/>
          <w:rtl/>
          <w:lang w:eastAsia="he-IL"/>
        </w:rPr>
        <w:t xml:space="preserve"> "ביטוח בריאות ממלכתי; </w:t>
      </w:r>
      <w:bookmarkStart w:id="24086" w:name="_ETM_Q39_426550"/>
      <w:bookmarkEnd w:id="24086"/>
      <w:r>
        <w:rPr>
          <w:rFonts w:hint="cs"/>
          <w:rtl/>
          <w:lang w:eastAsia="he-IL"/>
        </w:rPr>
        <w:t xml:space="preserve">הגדלת קצבת זקנים על ידי ביטוח לאומי". ועוד משהו: "בחירת </w:t>
      </w:r>
      <w:bookmarkStart w:id="24087" w:name="_ETM_Q39_431932"/>
      <w:bookmarkEnd w:id="24087"/>
      <w:r>
        <w:rPr>
          <w:rFonts w:hint="cs"/>
          <w:rtl/>
          <w:lang w:eastAsia="he-IL"/>
        </w:rPr>
        <w:t xml:space="preserve">שר הדתות על ידי הציבור הדתי ללא קשר מפלגתי, בחירת רב ראשי </w:t>
      </w:r>
      <w:r w:rsidR="007B6EE4">
        <w:rPr>
          <w:rFonts w:hint="cs"/>
          <w:rtl/>
          <w:lang w:eastAsia="he-IL"/>
        </w:rPr>
        <w:t>'</w:t>
      </w:r>
      <w:r>
        <w:rPr>
          <w:rFonts w:hint="cs"/>
          <w:rtl/>
          <w:lang w:eastAsia="he-IL"/>
        </w:rPr>
        <w:t>ראשון לציון</w:t>
      </w:r>
      <w:r w:rsidR="007B6EE4">
        <w:rPr>
          <w:rFonts w:hint="cs"/>
          <w:rtl/>
          <w:lang w:eastAsia="he-IL"/>
        </w:rPr>
        <w:t>'</w:t>
      </w:r>
      <w:r>
        <w:rPr>
          <w:rFonts w:hint="cs"/>
          <w:rtl/>
          <w:lang w:eastAsia="he-IL"/>
        </w:rPr>
        <w:t xml:space="preserve"> אחד לישראל ללא כל קשר עדתי; </w:t>
      </w:r>
      <w:bookmarkStart w:id="24088" w:name="_ETM_Q39_440755"/>
      <w:bookmarkEnd w:id="24088"/>
      <w:r>
        <w:rPr>
          <w:rFonts w:hint="cs"/>
          <w:rtl/>
          <w:lang w:eastAsia="he-IL"/>
        </w:rPr>
        <w:t xml:space="preserve">טיפוח לשלום וידידות עם שכנינו הערבים, פתרון מתאים לחיסול </w:t>
      </w:r>
      <w:bookmarkStart w:id="24089" w:name="_ETM_Q39_449076"/>
      <w:bookmarkEnd w:id="24089"/>
      <w:r>
        <w:rPr>
          <w:rFonts w:hint="cs"/>
          <w:rtl/>
          <w:lang w:eastAsia="he-IL"/>
        </w:rPr>
        <w:t xml:space="preserve">הממשל הצבאי עם כוננות מתמדת לביטחון המדינה, זכויות שוות </w:t>
      </w:r>
      <w:bookmarkStart w:id="24090" w:name="_ETM_Q39_452622"/>
      <w:bookmarkEnd w:id="24090"/>
      <w:r>
        <w:rPr>
          <w:rFonts w:hint="cs"/>
          <w:rtl/>
          <w:lang w:eastAsia="he-IL"/>
        </w:rPr>
        <w:t xml:space="preserve">לכל אזרח ללא הבדל של דת או מין, שיפור רמת </w:t>
      </w:r>
      <w:bookmarkStart w:id="24091" w:name="_ETM_Q39_454877"/>
      <w:bookmarkEnd w:id="24091"/>
      <w:r>
        <w:rPr>
          <w:rFonts w:hint="cs"/>
          <w:rtl/>
          <w:lang w:eastAsia="he-IL"/>
        </w:rPr>
        <w:t xml:space="preserve">חייהם של בני הכפרים". את זה הגה דוד בן </w:t>
      </w:r>
      <w:bookmarkStart w:id="24092" w:name="_ETM_Q39_462364"/>
      <w:bookmarkEnd w:id="24092"/>
      <w:r>
        <w:rPr>
          <w:rFonts w:hint="cs"/>
          <w:rtl/>
          <w:lang w:eastAsia="he-IL"/>
        </w:rPr>
        <w:t xml:space="preserve">הרוש, זכרו לברכה, מנהיג מרד ואדי סאליב, שהיה השראה לפנתרים </w:t>
      </w:r>
      <w:bookmarkStart w:id="24093" w:name="_ETM_Q39_468150"/>
      <w:bookmarkEnd w:id="24093"/>
      <w:r>
        <w:rPr>
          <w:rFonts w:hint="cs"/>
          <w:rtl/>
          <w:lang w:eastAsia="he-IL"/>
        </w:rPr>
        <w:t>השחורים לאחר מכן.</w:t>
      </w:r>
    </w:p>
    <w:p w:rsidR="00BB59CD" w:rsidRDefault="00BB59CD" w:rsidP="00BB59CD">
      <w:pPr>
        <w:rPr>
          <w:rtl/>
          <w:lang w:eastAsia="he-IL"/>
        </w:rPr>
      </w:pPr>
      <w:bookmarkStart w:id="24094" w:name="_ETM_Q39_471155"/>
      <w:bookmarkStart w:id="24095" w:name="_ETM_Q39_471244"/>
      <w:bookmarkEnd w:id="24094"/>
      <w:bookmarkEnd w:id="24095"/>
    </w:p>
    <w:p w:rsidR="00BB59CD" w:rsidRDefault="00BB59CD" w:rsidP="007B6EE4">
      <w:pPr>
        <w:rPr>
          <w:rtl/>
          <w:lang w:eastAsia="he-IL"/>
        </w:rPr>
      </w:pPr>
      <w:bookmarkStart w:id="24096" w:name="_ETM_Q39_471395"/>
      <w:bookmarkStart w:id="24097" w:name="_ETM_Q39_471518"/>
      <w:bookmarkEnd w:id="24096"/>
      <w:bookmarkEnd w:id="24097"/>
      <w:r>
        <w:rPr>
          <w:rFonts w:hint="cs"/>
          <w:rtl/>
          <w:lang w:eastAsia="he-IL"/>
        </w:rPr>
        <w:t xml:space="preserve">זה לא נתפס עד כמה שהדרישות הללו </w:t>
      </w:r>
      <w:bookmarkStart w:id="24098" w:name="_ETM_Q39_475239"/>
      <w:bookmarkEnd w:id="24098"/>
      <w:r>
        <w:rPr>
          <w:rFonts w:hint="cs"/>
          <w:rtl/>
          <w:lang w:eastAsia="he-IL"/>
        </w:rPr>
        <w:t>רלוונטיות היום</w:t>
      </w:r>
      <w:r w:rsidR="007B6EE4">
        <w:rPr>
          <w:rFonts w:hint="cs"/>
          <w:rtl/>
          <w:lang w:eastAsia="he-IL"/>
        </w:rPr>
        <w:t>.</w:t>
      </w:r>
      <w:r>
        <w:rPr>
          <w:rFonts w:hint="cs"/>
          <w:rtl/>
          <w:lang w:eastAsia="he-IL"/>
        </w:rPr>
        <w:t xml:space="preserve"> הן עומדות היום והן אפילו מתכתבות עם </w:t>
      </w:r>
      <w:bookmarkStart w:id="24099" w:name="_ETM_Q39_480350"/>
      <w:bookmarkEnd w:id="24099"/>
      <w:r>
        <w:rPr>
          <w:rFonts w:hint="cs"/>
          <w:rtl/>
          <w:lang w:eastAsia="he-IL"/>
        </w:rPr>
        <w:t>מה שקורה פה. איפה אתם</w:t>
      </w:r>
      <w:r w:rsidR="007B6EE4">
        <w:rPr>
          <w:rFonts w:hint="cs"/>
          <w:rtl/>
          <w:lang w:eastAsia="he-IL"/>
        </w:rPr>
        <w:t>?</w:t>
      </w:r>
      <w:r>
        <w:rPr>
          <w:rFonts w:hint="cs"/>
          <w:rtl/>
          <w:lang w:eastAsia="he-IL"/>
        </w:rPr>
        <w:t xml:space="preserve"> מדברים בשם ישראל השנייה, בשם המזרחים </w:t>
      </w:r>
      <w:r w:rsidR="007B6EE4">
        <w:rPr>
          <w:rFonts w:hint="eastAsia"/>
          <w:rtl/>
          <w:lang w:eastAsia="he-IL"/>
        </w:rPr>
        <w:t>–</w:t>
      </w:r>
      <w:r w:rsidR="007B6EE4">
        <w:rPr>
          <w:rFonts w:hint="cs"/>
          <w:rtl/>
          <w:lang w:eastAsia="he-IL"/>
        </w:rPr>
        <w:t xml:space="preserve"> </w:t>
      </w:r>
      <w:r>
        <w:rPr>
          <w:rFonts w:hint="cs"/>
          <w:rtl/>
          <w:lang w:eastAsia="he-IL"/>
        </w:rPr>
        <w:t xml:space="preserve">איפה אתם מול מנהיגי המאבק המזרחי המפואר בישראל, שתמיד לא דיבר סקטוריאלית, והוא תמיד לא דיבר </w:t>
      </w:r>
      <w:bookmarkStart w:id="24100" w:name="_ETM_Q39_496530"/>
      <w:bookmarkEnd w:id="24100"/>
      <w:r>
        <w:rPr>
          <w:rFonts w:hint="cs"/>
          <w:rtl/>
          <w:lang w:eastAsia="he-IL"/>
        </w:rPr>
        <w:t xml:space="preserve">מגזרית, הוא תמיד דיבר אוניברסלי ומעמדית? הוא תמיד </w:t>
      </w:r>
      <w:bookmarkStart w:id="24101" w:name="_ETM_Q39_501967"/>
      <w:bookmarkEnd w:id="24101"/>
      <w:r>
        <w:rPr>
          <w:rFonts w:hint="cs"/>
          <w:rtl/>
          <w:lang w:eastAsia="he-IL"/>
        </w:rPr>
        <w:t xml:space="preserve">ראה רחב מה לתקן פה. הוא הסתכל על הגזענות והאפליה </w:t>
      </w:r>
      <w:bookmarkStart w:id="24102" w:name="_ETM_Q39_507943"/>
      <w:bookmarkEnd w:id="24102"/>
      <w:r>
        <w:rPr>
          <w:rFonts w:hint="cs"/>
          <w:rtl/>
          <w:lang w:eastAsia="he-IL"/>
        </w:rPr>
        <w:t xml:space="preserve">המגזרית וחשב איך לתקן חברה. זה המאבק המזרחי בישראל. הוא </w:t>
      </w:r>
      <w:bookmarkStart w:id="24103" w:name="_ETM_Q39_514680"/>
      <w:bookmarkEnd w:id="24103"/>
      <w:r>
        <w:rPr>
          <w:rFonts w:hint="cs"/>
          <w:rtl/>
          <w:lang w:eastAsia="he-IL"/>
        </w:rPr>
        <w:t xml:space="preserve">לא מה שעשיתם פה בתקציב, הוא להסתכל על ישראל </w:t>
      </w:r>
      <w:bookmarkStart w:id="24104" w:name="_ETM_Q39_519877"/>
      <w:bookmarkEnd w:id="24104"/>
      <w:r>
        <w:rPr>
          <w:rFonts w:hint="cs"/>
          <w:rtl/>
          <w:lang w:eastAsia="he-IL"/>
        </w:rPr>
        <w:t xml:space="preserve">כעל אומה שצריכה להיות חברת מופת.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ואני רוצה להגיד לך </w:t>
      </w:r>
      <w:bookmarkStart w:id="24105" w:name="_ETM_Q39_525857"/>
      <w:bookmarkEnd w:id="24105"/>
      <w:r>
        <w:rPr>
          <w:rFonts w:hint="cs"/>
          <w:rtl/>
          <w:lang w:eastAsia="he-IL"/>
        </w:rPr>
        <w:t xml:space="preserve">שבהקשר של הסעיף לחיסול הפרוטקציות, זה לא נתפס היום שאתם ממשלה שמתיימרת לקרוא לעצמה "ממשלת ישראל השנייה", ואתם מעבירים </w:t>
      </w:r>
      <w:bookmarkStart w:id="24106" w:name="_ETM_Q39_536499"/>
      <w:bookmarkEnd w:id="24106"/>
      <w:r>
        <w:rPr>
          <w:rFonts w:hint="cs"/>
          <w:rtl/>
          <w:lang w:eastAsia="he-IL"/>
        </w:rPr>
        <w:t xml:space="preserve">פה את חוק ביטול עילת הסבירות, שהוא חוק </w:t>
      </w:r>
      <w:bookmarkStart w:id="24107" w:name="_ETM_Q39_540395"/>
      <w:bookmarkEnd w:id="24107"/>
      <w:r>
        <w:rPr>
          <w:rFonts w:hint="cs"/>
          <w:rtl/>
          <w:lang w:eastAsia="he-IL"/>
        </w:rPr>
        <w:t xml:space="preserve">שנועד לבטל את שומרי הסף ולעשות פה מינויים לא </w:t>
      </w:r>
      <w:bookmarkStart w:id="24108" w:name="_ETM_Q39_544088"/>
      <w:bookmarkEnd w:id="24108"/>
      <w:r>
        <w:rPr>
          <w:rFonts w:hint="cs"/>
          <w:rtl/>
          <w:lang w:eastAsia="he-IL"/>
        </w:rPr>
        <w:t xml:space="preserve">סבירים, לא מידתיים, שהם בדיוק הדבר הזה – בדיוק הפרוטקציות, רק </w:t>
      </w:r>
      <w:bookmarkStart w:id="24109" w:name="_ETM_Q39_551146"/>
      <w:bookmarkEnd w:id="24109"/>
      <w:r>
        <w:rPr>
          <w:rFonts w:hint="cs"/>
          <w:rtl/>
          <w:lang w:eastAsia="he-IL"/>
        </w:rPr>
        <w:t xml:space="preserve">בחוק, בלי יכולת לבקר. </w:t>
      </w:r>
    </w:p>
    <w:p w:rsidR="00BB59CD" w:rsidRDefault="00BB59CD" w:rsidP="00BB59CD">
      <w:pPr>
        <w:rPr>
          <w:rtl/>
          <w:lang w:eastAsia="he-IL"/>
        </w:rPr>
      </w:pPr>
      <w:bookmarkStart w:id="24110" w:name="_ETM_Q39_555517"/>
      <w:bookmarkStart w:id="24111" w:name="_ETM_Q39_555616"/>
      <w:bookmarkEnd w:id="24110"/>
      <w:bookmarkEnd w:id="24111"/>
    </w:p>
    <w:p w:rsidR="00BB59CD" w:rsidRDefault="00BB59CD" w:rsidP="00BB59CD">
      <w:pPr>
        <w:rPr>
          <w:rtl/>
          <w:lang w:eastAsia="he-IL"/>
        </w:rPr>
      </w:pPr>
      <w:bookmarkStart w:id="24112" w:name="_ETM_Q39_555756"/>
      <w:bookmarkStart w:id="24113" w:name="_ETM_Q39_555847"/>
      <w:bookmarkEnd w:id="24112"/>
      <w:bookmarkEnd w:id="24113"/>
      <w:r>
        <w:rPr>
          <w:rFonts w:hint="cs"/>
          <w:rtl/>
          <w:lang w:eastAsia="he-IL"/>
        </w:rPr>
        <w:t xml:space="preserve">אז כמה מילים על ביטול </w:t>
      </w:r>
      <w:bookmarkStart w:id="24114" w:name="_ETM_Q39_558005"/>
      <w:bookmarkEnd w:id="24114"/>
      <w:r>
        <w:rPr>
          <w:rFonts w:hint="cs"/>
          <w:rtl/>
          <w:lang w:eastAsia="he-IL"/>
        </w:rPr>
        <w:t xml:space="preserve">עילת הסבירות וישראל השנייה. החלטות ממשלה לא סבירות התקבלו </w:t>
      </w:r>
      <w:bookmarkStart w:id="24115" w:name="_ETM_Q39_563126"/>
      <w:bookmarkEnd w:id="24115"/>
      <w:r>
        <w:rPr>
          <w:rFonts w:hint="cs"/>
          <w:rtl/>
          <w:lang w:eastAsia="he-IL"/>
        </w:rPr>
        <w:t xml:space="preserve">כשיש עילת סבירות מפותחת העומדת כתמרור אזהרה מפני החלטות לא </w:t>
      </w:r>
      <w:bookmarkStart w:id="24116" w:name="_ETM_Q39_567437"/>
      <w:bookmarkEnd w:id="24116"/>
      <w:r>
        <w:rPr>
          <w:rFonts w:hint="cs"/>
          <w:rtl/>
          <w:lang w:eastAsia="he-IL"/>
        </w:rPr>
        <w:t xml:space="preserve">סבירות. מה יקרה לאחר מכן? הרי העילה הזו היא </w:t>
      </w:r>
      <w:bookmarkStart w:id="24117" w:name="_ETM_Q39_572009"/>
      <w:bookmarkEnd w:id="24117"/>
      <w:r>
        <w:rPr>
          <w:rFonts w:hint="cs"/>
          <w:rtl/>
          <w:lang w:eastAsia="he-IL"/>
        </w:rPr>
        <w:t>שמנעה את הרחבת בז"ן, היא מנעה בנייה על קרקע מזוהמת</w:t>
      </w:r>
      <w:bookmarkStart w:id="24118" w:name="_ETM_Q39_578332"/>
      <w:bookmarkEnd w:id="24118"/>
      <w:r>
        <w:rPr>
          <w:rFonts w:hint="cs"/>
          <w:rtl/>
          <w:lang w:eastAsia="he-IL"/>
        </w:rPr>
        <w:t xml:space="preserve"> והתחמקות ממיגון חלקי בעוטף עזה. בזכותה הממשלה פעלה לטובת</w:t>
      </w:r>
      <w:bookmarkStart w:id="24119" w:name="_ETM_Q39_584801"/>
      <w:bookmarkEnd w:id="24119"/>
      <w:r>
        <w:rPr>
          <w:rFonts w:hint="cs"/>
          <w:rtl/>
          <w:lang w:eastAsia="he-IL"/>
        </w:rPr>
        <w:t xml:space="preserve"> הציבור באופן שלא חורג ממתחם הסבירות. היא זו שעל בסיסה, </w:t>
      </w:r>
      <w:bookmarkStart w:id="24120" w:name="_ETM_Q39_590570"/>
      <w:bookmarkEnd w:id="24120"/>
      <w:r>
        <w:rPr>
          <w:rFonts w:hint="cs"/>
          <w:rtl/>
          <w:lang w:eastAsia="he-IL"/>
        </w:rPr>
        <w:t xml:space="preserve">רק בשנה שעברה, ניתנה פסיקה להפסקת ניתוקי החשמל למשפחות מעוטות </w:t>
      </w:r>
      <w:bookmarkStart w:id="24121" w:name="_ETM_Q39_596972"/>
      <w:bookmarkEnd w:id="24121"/>
      <w:r>
        <w:rPr>
          <w:rFonts w:hint="cs"/>
          <w:rtl/>
          <w:lang w:eastAsia="he-IL"/>
        </w:rPr>
        <w:t xml:space="preserve">יכולת. ולא פחות חשוב מעילת הסבירות, המאבק המזרחי צמח </w:t>
      </w:r>
      <w:bookmarkStart w:id="24122" w:name="_ETM_Q39_603401"/>
      <w:bookmarkEnd w:id="24122"/>
      <w:r>
        <w:rPr>
          <w:rFonts w:hint="cs"/>
          <w:rtl/>
          <w:lang w:eastAsia="he-IL"/>
        </w:rPr>
        <w:t xml:space="preserve">מהדרישה להפסיק את הפרוטקציה ולתת </w:t>
      </w:r>
      <w:bookmarkStart w:id="24123" w:name="_ETM_Q39_610414"/>
      <w:bookmarkEnd w:id="24123"/>
      <w:r>
        <w:rPr>
          <w:rFonts w:hint="cs"/>
          <w:rtl/>
          <w:lang w:eastAsia="he-IL"/>
        </w:rPr>
        <w:t>הזדמנות שווה להגיע ל</w:t>
      </w:r>
      <w:bookmarkStart w:id="24124" w:name="_ETM_Q39_609494"/>
      <w:bookmarkEnd w:id="24124"/>
      <w:r>
        <w:rPr>
          <w:rFonts w:hint="cs"/>
          <w:rtl/>
          <w:lang w:eastAsia="he-IL"/>
        </w:rPr>
        <w:t xml:space="preserve">כל תפקיד, בדיוק כמו שהקראתי פה במצע. ואתם רוצים פה </w:t>
      </w:r>
      <w:bookmarkStart w:id="24125" w:name="_ETM_Q39_613983"/>
      <w:bookmarkEnd w:id="24125"/>
      <w:r>
        <w:rPr>
          <w:rFonts w:hint="cs"/>
          <w:rtl/>
          <w:lang w:eastAsia="he-IL"/>
        </w:rPr>
        <w:t xml:space="preserve">משטר נאמנות של ג'ובים והחלפת הדרג המקצועי במקורבים. אתם בושה </w:t>
      </w:r>
      <w:bookmarkStart w:id="24126" w:name="_ETM_Q39_622809"/>
      <w:bookmarkEnd w:id="24126"/>
      <w:r>
        <w:rPr>
          <w:rFonts w:hint="cs"/>
          <w:rtl/>
          <w:lang w:eastAsia="he-IL"/>
        </w:rPr>
        <w:t>למאבק המזרחי המפואר.</w:t>
      </w:r>
    </w:p>
    <w:p w:rsidR="00BB59CD" w:rsidRDefault="00BB59CD" w:rsidP="00BB59CD">
      <w:pPr>
        <w:rPr>
          <w:rtl/>
          <w:lang w:eastAsia="he-IL"/>
        </w:rPr>
      </w:pPr>
      <w:bookmarkStart w:id="24127" w:name="_ETM_Q39_625356"/>
      <w:bookmarkStart w:id="24128" w:name="_ETM_Q39_625480"/>
      <w:bookmarkEnd w:id="24127"/>
      <w:bookmarkEnd w:id="24128"/>
    </w:p>
    <w:p w:rsidR="00BB59CD" w:rsidRDefault="00BB59CD" w:rsidP="00BB59CD">
      <w:pPr>
        <w:rPr>
          <w:rtl/>
          <w:lang w:eastAsia="he-IL"/>
        </w:rPr>
      </w:pPr>
      <w:bookmarkStart w:id="24129" w:name="_ETM_Q39_625916"/>
      <w:bookmarkStart w:id="24130" w:name="_ETM_Q39_626035"/>
      <w:bookmarkEnd w:id="24129"/>
      <w:bookmarkEnd w:id="24130"/>
      <w:r>
        <w:rPr>
          <w:rFonts w:hint="cs"/>
          <w:rtl/>
          <w:lang w:eastAsia="he-IL"/>
        </w:rPr>
        <w:t xml:space="preserve">ואני אגיד יותר מזה: אתם משקרים. אתם מבזים </w:t>
      </w:r>
      <w:bookmarkStart w:id="24131" w:name="_ETM_Q39_629012"/>
      <w:bookmarkEnd w:id="24131"/>
      <w:r>
        <w:rPr>
          <w:rFonts w:hint="cs"/>
          <w:rtl/>
          <w:lang w:eastAsia="he-IL"/>
        </w:rPr>
        <w:t>את המאבק של ההורים והסבתות שלנו. נפלתם על הדור הלא</w:t>
      </w:r>
      <w:bookmarkStart w:id="24132" w:name="_ETM_Q39_633122"/>
      <w:bookmarkEnd w:id="24132"/>
      <w:r>
        <w:rPr>
          <w:rFonts w:hint="cs"/>
          <w:rtl/>
          <w:lang w:eastAsia="he-IL"/>
        </w:rPr>
        <w:t xml:space="preserve">-נכון. לא בשמנו. ואני גם רוצה להגיד: מלחמה בעוני, </w:t>
      </w:r>
      <w:bookmarkStart w:id="24133" w:name="_ETM_Q39_638963"/>
      <w:bookmarkEnd w:id="24133"/>
      <w:r>
        <w:rPr>
          <w:rFonts w:hint="cs"/>
          <w:rtl/>
          <w:lang w:eastAsia="he-IL"/>
        </w:rPr>
        <w:t xml:space="preserve">לא בעניים. מלחמה בעוני, לא בעניים.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נעמה לזימי, אני אומר לך שאני אעביר - - -</w:t>
      </w:r>
    </w:p>
    <w:p w:rsidR="00BB59CD" w:rsidRDefault="00BB59CD" w:rsidP="00BB59CD">
      <w:pPr>
        <w:rPr>
          <w:rtl/>
          <w:lang w:eastAsia="he-IL"/>
        </w:rPr>
      </w:pPr>
      <w:bookmarkStart w:id="24134" w:name="_ETM_Q39_647296"/>
      <w:bookmarkStart w:id="24135" w:name="_ETM_Q39_647401"/>
      <w:bookmarkEnd w:id="24134"/>
      <w:bookmarkEnd w:id="24135"/>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מלחמה בעוני, לא בעניים.</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 יותר </w:t>
      </w:r>
      <w:bookmarkStart w:id="24136" w:name="_ETM_Q39_648443"/>
      <w:bookmarkEnd w:id="24136"/>
      <w:r>
        <w:rPr>
          <w:rFonts w:hint="cs"/>
          <w:rtl/>
          <w:lang w:eastAsia="he-IL"/>
        </w:rPr>
        <w:t>לא תעלי לכאן לדבר. אני מבקש להוריד אותה מייד. להוריד אותה מייד מהדוכן, ואלה הדברים.</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24137" w:name="_ETM_Q39_651389"/>
      <w:bookmarkEnd w:id="24137"/>
      <w:r>
        <w:rPr>
          <w:rFonts w:hint="cs"/>
          <w:rtl/>
          <w:lang w:eastAsia="he-IL"/>
        </w:rPr>
        <w:t>זה בסך הכול מלחמה בעוני, לא בעניים.</w:t>
      </w:r>
    </w:p>
    <w:p w:rsidR="00BB59CD" w:rsidRDefault="00BB59CD" w:rsidP="00BB59CD">
      <w:pPr>
        <w:rPr>
          <w:rtl/>
          <w:lang w:eastAsia="he-IL"/>
        </w:rPr>
      </w:pPr>
      <w:bookmarkStart w:id="24138" w:name="_ETM_Q39_652969"/>
      <w:bookmarkStart w:id="24139" w:name="_ETM_Q39_653044"/>
      <w:bookmarkEnd w:id="24138"/>
      <w:bookmarkEnd w:id="24139"/>
    </w:p>
    <w:p w:rsidR="00BB59CD" w:rsidRDefault="00BB59CD" w:rsidP="00BB59CD">
      <w:pPr>
        <w:pStyle w:val="af9"/>
        <w:keepNext/>
        <w:rPr>
          <w:rtl/>
        </w:rPr>
      </w:pPr>
      <w:bookmarkStart w:id="24140" w:name="ET_yor_6488_3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140"/>
    </w:p>
    <w:p w:rsidR="00BB59CD" w:rsidRDefault="00BB59CD" w:rsidP="00337201">
      <w:pPr>
        <w:rPr>
          <w:rtl/>
          <w:lang w:eastAsia="he-IL"/>
        </w:rPr>
      </w:pPr>
    </w:p>
    <w:p w:rsidR="00BB59CD" w:rsidRDefault="00BB59CD" w:rsidP="00BB59CD">
      <w:pPr>
        <w:rPr>
          <w:rtl/>
          <w:lang w:eastAsia="he-IL"/>
        </w:rPr>
      </w:pPr>
      <w:bookmarkStart w:id="24141" w:name="_ETM_Q39_654389"/>
      <w:bookmarkEnd w:id="24141"/>
      <w:r>
        <w:rPr>
          <w:rFonts w:hint="cs"/>
          <w:rtl/>
          <w:lang w:eastAsia="he-IL"/>
        </w:rPr>
        <w:t xml:space="preserve">לא, אבל את חצופה, וזו פעם שנייה שאת עושה </w:t>
      </w:r>
      <w:r w:rsidR="007B6EE4">
        <w:rPr>
          <w:rFonts w:hint="cs"/>
          <w:rtl/>
          <w:lang w:eastAsia="he-IL"/>
        </w:rPr>
        <w:t xml:space="preserve">את זה </w:t>
      </w:r>
      <w:r>
        <w:rPr>
          <w:rFonts w:hint="cs"/>
          <w:rtl/>
          <w:lang w:eastAsia="he-IL"/>
        </w:rPr>
        <w:t xml:space="preserve">כשאני </w:t>
      </w:r>
      <w:bookmarkStart w:id="24142" w:name="_ETM_Q39_655489"/>
      <w:bookmarkEnd w:id="24142"/>
      <w:r>
        <w:rPr>
          <w:rFonts w:hint="cs"/>
          <w:rtl/>
          <w:lang w:eastAsia="he-IL"/>
        </w:rPr>
        <w:t xml:space="preserve">פה, ואני אדאג בוועדת האתיקה שתקבלי ענישה. לא תעלי פה </w:t>
      </w:r>
      <w:bookmarkStart w:id="24143" w:name="_ETM_Q39_660991"/>
      <w:bookmarkEnd w:id="24143"/>
      <w:r>
        <w:rPr>
          <w:rFonts w:hint="cs"/>
          <w:rtl/>
          <w:lang w:eastAsia="he-IL"/>
        </w:rPr>
        <w:t>מושב שלם לדבר מעל הדוכן.</w:t>
      </w:r>
    </w:p>
    <w:p w:rsidR="00BB59CD" w:rsidRDefault="00BB59CD" w:rsidP="00BB59CD">
      <w:pPr>
        <w:rPr>
          <w:rtl/>
          <w:lang w:eastAsia="he-IL"/>
        </w:rPr>
      </w:pPr>
      <w:bookmarkStart w:id="24144" w:name="_ETM_Q39_662102"/>
      <w:bookmarkStart w:id="24145" w:name="_ETM_Q39_662209"/>
      <w:bookmarkEnd w:id="24144"/>
      <w:bookmarkEnd w:id="24145"/>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זה בסך הכול כתוב: מלחמה בעוני, לא בעניים.</w:t>
      </w:r>
    </w:p>
    <w:p w:rsidR="00BB59CD" w:rsidRDefault="00BB59CD" w:rsidP="00BB59CD">
      <w:pPr>
        <w:rPr>
          <w:rtl/>
          <w:lang w:eastAsia="he-IL"/>
        </w:rPr>
      </w:pPr>
    </w:p>
    <w:p w:rsidR="00BB59CD" w:rsidRDefault="00BB59CD" w:rsidP="00BB59CD">
      <w:pPr>
        <w:pStyle w:val="af9"/>
        <w:keepNext/>
        <w:rPr>
          <w:rtl/>
        </w:rPr>
      </w:pPr>
      <w:bookmarkStart w:id="24146" w:name="ET_yor_6488_3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146"/>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 </w:t>
      </w:r>
      <w:bookmarkStart w:id="24147" w:name="_ETM_Q39_663647"/>
      <w:bookmarkEnd w:id="24147"/>
      <w:r>
        <w:rPr>
          <w:rFonts w:hint="cs"/>
          <w:rtl/>
          <w:lang w:eastAsia="he-IL"/>
        </w:rPr>
        <w:t>לא תדברי מעל הדוכן מושב שלם. אני אדאג לכך.</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ביטול עילת </w:t>
      </w:r>
      <w:bookmarkStart w:id="24148" w:name="_ETM_Q39_666709"/>
      <w:bookmarkEnd w:id="24148"/>
      <w:r>
        <w:rPr>
          <w:rFonts w:hint="cs"/>
          <w:rtl/>
          <w:lang w:eastAsia="he-IL"/>
        </w:rPr>
        <w:t>הסבירות פוגע בשכבות המוחלשות.</w:t>
      </w:r>
    </w:p>
    <w:p w:rsidR="00BB59CD" w:rsidRDefault="00BB59CD" w:rsidP="00BB59CD">
      <w:pPr>
        <w:rPr>
          <w:rtl/>
          <w:lang w:eastAsia="he-IL"/>
        </w:rPr>
      </w:pPr>
    </w:p>
    <w:p w:rsidR="00BB59CD" w:rsidRDefault="00BB59CD" w:rsidP="00BB59CD">
      <w:pPr>
        <w:pStyle w:val="af9"/>
        <w:keepNext/>
        <w:rPr>
          <w:rtl/>
        </w:rPr>
      </w:pPr>
      <w:bookmarkStart w:id="24149" w:name="ET_yor_6488_3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149"/>
    </w:p>
    <w:p w:rsidR="00BB59CD" w:rsidRDefault="00BB59CD" w:rsidP="00337201">
      <w:pPr>
        <w:rPr>
          <w:rtl/>
          <w:lang w:eastAsia="he-IL"/>
        </w:rPr>
      </w:pPr>
    </w:p>
    <w:p w:rsidR="00BB59CD" w:rsidRDefault="00BB59CD" w:rsidP="00BB59CD">
      <w:pPr>
        <w:rPr>
          <w:rtl/>
          <w:lang w:eastAsia="he-IL"/>
        </w:rPr>
      </w:pPr>
      <w:bookmarkStart w:id="24150" w:name="_ETM_Q39_667493"/>
      <w:bookmarkEnd w:id="24150"/>
      <w:r>
        <w:rPr>
          <w:rFonts w:hint="cs"/>
          <w:rtl/>
          <w:lang w:eastAsia="he-IL"/>
        </w:rPr>
        <w:t xml:space="preserve">אני אדאג לכך. פעם אחר פעם </w:t>
      </w:r>
      <w:bookmarkStart w:id="24151" w:name="_ETM_Q39_670394"/>
      <w:bookmarkEnd w:id="24151"/>
      <w:r>
        <w:rPr>
          <w:rFonts w:hint="cs"/>
          <w:rtl/>
          <w:lang w:eastAsia="he-IL"/>
        </w:rPr>
        <w:t>את עושה את זה</w:t>
      </w:r>
      <w:r w:rsidR="007B6EE4">
        <w:rPr>
          <w:rFonts w:hint="cs"/>
          <w:rtl/>
          <w:lang w:eastAsia="he-IL"/>
        </w:rPr>
        <w:t>,</w:t>
      </w:r>
      <w:r>
        <w:rPr>
          <w:rFonts w:hint="cs"/>
          <w:rtl/>
          <w:lang w:eastAsia="he-IL"/>
        </w:rPr>
        <w:t xml:space="preserve"> בחוצפה רבה. אני מבקש להוציא אותה </w:t>
      </w:r>
      <w:bookmarkStart w:id="24152" w:name="_ETM_Q39_674470"/>
      <w:bookmarkEnd w:id="24152"/>
      <w:r>
        <w:rPr>
          <w:rFonts w:hint="cs"/>
          <w:rtl/>
          <w:lang w:eastAsia="he-IL"/>
        </w:rPr>
        <w:t xml:space="preserve">מהאולם. תודה. </w:t>
      </w:r>
      <w:r w:rsidR="007B6EE4">
        <w:rPr>
          <w:rFonts w:hint="cs"/>
          <w:rtl/>
          <w:lang w:eastAsia="he-IL"/>
        </w:rPr>
        <w:t xml:space="preserve">אני </w:t>
      </w:r>
      <w:r>
        <w:rPr>
          <w:rFonts w:hint="cs"/>
          <w:rtl/>
          <w:lang w:eastAsia="he-IL"/>
        </w:rPr>
        <w:t xml:space="preserve">מבקש להוציא אותה מהאולם. לא יכול להיות שכל פעם את תעשי את זה, ואחרי שיורידו אותך, העיקר </w:t>
      </w:r>
      <w:bookmarkStart w:id="24153" w:name="_ETM_Q39_682436"/>
      <w:bookmarkEnd w:id="24153"/>
      <w:r>
        <w:rPr>
          <w:rFonts w:hint="cs"/>
          <w:rtl/>
          <w:lang w:eastAsia="he-IL"/>
        </w:rPr>
        <w:t xml:space="preserve">– את התמונה שלך לקבל לייקים עשית. </w:t>
      </w:r>
    </w:p>
    <w:p w:rsidR="00BB59CD" w:rsidRDefault="00BB59CD" w:rsidP="00BB59CD">
      <w:pPr>
        <w:rPr>
          <w:rtl/>
          <w:lang w:eastAsia="he-IL"/>
        </w:rPr>
      </w:pPr>
      <w:bookmarkStart w:id="24154" w:name="_ETM_Q39_685144"/>
      <w:bookmarkStart w:id="24155" w:name="_ETM_Q39_685268"/>
      <w:bookmarkEnd w:id="24154"/>
      <w:bookmarkEnd w:id="24155"/>
    </w:p>
    <w:p w:rsidR="00BB59CD" w:rsidRDefault="00BB59CD" w:rsidP="00BB59CD">
      <w:pPr>
        <w:pStyle w:val="af8"/>
        <w:keepNext/>
        <w:rPr>
          <w:rtl/>
        </w:rPr>
      </w:pPr>
      <w:bookmarkStart w:id="24156" w:name="ET_interruption_6236_39"/>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24156"/>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כרזה שכתוב </w:t>
      </w:r>
      <w:bookmarkStart w:id="24157" w:name="_ETM_Q39_685596"/>
      <w:bookmarkEnd w:id="24157"/>
      <w:r>
        <w:rPr>
          <w:rFonts w:hint="cs"/>
          <w:rtl/>
          <w:lang w:eastAsia="he-IL"/>
        </w:rPr>
        <w:t>עליה</w:t>
      </w:r>
      <w:r w:rsidR="007B6EE4">
        <w:rPr>
          <w:rFonts w:hint="cs"/>
          <w:rtl/>
          <w:lang w:eastAsia="he-IL"/>
        </w:rPr>
        <w:t>:</w:t>
      </w:r>
      <w:r>
        <w:rPr>
          <w:rFonts w:hint="cs"/>
          <w:rtl/>
          <w:lang w:eastAsia="he-IL"/>
        </w:rPr>
        <w:t xml:space="preserve"> מלחמה בעוני, לא בעניים.</w:t>
      </w:r>
    </w:p>
    <w:p w:rsidR="00BB59CD" w:rsidRDefault="00BB59CD" w:rsidP="00BB59CD">
      <w:pPr>
        <w:rPr>
          <w:rtl/>
          <w:lang w:eastAsia="he-IL"/>
        </w:rPr>
      </w:pPr>
      <w:bookmarkStart w:id="24158" w:name="_ETM_Q39_687793"/>
      <w:bookmarkStart w:id="24159" w:name="_ETM_Q39_687942"/>
      <w:bookmarkEnd w:id="24158"/>
      <w:bookmarkEnd w:id="24159"/>
    </w:p>
    <w:p w:rsidR="00BB59CD" w:rsidRDefault="00BB59CD" w:rsidP="00BB59CD">
      <w:pPr>
        <w:pStyle w:val="af9"/>
        <w:keepNext/>
        <w:rPr>
          <w:rtl/>
        </w:rPr>
      </w:pPr>
      <w:bookmarkStart w:id="24160" w:name="ET_yor_6488_4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160"/>
    </w:p>
    <w:p w:rsidR="00BB59CD" w:rsidRDefault="00BB59CD" w:rsidP="00337201">
      <w:pPr>
        <w:rPr>
          <w:rtl/>
          <w:lang w:eastAsia="he-IL"/>
        </w:rPr>
      </w:pPr>
    </w:p>
    <w:p w:rsidR="00BB59CD" w:rsidRDefault="00BB59CD" w:rsidP="00BB59CD">
      <w:pPr>
        <w:rPr>
          <w:rtl/>
          <w:lang w:eastAsia="he-IL"/>
        </w:rPr>
      </w:pPr>
      <w:r>
        <w:rPr>
          <w:rFonts w:hint="cs"/>
          <w:rtl/>
          <w:lang w:eastAsia="he-IL"/>
        </w:rPr>
        <w:t>להוציא אותה בחוץ, בבקשה.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נעמה לזימי (העבודה):</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7B6EE4">
      <w:pPr>
        <w:rPr>
          <w:rtl/>
          <w:lang w:eastAsia="he-IL"/>
        </w:rPr>
      </w:pPr>
      <w:bookmarkStart w:id="24161" w:name="_ETM_Q39_688424"/>
      <w:bookmarkStart w:id="24162" w:name="_ETM_Q39_688499"/>
      <w:bookmarkEnd w:id="24161"/>
      <w:bookmarkEnd w:id="24162"/>
      <w:r>
        <w:rPr>
          <w:rFonts w:hint="cs"/>
          <w:rtl/>
          <w:lang w:eastAsia="he-IL"/>
        </w:rPr>
        <w:t xml:space="preserve">מה כבר קרה </w:t>
      </w:r>
      <w:bookmarkStart w:id="24163" w:name="_ETM_Q39_690306"/>
      <w:bookmarkEnd w:id="24163"/>
      <w:r>
        <w:rPr>
          <w:rFonts w:hint="cs"/>
          <w:rtl/>
          <w:lang w:eastAsia="he-IL"/>
        </w:rPr>
        <w:t>- - - באמת ת</w:t>
      </w:r>
      <w:r w:rsidR="007B6EE4">
        <w:rPr>
          <w:rFonts w:hint="cs"/>
          <w:rtl/>
          <w:lang w:eastAsia="he-IL"/>
        </w:rPr>
        <w:t>י</w:t>
      </w:r>
      <w:r>
        <w:rPr>
          <w:rFonts w:hint="cs"/>
          <w:rtl/>
          <w:lang w:eastAsia="he-IL"/>
        </w:rPr>
        <w:t>לחמו בעוני - - -</w:t>
      </w:r>
    </w:p>
    <w:p w:rsidR="00BB59CD" w:rsidRDefault="00BB59CD" w:rsidP="00BB59CD">
      <w:pPr>
        <w:ind w:firstLine="0"/>
        <w:rPr>
          <w:rtl/>
          <w:lang w:eastAsia="he-IL"/>
        </w:rPr>
      </w:pPr>
      <w:bookmarkStart w:id="24164" w:name="_ETM_Q39_692952"/>
      <w:bookmarkStart w:id="24165" w:name="_ETM_Q39_693038"/>
      <w:bookmarkEnd w:id="24164"/>
      <w:bookmarkEnd w:id="24165"/>
    </w:p>
    <w:p w:rsidR="00BB59CD" w:rsidRDefault="00BB59CD" w:rsidP="007B6EE4">
      <w:pPr>
        <w:ind w:firstLine="0"/>
        <w:jc w:val="center"/>
        <w:rPr>
          <w:rtl/>
          <w:lang w:eastAsia="he-IL"/>
        </w:rPr>
      </w:pPr>
      <w:r>
        <w:rPr>
          <w:rFonts w:hint="cs"/>
          <w:rtl/>
          <w:lang w:eastAsia="he-IL"/>
        </w:rPr>
        <w:t>(חברת הכנסת נעמה לזימי יוצאת מאולם המליאה.)</w:t>
      </w:r>
    </w:p>
    <w:p w:rsidR="00BB59CD" w:rsidRDefault="00BB59CD" w:rsidP="00BB59CD">
      <w:pPr>
        <w:rPr>
          <w:rtl/>
          <w:lang w:eastAsia="he-IL"/>
        </w:rPr>
      </w:pPr>
    </w:p>
    <w:p w:rsidR="00BB59CD" w:rsidRDefault="00BB59CD" w:rsidP="00BB59CD">
      <w:pPr>
        <w:pStyle w:val="af9"/>
        <w:keepNext/>
        <w:rPr>
          <w:rtl/>
        </w:rPr>
      </w:pPr>
      <w:bookmarkStart w:id="24166" w:name="ET_yor_6488_4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166"/>
    </w:p>
    <w:p w:rsidR="00BB59CD" w:rsidRDefault="00BB59CD" w:rsidP="00337201">
      <w:pPr>
        <w:rPr>
          <w:rtl/>
          <w:lang w:eastAsia="he-IL"/>
        </w:rPr>
      </w:pPr>
    </w:p>
    <w:p w:rsidR="00BB59CD" w:rsidRDefault="00BB59CD" w:rsidP="00BB59CD">
      <w:pPr>
        <w:rPr>
          <w:rtl/>
          <w:lang w:eastAsia="he-IL"/>
        </w:rPr>
      </w:pPr>
      <w:bookmarkStart w:id="24167" w:name="_ETM_Q39_694640"/>
      <w:bookmarkEnd w:id="24167"/>
      <w:r>
        <w:rPr>
          <w:rFonts w:hint="cs"/>
          <w:rtl/>
          <w:lang w:eastAsia="he-IL"/>
        </w:rPr>
        <w:t xml:space="preserve">לצאת בחוץ, בבקשה. לצעוק </w:t>
      </w:r>
      <w:bookmarkStart w:id="24168" w:name="_ETM_Q39_695276"/>
      <w:bookmarkEnd w:id="24168"/>
      <w:r>
        <w:rPr>
          <w:rFonts w:hint="cs"/>
          <w:rtl/>
          <w:lang w:eastAsia="he-IL"/>
        </w:rPr>
        <w:t xml:space="preserve">בחוץ. לא נתת לאף אחד לדבר בוועדת חוקה; את מדברת </w:t>
      </w:r>
      <w:bookmarkStart w:id="24169" w:name="_ETM_Q39_698327"/>
      <w:bookmarkEnd w:id="24169"/>
      <w:r>
        <w:rPr>
          <w:rFonts w:hint="cs"/>
          <w:rtl/>
          <w:lang w:eastAsia="he-IL"/>
        </w:rPr>
        <w:t xml:space="preserve">על מי שלא נתן לך לדבר.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חבר הכנסת </w:t>
      </w:r>
      <w:bookmarkStart w:id="24170" w:name="_ETM_Q39_702445"/>
      <w:bookmarkEnd w:id="24170"/>
      <w:r>
        <w:rPr>
          <w:rFonts w:hint="cs"/>
          <w:rtl/>
          <w:lang w:eastAsia="he-IL"/>
        </w:rPr>
        <w:t>חמד עמאר, בבקשה.</w:t>
      </w:r>
    </w:p>
    <w:p w:rsidR="00BB59CD" w:rsidRDefault="00BB59CD" w:rsidP="00BB59CD">
      <w:pPr>
        <w:rPr>
          <w:rtl/>
          <w:lang w:eastAsia="he-IL"/>
        </w:rPr>
      </w:pPr>
      <w:bookmarkStart w:id="24171" w:name="_ETM_Q39_689338"/>
      <w:bookmarkStart w:id="24172" w:name="_ETM_Q39_689410"/>
      <w:bookmarkStart w:id="24173" w:name="_ETM_Q39_666262"/>
      <w:bookmarkStart w:id="24174" w:name="_ETM_Q39_666395"/>
      <w:bookmarkStart w:id="24175" w:name="_ETM_Q39_648221"/>
      <w:bookmarkStart w:id="24176" w:name="_ETM_Q39_648293"/>
      <w:bookmarkStart w:id="24177" w:name="_ETM_Q39_647618"/>
      <w:bookmarkStart w:id="24178" w:name="_ETM_Q39_647691"/>
      <w:bookmarkStart w:id="24179" w:name="_ETM_Q39_382697"/>
      <w:bookmarkStart w:id="24180" w:name="_ETM_Q39_382816"/>
      <w:bookmarkStart w:id="24181" w:name="_ETM_Q39_372456"/>
      <w:bookmarkStart w:id="24182" w:name="_ETM_Q39_372568"/>
      <w:bookmarkStart w:id="24183" w:name="_ETM_Q39_357333"/>
      <w:bookmarkStart w:id="24184" w:name="_ETM_Q39_357466"/>
      <w:bookmarkEnd w:id="24171"/>
      <w:bookmarkEnd w:id="24172"/>
      <w:bookmarkEnd w:id="24173"/>
      <w:bookmarkEnd w:id="24174"/>
      <w:bookmarkEnd w:id="24175"/>
      <w:bookmarkEnd w:id="24176"/>
      <w:bookmarkEnd w:id="24177"/>
      <w:bookmarkEnd w:id="24178"/>
      <w:bookmarkEnd w:id="24179"/>
      <w:bookmarkEnd w:id="24180"/>
      <w:bookmarkEnd w:id="24181"/>
      <w:bookmarkEnd w:id="24182"/>
      <w:bookmarkEnd w:id="24183"/>
      <w:bookmarkEnd w:id="24184"/>
    </w:p>
    <w:p w:rsidR="00BB59CD" w:rsidRDefault="00BB59CD" w:rsidP="007B6EE4">
      <w:pPr>
        <w:rPr>
          <w:rtl/>
          <w:lang w:eastAsia="he-IL"/>
        </w:rPr>
      </w:pPr>
      <w:bookmarkStart w:id="24185" w:name="_ETM_Q39_706806"/>
      <w:bookmarkStart w:id="24186" w:name="_ETM_Q39_706933"/>
      <w:bookmarkEnd w:id="24185"/>
      <w:bookmarkEnd w:id="24186"/>
      <w:r>
        <w:rPr>
          <w:rFonts w:hint="cs"/>
          <w:rtl/>
          <w:lang w:eastAsia="he-IL"/>
        </w:rPr>
        <w:t>עשר</w:t>
      </w:r>
      <w:r w:rsidR="007B6EE4">
        <w:rPr>
          <w:rFonts w:hint="cs"/>
          <w:rtl/>
          <w:lang w:eastAsia="he-IL"/>
        </w:rPr>
        <w:t xml:space="preserve"> הד</w:t>
      </w:r>
      <w:r>
        <w:rPr>
          <w:rFonts w:hint="cs"/>
          <w:rtl/>
          <w:lang w:eastAsia="he-IL"/>
        </w:rPr>
        <w:t xml:space="preserve">קות שהיה צריך לתת לה, </w:t>
      </w:r>
      <w:bookmarkStart w:id="24187" w:name="_ETM_Q39_707807"/>
      <w:bookmarkEnd w:id="24187"/>
      <w:r>
        <w:rPr>
          <w:rFonts w:hint="cs"/>
          <w:rtl/>
          <w:lang w:eastAsia="he-IL"/>
        </w:rPr>
        <w:t>היא ויתרה עליה</w:t>
      </w:r>
      <w:r w:rsidR="007B6EE4">
        <w:rPr>
          <w:rFonts w:hint="cs"/>
          <w:rtl/>
          <w:lang w:eastAsia="he-IL"/>
        </w:rPr>
        <w:t>ן</w:t>
      </w:r>
      <w:r>
        <w:rPr>
          <w:rFonts w:hint="cs"/>
          <w:rtl/>
          <w:lang w:eastAsia="he-IL"/>
        </w:rPr>
        <w:t xml:space="preserve"> מכוח ההתנהגות, החברים לאופוזיציה.</w:t>
      </w:r>
      <w:bookmarkStart w:id="24188" w:name="_ETM_Q39_716096"/>
      <w:bookmarkStart w:id="24189" w:name="_ETM_Q39_716217"/>
      <w:bookmarkStart w:id="24190" w:name="_ETM_Q39_716784"/>
      <w:bookmarkStart w:id="24191" w:name="_ETM_Q39_716891"/>
      <w:bookmarkEnd w:id="24188"/>
      <w:bookmarkEnd w:id="24189"/>
      <w:bookmarkEnd w:id="24190"/>
      <w:bookmarkEnd w:id="24191"/>
      <w:r>
        <w:rPr>
          <w:rFonts w:hint="cs"/>
          <w:rtl/>
          <w:lang w:eastAsia="he-IL"/>
        </w:rPr>
        <w:t xml:space="preserve"> צריך לתת לה מהיום </w:t>
      </w:r>
      <w:bookmarkStart w:id="24192" w:name="_ETM_Q39_719261"/>
      <w:bookmarkEnd w:id="24192"/>
      <w:r>
        <w:rPr>
          <w:rFonts w:hint="cs"/>
          <w:rtl/>
          <w:lang w:eastAsia="he-IL"/>
        </w:rPr>
        <w:t xml:space="preserve">לא לעלות לדוכן בכלל, אפילו עם ניירות, כי </w:t>
      </w:r>
      <w:bookmarkStart w:id="24193" w:name="_ETM_Q39_721249"/>
      <w:bookmarkEnd w:id="24193"/>
      <w:r>
        <w:rPr>
          <w:rFonts w:hint="cs"/>
          <w:rtl/>
          <w:lang w:eastAsia="he-IL"/>
        </w:rPr>
        <w:t>תמיד היא חשודה.</w:t>
      </w:r>
    </w:p>
    <w:p w:rsidR="00BB59CD" w:rsidRDefault="00BB59CD" w:rsidP="00BB59CD">
      <w:pPr>
        <w:rPr>
          <w:rtl/>
          <w:lang w:eastAsia="he-IL"/>
        </w:rPr>
      </w:pPr>
    </w:p>
    <w:p w:rsidR="00BB59CD" w:rsidRDefault="00BB59CD" w:rsidP="00BB59CD">
      <w:pPr>
        <w:pStyle w:val="af8"/>
        <w:keepNext/>
        <w:rPr>
          <w:rtl/>
        </w:rPr>
      </w:pPr>
      <w:bookmarkStart w:id="24194" w:name="ET_interruption_6156_42"/>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4194"/>
    </w:p>
    <w:p w:rsidR="00BB59CD" w:rsidRDefault="00BB59CD" w:rsidP="00337201">
      <w:pPr>
        <w:rPr>
          <w:rtl/>
          <w:lang w:eastAsia="he-IL"/>
        </w:rPr>
      </w:pPr>
    </w:p>
    <w:p w:rsidR="00BB59CD" w:rsidRDefault="00BB59CD" w:rsidP="00BB59CD">
      <w:pPr>
        <w:rPr>
          <w:rtl/>
          <w:lang w:eastAsia="he-IL"/>
        </w:rPr>
      </w:pPr>
      <w:r>
        <w:rPr>
          <w:rFonts w:hint="cs"/>
          <w:rtl/>
          <w:lang w:eastAsia="he-IL"/>
        </w:rPr>
        <w:t>תוציא אותה מהכנסת.</w:t>
      </w:r>
    </w:p>
    <w:p w:rsidR="00BB59CD" w:rsidRDefault="00BB59CD" w:rsidP="00BB59CD">
      <w:pPr>
        <w:rPr>
          <w:rtl/>
          <w:lang w:eastAsia="he-IL"/>
        </w:rPr>
      </w:pPr>
      <w:bookmarkStart w:id="24195" w:name="_ETM_Q39_724034"/>
      <w:bookmarkStart w:id="24196" w:name="_ETM_Q39_724143"/>
      <w:bookmarkEnd w:id="24195"/>
      <w:bookmarkEnd w:id="24196"/>
    </w:p>
    <w:p w:rsidR="00BB59CD" w:rsidRDefault="00BB59CD" w:rsidP="00BB59CD">
      <w:pPr>
        <w:pStyle w:val="af9"/>
        <w:keepNext/>
        <w:rPr>
          <w:rtl/>
        </w:rPr>
      </w:pPr>
      <w:bookmarkStart w:id="24197" w:name="ET_yor_6488_4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19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לא. </w:t>
      </w:r>
    </w:p>
    <w:p w:rsidR="00BB59CD" w:rsidRDefault="00BB59CD" w:rsidP="00BB59CD">
      <w:pPr>
        <w:rPr>
          <w:rtl/>
          <w:lang w:eastAsia="he-IL"/>
        </w:rPr>
      </w:pPr>
      <w:bookmarkStart w:id="24198" w:name="_ETM_Q39_723429"/>
      <w:bookmarkStart w:id="24199" w:name="_ETM_Q39_723485"/>
      <w:bookmarkEnd w:id="24198"/>
      <w:bookmarkEnd w:id="24199"/>
    </w:p>
    <w:p w:rsidR="00BB59CD" w:rsidRDefault="00BB59CD" w:rsidP="00BB59CD">
      <w:pPr>
        <w:pStyle w:val="af8"/>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BB59CD" w:rsidRDefault="00BB59CD" w:rsidP="00BB59CD">
      <w:pPr>
        <w:rPr>
          <w:rtl/>
          <w:lang w:eastAsia="he-IL"/>
        </w:rPr>
      </w:pPr>
      <w:bookmarkStart w:id="24200" w:name="_ETM_Q39_724642"/>
      <w:bookmarkEnd w:id="24200"/>
    </w:p>
    <w:p w:rsidR="00BB59CD" w:rsidRDefault="00BB59CD" w:rsidP="00BB59CD">
      <w:pPr>
        <w:rPr>
          <w:rtl/>
          <w:lang w:eastAsia="he-IL"/>
        </w:rPr>
      </w:pPr>
      <w:bookmarkStart w:id="24201" w:name="_ETM_Q39_724743"/>
      <w:bookmarkEnd w:id="24201"/>
      <w:r>
        <w:rPr>
          <w:rFonts w:hint="cs"/>
          <w:rtl/>
          <w:lang w:eastAsia="he-IL"/>
        </w:rPr>
        <w:t>מה אתה אומר?</w:t>
      </w:r>
      <w:bookmarkStart w:id="24202" w:name="_ETM_Q39_725696"/>
      <w:bookmarkEnd w:id="24202"/>
    </w:p>
    <w:p w:rsidR="00BB59CD" w:rsidRDefault="00BB59CD" w:rsidP="00BB59CD">
      <w:pPr>
        <w:rPr>
          <w:rtl/>
          <w:lang w:eastAsia="he-IL"/>
        </w:rPr>
      </w:pPr>
      <w:bookmarkStart w:id="24203" w:name="_ETM_Q39_725770"/>
      <w:bookmarkEnd w:id="24203"/>
    </w:p>
    <w:p w:rsidR="00BB59CD" w:rsidRDefault="00BB59CD" w:rsidP="00BB59CD">
      <w:pPr>
        <w:pStyle w:val="af9"/>
        <w:keepNext/>
        <w:rPr>
          <w:rtl/>
        </w:rPr>
      </w:pPr>
      <w:bookmarkStart w:id="24204" w:name="ET_yor_6488_4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20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לא יכול להיות </w:t>
      </w:r>
      <w:bookmarkStart w:id="24205" w:name="_ETM_Q39_725419"/>
      <w:bookmarkEnd w:id="24205"/>
      <w:r>
        <w:rPr>
          <w:rFonts w:hint="cs"/>
          <w:rtl/>
          <w:lang w:eastAsia="he-IL"/>
        </w:rPr>
        <w:t xml:space="preserve">שכל פעם היא תעשה בשביל לקבל תמונה – עלתה ואחר כך מקבלת. פריימריז – לא לעשות על הדוכן. אפשר לצעוק שם.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חמד </w:t>
      </w:r>
      <w:bookmarkStart w:id="24206" w:name="_ETM_Q39_733227"/>
      <w:bookmarkEnd w:id="24206"/>
      <w:r>
        <w:rPr>
          <w:rFonts w:hint="cs"/>
          <w:rtl/>
          <w:lang w:eastAsia="he-IL"/>
        </w:rPr>
        <w:t>עמאר, בבקשה, יש לך 30 דקות.</w:t>
      </w:r>
    </w:p>
    <w:p w:rsidR="00BB59CD" w:rsidRDefault="00BB59CD" w:rsidP="00BB59CD">
      <w:pPr>
        <w:rPr>
          <w:rtl/>
          <w:lang w:eastAsia="he-IL"/>
        </w:rPr>
      </w:pPr>
      <w:bookmarkStart w:id="24207" w:name="_ETM_Q39_729602"/>
      <w:bookmarkStart w:id="24208" w:name="_ETM_Q39_729751"/>
      <w:bookmarkStart w:id="24209" w:name="_ETM_Q39_725307"/>
      <w:bookmarkStart w:id="24210" w:name="_ETM_Q39_725381"/>
      <w:bookmarkStart w:id="24211" w:name="_ETM_Q39_352189"/>
      <w:bookmarkStart w:id="24212" w:name="_ETM_Q39_352298"/>
      <w:bookmarkEnd w:id="24207"/>
      <w:bookmarkEnd w:id="24208"/>
      <w:bookmarkEnd w:id="24209"/>
      <w:bookmarkEnd w:id="24210"/>
      <w:bookmarkEnd w:id="24211"/>
      <w:bookmarkEnd w:id="24212"/>
    </w:p>
    <w:p w:rsidR="00BB59CD" w:rsidRDefault="00BB59CD" w:rsidP="00BB59CD">
      <w:pPr>
        <w:pStyle w:val="a5"/>
        <w:keepNext/>
        <w:rPr>
          <w:rtl/>
        </w:rPr>
      </w:pPr>
      <w:bookmarkStart w:id="24213" w:name="ET_speakercontinue_4674_4"/>
      <w:r>
        <w:rPr>
          <w:rStyle w:val="TagStyle"/>
          <w:rFonts w:hint="cs"/>
          <w:rtl/>
        </w:rPr>
        <w:t xml:space="preserve"> &lt;&lt; דובר &gt;&gt; </w:t>
      </w:r>
      <w:bookmarkStart w:id="24214" w:name="_Toc141197149"/>
      <w:bookmarkStart w:id="24215" w:name="_Toc141196885"/>
      <w:r>
        <w:rPr>
          <w:rFonts w:hint="cs"/>
          <w:rtl/>
        </w:rPr>
        <w:t>חמד עמאר (ישראל ביתנו):</w:t>
      </w:r>
      <w:bookmarkEnd w:id="24214"/>
      <w:bookmarkEnd w:id="24215"/>
      <w:r>
        <w:rPr>
          <w:rStyle w:val="TagStyle"/>
          <w:rFonts w:hint="cs"/>
          <w:rtl/>
        </w:rPr>
        <w:t xml:space="preserve"> &lt;&lt; דובר &gt;&gt; </w:t>
      </w:r>
      <w:r>
        <w:rPr>
          <w:rFonts w:hint="cs"/>
          <w:rtl/>
        </w:rPr>
        <w:t xml:space="preserve">   </w:t>
      </w:r>
      <w:bookmarkEnd w:id="24213"/>
    </w:p>
    <w:p w:rsidR="00BB59CD" w:rsidRDefault="00BB59CD" w:rsidP="00337201">
      <w:pPr>
        <w:rPr>
          <w:rtl/>
          <w:lang w:eastAsia="he-IL"/>
        </w:rPr>
      </w:pPr>
    </w:p>
    <w:p w:rsidR="00BB59CD" w:rsidRDefault="00BB59CD" w:rsidP="00BB59CD">
      <w:pPr>
        <w:rPr>
          <w:rtl/>
          <w:lang w:eastAsia="he-IL"/>
        </w:rPr>
      </w:pPr>
      <w:bookmarkStart w:id="24216" w:name="_ETM_Q39_287525"/>
      <w:bookmarkEnd w:id="24216"/>
      <w:r>
        <w:rPr>
          <w:rFonts w:hint="cs"/>
          <w:rtl/>
          <w:lang w:eastAsia="he-IL"/>
        </w:rPr>
        <w:t xml:space="preserve">אדוני היושב-ראש, חבריי חברי הכנסת שלא נמצאים, ואתה עוד מוציא אותה? ממילא אין אף חבר כנסת כאן, מה </w:t>
      </w:r>
      <w:bookmarkStart w:id="24217" w:name="_ETM_Q39_745204"/>
      <w:bookmarkEnd w:id="24217"/>
      <w:r>
        <w:rPr>
          <w:rFonts w:hint="cs"/>
          <w:rtl/>
          <w:lang w:eastAsia="he-IL"/>
        </w:rPr>
        <w:t>אתה מוציא אותה? אפילו שר אני לא רואה.</w:t>
      </w:r>
    </w:p>
    <w:p w:rsidR="00BB59CD" w:rsidRDefault="00BB59CD" w:rsidP="00BB59CD">
      <w:pPr>
        <w:rPr>
          <w:rtl/>
          <w:lang w:eastAsia="he-IL"/>
        </w:rPr>
      </w:pPr>
    </w:p>
    <w:p w:rsidR="00BB59CD" w:rsidRDefault="00BB59CD" w:rsidP="00BB59CD">
      <w:pPr>
        <w:pStyle w:val="af9"/>
        <w:keepNext/>
        <w:rPr>
          <w:rtl/>
        </w:rPr>
      </w:pPr>
      <w:bookmarkStart w:id="24218" w:name="ET_yor_6488_4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218"/>
    </w:p>
    <w:p w:rsidR="00BB59CD" w:rsidRDefault="00BB59CD" w:rsidP="00337201">
      <w:pPr>
        <w:rPr>
          <w:rtl/>
          <w:lang w:eastAsia="he-IL"/>
        </w:rPr>
      </w:pPr>
    </w:p>
    <w:p w:rsidR="00BB59CD" w:rsidRDefault="00BB59CD" w:rsidP="00BB59CD">
      <w:pPr>
        <w:rPr>
          <w:rtl/>
          <w:lang w:eastAsia="he-IL"/>
        </w:rPr>
      </w:pPr>
      <w:r>
        <w:rPr>
          <w:rFonts w:hint="cs"/>
          <w:rtl/>
          <w:lang w:eastAsia="he-IL"/>
        </w:rPr>
        <w:t>השר פה.</w:t>
      </w:r>
    </w:p>
    <w:p w:rsidR="00BB59CD" w:rsidRDefault="00BB59CD" w:rsidP="00BB59CD">
      <w:pPr>
        <w:rPr>
          <w:rtl/>
          <w:lang w:eastAsia="he-IL"/>
        </w:rPr>
      </w:pPr>
      <w:bookmarkStart w:id="24219" w:name="_ETM_Q39_748917"/>
      <w:bookmarkStart w:id="24220" w:name="_ETM_Q39_749002"/>
      <w:bookmarkEnd w:id="24219"/>
      <w:bookmarkEnd w:id="24220"/>
    </w:p>
    <w:p w:rsidR="00BB59CD" w:rsidRDefault="00BB59CD" w:rsidP="00BB59CD">
      <w:pPr>
        <w:pStyle w:val="-"/>
        <w:keepNext/>
        <w:rPr>
          <w:rtl/>
        </w:rPr>
      </w:pPr>
      <w:bookmarkStart w:id="24221" w:name="ET_speakercontinue_4674_47"/>
      <w:r>
        <w:rPr>
          <w:rStyle w:val="TagStyle"/>
          <w:rFonts w:hint="cs"/>
          <w:rtl/>
        </w:rPr>
        <w:t xml:space="preserve"> &lt;&lt; דובר_המשך &gt;&gt; </w:t>
      </w:r>
      <w:r>
        <w:rPr>
          <w:rFonts w:hint="cs"/>
          <w:rtl/>
        </w:rPr>
        <w:t>חמד עמאר (ישראל ביתנו):</w:t>
      </w:r>
      <w:r>
        <w:rPr>
          <w:rStyle w:val="TagStyle"/>
          <w:rtl/>
        </w:rPr>
        <w:t xml:space="preserve"> &lt;&lt; דובר_המשך &gt;&gt; </w:t>
      </w:r>
      <w:r>
        <w:rPr>
          <w:rFonts w:hint="cs"/>
          <w:rtl/>
        </w:rPr>
        <w:t xml:space="preserve">   </w:t>
      </w:r>
      <w:bookmarkEnd w:id="2422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השר נמצא </w:t>
      </w:r>
      <w:bookmarkStart w:id="24222" w:name="_ETM_Q39_751288"/>
      <w:bookmarkEnd w:id="24222"/>
      <w:r>
        <w:rPr>
          <w:rFonts w:hint="cs"/>
          <w:rtl/>
          <w:lang w:eastAsia="he-IL"/>
        </w:rPr>
        <w:t>בכנסת?</w:t>
      </w:r>
    </w:p>
    <w:p w:rsidR="00BB59CD" w:rsidRDefault="00BB59CD" w:rsidP="00BB59CD">
      <w:pPr>
        <w:rPr>
          <w:rtl/>
          <w:lang w:eastAsia="he-IL"/>
        </w:rPr>
      </w:pPr>
    </w:p>
    <w:p w:rsidR="00BB59CD" w:rsidRDefault="00BB59CD" w:rsidP="007B6EE4">
      <w:pPr>
        <w:rPr>
          <w:rtl/>
        </w:rPr>
      </w:pPr>
      <w:bookmarkStart w:id="24223" w:name="_ETM_Q39_749986"/>
      <w:bookmarkStart w:id="24224" w:name="_ETM_Q39_73455"/>
      <w:bookmarkStart w:id="24225" w:name="_ETM_Q39_73588"/>
      <w:bookmarkStart w:id="24226" w:name="_ETM_Q39_73867"/>
      <w:bookmarkStart w:id="24227" w:name="_ETM_Q39_73962"/>
      <w:bookmarkStart w:id="24228" w:name="TOR_Q40"/>
      <w:bookmarkStart w:id="24229" w:name="_ETM_Q40_14515"/>
      <w:bookmarkEnd w:id="24223"/>
      <w:bookmarkEnd w:id="24224"/>
      <w:bookmarkEnd w:id="24225"/>
      <w:bookmarkEnd w:id="24226"/>
      <w:bookmarkEnd w:id="24227"/>
      <w:bookmarkEnd w:id="24228"/>
      <w:bookmarkEnd w:id="24229"/>
      <w:r>
        <w:rPr>
          <w:rFonts w:hint="cs"/>
          <w:rtl/>
        </w:rPr>
        <w:t xml:space="preserve">אני רוצה להגיד לך, אדוני היושב-ראש, אני חושב </w:t>
      </w:r>
      <w:bookmarkStart w:id="24230" w:name="_ETM_Q40_156118"/>
      <w:bookmarkEnd w:id="24230"/>
      <w:r>
        <w:rPr>
          <w:rFonts w:hint="cs"/>
          <w:rtl/>
        </w:rPr>
        <w:t xml:space="preserve">שהקואליציה הזאת לא קולטת את גודל האירוע שאנחנו נמצאים </w:t>
      </w:r>
      <w:bookmarkStart w:id="24231" w:name="_ETM_Q40_159975"/>
      <w:bookmarkEnd w:id="24231"/>
      <w:r>
        <w:rPr>
          <w:rFonts w:hint="cs"/>
          <w:rtl/>
        </w:rPr>
        <w:t xml:space="preserve">בו – לא חברי הכנסת של הקואליציה, לא השרים </w:t>
      </w:r>
      <w:bookmarkStart w:id="24232" w:name="_ETM_Q40_169686"/>
      <w:bookmarkEnd w:id="24232"/>
      <w:r>
        <w:rPr>
          <w:rFonts w:hint="cs"/>
          <w:rtl/>
        </w:rPr>
        <w:t xml:space="preserve">וגם לא ראש הממשלה. אנחנו באירוע גדול, ואף אחד לא </w:t>
      </w:r>
      <w:bookmarkStart w:id="24233" w:name="_ETM_Q40_177927"/>
      <w:bookmarkEnd w:id="24233"/>
      <w:r>
        <w:rPr>
          <w:rFonts w:hint="cs"/>
          <w:rtl/>
        </w:rPr>
        <w:t xml:space="preserve">קולט את גודל האירוע. אתם קורעים את החברה, מחלקים את </w:t>
      </w:r>
      <w:bookmarkStart w:id="24234" w:name="_ETM_Q40_184055"/>
      <w:bookmarkEnd w:id="24234"/>
      <w:r>
        <w:rPr>
          <w:rFonts w:hint="cs"/>
          <w:rtl/>
        </w:rPr>
        <w:t>העם</w:t>
      </w:r>
      <w:r w:rsidR="007B6EE4">
        <w:rPr>
          <w:rFonts w:hint="cs"/>
          <w:rtl/>
        </w:rPr>
        <w:t>.</w:t>
      </w:r>
      <w:r>
        <w:rPr>
          <w:rFonts w:hint="cs"/>
          <w:rtl/>
        </w:rPr>
        <w:t xml:space="preserve"> את צה"ל אתם מפרקים, צבא הגנה לישראל – את</w:t>
      </w:r>
      <w:bookmarkStart w:id="24235" w:name="_ETM_Q40_190935"/>
      <w:bookmarkEnd w:id="24235"/>
      <w:r>
        <w:rPr>
          <w:rFonts w:hint="cs"/>
          <w:rtl/>
        </w:rPr>
        <w:t>ם מפרקים אותו</w:t>
      </w:r>
      <w:r w:rsidR="007B6EE4">
        <w:rPr>
          <w:rFonts w:hint="cs"/>
          <w:rtl/>
        </w:rPr>
        <w:t>.</w:t>
      </w:r>
      <w:r>
        <w:rPr>
          <w:rFonts w:hint="cs"/>
          <w:rtl/>
        </w:rPr>
        <w:t xml:space="preserve"> חברי כנסת עולים לכאן ומדברים על הטייסים, </w:t>
      </w:r>
      <w:bookmarkStart w:id="24236" w:name="_ETM_Q40_204621"/>
      <w:bookmarkEnd w:id="24236"/>
      <w:r>
        <w:rPr>
          <w:rFonts w:hint="cs"/>
          <w:rtl/>
        </w:rPr>
        <w:t>על הלוחמים – ראש הממשלה שולח אותם. אני רוצה להגיד לכם</w:t>
      </w:r>
      <w:bookmarkStart w:id="24237" w:name="_ETM_Q40_214749"/>
      <w:bookmarkEnd w:id="24237"/>
      <w:r>
        <w:rPr>
          <w:rFonts w:hint="cs"/>
          <w:rtl/>
        </w:rPr>
        <w:t xml:space="preserve"> </w:t>
      </w:r>
      <w:r w:rsidR="007B6EE4">
        <w:rPr>
          <w:rFonts w:hint="eastAsia"/>
          <w:rtl/>
        </w:rPr>
        <w:t>–</w:t>
      </w:r>
      <w:r w:rsidR="007B6EE4">
        <w:rPr>
          <w:rFonts w:hint="cs"/>
          <w:rtl/>
        </w:rPr>
        <w:t xml:space="preserve"> </w:t>
      </w:r>
      <w:r>
        <w:rPr>
          <w:rFonts w:hint="cs"/>
          <w:rtl/>
        </w:rPr>
        <w:t xml:space="preserve">בעצם אני לא רוצה להגיד לאף אחד, </w:t>
      </w:r>
      <w:bookmarkStart w:id="24238" w:name="_ETM_Q40_215476"/>
      <w:bookmarkEnd w:id="24238"/>
      <w:r>
        <w:rPr>
          <w:rFonts w:hint="cs"/>
          <w:rtl/>
        </w:rPr>
        <w:t>כי אף אחד לא נמצא כאן, לא קואליציה וגם לא</w:t>
      </w:r>
      <w:bookmarkStart w:id="24239" w:name="_ETM_Q40_218446"/>
      <w:bookmarkEnd w:id="24239"/>
      <w:r>
        <w:rPr>
          <w:rFonts w:hint="cs"/>
          <w:rtl/>
        </w:rPr>
        <w:t xml:space="preserve"> אופוזיציה, ואני מדבר לכנסת ריקה </w:t>
      </w:r>
      <w:r w:rsidR="007B6EE4">
        <w:rPr>
          <w:rFonts w:hint="eastAsia"/>
          <w:rtl/>
        </w:rPr>
        <w:t>–</w:t>
      </w:r>
      <w:r w:rsidR="007B6EE4">
        <w:rPr>
          <w:rFonts w:hint="cs"/>
          <w:rtl/>
        </w:rPr>
        <w:t xml:space="preserve"> </w:t>
      </w:r>
      <w:r>
        <w:rPr>
          <w:rFonts w:hint="cs"/>
          <w:rtl/>
        </w:rPr>
        <w:t xml:space="preserve">אבל אני רוצה להגיד לכם </w:t>
      </w:r>
      <w:bookmarkStart w:id="24240" w:name="_ETM_Q40_228957"/>
      <w:bookmarkEnd w:id="24240"/>
      <w:r>
        <w:rPr>
          <w:rFonts w:hint="cs"/>
          <w:rtl/>
        </w:rPr>
        <w:t xml:space="preserve">שהטייסים והחיילים הם האנשים </w:t>
      </w:r>
      <w:bookmarkStart w:id="24241" w:name="_ETM_Q40_230331"/>
      <w:bookmarkEnd w:id="24241"/>
      <w:r>
        <w:rPr>
          <w:rFonts w:hint="cs"/>
          <w:rtl/>
        </w:rPr>
        <w:t xml:space="preserve">שתרמו את מיטב השנים שלהם למען המדינה. כשטייס עם מאות </w:t>
      </w:r>
      <w:bookmarkStart w:id="24242" w:name="_ETM_Q40_239099"/>
      <w:bookmarkEnd w:id="24242"/>
      <w:r>
        <w:rPr>
          <w:rFonts w:hint="cs"/>
          <w:rtl/>
        </w:rPr>
        <w:t xml:space="preserve">שעות ואלפי שעות טיסה אומר לך: אני לא מסוגל עוד </w:t>
      </w:r>
      <w:bookmarkStart w:id="24243" w:name="_ETM_Q40_241219"/>
      <w:bookmarkEnd w:id="24243"/>
      <w:r>
        <w:rPr>
          <w:rFonts w:hint="cs"/>
          <w:rtl/>
        </w:rPr>
        <w:t xml:space="preserve">לעלות למטוס ואני לא רוצה לעלות למטוס במדינה לא דמוקרטית </w:t>
      </w:r>
      <w:bookmarkStart w:id="24244" w:name="_ETM_Q40_256611"/>
      <w:bookmarkEnd w:id="24244"/>
      <w:r>
        <w:rPr>
          <w:rFonts w:hint="cs"/>
          <w:rtl/>
        </w:rPr>
        <w:t xml:space="preserve">– </w:t>
      </w:r>
      <w:bookmarkStart w:id="24245" w:name="_ETM_Q40_253522"/>
      <w:bookmarkEnd w:id="24245"/>
      <w:r>
        <w:rPr>
          <w:rFonts w:hint="cs"/>
          <w:rtl/>
        </w:rPr>
        <w:t xml:space="preserve">אתם, כממשלה וכראש ממשלה, אוטמים את האוזניים ולא שומעים לו. כשאותם לוחמים שסיכנו את החיים שלהם אומרים לכם: </w:t>
      </w:r>
      <w:bookmarkStart w:id="24246" w:name="_ETM_Q40_261717"/>
      <w:bookmarkEnd w:id="24246"/>
      <w:r>
        <w:rPr>
          <w:rFonts w:hint="cs"/>
          <w:rtl/>
        </w:rPr>
        <w:t xml:space="preserve">אנחנו לא מסוגלים עוד להתנדב ואנחנו לא יכולים להתנדב במדינה </w:t>
      </w:r>
      <w:bookmarkStart w:id="24247" w:name="_ETM_Q40_272276"/>
      <w:bookmarkEnd w:id="24247"/>
      <w:r>
        <w:rPr>
          <w:rFonts w:hint="cs"/>
          <w:rtl/>
        </w:rPr>
        <w:t>לא דמוקרטית – אתם לא שומעים, ואתם עולים לכאן ותוקפים</w:t>
      </w:r>
      <w:bookmarkStart w:id="24248" w:name="_ETM_Q40_278637"/>
      <w:bookmarkEnd w:id="24248"/>
      <w:r>
        <w:rPr>
          <w:rFonts w:hint="cs"/>
          <w:rtl/>
        </w:rPr>
        <w:t xml:space="preserve"> אותם.</w:t>
      </w:r>
      <w:bookmarkStart w:id="24249" w:name="_ETM_Q40_281869"/>
      <w:bookmarkEnd w:id="24249"/>
      <w:r>
        <w:rPr>
          <w:rFonts w:hint="cs"/>
          <w:rtl/>
        </w:rPr>
        <w:t xml:space="preserve"> </w:t>
      </w:r>
      <w:bookmarkStart w:id="24250" w:name="_ETM_Q40_281963"/>
      <w:bookmarkStart w:id="24251" w:name="_ETM_Q40_282317"/>
      <w:bookmarkStart w:id="24252" w:name="_ETM_Q40_282402"/>
      <w:bookmarkEnd w:id="24250"/>
      <w:bookmarkEnd w:id="24251"/>
      <w:bookmarkEnd w:id="24252"/>
      <w:r>
        <w:rPr>
          <w:rFonts w:hint="cs"/>
          <w:rtl/>
        </w:rPr>
        <w:t>עד מתי תמשיכו כך?</w:t>
      </w:r>
    </w:p>
    <w:p w:rsidR="00BB59CD" w:rsidRDefault="00BB59CD" w:rsidP="00BB59CD">
      <w:pPr>
        <w:rPr>
          <w:rtl/>
        </w:rPr>
      </w:pPr>
      <w:bookmarkStart w:id="24253" w:name="_ETM_Q40_283888"/>
      <w:bookmarkStart w:id="24254" w:name="_ETM_Q40_283980"/>
      <w:bookmarkEnd w:id="24253"/>
      <w:bookmarkEnd w:id="24254"/>
    </w:p>
    <w:p w:rsidR="00BB59CD" w:rsidRDefault="00BB59CD" w:rsidP="007B6EE4">
      <w:pPr>
        <w:rPr>
          <w:rtl/>
        </w:rPr>
      </w:pPr>
      <w:bookmarkStart w:id="24255" w:name="_ETM_Q40_284096"/>
      <w:bookmarkStart w:id="24256" w:name="_ETM_Q40_284178"/>
      <w:bookmarkEnd w:id="24255"/>
      <w:bookmarkEnd w:id="24256"/>
      <w:r>
        <w:rPr>
          <w:rFonts w:hint="cs"/>
          <w:rtl/>
        </w:rPr>
        <w:t xml:space="preserve">החוק הזה שאתם מחוקקים, עילת הסבירות </w:t>
      </w:r>
      <w:bookmarkStart w:id="24257" w:name="_ETM_Q40_290816"/>
      <w:bookmarkEnd w:id="24257"/>
      <w:r>
        <w:rPr>
          <w:rFonts w:hint="cs"/>
          <w:rtl/>
        </w:rPr>
        <w:t>– אני אומר לכם</w:t>
      </w:r>
      <w:r w:rsidR="007B6EE4">
        <w:rPr>
          <w:rFonts w:hint="cs"/>
          <w:rtl/>
        </w:rPr>
        <w:t>,</w:t>
      </w:r>
      <w:r>
        <w:rPr>
          <w:rFonts w:hint="cs"/>
          <w:rtl/>
        </w:rPr>
        <w:t xml:space="preserve"> זה חוק השחיתות. זו המטרה שלכם</w:t>
      </w:r>
      <w:bookmarkStart w:id="24258" w:name="_ETM_Q40_295390"/>
      <w:bookmarkEnd w:id="24258"/>
      <w:r>
        <w:rPr>
          <w:rFonts w:hint="cs"/>
          <w:rtl/>
        </w:rPr>
        <w:t xml:space="preserve">, לחוקק חוק שיאפשר לכם למנות את מי </w:t>
      </w:r>
      <w:bookmarkStart w:id="24259" w:name="_ETM_Q40_300508"/>
      <w:bookmarkEnd w:id="24259"/>
      <w:r>
        <w:rPr>
          <w:rFonts w:hint="cs"/>
          <w:rtl/>
        </w:rPr>
        <w:t xml:space="preserve">שאתם רוצים, את המקורב שאתם רוצים, לכל תפקיד שתרצו, </w:t>
      </w:r>
      <w:bookmarkStart w:id="24260" w:name="_ETM_Q40_307663"/>
      <w:bookmarkEnd w:id="24260"/>
      <w:r>
        <w:rPr>
          <w:rFonts w:hint="cs"/>
          <w:rtl/>
        </w:rPr>
        <w:t xml:space="preserve">ולפטר את מי שאתם רוצים, ובראש ובראשונה את היועצת המשפטית </w:t>
      </w:r>
      <w:bookmarkStart w:id="24261" w:name="_ETM_Q40_312919"/>
      <w:bookmarkEnd w:id="24261"/>
      <w:r>
        <w:rPr>
          <w:rFonts w:hint="cs"/>
          <w:rtl/>
        </w:rPr>
        <w:t xml:space="preserve">לממשלה. זה מה שאתם רוצים. אלה בדיוק החוקים שאתם מובילים </w:t>
      </w:r>
      <w:bookmarkStart w:id="24262" w:name="_ETM_Q40_321222"/>
      <w:bookmarkEnd w:id="24262"/>
      <w:r>
        <w:rPr>
          <w:rFonts w:hint="cs"/>
          <w:rtl/>
        </w:rPr>
        <w:t xml:space="preserve">אותנו אליהם. </w:t>
      </w:r>
      <w:bookmarkStart w:id="24263" w:name="_ETM_Q40_323814"/>
      <w:bookmarkStart w:id="24264" w:name="_ETM_Q40_323913"/>
      <w:bookmarkStart w:id="24265" w:name="_ETM_Q40_323941"/>
      <w:bookmarkStart w:id="24266" w:name="_ETM_Q40_324054"/>
      <w:bookmarkEnd w:id="24263"/>
      <w:bookmarkEnd w:id="24264"/>
      <w:bookmarkEnd w:id="24265"/>
      <w:bookmarkEnd w:id="24266"/>
      <w:r>
        <w:rPr>
          <w:rFonts w:hint="cs"/>
          <w:rtl/>
        </w:rPr>
        <w:t xml:space="preserve">ואתם לא עוצרים, לא חושבים, לא אומרים: אנחנו צריכים </w:t>
      </w:r>
      <w:bookmarkStart w:id="24267" w:name="_ETM_Q40_328280"/>
      <w:bookmarkEnd w:id="24267"/>
      <w:r>
        <w:rPr>
          <w:rFonts w:hint="cs"/>
          <w:rtl/>
        </w:rPr>
        <w:t xml:space="preserve">לבדוק מה קורה כאן. </w:t>
      </w:r>
    </w:p>
    <w:p w:rsidR="00BB59CD" w:rsidRDefault="00BB59CD" w:rsidP="00BB59CD">
      <w:pPr>
        <w:rPr>
          <w:rtl/>
        </w:rPr>
      </w:pPr>
      <w:bookmarkStart w:id="24268" w:name="_ETM_Q40_337674"/>
      <w:bookmarkStart w:id="24269" w:name="_ETM_Q40_337717"/>
      <w:bookmarkEnd w:id="24268"/>
      <w:bookmarkEnd w:id="24269"/>
    </w:p>
    <w:p w:rsidR="00BB59CD" w:rsidRDefault="00BB59CD" w:rsidP="007B6EE4">
      <w:pPr>
        <w:rPr>
          <w:rtl/>
        </w:rPr>
      </w:pPr>
      <w:bookmarkStart w:id="24270" w:name="_ETM_Q40_337801"/>
      <w:bookmarkStart w:id="24271" w:name="_ETM_Q40_337874"/>
      <w:bookmarkEnd w:id="24270"/>
      <w:bookmarkEnd w:id="24271"/>
      <w:r>
        <w:rPr>
          <w:rFonts w:hint="cs"/>
          <w:rtl/>
        </w:rPr>
        <w:t xml:space="preserve">ראש ממשלה הוא ראש ממשלה של </w:t>
      </w:r>
      <w:bookmarkStart w:id="24272" w:name="_ETM_Q40_335000"/>
      <w:bookmarkEnd w:id="24272"/>
      <w:r>
        <w:rPr>
          <w:rFonts w:hint="cs"/>
          <w:rtl/>
        </w:rPr>
        <w:t xml:space="preserve">כולם, אבל מתברר לי שראש הממשלה הוא לא ראש </w:t>
      </w:r>
      <w:bookmarkStart w:id="24273" w:name="_ETM_Q40_336142"/>
      <w:bookmarkEnd w:id="24273"/>
      <w:r>
        <w:rPr>
          <w:rFonts w:hint="cs"/>
          <w:rtl/>
        </w:rPr>
        <w:t xml:space="preserve">הממשלה של כולם, ואני לא יודע אם בכלל </w:t>
      </w:r>
      <w:bookmarkStart w:id="24274" w:name="_ETM_Q40_337371"/>
      <w:bookmarkEnd w:id="24274"/>
      <w:r>
        <w:rPr>
          <w:rFonts w:hint="cs"/>
          <w:rtl/>
        </w:rPr>
        <w:t xml:space="preserve">הוא ראש הממשלה, או יריב ראש הממשלה או רוטמן </w:t>
      </w:r>
      <w:bookmarkStart w:id="24275" w:name="_ETM_Q40_345700"/>
      <w:bookmarkEnd w:id="24275"/>
      <w:r>
        <w:rPr>
          <w:rFonts w:hint="cs"/>
          <w:rtl/>
        </w:rPr>
        <w:t xml:space="preserve">ראש הממשלה או סמוטריץ' ראש הממשלה או בן </w:t>
      </w:r>
      <w:bookmarkStart w:id="24276" w:name="_ETM_Q40_349407"/>
      <w:bookmarkEnd w:id="24276"/>
      <w:r>
        <w:rPr>
          <w:rFonts w:hint="cs"/>
          <w:rtl/>
        </w:rPr>
        <w:t>גביר ראש הממשלה</w:t>
      </w:r>
      <w:r w:rsidR="007B6EE4">
        <w:rPr>
          <w:rFonts w:hint="cs"/>
          <w:rtl/>
        </w:rPr>
        <w:t>.</w:t>
      </w:r>
      <w:r>
        <w:rPr>
          <w:rFonts w:hint="cs"/>
          <w:rtl/>
        </w:rPr>
        <w:t xml:space="preserve"> אני לא יודע מי ראש הממשלה היום. </w:t>
      </w:r>
      <w:bookmarkStart w:id="24277" w:name="_ETM_Q40_352244"/>
      <w:bookmarkEnd w:id="24277"/>
      <w:r>
        <w:rPr>
          <w:rFonts w:hint="cs"/>
          <w:rtl/>
        </w:rPr>
        <w:t xml:space="preserve">להגיד לכם? את רוב השרים אני לא מכיר, אבל </w:t>
      </w:r>
      <w:bookmarkStart w:id="24278" w:name="_ETM_Q40_359495"/>
      <w:bookmarkEnd w:id="24278"/>
      <w:r>
        <w:rPr>
          <w:rFonts w:hint="cs"/>
          <w:rtl/>
        </w:rPr>
        <w:t xml:space="preserve">את ראש הממשלה אני אמור להכיר, אבל אני לא יודע </w:t>
      </w:r>
      <w:bookmarkStart w:id="24279" w:name="_ETM_Q40_359351"/>
      <w:bookmarkEnd w:id="24279"/>
      <w:r>
        <w:rPr>
          <w:rFonts w:hint="cs"/>
          <w:rtl/>
        </w:rPr>
        <w:t xml:space="preserve">מי ראש הממשלה היום. אני חושב שחצי מהעם </w:t>
      </w:r>
      <w:bookmarkStart w:id="24280" w:name="_ETM_Q40_363855"/>
      <w:bookmarkEnd w:id="24280"/>
      <w:r>
        <w:rPr>
          <w:rFonts w:hint="cs"/>
          <w:rtl/>
        </w:rPr>
        <w:t xml:space="preserve">לא יודע מי ראש הממשלה – אפילו יותר מחצי </w:t>
      </w:r>
      <w:bookmarkStart w:id="24281" w:name="_ETM_Q40_367168"/>
      <w:bookmarkEnd w:id="24281"/>
      <w:r>
        <w:rPr>
          <w:rFonts w:hint="cs"/>
          <w:rtl/>
        </w:rPr>
        <w:t xml:space="preserve">מהעם לא יודע מי ראש הממשלה ומי מחליט במדינת </w:t>
      </w:r>
      <w:bookmarkStart w:id="24282" w:name="_ETM_Q40_371192"/>
      <w:bookmarkEnd w:id="24282"/>
      <w:r>
        <w:rPr>
          <w:rFonts w:hint="cs"/>
          <w:rtl/>
        </w:rPr>
        <w:t xml:space="preserve">ישראל היום ומי מוביל את המהלכים במדינת ישראל. האם ביבי </w:t>
      </w:r>
      <w:bookmarkStart w:id="24283" w:name="_ETM_Q40_372759"/>
      <w:bookmarkEnd w:id="24283"/>
      <w:r>
        <w:rPr>
          <w:rFonts w:hint="cs"/>
          <w:rtl/>
        </w:rPr>
        <w:t xml:space="preserve">נתניהו או רוטמן מובילים את העניינים? האם יריב לוין </w:t>
      </w:r>
      <w:bookmarkStart w:id="24284" w:name="_ETM_Q40_377117"/>
      <w:bookmarkEnd w:id="24284"/>
      <w:r>
        <w:rPr>
          <w:rFonts w:hint="cs"/>
          <w:rtl/>
        </w:rPr>
        <w:t xml:space="preserve">או בן גביר? האם סמוטריץ' או מישהו אחר בכלל מוביל </w:t>
      </w:r>
      <w:bookmarkStart w:id="24285" w:name="_ETM_Q40_384098"/>
      <w:bookmarkEnd w:id="24285"/>
      <w:r>
        <w:rPr>
          <w:rFonts w:hint="cs"/>
          <w:rtl/>
        </w:rPr>
        <w:t>את כל העניינים האלה?</w:t>
      </w:r>
      <w:bookmarkStart w:id="24286" w:name="_ETM_Q40_391266"/>
      <w:bookmarkEnd w:id="24286"/>
    </w:p>
    <w:p w:rsidR="00BB59CD" w:rsidRDefault="00BB59CD" w:rsidP="00BB59CD">
      <w:pPr>
        <w:rPr>
          <w:rtl/>
        </w:rPr>
      </w:pPr>
      <w:bookmarkStart w:id="24287" w:name="_ETM_Q40_391362"/>
      <w:bookmarkEnd w:id="24287"/>
    </w:p>
    <w:p w:rsidR="00BB59CD" w:rsidRDefault="00BB59CD" w:rsidP="007B6EE4">
      <w:pPr>
        <w:rPr>
          <w:rtl/>
        </w:rPr>
      </w:pPr>
      <w:bookmarkStart w:id="24288" w:name="_ETM_Q40_391395"/>
      <w:bookmarkEnd w:id="24288"/>
      <w:r>
        <w:rPr>
          <w:rFonts w:hint="cs"/>
          <w:rtl/>
        </w:rPr>
        <w:t>א</w:t>
      </w:r>
      <w:bookmarkStart w:id="24289" w:name="_ETM_Q40_391498"/>
      <w:bookmarkEnd w:id="24289"/>
      <w:r>
        <w:rPr>
          <w:rFonts w:hint="cs"/>
          <w:rtl/>
        </w:rPr>
        <w:t>נחנו בקריסה, אנחנו בפירוק של המדינה</w:t>
      </w:r>
      <w:bookmarkStart w:id="24290" w:name="_ETM_Q40_394939"/>
      <w:bookmarkEnd w:id="24290"/>
      <w:r>
        <w:rPr>
          <w:rFonts w:hint="cs"/>
          <w:rtl/>
        </w:rPr>
        <w:t xml:space="preserve">, ואתם בשלכם: לא נתקפל, נעביר את החקיקה, </w:t>
      </w:r>
      <w:bookmarkStart w:id="24291" w:name="_ETM_Q40_400931"/>
      <w:bookmarkEnd w:id="24291"/>
      <w:r>
        <w:rPr>
          <w:rFonts w:hint="cs"/>
          <w:rtl/>
        </w:rPr>
        <w:t xml:space="preserve">נעביר את ההרס של הדמוקרטיה במדינת ישראל, אנחנו כאן </w:t>
      </w:r>
      <w:bookmarkStart w:id="24292" w:name="_ETM_Q40_405280"/>
      <w:bookmarkEnd w:id="24292"/>
      <w:r>
        <w:rPr>
          <w:rFonts w:hint="cs"/>
          <w:rtl/>
        </w:rPr>
        <w:t xml:space="preserve">השלטון. </w:t>
      </w:r>
      <w:bookmarkStart w:id="24293" w:name="_ETM_Q40_407554"/>
      <w:bookmarkStart w:id="24294" w:name="_ETM_Q40_407654"/>
      <w:bookmarkStart w:id="24295" w:name="_ETM_Q40_407744"/>
      <w:bookmarkStart w:id="24296" w:name="_ETM_Q40_407836"/>
      <w:bookmarkEnd w:id="24293"/>
      <w:bookmarkEnd w:id="24294"/>
      <w:bookmarkEnd w:id="24295"/>
      <w:bookmarkEnd w:id="24296"/>
      <w:r>
        <w:rPr>
          <w:rFonts w:hint="cs"/>
          <w:rtl/>
        </w:rPr>
        <w:t>אני רוצה להגיד לכם ולהרגיע אתכם</w:t>
      </w:r>
      <w:r w:rsidR="007B6EE4">
        <w:rPr>
          <w:rFonts w:hint="cs"/>
          <w:rtl/>
        </w:rPr>
        <w:t>:</w:t>
      </w:r>
      <w:r>
        <w:rPr>
          <w:rFonts w:hint="cs"/>
          <w:rtl/>
        </w:rPr>
        <w:t xml:space="preserve"> יש לכם </w:t>
      </w:r>
      <w:bookmarkStart w:id="24297" w:name="_ETM_Q40_411892"/>
      <w:bookmarkEnd w:id="24297"/>
      <w:r>
        <w:rPr>
          <w:rFonts w:hint="cs"/>
          <w:rtl/>
        </w:rPr>
        <w:t xml:space="preserve">64 מנדטים, אתם תנצחו, אתם תרגישו גדולים, אתם תחשבו </w:t>
      </w:r>
      <w:bookmarkStart w:id="24298" w:name="_ETM_Q40_417843"/>
      <w:bookmarkEnd w:id="24298"/>
      <w:r>
        <w:rPr>
          <w:rFonts w:hint="cs"/>
          <w:rtl/>
        </w:rPr>
        <w:t xml:space="preserve">שניצחתם, אבל כמו שאמר נשיא המדינה, אין מנצחים ואין מפסידים </w:t>
      </w:r>
      <w:bookmarkStart w:id="24299" w:name="_ETM_Q40_425501"/>
      <w:bookmarkEnd w:id="24299"/>
      <w:r>
        <w:rPr>
          <w:rFonts w:hint="cs"/>
          <w:rtl/>
        </w:rPr>
        <w:t xml:space="preserve">כאן, כולנו בסופו של דבר נפסיד, כי אנחנו נפסיד </w:t>
      </w:r>
      <w:bookmarkStart w:id="24300" w:name="_ETM_Q40_428836"/>
      <w:bookmarkEnd w:id="24300"/>
      <w:r>
        <w:rPr>
          <w:rFonts w:hint="cs"/>
          <w:rtl/>
        </w:rPr>
        <w:t>את המדינה שלנו, ואין לנו מדינה אחרת.</w:t>
      </w:r>
    </w:p>
    <w:p w:rsidR="00BB59CD" w:rsidRDefault="00BB59CD" w:rsidP="00BB59CD">
      <w:pPr>
        <w:rPr>
          <w:rtl/>
        </w:rPr>
      </w:pPr>
      <w:bookmarkStart w:id="24301" w:name="_ETM_Q40_433172"/>
      <w:bookmarkStart w:id="24302" w:name="_ETM_Q40_433259"/>
      <w:bookmarkEnd w:id="24301"/>
      <w:bookmarkEnd w:id="24302"/>
    </w:p>
    <w:p w:rsidR="00BB59CD" w:rsidRDefault="00BB59CD" w:rsidP="007B6EE4">
      <w:pPr>
        <w:rPr>
          <w:rtl/>
        </w:rPr>
      </w:pPr>
      <w:bookmarkStart w:id="24303" w:name="_ETM_Q40_433299"/>
      <w:bookmarkStart w:id="24304" w:name="_ETM_Q40_433390"/>
      <w:bookmarkEnd w:id="24303"/>
      <w:bookmarkEnd w:id="24304"/>
      <w:r>
        <w:rPr>
          <w:rFonts w:hint="cs"/>
          <w:rtl/>
        </w:rPr>
        <w:t>הכלכלה – כבר בבוקר</w:t>
      </w:r>
      <w:bookmarkStart w:id="24305" w:name="_ETM_Q40_434004"/>
      <w:bookmarkEnd w:id="24305"/>
      <w:r>
        <w:rPr>
          <w:rFonts w:hint="cs"/>
          <w:rtl/>
        </w:rPr>
        <w:t xml:space="preserve"> שמעתי דיווחים על נושא דירוג האשראי במדינת ישראל. ראש </w:t>
      </w:r>
      <w:bookmarkStart w:id="24306" w:name="_ETM_Q40_444244"/>
      <w:bookmarkEnd w:id="24306"/>
      <w:r>
        <w:rPr>
          <w:rFonts w:hint="cs"/>
          <w:rtl/>
        </w:rPr>
        <w:t xml:space="preserve">הממשלה שיקר כשאמר: אנחנו עוצרים את החקיקה ואנחנו לא נתקדם </w:t>
      </w:r>
      <w:bookmarkStart w:id="24307" w:name="_ETM_Q40_448715"/>
      <w:bookmarkEnd w:id="24307"/>
      <w:r>
        <w:rPr>
          <w:rFonts w:hint="cs"/>
          <w:rtl/>
        </w:rPr>
        <w:t xml:space="preserve">בלי הסכמה – לכן לא הורד דירוג האשראי. אבל אחרי </w:t>
      </w:r>
      <w:bookmarkStart w:id="24308" w:name="_ETM_Q40_454537"/>
      <w:bookmarkEnd w:id="24308"/>
      <w:r>
        <w:rPr>
          <w:rFonts w:hint="cs"/>
          <w:rtl/>
        </w:rPr>
        <w:t xml:space="preserve">הצעדים שראש הממשלה מוביל, בטוח שדירוג האשראי של מדינת ישראל </w:t>
      </w:r>
      <w:bookmarkStart w:id="24309" w:name="_ETM_Q40_457536"/>
      <w:bookmarkEnd w:id="24309"/>
      <w:r>
        <w:rPr>
          <w:rFonts w:hint="cs"/>
          <w:rtl/>
        </w:rPr>
        <w:t>ירד, וברגע שירד דירוג האשראי הריבית תעלה</w:t>
      </w:r>
      <w:r w:rsidR="007B6EE4">
        <w:rPr>
          <w:rFonts w:hint="cs"/>
          <w:rtl/>
        </w:rPr>
        <w:t>,</w:t>
      </w:r>
      <w:r>
        <w:rPr>
          <w:rFonts w:hint="cs"/>
          <w:rtl/>
        </w:rPr>
        <w:t xml:space="preserve"> והרי כולנו נשלם </w:t>
      </w:r>
      <w:bookmarkStart w:id="24310" w:name="_ETM_Q40_462075"/>
      <w:bookmarkEnd w:id="24310"/>
      <w:r>
        <w:rPr>
          <w:rFonts w:hint="cs"/>
          <w:rtl/>
        </w:rPr>
        <w:t xml:space="preserve">את הריבית הזאת. היום הצעירים שלנו משלמים בממוצע </w:t>
      </w:r>
      <w:bookmarkStart w:id="24311" w:name="_ETM_Q40_469131"/>
      <w:bookmarkEnd w:id="24311"/>
      <w:r>
        <w:rPr>
          <w:rFonts w:hint="cs"/>
          <w:rtl/>
        </w:rPr>
        <w:t xml:space="preserve">1,000 שקל יותר ממה ששילמו לפני חצי שנה. כל </w:t>
      </w:r>
      <w:bookmarkStart w:id="24312" w:name="_ETM_Q40_473354"/>
      <w:bookmarkEnd w:id="24312"/>
      <w:r>
        <w:rPr>
          <w:rFonts w:hint="cs"/>
          <w:rtl/>
        </w:rPr>
        <w:t xml:space="preserve">צעיר וצעיר שיש לו משכנתה והלוואה משלם לפחות 1,000 </w:t>
      </w:r>
      <w:bookmarkStart w:id="24313" w:name="_ETM_Q40_478096"/>
      <w:bookmarkEnd w:id="24313"/>
      <w:r>
        <w:rPr>
          <w:rFonts w:hint="cs"/>
          <w:rtl/>
        </w:rPr>
        <w:t>שקל יותר, וברגע שירד דירוג האשראי</w:t>
      </w:r>
      <w:r w:rsidR="007B6EE4">
        <w:rPr>
          <w:rFonts w:hint="cs"/>
          <w:rtl/>
        </w:rPr>
        <w:t>,</w:t>
      </w:r>
      <w:r>
        <w:rPr>
          <w:rFonts w:hint="cs"/>
          <w:rtl/>
        </w:rPr>
        <w:t xml:space="preserve"> הריבית </w:t>
      </w:r>
      <w:bookmarkStart w:id="24314" w:name="_ETM_Q40_484027"/>
      <w:bookmarkEnd w:id="24314"/>
      <w:r>
        <w:rPr>
          <w:rFonts w:hint="cs"/>
          <w:rtl/>
        </w:rPr>
        <w:t xml:space="preserve">תעלה עוד, יוקר המחיה יעלה והמחירים יעלו. אני </w:t>
      </w:r>
      <w:bookmarkStart w:id="24315" w:name="_ETM_Q40_489538"/>
      <w:bookmarkEnd w:id="24315"/>
      <w:r>
        <w:rPr>
          <w:rFonts w:hint="cs"/>
          <w:rtl/>
        </w:rPr>
        <w:t xml:space="preserve">אומר לך שהבוחרים שלכם ייפגעו הכי הרבה. אתם מדברים </w:t>
      </w:r>
      <w:bookmarkStart w:id="24316" w:name="_ETM_Q40_492972"/>
      <w:bookmarkEnd w:id="24316"/>
      <w:r>
        <w:rPr>
          <w:rFonts w:hint="cs"/>
          <w:rtl/>
        </w:rPr>
        <w:t xml:space="preserve">על האוכלוסייה החלשה? אתם הכי הרבה פוגעים היום באוכלוסייה </w:t>
      </w:r>
      <w:bookmarkStart w:id="24317" w:name="_ETM_Q40_498121"/>
      <w:bookmarkEnd w:id="24317"/>
      <w:r>
        <w:rPr>
          <w:rFonts w:hint="cs"/>
          <w:rtl/>
        </w:rPr>
        <w:t xml:space="preserve">החלשה. אתם הכי הרבה פוגעים באוכלוסייה החלשה. הרב עובדיה </w:t>
      </w:r>
      <w:bookmarkStart w:id="24318" w:name="_ETM_Q40_501393"/>
      <w:bookmarkEnd w:id="24318"/>
      <w:r>
        <w:rPr>
          <w:rFonts w:hint="cs"/>
          <w:rtl/>
        </w:rPr>
        <w:t>היה איש של פשרות, איש שהוביל מהלכים, אמר את האמת</w:t>
      </w:r>
      <w:bookmarkStart w:id="24319" w:name="_ETM_Q40_511889"/>
      <w:bookmarkEnd w:id="24319"/>
      <w:r>
        <w:rPr>
          <w:rFonts w:hint="cs"/>
          <w:rtl/>
        </w:rPr>
        <w:t xml:space="preserve">. היום אין לכם מנהיג כזה שיוביל אתכם, ואתם מובלים </w:t>
      </w:r>
      <w:bookmarkStart w:id="24320" w:name="_ETM_Q40_516093"/>
      <w:bookmarkEnd w:id="24320"/>
      <w:r>
        <w:rPr>
          <w:rFonts w:hint="cs"/>
          <w:rtl/>
        </w:rPr>
        <w:t>על ידי חבורה של קיצוניים</w:t>
      </w:r>
      <w:r w:rsidR="007B6EE4">
        <w:rPr>
          <w:rFonts w:hint="cs"/>
          <w:rtl/>
        </w:rPr>
        <w:t>,</w:t>
      </w:r>
      <w:r>
        <w:rPr>
          <w:rFonts w:hint="cs"/>
          <w:rtl/>
        </w:rPr>
        <w:t xml:space="preserve"> שמובילים אתכם לתהום כמו שהם מובילים את כל המדינה לתהום. </w:t>
      </w:r>
      <w:bookmarkStart w:id="24321" w:name="_ETM_Q40_525673"/>
      <w:bookmarkStart w:id="24322" w:name="_ETM_Q40_525770"/>
      <w:bookmarkStart w:id="24323" w:name="_ETM_Q40_525801"/>
      <w:bookmarkStart w:id="24324" w:name="_ETM_Q40_525893"/>
      <w:bookmarkEnd w:id="24321"/>
      <w:bookmarkEnd w:id="24322"/>
      <w:bookmarkEnd w:id="24323"/>
      <w:bookmarkEnd w:id="24324"/>
      <w:r>
        <w:rPr>
          <w:rFonts w:hint="cs"/>
          <w:rtl/>
        </w:rPr>
        <w:t xml:space="preserve">כשאנחנו מדברים </w:t>
      </w:r>
      <w:bookmarkStart w:id="24325" w:name="_ETM_Q40_527514"/>
      <w:bookmarkEnd w:id="24325"/>
      <w:r>
        <w:rPr>
          <w:rFonts w:hint="cs"/>
          <w:rtl/>
        </w:rPr>
        <w:t>על יוקר המחיה</w:t>
      </w:r>
      <w:r w:rsidR="007B6EE4">
        <w:rPr>
          <w:rFonts w:hint="cs"/>
          <w:rtl/>
        </w:rPr>
        <w:t>,</w:t>
      </w:r>
      <w:r>
        <w:rPr>
          <w:rFonts w:hint="cs"/>
          <w:rtl/>
        </w:rPr>
        <w:t xml:space="preserve"> אין אחד שלא מרגיש את זה, אין </w:t>
      </w:r>
      <w:bookmarkStart w:id="24326" w:name="_ETM_Q40_529947"/>
      <w:bookmarkEnd w:id="24326"/>
      <w:r>
        <w:rPr>
          <w:rFonts w:hint="cs"/>
          <w:rtl/>
        </w:rPr>
        <w:t xml:space="preserve">אחד שנכנס היום למכולת ולא מרגיש בעליית המחירים. בכל סל </w:t>
      </w:r>
      <w:bookmarkStart w:id="24327" w:name="_ETM_Q40_530765"/>
      <w:bookmarkEnd w:id="24327"/>
      <w:r>
        <w:rPr>
          <w:rFonts w:hint="cs"/>
          <w:rtl/>
        </w:rPr>
        <w:t>שאנחנו קונים אנחנו מרגישים שהמחירים משתנים ועולים.</w:t>
      </w:r>
    </w:p>
    <w:p w:rsidR="00BB59CD" w:rsidRDefault="00BB59CD" w:rsidP="00BB59CD">
      <w:pPr>
        <w:rPr>
          <w:rtl/>
        </w:rPr>
      </w:pPr>
      <w:bookmarkStart w:id="24328" w:name="_ETM_Q40_536287"/>
      <w:bookmarkStart w:id="24329" w:name="_ETM_Q40_536370"/>
      <w:bookmarkEnd w:id="24328"/>
      <w:bookmarkEnd w:id="24329"/>
    </w:p>
    <w:p w:rsidR="00BB59CD" w:rsidRDefault="00BB59CD" w:rsidP="007B6EE4">
      <w:pPr>
        <w:rPr>
          <w:rtl/>
        </w:rPr>
      </w:pPr>
      <w:bookmarkStart w:id="24330" w:name="_ETM_Q40_536402"/>
      <w:bookmarkStart w:id="24331" w:name="_ETM_Q40_536470"/>
      <w:bookmarkEnd w:id="24330"/>
      <w:bookmarkEnd w:id="24331"/>
      <w:r>
        <w:rPr>
          <w:rFonts w:hint="cs"/>
          <w:rtl/>
        </w:rPr>
        <w:t xml:space="preserve">אנחנו </w:t>
      </w:r>
      <w:bookmarkStart w:id="24332" w:name="_ETM_Q40_537090"/>
      <w:bookmarkEnd w:id="24332"/>
      <w:r>
        <w:rPr>
          <w:rFonts w:hint="cs"/>
          <w:rtl/>
        </w:rPr>
        <w:t xml:space="preserve">נכנסנו לממשלה בתקופה הכי קשה שהייתה: גירעון של 142 </w:t>
      </w:r>
      <w:bookmarkStart w:id="24333" w:name="_ETM_Q40_545011"/>
      <w:bookmarkEnd w:id="24333"/>
      <w:r>
        <w:rPr>
          <w:rFonts w:hint="cs"/>
          <w:rtl/>
        </w:rPr>
        <w:t xml:space="preserve">מיליארד שקל, אבטלה – קרוב ל-10%. עשינו מהלכים, </w:t>
      </w:r>
      <w:bookmarkStart w:id="24334" w:name="_ETM_Q40_560994"/>
      <w:bookmarkEnd w:id="24334"/>
      <w:r>
        <w:rPr>
          <w:rFonts w:hint="cs"/>
          <w:rtl/>
        </w:rPr>
        <w:t xml:space="preserve">שר האוצר אביגדור ליברמן הוביל מהלכים מאוד אמיצים. עזבנו את </w:t>
      </w:r>
      <w:bookmarkStart w:id="24335" w:name="_ETM_Q40_567657"/>
      <w:bookmarkEnd w:id="24335"/>
      <w:r>
        <w:rPr>
          <w:rFonts w:hint="cs"/>
          <w:rtl/>
        </w:rPr>
        <w:t xml:space="preserve">הממשלה עם יתרה של 10 מיליארד שקל ואבטלה של כמעט </w:t>
      </w:r>
      <w:bookmarkStart w:id="24336" w:name="_ETM_Q40_577320"/>
      <w:bookmarkEnd w:id="24336"/>
      <w:r>
        <w:rPr>
          <w:rFonts w:hint="cs"/>
          <w:rtl/>
        </w:rPr>
        <w:t xml:space="preserve">אפס. כל הגופים הבין-לאומיים שיבחו את הכלכלה של מדינת ישראל, </w:t>
      </w:r>
      <w:bookmarkStart w:id="24337" w:name="_ETM_Q40_581555"/>
      <w:bookmarkEnd w:id="24337"/>
      <w:r>
        <w:rPr>
          <w:rFonts w:hint="cs"/>
          <w:rtl/>
        </w:rPr>
        <w:t xml:space="preserve">שיבחו את התנהלותו של שר האוצר, אמרו שיוקר המחיה בישראל </w:t>
      </w:r>
      <w:bookmarkStart w:id="24338" w:name="_ETM_Q40_586915"/>
      <w:bookmarkEnd w:id="24338"/>
      <w:r>
        <w:rPr>
          <w:rFonts w:hint="cs"/>
          <w:rtl/>
        </w:rPr>
        <w:t xml:space="preserve">היה מהכי נמוכים בעולם. ומה אתם עושים עכשיו? אתם </w:t>
      </w:r>
      <w:bookmarkStart w:id="24339" w:name="_ETM_Q40_597998"/>
      <w:bookmarkEnd w:id="24339"/>
      <w:r>
        <w:rPr>
          <w:rFonts w:hint="cs"/>
          <w:rtl/>
        </w:rPr>
        <w:t xml:space="preserve">מובילים אותנו כך שלא כל אחד יכול ללכת למכולת לקנות </w:t>
      </w:r>
      <w:bookmarkStart w:id="24340" w:name="_ETM_Q40_600928"/>
      <w:bookmarkEnd w:id="24340"/>
      <w:r>
        <w:rPr>
          <w:rFonts w:hint="cs"/>
          <w:rtl/>
        </w:rPr>
        <w:t xml:space="preserve">את הצרכים הבסיסיים שלו. אתם מובילים אותנו למצב הכי קשה </w:t>
      </w:r>
      <w:bookmarkStart w:id="24341" w:name="_ETM_Q40_605267"/>
      <w:bookmarkEnd w:id="24341"/>
      <w:r>
        <w:rPr>
          <w:rFonts w:hint="cs"/>
          <w:rtl/>
        </w:rPr>
        <w:t xml:space="preserve">שיהיה בכלכלה הישראלית. חודש יוני הסתיים בגירעון של 6.2 מיליארד </w:t>
      </w:r>
      <w:bookmarkStart w:id="24342" w:name="_ETM_Q40_613292"/>
      <w:bookmarkEnd w:id="24342"/>
      <w:r>
        <w:rPr>
          <w:rFonts w:hint="cs"/>
          <w:rtl/>
        </w:rPr>
        <w:t>שקל, הסתיים במעל 6 מיליארד שקל</w:t>
      </w:r>
      <w:bookmarkStart w:id="24343" w:name="_ETM_Q40_622982"/>
      <w:bookmarkEnd w:id="24343"/>
      <w:r w:rsidR="007B6EE4">
        <w:rPr>
          <w:rFonts w:hint="cs"/>
          <w:rtl/>
        </w:rPr>
        <w:t>,</w:t>
      </w:r>
      <w:r>
        <w:rPr>
          <w:rFonts w:hint="cs"/>
          <w:rtl/>
        </w:rPr>
        <w:t xml:space="preserve"> כאשר קיבלתם את הקופה עם 10 מיליארד שקל </w:t>
      </w:r>
      <w:bookmarkStart w:id="24344" w:name="_ETM_Q40_623372"/>
      <w:bookmarkEnd w:id="24344"/>
      <w:r>
        <w:rPr>
          <w:rFonts w:hint="cs"/>
          <w:rtl/>
        </w:rPr>
        <w:t>עודף, מעל 10 מיליארד שקל עודף. אתם עכשיו בגירעון, ואם</w:t>
      </w:r>
      <w:bookmarkStart w:id="24345" w:name="_ETM_Q40_632786"/>
      <w:bookmarkEnd w:id="24345"/>
      <w:r>
        <w:rPr>
          <w:rFonts w:hint="cs"/>
          <w:rtl/>
        </w:rPr>
        <w:t xml:space="preserve"> תמשיכו במהלכים שאתם מובילים עכשיו</w:t>
      </w:r>
      <w:r w:rsidR="007B6EE4">
        <w:rPr>
          <w:rFonts w:hint="cs"/>
          <w:rtl/>
        </w:rPr>
        <w:t>,</w:t>
      </w:r>
      <w:r>
        <w:rPr>
          <w:rFonts w:hint="cs"/>
          <w:rtl/>
        </w:rPr>
        <w:t xml:space="preserve"> ואם תובילו את המהלך הזה </w:t>
      </w:r>
      <w:bookmarkStart w:id="24346" w:name="_ETM_Q40_636745"/>
      <w:bookmarkEnd w:id="24346"/>
      <w:r>
        <w:rPr>
          <w:rFonts w:hint="cs"/>
          <w:rtl/>
        </w:rPr>
        <w:t xml:space="preserve">עד הסוף, החוק הזה, אני אומר לכם – </w:t>
      </w:r>
      <w:bookmarkStart w:id="24347" w:name="_ETM_Q40_642168"/>
      <w:bookmarkEnd w:id="24347"/>
      <w:r>
        <w:rPr>
          <w:rFonts w:hint="cs"/>
          <w:rtl/>
        </w:rPr>
        <w:t xml:space="preserve">כל ההבטחות של ראש הממשלה וכל ההבטחות של ההסכמים </w:t>
      </w:r>
      <w:bookmarkStart w:id="24348" w:name="_ETM_Q40_645255"/>
      <w:bookmarkEnd w:id="24348"/>
      <w:r>
        <w:rPr>
          <w:rFonts w:hint="cs"/>
          <w:rtl/>
        </w:rPr>
        <w:t>הקואליציוניים לא יתממשו</w:t>
      </w:r>
      <w:r w:rsidR="007B6EE4">
        <w:rPr>
          <w:rFonts w:hint="cs"/>
          <w:rtl/>
        </w:rPr>
        <w:t>;</w:t>
      </w:r>
      <w:r>
        <w:rPr>
          <w:rFonts w:hint="cs"/>
          <w:rtl/>
        </w:rPr>
        <w:t xml:space="preserve"> לא יהיה כסף לממש את אותם </w:t>
      </w:r>
      <w:bookmarkStart w:id="24349" w:name="_ETM_Q40_655234"/>
      <w:bookmarkEnd w:id="24349"/>
      <w:r>
        <w:rPr>
          <w:rFonts w:hint="cs"/>
          <w:rtl/>
        </w:rPr>
        <w:t xml:space="preserve">הסכמים, את אותן הבטחות. לא יהיו 14 מיליארד שקל </w:t>
      </w:r>
      <w:bookmarkStart w:id="24350" w:name="_ETM_Q40_657787"/>
      <w:bookmarkEnd w:id="24350"/>
      <w:r>
        <w:rPr>
          <w:rFonts w:hint="cs"/>
          <w:rtl/>
        </w:rPr>
        <w:t xml:space="preserve">לחלק, ולא יהיו 12 מיליארד ולא יהיו 10 מיליארד. בעצם, </w:t>
      </w:r>
      <w:bookmarkStart w:id="24351" w:name="_ETM_Q40_666220"/>
      <w:bookmarkEnd w:id="24351"/>
      <w:r>
        <w:rPr>
          <w:rFonts w:hint="cs"/>
          <w:rtl/>
        </w:rPr>
        <w:t>לא יח</w:t>
      </w:r>
      <w:r w:rsidR="007B6EE4">
        <w:rPr>
          <w:rFonts w:hint="cs"/>
          <w:rtl/>
        </w:rPr>
        <w:t>ו</w:t>
      </w:r>
      <w:r>
        <w:rPr>
          <w:rFonts w:hint="cs"/>
          <w:rtl/>
        </w:rPr>
        <w:t xml:space="preserve">לק שום דבר, כי לא יהיה כסף לחלק. כלום </w:t>
      </w:r>
      <w:bookmarkStart w:id="24352" w:name="_ETM_Q40_670553"/>
      <w:bookmarkEnd w:id="24352"/>
      <w:r>
        <w:rPr>
          <w:rFonts w:hint="cs"/>
          <w:rtl/>
        </w:rPr>
        <w:t>לא יחולק.</w:t>
      </w:r>
    </w:p>
    <w:p w:rsidR="00BB59CD" w:rsidRDefault="00BB59CD" w:rsidP="00BB59CD">
      <w:pPr>
        <w:rPr>
          <w:rtl/>
        </w:rPr>
      </w:pPr>
      <w:bookmarkStart w:id="24353" w:name="_ETM_Q40_673002"/>
      <w:bookmarkEnd w:id="24353"/>
    </w:p>
    <w:p w:rsidR="00BB59CD" w:rsidRDefault="00BB59CD" w:rsidP="007B6EE4">
      <w:pPr>
        <w:rPr>
          <w:rtl/>
        </w:rPr>
      </w:pPr>
      <w:bookmarkStart w:id="24354" w:name="_ETM_Q40_673164"/>
      <w:bookmarkStart w:id="24355" w:name="_ETM_Q40_673180"/>
      <w:bookmarkStart w:id="24356" w:name="_ETM_Q40_673230"/>
      <w:bookmarkEnd w:id="24354"/>
      <w:bookmarkEnd w:id="24355"/>
      <w:bookmarkEnd w:id="24356"/>
      <w:r>
        <w:rPr>
          <w:rFonts w:hint="cs"/>
          <w:rtl/>
        </w:rPr>
        <w:t xml:space="preserve">אני אומר לך, אדוני היושב-ראש, אני מכיר אותך </w:t>
      </w:r>
      <w:bookmarkStart w:id="24357" w:name="_ETM_Q40_673267"/>
      <w:bookmarkEnd w:id="24357"/>
      <w:r>
        <w:rPr>
          <w:rFonts w:hint="cs"/>
          <w:rtl/>
        </w:rPr>
        <w:t xml:space="preserve">כמה שנים. לפעמים צריך לעצור, לחשוב, להגיד: </w:t>
      </w:r>
      <w:bookmarkStart w:id="24358" w:name="_ETM_Q40_679284"/>
      <w:bookmarkEnd w:id="24358"/>
      <w:r>
        <w:rPr>
          <w:rFonts w:hint="cs"/>
          <w:rtl/>
        </w:rPr>
        <w:t xml:space="preserve">לאן זה מוביל אותנו? ראינו את עם ישראל אתמול. ראינו </w:t>
      </w:r>
      <w:bookmarkStart w:id="24359" w:name="_ETM_Q40_687557"/>
      <w:bookmarkEnd w:id="24359"/>
      <w:r>
        <w:rPr>
          <w:rFonts w:hint="cs"/>
          <w:rtl/>
        </w:rPr>
        <w:t xml:space="preserve">אנשים צועדים ימים בחום, כי אכפת להם ממדינת ישראל. אנחנו </w:t>
      </w:r>
      <w:bookmarkStart w:id="24360" w:name="_ETM_Q40_695140"/>
      <w:bookmarkEnd w:id="24360"/>
      <w:r>
        <w:rPr>
          <w:rFonts w:hint="cs"/>
          <w:rtl/>
        </w:rPr>
        <w:t>רואים אנשים שכמעט כל שבוע יוצאים לרחובות. לא</w:t>
      </w:r>
      <w:bookmarkStart w:id="24361" w:name="_ETM_Q40_699664"/>
      <w:bookmarkEnd w:id="24361"/>
      <w:r>
        <w:rPr>
          <w:rFonts w:hint="cs"/>
          <w:rtl/>
        </w:rPr>
        <w:t xml:space="preserve"> אחד, לא עשרה, לא 1,000, לא 2,000 ולא 10,000 – </w:t>
      </w:r>
      <w:bookmarkStart w:id="24362" w:name="_ETM_Q40_699832"/>
      <w:bookmarkEnd w:id="24362"/>
      <w:r>
        <w:rPr>
          <w:rFonts w:hint="cs"/>
          <w:rtl/>
        </w:rPr>
        <w:t>מאות אלפים יוצאים לרחובות. יכול להיות שאתם טועים</w:t>
      </w:r>
      <w:bookmarkStart w:id="24363" w:name="_ETM_Q40_712638"/>
      <w:bookmarkEnd w:id="24363"/>
      <w:r>
        <w:rPr>
          <w:rFonts w:hint="cs"/>
          <w:rtl/>
        </w:rPr>
        <w:t>, יכול להיות שצריך לעצור, יכול להיות שצריך לחשוב ולהגיד:</w:t>
      </w:r>
      <w:bookmarkStart w:id="24364" w:name="_ETM_Q40_716196"/>
      <w:bookmarkEnd w:id="24364"/>
      <w:r>
        <w:rPr>
          <w:rFonts w:hint="cs"/>
          <w:rtl/>
        </w:rPr>
        <w:t xml:space="preserve"> עד כאן, אנחנו צריכים לעצור ולראות מה אנחנו עושים למען </w:t>
      </w:r>
      <w:bookmarkStart w:id="24365" w:name="_ETM_Q40_720254"/>
      <w:bookmarkEnd w:id="24365"/>
      <w:r>
        <w:rPr>
          <w:rFonts w:hint="cs"/>
          <w:rtl/>
        </w:rPr>
        <w:t xml:space="preserve">המדינה, איך אנחנו מתקדמים, איך אנחנו מביאים את המדינה שלנו </w:t>
      </w:r>
      <w:bookmarkStart w:id="24366" w:name="_ETM_Q40_721536"/>
      <w:bookmarkEnd w:id="24366"/>
      <w:r>
        <w:rPr>
          <w:rFonts w:hint="cs"/>
          <w:rtl/>
        </w:rPr>
        <w:t xml:space="preserve">לטובה ביותר. הרי קיבלתם מאיתנו לפני חצי </w:t>
      </w:r>
      <w:bookmarkStart w:id="24367" w:name="_ETM_Q40_729131"/>
      <w:bookmarkEnd w:id="24367"/>
      <w:r>
        <w:rPr>
          <w:rFonts w:hint="cs"/>
          <w:rtl/>
        </w:rPr>
        <w:t>שנה כלכלה מהטובות ביותר בעולם, ותראה לאן אתם מביאים אותנו</w:t>
      </w:r>
      <w:bookmarkStart w:id="24368" w:name="_ETM_Q40_733733"/>
      <w:bookmarkEnd w:id="24368"/>
      <w:r>
        <w:rPr>
          <w:rFonts w:hint="cs"/>
          <w:rtl/>
        </w:rPr>
        <w:t xml:space="preserve">, לאן אתם מדרדרים אותנו. אני בכנסת הרבה שנים, </w:t>
      </w:r>
      <w:bookmarkStart w:id="24369" w:name="_ETM_Q40_745356"/>
      <w:bookmarkEnd w:id="24369"/>
      <w:r>
        <w:rPr>
          <w:rFonts w:hint="cs"/>
          <w:rtl/>
        </w:rPr>
        <w:t xml:space="preserve">אגיד לך: אני מגיע היום לכנסת כמו </w:t>
      </w:r>
      <w:bookmarkStart w:id="24370" w:name="_ETM_Q40_736001"/>
      <w:bookmarkEnd w:id="24370"/>
      <w:r>
        <w:rPr>
          <w:rFonts w:hint="cs"/>
          <w:rtl/>
        </w:rPr>
        <w:t xml:space="preserve">שאני מגיע למבצר. בכל מקום סגור, בכל מקום מפנים אותי </w:t>
      </w:r>
      <w:bookmarkStart w:id="24371" w:name="_ETM_Q40_742349"/>
      <w:bookmarkEnd w:id="24371"/>
      <w:r>
        <w:rPr>
          <w:rFonts w:hint="cs"/>
          <w:rtl/>
        </w:rPr>
        <w:t xml:space="preserve">למקום אחר. להיכנס לכנסת היום זו משימה בלתי אפשרית. אתה </w:t>
      </w:r>
      <w:bookmarkStart w:id="24372" w:name="_ETM_Q40_751525"/>
      <w:bookmarkEnd w:id="24372"/>
      <w:r>
        <w:rPr>
          <w:rFonts w:hint="cs"/>
          <w:rtl/>
        </w:rPr>
        <w:t xml:space="preserve">יודע מה זה? בית המחוקקים של מדינת ישראל הפך להיות </w:t>
      </w:r>
      <w:bookmarkStart w:id="24373" w:name="_ETM_Q40_755833"/>
      <w:bookmarkEnd w:id="24373"/>
      <w:r>
        <w:rPr>
          <w:rFonts w:hint="cs"/>
          <w:rtl/>
        </w:rPr>
        <w:t xml:space="preserve">מבצר – בגללכם, בגלל ההתנהגות שלכם, בגלל החשיבה </w:t>
      </w:r>
      <w:bookmarkStart w:id="24374" w:name="_ETM_Q40_763396"/>
      <w:bookmarkEnd w:id="24374"/>
      <w:r>
        <w:rPr>
          <w:rFonts w:hint="cs"/>
          <w:rtl/>
        </w:rPr>
        <w:t>שלכם שאתם הכי חזקים, בגלל שאתם חושבים שאתם יכולים לעשות</w:t>
      </w:r>
      <w:bookmarkStart w:id="24375" w:name="_ETM_Q40_767034"/>
      <w:bookmarkEnd w:id="24375"/>
      <w:r>
        <w:rPr>
          <w:rFonts w:hint="cs"/>
          <w:rtl/>
        </w:rPr>
        <w:t xml:space="preserve"> כל מה שאתם רוצים, בגלל שאתם רוצים לקבל הכול.</w:t>
      </w:r>
      <w:bookmarkStart w:id="24376" w:name="TOR_Q41"/>
      <w:bookmarkEnd w:id="24376"/>
      <w:r>
        <w:rPr>
          <w:rFonts w:hint="cs"/>
          <w:rtl/>
        </w:rPr>
        <w:t xml:space="preserve"> אבל לפעמים הכול או לא כלום – יוצאים עם כלום. ואני מאמין שבסופו של דבר תצאו עם כלום, כי זה מה שיהיה. מדינת ישראל </w:t>
      </w:r>
      <w:bookmarkStart w:id="24377" w:name="_ETM_Q41_183000"/>
      <w:bookmarkEnd w:id="24377"/>
      <w:r>
        <w:rPr>
          <w:rFonts w:hint="cs"/>
          <w:rtl/>
        </w:rPr>
        <w:t xml:space="preserve">יקרה לכולם, אל תהרסו אותה. ואתם הורסים אותה. </w:t>
      </w:r>
      <w:bookmarkStart w:id="24378" w:name="_ETM_Q41_185000"/>
      <w:bookmarkEnd w:id="24378"/>
      <w:r>
        <w:rPr>
          <w:rFonts w:hint="cs"/>
          <w:rtl/>
        </w:rPr>
        <w:t xml:space="preserve">אני אומר לכם: אתם הורסים את מדינת ישראל. אתם הורסים את הגוף שהוא צה"ל, </w:t>
      </w:r>
      <w:bookmarkStart w:id="24379" w:name="_ETM_Q41_195000"/>
      <w:bookmarkEnd w:id="24379"/>
      <w:r>
        <w:rPr>
          <w:rFonts w:hint="cs"/>
          <w:rtl/>
        </w:rPr>
        <w:t xml:space="preserve">צבא העם. אנשים אומרים לכם היום – לא אחד ולא </w:t>
      </w:r>
      <w:r w:rsidR="007B6EE4">
        <w:rPr>
          <w:rFonts w:hint="cs"/>
          <w:rtl/>
        </w:rPr>
        <w:t>1,000</w:t>
      </w:r>
      <w:r>
        <w:rPr>
          <w:rFonts w:hint="cs"/>
          <w:rtl/>
        </w:rPr>
        <w:t xml:space="preserve"> ולא 5,000, אלפים </w:t>
      </w:r>
      <w:bookmarkStart w:id="24380" w:name="_ETM_Q41_204000"/>
      <w:bookmarkEnd w:id="24380"/>
      <w:r>
        <w:rPr>
          <w:rFonts w:hint="cs"/>
          <w:rtl/>
        </w:rPr>
        <w:t xml:space="preserve">אומרים לכם: אנחנו לא רוצים לשרת במדינה שהיא לא דמוקרטית. אתם לא חושבים, לא עוצרים. </w:t>
      </w:r>
      <w:bookmarkStart w:id="24381" w:name="_ETM_Q41_216095"/>
      <w:bookmarkStart w:id="24382" w:name="_ETM_Q41_216198"/>
      <w:bookmarkStart w:id="24383" w:name="_ETM_Q41_216247"/>
      <w:bookmarkStart w:id="24384" w:name="_ETM_Q41_216319"/>
      <w:bookmarkEnd w:id="24381"/>
      <w:bookmarkEnd w:id="24382"/>
      <w:bookmarkEnd w:id="24383"/>
      <w:bookmarkEnd w:id="24384"/>
      <w:r>
        <w:rPr>
          <w:rFonts w:hint="cs"/>
          <w:rtl/>
        </w:rPr>
        <w:t xml:space="preserve">מיטב האנשים. </w:t>
      </w:r>
    </w:p>
    <w:p w:rsidR="00BB59CD" w:rsidRDefault="00BB59CD" w:rsidP="00BB59CD">
      <w:pPr>
        <w:rPr>
          <w:rtl/>
        </w:rPr>
      </w:pPr>
    </w:p>
    <w:p w:rsidR="00BB59CD" w:rsidRDefault="00BB59CD" w:rsidP="00BB59CD">
      <w:pPr>
        <w:rPr>
          <w:rtl/>
        </w:rPr>
      </w:pPr>
      <w:r>
        <w:rPr>
          <w:rFonts w:hint="cs"/>
          <w:rtl/>
        </w:rPr>
        <w:t xml:space="preserve">אני חושב, ראש מוסד, </w:t>
      </w:r>
      <w:bookmarkStart w:id="24385" w:name="_ETM_Q41_229000"/>
      <w:bookmarkEnd w:id="24385"/>
      <w:r>
        <w:rPr>
          <w:rFonts w:hint="cs"/>
          <w:rtl/>
        </w:rPr>
        <w:t>רמטכ"ל לשעבר, ראש שב"כ לשעבר ואלופים עומדים ואומרים לכם: אתם מובילים לפירוק צה"ל, להחלשת צה"ל, לאי-מוכנות של צה"ל – ואני לא חושב שיש מישהו כאן שיכול להגיד על האנשים האלה</w:t>
      </w:r>
      <w:bookmarkStart w:id="24386" w:name="_ETM_Q41_249000"/>
      <w:bookmarkEnd w:id="24386"/>
      <w:r>
        <w:rPr>
          <w:rFonts w:hint="cs"/>
          <w:rtl/>
        </w:rPr>
        <w:t xml:space="preserve"> שהם לא יודעים על מה הם מדברים. הם באו מאותן מערכות, הם הובילו את אותן מערכות,</w:t>
      </w:r>
      <w:bookmarkStart w:id="24387" w:name="_ETM_Q41_256000"/>
      <w:bookmarkEnd w:id="24387"/>
      <w:r>
        <w:rPr>
          <w:rFonts w:hint="cs"/>
          <w:rtl/>
        </w:rPr>
        <w:t xml:space="preserve"> והם אומרים לכם: אתם פוגעים ביכולתו של צה"ל, ביכולתו של צבא העם. ואתם לא עוצרים. אני אומר לכם, אתם לא תעצרו, אתם </w:t>
      </w:r>
      <w:bookmarkStart w:id="24388" w:name="_ETM_Q41_272000"/>
      <w:bookmarkEnd w:id="24388"/>
      <w:r w:rsidR="000750B5">
        <w:rPr>
          <w:rFonts w:hint="cs"/>
          <w:rtl/>
        </w:rPr>
        <w:t xml:space="preserve">רוצים </w:t>
      </w:r>
      <w:r>
        <w:rPr>
          <w:rFonts w:hint="cs"/>
          <w:rtl/>
        </w:rPr>
        <w:t xml:space="preserve">להרגיש את הניצחון שלכם, את הגדולה שלכם, ולהגיד: ניצחנו. זה מה שאתם רוצים להגיד. </w:t>
      </w:r>
    </w:p>
    <w:p w:rsidR="00BB59CD" w:rsidRDefault="00BB59CD" w:rsidP="00BB59CD">
      <w:pPr>
        <w:rPr>
          <w:rtl/>
        </w:rPr>
      </w:pPr>
    </w:p>
    <w:p w:rsidR="00BB59CD" w:rsidRDefault="00BB59CD" w:rsidP="000750B5">
      <w:pPr>
        <w:rPr>
          <w:rtl/>
        </w:rPr>
      </w:pPr>
      <w:r>
        <w:rPr>
          <w:rFonts w:hint="cs"/>
          <w:rtl/>
        </w:rPr>
        <w:t xml:space="preserve">להגיד לך את האמת? ההייטק וכל </w:t>
      </w:r>
      <w:bookmarkStart w:id="24389" w:name="_ETM_Q41_289000"/>
      <w:bookmarkEnd w:id="24389"/>
      <w:r>
        <w:rPr>
          <w:rFonts w:hint="cs"/>
          <w:rtl/>
        </w:rPr>
        <w:t xml:space="preserve">הנתונים – אני משתתף בהרבה ישיבות בוועדת הכספים, ומדברים הרבה על הכלכלה, על המצב הכלכלי במדינת ישראל, על </w:t>
      </w:r>
      <w:bookmarkStart w:id="24390" w:name="_ETM_Q41_299000"/>
      <w:bookmarkEnd w:id="24390"/>
      <w:r>
        <w:rPr>
          <w:rFonts w:hint="cs"/>
          <w:rtl/>
        </w:rPr>
        <w:t>ההייטק במדינת ישראל. רק עכשיו הובלנו חוק עידוד השקעות להייטק. ההייטק במדינת ישראל</w:t>
      </w:r>
      <w:r w:rsidR="000750B5">
        <w:rPr>
          <w:rFonts w:hint="cs"/>
          <w:rtl/>
        </w:rPr>
        <w:t>,</w:t>
      </w:r>
      <w:r>
        <w:rPr>
          <w:rFonts w:hint="cs"/>
          <w:rtl/>
        </w:rPr>
        <w:t xml:space="preserve"> </w:t>
      </w:r>
      <w:bookmarkStart w:id="24391" w:name="_ETM_Q41_310000"/>
      <w:bookmarkEnd w:id="24391"/>
      <w:r>
        <w:rPr>
          <w:rFonts w:hint="cs"/>
          <w:rtl/>
        </w:rPr>
        <w:t xml:space="preserve">אתם מרסקים אותו. היום אין כמעט חברות שרוצות להירשם כאן במדינת ישראל. למה להן להירשם במדינת ישראל? הרי להירשם בחו"ל </w:t>
      </w:r>
      <w:bookmarkStart w:id="24392" w:name="_ETM_Q41_319000"/>
      <w:bookmarkEnd w:id="24392"/>
      <w:r>
        <w:rPr>
          <w:rFonts w:hint="cs"/>
          <w:rtl/>
        </w:rPr>
        <w:t xml:space="preserve">זה בטוח יותר מאשר להירשם במדינה שאנחנו לא יודעים לאן היא תגיע ומה יהיה בה בעוד חודש, בעוד חודשיים, בעוד </w:t>
      </w:r>
      <w:bookmarkStart w:id="24393" w:name="_ETM_Q41_330000"/>
      <w:bookmarkEnd w:id="24393"/>
      <w:r>
        <w:rPr>
          <w:rFonts w:hint="cs"/>
          <w:rtl/>
        </w:rPr>
        <w:t>שלושה חודשים. למה להשקיע כאן? בשנת 2021</w:t>
      </w:r>
      <w:r w:rsidR="000750B5">
        <w:rPr>
          <w:rFonts w:hint="eastAsia"/>
          <w:rtl/>
        </w:rPr>
        <w:t>–</w:t>
      </w:r>
      <w:r>
        <w:rPr>
          <w:rFonts w:hint="cs"/>
          <w:rtl/>
        </w:rPr>
        <w:t xml:space="preserve">2022 הושקעו בהייטק 42 מיליארד דולר במדינת </w:t>
      </w:r>
      <w:bookmarkStart w:id="24394" w:name="_ETM_Q41_342000"/>
      <w:bookmarkEnd w:id="24394"/>
      <w:r>
        <w:rPr>
          <w:rFonts w:hint="cs"/>
          <w:rtl/>
        </w:rPr>
        <w:t xml:space="preserve">ישראל. כמה הושקע עכשיו, ב-2023? אפילו לא הגענו ל-6 מיליארד דולר. אתה יודע איזו ירידה? אתה יודע מה זה </w:t>
      </w:r>
      <w:bookmarkStart w:id="24395" w:name="_ETM_Q41_354000"/>
      <w:bookmarkEnd w:id="24395"/>
      <w:r>
        <w:rPr>
          <w:rFonts w:hint="cs"/>
          <w:rtl/>
        </w:rPr>
        <w:t xml:space="preserve">42 מיליארד דולר כאשר אתה משקיע באותה מדינה? אתה </w:t>
      </w:r>
      <w:bookmarkStart w:id="24396" w:name="_ETM_Q41_360000"/>
      <w:bookmarkEnd w:id="24396"/>
      <w:r>
        <w:rPr>
          <w:rFonts w:hint="cs"/>
          <w:rtl/>
        </w:rPr>
        <w:t>יודע כמה מקומות עבודה אתה פותח? כמה מקו</w:t>
      </w:r>
      <w:r w:rsidR="000750B5">
        <w:rPr>
          <w:rFonts w:hint="cs"/>
          <w:rtl/>
        </w:rPr>
        <w:t>ר</w:t>
      </w:r>
      <w:r>
        <w:rPr>
          <w:rFonts w:hint="cs"/>
          <w:rtl/>
        </w:rPr>
        <w:t xml:space="preserve">ות פרנסה אתה מכניס לאנשים? כמה כסף אתה מגלגל כאן בתוך המדינה? וכאשר ההשקעה יורדת כזאת ירידה דרסטית ל-6 מיליארד שקל, אתה יודע בכמה אנשים </w:t>
      </w:r>
      <w:bookmarkStart w:id="24397" w:name="_ETM_Q41_376000"/>
      <w:bookmarkEnd w:id="24397"/>
      <w:r>
        <w:rPr>
          <w:rFonts w:hint="cs"/>
          <w:rtl/>
        </w:rPr>
        <w:t xml:space="preserve">אתה פוגע? אתה יודע כמה צעירים היום מחפשים מקומות עבודה בחוץ לארץ ולא בטוחים שבמדינת ישראל יכולים להתפרנס בכבוד, </w:t>
      </w:r>
      <w:bookmarkStart w:id="24398" w:name="_ETM_Q41_387000"/>
      <w:bookmarkEnd w:id="24398"/>
      <w:r>
        <w:rPr>
          <w:rFonts w:hint="cs"/>
          <w:rtl/>
        </w:rPr>
        <w:t>ולא יודעים מה יקרה מחר, ולאן תובילו אותנו מחר</w:t>
      </w:r>
      <w:r w:rsidR="000750B5">
        <w:rPr>
          <w:rFonts w:hint="cs"/>
          <w:rtl/>
        </w:rPr>
        <w:t>?</w:t>
      </w:r>
      <w:r>
        <w:rPr>
          <w:rFonts w:hint="cs"/>
          <w:rtl/>
        </w:rPr>
        <w:t xml:space="preserve"> כי אתם מובילים אותנו למקום לא טוב, ואנשים רוצים לגדל את הילדים שלהם </w:t>
      </w:r>
      <w:bookmarkStart w:id="24399" w:name="_ETM_Q41_394000"/>
      <w:bookmarkEnd w:id="24399"/>
      <w:r>
        <w:rPr>
          <w:rFonts w:hint="cs"/>
          <w:rtl/>
        </w:rPr>
        <w:t xml:space="preserve">במקום טוב. אנשים רוצים להיות בטוחים במדינה שהם </w:t>
      </w:r>
      <w:bookmarkStart w:id="24400" w:name="_ETM_Q41_402000"/>
      <w:bookmarkEnd w:id="24400"/>
      <w:r>
        <w:rPr>
          <w:rFonts w:hint="cs"/>
          <w:rtl/>
        </w:rPr>
        <w:t xml:space="preserve">חיים בה, הם רוצים לחיות בדמוקרטיה. מדינת ישראל נוסדה כדמוקרטיה, אתם לא יכולים להרוס את הדמוקרטיה שיש במדינת ישראל, ולזה אתם </w:t>
      </w:r>
      <w:bookmarkStart w:id="24401" w:name="_ETM_Q41_409000"/>
      <w:bookmarkEnd w:id="24401"/>
      <w:r>
        <w:rPr>
          <w:rFonts w:hint="cs"/>
          <w:rtl/>
        </w:rPr>
        <w:t>מובילים, את זה אתם עושים, ואת זה אתם לא תעצרו.</w:t>
      </w:r>
    </w:p>
    <w:p w:rsidR="00BB59CD" w:rsidRDefault="00BB59CD" w:rsidP="00BB59CD">
      <w:pPr>
        <w:rPr>
          <w:rtl/>
        </w:rPr>
      </w:pPr>
    </w:p>
    <w:p w:rsidR="00BB59CD" w:rsidRDefault="00BB59CD" w:rsidP="00BB59CD">
      <w:pPr>
        <w:rPr>
          <w:rtl/>
        </w:rPr>
      </w:pPr>
      <w:bookmarkStart w:id="24402" w:name="_ETM_Q41_420000"/>
      <w:bookmarkEnd w:id="24402"/>
      <w:r>
        <w:rPr>
          <w:rFonts w:hint="cs"/>
          <w:rtl/>
        </w:rPr>
        <w:t xml:space="preserve"> אפילו את היחסים שלנו עם המדינה הכי תומכת בישראל, ארצות הברית, אתם הורסים. ואתם משקרים להם. אתם הורסים את היחסים עם המדינה שעמדה לצד מדינת ישראל בכל המצבים - -</w:t>
      </w:r>
    </w:p>
    <w:p w:rsidR="00BB59CD" w:rsidRDefault="00BB59CD" w:rsidP="00BB59CD">
      <w:pPr>
        <w:rPr>
          <w:rtl/>
        </w:rPr>
      </w:pPr>
      <w:bookmarkStart w:id="24403" w:name="_ETM_Q41_430000"/>
      <w:bookmarkEnd w:id="24403"/>
    </w:p>
    <w:p w:rsidR="00BB59CD" w:rsidRDefault="00BB59CD" w:rsidP="00BB59CD">
      <w:pPr>
        <w:pStyle w:val="af8"/>
        <w:keepNext/>
        <w:rPr>
          <w:rtl/>
        </w:rPr>
      </w:pPr>
      <w:r>
        <w:rPr>
          <w:rStyle w:val="TagStyle"/>
          <w:rFonts w:hint="cs"/>
          <w:rtl/>
        </w:rPr>
        <w:t xml:space="preserve"> &lt;&lt; קריאה &gt;&gt; </w:t>
      </w:r>
      <w:r>
        <w:rPr>
          <w:rFonts w:hint="cs"/>
          <w:rtl/>
        </w:rPr>
        <w:t>איימן עודה (חד"ש-תע"ל):</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חבר הכנסת עמאר, חבר הכנסת עמאר - - -</w:t>
      </w:r>
    </w:p>
    <w:p w:rsidR="00BB59CD" w:rsidRDefault="00BB59CD" w:rsidP="00BB59CD">
      <w:pPr>
        <w:rPr>
          <w:rtl/>
          <w:lang w:eastAsia="he-IL"/>
        </w:rPr>
      </w:pPr>
    </w:p>
    <w:p w:rsidR="00BB59CD" w:rsidRDefault="00BB59CD" w:rsidP="00BB59CD">
      <w:pPr>
        <w:pStyle w:val="-"/>
        <w:keepNext/>
        <w:rPr>
          <w:rtl/>
        </w:rPr>
      </w:pPr>
      <w:bookmarkStart w:id="24404" w:name="ET_speakercontinue_4674_3"/>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bookmarkEnd w:id="2440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 בכל המלחמות. ואתם באים </w:t>
      </w:r>
      <w:bookmarkStart w:id="24405" w:name="_ETM_Q41_440000"/>
      <w:bookmarkEnd w:id="24405"/>
      <w:r>
        <w:rPr>
          <w:rFonts w:hint="cs"/>
          <w:rtl/>
          <w:lang w:eastAsia="he-IL"/>
        </w:rPr>
        <w:t>עכשיו, חברי כנסת שרק אתמול נכנסו לכנסת,</w:t>
      </w:r>
      <w:bookmarkStart w:id="24406" w:name="_ETM_Q41_443000"/>
      <w:bookmarkEnd w:id="24406"/>
      <w:r>
        <w:rPr>
          <w:rFonts w:hint="cs"/>
          <w:rtl/>
          <w:lang w:eastAsia="he-IL"/>
        </w:rPr>
        <w:t xml:space="preserve"> תוקפים את נשיא ארצות-הברית - - -</w:t>
      </w:r>
    </w:p>
    <w:p w:rsidR="00BB59CD" w:rsidRDefault="00BB59CD" w:rsidP="00BB59CD">
      <w:pPr>
        <w:rPr>
          <w:rtl/>
          <w:lang w:eastAsia="he-IL"/>
        </w:rPr>
      </w:pPr>
    </w:p>
    <w:p w:rsidR="00BB59CD" w:rsidRDefault="00BB59CD" w:rsidP="00BB59CD">
      <w:pPr>
        <w:pStyle w:val="af8"/>
        <w:keepNext/>
        <w:rPr>
          <w:rtl/>
        </w:rPr>
      </w:pPr>
      <w:bookmarkStart w:id="24407" w:name="ET_interruption_5293_4"/>
      <w:r>
        <w:rPr>
          <w:rStyle w:val="TagStyle"/>
          <w:rFonts w:hint="cs"/>
          <w:rtl/>
        </w:rPr>
        <w:t xml:space="preserve"> &lt;&lt; קריאה &gt;&gt; </w:t>
      </w:r>
      <w:r>
        <w:rPr>
          <w:rFonts w:hint="cs"/>
          <w:rtl/>
        </w:rPr>
        <w:t>איימן עודה (חד"ש-תע"ל):</w:t>
      </w:r>
      <w:r>
        <w:rPr>
          <w:rStyle w:val="TagStyle"/>
          <w:rtl/>
        </w:rPr>
        <w:t xml:space="preserve"> &lt;&lt; קריאה &gt;&gt;</w:t>
      </w:r>
      <w:r>
        <w:rPr>
          <w:rFonts w:hint="cs"/>
          <w:rtl/>
        </w:rPr>
        <w:t xml:space="preserve"> </w:t>
      </w:r>
      <w:bookmarkEnd w:id="2440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 הכנסת </w:t>
      </w:r>
      <w:bookmarkStart w:id="24408" w:name="_ETM_Q41_449000"/>
      <w:bookmarkEnd w:id="24408"/>
      <w:r>
        <w:rPr>
          <w:rFonts w:hint="cs"/>
          <w:rtl/>
          <w:lang w:eastAsia="he-IL"/>
        </w:rPr>
        <w:t xml:space="preserve">עמאר, אתה בטוח שהמדינה נוסדה כדמוקרטיה או בצורה דמוקרטית? </w:t>
      </w:r>
    </w:p>
    <w:p w:rsidR="00BB59CD" w:rsidRDefault="00BB59CD" w:rsidP="00BB59CD">
      <w:pPr>
        <w:rPr>
          <w:rtl/>
          <w:lang w:eastAsia="he-IL"/>
        </w:rPr>
      </w:pPr>
    </w:p>
    <w:p w:rsidR="00BB59CD" w:rsidRDefault="00BB59CD" w:rsidP="00BB59CD">
      <w:pPr>
        <w:pStyle w:val="-"/>
        <w:keepNext/>
        <w:rPr>
          <w:rtl/>
        </w:rPr>
      </w:pPr>
      <w:bookmarkStart w:id="24409" w:name="ET_speakercontinue_4674_5"/>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bookmarkEnd w:id="24409"/>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בטוח במדינת ישראל, אני רוצה </w:t>
      </w:r>
      <w:bookmarkStart w:id="24410" w:name="_ETM_Q41_461000"/>
      <w:bookmarkEnd w:id="24410"/>
      <w:r>
        <w:rPr>
          <w:rFonts w:hint="cs"/>
          <w:rtl/>
          <w:lang w:eastAsia="he-IL"/>
        </w:rPr>
        <w:t xml:space="preserve">לחיות במדינת ישראל, מדינה דמוקרטית. זאת המדינה שלי, אין לי מדינה אחרת. </w:t>
      </w:r>
    </w:p>
    <w:p w:rsidR="00BB59CD" w:rsidRDefault="00BB59CD" w:rsidP="00BB59CD">
      <w:pPr>
        <w:ind w:firstLine="0"/>
        <w:rPr>
          <w:rtl/>
          <w:lang w:eastAsia="he-IL"/>
        </w:rPr>
      </w:pPr>
      <w:bookmarkStart w:id="24411" w:name="_ETM_Q41_468000"/>
      <w:bookmarkEnd w:id="24411"/>
    </w:p>
    <w:p w:rsidR="00BB59CD" w:rsidRDefault="00BB59CD" w:rsidP="00BB59CD">
      <w:pPr>
        <w:pStyle w:val="af8"/>
        <w:keepNext/>
        <w:rPr>
          <w:rtl/>
        </w:rPr>
      </w:pPr>
      <w:r>
        <w:rPr>
          <w:rStyle w:val="TagStyle"/>
          <w:rFonts w:hint="cs"/>
          <w:rtl/>
        </w:rPr>
        <w:t xml:space="preserve"> &lt;&lt; קריאה &gt;&gt; </w:t>
      </w:r>
      <w:r>
        <w:rPr>
          <w:rFonts w:hint="cs"/>
          <w:rtl/>
        </w:rPr>
        <w:t>איימן עודה (חד"ש-תע"ל):</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טוב, לא זאת השאלה - - -</w:t>
      </w:r>
    </w:p>
    <w:p w:rsidR="00BB59CD" w:rsidRDefault="00BB59CD" w:rsidP="00BB59CD">
      <w:pPr>
        <w:rPr>
          <w:rtl/>
          <w:lang w:eastAsia="he-IL"/>
        </w:rPr>
      </w:pPr>
      <w:bookmarkStart w:id="24412" w:name="_ETM_Q41_470000"/>
      <w:bookmarkEnd w:id="24412"/>
    </w:p>
    <w:p w:rsidR="00BB59CD" w:rsidRDefault="00BB59CD" w:rsidP="00BB59CD">
      <w:pPr>
        <w:pStyle w:val="-"/>
        <w:keepNext/>
        <w:rPr>
          <w:rtl/>
        </w:rPr>
      </w:pPr>
      <w:bookmarkStart w:id="24413" w:name="ET_speakercontinue_4674_10"/>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bookmarkEnd w:id="24413"/>
    </w:p>
    <w:p w:rsidR="00BB59CD" w:rsidRDefault="00BB59CD" w:rsidP="00337201">
      <w:pPr>
        <w:rPr>
          <w:rtl/>
          <w:lang w:eastAsia="he-IL"/>
        </w:rPr>
      </w:pPr>
    </w:p>
    <w:p w:rsidR="00BB59CD" w:rsidRDefault="00BB59CD" w:rsidP="00BB59CD">
      <w:pPr>
        <w:rPr>
          <w:rtl/>
          <w:lang w:eastAsia="he-IL"/>
        </w:rPr>
      </w:pPr>
      <w:bookmarkStart w:id="24414" w:name="_ETM_Q41_471000"/>
      <w:bookmarkEnd w:id="24414"/>
      <w:r>
        <w:rPr>
          <w:rFonts w:hint="cs"/>
          <w:rtl/>
          <w:lang w:eastAsia="he-IL"/>
        </w:rPr>
        <w:t xml:space="preserve">הם מובילים אותה למדינה לא דמוקרטית, הממשלה הזאת תוביל אותנו למדינה לא דמוקרטית. הם עשו כמה מהלכים, ואני אדבר </w:t>
      </w:r>
      <w:bookmarkStart w:id="24415" w:name="_ETM_Q41_480000"/>
      <w:bookmarkEnd w:id="24415"/>
      <w:r>
        <w:rPr>
          <w:rFonts w:hint="cs"/>
          <w:rtl/>
          <w:lang w:eastAsia="he-IL"/>
        </w:rPr>
        <w:t>על כל ה</w:t>
      </w:r>
      <w:bookmarkStart w:id="24416" w:name="_ETM_Q41_469000"/>
      <w:bookmarkEnd w:id="24416"/>
      <w:r>
        <w:rPr>
          <w:rFonts w:hint="cs"/>
          <w:rtl/>
          <w:lang w:eastAsia="he-IL"/>
        </w:rPr>
        <w:t xml:space="preserve">מהלכים שהם עשו - - </w:t>
      </w:r>
    </w:p>
    <w:p w:rsidR="00BB59CD" w:rsidRDefault="00BB59CD" w:rsidP="00BB59CD">
      <w:pPr>
        <w:ind w:firstLine="0"/>
        <w:rPr>
          <w:rtl/>
          <w:lang w:eastAsia="he-IL"/>
        </w:rPr>
      </w:pPr>
      <w:bookmarkStart w:id="24417" w:name="_ETM_Q41_478000"/>
      <w:bookmarkEnd w:id="24417"/>
    </w:p>
    <w:p w:rsidR="00BB59CD" w:rsidRDefault="00BB59CD" w:rsidP="00BB59CD">
      <w:pPr>
        <w:pStyle w:val="af8"/>
        <w:keepNext/>
        <w:rPr>
          <w:rtl/>
        </w:rPr>
      </w:pPr>
      <w:bookmarkStart w:id="24418" w:name="ET_interruption_5293_11"/>
      <w:r>
        <w:rPr>
          <w:rStyle w:val="TagStyle"/>
          <w:rFonts w:hint="cs"/>
          <w:rtl/>
        </w:rPr>
        <w:t xml:space="preserve"> &lt;&lt; קריאה &gt;&gt; </w:t>
      </w:r>
      <w:r>
        <w:rPr>
          <w:rFonts w:hint="cs"/>
          <w:rtl/>
        </w:rPr>
        <w:t>איימן עודה (חד"ש-תע"ל):</w:t>
      </w:r>
      <w:r>
        <w:rPr>
          <w:rStyle w:val="TagStyle"/>
          <w:rtl/>
        </w:rPr>
        <w:t xml:space="preserve"> &lt;&lt; קריאה &gt;&gt;</w:t>
      </w:r>
      <w:r>
        <w:rPr>
          <w:rFonts w:hint="cs"/>
          <w:rtl/>
        </w:rPr>
        <w:t xml:space="preserve"> </w:t>
      </w:r>
      <w:bookmarkEnd w:id="24418"/>
    </w:p>
    <w:p w:rsidR="00BB59CD" w:rsidRDefault="00BB59CD" w:rsidP="00337201">
      <w:pPr>
        <w:rPr>
          <w:rtl/>
          <w:lang w:eastAsia="he-IL"/>
        </w:rPr>
      </w:pPr>
    </w:p>
    <w:p w:rsidR="00BB59CD" w:rsidRDefault="00BB59CD" w:rsidP="00BB59CD">
      <w:pPr>
        <w:rPr>
          <w:rtl/>
          <w:lang w:eastAsia="he-IL"/>
        </w:rPr>
      </w:pPr>
      <w:bookmarkStart w:id="24419" w:name="_ETM_Q41_481000"/>
      <w:bookmarkEnd w:id="24419"/>
      <w:r>
        <w:rPr>
          <w:rFonts w:hint="cs"/>
          <w:rtl/>
          <w:lang w:eastAsia="he-IL"/>
        </w:rPr>
        <w:t>- - -</w:t>
      </w:r>
    </w:p>
    <w:p w:rsidR="00BB59CD" w:rsidRDefault="00BB59CD" w:rsidP="00BB59CD">
      <w:pPr>
        <w:rPr>
          <w:rtl/>
          <w:lang w:eastAsia="he-IL"/>
        </w:rPr>
      </w:pPr>
    </w:p>
    <w:p w:rsidR="00BB59CD" w:rsidRDefault="00BB59CD" w:rsidP="00BB59CD">
      <w:pPr>
        <w:pStyle w:val="-"/>
        <w:keepNext/>
        <w:rPr>
          <w:rtl/>
        </w:rPr>
      </w:pPr>
      <w:bookmarkStart w:id="24420" w:name="ET_speakercontinue_4674_12"/>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bookmarkEnd w:id="24420"/>
    </w:p>
    <w:p w:rsidR="00BB59CD" w:rsidRDefault="00BB59CD" w:rsidP="00337201">
      <w:pPr>
        <w:rPr>
          <w:rtl/>
          <w:lang w:eastAsia="he-IL"/>
        </w:rPr>
      </w:pPr>
    </w:p>
    <w:p w:rsidR="00BB59CD" w:rsidRDefault="00BB59CD" w:rsidP="000750B5">
      <w:pPr>
        <w:rPr>
          <w:rtl/>
          <w:lang w:eastAsia="he-IL"/>
        </w:rPr>
      </w:pPr>
      <w:r>
        <w:rPr>
          <w:rFonts w:hint="cs"/>
          <w:rtl/>
          <w:lang w:eastAsia="he-IL"/>
        </w:rPr>
        <w:t xml:space="preserve">- - </w:t>
      </w:r>
      <w:bookmarkStart w:id="24421" w:name="_ETM_Q41_479000"/>
      <w:bookmarkEnd w:id="24421"/>
      <w:r>
        <w:rPr>
          <w:rFonts w:hint="cs"/>
          <w:rtl/>
          <w:lang w:eastAsia="he-IL"/>
        </w:rPr>
        <w:t xml:space="preserve">אבל אני רוצה לחיות במדינה דמוקרטית. אני רוצה לחיות במדינה הזאת. ואני </w:t>
      </w:r>
      <w:bookmarkStart w:id="24422" w:name="_ETM_Q41_490000"/>
      <w:bookmarkEnd w:id="24422"/>
      <w:r>
        <w:rPr>
          <w:rFonts w:hint="cs"/>
          <w:rtl/>
          <w:lang w:eastAsia="he-IL"/>
        </w:rPr>
        <w:t xml:space="preserve">חושב שגם אתה רוצה לחיות במדינה הזאת, ואתה רוצה אותה מדינה דמוקרטית. כל אחד </w:t>
      </w:r>
      <w:bookmarkStart w:id="24423" w:name="_ETM_Q41_495000"/>
      <w:bookmarkEnd w:id="24423"/>
      <w:r>
        <w:rPr>
          <w:rFonts w:hint="cs"/>
          <w:rtl/>
          <w:lang w:eastAsia="he-IL"/>
        </w:rPr>
        <w:t>מאזרחי ישראל רוצה לחיות במדינה דמוקרטית</w:t>
      </w:r>
      <w:r w:rsidR="000750B5">
        <w:rPr>
          <w:rFonts w:hint="cs"/>
          <w:rtl/>
          <w:lang w:eastAsia="he-IL"/>
        </w:rPr>
        <w:t>,</w:t>
      </w:r>
      <w:r>
        <w:rPr>
          <w:rFonts w:hint="cs"/>
          <w:rtl/>
          <w:lang w:eastAsia="he-IL"/>
        </w:rPr>
        <w:t xml:space="preserve"> ולא רוצה לחיות במדינה לא דמוקרטית, </w:t>
      </w:r>
      <w:bookmarkStart w:id="24424" w:name="_ETM_Q41_496000"/>
      <w:bookmarkEnd w:id="24424"/>
      <w:r>
        <w:rPr>
          <w:rFonts w:hint="cs"/>
          <w:rtl/>
          <w:lang w:eastAsia="he-IL"/>
        </w:rPr>
        <w:t xml:space="preserve">ולא רוצה חוק שיסרס את בית המשפט העליון. </w:t>
      </w:r>
      <w:r w:rsidR="000750B5">
        <w:rPr>
          <w:rFonts w:hint="cs"/>
          <w:rtl/>
          <w:lang w:eastAsia="he-IL"/>
        </w:rPr>
        <w:t>ל</w:t>
      </w:r>
      <w:r>
        <w:rPr>
          <w:rFonts w:hint="cs"/>
          <w:rtl/>
          <w:lang w:eastAsia="he-IL"/>
        </w:rPr>
        <w:t xml:space="preserve">זה הם רוצים להוביל אותנו </w:t>
      </w:r>
      <w:bookmarkStart w:id="24425" w:name="_ETM_Q41_519549"/>
      <w:bookmarkEnd w:id="24425"/>
      <w:r>
        <w:rPr>
          <w:rFonts w:hint="cs"/>
          <w:rtl/>
          <w:lang w:eastAsia="he-IL"/>
        </w:rPr>
        <w:t xml:space="preserve">– שבית </w:t>
      </w:r>
      <w:bookmarkStart w:id="24426" w:name="_ETM_Q41_506000"/>
      <w:bookmarkEnd w:id="24426"/>
      <w:r>
        <w:rPr>
          <w:rFonts w:hint="cs"/>
          <w:rtl/>
          <w:lang w:eastAsia="he-IL"/>
        </w:rPr>
        <w:t xml:space="preserve">המשפט העליון לא יוכל להתערב. אני אומר לך, הכי </w:t>
      </w:r>
      <w:bookmarkStart w:id="24427" w:name="_ETM_Q41_516000"/>
      <w:bookmarkEnd w:id="24427"/>
      <w:r>
        <w:rPr>
          <w:rFonts w:hint="cs"/>
          <w:rtl/>
          <w:lang w:eastAsia="he-IL"/>
        </w:rPr>
        <w:t xml:space="preserve">ייפגעו אחרי ביטול עילת הסבירות – המיעוט. </w:t>
      </w:r>
      <w:bookmarkStart w:id="24428" w:name="_ETM_Q41_520000"/>
      <w:bookmarkEnd w:id="24428"/>
      <w:r>
        <w:rPr>
          <w:rFonts w:hint="cs"/>
          <w:rtl/>
          <w:lang w:eastAsia="he-IL"/>
        </w:rPr>
        <w:t xml:space="preserve">בכל פגיעה בבית המשפט המיעוט נפגע הכי הרבה, כי המיעוט </w:t>
      </w:r>
      <w:bookmarkStart w:id="24429" w:name="_ETM_Q41_521000"/>
      <w:bookmarkEnd w:id="24429"/>
      <w:r>
        <w:rPr>
          <w:rFonts w:hint="cs"/>
          <w:rtl/>
          <w:lang w:eastAsia="he-IL"/>
        </w:rPr>
        <w:t xml:space="preserve">הוא שצריך את בתי המשפט, והוא שייפגע.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אני </w:t>
      </w:r>
      <w:bookmarkStart w:id="24430" w:name="_ETM_Q41_529000"/>
      <w:bookmarkEnd w:id="24430"/>
      <w:r>
        <w:rPr>
          <w:rFonts w:hint="cs"/>
          <w:rtl/>
          <w:lang w:eastAsia="he-IL"/>
        </w:rPr>
        <w:t xml:space="preserve">אומר לך, אני שומע חברי כנסת משתלחים בנשיא ארצות הברית: אנחנו יכולים אפילו לוותר על ארצות הברית. הם לא יודעים כמה הקשרים בין ארצות הברית לישראל הם חזקים, וכמה ישראל וארצות הברית קשורות אחת בשנייה, וכמה היחסים האלה </w:t>
      </w:r>
      <w:bookmarkStart w:id="24431" w:name="_ETM_Q41_554000"/>
      <w:bookmarkEnd w:id="24431"/>
      <w:r>
        <w:rPr>
          <w:rFonts w:hint="cs"/>
          <w:rtl/>
          <w:lang w:eastAsia="he-IL"/>
        </w:rPr>
        <w:t xml:space="preserve">חשובים לביטחונה של מדינת ישראל. אני לא מצליח להבין את אותם חברי </w:t>
      </w:r>
      <w:bookmarkStart w:id="24432" w:name="_ETM_Q41_562000"/>
      <w:bookmarkEnd w:id="24432"/>
      <w:r>
        <w:rPr>
          <w:rFonts w:hint="cs"/>
          <w:rtl/>
          <w:lang w:eastAsia="he-IL"/>
        </w:rPr>
        <w:t xml:space="preserve">כנסת ושרים שעולים ומדברים על כל הנושא הזה. זה מה שיש. </w:t>
      </w:r>
    </w:p>
    <w:p w:rsidR="00BB59CD" w:rsidRDefault="00BB59CD" w:rsidP="00BB59CD">
      <w:pPr>
        <w:rPr>
          <w:rtl/>
          <w:lang w:eastAsia="he-IL"/>
        </w:rPr>
      </w:pPr>
    </w:p>
    <w:p w:rsidR="00BB59CD" w:rsidRDefault="00BB59CD" w:rsidP="000750B5">
      <w:pPr>
        <w:rPr>
          <w:rtl/>
          <w:lang w:eastAsia="he-IL"/>
        </w:rPr>
      </w:pPr>
      <w:r>
        <w:rPr>
          <w:rFonts w:hint="cs"/>
          <w:rtl/>
          <w:lang w:eastAsia="he-IL"/>
        </w:rPr>
        <w:t xml:space="preserve">אני </w:t>
      </w:r>
      <w:bookmarkStart w:id="24433" w:name="_ETM_Q41_570000"/>
      <w:bookmarkEnd w:id="24433"/>
      <w:r>
        <w:rPr>
          <w:rFonts w:hint="cs"/>
          <w:rtl/>
          <w:lang w:eastAsia="he-IL"/>
        </w:rPr>
        <w:t xml:space="preserve">חייב, אני לא יכול לעלות לכאן, </w:t>
      </w:r>
      <w:r w:rsidR="000750B5">
        <w:rPr>
          <w:rFonts w:hint="cs"/>
          <w:rtl/>
          <w:lang w:eastAsia="he-IL"/>
        </w:rPr>
        <w:t>ו</w:t>
      </w:r>
      <w:r>
        <w:rPr>
          <w:rFonts w:hint="cs"/>
          <w:rtl/>
          <w:lang w:eastAsia="he-IL"/>
        </w:rPr>
        <w:t xml:space="preserve">יש לי חצי שעה, בלי לדבר על האלימות במגזר הערבי. אני לא </w:t>
      </w:r>
      <w:bookmarkStart w:id="24434" w:name="_ETM_Q41_580000"/>
      <w:bookmarkEnd w:id="24434"/>
      <w:r>
        <w:rPr>
          <w:rFonts w:hint="cs"/>
          <w:rtl/>
          <w:lang w:eastAsia="he-IL"/>
        </w:rPr>
        <w:t>יכול לא לדבר ולהגיד לכם כל פעם שאני עולה לכאן – בשבוע שעבר עליתי לכאן ודיברתי על הרציחות במגזר הערבי. אמרתי</w:t>
      </w:r>
      <w:r w:rsidR="000750B5">
        <w:rPr>
          <w:rFonts w:hint="cs"/>
          <w:rtl/>
          <w:lang w:eastAsia="he-IL"/>
        </w:rPr>
        <w:t>:</w:t>
      </w:r>
      <w:r>
        <w:rPr>
          <w:rFonts w:hint="cs"/>
          <w:rtl/>
          <w:lang w:eastAsia="he-IL"/>
        </w:rPr>
        <w:t xml:space="preserve"> </w:t>
      </w:r>
      <w:bookmarkStart w:id="24435" w:name="_ETM_Q41_591000"/>
      <w:bookmarkEnd w:id="24435"/>
      <w:r>
        <w:rPr>
          <w:rFonts w:hint="cs"/>
          <w:rtl/>
          <w:lang w:eastAsia="he-IL"/>
        </w:rPr>
        <w:t xml:space="preserve">124 נרצחים. אז היום אני אומר: 129 נרצחים, 129 בני אדם לא איתנו, מעל 1,000 פצועים. אנחנו שומעים על הנרצחים, מדברים על הנרצחים, אבל כל יום </w:t>
      </w:r>
      <w:bookmarkStart w:id="24436" w:name="_ETM_Q41_614000"/>
      <w:bookmarkEnd w:id="24436"/>
      <w:r>
        <w:rPr>
          <w:rFonts w:hint="cs"/>
          <w:rtl/>
          <w:lang w:eastAsia="he-IL"/>
        </w:rPr>
        <w:t xml:space="preserve">יש פצועים – לא אחד, לא שניים, לא חמישה ולא עשרה. </w:t>
      </w:r>
    </w:p>
    <w:p w:rsidR="00BB59CD" w:rsidRDefault="00BB59CD" w:rsidP="00BB59CD">
      <w:pPr>
        <w:rPr>
          <w:rtl/>
          <w:lang w:eastAsia="he-IL"/>
        </w:rPr>
      </w:pPr>
    </w:p>
    <w:p w:rsidR="00BB59CD" w:rsidRDefault="00BB59CD" w:rsidP="00BB59CD">
      <w:pPr>
        <w:pStyle w:val="af8"/>
        <w:keepNext/>
        <w:rPr>
          <w:rtl/>
        </w:rPr>
      </w:pPr>
      <w:bookmarkStart w:id="24437" w:name="ET_interruption_5293_6"/>
      <w:r>
        <w:rPr>
          <w:rStyle w:val="TagStyle"/>
          <w:rFonts w:hint="cs"/>
          <w:rtl/>
        </w:rPr>
        <w:t xml:space="preserve"> &lt;&lt; קריאה &gt;&gt; </w:t>
      </w:r>
      <w:r>
        <w:rPr>
          <w:rFonts w:hint="cs"/>
          <w:rtl/>
        </w:rPr>
        <w:t>איימן עודה (חד"ש-תע"ל):</w:t>
      </w:r>
      <w:r>
        <w:rPr>
          <w:rStyle w:val="TagStyle"/>
          <w:rtl/>
        </w:rPr>
        <w:t xml:space="preserve"> &lt;&lt; קריאה &gt;&gt;</w:t>
      </w:r>
      <w:r>
        <w:rPr>
          <w:rFonts w:hint="cs"/>
          <w:rtl/>
        </w:rPr>
        <w:t xml:space="preserve"> </w:t>
      </w:r>
      <w:bookmarkEnd w:id="2443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יתומים, יתומים. </w:t>
      </w:r>
    </w:p>
    <w:p w:rsidR="00BB59CD" w:rsidRDefault="00BB59CD" w:rsidP="00BB59CD">
      <w:pPr>
        <w:rPr>
          <w:rtl/>
          <w:lang w:eastAsia="he-IL"/>
        </w:rPr>
      </w:pPr>
    </w:p>
    <w:p w:rsidR="00BB59CD" w:rsidRDefault="00BB59CD" w:rsidP="00BB59CD">
      <w:pPr>
        <w:pStyle w:val="-"/>
        <w:keepNext/>
        <w:rPr>
          <w:rtl/>
        </w:rPr>
      </w:pPr>
      <w:bookmarkStart w:id="24438" w:name="ET_speakercontinue_4674_7"/>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bookmarkEnd w:id="24438"/>
    </w:p>
    <w:p w:rsidR="00BB59CD" w:rsidRDefault="00BB59CD" w:rsidP="00337201">
      <w:pPr>
        <w:rPr>
          <w:rtl/>
          <w:lang w:eastAsia="he-IL"/>
        </w:rPr>
      </w:pPr>
    </w:p>
    <w:p w:rsidR="00BB59CD" w:rsidRDefault="00BB59CD" w:rsidP="000750B5">
      <w:pPr>
        <w:rPr>
          <w:rtl/>
          <w:lang w:eastAsia="he-IL"/>
        </w:rPr>
      </w:pPr>
      <w:r>
        <w:rPr>
          <w:rFonts w:hint="cs"/>
          <w:rtl/>
          <w:lang w:eastAsia="he-IL"/>
        </w:rPr>
        <w:t xml:space="preserve">ואנחנו מדברים על משפחות שנהרסות. </w:t>
      </w:r>
      <w:bookmarkStart w:id="24439" w:name="_ETM_Q41_622000"/>
      <w:bookmarkEnd w:id="24439"/>
      <w:r>
        <w:rPr>
          <w:rFonts w:hint="cs"/>
          <w:rtl/>
          <w:lang w:eastAsia="he-IL"/>
        </w:rPr>
        <w:t xml:space="preserve">ומה הממשלה הזאת עושה? אתה יודע, אדוני היושב-ראש, בתקופה המקבילה כמה נרצחים היו בחברה הערבית? אם אתה לא יודע תגיד לי שאתה </w:t>
      </w:r>
      <w:bookmarkStart w:id="24440" w:name="_ETM_Q41_640000"/>
      <w:bookmarkEnd w:id="24440"/>
      <w:r>
        <w:rPr>
          <w:rFonts w:hint="cs"/>
          <w:rtl/>
          <w:lang w:eastAsia="he-IL"/>
        </w:rPr>
        <w:t xml:space="preserve">לא יודע, ואז אני אתן לך את הנתון. 57 נרצחים היו בתקופה המקבילה. 57 נרצחים. היום אנחנו </w:t>
      </w:r>
      <w:bookmarkStart w:id="24441" w:name="_ETM_Q41_653000"/>
      <w:bookmarkEnd w:id="24441"/>
      <w:r>
        <w:rPr>
          <w:rFonts w:hint="cs"/>
          <w:rtl/>
          <w:lang w:eastAsia="he-IL"/>
        </w:rPr>
        <w:t>על 129 נרצחים – יותר מפי שניים. איפה הממשלה? איפה השרים? איפה ראש הממשלה? תארו לעצמכם שבמדינה דמוקרטית, מתוך 129 נרצחים – אתה יודע כמה מקרי פענוח יש בכל המקרים האלה, אדוני ה</w:t>
      </w:r>
      <w:bookmarkStart w:id="24442" w:name="_ETM_Q41_748089"/>
      <w:r>
        <w:rPr>
          <w:rFonts w:hint="cs"/>
          <w:rtl/>
          <w:lang w:eastAsia="he-IL"/>
        </w:rPr>
        <w:t>יושב</w:t>
      </w:r>
      <w:bookmarkEnd w:id="24442"/>
      <w:r>
        <w:rPr>
          <w:rFonts w:hint="cs"/>
          <w:rtl/>
          <w:lang w:eastAsia="he-IL"/>
        </w:rPr>
        <w:t>-ראש? חברי חבר הכנסת עודד פורר, אתה היית שר בממשלה הקודמת</w:t>
      </w:r>
      <w:r w:rsidR="000750B5">
        <w:rPr>
          <w:rFonts w:hint="cs"/>
          <w:rtl/>
          <w:lang w:eastAsia="he-IL"/>
        </w:rPr>
        <w:t>.</w:t>
      </w:r>
    </w:p>
    <w:p w:rsidR="00BB59CD" w:rsidRDefault="00BB59CD" w:rsidP="00BB59CD">
      <w:pPr>
        <w:rPr>
          <w:rtl/>
          <w:lang w:eastAsia="he-IL"/>
        </w:rPr>
      </w:pPr>
      <w:bookmarkStart w:id="24443" w:name="_ETM_Q41_682000"/>
      <w:bookmarkEnd w:id="24443"/>
    </w:p>
    <w:p w:rsidR="00BB59CD" w:rsidRDefault="00BB59CD" w:rsidP="00BB59CD">
      <w:pPr>
        <w:pStyle w:val="af8"/>
        <w:keepNext/>
        <w:rPr>
          <w:rtl/>
        </w:rPr>
      </w:pPr>
      <w:bookmarkStart w:id="24444" w:name="ET_interruption_5520_13"/>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2444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גם פנינה. </w:t>
      </w:r>
    </w:p>
    <w:p w:rsidR="00BB59CD" w:rsidRDefault="00BB59CD" w:rsidP="00BB59CD">
      <w:pPr>
        <w:rPr>
          <w:rtl/>
          <w:lang w:eastAsia="he-IL"/>
        </w:rPr>
      </w:pPr>
    </w:p>
    <w:p w:rsidR="00BB59CD" w:rsidRDefault="00BB59CD" w:rsidP="00BB59CD">
      <w:pPr>
        <w:pStyle w:val="-"/>
        <w:keepNext/>
        <w:rPr>
          <w:rtl/>
        </w:rPr>
      </w:pPr>
      <w:bookmarkStart w:id="24445" w:name="ET_speakercontinue_4674_14"/>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bookmarkEnd w:id="2444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גם היא הייתה שרה. אני מדבר עם שני שרים לשעבר. </w:t>
      </w:r>
    </w:p>
    <w:p w:rsidR="00BB59CD" w:rsidRDefault="00BB59CD" w:rsidP="00337201">
      <w:pPr>
        <w:rPr>
          <w:rtl/>
          <w:lang w:eastAsia="he-IL"/>
        </w:rPr>
      </w:pPr>
    </w:p>
    <w:p w:rsidR="00BB59CD" w:rsidRDefault="00BB59CD" w:rsidP="00BB59CD">
      <w:pPr>
        <w:pStyle w:val="af8"/>
        <w:keepNext/>
        <w:rPr>
          <w:rtl/>
        </w:rPr>
      </w:pPr>
      <w:bookmarkStart w:id="24446" w:name="ET_interruption_5115_8"/>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24446"/>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ישבתי לידך. </w:t>
      </w:r>
    </w:p>
    <w:p w:rsidR="00BB59CD" w:rsidRDefault="00BB59CD" w:rsidP="00BB59CD">
      <w:pPr>
        <w:rPr>
          <w:rtl/>
          <w:lang w:eastAsia="he-IL"/>
        </w:rPr>
      </w:pPr>
    </w:p>
    <w:p w:rsidR="00BB59CD" w:rsidRDefault="00BB59CD" w:rsidP="00BB59CD">
      <w:pPr>
        <w:pStyle w:val="-"/>
        <w:keepNext/>
        <w:rPr>
          <w:rtl/>
        </w:rPr>
      </w:pPr>
      <w:bookmarkStart w:id="24447" w:name="ET_speakercontinue_4674_9"/>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bookmarkEnd w:id="24447"/>
    </w:p>
    <w:p w:rsidR="00BB59CD" w:rsidRDefault="00BB59CD" w:rsidP="00337201">
      <w:pPr>
        <w:rPr>
          <w:rtl/>
          <w:lang w:eastAsia="he-IL"/>
        </w:rPr>
      </w:pPr>
    </w:p>
    <w:p w:rsidR="00BB59CD" w:rsidRDefault="00BB59CD" w:rsidP="000750B5">
      <w:pPr>
        <w:rPr>
          <w:rtl/>
          <w:lang w:eastAsia="he-IL"/>
        </w:rPr>
      </w:pPr>
      <w:r>
        <w:rPr>
          <w:rFonts w:hint="cs"/>
          <w:rtl/>
          <w:lang w:eastAsia="he-IL"/>
        </w:rPr>
        <w:t xml:space="preserve">אני </w:t>
      </w:r>
      <w:bookmarkStart w:id="24448" w:name="_ETM_Q41_689000"/>
      <w:bookmarkEnd w:id="24448"/>
      <w:r>
        <w:rPr>
          <w:rFonts w:hint="cs"/>
          <w:rtl/>
          <w:lang w:eastAsia="he-IL"/>
        </w:rPr>
        <w:t>אומר לכם: 129 נרצחים במגזר הערבי. אתה יודע כמה פענוחים היו במגזר הערבי? אפס. אפס פענוחים במגזר הערבי. כל הפענוחים זה אנשים שבאו ואמרו</w:t>
      </w:r>
      <w:r w:rsidR="000750B5">
        <w:rPr>
          <w:rFonts w:hint="cs"/>
          <w:rtl/>
          <w:lang w:eastAsia="he-IL"/>
        </w:rPr>
        <w:t>:</w:t>
      </w:r>
      <w:r>
        <w:rPr>
          <w:rFonts w:hint="cs"/>
          <w:rtl/>
          <w:lang w:eastAsia="he-IL"/>
        </w:rPr>
        <w:t xml:space="preserve"> אנחנו רצחנו. במדינה נורמלית – ומדינת ישראל נחשבת אחת המדינות החזקות בעולם מבחינת מודיעין, מבחינת ביטחון – איך יכול להיות דבר כזה? מישהו יכול להסביר לי איך אחוז הפענוחים הוא אפס? מה,</w:t>
      </w:r>
      <w:bookmarkStart w:id="24449" w:name="_ETM_Q41_729000"/>
      <w:bookmarkEnd w:id="24449"/>
      <w:r>
        <w:rPr>
          <w:rFonts w:hint="cs"/>
          <w:rtl/>
          <w:lang w:eastAsia="he-IL"/>
        </w:rPr>
        <w:t xml:space="preserve"> כל אחד יכול ללכת לרצוח בידיעה מראש שהוא לא ייתפס כי זה לא מעניין אף אחד? באמת לא מעניין אף אחד. אם נרצח בן אדם</w:t>
      </w:r>
      <w:r w:rsidR="000750B5">
        <w:rPr>
          <w:rFonts w:hint="cs"/>
          <w:rtl/>
          <w:lang w:eastAsia="he-IL"/>
        </w:rPr>
        <w:t>,</w:t>
      </w:r>
      <w:r>
        <w:rPr>
          <w:rFonts w:hint="cs"/>
          <w:rtl/>
          <w:lang w:eastAsia="he-IL"/>
        </w:rPr>
        <w:t xml:space="preserve"> כל המערכות צריכות לעמוד על הרגליים כדי לתפוס את הרוצח. היום נרצח מישהו – כאילו לא קרה כלום. </w:t>
      </w:r>
      <w:bookmarkStart w:id="24450" w:name="_ETM_Q41_756000"/>
      <w:bookmarkEnd w:id="24450"/>
      <w:r>
        <w:rPr>
          <w:rFonts w:hint="cs"/>
          <w:rtl/>
          <w:lang w:eastAsia="he-IL"/>
        </w:rPr>
        <w:t>אני שומע דיווח בבוקר בחדשות, פעם, פעמיים, ואחרי זה אפילו שוכחים ממנו.</w:t>
      </w:r>
    </w:p>
    <w:p w:rsidR="00BB59CD" w:rsidRDefault="00BB59CD" w:rsidP="00BB59CD">
      <w:pPr>
        <w:rPr>
          <w:rtl/>
          <w:lang w:eastAsia="he-IL"/>
        </w:rPr>
      </w:pPr>
    </w:p>
    <w:p w:rsidR="00BB59CD" w:rsidRDefault="00BB59CD" w:rsidP="00BB59CD">
      <w:pPr>
        <w:rPr>
          <w:rtl/>
        </w:rPr>
      </w:pPr>
      <w:bookmarkStart w:id="24451" w:name="TOR_Q42"/>
      <w:bookmarkEnd w:id="24451"/>
      <w:r>
        <w:rPr>
          <w:rFonts w:hint="cs"/>
          <w:rtl/>
          <w:lang w:eastAsia="he-IL"/>
        </w:rPr>
        <w:t xml:space="preserve">אבל אני גם </w:t>
      </w:r>
      <w:bookmarkStart w:id="24452" w:name="_ETM_Q42_165048"/>
      <w:bookmarkEnd w:id="24452"/>
      <w:r>
        <w:rPr>
          <w:rFonts w:hint="cs"/>
          <w:rtl/>
          <w:lang w:eastAsia="he-IL"/>
        </w:rPr>
        <w:t>חייב לפנות למגזר הערבי, ואני</w:t>
      </w:r>
      <w:bookmarkStart w:id="24453" w:name="_ETM_Q42_172733"/>
      <w:bookmarkEnd w:id="24453"/>
      <w:r>
        <w:rPr>
          <w:rFonts w:hint="cs"/>
          <w:rtl/>
          <w:lang w:eastAsia="he-IL"/>
        </w:rPr>
        <w:t xml:space="preserve"> אומר לכם, אפילו בעולם הפשע פעם היה כבוד</w:t>
      </w:r>
      <w:bookmarkStart w:id="24454" w:name="_ETM_Q42_175558"/>
      <w:bookmarkEnd w:id="24454"/>
      <w:r>
        <w:rPr>
          <w:rFonts w:hint="cs"/>
          <w:rtl/>
          <w:lang w:eastAsia="he-IL"/>
        </w:rPr>
        <w:t xml:space="preserve"> – לא </w:t>
      </w:r>
      <w:bookmarkStart w:id="24455" w:name="_ETM_Q42_177342"/>
      <w:bookmarkEnd w:id="24455"/>
      <w:r>
        <w:rPr>
          <w:rFonts w:hint="cs"/>
          <w:rtl/>
          <w:lang w:eastAsia="he-IL"/>
        </w:rPr>
        <w:t xml:space="preserve">פוגעים באישה, </w:t>
      </w:r>
      <w:bookmarkStart w:id="24456" w:name="_ETM_Q42_177399"/>
      <w:bookmarkEnd w:id="24456"/>
      <w:r>
        <w:rPr>
          <w:rFonts w:hint="cs"/>
          <w:rtl/>
        </w:rPr>
        <w:t xml:space="preserve">לא </w:t>
      </w:r>
      <w:bookmarkStart w:id="24457" w:name="_ETM_Q42_180480"/>
      <w:bookmarkEnd w:id="24457"/>
      <w:r>
        <w:rPr>
          <w:rFonts w:hint="cs"/>
          <w:rtl/>
        </w:rPr>
        <w:t xml:space="preserve">פוגעים </w:t>
      </w:r>
      <w:bookmarkStart w:id="24458" w:name="_ETM_Q42_180780"/>
      <w:bookmarkEnd w:id="24458"/>
      <w:r>
        <w:rPr>
          <w:rFonts w:hint="cs"/>
          <w:rtl/>
        </w:rPr>
        <w:t xml:space="preserve">בילדים. </w:t>
      </w:r>
      <w:bookmarkStart w:id="24459" w:name="_ETM_Q42_182699"/>
      <w:bookmarkEnd w:id="24459"/>
      <w:r>
        <w:rPr>
          <w:rFonts w:hint="cs"/>
          <w:rtl/>
        </w:rPr>
        <w:t xml:space="preserve">היום </w:t>
      </w:r>
      <w:bookmarkStart w:id="24460" w:name="_ETM_Q42_183000"/>
      <w:bookmarkEnd w:id="24460"/>
      <w:r>
        <w:rPr>
          <w:rFonts w:hint="cs"/>
          <w:rtl/>
        </w:rPr>
        <w:t xml:space="preserve">הכבוד </w:t>
      </w:r>
      <w:bookmarkStart w:id="24461" w:name="_ETM_Q42_183420"/>
      <w:bookmarkEnd w:id="24461"/>
      <w:r>
        <w:rPr>
          <w:rFonts w:hint="cs"/>
          <w:rtl/>
        </w:rPr>
        <w:t xml:space="preserve">הזה </w:t>
      </w:r>
      <w:bookmarkStart w:id="24462" w:name="_ETM_Q42_183629"/>
      <w:bookmarkEnd w:id="24462"/>
      <w:r>
        <w:rPr>
          <w:rFonts w:hint="cs"/>
          <w:rtl/>
        </w:rPr>
        <w:t xml:space="preserve">נעלם; </w:t>
      </w:r>
      <w:bookmarkStart w:id="24463" w:name="_ETM_Q42_185029"/>
      <w:bookmarkEnd w:id="24463"/>
      <w:r>
        <w:rPr>
          <w:rFonts w:hint="cs"/>
          <w:rtl/>
        </w:rPr>
        <w:t xml:space="preserve">הורגים </w:t>
      </w:r>
      <w:bookmarkStart w:id="24464" w:name="_ETM_Q42_185600"/>
      <w:bookmarkEnd w:id="24464"/>
      <w:r>
        <w:rPr>
          <w:rFonts w:hint="cs"/>
          <w:rtl/>
        </w:rPr>
        <w:t xml:space="preserve">נשים, </w:t>
      </w:r>
      <w:bookmarkStart w:id="24465" w:name="_ETM_Q42_186370"/>
      <w:bookmarkEnd w:id="24465"/>
      <w:r>
        <w:rPr>
          <w:rFonts w:hint="cs"/>
          <w:rtl/>
        </w:rPr>
        <w:t>רוצח</w:t>
      </w:r>
      <w:bookmarkStart w:id="24466" w:name="_ETM_Q42_182989"/>
      <w:bookmarkEnd w:id="24466"/>
      <w:r>
        <w:rPr>
          <w:rFonts w:hint="cs"/>
          <w:rtl/>
        </w:rPr>
        <w:t xml:space="preserve">ים </w:t>
      </w:r>
      <w:bookmarkStart w:id="24467" w:name="_ETM_Q42_186880"/>
      <w:bookmarkEnd w:id="24467"/>
      <w:r>
        <w:rPr>
          <w:rFonts w:hint="cs"/>
          <w:rtl/>
        </w:rPr>
        <w:t xml:space="preserve">נשים, </w:t>
      </w:r>
      <w:bookmarkStart w:id="24468" w:name="_ETM_Q42_188759"/>
      <w:bookmarkEnd w:id="24468"/>
      <w:r>
        <w:rPr>
          <w:rFonts w:hint="cs"/>
          <w:rtl/>
        </w:rPr>
        <w:t xml:space="preserve">רוצחים </w:t>
      </w:r>
      <w:bookmarkStart w:id="24469" w:name="_ETM_Q42_189210"/>
      <w:bookmarkEnd w:id="24469"/>
      <w:r>
        <w:rPr>
          <w:rFonts w:hint="cs"/>
          <w:rtl/>
        </w:rPr>
        <w:t>ילדים,</w:t>
      </w:r>
      <w:bookmarkStart w:id="24470" w:name="_ETM_Q42_187959"/>
      <w:bookmarkStart w:id="24471" w:name="_ETM_Q42_190969"/>
      <w:bookmarkStart w:id="24472" w:name="_ETM_Q42_191240"/>
      <w:bookmarkStart w:id="24473" w:name="_ETM_Q42_191420"/>
      <w:bookmarkEnd w:id="24470"/>
      <w:bookmarkEnd w:id="24471"/>
      <w:bookmarkEnd w:id="24472"/>
      <w:bookmarkEnd w:id="24473"/>
      <w:r>
        <w:rPr>
          <w:rFonts w:hint="cs"/>
          <w:rtl/>
        </w:rPr>
        <w:t xml:space="preserve"> פוגעי</w:t>
      </w:r>
      <w:bookmarkStart w:id="24474" w:name="_ETM_Q42_186529"/>
      <w:bookmarkEnd w:id="24474"/>
      <w:r>
        <w:rPr>
          <w:rFonts w:hint="cs"/>
          <w:rtl/>
        </w:rPr>
        <w:t xml:space="preserve">ם בכולם, </w:t>
      </w:r>
      <w:bookmarkStart w:id="24475" w:name="_ETM_Q42_192740"/>
      <w:bookmarkEnd w:id="24475"/>
      <w:r>
        <w:rPr>
          <w:rFonts w:hint="cs"/>
          <w:rtl/>
        </w:rPr>
        <w:t xml:space="preserve">בחפים </w:t>
      </w:r>
      <w:bookmarkStart w:id="24476" w:name="_ETM_Q42_193339"/>
      <w:bookmarkEnd w:id="24476"/>
      <w:r>
        <w:rPr>
          <w:rFonts w:hint="cs"/>
          <w:rtl/>
        </w:rPr>
        <w:t>מפשע,</w:t>
      </w:r>
      <w:bookmarkStart w:id="24477" w:name="_ETM_Q42_192199"/>
      <w:bookmarkEnd w:id="24477"/>
      <w:r>
        <w:rPr>
          <w:rFonts w:hint="cs"/>
          <w:rtl/>
        </w:rPr>
        <w:t xml:space="preserve"> </w:t>
      </w:r>
      <w:bookmarkStart w:id="24478" w:name="_ETM_Q42_194530"/>
      <w:bookmarkEnd w:id="24478"/>
      <w:r>
        <w:rPr>
          <w:rFonts w:hint="cs"/>
          <w:rtl/>
        </w:rPr>
        <w:t xml:space="preserve">עם </w:t>
      </w:r>
      <w:bookmarkStart w:id="24479" w:name="_ETM_Q42_194800"/>
      <w:bookmarkEnd w:id="24479"/>
      <w:r>
        <w:rPr>
          <w:rFonts w:hint="cs"/>
          <w:rtl/>
        </w:rPr>
        <w:t xml:space="preserve">רשימות </w:t>
      </w:r>
      <w:bookmarkStart w:id="24480" w:name="_ETM_Q42_195160"/>
      <w:bookmarkEnd w:id="24480"/>
      <w:r>
        <w:rPr>
          <w:rFonts w:hint="cs"/>
          <w:rtl/>
        </w:rPr>
        <w:t xml:space="preserve">חיסול, </w:t>
      </w:r>
      <w:bookmarkStart w:id="24481" w:name="_ETM_Q42_196300"/>
      <w:bookmarkEnd w:id="24481"/>
      <w:r>
        <w:rPr>
          <w:rFonts w:hint="cs"/>
          <w:rtl/>
        </w:rPr>
        <w:t xml:space="preserve">שזה </w:t>
      </w:r>
      <w:bookmarkStart w:id="24482" w:name="_ETM_Q42_196630"/>
      <w:bookmarkEnd w:id="24482"/>
      <w:r>
        <w:rPr>
          <w:rFonts w:hint="cs"/>
          <w:rtl/>
        </w:rPr>
        <w:t xml:space="preserve">מאותו </w:t>
      </w:r>
      <w:bookmarkStart w:id="24483" w:name="_ETM_Q42_196989"/>
      <w:bookmarkEnd w:id="24483"/>
      <w:r>
        <w:rPr>
          <w:rFonts w:hint="cs"/>
          <w:rtl/>
        </w:rPr>
        <w:t xml:space="preserve">משפחה </w:t>
      </w:r>
      <w:bookmarkStart w:id="24484" w:name="_ETM_Q42_197439"/>
      <w:bookmarkEnd w:id="24484"/>
      <w:r>
        <w:rPr>
          <w:rFonts w:hint="cs"/>
          <w:rtl/>
        </w:rPr>
        <w:t xml:space="preserve">של </w:t>
      </w:r>
      <w:bookmarkStart w:id="24485" w:name="_ETM_Q42_197619"/>
      <w:bookmarkEnd w:id="24485"/>
      <w:r>
        <w:rPr>
          <w:rFonts w:hint="cs"/>
          <w:rtl/>
        </w:rPr>
        <w:t xml:space="preserve">אותו </w:t>
      </w:r>
      <w:bookmarkStart w:id="24486" w:name="_ETM_Q42_199429"/>
      <w:bookmarkStart w:id="24487" w:name="_ETM_Q42_197339"/>
      <w:bookmarkEnd w:id="24486"/>
      <w:bookmarkEnd w:id="24487"/>
      <w:r>
        <w:rPr>
          <w:rFonts w:hint="cs"/>
          <w:rtl/>
        </w:rPr>
        <w:t xml:space="preserve">גוף </w:t>
      </w:r>
      <w:bookmarkStart w:id="24488" w:name="_ETM_Q42_200860"/>
      <w:bookmarkEnd w:id="24488"/>
      <w:r>
        <w:rPr>
          <w:rFonts w:hint="cs"/>
          <w:rtl/>
        </w:rPr>
        <w:t xml:space="preserve">ואותו </w:t>
      </w:r>
      <w:bookmarkStart w:id="24489" w:name="_ETM_Q42_201730"/>
      <w:bookmarkEnd w:id="24489"/>
      <w:r>
        <w:rPr>
          <w:rFonts w:hint="cs"/>
          <w:rtl/>
        </w:rPr>
        <w:t>ארגון.</w:t>
      </w:r>
      <w:bookmarkStart w:id="24490" w:name="_ETM_Q42_199768"/>
      <w:bookmarkEnd w:id="24490"/>
      <w:r>
        <w:rPr>
          <w:rFonts w:hint="cs"/>
          <w:rtl/>
        </w:rPr>
        <w:t xml:space="preserve"> </w:t>
      </w:r>
      <w:bookmarkStart w:id="24491" w:name="_ETM_Q42_203630"/>
      <w:bookmarkEnd w:id="24491"/>
      <w:r>
        <w:rPr>
          <w:rFonts w:hint="cs"/>
          <w:rtl/>
        </w:rPr>
        <w:t xml:space="preserve">לאיפה </w:t>
      </w:r>
      <w:bookmarkStart w:id="24492" w:name="_ETM_Q42_203989"/>
      <w:bookmarkEnd w:id="24492"/>
      <w:r>
        <w:rPr>
          <w:rFonts w:hint="cs"/>
          <w:rtl/>
        </w:rPr>
        <w:t>הגענו?</w:t>
      </w:r>
      <w:bookmarkStart w:id="24493" w:name="_ETM_Q42_206829"/>
      <w:bookmarkEnd w:id="24493"/>
    </w:p>
    <w:p w:rsidR="00BB59CD" w:rsidRDefault="00BB59CD" w:rsidP="00337201">
      <w:pPr>
        <w:rPr>
          <w:rtl/>
        </w:rPr>
      </w:pPr>
      <w:bookmarkStart w:id="24494" w:name="_ETM_Q42_209304"/>
      <w:bookmarkStart w:id="24495" w:name="_ETM_Q42_209384"/>
      <w:bookmarkEnd w:id="24494"/>
      <w:bookmarkEnd w:id="24495"/>
    </w:p>
    <w:p w:rsidR="00BB59CD" w:rsidRDefault="00BB59CD" w:rsidP="00337201">
      <w:pPr>
        <w:rPr>
          <w:rtl/>
        </w:rPr>
      </w:pPr>
      <w:bookmarkStart w:id="24496" w:name="_ETM_Q42_209496"/>
      <w:bookmarkStart w:id="24497" w:name="_ETM_Q42_209556"/>
      <w:bookmarkEnd w:id="24496"/>
      <w:bookmarkEnd w:id="24497"/>
      <w:r>
        <w:rPr>
          <w:rFonts w:hint="cs"/>
          <w:rtl/>
        </w:rPr>
        <w:t xml:space="preserve">אני </w:t>
      </w:r>
      <w:bookmarkStart w:id="24498" w:name="_ETM_Q42_207039"/>
      <w:bookmarkEnd w:id="24498"/>
      <w:r>
        <w:rPr>
          <w:rFonts w:hint="cs"/>
          <w:rtl/>
        </w:rPr>
        <w:t xml:space="preserve">יודע </w:t>
      </w:r>
      <w:bookmarkStart w:id="24499" w:name="_ETM_Q42_207520"/>
      <w:bookmarkEnd w:id="24499"/>
      <w:r>
        <w:rPr>
          <w:rFonts w:hint="cs"/>
          <w:rtl/>
        </w:rPr>
        <w:t xml:space="preserve">ואתם </w:t>
      </w:r>
      <w:bookmarkStart w:id="24500" w:name="_ETM_Q42_207880"/>
      <w:bookmarkEnd w:id="24500"/>
      <w:r>
        <w:rPr>
          <w:rFonts w:hint="cs"/>
          <w:rtl/>
        </w:rPr>
        <w:t xml:space="preserve">יודעים </w:t>
      </w:r>
      <w:bookmarkStart w:id="24501" w:name="_ETM_Q42_208180"/>
      <w:bookmarkEnd w:id="24501"/>
      <w:r>
        <w:rPr>
          <w:rFonts w:hint="cs"/>
          <w:rtl/>
        </w:rPr>
        <w:t xml:space="preserve">שהממשלה </w:t>
      </w:r>
      <w:bookmarkStart w:id="24502" w:name="_ETM_Q42_208630"/>
      <w:bookmarkEnd w:id="24502"/>
      <w:r>
        <w:rPr>
          <w:rFonts w:hint="cs"/>
          <w:rtl/>
        </w:rPr>
        <w:t xml:space="preserve">לא </w:t>
      </w:r>
      <w:bookmarkStart w:id="24503" w:name="_ETM_Q42_208779"/>
      <w:bookmarkEnd w:id="24503"/>
      <w:r>
        <w:rPr>
          <w:rFonts w:hint="cs"/>
          <w:rtl/>
        </w:rPr>
        <w:t xml:space="preserve">עושה </w:t>
      </w:r>
      <w:bookmarkStart w:id="24504" w:name="_ETM_Q42_209050"/>
      <w:bookmarkEnd w:id="24504"/>
      <w:r>
        <w:rPr>
          <w:rFonts w:hint="cs"/>
          <w:rtl/>
        </w:rPr>
        <w:t>כלום,</w:t>
      </w:r>
      <w:bookmarkStart w:id="24505" w:name="_ETM_Q42_206749"/>
      <w:bookmarkEnd w:id="24505"/>
      <w:r>
        <w:rPr>
          <w:rFonts w:hint="cs"/>
          <w:rtl/>
        </w:rPr>
        <w:t xml:space="preserve"> </w:t>
      </w:r>
      <w:bookmarkStart w:id="24506" w:name="_ETM_Q42_210320"/>
      <w:bookmarkEnd w:id="24506"/>
      <w:r>
        <w:rPr>
          <w:rFonts w:hint="cs"/>
          <w:rtl/>
        </w:rPr>
        <w:t xml:space="preserve">אבל </w:t>
      </w:r>
      <w:bookmarkStart w:id="24507" w:name="_ETM_Q42_210679"/>
      <w:bookmarkEnd w:id="24507"/>
      <w:r>
        <w:rPr>
          <w:rFonts w:hint="cs"/>
          <w:rtl/>
        </w:rPr>
        <w:t xml:space="preserve">המגזר </w:t>
      </w:r>
      <w:bookmarkStart w:id="24508" w:name="_ETM_Q42_211099"/>
      <w:bookmarkEnd w:id="24508"/>
      <w:r>
        <w:rPr>
          <w:rFonts w:hint="cs"/>
          <w:rtl/>
        </w:rPr>
        <w:t xml:space="preserve">הערבי </w:t>
      </w:r>
      <w:bookmarkStart w:id="24509" w:name="_ETM_Q42_211429"/>
      <w:bookmarkEnd w:id="24509"/>
      <w:r>
        <w:rPr>
          <w:rFonts w:hint="cs"/>
          <w:rtl/>
        </w:rPr>
        <w:t xml:space="preserve">צריך </w:t>
      </w:r>
      <w:bookmarkStart w:id="24510" w:name="_ETM_Q42_211699"/>
      <w:bookmarkEnd w:id="24510"/>
      <w:r>
        <w:rPr>
          <w:rFonts w:hint="cs"/>
          <w:rtl/>
        </w:rPr>
        <w:t xml:space="preserve">לעשות </w:t>
      </w:r>
      <w:bookmarkStart w:id="24511" w:name="_ETM_Q42_212030"/>
      <w:bookmarkEnd w:id="24511"/>
      <w:r>
        <w:rPr>
          <w:rFonts w:hint="cs"/>
          <w:rtl/>
        </w:rPr>
        <w:t>מ</w:t>
      </w:r>
      <w:bookmarkStart w:id="24512" w:name="_ETM_Q42_212210"/>
      <w:bookmarkEnd w:id="24512"/>
      <w:r>
        <w:rPr>
          <w:rFonts w:hint="cs"/>
          <w:rtl/>
        </w:rPr>
        <w:t>שהו</w:t>
      </w:r>
      <w:bookmarkStart w:id="24513" w:name="_ETM_Q42_209878"/>
      <w:bookmarkEnd w:id="24513"/>
      <w:r>
        <w:rPr>
          <w:rFonts w:hint="cs"/>
          <w:rtl/>
        </w:rPr>
        <w:t xml:space="preserve">; </w:t>
      </w:r>
      <w:bookmarkStart w:id="24514" w:name="_ETM_Q42_213220"/>
      <w:bookmarkEnd w:id="24514"/>
      <w:r>
        <w:rPr>
          <w:rFonts w:hint="cs"/>
          <w:rtl/>
        </w:rPr>
        <w:t xml:space="preserve">אנשים </w:t>
      </w:r>
      <w:bookmarkStart w:id="24515" w:name="_ETM_Q42_213610"/>
      <w:bookmarkEnd w:id="24515"/>
      <w:r>
        <w:rPr>
          <w:rFonts w:hint="cs"/>
          <w:rtl/>
        </w:rPr>
        <w:t xml:space="preserve">צריכים </w:t>
      </w:r>
      <w:bookmarkStart w:id="24516" w:name="_ETM_Q42_213909"/>
      <w:bookmarkEnd w:id="24516"/>
      <w:r>
        <w:rPr>
          <w:rFonts w:hint="cs"/>
          <w:rtl/>
        </w:rPr>
        <w:t xml:space="preserve">לעצור, </w:t>
      </w:r>
      <w:bookmarkStart w:id="24517" w:name="_ETM_Q42_214330"/>
      <w:bookmarkEnd w:id="24517"/>
      <w:r>
        <w:rPr>
          <w:rFonts w:hint="cs"/>
          <w:rtl/>
        </w:rPr>
        <w:t xml:space="preserve">לחשוב. </w:t>
      </w:r>
      <w:bookmarkStart w:id="24518" w:name="_ETM_Q42_216250"/>
      <w:bookmarkEnd w:id="24518"/>
      <w:r>
        <w:rPr>
          <w:rFonts w:hint="cs"/>
          <w:rtl/>
        </w:rPr>
        <w:t xml:space="preserve">עד כאן. </w:t>
      </w:r>
      <w:bookmarkStart w:id="24519" w:name="_ETM_Q42_218340"/>
      <w:bookmarkEnd w:id="24519"/>
      <w:r>
        <w:rPr>
          <w:rFonts w:hint="cs"/>
          <w:rtl/>
        </w:rPr>
        <w:t xml:space="preserve">מספיק </w:t>
      </w:r>
      <w:bookmarkStart w:id="24520" w:name="_ETM_Q42_219030"/>
      <w:bookmarkEnd w:id="24520"/>
      <w:r>
        <w:rPr>
          <w:rFonts w:hint="cs"/>
          <w:rtl/>
        </w:rPr>
        <w:t xml:space="preserve">עם </w:t>
      </w:r>
      <w:bookmarkStart w:id="24521" w:name="_ETM_Q42_219210"/>
      <w:bookmarkEnd w:id="24521"/>
      <w:r>
        <w:rPr>
          <w:rFonts w:hint="cs"/>
          <w:rtl/>
        </w:rPr>
        <w:t xml:space="preserve">הרציחות </w:t>
      </w:r>
      <w:bookmarkStart w:id="24522" w:name="_ETM_Q42_219810"/>
      <w:bookmarkEnd w:id="24522"/>
      <w:r>
        <w:rPr>
          <w:rFonts w:hint="cs"/>
          <w:rtl/>
        </w:rPr>
        <w:t xml:space="preserve">האלה. </w:t>
      </w:r>
      <w:bookmarkStart w:id="24523" w:name="_ETM_Q42_221710"/>
      <w:bookmarkEnd w:id="24523"/>
      <w:r>
        <w:rPr>
          <w:rFonts w:hint="cs"/>
          <w:rtl/>
        </w:rPr>
        <w:t xml:space="preserve">מספיק </w:t>
      </w:r>
      <w:bookmarkStart w:id="24524" w:name="_ETM_Q42_222159"/>
      <w:bookmarkEnd w:id="24524"/>
      <w:r>
        <w:rPr>
          <w:rFonts w:hint="cs"/>
          <w:rtl/>
        </w:rPr>
        <w:t xml:space="preserve">עם </w:t>
      </w:r>
      <w:bookmarkStart w:id="24525" w:name="_ETM_Q42_222249"/>
      <w:bookmarkEnd w:id="24525"/>
      <w:r>
        <w:rPr>
          <w:rFonts w:hint="cs"/>
          <w:rtl/>
        </w:rPr>
        <w:t>יתומ</w:t>
      </w:r>
      <w:bookmarkStart w:id="24526" w:name="_ETM_Q42_219528"/>
      <w:bookmarkEnd w:id="24526"/>
      <w:r>
        <w:rPr>
          <w:rFonts w:hint="cs"/>
          <w:rtl/>
        </w:rPr>
        <w:t xml:space="preserve">ים, </w:t>
      </w:r>
      <w:bookmarkStart w:id="24527" w:name="_ETM_Q42_223460"/>
      <w:bookmarkEnd w:id="24527"/>
      <w:r>
        <w:rPr>
          <w:rFonts w:hint="cs"/>
          <w:rtl/>
        </w:rPr>
        <w:t xml:space="preserve">עם </w:t>
      </w:r>
      <w:bookmarkStart w:id="24528" w:name="_ETM_Q42_223610"/>
      <w:bookmarkEnd w:id="24528"/>
      <w:r>
        <w:rPr>
          <w:rFonts w:hint="cs"/>
          <w:rtl/>
        </w:rPr>
        <w:t xml:space="preserve">אלמנות, </w:t>
      </w:r>
      <w:bookmarkStart w:id="24529" w:name="_ETM_Q42_224789"/>
      <w:bookmarkEnd w:id="24529"/>
      <w:r>
        <w:rPr>
          <w:rFonts w:hint="cs"/>
          <w:rtl/>
        </w:rPr>
        <w:t>ע</w:t>
      </w:r>
      <w:bookmarkStart w:id="24530" w:name="_ETM_Q42_222508"/>
      <w:bookmarkEnd w:id="24530"/>
      <w:r>
        <w:rPr>
          <w:rFonts w:hint="cs"/>
          <w:rtl/>
        </w:rPr>
        <w:t xml:space="preserve">ם </w:t>
      </w:r>
      <w:bookmarkStart w:id="24531" w:name="_ETM_Q42_224940"/>
      <w:bookmarkEnd w:id="24531"/>
      <w:r>
        <w:rPr>
          <w:rFonts w:hint="cs"/>
          <w:rtl/>
        </w:rPr>
        <w:t xml:space="preserve">אימא </w:t>
      </w:r>
      <w:bookmarkStart w:id="24532" w:name="_ETM_Q42_225179"/>
      <w:bookmarkEnd w:id="24532"/>
      <w:r>
        <w:rPr>
          <w:rFonts w:hint="cs"/>
          <w:rtl/>
        </w:rPr>
        <w:t>ש</w:t>
      </w:r>
      <w:bookmarkStart w:id="24533" w:name="_ETM_Q42_225299"/>
      <w:bookmarkEnd w:id="24533"/>
      <w:r>
        <w:rPr>
          <w:rFonts w:hint="cs"/>
          <w:rtl/>
        </w:rPr>
        <w:t xml:space="preserve">בוכה, </w:t>
      </w:r>
      <w:bookmarkStart w:id="24534" w:name="_ETM_Q42_226500"/>
      <w:bookmarkEnd w:id="24534"/>
      <w:r>
        <w:rPr>
          <w:rFonts w:hint="cs"/>
          <w:rtl/>
        </w:rPr>
        <w:t>ע</w:t>
      </w:r>
      <w:bookmarkStart w:id="24535" w:name="_ETM_Q42_222708"/>
      <w:bookmarkEnd w:id="24535"/>
      <w:r>
        <w:rPr>
          <w:rFonts w:hint="cs"/>
          <w:rtl/>
        </w:rPr>
        <w:t xml:space="preserve">ם </w:t>
      </w:r>
      <w:bookmarkStart w:id="24536" w:name="_ETM_Q42_226649"/>
      <w:bookmarkStart w:id="24537" w:name="_ETM_Q42_226800"/>
      <w:bookmarkEnd w:id="24536"/>
      <w:bookmarkEnd w:id="24537"/>
      <w:r>
        <w:rPr>
          <w:rFonts w:hint="cs"/>
          <w:rtl/>
        </w:rPr>
        <w:t>אבא ש</w:t>
      </w:r>
      <w:bookmarkStart w:id="24538" w:name="_ETM_Q42_227039"/>
      <w:bookmarkEnd w:id="24538"/>
      <w:r>
        <w:rPr>
          <w:rFonts w:hint="cs"/>
          <w:rtl/>
        </w:rPr>
        <w:t>בוכה,</w:t>
      </w:r>
      <w:bookmarkStart w:id="24539" w:name="_ETM_Q42_223098"/>
      <w:bookmarkEnd w:id="24539"/>
      <w:r>
        <w:rPr>
          <w:rFonts w:hint="cs"/>
          <w:rtl/>
        </w:rPr>
        <w:t xml:space="preserve"> עם אחות. </w:t>
      </w:r>
      <w:bookmarkStart w:id="24540" w:name="_ETM_Q42_227579"/>
      <w:bookmarkStart w:id="24541" w:name="_ETM_Q42_229000"/>
      <w:bookmarkEnd w:id="24540"/>
      <w:bookmarkEnd w:id="24541"/>
      <w:r>
        <w:rPr>
          <w:rFonts w:hint="cs"/>
          <w:rtl/>
        </w:rPr>
        <w:t xml:space="preserve">תפסיקו </w:t>
      </w:r>
      <w:bookmarkStart w:id="24542" w:name="_ETM_Q42_229780"/>
      <w:bookmarkEnd w:id="24542"/>
      <w:r>
        <w:rPr>
          <w:rFonts w:hint="cs"/>
          <w:rtl/>
        </w:rPr>
        <w:t xml:space="preserve">כבר </w:t>
      </w:r>
      <w:bookmarkStart w:id="24543" w:name="_ETM_Q42_230929"/>
      <w:bookmarkStart w:id="24544" w:name="_ETM_Q42_226738"/>
      <w:bookmarkEnd w:id="24543"/>
      <w:bookmarkEnd w:id="24544"/>
      <w:r>
        <w:rPr>
          <w:rFonts w:hint="cs"/>
          <w:rtl/>
        </w:rPr>
        <w:t xml:space="preserve">עם </w:t>
      </w:r>
      <w:bookmarkStart w:id="24545" w:name="_ETM_Q42_231100"/>
      <w:bookmarkEnd w:id="24545"/>
      <w:r>
        <w:rPr>
          <w:rFonts w:hint="cs"/>
          <w:rtl/>
        </w:rPr>
        <w:t xml:space="preserve">כל </w:t>
      </w:r>
      <w:bookmarkStart w:id="24546" w:name="_ETM_Q42_231190"/>
      <w:bookmarkEnd w:id="24546"/>
      <w:r>
        <w:rPr>
          <w:rFonts w:hint="cs"/>
          <w:rtl/>
        </w:rPr>
        <w:t xml:space="preserve">הרציחות </w:t>
      </w:r>
      <w:bookmarkStart w:id="24547" w:name="_ETM_Q42_231699"/>
      <w:bookmarkEnd w:id="24547"/>
      <w:r>
        <w:rPr>
          <w:rFonts w:hint="cs"/>
          <w:rtl/>
        </w:rPr>
        <w:t xml:space="preserve">האלה. </w:t>
      </w:r>
      <w:bookmarkStart w:id="24548" w:name="_ETM_Q42_233329"/>
      <w:bookmarkEnd w:id="24548"/>
      <w:r>
        <w:rPr>
          <w:rFonts w:hint="cs"/>
          <w:rtl/>
        </w:rPr>
        <w:t xml:space="preserve">זה </w:t>
      </w:r>
      <w:bookmarkStart w:id="24549" w:name="_ETM_Q42_233539"/>
      <w:bookmarkEnd w:id="24549"/>
      <w:r>
        <w:rPr>
          <w:rFonts w:hint="cs"/>
          <w:rtl/>
        </w:rPr>
        <w:t xml:space="preserve">לא </w:t>
      </w:r>
      <w:bookmarkStart w:id="24550" w:name="_ETM_Q42_233629"/>
      <w:bookmarkEnd w:id="24550"/>
      <w:r>
        <w:rPr>
          <w:rFonts w:hint="cs"/>
          <w:rtl/>
        </w:rPr>
        <w:t xml:space="preserve">יביא </w:t>
      </w:r>
      <w:bookmarkStart w:id="24551" w:name="_ETM_Q42_233930"/>
      <w:bookmarkEnd w:id="24551"/>
      <w:r>
        <w:rPr>
          <w:rFonts w:hint="cs"/>
          <w:rtl/>
        </w:rPr>
        <w:t xml:space="preserve">כלום. </w:t>
      </w:r>
      <w:bookmarkStart w:id="24552" w:name="_ETM_Q42_235840"/>
      <w:bookmarkEnd w:id="24552"/>
      <w:r>
        <w:rPr>
          <w:rFonts w:hint="cs"/>
          <w:rtl/>
        </w:rPr>
        <w:t xml:space="preserve">זה </w:t>
      </w:r>
      <w:bookmarkStart w:id="24553" w:name="_ETM_Q42_236050"/>
      <w:bookmarkEnd w:id="24553"/>
      <w:r>
        <w:rPr>
          <w:rFonts w:hint="cs"/>
          <w:rtl/>
        </w:rPr>
        <w:t xml:space="preserve">לא </w:t>
      </w:r>
      <w:bookmarkStart w:id="24554" w:name="_ETM_Q42_236170"/>
      <w:bookmarkEnd w:id="24554"/>
      <w:r>
        <w:rPr>
          <w:rFonts w:hint="cs"/>
          <w:rtl/>
        </w:rPr>
        <w:t xml:space="preserve">יביא </w:t>
      </w:r>
      <w:bookmarkStart w:id="24555" w:name="_ETM_Q42_236440"/>
      <w:bookmarkEnd w:id="24555"/>
      <w:r>
        <w:rPr>
          <w:rFonts w:hint="cs"/>
          <w:rtl/>
        </w:rPr>
        <w:t xml:space="preserve">כלום. </w:t>
      </w:r>
      <w:bookmarkStart w:id="24556" w:name="_ETM_Q42_237890"/>
      <w:bookmarkEnd w:id="24556"/>
      <w:r>
        <w:rPr>
          <w:rFonts w:hint="cs"/>
          <w:rtl/>
        </w:rPr>
        <w:t>הכו</w:t>
      </w:r>
      <w:bookmarkStart w:id="24557" w:name="_ETM_Q42_234358"/>
      <w:bookmarkEnd w:id="24557"/>
      <w:r>
        <w:rPr>
          <w:rFonts w:hint="cs"/>
          <w:rtl/>
        </w:rPr>
        <w:t xml:space="preserve">ל </w:t>
      </w:r>
      <w:bookmarkStart w:id="24558" w:name="_ETM_Q42_238340"/>
      <w:bookmarkEnd w:id="24558"/>
      <w:r>
        <w:rPr>
          <w:rFonts w:hint="cs"/>
          <w:rtl/>
        </w:rPr>
        <w:t xml:space="preserve">עניין </w:t>
      </w:r>
      <w:bookmarkStart w:id="24559" w:name="_ETM_Q42_238610"/>
      <w:bookmarkEnd w:id="24559"/>
      <w:r>
        <w:rPr>
          <w:rFonts w:hint="cs"/>
          <w:rtl/>
        </w:rPr>
        <w:t xml:space="preserve">של </w:t>
      </w:r>
      <w:bookmarkStart w:id="24560" w:name="_ETM_Q42_238760"/>
      <w:bookmarkEnd w:id="24560"/>
      <w:r>
        <w:rPr>
          <w:rFonts w:hint="cs"/>
          <w:rtl/>
        </w:rPr>
        <w:t xml:space="preserve">כסף </w:t>
      </w:r>
      <w:bookmarkStart w:id="24561" w:name="_ETM_Q42_239120"/>
      <w:bookmarkEnd w:id="24561"/>
      <w:r>
        <w:rPr>
          <w:rFonts w:hint="cs"/>
          <w:rtl/>
        </w:rPr>
        <w:t xml:space="preserve">עכשיו. </w:t>
      </w:r>
      <w:bookmarkStart w:id="24562" w:name="_ETM_Q42_241360"/>
      <w:bookmarkEnd w:id="24562"/>
      <w:r>
        <w:rPr>
          <w:rFonts w:hint="cs"/>
          <w:rtl/>
        </w:rPr>
        <w:t xml:space="preserve">הממשלה </w:t>
      </w:r>
      <w:bookmarkStart w:id="24563" w:name="_ETM_Q42_241930"/>
      <w:bookmarkEnd w:id="24563"/>
      <w:r>
        <w:rPr>
          <w:rFonts w:hint="cs"/>
          <w:rtl/>
        </w:rPr>
        <w:t xml:space="preserve">לא </w:t>
      </w:r>
      <w:bookmarkStart w:id="24564" w:name="_ETM_Q42_242080"/>
      <w:bookmarkEnd w:id="24564"/>
      <w:r>
        <w:rPr>
          <w:rFonts w:hint="cs"/>
          <w:rtl/>
        </w:rPr>
        <w:t xml:space="preserve">עושה </w:t>
      </w:r>
      <w:bookmarkStart w:id="24565" w:name="_ETM_Q42_242350"/>
      <w:bookmarkEnd w:id="24565"/>
      <w:r>
        <w:rPr>
          <w:rFonts w:hint="cs"/>
          <w:rtl/>
        </w:rPr>
        <w:t>כלום,</w:t>
      </w:r>
      <w:bookmarkStart w:id="24566" w:name="_ETM_Q42_240258"/>
      <w:bookmarkEnd w:id="24566"/>
      <w:r>
        <w:rPr>
          <w:rFonts w:hint="cs"/>
          <w:rtl/>
        </w:rPr>
        <w:t xml:space="preserve"> </w:t>
      </w:r>
      <w:bookmarkStart w:id="24567" w:name="_ETM_Q42_242620"/>
      <w:bookmarkStart w:id="24568" w:name="_ETM_Q42_240768"/>
      <w:bookmarkEnd w:id="24567"/>
      <w:bookmarkEnd w:id="24568"/>
      <w:r>
        <w:rPr>
          <w:rFonts w:hint="cs"/>
          <w:rtl/>
        </w:rPr>
        <w:t xml:space="preserve">אני </w:t>
      </w:r>
      <w:bookmarkStart w:id="24569" w:name="_ETM_Q42_242800"/>
      <w:bookmarkEnd w:id="24569"/>
      <w:r>
        <w:rPr>
          <w:rFonts w:hint="cs"/>
          <w:rtl/>
        </w:rPr>
        <w:t xml:space="preserve">עוד </w:t>
      </w:r>
      <w:bookmarkStart w:id="24570" w:name="_ETM_Q42_242950"/>
      <w:bookmarkEnd w:id="24570"/>
      <w:r>
        <w:rPr>
          <w:rFonts w:hint="cs"/>
          <w:rtl/>
        </w:rPr>
        <w:t xml:space="preserve">פעם </w:t>
      </w:r>
      <w:bookmarkStart w:id="24571" w:name="_ETM_Q42_243250"/>
      <w:bookmarkEnd w:id="24571"/>
      <w:r>
        <w:rPr>
          <w:rFonts w:hint="cs"/>
          <w:rtl/>
        </w:rPr>
        <w:t xml:space="preserve">אומר, </w:t>
      </w:r>
      <w:bookmarkStart w:id="24572" w:name="_ETM_Q42_244209"/>
      <w:bookmarkEnd w:id="24572"/>
      <w:r>
        <w:rPr>
          <w:rFonts w:hint="cs"/>
          <w:rtl/>
        </w:rPr>
        <w:t xml:space="preserve">ולא </w:t>
      </w:r>
      <w:bookmarkStart w:id="24573" w:name="_ETM_Q42_244479"/>
      <w:bookmarkEnd w:id="24573"/>
      <w:r>
        <w:rPr>
          <w:rFonts w:hint="cs"/>
          <w:rtl/>
        </w:rPr>
        <w:t xml:space="preserve">מעניין </w:t>
      </w:r>
      <w:bookmarkStart w:id="24574" w:name="_ETM_Q42_244959"/>
      <w:bookmarkEnd w:id="24574"/>
      <w:r>
        <w:rPr>
          <w:rFonts w:hint="cs"/>
          <w:rtl/>
        </w:rPr>
        <w:t xml:space="preserve">אותה </w:t>
      </w:r>
      <w:bookmarkStart w:id="24575" w:name="_ETM_Q42_245170"/>
      <w:bookmarkEnd w:id="24575"/>
      <w:r>
        <w:rPr>
          <w:rFonts w:hint="cs"/>
          <w:rtl/>
        </w:rPr>
        <w:t xml:space="preserve">כמה </w:t>
      </w:r>
      <w:bookmarkStart w:id="24576" w:name="_ETM_Q42_245439"/>
      <w:bookmarkEnd w:id="24576"/>
      <w:r>
        <w:rPr>
          <w:rFonts w:hint="cs"/>
          <w:rtl/>
        </w:rPr>
        <w:t xml:space="preserve">יהיו, </w:t>
      </w:r>
      <w:bookmarkStart w:id="24577" w:name="_ETM_Q42_248360"/>
      <w:bookmarkEnd w:id="24577"/>
      <w:r>
        <w:rPr>
          <w:rFonts w:hint="cs"/>
          <w:rtl/>
        </w:rPr>
        <w:t xml:space="preserve">אבל </w:t>
      </w:r>
      <w:bookmarkStart w:id="24578" w:name="_ETM_Q42_250110"/>
      <w:bookmarkStart w:id="24579" w:name="_ETM_Q42_250290"/>
      <w:bookmarkStart w:id="24580" w:name="_ETM_Q42_246379"/>
      <w:bookmarkEnd w:id="24578"/>
      <w:bookmarkEnd w:id="24579"/>
      <w:bookmarkEnd w:id="24580"/>
      <w:r>
        <w:rPr>
          <w:rFonts w:hint="cs"/>
          <w:rtl/>
        </w:rPr>
        <w:t xml:space="preserve">צריך </w:t>
      </w:r>
      <w:bookmarkStart w:id="24581" w:name="_ETM_Q42_247537"/>
      <w:bookmarkStart w:id="24582" w:name="_ETM_Q42_247984"/>
      <w:bookmarkEnd w:id="24581"/>
      <w:bookmarkEnd w:id="24582"/>
      <w:r>
        <w:rPr>
          <w:rFonts w:hint="cs"/>
          <w:rtl/>
        </w:rPr>
        <w:t xml:space="preserve">גם </w:t>
      </w:r>
      <w:bookmarkStart w:id="24583" w:name="_ETM_Q42_250860"/>
      <w:bookmarkStart w:id="24584" w:name="_ETM_Q42_252120"/>
      <w:bookmarkEnd w:id="24583"/>
      <w:bookmarkEnd w:id="24584"/>
      <w:r>
        <w:rPr>
          <w:rFonts w:hint="cs"/>
          <w:rtl/>
        </w:rPr>
        <w:t xml:space="preserve">לעצור ולהגיד </w:t>
      </w:r>
      <w:bookmarkStart w:id="24585" w:name="_ETM_Q42_252720"/>
      <w:bookmarkEnd w:id="24585"/>
      <w:r>
        <w:rPr>
          <w:rFonts w:hint="cs"/>
          <w:rtl/>
        </w:rPr>
        <w:t xml:space="preserve">מה </w:t>
      </w:r>
      <w:bookmarkStart w:id="24586" w:name="_ETM_Q42_251849"/>
      <w:bookmarkEnd w:id="24586"/>
      <w:r>
        <w:rPr>
          <w:rFonts w:hint="cs"/>
          <w:rtl/>
        </w:rPr>
        <w:t xml:space="preserve">המגזר </w:t>
      </w:r>
      <w:bookmarkStart w:id="24587" w:name="_ETM_Q42_254540"/>
      <w:bookmarkEnd w:id="24587"/>
      <w:r>
        <w:rPr>
          <w:rFonts w:hint="cs"/>
          <w:rtl/>
        </w:rPr>
        <w:t xml:space="preserve">הערבי </w:t>
      </w:r>
      <w:bookmarkStart w:id="24588" w:name="_ETM_Q42_254870"/>
      <w:bookmarkEnd w:id="24588"/>
      <w:r>
        <w:rPr>
          <w:rFonts w:hint="cs"/>
          <w:rtl/>
        </w:rPr>
        <w:t xml:space="preserve">עושה </w:t>
      </w:r>
      <w:bookmarkStart w:id="24589" w:name="_ETM_Q42_255170"/>
      <w:bookmarkEnd w:id="24589"/>
      <w:r>
        <w:rPr>
          <w:rFonts w:hint="cs"/>
          <w:rtl/>
        </w:rPr>
        <w:t>ל</w:t>
      </w:r>
      <w:bookmarkStart w:id="24590" w:name="_ETM_Q42_255260"/>
      <w:bookmarkEnd w:id="24590"/>
      <w:r>
        <w:rPr>
          <w:rFonts w:hint="cs"/>
          <w:rtl/>
        </w:rPr>
        <w:t>מען</w:t>
      </w:r>
      <w:bookmarkStart w:id="24591" w:name="_ETM_Q42_252679"/>
      <w:bookmarkEnd w:id="24591"/>
      <w:r>
        <w:rPr>
          <w:rFonts w:hint="cs"/>
          <w:rtl/>
        </w:rPr>
        <w:t xml:space="preserve"> </w:t>
      </w:r>
      <w:bookmarkStart w:id="24592" w:name="_ETM_Q42_255500"/>
      <w:bookmarkStart w:id="24593" w:name="_ETM_Q42_255920"/>
      <w:bookmarkStart w:id="24594" w:name="_ETM_Q42_256160"/>
      <w:bookmarkEnd w:id="24592"/>
      <w:bookmarkEnd w:id="24593"/>
      <w:bookmarkEnd w:id="24594"/>
      <w:r>
        <w:rPr>
          <w:rFonts w:hint="cs"/>
          <w:rtl/>
        </w:rPr>
        <w:t xml:space="preserve">עצירת כל </w:t>
      </w:r>
      <w:bookmarkStart w:id="24595" w:name="_ETM_Q42_256400"/>
      <w:bookmarkEnd w:id="24595"/>
      <w:r>
        <w:rPr>
          <w:rFonts w:hint="cs"/>
          <w:rtl/>
        </w:rPr>
        <w:t xml:space="preserve">הרציחות </w:t>
      </w:r>
      <w:bookmarkStart w:id="24596" w:name="_ETM_Q42_257509"/>
      <w:bookmarkEnd w:id="24596"/>
      <w:r>
        <w:rPr>
          <w:rFonts w:hint="cs"/>
          <w:rtl/>
        </w:rPr>
        <w:t xml:space="preserve">האלה </w:t>
      </w:r>
      <w:bookmarkStart w:id="24597" w:name="_ETM_Q42_258409"/>
      <w:bookmarkEnd w:id="24597"/>
      <w:r>
        <w:rPr>
          <w:rFonts w:hint="cs"/>
          <w:rtl/>
        </w:rPr>
        <w:t>ו</w:t>
      </w:r>
      <w:bookmarkStart w:id="24598" w:name="_ETM_Q42_255489"/>
      <w:bookmarkEnd w:id="24598"/>
      <w:r>
        <w:rPr>
          <w:rFonts w:hint="cs"/>
          <w:rtl/>
        </w:rPr>
        <w:t xml:space="preserve">כל </w:t>
      </w:r>
      <w:bookmarkStart w:id="24599" w:name="_ETM_Q42_258740"/>
      <w:bookmarkEnd w:id="24599"/>
      <w:r>
        <w:rPr>
          <w:rFonts w:hint="cs"/>
          <w:rtl/>
        </w:rPr>
        <w:t xml:space="preserve">הפשע </w:t>
      </w:r>
      <w:bookmarkStart w:id="24600" w:name="_ETM_Q42_259490"/>
      <w:bookmarkEnd w:id="24600"/>
      <w:r>
        <w:rPr>
          <w:rFonts w:hint="cs"/>
          <w:rtl/>
        </w:rPr>
        <w:t xml:space="preserve">הזה </w:t>
      </w:r>
      <w:bookmarkStart w:id="24601" w:name="_ETM_Q42_260200"/>
      <w:bookmarkEnd w:id="24601"/>
      <w:r>
        <w:rPr>
          <w:rFonts w:hint="cs"/>
          <w:rtl/>
        </w:rPr>
        <w:t xml:space="preserve">וכל </w:t>
      </w:r>
      <w:bookmarkStart w:id="24602" w:name="_ETM_Q42_260980"/>
      <w:bookmarkStart w:id="24603" w:name="_ETM_Q42_256948"/>
      <w:bookmarkEnd w:id="24602"/>
      <w:bookmarkEnd w:id="24603"/>
      <w:r>
        <w:rPr>
          <w:rFonts w:hint="cs"/>
          <w:rtl/>
        </w:rPr>
        <w:t xml:space="preserve">דמי החסות </w:t>
      </w:r>
      <w:bookmarkStart w:id="24604" w:name="_ETM_Q42_261310"/>
      <w:bookmarkEnd w:id="24604"/>
      <w:r>
        <w:rPr>
          <w:rFonts w:hint="cs"/>
          <w:rtl/>
        </w:rPr>
        <w:t xml:space="preserve">האלה </w:t>
      </w:r>
      <w:bookmarkStart w:id="24605" w:name="_ETM_Q42_261580"/>
      <w:bookmarkEnd w:id="24605"/>
      <w:r>
        <w:rPr>
          <w:rFonts w:hint="cs"/>
          <w:rtl/>
        </w:rPr>
        <w:t>ש</w:t>
      </w:r>
      <w:bookmarkStart w:id="24606" w:name="_ETM_Q42_262180"/>
      <w:bookmarkEnd w:id="24606"/>
      <w:r>
        <w:rPr>
          <w:rFonts w:hint="cs"/>
          <w:rtl/>
        </w:rPr>
        <w:t xml:space="preserve">רוצים </w:t>
      </w:r>
      <w:bookmarkStart w:id="24607" w:name="_ETM_Q42_262600"/>
      <w:bookmarkEnd w:id="24607"/>
      <w:r>
        <w:rPr>
          <w:rFonts w:hint="cs"/>
          <w:rtl/>
        </w:rPr>
        <w:t>אותם.</w:t>
      </w:r>
      <w:bookmarkStart w:id="24608" w:name="_ETM_Q42_258378"/>
      <w:bookmarkEnd w:id="24608"/>
      <w:r>
        <w:rPr>
          <w:rFonts w:hint="cs"/>
          <w:rtl/>
        </w:rPr>
        <w:t xml:space="preserve"> </w:t>
      </w:r>
      <w:bookmarkStart w:id="24609" w:name="_ETM_Q42_263550"/>
      <w:bookmarkEnd w:id="24609"/>
      <w:r>
        <w:rPr>
          <w:rFonts w:hint="cs"/>
          <w:rtl/>
        </w:rPr>
        <w:t xml:space="preserve">הכול </w:t>
      </w:r>
      <w:bookmarkStart w:id="24610" w:name="_ETM_Q42_264000"/>
      <w:bookmarkEnd w:id="24610"/>
      <w:r>
        <w:rPr>
          <w:rFonts w:hint="cs"/>
          <w:rtl/>
        </w:rPr>
        <w:t xml:space="preserve">כסף </w:t>
      </w:r>
      <w:bookmarkStart w:id="24611" w:name="_ETM_Q42_264450"/>
      <w:bookmarkEnd w:id="24611"/>
      <w:r>
        <w:rPr>
          <w:rFonts w:hint="cs"/>
          <w:rtl/>
        </w:rPr>
        <w:t>היום.</w:t>
      </w:r>
      <w:bookmarkStart w:id="24612" w:name="_ETM_Q42_268209"/>
      <w:bookmarkEnd w:id="24612"/>
    </w:p>
    <w:p w:rsidR="00BB59CD" w:rsidRDefault="00BB59CD" w:rsidP="00337201">
      <w:pPr>
        <w:rPr>
          <w:rtl/>
        </w:rPr>
      </w:pPr>
      <w:bookmarkStart w:id="24613" w:name="_ETM_Q42_270716"/>
      <w:bookmarkStart w:id="24614" w:name="_ETM_Q42_270798"/>
      <w:bookmarkEnd w:id="24613"/>
      <w:bookmarkEnd w:id="24614"/>
    </w:p>
    <w:p w:rsidR="00BB59CD" w:rsidRDefault="00BB59CD" w:rsidP="000750B5">
      <w:pPr>
        <w:rPr>
          <w:rtl/>
        </w:rPr>
      </w:pPr>
      <w:bookmarkStart w:id="24615" w:name="_ETM_Q42_270861"/>
      <w:bookmarkStart w:id="24616" w:name="_ETM_Q42_270909"/>
      <w:bookmarkStart w:id="24617" w:name="_ETM_Q42_266218"/>
      <w:bookmarkEnd w:id="24615"/>
      <w:bookmarkEnd w:id="24616"/>
      <w:bookmarkEnd w:id="24617"/>
      <w:r>
        <w:rPr>
          <w:rFonts w:hint="cs"/>
          <w:rtl/>
        </w:rPr>
        <w:t xml:space="preserve">ואני </w:t>
      </w:r>
      <w:bookmarkStart w:id="24618" w:name="_ETM_Q42_268479"/>
      <w:bookmarkEnd w:id="24618"/>
      <w:r>
        <w:rPr>
          <w:rFonts w:hint="cs"/>
          <w:rtl/>
        </w:rPr>
        <w:t xml:space="preserve">חייב </w:t>
      </w:r>
      <w:bookmarkStart w:id="24619" w:name="_ETM_Q42_268840"/>
      <w:bookmarkEnd w:id="24619"/>
      <w:r>
        <w:rPr>
          <w:rFonts w:hint="cs"/>
          <w:rtl/>
        </w:rPr>
        <w:t xml:space="preserve">כאן </w:t>
      </w:r>
      <w:bookmarkStart w:id="24620" w:name="_ETM_Q42_269859"/>
      <w:bookmarkEnd w:id="24620"/>
      <w:r>
        <w:rPr>
          <w:rFonts w:hint="cs"/>
          <w:rtl/>
        </w:rPr>
        <w:t xml:space="preserve">להתייחס </w:t>
      </w:r>
      <w:bookmarkStart w:id="24621" w:name="_ETM_Q42_270310"/>
      <w:bookmarkEnd w:id="24621"/>
      <w:r>
        <w:rPr>
          <w:rFonts w:hint="cs"/>
          <w:rtl/>
        </w:rPr>
        <w:t xml:space="preserve">לחוק </w:t>
      </w:r>
      <w:bookmarkStart w:id="24622" w:name="_ETM_Q42_270670"/>
      <w:bookmarkEnd w:id="24622"/>
      <w:r>
        <w:rPr>
          <w:rFonts w:hint="cs"/>
          <w:rtl/>
        </w:rPr>
        <w:t xml:space="preserve">קמיניץ, </w:t>
      </w:r>
      <w:bookmarkStart w:id="24623" w:name="_ETM_Q42_271119"/>
      <w:bookmarkEnd w:id="24623"/>
      <w:r>
        <w:rPr>
          <w:rFonts w:hint="cs"/>
          <w:rtl/>
        </w:rPr>
        <w:t xml:space="preserve">אדוני </w:t>
      </w:r>
      <w:bookmarkStart w:id="24624" w:name="_ETM_Q42_271359"/>
      <w:bookmarkEnd w:id="24624"/>
      <w:r>
        <w:rPr>
          <w:rFonts w:hint="cs"/>
          <w:rtl/>
        </w:rPr>
        <w:t>היושב-ראש.</w:t>
      </w:r>
      <w:bookmarkStart w:id="24625" w:name="_ETM_Q42_270038"/>
      <w:bookmarkEnd w:id="24625"/>
      <w:r>
        <w:rPr>
          <w:rFonts w:hint="cs"/>
          <w:rtl/>
        </w:rPr>
        <w:t xml:space="preserve"> חוק קמיניץ, </w:t>
      </w:r>
      <w:bookmarkStart w:id="24626" w:name="_ETM_Q42_274050"/>
      <w:bookmarkStart w:id="24627" w:name="_ETM_Q42_274230"/>
      <w:bookmarkStart w:id="24628" w:name="_ETM_Q42_274470"/>
      <w:bookmarkEnd w:id="24626"/>
      <w:bookmarkEnd w:id="24627"/>
      <w:bookmarkEnd w:id="24628"/>
      <w:r>
        <w:rPr>
          <w:rFonts w:hint="cs"/>
          <w:rtl/>
        </w:rPr>
        <w:t>כשחו</w:t>
      </w:r>
      <w:bookmarkStart w:id="24629" w:name="_ETM_Q42_273119"/>
      <w:bookmarkEnd w:id="24629"/>
      <w:r>
        <w:rPr>
          <w:rFonts w:hint="cs"/>
          <w:rtl/>
        </w:rPr>
        <w:t xml:space="preserve">קק, </w:t>
      </w:r>
      <w:bookmarkStart w:id="24630" w:name="_ETM_Q42_276530"/>
      <w:bookmarkEnd w:id="24630"/>
      <w:r>
        <w:rPr>
          <w:rFonts w:hint="cs"/>
          <w:rtl/>
        </w:rPr>
        <w:t xml:space="preserve">אני </w:t>
      </w:r>
      <w:bookmarkStart w:id="24631" w:name="_ETM_Q42_276799"/>
      <w:bookmarkEnd w:id="24631"/>
      <w:r>
        <w:rPr>
          <w:rFonts w:hint="cs"/>
          <w:rtl/>
        </w:rPr>
        <w:t xml:space="preserve">אמרתי </w:t>
      </w:r>
      <w:bookmarkStart w:id="24632" w:name="_ETM_Q42_277219"/>
      <w:bookmarkEnd w:id="24632"/>
      <w:r>
        <w:rPr>
          <w:rFonts w:hint="cs"/>
          <w:rtl/>
        </w:rPr>
        <w:t>עליו</w:t>
      </w:r>
      <w:bookmarkStart w:id="24633" w:name="_ETM_Q42_274019"/>
      <w:bookmarkStart w:id="24634" w:name="_ETM_Q42_277429"/>
      <w:bookmarkEnd w:id="24633"/>
      <w:bookmarkEnd w:id="24634"/>
      <w:r w:rsidR="000750B5">
        <w:rPr>
          <w:rFonts w:hint="cs"/>
          <w:rtl/>
        </w:rPr>
        <w:t xml:space="preserve">: </w:t>
      </w:r>
      <w:r>
        <w:rPr>
          <w:rFonts w:hint="cs"/>
          <w:rtl/>
        </w:rPr>
        <w:t xml:space="preserve">החוק </w:t>
      </w:r>
      <w:bookmarkStart w:id="24635" w:name="_ETM_Q42_277729"/>
      <w:bookmarkEnd w:id="24635"/>
      <w:r>
        <w:rPr>
          <w:rFonts w:hint="cs"/>
          <w:rtl/>
        </w:rPr>
        <w:t xml:space="preserve">הכי </w:t>
      </w:r>
      <w:bookmarkStart w:id="24636" w:name="_ETM_Q42_277880"/>
      <w:bookmarkEnd w:id="24636"/>
      <w:r>
        <w:rPr>
          <w:rFonts w:hint="cs"/>
          <w:rtl/>
        </w:rPr>
        <w:t xml:space="preserve">גרוע </w:t>
      </w:r>
      <w:bookmarkStart w:id="24637" w:name="_ETM_Q42_278450"/>
      <w:bookmarkEnd w:id="24637"/>
      <w:r>
        <w:rPr>
          <w:rFonts w:hint="cs"/>
          <w:rtl/>
        </w:rPr>
        <w:t xml:space="preserve">שחוקק </w:t>
      </w:r>
      <w:bookmarkStart w:id="24638" w:name="_ETM_Q42_278659"/>
      <w:bookmarkEnd w:id="24638"/>
      <w:r>
        <w:rPr>
          <w:rFonts w:hint="cs"/>
          <w:rtl/>
        </w:rPr>
        <w:t xml:space="preserve">בכנסת </w:t>
      </w:r>
      <w:bookmarkStart w:id="24639" w:name="_ETM_Q42_279079"/>
      <w:bookmarkEnd w:id="24639"/>
      <w:r>
        <w:rPr>
          <w:rFonts w:hint="cs"/>
          <w:rtl/>
        </w:rPr>
        <w:t>ישראל</w:t>
      </w:r>
      <w:r w:rsidR="000750B5">
        <w:rPr>
          <w:rFonts w:hint="cs"/>
          <w:rtl/>
        </w:rPr>
        <w:t>. הוא</w:t>
      </w:r>
      <w:r>
        <w:rPr>
          <w:rFonts w:hint="cs"/>
          <w:rtl/>
        </w:rPr>
        <w:t xml:space="preserve"> </w:t>
      </w:r>
      <w:bookmarkStart w:id="24640" w:name="_ETM_Q42_281930"/>
      <w:bookmarkEnd w:id="24640"/>
      <w:r>
        <w:rPr>
          <w:rFonts w:hint="cs"/>
          <w:rtl/>
        </w:rPr>
        <w:t xml:space="preserve">מאפשר </w:t>
      </w:r>
      <w:bookmarkStart w:id="24641" w:name="_ETM_Q42_282649"/>
      <w:bookmarkEnd w:id="24641"/>
      <w:r>
        <w:rPr>
          <w:rFonts w:hint="cs"/>
          <w:rtl/>
        </w:rPr>
        <w:t>ל</w:t>
      </w:r>
      <w:bookmarkStart w:id="24642" w:name="_ETM_Q42_282799"/>
      <w:bookmarkEnd w:id="24642"/>
      <w:r>
        <w:rPr>
          <w:rFonts w:hint="cs"/>
          <w:rtl/>
        </w:rPr>
        <w:t>פקיד</w:t>
      </w:r>
      <w:bookmarkStart w:id="24643" w:name="_ETM_Q42_281539"/>
      <w:bookmarkEnd w:id="24643"/>
      <w:r>
        <w:rPr>
          <w:rFonts w:hint="cs"/>
          <w:rtl/>
        </w:rPr>
        <w:t xml:space="preserve">, </w:t>
      </w:r>
      <w:bookmarkStart w:id="24644" w:name="_ETM_Q42_284100"/>
      <w:bookmarkEnd w:id="24644"/>
      <w:r>
        <w:rPr>
          <w:rFonts w:hint="cs"/>
          <w:rtl/>
        </w:rPr>
        <w:t xml:space="preserve">כמה </w:t>
      </w:r>
      <w:bookmarkStart w:id="24645" w:name="_ETM_Q42_284370"/>
      <w:bookmarkEnd w:id="24645"/>
      <w:r>
        <w:rPr>
          <w:rFonts w:hint="cs"/>
          <w:rtl/>
        </w:rPr>
        <w:t xml:space="preserve">שיהיה </w:t>
      </w:r>
      <w:bookmarkStart w:id="24646" w:name="_ETM_Q42_284670"/>
      <w:bookmarkEnd w:id="24646"/>
      <w:r>
        <w:rPr>
          <w:rFonts w:hint="cs"/>
          <w:rtl/>
        </w:rPr>
        <w:t xml:space="preserve">בכיר, </w:t>
      </w:r>
      <w:bookmarkStart w:id="24647" w:name="_ETM_Q42_286170"/>
      <w:bookmarkEnd w:id="24647"/>
      <w:r>
        <w:rPr>
          <w:rFonts w:hint="cs"/>
          <w:rtl/>
        </w:rPr>
        <w:t xml:space="preserve">לתת </w:t>
      </w:r>
      <w:bookmarkStart w:id="24648" w:name="_ETM_Q42_286860"/>
      <w:bookmarkEnd w:id="24648"/>
      <w:r>
        <w:rPr>
          <w:rFonts w:hint="cs"/>
          <w:rtl/>
        </w:rPr>
        <w:t xml:space="preserve">קנסות </w:t>
      </w:r>
      <w:bookmarkStart w:id="24649" w:name="_ETM_Q42_288250"/>
      <w:bookmarkEnd w:id="24649"/>
      <w:r>
        <w:rPr>
          <w:rFonts w:hint="cs"/>
          <w:rtl/>
        </w:rPr>
        <w:t xml:space="preserve">עד </w:t>
      </w:r>
      <w:bookmarkStart w:id="24650" w:name="_ETM_Q42_288430"/>
      <w:bookmarkEnd w:id="24650"/>
      <w:r>
        <w:rPr>
          <w:rFonts w:hint="cs"/>
          <w:rtl/>
        </w:rPr>
        <w:t>600,</w:t>
      </w:r>
      <w:bookmarkStart w:id="24651" w:name="_ETM_Q42_286858"/>
      <w:bookmarkEnd w:id="24651"/>
      <w:r>
        <w:rPr>
          <w:rFonts w:hint="cs"/>
          <w:rtl/>
        </w:rPr>
        <w:t xml:space="preserve">000 </w:t>
      </w:r>
      <w:bookmarkStart w:id="24652" w:name="_ETM_Q42_289120"/>
      <w:bookmarkEnd w:id="24652"/>
      <w:r>
        <w:rPr>
          <w:rFonts w:hint="cs"/>
          <w:rtl/>
        </w:rPr>
        <w:t>שקל</w:t>
      </w:r>
      <w:r w:rsidR="000750B5">
        <w:rPr>
          <w:rFonts w:hint="cs"/>
          <w:rtl/>
        </w:rPr>
        <w:t>.</w:t>
      </w:r>
      <w:r>
        <w:rPr>
          <w:rFonts w:hint="cs"/>
          <w:rtl/>
        </w:rPr>
        <w:t xml:space="preserve"> </w:t>
      </w:r>
      <w:bookmarkStart w:id="24653" w:name="_ETM_Q42_290720"/>
      <w:bookmarkEnd w:id="24653"/>
      <w:r>
        <w:rPr>
          <w:rFonts w:hint="cs"/>
          <w:rtl/>
        </w:rPr>
        <w:t xml:space="preserve">מתחילים </w:t>
      </w:r>
      <w:bookmarkStart w:id="24654" w:name="_ETM_Q42_291320"/>
      <w:bookmarkEnd w:id="24654"/>
      <w:r>
        <w:rPr>
          <w:rFonts w:hint="cs"/>
          <w:rtl/>
        </w:rPr>
        <w:t xml:space="preserve">עם </w:t>
      </w:r>
      <w:bookmarkStart w:id="24655" w:name="_ETM_Q42_291410"/>
      <w:bookmarkEnd w:id="24655"/>
      <w:r>
        <w:rPr>
          <w:rFonts w:hint="cs"/>
          <w:rtl/>
        </w:rPr>
        <w:t xml:space="preserve">300,000 </w:t>
      </w:r>
      <w:bookmarkStart w:id="24656" w:name="_ETM_Q42_292160"/>
      <w:bookmarkEnd w:id="24656"/>
      <w:r>
        <w:rPr>
          <w:rFonts w:hint="cs"/>
          <w:rtl/>
        </w:rPr>
        <w:t>שקל</w:t>
      </w:r>
      <w:r w:rsidR="000750B5">
        <w:rPr>
          <w:rFonts w:hint="cs"/>
          <w:rtl/>
        </w:rPr>
        <w:t>;</w:t>
      </w:r>
      <w:r>
        <w:rPr>
          <w:rFonts w:hint="cs"/>
          <w:rtl/>
        </w:rPr>
        <w:t xml:space="preserve"> </w:t>
      </w:r>
      <w:bookmarkStart w:id="24657" w:name="_ETM_Q42_293190"/>
      <w:bookmarkEnd w:id="24657"/>
      <w:r>
        <w:rPr>
          <w:rFonts w:hint="cs"/>
          <w:rtl/>
        </w:rPr>
        <w:t xml:space="preserve">אתם </w:t>
      </w:r>
      <w:bookmarkStart w:id="24658" w:name="_ETM_Q42_293460"/>
      <w:bookmarkEnd w:id="24658"/>
      <w:r>
        <w:rPr>
          <w:rFonts w:hint="cs"/>
          <w:rtl/>
        </w:rPr>
        <w:t xml:space="preserve">מבינים </w:t>
      </w:r>
      <w:bookmarkStart w:id="24659" w:name="_ETM_Q42_293970"/>
      <w:bookmarkEnd w:id="24659"/>
      <w:r>
        <w:rPr>
          <w:rFonts w:hint="cs"/>
          <w:rtl/>
        </w:rPr>
        <w:t xml:space="preserve">מה </w:t>
      </w:r>
      <w:bookmarkStart w:id="24660" w:name="_ETM_Q42_294090"/>
      <w:bookmarkEnd w:id="24660"/>
      <w:r>
        <w:rPr>
          <w:rFonts w:hint="cs"/>
          <w:rtl/>
        </w:rPr>
        <w:t xml:space="preserve">זה </w:t>
      </w:r>
      <w:bookmarkStart w:id="24661" w:name="_ETM_Q42_295290"/>
      <w:bookmarkEnd w:id="24661"/>
      <w:r>
        <w:rPr>
          <w:rFonts w:hint="cs"/>
          <w:rtl/>
        </w:rPr>
        <w:t xml:space="preserve">להוציא </w:t>
      </w:r>
      <w:bookmarkStart w:id="24662" w:name="_ETM_Q42_295799"/>
      <w:bookmarkEnd w:id="24662"/>
      <w:r>
        <w:rPr>
          <w:rFonts w:hint="cs"/>
          <w:rtl/>
        </w:rPr>
        <w:t xml:space="preserve">קנס </w:t>
      </w:r>
      <w:bookmarkStart w:id="24663" w:name="_ETM_Q42_296159"/>
      <w:bookmarkEnd w:id="24663"/>
      <w:r>
        <w:rPr>
          <w:rFonts w:hint="cs"/>
          <w:rtl/>
        </w:rPr>
        <w:t xml:space="preserve">לבן אדם של </w:t>
      </w:r>
      <w:bookmarkStart w:id="24664" w:name="_ETM_Q42_297939"/>
      <w:bookmarkEnd w:id="24664"/>
      <w:r>
        <w:rPr>
          <w:rFonts w:hint="cs"/>
          <w:rtl/>
        </w:rPr>
        <w:t xml:space="preserve">300,000 </w:t>
      </w:r>
      <w:bookmarkStart w:id="24665" w:name="_ETM_Q42_298780"/>
      <w:bookmarkEnd w:id="24665"/>
      <w:r>
        <w:rPr>
          <w:rFonts w:hint="cs"/>
          <w:rtl/>
        </w:rPr>
        <w:t>שקל?</w:t>
      </w:r>
      <w:bookmarkStart w:id="24666" w:name="_ETM_Q42_297818"/>
      <w:bookmarkEnd w:id="24666"/>
      <w:r>
        <w:rPr>
          <w:rFonts w:hint="cs"/>
          <w:rtl/>
        </w:rPr>
        <w:t xml:space="preserve"> </w:t>
      </w:r>
      <w:bookmarkStart w:id="24667" w:name="_ETM_Q42_299870"/>
      <w:bookmarkEnd w:id="24667"/>
      <w:r>
        <w:rPr>
          <w:rFonts w:hint="cs"/>
          <w:rtl/>
        </w:rPr>
        <w:t xml:space="preserve">קנס </w:t>
      </w:r>
      <w:bookmarkStart w:id="24668" w:name="_ETM_Q42_300200"/>
      <w:bookmarkEnd w:id="24668"/>
      <w:r>
        <w:rPr>
          <w:rFonts w:hint="cs"/>
          <w:rtl/>
        </w:rPr>
        <w:t xml:space="preserve">מינהלי, </w:t>
      </w:r>
      <w:bookmarkStart w:id="24669" w:name="_ETM_Q42_301370"/>
      <w:bookmarkEnd w:id="24669"/>
      <w:r>
        <w:rPr>
          <w:rFonts w:hint="cs"/>
          <w:rtl/>
        </w:rPr>
        <w:t xml:space="preserve">פקיד </w:t>
      </w:r>
      <w:bookmarkStart w:id="24670" w:name="_ETM_Q42_301820"/>
      <w:bookmarkEnd w:id="24670"/>
      <w:r>
        <w:rPr>
          <w:rFonts w:hint="cs"/>
          <w:rtl/>
        </w:rPr>
        <w:t xml:space="preserve">מחליט </w:t>
      </w:r>
      <w:bookmarkStart w:id="24671" w:name="_ETM_Q42_304130"/>
      <w:bookmarkEnd w:id="24671"/>
      <w:r>
        <w:rPr>
          <w:rFonts w:hint="cs"/>
          <w:rtl/>
        </w:rPr>
        <w:t xml:space="preserve">לתת </w:t>
      </w:r>
      <w:bookmarkStart w:id="24672" w:name="_ETM_Q42_304549"/>
      <w:bookmarkEnd w:id="24672"/>
      <w:r>
        <w:rPr>
          <w:rFonts w:hint="cs"/>
          <w:rtl/>
        </w:rPr>
        <w:t xml:space="preserve">את </w:t>
      </w:r>
      <w:bookmarkStart w:id="24673" w:name="_ETM_Q42_301538"/>
      <w:bookmarkEnd w:id="24673"/>
      <w:r>
        <w:rPr>
          <w:rFonts w:hint="cs"/>
          <w:rtl/>
        </w:rPr>
        <w:t xml:space="preserve">אותו </w:t>
      </w:r>
      <w:bookmarkStart w:id="24674" w:name="_ETM_Q42_304789"/>
      <w:bookmarkEnd w:id="24674"/>
      <w:r>
        <w:rPr>
          <w:rFonts w:hint="cs"/>
          <w:rtl/>
        </w:rPr>
        <w:t xml:space="preserve">קנס, </w:t>
      </w:r>
      <w:bookmarkStart w:id="24675" w:name="_ETM_Q42_305700"/>
      <w:bookmarkEnd w:id="24675"/>
      <w:r>
        <w:rPr>
          <w:rFonts w:hint="cs"/>
          <w:rtl/>
        </w:rPr>
        <w:t xml:space="preserve">אפילו </w:t>
      </w:r>
      <w:bookmarkStart w:id="24676" w:name="_ETM_Q42_306119"/>
      <w:bookmarkEnd w:id="24676"/>
      <w:r>
        <w:rPr>
          <w:rFonts w:hint="cs"/>
          <w:rtl/>
        </w:rPr>
        <w:t xml:space="preserve">בלי </w:t>
      </w:r>
      <w:bookmarkStart w:id="24677" w:name="_ETM_Q42_306270"/>
      <w:bookmarkEnd w:id="24677"/>
      <w:r>
        <w:rPr>
          <w:rFonts w:hint="cs"/>
          <w:rtl/>
        </w:rPr>
        <w:t xml:space="preserve">מערכת </w:t>
      </w:r>
      <w:bookmarkStart w:id="24678" w:name="_ETM_Q42_306570"/>
      <w:bookmarkEnd w:id="24678"/>
      <w:r>
        <w:rPr>
          <w:rFonts w:hint="cs"/>
          <w:rtl/>
        </w:rPr>
        <w:t xml:space="preserve">בית </w:t>
      </w:r>
      <w:bookmarkStart w:id="24679" w:name="_ETM_Q42_306780"/>
      <w:bookmarkEnd w:id="24679"/>
      <w:r>
        <w:rPr>
          <w:rFonts w:hint="cs"/>
          <w:rtl/>
        </w:rPr>
        <w:t>המשפט,</w:t>
      </w:r>
      <w:bookmarkStart w:id="24680" w:name="_ETM_Q42_304808"/>
      <w:bookmarkEnd w:id="24680"/>
      <w:r>
        <w:rPr>
          <w:rFonts w:hint="cs"/>
          <w:rtl/>
        </w:rPr>
        <w:t xml:space="preserve"> </w:t>
      </w:r>
      <w:bookmarkStart w:id="24681" w:name="_ETM_Q42_307930"/>
      <w:bookmarkEnd w:id="24681"/>
      <w:r>
        <w:rPr>
          <w:rFonts w:hint="cs"/>
          <w:rtl/>
        </w:rPr>
        <w:t xml:space="preserve">והוא </w:t>
      </w:r>
      <w:bookmarkStart w:id="24682" w:name="_ETM_Q42_308080"/>
      <w:bookmarkEnd w:id="24682"/>
      <w:r>
        <w:rPr>
          <w:rFonts w:hint="cs"/>
          <w:rtl/>
        </w:rPr>
        <w:t xml:space="preserve">יכול </w:t>
      </w:r>
      <w:bookmarkStart w:id="24683" w:name="_ETM_Q42_308260"/>
      <w:bookmarkEnd w:id="24683"/>
      <w:r>
        <w:rPr>
          <w:rFonts w:hint="cs"/>
          <w:rtl/>
        </w:rPr>
        <w:t xml:space="preserve">להגיע </w:t>
      </w:r>
      <w:bookmarkStart w:id="24684" w:name="_ETM_Q42_308560"/>
      <w:bookmarkEnd w:id="24684"/>
      <w:r>
        <w:rPr>
          <w:rFonts w:hint="cs"/>
          <w:rtl/>
        </w:rPr>
        <w:t xml:space="preserve">עד </w:t>
      </w:r>
      <w:bookmarkStart w:id="24685" w:name="_ETM_Q42_308740"/>
      <w:bookmarkEnd w:id="24685"/>
      <w:r>
        <w:rPr>
          <w:rFonts w:hint="cs"/>
          <w:rtl/>
        </w:rPr>
        <w:t xml:space="preserve">600,000 </w:t>
      </w:r>
      <w:bookmarkStart w:id="24686" w:name="_ETM_Q42_309430"/>
      <w:bookmarkEnd w:id="24686"/>
      <w:r>
        <w:rPr>
          <w:rFonts w:hint="cs"/>
          <w:rtl/>
        </w:rPr>
        <w:t xml:space="preserve">שקל </w:t>
      </w:r>
      <w:bookmarkStart w:id="24687" w:name="_ETM_Q42_310060"/>
      <w:bookmarkEnd w:id="24687"/>
      <w:r>
        <w:rPr>
          <w:rFonts w:hint="cs"/>
          <w:rtl/>
        </w:rPr>
        <w:t xml:space="preserve">ואפילו </w:t>
      </w:r>
      <w:bookmarkStart w:id="24688" w:name="_ETM_Q42_310510"/>
      <w:bookmarkEnd w:id="24688"/>
      <w:r>
        <w:rPr>
          <w:rFonts w:hint="cs"/>
          <w:rtl/>
        </w:rPr>
        <w:t>יותר.</w:t>
      </w:r>
      <w:bookmarkStart w:id="24689" w:name="_ETM_Q42_310840"/>
      <w:bookmarkStart w:id="24690" w:name="_ETM_Q42_307978"/>
      <w:bookmarkStart w:id="24691" w:name="_ETM_Q42_312400"/>
      <w:bookmarkStart w:id="24692" w:name="_ETM_Q42_308357"/>
      <w:bookmarkStart w:id="24693" w:name="_ETM_Q42_308425"/>
      <w:bookmarkStart w:id="24694" w:name="_ETM_Q42_308516"/>
      <w:bookmarkStart w:id="24695" w:name="_ETM_Q42_308578"/>
      <w:bookmarkEnd w:id="24689"/>
      <w:bookmarkEnd w:id="24690"/>
      <w:bookmarkEnd w:id="24691"/>
      <w:bookmarkEnd w:id="24692"/>
      <w:bookmarkEnd w:id="24693"/>
      <w:bookmarkEnd w:id="24694"/>
      <w:bookmarkEnd w:id="24695"/>
      <w:r>
        <w:rPr>
          <w:rFonts w:hint="cs"/>
          <w:rtl/>
        </w:rPr>
        <w:t xml:space="preserve"> במדינה </w:t>
      </w:r>
      <w:bookmarkStart w:id="24696" w:name="_ETM_Q42_313540"/>
      <w:bookmarkEnd w:id="24696"/>
      <w:r>
        <w:rPr>
          <w:rFonts w:hint="cs"/>
          <w:rtl/>
        </w:rPr>
        <w:t xml:space="preserve">נורמלית </w:t>
      </w:r>
      <w:bookmarkStart w:id="24697" w:name="_ETM_Q42_316540"/>
      <w:bookmarkEnd w:id="24697"/>
      <w:r>
        <w:rPr>
          <w:rFonts w:hint="cs"/>
          <w:rtl/>
        </w:rPr>
        <w:t xml:space="preserve">– תסתובב </w:t>
      </w:r>
      <w:bookmarkStart w:id="24698" w:name="_ETM_Q42_317080"/>
      <w:bookmarkEnd w:id="24698"/>
      <w:r>
        <w:rPr>
          <w:rFonts w:hint="cs"/>
          <w:rtl/>
        </w:rPr>
        <w:t xml:space="preserve">בכל </w:t>
      </w:r>
      <w:bookmarkStart w:id="24699" w:name="_ETM_Q42_317410"/>
      <w:bookmarkEnd w:id="24699"/>
      <w:r>
        <w:rPr>
          <w:rFonts w:hint="cs"/>
          <w:rtl/>
        </w:rPr>
        <w:t>העולם</w:t>
      </w:r>
      <w:bookmarkStart w:id="24700" w:name="_ETM_Q42_318450"/>
      <w:bookmarkEnd w:id="24700"/>
      <w:r w:rsidR="000750B5">
        <w:rPr>
          <w:rFonts w:hint="cs"/>
          <w:rtl/>
        </w:rPr>
        <w:t>;</w:t>
      </w:r>
      <w:r>
        <w:rPr>
          <w:rFonts w:hint="cs"/>
          <w:rtl/>
        </w:rPr>
        <w:t xml:space="preserve"> אם </w:t>
      </w:r>
      <w:bookmarkStart w:id="24701" w:name="_ETM_Q42_318569"/>
      <w:bookmarkEnd w:id="24701"/>
      <w:r>
        <w:rPr>
          <w:rFonts w:hint="cs"/>
          <w:rtl/>
        </w:rPr>
        <w:t>ת</w:t>
      </w:r>
      <w:bookmarkStart w:id="24702" w:name="_ETM_Q42_315709"/>
      <w:bookmarkEnd w:id="24702"/>
      <w:r>
        <w:rPr>
          <w:rFonts w:hint="cs"/>
          <w:rtl/>
        </w:rPr>
        <w:t>ביאו</w:t>
      </w:r>
      <w:bookmarkStart w:id="24703" w:name="_ETM_Q42_316238"/>
      <w:bookmarkEnd w:id="24703"/>
      <w:r>
        <w:rPr>
          <w:rFonts w:hint="cs"/>
          <w:rtl/>
        </w:rPr>
        <w:t xml:space="preserve"> </w:t>
      </w:r>
      <w:bookmarkStart w:id="24704" w:name="_ETM_Q42_318870"/>
      <w:bookmarkEnd w:id="24704"/>
      <w:r>
        <w:rPr>
          <w:rFonts w:hint="cs"/>
          <w:rtl/>
        </w:rPr>
        <w:t xml:space="preserve">לי </w:t>
      </w:r>
      <w:bookmarkStart w:id="24705" w:name="_ETM_Q42_319919"/>
      <w:bookmarkEnd w:id="24705"/>
      <w:r>
        <w:rPr>
          <w:rFonts w:hint="cs"/>
          <w:rtl/>
        </w:rPr>
        <w:t>חוק</w:t>
      </w:r>
      <w:bookmarkStart w:id="24706" w:name="_ETM_Q42_318706"/>
      <w:bookmarkEnd w:id="24706"/>
      <w:r>
        <w:rPr>
          <w:rFonts w:hint="cs"/>
          <w:rtl/>
        </w:rPr>
        <w:t xml:space="preserve"> ש</w:t>
      </w:r>
      <w:bookmarkStart w:id="24707" w:name="_ETM_Q42_320040"/>
      <w:bookmarkEnd w:id="24707"/>
      <w:r>
        <w:rPr>
          <w:rFonts w:hint="cs"/>
          <w:rtl/>
        </w:rPr>
        <w:t xml:space="preserve">נותן </w:t>
      </w:r>
      <w:bookmarkStart w:id="24708" w:name="_ETM_Q42_320340"/>
      <w:bookmarkEnd w:id="24708"/>
      <w:r>
        <w:rPr>
          <w:rFonts w:hint="cs"/>
          <w:rtl/>
        </w:rPr>
        <w:t>ל</w:t>
      </w:r>
      <w:bookmarkStart w:id="24709" w:name="_ETM_Q42_320400"/>
      <w:bookmarkEnd w:id="24709"/>
      <w:r>
        <w:rPr>
          <w:rFonts w:hint="cs"/>
          <w:rtl/>
        </w:rPr>
        <w:t xml:space="preserve">פקיד </w:t>
      </w:r>
      <w:bookmarkStart w:id="24710" w:name="_ETM_Q42_320790"/>
      <w:bookmarkEnd w:id="24710"/>
      <w:r>
        <w:rPr>
          <w:rFonts w:hint="cs"/>
          <w:rtl/>
        </w:rPr>
        <w:t xml:space="preserve">לתת </w:t>
      </w:r>
      <w:bookmarkStart w:id="24711" w:name="_ETM_Q42_321150"/>
      <w:bookmarkEnd w:id="24711"/>
      <w:r>
        <w:rPr>
          <w:rFonts w:hint="cs"/>
          <w:rtl/>
        </w:rPr>
        <w:t xml:space="preserve">קנס </w:t>
      </w:r>
      <w:bookmarkStart w:id="24712" w:name="_ETM_Q42_321450"/>
      <w:bookmarkEnd w:id="24712"/>
      <w:r>
        <w:rPr>
          <w:rFonts w:hint="cs"/>
          <w:rtl/>
        </w:rPr>
        <w:t>כזה,</w:t>
      </w:r>
      <w:bookmarkStart w:id="24713" w:name="_ETM_Q42_319499"/>
      <w:bookmarkEnd w:id="24713"/>
      <w:r>
        <w:rPr>
          <w:rFonts w:hint="cs"/>
          <w:rtl/>
        </w:rPr>
        <w:t xml:space="preserve"> </w:t>
      </w:r>
      <w:bookmarkStart w:id="24714" w:name="_ETM_Q42_322900"/>
      <w:bookmarkEnd w:id="24714"/>
      <w:r>
        <w:rPr>
          <w:rFonts w:hint="cs"/>
          <w:rtl/>
        </w:rPr>
        <w:t xml:space="preserve">אני </w:t>
      </w:r>
      <w:bookmarkStart w:id="24715" w:name="_ETM_Q42_323080"/>
      <w:bookmarkEnd w:id="24715"/>
      <w:r>
        <w:rPr>
          <w:rFonts w:hint="cs"/>
          <w:rtl/>
        </w:rPr>
        <w:t xml:space="preserve">מוכן </w:t>
      </w:r>
      <w:bookmarkStart w:id="24716" w:name="_ETM_Q42_323440"/>
      <w:bookmarkEnd w:id="24716"/>
      <w:r>
        <w:rPr>
          <w:rFonts w:hint="cs"/>
          <w:rtl/>
        </w:rPr>
        <w:t xml:space="preserve">לקבל </w:t>
      </w:r>
      <w:bookmarkStart w:id="24717" w:name="_ETM_Q42_323860"/>
      <w:bookmarkEnd w:id="24717"/>
      <w:r>
        <w:rPr>
          <w:rFonts w:hint="cs"/>
          <w:rtl/>
        </w:rPr>
        <w:t xml:space="preserve">את </w:t>
      </w:r>
      <w:bookmarkStart w:id="24718" w:name="_ETM_Q42_323950"/>
      <w:bookmarkEnd w:id="24718"/>
      <w:r>
        <w:rPr>
          <w:rFonts w:hint="cs"/>
          <w:rtl/>
        </w:rPr>
        <w:t xml:space="preserve">זה. </w:t>
      </w:r>
      <w:bookmarkStart w:id="24719" w:name="_ETM_Q42_323989"/>
      <w:bookmarkEnd w:id="24719"/>
      <w:r>
        <w:rPr>
          <w:rFonts w:hint="cs"/>
          <w:rtl/>
        </w:rPr>
        <w:t xml:space="preserve">אבל </w:t>
      </w:r>
      <w:bookmarkStart w:id="24720" w:name="_ETM_Q42_324379"/>
      <w:bookmarkEnd w:id="24720"/>
      <w:r>
        <w:rPr>
          <w:rFonts w:hint="cs"/>
          <w:rtl/>
        </w:rPr>
        <w:t xml:space="preserve">אין </w:t>
      </w:r>
      <w:bookmarkStart w:id="24721" w:name="_ETM_Q42_324560"/>
      <w:bookmarkEnd w:id="24721"/>
      <w:r>
        <w:rPr>
          <w:rFonts w:hint="cs"/>
          <w:rtl/>
        </w:rPr>
        <w:t xml:space="preserve">כזה </w:t>
      </w:r>
      <w:bookmarkStart w:id="24722" w:name="_ETM_Q42_324829"/>
      <w:bookmarkEnd w:id="24722"/>
      <w:r>
        <w:rPr>
          <w:rFonts w:hint="cs"/>
          <w:rtl/>
        </w:rPr>
        <w:t xml:space="preserve">דבר </w:t>
      </w:r>
      <w:bookmarkStart w:id="24723" w:name="_ETM_Q42_326069"/>
      <w:bookmarkEnd w:id="24723"/>
      <w:r>
        <w:rPr>
          <w:rFonts w:hint="cs"/>
          <w:rtl/>
        </w:rPr>
        <w:t xml:space="preserve">שפקיד, </w:t>
      </w:r>
      <w:bookmarkStart w:id="24724" w:name="_ETM_Q42_326610"/>
      <w:bookmarkEnd w:id="24724"/>
      <w:r>
        <w:rPr>
          <w:rFonts w:hint="cs"/>
          <w:rtl/>
        </w:rPr>
        <w:t xml:space="preserve">יש </w:t>
      </w:r>
      <w:bookmarkStart w:id="24725" w:name="_ETM_Q42_326760"/>
      <w:bookmarkEnd w:id="24725"/>
      <w:r>
        <w:rPr>
          <w:rFonts w:hint="cs"/>
          <w:rtl/>
        </w:rPr>
        <w:t xml:space="preserve">לו </w:t>
      </w:r>
      <w:bookmarkStart w:id="24726" w:name="_ETM_Q42_326879"/>
      <w:bookmarkEnd w:id="24726"/>
      <w:r>
        <w:rPr>
          <w:rFonts w:hint="cs"/>
          <w:rtl/>
        </w:rPr>
        <w:t xml:space="preserve">את </w:t>
      </w:r>
      <w:bookmarkStart w:id="24727" w:name="_ETM_Q42_326940"/>
      <w:bookmarkEnd w:id="24727"/>
      <w:r>
        <w:rPr>
          <w:rFonts w:hint="cs"/>
          <w:rtl/>
        </w:rPr>
        <w:t xml:space="preserve">היכולת </w:t>
      </w:r>
      <w:bookmarkStart w:id="24728" w:name="_ETM_Q42_327269"/>
      <w:bookmarkEnd w:id="24728"/>
      <w:r>
        <w:rPr>
          <w:rFonts w:hint="cs"/>
          <w:rtl/>
        </w:rPr>
        <w:t>לתת</w:t>
      </w:r>
      <w:bookmarkStart w:id="24729" w:name="_ETM_Q42_323348"/>
      <w:bookmarkEnd w:id="24729"/>
      <w:r>
        <w:rPr>
          <w:rFonts w:hint="cs"/>
          <w:rtl/>
        </w:rPr>
        <w:t xml:space="preserve"> </w:t>
      </w:r>
      <w:bookmarkStart w:id="24730" w:name="_ETM_Q42_327480"/>
      <w:bookmarkStart w:id="24731" w:name="_ETM_Q42_327720"/>
      <w:bookmarkStart w:id="24732" w:name="_ETM_Q42_327959"/>
      <w:bookmarkEnd w:id="24730"/>
      <w:bookmarkEnd w:id="24731"/>
      <w:bookmarkEnd w:id="24732"/>
      <w:r>
        <w:rPr>
          <w:rFonts w:hint="cs"/>
          <w:rtl/>
        </w:rPr>
        <w:t xml:space="preserve">קנס מינהלי של </w:t>
      </w:r>
      <w:bookmarkStart w:id="24733" w:name="_ETM_Q42_324789"/>
      <w:bookmarkEnd w:id="24733"/>
      <w:r>
        <w:rPr>
          <w:rFonts w:hint="cs"/>
          <w:rtl/>
        </w:rPr>
        <w:t xml:space="preserve">300,000 </w:t>
      </w:r>
      <w:bookmarkStart w:id="24734" w:name="_ETM_Q42_328800"/>
      <w:bookmarkEnd w:id="24734"/>
      <w:r>
        <w:rPr>
          <w:rFonts w:hint="cs"/>
          <w:rtl/>
        </w:rPr>
        <w:t xml:space="preserve">שקל </w:t>
      </w:r>
      <w:bookmarkStart w:id="24735" w:name="_ETM_Q42_330090"/>
      <w:bookmarkEnd w:id="24735"/>
      <w:r>
        <w:rPr>
          <w:rFonts w:hint="cs"/>
          <w:rtl/>
        </w:rPr>
        <w:t xml:space="preserve">ו-600,000 </w:t>
      </w:r>
      <w:bookmarkStart w:id="24736" w:name="_ETM_Q42_330930"/>
      <w:bookmarkEnd w:id="24736"/>
      <w:r>
        <w:rPr>
          <w:rFonts w:hint="cs"/>
          <w:rtl/>
        </w:rPr>
        <w:t xml:space="preserve">שקל </w:t>
      </w:r>
      <w:bookmarkStart w:id="24737" w:name="_ETM_Q42_331989"/>
      <w:bookmarkEnd w:id="24737"/>
      <w:r>
        <w:rPr>
          <w:rFonts w:hint="cs"/>
          <w:rtl/>
        </w:rPr>
        <w:t xml:space="preserve">ואפילו </w:t>
      </w:r>
      <w:bookmarkStart w:id="24738" w:name="_ETM_Q42_332409"/>
      <w:bookmarkEnd w:id="24738"/>
      <w:r>
        <w:rPr>
          <w:rFonts w:hint="cs"/>
          <w:rtl/>
        </w:rPr>
        <w:t>ל</w:t>
      </w:r>
      <w:bookmarkStart w:id="24739" w:name="_ETM_Q42_329838"/>
      <w:bookmarkEnd w:id="24739"/>
      <w:r>
        <w:rPr>
          <w:rFonts w:hint="cs"/>
          <w:rtl/>
        </w:rPr>
        <w:t xml:space="preserve">הוציא </w:t>
      </w:r>
      <w:bookmarkStart w:id="24740" w:name="_ETM_Q42_332620"/>
      <w:bookmarkEnd w:id="24740"/>
      <w:r>
        <w:rPr>
          <w:rFonts w:hint="cs"/>
          <w:rtl/>
        </w:rPr>
        <w:t xml:space="preserve">צו </w:t>
      </w:r>
      <w:bookmarkStart w:id="24741" w:name="_ETM_Q42_332859"/>
      <w:bookmarkEnd w:id="24741"/>
      <w:r>
        <w:rPr>
          <w:rFonts w:hint="cs"/>
          <w:rtl/>
        </w:rPr>
        <w:t xml:space="preserve">הריסה, להרוס בית. </w:t>
      </w:r>
      <w:bookmarkStart w:id="24742" w:name="_ETM_Q42_333780"/>
      <w:bookmarkStart w:id="24743" w:name="_ETM_Q42_334290"/>
      <w:bookmarkStart w:id="24744" w:name="_ETM_Q42_335730"/>
      <w:bookmarkEnd w:id="24742"/>
      <w:bookmarkEnd w:id="24743"/>
      <w:bookmarkEnd w:id="24744"/>
      <w:r>
        <w:rPr>
          <w:rFonts w:hint="cs"/>
          <w:rtl/>
        </w:rPr>
        <w:t>הכו</w:t>
      </w:r>
      <w:bookmarkStart w:id="24745" w:name="_ETM_Q42_332278"/>
      <w:bookmarkEnd w:id="24745"/>
      <w:r>
        <w:rPr>
          <w:rFonts w:hint="cs"/>
          <w:rtl/>
        </w:rPr>
        <w:t xml:space="preserve">ל </w:t>
      </w:r>
      <w:bookmarkStart w:id="24746" w:name="_ETM_Q42_336389"/>
      <w:bookmarkEnd w:id="24746"/>
      <w:r>
        <w:rPr>
          <w:rFonts w:hint="cs"/>
          <w:rtl/>
        </w:rPr>
        <w:t xml:space="preserve">בצווים </w:t>
      </w:r>
      <w:bookmarkStart w:id="24747" w:name="_ETM_Q42_336810"/>
      <w:bookmarkEnd w:id="24747"/>
      <w:r>
        <w:rPr>
          <w:rFonts w:hint="cs"/>
          <w:rtl/>
        </w:rPr>
        <w:t>מינהליים</w:t>
      </w:r>
      <w:bookmarkStart w:id="24748" w:name="_ETM_Q42_331938"/>
      <w:bookmarkEnd w:id="24748"/>
      <w:r>
        <w:rPr>
          <w:rFonts w:hint="cs"/>
          <w:rtl/>
        </w:rPr>
        <w:t xml:space="preserve"> </w:t>
      </w:r>
      <w:bookmarkStart w:id="24749" w:name="_ETM_Q42_338050"/>
      <w:bookmarkStart w:id="24750" w:name="_ETM_Q42_338290"/>
      <w:bookmarkStart w:id="24751" w:name="_ETM_Q42_333959"/>
      <w:bookmarkEnd w:id="24749"/>
      <w:bookmarkEnd w:id="24750"/>
      <w:bookmarkEnd w:id="24751"/>
      <w:r>
        <w:rPr>
          <w:rFonts w:hint="cs"/>
          <w:rtl/>
        </w:rPr>
        <w:t xml:space="preserve">על ידי </w:t>
      </w:r>
      <w:bookmarkStart w:id="24752" w:name="_ETM_Q42_338530"/>
      <w:bookmarkEnd w:id="24752"/>
      <w:r>
        <w:rPr>
          <w:rFonts w:hint="cs"/>
          <w:rtl/>
        </w:rPr>
        <w:t>פקידים</w:t>
      </w:r>
      <w:bookmarkStart w:id="24753" w:name="_ETM_Q42_333999"/>
      <w:bookmarkEnd w:id="24753"/>
      <w:r w:rsidR="000750B5">
        <w:rPr>
          <w:rFonts w:hint="cs"/>
          <w:rtl/>
        </w:rPr>
        <w:t>;</w:t>
      </w:r>
      <w:r>
        <w:rPr>
          <w:rFonts w:hint="cs"/>
          <w:rtl/>
        </w:rPr>
        <w:t xml:space="preserve"> </w:t>
      </w:r>
      <w:bookmarkStart w:id="24754" w:name="_ETM_Q42_341080"/>
      <w:bookmarkEnd w:id="24754"/>
      <w:r>
        <w:rPr>
          <w:rFonts w:hint="cs"/>
          <w:rtl/>
        </w:rPr>
        <w:t xml:space="preserve">כאשר </w:t>
      </w:r>
      <w:bookmarkStart w:id="24755" w:name="_ETM_Q42_341680"/>
      <w:bookmarkEnd w:id="24755"/>
      <w:r>
        <w:rPr>
          <w:rFonts w:hint="cs"/>
          <w:rtl/>
        </w:rPr>
        <w:t xml:space="preserve">המערכות </w:t>
      </w:r>
      <w:bookmarkStart w:id="24756" w:name="_ETM_Q42_342430"/>
      <w:bookmarkEnd w:id="24756"/>
      <w:r>
        <w:rPr>
          <w:rFonts w:hint="cs"/>
          <w:rtl/>
        </w:rPr>
        <w:t xml:space="preserve">נכשלו, </w:t>
      </w:r>
      <w:bookmarkStart w:id="24757" w:name="_ETM_Q42_344680"/>
      <w:bookmarkEnd w:id="24757"/>
      <w:r>
        <w:rPr>
          <w:rFonts w:hint="cs"/>
          <w:rtl/>
        </w:rPr>
        <w:t xml:space="preserve">כאשר </w:t>
      </w:r>
      <w:bookmarkStart w:id="24758" w:name="_ETM_Q42_346450"/>
      <w:bookmarkEnd w:id="24758"/>
      <w:r>
        <w:rPr>
          <w:rFonts w:hint="cs"/>
          <w:rtl/>
        </w:rPr>
        <w:t xml:space="preserve">להריץ </w:t>
      </w:r>
      <w:bookmarkStart w:id="24759" w:name="_ETM_Q42_346930"/>
      <w:bookmarkEnd w:id="24759"/>
      <w:r>
        <w:rPr>
          <w:rFonts w:hint="cs"/>
          <w:rtl/>
        </w:rPr>
        <w:t>תוכני</w:t>
      </w:r>
      <w:bookmarkStart w:id="24760" w:name="_ETM_Q42_345508"/>
      <w:bookmarkEnd w:id="24760"/>
      <w:r>
        <w:rPr>
          <w:rFonts w:hint="cs"/>
          <w:rtl/>
        </w:rPr>
        <w:t xml:space="preserve">ת </w:t>
      </w:r>
      <w:bookmarkStart w:id="24761" w:name="_ETM_Q42_347320"/>
      <w:bookmarkEnd w:id="24761"/>
      <w:r>
        <w:rPr>
          <w:rFonts w:hint="cs"/>
          <w:rtl/>
        </w:rPr>
        <w:t>מתא</w:t>
      </w:r>
      <w:bookmarkStart w:id="24762" w:name="_ETM_Q42_345108"/>
      <w:bookmarkEnd w:id="24762"/>
      <w:r>
        <w:rPr>
          <w:rFonts w:hint="cs"/>
          <w:rtl/>
        </w:rPr>
        <w:t xml:space="preserve">ר </w:t>
      </w:r>
      <w:bookmarkStart w:id="24763" w:name="_ETM_Q42_348900"/>
      <w:bookmarkStart w:id="24764" w:name="_ETM_Q42_344938"/>
      <w:bookmarkEnd w:id="24763"/>
      <w:bookmarkEnd w:id="24764"/>
      <w:r>
        <w:rPr>
          <w:rFonts w:hint="cs"/>
          <w:rtl/>
        </w:rPr>
        <w:t xml:space="preserve">ביישוב </w:t>
      </w:r>
      <w:bookmarkStart w:id="24765" w:name="_ETM_Q42_349470"/>
      <w:bookmarkStart w:id="24766" w:name="_ETM_Q42_350010"/>
      <w:bookmarkStart w:id="24767" w:name="_ETM_Q42_345698"/>
      <w:bookmarkStart w:id="24768" w:name="_ETM_Q42_345229"/>
      <w:bookmarkStart w:id="24769" w:name="_ETM_Q42_346892"/>
      <w:bookmarkStart w:id="24770" w:name="_ETM_Q42_350610"/>
      <w:bookmarkEnd w:id="24765"/>
      <w:bookmarkEnd w:id="24766"/>
      <w:bookmarkEnd w:id="24767"/>
      <w:bookmarkEnd w:id="24768"/>
      <w:bookmarkEnd w:id="24769"/>
      <w:bookmarkEnd w:id="24770"/>
      <w:r>
        <w:rPr>
          <w:rFonts w:hint="cs"/>
          <w:rtl/>
        </w:rPr>
        <w:t xml:space="preserve">ערבי </w:t>
      </w:r>
      <w:bookmarkStart w:id="24771" w:name="_ETM_Q42_351550"/>
      <w:bookmarkEnd w:id="24771"/>
      <w:r>
        <w:rPr>
          <w:rFonts w:hint="cs"/>
          <w:rtl/>
        </w:rPr>
        <w:t>או</w:t>
      </w:r>
      <w:bookmarkStart w:id="24772" w:name="_ETM_Q42_348995"/>
      <w:bookmarkEnd w:id="24772"/>
      <w:r>
        <w:rPr>
          <w:rFonts w:hint="cs"/>
          <w:rtl/>
        </w:rPr>
        <w:t xml:space="preserve"> </w:t>
      </w:r>
      <w:bookmarkStart w:id="24773" w:name="_ETM_Q42_351700"/>
      <w:bookmarkStart w:id="24774" w:name="_ETM_Q42_352000"/>
      <w:bookmarkStart w:id="24775" w:name="_ETM_Q42_352240"/>
      <w:bookmarkStart w:id="24776" w:name="_ETM_Q42_352330"/>
      <w:bookmarkStart w:id="24777" w:name="_ETM_Q42_352790"/>
      <w:bookmarkEnd w:id="24773"/>
      <w:bookmarkEnd w:id="24774"/>
      <w:bookmarkEnd w:id="24775"/>
      <w:bookmarkEnd w:id="24776"/>
      <w:bookmarkEnd w:id="24777"/>
      <w:r>
        <w:rPr>
          <w:rFonts w:hint="cs"/>
          <w:rtl/>
        </w:rPr>
        <w:t>יישוב דרוזי</w:t>
      </w:r>
      <w:bookmarkStart w:id="24778" w:name="_ETM_Q42_347535"/>
      <w:bookmarkEnd w:id="24778"/>
      <w:r>
        <w:rPr>
          <w:rFonts w:hint="cs"/>
          <w:rtl/>
        </w:rPr>
        <w:t xml:space="preserve"> </w:t>
      </w:r>
      <w:bookmarkStart w:id="24779" w:name="_ETM_Q42_347852"/>
      <w:bookmarkEnd w:id="24779"/>
      <w:r>
        <w:rPr>
          <w:rFonts w:hint="cs"/>
          <w:rtl/>
        </w:rPr>
        <w:t xml:space="preserve">לוקח </w:t>
      </w:r>
      <w:bookmarkStart w:id="24780" w:name="_ETM_Q42_353269"/>
      <w:bookmarkEnd w:id="24780"/>
      <w:r>
        <w:rPr>
          <w:rFonts w:hint="cs"/>
          <w:rtl/>
        </w:rPr>
        <w:t xml:space="preserve">שנים, </w:t>
      </w:r>
      <w:bookmarkStart w:id="24781" w:name="_ETM_Q42_354540"/>
      <w:bookmarkEnd w:id="24781"/>
      <w:r>
        <w:rPr>
          <w:rFonts w:hint="cs"/>
          <w:rtl/>
        </w:rPr>
        <w:t xml:space="preserve">שנים </w:t>
      </w:r>
      <w:bookmarkStart w:id="24782" w:name="_ETM_Q42_355079"/>
      <w:bookmarkEnd w:id="24782"/>
      <w:r>
        <w:rPr>
          <w:rFonts w:hint="cs"/>
          <w:rtl/>
        </w:rPr>
        <w:t xml:space="preserve">לוקח. </w:t>
      </w:r>
      <w:bookmarkStart w:id="24783" w:name="_ETM_Q42_357709"/>
      <w:bookmarkEnd w:id="24783"/>
      <w:r>
        <w:rPr>
          <w:rFonts w:hint="cs"/>
          <w:rtl/>
        </w:rPr>
        <w:t xml:space="preserve">המערכות </w:t>
      </w:r>
      <w:bookmarkStart w:id="24784" w:name="_ETM_Q42_358280"/>
      <w:bookmarkEnd w:id="24784"/>
      <w:r>
        <w:rPr>
          <w:rFonts w:hint="cs"/>
          <w:rtl/>
        </w:rPr>
        <w:t>ל</w:t>
      </w:r>
      <w:bookmarkStart w:id="24785" w:name="_ETM_Q42_358610"/>
      <w:bookmarkStart w:id="24786" w:name="_ETM_Q42_354471"/>
      <w:bookmarkEnd w:id="24785"/>
      <w:bookmarkEnd w:id="24786"/>
      <w:r>
        <w:rPr>
          <w:rFonts w:hint="cs"/>
          <w:rtl/>
        </w:rPr>
        <w:t xml:space="preserve">א יודעות לתכנן </w:t>
      </w:r>
      <w:bookmarkStart w:id="24787" w:name="_ETM_Q42_358970"/>
      <w:bookmarkEnd w:id="24787"/>
      <w:r>
        <w:rPr>
          <w:rFonts w:hint="cs"/>
          <w:rtl/>
        </w:rPr>
        <w:t xml:space="preserve">בקרקע </w:t>
      </w:r>
      <w:bookmarkStart w:id="24788" w:name="_ETM_Q42_359419"/>
      <w:bookmarkEnd w:id="24788"/>
      <w:r>
        <w:rPr>
          <w:rFonts w:hint="cs"/>
          <w:rtl/>
        </w:rPr>
        <w:t>פרטית</w:t>
      </w:r>
      <w:bookmarkStart w:id="24789" w:name="_ETM_Q42_357323"/>
      <w:bookmarkEnd w:id="24789"/>
      <w:r>
        <w:rPr>
          <w:rFonts w:hint="cs"/>
          <w:rtl/>
        </w:rPr>
        <w:t xml:space="preserve">, </w:t>
      </w:r>
      <w:bookmarkStart w:id="24790" w:name="_ETM_Q42_360260"/>
      <w:bookmarkEnd w:id="24790"/>
      <w:r>
        <w:rPr>
          <w:rFonts w:hint="cs"/>
          <w:rtl/>
        </w:rPr>
        <w:t>והן מתייחסות</w:t>
      </w:r>
      <w:bookmarkStart w:id="24791" w:name="_ETM_Q42_356672"/>
      <w:bookmarkEnd w:id="24791"/>
      <w:r>
        <w:rPr>
          <w:rFonts w:hint="cs"/>
          <w:rtl/>
        </w:rPr>
        <w:t xml:space="preserve"> </w:t>
      </w:r>
      <w:bookmarkStart w:id="24792" w:name="_ETM_Q42_360739"/>
      <w:bookmarkEnd w:id="24792"/>
      <w:r>
        <w:rPr>
          <w:rFonts w:hint="cs"/>
          <w:rtl/>
        </w:rPr>
        <w:t xml:space="preserve">לקרקע </w:t>
      </w:r>
      <w:bookmarkStart w:id="24793" w:name="_ETM_Q42_361159"/>
      <w:bookmarkEnd w:id="24793"/>
      <w:r>
        <w:rPr>
          <w:rFonts w:hint="cs"/>
          <w:rtl/>
        </w:rPr>
        <w:t xml:space="preserve">פרטית </w:t>
      </w:r>
      <w:bookmarkStart w:id="24794" w:name="_ETM_Q42_361579"/>
      <w:bookmarkStart w:id="24795" w:name="_ETM_Q42_357354"/>
      <w:bookmarkEnd w:id="24794"/>
      <w:bookmarkEnd w:id="24795"/>
      <w:r>
        <w:rPr>
          <w:rFonts w:hint="cs"/>
          <w:rtl/>
        </w:rPr>
        <w:t xml:space="preserve">כמו </w:t>
      </w:r>
      <w:bookmarkStart w:id="24796" w:name="_ETM_Q42_361760"/>
      <w:bookmarkEnd w:id="24796"/>
      <w:r>
        <w:rPr>
          <w:rFonts w:hint="cs"/>
          <w:rtl/>
        </w:rPr>
        <w:t>לקרקע</w:t>
      </w:r>
      <w:bookmarkStart w:id="24797" w:name="_ETM_Q42_362060"/>
      <w:bookmarkEnd w:id="24797"/>
      <w:r>
        <w:rPr>
          <w:rFonts w:hint="cs"/>
          <w:rtl/>
        </w:rPr>
        <w:t xml:space="preserve"> מדינה. </w:t>
      </w:r>
      <w:bookmarkStart w:id="24798" w:name="_ETM_Q42_363099"/>
      <w:bookmarkEnd w:id="24798"/>
      <w:r>
        <w:rPr>
          <w:rFonts w:hint="cs"/>
          <w:rtl/>
        </w:rPr>
        <w:t xml:space="preserve">כאשר </w:t>
      </w:r>
      <w:bookmarkStart w:id="24799" w:name="_ETM_Q42_363639"/>
      <w:bookmarkEnd w:id="24799"/>
      <w:r>
        <w:rPr>
          <w:rFonts w:hint="cs"/>
          <w:rtl/>
        </w:rPr>
        <w:t xml:space="preserve">כל </w:t>
      </w:r>
      <w:bookmarkStart w:id="24800" w:name="_ETM_Q42_363849"/>
      <w:bookmarkEnd w:id="24800"/>
      <w:r>
        <w:rPr>
          <w:rFonts w:hint="cs"/>
          <w:rtl/>
        </w:rPr>
        <w:t>אחד</w:t>
      </w:r>
      <w:bookmarkStart w:id="24801" w:name="_ETM_Q42_360051"/>
      <w:bookmarkEnd w:id="24801"/>
      <w:r>
        <w:rPr>
          <w:rFonts w:hint="cs"/>
          <w:rtl/>
        </w:rPr>
        <w:t xml:space="preserve"> </w:t>
      </w:r>
      <w:bookmarkStart w:id="24802" w:name="_ETM_Q42_364150"/>
      <w:bookmarkEnd w:id="24802"/>
      <w:r>
        <w:rPr>
          <w:rFonts w:hint="cs"/>
          <w:rtl/>
        </w:rPr>
        <w:t xml:space="preserve">יש </w:t>
      </w:r>
      <w:bookmarkStart w:id="24803" w:name="_ETM_Q42_364569"/>
      <w:bookmarkEnd w:id="24803"/>
      <w:r>
        <w:rPr>
          <w:rFonts w:hint="cs"/>
          <w:rtl/>
        </w:rPr>
        <w:t xml:space="preserve">לו </w:t>
      </w:r>
      <w:bookmarkStart w:id="24804" w:name="_ETM_Q42_364660"/>
      <w:bookmarkEnd w:id="24804"/>
      <w:r>
        <w:rPr>
          <w:rFonts w:hint="cs"/>
          <w:rtl/>
        </w:rPr>
        <w:t xml:space="preserve">דונם אחד </w:t>
      </w:r>
      <w:bookmarkStart w:id="24805" w:name="_ETM_Q42_365690"/>
      <w:bookmarkEnd w:id="24805"/>
      <w:r>
        <w:rPr>
          <w:rFonts w:hint="cs"/>
          <w:rtl/>
        </w:rPr>
        <w:t xml:space="preserve">– זה </w:t>
      </w:r>
      <w:bookmarkStart w:id="24806" w:name="_ETM_Q42_365870"/>
      <w:bookmarkEnd w:id="24806"/>
      <w:r>
        <w:rPr>
          <w:rFonts w:hint="cs"/>
          <w:rtl/>
        </w:rPr>
        <w:t xml:space="preserve">בשבילו </w:t>
      </w:r>
      <w:bookmarkStart w:id="24807" w:name="_ETM_Q42_366260"/>
      <w:bookmarkEnd w:id="24807"/>
      <w:r>
        <w:rPr>
          <w:rFonts w:hint="cs"/>
          <w:rtl/>
        </w:rPr>
        <w:t xml:space="preserve">כל </w:t>
      </w:r>
      <w:bookmarkStart w:id="24808" w:name="_ETM_Q42_366500"/>
      <w:bookmarkEnd w:id="24808"/>
      <w:r>
        <w:rPr>
          <w:rFonts w:hint="cs"/>
          <w:rtl/>
        </w:rPr>
        <w:t xml:space="preserve">העולם, </w:t>
      </w:r>
      <w:bookmarkStart w:id="24809" w:name="_ETM_Q42_368449"/>
      <w:bookmarkEnd w:id="24809"/>
      <w:r>
        <w:rPr>
          <w:rFonts w:hint="cs"/>
          <w:rtl/>
        </w:rPr>
        <w:t xml:space="preserve">ואתם </w:t>
      </w:r>
      <w:bookmarkStart w:id="24810" w:name="_ETM_Q42_368779"/>
      <w:bookmarkEnd w:id="24810"/>
      <w:r>
        <w:rPr>
          <w:rFonts w:hint="cs"/>
          <w:rtl/>
        </w:rPr>
        <w:t xml:space="preserve">רוצים </w:t>
      </w:r>
      <w:bookmarkStart w:id="24811" w:name="_ETM_Q42_369109"/>
      <w:bookmarkEnd w:id="24811"/>
      <w:r>
        <w:rPr>
          <w:rFonts w:hint="cs"/>
          <w:rtl/>
        </w:rPr>
        <w:t xml:space="preserve">להפקיע </w:t>
      </w:r>
      <w:bookmarkStart w:id="24812" w:name="_ETM_Q42_369469"/>
      <w:bookmarkEnd w:id="24812"/>
      <w:r>
        <w:rPr>
          <w:rFonts w:hint="cs"/>
          <w:rtl/>
        </w:rPr>
        <w:t xml:space="preserve">לו </w:t>
      </w:r>
      <w:bookmarkStart w:id="24813" w:name="_ETM_Q42_369590"/>
      <w:bookmarkEnd w:id="24813"/>
      <w:r>
        <w:rPr>
          <w:rFonts w:hint="cs"/>
          <w:rtl/>
        </w:rPr>
        <w:t>40%, ואז</w:t>
      </w:r>
      <w:bookmarkStart w:id="24814" w:name="_ETM_Q42_367987"/>
      <w:bookmarkEnd w:id="24814"/>
      <w:r>
        <w:rPr>
          <w:rFonts w:hint="cs"/>
          <w:rtl/>
        </w:rPr>
        <w:t xml:space="preserve"> ה</w:t>
      </w:r>
      <w:bookmarkStart w:id="24815" w:name="_ETM_Q42_373821"/>
      <w:r>
        <w:rPr>
          <w:rFonts w:hint="cs"/>
          <w:rtl/>
        </w:rPr>
        <w:t>וא</w:t>
      </w:r>
      <w:bookmarkStart w:id="24816" w:name="_ETM_Q42_365481"/>
      <w:bookmarkEnd w:id="24816"/>
      <w:r>
        <w:rPr>
          <w:rFonts w:hint="cs"/>
          <w:rtl/>
        </w:rPr>
        <w:t xml:space="preserve"> </w:t>
      </w:r>
      <w:bookmarkStart w:id="24817" w:name="_ETM_Q42_371519"/>
      <w:bookmarkEnd w:id="24817"/>
      <w:r>
        <w:rPr>
          <w:rFonts w:hint="cs"/>
          <w:rtl/>
        </w:rPr>
        <w:t xml:space="preserve">לא </w:t>
      </w:r>
      <w:bookmarkStart w:id="24818" w:name="_ETM_Q42_371639"/>
      <w:bookmarkStart w:id="24819" w:name="_ETM_Q42_371989"/>
      <w:bookmarkStart w:id="24820" w:name="_ETM_Q42_372079"/>
      <w:bookmarkEnd w:id="24818"/>
      <w:bookmarkEnd w:id="24819"/>
      <w:bookmarkEnd w:id="24820"/>
      <w:r>
        <w:rPr>
          <w:rFonts w:hint="cs"/>
          <w:rtl/>
        </w:rPr>
        <w:t xml:space="preserve">רוצה, </w:t>
      </w:r>
      <w:bookmarkStart w:id="24821" w:name="_ETM_Q42_372439"/>
      <w:bookmarkEnd w:id="24821"/>
      <w:r>
        <w:rPr>
          <w:rFonts w:hint="cs"/>
          <w:rtl/>
        </w:rPr>
        <w:t xml:space="preserve">ואז </w:t>
      </w:r>
      <w:bookmarkStart w:id="24822" w:name="_ETM_Q42_372680"/>
      <w:bookmarkEnd w:id="24822"/>
      <w:r>
        <w:rPr>
          <w:rFonts w:hint="cs"/>
          <w:rtl/>
        </w:rPr>
        <w:t xml:space="preserve">הוא </w:t>
      </w:r>
      <w:bookmarkStart w:id="24823" w:name="_ETM_Q42_372739"/>
      <w:bookmarkEnd w:id="24823"/>
      <w:r>
        <w:rPr>
          <w:rFonts w:hint="cs"/>
          <w:rtl/>
        </w:rPr>
        <w:t>מתנגד,</w:t>
      </w:r>
      <w:bookmarkStart w:id="24824" w:name="_ETM_Q42_369745"/>
      <w:bookmarkEnd w:id="24824"/>
      <w:r>
        <w:rPr>
          <w:rFonts w:hint="cs"/>
          <w:rtl/>
        </w:rPr>
        <w:t xml:space="preserve"> </w:t>
      </w:r>
      <w:bookmarkStart w:id="24825" w:name="_ETM_Q42_373669"/>
      <w:bookmarkEnd w:id="24825"/>
      <w:r>
        <w:rPr>
          <w:rFonts w:hint="cs"/>
          <w:rtl/>
        </w:rPr>
        <w:t xml:space="preserve">ואז </w:t>
      </w:r>
      <w:bookmarkStart w:id="24826" w:name="_ETM_Q42_373939"/>
      <w:bookmarkEnd w:id="24826"/>
      <w:r>
        <w:rPr>
          <w:rFonts w:hint="cs"/>
          <w:rtl/>
        </w:rPr>
        <w:t xml:space="preserve">התוכנית </w:t>
      </w:r>
      <w:bookmarkStart w:id="24827" w:name="_ETM_Q42_374239"/>
      <w:bookmarkEnd w:id="24827"/>
      <w:r>
        <w:rPr>
          <w:rFonts w:hint="cs"/>
          <w:rtl/>
        </w:rPr>
        <w:t xml:space="preserve">לא </w:t>
      </w:r>
      <w:bookmarkStart w:id="24828" w:name="_ETM_Q42_374359"/>
      <w:bookmarkEnd w:id="24828"/>
      <w:r>
        <w:rPr>
          <w:rFonts w:hint="cs"/>
          <w:rtl/>
        </w:rPr>
        <w:t>מתקדמת.</w:t>
      </w:r>
      <w:bookmarkStart w:id="24829" w:name="_ETM_Q42_377000"/>
      <w:bookmarkEnd w:id="24829"/>
      <w:r>
        <w:rPr>
          <w:rFonts w:hint="cs"/>
          <w:rtl/>
        </w:rPr>
        <w:t xml:space="preserve"> </w:t>
      </w:r>
      <w:bookmarkStart w:id="24830" w:name="_ETM_Q42_377524"/>
      <w:bookmarkStart w:id="24831" w:name="_ETM_Q42_377583"/>
      <w:bookmarkStart w:id="24832" w:name="_ETM_Q42_377711"/>
      <w:bookmarkStart w:id="24833" w:name="_ETM_Q42_377748"/>
      <w:bookmarkStart w:id="24834" w:name="_ETM_Q42_377150"/>
      <w:bookmarkStart w:id="24835" w:name="_ETM_Q42_377389"/>
      <w:bookmarkStart w:id="24836" w:name="_ETM_Q42_377510"/>
      <w:bookmarkStart w:id="24837" w:name="_ETM_Q42_374006"/>
      <w:bookmarkEnd w:id="24830"/>
      <w:bookmarkEnd w:id="24831"/>
      <w:bookmarkEnd w:id="24832"/>
      <w:bookmarkEnd w:id="24833"/>
      <w:bookmarkEnd w:id="24834"/>
      <w:bookmarkEnd w:id="24835"/>
      <w:bookmarkEnd w:id="24836"/>
      <w:bookmarkEnd w:id="24837"/>
      <w:r>
        <w:rPr>
          <w:rFonts w:hint="cs"/>
          <w:rtl/>
        </w:rPr>
        <w:t>איך יכולה לה</w:t>
      </w:r>
      <w:bookmarkStart w:id="24838" w:name="_ETM_Q42_373407"/>
      <w:bookmarkEnd w:id="24838"/>
      <w:r>
        <w:rPr>
          <w:rFonts w:hint="cs"/>
          <w:rtl/>
        </w:rPr>
        <w:t xml:space="preserve">תקדם </w:t>
      </w:r>
      <w:bookmarkStart w:id="24839" w:name="_ETM_Q42_377840"/>
      <w:bookmarkEnd w:id="24839"/>
      <w:r>
        <w:rPr>
          <w:rFonts w:hint="cs"/>
          <w:rtl/>
        </w:rPr>
        <w:t xml:space="preserve">תוכנית </w:t>
      </w:r>
      <w:bookmarkStart w:id="24840" w:name="_ETM_Q42_378139"/>
      <w:bookmarkEnd w:id="24840"/>
      <w:r>
        <w:rPr>
          <w:rFonts w:hint="cs"/>
          <w:rtl/>
        </w:rPr>
        <w:t>כזאת?</w:t>
      </w:r>
      <w:bookmarkStart w:id="24841" w:name="_ETM_Q42_379599"/>
      <w:bookmarkEnd w:id="24815"/>
      <w:bookmarkEnd w:id="24841"/>
    </w:p>
    <w:p w:rsidR="00BB59CD" w:rsidRDefault="00BB59CD" w:rsidP="00337201">
      <w:pPr>
        <w:rPr>
          <w:rtl/>
        </w:rPr>
      </w:pPr>
      <w:bookmarkStart w:id="24842" w:name="_ETM_Q42_378359"/>
      <w:bookmarkStart w:id="24843" w:name="_ETM_Q42_378400"/>
      <w:bookmarkStart w:id="24844" w:name="_ETM_Q42_378545"/>
      <w:bookmarkEnd w:id="24842"/>
      <w:bookmarkEnd w:id="24843"/>
      <w:bookmarkEnd w:id="24844"/>
    </w:p>
    <w:p w:rsidR="00BB59CD" w:rsidRDefault="00BB59CD" w:rsidP="00775488">
      <w:pPr>
        <w:rPr>
          <w:rtl/>
        </w:rPr>
      </w:pPr>
      <w:bookmarkStart w:id="24845" w:name="_ETM_Q42_378580"/>
      <w:bookmarkEnd w:id="24845"/>
      <w:r>
        <w:rPr>
          <w:rFonts w:hint="cs"/>
          <w:rtl/>
        </w:rPr>
        <w:t xml:space="preserve">המדינה </w:t>
      </w:r>
      <w:bookmarkStart w:id="24846" w:name="_ETM_Q42_380169"/>
      <w:bookmarkEnd w:id="24846"/>
      <w:r>
        <w:rPr>
          <w:rFonts w:hint="cs"/>
          <w:rtl/>
        </w:rPr>
        <w:t xml:space="preserve">צריכה </w:t>
      </w:r>
      <w:bookmarkStart w:id="24847" w:name="_ETM_Q42_380470"/>
      <w:bookmarkEnd w:id="24847"/>
      <w:r>
        <w:rPr>
          <w:rFonts w:hint="cs"/>
          <w:rtl/>
        </w:rPr>
        <w:t xml:space="preserve">להיכנס </w:t>
      </w:r>
      <w:bookmarkStart w:id="24848" w:name="_ETM_Q42_380799"/>
      <w:bookmarkEnd w:id="24848"/>
      <w:r>
        <w:rPr>
          <w:rFonts w:hint="cs"/>
          <w:rtl/>
        </w:rPr>
        <w:t xml:space="preserve">לתמונה. המדינה צריכה להקצות </w:t>
      </w:r>
      <w:bookmarkStart w:id="24849" w:name="_ETM_Q42_381590"/>
      <w:bookmarkStart w:id="24850" w:name="_ETM_Q42_381860"/>
      <w:bookmarkStart w:id="24851" w:name="_ETM_Q42_381919"/>
      <w:bookmarkStart w:id="24852" w:name="_ETM_Q42_382069"/>
      <w:bookmarkStart w:id="24853" w:name="_ETM_Q42_382190"/>
      <w:bookmarkStart w:id="24854" w:name="_ETM_Q42_382280"/>
      <w:bookmarkStart w:id="24855" w:name="_ETM_Q42_382370"/>
      <w:bookmarkStart w:id="24856" w:name="_ETM_Q42_382790"/>
      <w:bookmarkStart w:id="24857" w:name="_ETM_Q42_377990"/>
      <w:bookmarkEnd w:id="24849"/>
      <w:bookmarkEnd w:id="24850"/>
      <w:bookmarkEnd w:id="24851"/>
      <w:bookmarkEnd w:id="24852"/>
      <w:bookmarkEnd w:id="24853"/>
      <w:bookmarkEnd w:id="24854"/>
      <w:bookmarkEnd w:id="24855"/>
      <w:bookmarkEnd w:id="24856"/>
      <w:bookmarkEnd w:id="24857"/>
      <w:r>
        <w:rPr>
          <w:rFonts w:hint="cs"/>
          <w:rtl/>
        </w:rPr>
        <w:t xml:space="preserve">קרקעות </w:t>
      </w:r>
      <w:bookmarkStart w:id="24858" w:name="_ETM_Q42_383419"/>
      <w:bookmarkEnd w:id="24858"/>
      <w:r>
        <w:rPr>
          <w:rFonts w:hint="cs"/>
          <w:rtl/>
        </w:rPr>
        <w:t xml:space="preserve">משלה. המדינה צריכה לעזור </w:t>
      </w:r>
      <w:bookmarkStart w:id="24859" w:name="_ETM_Q42_380972"/>
      <w:bookmarkStart w:id="24860" w:name="_ETM_Q42_384319"/>
      <w:bookmarkStart w:id="24861" w:name="_ETM_Q42_384620"/>
      <w:bookmarkStart w:id="24862" w:name="_ETM_Q42_384950"/>
      <w:bookmarkStart w:id="24863" w:name="_ETM_Q42_385849"/>
      <w:bookmarkEnd w:id="24859"/>
      <w:bookmarkEnd w:id="24860"/>
      <w:bookmarkEnd w:id="24861"/>
      <w:bookmarkEnd w:id="24862"/>
      <w:bookmarkEnd w:id="24863"/>
      <w:r>
        <w:rPr>
          <w:rFonts w:hint="cs"/>
          <w:rtl/>
        </w:rPr>
        <w:t xml:space="preserve">לפתור </w:t>
      </w:r>
      <w:bookmarkStart w:id="24864" w:name="_ETM_Q42_386209"/>
      <w:bookmarkEnd w:id="24864"/>
      <w:r>
        <w:rPr>
          <w:rFonts w:hint="cs"/>
          <w:rtl/>
        </w:rPr>
        <w:t xml:space="preserve">את </w:t>
      </w:r>
      <w:bookmarkStart w:id="24865" w:name="_ETM_Q42_386269"/>
      <w:bookmarkEnd w:id="24865"/>
      <w:r>
        <w:rPr>
          <w:rFonts w:hint="cs"/>
          <w:rtl/>
        </w:rPr>
        <w:t xml:space="preserve">הבעיה </w:t>
      </w:r>
      <w:bookmarkStart w:id="24866" w:name="_ETM_Q42_386599"/>
      <w:bookmarkEnd w:id="24866"/>
      <w:r>
        <w:rPr>
          <w:rFonts w:hint="cs"/>
          <w:rtl/>
        </w:rPr>
        <w:t xml:space="preserve">הזאת </w:t>
      </w:r>
      <w:bookmarkStart w:id="24867" w:name="_ETM_Q42_387440"/>
      <w:bookmarkEnd w:id="24867"/>
      <w:r>
        <w:rPr>
          <w:rFonts w:hint="cs"/>
          <w:rtl/>
        </w:rPr>
        <w:t xml:space="preserve">של </w:t>
      </w:r>
      <w:bookmarkStart w:id="24868" w:name="_ETM_Q42_387620"/>
      <w:bookmarkEnd w:id="24868"/>
      <w:r>
        <w:rPr>
          <w:rFonts w:hint="cs"/>
          <w:rtl/>
        </w:rPr>
        <w:t xml:space="preserve">כל </w:t>
      </w:r>
      <w:bookmarkStart w:id="24869" w:name="_ETM_Q42_387860"/>
      <w:bookmarkEnd w:id="24869"/>
      <w:r>
        <w:rPr>
          <w:rFonts w:hint="cs"/>
          <w:rtl/>
        </w:rPr>
        <w:t xml:space="preserve">הנושא </w:t>
      </w:r>
      <w:bookmarkStart w:id="24870" w:name="_ETM_Q42_388250"/>
      <w:bookmarkEnd w:id="24870"/>
      <w:r>
        <w:rPr>
          <w:rFonts w:hint="cs"/>
          <w:rtl/>
        </w:rPr>
        <w:t xml:space="preserve">של </w:t>
      </w:r>
      <w:bookmarkStart w:id="24871" w:name="_ETM_Q42_388970"/>
      <w:bookmarkEnd w:id="24871"/>
      <w:r>
        <w:rPr>
          <w:rFonts w:hint="cs"/>
          <w:rtl/>
        </w:rPr>
        <w:t xml:space="preserve">חוק </w:t>
      </w:r>
      <w:bookmarkStart w:id="24872" w:name="_ETM_Q42_389330"/>
      <w:bookmarkEnd w:id="24872"/>
      <w:r>
        <w:rPr>
          <w:rFonts w:hint="cs"/>
          <w:rtl/>
        </w:rPr>
        <w:t xml:space="preserve">קמיניץ </w:t>
      </w:r>
      <w:bookmarkStart w:id="24873" w:name="_ETM_Q42_389780"/>
      <w:bookmarkEnd w:id="24873"/>
      <w:r>
        <w:rPr>
          <w:rFonts w:hint="cs"/>
          <w:rtl/>
        </w:rPr>
        <w:t xml:space="preserve">הזה. </w:t>
      </w:r>
      <w:bookmarkStart w:id="24874" w:name="_ETM_Q42_392000"/>
      <w:bookmarkEnd w:id="24874"/>
      <w:r>
        <w:rPr>
          <w:rFonts w:hint="cs"/>
          <w:rtl/>
        </w:rPr>
        <w:t>חוק</w:t>
      </w:r>
      <w:bookmarkStart w:id="24875" w:name="_ETM_Q42_388404"/>
      <w:bookmarkEnd w:id="24875"/>
      <w:r>
        <w:rPr>
          <w:rFonts w:hint="cs"/>
          <w:rtl/>
        </w:rPr>
        <w:t xml:space="preserve"> </w:t>
      </w:r>
      <w:bookmarkStart w:id="24876" w:name="_ETM_Q42_392330"/>
      <w:bookmarkEnd w:id="24876"/>
      <w:r>
        <w:rPr>
          <w:rFonts w:hint="cs"/>
          <w:rtl/>
        </w:rPr>
        <w:t xml:space="preserve">קמיניץ </w:t>
      </w:r>
      <w:bookmarkStart w:id="24877" w:name="_ETM_Q42_392750"/>
      <w:bookmarkEnd w:id="24877"/>
      <w:r>
        <w:rPr>
          <w:rFonts w:hint="cs"/>
          <w:rtl/>
        </w:rPr>
        <w:t xml:space="preserve">הזה </w:t>
      </w:r>
      <w:bookmarkStart w:id="24878" w:name="_ETM_Q42_392900"/>
      <w:bookmarkEnd w:id="24878"/>
      <w:r>
        <w:rPr>
          <w:rFonts w:hint="cs"/>
          <w:rtl/>
        </w:rPr>
        <w:t xml:space="preserve">לא </w:t>
      </w:r>
      <w:bookmarkStart w:id="24879" w:name="_ETM_Q42_393050"/>
      <w:bookmarkEnd w:id="24879"/>
      <w:r>
        <w:rPr>
          <w:rFonts w:hint="cs"/>
          <w:rtl/>
        </w:rPr>
        <w:t xml:space="preserve">יכול </w:t>
      </w:r>
      <w:bookmarkStart w:id="24880" w:name="_ETM_Q42_393319"/>
      <w:bookmarkEnd w:id="24880"/>
      <w:r>
        <w:rPr>
          <w:rFonts w:hint="cs"/>
          <w:rtl/>
        </w:rPr>
        <w:t xml:space="preserve">להמשיך </w:t>
      </w:r>
      <w:bookmarkStart w:id="24881" w:name="_ETM_Q42_393650"/>
      <w:bookmarkEnd w:id="24881"/>
      <w:r>
        <w:rPr>
          <w:rFonts w:hint="cs"/>
          <w:rtl/>
        </w:rPr>
        <w:t xml:space="preserve">להתקיים. </w:t>
      </w:r>
      <w:bookmarkStart w:id="24882" w:name="_ETM_Q42_394990"/>
      <w:bookmarkEnd w:id="24882"/>
      <w:r>
        <w:rPr>
          <w:rFonts w:hint="cs"/>
          <w:rtl/>
        </w:rPr>
        <w:t xml:space="preserve">הוא </w:t>
      </w:r>
      <w:bookmarkStart w:id="24883" w:name="_ETM_Q42_395230"/>
      <w:bookmarkEnd w:id="24883"/>
      <w:r>
        <w:rPr>
          <w:rFonts w:hint="cs"/>
          <w:rtl/>
        </w:rPr>
        <w:t xml:space="preserve">הביא </w:t>
      </w:r>
      <w:bookmarkStart w:id="24884" w:name="_ETM_Q42_395440"/>
      <w:bookmarkEnd w:id="24884"/>
      <w:r>
        <w:rPr>
          <w:rFonts w:hint="cs"/>
          <w:rtl/>
        </w:rPr>
        <w:t>ל</w:t>
      </w:r>
      <w:bookmarkStart w:id="24885" w:name="_ETM_Q42_392514"/>
      <w:bookmarkEnd w:id="24885"/>
      <w:r>
        <w:rPr>
          <w:rFonts w:hint="cs"/>
          <w:rtl/>
        </w:rPr>
        <w:t xml:space="preserve">הרס </w:t>
      </w:r>
      <w:bookmarkStart w:id="24886" w:name="_ETM_Q42_396190"/>
      <w:bookmarkEnd w:id="24886"/>
      <w:r>
        <w:rPr>
          <w:rFonts w:hint="cs"/>
          <w:rtl/>
        </w:rPr>
        <w:t xml:space="preserve">טוטלי </w:t>
      </w:r>
      <w:bookmarkStart w:id="24887" w:name="_ETM_Q42_396580"/>
      <w:bookmarkEnd w:id="24887"/>
      <w:r>
        <w:rPr>
          <w:rFonts w:hint="cs"/>
          <w:rtl/>
        </w:rPr>
        <w:t xml:space="preserve">של </w:t>
      </w:r>
      <w:bookmarkStart w:id="24888" w:name="_ETM_Q42_396730"/>
      <w:bookmarkEnd w:id="24888"/>
      <w:r>
        <w:rPr>
          <w:rFonts w:hint="cs"/>
          <w:rtl/>
        </w:rPr>
        <w:t xml:space="preserve">משפחות </w:t>
      </w:r>
      <w:bookmarkStart w:id="24889" w:name="_ETM_Q42_397120"/>
      <w:bookmarkEnd w:id="24889"/>
      <w:r>
        <w:rPr>
          <w:rFonts w:hint="cs"/>
          <w:rtl/>
        </w:rPr>
        <w:t xml:space="preserve">שלמות. </w:t>
      </w:r>
      <w:bookmarkStart w:id="24890" w:name="_ETM_Q42_397999"/>
      <w:bookmarkEnd w:id="24890"/>
      <w:r>
        <w:rPr>
          <w:rFonts w:hint="cs"/>
          <w:rtl/>
        </w:rPr>
        <w:t xml:space="preserve">משפחות </w:t>
      </w:r>
      <w:bookmarkStart w:id="24891" w:name="_ETM_Q42_398689"/>
      <w:bookmarkEnd w:id="24891"/>
      <w:r>
        <w:rPr>
          <w:rFonts w:hint="cs"/>
          <w:rtl/>
        </w:rPr>
        <w:t xml:space="preserve">מתפרקות </w:t>
      </w:r>
      <w:bookmarkStart w:id="24892" w:name="_ETM_Q42_400560"/>
      <w:bookmarkEnd w:id="24892"/>
      <w:r>
        <w:rPr>
          <w:rFonts w:hint="cs"/>
          <w:rtl/>
        </w:rPr>
        <w:t xml:space="preserve">בגלל </w:t>
      </w:r>
      <w:bookmarkStart w:id="24893" w:name="_ETM_Q42_400950"/>
      <w:bookmarkEnd w:id="24893"/>
      <w:r>
        <w:rPr>
          <w:rFonts w:hint="cs"/>
          <w:rtl/>
        </w:rPr>
        <w:t xml:space="preserve">חוק </w:t>
      </w:r>
      <w:bookmarkStart w:id="24894" w:name="_ETM_Q42_401280"/>
      <w:bookmarkStart w:id="24895" w:name="_ETM_Q42_397056"/>
      <w:bookmarkEnd w:id="24894"/>
      <w:bookmarkEnd w:id="24895"/>
      <w:r>
        <w:rPr>
          <w:rFonts w:hint="cs"/>
          <w:rtl/>
        </w:rPr>
        <w:t xml:space="preserve">קמיניץ </w:t>
      </w:r>
      <w:bookmarkStart w:id="24896" w:name="_ETM_Q42_401640"/>
      <w:bookmarkEnd w:id="24896"/>
      <w:r>
        <w:rPr>
          <w:rFonts w:hint="cs"/>
          <w:rtl/>
        </w:rPr>
        <w:t xml:space="preserve">הזה. </w:t>
      </w:r>
      <w:bookmarkStart w:id="24897" w:name="_ETM_Q42_402730"/>
      <w:bookmarkEnd w:id="24897"/>
      <w:r>
        <w:rPr>
          <w:rFonts w:hint="cs"/>
          <w:rtl/>
        </w:rPr>
        <w:t xml:space="preserve">אנשים </w:t>
      </w:r>
      <w:bookmarkStart w:id="24898" w:name="_ETM_Q42_403120"/>
      <w:bookmarkEnd w:id="24898"/>
      <w:r>
        <w:rPr>
          <w:rFonts w:hint="cs"/>
          <w:rtl/>
        </w:rPr>
        <w:t xml:space="preserve">מקבלים </w:t>
      </w:r>
      <w:bookmarkStart w:id="24899" w:name="_ETM_Q42_403480"/>
      <w:bookmarkEnd w:id="24899"/>
      <w:r>
        <w:rPr>
          <w:rFonts w:hint="cs"/>
          <w:rtl/>
        </w:rPr>
        <w:t xml:space="preserve">קנסות </w:t>
      </w:r>
      <w:bookmarkStart w:id="24900" w:name="_ETM_Q42_405240"/>
      <w:bookmarkEnd w:id="24900"/>
      <w:r>
        <w:rPr>
          <w:rFonts w:hint="cs"/>
          <w:rtl/>
        </w:rPr>
        <w:t xml:space="preserve">בסכומים </w:t>
      </w:r>
      <w:bookmarkStart w:id="24901" w:name="_ETM_Q42_405720"/>
      <w:bookmarkEnd w:id="24901"/>
      <w:r>
        <w:rPr>
          <w:rFonts w:hint="cs"/>
          <w:rtl/>
        </w:rPr>
        <w:t xml:space="preserve">שהם לא </w:t>
      </w:r>
      <w:bookmarkStart w:id="24902" w:name="_ETM_Q42_406080"/>
      <w:bookmarkEnd w:id="24902"/>
      <w:r>
        <w:rPr>
          <w:rFonts w:hint="cs"/>
          <w:rtl/>
        </w:rPr>
        <w:t xml:space="preserve">יכולים </w:t>
      </w:r>
      <w:bookmarkStart w:id="24903" w:name="_ETM_Q42_406410"/>
      <w:bookmarkEnd w:id="24903"/>
      <w:r>
        <w:rPr>
          <w:rFonts w:hint="cs"/>
          <w:rtl/>
        </w:rPr>
        <w:t xml:space="preserve">לעמוד </w:t>
      </w:r>
      <w:bookmarkStart w:id="24904" w:name="_ETM_Q42_406770"/>
      <w:bookmarkEnd w:id="24904"/>
      <w:r>
        <w:rPr>
          <w:rFonts w:hint="cs"/>
          <w:rtl/>
        </w:rPr>
        <w:t>בהם</w:t>
      </w:r>
      <w:bookmarkStart w:id="24905" w:name="_ETM_Q42_403732"/>
      <w:bookmarkEnd w:id="24905"/>
      <w:r>
        <w:rPr>
          <w:rFonts w:hint="cs"/>
          <w:rtl/>
        </w:rPr>
        <w:t xml:space="preserve">, </w:t>
      </w:r>
      <w:bookmarkStart w:id="24906" w:name="_ETM_Q42_407790"/>
      <w:bookmarkEnd w:id="24906"/>
      <w:r>
        <w:rPr>
          <w:rFonts w:hint="cs"/>
          <w:rtl/>
        </w:rPr>
        <w:t xml:space="preserve">ואז </w:t>
      </w:r>
      <w:bookmarkStart w:id="24907" w:name="_ETM_Q42_408180"/>
      <w:bookmarkEnd w:id="24907"/>
      <w:r>
        <w:rPr>
          <w:rFonts w:hint="cs"/>
          <w:rtl/>
        </w:rPr>
        <w:t xml:space="preserve">מתחילים </w:t>
      </w:r>
      <w:bookmarkStart w:id="24908" w:name="_ETM_Q42_408599"/>
      <w:bookmarkEnd w:id="24908"/>
      <w:r>
        <w:rPr>
          <w:rFonts w:hint="cs"/>
          <w:rtl/>
        </w:rPr>
        <w:t xml:space="preserve">העיקולים, </w:t>
      </w:r>
      <w:bookmarkStart w:id="24909" w:name="_ETM_Q42_409500"/>
      <w:bookmarkEnd w:id="24909"/>
      <w:r>
        <w:rPr>
          <w:rFonts w:hint="cs"/>
          <w:rtl/>
        </w:rPr>
        <w:t xml:space="preserve">ואז </w:t>
      </w:r>
      <w:bookmarkStart w:id="24910" w:name="_ETM_Q42_409799"/>
      <w:bookmarkEnd w:id="24910"/>
      <w:r>
        <w:rPr>
          <w:rFonts w:hint="cs"/>
          <w:rtl/>
        </w:rPr>
        <w:t>מתח</w:t>
      </w:r>
      <w:bookmarkStart w:id="24911" w:name="_ETM_Q42_406232"/>
      <w:bookmarkEnd w:id="24911"/>
      <w:r>
        <w:rPr>
          <w:rFonts w:hint="cs"/>
          <w:rtl/>
        </w:rPr>
        <w:t xml:space="preserve">יל </w:t>
      </w:r>
      <w:bookmarkStart w:id="24912" w:name="_ETM_Q42_410099"/>
      <w:bookmarkEnd w:id="24912"/>
      <w:r>
        <w:rPr>
          <w:rFonts w:hint="cs"/>
          <w:rtl/>
        </w:rPr>
        <w:t xml:space="preserve">הסכסוך </w:t>
      </w:r>
      <w:bookmarkStart w:id="24913" w:name="_ETM_Q42_410489"/>
      <w:bookmarkEnd w:id="24913"/>
      <w:r>
        <w:rPr>
          <w:rFonts w:hint="cs"/>
          <w:rtl/>
        </w:rPr>
        <w:t xml:space="preserve">בתוך </w:t>
      </w:r>
      <w:bookmarkStart w:id="24914" w:name="_ETM_Q42_410760"/>
      <w:bookmarkEnd w:id="24914"/>
      <w:r>
        <w:rPr>
          <w:rFonts w:hint="cs"/>
          <w:rtl/>
        </w:rPr>
        <w:t xml:space="preserve">המשפחה, </w:t>
      </w:r>
      <w:bookmarkStart w:id="24915" w:name="_ETM_Q42_411180"/>
      <w:bookmarkEnd w:id="24915"/>
      <w:r>
        <w:rPr>
          <w:rFonts w:hint="cs"/>
          <w:rtl/>
        </w:rPr>
        <w:t xml:space="preserve">ואז </w:t>
      </w:r>
      <w:bookmarkStart w:id="24916" w:name="_ETM_Q42_411420"/>
      <w:bookmarkEnd w:id="24916"/>
      <w:r>
        <w:rPr>
          <w:rFonts w:hint="cs"/>
          <w:rtl/>
        </w:rPr>
        <w:t xml:space="preserve">המשפחה </w:t>
      </w:r>
      <w:bookmarkStart w:id="24917" w:name="_ETM_Q42_411810"/>
      <w:bookmarkEnd w:id="24917"/>
      <w:r>
        <w:rPr>
          <w:rFonts w:hint="cs"/>
          <w:rtl/>
        </w:rPr>
        <w:t xml:space="preserve">מתפרקת. </w:t>
      </w:r>
      <w:bookmarkStart w:id="24918" w:name="_ETM_Q42_413830"/>
      <w:bookmarkEnd w:id="24918"/>
      <w:r>
        <w:rPr>
          <w:rFonts w:hint="cs"/>
          <w:rtl/>
        </w:rPr>
        <w:t xml:space="preserve">מי </w:t>
      </w:r>
      <w:bookmarkStart w:id="24919" w:name="_ETM_Q42_414160"/>
      <w:bookmarkEnd w:id="24919"/>
      <w:r>
        <w:rPr>
          <w:rFonts w:hint="cs"/>
          <w:rtl/>
        </w:rPr>
        <w:t xml:space="preserve">מרוויח </w:t>
      </w:r>
      <w:bookmarkStart w:id="24920" w:name="_ETM_Q42_414580"/>
      <w:bookmarkEnd w:id="24920"/>
      <w:r>
        <w:rPr>
          <w:rFonts w:hint="cs"/>
          <w:rtl/>
        </w:rPr>
        <w:t xml:space="preserve">מכל </w:t>
      </w:r>
      <w:bookmarkStart w:id="24921" w:name="_ETM_Q42_414880"/>
      <w:bookmarkEnd w:id="24921"/>
      <w:r>
        <w:rPr>
          <w:rFonts w:hint="cs"/>
          <w:rtl/>
        </w:rPr>
        <w:t xml:space="preserve">זה? </w:t>
      </w:r>
      <w:bookmarkStart w:id="24922" w:name="_ETM_Q42_416349"/>
      <w:bookmarkStart w:id="24923" w:name="_ETM_Q42_412151"/>
      <w:bookmarkEnd w:id="24922"/>
      <w:bookmarkEnd w:id="24923"/>
      <w:r>
        <w:rPr>
          <w:rFonts w:hint="cs"/>
          <w:rtl/>
        </w:rPr>
        <w:t xml:space="preserve">אני </w:t>
      </w:r>
      <w:bookmarkStart w:id="24924" w:name="_ETM_Q42_416560"/>
      <w:bookmarkEnd w:id="24924"/>
      <w:r>
        <w:rPr>
          <w:rFonts w:hint="cs"/>
          <w:rtl/>
        </w:rPr>
        <w:t xml:space="preserve">רוצה </w:t>
      </w:r>
      <w:bookmarkStart w:id="24925" w:name="_ETM_Q42_416799"/>
      <w:bookmarkEnd w:id="24925"/>
      <w:r>
        <w:rPr>
          <w:rFonts w:hint="cs"/>
          <w:rtl/>
        </w:rPr>
        <w:t xml:space="preserve">להבין </w:t>
      </w:r>
      <w:bookmarkStart w:id="24926" w:name="_ETM_Q42_417069"/>
      <w:bookmarkEnd w:id="24926"/>
      <w:r>
        <w:rPr>
          <w:rFonts w:hint="cs"/>
          <w:rtl/>
        </w:rPr>
        <w:t xml:space="preserve">מי </w:t>
      </w:r>
      <w:bookmarkStart w:id="24927" w:name="_ETM_Q42_417220"/>
      <w:bookmarkEnd w:id="24927"/>
      <w:r>
        <w:rPr>
          <w:rFonts w:hint="cs"/>
          <w:rtl/>
        </w:rPr>
        <w:t xml:space="preserve">מרוויח </w:t>
      </w:r>
      <w:bookmarkStart w:id="24928" w:name="_ETM_Q42_417700"/>
      <w:bookmarkEnd w:id="24928"/>
      <w:r>
        <w:rPr>
          <w:rFonts w:hint="cs"/>
          <w:rtl/>
        </w:rPr>
        <w:t xml:space="preserve">מכל </w:t>
      </w:r>
      <w:bookmarkStart w:id="24929" w:name="_ETM_Q42_418000"/>
      <w:bookmarkEnd w:id="24929"/>
      <w:r>
        <w:rPr>
          <w:rFonts w:hint="cs"/>
          <w:rtl/>
        </w:rPr>
        <w:t>זה</w:t>
      </w:r>
      <w:bookmarkStart w:id="24930" w:name="_ETM_Q42_417315"/>
      <w:bookmarkEnd w:id="24930"/>
      <w:r w:rsidR="00775488">
        <w:rPr>
          <w:rFonts w:hint="cs"/>
          <w:rtl/>
        </w:rPr>
        <w:t>,</w:t>
      </w:r>
      <w:r>
        <w:rPr>
          <w:rFonts w:hint="cs"/>
          <w:rtl/>
        </w:rPr>
        <w:t xml:space="preserve"> </w:t>
      </w:r>
      <w:bookmarkStart w:id="24931" w:name="_ETM_Q42_419140"/>
      <w:bookmarkEnd w:id="24931"/>
      <w:r>
        <w:rPr>
          <w:rFonts w:hint="cs"/>
          <w:rtl/>
        </w:rPr>
        <w:t xml:space="preserve">ואני </w:t>
      </w:r>
      <w:bookmarkStart w:id="24932" w:name="_ETM_Q42_419500"/>
      <w:bookmarkEnd w:id="24932"/>
      <w:r>
        <w:rPr>
          <w:rFonts w:hint="cs"/>
          <w:rtl/>
        </w:rPr>
        <w:t xml:space="preserve">לא </w:t>
      </w:r>
      <w:bookmarkStart w:id="24933" w:name="_ETM_Q42_419620"/>
      <w:bookmarkEnd w:id="24933"/>
      <w:r>
        <w:rPr>
          <w:rFonts w:hint="cs"/>
          <w:rtl/>
        </w:rPr>
        <w:t xml:space="preserve">מצליח </w:t>
      </w:r>
      <w:bookmarkStart w:id="24934" w:name="_ETM_Q42_420010"/>
      <w:bookmarkEnd w:id="24934"/>
      <w:r>
        <w:rPr>
          <w:rFonts w:hint="cs"/>
          <w:rtl/>
        </w:rPr>
        <w:t>להבין.</w:t>
      </w:r>
      <w:bookmarkStart w:id="24935" w:name="_ETM_Q42_421650"/>
      <w:bookmarkEnd w:id="24935"/>
      <w:r>
        <w:rPr>
          <w:rFonts w:hint="cs"/>
          <w:rtl/>
        </w:rPr>
        <w:t xml:space="preserve"> </w:t>
      </w:r>
      <w:bookmarkStart w:id="24936" w:name="_ETM_Q42_419682"/>
      <w:bookmarkStart w:id="24937" w:name="_ETM_Q42_419757"/>
      <w:bookmarkStart w:id="24938" w:name="_ETM_Q42_419812"/>
      <w:bookmarkStart w:id="24939" w:name="_ETM_Q42_419886"/>
      <w:bookmarkEnd w:id="24936"/>
      <w:bookmarkEnd w:id="24937"/>
      <w:bookmarkEnd w:id="24938"/>
      <w:bookmarkEnd w:id="24939"/>
      <w:r>
        <w:rPr>
          <w:rFonts w:hint="cs"/>
          <w:rtl/>
        </w:rPr>
        <w:t xml:space="preserve">במדינה </w:t>
      </w:r>
      <w:bookmarkStart w:id="24940" w:name="_ETM_Q42_422760"/>
      <w:bookmarkEnd w:id="24940"/>
      <w:r>
        <w:rPr>
          <w:rFonts w:hint="cs"/>
          <w:rtl/>
        </w:rPr>
        <w:t>ש</w:t>
      </w:r>
      <w:bookmarkStart w:id="24941" w:name="_ETM_Q42_422970"/>
      <w:bookmarkEnd w:id="24941"/>
      <w:r>
        <w:rPr>
          <w:rFonts w:hint="cs"/>
          <w:rtl/>
        </w:rPr>
        <w:t xml:space="preserve">אומרת: </w:t>
      </w:r>
      <w:bookmarkStart w:id="24942" w:name="_ETM_Q42_423270"/>
      <w:bookmarkEnd w:id="24942"/>
      <w:r>
        <w:rPr>
          <w:rFonts w:hint="cs"/>
          <w:rtl/>
        </w:rPr>
        <w:t xml:space="preserve">אנחנו </w:t>
      </w:r>
      <w:bookmarkStart w:id="24943" w:name="_ETM_Q42_423570"/>
      <w:bookmarkEnd w:id="24943"/>
      <w:r>
        <w:rPr>
          <w:rFonts w:hint="cs"/>
          <w:rtl/>
        </w:rPr>
        <w:t xml:space="preserve">רוצים </w:t>
      </w:r>
      <w:bookmarkStart w:id="24944" w:name="_ETM_Q42_423870"/>
      <w:bookmarkEnd w:id="24944"/>
      <w:r>
        <w:rPr>
          <w:rFonts w:hint="cs"/>
          <w:rtl/>
        </w:rPr>
        <w:t xml:space="preserve">לעזור </w:t>
      </w:r>
      <w:bookmarkStart w:id="24945" w:name="_ETM_Q42_424350"/>
      <w:bookmarkEnd w:id="24945"/>
      <w:r>
        <w:rPr>
          <w:rFonts w:hint="cs"/>
          <w:rtl/>
        </w:rPr>
        <w:t xml:space="preserve">לאזרח, </w:t>
      </w:r>
      <w:bookmarkStart w:id="24946" w:name="_ETM_Q42_425659"/>
      <w:bookmarkEnd w:id="24946"/>
      <w:r>
        <w:rPr>
          <w:rFonts w:hint="cs"/>
          <w:rtl/>
        </w:rPr>
        <w:t xml:space="preserve">רוצים </w:t>
      </w:r>
      <w:bookmarkStart w:id="24947" w:name="_ETM_Q42_425959"/>
      <w:bookmarkEnd w:id="24947"/>
      <w:r>
        <w:rPr>
          <w:rFonts w:hint="cs"/>
          <w:rtl/>
        </w:rPr>
        <w:t xml:space="preserve">לתת </w:t>
      </w:r>
      <w:bookmarkStart w:id="24948" w:name="_ETM_Q42_426349"/>
      <w:bookmarkEnd w:id="24948"/>
      <w:r>
        <w:rPr>
          <w:rFonts w:hint="cs"/>
          <w:rtl/>
        </w:rPr>
        <w:t>לאזרח,</w:t>
      </w:r>
      <w:bookmarkStart w:id="24949" w:name="_ETM_Q42_424521"/>
      <w:bookmarkEnd w:id="24949"/>
      <w:r>
        <w:rPr>
          <w:rFonts w:hint="cs"/>
          <w:rtl/>
        </w:rPr>
        <w:t xml:space="preserve"> </w:t>
      </w:r>
      <w:bookmarkStart w:id="24950" w:name="_ETM_Q42_427409"/>
      <w:bookmarkEnd w:id="24950"/>
      <w:r>
        <w:rPr>
          <w:rFonts w:hint="cs"/>
          <w:rtl/>
        </w:rPr>
        <w:t xml:space="preserve">רוצים </w:t>
      </w:r>
      <w:bookmarkStart w:id="24951" w:name="_ETM_Q42_427799"/>
      <w:bookmarkEnd w:id="24951"/>
      <w:r>
        <w:rPr>
          <w:rFonts w:hint="cs"/>
          <w:rtl/>
        </w:rPr>
        <w:t xml:space="preserve">לאפשר </w:t>
      </w:r>
      <w:bookmarkStart w:id="24952" w:name="_ETM_Q42_428129"/>
      <w:bookmarkEnd w:id="24952"/>
      <w:r>
        <w:rPr>
          <w:rFonts w:hint="cs"/>
          <w:rtl/>
        </w:rPr>
        <w:t>ל</w:t>
      </w:r>
      <w:bookmarkStart w:id="24953" w:name="_ETM_Q42_428220"/>
      <w:bookmarkEnd w:id="24953"/>
      <w:r>
        <w:rPr>
          <w:rFonts w:hint="cs"/>
          <w:rtl/>
        </w:rPr>
        <w:t xml:space="preserve">כל </w:t>
      </w:r>
      <w:bookmarkStart w:id="24954" w:name="_ETM_Q42_428400"/>
      <w:bookmarkEnd w:id="24954"/>
      <w:r>
        <w:rPr>
          <w:rFonts w:hint="cs"/>
          <w:rtl/>
        </w:rPr>
        <w:t xml:space="preserve">אחד </w:t>
      </w:r>
      <w:bookmarkStart w:id="24955" w:name="_ETM_Q42_428640"/>
      <w:bookmarkEnd w:id="24955"/>
      <w:r>
        <w:rPr>
          <w:rFonts w:hint="cs"/>
          <w:rtl/>
        </w:rPr>
        <w:t>שיהי</w:t>
      </w:r>
      <w:bookmarkStart w:id="24956" w:name="_ETM_Q42_426959"/>
      <w:bookmarkEnd w:id="24956"/>
      <w:r>
        <w:rPr>
          <w:rFonts w:hint="cs"/>
          <w:rtl/>
        </w:rPr>
        <w:t xml:space="preserve">ה </w:t>
      </w:r>
      <w:bookmarkStart w:id="24957" w:name="_ETM_Q42_428849"/>
      <w:bookmarkEnd w:id="24957"/>
      <w:r>
        <w:rPr>
          <w:rFonts w:hint="cs"/>
          <w:rtl/>
        </w:rPr>
        <w:t xml:space="preserve">לו </w:t>
      </w:r>
      <w:bookmarkStart w:id="24958" w:name="_ETM_Q42_428970"/>
      <w:bookmarkEnd w:id="24958"/>
      <w:r>
        <w:rPr>
          <w:rFonts w:hint="cs"/>
          <w:rtl/>
        </w:rPr>
        <w:t xml:space="preserve">בית </w:t>
      </w:r>
      <w:bookmarkStart w:id="24959" w:name="_ETM_Q42_430459"/>
      <w:bookmarkEnd w:id="24959"/>
      <w:r>
        <w:rPr>
          <w:rFonts w:hint="cs"/>
          <w:rtl/>
        </w:rPr>
        <w:t>– למה</w:t>
      </w:r>
      <w:r w:rsidR="00775488">
        <w:rPr>
          <w:rFonts w:hint="cs"/>
          <w:rtl/>
        </w:rPr>
        <w:t>,</w:t>
      </w:r>
      <w:r>
        <w:rPr>
          <w:rFonts w:hint="cs"/>
          <w:rtl/>
        </w:rPr>
        <w:t xml:space="preserve"> </w:t>
      </w:r>
      <w:bookmarkStart w:id="24960" w:name="_ETM_Q42_432730"/>
      <w:bookmarkEnd w:id="24960"/>
      <w:r>
        <w:rPr>
          <w:rFonts w:hint="cs"/>
          <w:rtl/>
        </w:rPr>
        <w:t xml:space="preserve">למה </w:t>
      </w:r>
      <w:bookmarkStart w:id="24961" w:name="_ETM_Q42_433180"/>
      <w:bookmarkStart w:id="24962" w:name="_ETM_Q42_433450"/>
      <w:bookmarkStart w:id="24963" w:name="_ETM_Q42_433690"/>
      <w:bookmarkStart w:id="24964" w:name="_ETM_Q42_434019"/>
      <w:bookmarkStart w:id="24965" w:name="_ETM_Q42_434170"/>
      <w:bookmarkStart w:id="24966" w:name="_ETM_Q42_430081"/>
      <w:bookmarkEnd w:id="24961"/>
      <w:bookmarkEnd w:id="24962"/>
      <w:bookmarkEnd w:id="24963"/>
      <w:bookmarkEnd w:id="24964"/>
      <w:bookmarkEnd w:id="24965"/>
      <w:bookmarkEnd w:id="24966"/>
      <w:r>
        <w:rPr>
          <w:rFonts w:hint="cs"/>
          <w:rtl/>
        </w:rPr>
        <w:t xml:space="preserve">חוק קמיניץ הזה צריך </w:t>
      </w:r>
      <w:bookmarkStart w:id="24967" w:name="_ETM_Q42_434410"/>
      <w:bookmarkEnd w:id="24967"/>
      <w:r>
        <w:rPr>
          <w:rFonts w:hint="cs"/>
          <w:rtl/>
        </w:rPr>
        <w:t xml:space="preserve">לבוא </w:t>
      </w:r>
      <w:bookmarkStart w:id="24968" w:name="_ETM_Q42_434620"/>
      <w:bookmarkEnd w:id="24968"/>
      <w:r>
        <w:rPr>
          <w:rFonts w:hint="cs"/>
          <w:rtl/>
        </w:rPr>
        <w:t xml:space="preserve">ולהרוס </w:t>
      </w:r>
      <w:bookmarkStart w:id="24969" w:name="_ETM_Q42_435040"/>
      <w:bookmarkEnd w:id="24969"/>
      <w:r>
        <w:rPr>
          <w:rFonts w:hint="cs"/>
          <w:rtl/>
        </w:rPr>
        <w:t xml:space="preserve">את </w:t>
      </w:r>
      <w:bookmarkStart w:id="24970" w:name="_ETM_Q42_435099"/>
      <w:bookmarkEnd w:id="24970"/>
      <w:r>
        <w:rPr>
          <w:rFonts w:hint="cs"/>
          <w:rtl/>
        </w:rPr>
        <w:t xml:space="preserve">כל </w:t>
      </w:r>
      <w:bookmarkStart w:id="24971" w:name="_ETM_Q42_435280"/>
      <w:bookmarkEnd w:id="24971"/>
      <w:r>
        <w:rPr>
          <w:rFonts w:hint="cs"/>
          <w:rtl/>
        </w:rPr>
        <w:t xml:space="preserve">המשפחות </w:t>
      </w:r>
      <w:bookmarkStart w:id="24972" w:name="_ETM_Q42_435760"/>
      <w:bookmarkEnd w:id="24972"/>
      <w:r>
        <w:rPr>
          <w:rFonts w:hint="cs"/>
          <w:rtl/>
        </w:rPr>
        <w:t>האלה</w:t>
      </w:r>
      <w:bookmarkStart w:id="24973" w:name="_ETM_Q42_433211"/>
      <w:bookmarkEnd w:id="24973"/>
      <w:r>
        <w:rPr>
          <w:rFonts w:hint="cs"/>
          <w:rtl/>
        </w:rPr>
        <w:t xml:space="preserve"> </w:t>
      </w:r>
      <w:bookmarkStart w:id="24974" w:name="_ETM_Q42_436640"/>
      <w:bookmarkEnd w:id="24974"/>
      <w:r>
        <w:rPr>
          <w:rFonts w:hint="cs"/>
          <w:rtl/>
        </w:rPr>
        <w:t>ולהרוס את כל</w:t>
      </w:r>
      <w:bookmarkStart w:id="24975" w:name="_ETM_Q42_437945"/>
      <w:bookmarkEnd w:id="24975"/>
      <w:r>
        <w:rPr>
          <w:rFonts w:hint="cs"/>
          <w:rtl/>
        </w:rPr>
        <w:t xml:space="preserve"> </w:t>
      </w:r>
      <w:bookmarkStart w:id="24976" w:name="_ETM_Q42_436970"/>
      <w:bookmarkStart w:id="24977" w:name="_ETM_Q42_437300"/>
      <w:bookmarkStart w:id="24978" w:name="_ETM_Q42_433720"/>
      <w:bookmarkStart w:id="24979" w:name="_ETM_Q42_429102"/>
      <w:bookmarkEnd w:id="24976"/>
      <w:bookmarkEnd w:id="24977"/>
      <w:bookmarkEnd w:id="24978"/>
      <w:bookmarkEnd w:id="24979"/>
      <w:r>
        <w:rPr>
          <w:rFonts w:hint="cs"/>
          <w:rtl/>
        </w:rPr>
        <w:t xml:space="preserve">הבתים </w:t>
      </w:r>
      <w:bookmarkStart w:id="24980" w:name="_ETM_Q42_437660"/>
      <w:bookmarkEnd w:id="24980"/>
      <w:r>
        <w:rPr>
          <w:rFonts w:hint="cs"/>
          <w:rtl/>
        </w:rPr>
        <w:t>האלה?</w:t>
      </w:r>
      <w:bookmarkStart w:id="24981" w:name="_ETM_Q42_434437"/>
      <w:bookmarkEnd w:id="24981"/>
      <w:r>
        <w:rPr>
          <w:rFonts w:hint="cs"/>
          <w:rtl/>
        </w:rPr>
        <w:t xml:space="preserve"> </w:t>
      </w:r>
      <w:bookmarkStart w:id="24982" w:name="_ETM_Q42_438380"/>
      <w:bookmarkEnd w:id="24982"/>
      <w:r>
        <w:rPr>
          <w:rFonts w:hint="cs"/>
          <w:rtl/>
        </w:rPr>
        <w:t>ל</w:t>
      </w:r>
      <w:bookmarkStart w:id="24983" w:name="_ETM_Q42_430017"/>
      <w:bookmarkEnd w:id="24983"/>
      <w:r>
        <w:rPr>
          <w:rFonts w:hint="cs"/>
          <w:rtl/>
        </w:rPr>
        <w:t xml:space="preserve">מה לא </w:t>
      </w:r>
      <w:bookmarkStart w:id="24984" w:name="_ETM_Q42_434235"/>
      <w:bookmarkEnd w:id="24984"/>
      <w:r>
        <w:rPr>
          <w:rFonts w:hint="cs"/>
          <w:rtl/>
        </w:rPr>
        <w:t xml:space="preserve">לאפשר </w:t>
      </w:r>
      <w:bookmarkStart w:id="24985" w:name="_ETM_Q42_438560"/>
      <w:bookmarkStart w:id="24986" w:name="_ETM_Q42_439160"/>
      <w:bookmarkStart w:id="24987" w:name="_ETM_Q42_439910"/>
      <w:bookmarkStart w:id="24988" w:name="_ETM_Q42_441550"/>
      <w:bookmarkEnd w:id="24985"/>
      <w:bookmarkEnd w:id="24986"/>
      <w:bookmarkEnd w:id="24987"/>
      <w:bookmarkEnd w:id="24988"/>
      <w:r>
        <w:rPr>
          <w:rFonts w:hint="cs"/>
          <w:rtl/>
        </w:rPr>
        <w:t xml:space="preserve">לזוג קורת </w:t>
      </w:r>
      <w:bookmarkStart w:id="24989" w:name="_ETM_Q42_441940"/>
      <w:bookmarkEnd w:id="24989"/>
      <w:r>
        <w:rPr>
          <w:rFonts w:hint="cs"/>
          <w:rtl/>
        </w:rPr>
        <w:t xml:space="preserve">גג </w:t>
      </w:r>
      <w:bookmarkStart w:id="24990" w:name="_ETM_Q42_442300"/>
      <w:bookmarkEnd w:id="24990"/>
      <w:r>
        <w:rPr>
          <w:rFonts w:hint="cs"/>
          <w:rtl/>
        </w:rPr>
        <w:t xml:space="preserve">במדינת </w:t>
      </w:r>
      <w:bookmarkStart w:id="24991" w:name="_ETM_Q42_442720"/>
      <w:bookmarkEnd w:id="24991"/>
      <w:r>
        <w:rPr>
          <w:rFonts w:hint="cs"/>
          <w:rtl/>
        </w:rPr>
        <w:t>ישראל?</w:t>
      </w:r>
      <w:bookmarkStart w:id="24992" w:name="_ETM_Q42_438759"/>
      <w:bookmarkEnd w:id="24992"/>
      <w:r>
        <w:rPr>
          <w:rFonts w:hint="cs"/>
          <w:rtl/>
        </w:rPr>
        <w:t xml:space="preserve"> </w:t>
      </w:r>
      <w:bookmarkStart w:id="24993" w:name="_ETM_Q42_444730"/>
      <w:bookmarkEnd w:id="24993"/>
      <w:r>
        <w:rPr>
          <w:rFonts w:hint="cs"/>
          <w:rtl/>
        </w:rPr>
        <w:t xml:space="preserve">וזה </w:t>
      </w:r>
      <w:bookmarkStart w:id="24994" w:name="_ETM_Q42_444970"/>
      <w:bookmarkEnd w:id="24994"/>
      <w:r>
        <w:rPr>
          <w:rFonts w:hint="cs"/>
          <w:rtl/>
        </w:rPr>
        <w:t xml:space="preserve">תפקידה </w:t>
      </w:r>
      <w:bookmarkStart w:id="24995" w:name="_ETM_Q42_445390"/>
      <w:bookmarkEnd w:id="24995"/>
      <w:r>
        <w:rPr>
          <w:rFonts w:hint="cs"/>
          <w:rtl/>
        </w:rPr>
        <w:t xml:space="preserve">של </w:t>
      </w:r>
      <w:bookmarkStart w:id="24996" w:name="_ETM_Q42_445570"/>
      <w:bookmarkEnd w:id="24996"/>
      <w:r>
        <w:rPr>
          <w:rFonts w:hint="cs"/>
          <w:rtl/>
        </w:rPr>
        <w:t xml:space="preserve">המדינה, </w:t>
      </w:r>
      <w:bookmarkStart w:id="24997" w:name="_ETM_Q42_446410"/>
      <w:bookmarkEnd w:id="24997"/>
      <w:r>
        <w:rPr>
          <w:rFonts w:hint="cs"/>
          <w:rtl/>
        </w:rPr>
        <w:t xml:space="preserve">לדאוג </w:t>
      </w:r>
      <w:bookmarkStart w:id="24998" w:name="_ETM_Q42_446860"/>
      <w:bookmarkEnd w:id="24998"/>
      <w:r>
        <w:rPr>
          <w:rFonts w:hint="cs"/>
          <w:rtl/>
        </w:rPr>
        <w:t xml:space="preserve">לקורת </w:t>
      </w:r>
      <w:bookmarkStart w:id="24999" w:name="_ETM_Q42_449699"/>
      <w:bookmarkEnd w:id="24999"/>
      <w:r>
        <w:rPr>
          <w:rFonts w:hint="cs"/>
          <w:rtl/>
        </w:rPr>
        <w:t xml:space="preserve">גג </w:t>
      </w:r>
      <w:bookmarkStart w:id="25000" w:name="_ETM_Q42_449970"/>
      <w:bookmarkEnd w:id="25000"/>
      <w:r>
        <w:rPr>
          <w:rFonts w:hint="cs"/>
          <w:rtl/>
        </w:rPr>
        <w:t xml:space="preserve">לכל </w:t>
      </w:r>
      <w:bookmarkStart w:id="25001" w:name="_ETM_Q42_450270"/>
      <w:bookmarkEnd w:id="25001"/>
      <w:r>
        <w:rPr>
          <w:rFonts w:hint="cs"/>
          <w:rtl/>
        </w:rPr>
        <w:t xml:space="preserve">אזרח </w:t>
      </w:r>
      <w:bookmarkStart w:id="25002" w:name="_ETM_Q42_450569"/>
      <w:bookmarkEnd w:id="25002"/>
      <w:r>
        <w:rPr>
          <w:rFonts w:hint="cs"/>
          <w:rtl/>
        </w:rPr>
        <w:t xml:space="preserve">ואזרח </w:t>
      </w:r>
      <w:bookmarkStart w:id="25003" w:name="_ETM_Q42_450960"/>
      <w:bookmarkEnd w:id="25003"/>
      <w:r>
        <w:rPr>
          <w:rFonts w:hint="cs"/>
          <w:rtl/>
        </w:rPr>
        <w:t xml:space="preserve">במדינת </w:t>
      </w:r>
      <w:bookmarkStart w:id="25004" w:name="_ETM_Q42_451379"/>
      <w:bookmarkEnd w:id="25004"/>
      <w:r>
        <w:rPr>
          <w:rFonts w:hint="cs"/>
          <w:rtl/>
        </w:rPr>
        <w:t>ישראל.</w:t>
      </w:r>
      <w:bookmarkStart w:id="25005" w:name="_ETM_Q42_454789"/>
      <w:bookmarkEnd w:id="25005"/>
    </w:p>
    <w:p w:rsidR="00BB59CD" w:rsidRDefault="00BB59CD" w:rsidP="00337201">
      <w:pPr>
        <w:rPr>
          <w:rtl/>
        </w:rPr>
      </w:pPr>
      <w:bookmarkStart w:id="25006" w:name="_ETM_Q42_451876"/>
      <w:bookmarkStart w:id="25007" w:name="_ETM_Q42_451950"/>
      <w:bookmarkEnd w:id="25006"/>
      <w:bookmarkEnd w:id="25007"/>
    </w:p>
    <w:p w:rsidR="00BB59CD" w:rsidRDefault="00BB59CD" w:rsidP="00775488">
      <w:pPr>
        <w:rPr>
          <w:rtl/>
        </w:rPr>
      </w:pPr>
      <w:bookmarkStart w:id="25008" w:name="_ETM_Q42_452007"/>
      <w:bookmarkStart w:id="25009" w:name="_ETM_Q42_452060"/>
      <w:bookmarkStart w:id="25010" w:name="_ETM_Q42_455150"/>
      <w:bookmarkStart w:id="25011" w:name="_ETM_Q42_455449"/>
      <w:bookmarkStart w:id="25012" w:name="_ETM_Q42_456500"/>
      <w:bookmarkStart w:id="25013" w:name="_ETM_Q42_457279"/>
      <w:bookmarkEnd w:id="25008"/>
      <w:bookmarkEnd w:id="25009"/>
      <w:bookmarkEnd w:id="25010"/>
      <w:bookmarkEnd w:id="25011"/>
      <w:bookmarkEnd w:id="25012"/>
      <w:bookmarkEnd w:id="25013"/>
      <w:r>
        <w:rPr>
          <w:rFonts w:hint="cs"/>
          <w:rtl/>
        </w:rPr>
        <w:t xml:space="preserve">גם </w:t>
      </w:r>
      <w:bookmarkStart w:id="25014" w:name="_ETM_Q42_456770"/>
      <w:bookmarkEnd w:id="25014"/>
      <w:r>
        <w:rPr>
          <w:rFonts w:hint="cs"/>
          <w:rtl/>
        </w:rPr>
        <w:t xml:space="preserve">חוק </w:t>
      </w:r>
      <w:bookmarkStart w:id="25015" w:name="_ETM_Q42_457070"/>
      <w:bookmarkEnd w:id="25015"/>
      <w:r>
        <w:rPr>
          <w:rFonts w:hint="cs"/>
          <w:rtl/>
        </w:rPr>
        <w:t xml:space="preserve">הלאום </w:t>
      </w:r>
      <w:bookmarkStart w:id="25016" w:name="_ETM_Q42_458830"/>
      <w:bookmarkStart w:id="25017" w:name="_ETM_Q42_455898"/>
      <w:bookmarkEnd w:id="25016"/>
      <w:bookmarkEnd w:id="25017"/>
      <w:r>
        <w:rPr>
          <w:rFonts w:hint="cs"/>
          <w:rtl/>
        </w:rPr>
        <w:t xml:space="preserve">– </w:t>
      </w:r>
      <w:bookmarkStart w:id="25018" w:name="_ETM_Q42_456356"/>
      <w:bookmarkEnd w:id="25018"/>
      <w:r>
        <w:rPr>
          <w:rFonts w:hint="cs"/>
          <w:rtl/>
        </w:rPr>
        <w:t xml:space="preserve">אגיד </w:t>
      </w:r>
      <w:bookmarkStart w:id="25019" w:name="_ETM_Q42_462828"/>
      <w:bookmarkEnd w:id="25019"/>
      <w:r>
        <w:rPr>
          <w:rFonts w:hint="cs"/>
          <w:rtl/>
        </w:rPr>
        <w:t>לכם,</w:t>
      </w:r>
      <w:bookmarkStart w:id="25020" w:name="_ETM_Q42_454761"/>
      <w:bookmarkEnd w:id="25020"/>
      <w:r>
        <w:rPr>
          <w:rFonts w:hint="cs"/>
          <w:rtl/>
        </w:rPr>
        <w:t xml:space="preserve"> </w:t>
      </w:r>
      <w:bookmarkStart w:id="25021" w:name="_ETM_Q42_460430"/>
      <w:bookmarkEnd w:id="25021"/>
      <w:r>
        <w:rPr>
          <w:rFonts w:hint="cs"/>
          <w:rtl/>
        </w:rPr>
        <w:t xml:space="preserve">אחרי </w:t>
      </w:r>
      <w:bookmarkStart w:id="25022" w:name="_ETM_Q42_460699"/>
      <w:bookmarkEnd w:id="25022"/>
      <w:r>
        <w:rPr>
          <w:rFonts w:hint="cs"/>
          <w:rtl/>
        </w:rPr>
        <w:t xml:space="preserve">שחוקק </w:t>
      </w:r>
      <w:bookmarkStart w:id="25023" w:name="_ETM_Q42_461180"/>
      <w:bookmarkEnd w:id="25023"/>
      <w:r>
        <w:rPr>
          <w:rFonts w:hint="cs"/>
          <w:rtl/>
        </w:rPr>
        <w:t xml:space="preserve">חוק </w:t>
      </w:r>
      <w:bookmarkStart w:id="25024" w:name="_ETM_Q42_461389"/>
      <w:bookmarkEnd w:id="25024"/>
      <w:r>
        <w:rPr>
          <w:rFonts w:hint="cs"/>
          <w:rtl/>
        </w:rPr>
        <w:t xml:space="preserve">הלאום </w:t>
      </w:r>
      <w:bookmarkStart w:id="25025" w:name="_ETM_Q42_462540"/>
      <w:bookmarkEnd w:id="25025"/>
      <w:r>
        <w:rPr>
          <w:rFonts w:hint="cs"/>
          <w:rtl/>
        </w:rPr>
        <w:t xml:space="preserve">הרבה </w:t>
      </w:r>
      <w:bookmarkStart w:id="25026" w:name="_ETM_Q42_463020"/>
      <w:bookmarkEnd w:id="25026"/>
      <w:r>
        <w:rPr>
          <w:rFonts w:hint="cs"/>
          <w:rtl/>
        </w:rPr>
        <w:t xml:space="preserve">התחילו </w:t>
      </w:r>
      <w:bookmarkStart w:id="25027" w:name="_ETM_Q42_463350"/>
      <w:bookmarkEnd w:id="25027"/>
      <w:r>
        <w:rPr>
          <w:rFonts w:hint="cs"/>
          <w:rtl/>
        </w:rPr>
        <w:t xml:space="preserve">להגיד, </w:t>
      </w:r>
      <w:bookmarkStart w:id="25028" w:name="_ETM_Q42_463680"/>
      <w:bookmarkStart w:id="25029" w:name="_ETM_Q42_465040"/>
      <w:bookmarkEnd w:id="25028"/>
      <w:bookmarkEnd w:id="25029"/>
      <w:r>
        <w:rPr>
          <w:rFonts w:hint="cs"/>
          <w:rtl/>
        </w:rPr>
        <w:t>ודיברו</w:t>
      </w:r>
      <w:bookmarkStart w:id="25030" w:name="_ETM_Q42_461940"/>
      <w:bookmarkEnd w:id="25030"/>
      <w:r>
        <w:rPr>
          <w:rFonts w:hint="cs"/>
          <w:rtl/>
        </w:rPr>
        <w:t xml:space="preserve"> </w:t>
      </w:r>
      <w:bookmarkStart w:id="25031" w:name="_ETM_Q42_465580"/>
      <w:bookmarkEnd w:id="25031"/>
      <w:r>
        <w:rPr>
          <w:rFonts w:hint="cs"/>
          <w:rtl/>
        </w:rPr>
        <w:t xml:space="preserve">הרבה </w:t>
      </w:r>
      <w:bookmarkStart w:id="25032" w:name="_ETM_Q42_465850"/>
      <w:bookmarkEnd w:id="25032"/>
      <w:r>
        <w:rPr>
          <w:rFonts w:hint="cs"/>
          <w:rtl/>
        </w:rPr>
        <w:t xml:space="preserve">גם </w:t>
      </w:r>
      <w:bookmarkStart w:id="25033" w:name="_ETM_Q42_466029"/>
      <w:bookmarkEnd w:id="25033"/>
      <w:r>
        <w:rPr>
          <w:rFonts w:hint="cs"/>
          <w:rtl/>
        </w:rPr>
        <w:t xml:space="preserve">על </w:t>
      </w:r>
      <w:bookmarkStart w:id="25034" w:name="_ETM_Q42_466120"/>
      <w:bookmarkEnd w:id="25034"/>
      <w:r>
        <w:rPr>
          <w:rFonts w:hint="cs"/>
          <w:rtl/>
        </w:rPr>
        <w:t xml:space="preserve">העדה </w:t>
      </w:r>
      <w:bookmarkStart w:id="25035" w:name="_ETM_Q42_466420"/>
      <w:bookmarkEnd w:id="25035"/>
      <w:r>
        <w:rPr>
          <w:rFonts w:hint="cs"/>
          <w:rtl/>
        </w:rPr>
        <w:t>הדרוזית</w:t>
      </w:r>
      <w:r w:rsidR="00775488">
        <w:rPr>
          <w:rFonts w:hint="cs"/>
          <w:rtl/>
        </w:rPr>
        <w:t>,</w:t>
      </w:r>
      <w:r>
        <w:rPr>
          <w:rFonts w:hint="cs"/>
          <w:rtl/>
        </w:rPr>
        <w:t xml:space="preserve"> </w:t>
      </w:r>
      <w:bookmarkStart w:id="25036" w:name="_ETM_Q42_466779"/>
      <w:bookmarkEnd w:id="25036"/>
      <w:r>
        <w:rPr>
          <w:rFonts w:hint="cs"/>
          <w:rtl/>
        </w:rPr>
        <w:t>כי</w:t>
      </w:r>
      <w:bookmarkStart w:id="25037" w:name="_ETM_Q42_463666"/>
      <w:bookmarkEnd w:id="25037"/>
      <w:r>
        <w:rPr>
          <w:rFonts w:hint="cs"/>
          <w:rtl/>
        </w:rPr>
        <w:t xml:space="preserve"> </w:t>
      </w:r>
      <w:bookmarkStart w:id="25038" w:name="_ETM_Q42_466900"/>
      <w:bookmarkEnd w:id="25038"/>
      <w:r>
        <w:rPr>
          <w:rFonts w:hint="cs"/>
          <w:rtl/>
        </w:rPr>
        <w:t xml:space="preserve">העדה </w:t>
      </w:r>
      <w:bookmarkStart w:id="25039" w:name="_ETM_Q42_467140"/>
      <w:bookmarkEnd w:id="25039"/>
      <w:r>
        <w:rPr>
          <w:rFonts w:hint="cs"/>
          <w:rtl/>
        </w:rPr>
        <w:t xml:space="preserve">הדרוזית </w:t>
      </w:r>
      <w:bookmarkStart w:id="25040" w:name="_ETM_Q42_467500"/>
      <w:bookmarkStart w:id="25041" w:name="_ETM_Q42_467800"/>
      <w:bookmarkEnd w:id="25040"/>
      <w:bookmarkEnd w:id="25041"/>
      <w:r>
        <w:rPr>
          <w:rFonts w:hint="cs"/>
          <w:rtl/>
        </w:rPr>
        <w:t xml:space="preserve">קמה </w:t>
      </w:r>
      <w:bookmarkStart w:id="25042" w:name="_ETM_Q42_468450"/>
      <w:bookmarkEnd w:id="25042"/>
      <w:r>
        <w:rPr>
          <w:rFonts w:hint="cs"/>
          <w:rtl/>
        </w:rPr>
        <w:t xml:space="preserve">נגד </w:t>
      </w:r>
      <w:bookmarkStart w:id="25043" w:name="_ETM_Q42_468779"/>
      <w:bookmarkEnd w:id="25043"/>
      <w:r>
        <w:rPr>
          <w:rFonts w:hint="cs"/>
          <w:rtl/>
        </w:rPr>
        <w:t xml:space="preserve">החוק </w:t>
      </w:r>
      <w:bookmarkStart w:id="25044" w:name="_ETM_Q42_469080"/>
      <w:bookmarkEnd w:id="25044"/>
      <w:r>
        <w:rPr>
          <w:rFonts w:hint="cs"/>
          <w:rtl/>
        </w:rPr>
        <w:t xml:space="preserve">הזה: תשמעו, </w:t>
      </w:r>
      <w:bookmarkStart w:id="25045" w:name="_ETM_Q42_469860"/>
      <w:bookmarkEnd w:id="25045"/>
      <w:r>
        <w:rPr>
          <w:rFonts w:hint="cs"/>
          <w:rtl/>
        </w:rPr>
        <w:t xml:space="preserve">מה </w:t>
      </w:r>
      <w:bookmarkStart w:id="25046" w:name="_ETM_Q42_470130"/>
      <w:bookmarkEnd w:id="25046"/>
      <w:r>
        <w:rPr>
          <w:rFonts w:hint="cs"/>
          <w:rtl/>
        </w:rPr>
        <w:t xml:space="preserve">אתם </w:t>
      </w:r>
      <w:bookmarkStart w:id="25047" w:name="_ETM_Q42_470400"/>
      <w:bookmarkEnd w:id="25047"/>
      <w:r>
        <w:rPr>
          <w:rFonts w:hint="cs"/>
          <w:rtl/>
        </w:rPr>
        <w:t>מתרגשים?</w:t>
      </w:r>
      <w:bookmarkStart w:id="25048" w:name="_ETM_Q42_474498"/>
      <w:bookmarkEnd w:id="25048"/>
      <w:r>
        <w:rPr>
          <w:rFonts w:hint="cs"/>
          <w:rtl/>
        </w:rPr>
        <w:t xml:space="preserve"> </w:t>
      </w:r>
      <w:bookmarkStart w:id="25049" w:name="_ETM_Q42_471889"/>
      <w:bookmarkEnd w:id="25049"/>
      <w:r>
        <w:rPr>
          <w:rFonts w:hint="cs"/>
          <w:rtl/>
        </w:rPr>
        <w:t xml:space="preserve">זה </w:t>
      </w:r>
      <w:bookmarkStart w:id="25050" w:name="_ETM_Q42_472129"/>
      <w:bookmarkEnd w:id="25050"/>
      <w:r>
        <w:rPr>
          <w:rFonts w:hint="cs"/>
          <w:rtl/>
        </w:rPr>
        <w:t xml:space="preserve">חוק </w:t>
      </w:r>
      <w:bookmarkStart w:id="25051" w:name="_ETM_Q42_472430"/>
      <w:bookmarkEnd w:id="25051"/>
      <w:r>
        <w:rPr>
          <w:rFonts w:hint="cs"/>
          <w:rtl/>
        </w:rPr>
        <w:t>הצהרתי,</w:t>
      </w:r>
      <w:bookmarkStart w:id="25052" w:name="_ETM_Q42_471692"/>
      <w:bookmarkEnd w:id="25052"/>
      <w:r>
        <w:rPr>
          <w:rFonts w:hint="cs"/>
          <w:rtl/>
        </w:rPr>
        <w:t xml:space="preserve"> </w:t>
      </w:r>
      <w:bookmarkStart w:id="25053" w:name="_ETM_Q42_474060"/>
      <w:bookmarkEnd w:id="25053"/>
      <w:r>
        <w:rPr>
          <w:rFonts w:hint="cs"/>
          <w:rtl/>
        </w:rPr>
        <w:t xml:space="preserve">חוק </w:t>
      </w:r>
      <w:bookmarkStart w:id="25054" w:name="_ETM_Q42_474479"/>
      <w:bookmarkEnd w:id="25054"/>
      <w:r>
        <w:rPr>
          <w:rFonts w:hint="cs"/>
          <w:rtl/>
        </w:rPr>
        <w:t xml:space="preserve">שלא </w:t>
      </w:r>
      <w:bookmarkStart w:id="25055" w:name="_ETM_Q42_475500"/>
      <w:bookmarkEnd w:id="25055"/>
      <w:r>
        <w:rPr>
          <w:rFonts w:hint="cs"/>
          <w:rtl/>
        </w:rPr>
        <w:t xml:space="preserve">יפגע </w:t>
      </w:r>
      <w:bookmarkStart w:id="25056" w:name="_ETM_Q42_475919"/>
      <w:bookmarkEnd w:id="25056"/>
      <w:r>
        <w:rPr>
          <w:rFonts w:hint="cs"/>
          <w:rtl/>
        </w:rPr>
        <w:t xml:space="preserve">באף </w:t>
      </w:r>
      <w:bookmarkStart w:id="25057" w:name="_ETM_Q42_476250"/>
      <w:bookmarkEnd w:id="25057"/>
      <w:r>
        <w:rPr>
          <w:rFonts w:hint="cs"/>
          <w:rtl/>
        </w:rPr>
        <w:t xml:space="preserve">אחד. </w:t>
      </w:r>
      <w:bookmarkStart w:id="25058" w:name="_ETM_Q42_478920"/>
      <w:bookmarkEnd w:id="25058"/>
      <w:r>
        <w:rPr>
          <w:rFonts w:hint="cs"/>
          <w:rtl/>
        </w:rPr>
        <w:t xml:space="preserve">אנחנו </w:t>
      </w:r>
      <w:bookmarkStart w:id="25059" w:name="_ETM_Q42_479339"/>
      <w:bookmarkEnd w:id="25059"/>
      <w:r>
        <w:rPr>
          <w:rFonts w:hint="cs"/>
          <w:rtl/>
        </w:rPr>
        <w:t xml:space="preserve">פתאום </w:t>
      </w:r>
      <w:bookmarkStart w:id="25060" w:name="_ETM_Q42_479640"/>
      <w:bookmarkEnd w:id="25060"/>
      <w:r>
        <w:rPr>
          <w:rFonts w:hint="cs"/>
          <w:rtl/>
        </w:rPr>
        <w:t xml:space="preserve">מתחילים </w:t>
      </w:r>
      <w:bookmarkStart w:id="25061" w:name="_ETM_Q42_480029"/>
      <w:bookmarkEnd w:id="25061"/>
      <w:r>
        <w:rPr>
          <w:rFonts w:hint="cs"/>
          <w:rtl/>
        </w:rPr>
        <w:t xml:space="preserve">לראות את </w:t>
      </w:r>
      <w:bookmarkStart w:id="25062" w:name="_ETM_Q42_480510"/>
      <w:bookmarkEnd w:id="25062"/>
      <w:r>
        <w:rPr>
          <w:rFonts w:hint="cs"/>
          <w:rtl/>
        </w:rPr>
        <w:t xml:space="preserve">החוקים </w:t>
      </w:r>
      <w:bookmarkStart w:id="25063" w:name="_ETM_Q42_480900"/>
      <w:bookmarkEnd w:id="25063"/>
      <w:r>
        <w:rPr>
          <w:rFonts w:hint="cs"/>
          <w:rtl/>
        </w:rPr>
        <w:t xml:space="preserve">האלה </w:t>
      </w:r>
      <w:bookmarkStart w:id="25064" w:name="_ETM_Q42_480240"/>
      <w:bookmarkStart w:id="25065" w:name="_ETM_Q42_480390"/>
      <w:bookmarkStart w:id="25066" w:name="_ETM_Q42_480659"/>
      <w:bookmarkEnd w:id="25064"/>
      <w:bookmarkEnd w:id="25065"/>
      <w:bookmarkEnd w:id="25066"/>
      <w:r>
        <w:rPr>
          <w:rFonts w:hint="cs"/>
          <w:rtl/>
        </w:rPr>
        <w:t>שמח</w:t>
      </w:r>
      <w:bookmarkStart w:id="25067" w:name="_ETM_Q42_477503"/>
      <w:bookmarkEnd w:id="25067"/>
      <w:r>
        <w:rPr>
          <w:rFonts w:hint="cs"/>
          <w:rtl/>
        </w:rPr>
        <w:t>וקק</w:t>
      </w:r>
      <w:bookmarkStart w:id="25068" w:name="_ETM_Q42_474711"/>
      <w:bookmarkStart w:id="25069" w:name="_ETM_Q42_474601"/>
      <w:bookmarkEnd w:id="25068"/>
      <w:bookmarkEnd w:id="25069"/>
      <w:r>
        <w:rPr>
          <w:rFonts w:hint="cs"/>
          <w:rtl/>
        </w:rPr>
        <w:t xml:space="preserve">ים </w:t>
      </w:r>
      <w:bookmarkStart w:id="25070" w:name="_ETM_Q42_481290"/>
      <w:bookmarkEnd w:id="25070"/>
      <w:r>
        <w:rPr>
          <w:rFonts w:hint="cs"/>
          <w:rtl/>
        </w:rPr>
        <w:t xml:space="preserve">כאן </w:t>
      </w:r>
      <w:bookmarkStart w:id="25071" w:name="_ETM_Q42_481500"/>
      <w:bookmarkEnd w:id="25071"/>
      <w:r>
        <w:rPr>
          <w:rFonts w:hint="cs"/>
          <w:rtl/>
        </w:rPr>
        <w:t xml:space="preserve">בכנסת </w:t>
      </w:r>
      <w:bookmarkStart w:id="25072" w:name="_ETM_Q42_481949"/>
      <w:bookmarkEnd w:id="25072"/>
      <w:r>
        <w:rPr>
          <w:rFonts w:hint="cs"/>
          <w:rtl/>
        </w:rPr>
        <w:t>ישראל,</w:t>
      </w:r>
      <w:bookmarkStart w:id="25073" w:name="_ETM_Q42_482798"/>
      <w:bookmarkEnd w:id="25073"/>
      <w:r>
        <w:rPr>
          <w:rFonts w:hint="cs"/>
          <w:rtl/>
        </w:rPr>
        <w:t xml:space="preserve"> </w:t>
      </w:r>
      <w:bookmarkStart w:id="25074" w:name="_ETM_Q42_483420"/>
      <w:bookmarkStart w:id="25075" w:name="_ETM_Q42_483659"/>
      <w:bookmarkEnd w:id="25074"/>
      <w:bookmarkEnd w:id="25075"/>
      <w:r>
        <w:rPr>
          <w:rFonts w:hint="cs"/>
          <w:rtl/>
        </w:rPr>
        <w:t xml:space="preserve">והממשלה </w:t>
      </w:r>
      <w:bookmarkStart w:id="25076" w:name="_ETM_Q42_484230"/>
      <w:bookmarkEnd w:id="25076"/>
      <w:r>
        <w:rPr>
          <w:rFonts w:hint="cs"/>
          <w:rtl/>
        </w:rPr>
        <w:t xml:space="preserve">הקיצונית </w:t>
      </w:r>
      <w:bookmarkStart w:id="25077" w:name="_ETM_Q42_484830"/>
      <w:bookmarkEnd w:id="25077"/>
      <w:r>
        <w:rPr>
          <w:rFonts w:hint="cs"/>
          <w:rtl/>
        </w:rPr>
        <w:t xml:space="preserve">הזאת, </w:t>
      </w:r>
      <w:bookmarkStart w:id="25078" w:name="_ETM_Q42_485939"/>
      <w:bookmarkEnd w:id="25078"/>
      <w:r>
        <w:rPr>
          <w:rFonts w:hint="cs"/>
          <w:rtl/>
        </w:rPr>
        <w:t xml:space="preserve">והגזענות </w:t>
      </w:r>
      <w:bookmarkStart w:id="25079" w:name="_ETM_Q42_486779"/>
      <w:bookmarkEnd w:id="25079"/>
      <w:r>
        <w:rPr>
          <w:rFonts w:hint="cs"/>
          <w:rtl/>
        </w:rPr>
        <w:t xml:space="preserve">שמשתוללת, </w:t>
      </w:r>
      <w:bookmarkStart w:id="25080" w:name="_ETM_Q42_488339"/>
      <w:bookmarkEnd w:id="25080"/>
      <w:r>
        <w:rPr>
          <w:rFonts w:hint="cs"/>
          <w:rtl/>
        </w:rPr>
        <w:t xml:space="preserve">ואנחנו </w:t>
      </w:r>
      <w:bookmarkStart w:id="25081" w:name="_ETM_Q42_488820"/>
      <w:bookmarkEnd w:id="25081"/>
      <w:r>
        <w:rPr>
          <w:rFonts w:hint="cs"/>
          <w:rtl/>
        </w:rPr>
        <w:t xml:space="preserve">אומרים: </w:t>
      </w:r>
      <w:bookmarkStart w:id="25082" w:name="_ETM_Q42_489089"/>
      <w:bookmarkEnd w:id="25082"/>
      <w:r>
        <w:rPr>
          <w:rFonts w:hint="cs"/>
          <w:rtl/>
        </w:rPr>
        <w:t xml:space="preserve">חוק </w:t>
      </w:r>
      <w:bookmarkStart w:id="25083" w:name="_ETM_Q42_489450"/>
      <w:bookmarkEnd w:id="25083"/>
      <w:r>
        <w:rPr>
          <w:rFonts w:hint="cs"/>
          <w:rtl/>
        </w:rPr>
        <w:t xml:space="preserve">הלאום </w:t>
      </w:r>
      <w:bookmarkStart w:id="25084" w:name="_ETM_Q42_489900"/>
      <w:bookmarkEnd w:id="25084"/>
      <w:r>
        <w:rPr>
          <w:rFonts w:hint="cs"/>
          <w:rtl/>
        </w:rPr>
        <w:t xml:space="preserve">הזה, </w:t>
      </w:r>
      <w:bookmarkStart w:id="25085" w:name="_ETM_Q42_490110"/>
      <w:bookmarkEnd w:id="25085"/>
      <w:r>
        <w:rPr>
          <w:rFonts w:hint="cs"/>
          <w:rtl/>
        </w:rPr>
        <w:t xml:space="preserve">אסור </w:t>
      </w:r>
      <w:bookmarkStart w:id="25086" w:name="_ETM_Q42_490500"/>
      <w:bookmarkEnd w:id="25086"/>
      <w:r>
        <w:rPr>
          <w:rFonts w:hint="cs"/>
          <w:rtl/>
        </w:rPr>
        <w:t xml:space="preserve">לו </w:t>
      </w:r>
      <w:bookmarkStart w:id="25087" w:name="_ETM_Q42_492210"/>
      <w:bookmarkEnd w:id="25087"/>
      <w:r>
        <w:rPr>
          <w:rFonts w:hint="cs"/>
          <w:rtl/>
        </w:rPr>
        <w:t xml:space="preserve">להמשיך </w:t>
      </w:r>
      <w:bookmarkStart w:id="25088" w:name="_ETM_Q42_492570"/>
      <w:bookmarkEnd w:id="25088"/>
      <w:r>
        <w:rPr>
          <w:rFonts w:hint="cs"/>
          <w:rtl/>
        </w:rPr>
        <w:t xml:space="preserve">להתקיים. </w:t>
      </w:r>
      <w:bookmarkStart w:id="25089" w:name="_ETM_Q42_494699"/>
      <w:bookmarkEnd w:id="25089"/>
      <w:r>
        <w:rPr>
          <w:rFonts w:hint="cs"/>
          <w:rtl/>
        </w:rPr>
        <w:t xml:space="preserve">את </w:t>
      </w:r>
      <w:bookmarkStart w:id="25090" w:name="_ETM_Q42_495934"/>
      <w:bookmarkEnd w:id="25090"/>
      <w:r>
        <w:rPr>
          <w:rFonts w:hint="cs"/>
          <w:rtl/>
        </w:rPr>
        <w:t xml:space="preserve">חוק </w:t>
      </w:r>
      <w:bookmarkStart w:id="25091" w:name="_ETM_Q42_495029"/>
      <w:bookmarkEnd w:id="25091"/>
      <w:r>
        <w:rPr>
          <w:rFonts w:hint="cs"/>
          <w:rtl/>
        </w:rPr>
        <w:t xml:space="preserve">הלאום </w:t>
      </w:r>
      <w:bookmarkStart w:id="25092" w:name="_ETM_Q42_495330"/>
      <w:bookmarkEnd w:id="25092"/>
      <w:r>
        <w:rPr>
          <w:rFonts w:hint="cs"/>
          <w:rtl/>
        </w:rPr>
        <w:t xml:space="preserve">הזה </w:t>
      </w:r>
      <w:bookmarkStart w:id="25093" w:name="_ETM_Q42_496940"/>
      <w:bookmarkEnd w:id="25093"/>
      <w:r>
        <w:rPr>
          <w:rFonts w:hint="cs"/>
          <w:rtl/>
        </w:rPr>
        <w:t xml:space="preserve">צריך </w:t>
      </w:r>
      <w:bookmarkStart w:id="25094" w:name="_ETM_Q42_497270"/>
      <w:bookmarkEnd w:id="25094"/>
      <w:r>
        <w:rPr>
          <w:rFonts w:hint="cs"/>
          <w:rtl/>
        </w:rPr>
        <w:t xml:space="preserve">לתקן </w:t>
      </w:r>
      <w:bookmarkStart w:id="25095" w:name="_ETM_Q42_499230"/>
      <w:bookmarkEnd w:id="25095"/>
      <w:r>
        <w:rPr>
          <w:rFonts w:hint="cs"/>
          <w:rtl/>
        </w:rPr>
        <w:t xml:space="preserve">או </w:t>
      </w:r>
      <w:bookmarkStart w:id="25096" w:name="_ETM_Q42_499350"/>
      <w:bookmarkEnd w:id="25096"/>
      <w:r>
        <w:rPr>
          <w:rFonts w:hint="cs"/>
          <w:rtl/>
        </w:rPr>
        <w:t xml:space="preserve">לבטל </w:t>
      </w:r>
      <w:bookmarkStart w:id="25097" w:name="_ETM_Q42_499860"/>
      <w:bookmarkEnd w:id="25097"/>
      <w:r>
        <w:rPr>
          <w:rFonts w:hint="cs"/>
          <w:rtl/>
        </w:rPr>
        <w:t>בכלל.</w:t>
      </w:r>
      <w:bookmarkStart w:id="25098" w:name="_ETM_Q42_501500"/>
      <w:bookmarkStart w:id="25099" w:name="_ETM_Q42_500785"/>
      <w:bookmarkEnd w:id="25098"/>
      <w:bookmarkEnd w:id="25099"/>
    </w:p>
    <w:p w:rsidR="00BB59CD" w:rsidRDefault="00BB59CD" w:rsidP="00337201">
      <w:pPr>
        <w:rPr>
          <w:rtl/>
        </w:rPr>
      </w:pPr>
      <w:bookmarkStart w:id="25100" w:name="_ETM_Q42_500856"/>
      <w:bookmarkEnd w:id="25100"/>
    </w:p>
    <w:p w:rsidR="00BB59CD" w:rsidRDefault="00BB59CD" w:rsidP="00775488">
      <w:pPr>
        <w:rPr>
          <w:rtl/>
        </w:rPr>
      </w:pPr>
      <w:bookmarkStart w:id="25101" w:name="_ETM_Q42_500931"/>
      <w:bookmarkStart w:id="25102" w:name="_ETM_Q42_500985"/>
      <w:bookmarkEnd w:id="25101"/>
      <w:bookmarkEnd w:id="25102"/>
      <w:r>
        <w:rPr>
          <w:rFonts w:hint="cs"/>
          <w:rtl/>
        </w:rPr>
        <w:t xml:space="preserve">אני </w:t>
      </w:r>
      <w:bookmarkStart w:id="25103" w:name="_ETM_Q42_501710"/>
      <w:bookmarkEnd w:id="25103"/>
      <w:r>
        <w:rPr>
          <w:rFonts w:hint="cs"/>
          <w:rtl/>
        </w:rPr>
        <w:t xml:space="preserve">אספר </w:t>
      </w:r>
      <w:bookmarkStart w:id="25104" w:name="_ETM_Q42_502010"/>
      <w:bookmarkEnd w:id="25104"/>
      <w:r>
        <w:rPr>
          <w:rFonts w:hint="cs"/>
          <w:rtl/>
        </w:rPr>
        <w:t xml:space="preserve">לך </w:t>
      </w:r>
      <w:bookmarkStart w:id="25105" w:name="_ETM_Q42_502250"/>
      <w:bookmarkEnd w:id="25105"/>
      <w:r>
        <w:rPr>
          <w:rFonts w:hint="cs"/>
          <w:rtl/>
        </w:rPr>
        <w:t xml:space="preserve">סיפור, </w:t>
      </w:r>
      <w:bookmarkStart w:id="25106" w:name="_ETM_Q42_502670"/>
      <w:bookmarkEnd w:id="25106"/>
      <w:r>
        <w:rPr>
          <w:rFonts w:hint="cs"/>
          <w:rtl/>
        </w:rPr>
        <w:t xml:space="preserve">אדוני </w:t>
      </w:r>
      <w:bookmarkStart w:id="25107" w:name="_ETM_Q42_502940"/>
      <w:bookmarkEnd w:id="25107"/>
      <w:r>
        <w:rPr>
          <w:rFonts w:hint="cs"/>
          <w:rtl/>
        </w:rPr>
        <w:t xml:space="preserve">היושב-ראש. </w:t>
      </w:r>
      <w:bookmarkStart w:id="25108" w:name="_ETM_Q42_505240"/>
      <w:bookmarkEnd w:id="25108"/>
      <w:r>
        <w:rPr>
          <w:rFonts w:hint="cs"/>
          <w:rtl/>
        </w:rPr>
        <w:t xml:space="preserve">בעברי </w:t>
      </w:r>
      <w:bookmarkStart w:id="25109" w:name="_ETM_Q42_506019"/>
      <w:bookmarkEnd w:id="25109"/>
      <w:r>
        <w:rPr>
          <w:rFonts w:hint="cs"/>
          <w:rtl/>
        </w:rPr>
        <w:t xml:space="preserve">ייסדתי </w:t>
      </w:r>
      <w:bookmarkStart w:id="25110" w:name="_ETM_Q42_506560"/>
      <w:bookmarkEnd w:id="25110"/>
      <w:r>
        <w:rPr>
          <w:rFonts w:hint="cs"/>
          <w:rtl/>
        </w:rPr>
        <w:t>את ת</w:t>
      </w:r>
      <w:bookmarkStart w:id="25111" w:name="_ETM_Q42_505372"/>
      <w:bookmarkEnd w:id="25111"/>
      <w:r>
        <w:rPr>
          <w:rFonts w:hint="cs"/>
          <w:rtl/>
        </w:rPr>
        <w:t xml:space="preserve">נועת </w:t>
      </w:r>
      <w:bookmarkStart w:id="25112" w:name="_ETM_Q42_506949"/>
      <w:bookmarkEnd w:id="25112"/>
      <w:r>
        <w:rPr>
          <w:rFonts w:hint="cs"/>
          <w:rtl/>
        </w:rPr>
        <w:t xml:space="preserve">הנוער </w:t>
      </w:r>
      <w:bookmarkStart w:id="25113" w:name="_ETM_Q42_507279"/>
      <w:bookmarkEnd w:id="25113"/>
      <w:r>
        <w:rPr>
          <w:rFonts w:hint="cs"/>
          <w:rtl/>
        </w:rPr>
        <w:t>הדרוזית</w:t>
      </w:r>
      <w:bookmarkStart w:id="25114" w:name="_ETM_Q42_507781"/>
      <w:bookmarkEnd w:id="25114"/>
      <w:r>
        <w:rPr>
          <w:rFonts w:hint="cs"/>
          <w:rtl/>
        </w:rPr>
        <w:t xml:space="preserve">, </w:t>
      </w:r>
      <w:bookmarkStart w:id="25115" w:name="_ETM_Q42_509170"/>
      <w:bookmarkEnd w:id="25115"/>
      <w:r>
        <w:rPr>
          <w:rFonts w:hint="cs"/>
          <w:rtl/>
        </w:rPr>
        <w:t xml:space="preserve">לפני </w:t>
      </w:r>
      <w:bookmarkStart w:id="25116" w:name="_ETM_Q42_509529"/>
      <w:bookmarkStart w:id="25117" w:name="_ETM_Q42_509920"/>
      <w:bookmarkEnd w:id="25116"/>
      <w:bookmarkEnd w:id="25117"/>
      <w:r>
        <w:rPr>
          <w:rFonts w:hint="cs"/>
          <w:rtl/>
        </w:rPr>
        <w:t>י</w:t>
      </w:r>
      <w:bookmarkStart w:id="25118" w:name="_ETM_Q42_509318"/>
      <w:bookmarkEnd w:id="25118"/>
      <w:r>
        <w:rPr>
          <w:rFonts w:hint="cs"/>
          <w:rtl/>
        </w:rPr>
        <w:t xml:space="preserve">ותר </w:t>
      </w:r>
      <w:bookmarkStart w:id="25119" w:name="_ETM_Q42_510220"/>
      <w:bookmarkEnd w:id="25119"/>
      <w:r>
        <w:rPr>
          <w:rFonts w:hint="cs"/>
          <w:rtl/>
        </w:rPr>
        <w:t xml:space="preserve">מ-20 </w:t>
      </w:r>
      <w:bookmarkStart w:id="25120" w:name="_ETM_Q42_510640"/>
      <w:bookmarkEnd w:id="25120"/>
      <w:r>
        <w:rPr>
          <w:rFonts w:hint="cs"/>
          <w:rtl/>
        </w:rPr>
        <w:t xml:space="preserve">שנה, </w:t>
      </w:r>
      <w:bookmarkStart w:id="25121" w:name="_ETM_Q42_511619"/>
      <w:bookmarkEnd w:id="25121"/>
      <w:r>
        <w:rPr>
          <w:rFonts w:hint="cs"/>
          <w:rtl/>
        </w:rPr>
        <w:t xml:space="preserve">ואני </w:t>
      </w:r>
      <w:bookmarkStart w:id="25122" w:name="_ETM_Q42_511859"/>
      <w:bookmarkEnd w:id="25122"/>
      <w:r>
        <w:rPr>
          <w:rFonts w:hint="cs"/>
          <w:rtl/>
        </w:rPr>
        <w:t xml:space="preserve">עדיין </w:t>
      </w:r>
      <w:bookmarkStart w:id="25123" w:name="_ETM_Q42_512250"/>
      <w:bookmarkEnd w:id="25123"/>
      <w:r>
        <w:rPr>
          <w:rFonts w:hint="cs"/>
          <w:rtl/>
        </w:rPr>
        <w:t xml:space="preserve">מלווה </w:t>
      </w:r>
      <w:bookmarkStart w:id="25124" w:name="_ETM_Q42_512610"/>
      <w:bookmarkEnd w:id="25124"/>
      <w:r>
        <w:rPr>
          <w:rFonts w:hint="cs"/>
          <w:rtl/>
        </w:rPr>
        <w:t xml:space="preserve">אותם </w:t>
      </w:r>
      <w:bookmarkStart w:id="25125" w:name="_ETM_Q42_513630"/>
      <w:bookmarkEnd w:id="25125"/>
      <w:r>
        <w:rPr>
          <w:rFonts w:hint="cs"/>
          <w:rtl/>
        </w:rPr>
        <w:t xml:space="preserve">והולך </w:t>
      </w:r>
      <w:bookmarkStart w:id="25126" w:name="_ETM_Q42_514170"/>
      <w:bookmarkEnd w:id="25126"/>
      <w:r>
        <w:rPr>
          <w:rFonts w:hint="cs"/>
          <w:rtl/>
        </w:rPr>
        <w:t xml:space="preserve">איתם </w:t>
      </w:r>
      <w:bookmarkStart w:id="25127" w:name="_ETM_Q42_514410"/>
      <w:bookmarkEnd w:id="25127"/>
      <w:r>
        <w:rPr>
          <w:rFonts w:hint="cs"/>
          <w:rtl/>
        </w:rPr>
        <w:t xml:space="preserve">לכל </w:t>
      </w:r>
      <w:bookmarkStart w:id="25128" w:name="_ETM_Q42_514710"/>
      <w:bookmarkEnd w:id="25128"/>
      <w:r>
        <w:rPr>
          <w:rFonts w:hint="cs"/>
          <w:rtl/>
        </w:rPr>
        <w:t xml:space="preserve">מקום </w:t>
      </w:r>
      <w:bookmarkStart w:id="25129" w:name="_ETM_Q42_515400"/>
      <w:bookmarkEnd w:id="25129"/>
      <w:r>
        <w:rPr>
          <w:rFonts w:hint="cs"/>
          <w:rtl/>
        </w:rPr>
        <w:t xml:space="preserve">ופוגש </w:t>
      </w:r>
      <w:bookmarkStart w:id="25130" w:name="_ETM_Q42_515970"/>
      <w:bookmarkEnd w:id="25130"/>
      <w:r>
        <w:rPr>
          <w:rFonts w:hint="cs"/>
          <w:rtl/>
        </w:rPr>
        <w:t xml:space="preserve">אותם </w:t>
      </w:r>
      <w:bookmarkStart w:id="25131" w:name="_ETM_Q42_516210"/>
      <w:bookmarkEnd w:id="25131"/>
      <w:r>
        <w:rPr>
          <w:rFonts w:hint="cs"/>
          <w:rtl/>
        </w:rPr>
        <w:t xml:space="preserve">במחנות. </w:t>
      </w:r>
      <w:bookmarkStart w:id="25132" w:name="_ETM_Q42_518370"/>
      <w:bookmarkEnd w:id="25132"/>
      <w:r>
        <w:rPr>
          <w:rFonts w:hint="cs"/>
          <w:rtl/>
        </w:rPr>
        <w:t xml:space="preserve">השבוע </w:t>
      </w:r>
      <w:bookmarkStart w:id="25133" w:name="_ETM_Q42_518969"/>
      <w:bookmarkEnd w:id="25133"/>
      <w:r>
        <w:rPr>
          <w:rFonts w:hint="cs"/>
          <w:rtl/>
        </w:rPr>
        <w:t xml:space="preserve">הגעתי </w:t>
      </w:r>
      <w:bookmarkStart w:id="25134" w:name="_ETM_Q42_519420"/>
      <w:bookmarkEnd w:id="25134"/>
      <w:r>
        <w:rPr>
          <w:rFonts w:hint="cs"/>
          <w:rtl/>
        </w:rPr>
        <w:t xml:space="preserve">אליהם </w:t>
      </w:r>
      <w:bookmarkStart w:id="25135" w:name="_ETM_Q42_519690"/>
      <w:bookmarkEnd w:id="25135"/>
      <w:r>
        <w:rPr>
          <w:rFonts w:hint="cs"/>
          <w:rtl/>
        </w:rPr>
        <w:t xml:space="preserve">למחנה </w:t>
      </w:r>
      <w:bookmarkStart w:id="25136" w:name="_ETM_Q42_520260"/>
      <w:bookmarkEnd w:id="25136"/>
      <w:r>
        <w:rPr>
          <w:rFonts w:hint="cs"/>
          <w:rtl/>
        </w:rPr>
        <w:t xml:space="preserve">סיום </w:t>
      </w:r>
      <w:bookmarkStart w:id="25137" w:name="_ETM_Q42_521219"/>
      <w:bookmarkEnd w:id="25137"/>
      <w:r>
        <w:rPr>
          <w:rFonts w:hint="cs"/>
          <w:rtl/>
        </w:rPr>
        <w:t xml:space="preserve">קורס </w:t>
      </w:r>
      <w:bookmarkStart w:id="25138" w:name="_ETM_Q42_521519"/>
      <w:bookmarkEnd w:id="25138"/>
      <w:r>
        <w:rPr>
          <w:rFonts w:hint="cs"/>
          <w:rtl/>
        </w:rPr>
        <w:t xml:space="preserve">מד"צים </w:t>
      </w:r>
      <w:bookmarkStart w:id="25139" w:name="_ETM_Q42_522029"/>
      <w:bookmarkEnd w:id="25139"/>
      <w:r>
        <w:rPr>
          <w:rFonts w:hint="cs"/>
          <w:rtl/>
        </w:rPr>
        <w:t xml:space="preserve">שלהם. </w:t>
      </w:r>
      <w:bookmarkStart w:id="25140" w:name="_ETM_Q42_524100"/>
      <w:bookmarkEnd w:id="25140"/>
      <w:r>
        <w:rPr>
          <w:rFonts w:hint="cs"/>
          <w:rtl/>
        </w:rPr>
        <w:t xml:space="preserve">הם </w:t>
      </w:r>
      <w:bookmarkStart w:id="25141" w:name="_ETM_Q42_524220"/>
      <w:bookmarkEnd w:id="25141"/>
      <w:r>
        <w:rPr>
          <w:rFonts w:hint="cs"/>
          <w:rtl/>
        </w:rPr>
        <w:t xml:space="preserve">היו </w:t>
      </w:r>
      <w:bookmarkStart w:id="25142" w:name="_ETM_Q42_524430"/>
      <w:bookmarkEnd w:id="25142"/>
      <w:r>
        <w:rPr>
          <w:rFonts w:hint="cs"/>
          <w:rtl/>
        </w:rPr>
        <w:t>ב</w:t>
      </w:r>
      <w:bookmarkStart w:id="25143" w:name="_ETM_Q42_522716"/>
      <w:bookmarkEnd w:id="25143"/>
      <w:r>
        <w:rPr>
          <w:rFonts w:hint="cs"/>
          <w:rtl/>
        </w:rPr>
        <w:t>ציפורי</w:t>
      </w:r>
      <w:bookmarkStart w:id="25144" w:name="_ETM_Q42_524408"/>
      <w:bookmarkEnd w:id="25144"/>
      <w:r>
        <w:rPr>
          <w:rFonts w:hint="cs"/>
          <w:rtl/>
        </w:rPr>
        <w:t>,</w:t>
      </w:r>
      <w:bookmarkStart w:id="25145" w:name="_ETM_Q42_523847"/>
      <w:bookmarkEnd w:id="25145"/>
      <w:r>
        <w:rPr>
          <w:rFonts w:hint="cs"/>
          <w:rtl/>
        </w:rPr>
        <w:t xml:space="preserve"> </w:t>
      </w:r>
      <w:bookmarkStart w:id="25146" w:name="_ETM_Q42_526279"/>
      <w:bookmarkEnd w:id="25146"/>
      <w:r>
        <w:rPr>
          <w:rFonts w:hint="cs"/>
          <w:rtl/>
        </w:rPr>
        <w:t xml:space="preserve">ואז </w:t>
      </w:r>
      <w:bookmarkStart w:id="25147" w:name="_ETM_Q42_526550"/>
      <w:bookmarkEnd w:id="25147"/>
      <w:r>
        <w:rPr>
          <w:rFonts w:hint="cs"/>
          <w:rtl/>
        </w:rPr>
        <w:t xml:space="preserve">בא </w:t>
      </w:r>
      <w:bookmarkStart w:id="25148" w:name="_ETM_Q42_526730"/>
      <w:bookmarkEnd w:id="25148"/>
      <w:r>
        <w:rPr>
          <w:rFonts w:hint="cs"/>
          <w:rtl/>
        </w:rPr>
        <w:t xml:space="preserve">הרכז </w:t>
      </w:r>
      <w:bookmarkStart w:id="25149" w:name="_ETM_Q42_527120"/>
      <w:bookmarkEnd w:id="25149"/>
      <w:r>
        <w:rPr>
          <w:rFonts w:hint="cs"/>
          <w:rtl/>
        </w:rPr>
        <w:t xml:space="preserve">– </w:t>
      </w:r>
      <w:bookmarkStart w:id="25150" w:name="_ETM_Q42_527570"/>
      <w:bookmarkEnd w:id="25150"/>
      <w:r>
        <w:rPr>
          <w:rFonts w:hint="cs"/>
          <w:rtl/>
        </w:rPr>
        <w:t xml:space="preserve">כדאי </w:t>
      </w:r>
      <w:bookmarkStart w:id="25151" w:name="_ETM_Q42_527870"/>
      <w:bookmarkEnd w:id="25151"/>
      <w:r>
        <w:rPr>
          <w:rFonts w:hint="cs"/>
          <w:rtl/>
        </w:rPr>
        <w:t xml:space="preserve">לך </w:t>
      </w:r>
      <w:bookmarkStart w:id="25152" w:name="_ETM_Q42_528050"/>
      <w:bookmarkEnd w:id="25152"/>
      <w:r>
        <w:rPr>
          <w:rFonts w:hint="cs"/>
          <w:rtl/>
        </w:rPr>
        <w:t xml:space="preserve">לשמוע </w:t>
      </w:r>
      <w:bookmarkStart w:id="25153" w:name="_ETM_Q42_528440"/>
      <w:bookmarkEnd w:id="25153"/>
      <w:r>
        <w:rPr>
          <w:rFonts w:hint="cs"/>
          <w:rtl/>
        </w:rPr>
        <w:t xml:space="preserve">את </w:t>
      </w:r>
      <w:bookmarkStart w:id="25154" w:name="_ETM_Q42_528529"/>
      <w:bookmarkEnd w:id="25154"/>
      <w:r>
        <w:rPr>
          <w:rFonts w:hint="cs"/>
          <w:rtl/>
        </w:rPr>
        <w:t>זה,</w:t>
      </w:r>
      <w:bookmarkStart w:id="25155" w:name="_ETM_Q42_528649"/>
      <w:bookmarkEnd w:id="25155"/>
      <w:r>
        <w:rPr>
          <w:rFonts w:hint="cs"/>
          <w:rtl/>
        </w:rPr>
        <w:t xml:space="preserve"> אדוני </w:t>
      </w:r>
      <w:bookmarkStart w:id="25156" w:name="_ETM_Q42_528890"/>
      <w:bookmarkEnd w:id="25156"/>
      <w:r>
        <w:rPr>
          <w:rFonts w:hint="cs"/>
          <w:rtl/>
        </w:rPr>
        <w:t>היושב-ראש</w:t>
      </w:r>
      <w:bookmarkStart w:id="25157" w:name="_ETM_Q42_528579"/>
      <w:bookmarkEnd w:id="25157"/>
      <w:r>
        <w:rPr>
          <w:rFonts w:hint="cs"/>
          <w:rtl/>
        </w:rPr>
        <w:t xml:space="preserve"> </w:t>
      </w:r>
      <w:bookmarkStart w:id="25158" w:name="_ETM_Q42_530339"/>
      <w:bookmarkEnd w:id="25158"/>
      <w:r>
        <w:rPr>
          <w:rFonts w:hint="cs"/>
          <w:rtl/>
        </w:rPr>
        <w:t xml:space="preserve">– בא </w:t>
      </w:r>
      <w:bookmarkStart w:id="25159" w:name="_ETM_Q42_530639"/>
      <w:bookmarkEnd w:id="25159"/>
      <w:r>
        <w:rPr>
          <w:rFonts w:hint="cs"/>
          <w:rtl/>
        </w:rPr>
        <w:t xml:space="preserve">אליי </w:t>
      </w:r>
      <w:bookmarkStart w:id="25160" w:name="_ETM_Q42_532460"/>
      <w:bookmarkEnd w:id="25160"/>
      <w:r>
        <w:rPr>
          <w:rFonts w:hint="cs"/>
          <w:rtl/>
        </w:rPr>
        <w:t xml:space="preserve">רכז </w:t>
      </w:r>
      <w:bookmarkStart w:id="25161" w:name="_ETM_Q42_532820"/>
      <w:bookmarkEnd w:id="25161"/>
      <w:r>
        <w:rPr>
          <w:rFonts w:hint="cs"/>
          <w:rtl/>
        </w:rPr>
        <w:t xml:space="preserve">ארצי </w:t>
      </w:r>
      <w:bookmarkStart w:id="25162" w:name="_ETM_Q42_533089"/>
      <w:bookmarkEnd w:id="25162"/>
      <w:r>
        <w:rPr>
          <w:rFonts w:hint="cs"/>
          <w:rtl/>
        </w:rPr>
        <w:t xml:space="preserve">שלהם </w:t>
      </w:r>
      <w:bookmarkStart w:id="25163" w:name="_ETM_Q42_533449"/>
      <w:bookmarkStart w:id="25164" w:name="_ETM_Q42_530242"/>
      <w:bookmarkEnd w:id="25163"/>
      <w:bookmarkEnd w:id="25164"/>
      <w:r>
        <w:rPr>
          <w:rFonts w:hint="cs"/>
          <w:rtl/>
        </w:rPr>
        <w:t xml:space="preserve">עם רכז </w:t>
      </w:r>
      <w:bookmarkStart w:id="25165" w:name="_ETM_Q42_533839"/>
      <w:bookmarkEnd w:id="25165"/>
      <w:r>
        <w:rPr>
          <w:rFonts w:hint="cs"/>
          <w:rtl/>
        </w:rPr>
        <w:t xml:space="preserve">מפעלים, </w:t>
      </w:r>
      <w:bookmarkStart w:id="25166" w:name="_ETM_Q42_535350"/>
      <w:bookmarkEnd w:id="25166"/>
      <w:r w:rsidR="00775488">
        <w:rPr>
          <w:rFonts w:hint="cs"/>
          <w:rtl/>
        </w:rPr>
        <w:t>ו</w:t>
      </w:r>
      <w:r>
        <w:rPr>
          <w:rFonts w:hint="cs"/>
          <w:rtl/>
        </w:rPr>
        <w:t xml:space="preserve">אומרים </w:t>
      </w:r>
      <w:bookmarkStart w:id="25167" w:name="_ETM_Q42_535620"/>
      <w:bookmarkEnd w:id="25167"/>
      <w:r>
        <w:rPr>
          <w:rFonts w:hint="cs"/>
          <w:rtl/>
        </w:rPr>
        <w:t>לי</w:t>
      </w:r>
      <w:bookmarkStart w:id="25168" w:name="_ETM_Q42_532749"/>
      <w:bookmarkEnd w:id="25168"/>
      <w:r>
        <w:rPr>
          <w:rFonts w:hint="cs"/>
          <w:rtl/>
        </w:rPr>
        <w:t xml:space="preserve">: </w:t>
      </w:r>
      <w:bookmarkStart w:id="25169" w:name="_ETM_Q42_535710"/>
      <w:bookmarkEnd w:id="25169"/>
      <w:r>
        <w:rPr>
          <w:rFonts w:hint="cs"/>
          <w:rtl/>
        </w:rPr>
        <w:t xml:space="preserve">היינו </w:t>
      </w:r>
      <w:bookmarkStart w:id="25170" w:name="_ETM_Q42_536010"/>
      <w:bookmarkEnd w:id="25170"/>
      <w:r>
        <w:rPr>
          <w:rFonts w:hint="cs"/>
          <w:rtl/>
        </w:rPr>
        <w:t>במ</w:t>
      </w:r>
      <w:bookmarkStart w:id="25171" w:name="_ETM_Q42_536279"/>
      <w:bookmarkEnd w:id="25171"/>
      <w:r w:rsidR="00775488">
        <w:rPr>
          <w:rFonts w:hint="cs"/>
          <w:rtl/>
        </w:rPr>
        <w:t>י</w:t>
      </w:r>
      <w:r>
        <w:rPr>
          <w:rFonts w:hint="cs"/>
          <w:rtl/>
        </w:rPr>
        <w:t xml:space="preserve">מדיון </w:t>
      </w:r>
      <w:bookmarkStart w:id="25172" w:name="_ETM_Q42_538140"/>
      <w:bookmarkEnd w:id="25172"/>
      <w:r>
        <w:rPr>
          <w:rFonts w:hint="cs"/>
          <w:rtl/>
        </w:rPr>
        <w:t xml:space="preserve">ברמת </w:t>
      </w:r>
      <w:bookmarkStart w:id="25173" w:name="_ETM_Q42_538499"/>
      <w:bookmarkEnd w:id="25173"/>
      <w:r>
        <w:rPr>
          <w:rFonts w:hint="cs"/>
          <w:rtl/>
        </w:rPr>
        <w:t xml:space="preserve">גן. </w:t>
      </w:r>
      <w:bookmarkStart w:id="25174" w:name="_ETM_Q42_539010"/>
      <w:bookmarkStart w:id="25175" w:name="_ETM_Q42_541161"/>
      <w:bookmarkEnd w:id="25174"/>
      <w:bookmarkEnd w:id="25175"/>
      <w:r>
        <w:rPr>
          <w:rFonts w:hint="cs"/>
          <w:rtl/>
        </w:rPr>
        <w:t xml:space="preserve">מי </w:t>
      </w:r>
      <w:bookmarkStart w:id="25176" w:name="_ETM_Q42_539159"/>
      <w:bookmarkEnd w:id="25176"/>
      <w:r>
        <w:rPr>
          <w:rFonts w:hint="cs"/>
          <w:rtl/>
        </w:rPr>
        <w:t xml:space="preserve">שלא </w:t>
      </w:r>
      <w:bookmarkStart w:id="25177" w:name="_ETM_Q42_539339"/>
      <w:bookmarkEnd w:id="25177"/>
      <w:r>
        <w:rPr>
          <w:rFonts w:hint="cs"/>
          <w:rtl/>
        </w:rPr>
        <w:t xml:space="preserve">מכיר </w:t>
      </w:r>
      <w:bookmarkStart w:id="25178" w:name="_ETM_Q42_539670"/>
      <w:bookmarkEnd w:id="25178"/>
      <w:r>
        <w:rPr>
          <w:rFonts w:hint="cs"/>
          <w:rtl/>
        </w:rPr>
        <w:t xml:space="preserve">את </w:t>
      </w:r>
      <w:bookmarkStart w:id="25179" w:name="_ETM_Q42_539760"/>
      <w:bookmarkEnd w:id="25179"/>
      <w:r>
        <w:rPr>
          <w:rFonts w:hint="cs"/>
          <w:rtl/>
        </w:rPr>
        <w:t>ה</w:t>
      </w:r>
      <w:bookmarkStart w:id="25180" w:name="_ETM_Q42_538949"/>
      <w:bookmarkEnd w:id="25180"/>
      <w:r>
        <w:rPr>
          <w:rFonts w:hint="cs"/>
          <w:rtl/>
        </w:rPr>
        <w:t>מ</w:t>
      </w:r>
      <w:r w:rsidR="00775488">
        <w:rPr>
          <w:rFonts w:hint="cs"/>
          <w:rtl/>
        </w:rPr>
        <w:t>י</w:t>
      </w:r>
      <w:r>
        <w:rPr>
          <w:rFonts w:hint="cs"/>
          <w:rtl/>
        </w:rPr>
        <w:t xml:space="preserve">מדיון </w:t>
      </w:r>
      <w:bookmarkStart w:id="25181" w:name="_ETM_Q42_540269"/>
      <w:bookmarkEnd w:id="25181"/>
      <w:r>
        <w:rPr>
          <w:rFonts w:hint="cs"/>
          <w:rtl/>
        </w:rPr>
        <w:t xml:space="preserve">ברמת גן – </w:t>
      </w:r>
      <w:bookmarkStart w:id="25182" w:name="_ETM_Q42_542610"/>
      <w:bookmarkEnd w:id="25182"/>
      <w:r>
        <w:rPr>
          <w:rFonts w:hint="cs"/>
          <w:rtl/>
        </w:rPr>
        <w:t xml:space="preserve">הם היו </w:t>
      </w:r>
      <w:bookmarkStart w:id="25183" w:name="_ETM_Q42_542879"/>
      <w:bookmarkEnd w:id="25183"/>
      <w:r>
        <w:rPr>
          <w:rFonts w:hint="cs"/>
          <w:rtl/>
        </w:rPr>
        <w:t xml:space="preserve">שם </w:t>
      </w:r>
      <w:bookmarkStart w:id="25184" w:name="_ETM_Q42_544589"/>
      <w:bookmarkStart w:id="25185" w:name="_ETM_Q42_544829"/>
      <w:bookmarkEnd w:id="25184"/>
      <w:bookmarkEnd w:id="25185"/>
      <w:r>
        <w:rPr>
          <w:rFonts w:hint="cs"/>
          <w:rtl/>
        </w:rPr>
        <w:t xml:space="preserve">עם </w:t>
      </w:r>
      <w:bookmarkStart w:id="25186" w:name="_ETM_Q42_544920"/>
      <w:bookmarkEnd w:id="25186"/>
      <w:r>
        <w:rPr>
          <w:rFonts w:hint="cs"/>
          <w:rtl/>
        </w:rPr>
        <w:t xml:space="preserve">500 </w:t>
      </w:r>
      <w:bookmarkStart w:id="25187" w:name="_ETM_Q42_545490"/>
      <w:bookmarkEnd w:id="25187"/>
      <w:r>
        <w:rPr>
          <w:rFonts w:hint="cs"/>
          <w:rtl/>
        </w:rPr>
        <w:t>ילדים.</w:t>
      </w:r>
      <w:bookmarkStart w:id="25188" w:name="_ETM_Q42_548770"/>
      <w:bookmarkEnd w:id="25188"/>
      <w:r>
        <w:rPr>
          <w:rFonts w:hint="cs"/>
          <w:rtl/>
        </w:rPr>
        <w:t xml:space="preserve"> </w:t>
      </w:r>
      <w:bookmarkStart w:id="25189" w:name="_ETM_Q42_548920"/>
      <w:bookmarkStart w:id="25190" w:name="_ETM_Q42_549189"/>
      <w:bookmarkStart w:id="25191" w:name="_ETM_Q42_549609"/>
      <w:bookmarkEnd w:id="25189"/>
      <w:bookmarkEnd w:id="25190"/>
      <w:bookmarkEnd w:id="25191"/>
      <w:r>
        <w:rPr>
          <w:rFonts w:hint="cs"/>
          <w:rtl/>
        </w:rPr>
        <w:t>כשהגיעו</w:t>
      </w:r>
      <w:bookmarkStart w:id="25192" w:name="_ETM_Q42_546279"/>
      <w:bookmarkEnd w:id="25192"/>
      <w:r>
        <w:rPr>
          <w:rFonts w:hint="cs"/>
          <w:rtl/>
        </w:rPr>
        <w:t xml:space="preserve"> </w:t>
      </w:r>
      <w:bookmarkStart w:id="25193" w:name="_ETM_Q42_550029"/>
      <w:bookmarkEnd w:id="25193"/>
      <w:r>
        <w:rPr>
          <w:rFonts w:hint="cs"/>
          <w:rtl/>
        </w:rPr>
        <w:t xml:space="preserve">היה </w:t>
      </w:r>
      <w:bookmarkStart w:id="25194" w:name="_ETM_Q42_550210"/>
      <w:bookmarkEnd w:id="25194"/>
      <w:r>
        <w:rPr>
          <w:rFonts w:hint="cs"/>
          <w:rtl/>
        </w:rPr>
        <w:t xml:space="preserve">יום חם </w:t>
      </w:r>
      <w:bookmarkStart w:id="25195" w:name="_ETM_Q42_550719"/>
      <w:bookmarkEnd w:id="25195"/>
      <w:r>
        <w:rPr>
          <w:rFonts w:hint="cs"/>
          <w:rtl/>
        </w:rPr>
        <w:t xml:space="preserve">מאוד. </w:t>
      </w:r>
      <w:bookmarkStart w:id="25196" w:name="_ETM_Q42_551529"/>
      <w:bookmarkEnd w:id="25196"/>
      <w:r>
        <w:rPr>
          <w:rFonts w:hint="cs"/>
          <w:rtl/>
        </w:rPr>
        <w:t xml:space="preserve">באותו </w:t>
      </w:r>
      <w:bookmarkStart w:id="25197" w:name="_ETM_Q42_551770"/>
      <w:bookmarkEnd w:id="25197"/>
      <w:r>
        <w:rPr>
          <w:rFonts w:hint="cs"/>
          <w:rtl/>
        </w:rPr>
        <w:t>שבוע</w:t>
      </w:r>
      <w:bookmarkStart w:id="25198" w:name="_ETM_Q42_550362"/>
      <w:bookmarkEnd w:id="25198"/>
      <w:r>
        <w:rPr>
          <w:rFonts w:hint="cs"/>
          <w:rtl/>
        </w:rPr>
        <w:t xml:space="preserve"> </w:t>
      </w:r>
      <w:bookmarkStart w:id="25199" w:name="_ETM_Q42_551950"/>
      <w:bookmarkStart w:id="25200" w:name="_ETM_Q42_552369"/>
      <w:bookmarkStart w:id="25201" w:name="_ETM_Q42_552579"/>
      <w:bookmarkStart w:id="25202" w:name="_ETM_Q42_552999"/>
      <w:bookmarkEnd w:id="25199"/>
      <w:bookmarkEnd w:id="25200"/>
      <w:bookmarkEnd w:id="25201"/>
      <w:bookmarkEnd w:id="25202"/>
      <w:r>
        <w:rPr>
          <w:rFonts w:hint="cs"/>
          <w:rtl/>
        </w:rPr>
        <w:t xml:space="preserve">התייבש </w:t>
      </w:r>
      <w:bookmarkStart w:id="25203" w:name="_ETM_Q42_553329"/>
      <w:bookmarkStart w:id="25204" w:name="_ETM_Q42_553450"/>
      <w:bookmarkStart w:id="25205" w:name="_ETM_Q42_549630"/>
      <w:bookmarkEnd w:id="25203"/>
      <w:bookmarkEnd w:id="25204"/>
      <w:bookmarkEnd w:id="25205"/>
      <w:r>
        <w:rPr>
          <w:rFonts w:hint="cs"/>
          <w:rtl/>
        </w:rPr>
        <w:t xml:space="preserve">גם </w:t>
      </w:r>
      <w:bookmarkStart w:id="25206" w:name="_ETM_Q42_550105"/>
      <w:bookmarkEnd w:id="25206"/>
      <w:r>
        <w:rPr>
          <w:rFonts w:hint="cs"/>
          <w:rtl/>
        </w:rPr>
        <w:t>ראש הממשלה</w:t>
      </w:r>
      <w:bookmarkStart w:id="25207" w:name="_ETM_Q42_553929"/>
      <w:bookmarkStart w:id="25208" w:name="_ETM_Q42_554793"/>
      <w:bookmarkEnd w:id="25207"/>
      <w:bookmarkEnd w:id="25208"/>
      <w:r>
        <w:rPr>
          <w:rFonts w:hint="cs"/>
          <w:rtl/>
        </w:rPr>
        <w:t>,</w:t>
      </w:r>
      <w:bookmarkStart w:id="25209" w:name="_ETM_Q42_555363"/>
      <w:bookmarkEnd w:id="25209"/>
      <w:r>
        <w:rPr>
          <w:rFonts w:hint="cs"/>
          <w:rtl/>
        </w:rPr>
        <w:t xml:space="preserve"> </w:t>
      </w:r>
      <w:bookmarkStart w:id="25210" w:name="_ETM_Q42_554560"/>
      <w:bookmarkEnd w:id="25210"/>
      <w:r>
        <w:rPr>
          <w:rFonts w:hint="cs"/>
          <w:rtl/>
        </w:rPr>
        <w:t xml:space="preserve">שלא </w:t>
      </w:r>
      <w:bookmarkStart w:id="25211" w:name="_ETM_Q42_554770"/>
      <w:bookmarkEnd w:id="25211"/>
      <w:r>
        <w:rPr>
          <w:rFonts w:hint="cs"/>
          <w:rtl/>
        </w:rPr>
        <w:t xml:space="preserve">נשכח, </w:t>
      </w:r>
      <w:bookmarkStart w:id="25212" w:name="_ETM_Q42_557000"/>
      <w:bookmarkEnd w:id="25212"/>
      <w:r>
        <w:rPr>
          <w:rFonts w:hint="cs"/>
          <w:rtl/>
        </w:rPr>
        <w:t xml:space="preserve">והוא </w:t>
      </w:r>
      <w:bookmarkStart w:id="25213" w:name="_ETM_Q42_557180"/>
      <w:bookmarkEnd w:id="25213"/>
      <w:r>
        <w:rPr>
          <w:rFonts w:hint="cs"/>
          <w:rtl/>
        </w:rPr>
        <w:t xml:space="preserve">היה </w:t>
      </w:r>
      <w:bookmarkStart w:id="25214" w:name="_ETM_Q42_557390"/>
      <w:bookmarkEnd w:id="25214"/>
      <w:r>
        <w:rPr>
          <w:rFonts w:hint="cs"/>
          <w:rtl/>
        </w:rPr>
        <w:t xml:space="preserve">בלי </w:t>
      </w:r>
      <w:bookmarkStart w:id="25215" w:name="_ETM_Q42_557600"/>
      <w:bookmarkEnd w:id="25215"/>
      <w:r>
        <w:rPr>
          <w:rFonts w:hint="cs"/>
          <w:rtl/>
        </w:rPr>
        <w:t>כובע.</w:t>
      </w:r>
      <w:bookmarkStart w:id="25216" w:name="_ETM_Q42_562090"/>
      <w:bookmarkEnd w:id="25216"/>
    </w:p>
    <w:p w:rsidR="00BB59CD" w:rsidRDefault="00BB59CD" w:rsidP="00337201">
      <w:pPr>
        <w:rPr>
          <w:rtl/>
        </w:rPr>
      </w:pPr>
      <w:bookmarkStart w:id="25217" w:name="_ETM_Q42_561022"/>
      <w:bookmarkStart w:id="25218" w:name="_ETM_Q42_561088"/>
      <w:bookmarkEnd w:id="25217"/>
      <w:bookmarkEnd w:id="25218"/>
    </w:p>
    <w:p w:rsidR="00BB59CD" w:rsidRDefault="00BB59CD" w:rsidP="00BB59CD">
      <w:pPr>
        <w:pStyle w:val="af8"/>
        <w:keepNext/>
        <w:rPr>
          <w:rtl/>
        </w:rPr>
      </w:pPr>
      <w:bookmarkStart w:id="25219" w:name="ET_interruption_5520_2"/>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25219"/>
    </w:p>
    <w:p w:rsidR="00BB59CD" w:rsidRDefault="00BB59CD" w:rsidP="00337201">
      <w:pPr>
        <w:rPr>
          <w:rtl/>
          <w:lang w:eastAsia="he-IL"/>
        </w:rPr>
      </w:pPr>
    </w:p>
    <w:p w:rsidR="00BB59CD" w:rsidRDefault="00BB59CD" w:rsidP="00BB59CD">
      <w:pPr>
        <w:rPr>
          <w:rtl/>
          <w:lang w:eastAsia="he-IL"/>
        </w:rPr>
      </w:pPr>
      <w:bookmarkStart w:id="25220" w:name="_ETM_Q42_556358"/>
      <w:bookmarkEnd w:id="25220"/>
      <w:r>
        <w:rPr>
          <w:rFonts w:hint="cs"/>
          <w:rtl/>
          <w:lang w:eastAsia="he-IL"/>
        </w:rPr>
        <w:t>הוא התייבש כל כך, שזה הביא לקוצב לב.</w:t>
      </w:r>
      <w:bookmarkStart w:id="25221" w:name="_ETM_Q42_558587"/>
      <w:bookmarkEnd w:id="25221"/>
    </w:p>
    <w:p w:rsidR="00BB59CD" w:rsidRDefault="00BB59CD" w:rsidP="00BB59CD">
      <w:pPr>
        <w:rPr>
          <w:rtl/>
          <w:lang w:eastAsia="he-IL"/>
        </w:rPr>
      </w:pPr>
      <w:bookmarkStart w:id="25222" w:name="_ETM_Q42_558785"/>
      <w:bookmarkStart w:id="25223" w:name="_ETM_Q42_558850"/>
      <w:bookmarkEnd w:id="25222"/>
      <w:bookmarkEnd w:id="25223"/>
    </w:p>
    <w:p w:rsidR="00BB59CD" w:rsidRDefault="00BB59CD" w:rsidP="00BB59CD">
      <w:pPr>
        <w:pStyle w:val="-"/>
        <w:keepNext/>
        <w:rPr>
          <w:rtl/>
        </w:rPr>
      </w:pPr>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775488">
      <w:pPr>
        <w:rPr>
          <w:rtl/>
        </w:rPr>
      </w:pPr>
      <w:bookmarkStart w:id="25224" w:name="_ETM_Q42_564691"/>
      <w:bookmarkStart w:id="25225" w:name="_ETM_Q42_560122"/>
      <w:bookmarkEnd w:id="25224"/>
      <w:bookmarkEnd w:id="25225"/>
      <w:r>
        <w:rPr>
          <w:rFonts w:hint="cs"/>
          <w:rtl/>
          <w:lang w:eastAsia="he-IL"/>
        </w:rPr>
        <w:t xml:space="preserve">כן, כן, </w:t>
      </w:r>
      <w:bookmarkStart w:id="25226" w:name="_ETM_Q42_566852"/>
      <w:bookmarkStart w:id="25227" w:name="_ETM_Q42_562135"/>
      <w:bookmarkEnd w:id="25226"/>
      <w:bookmarkEnd w:id="25227"/>
      <w:r>
        <w:rPr>
          <w:rFonts w:hint="cs"/>
          <w:rtl/>
          <w:lang w:eastAsia="he-IL"/>
        </w:rPr>
        <w:t xml:space="preserve">אני יודע. </w:t>
      </w:r>
      <w:bookmarkStart w:id="25228" w:name="_ETM_Q42_561181"/>
      <w:bookmarkStart w:id="25229" w:name="_ETM_Q42_561221"/>
      <w:bookmarkStart w:id="25230" w:name="_ETM_Q42_563680"/>
      <w:bookmarkStart w:id="25231" w:name="_ETM_Q42_565210"/>
      <w:bookmarkStart w:id="25232" w:name="_ETM_Q42_565479"/>
      <w:bookmarkEnd w:id="25228"/>
      <w:bookmarkEnd w:id="25229"/>
      <w:bookmarkEnd w:id="25230"/>
      <w:bookmarkEnd w:id="25231"/>
      <w:bookmarkEnd w:id="25232"/>
      <w:r>
        <w:rPr>
          <w:rFonts w:hint="cs"/>
          <w:rtl/>
        </w:rPr>
        <w:t xml:space="preserve">אני </w:t>
      </w:r>
      <w:bookmarkStart w:id="25233" w:name="_ETM_Q42_565659"/>
      <w:bookmarkStart w:id="25234" w:name="_ETM_Q42_565869"/>
      <w:bookmarkStart w:id="25235" w:name="_ETM_Q42_566020"/>
      <w:bookmarkEnd w:id="25233"/>
      <w:bookmarkEnd w:id="25234"/>
      <w:bookmarkEnd w:id="25235"/>
      <w:r>
        <w:rPr>
          <w:rFonts w:hint="cs"/>
          <w:rtl/>
        </w:rPr>
        <w:t xml:space="preserve">עוקב </w:t>
      </w:r>
      <w:bookmarkStart w:id="25236" w:name="_ETM_Q42_562483"/>
      <w:bookmarkEnd w:id="25236"/>
      <w:r>
        <w:rPr>
          <w:rFonts w:hint="cs"/>
          <w:rtl/>
        </w:rPr>
        <w:t xml:space="preserve">בחדשות </w:t>
      </w:r>
      <w:bookmarkStart w:id="25237" w:name="_ETM_Q42_566409"/>
      <w:bookmarkEnd w:id="25237"/>
      <w:r>
        <w:rPr>
          <w:rFonts w:hint="cs"/>
          <w:rtl/>
        </w:rPr>
        <w:t xml:space="preserve">מה </w:t>
      </w:r>
      <w:bookmarkStart w:id="25238" w:name="_ETM_Q42_566529"/>
      <w:bookmarkEnd w:id="25238"/>
      <w:r>
        <w:rPr>
          <w:rFonts w:hint="cs"/>
          <w:rtl/>
        </w:rPr>
        <w:t>קורה</w:t>
      </w:r>
      <w:bookmarkStart w:id="25239" w:name="_ETM_Q42_562293"/>
      <w:bookmarkEnd w:id="25239"/>
      <w:r w:rsidR="00775488">
        <w:rPr>
          <w:rFonts w:hint="cs"/>
          <w:rtl/>
        </w:rPr>
        <w:t>,</w:t>
      </w:r>
      <w:r>
        <w:rPr>
          <w:rFonts w:hint="cs"/>
          <w:rtl/>
        </w:rPr>
        <w:t xml:space="preserve"> </w:t>
      </w:r>
      <w:bookmarkStart w:id="25240" w:name="_ETM_Q42_567479"/>
      <w:bookmarkEnd w:id="25240"/>
      <w:r>
        <w:rPr>
          <w:rFonts w:hint="cs"/>
          <w:rtl/>
        </w:rPr>
        <w:t xml:space="preserve">ואני </w:t>
      </w:r>
      <w:bookmarkStart w:id="25241" w:name="_ETM_Q42_567659"/>
      <w:bookmarkEnd w:id="25241"/>
      <w:r>
        <w:rPr>
          <w:rFonts w:hint="cs"/>
          <w:rtl/>
        </w:rPr>
        <w:t xml:space="preserve">דואג </w:t>
      </w:r>
      <w:bookmarkStart w:id="25242" w:name="_ETM_Q42_567929"/>
      <w:bookmarkEnd w:id="25242"/>
      <w:r>
        <w:rPr>
          <w:rFonts w:hint="cs"/>
          <w:rtl/>
        </w:rPr>
        <w:t xml:space="preserve">לבריאות </w:t>
      </w:r>
      <w:bookmarkStart w:id="25243" w:name="_ETM_Q42_568349"/>
      <w:bookmarkEnd w:id="25243"/>
      <w:r>
        <w:rPr>
          <w:rFonts w:hint="cs"/>
          <w:rtl/>
        </w:rPr>
        <w:t>שלו.</w:t>
      </w:r>
      <w:bookmarkStart w:id="25244" w:name="_ETM_Q42_568957"/>
      <w:bookmarkEnd w:id="25244"/>
      <w:r>
        <w:rPr>
          <w:rFonts w:hint="cs"/>
          <w:rtl/>
        </w:rPr>
        <w:t xml:space="preserve"> </w:t>
      </w:r>
      <w:bookmarkStart w:id="25245" w:name="_ETM_Q42_570120"/>
      <w:bookmarkStart w:id="25246" w:name="_ETM_Q42_570330"/>
      <w:bookmarkStart w:id="25247" w:name="_ETM_Q42_570510"/>
      <w:bookmarkEnd w:id="25245"/>
      <w:bookmarkEnd w:id="25246"/>
      <w:bookmarkEnd w:id="25247"/>
      <w:r>
        <w:rPr>
          <w:rFonts w:hint="cs"/>
          <w:rtl/>
        </w:rPr>
        <w:t>אני אומר לך,</w:t>
      </w:r>
      <w:bookmarkStart w:id="25248" w:name="_ETM_Q42_568802"/>
      <w:bookmarkEnd w:id="25248"/>
      <w:r>
        <w:rPr>
          <w:rFonts w:hint="cs"/>
          <w:rtl/>
        </w:rPr>
        <w:t xml:space="preserve"> </w:t>
      </w:r>
      <w:bookmarkStart w:id="25249" w:name="_ETM_Q42_571279"/>
      <w:bookmarkEnd w:id="25249"/>
      <w:r>
        <w:rPr>
          <w:rFonts w:hint="cs"/>
          <w:rtl/>
        </w:rPr>
        <w:t xml:space="preserve">אפילו </w:t>
      </w:r>
      <w:bookmarkStart w:id="25250" w:name="_ETM_Q42_571669"/>
      <w:bookmarkEnd w:id="25250"/>
      <w:r>
        <w:rPr>
          <w:rFonts w:hint="cs"/>
          <w:rtl/>
        </w:rPr>
        <w:t xml:space="preserve">ראש </w:t>
      </w:r>
      <w:bookmarkStart w:id="25251" w:name="_ETM_Q42_571819"/>
      <w:bookmarkEnd w:id="25251"/>
      <w:r>
        <w:rPr>
          <w:rFonts w:hint="cs"/>
          <w:rtl/>
        </w:rPr>
        <w:t xml:space="preserve">הממשלה </w:t>
      </w:r>
      <w:bookmarkStart w:id="25252" w:name="_ETM_Q42_572329"/>
      <w:bookmarkEnd w:id="25252"/>
      <w:r>
        <w:rPr>
          <w:rFonts w:hint="cs"/>
          <w:rtl/>
        </w:rPr>
        <w:t xml:space="preserve">אמר: </w:t>
      </w:r>
      <w:bookmarkStart w:id="25253" w:name="_ETM_Q42_572659"/>
      <w:bookmarkEnd w:id="25253"/>
      <w:r>
        <w:rPr>
          <w:rFonts w:hint="cs"/>
          <w:rtl/>
        </w:rPr>
        <w:t xml:space="preserve">תשתו </w:t>
      </w:r>
      <w:bookmarkStart w:id="25254" w:name="_ETM_Q42_573049"/>
      <w:bookmarkEnd w:id="25254"/>
      <w:r>
        <w:rPr>
          <w:rFonts w:hint="cs"/>
          <w:rtl/>
        </w:rPr>
        <w:t xml:space="preserve">הרבה </w:t>
      </w:r>
      <w:bookmarkStart w:id="25255" w:name="_ETM_Q42_573349"/>
      <w:bookmarkEnd w:id="25255"/>
      <w:r>
        <w:rPr>
          <w:rFonts w:hint="cs"/>
          <w:rtl/>
        </w:rPr>
        <w:t xml:space="preserve">מים. </w:t>
      </w:r>
      <w:bookmarkStart w:id="25256" w:name="_ETM_Q42_574120"/>
      <w:bookmarkEnd w:id="25256"/>
      <w:r>
        <w:rPr>
          <w:rFonts w:hint="cs"/>
          <w:rtl/>
        </w:rPr>
        <w:t xml:space="preserve">ואז </w:t>
      </w:r>
      <w:bookmarkStart w:id="25257" w:name="_ETM_Q42_574540"/>
      <w:bookmarkEnd w:id="25257"/>
      <w:r>
        <w:rPr>
          <w:rFonts w:hint="cs"/>
          <w:rtl/>
        </w:rPr>
        <w:t>ה</w:t>
      </w:r>
      <w:bookmarkStart w:id="25258" w:name="_ETM_Q42_575650"/>
      <w:bookmarkEnd w:id="25258"/>
      <w:r>
        <w:rPr>
          <w:rFonts w:hint="cs"/>
          <w:rtl/>
        </w:rPr>
        <w:t xml:space="preserve">רכז הארצי </w:t>
      </w:r>
      <w:bookmarkStart w:id="25259" w:name="_ETM_Q42_576130"/>
      <w:bookmarkEnd w:id="25259"/>
      <w:r>
        <w:rPr>
          <w:rFonts w:hint="cs"/>
          <w:rtl/>
        </w:rPr>
        <w:t xml:space="preserve">מגיע </w:t>
      </w:r>
      <w:bookmarkStart w:id="25260" w:name="_ETM_Q42_576520"/>
      <w:bookmarkEnd w:id="25260"/>
      <w:r>
        <w:rPr>
          <w:rFonts w:hint="cs"/>
          <w:rtl/>
        </w:rPr>
        <w:t>לה</w:t>
      </w:r>
      <w:bookmarkStart w:id="25261" w:name="_ETM_Q42_576700"/>
      <w:bookmarkStart w:id="25262" w:name="_ETM_Q42_576850"/>
      <w:bookmarkStart w:id="25263" w:name="_ETM_Q42_572815"/>
      <w:bookmarkEnd w:id="25261"/>
      <w:bookmarkEnd w:id="25262"/>
      <w:bookmarkEnd w:id="25263"/>
      <w:r>
        <w:rPr>
          <w:rFonts w:hint="cs"/>
          <w:rtl/>
        </w:rPr>
        <w:t xml:space="preserve">נהלה </w:t>
      </w:r>
      <w:bookmarkStart w:id="25264" w:name="_ETM_Q42_576970"/>
      <w:bookmarkEnd w:id="25264"/>
      <w:r>
        <w:rPr>
          <w:rFonts w:hint="cs"/>
          <w:rtl/>
        </w:rPr>
        <w:t xml:space="preserve">שם, </w:t>
      </w:r>
      <w:bookmarkStart w:id="25265" w:name="_ETM_Q42_574522"/>
      <w:bookmarkEnd w:id="25265"/>
      <w:r>
        <w:rPr>
          <w:rFonts w:hint="cs"/>
          <w:rtl/>
        </w:rPr>
        <w:t>איפה שמערכת</w:t>
      </w:r>
      <w:bookmarkStart w:id="25266" w:name="_ETM_Q42_576241"/>
      <w:bookmarkEnd w:id="25266"/>
      <w:r>
        <w:rPr>
          <w:rFonts w:hint="cs"/>
          <w:rtl/>
        </w:rPr>
        <w:t xml:space="preserve"> </w:t>
      </w:r>
      <w:bookmarkStart w:id="25267" w:name="_ETM_Q42_576396"/>
      <w:bookmarkEnd w:id="25267"/>
      <w:r>
        <w:rPr>
          <w:rFonts w:hint="cs"/>
          <w:rtl/>
        </w:rPr>
        <w:t xml:space="preserve">הכריזה, </w:t>
      </w:r>
      <w:bookmarkStart w:id="25268" w:name="_ETM_Q42_575590"/>
      <w:bookmarkEnd w:id="25268"/>
      <w:r>
        <w:rPr>
          <w:rFonts w:hint="cs"/>
          <w:rtl/>
        </w:rPr>
        <w:t xml:space="preserve">והוא אומר להם: </w:t>
      </w:r>
      <w:bookmarkStart w:id="25269" w:name="_ETM_Q42_577210"/>
      <w:bookmarkStart w:id="25270" w:name="_ETM_Q42_577360"/>
      <w:bookmarkStart w:id="25271" w:name="_ETM_Q42_578050"/>
      <w:bookmarkStart w:id="25272" w:name="_ETM_Q42_578590"/>
      <w:bookmarkStart w:id="25273" w:name="_ETM_Q42_578710"/>
      <w:bookmarkStart w:id="25274" w:name="_ETM_Q42_578950"/>
      <w:bookmarkStart w:id="25275" w:name="_ETM_Q42_579550"/>
      <w:bookmarkStart w:id="25276" w:name="_ETM_Q42_579700"/>
      <w:bookmarkStart w:id="25277" w:name="_ETM_Q42_576291"/>
      <w:bookmarkEnd w:id="25269"/>
      <w:bookmarkEnd w:id="25270"/>
      <w:bookmarkEnd w:id="25271"/>
      <w:bookmarkEnd w:id="25272"/>
      <w:bookmarkEnd w:id="25273"/>
      <w:bookmarkEnd w:id="25274"/>
      <w:bookmarkEnd w:id="25275"/>
      <w:bookmarkEnd w:id="25276"/>
      <w:bookmarkEnd w:id="25277"/>
      <w:r>
        <w:rPr>
          <w:rFonts w:hint="cs"/>
          <w:rtl/>
        </w:rPr>
        <w:t xml:space="preserve">תשמעו, </w:t>
      </w:r>
      <w:bookmarkStart w:id="25278" w:name="_ETM_Q42_580150"/>
      <w:bookmarkEnd w:id="25278"/>
      <w:r>
        <w:rPr>
          <w:rFonts w:hint="cs"/>
          <w:rtl/>
        </w:rPr>
        <w:t xml:space="preserve">חבר'ה, </w:t>
      </w:r>
      <w:bookmarkStart w:id="25279" w:name="_ETM_Q42_579052"/>
      <w:bookmarkEnd w:id="25279"/>
      <w:r>
        <w:rPr>
          <w:rFonts w:hint="cs"/>
          <w:rtl/>
        </w:rPr>
        <w:t xml:space="preserve">היום </w:t>
      </w:r>
      <w:bookmarkStart w:id="25280" w:name="_ETM_Q42_580450"/>
      <w:bookmarkEnd w:id="25280"/>
      <w:r>
        <w:rPr>
          <w:rFonts w:hint="cs"/>
          <w:rtl/>
        </w:rPr>
        <w:t>מאוד</w:t>
      </w:r>
      <w:bookmarkStart w:id="25281" w:name="_ETM_Q42_580840"/>
      <w:bookmarkEnd w:id="25281"/>
      <w:r>
        <w:rPr>
          <w:rFonts w:hint="cs"/>
          <w:rtl/>
        </w:rPr>
        <w:t xml:space="preserve"> מאוד </w:t>
      </w:r>
      <w:bookmarkStart w:id="25282" w:name="_ETM_Q42_581200"/>
      <w:bookmarkEnd w:id="25282"/>
      <w:r>
        <w:rPr>
          <w:rFonts w:hint="cs"/>
          <w:rtl/>
        </w:rPr>
        <w:t xml:space="preserve">חם, </w:t>
      </w:r>
      <w:bookmarkStart w:id="25283" w:name="_ETM_Q42_582369"/>
      <w:bookmarkStart w:id="25284" w:name="_ETM_Q42_582640"/>
      <w:bookmarkEnd w:id="25283"/>
      <w:bookmarkEnd w:id="25284"/>
      <w:r>
        <w:rPr>
          <w:rFonts w:hint="cs"/>
          <w:rtl/>
        </w:rPr>
        <w:t xml:space="preserve">לפחות </w:t>
      </w:r>
      <w:bookmarkStart w:id="25285" w:name="_ETM_Q42_583060"/>
      <w:bookmarkEnd w:id="25285"/>
      <w:r>
        <w:rPr>
          <w:rFonts w:hint="cs"/>
          <w:rtl/>
        </w:rPr>
        <w:t xml:space="preserve">כל </w:t>
      </w:r>
      <w:bookmarkStart w:id="25286" w:name="_ETM_Q42_583270"/>
      <w:bookmarkEnd w:id="25286"/>
      <w:r>
        <w:rPr>
          <w:rFonts w:hint="cs"/>
          <w:rtl/>
        </w:rPr>
        <w:t xml:space="preserve">שעה, </w:t>
      </w:r>
      <w:bookmarkStart w:id="25287" w:name="_ETM_Q42_583689"/>
      <w:bookmarkEnd w:id="25287"/>
      <w:r>
        <w:rPr>
          <w:rFonts w:hint="cs"/>
          <w:rtl/>
        </w:rPr>
        <w:t xml:space="preserve">כל </w:t>
      </w:r>
      <w:bookmarkStart w:id="25288" w:name="_ETM_Q42_583930"/>
      <w:bookmarkEnd w:id="25288"/>
      <w:r>
        <w:rPr>
          <w:rFonts w:hint="cs"/>
          <w:rtl/>
        </w:rPr>
        <w:t>שעתיים,</w:t>
      </w:r>
      <w:bookmarkStart w:id="25289" w:name="_ETM_Q42_582119"/>
      <w:bookmarkEnd w:id="25289"/>
      <w:r>
        <w:rPr>
          <w:rFonts w:hint="cs"/>
          <w:rtl/>
        </w:rPr>
        <w:t xml:space="preserve"> </w:t>
      </w:r>
      <w:bookmarkStart w:id="25290" w:name="_ETM_Q42_584380"/>
      <w:bookmarkEnd w:id="25290"/>
      <w:r>
        <w:rPr>
          <w:rFonts w:hint="cs"/>
          <w:rtl/>
        </w:rPr>
        <w:t xml:space="preserve">אני </w:t>
      </w:r>
      <w:bookmarkStart w:id="25291" w:name="_ETM_Q42_584500"/>
      <w:bookmarkEnd w:id="25291"/>
      <w:r>
        <w:rPr>
          <w:rFonts w:hint="cs"/>
          <w:rtl/>
        </w:rPr>
        <w:t xml:space="preserve">רוצה </w:t>
      </w:r>
      <w:bookmarkStart w:id="25292" w:name="_ETM_Q42_584710"/>
      <w:bookmarkEnd w:id="25292"/>
      <w:r>
        <w:rPr>
          <w:rFonts w:hint="cs"/>
          <w:rtl/>
        </w:rPr>
        <w:t xml:space="preserve">להזכיר </w:t>
      </w:r>
      <w:bookmarkStart w:id="25293" w:name="_ETM_Q42_585070"/>
      <w:bookmarkEnd w:id="25293"/>
      <w:r>
        <w:rPr>
          <w:rFonts w:hint="cs"/>
          <w:rtl/>
        </w:rPr>
        <w:t xml:space="preserve">לילדים </w:t>
      </w:r>
      <w:bookmarkStart w:id="25294" w:name="_ETM_Q42_585640"/>
      <w:bookmarkEnd w:id="25294"/>
      <w:r w:rsidR="00775488">
        <w:rPr>
          <w:rFonts w:hint="eastAsia"/>
          <w:rtl/>
        </w:rPr>
        <w:t>–</w:t>
      </w:r>
      <w:r w:rsidR="00775488">
        <w:rPr>
          <w:rFonts w:hint="cs"/>
          <w:rtl/>
        </w:rPr>
        <w:t xml:space="preserve"> </w:t>
      </w:r>
      <w:r>
        <w:rPr>
          <w:rFonts w:hint="cs"/>
          <w:rtl/>
        </w:rPr>
        <w:t xml:space="preserve">כי </w:t>
      </w:r>
      <w:bookmarkStart w:id="25295" w:name="_ETM_Q42_585759"/>
      <w:bookmarkEnd w:id="25295"/>
      <w:r>
        <w:rPr>
          <w:rFonts w:hint="cs"/>
          <w:rtl/>
        </w:rPr>
        <w:t xml:space="preserve">יש </w:t>
      </w:r>
      <w:bookmarkStart w:id="25296" w:name="_ETM_Q42_585880"/>
      <w:bookmarkEnd w:id="25296"/>
      <w:r>
        <w:rPr>
          <w:rFonts w:hint="cs"/>
          <w:rtl/>
        </w:rPr>
        <w:t xml:space="preserve">איתנו </w:t>
      </w:r>
      <w:bookmarkStart w:id="25297" w:name="_ETM_Q42_586180"/>
      <w:bookmarkEnd w:id="25297"/>
      <w:r>
        <w:rPr>
          <w:rFonts w:hint="cs"/>
          <w:rtl/>
        </w:rPr>
        <w:t xml:space="preserve">עוד </w:t>
      </w:r>
      <w:bookmarkStart w:id="25298" w:name="_ETM_Q42_586360"/>
      <w:bookmarkEnd w:id="25298"/>
      <w:r>
        <w:rPr>
          <w:rFonts w:hint="cs"/>
          <w:rtl/>
        </w:rPr>
        <w:t xml:space="preserve">ילדים </w:t>
      </w:r>
      <w:bookmarkStart w:id="25299" w:name="_ETM_Q42_587049"/>
      <w:bookmarkEnd w:id="25299"/>
      <w:r>
        <w:rPr>
          <w:rFonts w:hint="cs"/>
          <w:rtl/>
        </w:rPr>
        <w:t xml:space="preserve">בכיתה </w:t>
      </w:r>
      <w:bookmarkStart w:id="25300" w:name="_ETM_Q42_587380"/>
      <w:bookmarkEnd w:id="25300"/>
      <w:r>
        <w:rPr>
          <w:rFonts w:hint="cs"/>
          <w:rtl/>
        </w:rPr>
        <w:t xml:space="preserve">ד' </w:t>
      </w:r>
      <w:bookmarkStart w:id="25301" w:name="_ETM_Q42_590740"/>
      <w:bookmarkEnd w:id="25301"/>
      <w:r>
        <w:rPr>
          <w:rFonts w:hint="cs"/>
          <w:rtl/>
        </w:rPr>
        <w:t xml:space="preserve">– אני </w:t>
      </w:r>
      <w:bookmarkStart w:id="25302" w:name="_ETM_Q42_590920"/>
      <w:bookmarkEnd w:id="25302"/>
      <w:r>
        <w:rPr>
          <w:rFonts w:hint="cs"/>
          <w:rtl/>
        </w:rPr>
        <w:t xml:space="preserve">רוצה </w:t>
      </w:r>
      <w:bookmarkStart w:id="25303" w:name="_ETM_Q42_591100"/>
      <w:bookmarkEnd w:id="25303"/>
      <w:r>
        <w:rPr>
          <w:rFonts w:hint="cs"/>
          <w:rtl/>
        </w:rPr>
        <w:t xml:space="preserve">להזכיר </w:t>
      </w:r>
      <w:bookmarkStart w:id="25304" w:name="_ETM_Q42_591460"/>
      <w:bookmarkEnd w:id="25304"/>
      <w:r>
        <w:rPr>
          <w:rFonts w:hint="cs"/>
          <w:rtl/>
        </w:rPr>
        <w:t xml:space="preserve">להם </w:t>
      </w:r>
      <w:bookmarkStart w:id="25305" w:name="_ETM_Q42_592380"/>
      <w:bookmarkEnd w:id="25305"/>
      <w:r>
        <w:rPr>
          <w:rFonts w:hint="cs"/>
          <w:rtl/>
        </w:rPr>
        <w:t xml:space="preserve">ולהגיד </w:t>
      </w:r>
      <w:bookmarkStart w:id="25306" w:name="_ETM_Q42_592740"/>
      <w:bookmarkEnd w:id="25306"/>
      <w:r>
        <w:rPr>
          <w:rFonts w:hint="cs"/>
          <w:rtl/>
        </w:rPr>
        <w:t>להם:</w:t>
      </w:r>
      <w:bookmarkStart w:id="25307" w:name="_ETM_Q42_591395"/>
      <w:bookmarkEnd w:id="25307"/>
      <w:r>
        <w:rPr>
          <w:rFonts w:hint="cs"/>
          <w:rtl/>
        </w:rPr>
        <w:t xml:space="preserve"> </w:t>
      </w:r>
      <w:bookmarkStart w:id="25308" w:name="_ETM_Q42_592890"/>
      <w:bookmarkEnd w:id="25308"/>
      <w:r>
        <w:rPr>
          <w:rFonts w:hint="cs"/>
          <w:rtl/>
        </w:rPr>
        <w:t xml:space="preserve">תשתו </w:t>
      </w:r>
      <w:bookmarkStart w:id="25309" w:name="_ETM_Q42_593219"/>
      <w:bookmarkEnd w:id="25309"/>
      <w:r>
        <w:rPr>
          <w:rFonts w:hint="cs"/>
          <w:rtl/>
        </w:rPr>
        <w:t xml:space="preserve">מים, </w:t>
      </w:r>
      <w:bookmarkStart w:id="25310" w:name="_ETM_Q42_593999"/>
      <w:bookmarkEnd w:id="25310"/>
      <w:r>
        <w:rPr>
          <w:rFonts w:hint="cs"/>
          <w:rtl/>
        </w:rPr>
        <w:t xml:space="preserve">כי </w:t>
      </w:r>
      <w:bookmarkStart w:id="25311" w:name="_ETM_Q42_594119"/>
      <w:bookmarkEnd w:id="25311"/>
      <w:r>
        <w:rPr>
          <w:rFonts w:hint="cs"/>
          <w:rtl/>
        </w:rPr>
        <w:t xml:space="preserve">היום </w:t>
      </w:r>
      <w:bookmarkStart w:id="25312" w:name="_ETM_Q42_594329"/>
      <w:bookmarkEnd w:id="25312"/>
      <w:r>
        <w:rPr>
          <w:rFonts w:hint="cs"/>
          <w:rtl/>
        </w:rPr>
        <w:t xml:space="preserve">מאוד </w:t>
      </w:r>
      <w:bookmarkStart w:id="25313" w:name="_ETM_Q42_594689"/>
      <w:bookmarkEnd w:id="25313"/>
      <w:r>
        <w:rPr>
          <w:rFonts w:hint="cs"/>
          <w:rtl/>
        </w:rPr>
        <w:t xml:space="preserve">חם. </w:t>
      </w:r>
      <w:bookmarkStart w:id="25314" w:name="_ETM_Q42_596520"/>
      <w:bookmarkEnd w:id="25314"/>
      <w:r>
        <w:rPr>
          <w:rFonts w:hint="cs"/>
          <w:rtl/>
        </w:rPr>
        <w:t xml:space="preserve">מה </w:t>
      </w:r>
      <w:bookmarkStart w:id="25315" w:name="_ETM_Q42_596670"/>
      <w:bookmarkEnd w:id="25315"/>
      <w:r>
        <w:rPr>
          <w:rFonts w:hint="cs"/>
          <w:rtl/>
        </w:rPr>
        <w:t xml:space="preserve">הוא </w:t>
      </w:r>
      <w:bookmarkStart w:id="25316" w:name="_ETM_Q42_596759"/>
      <w:bookmarkEnd w:id="25316"/>
      <w:r>
        <w:rPr>
          <w:rFonts w:hint="cs"/>
          <w:rtl/>
        </w:rPr>
        <w:t xml:space="preserve">אומר </w:t>
      </w:r>
      <w:bookmarkStart w:id="25317" w:name="_ETM_Q42_596969"/>
      <w:bookmarkEnd w:id="25317"/>
      <w:r>
        <w:rPr>
          <w:rFonts w:hint="cs"/>
          <w:rtl/>
        </w:rPr>
        <w:t>לו?</w:t>
      </w:r>
      <w:bookmarkStart w:id="25318" w:name="_ETM_Q42_595002"/>
      <w:bookmarkEnd w:id="25318"/>
      <w:r>
        <w:rPr>
          <w:rFonts w:hint="cs"/>
          <w:rtl/>
        </w:rPr>
        <w:t xml:space="preserve"> </w:t>
      </w:r>
      <w:bookmarkStart w:id="25319" w:name="_ETM_Q42_598230"/>
      <w:bookmarkEnd w:id="25319"/>
      <w:r>
        <w:rPr>
          <w:rFonts w:hint="cs"/>
          <w:rtl/>
        </w:rPr>
        <w:t xml:space="preserve">הוא אומר </w:t>
      </w:r>
      <w:bookmarkStart w:id="25320" w:name="_ETM_Q42_598529"/>
      <w:bookmarkEnd w:id="25320"/>
      <w:r>
        <w:rPr>
          <w:rFonts w:hint="cs"/>
          <w:rtl/>
        </w:rPr>
        <w:t xml:space="preserve">לו: </w:t>
      </w:r>
      <w:bookmarkStart w:id="25321" w:name="_ETM_Q42_598590"/>
      <w:bookmarkEnd w:id="25321"/>
      <w:r>
        <w:rPr>
          <w:rFonts w:hint="cs"/>
          <w:rtl/>
        </w:rPr>
        <w:t xml:space="preserve">תשמע, </w:t>
      </w:r>
      <w:bookmarkStart w:id="25322" w:name="_ETM_Q42_598920"/>
      <w:bookmarkStart w:id="25323" w:name="_ETM_Q42_597511"/>
      <w:bookmarkEnd w:id="25322"/>
      <w:bookmarkEnd w:id="25323"/>
      <w:r>
        <w:rPr>
          <w:rFonts w:hint="cs"/>
          <w:rtl/>
        </w:rPr>
        <w:t xml:space="preserve">אסור </w:t>
      </w:r>
      <w:bookmarkStart w:id="25324" w:name="_ETM_Q42_599130"/>
      <w:bookmarkEnd w:id="25324"/>
      <w:r>
        <w:rPr>
          <w:rFonts w:hint="cs"/>
          <w:rtl/>
        </w:rPr>
        <w:t xml:space="preserve">לך </w:t>
      </w:r>
      <w:bookmarkStart w:id="25325" w:name="_ETM_Q42_599370"/>
      <w:bookmarkStart w:id="25326" w:name="_ETM_Q42_601149"/>
      <w:bookmarkStart w:id="25327" w:name="_ETM_Q42_594304"/>
      <w:bookmarkEnd w:id="25325"/>
      <w:bookmarkEnd w:id="25326"/>
      <w:bookmarkEnd w:id="25327"/>
      <w:r>
        <w:rPr>
          <w:rFonts w:hint="cs"/>
          <w:rtl/>
        </w:rPr>
        <w:t xml:space="preserve">לדבר </w:t>
      </w:r>
      <w:bookmarkStart w:id="25328" w:name="_ETM_Q42_601569"/>
      <w:bookmarkEnd w:id="25328"/>
      <w:r>
        <w:rPr>
          <w:rFonts w:hint="cs"/>
          <w:rtl/>
        </w:rPr>
        <w:t xml:space="preserve">בערבית </w:t>
      </w:r>
      <w:bookmarkStart w:id="25329" w:name="_ETM_Q42_604159"/>
      <w:bookmarkEnd w:id="25329"/>
      <w:r>
        <w:rPr>
          <w:rFonts w:hint="cs"/>
          <w:rtl/>
        </w:rPr>
        <w:t xml:space="preserve">כאן. הוא אומר </w:t>
      </w:r>
      <w:bookmarkStart w:id="25330" w:name="_ETM_Q42_604400"/>
      <w:bookmarkEnd w:id="25330"/>
      <w:r>
        <w:rPr>
          <w:rFonts w:hint="cs"/>
          <w:rtl/>
        </w:rPr>
        <w:t xml:space="preserve">לו: </w:t>
      </w:r>
      <w:bookmarkStart w:id="25331" w:name="_ETM_Q42_604490"/>
      <w:bookmarkEnd w:id="25331"/>
      <w:r>
        <w:rPr>
          <w:rFonts w:hint="cs"/>
          <w:rtl/>
        </w:rPr>
        <w:t xml:space="preserve">מה </w:t>
      </w:r>
      <w:bookmarkStart w:id="25332" w:name="_ETM_Q42_604640"/>
      <w:bookmarkEnd w:id="25332"/>
      <w:r>
        <w:rPr>
          <w:rFonts w:hint="cs"/>
          <w:rtl/>
        </w:rPr>
        <w:t xml:space="preserve">אתה </w:t>
      </w:r>
      <w:bookmarkStart w:id="25333" w:name="_ETM_Q42_604850"/>
      <w:bookmarkEnd w:id="25333"/>
      <w:r>
        <w:rPr>
          <w:rFonts w:hint="cs"/>
          <w:rtl/>
        </w:rPr>
        <w:t>אומר?</w:t>
      </w:r>
      <w:bookmarkStart w:id="25334" w:name="_ETM_Q42_606136"/>
      <w:bookmarkEnd w:id="25334"/>
      <w:r>
        <w:rPr>
          <w:rFonts w:hint="cs"/>
          <w:rtl/>
        </w:rPr>
        <w:t xml:space="preserve"> </w:t>
      </w:r>
      <w:bookmarkStart w:id="25335" w:name="_ETM_Q42_608080"/>
      <w:bookmarkEnd w:id="25335"/>
      <w:r>
        <w:rPr>
          <w:rFonts w:hint="cs"/>
          <w:rtl/>
        </w:rPr>
        <w:t xml:space="preserve">אני </w:t>
      </w:r>
      <w:bookmarkStart w:id="25336" w:name="_ETM_Q42_608379"/>
      <w:bookmarkEnd w:id="25336"/>
      <w:r>
        <w:rPr>
          <w:rFonts w:hint="cs"/>
          <w:rtl/>
        </w:rPr>
        <w:t xml:space="preserve">רוצה </w:t>
      </w:r>
      <w:bookmarkStart w:id="25337" w:name="_ETM_Q42_608680"/>
      <w:bookmarkEnd w:id="25337"/>
      <w:r>
        <w:rPr>
          <w:rFonts w:hint="cs"/>
          <w:rtl/>
        </w:rPr>
        <w:t xml:space="preserve">להגיד </w:t>
      </w:r>
      <w:bookmarkStart w:id="25338" w:name="_ETM_Q42_609010"/>
      <w:bookmarkEnd w:id="25338"/>
      <w:r>
        <w:rPr>
          <w:rFonts w:hint="cs"/>
          <w:rtl/>
        </w:rPr>
        <w:t>ל</w:t>
      </w:r>
      <w:bookmarkStart w:id="25339" w:name="_ETM_Q42_608371"/>
      <w:bookmarkEnd w:id="25339"/>
      <w:r>
        <w:rPr>
          <w:rFonts w:hint="cs"/>
          <w:rtl/>
        </w:rPr>
        <w:t xml:space="preserve">ילדים: </w:t>
      </w:r>
      <w:bookmarkStart w:id="25340" w:name="_ETM_Q42_609760"/>
      <w:bookmarkEnd w:id="25340"/>
      <w:r>
        <w:rPr>
          <w:rFonts w:hint="cs"/>
          <w:rtl/>
        </w:rPr>
        <w:t xml:space="preserve">תשתו </w:t>
      </w:r>
      <w:bookmarkStart w:id="25341" w:name="_ETM_Q42_610180"/>
      <w:bookmarkEnd w:id="25341"/>
      <w:r>
        <w:rPr>
          <w:rFonts w:hint="cs"/>
          <w:rtl/>
        </w:rPr>
        <w:t xml:space="preserve">מים, </w:t>
      </w:r>
      <w:bookmarkStart w:id="25342" w:name="_ETM_Q42_611170"/>
      <w:bookmarkEnd w:id="25342"/>
      <w:r>
        <w:rPr>
          <w:rFonts w:hint="cs"/>
          <w:rtl/>
        </w:rPr>
        <w:t xml:space="preserve">אני </w:t>
      </w:r>
      <w:bookmarkStart w:id="25343" w:name="_ETM_Q42_611349"/>
      <w:bookmarkEnd w:id="25343"/>
      <w:r>
        <w:rPr>
          <w:rFonts w:hint="cs"/>
          <w:rtl/>
        </w:rPr>
        <w:t xml:space="preserve">רוצה </w:t>
      </w:r>
      <w:bookmarkStart w:id="25344" w:name="_ETM_Q42_611590"/>
      <w:bookmarkEnd w:id="25344"/>
      <w:r>
        <w:rPr>
          <w:rFonts w:hint="cs"/>
          <w:rtl/>
        </w:rPr>
        <w:t>ל</w:t>
      </w:r>
      <w:bookmarkStart w:id="25345" w:name="_ETM_Q42_609897"/>
      <w:bookmarkEnd w:id="25345"/>
      <w:r>
        <w:rPr>
          <w:rFonts w:hint="cs"/>
          <w:rtl/>
        </w:rPr>
        <w:t xml:space="preserve">אסוף </w:t>
      </w:r>
      <w:bookmarkStart w:id="25346" w:name="_ETM_Q42_611890"/>
      <w:bookmarkEnd w:id="25346"/>
      <w:r>
        <w:rPr>
          <w:rFonts w:hint="cs"/>
          <w:rtl/>
        </w:rPr>
        <w:t xml:space="preserve">את </w:t>
      </w:r>
      <w:bookmarkStart w:id="25347" w:name="_ETM_Q42_611980"/>
      <w:bookmarkEnd w:id="25347"/>
      <w:r>
        <w:rPr>
          <w:rFonts w:hint="cs"/>
          <w:rtl/>
        </w:rPr>
        <w:t xml:space="preserve">הילדים </w:t>
      </w:r>
      <w:bookmarkStart w:id="25348" w:name="_ETM_Q42_612370"/>
      <w:bookmarkEnd w:id="25348"/>
      <w:r>
        <w:rPr>
          <w:rFonts w:hint="cs"/>
          <w:rtl/>
        </w:rPr>
        <w:t xml:space="preserve">בסוף </w:t>
      </w:r>
      <w:bookmarkStart w:id="25349" w:name="_ETM_Q42_612730"/>
      <w:bookmarkEnd w:id="25349"/>
      <w:r>
        <w:rPr>
          <w:rFonts w:hint="cs"/>
          <w:rtl/>
        </w:rPr>
        <w:t xml:space="preserve">היום, </w:t>
      </w:r>
      <w:bookmarkStart w:id="25350" w:name="_ETM_Q42_613800"/>
      <w:bookmarkEnd w:id="25350"/>
      <w:r>
        <w:rPr>
          <w:rFonts w:hint="cs"/>
          <w:rtl/>
        </w:rPr>
        <w:t xml:space="preserve">ואתה </w:t>
      </w:r>
      <w:bookmarkStart w:id="25351" w:name="_ETM_Q42_614100"/>
      <w:bookmarkEnd w:id="25351"/>
      <w:r>
        <w:rPr>
          <w:rFonts w:hint="cs"/>
          <w:rtl/>
        </w:rPr>
        <w:t xml:space="preserve">אומר </w:t>
      </w:r>
      <w:bookmarkStart w:id="25352" w:name="_ETM_Q42_614340"/>
      <w:bookmarkEnd w:id="25352"/>
      <w:r>
        <w:rPr>
          <w:rFonts w:hint="cs"/>
          <w:rtl/>
        </w:rPr>
        <w:t xml:space="preserve">לי: </w:t>
      </w:r>
      <w:bookmarkStart w:id="25353" w:name="_ETM_Q42_615099"/>
      <w:bookmarkEnd w:id="25353"/>
      <w:r>
        <w:rPr>
          <w:rFonts w:hint="cs"/>
          <w:rtl/>
        </w:rPr>
        <w:t xml:space="preserve">אסור </w:t>
      </w:r>
      <w:bookmarkStart w:id="25354" w:name="_ETM_Q42_615550"/>
      <w:bookmarkEnd w:id="25354"/>
      <w:r>
        <w:rPr>
          <w:rFonts w:hint="cs"/>
          <w:rtl/>
        </w:rPr>
        <w:t xml:space="preserve">לך </w:t>
      </w:r>
      <w:bookmarkStart w:id="25355" w:name="_ETM_Q42_615760"/>
      <w:bookmarkEnd w:id="25355"/>
      <w:r>
        <w:rPr>
          <w:rFonts w:hint="cs"/>
          <w:rtl/>
        </w:rPr>
        <w:t xml:space="preserve">לדבר </w:t>
      </w:r>
      <w:bookmarkStart w:id="25356" w:name="_ETM_Q42_616090"/>
      <w:bookmarkEnd w:id="25356"/>
      <w:r>
        <w:rPr>
          <w:rFonts w:hint="cs"/>
          <w:rtl/>
        </w:rPr>
        <w:t xml:space="preserve">בכריזה </w:t>
      </w:r>
      <w:bookmarkStart w:id="25357" w:name="_ETM_Q42_617350"/>
      <w:bookmarkEnd w:id="25357"/>
      <w:r>
        <w:rPr>
          <w:rFonts w:hint="cs"/>
          <w:rtl/>
        </w:rPr>
        <w:t>בערבית?</w:t>
      </w:r>
      <w:bookmarkStart w:id="25358" w:name="_ETM_Q42_620849"/>
      <w:bookmarkEnd w:id="25358"/>
    </w:p>
    <w:p w:rsidR="00BB59CD" w:rsidRDefault="00BB59CD" w:rsidP="00BB59CD">
      <w:pPr>
        <w:rPr>
          <w:rtl/>
        </w:rPr>
      </w:pPr>
    </w:p>
    <w:p w:rsidR="00BB59CD" w:rsidRDefault="00BB59CD" w:rsidP="00775488">
      <w:pPr>
        <w:rPr>
          <w:rtl/>
        </w:rPr>
      </w:pPr>
      <w:bookmarkStart w:id="25359" w:name="_ETM_Q42_618013"/>
      <w:bookmarkStart w:id="25360" w:name="_ETM_Q42_621120"/>
      <w:bookmarkEnd w:id="25359"/>
      <w:bookmarkEnd w:id="25360"/>
      <w:r>
        <w:rPr>
          <w:rFonts w:hint="cs"/>
          <w:rtl/>
        </w:rPr>
        <w:t xml:space="preserve">אתה </w:t>
      </w:r>
      <w:bookmarkStart w:id="25361" w:name="_ETM_Q42_621299"/>
      <w:bookmarkEnd w:id="25361"/>
      <w:r>
        <w:rPr>
          <w:rFonts w:hint="cs"/>
          <w:rtl/>
        </w:rPr>
        <w:t xml:space="preserve">מבין </w:t>
      </w:r>
      <w:bookmarkStart w:id="25362" w:name="_ETM_Q42_621659"/>
      <w:bookmarkEnd w:id="25362"/>
      <w:r>
        <w:rPr>
          <w:rFonts w:hint="cs"/>
          <w:rtl/>
        </w:rPr>
        <w:t xml:space="preserve">את </w:t>
      </w:r>
      <w:bookmarkStart w:id="25363" w:name="_ETM_Q42_621749"/>
      <w:bookmarkEnd w:id="25363"/>
      <w:r>
        <w:rPr>
          <w:rFonts w:hint="cs"/>
          <w:rtl/>
        </w:rPr>
        <w:t xml:space="preserve">זה, </w:t>
      </w:r>
      <w:bookmarkStart w:id="25364" w:name="_ETM_Q42_622290"/>
      <w:bookmarkEnd w:id="25364"/>
      <w:r>
        <w:rPr>
          <w:rFonts w:hint="cs"/>
          <w:rtl/>
        </w:rPr>
        <w:t xml:space="preserve">אדוני </w:t>
      </w:r>
      <w:bookmarkStart w:id="25365" w:name="_ETM_Q42_622560"/>
      <w:bookmarkEnd w:id="25365"/>
      <w:r>
        <w:rPr>
          <w:rFonts w:hint="cs"/>
          <w:rtl/>
        </w:rPr>
        <w:t xml:space="preserve">היושב-ראש? </w:t>
      </w:r>
      <w:bookmarkStart w:id="25366" w:name="_ETM_Q42_623010"/>
      <w:bookmarkEnd w:id="25366"/>
      <w:r>
        <w:rPr>
          <w:rFonts w:hint="cs"/>
          <w:rtl/>
        </w:rPr>
        <w:t xml:space="preserve">אתה </w:t>
      </w:r>
      <w:bookmarkStart w:id="25367" w:name="_ETM_Q42_623219"/>
      <w:bookmarkEnd w:id="25367"/>
      <w:r>
        <w:rPr>
          <w:rFonts w:hint="cs"/>
          <w:rtl/>
        </w:rPr>
        <w:t xml:space="preserve">קולט? </w:t>
      </w:r>
      <w:bookmarkStart w:id="25368" w:name="_ETM_Q42_624159"/>
      <w:bookmarkEnd w:id="25368"/>
      <w:r>
        <w:rPr>
          <w:rFonts w:hint="cs"/>
          <w:rtl/>
        </w:rPr>
        <w:t xml:space="preserve">אנחנו </w:t>
      </w:r>
      <w:bookmarkStart w:id="25369" w:name="_ETM_Q42_624550"/>
      <w:bookmarkEnd w:id="25369"/>
      <w:r>
        <w:rPr>
          <w:rFonts w:hint="cs"/>
          <w:rtl/>
        </w:rPr>
        <w:t xml:space="preserve">כאן, </w:t>
      </w:r>
      <w:bookmarkStart w:id="25370" w:name="_ETM_Q42_624849"/>
      <w:bookmarkEnd w:id="25370"/>
      <w:r>
        <w:rPr>
          <w:rFonts w:hint="cs"/>
          <w:rtl/>
        </w:rPr>
        <w:t xml:space="preserve">במדינת </w:t>
      </w:r>
      <w:bookmarkStart w:id="25371" w:name="_ETM_Q42_625150"/>
      <w:bookmarkEnd w:id="25371"/>
      <w:r>
        <w:rPr>
          <w:rFonts w:hint="cs"/>
          <w:rtl/>
        </w:rPr>
        <w:t xml:space="preserve">ישראל. </w:t>
      </w:r>
      <w:bookmarkStart w:id="25372" w:name="_ETM_Q42_626950"/>
      <w:bookmarkEnd w:id="25372"/>
      <w:r>
        <w:rPr>
          <w:rFonts w:hint="cs"/>
          <w:rtl/>
        </w:rPr>
        <w:t xml:space="preserve">אלה </w:t>
      </w:r>
      <w:bookmarkStart w:id="25373" w:name="_ETM_Q42_627189"/>
      <w:bookmarkEnd w:id="25373"/>
      <w:r>
        <w:rPr>
          <w:rFonts w:hint="cs"/>
          <w:rtl/>
        </w:rPr>
        <w:t xml:space="preserve">החוקים </w:t>
      </w:r>
      <w:bookmarkStart w:id="25374" w:name="_ETM_Q42_627549"/>
      <w:bookmarkEnd w:id="25374"/>
      <w:r>
        <w:rPr>
          <w:rFonts w:hint="cs"/>
          <w:rtl/>
        </w:rPr>
        <w:t xml:space="preserve">שאתם </w:t>
      </w:r>
      <w:bookmarkStart w:id="25375" w:name="_ETM_Q42_627849"/>
      <w:bookmarkEnd w:id="25375"/>
      <w:r>
        <w:rPr>
          <w:rFonts w:hint="cs"/>
          <w:rtl/>
        </w:rPr>
        <w:t xml:space="preserve">מובילים </w:t>
      </w:r>
      <w:bookmarkStart w:id="25376" w:name="_ETM_Q42_628269"/>
      <w:bookmarkEnd w:id="25376"/>
      <w:r w:rsidR="00775488">
        <w:rPr>
          <w:rFonts w:hint="cs"/>
          <w:rtl/>
        </w:rPr>
        <w:t>אליהם</w:t>
      </w:r>
      <w:r>
        <w:rPr>
          <w:rFonts w:hint="cs"/>
          <w:rtl/>
        </w:rPr>
        <w:t xml:space="preserve">. </w:t>
      </w:r>
      <w:bookmarkStart w:id="25377" w:name="_ETM_Q42_631209"/>
      <w:bookmarkEnd w:id="25377"/>
      <w:r>
        <w:rPr>
          <w:rFonts w:hint="cs"/>
          <w:rtl/>
        </w:rPr>
        <w:t xml:space="preserve">הגזענות </w:t>
      </w:r>
      <w:bookmarkStart w:id="25378" w:name="_ETM_Q42_631870"/>
      <w:bookmarkEnd w:id="25378"/>
      <w:r>
        <w:rPr>
          <w:rFonts w:hint="cs"/>
          <w:rtl/>
        </w:rPr>
        <w:t xml:space="preserve">יכולה </w:t>
      </w:r>
      <w:bookmarkStart w:id="25379" w:name="_ETM_Q42_632140"/>
      <w:bookmarkEnd w:id="25379"/>
      <w:r>
        <w:rPr>
          <w:rFonts w:hint="cs"/>
          <w:rtl/>
        </w:rPr>
        <w:t xml:space="preserve">להיכנס </w:t>
      </w:r>
      <w:bookmarkStart w:id="25380" w:name="_ETM_Q42_632470"/>
      <w:bookmarkEnd w:id="25380"/>
      <w:r>
        <w:rPr>
          <w:rFonts w:hint="cs"/>
          <w:rtl/>
        </w:rPr>
        <w:t xml:space="preserve">לכל </w:t>
      </w:r>
      <w:bookmarkStart w:id="25381" w:name="_ETM_Q42_632770"/>
      <w:bookmarkEnd w:id="25381"/>
      <w:r>
        <w:rPr>
          <w:rFonts w:hint="cs"/>
          <w:rtl/>
        </w:rPr>
        <w:t xml:space="preserve">מקום, </w:t>
      </w:r>
      <w:bookmarkStart w:id="25382" w:name="_ETM_Q42_636420"/>
      <w:bookmarkEnd w:id="25382"/>
      <w:r>
        <w:rPr>
          <w:rFonts w:hint="cs"/>
          <w:rtl/>
        </w:rPr>
        <w:t xml:space="preserve">אבל </w:t>
      </w:r>
      <w:bookmarkStart w:id="25383" w:name="_ETM_Q42_636660"/>
      <w:bookmarkEnd w:id="25383"/>
      <w:r>
        <w:rPr>
          <w:rFonts w:hint="cs"/>
          <w:rtl/>
        </w:rPr>
        <w:t xml:space="preserve">מי </w:t>
      </w:r>
      <w:bookmarkStart w:id="25384" w:name="_ETM_Q42_636810"/>
      <w:bookmarkEnd w:id="25384"/>
      <w:r>
        <w:rPr>
          <w:rFonts w:hint="cs"/>
          <w:rtl/>
        </w:rPr>
        <w:t xml:space="preserve">שהפסיד </w:t>
      </w:r>
      <w:bookmarkStart w:id="25385" w:name="_ETM_Q42_637320"/>
      <w:bookmarkEnd w:id="25385"/>
      <w:r>
        <w:rPr>
          <w:rFonts w:hint="cs"/>
          <w:rtl/>
        </w:rPr>
        <w:t xml:space="preserve">בסופו </w:t>
      </w:r>
      <w:bookmarkStart w:id="25386" w:name="_ETM_Q42_637620"/>
      <w:bookmarkEnd w:id="25386"/>
      <w:r>
        <w:rPr>
          <w:rFonts w:hint="cs"/>
          <w:rtl/>
        </w:rPr>
        <w:t xml:space="preserve">של </w:t>
      </w:r>
      <w:bookmarkStart w:id="25387" w:name="_ETM_Q42_637740"/>
      <w:bookmarkEnd w:id="25387"/>
      <w:r>
        <w:rPr>
          <w:rFonts w:hint="cs"/>
          <w:rtl/>
        </w:rPr>
        <w:t xml:space="preserve">דבר </w:t>
      </w:r>
      <w:bookmarkStart w:id="25388" w:name="_ETM_Q42_638010"/>
      <w:bookmarkEnd w:id="25388"/>
      <w:r>
        <w:rPr>
          <w:rFonts w:hint="cs"/>
          <w:rtl/>
        </w:rPr>
        <w:t xml:space="preserve">זה </w:t>
      </w:r>
      <w:bookmarkStart w:id="25389" w:name="_ETM_Q42_638100"/>
      <w:bookmarkEnd w:id="25389"/>
      <w:r>
        <w:rPr>
          <w:rFonts w:hint="cs"/>
          <w:rtl/>
        </w:rPr>
        <w:t>ה</w:t>
      </w:r>
      <w:bookmarkStart w:id="25390" w:name="_ETM_Q42_638190"/>
      <w:bookmarkStart w:id="25391" w:name="_ETM_Q42_635544"/>
      <w:bookmarkEnd w:id="25390"/>
      <w:bookmarkEnd w:id="25391"/>
      <w:r>
        <w:rPr>
          <w:rFonts w:hint="cs"/>
          <w:rtl/>
        </w:rPr>
        <w:t>מ</w:t>
      </w:r>
      <w:bookmarkStart w:id="25392" w:name="_ETM_Q42_640159"/>
      <w:bookmarkEnd w:id="25392"/>
      <w:r>
        <w:rPr>
          <w:rFonts w:hint="cs"/>
          <w:rtl/>
        </w:rPr>
        <w:t>ימדיון,</w:t>
      </w:r>
      <w:bookmarkStart w:id="25393" w:name="_ETM_Q42_641859"/>
      <w:bookmarkEnd w:id="25393"/>
      <w:r>
        <w:rPr>
          <w:rFonts w:hint="cs"/>
          <w:rtl/>
        </w:rPr>
        <w:t xml:space="preserve"> כי </w:t>
      </w:r>
      <w:bookmarkStart w:id="25394" w:name="_ETM_Q42_640400"/>
      <w:bookmarkEnd w:id="25394"/>
      <w:r>
        <w:rPr>
          <w:rFonts w:hint="cs"/>
          <w:rtl/>
        </w:rPr>
        <w:t xml:space="preserve">יש </w:t>
      </w:r>
      <w:bookmarkStart w:id="25395" w:name="_ETM_Q42_640579"/>
      <w:bookmarkEnd w:id="25395"/>
      <w:r>
        <w:rPr>
          <w:rFonts w:hint="cs"/>
          <w:rtl/>
        </w:rPr>
        <w:t xml:space="preserve">להם </w:t>
      </w:r>
      <w:bookmarkStart w:id="25396" w:name="_ETM_Q42_642790"/>
      <w:bookmarkEnd w:id="25396"/>
      <w:r>
        <w:rPr>
          <w:rFonts w:hint="cs"/>
          <w:rtl/>
        </w:rPr>
        <w:t xml:space="preserve">השבוע </w:t>
      </w:r>
      <w:bookmarkStart w:id="25397" w:name="_ETM_Q42_643299"/>
      <w:bookmarkEnd w:id="25397"/>
      <w:r>
        <w:rPr>
          <w:rFonts w:hint="cs"/>
          <w:rtl/>
        </w:rPr>
        <w:t xml:space="preserve">גם </w:t>
      </w:r>
      <w:bookmarkStart w:id="25398" w:name="_ETM_Q42_643480"/>
      <w:bookmarkEnd w:id="25398"/>
      <w:r>
        <w:rPr>
          <w:rFonts w:hint="cs"/>
          <w:rtl/>
        </w:rPr>
        <w:t xml:space="preserve">מחנה </w:t>
      </w:r>
      <w:bookmarkStart w:id="25399" w:name="_ETM_Q42_643840"/>
      <w:bookmarkEnd w:id="25399"/>
      <w:r>
        <w:rPr>
          <w:rFonts w:hint="cs"/>
          <w:rtl/>
        </w:rPr>
        <w:t xml:space="preserve">קיץ, </w:t>
      </w:r>
      <w:bookmarkStart w:id="25400" w:name="_ETM_Q42_644200"/>
      <w:bookmarkEnd w:id="25400"/>
      <w:r>
        <w:rPr>
          <w:rFonts w:hint="cs"/>
          <w:rtl/>
        </w:rPr>
        <w:t>ול</w:t>
      </w:r>
      <w:bookmarkStart w:id="25401" w:name="_ETM_Q42_641411"/>
      <w:bookmarkEnd w:id="25401"/>
      <w:r>
        <w:rPr>
          <w:rFonts w:hint="cs"/>
          <w:rtl/>
        </w:rPr>
        <w:t xml:space="preserve">א </w:t>
      </w:r>
      <w:bookmarkStart w:id="25402" w:name="_ETM_Q42_644349"/>
      <w:bookmarkEnd w:id="25402"/>
      <w:r>
        <w:rPr>
          <w:rFonts w:hint="cs"/>
          <w:rtl/>
        </w:rPr>
        <w:t xml:space="preserve">ילכו </w:t>
      </w:r>
      <w:bookmarkStart w:id="25403" w:name="_ETM_Q42_644650"/>
      <w:bookmarkEnd w:id="25403"/>
      <w:r>
        <w:rPr>
          <w:rFonts w:hint="cs"/>
          <w:rtl/>
        </w:rPr>
        <w:t xml:space="preserve">לשם, </w:t>
      </w:r>
      <w:bookmarkStart w:id="25404" w:name="_ETM_Q42_645519"/>
      <w:bookmarkEnd w:id="25404"/>
      <w:r w:rsidR="00775488">
        <w:rPr>
          <w:rFonts w:hint="cs"/>
          <w:rtl/>
        </w:rPr>
        <w:t>ו</w:t>
      </w:r>
      <w:r>
        <w:rPr>
          <w:rFonts w:hint="cs"/>
          <w:rtl/>
        </w:rPr>
        <w:t xml:space="preserve">גם בשבוע </w:t>
      </w:r>
      <w:bookmarkStart w:id="25405" w:name="_ETM_Q42_645879"/>
      <w:bookmarkEnd w:id="25405"/>
      <w:r>
        <w:rPr>
          <w:rFonts w:hint="cs"/>
          <w:rtl/>
        </w:rPr>
        <w:t xml:space="preserve">הבא </w:t>
      </w:r>
      <w:bookmarkStart w:id="25406" w:name="_ETM_Q42_646090"/>
      <w:bookmarkEnd w:id="25406"/>
      <w:r>
        <w:rPr>
          <w:rFonts w:hint="cs"/>
          <w:rtl/>
        </w:rPr>
        <w:t xml:space="preserve">יש </w:t>
      </w:r>
      <w:bookmarkStart w:id="25407" w:name="_ETM_Q42_646420"/>
      <w:bookmarkEnd w:id="25407"/>
      <w:r>
        <w:rPr>
          <w:rFonts w:hint="cs"/>
          <w:rtl/>
        </w:rPr>
        <w:t xml:space="preserve">מחנה קיץ ולא ילכו, </w:t>
      </w:r>
      <w:bookmarkStart w:id="25408" w:name="_ETM_Q42_642876"/>
      <w:bookmarkStart w:id="25409" w:name="_ETM_Q42_646840"/>
      <w:bookmarkStart w:id="25410" w:name="_ETM_Q42_646989"/>
      <w:bookmarkStart w:id="25411" w:name="_ETM_Q42_647500"/>
      <w:bookmarkEnd w:id="25408"/>
      <w:bookmarkEnd w:id="25409"/>
      <w:bookmarkEnd w:id="25410"/>
      <w:bookmarkEnd w:id="25411"/>
      <w:r w:rsidR="00775488">
        <w:rPr>
          <w:rFonts w:hint="cs"/>
          <w:rtl/>
        </w:rPr>
        <w:t>ו</w:t>
      </w:r>
      <w:r>
        <w:rPr>
          <w:rFonts w:hint="cs"/>
          <w:rtl/>
        </w:rPr>
        <w:t xml:space="preserve">בשבוע </w:t>
      </w:r>
      <w:bookmarkStart w:id="25412" w:name="_ETM_Q42_647920"/>
      <w:bookmarkEnd w:id="25412"/>
      <w:r>
        <w:rPr>
          <w:rFonts w:hint="cs"/>
          <w:rtl/>
        </w:rPr>
        <w:t>א</w:t>
      </w:r>
      <w:bookmarkStart w:id="25413" w:name="_ETM_Q42_642811"/>
      <w:bookmarkEnd w:id="25413"/>
      <w:r>
        <w:rPr>
          <w:rFonts w:hint="cs"/>
          <w:rtl/>
        </w:rPr>
        <w:t xml:space="preserve">חרי </w:t>
      </w:r>
      <w:bookmarkStart w:id="25414" w:name="_ETM_Q42_648159"/>
      <w:bookmarkEnd w:id="25414"/>
      <w:r>
        <w:rPr>
          <w:rFonts w:hint="cs"/>
          <w:rtl/>
        </w:rPr>
        <w:t>זה</w:t>
      </w:r>
      <w:bookmarkStart w:id="25415" w:name="_ETM_Q42_646094"/>
      <w:bookmarkEnd w:id="25415"/>
      <w:r w:rsidR="00775488">
        <w:rPr>
          <w:rFonts w:hint="cs"/>
          <w:rtl/>
        </w:rPr>
        <w:t>;</w:t>
      </w:r>
      <w:r>
        <w:rPr>
          <w:rFonts w:hint="cs"/>
          <w:rtl/>
        </w:rPr>
        <w:t xml:space="preserve"> </w:t>
      </w:r>
      <w:bookmarkStart w:id="25416" w:name="_ETM_Q42_648790"/>
      <w:bookmarkEnd w:id="25416"/>
      <w:r>
        <w:rPr>
          <w:rFonts w:hint="cs"/>
          <w:rtl/>
        </w:rPr>
        <w:t xml:space="preserve">כל </w:t>
      </w:r>
      <w:bookmarkStart w:id="25417" w:name="_ETM_Q42_649120"/>
      <w:bookmarkEnd w:id="25417"/>
      <w:r>
        <w:rPr>
          <w:rFonts w:hint="cs"/>
          <w:rtl/>
        </w:rPr>
        <w:t xml:space="preserve">פעם </w:t>
      </w:r>
      <w:bookmarkStart w:id="25418" w:name="_ETM_Q42_649390"/>
      <w:bookmarkEnd w:id="25418"/>
      <w:r>
        <w:rPr>
          <w:rFonts w:hint="cs"/>
          <w:rtl/>
        </w:rPr>
        <w:t xml:space="preserve">שהגיעו </w:t>
      </w:r>
      <w:bookmarkStart w:id="25419" w:name="_ETM_Q42_649719"/>
      <w:bookmarkEnd w:id="25419"/>
      <w:r>
        <w:rPr>
          <w:rFonts w:hint="cs"/>
          <w:rtl/>
        </w:rPr>
        <w:t xml:space="preserve">לשם </w:t>
      </w:r>
      <w:bookmarkStart w:id="25420" w:name="_ETM_Q42_650319"/>
      <w:bookmarkEnd w:id="25420"/>
      <w:r>
        <w:rPr>
          <w:rFonts w:hint="cs"/>
          <w:rtl/>
        </w:rPr>
        <w:t xml:space="preserve">שילמו </w:t>
      </w:r>
      <w:bookmarkStart w:id="25421" w:name="_ETM_Q42_650620"/>
      <w:bookmarkStart w:id="25422" w:name="_ETM_Q42_651310"/>
      <w:bookmarkStart w:id="25423" w:name="_ETM_Q42_651819"/>
      <w:bookmarkEnd w:id="25421"/>
      <w:bookmarkEnd w:id="25422"/>
      <w:bookmarkEnd w:id="25423"/>
      <w:r>
        <w:rPr>
          <w:rFonts w:hint="cs"/>
          <w:rtl/>
        </w:rPr>
        <w:t xml:space="preserve">35,000 או 40,000 </w:t>
      </w:r>
      <w:bookmarkStart w:id="25424" w:name="_ETM_Q42_648640"/>
      <w:bookmarkEnd w:id="25424"/>
      <w:r>
        <w:rPr>
          <w:rFonts w:hint="cs"/>
          <w:rtl/>
        </w:rPr>
        <w:t xml:space="preserve">שקל. </w:t>
      </w:r>
      <w:bookmarkStart w:id="25425" w:name="_ETM_Q42_653980"/>
      <w:bookmarkEnd w:id="25425"/>
      <w:r>
        <w:rPr>
          <w:rFonts w:hint="cs"/>
          <w:rtl/>
        </w:rPr>
        <w:t xml:space="preserve">מי </w:t>
      </w:r>
      <w:bookmarkStart w:id="25426" w:name="_ETM_Q42_654279"/>
      <w:bookmarkEnd w:id="25426"/>
      <w:r>
        <w:rPr>
          <w:rFonts w:hint="cs"/>
          <w:rtl/>
        </w:rPr>
        <w:t xml:space="preserve">שהפסיד </w:t>
      </w:r>
      <w:bookmarkStart w:id="25427" w:name="_ETM_Q42_654639"/>
      <w:bookmarkEnd w:id="25427"/>
      <w:r>
        <w:rPr>
          <w:rFonts w:hint="cs"/>
          <w:rtl/>
        </w:rPr>
        <w:t xml:space="preserve">זה </w:t>
      </w:r>
      <w:bookmarkStart w:id="25428" w:name="_ETM_Q42_654790"/>
      <w:bookmarkStart w:id="25429" w:name="_ETM_Q42_656669"/>
      <w:bookmarkEnd w:id="25428"/>
      <w:bookmarkEnd w:id="25429"/>
      <w:r>
        <w:rPr>
          <w:rFonts w:hint="cs"/>
          <w:rtl/>
        </w:rPr>
        <w:t xml:space="preserve">המימדיון. ואני </w:t>
      </w:r>
      <w:bookmarkStart w:id="25430" w:name="_ETM_Q42_656999"/>
      <w:bookmarkEnd w:id="25430"/>
      <w:r>
        <w:rPr>
          <w:rFonts w:hint="cs"/>
          <w:rtl/>
        </w:rPr>
        <w:t xml:space="preserve">אמרתי </w:t>
      </w:r>
      <w:bookmarkStart w:id="25431" w:name="_ETM_Q42_657329"/>
      <w:bookmarkEnd w:id="25431"/>
      <w:r>
        <w:rPr>
          <w:rFonts w:hint="cs"/>
          <w:rtl/>
        </w:rPr>
        <w:t>לה</w:t>
      </w:r>
      <w:bookmarkStart w:id="25432" w:name="_ETM_Q42_654857"/>
      <w:bookmarkEnd w:id="25432"/>
      <w:r>
        <w:rPr>
          <w:rFonts w:hint="cs"/>
          <w:rtl/>
        </w:rPr>
        <w:t>ם:</w:t>
      </w:r>
      <w:bookmarkStart w:id="25433" w:name="_ETM_Q42_655647"/>
      <w:bookmarkEnd w:id="25433"/>
      <w:r>
        <w:rPr>
          <w:rFonts w:hint="cs"/>
          <w:rtl/>
        </w:rPr>
        <w:t xml:space="preserve"> </w:t>
      </w:r>
      <w:bookmarkStart w:id="25434" w:name="_ETM_Q42_657419"/>
      <w:bookmarkStart w:id="25435" w:name="_ETM_Q42_657480"/>
      <w:bookmarkStart w:id="25436" w:name="_ETM_Q42_657959"/>
      <w:bookmarkStart w:id="25437" w:name="_ETM_Q42_660370"/>
      <w:bookmarkEnd w:id="25434"/>
      <w:bookmarkEnd w:id="25435"/>
      <w:bookmarkEnd w:id="25436"/>
      <w:bookmarkEnd w:id="25437"/>
      <w:r>
        <w:rPr>
          <w:rFonts w:hint="cs"/>
          <w:rtl/>
        </w:rPr>
        <w:t>תתבעו אותם, תתבעו אותם</w:t>
      </w:r>
      <w:bookmarkStart w:id="25438" w:name="_ETM_Q42_660157"/>
      <w:bookmarkEnd w:id="25438"/>
      <w:r>
        <w:rPr>
          <w:rFonts w:hint="cs"/>
          <w:rtl/>
        </w:rPr>
        <w:t xml:space="preserve">, </w:t>
      </w:r>
      <w:bookmarkStart w:id="25439" w:name="_ETM_Q42_660849"/>
      <w:bookmarkStart w:id="25440" w:name="_ETM_Q42_660999"/>
      <w:bookmarkStart w:id="25441" w:name="_ETM_Q42_663359"/>
      <w:bookmarkEnd w:id="25439"/>
      <w:bookmarkEnd w:id="25440"/>
      <w:bookmarkEnd w:id="25441"/>
      <w:r>
        <w:rPr>
          <w:rFonts w:hint="cs"/>
          <w:rtl/>
        </w:rPr>
        <w:t xml:space="preserve">מה </w:t>
      </w:r>
      <w:bookmarkStart w:id="25442" w:name="_ETM_Q42_663569"/>
      <w:bookmarkEnd w:id="25442"/>
      <w:r>
        <w:rPr>
          <w:rFonts w:hint="cs"/>
          <w:rtl/>
        </w:rPr>
        <w:t xml:space="preserve">אתם </w:t>
      </w:r>
      <w:bookmarkStart w:id="25443" w:name="_ETM_Q42_663779"/>
      <w:bookmarkEnd w:id="25443"/>
      <w:r>
        <w:rPr>
          <w:rFonts w:hint="cs"/>
          <w:rtl/>
        </w:rPr>
        <w:t xml:space="preserve">שותקים </w:t>
      </w:r>
      <w:bookmarkStart w:id="25444" w:name="_ETM_Q42_664169"/>
      <w:bookmarkEnd w:id="25444"/>
      <w:r>
        <w:rPr>
          <w:rFonts w:hint="cs"/>
          <w:rtl/>
        </w:rPr>
        <w:t xml:space="preserve">להם? </w:t>
      </w:r>
      <w:bookmarkStart w:id="25445" w:name="_ETM_Q42_666290"/>
      <w:bookmarkEnd w:id="25445"/>
      <w:r>
        <w:rPr>
          <w:rFonts w:hint="cs"/>
          <w:rtl/>
        </w:rPr>
        <w:t xml:space="preserve">זה </w:t>
      </w:r>
      <w:bookmarkStart w:id="25446" w:name="_ETM_Q42_666709"/>
      <w:bookmarkEnd w:id="25446"/>
      <w:r>
        <w:rPr>
          <w:rFonts w:hint="cs"/>
          <w:rtl/>
        </w:rPr>
        <w:t xml:space="preserve">הגזענות. </w:t>
      </w:r>
      <w:bookmarkStart w:id="25447" w:name="_ETM_Q42_669799"/>
      <w:bookmarkEnd w:id="25447"/>
      <w:r w:rsidR="00775488">
        <w:rPr>
          <w:rFonts w:hint="cs"/>
          <w:rtl/>
        </w:rPr>
        <w:t>ל</w:t>
      </w:r>
      <w:r>
        <w:rPr>
          <w:rFonts w:hint="cs"/>
          <w:rtl/>
        </w:rPr>
        <w:t xml:space="preserve">זה </w:t>
      </w:r>
      <w:bookmarkStart w:id="25448" w:name="_ETM_Q42_670099"/>
      <w:bookmarkEnd w:id="25448"/>
      <w:r>
        <w:rPr>
          <w:rFonts w:hint="cs"/>
          <w:rtl/>
        </w:rPr>
        <w:t>ה</w:t>
      </w:r>
      <w:bookmarkStart w:id="25449" w:name="_ETM_Q42_670430"/>
      <w:bookmarkStart w:id="25450" w:name="_ETM_Q42_667077"/>
      <w:bookmarkEnd w:id="25449"/>
      <w:bookmarkEnd w:id="25450"/>
      <w:r>
        <w:rPr>
          <w:rFonts w:hint="cs"/>
          <w:rtl/>
        </w:rPr>
        <w:t>וביל</w:t>
      </w:r>
      <w:bookmarkStart w:id="25451" w:name="_ETM_Q42_670640"/>
      <w:bookmarkEnd w:id="25451"/>
      <w:r>
        <w:rPr>
          <w:rFonts w:hint="cs"/>
          <w:rtl/>
        </w:rPr>
        <w:t xml:space="preserve"> חוק </w:t>
      </w:r>
      <w:bookmarkStart w:id="25452" w:name="_ETM_Q42_670849"/>
      <w:bookmarkEnd w:id="25452"/>
      <w:r>
        <w:rPr>
          <w:rFonts w:hint="cs"/>
          <w:rtl/>
        </w:rPr>
        <w:t xml:space="preserve">הלאום. </w:t>
      </w:r>
      <w:bookmarkStart w:id="25453" w:name="_ETM_Q42_672790"/>
      <w:bookmarkEnd w:id="25453"/>
      <w:r>
        <w:rPr>
          <w:rFonts w:hint="cs"/>
          <w:rtl/>
        </w:rPr>
        <w:t xml:space="preserve">זה </w:t>
      </w:r>
      <w:bookmarkStart w:id="25454" w:name="_ETM_Q42_672999"/>
      <w:bookmarkEnd w:id="25454"/>
      <w:r>
        <w:rPr>
          <w:rFonts w:hint="cs"/>
          <w:rtl/>
        </w:rPr>
        <w:t xml:space="preserve">מה </w:t>
      </w:r>
      <w:bookmarkStart w:id="25455" w:name="_ETM_Q42_673120"/>
      <w:bookmarkEnd w:id="25455"/>
      <w:r>
        <w:rPr>
          <w:rFonts w:hint="cs"/>
          <w:rtl/>
        </w:rPr>
        <w:t xml:space="preserve">שאתם </w:t>
      </w:r>
      <w:bookmarkStart w:id="25456" w:name="_ETM_Q42_673480"/>
      <w:bookmarkEnd w:id="25456"/>
      <w:r>
        <w:rPr>
          <w:rFonts w:hint="cs"/>
          <w:rtl/>
        </w:rPr>
        <w:t xml:space="preserve">מובילים </w:t>
      </w:r>
      <w:bookmarkStart w:id="25457" w:name="_ETM_Q42_673900"/>
      <w:bookmarkEnd w:id="25457"/>
      <w:r>
        <w:rPr>
          <w:rFonts w:hint="cs"/>
          <w:rtl/>
        </w:rPr>
        <w:t xml:space="preserve">היום. </w:t>
      </w:r>
      <w:bookmarkStart w:id="25458" w:name="_ETM_Q42_676370"/>
      <w:bookmarkEnd w:id="25458"/>
      <w:r>
        <w:rPr>
          <w:rFonts w:hint="cs"/>
          <w:rtl/>
        </w:rPr>
        <w:t xml:space="preserve">לזה </w:t>
      </w:r>
      <w:bookmarkStart w:id="25459" w:name="_ETM_Q42_676730"/>
      <w:bookmarkEnd w:id="25459"/>
      <w:r>
        <w:rPr>
          <w:rFonts w:hint="cs"/>
          <w:rtl/>
        </w:rPr>
        <w:t xml:space="preserve">אתם </w:t>
      </w:r>
      <w:bookmarkStart w:id="25460" w:name="_ETM_Q42_676910"/>
      <w:bookmarkEnd w:id="25460"/>
      <w:r>
        <w:rPr>
          <w:rFonts w:hint="cs"/>
          <w:rtl/>
        </w:rPr>
        <w:t xml:space="preserve">רוצים </w:t>
      </w:r>
      <w:bookmarkStart w:id="25461" w:name="_ETM_Q42_677180"/>
      <w:bookmarkEnd w:id="25461"/>
      <w:r>
        <w:rPr>
          <w:rFonts w:hint="cs"/>
          <w:rtl/>
        </w:rPr>
        <w:t>להב</w:t>
      </w:r>
      <w:bookmarkStart w:id="25462" w:name="_ETM_Q42_675255"/>
      <w:bookmarkEnd w:id="25462"/>
      <w:r>
        <w:rPr>
          <w:rFonts w:hint="cs"/>
          <w:rtl/>
        </w:rPr>
        <w:t xml:space="preserve">יא </w:t>
      </w:r>
      <w:bookmarkStart w:id="25463" w:name="_ETM_Q42_677360"/>
      <w:bookmarkEnd w:id="25463"/>
      <w:r>
        <w:rPr>
          <w:rFonts w:hint="cs"/>
          <w:rtl/>
        </w:rPr>
        <w:t xml:space="preserve">את </w:t>
      </w:r>
      <w:bookmarkStart w:id="25464" w:name="_ETM_Q42_677450"/>
      <w:bookmarkEnd w:id="25464"/>
      <w:r>
        <w:rPr>
          <w:rFonts w:hint="cs"/>
          <w:rtl/>
        </w:rPr>
        <w:t>המדינה?</w:t>
      </w:r>
      <w:bookmarkStart w:id="25465" w:name="_ETM_Q42_680120"/>
      <w:bookmarkStart w:id="25466" w:name="_ETM_Q42_680096"/>
      <w:bookmarkEnd w:id="25465"/>
      <w:bookmarkEnd w:id="25466"/>
    </w:p>
    <w:p w:rsidR="00BB59CD" w:rsidRDefault="00BB59CD" w:rsidP="00BB59CD">
      <w:pPr>
        <w:rPr>
          <w:rtl/>
        </w:rPr>
      </w:pPr>
      <w:bookmarkStart w:id="25467" w:name="_ETM_Q42_680154"/>
      <w:bookmarkEnd w:id="25467"/>
    </w:p>
    <w:p w:rsidR="00BB59CD" w:rsidRDefault="00BB59CD" w:rsidP="00775488">
      <w:pPr>
        <w:rPr>
          <w:rtl/>
        </w:rPr>
      </w:pPr>
      <w:bookmarkStart w:id="25468" w:name="_ETM_Q42_680240"/>
      <w:bookmarkStart w:id="25469" w:name="_ETM_Q42_680302"/>
      <w:bookmarkEnd w:id="25468"/>
      <w:bookmarkEnd w:id="25469"/>
      <w:r>
        <w:rPr>
          <w:rFonts w:hint="cs"/>
          <w:rtl/>
        </w:rPr>
        <w:t xml:space="preserve">ואני </w:t>
      </w:r>
      <w:bookmarkStart w:id="25470" w:name="_ETM_Q42_680360"/>
      <w:bookmarkEnd w:id="25470"/>
      <w:r>
        <w:rPr>
          <w:rFonts w:hint="cs"/>
          <w:rtl/>
        </w:rPr>
        <w:t xml:space="preserve">אומר </w:t>
      </w:r>
      <w:bookmarkStart w:id="25471" w:name="_ETM_Q42_680570"/>
      <w:bookmarkEnd w:id="25471"/>
      <w:r>
        <w:rPr>
          <w:rFonts w:hint="cs"/>
          <w:rtl/>
        </w:rPr>
        <w:t xml:space="preserve">לכם </w:t>
      </w:r>
      <w:bookmarkStart w:id="25472" w:name="_ETM_Q42_680840"/>
      <w:bookmarkEnd w:id="25472"/>
      <w:r>
        <w:rPr>
          <w:rFonts w:hint="cs"/>
          <w:rtl/>
        </w:rPr>
        <w:t xml:space="preserve">שוב, </w:t>
      </w:r>
      <w:bookmarkStart w:id="25473" w:name="_ETM_Q42_683770"/>
      <w:bookmarkEnd w:id="25473"/>
      <w:r>
        <w:rPr>
          <w:rFonts w:hint="cs"/>
          <w:rtl/>
        </w:rPr>
        <w:t xml:space="preserve">יכול </w:t>
      </w:r>
      <w:bookmarkStart w:id="25474" w:name="_ETM_Q42_684100"/>
      <w:bookmarkEnd w:id="25474"/>
      <w:r>
        <w:rPr>
          <w:rFonts w:hint="cs"/>
          <w:rtl/>
        </w:rPr>
        <w:t xml:space="preserve">להיות </w:t>
      </w:r>
      <w:bookmarkStart w:id="25475" w:name="_ETM_Q42_685640"/>
      <w:bookmarkEnd w:id="25475"/>
      <w:r>
        <w:rPr>
          <w:rFonts w:hint="cs"/>
          <w:rtl/>
        </w:rPr>
        <w:t xml:space="preserve">שתנצחו, </w:t>
      </w:r>
      <w:bookmarkStart w:id="25476" w:name="_ETM_Q42_687469"/>
      <w:bookmarkEnd w:id="25476"/>
      <w:r>
        <w:rPr>
          <w:rFonts w:hint="cs"/>
          <w:rtl/>
        </w:rPr>
        <w:t xml:space="preserve">יכול </w:t>
      </w:r>
      <w:bookmarkStart w:id="25477" w:name="_ETM_Q42_687650"/>
      <w:bookmarkEnd w:id="25477"/>
      <w:r>
        <w:rPr>
          <w:rFonts w:hint="cs"/>
          <w:rtl/>
        </w:rPr>
        <w:t xml:space="preserve">להיות </w:t>
      </w:r>
      <w:bookmarkStart w:id="25478" w:name="_ETM_Q42_687829"/>
      <w:bookmarkEnd w:id="25478"/>
      <w:r>
        <w:rPr>
          <w:rFonts w:hint="cs"/>
          <w:rtl/>
        </w:rPr>
        <w:t xml:space="preserve">שתעבירו </w:t>
      </w:r>
      <w:bookmarkStart w:id="25479" w:name="_ETM_Q42_688430"/>
      <w:bookmarkEnd w:id="25479"/>
      <w:r>
        <w:rPr>
          <w:rFonts w:hint="cs"/>
          <w:rtl/>
        </w:rPr>
        <w:t xml:space="preserve">את </w:t>
      </w:r>
      <w:bookmarkStart w:id="25480" w:name="_ETM_Q42_688519"/>
      <w:bookmarkEnd w:id="25480"/>
      <w:r>
        <w:rPr>
          <w:rFonts w:hint="cs"/>
          <w:rtl/>
        </w:rPr>
        <w:t xml:space="preserve">כל </w:t>
      </w:r>
      <w:bookmarkStart w:id="25481" w:name="_ETM_Q42_689840"/>
      <w:bookmarkEnd w:id="25481"/>
      <w:r>
        <w:rPr>
          <w:rFonts w:hint="cs"/>
          <w:rtl/>
        </w:rPr>
        <w:t xml:space="preserve">ההרס </w:t>
      </w:r>
      <w:bookmarkStart w:id="25482" w:name="_ETM_Q42_690260"/>
      <w:bookmarkEnd w:id="25482"/>
      <w:r>
        <w:rPr>
          <w:rFonts w:hint="cs"/>
          <w:rtl/>
        </w:rPr>
        <w:t xml:space="preserve">המשפטי </w:t>
      </w:r>
      <w:bookmarkStart w:id="25483" w:name="_ETM_Q42_690769"/>
      <w:bookmarkEnd w:id="25483"/>
      <w:r>
        <w:rPr>
          <w:rFonts w:hint="cs"/>
          <w:rtl/>
        </w:rPr>
        <w:t xml:space="preserve">שאתם </w:t>
      </w:r>
      <w:bookmarkStart w:id="25484" w:name="_ETM_Q42_693069"/>
      <w:bookmarkEnd w:id="25484"/>
      <w:r>
        <w:rPr>
          <w:rFonts w:hint="cs"/>
          <w:rtl/>
        </w:rPr>
        <w:t xml:space="preserve">רוצים, אבל </w:t>
      </w:r>
      <w:bookmarkStart w:id="25485" w:name="_ETM_Q42_693309"/>
      <w:bookmarkEnd w:id="25485"/>
      <w:r>
        <w:rPr>
          <w:rFonts w:hint="cs"/>
          <w:rtl/>
        </w:rPr>
        <w:t xml:space="preserve">בסופו </w:t>
      </w:r>
      <w:bookmarkStart w:id="25486" w:name="_ETM_Q42_693640"/>
      <w:bookmarkEnd w:id="25486"/>
      <w:r>
        <w:rPr>
          <w:rFonts w:hint="cs"/>
          <w:rtl/>
        </w:rPr>
        <w:t xml:space="preserve">של </w:t>
      </w:r>
      <w:bookmarkStart w:id="25487" w:name="_ETM_Q42_693790"/>
      <w:bookmarkEnd w:id="25487"/>
      <w:r>
        <w:rPr>
          <w:rFonts w:hint="cs"/>
          <w:rtl/>
        </w:rPr>
        <w:t>דבר</w:t>
      </w:r>
      <w:bookmarkStart w:id="25488" w:name="_ETM_Q42_691254"/>
      <w:bookmarkEnd w:id="25488"/>
      <w:r>
        <w:rPr>
          <w:rFonts w:hint="cs"/>
          <w:rtl/>
        </w:rPr>
        <w:t xml:space="preserve"> </w:t>
      </w:r>
      <w:bookmarkStart w:id="25489" w:name="_ETM_Q42_694059"/>
      <w:bookmarkEnd w:id="25489"/>
      <w:r>
        <w:rPr>
          <w:rFonts w:hint="cs"/>
          <w:rtl/>
        </w:rPr>
        <w:t xml:space="preserve">אתם </w:t>
      </w:r>
      <w:bookmarkStart w:id="25490" w:name="_ETM_Q42_696200"/>
      <w:bookmarkEnd w:id="25490"/>
      <w:r>
        <w:rPr>
          <w:rFonts w:hint="cs"/>
          <w:rtl/>
        </w:rPr>
        <w:t>תפסידו, כ</w:t>
      </w:r>
      <w:bookmarkStart w:id="25491" w:name="_ETM_Q42_693970"/>
      <w:bookmarkEnd w:id="25491"/>
      <w:r>
        <w:rPr>
          <w:rFonts w:hint="cs"/>
          <w:rtl/>
        </w:rPr>
        <w:t xml:space="preserve">י </w:t>
      </w:r>
      <w:bookmarkStart w:id="25492" w:name="_ETM_Q42_696439"/>
      <w:bookmarkEnd w:id="25492"/>
      <w:r>
        <w:rPr>
          <w:rFonts w:hint="cs"/>
          <w:rtl/>
        </w:rPr>
        <w:t xml:space="preserve">מדינת </w:t>
      </w:r>
      <w:bookmarkStart w:id="25493" w:name="_ETM_Q42_696739"/>
      <w:bookmarkEnd w:id="25493"/>
      <w:r>
        <w:rPr>
          <w:rFonts w:hint="cs"/>
          <w:rtl/>
        </w:rPr>
        <w:t xml:space="preserve">ישראל </w:t>
      </w:r>
      <w:bookmarkStart w:id="25494" w:name="_ETM_Q42_697129"/>
      <w:bookmarkEnd w:id="25494"/>
      <w:r>
        <w:rPr>
          <w:rFonts w:hint="cs"/>
          <w:rtl/>
        </w:rPr>
        <w:t>ת</w:t>
      </w:r>
      <w:bookmarkStart w:id="25495" w:name="_ETM_Q42_698349"/>
      <w:bookmarkEnd w:id="25495"/>
      <w:r>
        <w:rPr>
          <w:rFonts w:hint="cs"/>
          <w:rtl/>
        </w:rPr>
        <w:t xml:space="preserve">פסיד, </w:t>
      </w:r>
      <w:bookmarkStart w:id="25496" w:name="_ETM_Q42_695318"/>
      <w:bookmarkEnd w:id="25496"/>
      <w:r>
        <w:rPr>
          <w:rFonts w:hint="cs"/>
          <w:rtl/>
        </w:rPr>
        <w:t xml:space="preserve">וכל </w:t>
      </w:r>
      <w:bookmarkStart w:id="25497" w:name="_ETM_Q42_698590"/>
      <w:bookmarkEnd w:id="25497"/>
      <w:r>
        <w:rPr>
          <w:rFonts w:hint="cs"/>
          <w:rtl/>
        </w:rPr>
        <w:t xml:space="preserve">אחד </w:t>
      </w:r>
      <w:bookmarkStart w:id="25498" w:name="_ETM_Q42_698889"/>
      <w:bookmarkEnd w:id="25498"/>
      <w:r>
        <w:rPr>
          <w:rFonts w:hint="cs"/>
          <w:rtl/>
        </w:rPr>
        <w:t xml:space="preserve">מאיתנו </w:t>
      </w:r>
      <w:bookmarkStart w:id="25499" w:name="_ETM_Q42_699279"/>
      <w:bookmarkEnd w:id="25499"/>
      <w:r>
        <w:rPr>
          <w:rFonts w:hint="cs"/>
          <w:rtl/>
        </w:rPr>
        <w:t xml:space="preserve">שיושב </w:t>
      </w:r>
      <w:bookmarkStart w:id="25500" w:name="_ETM_Q42_699639"/>
      <w:bookmarkEnd w:id="25500"/>
      <w:r>
        <w:rPr>
          <w:rFonts w:hint="cs"/>
          <w:rtl/>
        </w:rPr>
        <w:t xml:space="preserve">כאן </w:t>
      </w:r>
      <w:bookmarkStart w:id="25501" w:name="_ETM_Q42_699879"/>
      <w:bookmarkEnd w:id="25501"/>
      <w:r>
        <w:rPr>
          <w:rFonts w:hint="cs"/>
          <w:rtl/>
        </w:rPr>
        <w:t>יפסיד</w:t>
      </w:r>
      <w:r w:rsidR="00775488">
        <w:rPr>
          <w:rFonts w:hint="cs"/>
          <w:rtl/>
        </w:rPr>
        <w:t>;</w:t>
      </w:r>
      <w:r>
        <w:rPr>
          <w:rFonts w:hint="cs"/>
          <w:rtl/>
        </w:rPr>
        <w:t xml:space="preserve"> </w:t>
      </w:r>
      <w:bookmarkStart w:id="25502" w:name="_ETM_Q42_701660"/>
      <w:bookmarkEnd w:id="25502"/>
      <w:r>
        <w:rPr>
          <w:rFonts w:hint="cs"/>
          <w:rtl/>
        </w:rPr>
        <w:t xml:space="preserve">עם </w:t>
      </w:r>
      <w:bookmarkStart w:id="25503" w:name="_ETM_Q42_701809"/>
      <w:bookmarkEnd w:id="25503"/>
      <w:r>
        <w:rPr>
          <w:rFonts w:hint="cs"/>
          <w:rtl/>
        </w:rPr>
        <w:t xml:space="preserve">כל </w:t>
      </w:r>
      <w:bookmarkStart w:id="25504" w:name="_ETM_Q42_703040"/>
      <w:bookmarkEnd w:id="25504"/>
      <w:r>
        <w:rPr>
          <w:rFonts w:hint="cs"/>
          <w:rtl/>
        </w:rPr>
        <w:t xml:space="preserve">המחשבה </w:t>
      </w:r>
      <w:bookmarkStart w:id="25505" w:name="_ETM_Q42_705120"/>
      <w:bookmarkEnd w:id="25505"/>
      <w:r>
        <w:rPr>
          <w:rFonts w:hint="cs"/>
          <w:rtl/>
        </w:rPr>
        <w:t xml:space="preserve">של </w:t>
      </w:r>
      <w:bookmarkStart w:id="25506" w:name="_ETM_Q42_705390"/>
      <w:bookmarkEnd w:id="25506"/>
      <w:r>
        <w:rPr>
          <w:rFonts w:hint="cs"/>
          <w:rtl/>
        </w:rPr>
        <w:t>הניצחון</w:t>
      </w:r>
      <w:r w:rsidR="00775488">
        <w:rPr>
          <w:rFonts w:hint="cs"/>
          <w:rtl/>
        </w:rPr>
        <w:t>,</w:t>
      </w:r>
      <w:r>
        <w:rPr>
          <w:rFonts w:hint="cs"/>
          <w:rtl/>
        </w:rPr>
        <w:t xml:space="preserve"> </w:t>
      </w:r>
      <w:bookmarkStart w:id="25507" w:name="_ETM_Q42_708419"/>
      <w:bookmarkStart w:id="25508" w:name="_ETM_Q42_708749"/>
      <w:bookmarkEnd w:id="25507"/>
      <w:bookmarkEnd w:id="25508"/>
      <w:r>
        <w:rPr>
          <w:rFonts w:hint="cs"/>
          <w:rtl/>
        </w:rPr>
        <w:t xml:space="preserve">תפסידו </w:t>
      </w:r>
      <w:bookmarkStart w:id="25509" w:name="_ETM_Q42_709349"/>
      <w:bookmarkEnd w:id="25509"/>
      <w:r>
        <w:rPr>
          <w:rFonts w:hint="cs"/>
          <w:rtl/>
        </w:rPr>
        <w:t xml:space="preserve">וכולם </w:t>
      </w:r>
      <w:bookmarkStart w:id="25510" w:name="_ETM_Q42_709769"/>
      <w:bookmarkEnd w:id="25510"/>
      <w:r>
        <w:rPr>
          <w:rFonts w:hint="cs"/>
          <w:rtl/>
        </w:rPr>
        <w:t>יפסידו.</w:t>
      </w:r>
      <w:bookmarkStart w:id="25511" w:name="_ETM_Q42_706278"/>
      <w:bookmarkStart w:id="25512" w:name="_ETM_Q42_711830"/>
      <w:bookmarkEnd w:id="25511"/>
      <w:bookmarkEnd w:id="25512"/>
    </w:p>
    <w:p w:rsidR="00BB59CD" w:rsidRDefault="00BB59CD" w:rsidP="00BB59CD">
      <w:pPr>
        <w:rPr>
          <w:rtl/>
        </w:rPr>
      </w:pPr>
      <w:bookmarkStart w:id="25513" w:name="_ETM_Q42_713186"/>
      <w:bookmarkStart w:id="25514" w:name="_ETM_Q42_713251"/>
      <w:bookmarkStart w:id="25515" w:name="_ETM_Q42_713360"/>
      <w:bookmarkEnd w:id="25513"/>
      <w:bookmarkEnd w:id="25514"/>
      <w:bookmarkEnd w:id="25515"/>
    </w:p>
    <w:p w:rsidR="00BB59CD" w:rsidRDefault="00BB59CD" w:rsidP="00BB59CD">
      <w:pPr>
        <w:rPr>
          <w:rtl/>
        </w:rPr>
      </w:pPr>
      <w:bookmarkStart w:id="25516" w:name="_ETM_Q42_713434"/>
      <w:bookmarkStart w:id="25517" w:name="_ETM_Q42_712250"/>
      <w:bookmarkEnd w:id="25516"/>
      <w:bookmarkEnd w:id="25517"/>
      <w:r>
        <w:rPr>
          <w:rFonts w:hint="cs"/>
          <w:rtl/>
        </w:rPr>
        <w:t xml:space="preserve">יש </w:t>
      </w:r>
      <w:bookmarkStart w:id="25518" w:name="_ETM_Q42_712430"/>
      <w:bookmarkEnd w:id="25518"/>
      <w:r>
        <w:rPr>
          <w:rFonts w:hint="cs"/>
          <w:rtl/>
        </w:rPr>
        <w:t xml:space="preserve">לי </w:t>
      </w:r>
      <w:bookmarkStart w:id="25519" w:name="_ETM_Q42_712550"/>
      <w:bookmarkStart w:id="25520" w:name="_ETM_Q42_712700"/>
      <w:bookmarkStart w:id="25521" w:name="_ETM_Q42_712790"/>
      <w:bookmarkStart w:id="25522" w:name="_ETM_Q42_711721"/>
      <w:bookmarkEnd w:id="25519"/>
      <w:bookmarkEnd w:id="25520"/>
      <w:bookmarkEnd w:id="25521"/>
      <w:bookmarkEnd w:id="25522"/>
      <w:r>
        <w:rPr>
          <w:rFonts w:hint="cs"/>
          <w:rtl/>
        </w:rPr>
        <w:t xml:space="preserve">עוד </w:t>
      </w:r>
      <w:bookmarkStart w:id="25523" w:name="_ETM_Q42_712940"/>
      <w:bookmarkEnd w:id="25523"/>
      <w:r>
        <w:rPr>
          <w:rFonts w:hint="cs"/>
          <w:rtl/>
        </w:rPr>
        <w:t xml:space="preserve">זמן. </w:t>
      </w:r>
      <w:bookmarkStart w:id="25524" w:name="_ETM_Q42_713730"/>
      <w:bookmarkEnd w:id="25524"/>
      <w:r>
        <w:rPr>
          <w:rFonts w:hint="cs"/>
          <w:rtl/>
        </w:rPr>
        <w:t xml:space="preserve">חוץ </w:t>
      </w:r>
      <w:bookmarkStart w:id="25525" w:name="_ETM_Q42_713939"/>
      <w:bookmarkEnd w:id="25525"/>
      <w:r>
        <w:rPr>
          <w:rFonts w:hint="cs"/>
          <w:rtl/>
        </w:rPr>
        <w:t xml:space="preserve">מזה, </w:t>
      </w:r>
      <w:bookmarkStart w:id="25526" w:name="_ETM_Q42_714179"/>
      <w:bookmarkEnd w:id="25526"/>
      <w:r>
        <w:rPr>
          <w:rFonts w:hint="cs"/>
          <w:rtl/>
        </w:rPr>
        <w:t xml:space="preserve">סגרתי </w:t>
      </w:r>
      <w:bookmarkStart w:id="25527" w:name="_ETM_Q42_714659"/>
      <w:bookmarkEnd w:id="25527"/>
      <w:r>
        <w:rPr>
          <w:rFonts w:hint="cs"/>
          <w:rtl/>
        </w:rPr>
        <w:t xml:space="preserve">עם </w:t>
      </w:r>
      <w:bookmarkStart w:id="25528" w:name="_ETM_Q42_715139"/>
      <w:bookmarkEnd w:id="25528"/>
      <w:r>
        <w:rPr>
          <w:rFonts w:hint="cs"/>
          <w:rtl/>
        </w:rPr>
        <w:t xml:space="preserve">חברי </w:t>
      </w:r>
      <w:bookmarkStart w:id="25529" w:name="_ETM_Q42_715499"/>
      <w:bookmarkEnd w:id="25529"/>
      <w:r>
        <w:rPr>
          <w:rFonts w:hint="cs"/>
          <w:rtl/>
        </w:rPr>
        <w:t xml:space="preserve">איימן </w:t>
      </w:r>
      <w:bookmarkStart w:id="25530" w:name="_ETM_Q42_715799"/>
      <w:bookmarkEnd w:id="25530"/>
      <w:r>
        <w:rPr>
          <w:rFonts w:hint="cs"/>
          <w:rtl/>
        </w:rPr>
        <w:t>עודה</w:t>
      </w:r>
      <w:bookmarkStart w:id="25531" w:name="_ETM_Q42_712178"/>
      <w:bookmarkEnd w:id="25531"/>
      <w:r>
        <w:rPr>
          <w:rFonts w:hint="cs"/>
          <w:rtl/>
        </w:rPr>
        <w:t xml:space="preserve"> </w:t>
      </w:r>
      <w:bookmarkStart w:id="25532" w:name="_ETM_Q42_716010"/>
      <w:bookmarkEnd w:id="25532"/>
      <w:r>
        <w:rPr>
          <w:rFonts w:hint="cs"/>
          <w:rtl/>
        </w:rPr>
        <w:t xml:space="preserve">שאם </w:t>
      </w:r>
      <w:bookmarkStart w:id="25533" w:name="_ETM_Q42_716189"/>
      <w:bookmarkEnd w:id="25533"/>
      <w:r>
        <w:rPr>
          <w:rFonts w:hint="cs"/>
          <w:rtl/>
        </w:rPr>
        <w:t xml:space="preserve">אני </w:t>
      </w:r>
      <w:bookmarkStart w:id="25534" w:name="_ETM_Q42_716549"/>
      <w:bookmarkEnd w:id="25534"/>
      <w:r>
        <w:rPr>
          <w:rFonts w:hint="cs"/>
          <w:rtl/>
        </w:rPr>
        <w:t xml:space="preserve">חורג </w:t>
      </w:r>
      <w:bookmarkStart w:id="25535" w:name="_ETM_Q42_716639"/>
      <w:bookmarkEnd w:id="25535"/>
      <w:r>
        <w:rPr>
          <w:rFonts w:hint="cs"/>
          <w:rtl/>
        </w:rPr>
        <w:t xml:space="preserve">קצת </w:t>
      </w:r>
      <w:bookmarkStart w:id="25536" w:name="_ETM_Q42_716909"/>
      <w:bookmarkEnd w:id="25536"/>
      <w:r>
        <w:rPr>
          <w:rFonts w:hint="cs"/>
          <w:rtl/>
        </w:rPr>
        <w:t xml:space="preserve">בזמן – הוא </w:t>
      </w:r>
      <w:bookmarkStart w:id="25537" w:name="_ETM_Q42_717609"/>
      <w:bookmarkEnd w:id="25537"/>
      <w:r>
        <w:rPr>
          <w:rFonts w:hint="cs"/>
          <w:rtl/>
        </w:rPr>
        <w:t xml:space="preserve">אמר </w:t>
      </w:r>
      <w:bookmarkStart w:id="25538" w:name="_ETM_Q42_717969"/>
      <w:bookmarkEnd w:id="25538"/>
      <w:r>
        <w:rPr>
          <w:rFonts w:hint="cs"/>
          <w:rtl/>
        </w:rPr>
        <w:t>לי:</w:t>
      </w:r>
      <w:bookmarkStart w:id="25539" w:name="_ETM_Q42_716585"/>
      <w:bookmarkEnd w:id="25539"/>
      <w:r>
        <w:rPr>
          <w:rFonts w:hint="cs"/>
          <w:rtl/>
        </w:rPr>
        <w:t xml:space="preserve"> </w:t>
      </w:r>
      <w:bookmarkStart w:id="25540" w:name="_ETM_Q42_718059"/>
      <w:bookmarkEnd w:id="25540"/>
      <w:r>
        <w:rPr>
          <w:rFonts w:hint="cs"/>
          <w:rtl/>
        </w:rPr>
        <w:t xml:space="preserve">אתה </w:t>
      </w:r>
      <w:bookmarkStart w:id="25541" w:name="_ETM_Q42_718209"/>
      <w:bookmarkEnd w:id="25541"/>
      <w:r>
        <w:rPr>
          <w:rFonts w:hint="cs"/>
          <w:rtl/>
        </w:rPr>
        <w:t xml:space="preserve">יכול </w:t>
      </w:r>
      <w:bookmarkStart w:id="25542" w:name="_ETM_Q42_718389"/>
      <w:bookmarkEnd w:id="25542"/>
      <w:r>
        <w:rPr>
          <w:rFonts w:hint="cs"/>
          <w:rtl/>
        </w:rPr>
        <w:t xml:space="preserve">להשתמש </w:t>
      </w:r>
      <w:bookmarkStart w:id="25543" w:name="_ETM_Q42_718809"/>
      <w:bookmarkEnd w:id="25543"/>
      <w:r>
        <w:rPr>
          <w:rFonts w:hint="cs"/>
          <w:rtl/>
        </w:rPr>
        <w:t>ב</w:t>
      </w:r>
      <w:bookmarkStart w:id="25544" w:name="_ETM_Q42_719559"/>
      <w:bookmarkEnd w:id="25544"/>
      <w:r>
        <w:rPr>
          <w:rFonts w:hint="cs"/>
          <w:rtl/>
        </w:rPr>
        <w:t xml:space="preserve">מה </w:t>
      </w:r>
      <w:bookmarkStart w:id="25545" w:name="_ETM_Q42_719739"/>
      <w:bookmarkEnd w:id="25545"/>
      <w:r>
        <w:rPr>
          <w:rFonts w:hint="cs"/>
          <w:rtl/>
        </w:rPr>
        <w:t xml:space="preserve">שיש </w:t>
      </w:r>
      <w:bookmarkStart w:id="25546" w:name="_ETM_Q42_720069"/>
      <w:bookmarkEnd w:id="25546"/>
      <w:r>
        <w:rPr>
          <w:rFonts w:hint="cs"/>
          <w:rtl/>
        </w:rPr>
        <w:t xml:space="preserve">לי, </w:t>
      </w:r>
      <w:bookmarkStart w:id="25547" w:name="_ETM_Q42_720549"/>
      <w:bookmarkEnd w:id="25547"/>
      <w:r>
        <w:rPr>
          <w:rFonts w:hint="cs"/>
          <w:rtl/>
        </w:rPr>
        <w:t xml:space="preserve">בזמנים </w:t>
      </w:r>
      <w:bookmarkStart w:id="25548" w:name="_ETM_Q42_720969"/>
      <w:bookmarkEnd w:id="25548"/>
      <w:r>
        <w:rPr>
          <w:rFonts w:hint="cs"/>
          <w:rtl/>
        </w:rPr>
        <w:t xml:space="preserve">שיש </w:t>
      </w:r>
      <w:bookmarkStart w:id="25549" w:name="_ETM_Q42_721299"/>
      <w:bookmarkEnd w:id="25549"/>
      <w:r>
        <w:rPr>
          <w:rFonts w:hint="cs"/>
          <w:rtl/>
        </w:rPr>
        <w:t>לי.</w:t>
      </w:r>
      <w:bookmarkStart w:id="25550" w:name="_ETM_Q42_722709"/>
      <w:bookmarkEnd w:id="25550"/>
    </w:p>
    <w:p w:rsidR="00BB59CD" w:rsidRDefault="00BB59CD" w:rsidP="00BB59CD">
      <w:pPr>
        <w:rPr>
          <w:rtl/>
        </w:rPr>
      </w:pPr>
      <w:bookmarkStart w:id="25551" w:name="_ETM_Q42_724355"/>
      <w:bookmarkStart w:id="25552" w:name="_ETM_Q42_724416"/>
      <w:bookmarkEnd w:id="25551"/>
      <w:bookmarkEnd w:id="25552"/>
    </w:p>
    <w:p w:rsidR="00BB59CD" w:rsidRDefault="00BB59CD" w:rsidP="00775488">
      <w:pPr>
        <w:rPr>
          <w:rtl/>
        </w:rPr>
      </w:pPr>
      <w:bookmarkStart w:id="25553" w:name="_ETM_Q42_724530"/>
      <w:bookmarkStart w:id="25554" w:name="_ETM_Q42_724633"/>
      <w:bookmarkEnd w:id="25553"/>
      <w:bookmarkEnd w:id="25554"/>
      <w:r>
        <w:rPr>
          <w:rFonts w:hint="cs"/>
          <w:rtl/>
        </w:rPr>
        <w:t>אני</w:t>
      </w:r>
      <w:bookmarkStart w:id="25555" w:name="_ETM_Q42_723010"/>
      <w:bookmarkEnd w:id="25555"/>
      <w:r>
        <w:rPr>
          <w:rFonts w:hint="cs"/>
          <w:rtl/>
        </w:rPr>
        <w:t xml:space="preserve"> </w:t>
      </w:r>
      <w:bookmarkStart w:id="25556" w:name="_ETM_Q42_723250"/>
      <w:bookmarkStart w:id="25557" w:name="_ETM_Q42_723519"/>
      <w:bookmarkStart w:id="25558" w:name="_ETM_Q42_724430"/>
      <w:bookmarkEnd w:id="25556"/>
      <w:bookmarkEnd w:id="25557"/>
      <w:bookmarkEnd w:id="25558"/>
      <w:r>
        <w:rPr>
          <w:rFonts w:hint="cs"/>
          <w:rtl/>
        </w:rPr>
        <w:t>כאן רוצה</w:t>
      </w:r>
      <w:bookmarkStart w:id="25559" w:name="_ETM_Q42_721404"/>
      <w:bookmarkEnd w:id="25559"/>
      <w:r>
        <w:rPr>
          <w:rFonts w:hint="cs"/>
          <w:rtl/>
        </w:rPr>
        <w:t xml:space="preserve"> גם </w:t>
      </w:r>
      <w:bookmarkStart w:id="25560" w:name="_ETM_Q42_722032"/>
      <w:bookmarkEnd w:id="25560"/>
      <w:r>
        <w:rPr>
          <w:rFonts w:hint="cs"/>
          <w:rtl/>
        </w:rPr>
        <w:t xml:space="preserve">להגיד </w:t>
      </w:r>
      <w:bookmarkStart w:id="25561" w:name="_ETM_Q42_722382"/>
      <w:bookmarkStart w:id="25562" w:name="_ETM_Q42_723909"/>
      <w:bookmarkStart w:id="25563" w:name="_ETM_Q42_725900"/>
      <w:bookmarkStart w:id="25564" w:name="_ETM_Q42_726220"/>
      <w:bookmarkStart w:id="25565" w:name="_ETM_Q42_727330"/>
      <w:bookmarkStart w:id="25566" w:name="_ETM_Q42_725602"/>
      <w:bookmarkEnd w:id="25561"/>
      <w:bookmarkEnd w:id="25562"/>
      <w:bookmarkEnd w:id="25563"/>
      <w:bookmarkEnd w:id="25564"/>
      <w:bookmarkEnd w:id="25565"/>
      <w:bookmarkEnd w:id="25566"/>
      <w:r>
        <w:rPr>
          <w:rFonts w:hint="cs"/>
          <w:rtl/>
        </w:rPr>
        <w:t xml:space="preserve">כמה </w:t>
      </w:r>
      <w:bookmarkStart w:id="25567" w:name="_ETM_Q42_727570"/>
      <w:bookmarkEnd w:id="25567"/>
      <w:r>
        <w:rPr>
          <w:rFonts w:hint="cs"/>
          <w:rtl/>
        </w:rPr>
        <w:t xml:space="preserve">משפטים </w:t>
      </w:r>
      <w:bookmarkStart w:id="25568" w:name="_ETM_Q42_728080"/>
      <w:bookmarkEnd w:id="25568"/>
      <w:r>
        <w:rPr>
          <w:rFonts w:hint="cs"/>
          <w:rtl/>
        </w:rPr>
        <w:t xml:space="preserve">על </w:t>
      </w:r>
      <w:bookmarkStart w:id="25569" w:name="_ETM_Q42_728200"/>
      <w:bookmarkEnd w:id="25569"/>
      <w:r>
        <w:rPr>
          <w:rFonts w:hint="cs"/>
          <w:rtl/>
        </w:rPr>
        <w:t xml:space="preserve">הנושא </w:t>
      </w:r>
      <w:bookmarkStart w:id="25570" w:name="_ETM_Q42_728530"/>
      <w:bookmarkEnd w:id="25570"/>
      <w:r>
        <w:rPr>
          <w:rFonts w:hint="cs"/>
          <w:rtl/>
        </w:rPr>
        <w:t xml:space="preserve">של </w:t>
      </w:r>
      <w:bookmarkStart w:id="25571" w:name="_ETM_Q42_728680"/>
      <w:bookmarkEnd w:id="25571"/>
      <w:r>
        <w:rPr>
          <w:rFonts w:hint="cs"/>
          <w:rtl/>
        </w:rPr>
        <w:t xml:space="preserve">תוכנית </w:t>
      </w:r>
      <w:bookmarkStart w:id="25572" w:name="_ETM_Q42_729100"/>
      <w:bookmarkEnd w:id="25572"/>
      <w:r>
        <w:rPr>
          <w:rFonts w:hint="cs"/>
          <w:rtl/>
        </w:rPr>
        <w:t xml:space="preserve">חומש </w:t>
      </w:r>
      <w:bookmarkStart w:id="25573" w:name="_ETM_Q42_729550"/>
      <w:bookmarkEnd w:id="25573"/>
      <w:r>
        <w:rPr>
          <w:rFonts w:hint="cs"/>
          <w:rtl/>
        </w:rPr>
        <w:t xml:space="preserve">למגזר </w:t>
      </w:r>
      <w:bookmarkStart w:id="25574" w:name="_ETM_Q42_730030"/>
      <w:bookmarkEnd w:id="25574"/>
      <w:r>
        <w:rPr>
          <w:rFonts w:hint="cs"/>
          <w:rtl/>
        </w:rPr>
        <w:t>הדרוזי</w:t>
      </w:r>
      <w:bookmarkStart w:id="25575" w:name="_ETM_Q42_727545"/>
      <w:bookmarkEnd w:id="25575"/>
      <w:r>
        <w:rPr>
          <w:rFonts w:hint="cs"/>
          <w:rtl/>
        </w:rPr>
        <w:t xml:space="preserve">. </w:t>
      </w:r>
      <w:bookmarkStart w:id="25576" w:name="_ETM_Q42_731299"/>
      <w:bookmarkEnd w:id="25576"/>
      <w:r>
        <w:rPr>
          <w:rFonts w:hint="cs"/>
          <w:rtl/>
        </w:rPr>
        <w:t xml:space="preserve">בקדנציה </w:t>
      </w:r>
      <w:bookmarkStart w:id="25577" w:name="_ETM_Q42_732109"/>
      <w:bookmarkEnd w:id="25577"/>
      <w:r>
        <w:rPr>
          <w:rFonts w:hint="cs"/>
          <w:rtl/>
        </w:rPr>
        <w:t xml:space="preserve">הקודמת </w:t>
      </w:r>
      <w:bookmarkStart w:id="25578" w:name="_ETM_Q42_732620"/>
      <w:bookmarkStart w:id="25579" w:name="_ETM_Q42_734139"/>
      <w:bookmarkStart w:id="25580" w:name="_ETM_Q42_730451"/>
      <w:bookmarkEnd w:id="25578"/>
      <w:bookmarkEnd w:id="25579"/>
      <w:bookmarkEnd w:id="25580"/>
      <w:r>
        <w:rPr>
          <w:rFonts w:hint="cs"/>
          <w:rtl/>
        </w:rPr>
        <w:t xml:space="preserve">הכנו, ובעצם </w:t>
      </w:r>
      <w:bookmarkStart w:id="25581" w:name="_ETM_Q42_734620"/>
      <w:bookmarkEnd w:id="25581"/>
      <w:r>
        <w:rPr>
          <w:rFonts w:hint="cs"/>
          <w:rtl/>
        </w:rPr>
        <w:t xml:space="preserve">הובלתי </w:t>
      </w:r>
      <w:bookmarkStart w:id="25582" w:name="_ETM_Q42_735099"/>
      <w:bookmarkEnd w:id="25582"/>
      <w:r>
        <w:rPr>
          <w:rFonts w:hint="cs"/>
          <w:rtl/>
        </w:rPr>
        <w:t xml:space="preserve">אותה </w:t>
      </w:r>
      <w:bookmarkStart w:id="25583" w:name="_ETM_Q42_735340"/>
      <w:bookmarkEnd w:id="25583"/>
      <w:r>
        <w:rPr>
          <w:rFonts w:hint="cs"/>
          <w:rtl/>
        </w:rPr>
        <w:t xml:space="preserve">במשרד </w:t>
      </w:r>
      <w:bookmarkStart w:id="25584" w:name="_ETM_Q42_735760"/>
      <w:bookmarkEnd w:id="25584"/>
      <w:r>
        <w:rPr>
          <w:rFonts w:hint="cs"/>
          <w:rtl/>
        </w:rPr>
        <w:t xml:space="preserve">האוצר </w:t>
      </w:r>
      <w:bookmarkStart w:id="25585" w:name="_ETM_Q42_736720"/>
      <w:bookmarkEnd w:id="25585"/>
      <w:r>
        <w:rPr>
          <w:rFonts w:hint="cs"/>
          <w:rtl/>
        </w:rPr>
        <w:t xml:space="preserve">עם </w:t>
      </w:r>
      <w:bookmarkStart w:id="25586" w:name="_ETM_Q42_736870"/>
      <w:bookmarkEnd w:id="25586"/>
      <w:r>
        <w:rPr>
          <w:rFonts w:hint="cs"/>
          <w:rtl/>
        </w:rPr>
        <w:t xml:space="preserve">שר </w:t>
      </w:r>
      <w:bookmarkStart w:id="25587" w:name="_ETM_Q42_737050"/>
      <w:bookmarkEnd w:id="25587"/>
      <w:r>
        <w:rPr>
          <w:rFonts w:hint="cs"/>
          <w:rtl/>
        </w:rPr>
        <w:t xml:space="preserve">האוצר </w:t>
      </w:r>
      <w:bookmarkStart w:id="25588" w:name="_ETM_Q42_737440"/>
      <w:bookmarkEnd w:id="25588"/>
      <w:r>
        <w:rPr>
          <w:rFonts w:hint="cs"/>
          <w:rtl/>
        </w:rPr>
        <w:t xml:space="preserve">אביגדור </w:t>
      </w:r>
      <w:bookmarkStart w:id="25589" w:name="_ETM_Q42_737770"/>
      <w:bookmarkEnd w:id="25589"/>
      <w:r>
        <w:rPr>
          <w:rFonts w:hint="cs"/>
          <w:rtl/>
        </w:rPr>
        <w:t xml:space="preserve">ליברמן, </w:t>
      </w:r>
      <w:bookmarkStart w:id="25590" w:name="_ETM_Q42_739370"/>
      <w:bookmarkEnd w:id="25590"/>
      <w:r>
        <w:rPr>
          <w:rFonts w:hint="cs"/>
          <w:rtl/>
        </w:rPr>
        <w:t xml:space="preserve">תוכנית </w:t>
      </w:r>
      <w:bookmarkStart w:id="25591" w:name="_ETM_Q42_739850"/>
      <w:bookmarkEnd w:id="25591"/>
      <w:r>
        <w:rPr>
          <w:rFonts w:hint="cs"/>
          <w:rtl/>
        </w:rPr>
        <w:t xml:space="preserve">תלת-שנתית </w:t>
      </w:r>
      <w:bookmarkStart w:id="25592" w:name="_ETM_Q42_740660"/>
      <w:bookmarkEnd w:id="25592"/>
      <w:r>
        <w:rPr>
          <w:rFonts w:hint="cs"/>
          <w:rtl/>
        </w:rPr>
        <w:t xml:space="preserve">למגזר </w:t>
      </w:r>
      <w:bookmarkStart w:id="25593" w:name="_ETM_Q42_741110"/>
      <w:bookmarkEnd w:id="25593"/>
      <w:r>
        <w:rPr>
          <w:rFonts w:hint="cs"/>
          <w:rtl/>
        </w:rPr>
        <w:t>הדרוזי</w:t>
      </w:r>
      <w:bookmarkStart w:id="25594" w:name="_ETM_Q42_738693"/>
      <w:bookmarkEnd w:id="25594"/>
      <w:r>
        <w:rPr>
          <w:rFonts w:hint="cs"/>
          <w:rtl/>
        </w:rPr>
        <w:t xml:space="preserve"> </w:t>
      </w:r>
      <w:bookmarkStart w:id="25595" w:name="_ETM_Q42_741679"/>
      <w:bookmarkEnd w:id="25595"/>
      <w:r>
        <w:rPr>
          <w:rFonts w:hint="cs"/>
          <w:rtl/>
        </w:rPr>
        <w:t xml:space="preserve">של 3 </w:t>
      </w:r>
      <w:bookmarkStart w:id="25596" w:name="_ETM_Q42_742130"/>
      <w:bookmarkEnd w:id="25596"/>
      <w:r>
        <w:rPr>
          <w:rFonts w:hint="cs"/>
          <w:rtl/>
        </w:rPr>
        <w:t xml:space="preserve">מיליארד </w:t>
      </w:r>
      <w:bookmarkStart w:id="25597" w:name="_ETM_Q42_742550"/>
      <w:bookmarkEnd w:id="25597"/>
      <w:r>
        <w:rPr>
          <w:rFonts w:hint="cs"/>
          <w:rtl/>
        </w:rPr>
        <w:t xml:space="preserve">שקל; העברנו </w:t>
      </w:r>
      <w:bookmarkStart w:id="25598" w:name="_ETM_Q42_745030"/>
      <w:bookmarkEnd w:id="25598"/>
      <w:r>
        <w:rPr>
          <w:rFonts w:hint="cs"/>
          <w:rtl/>
        </w:rPr>
        <w:t>בשנתיים,</w:t>
      </w:r>
      <w:bookmarkStart w:id="25599" w:name="_ETM_Q42_743621"/>
      <w:bookmarkEnd w:id="25599"/>
      <w:r>
        <w:rPr>
          <w:rFonts w:hint="cs"/>
          <w:rtl/>
        </w:rPr>
        <w:t xml:space="preserve"> </w:t>
      </w:r>
      <w:bookmarkStart w:id="25600" w:name="_ETM_Q42_745900"/>
      <w:bookmarkEnd w:id="25600"/>
      <w:r>
        <w:rPr>
          <w:rFonts w:hint="cs"/>
          <w:rtl/>
        </w:rPr>
        <w:t xml:space="preserve">ואפילו </w:t>
      </w:r>
      <w:bookmarkStart w:id="25601" w:name="_ETM_Q42_746319"/>
      <w:bookmarkEnd w:id="25601"/>
      <w:r>
        <w:rPr>
          <w:rFonts w:hint="cs"/>
          <w:rtl/>
        </w:rPr>
        <w:t xml:space="preserve">בפחות </w:t>
      </w:r>
      <w:bookmarkStart w:id="25602" w:name="_ETM_Q42_746620"/>
      <w:bookmarkEnd w:id="25602"/>
      <w:r>
        <w:rPr>
          <w:rFonts w:hint="cs"/>
          <w:rtl/>
        </w:rPr>
        <w:t xml:space="preserve">משנתיים, </w:t>
      </w:r>
      <w:bookmarkStart w:id="25603" w:name="_ETM_Q42_747550"/>
      <w:bookmarkEnd w:id="25603"/>
      <w:r>
        <w:rPr>
          <w:rFonts w:hint="cs"/>
          <w:rtl/>
        </w:rPr>
        <w:t xml:space="preserve">כי </w:t>
      </w:r>
      <w:bookmarkStart w:id="25604" w:name="_ETM_Q42_747729"/>
      <w:bookmarkEnd w:id="25604"/>
      <w:r>
        <w:rPr>
          <w:rFonts w:hint="cs"/>
          <w:rtl/>
        </w:rPr>
        <w:t xml:space="preserve">התוכנית </w:t>
      </w:r>
      <w:bookmarkStart w:id="25605" w:name="_ETM_Q42_748090"/>
      <w:bookmarkEnd w:id="25605"/>
      <w:r>
        <w:rPr>
          <w:rFonts w:hint="cs"/>
          <w:rtl/>
        </w:rPr>
        <w:t xml:space="preserve">אושרה </w:t>
      </w:r>
      <w:bookmarkStart w:id="25606" w:name="_ETM_Q42_749790"/>
      <w:bookmarkEnd w:id="25606"/>
      <w:r>
        <w:rPr>
          <w:rFonts w:hint="cs"/>
          <w:rtl/>
        </w:rPr>
        <w:t xml:space="preserve">בדצמבר </w:t>
      </w:r>
      <w:bookmarkStart w:id="25607" w:name="_ETM_Q42_752800"/>
      <w:bookmarkStart w:id="25608" w:name="_ETM_Q42_754650"/>
      <w:bookmarkEnd w:id="25607"/>
      <w:bookmarkEnd w:id="25608"/>
      <w:r>
        <w:rPr>
          <w:rFonts w:hint="cs"/>
          <w:rtl/>
        </w:rPr>
        <w:t>2021. ב-</w:t>
      </w:r>
      <w:bookmarkStart w:id="25609" w:name="_ETM_Q42_755460"/>
      <w:bookmarkEnd w:id="25609"/>
      <w:r>
        <w:rPr>
          <w:rFonts w:hint="cs"/>
          <w:rtl/>
        </w:rPr>
        <w:t xml:space="preserve">2022 הצלחנו </w:t>
      </w:r>
      <w:bookmarkStart w:id="25610" w:name="_ETM_Q42_755820"/>
      <w:bookmarkEnd w:id="25610"/>
      <w:r>
        <w:rPr>
          <w:rFonts w:hint="cs"/>
          <w:rtl/>
        </w:rPr>
        <w:t xml:space="preserve">להעביר </w:t>
      </w:r>
      <w:bookmarkStart w:id="25611" w:name="_ETM_Q42_757440"/>
      <w:bookmarkStart w:id="25612" w:name="_ETM_Q42_757590"/>
      <w:bookmarkEnd w:id="25611"/>
      <w:bookmarkEnd w:id="25612"/>
      <w:r>
        <w:rPr>
          <w:rFonts w:hint="cs"/>
          <w:rtl/>
        </w:rPr>
        <w:t xml:space="preserve">כמעט </w:t>
      </w:r>
      <w:bookmarkStart w:id="25613" w:name="_ETM_Q42_754407"/>
      <w:bookmarkEnd w:id="25613"/>
      <w:r>
        <w:rPr>
          <w:rFonts w:hint="cs"/>
          <w:rtl/>
        </w:rPr>
        <w:t xml:space="preserve">את </w:t>
      </w:r>
      <w:bookmarkStart w:id="25614" w:name="_ETM_Q42_757800"/>
      <w:bookmarkEnd w:id="25614"/>
      <w:r>
        <w:rPr>
          <w:rFonts w:hint="cs"/>
          <w:rtl/>
        </w:rPr>
        <w:t xml:space="preserve">כל </w:t>
      </w:r>
      <w:bookmarkStart w:id="25615" w:name="_ETM_Q42_758039"/>
      <w:bookmarkEnd w:id="25615"/>
      <w:r>
        <w:rPr>
          <w:rFonts w:hint="cs"/>
          <w:rtl/>
        </w:rPr>
        <w:t xml:space="preserve">הכסף </w:t>
      </w:r>
      <w:bookmarkStart w:id="25616" w:name="_ETM_Q42_758400"/>
      <w:bookmarkEnd w:id="25616"/>
      <w:r>
        <w:rPr>
          <w:rFonts w:hint="cs"/>
          <w:rtl/>
        </w:rPr>
        <w:t>של 202</w:t>
      </w:r>
      <w:r w:rsidR="00775488">
        <w:rPr>
          <w:rFonts w:hint="cs"/>
          <w:rtl/>
        </w:rPr>
        <w:t>1</w:t>
      </w:r>
      <w:r w:rsidR="00775488">
        <w:rPr>
          <w:rFonts w:hint="eastAsia"/>
          <w:rtl/>
        </w:rPr>
        <w:t>–</w:t>
      </w:r>
      <w:r>
        <w:rPr>
          <w:rFonts w:hint="cs"/>
          <w:rtl/>
        </w:rPr>
        <w:t>202</w:t>
      </w:r>
      <w:r w:rsidR="00775488">
        <w:rPr>
          <w:rFonts w:hint="cs"/>
          <w:rtl/>
        </w:rPr>
        <w:t>2</w:t>
      </w:r>
      <w:r>
        <w:rPr>
          <w:rFonts w:hint="cs"/>
          <w:rtl/>
        </w:rPr>
        <w:t xml:space="preserve">, </w:t>
      </w:r>
      <w:bookmarkStart w:id="25617" w:name="_ETM_Q42_761990"/>
      <w:bookmarkStart w:id="25618" w:name="_ETM_Q42_762418"/>
      <w:bookmarkEnd w:id="25617"/>
      <w:bookmarkEnd w:id="25618"/>
      <w:r>
        <w:rPr>
          <w:rFonts w:hint="cs"/>
          <w:rtl/>
        </w:rPr>
        <w:t>כ</w:t>
      </w:r>
      <w:bookmarkStart w:id="25619" w:name="_ETM_Q42_758834"/>
      <w:bookmarkEnd w:id="25619"/>
      <w:r>
        <w:rPr>
          <w:rFonts w:hint="cs"/>
          <w:rtl/>
        </w:rPr>
        <w:t>מ</w:t>
      </w:r>
      <w:bookmarkStart w:id="25620" w:name="_ETM_Q42_759567"/>
      <w:bookmarkEnd w:id="25620"/>
      <w:r>
        <w:rPr>
          <w:rFonts w:hint="cs"/>
          <w:rtl/>
        </w:rPr>
        <w:t xml:space="preserve">עט </w:t>
      </w:r>
      <w:bookmarkStart w:id="25621" w:name="_ETM_Q42_762319"/>
      <w:bookmarkEnd w:id="25621"/>
      <w:r>
        <w:rPr>
          <w:rFonts w:hint="cs"/>
          <w:rtl/>
        </w:rPr>
        <w:t xml:space="preserve">את כל </w:t>
      </w:r>
      <w:bookmarkStart w:id="25622" w:name="_ETM_Q42_762529"/>
      <w:bookmarkEnd w:id="25622"/>
      <w:r>
        <w:rPr>
          <w:rFonts w:hint="cs"/>
          <w:rtl/>
        </w:rPr>
        <w:t>ה</w:t>
      </w:r>
      <w:bookmarkStart w:id="25623" w:name="_ETM_Q42_760858"/>
      <w:bookmarkEnd w:id="25623"/>
      <w:r>
        <w:rPr>
          <w:rFonts w:hint="cs"/>
          <w:rtl/>
        </w:rPr>
        <w:t>כסף,</w:t>
      </w:r>
      <w:bookmarkStart w:id="25624" w:name="_ETM_Q42_761908"/>
      <w:bookmarkEnd w:id="25624"/>
      <w:r>
        <w:rPr>
          <w:rFonts w:hint="cs"/>
          <w:rtl/>
        </w:rPr>
        <w:t xml:space="preserve"> 2.4 </w:t>
      </w:r>
      <w:bookmarkStart w:id="25625" w:name="_ETM_Q42_762919"/>
      <w:bookmarkStart w:id="25626" w:name="_ETM_Q42_764210"/>
      <w:bookmarkStart w:id="25627" w:name="_ETM_Q42_764509"/>
      <w:bookmarkStart w:id="25628" w:name="_ETM_Q42_764870"/>
      <w:bookmarkEnd w:id="25625"/>
      <w:bookmarkEnd w:id="25626"/>
      <w:bookmarkEnd w:id="25627"/>
      <w:bookmarkEnd w:id="25628"/>
      <w:r>
        <w:rPr>
          <w:rFonts w:hint="cs"/>
          <w:rtl/>
        </w:rPr>
        <w:t xml:space="preserve">מיליארד </w:t>
      </w:r>
      <w:bookmarkStart w:id="25629" w:name="_ETM_Q42_765319"/>
      <w:bookmarkEnd w:id="25629"/>
      <w:r>
        <w:rPr>
          <w:rFonts w:hint="cs"/>
          <w:rtl/>
        </w:rPr>
        <w:t>שקל.</w:t>
      </w:r>
      <w:bookmarkStart w:id="25630" w:name="_ETM_Q42_767420"/>
      <w:bookmarkStart w:id="25631" w:name="TOR_Q43"/>
      <w:bookmarkEnd w:id="25630"/>
      <w:bookmarkEnd w:id="25631"/>
      <w:r>
        <w:rPr>
          <w:rFonts w:hint="cs"/>
          <w:rtl/>
        </w:rPr>
        <w:t xml:space="preserve"> נשארו 600 מיליון שקל להעברה, ומה אני שומע עכשיו? אתמול דיברתי עם כמה מראשי הרשויות</w:t>
      </w:r>
      <w:r w:rsidR="00775488">
        <w:rPr>
          <w:rFonts w:hint="cs"/>
          <w:rtl/>
        </w:rPr>
        <w:t>;</w:t>
      </w:r>
      <w:r>
        <w:rPr>
          <w:rFonts w:hint="cs"/>
          <w:rtl/>
        </w:rPr>
        <w:t xml:space="preserve"> אני שומע את זה מהאוצר</w:t>
      </w:r>
      <w:r w:rsidR="00775488">
        <w:rPr>
          <w:rFonts w:hint="cs"/>
          <w:rtl/>
        </w:rPr>
        <w:t>,</w:t>
      </w:r>
      <w:r>
        <w:rPr>
          <w:rFonts w:hint="cs"/>
          <w:rtl/>
        </w:rPr>
        <w:t xml:space="preserve"> מאנשים באוצר שסיפרו לי</w:t>
      </w:r>
      <w:r w:rsidR="00775488">
        <w:rPr>
          <w:rFonts w:hint="cs"/>
          <w:rtl/>
        </w:rPr>
        <w:t>:</w:t>
      </w:r>
      <w:r>
        <w:rPr>
          <w:rFonts w:hint="cs"/>
          <w:rtl/>
        </w:rPr>
        <w:t xml:space="preserve"> מהכסף התוספתי – כי אז בתוכנית היה 1.5 מיליארד תוספתי שהעברנו למשרדים – רוצים לתת להם לשוטף 100–120 מיליון שקלים</w:t>
      </w:r>
      <w:r w:rsidR="00775488">
        <w:rPr>
          <w:rFonts w:hint="cs"/>
          <w:rtl/>
        </w:rPr>
        <w:t>,</w:t>
      </w:r>
      <w:r>
        <w:rPr>
          <w:rFonts w:hint="cs"/>
          <w:rtl/>
        </w:rPr>
        <w:t xml:space="preserve"> לבטל את ה-600 מיליון שקלים ולבנות תוכנית חדשה. אני לא יודע מי מרוויח. </w:t>
      </w:r>
    </w:p>
    <w:p w:rsidR="00BB59CD" w:rsidRDefault="00BB59CD" w:rsidP="00BB59CD">
      <w:pPr>
        <w:rPr>
          <w:rtl/>
        </w:rPr>
      </w:pPr>
      <w:bookmarkStart w:id="25632" w:name="_ETM_Q43_55528"/>
      <w:bookmarkStart w:id="25633" w:name="_ETM_Q43_55595"/>
      <w:bookmarkEnd w:id="25632"/>
      <w:bookmarkEnd w:id="25633"/>
    </w:p>
    <w:p w:rsidR="00BB59CD" w:rsidRDefault="00BB59CD" w:rsidP="00775488">
      <w:pPr>
        <w:rPr>
          <w:rtl/>
        </w:rPr>
      </w:pPr>
      <w:bookmarkStart w:id="25634" w:name="_ETM_Q43_55651"/>
      <w:bookmarkStart w:id="25635" w:name="_ETM_Q43_55698"/>
      <w:bookmarkEnd w:id="25634"/>
      <w:bookmarkEnd w:id="25635"/>
      <w:r>
        <w:rPr>
          <w:rFonts w:hint="cs"/>
          <w:rtl/>
        </w:rPr>
        <w:t>אנחנו מדברים על קרוב ל-480 מיליון שקל שלא יקבלו. 480 מיליון שקל זה הרבה כסף. בממוצע זה לבנות לפחות 30 מגרשי כדורגל, כאשר אין לך מגרש כדורגל אחד במגזר הדרוזי. פניתי לראשי הרשויות ואמרתי להם שאם הדבר הזה נכון, אסור ל</w:t>
      </w:r>
      <w:r w:rsidR="00775488">
        <w:rPr>
          <w:rFonts w:hint="cs"/>
          <w:rtl/>
        </w:rPr>
        <w:t>ה</w:t>
      </w:r>
      <w:r>
        <w:rPr>
          <w:rFonts w:hint="cs"/>
          <w:rtl/>
        </w:rPr>
        <w:t>ם בשום מצב לוותר על הנושא, ואסור ל</w:t>
      </w:r>
      <w:r w:rsidR="00775488">
        <w:rPr>
          <w:rFonts w:hint="cs"/>
          <w:rtl/>
        </w:rPr>
        <w:t>ה</w:t>
      </w:r>
      <w:r>
        <w:rPr>
          <w:rFonts w:hint="cs"/>
          <w:rtl/>
        </w:rPr>
        <w:t xml:space="preserve">ם בשום מצב להסכים לקבל לשוטף 100–120 מיליון שקל ולוותר על יותר מ-480 מיליון שקל. לא מוכרים את ה-600 מיליון שקל ב-120 מיליון שקל, אפילו לשוטף. זה מה שסיפרו לי מהאוצר. </w:t>
      </w:r>
    </w:p>
    <w:p w:rsidR="00BB59CD" w:rsidRDefault="00BB59CD" w:rsidP="00BB59CD">
      <w:pPr>
        <w:rPr>
          <w:rtl/>
        </w:rPr>
      </w:pPr>
    </w:p>
    <w:p w:rsidR="00BB59CD" w:rsidRDefault="00BB59CD" w:rsidP="00BB59CD">
      <w:pPr>
        <w:rPr>
          <w:rtl/>
        </w:rPr>
      </w:pPr>
      <w:r>
        <w:rPr>
          <w:rFonts w:hint="cs"/>
          <w:rtl/>
        </w:rPr>
        <w:t>אני אומר לך, המגזר הדרוזי זקוק לכל שקל היום</w:t>
      </w:r>
      <w:bookmarkStart w:id="25636" w:name="_ETM_Q43_286196"/>
      <w:bookmarkEnd w:id="25636"/>
      <w:r>
        <w:rPr>
          <w:rFonts w:hint="cs"/>
          <w:rtl/>
        </w:rPr>
        <w:t xml:space="preserve">. תוכניות המתאר שלו תקועות, התוכניות המפורטות שלו לא מתקדמות. התשתיות במצב קשה ביותר. </w:t>
      </w:r>
    </w:p>
    <w:p w:rsidR="00BB59CD" w:rsidRDefault="00BB59CD" w:rsidP="00BB59CD">
      <w:pPr>
        <w:rPr>
          <w:rtl/>
        </w:rPr>
      </w:pPr>
    </w:p>
    <w:p w:rsidR="00BB59CD" w:rsidRDefault="00BB59CD" w:rsidP="00BB59CD">
      <w:pPr>
        <w:pStyle w:val="af8"/>
        <w:keepNext/>
        <w:rPr>
          <w:rtl/>
        </w:rPr>
      </w:pPr>
      <w:bookmarkStart w:id="25637" w:name="ET_interruption_קר_אה_16"/>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bookmarkEnd w:id="25637"/>
    </w:p>
    <w:p w:rsidR="00BB59CD" w:rsidRDefault="00BB59CD" w:rsidP="00337201">
      <w:pPr>
        <w:rPr>
          <w:rtl/>
          <w:lang w:eastAsia="he-IL"/>
        </w:rPr>
      </w:pPr>
    </w:p>
    <w:p w:rsidR="00BB59CD" w:rsidRDefault="00BB59CD" w:rsidP="00BB59CD">
      <w:pPr>
        <w:rPr>
          <w:rtl/>
          <w:lang w:eastAsia="he-IL"/>
        </w:rPr>
      </w:pPr>
      <w:r>
        <w:rPr>
          <w:rFonts w:hint="cs"/>
          <w:rtl/>
          <w:lang w:eastAsia="he-IL"/>
        </w:rPr>
        <w:t>- - -</w:t>
      </w:r>
    </w:p>
    <w:p w:rsidR="00BB59CD" w:rsidRDefault="00BB59CD" w:rsidP="00BB59CD">
      <w:pPr>
        <w:rPr>
          <w:rtl/>
        </w:rPr>
      </w:pPr>
    </w:p>
    <w:p w:rsidR="00BB59CD" w:rsidRDefault="00BB59CD" w:rsidP="00BB59CD">
      <w:pPr>
        <w:pStyle w:val="-"/>
        <w:keepNext/>
        <w:rPr>
          <w:rtl/>
        </w:rPr>
      </w:pPr>
      <w:bookmarkStart w:id="25638" w:name="ET_speakercontinue_4674_17"/>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bookmarkEnd w:id="25638"/>
    </w:p>
    <w:p w:rsidR="00BB59CD" w:rsidRDefault="00BB59CD" w:rsidP="00337201">
      <w:pPr>
        <w:rPr>
          <w:rtl/>
          <w:lang w:eastAsia="he-IL"/>
        </w:rPr>
      </w:pPr>
    </w:p>
    <w:p w:rsidR="00BB59CD" w:rsidRDefault="00BB59CD" w:rsidP="00BB59CD">
      <w:pPr>
        <w:rPr>
          <w:rtl/>
        </w:rPr>
      </w:pPr>
      <w:r>
        <w:rPr>
          <w:rFonts w:hint="cs"/>
          <w:rtl/>
        </w:rPr>
        <w:t>על חשבונך לקחתי כמה דקות.</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שלוש דקות לקחת.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775488">
      <w:pPr>
        <w:rPr>
          <w:rtl/>
        </w:rPr>
      </w:pPr>
      <w:r>
        <w:rPr>
          <w:rFonts w:hint="cs"/>
          <w:rtl/>
        </w:rPr>
        <w:t xml:space="preserve">אני מסיים עוד 32 שניות, אבל אני רוצה להגיד לראשי </w:t>
      </w:r>
      <w:r w:rsidR="00775488">
        <w:rPr>
          <w:rFonts w:hint="cs"/>
          <w:rtl/>
        </w:rPr>
        <w:t>ה</w:t>
      </w:r>
      <w:r>
        <w:rPr>
          <w:rFonts w:hint="cs"/>
          <w:rtl/>
        </w:rPr>
        <w:t xml:space="preserve">רשויות </w:t>
      </w:r>
      <w:r w:rsidR="00775488">
        <w:rPr>
          <w:rFonts w:hint="eastAsia"/>
          <w:rtl/>
        </w:rPr>
        <w:t>–</w:t>
      </w:r>
      <w:r w:rsidR="00775488">
        <w:rPr>
          <w:rFonts w:hint="cs"/>
          <w:rtl/>
        </w:rPr>
        <w:t xml:space="preserve"> </w:t>
      </w:r>
      <w:r>
        <w:rPr>
          <w:rFonts w:hint="cs"/>
          <w:rtl/>
        </w:rPr>
        <w:t xml:space="preserve">אני לא פונה לממשלה הזאת, כי אני לא מאמין באף אחד </w:t>
      </w:r>
      <w:bookmarkStart w:id="25639" w:name="_ETM_Q43_309189"/>
      <w:bookmarkEnd w:id="25639"/>
      <w:r>
        <w:rPr>
          <w:rFonts w:hint="cs"/>
          <w:rtl/>
        </w:rPr>
        <w:t xml:space="preserve">מכל אלה שיושבים כאן. אני אומר לכם: ראשי רשויות, יש לכם תקציב מאושר, שהממשלה הקודמת אישרה אותו. הממשלה הזאת לא צריכה לאשר אותו. הכסף התוספתי כולו עבר למשרדים. היו 1.5 מיליארד תוספתיים שהועברו למשרדים בנוסף לכסף המשרדי. אל תשמעו להם. אפילו אם יגידו לכם: אנחנו נותנים </w:t>
      </w:r>
      <w:bookmarkStart w:id="25640" w:name="_ETM_Q43_335420"/>
      <w:bookmarkEnd w:id="25640"/>
      <w:r>
        <w:rPr>
          <w:rFonts w:hint="cs"/>
          <w:rtl/>
        </w:rPr>
        <w:t xml:space="preserve">לכם תוספתי 120 מיליון שקל, הכסף של ה-120 זה תוספתי שהועבר למשרדים. אז אותו כסף שלכם שמיועד, ושאושר על ידי הממשלה הקודמת, אל תוותרו עליו, כי אתם מוותרים על העתיד של הילדים שלנו. </w:t>
      </w:r>
    </w:p>
    <w:p w:rsidR="00BB59CD" w:rsidRDefault="00BB59CD" w:rsidP="00BB59CD">
      <w:pPr>
        <w:rPr>
          <w:rtl/>
        </w:rPr>
      </w:pPr>
    </w:p>
    <w:p w:rsidR="00BB59CD" w:rsidRDefault="00BB59CD" w:rsidP="00BB59CD">
      <w:pPr>
        <w:rPr>
          <w:rtl/>
        </w:rPr>
      </w:pPr>
      <w:r>
        <w:rPr>
          <w:rFonts w:hint="cs"/>
          <w:rtl/>
        </w:rPr>
        <w:t xml:space="preserve">תודה חבר הכנסת איימן עודה, שנתת לי כמה דקות.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לחבר הכנסת חמד עמאר. </w:t>
      </w:r>
    </w:p>
    <w:p w:rsidR="00BB59CD" w:rsidRDefault="00BB59CD" w:rsidP="00BB59CD">
      <w:pPr>
        <w:rPr>
          <w:rtl/>
          <w:lang w:eastAsia="he-IL"/>
        </w:rPr>
      </w:pPr>
    </w:p>
    <w:p w:rsidR="00BB59CD" w:rsidRDefault="00BB59CD" w:rsidP="00BB59CD">
      <w:pPr>
        <w:rPr>
          <w:rtl/>
          <w:lang w:eastAsia="he-IL"/>
        </w:rPr>
      </w:pPr>
    </w:p>
    <w:p w:rsidR="00BB59CD" w:rsidRDefault="00BB59CD" w:rsidP="00BB59CD">
      <w:pPr>
        <w:pStyle w:val="a7"/>
        <w:rPr>
          <w:rtl/>
          <w:lang w:eastAsia="he-IL"/>
        </w:rPr>
      </w:pPr>
      <w:r>
        <w:rPr>
          <w:rStyle w:val="TagStyle"/>
          <w:rFonts w:hint="cs"/>
          <w:rtl/>
        </w:rPr>
        <w:t xml:space="preserve"> &lt;&lt; נושא &gt;&gt; </w:t>
      </w:r>
      <w:bookmarkStart w:id="25641" w:name="_Toc141197150"/>
      <w:bookmarkStart w:id="25642" w:name="_Toc141196886"/>
      <w:r>
        <w:rPr>
          <w:rFonts w:hint="cs"/>
          <w:rtl/>
          <w:lang w:eastAsia="he-IL"/>
        </w:rPr>
        <w:t>מסמכים שהונחו על שולחן הכנסת</w:t>
      </w:r>
      <w:bookmarkEnd w:id="25641"/>
      <w:bookmarkEnd w:id="25642"/>
      <w:r>
        <w:rPr>
          <w:rStyle w:val="TagStyle"/>
          <w:rFonts w:hint="cs"/>
          <w:rtl/>
        </w:rPr>
        <w:t xml:space="preserve"> &lt;&lt; נושא &gt;&gt;</w:t>
      </w:r>
      <w:r>
        <w:rPr>
          <w:rFonts w:hint="cs"/>
          <w:rtl/>
          <w:lang w:eastAsia="he-IL"/>
        </w:rPr>
        <w:t xml:space="preserve">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הודעה לסגנית מזכיר הכנסת. </w:t>
      </w:r>
    </w:p>
    <w:p w:rsidR="00BB59CD" w:rsidRDefault="00BB59CD" w:rsidP="00BB59CD">
      <w:pPr>
        <w:rPr>
          <w:rtl/>
          <w:lang w:eastAsia="he-IL"/>
        </w:rPr>
      </w:pPr>
    </w:p>
    <w:p w:rsidR="00BB59CD" w:rsidRDefault="00BB59CD" w:rsidP="00BB59CD">
      <w:pPr>
        <w:pStyle w:val="a5"/>
        <w:keepNext/>
        <w:rPr>
          <w:rtl/>
        </w:rPr>
      </w:pPr>
      <w:bookmarkStart w:id="25643" w:name="ET_speaker_6118_4"/>
      <w:r>
        <w:rPr>
          <w:rStyle w:val="TagStyle"/>
          <w:rFonts w:hint="cs"/>
          <w:rtl/>
        </w:rPr>
        <w:t xml:space="preserve"> &lt;&lt; דובר &gt;&gt; </w:t>
      </w:r>
      <w:bookmarkStart w:id="25644" w:name="_Toc141197151"/>
      <w:bookmarkStart w:id="25645" w:name="_Toc141196887"/>
      <w:r>
        <w:rPr>
          <w:rFonts w:hint="cs"/>
          <w:rtl/>
        </w:rPr>
        <w:t>סגנית מזכיר הכנסת אלינור ימין:</w:t>
      </w:r>
      <w:bookmarkEnd w:id="25644"/>
      <w:bookmarkEnd w:id="25645"/>
      <w:r>
        <w:rPr>
          <w:rStyle w:val="TagStyle"/>
          <w:rFonts w:hint="cs"/>
          <w:rtl/>
        </w:rPr>
        <w:t xml:space="preserve"> &lt;&lt; דובר &gt;&gt;</w:t>
      </w:r>
      <w:r>
        <w:rPr>
          <w:rFonts w:hint="cs"/>
          <w:rtl/>
        </w:rPr>
        <w:t xml:space="preserve">   </w:t>
      </w:r>
      <w:bookmarkEnd w:id="25643"/>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ברשות יושב-ראש הישיבה, הינני מתכבדת להודיעכם, כי הונחה היום על שולחן הכנסת </w:t>
      </w:r>
      <w:bookmarkStart w:id="25646" w:name="_ETM_Q43_374314"/>
      <w:bookmarkEnd w:id="25646"/>
      <w:r>
        <w:rPr>
          <w:rFonts w:hint="cs"/>
          <w:rtl/>
          <w:lang w:eastAsia="he-IL"/>
        </w:rPr>
        <w:t>–</w:t>
      </w:r>
    </w:p>
    <w:p w:rsidR="00BB59CD" w:rsidRDefault="00BB59CD" w:rsidP="00BB59CD">
      <w:pPr>
        <w:rPr>
          <w:rtl/>
          <w:lang w:eastAsia="he-IL"/>
        </w:rPr>
      </w:pPr>
    </w:p>
    <w:p w:rsidR="00BB59CD" w:rsidRDefault="00BB59CD" w:rsidP="00BB59CD">
      <w:pPr>
        <w:rPr>
          <w:rtl/>
          <w:lang w:eastAsia="he-IL"/>
        </w:rPr>
      </w:pPr>
      <w:r>
        <w:rPr>
          <w:rFonts w:hint="cs"/>
          <w:rtl/>
          <w:lang w:eastAsia="he-IL"/>
        </w:rPr>
        <w:t>לקריאה ראשונה, מטעם הכנסת:</w:t>
      </w:r>
      <w:bookmarkStart w:id="25647" w:name="_ETM_Q43_377723"/>
      <w:bookmarkStart w:id="25648" w:name="_ETM_Q43_377787"/>
      <w:bookmarkStart w:id="25649" w:name="_ETM_Q43_377867"/>
      <w:bookmarkStart w:id="25650" w:name="_ETM_Q43_377920"/>
      <w:bookmarkEnd w:id="25647"/>
      <w:bookmarkEnd w:id="25648"/>
      <w:bookmarkEnd w:id="25649"/>
      <w:bookmarkEnd w:id="25650"/>
      <w:r>
        <w:rPr>
          <w:rFonts w:hint="cs"/>
          <w:rtl/>
          <w:lang w:eastAsia="he-IL"/>
        </w:rPr>
        <w:t xml:space="preserve"> הצעת חוק דיווח לכנסת על תלונות וטיפול </w:t>
      </w:r>
      <w:bookmarkStart w:id="25651" w:name="_ETM_Q43_376189"/>
      <w:bookmarkEnd w:id="25651"/>
      <w:r>
        <w:rPr>
          <w:rFonts w:hint="cs"/>
          <w:rtl/>
          <w:lang w:eastAsia="he-IL"/>
        </w:rPr>
        <w:t xml:space="preserve">בהטרדות מיניות במשטרת ישראל ובשירות בתי הסוהר והטיפול בהן </w:t>
      </w:r>
      <w:bookmarkStart w:id="25652" w:name="_ETM_Q43_379813"/>
      <w:bookmarkEnd w:id="25652"/>
      <w:r>
        <w:rPr>
          <w:rFonts w:hint="cs"/>
          <w:rtl/>
          <w:lang w:eastAsia="he-IL"/>
        </w:rPr>
        <w:t xml:space="preserve">(תיקוני חקיקה), התשפ"ג–2023, של חברת הכנסת מירב בן ארי.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מסקנות ועדת הבריאות בעקבות דיון בהצעתם של חברי הכנסת יונתן מישרקי, יצחק קרויזר, טטיאנה מזרסקי, אחמד </w:t>
      </w:r>
      <w:bookmarkStart w:id="25653" w:name="_ETM_Q43_403277"/>
      <w:bookmarkEnd w:id="25653"/>
      <w:r>
        <w:rPr>
          <w:rFonts w:hint="cs"/>
          <w:rtl/>
          <w:lang w:eastAsia="he-IL"/>
        </w:rPr>
        <w:t xml:space="preserve">טיבי, מיכאל מרדכי ביטון, אליהו ברוכי, צגה מלקו וואליד אלהואשלה בנושא: צוותים </w:t>
      </w:r>
      <w:bookmarkStart w:id="25654" w:name="_ETM_Q43_387650"/>
      <w:bookmarkEnd w:id="25654"/>
      <w:r>
        <w:rPr>
          <w:rFonts w:hint="cs"/>
          <w:rtl/>
          <w:lang w:eastAsia="he-IL"/>
        </w:rPr>
        <w:t>רפואיים בפריפריה מופלים לרעה ביחס לעמיתיהם במרכז</w:t>
      </w:r>
      <w:r w:rsidR="00775488">
        <w:rPr>
          <w:rFonts w:hint="cs"/>
          <w:rtl/>
          <w:lang w:eastAsia="he-IL"/>
        </w:rPr>
        <w:t>,</w:t>
      </w:r>
      <w:r>
        <w:rPr>
          <w:rFonts w:hint="cs"/>
          <w:rtl/>
          <w:lang w:eastAsia="he-IL"/>
        </w:rPr>
        <w:t xml:space="preserve"> ובתום </w:t>
      </w:r>
      <w:bookmarkStart w:id="25655" w:name="_ETM_Q43_395240"/>
      <w:bookmarkEnd w:id="25655"/>
      <w:r>
        <w:rPr>
          <w:rFonts w:hint="cs"/>
          <w:rtl/>
          <w:lang w:eastAsia="he-IL"/>
        </w:rPr>
        <w:t xml:space="preserve">משמרות ארוכות נאלצים לנהוג עצמאית לבתיהם באופן שמסכן את חייהם.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רבה. זה היה דיון חשוב היום בוועדת בריאות, למרות </w:t>
      </w:r>
      <w:bookmarkStart w:id="25656" w:name="_ETM_Q43_412395"/>
      <w:bookmarkEnd w:id="25656"/>
      <w:r>
        <w:rPr>
          <w:rFonts w:hint="cs"/>
          <w:rtl/>
          <w:lang w:eastAsia="he-IL"/>
        </w:rPr>
        <w:t xml:space="preserve">קוצר הזמנים. חבר הכנסת אחמד טיבי, מיוזמי הדיון, כשמדובר בהצלת </w:t>
      </w:r>
      <w:bookmarkStart w:id="25657" w:name="_ETM_Q43_418413"/>
      <w:bookmarkEnd w:id="25657"/>
      <w:r>
        <w:rPr>
          <w:rFonts w:hint="cs"/>
          <w:rtl/>
          <w:lang w:eastAsia="he-IL"/>
        </w:rPr>
        <w:t xml:space="preserve">חיים אנחנו עושים את זה מיידית. </w:t>
      </w:r>
    </w:p>
    <w:p w:rsidR="00BB59CD" w:rsidRDefault="00BB59CD" w:rsidP="00BB59CD">
      <w:pPr>
        <w:rPr>
          <w:rtl/>
          <w:lang w:eastAsia="he-IL"/>
        </w:rPr>
      </w:pPr>
    </w:p>
    <w:p w:rsidR="00BB59CD" w:rsidRDefault="00BB59CD" w:rsidP="00BB59CD">
      <w:pPr>
        <w:rPr>
          <w:rtl/>
          <w:lang w:eastAsia="he-IL"/>
        </w:rPr>
      </w:pPr>
    </w:p>
    <w:p w:rsidR="00BB59CD" w:rsidRDefault="00BB59CD" w:rsidP="00BB59CD">
      <w:pPr>
        <w:pStyle w:val="a7"/>
        <w:rPr>
          <w:rtl/>
          <w:lang w:eastAsia="he-IL"/>
        </w:rPr>
      </w:pPr>
      <w:bookmarkStart w:id="25658" w:name="ET_hatsach_640328_5"/>
      <w:r>
        <w:rPr>
          <w:rStyle w:val="TagStyle"/>
          <w:rFonts w:hint="cs"/>
          <w:rtl/>
        </w:rPr>
        <w:t xml:space="preserve"> &lt;&lt; הצח &gt;&gt; </w:t>
      </w:r>
      <w:bookmarkStart w:id="25659" w:name="_Toc141197152"/>
      <w:bookmarkStart w:id="25660" w:name="_Toc141196888"/>
      <w:r>
        <w:rPr>
          <w:rFonts w:hint="cs"/>
          <w:rtl/>
          <w:lang w:eastAsia="he-IL"/>
        </w:rPr>
        <w:t>הצעת חוק-יסוד: השפיטה (תיקון מס' 4)</w:t>
      </w:r>
      <w:bookmarkEnd w:id="25659"/>
      <w:bookmarkEnd w:id="25660"/>
      <w:r>
        <w:rPr>
          <w:rStyle w:val="TagStyle"/>
          <w:rFonts w:hint="cs"/>
          <w:rtl/>
        </w:rPr>
        <w:t xml:space="preserve"> &lt;&lt; הצח &gt;&gt;</w:t>
      </w:r>
      <w:r>
        <w:rPr>
          <w:rFonts w:hint="cs"/>
          <w:rtl/>
          <w:lang w:eastAsia="he-IL"/>
        </w:rPr>
        <w:t xml:space="preserve">   </w:t>
      </w:r>
      <w:bookmarkEnd w:id="25658"/>
    </w:p>
    <w:p w:rsidR="00BB59CD" w:rsidRDefault="00BB59CD" w:rsidP="00BB59CD">
      <w:pPr>
        <w:pStyle w:val="-1"/>
        <w:rPr>
          <w:rtl/>
          <w:lang w:eastAsia="he-IL"/>
        </w:rPr>
      </w:pPr>
      <w:r>
        <w:rPr>
          <w:rFonts w:hint="cs"/>
          <w:rtl/>
          <w:lang w:eastAsia="he-IL"/>
        </w:rPr>
        <w:t>(קריאה שנייה וקריאה שלישית)</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 הכנסת איימן עודה, </w:t>
      </w:r>
      <w:bookmarkStart w:id="25661" w:name="_ETM_Q43_420954"/>
      <w:bookmarkEnd w:id="25661"/>
      <w:r>
        <w:rPr>
          <w:rFonts w:hint="cs"/>
          <w:rtl/>
          <w:lang w:eastAsia="he-IL"/>
        </w:rPr>
        <w:t xml:space="preserve">בבקשה, 20 דקות. </w:t>
      </w:r>
    </w:p>
    <w:p w:rsidR="00BB59CD" w:rsidRDefault="00BB59CD" w:rsidP="00BB59CD">
      <w:pPr>
        <w:rPr>
          <w:rtl/>
          <w:lang w:eastAsia="he-IL"/>
        </w:rPr>
      </w:pPr>
    </w:p>
    <w:p w:rsidR="00BB59CD" w:rsidRDefault="00BB59CD" w:rsidP="00BB59CD">
      <w:pPr>
        <w:pStyle w:val="a5"/>
        <w:keepNext/>
        <w:rPr>
          <w:rtl/>
        </w:rPr>
      </w:pPr>
      <w:bookmarkStart w:id="25662" w:name="ET_speaker_5293_7"/>
      <w:r>
        <w:rPr>
          <w:rStyle w:val="TagStyle"/>
          <w:rFonts w:hint="cs"/>
          <w:rtl/>
        </w:rPr>
        <w:t xml:space="preserve"> &lt;&lt; דובר &gt;&gt; </w:t>
      </w:r>
      <w:bookmarkStart w:id="25663" w:name="_Toc141197153"/>
      <w:bookmarkStart w:id="25664" w:name="_Toc141196889"/>
      <w:r>
        <w:rPr>
          <w:rFonts w:hint="cs"/>
          <w:rtl/>
        </w:rPr>
        <w:t>איימן עודה (חד"ש-תע"ל):</w:t>
      </w:r>
      <w:bookmarkEnd w:id="25663"/>
      <w:bookmarkEnd w:id="25664"/>
      <w:r>
        <w:rPr>
          <w:rStyle w:val="TagStyle"/>
          <w:rFonts w:hint="cs"/>
          <w:rtl/>
        </w:rPr>
        <w:t xml:space="preserve"> &lt;&lt; דובר &gt;&gt;</w:t>
      </w:r>
      <w:r>
        <w:rPr>
          <w:rFonts w:hint="cs"/>
          <w:rtl/>
        </w:rPr>
        <w:t xml:space="preserve">   </w:t>
      </w:r>
      <w:bookmarkEnd w:id="25662"/>
    </w:p>
    <w:p w:rsidR="00BB59CD" w:rsidRDefault="00BB59CD" w:rsidP="00337201">
      <w:pPr>
        <w:rPr>
          <w:rtl/>
          <w:lang w:eastAsia="he-IL"/>
        </w:rPr>
      </w:pPr>
    </w:p>
    <w:p w:rsidR="00BB59CD" w:rsidRDefault="00BB59CD" w:rsidP="000E79D7">
      <w:pPr>
        <w:rPr>
          <w:rtl/>
          <w:lang w:eastAsia="he-IL"/>
        </w:rPr>
      </w:pPr>
      <w:r>
        <w:rPr>
          <w:rFonts w:hint="cs"/>
          <w:rtl/>
          <w:lang w:eastAsia="he-IL"/>
        </w:rPr>
        <w:t xml:space="preserve">כבוד היושב-ראש, עמיתיי חברי וחברות הכנסת, אני </w:t>
      </w:r>
      <w:bookmarkStart w:id="25665" w:name="_ETM_Q43_428035"/>
      <w:bookmarkEnd w:id="25665"/>
      <w:r>
        <w:rPr>
          <w:rFonts w:hint="cs"/>
          <w:rtl/>
          <w:lang w:eastAsia="he-IL"/>
        </w:rPr>
        <w:t xml:space="preserve">רוצה להתייחס לשני נושאים לפני שאני ניגש לדבר על עילת </w:t>
      </w:r>
      <w:bookmarkStart w:id="25666" w:name="_ETM_Q43_434163"/>
      <w:bookmarkEnd w:id="25666"/>
      <w:r>
        <w:rPr>
          <w:rFonts w:hint="cs"/>
          <w:rtl/>
          <w:lang w:eastAsia="he-IL"/>
        </w:rPr>
        <w:t xml:space="preserve">הסבירות. הנושא הראשון, יש קבוצה של פנאטים שנכנסים בכוח לכנסיית </w:t>
      </w:r>
      <w:bookmarkStart w:id="25667" w:name="_ETM_Q43_445394"/>
      <w:bookmarkEnd w:id="25667"/>
      <w:r>
        <w:rPr>
          <w:rFonts w:hint="cs"/>
          <w:rtl/>
          <w:lang w:eastAsia="he-IL"/>
        </w:rPr>
        <w:t>מ</w:t>
      </w:r>
      <w:r w:rsidR="000E79D7">
        <w:rPr>
          <w:rFonts w:hint="cs"/>
          <w:rtl/>
          <w:lang w:eastAsia="he-IL"/>
        </w:rPr>
        <w:t>א</w:t>
      </w:r>
      <w:r>
        <w:rPr>
          <w:rFonts w:hint="cs"/>
          <w:rtl/>
          <w:lang w:eastAsia="he-IL"/>
        </w:rPr>
        <w:t>ר  אליאס בחיפה – הכנסייה היפהפייה, שהיא אח</w:t>
      </w:r>
      <w:r w:rsidR="000E79D7">
        <w:rPr>
          <w:rFonts w:hint="cs"/>
          <w:rtl/>
          <w:lang w:eastAsia="he-IL"/>
        </w:rPr>
        <w:t>ד</w:t>
      </w:r>
      <w:r>
        <w:rPr>
          <w:rFonts w:hint="cs"/>
          <w:rtl/>
          <w:lang w:eastAsia="he-IL"/>
        </w:rPr>
        <w:t xml:space="preserve"> מסמלי העיר, ממש</w:t>
      </w:r>
      <w:r w:rsidR="000E79D7">
        <w:rPr>
          <w:rFonts w:hint="cs"/>
          <w:rtl/>
          <w:lang w:eastAsia="he-IL"/>
        </w:rPr>
        <w:t>,</w:t>
      </w:r>
      <w:r>
        <w:rPr>
          <w:rFonts w:hint="cs"/>
          <w:rtl/>
          <w:lang w:eastAsia="he-IL"/>
        </w:rPr>
        <w:t xml:space="preserve"> היפים ביותר. כבר כמה חודשים נכנסים בכוח אל הכנסייה בטענה שזאת כנסייה </w:t>
      </w:r>
      <w:r w:rsidR="000E79D7">
        <w:rPr>
          <w:rFonts w:hint="eastAsia"/>
          <w:rtl/>
          <w:lang w:eastAsia="he-IL"/>
        </w:rPr>
        <w:t>–</w:t>
      </w:r>
      <w:r w:rsidR="000E79D7">
        <w:rPr>
          <w:rFonts w:hint="cs"/>
          <w:rtl/>
          <w:lang w:eastAsia="he-IL"/>
        </w:rPr>
        <w:t xml:space="preserve"> שהיא </w:t>
      </w:r>
      <w:r>
        <w:rPr>
          <w:rFonts w:hint="cs"/>
          <w:rtl/>
          <w:lang w:eastAsia="he-IL"/>
        </w:rPr>
        <w:t>שייכת לאיזשהו נביא מהתקופה המקראית</w:t>
      </w:r>
      <w:r w:rsidR="000E79D7">
        <w:rPr>
          <w:rFonts w:hint="cs"/>
          <w:rtl/>
          <w:lang w:eastAsia="he-IL"/>
        </w:rPr>
        <w:t>,</w:t>
      </w:r>
      <w:r>
        <w:rPr>
          <w:rFonts w:hint="cs"/>
          <w:rtl/>
          <w:lang w:eastAsia="he-IL"/>
        </w:rPr>
        <w:t xml:space="preserve"> דבר שאין לו אח ורע</w:t>
      </w:r>
      <w:r w:rsidR="000E79D7">
        <w:rPr>
          <w:rFonts w:hint="cs"/>
          <w:rtl/>
          <w:lang w:eastAsia="he-IL"/>
        </w:rPr>
        <w:t>,</w:t>
      </w:r>
      <w:r>
        <w:rPr>
          <w:rFonts w:hint="cs"/>
          <w:rtl/>
          <w:lang w:eastAsia="he-IL"/>
        </w:rPr>
        <w:t xml:space="preserve"> דבר שלא היה גם בשנים שעברו. הצעירים בחיפה עומדים איתנים מול הפנאטים. זה </w:t>
      </w:r>
      <w:r w:rsidR="000E79D7">
        <w:rPr>
          <w:rFonts w:hint="cs"/>
          <w:rtl/>
          <w:lang w:eastAsia="he-IL"/>
        </w:rPr>
        <w:t>הגיע עד לאלימות בין הצעירים שמגי</w:t>
      </w:r>
      <w:r>
        <w:rPr>
          <w:rFonts w:hint="cs"/>
          <w:rtl/>
          <w:lang w:eastAsia="he-IL"/>
        </w:rPr>
        <w:t>נים על הכנסייה לבין הפורעים שמנסים לחבל בה. זה קרה גם היום בבוקר. הצעירים כולם הגיעו, עשרות צעירים הגנו על הכנסייה. אני הבנתי שהקבוצה הזאת היא מה שנקרא ברסלב. פניתי לשר פרוש. אמרתי לו</w:t>
      </w:r>
      <w:r w:rsidR="000E79D7">
        <w:rPr>
          <w:rFonts w:hint="cs"/>
          <w:rtl/>
          <w:lang w:eastAsia="he-IL"/>
        </w:rPr>
        <w:t>:</w:t>
      </w:r>
      <w:r>
        <w:rPr>
          <w:rFonts w:hint="cs"/>
          <w:rtl/>
          <w:lang w:eastAsia="he-IL"/>
        </w:rPr>
        <w:t xml:space="preserve"> אם יש לך קשר אז דבר איתם. </w:t>
      </w:r>
      <w:r w:rsidR="000E79D7">
        <w:rPr>
          <w:rFonts w:hint="cs"/>
          <w:rtl/>
          <w:lang w:eastAsia="he-IL"/>
        </w:rPr>
        <w:t xml:space="preserve">הוא </w:t>
      </w:r>
      <w:r>
        <w:rPr>
          <w:rFonts w:hint="cs"/>
          <w:rtl/>
          <w:lang w:eastAsia="he-IL"/>
        </w:rPr>
        <w:t>אמר</w:t>
      </w:r>
      <w:r w:rsidR="000E79D7">
        <w:rPr>
          <w:rFonts w:hint="cs"/>
          <w:rtl/>
          <w:lang w:eastAsia="he-IL"/>
        </w:rPr>
        <w:t>:</w:t>
      </w:r>
      <w:r>
        <w:rPr>
          <w:rFonts w:hint="cs"/>
          <w:rtl/>
          <w:lang w:eastAsia="he-IL"/>
        </w:rPr>
        <w:t xml:space="preserve"> כן יש לי קשר ואני אתייחס ואדבר איתם. אז אני מחכה לתשובה ממנו.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אני רוצה להגיד לכולם שבחיפה אין לכם מקום. בחיפה, בעיר שלנו, אין לכם מקום. שם אנחנו נעמוד איתנים, ולא ניתן לאף אחד לפגוע בכנסיה.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מה הכוונה </w:t>
      </w:r>
      <w:r w:rsidR="000E79D7">
        <w:rPr>
          <w:rFonts w:hint="cs"/>
          <w:rtl/>
          <w:lang w:eastAsia="he-IL"/>
        </w:rPr>
        <w:t>"ה</w:t>
      </w:r>
      <w:r>
        <w:rPr>
          <w:rFonts w:hint="cs"/>
          <w:rtl/>
          <w:lang w:eastAsia="he-IL"/>
        </w:rPr>
        <w:t>עיר שלנו חיפה</w:t>
      </w:r>
      <w:r w:rsidR="000E79D7">
        <w:rPr>
          <w:rFonts w:hint="cs"/>
          <w:rtl/>
          <w:lang w:eastAsia="he-IL"/>
        </w:rPr>
        <w:t>"</w:t>
      </w:r>
      <w:r>
        <w:rPr>
          <w:rFonts w:hint="cs"/>
          <w:rtl/>
          <w:lang w:eastAsia="he-IL"/>
        </w:rPr>
        <w:t>?</w:t>
      </w:r>
    </w:p>
    <w:p w:rsidR="00BB59CD" w:rsidRDefault="00BB59CD" w:rsidP="00BB59CD">
      <w:pPr>
        <w:rPr>
          <w:rtl/>
          <w:lang w:eastAsia="he-IL"/>
        </w:rPr>
      </w:pPr>
      <w:bookmarkStart w:id="25668" w:name="_ETM_Q43_537435"/>
      <w:bookmarkStart w:id="25669" w:name="_ETM_Q43_537501"/>
      <w:bookmarkEnd w:id="25668"/>
      <w:bookmarkEnd w:id="25669"/>
    </w:p>
    <w:p w:rsidR="00BB59CD" w:rsidRDefault="00BB59CD" w:rsidP="00BB59CD">
      <w:pPr>
        <w:pStyle w:val="-"/>
        <w:keepNext/>
        <w:rPr>
          <w:rtl/>
        </w:rPr>
      </w:pPr>
      <w:bookmarkStart w:id="25670" w:name="ET_speakercontinue_5293_9"/>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25670"/>
    </w:p>
    <w:p w:rsidR="00BB59CD" w:rsidRDefault="00BB59CD" w:rsidP="00337201">
      <w:pPr>
        <w:rPr>
          <w:rtl/>
          <w:lang w:eastAsia="he-IL"/>
        </w:rPr>
      </w:pPr>
    </w:p>
    <w:p w:rsidR="00BB59CD" w:rsidRDefault="00BB59CD" w:rsidP="000E79D7">
      <w:pPr>
        <w:rPr>
          <w:rtl/>
          <w:lang w:eastAsia="he-IL"/>
        </w:rPr>
      </w:pPr>
      <w:r>
        <w:rPr>
          <w:rFonts w:hint="cs"/>
          <w:rtl/>
          <w:lang w:eastAsia="he-IL"/>
        </w:rPr>
        <w:t>חיפה</w:t>
      </w:r>
      <w:r w:rsidR="000E79D7">
        <w:rPr>
          <w:rFonts w:hint="cs"/>
          <w:rtl/>
          <w:lang w:eastAsia="he-IL"/>
        </w:rPr>
        <w:t>,</w:t>
      </w:r>
      <w:r>
        <w:rPr>
          <w:rFonts w:hint="cs"/>
          <w:rtl/>
          <w:lang w:eastAsia="he-IL"/>
        </w:rPr>
        <w:t xml:space="preserve"> לאנשים הנורמטיביים, לאנשים השפויים, יהודים וערבים. השפויים, הנורמטיביים, הדמוקרטיים, שמחפשים איך לחיות ביחד</w:t>
      </w:r>
      <w:r w:rsidR="000E79D7">
        <w:rPr>
          <w:rFonts w:hint="cs"/>
          <w:rtl/>
          <w:lang w:eastAsia="he-IL"/>
        </w:rPr>
        <w:t>;</w:t>
      </w:r>
      <w:r>
        <w:rPr>
          <w:rFonts w:hint="cs"/>
          <w:rtl/>
          <w:lang w:eastAsia="he-IL"/>
        </w:rPr>
        <w:t xml:space="preserve"> לא למתפרעים ולמג'נונים. את זה לא ניתן. בעיר שלנו לא ניתן להם.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גדלתי ברמלה, עיר מעורבת. </w:t>
      </w:r>
    </w:p>
    <w:p w:rsidR="00BB59CD" w:rsidRDefault="00BB59CD" w:rsidP="00BB59CD">
      <w:pPr>
        <w:rPr>
          <w:rtl/>
          <w:lang w:eastAsia="he-IL"/>
        </w:rPr>
      </w:pPr>
    </w:p>
    <w:p w:rsidR="00BB59CD" w:rsidRDefault="00BB59CD" w:rsidP="00BB59CD">
      <w:pPr>
        <w:pStyle w:val="-"/>
        <w:keepNext/>
        <w:rPr>
          <w:rtl/>
        </w:rPr>
      </w:pPr>
      <w:bookmarkStart w:id="25671" w:name="ET_speakercontinue_5293_11"/>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2567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כן, חשוב להגיד שזה כך בחיפה. </w:t>
      </w:r>
    </w:p>
    <w:p w:rsidR="00BB59CD" w:rsidRDefault="00BB59CD" w:rsidP="00BB59CD">
      <w:pPr>
        <w:rPr>
          <w:rtl/>
          <w:lang w:eastAsia="he-IL"/>
        </w:rPr>
      </w:pPr>
    </w:p>
    <w:p w:rsidR="00BB59CD" w:rsidRDefault="00BB59CD" w:rsidP="000E79D7">
      <w:pPr>
        <w:rPr>
          <w:rtl/>
          <w:lang w:eastAsia="he-IL"/>
        </w:rPr>
      </w:pPr>
      <w:r>
        <w:rPr>
          <w:rFonts w:hint="cs"/>
          <w:rtl/>
          <w:lang w:eastAsia="he-IL"/>
        </w:rPr>
        <w:t xml:space="preserve">האמת שהמתקפה, שיש בה ממד של גזענות כלפי נוצרים ונצרות, היא מתמשכת מזה הרבה זמן. למשל, אנחנו רואים בירושלים המזרחית איך קבוצה של חוליגנים מתנכלת </w:t>
      </w:r>
      <w:bookmarkStart w:id="25672" w:name="_ETM_Q43_588025"/>
      <w:bookmarkEnd w:id="25672"/>
      <w:r>
        <w:rPr>
          <w:rFonts w:hint="cs"/>
          <w:rtl/>
          <w:lang w:eastAsia="he-IL"/>
        </w:rPr>
        <w:t>לכמרים. אחד מהם מבקש ממנו לא לענוד צלב, ואחד יורק ליד כומר. זאת לא רק התנכלות גזענית, זה חלק מתפיסה פוליטית. תפיסה פוליטית שרוצה להוציא את הנוצרים מהמערכה הפוליטית בשביל להפוך את הסכסוך מסכסוך פוליטי לסכסוך דתי. כלומר, אם מנטרלים את הנוצרים, אז יהיה מאבק</w:t>
      </w:r>
      <w:r w:rsidR="000E79D7">
        <w:rPr>
          <w:rFonts w:hint="cs"/>
          <w:rtl/>
          <w:lang w:eastAsia="he-IL"/>
        </w:rPr>
        <w:t>,</w:t>
      </w:r>
      <w:r>
        <w:rPr>
          <w:rFonts w:hint="cs"/>
          <w:rtl/>
          <w:lang w:eastAsia="he-IL"/>
        </w:rPr>
        <w:t xml:space="preserve"> כביכול, בין היהדות לבין האסלאם על ירושלים. כך הם רוצים. </w:t>
      </w:r>
    </w:p>
    <w:p w:rsidR="00BB59CD" w:rsidRDefault="00BB59CD" w:rsidP="00BB59CD">
      <w:pPr>
        <w:rPr>
          <w:rtl/>
          <w:lang w:eastAsia="he-IL"/>
        </w:rPr>
      </w:pPr>
    </w:p>
    <w:p w:rsidR="00BB59CD" w:rsidRDefault="00BB59CD" w:rsidP="000E79D7">
      <w:pPr>
        <w:rPr>
          <w:rtl/>
          <w:lang w:eastAsia="he-IL"/>
        </w:rPr>
      </w:pPr>
      <w:r>
        <w:rPr>
          <w:rFonts w:hint="cs"/>
          <w:rtl/>
          <w:lang w:eastAsia="he-IL"/>
        </w:rPr>
        <w:t>אני רוצה להגיד, שמה שנכשל בו ריצ'ארד לב ארי (חוזר על השם בערבית)</w:t>
      </w:r>
      <w:r w:rsidR="000E79D7">
        <w:rPr>
          <w:rFonts w:hint="cs"/>
          <w:rtl/>
          <w:lang w:eastAsia="he-IL"/>
        </w:rPr>
        <w:t>,</w:t>
      </w:r>
      <w:r>
        <w:rPr>
          <w:rFonts w:hint="cs"/>
          <w:rtl/>
          <w:lang w:eastAsia="he-IL"/>
        </w:rPr>
        <w:t xml:space="preserve"> לשבש את הזהות הלאומית של הנוצרים</w:t>
      </w:r>
      <w:r w:rsidR="000E79D7">
        <w:rPr>
          <w:rFonts w:hint="cs"/>
          <w:rtl/>
          <w:lang w:eastAsia="he-IL"/>
        </w:rPr>
        <w:t>,</w:t>
      </w:r>
      <w:r>
        <w:rPr>
          <w:rFonts w:hint="cs"/>
          <w:rtl/>
          <w:lang w:eastAsia="he-IL"/>
        </w:rPr>
        <w:t xml:space="preserve"> (אומר בערבית ומתרגם:) מה שנכשל בו ריצ'ארד לב ארי, לא יצליח לעשות נתניהו לב התן. אנחנו נישאר עם אחד, עם יהודים דמוקרטים, שוחרי שלום. ניאבק למען הערכים, שאין יותר חשוב מהם בקרב כל האנושות: לחיות בשלום ובשוויון על בסיס זכויות לאומיות לשני העמים. זאת עמדה ערכית וזאת עמדה נכונה וזאת עמדה שתנצח. </w:t>
      </w:r>
    </w:p>
    <w:p w:rsidR="000E79D7" w:rsidRDefault="000E79D7" w:rsidP="000E79D7">
      <w:pPr>
        <w:ind w:firstLine="0"/>
        <w:rPr>
          <w:rtl/>
          <w:lang w:eastAsia="he-IL"/>
        </w:rPr>
      </w:pPr>
    </w:p>
    <w:p w:rsidR="00BB59CD" w:rsidRDefault="00BB59CD" w:rsidP="000E79D7">
      <w:pPr>
        <w:rPr>
          <w:rtl/>
          <w:lang w:eastAsia="he-IL"/>
        </w:rPr>
      </w:pPr>
      <w:r>
        <w:rPr>
          <w:rFonts w:hint="cs"/>
          <w:rtl/>
          <w:lang w:eastAsia="he-IL"/>
        </w:rPr>
        <w:t xml:space="preserve">אני חוזר למה שקורה בחיפה. או שתטפלו בחוליגנים או שאנחנו נטפל בהם. </w:t>
      </w:r>
    </w:p>
    <w:p w:rsidR="00BB59CD" w:rsidRDefault="00BB59CD" w:rsidP="00BB59CD">
      <w:pPr>
        <w:rPr>
          <w:rtl/>
          <w:lang w:eastAsia="he-IL"/>
        </w:rPr>
      </w:pPr>
    </w:p>
    <w:p w:rsidR="00BB59CD" w:rsidRDefault="00BB59CD" w:rsidP="000E79D7">
      <w:pPr>
        <w:rPr>
          <w:rFonts w:ascii="Inherit" w:hAnsi="Inherit"/>
          <w:color w:val="333333"/>
          <w:sz w:val="28"/>
          <w:szCs w:val="28"/>
          <w:rtl/>
        </w:rPr>
      </w:pPr>
      <w:r>
        <w:rPr>
          <w:rFonts w:hint="cs"/>
          <w:rtl/>
          <w:lang w:eastAsia="he-IL"/>
        </w:rPr>
        <w:t>הנושא השני שאני רוצה להתייחס אליו</w:t>
      </w:r>
      <w:r w:rsidR="000E79D7">
        <w:rPr>
          <w:rFonts w:hint="cs"/>
          <w:rtl/>
          <w:lang w:eastAsia="he-IL"/>
        </w:rPr>
        <w:t>,</w:t>
      </w:r>
      <w:r>
        <w:rPr>
          <w:rFonts w:hint="cs"/>
          <w:rtl/>
          <w:lang w:eastAsia="he-IL"/>
        </w:rPr>
        <w:t xml:space="preserve"> כבוד היושב-ראש, אני רוצה לעלות על נס את מאבקם של תושבי פור</w:t>
      </w:r>
      <w:r w:rsidR="000E79D7">
        <w:rPr>
          <w:rFonts w:hint="cs"/>
          <w:rtl/>
          <w:lang w:eastAsia="he-IL"/>
        </w:rPr>
        <w:t>יי</w:t>
      </w:r>
      <w:r>
        <w:rPr>
          <w:rFonts w:hint="cs"/>
          <w:rtl/>
          <w:lang w:eastAsia="he-IL"/>
        </w:rPr>
        <w:t xml:space="preserve">דיס </w:t>
      </w:r>
      <w:bookmarkStart w:id="25673" w:name="_ETM_Q43_715928"/>
      <w:bookmarkEnd w:id="25673"/>
      <w:r>
        <w:rPr>
          <w:rFonts w:hint="cs"/>
          <w:rtl/>
          <w:lang w:eastAsia="he-IL"/>
        </w:rPr>
        <w:t xml:space="preserve">ותושבי </w:t>
      </w:r>
      <w:r>
        <w:rPr>
          <w:rFonts w:hint="cs"/>
          <w:rtl/>
        </w:rPr>
        <w:t>ג'יסר א-זרקא</w:t>
      </w:r>
      <w:r>
        <w:rPr>
          <w:rFonts w:hint="cs"/>
          <w:rtl/>
          <w:lang w:eastAsia="he-IL"/>
        </w:rPr>
        <w:t>, שאחרי רצח בשני היישובים הללו הם חסמו את העורקים הראשיים. עכשיו המשטרה החזקה, במקום לטפל ולמנוע את הרצח, היא מטפלת במפגינים שנאבקים נגד הרצח. אני השתתפתי בהפגנה של תושבי פור</w:t>
      </w:r>
      <w:r w:rsidR="000E79D7">
        <w:rPr>
          <w:rFonts w:hint="cs"/>
          <w:rtl/>
          <w:lang w:eastAsia="he-IL"/>
        </w:rPr>
        <w:t>יי</w:t>
      </w:r>
      <w:r>
        <w:rPr>
          <w:rFonts w:hint="cs"/>
          <w:rtl/>
          <w:lang w:eastAsia="he-IL"/>
        </w:rPr>
        <w:t>דיס שהייתה לפני יומיים. שם עמדה המשטרה מולנו עם מכת"זית, עם אלות, עם רימוני גז, רימוני עשן. חזקים מאוד</w:t>
      </w:r>
      <w:r w:rsidR="000E79D7">
        <w:rPr>
          <w:rFonts w:hint="cs"/>
          <w:rtl/>
          <w:lang w:eastAsia="he-IL"/>
        </w:rPr>
        <w:t>,</w:t>
      </w:r>
      <w:r>
        <w:rPr>
          <w:rFonts w:hint="cs"/>
          <w:rtl/>
          <w:lang w:eastAsia="he-IL"/>
        </w:rPr>
        <w:t xml:space="preserve"> בפני מי? בפני המפגינים נגד רצח, וחלשים בפני הרוצחים. זוהי משטרת ישראל.</w:t>
      </w:r>
    </w:p>
    <w:p w:rsidR="00BB59CD" w:rsidRDefault="00BB59CD" w:rsidP="00BB59CD">
      <w:pPr>
        <w:rPr>
          <w:rtl/>
          <w:lang w:eastAsia="he-IL"/>
        </w:rPr>
      </w:pPr>
    </w:p>
    <w:p w:rsidR="00BB59CD" w:rsidRDefault="00BB59CD" w:rsidP="000E79D7">
      <w:pPr>
        <w:rPr>
          <w:rtl/>
        </w:rPr>
      </w:pPr>
      <w:bookmarkStart w:id="25674" w:name="TOR_Q44"/>
      <w:bookmarkEnd w:id="25674"/>
      <w:r>
        <w:rPr>
          <w:rFonts w:hint="cs"/>
          <w:rtl/>
        </w:rPr>
        <w:t>המשטרה החזקה הזו, מה עוד עשתה? מצאה לנכון, בזמן שאנחנו מפגינים, לתת לנו דוחות, דוחות תנועה. הינה, הינה דוחות תנועה שנתנה לנו</w:t>
      </w:r>
      <w:r w:rsidR="000E79D7">
        <w:rPr>
          <w:rFonts w:hint="cs"/>
          <w:rtl/>
        </w:rPr>
        <w:t>,</w:t>
      </w:r>
      <w:r>
        <w:rPr>
          <w:rFonts w:hint="cs"/>
          <w:rtl/>
        </w:rPr>
        <w:t xml:space="preserve"> ו</w:t>
      </w:r>
      <w:r w:rsidR="000E79D7">
        <w:rPr>
          <w:rFonts w:hint="cs"/>
          <w:rtl/>
        </w:rPr>
        <w:t>נתנה</w:t>
      </w:r>
      <w:r>
        <w:rPr>
          <w:rFonts w:hint="cs"/>
          <w:rtl/>
        </w:rPr>
        <w:t xml:space="preserve"> לי, </w:t>
      </w:r>
      <w:bookmarkStart w:id="25675" w:name="_ETM_Q44_186325"/>
      <w:bookmarkEnd w:id="25675"/>
      <w:r>
        <w:rPr>
          <w:rFonts w:hint="cs"/>
          <w:rtl/>
        </w:rPr>
        <w:t xml:space="preserve">גם לי אישית. </w:t>
      </w:r>
      <w:bookmarkStart w:id="25676" w:name="_ETM_Q44_180480"/>
      <w:bookmarkStart w:id="25677" w:name="_ETM_Q44_181290"/>
      <w:bookmarkStart w:id="25678" w:name="_ETM_Q44_181530"/>
      <w:bookmarkStart w:id="25679" w:name="_ETM_Q44_182100"/>
      <w:bookmarkStart w:id="25680" w:name="_ETM_Q44_182850"/>
      <w:bookmarkStart w:id="25681" w:name="_ETM_Q44_183029"/>
      <w:bookmarkStart w:id="25682" w:name="_ETM_Q44_183330"/>
      <w:bookmarkStart w:id="25683" w:name="_ETM_Q44_183540"/>
      <w:bookmarkStart w:id="25684" w:name="_ETM_Q44_183929"/>
      <w:bookmarkStart w:id="25685" w:name="_ETM_Q44_184200"/>
      <w:bookmarkStart w:id="25686" w:name="_ETM_Q44_184440"/>
      <w:bookmarkStart w:id="25687" w:name="_ETM_Q44_185629"/>
      <w:bookmarkStart w:id="25688" w:name="_ETM_Q44_185870"/>
      <w:bookmarkStart w:id="25689" w:name="_ETM_Q44_186080"/>
      <w:bookmarkStart w:id="25690" w:name="_ETM_Q44_186290"/>
      <w:bookmarkStart w:id="25691" w:name="_ETM_Q44_186799"/>
      <w:bookmarkStart w:id="25692" w:name="_ETM_Q44_187219"/>
      <w:bookmarkStart w:id="25693" w:name="_ETM_Q44_187639"/>
      <w:bookmarkStart w:id="25694" w:name="_ETM_Q44_187759"/>
      <w:bookmarkStart w:id="25695" w:name="_ETM_Q44_188150"/>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r>
        <w:rPr>
          <w:rFonts w:hint="cs"/>
          <w:rtl/>
        </w:rPr>
        <w:t xml:space="preserve">אז אין לנו בעיה, אנחנו נשלם את </w:t>
      </w:r>
      <w:bookmarkStart w:id="25696" w:name="_ETM_Q44_190320"/>
      <w:bookmarkEnd w:id="25696"/>
      <w:r>
        <w:rPr>
          <w:rFonts w:hint="cs"/>
          <w:rtl/>
        </w:rPr>
        <w:t xml:space="preserve">הדוח הזה, </w:t>
      </w:r>
      <w:bookmarkStart w:id="25697" w:name="_ETM_Q44_189080"/>
      <w:bookmarkEnd w:id="25697"/>
      <w:r>
        <w:rPr>
          <w:rFonts w:hint="cs"/>
          <w:rtl/>
        </w:rPr>
        <w:t xml:space="preserve">אבל </w:t>
      </w:r>
      <w:bookmarkStart w:id="25698" w:name="_ETM_Q44_189530"/>
      <w:bookmarkEnd w:id="25698"/>
      <w:r>
        <w:rPr>
          <w:rFonts w:hint="cs"/>
          <w:rtl/>
        </w:rPr>
        <w:t xml:space="preserve">נמשיך </w:t>
      </w:r>
      <w:bookmarkStart w:id="25699" w:name="_ETM_Q44_190039"/>
      <w:bookmarkEnd w:id="25699"/>
      <w:r>
        <w:rPr>
          <w:rFonts w:hint="cs"/>
          <w:rtl/>
        </w:rPr>
        <w:t xml:space="preserve">להפגין, </w:t>
      </w:r>
      <w:bookmarkStart w:id="25700" w:name="_ETM_Q44_191209"/>
      <w:bookmarkEnd w:id="25700"/>
      <w:r>
        <w:rPr>
          <w:rFonts w:hint="cs"/>
          <w:rtl/>
        </w:rPr>
        <w:t xml:space="preserve">נמשיך </w:t>
      </w:r>
      <w:bookmarkStart w:id="25701" w:name="_ETM_Q44_191869"/>
      <w:bookmarkEnd w:id="25701"/>
      <w:r>
        <w:rPr>
          <w:rFonts w:hint="cs"/>
          <w:rtl/>
        </w:rPr>
        <w:t xml:space="preserve">לחסום עורקים ראשיים. </w:t>
      </w:r>
      <w:bookmarkStart w:id="25702" w:name="_ETM_Q44_192619"/>
      <w:bookmarkStart w:id="25703" w:name="_ETM_Q44_193129"/>
      <w:bookmarkStart w:id="25704" w:name="_ETM_Q44_194209"/>
      <w:bookmarkEnd w:id="25702"/>
      <w:bookmarkEnd w:id="25703"/>
      <w:bookmarkEnd w:id="25704"/>
      <w:r>
        <w:rPr>
          <w:rFonts w:hint="cs"/>
          <w:rtl/>
        </w:rPr>
        <w:t xml:space="preserve">יישר כוח, תושבי פוריידיס </w:t>
      </w:r>
      <w:bookmarkStart w:id="25705" w:name="_ETM_Q44_195965"/>
      <w:bookmarkEnd w:id="25705"/>
      <w:r>
        <w:rPr>
          <w:rFonts w:hint="cs"/>
          <w:rtl/>
        </w:rPr>
        <w:t>וג'יסר א-זרקא. נישאר ביחד</w:t>
      </w:r>
      <w:r w:rsidR="000E79D7">
        <w:rPr>
          <w:rFonts w:hint="cs"/>
          <w:rtl/>
        </w:rPr>
        <w:t>,</w:t>
      </w:r>
      <w:r>
        <w:rPr>
          <w:rFonts w:hint="cs"/>
          <w:rtl/>
        </w:rPr>
        <w:t xml:space="preserve"> כל האוכלוסייה הערבית, עם כל בעלי </w:t>
      </w:r>
      <w:bookmarkStart w:id="25706" w:name="_ETM_Q44_205274"/>
      <w:bookmarkEnd w:id="25706"/>
      <w:r>
        <w:rPr>
          <w:rFonts w:hint="cs"/>
          <w:rtl/>
        </w:rPr>
        <w:t xml:space="preserve">המצפון, עד שננצח את הפשיעה בקרב האוכלוסייה הערבית. </w:t>
      </w:r>
    </w:p>
    <w:p w:rsidR="00BB59CD" w:rsidRDefault="00BB59CD" w:rsidP="00BB59CD">
      <w:pPr>
        <w:rPr>
          <w:rtl/>
        </w:rPr>
      </w:pPr>
      <w:bookmarkStart w:id="25707" w:name="_ETM_Q44_208361"/>
      <w:bookmarkStart w:id="25708" w:name="_ETM_Q44_208464"/>
      <w:bookmarkEnd w:id="25707"/>
      <w:bookmarkEnd w:id="25708"/>
    </w:p>
    <w:p w:rsidR="00BB59CD" w:rsidRDefault="00BB59CD" w:rsidP="000E79D7">
      <w:pPr>
        <w:rPr>
          <w:rtl/>
        </w:rPr>
      </w:pPr>
      <w:bookmarkStart w:id="25709" w:name="_ETM_Q44_208554"/>
      <w:bookmarkStart w:id="25710" w:name="_ETM_Q44_208618"/>
      <w:bookmarkStart w:id="25711" w:name="_ETM_Q44_194420"/>
      <w:bookmarkStart w:id="25712" w:name="_ETM_Q44_194779"/>
      <w:bookmarkStart w:id="25713" w:name="_ETM_Q44_195320"/>
      <w:bookmarkStart w:id="25714" w:name="_ETM_Q44_195799"/>
      <w:bookmarkStart w:id="25715" w:name="_ETM_Q44_196340"/>
      <w:bookmarkStart w:id="25716" w:name="_ETM_Q44_196760"/>
      <w:bookmarkStart w:id="25717" w:name="_ETM_Q44_197029"/>
      <w:bookmarkStart w:id="25718" w:name="_ETM_Q44_197779"/>
      <w:bookmarkStart w:id="25719" w:name="_ETM_Q44_198349"/>
      <w:bookmarkStart w:id="25720" w:name="_ETM_Q44_199859"/>
      <w:bookmarkStart w:id="25721" w:name="_ETM_Q44_200130"/>
      <w:bookmarkStart w:id="25722" w:name="_ETM_Q44_200640"/>
      <w:bookmarkStart w:id="25723" w:name="_ETM_Q44_201390"/>
      <w:bookmarkStart w:id="25724" w:name="_ETM_Q44_201630"/>
      <w:bookmarkStart w:id="25725" w:name="_ETM_Q44_201929"/>
      <w:bookmarkStart w:id="25726" w:name="_ETM_Q44_202289"/>
      <w:bookmarkStart w:id="25727" w:name="_ETM_Q44_203369"/>
      <w:bookmarkStart w:id="25728" w:name="_ETM_Q44_203699"/>
      <w:bookmarkStart w:id="25729" w:name="_ETM_Q44_204599"/>
      <w:bookmarkStart w:id="25730" w:name="_ETM_Q44_205860"/>
      <w:bookmarkStart w:id="25731" w:name="_ETM_Q44_206370"/>
      <w:bookmarkStart w:id="25732" w:name="_ETM_Q44_206850"/>
      <w:bookmarkStart w:id="25733" w:name="_ETM_Q44_208920"/>
      <w:bookmarkEnd w:id="25709"/>
      <w:bookmarkEnd w:id="25710"/>
      <w:bookmarkEnd w:id="25711"/>
      <w:bookmarkEnd w:id="25712"/>
      <w:bookmarkEnd w:id="25713"/>
      <w:bookmarkEnd w:id="25714"/>
      <w:bookmarkEnd w:id="25715"/>
      <w:bookmarkEnd w:id="25716"/>
      <w:bookmarkEnd w:id="25717"/>
      <w:bookmarkEnd w:id="25718"/>
      <w:bookmarkEnd w:id="25719"/>
      <w:bookmarkEnd w:id="25720"/>
      <w:bookmarkEnd w:id="25721"/>
      <w:bookmarkEnd w:id="25722"/>
      <w:bookmarkEnd w:id="25723"/>
      <w:bookmarkEnd w:id="25724"/>
      <w:bookmarkEnd w:id="25725"/>
      <w:bookmarkEnd w:id="25726"/>
      <w:bookmarkEnd w:id="25727"/>
      <w:bookmarkEnd w:id="25728"/>
      <w:bookmarkEnd w:id="25729"/>
      <w:bookmarkEnd w:id="25730"/>
      <w:bookmarkEnd w:id="25731"/>
      <w:bookmarkEnd w:id="25732"/>
      <w:bookmarkEnd w:id="25733"/>
      <w:r>
        <w:rPr>
          <w:rFonts w:hint="cs"/>
          <w:rtl/>
        </w:rPr>
        <w:t xml:space="preserve">כבוד </w:t>
      </w:r>
      <w:bookmarkStart w:id="25734" w:name="_ETM_Q44_209280"/>
      <w:bookmarkEnd w:id="25734"/>
      <w:r>
        <w:rPr>
          <w:rFonts w:hint="cs"/>
          <w:rtl/>
        </w:rPr>
        <w:t xml:space="preserve">היושב-ראש, </w:t>
      </w:r>
      <w:bookmarkStart w:id="25735" w:name="_ETM_Q44_210909"/>
      <w:bookmarkEnd w:id="25735"/>
      <w:r>
        <w:rPr>
          <w:rFonts w:hint="cs"/>
          <w:rtl/>
        </w:rPr>
        <w:t xml:space="preserve">לגבי </w:t>
      </w:r>
      <w:bookmarkStart w:id="25736" w:name="_ETM_Q44_211480"/>
      <w:bookmarkEnd w:id="25736"/>
      <w:r>
        <w:rPr>
          <w:rFonts w:hint="cs"/>
          <w:rtl/>
        </w:rPr>
        <w:t xml:space="preserve">עילת הסבירות </w:t>
      </w:r>
      <w:bookmarkStart w:id="25737" w:name="_ETM_Q44_218151"/>
      <w:bookmarkEnd w:id="25737"/>
      <w:r>
        <w:rPr>
          <w:rFonts w:hint="cs"/>
          <w:rtl/>
        </w:rPr>
        <w:t xml:space="preserve">המצב הוא כך: </w:t>
      </w:r>
      <w:bookmarkStart w:id="25738" w:name="_ETM_Q44_211689"/>
      <w:bookmarkStart w:id="25739" w:name="_ETM_Q44_211869"/>
      <w:bookmarkStart w:id="25740" w:name="_ETM_Q44_214850"/>
      <w:bookmarkStart w:id="25741" w:name="_ETM_Q44_215450"/>
      <w:bookmarkStart w:id="25742" w:name="_ETM_Q44_215600"/>
      <w:bookmarkStart w:id="25743" w:name="_ETM_Q44_217960"/>
      <w:bookmarkEnd w:id="25738"/>
      <w:bookmarkEnd w:id="25739"/>
      <w:bookmarkEnd w:id="25740"/>
      <w:bookmarkEnd w:id="25741"/>
      <w:bookmarkEnd w:id="25742"/>
      <w:bookmarkEnd w:id="25743"/>
      <w:r>
        <w:rPr>
          <w:rFonts w:hint="cs"/>
          <w:rtl/>
        </w:rPr>
        <w:t xml:space="preserve">מדינת </w:t>
      </w:r>
      <w:bookmarkStart w:id="25744" w:name="_ETM_Q44_218500"/>
      <w:bookmarkEnd w:id="25744"/>
      <w:r>
        <w:rPr>
          <w:rFonts w:hint="cs"/>
          <w:rtl/>
        </w:rPr>
        <w:t xml:space="preserve">ישראל </w:t>
      </w:r>
      <w:bookmarkStart w:id="25745" w:name="_ETM_Q44_219039"/>
      <w:bookmarkEnd w:id="25745"/>
      <w:r>
        <w:rPr>
          <w:rFonts w:hint="cs"/>
          <w:rtl/>
        </w:rPr>
        <w:t xml:space="preserve">מגדירה </w:t>
      </w:r>
      <w:bookmarkStart w:id="25746" w:name="_ETM_Q44_219520"/>
      <w:bookmarkEnd w:id="25746"/>
      <w:r>
        <w:rPr>
          <w:rFonts w:hint="cs"/>
          <w:rtl/>
        </w:rPr>
        <w:t xml:space="preserve">את </w:t>
      </w:r>
      <w:bookmarkStart w:id="25747" w:name="_ETM_Q44_219670"/>
      <w:bookmarkEnd w:id="25747"/>
      <w:r>
        <w:rPr>
          <w:rFonts w:hint="cs"/>
          <w:rtl/>
        </w:rPr>
        <w:t xml:space="preserve">עצמה </w:t>
      </w:r>
      <w:bookmarkStart w:id="25748" w:name="_ETM_Q44_220120"/>
      <w:bookmarkEnd w:id="25748"/>
      <w:r>
        <w:rPr>
          <w:rFonts w:hint="cs"/>
          <w:rtl/>
        </w:rPr>
        <w:t xml:space="preserve">כמדינה </w:t>
      </w:r>
      <w:bookmarkStart w:id="25749" w:name="_ETM_Q44_220719"/>
      <w:bookmarkEnd w:id="25749"/>
      <w:r>
        <w:rPr>
          <w:rFonts w:hint="cs"/>
          <w:rtl/>
        </w:rPr>
        <w:t xml:space="preserve">יהודית </w:t>
      </w:r>
      <w:bookmarkStart w:id="25750" w:name="_ETM_Q44_221260"/>
      <w:bookmarkEnd w:id="25750"/>
      <w:r>
        <w:rPr>
          <w:rFonts w:hint="cs"/>
          <w:rtl/>
        </w:rPr>
        <w:t xml:space="preserve">ודמוקרטית. </w:t>
      </w:r>
      <w:bookmarkStart w:id="25751" w:name="_ETM_Q44_224020"/>
      <w:bookmarkEnd w:id="25751"/>
      <w:r>
        <w:rPr>
          <w:rFonts w:hint="cs"/>
          <w:rtl/>
        </w:rPr>
        <w:t xml:space="preserve">האמת היא </w:t>
      </w:r>
      <w:bookmarkStart w:id="25752" w:name="_ETM_Q44_225510"/>
      <w:bookmarkEnd w:id="25752"/>
      <w:r>
        <w:rPr>
          <w:rFonts w:hint="cs"/>
          <w:rtl/>
        </w:rPr>
        <w:t xml:space="preserve">שאני </w:t>
      </w:r>
      <w:bookmarkStart w:id="25753" w:name="_ETM_Q44_225989"/>
      <w:bookmarkEnd w:id="25753"/>
      <w:r>
        <w:rPr>
          <w:rFonts w:hint="cs"/>
          <w:rtl/>
        </w:rPr>
        <w:t xml:space="preserve">אפילו </w:t>
      </w:r>
      <w:bookmarkStart w:id="25754" w:name="_ETM_Q44_227280"/>
      <w:bookmarkEnd w:id="25754"/>
      <w:r>
        <w:rPr>
          <w:rFonts w:hint="cs"/>
          <w:rtl/>
        </w:rPr>
        <w:t xml:space="preserve">לא </w:t>
      </w:r>
      <w:bookmarkStart w:id="25755" w:name="_ETM_Q44_227579"/>
      <w:bookmarkEnd w:id="25755"/>
      <w:r>
        <w:rPr>
          <w:rFonts w:hint="cs"/>
          <w:rtl/>
        </w:rPr>
        <w:t xml:space="preserve">אוהב </w:t>
      </w:r>
      <w:bookmarkStart w:id="25756" w:name="_ETM_Q44_227999"/>
      <w:bookmarkEnd w:id="25756"/>
      <w:r>
        <w:rPr>
          <w:rFonts w:hint="cs"/>
          <w:rtl/>
        </w:rPr>
        <w:t xml:space="preserve">את </w:t>
      </w:r>
      <w:bookmarkStart w:id="25757" w:name="_ETM_Q44_228059"/>
      <w:bookmarkEnd w:id="25757"/>
      <w:r>
        <w:rPr>
          <w:rFonts w:hint="cs"/>
          <w:rtl/>
        </w:rPr>
        <w:t xml:space="preserve">המונח </w:t>
      </w:r>
      <w:bookmarkStart w:id="25758" w:name="_ETM_Q44_228629"/>
      <w:bookmarkEnd w:id="25758"/>
      <w:r>
        <w:rPr>
          <w:rFonts w:hint="cs"/>
          <w:rtl/>
        </w:rPr>
        <w:t>הזה</w:t>
      </w:r>
      <w:bookmarkStart w:id="25759" w:name="_ETM_Q44_228960"/>
      <w:bookmarkEnd w:id="25759"/>
      <w:r w:rsidR="000E79D7">
        <w:rPr>
          <w:rFonts w:hint="cs"/>
          <w:rtl/>
        </w:rPr>
        <w:t>, ו</w:t>
      </w:r>
      <w:r>
        <w:rPr>
          <w:rFonts w:hint="cs"/>
          <w:rtl/>
        </w:rPr>
        <w:t xml:space="preserve">להגיד </w:t>
      </w:r>
      <w:bookmarkStart w:id="25760" w:name="_ETM_Q44_230069"/>
      <w:bookmarkEnd w:id="25760"/>
      <w:r>
        <w:rPr>
          <w:rFonts w:hint="cs"/>
          <w:rtl/>
        </w:rPr>
        <w:t xml:space="preserve">שהיא </w:t>
      </w:r>
      <w:bookmarkStart w:id="25761" w:name="_ETM_Q44_230460"/>
      <w:bookmarkEnd w:id="25761"/>
      <w:r>
        <w:rPr>
          <w:rFonts w:hint="cs"/>
          <w:rtl/>
        </w:rPr>
        <w:t xml:space="preserve">בעיקר </w:t>
      </w:r>
      <w:bookmarkStart w:id="25762" w:name="_ETM_Q44_231059"/>
      <w:bookmarkEnd w:id="25762"/>
      <w:r>
        <w:rPr>
          <w:rFonts w:hint="cs"/>
          <w:rtl/>
        </w:rPr>
        <w:t xml:space="preserve">יהודית </w:t>
      </w:r>
      <w:bookmarkStart w:id="25763" w:name="_ETM_Q44_231689"/>
      <w:bookmarkEnd w:id="25763"/>
      <w:r>
        <w:rPr>
          <w:rFonts w:hint="cs"/>
          <w:rtl/>
        </w:rPr>
        <w:t xml:space="preserve">עם </w:t>
      </w:r>
      <w:bookmarkStart w:id="25764" w:name="_ETM_Q44_231869"/>
      <w:bookmarkEnd w:id="25764"/>
      <w:r>
        <w:rPr>
          <w:rFonts w:hint="cs"/>
          <w:rtl/>
        </w:rPr>
        <w:t xml:space="preserve">מרחב </w:t>
      </w:r>
      <w:bookmarkStart w:id="25765" w:name="_ETM_Q44_232289"/>
      <w:bookmarkEnd w:id="25765"/>
      <w:r>
        <w:rPr>
          <w:rFonts w:hint="cs"/>
          <w:rtl/>
        </w:rPr>
        <w:t>דמוקרטי.</w:t>
      </w:r>
      <w:bookmarkStart w:id="25766" w:name="_ETM_Q44_233369"/>
      <w:bookmarkEnd w:id="25766"/>
      <w:r>
        <w:rPr>
          <w:rFonts w:hint="cs"/>
          <w:rtl/>
        </w:rPr>
        <w:t xml:space="preserve"> למה? </w:t>
      </w:r>
      <w:bookmarkStart w:id="25767" w:name="_ETM_Q44_234340"/>
      <w:bookmarkEnd w:id="25767"/>
      <w:r>
        <w:rPr>
          <w:rFonts w:hint="cs"/>
          <w:rtl/>
        </w:rPr>
        <w:t xml:space="preserve">זה </w:t>
      </w:r>
      <w:bookmarkStart w:id="25768" w:name="_ETM_Q44_234760"/>
      <w:bookmarkEnd w:id="25768"/>
      <w:r>
        <w:rPr>
          <w:rFonts w:hint="cs"/>
          <w:rtl/>
        </w:rPr>
        <w:t xml:space="preserve">חשוב, </w:t>
      </w:r>
      <w:bookmarkStart w:id="25769" w:name="_ETM_Q44_235150"/>
      <w:bookmarkEnd w:id="25769"/>
      <w:r>
        <w:rPr>
          <w:rFonts w:hint="cs"/>
          <w:rtl/>
        </w:rPr>
        <w:t xml:space="preserve">כבוד </w:t>
      </w:r>
      <w:bookmarkStart w:id="25770" w:name="_ETM_Q44_235450"/>
      <w:bookmarkEnd w:id="25770"/>
      <w:r>
        <w:rPr>
          <w:rFonts w:hint="cs"/>
          <w:rtl/>
        </w:rPr>
        <w:t xml:space="preserve">היושב-ראש. </w:t>
      </w:r>
      <w:bookmarkStart w:id="25771" w:name="_ETM_Q44_236660"/>
      <w:bookmarkEnd w:id="25771"/>
      <w:r>
        <w:rPr>
          <w:rFonts w:hint="cs"/>
          <w:rtl/>
        </w:rPr>
        <w:t xml:space="preserve">אני </w:t>
      </w:r>
      <w:bookmarkStart w:id="25772" w:name="_ETM_Q44_236930"/>
      <w:bookmarkEnd w:id="25772"/>
      <w:r>
        <w:rPr>
          <w:rFonts w:hint="cs"/>
          <w:rtl/>
        </w:rPr>
        <w:t xml:space="preserve">חושב </w:t>
      </w:r>
      <w:bookmarkStart w:id="25773" w:name="_ETM_Q44_237290"/>
      <w:bookmarkEnd w:id="25773"/>
      <w:r>
        <w:rPr>
          <w:rFonts w:hint="cs"/>
          <w:rtl/>
        </w:rPr>
        <w:t xml:space="preserve">שכל בן אדם, בהיותו בן אדם הומני, </w:t>
      </w:r>
      <w:bookmarkStart w:id="25774" w:name="_ETM_Q44_243029"/>
      <w:bookmarkStart w:id="25775" w:name="_ETM_Q44_237710"/>
      <w:bookmarkStart w:id="25776" w:name="_ETM_Q44_237920"/>
      <w:bookmarkStart w:id="25777" w:name="_ETM_Q44_238460"/>
      <w:bookmarkStart w:id="25778" w:name="_ETM_Q44_238760"/>
      <w:bookmarkStart w:id="25779" w:name="_ETM_Q44_239210"/>
      <w:bookmarkStart w:id="25780" w:name="_ETM_Q44_240080"/>
      <w:bookmarkStart w:id="25781" w:name="_ETM_Q44_240320"/>
      <w:bookmarkStart w:id="25782" w:name="_ETM_Q44_240530"/>
      <w:bookmarkStart w:id="25783" w:name="_ETM_Q44_241489"/>
      <w:bookmarkEnd w:id="25774"/>
      <w:bookmarkEnd w:id="25775"/>
      <w:bookmarkEnd w:id="25776"/>
      <w:bookmarkEnd w:id="25777"/>
      <w:bookmarkEnd w:id="25778"/>
      <w:bookmarkEnd w:id="25779"/>
      <w:bookmarkEnd w:id="25780"/>
      <w:bookmarkEnd w:id="25781"/>
      <w:bookmarkEnd w:id="25782"/>
      <w:bookmarkEnd w:id="25783"/>
      <w:r>
        <w:rPr>
          <w:rFonts w:hint="cs"/>
          <w:rtl/>
        </w:rPr>
        <w:t xml:space="preserve">מעריך </w:t>
      </w:r>
      <w:bookmarkStart w:id="25784" w:name="_ETM_Q44_242030"/>
      <w:bookmarkEnd w:id="25784"/>
      <w:r>
        <w:rPr>
          <w:rFonts w:hint="cs"/>
          <w:rtl/>
        </w:rPr>
        <w:t xml:space="preserve">תרבות </w:t>
      </w:r>
      <w:bookmarkStart w:id="25785" w:name="_ETM_Q44_243140"/>
      <w:bookmarkEnd w:id="25785"/>
      <w:r>
        <w:rPr>
          <w:rFonts w:hint="cs"/>
          <w:rtl/>
        </w:rPr>
        <w:t xml:space="preserve">של </w:t>
      </w:r>
      <w:bookmarkStart w:id="25786" w:name="_ETM_Q44_243470"/>
      <w:bookmarkEnd w:id="25786"/>
      <w:r>
        <w:rPr>
          <w:rFonts w:hint="cs"/>
          <w:rtl/>
        </w:rPr>
        <w:t>אחרים</w:t>
      </w:r>
      <w:r w:rsidR="000E79D7">
        <w:rPr>
          <w:rFonts w:hint="cs"/>
          <w:rtl/>
        </w:rPr>
        <w:t>.</w:t>
      </w:r>
      <w:r>
        <w:rPr>
          <w:rFonts w:hint="cs"/>
          <w:rtl/>
        </w:rPr>
        <w:t xml:space="preserve"> </w:t>
      </w:r>
      <w:bookmarkStart w:id="25787" w:name="_ETM_Q44_244440"/>
      <w:bookmarkEnd w:id="25787"/>
      <w:r>
        <w:rPr>
          <w:rFonts w:hint="cs"/>
          <w:rtl/>
        </w:rPr>
        <w:t xml:space="preserve">צריך </w:t>
      </w:r>
      <w:bookmarkStart w:id="25788" w:name="_ETM_Q44_244830"/>
      <w:bookmarkEnd w:id="25788"/>
      <w:r>
        <w:rPr>
          <w:rFonts w:hint="cs"/>
          <w:rtl/>
        </w:rPr>
        <w:t>להגיד</w:t>
      </w:r>
      <w:r w:rsidR="000E79D7">
        <w:rPr>
          <w:rFonts w:hint="cs"/>
          <w:rtl/>
        </w:rPr>
        <w:t>,</w:t>
      </w:r>
      <w:r>
        <w:rPr>
          <w:rFonts w:hint="cs"/>
          <w:rtl/>
        </w:rPr>
        <w:t xml:space="preserve"> </w:t>
      </w:r>
      <w:bookmarkStart w:id="25789" w:name="_ETM_Q44_245400"/>
      <w:bookmarkEnd w:id="25789"/>
      <w:r>
        <w:rPr>
          <w:rFonts w:hint="cs"/>
          <w:rtl/>
        </w:rPr>
        <w:t xml:space="preserve">למה </w:t>
      </w:r>
      <w:bookmarkStart w:id="25790" w:name="_ETM_Q44_245850"/>
      <w:bookmarkEnd w:id="25790"/>
      <w:r>
        <w:rPr>
          <w:rFonts w:hint="cs"/>
          <w:rtl/>
        </w:rPr>
        <w:t xml:space="preserve">אפילו צריך </w:t>
      </w:r>
      <w:bookmarkStart w:id="25791" w:name="_ETM_Q44_246209"/>
      <w:bookmarkEnd w:id="25791"/>
      <w:r>
        <w:rPr>
          <w:rFonts w:hint="cs"/>
          <w:rtl/>
        </w:rPr>
        <w:t xml:space="preserve">לשים </w:t>
      </w:r>
      <w:bookmarkStart w:id="25792" w:name="_ETM_Q44_246540"/>
      <w:bookmarkStart w:id="25793" w:name="_ETM_Q44_246870"/>
      <w:bookmarkEnd w:id="25792"/>
      <w:bookmarkEnd w:id="25793"/>
      <w:r>
        <w:rPr>
          <w:rFonts w:hint="cs"/>
          <w:rtl/>
        </w:rPr>
        <w:t xml:space="preserve">את </w:t>
      </w:r>
      <w:bookmarkStart w:id="25794" w:name="_ETM_Q44_246959"/>
      <w:bookmarkEnd w:id="25794"/>
      <w:r>
        <w:rPr>
          <w:rFonts w:hint="cs"/>
          <w:rtl/>
        </w:rPr>
        <w:t xml:space="preserve">היהדות </w:t>
      </w:r>
      <w:bookmarkStart w:id="25795" w:name="_ETM_Q44_247410"/>
      <w:bookmarkEnd w:id="25795"/>
      <w:r>
        <w:rPr>
          <w:rFonts w:hint="cs"/>
          <w:rtl/>
        </w:rPr>
        <w:t xml:space="preserve">במקום </w:t>
      </w:r>
      <w:bookmarkStart w:id="25796" w:name="_ETM_Q44_247830"/>
      <w:bookmarkEnd w:id="25796"/>
      <w:r>
        <w:rPr>
          <w:rFonts w:hint="cs"/>
          <w:rtl/>
        </w:rPr>
        <w:t xml:space="preserve">הזה? </w:t>
      </w:r>
      <w:bookmarkStart w:id="25797" w:name="_ETM_Q44_248810"/>
      <w:bookmarkEnd w:id="25797"/>
      <w:r>
        <w:rPr>
          <w:rFonts w:hint="cs"/>
          <w:rtl/>
        </w:rPr>
        <w:t xml:space="preserve">בואו </w:t>
      </w:r>
      <w:bookmarkStart w:id="25798" w:name="_ETM_Q44_249080"/>
      <w:bookmarkEnd w:id="25798"/>
      <w:r>
        <w:rPr>
          <w:rFonts w:hint="cs"/>
          <w:rtl/>
        </w:rPr>
        <w:t xml:space="preserve">נגיד </w:t>
      </w:r>
      <w:bookmarkStart w:id="25799" w:name="_ETM_Q44_249380"/>
      <w:bookmarkEnd w:id="25799"/>
      <w:r>
        <w:rPr>
          <w:rFonts w:hint="cs"/>
          <w:rtl/>
        </w:rPr>
        <w:t xml:space="preserve">את </w:t>
      </w:r>
      <w:bookmarkStart w:id="25800" w:name="_ETM_Q44_249440"/>
      <w:bookmarkEnd w:id="25800"/>
      <w:r>
        <w:rPr>
          <w:rFonts w:hint="cs"/>
          <w:rtl/>
        </w:rPr>
        <w:t xml:space="preserve">האמת, </w:t>
      </w:r>
      <w:bookmarkStart w:id="25801" w:name="_ETM_Q44_250430"/>
      <w:bookmarkEnd w:id="25801"/>
      <w:r>
        <w:rPr>
          <w:rFonts w:hint="cs"/>
          <w:rtl/>
        </w:rPr>
        <w:t xml:space="preserve">שזו </w:t>
      </w:r>
      <w:bookmarkStart w:id="25802" w:name="_ETM_Q44_250880"/>
      <w:bookmarkEnd w:id="25802"/>
      <w:r>
        <w:rPr>
          <w:rFonts w:hint="cs"/>
          <w:rtl/>
        </w:rPr>
        <w:t xml:space="preserve">מדינה </w:t>
      </w:r>
      <w:bookmarkStart w:id="25803" w:name="_ETM_Q44_251300"/>
      <w:bookmarkEnd w:id="25803"/>
      <w:r>
        <w:rPr>
          <w:rFonts w:hint="cs"/>
          <w:rtl/>
        </w:rPr>
        <w:t xml:space="preserve">ציונית </w:t>
      </w:r>
      <w:bookmarkStart w:id="25804" w:name="_ETM_Q44_252690"/>
      <w:bookmarkEnd w:id="25804"/>
      <w:r>
        <w:rPr>
          <w:rFonts w:hint="cs"/>
          <w:rtl/>
        </w:rPr>
        <w:t>בעיקר</w:t>
      </w:r>
      <w:r w:rsidR="000E79D7">
        <w:rPr>
          <w:rFonts w:hint="cs"/>
          <w:rtl/>
        </w:rPr>
        <w:t>,</w:t>
      </w:r>
      <w:r>
        <w:rPr>
          <w:rFonts w:hint="cs"/>
          <w:rtl/>
        </w:rPr>
        <w:t xml:space="preserve"> עם </w:t>
      </w:r>
      <w:bookmarkStart w:id="25805" w:name="_ETM_Q44_253890"/>
      <w:bookmarkStart w:id="25806" w:name="_ETM_Q44_254159"/>
      <w:bookmarkEnd w:id="25805"/>
      <w:bookmarkEnd w:id="25806"/>
      <w:r>
        <w:rPr>
          <w:rFonts w:hint="cs"/>
          <w:rtl/>
        </w:rPr>
        <w:t xml:space="preserve">מרחב </w:t>
      </w:r>
      <w:bookmarkStart w:id="25807" w:name="_ETM_Q44_254579"/>
      <w:bookmarkEnd w:id="25807"/>
      <w:r>
        <w:rPr>
          <w:rFonts w:hint="cs"/>
          <w:rtl/>
        </w:rPr>
        <w:t xml:space="preserve">קטן </w:t>
      </w:r>
      <w:bookmarkStart w:id="25808" w:name="_ETM_Q44_254969"/>
      <w:bookmarkEnd w:id="25808"/>
      <w:r>
        <w:rPr>
          <w:rFonts w:hint="cs"/>
          <w:rtl/>
        </w:rPr>
        <w:t xml:space="preserve">דמוקרטי. </w:t>
      </w:r>
      <w:bookmarkStart w:id="25809" w:name="_ETM_Q44_256840"/>
      <w:bookmarkEnd w:id="25809"/>
      <w:r>
        <w:rPr>
          <w:rFonts w:hint="cs"/>
          <w:rtl/>
        </w:rPr>
        <w:t xml:space="preserve">אני </w:t>
      </w:r>
      <w:bookmarkStart w:id="25810" w:name="_ETM_Q44_257110"/>
      <w:bookmarkEnd w:id="25810"/>
      <w:r>
        <w:rPr>
          <w:rFonts w:hint="cs"/>
          <w:rtl/>
        </w:rPr>
        <w:t xml:space="preserve">חושב </w:t>
      </w:r>
      <w:bookmarkStart w:id="25811" w:name="_ETM_Q44_257380"/>
      <w:bookmarkEnd w:id="25811"/>
      <w:r>
        <w:rPr>
          <w:rFonts w:hint="cs"/>
          <w:rtl/>
        </w:rPr>
        <w:t xml:space="preserve">שזו </w:t>
      </w:r>
      <w:bookmarkStart w:id="25812" w:name="_ETM_Q44_258280"/>
      <w:bookmarkEnd w:id="25812"/>
      <w:r>
        <w:rPr>
          <w:rFonts w:hint="cs"/>
          <w:rtl/>
        </w:rPr>
        <w:t xml:space="preserve">הגדרה </w:t>
      </w:r>
      <w:bookmarkStart w:id="25813" w:name="_ETM_Q44_258940"/>
      <w:bookmarkEnd w:id="25813"/>
      <w:r>
        <w:rPr>
          <w:rFonts w:hint="cs"/>
          <w:rtl/>
        </w:rPr>
        <w:t xml:space="preserve">יותר </w:t>
      </w:r>
      <w:bookmarkStart w:id="25814" w:name="_ETM_Q44_260670"/>
      <w:bookmarkEnd w:id="25814"/>
      <w:r>
        <w:rPr>
          <w:rFonts w:hint="cs"/>
          <w:rtl/>
        </w:rPr>
        <w:t xml:space="preserve"> </w:t>
      </w:r>
      <w:bookmarkStart w:id="25815" w:name="_ETM_Q44_261060"/>
      <w:bookmarkEnd w:id="25815"/>
      <w:r>
        <w:rPr>
          <w:rFonts w:hint="cs"/>
          <w:rtl/>
        </w:rPr>
        <w:t xml:space="preserve">נכונה </w:t>
      </w:r>
      <w:bookmarkStart w:id="25816" w:name="_ETM_Q44_261720"/>
      <w:bookmarkEnd w:id="25816"/>
      <w:r>
        <w:rPr>
          <w:rFonts w:hint="cs"/>
          <w:rtl/>
        </w:rPr>
        <w:t xml:space="preserve">לגבי </w:t>
      </w:r>
      <w:bookmarkStart w:id="25817" w:name="_ETM_Q44_262200"/>
      <w:bookmarkEnd w:id="25817"/>
      <w:r>
        <w:rPr>
          <w:rFonts w:hint="cs"/>
          <w:rtl/>
        </w:rPr>
        <w:t xml:space="preserve">המצב </w:t>
      </w:r>
      <w:bookmarkStart w:id="25818" w:name="_ETM_Q44_262740"/>
      <w:bookmarkEnd w:id="25818"/>
      <w:r>
        <w:rPr>
          <w:rFonts w:hint="cs"/>
          <w:rtl/>
        </w:rPr>
        <w:t xml:space="preserve">הנוכחי. </w:t>
      </w:r>
      <w:bookmarkStart w:id="25819" w:name="_ETM_Q44_264060"/>
      <w:bookmarkEnd w:id="25819"/>
    </w:p>
    <w:p w:rsidR="00BB59CD" w:rsidRDefault="00BB59CD" w:rsidP="00BB59CD">
      <w:pPr>
        <w:rPr>
          <w:rtl/>
        </w:rPr>
      </w:pPr>
      <w:bookmarkStart w:id="25820" w:name="_ETM_Q44_261260"/>
      <w:bookmarkStart w:id="25821" w:name="_ETM_Q44_261311"/>
      <w:bookmarkEnd w:id="25820"/>
      <w:bookmarkEnd w:id="25821"/>
    </w:p>
    <w:p w:rsidR="00BB59CD" w:rsidRDefault="00BB59CD" w:rsidP="000E79D7">
      <w:pPr>
        <w:rPr>
          <w:rtl/>
        </w:rPr>
      </w:pPr>
      <w:bookmarkStart w:id="25822" w:name="_ETM_Q44_261375"/>
      <w:bookmarkStart w:id="25823" w:name="_ETM_Q44_261418"/>
      <w:bookmarkStart w:id="25824" w:name="_ETM_Q44_264300"/>
      <w:bookmarkEnd w:id="25822"/>
      <w:bookmarkEnd w:id="25823"/>
      <w:bookmarkEnd w:id="25824"/>
      <w:r>
        <w:rPr>
          <w:rFonts w:hint="cs"/>
          <w:rtl/>
        </w:rPr>
        <w:t xml:space="preserve">אפילו כשאומרים </w:t>
      </w:r>
      <w:r w:rsidR="000E79D7">
        <w:rPr>
          <w:rFonts w:hint="cs"/>
          <w:rtl/>
        </w:rPr>
        <w:t>"</w:t>
      </w:r>
      <w:r>
        <w:rPr>
          <w:rFonts w:hint="cs"/>
          <w:rtl/>
        </w:rPr>
        <w:t>מדינת היהודים</w:t>
      </w:r>
      <w:r w:rsidR="000E79D7">
        <w:rPr>
          <w:rFonts w:hint="cs"/>
          <w:rtl/>
        </w:rPr>
        <w:t>"</w:t>
      </w:r>
      <w:r>
        <w:rPr>
          <w:rFonts w:hint="cs"/>
          <w:rtl/>
        </w:rPr>
        <w:t xml:space="preserve">, </w:t>
      </w:r>
      <w:bookmarkStart w:id="25825" w:name="_ETM_Q44_264720"/>
      <w:bookmarkStart w:id="25826" w:name="_ETM_Q44_265380"/>
      <w:bookmarkStart w:id="25827" w:name="_ETM_Q44_265830"/>
      <w:bookmarkStart w:id="25828" w:name="_ETM_Q44_266970"/>
      <w:bookmarkEnd w:id="25825"/>
      <w:bookmarkEnd w:id="25826"/>
      <w:bookmarkEnd w:id="25827"/>
      <w:bookmarkEnd w:id="25828"/>
      <w:r>
        <w:rPr>
          <w:rFonts w:hint="cs"/>
          <w:rtl/>
        </w:rPr>
        <w:t xml:space="preserve">אני </w:t>
      </w:r>
      <w:bookmarkStart w:id="25829" w:name="_ETM_Q44_267270"/>
      <w:bookmarkEnd w:id="25829"/>
      <w:r>
        <w:rPr>
          <w:rFonts w:hint="cs"/>
          <w:rtl/>
        </w:rPr>
        <w:t xml:space="preserve">שואל </w:t>
      </w:r>
      <w:bookmarkStart w:id="25830" w:name="_ETM_Q44_267569"/>
      <w:bookmarkEnd w:id="25830"/>
      <w:r>
        <w:rPr>
          <w:rFonts w:hint="cs"/>
          <w:rtl/>
        </w:rPr>
        <w:t xml:space="preserve">את </w:t>
      </w:r>
      <w:bookmarkStart w:id="25831" w:name="_ETM_Q44_267660"/>
      <w:bookmarkEnd w:id="25831"/>
      <w:r>
        <w:rPr>
          <w:rFonts w:hint="cs"/>
          <w:rtl/>
        </w:rPr>
        <w:t xml:space="preserve">עצמי: </w:t>
      </w:r>
      <w:bookmarkStart w:id="25832" w:name="_ETM_Q44_268200"/>
      <w:bookmarkEnd w:id="25832"/>
      <w:r>
        <w:rPr>
          <w:rFonts w:hint="cs"/>
          <w:rtl/>
        </w:rPr>
        <w:t xml:space="preserve">האם </w:t>
      </w:r>
      <w:bookmarkStart w:id="25833" w:name="_ETM_Q44_268560"/>
      <w:bookmarkEnd w:id="25833"/>
      <w:r>
        <w:rPr>
          <w:rFonts w:hint="cs"/>
          <w:rtl/>
        </w:rPr>
        <w:t xml:space="preserve">באמת </w:t>
      </w:r>
      <w:bookmarkStart w:id="25834" w:name="_ETM_Q44_269709"/>
      <w:bookmarkEnd w:id="25834"/>
      <w:r>
        <w:rPr>
          <w:rFonts w:hint="cs"/>
          <w:rtl/>
        </w:rPr>
        <w:t xml:space="preserve">היא </w:t>
      </w:r>
      <w:bookmarkStart w:id="25835" w:name="_ETM_Q44_269979"/>
      <w:bookmarkStart w:id="25836" w:name="_ETM_Q44_271670"/>
      <w:bookmarkEnd w:id="25835"/>
      <w:bookmarkEnd w:id="25836"/>
      <w:r>
        <w:rPr>
          <w:rFonts w:hint="cs"/>
          <w:rtl/>
        </w:rPr>
        <w:t xml:space="preserve">מדינת </w:t>
      </w:r>
      <w:bookmarkStart w:id="25837" w:name="_ETM_Q44_272209"/>
      <w:bookmarkStart w:id="25838" w:name="_ETM_Q44_272389"/>
      <w:bookmarkEnd w:id="25837"/>
      <w:bookmarkEnd w:id="25838"/>
      <w:r>
        <w:rPr>
          <w:rFonts w:hint="cs"/>
          <w:rtl/>
        </w:rPr>
        <w:t xml:space="preserve">הטייקון </w:t>
      </w:r>
      <w:bookmarkStart w:id="25839" w:name="_ETM_Q44_272899"/>
      <w:bookmarkEnd w:id="25839"/>
      <w:r>
        <w:rPr>
          <w:rFonts w:hint="cs"/>
          <w:rtl/>
        </w:rPr>
        <w:t xml:space="preserve">היהודי </w:t>
      </w:r>
      <w:bookmarkStart w:id="25840" w:name="_ETM_Q44_274009"/>
      <w:bookmarkEnd w:id="25840"/>
      <w:r w:rsidR="000E79D7">
        <w:rPr>
          <w:rFonts w:hint="cs"/>
          <w:rtl/>
        </w:rPr>
        <w:t xml:space="preserve">באותה </w:t>
      </w:r>
      <w:bookmarkStart w:id="25841" w:name="_ETM_Q44_270549"/>
      <w:bookmarkEnd w:id="25841"/>
      <w:r w:rsidR="000E79D7">
        <w:rPr>
          <w:rFonts w:hint="cs"/>
          <w:rtl/>
        </w:rPr>
        <w:t xml:space="preserve">מידה </w:t>
      </w:r>
      <w:bookmarkStart w:id="25842" w:name="_ETM_Q44_274310"/>
      <w:bookmarkEnd w:id="25842"/>
      <w:r>
        <w:rPr>
          <w:rFonts w:hint="cs"/>
          <w:rtl/>
        </w:rPr>
        <w:t xml:space="preserve">שהיא </w:t>
      </w:r>
      <w:bookmarkStart w:id="25843" w:name="_ETM_Q44_274939"/>
      <w:bookmarkEnd w:id="25843"/>
      <w:r>
        <w:rPr>
          <w:rFonts w:hint="cs"/>
          <w:rtl/>
        </w:rPr>
        <w:t xml:space="preserve">מדינת </w:t>
      </w:r>
      <w:bookmarkStart w:id="25844" w:name="_ETM_Q44_275630"/>
      <w:bookmarkEnd w:id="25844"/>
      <w:r>
        <w:rPr>
          <w:rFonts w:hint="cs"/>
          <w:rtl/>
        </w:rPr>
        <w:t xml:space="preserve">המוחלש </w:t>
      </w:r>
      <w:bookmarkStart w:id="25845" w:name="_ETM_Q44_276319"/>
      <w:bookmarkEnd w:id="25845"/>
      <w:r>
        <w:rPr>
          <w:rFonts w:hint="cs"/>
          <w:rtl/>
        </w:rPr>
        <w:t xml:space="preserve">היהודי, </w:t>
      </w:r>
      <w:bookmarkStart w:id="25846" w:name="_ETM_Q44_278299"/>
      <w:bookmarkEnd w:id="25846"/>
      <w:r>
        <w:rPr>
          <w:rFonts w:hint="cs"/>
          <w:rtl/>
        </w:rPr>
        <w:t>ש</w:t>
      </w:r>
      <w:bookmarkStart w:id="25847" w:name="_ETM_Q44_278569"/>
      <w:bookmarkEnd w:id="25847"/>
      <w:r>
        <w:rPr>
          <w:rFonts w:hint="cs"/>
          <w:rtl/>
        </w:rPr>
        <w:t xml:space="preserve">לא </w:t>
      </w:r>
      <w:bookmarkStart w:id="25848" w:name="_ETM_Q44_278780"/>
      <w:bookmarkEnd w:id="25848"/>
      <w:r>
        <w:rPr>
          <w:rFonts w:hint="cs"/>
          <w:rtl/>
        </w:rPr>
        <w:t xml:space="preserve">מוצא </w:t>
      </w:r>
      <w:bookmarkStart w:id="25849" w:name="_ETM_Q44_279350"/>
      <w:bookmarkEnd w:id="25849"/>
      <w:r>
        <w:rPr>
          <w:rFonts w:hint="cs"/>
          <w:rtl/>
        </w:rPr>
        <w:t xml:space="preserve">פת </w:t>
      </w:r>
      <w:bookmarkStart w:id="25850" w:name="_ETM_Q44_279740"/>
      <w:bookmarkEnd w:id="25850"/>
      <w:r>
        <w:rPr>
          <w:rFonts w:hint="cs"/>
          <w:rtl/>
        </w:rPr>
        <w:t xml:space="preserve">לחם </w:t>
      </w:r>
      <w:bookmarkStart w:id="25851" w:name="_ETM_Q44_280810"/>
      <w:bookmarkEnd w:id="25851"/>
      <w:r>
        <w:rPr>
          <w:rFonts w:hint="cs"/>
          <w:rtl/>
        </w:rPr>
        <w:t xml:space="preserve">לילדים </w:t>
      </w:r>
      <w:bookmarkStart w:id="25852" w:name="_ETM_Q44_281410"/>
      <w:bookmarkEnd w:id="25852"/>
      <w:r>
        <w:rPr>
          <w:rFonts w:hint="cs"/>
          <w:rtl/>
        </w:rPr>
        <w:t xml:space="preserve">שלו? האם </w:t>
      </w:r>
      <w:bookmarkStart w:id="25853" w:name="_ETM_Q44_282040"/>
      <w:bookmarkEnd w:id="25853"/>
      <w:r>
        <w:rPr>
          <w:rFonts w:hint="cs"/>
          <w:rtl/>
        </w:rPr>
        <w:t xml:space="preserve">זה </w:t>
      </w:r>
      <w:bookmarkStart w:id="25854" w:name="_ETM_Q44_282250"/>
      <w:bookmarkEnd w:id="25854"/>
      <w:r>
        <w:rPr>
          <w:rFonts w:hint="cs"/>
          <w:rtl/>
        </w:rPr>
        <w:t xml:space="preserve">בדיוק </w:t>
      </w:r>
      <w:bookmarkStart w:id="25855" w:name="_ETM_Q44_282790"/>
      <w:bookmarkEnd w:id="25855"/>
      <w:r>
        <w:rPr>
          <w:rFonts w:hint="cs"/>
          <w:rtl/>
        </w:rPr>
        <w:t xml:space="preserve">כך? </w:t>
      </w:r>
      <w:bookmarkStart w:id="25856" w:name="_ETM_Q44_283700"/>
      <w:bookmarkEnd w:id="25856"/>
      <w:r>
        <w:rPr>
          <w:rFonts w:hint="cs"/>
          <w:rtl/>
        </w:rPr>
        <w:t xml:space="preserve">או </w:t>
      </w:r>
      <w:bookmarkStart w:id="25857" w:name="_ETM_Q44_283880"/>
      <w:bookmarkEnd w:id="25857"/>
      <w:r>
        <w:rPr>
          <w:rFonts w:hint="cs"/>
          <w:rtl/>
        </w:rPr>
        <w:t xml:space="preserve">שזה </w:t>
      </w:r>
      <w:bookmarkStart w:id="25858" w:name="_ETM_Q44_284090"/>
      <w:bookmarkStart w:id="25859" w:name="_ETM_Q44_284360"/>
      <w:bookmarkEnd w:id="25858"/>
      <w:bookmarkEnd w:id="25859"/>
      <w:r>
        <w:rPr>
          <w:rFonts w:hint="cs"/>
          <w:rtl/>
        </w:rPr>
        <w:t xml:space="preserve">חלק </w:t>
      </w:r>
      <w:bookmarkStart w:id="25860" w:name="_ETM_Q44_285569"/>
      <w:bookmarkEnd w:id="25860"/>
      <w:r>
        <w:rPr>
          <w:rFonts w:hint="cs"/>
          <w:rtl/>
        </w:rPr>
        <w:t xml:space="preserve">מהלאומיות, </w:t>
      </w:r>
      <w:bookmarkStart w:id="25861" w:name="_ETM_Q44_287700"/>
      <w:bookmarkEnd w:id="25861"/>
      <w:r>
        <w:rPr>
          <w:rFonts w:hint="cs"/>
          <w:rtl/>
        </w:rPr>
        <w:t xml:space="preserve">שבאה </w:t>
      </w:r>
      <w:bookmarkStart w:id="25862" w:name="_ETM_Q44_288599"/>
      <w:bookmarkEnd w:id="25862"/>
      <w:r>
        <w:rPr>
          <w:rFonts w:hint="cs"/>
          <w:rtl/>
        </w:rPr>
        <w:t xml:space="preserve">לעשות </w:t>
      </w:r>
      <w:bookmarkStart w:id="25863" w:name="_ETM_Q44_289139"/>
      <w:bookmarkEnd w:id="25863"/>
      <w:r>
        <w:rPr>
          <w:rFonts w:hint="cs"/>
          <w:rtl/>
        </w:rPr>
        <w:t xml:space="preserve">הסחת </w:t>
      </w:r>
      <w:bookmarkStart w:id="25864" w:name="_ETM_Q44_289739"/>
      <w:bookmarkEnd w:id="25864"/>
      <w:r>
        <w:rPr>
          <w:rFonts w:hint="cs"/>
          <w:rtl/>
        </w:rPr>
        <w:t xml:space="preserve">דעת </w:t>
      </w:r>
      <w:bookmarkStart w:id="25865" w:name="_ETM_Q44_290799"/>
      <w:bookmarkEnd w:id="25865"/>
      <w:r>
        <w:rPr>
          <w:rFonts w:hint="cs"/>
          <w:rtl/>
        </w:rPr>
        <w:t xml:space="preserve">מהסוגיות העיקריות למקום </w:t>
      </w:r>
      <w:bookmarkStart w:id="25866" w:name="_ETM_Q44_287984"/>
      <w:bookmarkEnd w:id="25866"/>
      <w:r>
        <w:rPr>
          <w:rFonts w:hint="cs"/>
          <w:rtl/>
        </w:rPr>
        <w:t xml:space="preserve">לאומני, במקום להתבונן באמת </w:t>
      </w:r>
      <w:bookmarkStart w:id="25867" w:name="_ETM_Q44_291130"/>
      <w:bookmarkStart w:id="25868" w:name="_ETM_Q44_291460"/>
      <w:bookmarkStart w:id="25869" w:name="_ETM_Q44_291729"/>
      <w:bookmarkStart w:id="25870" w:name="_ETM_Q44_292869"/>
      <w:bookmarkStart w:id="25871" w:name="_ETM_Q44_293560"/>
      <w:bookmarkStart w:id="25872" w:name="_ETM_Q44_293799"/>
      <w:bookmarkStart w:id="25873" w:name="_ETM_Q44_294670"/>
      <w:bookmarkStart w:id="25874" w:name="_ETM_Q44_295689"/>
      <w:bookmarkStart w:id="25875" w:name="_ETM_Q44_296140"/>
      <w:bookmarkStart w:id="25876" w:name="_ETM_Q44_296710"/>
      <w:bookmarkStart w:id="25877" w:name="_ETM_Q44_297729"/>
      <w:bookmarkEnd w:id="25867"/>
      <w:bookmarkEnd w:id="25868"/>
      <w:bookmarkEnd w:id="25869"/>
      <w:bookmarkEnd w:id="25870"/>
      <w:bookmarkEnd w:id="25871"/>
      <w:bookmarkEnd w:id="25872"/>
      <w:bookmarkEnd w:id="25873"/>
      <w:bookmarkEnd w:id="25874"/>
      <w:bookmarkEnd w:id="25875"/>
      <w:bookmarkEnd w:id="25876"/>
      <w:bookmarkEnd w:id="25877"/>
      <w:r>
        <w:rPr>
          <w:rFonts w:hint="cs"/>
          <w:rtl/>
        </w:rPr>
        <w:t xml:space="preserve">על </w:t>
      </w:r>
      <w:bookmarkStart w:id="25878" w:name="_ETM_Q44_297969"/>
      <w:bookmarkEnd w:id="25878"/>
      <w:r>
        <w:rPr>
          <w:rFonts w:hint="cs"/>
          <w:rtl/>
        </w:rPr>
        <w:t xml:space="preserve">המציאות. </w:t>
      </w:r>
      <w:bookmarkStart w:id="25879" w:name="_ETM_Q44_298899"/>
      <w:bookmarkEnd w:id="25879"/>
    </w:p>
    <w:p w:rsidR="00BB59CD" w:rsidRDefault="00BB59CD" w:rsidP="00BB59CD">
      <w:pPr>
        <w:rPr>
          <w:rtl/>
        </w:rPr>
      </w:pPr>
      <w:bookmarkStart w:id="25880" w:name="_ETM_Q44_298734"/>
      <w:bookmarkStart w:id="25881" w:name="_ETM_Q44_298818"/>
      <w:bookmarkEnd w:id="25880"/>
      <w:bookmarkEnd w:id="25881"/>
    </w:p>
    <w:p w:rsidR="00BB59CD" w:rsidRDefault="00BB59CD" w:rsidP="00BB59CD">
      <w:pPr>
        <w:rPr>
          <w:rtl/>
        </w:rPr>
      </w:pPr>
      <w:bookmarkStart w:id="25882" w:name="_ETM_Q44_298925"/>
      <w:bookmarkStart w:id="25883" w:name="_ETM_Q44_299003"/>
      <w:bookmarkEnd w:id="25882"/>
      <w:bookmarkEnd w:id="25883"/>
      <w:r>
        <w:rPr>
          <w:rFonts w:hint="cs"/>
          <w:rtl/>
        </w:rPr>
        <w:t xml:space="preserve">בפועל, זו מדינה ציונית </w:t>
      </w:r>
      <w:bookmarkStart w:id="25884" w:name="_ETM_Q44_299500"/>
      <w:bookmarkStart w:id="25885" w:name="_ETM_Q44_300009"/>
      <w:bookmarkStart w:id="25886" w:name="_ETM_Q44_300759"/>
      <w:bookmarkStart w:id="25887" w:name="_ETM_Q44_302060"/>
      <w:bookmarkStart w:id="25888" w:name="_ETM_Q44_302329"/>
      <w:bookmarkEnd w:id="25884"/>
      <w:bookmarkEnd w:id="25885"/>
      <w:bookmarkEnd w:id="25886"/>
      <w:bookmarkEnd w:id="25887"/>
      <w:bookmarkEnd w:id="25888"/>
      <w:r>
        <w:rPr>
          <w:rFonts w:hint="cs"/>
          <w:rtl/>
        </w:rPr>
        <w:t xml:space="preserve">עם מרחב </w:t>
      </w:r>
      <w:bookmarkStart w:id="25889" w:name="_ETM_Q44_302810"/>
      <w:bookmarkEnd w:id="25889"/>
      <w:r>
        <w:rPr>
          <w:rFonts w:hint="cs"/>
          <w:rtl/>
        </w:rPr>
        <w:t xml:space="preserve">קטן </w:t>
      </w:r>
      <w:bookmarkStart w:id="25890" w:name="_ETM_Q44_303929"/>
      <w:bookmarkEnd w:id="25890"/>
      <w:r>
        <w:rPr>
          <w:rFonts w:hint="cs"/>
          <w:rtl/>
        </w:rPr>
        <w:t xml:space="preserve">דמוקרטי. </w:t>
      </w:r>
      <w:bookmarkStart w:id="25891" w:name="_ETM_Q44_305230"/>
      <w:bookmarkEnd w:id="25891"/>
      <w:r>
        <w:rPr>
          <w:rFonts w:hint="cs"/>
          <w:rtl/>
        </w:rPr>
        <w:t xml:space="preserve">אני </w:t>
      </w:r>
      <w:bookmarkStart w:id="25892" w:name="_ETM_Q44_305680"/>
      <w:bookmarkEnd w:id="25892"/>
      <w:r>
        <w:rPr>
          <w:rFonts w:hint="cs"/>
          <w:rtl/>
        </w:rPr>
        <w:t xml:space="preserve">רוצה </w:t>
      </w:r>
      <w:bookmarkStart w:id="25893" w:name="_ETM_Q44_306010"/>
      <w:bookmarkEnd w:id="25893"/>
      <w:r>
        <w:rPr>
          <w:rFonts w:hint="cs"/>
          <w:rtl/>
        </w:rPr>
        <w:t xml:space="preserve">לשאול: </w:t>
      </w:r>
      <w:bookmarkStart w:id="25894" w:name="_ETM_Q44_307000"/>
      <w:bookmarkEnd w:id="25894"/>
      <w:r>
        <w:rPr>
          <w:rFonts w:hint="cs"/>
          <w:rtl/>
        </w:rPr>
        <w:t xml:space="preserve">האם </w:t>
      </w:r>
      <w:bookmarkStart w:id="25895" w:name="_ETM_Q44_307390"/>
      <w:bookmarkEnd w:id="25895"/>
      <w:r>
        <w:rPr>
          <w:rFonts w:hint="cs"/>
          <w:rtl/>
        </w:rPr>
        <w:t xml:space="preserve">האינטרס </w:t>
      </w:r>
      <w:bookmarkStart w:id="25896" w:name="_ETM_Q44_307990"/>
      <w:bookmarkEnd w:id="25896"/>
      <w:r>
        <w:rPr>
          <w:rFonts w:hint="cs"/>
          <w:rtl/>
        </w:rPr>
        <w:t xml:space="preserve">שלנו </w:t>
      </w:r>
      <w:bookmarkStart w:id="25897" w:name="_ETM_Q44_308919"/>
      <w:bookmarkEnd w:id="25897"/>
      <w:r>
        <w:rPr>
          <w:rFonts w:hint="cs"/>
          <w:rtl/>
        </w:rPr>
        <w:t xml:space="preserve">זה </w:t>
      </w:r>
      <w:bookmarkStart w:id="25898" w:name="_ETM_Q44_309250"/>
      <w:bookmarkEnd w:id="25898"/>
      <w:r>
        <w:rPr>
          <w:rFonts w:hint="cs"/>
          <w:rtl/>
        </w:rPr>
        <w:t xml:space="preserve">לצמצם </w:t>
      </w:r>
      <w:bookmarkStart w:id="25899" w:name="_ETM_Q44_309970"/>
      <w:bookmarkEnd w:id="25899"/>
      <w:r>
        <w:rPr>
          <w:rFonts w:hint="cs"/>
          <w:rtl/>
        </w:rPr>
        <w:t>לחלוטין</w:t>
      </w:r>
      <w:r w:rsidR="000E79D7">
        <w:rPr>
          <w:rFonts w:hint="cs"/>
          <w:rtl/>
        </w:rPr>
        <w:t>,</w:t>
      </w:r>
      <w:r>
        <w:rPr>
          <w:rFonts w:hint="cs"/>
          <w:rtl/>
        </w:rPr>
        <w:t xml:space="preserve"> </w:t>
      </w:r>
      <w:bookmarkStart w:id="25900" w:name="_ETM_Q44_310720"/>
      <w:bookmarkEnd w:id="25900"/>
      <w:r>
        <w:rPr>
          <w:rFonts w:hint="cs"/>
          <w:rtl/>
        </w:rPr>
        <w:t xml:space="preserve">עד </w:t>
      </w:r>
      <w:bookmarkStart w:id="25901" w:name="_ETM_Q44_313475"/>
      <w:bookmarkEnd w:id="25901"/>
      <w:r>
        <w:rPr>
          <w:rFonts w:hint="cs"/>
          <w:rtl/>
        </w:rPr>
        <w:t>כדי למחוק</w:t>
      </w:r>
      <w:r w:rsidR="000E79D7">
        <w:rPr>
          <w:rFonts w:hint="cs"/>
          <w:rtl/>
        </w:rPr>
        <w:t>,</w:t>
      </w:r>
      <w:r>
        <w:rPr>
          <w:rFonts w:hint="cs"/>
          <w:rtl/>
        </w:rPr>
        <w:t xml:space="preserve"> </w:t>
      </w:r>
      <w:bookmarkStart w:id="25902" w:name="_ETM_Q44_311169"/>
      <w:bookmarkStart w:id="25903" w:name="_ETM_Q44_311770"/>
      <w:bookmarkStart w:id="25904" w:name="_ETM_Q44_311980"/>
      <w:bookmarkEnd w:id="25902"/>
      <w:bookmarkEnd w:id="25903"/>
      <w:bookmarkEnd w:id="25904"/>
      <w:r>
        <w:rPr>
          <w:rFonts w:hint="cs"/>
          <w:rtl/>
        </w:rPr>
        <w:t xml:space="preserve">המרחב </w:t>
      </w:r>
      <w:bookmarkStart w:id="25905" w:name="_ETM_Q44_312370"/>
      <w:bookmarkEnd w:id="25905"/>
      <w:r>
        <w:rPr>
          <w:rFonts w:hint="cs"/>
          <w:rtl/>
        </w:rPr>
        <w:t xml:space="preserve">הדמוקרטי, </w:t>
      </w:r>
      <w:bookmarkStart w:id="25906" w:name="_ETM_Q44_313740"/>
      <w:bookmarkEnd w:id="25906"/>
      <w:r>
        <w:rPr>
          <w:rFonts w:hint="cs"/>
          <w:rtl/>
        </w:rPr>
        <w:t xml:space="preserve">או </w:t>
      </w:r>
      <w:bookmarkStart w:id="25907" w:name="_ETM_Q44_313950"/>
      <w:bookmarkEnd w:id="25907"/>
      <w:r>
        <w:rPr>
          <w:rFonts w:hint="cs"/>
          <w:rtl/>
        </w:rPr>
        <w:t xml:space="preserve">שהמאבק </w:t>
      </w:r>
      <w:bookmarkStart w:id="25908" w:name="_ETM_Q44_314730"/>
      <w:bookmarkEnd w:id="25908"/>
      <w:r>
        <w:rPr>
          <w:rFonts w:hint="cs"/>
          <w:rtl/>
        </w:rPr>
        <w:t xml:space="preserve">ההדרגתי </w:t>
      </w:r>
      <w:bookmarkStart w:id="25909" w:name="_ETM_Q44_315510"/>
      <w:bookmarkEnd w:id="25909"/>
      <w:r>
        <w:rPr>
          <w:rFonts w:hint="cs"/>
          <w:rtl/>
        </w:rPr>
        <w:t xml:space="preserve">שלנו </w:t>
      </w:r>
      <w:bookmarkStart w:id="25910" w:name="_ETM_Q44_316590"/>
      <w:bookmarkEnd w:id="25910"/>
      <w:r>
        <w:rPr>
          <w:rFonts w:hint="cs"/>
          <w:rtl/>
        </w:rPr>
        <w:t xml:space="preserve">זה </w:t>
      </w:r>
      <w:bookmarkStart w:id="25911" w:name="_ETM_Q44_316889"/>
      <w:bookmarkEnd w:id="25911"/>
      <w:r>
        <w:rPr>
          <w:rFonts w:hint="cs"/>
          <w:rtl/>
        </w:rPr>
        <w:t xml:space="preserve">להרחיב </w:t>
      </w:r>
      <w:bookmarkStart w:id="25912" w:name="_ETM_Q44_317639"/>
      <w:bookmarkEnd w:id="25912"/>
      <w:r>
        <w:rPr>
          <w:rFonts w:hint="cs"/>
          <w:rtl/>
        </w:rPr>
        <w:t xml:space="preserve">את </w:t>
      </w:r>
      <w:bookmarkStart w:id="25913" w:name="_ETM_Q44_317910"/>
      <w:bookmarkEnd w:id="25913"/>
      <w:r>
        <w:rPr>
          <w:rFonts w:hint="cs"/>
          <w:rtl/>
        </w:rPr>
        <w:t xml:space="preserve">המרחב </w:t>
      </w:r>
      <w:bookmarkStart w:id="25914" w:name="_ETM_Q44_319020"/>
      <w:bookmarkEnd w:id="25914"/>
      <w:r>
        <w:rPr>
          <w:rFonts w:hint="cs"/>
          <w:rtl/>
        </w:rPr>
        <w:t xml:space="preserve">הדמוקרטי? </w:t>
      </w:r>
      <w:bookmarkStart w:id="25915" w:name="_ETM_Q44_320160"/>
      <w:bookmarkEnd w:id="25915"/>
      <w:r>
        <w:rPr>
          <w:rFonts w:hint="cs"/>
          <w:rtl/>
        </w:rPr>
        <w:t xml:space="preserve">אני </w:t>
      </w:r>
      <w:bookmarkStart w:id="25916" w:name="_ETM_Q44_320490"/>
      <w:bookmarkEnd w:id="25916"/>
      <w:r>
        <w:rPr>
          <w:rFonts w:hint="cs"/>
          <w:rtl/>
        </w:rPr>
        <w:t xml:space="preserve">חושב </w:t>
      </w:r>
      <w:bookmarkStart w:id="25917" w:name="_ETM_Q44_320880"/>
      <w:bookmarkEnd w:id="25917"/>
      <w:r>
        <w:rPr>
          <w:rFonts w:hint="cs"/>
          <w:rtl/>
        </w:rPr>
        <w:t xml:space="preserve">שהאינטרס </w:t>
      </w:r>
      <w:bookmarkStart w:id="25918" w:name="_ETM_Q44_321480"/>
      <w:bookmarkEnd w:id="25918"/>
      <w:r>
        <w:rPr>
          <w:rFonts w:hint="cs"/>
          <w:rtl/>
        </w:rPr>
        <w:t xml:space="preserve">שלנו </w:t>
      </w:r>
      <w:bookmarkStart w:id="25919" w:name="_ETM_Q44_322169"/>
      <w:bookmarkEnd w:id="25919"/>
      <w:r>
        <w:rPr>
          <w:rFonts w:hint="cs"/>
          <w:rtl/>
        </w:rPr>
        <w:t xml:space="preserve">הוא לא </w:t>
      </w:r>
      <w:bookmarkStart w:id="25920" w:name="_ETM_Q44_322530"/>
      <w:bookmarkEnd w:id="25920"/>
      <w:r>
        <w:rPr>
          <w:rFonts w:hint="cs"/>
          <w:rtl/>
        </w:rPr>
        <w:t xml:space="preserve">לצמצם </w:t>
      </w:r>
      <w:bookmarkStart w:id="25921" w:name="_ETM_Q44_323760"/>
      <w:bookmarkEnd w:id="25921"/>
      <w:r>
        <w:rPr>
          <w:rFonts w:hint="cs"/>
          <w:rtl/>
        </w:rPr>
        <w:t xml:space="preserve">עוד </w:t>
      </w:r>
      <w:bookmarkStart w:id="25922" w:name="_ETM_Q44_324030"/>
      <w:bookmarkEnd w:id="25922"/>
      <w:r>
        <w:rPr>
          <w:rFonts w:hint="cs"/>
          <w:rtl/>
        </w:rPr>
        <w:t xml:space="preserve">יותר </w:t>
      </w:r>
      <w:bookmarkStart w:id="25923" w:name="_ETM_Q44_324600"/>
      <w:bookmarkEnd w:id="25923"/>
      <w:r>
        <w:rPr>
          <w:rFonts w:hint="cs"/>
          <w:rtl/>
        </w:rPr>
        <w:t xml:space="preserve">את </w:t>
      </w:r>
      <w:bookmarkStart w:id="25924" w:name="_ETM_Q44_324810"/>
      <w:bookmarkEnd w:id="25924"/>
      <w:r>
        <w:rPr>
          <w:rFonts w:hint="cs"/>
          <w:rtl/>
        </w:rPr>
        <w:t xml:space="preserve">המרחב </w:t>
      </w:r>
      <w:bookmarkStart w:id="25925" w:name="_ETM_Q44_325320"/>
      <w:bookmarkEnd w:id="25925"/>
      <w:r>
        <w:rPr>
          <w:rFonts w:hint="cs"/>
          <w:rtl/>
        </w:rPr>
        <w:t xml:space="preserve">הדמוקרטי. </w:t>
      </w:r>
      <w:bookmarkStart w:id="25926" w:name="_ETM_Q44_326490"/>
      <w:bookmarkEnd w:id="25926"/>
      <w:r>
        <w:rPr>
          <w:rFonts w:hint="cs"/>
          <w:rtl/>
        </w:rPr>
        <w:t xml:space="preserve">לכן </w:t>
      </w:r>
      <w:bookmarkStart w:id="25927" w:name="_ETM_Q44_327090"/>
      <w:bookmarkEnd w:id="25927"/>
      <w:r>
        <w:rPr>
          <w:rFonts w:hint="cs"/>
          <w:rtl/>
        </w:rPr>
        <w:t xml:space="preserve">אנחנו </w:t>
      </w:r>
      <w:bookmarkStart w:id="25928" w:name="_ETM_Q44_327660"/>
      <w:bookmarkEnd w:id="25928"/>
      <w:r>
        <w:rPr>
          <w:rFonts w:hint="cs"/>
          <w:rtl/>
        </w:rPr>
        <w:t xml:space="preserve">עומדים </w:t>
      </w:r>
      <w:bookmarkStart w:id="25929" w:name="_ETM_Q44_328139"/>
      <w:bookmarkEnd w:id="25929"/>
      <w:r>
        <w:rPr>
          <w:rFonts w:hint="cs"/>
          <w:rtl/>
        </w:rPr>
        <w:t xml:space="preserve">איתנים </w:t>
      </w:r>
      <w:bookmarkStart w:id="25930" w:name="_ETM_Q44_329130"/>
      <w:bookmarkEnd w:id="25930"/>
      <w:r>
        <w:rPr>
          <w:rFonts w:hint="cs"/>
          <w:rtl/>
        </w:rPr>
        <w:t xml:space="preserve">נגד </w:t>
      </w:r>
      <w:bookmarkStart w:id="25931" w:name="_ETM_Q44_329610"/>
      <w:bookmarkEnd w:id="25931"/>
      <w:r>
        <w:rPr>
          <w:rFonts w:hint="cs"/>
          <w:rtl/>
        </w:rPr>
        <w:t xml:space="preserve">עילת הסבירות. </w:t>
      </w:r>
      <w:bookmarkStart w:id="25932" w:name="_ETM_Q44_330330"/>
      <w:bookmarkStart w:id="25933" w:name="_ETM_Q44_331999"/>
      <w:bookmarkEnd w:id="25932"/>
      <w:bookmarkEnd w:id="25933"/>
    </w:p>
    <w:p w:rsidR="00BB59CD" w:rsidRDefault="00BB59CD" w:rsidP="00BB59CD">
      <w:pPr>
        <w:rPr>
          <w:rtl/>
        </w:rPr>
      </w:pPr>
      <w:bookmarkStart w:id="25934" w:name="_ETM_Q44_338030"/>
      <w:bookmarkEnd w:id="25934"/>
    </w:p>
    <w:p w:rsidR="00BB59CD" w:rsidRDefault="00BB59CD" w:rsidP="000E79D7">
      <w:pPr>
        <w:rPr>
          <w:rtl/>
        </w:rPr>
      </w:pPr>
      <w:bookmarkStart w:id="25935" w:name="_ETM_Q44_338236"/>
      <w:bookmarkStart w:id="25936" w:name="_ETM_Q44_338328"/>
      <w:bookmarkStart w:id="25937" w:name="_ETM_Q44_338424"/>
      <w:bookmarkEnd w:id="25935"/>
      <w:bookmarkEnd w:id="25936"/>
      <w:bookmarkEnd w:id="25937"/>
      <w:r>
        <w:rPr>
          <w:rFonts w:hint="cs"/>
          <w:rtl/>
        </w:rPr>
        <w:t xml:space="preserve">חשוב </w:t>
      </w:r>
      <w:bookmarkStart w:id="25938" w:name="_ETM_Q44_332480"/>
      <w:bookmarkEnd w:id="25938"/>
      <w:r>
        <w:rPr>
          <w:rFonts w:hint="cs"/>
          <w:rtl/>
        </w:rPr>
        <w:t xml:space="preserve">לי </w:t>
      </w:r>
      <w:bookmarkStart w:id="25939" w:name="_ETM_Q44_332599"/>
      <w:bookmarkEnd w:id="25939"/>
      <w:r>
        <w:rPr>
          <w:rFonts w:hint="cs"/>
          <w:rtl/>
        </w:rPr>
        <w:t xml:space="preserve">להגיד </w:t>
      </w:r>
      <w:bookmarkStart w:id="25940" w:name="_ETM_Q44_335950"/>
      <w:bookmarkEnd w:id="25940"/>
      <w:r>
        <w:rPr>
          <w:rFonts w:hint="cs"/>
          <w:rtl/>
        </w:rPr>
        <w:t xml:space="preserve">שאפילו </w:t>
      </w:r>
      <w:bookmarkStart w:id="25941" w:name="_ETM_Q44_336459"/>
      <w:bookmarkEnd w:id="25941"/>
      <w:r>
        <w:rPr>
          <w:rFonts w:hint="cs"/>
          <w:rtl/>
        </w:rPr>
        <w:t xml:space="preserve">אם </w:t>
      </w:r>
      <w:bookmarkStart w:id="25942" w:name="_ETM_Q44_336549"/>
      <w:bookmarkEnd w:id="25942"/>
      <w:r>
        <w:rPr>
          <w:rFonts w:hint="cs"/>
          <w:rtl/>
        </w:rPr>
        <w:t xml:space="preserve">היא </w:t>
      </w:r>
      <w:bookmarkStart w:id="25943" w:name="_ETM_Q44_336669"/>
      <w:bookmarkEnd w:id="25943"/>
      <w:r>
        <w:rPr>
          <w:rFonts w:hint="cs"/>
          <w:rtl/>
        </w:rPr>
        <w:t xml:space="preserve">מוגדרת </w:t>
      </w:r>
      <w:bookmarkStart w:id="25944" w:name="_ETM_Q44_337239"/>
      <w:bookmarkEnd w:id="25944"/>
      <w:r>
        <w:rPr>
          <w:rFonts w:hint="cs"/>
          <w:rtl/>
        </w:rPr>
        <w:t xml:space="preserve">כמדינה </w:t>
      </w:r>
      <w:bookmarkStart w:id="25945" w:name="_ETM_Q44_337719"/>
      <w:bookmarkEnd w:id="25945"/>
      <w:r>
        <w:rPr>
          <w:rFonts w:hint="cs"/>
          <w:rtl/>
        </w:rPr>
        <w:t xml:space="preserve">יהודית </w:t>
      </w:r>
      <w:bookmarkStart w:id="25946" w:name="_ETM_Q44_338139"/>
      <w:bookmarkEnd w:id="25946"/>
      <w:r>
        <w:rPr>
          <w:rFonts w:hint="cs"/>
          <w:rtl/>
        </w:rPr>
        <w:t xml:space="preserve">ודמוקרטית, </w:t>
      </w:r>
      <w:bookmarkStart w:id="25947" w:name="_ETM_Q44_339069"/>
      <w:bookmarkEnd w:id="25947"/>
      <w:r>
        <w:rPr>
          <w:rFonts w:hint="cs"/>
          <w:rtl/>
        </w:rPr>
        <w:t xml:space="preserve">האם </w:t>
      </w:r>
      <w:bookmarkStart w:id="25948" w:name="_ETM_Q44_339519"/>
      <w:bookmarkEnd w:id="25948"/>
      <w:r>
        <w:rPr>
          <w:rFonts w:hint="cs"/>
          <w:rtl/>
        </w:rPr>
        <w:t xml:space="preserve">האינטרס </w:t>
      </w:r>
      <w:bookmarkStart w:id="25949" w:name="_ETM_Q44_340150"/>
      <w:bookmarkEnd w:id="25949"/>
      <w:r>
        <w:rPr>
          <w:rFonts w:hint="cs"/>
          <w:rtl/>
        </w:rPr>
        <w:t xml:space="preserve">שלנו </w:t>
      </w:r>
      <w:bookmarkStart w:id="25950" w:name="_ETM_Q44_340629"/>
      <w:bookmarkEnd w:id="25950"/>
      <w:r>
        <w:rPr>
          <w:rFonts w:hint="cs"/>
          <w:rtl/>
        </w:rPr>
        <w:t xml:space="preserve">למחוק </w:t>
      </w:r>
      <w:bookmarkStart w:id="25951" w:name="_ETM_Q44_341799"/>
      <w:bookmarkEnd w:id="25951"/>
      <w:r>
        <w:rPr>
          <w:rFonts w:hint="cs"/>
          <w:rtl/>
        </w:rPr>
        <w:t xml:space="preserve">את </w:t>
      </w:r>
      <w:bookmarkStart w:id="25952" w:name="_ETM_Q44_342129"/>
      <w:bookmarkEnd w:id="25952"/>
      <w:r>
        <w:rPr>
          <w:rFonts w:hint="cs"/>
          <w:rtl/>
        </w:rPr>
        <w:t>ה</w:t>
      </w:r>
      <w:bookmarkStart w:id="25953" w:name="_ETM_Q44_343110"/>
      <w:bookmarkStart w:id="25954" w:name="_ETM_Q44_343349"/>
      <w:bookmarkEnd w:id="25953"/>
      <w:bookmarkEnd w:id="25954"/>
      <w:r>
        <w:rPr>
          <w:rFonts w:hint="cs"/>
          <w:rtl/>
        </w:rPr>
        <w:t xml:space="preserve">מרחב </w:t>
      </w:r>
      <w:bookmarkStart w:id="25955" w:name="_ETM_Q44_343830"/>
      <w:bookmarkEnd w:id="25955"/>
      <w:r>
        <w:rPr>
          <w:rFonts w:hint="cs"/>
          <w:rtl/>
        </w:rPr>
        <w:t xml:space="preserve">הדמוקרטי </w:t>
      </w:r>
      <w:bookmarkStart w:id="25956" w:name="_ETM_Q44_344639"/>
      <w:bookmarkEnd w:id="25956"/>
      <w:r>
        <w:rPr>
          <w:rFonts w:hint="cs"/>
          <w:rtl/>
        </w:rPr>
        <w:t xml:space="preserve">ולהישאר רק יהודית, או להיאבק עד למקום </w:t>
      </w:r>
      <w:bookmarkStart w:id="25957" w:name="_ETM_Q44_351814"/>
      <w:bookmarkEnd w:id="25957"/>
      <w:r>
        <w:rPr>
          <w:rFonts w:hint="cs"/>
          <w:rtl/>
        </w:rPr>
        <w:t xml:space="preserve">שתהיה בו מדינה אזרחית, שמכירה </w:t>
      </w:r>
      <w:bookmarkStart w:id="25958" w:name="_ETM_Q44_345239"/>
      <w:bookmarkStart w:id="25959" w:name="_ETM_Q44_346080"/>
      <w:bookmarkStart w:id="25960" w:name="_ETM_Q44_347280"/>
      <w:bookmarkStart w:id="25961" w:name="_ETM_Q44_347459"/>
      <w:bookmarkStart w:id="25962" w:name="_ETM_Q44_347849"/>
      <w:bookmarkStart w:id="25963" w:name="_ETM_Q44_348889"/>
      <w:bookmarkStart w:id="25964" w:name="_ETM_Q44_349459"/>
      <w:bookmarkStart w:id="25965" w:name="_ETM_Q44_350060"/>
      <w:bookmarkStart w:id="25966" w:name="_ETM_Q44_350720"/>
      <w:bookmarkStart w:id="25967" w:name="_ETM_Q44_350959"/>
      <w:bookmarkStart w:id="25968" w:name="_ETM_Q44_353159"/>
      <w:bookmarkStart w:id="25969" w:name="_ETM_Q44_353819"/>
      <w:bookmarkStart w:id="25970" w:name="_ETM_Q44_355189"/>
      <w:bookmarkStart w:id="25971" w:name="_ETM_Q44_355790"/>
      <w:bookmarkEnd w:id="25958"/>
      <w:bookmarkEnd w:id="25959"/>
      <w:bookmarkEnd w:id="25960"/>
      <w:bookmarkEnd w:id="25961"/>
      <w:bookmarkEnd w:id="25962"/>
      <w:bookmarkEnd w:id="25963"/>
      <w:bookmarkEnd w:id="25964"/>
      <w:bookmarkEnd w:id="25965"/>
      <w:bookmarkEnd w:id="25966"/>
      <w:bookmarkEnd w:id="25967"/>
      <w:bookmarkEnd w:id="25968"/>
      <w:bookmarkEnd w:id="25969"/>
      <w:bookmarkEnd w:id="25970"/>
      <w:bookmarkEnd w:id="25971"/>
      <w:r>
        <w:rPr>
          <w:rFonts w:hint="cs"/>
          <w:rtl/>
        </w:rPr>
        <w:t xml:space="preserve">בזכויות </w:t>
      </w:r>
      <w:bookmarkStart w:id="25972" w:name="_ETM_Q44_356239"/>
      <w:bookmarkEnd w:id="25972"/>
      <w:r>
        <w:rPr>
          <w:rFonts w:hint="cs"/>
          <w:rtl/>
        </w:rPr>
        <w:t xml:space="preserve">הלאומיות </w:t>
      </w:r>
      <w:bookmarkStart w:id="25973" w:name="_ETM_Q44_356959"/>
      <w:bookmarkEnd w:id="25973"/>
      <w:r>
        <w:rPr>
          <w:rFonts w:hint="cs"/>
          <w:rtl/>
        </w:rPr>
        <w:t xml:space="preserve">והאזרחיות </w:t>
      </w:r>
      <w:bookmarkStart w:id="25974" w:name="_ETM_Q44_358099"/>
      <w:bookmarkEnd w:id="25974"/>
      <w:r>
        <w:rPr>
          <w:rFonts w:hint="cs"/>
          <w:rtl/>
        </w:rPr>
        <w:t xml:space="preserve">של </w:t>
      </w:r>
      <w:bookmarkStart w:id="25975" w:name="_ETM_Q44_358400"/>
      <w:bookmarkEnd w:id="25975"/>
      <w:r>
        <w:rPr>
          <w:rFonts w:hint="cs"/>
          <w:rtl/>
        </w:rPr>
        <w:t xml:space="preserve">שני </w:t>
      </w:r>
      <w:bookmarkStart w:id="25976" w:name="_ETM_Q44_358699"/>
      <w:bookmarkEnd w:id="25976"/>
      <w:r>
        <w:rPr>
          <w:rFonts w:hint="cs"/>
          <w:rtl/>
        </w:rPr>
        <w:t xml:space="preserve">העמים </w:t>
      </w:r>
      <w:bookmarkStart w:id="25977" w:name="_ETM_Q44_359090"/>
      <w:bookmarkEnd w:id="25977"/>
      <w:r>
        <w:rPr>
          <w:rFonts w:hint="cs"/>
          <w:rtl/>
        </w:rPr>
        <w:t xml:space="preserve">ושל </w:t>
      </w:r>
      <w:bookmarkStart w:id="25978" w:name="_ETM_Q44_359389"/>
      <w:bookmarkEnd w:id="25978"/>
      <w:r>
        <w:rPr>
          <w:rFonts w:hint="cs"/>
          <w:rtl/>
        </w:rPr>
        <w:t xml:space="preserve">כל </w:t>
      </w:r>
      <w:bookmarkStart w:id="25979" w:name="_ETM_Q44_359599"/>
      <w:bookmarkEnd w:id="25979"/>
      <w:r>
        <w:rPr>
          <w:rFonts w:hint="cs"/>
          <w:rtl/>
        </w:rPr>
        <w:t>האזרחים?</w:t>
      </w:r>
      <w:bookmarkStart w:id="25980" w:name="_ETM_Q44_360750"/>
      <w:bookmarkStart w:id="25981" w:name="_ETM_Q44_358045"/>
      <w:bookmarkStart w:id="25982" w:name="_ETM_Q44_358113"/>
      <w:bookmarkEnd w:id="25980"/>
      <w:bookmarkEnd w:id="25981"/>
      <w:bookmarkEnd w:id="25982"/>
      <w:r>
        <w:rPr>
          <w:rFonts w:hint="cs"/>
          <w:rtl/>
        </w:rPr>
        <w:t xml:space="preserve"> </w:t>
      </w:r>
      <w:bookmarkStart w:id="25983" w:name="_ETM_Q44_358237"/>
      <w:bookmarkStart w:id="25984" w:name="_ETM_Q44_358325"/>
      <w:bookmarkStart w:id="25985" w:name="_ETM_Q44_342199"/>
      <w:bookmarkStart w:id="25986" w:name="_ETM_Q44_342239"/>
      <w:bookmarkStart w:id="25987" w:name="_ETM_Q44_342327"/>
      <w:bookmarkStart w:id="25988" w:name="_ETM_Q44_342371"/>
      <w:bookmarkEnd w:id="25983"/>
      <w:bookmarkEnd w:id="25984"/>
      <w:bookmarkEnd w:id="25985"/>
      <w:bookmarkEnd w:id="25986"/>
      <w:bookmarkEnd w:id="25987"/>
      <w:bookmarkEnd w:id="25988"/>
      <w:r>
        <w:rPr>
          <w:rFonts w:hint="cs"/>
          <w:rtl/>
        </w:rPr>
        <w:t xml:space="preserve">לכן </w:t>
      </w:r>
      <w:bookmarkStart w:id="25989" w:name="_ETM_Q44_361230"/>
      <w:bookmarkEnd w:id="25989"/>
      <w:r>
        <w:rPr>
          <w:rFonts w:hint="cs"/>
          <w:rtl/>
        </w:rPr>
        <w:t xml:space="preserve">גם </w:t>
      </w:r>
      <w:bookmarkStart w:id="25990" w:name="_ETM_Q44_361560"/>
      <w:bookmarkEnd w:id="25990"/>
      <w:r>
        <w:rPr>
          <w:rFonts w:hint="cs"/>
          <w:rtl/>
        </w:rPr>
        <w:t xml:space="preserve">במאבק </w:t>
      </w:r>
      <w:bookmarkStart w:id="25991" w:name="_ETM_Q44_362340"/>
      <w:bookmarkEnd w:id="25991"/>
      <w:r>
        <w:rPr>
          <w:rFonts w:hint="cs"/>
          <w:rtl/>
        </w:rPr>
        <w:t xml:space="preserve">ההדרגתי </w:t>
      </w:r>
      <w:bookmarkStart w:id="25992" w:name="_ETM_Q44_363120"/>
      <w:bookmarkEnd w:id="25992"/>
      <w:r>
        <w:rPr>
          <w:rFonts w:hint="cs"/>
          <w:rtl/>
        </w:rPr>
        <w:t>הזה,</w:t>
      </w:r>
      <w:bookmarkStart w:id="25993" w:name="_ETM_Q44_364200"/>
      <w:bookmarkEnd w:id="25993"/>
      <w:r>
        <w:rPr>
          <w:rFonts w:hint="cs"/>
          <w:rtl/>
        </w:rPr>
        <w:t xml:space="preserve"> אנחנו, </w:t>
      </w:r>
      <w:bookmarkStart w:id="25994" w:name="_ETM_Q44_364709"/>
      <w:bookmarkEnd w:id="25994"/>
      <w:r>
        <w:rPr>
          <w:rFonts w:hint="cs"/>
          <w:rtl/>
        </w:rPr>
        <w:t xml:space="preserve">האינטרס </w:t>
      </w:r>
      <w:bookmarkStart w:id="25995" w:name="_ETM_Q44_365250"/>
      <w:bookmarkEnd w:id="25995"/>
      <w:r>
        <w:rPr>
          <w:rFonts w:hint="cs"/>
          <w:rtl/>
        </w:rPr>
        <w:t xml:space="preserve">שלנו </w:t>
      </w:r>
      <w:bookmarkStart w:id="25996" w:name="_ETM_Q44_365609"/>
      <w:bookmarkEnd w:id="25996"/>
      <w:r>
        <w:rPr>
          <w:rFonts w:hint="cs"/>
          <w:rtl/>
        </w:rPr>
        <w:t xml:space="preserve">לעמוד </w:t>
      </w:r>
      <w:bookmarkStart w:id="25997" w:name="_ETM_Q44_366060"/>
      <w:bookmarkEnd w:id="25997"/>
      <w:r>
        <w:rPr>
          <w:rFonts w:hint="cs"/>
          <w:rtl/>
        </w:rPr>
        <w:t xml:space="preserve">איתנים </w:t>
      </w:r>
      <w:bookmarkStart w:id="25998" w:name="_ETM_Q44_366719"/>
      <w:bookmarkEnd w:id="25998"/>
      <w:r>
        <w:rPr>
          <w:rFonts w:hint="cs"/>
          <w:rtl/>
        </w:rPr>
        <w:t xml:space="preserve">נגד </w:t>
      </w:r>
      <w:bookmarkStart w:id="25999" w:name="_ETM_Q44_367169"/>
      <w:bookmarkEnd w:id="25999"/>
      <w:r>
        <w:rPr>
          <w:rFonts w:hint="cs"/>
          <w:rtl/>
        </w:rPr>
        <w:t xml:space="preserve">עילת </w:t>
      </w:r>
      <w:bookmarkStart w:id="26000" w:name="_ETM_Q44_367530"/>
      <w:bookmarkEnd w:id="26000"/>
      <w:r>
        <w:rPr>
          <w:rFonts w:hint="cs"/>
          <w:rtl/>
        </w:rPr>
        <w:t xml:space="preserve">הסבירות, </w:t>
      </w:r>
      <w:bookmarkStart w:id="26001" w:name="_ETM_Q44_368609"/>
      <w:bookmarkEnd w:id="26001"/>
      <w:r>
        <w:rPr>
          <w:rFonts w:hint="cs"/>
          <w:rtl/>
        </w:rPr>
        <w:t xml:space="preserve">שזה </w:t>
      </w:r>
      <w:bookmarkStart w:id="26002" w:name="_ETM_Q44_369239"/>
      <w:bookmarkEnd w:id="26002"/>
      <w:r>
        <w:rPr>
          <w:rFonts w:hint="cs"/>
          <w:rtl/>
        </w:rPr>
        <w:t xml:space="preserve">הכיוון </w:t>
      </w:r>
      <w:bookmarkStart w:id="26003" w:name="_ETM_Q44_369810"/>
      <w:bookmarkEnd w:id="26003"/>
      <w:r>
        <w:rPr>
          <w:rFonts w:hint="cs"/>
          <w:rtl/>
        </w:rPr>
        <w:t xml:space="preserve">ההפוך </w:t>
      </w:r>
      <w:bookmarkStart w:id="26004" w:name="_ETM_Q44_370889"/>
      <w:bookmarkEnd w:id="26004"/>
      <w:r>
        <w:rPr>
          <w:rFonts w:hint="cs"/>
          <w:rtl/>
        </w:rPr>
        <w:t xml:space="preserve">מהרחבת </w:t>
      </w:r>
      <w:bookmarkStart w:id="26005" w:name="_ETM_Q44_371700"/>
      <w:bookmarkStart w:id="26006" w:name="_ETM_Q44_371849"/>
      <w:bookmarkEnd w:id="26005"/>
      <w:bookmarkEnd w:id="26006"/>
      <w:r>
        <w:rPr>
          <w:rFonts w:hint="cs"/>
          <w:rtl/>
        </w:rPr>
        <w:t xml:space="preserve">המרחב </w:t>
      </w:r>
      <w:bookmarkStart w:id="26007" w:name="_ETM_Q44_372329"/>
      <w:bookmarkEnd w:id="26007"/>
      <w:r>
        <w:rPr>
          <w:rFonts w:hint="cs"/>
          <w:rtl/>
        </w:rPr>
        <w:t>הדמוקרטי</w:t>
      </w:r>
      <w:r w:rsidR="000E79D7">
        <w:rPr>
          <w:rFonts w:hint="cs"/>
          <w:rtl/>
        </w:rPr>
        <w:t>,</w:t>
      </w:r>
      <w:r>
        <w:rPr>
          <w:rFonts w:hint="cs"/>
          <w:rtl/>
        </w:rPr>
        <w:t xml:space="preserve"> </w:t>
      </w:r>
      <w:bookmarkStart w:id="26008" w:name="_ETM_Q44_373620"/>
      <w:bookmarkEnd w:id="26008"/>
      <w:r>
        <w:rPr>
          <w:rFonts w:hint="cs"/>
          <w:rtl/>
        </w:rPr>
        <w:t xml:space="preserve">דבר </w:t>
      </w:r>
      <w:bookmarkStart w:id="26009" w:name="_ETM_Q44_374010"/>
      <w:bookmarkEnd w:id="26009"/>
      <w:r>
        <w:rPr>
          <w:rFonts w:hint="cs"/>
          <w:rtl/>
        </w:rPr>
        <w:t xml:space="preserve">שאנחנו </w:t>
      </w:r>
      <w:bookmarkStart w:id="26010" w:name="_ETM_Q44_374579"/>
      <w:bookmarkEnd w:id="26010"/>
      <w:r>
        <w:rPr>
          <w:rFonts w:hint="cs"/>
          <w:rtl/>
        </w:rPr>
        <w:t xml:space="preserve">נאבקים </w:t>
      </w:r>
      <w:bookmarkStart w:id="26011" w:name="_ETM_Q44_375719"/>
      <w:bookmarkEnd w:id="26011"/>
      <w:r>
        <w:rPr>
          <w:rFonts w:hint="cs"/>
          <w:rtl/>
        </w:rPr>
        <w:t xml:space="preserve">למענו. </w:t>
      </w:r>
      <w:bookmarkStart w:id="26012" w:name="_ETM_Q44_377010"/>
      <w:bookmarkEnd w:id="26012"/>
    </w:p>
    <w:p w:rsidR="00BB59CD" w:rsidRDefault="00BB59CD" w:rsidP="00BB59CD">
      <w:pPr>
        <w:rPr>
          <w:rtl/>
        </w:rPr>
      </w:pPr>
      <w:bookmarkStart w:id="26013" w:name="_ETM_Q44_375245"/>
      <w:bookmarkStart w:id="26014" w:name="_ETM_Q44_375357"/>
      <w:bookmarkEnd w:id="26013"/>
      <w:bookmarkEnd w:id="26014"/>
    </w:p>
    <w:p w:rsidR="00BB59CD" w:rsidRDefault="00BB59CD" w:rsidP="000E79D7">
      <w:pPr>
        <w:rPr>
          <w:rtl/>
        </w:rPr>
      </w:pPr>
      <w:bookmarkStart w:id="26015" w:name="_ETM_Q44_375440"/>
      <w:bookmarkStart w:id="26016" w:name="_ETM_Q44_375519"/>
      <w:bookmarkEnd w:id="26015"/>
      <w:bookmarkEnd w:id="26016"/>
      <w:r>
        <w:rPr>
          <w:rFonts w:hint="cs"/>
          <w:rtl/>
        </w:rPr>
        <w:t xml:space="preserve">חשוב </w:t>
      </w:r>
      <w:bookmarkStart w:id="26017" w:name="_ETM_Q44_377489"/>
      <w:bookmarkEnd w:id="26017"/>
      <w:r>
        <w:rPr>
          <w:rFonts w:hint="cs"/>
          <w:rtl/>
        </w:rPr>
        <w:t xml:space="preserve">לי </w:t>
      </w:r>
      <w:bookmarkStart w:id="26018" w:name="_ETM_Q44_377610"/>
      <w:bookmarkEnd w:id="26018"/>
      <w:r>
        <w:rPr>
          <w:rFonts w:hint="cs"/>
          <w:rtl/>
        </w:rPr>
        <w:t xml:space="preserve">להגיד </w:t>
      </w:r>
      <w:bookmarkStart w:id="26019" w:name="_ETM_Q44_378389"/>
      <w:bookmarkEnd w:id="26019"/>
      <w:r>
        <w:rPr>
          <w:rFonts w:hint="cs"/>
          <w:rtl/>
        </w:rPr>
        <w:t xml:space="preserve">שכל </w:t>
      </w:r>
      <w:bookmarkStart w:id="26020" w:name="_ETM_Q44_378840"/>
      <w:bookmarkEnd w:id="26020"/>
      <w:r>
        <w:rPr>
          <w:rFonts w:hint="cs"/>
          <w:rtl/>
        </w:rPr>
        <w:t xml:space="preserve">פוליטיקאי </w:t>
      </w:r>
      <w:bookmarkStart w:id="26021" w:name="_ETM_Q44_380919"/>
      <w:bookmarkEnd w:id="26021"/>
      <w:r>
        <w:rPr>
          <w:rFonts w:hint="cs"/>
          <w:rtl/>
        </w:rPr>
        <w:t xml:space="preserve">מחפש </w:t>
      </w:r>
      <w:bookmarkStart w:id="26022" w:name="_ETM_Q44_381669"/>
      <w:bookmarkEnd w:id="26022"/>
      <w:r>
        <w:rPr>
          <w:rFonts w:hint="cs"/>
          <w:rtl/>
        </w:rPr>
        <w:t xml:space="preserve">רגע </w:t>
      </w:r>
      <w:bookmarkStart w:id="26023" w:name="_ETM_Q44_382989"/>
      <w:bookmarkEnd w:id="26023"/>
      <w:r>
        <w:rPr>
          <w:rFonts w:hint="cs"/>
          <w:rtl/>
        </w:rPr>
        <w:t xml:space="preserve">שיש </w:t>
      </w:r>
      <w:bookmarkStart w:id="26024" w:name="_ETM_Q44_383409"/>
      <w:bookmarkEnd w:id="26024"/>
      <w:r>
        <w:rPr>
          <w:rFonts w:hint="cs"/>
          <w:rtl/>
        </w:rPr>
        <w:t xml:space="preserve">בו </w:t>
      </w:r>
      <w:bookmarkStart w:id="26025" w:name="_ETM_Q44_383590"/>
      <w:bookmarkEnd w:id="26025"/>
      <w:r>
        <w:rPr>
          <w:rFonts w:hint="cs"/>
          <w:rtl/>
        </w:rPr>
        <w:t xml:space="preserve">ערנות </w:t>
      </w:r>
      <w:bookmarkStart w:id="26026" w:name="_ETM_Q44_383859"/>
      <w:bookmarkStart w:id="26027" w:name="_ETM_Q44_384040"/>
      <w:bookmarkEnd w:id="26026"/>
      <w:bookmarkEnd w:id="26027"/>
      <w:r>
        <w:rPr>
          <w:rFonts w:hint="cs"/>
          <w:rtl/>
        </w:rPr>
        <w:t xml:space="preserve">ציבורית – </w:t>
      </w:r>
      <w:bookmarkStart w:id="26028" w:name="_ETM_Q44_385569"/>
      <w:bookmarkEnd w:id="26028"/>
      <w:r>
        <w:rPr>
          <w:rFonts w:hint="cs"/>
          <w:rtl/>
        </w:rPr>
        <w:t xml:space="preserve">כי </w:t>
      </w:r>
      <w:bookmarkStart w:id="26029" w:name="_ETM_Q44_385719"/>
      <w:bookmarkEnd w:id="26029"/>
      <w:r>
        <w:rPr>
          <w:rFonts w:hint="cs"/>
          <w:rtl/>
        </w:rPr>
        <w:t xml:space="preserve">בדרך </w:t>
      </w:r>
      <w:bookmarkStart w:id="26030" w:name="_ETM_Q44_386169"/>
      <w:bookmarkEnd w:id="26030"/>
      <w:r>
        <w:rPr>
          <w:rFonts w:hint="cs"/>
          <w:rtl/>
        </w:rPr>
        <w:t xml:space="preserve">כלל </w:t>
      </w:r>
      <w:bookmarkStart w:id="26031" w:name="_ETM_Q44_386590"/>
      <w:bookmarkEnd w:id="26031"/>
      <w:r>
        <w:rPr>
          <w:rFonts w:hint="cs"/>
          <w:rtl/>
        </w:rPr>
        <w:t xml:space="preserve">יש </w:t>
      </w:r>
      <w:bookmarkStart w:id="26032" w:name="_ETM_Q44_386829"/>
      <w:bookmarkEnd w:id="26032"/>
      <w:r>
        <w:rPr>
          <w:rFonts w:hint="cs"/>
          <w:rtl/>
        </w:rPr>
        <w:t xml:space="preserve">ערנות </w:t>
      </w:r>
      <w:bookmarkStart w:id="26033" w:name="_ETM_Q44_391515"/>
      <w:bookmarkEnd w:id="26033"/>
      <w:r>
        <w:rPr>
          <w:rFonts w:hint="cs"/>
          <w:rtl/>
        </w:rPr>
        <w:t xml:space="preserve">ציבורית </w:t>
      </w:r>
      <w:bookmarkStart w:id="26034" w:name="_ETM_Q44_387040"/>
      <w:bookmarkStart w:id="26035" w:name="_ETM_Q44_387250"/>
      <w:bookmarkStart w:id="26036" w:name="_ETM_Q44_387819"/>
      <w:bookmarkEnd w:id="26034"/>
      <w:bookmarkEnd w:id="26035"/>
      <w:bookmarkEnd w:id="26036"/>
      <w:r>
        <w:rPr>
          <w:rFonts w:hint="cs"/>
          <w:rtl/>
        </w:rPr>
        <w:t xml:space="preserve">בחודש </w:t>
      </w:r>
      <w:bookmarkStart w:id="26037" w:name="_ETM_Q44_388450"/>
      <w:bookmarkEnd w:id="26037"/>
      <w:r>
        <w:rPr>
          <w:rFonts w:hint="cs"/>
          <w:rtl/>
        </w:rPr>
        <w:t xml:space="preserve">הבחירות, </w:t>
      </w:r>
      <w:bookmarkStart w:id="26038" w:name="_ETM_Q44_389840"/>
      <w:bookmarkEnd w:id="26038"/>
      <w:r w:rsidR="000E79D7">
        <w:rPr>
          <w:rFonts w:hint="cs"/>
          <w:rtl/>
        </w:rPr>
        <w:t>ו</w:t>
      </w:r>
      <w:r>
        <w:rPr>
          <w:rFonts w:hint="cs"/>
          <w:rtl/>
        </w:rPr>
        <w:t>אחר</w:t>
      </w:r>
      <w:bookmarkStart w:id="26039" w:name="_ETM_Q44_390230"/>
      <w:bookmarkEnd w:id="26039"/>
      <w:r>
        <w:rPr>
          <w:rFonts w:hint="cs"/>
          <w:rtl/>
        </w:rPr>
        <w:t xml:space="preserve"> כך את </w:t>
      </w:r>
      <w:bookmarkStart w:id="26040" w:name="_ETM_Q44_390950"/>
      <w:bookmarkEnd w:id="26040"/>
      <w:r>
        <w:rPr>
          <w:rFonts w:hint="cs"/>
          <w:rtl/>
        </w:rPr>
        <w:t xml:space="preserve">הציבור </w:t>
      </w:r>
      <w:bookmarkStart w:id="26041" w:name="_ETM_Q44_391700"/>
      <w:bookmarkEnd w:id="26041"/>
      <w:r>
        <w:rPr>
          <w:rFonts w:hint="cs"/>
          <w:rtl/>
        </w:rPr>
        <w:t xml:space="preserve">מעניין </w:t>
      </w:r>
      <w:bookmarkStart w:id="26042" w:name="_ETM_Q44_392060"/>
      <w:bookmarkStart w:id="26043" w:name="_ETM_Q44_392389"/>
      <w:bookmarkEnd w:id="26042"/>
      <w:bookmarkEnd w:id="26043"/>
      <w:r>
        <w:rPr>
          <w:rFonts w:hint="cs"/>
          <w:rtl/>
        </w:rPr>
        <w:t xml:space="preserve">יותר </w:t>
      </w:r>
      <w:bookmarkStart w:id="26044" w:name="_ETM_Q44_393590"/>
      <w:bookmarkEnd w:id="26044"/>
      <w:r>
        <w:rPr>
          <w:rFonts w:hint="cs"/>
          <w:rtl/>
        </w:rPr>
        <w:t xml:space="preserve">גם </w:t>
      </w:r>
      <w:bookmarkStart w:id="26045" w:name="_ETM_Q44_394130"/>
      <w:bookmarkEnd w:id="26045"/>
      <w:r>
        <w:rPr>
          <w:rFonts w:hint="cs"/>
          <w:rtl/>
        </w:rPr>
        <w:t xml:space="preserve">המאבק </w:t>
      </w:r>
      <w:bookmarkStart w:id="26046" w:name="_ETM_Q44_394970"/>
      <w:bookmarkEnd w:id="26046"/>
      <w:r>
        <w:rPr>
          <w:rFonts w:hint="cs"/>
          <w:rtl/>
        </w:rPr>
        <w:t xml:space="preserve">היום-יומי </w:t>
      </w:r>
      <w:bookmarkStart w:id="26047" w:name="_ETM_Q44_396470"/>
      <w:bookmarkEnd w:id="26047"/>
      <w:r>
        <w:rPr>
          <w:rFonts w:hint="cs"/>
          <w:rtl/>
        </w:rPr>
        <w:t xml:space="preserve">למען </w:t>
      </w:r>
      <w:bookmarkStart w:id="26048" w:name="_ETM_Q44_397100"/>
      <w:bookmarkEnd w:id="26048"/>
      <w:r>
        <w:rPr>
          <w:rFonts w:hint="cs"/>
          <w:rtl/>
        </w:rPr>
        <w:t xml:space="preserve">חיים </w:t>
      </w:r>
      <w:bookmarkStart w:id="26049" w:name="_ETM_Q44_398280"/>
      <w:bookmarkEnd w:id="26049"/>
      <w:r>
        <w:rPr>
          <w:rFonts w:hint="cs"/>
          <w:rtl/>
        </w:rPr>
        <w:t xml:space="preserve">בכבוד, </w:t>
      </w:r>
      <w:bookmarkStart w:id="26050" w:name="_ETM_Q44_399590"/>
      <w:bookmarkEnd w:id="26050"/>
      <w:r w:rsidR="000E79D7">
        <w:rPr>
          <w:rFonts w:hint="cs"/>
          <w:rtl/>
        </w:rPr>
        <w:t>ו</w:t>
      </w:r>
      <w:r>
        <w:rPr>
          <w:rFonts w:hint="cs"/>
          <w:rtl/>
        </w:rPr>
        <w:t xml:space="preserve">דברים </w:t>
      </w:r>
      <w:bookmarkStart w:id="26051" w:name="_ETM_Q44_400129"/>
      <w:bookmarkEnd w:id="26051"/>
      <w:r>
        <w:rPr>
          <w:rFonts w:hint="cs"/>
          <w:rtl/>
        </w:rPr>
        <w:t xml:space="preserve">אחרים </w:t>
      </w:r>
      <w:bookmarkStart w:id="26052" w:name="_ETM_Q44_400639"/>
      <w:bookmarkEnd w:id="26052"/>
      <w:r>
        <w:rPr>
          <w:rFonts w:hint="cs"/>
          <w:rtl/>
        </w:rPr>
        <w:t xml:space="preserve">כמו </w:t>
      </w:r>
      <w:bookmarkStart w:id="26053" w:name="_ETM_Q44_400879"/>
      <w:bookmarkEnd w:id="26053"/>
      <w:r>
        <w:rPr>
          <w:rFonts w:hint="cs"/>
          <w:rtl/>
        </w:rPr>
        <w:t>כדורגל</w:t>
      </w:r>
      <w:r w:rsidR="000E79D7">
        <w:rPr>
          <w:rFonts w:hint="cs"/>
          <w:rtl/>
        </w:rPr>
        <w:t>,</w:t>
      </w:r>
      <w:r>
        <w:rPr>
          <w:rFonts w:hint="cs"/>
          <w:rtl/>
        </w:rPr>
        <w:t xml:space="preserve"> שזה דבר </w:t>
      </w:r>
      <w:bookmarkStart w:id="26054" w:name="_ETM_Q44_401629"/>
      <w:bookmarkStart w:id="26055" w:name="_ETM_Q44_401870"/>
      <w:bookmarkStart w:id="26056" w:name="_ETM_Q44_402379"/>
      <w:bookmarkEnd w:id="26054"/>
      <w:bookmarkEnd w:id="26055"/>
      <w:bookmarkEnd w:id="26056"/>
      <w:r>
        <w:rPr>
          <w:rFonts w:hint="cs"/>
          <w:rtl/>
        </w:rPr>
        <w:t xml:space="preserve">מעולה </w:t>
      </w:r>
      <w:bookmarkStart w:id="26057" w:name="_ETM_Q44_402889"/>
      <w:bookmarkEnd w:id="26057"/>
      <w:r>
        <w:rPr>
          <w:rFonts w:hint="cs"/>
          <w:rtl/>
        </w:rPr>
        <w:t>ויפה</w:t>
      </w:r>
      <w:r w:rsidR="000E79D7">
        <w:rPr>
          <w:rFonts w:hint="cs"/>
          <w:rtl/>
        </w:rPr>
        <w:t>,</w:t>
      </w:r>
      <w:r>
        <w:rPr>
          <w:rFonts w:hint="cs"/>
          <w:rtl/>
        </w:rPr>
        <w:t xml:space="preserve"> </w:t>
      </w:r>
      <w:bookmarkStart w:id="26058" w:name="_ETM_Q44_404360"/>
      <w:bookmarkEnd w:id="26058"/>
      <w:r>
        <w:rPr>
          <w:rFonts w:hint="cs"/>
          <w:rtl/>
        </w:rPr>
        <w:t xml:space="preserve">והפוליטיקה </w:t>
      </w:r>
      <w:bookmarkStart w:id="26059" w:name="_ETM_Q44_405350"/>
      <w:bookmarkEnd w:id="26059"/>
      <w:r>
        <w:rPr>
          <w:rFonts w:hint="cs"/>
          <w:rtl/>
        </w:rPr>
        <w:t xml:space="preserve">פחות </w:t>
      </w:r>
      <w:bookmarkStart w:id="26060" w:name="_ETM_Q44_405980"/>
      <w:bookmarkEnd w:id="26060"/>
      <w:r>
        <w:rPr>
          <w:rFonts w:hint="cs"/>
          <w:rtl/>
        </w:rPr>
        <w:t xml:space="preserve">מעניינת </w:t>
      </w:r>
      <w:bookmarkStart w:id="26061" w:name="_ETM_Q44_406520"/>
      <w:bookmarkEnd w:id="26061"/>
      <w:r>
        <w:rPr>
          <w:rFonts w:hint="cs"/>
          <w:rtl/>
        </w:rPr>
        <w:t xml:space="preserve">את </w:t>
      </w:r>
      <w:bookmarkStart w:id="26062" w:name="_ETM_Q44_406700"/>
      <w:bookmarkEnd w:id="26062"/>
      <w:r>
        <w:rPr>
          <w:rFonts w:hint="cs"/>
          <w:rtl/>
        </w:rPr>
        <w:t xml:space="preserve">הציבור. </w:t>
      </w:r>
      <w:bookmarkStart w:id="26063" w:name="_ETM_Q44_409673"/>
      <w:bookmarkStart w:id="26064" w:name="_ETM_Q44_409794"/>
      <w:bookmarkStart w:id="26065" w:name="_ETM_Q44_409897"/>
      <w:bookmarkStart w:id="26066" w:name="_ETM_Q44_409985"/>
      <w:bookmarkStart w:id="26067" w:name="_ETM_Q44_407950"/>
      <w:bookmarkEnd w:id="26063"/>
      <w:bookmarkEnd w:id="26064"/>
      <w:bookmarkEnd w:id="26065"/>
      <w:bookmarkEnd w:id="26066"/>
      <w:bookmarkEnd w:id="26067"/>
      <w:r>
        <w:rPr>
          <w:rFonts w:hint="cs"/>
          <w:rtl/>
        </w:rPr>
        <w:t xml:space="preserve">אבל </w:t>
      </w:r>
      <w:bookmarkStart w:id="26068" w:name="_ETM_Q44_408340"/>
      <w:bookmarkEnd w:id="26068"/>
      <w:r>
        <w:rPr>
          <w:rFonts w:hint="cs"/>
          <w:rtl/>
        </w:rPr>
        <w:t xml:space="preserve">מה </w:t>
      </w:r>
      <w:bookmarkStart w:id="26069" w:name="_ETM_Q44_408520"/>
      <w:bookmarkEnd w:id="26069"/>
      <w:r>
        <w:rPr>
          <w:rFonts w:hint="cs"/>
          <w:rtl/>
        </w:rPr>
        <w:t xml:space="preserve">שאנחנו </w:t>
      </w:r>
      <w:bookmarkStart w:id="26070" w:name="_ETM_Q44_409150"/>
      <w:bookmarkEnd w:id="26070"/>
      <w:r>
        <w:rPr>
          <w:rFonts w:hint="cs"/>
          <w:rtl/>
        </w:rPr>
        <w:t xml:space="preserve">רואים </w:t>
      </w:r>
      <w:bookmarkStart w:id="26071" w:name="_ETM_Q44_409510"/>
      <w:bookmarkEnd w:id="26071"/>
      <w:r>
        <w:rPr>
          <w:rFonts w:hint="cs"/>
          <w:rtl/>
        </w:rPr>
        <w:t xml:space="preserve">במשך </w:t>
      </w:r>
      <w:bookmarkStart w:id="26072" w:name="_ETM_Q44_410230"/>
      <w:bookmarkEnd w:id="26072"/>
      <w:r>
        <w:rPr>
          <w:rFonts w:hint="cs"/>
          <w:rtl/>
        </w:rPr>
        <w:t xml:space="preserve">29 </w:t>
      </w:r>
      <w:bookmarkStart w:id="26073" w:name="_ETM_Q44_411760"/>
      <w:bookmarkEnd w:id="26073"/>
      <w:r>
        <w:rPr>
          <w:rFonts w:hint="cs"/>
          <w:rtl/>
        </w:rPr>
        <w:t xml:space="preserve">שבועות </w:t>
      </w:r>
      <w:bookmarkStart w:id="26074" w:name="_ETM_Q44_413310"/>
      <w:bookmarkEnd w:id="26074"/>
      <w:r>
        <w:rPr>
          <w:rFonts w:hint="cs"/>
          <w:rtl/>
        </w:rPr>
        <w:t xml:space="preserve">זה </w:t>
      </w:r>
      <w:bookmarkStart w:id="26075" w:name="_ETM_Q44_413580"/>
      <w:bookmarkEnd w:id="26075"/>
      <w:r>
        <w:rPr>
          <w:rFonts w:hint="cs"/>
          <w:rtl/>
        </w:rPr>
        <w:t xml:space="preserve">דבר </w:t>
      </w:r>
      <w:bookmarkStart w:id="26076" w:name="_ETM_Q44_415430"/>
      <w:bookmarkEnd w:id="26076"/>
      <w:r>
        <w:rPr>
          <w:rFonts w:hint="cs"/>
          <w:rtl/>
        </w:rPr>
        <w:t>ש</w:t>
      </w:r>
      <w:bookmarkStart w:id="26077" w:name="_ETM_Q44_416510"/>
      <w:bookmarkEnd w:id="26077"/>
      <w:r>
        <w:rPr>
          <w:rFonts w:hint="cs"/>
          <w:rtl/>
        </w:rPr>
        <w:t xml:space="preserve">לא </w:t>
      </w:r>
      <w:bookmarkStart w:id="26078" w:name="_ETM_Q44_416840"/>
      <w:bookmarkEnd w:id="26078"/>
      <w:r>
        <w:rPr>
          <w:rFonts w:hint="cs"/>
          <w:rtl/>
        </w:rPr>
        <w:t xml:space="preserve">היה </w:t>
      </w:r>
      <w:bookmarkStart w:id="26079" w:name="_ETM_Q44_417020"/>
      <w:bookmarkEnd w:id="26079"/>
      <w:r>
        <w:rPr>
          <w:rFonts w:hint="cs"/>
          <w:rtl/>
        </w:rPr>
        <w:t xml:space="preserve">כדוגמתו. כל פוליטיקאי </w:t>
      </w:r>
      <w:bookmarkStart w:id="26080" w:name="_ETM_Q44_422044"/>
      <w:bookmarkStart w:id="26081" w:name="_ETM_Q44_418470"/>
      <w:bookmarkStart w:id="26082" w:name="_ETM_Q44_419010"/>
      <w:bookmarkStart w:id="26083" w:name="_ETM_Q44_419640"/>
      <w:bookmarkEnd w:id="26080"/>
      <w:bookmarkEnd w:id="26081"/>
      <w:bookmarkEnd w:id="26082"/>
      <w:bookmarkEnd w:id="26083"/>
      <w:r>
        <w:rPr>
          <w:rFonts w:hint="cs"/>
          <w:rtl/>
        </w:rPr>
        <w:t xml:space="preserve">מחכה </w:t>
      </w:r>
      <w:bookmarkStart w:id="26084" w:name="_ETM_Q44_420150"/>
      <w:bookmarkEnd w:id="26084"/>
      <w:r>
        <w:rPr>
          <w:rFonts w:hint="cs"/>
          <w:rtl/>
        </w:rPr>
        <w:t xml:space="preserve">לרגע </w:t>
      </w:r>
      <w:bookmarkStart w:id="26085" w:name="_ETM_Q44_420569"/>
      <w:bookmarkEnd w:id="26085"/>
      <w:r>
        <w:rPr>
          <w:rFonts w:hint="cs"/>
          <w:rtl/>
        </w:rPr>
        <w:t xml:space="preserve">הזה, מחכה </w:t>
      </w:r>
      <w:bookmarkStart w:id="26086" w:name="_ETM_Q44_422180"/>
      <w:bookmarkEnd w:id="26086"/>
      <w:r>
        <w:rPr>
          <w:rFonts w:hint="cs"/>
          <w:rtl/>
        </w:rPr>
        <w:t xml:space="preserve">לערנות </w:t>
      </w:r>
      <w:bookmarkStart w:id="26087" w:name="_ETM_Q44_422810"/>
      <w:bookmarkEnd w:id="26087"/>
      <w:r>
        <w:rPr>
          <w:rFonts w:hint="cs"/>
          <w:rtl/>
        </w:rPr>
        <w:t xml:space="preserve">ציבורית </w:t>
      </w:r>
      <w:bookmarkStart w:id="26088" w:name="_ETM_Q44_423800"/>
      <w:bookmarkEnd w:id="26088"/>
      <w:r>
        <w:rPr>
          <w:rFonts w:hint="cs"/>
          <w:rtl/>
        </w:rPr>
        <w:t xml:space="preserve">בשביל </w:t>
      </w:r>
      <w:bookmarkStart w:id="26089" w:name="_ETM_Q44_424250"/>
      <w:bookmarkEnd w:id="26089"/>
      <w:r>
        <w:rPr>
          <w:rFonts w:hint="cs"/>
          <w:rtl/>
        </w:rPr>
        <w:t xml:space="preserve">לתרום </w:t>
      </w:r>
      <w:bookmarkStart w:id="26090" w:name="_ETM_Q44_424700"/>
      <w:bookmarkEnd w:id="26090"/>
      <w:r>
        <w:rPr>
          <w:rFonts w:hint="cs"/>
          <w:rtl/>
        </w:rPr>
        <w:t xml:space="preserve">את </w:t>
      </w:r>
      <w:bookmarkStart w:id="26091" w:name="_ETM_Q44_424820"/>
      <w:bookmarkEnd w:id="26091"/>
      <w:r>
        <w:rPr>
          <w:rFonts w:hint="cs"/>
          <w:rtl/>
        </w:rPr>
        <w:t xml:space="preserve">חלקו </w:t>
      </w:r>
      <w:bookmarkStart w:id="26092" w:name="_ETM_Q44_426040"/>
      <w:bookmarkEnd w:id="26092"/>
      <w:r>
        <w:rPr>
          <w:rFonts w:hint="cs"/>
          <w:rtl/>
        </w:rPr>
        <w:t xml:space="preserve">בעיצוב </w:t>
      </w:r>
      <w:bookmarkStart w:id="26093" w:name="_ETM_Q44_427209"/>
      <w:bookmarkEnd w:id="26093"/>
      <w:r>
        <w:rPr>
          <w:rFonts w:hint="cs"/>
          <w:rtl/>
        </w:rPr>
        <w:t xml:space="preserve">התודעה </w:t>
      </w:r>
      <w:bookmarkStart w:id="26094" w:name="_ETM_Q44_427900"/>
      <w:bookmarkEnd w:id="26094"/>
      <w:r>
        <w:rPr>
          <w:rFonts w:hint="cs"/>
          <w:rtl/>
        </w:rPr>
        <w:t xml:space="preserve">הציבורית. </w:t>
      </w:r>
      <w:bookmarkStart w:id="26095" w:name="_ETM_Q44_428939"/>
      <w:bookmarkEnd w:id="26095"/>
      <w:r>
        <w:rPr>
          <w:rFonts w:hint="cs"/>
          <w:rtl/>
        </w:rPr>
        <w:t xml:space="preserve">לכן </w:t>
      </w:r>
      <w:bookmarkStart w:id="26096" w:name="_ETM_Q44_429480"/>
      <w:bookmarkEnd w:id="26096"/>
      <w:r>
        <w:rPr>
          <w:rFonts w:hint="cs"/>
          <w:rtl/>
        </w:rPr>
        <w:t xml:space="preserve">זה </w:t>
      </w:r>
      <w:bookmarkStart w:id="26097" w:name="_ETM_Q44_429689"/>
      <w:bookmarkEnd w:id="26097"/>
      <w:r>
        <w:rPr>
          <w:rFonts w:hint="cs"/>
          <w:rtl/>
        </w:rPr>
        <w:t xml:space="preserve">הזמן </w:t>
      </w:r>
      <w:bookmarkStart w:id="26098" w:name="_ETM_Q44_430169"/>
      <w:bookmarkEnd w:id="26098"/>
      <w:r>
        <w:rPr>
          <w:rFonts w:hint="cs"/>
          <w:rtl/>
        </w:rPr>
        <w:t xml:space="preserve">שלנו </w:t>
      </w:r>
      <w:bookmarkStart w:id="26099" w:name="_ETM_Q44_430620"/>
      <w:bookmarkStart w:id="26100" w:name="_ETM_Q44_431750"/>
      <w:bookmarkEnd w:id="26099"/>
      <w:bookmarkEnd w:id="26100"/>
      <w:r>
        <w:rPr>
          <w:rFonts w:hint="cs"/>
          <w:rtl/>
        </w:rPr>
        <w:t xml:space="preserve">להגיד </w:t>
      </w:r>
      <w:bookmarkStart w:id="26101" w:name="_ETM_Q44_432379"/>
      <w:bookmarkEnd w:id="26101"/>
      <w:r>
        <w:rPr>
          <w:rFonts w:hint="cs"/>
          <w:rtl/>
        </w:rPr>
        <w:t xml:space="preserve">למפגינים, </w:t>
      </w:r>
      <w:bookmarkStart w:id="26102" w:name="_ETM_Q44_433099"/>
      <w:bookmarkEnd w:id="26102"/>
      <w:r>
        <w:rPr>
          <w:rFonts w:hint="cs"/>
          <w:rtl/>
        </w:rPr>
        <w:t xml:space="preserve">שיש </w:t>
      </w:r>
      <w:bookmarkStart w:id="26103" w:name="_ETM_Q44_433580"/>
      <w:bookmarkEnd w:id="26103"/>
      <w:r>
        <w:rPr>
          <w:rFonts w:hint="cs"/>
          <w:rtl/>
        </w:rPr>
        <w:t xml:space="preserve">לנו </w:t>
      </w:r>
      <w:bookmarkStart w:id="26104" w:name="_ETM_Q44_434480"/>
      <w:bookmarkEnd w:id="26104"/>
      <w:r>
        <w:rPr>
          <w:rFonts w:hint="cs"/>
          <w:rtl/>
        </w:rPr>
        <w:t xml:space="preserve">הרבה </w:t>
      </w:r>
      <w:bookmarkStart w:id="26105" w:name="_ETM_Q44_435319"/>
      <w:bookmarkEnd w:id="26105"/>
      <w:r>
        <w:rPr>
          <w:rFonts w:hint="cs"/>
          <w:rtl/>
        </w:rPr>
        <w:t xml:space="preserve">הערכה </w:t>
      </w:r>
      <w:bookmarkStart w:id="26106" w:name="_ETM_Q44_435950"/>
      <w:bookmarkEnd w:id="26106"/>
      <w:r>
        <w:rPr>
          <w:rFonts w:hint="cs"/>
          <w:rtl/>
        </w:rPr>
        <w:t xml:space="preserve">למה </w:t>
      </w:r>
      <w:bookmarkStart w:id="26107" w:name="_ETM_Q44_436190"/>
      <w:bookmarkEnd w:id="26107"/>
      <w:r>
        <w:rPr>
          <w:rFonts w:hint="cs"/>
          <w:rtl/>
        </w:rPr>
        <w:t xml:space="preserve">שהם </w:t>
      </w:r>
      <w:bookmarkStart w:id="26108" w:name="_ETM_Q44_436430"/>
      <w:bookmarkEnd w:id="26108"/>
      <w:r>
        <w:rPr>
          <w:rFonts w:hint="cs"/>
          <w:rtl/>
        </w:rPr>
        <w:t xml:space="preserve">עושים </w:t>
      </w:r>
      <w:bookmarkStart w:id="26109" w:name="_ETM_Q44_437330"/>
      <w:bookmarkEnd w:id="26109"/>
      <w:r>
        <w:rPr>
          <w:rFonts w:hint="cs"/>
          <w:rtl/>
        </w:rPr>
        <w:t xml:space="preserve">– </w:t>
      </w:r>
      <w:bookmarkStart w:id="26110" w:name="_ETM_Q44_437720"/>
      <w:bookmarkEnd w:id="26110"/>
      <w:r>
        <w:rPr>
          <w:rFonts w:hint="cs"/>
          <w:rtl/>
        </w:rPr>
        <w:t xml:space="preserve">29 שבועות </w:t>
      </w:r>
      <w:bookmarkStart w:id="26111" w:name="_ETM_Q44_437960"/>
      <w:bookmarkStart w:id="26112" w:name="_ETM_Q44_438230"/>
      <w:bookmarkStart w:id="26113" w:name="_ETM_Q44_438650"/>
      <w:bookmarkEnd w:id="26111"/>
      <w:bookmarkEnd w:id="26112"/>
      <w:bookmarkEnd w:id="26113"/>
      <w:r>
        <w:rPr>
          <w:rFonts w:hint="cs"/>
          <w:rtl/>
        </w:rPr>
        <w:t xml:space="preserve">זה </w:t>
      </w:r>
      <w:bookmarkStart w:id="26114" w:name="_ETM_Q44_438889"/>
      <w:bookmarkEnd w:id="26114"/>
      <w:r>
        <w:rPr>
          <w:rFonts w:hint="cs"/>
          <w:rtl/>
        </w:rPr>
        <w:t xml:space="preserve">דבר </w:t>
      </w:r>
      <w:bookmarkStart w:id="26115" w:name="_ETM_Q44_439790"/>
      <w:bookmarkEnd w:id="26115"/>
      <w:r>
        <w:rPr>
          <w:rFonts w:hint="cs"/>
          <w:rtl/>
        </w:rPr>
        <w:t xml:space="preserve">שראוי </w:t>
      </w:r>
      <w:bookmarkStart w:id="26116" w:name="_ETM_Q44_440419"/>
      <w:bookmarkEnd w:id="26116"/>
      <w:r>
        <w:rPr>
          <w:rFonts w:hint="cs"/>
          <w:rtl/>
        </w:rPr>
        <w:t xml:space="preserve">לכל </w:t>
      </w:r>
      <w:bookmarkStart w:id="26117" w:name="_ETM_Q44_440810"/>
      <w:bookmarkEnd w:id="26117"/>
      <w:r>
        <w:rPr>
          <w:rFonts w:hint="cs"/>
          <w:rtl/>
        </w:rPr>
        <w:t xml:space="preserve">הערכה </w:t>
      </w:r>
      <w:r w:rsidR="000E79D7">
        <w:rPr>
          <w:rFonts w:hint="eastAsia"/>
          <w:rtl/>
        </w:rPr>
        <w:t>–</w:t>
      </w:r>
      <w:bookmarkStart w:id="26118" w:name="_ETM_Q44_442539"/>
      <w:bookmarkEnd w:id="26118"/>
      <w:r w:rsidR="000E79D7">
        <w:rPr>
          <w:rFonts w:hint="cs"/>
          <w:rtl/>
        </w:rPr>
        <w:t xml:space="preserve"> </w:t>
      </w:r>
      <w:r>
        <w:rPr>
          <w:rFonts w:hint="cs"/>
          <w:rtl/>
        </w:rPr>
        <w:t xml:space="preserve">יישר </w:t>
      </w:r>
      <w:bookmarkStart w:id="26119" w:name="_ETM_Q44_443020"/>
      <w:bookmarkEnd w:id="26119"/>
      <w:r>
        <w:rPr>
          <w:rFonts w:hint="cs"/>
          <w:rtl/>
        </w:rPr>
        <w:t xml:space="preserve">כוח, </w:t>
      </w:r>
      <w:bookmarkStart w:id="26120" w:name="_ETM_Q44_443529"/>
      <w:bookmarkEnd w:id="26120"/>
      <w:r>
        <w:rPr>
          <w:rFonts w:hint="cs"/>
          <w:rtl/>
        </w:rPr>
        <w:t xml:space="preserve">והרבה </w:t>
      </w:r>
      <w:bookmarkStart w:id="26121" w:name="_ETM_Q44_443830"/>
      <w:bookmarkEnd w:id="26121"/>
      <w:r>
        <w:rPr>
          <w:rFonts w:hint="cs"/>
          <w:rtl/>
        </w:rPr>
        <w:t xml:space="preserve">הערכה. </w:t>
      </w:r>
      <w:bookmarkStart w:id="26122" w:name="_ETM_Q44_444750"/>
      <w:bookmarkEnd w:id="26122"/>
      <w:r>
        <w:rPr>
          <w:rFonts w:hint="cs"/>
          <w:rtl/>
        </w:rPr>
        <w:t xml:space="preserve">אנחנו </w:t>
      </w:r>
      <w:bookmarkStart w:id="26123" w:name="_ETM_Q44_445440"/>
      <w:bookmarkEnd w:id="26123"/>
      <w:r>
        <w:rPr>
          <w:rFonts w:hint="cs"/>
          <w:rtl/>
        </w:rPr>
        <w:t xml:space="preserve">השתתפנו </w:t>
      </w:r>
      <w:bookmarkStart w:id="26124" w:name="_ETM_Q44_446919"/>
      <w:bookmarkEnd w:id="26124"/>
      <w:r>
        <w:rPr>
          <w:rFonts w:hint="cs"/>
          <w:rtl/>
        </w:rPr>
        <w:t xml:space="preserve">ברוב </w:t>
      </w:r>
      <w:bookmarkStart w:id="26125" w:name="_ETM_Q44_447669"/>
      <w:bookmarkEnd w:id="26125"/>
      <w:r>
        <w:rPr>
          <w:rFonts w:hint="cs"/>
          <w:rtl/>
        </w:rPr>
        <w:t xml:space="preserve">המוחץ </w:t>
      </w:r>
      <w:bookmarkStart w:id="26126" w:name="_ETM_Q44_448760"/>
      <w:bookmarkEnd w:id="26126"/>
      <w:r>
        <w:rPr>
          <w:rFonts w:hint="cs"/>
          <w:rtl/>
        </w:rPr>
        <w:t xml:space="preserve">של </w:t>
      </w:r>
      <w:bookmarkStart w:id="26127" w:name="_ETM_Q44_449089"/>
      <w:bookmarkEnd w:id="26127"/>
      <w:r>
        <w:rPr>
          <w:rFonts w:hint="cs"/>
          <w:rtl/>
        </w:rPr>
        <w:t xml:space="preserve">ההפגנות </w:t>
      </w:r>
      <w:bookmarkStart w:id="26128" w:name="_ETM_Q44_449750"/>
      <w:bookmarkEnd w:id="26128"/>
      <w:r>
        <w:rPr>
          <w:rFonts w:hint="cs"/>
          <w:rtl/>
        </w:rPr>
        <w:t xml:space="preserve">מדי </w:t>
      </w:r>
      <w:bookmarkStart w:id="26129" w:name="_ETM_Q44_450050"/>
      <w:bookmarkEnd w:id="26129"/>
      <w:r>
        <w:rPr>
          <w:rFonts w:hint="cs"/>
          <w:rtl/>
        </w:rPr>
        <w:t xml:space="preserve">שבוע. </w:t>
      </w:r>
      <w:bookmarkStart w:id="26130" w:name="_ETM_Q44_450620"/>
      <w:bookmarkEnd w:id="26130"/>
      <w:r>
        <w:rPr>
          <w:rFonts w:hint="cs"/>
          <w:rtl/>
        </w:rPr>
        <w:t xml:space="preserve">הרבה </w:t>
      </w:r>
      <w:bookmarkStart w:id="26131" w:name="_ETM_Q44_451010"/>
      <w:bookmarkEnd w:id="26131"/>
      <w:r>
        <w:rPr>
          <w:rFonts w:hint="cs"/>
          <w:rtl/>
        </w:rPr>
        <w:t>הערכה.</w:t>
      </w:r>
      <w:bookmarkStart w:id="26132" w:name="_ETM_Q44_451472"/>
      <w:bookmarkStart w:id="26133" w:name="_ETM_Q44_451573"/>
      <w:bookmarkStart w:id="26134" w:name="_ETM_Q44_451665"/>
      <w:bookmarkStart w:id="26135" w:name="_ETM_Q44_451750"/>
      <w:bookmarkStart w:id="26136" w:name="_ETM_Q44_452339"/>
      <w:bookmarkEnd w:id="26132"/>
      <w:bookmarkEnd w:id="26133"/>
      <w:bookmarkEnd w:id="26134"/>
      <w:bookmarkEnd w:id="26135"/>
      <w:bookmarkEnd w:id="26136"/>
      <w:r w:rsidR="000E79D7">
        <w:rPr>
          <w:rFonts w:hint="cs"/>
          <w:rtl/>
        </w:rPr>
        <w:t xml:space="preserve"> </w:t>
      </w:r>
      <w:r>
        <w:rPr>
          <w:rFonts w:hint="cs"/>
          <w:rtl/>
        </w:rPr>
        <w:t xml:space="preserve">יחד </w:t>
      </w:r>
      <w:bookmarkStart w:id="26137" w:name="_ETM_Q44_452789"/>
      <w:bookmarkEnd w:id="26137"/>
      <w:r>
        <w:rPr>
          <w:rFonts w:hint="cs"/>
          <w:rtl/>
        </w:rPr>
        <w:t xml:space="preserve">עם </w:t>
      </w:r>
      <w:bookmarkStart w:id="26138" w:name="_ETM_Q44_452939"/>
      <w:bookmarkEnd w:id="26138"/>
      <w:r>
        <w:rPr>
          <w:rFonts w:hint="cs"/>
          <w:rtl/>
        </w:rPr>
        <w:t xml:space="preserve">זאת, </w:t>
      </w:r>
      <w:bookmarkStart w:id="26139" w:name="_ETM_Q44_453389"/>
      <w:bookmarkEnd w:id="26139"/>
      <w:r>
        <w:rPr>
          <w:rFonts w:hint="cs"/>
          <w:rtl/>
        </w:rPr>
        <w:t xml:space="preserve">חשוב </w:t>
      </w:r>
      <w:bookmarkStart w:id="26140" w:name="_ETM_Q44_453779"/>
      <w:bookmarkEnd w:id="26140"/>
      <w:r>
        <w:rPr>
          <w:rFonts w:hint="cs"/>
          <w:rtl/>
        </w:rPr>
        <w:t xml:space="preserve">לי </w:t>
      </w:r>
      <w:bookmarkStart w:id="26141" w:name="_ETM_Q44_453900"/>
      <w:bookmarkEnd w:id="26141"/>
      <w:r>
        <w:rPr>
          <w:rFonts w:hint="cs"/>
          <w:rtl/>
        </w:rPr>
        <w:t xml:space="preserve">להגיד </w:t>
      </w:r>
      <w:bookmarkStart w:id="26142" w:name="_ETM_Q44_454229"/>
      <w:bookmarkEnd w:id="26142"/>
      <w:r>
        <w:rPr>
          <w:rFonts w:hint="cs"/>
          <w:rtl/>
        </w:rPr>
        <w:t xml:space="preserve">לכם </w:t>
      </w:r>
      <w:bookmarkStart w:id="26143" w:name="_ETM_Q44_455339"/>
      <w:bookmarkEnd w:id="26143"/>
      <w:r>
        <w:rPr>
          <w:rFonts w:hint="cs"/>
          <w:rtl/>
        </w:rPr>
        <w:t xml:space="preserve">שדמוקרטיה </w:t>
      </w:r>
      <w:bookmarkStart w:id="26144" w:name="_ETM_Q44_456750"/>
      <w:bookmarkEnd w:id="26144"/>
      <w:r>
        <w:rPr>
          <w:rFonts w:hint="cs"/>
          <w:rtl/>
        </w:rPr>
        <w:t>אמיתית</w:t>
      </w:r>
      <w:bookmarkStart w:id="26145" w:name="_ETM_Q44_458070"/>
      <w:bookmarkEnd w:id="26145"/>
      <w:r>
        <w:rPr>
          <w:rFonts w:hint="cs"/>
          <w:rtl/>
        </w:rPr>
        <w:t xml:space="preserve"> זו </w:t>
      </w:r>
      <w:bookmarkStart w:id="26146" w:name="_ETM_Q44_458430"/>
      <w:bookmarkEnd w:id="26146"/>
      <w:r>
        <w:rPr>
          <w:rFonts w:hint="cs"/>
          <w:rtl/>
        </w:rPr>
        <w:t xml:space="preserve">דמוקרטיה </w:t>
      </w:r>
      <w:bookmarkStart w:id="26147" w:name="_ETM_Q44_459570"/>
      <w:bookmarkEnd w:id="26147"/>
      <w:r>
        <w:rPr>
          <w:rFonts w:hint="cs"/>
          <w:rtl/>
        </w:rPr>
        <w:t xml:space="preserve">שהיא לא </w:t>
      </w:r>
      <w:bookmarkStart w:id="26148" w:name="_ETM_Q44_459810"/>
      <w:bookmarkEnd w:id="26148"/>
      <w:r>
        <w:rPr>
          <w:rFonts w:hint="cs"/>
          <w:rtl/>
        </w:rPr>
        <w:t xml:space="preserve">רק </w:t>
      </w:r>
      <w:bookmarkStart w:id="26149" w:name="_ETM_Q44_460050"/>
      <w:bookmarkEnd w:id="26149"/>
      <w:r>
        <w:rPr>
          <w:rFonts w:hint="cs"/>
          <w:rtl/>
        </w:rPr>
        <w:t xml:space="preserve">לעם אחד; </w:t>
      </w:r>
      <w:bookmarkStart w:id="26150" w:name="_ETM_Q44_456054"/>
      <w:bookmarkEnd w:id="26150"/>
      <w:r>
        <w:rPr>
          <w:rFonts w:hint="cs"/>
          <w:rtl/>
        </w:rPr>
        <w:t xml:space="preserve">דמוקרטיה </w:t>
      </w:r>
      <w:bookmarkStart w:id="26151" w:name="_ETM_Q44_460350"/>
      <w:bookmarkStart w:id="26152" w:name="_ETM_Q44_461419"/>
      <w:bookmarkStart w:id="26153" w:name="_ETM_Q44_461660"/>
      <w:bookmarkStart w:id="26154" w:name="_ETM_Q44_462260"/>
      <w:bookmarkEnd w:id="26151"/>
      <w:bookmarkEnd w:id="26152"/>
      <w:bookmarkEnd w:id="26153"/>
      <w:bookmarkEnd w:id="26154"/>
      <w:r>
        <w:rPr>
          <w:rFonts w:hint="cs"/>
          <w:rtl/>
        </w:rPr>
        <w:t xml:space="preserve">זה לשני </w:t>
      </w:r>
      <w:bookmarkStart w:id="26155" w:name="_ETM_Q44_462620"/>
      <w:bookmarkEnd w:id="26155"/>
      <w:r>
        <w:rPr>
          <w:rFonts w:hint="cs"/>
          <w:rtl/>
        </w:rPr>
        <w:t xml:space="preserve">העמים. </w:t>
      </w:r>
      <w:bookmarkStart w:id="26156" w:name="_ETM_Q44_464029"/>
      <w:bookmarkEnd w:id="26156"/>
      <w:r>
        <w:rPr>
          <w:rFonts w:hint="cs"/>
          <w:rtl/>
        </w:rPr>
        <w:t xml:space="preserve">דמוקרטיה </w:t>
      </w:r>
      <w:bookmarkStart w:id="26157" w:name="_ETM_Q44_464809"/>
      <w:bookmarkEnd w:id="26157"/>
      <w:r>
        <w:rPr>
          <w:rFonts w:hint="cs"/>
          <w:rtl/>
        </w:rPr>
        <w:t xml:space="preserve">אמיתית </w:t>
      </w:r>
      <w:bookmarkStart w:id="26158" w:name="_ETM_Q44_465469"/>
      <w:bookmarkEnd w:id="26158"/>
      <w:r>
        <w:rPr>
          <w:rFonts w:hint="cs"/>
          <w:rtl/>
        </w:rPr>
        <w:t xml:space="preserve">זה </w:t>
      </w:r>
      <w:bookmarkStart w:id="26159" w:name="_ETM_Q44_465740"/>
      <w:bookmarkEnd w:id="26159"/>
      <w:r>
        <w:rPr>
          <w:rFonts w:hint="cs"/>
          <w:rtl/>
        </w:rPr>
        <w:t xml:space="preserve">לא </w:t>
      </w:r>
      <w:bookmarkStart w:id="26160" w:name="_ETM_Q44_465889"/>
      <w:bookmarkEnd w:id="26160"/>
      <w:r>
        <w:rPr>
          <w:rFonts w:hint="cs"/>
          <w:rtl/>
        </w:rPr>
        <w:t xml:space="preserve">לעם אחד, זה </w:t>
      </w:r>
      <w:bookmarkStart w:id="26161" w:name="_ETM_Q44_466189"/>
      <w:bookmarkStart w:id="26162" w:name="_ETM_Q44_467339"/>
      <w:bookmarkEnd w:id="26161"/>
      <w:bookmarkEnd w:id="26162"/>
      <w:r>
        <w:rPr>
          <w:rFonts w:hint="cs"/>
          <w:rtl/>
        </w:rPr>
        <w:t xml:space="preserve">לכל </w:t>
      </w:r>
      <w:bookmarkStart w:id="26163" w:name="_ETM_Q44_468150"/>
      <w:bookmarkEnd w:id="26163"/>
      <w:r>
        <w:rPr>
          <w:rFonts w:hint="cs"/>
          <w:rtl/>
        </w:rPr>
        <w:t xml:space="preserve">האזרחים, </w:t>
      </w:r>
      <w:bookmarkStart w:id="26164" w:name="_ETM_Q44_469410"/>
      <w:bookmarkEnd w:id="26164"/>
      <w:r>
        <w:rPr>
          <w:rFonts w:hint="cs"/>
          <w:rtl/>
        </w:rPr>
        <w:t xml:space="preserve">אחרת </w:t>
      </w:r>
      <w:bookmarkStart w:id="26165" w:name="_ETM_Q44_470460"/>
      <w:bookmarkEnd w:id="26165"/>
      <w:r>
        <w:rPr>
          <w:rFonts w:hint="cs"/>
          <w:rtl/>
        </w:rPr>
        <w:t xml:space="preserve">היא </w:t>
      </w:r>
      <w:bookmarkStart w:id="26166" w:name="_ETM_Q44_470850"/>
      <w:bookmarkEnd w:id="26166"/>
      <w:r>
        <w:rPr>
          <w:rFonts w:hint="cs"/>
          <w:rtl/>
        </w:rPr>
        <w:t>אתנו-דמוקרטיה</w:t>
      </w:r>
      <w:r w:rsidR="000E79D7">
        <w:rPr>
          <w:rFonts w:hint="cs"/>
          <w:rtl/>
        </w:rPr>
        <w:t>,</w:t>
      </w:r>
      <w:r>
        <w:rPr>
          <w:rFonts w:hint="cs"/>
          <w:rtl/>
        </w:rPr>
        <w:t xml:space="preserve"> היא </w:t>
      </w:r>
      <w:bookmarkStart w:id="26167" w:name="_ETM_Q44_471509"/>
      <w:bookmarkStart w:id="26168" w:name="_ETM_Q44_472380"/>
      <w:bookmarkEnd w:id="26167"/>
      <w:bookmarkEnd w:id="26168"/>
      <w:r>
        <w:rPr>
          <w:rFonts w:hint="cs"/>
          <w:rtl/>
        </w:rPr>
        <w:t xml:space="preserve">דמוקרטיה </w:t>
      </w:r>
      <w:bookmarkStart w:id="26169" w:name="_ETM_Q44_473699"/>
      <w:bookmarkEnd w:id="26169"/>
      <w:r>
        <w:rPr>
          <w:rFonts w:hint="cs"/>
          <w:rtl/>
        </w:rPr>
        <w:t xml:space="preserve">לעם אחד </w:t>
      </w:r>
      <w:bookmarkStart w:id="26170" w:name="_ETM_Q44_474641"/>
      <w:bookmarkEnd w:id="26170"/>
      <w:r>
        <w:rPr>
          <w:rFonts w:hint="cs"/>
          <w:rtl/>
        </w:rPr>
        <w:t xml:space="preserve">ולא </w:t>
      </w:r>
      <w:bookmarkStart w:id="26171" w:name="_ETM_Q44_473880"/>
      <w:bookmarkStart w:id="26172" w:name="_ETM_Q44_474569"/>
      <w:bookmarkStart w:id="26173" w:name="_ETM_Q44_474900"/>
      <w:bookmarkStart w:id="26174" w:name="_ETM_Q44_475710"/>
      <w:bookmarkStart w:id="26175" w:name="_ETM_Q44_476069"/>
      <w:bookmarkEnd w:id="26171"/>
      <w:bookmarkEnd w:id="26172"/>
      <w:bookmarkEnd w:id="26173"/>
      <w:bookmarkEnd w:id="26174"/>
      <w:bookmarkEnd w:id="26175"/>
      <w:r>
        <w:rPr>
          <w:rFonts w:hint="cs"/>
          <w:rtl/>
        </w:rPr>
        <w:t xml:space="preserve">דמוקרטיה </w:t>
      </w:r>
      <w:bookmarkStart w:id="26176" w:name="_ETM_Q44_476759"/>
      <w:bookmarkEnd w:id="26176"/>
      <w:r>
        <w:rPr>
          <w:rFonts w:hint="cs"/>
          <w:rtl/>
        </w:rPr>
        <w:t xml:space="preserve">לשני </w:t>
      </w:r>
      <w:bookmarkStart w:id="26177" w:name="_ETM_Q44_477180"/>
      <w:bookmarkEnd w:id="26177"/>
      <w:r>
        <w:rPr>
          <w:rFonts w:hint="cs"/>
          <w:rtl/>
        </w:rPr>
        <w:t xml:space="preserve">העמים </w:t>
      </w:r>
      <w:bookmarkStart w:id="26178" w:name="_ETM_Q44_478080"/>
      <w:bookmarkEnd w:id="26178"/>
      <w:r>
        <w:rPr>
          <w:rFonts w:hint="cs"/>
          <w:rtl/>
        </w:rPr>
        <w:t xml:space="preserve">ולכל </w:t>
      </w:r>
      <w:bookmarkStart w:id="26179" w:name="_ETM_Q44_478650"/>
      <w:bookmarkEnd w:id="26179"/>
      <w:r>
        <w:rPr>
          <w:rFonts w:hint="cs"/>
          <w:rtl/>
        </w:rPr>
        <w:t>האזרחים.</w:t>
      </w:r>
    </w:p>
    <w:p w:rsidR="00BB59CD" w:rsidRDefault="00BB59CD" w:rsidP="00BB59CD">
      <w:pPr>
        <w:rPr>
          <w:rtl/>
        </w:rPr>
      </w:pPr>
      <w:bookmarkStart w:id="26180" w:name="_ETM_Q44_482994"/>
      <w:bookmarkStart w:id="26181" w:name="_ETM_Q44_483140"/>
      <w:bookmarkEnd w:id="26180"/>
      <w:bookmarkEnd w:id="26181"/>
    </w:p>
    <w:p w:rsidR="00C878C9" w:rsidRDefault="00BB59CD" w:rsidP="00BB59CD">
      <w:pPr>
        <w:rPr>
          <w:rtl/>
        </w:rPr>
      </w:pPr>
      <w:bookmarkStart w:id="26182" w:name="_ETM_Q44_483233"/>
      <w:bookmarkStart w:id="26183" w:name="_ETM_Q44_483363"/>
      <w:bookmarkStart w:id="26184" w:name="_ETM_Q44_480730"/>
      <w:bookmarkEnd w:id="26182"/>
      <w:bookmarkEnd w:id="26183"/>
      <w:bookmarkEnd w:id="26184"/>
      <w:r>
        <w:rPr>
          <w:rFonts w:hint="cs"/>
          <w:rtl/>
        </w:rPr>
        <w:t xml:space="preserve">אני </w:t>
      </w:r>
      <w:bookmarkStart w:id="26185" w:name="_ETM_Q44_481120"/>
      <w:bookmarkEnd w:id="26185"/>
      <w:r>
        <w:rPr>
          <w:rFonts w:hint="cs"/>
          <w:rtl/>
        </w:rPr>
        <w:t xml:space="preserve">רוצה </w:t>
      </w:r>
      <w:bookmarkStart w:id="26186" w:name="_ETM_Q44_481390"/>
      <w:bookmarkStart w:id="26187" w:name="_ETM_Q44_481779"/>
      <w:bookmarkStart w:id="26188" w:name="_ETM_Q44_482110"/>
      <w:bookmarkEnd w:id="26186"/>
      <w:bookmarkEnd w:id="26187"/>
      <w:bookmarkEnd w:id="26188"/>
      <w:r>
        <w:rPr>
          <w:rFonts w:hint="cs"/>
          <w:rtl/>
        </w:rPr>
        <w:t xml:space="preserve">להוסיף </w:t>
      </w:r>
      <w:bookmarkStart w:id="26189" w:name="_ETM_Q44_482919"/>
      <w:bookmarkEnd w:id="26189"/>
      <w:r>
        <w:rPr>
          <w:rFonts w:hint="cs"/>
          <w:rtl/>
        </w:rPr>
        <w:t xml:space="preserve">ולומר </w:t>
      </w:r>
      <w:bookmarkStart w:id="26190" w:name="_ETM_Q44_483429"/>
      <w:bookmarkStart w:id="26191" w:name="_ETM_Q44_483520"/>
      <w:bookmarkEnd w:id="26190"/>
      <w:bookmarkEnd w:id="26191"/>
      <w:r>
        <w:rPr>
          <w:rFonts w:hint="cs"/>
          <w:rtl/>
        </w:rPr>
        <w:t xml:space="preserve">שני </w:t>
      </w:r>
      <w:bookmarkStart w:id="26192" w:name="_ETM_Q44_483730"/>
      <w:bookmarkEnd w:id="26192"/>
      <w:r>
        <w:rPr>
          <w:rFonts w:hint="cs"/>
          <w:rtl/>
        </w:rPr>
        <w:t xml:space="preserve">דברים: </w:t>
      </w:r>
      <w:bookmarkStart w:id="26193" w:name="_ETM_Q44_488010"/>
      <w:bookmarkEnd w:id="26193"/>
      <w:r>
        <w:rPr>
          <w:rFonts w:hint="cs"/>
          <w:rtl/>
        </w:rPr>
        <w:t xml:space="preserve">1. מה </w:t>
      </w:r>
      <w:bookmarkStart w:id="26194" w:name="_ETM_Q44_485129"/>
      <w:bookmarkStart w:id="26195" w:name="_ETM_Q44_485580"/>
      <w:bookmarkStart w:id="26196" w:name="_ETM_Q44_485939"/>
      <w:bookmarkEnd w:id="26194"/>
      <w:bookmarkEnd w:id="26195"/>
      <w:bookmarkEnd w:id="26196"/>
      <w:r>
        <w:rPr>
          <w:rFonts w:hint="cs"/>
          <w:rtl/>
        </w:rPr>
        <w:t xml:space="preserve">המטרה </w:t>
      </w:r>
      <w:bookmarkStart w:id="26197" w:name="_ETM_Q44_486569"/>
      <w:bookmarkEnd w:id="26197"/>
      <w:r>
        <w:rPr>
          <w:rFonts w:hint="cs"/>
          <w:rtl/>
        </w:rPr>
        <w:t xml:space="preserve">העיקרית </w:t>
      </w:r>
      <w:bookmarkStart w:id="26198" w:name="_ETM_Q44_487019"/>
      <w:bookmarkEnd w:id="26198"/>
      <w:r>
        <w:rPr>
          <w:rFonts w:hint="cs"/>
          <w:rtl/>
        </w:rPr>
        <w:t xml:space="preserve">של </w:t>
      </w:r>
      <w:bookmarkStart w:id="26199" w:name="_ETM_Q44_487229"/>
      <w:bookmarkEnd w:id="26199"/>
      <w:r>
        <w:rPr>
          <w:rFonts w:hint="cs"/>
          <w:rtl/>
        </w:rPr>
        <w:t xml:space="preserve">ההפיכה </w:t>
      </w:r>
      <w:bookmarkStart w:id="26200" w:name="_ETM_Q44_487740"/>
      <w:bookmarkEnd w:id="26200"/>
      <w:r>
        <w:rPr>
          <w:rFonts w:hint="cs"/>
          <w:rtl/>
        </w:rPr>
        <w:t xml:space="preserve">המשטרית? </w:t>
      </w:r>
      <w:bookmarkStart w:id="26201" w:name="_ETM_Q44_489749"/>
      <w:bookmarkEnd w:id="26201"/>
      <w:r>
        <w:rPr>
          <w:rFonts w:hint="cs"/>
          <w:rtl/>
        </w:rPr>
        <w:t xml:space="preserve">המטרה </w:t>
      </w:r>
      <w:bookmarkStart w:id="26202" w:name="_ETM_Q44_490830"/>
      <w:bookmarkEnd w:id="26202"/>
      <w:r>
        <w:rPr>
          <w:rFonts w:hint="cs"/>
          <w:rtl/>
        </w:rPr>
        <w:t xml:space="preserve">העיקרית </w:t>
      </w:r>
      <w:bookmarkStart w:id="26203" w:name="_ETM_Q44_491850"/>
      <w:bookmarkEnd w:id="26203"/>
      <w:r>
        <w:rPr>
          <w:rFonts w:hint="cs"/>
          <w:rtl/>
        </w:rPr>
        <w:t xml:space="preserve">זה </w:t>
      </w:r>
      <w:bookmarkStart w:id="26204" w:name="_ETM_Q44_492210"/>
      <w:bookmarkEnd w:id="26204"/>
      <w:r>
        <w:rPr>
          <w:rFonts w:hint="cs"/>
          <w:rtl/>
        </w:rPr>
        <w:t xml:space="preserve">לספח את אזורי </w:t>
      </w:r>
      <w:r>
        <w:t>C</w:t>
      </w:r>
      <w:r>
        <w:rPr>
          <w:rFonts w:hint="cs"/>
          <w:rtl/>
        </w:rPr>
        <w:t xml:space="preserve">. </w:t>
      </w:r>
      <w:bookmarkStart w:id="26205" w:name="_ETM_Q44_493170"/>
      <w:bookmarkStart w:id="26206" w:name="_ETM_Q44_493470"/>
      <w:bookmarkStart w:id="26207" w:name="_ETM_Q44_493889"/>
      <w:bookmarkStart w:id="26208" w:name="_ETM_Q44_497089"/>
      <w:bookmarkEnd w:id="26205"/>
      <w:bookmarkEnd w:id="26206"/>
      <w:bookmarkEnd w:id="26207"/>
      <w:bookmarkEnd w:id="26208"/>
      <w:r>
        <w:rPr>
          <w:rFonts w:hint="cs"/>
          <w:rtl/>
        </w:rPr>
        <w:t xml:space="preserve">לכן </w:t>
      </w:r>
      <w:bookmarkStart w:id="26209" w:name="_ETM_Q44_497630"/>
      <w:bookmarkEnd w:id="26209"/>
      <w:r>
        <w:rPr>
          <w:rFonts w:hint="cs"/>
          <w:rtl/>
        </w:rPr>
        <w:t xml:space="preserve">חייבים </w:t>
      </w:r>
      <w:bookmarkStart w:id="26210" w:name="_ETM_Q44_499019"/>
      <w:bookmarkEnd w:id="26210"/>
      <w:r>
        <w:rPr>
          <w:rFonts w:hint="cs"/>
          <w:rtl/>
        </w:rPr>
        <w:t xml:space="preserve">לקשור </w:t>
      </w:r>
      <w:bookmarkStart w:id="26211" w:name="_ETM_Q44_500210"/>
      <w:bookmarkEnd w:id="26211"/>
      <w:r>
        <w:rPr>
          <w:rFonts w:hint="cs"/>
          <w:rtl/>
        </w:rPr>
        <w:t xml:space="preserve">בין </w:t>
      </w:r>
      <w:bookmarkStart w:id="26212" w:name="_ETM_Q44_500630"/>
      <w:bookmarkEnd w:id="26212"/>
      <w:r>
        <w:rPr>
          <w:rFonts w:hint="cs"/>
          <w:rtl/>
        </w:rPr>
        <w:t xml:space="preserve">הפגיעה </w:t>
      </w:r>
      <w:bookmarkStart w:id="26213" w:name="_ETM_Q44_501230"/>
      <w:bookmarkEnd w:id="26213"/>
      <w:r>
        <w:rPr>
          <w:rFonts w:hint="cs"/>
          <w:rtl/>
        </w:rPr>
        <w:t xml:space="preserve">במרחב </w:t>
      </w:r>
      <w:bookmarkStart w:id="26214" w:name="_ETM_Q44_501769"/>
      <w:bookmarkEnd w:id="26214"/>
      <w:r>
        <w:rPr>
          <w:rFonts w:hint="cs"/>
          <w:rtl/>
        </w:rPr>
        <w:t xml:space="preserve">הדמוקרטי </w:t>
      </w:r>
      <w:bookmarkStart w:id="26215" w:name="_ETM_Q44_503180"/>
      <w:bookmarkEnd w:id="26215"/>
      <w:r>
        <w:rPr>
          <w:rFonts w:hint="cs"/>
          <w:rtl/>
        </w:rPr>
        <w:t xml:space="preserve">לבין </w:t>
      </w:r>
      <w:bookmarkStart w:id="26216" w:name="_ETM_Q44_503779"/>
      <w:bookmarkEnd w:id="26216"/>
      <w:r>
        <w:rPr>
          <w:rFonts w:hint="cs"/>
          <w:rtl/>
        </w:rPr>
        <w:t xml:space="preserve">שלילת זכות </w:t>
      </w:r>
      <w:bookmarkStart w:id="26217" w:name="_ETM_Q44_506264"/>
      <w:bookmarkEnd w:id="26217"/>
      <w:r>
        <w:rPr>
          <w:rFonts w:hint="cs"/>
          <w:rtl/>
        </w:rPr>
        <w:t xml:space="preserve">העם הפלסטיני. </w:t>
      </w:r>
      <w:bookmarkStart w:id="26218" w:name="_ETM_Q44_504500"/>
      <w:bookmarkStart w:id="26219" w:name="_ETM_Q44_504980"/>
      <w:bookmarkStart w:id="26220" w:name="_ETM_Q44_505250"/>
      <w:bookmarkStart w:id="26221" w:name="_ETM_Q44_506990"/>
      <w:bookmarkEnd w:id="26218"/>
      <w:bookmarkEnd w:id="26219"/>
      <w:bookmarkEnd w:id="26220"/>
      <w:bookmarkEnd w:id="26221"/>
      <w:r>
        <w:rPr>
          <w:rFonts w:hint="cs"/>
          <w:rtl/>
        </w:rPr>
        <w:t xml:space="preserve">אני </w:t>
      </w:r>
      <w:bookmarkStart w:id="26222" w:name="_ETM_Q44_507289"/>
      <w:bookmarkEnd w:id="26222"/>
      <w:r>
        <w:rPr>
          <w:rFonts w:hint="cs"/>
          <w:rtl/>
        </w:rPr>
        <w:t xml:space="preserve">רוצה </w:t>
      </w:r>
      <w:bookmarkStart w:id="26223" w:name="_ETM_Q44_507710"/>
      <w:bookmarkEnd w:id="26223"/>
      <w:r>
        <w:rPr>
          <w:rFonts w:hint="cs"/>
          <w:rtl/>
        </w:rPr>
        <w:t xml:space="preserve">להוסיף מהצד השני: </w:t>
      </w:r>
      <w:bookmarkStart w:id="26224" w:name="_ETM_Q44_507890"/>
      <w:bookmarkStart w:id="26225" w:name="_ETM_Q44_508339"/>
      <w:bookmarkStart w:id="26226" w:name="_ETM_Q44_508849"/>
      <w:bookmarkStart w:id="26227" w:name="_ETM_Q44_510939"/>
      <w:bookmarkStart w:id="26228" w:name="_ETM_Q44_512110"/>
      <w:bookmarkEnd w:id="26224"/>
      <w:bookmarkEnd w:id="26225"/>
      <w:bookmarkEnd w:id="26226"/>
      <w:bookmarkEnd w:id="26227"/>
      <w:bookmarkEnd w:id="26228"/>
      <w:r>
        <w:rPr>
          <w:rFonts w:hint="cs"/>
          <w:rtl/>
        </w:rPr>
        <w:t xml:space="preserve">מאיפה מגיע </w:t>
      </w:r>
      <w:bookmarkStart w:id="26229" w:name="_ETM_Q44_512770"/>
      <w:bookmarkEnd w:id="26229"/>
      <w:r>
        <w:rPr>
          <w:rFonts w:hint="cs"/>
          <w:rtl/>
        </w:rPr>
        <w:t xml:space="preserve">הפשיזם </w:t>
      </w:r>
      <w:bookmarkStart w:id="26230" w:name="_ETM_Q44_513489"/>
      <w:bookmarkEnd w:id="26230"/>
      <w:r>
        <w:rPr>
          <w:rFonts w:hint="cs"/>
          <w:rtl/>
        </w:rPr>
        <w:t xml:space="preserve">לתוך </w:t>
      </w:r>
      <w:bookmarkStart w:id="26231" w:name="_ETM_Q44_513820"/>
      <w:bookmarkEnd w:id="26231"/>
      <w:r>
        <w:rPr>
          <w:rFonts w:hint="cs"/>
          <w:rtl/>
        </w:rPr>
        <w:t xml:space="preserve">מדינת </w:t>
      </w:r>
      <w:bookmarkStart w:id="26232" w:name="_ETM_Q44_514180"/>
      <w:bookmarkEnd w:id="26232"/>
      <w:r>
        <w:rPr>
          <w:rFonts w:hint="cs"/>
          <w:rtl/>
        </w:rPr>
        <w:t xml:space="preserve">ישראל? </w:t>
      </w:r>
      <w:bookmarkStart w:id="26233" w:name="_ETM_Q44_516470"/>
      <w:bookmarkEnd w:id="26233"/>
    </w:p>
    <w:p w:rsidR="00C878C9" w:rsidRDefault="00C878C9" w:rsidP="00BB59CD">
      <w:pPr>
        <w:rPr>
          <w:rtl/>
        </w:rPr>
      </w:pPr>
      <w:bookmarkStart w:id="26234" w:name="_ETM_Q0_26162966"/>
      <w:bookmarkStart w:id="26235" w:name="_ETM_Q0_26163108"/>
      <w:bookmarkStart w:id="26236" w:name="_ETM_Q0_26163157"/>
      <w:bookmarkEnd w:id="26234"/>
      <w:bookmarkEnd w:id="26235"/>
      <w:bookmarkEnd w:id="26236"/>
    </w:p>
    <w:p w:rsidR="00BB59CD" w:rsidRDefault="00BB59CD" w:rsidP="00C878C9">
      <w:pPr>
        <w:rPr>
          <w:rtl/>
        </w:rPr>
      </w:pPr>
      <w:bookmarkStart w:id="26237" w:name="_ETM_Q0_26163274"/>
      <w:bookmarkEnd w:id="26237"/>
      <w:r>
        <w:rPr>
          <w:rFonts w:hint="cs"/>
          <w:rtl/>
        </w:rPr>
        <w:t xml:space="preserve">הפשיזם מגיע </w:t>
      </w:r>
      <w:bookmarkStart w:id="26238" w:name="_ETM_Q44_516800"/>
      <w:bookmarkStart w:id="26239" w:name="_ETM_Q44_517130"/>
      <w:bookmarkStart w:id="26240" w:name="_ETM_Q44_520400"/>
      <w:bookmarkStart w:id="26241" w:name="_ETM_Q44_521390"/>
      <w:bookmarkEnd w:id="26238"/>
      <w:bookmarkEnd w:id="26239"/>
      <w:bookmarkEnd w:id="26240"/>
      <w:bookmarkEnd w:id="26241"/>
      <w:r>
        <w:rPr>
          <w:rFonts w:hint="cs"/>
          <w:rtl/>
        </w:rPr>
        <w:t xml:space="preserve">– טוב, </w:t>
      </w:r>
      <w:bookmarkStart w:id="26242" w:name="_ETM_Q44_521900"/>
      <w:bookmarkEnd w:id="26242"/>
      <w:r>
        <w:rPr>
          <w:rFonts w:hint="cs"/>
          <w:rtl/>
        </w:rPr>
        <w:t xml:space="preserve">הינה, החלפתם את המים, זה לא מההתנחלויות. כל הכבוד. כל </w:t>
      </w:r>
      <w:bookmarkStart w:id="26243" w:name="_ETM_Q44_528714"/>
      <w:bookmarkEnd w:id="26243"/>
      <w:r>
        <w:rPr>
          <w:rFonts w:hint="cs"/>
          <w:rtl/>
        </w:rPr>
        <w:t>הכבוד. אז שמעתם להערה שלי ו</w:t>
      </w:r>
      <w:bookmarkStart w:id="26244" w:name="_ETM_Q44_521659"/>
      <w:bookmarkStart w:id="26245" w:name="_ETM_Q44_521779"/>
      <w:bookmarkEnd w:id="26244"/>
      <w:bookmarkEnd w:id="26245"/>
      <w:r>
        <w:rPr>
          <w:rFonts w:hint="cs"/>
          <w:rtl/>
        </w:rPr>
        <w:t xml:space="preserve">החלפתם </w:t>
      </w:r>
      <w:bookmarkStart w:id="26246" w:name="_ETM_Q44_522350"/>
      <w:bookmarkEnd w:id="26246"/>
      <w:r>
        <w:rPr>
          <w:rFonts w:hint="cs"/>
          <w:rtl/>
        </w:rPr>
        <w:t xml:space="preserve">את </w:t>
      </w:r>
      <w:bookmarkStart w:id="26247" w:name="_ETM_Q44_522529"/>
      <w:bookmarkEnd w:id="26247"/>
      <w:r>
        <w:rPr>
          <w:rFonts w:hint="cs"/>
          <w:rtl/>
        </w:rPr>
        <w:t xml:space="preserve">מקור המים. במקום </w:t>
      </w:r>
      <w:bookmarkStart w:id="26248" w:name="_ETM_Q44_533551"/>
      <w:bookmarkEnd w:id="26248"/>
      <w:r>
        <w:rPr>
          <w:rFonts w:hint="cs"/>
          <w:rtl/>
        </w:rPr>
        <w:t>"מי עדן"</w:t>
      </w:r>
      <w:r w:rsidR="00C878C9">
        <w:rPr>
          <w:rFonts w:hint="cs"/>
          <w:rtl/>
        </w:rPr>
        <w:t>,</w:t>
      </w:r>
      <w:r>
        <w:rPr>
          <w:rFonts w:hint="cs"/>
          <w:rtl/>
        </w:rPr>
        <w:t xml:space="preserve"> מההתנחלויות</w:t>
      </w:r>
      <w:r w:rsidR="00C878C9">
        <w:rPr>
          <w:rFonts w:hint="cs"/>
          <w:rtl/>
        </w:rPr>
        <w:t>,</w:t>
      </w:r>
      <w:r>
        <w:rPr>
          <w:rFonts w:hint="cs"/>
          <w:rtl/>
        </w:rPr>
        <w:t xml:space="preserve"> הבאתם מים מתוך מדינת ישראל. </w:t>
      </w:r>
      <w:bookmarkStart w:id="26249" w:name="_ETM_Q44_523370"/>
      <w:bookmarkStart w:id="26250" w:name="_ETM_Q44_523579"/>
      <w:bookmarkStart w:id="26251" w:name="_ETM_Q44_523940"/>
      <w:bookmarkStart w:id="26252" w:name="_ETM_Q44_524120"/>
      <w:bookmarkStart w:id="26253" w:name="_ETM_Q44_524239"/>
      <w:bookmarkStart w:id="26254" w:name="_ETM_Q44_525229"/>
      <w:bookmarkStart w:id="26255" w:name="_ETM_Q44_525469"/>
      <w:bookmarkStart w:id="26256" w:name="_ETM_Q44_527120"/>
      <w:bookmarkStart w:id="26257" w:name="_ETM_Q44_527880"/>
      <w:bookmarkStart w:id="26258" w:name="_ETM_Q44_529699"/>
      <w:bookmarkStart w:id="26259" w:name="_ETM_Q44_530300"/>
      <w:bookmarkStart w:id="26260" w:name="_ETM_Q44_530660"/>
      <w:bookmarkStart w:id="26261" w:name="_ETM_Q44_532339"/>
      <w:bookmarkStart w:id="26262" w:name="_ETM_Q44_532550"/>
      <w:bookmarkStart w:id="26263" w:name="_ETM_Q44_532940"/>
      <w:bookmarkStart w:id="26264" w:name="_ETM_Q44_533210"/>
      <w:bookmarkStart w:id="26265" w:name="_ETM_Q44_534050"/>
      <w:bookmarkStart w:id="26266" w:name="_ETM_Q44_536850"/>
      <w:bookmarkStart w:id="26267" w:name="_ETM_Q44_537809"/>
      <w:bookmarkStart w:id="26268" w:name="_ETM_Q44_538949"/>
      <w:bookmarkStart w:id="26269" w:name="_ETM_Q44_540029"/>
      <w:bookmarkStart w:id="26270" w:name="_ETM_Q44_540240"/>
      <w:bookmarkStart w:id="26271" w:name="_ETM_Q44_540390"/>
      <w:bookmarkStart w:id="26272" w:name="_ETM_Q44_540690"/>
      <w:bookmarkStart w:id="26273" w:name="_ETM_Q44_540960"/>
      <w:bookmarkStart w:id="26274" w:name="_ETM_Q44_541830"/>
      <w:bookmarkStart w:id="26275" w:name="_ETM_Q0_26165429"/>
      <w:bookmarkStart w:id="26276" w:name="_ETM_Q0_26165514"/>
      <w:bookmarkStart w:id="26277" w:name="_ETM_Q0_26165574"/>
      <w:bookmarkStart w:id="26278" w:name="_ETM_Q0_26165670"/>
      <w:bookmarkEnd w:id="26249"/>
      <w:bookmarkEnd w:id="26250"/>
      <w:bookmarkEnd w:id="26251"/>
      <w:bookmarkEnd w:id="26252"/>
      <w:bookmarkEnd w:id="26253"/>
      <w:bookmarkEnd w:id="26254"/>
      <w:bookmarkEnd w:id="26255"/>
      <w:bookmarkEnd w:id="26256"/>
      <w:bookmarkEnd w:id="26257"/>
      <w:bookmarkEnd w:id="26258"/>
      <w:bookmarkEnd w:id="26259"/>
      <w:bookmarkEnd w:id="26260"/>
      <w:bookmarkEnd w:id="26261"/>
      <w:bookmarkEnd w:id="26262"/>
      <w:bookmarkEnd w:id="26263"/>
      <w:bookmarkEnd w:id="26264"/>
      <w:bookmarkEnd w:id="26265"/>
      <w:bookmarkEnd w:id="26266"/>
      <w:bookmarkEnd w:id="26267"/>
      <w:bookmarkEnd w:id="26268"/>
      <w:bookmarkEnd w:id="26269"/>
      <w:bookmarkEnd w:id="26270"/>
      <w:bookmarkEnd w:id="26271"/>
      <w:bookmarkEnd w:id="26272"/>
      <w:bookmarkEnd w:id="26273"/>
      <w:bookmarkEnd w:id="26274"/>
      <w:bookmarkEnd w:id="26275"/>
      <w:bookmarkEnd w:id="26276"/>
      <w:bookmarkEnd w:id="26277"/>
      <w:bookmarkEnd w:id="26278"/>
      <w:r>
        <w:rPr>
          <w:rFonts w:hint="cs"/>
          <w:rtl/>
        </w:rPr>
        <w:t xml:space="preserve">אנחנו </w:t>
      </w:r>
      <w:bookmarkStart w:id="26279" w:name="_ETM_Q44_542310"/>
      <w:bookmarkEnd w:id="26279"/>
      <w:r>
        <w:rPr>
          <w:rFonts w:hint="cs"/>
          <w:rtl/>
        </w:rPr>
        <w:t xml:space="preserve">כנים, </w:t>
      </w:r>
      <w:bookmarkStart w:id="26280" w:name="_ETM_Q44_540241"/>
      <w:bookmarkStart w:id="26281" w:name="_ETM_Q44_542580"/>
      <w:bookmarkStart w:id="26282" w:name="_ETM_Q44_542640"/>
      <w:bookmarkEnd w:id="26280"/>
      <w:bookmarkEnd w:id="26281"/>
      <w:bookmarkEnd w:id="26282"/>
      <w:r>
        <w:rPr>
          <w:rFonts w:hint="cs"/>
          <w:rtl/>
        </w:rPr>
        <w:t xml:space="preserve">רוצים </w:t>
      </w:r>
      <w:bookmarkStart w:id="26283" w:name="_ETM_Q44_543000"/>
      <w:bookmarkEnd w:id="26283"/>
      <w:r>
        <w:rPr>
          <w:rFonts w:hint="cs"/>
          <w:rtl/>
        </w:rPr>
        <w:t xml:space="preserve">שתי </w:t>
      </w:r>
      <w:bookmarkStart w:id="26284" w:name="_ETM_Q44_543240"/>
      <w:bookmarkEnd w:id="26284"/>
      <w:r>
        <w:rPr>
          <w:rFonts w:hint="cs"/>
          <w:rtl/>
        </w:rPr>
        <w:t>מדינות</w:t>
      </w:r>
      <w:bookmarkStart w:id="26285" w:name="_ETM_Q44_543660"/>
      <w:bookmarkEnd w:id="26285"/>
      <w:r w:rsidR="00C878C9">
        <w:rPr>
          <w:rFonts w:hint="cs"/>
          <w:rtl/>
        </w:rPr>
        <w:t>,</w:t>
      </w:r>
      <w:r>
        <w:rPr>
          <w:rFonts w:hint="cs"/>
          <w:rtl/>
        </w:rPr>
        <w:t xml:space="preserve"> מדינה </w:t>
      </w:r>
      <w:bookmarkStart w:id="26286" w:name="_ETM_Q44_544020"/>
      <w:bookmarkEnd w:id="26286"/>
      <w:r>
        <w:rPr>
          <w:rFonts w:hint="cs"/>
          <w:rtl/>
        </w:rPr>
        <w:t xml:space="preserve">לצד </w:t>
      </w:r>
      <w:bookmarkStart w:id="26287" w:name="_ETM_Q44_544350"/>
      <w:bookmarkEnd w:id="26287"/>
      <w:r w:rsidR="00C878C9">
        <w:rPr>
          <w:rFonts w:hint="cs"/>
          <w:rtl/>
        </w:rPr>
        <w:t>מדינה,</w:t>
      </w:r>
      <w:r>
        <w:rPr>
          <w:rFonts w:hint="cs"/>
          <w:rtl/>
        </w:rPr>
        <w:t xml:space="preserve"> </w:t>
      </w:r>
      <w:bookmarkStart w:id="26288" w:name="_ETM_Q44_545160"/>
      <w:bookmarkEnd w:id="26288"/>
      <w:r>
        <w:rPr>
          <w:rFonts w:hint="cs"/>
          <w:rtl/>
        </w:rPr>
        <w:t xml:space="preserve">לכן </w:t>
      </w:r>
      <w:bookmarkStart w:id="26289" w:name="_ETM_Q44_545520"/>
      <w:bookmarkEnd w:id="26289"/>
      <w:r>
        <w:rPr>
          <w:rFonts w:hint="cs"/>
          <w:rtl/>
        </w:rPr>
        <w:t xml:space="preserve">אני </w:t>
      </w:r>
      <w:bookmarkStart w:id="26290" w:name="_ETM_Q44_545730"/>
      <w:bookmarkEnd w:id="26290"/>
      <w:r>
        <w:rPr>
          <w:rFonts w:hint="cs"/>
          <w:rtl/>
        </w:rPr>
        <w:t xml:space="preserve">שותה </w:t>
      </w:r>
      <w:bookmarkStart w:id="26291" w:name="_ETM_Q44_546089"/>
      <w:bookmarkEnd w:id="26291"/>
      <w:r>
        <w:rPr>
          <w:rFonts w:hint="cs"/>
          <w:rtl/>
        </w:rPr>
        <w:t xml:space="preserve">מים שמוציאים </w:t>
      </w:r>
      <w:bookmarkStart w:id="26292" w:name="_ETM_Q44_547020"/>
      <w:bookmarkStart w:id="26293" w:name="_ETM_Q44_547799"/>
      <w:bookmarkEnd w:id="26292"/>
      <w:bookmarkEnd w:id="26293"/>
      <w:r>
        <w:rPr>
          <w:rFonts w:hint="cs"/>
          <w:rtl/>
        </w:rPr>
        <w:t xml:space="preserve">מתוך </w:t>
      </w:r>
      <w:bookmarkStart w:id="26294" w:name="_ETM_Q44_548100"/>
      <w:bookmarkEnd w:id="26294"/>
      <w:r>
        <w:rPr>
          <w:rFonts w:hint="cs"/>
          <w:rtl/>
        </w:rPr>
        <w:t xml:space="preserve">מדינת </w:t>
      </w:r>
      <w:bookmarkStart w:id="26295" w:name="_ETM_Q44_548430"/>
      <w:bookmarkEnd w:id="26295"/>
      <w:r>
        <w:rPr>
          <w:rFonts w:hint="cs"/>
          <w:rtl/>
        </w:rPr>
        <w:t xml:space="preserve">ישראל, </w:t>
      </w:r>
      <w:bookmarkStart w:id="26296" w:name="_ETM_Q44_548850"/>
      <w:bookmarkEnd w:id="26296"/>
      <w:r>
        <w:rPr>
          <w:rFonts w:hint="cs"/>
          <w:rtl/>
        </w:rPr>
        <w:t xml:space="preserve">אבל </w:t>
      </w:r>
      <w:bookmarkStart w:id="26297" w:name="_ETM_Q44_549089"/>
      <w:bookmarkEnd w:id="26297"/>
      <w:r>
        <w:rPr>
          <w:rFonts w:hint="cs"/>
          <w:rtl/>
        </w:rPr>
        <w:t xml:space="preserve">לא </w:t>
      </w:r>
      <w:bookmarkStart w:id="26298" w:name="_ETM_Q44_549659"/>
      <w:bookmarkEnd w:id="26298"/>
      <w:r>
        <w:rPr>
          <w:rFonts w:hint="cs"/>
          <w:rtl/>
        </w:rPr>
        <w:t xml:space="preserve">מהתנחלויות. </w:t>
      </w:r>
      <w:bookmarkStart w:id="26299" w:name="_ETM_Q44_553917"/>
      <w:bookmarkStart w:id="26300" w:name="_ETM_Q44_554008"/>
      <w:bookmarkStart w:id="26301" w:name="_ETM_Q44_554110"/>
      <w:bookmarkStart w:id="26302" w:name="_ETM_Q44_554202"/>
      <w:bookmarkStart w:id="26303" w:name="_ETM_Q44_550079"/>
      <w:bookmarkStart w:id="26304" w:name="_ETM_Q44_554810"/>
      <w:bookmarkEnd w:id="26299"/>
      <w:bookmarkEnd w:id="26300"/>
      <w:bookmarkEnd w:id="26301"/>
      <w:bookmarkEnd w:id="26302"/>
      <w:bookmarkEnd w:id="26303"/>
      <w:bookmarkEnd w:id="26304"/>
      <w:r>
        <w:rPr>
          <w:rFonts w:hint="cs"/>
          <w:rtl/>
        </w:rPr>
        <w:t xml:space="preserve">אז </w:t>
      </w:r>
      <w:bookmarkStart w:id="26305" w:name="_ETM_Q44_555020"/>
      <w:bookmarkEnd w:id="26305"/>
      <w:r>
        <w:rPr>
          <w:rFonts w:hint="cs"/>
          <w:rtl/>
        </w:rPr>
        <w:t xml:space="preserve">אני חייב </w:t>
      </w:r>
      <w:bookmarkStart w:id="26306" w:name="_ETM_Q44_555350"/>
      <w:bookmarkEnd w:id="26306"/>
      <w:r>
        <w:rPr>
          <w:rFonts w:hint="cs"/>
          <w:rtl/>
        </w:rPr>
        <w:t xml:space="preserve">לציין </w:t>
      </w:r>
      <w:bookmarkStart w:id="26307" w:name="_ETM_Q44_556729"/>
      <w:bookmarkEnd w:id="26307"/>
      <w:r>
        <w:rPr>
          <w:rFonts w:hint="cs"/>
          <w:rtl/>
        </w:rPr>
        <w:t xml:space="preserve">שהכנסת </w:t>
      </w:r>
      <w:bookmarkStart w:id="26308" w:name="_ETM_Q44_557540"/>
      <w:bookmarkEnd w:id="26308"/>
      <w:r>
        <w:rPr>
          <w:rFonts w:hint="cs"/>
          <w:rtl/>
        </w:rPr>
        <w:t xml:space="preserve">מתקדמת </w:t>
      </w:r>
      <w:bookmarkStart w:id="26309" w:name="_ETM_Q44_558549"/>
      <w:bookmarkEnd w:id="26309"/>
      <w:r w:rsidR="00C878C9">
        <w:rPr>
          <w:rFonts w:hint="eastAsia"/>
          <w:rtl/>
        </w:rPr>
        <w:t>–</w:t>
      </w:r>
      <w:r w:rsidR="00C878C9">
        <w:rPr>
          <w:rFonts w:hint="cs"/>
          <w:rtl/>
        </w:rPr>
        <w:t xml:space="preserve"> </w:t>
      </w:r>
      <w:r>
        <w:rPr>
          <w:rFonts w:hint="cs"/>
          <w:rtl/>
        </w:rPr>
        <w:t xml:space="preserve">לפעמים </w:t>
      </w:r>
      <w:bookmarkStart w:id="26310" w:name="_ETM_Q44_560580"/>
      <w:bookmarkEnd w:id="26310"/>
      <w:r w:rsidR="00C878C9">
        <w:rPr>
          <w:rFonts w:hint="eastAsia"/>
          <w:rtl/>
        </w:rPr>
        <w:t>–</w:t>
      </w:r>
      <w:r w:rsidR="00C878C9">
        <w:rPr>
          <w:rFonts w:hint="cs"/>
          <w:rtl/>
        </w:rPr>
        <w:t xml:space="preserve"> </w:t>
      </w:r>
      <w:bookmarkStart w:id="26311" w:name="_ETM_Q0_26183574"/>
      <w:bookmarkEnd w:id="26311"/>
      <w:r>
        <w:rPr>
          <w:rFonts w:hint="cs"/>
          <w:rtl/>
        </w:rPr>
        <w:t xml:space="preserve">לכיוון </w:t>
      </w:r>
      <w:bookmarkStart w:id="26312" w:name="_ETM_Q44_561119"/>
      <w:bookmarkEnd w:id="26312"/>
      <w:r>
        <w:rPr>
          <w:rFonts w:hint="cs"/>
          <w:rtl/>
        </w:rPr>
        <w:t>הנכון.</w:t>
      </w:r>
    </w:p>
    <w:p w:rsidR="00BB59CD" w:rsidRDefault="00BB59CD" w:rsidP="00BB59CD">
      <w:pPr>
        <w:rPr>
          <w:rtl/>
        </w:rPr>
      </w:pPr>
      <w:bookmarkStart w:id="26313" w:name="_ETM_Q44_563917"/>
      <w:bookmarkStart w:id="26314" w:name="_ETM_Q44_564064"/>
      <w:bookmarkEnd w:id="26313"/>
      <w:bookmarkEnd w:id="26314"/>
    </w:p>
    <w:p w:rsidR="00BB59CD" w:rsidRDefault="00BB59CD" w:rsidP="00C878C9">
      <w:pPr>
        <w:rPr>
          <w:rtl/>
        </w:rPr>
      </w:pPr>
      <w:bookmarkStart w:id="26315" w:name="_ETM_Q44_564126"/>
      <w:bookmarkStart w:id="26316" w:name="_ETM_Q44_564246"/>
      <w:bookmarkEnd w:id="26315"/>
      <w:bookmarkEnd w:id="26316"/>
      <w:r>
        <w:rPr>
          <w:rFonts w:hint="cs"/>
          <w:rtl/>
        </w:rPr>
        <w:t xml:space="preserve"> </w:t>
      </w:r>
      <w:bookmarkStart w:id="26317" w:name="_ETM_Q44_562390"/>
      <w:bookmarkEnd w:id="26317"/>
      <w:r>
        <w:rPr>
          <w:rFonts w:hint="cs"/>
          <w:rtl/>
        </w:rPr>
        <w:t xml:space="preserve">עכשיו, </w:t>
      </w:r>
      <w:bookmarkStart w:id="26318" w:name="_ETM_Q44_562960"/>
      <w:bookmarkEnd w:id="26318"/>
      <w:r>
        <w:rPr>
          <w:rFonts w:hint="cs"/>
          <w:rtl/>
        </w:rPr>
        <w:t xml:space="preserve">מאיפה </w:t>
      </w:r>
      <w:bookmarkStart w:id="26319" w:name="_ETM_Q44_563409"/>
      <w:bookmarkEnd w:id="26319"/>
      <w:r>
        <w:rPr>
          <w:rFonts w:hint="cs"/>
          <w:rtl/>
        </w:rPr>
        <w:t xml:space="preserve">מגיע </w:t>
      </w:r>
      <w:bookmarkStart w:id="26320" w:name="_ETM_Q44_563890"/>
      <w:bookmarkEnd w:id="26320"/>
      <w:r>
        <w:rPr>
          <w:rFonts w:hint="cs"/>
          <w:rtl/>
        </w:rPr>
        <w:t xml:space="preserve">הפשיזם </w:t>
      </w:r>
      <w:bookmarkStart w:id="26321" w:name="_ETM_Q44_564520"/>
      <w:bookmarkEnd w:id="26321"/>
      <w:r>
        <w:rPr>
          <w:rFonts w:hint="cs"/>
          <w:rtl/>
        </w:rPr>
        <w:t xml:space="preserve">בתוך מדינת ישראל? </w:t>
      </w:r>
      <w:bookmarkStart w:id="26322" w:name="_ETM_Q44_564820"/>
      <w:bookmarkStart w:id="26323" w:name="_ETM_Q44_565119"/>
      <w:bookmarkStart w:id="26324" w:name="_ETM_Q44_566020"/>
      <w:bookmarkEnd w:id="26322"/>
      <w:bookmarkEnd w:id="26323"/>
      <w:bookmarkEnd w:id="26324"/>
      <w:r>
        <w:rPr>
          <w:rFonts w:hint="cs"/>
          <w:rtl/>
        </w:rPr>
        <w:t xml:space="preserve">חבר </w:t>
      </w:r>
      <w:bookmarkStart w:id="26325" w:name="_ETM_Q44_566350"/>
      <w:bookmarkEnd w:id="26325"/>
      <w:r>
        <w:rPr>
          <w:rFonts w:hint="cs"/>
          <w:rtl/>
        </w:rPr>
        <w:t xml:space="preserve">הכנסת </w:t>
      </w:r>
      <w:bookmarkStart w:id="26326" w:name="_ETM_Q44_566770"/>
      <w:bookmarkEnd w:id="26326"/>
      <w:r>
        <w:rPr>
          <w:rFonts w:hint="cs"/>
          <w:rtl/>
        </w:rPr>
        <w:t xml:space="preserve">אחמד </w:t>
      </w:r>
      <w:bookmarkStart w:id="26327" w:name="_ETM_Q44_567040"/>
      <w:bookmarkEnd w:id="26327"/>
      <w:r>
        <w:rPr>
          <w:rFonts w:hint="cs"/>
          <w:rtl/>
        </w:rPr>
        <w:t xml:space="preserve">טיבי, </w:t>
      </w:r>
      <w:bookmarkStart w:id="26328" w:name="_ETM_Q44_568640"/>
      <w:bookmarkEnd w:id="26328"/>
      <w:r>
        <w:rPr>
          <w:rFonts w:hint="cs"/>
          <w:rtl/>
        </w:rPr>
        <w:t xml:space="preserve">למדנו </w:t>
      </w:r>
      <w:bookmarkStart w:id="26329" w:name="_ETM_Q44_569240"/>
      <w:bookmarkEnd w:id="26329"/>
      <w:r>
        <w:rPr>
          <w:rFonts w:hint="cs"/>
          <w:rtl/>
        </w:rPr>
        <w:t>בהיסטוריה</w:t>
      </w:r>
      <w:r w:rsidR="00C878C9">
        <w:rPr>
          <w:rFonts w:hint="cs"/>
          <w:rtl/>
        </w:rPr>
        <w:t>,</w:t>
      </w:r>
      <w:r>
        <w:rPr>
          <w:rFonts w:hint="cs"/>
          <w:rtl/>
        </w:rPr>
        <w:t xml:space="preserve"> </w:t>
      </w:r>
      <w:bookmarkStart w:id="26330" w:name="_ETM_Q44_569900"/>
      <w:bookmarkEnd w:id="26330"/>
      <w:r>
        <w:rPr>
          <w:rFonts w:hint="cs"/>
          <w:rtl/>
        </w:rPr>
        <w:t xml:space="preserve">כשהיינו בתיכון, שפשיזם </w:t>
      </w:r>
      <w:bookmarkStart w:id="26331" w:name="_ETM_Q44_572384"/>
      <w:bookmarkEnd w:id="26331"/>
      <w:r>
        <w:rPr>
          <w:rFonts w:hint="cs"/>
          <w:rtl/>
        </w:rPr>
        <w:t xml:space="preserve">מגיע </w:t>
      </w:r>
      <w:bookmarkStart w:id="26332" w:name="_ETM_Q44_570170"/>
      <w:bookmarkStart w:id="26333" w:name="_ETM_Q44_570260"/>
      <w:bookmarkStart w:id="26334" w:name="_ETM_Q44_571400"/>
      <w:bookmarkStart w:id="26335" w:name="_ETM_Q44_571790"/>
      <w:bookmarkStart w:id="26336" w:name="_ETM_Q44_572210"/>
      <w:bookmarkStart w:id="26337" w:name="_ETM_Q44_572540"/>
      <w:bookmarkStart w:id="26338" w:name="_ETM_Q44_572690"/>
      <w:bookmarkStart w:id="26339" w:name="_ETM_Q44_574460"/>
      <w:bookmarkEnd w:id="26332"/>
      <w:bookmarkEnd w:id="26333"/>
      <w:bookmarkEnd w:id="26334"/>
      <w:bookmarkEnd w:id="26335"/>
      <w:bookmarkEnd w:id="26336"/>
      <w:bookmarkEnd w:id="26337"/>
      <w:bookmarkEnd w:id="26338"/>
      <w:bookmarkEnd w:id="26339"/>
      <w:r>
        <w:rPr>
          <w:rFonts w:hint="cs"/>
          <w:rtl/>
        </w:rPr>
        <w:t xml:space="preserve">או </w:t>
      </w:r>
      <w:bookmarkStart w:id="26340" w:name="_ETM_Q44_574759"/>
      <w:bookmarkEnd w:id="26340"/>
      <w:r>
        <w:rPr>
          <w:rFonts w:hint="cs"/>
          <w:rtl/>
        </w:rPr>
        <w:t xml:space="preserve">מהקפיטל </w:t>
      </w:r>
      <w:bookmarkStart w:id="26341" w:name="_ETM_Q44_575540"/>
      <w:bookmarkEnd w:id="26341"/>
      <w:r>
        <w:rPr>
          <w:rFonts w:hint="cs"/>
          <w:rtl/>
        </w:rPr>
        <w:t xml:space="preserve">הגדול </w:t>
      </w:r>
      <w:bookmarkStart w:id="26342" w:name="_ETM_Q44_576290"/>
      <w:bookmarkEnd w:id="26342"/>
      <w:r>
        <w:rPr>
          <w:rFonts w:hint="cs"/>
          <w:rtl/>
        </w:rPr>
        <w:t xml:space="preserve">או </w:t>
      </w:r>
      <w:bookmarkStart w:id="26343" w:name="_ETM_Q44_576560"/>
      <w:bookmarkEnd w:id="26343"/>
      <w:r>
        <w:rPr>
          <w:rFonts w:hint="cs"/>
          <w:rtl/>
        </w:rPr>
        <w:t>מחונטה צבאית, כמו פרנקו בספרד</w:t>
      </w:r>
      <w:r w:rsidR="00C878C9">
        <w:rPr>
          <w:rFonts w:hint="cs"/>
          <w:rtl/>
        </w:rPr>
        <w:t>,</w:t>
      </w:r>
      <w:r>
        <w:rPr>
          <w:rFonts w:hint="cs"/>
          <w:rtl/>
        </w:rPr>
        <w:t xml:space="preserve"> למשל, כמו, יימח </w:t>
      </w:r>
      <w:bookmarkStart w:id="26344" w:name="_ETM_Q44_579528"/>
      <w:bookmarkEnd w:id="26344"/>
      <w:r>
        <w:rPr>
          <w:rFonts w:hint="cs"/>
          <w:rtl/>
        </w:rPr>
        <w:t xml:space="preserve">שמו וזכרו מגרמניה, כמו הדוצ'ה מאיטליה, כמו באמריקה הלטינית. אבל </w:t>
      </w:r>
      <w:bookmarkStart w:id="26345" w:name="_ETM_Q44_587118"/>
      <w:bookmarkEnd w:id="26345"/>
      <w:r>
        <w:rPr>
          <w:rFonts w:hint="cs"/>
          <w:rtl/>
        </w:rPr>
        <w:t xml:space="preserve">אנחנו מזהים שבמדינת ישראל הקפיטל הגדול נגד ההפיכה המשטרית, וגם </w:t>
      </w:r>
      <w:bookmarkStart w:id="26346" w:name="_ETM_Q44_594322"/>
      <w:bookmarkEnd w:id="26346"/>
      <w:r>
        <w:rPr>
          <w:rFonts w:hint="cs"/>
          <w:rtl/>
        </w:rPr>
        <w:t xml:space="preserve">הגנרלים יוצאים נגד ההפיכה המשטרית. אז זה סוג פשיזם </w:t>
      </w:r>
      <w:r w:rsidR="00C878C9">
        <w:rPr>
          <w:rFonts w:hint="eastAsia"/>
          <w:rtl/>
        </w:rPr>
        <w:t>–</w:t>
      </w:r>
      <w:r w:rsidR="00C878C9">
        <w:rPr>
          <w:rFonts w:hint="cs"/>
          <w:rtl/>
        </w:rPr>
        <w:t xml:space="preserve"> </w:t>
      </w:r>
      <w:r>
        <w:rPr>
          <w:rFonts w:hint="cs"/>
          <w:rtl/>
        </w:rPr>
        <w:t xml:space="preserve">המניעים </w:t>
      </w:r>
      <w:bookmarkStart w:id="26347" w:name="_ETM_Q44_606914"/>
      <w:bookmarkEnd w:id="26347"/>
      <w:r>
        <w:rPr>
          <w:rFonts w:hint="cs"/>
          <w:rtl/>
        </w:rPr>
        <w:t xml:space="preserve">שונים ממה שלמדנו בתיכון. אז מאיפה מגיע הפשיזם לתוך מדינת </w:t>
      </w:r>
      <w:bookmarkStart w:id="26348" w:name="_ETM_Q44_611170"/>
      <w:bookmarkEnd w:id="26348"/>
      <w:r>
        <w:rPr>
          <w:rFonts w:hint="cs"/>
          <w:rtl/>
        </w:rPr>
        <w:t xml:space="preserve">ישראל? </w:t>
      </w:r>
      <w:bookmarkStart w:id="26349" w:name="_ETM_Q44_613763"/>
      <w:bookmarkStart w:id="26350" w:name="_ETM_Q44_613861"/>
      <w:bookmarkStart w:id="26351" w:name="_ETM_Q44_608580"/>
      <w:bookmarkStart w:id="26352" w:name="_ETM_Q44_609000"/>
      <w:bookmarkStart w:id="26353" w:name="_ETM_Q44_609660"/>
      <w:bookmarkStart w:id="26354" w:name="_ETM_Q44_610110"/>
      <w:bookmarkStart w:id="26355" w:name="_ETM_Q44_610470"/>
      <w:bookmarkStart w:id="26356" w:name="_ETM_Q44_612540"/>
      <w:bookmarkEnd w:id="26349"/>
      <w:bookmarkEnd w:id="26350"/>
      <w:bookmarkEnd w:id="26351"/>
      <w:bookmarkEnd w:id="26352"/>
      <w:bookmarkEnd w:id="26353"/>
      <w:bookmarkEnd w:id="26354"/>
      <w:bookmarkEnd w:id="26355"/>
      <w:bookmarkEnd w:id="26356"/>
      <w:r>
        <w:rPr>
          <w:rFonts w:hint="cs"/>
          <w:rtl/>
        </w:rPr>
        <w:t xml:space="preserve">מאיפה </w:t>
      </w:r>
      <w:bookmarkStart w:id="26357" w:name="_ETM_Q44_613019"/>
      <w:bookmarkEnd w:id="26357"/>
      <w:r>
        <w:rPr>
          <w:rFonts w:hint="cs"/>
          <w:rtl/>
        </w:rPr>
        <w:t xml:space="preserve">מגיע </w:t>
      </w:r>
      <w:bookmarkStart w:id="26358" w:name="_ETM_Q44_613499"/>
      <w:bookmarkEnd w:id="26358"/>
      <w:r>
        <w:rPr>
          <w:rFonts w:hint="cs"/>
          <w:rtl/>
        </w:rPr>
        <w:t xml:space="preserve">בן </w:t>
      </w:r>
      <w:bookmarkStart w:id="26359" w:name="_ETM_Q44_613680"/>
      <w:bookmarkEnd w:id="26359"/>
      <w:r>
        <w:rPr>
          <w:rFonts w:hint="cs"/>
          <w:rtl/>
        </w:rPr>
        <w:t>גביר</w:t>
      </w:r>
      <w:r w:rsidR="00C878C9">
        <w:rPr>
          <w:rFonts w:hint="cs"/>
          <w:rtl/>
        </w:rPr>
        <w:t>,</w:t>
      </w:r>
      <w:r>
        <w:rPr>
          <w:rFonts w:hint="cs"/>
          <w:rtl/>
        </w:rPr>
        <w:t xml:space="preserve"> </w:t>
      </w:r>
      <w:bookmarkStart w:id="26360" w:name="_ETM_Q44_614700"/>
      <w:bookmarkEnd w:id="26360"/>
      <w:r>
        <w:rPr>
          <w:rFonts w:hint="cs"/>
          <w:rtl/>
        </w:rPr>
        <w:t xml:space="preserve">מקריית ארבע? </w:t>
      </w:r>
      <w:bookmarkStart w:id="26361" w:name="_ETM_Q44_615269"/>
      <w:bookmarkStart w:id="26362" w:name="_ETM_Q44_616749"/>
      <w:bookmarkEnd w:id="26361"/>
      <w:bookmarkEnd w:id="26362"/>
      <w:r>
        <w:rPr>
          <w:rFonts w:hint="cs"/>
          <w:rtl/>
        </w:rPr>
        <w:t xml:space="preserve">מאיפה </w:t>
      </w:r>
      <w:bookmarkStart w:id="26363" w:name="_ETM_Q44_617260"/>
      <w:bookmarkEnd w:id="26363"/>
      <w:r>
        <w:rPr>
          <w:rFonts w:hint="cs"/>
          <w:rtl/>
        </w:rPr>
        <w:t xml:space="preserve">סמוטריץ'? </w:t>
      </w:r>
      <w:bookmarkStart w:id="26364" w:name="_ETM_Q44_619049"/>
      <w:bookmarkEnd w:id="26364"/>
      <w:r>
        <w:rPr>
          <w:rFonts w:hint="cs"/>
          <w:rtl/>
        </w:rPr>
        <w:t xml:space="preserve">פעם מבית אל, אחר כך </w:t>
      </w:r>
      <w:r>
        <w:t>–</w:t>
      </w:r>
      <w:r>
        <w:rPr>
          <w:rFonts w:hint="cs"/>
          <w:rtl/>
        </w:rPr>
        <w:t xml:space="preserve"> מאיזו התנחלות היום? </w:t>
      </w:r>
      <w:bookmarkStart w:id="26365" w:name="_ETM_Q44_619709"/>
      <w:bookmarkStart w:id="26366" w:name="_ETM_Q44_620010"/>
      <w:bookmarkStart w:id="26367" w:name="_ETM_Q44_620249"/>
      <w:bookmarkStart w:id="26368" w:name="_ETM_Q44_622440"/>
      <w:bookmarkStart w:id="26369" w:name="_ETM_Q44_622830"/>
      <w:bookmarkStart w:id="26370" w:name="_ETM_Q44_623280"/>
      <w:bookmarkStart w:id="26371" w:name="_ETM_Q44_624400"/>
      <w:bookmarkEnd w:id="26365"/>
      <w:bookmarkEnd w:id="26366"/>
      <w:bookmarkEnd w:id="26367"/>
      <w:bookmarkEnd w:id="26368"/>
      <w:bookmarkEnd w:id="26369"/>
      <w:bookmarkEnd w:id="26370"/>
      <w:bookmarkEnd w:id="26371"/>
      <w:r>
        <w:rPr>
          <w:rFonts w:hint="cs"/>
          <w:rtl/>
        </w:rPr>
        <w:t xml:space="preserve">גם </w:t>
      </w:r>
      <w:bookmarkStart w:id="26372" w:name="_ETM_Q44_624669"/>
      <w:bookmarkEnd w:id="26372"/>
      <w:r>
        <w:rPr>
          <w:rFonts w:hint="cs"/>
          <w:rtl/>
        </w:rPr>
        <w:t xml:space="preserve">רוטמן </w:t>
      </w:r>
      <w:bookmarkStart w:id="26373" w:name="_ETM_Q44_625540"/>
      <w:bookmarkEnd w:id="26373"/>
      <w:r>
        <w:rPr>
          <w:rFonts w:hint="cs"/>
          <w:rtl/>
        </w:rPr>
        <w:t xml:space="preserve">– </w:t>
      </w:r>
      <w:bookmarkStart w:id="26374" w:name="_ETM_Q44_624279"/>
      <w:bookmarkEnd w:id="26374"/>
      <w:r>
        <w:rPr>
          <w:rFonts w:hint="cs"/>
          <w:rtl/>
        </w:rPr>
        <w:t xml:space="preserve">מהתנחלות. </w:t>
      </w:r>
      <w:bookmarkStart w:id="26375" w:name="_ETM_Q44_626820"/>
      <w:bookmarkEnd w:id="26375"/>
      <w:r>
        <w:rPr>
          <w:rFonts w:hint="cs"/>
          <w:rtl/>
        </w:rPr>
        <w:t xml:space="preserve">גם </w:t>
      </w:r>
      <w:bookmarkStart w:id="26376" w:name="_ETM_Q44_627060"/>
      <w:bookmarkEnd w:id="26376"/>
      <w:r>
        <w:rPr>
          <w:rFonts w:hint="cs"/>
          <w:rtl/>
        </w:rPr>
        <w:t xml:space="preserve">קהלת, </w:t>
      </w:r>
      <w:bookmarkStart w:id="26377" w:name="_ETM_Q44_627630"/>
      <w:bookmarkEnd w:id="26377"/>
      <w:r>
        <w:rPr>
          <w:rFonts w:hint="cs"/>
          <w:rtl/>
        </w:rPr>
        <w:t xml:space="preserve">הציונות </w:t>
      </w:r>
      <w:bookmarkStart w:id="26378" w:name="_ETM_Q44_628050"/>
      <w:bookmarkEnd w:id="26378"/>
      <w:r>
        <w:rPr>
          <w:rFonts w:hint="cs"/>
          <w:rtl/>
        </w:rPr>
        <w:t xml:space="preserve">הדתית. </w:t>
      </w:r>
      <w:bookmarkStart w:id="26379" w:name="_ETM_Q44_629529"/>
      <w:bookmarkEnd w:id="26379"/>
    </w:p>
    <w:p w:rsidR="00BB59CD" w:rsidRDefault="00BB59CD" w:rsidP="00BB59CD">
      <w:pPr>
        <w:rPr>
          <w:rtl/>
        </w:rPr>
      </w:pPr>
      <w:bookmarkStart w:id="26380" w:name="_ETM_Q44_633511"/>
      <w:bookmarkStart w:id="26381" w:name="_ETM_Q44_633610"/>
      <w:bookmarkEnd w:id="26380"/>
      <w:bookmarkEnd w:id="26381"/>
    </w:p>
    <w:p w:rsidR="00BB59CD" w:rsidRDefault="00BB59CD" w:rsidP="00E33F55">
      <w:pPr>
        <w:rPr>
          <w:rtl/>
        </w:rPr>
      </w:pPr>
      <w:bookmarkStart w:id="26382" w:name="_ETM_Q44_633668"/>
      <w:bookmarkStart w:id="26383" w:name="_ETM_Q44_633756"/>
      <w:bookmarkEnd w:id="26382"/>
      <w:bookmarkEnd w:id="26383"/>
      <w:r>
        <w:rPr>
          <w:rFonts w:hint="cs"/>
          <w:rtl/>
        </w:rPr>
        <w:t xml:space="preserve">לכן </w:t>
      </w:r>
      <w:bookmarkStart w:id="26384" w:name="_ETM_Q44_630010"/>
      <w:bookmarkEnd w:id="26384"/>
      <w:r>
        <w:rPr>
          <w:rFonts w:hint="cs"/>
          <w:rtl/>
        </w:rPr>
        <w:t xml:space="preserve">איך </w:t>
      </w:r>
      <w:bookmarkStart w:id="26385" w:name="_ETM_Q44_630390"/>
      <w:bookmarkEnd w:id="26385"/>
      <w:r>
        <w:rPr>
          <w:rFonts w:hint="cs"/>
          <w:rtl/>
        </w:rPr>
        <w:t xml:space="preserve">אפשר </w:t>
      </w:r>
      <w:bookmarkStart w:id="26386" w:name="_ETM_Q44_630840"/>
      <w:bookmarkEnd w:id="26386"/>
      <w:r>
        <w:rPr>
          <w:rFonts w:hint="cs"/>
          <w:rtl/>
        </w:rPr>
        <w:t xml:space="preserve">לא </w:t>
      </w:r>
      <w:bookmarkStart w:id="26387" w:name="_ETM_Q44_631050"/>
      <w:bookmarkEnd w:id="26387"/>
      <w:r>
        <w:rPr>
          <w:rFonts w:hint="cs"/>
          <w:rtl/>
        </w:rPr>
        <w:t xml:space="preserve">לקשור </w:t>
      </w:r>
      <w:bookmarkStart w:id="26388" w:name="_ETM_Q44_632290"/>
      <w:bookmarkEnd w:id="26388"/>
      <w:r>
        <w:rPr>
          <w:rFonts w:hint="cs"/>
          <w:rtl/>
        </w:rPr>
        <w:t xml:space="preserve">בין </w:t>
      </w:r>
      <w:bookmarkStart w:id="26389" w:name="_ETM_Q44_632710"/>
      <w:bookmarkEnd w:id="26389"/>
      <w:r>
        <w:rPr>
          <w:rFonts w:hint="cs"/>
          <w:rtl/>
        </w:rPr>
        <w:t xml:space="preserve">הכיבוש </w:t>
      </w:r>
      <w:bookmarkStart w:id="26390" w:name="_ETM_Q44_633940"/>
      <w:bookmarkStart w:id="26391" w:name="_ETM_Q44_634180"/>
      <w:bookmarkEnd w:id="26390"/>
      <w:bookmarkEnd w:id="26391"/>
      <w:r>
        <w:rPr>
          <w:rFonts w:hint="cs"/>
          <w:rtl/>
        </w:rPr>
        <w:t xml:space="preserve">ותרבות </w:t>
      </w:r>
      <w:bookmarkStart w:id="26392" w:name="_ETM_Q44_634690"/>
      <w:bookmarkEnd w:id="26392"/>
      <w:r>
        <w:rPr>
          <w:rFonts w:hint="cs"/>
          <w:rtl/>
        </w:rPr>
        <w:t xml:space="preserve">הכיבוש </w:t>
      </w:r>
      <w:bookmarkStart w:id="26393" w:name="_ETM_Q44_635860"/>
      <w:bookmarkEnd w:id="26393"/>
      <w:r>
        <w:rPr>
          <w:rFonts w:hint="cs"/>
          <w:rtl/>
        </w:rPr>
        <w:t xml:space="preserve">לבין </w:t>
      </w:r>
      <w:bookmarkStart w:id="26394" w:name="_ETM_Q44_636370"/>
      <w:bookmarkEnd w:id="26394"/>
      <w:r>
        <w:rPr>
          <w:rFonts w:hint="cs"/>
          <w:rtl/>
        </w:rPr>
        <w:t xml:space="preserve">העמקת הפשיזם בתוך מדינת ישראל? </w:t>
      </w:r>
      <w:bookmarkStart w:id="26395" w:name="_ETM_Q44_637060"/>
      <w:bookmarkStart w:id="26396" w:name="_ETM_Q44_637659"/>
      <w:bookmarkStart w:id="26397" w:name="_ETM_Q44_638080"/>
      <w:bookmarkStart w:id="26398" w:name="_ETM_Q44_638379"/>
      <w:bookmarkStart w:id="26399" w:name="_ETM_Q44_639489"/>
      <w:bookmarkEnd w:id="26395"/>
      <w:bookmarkEnd w:id="26396"/>
      <w:bookmarkEnd w:id="26397"/>
      <w:bookmarkEnd w:id="26398"/>
      <w:bookmarkEnd w:id="26399"/>
      <w:r>
        <w:rPr>
          <w:rFonts w:hint="cs"/>
          <w:rtl/>
        </w:rPr>
        <w:t xml:space="preserve">את </w:t>
      </w:r>
      <w:bookmarkStart w:id="26400" w:name="_ETM_Q44_639790"/>
      <w:bookmarkEnd w:id="26400"/>
      <w:r>
        <w:rPr>
          <w:rFonts w:hint="cs"/>
          <w:rtl/>
        </w:rPr>
        <w:t xml:space="preserve">זה </w:t>
      </w:r>
      <w:bookmarkStart w:id="26401" w:name="_ETM_Q44_640209"/>
      <w:bookmarkEnd w:id="26401"/>
      <w:r>
        <w:rPr>
          <w:rFonts w:hint="cs"/>
          <w:rtl/>
        </w:rPr>
        <w:t xml:space="preserve">אני </w:t>
      </w:r>
      <w:bookmarkStart w:id="26402" w:name="_ETM_Q44_640450"/>
      <w:bookmarkEnd w:id="26402"/>
      <w:r>
        <w:rPr>
          <w:rFonts w:hint="cs"/>
          <w:rtl/>
        </w:rPr>
        <w:t xml:space="preserve">רוצה </w:t>
      </w:r>
      <w:bookmarkStart w:id="26403" w:name="_ETM_Q44_640840"/>
      <w:bookmarkEnd w:id="26403"/>
      <w:r>
        <w:rPr>
          <w:rFonts w:hint="cs"/>
          <w:rtl/>
        </w:rPr>
        <w:t xml:space="preserve">להגיד </w:t>
      </w:r>
      <w:bookmarkStart w:id="26404" w:name="_ETM_Q44_641499"/>
      <w:bookmarkEnd w:id="26404"/>
      <w:r>
        <w:rPr>
          <w:rFonts w:hint="cs"/>
          <w:rtl/>
        </w:rPr>
        <w:t xml:space="preserve">לאנשים </w:t>
      </w:r>
      <w:bookmarkStart w:id="26405" w:name="_ETM_Q44_642159"/>
      <w:bookmarkEnd w:id="26405"/>
      <w:r>
        <w:rPr>
          <w:rFonts w:hint="cs"/>
          <w:rtl/>
        </w:rPr>
        <w:t>שמפגינים בחוץ; מגיעה להם הערכה</w:t>
      </w:r>
      <w:bookmarkStart w:id="26406" w:name="_ETM_Q44_648600"/>
      <w:bookmarkEnd w:id="26406"/>
      <w:r>
        <w:rPr>
          <w:rFonts w:hint="cs"/>
          <w:rtl/>
        </w:rPr>
        <w:t xml:space="preserve">. מפה אני אצא ואני אשתתף יחד איתם. </w:t>
      </w:r>
      <w:bookmarkStart w:id="26407" w:name="_ETM_Q44_642639"/>
      <w:bookmarkStart w:id="26408" w:name="_ETM_Q44_642760"/>
      <w:bookmarkStart w:id="26409" w:name="_ETM_Q44_643959"/>
      <w:bookmarkStart w:id="26410" w:name="_ETM_Q44_644200"/>
      <w:bookmarkStart w:id="26411" w:name="_ETM_Q44_644590"/>
      <w:bookmarkStart w:id="26412" w:name="_ETM_Q44_645099"/>
      <w:bookmarkStart w:id="26413" w:name="_ETM_Q44_646230"/>
      <w:bookmarkStart w:id="26414" w:name="_ETM_Q44_646890"/>
      <w:bookmarkStart w:id="26415" w:name="_ETM_Q44_647190"/>
      <w:bookmarkStart w:id="26416" w:name="_ETM_Q44_647700"/>
      <w:bookmarkStart w:id="26417" w:name="_ETM_Q44_648120"/>
      <w:bookmarkStart w:id="26418" w:name="_ETM_Q44_648720"/>
      <w:bookmarkStart w:id="26419" w:name="_ETM_Q44_649080"/>
      <w:bookmarkStart w:id="26420" w:name="_ETM_Q44_651579"/>
      <w:bookmarkStart w:id="26421" w:name="_ETM_Q44_651969"/>
      <w:bookmarkStart w:id="26422" w:name="_ETM_Q44_652239"/>
      <w:bookmarkEnd w:id="26407"/>
      <w:bookmarkEnd w:id="26408"/>
      <w:bookmarkEnd w:id="26409"/>
      <w:bookmarkEnd w:id="26410"/>
      <w:bookmarkEnd w:id="26411"/>
      <w:bookmarkEnd w:id="26412"/>
      <w:bookmarkEnd w:id="26413"/>
      <w:bookmarkEnd w:id="26414"/>
      <w:bookmarkEnd w:id="26415"/>
      <w:bookmarkEnd w:id="26416"/>
      <w:bookmarkEnd w:id="26417"/>
      <w:bookmarkEnd w:id="26418"/>
      <w:bookmarkEnd w:id="26419"/>
      <w:bookmarkEnd w:id="26420"/>
      <w:bookmarkEnd w:id="26421"/>
      <w:bookmarkEnd w:id="26422"/>
      <w:r>
        <w:rPr>
          <w:rFonts w:hint="cs"/>
          <w:rtl/>
        </w:rPr>
        <w:t xml:space="preserve">אבל אני חייב </w:t>
      </w:r>
      <w:bookmarkStart w:id="26423" w:name="_ETM_Q44_652779"/>
      <w:bookmarkEnd w:id="26423"/>
      <w:r>
        <w:rPr>
          <w:rFonts w:hint="cs"/>
          <w:rtl/>
        </w:rPr>
        <w:t xml:space="preserve">להצביע </w:t>
      </w:r>
      <w:bookmarkStart w:id="26424" w:name="_ETM_Q44_654380"/>
      <w:bookmarkEnd w:id="26424"/>
      <w:r>
        <w:rPr>
          <w:rFonts w:hint="cs"/>
          <w:rtl/>
        </w:rPr>
        <w:t xml:space="preserve">על </w:t>
      </w:r>
      <w:bookmarkStart w:id="26425" w:name="_ETM_Q44_654680"/>
      <w:bookmarkEnd w:id="26425"/>
      <w:r>
        <w:rPr>
          <w:rFonts w:hint="cs"/>
          <w:rtl/>
        </w:rPr>
        <w:t xml:space="preserve">מקור </w:t>
      </w:r>
      <w:bookmarkStart w:id="26426" w:name="_ETM_Q44_655130"/>
      <w:bookmarkEnd w:id="26426"/>
      <w:r>
        <w:rPr>
          <w:rFonts w:hint="cs"/>
          <w:rtl/>
        </w:rPr>
        <w:t>הרוע</w:t>
      </w:r>
      <w:bookmarkStart w:id="26427" w:name="_ETM_Q44_659141"/>
      <w:bookmarkStart w:id="26428" w:name="_ETM_Q44_657459"/>
      <w:bookmarkEnd w:id="26427"/>
      <w:bookmarkEnd w:id="26428"/>
      <w:r w:rsidR="00E33F55">
        <w:rPr>
          <w:rFonts w:hint="cs"/>
          <w:rtl/>
        </w:rPr>
        <w:t xml:space="preserve">: </w:t>
      </w:r>
      <w:r>
        <w:rPr>
          <w:rFonts w:hint="cs"/>
          <w:rtl/>
        </w:rPr>
        <w:t xml:space="preserve">הכיבוש </w:t>
      </w:r>
      <w:bookmarkStart w:id="26429" w:name="_ETM_Q44_658480"/>
      <w:bookmarkEnd w:id="26429"/>
      <w:r>
        <w:rPr>
          <w:rFonts w:hint="cs"/>
          <w:rtl/>
        </w:rPr>
        <w:t xml:space="preserve">הוא </w:t>
      </w:r>
      <w:bookmarkStart w:id="26430" w:name="_ETM_Q44_658659"/>
      <w:bookmarkEnd w:id="26430"/>
      <w:r>
        <w:rPr>
          <w:rFonts w:hint="cs"/>
          <w:rtl/>
        </w:rPr>
        <w:t xml:space="preserve">המזין </w:t>
      </w:r>
      <w:bookmarkStart w:id="26431" w:name="_ETM_Q44_659409"/>
      <w:bookmarkEnd w:id="26431"/>
      <w:r>
        <w:rPr>
          <w:rFonts w:hint="cs"/>
          <w:rtl/>
        </w:rPr>
        <w:t xml:space="preserve">העיקרי </w:t>
      </w:r>
      <w:bookmarkStart w:id="26432" w:name="_ETM_Q44_660640"/>
      <w:bookmarkEnd w:id="26432"/>
      <w:r w:rsidR="00E33F55">
        <w:rPr>
          <w:rFonts w:hint="cs"/>
          <w:rtl/>
        </w:rPr>
        <w:t xml:space="preserve">של </w:t>
      </w:r>
      <w:r>
        <w:rPr>
          <w:rFonts w:hint="cs"/>
          <w:rtl/>
        </w:rPr>
        <w:t xml:space="preserve">תרבות </w:t>
      </w:r>
      <w:bookmarkStart w:id="26433" w:name="_ETM_Q44_661569"/>
      <w:bookmarkEnd w:id="26433"/>
      <w:r>
        <w:rPr>
          <w:rFonts w:hint="cs"/>
          <w:rtl/>
        </w:rPr>
        <w:t xml:space="preserve">הפשיזם </w:t>
      </w:r>
      <w:bookmarkStart w:id="26434" w:name="_ETM_Q44_662290"/>
      <w:bookmarkEnd w:id="26434"/>
      <w:r>
        <w:rPr>
          <w:rFonts w:hint="cs"/>
          <w:rtl/>
        </w:rPr>
        <w:t xml:space="preserve">בתוך </w:t>
      </w:r>
      <w:bookmarkStart w:id="26435" w:name="_ETM_Q44_662680"/>
      <w:bookmarkEnd w:id="26435"/>
      <w:r>
        <w:rPr>
          <w:rFonts w:hint="cs"/>
          <w:rtl/>
        </w:rPr>
        <w:t xml:space="preserve">מדינת </w:t>
      </w:r>
      <w:bookmarkStart w:id="26436" w:name="_ETM_Q44_663040"/>
      <w:bookmarkEnd w:id="26436"/>
      <w:r>
        <w:rPr>
          <w:rFonts w:hint="cs"/>
          <w:rtl/>
        </w:rPr>
        <w:t xml:space="preserve">ישראל. </w:t>
      </w:r>
      <w:bookmarkStart w:id="26437" w:name="_ETM_Q44_665409"/>
      <w:bookmarkEnd w:id="26437"/>
      <w:r>
        <w:rPr>
          <w:rFonts w:hint="cs"/>
          <w:rtl/>
        </w:rPr>
        <w:t xml:space="preserve">אם </w:t>
      </w:r>
      <w:bookmarkStart w:id="26438" w:name="_ETM_Q44_665650"/>
      <w:bookmarkEnd w:id="26438"/>
      <w:r>
        <w:rPr>
          <w:rFonts w:hint="cs"/>
          <w:rtl/>
        </w:rPr>
        <w:t xml:space="preserve">אנחנו </w:t>
      </w:r>
      <w:bookmarkStart w:id="26439" w:name="_ETM_Q44_666099"/>
      <w:bookmarkEnd w:id="26439"/>
      <w:r>
        <w:rPr>
          <w:rFonts w:hint="cs"/>
          <w:rtl/>
        </w:rPr>
        <w:t xml:space="preserve">קוראים, </w:t>
      </w:r>
      <w:bookmarkStart w:id="26440" w:name="_ETM_Q44_667059"/>
      <w:bookmarkEnd w:id="26440"/>
      <w:r>
        <w:rPr>
          <w:rFonts w:hint="cs"/>
          <w:rtl/>
        </w:rPr>
        <w:t xml:space="preserve">מנתחים </w:t>
      </w:r>
      <w:bookmarkStart w:id="26441" w:name="_ETM_Q44_667569"/>
      <w:bookmarkStart w:id="26442" w:name="_ETM_Q44_669680"/>
      <w:bookmarkEnd w:id="26441"/>
      <w:bookmarkEnd w:id="26442"/>
      <w:r>
        <w:rPr>
          <w:rFonts w:hint="cs"/>
          <w:rtl/>
        </w:rPr>
        <w:t xml:space="preserve">בצורה </w:t>
      </w:r>
      <w:bookmarkStart w:id="26443" w:name="_ETM_Q44_670310"/>
      <w:bookmarkEnd w:id="26443"/>
      <w:r>
        <w:rPr>
          <w:rFonts w:hint="cs"/>
          <w:rtl/>
        </w:rPr>
        <w:t xml:space="preserve">הוליסטית </w:t>
      </w:r>
      <w:bookmarkStart w:id="26444" w:name="_ETM_Q44_670819"/>
      <w:bookmarkEnd w:id="26444"/>
      <w:r>
        <w:rPr>
          <w:rFonts w:hint="cs"/>
          <w:rtl/>
        </w:rPr>
        <w:t xml:space="preserve">נכונה, רק כך </w:t>
      </w:r>
      <w:bookmarkStart w:id="26445" w:name="_ETM_Q44_672230"/>
      <w:bookmarkStart w:id="26446" w:name="_ETM_Q44_672409"/>
      <w:bookmarkStart w:id="26447" w:name="_ETM_Q44_672980"/>
      <w:bookmarkStart w:id="26448" w:name="_ETM_Q44_673930"/>
      <w:bookmarkStart w:id="26449" w:name="_ETM_Q44_674050"/>
      <w:bookmarkEnd w:id="26445"/>
      <w:bookmarkEnd w:id="26446"/>
      <w:bookmarkEnd w:id="26447"/>
      <w:bookmarkEnd w:id="26448"/>
      <w:bookmarkEnd w:id="26449"/>
      <w:r>
        <w:rPr>
          <w:rFonts w:hint="cs"/>
          <w:rtl/>
        </w:rPr>
        <w:t xml:space="preserve">אפשר </w:t>
      </w:r>
      <w:bookmarkStart w:id="26450" w:name="_ETM_Q44_674500"/>
      <w:bookmarkEnd w:id="26450"/>
      <w:r>
        <w:rPr>
          <w:rFonts w:hint="cs"/>
          <w:rtl/>
        </w:rPr>
        <w:t xml:space="preserve">לנצח </w:t>
      </w:r>
      <w:bookmarkStart w:id="26451" w:name="_ETM_Q44_675280"/>
      <w:bookmarkEnd w:id="26451"/>
      <w:r>
        <w:rPr>
          <w:rFonts w:hint="cs"/>
          <w:rtl/>
        </w:rPr>
        <w:t xml:space="preserve">את </w:t>
      </w:r>
      <w:bookmarkStart w:id="26452" w:name="_ETM_Q44_675460"/>
      <w:bookmarkEnd w:id="26452"/>
      <w:r>
        <w:rPr>
          <w:rFonts w:hint="cs"/>
          <w:rtl/>
        </w:rPr>
        <w:t xml:space="preserve">הפשיזם </w:t>
      </w:r>
      <w:bookmarkStart w:id="26453" w:name="_ETM_Q44_676030"/>
      <w:bookmarkEnd w:id="26453"/>
      <w:r>
        <w:rPr>
          <w:rFonts w:hint="cs"/>
          <w:rtl/>
        </w:rPr>
        <w:t xml:space="preserve">בתוך </w:t>
      </w:r>
      <w:bookmarkStart w:id="26454" w:name="_ETM_Q44_676300"/>
      <w:bookmarkEnd w:id="26454"/>
      <w:r>
        <w:rPr>
          <w:rFonts w:hint="cs"/>
          <w:rtl/>
        </w:rPr>
        <w:t xml:space="preserve">מדינת </w:t>
      </w:r>
      <w:bookmarkStart w:id="26455" w:name="_ETM_Q44_676600"/>
      <w:bookmarkEnd w:id="26455"/>
      <w:r>
        <w:rPr>
          <w:rFonts w:hint="cs"/>
          <w:rtl/>
        </w:rPr>
        <w:t>ישראל</w:t>
      </w:r>
      <w:r w:rsidR="00E33F55">
        <w:rPr>
          <w:rFonts w:hint="cs"/>
          <w:rtl/>
        </w:rPr>
        <w:t>, ו</w:t>
      </w:r>
      <w:bookmarkStart w:id="26456" w:name="_ETM_Q44_678370"/>
      <w:bookmarkEnd w:id="26456"/>
      <w:r>
        <w:rPr>
          <w:rFonts w:hint="cs"/>
          <w:rtl/>
        </w:rPr>
        <w:t>ז</w:t>
      </w:r>
      <w:r w:rsidR="00E33F55">
        <w:rPr>
          <w:rFonts w:hint="cs"/>
          <w:rtl/>
        </w:rPr>
        <w:t>ה</w:t>
      </w:r>
      <w:r>
        <w:rPr>
          <w:rFonts w:hint="cs"/>
          <w:rtl/>
        </w:rPr>
        <w:t xml:space="preserve"> </w:t>
      </w:r>
      <w:bookmarkStart w:id="26457" w:name="_ETM_Q44_678820"/>
      <w:bookmarkEnd w:id="26457"/>
      <w:r w:rsidR="00E33F55">
        <w:rPr>
          <w:rFonts w:hint="cs"/>
          <w:rtl/>
        </w:rPr>
        <w:t>ב</w:t>
      </w:r>
      <w:r>
        <w:rPr>
          <w:rFonts w:hint="cs"/>
          <w:rtl/>
        </w:rPr>
        <w:t xml:space="preserve">חתירה </w:t>
      </w:r>
      <w:bookmarkStart w:id="26458" w:name="_ETM_Q44_679300"/>
      <w:bookmarkEnd w:id="26458"/>
      <w:r>
        <w:rPr>
          <w:rFonts w:hint="cs"/>
          <w:rtl/>
        </w:rPr>
        <w:t xml:space="preserve">לשלום, </w:t>
      </w:r>
      <w:bookmarkStart w:id="26459" w:name="_ETM_Q44_679900"/>
      <w:bookmarkEnd w:id="26459"/>
      <w:r>
        <w:rPr>
          <w:rFonts w:hint="cs"/>
          <w:rtl/>
        </w:rPr>
        <w:t xml:space="preserve">חתירה </w:t>
      </w:r>
      <w:bookmarkStart w:id="26460" w:name="_ETM_Q44_680320"/>
      <w:bookmarkStart w:id="26461" w:name="_ETM_Q44_681010"/>
      <w:bookmarkEnd w:id="26460"/>
      <w:bookmarkEnd w:id="26461"/>
      <w:r>
        <w:rPr>
          <w:rFonts w:hint="cs"/>
          <w:rtl/>
        </w:rPr>
        <w:t xml:space="preserve">לסיום </w:t>
      </w:r>
      <w:bookmarkStart w:id="26462" w:name="_ETM_Q44_681430"/>
      <w:bookmarkEnd w:id="26462"/>
      <w:r>
        <w:rPr>
          <w:rFonts w:hint="cs"/>
          <w:rtl/>
        </w:rPr>
        <w:t>הכיבוש.</w:t>
      </w:r>
    </w:p>
    <w:p w:rsidR="00BB59CD" w:rsidRDefault="00BB59CD" w:rsidP="00BB59CD">
      <w:pPr>
        <w:rPr>
          <w:rtl/>
        </w:rPr>
      </w:pPr>
      <w:bookmarkStart w:id="26463" w:name="_ETM_Q44_688484"/>
      <w:bookmarkStart w:id="26464" w:name="_ETM_Q44_688586"/>
      <w:bookmarkEnd w:id="26463"/>
      <w:bookmarkEnd w:id="26464"/>
    </w:p>
    <w:p w:rsidR="00BB59CD" w:rsidRDefault="00BB59CD" w:rsidP="00E33F55">
      <w:pPr>
        <w:rPr>
          <w:rtl/>
        </w:rPr>
      </w:pPr>
      <w:bookmarkStart w:id="26465" w:name="_ETM_Q44_688692"/>
      <w:bookmarkStart w:id="26466" w:name="_ETM_Q44_688794"/>
      <w:bookmarkStart w:id="26467" w:name="_ETM_Q44_687109"/>
      <w:bookmarkEnd w:id="26465"/>
      <w:bookmarkEnd w:id="26466"/>
      <w:bookmarkEnd w:id="26467"/>
      <w:r>
        <w:rPr>
          <w:rFonts w:hint="cs"/>
          <w:rtl/>
        </w:rPr>
        <w:t xml:space="preserve">אני </w:t>
      </w:r>
      <w:bookmarkStart w:id="26468" w:name="_ETM_Q44_687379"/>
      <w:bookmarkEnd w:id="26468"/>
      <w:r>
        <w:rPr>
          <w:rFonts w:hint="cs"/>
          <w:rtl/>
        </w:rPr>
        <w:t xml:space="preserve">רוצה </w:t>
      </w:r>
      <w:bookmarkStart w:id="26469" w:name="_ETM_Q44_687769"/>
      <w:bookmarkEnd w:id="26469"/>
      <w:r>
        <w:rPr>
          <w:rFonts w:hint="cs"/>
          <w:rtl/>
        </w:rPr>
        <w:t xml:space="preserve">להגיד </w:t>
      </w:r>
      <w:bookmarkStart w:id="26470" w:name="_ETM_Q44_689420"/>
      <w:bookmarkEnd w:id="26470"/>
      <w:r>
        <w:rPr>
          <w:rFonts w:hint="cs"/>
          <w:rtl/>
        </w:rPr>
        <w:t xml:space="preserve">לציבור </w:t>
      </w:r>
      <w:bookmarkStart w:id="26471" w:name="_ETM_Q44_690020"/>
      <w:bookmarkEnd w:id="26471"/>
      <w:r>
        <w:rPr>
          <w:rFonts w:hint="cs"/>
          <w:rtl/>
        </w:rPr>
        <w:t>שלנו</w:t>
      </w:r>
      <w:bookmarkStart w:id="26472" w:name="_ETM_Q44_690500"/>
      <w:bookmarkEnd w:id="26472"/>
      <w:r>
        <w:rPr>
          <w:rFonts w:hint="cs"/>
          <w:rtl/>
        </w:rPr>
        <w:t xml:space="preserve"> </w:t>
      </w:r>
      <w:r>
        <w:t>–</w:t>
      </w:r>
      <w:r>
        <w:rPr>
          <w:rtl/>
        </w:rPr>
        <w:t xml:space="preserve"> </w:t>
      </w:r>
      <w:r>
        <w:rPr>
          <w:rFonts w:hint="cs"/>
          <w:rtl/>
        </w:rPr>
        <w:t xml:space="preserve">אני </w:t>
      </w:r>
      <w:bookmarkStart w:id="26473" w:name="_ETM_Q44_690680"/>
      <w:bookmarkEnd w:id="26473"/>
      <w:r>
        <w:rPr>
          <w:rFonts w:hint="cs"/>
          <w:rtl/>
        </w:rPr>
        <w:t xml:space="preserve">אגיד </w:t>
      </w:r>
      <w:bookmarkStart w:id="26474" w:name="_ETM_Q44_690950"/>
      <w:bookmarkEnd w:id="26474"/>
      <w:r>
        <w:rPr>
          <w:rFonts w:hint="cs"/>
          <w:rtl/>
        </w:rPr>
        <w:t xml:space="preserve">כמה </w:t>
      </w:r>
      <w:bookmarkStart w:id="26475" w:name="_ETM_Q44_691220"/>
      <w:bookmarkEnd w:id="26475"/>
      <w:r>
        <w:rPr>
          <w:rFonts w:hint="cs"/>
          <w:rtl/>
        </w:rPr>
        <w:t xml:space="preserve">מילים </w:t>
      </w:r>
      <w:bookmarkStart w:id="26476" w:name="_ETM_Q44_691520"/>
      <w:bookmarkEnd w:id="26476"/>
      <w:r>
        <w:rPr>
          <w:rFonts w:hint="cs"/>
          <w:rtl/>
        </w:rPr>
        <w:t xml:space="preserve">בשפה </w:t>
      </w:r>
      <w:bookmarkStart w:id="26477" w:name="_ETM_Q44_691940"/>
      <w:bookmarkEnd w:id="26477"/>
      <w:r>
        <w:rPr>
          <w:rFonts w:hint="cs"/>
          <w:rtl/>
        </w:rPr>
        <w:t xml:space="preserve">העברית, </w:t>
      </w:r>
      <w:bookmarkStart w:id="26478" w:name="_ETM_Q44_692360"/>
      <w:bookmarkEnd w:id="26478"/>
      <w:r>
        <w:rPr>
          <w:rFonts w:hint="cs"/>
          <w:rtl/>
        </w:rPr>
        <w:t>אחר</w:t>
      </w:r>
      <w:bookmarkStart w:id="26479" w:name="_ETM_Q44_692660"/>
      <w:bookmarkEnd w:id="26479"/>
      <w:r>
        <w:rPr>
          <w:rFonts w:hint="cs"/>
          <w:rtl/>
        </w:rPr>
        <w:t xml:space="preserve"> כך </w:t>
      </w:r>
      <w:bookmarkStart w:id="26480" w:name="_ETM_Q44_692929"/>
      <w:bookmarkEnd w:id="26480"/>
      <w:r>
        <w:rPr>
          <w:rFonts w:hint="cs"/>
          <w:rtl/>
        </w:rPr>
        <w:t xml:space="preserve">אתרגם אותן לשפה </w:t>
      </w:r>
      <w:bookmarkStart w:id="26481" w:name="_ETM_Q44_693388"/>
      <w:bookmarkEnd w:id="26481"/>
      <w:r>
        <w:rPr>
          <w:rFonts w:hint="cs"/>
          <w:rtl/>
        </w:rPr>
        <w:t xml:space="preserve">הערבית </w:t>
      </w:r>
      <w:r>
        <w:t>–</w:t>
      </w:r>
      <w:r>
        <w:rPr>
          <w:rFonts w:hint="cs"/>
          <w:rtl/>
        </w:rPr>
        <w:t xml:space="preserve"> </w:t>
      </w:r>
      <w:bookmarkStart w:id="26482" w:name="_ETM_Q44_693230"/>
      <w:bookmarkStart w:id="26483" w:name="_ETM_Q44_693470"/>
      <w:bookmarkStart w:id="26484" w:name="_ETM_Q44_694670"/>
      <w:bookmarkStart w:id="26485" w:name="_ETM_Q44_695209"/>
      <w:bookmarkStart w:id="26486" w:name="_ETM_Q44_698120"/>
      <w:bookmarkEnd w:id="26482"/>
      <w:bookmarkEnd w:id="26483"/>
      <w:bookmarkEnd w:id="26484"/>
      <w:bookmarkEnd w:id="26485"/>
      <w:bookmarkEnd w:id="26486"/>
      <w:r>
        <w:rPr>
          <w:rFonts w:hint="cs"/>
          <w:rtl/>
        </w:rPr>
        <w:t>בקשר לפשיעה</w:t>
      </w:r>
      <w:r w:rsidR="00E33F55">
        <w:rPr>
          <w:rFonts w:hint="cs"/>
          <w:rtl/>
        </w:rPr>
        <w:t>.</w:t>
      </w:r>
      <w:r>
        <w:rPr>
          <w:rFonts w:hint="cs"/>
          <w:rtl/>
        </w:rPr>
        <w:t xml:space="preserve"> </w:t>
      </w:r>
      <w:bookmarkStart w:id="26487" w:name="_ETM_Q44_698690"/>
      <w:bookmarkStart w:id="26488" w:name="_ETM_Q44_698929"/>
      <w:bookmarkStart w:id="26489" w:name="_ETM_Q44_701260"/>
      <w:bookmarkEnd w:id="26487"/>
      <w:bookmarkEnd w:id="26488"/>
      <w:bookmarkEnd w:id="26489"/>
      <w:r>
        <w:rPr>
          <w:rFonts w:hint="cs"/>
          <w:rtl/>
        </w:rPr>
        <w:t xml:space="preserve">מתקשרים </w:t>
      </w:r>
      <w:bookmarkStart w:id="26490" w:name="_ETM_Q44_701890"/>
      <w:bookmarkEnd w:id="26490"/>
      <w:r>
        <w:rPr>
          <w:rFonts w:hint="cs"/>
          <w:rtl/>
        </w:rPr>
        <w:t xml:space="preserve">אליי </w:t>
      </w:r>
      <w:bookmarkStart w:id="26491" w:name="_ETM_Q44_702159"/>
      <w:bookmarkEnd w:id="26491"/>
      <w:r>
        <w:rPr>
          <w:rFonts w:hint="cs"/>
          <w:rtl/>
        </w:rPr>
        <w:t xml:space="preserve">הרבה </w:t>
      </w:r>
      <w:bookmarkStart w:id="26492" w:name="_ETM_Q44_703010"/>
      <w:bookmarkEnd w:id="26492"/>
      <w:r>
        <w:rPr>
          <w:rFonts w:hint="cs"/>
          <w:rtl/>
        </w:rPr>
        <w:t xml:space="preserve">מהאזרחים </w:t>
      </w:r>
      <w:bookmarkStart w:id="26493" w:name="_ETM_Q44_703790"/>
      <w:bookmarkEnd w:id="26493"/>
      <w:r>
        <w:rPr>
          <w:rFonts w:hint="cs"/>
          <w:rtl/>
        </w:rPr>
        <w:t>הערבים</w:t>
      </w:r>
      <w:r w:rsidR="00E33F55">
        <w:rPr>
          <w:rFonts w:hint="cs"/>
          <w:rtl/>
        </w:rPr>
        <w:t>,</w:t>
      </w:r>
      <w:r>
        <w:rPr>
          <w:rFonts w:hint="cs"/>
          <w:rtl/>
        </w:rPr>
        <w:t xml:space="preserve"> </w:t>
      </w:r>
      <w:bookmarkStart w:id="26494" w:name="_ETM_Q44_705139"/>
      <w:bookmarkEnd w:id="26494"/>
      <w:r>
        <w:rPr>
          <w:rFonts w:hint="cs"/>
          <w:rtl/>
        </w:rPr>
        <w:t xml:space="preserve">אומרים </w:t>
      </w:r>
      <w:bookmarkStart w:id="26495" w:name="_ETM_Q44_705589"/>
      <w:bookmarkEnd w:id="26495"/>
      <w:r>
        <w:rPr>
          <w:rFonts w:hint="cs"/>
          <w:rtl/>
        </w:rPr>
        <w:t xml:space="preserve">שצריך, </w:t>
      </w:r>
      <w:bookmarkStart w:id="26496" w:name="_ETM_Q44_706249"/>
      <w:bookmarkEnd w:id="26496"/>
      <w:r>
        <w:rPr>
          <w:rFonts w:hint="cs"/>
          <w:rtl/>
        </w:rPr>
        <w:t xml:space="preserve">שוב, </w:t>
      </w:r>
      <w:bookmarkStart w:id="26497" w:name="_ETM_Q44_707390"/>
      <w:bookmarkEnd w:id="26497"/>
      <w:r>
        <w:rPr>
          <w:rFonts w:hint="cs"/>
          <w:rtl/>
        </w:rPr>
        <w:t xml:space="preserve">לחסום </w:t>
      </w:r>
      <w:bookmarkStart w:id="26498" w:name="_ETM_Q44_708050"/>
      <w:bookmarkEnd w:id="26498"/>
      <w:r>
        <w:rPr>
          <w:rFonts w:hint="cs"/>
          <w:rtl/>
        </w:rPr>
        <w:t xml:space="preserve">את </w:t>
      </w:r>
      <w:bookmarkStart w:id="26499" w:name="_ETM_Q44_708170"/>
      <w:bookmarkEnd w:id="26499"/>
      <w:r>
        <w:rPr>
          <w:rFonts w:hint="cs"/>
          <w:rtl/>
        </w:rPr>
        <w:t xml:space="preserve">הכבישים </w:t>
      </w:r>
      <w:bookmarkStart w:id="26500" w:name="_ETM_Q44_708739"/>
      <w:bookmarkEnd w:id="26500"/>
      <w:r>
        <w:rPr>
          <w:rFonts w:hint="cs"/>
          <w:rtl/>
        </w:rPr>
        <w:t xml:space="preserve">הראשיים, </w:t>
      </w:r>
      <w:bookmarkStart w:id="26501" w:name="_ETM_Q44_709769"/>
      <w:bookmarkEnd w:id="26501"/>
      <w:r>
        <w:rPr>
          <w:rFonts w:hint="cs"/>
          <w:rtl/>
        </w:rPr>
        <w:t xml:space="preserve">והם </w:t>
      </w:r>
      <w:bookmarkStart w:id="26502" w:name="_ETM_Q44_710219"/>
      <w:bookmarkEnd w:id="26502"/>
      <w:r>
        <w:rPr>
          <w:rFonts w:hint="cs"/>
          <w:rtl/>
        </w:rPr>
        <w:t xml:space="preserve">צודקים. </w:t>
      </w:r>
      <w:bookmarkStart w:id="26503" w:name="_ETM_Q44_711650"/>
      <w:bookmarkEnd w:id="26503"/>
      <w:r>
        <w:rPr>
          <w:rFonts w:hint="cs"/>
          <w:rtl/>
        </w:rPr>
        <w:t xml:space="preserve">אני </w:t>
      </w:r>
      <w:bookmarkStart w:id="26504" w:name="_ETM_Q44_711950"/>
      <w:bookmarkEnd w:id="26504"/>
      <w:r>
        <w:rPr>
          <w:rFonts w:hint="cs"/>
          <w:rtl/>
        </w:rPr>
        <w:t xml:space="preserve">חושב </w:t>
      </w:r>
      <w:bookmarkStart w:id="26505" w:name="_ETM_Q44_712280"/>
      <w:bookmarkEnd w:id="26505"/>
      <w:r>
        <w:rPr>
          <w:rFonts w:hint="cs"/>
          <w:rtl/>
        </w:rPr>
        <w:t xml:space="preserve">שצריך </w:t>
      </w:r>
      <w:bookmarkStart w:id="26506" w:name="_ETM_Q44_712730"/>
      <w:bookmarkEnd w:id="26506"/>
      <w:r>
        <w:rPr>
          <w:rFonts w:hint="cs"/>
          <w:rtl/>
        </w:rPr>
        <w:t xml:space="preserve">מעבר </w:t>
      </w:r>
      <w:bookmarkStart w:id="26507" w:name="_ETM_Q44_713120"/>
      <w:bookmarkEnd w:id="26507"/>
      <w:r>
        <w:rPr>
          <w:rFonts w:hint="cs"/>
          <w:rtl/>
        </w:rPr>
        <w:t xml:space="preserve">לכך: </w:t>
      </w:r>
      <w:bookmarkStart w:id="26508" w:name="_ETM_Q44_714179"/>
      <w:bookmarkEnd w:id="26508"/>
      <w:r>
        <w:rPr>
          <w:rFonts w:hint="cs"/>
          <w:rtl/>
        </w:rPr>
        <w:t xml:space="preserve">צריך </w:t>
      </w:r>
      <w:bookmarkStart w:id="26509" w:name="_ETM_Q44_714719"/>
      <w:bookmarkEnd w:id="26509"/>
      <w:r>
        <w:rPr>
          <w:rFonts w:hint="cs"/>
          <w:rtl/>
        </w:rPr>
        <w:t xml:space="preserve">להחליט </w:t>
      </w:r>
      <w:bookmarkStart w:id="26510" w:name="_ETM_Q44_715319"/>
      <w:bookmarkEnd w:id="26510"/>
      <w:r>
        <w:rPr>
          <w:rFonts w:hint="cs"/>
          <w:rtl/>
        </w:rPr>
        <w:t xml:space="preserve">על </w:t>
      </w:r>
      <w:bookmarkStart w:id="26511" w:name="_ETM_Q44_715529"/>
      <w:bookmarkEnd w:id="26511"/>
      <w:r>
        <w:rPr>
          <w:rFonts w:hint="cs"/>
          <w:rtl/>
        </w:rPr>
        <w:t xml:space="preserve">מרי </w:t>
      </w:r>
      <w:bookmarkStart w:id="26512" w:name="_ETM_Q44_715920"/>
      <w:bookmarkEnd w:id="26512"/>
      <w:r>
        <w:rPr>
          <w:rFonts w:hint="cs"/>
          <w:rtl/>
        </w:rPr>
        <w:t xml:space="preserve">אזרחי. </w:t>
      </w:r>
      <w:bookmarkStart w:id="26513" w:name="_ETM_Q44_716970"/>
      <w:bookmarkEnd w:id="26513"/>
      <w:r>
        <w:rPr>
          <w:rFonts w:hint="cs"/>
          <w:rtl/>
        </w:rPr>
        <w:t xml:space="preserve">אני </w:t>
      </w:r>
      <w:bookmarkStart w:id="26514" w:name="_ETM_Q44_717450"/>
      <w:bookmarkEnd w:id="26514"/>
      <w:r>
        <w:rPr>
          <w:rFonts w:hint="cs"/>
          <w:rtl/>
        </w:rPr>
        <w:t xml:space="preserve">תומך </w:t>
      </w:r>
      <w:bookmarkStart w:id="26515" w:name="_ETM_Q44_718559"/>
      <w:bookmarkEnd w:id="26515"/>
      <w:r>
        <w:rPr>
          <w:rFonts w:hint="cs"/>
          <w:rtl/>
        </w:rPr>
        <w:t xml:space="preserve">במרי </w:t>
      </w:r>
      <w:bookmarkStart w:id="26516" w:name="_ETM_Q44_719040"/>
      <w:bookmarkEnd w:id="26516"/>
      <w:r>
        <w:rPr>
          <w:rFonts w:hint="cs"/>
          <w:rtl/>
        </w:rPr>
        <w:t>א</w:t>
      </w:r>
      <w:bookmarkStart w:id="26517" w:name="_ETM_Q44_719250"/>
      <w:bookmarkEnd w:id="26517"/>
      <w:r>
        <w:rPr>
          <w:rFonts w:hint="cs"/>
          <w:rtl/>
        </w:rPr>
        <w:t xml:space="preserve">זרחי </w:t>
      </w:r>
      <w:bookmarkStart w:id="26518" w:name="_ETM_Q44_721100"/>
      <w:bookmarkEnd w:id="26518"/>
      <w:r>
        <w:rPr>
          <w:rFonts w:hint="cs"/>
          <w:rtl/>
        </w:rPr>
        <w:t xml:space="preserve">בסוגיית </w:t>
      </w:r>
      <w:bookmarkStart w:id="26519" w:name="_ETM_Q44_721880"/>
      <w:bookmarkEnd w:id="26519"/>
      <w:r>
        <w:rPr>
          <w:rFonts w:hint="cs"/>
          <w:rtl/>
        </w:rPr>
        <w:t xml:space="preserve">הפשיעה </w:t>
      </w:r>
      <w:bookmarkStart w:id="26520" w:name="_ETM_Q44_723080"/>
      <w:bookmarkEnd w:id="26520"/>
      <w:r>
        <w:rPr>
          <w:rFonts w:hint="cs"/>
          <w:rtl/>
        </w:rPr>
        <w:t xml:space="preserve">בקרב </w:t>
      </w:r>
      <w:bookmarkStart w:id="26521" w:name="_ETM_Q44_723470"/>
      <w:bookmarkEnd w:id="26521"/>
      <w:r>
        <w:rPr>
          <w:rFonts w:hint="cs"/>
          <w:rtl/>
        </w:rPr>
        <w:t xml:space="preserve">האוכלוסייה </w:t>
      </w:r>
      <w:bookmarkStart w:id="26522" w:name="_ETM_Q44_723740"/>
      <w:bookmarkEnd w:id="26522"/>
      <w:r>
        <w:rPr>
          <w:rFonts w:hint="cs"/>
          <w:rtl/>
        </w:rPr>
        <w:t xml:space="preserve">הערבית. אני </w:t>
      </w:r>
      <w:bookmarkStart w:id="26523" w:name="_ETM_Q44_724250"/>
      <w:bookmarkEnd w:id="26523"/>
      <w:r>
        <w:rPr>
          <w:rFonts w:hint="cs"/>
          <w:rtl/>
        </w:rPr>
        <w:t xml:space="preserve">תומך. </w:t>
      </w:r>
      <w:bookmarkStart w:id="26524" w:name="_ETM_Q44_725859"/>
      <w:bookmarkEnd w:id="26524"/>
      <w:r>
        <w:rPr>
          <w:rFonts w:hint="cs"/>
          <w:rtl/>
        </w:rPr>
        <w:t xml:space="preserve">יחד </w:t>
      </w:r>
      <w:bookmarkStart w:id="26525" w:name="_ETM_Q44_726340"/>
      <w:bookmarkEnd w:id="26525"/>
      <w:r>
        <w:rPr>
          <w:rFonts w:hint="cs"/>
          <w:rtl/>
        </w:rPr>
        <w:t xml:space="preserve">עם </w:t>
      </w:r>
      <w:bookmarkStart w:id="26526" w:name="_ETM_Q44_726459"/>
      <w:bookmarkEnd w:id="26526"/>
      <w:r>
        <w:rPr>
          <w:rFonts w:hint="cs"/>
          <w:rtl/>
        </w:rPr>
        <w:t xml:space="preserve">זאת, </w:t>
      </w:r>
      <w:bookmarkStart w:id="26527" w:name="_ETM_Q44_726760"/>
      <w:bookmarkEnd w:id="26527"/>
      <w:r>
        <w:rPr>
          <w:rFonts w:hint="cs"/>
          <w:rtl/>
        </w:rPr>
        <w:t>כש</w:t>
      </w:r>
      <w:bookmarkStart w:id="26528" w:name="_ETM_Q44_727090"/>
      <w:bookmarkEnd w:id="26528"/>
      <w:r>
        <w:rPr>
          <w:rFonts w:hint="cs"/>
          <w:rtl/>
        </w:rPr>
        <w:t xml:space="preserve">מחליטים </w:t>
      </w:r>
      <w:bookmarkStart w:id="26529" w:name="_ETM_Q44_728169"/>
      <w:bookmarkEnd w:id="26529"/>
      <w:r>
        <w:rPr>
          <w:rFonts w:hint="cs"/>
          <w:rtl/>
        </w:rPr>
        <w:t xml:space="preserve">ללכת </w:t>
      </w:r>
      <w:bookmarkStart w:id="26530" w:name="_ETM_Q44_729010"/>
      <w:bookmarkEnd w:id="26530"/>
      <w:r>
        <w:rPr>
          <w:rFonts w:hint="cs"/>
          <w:rtl/>
        </w:rPr>
        <w:t xml:space="preserve">על </w:t>
      </w:r>
      <w:bookmarkStart w:id="26531" w:name="_ETM_Q44_729830"/>
      <w:bookmarkEnd w:id="26531"/>
      <w:r>
        <w:rPr>
          <w:rFonts w:hint="cs"/>
          <w:rtl/>
        </w:rPr>
        <w:t xml:space="preserve">מאבק </w:t>
      </w:r>
      <w:bookmarkStart w:id="26532" w:name="_ETM_Q44_730400"/>
      <w:bookmarkEnd w:id="26532"/>
      <w:r>
        <w:rPr>
          <w:rFonts w:hint="cs"/>
          <w:rtl/>
        </w:rPr>
        <w:t xml:space="preserve">חסר </w:t>
      </w:r>
      <w:bookmarkStart w:id="26533" w:name="_ETM_Q44_730760"/>
      <w:bookmarkEnd w:id="26533"/>
      <w:r>
        <w:rPr>
          <w:rFonts w:hint="cs"/>
          <w:rtl/>
        </w:rPr>
        <w:t xml:space="preserve">תקדים, </w:t>
      </w:r>
      <w:bookmarkStart w:id="26534" w:name="_ETM_Q44_732059"/>
      <w:bookmarkEnd w:id="26534"/>
      <w:r>
        <w:rPr>
          <w:rFonts w:hint="cs"/>
          <w:rtl/>
        </w:rPr>
        <w:t xml:space="preserve">צריך </w:t>
      </w:r>
      <w:bookmarkStart w:id="26535" w:name="_ETM_Q44_732540"/>
      <w:bookmarkEnd w:id="26535"/>
      <w:r>
        <w:rPr>
          <w:rFonts w:hint="cs"/>
          <w:rtl/>
        </w:rPr>
        <w:t xml:space="preserve">לחשוב </w:t>
      </w:r>
      <w:bookmarkStart w:id="26536" w:name="_ETM_Q44_733140"/>
      <w:bookmarkEnd w:id="26536"/>
      <w:r>
        <w:rPr>
          <w:rFonts w:hint="cs"/>
          <w:rtl/>
        </w:rPr>
        <w:t xml:space="preserve">על </w:t>
      </w:r>
      <w:bookmarkStart w:id="26537" w:name="_ETM_Q44_733319"/>
      <w:bookmarkEnd w:id="26537"/>
      <w:r>
        <w:rPr>
          <w:rFonts w:hint="cs"/>
          <w:rtl/>
        </w:rPr>
        <w:t xml:space="preserve">ההשלכות </w:t>
      </w:r>
      <w:bookmarkStart w:id="26538" w:name="_ETM_Q44_734690"/>
      <w:bookmarkEnd w:id="26538"/>
      <w:r>
        <w:rPr>
          <w:rFonts w:hint="cs"/>
          <w:rtl/>
        </w:rPr>
        <w:t xml:space="preserve">ועל </w:t>
      </w:r>
      <w:bookmarkStart w:id="26539" w:name="_ETM_Q44_736220"/>
      <w:bookmarkEnd w:id="26539"/>
      <w:r>
        <w:rPr>
          <w:rFonts w:hint="cs"/>
          <w:rtl/>
        </w:rPr>
        <w:t xml:space="preserve">התוצאה שאנחנו אמורים להניב </w:t>
      </w:r>
      <w:bookmarkStart w:id="26540" w:name="_ETM_Q44_740737"/>
      <w:bookmarkEnd w:id="26540"/>
      <w:r>
        <w:rPr>
          <w:rFonts w:hint="cs"/>
          <w:rtl/>
        </w:rPr>
        <w:t xml:space="preserve">אחרי מאבק חסר תקדים. אני אומר שבצל מחאה נגד </w:t>
      </w:r>
      <w:bookmarkStart w:id="26541" w:name="_ETM_Q44_746571"/>
      <w:bookmarkEnd w:id="26541"/>
      <w:r>
        <w:rPr>
          <w:rFonts w:hint="cs"/>
          <w:rtl/>
        </w:rPr>
        <w:t xml:space="preserve">ההפיכה המשטרית שהיא חסרת תקדים, אפילו אם נצא לרחובות באלפים, </w:t>
      </w:r>
      <w:bookmarkStart w:id="26542" w:name="_ETM_Q44_757643"/>
      <w:bookmarkEnd w:id="26542"/>
      <w:r>
        <w:rPr>
          <w:rFonts w:hint="cs"/>
          <w:rtl/>
        </w:rPr>
        <w:t xml:space="preserve">זה לא יביא תוצאה </w:t>
      </w:r>
      <w:r w:rsidR="00E33F55">
        <w:rPr>
          <w:rFonts w:hint="cs"/>
          <w:rtl/>
        </w:rPr>
        <w:t xml:space="preserve">כמו </w:t>
      </w:r>
      <w:r>
        <w:rPr>
          <w:rFonts w:hint="cs"/>
          <w:rtl/>
        </w:rPr>
        <w:t xml:space="preserve">בתקופה שאין בה מאבק אחר. </w:t>
      </w:r>
      <w:bookmarkStart w:id="26543" w:name="_ETM_Q44_764636"/>
      <w:bookmarkStart w:id="26544" w:name="_ETM_Q44_764740"/>
      <w:bookmarkStart w:id="26545" w:name="_ETM_Q44_764828"/>
      <w:bookmarkStart w:id="26546" w:name="_ETM_Q44_764931"/>
      <w:bookmarkStart w:id="26547" w:name="_ETM_Q44_746449"/>
      <w:bookmarkStart w:id="26548" w:name="_ETM_Q44_746555"/>
      <w:bookmarkStart w:id="26549" w:name="_ETM_Q44_760615"/>
      <w:bookmarkStart w:id="26550" w:name="_ETM_Q44_760675"/>
      <w:bookmarkStart w:id="26551" w:name="_ETM_Q44_760791"/>
      <w:bookmarkStart w:id="26552" w:name="_ETM_Q44_760884"/>
      <w:bookmarkStart w:id="26553" w:name="_ETM_Q44_760999"/>
      <w:bookmarkStart w:id="26554" w:name="_ETM_Q44_761068"/>
      <w:bookmarkStart w:id="26555" w:name="_ETM_Q44_761367"/>
      <w:bookmarkStart w:id="26556" w:name="_ETM_Q44_761435"/>
      <w:bookmarkStart w:id="26557" w:name="TOR_Q45"/>
      <w:bookmarkStart w:id="26558" w:name="_ETM_Q45_180000"/>
      <w:bookmarkEnd w:id="26543"/>
      <w:bookmarkEnd w:id="26544"/>
      <w:bookmarkEnd w:id="26545"/>
      <w:bookmarkEnd w:id="26546"/>
      <w:bookmarkEnd w:id="26547"/>
      <w:bookmarkEnd w:id="26548"/>
      <w:bookmarkEnd w:id="26549"/>
      <w:bookmarkEnd w:id="26550"/>
      <w:bookmarkEnd w:id="26551"/>
      <w:bookmarkEnd w:id="26552"/>
      <w:bookmarkEnd w:id="26553"/>
      <w:bookmarkEnd w:id="26554"/>
      <w:bookmarkEnd w:id="26555"/>
      <w:bookmarkEnd w:id="26556"/>
      <w:bookmarkEnd w:id="26557"/>
      <w:bookmarkEnd w:id="26558"/>
      <w:r>
        <w:rPr>
          <w:rFonts w:hint="cs"/>
          <w:rtl/>
        </w:rPr>
        <w:t xml:space="preserve">אבל בזמן הזה, כשמאות אלפי ישראלים יוצאים לרחובות, כל מה שנעשה דווקא עכשיו, זה ייבלע בתוך המאבק הגדול בתוך מדינת </w:t>
      </w:r>
      <w:bookmarkStart w:id="26559" w:name="_ETM_Q45_174252"/>
      <w:bookmarkEnd w:id="26559"/>
      <w:r>
        <w:rPr>
          <w:rFonts w:hint="cs"/>
          <w:rtl/>
        </w:rPr>
        <w:t xml:space="preserve">ישראל. לכן, האם אלה הם הימים המדויקים? זו שאלה ראשונה. שאלה שנייה </w:t>
      </w:r>
      <w:bookmarkStart w:id="26560" w:name="_ETM_Q45_97685"/>
      <w:bookmarkStart w:id="26561" w:name="_ETM_Q45_97758"/>
      <w:bookmarkStart w:id="26562" w:name="_ETM_Q45_181199"/>
      <w:bookmarkEnd w:id="26560"/>
      <w:bookmarkEnd w:id="26561"/>
      <w:bookmarkEnd w:id="26562"/>
      <w:r>
        <w:rPr>
          <w:rFonts w:hint="cs"/>
          <w:rtl/>
        </w:rPr>
        <w:t xml:space="preserve">– לצערי </w:t>
      </w:r>
      <w:bookmarkStart w:id="26563" w:name="_ETM_Q45_181800"/>
      <w:bookmarkEnd w:id="26563"/>
      <w:r>
        <w:rPr>
          <w:rFonts w:hint="cs"/>
          <w:rtl/>
        </w:rPr>
        <w:t xml:space="preserve">הרב, </w:t>
      </w:r>
      <w:bookmarkStart w:id="26564" w:name="_ETM_Q45_182340"/>
      <w:bookmarkEnd w:id="26564"/>
      <w:r>
        <w:rPr>
          <w:rFonts w:hint="cs"/>
          <w:rtl/>
        </w:rPr>
        <w:t xml:space="preserve">בצל </w:t>
      </w:r>
      <w:bookmarkStart w:id="26565" w:name="_ETM_Q45_182879"/>
      <w:bookmarkEnd w:id="26565"/>
      <w:r>
        <w:rPr>
          <w:rFonts w:hint="cs"/>
          <w:rtl/>
        </w:rPr>
        <w:t xml:space="preserve">הבחירות </w:t>
      </w:r>
      <w:bookmarkStart w:id="26566" w:name="_ETM_Q45_183600"/>
      <w:bookmarkEnd w:id="26566"/>
      <w:r>
        <w:rPr>
          <w:rFonts w:hint="cs"/>
          <w:rtl/>
        </w:rPr>
        <w:t xml:space="preserve">המקומיות, </w:t>
      </w:r>
      <w:bookmarkStart w:id="26567" w:name="_ETM_Q45_185540"/>
      <w:bookmarkEnd w:id="26567"/>
      <w:r>
        <w:rPr>
          <w:rFonts w:hint="cs"/>
          <w:rtl/>
        </w:rPr>
        <w:t xml:space="preserve">מתוך </w:t>
      </w:r>
      <w:bookmarkStart w:id="26568" w:name="_ETM_Q45_186109"/>
      <w:bookmarkEnd w:id="26568"/>
      <w:r>
        <w:rPr>
          <w:rFonts w:hint="cs"/>
          <w:rtl/>
        </w:rPr>
        <w:t xml:space="preserve">היכרות </w:t>
      </w:r>
      <w:bookmarkStart w:id="26569" w:name="_ETM_Q45_186680"/>
      <w:bookmarkEnd w:id="26569"/>
      <w:r>
        <w:rPr>
          <w:rFonts w:hint="cs"/>
          <w:rtl/>
        </w:rPr>
        <w:t xml:space="preserve">מעשית </w:t>
      </w:r>
      <w:bookmarkStart w:id="26570" w:name="_ETM_Q45_187910"/>
      <w:bookmarkEnd w:id="26570"/>
      <w:r>
        <w:rPr>
          <w:rFonts w:hint="cs"/>
          <w:rtl/>
        </w:rPr>
        <w:t xml:space="preserve">אני </w:t>
      </w:r>
      <w:bookmarkStart w:id="26571" w:name="_ETM_Q45_188150"/>
      <w:bookmarkEnd w:id="26571"/>
      <w:r>
        <w:rPr>
          <w:rFonts w:hint="cs"/>
          <w:rtl/>
        </w:rPr>
        <w:t xml:space="preserve">יודע </w:t>
      </w:r>
      <w:bookmarkStart w:id="26572" w:name="_ETM_Q45_188599"/>
      <w:bookmarkEnd w:id="26572"/>
      <w:r>
        <w:rPr>
          <w:rFonts w:hint="cs"/>
          <w:rtl/>
        </w:rPr>
        <w:t>שבספטמבר</w:t>
      </w:r>
      <w:bookmarkStart w:id="26573" w:name="_ETM_Q45_190240"/>
      <w:bookmarkEnd w:id="26573"/>
      <w:r>
        <w:rPr>
          <w:rFonts w:hint="cs"/>
          <w:rtl/>
        </w:rPr>
        <w:t>-אוקטובר הראש והלב - - -</w:t>
      </w:r>
    </w:p>
    <w:p w:rsidR="00BB59CD" w:rsidRDefault="00BB59CD" w:rsidP="00BB59CD">
      <w:pPr>
        <w:pStyle w:val="ETSpeechToText"/>
        <w:rPr>
          <w:color w:val="auto"/>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 </w:t>
      </w:r>
      <w:bookmarkStart w:id="26574" w:name="_ETM_Q45_191140"/>
      <w:bookmarkEnd w:id="26574"/>
      <w:r>
        <w:rPr>
          <w:rFonts w:hint="cs"/>
          <w:rtl/>
        </w:rPr>
        <w:t xml:space="preserve">אני </w:t>
      </w:r>
      <w:bookmarkStart w:id="26575" w:name="_ETM_Q45_191289"/>
      <w:bookmarkEnd w:id="26575"/>
      <w:r>
        <w:rPr>
          <w:rFonts w:hint="cs"/>
          <w:rtl/>
        </w:rPr>
        <w:t xml:space="preserve">רק </w:t>
      </w:r>
      <w:bookmarkStart w:id="26576" w:name="_ETM_Q45_191500"/>
      <w:bookmarkEnd w:id="26576"/>
      <w:r>
        <w:rPr>
          <w:rFonts w:hint="cs"/>
          <w:rtl/>
        </w:rPr>
        <w:t xml:space="preserve">רוצה </w:t>
      </w:r>
      <w:bookmarkStart w:id="26577" w:name="_ETM_Q45_192070"/>
      <w:bookmarkEnd w:id="26577"/>
      <w:r>
        <w:rPr>
          <w:rFonts w:hint="cs"/>
          <w:rtl/>
        </w:rPr>
        <w:t>למחות.</w:t>
      </w:r>
      <w:bookmarkStart w:id="26578" w:name="_ETM_Q45_192820"/>
      <w:bookmarkStart w:id="26579" w:name="_ETM_Q45_193420"/>
      <w:bookmarkEnd w:id="26578"/>
      <w:bookmarkEnd w:id="26579"/>
      <w:r>
        <w:rPr>
          <w:rFonts w:hint="cs"/>
          <w:rtl/>
        </w:rPr>
        <w:t xml:space="preserve"> </w:t>
      </w:r>
      <w:bookmarkStart w:id="26580" w:name="_ETM_Q45_193870"/>
      <w:bookmarkEnd w:id="26580"/>
      <w:r>
        <w:rPr>
          <w:rFonts w:hint="cs"/>
          <w:rtl/>
        </w:rPr>
        <w:t xml:space="preserve">מעל </w:t>
      </w:r>
      <w:bookmarkStart w:id="26581" w:name="_ETM_Q45_194170"/>
      <w:bookmarkEnd w:id="26581"/>
      <w:r>
        <w:rPr>
          <w:rFonts w:hint="cs"/>
          <w:rtl/>
        </w:rPr>
        <w:t xml:space="preserve">הדוכן </w:t>
      </w:r>
      <w:bookmarkStart w:id="26582" w:name="_ETM_Q45_194620"/>
      <w:bookmarkEnd w:id="26582"/>
      <w:r>
        <w:rPr>
          <w:rFonts w:hint="cs"/>
          <w:rtl/>
        </w:rPr>
        <w:t xml:space="preserve">לעמוד </w:t>
      </w:r>
      <w:bookmarkStart w:id="26583" w:name="_ETM_Q45_194980"/>
      <w:bookmarkEnd w:id="26583"/>
      <w:r>
        <w:rPr>
          <w:rFonts w:hint="cs"/>
          <w:rtl/>
        </w:rPr>
        <w:t xml:space="preserve">ולקרוא </w:t>
      </w:r>
      <w:bookmarkStart w:id="26584" w:name="_ETM_Q45_195280"/>
      <w:bookmarkEnd w:id="26584"/>
      <w:r>
        <w:rPr>
          <w:rFonts w:hint="cs"/>
          <w:rtl/>
        </w:rPr>
        <w:t xml:space="preserve">למרי </w:t>
      </w:r>
      <w:bookmarkStart w:id="26585" w:name="_ETM_Q45_195639"/>
      <w:bookmarkEnd w:id="26585"/>
      <w:r>
        <w:rPr>
          <w:rFonts w:hint="cs"/>
          <w:rtl/>
        </w:rPr>
        <w:t xml:space="preserve">אזרחי, </w:t>
      </w:r>
      <w:bookmarkStart w:id="26586" w:name="_ETM_Q45_196000"/>
      <w:bookmarkEnd w:id="26586"/>
      <w:r>
        <w:rPr>
          <w:rFonts w:hint="cs"/>
          <w:rtl/>
        </w:rPr>
        <w:t xml:space="preserve">לא </w:t>
      </w:r>
      <w:bookmarkStart w:id="26587" w:name="_ETM_Q45_196090"/>
      <w:bookmarkEnd w:id="26587"/>
      <w:r>
        <w:rPr>
          <w:rFonts w:hint="cs"/>
          <w:rtl/>
        </w:rPr>
        <w:t xml:space="preserve">משנה </w:t>
      </w:r>
      <w:bookmarkStart w:id="26588" w:name="_ETM_Q45_196390"/>
      <w:bookmarkEnd w:id="26588"/>
      <w:r>
        <w:rPr>
          <w:rFonts w:hint="cs"/>
          <w:rtl/>
        </w:rPr>
        <w:t xml:space="preserve">על </w:t>
      </w:r>
      <w:bookmarkStart w:id="26589" w:name="_ETM_Q45_196450"/>
      <w:bookmarkEnd w:id="26589"/>
      <w:r>
        <w:rPr>
          <w:rFonts w:hint="cs"/>
          <w:rtl/>
        </w:rPr>
        <w:t xml:space="preserve">מה </w:t>
      </w:r>
      <w:bookmarkStart w:id="26590" w:name="_ETM_Q45_197120"/>
      <w:bookmarkEnd w:id="26590"/>
      <w:r>
        <w:rPr>
          <w:rFonts w:hint="cs"/>
          <w:rtl/>
        </w:rPr>
        <w:t xml:space="preserve">– חבר </w:t>
      </w:r>
      <w:bookmarkStart w:id="26591" w:name="_ETM_Q45_197510"/>
      <w:bookmarkEnd w:id="26591"/>
      <w:r>
        <w:rPr>
          <w:rFonts w:hint="cs"/>
          <w:rtl/>
        </w:rPr>
        <w:t xml:space="preserve">כנסת </w:t>
      </w:r>
      <w:bookmarkStart w:id="26592" w:name="_ETM_Q45_197750"/>
      <w:bookmarkEnd w:id="26592"/>
      <w:r>
        <w:rPr>
          <w:rFonts w:hint="cs"/>
          <w:rtl/>
        </w:rPr>
        <w:t xml:space="preserve">לא </w:t>
      </w:r>
      <w:bookmarkStart w:id="26593" w:name="_ETM_Q45_197810"/>
      <w:bookmarkEnd w:id="26593"/>
      <w:r>
        <w:rPr>
          <w:rFonts w:hint="cs"/>
          <w:rtl/>
        </w:rPr>
        <w:t xml:space="preserve">יכול </w:t>
      </w:r>
      <w:bookmarkStart w:id="26594" w:name="_ETM_Q45_197989"/>
      <w:bookmarkEnd w:id="26594"/>
      <w:r>
        <w:rPr>
          <w:rFonts w:hint="cs"/>
          <w:rtl/>
        </w:rPr>
        <w:t xml:space="preserve">לקרוא </w:t>
      </w:r>
      <w:bookmarkStart w:id="26595" w:name="_ETM_Q45_198170"/>
      <w:bookmarkEnd w:id="26595"/>
      <w:r>
        <w:rPr>
          <w:rFonts w:hint="cs"/>
          <w:rtl/>
        </w:rPr>
        <w:t xml:space="preserve">למרי </w:t>
      </w:r>
      <w:bookmarkStart w:id="26596" w:name="_ETM_Q45_198470"/>
      <w:bookmarkEnd w:id="26596"/>
      <w:r>
        <w:rPr>
          <w:rFonts w:hint="cs"/>
          <w:rtl/>
        </w:rPr>
        <w:t xml:space="preserve">אזרחי </w:t>
      </w:r>
      <w:bookmarkStart w:id="26597" w:name="_ETM_Q45_198829"/>
      <w:bookmarkEnd w:id="26597"/>
      <w:r>
        <w:rPr>
          <w:rFonts w:hint="cs"/>
          <w:rtl/>
        </w:rPr>
        <w:t>כאן במדינת ישראל.</w:t>
      </w:r>
    </w:p>
    <w:p w:rsidR="00BB59CD" w:rsidRDefault="00BB59CD" w:rsidP="00BB59CD">
      <w:pPr>
        <w:keepNext/>
        <w:rPr>
          <w:rtl/>
        </w:rPr>
      </w:pPr>
      <w:bookmarkStart w:id="26598" w:name="ET_speakercontinue_5293_3"/>
    </w:p>
    <w:p w:rsidR="00BB59CD" w:rsidRDefault="00BB59CD" w:rsidP="00BB59CD">
      <w:pPr>
        <w:pStyle w:val="-"/>
        <w:keepNext/>
        <w:rPr>
          <w:rtl/>
        </w:rPr>
      </w:pPr>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26598"/>
    </w:p>
    <w:p w:rsidR="00BB59CD" w:rsidRDefault="00BB59CD" w:rsidP="00337201">
      <w:pPr>
        <w:rPr>
          <w:rtl/>
        </w:rPr>
      </w:pPr>
    </w:p>
    <w:p w:rsidR="00BB59CD" w:rsidRDefault="00BB59CD" w:rsidP="00BB59CD">
      <w:pPr>
        <w:rPr>
          <w:rtl/>
        </w:rPr>
      </w:pPr>
      <w:bookmarkStart w:id="26599" w:name="_ETM_Q45_199789"/>
      <w:bookmarkEnd w:id="26599"/>
      <w:r>
        <w:rPr>
          <w:rFonts w:hint="cs"/>
          <w:rtl/>
        </w:rPr>
        <w:t xml:space="preserve">חברי, </w:t>
      </w:r>
      <w:bookmarkStart w:id="26600" w:name="_ETM_Q45_200390"/>
      <w:bookmarkEnd w:id="26600"/>
      <w:r>
        <w:rPr>
          <w:rFonts w:hint="cs"/>
          <w:rtl/>
        </w:rPr>
        <w:t xml:space="preserve">אתה </w:t>
      </w:r>
      <w:bookmarkStart w:id="26601" w:name="_ETM_Q45_200630"/>
      <w:bookmarkEnd w:id="26601"/>
      <w:r>
        <w:rPr>
          <w:rFonts w:hint="cs"/>
          <w:rtl/>
        </w:rPr>
        <w:t xml:space="preserve">יכול </w:t>
      </w:r>
      <w:bookmarkStart w:id="26602" w:name="_ETM_Q45_200960"/>
      <w:bookmarkEnd w:id="26602"/>
      <w:r>
        <w:rPr>
          <w:rFonts w:hint="cs"/>
          <w:rtl/>
        </w:rPr>
        <w:t xml:space="preserve">לבקש </w:t>
      </w:r>
      <w:bookmarkStart w:id="26603" w:name="_ETM_Q45_201320"/>
      <w:bookmarkEnd w:id="26603"/>
      <w:r>
        <w:rPr>
          <w:rFonts w:hint="cs"/>
          <w:rtl/>
        </w:rPr>
        <w:t xml:space="preserve">מהיועצת </w:t>
      </w:r>
      <w:bookmarkStart w:id="26604" w:name="_ETM_Q45_201650"/>
      <w:bookmarkEnd w:id="26604"/>
      <w:r>
        <w:rPr>
          <w:rFonts w:hint="cs"/>
          <w:rtl/>
        </w:rPr>
        <w:t xml:space="preserve">המשפטית </w:t>
      </w:r>
      <w:bookmarkStart w:id="26605" w:name="_ETM_Q45_202949"/>
      <w:bookmarkEnd w:id="26605"/>
      <w:r>
        <w:rPr>
          <w:rFonts w:hint="cs"/>
          <w:rtl/>
        </w:rPr>
        <w:t xml:space="preserve">לפנות </w:t>
      </w:r>
      <w:bookmarkStart w:id="26606" w:name="_ETM_Q45_203430"/>
      <w:bookmarkEnd w:id="26606"/>
      <w:r>
        <w:rPr>
          <w:rFonts w:hint="cs"/>
          <w:rtl/>
        </w:rPr>
        <w:t xml:space="preserve">אליי, </w:t>
      </w:r>
      <w:bookmarkStart w:id="26607" w:name="_ETM_Q45_204329"/>
      <w:bookmarkEnd w:id="26607"/>
      <w:r>
        <w:rPr>
          <w:rFonts w:hint="cs"/>
          <w:rtl/>
        </w:rPr>
        <w:t xml:space="preserve">להגיש </w:t>
      </w:r>
      <w:bookmarkStart w:id="26608" w:name="_ETM_Q45_205829"/>
      <w:bookmarkEnd w:id="26608"/>
      <w:r>
        <w:rPr>
          <w:rFonts w:hint="cs"/>
          <w:rtl/>
        </w:rPr>
        <w:t>קובלנה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6609" w:name="_ETM_Q45_206579"/>
      <w:bookmarkEnd w:id="26609"/>
      <w:r>
        <w:rPr>
          <w:rFonts w:hint="cs"/>
          <w:rtl/>
        </w:rPr>
        <w:t xml:space="preserve">אז </w:t>
      </w:r>
      <w:bookmarkStart w:id="26610" w:name="_ETM_Q45_206730"/>
      <w:bookmarkEnd w:id="26610"/>
      <w:r>
        <w:rPr>
          <w:rFonts w:hint="cs"/>
          <w:rtl/>
        </w:rPr>
        <w:t xml:space="preserve">הינה, </w:t>
      </w:r>
      <w:bookmarkStart w:id="26611" w:name="_ETM_Q45_206849"/>
      <w:bookmarkEnd w:id="26611"/>
      <w:r>
        <w:rPr>
          <w:rFonts w:hint="cs"/>
          <w:rtl/>
        </w:rPr>
        <w:t xml:space="preserve">אני </w:t>
      </w:r>
      <w:bookmarkStart w:id="26612" w:name="_ETM_Q45_206970"/>
      <w:bookmarkEnd w:id="26612"/>
      <w:r>
        <w:rPr>
          <w:rFonts w:hint="cs"/>
          <w:rtl/>
        </w:rPr>
        <w:t xml:space="preserve">אומר </w:t>
      </w:r>
      <w:bookmarkStart w:id="26613" w:name="_ETM_Q45_207180"/>
      <w:bookmarkEnd w:id="26613"/>
      <w:r>
        <w:rPr>
          <w:rFonts w:hint="cs"/>
          <w:rtl/>
        </w:rPr>
        <w:t xml:space="preserve">לך </w:t>
      </w:r>
      <w:bookmarkStart w:id="26614" w:name="_ETM_Q45_207599"/>
      <w:bookmarkEnd w:id="26614"/>
      <w:r>
        <w:rPr>
          <w:rFonts w:hint="cs"/>
          <w:rtl/>
        </w:rPr>
        <w:t xml:space="preserve">שאתה </w:t>
      </w:r>
      <w:bookmarkStart w:id="26615" w:name="_ETM_Q45_207990"/>
      <w:bookmarkEnd w:id="26615"/>
      <w:r>
        <w:rPr>
          <w:rFonts w:hint="cs"/>
          <w:rtl/>
        </w:rPr>
        <w:t xml:space="preserve">לא </w:t>
      </w:r>
      <w:bookmarkStart w:id="26616" w:name="_ETM_Q45_208110"/>
      <w:bookmarkEnd w:id="26616"/>
      <w:r>
        <w:rPr>
          <w:rFonts w:hint="cs"/>
          <w:rtl/>
        </w:rPr>
        <w:t>יכול. אי-אפשר לשתוק - - -</w:t>
      </w:r>
    </w:p>
    <w:p w:rsidR="00BB59CD" w:rsidRDefault="00BB59CD" w:rsidP="00BB59CD">
      <w:pPr>
        <w:rPr>
          <w:rtl/>
        </w:rPr>
      </w:pPr>
    </w:p>
    <w:p w:rsidR="00BB59CD" w:rsidRDefault="00BB59CD" w:rsidP="00BB59CD">
      <w:pPr>
        <w:pStyle w:val="-"/>
        <w:keepNext/>
        <w:rPr>
          <w:rtl/>
        </w:rPr>
      </w:pPr>
      <w:bookmarkStart w:id="26617" w:name="ET_speakercontinue_5293_5"/>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26617"/>
    </w:p>
    <w:p w:rsidR="00BB59CD" w:rsidRDefault="00BB59CD" w:rsidP="00337201">
      <w:pPr>
        <w:rPr>
          <w:rtl/>
        </w:rPr>
      </w:pPr>
    </w:p>
    <w:p w:rsidR="00BB59CD" w:rsidRDefault="00BB59CD" w:rsidP="00BB59CD">
      <w:pPr>
        <w:rPr>
          <w:rtl/>
        </w:rPr>
      </w:pPr>
      <w:r>
        <w:rPr>
          <w:rFonts w:hint="cs"/>
          <w:rtl/>
        </w:rPr>
        <w:t>אני איימן עודה,</w:t>
      </w:r>
      <w:bookmarkStart w:id="26618" w:name="_ETM_Q45_208920"/>
      <w:bookmarkEnd w:id="26618"/>
      <w:r>
        <w:rPr>
          <w:rFonts w:hint="cs"/>
          <w:rtl/>
        </w:rPr>
        <w:t xml:space="preserve"> </w:t>
      </w:r>
      <w:bookmarkStart w:id="26619" w:name="_ETM_Q45_211400"/>
      <w:bookmarkEnd w:id="26619"/>
      <w:r>
        <w:rPr>
          <w:rFonts w:hint="cs"/>
          <w:rtl/>
        </w:rPr>
        <w:t xml:space="preserve">בעל </w:t>
      </w:r>
      <w:bookmarkStart w:id="26620" w:name="_ETM_Q45_210119"/>
      <w:bookmarkEnd w:id="26620"/>
      <w:r>
        <w:rPr>
          <w:rFonts w:hint="cs"/>
          <w:rtl/>
        </w:rPr>
        <w:t xml:space="preserve">תעודת </w:t>
      </w:r>
      <w:bookmarkStart w:id="26621" w:name="_ETM_Q45_210510"/>
      <w:bookmarkEnd w:id="26621"/>
      <w:r>
        <w:rPr>
          <w:rFonts w:hint="cs"/>
          <w:rtl/>
        </w:rPr>
        <w:t>זהות 025978958 -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6622" w:name="_ETM_Q45_211140"/>
      <w:bookmarkEnd w:id="26622"/>
      <w:r>
        <w:rPr>
          <w:rFonts w:hint="cs"/>
          <w:rtl/>
        </w:rPr>
        <w:t>אי</w:t>
      </w:r>
      <w:bookmarkStart w:id="26623" w:name="_ETM_Q45_211350"/>
      <w:bookmarkEnd w:id="26623"/>
      <w:r>
        <w:rPr>
          <w:rFonts w:hint="cs"/>
          <w:rtl/>
        </w:rPr>
        <w:t xml:space="preserve">-אפשר </w:t>
      </w:r>
      <w:bookmarkStart w:id="26624" w:name="_ETM_Q45_211920"/>
      <w:bookmarkEnd w:id="26624"/>
      <w:r>
        <w:rPr>
          <w:rFonts w:hint="cs"/>
          <w:rtl/>
        </w:rPr>
        <w:t xml:space="preserve">לשתוק </w:t>
      </w:r>
      <w:bookmarkStart w:id="26625" w:name="_ETM_Q45_212670"/>
      <w:bookmarkEnd w:id="26625"/>
      <w:r>
        <w:rPr>
          <w:rFonts w:hint="cs"/>
          <w:rtl/>
        </w:rPr>
        <w:t xml:space="preserve">על </w:t>
      </w:r>
      <w:bookmarkStart w:id="26626" w:name="_ETM_Q45_213329"/>
      <w:bookmarkStart w:id="26627" w:name="_ETM_Q45_213780"/>
      <w:bookmarkEnd w:id="26626"/>
      <w:bookmarkEnd w:id="26627"/>
      <w:r>
        <w:rPr>
          <w:rFonts w:hint="cs"/>
          <w:rtl/>
        </w:rPr>
        <w:t xml:space="preserve">חבר </w:t>
      </w:r>
      <w:bookmarkStart w:id="26628" w:name="_ETM_Q45_214020"/>
      <w:bookmarkEnd w:id="26628"/>
      <w:r>
        <w:rPr>
          <w:rFonts w:hint="cs"/>
          <w:rtl/>
        </w:rPr>
        <w:t xml:space="preserve">כנסת </w:t>
      </w:r>
      <w:bookmarkStart w:id="26629" w:name="_ETM_Q45_214350"/>
      <w:bookmarkStart w:id="26630" w:name="_ETM_Q45_214560"/>
      <w:bookmarkStart w:id="26631" w:name="_ETM_Q45_215159"/>
      <w:bookmarkEnd w:id="26629"/>
      <w:bookmarkEnd w:id="26630"/>
      <w:bookmarkEnd w:id="26631"/>
      <w:r>
        <w:rPr>
          <w:rFonts w:hint="cs"/>
          <w:rtl/>
        </w:rPr>
        <w:t xml:space="preserve">שמעל </w:t>
      </w:r>
      <w:bookmarkStart w:id="26632" w:name="_ETM_Q45_215370"/>
      <w:bookmarkEnd w:id="26632"/>
      <w:r w:rsidR="00E33F55">
        <w:rPr>
          <w:rFonts w:hint="cs"/>
          <w:rtl/>
        </w:rPr>
        <w:t>ה</w:t>
      </w:r>
      <w:r>
        <w:rPr>
          <w:rFonts w:hint="cs"/>
          <w:rtl/>
        </w:rPr>
        <w:t xml:space="preserve">דוכן </w:t>
      </w:r>
      <w:bookmarkStart w:id="26633" w:name="_ETM_Q45_215850"/>
      <w:bookmarkEnd w:id="26633"/>
      <w:r>
        <w:rPr>
          <w:rFonts w:hint="cs"/>
          <w:rtl/>
        </w:rPr>
        <w:t xml:space="preserve">קורא </w:t>
      </w:r>
      <w:bookmarkStart w:id="26634" w:name="_ETM_Q45_216239"/>
      <w:bookmarkEnd w:id="26634"/>
      <w:r>
        <w:rPr>
          <w:rFonts w:hint="cs"/>
          <w:rtl/>
        </w:rPr>
        <w:t xml:space="preserve">למרי </w:t>
      </w:r>
      <w:bookmarkStart w:id="26635" w:name="_ETM_Q45_216659"/>
      <w:bookmarkEnd w:id="26635"/>
      <w:r>
        <w:rPr>
          <w:rFonts w:hint="cs"/>
          <w:rtl/>
        </w:rPr>
        <w:t xml:space="preserve">אזרחי. זה דבר שלא </w:t>
      </w:r>
      <w:bookmarkStart w:id="26636" w:name="_ETM_Q45_217590"/>
      <w:bookmarkStart w:id="26637" w:name="_ETM_Q45_217979"/>
      <w:bookmarkEnd w:id="26636"/>
      <w:bookmarkEnd w:id="26637"/>
      <w:r>
        <w:rPr>
          <w:rFonts w:hint="cs"/>
          <w:rtl/>
        </w:rPr>
        <w:t xml:space="preserve">מתקבל </w:t>
      </w:r>
      <w:bookmarkStart w:id="26638" w:name="_ETM_Q45_218340"/>
      <w:bookmarkEnd w:id="26638"/>
      <w:r>
        <w:rPr>
          <w:rFonts w:hint="cs"/>
          <w:rtl/>
        </w:rPr>
        <w:t xml:space="preserve">על </w:t>
      </w:r>
      <w:bookmarkStart w:id="26639" w:name="_ETM_Q45_218400"/>
      <w:bookmarkEnd w:id="26639"/>
      <w:r>
        <w:rPr>
          <w:rFonts w:hint="cs"/>
          <w:rtl/>
        </w:rPr>
        <w:t>הדעת.</w:t>
      </w:r>
      <w:bookmarkStart w:id="26640" w:name="_ETM_Q45_219090"/>
      <w:bookmarkEnd w:id="26640"/>
      <w:r>
        <w:rPr>
          <w:rFonts w:hint="cs"/>
          <w:rtl/>
        </w:rPr>
        <w:t xml:space="preserve"> תחזור בך מכך.</w:t>
      </w:r>
    </w:p>
    <w:p w:rsidR="00BB59CD" w:rsidRDefault="00BB59CD" w:rsidP="00BB59CD">
      <w:pPr>
        <w:rPr>
          <w:b/>
          <w:bCs/>
          <w:u w:val="single"/>
          <w:rtl/>
          <w:lang w:eastAsia="he-IL"/>
        </w:rPr>
      </w:pPr>
    </w:p>
    <w:p w:rsidR="00BB59CD" w:rsidRDefault="00BB59CD" w:rsidP="00BB59CD">
      <w:pPr>
        <w:pStyle w:val="-"/>
        <w:keepNext/>
        <w:rPr>
          <w:rtl/>
        </w:rPr>
      </w:pPr>
      <w:bookmarkStart w:id="26641" w:name="ET_speakercontinue_5293_8"/>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26641"/>
    </w:p>
    <w:p w:rsidR="00BB59CD" w:rsidRDefault="00BB59CD" w:rsidP="00337201">
      <w:pPr>
        <w:rPr>
          <w:rtl/>
          <w:lang w:eastAsia="he-IL"/>
        </w:rPr>
      </w:pPr>
    </w:p>
    <w:p w:rsidR="00BB59CD" w:rsidRDefault="00BB59CD" w:rsidP="00BB59CD">
      <w:pPr>
        <w:rPr>
          <w:rtl/>
        </w:rPr>
      </w:pPr>
      <w:r>
        <w:rPr>
          <w:rFonts w:hint="cs"/>
          <w:rtl/>
        </w:rPr>
        <w:t xml:space="preserve">אני אתמוך בכל צעד, </w:t>
      </w:r>
      <w:bookmarkStart w:id="26642" w:name="_ETM_Q45_220350"/>
      <w:bookmarkEnd w:id="26642"/>
      <w:r>
        <w:rPr>
          <w:rFonts w:hint="cs"/>
          <w:rtl/>
        </w:rPr>
        <w:t xml:space="preserve">לרבות </w:t>
      </w:r>
      <w:bookmarkStart w:id="26643" w:name="_ETM_Q45_221190"/>
      <w:bookmarkEnd w:id="26643"/>
      <w:r>
        <w:rPr>
          <w:rFonts w:hint="cs"/>
          <w:rtl/>
        </w:rPr>
        <w:t xml:space="preserve">מרי </w:t>
      </w:r>
      <w:bookmarkStart w:id="26644" w:name="_ETM_Q45_221610"/>
      <w:bookmarkEnd w:id="26644"/>
      <w:r>
        <w:rPr>
          <w:rFonts w:hint="cs"/>
          <w:rtl/>
        </w:rPr>
        <w:t xml:space="preserve">אזרחי, </w:t>
      </w:r>
      <w:bookmarkStart w:id="26645" w:name="_ETM_Q45_222900"/>
      <w:bookmarkEnd w:id="26645"/>
      <w:r>
        <w:rPr>
          <w:rFonts w:hint="cs"/>
          <w:rtl/>
        </w:rPr>
        <w:t xml:space="preserve">נגד </w:t>
      </w:r>
      <w:bookmarkStart w:id="26646" w:name="_ETM_Q45_223620"/>
      <w:bookmarkEnd w:id="26646"/>
      <w:r>
        <w:rPr>
          <w:rFonts w:hint="cs"/>
          <w:rtl/>
        </w:rPr>
        <w:t xml:space="preserve">הפשיעה </w:t>
      </w:r>
      <w:bookmarkStart w:id="26647" w:name="_ETM_Q45_225289"/>
      <w:bookmarkEnd w:id="26647"/>
      <w:r>
        <w:rPr>
          <w:rFonts w:hint="cs"/>
          <w:rtl/>
        </w:rPr>
        <w:t>בקרב האוכלוסייה ערבית.</w:t>
      </w:r>
    </w:p>
    <w:p w:rsidR="00BB59CD" w:rsidRDefault="00BB59CD" w:rsidP="00BB59CD">
      <w:pPr>
        <w:rPr>
          <w:rtl/>
        </w:rPr>
      </w:pPr>
      <w:bookmarkStart w:id="26648" w:name="_ETM_Q45_225284"/>
      <w:bookmarkStart w:id="26649" w:name="_ETM_Q45_225299"/>
      <w:bookmarkEnd w:id="26648"/>
      <w:bookmarkEnd w:id="26649"/>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6650" w:name="_ETM_Q45_227171"/>
      <w:bookmarkEnd w:id="26650"/>
      <w:r>
        <w:rPr>
          <w:rFonts w:hint="cs"/>
          <w:rtl/>
        </w:rPr>
        <w:t xml:space="preserve">והפשיעה </w:t>
      </w:r>
      <w:bookmarkStart w:id="26651" w:name="_ETM_Q45_227343"/>
      <w:bookmarkEnd w:id="26651"/>
      <w:r>
        <w:rPr>
          <w:rFonts w:hint="cs"/>
          <w:rtl/>
        </w:rPr>
        <w:t xml:space="preserve">נגד הרפורמה, נגד כל דבר – לקרוא למרי אזרחי מעל </w:t>
      </w:r>
      <w:bookmarkStart w:id="26652" w:name="_ETM_Q45_228855"/>
      <w:bookmarkEnd w:id="26652"/>
      <w:r>
        <w:rPr>
          <w:rFonts w:hint="cs"/>
          <w:rtl/>
        </w:rPr>
        <w:t>הדוכן זה לא דבר מקובל.</w:t>
      </w:r>
    </w:p>
    <w:p w:rsidR="00BB59CD" w:rsidRDefault="00BB59CD" w:rsidP="00BB59CD">
      <w:pPr>
        <w:rPr>
          <w:rtl/>
        </w:rPr>
      </w:pPr>
      <w:bookmarkStart w:id="26653" w:name="_ETM_Q45_230844"/>
      <w:bookmarkStart w:id="26654" w:name="_ETM_Q45_230979"/>
      <w:bookmarkEnd w:id="26653"/>
      <w:bookmarkEnd w:id="26654"/>
    </w:p>
    <w:p w:rsidR="00BB59CD" w:rsidRDefault="00BB59CD" w:rsidP="00BB59CD">
      <w:pPr>
        <w:pStyle w:val="-"/>
        <w:keepNext/>
        <w:rPr>
          <w:rtl/>
        </w:rPr>
      </w:pPr>
      <w:bookmarkStart w:id="26655" w:name="ET_speakercontinue_5293_10"/>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26655"/>
    </w:p>
    <w:p w:rsidR="00BB59CD" w:rsidRDefault="00BB59CD" w:rsidP="00337201">
      <w:pPr>
        <w:rPr>
          <w:rtl/>
        </w:rPr>
      </w:pPr>
    </w:p>
    <w:p w:rsidR="00BB59CD" w:rsidRDefault="00BB59CD" w:rsidP="00BB59CD">
      <w:pPr>
        <w:rPr>
          <w:rtl/>
        </w:rPr>
      </w:pPr>
      <w:bookmarkStart w:id="26656" w:name="_ETM_Q45_231957"/>
      <w:bookmarkStart w:id="26657" w:name="_ETM_Q45_230210"/>
      <w:bookmarkEnd w:id="26656"/>
      <w:bookmarkEnd w:id="26657"/>
      <w:r>
        <w:rPr>
          <w:rFonts w:hint="cs"/>
          <w:rtl/>
        </w:rPr>
        <w:t>כבוד היושב-ראש - -</w:t>
      </w:r>
      <w:r w:rsidR="00E33F55">
        <w:rPr>
          <w:rFonts w:hint="cs"/>
          <w:rtl/>
        </w:rPr>
        <w:t xml:space="preserve"> -</w:t>
      </w:r>
    </w:p>
    <w:p w:rsidR="00BB59CD" w:rsidRDefault="00BB59CD" w:rsidP="00BB59CD">
      <w:pPr>
        <w:rPr>
          <w:rtl/>
        </w:rPr>
      </w:pPr>
      <w:bookmarkStart w:id="26658" w:name="_ETM_Q45_232214"/>
      <w:bookmarkStart w:id="26659" w:name="_ETM_Q45_232330"/>
      <w:bookmarkStart w:id="26660" w:name="_ETM_Q45_232392"/>
      <w:bookmarkStart w:id="26661" w:name="_ETM_Q45_232421"/>
      <w:bookmarkEnd w:id="26658"/>
      <w:bookmarkEnd w:id="26659"/>
      <w:bookmarkEnd w:id="26660"/>
      <w:bookmarkEnd w:id="26661"/>
    </w:p>
    <w:p w:rsidR="00BB59CD" w:rsidRDefault="00BB59CD" w:rsidP="00BB59CD">
      <w:pPr>
        <w:pStyle w:val="af8"/>
        <w:keepNext/>
        <w:rPr>
          <w:rtl/>
        </w:rPr>
      </w:pPr>
      <w:bookmarkStart w:id="26662" w:name="ET_interruption_5264_11"/>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6662"/>
    </w:p>
    <w:p w:rsidR="00BB59CD" w:rsidRDefault="00BB59CD" w:rsidP="00337201">
      <w:pPr>
        <w:rPr>
          <w:rtl/>
        </w:rPr>
      </w:pPr>
    </w:p>
    <w:p w:rsidR="00BB59CD" w:rsidRDefault="00BB59CD" w:rsidP="00BB59CD">
      <w:pPr>
        <w:rPr>
          <w:rtl/>
        </w:rPr>
      </w:pPr>
      <w:r>
        <w:rPr>
          <w:rFonts w:hint="cs"/>
          <w:rtl/>
        </w:rPr>
        <w:t xml:space="preserve">הוא אמר </w:t>
      </w:r>
      <w:bookmarkStart w:id="26663" w:name="_ETM_Q45_232991"/>
      <w:bookmarkEnd w:id="26663"/>
      <w:r w:rsidR="00E33F55">
        <w:rPr>
          <w:rFonts w:hint="cs"/>
          <w:rtl/>
        </w:rPr>
        <w:t>"</w:t>
      </w:r>
      <w:r>
        <w:rPr>
          <w:rFonts w:hint="cs"/>
          <w:rtl/>
        </w:rPr>
        <w:t>מרי אזרחי</w:t>
      </w:r>
      <w:r w:rsidR="00E33F55">
        <w:rPr>
          <w:rFonts w:hint="cs"/>
          <w:rtl/>
        </w:rPr>
        <w:t>"</w:t>
      </w:r>
      <w:r>
        <w:rPr>
          <w:rFonts w:hint="cs"/>
          <w:rtl/>
        </w:rPr>
        <w:t xml:space="preserve">, לא </w:t>
      </w:r>
      <w:r w:rsidR="00E33F55">
        <w:rPr>
          <w:rFonts w:hint="cs"/>
          <w:rtl/>
        </w:rPr>
        <w:t>"</w:t>
      </w:r>
      <w:r>
        <w:rPr>
          <w:rFonts w:hint="cs"/>
          <w:rtl/>
        </w:rPr>
        <w:t>מרד אזרחי</w:t>
      </w:r>
      <w:r w:rsidR="00E33F55">
        <w:rPr>
          <w:rFonts w:hint="cs"/>
          <w:rtl/>
        </w:rPr>
        <w:t>"</w:t>
      </w:r>
      <w:r>
        <w:rPr>
          <w:rFonts w:hint="cs"/>
          <w:rtl/>
        </w:rPr>
        <w:t xml:space="preserve">. מי ששלח לך את הפתק </w:t>
      </w:r>
      <w:bookmarkStart w:id="26664" w:name="_ETM_Q45_238270"/>
      <w:bookmarkEnd w:id="26664"/>
      <w:r>
        <w:rPr>
          <w:rFonts w:hint="cs"/>
          <w:rtl/>
        </w:rPr>
        <w:t>התבלבל. מרי אזרחי שונה ממרד אזרחי.</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אתה צריך לחדד - - -</w:t>
      </w:r>
    </w:p>
    <w:p w:rsidR="00BB59CD" w:rsidRDefault="00BB59CD" w:rsidP="00BB59CD">
      <w:pPr>
        <w:rPr>
          <w:rtl/>
        </w:rPr>
      </w:pPr>
      <w:bookmarkStart w:id="26665" w:name="_ETM_Q45_245174"/>
      <w:bookmarkStart w:id="26666" w:name="_ETM_Q45_245231"/>
      <w:bookmarkEnd w:id="26665"/>
      <w:bookmarkEnd w:id="26666"/>
    </w:p>
    <w:p w:rsidR="00BB59CD" w:rsidRDefault="00BB59CD" w:rsidP="00BB59CD">
      <w:pPr>
        <w:pStyle w:val="af8"/>
        <w:keepNext/>
        <w:rPr>
          <w:rtl/>
        </w:rPr>
      </w:pPr>
      <w:bookmarkStart w:id="26667" w:name="ET_interruption_5264_13"/>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6667"/>
    </w:p>
    <w:p w:rsidR="00BB59CD" w:rsidRDefault="00BB59CD" w:rsidP="00337201">
      <w:pPr>
        <w:rPr>
          <w:rtl/>
        </w:rPr>
      </w:pPr>
    </w:p>
    <w:p w:rsidR="00BB59CD" w:rsidRDefault="00BB59CD" w:rsidP="00BB59CD">
      <w:pPr>
        <w:rPr>
          <w:rtl/>
        </w:rPr>
      </w:pPr>
      <w:r>
        <w:rPr>
          <w:rFonts w:hint="cs"/>
          <w:rtl/>
        </w:rPr>
        <w:t>אמת.</w:t>
      </w:r>
    </w:p>
    <w:p w:rsidR="00BB59CD" w:rsidRDefault="00BB59CD" w:rsidP="00BB59CD">
      <w:pPr>
        <w:rPr>
          <w:rtl/>
        </w:rPr>
      </w:pPr>
    </w:p>
    <w:p w:rsidR="00BB59CD" w:rsidRDefault="00BB59CD" w:rsidP="00BB59CD">
      <w:pPr>
        <w:pStyle w:val="-"/>
        <w:keepNext/>
        <w:rPr>
          <w:rtl/>
        </w:rPr>
      </w:pPr>
      <w:bookmarkStart w:id="26668" w:name="ET_speakercontinue_5293_14"/>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26668"/>
    </w:p>
    <w:p w:rsidR="00BB59CD" w:rsidRDefault="00BB59CD" w:rsidP="00337201">
      <w:pPr>
        <w:rPr>
          <w:rtl/>
        </w:rPr>
      </w:pPr>
    </w:p>
    <w:p w:rsidR="00BB59CD" w:rsidRDefault="00BB59CD" w:rsidP="00BB59CD">
      <w:pPr>
        <w:rPr>
          <w:rtl/>
        </w:rPr>
      </w:pPr>
      <w:bookmarkStart w:id="26669" w:name="_ETM_Q45_245928"/>
      <w:bookmarkStart w:id="26670" w:name="_ETM_Q45_230390"/>
      <w:bookmarkEnd w:id="26669"/>
      <w:bookmarkEnd w:id="26670"/>
      <w:r>
        <w:rPr>
          <w:rFonts w:hint="cs"/>
          <w:rtl/>
        </w:rPr>
        <w:t>כבוד היושב-ראש, אמרתי את דעתי</w:t>
      </w:r>
      <w:bookmarkStart w:id="26671" w:name="_ETM_Q45_247069"/>
      <w:bookmarkEnd w:id="26671"/>
      <w:r>
        <w:rPr>
          <w:rFonts w:hint="cs"/>
          <w:rtl/>
        </w:rPr>
        <w:t xml:space="preserve">. לא </w:t>
      </w:r>
      <w:bookmarkStart w:id="26672" w:name="_ETM_Q45_247190"/>
      <w:bookmarkEnd w:id="26672"/>
      <w:r>
        <w:rPr>
          <w:rFonts w:hint="cs"/>
          <w:rtl/>
        </w:rPr>
        <w:t xml:space="preserve">רק </w:t>
      </w:r>
      <w:bookmarkStart w:id="26673" w:name="_ETM_Q45_247400"/>
      <w:bookmarkEnd w:id="26673"/>
      <w:r>
        <w:rPr>
          <w:rFonts w:hint="cs"/>
          <w:rtl/>
        </w:rPr>
        <w:t xml:space="preserve">שאני לא </w:t>
      </w:r>
      <w:bookmarkStart w:id="26674" w:name="_ETM_Q45_247640"/>
      <w:bookmarkEnd w:id="26674"/>
      <w:r>
        <w:rPr>
          <w:rFonts w:hint="cs"/>
          <w:rtl/>
        </w:rPr>
        <w:t xml:space="preserve">חוזר </w:t>
      </w:r>
      <w:bookmarkStart w:id="26675" w:name="_ETM_Q45_248240"/>
      <w:bookmarkEnd w:id="26675"/>
      <w:r>
        <w:rPr>
          <w:rFonts w:hint="cs"/>
          <w:rtl/>
        </w:rPr>
        <w:t>בי, אני מדגיש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אם יהיה אחד שייקח את הדברים</w:t>
      </w:r>
      <w:bookmarkStart w:id="26676" w:name="_ETM_Q45_251447"/>
      <w:bookmarkEnd w:id="26676"/>
      <w:r>
        <w:rPr>
          <w:rFonts w:hint="cs"/>
          <w:rtl/>
        </w:rPr>
        <w:t xml:space="preserve"> שלך קדימה לאלימות, אז - - -</w:t>
      </w:r>
      <w:bookmarkStart w:id="26677" w:name="_ETM_Q45_252205"/>
      <w:bookmarkEnd w:id="26677"/>
    </w:p>
    <w:p w:rsidR="00BB59CD" w:rsidRDefault="00BB59CD" w:rsidP="00BB59CD">
      <w:pPr>
        <w:rPr>
          <w:rtl/>
        </w:rPr>
      </w:pPr>
      <w:bookmarkStart w:id="26678" w:name="_ETM_Q45_252274"/>
      <w:bookmarkEnd w:id="26678"/>
    </w:p>
    <w:p w:rsidR="00BB59CD" w:rsidRDefault="00BB59CD" w:rsidP="00BB59CD">
      <w:pPr>
        <w:pStyle w:val="-"/>
        <w:keepNext/>
        <w:rPr>
          <w:rtl/>
        </w:rPr>
      </w:pPr>
      <w:bookmarkStart w:id="26679" w:name="ET_speakercontinue_5293_16"/>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26679"/>
    </w:p>
    <w:p w:rsidR="00BB59CD" w:rsidRDefault="00BB59CD" w:rsidP="00337201">
      <w:pPr>
        <w:rPr>
          <w:rtl/>
        </w:rPr>
      </w:pPr>
    </w:p>
    <w:p w:rsidR="00BB59CD" w:rsidRDefault="00BB59CD" w:rsidP="00E33F55">
      <w:pPr>
        <w:rPr>
          <w:rtl/>
        </w:rPr>
      </w:pPr>
      <w:bookmarkStart w:id="26680" w:name="_ETM_Q45_252864"/>
      <w:bookmarkEnd w:id="26680"/>
      <w:r>
        <w:rPr>
          <w:rFonts w:hint="cs"/>
          <w:rtl/>
        </w:rPr>
        <w:t xml:space="preserve"> </w:t>
      </w:r>
      <w:bookmarkStart w:id="26681" w:name="_ETM_Q45_248450"/>
      <w:bookmarkEnd w:id="26681"/>
      <w:r>
        <w:rPr>
          <w:rFonts w:hint="cs"/>
          <w:rtl/>
        </w:rPr>
        <w:t>אני מדגיש</w:t>
      </w:r>
      <w:bookmarkStart w:id="26682" w:name="_ETM_Q45_252350"/>
      <w:bookmarkEnd w:id="26682"/>
      <w:r>
        <w:rPr>
          <w:rFonts w:hint="cs"/>
          <w:rtl/>
        </w:rPr>
        <w:t>: זו</w:t>
      </w:r>
      <w:bookmarkStart w:id="26683" w:name="_ETM_Q45_253100"/>
      <w:bookmarkEnd w:id="26683"/>
      <w:r>
        <w:rPr>
          <w:rFonts w:hint="cs"/>
          <w:rtl/>
        </w:rPr>
        <w:t xml:space="preserve">הי </w:t>
      </w:r>
      <w:bookmarkStart w:id="26684" w:name="_ETM_Q45_253459"/>
      <w:bookmarkEnd w:id="26684"/>
      <w:r>
        <w:rPr>
          <w:rFonts w:hint="cs"/>
          <w:rtl/>
        </w:rPr>
        <w:t xml:space="preserve">עמדתי </w:t>
      </w:r>
      <w:bookmarkStart w:id="26685" w:name="_ETM_Q45_254270"/>
      <w:bookmarkEnd w:id="26685"/>
      <w:r>
        <w:rPr>
          <w:rFonts w:hint="cs"/>
          <w:rtl/>
        </w:rPr>
        <w:t xml:space="preserve">הברורה. </w:t>
      </w:r>
      <w:bookmarkStart w:id="26686" w:name="_ETM_Q45_254930"/>
      <w:bookmarkEnd w:id="26686"/>
      <w:r>
        <w:rPr>
          <w:rFonts w:hint="cs"/>
          <w:rtl/>
        </w:rPr>
        <w:t xml:space="preserve">צריך </w:t>
      </w:r>
      <w:bookmarkStart w:id="26687" w:name="_ETM_Q45_255290"/>
      <w:bookmarkEnd w:id="26687"/>
      <w:r>
        <w:rPr>
          <w:rFonts w:hint="cs"/>
          <w:rtl/>
        </w:rPr>
        <w:t xml:space="preserve">לעשות </w:t>
      </w:r>
      <w:bookmarkStart w:id="26688" w:name="_ETM_Q45_255650"/>
      <w:bookmarkEnd w:id="26688"/>
      <w:r>
        <w:rPr>
          <w:rFonts w:hint="cs"/>
          <w:rtl/>
        </w:rPr>
        <w:t xml:space="preserve">את </w:t>
      </w:r>
      <w:bookmarkStart w:id="26689" w:name="_ETM_Q45_255740"/>
      <w:bookmarkEnd w:id="26689"/>
      <w:r>
        <w:rPr>
          <w:rFonts w:hint="cs"/>
          <w:rtl/>
        </w:rPr>
        <w:t xml:space="preserve">הכול. </w:t>
      </w:r>
      <w:bookmarkStart w:id="26690" w:name="_ETM_Q45_256160"/>
      <w:bookmarkEnd w:id="26690"/>
      <w:r>
        <w:rPr>
          <w:rFonts w:hint="cs"/>
          <w:rtl/>
        </w:rPr>
        <w:t xml:space="preserve">אין </w:t>
      </w:r>
      <w:bookmarkStart w:id="26691" w:name="_ETM_Q45_256430"/>
      <w:bookmarkEnd w:id="26691"/>
      <w:r>
        <w:rPr>
          <w:rFonts w:hint="cs"/>
          <w:rtl/>
        </w:rPr>
        <w:t xml:space="preserve">יותר </w:t>
      </w:r>
      <w:bookmarkStart w:id="26692" w:name="_ETM_Q45_256880"/>
      <w:bookmarkEnd w:id="26692"/>
      <w:r>
        <w:rPr>
          <w:rFonts w:hint="cs"/>
          <w:rtl/>
        </w:rPr>
        <w:t xml:space="preserve">יקר, </w:t>
      </w:r>
      <w:bookmarkStart w:id="26693" w:name="_ETM_Q45_257789"/>
      <w:bookmarkEnd w:id="26693"/>
      <w:r>
        <w:rPr>
          <w:rFonts w:hint="cs"/>
          <w:rtl/>
        </w:rPr>
        <w:t xml:space="preserve">אין </w:t>
      </w:r>
      <w:bookmarkStart w:id="26694" w:name="_ETM_Q45_258030"/>
      <w:bookmarkEnd w:id="26694"/>
      <w:r>
        <w:rPr>
          <w:rFonts w:hint="cs"/>
          <w:rtl/>
        </w:rPr>
        <w:t xml:space="preserve">יותר </w:t>
      </w:r>
      <w:bookmarkStart w:id="26695" w:name="_ETM_Q45_258390"/>
      <w:bookmarkEnd w:id="26695"/>
      <w:r>
        <w:rPr>
          <w:rFonts w:hint="cs"/>
          <w:rtl/>
        </w:rPr>
        <w:t xml:space="preserve">חשוב </w:t>
      </w:r>
      <w:bookmarkStart w:id="26696" w:name="_ETM_Q45_258749"/>
      <w:bookmarkEnd w:id="26696"/>
      <w:r>
        <w:rPr>
          <w:rFonts w:hint="cs"/>
          <w:rtl/>
        </w:rPr>
        <w:t xml:space="preserve">מחיי </w:t>
      </w:r>
      <w:bookmarkStart w:id="26697" w:name="_ETM_Q45_259140"/>
      <w:bookmarkEnd w:id="26697"/>
      <w:r>
        <w:rPr>
          <w:rFonts w:hint="cs"/>
          <w:rtl/>
        </w:rPr>
        <w:t xml:space="preserve">בני אדם. אין. </w:t>
      </w:r>
      <w:bookmarkStart w:id="26698" w:name="_ETM_Q45_261515"/>
      <w:bookmarkEnd w:id="26698"/>
      <w:r>
        <w:rPr>
          <w:rFonts w:hint="cs"/>
          <w:rtl/>
        </w:rPr>
        <w:t>אין.</w:t>
      </w:r>
      <w:bookmarkStart w:id="26699" w:name="_ETM_Q45_259649"/>
      <w:bookmarkStart w:id="26700" w:name="_ETM_Q45_260500"/>
      <w:bookmarkStart w:id="26701" w:name="_ETM_Q45_261490"/>
      <w:bookmarkEnd w:id="26699"/>
      <w:bookmarkEnd w:id="26700"/>
      <w:bookmarkEnd w:id="26701"/>
    </w:p>
    <w:p w:rsidR="00BB59CD" w:rsidRDefault="00BB59CD" w:rsidP="00BB59CD">
      <w:pPr>
        <w:rPr>
          <w:rtl/>
        </w:rPr>
      </w:pPr>
    </w:p>
    <w:p w:rsidR="00BB59CD" w:rsidRDefault="00BB59CD" w:rsidP="00BB59CD">
      <w:pPr>
        <w:pStyle w:val="af8"/>
        <w:keepNext/>
        <w:rPr>
          <w:rtl/>
        </w:rPr>
      </w:pPr>
      <w:bookmarkStart w:id="26702" w:name="ET_interruption_5264_18"/>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6702"/>
    </w:p>
    <w:p w:rsidR="00BB59CD" w:rsidRDefault="00BB59CD" w:rsidP="00337201">
      <w:pPr>
        <w:rPr>
          <w:rtl/>
        </w:rPr>
      </w:pPr>
    </w:p>
    <w:p w:rsidR="00BB59CD" w:rsidRDefault="00BB59CD" w:rsidP="00E33F55">
      <w:pPr>
        <w:rPr>
          <w:rtl/>
        </w:rPr>
      </w:pPr>
      <w:r>
        <w:rPr>
          <w:rFonts w:hint="cs"/>
          <w:rtl/>
        </w:rPr>
        <w:t>אתה קורא להם להתקהל</w:t>
      </w:r>
      <w:r w:rsidR="00E33F55">
        <w:rPr>
          <w:rFonts w:hint="cs"/>
          <w:rtl/>
        </w:rPr>
        <w:t>.</w:t>
      </w:r>
      <w:r>
        <w:rPr>
          <w:rFonts w:hint="cs"/>
          <w:rtl/>
        </w:rPr>
        <w:t xml:space="preserve"> אדוני היושב-ראש - - -</w:t>
      </w:r>
    </w:p>
    <w:p w:rsidR="00BB59CD" w:rsidRDefault="00BB59CD" w:rsidP="00BB59CD">
      <w:pPr>
        <w:rPr>
          <w:rtl/>
        </w:rPr>
      </w:pPr>
      <w:bookmarkStart w:id="26703" w:name="_ETM_Q45_265495"/>
      <w:bookmarkStart w:id="26704" w:name="_ETM_Q45_265587"/>
      <w:bookmarkEnd w:id="26703"/>
      <w:bookmarkEnd w:id="26704"/>
    </w:p>
    <w:p w:rsidR="00BB59CD" w:rsidRDefault="00BB59CD" w:rsidP="00BB59CD">
      <w:pPr>
        <w:pStyle w:val="-"/>
        <w:keepNext/>
        <w:rPr>
          <w:rtl/>
        </w:rPr>
      </w:pPr>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p>
    <w:p w:rsidR="00BB59CD" w:rsidRDefault="00BB59CD" w:rsidP="00BB59CD">
      <w:pPr>
        <w:rPr>
          <w:rtl/>
        </w:rPr>
      </w:pPr>
    </w:p>
    <w:p w:rsidR="00BB59CD" w:rsidRDefault="00BB59CD" w:rsidP="00BB59CD">
      <w:pPr>
        <w:rPr>
          <w:rtl/>
        </w:rPr>
      </w:pPr>
      <w:bookmarkStart w:id="26705" w:name="_ETM_Q45_265914"/>
      <w:bookmarkStart w:id="26706" w:name="_ETM_Q45_266019"/>
      <w:bookmarkEnd w:id="26705"/>
      <w:bookmarkEnd w:id="26706"/>
      <w:r>
        <w:rPr>
          <w:rFonts w:hint="cs"/>
          <w:rtl/>
        </w:rPr>
        <w:t>עכשיו, חד וחלק. אני רוצה להמשיך - - -</w:t>
      </w:r>
    </w:p>
    <w:p w:rsidR="00BB59CD" w:rsidRDefault="00BB59CD" w:rsidP="00BB59CD">
      <w:pPr>
        <w:rPr>
          <w:rtl/>
        </w:rPr>
      </w:pPr>
      <w:bookmarkStart w:id="26707" w:name="_ETM_Q45_268628"/>
      <w:bookmarkStart w:id="26708" w:name="_ETM_Q45_268696"/>
      <w:bookmarkEnd w:id="26707"/>
      <w:bookmarkEnd w:id="26708"/>
    </w:p>
    <w:p w:rsidR="00BB59CD" w:rsidRDefault="00BB59CD" w:rsidP="00BB59CD">
      <w:pPr>
        <w:pStyle w:val="af8"/>
        <w:keepNext/>
        <w:rPr>
          <w:rtl/>
        </w:rPr>
      </w:pPr>
      <w:bookmarkStart w:id="26709" w:name="ET_interruption_5115_17"/>
      <w:r>
        <w:rPr>
          <w:rStyle w:val="TagStyle"/>
          <w:rFonts w:hint="cs"/>
          <w:rtl/>
        </w:rPr>
        <w:t xml:space="preserve">&lt;&lt; קריאה &gt;&gt; </w:t>
      </w:r>
      <w:r>
        <w:rPr>
          <w:rFonts w:hint="cs"/>
          <w:rtl/>
        </w:rPr>
        <w:t>פנינה תמנו (המחנה הממלכתי):</w:t>
      </w:r>
      <w:r>
        <w:rPr>
          <w:rStyle w:val="TagStyle"/>
          <w:rtl/>
        </w:rPr>
        <w:t xml:space="preserve"> &lt;&lt; קריאה &gt;&gt;</w:t>
      </w:r>
      <w:r>
        <w:rPr>
          <w:rFonts w:hint="cs"/>
          <w:rtl/>
        </w:rPr>
        <w:t xml:space="preserve">   </w:t>
      </w:r>
      <w:bookmarkEnd w:id="26709"/>
    </w:p>
    <w:p w:rsidR="00BB59CD" w:rsidRDefault="00BB59CD" w:rsidP="00337201">
      <w:pPr>
        <w:rPr>
          <w:rtl/>
        </w:rPr>
      </w:pPr>
    </w:p>
    <w:p w:rsidR="00BB59CD" w:rsidRDefault="00BB59CD" w:rsidP="00BB59CD">
      <w:pPr>
        <w:rPr>
          <w:rtl/>
        </w:rPr>
      </w:pPr>
      <w:r>
        <w:rPr>
          <w:rFonts w:hint="cs"/>
          <w:rtl/>
        </w:rPr>
        <w:t xml:space="preserve">רגע. אני חברת ועדת האתיקה. מותר לקרוא למרי אזרחי רק אם אלה </w:t>
      </w:r>
      <w:bookmarkStart w:id="26710" w:name="_ETM_Q45_272378"/>
      <w:bookmarkEnd w:id="26710"/>
      <w:r>
        <w:rPr>
          <w:rFonts w:hint="cs"/>
          <w:rtl/>
        </w:rPr>
        <w:t xml:space="preserve">פעולות חוקיות עם מחאה חוקית. אסור לקרוא למרי אזרחי בניגוד </w:t>
      </w:r>
      <w:bookmarkStart w:id="26711" w:name="_ETM_Q45_276706"/>
      <w:bookmarkEnd w:id="26711"/>
      <w:r>
        <w:rPr>
          <w:rFonts w:hint="cs"/>
          <w:rtl/>
        </w:rPr>
        <w:t>לחוק. צריך להדגיש.</w:t>
      </w:r>
    </w:p>
    <w:p w:rsidR="00BB59CD" w:rsidRDefault="00BB59CD" w:rsidP="00BB59CD">
      <w:pPr>
        <w:rPr>
          <w:rtl/>
        </w:rPr>
      </w:pPr>
      <w:bookmarkStart w:id="26712" w:name="_ETM_Q45_278117"/>
      <w:bookmarkStart w:id="26713" w:name="_ETM_Q45_278189"/>
      <w:bookmarkEnd w:id="26712"/>
      <w:bookmarkEnd w:id="26713"/>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E33F55">
      <w:pPr>
        <w:rPr>
          <w:rtl/>
        </w:rPr>
      </w:pPr>
      <w:r>
        <w:rPr>
          <w:rFonts w:hint="cs"/>
          <w:rtl/>
        </w:rPr>
        <w:t>אז שיחדד, אז שיגיד</w:t>
      </w:r>
      <w:r w:rsidR="00E33F55">
        <w:rPr>
          <w:rFonts w:hint="cs"/>
          <w:rtl/>
        </w:rPr>
        <w:t>:</w:t>
      </w:r>
      <w:r>
        <w:rPr>
          <w:rFonts w:hint="cs"/>
          <w:rtl/>
        </w:rPr>
        <w:t xml:space="preserve"> במסגרת החוק.</w:t>
      </w:r>
    </w:p>
    <w:p w:rsidR="00BB59CD" w:rsidRDefault="00BB59CD" w:rsidP="00BB59CD">
      <w:pPr>
        <w:rPr>
          <w:rtl/>
        </w:rPr>
      </w:pPr>
      <w:bookmarkStart w:id="26714" w:name="_ETM_Q45_280038"/>
      <w:bookmarkStart w:id="26715" w:name="_ETM_Q45_280131"/>
      <w:bookmarkEnd w:id="26714"/>
      <w:bookmarkEnd w:id="26715"/>
    </w:p>
    <w:p w:rsidR="00BB59CD" w:rsidRDefault="00BB59CD" w:rsidP="00BB59CD">
      <w:pPr>
        <w:pStyle w:val="-"/>
        <w:keepNext/>
        <w:rPr>
          <w:rtl/>
        </w:rPr>
      </w:pPr>
      <w:bookmarkStart w:id="26716" w:name="ET_speakercontinue_5293_19"/>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26716"/>
    </w:p>
    <w:p w:rsidR="00BB59CD" w:rsidRDefault="00BB59CD" w:rsidP="00337201">
      <w:pPr>
        <w:rPr>
          <w:rtl/>
        </w:rPr>
      </w:pPr>
    </w:p>
    <w:p w:rsidR="00BB59CD" w:rsidRDefault="00BB59CD" w:rsidP="00BB59CD">
      <w:pPr>
        <w:rPr>
          <w:rtl/>
        </w:rPr>
      </w:pPr>
      <w:bookmarkStart w:id="26717" w:name="_ETM_Q45_281079"/>
      <w:bookmarkEnd w:id="26717"/>
      <w:r>
        <w:rPr>
          <w:rFonts w:hint="cs"/>
          <w:rtl/>
        </w:rPr>
        <w:t xml:space="preserve">אני </w:t>
      </w:r>
      <w:bookmarkStart w:id="26718" w:name="_ETM_Q45_281350"/>
      <w:bookmarkEnd w:id="26718"/>
      <w:r>
        <w:rPr>
          <w:rFonts w:hint="cs"/>
          <w:rtl/>
        </w:rPr>
        <w:t xml:space="preserve">חושב </w:t>
      </w:r>
      <w:bookmarkStart w:id="26719" w:name="_ETM_Q45_281770"/>
      <w:bookmarkEnd w:id="26719"/>
      <w:r>
        <w:rPr>
          <w:rFonts w:hint="cs"/>
          <w:rtl/>
        </w:rPr>
        <w:t xml:space="preserve">שחיי </w:t>
      </w:r>
      <w:bookmarkStart w:id="26720" w:name="_ETM_Q45_282280"/>
      <w:bookmarkEnd w:id="26720"/>
      <w:r>
        <w:rPr>
          <w:rFonts w:hint="cs"/>
          <w:rtl/>
        </w:rPr>
        <w:t xml:space="preserve">בני אדם </w:t>
      </w:r>
      <w:bookmarkStart w:id="26721" w:name="_ETM_Q45_282819"/>
      <w:bookmarkStart w:id="26722" w:name="_ETM_Q45_283990"/>
      <w:bookmarkEnd w:id="26721"/>
      <w:bookmarkEnd w:id="26722"/>
      <w:r>
        <w:rPr>
          <w:rFonts w:hint="cs"/>
          <w:rtl/>
        </w:rPr>
        <w:t xml:space="preserve">יותר </w:t>
      </w:r>
      <w:bookmarkStart w:id="26723" w:name="_ETM_Q45_284409"/>
      <w:bookmarkEnd w:id="26723"/>
      <w:r>
        <w:rPr>
          <w:rFonts w:hint="cs"/>
          <w:rtl/>
        </w:rPr>
        <w:t xml:space="preserve">חשובים </w:t>
      </w:r>
      <w:bookmarkStart w:id="26724" w:name="_ETM_Q45_285520"/>
      <w:bookmarkEnd w:id="26724"/>
      <w:r>
        <w:rPr>
          <w:rFonts w:hint="cs"/>
          <w:rtl/>
        </w:rPr>
        <w:t xml:space="preserve">מכל </w:t>
      </w:r>
      <w:bookmarkStart w:id="26725" w:name="_ETM_Q45_286000"/>
      <w:bookmarkEnd w:id="26725"/>
      <w:r>
        <w:rPr>
          <w:rFonts w:hint="cs"/>
          <w:rtl/>
        </w:rPr>
        <w:t xml:space="preserve">חוק </w:t>
      </w:r>
      <w:bookmarkStart w:id="26726" w:name="_ETM_Q45_286270"/>
      <w:bookmarkEnd w:id="26726"/>
      <w:r>
        <w:rPr>
          <w:rFonts w:hint="cs"/>
          <w:rtl/>
        </w:rPr>
        <w:t xml:space="preserve">אחר. </w:t>
      </w:r>
      <w:bookmarkStart w:id="26727" w:name="_ETM_Q45_287189"/>
      <w:bookmarkEnd w:id="26727"/>
      <w:r>
        <w:rPr>
          <w:rFonts w:hint="cs"/>
          <w:rtl/>
        </w:rPr>
        <w:t xml:space="preserve">אין </w:t>
      </w:r>
      <w:bookmarkStart w:id="26728" w:name="_ETM_Q45_287429"/>
      <w:bookmarkStart w:id="26729" w:name="_ETM_Q45_287490"/>
      <w:bookmarkEnd w:id="26728"/>
      <w:bookmarkEnd w:id="26729"/>
      <w:r>
        <w:rPr>
          <w:rFonts w:hint="cs"/>
          <w:rtl/>
        </w:rPr>
        <w:t xml:space="preserve">יותר </w:t>
      </w:r>
      <w:bookmarkStart w:id="26730" w:name="_ETM_Q45_287759"/>
      <w:bookmarkEnd w:id="26730"/>
      <w:r>
        <w:rPr>
          <w:rFonts w:hint="cs"/>
          <w:rtl/>
        </w:rPr>
        <w:t xml:space="preserve">חשוב </w:t>
      </w:r>
      <w:bookmarkStart w:id="26731" w:name="_ETM_Q45_288149"/>
      <w:bookmarkEnd w:id="26731"/>
      <w:r>
        <w:rPr>
          <w:rFonts w:hint="cs"/>
          <w:rtl/>
        </w:rPr>
        <w:t>מחיי בני אדם.</w:t>
      </w:r>
    </w:p>
    <w:p w:rsidR="00BB59CD" w:rsidRDefault="00BB59CD" w:rsidP="00BB59CD">
      <w:pPr>
        <w:rPr>
          <w:rtl/>
        </w:rPr>
      </w:pPr>
    </w:p>
    <w:p w:rsidR="00BB59CD" w:rsidRDefault="00BB59CD" w:rsidP="00BB59CD">
      <w:pPr>
        <w:pStyle w:val="af9"/>
        <w:keepNext/>
        <w:rPr>
          <w:rtl/>
        </w:rPr>
      </w:pPr>
      <w:bookmarkStart w:id="26732" w:name="ET_yor_6488_2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6732"/>
    </w:p>
    <w:p w:rsidR="00BB59CD" w:rsidRDefault="00BB59CD" w:rsidP="00337201">
      <w:pPr>
        <w:rPr>
          <w:rtl/>
        </w:rPr>
      </w:pPr>
    </w:p>
    <w:p w:rsidR="00BB59CD" w:rsidRDefault="00BB59CD" w:rsidP="00BB59CD">
      <w:pPr>
        <w:rPr>
          <w:rtl/>
        </w:rPr>
      </w:pPr>
      <w:r>
        <w:rPr>
          <w:rFonts w:hint="cs"/>
          <w:rtl/>
        </w:rPr>
        <w:t>אין מעל החוק.</w:t>
      </w:r>
    </w:p>
    <w:p w:rsidR="00BB59CD" w:rsidRDefault="00BB59CD" w:rsidP="00BB59CD">
      <w:pPr>
        <w:rPr>
          <w:rtl/>
        </w:rPr>
      </w:pPr>
    </w:p>
    <w:p w:rsidR="00BB59CD" w:rsidRDefault="00BB59CD" w:rsidP="00BB59CD">
      <w:pPr>
        <w:pStyle w:val="-"/>
        <w:keepNext/>
        <w:rPr>
          <w:rtl/>
        </w:rPr>
      </w:pPr>
      <w:bookmarkStart w:id="26733" w:name="ET_speakercontinue_5293_21"/>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26733"/>
    </w:p>
    <w:p w:rsidR="00BB59CD" w:rsidRDefault="00BB59CD" w:rsidP="00337201">
      <w:pPr>
        <w:rPr>
          <w:rtl/>
        </w:rPr>
      </w:pPr>
    </w:p>
    <w:p w:rsidR="00BB59CD" w:rsidRDefault="00BB59CD" w:rsidP="00BB59CD">
      <w:pPr>
        <w:rPr>
          <w:rtl/>
        </w:rPr>
      </w:pPr>
      <w:bookmarkStart w:id="26734" w:name="_ETM_Q45_288539"/>
      <w:bookmarkStart w:id="26735" w:name="_ETM_Q45_289700"/>
      <w:bookmarkEnd w:id="26734"/>
      <w:bookmarkEnd w:id="26735"/>
      <w:r>
        <w:rPr>
          <w:rFonts w:hint="cs"/>
          <w:rtl/>
        </w:rPr>
        <w:t xml:space="preserve">אז </w:t>
      </w:r>
      <w:bookmarkStart w:id="26736" w:name="_ETM_Q45_289880"/>
      <w:bookmarkEnd w:id="26736"/>
      <w:r>
        <w:rPr>
          <w:rFonts w:hint="cs"/>
          <w:rtl/>
        </w:rPr>
        <w:t xml:space="preserve">אני </w:t>
      </w:r>
      <w:bookmarkStart w:id="26737" w:name="_ETM_Q45_290090"/>
      <w:bookmarkEnd w:id="26737"/>
      <w:r>
        <w:rPr>
          <w:rFonts w:hint="cs"/>
          <w:rtl/>
        </w:rPr>
        <w:t xml:space="preserve">אמרתי </w:t>
      </w:r>
      <w:bookmarkStart w:id="26738" w:name="_ETM_Q45_290509"/>
      <w:bookmarkEnd w:id="26738"/>
      <w:r>
        <w:rPr>
          <w:rFonts w:hint="cs"/>
          <w:rtl/>
        </w:rPr>
        <w:t xml:space="preserve">את </w:t>
      </w:r>
      <w:bookmarkStart w:id="26739" w:name="_ETM_Q45_290569"/>
      <w:bookmarkEnd w:id="26739"/>
      <w:r>
        <w:rPr>
          <w:rFonts w:hint="cs"/>
          <w:rtl/>
        </w:rPr>
        <w:t xml:space="preserve">דעתי </w:t>
      </w:r>
      <w:bookmarkStart w:id="26740" w:name="_ETM_Q45_290869"/>
      <w:bookmarkEnd w:id="26740"/>
      <w:r>
        <w:rPr>
          <w:rFonts w:hint="cs"/>
          <w:rtl/>
        </w:rPr>
        <w:t xml:space="preserve">בצורה </w:t>
      </w:r>
      <w:bookmarkStart w:id="26741" w:name="_ETM_Q45_291259"/>
      <w:bookmarkEnd w:id="26741"/>
      <w:r>
        <w:rPr>
          <w:rFonts w:hint="cs"/>
          <w:rtl/>
        </w:rPr>
        <w:t xml:space="preserve">ברורה, </w:t>
      </w:r>
      <w:bookmarkStart w:id="26742" w:name="_ETM_Q45_292099"/>
      <w:bookmarkEnd w:id="26742"/>
      <w:r>
        <w:rPr>
          <w:rFonts w:hint="cs"/>
          <w:rtl/>
        </w:rPr>
        <w:t xml:space="preserve">ותוכלו </w:t>
      </w:r>
      <w:bookmarkStart w:id="26743" w:name="_ETM_Q45_292579"/>
      <w:bookmarkEnd w:id="26743"/>
      <w:r>
        <w:rPr>
          <w:rFonts w:hint="cs"/>
          <w:rtl/>
        </w:rPr>
        <w:t xml:space="preserve">להגיש </w:t>
      </w:r>
      <w:bookmarkStart w:id="26744" w:name="_ETM_Q45_293090"/>
      <w:bookmarkEnd w:id="26744"/>
      <w:r>
        <w:rPr>
          <w:rFonts w:hint="cs"/>
          <w:rtl/>
        </w:rPr>
        <w:t xml:space="preserve">קובלנה </w:t>
      </w:r>
      <w:bookmarkStart w:id="26745" w:name="_ETM_Q45_293539"/>
      <w:bookmarkEnd w:id="26745"/>
      <w:r>
        <w:rPr>
          <w:rFonts w:hint="cs"/>
          <w:rtl/>
        </w:rPr>
        <w:t xml:space="preserve">נגדי. </w:t>
      </w:r>
      <w:bookmarkStart w:id="26746" w:name="_ETM_Q45_294139"/>
      <w:bookmarkEnd w:id="26746"/>
      <w:r>
        <w:rPr>
          <w:rFonts w:hint="cs"/>
          <w:rtl/>
        </w:rPr>
        <w:t xml:space="preserve">אין </w:t>
      </w:r>
      <w:bookmarkStart w:id="26747" w:name="_ETM_Q45_294349"/>
      <w:bookmarkEnd w:id="26747"/>
      <w:r>
        <w:rPr>
          <w:rFonts w:hint="cs"/>
          <w:rtl/>
        </w:rPr>
        <w:t xml:space="preserve">לי </w:t>
      </w:r>
      <w:bookmarkStart w:id="26748" w:name="_ETM_Q45_294439"/>
      <w:bookmarkEnd w:id="26748"/>
      <w:r>
        <w:rPr>
          <w:rFonts w:hint="cs"/>
          <w:rtl/>
        </w:rPr>
        <w:t xml:space="preserve">בעיה. </w:t>
      </w:r>
      <w:bookmarkStart w:id="26749" w:name="_ETM_Q45_295070"/>
      <w:bookmarkEnd w:id="26749"/>
      <w:r>
        <w:rPr>
          <w:rFonts w:hint="cs"/>
          <w:rtl/>
        </w:rPr>
        <w:t xml:space="preserve">זוהי </w:t>
      </w:r>
      <w:bookmarkStart w:id="26750" w:name="_ETM_Q45_295520"/>
      <w:bookmarkEnd w:id="26750"/>
      <w:r>
        <w:rPr>
          <w:rFonts w:hint="cs"/>
          <w:rtl/>
        </w:rPr>
        <w:t>עמדתי.</w:t>
      </w:r>
    </w:p>
    <w:p w:rsidR="00BB59CD" w:rsidRDefault="00BB59CD" w:rsidP="00BB59CD">
      <w:pPr>
        <w:rPr>
          <w:rtl/>
        </w:rPr>
      </w:pPr>
    </w:p>
    <w:p w:rsidR="00BB59CD" w:rsidRDefault="00BB59CD" w:rsidP="003B087F">
      <w:pPr>
        <w:rPr>
          <w:rtl/>
        </w:rPr>
      </w:pPr>
      <w:bookmarkStart w:id="26751" w:name="_ETM_Q45_296560"/>
      <w:bookmarkEnd w:id="26751"/>
      <w:r>
        <w:rPr>
          <w:rFonts w:hint="cs"/>
          <w:rtl/>
        </w:rPr>
        <w:t xml:space="preserve">אני </w:t>
      </w:r>
      <w:bookmarkStart w:id="26752" w:name="_ETM_Q45_296829"/>
      <w:bookmarkEnd w:id="26752"/>
      <w:r>
        <w:rPr>
          <w:rFonts w:hint="cs"/>
          <w:rtl/>
        </w:rPr>
        <w:t xml:space="preserve">רוצה </w:t>
      </w:r>
      <w:bookmarkStart w:id="26753" w:name="_ETM_Q45_297189"/>
      <w:bookmarkEnd w:id="26753"/>
      <w:r>
        <w:rPr>
          <w:rFonts w:hint="cs"/>
          <w:rtl/>
        </w:rPr>
        <w:t xml:space="preserve">לקרוא </w:t>
      </w:r>
      <w:bookmarkStart w:id="26754" w:name="_ETM_Q45_297549"/>
      <w:bookmarkEnd w:id="26754"/>
      <w:r>
        <w:rPr>
          <w:rFonts w:hint="cs"/>
          <w:rtl/>
        </w:rPr>
        <w:t xml:space="preserve">לאוכלוסייה </w:t>
      </w:r>
      <w:bookmarkStart w:id="26755" w:name="_ETM_Q45_297999"/>
      <w:bookmarkEnd w:id="26755"/>
      <w:r>
        <w:rPr>
          <w:rFonts w:hint="cs"/>
          <w:rtl/>
        </w:rPr>
        <w:t xml:space="preserve">הערבית </w:t>
      </w:r>
      <w:bookmarkStart w:id="26756" w:name="_ETM_Q45_299099"/>
      <w:bookmarkEnd w:id="26756"/>
      <w:r>
        <w:rPr>
          <w:rFonts w:hint="cs"/>
          <w:rtl/>
        </w:rPr>
        <w:t>ש</w:t>
      </w:r>
      <w:bookmarkStart w:id="26757" w:name="_ETM_Q45_300170"/>
      <w:bookmarkEnd w:id="26757"/>
      <w:r>
        <w:rPr>
          <w:rFonts w:hint="cs"/>
          <w:rtl/>
        </w:rPr>
        <w:t xml:space="preserve">יש </w:t>
      </w:r>
      <w:bookmarkStart w:id="26758" w:name="_ETM_Q45_301039"/>
      <w:bookmarkEnd w:id="26758"/>
      <w:r>
        <w:rPr>
          <w:rFonts w:hint="cs"/>
          <w:rtl/>
        </w:rPr>
        <w:t xml:space="preserve">הצעה </w:t>
      </w:r>
      <w:bookmarkStart w:id="26759" w:name="_ETM_Q45_303720"/>
      <w:bookmarkEnd w:id="26759"/>
      <w:r>
        <w:rPr>
          <w:rFonts w:hint="cs"/>
          <w:rtl/>
        </w:rPr>
        <w:t xml:space="preserve">לבוא </w:t>
      </w:r>
      <w:bookmarkStart w:id="26760" w:name="_ETM_Q45_304229"/>
      <w:bookmarkEnd w:id="26760"/>
      <w:r>
        <w:rPr>
          <w:rFonts w:hint="cs"/>
          <w:rtl/>
        </w:rPr>
        <w:t xml:space="preserve">עם </w:t>
      </w:r>
      <w:bookmarkStart w:id="26761" w:name="_ETM_Q45_306499"/>
      <w:bookmarkEnd w:id="26761"/>
      <w:r>
        <w:rPr>
          <w:rFonts w:hint="cs"/>
          <w:rtl/>
        </w:rPr>
        <w:t xml:space="preserve">ארונות </w:t>
      </w:r>
      <w:bookmarkStart w:id="26762" w:name="_ETM_Q45_308860"/>
      <w:bookmarkEnd w:id="26762"/>
      <w:r>
        <w:rPr>
          <w:rFonts w:hint="cs"/>
          <w:rtl/>
        </w:rPr>
        <w:t>של מתים</w:t>
      </w:r>
      <w:bookmarkStart w:id="26763" w:name="_ETM_Q45_309190"/>
      <w:bookmarkEnd w:id="26763"/>
      <w:r>
        <w:rPr>
          <w:rFonts w:hint="cs"/>
          <w:rtl/>
        </w:rPr>
        <w:t xml:space="preserve">, </w:t>
      </w:r>
      <w:bookmarkStart w:id="26764" w:name="_ETM_Q45_311200"/>
      <w:bookmarkStart w:id="26765" w:name="_ETM_Q45_312560"/>
      <w:bookmarkEnd w:id="26764"/>
      <w:bookmarkEnd w:id="26765"/>
      <w:r>
        <w:rPr>
          <w:rFonts w:hint="cs"/>
          <w:rtl/>
        </w:rPr>
        <w:t xml:space="preserve">129 </w:t>
      </w:r>
      <w:bookmarkStart w:id="26766" w:name="_ETM_Q45_314280"/>
      <w:bookmarkEnd w:id="26766"/>
      <w:r>
        <w:rPr>
          <w:rFonts w:hint="cs"/>
          <w:rtl/>
        </w:rPr>
        <w:t xml:space="preserve">ארונות, </w:t>
      </w:r>
      <w:bookmarkStart w:id="26767" w:name="_ETM_Q45_315930"/>
      <w:bookmarkEnd w:id="26767"/>
      <w:r>
        <w:rPr>
          <w:rFonts w:hint="cs"/>
          <w:rtl/>
        </w:rPr>
        <w:t xml:space="preserve">לבוא </w:t>
      </w:r>
      <w:bookmarkStart w:id="26768" w:name="_ETM_Q45_316290"/>
      <w:bookmarkEnd w:id="26768"/>
      <w:r>
        <w:rPr>
          <w:rFonts w:hint="cs"/>
          <w:rtl/>
        </w:rPr>
        <w:t xml:space="preserve">להיכנס </w:t>
      </w:r>
      <w:bookmarkStart w:id="26769" w:name="_ETM_Q45_318180"/>
      <w:bookmarkEnd w:id="26769"/>
      <w:r>
        <w:rPr>
          <w:rFonts w:hint="cs"/>
          <w:rtl/>
        </w:rPr>
        <w:t xml:space="preserve">לאמצע </w:t>
      </w:r>
      <w:bookmarkStart w:id="26770" w:name="_ETM_Q45_319620"/>
      <w:bookmarkEnd w:id="26770"/>
      <w:r>
        <w:rPr>
          <w:rFonts w:hint="cs"/>
          <w:rtl/>
        </w:rPr>
        <w:t xml:space="preserve">ההפגנות </w:t>
      </w:r>
      <w:bookmarkStart w:id="26771" w:name="_ETM_Q45_321000"/>
      <w:bookmarkEnd w:id="26771"/>
      <w:r>
        <w:rPr>
          <w:rFonts w:hint="cs"/>
          <w:rtl/>
        </w:rPr>
        <w:t xml:space="preserve">בסוף </w:t>
      </w:r>
      <w:bookmarkStart w:id="26772" w:name="_ETM_Q45_321389"/>
      <w:bookmarkEnd w:id="26772"/>
      <w:r>
        <w:rPr>
          <w:rFonts w:hint="cs"/>
          <w:rtl/>
        </w:rPr>
        <w:t xml:space="preserve">השבוע </w:t>
      </w:r>
      <w:bookmarkStart w:id="26773" w:name="_ETM_Q45_321810"/>
      <w:bookmarkEnd w:id="26773"/>
      <w:r>
        <w:rPr>
          <w:rFonts w:hint="cs"/>
          <w:rtl/>
        </w:rPr>
        <w:t xml:space="preserve">הזה, </w:t>
      </w:r>
      <w:bookmarkStart w:id="26774" w:name="_ETM_Q45_323800"/>
      <w:bookmarkEnd w:id="26774"/>
      <w:r>
        <w:rPr>
          <w:rFonts w:hint="cs"/>
          <w:rtl/>
        </w:rPr>
        <w:t xml:space="preserve">להיכנס </w:t>
      </w:r>
      <w:bookmarkStart w:id="26775" w:name="_ETM_Q45_324490"/>
      <w:bookmarkEnd w:id="26775"/>
      <w:r>
        <w:rPr>
          <w:rFonts w:hint="cs"/>
          <w:rtl/>
        </w:rPr>
        <w:t xml:space="preserve">לאמצע </w:t>
      </w:r>
      <w:bookmarkStart w:id="26776" w:name="_ETM_Q45_325000"/>
      <w:bookmarkEnd w:id="26776"/>
      <w:r>
        <w:rPr>
          <w:rFonts w:hint="cs"/>
          <w:rtl/>
        </w:rPr>
        <w:t xml:space="preserve">ההפגנות </w:t>
      </w:r>
      <w:bookmarkStart w:id="26777" w:name="_ETM_Q45_325389"/>
      <w:bookmarkEnd w:id="26777"/>
      <w:r>
        <w:rPr>
          <w:rFonts w:hint="cs"/>
          <w:rtl/>
        </w:rPr>
        <w:t xml:space="preserve">בתל </w:t>
      </w:r>
      <w:bookmarkStart w:id="26778" w:name="_ETM_Q45_325644"/>
      <w:bookmarkEnd w:id="26778"/>
      <w:r>
        <w:rPr>
          <w:rFonts w:hint="cs"/>
          <w:rtl/>
        </w:rPr>
        <w:t xml:space="preserve">אביב, </w:t>
      </w:r>
      <w:bookmarkStart w:id="26779" w:name="_ETM_Q45_325930"/>
      <w:bookmarkEnd w:id="26779"/>
      <w:r>
        <w:rPr>
          <w:rFonts w:hint="cs"/>
          <w:rtl/>
        </w:rPr>
        <w:t xml:space="preserve">בקפלן, </w:t>
      </w:r>
      <w:bookmarkStart w:id="26780" w:name="_ETM_Q45_326919"/>
      <w:bookmarkEnd w:id="26780"/>
      <w:r>
        <w:rPr>
          <w:rFonts w:hint="cs"/>
          <w:rtl/>
        </w:rPr>
        <w:t xml:space="preserve">עם </w:t>
      </w:r>
      <w:bookmarkStart w:id="26781" w:name="_ETM_Q45_327190"/>
      <w:bookmarkEnd w:id="26781"/>
      <w:r>
        <w:rPr>
          <w:rFonts w:hint="cs"/>
          <w:rtl/>
        </w:rPr>
        <w:t xml:space="preserve">הארונות </w:t>
      </w:r>
      <w:bookmarkStart w:id="26782" w:name="_ETM_Q45_327760"/>
      <w:bookmarkEnd w:id="26782"/>
      <w:r>
        <w:rPr>
          <w:rFonts w:hint="cs"/>
          <w:rtl/>
        </w:rPr>
        <w:t xml:space="preserve">הללו, </w:t>
      </w:r>
      <w:bookmarkStart w:id="26783" w:name="_ETM_Q45_329700"/>
      <w:bookmarkEnd w:id="26783"/>
      <w:r>
        <w:rPr>
          <w:rFonts w:hint="cs"/>
          <w:rtl/>
        </w:rPr>
        <w:t xml:space="preserve">להעלות </w:t>
      </w:r>
      <w:bookmarkStart w:id="26784" w:name="_ETM_Q45_330989"/>
      <w:bookmarkEnd w:id="26784"/>
      <w:r>
        <w:rPr>
          <w:rFonts w:hint="cs"/>
          <w:rtl/>
        </w:rPr>
        <w:t xml:space="preserve">את </w:t>
      </w:r>
      <w:bookmarkStart w:id="26785" w:name="_ETM_Q45_331230"/>
      <w:bookmarkEnd w:id="26785"/>
      <w:r>
        <w:rPr>
          <w:rFonts w:hint="cs"/>
          <w:rtl/>
        </w:rPr>
        <w:t xml:space="preserve">הסוגיה </w:t>
      </w:r>
      <w:bookmarkStart w:id="26786" w:name="_ETM_Q45_331650"/>
      <w:bookmarkEnd w:id="26786"/>
      <w:r>
        <w:rPr>
          <w:rFonts w:hint="cs"/>
          <w:rtl/>
        </w:rPr>
        <w:t xml:space="preserve">הזו </w:t>
      </w:r>
      <w:bookmarkStart w:id="26787" w:name="_ETM_Q45_332069"/>
      <w:bookmarkEnd w:id="26787"/>
      <w:r>
        <w:rPr>
          <w:rFonts w:hint="cs"/>
          <w:rtl/>
        </w:rPr>
        <w:t xml:space="preserve">בכל </w:t>
      </w:r>
      <w:bookmarkStart w:id="26788" w:name="_ETM_Q45_332519"/>
      <w:bookmarkEnd w:id="26788"/>
      <w:r>
        <w:rPr>
          <w:rFonts w:hint="cs"/>
          <w:rtl/>
        </w:rPr>
        <w:t xml:space="preserve">הכוח </w:t>
      </w:r>
      <w:bookmarkStart w:id="26789" w:name="_ETM_Q45_333860"/>
      <w:bookmarkEnd w:id="26789"/>
      <w:r>
        <w:rPr>
          <w:rFonts w:hint="cs"/>
          <w:rtl/>
        </w:rPr>
        <w:t xml:space="preserve">כחלק </w:t>
      </w:r>
      <w:bookmarkStart w:id="26790" w:name="_ETM_Q45_334700"/>
      <w:bookmarkEnd w:id="26790"/>
      <w:r>
        <w:rPr>
          <w:rFonts w:hint="cs"/>
          <w:rtl/>
        </w:rPr>
        <w:t xml:space="preserve">מהמאבק </w:t>
      </w:r>
      <w:bookmarkStart w:id="26791" w:name="_ETM_Q45_335690"/>
      <w:bookmarkEnd w:id="26791"/>
      <w:r>
        <w:rPr>
          <w:rFonts w:hint="cs"/>
          <w:rtl/>
        </w:rPr>
        <w:t xml:space="preserve">למען </w:t>
      </w:r>
      <w:bookmarkStart w:id="26792" w:name="_ETM_Q45_336169"/>
      <w:bookmarkEnd w:id="26792"/>
      <w:r>
        <w:rPr>
          <w:rFonts w:hint="cs"/>
          <w:rtl/>
        </w:rPr>
        <w:t>דמוקרטיה</w:t>
      </w:r>
      <w:r w:rsidR="00E33F55">
        <w:rPr>
          <w:rFonts w:hint="cs"/>
          <w:rtl/>
        </w:rPr>
        <w:t>.</w:t>
      </w:r>
      <w:r>
        <w:rPr>
          <w:rFonts w:hint="cs"/>
          <w:rtl/>
        </w:rPr>
        <w:t xml:space="preserve"> </w:t>
      </w:r>
      <w:bookmarkStart w:id="26793" w:name="_ETM_Q45_337639"/>
      <w:bookmarkEnd w:id="26793"/>
      <w:r>
        <w:rPr>
          <w:rFonts w:hint="cs"/>
          <w:rtl/>
        </w:rPr>
        <w:t xml:space="preserve">לקרוא </w:t>
      </w:r>
      <w:bookmarkStart w:id="26794" w:name="_ETM_Q45_338330"/>
      <w:bookmarkEnd w:id="26794"/>
      <w:r>
        <w:rPr>
          <w:rFonts w:hint="cs"/>
          <w:rtl/>
        </w:rPr>
        <w:t xml:space="preserve">למפגינים </w:t>
      </w:r>
      <w:bookmarkStart w:id="26795" w:name="_ETM_Q45_339620"/>
      <w:bookmarkEnd w:id="26795"/>
      <w:r>
        <w:rPr>
          <w:rFonts w:hint="cs"/>
          <w:rtl/>
        </w:rPr>
        <w:t>ל</w:t>
      </w:r>
      <w:bookmarkStart w:id="26796" w:name="_ETM_Q45_340000"/>
      <w:bookmarkEnd w:id="26796"/>
      <w:r>
        <w:rPr>
          <w:rFonts w:hint="cs"/>
          <w:rtl/>
        </w:rPr>
        <w:t xml:space="preserve">הצטרף </w:t>
      </w:r>
      <w:bookmarkStart w:id="26797" w:name="_ETM_Q45_340660"/>
      <w:bookmarkEnd w:id="26797"/>
      <w:r>
        <w:rPr>
          <w:rFonts w:hint="cs"/>
          <w:rtl/>
        </w:rPr>
        <w:t xml:space="preserve">אלינו </w:t>
      </w:r>
      <w:bookmarkStart w:id="26798" w:name="_ETM_Q45_342250"/>
      <w:bookmarkEnd w:id="26798"/>
      <w:r>
        <w:rPr>
          <w:rFonts w:hint="cs"/>
          <w:rtl/>
        </w:rPr>
        <w:t>ול</w:t>
      </w:r>
      <w:r w:rsidR="00E33F55">
        <w:rPr>
          <w:rFonts w:hint="cs"/>
          <w:rtl/>
        </w:rPr>
        <w:t>ה</w:t>
      </w:r>
      <w:r>
        <w:rPr>
          <w:rFonts w:hint="cs"/>
          <w:rtl/>
        </w:rPr>
        <w:t xml:space="preserve">ראות </w:t>
      </w:r>
      <w:bookmarkStart w:id="26799" w:name="_ETM_Q45_343879"/>
      <w:bookmarkStart w:id="26800" w:name="_ETM_Q45_344359"/>
      <w:bookmarkEnd w:id="26799"/>
      <w:bookmarkEnd w:id="26800"/>
      <w:r>
        <w:rPr>
          <w:rFonts w:hint="cs"/>
          <w:rtl/>
        </w:rPr>
        <w:t>שהפשיעה היא האנטיתזה</w:t>
      </w:r>
      <w:bookmarkStart w:id="26801" w:name="_ETM_Q45_345409"/>
      <w:bookmarkStart w:id="26802" w:name="_ETM_Q45_346010"/>
      <w:bookmarkStart w:id="26803" w:name="_ETM_Q45_346280"/>
      <w:bookmarkEnd w:id="26801"/>
      <w:bookmarkEnd w:id="26802"/>
      <w:bookmarkEnd w:id="26803"/>
      <w:r>
        <w:rPr>
          <w:rFonts w:hint="cs"/>
          <w:rtl/>
        </w:rPr>
        <w:t xml:space="preserve"> </w:t>
      </w:r>
      <w:bookmarkStart w:id="26804" w:name="_ETM_Q45_346489"/>
      <w:bookmarkEnd w:id="26804"/>
      <w:r>
        <w:rPr>
          <w:rFonts w:hint="cs"/>
          <w:rtl/>
        </w:rPr>
        <w:t>לדמוקרטיה.</w:t>
      </w:r>
      <w:bookmarkStart w:id="26805" w:name="_ETM_Q45_348409"/>
      <w:bookmarkEnd w:id="26805"/>
      <w:r>
        <w:rPr>
          <w:rFonts w:hint="cs"/>
          <w:rtl/>
        </w:rPr>
        <w:t xml:space="preserve"> כך </w:t>
      </w:r>
      <w:bookmarkStart w:id="26806" w:name="_ETM_Q45_348859"/>
      <w:bookmarkEnd w:id="26806"/>
      <w:r>
        <w:rPr>
          <w:rFonts w:hint="cs"/>
          <w:rtl/>
        </w:rPr>
        <w:t xml:space="preserve">אנחנו </w:t>
      </w:r>
      <w:bookmarkStart w:id="26807" w:name="_ETM_Q45_349340"/>
      <w:bookmarkStart w:id="26808" w:name="_ETM_Q45_349430"/>
      <w:bookmarkEnd w:id="26807"/>
      <w:bookmarkEnd w:id="26808"/>
      <w:r>
        <w:rPr>
          <w:rFonts w:hint="cs"/>
          <w:rtl/>
        </w:rPr>
        <w:t xml:space="preserve">יכולים </w:t>
      </w:r>
      <w:bookmarkStart w:id="26809" w:name="_ETM_Q45_349819"/>
      <w:bookmarkEnd w:id="26809"/>
      <w:r>
        <w:rPr>
          <w:rFonts w:hint="cs"/>
          <w:rtl/>
        </w:rPr>
        <w:t xml:space="preserve">לנהל </w:t>
      </w:r>
      <w:bookmarkStart w:id="26810" w:name="_ETM_Q45_350329"/>
      <w:bookmarkEnd w:id="26810"/>
      <w:r>
        <w:rPr>
          <w:rFonts w:hint="cs"/>
          <w:rtl/>
        </w:rPr>
        <w:t xml:space="preserve">מאבק </w:t>
      </w:r>
      <w:bookmarkStart w:id="26811" w:name="_ETM_Q45_350840"/>
      <w:bookmarkEnd w:id="26811"/>
      <w:r>
        <w:rPr>
          <w:rFonts w:hint="cs"/>
          <w:rtl/>
        </w:rPr>
        <w:t xml:space="preserve">משותף, </w:t>
      </w:r>
      <w:bookmarkStart w:id="26812" w:name="_ETM_Q45_351949"/>
      <w:bookmarkEnd w:id="26812"/>
      <w:r>
        <w:rPr>
          <w:rFonts w:hint="cs"/>
          <w:rtl/>
        </w:rPr>
        <w:t>יהודי</w:t>
      </w:r>
      <w:bookmarkStart w:id="26813" w:name="_ETM_Q45_352519"/>
      <w:bookmarkEnd w:id="26813"/>
      <w:r>
        <w:rPr>
          <w:rFonts w:hint="cs"/>
          <w:rtl/>
        </w:rPr>
        <w:t xml:space="preserve">-ערבי, </w:t>
      </w:r>
      <w:bookmarkStart w:id="26814" w:name="_ETM_Q45_353029"/>
      <w:bookmarkEnd w:id="26814"/>
      <w:r>
        <w:rPr>
          <w:rFonts w:hint="cs"/>
          <w:rtl/>
        </w:rPr>
        <w:t xml:space="preserve">למען </w:t>
      </w:r>
      <w:bookmarkStart w:id="26815" w:name="_ETM_Q45_353449"/>
      <w:bookmarkEnd w:id="26815"/>
      <w:r w:rsidR="00E33F55">
        <w:rPr>
          <w:rFonts w:hint="cs"/>
          <w:rtl/>
        </w:rPr>
        <w:t>ה</w:t>
      </w:r>
      <w:r>
        <w:rPr>
          <w:rFonts w:hint="cs"/>
          <w:rtl/>
        </w:rPr>
        <w:t>דמוקרטיה</w:t>
      </w:r>
      <w:r w:rsidR="00E33F55">
        <w:rPr>
          <w:rFonts w:hint="cs"/>
          <w:rtl/>
        </w:rPr>
        <w:t>,</w:t>
      </w:r>
      <w:r>
        <w:rPr>
          <w:rFonts w:hint="cs"/>
          <w:rtl/>
        </w:rPr>
        <w:t xml:space="preserve"> </w:t>
      </w:r>
      <w:bookmarkStart w:id="26816" w:name="_ETM_Q45_354709"/>
      <w:bookmarkEnd w:id="26816"/>
      <w:r>
        <w:rPr>
          <w:rFonts w:hint="cs"/>
          <w:rtl/>
        </w:rPr>
        <w:t>ש</w:t>
      </w:r>
      <w:bookmarkStart w:id="26817" w:name="_ETM_Q45_354980"/>
      <w:bookmarkEnd w:id="26817"/>
      <w:r>
        <w:rPr>
          <w:rFonts w:hint="cs"/>
          <w:rtl/>
        </w:rPr>
        <w:t xml:space="preserve">חלק </w:t>
      </w:r>
      <w:bookmarkStart w:id="26818" w:name="_ETM_Q45_355459"/>
      <w:bookmarkEnd w:id="26818"/>
      <w:r>
        <w:rPr>
          <w:rFonts w:hint="cs"/>
          <w:rtl/>
        </w:rPr>
        <w:t xml:space="preserve">בסיסי, </w:t>
      </w:r>
      <w:bookmarkStart w:id="26819" w:name="_ETM_Q45_356180"/>
      <w:bookmarkEnd w:id="26819"/>
      <w:r>
        <w:rPr>
          <w:rFonts w:hint="cs"/>
          <w:rtl/>
        </w:rPr>
        <w:t xml:space="preserve">אלמנטרי, </w:t>
      </w:r>
      <w:bookmarkStart w:id="26820" w:name="_ETM_Q45_357079"/>
      <w:bookmarkEnd w:id="26820"/>
      <w:r>
        <w:rPr>
          <w:rFonts w:hint="cs"/>
          <w:rtl/>
        </w:rPr>
        <w:t xml:space="preserve">קרדינלי </w:t>
      </w:r>
      <w:bookmarkStart w:id="26821" w:name="_ETM_Q45_357799"/>
      <w:bookmarkEnd w:id="26821"/>
      <w:r>
        <w:rPr>
          <w:rFonts w:hint="cs"/>
          <w:rtl/>
        </w:rPr>
        <w:t xml:space="preserve">ממנו </w:t>
      </w:r>
      <w:bookmarkStart w:id="26822" w:name="_ETM_Q45_358880"/>
      <w:bookmarkEnd w:id="26822"/>
      <w:r>
        <w:rPr>
          <w:rFonts w:hint="cs"/>
          <w:rtl/>
        </w:rPr>
        <w:t xml:space="preserve">הוא המאבק </w:t>
      </w:r>
      <w:bookmarkStart w:id="26823" w:name="_ETM_Q45_359720"/>
      <w:bookmarkEnd w:id="26823"/>
      <w:r>
        <w:rPr>
          <w:rFonts w:hint="cs"/>
          <w:rtl/>
        </w:rPr>
        <w:t xml:space="preserve">נגד </w:t>
      </w:r>
      <w:bookmarkStart w:id="26824" w:name="_ETM_Q45_360169"/>
      <w:bookmarkEnd w:id="26824"/>
      <w:r>
        <w:rPr>
          <w:rFonts w:hint="cs"/>
          <w:rtl/>
        </w:rPr>
        <w:t xml:space="preserve">הפשיעה </w:t>
      </w:r>
      <w:bookmarkStart w:id="26825" w:name="_ETM_Q45_361100"/>
      <w:bookmarkEnd w:id="26825"/>
      <w:r>
        <w:rPr>
          <w:rFonts w:hint="cs"/>
          <w:rtl/>
        </w:rPr>
        <w:t xml:space="preserve">בקרב </w:t>
      </w:r>
      <w:bookmarkStart w:id="26826" w:name="_ETM_Q45_361580"/>
      <w:bookmarkEnd w:id="26826"/>
      <w:r>
        <w:rPr>
          <w:rFonts w:hint="cs"/>
          <w:rtl/>
        </w:rPr>
        <w:t xml:space="preserve">האוכלוסייה </w:t>
      </w:r>
      <w:bookmarkStart w:id="26827" w:name="_ETM_Q45_362030"/>
      <w:bookmarkEnd w:id="26827"/>
      <w:r>
        <w:rPr>
          <w:rFonts w:hint="cs"/>
          <w:rtl/>
        </w:rPr>
        <w:t xml:space="preserve">הערבית. </w:t>
      </w:r>
      <w:bookmarkStart w:id="26828" w:name="_ETM_Q45_362950"/>
      <w:bookmarkEnd w:id="26828"/>
      <w:r>
        <w:rPr>
          <w:rFonts w:hint="cs"/>
          <w:rtl/>
        </w:rPr>
        <w:t xml:space="preserve">לכן </w:t>
      </w:r>
      <w:bookmarkStart w:id="26829" w:name="_ETM_Q45_363370"/>
      <w:bookmarkEnd w:id="26829"/>
      <w:r>
        <w:rPr>
          <w:rFonts w:hint="cs"/>
          <w:rtl/>
        </w:rPr>
        <w:t xml:space="preserve">אני </w:t>
      </w:r>
      <w:bookmarkStart w:id="26830" w:name="_ETM_Q45_363610"/>
      <w:bookmarkEnd w:id="26830"/>
      <w:r>
        <w:rPr>
          <w:rFonts w:hint="cs"/>
          <w:rtl/>
        </w:rPr>
        <w:t xml:space="preserve">קורא </w:t>
      </w:r>
      <w:bookmarkStart w:id="26831" w:name="_ETM_Q45_363879"/>
      <w:bookmarkEnd w:id="26831"/>
      <w:r>
        <w:rPr>
          <w:rFonts w:hint="cs"/>
          <w:rtl/>
        </w:rPr>
        <w:t xml:space="preserve">לציבור </w:t>
      </w:r>
      <w:bookmarkStart w:id="26832" w:name="_ETM_Q45_364329"/>
      <w:bookmarkEnd w:id="26832"/>
      <w:r>
        <w:rPr>
          <w:rFonts w:hint="cs"/>
          <w:rtl/>
        </w:rPr>
        <w:t>שלנו</w:t>
      </w:r>
      <w:bookmarkStart w:id="26833" w:name="_ETM_Q45_364900"/>
      <w:bookmarkEnd w:id="26833"/>
      <w:r>
        <w:rPr>
          <w:rFonts w:hint="cs"/>
          <w:rtl/>
        </w:rPr>
        <w:t xml:space="preserve">, לאוכלוסייה </w:t>
      </w:r>
      <w:bookmarkStart w:id="26834" w:name="_ETM_Q45_365439"/>
      <w:bookmarkEnd w:id="26834"/>
      <w:r>
        <w:rPr>
          <w:rFonts w:hint="cs"/>
          <w:rtl/>
        </w:rPr>
        <w:t xml:space="preserve">הערבית: (אומר דברים בשפה הערבית, להלן </w:t>
      </w:r>
      <w:bookmarkStart w:id="26835" w:name="_ETM_Q45_374748"/>
      <w:bookmarkEnd w:id="26835"/>
      <w:r>
        <w:rPr>
          <w:rFonts w:hint="cs"/>
          <w:rtl/>
        </w:rPr>
        <w:t>תרגומם: אני קורא לכם להשתתף ביוזמה הנהדרת והנפלאה שבה יש הרמת ארונות קבורה – 129 ארונות קבורה, והלוואי שלא יהיו יותר – בסוף השבוע בקפלן. עלינו להשתתף ולשלוט בהפגנה הפומבית בסיסמאות האיתנות והמרגשות שלנו. אנו קוראים לקהל המפגינים היהודי ואנו אומרים לו: דמוקרטיה משמעותה שנילחם נגד הפשע בתוך החברה הערבית</w:t>
      </w:r>
      <w:r w:rsidR="001B1096">
        <w:rPr>
          <w:rFonts w:hint="cs"/>
          <w:rtl/>
        </w:rPr>
        <w:t>.</w:t>
      </w:r>
      <w:r>
        <w:rPr>
          <w:rFonts w:hint="cs"/>
          <w:rtl/>
        </w:rPr>
        <w:t xml:space="preserve"> בואו למאבק יהודי-ערבי</w:t>
      </w:r>
      <w:r w:rsidR="00E33F55">
        <w:rPr>
          <w:rFonts w:hint="cs"/>
          <w:rtl/>
        </w:rPr>
        <w:t>,</w:t>
      </w:r>
      <w:r>
        <w:rPr>
          <w:rFonts w:hint="cs"/>
          <w:rtl/>
        </w:rPr>
        <w:t xml:space="preserve"> ערבי-יהודי</w:t>
      </w:r>
      <w:r w:rsidR="00E33F55">
        <w:rPr>
          <w:rFonts w:hint="cs"/>
          <w:rtl/>
        </w:rPr>
        <w:t>,</w:t>
      </w:r>
      <w:r>
        <w:rPr>
          <w:rFonts w:hint="cs"/>
          <w:rtl/>
        </w:rPr>
        <w:t xml:space="preserve"> משותף נגד הפשיעה בחברה הערבית. אנחנו נהיה בקפלן בסוף השבוע, ואני קורא לכולכם להגיע כדי להשתתף וכדי להשפיע. אתם צודקים, כל אדם שמתקשר אליי בנוגע לנושא הפשיעה – אתם צודקים. בואו ניאבק בכוח מעכשיו כדי לקשר את הנושא הזה עכשיו </w:t>
      </w:r>
      <w:r w:rsidR="001B1096">
        <w:rPr>
          <w:rFonts w:hint="cs"/>
          <w:rtl/>
        </w:rPr>
        <w:t>ל</w:t>
      </w:r>
      <w:r>
        <w:rPr>
          <w:rFonts w:hint="cs"/>
          <w:rtl/>
        </w:rPr>
        <w:t>מאבק למען הדמוקרטיה, שנושא הפשיעה יהיה נושא מרכזי.)</w:t>
      </w:r>
    </w:p>
    <w:p w:rsidR="00BB59CD" w:rsidRDefault="00BB59CD" w:rsidP="00BB59CD">
      <w:pPr>
        <w:rPr>
          <w:rtl/>
        </w:rPr>
      </w:pPr>
    </w:p>
    <w:p w:rsidR="00BB59CD" w:rsidRDefault="00BB59CD" w:rsidP="00BB59CD">
      <w:pPr>
        <w:pStyle w:val="af8"/>
        <w:keepNext/>
        <w:rPr>
          <w:rtl/>
        </w:rPr>
      </w:pPr>
      <w:bookmarkStart w:id="26836" w:name="_ETM_Q45_370474"/>
      <w:bookmarkStart w:id="26837" w:name="_ETM_Q45_370578"/>
      <w:bookmarkStart w:id="26838" w:name="_ETM_Q45_371611"/>
      <w:bookmarkStart w:id="26839" w:name="_ETM_Q45_371692"/>
      <w:bookmarkStart w:id="26840" w:name="_ETM_Q45_366310"/>
      <w:bookmarkStart w:id="26841" w:name="_ETM_Q45_417260"/>
      <w:bookmarkEnd w:id="26836"/>
      <w:bookmarkEnd w:id="26837"/>
      <w:bookmarkEnd w:id="26838"/>
      <w:bookmarkEnd w:id="26839"/>
      <w:bookmarkEnd w:id="26840"/>
      <w:bookmarkEnd w:id="2684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מה אמרת בעצם?</w:t>
      </w:r>
      <w:bookmarkStart w:id="26842" w:name="_ETM_Q45_428836"/>
      <w:bookmarkEnd w:id="26842"/>
    </w:p>
    <w:p w:rsidR="00BB59CD" w:rsidRDefault="00BB59CD" w:rsidP="00BB59CD">
      <w:pPr>
        <w:rPr>
          <w:rtl/>
        </w:rPr>
      </w:pPr>
      <w:bookmarkStart w:id="26843" w:name="_ETM_Q45_428910"/>
      <w:bookmarkEnd w:id="26843"/>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1B1096">
      <w:pPr>
        <w:rPr>
          <w:rtl/>
        </w:rPr>
      </w:pPr>
      <w:bookmarkStart w:id="26844" w:name="_ETM_Q45_428944"/>
      <w:bookmarkEnd w:id="26844"/>
      <w:r>
        <w:rPr>
          <w:rFonts w:hint="cs"/>
          <w:rtl/>
        </w:rPr>
        <w:t xml:space="preserve">תתרגם. אני מקווה שבערבית לא אמרת את מה שאמרת </w:t>
      </w:r>
      <w:r w:rsidR="001B1096">
        <w:rPr>
          <w:rFonts w:hint="cs"/>
          <w:rtl/>
        </w:rPr>
        <w:t xml:space="preserve">בעברית </w:t>
      </w:r>
      <w:r>
        <w:rPr>
          <w:rFonts w:hint="cs"/>
          <w:rtl/>
        </w:rPr>
        <w:t>– מרי אזרחי.</w:t>
      </w:r>
    </w:p>
    <w:p w:rsidR="00BB59CD" w:rsidRDefault="00BB59CD" w:rsidP="00BB59CD">
      <w:pPr>
        <w:rPr>
          <w:rtl/>
        </w:rPr>
      </w:pPr>
    </w:p>
    <w:p w:rsidR="00BB59CD" w:rsidRDefault="00BB59CD" w:rsidP="00BB59CD">
      <w:pPr>
        <w:pStyle w:val="af8"/>
        <w:keepNext/>
        <w:rPr>
          <w:rtl/>
        </w:rPr>
      </w:pPr>
      <w:bookmarkStart w:id="26845" w:name="ET_interruption_5264_25"/>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6845"/>
    </w:p>
    <w:p w:rsidR="00BB59CD" w:rsidRDefault="00BB59CD" w:rsidP="00337201">
      <w:pPr>
        <w:rPr>
          <w:rtl/>
        </w:rPr>
      </w:pPr>
    </w:p>
    <w:p w:rsidR="00BB59CD" w:rsidRDefault="00BB59CD" w:rsidP="00BB59CD">
      <w:pPr>
        <w:rPr>
          <w:rtl/>
        </w:rPr>
      </w:pPr>
      <w:r>
        <w:rPr>
          <w:rFonts w:hint="cs"/>
          <w:rtl/>
        </w:rPr>
        <w:t>הוא אמר בעברית ותרגם לערבית.</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6846" w:name="_ETM_Q45_432817"/>
      <w:bookmarkEnd w:id="26846"/>
      <w:r>
        <w:rPr>
          <w:rFonts w:hint="cs"/>
          <w:rtl/>
        </w:rPr>
        <w:t>אוקיי. תודה.</w:t>
      </w:r>
    </w:p>
    <w:p w:rsidR="00BB59CD" w:rsidRDefault="00BB59CD" w:rsidP="00BB59CD">
      <w:pPr>
        <w:rPr>
          <w:rtl/>
        </w:rPr>
      </w:pPr>
    </w:p>
    <w:p w:rsidR="00BB59CD" w:rsidRDefault="00BB59CD" w:rsidP="00BB59CD">
      <w:pPr>
        <w:pStyle w:val="-"/>
        <w:keepNext/>
        <w:rPr>
          <w:rtl/>
        </w:rPr>
      </w:pPr>
      <w:bookmarkStart w:id="26847" w:name="ET_speakercontinue_5293_23"/>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bookmarkEnd w:id="26847"/>
    </w:p>
    <w:p w:rsidR="00BB59CD" w:rsidRDefault="00BB59CD" w:rsidP="00337201">
      <w:pPr>
        <w:rPr>
          <w:rtl/>
        </w:rPr>
      </w:pPr>
    </w:p>
    <w:p w:rsidR="00BB59CD" w:rsidRDefault="00BB59CD" w:rsidP="00BB59CD">
      <w:pPr>
        <w:rPr>
          <w:rtl/>
        </w:rPr>
      </w:pPr>
      <w:bookmarkStart w:id="26848" w:name="_ETM_Q45_436370"/>
      <w:bookmarkEnd w:id="26848"/>
      <w:r>
        <w:rPr>
          <w:rFonts w:hint="cs"/>
          <w:rtl/>
        </w:rPr>
        <w:t xml:space="preserve">תודה </w:t>
      </w:r>
      <w:bookmarkStart w:id="26849" w:name="_ETM_Q45_436639"/>
      <w:bookmarkEnd w:id="26849"/>
      <w:r>
        <w:rPr>
          <w:rFonts w:hint="cs"/>
          <w:rtl/>
        </w:rPr>
        <w:t xml:space="preserve">רבה </w:t>
      </w:r>
      <w:bookmarkStart w:id="26850" w:name="_ETM_Q45_436850"/>
      <w:bookmarkEnd w:id="26850"/>
      <w:r>
        <w:rPr>
          <w:rFonts w:hint="cs"/>
          <w:rtl/>
        </w:rPr>
        <w:t>לכם.</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3B087F">
      <w:pPr>
        <w:rPr>
          <w:rtl/>
        </w:rPr>
      </w:pPr>
      <w:r>
        <w:rPr>
          <w:rFonts w:hint="cs"/>
          <w:rtl/>
        </w:rPr>
        <w:t xml:space="preserve"> </w:t>
      </w:r>
      <w:bookmarkStart w:id="26851" w:name="_ETM_Q45_437210"/>
      <w:bookmarkEnd w:id="26851"/>
      <w:r>
        <w:rPr>
          <w:rFonts w:hint="cs"/>
          <w:rtl/>
        </w:rPr>
        <w:t xml:space="preserve">זמנך </w:t>
      </w:r>
      <w:bookmarkStart w:id="26852" w:name="_ETM_Q45_437600"/>
      <w:bookmarkEnd w:id="26852"/>
      <w:r>
        <w:rPr>
          <w:rFonts w:hint="cs"/>
          <w:rtl/>
        </w:rPr>
        <w:t xml:space="preserve">הסתיים. </w:t>
      </w:r>
      <w:bookmarkStart w:id="26853" w:name="_ETM_Q45_438020"/>
      <w:bookmarkEnd w:id="26853"/>
      <w:r>
        <w:rPr>
          <w:rFonts w:hint="cs"/>
          <w:rtl/>
        </w:rPr>
        <w:t xml:space="preserve">הדוברת </w:t>
      </w:r>
      <w:bookmarkStart w:id="26854" w:name="_ETM_Q45_438410"/>
      <w:bookmarkEnd w:id="26854"/>
      <w:r>
        <w:rPr>
          <w:rFonts w:hint="cs"/>
          <w:rtl/>
        </w:rPr>
        <w:t>הבאה</w:t>
      </w:r>
      <w:bookmarkStart w:id="26855" w:name="_ETM_Q45_438650"/>
      <w:bookmarkEnd w:id="26855"/>
      <w:r w:rsidR="003B087F">
        <w:rPr>
          <w:rFonts w:hint="cs"/>
          <w:rtl/>
        </w:rPr>
        <w:t>,</w:t>
      </w:r>
      <w:r>
        <w:rPr>
          <w:rFonts w:hint="cs"/>
          <w:rtl/>
        </w:rPr>
        <w:t xml:space="preserve"> חברת </w:t>
      </w:r>
      <w:bookmarkStart w:id="26856" w:name="_ETM_Q45_438950"/>
      <w:bookmarkEnd w:id="26856"/>
      <w:r>
        <w:rPr>
          <w:rFonts w:hint="cs"/>
          <w:rtl/>
        </w:rPr>
        <w:t xml:space="preserve">הכנסת </w:t>
      </w:r>
      <w:bookmarkStart w:id="26857" w:name="_ETM_Q45_439520"/>
      <w:bookmarkEnd w:id="26857"/>
      <w:r>
        <w:rPr>
          <w:rFonts w:hint="cs"/>
          <w:rtl/>
        </w:rPr>
        <w:t xml:space="preserve">פנינה </w:t>
      </w:r>
      <w:bookmarkStart w:id="26858" w:name="_ETM_Q45_439820"/>
      <w:bookmarkEnd w:id="26858"/>
      <w:r>
        <w:rPr>
          <w:rFonts w:hint="cs"/>
          <w:rtl/>
        </w:rPr>
        <w:t>תמנו</w:t>
      </w:r>
      <w:bookmarkStart w:id="26859" w:name="_ETM_Q45_440360"/>
      <w:bookmarkEnd w:id="26859"/>
      <w:r>
        <w:rPr>
          <w:rFonts w:hint="cs"/>
          <w:rtl/>
        </w:rPr>
        <w:t xml:space="preserve">, בבקשה. </w:t>
      </w:r>
      <w:bookmarkStart w:id="26860" w:name="_ETM_Q45_442219"/>
      <w:bookmarkEnd w:id="26860"/>
      <w:r>
        <w:rPr>
          <w:rFonts w:hint="cs"/>
          <w:rtl/>
        </w:rPr>
        <w:t xml:space="preserve">את חברת ועדת האתיקה, נכון? חברת הכנסת, את בוועדת </w:t>
      </w:r>
      <w:bookmarkStart w:id="26861" w:name="_ETM_Q45_453277"/>
      <w:bookmarkEnd w:id="26861"/>
      <w:r>
        <w:rPr>
          <w:rFonts w:hint="cs"/>
          <w:rtl/>
        </w:rPr>
        <w:t>האתיקה, נכון? בבקשה, נשמע את דעתך. 20 דקות לרשותך, כמדומני.</w:t>
      </w:r>
    </w:p>
    <w:p w:rsidR="00BB59CD" w:rsidRDefault="00BB59CD" w:rsidP="00BB59CD">
      <w:pPr>
        <w:rPr>
          <w:rtl/>
        </w:rPr>
      </w:pPr>
      <w:bookmarkStart w:id="26862" w:name="_ETM_Q45_443124"/>
      <w:bookmarkEnd w:id="26862"/>
    </w:p>
    <w:p w:rsidR="00BB59CD" w:rsidRDefault="00BB59CD" w:rsidP="00BB59CD">
      <w:pPr>
        <w:pStyle w:val="a5"/>
        <w:keepNext/>
        <w:rPr>
          <w:rtl/>
        </w:rPr>
      </w:pPr>
      <w:bookmarkStart w:id="26863" w:name="ET_speaker_5115_28"/>
      <w:r>
        <w:rPr>
          <w:rStyle w:val="TagStyle"/>
          <w:rFonts w:hint="cs"/>
          <w:rtl/>
        </w:rPr>
        <w:t xml:space="preserve"> &lt;&lt; דובר &gt;&gt; </w:t>
      </w:r>
      <w:bookmarkStart w:id="26864" w:name="_Toc141197154"/>
      <w:bookmarkStart w:id="26865" w:name="_Toc141196890"/>
      <w:r>
        <w:rPr>
          <w:rFonts w:hint="cs"/>
          <w:rtl/>
        </w:rPr>
        <w:t>פנינה תמנו (המחנה הממלכתי):</w:t>
      </w:r>
      <w:bookmarkEnd w:id="26864"/>
      <w:bookmarkEnd w:id="26865"/>
      <w:r>
        <w:rPr>
          <w:rStyle w:val="TagStyle"/>
          <w:rFonts w:hint="cs"/>
          <w:rtl/>
        </w:rPr>
        <w:t xml:space="preserve"> &lt;&lt; דובר &gt;&gt;</w:t>
      </w:r>
      <w:r>
        <w:rPr>
          <w:rFonts w:hint="cs"/>
          <w:rtl/>
        </w:rPr>
        <w:t xml:space="preserve">   </w:t>
      </w:r>
      <w:bookmarkEnd w:id="26863"/>
    </w:p>
    <w:p w:rsidR="00BB59CD" w:rsidRDefault="00BB59CD" w:rsidP="00BB59CD">
      <w:pPr>
        <w:rPr>
          <w:rtl/>
        </w:rPr>
      </w:pPr>
      <w:bookmarkStart w:id="26866" w:name="_ETM_Q45_466250"/>
      <w:bookmarkEnd w:id="26866"/>
    </w:p>
    <w:p w:rsidR="00BB59CD" w:rsidRDefault="00BB59CD" w:rsidP="00BB59CD">
      <w:pPr>
        <w:rPr>
          <w:rtl/>
        </w:rPr>
      </w:pPr>
      <w:bookmarkStart w:id="26867" w:name="_ETM_Q45_472756"/>
      <w:bookmarkStart w:id="26868" w:name="_ETM_Q45_472801"/>
      <w:bookmarkEnd w:id="26867"/>
      <w:bookmarkEnd w:id="26868"/>
      <w:r>
        <w:rPr>
          <w:rFonts w:hint="cs"/>
          <w:rtl/>
        </w:rPr>
        <w:t xml:space="preserve">אכן </w:t>
      </w:r>
      <w:bookmarkStart w:id="26869" w:name="_ETM_Q45_468193"/>
      <w:bookmarkEnd w:id="26869"/>
      <w:r>
        <w:rPr>
          <w:rFonts w:hint="cs"/>
          <w:rtl/>
        </w:rPr>
        <w:t xml:space="preserve">20 </w:t>
      </w:r>
      <w:bookmarkStart w:id="26870" w:name="_ETM_Q45_466610"/>
      <w:bookmarkEnd w:id="26870"/>
      <w:r>
        <w:rPr>
          <w:rFonts w:hint="cs"/>
          <w:rtl/>
        </w:rPr>
        <w:t xml:space="preserve">דקות, </w:t>
      </w:r>
      <w:bookmarkStart w:id="26871" w:name="_ETM_Q45_467120"/>
      <w:bookmarkEnd w:id="26871"/>
      <w:r>
        <w:rPr>
          <w:rFonts w:hint="cs"/>
          <w:rtl/>
        </w:rPr>
        <w:t xml:space="preserve">אדוני. </w:t>
      </w:r>
      <w:bookmarkStart w:id="26872" w:name="_ETM_Q45_467720"/>
      <w:bookmarkStart w:id="26873" w:name="_ETM_Q45_475300"/>
      <w:bookmarkEnd w:id="26872"/>
      <w:bookmarkEnd w:id="26873"/>
      <w:r>
        <w:rPr>
          <w:rFonts w:hint="cs"/>
          <w:rtl/>
        </w:rPr>
        <w:t xml:space="preserve">אדוני </w:t>
      </w:r>
      <w:bookmarkStart w:id="26874" w:name="_ETM_Q45_475839"/>
      <w:bookmarkEnd w:id="26874"/>
      <w:r>
        <w:rPr>
          <w:rFonts w:hint="cs"/>
          <w:rtl/>
        </w:rPr>
        <w:t xml:space="preserve">היושב-ראש, </w:t>
      </w:r>
      <w:bookmarkStart w:id="26875" w:name="_ETM_Q45_477909"/>
      <w:bookmarkEnd w:id="26875"/>
      <w:r>
        <w:rPr>
          <w:rFonts w:hint="cs"/>
          <w:rtl/>
        </w:rPr>
        <w:t xml:space="preserve">חברות </w:t>
      </w:r>
      <w:bookmarkStart w:id="26876" w:name="_ETM_Q45_478330"/>
      <w:bookmarkEnd w:id="26876"/>
      <w:r>
        <w:rPr>
          <w:rFonts w:hint="cs"/>
          <w:rtl/>
        </w:rPr>
        <w:t xml:space="preserve">וחברי </w:t>
      </w:r>
      <w:bookmarkStart w:id="26877" w:name="_ETM_Q45_478779"/>
      <w:bookmarkEnd w:id="26877"/>
      <w:r>
        <w:rPr>
          <w:rFonts w:hint="cs"/>
          <w:rtl/>
        </w:rPr>
        <w:t xml:space="preserve">כנסת, </w:t>
      </w:r>
      <w:bookmarkStart w:id="26878" w:name="_ETM_Q45_480569"/>
      <w:bookmarkEnd w:id="26878"/>
      <w:r>
        <w:rPr>
          <w:rFonts w:hint="cs"/>
          <w:rtl/>
        </w:rPr>
        <w:t>מכובדיי</w:t>
      </w:r>
      <w:bookmarkStart w:id="26879" w:name="_ETM_Q45_480350"/>
      <w:bookmarkEnd w:id="26879"/>
      <w:r>
        <w:rPr>
          <w:rFonts w:hint="cs"/>
          <w:rtl/>
        </w:rPr>
        <w:t xml:space="preserve"> </w:t>
      </w:r>
      <w:bookmarkStart w:id="26880" w:name="_ETM_Q45_480919"/>
      <w:bookmarkEnd w:id="26880"/>
      <w:r>
        <w:rPr>
          <w:rFonts w:hint="cs"/>
          <w:rtl/>
        </w:rPr>
        <w:t xml:space="preserve">כולם, </w:t>
      </w:r>
      <w:bookmarkStart w:id="26881" w:name="_ETM_Q45_482830"/>
      <w:bookmarkEnd w:id="26881"/>
      <w:r>
        <w:rPr>
          <w:rFonts w:hint="cs"/>
          <w:rtl/>
        </w:rPr>
        <w:t xml:space="preserve">באחד </w:t>
      </w:r>
      <w:bookmarkStart w:id="26882" w:name="_ETM_Q45_483219"/>
      <w:bookmarkEnd w:id="26882"/>
      <w:r>
        <w:rPr>
          <w:rFonts w:hint="cs"/>
          <w:rtl/>
        </w:rPr>
        <w:t xml:space="preserve">הסיפורים </w:t>
      </w:r>
      <w:bookmarkStart w:id="26883" w:name="_ETM_Q45_483850"/>
      <w:bookmarkEnd w:id="26883"/>
      <w:r>
        <w:rPr>
          <w:rFonts w:hint="cs"/>
          <w:rtl/>
        </w:rPr>
        <w:t xml:space="preserve">המוכרים </w:t>
      </w:r>
      <w:bookmarkStart w:id="26884" w:name="_ETM_Q45_485749"/>
      <w:bookmarkEnd w:id="26884"/>
      <w:r>
        <w:rPr>
          <w:rFonts w:hint="cs"/>
          <w:rtl/>
        </w:rPr>
        <w:t xml:space="preserve">והמרגשים </w:t>
      </w:r>
      <w:bookmarkStart w:id="26885" w:name="_ETM_Q45_486559"/>
      <w:bookmarkEnd w:id="26885"/>
      <w:r>
        <w:rPr>
          <w:rFonts w:hint="cs"/>
          <w:rtl/>
        </w:rPr>
        <w:t xml:space="preserve">על עמנו – בחרתי </w:t>
      </w:r>
      <w:bookmarkStart w:id="26886" w:name="_ETM_Q45_487160"/>
      <w:bookmarkEnd w:id="26886"/>
      <w:r>
        <w:rPr>
          <w:rFonts w:hint="cs"/>
          <w:rtl/>
        </w:rPr>
        <w:t xml:space="preserve">לפתוח </w:t>
      </w:r>
      <w:bookmarkStart w:id="26887" w:name="_ETM_Q45_487580"/>
      <w:bookmarkStart w:id="26888" w:name="_ETM_Q45_487879"/>
      <w:bookmarkEnd w:id="26887"/>
      <w:bookmarkEnd w:id="26888"/>
      <w:r>
        <w:rPr>
          <w:rFonts w:hint="cs"/>
          <w:rtl/>
        </w:rPr>
        <w:t>בסיפור</w:t>
      </w:r>
      <w:bookmarkStart w:id="26889" w:name="_ETM_Q45_488420"/>
      <w:bookmarkEnd w:id="26889"/>
      <w:r>
        <w:rPr>
          <w:rFonts w:hint="cs"/>
          <w:rtl/>
        </w:rPr>
        <w:t xml:space="preserve"> הזה </w:t>
      </w:r>
      <w:bookmarkStart w:id="26890" w:name="_ETM_Q45_489589"/>
      <w:bookmarkEnd w:id="26890"/>
      <w:r>
        <w:rPr>
          <w:rFonts w:hint="cs"/>
          <w:rtl/>
        </w:rPr>
        <w:t xml:space="preserve">– מדובר </w:t>
      </w:r>
      <w:bookmarkStart w:id="26891" w:name="_ETM_Q45_490070"/>
      <w:bookmarkEnd w:id="26891"/>
      <w:r>
        <w:rPr>
          <w:rFonts w:hint="cs"/>
          <w:rtl/>
        </w:rPr>
        <w:t xml:space="preserve">על </w:t>
      </w:r>
      <w:bookmarkStart w:id="26892" w:name="_ETM_Q45_490429"/>
      <w:bookmarkEnd w:id="26892"/>
      <w:r>
        <w:rPr>
          <w:rFonts w:hint="cs"/>
          <w:rtl/>
        </w:rPr>
        <w:t xml:space="preserve">קיסר </w:t>
      </w:r>
      <w:bookmarkStart w:id="26893" w:name="_ETM_Q45_490789"/>
      <w:bookmarkEnd w:id="26893"/>
      <w:r>
        <w:rPr>
          <w:rFonts w:hint="cs"/>
          <w:rtl/>
        </w:rPr>
        <w:t xml:space="preserve">צרפת, </w:t>
      </w:r>
      <w:bookmarkStart w:id="26894" w:name="_ETM_Q45_491839"/>
      <w:bookmarkEnd w:id="26894"/>
      <w:r>
        <w:rPr>
          <w:rFonts w:hint="cs"/>
          <w:rtl/>
        </w:rPr>
        <w:t xml:space="preserve">המצביא הנודע </w:t>
      </w:r>
      <w:bookmarkStart w:id="26895" w:name="_ETM_Q45_493610"/>
      <w:bookmarkEnd w:id="26895"/>
      <w:r>
        <w:rPr>
          <w:rFonts w:hint="cs"/>
          <w:rtl/>
        </w:rPr>
        <w:t xml:space="preserve"> </w:t>
      </w:r>
      <w:bookmarkStart w:id="26896" w:name="_ETM_Q45_494150"/>
      <w:bookmarkEnd w:id="26896"/>
      <w:r>
        <w:rPr>
          <w:rFonts w:hint="cs"/>
          <w:rtl/>
        </w:rPr>
        <w:t xml:space="preserve">נפוליאון בונפרטה, </w:t>
      </w:r>
      <w:bookmarkStart w:id="26897" w:name="_ETM_Q45_495230"/>
      <w:bookmarkStart w:id="26898" w:name="_ETM_Q45_495469"/>
      <w:bookmarkStart w:id="26899" w:name="_ETM_Q45_496250"/>
      <w:bookmarkEnd w:id="26897"/>
      <w:bookmarkEnd w:id="26898"/>
      <w:bookmarkEnd w:id="26899"/>
      <w:r>
        <w:rPr>
          <w:rFonts w:hint="cs"/>
          <w:rtl/>
        </w:rPr>
        <w:t xml:space="preserve">שעבר </w:t>
      </w:r>
      <w:bookmarkStart w:id="26900" w:name="_ETM_Q45_496640"/>
      <w:bookmarkEnd w:id="26900"/>
      <w:r>
        <w:rPr>
          <w:rFonts w:hint="cs"/>
          <w:rtl/>
        </w:rPr>
        <w:t xml:space="preserve">בערב </w:t>
      </w:r>
      <w:bookmarkStart w:id="26901" w:name="_ETM_Q45_496910"/>
      <w:bookmarkEnd w:id="26901"/>
      <w:r>
        <w:rPr>
          <w:rFonts w:hint="cs"/>
          <w:rtl/>
        </w:rPr>
        <w:t xml:space="preserve">קיץ </w:t>
      </w:r>
      <w:bookmarkStart w:id="26902" w:name="_ETM_Q45_497210"/>
      <w:bookmarkEnd w:id="26902"/>
      <w:r>
        <w:rPr>
          <w:rFonts w:hint="cs"/>
          <w:rtl/>
        </w:rPr>
        <w:t xml:space="preserve">אחד </w:t>
      </w:r>
      <w:bookmarkStart w:id="26903" w:name="_ETM_Q45_497510"/>
      <w:bookmarkEnd w:id="26903"/>
      <w:r>
        <w:rPr>
          <w:rFonts w:hint="cs"/>
          <w:rtl/>
        </w:rPr>
        <w:t xml:space="preserve">במחוזות </w:t>
      </w:r>
      <w:bookmarkStart w:id="26904" w:name="_ETM_Q45_498140"/>
      <w:bookmarkEnd w:id="26904"/>
      <w:r>
        <w:rPr>
          <w:rFonts w:hint="cs"/>
          <w:rtl/>
        </w:rPr>
        <w:t xml:space="preserve">שהיו </w:t>
      </w:r>
      <w:bookmarkStart w:id="26905" w:name="_ETM_Q45_499210"/>
      <w:bookmarkEnd w:id="26905"/>
      <w:r>
        <w:rPr>
          <w:rFonts w:hint="cs"/>
          <w:rtl/>
        </w:rPr>
        <w:t xml:space="preserve">תחת </w:t>
      </w:r>
      <w:bookmarkStart w:id="26906" w:name="_ETM_Q45_499870"/>
      <w:bookmarkEnd w:id="26906"/>
      <w:r>
        <w:rPr>
          <w:rFonts w:hint="cs"/>
          <w:rtl/>
        </w:rPr>
        <w:t xml:space="preserve">שלטונו, </w:t>
      </w:r>
      <w:bookmarkStart w:id="26907" w:name="_ETM_Q45_501180"/>
      <w:bookmarkEnd w:id="26907"/>
      <w:r>
        <w:rPr>
          <w:rFonts w:hint="cs"/>
          <w:rtl/>
        </w:rPr>
        <w:t xml:space="preserve">ובין </w:t>
      </w:r>
      <w:bookmarkStart w:id="26908" w:name="_ETM_Q45_501510"/>
      <w:bookmarkEnd w:id="26908"/>
      <w:r>
        <w:rPr>
          <w:rFonts w:hint="cs"/>
          <w:rtl/>
        </w:rPr>
        <w:t xml:space="preserve">כל </w:t>
      </w:r>
      <w:bookmarkStart w:id="26909" w:name="_ETM_Q45_501720"/>
      <w:bookmarkEnd w:id="26909"/>
      <w:r>
        <w:rPr>
          <w:rFonts w:hint="cs"/>
          <w:rtl/>
        </w:rPr>
        <w:t xml:space="preserve">הבתים </w:t>
      </w:r>
      <w:bookmarkStart w:id="26910" w:name="_ETM_Q45_502080"/>
      <w:bookmarkEnd w:id="26910"/>
      <w:r>
        <w:rPr>
          <w:rFonts w:hint="cs"/>
          <w:rtl/>
        </w:rPr>
        <w:t xml:space="preserve">שמסביבו </w:t>
      </w:r>
      <w:bookmarkStart w:id="26911" w:name="_ETM_Q45_503220"/>
      <w:bookmarkEnd w:id="26911"/>
      <w:r>
        <w:rPr>
          <w:rFonts w:hint="cs"/>
          <w:rtl/>
        </w:rPr>
        <w:t xml:space="preserve">הוא </w:t>
      </w:r>
      <w:bookmarkStart w:id="26912" w:name="_ETM_Q45_503310"/>
      <w:bookmarkEnd w:id="26912"/>
      <w:r>
        <w:rPr>
          <w:rFonts w:hint="cs"/>
          <w:rtl/>
        </w:rPr>
        <w:t xml:space="preserve">שם </w:t>
      </w:r>
      <w:bookmarkStart w:id="26913" w:name="_ETM_Q45_503550"/>
      <w:bookmarkEnd w:id="26913"/>
      <w:r>
        <w:rPr>
          <w:rFonts w:hint="cs"/>
          <w:rtl/>
        </w:rPr>
        <w:t xml:space="preserve">לב </w:t>
      </w:r>
      <w:bookmarkStart w:id="26914" w:name="_ETM_Q45_503730"/>
      <w:bookmarkEnd w:id="26914"/>
      <w:r>
        <w:rPr>
          <w:rFonts w:hint="cs"/>
          <w:rtl/>
        </w:rPr>
        <w:t xml:space="preserve">לבית </w:t>
      </w:r>
      <w:bookmarkStart w:id="26915" w:name="_ETM_Q45_504180"/>
      <w:bookmarkEnd w:id="26915"/>
      <w:r>
        <w:rPr>
          <w:rFonts w:hint="cs"/>
          <w:rtl/>
        </w:rPr>
        <w:t xml:space="preserve">אחד </w:t>
      </w:r>
      <w:bookmarkStart w:id="26916" w:name="_ETM_Q45_504390"/>
      <w:bookmarkEnd w:id="26916"/>
      <w:r>
        <w:rPr>
          <w:rFonts w:hint="cs"/>
          <w:rtl/>
        </w:rPr>
        <w:t xml:space="preserve">שהיה </w:t>
      </w:r>
      <w:bookmarkStart w:id="26917" w:name="_ETM_Q45_504600"/>
      <w:bookmarkEnd w:id="26917"/>
      <w:r>
        <w:rPr>
          <w:rFonts w:hint="cs"/>
          <w:rtl/>
        </w:rPr>
        <w:t xml:space="preserve">שונה </w:t>
      </w:r>
      <w:bookmarkStart w:id="26918" w:name="_ETM_Q45_504930"/>
      <w:bookmarkEnd w:id="26918"/>
      <w:r>
        <w:rPr>
          <w:rFonts w:hint="cs"/>
          <w:rtl/>
        </w:rPr>
        <w:t xml:space="preserve">מהשאר </w:t>
      </w:r>
      <w:bookmarkStart w:id="26919" w:name="_ETM_Q45_505650"/>
      <w:bookmarkEnd w:id="26919"/>
      <w:r>
        <w:rPr>
          <w:rFonts w:hint="cs"/>
          <w:rtl/>
        </w:rPr>
        <w:t xml:space="preserve">וממנו </w:t>
      </w:r>
      <w:bookmarkStart w:id="26920" w:name="_ETM_Q45_506160"/>
      <w:bookmarkEnd w:id="26920"/>
      <w:r>
        <w:rPr>
          <w:rFonts w:hint="cs"/>
          <w:rtl/>
        </w:rPr>
        <w:t xml:space="preserve">בוקע </w:t>
      </w:r>
      <w:bookmarkStart w:id="26921" w:name="_ETM_Q45_506610"/>
      <w:bookmarkEnd w:id="26921"/>
      <w:r>
        <w:rPr>
          <w:rFonts w:hint="cs"/>
          <w:rtl/>
        </w:rPr>
        <w:t xml:space="preserve">אור </w:t>
      </w:r>
      <w:bookmarkStart w:id="26922" w:name="_ETM_Q45_506820"/>
      <w:bookmarkEnd w:id="26922"/>
      <w:r>
        <w:rPr>
          <w:rFonts w:hint="cs"/>
          <w:rtl/>
        </w:rPr>
        <w:t xml:space="preserve">קטן, </w:t>
      </w:r>
      <w:bookmarkStart w:id="26923" w:name="_ETM_Q45_508110"/>
      <w:bookmarkEnd w:id="26923"/>
      <w:r>
        <w:rPr>
          <w:rFonts w:hint="cs"/>
          <w:rtl/>
        </w:rPr>
        <w:t xml:space="preserve">בית כנסת </w:t>
      </w:r>
      <w:bookmarkStart w:id="26924" w:name="_ETM_Q45_509539"/>
      <w:bookmarkEnd w:id="26924"/>
      <w:r>
        <w:rPr>
          <w:rFonts w:hint="cs"/>
          <w:rtl/>
        </w:rPr>
        <w:t xml:space="preserve">מקומי. </w:t>
      </w:r>
      <w:bookmarkStart w:id="26925" w:name="_ETM_Q45_510409"/>
      <w:bookmarkEnd w:id="26925"/>
      <w:r>
        <w:rPr>
          <w:rFonts w:hint="cs"/>
          <w:rtl/>
        </w:rPr>
        <w:t xml:space="preserve">נפוליאון </w:t>
      </w:r>
      <w:bookmarkStart w:id="26926" w:name="_ETM_Q45_510890"/>
      <w:bookmarkEnd w:id="26926"/>
      <w:r>
        <w:rPr>
          <w:rFonts w:hint="cs"/>
          <w:rtl/>
        </w:rPr>
        <w:t xml:space="preserve">הביט </w:t>
      </w:r>
      <w:bookmarkStart w:id="26927" w:name="_ETM_Q45_511160"/>
      <w:bookmarkEnd w:id="26927"/>
      <w:r>
        <w:rPr>
          <w:rFonts w:hint="cs"/>
          <w:rtl/>
        </w:rPr>
        <w:t xml:space="preserve">פנימה </w:t>
      </w:r>
      <w:bookmarkStart w:id="26928" w:name="_ETM_Q45_512430"/>
      <w:bookmarkEnd w:id="26928"/>
      <w:r>
        <w:rPr>
          <w:rFonts w:hint="cs"/>
          <w:rtl/>
        </w:rPr>
        <w:t xml:space="preserve">וראה </w:t>
      </w:r>
      <w:bookmarkStart w:id="26929" w:name="_ETM_Q45_512879"/>
      <w:bookmarkEnd w:id="26929"/>
      <w:r>
        <w:rPr>
          <w:rFonts w:hint="cs"/>
          <w:rtl/>
        </w:rPr>
        <w:t xml:space="preserve">קבוצת </w:t>
      </w:r>
      <w:bookmarkStart w:id="26930" w:name="_ETM_Q45_513390"/>
      <w:bookmarkEnd w:id="26930"/>
      <w:r>
        <w:rPr>
          <w:rFonts w:hint="cs"/>
          <w:rtl/>
        </w:rPr>
        <w:t xml:space="preserve">אנשים </w:t>
      </w:r>
      <w:bookmarkStart w:id="26931" w:name="_ETM_Q45_514420"/>
      <w:bookmarkEnd w:id="26931"/>
      <w:r>
        <w:rPr>
          <w:rFonts w:hint="cs"/>
          <w:rtl/>
        </w:rPr>
        <w:t xml:space="preserve">גדולה </w:t>
      </w:r>
      <w:bookmarkStart w:id="26932" w:name="_ETM_Q45_514960"/>
      <w:bookmarkEnd w:id="26932"/>
      <w:r>
        <w:rPr>
          <w:rFonts w:hint="cs"/>
          <w:rtl/>
        </w:rPr>
        <w:t xml:space="preserve">בגילים </w:t>
      </w:r>
      <w:bookmarkStart w:id="26933" w:name="_ETM_Q45_515500"/>
      <w:bookmarkEnd w:id="26933"/>
      <w:r>
        <w:rPr>
          <w:rFonts w:hint="cs"/>
          <w:rtl/>
        </w:rPr>
        <w:t xml:space="preserve">שונים </w:t>
      </w:r>
      <w:bookmarkStart w:id="26934" w:name="_ETM_Q45_516589"/>
      <w:bookmarkEnd w:id="26934"/>
      <w:r>
        <w:rPr>
          <w:rFonts w:hint="cs"/>
          <w:rtl/>
        </w:rPr>
        <w:t xml:space="preserve">יושבים </w:t>
      </w:r>
      <w:bookmarkStart w:id="26935" w:name="_ETM_Q45_517039"/>
      <w:bookmarkEnd w:id="26935"/>
      <w:r>
        <w:rPr>
          <w:rFonts w:hint="cs"/>
          <w:rtl/>
        </w:rPr>
        <w:t xml:space="preserve">על </w:t>
      </w:r>
      <w:bookmarkStart w:id="26936" w:name="_ETM_Q45_517129"/>
      <w:bookmarkEnd w:id="26936"/>
      <w:r>
        <w:rPr>
          <w:rFonts w:hint="cs"/>
          <w:rtl/>
        </w:rPr>
        <w:t xml:space="preserve">רצפת </w:t>
      </w:r>
      <w:bookmarkStart w:id="26937" w:name="_ETM_Q45_517610"/>
      <w:bookmarkEnd w:id="26937"/>
      <w:r>
        <w:rPr>
          <w:rFonts w:hint="cs"/>
          <w:rtl/>
        </w:rPr>
        <w:t xml:space="preserve">בית </w:t>
      </w:r>
      <w:bookmarkStart w:id="26938" w:name="_ETM_Q45_517820"/>
      <w:bookmarkEnd w:id="26938"/>
      <w:r>
        <w:rPr>
          <w:rFonts w:hint="cs"/>
          <w:rtl/>
        </w:rPr>
        <w:t xml:space="preserve">הכנסת, </w:t>
      </w:r>
      <w:bookmarkStart w:id="26939" w:name="_ETM_Q45_518900"/>
      <w:bookmarkEnd w:id="26939"/>
      <w:r>
        <w:rPr>
          <w:rFonts w:hint="cs"/>
          <w:rtl/>
        </w:rPr>
        <w:t xml:space="preserve">קוראים </w:t>
      </w:r>
      <w:bookmarkStart w:id="26940" w:name="_ETM_Q45_519440"/>
      <w:bookmarkEnd w:id="26940"/>
      <w:r>
        <w:rPr>
          <w:rFonts w:hint="cs"/>
          <w:rtl/>
        </w:rPr>
        <w:t xml:space="preserve">בספרים </w:t>
      </w:r>
      <w:bookmarkStart w:id="26941" w:name="_ETM_Q45_519950"/>
      <w:bookmarkEnd w:id="26941"/>
      <w:r>
        <w:rPr>
          <w:rFonts w:hint="cs"/>
          <w:rtl/>
        </w:rPr>
        <w:t xml:space="preserve">לאור </w:t>
      </w:r>
      <w:bookmarkStart w:id="26942" w:name="_ETM_Q45_520250"/>
      <w:bookmarkEnd w:id="26942"/>
      <w:r>
        <w:rPr>
          <w:rFonts w:hint="cs"/>
          <w:rtl/>
        </w:rPr>
        <w:t xml:space="preserve">נרות </w:t>
      </w:r>
      <w:bookmarkStart w:id="26943" w:name="_ETM_Q45_520700"/>
      <w:bookmarkEnd w:id="26943"/>
      <w:r>
        <w:rPr>
          <w:rFonts w:hint="cs"/>
          <w:rtl/>
        </w:rPr>
        <w:t>ומקוננים</w:t>
      </w:r>
      <w:r w:rsidR="003B087F">
        <w:rPr>
          <w:rFonts w:hint="cs"/>
          <w:rtl/>
        </w:rPr>
        <w:t>,</w:t>
      </w:r>
      <w:r>
        <w:rPr>
          <w:rFonts w:hint="cs"/>
          <w:rtl/>
        </w:rPr>
        <w:t xml:space="preserve"> </w:t>
      </w:r>
      <w:bookmarkStart w:id="26944" w:name="_ETM_Q45_521779"/>
      <w:bookmarkEnd w:id="26944"/>
      <w:r>
        <w:rPr>
          <w:rFonts w:hint="cs"/>
          <w:rtl/>
        </w:rPr>
        <w:t xml:space="preserve">בבכי. </w:t>
      </w:r>
      <w:bookmarkStart w:id="26945" w:name="_ETM_Q45_523270"/>
      <w:bookmarkEnd w:id="26945"/>
      <w:r>
        <w:rPr>
          <w:rFonts w:hint="cs"/>
          <w:rtl/>
        </w:rPr>
        <w:t xml:space="preserve">מתוך </w:t>
      </w:r>
      <w:bookmarkStart w:id="26946" w:name="_ETM_Q45_523570"/>
      <w:bookmarkEnd w:id="26946"/>
      <w:r>
        <w:rPr>
          <w:rFonts w:hint="cs"/>
          <w:rtl/>
        </w:rPr>
        <w:t xml:space="preserve">סקרנות </w:t>
      </w:r>
      <w:bookmarkStart w:id="26947" w:name="_ETM_Q45_524110"/>
      <w:bookmarkEnd w:id="26947"/>
      <w:r>
        <w:rPr>
          <w:rFonts w:hint="cs"/>
          <w:rtl/>
        </w:rPr>
        <w:t xml:space="preserve">למראה </w:t>
      </w:r>
      <w:bookmarkStart w:id="26948" w:name="_ETM_Q45_524500"/>
      <w:bookmarkEnd w:id="26948"/>
      <w:r>
        <w:rPr>
          <w:rFonts w:hint="cs"/>
          <w:rtl/>
        </w:rPr>
        <w:t>הבלתי</w:t>
      </w:r>
      <w:bookmarkStart w:id="26949" w:name="_ETM_Q45_524890"/>
      <w:bookmarkEnd w:id="26949"/>
      <w:r>
        <w:rPr>
          <w:rFonts w:hint="cs"/>
          <w:rtl/>
        </w:rPr>
        <w:t xml:space="preserve">-שגרתי </w:t>
      </w:r>
      <w:bookmarkStart w:id="26950" w:name="_ETM_Q45_525460"/>
      <w:bookmarkEnd w:id="26950"/>
      <w:r>
        <w:rPr>
          <w:rFonts w:hint="cs"/>
          <w:rtl/>
        </w:rPr>
        <w:t xml:space="preserve">שאל </w:t>
      </w:r>
      <w:bookmarkStart w:id="26951" w:name="_ETM_Q45_526240"/>
      <w:bookmarkEnd w:id="26951"/>
      <w:r>
        <w:rPr>
          <w:rFonts w:hint="cs"/>
          <w:rtl/>
        </w:rPr>
        <w:t xml:space="preserve">נפוליאון </w:t>
      </w:r>
      <w:bookmarkStart w:id="26952" w:name="_ETM_Q45_527020"/>
      <w:bookmarkEnd w:id="26952"/>
      <w:r>
        <w:rPr>
          <w:rFonts w:hint="cs"/>
          <w:rtl/>
        </w:rPr>
        <w:t xml:space="preserve">לפשר </w:t>
      </w:r>
      <w:bookmarkStart w:id="26953" w:name="_ETM_Q45_527529"/>
      <w:bookmarkEnd w:id="26953"/>
      <w:r>
        <w:rPr>
          <w:rFonts w:hint="cs"/>
          <w:rtl/>
        </w:rPr>
        <w:t xml:space="preserve">הבכי </w:t>
      </w:r>
      <w:bookmarkStart w:id="26954" w:name="_ETM_Q45_528000"/>
      <w:bookmarkEnd w:id="26954"/>
      <w:r>
        <w:rPr>
          <w:rFonts w:hint="cs"/>
          <w:rtl/>
        </w:rPr>
        <w:t>והנהי.</w:t>
      </w:r>
      <w:bookmarkStart w:id="26955" w:name="_ETM_Q45_529260"/>
      <w:bookmarkStart w:id="26956" w:name="_ETM_Q45_529589"/>
      <w:bookmarkStart w:id="26957" w:name="_ETM_Q45_529710"/>
      <w:bookmarkEnd w:id="26955"/>
      <w:bookmarkEnd w:id="26956"/>
      <w:bookmarkEnd w:id="26957"/>
      <w:r>
        <w:rPr>
          <w:rFonts w:hint="cs"/>
          <w:rtl/>
        </w:rPr>
        <w:t xml:space="preserve"> ענה </w:t>
      </w:r>
      <w:bookmarkStart w:id="26958" w:name="_ETM_Q45_530754"/>
      <w:bookmarkEnd w:id="26958"/>
      <w:r>
        <w:rPr>
          <w:rFonts w:hint="cs"/>
          <w:rtl/>
        </w:rPr>
        <w:t xml:space="preserve">לו אחד </w:t>
      </w:r>
      <w:bookmarkStart w:id="26959" w:name="_ETM_Q45_530010"/>
      <w:bookmarkEnd w:id="26959"/>
      <w:r>
        <w:rPr>
          <w:rFonts w:hint="cs"/>
          <w:rtl/>
        </w:rPr>
        <w:t xml:space="preserve">היהודים </w:t>
      </w:r>
      <w:bookmarkStart w:id="26960" w:name="_ETM_Q45_530640"/>
      <w:bookmarkEnd w:id="26960"/>
      <w:r>
        <w:rPr>
          <w:rFonts w:hint="cs"/>
          <w:rtl/>
        </w:rPr>
        <w:t xml:space="preserve">במקום: </w:t>
      </w:r>
      <w:bookmarkStart w:id="26961" w:name="_ETM_Q45_531799"/>
      <w:bookmarkEnd w:id="26961"/>
      <w:r>
        <w:rPr>
          <w:rFonts w:hint="cs"/>
          <w:rtl/>
        </w:rPr>
        <w:t xml:space="preserve">היום </w:t>
      </w:r>
      <w:bookmarkStart w:id="26962" w:name="_ETM_Q45_532429"/>
      <w:bookmarkEnd w:id="26962"/>
      <w:r>
        <w:rPr>
          <w:rFonts w:hint="cs"/>
          <w:rtl/>
        </w:rPr>
        <w:t>הוא</w:t>
      </w:r>
      <w:bookmarkStart w:id="26963" w:name="_ETM_Q45_532549"/>
      <w:bookmarkEnd w:id="26963"/>
      <w:r>
        <w:rPr>
          <w:rFonts w:hint="cs"/>
          <w:rtl/>
        </w:rPr>
        <w:t xml:space="preserve"> תשעה </w:t>
      </w:r>
      <w:bookmarkStart w:id="26964" w:name="_ETM_Q45_532999"/>
      <w:bookmarkEnd w:id="26964"/>
      <w:r>
        <w:rPr>
          <w:rFonts w:hint="cs"/>
          <w:rtl/>
        </w:rPr>
        <w:t xml:space="preserve">באב, </w:t>
      </w:r>
      <w:bookmarkStart w:id="26965" w:name="_ETM_Q45_533659"/>
      <w:bookmarkEnd w:id="26965"/>
      <w:r>
        <w:rPr>
          <w:rFonts w:hint="cs"/>
          <w:rtl/>
        </w:rPr>
        <w:t xml:space="preserve">שבו </w:t>
      </w:r>
      <w:bookmarkStart w:id="26966" w:name="_ETM_Q45_534019"/>
      <w:bookmarkEnd w:id="26966"/>
      <w:r>
        <w:rPr>
          <w:rFonts w:hint="cs"/>
          <w:rtl/>
        </w:rPr>
        <w:t xml:space="preserve">התנהלה </w:t>
      </w:r>
      <w:bookmarkStart w:id="26967" w:name="_ETM_Q45_534409"/>
      <w:bookmarkEnd w:id="26967"/>
      <w:r>
        <w:rPr>
          <w:rFonts w:hint="cs"/>
          <w:rtl/>
        </w:rPr>
        <w:t xml:space="preserve">מלחמה </w:t>
      </w:r>
      <w:bookmarkStart w:id="26968" w:name="_ETM_Q45_534920"/>
      <w:bookmarkEnd w:id="26968"/>
      <w:r>
        <w:rPr>
          <w:rFonts w:hint="cs"/>
          <w:rtl/>
        </w:rPr>
        <w:t xml:space="preserve">נוראית </w:t>
      </w:r>
      <w:bookmarkStart w:id="26969" w:name="_ETM_Q45_535639"/>
      <w:bookmarkEnd w:id="26969"/>
      <w:r>
        <w:rPr>
          <w:rFonts w:hint="cs"/>
          <w:rtl/>
        </w:rPr>
        <w:t xml:space="preserve">אשר </w:t>
      </w:r>
      <w:bookmarkStart w:id="26970" w:name="_ETM_Q45_535999"/>
      <w:bookmarkEnd w:id="26970"/>
      <w:r>
        <w:rPr>
          <w:rFonts w:hint="cs"/>
          <w:rtl/>
        </w:rPr>
        <w:t xml:space="preserve">בסופה </w:t>
      </w:r>
      <w:bookmarkStart w:id="26971" w:name="_ETM_Q45_537480"/>
      <w:bookmarkEnd w:id="26971"/>
      <w:r>
        <w:rPr>
          <w:rFonts w:hint="cs"/>
          <w:rtl/>
        </w:rPr>
        <w:t xml:space="preserve">מקדשנו, </w:t>
      </w:r>
      <w:bookmarkStart w:id="26972" w:name="_ETM_Q45_539239"/>
      <w:bookmarkEnd w:id="26972"/>
      <w:r>
        <w:rPr>
          <w:rFonts w:hint="cs"/>
          <w:rtl/>
        </w:rPr>
        <w:t xml:space="preserve">ביתנו, </w:t>
      </w:r>
      <w:bookmarkStart w:id="26973" w:name="_ETM_Q45_539960"/>
      <w:bookmarkEnd w:id="26973"/>
      <w:r>
        <w:rPr>
          <w:rFonts w:hint="cs"/>
          <w:rtl/>
        </w:rPr>
        <w:t xml:space="preserve">בית </w:t>
      </w:r>
      <w:bookmarkStart w:id="26974" w:name="_ETM_Q45_540199"/>
      <w:bookmarkEnd w:id="26974"/>
      <w:r>
        <w:rPr>
          <w:rFonts w:hint="cs"/>
          <w:rtl/>
        </w:rPr>
        <w:t xml:space="preserve">התפילה </w:t>
      </w:r>
      <w:bookmarkStart w:id="26975" w:name="_ETM_Q45_540559"/>
      <w:bookmarkEnd w:id="26975"/>
      <w:r>
        <w:rPr>
          <w:rFonts w:hint="cs"/>
          <w:rtl/>
        </w:rPr>
        <w:t xml:space="preserve">שהחזיק </w:t>
      </w:r>
      <w:bookmarkStart w:id="26976" w:name="_ETM_Q45_540980"/>
      <w:bookmarkEnd w:id="26976"/>
      <w:r>
        <w:rPr>
          <w:rFonts w:hint="cs"/>
          <w:rtl/>
        </w:rPr>
        <w:t xml:space="preserve">וחיזק </w:t>
      </w:r>
      <w:bookmarkStart w:id="26977" w:name="_ETM_Q45_541399"/>
      <w:bookmarkEnd w:id="26977"/>
      <w:r>
        <w:rPr>
          <w:rFonts w:hint="cs"/>
          <w:rtl/>
        </w:rPr>
        <w:t xml:space="preserve">את </w:t>
      </w:r>
      <w:bookmarkStart w:id="26978" w:name="_ETM_Q45_541519"/>
      <w:bookmarkEnd w:id="26978"/>
      <w:r>
        <w:rPr>
          <w:rFonts w:hint="cs"/>
          <w:rtl/>
        </w:rPr>
        <w:t xml:space="preserve">כל </w:t>
      </w:r>
      <w:bookmarkStart w:id="26979" w:name="_ETM_Q45_541699"/>
      <w:bookmarkEnd w:id="26979"/>
      <w:r>
        <w:rPr>
          <w:rFonts w:hint="cs"/>
          <w:rtl/>
        </w:rPr>
        <w:t xml:space="preserve">היהודים, </w:t>
      </w:r>
      <w:bookmarkStart w:id="26980" w:name="_ETM_Q45_542149"/>
      <w:bookmarkEnd w:id="26980"/>
      <w:r>
        <w:rPr>
          <w:rFonts w:hint="cs"/>
          <w:rtl/>
        </w:rPr>
        <w:t xml:space="preserve">נכבש, </w:t>
      </w:r>
      <w:bookmarkStart w:id="26981" w:name="_ETM_Q45_542989"/>
      <w:bookmarkEnd w:id="26981"/>
      <w:r>
        <w:rPr>
          <w:rFonts w:hint="cs"/>
          <w:rtl/>
        </w:rPr>
        <w:t xml:space="preserve">נשרף </w:t>
      </w:r>
      <w:bookmarkStart w:id="26982" w:name="_ETM_Q45_543920"/>
      <w:bookmarkEnd w:id="26982"/>
      <w:r>
        <w:rPr>
          <w:rFonts w:hint="cs"/>
          <w:rtl/>
        </w:rPr>
        <w:t xml:space="preserve">ונחרב. </w:t>
      </w:r>
      <w:bookmarkStart w:id="26983" w:name="_ETM_Q45_545330"/>
      <w:bookmarkEnd w:id="26983"/>
      <w:r>
        <w:rPr>
          <w:rFonts w:hint="cs"/>
          <w:rtl/>
        </w:rPr>
        <w:t xml:space="preserve">על כך </w:t>
      </w:r>
      <w:bookmarkStart w:id="26984" w:name="_ETM_Q45_546229"/>
      <w:bookmarkEnd w:id="26984"/>
      <w:r>
        <w:rPr>
          <w:rFonts w:hint="cs"/>
          <w:rtl/>
        </w:rPr>
        <w:t xml:space="preserve">אנו </w:t>
      </w:r>
      <w:bookmarkStart w:id="26985" w:name="_ETM_Q45_546560"/>
      <w:bookmarkEnd w:id="26985"/>
      <w:r>
        <w:rPr>
          <w:rFonts w:hint="cs"/>
          <w:rtl/>
        </w:rPr>
        <w:t xml:space="preserve">עצובים </w:t>
      </w:r>
      <w:bookmarkStart w:id="26986" w:name="_ETM_Q45_547070"/>
      <w:bookmarkEnd w:id="26986"/>
      <w:r>
        <w:rPr>
          <w:rFonts w:hint="cs"/>
          <w:rtl/>
        </w:rPr>
        <w:t xml:space="preserve">ובוכים. </w:t>
      </w:r>
      <w:bookmarkStart w:id="26987" w:name="_ETM_Q45_548579"/>
      <w:bookmarkEnd w:id="26987"/>
      <w:r>
        <w:rPr>
          <w:rFonts w:hint="cs"/>
          <w:rtl/>
        </w:rPr>
        <w:t xml:space="preserve">נפוליאון </w:t>
      </w:r>
      <w:bookmarkStart w:id="26988" w:name="_ETM_Q45_549200"/>
      <w:bookmarkEnd w:id="26988"/>
      <w:r>
        <w:rPr>
          <w:rFonts w:hint="cs"/>
          <w:rtl/>
        </w:rPr>
        <w:t xml:space="preserve">ניסה </w:t>
      </w:r>
      <w:bookmarkStart w:id="26989" w:name="_ETM_Q45_549619"/>
      <w:bookmarkEnd w:id="26989"/>
      <w:r>
        <w:rPr>
          <w:rFonts w:hint="cs"/>
          <w:rtl/>
        </w:rPr>
        <w:t xml:space="preserve">להיזכר </w:t>
      </w:r>
      <w:bookmarkStart w:id="26990" w:name="_ETM_Q45_550589"/>
      <w:bookmarkEnd w:id="26990"/>
      <w:r>
        <w:rPr>
          <w:rFonts w:hint="cs"/>
          <w:rtl/>
        </w:rPr>
        <w:t xml:space="preserve">באיזו </w:t>
      </w:r>
      <w:bookmarkStart w:id="26991" w:name="_ETM_Q45_551070"/>
      <w:bookmarkEnd w:id="26991"/>
      <w:r>
        <w:rPr>
          <w:rFonts w:hint="cs"/>
          <w:rtl/>
        </w:rPr>
        <w:t xml:space="preserve">מערכה </w:t>
      </w:r>
      <w:bookmarkStart w:id="26992" w:name="_ETM_Q45_551640"/>
      <w:bookmarkEnd w:id="26992"/>
      <w:r>
        <w:rPr>
          <w:rFonts w:hint="cs"/>
          <w:rtl/>
        </w:rPr>
        <w:t xml:space="preserve">מדובר </w:t>
      </w:r>
      <w:bookmarkStart w:id="26993" w:name="_ETM_Q45_552089"/>
      <w:bookmarkEnd w:id="26993"/>
      <w:r>
        <w:rPr>
          <w:rFonts w:hint="cs"/>
          <w:rtl/>
        </w:rPr>
        <w:t xml:space="preserve">– בכל </w:t>
      </w:r>
      <w:bookmarkStart w:id="26994" w:name="_ETM_Q45_552420"/>
      <w:bookmarkEnd w:id="26994"/>
      <w:r>
        <w:rPr>
          <w:rFonts w:hint="cs"/>
          <w:rtl/>
        </w:rPr>
        <w:t xml:space="preserve">זאת, </w:t>
      </w:r>
      <w:bookmarkStart w:id="26995" w:name="_ETM_Q45_552690"/>
      <w:bookmarkEnd w:id="26995"/>
      <w:r>
        <w:rPr>
          <w:rFonts w:hint="cs"/>
          <w:rtl/>
        </w:rPr>
        <w:t xml:space="preserve">הוא </w:t>
      </w:r>
      <w:bookmarkStart w:id="26996" w:name="_ETM_Q45_552839"/>
      <w:bookmarkEnd w:id="26996"/>
      <w:r>
        <w:rPr>
          <w:rFonts w:hint="cs"/>
          <w:rtl/>
        </w:rPr>
        <w:t xml:space="preserve">המפקד </w:t>
      </w:r>
      <w:bookmarkStart w:id="26997" w:name="_ETM_Q45_553440"/>
      <w:bookmarkEnd w:id="26997"/>
      <w:r>
        <w:rPr>
          <w:rFonts w:hint="cs"/>
          <w:rtl/>
        </w:rPr>
        <w:t xml:space="preserve">העליון </w:t>
      </w:r>
      <w:bookmarkStart w:id="26998" w:name="_ETM_Q45_554010"/>
      <w:bookmarkEnd w:id="26998"/>
      <w:r>
        <w:rPr>
          <w:rFonts w:hint="cs"/>
          <w:rtl/>
        </w:rPr>
        <w:t xml:space="preserve">של </w:t>
      </w:r>
      <w:bookmarkStart w:id="26999" w:name="_ETM_Q45_554279"/>
      <w:bookmarkEnd w:id="26999"/>
      <w:r>
        <w:rPr>
          <w:rFonts w:hint="cs"/>
          <w:rtl/>
        </w:rPr>
        <w:t xml:space="preserve">צבא </w:t>
      </w:r>
      <w:bookmarkStart w:id="27000" w:name="_ETM_Q45_554640"/>
      <w:bookmarkEnd w:id="27000"/>
      <w:r>
        <w:rPr>
          <w:rFonts w:hint="cs"/>
          <w:rtl/>
        </w:rPr>
        <w:t xml:space="preserve">המעצמה </w:t>
      </w:r>
      <w:bookmarkStart w:id="27001" w:name="_ETM_Q45_555180"/>
      <w:bookmarkEnd w:id="27001"/>
      <w:r>
        <w:rPr>
          <w:rFonts w:hint="cs"/>
          <w:rtl/>
        </w:rPr>
        <w:t xml:space="preserve">הצרפתית </w:t>
      </w:r>
      <w:bookmarkStart w:id="27002" w:name="_ETM_Q45_556450"/>
      <w:bookmarkEnd w:id="27002"/>
      <w:r>
        <w:rPr>
          <w:rFonts w:hint="cs"/>
          <w:rtl/>
        </w:rPr>
        <w:t xml:space="preserve">– אך </w:t>
      </w:r>
      <w:bookmarkStart w:id="27003" w:name="_ETM_Q45_556659"/>
      <w:bookmarkEnd w:id="27003"/>
      <w:r>
        <w:rPr>
          <w:rFonts w:hint="cs"/>
          <w:rtl/>
        </w:rPr>
        <w:t xml:space="preserve">ללא </w:t>
      </w:r>
      <w:bookmarkStart w:id="27004" w:name="_ETM_Q45_556930"/>
      <w:bookmarkEnd w:id="27004"/>
      <w:r>
        <w:rPr>
          <w:rFonts w:hint="cs"/>
          <w:rtl/>
        </w:rPr>
        <w:t xml:space="preserve">הצלחה, </w:t>
      </w:r>
      <w:bookmarkStart w:id="27005" w:name="_ETM_Q45_557920"/>
      <w:bookmarkEnd w:id="27005"/>
      <w:r>
        <w:rPr>
          <w:rFonts w:hint="cs"/>
          <w:rtl/>
        </w:rPr>
        <w:t xml:space="preserve">לכן </w:t>
      </w:r>
      <w:bookmarkStart w:id="27006" w:name="_ETM_Q45_558370"/>
      <w:bookmarkEnd w:id="27006"/>
      <w:r>
        <w:rPr>
          <w:rFonts w:hint="cs"/>
          <w:rtl/>
        </w:rPr>
        <w:t xml:space="preserve">שאל: </w:t>
      </w:r>
      <w:bookmarkStart w:id="27007" w:name="_ETM_Q45_558700"/>
      <w:bookmarkEnd w:id="27007"/>
      <w:r>
        <w:rPr>
          <w:rFonts w:hint="cs"/>
          <w:rtl/>
        </w:rPr>
        <w:t>מתי</w:t>
      </w:r>
      <w:bookmarkStart w:id="27008" w:name="_ETM_Q45_558960"/>
      <w:bookmarkEnd w:id="27008"/>
      <w:r>
        <w:rPr>
          <w:rFonts w:hint="cs"/>
          <w:rtl/>
        </w:rPr>
        <w:t xml:space="preserve"> </w:t>
      </w:r>
      <w:bookmarkStart w:id="27009" w:name="_ETM_Q45_559470"/>
      <w:bookmarkEnd w:id="27009"/>
      <w:r>
        <w:rPr>
          <w:rFonts w:hint="cs"/>
          <w:rtl/>
        </w:rPr>
        <w:t xml:space="preserve">נערך </w:t>
      </w:r>
      <w:bookmarkStart w:id="27010" w:name="_ETM_Q45_559979"/>
      <w:bookmarkEnd w:id="27010"/>
      <w:r>
        <w:rPr>
          <w:rFonts w:hint="cs"/>
          <w:rtl/>
        </w:rPr>
        <w:t xml:space="preserve">הקרב </w:t>
      </w:r>
      <w:bookmarkStart w:id="27011" w:name="_ETM_Q45_561000"/>
      <w:bookmarkEnd w:id="27011"/>
      <w:r w:rsidR="003B087F">
        <w:rPr>
          <w:rFonts w:hint="cs"/>
          <w:rtl/>
        </w:rPr>
        <w:t>ש</w:t>
      </w:r>
      <w:r>
        <w:rPr>
          <w:rFonts w:hint="cs"/>
          <w:rtl/>
        </w:rPr>
        <w:t xml:space="preserve">עליו </w:t>
      </w:r>
      <w:bookmarkStart w:id="27012" w:name="_ETM_Q45_561330"/>
      <w:bookmarkEnd w:id="27012"/>
      <w:r>
        <w:rPr>
          <w:rFonts w:hint="cs"/>
          <w:rtl/>
        </w:rPr>
        <w:t xml:space="preserve">אתם </w:t>
      </w:r>
      <w:bookmarkStart w:id="27013" w:name="_ETM_Q45_561659"/>
      <w:bookmarkEnd w:id="27013"/>
      <w:r>
        <w:rPr>
          <w:rFonts w:hint="cs"/>
          <w:rtl/>
        </w:rPr>
        <w:t xml:space="preserve">כה מדוכאים? </w:t>
      </w:r>
      <w:bookmarkStart w:id="27014" w:name="_ETM_Q45_563320"/>
      <w:bookmarkEnd w:id="27014"/>
      <w:r>
        <w:rPr>
          <w:rFonts w:hint="cs"/>
          <w:rtl/>
        </w:rPr>
        <w:t xml:space="preserve">ונענה: </w:t>
      </w:r>
      <w:bookmarkStart w:id="27015" w:name="_ETM_Q45_564100"/>
      <w:bookmarkEnd w:id="27015"/>
      <w:r>
        <w:rPr>
          <w:rFonts w:hint="cs"/>
          <w:rtl/>
        </w:rPr>
        <w:t xml:space="preserve">לפני </w:t>
      </w:r>
      <w:bookmarkStart w:id="27016" w:name="_ETM_Q45_564490"/>
      <w:bookmarkEnd w:id="27016"/>
      <w:r>
        <w:rPr>
          <w:rFonts w:hint="cs"/>
          <w:rtl/>
        </w:rPr>
        <w:t xml:space="preserve">כ-1,700 </w:t>
      </w:r>
      <w:bookmarkStart w:id="27017" w:name="_ETM_Q45_566140"/>
      <w:bookmarkEnd w:id="27017"/>
      <w:r>
        <w:rPr>
          <w:rFonts w:hint="cs"/>
          <w:rtl/>
        </w:rPr>
        <w:t xml:space="preserve">שנה, </w:t>
      </w:r>
      <w:bookmarkStart w:id="27018" w:name="_ETM_Q45_566740"/>
      <w:bookmarkEnd w:id="27018"/>
      <w:r>
        <w:rPr>
          <w:rFonts w:hint="cs"/>
          <w:rtl/>
        </w:rPr>
        <w:t xml:space="preserve">ואנחנו </w:t>
      </w:r>
      <w:bookmarkStart w:id="27019" w:name="_ETM_Q45_567159"/>
      <w:bookmarkEnd w:id="27019"/>
      <w:r>
        <w:rPr>
          <w:rFonts w:hint="cs"/>
          <w:rtl/>
        </w:rPr>
        <w:t xml:space="preserve">מצפים </w:t>
      </w:r>
      <w:bookmarkStart w:id="27020" w:name="_ETM_Q45_567640"/>
      <w:bookmarkEnd w:id="27020"/>
      <w:r>
        <w:rPr>
          <w:rFonts w:hint="cs"/>
          <w:rtl/>
        </w:rPr>
        <w:t xml:space="preserve">ומייחלים </w:t>
      </w:r>
      <w:bookmarkStart w:id="27021" w:name="_ETM_Q45_568240"/>
      <w:bookmarkEnd w:id="27021"/>
      <w:r>
        <w:rPr>
          <w:rFonts w:hint="cs"/>
          <w:rtl/>
        </w:rPr>
        <w:t xml:space="preserve">לחזור </w:t>
      </w:r>
      <w:bookmarkStart w:id="27022" w:name="_ETM_Q45_568539"/>
      <w:bookmarkEnd w:id="27022"/>
      <w:r>
        <w:rPr>
          <w:rFonts w:hint="cs"/>
          <w:rtl/>
        </w:rPr>
        <w:t xml:space="preserve">ולראות </w:t>
      </w:r>
      <w:bookmarkStart w:id="27023" w:name="_ETM_Q45_569560"/>
      <w:bookmarkEnd w:id="27023"/>
      <w:r>
        <w:rPr>
          <w:rFonts w:hint="cs"/>
          <w:rtl/>
        </w:rPr>
        <w:t xml:space="preserve">את </w:t>
      </w:r>
      <w:bookmarkStart w:id="27024" w:name="_ETM_Q45_569770"/>
      <w:bookmarkEnd w:id="27024"/>
      <w:r>
        <w:rPr>
          <w:rFonts w:hint="cs"/>
          <w:rtl/>
        </w:rPr>
        <w:t xml:space="preserve">הבית </w:t>
      </w:r>
      <w:bookmarkStart w:id="27025" w:name="_ETM_Q45_570160"/>
      <w:bookmarkEnd w:id="27025"/>
      <w:r>
        <w:rPr>
          <w:rFonts w:hint="cs"/>
          <w:rtl/>
        </w:rPr>
        <w:t xml:space="preserve">בתפארתו, </w:t>
      </w:r>
      <w:bookmarkStart w:id="27026" w:name="_ETM_Q45_571029"/>
      <w:bookmarkEnd w:id="27026"/>
      <w:r>
        <w:rPr>
          <w:rFonts w:hint="cs"/>
          <w:rtl/>
        </w:rPr>
        <w:t xml:space="preserve">אמר לו </w:t>
      </w:r>
      <w:bookmarkStart w:id="27027" w:name="_ETM_Q45_571420"/>
      <w:bookmarkEnd w:id="27027"/>
      <w:r>
        <w:rPr>
          <w:rFonts w:hint="cs"/>
          <w:rtl/>
        </w:rPr>
        <w:t xml:space="preserve">אותו </w:t>
      </w:r>
      <w:bookmarkStart w:id="27028" w:name="_ETM_Q45_571630"/>
      <w:bookmarkEnd w:id="27028"/>
      <w:r>
        <w:rPr>
          <w:rFonts w:hint="cs"/>
          <w:rtl/>
        </w:rPr>
        <w:t xml:space="preserve">יהודי. </w:t>
      </w:r>
      <w:bookmarkStart w:id="27029" w:name="_ETM_Q45_572820"/>
      <w:bookmarkEnd w:id="27029"/>
      <w:r>
        <w:rPr>
          <w:rFonts w:hint="cs"/>
          <w:rtl/>
        </w:rPr>
        <w:t xml:space="preserve">נפוליאון </w:t>
      </w:r>
      <w:bookmarkStart w:id="27030" w:name="_ETM_Q45_573390"/>
      <w:bookmarkEnd w:id="27030"/>
      <w:r>
        <w:rPr>
          <w:rFonts w:hint="cs"/>
          <w:rtl/>
        </w:rPr>
        <w:t xml:space="preserve">יצא </w:t>
      </w:r>
      <w:bookmarkStart w:id="27031" w:name="_ETM_Q45_573839"/>
      <w:bookmarkEnd w:id="27031"/>
      <w:r>
        <w:rPr>
          <w:rFonts w:hint="cs"/>
          <w:rtl/>
        </w:rPr>
        <w:t xml:space="preserve">מכליו </w:t>
      </w:r>
      <w:bookmarkStart w:id="27032" w:name="_ETM_Q45_574320"/>
      <w:bookmarkEnd w:id="27032"/>
      <w:r>
        <w:rPr>
          <w:rFonts w:hint="cs"/>
          <w:rtl/>
        </w:rPr>
        <w:t xml:space="preserve">ואמר </w:t>
      </w:r>
      <w:bookmarkStart w:id="27033" w:name="_ETM_Q45_574770"/>
      <w:bookmarkEnd w:id="27033"/>
      <w:r>
        <w:rPr>
          <w:rFonts w:hint="cs"/>
          <w:rtl/>
        </w:rPr>
        <w:t xml:space="preserve">בהתפעלות: </w:t>
      </w:r>
      <w:bookmarkStart w:id="27034" w:name="_ETM_Q45_576770"/>
      <w:bookmarkEnd w:id="27034"/>
      <w:r>
        <w:rPr>
          <w:rFonts w:hint="cs"/>
          <w:rtl/>
        </w:rPr>
        <w:t xml:space="preserve">עם </w:t>
      </w:r>
      <w:bookmarkStart w:id="27035" w:name="_ETM_Q45_577039"/>
      <w:bookmarkEnd w:id="27035"/>
      <w:r>
        <w:rPr>
          <w:rFonts w:hint="cs"/>
          <w:rtl/>
        </w:rPr>
        <w:t>ש</w:t>
      </w:r>
      <w:bookmarkStart w:id="27036" w:name="_ETM_Q45_577310"/>
      <w:bookmarkEnd w:id="27036"/>
      <w:r>
        <w:rPr>
          <w:rFonts w:hint="cs"/>
          <w:rtl/>
        </w:rPr>
        <w:t xml:space="preserve">מוריד </w:t>
      </w:r>
      <w:bookmarkStart w:id="27037" w:name="_ETM_Q45_577609"/>
      <w:bookmarkEnd w:id="27037"/>
      <w:r>
        <w:rPr>
          <w:rFonts w:hint="cs"/>
          <w:rtl/>
        </w:rPr>
        <w:t xml:space="preserve">דמעות </w:t>
      </w:r>
      <w:bookmarkStart w:id="27038" w:name="_ETM_Q45_578119"/>
      <w:bookmarkEnd w:id="27038"/>
      <w:r>
        <w:rPr>
          <w:rFonts w:hint="cs"/>
          <w:rtl/>
        </w:rPr>
        <w:t xml:space="preserve">על </w:t>
      </w:r>
      <w:bookmarkStart w:id="27039" w:name="_ETM_Q45_578239"/>
      <w:bookmarkEnd w:id="27039"/>
      <w:r>
        <w:rPr>
          <w:rFonts w:hint="cs"/>
          <w:rtl/>
        </w:rPr>
        <w:t xml:space="preserve">חורבן </w:t>
      </w:r>
      <w:bookmarkStart w:id="27040" w:name="_ETM_Q45_578810"/>
      <w:bookmarkEnd w:id="27040"/>
      <w:r>
        <w:rPr>
          <w:rFonts w:hint="cs"/>
          <w:rtl/>
        </w:rPr>
        <w:t xml:space="preserve">העבר </w:t>
      </w:r>
      <w:bookmarkStart w:id="27041" w:name="_ETM_Q45_579979"/>
      <w:bookmarkEnd w:id="27041"/>
      <w:r>
        <w:rPr>
          <w:rFonts w:hint="cs"/>
          <w:rtl/>
        </w:rPr>
        <w:t xml:space="preserve">כאילו </w:t>
      </w:r>
      <w:bookmarkStart w:id="27042" w:name="_ETM_Q45_580339"/>
      <w:bookmarkEnd w:id="27042"/>
      <w:r>
        <w:rPr>
          <w:rFonts w:hint="cs"/>
          <w:rtl/>
        </w:rPr>
        <w:t xml:space="preserve">התרחש </w:t>
      </w:r>
      <w:bookmarkStart w:id="27043" w:name="_ETM_Q45_580789"/>
      <w:bookmarkEnd w:id="27043"/>
      <w:r>
        <w:rPr>
          <w:rFonts w:hint="cs"/>
          <w:rtl/>
        </w:rPr>
        <w:t xml:space="preserve">זה </w:t>
      </w:r>
      <w:bookmarkStart w:id="27044" w:name="_ETM_Q45_580939"/>
      <w:bookmarkEnd w:id="27044"/>
      <w:r>
        <w:rPr>
          <w:rFonts w:hint="cs"/>
          <w:rtl/>
        </w:rPr>
        <w:t xml:space="preserve">עתה, </w:t>
      </w:r>
      <w:bookmarkStart w:id="27045" w:name="_ETM_Q45_581389"/>
      <w:bookmarkEnd w:id="27045"/>
      <w:r>
        <w:rPr>
          <w:rFonts w:hint="cs"/>
          <w:rtl/>
        </w:rPr>
        <w:t xml:space="preserve">אחרי </w:t>
      </w:r>
      <w:bookmarkStart w:id="27046" w:name="_ETM_Q45_581719"/>
      <w:bookmarkEnd w:id="27046"/>
      <w:r>
        <w:rPr>
          <w:rFonts w:hint="cs"/>
          <w:rtl/>
        </w:rPr>
        <w:t xml:space="preserve">1,700 </w:t>
      </w:r>
      <w:bookmarkStart w:id="27047" w:name="_ETM_Q45_582560"/>
      <w:bookmarkEnd w:id="27047"/>
      <w:r>
        <w:rPr>
          <w:rFonts w:hint="cs"/>
          <w:rtl/>
        </w:rPr>
        <w:t xml:space="preserve">שנה, </w:t>
      </w:r>
      <w:bookmarkStart w:id="27048" w:name="_ETM_Q45_583420"/>
      <w:bookmarkEnd w:id="27048"/>
      <w:r>
        <w:rPr>
          <w:rFonts w:hint="cs"/>
          <w:rtl/>
        </w:rPr>
        <w:t xml:space="preserve">ומצפה </w:t>
      </w:r>
      <w:bookmarkStart w:id="27049" w:name="_ETM_Q45_584049"/>
      <w:bookmarkEnd w:id="27049"/>
      <w:r>
        <w:rPr>
          <w:rFonts w:hint="cs"/>
          <w:rtl/>
        </w:rPr>
        <w:t xml:space="preserve">לחזור </w:t>
      </w:r>
      <w:bookmarkStart w:id="27050" w:name="_ETM_Q45_584499"/>
      <w:bookmarkEnd w:id="27050"/>
      <w:r>
        <w:rPr>
          <w:rFonts w:hint="cs"/>
          <w:rtl/>
        </w:rPr>
        <w:t xml:space="preserve">לימי </w:t>
      </w:r>
      <w:bookmarkStart w:id="27051" w:name="_ETM_Q45_585009"/>
      <w:bookmarkEnd w:id="27051"/>
      <w:r>
        <w:rPr>
          <w:rFonts w:hint="cs"/>
          <w:rtl/>
        </w:rPr>
        <w:t xml:space="preserve">גדלותו, </w:t>
      </w:r>
      <w:bookmarkStart w:id="27052" w:name="_ETM_Q45_586279"/>
      <w:bookmarkEnd w:id="27052"/>
      <w:r>
        <w:rPr>
          <w:rFonts w:hint="cs"/>
          <w:rtl/>
        </w:rPr>
        <w:t xml:space="preserve">תקוותו </w:t>
      </w:r>
      <w:bookmarkStart w:id="27053" w:name="_ETM_Q45_586849"/>
      <w:bookmarkEnd w:id="27053"/>
      <w:r>
        <w:rPr>
          <w:rFonts w:hint="cs"/>
          <w:rtl/>
        </w:rPr>
        <w:t xml:space="preserve">תתגשם </w:t>
      </w:r>
      <w:bookmarkStart w:id="27054" w:name="_ETM_Q45_587719"/>
      <w:bookmarkEnd w:id="27054"/>
      <w:r>
        <w:rPr>
          <w:rFonts w:hint="cs"/>
          <w:rtl/>
        </w:rPr>
        <w:t xml:space="preserve">וכל </w:t>
      </w:r>
      <w:bookmarkStart w:id="27055" w:name="_ETM_Q45_588229"/>
      <w:bookmarkEnd w:id="27055"/>
      <w:r>
        <w:rPr>
          <w:rFonts w:hint="cs"/>
          <w:rtl/>
        </w:rPr>
        <w:t xml:space="preserve">העולם </w:t>
      </w:r>
      <w:bookmarkStart w:id="27056" w:name="_ETM_Q45_588679"/>
      <w:bookmarkEnd w:id="27056"/>
      <w:r>
        <w:rPr>
          <w:rFonts w:hint="cs"/>
          <w:rtl/>
        </w:rPr>
        <w:t xml:space="preserve">כולו </w:t>
      </w:r>
      <w:bookmarkStart w:id="27057" w:name="_ETM_Q45_589189"/>
      <w:bookmarkEnd w:id="27057"/>
      <w:r>
        <w:rPr>
          <w:rFonts w:hint="cs"/>
          <w:rtl/>
        </w:rPr>
        <w:t xml:space="preserve">לא </w:t>
      </w:r>
      <w:bookmarkStart w:id="27058" w:name="_ETM_Q45_589339"/>
      <w:bookmarkEnd w:id="27058"/>
      <w:r>
        <w:rPr>
          <w:rFonts w:hint="cs"/>
          <w:rtl/>
        </w:rPr>
        <w:t>יוכל לו.</w:t>
      </w:r>
      <w:bookmarkStart w:id="27059" w:name="_ETM_Q45_589849"/>
      <w:bookmarkEnd w:id="27059"/>
    </w:p>
    <w:p w:rsidR="00BB59CD" w:rsidRDefault="00BB59CD" w:rsidP="00BB59CD">
      <w:pPr>
        <w:rPr>
          <w:rtl/>
        </w:rPr>
      </w:pPr>
    </w:p>
    <w:p w:rsidR="00BB59CD" w:rsidRDefault="00BB59CD" w:rsidP="003B087F">
      <w:pPr>
        <w:rPr>
          <w:rtl/>
        </w:rPr>
      </w:pPr>
      <w:r>
        <w:rPr>
          <w:rFonts w:hint="cs"/>
          <w:rtl/>
        </w:rPr>
        <w:t xml:space="preserve">הסיפור הוא </w:t>
      </w:r>
      <w:bookmarkStart w:id="27060" w:name="_ETM_Q45_591149"/>
      <w:bookmarkEnd w:id="27060"/>
      <w:r>
        <w:rPr>
          <w:rFonts w:hint="cs"/>
          <w:rtl/>
        </w:rPr>
        <w:t xml:space="preserve">ספק </w:t>
      </w:r>
      <w:bookmarkStart w:id="27061" w:name="_ETM_Q45_592049"/>
      <w:bookmarkStart w:id="27062" w:name="_ETM_Q45_592799"/>
      <w:bookmarkEnd w:id="27061"/>
      <w:bookmarkEnd w:id="27062"/>
      <w:r>
        <w:rPr>
          <w:rFonts w:hint="cs"/>
          <w:rtl/>
        </w:rPr>
        <w:t xml:space="preserve">אמיתי </w:t>
      </w:r>
      <w:bookmarkStart w:id="27063" w:name="_ETM_Q45_593890"/>
      <w:bookmarkStart w:id="27064" w:name="_ETM_Q45_594040"/>
      <w:bookmarkEnd w:id="27063"/>
      <w:bookmarkEnd w:id="27064"/>
      <w:r>
        <w:rPr>
          <w:rFonts w:hint="cs"/>
          <w:rtl/>
        </w:rPr>
        <w:t xml:space="preserve">ספק </w:t>
      </w:r>
      <w:bookmarkStart w:id="27065" w:name="_ETM_Q45_594550"/>
      <w:bookmarkStart w:id="27066" w:name="_ETM_Q45_594790"/>
      <w:bookmarkEnd w:id="27065"/>
      <w:bookmarkEnd w:id="27066"/>
      <w:r>
        <w:rPr>
          <w:rFonts w:hint="cs"/>
          <w:rtl/>
        </w:rPr>
        <w:t xml:space="preserve">אגדה, </w:t>
      </w:r>
      <w:bookmarkStart w:id="27067" w:name="_ETM_Q45_595900"/>
      <w:bookmarkEnd w:id="27067"/>
      <w:r>
        <w:rPr>
          <w:rFonts w:hint="cs"/>
          <w:rtl/>
        </w:rPr>
        <w:t xml:space="preserve">אך </w:t>
      </w:r>
      <w:bookmarkStart w:id="27068" w:name="_ETM_Q45_596230"/>
      <w:bookmarkEnd w:id="27068"/>
      <w:r>
        <w:rPr>
          <w:rFonts w:hint="cs"/>
          <w:rtl/>
        </w:rPr>
        <w:t xml:space="preserve">כך </w:t>
      </w:r>
      <w:bookmarkStart w:id="27069" w:name="_ETM_Q45_596500"/>
      <w:bookmarkEnd w:id="27069"/>
      <w:r>
        <w:rPr>
          <w:rFonts w:hint="cs"/>
          <w:rtl/>
        </w:rPr>
        <w:t xml:space="preserve">או </w:t>
      </w:r>
      <w:bookmarkStart w:id="27070" w:name="_ETM_Q45_596589"/>
      <w:bookmarkEnd w:id="27070"/>
      <w:r>
        <w:rPr>
          <w:rFonts w:hint="cs"/>
          <w:rtl/>
        </w:rPr>
        <w:t xml:space="preserve">כך </w:t>
      </w:r>
      <w:bookmarkStart w:id="27071" w:name="_ETM_Q45_597339"/>
      <w:bookmarkEnd w:id="27071"/>
      <w:r>
        <w:rPr>
          <w:rFonts w:hint="cs"/>
          <w:rtl/>
        </w:rPr>
        <w:t xml:space="preserve">המסר </w:t>
      </w:r>
      <w:bookmarkStart w:id="27072" w:name="_ETM_Q45_598089"/>
      <w:bookmarkEnd w:id="27072"/>
      <w:r>
        <w:rPr>
          <w:rFonts w:hint="cs"/>
          <w:rtl/>
        </w:rPr>
        <w:t xml:space="preserve">מאוד </w:t>
      </w:r>
      <w:bookmarkStart w:id="27073" w:name="_ETM_Q45_598480"/>
      <w:bookmarkEnd w:id="27073"/>
      <w:r>
        <w:rPr>
          <w:rFonts w:hint="cs"/>
          <w:rtl/>
        </w:rPr>
        <w:t xml:space="preserve">ברור. </w:t>
      </w:r>
      <w:bookmarkStart w:id="27074" w:name="_ETM_Q45_599819"/>
      <w:bookmarkEnd w:id="27074"/>
      <w:r>
        <w:rPr>
          <w:rFonts w:hint="cs"/>
          <w:rtl/>
        </w:rPr>
        <w:t xml:space="preserve">גם </w:t>
      </w:r>
      <w:bookmarkStart w:id="27075" w:name="_ETM_Q45_600240"/>
      <w:bookmarkEnd w:id="27075"/>
      <w:r>
        <w:rPr>
          <w:rFonts w:hint="cs"/>
          <w:rtl/>
        </w:rPr>
        <w:t xml:space="preserve">בימים </w:t>
      </w:r>
      <w:bookmarkStart w:id="27076" w:name="_ETM_Q45_600810"/>
      <w:bookmarkEnd w:id="27076"/>
      <w:r>
        <w:rPr>
          <w:rFonts w:hint="cs"/>
          <w:rtl/>
        </w:rPr>
        <w:t xml:space="preserve">אלו </w:t>
      </w:r>
      <w:bookmarkStart w:id="27077" w:name="_ETM_Q45_601349"/>
      <w:bookmarkEnd w:id="27077"/>
      <w:r>
        <w:rPr>
          <w:rFonts w:hint="cs"/>
          <w:rtl/>
        </w:rPr>
        <w:t xml:space="preserve">אנחנו, </w:t>
      </w:r>
      <w:bookmarkStart w:id="27078" w:name="_ETM_Q45_601799"/>
      <w:bookmarkEnd w:id="27078"/>
      <w:r>
        <w:rPr>
          <w:rFonts w:hint="cs"/>
          <w:rtl/>
        </w:rPr>
        <w:t xml:space="preserve">עם </w:t>
      </w:r>
      <w:bookmarkStart w:id="27079" w:name="_ETM_Q45_601979"/>
      <w:bookmarkEnd w:id="27079"/>
      <w:r>
        <w:rPr>
          <w:rFonts w:hint="cs"/>
          <w:rtl/>
        </w:rPr>
        <w:t xml:space="preserve">ישראל, </w:t>
      </w:r>
      <w:bookmarkStart w:id="27080" w:name="_ETM_Q45_602339"/>
      <w:bookmarkEnd w:id="27080"/>
      <w:r>
        <w:rPr>
          <w:rFonts w:hint="cs"/>
          <w:rtl/>
        </w:rPr>
        <w:t xml:space="preserve">נמצאים </w:t>
      </w:r>
      <w:bookmarkStart w:id="27081" w:name="_ETM_Q45_603240"/>
      <w:bookmarkEnd w:id="27081"/>
      <w:r>
        <w:rPr>
          <w:rFonts w:hint="cs"/>
          <w:rtl/>
        </w:rPr>
        <w:t xml:space="preserve">בימי </w:t>
      </w:r>
      <w:bookmarkStart w:id="27082" w:name="_ETM_Q45_603779"/>
      <w:bookmarkEnd w:id="27082"/>
      <w:r>
        <w:rPr>
          <w:rFonts w:hint="cs"/>
          <w:rtl/>
        </w:rPr>
        <w:t xml:space="preserve">בין </w:t>
      </w:r>
      <w:bookmarkStart w:id="27083" w:name="_ETM_Q45_604020"/>
      <w:bookmarkEnd w:id="27083"/>
      <w:r>
        <w:rPr>
          <w:rFonts w:hint="cs"/>
          <w:rtl/>
        </w:rPr>
        <w:t xml:space="preserve">המצרים, </w:t>
      </w:r>
      <w:bookmarkStart w:id="27084" w:name="_ETM_Q45_605439"/>
      <w:bookmarkEnd w:id="27084"/>
      <w:r>
        <w:rPr>
          <w:rFonts w:hint="cs"/>
          <w:rtl/>
        </w:rPr>
        <w:t xml:space="preserve">שבהם </w:t>
      </w:r>
      <w:bookmarkStart w:id="27085" w:name="_ETM_Q45_605740"/>
      <w:bookmarkEnd w:id="27085"/>
      <w:r>
        <w:rPr>
          <w:rFonts w:hint="cs"/>
          <w:rtl/>
        </w:rPr>
        <w:t xml:space="preserve">אנו </w:t>
      </w:r>
      <w:bookmarkStart w:id="27086" w:name="_ETM_Q45_605889"/>
      <w:bookmarkEnd w:id="27086"/>
      <w:r>
        <w:rPr>
          <w:rFonts w:hint="cs"/>
          <w:rtl/>
        </w:rPr>
        <w:t xml:space="preserve">מזכירים </w:t>
      </w:r>
      <w:bookmarkStart w:id="27087" w:name="_ETM_Q45_606460"/>
      <w:bookmarkEnd w:id="27087"/>
      <w:r>
        <w:rPr>
          <w:rFonts w:hint="cs"/>
          <w:rtl/>
        </w:rPr>
        <w:t xml:space="preserve">בראש </w:t>
      </w:r>
      <w:bookmarkStart w:id="27088" w:name="_ETM_Q45_606789"/>
      <w:bookmarkEnd w:id="27088"/>
      <w:r>
        <w:rPr>
          <w:rFonts w:hint="cs"/>
          <w:rtl/>
        </w:rPr>
        <w:t xml:space="preserve">ובראשונה, </w:t>
      </w:r>
      <w:bookmarkStart w:id="27089" w:name="_ETM_Q45_608130"/>
      <w:bookmarkEnd w:id="27089"/>
      <w:r>
        <w:rPr>
          <w:rFonts w:hint="cs"/>
          <w:rtl/>
        </w:rPr>
        <w:t>לקראת</w:t>
      </w:r>
      <w:bookmarkStart w:id="27090" w:name="_ETM_Q45_608520"/>
      <w:bookmarkEnd w:id="27090"/>
      <w:r>
        <w:rPr>
          <w:rFonts w:hint="cs"/>
          <w:rtl/>
        </w:rPr>
        <w:t xml:space="preserve"> תשעה </w:t>
      </w:r>
      <w:bookmarkStart w:id="27091" w:name="_ETM_Q45_608850"/>
      <w:bookmarkEnd w:id="27091"/>
      <w:r>
        <w:rPr>
          <w:rFonts w:hint="cs"/>
          <w:rtl/>
        </w:rPr>
        <w:t xml:space="preserve">באב, </w:t>
      </w:r>
      <w:bookmarkStart w:id="27092" w:name="_ETM_Q45_609930"/>
      <w:bookmarkEnd w:id="27092"/>
      <w:r>
        <w:rPr>
          <w:rFonts w:hint="cs"/>
          <w:rtl/>
        </w:rPr>
        <w:t xml:space="preserve">את </w:t>
      </w:r>
      <w:bookmarkStart w:id="27093" w:name="_ETM_Q45_610110"/>
      <w:bookmarkEnd w:id="27093"/>
      <w:r>
        <w:rPr>
          <w:rFonts w:hint="cs"/>
          <w:rtl/>
        </w:rPr>
        <w:t xml:space="preserve">חורבן </w:t>
      </w:r>
      <w:bookmarkStart w:id="27094" w:name="_ETM_Q45_610770"/>
      <w:bookmarkEnd w:id="27094"/>
      <w:r>
        <w:rPr>
          <w:rFonts w:hint="cs"/>
          <w:rtl/>
        </w:rPr>
        <w:t xml:space="preserve">בית </w:t>
      </w:r>
      <w:bookmarkStart w:id="27095" w:name="_ETM_Q45_611069"/>
      <w:bookmarkEnd w:id="27095"/>
      <w:r>
        <w:rPr>
          <w:rFonts w:hint="cs"/>
          <w:rtl/>
        </w:rPr>
        <w:t xml:space="preserve">המקדש </w:t>
      </w:r>
      <w:bookmarkStart w:id="27096" w:name="_ETM_Q45_611670"/>
      <w:bookmarkEnd w:id="27096"/>
      <w:r>
        <w:rPr>
          <w:rFonts w:hint="cs"/>
          <w:rtl/>
        </w:rPr>
        <w:t xml:space="preserve">השני. </w:t>
      </w:r>
      <w:bookmarkStart w:id="27097" w:name="_ETM_Q45_613049"/>
      <w:bookmarkEnd w:id="27097"/>
      <w:r>
        <w:rPr>
          <w:rFonts w:hint="cs"/>
          <w:rtl/>
        </w:rPr>
        <w:t xml:space="preserve">אך </w:t>
      </w:r>
      <w:bookmarkStart w:id="27098" w:name="_ETM_Q45_613230"/>
      <w:bookmarkEnd w:id="27098"/>
      <w:r>
        <w:rPr>
          <w:rFonts w:hint="cs"/>
          <w:rtl/>
        </w:rPr>
        <w:t xml:space="preserve">לא </w:t>
      </w:r>
      <w:bookmarkStart w:id="27099" w:name="_ETM_Q45_613409"/>
      <w:bookmarkEnd w:id="27099"/>
      <w:r>
        <w:rPr>
          <w:rFonts w:hint="cs"/>
          <w:rtl/>
        </w:rPr>
        <w:t xml:space="preserve">די </w:t>
      </w:r>
      <w:bookmarkStart w:id="27100" w:name="_ETM_Q45_614010"/>
      <w:bookmarkEnd w:id="27100"/>
      <w:r>
        <w:rPr>
          <w:rFonts w:hint="cs"/>
          <w:rtl/>
        </w:rPr>
        <w:t xml:space="preserve">בזיכרון </w:t>
      </w:r>
      <w:bookmarkStart w:id="27101" w:name="_ETM_Q45_615090"/>
      <w:bookmarkEnd w:id="27101"/>
      <w:r>
        <w:rPr>
          <w:rFonts w:hint="cs"/>
          <w:rtl/>
        </w:rPr>
        <w:t xml:space="preserve">המועבר </w:t>
      </w:r>
      <w:bookmarkStart w:id="27102" w:name="_ETM_Q45_615719"/>
      <w:bookmarkEnd w:id="27102"/>
      <w:r>
        <w:rPr>
          <w:rFonts w:hint="cs"/>
          <w:rtl/>
        </w:rPr>
        <w:t xml:space="preserve">זה </w:t>
      </w:r>
      <w:bookmarkStart w:id="27103" w:name="_ETM_Q45_615900"/>
      <w:bookmarkEnd w:id="27103"/>
      <w:r>
        <w:rPr>
          <w:rFonts w:hint="cs"/>
          <w:rtl/>
        </w:rPr>
        <w:t xml:space="preserve">דורות </w:t>
      </w:r>
      <w:bookmarkStart w:id="27104" w:name="_ETM_Q45_616349"/>
      <w:bookmarkEnd w:id="27104"/>
      <w:r>
        <w:rPr>
          <w:rFonts w:hint="cs"/>
          <w:rtl/>
        </w:rPr>
        <w:t xml:space="preserve">על </w:t>
      </w:r>
      <w:bookmarkStart w:id="27105" w:name="_ETM_Q45_616439"/>
      <w:bookmarkEnd w:id="27105"/>
      <w:r>
        <w:rPr>
          <w:rFonts w:hint="cs"/>
          <w:rtl/>
        </w:rPr>
        <w:t xml:space="preserve">גבי </w:t>
      </w:r>
      <w:bookmarkStart w:id="27106" w:name="_ETM_Q45_616739"/>
      <w:bookmarkEnd w:id="27106"/>
      <w:r>
        <w:rPr>
          <w:rFonts w:hint="cs"/>
          <w:rtl/>
        </w:rPr>
        <w:t xml:space="preserve">דורות </w:t>
      </w:r>
      <w:bookmarkStart w:id="27107" w:name="_ETM_Q45_617760"/>
      <w:bookmarkEnd w:id="27107"/>
      <w:r>
        <w:rPr>
          <w:rFonts w:hint="cs"/>
          <w:rtl/>
        </w:rPr>
        <w:t xml:space="preserve">על </w:t>
      </w:r>
      <w:bookmarkStart w:id="27108" w:name="_ETM_Q45_617909"/>
      <w:bookmarkEnd w:id="27108"/>
      <w:r>
        <w:rPr>
          <w:rFonts w:hint="cs"/>
          <w:rtl/>
        </w:rPr>
        <w:t xml:space="preserve">מורשת </w:t>
      </w:r>
      <w:bookmarkStart w:id="27109" w:name="_ETM_Q45_618359"/>
      <w:bookmarkEnd w:id="27109"/>
      <w:r>
        <w:rPr>
          <w:rFonts w:hint="cs"/>
          <w:rtl/>
        </w:rPr>
        <w:t xml:space="preserve">ישראל </w:t>
      </w:r>
      <w:bookmarkStart w:id="27110" w:name="_ETM_Q45_618900"/>
      <w:bookmarkEnd w:id="27110"/>
      <w:r>
        <w:rPr>
          <w:rFonts w:hint="cs"/>
          <w:rtl/>
        </w:rPr>
        <w:t xml:space="preserve">ועל </w:t>
      </w:r>
      <w:bookmarkStart w:id="27111" w:name="_ETM_Q45_619169"/>
      <w:bookmarkEnd w:id="27111"/>
      <w:r>
        <w:rPr>
          <w:rFonts w:hint="cs"/>
          <w:rtl/>
        </w:rPr>
        <w:t xml:space="preserve">ההיסטוריה של </w:t>
      </w:r>
      <w:bookmarkStart w:id="27112" w:name="_ETM_Q45_619769"/>
      <w:bookmarkEnd w:id="27112"/>
      <w:r>
        <w:rPr>
          <w:rFonts w:hint="cs"/>
          <w:rtl/>
        </w:rPr>
        <w:t xml:space="preserve">ישראל, </w:t>
      </w:r>
      <w:bookmarkStart w:id="27113" w:name="_ETM_Q45_620519"/>
      <w:bookmarkEnd w:id="27113"/>
      <w:r>
        <w:rPr>
          <w:rFonts w:hint="cs"/>
          <w:rtl/>
        </w:rPr>
        <w:t xml:space="preserve">על </w:t>
      </w:r>
      <w:bookmarkStart w:id="27114" w:name="_ETM_Q45_620639"/>
      <w:bookmarkEnd w:id="27114"/>
      <w:r>
        <w:rPr>
          <w:rFonts w:hint="cs"/>
          <w:rtl/>
        </w:rPr>
        <w:t xml:space="preserve">החלקים </w:t>
      </w:r>
      <w:bookmarkStart w:id="27115" w:name="_ETM_Q45_621150"/>
      <w:bookmarkEnd w:id="27115"/>
      <w:r>
        <w:rPr>
          <w:rFonts w:hint="cs"/>
          <w:rtl/>
        </w:rPr>
        <w:t xml:space="preserve">הנוראיים </w:t>
      </w:r>
      <w:bookmarkStart w:id="27116" w:name="_ETM_Q45_622410"/>
      <w:bookmarkEnd w:id="27116"/>
      <w:r>
        <w:rPr>
          <w:rFonts w:hint="cs"/>
          <w:rtl/>
        </w:rPr>
        <w:t>והפחות</w:t>
      </w:r>
      <w:bookmarkStart w:id="27117" w:name="_ETM_Q45_623069"/>
      <w:bookmarkEnd w:id="27117"/>
      <w:r>
        <w:rPr>
          <w:rFonts w:hint="cs"/>
          <w:rtl/>
        </w:rPr>
        <w:t xml:space="preserve">-טובים </w:t>
      </w:r>
      <w:bookmarkStart w:id="27118" w:name="_ETM_Q45_623459"/>
      <w:bookmarkEnd w:id="27118"/>
      <w:r>
        <w:rPr>
          <w:rFonts w:hint="cs"/>
          <w:rtl/>
        </w:rPr>
        <w:t xml:space="preserve">של </w:t>
      </w:r>
      <w:bookmarkStart w:id="27119" w:name="_ETM_Q45_623730"/>
      <w:bookmarkEnd w:id="27119"/>
      <w:r>
        <w:rPr>
          <w:rFonts w:hint="cs"/>
          <w:rtl/>
        </w:rPr>
        <w:t>עמנו</w:t>
      </w:r>
      <w:r w:rsidR="003B087F">
        <w:rPr>
          <w:rFonts w:hint="cs"/>
          <w:rtl/>
        </w:rPr>
        <w:t>;</w:t>
      </w:r>
      <w:r>
        <w:rPr>
          <w:rFonts w:hint="cs"/>
          <w:rtl/>
        </w:rPr>
        <w:t xml:space="preserve"> </w:t>
      </w:r>
      <w:bookmarkStart w:id="27120" w:name="_ETM_Q45_624940"/>
      <w:bookmarkEnd w:id="27120"/>
      <w:r>
        <w:rPr>
          <w:rFonts w:hint="cs"/>
          <w:rtl/>
        </w:rPr>
        <w:t xml:space="preserve">דווקא </w:t>
      </w:r>
      <w:bookmarkStart w:id="27121" w:name="_ETM_Q45_625390"/>
      <w:bookmarkEnd w:id="27121"/>
      <w:r>
        <w:rPr>
          <w:rFonts w:hint="cs"/>
          <w:rtl/>
        </w:rPr>
        <w:t xml:space="preserve">בימים </w:t>
      </w:r>
      <w:bookmarkStart w:id="27122" w:name="_ETM_Q45_625870"/>
      <w:bookmarkEnd w:id="27122"/>
      <w:r>
        <w:rPr>
          <w:rFonts w:hint="cs"/>
          <w:rtl/>
        </w:rPr>
        <w:t xml:space="preserve">אלו </w:t>
      </w:r>
      <w:bookmarkStart w:id="27123" w:name="_ETM_Q45_627150"/>
      <w:bookmarkEnd w:id="27123"/>
      <w:r>
        <w:rPr>
          <w:rFonts w:hint="cs"/>
          <w:rtl/>
        </w:rPr>
        <w:t xml:space="preserve">אנו </w:t>
      </w:r>
      <w:bookmarkStart w:id="27124" w:name="_ETM_Q45_627629"/>
      <w:bookmarkStart w:id="27125" w:name="_ETM_Q45_627930"/>
      <w:bookmarkEnd w:id="27124"/>
      <w:bookmarkEnd w:id="27125"/>
      <w:r>
        <w:rPr>
          <w:rFonts w:hint="cs"/>
          <w:rtl/>
        </w:rPr>
        <w:t xml:space="preserve">צריכים </w:t>
      </w:r>
      <w:bookmarkStart w:id="27126" w:name="_ETM_Q45_628319"/>
      <w:bookmarkEnd w:id="27126"/>
      <w:r>
        <w:rPr>
          <w:rFonts w:hint="cs"/>
          <w:rtl/>
        </w:rPr>
        <w:t xml:space="preserve">וחייבים </w:t>
      </w:r>
      <w:bookmarkStart w:id="27127" w:name="_ETM_Q45_628739"/>
      <w:bookmarkEnd w:id="27127"/>
      <w:r>
        <w:rPr>
          <w:rFonts w:hint="cs"/>
          <w:rtl/>
        </w:rPr>
        <w:t xml:space="preserve">לשאול </w:t>
      </w:r>
      <w:bookmarkStart w:id="27128" w:name="_ETM_Q45_629040"/>
      <w:bookmarkEnd w:id="27128"/>
      <w:r>
        <w:rPr>
          <w:rFonts w:hint="cs"/>
          <w:rtl/>
        </w:rPr>
        <w:t xml:space="preserve">את </w:t>
      </w:r>
      <w:bookmarkStart w:id="27129" w:name="_ETM_Q45_629159"/>
      <w:bookmarkEnd w:id="27129"/>
      <w:r>
        <w:rPr>
          <w:rFonts w:hint="cs"/>
          <w:rtl/>
        </w:rPr>
        <w:t xml:space="preserve">עצמנו </w:t>
      </w:r>
      <w:bookmarkStart w:id="27130" w:name="_ETM_Q45_629670"/>
      <w:bookmarkEnd w:id="27130"/>
      <w:r>
        <w:rPr>
          <w:rFonts w:hint="cs"/>
          <w:rtl/>
        </w:rPr>
        <w:t xml:space="preserve">ולא </w:t>
      </w:r>
      <w:bookmarkStart w:id="27131" w:name="_ETM_Q45_629939"/>
      <w:bookmarkEnd w:id="27131"/>
      <w:r>
        <w:rPr>
          <w:rFonts w:hint="cs"/>
          <w:rtl/>
        </w:rPr>
        <w:t xml:space="preserve">רק </w:t>
      </w:r>
      <w:bookmarkStart w:id="27132" w:name="_ETM_Q45_630150"/>
      <w:bookmarkEnd w:id="27132"/>
      <w:r>
        <w:rPr>
          <w:rFonts w:hint="cs"/>
          <w:rtl/>
        </w:rPr>
        <w:t xml:space="preserve">לזכור </w:t>
      </w:r>
      <w:bookmarkStart w:id="27133" w:name="_ETM_Q45_631200"/>
      <w:bookmarkEnd w:id="27133"/>
      <w:r>
        <w:rPr>
          <w:rFonts w:hint="cs"/>
          <w:rtl/>
        </w:rPr>
        <w:t xml:space="preserve">מה </w:t>
      </w:r>
      <w:bookmarkStart w:id="27134" w:name="_ETM_Q45_631799"/>
      <w:bookmarkEnd w:id="27134"/>
      <w:r>
        <w:rPr>
          <w:rFonts w:hint="cs"/>
          <w:rtl/>
        </w:rPr>
        <w:t xml:space="preserve">למדנו </w:t>
      </w:r>
      <w:bookmarkStart w:id="27135" w:name="_ETM_Q45_632459"/>
      <w:bookmarkEnd w:id="27135"/>
      <w:r>
        <w:rPr>
          <w:rFonts w:hint="cs"/>
          <w:rtl/>
        </w:rPr>
        <w:t xml:space="preserve">מחורבן </w:t>
      </w:r>
      <w:bookmarkStart w:id="27136" w:name="_ETM_Q45_633329"/>
      <w:bookmarkEnd w:id="27136"/>
      <w:r>
        <w:rPr>
          <w:rFonts w:hint="cs"/>
          <w:rtl/>
        </w:rPr>
        <w:t xml:space="preserve">הבית </w:t>
      </w:r>
      <w:bookmarkStart w:id="27137" w:name="_ETM_Q45_633870"/>
      <w:bookmarkEnd w:id="27137"/>
      <w:r>
        <w:rPr>
          <w:rFonts w:hint="cs"/>
          <w:rtl/>
        </w:rPr>
        <w:t xml:space="preserve">והתפרקות </w:t>
      </w:r>
      <w:bookmarkStart w:id="27138" w:name="_ETM_Q45_634650"/>
      <w:bookmarkEnd w:id="27138"/>
      <w:r>
        <w:rPr>
          <w:rFonts w:hint="cs"/>
          <w:rtl/>
        </w:rPr>
        <w:t xml:space="preserve">עמנו </w:t>
      </w:r>
      <w:bookmarkStart w:id="27139" w:name="_ETM_Q45_635040"/>
      <w:bookmarkEnd w:id="27139"/>
      <w:r>
        <w:rPr>
          <w:rFonts w:hint="cs"/>
          <w:rtl/>
        </w:rPr>
        <w:t xml:space="preserve">שלאחריהם </w:t>
      </w:r>
      <w:bookmarkStart w:id="27140" w:name="_ETM_Q45_635879"/>
      <w:bookmarkEnd w:id="27140"/>
      <w:r>
        <w:rPr>
          <w:rFonts w:hint="cs"/>
          <w:rtl/>
        </w:rPr>
        <w:t>נפו</w:t>
      </w:r>
      <w:bookmarkStart w:id="27141" w:name="_ETM_Q45_636420"/>
      <w:bookmarkEnd w:id="27141"/>
      <w:r>
        <w:rPr>
          <w:rFonts w:hint="cs"/>
          <w:rtl/>
        </w:rPr>
        <w:t xml:space="preserve">צנו </w:t>
      </w:r>
      <w:bookmarkStart w:id="27142" w:name="_ETM_Q45_636659"/>
      <w:bookmarkEnd w:id="27142"/>
      <w:r>
        <w:rPr>
          <w:rFonts w:hint="cs"/>
          <w:rtl/>
        </w:rPr>
        <w:t xml:space="preserve">על </w:t>
      </w:r>
      <w:bookmarkStart w:id="27143" w:name="_ETM_Q45_636870"/>
      <w:bookmarkEnd w:id="27143"/>
      <w:r>
        <w:rPr>
          <w:rFonts w:hint="cs"/>
          <w:rtl/>
        </w:rPr>
        <w:t xml:space="preserve">כל </w:t>
      </w:r>
      <w:bookmarkStart w:id="27144" w:name="_ETM_Q45_637290"/>
      <w:bookmarkEnd w:id="27144"/>
      <w:r>
        <w:rPr>
          <w:rFonts w:hint="cs"/>
          <w:rtl/>
        </w:rPr>
        <w:t xml:space="preserve">פני </w:t>
      </w:r>
      <w:bookmarkStart w:id="27145" w:name="_ETM_Q45_637620"/>
      <w:bookmarkEnd w:id="27145"/>
      <w:r>
        <w:rPr>
          <w:rFonts w:hint="cs"/>
          <w:rtl/>
        </w:rPr>
        <w:t>תבל.</w:t>
      </w:r>
      <w:bookmarkStart w:id="27146" w:name="_ETM_Q45_639019"/>
      <w:bookmarkEnd w:id="27146"/>
      <w:r w:rsidR="003B087F">
        <w:rPr>
          <w:rFonts w:hint="cs"/>
          <w:rtl/>
        </w:rPr>
        <w:t xml:space="preserve"> </w:t>
      </w:r>
    </w:p>
    <w:p w:rsidR="00BB59CD" w:rsidRDefault="00BB59CD" w:rsidP="00BB59CD">
      <w:pPr>
        <w:rPr>
          <w:rtl/>
        </w:rPr>
      </w:pPr>
    </w:p>
    <w:p w:rsidR="00BB59CD" w:rsidRDefault="00BB59CD" w:rsidP="003B087F">
      <w:pPr>
        <w:rPr>
          <w:rtl/>
        </w:rPr>
      </w:pPr>
      <w:r>
        <w:rPr>
          <w:rFonts w:hint="cs"/>
          <w:rtl/>
        </w:rPr>
        <w:t xml:space="preserve">להבדיל </w:t>
      </w:r>
      <w:bookmarkStart w:id="27147" w:name="_ETM_Q45_639500"/>
      <w:bookmarkEnd w:id="27147"/>
      <w:r>
        <w:rPr>
          <w:rFonts w:hint="cs"/>
          <w:rtl/>
        </w:rPr>
        <w:t xml:space="preserve">מחורבן </w:t>
      </w:r>
      <w:bookmarkStart w:id="27148" w:name="_ETM_Q45_640960"/>
      <w:bookmarkEnd w:id="27148"/>
      <w:r>
        <w:rPr>
          <w:rFonts w:hint="cs"/>
          <w:rtl/>
        </w:rPr>
        <w:t xml:space="preserve">בית </w:t>
      </w:r>
      <w:bookmarkStart w:id="27149" w:name="_ETM_Q45_641350"/>
      <w:bookmarkEnd w:id="27149"/>
      <w:r>
        <w:rPr>
          <w:rFonts w:hint="cs"/>
          <w:rtl/>
        </w:rPr>
        <w:t xml:space="preserve">ראשון </w:t>
      </w:r>
      <w:bookmarkStart w:id="27150" w:name="_ETM_Q45_642010"/>
      <w:bookmarkEnd w:id="27150"/>
      <w:r>
        <w:rPr>
          <w:rFonts w:hint="cs"/>
          <w:rtl/>
        </w:rPr>
        <w:t xml:space="preserve">– </w:t>
      </w:r>
      <w:bookmarkStart w:id="27151" w:name="_ETM_Q45_642310"/>
      <w:bookmarkEnd w:id="27151"/>
      <w:r w:rsidR="003B087F">
        <w:rPr>
          <w:rFonts w:hint="cs"/>
          <w:rtl/>
        </w:rPr>
        <w:t>א</w:t>
      </w:r>
      <w:r>
        <w:rPr>
          <w:rFonts w:hint="cs"/>
          <w:rtl/>
        </w:rPr>
        <w:t xml:space="preserve">דוני </w:t>
      </w:r>
      <w:bookmarkStart w:id="27152" w:name="_ETM_Q45_642640"/>
      <w:bookmarkEnd w:id="27152"/>
      <w:r>
        <w:rPr>
          <w:rFonts w:hint="cs"/>
          <w:rtl/>
        </w:rPr>
        <w:t>היושב-ראש</w:t>
      </w:r>
      <w:r w:rsidR="003B087F">
        <w:rPr>
          <w:rFonts w:hint="cs"/>
          <w:rtl/>
        </w:rPr>
        <w:t>,</w:t>
      </w:r>
      <w:r>
        <w:rPr>
          <w:rFonts w:hint="cs"/>
          <w:rtl/>
        </w:rPr>
        <w:t xml:space="preserve"> </w:t>
      </w:r>
      <w:bookmarkStart w:id="27153" w:name="_ETM_Q45_643180"/>
      <w:bookmarkEnd w:id="27153"/>
      <w:r>
        <w:rPr>
          <w:rFonts w:hint="cs"/>
          <w:rtl/>
        </w:rPr>
        <w:t xml:space="preserve">אתה </w:t>
      </w:r>
      <w:bookmarkStart w:id="27154" w:name="_ETM_Q45_643390"/>
      <w:bookmarkEnd w:id="27154"/>
      <w:r w:rsidR="003B087F">
        <w:rPr>
          <w:rFonts w:hint="cs"/>
          <w:rtl/>
        </w:rPr>
        <w:t xml:space="preserve">בטח </w:t>
      </w:r>
      <w:r>
        <w:rPr>
          <w:rFonts w:hint="cs"/>
          <w:rtl/>
        </w:rPr>
        <w:t xml:space="preserve">יודע </w:t>
      </w:r>
      <w:bookmarkStart w:id="27155" w:name="_ETM_Q45_643990"/>
      <w:bookmarkEnd w:id="27155"/>
      <w:r>
        <w:rPr>
          <w:rFonts w:hint="cs"/>
          <w:rtl/>
        </w:rPr>
        <w:t>ש</w:t>
      </w:r>
      <w:r w:rsidR="003B087F">
        <w:rPr>
          <w:rFonts w:hint="cs"/>
          <w:rtl/>
        </w:rPr>
        <w:t xml:space="preserve">הוא </w:t>
      </w:r>
      <w:r>
        <w:rPr>
          <w:rFonts w:hint="cs"/>
          <w:rtl/>
        </w:rPr>
        <w:t xml:space="preserve">חרב </w:t>
      </w:r>
      <w:bookmarkStart w:id="27156" w:name="_ETM_Q45_644500"/>
      <w:bookmarkEnd w:id="27156"/>
      <w:r>
        <w:rPr>
          <w:rFonts w:hint="cs"/>
          <w:rtl/>
        </w:rPr>
        <w:t>על</w:t>
      </w:r>
      <w:bookmarkStart w:id="27157" w:name="_ETM_Q45_644590"/>
      <w:bookmarkEnd w:id="27157"/>
      <w:r>
        <w:rPr>
          <w:rFonts w:hint="cs"/>
          <w:rtl/>
        </w:rPr>
        <w:t xml:space="preserve"> שלוש </w:t>
      </w:r>
      <w:bookmarkStart w:id="27158" w:name="_ETM_Q45_644920"/>
      <w:bookmarkEnd w:id="27158"/>
      <w:r>
        <w:rPr>
          <w:rFonts w:hint="cs"/>
          <w:rtl/>
        </w:rPr>
        <w:t xml:space="preserve">עבירות </w:t>
      </w:r>
      <w:bookmarkStart w:id="27159" w:name="_ETM_Q45_645280"/>
      <w:bookmarkEnd w:id="27159"/>
      <w:r>
        <w:rPr>
          <w:rFonts w:hint="cs"/>
          <w:rtl/>
        </w:rPr>
        <w:t xml:space="preserve">עיקריות: </w:t>
      </w:r>
      <w:bookmarkStart w:id="27160" w:name="_ETM_Q45_645910"/>
      <w:bookmarkEnd w:id="27160"/>
      <w:r>
        <w:rPr>
          <w:rFonts w:hint="cs"/>
          <w:rtl/>
        </w:rPr>
        <w:t xml:space="preserve">עבודה </w:t>
      </w:r>
      <w:bookmarkStart w:id="27161" w:name="_ETM_Q45_646240"/>
      <w:bookmarkEnd w:id="27161"/>
      <w:r>
        <w:rPr>
          <w:rFonts w:hint="cs"/>
          <w:rtl/>
        </w:rPr>
        <w:t xml:space="preserve">זרה, </w:t>
      </w:r>
      <w:bookmarkStart w:id="27162" w:name="_ETM_Q45_646570"/>
      <w:bookmarkEnd w:id="27162"/>
      <w:r>
        <w:rPr>
          <w:rFonts w:hint="cs"/>
          <w:rtl/>
        </w:rPr>
        <w:t xml:space="preserve">גילוי </w:t>
      </w:r>
      <w:bookmarkStart w:id="27163" w:name="_ETM_Q45_646870"/>
      <w:bookmarkEnd w:id="27163"/>
      <w:r>
        <w:rPr>
          <w:rFonts w:hint="cs"/>
          <w:rtl/>
        </w:rPr>
        <w:t xml:space="preserve">עריות </w:t>
      </w:r>
      <w:bookmarkStart w:id="27164" w:name="_ETM_Q45_647470"/>
      <w:bookmarkEnd w:id="27164"/>
      <w:r>
        <w:rPr>
          <w:rFonts w:hint="cs"/>
          <w:rtl/>
        </w:rPr>
        <w:t xml:space="preserve">ושפיכות </w:t>
      </w:r>
      <w:bookmarkStart w:id="27165" w:name="_ETM_Q45_647980"/>
      <w:bookmarkEnd w:id="27165"/>
      <w:r>
        <w:rPr>
          <w:rFonts w:hint="cs"/>
          <w:rtl/>
        </w:rPr>
        <w:t xml:space="preserve">דמים </w:t>
      </w:r>
      <w:bookmarkStart w:id="27166" w:name="_ETM_Q45_649310"/>
      <w:bookmarkStart w:id="27167" w:name="_ETM_Q45_649819"/>
      <w:bookmarkEnd w:id="27166"/>
      <w:bookmarkEnd w:id="27167"/>
      <w:r>
        <w:rPr>
          <w:rFonts w:hint="cs"/>
          <w:rtl/>
        </w:rPr>
        <w:t xml:space="preserve">– בית </w:t>
      </w:r>
      <w:bookmarkStart w:id="27168" w:name="_ETM_Q45_650030"/>
      <w:bookmarkEnd w:id="27168"/>
      <w:r>
        <w:rPr>
          <w:rFonts w:hint="cs"/>
          <w:rtl/>
        </w:rPr>
        <w:t xml:space="preserve">המקדש </w:t>
      </w:r>
      <w:bookmarkStart w:id="27169" w:name="_ETM_Q45_650510"/>
      <w:bookmarkEnd w:id="27169"/>
      <w:r>
        <w:rPr>
          <w:rFonts w:hint="cs"/>
          <w:rtl/>
        </w:rPr>
        <w:t xml:space="preserve">השני </w:t>
      </w:r>
      <w:bookmarkStart w:id="27170" w:name="_ETM_Q45_651800"/>
      <w:bookmarkEnd w:id="27170"/>
      <w:r>
        <w:rPr>
          <w:rFonts w:hint="cs"/>
          <w:rtl/>
        </w:rPr>
        <w:t xml:space="preserve">חרב </w:t>
      </w:r>
      <w:bookmarkStart w:id="27171" w:name="_ETM_Q45_652370"/>
      <w:bookmarkEnd w:id="27171"/>
      <w:r>
        <w:rPr>
          <w:rFonts w:hint="cs"/>
          <w:rtl/>
        </w:rPr>
        <w:t xml:space="preserve">בעיקר </w:t>
      </w:r>
      <w:bookmarkStart w:id="27172" w:name="_ETM_Q45_653490"/>
      <w:bookmarkEnd w:id="27172"/>
      <w:r>
        <w:rPr>
          <w:rFonts w:hint="cs"/>
          <w:rtl/>
        </w:rPr>
        <w:t xml:space="preserve">על </w:t>
      </w:r>
      <w:bookmarkStart w:id="27173" w:name="_ETM_Q45_653670"/>
      <w:bookmarkEnd w:id="27173"/>
      <w:r>
        <w:rPr>
          <w:rFonts w:hint="cs"/>
          <w:rtl/>
        </w:rPr>
        <w:t>עבירה</w:t>
      </w:r>
      <w:bookmarkStart w:id="27174" w:name="_ETM_Q45_654090"/>
      <w:bookmarkEnd w:id="27174"/>
      <w:r>
        <w:rPr>
          <w:rFonts w:hint="cs"/>
          <w:rtl/>
        </w:rPr>
        <w:t xml:space="preserve"> אחת, </w:t>
      </w:r>
      <w:bookmarkStart w:id="27175" w:name="_ETM_Q45_654960"/>
      <w:bookmarkEnd w:id="27175"/>
      <w:r>
        <w:rPr>
          <w:rFonts w:hint="cs"/>
          <w:rtl/>
        </w:rPr>
        <w:t xml:space="preserve">שהיא </w:t>
      </w:r>
      <w:bookmarkStart w:id="27176" w:name="_ETM_Q45_655290"/>
      <w:bookmarkEnd w:id="27176"/>
      <w:r>
        <w:rPr>
          <w:rFonts w:hint="cs"/>
          <w:rtl/>
        </w:rPr>
        <w:t xml:space="preserve">שנאת </w:t>
      </w:r>
      <w:bookmarkStart w:id="27177" w:name="_ETM_Q45_655860"/>
      <w:bookmarkEnd w:id="27177"/>
      <w:r>
        <w:rPr>
          <w:rFonts w:hint="cs"/>
          <w:rtl/>
        </w:rPr>
        <w:t xml:space="preserve">חינם </w:t>
      </w:r>
      <w:bookmarkStart w:id="27178" w:name="_ETM_Q45_656700"/>
      <w:bookmarkEnd w:id="27178"/>
      <w:r>
        <w:rPr>
          <w:rFonts w:hint="cs"/>
          <w:rtl/>
        </w:rPr>
        <w:t xml:space="preserve">בין </w:t>
      </w:r>
      <w:bookmarkStart w:id="27179" w:name="_ETM_Q45_657030"/>
      <w:bookmarkEnd w:id="27179"/>
      <w:r>
        <w:rPr>
          <w:rFonts w:hint="cs"/>
          <w:rtl/>
        </w:rPr>
        <w:t xml:space="preserve">איש </w:t>
      </w:r>
      <w:bookmarkStart w:id="27180" w:name="_ETM_Q45_657360"/>
      <w:bookmarkEnd w:id="27180"/>
      <w:r>
        <w:rPr>
          <w:rFonts w:hint="cs"/>
          <w:rtl/>
        </w:rPr>
        <w:t xml:space="preserve">לרעהו. </w:t>
      </w:r>
      <w:bookmarkStart w:id="27181" w:name="_ETM_Q45_658530"/>
      <w:bookmarkEnd w:id="27181"/>
      <w:r>
        <w:rPr>
          <w:rFonts w:hint="cs"/>
          <w:rtl/>
        </w:rPr>
        <w:t xml:space="preserve">אומרים </w:t>
      </w:r>
      <w:bookmarkStart w:id="27182" w:name="_ETM_Q45_658860"/>
      <w:bookmarkEnd w:id="27182"/>
      <w:r>
        <w:rPr>
          <w:rFonts w:hint="cs"/>
          <w:rtl/>
        </w:rPr>
        <w:t>ש</w:t>
      </w:r>
      <w:r w:rsidR="003B087F">
        <w:rPr>
          <w:rFonts w:hint="cs"/>
          <w:rtl/>
        </w:rPr>
        <w:t>זו</w:t>
      </w:r>
      <w:r>
        <w:rPr>
          <w:rFonts w:hint="cs"/>
          <w:rtl/>
        </w:rPr>
        <w:t xml:space="preserve"> </w:t>
      </w:r>
      <w:bookmarkStart w:id="27183" w:name="_ETM_Q45_659150"/>
      <w:bookmarkEnd w:id="27183"/>
      <w:r>
        <w:rPr>
          <w:rFonts w:hint="cs"/>
          <w:rtl/>
        </w:rPr>
        <w:t xml:space="preserve">הייתה </w:t>
      </w:r>
      <w:bookmarkStart w:id="27184" w:name="_ETM_Q45_659510"/>
      <w:bookmarkEnd w:id="27184"/>
      <w:r>
        <w:rPr>
          <w:rFonts w:hint="cs"/>
          <w:rtl/>
        </w:rPr>
        <w:t>כל</w:t>
      </w:r>
      <w:bookmarkStart w:id="27185" w:name="_ETM_Q45_659689"/>
      <w:bookmarkEnd w:id="27185"/>
      <w:r>
        <w:rPr>
          <w:rFonts w:hint="cs"/>
          <w:rtl/>
        </w:rPr>
        <w:t xml:space="preserve"> כך </w:t>
      </w:r>
      <w:bookmarkStart w:id="27186" w:name="_ETM_Q45_660049"/>
      <w:bookmarkEnd w:id="27186"/>
      <w:r>
        <w:rPr>
          <w:rFonts w:hint="cs"/>
          <w:rtl/>
        </w:rPr>
        <w:t xml:space="preserve">חמורה </w:t>
      </w:r>
      <w:bookmarkStart w:id="27187" w:name="_ETM_Q45_660500"/>
      <w:bookmarkEnd w:id="27187"/>
      <w:r>
        <w:rPr>
          <w:rFonts w:hint="cs"/>
          <w:rtl/>
        </w:rPr>
        <w:t xml:space="preserve">שהיא </w:t>
      </w:r>
      <w:bookmarkStart w:id="27188" w:name="_ETM_Q45_660650"/>
      <w:bookmarkEnd w:id="27188"/>
      <w:r>
        <w:rPr>
          <w:rFonts w:hint="cs"/>
          <w:rtl/>
        </w:rPr>
        <w:t xml:space="preserve">הייתה </w:t>
      </w:r>
      <w:bookmarkStart w:id="27189" w:name="_ETM_Q45_660860"/>
      <w:bookmarkEnd w:id="27189"/>
      <w:r>
        <w:rPr>
          <w:rFonts w:hint="cs"/>
          <w:rtl/>
        </w:rPr>
        <w:t xml:space="preserve">שקולה </w:t>
      </w:r>
      <w:bookmarkStart w:id="27190" w:name="_ETM_Q45_662209"/>
      <w:bookmarkEnd w:id="27190"/>
      <w:r>
        <w:rPr>
          <w:rFonts w:hint="cs"/>
          <w:rtl/>
        </w:rPr>
        <w:t xml:space="preserve">לשלוש </w:t>
      </w:r>
      <w:bookmarkStart w:id="27191" w:name="_ETM_Q45_662870"/>
      <w:bookmarkEnd w:id="27191"/>
      <w:r>
        <w:rPr>
          <w:rFonts w:hint="cs"/>
          <w:rtl/>
        </w:rPr>
        <w:t xml:space="preserve">העבירות </w:t>
      </w:r>
      <w:bookmarkStart w:id="27192" w:name="_ETM_Q45_663469"/>
      <w:bookmarkEnd w:id="27192"/>
      <w:r>
        <w:rPr>
          <w:rFonts w:hint="cs"/>
          <w:rtl/>
        </w:rPr>
        <w:t xml:space="preserve">האחרות, </w:t>
      </w:r>
      <w:bookmarkStart w:id="27193" w:name="_ETM_Q45_664910"/>
      <w:bookmarkEnd w:id="27193"/>
      <w:r>
        <w:rPr>
          <w:rFonts w:hint="cs"/>
          <w:rtl/>
        </w:rPr>
        <w:t xml:space="preserve">שהן </w:t>
      </w:r>
      <w:bookmarkStart w:id="27194" w:name="_ETM_Q45_665720"/>
      <w:bookmarkEnd w:id="27194"/>
      <w:r>
        <w:rPr>
          <w:rFonts w:hint="cs"/>
          <w:rtl/>
        </w:rPr>
        <w:t xml:space="preserve">חמורות </w:t>
      </w:r>
      <w:bookmarkStart w:id="27195" w:name="_ETM_Q45_666890"/>
      <w:bookmarkEnd w:id="27195"/>
      <w:r>
        <w:rPr>
          <w:rFonts w:hint="cs"/>
          <w:rtl/>
        </w:rPr>
        <w:t>מאוד.</w:t>
      </w:r>
    </w:p>
    <w:p w:rsidR="00BB59CD" w:rsidRDefault="00BB59CD" w:rsidP="00BB59CD">
      <w:pPr>
        <w:rPr>
          <w:rtl/>
        </w:rPr>
      </w:pPr>
    </w:p>
    <w:p w:rsidR="00BB59CD" w:rsidRDefault="00BB59CD" w:rsidP="00BB59CD">
      <w:pPr>
        <w:pStyle w:val="af8"/>
        <w:keepNext/>
        <w:rPr>
          <w:rtl/>
        </w:rPr>
      </w:pPr>
      <w:bookmarkStart w:id="27196" w:name="ET_interruption_5520_29"/>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27196"/>
    </w:p>
    <w:p w:rsidR="00BB59CD" w:rsidRDefault="00BB59CD" w:rsidP="00337201">
      <w:pPr>
        <w:rPr>
          <w:rtl/>
        </w:rPr>
      </w:pPr>
    </w:p>
    <w:p w:rsidR="00BB59CD" w:rsidRDefault="00BB59CD" w:rsidP="00BB59CD">
      <w:pPr>
        <w:rPr>
          <w:rtl/>
        </w:rPr>
      </w:pPr>
      <w:bookmarkStart w:id="27197" w:name="_ETM_Q45_668890"/>
      <w:bookmarkEnd w:id="27197"/>
      <w:r>
        <w:rPr>
          <w:rFonts w:hint="cs"/>
          <w:rtl/>
        </w:rPr>
        <w:t xml:space="preserve">מסכת </w:t>
      </w:r>
      <w:bookmarkStart w:id="27198" w:name="_ETM_Q45_669340"/>
      <w:bookmarkEnd w:id="27198"/>
      <w:r>
        <w:rPr>
          <w:rFonts w:hint="cs"/>
          <w:rtl/>
        </w:rPr>
        <w:t>יומא.</w:t>
      </w:r>
    </w:p>
    <w:p w:rsidR="00BB59CD" w:rsidRDefault="00BB59CD" w:rsidP="00BB59CD">
      <w:pPr>
        <w:rPr>
          <w:rtl/>
        </w:rPr>
      </w:pPr>
    </w:p>
    <w:p w:rsidR="00BB59CD" w:rsidRDefault="00BB59CD" w:rsidP="00BB59CD">
      <w:pPr>
        <w:pStyle w:val="-"/>
        <w:keepNext/>
        <w:rPr>
          <w:rtl/>
        </w:rPr>
      </w:pPr>
      <w:bookmarkStart w:id="27199" w:name="ET_speakercontinue_5115_30"/>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7199"/>
    </w:p>
    <w:p w:rsidR="00BB59CD" w:rsidRDefault="00BB59CD" w:rsidP="00337201">
      <w:pPr>
        <w:rPr>
          <w:rtl/>
        </w:rPr>
      </w:pPr>
    </w:p>
    <w:p w:rsidR="00BB59CD" w:rsidRDefault="00BB59CD" w:rsidP="003B087F">
      <w:pPr>
        <w:rPr>
          <w:rtl/>
        </w:rPr>
      </w:pPr>
      <w:bookmarkStart w:id="27200" w:name="_ETM_Q45_670000"/>
      <w:bookmarkEnd w:id="27200"/>
      <w:r>
        <w:rPr>
          <w:rFonts w:hint="cs"/>
          <w:rtl/>
        </w:rPr>
        <w:t xml:space="preserve">מסכת יומא, </w:t>
      </w:r>
      <w:bookmarkStart w:id="27201" w:name="_ETM_Q45_671516"/>
      <w:bookmarkEnd w:id="27201"/>
      <w:r>
        <w:rPr>
          <w:rFonts w:hint="cs"/>
          <w:rtl/>
        </w:rPr>
        <w:t xml:space="preserve">מחדד </w:t>
      </w:r>
      <w:bookmarkStart w:id="27202" w:name="_ETM_Q45_671019"/>
      <w:bookmarkEnd w:id="27202"/>
      <w:r>
        <w:rPr>
          <w:rFonts w:hint="cs"/>
          <w:rtl/>
        </w:rPr>
        <w:t xml:space="preserve">חבר </w:t>
      </w:r>
      <w:bookmarkStart w:id="27203" w:name="_ETM_Q45_671379"/>
      <w:bookmarkEnd w:id="27203"/>
      <w:r>
        <w:rPr>
          <w:rFonts w:hint="cs"/>
          <w:rtl/>
        </w:rPr>
        <w:t xml:space="preserve">הכנסת </w:t>
      </w:r>
      <w:bookmarkStart w:id="27204" w:name="_ETM_Q45_671890"/>
      <w:bookmarkEnd w:id="27204"/>
      <w:r>
        <w:rPr>
          <w:rFonts w:hint="cs"/>
          <w:rtl/>
        </w:rPr>
        <w:t xml:space="preserve">עודד </w:t>
      </w:r>
      <w:bookmarkStart w:id="27205" w:name="_ETM_Q45_672250"/>
      <w:bookmarkEnd w:id="27205"/>
      <w:r>
        <w:rPr>
          <w:rFonts w:hint="cs"/>
          <w:rtl/>
        </w:rPr>
        <w:t xml:space="preserve">פורר. </w:t>
      </w:r>
      <w:bookmarkStart w:id="27206" w:name="_ETM_Q45_672879"/>
      <w:bookmarkEnd w:id="27206"/>
      <w:r>
        <w:rPr>
          <w:rFonts w:hint="cs"/>
          <w:rtl/>
        </w:rPr>
        <w:t xml:space="preserve">לצערי, </w:t>
      </w:r>
      <w:bookmarkStart w:id="27207" w:name="_ETM_Q45_673810"/>
      <w:bookmarkEnd w:id="27207"/>
      <w:r>
        <w:rPr>
          <w:rFonts w:hint="cs"/>
          <w:rtl/>
        </w:rPr>
        <w:t xml:space="preserve">ההשלכות </w:t>
      </w:r>
      <w:bookmarkStart w:id="27208" w:name="_ETM_Q45_674379"/>
      <w:bookmarkEnd w:id="27208"/>
      <w:r>
        <w:rPr>
          <w:rFonts w:hint="cs"/>
          <w:rtl/>
        </w:rPr>
        <w:t xml:space="preserve">שגרמו </w:t>
      </w:r>
      <w:bookmarkStart w:id="27209" w:name="_ETM_Q45_674829"/>
      <w:bookmarkEnd w:id="27209"/>
      <w:r>
        <w:rPr>
          <w:rFonts w:hint="cs"/>
          <w:rtl/>
        </w:rPr>
        <w:t xml:space="preserve">לחורבן, </w:t>
      </w:r>
      <w:bookmarkStart w:id="27210" w:name="_ETM_Q45_676680"/>
      <w:bookmarkEnd w:id="27210"/>
      <w:r>
        <w:rPr>
          <w:rFonts w:hint="cs"/>
          <w:rtl/>
        </w:rPr>
        <w:t xml:space="preserve">גם </w:t>
      </w:r>
      <w:bookmarkStart w:id="27211" w:name="_ETM_Q45_677010"/>
      <w:bookmarkEnd w:id="27211"/>
      <w:r>
        <w:rPr>
          <w:rFonts w:hint="cs"/>
          <w:rtl/>
        </w:rPr>
        <w:t xml:space="preserve">בימים </w:t>
      </w:r>
      <w:bookmarkStart w:id="27212" w:name="_ETM_Q45_677459"/>
      <w:bookmarkEnd w:id="27212"/>
      <w:r>
        <w:rPr>
          <w:rFonts w:hint="cs"/>
          <w:rtl/>
        </w:rPr>
        <w:t xml:space="preserve">אלה </w:t>
      </w:r>
      <w:bookmarkStart w:id="27213" w:name="_ETM_Q45_677620"/>
      <w:bookmarkStart w:id="27214" w:name="_ETM_Q45_678010"/>
      <w:bookmarkEnd w:id="27213"/>
      <w:bookmarkEnd w:id="27214"/>
      <w:r>
        <w:rPr>
          <w:rFonts w:hint="cs"/>
          <w:rtl/>
        </w:rPr>
        <w:t xml:space="preserve">עדיין </w:t>
      </w:r>
      <w:bookmarkStart w:id="27215" w:name="_ETM_Q45_679150"/>
      <w:bookmarkEnd w:id="27215"/>
      <w:r>
        <w:rPr>
          <w:rFonts w:hint="cs"/>
          <w:rtl/>
        </w:rPr>
        <w:t xml:space="preserve">קיימות. </w:t>
      </w:r>
      <w:bookmarkStart w:id="27216" w:name="_ETM_Q45_680690"/>
      <w:bookmarkEnd w:id="27216"/>
      <w:r>
        <w:rPr>
          <w:rFonts w:hint="cs"/>
          <w:rtl/>
        </w:rPr>
        <w:t xml:space="preserve">עוד </w:t>
      </w:r>
      <w:bookmarkStart w:id="27217" w:name="_ETM_Q45_680900"/>
      <w:bookmarkEnd w:id="27217"/>
      <w:r>
        <w:rPr>
          <w:rFonts w:hint="cs"/>
          <w:rtl/>
        </w:rPr>
        <w:t xml:space="preserve">הרבה </w:t>
      </w:r>
      <w:bookmarkStart w:id="27218" w:name="_ETM_Q45_681170"/>
      <w:bookmarkEnd w:id="27218"/>
      <w:r>
        <w:rPr>
          <w:rFonts w:hint="cs"/>
          <w:rtl/>
        </w:rPr>
        <w:t xml:space="preserve">דרשות </w:t>
      </w:r>
      <w:bookmarkStart w:id="27219" w:name="_ETM_Q45_682500"/>
      <w:bookmarkEnd w:id="27219"/>
      <w:r>
        <w:rPr>
          <w:rFonts w:hint="cs"/>
          <w:rtl/>
        </w:rPr>
        <w:t xml:space="preserve">מסופרות </w:t>
      </w:r>
      <w:bookmarkStart w:id="27220" w:name="_ETM_Q45_684730"/>
      <w:bookmarkEnd w:id="27220"/>
      <w:r>
        <w:rPr>
          <w:rFonts w:hint="cs"/>
          <w:rtl/>
        </w:rPr>
        <w:t xml:space="preserve">על </w:t>
      </w:r>
      <w:bookmarkStart w:id="27221" w:name="_ETM_Q45_684909"/>
      <w:bookmarkEnd w:id="27221"/>
      <w:r>
        <w:rPr>
          <w:rFonts w:hint="cs"/>
          <w:rtl/>
        </w:rPr>
        <w:t xml:space="preserve">מנהיגות </w:t>
      </w:r>
      <w:bookmarkStart w:id="27222" w:name="_ETM_Q45_686079"/>
      <w:bookmarkEnd w:id="27222"/>
      <w:r>
        <w:rPr>
          <w:rFonts w:hint="cs"/>
          <w:rtl/>
        </w:rPr>
        <w:t xml:space="preserve">וקובעי </w:t>
      </w:r>
      <w:bookmarkStart w:id="27223" w:name="_ETM_Q45_686680"/>
      <w:bookmarkEnd w:id="27223"/>
      <w:r>
        <w:rPr>
          <w:rFonts w:hint="cs"/>
          <w:rtl/>
        </w:rPr>
        <w:t xml:space="preserve">דעת </w:t>
      </w:r>
      <w:bookmarkStart w:id="27224" w:name="_ETM_Q45_687010"/>
      <w:bookmarkEnd w:id="27224"/>
      <w:r>
        <w:rPr>
          <w:rFonts w:hint="cs"/>
          <w:rtl/>
        </w:rPr>
        <w:t>קהל</w:t>
      </w:r>
      <w:r w:rsidR="003B087F">
        <w:rPr>
          <w:rFonts w:hint="cs"/>
          <w:rtl/>
        </w:rPr>
        <w:t>,</w:t>
      </w:r>
      <w:r>
        <w:rPr>
          <w:rFonts w:hint="cs"/>
          <w:rtl/>
        </w:rPr>
        <w:t xml:space="preserve"> </w:t>
      </w:r>
      <w:bookmarkStart w:id="27225" w:name="_ETM_Q45_687430"/>
      <w:bookmarkEnd w:id="27225"/>
      <w:r>
        <w:rPr>
          <w:rFonts w:hint="cs"/>
          <w:rtl/>
        </w:rPr>
        <w:t xml:space="preserve">גם </w:t>
      </w:r>
      <w:bookmarkStart w:id="27226" w:name="_ETM_Q45_687699"/>
      <w:bookmarkEnd w:id="27226"/>
      <w:r>
        <w:rPr>
          <w:rFonts w:hint="cs"/>
          <w:rtl/>
        </w:rPr>
        <w:t xml:space="preserve">באותם </w:t>
      </w:r>
      <w:bookmarkStart w:id="27227" w:name="_ETM_Q45_688090"/>
      <w:bookmarkEnd w:id="27227"/>
      <w:r>
        <w:rPr>
          <w:rFonts w:hint="cs"/>
          <w:rtl/>
        </w:rPr>
        <w:t xml:space="preserve">ימים </w:t>
      </w:r>
      <w:bookmarkStart w:id="27228" w:name="_ETM_Q45_689270"/>
      <w:bookmarkEnd w:id="27228"/>
      <w:r>
        <w:rPr>
          <w:rFonts w:hint="cs"/>
          <w:rtl/>
        </w:rPr>
        <w:t xml:space="preserve">של </w:t>
      </w:r>
      <w:bookmarkStart w:id="27229" w:name="_ETM_Q45_689510"/>
      <w:bookmarkEnd w:id="27229"/>
      <w:r>
        <w:rPr>
          <w:rFonts w:hint="cs"/>
          <w:rtl/>
        </w:rPr>
        <w:t>חורבן</w:t>
      </w:r>
      <w:r w:rsidR="003B087F">
        <w:rPr>
          <w:rFonts w:hint="cs"/>
          <w:rtl/>
        </w:rPr>
        <w:t>,</w:t>
      </w:r>
      <w:r>
        <w:rPr>
          <w:rFonts w:hint="cs"/>
          <w:rtl/>
        </w:rPr>
        <w:t xml:space="preserve"> </w:t>
      </w:r>
      <w:bookmarkStart w:id="27230" w:name="_ETM_Q45_690230"/>
      <w:bookmarkEnd w:id="27230"/>
      <w:r>
        <w:rPr>
          <w:rFonts w:hint="cs"/>
          <w:rtl/>
        </w:rPr>
        <w:t xml:space="preserve">אשר </w:t>
      </w:r>
      <w:bookmarkStart w:id="27231" w:name="_ETM_Q45_690500"/>
      <w:bookmarkEnd w:id="27231"/>
      <w:r>
        <w:rPr>
          <w:rFonts w:hint="cs"/>
          <w:rtl/>
        </w:rPr>
        <w:t xml:space="preserve">נהגו </w:t>
      </w:r>
      <w:bookmarkStart w:id="27232" w:name="_ETM_Q45_690920"/>
      <w:bookmarkEnd w:id="27232"/>
      <w:r>
        <w:rPr>
          <w:rFonts w:hint="cs"/>
          <w:rtl/>
        </w:rPr>
        <w:t xml:space="preserve">בשנאה </w:t>
      </w:r>
      <w:bookmarkStart w:id="27233" w:name="_ETM_Q45_691670"/>
      <w:bookmarkEnd w:id="27233"/>
      <w:r>
        <w:rPr>
          <w:rFonts w:hint="cs"/>
          <w:rtl/>
        </w:rPr>
        <w:t xml:space="preserve">אחד </w:t>
      </w:r>
      <w:bookmarkStart w:id="27234" w:name="_ETM_Q45_692059"/>
      <w:bookmarkEnd w:id="27234"/>
      <w:r>
        <w:rPr>
          <w:rFonts w:hint="cs"/>
          <w:rtl/>
        </w:rPr>
        <w:t xml:space="preserve">כלפי </w:t>
      </w:r>
      <w:bookmarkStart w:id="27235" w:name="_ETM_Q45_692450"/>
      <w:bookmarkEnd w:id="27235"/>
      <w:r>
        <w:rPr>
          <w:rFonts w:hint="cs"/>
          <w:rtl/>
        </w:rPr>
        <w:t xml:space="preserve">השני, </w:t>
      </w:r>
      <w:bookmarkStart w:id="27236" w:name="_ETM_Q45_693050"/>
      <w:bookmarkEnd w:id="27236"/>
      <w:r>
        <w:rPr>
          <w:rFonts w:hint="cs"/>
          <w:rtl/>
        </w:rPr>
        <w:t xml:space="preserve">אך </w:t>
      </w:r>
      <w:bookmarkStart w:id="27237" w:name="_ETM_Q45_693200"/>
      <w:bookmarkEnd w:id="27237"/>
      <w:r>
        <w:rPr>
          <w:rFonts w:hint="cs"/>
          <w:rtl/>
        </w:rPr>
        <w:t xml:space="preserve">גרוע </w:t>
      </w:r>
      <w:bookmarkStart w:id="27238" w:name="_ETM_Q45_694190"/>
      <w:bookmarkEnd w:id="27238"/>
      <w:r>
        <w:rPr>
          <w:rFonts w:hint="cs"/>
          <w:rtl/>
        </w:rPr>
        <w:t xml:space="preserve">יותר </w:t>
      </w:r>
      <w:bookmarkStart w:id="27239" w:name="_ETM_Q45_694790"/>
      <w:bookmarkEnd w:id="27239"/>
      <w:r w:rsidR="003B087F">
        <w:rPr>
          <w:rFonts w:hint="eastAsia"/>
          <w:rtl/>
        </w:rPr>
        <w:t>–</w:t>
      </w:r>
      <w:r w:rsidR="003B087F">
        <w:rPr>
          <w:rFonts w:hint="cs"/>
          <w:rtl/>
        </w:rPr>
        <w:t xml:space="preserve"> </w:t>
      </w:r>
      <w:r>
        <w:rPr>
          <w:rFonts w:hint="cs"/>
          <w:rtl/>
        </w:rPr>
        <w:t xml:space="preserve">בקיצוניות </w:t>
      </w:r>
      <w:bookmarkStart w:id="27240" w:name="_ETM_Q45_695660"/>
      <w:bookmarkEnd w:id="27240"/>
      <w:r>
        <w:rPr>
          <w:rFonts w:hint="cs"/>
          <w:rtl/>
        </w:rPr>
        <w:t xml:space="preserve">חסרת </w:t>
      </w:r>
      <w:bookmarkStart w:id="27241" w:name="_ETM_Q45_696349"/>
      <w:bookmarkEnd w:id="27241"/>
      <w:r>
        <w:rPr>
          <w:rFonts w:hint="cs"/>
          <w:rtl/>
        </w:rPr>
        <w:t xml:space="preserve">מעצורים </w:t>
      </w:r>
      <w:bookmarkStart w:id="27242" w:name="_ETM_Q45_697980"/>
      <w:bookmarkEnd w:id="27242"/>
      <w:r>
        <w:rPr>
          <w:rFonts w:hint="cs"/>
          <w:rtl/>
        </w:rPr>
        <w:t xml:space="preserve">עד </w:t>
      </w:r>
      <w:bookmarkStart w:id="27243" w:name="_ETM_Q45_698250"/>
      <w:bookmarkEnd w:id="27243"/>
      <w:r>
        <w:rPr>
          <w:rFonts w:hint="cs"/>
          <w:rtl/>
        </w:rPr>
        <w:t xml:space="preserve">כדי </w:t>
      </w:r>
      <w:bookmarkStart w:id="27244" w:name="_ETM_Q45_699069"/>
      <w:bookmarkEnd w:id="27244"/>
      <w:r>
        <w:rPr>
          <w:rFonts w:hint="cs"/>
          <w:rtl/>
        </w:rPr>
        <w:t xml:space="preserve">שרפת </w:t>
      </w:r>
      <w:bookmarkStart w:id="27245" w:name="_ETM_Q45_699609"/>
      <w:bookmarkEnd w:id="27245"/>
      <w:r>
        <w:rPr>
          <w:rFonts w:hint="cs"/>
          <w:rtl/>
        </w:rPr>
        <w:t xml:space="preserve">התבואה </w:t>
      </w:r>
      <w:bookmarkStart w:id="27246" w:name="_ETM_Q45_700059"/>
      <w:bookmarkEnd w:id="27246"/>
      <w:r>
        <w:rPr>
          <w:rFonts w:hint="cs"/>
          <w:rtl/>
        </w:rPr>
        <w:t xml:space="preserve">באסמים </w:t>
      </w:r>
      <w:bookmarkStart w:id="27247" w:name="_ETM_Q45_700689"/>
      <w:bookmarkEnd w:id="27247"/>
      <w:r>
        <w:rPr>
          <w:rFonts w:hint="cs"/>
          <w:rtl/>
        </w:rPr>
        <w:t xml:space="preserve">שבהם </w:t>
      </w:r>
      <w:bookmarkStart w:id="27248" w:name="_ETM_Q45_701019"/>
      <w:bookmarkEnd w:id="27248"/>
      <w:r>
        <w:rPr>
          <w:rFonts w:hint="cs"/>
          <w:rtl/>
        </w:rPr>
        <w:t xml:space="preserve">היה </w:t>
      </w:r>
      <w:bookmarkStart w:id="27249" w:name="_ETM_Q45_701290"/>
      <w:bookmarkEnd w:id="27249"/>
      <w:r>
        <w:rPr>
          <w:rFonts w:hint="cs"/>
          <w:rtl/>
        </w:rPr>
        <w:t xml:space="preserve">די </w:t>
      </w:r>
      <w:bookmarkStart w:id="27250" w:name="_ETM_Q45_703179"/>
      <w:bookmarkEnd w:id="27250"/>
      <w:r>
        <w:rPr>
          <w:rFonts w:hint="cs"/>
          <w:rtl/>
        </w:rPr>
        <w:t xml:space="preserve">להאכיל </w:t>
      </w:r>
      <w:bookmarkStart w:id="27251" w:name="_ETM_Q45_703690"/>
      <w:bookmarkEnd w:id="27251"/>
      <w:r>
        <w:rPr>
          <w:rFonts w:hint="cs"/>
          <w:rtl/>
        </w:rPr>
        <w:t xml:space="preserve">את </w:t>
      </w:r>
      <w:bookmarkStart w:id="27252" w:name="_ETM_Q45_703809"/>
      <w:bookmarkEnd w:id="27252"/>
      <w:r>
        <w:rPr>
          <w:rFonts w:hint="cs"/>
          <w:rtl/>
        </w:rPr>
        <w:t xml:space="preserve">היושבים </w:t>
      </w:r>
      <w:bookmarkStart w:id="27253" w:name="_ETM_Q45_704290"/>
      <w:bookmarkEnd w:id="27253"/>
      <w:r>
        <w:rPr>
          <w:rFonts w:hint="cs"/>
          <w:rtl/>
        </w:rPr>
        <w:t xml:space="preserve">בציון </w:t>
      </w:r>
      <w:bookmarkStart w:id="27254" w:name="_ETM_Q45_704709"/>
      <w:bookmarkEnd w:id="27254"/>
      <w:r>
        <w:rPr>
          <w:rFonts w:hint="cs"/>
          <w:rtl/>
        </w:rPr>
        <w:t xml:space="preserve">לעוד </w:t>
      </w:r>
      <w:bookmarkStart w:id="27255" w:name="_ETM_Q45_704980"/>
      <w:bookmarkEnd w:id="27255"/>
      <w:r>
        <w:rPr>
          <w:rFonts w:hint="cs"/>
          <w:rtl/>
        </w:rPr>
        <w:t xml:space="preserve">עשרות </w:t>
      </w:r>
      <w:bookmarkStart w:id="27256" w:name="_ETM_Q45_705400"/>
      <w:bookmarkEnd w:id="27256"/>
      <w:r>
        <w:rPr>
          <w:rFonts w:hint="cs"/>
          <w:rtl/>
        </w:rPr>
        <w:t>שנים.</w:t>
      </w:r>
      <w:bookmarkStart w:id="27257" w:name="_ETM_Q45_706559"/>
      <w:bookmarkEnd w:id="27257"/>
    </w:p>
    <w:p w:rsidR="00BB59CD" w:rsidRDefault="00BB59CD" w:rsidP="00BB59CD">
      <w:pPr>
        <w:rPr>
          <w:rtl/>
        </w:rPr>
      </w:pPr>
      <w:bookmarkStart w:id="27258" w:name="_ETM_Q45_707438"/>
      <w:bookmarkStart w:id="27259" w:name="_ETM_Q45_707537"/>
      <w:bookmarkEnd w:id="27258"/>
      <w:bookmarkEnd w:id="27259"/>
    </w:p>
    <w:p w:rsidR="00BB59CD" w:rsidRDefault="00BB59CD" w:rsidP="003B087F">
      <w:pPr>
        <w:rPr>
          <w:rtl/>
        </w:rPr>
      </w:pPr>
      <w:bookmarkStart w:id="27260" w:name="_ETM_Q45_707582"/>
      <w:bookmarkStart w:id="27261" w:name="_ETM_Q45_707624"/>
      <w:bookmarkEnd w:id="27260"/>
      <w:bookmarkEnd w:id="27261"/>
      <w:r>
        <w:rPr>
          <w:rFonts w:hint="cs"/>
          <w:rtl/>
        </w:rPr>
        <w:t xml:space="preserve">המסורת </w:t>
      </w:r>
      <w:bookmarkStart w:id="27262" w:name="_ETM_Q45_707219"/>
      <w:bookmarkEnd w:id="27262"/>
      <w:r>
        <w:rPr>
          <w:rFonts w:hint="cs"/>
          <w:rtl/>
        </w:rPr>
        <w:t xml:space="preserve">מספרת </w:t>
      </w:r>
      <w:bookmarkStart w:id="27263" w:name="_ETM_Q45_707819"/>
      <w:bookmarkEnd w:id="27263"/>
      <w:r>
        <w:rPr>
          <w:rFonts w:hint="cs"/>
          <w:rtl/>
        </w:rPr>
        <w:t xml:space="preserve">לנו </w:t>
      </w:r>
      <w:bookmarkStart w:id="27264" w:name="_ETM_Q45_708929"/>
      <w:bookmarkEnd w:id="27264"/>
      <w:r>
        <w:rPr>
          <w:rFonts w:hint="cs"/>
          <w:rtl/>
        </w:rPr>
        <w:t xml:space="preserve">שבזמן </w:t>
      </w:r>
      <w:bookmarkStart w:id="27265" w:name="_ETM_Q45_709439"/>
      <w:bookmarkEnd w:id="27265"/>
      <w:r>
        <w:rPr>
          <w:rFonts w:hint="cs"/>
          <w:rtl/>
        </w:rPr>
        <w:t xml:space="preserve">חורבן </w:t>
      </w:r>
      <w:bookmarkStart w:id="27266" w:name="_ETM_Q45_709829"/>
      <w:bookmarkEnd w:id="27266"/>
      <w:r>
        <w:rPr>
          <w:rFonts w:hint="cs"/>
          <w:rtl/>
        </w:rPr>
        <w:t xml:space="preserve">בית </w:t>
      </w:r>
      <w:bookmarkStart w:id="27267" w:name="_ETM_Q45_710010"/>
      <w:bookmarkEnd w:id="27267"/>
      <w:r>
        <w:rPr>
          <w:rFonts w:hint="cs"/>
          <w:rtl/>
        </w:rPr>
        <w:t xml:space="preserve">המקדש </w:t>
      </w:r>
      <w:bookmarkStart w:id="27268" w:name="_ETM_Q45_711780"/>
      <w:bookmarkEnd w:id="27268"/>
      <w:r>
        <w:rPr>
          <w:rFonts w:hint="cs"/>
          <w:rtl/>
        </w:rPr>
        <w:t xml:space="preserve">– השני, </w:t>
      </w:r>
      <w:bookmarkStart w:id="27269" w:name="_ETM_Q45_712170"/>
      <w:bookmarkEnd w:id="27269"/>
      <w:r>
        <w:rPr>
          <w:rFonts w:hint="cs"/>
          <w:rtl/>
        </w:rPr>
        <w:t xml:space="preserve">כמובן </w:t>
      </w:r>
      <w:bookmarkStart w:id="27270" w:name="_ETM_Q45_712739"/>
      <w:bookmarkEnd w:id="27270"/>
      <w:r>
        <w:rPr>
          <w:rFonts w:hint="cs"/>
          <w:rtl/>
        </w:rPr>
        <w:t xml:space="preserve">– היו </w:t>
      </w:r>
      <w:bookmarkStart w:id="27271" w:name="_ETM_Q45_712920"/>
      <w:bookmarkEnd w:id="27271"/>
      <w:r>
        <w:rPr>
          <w:rFonts w:hint="cs"/>
          <w:rtl/>
        </w:rPr>
        <w:t xml:space="preserve">שני </w:t>
      </w:r>
      <w:bookmarkStart w:id="27272" w:name="_ETM_Q45_713160"/>
      <w:bookmarkEnd w:id="27272"/>
      <w:r>
        <w:rPr>
          <w:rFonts w:hint="cs"/>
          <w:rtl/>
        </w:rPr>
        <w:t xml:space="preserve">מנהיגים </w:t>
      </w:r>
      <w:bookmarkStart w:id="27273" w:name="_ETM_Q45_713610"/>
      <w:bookmarkEnd w:id="27273"/>
      <w:r>
        <w:rPr>
          <w:rFonts w:hint="cs"/>
          <w:rtl/>
        </w:rPr>
        <w:t xml:space="preserve">יהודים, </w:t>
      </w:r>
      <w:bookmarkStart w:id="27274" w:name="_ETM_Q45_714360"/>
      <w:bookmarkEnd w:id="27274"/>
      <w:r>
        <w:rPr>
          <w:rFonts w:hint="cs"/>
          <w:rtl/>
        </w:rPr>
        <w:t xml:space="preserve">רבן </w:t>
      </w:r>
      <w:bookmarkStart w:id="27275" w:name="_ETM_Q45_714780"/>
      <w:bookmarkEnd w:id="27275"/>
      <w:r>
        <w:rPr>
          <w:rFonts w:hint="cs"/>
          <w:rtl/>
        </w:rPr>
        <w:t xml:space="preserve">יוחנן </w:t>
      </w:r>
      <w:bookmarkStart w:id="27276" w:name="_ETM_Q45_715200"/>
      <w:bookmarkEnd w:id="27276"/>
      <w:r>
        <w:rPr>
          <w:rFonts w:hint="cs"/>
          <w:rtl/>
        </w:rPr>
        <w:t xml:space="preserve">בן </w:t>
      </w:r>
      <w:bookmarkStart w:id="27277" w:name="_ETM_Q45_715349"/>
      <w:bookmarkEnd w:id="27277"/>
      <w:r>
        <w:rPr>
          <w:rFonts w:hint="cs"/>
          <w:rtl/>
        </w:rPr>
        <w:t xml:space="preserve">זכאי </w:t>
      </w:r>
      <w:bookmarkStart w:id="27278" w:name="_ETM_Q45_715739"/>
      <w:bookmarkEnd w:id="27278"/>
      <w:r>
        <w:rPr>
          <w:rFonts w:hint="cs"/>
          <w:rtl/>
        </w:rPr>
        <w:t>ו</w:t>
      </w:r>
      <w:bookmarkStart w:id="27279" w:name="_ETM_Q45_716340"/>
      <w:bookmarkEnd w:id="27279"/>
      <w:r>
        <w:rPr>
          <w:rFonts w:hint="cs"/>
          <w:rtl/>
        </w:rPr>
        <w:t xml:space="preserve">אבא סיקרא. </w:t>
      </w:r>
      <w:bookmarkStart w:id="27280" w:name="_ETM_Q45_716689"/>
      <w:bookmarkEnd w:id="27280"/>
      <w:r>
        <w:rPr>
          <w:rFonts w:hint="cs"/>
          <w:rtl/>
        </w:rPr>
        <w:t xml:space="preserve">אבא </w:t>
      </w:r>
      <w:bookmarkStart w:id="27281" w:name="_ETM_Q45_717109"/>
      <w:bookmarkEnd w:id="27281"/>
      <w:r>
        <w:rPr>
          <w:rFonts w:hint="cs"/>
          <w:rtl/>
        </w:rPr>
        <w:t xml:space="preserve">סיקרא </w:t>
      </w:r>
      <w:bookmarkStart w:id="27282" w:name="_ETM_Q45_717290"/>
      <w:bookmarkStart w:id="27283" w:name="_ETM_Q45_717709"/>
      <w:bookmarkEnd w:id="27282"/>
      <w:bookmarkEnd w:id="27283"/>
      <w:r>
        <w:rPr>
          <w:rFonts w:hint="cs"/>
          <w:rtl/>
        </w:rPr>
        <w:t xml:space="preserve">היה </w:t>
      </w:r>
      <w:bookmarkStart w:id="27284" w:name="_ETM_Q45_717949"/>
      <w:bookmarkEnd w:id="27284"/>
      <w:r>
        <w:rPr>
          <w:rFonts w:hint="cs"/>
          <w:rtl/>
        </w:rPr>
        <w:t xml:space="preserve">מנהיגם </w:t>
      </w:r>
      <w:bookmarkStart w:id="27285" w:name="_ETM_Q45_718909"/>
      <w:bookmarkEnd w:id="27285"/>
      <w:r>
        <w:rPr>
          <w:rFonts w:hint="cs"/>
          <w:rtl/>
        </w:rPr>
        <w:t xml:space="preserve">של </w:t>
      </w:r>
      <w:bookmarkStart w:id="27286" w:name="_ETM_Q45_719150"/>
      <w:bookmarkEnd w:id="27286"/>
      <w:r>
        <w:rPr>
          <w:rFonts w:hint="cs"/>
          <w:rtl/>
        </w:rPr>
        <w:t xml:space="preserve">הקיצוניים </w:t>
      </w:r>
      <w:bookmarkStart w:id="27287" w:name="_ETM_Q45_719900"/>
      <w:bookmarkEnd w:id="27287"/>
      <w:r>
        <w:rPr>
          <w:rFonts w:hint="cs"/>
          <w:rtl/>
        </w:rPr>
        <w:t xml:space="preserve">ששרפו </w:t>
      </w:r>
      <w:bookmarkStart w:id="27288" w:name="_ETM_Q45_720409"/>
      <w:bookmarkStart w:id="27289" w:name="_ETM_Q45_721040"/>
      <w:bookmarkEnd w:id="27288"/>
      <w:bookmarkEnd w:id="27289"/>
      <w:r>
        <w:rPr>
          <w:rFonts w:hint="cs"/>
          <w:rtl/>
        </w:rPr>
        <w:t xml:space="preserve">את אסמיהם של </w:t>
      </w:r>
      <w:bookmarkStart w:id="27290" w:name="_ETM_Q45_721279"/>
      <w:bookmarkEnd w:id="27290"/>
      <w:r>
        <w:rPr>
          <w:rFonts w:hint="cs"/>
          <w:rtl/>
        </w:rPr>
        <w:t xml:space="preserve">תושבי </w:t>
      </w:r>
      <w:bookmarkStart w:id="27291" w:name="_ETM_Q45_721759"/>
      <w:bookmarkEnd w:id="27291"/>
      <w:r>
        <w:rPr>
          <w:rFonts w:hint="cs"/>
          <w:rtl/>
        </w:rPr>
        <w:t xml:space="preserve">ירושלים, </w:t>
      </w:r>
      <w:bookmarkStart w:id="27292" w:name="_ETM_Q45_723220"/>
      <w:bookmarkEnd w:id="27292"/>
      <w:r>
        <w:rPr>
          <w:rFonts w:hint="cs"/>
          <w:rtl/>
        </w:rPr>
        <w:t xml:space="preserve">כל </w:t>
      </w:r>
      <w:bookmarkStart w:id="27293" w:name="_ETM_Q45_723520"/>
      <w:bookmarkEnd w:id="27293"/>
      <w:r>
        <w:rPr>
          <w:rFonts w:hint="cs"/>
          <w:rtl/>
        </w:rPr>
        <w:t xml:space="preserve">זאת </w:t>
      </w:r>
      <w:bookmarkStart w:id="27294" w:name="_ETM_Q45_723790"/>
      <w:bookmarkEnd w:id="27294"/>
      <w:r>
        <w:rPr>
          <w:rFonts w:hint="cs"/>
          <w:rtl/>
        </w:rPr>
        <w:t xml:space="preserve">כדי </w:t>
      </w:r>
      <w:bookmarkStart w:id="27295" w:name="_ETM_Q45_724059"/>
      <w:bookmarkEnd w:id="27295"/>
      <w:r>
        <w:rPr>
          <w:rFonts w:hint="cs"/>
          <w:rtl/>
        </w:rPr>
        <w:t>ש</w:t>
      </w:r>
      <w:bookmarkStart w:id="27296" w:name="_ETM_Q45_724409"/>
      <w:bookmarkEnd w:id="27296"/>
      <w:r>
        <w:rPr>
          <w:rFonts w:hint="cs"/>
          <w:rtl/>
        </w:rPr>
        <w:t xml:space="preserve">יצאו </w:t>
      </w:r>
      <w:bookmarkStart w:id="27297" w:name="_ETM_Q45_724589"/>
      <w:bookmarkEnd w:id="27297"/>
      <w:r>
        <w:rPr>
          <w:rFonts w:hint="cs"/>
          <w:rtl/>
        </w:rPr>
        <w:t xml:space="preserve">להילחם </w:t>
      </w:r>
      <w:bookmarkStart w:id="27298" w:name="_ETM_Q45_725429"/>
      <w:bookmarkEnd w:id="27298"/>
      <w:r>
        <w:rPr>
          <w:rFonts w:hint="cs"/>
          <w:rtl/>
        </w:rPr>
        <w:t xml:space="preserve">ברומאים </w:t>
      </w:r>
      <w:bookmarkStart w:id="27299" w:name="_ETM_Q45_726220"/>
      <w:bookmarkEnd w:id="27299"/>
      <w:r>
        <w:rPr>
          <w:rFonts w:hint="cs"/>
          <w:rtl/>
        </w:rPr>
        <w:t xml:space="preserve">בגישת </w:t>
      </w:r>
      <w:bookmarkStart w:id="27300" w:name="_ETM_Q45_726850"/>
      <w:bookmarkEnd w:id="27300"/>
      <w:r>
        <w:rPr>
          <w:rFonts w:hint="cs"/>
          <w:rtl/>
        </w:rPr>
        <w:t xml:space="preserve">"תמות </w:t>
      </w:r>
      <w:bookmarkStart w:id="27301" w:name="_ETM_Q45_727240"/>
      <w:bookmarkEnd w:id="27301"/>
      <w:r>
        <w:rPr>
          <w:rFonts w:hint="cs"/>
          <w:rtl/>
        </w:rPr>
        <w:t xml:space="preserve">נפשי </w:t>
      </w:r>
      <w:bookmarkStart w:id="27302" w:name="_ETM_Q45_727809"/>
      <w:bookmarkEnd w:id="27302"/>
      <w:r>
        <w:rPr>
          <w:rFonts w:hint="cs"/>
          <w:rtl/>
        </w:rPr>
        <w:t xml:space="preserve">עם </w:t>
      </w:r>
      <w:bookmarkStart w:id="27303" w:name="_ETM_Q45_727960"/>
      <w:bookmarkEnd w:id="27303"/>
      <w:r>
        <w:rPr>
          <w:rFonts w:hint="cs"/>
          <w:rtl/>
        </w:rPr>
        <w:t xml:space="preserve">פלשתים". </w:t>
      </w:r>
      <w:bookmarkStart w:id="27304" w:name="_ETM_Q45_729420"/>
      <w:bookmarkEnd w:id="27304"/>
      <w:r>
        <w:rPr>
          <w:rFonts w:hint="cs"/>
          <w:rtl/>
        </w:rPr>
        <w:t xml:space="preserve">רבן </w:t>
      </w:r>
      <w:bookmarkStart w:id="27305" w:name="_ETM_Q45_729840"/>
      <w:bookmarkEnd w:id="27305"/>
      <w:r>
        <w:rPr>
          <w:rFonts w:hint="cs"/>
          <w:rtl/>
        </w:rPr>
        <w:t xml:space="preserve">יוחנן </w:t>
      </w:r>
      <w:bookmarkStart w:id="27306" w:name="_ETM_Q45_730260"/>
      <w:bookmarkEnd w:id="27306"/>
      <w:r>
        <w:rPr>
          <w:rFonts w:hint="cs"/>
          <w:rtl/>
        </w:rPr>
        <w:t xml:space="preserve">בן </w:t>
      </w:r>
      <w:bookmarkStart w:id="27307" w:name="_ETM_Q45_730409"/>
      <w:bookmarkEnd w:id="27307"/>
      <w:r>
        <w:rPr>
          <w:rFonts w:hint="cs"/>
          <w:rtl/>
        </w:rPr>
        <w:t xml:space="preserve">זכאי </w:t>
      </w:r>
      <w:bookmarkStart w:id="27308" w:name="_ETM_Q45_730799"/>
      <w:bookmarkEnd w:id="27308"/>
      <w:r>
        <w:rPr>
          <w:rFonts w:hint="cs"/>
          <w:rtl/>
        </w:rPr>
        <w:t xml:space="preserve">ניסה </w:t>
      </w:r>
      <w:bookmarkStart w:id="27309" w:name="_ETM_Q45_731489"/>
      <w:bookmarkEnd w:id="27309"/>
      <w:r>
        <w:rPr>
          <w:rFonts w:hint="cs"/>
          <w:rtl/>
        </w:rPr>
        <w:t xml:space="preserve">למצוא </w:t>
      </w:r>
      <w:bookmarkStart w:id="27310" w:name="_ETM_Q45_732030"/>
      <w:bookmarkEnd w:id="27310"/>
      <w:r>
        <w:rPr>
          <w:rFonts w:hint="cs"/>
          <w:rtl/>
        </w:rPr>
        <w:t xml:space="preserve">פתרונות </w:t>
      </w:r>
      <w:bookmarkStart w:id="27311" w:name="_ETM_Q45_733209"/>
      <w:bookmarkEnd w:id="27311"/>
      <w:r>
        <w:rPr>
          <w:rFonts w:hint="cs"/>
          <w:rtl/>
        </w:rPr>
        <w:t xml:space="preserve">שישמרו </w:t>
      </w:r>
      <w:bookmarkStart w:id="27312" w:name="_ETM_Q45_733719"/>
      <w:bookmarkEnd w:id="27312"/>
      <w:r>
        <w:rPr>
          <w:rFonts w:hint="cs"/>
          <w:rtl/>
        </w:rPr>
        <w:t xml:space="preserve">על </w:t>
      </w:r>
      <w:bookmarkStart w:id="27313" w:name="_ETM_Q45_733839"/>
      <w:bookmarkEnd w:id="27313"/>
      <w:r>
        <w:rPr>
          <w:rFonts w:hint="cs"/>
          <w:rtl/>
        </w:rPr>
        <w:t xml:space="preserve">היהודים </w:t>
      </w:r>
      <w:bookmarkStart w:id="27314" w:name="_ETM_Q45_734439"/>
      <w:bookmarkEnd w:id="27314"/>
      <w:r>
        <w:rPr>
          <w:rFonts w:hint="cs"/>
          <w:rtl/>
        </w:rPr>
        <w:t xml:space="preserve">ועל </w:t>
      </w:r>
      <w:bookmarkStart w:id="27315" w:name="_ETM_Q45_734679"/>
      <w:bookmarkEnd w:id="27315"/>
      <w:r>
        <w:rPr>
          <w:rFonts w:hint="cs"/>
          <w:rtl/>
        </w:rPr>
        <w:t xml:space="preserve">היהדות </w:t>
      </w:r>
      <w:bookmarkStart w:id="27316" w:name="_ETM_Q45_735339"/>
      <w:bookmarkEnd w:id="27316"/>
      <w:r>
        <w:rPr>
          <w:rFonts w:hint="cs"/>
          <w:rtl/>
        </w:rPr>
        <w:t xml:space="preserve">למרות </w:t>
      </w:r>
      <w:bookmarkStart w:id="27317" w:name="_ETM_Q45_735999"/>
      <w:bookmarkEnd w:id="27317"/>
      <w:r>
        <w:rPr>
          <w:rFonts w:hint="cs"/>
          <w:rtl/>
        </w:rPr>
        <w:t xml:space="preserve">המצב </w:t>
      </w:r>
      <w:bookmarkStart w:id="27318" w:name="_ETM_Q45_736419"/>
      <w:bookmarkEnd w:id="27318"/>
      <w:r>
        <w:rPr>
          <w:rFonts w:hint="cs"/>
          <w:rtl/>
        </w:rPr>
        <w:t xml:space="preserve">המורכב. </w:t>
      </w:r>
      <w:bookmarkStart w:id="27319" w:name="_ETM_Q45_737639"/>
      <w:bookmarkEnd w:id="27319"/>
      <w:r>
        <w:rPr>
          <w:rFonts w:hint="cs"/>
          <w:rtl/>
        </w:rPr>
        <w:t xml:space="preserve">כאשר </w:t>
      </w:r>
      <w:bookmarkStart w:id="27320" w:name="_ETM_Q45_738029"/>
      <w:bookmarkEnd w:id="27320"/>
      <w:r>
        <w:rPr>
          <w:rFonts w:hint="cs"/>
          <w:rtl/>
        </w:rPr>
        <w:t xml:space="preserve">המצב </w:t>
      </w:r>
      <w:bookmarkStart w:id="27321" w:name="_ETM_Q45_738419"/>
      <w:bookmarkEnd w:id="27321"/>
      <w:r>
        <w:rPr>
          <w:rFonts w:hint="cs"/>
          <w:rtl/>
        </w:rPr>
        <w:t xml:space="preserve">הגיע </w:t>
      </w:r>
      <w:bookmarkStart w:id="27322" w:name="_ETM_Q45_738689"/>
      <w:bookmarkEnd w:id="27322"/>
      <w:r>
        <w:rPr>
          <w:rFonts w:hint="cs"/>
          <w:rtl/>
        </w:rPr>
        <w:t xml:space="preserve">לנקודת </w:t>
      </w:r>
      <w:bookmarkStart w:id="27323" w:name="_ETM_Q45_739349"/>
      <w:bookmarkEnd w:id="27323"/>
      <w:r>
        <w:rPr>
          <w:rFonts w:hint="cs"/>
          <w:rtl/>
        </w:rPr>
        <w:t>האל</w:t>
      </w:r>
      <w:bookmarkStart w:id="27324" w:name="_ETM_Q45_739559"/>
      <w:bookmarkEnd w:id="27324"/>
      <w:r>
        <w:rPr>
          <w:rFonts w:hint="cs"/>
          <w:rtl/>
        </w:rPr>
        <w:t>-חזור,</w:t>
      </w:r>
      <w:bookmarkStart w:id="27325" w:name="_ETM_Q45_739919"/>
      <w:bookmarkEnd w:id="27325"/>
      <w:r>
        <w:rPr>
          <w:rFonts w:hint="cs"/>
          <w:rtl/>
        </w:rPr>
        <w:t xml:space="preserve"> אבא </w:t>
      </w:r>
      <w:bookmarkStart w:id="27326" w:name="_ETM_Q45_740309"/>
      <w:bookmarkEnd w:id="27326"/>
      <w:r>
        <w:rPr>
          <w:rFonts w:hint="cs"/>
          <w:rtl/>
        </w:rPr>
        <w:t xml:space="preserve">סיקרא </w:t>
      </w:r>
      <w:bookmarkStart w:id="27327" w:name="_ETM_Q45_740520"/>
      <w:bookmarkEnd w:id="27327"/>
      <w:r>
        <w:rPr>
          <w:rFonts w:hint="cs"/>
          <w:rtl/>
        </w:rPr>
        <w:t xml:space="preserve">הבין </w:t>
      </w:r>
      <w:bookmarkStart w:id="27328" w:name="_ETM_Q45_740729"/>
      <w:bookmarkEnd w:id="27328"/>
      <w:r>
        <w:rPr>
          <w:rFonts w:hint="cs"/>
          <w:rtl/>
        </w:rPr>
        <w:t xml:space="preserve">שהוא </w:t>
      </w:r>
      <w:bookmarkStart w:id="27329" w:name="_ETM_Q45_741419"/>
      <w:bookmarkEnd w:id="27329"/>
      <w:r>
        <w:rPr>
          <w:rFonts w:hint="cs"/>
          <w:rtl/>
        </w:rPr>
        <w:t xml:space="preserve">כבר </w:t>
      </w:r>
      <w:bookmarkStart w:id="27330" w:name="_ETM_Q45_741719"/>
      <w:bookmarkEnd w:id="27330"/>
      <w:r>
        <w:rPr>
          <w:rFonts w:hint="cs"/>
          <w:rtl/>
        </w:rPr>
        <w:t xml:space="preserve">לא </w:t>
      </w:r>
      <w:bookmarkStart w:id="27331" w:name="_ETM_Q45_742370"/>
      <w:bookmarkEnd w:id="27331"/>
      <w:r>
        <w:rPr>
          <w:rFonts w:hint="cs"/>
          <w:rtl/>
        </w:rPr>
        <w:t xml:space="preserve">שולט </w:t>
      </w:r>
      <w:bookmarkStart w:id="27332" w:name="_ETM_Q45_742880"/>
      <w:bookmarkEnd w:id="27332"/>
      <w:r>
        <w:rPr>
          <w:rFonts w:hint="cs"/>
          <w:rtl/>
        </w:rPr>
        <w:t xml:space="preserve">בלהבות </w:t>
      </w:r>
      <w:bookmarkStart w:id="27333" w:name="_ETM_Q45_743479"/>
      <w:bookmarkEnd w:id="27333"/>
      <w:r>
        <w:rPr>
          <w:rFonts w:hint="cs"/>
          <w:rtl/>
        </w:rPr>
        <w:t xml:space="preserve">שהוא </w:t>
      </w:r>
      <w:bookmarkStart w:id="27334" w:name="_ETM_Q45_743809"/>
      <w:bookmarkEnd w:id="27334"/>
      <w:r>
        <w:rPr>
          <w:rFonts w:hint="cs"/>
          <w:rtl/>
        </w:rPr>
        <w:t xml:space="preserve">עצמו </w:t>
      </w:r>
      <w:bookmarkStart w:id="27335" w:name="_ETM_Q45_744470"/>
      <w:bookmarkEnd w:id="27335"/>
      <w:r>
        <w:rPr>
          <w:rFonts w:hint="cs"/>
          <w:rtl/>
        </w:rPr>
        <w:t>הבעיר</w:t>
      </w:r>
      <w:bookmarkStart w:id="27336" w:name="_ETM_Q45_745759"/>
      <w:bookmarkEnd w:id="27336"/>
      <w:r>
        <w:rPr>
          <w:rFonts w:hint="cs"/>
          <w:rtl/>
        </w:rPr>
        <w:t>, ש</w:t>
      </w:r>
      <w:bookmarkStart w:id="27337" w:name="_ETM_Q45_746090"/>
      <w:bookmarkStart w:id="27338" w:name="_ETM_Q45_746300"/>
      <w:bookmarkStart w:id="27339" w:name="_ETM_Q45_746690"/>
      <w:bookmarkEnd w:id="27337"/>
      <w:bookmarkEnd w:id="27338"/>
      <w:bookmarkEnd w:id="27339"/>
      <w:r>
        <w:rPr>
          <w:rFonts w:hint="cs"/>
          <w:rtl/>
        </w:rPr>
        <w:t xml:space="preserve">האש </w:t>
      </w:r>
      <w:bookmarkStart w:id="27340" w:name="_ETM_Q45_746870"/>
      <w:bookmarkEnd w:id="27340"/>
      <w:r>
        <w:rPr>
          <w:rFonts w:hint="cs"/>
          <w:rtl/>
        </w:rPr>
        <w:t xml:space="preserve">כבר </w:t>
      </w:r>
      <w:bookmarkStart w:id="27341" w:name="_ETM_Q45_747139"/>
      <w:bookmarkEnd w:id="27341"/>
      <w:r>
        <w:rPr>
          <w:rFonts w:hint="cs"/>
          <w:rtl/>
        </w:rPr>
        <w:t xml:space="preserve">לא </w:t>
      </w:r>
      <w:bookmarkStart w:id="27342" w:name="_ETM_Q45_747319"/>
      <w:bookmarkStart w:id="27343" w:name="_ETM_Q45_747500"/>
      <w:bookmarkEnd w:id="27342"/>
      <w:bookmarkEnd w:id="27343"/>
      <w:r>
        <w:rPr>
          <w:rFonts w:hint="cs"/>
          <w:rtl/>
        </w:rPr>
        <w:t xml:space="preserve">מציתה </w:t>
      </w:r>
      <w:bookmarkStart w:id="27344" w:name="_ETM_Q45_747949"/>
      <w:bookmarkEnd w:id="27344"/>
      <w:r>
        <w:rPr>
          <w:rFonts w:hint="cs"/>
          <w:rtl/>
        </w:rPr>
        <w:t xml:space="preserve">רק את </w:t>
      </w:r>
      <w:bookmarkStart w:id="27345" w:name="_ETM_Q45_748520"/>
      <w:bookmarkEnd w:id="27345"/>
      <w:r>
        <w:rPr>
          <w:rFonts w:hint="cs"/>
          <w:rtl/>
        </w:rPr>
        <w:t xml:space="preserve">האסמים. </w:t>
      </w:r>
      <w:bookmarkStart w:id="27346" w:name="_ETM_Q45_749610"/>
      <w:bookmarkEnd w:id="27346"/>
      <w:r>
        <w:rPr>
          <w:rFonts w:hint="cs"/>
          <w:rtl/>
        </w:rPr>
        <w:t xml:space="preserve">בדרך </w:t>
      </w:r>
      <w:bookmarkStart w:id="27347" w:name="_ETM_Q45_750150"/>
      <w:bookmarkEnd w:id="27347"/>
      <w:r>
        <w:rPr>
          <w:rFonts w:hint="cs"/>
          <w:rtl/>
        </w:rPr>
        <w:t xml:space="preserve">מתוחכמת </w:t>
      </w:r>
      <w:bookmarkStart w:id="27348" w:name="_ETM_Q45_751170"/>
      <w:bookmarkEnd w:id="27348"/>
      <w:r>
        <w:rPr>
          <w:rFonts w:hint="cs"/>
          <w:rtl/>
        </w:rPr>
        <w:t xml:space="preserve">הוא </w:t>
      </w:r>
      <w:bookmarkStart w:id="27349" w:name="_ETM_Q45_751290"/>
      <w:bookmarkEnd w:id="27349"/>
      <w:r>
        <w:rPr>
          <w:rFonts w:hint="cs"/>
          <w:rtl/>
        </w:rPr>
        <w:t xml:space="preserve">סייע </w:t>
      </w:r>
      <w:bookmarkStart w:id="27350" w:name="_ETM_Q45_751679"/>
      <w:bookmarkEnd w:id="27350"/>
      <w:r>
        <w:rPr>
          <w:rFonts w:hint="cs"/>
          <w:rtl/>
        </w:rPr>
        <w:t xml:space="preserve">בהוצאת </w:t>
      </w:r>
      <w:bookmarkStart w:id="27351" w:name="_ETM_Q45_752220"/>
      <w:bookmarkEnd w:id="27351"/>
      <w:r>
        <w:rPr>
          <w:rFonts w:hint="cs"/>
          <w:rtl/>
        </w:rPr>
        <w:t xml:space="preserve">רבן </w:t>
      </w:r>
      <w:bookmarkStart w:id="27352" w:name="_ETM_Q45_753240"/>
      <w:bookmarkEnd w:id="27352"/>
      <w:r>
        <w:rPr>
          <w:rFonts w:hint="cs"/>
          <w:rtl/>
        </w:rPr>
        <w:t xml:space="preserve">יוחנן </w:t>
      </w:r>
      <w:bookmarkStart w:id="27353" w:name="_ETM_Q45_753720"/>
      <w:bookmarkEnd w:id="27353"/>
      <w:r>
        <w:rPr>
          <w:rFonts w:hint="cs"/>
          <w:rtl/>
        </w:rPr>
        <w:t xml:space="preserve">בן </w:t>
      </w:r>
      <w:bookmarkStart w:id="27354" w:name="_ETM_Q45_753840"/>
      <w:bookmarkEnd w:id="27354"/>
      <w:r>
        <w:rPr>
          <w:rFonts w:hint="cs"/>
          <w:rtl/>
        </w:rPr>
        <w:t xml:space="preserve">זכאי </w:t>
      </w:r>
      <w:bookmarkStart w:id="27355" w:name="_ETM_Q45_754200"/>
      <w:bookmarkEnd w:id="27355"/>
      <w:r>
        <w:rPr>
          <w:rFonts w:hint="cs"/>
          <w:rtl/>
        </w:rPr>
        <w:t xml:space="preserve">מירושלים, </w:t>
      </w:r>
      <w:bookmarkStart w:id="27356" w:name="_ETM_Q45_754860"/>
      <w:bookmarkEnd w:id="27356"/>
      <w:r>
        <w:rPr>
          <w:rFonts w:hint="cs"/>
          <w:rtl/>
        </w:rPr>
        <w:t xml:space="preserve">וכך </w:t>
      </w:r>
      <w:bookmarkStart w:id="27357" w:name="_ETM_Q45_755190"/>
      <w:bookmarkEnd w:id="27357"/>
      <w:r>
        <w:rPr>
          <w:rFonts w:hint="cs"/>
          <w:rtl/>
        </w:rPr>
        <w:t xml:space="preserve">הם </w:t>
      </w:r>
      <w:bookmarkStart w:id="27358" w:name="_ETM_Q45_755340"/>
      <w:bookmarkEnd w:id="27358"/>
      <w:r>
        <w:rPr>
          <w:rFonts w:hint="cs"/>
          <w:rtl/>
        </w:rPr>
        <w:t xml:space="preserve">הצילו </w:t>
      </w:r>
      <w:bookmarkStart w:id="27359" w:name="_ETM_Q45_756270"/>
      <w:bookmarkEnd w:id="27359"/>
      <w:r>
        <w:rPr>
          <w:rFonts w:hint="cs"/>
          <w:rtl/>
        </w:rPr>
        <w:t xml:space="preserve">את </w:t>
      </w:r>
      <w:bookmarkStart w:id="27360" w:name="_ETM_Q45_756480"/>
      <w:bookmarkEnd w:id="27360"/>
      <w:r>
        <w:rPr>
          <w:rFonts w:hint="cs"/>
          <w:rtl/>
        </w:rPr>
        <w:t xml:space="preserve">העם </w:t>
      </w:r>
      <w:bookmarkStart w:id="27361" w:name="_ETM_Q45_756720"/>
      <w:bookmarkEnd w:id="27361"/>
      <w:r>
        <w:rPr>
          <w:rFonts w:hint="cs"/>
          <w:rtl/>
        </w:rPr>
        <w:t xml:space="preserve">היהודי </w:t>
      </w:r>
      <w:bookmarkStart w:id="27362" w:name="_ETM_Q45_757380"/>
      <w:bookmarkEnd w:id="27362"/>
      <w:r>
        <w:rPr>
          <w:rFonts w:hint="cs"/>
          <w:rtl/>
        </w:rPr>
        <w:t xml:space="preserve">מכיליון, </w:t>
      </w:r>
      <w:bookmarkStart w:id="27363" w:name="_ETM_Q45_758389"/>
      <w:bookmarkEnd w:id="27363"/>
      <w:r>
        <w:rPr>
          <w:rFonts w:hint="cs"/>
          <w:rtl/>
        </w:rPr>
        <w:t xml:space="preserve">אבל </w:t>
      </w:r>
      <w:bookmarkStart w:id="27364" w:name="_ETM_Q45_758659"/>
      <w:bookmarkEnd w:id="27364"/>
      <w:r>
        <w:rPr>
          <w:rFonts w:hint="cs"/>
          <w:rtl/>
        </w:rPr>
        <w:t xml:space="preserve">במחיר </w:t>
      </w:r>
      <w:bookmarkStart w:id="27365" w:name="_ETM_Q45_759110"/>
      <w:bookmarkEnd w:id="27365"/>
      <w:r>
        <w:rPr>
          <w:rFonts w:hint="cs"/>
          <w:rtl/>
        </w:rPr>
        <w:t xml:space="preserve">של </w:t>
      </w:r>
      <w:bookmarkStart w:id="27366" w:name="_ETM_Q45_759319"/>
      <w:bookmarkEnd w:id="27366"/>
      <w:r>
        <w:rPr>
          <w:rFonts w:hint="cs"/>
          <w:rtl/>
        </w:rPr>
        <w:t xml:space="preserve">מוות, </w:t>
      </w:r>
      <w:bookmarkStart w:id="27367" w:name="_ETM_Q45_759919"/>
      <w:bookmarkEnd w:id="27367"/>
      <w:r>
        <w:rPr>
          <w:rFonts w:hint="cs"/>
          <w:rtl/>
        </w:rPr>
        <w:t xml:space="preserve">אובדן, </w:t>
      </w:r>
      <w:bookmarkStart w:id="27368" w:name="_ETM_Q45_760789"/>
      <w:bookmarkEnd w:id="27368"/>
      <w:r>
        <w:rPr>
          <w:rFonts w:hint="cs"/>
          <w:rtl/>
        </w:rPr>
        <w:t xml:space="preserve">חורבן </w:t>
      </w:r>
      <w:bookmarkStart w:id="27369" w:name="_ETM_Q45_761980"/>
      <w:bookmarkEnd w:id="27369"/>
      <w:r>
        <w:rPr>
          <w:rFonts w:hint="cs"/>
          <w:rtl/>
        </w:rPr>
        <w:t xml:space="preserve">של </w:t>
      </w:r>
      <w:bookmarkStart w:id="27370" w:name="_ETM_Q45_762190"/>
      <w:bookmarkEnd w:id="27370"/>
      <w:r>
        <w:rPr>
          <w:rFonts w:hint="cs"/>
          <w:rtl/>
        </w:rPr>
        <w:t>ח</w:t>
      </w:r>
      <w:bookmarkStart w:id="27371" w:name="_ETM_Q45_762490"/>
      <w:bookmarkEnd w:id="27371"/>
      <w:r>
        <w:rPr>
          <w:rFonts w:hint="cs"/>
          <w:rtl/>
        </w:rPr>
        <w:t xml:space="preserve">לקים </w:t>
      </w:r>
      <w:bookmarkStart w:id="27372" w:name="_ETM_Q45_762910"/>
      <w:bookmarkEnd w:id="27372"/>
      <w:r>
        <w:rPr>
          <w:rFonts w:hint="cs"/>
          <w:rtl/>
        </w:rPr>
        <w:t xml:space="preserve">רבים </w:t>
      </w:r>
      <w:bookmarkStart w:id="27373" w:name="_ETM_Q45_763300"/>
      <w:bookmarkEnd w:id="27373"/>
      <w:r>
        <w:rPr>
          <w:rFonts w:hint="cs"/>
          <w:rtl/>
        </w:rPr>
        <w:t xml:space="preserve">מהעם </w:t>
      </w:r>
      <w:bookmarkStart w:id="27374" w:name="_ETM_Q45_764170"/>
      <w:bookmarkEnd w:id="27374"/>
      <w:r>
        <w:rPr>
          <w:rFonts w:hint="cs"/>
          <w:rtl/>
        </w:rPr>
        <w:t xml:space="preserve">וכמובן, </w:t>
      </w:r>
      <w:bookmarkStart w:id="27375" w:name="_ETM_Q45_764800"/>
      <w:bookmarkEnd w:id="27375"/>
      <w:r>
        <w:rPr>
          <w:rFonts w:hint="cs"/>
          <w:rtl/>
        </w:rPr>
        <w:t xml:space="preserve">כמו </w:t>
      </w:r>
      <w:bookmarkStart w:id="27376" w:name="_ETM_Q45_764980"/>
      <w:bookmarkEnd w:id="27376"/>
      <w:r>
        <w:rPr>
          <w:rFonts w:hint="cs"/>
          <w:rtl/>
        </w:rPr>
        <w:t xml:space="preserve">שאמרתי, </w:t>
      </w:r>
      <w:bookmarkStart w:id="27377" w:name="_ETM_Q45_765730"/>
      <w:bookmarkEnd w:id="27377"/>
      <w:r>
        <w:rPr>
          <w:rFonts w:hint="cs"/>
          <w:rtl/>
        </w:rPr>
        <w:t xml:space="preserve">יציאה </w:t>
      </w:r>
      <w:bookmarkStart w:id="27378" w:name="_ETM_Q45_766179"/>
      <w:bookmarkEnd w:id="27378"/>
      <w:r>
        <w:rPr>
          <w:rFonts w:hint="cs"/>
          <w:rtl/>
        </w:rPr>
        <w:t>לגלות.</w:t>
      </w:r>
    </w:p>
    <w:p w:rsidR="00BB59CD" w:rsidRDefault="00BB59CD" w:rsidP="00BB59CD">
      <w:pPr>
        <w:rPr>
          <w:rtl/>
        </w:rPr>
      </w:pPr>
    </w:p>
    <w:p w:rsidR="00BB59CD" w:rsidRDefault="00BB59CD" w:rsidP="003B087F">
      <w:pPr>
        <w:rPr>
          <w:rtl/>
          <w:lang w:eastAsia="he-IL"/>
        </w:rPr>
      </w:pPr>
      <w:bookmarkStart w:id="27379" w:name="TOR_Q46"/>
      <w:bookmarkEnd w:id="27379"/>
      <w:r>
        <w:rPr>
          <w:rFonts w:hint="cs"/>
          <w:rtl/>
          <w:lang w:eastAsia="he-IL"/>
        </w:rPr>
        <w:t>התחושה היא שגם כעת יש מנהיגים שהפכו להיות קבוצ</w:t>
      </w:r>
      <w:r w:rsidR="003B087F">
        <w:rPr>
          <w:rFonts w:hint="cs"/>
          <w:rtl/>
          <w:lang w:eastAsia="he-IL"/>
        </w:rPr>
        <w:t>ו</w:t>
      </w:r>
      <w:r>
        <w:rPr>
          <w:rFonts w:hint="cs"/>
          <w:rtl/>
          <w:lang w:eastAsia="he-IL"/>
        </w:rPr>
        <w:t>ת אבא סיקר</w:t>
      </w:r>
      <w:r w:rsidR="003B087F">
        <w:rPr>
          <w:rFonts w:hint="cs"/>
          <w:rtl/>
          <w:lang w:eastAsia="he-IL"/>
        </w:rPr>
        <w:t>א</w:t>
      </w:r>
      <w:r>
        <w:rPr>
          <w:rFonts w:hint="cs"/>
          <w:rtl/>
          <w:lang w:eastAsia="he-IL"/>
        </w:rPr>
        <w:t xml:space="preserve">. כולם כאחד מחפשים איך לפרק, </w:t>
      </w:r>
      <w:bookmarkStart w:id="27380" w:name="_ETM_Q46_181000"/>
      <w:bookmarkEnd w:id="27380"/>
      <w:r>
        <w:rPr>
          <w:rFonts w:hint="cs"/>
          <w:rtl/>
          <w:lang w:eastAsia="he-IL"/>
        </w:rPr>
        <w:t xml:space="preserve">איך להצית, איך לשרוף, במקום לבנות. כל אחד מהם עושה תחרות מי יותר קיצוני. לא מסתכלים על מה שכבר חרוך ונהרס, אלא רק קדימה, על </w:t>
      </w:r>
      <w:bookmarkStart w:id="27381" w:name="_ETM_Q46_194000"/>
      <w:bookmarkEnd w:id="27381"/>
      <w:r>
        <w:rPr>
          <w:rFonts w:hint="cs"/>
          <w:rtl/>
          <w:lang w:eastAsia="he-IL"/>
        </w:rPr>
        <w:t xml:space="preserve">מה עוד אפשר להשיג – עוד כוח ועוד כוח ועוד כוח. </w:t>
      </w:r>
      <w:bookmarkStart w:id="27382" w:name="_ETM_Q46_204000"/>
      <w:bookmarkEnd w:id="27382"/>
      <w:r>
        <w:rPr>
          <w:rFonts w:hint="cs"/>
          <w:rtl/>
          <w:lang w:eastAsia="he-IL"/>
        </w:rPr>
        <w:t>מול מי אתם נלחמים כשתחושת הבית, הביטחון בבית,</w:t>
      </w:r>
      <w:r w:rsidR="003B087F">
        <w:rPr>
          <w:rFonts w:hint="cs"/>
          <w:rtl/>
          <w:lang w:eastAsia="he-IL"/>
        </w:rPr>
        <w:t xml:space="preserve"> נשרפת? התחושה הזאת של ביטחון </w:t>
      </w:r>
      <w:r>
        <w:rPr>
          <w:rFonts w:hint="cs"/>
          <w:rtl/>
          <w:lang w:eastAsia="he-IL"/>
        </w:rPr>
        <w:t xml:space="preserve">אפשרה לנו, למרות השוני, למרות החזרה מכל כך הרבה מקומות, כל כך הרבה תרבויות שאימצנו </w:t>
      </w:r>
      <w:bookmarkStart w:id="27383" w:name="_ETM_Q46_223000"/>
      <w:bookmarkEnd w:id="27383"/>
      <w:r>
        <w:rPr>
          <w:rFonts w:hint="cs"/>
          <w:rtl/>
          <w:lang w:eastAsia="he-IL"/>
        </w:rPr>
        <w:t xml:space="preserve">בגלות – עדיין יש את הדבק שיודע לחבר בינינו, ויום-יום אתם מערערים אותו. </w:t>
      </w:r>
    </w:p>
    <w:p w:rsidR="00BB59CD" w:rsidRDefault="00BB59CD" w:rsidP="00BB59CD">
      <w:pPr>
        <w:rPr>
          <w:rtl/>
          <w:lang w:eastAsia="he-IL"/>
        </w:rPr>
      </w:pPr>
    </w:p>
    <w:p w:rsidR="00BB59CD" w:rsidRDefault="00BB59CD" w:rsidP="003B087F">
      <w:pPr>
        <w:rPr>
          <w:rtl/>
          <w:lang w:eastAsia="he-IL"/>
        </w:rPr>
      </w:pPr>
      <w:r>
        <w:rPr>
          <w:rFonts w:hint="cs"/>
          <w:rtl/>
          <w:lang w:eastAsia="he-IL"/>
        </w:rPr>
        <w:t>אנו נמצאים היום בימים קשים</w:t>
      </w:r>
      <w:r w:rsidR="003B087F">
        <w:rPr>
          <w:rFonts w:hint="cs"/>
          <w:rtl/>
          <w:lang w:eastAsia="he-IL"/>
        </w:rPr>
        <w:t>, שבהם</w:t>
      </w:r>
      <w:r>
        <w:rPr>
          <w:rFonts w:hint="cs"/>
          <w:rtl/>
          <w:lang w:eastAsia="he-IL"/>
        </w:rPr>
        <w:t xml:space="preserve"> כל אחד ואחת מאיתנו נדרשים לעשות חשבון נפש, אך בראש וראשונה חשבון הנפש צריך להיעשות בבית הזה</w:t>
      </w:r>
      <w:r w:rsidR="003B087F">
        <w:rPr>
          <w:rFonts w:hint="cs"/>
          <w:rtl/>
          <w:lang w:eastAsia="he-IL"/>
        </w:rPr>
        <w:t>.</w:t>
      </w:r>
      <w:r>
        <w:rPr>
          <w:rFonts w:hint="cs"/>
          <w:rtl/>
          <w:lang w:eastAsia="he-IL"/>
        </w:rPr>
        <w:t xml:space="preserve"> אנחנו</w:t>
      </w:r>
      <w:r w:rsidR="003B087F">
        <w:rPr>
          <w:rFonts w:hint="cs"/>
          <w:rtl/>
          <w:lang w:eastAsia="he-IL"/>
        </w:rPr>
        <w:t>,</w:t>
      </w:r>
      <w:r>
        <w:rPr>
          <w:rFonts w:hint="cs"/>
          <w:rtl/>
          <w:lang w:eastAsia="he-IL"/>
        </w:rPr>
        <w:t xml:space="preserve"> שנבחרנו להוביל את הציבור, להכריע בענייני העם ולדאוג לשלומו </w:t>
      </w:r>
      <w:r w:rsidR="003B087F">
        <w:rPr>
          <w:rFonts w:hint="eastAsia"/>
          <w:rtl/>
          <w:lang w:eastAsia="he-IL"/>
        </w:rPr>
        <w:t>–</w:t>
      </w:r>
      <w:r w:rsidR="003B087F">
        <w:rPr>
          <w:rFonts w:hint="cs"/>
          <w:rtl/>
          <w:lang w:eastAsia="he-IL"/>
        </w:rPr>
        <w:t xml:space="preserve"> </w:t>
      </w:r>
      <w:r>
        <w:rPr>
          <w:rFonts w:hint="cs"/>
          <w:rtl/>
          <w:lang w:eastAsia="he-IL"/>
        </w:rPr>
        <w:t xml:space="preserve">הצעדים </w:t>
      </w:r>
      <w:r w:rsidR="003B087F">
        <w:rPr>
          <w:rFonts w:hint="cs"/>
          <w:rtl/>
          <w:lang w:eastAsia="he-IL"/>
        </w:rPr>
        <w:t>ש</w:t>
      </w:r>
      <w:r>
        <w:rPr>
          <w:rFonts w:hint="cs"/>
          <w:rtl/>
          <w:lang w:eastAsia="he-IL"/>
        </w:rPr>
        <w:t>אותם אתם מקדמים בקואליציה מוכיחים, לצערי, שבבית הזה</w:t>
      </w:r>
      <w:r w:rsidR="003B087F">
        <w:rPr>
          <w:rFonts w:hint="cs"/>
          <w:rtl/>
          <w:lang w:eastAsia="he-IL"/>
        </w:rPr>
        <w:t>,</w:t>
      </w:r>
      <w:r>
        <w:rPr>
          <w:rFonts w:hint="cs"/>
          <w:rtl/>
          <w:lang w:eastAsia="he-IL"/>
        </w:rPr>
        <w:t xml:space="preserve"> כמו שאמרתי, </w:t>
      </w:r>
      <w:bookmarkStart w:id="27384" w:name="_ETM_Q46_266000"/>
      <w:bookmarkEnd w:id="27384"/>
      <w:r>
        <w:rPr>
          <w:rFonts w:hint="cs"/>
          <w:rtl/>
          <w:lang w:eastAsia="he-IL"/>
        </w:rPr>
        <w:t>בדיוק כמו בתקופת חורבן בית שני</w:t>
      </w:r>
      <w:r w:rsidR="003B087F">
        <w:rPr>
          <w:rFonts w:hint="cs"/>
          <w:rtl/>
          <w:lang w:eastAsia="he-IL"/>
        </w:rPr>
        <w:t>,</w:t>
      </w:r>
      <w:r>
        <w:rPr>
          <w:rFonts w:hint="cs"/>
          <w:rtl/>
          <w:lang w:eastAsia="he-IL"/>
        </w:rPr>
        <w:t xml:space="preserve"> ישנם אנשים שהפכו להיות שורפי האסמים בעצמם. </w:t>
      </w:r>
      <w:bookmarkStart w:id="27385" w:name="_ETM_Q46_272000"/>
      <w:bookmarkEnd w:id="27385"/>
      <w:r>
        <w:rPr>
          <w:rFonts w:hint="cs"/>
          <w:rtl/>
          <w:lang w:eastAsia="he-IL"/>
        </w:rPr>
        <w:t xml:space="preserve">רבים מהם יושבים בממשלה הנוכחית ומפירים את חובתם לאזרחי מדינת ישראל, לעם ישראל, ובראש וראשונה החובה לשמור על שלומו ושלמותו. ימים שבהם חלקים גדולים בעם ישראל לא יודעים מנוח כתוצאה ממהלכים </w:t>
      </w:r>
      <w:bookmarkStart w:id="27386" w:name="_ETM_Q46_295000"/>
      <w:bookmarkEnd w:id="27386"/>
      <w:r>
        <w:rPr>
          <w:rFonts w:hint="cs"/>
          <w:rtl/>
          <w:lang w:eastAsia="he-IL"/>
        </w:rPr>
        <w:t xml:space="preserve">וגזרות – עוד גזרה ועוד החלטה שמובילה הממשלה; לא </w:t>
      </w:r>
      <w:bookmarkStart w:id="27387" w:name="_ETM_Q46_301000"/>
      <w:bookmarkEnd w:id="27387"/>
      <w:r>
        <w:rPr>
          <w:rFonts w:hint="cs"/>
          <w:rtl/>
          <w:lang w:eastAsia="he-IL"/>
        </w:rPr>
        <w:t xml:space="preserve">יודעים מנוח כי הממשלה מאיימת על יסודות הרוח והמשפט שעליהם הוקמה המדינה והושתתה; לא יודעים </w:t>
      </w:r>
      <w:bookmarkStart w:id="27388" w:name="_ETM_Q46_308000"/>
      <w:bookmarkEnd w:id="27388"/>
      <w:r>
        <w:rPr>
          <w:rFonts w:hint="cs"/>
          <w:rtl/>
          <w:lang w:eastAsia="he-IL"/>
        </w:rPr>
        <w:t xml:space="preserve">מנוח כי הממשלה, שאמורה לנהוג בריסון ואיפוק כלפי העם, </w:t>
      </w:r>
      <w:bookmarkStart w:id="27389" w:name="_ETM_Q46_313000"/>
      <w:bookmarkEnd w:id="27389"/>
      <w:r>
        <w:rPr>
          <w:rFonts w:hint="cs"/>
          <w:rtl/>
          <w:lang w:eastAsia="he-IL"/>
        </w:rPr>
        <w:t xml:space="preserve">משתלחת השכם וערב בכל מי שמביע עמדה או דעה הפוכה לממשלה, ורק משום </w:t>
      </w:r>
      <w:bookmarkStart w:id="27390" w:name="_ETM_Q46_323000"/>
      <w:bookmarkEnd w:id="27390"/>
      <w:r>
        <w:rPr>
          <w:rFonts w:hint="cs"/>
          <w:rtl/>
          <w:lang w:eastAsia="he-IL"/>
        </w:rPr>
        <w:t xml:space="preserve">שמימשו את הזכות הבסיסית שלהם לחופש ביטוי, לחופש מחאה, במדינה </w:t>
      </w:r>
      <w:bookmarkStart w:id="27391" w:name="_ETM_Q46_329000"/>
      <w:bookmarkEnd w:id="27391"/>
      <w:r>
        <w:rPr>
          <w:rFonts w:hint="cs"/>
          <w:rtl/>
          <w:lang w:eastAsia="he-IL"/>
        </w:rPr>
        <w:t xml:space="preserve">יהודית, דמוקרטית וחופשית. וזה כבר מזמן לא שאלה של ימין </w:t>
      </w:r>
      <w:bookmarkStart w:id="27392" w:name="_ETM_Q46_332000"/>
      <w:bookmarkEnd w:id="27392"/>
      <w:r>
        <w:rPr>
          <w:rFonts w:hint="cs"/>
          <w:rtl/>
          <w:lang w:eastAsia="he-IL"/>
        </w:rPr>
        <w:t xml:space="preserve">ושמאל אלא שאלה של מי כאן מחפש לפלג את העם </w:t>
      </w:r>
      <w:bookmarkStart w:id="27393" w:name="_ETM_Q46_341000"/>
      <w:bookmarkEnd w:id="27393"/>
      <w:r>
        <w:rPr>
          <w:rFonts w:hint="cs"/>
          <w:rtl/>
          <w:lang w:eastAsia="he-IL"/>
        </w:rPr>
        <w:t xml:space="preserve">בשם האידיאולוגיה שבה הוא מחזיק, ולעיתים אפילו לפלג את העם </w:t>
      </w:r>
      <w:bookmarkStart w:id="27394" w:name="_ETM_Q46_347000"/>
      <w:bookmarkEnd w:id="27394"/>
      <w:r>
        <w:rPr>
          <w:rFonts w:hint="cs"/>
          <w:rtl/>
          <w:lang w:eastAsia="he-IL"/>
        </w:rPr>
        <w:t xml:space="preserve">בלי שום אידיאולוגיה. כי עכשיו אנחנו כבר לא מדברים על </w:t>
      </w:r>
      <w:bookmarkStart w:id="27395" w:name="_ETM_Q46_352000"/>
      <w:bookmarkEnd w:id="27395"/>
      <w:r>
        <w:rPr>
          <w:rFonts w:hint="cs"/>
          <w:rtl/>
          <w:lang w:eastAsia="he-IL"/>
        </w:rPr>
        <w:t>ימין ועל שמאל; זה הפריבילגים מול הלא-פריבילגים,</w:t>
      </w:r>
      <w:bookmarkStart w:id="27396" w:name="_ETM_Q46_357000"/>
      <w:bookmarkEnd w:id="27396"/>
      <w:r>
        <w:rPr>
          <w:rFonts w:hint="cs"/>
          <w:rtl/>
          <w:lang w:eastAsia="he-IL"/>
        </w:rPr>
        <w:t xml:space="preserve"> האשכנזים מול הלא-אשכנזים. </w:t>
      </w:r>
    </w:p>
    <w:p w:rsidR="00BB59CD" w:rsidRDefault="00BB59CD" w:rsidP="00BB59CD">
      <w:pPr>
        <w:rPr>
          <w:rtl/>
          <w:lang w:eastAsia="he-IL"/>
        </w:rPr>
      </w:pPr>
    </w:p>
    <w:p w:rsidR="00BB59CD" w:rsidRDefault="00BB59CD" w:rsidP="003B087F">
      <w:pPr>
        <w:rPr>
          <w:rtl/>
          <w:lang w:eastAsia="he-IL"/>
        </w:rPr>
      </w:pPr>
      <w:bookmarkStart w:id="27397" w:name="_ETM_Q46_366000"/>
      <w:bookmarkEnd w:id="27397"/>
      <w:r>
        <w:rPr>
          <w:rFonts w:hint="cs"/>
          <w:rtl/>
          <w:lang w:eastAsia="he-IL"/>
        </w:rPr>
        <w:t>הקיצוניות אינה חייבת להשתקף רק מה</w:t>
      </w:r>
      <w:bookmarkStart w:id="27398" w:name="_ETM_Q46_370000"/>
      <w:bookmarkEnd w:id="27398"/>
      <w:r>
        <w:rPr>
          <w:rFonts w:hint="cs"/>
          <w:rtl/>
          <w:lang w:eastAsia="he-IL"/>
        </w:rPr>
        <w:t xml:space="preserve">עמדה שבה מחזיקים. לעיתים הקיצוניות היא ההתבצרות והקרבת כל </w:t>
      </w:r>
      <w:bookmarkStart w:id="27399" w:name="_ETM_Q46_374000"/>
      <w:bookmarkEnd w:id="27399"/>
      <w:r>
        <w:rPr>
          <w:rFonts w:hint="cs"/>
          <w:rtl/>
          <w:lang w:eastAsia="he-IL"/>
        </w:rPr>
        <w:t xml:space="preserve">יתר הערכים כדי לנצח, העיקר לנצח במהלך שבו בעצם </w:t>
      </w:r>
      <w:bookmarkStart w:id="27400" w:name="_ETM_Q46_382000"/>
      <w:bookmarkEnd w:id="27400"/>
      <w:r>
        <w:rPr>
          <w:rFonts w:hint="cs"/>
          <w:rtl/>
          <w:lang w:eastAsia="he-IL"/>
        </w:rPr>
        <w:t xml:space="preserve">כולנו יוצאים בו מפסידים. האם בשם הרפורמה שאליה אתם דוהרים </w:t>
      </w:r>
      <w:bookmarkStart w:id="27401" w:name="_ETM_Q46_392000"/>
      <w:bookmarkEnd w:id="27401"/>
      <w:r>
        <w:rPr>
          <w:rFonts w:hint="cs"/>
          <w:rtl/>
          <w:lang w:eastAsia="he-IL"/>
        </w:rPr>
        <w:t xml:space="preserve">בקואליציה אתם מוכנים להקריב את שלום העם? האם בשם הרפורמה אתם </w:t>
      </w:r>
      <w:bookmarkStart w:id="27402" w:name="_ETM_Q46_398000"/>
      <w:bookmarkEnd w:id="27402"/>
      <w:r>
        <w:rPr>
          <w:rFonts w:hint="cs"/>
          <w:rtl/>
          <w:lang w:eastAsia="he-IL"/>
        </w:rPr>
        <w:t>מוכנים להקריב את אחדות העם? האם בשם הרפורמה נכונו ל</w:t>
      </w:r>
      <w:r w:rsidR="003B087F">
        <w:rPr>
          <w:rFonts w:hint="cs"/>
          <w:rtl/>
          <w:lang w:eastAsia="he-IL"/>
        </w:rPr>
        <w:t>נו</w:t>
      </w:r>
      <w:r>
        <w:rPr>
          <w:rFonts w:hint="cs"/>
          <w:rtl/>
          <w:lang w:eastAsia="he-IL"/>
        </w:rPr>
        <w:t xml:space="preserve"> </w:t>
      </w:r>
      <w:bookmarkStart w:id="27403" w:name="_ETM_Q46_407000"/>
      <w:bookmarkEnd w:id="27403"/>
      <w:r>
        <w:rPr>
          <w:rFonts w:hint="cs"/>
          <w:rtl/>
          <w:lang w:eastAsia="he-IL"/>
        </w:rPr>
        <w:t>תמונות שבהן אח מרים יד על אחיו, אחות על אחותה?</w:t>
      </w:r>
      <w:r>
        <w:rPr>
          <w:rFonts w:hint="cs"/>
          <w:lang w:eastAsia="he-IL"/>
        </w:rPr>
        <w:t xml:space="preserve"> </w:t>
      </w:r>
      <w:bookmarkStart w:id="27404" w:name="_ETM_Q46_412000"/>
      <w:bookmarkEnd w:id="27404"/>
      <w:r>
        <w:rPr>
          <w:rFonts w:hint="cs"/>
          <w:rtl/>
          <w:lang w:eastAsia="he-IL"/>
        </w:rPr>
        <w:t xml:space="preserve">האם בשם הרפורמה תובילו אותנו לחורבן כל מה שבנינו כאן </w:t>
      </w:r>
      <w:bookmarkStart w:id="27405" w:name="_ETM_Q46_417000"/>
      <w:bookmarkEnd w:id="27405"/>
      <w:r>
        <w:rPr>
          <w:rFonts w:hint="cs"/>
          <w:rtl/>
          <w:lang w:eastAsia="he-IL"/>
        </w:rPr>
        <w:t xml:space="preserve">במשך 75 שנה? האם בשם הרפורמה שווה לכם לקחת לאלפים </w:t>
      </w:r>
      <w:bookmarkStart w:id="27406" w:name="_ETM_Q46_425000"/>
      <w:bookmarkEnd w:id="27406"/>
      <w:r>
        <w:rPr>
          <w:rFonts w:hint="cs"/>
          <w:rtl/>
          <w:lang w:eastAsia="he-IL"/>
        </w:rPr>
        <w:t xml:space="preserve">רבים את התקווה? </w:t>
      </w:r>
    </w:p>
    <w:p w:rsidR="00BB59CD" w:rsidRDefault="00BB59CD" w:rsidP="00BB59CD">
      <w:pPr>
        <w:rPr>
          <w:rtl/>
          <w:lang w:eastAsia="he-IL"/>
        </w:rPr>
      </w:pPr>
    </w:p>
    <w:p w:rsidR="00BB59CD" w:rsidRDefault="00BB59CD" w:rsidP="0037589E">
      <w:pPr>
        <w:rPr>
          <w:rtl/>
          <w:lang w:eastAsia="he-IL"/>
        </w:rPr>
      </w:pPr>
      <w:r>
        <w:rPr>
          <w:rFonts w:hint="cs"/>
          <w:rtl/>
          <w:lang w:eastAsia="he-IL"/>
        </w:rPr>
        <w:t xml:space="preserve">זכיתי להיות שרת העלייה והקליטה. אין רגע יותר מרגש מלראות עולים חדשים יורדים מהמטוס ומנשקים </w:t>
      </w:r>
      <w:bookmarkStart w:id="27407" w:name="_ETM_Q46_439000"/>
      <w:bookmarkEnd w:id="27407"/>
      <w:r>
        <w:rPr>
          <w:rFonts w:hint="cs"/>
          <w:rtl/>
          <w:lang w:eastAsia="he-IL"/>
        </w:rPr>
        <w:t xml:space="preserve">את האדמה. בטח אתה תסכים איתי על כך, חבר הכנסת </w:t>
      </w:r>
      <w:bookmarkStart w:id="27408" w:name="_ETM_Q46_444000"/>
      <w:bookmarkEnd w:id="27408"/>
      <w:r>
        <w:rPr>
          <w:rFonts w:hint="cs"/>
          <w:rtl/>
          <w:lang w:eastAsia="he-IL"/>
        </w:rPr>
        <w:t>פורר, שהיית בעברך גם מנכ"ל משרד העלייה והקליטה. האנשים האלה</w:t>
      </w:r>
      <w:r w:rsidR="003B087F">
        <w:rPr>
          <w:rFonts w:hint="cs"/>
          <w:rtl/>
          <w:lang w:eastAsia="he-IL"/>
        </w:rPr>
        <w:t>,</w:t>
      </w:r>
      <w:r>
        <w:rPr>
          <w:rFonts w:hint="cs"/>
          <w:rtl/>
          <w:lang w:eastAsia="he-IL"/>
        </w:rPr>
        <w:t xml:space="preserve"> שזוכים להגשים חלום </w:t>
      </w:r>
      <w:bookmarkStart w:id="27409" w:name="_ETM_Q46_454000"/>
      <w:bookmarkEnd w:id="27409"/>
      <w:r>
        <w:rPr>
          <w:rFonts w:hint="cs"/>
          <w:rtl/>
          <w:lang w:eastAsia="he-IL"/>
        </w:rPr>
        <w:t xml:space="preserve">בשם הציונות אחרי אלפי שנים, הם שמוקירים ומחזיקים באמונה ובתקווה, בהערכה לארצנו. מהם, </w:t>
      </w:r>
      <w:bookmarkStart w:id="27410" w:name="_ETM_Q46_471000"/>
      <w:bookmarkEnd w:id="27410"/>
      <w:r>
        <w:rPr>
          <w:rFonts w:hint="cs"/>
          <w:rtl/>
          <w:lang w:eastAsia="he-IL"/>
        </w:rPr>
        <w:t xml:space="preserve">חברי הקואליציה, </w:t>
      </w:r>
      <w:r w:rsidR="003B087F">
        <w:rPr>
          <w:rFonts w:hint="cs"/>
          <w:rtl/>
          <w:lang w:eastAsia="he-IL"/>
        </w:rPr>
        <w:t xml:space="preserve">עליכם </w:t>
      </w:r>
      <w:r>
        <w:rPr>
          <w:rFonts w:hint="cs"/>
          <w:rtl/>
          <w:lang w:eastAsia="he-IL"/>
        </w:rPr>
        <w:t>ללמוד שאין לקחת את מדינת ישראל ועם ישראל כ</w:t>
      </w:r>
      <w:r w:rsidR="003B087F">
        <w:rPr>
          <w:rFonts w:hint="cs"/>
          <w:rtl/>
          <w:lang w:eastAsia="he-IL"/>
        </w:rPr>
        <w:t xml:space="preserve">דבר </w:t>
      </w:r>
      <w:r>
        <w:rPr>
          <w:rFonts w:hint="cs"/>
          <w:rtl/>
          <w:lang w:eastAsia="he-IL"/>
        </w:rPr>
        <w:t xml:space="preserve">מובן מאליו. נדמה שאתם ההשתקפות של המשפט "וישמן ישֻׁרון ויבעט". נאמר עלינו כבר שאנחנו עם קשה עורף, אבל "וישמן ישרון ויבעט". 75 שנה, מדינה צעירה; פסע אחורנית בהיסטוריה – לא </w:t>
      </w:r>
      <w:bookmarkStart w:id="27411" w:name="_ETM_Q46_504000"/>
      <w:bookmarkEnd w:id="27411"/>
      <w:r>
        <w:rPr>
          <w:rFonts w:hint="cs"/>
          <w:rtl/>
          <w:lang w:eastAsia="he-IL"/>
        </w:rPr>
        <w:t>היינו כאן</w:t>
      </w:r>
      <w:r w:rsidR="003B087F">
        <w:rPr>
          <w:rFonts w:hint="cs"/>
          <w:rtl/>
          <w:lang w:eastAsia="he-IL"/>
        </w:rPr>
        <w:t>,</w:t>
      </w:r>
      <w:r>
        <w:rPr>
          <w:rFonts w:hint="cs"/>
          <w:rtl/>
          <w:lang w:eastAsia="he-IL"/>
        </w:rPr>
        <w:t xml:space="preserve"> לא היה בית</w:t>
      </w:r>
      <w:r w:rsidR="003B087F">
        <w:rPr>
          <w:rFonts w:hint="cs"/>
          <w:rtl/>
          <w:lang w:eastAsia="he-IL"/>
        </w:rPr>
        <w:t>,</w:t>
      </w:r>
      <w:r>
        <w:rPr>
          <w:rFonts w:hint="cs"/>
          <w:rtl/>
          <w:lang w:eastAsia="he-IL"/>
        </w:rPr>
        <w:t xml:space="preserve"> לא היה לאן לחזור. כל אחד מאיתנו התמודד את התמודדויותיו, בין שזה אנטישמיות, בין שזה הישרדות כלכלית. עם ישראל ידוע כמי שניאלץ לשרוד כלכלית, ולא בכדי בחר </w:t>
      </w:r>
      <w:bookmarkStart w:id="27412" w:name="_ETM_Q46_519000"/>
      <w:bookmarkEnd w:id="27412"/>
      <w:r>
        <w:rPr>
          <w:rFonts w:hint="cs"/>
          <w:rtl/>
          <w:lang w:eastAsia="he-IL"/>
        </w:rPr>
        <w:t>במקצועות חופשיים</w:t>
      </w:r>
      <w:r w:rsidR="003B087F">
        <w:rPr>
          <w:rFonts w:hint="cs"/>
          <w:rtl/>
          <w:lang w:eastAsia="he-IL"/>
        </w:rPr>
        <w:t>;</w:t>
      </w:r>
      <w:r>
        <w:rPr>
          <w:rFonts w:hint="cs"/>
          <w:rtl/>
          <w:lang w:eastAsia="he-IL"/>
        </w:rPr>
        <w:t xml:space="preserve"> שלא לדבר על זה שעברנו את השואה הקשה ביותר</w:t>
      </w:r>
      <w:r w:rsidR="003B087F">
        <w:rPr>
          <w:rFonts w:hint="cs"/>
          <w:rtl/>
          <w:lang w:eastAsia="he-IL"/>
        </w:rPr>
        <w:t>,</w:t>
      </w:r>
      <w:r>
        <w:rPr>
          <w:rFonts w:hint="cs"/>
          <w:rtl/>
          <w:lang w:eastAsia="he-IL"/>
        </w:rPr>
        <w:t xml:space="preserve"> של עמנו, השמדת מיליונים מעמנו. ועל מה מוכנים להחריב</w:t>
      </w:r>
      <w:r w:rsidR="003B087F">
        <w:rPr>
          <w:rFonts w:hint="cs"/>
          <w:rtl/>
          <w:lang w:eastAsia="he-IL"/>
        </w:rPr>
        <w:t>,</w:t>
      </w:r>
      <w:r>
        <w:rPr>
          <w:rFonts w:hint="cs"/>
          <w:rtl/>
          <w:lang w:eastAsia="he-IL"/>
        </w:rPr>
        <w:t xml:space="preserve"> על מה? זה מה שמטריד את הציבור? זה מה שנדמה לכם שמעניין את הציבור כשיוקר המחיה מרקיע שחקים</w:t>
      </w:r>
      <w:r w:rsidR="003B087F">
        <w:rPr>
          <w:rFonts w:hint="cs"/>
          <w:rtl/>
          <w:lang w:eastAsia="he-IL"/>
        </w:rPr>
        <w:t>,</w:t>
      </w:r>
      <w:r>
        <w:rPr>
          <w:rFonts w:hint="cs"/>
          <w:rtl/>
          <w:lang w:eastAsia="he-IL"/>
        </w:rPr>
        <w:t xml:space="preserve"> כשמערכת החינוך עוד </w:t>
      </w:r>
      <w:bookmarkStart w:id="27413" w:name="_ETM_Q46_550000"/>
      <w:bookmarkEnd w:id="27413"/>
      <w:r>
        <w:rPr>
          <w:rFonts w:hint="cs"/>
          <w:rtl/>
          <w:lang w:eastAsia="he-IL"/>
        </w:rPr>
        <w:t xml:space="preserve">צריכה להתמודד עם הפערים של הקורונה וילדים רבים מתמודדים עם הרבה מאוד התמודדויות, עם חרמות, עם אלימות גואה? דור שנמצא בטיקטוק, דור </w:t>
      </w:r>
      <w:bookmarkStart w:id="27414" w:name="_ETM_Q46_565000"/>
      <w:bookmarkEnd w:id="27414"/>
      <w:r>
        <w:rPr>
          <w:rFonts w:hint="cs"/>
          <w:rtl/>
          <w:lang w:eastAsia="he-IL"/>
        </w:rPr>
        <w:t>שצריך את הזמינות שלנו, הרגשית והנפשית? כשמערכת הבריאות שלנו סובלת ממחסור בכוח אדם, סובלת ממחסור במחלקות? כשרבים בתוך ישראל, מתוך מחקרים, סובלים מדיכאונות</w:t>
      </w:r>
      <w:r w:rsidR="0037589E">
        <w:rPr>
          <w:rFonts w:hint="cs"/>
          <w:rtl/>
          <w:lang w:eastAsia="he-IL"/>
        </w:rPr>
        <w:t>,</w:t>
      </w:r>
      <w:r>
        <w:rPr>
          <w:rFonts w:hint="cs"/>
          <w:rtl/>
          <w:lang w:eastAsia="he-IL"/>
        </w:rPr>
        <w:t xml:space="preserve"> בזה אתם מתעסקים? בזה, שלא ניתן יהיה לבקר אתכם יותר? שלא ניתן יהיה להטיל ביקורת על נבחרי ציבור, החל מראש ממשלה, מליאת ממשלה, </w:t>
      </w:r>
      <w:bookmarkStart w:id="27415" w:name="_ETM_Q46_602000"/>
      <w:bookmarkEnd w:id="27415"/>
      <w:r>
        <w:rPr>
          <w:rFonts w:hint="cs"/>
          <w:rtl/>
          <w:lang w:eastAsia="he-IL"/>
        </w:rPr>
        <w:t xml:space="preserve">שר, ראש עיר – כל נבחר ציבור יוכל לעשות ולקחת החלטה בלי שניתן יהיה להעביר עליו ביקורת שיפוטית? </w:t>
      </w:r>
    </w:p>
    <w:p w:rsidR="00BB59CD" w:rsidRDefault="00BB59CD" w:rsidP="00BB59CD">
      <w:pPr>
        <w:rPr>
          <w:rtl/>
          <w:lang w:eastAsia="he-IL"/>
        </w:rPr>
      </w:pPr>
      <w:bookmarkStart w:id="27416" w:name="_ETM_Q46_588026"/>
      <w:bookmarkStart w:id="27417" w:name="_ETM_Q46_588103"/>
      <w:bookmarkEnd w:id="27416"/>
      <w:bookmarkEnd w:id="27417"/>
    </w:p>
    <w:p w:rsidR="00BB59CD" w:rsidRDefault="00BB59CD" w:rsidP="0037589E">
      <w:pPr>
        <w:rPr>
          <w:rtl/>
          <w:lang w:eastAsia="he-IL"/>
        </w:rPr>
      </w:pPr>
      <w:bookmarkStart w:id="27418" w:name="_ETM_Q46_588246"/>
      <w:bookmarkStart w:id="27419" w:name="_ETM_Q46_588312"/>
      <w:bookmarkEnd w:id="27418"/>
      <w:bookmarkEnd w:id="27419"/>
      <w:r>
        <w:rPr>
          <w:rFonts w:hint="cs"/>
          <w:rtl/>
          <w:lang w:eastAsia="he-IL"/>
        </w:rPr>
        <w:t xml:space="preserve">אז מי מפחד? ממה אתם מפחדים? אם אתם אנשים כל כך הגיוניים ובאתם לפעול למען העם, הרי אינכם צריכים את החסינות הזאת </w:t>
      </w:r>
      <w:bookmarkStart w:id="27420" w:name="_ETM_Q46_628000"/>
      <w:bookmarkEnd w:id="27420"/>
      <w:r>
        <w:rPr>
          <w:rFonts w:hint="cs"/>
          <w:rtl/>
          <w:lang w:eastAsia="he-IL"/>
        </w:rPr>
        <w:t>מפני היכולת של בית המשפט להתערב בסבירות. גם ההתערבות היא בדרך כלל</w:t>
      </w:r>
      <w:bookmarkStart w:id="27421" w:name="_ETM_Q46_637000"/>
      <w:bookmarkEnd w:id="27421"/>
      <w:r>
        <w:rPr>
          <w:rFonts w:hint="cs"/>
          <w:rtl/>
          <w:lang w:eastAsia="he-IL"/>
        </w:rPr>
        <w:t xml:space="preserve"> אם מדובר באי-סבירות קי</w:t>
      </w:r>
      <w:r w:rsidR="0037589E">
        <w:rPr>
          <w:rFonts w:hint="cs"/>
          <w:rtl/>
          <w:lang w:eastAsia="he-IL"/>
        </w:rPr>
        <w:t xml:space="preserve">צונית ומהותית, </w:t>
      </w:r>
      <w:r>
        <w:rPr>
          <w:rFonts w:hint="cs"/>
          <w:rtl/>
          <w:lang w:eastAsia="he-IL"/>
        </w:rPr>
        <w:t>אבל הגרוע מכול הוא שבמהלך הזה אתם פוגעים בזכות האזרח והאזרחית, בזכות האזרח שנפגע מהחלטה כזאת או</w:t>
      </w:r>
      <w:bookmarkStart w:id="27422" w:name="_ETM_Q46_655000"/>
      <w:bookmarkEnd w:id="27422"/>
      <w:r>
        <w:rPr>
          <w:rFonts w:hint="cs"/>
          <w:rtl/>
          <w:lang w:eastAsia="he-IL"/>
        </w:rPr>
        <w:t xml:space="preserve"> אחרת של נבחר ציבור. האזרח לא יוכל ללכת לבית המשפט; שמים לו תמרור עצור. </w:t>
      </w:r>
      <w:bookmarkStart w:id="27423" w:name="_ETM_Q46_666000"/>
      <w:bookmarkEnd w:id="27423"/>
    </w:p>
    <w:p w:rsidR="00BB59CD" w:rsidRDefault="00BB59CD" w:rsidP="00BB59CD">
      <w:pPr>
        <w:rPr>
          <w:rtl/>
          <w:lang w:eastAsia="he-IL"/>
        </w:rPr>
      </w:pPr>
    </w:p>
    <w:p w:rsidR="00BB59CD" w:rsidRDefault="00BB59CD" w:rsidP="0037589E">
      <w:pPr>
        <w:rPr>
          <w:rtl/>
          <w:lang w:eastAsia="he-IL"/>
        </w:rPr>
      </w:pPr>
      <w:r>
        <w:rPr>
          <w:rFonts w:hint="cs"/>
          <w:rtl/>
          <w:lang w:eastAsia="he-IL"/>
        </w:rPr>
        <w:t xml:space="preserve">כמו שאמרתי, זה כבר זמן רב שלא מדובר בשאלת הימין והשמאל, אלא מה תפקידם של נבחרי ציבור ובעיקר </w:t>
      </w:r>
      <w:r w:rsidR="0037589E">
        <w:rPr>
          <w:rFonts w:hint="cs"/>
          <w:rtl/>
          <w:lang w:eastAsia="he-IL"/>
        </w:rPr>
        <w:t>ה</w:t>
      </w:r>
      <w:r>
        <w:rPr>
          <w:rFonts w:hint="cs"/>
          <w:rtl/>
          <w:lang w:eastAsia="he-IL"/>
        </w:rPr>
        <w:t xml:space="preserve">ממשלה: האם זה לצבור עוד כוח ועוד שררה </w:t>
      </w:r>
      <w:bookmarkStart w:id="27424" w:name="_ETM_Q46_682000"/>
      <w:bookmarkEnd w:id="27424"/>
      <w:r>
        <w:rPr>
          <w:rFonts w:hint="cs"/>
          <w:rtl/>
          <w:lang w:eastAsia="he-IL"/>
        </w:rPr>
        <w:t>אל מול האזרחים</w:t>
      </w:r>
      <w:r w:rsidR="0037589E">
        <w:rPr>
          <w:rFonts w:hint="cs"/>
          <w:rtl/>
          <w:lang w:eastAsia="he-IL"/>
        </w:rPr>
        <w:t>,</w:t>
      </w:r>
      <w:r>
        <w:rPr>
          <w:rFonts w:hint="cs"/>
          <w:rtl/>
          <w:lang w:eastAsia="he-IL"/>
        </w:rPr>
        <w:t xml:space="preserve"> מול בית המשפט</w:t>
      </w:r>
      <w:r w:rsidR="0037589E">
        <w:rPr>
          <w:rFonts w:hint="cs"/>
          <w:rtl/>
          <w:lang w:eastAsia="he-IL"/>
        </w:rPr>
        <w:t>,</w:t>
      </w:r>
      <w:r>
        <w:rPr>
          <w:rFonts w:hint="cs"/>
          <w:rtl/>
          <w:lang w:eastAsia="he-IL"/>
        </w:rPr>
        <w:t xml:space="preserve"> מול הפקידים</w:t>
      </w:r>
      <w:r w:rsidR="0037589E">
        <w:rPr>
          <w:rFonts w:hint="cs"/>
          <w:rtl/>
          <w:lang w:eastAsia="he-IL"/>
        </w:rPr>
        <w:t>,</w:t>
      </w:r>
      <w:r>
        <w:rPr>
          <w:rFonts w:hint="cs"/>
          <w:rtl/>
          <w:lang w:eastAsia="he-IL"/>
        </w:rPr>
        <w:t xml:space="preserve"> מול הצבא</w:t>
      </w:r>
      <w:bookmarkStart w:id="27425" w:name="_ETM_Q46_690000"/>
      <w:bookmarkEnd w:id="27425"/>
      <w:r w:rsidR="0037589E">
        <w:rPr>
          <w:rFonts w:hint="cs"/>
          <w:rtl/>
          <w:lang w:eastAsia="he-IL"/>
        </w:rPr>
        <w:t>,</w:t>
      </w:r>
      <w:r>
        <w:rPr>
          <w:rFonts w:hint="cs"/>
          <w:rtl/>
          <w:lang w:eastAsia="he-IL"/>
        </w:rPr>
        <w:t xml:space="preserve"> מול המשטרה</w:t>
      </w:r>
      <w:r w:rsidR="0037589E">
        <w:rPr>
          <w:rFonts w:hint="cs"/>
          <w:rtl/>
          <w:lang w:eastAsia="he-IL"/>
        </w:rPr>
        <w:t>,</w:t>
      </w:r>
      <w:r>
        <w:rPr>
          <w:rFonts w:hint="cs"/>
          <w:rtl/>
          <w:lang w:eastAsia="he-IL"/>
        </w:rPr>
        <w:t xml:space="preserve"> מול מערכת הבריאות</w:t>
      </w:r>
      <w:r w:rsidR="0037589E">
        <w:rPr>
          <w:rFonts w:hint="cs"/>
          <w:rtl/>
          <w:lang w:eastAsia="he-IL"/>
        </w:rPr>
        <w:t>,</w:t>
      </w:r>
      <w:r>
        <w:rPr>
          <w:rFonts w:hint="cs"/>
          <w:rtl/>
          <w:lang w:eastAsia="he-IL"/>
        </w:rPr>
        <w:t xml:space="preserve"> מול מדינה שלמה? או שמא</w:t>
      </w:r>
      <w:bookmarkStart w:id="27426" w:name="_ETM_Q46_697000"/>
      <w:bookmarkEnd w:id="27426"/>
      <w:r>
        <w:rPr>
          <w:rFonts w:hint="cs"/>
          <w:rtl/>
          <w:lang w:eastAsia="he-IL"/>
        </w:rPr>
        <w:t xml:space="preserve"> לשרת את כל חלקי העם, כי כולם הם העם. </w:t>
      </w:r>
      <w:bookmarkStart w:id="27427" w:name="_ETM_Q46_700000"/>
      <w:bookmarkEnd w:id="27427"/>
      <w:r>
        <w:rPr>
          <w:rFonts w:hint="cs"/>
          <w:rtl/>
          <w:lang w:eastAsia="he-IL"/>
        </w:rPr>
        <w:t>אתם לא שמים לב</w:t>
      </w:r>
      <w:r w:rsidR="0037589E">
        <w:rPr>
          <w:rFonts w:hint="cs"/>
          <w:rtl/>
          <w:lang w:eastAsia="he-IL"/>
        </w:rPr>
        <w:t>,</w:t>
      </w:r>
      <w:r>
        <w:rPr>
          <w:rFonts w:hint="cs"/>
          <w:rtl/>
          <w:lang w:eastAsia="he-IL"/>
        </w:rPr>
        <w:t xml:space="preserve"> אתם בעצם פתחתם חזית נגד מדינת ישראל. אפשר ל</w:t>
      </w:r>
      <w:r w:rsidR="0037589E">
        <w:rPr>
          <w:rFonts w:hint="cs"/>
          <w:rtl/>
          <w:lang w:eastAsia="he-IL"/>
        </w:rPr>
        <w:t>כתוב</w:t>
      </w:r>
      <w:r>
        <w:rPr>
          <w:rFonts w:hint="cs"/>
          <w:rtl/>
          <w:lang w:eastAsia="he-IL"/>
        </w:rPr>
        <w:t xml:space="preserve">: ממשלת ישראל נגד מדינת ישראל ואזרחיה. </w:t>
      </w:r>
    </w:p>
    <w:p w:rsidR="00BB59CD" w:rsidRDefault="00BB59CD" w:rsidP="00BB59CD">
      <w:pPr>
        <w:rPr>
          <w:rtl/>
          <w:lang w:eastAsia="he-IL"/>
        </w:rPr>
      </w:pPr>
    </w:p>
    <w:p w:rsidR="00BB59CD" w:rsidRDefault="00BB59CD" w:rsidP="0037589E">
      <w:pPr>
        <w:rPr>
          <w:rtl/>
        </w:rPr>
      </w:pPr>
      <w:bookmarkStart w:id="27428" w:name="_ETM_Q46_715000"/>
      <w:bookmarkEnd w:id="27428"/>
      <w:r>
        <w:rPr>
          <w:rFonts w:hint="cs"/>
          <w:rtl/>
          <w:lang w:eastAsia="he-IL"/>
        </w:rPr>
        <w:t xml:space="preserve">בימים האחרונים מאות אלפים יוצאים לרחובות. חלקם צעדו לכאן בהמוניהם, לירושלים </w:t>
      </w:r>
      <w:bookmarkStart w:id="27429" w:name="_ETM_Q46_723000"/>
      <w:bookmarkEnd w:id="27429"/>
      <w:r>
        <w:rPr>
          <w:rFonts w:hint="cs"/>
          <w:rtl/>
          <w:lang w:eastAsia="he-IL"/>
        </w:rPr>
        <w:t xml:space="preserve">בירתנו. במקום שראש הממשלה וחברי הממשלה יראו את הכאב והזעקה של העם, ימצאו פתרונות להרגעה, יחפשו את דרך המלך להסכמות – בטח כשזאת הוצעה על ידי יושב-ראש המפלגה שלי חבר הכנסת בני גנץ – במקום זה אתם בוחרים לגדף את האזרחים. איך אמר פה אחד מכם? עם ישראל יסתדר בלעדיכם </w:t>
      </w:r>
      <w:r w:rsidR="0037589E">
        <w:rPr>
          <w:rFonts w:hint="eastAsia"/>
          <w:rtl/>
          <w:lang w:eastAsia="he-IL"/>
        </w:rPr>
        <w:t>–</w:t>
      </w:r>
      <w:r w:rsidR="0037589E">
        <w:rPr>
          <w:rFonts w:hint="cs"/>
          <w:rtl/>
          <w:lang w:eastAsia="he-IL"/>
        </w:rPr>
        <w:t xml:space="preserve"> </w:t>
      </w:r>
      <w:r>
        <w:rPr>
          <w:rFonts w:hint="cs"/>
          <w:rtl/>
          <w:lang w:eastAsia="he-IL"/>
        </w:rPr>
        <w:t xml:space="preserve">כאילו לא היו המפגינים חלק </w:t>
      </w:r>
      <w:bookmarkStart w:id="27430" w:name="_ETM_Q46_760000"/>
      <w:bookmarkEnd w:id="27430"/>
      <w:r>
        <w:rPr>
          <w:rFonts w:hint="cs"/>
          <w:rtl/>
          <w:lang w:eastAsia="he-IL"/>
        </w:rPr>
        <w:t xml:space="preserve">מעם ישראל. ההתייחסות לטייסים כנפולת נמושות, זו הייתה יריית הפתיחה. </w:t>
      </w:r>
      <w:bookmarkStart w:id="27431" w:name="_ETM_Q46_771000"/>
      <w:bookmarkStart w:id="27432" w:name="_ETM_Q46_772000"/>
      <w:bookmarkStart w:id="27433" w:name="TOR_Q47"/>
      <w:bookmarkStart w:id="27434" w:name="_ETM_Q47_182210"/>
      <w:bookmarkEnd w:id="27431"/>
      <w:bookmarkEnd w:id="27432"/>
      <w:bookmarkEnd w:id="27433"/>
      <w:bookmarkEnd w:id="27434"/>
      <w:r>
        <w:rPr>
          <w:rFonts w:hint="cs"/>
          <w:rtl/>
        </w:rPr>
        <w:t xml:space="preserve">ההסתה נגד היועצת המשפטית לממשלה – לומר עליה </w:t>
      </w:r>
      <w:r w:rsidR="0037589E">
        <w:rPr>
          <w:rFonts w:hint="cs"/>
          <w:rtl/>
        </w:rPr>
        <w:t>"</w:t>
      </w:r>
      <w:r>
        <w:rPr>
          <w:rFonts w:hint="cs"/>
          <w:rtl/>
        </w:rPr>
        <w:t>מופקרת</w:t>
      </w:r>
      <w:r w:rsidR="0037589E">
        <w:rPr>
          <w:rFonts w:hint="cs"/>
          <w:rtl/>
        </w:rPr>
        <w:t>",</w:t>
      </w:r>
      <w:r>
        <w:rPr>
          <w:rFonts w:hint="cs"/>
          <w:rtl/>
        </w:rPr>
        <w:t xml:space="preserve"> </w:t>
      </w:r>
      <w:bookmarkStart w:id="27435" w:name="_ETM_Q47_173000"/>
      <w:bookmarkEnd w:id="27435"/>
      <w:r>
        <w:rPr>
          <w:rFonts w:hint="cs"/>
          <w:rtl/>
        </w:rPr>
        <w:t xml:space="preserve">לדבר בשפה כל כך מיזוגינית ושוביניסטית? לקרוא </w:t>
      </w:r>
      <w:bookmarkStart w:id="27436" w:name="_ETM_Q47_182840"/>
      <w:bookmarkEnd w:id="27436"/>
      <w:r>
        <w:rPr>
          <w:rFonts w:hint="cs"/>
          <w:rtl/>
        </w:rPr>
        <w:t xml:space="preserve">לנשיאת </w:t>
      </w:r>
      <w:bookmarkStart w:id="27437" w:name="_ETM_Q47_183230"/>
      <w:bookmarkEnd w:id="27437"/>
      <w:r>
        <w:rPr>
          <w:rFonts w:hint="cs"/>
          <w:rtl/>
        </w:rPr>
        <w:t xml:space="preserve">בית </w:t>
      </w:r>
      <w:bookmarkStart w:id="27438" w:name="_ETM_Q47_183439"/>
      <w:bookmarkEnd w:id="27438"/>
      <w:r>
        <w:rPr>
          <w:rFonts w:hint="cs"/>
          <w:rtl/>
        </w:rPr>
        <w:t xml:space="preserve">המשפט </w:t>
      </w:r>
      <w:bookmarkStart w:id="27439" w:name="_ETM_Q47_183949"/>
      <w:bookmarkEnd w:id="27439"/>
      <w:r>
        <w:rPr>
          <w:rFonts w:hint="cs"/>
          <w:rtl/>
        </w:rPr>
        <w:t xml:space="preserve">העליון </w:t>
      </w:r>
      <w:bookmarkStart w:id="27440" w:name="_ETM_Q47_186319"/>
      <w:bookmarkEnd w:id="27440"/>
      <w:r>
        <w:rPr>
          <w:rFonts w:hint="cs"/>
          <w:rtl/>
        </w:rPr>
        <w:t xml:space="preserve">כאילו </w:t>
      </w:r>
      <w:bookmarkStart w:id="27441" w:name="_ETM_Q47_186830"/>
      <w:bookmarkEnd w:id="27441"/>
      <w:r>
        <w:rPr>
          <w:rFonts w:hint="cs"/>
          <w:rtl/>
        </w:rPr>
        <w:t xml:space="preserve">היא </w:t>
      </w:r>
      <w:bookmarkStart w:id="27442" w:name="_ETM_Q47_187009"/>
      <w:bookmarkEnd w:id="27442"/>
      <w:r>
        <w:rPr>
          <w:rFonts w:hint="cs"/>
          <w:rtl/>
        </w:rPr>
        <w:t xml:space="preserve">אשמה </w:t>
      </w:r>
      <w:bookmarkStart w:id="27443" w:name="_ETM_Q47_187430"/>
      <w:bookmarkEnd w:id="27443"/>
      <w:r>
        <w:rPr>
          <w:rFonts w:hint="cs"/>
          <w:rtl/>
        </w:rPr>
        <w:t xml:space="preserve">בטרור </w:t>
      </w:r>
      <w:bookmarkStart w:id="27444" w:name="_ETM_Q47_190110"/>
      <w:bookmarkEnd w:id="27444"/>
      <w:r w:rsidR="0037589E">
        <w:rPr>
          <w:rFonts w:hint="eastAsia"/>
          <w:rtl/>
        </w:rPr>
        <w:t>–</w:t>
      </w:r>
      <w:r w:rsidR="0037589E">
        <w:rPr>
          <w:rFonts w:hint="cs"/>
          <w:rtl/>
        </w:rPr>
        <w:t xml:space="preserve"> </w:t>
      </w:r>
      <w:r>
        <w:rPr>
          <w:rFonts w:hint="cs"/>
          <w:rtl/>
        </w:rPr>
        <w:t xml:space="preserve">היא </w:t>
      </w:r>
      <w:bookmarkStart w:id="27445" w:name="_ETM_Q47_190260"/>
      <w:bookmarkEnd w:id="27445"/>
      <w:r>
        <w:rPr>
          <w:rFonts w:hint="cs"/>
          <w:rtl/>
        </w:rPr>
        <w:t xml:space="preserve">בוחרת </w:t>
      </w:r>
      <w:bookmarkStart w:id="27446" w:name="_ETM_Q47_190740"/>
      <w:bookmarkEnd w:id="27446"/>
      <w:r>
        <w:rPr>
          <w:rFonts w:hint="cs"/>
          <w:rtl/>
        </w:rPr>
        <w:t xml:space="preserve">להבעיר </w:t>
      </w:r>
      <w:bookmarkStart w:id="27447" w:name="_ETM_Q47_191130"/>
      <w:bookmarkEnd w:id="27447"/>
      <w:r>
        <w:rPr>
          <w:rFonts w:hint="cs"/>
          <w:rtl/>
        </w:rPr>
        <w:t xml:space="preserve">את </w:t>
      </w:r>
      <w:bookmarkStart w:id="27448" w:name="_ETM_Q47_191280"/>
      <w:bookmarkEnd w:id="27448"/>
      <w:r>
        <w:rPr>
          <w:rFonts w:hint="cs"/>
          <w:rtl/>
        </w:rPr>
        <w:t xml:space="preserve">הרחובות? </w:t>
      </w:r>
      <w:bookmarkStart w:id="27449" w:name="_ETM_Q47_193300"/>
      <w:bookmarkEnd w:id="27449"/>
      <w:r>
        <w:rPr>
          <w:rFonts w:hint="cs"/>
          <w:rtl/>
        </w:rPr>
        <w:t xml:space="preserve">יש </w:t>
      </w:r>
      <w:bookmarkStart w:id="27450" w:name="_ETM_Q47_193450"/>
      <w:bookmarkEnd w:id="27450"/>
      <w:r>
        <w:rPr>
          <w:rFonts w:hint="cs"/>
          <w:rtl/>
        </w:rPr>
        <w:t xml:space="preserve">כל </w:t>
      </w:r>
      <w:bookmarkStart w:id="27451" w:name="_ETM_Q47_193600"/>
      <w:bookmarkEnd w:id="27451"/>
      <w:r>
        <w:rPr>
          <w:rFonts w:hint="cs"/>
          <w:rtl/>
        </w:rPr>
        <w:t xml:space="preserve">כך </w:t>
      </w:r>
      <w:bookmarkStart w:id="27452" w:name="_ETM_Q47_193900"/>
      <w:bookmarkEnd w:id="27452"/>
      <w:r>
        <w:rPr>
          <w:rFonts w:hint="cs"/>
          <w:rtl/>
        </w:rPr>
        <w:t xml:space="preserve">הרבה </w:t>
      </w:r>
      <w:bookmarkStart w:id="27453" w:name="_ETM_Q47_194710"/>
      <w:bookmarkEnd w:id="27453"/>
      <w:r>
        <w:rPr>
          <w:rFonts w:hint="cs"/>
          <w:rtl/>
        </w:rPr>
        <w:t xml:space="preserve">אמירות, </w:t>
      </w:r>
      <w:bookmarkStart w:id="27454" w:name="_ETM_Q47_195580"/>
      <w:bookmarkEnd w:id="27454"/>
      <w:r>
        <w:rPr>
          <w:rFonts w:hint="cs"/>
          <w:rtl/>
        </w:rPr>
        <w:t xml:space="preserve">השכם </w:t>
      </w:r>
      <w:bookmarkStart w:id="27455" w:name="_ETM_Q47_195990"/>
      <w:bookmarkEnd w:id="27455"/>
      <w:r>
        <w:rPr>
          <w:rFonts w:hint="cs"/>
          <w:rtl/>
        </w:rPr>
        <w:t xml:space="preserve">וערב. </w:t>
      </w:r>
      <w:bookmarkStart w:id="27456" w:name="_ETM_Q47_197390"/>
      <w:bookmarkEnd w:id="27456"/>
      <w:r>
        <w:rPr>
          <w:rFonts w:hint="cs"/>
          <w:rtl/>
        </w:rPr>
        <w:t xml:space="preserve">כל </w:t>
      </w:r>
      <w:bookmarkStart w:id="27457" w:name="_ETM_Q47_197540"/>
      <w:bookmarkEnd w:id="27457"/>
      <w:r>
        <w:rPr>
          <w:rFonts w:hint="cs"/>
          <w:rtl/>
        </w:rPr>
        <w:t xml:space="preserve">כך </w:t>
      </w:r>
      <w:bookmarkStart w:id="27458" w:name="_ETM_Q47_197750"/>
      <w:bookmarkEnd w:id="27458"/>
      <w:r>
        <w:rPr>
          <w:rFonts w:hint="cs"/>
          <w:rtl/>
        </w:rPr>
        <w:t xml:space="preserve">הרבה </w:t>
      </w:r>
      <w:bookmarkStart w:id="27459" w:name="_ETM_Q47_198050"/>
      <w:bookmarkEnd w:id="27459"/>
      <w:r>
        <w:rPr>
          <w:rFonts w:hint="cs"/>
          <w:rtl/>
        </w:rPr>
        <w:t xml:space="preserve">יש </w:t>
      </w:r>
      <w:bookmarkStart w:id="27460" w:name="_ETM_Q47_198170"/>
      <w:bookmarkEnd w:id="27460"/>
      <w:r>
        <w:rPr>
          <w:rFonts w:hint="cs"/>
          <w:rtl/>
        </w:rPr>
        <w:t>בטוויטר, היד</w:t>
      </w:r>
      <w:bookmarkStart w:id="27461" w:name="_ETM_Q47_199810"/>
      <w:bookmarkStart w:id="27462" w:name="_ETM_Q47_200140"/>
      <w:bookmarkEnd w:id="27461"/>
      <w:bookmarkEnd w:id="27462"/>
      <w:r>
        <w:rPr>
          <w:rFonts w:hint="cs"/>
          <w:rtl/>
        </w:rPr>
        <w:t xml:space="preserve"> </w:t>
      </w:r>
      <w:bookmarkStart w:id="27463" w:name="_ETM_Q47_199000"/>
      <w:bookmarkEnd w:id="27463"/>
      <w:r>
        <w:rPr>
          <w:rFonts w:hint="cs"/>
          <w:rtl/>
        </w:rPr>
        <w:t xml:space="preserve">קלה על </w:t>
      </w:r>
      <w:bookmarkStart w:id="27464" w:name="_ETM_Q47_200800"/>
      <w:bookmarkEnd w:id="27464"/>
      <w:r>
        <w:rPr>
          <w:rFonts w:hint="cs"/>
          <w:rtl/>
        </w:rPr>
        <w:t xml:space="preserve">המקלדת </w:t>
      </w:r>
      <w:bookmarkStart w:id="27465" w:name="_ETM_Q47_203169"/>
      <w:bookmarkEnd w:id="27465"/>
      <w:r>
        <w:rPr>
          <w:rFonts w:hint="cs"/>
          <w:rtl/>
        </w:rPr>
        <w:t xml:space="preserve">של </w:t>
      </w:r>
      <w:bookmarkStart w:id="27466" w:name="_ETM_Q47_203380"/>
      <w:bookmarkEnd w:id="27466"/>
      <w:r>
        <w:rPr>
          <w:rFonts w:hint="cs"/>
          <w:rtl/>
        </w:rPr>
        <w:t>הפלאפון – זו אפילו</w:t>
      </w:r>
      <w:bookmarkStart w:id="27467" w:name="_ETM_Q47_204159"/>
      <w:bookmarkEnd w:id="27467"/>
      <w:r>
        <w:rPr>
          <w:rFonts w:hint="cs"/>
          <w:rtl/>
        </w:rPr>
        <w:t xml:space="preserve"> </w:t>
      </w:r>
      <w:bookmarkStart w:id="27468" w:name="_ETM_Q47_204310"/>
      <w:bookmarkEnd w:id="27468"/>
      <w:r>
        <w:rPr>
          <w:rFonts w:hint="cs"/>
          <w:rtl/>
        </w:rPr>
        <w:t xml:space="preserve">לא </w:t>
      </w:r>
      <w:bookmarkStart w:id="27469" w:name="_ETM_Q47_204400"/>
      <w:bookmarkEnd w:id="27469"/>
      <w:r>
        <w:rPr>
          <w:rFonts w:hint="cs"/>
          <w:rtl/>
        </w:rPr>
        <w:t xml:space="preserve">מקלדת </w:t>
      </w:r>
      <w:r w:rsidR="0037589E">
        <w:rPr>
          <w:rFonts w:hint="eastAsia"/>
          <w:rtl/>
        </w:rPr>
        <w:t>–</w:t>
      </w:r>
      <w:r w:rsidR="0037589E">
        <w:rPr>
          <w:rFonts w:hint="cs"/>
          <w:rtl/>
        </w:rPr>
        <w:t xml:space="preserve"> </w:t>
      </w:r>
      <w:r>
        <w:rPr>
          <w:rFonts w:hint="cs"/>
          <w:rtl/>
        </w:rPr>
        <w:t>ושוכחים. ש</w:t>
      </w:r>
      <w:bookmarkStart w:id="27470" w:name="_ETM_Q47_206159"/>
      <w:bookmarkStart w:id="27471" w:name="_ETM_Q47_206449"/>
      <w:bookmarkStart w:id="27472" w:name="_ETM_Q47_206929"/>
      <w:bookmarkEnd w:id="27470"/>
      <w:bookmarkEnd w:id="27471"/>
      <w:bookmarkEnd w:id="27472"/>
      <w:r>
        <w:rPr>
          <w:rFonts w:hint="cs"/>
          <w:rtl/>
        </w:rPr>
        <w:t xml:space="preserve">וכחים </w:t>
      </w:r>
      <w:bookmarkStart w:id="27473" w:name="_ETM_Q47_207380"/>
      <w:bookmarkEnd w:id="27473"/>
      <w:r>
        <w:rPr>
          <w:rFonts w:hint="cs"/>
          <w:rtl/>
        </w:rPr>
        <w:t xml:space="preserve">שאנחנו </w:t>
      </w:r>
      <w:bookmarkStart w:id="27474" w:name="_ETM_Q47_207710"/>
      <w:bookmarkEnd w:id="27474"/>
      <w:r>
        <w:rPr>
          <w:rFonts w:hint="cs"/>
          <w:rtl/>
        </w:rPr>
        <w:t xml:space="preserve">נבחרי </w:t>
      </w:r>
      <w:bookmarkStart w:id="27475" w:name="_ETM_Q47_208130"/>
      <w:bookmarkEnd w:id="27475"/>
      <w:r>
        <w:rPr>
          <w:rFonts w:hint="cs"/>
          <w:rtl/>
        </w:rPr>
        <w:t xml:space="preserve">ציבור, </w:t>
      </w:r>
      <w:bookmarkStart w:id="27476" w:name="_ETM_Q47_209199"/>
      <w:bookmarkEnd w:id="27476"/>
      <w:r>
        <w:rPr>
          <w:rFonts w:hint="cs"/>
          <w:rtl/>
        </w:rPr>
        <w:t xml:space="preserve">שאנחנו </w:t>
      </w:r>
      <w:bookmarkStart w:id="27477" w:name="_ETM_Q47_209560"/>
      <w:bookmarkEnd w:id="27477"/>
      <w:r>
        <w:rPr>
          <w:rFonts w:hint="cs"/>
          <w:rtl/>
        </w:rPr>
        <w:t xml:space="preserve">אמורים </w:t>
      </w:r>
      <w:bookmarkStart w:id="27478" w:name="_ETM_Q47_210039"/>
      <w:bookmarkEnd w:id="27478"/>
      <w:r>
        <w:rPr>
          <w:rFonts w:hint="cs"/>
          <w:rtl/>
        </w:rPr>
        <w:t xml:space="preserve">להיות </w:t>
      </w:r>
      <w:bookmarkStart w:id="27479" w:name="_ETM_Q47_210339"/>
      <w:bookmarkEnd w:id="27479"/>
      <w:r>
        <w:rPr>
          <w:rFonts w:hint="cs"/>
          <w:rtl/>
        </w:rPr>
        <w:t xml:space="preserve">מודל </w:t>
      </w:r>
      <w:bookmarkStart w:id="27480" w:name="_ETM_Q47_211329"/>
      <w:bookmarkEnd w:id="27480"/>
      <w:r>
        <w:rPr>
          <w:rFonts w:hint="cs"/>
          <w:rtl/>
        </w:rPr>
        <w:t xml:space="preserve">לחיקוי. </w:t>
      </w:r>
      <w:bookmarkStart w:id="27481" w:name="_ETM_Q47_212880"/>
      <w:bookmarkEnd w:id="27481"/>
      <w:r>
        <w:rPr>
          <w:rFonts w:hint="cs"/>
          <w:rtl/>
        </w:rPr>
        <w:t xml:space="preserve">להטיל </w:t>
      </w:r>
      <w:bookmarkStart w:id="27482" w:name="_ETM_Q47_213300"/>
      <w:bookmarkEnd w:id="27482"/>
      <w:r>
        <w:rPr>
          <w:rFonts w:hint="cs"/>
          <w:rtl/>
        </w:rPr>
        <w:t xml:space="preserve">על </w:t>
      </w:r>
      <w:bookmarkStart w:id="27483" w:name="_ETM_Q47_213420"/>
      <w:bookmarkEnd w:id="27483"/>
      <w:r>
        <w:rPr>
          <w:rFonts w:hint="cs"/>
          <w:rtl/>
        </w:rPr>
        <w:t xml:space="preserve">עצמנו </w:t>
      </w:r>
      <w:bookmarkStart w:id="27484" w:name="_ETM_Q47_215010"/>
      <w:bookmarkEnd w:id="27484"/>
      <w:r>
        <w:rPr>
          <w:rFonts w:hint="cs"/>
          <w:rtl/>
        </w:rPr>
        <w:t xml:space="preserve">אולי </w:t>
      </w:r>
      <w:bookmarkStart w:id="27485" w:name="_ETM_Q47_215280"/>
      <w:bookmarkEnd w:id="27485"/>
      <w:r>
        <w:rPr>
          <w:rFonts w:hint="cs"/>
          <w:rtl/>
        </w:rPr>
        <w:t xml:space="preserve">ערכים </w:t>
      </w:r>
      <w:bookmarkStart w:id="27486" w:name="_ETM_Q47_216469"/>
      <w:bookmarkEnd w:id="27486"/>
      <w:r>
        <w:rPr>
          <w:rFonts w:hint="cs"/>
          <w:rtl/>
        </w:rPr>
        <w:t xml:space="preserve">טיפה </w:t>
      </w:r>
      <w:bookmarkStart w:id="27487" w:name="_ETM_Q47_216829"/>
      <w:bookmarkEnd w:id="27487"/>
      <w:r>
        <w:rPr>
          <w:rFonts w:hint="cs"/>
          <w:rtl/>
        </w:rPr>
        <w:t xml:space="preserve">יותר </w:t>
      </w:r>
      <w:bookmarkStart w:id="27488" w:name="_ETM_Q47_217370"/>
      <w:bookmarkEnd w:id="27488"/>
      <w:r>
        <w:rPr>
          <w:rFonts w:hint="cs"/>
          <w:rtl/>
        </w:rPr>
        <w:t xml:space="preserve">מהודקים </w:t>
      </w:r>
      <w:r w:rsidR="0037589E">
        <w:rPr>
          <w:rFonts w:hint="cs"/>
          <w:rtl/>
        </w:rPr>
        <w:t xml:space="preserve">משל </w:t>
      </w:r>
      <w:r>
        <w:rPr>
          <w:rFonts w:hint="cs"/>
          <w:rtl/>
        </w:rPr>
        <w:t>האזרחים</w:t>
      </w:r>
      <w:r w:rsidR="0037589E">
        <w:rPr>
          <w:rFonts w:hint="cs"/>
          <w:rtl/>
        </w:rPr>
        <w:t>,</w:t>
      </w:r>
      <w:r>
        <w:rPr>
          <w:rFonts w:hint="cs"/>
          <w:rtl/>
        </w:rPr>
        <w:t xml:space="preserve"> כי אחרי </w:t>
      </w:r>
      <w:bookmarkStart w:id="27489" w:name="_ETM_Q47_220000"/>
      <w:bookmarkEnd w:id="27489"/>
      <w:r>
        <w:rPr>
          <w:rFonts w:hint="cs"/>
          <w:rtl/>
        </w:rPr>
        <w:t xml:space="preserve">הכול </w:t>
      </w:r>
      <w:bookmarkStart w:id="27490" w:name="_ETM_Q47_219600"/>
      <w:bookmarkStart w:id="27491" w:name="_ETM_Q47_220140"/>
      <w:bookmarkStart w:id="27492" w:name="_ETM_Q47_220710"/>
      <w:bookmarkStart w:id="27493" w:name="_ETM_Q47_220859"/>
      <w:bookmarkStart w:id="27494" w:name="_ETM_Q47_221039"/>
      <w:bookmarkStart w:id="27495" w:name="_ETM_Q47_221219"/>
      <w:bookmarkEnd w:id="27490"/>
      <w:bookmarkEnd w:id="27491"/>
      <w:bookmarkEnd w:id="27492"/>
      <w:bookmarkEnd w:id="27493"/>
      <w:bookmarkEnd w:id="27494"/>
      <w:bookmarkEnd w:id="27495"/>
      <w:r>
        <w:rPr>
          <w:rFonts w:hint="cs"/>
          <w:rtl/>
        </w:rPr>
        <w:t xml:space="preserve">אנחנו </w:t>
      </w:r>
      <w:bookmarkStart w:id="27496" w:name="_ETM_Q47_221489"/>
      <w:bookmarkEnd w:id="27496"/>
      <w:r>
        <w:rPr>
          <w:rFonts w:hint="cs"/>
          <w:rtl/>
        </w:rPr>
        <w:t xml:space="preserve">גם </w:t>
      </w:r>
      <w:bookmarkStart w:id="27497" w:name="_ETM_Q47_221670"/>
      <w:bookmarkEnd w:id="27497"/>
      <w:r>
        <w:rPr>
          <w:rFonts w:hint="cs"/>
          <w:rtl/>
        </w:rPr>
        <w:t xml:space="preserve">נהנים </w:t>
      </w:r>
      <w:bookmarkStart w:id="27498" w:name="_ETM_Q47_222059"/>
      <w:bookmarkEnd w:id="27498"/>
      <w:r>
        <w:rPr>
          <w:rFonts w:hint="cs"/>
          <w:rtl/>
        </w:rPr>
        <w:t>מ</w:t>
      </w:r>
      <w:bookmarkStart w:id="27499" w:name="_ETM_Q47_222219"/>
      <w:bookmarkEnd w:id="27499"/>
      <w:r>
        <w:rPr>
          <w:rFonts w:hint="cs"/>
          <w:rtl/>
        </w:rPr>
        <w:t xml:space="preserve">זכויות. </w:t>
      </w:r>
      <w:bookmarkStart w:id="27500" w:name="_ETM_Q47_222940"/>
      <w:bookmarkEnd w:id="27500"/>
      <w:r>
        <w:rPr>
          <w:rFonts w:hint="cs"/>
          <w:rtl/>
        </w:rPr>
        <w:t xml:space="preserve">כן, </w:t>
      </w:r>
      <w:bookmarkStart w:id="27501" w:name="_ETM_Q47_223269"/>
      <w:bookmarkEnd w:id="27501"/>
      <w:r>
        <w:rPr>
          <w:rFonts w:hint="cs"/>
          <w:rtl/>
        </w:rPr>
        <w:t xml:space="preserve">אנחנו </w:t>
      </w:r>
      <w:bookmarkStart w:id="27502" w:name="_ETM_Q47_223479"/>
      <w:bookmarkEnd w:id="27502"/>
      <w:r>
        <w:rPr>
          <w:rFonts w:hint="cs"/>
          <w:rtl/>
        </w:rPr>
        <w:t xml:space="preserve">נהנים </w:t>
      </w:r>
      <w:bookmarkStart w:id="27503" w:name="_ETM_Q47_223839"/>
      <w:bookmarkEnd w:id="27503"/>
      <w:r>
        <w:rPr>
          <w:rFonts w:hint="cs"/>
          <w:rtl/>
        </w:rPr>
        <w:t xml:space="preserve">מחסינות. </w:t>
      </w:r>
      <w:bookmarkStart w:id="27504" w:name="_ETM_Q47_225420"/>
      <w:bookmarkEnd w:id="27504"/>
      <w:r>
        <w:rPr>
          <w:rFonts w:hint="cs"/>
          <w:rtl/>
        </w:rPr>
        <w:t xml:space="preserve">אנחנו </w:t>
      </w:r>
      <w:bookmarkStart w:id="27505" w:name="_ETM_Q47_225960"/>
      <w:bookmarkEnd w:id="27505"/>
      <w:r>
        <w:rPr>
          <w:rFonts w:hint="cs"/>
          <w:rtl/>
        </w:rPr>
        <w:t xml:space="preserve">נהנים </w:t>
      </w:r>
      <w:bookmarkStart w:id="27506" w:name="_ETM_Q47_226320"/>
      <w:bookmarkEnd w:id="27506"/>
      <w:r>
        <w:rPr>
          <w:rFonts w:hint="cs"/>
          <w:rtl/>
        </w:rPr>
        <w:t xml:space="preserve">מהיכולת </w:t>
      </w:r>
      <w:bookmarkStart w:id="27507" w:name="_ETM_Q47_226800"/>
      <w:bookmarkEnd w:id="27507"/>
      <w:r>
        <w:rPr>
          <w:rFonts w:hint="cs"/>
          <w:rtl/>
        </w:rPr>
        <w:t xml:space="preserve">להשפיע </w:t>
      </w:r>
      <w:bookmarkStart w:id="27508" w:name="_ETM_Q47_227340"/>
      <w:bookmarkEnd w:id="27508"/>
      <w:r>
        <w:rPr>
          <w:rFonts w:hint="cs"/>
          <w:rtl/>
        </w:rPr>
        <w:t xml:space="preserve">כאן, </w:t>
      </w:r>
      <w:bookmarkStart w:id="27509" w:name="_ETM_Q47_227520"/>
      <w:bookmarkEnd w:id="27509"/>
      <w:r>
        <w:rPr>
          <w:rFonts w:hint="cs"/>
          <w:rtl/>
        </w:rPr>
        <w:t xml:space="preserve">בבית </w:t>
      </w:r>
      <w:bookmarkStart w:id="27510" w:name="_ETM_Q47_227940"/>
      <w:bookmarkEnd w:id="27510"/>
      <w:r>
        <w:rPr>
          <w:rFonts w:hint="cs"/>
          <w:rtl/>
        </w:rPr>
        <w:t xml:space="preserve">הזה. </w:t>
      </w:r>
      <w:bookmarkStart w:id="27511" w:name="_ETM_Q47_228870"/>
      <w:bookmarkEnd w:id="27511"/>
      <w:r>
        <w:rPr>
          <w:rFonts w:hint="cs"/>
          <w:rtl/>
        </w:rPr>
        <w:t xml:space="preserve">אבל </w:t>
      </w:r>
      <w:bookmarkStart w:id="27512" w:name="_ETM_Q47_229140"/>
      <w:bookmarkEnd w:id="27512"/>
      <w:r>
        <w:rPr>
          <w:rFonts w:hint="cs"/>
          <w:rtl/>
        </w:rPr>
        <w:t xml:space="preserve">זה </w:t>
      </w:r>
      <w:bookmarkStart w:id="27513" w:name="_ETM_Q47_229289"/>
      <w:bookmarkEnd w:id="27513"/>
      <w:r>
        <w:rPr>
          <w:rFonts w:hint="cs"/>
          <w:rtl/>
        </w:rPr>
        <w:t xml:space="preserve">לא </w:t>
      </w:r>
      <w:bookmarkStart w:id="27514" w:name="_ETM_Q47_229379"/>
      <w:bookmarkEnd w:id="27514"/>
      <w:r>
        <w:rPr>
          <w:rFonts w:hint="cs"/>
          <w:rtl/>
        </w:rPr>
        <w:t xml:space="preserve">אומר </w:t>
      </w:r>
      <w:bookmarkStart w:id="27515" w:name="_ETM_Q47_229620"/>
      <w:bookmarkEnd w:id="27515"/>
      <w:r>
        <w:rPr>
          <w:rFonts w:hint="cs"/>
          <w:rtl/>
        </w:rPr>
        <w:t xml:space="preserve">שזו </w:t>
      </w:r>
      <w:bookmarkStart w:id="27516" w:name="_ETM_Q47_229860"/>
      <w:bookmarkEnd w:id="27516"/>
      <w:r>
        <w:rPr>
          <w:rFonts w:hint="cs"/>
          <w:rtl/>
        </w:rPr>
        <w:t xml:space="preserve">יכולת </w:t>
      </w:r>
      <w:bookmarkStart w:id="27517" w:name="_ETM_Q47_230280"/>
      <w:bookmarkEnd w:id="27517"/>
      <w:r>
        <w:rPr>
          <w:rFonts w:hint="cs"/>
          <w:rtl/>
        </w:rPr>
        <w:t xml:space="preserve">להפקרות, </w:t>
      </w:r>
      <w:bookmarkStart w:id="27518" w:name="_ETM_Q47_231640"/>
      <w:bookmarkStart w:id="27519" w:name="_ETM_Q47_232960"/>
      <w:bookmarkEnd w:id="27518"/>
      <w:bookmarkEnd w:id="27519"/>
      <w:r>
        <w:rPr>
          <w:rFonts w:hint="cs"/>
          <w:rtl/>
        </w:rPr>
        <w:t xml:space="preserve">וחסינות </w:t>
      </w:r>
      <w:bookmarkStart w:id="27520" w:name="_ETM_Q47_233590"/>
      <w:bookmarkEnd w:id="27520"/>
      <w:r>
        <w:rPr>
          <w:rFonts w:hint="cs"/>
          <w:rtl/>
        </w:rPr>
        <w:t>להשתלחות</w:t>
      </w:r>
      <w:bookmarkStart w:id="27521" w:name="_ETM_Q47_234129"/>
      <w:bookmarkEnd w:id="27521"/>
      <w:r>
        <w:rPr>
          <w:rFonts w:hint="cs"/>
          <w:rtl/>
        </w:rPr>
        <w:t xml:space="preserve"> </w:t>
      </w:r>
      <w:bookmarkStart w:id="27522" w:name="_ETM_Q47_234999"/>
      <w:bookmarkEnd w:id="27522"/>
      <w:r>
        <w:rPr>
          <w:rFonts w:hint="cs"/>
          <w:rtl/>
        </w:rPr>
        <w:t>באזרחי</w:t>
      </w:r>
      <w:bookmarkStart w:id="27523" w:name="_ETM_Q47_235660"/>
      <w:bookmarkEnd w:id="27523"/>
      <w:r>
        <w:rPr>
          <w:rFonts w:hint="cs"/>
          <w:rtl/>
        </w:rPr>
        <w:t>ם.</w:t>
      </w:r>
    </w:p>
    <w:p w:rsidR="00BB59CD" w:rsidRDefault="00BB59CD" w:rsidP="00BB59CD">
      <w:pPr>
        <w:rPr>
          <w:rtl/>
        </w:rPr>
      </w:pPr>
    </w:p>
    <w:p w:rsidR="00BB59CD" w:rsidRDefault="00BB59CD" w:rsidP="0037589E">
      <w:pPr>
        <w:rPr>
          <w:rtl/>
        </w:rPr>
      </w:pPr>
      <w:bookmarkStart w:id="27524" w:name="_ETM_Q47_239000"/>
      <w:bookmarkStart w:id="27525" w:name="_ETM_Q47_236650"/>
      <w:bookmarkEnd w:id="27524"/>
      <w:bookmarkEnd w:id="27525"/>
      <w:r>
        <w:rPr>
          <w:rFonts w:hint="cs"/>
          <w:rtl/>
        </w:rPr>
        <w:t xml:space="preserve">הקואליציה, </w:t>
      </w:r>
      <w:bookmarkStart w:id="27526" w:name="_ETM_Q47_240250"/>
      <w:bookmarkEnd w:id="27526"/>
      <w:r>
        <w:rPr>
          <w:rFonts w:hint="cs"/>
          <w:rtl/>
        </w:rPr>
        <w:t xml:space="preserve">לצערי, </w:t>
      </w:r>
      <w:bookmarkStart w:id="27527" w:name="_ETM_Q47_240640"/>
      <w:bookmarkEnd w:id="27527"/>
      <w:r>
        <w:rPr>
          <w:rFonts w:hint="cs"/>
          <w:rtl/>
        </w:rPr>
        <w:t xml:space="preserve">שכחה </w:t>
      </w:r>
      <w:bookmarkStart w:id="27528" w:name="_ETM_Q47_241060"/>
      <w:bookmarkEnd w:id="27528"/>
      <w:r>
        <w:rPr>
          <w:rFonts w:hint="cs"/>
          <w:rtl/>
        </w:rPr>
        <w:t xml:space="preserve">את </w:t>
      </w:r>
      <w:bookmarkStart w:id="27529" w:name="_ETM_Q47_241210"/>
      <w:bookmarkEnd w:id="27529"/>
      <w:r>
        <w:rPr>
          <w:rFonts w:hint="cs"/>
          <w:rtl/>
        </w:rPr>
        <w:t xml:space="preserve">העיקרון </w:t>
      </w:r>
      <w:bookmarkStart w:id="27530" w:name="_ETM_Q47_241600"/>
      <w:bookmarkEnd w:id="27530"/>
      <w:r>
        <w:rPr>
          <w:rFonts w:hint="cs"/>
          <w:rtl/>
        </w:rPr>
        <w:t xml:space="preserve">החשוב </w:t>
      </w:r>
      <w:bookmarkStart w:id="27531" w:name="_ETM_Q47_241989"/>
      <w:bookmarkEnd w:id="27531"/>
      <w:r>
        <w:rPr>
          <w:rFonts w:hint="cs"/>
          <w:rtl/>
        </w:rPr>
        <w:t xml:space="preserve">ביותר </w:t>
      </w:r>
      <w:bookmarkStart w:id="27532" w:name="_ETM_Q47_242320"/>
      <w:bookmarkEnd w:id="27532"/>
      <w:r>
        <w:rPr>
          <w:rFonts w:hint="cs"/>
          <w:rtl/>
        </w:rPr>
        <w:t xml:space="preserve">שהיה </w:t>
      </w:r>
      <w:bookmarkStart w:id="27533" w:name="_ETM_Q47_242739"/>
      <w:bookmarkEnd w:id="27533"/>
      <w:r>
        <w:rPr>
          <w:rFonts w:hint="cs"/>
          <w:rtl/>
        </w:rPr>
        <w:t xml:space="preserve">על </w:t>
      </w:r>
      <w:bookmarkStart w:id="27534" w:name="_ETM_Q47_242830"/>
      <w:bookmarkEnd w:id="27534"/>
      <w:r>
        <w:rPr>
          <w:rFonts w:hint="cs"/>
          <w:rtl/>
        </w:rPr>
        <w:t xml:space="preserve">עמנו </w:t>
      </w:r>
      <w:bookmarkStart w:id="27535" w:name="_ETM_Q47_243160"/>
      <w:bookmarkEnd w:id="27535"/>
      <w:r>
        <w:rPr>
          <w:rFonts w:hint="cs"/>
          <w:rtl/>
        </w:rPr>
        <w:t xml:space="preserve">לזכור </w:t>
      </w:r>
      <w:bookmarkStart w:id="27536" w:name="_ETM_Q47_243730"/>
      <w:bookmarkEnd w:id="27536"/>
      <w:r>
        <w:rPr>
          <w:rFonts w:hint="cs"/>
          <w:rtl/>
        </w:rPr>
        <w:t xml:space="preserve">מחורבן </w:t>
      </w:r>
      <w:bookmarkStart w:id="27537" w:name="_ETM_Q47_244360"/>
      <w:bookmarkEnd w:id="27537"/>
      <w:r>
        <w:rPr>
          <w:rFonts w:hint="cs"/>
          <w:rtl/>
        </w:rPr>
        <w:t xml:space="preserve">הבית: </w:t>
      </w:r>
      <w:bookmarkStart w:id="27538" w:name="_ETM_Q47_245810"/>
      <w:bookmarkEnd w:id="27538"/>
      <w:r>
        <w:rPr>
          <w:rFonts w:hint="cs"/>
          <w:rtl/>
        </w:rPr>
        <w:t xml:space="preserve">לא </w:t>
      </w:r>
      <w:bookmarkStart w:id="27539" w:name="_ETM_Q47_245990"/>
      <w:bookmarkEnd w:id="27539"/>
      <w:r>
        <w:rPr>
          <w:rFonts w:hint="cs"/>
          <w:rtl/>
        </w:rPr>
        <w:t xml:space="preserve">חרבה </w:t>
      </w:r>
      <w:bookmarkStart w:id="27540" w:name="_ETM_Q47_246439"/>
      <w:bookmarkEnd w:id="27540"/>
      <w:r>
        <w:rPr>
          <w:rFonts w:hint="cs"/>
          <w:rtl/>
        </w:rPr>
        <w:t xml:space="preserve">ירושלים </w:t>
      </w:r>
      <w:bookmarkStart w:id="27541" w:name="_ETM_Q47_247280"/>
      <w:bookmarkEnd w:id="27541"/>
      <w:r>
        <w:rPr>
          <w:rFonts w:hint="cs"/>
          <w:rtl/>
        </w:rPr>
        <w:t xml:space="preserve">אלא </w:t>
      </w:r>
      <w:bookmarkStart w:id="27542" w:name="_ETM_Q47_247490"/>
      <w:bookmarkEnd w:id="27542"/>
      <w:r>
        <w:rPr>
          <w:rFonts w:hint="cs"/>
          <w:rtl/>
        </w:rPr>
        <w:t xml:space="preserve">בשנאת </w:t>
      </w:r>
      <w:bookmarkStart w:id="27543" w:name="_ETM_Q47_248499"/>
      <w:bookmarkEnd w:id="27543"/>
      <w:r>
        <w:rPr>
          <w:rFonts w:hint="cs"/>
          <w:rtl/>
        </w:rPr>
        <w:t xml:space="preserve">חינם. </w:t>
      </w:r>
      <w:bookmarkStart w:id="27544" w:name="_ETM_Q47_250270"/>
      <w:bookmarkStart w:id="27545" w:name="_ETM_Q47_250400"/>
      <w:bookmarkStart w:id="27546" w:name="_ETM_Q47_250580"/>
      <w:bookmarkStart w:id="27547" w:name="_ETM_Q47_250819"/>
      <w:bookmarkEnd w:id="27544"/>
      <w:bookmarkEnd w:id="27545"/>
      <w:bookmarkEnd w:id="27546"/>
      <w:bookmarkEnd w:id="27547"/>
      <w:r>
        <w:rPr>
          <w:rFonts w:hint="cs"/>
          <w:rtl/>
        </w:rPr>
        <w:t xml:space="preserve">שכל אחד מאיתנו </w:t>
      </w:r>
      <w:bookmarkStart w:id="27548" w:name="_ETM_Q47_251240"/>
      <w:bookmarkEnd w:id="27548"/>
      <w:r>
        <w:rPr>
          <w:rFonts w:hint="cs"/>
          <w:rtl/>
        </w:rPr>
        <w:t xml:space="preserve">בבית </w:t>
      </w:r>
      <w:bookmarkStart w:id="27549" w:name="_ETM_Q47_251660"/>
      <w:bookmarkEnd w:id="27549"/>
      <w:r>
        <w:rPr>
          <w:rFonts w:hint="cs"/>
          <w:rtl/>
        </w:rPr>
        <w:t xml:space="preserve">הזה </w:t>
      </w:r>
      <w:bookmarkStart w:id="27550" w:name="_ETM_Q47_251840"/>
      <w:bookmarkEnd w:id="27550"/>
      <w:r>
        <w:rPr>
          <w:rFonts w:hint="cs"/>
          <w:rtl/>
        </w:rPr>
        <w:t xml:space="preserve">ישאל </w:t>
      </w:r>
      <w:bookmarkStart w:id="27551" w:name="_ETM_Q47_252140"/>
      <w:bookmarkEnd w:id="27551"/>
      <w:r>
        <w:rPr>
          <w:rFonts w:hint="cs"/>
          <w:rtl/>
        </w:rPr>
        <w:t xml:space="preserve">את </w:t>
      </w:r>
      <w:bookmarkStart w:id="27552" w:name="_ETM_Q47_252290"/>
      <w:bookmarkEnd w:id="27552"/>
      <w:r>
        <w:rPr>
          <w:rFonts w:hint="cs"/>
          <w:rtl/>
        </w:rPr>
        <w:t xml:space="preserve">עצמו: </w:t>
      </w:r>
      <w:bookmarkStart w:id="27553" w:name="_ETM_Q47_253440"/>
      <w:bookmarkEnd w:id="27553"/>
      <w:r>
        <w:rPr>
          <w:rFonts w:hint="cs"/>
          <w:rtl/>
        </w:rPr>
        <w:t xml:space="preserve">האם </w:t>
      </w:r>
      <w:bookmarkStart w:id="27554" w:name="_ETM_Q47_253860"/>
      <w:bookmarkEnd w:id="27554"/>
      <w:r>
        <w:rPr>
          <w:rFonts w:hint="cs"/>
          <w:rtl/>
        </w:rPr>
        <w:t>הוא הוסיף</w:t>
      </w:r>
      <w:bookmarkStart w:id="27555" w:name="_ETM_Q47_254010"/>
      <w:bookmarkEnd w:id="27555"/>
      <w:r>
        <w:rPr>
          <w:rFonts w:hint="cs"/>
          <w:rtl/>
        </w:rPr>
        <w:t xml:space="preserve"> </w:t>
      </w:r>
      <w:bookmarkStart w:id="27556" w:name="_ETM_Q47_255030"/>
      <w:bookmarkEnd w:id="27556"/>
      <w:r>
        <w:rPr>
          <w:rFonts w:hint="cs"/>
          <w:rtl/>
        </w:rPr>
        <w:t xml:space="preserve">אש </w:t>
      </w:r>
      <w:bookmarkStart w:id="27557" w:name="_ETM_Q47_255420"/>
      <w:bookmarkEnd w:id="27557"/>
      <w:r>
        <w:rPr>
          <w:rFonts w:hint="cs"/>
          <w:rtl/>
        </w:rPr>
        <w:t xml:space="preserve">למדורה, </w:t>
      </w:r>
      <w:bookmarkStart w:id="27558" w:name="_ETM_Q47_256759"/>
      <w:bookmarkEnd w:id="27558"/>
      <w:r>
        <w:rPr>
          <w:rFonts w:hint="cs"/>
          <w:rtl/>
        </w:rPr>
        <w:t xml:space="preserve">או </w:t>
      </w:r>
      <w:bookmarkStart w:id="27559" w:name="_ETM_Q47_257100"/>
      <w:bookmarkEnd w:id="27559"/>
      <w:r>
        <w:rPr>
          <w:rFonts w:hint="cs"/>
          <w:rtl/>
        </w:rPr>
        <w:t xml:space="preserve">שמא </w:t>
      </w:r>
      <w:bookmarkStart w:id="27560" w:name="_ETM_Q47_258060"/>
      <w:bookmarkEnd w:id="27560"/>
      <w:r>
        <w:rPr>
          <w:rFonts w:hint="cs"/>
          <w:rtl/>
        </w:rPr>
        <w:t xml:space="preserve">הוא </w:t>
      </w:r>
      <w:bookmarkStart w:id="27561" w:name="_ETM_Q47_258180"/>
      <w:bookmarkEnd w:id="27561"/>
      <w:r>
        <w:rPr>
          <w:rFonts w:hint="cs"/>
          <w:rtl/>
        </w:rPr>
        <w:t xml:space="preserve">היה </w:t>
      </w:r>
      <w:bookmarkStart w:id="27562" w:name="_ETM_Q47_258360"/>
      <w:bookmarkEnd w:id="27562"/>
      <w:r>
        <w:rPr>
          <w:rFonts w:hint="cs"/>
          <w:rtl/>
        </w:rPr>
        <w:t xml:space="preserve">במקום </w:t>
      </w:r>
      <w:bookmarkStart w:id="27563" w:name="_ETM_Q47_259470"/>
      <w:bookmarkEnd w:id="27563"/>
      <w:r>
        <w:rPr>
          <w:rFonts w:hint="cs"/>
          <w:rtl/>
        </w:rPr>
        <w:t xml:space="preserve">שמנסה </w:t>
      </w:r>
      <w:bookmarkStart w:id="27564" w:name="_ETM_Q47_260040"/>
      <w:bookmarkEnd w:id="27564"/>
      <w:r>
        <w:rPr>
          <w:rFonts w:hint="cs"/>
          <w:rtl/>
        </w:rPr>
        <w:t xml:space="preserve">להרגיע </w:t>
      </w:r>
      <w:bookmarkStart w:id="27565" w:name="_ETM_Q47_260670"/>
      <w:bookmarkEnd w:id="27565"/>
      <w:r>
        <w:rPr>
          <w:rFonts w:hint="cs"/>
          <w:rtl/>
        </w:rPr>
        <w:t xml:space="preserve">ולאחד. </w:t>
      </w:r>
      <w:bookmarkStart w:id="27566" w:name="_ETM_Q47_261479"/>
      <w:bookmarkStart w:id="27567" w:name="_ETM_Q47_261659"/>
      <w:bookmarkStart w:id="27568" w:name="_ETM_Q47_261850"/>
      <w:bookmarkEnd w:id="27566"/>
      <w:bookmarkEnd w:id="27567"/>
      <w:bookmarkEnd w:id="27568"/>
      <w:r>
        <w:rPr>
          <w:rFonts w:hint="cs"/>
          <w:rtl/>
        </w:rPr>
        <w:t xml:space="preserve">את הקול </w:t>
      </w:r>
      <w:bookmarkStart w:id="27569" w:name="_ETM_Q47_262000"/>
      <w:bookmarkEnd w:id="27569"/>
      <w:r>
        <w:rPr>
          <w:rFonts w:hint="cs"/>
          <w:rtl/>
        </w:rPr>
        <w:t xml:space="preserve">הזה </w:t>
      </w:r>
      <w:bookmarkStart w:id="27570" w:name="_ETM_Q47_262630"/>
      <w:bookmarkEnd w:id="27570"/>
      <w:r>
        <w:rPr>
          <w:rFonts w:hint="cs"/>
          <w:rtl/>
        </w:rPr>
        <w:t>תשפוט</w:t>
      </w:r>
      <w:bookmarkStart w:id="27571" w:name="_ETM_Q47_263049"/>
      <w:bookmarkEnd w:id="27571"/>
      <w:r>
        <w:rPr>
          <w:rFonts w:hint="cs"/>
          <w:rtl/>
        </w:rPr>
        <w:t xml:space="preserve"> </w:t>
      </w:r>
      <w:bookmarkStart w:id="27572" w:name="_ETM_Q47_263110"/>
      <w:bookmarkEnd w:id="27572"/>
      <w:r>
        <w:rPr>
          <w:rFonts w:hint="cs"/>
          <w:rtl/>
        </w:rPr>
        <w:t xml:space="preserve">ההיסטוריה; </w:t>
      </w:r>
      <w:bookmarkStart w:id="27573" w:name="_ETM_Q47_264719"/>
      <w:bookmarkEnd w:id="27573"/>
      <w:r>
        <w:rPr>
          <w:rFonts w:hint="cs"/>
          <w:rtl/>
        </w:rPr>
        <w:t xml:space="preserve">את </w:t>
      </w:r>
      <w:bookmarkStart w:id="27574" w:name="_ETM_Q47_264990"/>
      <w:bookmarkEnd w:id="27574"/>
      <w:r>
        <w:rPr>
          <w:rFonts w:hint="cs"/>
          <w:rtl/>
        </w:rPr>
        <w:t xml:space="preserve">כל </w:t>
      </w:r>
      <w:bookmarkStart w:id="27575" w:name="_ETM_Q47_265170"/>
      <w:bookmarkEnd w:id="27575"/>
      <w:r>
        <w:rPr>
          <w:rFonts w:hint="cs"/>
          <w:rtl/>
        </w:rPr>
        <w:t>הקולות כולם</w:t>
      </w:r>
      <w:bookmarkStart w:id="27576" w:name="_ETM_Q47_265319"/>
      <w:bookmarkStart w:id="27577" w:name="_ETM_Q47_265530"/>
      <w:bookmarkStart w:id="27578" w:name="_ETM_Q47_265679"/>
      <w:bookmarkStart w:id="27579" w:name="_ETM_Q47_266000"/>
      <w:bookmarkEnd w:id="27576"/>
      <w:bookmarkEnd w:id="27577"/>
      <w:bookmarkEnd w:id="27578"/>
      <w:bookmarkEnd w:id="27579"/>
      <w:r w:rsidR="0037589E">
        <w:rPr>
          <w:rFonts w:hint="cs"/>
          <w:rtl/>
        </w:rPr>
        <w:t>,</w:t>
      </w:r>
      <w:r>
        <w:rPr>
          <w:rFonts w:hint="cs"/>
          <w:rtl/>
        </w:rPr>
        <w:t xml:space="preserve"> </w:t>
      </w:r>
      <w:bookmarkStart w:id="27580" w:name="_ETM_Q47_267290"/>
      <w:bookmarkEnd w:id="27580"/>
      <w:r>
        <w:rPr>
          <w:rFonts w:hint="cs"/>
          <w:rtl/>
        </w:rPr>
        <w:t xml:space="preserve">את </w:t>
      </w:r>
      <w:bookmarkStart w:id="27581" w:name="_ETM_Q47_267470"/>
      <w:bookmarkEnd w:id="27581"/>
      <w:r>
        <w:rPr>
          <w:rFonts w:hint="cs"/>
          <w:rtl/>
        </w:rPr>
        <w:t xml:space="preserve">אלה </w:t>
      </w:r>
      <w:bookmarkStart w:id="27582" w:name="_ETM_Q47_267709"/>
      <w:bookmarkEnd w:id="27582"/>
      <w:r>
        <w:rPr>
          <w:rFonts w:hint="cs"/>
          <w:rtl/>
        </w:rPr>
        <w:t xml:space="preserve">שגידפו </w:t>
      </w:r>
      <w:bookmarkStart w:id="27583" w:name="_ETM_Q47_268859"/>
      <w:bookmarkEnd w:id="27583"/>
      <w:r>
        <w:rPr>
          <w:rFonts w:hint="cs"/>
          <w:rtl/>
        </w:rPr>
        <w:t xml:space="preserve">ואת </w:t>
      </w:r>
      <w:bookmarkStart w:id="27584" w:name="_ETM_Q47_269130"/>
      <w:bookmarkEnd w:id="27584"/>
      <w:r>
        <w:rPr>
          <w:rFonts w:hint="cs"/>
          <w:rtl/>
        </w:rPr>
        <w:t xml:space="preserve">אלה </w:t>
      </w:r>
      <w:bookmarkStart w:id="27585" w:name="_ETM_Q47_269340"/>
      <w:bookmarkEnd w:id="27585"/>
      <w:r>
        <w:rPr>
          <w:rFonts w:hint="cs"/>
          <w:rtl/>
        </w:rPr>
        <w:t xml:space="preserve">שמנגד חתרו </w:t>
      </w:r>
      <w:bookmarkStart w:id="27586" w:name="_ETM_Q47_269909"/>
      <w:bookmarkStart w:id="27587" w:name="_ETM_Q47_270270"/>
      <w:bookmarkStart w:id="27588" w:name="_ETM_Q47_270420"/>
      <w:bookmarkStart w:id="27589" w:name="_ETM_Q47_271380"/>
      <w:bookmarkEnd w:id="27586"/>
      <w:bookmarkEnd w:id="27587"/>
      <w:bookmarkEnd w:id="27588"/>
      <w:bookmarkEnd w:id="27589"/>
      <w:r>
        <w:rPr>
          <w:rFonts w:hint="cs"/>
          <w:rtl/>
        </w:rPr>
        <w:t xml:space="preserve">להסכמות. </w:t>
      </w:r>
      <w:bookmarkStart w:id="27590" w:name="_ETM_Q47_273950"/>
      <w:bookmarkEnd w:id="27590"/>
    </w:p>
    <w:p w:rsidR="00BB59CD" w:rsidRDefault="00BB59CD" w:rsidP="00BB59CD">
      <w:pPr>
        <w:rPr>
          <w:rtl/>
        </w:rPr>
      </w:pPr>
    </w:p>
    <w:p w:rsidR="00BB59CD" w:rsidRDefault="00BB59CD" w:rsidP="00BB59CD">
      <w:pPr>
        <w:rPr>
          <w:rtl/>
        </w:rPr>
      </w:pPr>
      <w:r>
        <w:rPr>
          <w:rFonts w:hint="cs"/>
          <w:rtl/>
        </w:rPr>
        <w:t xml:space="preserve">הכי </w:t>
      </w:r>
      <w:bookmarkStart w:id="27591" w:name="_ETM_Q47_274159"/>
      <w:bookmarkEnd w:id="27591"/>
      <w:r>
        <w:rPr>
          <w:rFonts w:hint="cs"/>
          <w:rtl/>
        </w:rPr>
        <w:t xml:space="preserve">עצוב </w:t>
      </w:r>
      <w:bookmarkStart w:id="27592" w:name="_ETM_Q47_274700"/>
      <w:bookmarkEnd w:id="27592"/>
      <w:r>
        <w:rPr>
          <w:rFonts w:hint="cs"/>
          <w:rtl/>
        </w:rPr>
        <w:t>שהממשלה בסוף</w:t>
      </w:r>
      <w:bookmarkStart w:id="27593" w:name="_ETM_Q47_276319"/>
      <w:bookmarkEnd w:id="27593"/>
      <w:r>
        <w:rPr>
          <w:rFonts w:hint="cs"/>
          <w:rtl/>
        </w:rPr>
        <w:t xml:space="preserve"> </w:t>
      </w:r>
      <w:bookmarkStart w:id="27594" w:name="_ETM_Q47_276590"/>
      <w:bookmarkEnd w:id="27594"/>
      <w:r>
        <w:rPr>
          <w:rFonts w:hint="cs"/>
          <w:rtl/>
        </w:rPr>
        <w:t xml:space="preserve">נבחרה </w:t>
      </w:r>
      <w:bookmarkStart w:id="27595" w:name="_ETM_Q47_277640"/>
      <w:bookmarkEnd w:id="27595"/>
      <w:r>
        <w:rPr>
          <w:rFonts w:hint="cs"/>
          <w:rtl/>
        </w:rPr>
        <w:t xml:space="preserve">ב-64 </w:t>
      </w:r>
      <w:bookmarkStart w:id="27596" w:name="_ETM_Q47_277759"/>
      <w:bookmarkStart w:id="27597" w:name="_ETM_Q47_278509"/>
      <w:bookmarkEnd w:id="27596"/>
      <w:bookmarkEnd w:id="27597"/>
      <w:r>
        <w:rPr>
          <w:rFonts w:hint="cs"/>
          <w:rtl/>
        </w:rPr>
        <w:t xml:space="preserve">מנדטים. </w:t>
      </w:r>
      <w:bookmarkStart w:id="27598" w:name="_ETM_Q47_280500"/>
      <w:bookmarkEnd w:id="27598"/>
      <w:r>
        <w:rPr>
          <w:rFonts w:hint="cs"/>
          <w:rtl/>
        </w:rPr>
        <w:t xml:space="preserve">ובמה </w:t>
      </w:r>
      <w:bookmarkStart w:id="27599" w:name="_ETM_Q47_281009"/>
      <w:bookmarkEnd w:id="27599"/>
      <w:r>
        <w:rPr>
          <w:rFonts w:hint="cs"/>
          <w:rtl/>
        </w:rPr>
        <w:t xml:space="preserve">היא </w:t>
      </w:r>
      <w:bookmarkStart w:id="27600" w:name="_ETM_Q47_281130"/>
      <w:bookmarkEnd w:id="27600"/>
      <w:r>
        <w:rPr>
          <w:rFonts w:hint="cs"/>
          <w:rtl/>
        </w:rPr>
        <w:t xml:space="preserve">עוסקת? </w:t>
      </w:r>
      <w:bookmarkStart w:id="27601" w:name="_ETM_Q47_281789"/>
      <w:bookmarkEnd w:id="27601"/>
      <w:r>
        <w:rPr>
          <w:rFonts w:hint="cs"/>
          <w:rtl/>
        </w:rPr>
        <w:t xml:space="preserve">היא </w:t>
      </w:r>
      <w:bookmarkStart w:id="27602" w:name="_ETM_Q47_282030"/>
      <w:bookmarkEnd w:id="27602"/>
      <w:r>
        <w:rPr>
          <w:rFonts w:hint="cs"/>
          <w:rtl/>
        </w:rPr>
        <w:t xml:space="preserve">מתנהגת </w:t>
      </w:r>
      <w:bookmarkStart w:id="27603" w:name="_ETM_Q47_282630"/>
      <w:bookmarkEnd w:id="27603"/>
      <w:r>
        <w:rPr>
          <w:rFonts w:hint="cs"/>
          <w:rtl/>
        </w:rPr>
        <w:t xml:space="preserve">כמו </w:t>
      </w:r>
      <w:bookmarkStart w:id="27604" w:name="_ETM_Q47_282959"/>
      <w:bookmarkEnd w:id="27604"/>
      <w:r>
        <w:rPr>
          <w:rFonts w:hint="cs"/>
          <w:rtl/>
        </w:rPr>
        <w:t xml:space="preserve">אנדרדוג; </w:t>
      </w:r>
      <w:bookmarkStart w:id="27605" w:name="_ETM_Q47_284299"/>
      <w:bookmarkEnd w:id="27605"/>
      <w:r>
        <w:rPr>
          <w:rFonts w:hint="cs"/>
          <w:rtl/>
        </w:rPr>
        <w:t xml:space="preserve">היא </w:t>
      </w:r>
      <w:bookmarkStart w:id="27606" w:name="_ETM_Q47_284420"/>
      <w:bookmarkEnd w:id="27606"/>
      <w:r>
        <w:rPr>
          <w:rFonts w:hint="cs"/>
          <w:rtl/>
        </w:rPr>
        <w:t xml:space="preserve">מתנהגת </w:t>
      </w:r>
      <w:bookmarkStart w:id="27607" w:name="_ETM_Q47_285020"/>
      <w:bookmarkEnd w:id="27607"/>
      <w:r>
        <w:rPr>
          <w:rFonts w:hint="cs"/>
          <w:rtl/>
        </w:rPr>
        <w:t xml:space="preserve">כממשלה </w:t>
      </w:r>
      <w:bookmarkStart w:id="27608" w:name="_ETM_Q47_285590"/>
      <w:bookmarkEnd w:id="27608"/>
      <w:r>
        <w:rPr>
          <w:rFonts w:hint="cs"/>
          <w:rtl/>
        </w:rPr>
        <w:t xml:space="preserve">שנגזל </w:t>
      </w:r>
      <w:bookmarkStart w:id="27609" w:name="_ETM_Q47_286310"/>
      <w:bookmarkEnd w:id="27609"/>
      <w:r>
        <w:rPr>
          <w:rFonts w:hint="cs"/>
          <w:rtl/>
        </w:rPr>
        <w:t xml:space="preserve">ממנה </w:t>
      </w:r>
      <w:bookmarkStart w:id="27610" w:name="_ETM_Q47_286729"/>
      <w:bookmarkEnd w:id="27610"/>
      <w:r>
        <w:rPr>
          <w:rFonts w:hint="cs"/>
          <w:rtl/>
        </w:rPr>
        <w:t xml:space="preserve">משהו; </w:t>
      </w:r>
      <w:bookmarkStart w:id="27611" w:name="_ETM_Q47_287759"/>
      <w:bookmarkEnd w:id="27611"/>
      <w:r>
        <w:rPr>
          <w:rFonts w:hint="cs"/>
          <w:rtl/>
        </w:rPr>
        <w:t xml:space="preserve">היא </w:t>
      </w:r>
      <w:bookmarkStart w:id="27612" w:name="_ETM_Q47_287969"/>
      <w:bookmarkEnd w:id="27612"/>
      <w:r>
        <w:rPr>
          <w:rFonts w:hint="cs"/>
          <w:rtl/>
        </w:rPr>
        <w:t xml:space="preserve">מתנהגת </w:t>
      </w:r>
      <w:bookmarkStart w:id="27613" w:name="_ETM_Q47_288630"/>
      <w:bookmarkEnd w:id="27613"/>
      <w:r>
        <w:rPr>
          <w:rFonts w:hint="cs"/>
          <w:rtl/>
        </w:rPr>
        <w:t xml:space="preserve">כאילו </w:t>
      </w:r>
      <w:bookmarkStart w:id="27614" w:name="_ETM_Q47_288929"/>
      <w:bookmarkEnd w:id="27614"/>
      <w:r w:rsidR="0037589E">
        <w:rPr>
          <w:rFonts w:hint="cs"/>
          <w:rtl/>
        </w:rPr>
        <w:t xml:space="preserve">את </w:t>
      </w:r>
      <w:r>
        <w:rPr>
          <w:rFonts w:hint="cs"/>
          <w:rtl/>
        </w:rPr>
        <w:t xml:space="preserve">כל </w:t>
      </w:r>
      <w:bookmarkStart w:id="27615" w:name="_ETM_Q47_289139"/>
      <w:bookmarkEnd w:id="27615"/>
      <w:r>
        <w:rPr>
          <w:rFonts w:hint="cs"/>
          <w:rtl/>
        </w:rPr>
        <w:t xml:space="preserve">החוליים </w:t>
      </w:r>
      <w:bookmarkStart w:id="27616" w:name="_ETM_Q47_289590"/>
      <w:bookmarkEnd w:id="27616"/>
      <w:r>
        <w:rPr>
          <w:rFonts w:hint="cs"/>
          <w:rtl/>
        </w:rPr>
        <w:t xml:space="preserve">במדינה </w:t>
      </w:r>
      <w:bookmarkStart w:id="27617" w:name="_ETM_Q47_290159"/>
      <w:bookmarkEnd w:id="27617"/>
      <w:r>
        <w:rPr>
          <w:rFonts w:hint="cs"/>
          <w:rtl/>
        </w:rPr>
        <w:t xml:space="preserve">הזאת </w:t>
      </w:r>
      <w:bookmarkStart w:id="27618" w:name="_ETM_Q47_290639"/>
      <w:bookmarkEnd w:id="27618"/>
      <w:r>
        <w:rPr>
          <w:rFonts w:hint="cs"/>
          <w:rtl/>
        </w:rPr>
        <w:t xml:space="preserve">לא </w:t>
      </w:r>
      <w:bookmarkStart w:id="27619" w:name="_ETM_Q47_290969"/>
      <w:bookmarkEnd w:id="27619"/>
      <w:r>
        <w:rPr>
          <w:rFonts w:hint="cs"/>
          <w:rtl/>
        </w:rPr>
        <w:t xml:space="preserve">היא </w:t>
      </w:r>
      <w:bookmarkStart w:id="27620" w:name="_ETM_Q47_291119"/>
      <w:bookmarkEnd w:id="27620"/>
      <w:r>
        <w:rPr>
          <w:rFonts w:hint="cs"/>
          <w:rtl/>
        </w:rPr>
        <w:t xml:space="preserve">יצרה; </w:t>
      </w:r>
      <w:bookmarkStart w:id="27621" w:name="_ETM_Q47_291890"/>
      <w:bookmarkEnd w:id="27621"/>
      <w:r>
        <w:rPr>
          <w:rFonts w:hint="cs"/>
          <w:rtl/>
        </w:rPr>
        <w:t xml:space="preserve">היא מתעלמת </w:t>
      </w:r>
      <w:bookmarkStart w:id="27622" w:name="_ETM_Q47_292640"/>
      <w:bookmarkEnd w:id="27622"/>
      <w:r>
        <w:rPr>
          <w:rFonts w:hint="cs"/>
          <w:rtl/>
        </w:rPr>
        <w:t xml:space="preserve">מכלל </w:t>
      </w:r>
      <w:bookmarkStart w:id="27623" w:name="_ETM_Q47_293090"/>
      <w:bookmarkEnd w:id="27623"/>
      <w:r>
        <w:rPr>
          <w:rFonts w:hint="cs"/>
          <w:rtl/>
        </w:rPr>
        <w:t xml:space="preserve">הבעיות. </w:t>
      </w:r>
      <w:bookmarkStart w:id="27624" w:name="_ETM_Q47_294290"/>
      <w:bookmarkEnd w:id="27624"/>
      <w:r>
        <w:rPr>
          <w:rFonts w:hint="cs"/>
          <w:rtl/>
        </w:rPr>
        <w:t xml:space="preserve">והינה, </w:t>
      </w:r>
      <w:bookmarkStart w:id="27625" w:name="_ETM_Q47_295189"/>
      <w:bookmarkEnd w:id="27625"/>
      <w:r>
        <w:rPr>
          <w:rFonts w:hint="cs"/>
          <w:rtl/>
        </w:rPr>
        <w:t xml:space="preserve">רק </w:t>
      </w:r>
      <w:bookmarkStart w:id="27626" w:name="_ETM_Q47_295500"/>
      <w:bookmarkEnd w:id="27626"/>
      <w:r>
        <w:rPr>
          <w:rFonts w:hint="cs"/>
          <w:rtl/>
        </w:rPr>
        <w:t xml:space="preserve">עילת הסבירות </w:t>
      </w:r>
      <w:bookmarkStart w:id="27627" w:name="_ETM_Q47_295920"/>
      <w:bookmarkEnd w:id="27627"/>
      <w:r>
        <w:rPr>
          <w:rFonts w:hint="cs"/>
          <w:rtl/>
        </w:rPr>
        <w:t>חשובה</w:t>
      </w:r>
      <w:bookmarkStart w:id="27628" w:name="_ETM_Q47_296580"/>
      <w:bookmarkStart w:id="27629" w:name="_ETM_Q47_296820"/>
      <w:bookmarkEnd w:id="27628"/>
      <w:bookmarkEnd w:id="27629"/>
      <w:r>
        <w:rPr>
          <w:rFonts w:hint="cs"/>
          <w:rtl/>
        </w:rPr>
        <w:t xml:space="preserve">. </w:t>
      </w:r>
      <w:bookmarkStart w:id="27630" w:name="_ETM_Q47_298310"/>
      <w:bookmarkEnd w:id="27630"/>
      <w:r>
        <w:rPr>
          <w:rFonts w:hint="cs"/>
          <w:rtl/>
        </w:rPr>
        <w:t xml:space="preserve">דקה </w:t>
      </w:r>
      <w:bookmarkStart w:id="27631" w:name="_ETM_Q47_298730"/>
      <w:bookmarkEnd w:id="27631"/>
      <w:r>
        <w:rPr>
          <w:rFonts w:hint="cs"/>
          <w:rtl/>
        </w:rPr>
        <w:t xml:space="preserve">לפני </w:t>
      </w:r>
      <w:bookmarkStart w:id="27632" w:name="_ETM_Q47_299030"/>
      <w:bookmarkEnd w:id="27632"/>
      <w:r>
        <w:rPr>
          <w:rFonts w:hint="cs"/>
          <w:rtl/>
        </w:rPr>
        <w:t xml:space="preserve">שיוצאים לפגרה, </w:t>
      </w:r>
      <w:bookmarkStart w:id="27633" w:name="_ETM_Q47_300000"/>
      <w:bookmarkStart w:id="27634" w:name="_ETM_Q47_299009"/>
      <w:bookmarkStart w:id="27635" w:name="_ETM_Q47_299459"/>
      <w:bookmarkStart w:id="27636" w:name="_ETM_Q47_300329"/>
      <w:bookmarkEnd w:id="27633"/>
      <w:bookmarkEnd w:id="27634"/>
      <w:bookmarkEnd w:id="27635"/>
      <w:bookmarkEnd w:id="27636"/>
      <w:r>
        <w:rPr>
          <w:rFonts w:hint="cs"/>
          <w:rtl/>
        </w:rPr>
        <w:t xml:space="preserve">זה </w:t>
      </w:r>
      <w:bookmarkStart w:id="27637" w:name="_ETM_Q47_300630"/>
      <w:bookmarkEnd w:id="27637"/>
      <w:r>
        <w:rPr>
          <w:rFonts w:hint="cs"/>
          <w:rtl/>
        </w:rPr>
        <w:t xml:space="preserve">מה </w:t>
      </w:r>
      <w:bookmarkStart w:id="27638" w:name="_ETM_Q47_300779"/>
      <w:bookmarkEnd w:id="27638"/>
      <w:r>
        <w:rPr>
          <w:rFonts w:hint="cs"/>
          <w:rtl/>
        </w:rPr>
        <w:t xml:space="preserve">שחשוב? </w:t>
      </w:r>
      <w:bookmarkStart w:id="27639" w:name="_ETM_Q47_301709"/>
      <w:bookmarkEnd w:id="27639"/>
      <w:r>
        <w:rPr>
          <w:rFonts w:hint="cs"/>
          <w:rtl/>
        </w:rPr>
        <w:t xml:space="preserve">אין </w:t>
      </w:r>
      <w:bookmarkStart w:id="27640" w:name="_ETM_Q47_301979"/>
      <w:bookmarkEnd w:id="27640"/>
      <w:r>
        <w:rPr>
          <w:rFonts w:hint="cs"/>
          <w:rtl/>
        </w:rPr>
        <w:t xml:space="preserve">שום </w:t>
      </w:r>
      <w:bookmarkStart w:id="27641" w:name="_ETM_Q47_302249"/>
      <w:bookmarkEnd w:id="27641"/>
      <w:r>
        <w:rPr>
          <w:rFonts w:hint="cs"/>
          <w:rtl/>
        </w:rPr>
        <w:t xml:space="preserve">דבר </w:t>
      </w:r>
      <w:bookmarkStart w:id="27642" w:name="_ETM_Q47_302579"/>
      <w:bookmarkEnd w:id="27642"/>
      <w:r>
        <w:rPr>
          <w:rFonts w:hint="cs"/>
          <w:rtl/>
        </w:rPr>
        <w:t xml:space="preserve">אחר </w:t>
      </w:r>
      <w:bookmarkStart w:id="27643" w:name="_ETM_Q47_302849"/>
      <w:bookmarkEnd w:id="27643"/>
      <w:r>
        <w:rPr>
          <w:rFonts w:hint="cs"/>
          <w:rtl/>
        </w:rPr>
        <w:t xml:space="preserve">שחשוב </w:t>
      </w:r>
      <w:bookmarkStart w:id="27644" w:name="_ETM_Q47_303270"/>
      <w:bookmarkEnd w:id="27644"/>
      <w:r>
        <w:rPr>
          <w:rFonts w:hint="cs"/>
          <w:rtl/>
        </w:rPr>
        <w:t xml:space="preserve">במדינת </w:t>
      </w:r>
      <w:bookmarkStart w:id="27645" w:name="_ETM_Q47_303779"/>
      <w:bookmarkEnd w:id="27645"/>
      <w:r>
        <w:rPr>
          <w:rFonts w:hint="cs"/>
          <w:rtl/>
        </w:rPr>
        <w:t xml:space="preserve">ישראל? שום דבר? </w:t>
      </w:r>
      <w:bookmarkStart w:id="27646" w:name="_ETM_Q47_304529"/>
      <w:bookmarkStart w:id="27647" w:name="_ETM_Q47_305670"/>
      <w:bookmarkEnd w:id="27646"/>
      <w:bookmarkEnd w:id="27647"/>
      <w:r>
        <w:rPr>
          <w:rFonts w:hint="cs"/>
          <w:rtl/>
        </w:rPr>
        <w:t xml:space="preserve">לא </w:t>
      </w:r>
      <w:bookmarkStart w:id="27648" w:name="_ETM_Q47_305909"/>
      <w:bookmarkEnd w:id="27648"/>
      <w:r>
        <w:rPr>
          <w:rFonts w:hint="cs"/>
          <w:rtl/>
        </w:rPr>
        <w:t xml:space="preserve">ילדים </w:t>
      </w:r>
      <w:bookmarkStart w:id="27649" w:name="_ETM_Q47_306630"/>
      <w:bookmarkEnd w:id="27649"/>
      <w:r>
        <w:rPr>
          <w:rFonts w:hint="cs"/>
          <w:rtl/>
        </w:rPr>
        <w:t xml:space="preserve">שבמצוקה; </w:t>
      </w:r>
      <w:bookmarkStart w:id="27650" w:name="_ETM_Q47_307109"/>
      <w:bookmarkStart w:id="27651" w:name="_ETM_Q47_308959"/>
      <w:bookmarkEnd w:id="27650"/>
      <w:bookmarkEnd w:id="27651"/>
      <w:r>
        <w:rPr>
          <w:rFonts w:hint="cs"/>
          <w:rtl/>
        </w:rPr>
        <w:t xml:space="preserve">לא </w:t>
      </w:r>
      <w:bookmarkStart w:id="27652" w:name="_ETM_Q47_309169"/>
      <w:bookmarkEnd w:id="27652"/>
      <w:r>
        <w:rPr>
          <w:rFonts w:hint="cs"/>
          <w:rtl/>
        </w:rPr>
        <w:t xml:space="preserve">נשים </w:t>
      </w:r>
      <w:bookmarkStart w:id="27653" w:name="_ETM_Q47_309620"/>
      <w:bookmarkEnd w:id="27653"/>
      <w:r>
        <w:rPr>
          <w:rFonts w:hint="cs"/>
          <w:rtl/>
        </w:rPr>
        <w:t xml:space="preserve">שזקוקות </w:t>
      </w:r>
      <w:bookmarkStart w:id="27654" w:name="_ETM_Q47_310220"/>
      <w:bookmarkEnd w:id="27654"/>
      <w:r>
        <w:rPr>
          <w:rFonts w:hint="cs"/>
          <w:rtl/>
        </w:rPr>
        <w:t xml:space="preserve">לעזרה; לא קשישים שלא </w:t>
      </w:r>
      <w:bookmarkStart w:id="27655" w:name="_ETM_Q47_308000"/>
      <w:bookmarkEnd w:id="27655"/>
      <w:r>
        <w:rPr>
          <w:rFonts w:hint="cs"/>
          <w:rtl/>
        </w:rPr>
        <w:t xml:space="preserve">מסיימים את החודש </w:t>
      </w:r>
      <w:bookmarkStart w:id="27656" w:name="_ETM_Q47_311549"/>
      <w:bookmarkStart w:id="27657" w:name="_ETM_Q47_311819"/>
      <w:bookmarkStart w:id="27658" w:name="_ETM_Q47_311939"/>
      <w:bookmarkStart w:id="27659" w:name="_ETM_Q47_312120"/>
      <w:bookmarkStart w:id="27660" w:name="_ETM_Q47_312209"/>
      <w:bookmarkStart w:id="27661" w:name="_ETM_Q47_312629"/>
      <w:bookmarkStart w:id="27662" w:name="_ETM_Q47_312900"/>
      <w:bookmarkEnd w:id="27656"/>
      <w:bookmarkEnd w:id="27657"/>
      <w:bookmarkEnd w:id="27658"/>
      <w:bookmarkEnd w:id="27659"/>
      <w:bookmarkEnd w:id="27660"/>
      <w:bookmarkEnd w:id="27661"/>
      <w:bookmarkEnd w:id="27662"/>
      <w:r>
        <w:rPr>
          <w:rFonts w:hint="cs"/>
          <w:rtl/>
        </w:rPr>
        <w:t xml:space="preserve">ונאלצים </w:t>
      </w:r>
      <w:bookmarkStart w:id="27663" w:name="_ETM_Q47_313349"/>
      <w:bookmarkEnd w:id="27663"/>
      <w:r>
        <w:rPr>
          <w:rFonts w:hint="cs"/>
          <w:rtl/>
        </w:rPr>
        <w:t xml:space="preserve">להכריע </w:t>
      </w:r>
      <w:bookmarkStart w:id="27664" w:name="_ETM_Q47_314040"/>
      <w:bookmarkEnd w:id="27664"/>
      <w:r>
        <w:rPr>
          <w:rFonts w:hint="cs"/>
          <w:rtl/>
        </w:rPr>
        <w:t xml:space="preserve">בין </w:t>
      </w:r>
      <w:bookmarkStart w:id="27665" w:name="_ETM_Q47_314400"/>
      <w:bookmarkEnd w:id="27665"/>
      <w:r>
        <w:rPr>
          <w:rFonts w:hint="cs"/>
          <w:rtl/>
        </w:rPr>
        <w:t xml:space="preserve">אוכל לבין </w:t>
      </w:r>
      <w:bookmarkStart w:id="27666" w:name="_ETM_Q47_315310"/>
      <w:bookmarkStart w:id="27667" w:name="_ETM_Q47_315620"/>
      <w:bookmarkEnd w:id="27666"/>
      <w:bookmarkEnd w:id="27667"/>
      <w:r>
        <w:rPr>
          <w:rFonts w:hint="cs"/>
          <w:rtl/>
        </w:rPr>
        <w:t xml:space="preserve">תרופות; </w:t>
      </w:r>
      <w:bookmarkStart w:id="27668" w:name="_ETM_Q47_318519"/>
      <w:bookmarkEnd w:id="27668"/>
      <w:r>
        <w:rPr>
          <w:rFonts w:hint="cs"/>
          <w:rtl/>
        </w:rPr>
        <w:t xml:space="preserve">לא </w:t>
      </w:r>
      <w:bookmarkStart w:id="27669" w:name="_ETM_Q47_318730"/>
      <w:bookmarkEnd w:id="27669"/>
      <w:r>
        <w:rPr>
          <w:rFonts w:hint="cs"/>
          <w:rtl/>
        </w:rPr>
        <w:t xml:space="preserve">נכי </w:t>
      </w:r>
      <w:bookmarkStart w:id="27670" w:name="_ETM_Q47_319160"/>
      <w:bookmarkEnd w:id="27670"/>
      <w:r>
        <w:rPr>
          <w:rFonts w:hint="cs"/>
          <w:rtl/>
        </w:rPr>
        <w:t>צה"ל</w:t>
      </w:r>
      <w:bookmarkStart w:id="27671" w:name="_ETM_Q47_319970"/>
      <w:bookmarkEnd w:id="27671"/>
      <w:r>
        <w:rPr>
          <w:rFonts w:hint="cs"/>
          <w:rtl/>
        </w:rPr>
        <w:t xml:space="preserve"> – </w:t>
      </w:r>
      <w:bookmarkStart w:id="27672" w:name="_ETM_Q47_320330"/>
      <w:bookmarkEnd w:id="27672"/>
      <w:r>
        <w:rPr>
          <w:rFonts w:hint="cs"/>
          <w:rtl/>
        </w:rPr>
        <w:t>אף</w:t>
      </w:r>
      <w:bookmarkStart w:id="27673" w:name="_ETM_Q47_320450"/>
      <w:bookmarkEnd w:id="27673"/>
      <w:r>
        <w:rPr>
          <w:rFonts w:hint="cs"/>
          <w:rtl/>
        </w:rPr>
        <w:t xml:space="preserve"> </w:t>
      </w:r>
      <w:bookmarkStart w:id="27674" w:name="_ETM_Q47_320780"/>
      <w:bookmarkEnd w:id="27674"/>
      <w:r>
        <w:rPr>
          <w:rFonts w:hint="cs"/>
          <w:rtl/>
        </w:rPr>
        <w:t xml:space="preserve">אחד </w:t>
      </w:r>
      <w:r w:rsidR="0037589E">
        <w:rPr>
          <w:rFonts w:hint="cs"/>
          <w:rtl/>
        </w:rPr>
        <w:t xml:space="preserve">לא </w:t>
      </w:r>
      <w:r>
        <w:rPr>
          <w:rFonts w:hint="cs"/>
          <w:rtl/>
        </w:rPr>
        <w:t xml:space="preserve">מעניין </w:t>
      </w:r>
      <w:bookmarkStart w:id="27675" w:name="_ETM_Q47_321169"/>
      <w:bookmarkEnd w:id="27675"/>
      <w:r>
        <w:rPr>
          <w:rFonts w:hint="cs"/>
          <w:rtl/>
        </w:rPr>
        <w:t xml:space="preserve">אתכם. אף אחד. והגרוע </w:t>
      </w:r>
      <w:bookmarkStart w:id="27676" w:name="_ETM_Q47_323000"/>
      <w:bookmarkEnd w:id="27676"/>
      <w:r>
        <w:rPr>
          <w:rFonts w:hint="cs"/>
          <w:rtl/>
        </w:rPr>
        <w:t xml:space="preserve">מכול הוא שהחלשים ביותר בסוף זקוקים </w:t>
      </w:r>
      <w:bookmarkStart w:id="27677" w:name="_ETM_Q47_322249"/>
      <w:bookmarkStart w:id="27678" w:name="_ETM_Q47_322579"/>
      <w:bookmarkStart w:id="27679" w:name="_ETM_Q47_323180"/>
      <w:bookmarkStart w:id="27680" w:name="_ETM_Q47_323510"/>
      <w:bookmarkStart w:id="27681" w:name="_ETM_Q47_323810"/>
      <w:bookmarkStart w:id="27682" w:name="_ETM_Q47_324240"/>
      <w:bookmarkStart w:id="27683" w:name="_ETM_Q47_325370"/>
      <w:bookmarkStart w:id="27684" w:name="_ETM_Q47_327090"/>
      <w:bookmarkStart w:id="27685" w:name="_ETM_Q47_328290"/>
      <w:bookmarkStart w:id="27686" w:name="_ETM_Q47_328599"/>
      <w:bookmarkEnd w:id="27677"/>
      <w:bookmarkEnd w:id="27678"/>
      <w:bookmarkEnd w:id="27679"/>
      <w:bookmarkEnd w:id="27680"/>
      <w:bookmarkEnd w:id="27681"/>
      <w:bookmarkEnd w:id="27682"/>
      <w:bookmarkEnd w:id="27683"/>
      <w:bookmarkEnd w:id="27684"/>
      <w:bookmarkEnd w:id="27685"/>
      <w:bookmarkEnd w:id="27686"/>
      <w:r>
        <w:rPr>
          <w:rFonts w:hint="cs"/>
          <w:rtl/>
        </w:rPr>
        <w:t xml:space="preserve">להגנה </w:t>
      </w:r>
      <w:bookmarkStart w:id="27687" w:name="_ETM_Q47_329049"/>
      <w:bookmarkEnd w:id="27687"/>
      <w:r>
        <w:rPr>
          <w:rFonts w:hint="cs"/>
          <w:rtl/>
        </w:rPr>
        <w:t xml:space="preserve">של </w:t>
      </w:r>
      <w:bookmarkStart w:id="27688" w:name="_ETM_Q47_329230"/>
      <w:bookmarkEnd w:id="27688"/>
      <w:r>
        <w:rPr>
          <w:rFonts w:hint="cs"/>
          <w:rtl/>
        </w:rPr>
        <w:t xml:space="preserve">בית </w:t>
      </w:r>
      <w:bookmarkStart w:id="27689" w:name="_ETM_Q47_329469"/>
      <w:bookmarkEnd w:id="27689"/>
      <w:r>
        <w:rPr>
          <w:rFonts w:hint="cs"/>
          <w:rtl/>
        </w:rPr>
        <w:t xml:space="preserve">המשפט – </w:t>
      </w:r>
      <w:bookmarkStart w:id="27690" w:name="_ETM_Q47_330249"/>
      <w:bookmarkEnd w:id="27690"/>
      <w:r>
        <w:rPr>
          <w:rFonts w:hint="cs"/>
          <w:rtl/>
        </w:rPr>
        <w:t xml:space="preserve">גם </w:t>
      </w:r>
      <w:bookmarkStart w:id="27691" w:name="_ETM_Q47_330549"/>
      <w:bookmarkEnd w:id="27691"/>
      <w:r>
        <w:rPr>
          <w:rFonts w:hint="cs"/>
          <w:rtl/>
        </w:rPr>
        <w:t xml:space="preserve">את </w:t>
      </w:r>
      <w:bookmarkStart w:id="27692" w:name="_ETM_Q47_330639"/>
      <w:bookmarkEnd w:id="27692"/>
      <w:r>
        <w:rPr>
          <w:rFonts w:hint="cs"/>
          <w:rtl/>
        </w:rPr>
        <w:t xml:space="preserve">זה </w:t>
      </w:r>
      <w:bookmarkStart w:id="27693" w:name="_ETM_Q47_330790"/>
      <w:bookmarkEnd w:id="27693"/>
      <w:r>
        <w:rPr>
          <w:rFonts w:hint="cs"/>
          <w:rtl/>
        </w:rPr>
        <w:t xml:space="preserve">אתם </w:t>
      </w:r>
      <w:bookmarkStart w:id="27694" w:name="_ETM_Q47_330999"/>
      <w:bookmarkEnd w:id="27694"/>
      <w:r>
        <w:rPr>
          <w:rFonts w:hint="cs"/>
          <w:rtl/>
        </w:rPr>
        <w:t xml:space="preserve">רוצים </w:t>
      </w:r>
      <w:bookmarkStart w:id="27695" w:name="_ETM_Q47_331299"/>
      <w:bookmarkEnd w:id="27695"/>
      <w:r>
        <w:rPr>
          <w:rFonts w:hint="cs"/>
          <w:rtl/>
        </w:rPr>
        <w:t xml:space="preserve">לקחת </w:t>
      </w:r>
      <w:bookmarkStart w:id="27696" w:name="_ETM_Q47_331749"/>
      <w:bookmarkEnd w:id="27696"/>
      <w:r>
        <w:rPr>
          <w:rFonts w:hint="cs"/>
          <w:rtl/>
        </w:rPr>
        <w:t>מהם.</w:t>
      </w:r>
    </w:p>
    <w:p w:rsidR="00BB59CD" w:rsidRDefault="00BB59CD" w:rsidP="00BB59CD">
      <w:pPr>
        <w:rPr>
          <w:rtl/>
        </w:rPr>
      </w:pPr>
    </w:p>
    <w:p w:rsidR="00BB59CD" w:rsidRDefault="00BB59CD" w:rsidP="0037589E">
      <w:pPr>
        <w:rPr>
          <w:rtl/>
        </w:rPr>
      </w:pPr>
      <w:bookmarkStart w:id="27697" w:name="_ETM_Q47_334000"/>
      <w:bookmarkStart w:id="27698" w:name="_ETM_Q47_334090"/>
      <w:bookmarkEnd w:id="27697"/>
      <w:bookmarkEnd w:id="27698"/>
      <w:r>
        <w:rPr>
          <w:rFonts w:hint="cs"/>
          <w:rtl/>
        </w:rPr>
        <w:t xml:space="preserve">אני </w:t>
      </w:r>
      <w:bookmarkStart w:id="27699" w:name="_ETM_Q47_334210"/>
      <w:bookmarkEnd w:id="27699"/>
      <w:r>
        <w:rPr>
          <w:rFonts w:hint="cs"/>
          <w:rtl/>
        </w:rPr>
        <w:t xml:space="preserve">רוצה </w:t>
      </w:r>
      <w:bookmarkStart w:id="27700" w:name="_ETM_Q47_334379"/>
      <w:bookmarkEnd w:id="27700"/>
      <w:r>
        <w:rPr>
          <w:rFonts w:hint="cs"/>
          <w:rtl/>
        </w:rPr>
        <w:t xml:space="preserve">לפנות </w:t>
      </w:r>
      <w:bookmarkStart w:id="27701" w:name="_ETM_Q47_334799"/>
      <w:bookmarkEnd w:id="27701"/>
      <w:r>
        <w:rPr>
          <w:rFonts w:hint="cs"/>
          <w:rtl/>
        </w:rPr>
        <w:t xml:space="preserve">לראש </w:t>
      </w:r>
      <w:bookmarkStart w:id="27702" w:name="_ETM_Q47_335099"/>
      <w:bookmarkEnd w:id="27702"/>
      <w:r>
        <w:rPr>
          <w:rFonts w:hint="cs"/>
          <w:rtl/>
        </w:rPr>
        <w:t xml:space="preserve">הממשלה </w:t>
      </w:r>
      <w:bookmarkStart w:id="27703" w:name="_ETM_Q47_335760"/>
      <w:bookmarkEnd w:id="27703"/>
      <w:r>
        <w:rPr>
          <w:rFonts w:hint="cs"/>
          <w:rtl/>
        </w:rPr>
        <w:t xml:space="preserve">בנימין </w:t>
      </w:r>
      <w:bookmarkStart w:id="27704" w:name="_ETM_Q47_336150"/>
      <w:bookmarkEnd w:id="27704"/>
      <w:r>
        <w:rPr>
          <w:rFonts w:hint="cs"/>
          <w:rtl/>
        </w:rPr>
        <w:t>נתניהו</w:t>
      </w:r>
      <w:bookmarkStart w:id="27705" w:name="_ETM_Q47_337840"/>
      <w:bookmarkEnd w:id="27705"/>
      <w:r>
        <w:rPr>
          <w:rFonts w:hint="cs"/>
          <w:rtl/>
        </w:rPr>
        <w:t xml:space="preserve">. גם </w:t>
      </w:r>
      <w:bookmarkStart w:id="27706" w:name="_ETM_Q47_338169"/>
      <w:bookmarkEnd w:id="27706"/>
      <w:r>
        <w:rPr>
          <w:rFonts w:hint="cs"/>
          <w:rtl/>
        </w:rPr>
        <w:t>בהזדמנות הזאת</w:t>
      </w:r>
      <w:bookmarkStart w:id="27707" w:name="_ETM_Q47_338000"/>
      <w:bookmarkStart w:id="27708" w:name="_ETM_Q47_338440"/>
      <w:bookmarkStart w:id="27709" w:name="_ETM_Q47_338530"/>
      <w:bookmarkStart w:id="27710" w:name="_ETM_Q47_338620"/>
      <w:bookmarkStart w:id="27711" w:name="_ETM_Q47_339790"/>
      <w:bookmarkEnd w:id="27707"/>
      <w:bookmarkEnd w:id="27708"/>
      <w:bookmarkEnd w:id="27709"/>
      <w:bookmarkEnd w:id="27710"/>
      <w:bookmarkEnd w:id="27711"/>
      <w:r>
        <w:rPr>
          <w:rFonts w:hint="cs"/>
          <w:rtl/>
        </w:rPr>
        <w:t xml:space="preserve"> אני </w:t>
      </w:r>
      <w:bookmarkStart w:id="27712" w:name="_ETM_Q47_339910"/>
      <w:bookmarkEnd w:id="27712"/>
      <w:r>
        <w:rPr>
          <w:rFonts w:hint="cs"/>
          <w:rtl/>
        </w:rPr>
        <w:t xml:space="preserve">רוצה </w:t>
      </w:r>
      <w:bookmarkStart w:id="27713" w:name="_ETM_Q47_340150"/>
      <w:bookmarkEnd w:id="27713"/>
      <w:r>
        <w:rPr>
          <w:rFonts w:hint="cs"/>
          <w:rtl/>
        </w:rPr>
        <w:t xml:space="preserve">קודם </w:t>
      </w:r>
      <w:bookmarkStart w:id="27714" w:name="_ETM_Q47_340419"/>
      <w:bookmarkEnd w:id="27714"/>
      <w:r>
        <w:rPr>
          <w:rFonts w:hint="cs"/>
          <w:rtl/>
        </w:rPr>
        <w:t xml:space="preserve">כול </w:t>
      </w:r>
      <w:bookmarkStart w:id="27715" w:name="_ETM_Q47_340600"/>
      <w:bookmarkEnd w:id="27715"/>
      <w:r>
        <w:rPr>
          <w:rFonts w:hint="cs"/>
          <w:rtl/>
        </w:rPr>
        <w:t>ל</w:t>
      </w:r>
      <w:bookmarkStart w:id="27716" w:name="_ETM_Q47_340660"/>
      <w:bookmarkEnd w:id="27716"/>
      <w:r>
        <w:rPr>
          <w:rFonts w:hint="cs"/>
          <w:rtl/>
        </w:rPr>
        <w:t xml:space="preserve">אחל </w:t>
      </w:r>
      <w:bookmarkStart w:id="27717" w:name="_ETM_Q47_340960"/>
      <w:bookmarkEnd w:id="27717"/>
      <w:r>
        <w:rPr>
          <w:rFonts w:hint="cs"/>
          <w:rtl/>
        </w:rPr>
        <w:t xml:space="preserve">לך </w:t>
      </w:r>
      <w:bookmarkStart w:id="27718" w:name="_ETM_Q47_341350"/>
      <w:bookmarkEnd w:id="27718"/>
      <w:r>
        <w:rPr>
          <w:rFonts w:hint="cs"/>
          <w:rtl/>
        </w:rPr>
        <w:t xml:space="preserve">בריאות </w:t>
      </w:r>
      <w:bookmarkStart w:id="27719" w:name="_ETM_Q47_341680"/>
      <w:bookmarkEnd w:id="27719"/>
      <w:r>
        <w:rPr>
          <w:rFonts w:hint="cs"/>
          <w:rtl/>
        </w:rPr>
        <w:t xml:space="preserve">איתנה </w:t>
      </w:r>
      <w:bookmarkStart w:id="27720" w:name="_ETM_Q47_342190"/>
      <w:bookmarkEnd w:id="27720"/>
      <w:r>
        <w:rPr>
          <w:rFonts w:hint="cs"/>
          <w:rtl/>
        </w:rPr>
        <w:t xml:space="preserve">ושתחוש </w:t>
      </w:r>
      <w:bookmarkStart w:id="27721" w:name="_ETM_Q47_342850"/>
      <w:bookmarkEnd w:id="27721"/>
      <w:r>
        <w:rPr>
          <w:rFonts w:hint="cs"/>
          <w:rtl/>
        </w:rPr>
        <w:t xml:space="preserve">בטוב. </w:t>
      </w:r>
      <w:bookmarkStart w:id="27722" w:name="_ETM_Q47_344540"/>
      <w:bookmarkEnd w:id="27722"/>
      <w:r>
        <w:rPr>
          <w:rFonts w:hint="cs"/>
          <w:rtl/>
        </w:rPr>
        <w:t xml:space="preserve">אבל </w:t>
      </w:r>
      <w:bookmarkStart w:id="27723" w:name="_ETM_Q47_344720"/>
      <w:bookmarkEnd w:id="27723"/>
      <w:r>
        <w:rPr>
          <w:rFonts w:hint="cs"/>
          <w:rtl/>
        </w:rPr>
        <w:t xml:space="preserve">אני </w:t>
      </w:r>
      <w:bookmarkStart w:id="27724" w:name="_ETM_Q47_344870"/>
      <w:bookmarkEnd w:id="27724"/>
      <w:r>
        <w:rPr>
          <w:rFonts w:hint="cs"/>
          <w:rtl/>
        </w:rPr>
        <w:t xml:space="preserve">פונה </w:t>
      </w:r>
      <w:bookmarkStart w:id="27725" w:name="_ETM_Q47_345260"/>
      <w:bookmarkEnd w:id="27725"/>
      <w:r>
        <w:rPr>
          <w:rFonts w:hint="cs"/>
          <w:rtl/>
        </w:rPr>
        <w:t xml:space="preserve">אליך </w:t>
      </w:r>
      <w:bookmarkStart w:id="27726" w:name="_ETM_Q47_347069"/>
      <w:bookmarkEnd w:id="27726"/>
      <w:r>
        <w:rPr>
          <w:rFonts w:hint="cs"/>
          <w:rtl/>
        </w:rPr>
        <w:t xml:space="preserve">ורוצה </w:t>
      </w:r>
      <w:bookmarkStart w:id="27727" w:name="_ETM_Q47_347680"/>
      <w:bookmarkStart w:id="27728" w:name="_ETM_Q47_347950"/>
      <w:bookmarkEnd w:id="27727"/>
      <w:bookmarkEnd w:id="27728"/>
      <w:r>
        <w:rPr>
          <w:rFonts w:hint="cs"/>
          <w:rtl/>
        </w:rPr>
        <w:t xml:space="preserve">לבקש </w:t>
      </w:r>
      <w:bookmarkStart w:id="27729" w:name="_ETM_Q47_348400"/>
      <w:bookmarkEnd w:id="27729"/>
      <w:r>
        <w:rPr>
          <w:rFonts w:hint="cs"/>
          <w:rtl/>
        </w:rPr>
        <w:t xml:space="preserve">ממך: </w:t>
      </w:r>
      <w:bookmarkStart w:id="27730" w:name="_ETM_Q47_349460"/>
      <w:bookmarkEnd w:id="27730"/>
      <w:r>
        <w:rPr>
          <w:rFonts w:hint="cs"/>
          <w:rtl/>
        </w:rPr>
        <w:t xml:space="preserve">קום. </w:t>
      </w:r>
      <w:bookmarkStart w:id="27731" w:name="_ETM_Q47_351020"/>
      <w:bookmarkEnd w:id="27731"/>
      <w:r>
        <w:rPr>
          <w:rFonts w:hint="cs"/>
          <w:rtl/>
        </w:rPr>
        <w:t xml:space="preserve">אתה </w:t>
      </w:r>
      <w:bookmarkStart w:id="27732" w:name="_ETM_Q47_351440"/>
      <w:bookmarkEnd w:id="27732"/>
      <w:r>
        <w:rPr>
          <w:rFonts w:hint="cs"/>
          <w:rtl/>
        </w:rPr>
        <w:t xml:space="preserve">עדיין </w:t>
      </w:r>
      <w:bookmarkStart w:id="27733" w:name="_ETM_Q47_351830"/>
      <w:bookmarkEnd w:id="27733"/>
      <w:r>
        <w:rPr>
          <w:rFonts w:hint="cs"/>
          <w:rtl/>
        </w:rPr>
        <w:t xml:space="preserve">ראש </w:t>
      </w:r>
      <w:bookmarkStart w:id="27734" w:name="_ETM_Q47_352070"/>
      <w:bookmarkEnd w:id="27734"/>
      <w:r>
        <w:rPr>
          <w:rFonts w:hint="cs"/>
          <w:rtl/>
        </w:rPr>
        <w:t xml:space="preserve">הממשלה. קום, גלה </w:t>
      </w:r>
      <w:bookmarkStart w:id="27735" w:name="_ETM_Q47_353000"/>
      <w:bookmarkStart w:id="27736" w:name="_ETM_Q47_353900"/>
      <w:bookmarkEnd w:id="27735"/>
      <w:bookmarkEnd w:id="27736"/>
      <w:r>
        <w:rPr>
          <w:rFonts w:hint="cs"/>
          <w:rtl/>
        </w:rPr>
        <w:t xml:space="preserve">אחריות </w:t>
      </w:r>
      <w:bookmarkStart w:id="27737" w:name="_ETM_Q47_354919"/>
      <w:bookmarkEnd w:id="27737"/>
      <w:r>
        <w:rPr>
          <w:rFonts w:hint="cs"/>
          <w:rtl/>
        </w:rPr>
        <w:t xml:space="preserve">מול </w:t>
      </w:r>
      <w:bookmarkStart w:id="27738" w:name="_ETM_Q47_355130"/>
      <w:bookmarkEnd w:id="27738"/>
      <w:r>
        <w:rPr>
          <w:rFonts w:hint="cs"/>
          <w:rtl/>
        </w:rPr>
        <w:t xml:space="preserve">הקיצוניים. </w:t>
      </w:r>
      <w:bookmarkStart w:id="27739" w:name="_ETM_Q47_357139"/>
      <w:bookmarkEnd w:id="27739"/>
      <w:r>
        <w:rPr>
          <w:rFonts w:hint="cs"/>
          <w:rtl/>
        </w:rPr>
        <w:t xml:space="preserve">קום וראה את העם שלך </w:t>
      </w:r>
      <w:bookmarkStart w:id="27740" w:name="_ETM_Q47_359000"/>
      <w:bookmarkEnd w:id="27740"/>
      <w:r>
        <w:rPr>
          <w:rFonts w:hint="cs"/>
          <w:rtl/>
        </w:rPr>
        <w:t>צועד ברחובות, וזכור:</w:t>
      </w:r>
      <w:bookmarkStart w:id="27741" w:name="_ETM_Q47_358000"/>
      <w:bookmarkStart w:id="27742" w:name="_ETM_Q47_357590"/>
      <w:bookmarkStart w:id="27743" w:name="_ETM_Q47_357980"/>
      <w:bookmarkStart w:id="27744" w:name="_ETM_Q47_358460"/>
      <w:bookmarkStart w:id="27745" w:name="_ETM_Q47_359419"/>
      <w:bookmarkStart w:id="27746" w:name="_ETM_Q47_359840"/>
      <w:bookmarkEnd w:id="27741"/>
      <w:bookmarkEnd w:id="27742"/>
      <w:bookmarkEnd w:id="27743"/>
      <w:bookmarkEnd w:id="27744"/>
      <w:bookmarkEnd w:id="27745"/>
      <w:bookmarkEnd w:id="27746"/>
      <w:r>
        <w:rPr>
          <w:rFonts w:hint="cs"/>
          <w:rtl/>
        </w:rPr>
        <w:t xml:space="preserve"> זה העם שלך. </w:t>
      </w:r>
      <w:bookmarkStart w:id="27747" w:name="_ETM_Q47_361550"/>
      <w:bookmarkStart w:id="27748" w:name="_ETM_Q47_361820"/>
      <w:bookmarkStart w:id="27749" w:name="_ETM_Q47_362180"/>
      <w:bookmarkStart w:id="27750" w:name="_ETM_Q47_362870"/>
      <w:bookmarkStart w:id="27751" w:name="_ETM_Q47_363469"/>
      <w:bookmarkStart w:id="27752" w:name="_ETM_Q47_366280"/>
      <w:bookmarkStart w:id="27753" w:name="_ETM_Q47_366669"/>
      <w:bookmarkEnd w:id="27747"/>
      <w:bookmarkEnd w:id="27748"/>
      <w:bookmarkEnd w:id="27749"/>
      <w:bookmarkEnd w:id="27750"/>
      <w:bookmarkEnd w:id="27751"/>
      <w:bookmarkEnd w:id="27752"/>
      <w:bookmarkEnd w:id="27753"/>
      <w:r>
        <w:rPr>
          <w:rFonts w:hint="cs"/>
          <w:rtl/>
        </w:rPr>
        <w:t xml:space="preserve">עצור </w:t>
      </w:r>
      <w:bookmarkStart w:id="27754" w:name="_ETM_Q47_366819"/>
      <w:bookmarkEnd w:id="27754"/>
      <w:r>
        <w:rPr>
          <w:rFonts w:hint="cs"/>
          <w:rtl/>
        </w:rPr>
        <w:t xml:space="preserve">את </w:t>
      </w:r>
      <w:bookmarkStart w:id="27755" w:name="_ETM_Q47_366910"/>
      <w:bookmarkEnd w:id="27755"/>
      <w:r>
        <w:rPr>
          <w:rFonts w:hint="cs"/>
          <w:rtl/>
        </w:rPr>
        <w:t xml:space="preserve">הפירוד </w:t>
      </w:r>
      <w:bookmarkStart w:id="27756" w:name="_ETM_Q47_367600"/>
      <w:bookmarkEnd w:id="27756"/>
      <w:r>
        <w:rPr>
          <w:rFonts w:hint="cs"/>
          <w:rtl/>
        </w:rPr>
        <w:t xml:space="preserve">ואת </w:t>
      </w:r>
      <w:bookmarkStart w:id="27757" w:name="_ETM_Q47_367840"/>
      <w:bookmarkEnd w:id="27757"/>
      <w:r>
        <w:rPr>
          <w:rFonts w:hint="cs"/>
          <w:rtl/>
        </w:rPr>
        <w:t xml:space="preserve">הפילוג. עצור את החקיקה ודאג </w:t>
      </w:r>
      <w:bookmarkStart w:id="27758" w:name="_ETM_Q47_369200"/>
      <w:bookmarkStart w:id="27759" w:name="_ETM_Q47_369470"/>
      <w:bookmarkStart w:id="27760" w:name="_ETM_Q47_369530"/>
      <w:bookmarkStart w:id="27761" w:name="_ETM_Q47_369860"/>
      <w:bookmarkStart w:id="27762" w:name="_ETM_Q47_370100"/>
      <w:bookmarkStart w:id="27763" w:name="_ETM_Q47_371030"/>
      <w:bookmarkStart w:id="27764" w:name="_ETM_Q47_371659"/>
      <w:bookmarkEnd w:id="27758"/>
      <w:bookmarkEnd w:id="27759"/>
      <w:bookmarkEnd w:id="27760"/>
      <w:bookmarkEnd w:id="27761"/>
      <w:bookmarkEnd w:id="27762"/>
      <w:bookmarkEnd w:id="27763"/>
      <w:bookmarkEnd w:id="27764"/>
      <w:r>
        <w:rPr>
          <w:rFonts w:hint="cs"/>
          <w:rtl/>
        </w:rPr>
        <w:t xml:space="preserve">שהכול </w:t>
      </w:r>
      <w:bookmarkStart w:id="27765" w:name="_ETM_Q47_372169"/>
      <w:bookmarkEnd w:id="27765"/>
      <w:r>
        <w:rPr>
          <w:rFonts w:hint="cs"/>
          <w:rtl/>
        </w:rPr>
        <w:t>יגיע לכאן ב</w:t>
      </w:r>
      <w:bookmarkStart w:id="27766" w:name="_ETM_Q47_372589"/>
      <w:bookmarkStart w:id="27767" w:name="_ETM_Q47_373340"/>
      <w:bookmarkStart w:id="27768" w:name="_ETM_Q47_373489"/>
      <w:bookmarkEnd w:id="27766"/>
      <w:bookmarkEnd w:id="27767"/>
      <w:bookmarkEnd w:id="27768"/>
      <w:r>
        <w:rPr>
          <w:rFonts w:hint="cs"/>
          <w:rtl/>
        </w:rPr>
        <w:t xml:space="preserve">הסכמה. </w:t>
      </w:r>
      <w:bookmarkStart w:id="27769" w:name="_ETM_Q47_375370"/>
      <w:bookmarkEnd w:id="27769"/>
      <w:r>
        <w:rPr>
          <w:rFonts w:hint="cs"/>
          <w:rtl/>
        </w:rPr>
        <w:t xml:space="preserve">אחרת </w:t>
      </w:r>
      <w:bookmarkStart w:id="27770" w:name="_ETM_Q47_376330"/>
      <w:bookmarkEnd w:id="27770"/>
      <w:r>
        <w:rPr>
          <w:rFonts w:hint="cs"/>
          <w:rtl/>
        </w:rPr>
        <w:t>זאת</w:t>
      </w:r>
      <w:bookmarkStart w:id="27771" w:name="_ETM_Q47_373000"/>
      <w:bookmarkEnd w:id="27771"/>
      <w:r>
        <w:rPr>
          <w:rFonts w:hint="cs"/>
          <w:rtl/>
        </w:rPr>
        <w:t xml:space="preserve"> תהיה</w:t>
      </w:r>
      <w:bookmarkStart w:id="27772" w:name="_ETM_Q47_375000"/>
      <w:bookmarkEnd w:id="27772"/>
      <w:r>
        <w:rPr>
          <w:rFonts w:hint="cs"/>
          <w:rtl/>
        </w:rPr>
        <w:t xml:space="preserve"> מורשתך. </w:t>
      </w:r>
      <w:bookmarkStart w:id="27773" w:name="_ETM_Q47_376870"/>
      <w:bookmarkStart w:id="27774" w:name="_ETM_Q47_377200"/>
      <w:bookmarkStart w:id="27775" w:name="_ETM_Q47_378700"/>
      <w:bookmarkEnd w:id="27773"/>
      <w:bookmarkEnd w:id="27774"/>
      <w:bookmarkEnd w:id="27775"/>
      <w:r>
        <w:rPr>
          <w:rFonts w:hint="cs"/>
          <w:rtl/>
        </w:rPr>
        <w:t xml:space="preserve">אני </w:t>
      </w:r>
      <w:bookmarkStart w:id="27776" w:name="_ETM_Q47_378989"/>
      <w:bookmarkEnd w:id="27776"/>
      <w:r>
        <w:rPr>
          <w:rFonts w:hint="cs"/>
          <w:rtl/>
        </w:rPr>
        <w:t xml:space="preserve">מאלה שסבורים שהייתה לך </w:t>
      </w:r>
      <w:bookmarkStart w:id="27777" w:name="_ETM_Q47_379379"/>
      <w:bookmarkStart w:id="27778" w:name="_ETM_Q47_379439"/>
      <w:bookmarkStart w:id="27779" w:name="_ETM_Q47_379529"/>
      <w:bookmarkStart w:id="27780" w:name="_ETM_Q47_379919"/>
      <w:bookmarkStart w:id="27781" w:name="_ETM_Q47_380279"/>
      <w:bookmarkStart w:id="27782" w:name="_ETM_Q47_380549"/>
      <w:bookmarkEnd w:id="27777"/>
      <w:bookmarkEnd w:id="27778"/>
      <w:bookmarkEnd w:id="27779"/>
      <w:bookmarkEnd w:id="27780"/>
      <w:bookmarkEnd w:id="27781"/>
      <w:bookmarkEnd w:id="27782"/>
      <w:r>
        <w:rPr>
          <w:rFonts w:hint="cs"/>
          <w:rtl/>
        </w:rPr>
        <w:t xml:space="preserve">תרומה </w:t>
      </w:r>
      <w:bookmarkStart w:id="27783" w:name="_ETM_Q47_380849"/>
      <w:bookmarkEnd w:id="27783"/>
      <w:r>
        <w:rPr>
          <w:rFonts w:hint="cs"/>
          <w:rtl/>
        </w:rPr>
        <w:t xml:space="preserve">גדולה </w:t>
      </w:r>
      <w:bookmarkStart w:id="27784" w:name="_ETM_Q47_382049"/>
      <w:bookmarkEnd w:id="27784"/>
      <w:r>
        <w:rPr>
          <w:rFonts w:hint="cs"/>
          <w:rtl/>
        </w:rPr>
        <w:t xml:space="preserve">למדינת </w:t>
      </w:r>
      <w:bookmarkStart w:id="27785" w:name="_ETM_Q47_382620"/>
      <w:bookmarkEnd w:id="27785"/>
      <w:r>
        <w:rPr>
          <w:rFonts w:hint="cs"/>
          <w:rtl/>
        </w:rPr>
        <w:t xml:space="preserve">ישראל </w:t>
      </w:r>
      <w:bookmarkStart w:id="27786" w:name="_ETM_Q47_383219"/>
      <w:bookmarkEnd w:id="27786"/>
      <w:r>
        <w:rPr>
          <w:rFonts w:hint="cs"/>
          <w:rtl/>
        </w:rPr>
        <w:t xml:space="preserve">ולעם </w:t>
      </w:r>
      <w:bookmarkStart w:id="27787" w:name="_ETM_Q47_383549"/>
      <w:bookmarkEnd w:id="27787"/>
      <w:r>
        <w:rPr>
          <w:rFonts w:hint="cs"/>
          <w:rtl/>
        </w:rPr>
        <w:t>ישראל.</w:t>
      </w:r>
      <w:bookmarkStart w:id="27788" w:name="_ETM_Q47_385919"/>
      <w:bookmarkStart w:id="27789" w:name="_ETM_Q47_386220"/>
      <w:bookmarkEnd w:id="27788"/>
      <w:bookmarkEnd w:id="27789"/>
      <w:r>
        <w:rPr>
          <w:rFonts w:hint="cs"/>
          <w:rtl/>
        </w:rPr>
        <w:t xml:space="preserve"> אני </w:t>
      </w:r>
      <w:bookmarkStart w:id="27790" w:name="_ETM_Q47_386310"/>
      <w:bookmarkEnd w:id="27790"/>
      <w:r>
        <w:rPr>
          <w:rFonts w:hint="cs"/>
          <w:rtl/>
        </w:rPr>
        <w:t>מאלה שסבורים שעת המבח</w:t>
      </w:r>
      <w:bookmarkStart w:id="27791" w:name="_ETM_Q47_387000"/>
      <w:bookmarkEnd w:id="27791"/>
      <w:r>
        <w:rPr>
          <w:rFonts w:hint="cs"/>
          <w:rtl/>
        </w:rPr>
        <w:t xml:space="preserve">ן האמיתית </w:t>
      </w:r>
      <w:bookmarkStart w:id="27792" w:name="_ETM_Q47_386669"/>
      <w:bookmarkStart w:id="27793" w:name="_ETM_Q47_386760"/>
      <w:bookmarkStart w:id="27794" w:name="_ETM_Q47_387720"/>
      <w:bookmarkStart w:id="27795" w:name="_ETM_Q47_388000"/>
      <w:bookmarkStart w:id="27796" w:name="_ETM_Q47_388330"/>
      <w:bookmarkStart w:id="27797" w:name="_ETM_Q47_388810"/>
      <w:bookmarkStart w:id="27798" w:name="_ETM_Q47_389320"/>
      <w:bookmarkEnd w:id="27792"/>
      <w:bookmarkEnd w:id="27793"/>
      <w:bookmarkEnd w:id="27794"/>
      <w:bookmarkEnd w:id="27795"/>
      <w:bookmarkEnd w:id="27796"/>
      <w:bookmarkEnd w:id="27797"/>
      <w:bookmarkEnd w:id="27798"/>
      <w:r>
        <w:rPr>
          <w:rFonts w:hint="cs"/>
          <w:rtl/>
        </w:rPr>
        <w:t xml:space="preserve">שלך </w:t>
      </w:r>
      <w:bookmarkStart w:id="27799" w:name="_ETM_Q47_389740"/>
      <w:bookmarkEnd w:id="27799"/>
      <w:r>
        <w:rPr>
          <w:rFonts w:hint="cs"/>
          <w:rtl/>
        </w:rPr>
        <w:t xml:space="preserve">היא </w:t>
      </w:r>
      <w:bookmarkStart w:id="27800" w:name="_ETM_Q47_389889"/>
      <w:bookmarkEnd w:id="27800"/>
      <w:r>
        <w:rPr>
          <w:rFonts w:hint="cs"/>
          <w:rtl/>
        </w:rPr>
        <w:t xml:space="preserve">עכשיו. </w:t>
      </w:r>
      <w:bookmarkStart w:id="27801" w:name="_ETM_Q47_399000"/>
      <w:bookmarkEnd w:id="27801"/>
      <w:r>
        <w:rPr>
          <w:rFonts w:hint="cs"/>
          <w:rtl/>
        </w:rPr>
        <w:t xml:space="preserve">קום </w:t>
      </w:r>
      <w:bookmarkStart w:id="27802" w:name="_ETM_Q47_392300"/>
      <w:bookmarkEnd w:id="27802"/>
      <w:r>
        <w:rPr>
          <w:rFonts w:hint="cs"/>
          <w:rtl/>
        </w:rPr>
        <w:t xml:space="preserve">להציל </w:t>
      </w:r>
      <w:bookmarkStart w:id="27803" w:name="_ETM_Q47_392840"/>
      <w:bookmarkEnd w:id="27803"/>
      <w:r>
        <w:rPr>
          <w:rFonts w:hint="cs"/>
          <w:rtl/>
        </w:rPr>
        <w:t xml:space="preserve">את </w:t>
      </w:r>
      <w:bookmarkStart w:id="27804" w:name="_ETM_Q47_393020"/>
      <w:bookmarkEnd w:id="27804"/>
      <w:r>
        <w:rPr>
          <w:rFonts w:hint="cs"/>
          <w:rtl/>
        </w:rPr>
        <w:t xml:space="preserve">העם </w:t>
      </w:r>
      <w:bookmarkStart w:id="27805" w:name="_ETM_Q47_393320"/>
      <w:bookmarkEnd w:id="27805"/>
      <w:r>
        <w:rPr>
          <w:rFonts w:hint="cs"/>
          <w:rtl/>
        </w:rPr>
        <w:t xml:space="preserve">הזה </w:t>
      </w:r>
      <w:bookmarkStart w:id="27806" w:name="_ETM_Q47_393620"/>
      <w:bookmarkEnd w:id="27806"/>
      <w:r>
        <w:rPr>
          <w:rFonts w:hint="cs"/>
          <w:rtl/>
        </w:rPr>
        <w:t xml:space="preserve">מעצמו. </w:t>
      </w:r>
    </w:p>
    <w:p w:rsidR="00BB59CD" w:rsidRDefault="00BB59CD" w:rsidP="00BB59CD">
      <w:pPr>
        <w:rPr>
          <w:rtl/>
        </w:rPr>
      </w:pPr>
    </w:p>
    <w:p w:rsidR="00BB59CD" w:rsidRDefault="00BB59CD" w:rsidP="0037589E">
      <w:pPr>
        <w:rPr>
          <w:rtl/>
        </w:rPr>
      </w:pPr>
      <w:bookmarkStart w:id="27807" w:name="_ETM_Q47_396000"/>
      <w:bookmarkEnd w:id="27807"/>
      <w:r>
        <w:rPr>
          <w:rFonts w:hint="cs"/>
          <w:rtl/>
        </w:rPr>
        <w:t>ואני יכולה לומר לך</w:t>
      </w:r>
      <w:bookmarkStart w:id="27808" w:name="_ETM_Q47_396030"/>
      <w:bookmarkStart w:id="27809" w:name="_ETM_Q47_396340"/>
      <w:bookmarkStart w:id="27810" w:name="_ETM_Q47_396550"/>
      <w:bookmarkStart w:id="27811" w:name="_ETM_Q47_396640"/>
      <w:bookmarkStart w:id="27812" w:name="_ETM_Q47_398000"/>
      <w:bookmarkEnd w:id="27808"/>
      <w:bookmarkEnd w:id="27809"/>
      <w:bookmarkEnd w:id="27810"/>
      <w:bookmarkEnd w:id="27811"/>
      <w:bookmarkEnd w:id="27812"/>
      <w:r>
        <w:rPr>
          <w:rFonts w:hint="cs"/>
          <w:rtl/>
        </w:rPr>
        <w:t xml:space="preserve"> שבשטח עם ישראל יודע להסתדר אחד עם השני. </w:t>
      </w:r>
      <w:bookmarkStart w:id="27813" w:name="_ETM_Q47_400000"/>
      <w:bookmarkStart w:id="27814" w:name="_ETM_Q47_401000"/>
      <w:bookmarkStart w:id="27815" w:name="_ETM_Q47_396940"/>
      <w:bookmarkStart w:id="27816" w:name="_ETM_Q47_398170"/>
      <w:bookmarkStart w:id="27817" w:name="_ETM_Q47_398480"/>
      <w:bookmarkStart w:id="27818" w:name="_ETM_Q47_398989"/>
      <w:bookmarkStart w:id="27819" w:name="_ETM_Q47_400870"/>
      <w:bookmarkStart w:id="27820" w:name="_ETM_Q47_401050"/>
      <w:bookmarkStart w:id="27821" w:name="_ETM_Q47_401409"/>
      <w:bookmarkStart w:id="27822" w:name="_ETM_Q47_401650"/>
      <w:bookmarkStart w:id="27823" w:name="_ETM_Q47_402069"/>
      <w:bookmarkStart w:id="27824" w:name="_ETM_Q47_402340"/>
      <w:bookmarkStart w:id="27825" w:name="_ETM_Q47_402459"/>
      <w:bookmarkStart w:id="27826" w:name="_ETM_Q47_403209"/>
      <w:bookmarkEnd w:id="27813"/>
      <w:bookmarkEnd w:id="27814"/>
      <w:bookmarkEnd w:id="27815"/>
      <w:bookmarkEnd w:id="27816"/>
      <w:bookmarkEnd w:id="27817"/>
      <w:bookmarkEnd w:id="27818"/>
      <w:bookmarkEnd w:id="27819"/>
      <w:bookmarkEnd w:id="27820"/>
      <w:bookmarkEnd w:id="27821"/>
      <w:bookmarkEnd w:id="27822"/>
      <w:bookmarkEnd w:id="27823"/>
      <w:bookmarkEnd w:id="27824"/>
      <w:bookmarkEnd w:id="27825"/>
      <w:bookmarkEnd w:id="27826"/>
      <w:r>
        <w:rPr>
          <w:rFonts w:hint="cs"/>
          <w:rtl/>
        </w:rPr>
        <w:t xml:space="preserve">אני </w:t>
      </w:r>
      <w:bookmarkStart w:id="27827" w:name="_ETM_Q47_403450"/>
      <w:bookmarkEnd w:id="27827"/>
      <w:r>
        <w:rPr>
          <w:rFonts w:hint="cs"/>
          <w:rtl/>
        </w:rPr>
        <w:t xml:space="preserve">הייתי </w:t>
      </w:r>
      <w:bookmarkStart w:id="27828" w:name="_ETM_Q47_403659"/>
      <w:bookmarkEnd w:id="27828"/>
      <w:r>
        <w:rPr>
          <w:rFonts w:hint="cs"/>
          <w:rtl/>
        </w:rPr>
        <w:t xml:space="preserve">בקופה </w:t>
      </w:r>
      <w:bookmarkStart w:id="27829" w:name="_ETM_Q47_404080"/>
      <w:bookmarkEnd w:id="27829"/>
      <w:r>
        <w:rPr>
          <w:rFonts w:hint="cs"/>
          <w:rtl/>
        </w:rPr>
        <w:t xml:space="preserve">ביום </w:t>
      </w:r>
      <w:bookmarkStart w:id="27830" w:name="_ETM_Q47_404319"/>
      <w:bookmarkEnd w:id="27830"/>
      <w:r>
        <w:rPr>
          <w:rFonts w:hint="cs"/>
          <w:rtl/>
        </w:rPr>
        <w:t xml:space="preserve">שישי. </w:t>
      </w:r>
      <w:bookmarkStart w:id="27831" w:name="_ETM_Q47_405900"/>
      <w:bookmarkEnd w:id="27831"/>
      <w:r>
        <w:rPr>
          <w:rFonts w:hint="cs"/>
          <w:rtl/>
        </w:rPr>
        <w:t xml:space="preserve">היה אדם </w:t>
      </w:r>
      <w:bookmarkStart w:id="27832" w:name="_ETM_Q47_406290"/>
      <w:bookmarkEnd w:id="27832"/>
      <w:r>
        <w:rPr>
          <w:rFonts w:hint="cs"/>
          <w:rtl/>
        </w:rPr>
        <w:t xml:space="preserve">חרדי, </w:t>
      </w:r>
      <w:bookmarkStart w:id="27833" w:name="_ETM_Q47_407529"/>
      <w:bookmarkEnd w:id="27833"/>
      <w:r>
        <w:rPr>
          <w:rFonts w:hint="cs"/>
          <w:rtl/>
        </w:rPr>
        <w:t xml:space="preserve">מהצד </w:t>
      </w:r>
      <w:bookmarkStart w:id="27834" w:name="_ETM_Q47_408069"/>
      <w:bookmarkEnd w:id="27834"/>
      <w:r>
        <w:rPr>
          <w:rFonts w:hint="cs"/>
          <w:rtl/>
        </w:rPr>
        <w:t>השני</w:t>
      </w:r>
      <w:bookmarkStart w:id="27835" w:name="_ETM_Q47_408340"/>
      <w:bookmarkEnd w:id="27835"/>
      <w:r>
        <w:rPr>
          <w:rFonts w:hint="cs"/>
          <w:rtl/>
        </w:rPr>
        <w:t xml:space="preserve"> אדם </w:t>
      </w:r>
      <w:bookmarkStart w:id="27836" w:name="_ETM_Q47_408579"/>
      <w:bookmarkEnd w:id="27836"/>
      <w:r>
        <w:rPr>
          <w:rFonts w:hint="cs"/>
          <w:rtl/>
        </w:rPr>
        <w:t xml:space="preserve">חילוני. </w:t>
      </w:r>
      <w:bookmarkStart w:id="27837" w:name="_ETM_Q47_409120"/>
      <w:bookmarkEnd w:id="27837"/>
      <w:r>
        <w:rPr>
          <w:rFonts w:hint="cs"/>
          <w:rtl/>
        </w:rPr>
        <w:t xml:space="preserve">אני </w:t>
      </w:r>
      <w:bookmarkStart w:id="27838" w:name="_ETM_Q47_409239"/>
      <w:bookmarkEnd w:id="27838"/>
      <w:r>
        <w:rPr>
          <w:rFonts w:hint="cs"/>
          <w:rtl/>
        </w:rPr>
        <w:t xml:space="preserve">עמדתי </w:t>
      </w:r>
      <w:bookmarkStart w:id="27839" w:name="_ETM_Q47_409689"/>
      <w:bookmarkEnd w:id="27839"/>
      <w:r>
        <w:rPr>
          <w:rFonts w:hint="cs"/>
          <w:rtl/>
        </w:rPr>
        <w:t xml:space="preserve">באמצע. </w:t>
      </w:r>
      <w:bookmarkStart w:id="27840" w:name="_ETM_Q47_411040"/>
      <w:bookmarkEnd w:id="27840"/>
      <w:r>
        <w:rPr>
          <w:rFonts w:hint="cs"/>
          <w:rtl/>
        </w:rPr>
        <w:t xml:space="preserve">הם </w:t>
      </w:r>
      <w:bookmarkStart w:id="27841" w:name="_ETM_Q47_411189"/>
      <w:bookmarkEnd w:id="27841"/>
      <w:r>
        <w:rPr>
          <w:rFonts w:hint="cs"/>
          <w:rtl/>
        </w:rPr>
        <w:t xml:space="preserve">התחילו </w:t>
      </w:r>
      <w:bookmarkStart w:id="27842" w:name="_ETM_Q47_411459"/>
      <w:bookmarkEnd w:id="27842"/>
      <w:r>
        <w:rPr>
          <w:rFonts w:hint="cs"/>
          <w:rtl/>
        </w:rPr>
        <w:t xml:space="preserve">לדבר </w:t>
      </w:r>
      <w:bookmarkStart w:id="27843" w:name="_ETM_Q47_411730"/>
      <w:bookmarkEnd w:id="27843"/>
      <w:r>
        <w:rPr>
          <w:rFonts w:hint="cs"/>
          <w:rtl/>
        </w:rPr>
        <w:t xml:space="preserve">פוליטיקה. </w:t>
      </w:r>
      <w:bookmarkStart w:id="27844" w:name="_ETM_Q47_412999"/>
      <w:bookmarkEnd w:id="27844"/>
      <w:r>
        <w:rPr>
          <w:rFonts w:hint="cs"/>
          <w:rtl/>
        </w:rPr>
        <w:t xml:space="preserve">לא </w:t>
      </w:r>
      <w:bookmarkStart w:id="27845" w:name="_ETM_Q47_413239"/>
      <w:bookmarkEnd w:id="27845"/>
      <w:r>
        <w:rPr>
          <w:rFonts w:hint="cs"/>
          <w:rtl/>
        </w:rPr>
        <w:t xml:space="preserve">כל </w:t>
      </w:r>
      <w:bookmarkStart w:id="27846" w:name="_ETM_Q47_413389"/>
      <w:bookmarkEnd w:id="27846"/>
      <w:r>
        <w:rPr>
          <w:rFonts w:hint="cs"/>
          <w:rtl/>
        </w:rPr>
        <w:t xml:space="preserve">כך </w:t>
      </w:r>
      <w:bookmarkStart w:id="27847" w:name="_ETM_Q47_413540"/>
      <w:bookmarkEnd w:id="27847"/>
      <w:r>
        <w:rPr>
          <w:rFonts w:hint="cs"/>
          <w:rtl/>
        </w:rPr>
        <w:t xml:space="preserve">זיהו </w:t>
      </w:r>
      <w:bookmarkStart w:id="27848" w:name="_ETM_Q47_413840"/>
      <w:bookmarkEnd w:id="27848"/>
      <w:r>
        <w:rPr>
          <w:rFonts w:hint="cs"/>
          <w:rtl/>
        </w:rPr>
        <w:t>אותי</w:t>
      </w:r>
      <w:r w:rsidR="0037589E">
        <w:rPr>
          <w:rFonts w:hint="cs"/>
          <w:rtl/>
        </w:rPr>
        <w:t>,</w:t>
      </w:r>
      <w:r>
        <w:rPr>
          <w:rFonts w:hint="cs"/>
          <w:rtl/>
        </w:rPr>
        <w:t xml:space="preserve"> </w:t>
      </w:r>
      <w:bookmarkStart w:id="27849" w:name="_ETM_Q47_414560"/>
      <w:bookmarkEnd w:id="27849"/>
      <w:r>
        <w:rPr>
          <w:rFonts w:hint="cs"/>
          <w:rtl/>
        </w:rPr>
        <w:t xml:space="preserve">זה </w:t>
      </w:r>
      <w:bookmarkStart w:id="27850" w:name="_ETM_Q47_414680"/>
      <w:bookmarkEnd w:id="27850"/>
      <w:r>
        <w:rPr>
          <w:rFonts w:hint="cs"/>
          <w:rtl/>
        </w:rPr>
        <w:t xml:space="preserve">אומר </w:t>
      </w:r>
      <w:bookmarkStart w:id="27851" w:name="_ETM_Q47_414829"/>
      <w:bookmarkEnd w:id="27851"/>
      <w:r>
        <w:rPr>
          <w:rFonts w:hint="cs"/>
          <w:rtl/>
        </w:rPr>
        <w:t xml:space="preserve">דורשני – </w:t>
      </w:r>
      <w:bookmarkStart w:id="27852" w:name="_ETM_Q47_416100"/>
      <w:bookmarkEnd w:id="27852"/>
      <w:r>
        <w:rPr>
          <w:rFonts w:hint="cs"/>
          <w:rtl/>
        </w:rPr>
        <w:t xml:space="preserve">בשלב </w:t>
      </w:r>
      <w:bookmarkStart w:id="27853" w:name="_ETM_Q47_416459"/>
      <w:bookmarkEnd w:id="27853"/>
      <w:r>
        <w:rPr>
          <w:rFonts w:hint="cs"/>
          <w:rtl/>
        </w:rPr>
        <w:t xml:space="preserve">מסוים הם </w:t>
      </w:r>
      <w:bookmarkStart w:id="27854" w:name="_ETM_Q47_416970"/>
      <w:bookmarkEnd w:id="27854"/>
      <w:r>
        <w:rPr>
          <w:rFonts w:hint="cs"/>
          <w:rtl/>
        </w:rPr>
        <w:t xml:space="preserve">כן. </w:t>
      </w:r>
      <w:bookmarkStart w:id="27855" w:name="_ETM_Q47_417819"/>
      <w:bookmarkEnd w:id="27855"/>
      <w:r>
        <w:rPr>
          <w:rFonts w:hint="cs"/>
          <w:rtl/>
        </w:rPr>
        <w:t xml:space="preserve">אבל </w:t>
      </w:r>
      <w:bookmarkStart w:id="27856" w:name="_ETM_Q47_418029"/>
      <w:bookmarkEnd w:id="27856"/>
      <w:r>
        <w:rPr>
          <w:rFonts w:hint="cs"/>
          <w:rtl/>
        </w:rPr>
        <w:t xml:space="preserve">היה </w:t>
      </w:r>
      <w:bookmarkStart w:id="27857" w:name="_ETM_Q47_418209"/>
      <w:bookmarkEnd w:id="27857"/>
      <w:r>
        <w:rPr>
          <w:rFonts w:hint="cs"/>
          <w:rtl/>
        </w:rPr>
        <w:t xml:space="preserve">ויכוח, </w:t>
      </w:r>
      <w:bookmarkStart w:id="27858" w:name="_ETM_Q47_418779"/>
      <w:bookmarkEnd w:id="27858"/>
      <w:r>
        <w:rPr>
          <w:rFonts w:hint="cs"/>
          <w:rtl/>
        </w:rPr>
        <w:t xml:space="preserve">והם </w:t>
      </w:r>
      <w:bookmarkStart w:id="27859" w:name="_ETM_Q47_418959"/>
      <w:bookmarkEnd w:id="27859"/>
      <w:r>
        <w:rPr>
          <w:rFonts w:hint="cs"/>
          <w:rtl/>
        </w:rPr>
        <w:t xml:space="preserve">דיברו </w:t>
      </w:r>
      <w:bookmarkStart w:id="27860" w:name="_ETM_Q47_419260"/>
      <w:bookmarkEnd w:id="27860"/>
      <w:r>
        <w:rPr>
          <w:rFonts w:hint="cs"/>
          <w:rtl/>
        </w:rPr>
        <w:t xml:space="preserve">על </w:t>
      </w:r>
      <w:bookmarkStart w:id="27861" w:name="_ETM_Q47_419319"/>
      <w:bookmarkEnd w:id="27861"/>
      <w:r>
        <w:rPr>
          <w:rFonts w:hint="cs"/>
          <w:rtl/>
        </w:rPr>
        <w:t xml:space="preserve">זה </w:t>
      </w:r>
      <w:bookmarkStart w:id="27862" w:name="_ETM_Q47_419409"/>
      <w:bookmarkEnd w:id="27862"/>
      <w:r>
        <w:rPr>
          <w:rFonts w:hint="cs"/>
          <w:rtl/>
        </w:rPr>
        <w:t>שהפוליטיקאי</w:t>
      </w:r>
      <w:bookmarkStart w:id="27863" w:name="_ETM_Q47_420430"/>
      <w:bookmarkEnd w:id="27863"/>
      <w:r>
        <w:rPr>
          <w:rFonts w:hint="cs"/>
          <w:rtl/>
        </w:rPr>
        <w:t xml:space="preserve">ם </w:t>
      </w:r>
      <w:bookmarkStart w:id="27864" w:name="_ETM_Q47_420489"/>
      <w:bookmarkEnd w:id="27864"/>
      <w:r>
        <w:rPr>
          <w:rFonts w:hint="cs"/>
          <w:rtl/>
        </w:rPr>
        <w:t xml:space="preserve">הורסים </w:t>
      </w:r>
      <w:bookmarkStart w:id="27865" w:name="_ETM_Q47_420849"/>
      <w:bookmarkEnd w:id="27865"/>
      <w:r>
        <w:rPr>
          <w:rFonts w:hint="cs"/>
          <w:rtl/>
        </w:rPr>
        <w:t xml:space="preserve">את </w:t>
      </w:r>
      <w:bookmarkStart w:id="27866" w:name="_ETM_Q47_420939"/>
      <w:bookmarkEnd w:id="27866"/>
      <w:r>
        <w:rPr>
          <w:rFonts w:hint="cs"/>
          <w:rtl/>
        </w:rPr>
        <w:t xml:space="preserve">המדינה </w:t>
      </w:r>
      <w:bookmarkStart w:id="27867" w:name="_ETM_Q47_421479"/>
      <w:bookmarkEnd w:id="27867"/>
      <w:r>
        <w:rPr>
          <w:rFonts w:hint="cs"/>
          <w:rtl/>
        </w:rPr>
        <w:t xml:space="preserve">ואיך </w:t>
      </w:r>
      <w:bookmarkStart w:id="27868" w:name="_ETM_Q47_421689"/>
      <w:bookmarkEnd w:id="27868"/>
      <w:r>
        <w:rPr>
          <w:rFonts w:hint="cs"/>
          <w:rtl/>
        </w:rPr>
        <w:t xml:space="preserve">הם </w:t>
      </w:r>
      <w:bookmarkStart w:id="27869" w:name="_ETM_Q47_421809"/>
      <w:bookmarkEnd w:id="27869"/>
      <w:r>
        <w:rPr>
          <w:rFonts w:hint="cs"/>
          <w:rtl/>
        </w:rPr>
        <w:t xml:space="preserve">מסתדרים, </w:t>
      </w:r>
      <w:bookmarkStart w:id="27870" w:name="_ETM_Q47_422199"/>
      <w:bookmarkEnd w:id="27870"/>
      <w:r>
        <w:rPr>
          <w:rFonts w:hint="cs"/>
          <w:rtl/>
        </w:rPr>
        <w:t xml:space="preserve">ובאמת </w:t>
      </w:r>
      <w:bookmarkStart w:id="27871" w:name="_ETM_Q47_422680"/>
      <w:bookmarkEnd w:id="27871"/>
      <w:r w:rsidR="0037589E">
        <w:rPr>
          <w:rFonts w:hint="cs"/>
          <w:rtl/>
        </w:rPr>
        <w:t xml:space="preserve">הם </w:t>
      </w:r>
      <w:r>
        <w:rPr>
          <w:rFonts w:hint="cs"/>
          <w:rtl/>
        </w:rPr>
        <w:t>עזרו</w:t>
      </w:r>
      <w:bookmarkStart w:id="27872" w:name="_ETM_Q47_422919"/>
      <w:bookmarkEnd w:id="27872"/>
      <w:r>
        <w:rPr>
          <w:rFonts w:hint="cs"/>
          <w:rtl/>
        </w:rPr>
        <w:t xml:space="preserve"> אחד </w:t>
      </w:r>
      <w:bookmarkStart w:id="27873" w:name="_ETM_Q47_423159"/>
      <w:bookmarkEnd w:id="27873"/>
      <w:r>
        <w:rPr>
          <w:rFonts w:hint="cs"/>
          <w:rtl/>
        </w:rPr>
        <w:t>לשני</w:t>
      </w:r>
      <w:bookmarkStart w:id="27874" w:name="_ETM_Q47_424490"/>
      <w:bookmarkEnd w:id="27874"/>
      <w:r>
        <w:rPr>
          <w:rFonts w:hint="cs"/>
          <w:rtl/>
        </w:rPr>
        <w:t xml:space="preserve">. </w:t>
      </w:r>
      <w:bookmarkStart w:id="27875" w:name="_ETM_Q47_425379"/>
      <w:bookmarkEnd w:id="27875"/>
      <w:r>
        <w:rPr>
          <w:rFonts w:hint="cs"/>
          <w:rtl/>
        </w:rPr>
        <w:t xml:space="preserve">הם </w:t>
      </w:r>
      <w:bookmarkStart w:id="27876" w:name="_ETM_Q47_425889"/>
      <w:bookmarkEnd w:id="27876"/>
      <w:r>
        <w:rPr>
          <w:rFonts w:hint="cs"/>
          <w:rtl/>
        </w:rPr>
        <w:t xml:space="preserve">מגלים </w:t>
      </w:r>
      <w:bookmarkStart w:id="27877" w:name="_ETM_Q47_426370"/>
      <w:bookmarkEnd w:id="27877"/>
      <w:r>
        <w:rPr>
          <w:rFonts w:hint="cs"/>
          <w:rtl/>
        </w:rPr>
        <w:t>אזרח</w:t>
      </w:r>
      <w:r w:rsidR="0037589E">
        <w:rPr>
          <w:rFonts w:hint="cs"/>
          <w:rtl/>
        </w:rPr>
        <w:t>ות</w:t>
      </w:r>
      <w:r>
        <w:rPr>
          <w:rFonts w:hint="cs"/>
          <w:rtl/>
        </w:rPr>
        <w:t xml:space="preserve"> </w:t>
      </w:r>
      <w:bookmarkStart w:id="27878" w:name="_ETM_Q47_426819"/>
      <w:bookmarkEnd w:id="27878"/>
      <w:r>
        <w:rPr>
          <w:rFonts w:hint="cs"/>
          <w:rtl/>
        </w:rPr>
        <w:t xml:space="preserve">למופת. </w:t>
      </w:r>
      <w:bookmarkStart w:id="27879" w:name="_ETM_Q47_428010"/>
      <w:bookmarkStart w:id="27880" w:name="_ETM_Q47_430000"/>
      <w:bookmarkEnd w:id="27879"/>
      <w:bookmarkEnd w:id="27880"/>
      <w:r>
        <w:rPr>
          <w:rFonts w:hint="cs"/>
          <w:rtl/>
        </w:rPr>
        <w:t xml:space="preserve">אבל, </w:t>
      </w:r>
      <w:bookmarkStart w:id="27881" w:name="_ETM_Q47_428700"/>
      <w:bookmarkEnd w:id="27881"/>
      <w:r>
        <w:rPr>
          <w:rFonts w:hint="cs"/>
          <w:rtl/>
        </w:rPr>
        <w:t xml:space="preserve">אדוני </w:t>
      </w:r>
      <w:bookmarkStart w:id="27882" w:name="_ETM_Q47_429120"/>
      <w:bookmarkEnd w:id="27882"/>
      <w:r>
        <w:rPr>
          <w:rFonts w:hint="cs"/>
          <w:rtl/>
        </w:rPr>
        <w:t>ראש</w:t>
      </w:r>
      <w:bookmarkStart w:id="27883" w:name="_ETM_Q47_429260"/>
      <w:bookmarkEnd w:id="27883"/>
      <w:r>
        <w:rPr>
          <w:rFonts w:hint="cs"/>
          <w:rtl/>
        </w:rPr>
        <w:t xml:space="preserve"> הממשלה, </w:t>
      </w:r>
      <w:bookmarkStart w:id="27884" w:name="_ETM_Q47_430040"/>
      <w:bookmarkEnd w:id="27884"/>
      <w:r>
        <w:rPr>
          <w:rFonts w:hint="cs"/>
          <w:rtl/>
        </w:rPr>
        <w:t xml:space="preserve">האחריות </w:t>
      </w:r>
      <w:bookmarkStart w:id="27885" w:name="_ETM_Q47_430549"/>
      <w:bookmarkEnd w:id="27885"/>
      <w:r>
        <w:rPr>
          <w:rFonts w:hint="cs"/>
          <w:rtl/>
        </w:rPr>
        <w:t>הראשונ</w:t>
      </w:r>
      <w:bookmarkStart w:id="27886" w:name="_ETM_Q47_431689"/>
      <w:bookmarkEnd w:id="27886"/>
      <w:r>
        <w:rPr>
          <w:rFonts w:hint="cs"/>
          <w:rtl/>
        </w:rPr>
        <w:t xml:space="preserve">ית </w:t>
      </w:r>
      <w:bookmarkStart w:id="27887" w:name="_ETM_Q47_429000"/>
      <w:bookmarkEnd w:id="27887"/>
      <w:r>
        <w:rPr>
          <w:rFonts w:hint="cs"/>
          <w:rtl/>
        </w:rPr>
        <w:t xml:space="preserve">היא שלך, </w:t>
      </w:r>
      <w:bookmarkStart w:id="27888" w:name="_ETM_Q47_433269"/>
      <w:bookmarkEnd w:id="27888"/>
      <w:r>
        <w:rPr>
          <w:rFonts w:hint="cs"/>
          <w:rtl/>
        </w:rPr>
        <w:t xml:space="preserve">לבוא </w:t>
      </w:r>
      <w:bookmarkStart w:id="27889" w:name="_ETM_Q47_434000"/>
      <w:bookmarkEnd w:id="27889"/>
      <w:r>
        <w:rPr>
          <w:rFonts w:hint="cs"/>
          <w:rtl/>
        </w:rPr>
        <w:t xml:space="preserve">ולומר: </w:t>
      </w:r>
      <w:bookmarkStart w:id="27890" w:name="_ETM_Q47_434570"/>
      <w:bookmarkEnd w:id="27890"/>
      <w:r>
        <w:rPr>
          <w:rFonts w:hint="cs"/>
          <w:rtl/>
        </w:rPr>
        <w:t xml:space="preserve">אני </w:t>
      </w:r>
      <w:bookmarkStart w:id="27891" w:name="_ETM_Q47_434780"/>
      <w:bookmarkEnd w:id="27891"/>
      <w:r>
        <w:rPr>
          <w:rFonts w:hint="cs"/>
          <w:rtl/>
        </w:rPr>
        <w:t xml:space="preserve">עוצר </w:t>
      </w:r>
      <w:bookmarkStart w:id="27892" w:name="_ETM_Q47_435140"/>
      <w:bookmarkEnd w:id="27892"/>
      <w:r>
        <w:rPr>
          <w:rFonts w:hint="cs"/>
          <w:rtl/>
        </w:rPr>
        <w:t xml:space="preserve">את </w:t>
      </w:r>
      <w:bookmarkStart w:id="27893" w:name="_ETM_Q47_435290"/>
      <w:bookmarkEnd w:id="27893"/>
      <w:r>
        <w:rPr>
          <w:rFonts w:hint="cs"/>
          <w:rtl/>
        </w:rPr>
        <w:t>הכול, כי העם הזה</w:t>
      </w:r>
      <w:bookmarkStart w:id="27894" w:name="_ETM_Q47_436970"/>
      <w:bookmarkStart w:id="27895" w:name="_ETM_Q47_437360"/>
      <w:bookmarkEnd w:id="27894"/>
      <w:bookmarkEnd w:id="27895"/>
      <w:r>
        <w:rPr>
          <w:rFonts w:hint="cs"/>
          <w:rtl/>
        </w:rPr>
        <w:t xml:space="preserve"> </w:t>
      </w:r>
      <w:bookmarkStart w:id="27896" w:name="_ETM_Q47_437509"/>
      <w:bookmarkEnd w:id="27896"/>
      <w:r>
        <w:rPr>
          <w:rFonts w:hint="cs"/>
          <w:rtl/>
        </w:rPr>
        <w:t xml:space="preserve">חשוב </w:t>
      </w:r>
      <w:bookmarkStart w:id="27897" w:name="_ETM_Q47_437990"/>
      <w:bookmarkEnd w:id="27897"/>
      <w:r>
        <w:rPr>
          <w:rFonts w:hint="cs"/>
          <w:rtl/>
        </w:rPr>
        <w:t xml:space="preserve">לי, </w:t>
      </w:r>
      <w:bookmarkStart w:id="27898" w:name="_ETM_Q47_439320"/>
      <w:bookmarkEnd w:id="27898"/>
      <w:r>
        <w:rPr>
          <w:rFonts w:hint="cs"/>
          <w:rtl/>
        </w:rPr>
        <w:t xml:space="preserve">ואפשר </w:t>
      </w:r>
      <w:bookmarkStart w:id="27899" w:name="_ETM_Q47_439680"/>
      <w:bookmarkEnd w:id="27899"/>
      <w:r>
        <w:rPr>
          <w:rFonts w:hint="cs"/>
          <w:rtl/>
        </w:rPr>
        <w:t xml:space="preserve">להגיע </w:t>
      </w:r>
      <w:bookmarkStart w:id="27900" w:name="_ETM_Q47_440070"/>
      <w:bookmarkEnd w:id="27900"/>
      <w:r>
        <w:rPr>
          <w:rFonts w:hint="cs"/>
          <w:rtl/>
        </w:rPr>
        <w:t xml:space="preserve">להסכמות, </w:t>
      </w:r>
      <w:bookmarkStart w:id="27901" w:name="_ETM_Q47_441760"/>
      <w:bookmarkEnd w:id="27901"/>
      <w:r>
        <w:rPr>
          <w:rFonts w:hint="cs"/>
          <w:rtl/>
        </w:rPr>
        <w:t xml:space="preserve">ולא </w:t>
      </w:r>
      <w:bookmarkStart w:id="27902" w:name="_ETM_Q47_442060"/>
      <w:bookmarkEnd w:id="27902"/>
      <w:r>
        <w:rPr>
          <w:rFonts w:hint="cs"/>
          <w:rtl/>
        </w:rPr>
        <w:t xml:space="preserve">יהיה </w:t>
      </w:r>
      <w:bookmarkStart w:id="27903" w:name="_ETM_Q47_442210"/>
      <w:bookmarkEnd w:id="27903"/>
      <w:r>
        <w:rPr>
          <w:rFonts w:hint="cs"/>
          <w:rtl/>
        </w:rPr>
        <w:t xml:space="preserve">פה </w:t>
      </w:r>
      <w:bookmarkStart w:id="27904" w:name="_ETM_Q47_442360"/>
      <w:bookmarkEnd w:id="27904"/>
      <w:r>
        <w:rPr>
          <w:rFonts w:hint="cs"/>
          <w:rtl/>
        </w:rPr>
        <w:t xml:space="preserve">רק </w:t>
      </w:r>
      <w:bookmarkStart w:id="27905" w:name="_ETM_Q47_442570"/>
      <w:bookmarkEnd w:id="27905"/>
      <w:r>
        <w:rPr>
          <w:rFonts w:hint="cs"/>
          <w:rtl/>
        </w:rPr>
        <w:t>צד אחד</w:t>
      </w:r>
      <w:bookmarkStart w:id="27906" w:name="_ETM_Q47_442810"/>
      <w:bookmarkEnd w:id="27906"/>
      <w:r>
        <w:rPr>
          <w:rFonts w:hint="cs"/>
          <w:rtl/>
        </w:rPr>
        <w:t xml:space="preserve"> </w:t>
      </w:r>
      <w:bookmarkStart w:id="27907" w:name="_ETM_Q47_443080"/>
      <w:bookmarkEnd w:id="27907"/>
      <w:r>
        <w:rPr>
          <w:rFonts w:hint="cs"/>
          <w:rtl/>
        </w:rPr>
        <w:t xml:space="preserve">מנצח. </w:t>
      </w:r>
      <w:bookmarkStart w:id="27908" w:name="_ETM_Q47_446670"/>
      <w:bookmarkEnd w:id="27908"/>
      <w:r>
        <w:rPr>
          <w:rFonts w:hint="cs"/>
          <w:rtl/>
        </w:rPr>
        <w:t xml:space="preserve">אבל </w:t>
      </w:r>
      <w:bookmarkStart w:id="27909" w:name="_ETM_Q47_446970"/>
      <w:bookmarkEnd w:id="27909"/>
      <w:r>
        <w:rPr>
          <w:rFonts w:hint="cs"/>
          <w:rtl/>
        </w:rPr>
        <w:t>אי</w:t>
      </w:r>
      <w:bookmarkStart w:id="27910" w:name="_ETM_Q47_447150"/>
      <w:bookmarkEnd w:id="27910"/>
      <w:r>
        <w:rPr>
          <w:rFonts w:hint="cs"/>
          <w:rtl/>
        </w:rPr>
        <w:t xml:space="preserve">-אפשר </w:t>
      </w:r>
      <w:bookmarkStart w:id="27911" w:name="_ETM_Q47_447870"/>
      <w:bookmarkEnd w:id="27911"/>
      <w:r>
        <w:rPr>
          <w:rFonts w:hint="cs"/>
          <w:rtl/>
        </w:rPr>
        <w:t xml:space="preserve">לתת </w:t>
      </w:r>
      <w:bookmarkStart w:id="27912" w:name="_ETM_Q47_448260"/>
      <w:bookmarkEnd w:id="27912"/>
      <w:r>
        <w:rPr>
          <w:rFonts w:hint="cs"/>
          <w:rtl/>
        </w:rPr>
        <w:t xml:space="preserve">לקיצוניים </w:t>
      </w:r>
      <w:bookmarkStart w:id="27913" w:name="_ETM_Q47_450050"/>
      <w:bookmarkEnd w:id="27913"/>
      <w:r>
        <w:rPr>
          <w:rFonts w:hint="cs"/>
          <w:rtl/>
        </w:rPr>
        <w:t xml:space="preserve">להמשיך </w:t>
      </w:r>
      <w:bookmarkStart w:id="27914" w:name="_ETM_Q47_451550"/>
      <w:bookmarkEnd w:id="27914"/>
      <w:r>
        <w:rPr>
          <w:rFonts w:hint="cs"/>
          <w:rtl/>
        </w:rPr>
        <w:t xml:space="preserve">לאחוז </w:t>
      </w:r>
      <w:bookmarkStart w:id="27915" w:name="_ETM_Q47_452089"/>
      <w:bookmarkEnd w:id="27915"/>
      <w:r>
        <w:rPr>
          <w:rFonts w:hint="cs"/>
          <w:rtl/>
        </w:rPr>
        <w:t xml:space="preserve">בהגה. </w:t>
      </w:r>
      <w:bookmarkStart w:id="27916" w:name="_ETM_Q47_453520"/>
      <w:bookmarkEnd w:id="27916"/>
      <w:r>
        <w:rPr>
          <w:rFonts w:hint="cs"/>
          <w:rtl/>
        </w:rPr>
        <w:t xml:space="preserve">פשוט </w:t>
      </w:r>
      <w:bookmarkStart w:id="27917" w:name="_ETM_Q47_453909"/>
      <w:bookmarkEnd w:id="27917"/>
      <w:r>
        <w:rPr>
          <w:rFonts w:hint="cs"/>
          <w:rtl/>
        </w:rPr>
        <w:t>אי</w:t>
      </w:r>
      <w:bookmarkStart w:id="27918" w:name="_ETM_Q47_453999"/>
      <w:bookmarkEnd w:id="27918"/>
      <w:r>
        <w:rPr>
          <w:rFonts w:hint="cs"/>
          <w:rtl/>
        </w:rPr>
        <w:t>-אפשר.</w:t>
      </w:r>
    </w:p>
    <w:p w:rsidR="00BB59CD" w:rsidRDefault="00BB59CD" w:rsidP="00337201">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7919" w:name="_ETM_Q47_456000"/>
      <w:bookmarkEnd w:id="27919"/>
      <w:r>
        <w:rPr>
          <w:rFonts w:hint="cs"/>
          <w:rtl/>
        </w:rPr>
        <w:t>את זוכרת מי הפסיק את ההידברות.</w:t>
      </w:r>
      <w:bookmarkStart w:id="27920" w:name="_ETM_Q47_455000"/>
      <w:bookmarkEnd w:id="27920"/>
      <w:r>
        <w:rPr>
          <w:rFonts w:hint="cs"/>
          <w:rtl/>
        </w:rPr>
        <w:t xml:space="preserve"> את יודעת מי הפסיק</w:t>
      </w:r>
      <w:bookmarkStart w:id="27921" w:name="_ETM_Q47_453000"/>
      <w:bookmarkEnd w:id="27921"/>
      <w:r>
        <w:rPr>
          <w:rFonts w:hint="cs"/>
          <w:rtl/>
        </w:rPr>
        <w:t xml:space="preserve"> </w:t>
      </w:r>
      <w:r w:rsidR="0037589E">
        <w:rPr>
          <w:rFonts w:hint="cs"/>
          <w:rtl/>
        </w:rPr>
        <w:t>ב</w:t>
      </w:r>
      <w:r>
        <w:rPr>
          <w:rFonts w:hint="cs"/>
          <w:rtl/>
        </w:rPr>
        <w:t>פעם האחרונה את ההידברות בבית הנשיא?</w:t>
      </w:r>
    </w:p>
    <w:p w:rsidR="00BB59CD" w:rsidRDefault="00BB59CD" w:rsidP="00BB59CD">
      <w:pPr>
        <w:rPr>
          <w:rtl/>
        </w:rPr>
      </w:pPr>
      <w:bookmarkStart w:id="27922" w:name="_ETM_Q47_459000"/>
      <w:bookmarkEnd w:id="27922"/>
    </w:p>
    <w:p w:rsidR="00BB59CD" w:rsidRDefault="00BB59CD" w:rsidP="00BB59CD">
      <w:pPr>
        <w:pStyle w:val="af8"/>
        <w:keepNext/>
        <w:rPr>
          <w:rtl/>
        </w:rPr>
      </w:pPr>
      <w:bookmarkStart w:id="27923" w:name="ET_interruption_6461_2"/>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27923"/>
    </w:p>
    <w:p w:rsidR="00BB59CD" w:rsidRDefault="00BB59CD" w:rsidP="00337201">
      <w:pPr>
        <w:rPr>
          <w:rtl/>
        </w:rPr>
      </w:pPr>
    </w:p>
    <w:p w:rsidR="00BB59CD" w:rsidRDefault="00BB59CD" w:rsidP="00BB59CD">
      <w:pPr>
        <w:rPr>
          <w:rtl/>
        </w:rPr>
      </w:pPr>
      <w:r>
        <w:rPr>
          <w:rFonts w:hint="cs"/>
          <w:rtl/>
        </w:rPr>
        <w:t xml:space="preserve">למה פוצצתם את ההידברות בבית </w:t>
      </w:r>
      <w:bookmarkStart w:id="27924" w:name="_ETM_Q47_458000"/>
      <w:bookmarkEnd w:id="27924"/>
      <w:r>
        <w:rPr>
          <w:rFonts w:hint="cs"/>
          <w:rtl/>
        </w:rPr>
        <w:t>הנשיא?</w:t>
      </w:r>
    </w:p>
    <w:p w:rsidR="00BB59CD" w:rsidRDefault="00BB59CD" w:rsidP="00BB59CD">
      <w:pPr>
        <w:rPr>
          <w:rtl/>
        </w:rPr>
      </w:pPr>
      <w:bookmarkStart w:id="27925" w:name="_ETM_Q47_461000"/>
      <w:bookmarkEnd w:id="2792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7926" w:name="_ETM_Q47_462000"/>
      <w:bookmarkEnd w:id="27926"/>
      <w:r>
        <w:rPr>
          <w:rFonts w:hint="cs"/>
          <w:rtl/>
        </w:rPr>
        <w:t>זה מה שאמרתי לה בדיוק.</w:t>
      </w:r>
    </w:p>
    <w:p w:rsidR="00BB59CD" w:rsidRDefault="00BB59CD" w:rsidP="00BB59CD">
      <w:pPr>
        <w:rPr>
          <w:rtl/>
        </w:rPr>
      </w:pPr>
    </w:p>
    <w:p w:rsidR="00BB59CD" w:rsidRDefault="00BB59CD" w:rsidP="00BB59CD">
      <w:pPr>
        <w:pStyle w:val="-"/>
        <w:keepNext/>
        <w:rPr>
          <w:rtl/>
        </w:rPr>
      </w:pPr>
      <w:bookmarkStart w:id="27927" w:name="ET_speakercontinue_5115_4"/>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7927"/>
    </w:p>
    <w:p w:rsidR="00BB59CD" w:rsidRDefault="00BB59CD" w:rsidP="00337201">
      <w:pPr>
        <w:rPr>
          <w:rtl/>
        </w:rPr>
      </w:pPr>
    </w:p>
    <w:p w:rsidR="00BB59CD" w:rsidRDefault="00BB59CD" w:rsidP="00BB59CD">
      <w:pPr>
        <w:rPr>
          <w:rtl/>
        </w:rPr>
      </w:pPr>
      <w:bookmarkStart w:id="27928" w:name="_ETM_Q47_460000"/>
      <w:bookmarkStart w:id="27929" w:name="_ETM_Q47_455730"/>
      <w:bookmarkStart w:id="27930" w:name="_ETM_Q47_461320"/>
      <w:bookmarkStart w:id="27931" w:name="_ETM_Q47_462850"/>
      <w:bookmarkEnd w:id="27928"/>
      <w:bookmarkEnd w:id="27929"/>
      <w:bookmarkEnd w:id="27930"/>
      <w:bookmarkEnd w:id="27931"/>
      <w:r>
        <w:rPr>
          <w:rFonts w:hint="cs"/>
          <w:rtl/>
        </w:rPr>
        <w:t xml:space="preserve">אני </w:t>
      </w:r>
      <w:bookmarkStart w:id="27932" w:name="_ETM_Q47_463029"/>
      <w:bookmarkEnd w:id="27932"/>
      <w:r>
        <w:rPr>
          <w:rFonts w:hint="cs"/>
          <w:rtl/>
        </w:rPr>
        <w:t xml:space="preserve">רוצה </w:t>
      </w:r>
      <w:bookmarkStart w:id="27933" w:name="_ETM_Q47_463330"/>
      <w:bookmarkEnd w:id="27933"/>
      <w:r>
        <w:rPr>
          <w:rFonts w:hint="cs"/>
          <w:rtl/>
        </w:rPr>
        <w:t xml:space="preserve">לומר </w:t>
      </w:r>
      <w:bookmarkStart w:id="27934" w:name="_ETM_Q47_463630"/>
      <w:bookmarkEnd w:id="27934"/>
      <w:r>
        <w:rPr>
          <w:rFonts w:hint="cs"/>
          <w:rtl/>
        </w:rPr>
        <w:t>לך,</w:t>
      </w:r>
      <w:bookmarkStart w:id="27935" w:name="_ETM_Q47_464050"/>
      <w:bookmarkStart w:id="27936" w:name="_ETM_Q47_464170"/>
      <w:bookmarkEnd w:id="27935"/>
      <w:bookmarkEnd w:id="27936"/>
      <w:r>
        <w:rPr>
          <w:rFonts w:hint="cs"/>
          <w:rtl/>
        </w:rPr>
        <w:t xml:space="preserve"> </w:t>
      </w:r>
      <w:bookmarkStart w:id="27937" w:name="_ETM_Q47_464589"/>
      <w:bookmarkEnd w:id="27937"/>
      <w:r>
        <w:rPr>
          <w:rFonts w:hint="cs"/>
          <w:rtl/>
        </w:rPr>
        <w:t xml:space="preserve">אתה </w:t>
      </w:r>
      <w:bookmarkStart w:id="27938" w:name="_ETM_Q47_464800"/>
      <w:bookmarkEnd w:id="27938"/>
      <w:r>
        <w:rPr>
          <w:rFonts w:hint="cs"/>
          <w:rtl/>
        </w:rPr>
        <w:t xml:space="preserve">יודע, </w:t>
      </w:r>
      <w:bookmarkStart w:id="27939" w:name="_ETM_Q47_464980"/>
      <w:bookmarkEnd w:id="27939"/>
      <w:r>
        <w:rPr>
          <w:rFonts w:hint="cs"/>
          <w:rtl/>
        </w:rPr>
        <w:t xml:space="preserve">אפשר </w:t>
      </w:r>
      <w:bookmarkStart w:id="27940" w:name="_ETM_Q47_465190"/>
      <w:bookmarkEnd w:id="27940"/>
      <w:r>
        <w:rPr>
          <w:rFonts w:hint="cs"/>
          <w:rtl/>
        </w:rPr>
        <w:t>להתנצח.</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7941" w:name="_ETM_Q47_466089"/>
      <w:bookmarkEnd w:id="27941"/>
      <w:r>
        <w:rPr>
          <w:rFonts w:hint="cs"/>
          <w:rtl/>
        </w:rPr>
        <w:t xml:space="preserve">הוא </w:t>
      </w:r>
      <w:bookmarkStart w:id="27942" w:name="_ETM_Q47_466210"/>
      <w:bookmarkEnd w:id="27942"/>
      <w:r>
        <w:rPr>
          <w:rFonts w:hint="cs"/>
          <w:rtl/>
        </w:rPr>
        <w:t xml:space="preserve">גם </w:t>
      </w:r>
      <w:bookmarkStart w:id="27943" w:name="_ETM_Q47_466360"/>
      <w:bookmarkEnd w:id="27943"/>
      <w:r>
        <w:rPr>
          <w:rFonts w:hint="cs"/>
          <w:rtl/>
        </w:rPr>
        <w:t>ה</w:t>
      </w:r>
      <w:bookmarkStart w:id="27944" w:name="_ETM_Q47_466420"/>
      <w:bookmarkEnd w:id="27944"/>
      <w:r>
        <w:rPr>
          <w:rFonts w:hint="cs"/>
          <w:rtl/>
        </w:rPr>
        <w:t>קפיא את החקיקה.</w:t>
      </w:r>
    </w:p>
    <w:p w:rsidR="00BB59CD" w:rsidRDefault="00BB59CD" w:rsidP="00BB59CD">
      <w:pPr>
        <w:rPr>
          <w:rtl/>
        </w:rPr>
      </w:pPr>
      <w:bookmarkStart w:id="27945" w:name="_ETM_Q47_468000"/>
      <w:bookmarkEnd w:id="27945"/>
    </w:p>
    <w:p w:rsidR="00BB59CD" w:rsidRDefault="00BB59CD" w:rsidP="00BB59CD">
      <w:pPr>
        <w:pStyle w:val="-"/>
        <w:keepNext/>
        <w:rPr>
          <w:rtl/>
        </w:rPr>
      </w:pPr>
      <w:bookmarkStart w:id="27946" w:name="ET_speakercontinue_5115_6"/>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7946"/>
    </w:p>
    <w:p w:rsidR="00BB59CD" w:rsidRDefault="00BB59CD" w:rsidP="00337201">
      <w:pPr>
        <w:rPr>
          <w:rtl/>
        </w:rPr>
      </w:pPr>
    </w:p>
    <w:p w:rsidR="00BB59CD" w:rsidRDefault="00BB59CD" w:rsidP="00BB59CD">
      <w:pPr>
        <w:rPr>
          <w:rtl/>
        </w:rPr>
      </w:pPr>
      <w:r>
        <w:rPr>
          <w:rFonts w:hint="cs"/>
          <w:rtl/>
        </w:rPr>
        <w:t>דווקא בנאום שלי הזה - - -</w:t>
      </w:r>
    </w:p>
    <w:p w:rsidR="00BB59CD" w:rsidRDefault="00BB59CD" w:rsidP="00BB59CD">
      <w:pPr>
        <w:rPr>
          <w:rtl/>
        </w:rPr>
      </w:pPr>
      <w:bookmarkStart w:id="27947" w:name="_ETM_Q47_463000"/>
      <w:bookmarkEnd w:id="27947"/>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7948" w:name="_ETM_Q47_464000"/>
      <w:bookmarkEnd w:id="27948"/>
      <w:r>
        <w:rPr>
          <w:rFonts w:hint="cs"/>
          <w:rtl/>
        </w:rPr>
        <w:t xml:space="preserve">רגע. אבל הוא הקפיא את החקיקה, והיה </w:t>
      </w:r>
      <w:bookmarkStart w:id="27949" w:name="_ETM_Q47_466000"/>
      <w:bookmarkEnd w:id="27949"/>
      <w:r>
        <w:rPr>
          <w:rFonts w:hint="cs"/>
          <w:rtl/>
        </w:rPr>
        <w:t>קשוב. הוא שינה פרטים.</w:t>
      </w:r>
    </w:p>
    <w:p w:rsidR="00BB59CD" w:rsidRDefault="00BB59CD" w:rsidP="00BB59CD">
      <w:pPr>
        <w:rPr>
          <w:rtl/>
        </w:rPr>
      </w:pPr>
    </w:p>
    <w:p w:rsidR="00BB59CD" w:rsidRDefault="00BB59CD" w:rsidP="00BB59CD">
      <w:pPr>
        <w:pStyle w:val="-"/>
        <w:keepNext/>
        <w:rPr>
          <w:rtl/>
        </w:rPr>
      </w:pPr>
      <w:bookmarkStart w:id="27950" w:name="ET_speakercontinue_5115_8"/>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7950"/>
    </w:p>
    <w:p w:rsidR="00BB59CD" w:rsidRDefault="00BB59CD" w:rsidP="00337201">
      <w:pPr>
        <w:rPr>
          <w:rtl/>
        </w:rPr>
      </w:pPr>
    </w:p>
    <w:p w:rsidR="00BB59CD" w:rsidRDefault="00BB59CD" w:rsidP="00BB59CD">
      <w:pPr>
        <w:rPr>
          <w:rtl/>
        </w:rPr>
      </w:pPr>
      <w:bookmarkStart w:id="27951" w:name="_ETM_Q47_467000"/>
      <w:bookmarkEnd w:id="27951"/>
      <w:r>
        <w:rPr>
          <w:rFonts w:hint="cs"/>
          <w:rtl/>
        </w:rPr>
        <w:t xml:space="preserve">לא, לא, לא.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7952" w:name="_ETM_Q47_469000"/>
      <w:bookmarkEnd w:id="27952"/>
      <w:r>
        <w:rPr>
          <w:rFonts w:hint="cs"/>
          <w:rtl/>
        </w:rPr>
        <w:t xml:space="preserve">החוק כבר היה מוכן לקריאה שנייה ושלישית. את רואה שהוא היה קשוב. כנראה שלא היה – אני שואל. </w:t>
      </w:r>
    </w:p>
    <w:p w:rsidR="00BB59CD" w:rsidRDefault="00BB59CD" w:rsidP="00BB59CD">
      <w:pPr>
        <w:rPr>
          <w:rtl/>
        </w:rPr>
      </w:pPr>
      <w:bookmarkStart w:id="27953" w:name="_ETM_Q47_474000"/>
      <w:bookmarkEnd w:id="27953"/>
    </w:p>
    <w:p w:rsidR="00BB59CD" w:rsidRDefault="00BB59CD" w:rsidP="00BB59CD">
      <w:pPr>
        <w:pStyle w:val="-"/>
        <w:keepNext/>
        <w:rPr>
          <w:rtl/>
        </w:rPr>
      </w:pPr>
      <w:bookmarkStart w:id="27954" w:name="ET_speakercontinue_5115_10"/>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7954"/>
    </w:p>
    <w:p w:rsidR="00BB59CD" w:rsidRDefault="00BB59CD" w:rsidP="00337201">
      <w:pPr>
        <w:rPr>
          <w:rtl/>
        </w:rPr>
      </w:pPr>
    </w:p>
    <w:p w:rsidR="00BB59CD" w:rsidRDefault="00BB59CD" w:rsidP="0037589E">
      <w:pPr>
        <w:rPr>
          <w:rtl/>
        </w:rPr>
      </w:pPr>
      <w:bookmarkStart w:id="27955" w:name="_ETM_Q47_475000"/>
      <w:bookmarkEnd w:id="27955"/>
      <w:r>
        <w:rPr>
          <w:rFonts w:hint="cs"/>
          <w:rtl/>
        </w:rPr>
        <w:t>אדוני היושב-ראש, אני רוצה להזכיר</w:t>
      </w:r>
      <w:bookmarkStart w:id="27956" w:name="_ETM_Q47_478000"/>
      <w:bookmarkEnd w:id="27956"/>
      <w:r>
        <w:rPr>
          <w:rFonts w:hint="cs"/>
          <w:rtl/>
        </w:rPr>
        <w:t xml:space="preserve"> לך מה היה כאן. אפשר גם להתווכח על זה. </w:t>
      </w:r>
      <w:bookmarkStart w:id="27957" w:name="_ETM_Q47_484880"/>
      <w:bookmarkEnd w:id="27957"/>
      <w:r>
        <w:rPr>
          <w:rFonts w:hint="cs"/>
          <w:rtl/>
        </w:rPr>
        <w:t xml:space="preserve">בסוף </w:t>
      </w:r>
      <w:bookmarkStart w:id="27958" w:name="_ETM_Q47_485240"/>
      <w:bookmarkEnd w:id="27958"/>
      <w:r>
        <w:rPr>
          <w:rFonts w:hint="cs"/>
          <w:rtl/>
        </w:rPr>
        <w:t xml:space="preserve">אנחנו </w:t>
      </w:r>
      <w:bookmarkStart w:id="27959" w:name="_ETM_Q47_485540"/>
      <w:bookmarkEnd w:id="27959"/>
      <w:r>
        <w:rPr>
          <w:rFonts w:hint="cs"/>
          <w:rtl/>
        </w:rPr>
        <w:t xml:space="preserve">תמיד </w:t>
      </w:r>
      <w:bookmarkStart w:id="27960" w:name="_ETM_Q47_485839"/>
      <w:bookmarkEnd w:id="27960"/>
      <w:r>
        <w:rPr>
          <w:rFonts w:hint="cs"/>
          <w:rtl/>
        </w:rPr>
        <w:t xml:space="preserve">אמרנו </w:t>
      </w:r>
      <w:bookmarkStart w:id="27961" w:name="_ETM_Q47_486799"/>
      <w:bookmarkEnd w:id="27961"/>
      <w:r>
        <w:rPr>
          <w:rFonts w:hint="cs"/>
          <w:rtl/>
        </w:rPr>
        <w:t xml:space="preserve">שצריכה </w:t>
      </w:r>
      <w:bookmarkStart w:id="27962" w:name="_ETM_Q47_483000"/>
      <w:bookmarkEnd w:id="27962"/>
      <w:r>
        <w:rPr>
          <w:rFonts w:hint="cs"/>
          <w:rtl/>
        </w:rPr>
        <w:t xml:space="preserve">להיות </w:t>
      </w:r>
      <w:bookmarkStart w:id="27963" w:name="_ETM_Q47_487189"/>
      <w:bookmarkEnd w:id="27963"/>
      <w:r>
        <w:rPr>
          <w:rFonts w:hint="cs"/>
          <w:rtl/>
        </w:rPr>
        <w:t xml:space="preserve">מוקמת </w:t>
      </w:r>
      <w:bookmarkStart w:id="27964" w:name="_ETM_Q47_487609"/>
      <w:bookmarkEnd w:id="27964"/>
      <w:r>
        <w:rPr>
          <w:rFonts w:hint="cs"/>
          <w:rtl/>
        </w:rPr>
        <w:t xml:space="preserve">ועדה </w:t>
      </w:r>
      <w:bookmarkStart w:id="27965" w:name="_ETM_Q47_488210"/>
      <w:bookmarkEnd w:id="27965"/>
      <w:r>
        <w:rPr>
          <w:rFonts w:hint="cs"/>
          <w:rtl/>
        </w:rPr>
        <w:t xml:space="preserve">למינוי </w:t>
      </w:r>
      <w:bookmarkStart w:id="27966" w:name="_ETM_Q47_488540"/>
      <w:bookmarkEnd w:id="27966"/>
      <w:r>
        <w:rPr>
          <w:rFonts w:hint="cs"/>
          <w:rtl/>
        </w:rPr>
        <w:t xml:space="preserve">שופטים </w:t>
      </w:r>
      <w:bookmarkStart w:id="27967" w:name="_ETM_Q47_488990"/>
      <w:bookmarkEnd w:id="27967"/>
      <w:r>
        <w:rPr>
          <w:rFonts w:hint="cs"/>
          <w:rtl/>
        </w:rPr>
        <w:t xml:space="preserve">בזמן. </w:t>
      </w:r>
      <w:bookmarkStart w:id="27968" w:name="_ETM_Q47_489490"/>
      <w:bookmarkStart w:id="27969" w:name="_ETM_Q47_490690"/>
      <w:bookmarkEnd w:id="27968"/>
      <w:bookmarkEnd w:id="27969"/>
      <w:r>
        <w:rPr>
          <w:rFonts w:hint="cs"/>
          <w:rtl/>
        </w:rPr>
        <w:t xml:space="preserve">אתם </w:t>
      </w:r>
      <w:bookmarkStart w:id="27970" w:name="_ETM_Q47_490900"/>
      <w:bookmarkEnd w:id="27970"/>
      <w:r>
        <w:rPr>
          <w:rFonts w:hint="cs"/>
          <w:rtl/>
        </w:rPr>
        <w:t xml:space="preserve">בחרתם </w:t>
      </w:r>
      <w:bookmarkStart w:id="27971" w:name="_ETM_Q47_491349"/>
      <w:bookmarkEnd w:id="27971"/>
      <w:r>
        <w:rPr>
          <w:rFonts w:hint="cs"/>
          <w:rtl/>
        </w:rPr>
        <w:t xml:space="preserve">לעשות </w:t>
      </w:r>
      <w:bookmarkStart w:id="27972" w:name="_ETM_Q47_491620"/>
      <w:bookmarkEnd w:id="27972"/>
      <w:r>
        <w:rPr>
          <w:rFonts w:hint="cs"/>
          <w:rtl/>
        </w:rPr>
        <w:t xml:space="preserve">עוד </w:t>
      </w:r>
      <w:bookmarkStart w:id="27973" w:name="_ETM_Q47_491740"/>
      <w:bookmarkEnd w:id="27973"/>
      <w:r>
        <w:rPr>
          <w:rFonts w:hint="cs"/>
          <w:rtl/>
        </w:rPr>
        <w:t xml:space="preserve">הפעם </w:t>
      </w:r>
      <w:bookmarkStart w:id="27974" w:name="_ETM_Q47_492010"/>
      <w:bookmarkEnd w:id="27974"/>
      <w:r>
        <w:rPr>
          <w:rFonts w:hint="cs"/>
          <w:rtl/>
        </w:rPr>
        <w:t>שטיק</w:t>
      </w:r>
      <w:bookmarkStart w:id="27975" w:name="_ETM_Q47_492279"/>
      <w:bookmarkStart w:id="27976" w:name="_ETM_Q47_480060"/>
      <w:bookmarkEnd w:id="27975"/>
      <w:bookmarkEnd w:id="27976"/>
      <w:r w:rsidR="0037589E">
        <w:rPr>
          <w:rFonts w:hint="cs"/>
          <w:rtl/>
        </w:rPr>
        <w:t>-</w:t>
      </w:r>
      <w:r>
        <w:rPr>
          <w:rFonts w:hint="cs"/>
          <w:rtl/>
        </w:rPr>
        <w:t xml:space="preserve">טריק </w:t>
      </w:r>
      <w:bookmarkStart w:id="27977" w:name="_ETM_Q47_492700"/>
      <w:bookmarkEnd w:id="27977"/>
      <w:r>
        <w:rPr>
          <w:rFonts w:hint="cs"/>
          <w:rtl/>
        </w:rPr>
        <w:t xml:space="preserve">כדי </w:t>
      </w:r>
      <w:bookmarkStart w:id="27978" w:name="_ETM_Q47_492969"/>
      <w:bookmarkEnd w:id="27978"/>
      <w:r>
        <w:rPr>
          <w:rFonts w:hint="cs"/>
          <w:rtl/>
        </w:rPr>
        <w:t xml:space="preserve">לדחות </w:t>
      </w:r>
      <w:bookmarkStart w:id="27979" w:name="_ETM_Q47_493269"/>
      <w:bookmarkEnd w:id="27979"/>
      <w:r>
        <w:rPr>
          <w:rFonts w:hint="cs"/>
          <w:rtl/>
        </w:rPr>
        <w:t xml:space="preserve">את </w:t>
      </w:r>
      <w:bookmarkStart w:id="27980" w:name="_ETM_Q47_493420"/>
      <w:bookmarkEnd w:id="27980"/>
      <w:r>
        <w:rPr>
          <w:rFonts w:hint="cs"/>
          <w:rtl/>
        </w:rPr>
        <w:t xml:space="preserve">הבחירות. </w:t>
      </w:r>
      <w:bookmarkStart w:id="27981" w:name="_ETM_Q47_493779"/>
      <w:bookmarkEnd w:id="27981"/>
      <w:r>
        <w:rPr>
          <w:rFonts w:hint="cs"/>
          <w:rtl/>
        </w:rPr>
        <w:t xml:space="preserve">אגב, </w:t>
      </w:r>
      <w:bookmarkStart w:id="27982" w:name="_ETM_Q47_493990"/>
      <w:bookmarkEnd w:id="27982"/>
      <w:r>
        <w:rPr>
          <w:rFonts w:hint="cs"/>
          <w:rtl/>
        </w:rPr>
        <w:t>אני</w:t>
      </w:r>
      <w:bookmarkStart w:id="27983" w:name="_ETM_Q47_494139"/>
      <w:bookmarkEnd w:id="27983"/>
      <w:r>
        <w:rPr>
          <w:rFonts w:hint="cs"/>
          <w:rtl/>
        </w:rPr>
        <w:t xml:space="preserve"> </w:t>
      </w:r>
      <w:bookmarkStart w:id="27984" w:name="_ETM_Q47_494200"/>
      <w:bookmarkEnd w:id="27984"/>
      <w:r>
        <w:rPr>
          <w:rFonts w:hint="cs"/>
          <w:rtl/>
        </w:rPr>
        <w:t xml:space="preserve">התמודדתי </w:t>
      </w:r>
      <w:bookmarkStart w:id="27985" w:name="_ETM_Q47_494799"/>
      <w:bookmarkEnd w:id="27985"/>
      <w:r>
        <w:rPr>
          <w:rFonts w:hint="cs"/>
          <w:rtl/>
        </w:rPr>
        <w:t xml:space="preserve">בבחירות </w:t>
      </w:r>
      <w:bookmarkStart w:id="27986" w:name="_ETM_Q47_495250"/>
      <w:bookmarkEnd w:id="27986"/>
      <w:r>
        <w:rPr>
          <w:rFonts w:hint="cs"/>
          <w:rtl/>
        </w:rPr>
        <w:t xml:space="preserve">לוועדה </w:t>
      </w:r>
      <w:bookmarkStart w:id="27987" w:name="_ETM_Q47_494000"/>
      <w:bookmarkEnd w:id="27987"/>
      <w:r>
        <w:rPr>
          <w:rFonts w:hint="cs"/>
          <w:rtl/>
        </w:rPr>
        <w:t xml:space="preserve">למינוי </w:t>
      </w:r>
      <w:bookmarkStart w:id="27988" w:name="_ETM_Q47_496240"/>
      <w:bookmarkEnd w:id="27988"/>
      <w:r>
        <w:rPr>
          <w:rFonts w:hint="cs"/>
          <w:rtl/>
        </w:rPr>
        <w:t xml:space="preserve">דיינים. </w:t>
      </w:r>
      <w:bookmarkStart w:id="27989" w:name="_ETM_Q47_497520"/>
      <w:bookmarkEnd w:id="27989"/>
      <w:r>
        <w:rPr>
          <w:rFonts w:hint="cs"/>
          <w:rtl/>
        </w:rPr>
        <w:t xml:space="preserve">אבל </w:t>
      </w:r>
      <w:bookmarkStart w:id="27990" w:name="_ETM_Q47_497700"/>
      <w:bookmarkEnd w:id="27990"/>
      <w:r>
        <w:rPr>
          <w:rFonts w:hint="cs"/>
          <w:rtl/>
        </w:rPr>
        <w:t xml:space="preserve">זה </w:t>
      </w:r>
      <w:bookmarkStart w:id="27991" w:name="_ETM_Q47_498839"/>
      <w:bookmarkEnd w:id="27991"/>
      <w:r>
        <w:rPr>
          <w:rFonts w:hint="cs"/>
          <w:rtl/>
        </w:rPr>
        <w:t xml:space="preserve">עכשיו, </w:t>
      </w:r>
      <w:bookmarkStart w:id="27992" w:name="_ETM_Q47_499350"/>
      <w:bookmarkEnd w:id="27992"/>
      <w:r>
        <w:rPr>
          <w:rFonts w:hint="cs"/>
          <w:rtl/>
        </w:rPr>
        <w:t>בשעה</w:t>
      </w:r>
      <w:bookmarkStart w:id="27993" w:name="_ETM_Q47_499740"/>
      <w:bookmarkStart w:id="27994" w:name="_ETM_Q47_500070"/>
      <w:bookmarkEnd w:id="27993"/>
      <w:bookmarkEnd w:id="27994"/>
      <w:r>
        <w:rPr>
          <w:rFonts w:hint="cs"/>
          <w:rtl/>
        </w:rPr>
        <w:t xml:space="preserve"> הנוכחית. </w:t>
      </w:r>
      <w:bookmarkStart w:id="27995" w:name="_ETM_Q47_501890"/>
      <w:bookmarkEnd w:id="27995"/>
      <w:r>
        <w:rPr>
          <w:rFonts w:hint="cs"/>
          <w:rtl/>
        </w:rPr>
        <w:t>אז</w:t>
      </w:r>
      <w:bookmarkStart w:id="27996" w:name="_ETM_Q47_502130"/>
      <w:bookmarkEnd w:id="27996"/>
      <w:r>
        <w:rPr>
          <w:rFonts w:hint="cs"/>
          <w:rtl/>
        </w:rPr>
        <w:t xml:space="preserve"> </w:t>
      </w:r>
      <w:bookmarkStart w:id="27997" w:name="_ETM_Q47_502189"/>
      <w:bookmarkEnd w:id="27997"/>
      <w:r>
        <w:rPr>
          <w:rFonts w:hint="cs"/>
          <w:rtl/>
        </w:rPr>
        <w:t xml:space="preserve">אתם </w:t>
      </w:r>
      <w:bookmarkStart w:id="27998" w:name="_ETM_Q47_502399"/>
      <w:bookmarkEnd w:id="27998"/>
      <w:r>
        <w:rPr>
          <w:rFonts w:hint="cs"/>
          <w:rtl/>
        </w:rPr>
        <w:t xml:space="preserve">עצרתם, </w:t>
      </w:r>
      <w:bookmarkStart w:id="27999" w:name="_ETM_Q47_503029"/>
      <w:bookmarkEnd w:id="27999"/>
      <w:r>
        <w:rPr>
          <w:rFonts w:hint="cs"/>
          <w:rtl/>
        </w:rPr>
        <w:t xml:space="preserve">אנחנו </w:t>
      </w:r>
      <w:bookmarkStart w:id="28000" w:name="_ETM_Q47_503419"/>
      <w:bookmarkEnd w:id="28000"/>
      <w:r>
        <w:rPr>
          <w:rFonts w:hint="cs"/>
          <w:rtl/>
        </w:rPr>
        <w:t xml:space="preserve">עצרנו. </w:t>
      </w:r>
      <w:bookmarkStart w:id="28001" w:name="_ETM_Q47_504079"/>
      <w:bookmarkEnd w:id="28001"/>
      <w:r>
        <w:rPr>
          <w:rFonts w:hint="cs"/>
          <w:rtl/>
        </w:rPr>
        <w:t xml:space="preserve">הם </w:t>
      </w:r>
      <w:bookmarkStart w:id="28002" w:name="_ETM_Q47_504259"/>
      <w:bookmarkEnd w:id="28002"/>
      <w:r>
        <w:rPr>
          <w:rFonts w:hint="cs"/>
          <w:rtl/>
        </w:rPr>
        <w:t xml:space="preserve">לקחו, </w:t>
      </w:r>
      <w:bookmarkStart w:id="28003" w:name="_ETM_Q47_504890"/>
      <w:bookmarkEnd w:id="28003"/>
      <w:r>
        <w:rPr>
          <w:rFonts w:hint="cs"/>
          <w:rtl/>
        </w:rPr>
        <w:t xml:space="preserve">אנחנו </w:t>
      </w:r>
      <w:bookmarkStart w:id="28004" w:name="_ETM_Q47_505249"/>
      <w:bookmarkEnd w:id="28004"/>
      <w:r>
        <w:rPr>
          <w:rFonts w:hint="cs"/>
          <w:rtl/>
        </w:rPr>
        <w:t>זה</w:t>
      </w:r>
      <w:bookmarkStart w:id="28005" w:name="_ETM_Q47_505599"/>
      <w:bookmarkEnd w:id="28005"/>
      <w:r>
        <w:rPr>
          <w:rFonts w:hint="cs"/>
          <w:rtl/>
        </w:rPr>
        <w:t xml:space="preserve">. </w:t>
      </w:r>
    </w:p>
    <w:p w:rsidR="00BB59CD" w:rsidRDefault="00BB59CD" w:rsidP="00BB59CD">
      <w:pPr>
        <w:rPr>
          <w:rtl/>
        </w:rPr>
      </w:pPr>
      <w:bookmarkStart w:id="28006" w:name="_ETM_Q47_500000"/>
      <w:bookmarkEnd w:id="28006"/>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8007" w:name="_ETM_Q47_502000"/>
      <w:bookmarkEnd w:id="28007"/>
      <w:r>
        <w:rPr>
          <w:rFonts w:hint="cs"/>
          <w:rtl/>
        </w:rPr>
        <w:t>טוב.</w:t>
      </w:r>
    </w:p>
    <w:p w:rsidR="00BB59CD" w:rsidRDefault="00BB59CD" w:rsidP="00BB59CD">
      <w:pPr>
        <w:rPr>
          <w:rtl/>
        </w:rPr>
      </w:pPr>
      <w:bookmarkStart w:id="28008" w:name="_ETM_Q47_504000"/>
      <w:bookmarkEnd w:id="28008"/>
    </w:p>
    <w:p w:rsidR="00BB59CD" w:rsidRDefault="00BB59CD" w:rsidP="00BB59CD">
      <w:pPr>
        <w:pStyle w:val="-"/>
        <w:keepNext/>
        <w:rPr>
          <w:rtl/>
        </w:rPr>
      </w:pPr>
      <w:bookmarkStart w:id="28009" w:name="ET_speakercontinue_5115_12"/>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8009"/>
    </w:p>
    <w:p w:rsidR="00BB59CD" w:rsidRDefault="00BB59CD" w:rsidP="00337201">
      <w:pPr>
        <w:rPr>
          <w:rtl/>
        </w:rPr>
      </w:pPr>
    </w:p>
    <w:p w:rsidR="00BB59CD" w:rsidRDefault="00BB59CD" w:rsidP="0037589E">
      <w:pPr>
        <w:rPr>
          <w:rtl/>
        </w:rPr>
      </w:pPr>
      <w:bookmarkStart w:id="28010" w:name="_ETM_Q47_505000"/>
      <w:bookmarkEnd w:id="28010"/>
      <w:r>
        <w:rPr>
          <w:rFonts w:hint="cs"/>
          <w:rtl/>
        </w:rPr>
        <w:t xml:space="preserve">אז </w:t>
      </w:r>
      <w:bookmarkStart w:id="28011" w:name="_ETM_Q47_505809"/>
      <w:bookmarkEnd w:id="28011"/>
      <w:r>
        <w:rPr>
          <w:rFonts w:hint="cs"/>
          <w:rtl/>
        </w:rPr>
        <w:t xml:space="preserve">אני </w:t>
      </w:r>
      <w:bookmarkStart w:id="28012" w:name="_ETM_Q47_505899"/>
      <w:bookmarkEnd w:id="28012"/>
      <w:r>
        <w:rPr>
          <w:rFonts w:hint="cs"/>
          <w:rtl/>
        </w:rPr>
        <w:t xml:space="preserve">יכולה </w:t>
      </w:r>
      <w:bookmarkStart w:id="28013" w:name="_ETM_Q47_506079"/>
      <w:bookmarkEnd w:id="28013"/>
      <w:r>
        <w:rPr>
          <w:rFonts w:hint="cs"/>
          <w:rtl/>
        </w:rPr>
        <w:t xml:space="preserve">לבוא </w:t>
      </w:r>
      <w:bookmarkStart w:id="28014" w:name="_ETM_Q47_506259"/>
      <w:bookmarkEnd w:id="28014"/>
      <w:r>
        <w:rPr>
          <w:rFonts w:hint="cs"/>
          <w:rtl/>
        </w:rPr>
        <w:t xml:space="preserve">ולומר </w:t>
      </w:r>
      <w:bookmarkStart w:id="28015" w:name="_ETM_Q47_506619"/>
      <w:bookmarkEnd w:id="28015"/>
      <w:r>
        <w:rPr>
          <w:rFonts w:hint="cs"/>
          <w:rtl/>
        </w:rPr>
        <w:t xml:space="preserve">לך: </w:t>
      </w:r>
      <w:bookmarkStart w:id="28016" w:name="_ETM_Q47_506829"/>
      <w:bookmarkEnd w:id="28016"/>
      <w:r>
        <w:rPr>
          <w:rFonts w:hint="cs"/>
          <w:rtl/>
        </w:rPr>
        <w:t xml:space="preserve">לאורך </w:t>
      </w:r>
      <w:bookmarkStart w:id="28017" w:name="_ETM_Q47_507130"/>
      <w:bookmarkEnd w:id="28017"/>
      <w:r>
        <w:rPr>
          <w:rFonts w:hint="cs"/>
          <w:rtl/>
        </w:rPr>
        <w:t xml:space="preserve">כל </w:t>
      </w:r>
      <w:bookmarkStart w:id="28018" w:name="_ETM_Q47_507369"/>
      <w:bookmarkEnd w:id="28018"/>
      <w:r>
        <w:rPr>
          <w:rFonts w:hint="cs"/>
          <w:rtl/>
        </w:rPr>
        <w:t xml:space="preserve">הדרך </w:t>
      </w:r>
      <w:bookmarkStart w:id="28019" w:name="_ETM_Q47_507699"/>
      <w:bookmarkEnd w:id="28019"/>
      <w:r>
        <w:rPr>
          <w:rFonts w:hint="cs"/>
          <w:rtl/>
        </w:rPr>
        <w:t xml:space="preserve">המחנה </w:t>
      </w:r>
      <w:bookmarkStart w:id="28020" w:name="_ETM_Q47_508119"/>
      <w:bookmarkEnd w:id="28020"/>
      <w:r>
        <w:rPr>
          <w:rFonts w:hint="cs"/>
          <w:rtl/>
        </w:rPr>
        <w:t xml:space="preserve">הממלכתי </w:t>
      </w:r>
      <w:bookmarkStart w:id="28021" w:name="_ETM_Q47_508689"/>
      <w:bookmarkEnd w:id="28021"/>
      <w:r>
        <w:rPr>
          <w:rFonts w:hint="cs"/>
          <w:rtl/>
        </w:rPr>
        <w:t xml:space="preserve">קרא </w:t>
      </w:r>
      <w:bookmarkStart w:id="28022" w:name="_ETM_Q47_508929"/>
      <w:bookmarkEnd w:id="28022"/>
      <w:r>
        <w:rPr>
          <w:rFonts w:hint="cs"/>
          <w:rtl/>
        </w:rPr>
        <w:t xml:space="preserve">להידברות </w:t>
      </w:r>
      <w:bookmarkStart w:id="28023" w:name="_ETM_Q47_509469"/>
      <w:bookmarkEnd w:id="28023"/>
      <w:r>
        <w:rPr>
          <w:rFonts w:hint="cs"/>
          <w:rtl/>
        </w:rPr>
        <w:t xml:space="preserve">וסלל את הדרך </w:t>
      </w:r>
      <w:bookmarkStart w:id="28024" w:name="_ETM_Q47_509890"/>
      <w:bookmarkStart w:id="28025" w:name="_ETM_Q47_510039"/>
      <w:bookmarkStart w:id="28026" w:name="_ETM_Q47_510309"/>
      <w:bookmarkEnd w:id="28024"/>
      <w:bookmarkEnd w:id="28025"/>
      <w:bookmarkEnd w:id="28026"/>
      <w:r>
        <w:rPr>
          <w:rFonts w:hint="cs"/>
          <w:rtl/>
        </w:rPr>
        <w:t>להידברות.</w:t>
      </w:r>
    </w:p>
    <w:p w:rsidR="00BB59CD" w:rsidRDefault="00BB59CD" w:rsidP="00BB59CD">
      <w:pPr>
        <w:rPr>
          <w:rtl/>
        </w:rPr>
      </w:pPr>
      <w:bookmarkStart w:id="28027" w:name="_ETM_Q47_507000"/>
      <w:bookmarkEnd w:id="28027"/>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8028" w:name="_ETM_Q47_511029"/>
      <w:bookmarkEnd w:id="28028"/>
      <w:r>
        <w:rPr>
          <w:rFonts w:hint="cs"/>
          <w:rtl/>
        </w:rPr>
        <w:t xml:space="preserve">אבל </w:t>
      </w:r>
      <w:bookmarkStart w:id="28029" w:name="_ETM_Q47_511210"/>
      <w:bookmarkEnd w:id="28029"/>
      <w:r>
        <w:rPr>
          <w:rFonts w:hint="cs"/>
          <w:rtl/>
        </w:rPr>
        <w:t xml:space="preserve">בני </w:t>
      </w:r>
      <w:bookmarkStart w:id="28030" w:name="_ETM_Q47_511419"/>
      <w:bookmarkEnd w:id="28030"/>
      <w:r>
        <w:rPr>
          <w:rFonts w:hint="cs"/>
          <w:rtl/>
        </w:rPr>
        <w:t xml:space="preserve">גנץ </w:t>
      </w:r>
      <w:bookmarkStart w:id="28031" w:name="_ETM_Q47_511659"/>
      <w:bookmarkEnd w:id="28031"/>
      <w:r>
        <w:rPr>
          <w:rFonts w:hint="cs"/>
          <w:rtl/>
        </w:rPr>
        <w:t xml:space="preserve">ביקש להפסיק את השיחות. </w:t>
      </w:r>
    </w:p>
    <w:p w:rsidR="00BB59CD" w:rsidRDefault="00BB59CD" w:rsidP="00BB59CD">
      <w:pPr>
        <w:rPr>
          <w:rtl/>
        </w:rPr>
      </w:pPr>
      <w:bookmarkStart w:id="28032" w:name="_ETM_Q47_511000"/>
      <w:bookmarkEnd w:id="28032"/>
    </w:p>
    <w:p w:rsidR="00BB59CD" w:rsidRDefault="00BB59CD" w:rsidP="00BB59CD">
      <w:pPr>
        <w:pStyle w:val="-"/>
        <w:keepNext/>
        <w:rPr>
          <w:rtl/>
        </w:rPr>
      </w:pPr>
      <w:bookmarkStart w:id="28033" w:name="ET_speakercontinue_5115_14"/>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8033"/>
    </w:p>
    <w:p w:rsidR="00BB59CD" w:rsidRDefault="00BB59CD" w:rsidP="00337201">
      <w:pPr>
        <w:rPr>
          <w:rtl/>
        </w:rPr>
      </w:pPr>
    </w:p>
    <w:p w:rsidR="00BB59CD" w:rsidRDefault="00BB59CD" w:rsidP="00BB59CD">
      <w:pPr>
        <w:rPr>
          <w:rtl/>
        </w:rPr>
      </w:pPr>
      <w:bookmarkStart w:id="28034" w:name="_ETM_Q47_508000"/>
      <w:bookmarkEnd w:id="28034"/>
      <w:r>
        <w:rPr>
          <w:rFonts w:hint="cs"/>
          <w:rtl/>
        </w:rPr>
        <w:t xml:space="preserve">זה הזמן לעצור. וזה </w:t>
      </w:r>
      <w:bookmarkStart w:id="28035" w:name="_ETM_Q47_512120"/>
      <w:bookmarkStart w:id="28036" w:name="_ETM_Q47_512270"/>
      <w:bookmarkStart w:id="28037" w:name="_ETM_Q47_513230"/>
      <w:bookmarkStart w:id="28038" w:name="_ETM_Q47_513550"/>
      <w:bookmarkEnd w:id="28035"/>
      <w:bookmarkEnd w:id="28036"/>
      <w:bookmarkEnd w:id="28037"/>
      <w:bookmarkEnd w:id="28038"/>
      <w:r>
        <w:rPr>
          <w:rFonts w:hint="cs"/>
          <w:rtl/>
        </w:rPr>
        <w:t xml:space="preserve">לא </w:t>
      </w:r>
      <w:bookmarkStart w:id="28039" w:name="_ETM_Q47_513700"/>
      <w:bookmarkEnd w:id="28039"/>
      <w:r>
        <w:rPr>
          <w:rFonts w:hint="cs"/>
          <w:rtl/>
        </w:rPr>
        <w:t xml:space="preserve">משנה, </w:t>
      </w:r>
      <w:bookmarkStart w:id="28040" w:name="_ETM_Q47_514120"/>
      <w:bookmarkEnd w:id="28040"/>
      <w:r>
        <w:rPr>
          <w:rFonts w:hint="cs"/>
          <w:rtl/>
        </w:rPr>
        <w:t xml:space="preserve">התירוצים </w:t>
      </w:r>
      <w:bookmarkStart w:id="28041" w:name="_ETM_Q47_514719"/>
      <w:bookmarkEnd w:id="28041"/>
      <w:r>
        <w:rPr>
          <w:rFonts w:hint="cs"/>
          <w:rtl/>
        </w:rPr>
        <w:t>והטיעונים.</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8042" w:name="_ETM_Q47_512000"/>
      <w:bookmarkEnd w:id="28042"/>
      <w:r>
        <w:rPr>
          <w:rFonts w:hint="cs"/>
          <w:rtl/>
        </w:rPr>
        <w:t xml:space="preserve">אבל היושב-ראש שלך. </w:t>
      </w:r>
    </w:p>
    <w:p w:rsidR="00BB59CD" w:rsidRDefault="00BB59CD" w:rsidP="00BB59CD">
      <w:pPr>
        <w:rPr>
          <w:rtl/>
        </w:rPr>
      </w:pPr>
    </w:p>
    <w:p w:rsidR="00BB59CD" w:rsidRDefault="00BB59CD" w:rsidP="00BB59CD">
      <w:pPr>
        <w:pStyle w:val="-"/>
        <w:keepNext/>
        <w:rPr>
          <w:rtl/>
        </w:rPr>
      </w:pPr>
      <w:bookmarkStart w:id="28043" w:name="ET_speakercontinue_5115_16"/>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8043"/>
    </w:p>
    <w:p w:rsidR="00BB59CD" w:rsidRDefault="00BB59CD" w:rsidP="00337201">
      <w:pPr>
        <w:rPr>
          <w:rtl/>
        </w:rPr>
      </w:pPr>
    </w:p>
    <w:p w:rsidR="00BB59CD" w:rsidRDefault="00BB59CD" w:rsidP="0037589E">
      <w:pPr>
        <w:rPr>
          <w:rtl/>
        </w:rPr>
      </w:pPr>
      <w:bookmarkStart w:id="28044" w:name="_ETM_Q47_515000"/>
      <w:bookmarkStart w:id="28045" w:name="_ETM_Q47_515190"/>
      <w:bookmarkStart w:id="28046" w:name="_ETM_Q47_516890"/>
      <w:bookmarkStart w:id="28047" w:name="_ETM_Q47_517190"/>
      <w:bookmarkEnd w:id="28044"/>
      <w:bookmarkEnd w:id="28045"/>
      <w:bookmarkEnd w:id="28046"/>
      <w:bookmarkEnd w:id="28047"/>
      <w:r>
        <w:rPr>
          <w:rFonts w:hint="cs"/>
          <w:rtl/>
        </w:rPr>
        <w:t xml:space="preserve">אני </w:t>
      </w:r>
      <w:bookmarkStart w:id="28048" w:name="_ETM_Q47_517370"/>
      <w:bookmarkEnd w:id="28048"/>
      <w:r>
        <w:rPr>
          <w:rFonts w:hint="cs"/>
          <w:rtl/>
        </w:rPr>
        <w:t xml:space="preserve">מאוד </w:t>
      </w:r>
      <w:bookmarkStart w:id="28049" w:name="_ETM_Q47_517730"/>
      <w:bookmarkEnd w:id="28049"/>
      <w:r>
        <w:rPr>
          <w:rFonts w:hint="cs"/>
          <w:rtl/>
        </w:rPr>
        <w:t xml:space="preserve">מקווה, </w:t>
      </w:r>
      <w:bookmarkStart w:id="28050" w:name="_ETM_Q47_518949"/>
      <w:bookmarkEnd w:id="28050"/>
      <w:r>
        <w:rPr>
          <w:rFonts w:hint="cs"/>
          <w:rtl/>
        </w:rPr>
        <w:t xml:space="preserve">אדוני </w:t>
      </w:r>
      <w:bookmarkStart w:id="28051" w:name="_ETM_Q47_519339"/>
      <w:bookmarkEnd w:id="28051"/>
      <w:r>
        <w:rPr>
          <w:rFonts w:hint="cs"/>
          <w:rtl/>
        </w:rPr>
        <w:t xml:space="preserve">היושב-ראש – </w:t>
      </w:r>
      <w:bookmarkStart w:id="28052" w:name="_ETM_Q47_519940"/>
      <w:bookmarkEnd w:id="28052"/>
      <w:r>
        <w:rPr>
          <w:rFonts w:hint="cs"/>
          <w:rtl/>
        </w:rPr>
        <w:t>כן</w:t>
      </w:r>
      <w:bookmarkStart w:id="28053" w:name="_ETM_Q47_520179"/>
      <w:bookmarkEnd w:id="28053"/>
      <w:r w:rsidR="0037589E">
        <w:rPr>
          <w:rFonts w:hint="cs"/>
          <w:rtl/>
        </w:rPr>
        <w:t>,</w:t>
      </w:r>
      <w:r>
        <w:rPr>
          <w:rFonts w:hint="cs"/>
          <w:rtl/>
        </w:rPr>
        <w:t xml:space="preserve"> </w:t>
      </w:r>
      <w:bookmarkStart w:id="28054" w:name="_ETM_Q47_520600"/>
      <w:bookmarkStart w:id="28055" w:name="_ETM_Q47_516000"/>
      <w:bookmarkEnd w:id="28054"/>
      <w:bookmarkEnd w:id="28055"/>
      <w:r>
        <w:rPr>
          <w:rFonts w:hint="cs"/>
          <w:rtl/>
        </w:rPr>
        <w:t xml:space="preserve">רצית </w:t>
      </w:r>
      <w:bookmarkStart w:id="28056" w:name="_ETM_Q47_520960"/>
      <w:bookmarkEnd w:id="28056"/>
      <w:r>
        <w:rPr>
          <w:rFonts w:hint="cs"/>
          <w:rtl/>
        </w:rPr>
        <w:t xml:space="preserve">לומר </w:t>
      </w:r>
      <w:bookmarkStart w:id="28057" w:name="_ETM_Q47_521289"/>
      <w:bookmarkEnd w:id="28057"/>
      <w:r>
        <w:rPr>
          <w:rFonts w:hint="cs"/>
          <w:rtl/>
        </w:rPr>
        <w:t>משפט?</w:t>
      </w:r>
    </w:p>
    <w:p w:rsidR="00BB59CD" w:rsidRDefault="00BB59CD" w:rsidP="00BB59CD">
      <w:pPr>
        <w:rPr>
          <w:rtl/>
        </w:rPr>
      </w:pPr>
      <w:bookmarkStart w:id="28058" w:name="_ETM_Q47_517000"/>
      <w:bookmarkEnd w:id="28058"/>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8059" w:name="_ETM_Q47_518000"/>
      <w:bookmarkEnd w:id="28059"/>
      <w:r>
        <w:rPr>
          <w:rFonts w:hint="cs"/>
          <w:rtl/>
        </w:rPr>
        <w:t>לא, לא. בסדר.</w:t>
      </w:r>
      <w:bookmarkStart w:id="28060" w:name="_ETM_Q47_521000"/>
      <w:bookmarkEnd w:id="28060"/>
      <w:r>
        <w:rPr>
          <w:rFonts w:hint="cs"/>
          <w:rtl/>
        </w:rPr>
        <w:t xml:space="preserve"> </w:t>
      </w:r>
    </w:p>
    <w:p w:rsidR="00BB59CD" w:rsidRDefault="00BB59CD" w:rsidP="00BB59CD">
      <w:pPr>
        <w:rPr>
          <w:rtl/>
        </w:rPr>
      </w:pPr>
    </w:p>
    <w:p w:rsidR="00BB59CD" w:rsidRDefault="00BB59CD" w:rsidP="00BB59CD">
      <w:pPr>
        <w:pStyle w:val="-"/>
        <w:keepNext/>
        <w:rPr>
          <w:rtl/>
        </w:rPr>
      </w:pPr>
      <w:bookmarkStart w:id="28061" w:name="ET_speakercontinue_5115_20"/>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8061"/>
    </w:p>
    <w:p w:rsidR="00BB59CD" w:rsidRDefault="00BB59CD" w:rsidP="00337201">
      <w:pPr>
        <w:rPr>
          <w:rtl/>
        </w:rPr>
      </w:pPr>
    </w:p>
    <w:p w:rsidR="00BB59CD" w:rsidRDefault="00BB59CD" w:rsidP="0037589E">
      <w:pPr>
        <w:rPr>
          <w:rtl/>
        </w:rPr>
      </w:pPr>
      <w:bookmarkStart w:id="28062" w:name="_ETM_Q47_524000"/>
      <w:bookmarkEnd w:id="28062"/>
      <w:r>
        <w:rPr>
          <w:rFonts w:hint="cs"/>
          <w:rtl/>
        </w:rPr>
        <w:t>היושב-ראש ש</w:t>
      </w:r>
      <w:r w:rsidR="0037589E">
        <w:rPr>
          <w:rFonts w:hint="cs"/>
          <w:rtl/>
        </w:rPr>
        <w:t>ל המפלגה שלי</w:t>
      </w:r>
      <w:bookmarkStart w:id="28063" w:name="_ETM_Q47_522000"/>
      <w:bookmarkEnd w:id="28063"/>
      <w:r w:rsidR="0037589E">
        <w:rPr>
          <w:rFonts w:hint="cs"/>
          <w:rtl/>
        </w:rPr>
        <w:t xml:space="preserve"> - - - </w:t>
      </w:r>
    </w:p>
    <w:p w:rsidR="0037589E" w:rsidRDefault="0037589E" w:rsidP="0037589E">
      <w:pPr>
        <w:rPr>
          <w:b/>
          <w:bCs/>
          <w:u w:val="single"/>
          <w:rtl/>
          <w:lang w:eastAsia="he-IL"/>
        </w:rPr>
      </w:pPr>
    </w:p>
    <w:p w:rsidR="00BB59CD" w:rsidRDefault="00BB59CD" w:rsidP="00BB59CD">
      <w:pPr>
        <w:pStyle w:val="af9"/>
        <w:keepNext/>
        <w:rPr>
          <w:rtl/>
        </w:rPr>
      </w:pPr>
      <w:bookmarkStart w:id="28064" w:name="ET_yor_6488_3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8064"/>
    </w:p>
    <w:p w:rsidR="00BB59CD" w:rsidRDefault="00BB59CD" w:rsidP="00337201">
      <w:pPr>
        <w:rPr>
          <w:rtl/>
          <w:lang w:eastAsia="he-IL"/>
        </w:rPr>
      </w:pPr>
    </w:p>
    <w:p w:rsidR="00BB59CD" w:rsidRDefault="00BB59CD" w:rsidP="00BB59CD">
      <w:pPr>
        <w:rPr>
          <w:rtl/>
        </w:rPr>
      </w:pPr>
      <w:bookmarkStart w:id="28065" w:name="_ETM_Q47_532358"/>
      <w:bookmarkEnd w:id="28065"/>
      <w:r>
        <w:rPr>
          <w:rFonts w:hint="cs"/>
          <w:rtl/>
        </w:rPr>
        <w:t xml:space="preserve">הוא ביקש גם – הוא עצר את השיחות. </w:t>
      </w:r>
      <w:bookmarkStart w:id="28066" w:name="_ETM_Q47_525000"/>
      <w:bookmarkEnd w:id="28066"/>
    </w:p>
    <w:p w:rsidR="00BB59CD" w:rsidRDefault="00BB59CD" w:rsidP="00BB59CD">
      <w:pPr>
        <w:rPr>
          <w:rtl/>
        </w:rPr>
      </w:pPr>
    </w:p>
    <w:p w:rsidR="00BB59CD" w:rsidRDefault="00BB59CD" w:rsidP="00BB59CD">
      <w:pPr>
        <w:pStyle w:val="-"/>
        <w:keepNext/>
        <w:rPr>
          <w:rtl/>
        </w:rPr>
      </w:pPr>
      <w:bookmarkStart w:id="28067" w:name="ET_speakercontinue_5115_22"/>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8067"/>
    </w:p>
    <w:p w:rsidR="00BB59CD" w:rsidRDefault="00BB59CD" w:rsidP="00337201">
      <w:pPr>
        <w:rPr>
          <w:rtl/>
        </w:rPr>
      </w:pPr>
    </w:p>
    <w:p w:rsidR="00BB59CD" w:rsidRDefault="00BB59CD" w:rsidP="0037589E">
      <w:pPr>
        <w:rPr>
          <w:rtl/>
        </w:rPr>
      </w:pPr>
      <w:bookmarkStart w:id="28068" w:name="_ETM_Q47_523000"/>
      <w:bookmarkStart w:id="28069" w:name="_ETM_Q47_525429"/>
      <w:bookmarkEnd w:id="28068"/>
      <w:bookmarkEnd w:id="28069"/>
      <w:r>
        <w:rPr>
          <w:rFonts w:hint="cs"/>
          <w:rtl/>
        </w:rPr>
        <w:t xml:space="preserve">אתה </w:t>
      </w:r>
      <w:bookmarkStart w:id="28070" w:name="_ETM_Q47_525640"/>
      <w:bookmarkEnd w:id="28070"/>
      <w:r>
        <w:rPr>
          <w:rFonts w:hint="cs"/>
          <w:rtl/>
        </w:rPr>
        <w:t xml:space="preserve">תסכים </w:t>
      </w:r>
      <w:bookmarkStart w:id="28071" w:name="_ETM_Q47_526029"/>
      <w:bookmarkEnd w:id="28071"/>
      <w:r>
        <w:rPr>
          <w:rFonts w:hint="cs"/>
          <w:rtl/>
        </w:rPr>
        <w:t xml:space="preserve">איתי </w:t>
      </w:r>
      <w:bookmarkStart w:id="28072" w:name="_ETM_Q47_526239"/>
      <w:bookmarkEnd w:id="28072"/>
      <w:r>
        <w:rPr>
          <w:rFonts w:hint="cs"/>
          <w:rtl/>
        </w:rPr>
        <w:t>שה</w:t>
      </w:r>
      <w:bookmarkStart w:id="28073" w:name="_ETM_Q47_526839"/>
      <w:bookmarkEnd w:id="28073"/>
      <w:r>
        <w:rPr>
          <w:rFonts w:hint="cs"/>
          <w:rtl/>
        </w:rPr>
        <w:t xml:space="preserve">יושב-ראש </w:t>
      </w:r>
      <w:bookmarkStart w:id="28074" w:name="_ETM_Q47_528289"/>
      <w:bookmarkEnd w:id="28074"/>
      <w:r>
        <w:rPr>
          <w:rFonts w:hint="cs"/>
          <w:rtl/>
        </w:rPr>
        <w:t xml:space="preserve">של </w:t>
      </w:r>
      <w:bookmarkStart w:id="28075" w:name="_ETM_Q47_528469"/>
      <w:bookmarkEnd w:id="28075"/>
      <w:r>
        <w:rPr>
          <w:rFonts w:hint="cs"/>
          <w:rtl/>
        </w:rPr>
        <w:t xml:space="preserve">המפלגה </w:t>
      </w:r>
      <w:bookmarkStart w:id="28076" w:name="_ETM_Q47_529010"/>
      <w:bookmarkEnd w:id="28076"/>
      <w:r>
        <w:rPr>
          <w:rFonts w:hint="cs"/>
          <w:rtl/>
        </w:rPr>
        <w:t xml:space="preserve">שלי </w:t>
      </w:r>
      <w:bookmarkStart w:id="28077" w:name="_ETM_Q47_529699"/>
      <w:bookmarkEnd w:id="28077"/>
      <w:r>
        <w:rPr>
          <w:rFonts w:hint="cs"/>
          <w:rtl/>
        </w:rPr>
        <w:t xml:space="preserve">בני </w:t>
      </w:r>
      <w:bookmarkStart w:id="28078" w:name="_ETM_Q47_530029"/>
      <w:bookmarkEnd w:id="28078"/>
      <w:r>
        <w:rPr>
          <w:rFonts w:hint="cs"/>
          <w:rtl/>
        </w:rPr>
        <w:t>גנץ עושה</w:t>
      </w:r>
      <w:bookmarkStart w:id="28079" w:name="_ETM_Q47_530749"/>
      <w:bookmarkStart w:id="28080" w:name="_ETM_Q47_531289"/>
      <w:bookmarkEnd w:id="28079"/>
      <w:bookmarkEnd w:id="28080"/>
      <w:r>
        <w:rPr>
          <w:rFonts w:hint="cs"/>
          <w:rtl/>
        </w:rPr>
        <w:t xml:space="preserve"> כל </w:t>
      </w:r>
      <w:bookmarkStart w:id="28081" w:name="_ETM_Q47_531800"/>
      <w:bookmarkEnd w:id="28081"/>
      <w:r>
        <w:rPr>
          <w:rFonts w:hint="cs"/>
          <w:rtl/>
        </w:rPr>
        <w:t xml:space="preserve">שביכולתו, </w:t>
      </w:r>
      <w:r w:rsidR="0037589E">
        <w:rPr>
          <w:rFonts w:hint="cs"/>
          <w:rtl/>
        </w:rPr>
        <w:t>ו</w:t>
      </w:r>
      <w:r>
        <w:rPr>
          <w:rFonts w:hint="cs"/>
          <w:rtl/>
        </w:rPr>
        <w:t xml:space="preserve">הוא </w:t>
      </w:r>
      <w:bookmarkStart w:id="28082" w:name="_ETM_Q47_532460"/>
      <w:bookmarkEnd w:id="28082"/>
      <w:r>
        <w:rPr>
          <w:rFonts w:hint="cs"/>
          <w:rtl/>
        </w:rPr>
        <w:t xml:space="preserve">אולי </w:t>
      </w:r>
      <w:bookmarkStart w:id="28083" w:name="_ETM_Q47_532670"/>
      <w:bookmarkEnd w:id="28083"/>
      <w:r>
        <w:rPr>
          <w:rFonts w:hint="cs"/>
          <w:rtl/>
        </w:rPr>
        <w:t xml:space="preserve">הקול </w:t>
      </w:r>
      <w:bookmarkStart w:id="28084" w:name="_ETM_Q47_532879"/>
      <w:bookmarkEnd w:id="28084"/>
      <w:r>
        <w:rPr>
          <w:rFonts w:hint="cs"/>
          <w:rtl/>
        </w:rPr>
        <w:t xml:space="preserve">השפוי </w:t>
      </w:r>
      <w:bookmarkStart w:id="28085" w:name="_ETM_Q47_533269"/>
      <w:bookmarkEnd w:id="28085"/>
      <w:r>
        <w:rPr>
          <w:rFonts w:hint="cs"/>
          <w:rtl/>
        </w:rPr>
        <w:t xml:space="preserve">ביותר </w:t>
      </w:r>
      <w:bookmarkStart w:id="28086" w:name="_ETM_Q47_534019"/>
      <w:bookmarkEnd w:id="28086"/>
      <w:r>
        <w:rPr>
          <w:rFonts w:hint="cs"/>
          <w:rtl/>
        </w:rPr>
        <w:t xml:space="preserve">שמבקש </w:t>
      </w:r>
      <w:bookmarkStart w:id="28087" w:name="_ETM_Q47_534620"/>
      <w:bookmarkEnd w:id="28087"/>
      <w:r>
        <w:rPr>
          <w:rFonts w:hint="cs"/>
          <w:rtl/>
        </w:rPr>
        <w:t xml:space="preserve">הידברות? </w:t>
      </w:r>
    </w:p>
    <w:p w:rsidR="00BB59CD" w:rsidRDefault="00BB59CD" w:rsidP="00BB59CD">
      <w:pPr>
        <w:rPr>
          <w:rtl/>
        </w:rPr>
      </w:pPr>
      <w:bookmarkStart w:id="28088" w:name="_ETM_Q47_535000"/>
      <w:bookmarkEnd w:id="28088"/>
    </w:p>
    <w:p w:rsidR="00BB59CD" w:rsidRDefault="00BB59CD" w:rsidP="00BB59CD">
      <w:pPr>
        <w:pStyle w:val="af8"/>
        <w:keepNext/>
        <w:rPr>
          <w:rtl/>
        </w:rPr>
      </w:pPr>
      <w:bookmarkStart w:id="28089" w:name="ET_interruption_6461_23"/>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28089"/>
    </w:p>
    <w:p w:rsidR="00BB59CD" w:rsidRDefault="00BB59CD" w:rsidP="00337201">
      <w:pPr>
        <w:rPr>
          <w:rtl/>
        </w:rPr>
      </w:pPr>
    </w:p>
    <w:p w:rsidR="00BB59CD" w:rsidRDefault="00BB59CD" w:rsidP="00BB59CD">
      <w:pPr>
        <w:rPr>
          <w:rtl/>
        </w:rPr>
      </w:pPr>
      <w:r>
        <w:rPr>
          <w:rFonts w:hint="cs"/>
          <w:rtl/>
        </w:rPr>
        <w:t>בגלל זה הוא פוצץ את השיחות בבית הנשיא.</w:t>
      </w:r>
    </w:p>
    <w:p w:rsidR="00BB59CD" w:rsidRDefault="00BB59CD" w:rsidP="00BB59CD">
      <w:pPr>
        <w:rPr>
          <w:rtl/>
        </w:rPr>
      </w:pPr>
      <w:bookmarkStart w:id="28090" w:name="_ETM_Q47_531000"/>
      <w:bookmarkEnd w:id="28090"/>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8091" w:name="_ETM_Q47_534000"/>
      <w:bookmarkEnd w:id="28091"/>
      <w:r>
        <w:rPr>
          <w:rFonts w:hint="cs"/>
          <w:rtl/>
        </w:rPr>
        <w:t>אולי כלפי חוץ.</w:t>
      </w:r>
    </w:p>
    <w:p w:rsidR="00BB59CD" w:rsidRDefault="00BB59CD" w:rsidP="00BB59CD">
      <w:pPr>
        <w:rPr>
          <w:rtl/>
        </w:rPr>
      </w:pPr>
      <w:bookmarkStart w:id="28092" w:name="_ETM_Q47_532000"/>
      <w:bookmarkEnd w:id="28092"/>
    </w:p>
    <w:p w:rsidR="00BB59CD" w:rsidRDefault="00BB59CD" w:rsidP="00BB59CD">
      <w:pPr>
        <w:pStyle w:val="-"/>
        <w:keepNext/>
        <w:rPr>
          <w:rtl/>
        </w:rPr>
      </w:pPr>
      <w:bookmarkStart w:id="28093" w:name="ET_speakercontinue_5115_25"/>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8093"/>
    </w:p>
    <w:p w:rsidR="00BB59CD" w:rsidRDefault="00BB59CD" w:rsidP="00337201">
      <w:pPr>
        <w:rPr>
          <w:rtl/>
        </w:rPr>
      </w:pPr>
    </w:p>
    <w:p w:rsidR="00BB59CD" w:rsidRDefault="00BB59CD" w:rsidP="0037589E">
      <w:pPr>
        <w:rPr>
          <w:rtl/>
        </w:rPr>
      </w:pPr>
      <w:bookmarkStart w:id="28094" w:name="_ETM_Q47_533000"/>
      <w:bookmarkStart w:id="28095" w:name="_ETM_Q47_535370"/>
      <w:bookmarkEnd w:id="28094"/>
      <w:bookmarkEnd w:id="28095"/>
      <w:r>
        <w:rPr>
          <w:rFonts w:hint="cs"/>
          <w:rtl/>
        </w:rPr>
        <w:t xml:space="preserve">כלפי </w:t>
      </w:r>
      <w:bookmarkStart w:id="28096" w:name="_ETM_Q47_535670"/>
      <w:bookmarkEnd w:id="28096"/>
      <w:r>
        <w:rPr>
          <w:rFonts w:hint="cs"/>
          <w:rtl/>
        </w:rPr>
        <w:t>חוץ?</w:t>
      </w:r>
      <w:bookmarkStart w:id="28097" w:name="_ETM_Q47_536309"/>
      <w:bookmarkStart w:id="28098" w:name="_ETM_Q47_536670"/>
      <w:bookmarkEnd w:id="28097"/>
      <w:bookmarkEnd w:id="28098"/>
      <w:r>
        <w:rPr>
          <w:rFonts w:hint="cs"/>
          <w:rtl/>
        </w:rPr>
        <w:t xml:space="preserve"> </w:t>
      </w:r>
      <w:bookmarkStart w:id="28099" w:name="_ETM_Q47_537510"/>
      <w:bookmarkEnd w:id="28099"/>
      <w:r>
        <w:rPr>
          <w:rFonts w:hint="cs"/>
          <w:rtl/>
        </w:rPr>
        <w:t xml:space="preserve">אני </w:t>
      </w:r>
      <w:bookmarkStart w:id="28100" w:name="_ETM_Q47_537779"/>
      <w:bookmarkEnd w:id="28100"/>
      <w:r>
        <w:rPr>
          <w:rFonts w:hint="cs"/>
          <w:rtl/>
        </w:rPr>
        <w:t xml:space="preserve">אומר </w:t>
      </w:r>
      <w:bookmarkStart w:id="28101" w:name="_ETM_Q47_538110"/>
      <w:bookmarkEnd w:id="28101"/>
      <w:r>
        <w:rPr>
          <w:rFonts w:hint="cs"/>
          <w:rtl/>
        </w:rPr>
        <w:t xml:space="preserve">לך </w:t>
      </w:r>
      <w:bookmarkStart w:id="28102" w:name="_ETM_Q47_538829"/>
      <w:bookmarkEnd w:id="28102"/>
      <w:r>
        <w:rPr>
          <w:rFonts w:hint="cs"/>
          <w:rtl/>
        </w:rPr>
        <w:t xml:space="preserve">שכולכם </w:t>
      </w:r>
      <w:bookmarkStart w:id="28103" w:name="_ETM_Q47_539519"/>
      <w:bookmarkEnd w:id="28103"/>
      <w:r>
        <w:rPr>
          <w:rFonts w:hint="cs"/>
          <w:rtl/>
        </w:rPr>
        <w:t>יודעים</w:t>
      </w:r>
      <w:bookmarkStart w:id="28104" w:name="_ETM_Q47_540359"/>
      <w:bookmarkEnd w:id="28104"/>
      <w:r w:rsidR="0037589E">
        <w:rPr>
          <w:rFonts w:hint="cs"/>
          <w:rtl/>
        </w:rPr>
        <w:t>.</w:t>
      </w:r>
      <w:r>
        <w:rPr>
          <w:rFonts w:hint="cs"/>
          <w:rtl/>
        </w:rPr>
        <w:t xml:space="preserve"> אולי </w:t>
      </w:r>
      <w:bookmarkStart w:id="28105" w:name="_ETM_Q47_540600"/>
      <w:bookmarkEnd w:id="28105"/>
      <w:r>
        <w:rPr>
          <w:rFonts w:hint="cs"/>
          <w:rtl/>
        </w:rPr>
        <w:t xml:space="preserve">פה, </w:t>
      </w:r>
      <w:bookmarkStart w:id="28106" w:name="_ETM_Q47_540960"/>
      <w:bookmarkEnd w:id="28106"/>
      <w:r>
        <w:rPr>
          <w:rFonts w:hint="cs"/>
          <w:rtl/>
        </w:rPr>
        <w:t xml:space="preserve">מול </w:t>
      </w:r>
      <w:bookmarkStart w:id="28107" w:name="_ETM_Q47_541170"/>
      <w:bookmarkEnd w:id="28107"/>
      <w:r>
        <w:rPr>
          <w:rFonts w:hint="cs"/>
          <w:rtl/>
        </w:rPr>
        <w:t>המצלמות</w:t>
      </w:r>
      <w:bookmarkStart w:id="28108" w:name="_ETM_Q47_541739"/>
      <w:bookmarkEnd w:id="28108"/>
      <w:r>
        <w:rPr>
          <w:rFonts w:hint="cs"/>
          <w:rtl/>
        </w:rPr>
        <w:t>,</w:t>
      </w:r>
      <w:bookmarkStart w:id="28109" w:name="_ETM_Q47_537000"/>
      <w:bookmarkEnd w:id="28109"/>
      <w:r>
        <w:rPr>
          <w:rFonts w:hint="cs"/>
          <w:rtl/>
        </w:rPr>
        <w:t xml:space="preserve"> אתם </w:t>
      </w:r>
      <w:bookmarkStart w:id="28110" w:name="_ETM_Q47_541920"/>
      <w:bookmarkEnd w:id="28110"/>
      <w:r>
        <w:rPr>
          <w:rFonts w:hint="cs"/>
          <w:rtl/>
        </w:rPr>
        <w:t xml:space="preserve">תגידו: </w:t>
      </w:r>
      <w:bookmarkStart w:id="28111" w:name="_ETM_Q47_542249"/>
      <w:bookmarkEnd w:id="28111"/>
      <w:r>
        <w:rPr>
          <w:rFonts w:hint="cs"/>
          <w:rtl/>
        </w:rPr>
        <w:t xml:space="preserve">כלפי </w:t>
      </w:r>
      <w:bookmarkStart w:id="28112" w:name="_ETM_Q47_542579"/>
      <w:bookmarkEnd w:id="28112"/>
      <w:r>
        <w:rPr>
          <w:rFonts w:hint="cs"/>
          <w:rtl/>
        </w:rPr>
        <w:t xml:space="preserve">חוץ – </w:t>
      </w:r>
      <w:bookmarkStart w:id="28113" w:name="_ETM_Q47_542820"/>
      <w:bookmarkEnd w:id="28113"/>
      <w:r>
        <w:rPr>
          <w:rFonts w:hint="cs"/>
          <w:rtl/>
        </w:rPr>
        <w:t xml:space="preserve">אני </w:t>
      </w:r>
      <w:bookmarkStart w:id="28114" w:name="_ETM_Q47_543000"/>
      <w:bookmarkEnd w:id="28114"/>
      <w:r>
        <w:rPr>
          <w:rFonts w:hint="cs"/>
          <w:rtl/>
        </w:rPr>
        <w:t xml:space="preserve">אומרת </w:t>
      </w:r>
      <w:bookmarkStart w:id="28115" w:name="_ETM_Q47_543390"/>
      <w:bookmarkEnd w:id="28115"/>
      <w:r>
        <w:rPr>
          <w:rFonts w:hint="cs"/>
          <w:rtl/>
        </w:rPr>
        <w:t xml:space="preserve">לכם, </w:t>
      </w:r>
      <w:bookmarkStart w:id="28116" w:name="_ETM_Q47_544159"/>
      <w:bookmarkEnd w:id="28116"/>
      <w:r>
        <w:rPr>
          <w:rFonts w:hint="cs"/>
          <w:rtl/>
        </w:rPr>
        <w:t xml:space="preserve">אני </w:t>
      </w:r>
      <w:bookmarkStart w:id="28117" w:name="_ETM_Q47_544430"/>
      <w:bookmarkEnd w:id="28117"/>
      <w:r>
        <w:rPr>
          <w:rFonts w:hint="cs"/>
          <w:rtl/>
        </w:rPr>
        <w:t xml:space="preserve">גאה בקול </w:t>
      </w:r>
      <w:bookmarkStart w:id="28118" w:name="_ETM_Q47_544790"/>
      <w:bookmarkStart w:id="28119" w:name="_ETM_Q47_545150"/>
      <w:bookmarkEnd w:id="28118"/>
      <w:bookmarkEnd w:id="28119"/>
      <w:r>
        <w:rPr>
          <w:rFonts w:hint="cs"/>
          <w:rtl/>
        </w:rPr>
        <w:t xml:space="preserve">שאנחנו </w:t>
      </w:r>
      <w:bookmarkStart w:id="28120" w:name="_ETM_Q47_545480"/>
      <w:bookmarkStart w:id="28121" w:name="_ETM_Q47_545870"/>
      <w:bookmarkEnd w:id="28120"/>
      <w:bookmarkEnd w:id="28121"/>
      <w:r>
        <w:rPr>
          <w:rFonts w:hint="cs"/>
          <w:rtl/>
        </w:rPr>
        <w:t xml:space="preserve">במחנה </w:t>
      </w:r>
      <w:bookmarkStart w:id="28122" w:name="_ETM_Q47_546320"/>
      <w:bookmarkEnd w:id="28122"/>
      <w:r>
        <w:rPr>
          <w:rFonts w:hint="cs"/>
          <w:rtl/>
        </w:rPr>
        <w:t xml:space="preserve">הממלכתי משמיעים; </w:t>
      </w:r>
      <w:bookmarkStart w:id="28123" w:name="_ETM_Q47_547580"/>
      <w:bookmarkEnd w:id="28123"/>
      <w:r>
        <w:rPr>
          <w:rFonts w:hint="cs"/>
          <w:rtl/>
        </w:rPr>
        <w:t xml:space="preserve">זה קול, שגם </w:t>
      </w:r>
      <w:bookmarkStart w:id="28124" w:name="_ETM_Q47_548420"/>
      <w:bookmarkEnd w:id="28124"/>
      <w:r>
        <w:rPr>
          <w:rFonts w:hint="cs"/>
          <w:rtl/>
        </w:rPr>
        <w:t xml:space="preserve">אם </w:t>
      </w:r>
      <w:bookmarkStart w:id="28125" w:name="_ETM_Q47_548540"/>
      <w:bookmarkEnd w:id="28125"/>
      <w:r>
        <w:rPr>
          <w:rFonts w:hint="cs"/>
          <w:rtl/>
        </w:rPr>
        <w:t xml:space="preserve">אנחנו </w:t>
      </w:r>
      <w:bookmarkStart w:id="28126" w:name="_ETM_Q47_548779"/>
      <w:bookmarkEnd w:id="28126"/>
      <w:r>
        <w:rPr>
          <w:rFonts w:hint="cs"/>
          <w:rtl/>
        </w:rPr>
        <w:t xml:space="preserve">לפעמים </w:t>
      </w:r>
      <w:bookmarkStart w:id="28127" w:name="_ETM_Q47_549140"/>
      <w:bookmarkEnd w:id="28127"/>
      <w:r>
        <w:rPr>
          <w:rFonts w:hint="cs"/>
          <w:rtl/>
        </w:rPr>
        <w:t xml:space="preserve">משלמים </w:t>
      </w:r>
      <w:bookmarkStart w:id="28128" w:name="_ETM_Q47_549500"/>
      <w:bookmarkEnd w:id="28128"/>
      <w:r>
        <w:rPr>
          <w:rFonts w:hint="cs"/>
          <w:rtl/>
        </w:rPr>
        <w:t xml:space="preserve">עליו </w:t>
      </w:r>
      <w:bookmarkStart w:id="28129" w:name="_ETM_Q47_549710"/>
      <w:bookmarkEnd w:id="28129"/>
      <w:r>
        <w:rPr>
          <w:rFonts w:hint="cs"/>
          <w:rtl/>
        </w:rPr>
        <w:t xml:space="preserve">מחיר, </w:t>
      </w:r>
      <w:bookmarkStart w:id="28130" w:name="_ETM_Q47_550339"/>
      <w:bookmarkStart w:id="28131" w:name="_ETM_Q47_550700"/>
      <w:bookmarkEnd w:id="28130"/>
      <w:bookmarkEnd w:id="28131"/>
      <w:r w:rsidR="0037589E">
        <w:rPr>
          <w:rFonts w:hint="cs"/>
          <w:rtl/>
        </w:rPr>
        <w:t>א</w:t>
      </w:r>
      <w:r>
        <w:rPr>
          <w:rFonts w:hint="cs"/>
          <w:rtl/>
        </w:rPr>
        <w:t xml:space="preserve">ומר: </w:t>
      </w:r>
      <w:bookmarkStart w:id="28132" w:name="_ETM_Q47_551630"/>
      <w:bookmarkEnd w:id="28132"/>
      <w:r>
        <w:rPr>
          <w:rFonts w:hint="cs"/>
          <w:rtl/>
        </w:rPr>
        <w:t xml:space="preserve">אין </w:t>
      </w:r>
      <w:bookmarkStart w:id="28133" w:name="_ETM_Q47_551869"/>
      <w:bookmarkEnd w:id="28133"/>
      <w:r>
        <w:rPr>
          <w:rFonts w:hint="cs"/>
          <w:rtl/>
        </w:rPr>
        <w:t xml:space="preserve">דבר </w:t>
      </w:r>
      <w:bookmarkStart w:id="28134" w:name="_ETM_Q47_553490"/>
      <w:bookmarkEnd w:id="28134"/>
      <w:r>
        <w:rPr>
          <w:rFonts w:hint="cs"/>
          <w:rtl/>
        </w:rPr>
        <w:t xml:space="preserve">שאי-אפשר להגיע </w:t>
      </w:r>
      <w:bookmarkStart w:id="28135" w:name="_ETM_Q47_548000"/>
      <w:bookmarkEnd w:id="28135"/>
      <w:r>
        <w:rPr>
          <w:rFonts w:hint="cs"/>
          <w:rtl/>
        </w:rPr>
        <w:t>עליו להסכמות.</w:t>
      </w:r>
      <w:bookmarkStart w:id="28136" w:name="_ETM_Q47_549000"/>
      <w:bookmarkEnd w:id="28136"/>
      <w:r w:rsidR="0037589E">
        <w:rPr>
          <w:rFonts w:hint="cs"/>
          <w:rtl/>
        </w:rPr>
        <w:t xml:space="preserve"> </w:t>
      </w:r>
      <w:r>
        <w:rPr>
          <w:rFonts w:hint="cs"/>
          <w:rtl/>
        </w:rPr>
        <w:t>תודה רבה.</w:t>
      </w:r>
    </w:p>
    <w:p w:rsidR="00BB59CD" w:rsidRDefault="00BB59CD" w:rsidP="00BB59CD">
      <w:pPr>
        <w:rPr>
          <w:rtl/>
        </w:rPr>
      </w:pPr>
      <w:bookmarkStart w:id="28137" w:name="_ETM_Q47_555000"/>
      <w:bookmarkEnd w:id="28137"/>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8138" w:name="_ETM_Q47_556000"/>
      <w:bookmarkEnd w:id="28138"/>
      <w:r>
        <w:rPr>
          <w:rFonts w:hint="cs"/>
          <w:rtl/>
        </w:rPr>
        <w:t xml:space="preserve">תודה רבה, </w:t>
      </w:r>
      <w:bookmarkStart w:id="28139" w:name="_ETM_Q47_555320"/>
      <w:bookmarkEnd w:id="28139"/>
      <w:r>
        <w:rPr>
          <w:rFonts w:hint="cs"/>
          <w:rtl/>
        </w:rPr>
        <w:t xml:space="preserve">חברת </w:t>
      </w:r>
      <w:bookmarkStart w:id="28140" w:name="_ETM_Q47_555740"/>
      <w:bookmarkEnd w:id="28140"/>
      <w:r>
        <w:rPr>
          <w:rFonts w:hint="cs"/>
          <w:rtl/>
        </w:rPr>
        <w:t xml:space="preserve">הכנסת </w:t>
      </w:r>
      <w:bookmarkStart w:id="28141" w:name="_ETM_Q47_556070"/>
      <w:bookmarkEnd w:id="28141"/>
      <w:r>
        <w:rPr>
          <w:rFonts w:hint="cs"/>
          <w:rtl/>
        </w:rPr>
        <w:t xml:space="preserve">פנינה </w:t>
      </w:r>
      <w:bookmarkStart w:id="28142" w:name="_ETM_Q47_556279"/>
      <w:bookmarkEnd w:id="28142"/>
      <w:r>
        <w:rPr>
          <w:rFonts w:hint="cs"/>
          <w:rtl/>
        </w:rPr>
        <w:t>תמנו.</w:t>
      </w:r>
    </w:p>
    <w:p w:rsidR="00BB59CD" w:rsidRDefault="00BB59CD" w:rsidP="00BB59CD">
      <w:pPr>
        <w:rPr>
          <w:rtl/>
        </w:rPr>
      </w:pPr>
    </w:p>
    <w:p w:rsidR="00BB59CD" w:rsidRDefault="00BB59CD" w:rsidP="00BB59CD">
      <w:pPr>
        <w:pStyle w:val="af8"/>
        <w:keepNext/>
        <w:rPr>
          <w:rtl/>
        </w:rPr>
      </w:pPr>
      <w:bookmarkStart w:id="28143" w:name="ET_interruption_6461_29"/>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28143"/>
    </w:p>
    <w:p w:rsidR="00BB59CD" w:rsidRDefault="00BB59CD" w:rsidP="00337201">
      <w:pPr>
        <w:rPr>
          <w:rtl/>
        </w:rPr>
      </w:pPr>
    </w:p>
    <w:p w:rsidR="00BB59CD" w:rsidRDefault="00BB59CD" w:rsidP="00BB59CD">
      <w:pPr>
        <w:rPr>
          <w:rtl/>
        </w:rPr>
      </w:pPr>
      <w:bookmarkStart w:id="28144" w:name="_ETM_Q47_552000"/>
      <w:bookmarkEnd w:id="28144"/>
      <w:r>
        <w:rPr>
          <w:rFonts w:hint="cs"/>
          <w:rtl/>
        </w:rPr>
        <w:t>- - -</w:t>
      </w:r>
    </w:p>
    <w:p w:rsidR="00BB59CD" w:rsidRDefault="00BB59CD" w:rsidP="00BB59CD">
      <w:pPr>
        <w:rPr>
          <w:rtl/>
        </w:rPr>
      </w:pPr>
      <w:bookmarkStart w:id="28145" w:name="_ETM_Q47_560000"/>
      <w:bookmarkEnd w:id="2814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8146" w:name="_ETM_Q47_562000"/>
      <w:bookmarkStart w:id="28147" w:name="_ETM_Q47_539000"/>
      <w:bookmarkStart w:id="28148" w:name="_ETM_Q47_540000"/>
      <w:bookmarkStart w:id="28149" w:name="_ETM_Q47_561380"/>
      <w:bookmarkEnd w:id="28146"/>
      <w:bookmarkEnd w:id="28147"/>
      <w:bookmarkEnd w:id="28148"/>
      <w:bookmarkEnd w:id="28149"/>
      <w:r>
        <w:rPr>
          <w:rFonts w:hint="cs"/>
          <w:rtl/>
        </w:rPr>
        <w:t xml:space="preserve">ינון </w:t>
      </w:r>
      <w:bookmarkStart w:id="28150" w:name="_ETM_Q47_561649"/>
      <w:bookmarkEnd w:id="28150"/>
      <w:r>
        <w:rPr>
          <w:rFonts w:hint="cs"/>
          <w:rtl/>
        </w:rPr>
        <w:t xml:space="preserve">אזולאי </w:t>
      </w:r>
      <w:bookmarkStart w:id="28151" w:name="_ETM_Q47_561979"/>
      <w:bookmarkEnd w:id="28151"/>
      <w:r>
        <w:rPr>
          <w:rFonts w:hint="cs"/>
          <w:rtl/>
        </w:rPr>
        <w:t xml:space="preserve">משתדל. </w:t>
      </w:r>
      <w:bookmarkStart w:id="28152" w:name="_ETM_Q47_562459"/>
      <w:bookmarkEnd w:id="28152"/>
      <w:r>
        <w:rPr>
          <w:rFonts w:hint="cs"/>
          <w:rtl/>
        </w:rPr>
        <w:t xml:space="preserve">כשחברי </w:t>
      </w:r>
      <w:bookmarkStart w:id="28153" w:name="_ETM_Q47_562819"/>
      <w:bookmarkEnd w:id="28153"/>
      <w:r>
        <w:rPr>
          <w:rFonts w:hint="cs"/>
          <w:rtl/>
        </w:rPr>
        <w:t xml:space="preserve">ועדת </w:t>
      </w:r>
      <w:bookmarkStart w:id="28154" w:name="_ETM_Q47_563119"/>
      <w:bookmarkEnd w:id="28154"/>
      <w:r>
        <w:rPr>
          <w:rFonts w:hint="cs"/>
          <w:rtl/>
        </w:rPr>
        <w:t xml:space="preserve">האתיקה </w:t>
      </w:r>
      <w:bookmarkStart w:id="28155" w:name="_ETM_Q47_563509"/>
      <w:bookmarkEnd w:id="28155"/>
      <w:r>
        <w:rPr>
          <w:rFonts w:hint="cs"/>
          <w:rtl/>
        </w:rPr>
        <w:t xml:space="preserve">מדברים, </w:t>
      </w:r>
      <w:bookmarkStart w:id="28156" w:name="_ETM_Q47_564020"/>
      <w:bookmarkEnd w:id="28156"/>
      <w:r>
        <w:rPr>
          <w:rFonts w:hint="cs"/>
          <w:rtl/>
        </w:rPr>
        <w:t xml:space="preserve">נואמים, </w:t>
      </w:r>
      <w:bookmarkStart w:id="28157" w:name="_ETM_Q47_564499"/>
      <w:bookmarkEnd w:id="28157"/>
      <w:r>
        <w:rPr>
          <w:rFonts w:hint="cs"/>
          <w:rtl/>
        </w:rPr>
        <w:t>הוא בא</w:t>
      </w:r>
      <w:bookmarkStart w:id="28158" w:name="_ETM_Q47_564770"/>
      <w:bookmarkEnd w:id="28158"/>
      <w:r>
        <w:rPr>
          <w:rFonts w:hint="cs"/>
          <w:rtl/>
        </w:rPr>
        <w:t xml:space="preserve"> </w:t>
      </w:r>
      <w:bookmarkStart w:id="28159" w:name="_ETM_Q47_564950"/>
      <w:bookmarkEnd w:id="28159"/>
      <w:r>
        <w:rPr>
          <w:rFonts w:hint="cs"/>
          <w:rtl/>
        </w:rPr>
        <w:t xml:space="preserve">להקשיב </w:t>
      </w:r>
      <w:bookmarkStart w:id="28160" w:name="_ETM_Q47_565339"/>
      <w:bookmarkEnd w:id="28160"/>
      <w:r>
        <w:rPr>
          <w:rFonts w:hint="cs"/>
          <w:rtl/>
        </w:rPr>
        <w:t xml:space="preserve">להם. </w:t>
      </w:r>
      <w:bookmarkStart w:id="28161" w:name="_ETM_Q47_566579"/>
      <w:bookmarkEnd w:id="28161"/>
      <w:r>
        <w:rPr>
          <w:rFonts w:hint="cs"/>
          <w:rtl/>
        </w:rPr>
        <w:t xml:space="preserve">כל </w:t>
      </w:r>
      <w:bookmarkStart w:id="28162" w:name="_ETM_Q47_566909"/>
      <w:bookmarkEnd w:id="28162"/>
      <w:r>
        <w:rPr>
          <w:rFonts w:hint="cs"/>
          <w:rtl/>
        </w:rPr>
        <w:t xml:space="preserve">הכבוד. </w:t>
      </w:r>
      <w:bookmarkStart w:id="28163" w:name="_ETM_Q47_568029"/>
      <w:bookmarkEnd w:id="28163"/>
      <w:r>
        <w:rPr>
          <w:rFonts w:hint="cs"/>
          <w:rtl/>
        </w:rPr>
        <w:t xml:space="preserve">חבר </w:t>
      </w:r>
      <w:bookmarkStart w:id="28164" w:name="_ETM_Q47_568360"/>
      <w:bookmarkEnd w:id="28164"/>
      <w:r>
        <w:rPr>
          <w:rFonts w:hint="cs"/>
          <w:rtl/>
        </w:rPr>
        <w:t xml:space="preserve">הכנסת </w:t>
      </w:r>
      <w:bookmarkStart w:id="28165" w:name="_ETM_Q47_568990"/>
      <w:bookmarkEnd w:id="28165"/>
      <w:r>
        <w:rPr>
          <w:rFonts w:hint="cs"/>
          <w:rtl/>
        </w:rPr>
        <w:t xml:space="preserve">עודד </w:t>
      </w:r>
      <w:bookmarkStart w:id="28166" w:name="_ETM_Q47_569230"/>
      <w:bookmarkEnd w:id="28166"/>
      <w:r>
        <w:rPr>
          <w:rFonts w:hint="cs"/>
          <w:rtl/>
        </w:rPr>
        <w:t xml:space="preserve">פורר, הדובר הבא. </w:t>
      </w:r>
    </w:p>
    <w:p w:rsidR="00BB59CD" w:rsidRDefault="00BB59CD" w:rsidP="00BB59CD">
      <w:pPr>
        <w:rPr>
          <w:rtl/>
        </w:rPr>
      </w:pPr>
      <w:bookmarkStart w:id="28167" w:name="_ETM_Q47_567000"/>
      <w:bookmarkStart w:id="28168" w:name="_ETM_Q47_570000"/>
      <w:bookmarkEnd w:id="28167"/>
      <w:bookmarkEnd w:id="28168"/>
    </w:p>
    <w:p w:rsidR="00BB59CD" w:rsidRDefault="00BB59CD" w:rsidP="00BB59CD">
      <w:pPr>
        <w:pStyle w:val="af8"/>
        <w:keepNext/>
        <w:rPr>
          <w:rtl/>
        </w:rPr>
      </w:pPr>
      <w:bookmarkStart w:id="28169" w:name="ET_interruption_6461_31"/>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28169"/>
    </w:p>
    <w:p w:rsidR="00BB59CD" w:rsidRDefault="00BB59CD" w:rsidP="00337201">
      <w:pPr>
        <w:rPr>
          <w:rtl/>
        </w:rPr>
      </w:pPr>
    </w:p>
    <w:p w:rsidR="00BB59CD" w:rsidRDefault="00BB59CD" w:rsidP="00BB59CD">
      <w:pPr>
        <w:rPr>
          <w:rtl/>
        </w:rPr>
      </w:pPr>
      <w:r>
        <w:rPr>
          <w:rFonts w:hint="cs"/>
          <w:rtl/>
        </w:rPr>
        <w:t xml:space="preserve">אז למה בני גנץ פוצץ </w:t>
      </w:r>
      <w:bookmarkStart w:id="28170" w:name="_ETM_Q47_573000"/>
      <w:bookmarkEnd w:id="28170"/>
      <w:r>
        <w:rPr>
          <w:rFonts w:hint="cs"/>
          <w:rtl/>
        </w:rPr>
        <w:t>את השיחות? למה?</w:t>
      </w:r>
    </w:p>
    <w:p w:rsidR="00BB59CD" w:rsidRDefault="00BB59CD" w:rsidP="00BB59CD">
      <w:pPr>
        <w:rPr>
          <w:rtl/>
        </w:rPr>
      </w:pPr>
      <w:bookmarkStart w:id="28171" w:name="_ETM_Q47_578000"/>
      <w:bookmarkEnd w:id="28171"/>
    </w:p>
    <w:p w:rsidR="00BB59CD" w:rsidRDefault="00BB59CD" w:rsidP="00BB59CD">
      <w:pPr>
        <w:pStyle w:val="af8"/>
        <w:keepNext/>
        <w:rPr>
          <w:rtl/>
        </w:rPr>
      </w:pPr>
      <w:bookmarkStart w:id="28172" w:name="ET_interruption_5115_32"/>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28172"/>
    </w:p>
    <w:p w:rsidR="00BB59CD" w:rsidRDefault="00BB59CD" w:rsidP="00337201">
      <w:pPr>
        <w:rPr>
          <w:rtl/>
        </w:rPr>
      </w:pPr>
    </w:p>
    <w:p w:rsidR="00BB59CD" w:rsidRDefault="00BB59CD" w:rsidP="00BB59CD">
      <w:pPr>
        <w:rPr>
          <w:rtl/>
        </w:rPr>
      </w:pPr>
      <w:bookmarkStart w:id="28173" w:name="_ETM_Q47_577000"/>
      <w:bookmarkEnd w:id="28173"/>
      <w:r>
        <w:rPr>
          <w:rFonts w:hint="cs"/>
          <w:rtl/>
        </w:rPr>
        <w:t>- - -</w:t>
      </w:r>
    </w:p>
    <w:p w:rsidR="00BB59CD" w:rsidRDefault="00BB59CD" w:rsidP="00BB59CD">
      <w:pPr>
        <w:rPr>
          <w:rtl/>
        </w:rPr>
      </w:pPr>
      <w:bookmarkStart w:id="28174" w:name="_ETM_Q47_580000"/>
      <w:bookmarkEnd w:id="28174"/>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8175" w:name="_ETM_Q47_581000"/>
      <w:bookmarkStart w:id="28176" w:name="_ETM_Q47_579000"/>
      <w:bookmarkStart w:id="28177" w:name="_ETM_Q47_568000"/>
      <w:bookmarkStart w:id="28178" w:name="_ETM_Q47_569529"/>
      <w:bookmarkStart w:id="28179" w:name="_ETM_Q47_569800"/>
      <w:bookmarkStart w:id="28180" w:name="_ETM_Q47_588810"/>
      <w:bookmarkStart w:id="28181" w:name="_ETM_Q47_593880"/>
      <w:bookmarkEnd w:id="28175"/>
      <w:bookmarkEnd w:id="28176"/>
      <w:bookmarkEnd w:id="28177"/>
      <w:bookmarkEnd w:id="28178"/>
      <w:bookmarkEnd w:id="28179"/>
      <w:bookmarkEnd w:id="28180"/>
      <w:bookmarkEnd w:id="28181"/>
      <w:r>
        <w:rPr>
          <w:rFonts w:hint="cs"/>
          <w:rtl/>
        </w:rPr>
        <w:t xml:space="preserve">40 דקות? </w:t>
      </w:r>
      <w:bookmarkStart w:id="28182" w:name="_ETM_Q47_593000"/>
      <w:bookmarkStart w:id="28183" w:name="_ETM_Q47_594209"/>
      <w:bookmarkStart w:id="28184" w:name="_ETM_Q47_596639"/>
      <w:bookmarkStart w:id="28185" w:name="_ETM_Q47_599350"/>
      <w:bookmarkEnd w:id="28182"/>
      <w:bookmarkEnd w:id="28183"/>
      <w:bookmarkEnd w:id="28184"/>
      <w:bookmarkEnd w:id="28185"/>
      <w:r>
        <w:rPr>
          <w:rFonts w:hint="cs"/>
          <w:rtl/>
        </w:rPr>
        <w:t xml:space="preserve">בבקשה. 40 </w:t>
      </w:r>
      <w:bookmarkStart w:id="28186" w:name="_ETM_Q47_599710"/>
      <w:bookmarkEnd w:id="28186"/>
      <w:r>
        <w:rPr>
          <w:rFonts w:hint="cs"/>
          <w:rtl/>
        </w:rPr>
        <w:t xml:space="preserve">דקות </w:t>
      </w:r>
      <w:bookmarkStart w:id="28187" w:name="_ETM_Q47_600010"/>
      <w:bookmarkEnd w:id="28187"/>
      <w:r>
        <w:rPr>
          <w:rFonts w:hint="cs"/>
          <w:rtl/>
        </w:rPr>
        <w:t>לרשותך.</w:t>
      </w:r>
    </w:p>
    <w:p w:rsidR="00BB59CD" w:rsidRDefault="00BB59CD" w:rsidP="00BB59CD">
      <w:pPr>
        <w:rPr>
          <w:rtl/>
        </w:rPr>
      </w:pPr>
      <w:bookmarkStart w:id="28188" w:name="_ETM_Q47_600000"/>
      <w:bookmarkStart w:id="28189" w:name="_ETM_Q47_601000"/>
      <w:bookmarkEnd w:id="28188"/>
      <w:bookmarkEnd w:id="28189"/>
    </w:p>
    <w:p w:rsidR="00BB59CD" w:rsidRDefault="00BB59CD" w:rsidP="00BB59CD">
      <w:pPr>
        <w:pStyle w:val="a5"/>
        <w:keepNext/>
        <w:rPr>
          <w:rtl/>
        </w:rPr>
      </w:pPr>
      <w:bookmarkStart w:id="28190" w:name="ET_speaker_5520_34"/>
      <w:r>
        <w:rPr>
          <w:rStyle w:val="TagStyle"/>
          <w:rFonts w:hint="cs"/>
          <w:rtl/>
        </w:rPr>
        <w:t xml:space="preserve"> &lt;&lt; דובר &gt;&gt; </w:t>
      </w:r>
      <w:bookmarkStart w:id="28191" w:name="_Toc141197155"/>
      <w:bookmarkStart w:id="28192" w:name="_Toc141196891"/>
      <w:r>
        <w:rPr>
          <w:rFonts w:hint="cs"/>
          <w:rtl/>
        </w:rPr>
        <w:t>עודד פורר (ישראל ביתנו):</w:t>
      </w:r>
      <w:bookmarkEnd w:id="28191"/>
      <w:bookmarkEnd w:id="28192"/>
      <w:r>
        <w:rPr>
          <w:rStyle w:val="TagStyle"/>
          <w:rFonts w:hint="cs"/>
          <w:rtl/>
        </w:rPr>
        <w:t xml:space="preserve"> &lt;&lt; דובר &gt;&gt;</w:t>
      </w:r>
      <w:r>
        <w:rPr>
          <w:rFonts w:hint="cs"/>
          <w:rtl/>
        </w:rPr>
        <w:t xml:space="preserve">  </w:t>
      </w:r>
      <w:bookmarkEnd w:id="28190"/>
    </w:p>
    <w:p w:rsidR="00BB59CD" w:rsidRDefault="00BB59CD" w:rsidP="00337201">
      <w:pPr>
        <w:rPr>
          <w:rtl/>
        </w:rPr>
      </w:pPr>
    </w:p>
    <w:p w:rsidR="00BB59CD" w:rsidRDefault="00BB59CD" w:rsidP="0037589E">
      <w:pPr>
        <w:rPr>
          <w:rtl/>
        </w:rPr>
      </w:pPr>
      <w:bookmarkStart w:id="28193" w:name="_ETM_Q47_599000"/>
      <w:bookmarkStart w:id="28194" w:name="_ETM_Q47_601969"/>
      <w:bookmarkEnd w:id="28193"/>
      <w:bookmarkEnd w:id="28194"/>
      <w:r>
        <w:rPr>
          <w:rFonts w:hint="cs"/>
          <w:rtl/>
        </w:rPr>
        <w:t xml:space="preserve">תודה, </w:t>
      </w:r>
      <w:bookmarkStart w:id="28195" w:name="_ETM_Q47_602299"/>
      <w:bookmarkEnd w:id="28195"/>
      <w:r>
        <w:rPr>
          <w:rFonts w:hint="cs"/>
          <w:rtl/>
        </w:rPr>
        <w:t xml:space="preserve">אדוני </w:t>
      </w:r>
      <w:bookmarkStart w:id="28196" w:name="_ETM_Q47_602539"/>
      <w:bookmarkEnd w:id="28196"/>
      <w:r>
        <w:rPr>
          <w:rFonts w:hint="cs"/>
          <w:rtl/>
        </w:rPr>
        <w:t xml:space="preserve">היושב-ראש. </w:t>
      </w:r>
      <w:bookmarkStart w:id="28197" w:name="_ETM_Q47_604460"/>
      <w:bookmarkEnd w:id="28197"/>
      <w:r>
        <w:rPr>
          <w:rFonts w:hint="cs"/>
          <w:rtl/>
        </w:rPr>
        <w:t xml:space="preserve">חברי </w:t>
      </w:r>
      <w:bookmarkStart w:id="28198" w:name="_ETM_Q47_604760"/>
      <w:bookmarkEnd w:id="28198"/>
      <w:r>
        <w:rPr>
          <w:rFonts w:hint="cs"/>
          <w:rtl/>
        </w:rPr>
        <w:t xml:space="preserve">הכנסת, </w:t>
      </w:r>
      <w:bookmarkStart w:id="28199" w:name="_ETM_Q47_605210"/>
      <w:bookmarkEnd w:id="28199"/>
      <w:r>
        <w:rPr>
          <w:rFonts w:hint="cs"/>
          <w:rtl/>
        </w:rPr>
        <w:t xml:space="preserve">אדוני </w:t>
      </w:r>
      <w:bookmarkStart w:id="28200" w:name="_ETM_Q47_605510"/>
      <w:bookmarkEnd w:id="28200"/>
      <w:r>
        <w:rPr>
          <w:rFonts w:hint="cs"/>
          <w:rtl/>
        </w:rPr>
        <w:t xml:space="preserve">השר, </w:t>
      </w:r>
      <w:bookmarkStart w:id="28201" w:name="_ETM_Q47_607040"/>
      <w:bookmarkEnd w:id="28201"/>
      <w:r>
        <w:rPr>
          <w:rFonts w:hint="cs"/>
          <w:rtl/>
        </w:rPr>
        <w:t xml:space="preserve">אנחנו </w:t>
      </w:r>
      <w:bookmarkStart w:id="28202" w:name="_ETM_Q47_607370"/>
      <w:bookmarkEnd w:id="28202"/>
      <w:r>
        <w:rPr>
          <w:rFonts w:hint="cs"/>
          <w:rtl/>
        </w:rPr>
        <w:t xml:space="preserve">נמצאים </w:t>
      </w:r>
      <w:bookmarkStart w:id="28203" w:name="_ETM_Q47_608410"/>
      <w:bookmarkEnd w:id="28203"/>
      <w:r>
        <w:rPr>
          <w:rFonts w:hint="cs"/>
          <w:rtl/>
        </w:rPr>
        <w:t xml:space="preserve">ערב </w:t>
      </w:r>
      <w:bookmarkStart w:id="28204" w:name="_ETM_Q47_608710"/>
      <w:bookmarkStart w:id="28205" w:name="_ETM_Q47_609040"/>
      <w:bookmarkEnd w:id="28204"/>
      <w:bookmarkEnd w:id="28205"/>
      <w:r>
        <w:rPr>
          <w:rFonts w:hint="cs"/>
          <w:rtl/>
        </w:rPr>
        <w:t xml:space="preserve">תשעה באב, </w:t>
      </w:r>
      <w:bookmarkStart w:id="28206" w:name="_ETM_Q47_610499"/>
      <w:bookmarkEnd w:id="28206"/>
      <w:r>
        <w:rPr>
          <w:rFonts w:hint="cs"/>
          <w:rtl/>
        </w:rPr>
        <w:t>ואי</w:t>
      </w:r>
      <w:bookmarkStart w:id="28207" w:name="_ETM_Q47_610709"/>
      <w:bookmarkEnd w:id="28207"/>
      <w:r>
        <w:rPr>
          <w:rFonts w:hint="cs"/>
          <w:rtl/>
        </w:rPr>
        <w:t xml:space="preserve">-אפשר </w:t>
      </w:r>
      <w:bookmarkStart w:id="28208" w:name="_ETM_Q47_610950"/>
      <w:bookmarkEnd w:id="28208"/>
      <w:r>
        <w:rPr>
          <w:rFonts w:hint="cs"/>
          <w:rtl/>
        </w:rPr>
        <w:t xml:space="preserve">להתחיל </w:t>
      </w:r>
      <w:bookmarkStart w:id="28209" w:name="_ETM_Q47_611309"/>
      <w:bookmarkEnd w:id="28209"/>
      <w:r>
        <w:rPr>
          <w:rFonts w:hint="cs"/>
          <w:rtl/>
        </w:rPr>
        <w:t xml:space="preserve">ולדבר </w:t>
      </w:r>
      <w:bookmarkStart w:id="28210" w:name="_ETM_Q47_611819"/>
      <w:bookmarkEnd w:id="28210"/>
      <w:r>
        <w:rPr>
          <w:rFonts w:hint="cs"/>
          <w:rtl/>
        </w:rPr>
        <w:t xml:space="preserve">על </w:t>
      </w:r>
      <w:bookmarkStart w:id="28211" w:name="_ETM_Q47_611909"/>
      <w:bookmarkEnd w:id="28211"/>
      <w:r>
        <w:rPr>
          <w:rFonts w:hint="cs"/>
          <w:rtl/>
        </w:rPr>
        <w:t xml:space="preserve">מה </w:t>
      </w:r>
      <w:bookmarkStart w:id="28212" w:name="_ETM_Q47_612059"/>
      <w:bookmarkEnd w:id="28212"/>
      <w:r>
        <w:rPr>
          <w:rFonts w:hint="cs"/>
          <w:rtl/>
        </w:rPr>
        <w:t xml:space="preserve">שקורה </w:t>
      </w:r>
      <w:bookmarkStart w:id="28213" w:name="_ETM_Q47_612450"/>
      <w:bookmarkEnd w:id="28213"/>
      <w:r>
        <w:rPr>
          <w:rFonts w:hint="cs"/>
          <w:rtl/>
        </w:rPr>
        <w:t xml:space="preserve">כאן </w:t>
      </w:r>
      <w:bookmarkStart w:id="28214" w:name="_ETM_Q47_613720"/>
      <w:bookmarkEnd w:id="28214"/>
      <w:r>
        <w:rPr>
          <w:rFonts w:hint="cs"/>
          <w:rtl/>
        </w:rPr>
        <w:t xml:space="preserve">בלי </w:t>
      </w:r>
      <w:bookmarkStart w:id="28215" w:name="_ETM_Q47_613930"/>
      <w:bookmarkEnd w:id="28215"/>
      <w:r>
        <w:rPr>
          <w:rFonts w:hint="cs"/>
          <w:rtl/>
        </w:rPr>
        <w:t xml:space="preserve">לקשר </w:t>
      </w:r>
      <w:bookmarkStart w:id="28216" w:name="_ETM_Q47_614470"/>
      <w:bookmarkEnd w:id="28216"/>
      <w:r>
        <w:rPr>
          <w:rFonts w:hint="cs"/>
          <w:rtl/>
        </w:rPr>
        <w:t xml:space="preserve">את </w:t>
      </w:r>
      <w:bookmarkStart w:id="28217" w:name="_ETM_Q47_614680"/>
      <w:bookmarkEnd w:id="28217"/>
      <w:r>
        <w:rPr>
          <w:rFonts w:hint="cs"/>
          <w:rtl/>
        </w:rPr>
        <w:t xml:space="preserve">המועד </w:t>
      </w:r>
      <w:bookmarkStart w:id="28218" w:name="_ETM_Q47_616210"/>
      <w:bookmarkEnd w:id="28218"/>
      <w:r>
        <w:rPr>
          <w:rFonts w:hint="cs"/>
          <w:rtl/>
        </w:rPr>
        <w:t xml:space="preserve">לאירועי </w:t>
      </w:r>
      <w:bookmarkStart w:id="28219" w:name="_ETM_Q47_616780"/>
      <w:bookmarkEnd w:id="28219"/>
      <w:r>
        <w:rPr>
          <w:rFonts w:hint="cs"/>
          <w:rtl/>
        </w:rPr>
        <w:t xml:space="preserve">הימים </w:t>
      </w:r>
      <w:bookmarkStart w:id="28220" w:name="_ETM_Q47_617140"/>
      <w:bookmarkEnd w:id="28220"/>
      <w:r>
        <w:rPr>
          <w:rFonts w:hint="cs"/>
          <w:rtl/>
        </w:rPr>
        <w:t xml:space="preserve">הקשים </w:t>
      </w:r>
      <w:bookmarkStart w:id="28221" w:name="_ETM_Q47_617560"/>
      <w:bookmarkEnd w:id="28221"/>
      <w:r>
        <w:rPr>
          <w:rFonts w:hint="cs"/>
          <w:rtl/>
        </w:rPr>
        <w:t xml:space="preserve">האלה. </w:t>
      </w:r>
      <w:bookmarkStart w:id="28222" w:name="_ETM_Q47_618900"/>
      <w:bookmarkEnd w:id="28222"/>
      <w:r>
        <w:rPr>
          <w:rFonts w:hint="cs"/>
          <w:rtl/>
        </w:rPr>
        <w:t xml:space="preserve">נשפכו </w:t>
      </w:r>
      <w:bookmarkStart w:id="28223" w:name="_ETM_Q47_619530"/>
      <w:bookmarkEnd w:id="28223"/>
      <w:r>
        <w:rPr>
          <w:rFonts w:hint="cs"/>
          <w:rtl/>
        </w:rPr>
        <w:t xml:space="preserve">הרבה </w:t>
      </w:r>
      <w:bookmarkStart w:id="28224" w:name="_ETM_Q47_619769"/>
      <w:bookmarkEnd w:id="28224"/>
      <w:r>
        <w:rPr>
          <w:rFonts w:hint="cs"/>
          <w:rtl/>
        </w:rPr>
        <w:t xml:space="preserve">מילים </w:t>
      </w:r>
      <w:bookmarkStart w:id="28225" w:name="_ETM_Q47_620880"/>
      <w:bookmarkEnd w:id="28225"/>
      <w:r>
        <w:rPr>
          <w:rFonts w:hint="cs"/>
          <w:rtl/>
        </w:rPr>
        <w:t xml:space="preserve">ומאמרים </w:t>
      </w:r>
      <w:bookmarkStart w:id="28226" w:name="_ETM_Q47_621600"/>
      <w:bookmarkEnd w:id="28226"/>
      <w:r>
        <w:rPr>
          <w:rFonts w:hint="cs"/>
          <w:rtl/>
        </w:rPr>
        <w:t xml:space="preserve">על </w:t>
      </w:r>
      <w:bookmarkStart w:id="28227" w:name="_ETM_Q47_621720"/>
      <w:bookmarkEnd w:id="28227"/>
      <w:r>
        <w:rPr>
          <w:rFonts w:hint="cs"/>
          <w:rtl/>
        </w:rPr>
        <w:t xml:space="preserve">החורבן, </w:t>
      </w:r>
      <w:bookmarkStart w:id="28228" w:name="_ETM_Q47_623280"/>
      <w:bookmarkEnd w:id="28228"/>
      <w:r>
        <w:rPr>
          <w:rFonts w:hint="cs"/>
          <w:rtl/>
        </w:rPr>
        <w:t xml:space="preserve">על </w:t>
      </w:r>
      <w:bookmarkStart w:id="28229" w:name="_ETM_Q47_623430"/>
      <w:bookmarkEnd w:id="28229"/>
      <w:r>
        <w:rPr>
          <w:rFonts w:hint="cs"/>
          <w:rtl/>
        </w:rPr>
        <w:t xml:space="preserve">הבית </w:t>
      </w:r>
      <w:bookmarkStart w:id="28230" w:name="_ETM_Q47_623730"/>
      <w:bookmarkEnd w:id="28230"/>
      <w:r>
        <w:rPr>
          <w:rFonts w:hint="cs"/>
          <w:rtl/>
        </w:rPr>
        <w:t xml:space="preserve">הראשון </w:t>
      </w:r>
      <w:bookmarkStart w:id="28231" w:name="_ETM_Q47_624810"/>
      <w:bookmarkEnd w:id="28231"/>
      <w:r>
        <w:rPr>
          <w:rFonts w:hint="cs"/>
          <w:rtl/>
        </w:rPr>
        <w:t xml:space="preserve">ועל </w:t>
      </w:r>
      <w:bookmarkStart w:id="28232" w:name="_ETM_Q47_625140"/>
      <w:bookmarkEnd w:id="28232"/>
      <w:r>
        <w:rPr>
          <w:rFonts w:hint="cs"/>
          <w:rtl/>
        </w:rPr>
        <w:t xml:space="preserve">הבית </w:t>
      </w:r>
      <w:bookmarkStart w:id="28233" w:name="_ETM_Q47_625410"/>
      <w:bookmarkEnd w:id="28233"/>
      <w:r>
        <w:rPr>
          <w:rFonts w:hint="cs"/>
          <w:rtl/>
        </w:rPr>
        <w:t xml:space="preserve">השני </w:t>
      </w:r>
      <w:bookmarkStart w:id="28234" w:name="_ETM_Q47_626569"/>
      <w:bookmarkEnd w:id="28234"/>
      <w:r>
        <w:rPr>
          <w:rFonts w:hint="cs"/>
          <w:rtl/>
        </w:rPr>
        <w:t xml:space="preserve">ועל </w:t>
      </w:r>
      <w:bookmarkStart w:id="28235" w:name="_ETM_Q47_626900"/>
      <w:bookmarkEnd w:id="28235"/>
      <w:r>
        <w:rPr>
          <w:rFonts w:hint="cs"/>
          <w:rtl/>
        </w:rPr>
        <w:t xml:space="preserve">שנאת </w:t>
      </w:r>
      <w:bookmarkStart w:id="28236" w:name="_ETM_Q47_627290"/>
      <w:bookmarkEnd w:id="28236"/>
      <w:r>
        <w:rPr>
          <w:rFonts w:hint="cs"/>
          <w:rtl/>
        </w:rPr>
        <w:t xml:space="preserve">חינם. </w:t>
      </w:r>
      <w:bookmarkStart w:id="28237" w:name="_ETM_Q47_628670"/>
      <w:bookmarkEnd w:id="28237"/>
      <w:r>
        <w:rPr>
          <w:rFonts w:hint="cs"/>
          <w:rtl/>
        </w:rPr>
        <w:t xml:space="preserve">אבל </w:t>
      </w:r>
      <w:bookmarkStart w:id="28238" w:name="_ETM_Q47_629000"/>
      <w:bookmarkEnd w:id="28238"/>
      <w:r>
        <w:rPr>
          <w:rFonts w:hint="cs"/>
          <w:rtl/>
        </w:rPr>
        <w:t xml:space="preserve">אם </w:t>
      </w:r>
      <w:bookmarkStart w:id="28239" w:name="_ETM_Q47_629090"/>
      <w:bookmarkEnd w:id="28239"/>
      <w:r>
        <w:rPr>
          <w:rFonts w:hint="cs"/>
          <w:rtl/>
        </w:rPr>
        <w:t xml:space="preserve">אנחנו </w:t>
      </w:r>
      <w:bookmarkStart w:id="28240" w:name="_ETM_Q47_629299"/>
      <w:bookmarkEnd w:id="28240"/>
      <w:r>
        <w:rPr>
          <w:rFonts w:hint="cs"/>
          <w:rtl/>
        </w:rPr>
        <w:t xml:space="preserve">רוצים </w:t>
      </w:r>
      <w:bookmarkStart w:id="28241" w:name="_ETM_Q47_629659"/>
      <w:bookmarkEnd w:id="28241"/>
      <w:r>
        <w:rPr>
          <w:rFonts w:hint="cs"/>
          <w:rtl/>
        </w:rPr>
        <w:t xml:space="preserve">לתאר </w:t>
      </w:r>
      <w:bookmarkStart w:id="28242" w:name="_ETM_Q47_631349"/>
      <w:bookmarkEnd w:id="28242"/>
      <w:r>
        <w:rPr>
          <w:rFonts w:hint="cs"/>
          <w:rtl/>
        </w:rPr>
        <w:t xml:space="preserve">את </w:t>
      </w:r>
      <w:bookmarkStart w:id="28243" w:name="_ETM_Q47_631560"/>
      <w:bookmarkEnd w:id="28243"/>
      <w:r>
        <w:rPr>
          <w:rFonts w:hint="cs"/>
          <w:rtl/>
        </w:rPr>
        <w:t xml:space="preserve">המצב </w:t>
      </w:r>
      <w:bookmarkStart w:id="28244" w:name="_ETM_Q47_632160"/>
      <w:bookmarkEnd w:id="28244"/>
      <w:r>
        <w:rPr>
          <w:rFonts w:hint="cs"/>
          <w:rtl/>
        </w:rPr>
        <w:t xml:space="preserve">או </w:t>
      </w:r>
      <w:bookmarkStart w:id="28245" w:name="_ETM_Q47_632250"/>
      <w:bookmarkEnd w:id="28245"/>
      <w:r>
        <w:rPr>
          <w:rFonts w:hint="cs"/>
          <w:rtl/>
        </w:rPr>
        <w:t xml:space="preserve">להבין </w:t>
      </w:r>
      <w:bookmarkStart w:id="28246" w:name="_ETM_Q47_632640"/>
      <w:bookmarkEnd w:id="28246"/>
      <w:r>
        <w:rPr>
          <w:rFonts w:hint="cs"/>
          <w:rtl/>
        </w:rPr>
        <w:t xml:space="preserve">מה </w:t>
      </w:r>
      <w:bookmarkStart w:id="28247" w:name="_ETM_Q47_632760"/>
      <w:bookmarkEnd w:id="28247"/>
      <w:r>
        <w:rPr>
          <w:rFonts w:hint="cs"/>
          <w:rtl/>
        </w:rPr>
        <w:t xml:space="preserve">היה </w:t>
      </w:r>
      <w:bookmarkStart w:id="28248" w:name="_ETM_Q47_633060"/>
      <w:bookmarkEnd w:id="28248"/>
      <w:r>
        <w:rPr>
          <w:rFonts w:hint="cs"/>
          <w:rtl/>
        </w:rPr>
        <w:t xml:space="preserve">בחורבן </w:t>
      </w:r>
      <w:bookmarkStart w:id="28249" w:name="_ETM_Q47_633420"/>
      <w:bookmarkEnd w:id="28249"/>
      <w:r>
        <w:rPr>
          <w:rFonts w:hint="cs"/>
          <w:rtl/>
        </w:rPr>
        <w:t xml:space="preserve">הבית </w:t>
      </w:r>
      <w:bookmarkStart w:id="28250" w:name="_ETM_Q47_633750"/>
      <w:bookmarkEnd w:id="28250"/>
      <w:r>
        <w:rPr>
          <w:rFonts w:hint="cs"/>
          <w:rtl/>
        </w:rPr>
        <w:t xml:space="preserve">השני, אפשר </w:t>
      </w:r>
      <w:bookmarkStart w:id="28251" w:name="_ETM_Q47_635099"/>
      <w:bookmarkStart w:id="28252" w:name="_ETM_Q47_635340"/>
      <w:bookmarkEnd w:id="28251"/>
      <w:bookmarkEnd w:id="28252"/>
      <w:r>
        <w:rPr>
          <w:rFonts w:hint="cs"/>
          <w:rtl/>
        </w:rPr>
        <w:t xml:space="preserve">פשוט </w:t>
      </w:r>
      <w:bookmarkStart w:id="28253" w:name="_ETM_Q47_635639"/>
      <w:bookmarkEnd w:id="28253"/>
      <w:r>
        <w:rPr>
          <w:rFonts w:hint="cs"/>
          <w:rtl/>
        </w:rPr>
        <w:t xml:space="preserve">לגשת </w:t>
      </w:r>
      <w:bookmarkStart w:id="28254" w:name="_ETM_Q47_636090"/>
      <w:bookmarkEnd w:id="28254"/>
      <w:r>
        <w:rPr>
          <w:rFonts w:hint="cs"/>
          <w:rtl/>
        </w:rPr>
        <w:t xml:space="preserve">לספרו </w:t>
      </w:r>
      <w:bookmarkStart w:id="28255" w:name="_ETM_Q47_636599"/>
      <w:bookmarkEnd w:id="28255"/>
      <w:r>
        <w:rPr>
          <w:rFonts w:hint="cs"/>
          <w:rtl/>
        </w:rPr>
        <w:t xml:space="preserve">של </w:t>
      </w:r>
      <w:bookmarkStart w:id="28256" w:name="_ETM_Q47_637850"/>
      <w:bookmarkEnd w:id="28256"/>
      <w:r>
        <w:rPr>
          <w:rFonts w:hint="cs"/>
          <w:rtl/>
        </w:rPr>
        <w:t xml:space="preserve">יוספוס </w:t>
      </w:r>
      <w:bookmarkStart w:id="28257" w:name="_ETM_Q47_638390"/>
      <w:bookmarkEnd w:id="28257"/>
      <w:r>
        <w:rPr>
          <w:rFonts w:hint="cs"/>
          <w:rtl/>
        </w:rPr>
        <w:t xml:space="preserve">פלביוס </w:t>
      </w:r>
      <w:bookmarkStart w:id="28258" w:name="_ETM_Q47_639590"/>
      <w:bookmarkEnd w:id="28258"/>
      <w:r w:rsidR="0037589E">
        <w:rPr>
          <w:rFonts w:hint="cs"/>
          <w:rtl/>
        </w:rPr>
        <w:t>"</w:t>
      </w:r>
      <w:r>
        <w:rPr>
          <w:rFonts w:hint="cs"/>
          <w:rtl/>
        </w:rPr>
        <w:t xml:space="preserve">מלחמות </w:t>
      </w:r>
      <w:bookmarkStart w:id="28259" w:name="_ETM_Q47_640160"/>
      <w:bookmarkEnd w:id="28259"/>
      <w:r>
        <w:rPr>
          <w:rFonts w:hint="cs"/>
          <w:rtl/>
        </w:rPr>
        <w:t>היהודים</w:t>
      </w:r>
      <w:bookmarkStart w:id="28260" w:name="_ETM_Q47_641640"/>
      <w:bookmarkEnd w:id="28260"/>
      <w:r w:rsidR="0037589E">
        <w:rPr>
          <w:rFonts w:hint="cs"/>
          <w:rtl/>
        </w:rPr>
        <w:t>"</w:t>
      </w:r>
      <w:r>
        <w:rPr>
          <w:rFonts w:hint="cs"/>
          <w:rtl/>
        </w:rPr>
        <w:t xml:space="preserve">. וכך </w:t>
      </w:r>
      <w:bookmarkStart w:id="28261" w:name="_ETM_Q47_642000"/>
      <w:bookmarkEnd w:id="28261"/>
      <w:r>
        <w:rPr>
          <w:rFonts w:hint="cs"/>
          <w:rtl/>
        </w:rPr>
        <w:t xml:space="preserve">הוא </w:t>
      </w:r>
      <w:bookmarkStart w:id="28262" w:name="_ETM_Q47_642060"/>
      <w:bookmarkEnd w:id="28262"/>
      <w:r>
        <w:rPr>
          <w:rFonts w:hint="cs"/>
          <w:rtl/>
        </w:rPr>
        <w:t xml:space="preserve">כתב </w:t>
      </w:r>
      <w:bookmarkStart w:id="28263" w:name="_ETM_Q47_642450"/>
      <w:bookmarkEnd w:id="28263"/>
      <w:r>
        <w:rPr>
          <w:rFonts w:hint="cs"/>
          <w:rtl/>
        </w:rPr>
        <w:t xml:space="preserve">בספר </w:t>
      </w:r>
      <w:bookmarkStart w:id="28264" w:name="_ETM_Q47_643260"/>
      <w:bookmarkEnd w:id="28264"/>
      <w:r>
        <w:rPr>
          <w:rFonts w:hint="cs"/>
          <w:rtl/>
        </w:rPr>
        <w:t xml:space="preserve">ה', פרק </w:t>
      </w:r>
      <w:bookmarkStart w:id="28265" w:name="_ETM_Q47_643590"/>
      <w:bookmarkEnd w:id="28265"/>
      <w:r>
        <w:rPr>
          <w:rFonts w:hint="cs"/>
          <w:rtl/>
        </w:rPr>
        <w:t>ו'</w:t>
      </w:r>
      <w:bookmarkStart w:id="28266" w:name="_ETM_Q47_645250"/>
      <w:bookmarkEnd w:id="28266"/>
      <w:r>
        <w:rPr>
          <w:rFonts w:hint="cs"/>
          <w:rtl/>
        </w:rPr>
        <w:t xml:space="preserve">: "הרעה, אשר מצאה אותם מידי הרומאים, לא היתה קשה מהצרות, אשר עוללו איש לאחיו בידיהם"  </w:t>
      </w:r>
      <w:bookmarkStart w:id="28267" w:name="_ETM_Q47_656810"/>
      <w:bookmarkEnd w:id="28267"/>
      <w:r>
        <w:rPr>
          <w:rFonts w:hint="cs"/>
          <w:rtl/>
        </w:rPr>
        <w:t xml:space="preserve">והוא </w:t>
      </w:r>
      <w:bookmarkStart w:id="28268" w:name="_ETM_Q47_657080"/>
      <w:bookmarkEnd w:id="28268"/>
      <w:r>
        <w:rPr>
          <w:rFonts w:hint="cs"/>
          <w:rtl/>
        </w:rPr>
        <w:t xml:space="preserve">ממשיך </w:t>
      </w:r>
      <w:bookmarkStart w:id="28269" w:name="_ETM_Q47_658180"/>
      <w:bookmarkStart w:id="28270" w:name="_ETM_Q47_658299"/>
      <w:bookmarkEnd w:id="28269"/>
      <w:bookmarkEnd w:id="28270"/>
      <w:r>
        <w:rPr>
          <w:rFonts w:hint="cs"/>
          <w:rtl/>
        </w:rPr>
        <w:t xml:space="preserve">ומסכם: </w:t>
      </w:r>
      <w:bookmarkStart w:id="28271" w:name="_ETM_Q47_659840"/>
      <w:bookmarkEnd w:id="28271"/>
      <w:r>
        <w:rPr>
          <w:rFonts w:hint="cs"/>
          <w:rtl/>
        </w:rPr>
        <w:t xml:space="preserve">"המריבה </w:t>
      </w:r>
      <w:bookmarkStart w:id="28272" w:name="_ETM_Q47_660470"/>
      <w:bookmarkEnd w:id="28272"/>
      <w:r>
        <w:rPr>
          <w:rFonts w:hint="cs"/>
          <w:rtl/>
        </w:rPr>
        <w:t xml:space="preserve">כבשה </w:t>
      </w:r>
      <w:bookmarkStart w:id="28273" w:name="_ETM_Q47_660890"/>
      <w:bookmarkEnd w:id="28273"/>
      <w:r>
        <w:rPr>
          <w:rFonts w:hint="cs"/>
          <w:rtl/>
        </w:rPr>
        <w:t xml:space="preserve">את </w:t>
      </w:r>
      <w:bookmarkStart w:id="28274" w:name="_ETM_Q47_661069"/>
      <w:bookmarkEnd w:id="28274"/>
      <w:r>
        <w:rPr>
          <w:rFonts w:hint="cs"/>
          <w:rtl/>
        </w:rPr>
        <w:t xml:space="preserve">העיר, </w:t>
      </w:r>
      <w:bookmarkStart w:id="28275" w:name="_ETM_Q47_662100"/>
      <w:bookmarkEnd w:id="28275"/>
      <w:r>
        <w:rPr>
          <w:rFonts w:hint="cs"/>
          <w:rtl/>
        </w:rPr>
        <w:t xml:space="preserve">והרומאים </w:t>
      </w:r>
      <w:bookmarkStart w:id="28276" w:name="_ETM_Q47_663390"/>
      <w:bookmarkEnd w:id="28276"/>
      <w:r>
        <w:rPr>
          <w:rFonts w:hint="cs"/>
          <w:rtl/>
        </w:rPr>
        <w:t xml:space="preserve">כבשו </w:t>
      </w:r>
      <w:bookmarkStart w:id="28277" w:name="_ETM_Q47_663810"/>
      <w:bookmarkEnd w:id="28277"/>
      <w:r>
        <w:rPr>
          <w:rFonts w:hint="cs"/>
          <w:rtl/>
        </w:rPr>
        <w:t xml:space="preserve">את </w:t>
      </w:r>
      <w:bookmarkStart w:id="28278" w:name="_ETM_Q47_663960"/>
      <w:bookmarkEnd w:id="28278"/>
      <w:r>
        <w:rPr>
          <w:rFonts w:hint="cs"/>
          <w:rtl/>
        </w:rPr>
        <w:t xml:space="preserve">המריבה </w:t>
      </w:r>
      <w:bookmarkStart w:id="28279" w:name="_ETM_Q47_664849"/>
      <w:bookmarkEnd w:id="28279"/>
      <w:r>
        <w:rPr>
          <w:rFonts w:hint="cs"/>
          <w:rtl/>
        </w:rPr>
        <w:t xml:space="preserve">אשר </w:t>
      </w:r>
      <w:bookmarkStart w:id="28280" w:name="_ETM_Q47_665329"/>
      <w:bookmarkEnd w:id="28280"/>
      <w:r>
        <w:rPr>
          <w:rFonts w:hint="cs"/>
          <w:rtl/>
        </w:rPr>
        <w:t xml:space="preserve">הייתה </w:t>
      </w:r>
      <w:bookmarkStart w:id="28281" w:name="_ETM_Q47_665599"/>
      <w:bookmarkEnd w:id="28281"/>
      <w:r>
        <w:rPr>
          <w:rFonts w:hint="cs"/>
          <w:rtl/>
        </w:rPr>
        <w:t xml:space="preserve">חזקה </w:t>
      </w:r>
      <w:bookmarkStart w:id="28282" w:name="_ETM_Q47_666170"/>
      <w:bookmarkEnd w:id="28282"/>
      <w:r>
        <w:rPr>
          <w:rFonts w:hint="cs"/>
          <w:rtl/>
        </w:rPr>
        <w:t xml:space="preserve">הרבה </w:t>
      </w:r>
      <w:bookmarkStart w:id="28283" w:name="_ETM_Q47_666409"/>
      <w:bookmarkEnd w:id="28283"/>
      <w:r>
        <w:rPr>
          <w:rFonts w:hint="cs"/>
          <w:rtl/>
        </w:rPr>
        <w:t xml:space="preserve">יותר </w:t>
      </w:r>
      <w:bookmarkStart w:id="28284" w:name="_ETM_Q47_667220"/>
      <w:bookmarkEnd w:id="28284"/>
      <w:r>
        <w:rPr>
          <w:rFonts w:hint="cs"/>
          <w:rtl/>
        </w:rPr>
        <w:t xml:space="preserve">מחוסן </w:t>
      </w:r>
      <w:bookmarkStart w:id="28285" w:name="_ETM_Q47_668060"/>
      <w:bookmarkEnd w:id="28285"/>
      <w:r>
        <w:rPr>
          <w:rFonts w:hint="cs"/>
          <w:rtl/>
        </w:rPr>
        <w:t xml:space="preserve">חומותיה </w:t>
      </w:r>
      <w:bookmarkStart w:id="28286" w:name="_ETM_Q47_668930"/>
      <w:bookmarkEnd w:id="28286"/>
      <w:r>
        <w:rPr>
          <w:rFonts w:hint="cs"/>
          <w:rtl/>
        </w:rPr>
        <w:t xml:space="preserve">הבצורות". </w:t>
      </w:r>
    </w:p>
    <w:p w:rsidR="00BB59CD" w:rsidRDefault="00BB59CD" w:rsidP="00BB59CD">
      <w:pPr>
        <w:rPr>
          <w:rtl/>
        </w:rPr>
      </w:pPr>
      <w:bookmarkStart w:id="28287" w:name="_ETM_Q47_672000"/>
      <w:bookmarkEnd w:id="28287"/>
    </w:p>
    <w:p w:rsidR="00BB59CD" w:rsidRDefault="00BB59CD" w:rsidP="0037589E">
      <w:pPr>
        <w:rPr>
          <w:rtl/>
        </w:rPr>
      </w:pPr>
      <w:bookmarkStart w:id="28288" w:name="_ETM_Q47_668000"/>
      <w:bookmarkStart w:id="28289" w:name="_ETM_Q47_670950"/>
      <w:bookmarkEnd w:id="28288"/>
      <w:bookmarkEnd w:id="28289"/>
      <w:r>
        <w:rPr>
          <w:rFonts w:hint="cs"/>
          <w:rtl/>
        </w:rPr>
        <w:t xml:space="preserve">1953 </w:t>
      </w:r>
      <w:bookmarkStart w:id="28290" w:name="_ETM_Q47_672480"/>
      <w:bookmarkEnd w:id="28290"/>
      <w:r>
        <w:rPr>
          <w:rFonts w:hint="cs"/>
          <w:rtl/>
        </w:rPr>
        <w:t xml:space="preserve">שנים </w:t>
      </w:r>
      <w:bookmarkStart w:id="28291" w:name="_ETM_Q47_672750"/>
      <w:bookmarkEnd w:id="28291"/>
      <w:r>
        <w:rPr>
          <w:rFonts w:hint="cs"/>
          <w:rtl/>
        </w:rPr>
        <w:t xml:space="preserve">אחרי </w:t>
      </w:r>
      <w:bookmarkStart w:id="28292" w:name="_ETM_Q47_674090"/>
      <w:bookmarkEnd w:id="28292"/>
      <w:r>
        <w:rPr>
          <w:rFonts w:hint="cs"/>
          <w:rtl/>
        </w:rPr>
        <w:t xml:space="preserve">ממשלת </w:t>
      </w:r>
      <w:bookmarkStart w:id="28293" w:name="_ETM_Q47_674659"/>
      <w:bookmarkEnd w:id="28293"/>
      <w:r>
        <w:rPr>
          <w:rFonts w:hint="cs"/>
          <w:rtl/>
        </w:rPr>
        <w:t xml:space="preserve">ישראל, </w:t>
      </w:r>
      <w:bookmarkStart w:id="28294" w:name="_ETM_Q47_676239"/>
      <w:bookmarkEnd w:id="28294"/>
      <w:r>
        <w:rPr>
          <w:rFonts w:hint="cs"/>
          <w:rtl/>
        </w:rPr>
        <w:t xml:space="preserve">הממשלה </w:t>
      </w:r>
      <w:bookmarkStart w:id="28295" w:name="_ETM_Q47_677260"/>
      <w:bookmarkEnd w:id="28295"/>
      <w:r>
        <w:rPr>
          <w:rFonts w:hint="cs"/>
          <w:rtl/>
        </w:rPr>
        <w:t xml:space="preserve">של </w:t>
      </w:r>
      <w:bookmarkStart w:id="28296" w:name="_ETM_Q47_677590"/>
      <w:bookmarkEnd w:id="28296"/>
      <w:r>
        <w:rPr>
          <w:rFonts w:hint="cs"/>
          <w:rtl/>
        </w:rPr>
        <w:t xml:space="preserve">העם </w:t>
      </w:r>
      <w:bookmarkStart w:id="28297" w:name="_ETM_Q47_677860"/>
      <w:bookmarkEnd w:id="28297"/>
      <w:r>
        <w:rPr>
          <w:rFonts w:hint="cs"/>
          <w:rtl/>
        </w:rPr>
        <w:t>היהודי שקם</w:t>
      </w:r>
      <w:bookmarkStart w:id="28298" w:name="_ETM_Q47_678489"/>
      <w:bookmarkStart w:id="28299" w:name="_ETM_Q47_678940"/>
      <w:bookmarkStart w:id="28300" w:name="_ETM_Q47_678000"/>
      <w:bookmarkEnd w:id="28298"/>
      <w:bookmarkEnd w:id="28299"/>
      <w:bookmarkEnd w:id="28300"/>
      <w:r>
        <w:rPr>
          <w:rFonts w:hint="cs"/>
          <w:rtl/>
        </w:rPr>
        <w:t xml:space="preserve"> מחדש </w:t>
      </w:r>
      <w:bookmarkStart w:id="28301" w:name="_ETM_Q47_679540"/>
      <w:bookmarkEnd w:id="28301"/>
      <w:r>
        <w:rPr>
          <w:rFonts w:hint="cs"/>
          <w:rtl/>
        </w:rPr>
        <w:t xml:space="preserve">בארצו, </w:t>
      </w:r>
      <w:bookmarkStart w:id="28302" w:name="_ETM_Q47_680630"/>
      <w:bookmarkEnd w:id="28302"/>
      <w:r>
        <w:rPr>
          <w:rFonts w:hint="cs"/>
          <w:rtl/>
        </w:rPr>
        <w:t xml:space="preserve">מרגישה </w:t>
      </w:r>
      <w:bookmarkStart w:id="28303" w:name="_ETM_Q47_681320"/>
      <w:bookmarkEnd w:id="28303"/>
      <w:r>
        <w:rPr>
          <w:rFonts w:hint="cs"/>
          <w:rtl/>
        </w:rPr>
        <w:t xml:space="preserve">צורך </w:t>
      </w:r>
      <w:bookmarkStart w:id="28304" w:name="_ETM_Q47_681950"/>
      <w:bookmarkEnd w:id="28304"/>
      <w:r>
        <w:rPr>
          <w:rFonts w:hint="cs"/>
          <w:rtl/>
        </w:rPr>
        <w:t xml:space="preserve">עז </w:t>
      </w:r>
      <w:bookmarkStart w:id="28305" w:name="_ETM_Q47_682670"/>
      <w:bookmarkEnd w:id="28305"/>
      <w:r>
        <w:rPr>
          <w:rFonts w:hint="cs"/>
          <w:rtl/>
        </w:rPr>
        <w:t xml:space="preserve">לתדלק </w:t>
      </w:r>
      <w:bookmarkStart w:id="28306" w:name="_ETM_Q47_683210"/>
      <w:bookmarkEnd w:id="28306"/>
      <w:r>
        <w:rPr>
          <w:rFonts w:hint="cs"/>
          <w:rtl/>
        </w:rPr>
        <w:t xml:space="preserve">את </w:t>
      </w:r>
      <w:bookmarkStart w:id="28307" w:name="_ETM_Q47_683360"/>
      <w:bookmarkEnd w:id="28307"/>
      <w:r>
        <w:rPr>
          <w:rFonts w:hint="cs"/>
          <w:rtl/>
        </w:rPr>
        <w:t xml:space="preserve">המריבה; </w:t>
      </w:r>
      <w:bookmarkStart w:id="28308" w:name="_ETM_Q47_684689"/>
      <w:bookmarkEnd w:id="28308"/>
      <w:r>
        <w:rPr>
          <w:rFonts w:hint="cs"/>
          <w:rtl/>
        </w:rPr>
        <w:t xml:space="preserve">מרגישה </w:t>
      </w:r>
      <w:bookmarkStart w:id="28309" w:name="_ETM_Q47_685290"/>
      <w:bookmarkEnd w:id="28309"/>
      <w:r>
        <w:rPr>
          <w:rFonts w:hint="cs"/>
          <w:rtl/>
        </w:rPr>
        <w:t xml:space="preserve">צורך </w:t>
      </w:r>
      <w:bookmarkStart w:id="28310" w:name="_ETM_Q47_685769"/>
      <w:bookmarkEnd w:id="28310"/>
      <w:r>
        <w:rPr>
          <w:rFonts w:hint="cs"/>
          <w:rtl/>
        </w:rPr>
        <w:t xml:space="preserve">עז </w:t>
      </w:r>
      <w:bookmarkStart w:id="28311" w:name="_ETM_Q47_686400"/>
      <w:bookmarkEnd w:id="28311"/>
      <w:r>
        <w:rPr>
          <w:rFonts w:hint="cs"/>
          <w:rtl/>
        </w:rPr>
        <w:t xml:space="preserve">ללבות </w:t>
      </w:r>
      <w:bookmarkStart w:id="28312" w:name="_ETM_Q47_686939"/>
      <w:bookmarkEnd w:id="28312"/>
      <w:r>
        <w:rPr>
          <w:rFonts w:hint="cs"/>
          <w:rtl/>
        </w:rPr>
        <w:t xml:space="preserve">את </w:t>
      </w:r>
      <w:bookmarkStart w:id="28313" w:name="_ETM_Q47_687090"/>
      <w:bookmarkEnd w:id="28313"/>
      <w:r>
        <w:rPr>
          <w:rFonts w:hint="cs"/>
          <w:rtl/>
        </w:rPr>
        <w:t xml:space="preserve">האש, </w:t>
      </w:r>
      <w:bookmarkStart w:id="28314" w:name="_ETM_Q47_688020"/>
      <w:bookmarkEnd w:id="28314"/>
      <w:r>
        <w:rPr>
          <w:rFonts w:hint="cs"/>
          <w:rtl/>
        </w:rPr>
        <w:t xml:space="preserve">לשפוך </w:t>
      </w:r>
      <w:bookmarkStart w:id="28315" w:name="_ETM_Q47_688920"/>
      <w:bookmarkEnd w:id="28315"/>
      <w:r>
        <w:rPr>
          <w:rFonts w:hint="cs"/>
          <w:rtl/>
        </w:rPr>
        <w:t xml:space="preserve">עוד </w:t>
      </w:r>
      <w:bookmarkStart w:id="28316" w:name="_ETM_Q47_689160"/>
      <w:bookmarkEnd w:id="28316"/>
      <w:r>
        <w:rPr>
          <w:rFonts w:hint="cs"/>
          <w:rtl/>
        </w:rPr>
        <w:t xml:space="preserve">שמן </w:t>
      </w:r>
      <w:bookmarkStart w:id="28317" w:name="_ETM_Q47_689520"/>
      <w:bookmarkEnd w:id="28317"/>
      <w:r>
        <w:rPr>
          <w:rFonts w:hint="cs"/>
          <w:rtl/>
        </w:rPr>
        <w:t xml:space="preserve">למדורה. </w:t>
      </w:r>
      <w:bookmarkStart w:id="28318" w:name="_ETM_Q47_690909"/>
      <w:bookmarkEnd w:id="28318"/>
      <w:r>
        <w:rPr>
          <w:rFonts w:hint="cs"/>
          <w:rtl/>
        </w:rPr>
        <w:t xml:space="preserve">אני </w:t>
      </w:r>
      <w:bookmarkStart w:id="28319" w:name="_ETM_Q47_691150"/>
      <w:bookmarkEnd w:id="28319"/>
      <w:r>
        <w:rPr>
          <w:rFonts w:hint="cs"/>
          <w:rtl/>
        </w:rPr>
        <w:t xml:space="preserve">שומע, </w:t>
      </w:r>
      <w:bookmarkStart w:id="28320" w:name="_ETM_Q47_691540"/>
      <w:bookmarkEnd w:id="28320"/>
      <w:r>
        <w:rPr>
          <w:rFonts w:hint="cs"/>
          <w:rtl/>
        </w:rPr>
        <w:t xml:space="preserve">אדוני </w:t>
      </w:r>
      <w:bookmarkStart w:id="28321" w:name="_ETM_Q47_691809"/>
      <w:bookmarkEnd w:id="28321"/>
      <w:r>
        <w:rPr>
          <w:rFonts w:hint="cs"/>
          <w:rtl/>
        </w:rPr>
        <w:t xml:space="preserve">היושב-ראש, </w:t>
      </w:r>
      <w:bookmarkStart w:id="28322" w:name="_ETM_Q47_693040"/>
      <w:bookmarkEnd w:id="28322"/>
      <w:r>
        <w:rPr>
          <w:rFonts w:hint="cs"/>
          <w:rtl/>
        </w:rPr>
        <w:t xml:space="preserve">את </w:t>
      </w:r>
      <w:bookmarkStart w:id="28323" w:name="_ETM_Q47_693219"/>
      <w:bookmarkEnd w:id="28323"/>
      <w:r>
        <w:rPr>
          <w:rFonts w:hint="cs"/>
          <w:rtl/>
        </w:rPr>
        <w:t xml:space="preserve">הקולות </w:t>
      </w:r>
      <w:bookmarkStart w:id="28324" w:name="_ETM_Q47_693579"/>
      <w:bookmarkEnd w:id="28324"/>
      <w:r>
        <w:rPr>
          <w:rFonts w:hint="cs"/>
          <w:rtl/>
        </w:rPr>
        <w:t xml:space="preserve">שיוצאים </w:t>
      </w:r>
      <w:bookmarkStart w:id="28325" w:name="_ETM_Q47_693939"/>
      <w:bookmarkEnd w:id="28325"/>
      <w:r>
        <w:rPr>
          <w:rFonts w:hint="cs"/>
          <w:rtl/>
        </w:rPr>
        <w:t xml:space="preserve">מכיוונם </w:t>
      </w:r>
      <w:bookmarkStart w:id="28326" w:name="_ETM_Q47_694540"/>
      <w:bookmarkEnd w:id="28326"/>
      <w:r>
        <w:rPr>
          <w:rFonts w:hint="cs"/>
          <w:rtl/>
        </w:rPr>
        <w:t xml:space="preserve">של </w:t>
      </w:r>
      <w:bookmarkStart w:id="28327" w:name="_ETM_Q47_694689"/>
      <w:bookmarkEnd w:id="28327"/>
      <w:r>
        <w:rPr>
          <w:rFonts w:hint="cs"/>
          <w:rtl/>
        </w:rPr>
        <w:t xml:space="preserve">שרים </w:t>
      </w:r>
      <w:bookmarkStart w:id="28328" w:name="_ETM_Q47_696269"/>
      <w:bookmarkEnd w:id="28328"/>
      <w:r>
        <w:rPr>
          <w:rFonts w:hint="cs"/>
          <w:rtl/>
        </w:rPr>
        <w:t xml:space="preserve">– שרים </w:t>
      </w:r>
      <w:bookmarkStart w:id="28329" w:name="_ETM_Q47_697520"/>
      <w:bookmarkEnd w:id="28329"/>
      <w:r>
        <w:rPr>
          <w:rFonts w:hint="cs"/>
          <w:rtl/>
        </w:rPr>
        <w:t xml:space="preserve">בממשלה </w:t>
      </w:r>
      <w:bookmarkStart w:id="28330" w:name="_ETM_Q47_698180"/>
      <w:bookmarkEnd w:id="28330"/>
      <w:r>
        <w:rPr>
          <w:rFonts w:hint="cs"/>
          <w:rtl/>
        </w:rPr>
        <w:t xml:space="preserve">עברית </w:t>
      </w:r>
      <w:bookmarkStart w:id="28331" w:name="_ETM_Q47_699230"/>
      <w:bookmarkEnd w:id="28331"/>
      <w:r>
        <w:rPr>
          <w:rFonts w:hint="cs"/>
          <w:rtl/>
        </w:rPr>
        <w:t xml:space="preserve">שקמה </w:t>
      </w:r>
      <w:bookmarkStart w:id="28332" w:name="_ETM_Q47_699890"/>
      <w:bookmarkEnd w:id="28332"/>
      <w:r>
        <w:rPr>
          <w:rFonts w:hint="cs"/>
          <w:rtl/>
        </w:rPr>
        <w:t xml:space="preserve">כאן </w:t>
      </w:r>
      <w:bookmarkStart w:id="28333" w:name="_ETM_Q47_700550"/>
      <w:bookmarkEnd w:id="28333"/>
      <w:r>
        <w:rPr>
          <w:rFonts w:hint="cs"/>
          <w:rtl/>
        </w:rPr>
        <w:t xml:space="preserve">בזכות </w:t>
      </w:r>
      <w:bookmarkStart w:id="28334" w:name="_ETM_Q47_701030"/>
      <w:bookmarkEnd w:id="28334"/>
      <w:r>
        <w:rPr>
          <w:rFonts w:hint="cs"/>
          <w:rtl/>
        </w:rPr>
        <w:t xml:space="preserve">דמם </w:t>
      </w:r>
      <w:bookmarkStart w:id="28335" w:name="_ETM_Q47_701360"/>
      <w:bookmarkEnd w:id="28335"/>
      <w:r>
        <w:rPr>
          <w:rFonts w:hint="cs"/>
          <w:rtl/>
        </w:rPr>
        <w:t xml:space="preserve">של </w:t>
      </w:r>
      <w:bookmarkStart w:id="28336" w:name="_ETM_Q47_701540"/>
      <w:bookmarkEnd w:id="28336"/>
      <w:r>
        <w:rPr>
          <w:rFonts w:hint="cs"/>
          <w:rtl/>
        </w:rPr>
        <w:t xml:space="preserve">לוחמות </w:t>
      </w:r>
      <w:bookmarkStart w:id="28337" w:name="_ETM_Q47_701960"/>
      <w:bookmarkEnd w:id="28337"/>
      <w:r>
        <w:rPr>
          <w:rFonts w:hint="cs"/>
          <w:rtl/>
        </w:rPr>
        <w:t xml:space="preserve">ולוחמים </w:t>
      </w:r>
      <w:bookmarkStart w:id="28338" w:name="_ETM_Q47_703069"/>
      <w:bookmarkEnd w:id="28338"/>
      <w:r>
        <w:rPr>
          <w:rFonts w:hint="cs"/>
          <w:rtl/>
        </w:rPr>
        <w:t xml:space="preserve">שהגיעו </w:t>
      </w:r>
      <w:bookmarkStart w:id="28339" w:name="_ETM_Q47_703519"/>
      <w:bookmarkEnd w:id="28339"/>
      <w:r>
        <w:rPr>
          <w:rFonts w:hint="cs"/>
          <w:rtl/>
        </w:rPr>
        <w:t xml:space="preserve">לכאן </w:t>
      </w:r>
      <w:bookmarkStart w:id="28340" w:name="_ETM_Q47_703849"/>
      <w:bookmarkEnd w:id="28340"/>
      <w:r>
        <w:rPr>
          <w:rFonts w:hint="cs"/>
          <w:rtl/>
        </w:rPr>
        <w:t xml:space="preserve">מכל </w:t>
      </w:r>
      <w:bookmarkStart w:id="28341" w:name="_ETM_Q47_704150"/>
      <w:bookmarkEnd w:id="28341"/>
      <w:r>
        <w:rPr>
          <w:rFonts w:hint="cs"/>
          <w:rtl/>
        </w:rPr>
        <w:t xml:space="preserve">קצוות </w:t>
      </w:r>
      <w:bookmarkStart w:id="28342" w:name="_ETM_Q47_704599"/>
      <w:bookmarkEnd w:id="28342"/>
      <w:r>
        <w:rPr>
          <w:rFonts w:hint="cs"/>
          <w:rtl/>
        </w:rPr>
        <w:t xml:space="preserve">תבל </w:t>
      </w:r>
      <w:bookmarkStart w:id="28343" w:name="_ETM_Q47_705809"/>
      <w:bookmarkEnd w:id="28343"/>
      <w:r>
        <w:rPr>
          <w:rFonts w:hint="cs"/>
          <w:rtl/>
        </w:rPr>
        <w:t xml:space="preserve">– אני </w:t>
      </w:r>
      <w:bookmarkStart w:id="28344" w:name="_ETM_Q47_706050"/>
      <w:bookmarkEnd w:id="28344"/>
      <w:r>
        <w:rPr>
          <w:rFonts w:hint="cs"/>
          <w:rtl/>
        </w:rPr>
        <w:t xml:space="preserve">שומע </w:t>
      </w:r>
      <w:bookmarkStart w:id="28345" w:name="_ETM_Q47_706409"/>
      <w:bookmarkEnd w:id="28345"/>
      <w:r>
        <w:rPr>
          <w:rFonts w:hint="cs"/>
          <w:rtl/>
        </w:rPr>
        <w:t xml:space="preserve">ולא </w:t>
      </w:r>
      <w:bookmarkStart w:id="28346" w:name="_ETM_Q47_706650"/>
      <w:bookmarkEnd w:id="28346"/>
      <w:r>
        <w:rPr>
          <w:rFonts w:hint="cs"/>
          <w:rtl/>
        </w:rPr>
        <w:t xml:space="preserve">מאמין. </w:t>
      </w:r>
      <w:bookmarkStart w:id="28347" w:name="_ETM_Q47_708000"/>
      <w:bookmarkEnd w:id="28347"/>
      <w:r>
        <w:rPr>
          <w:rFonts w:hint="cs"/>
          <w:rtl/>
        </w:rPr>
        <w:t xml:space="preserve">קולות </w:t>
      </w:r>
      <w:bookmarkStart w:id="28348" w:name="_ETM_Q47_708420"/>
      <w:bookmarkEnd w:id="28348"/>
      <w:r>
        <w:rPr>
          <w:rFonts w:hint="cs"/>
          <w:rtl/>
        </w:rPr>
        <w:t xml:space="preserve">השרים </w:t>
      </w:r>
      <w:bookmarkStart w:id="28349" w:name="_ETM_Q47_709989"/>
      <w:bookmarkEnd w:id="28349"/>
      <w:r>
        <w:rPr>
          <w:rFonts w:hint="cs"/>
          <w:rtl/>
        </w:rPr>
        <w:t xml:space="preserve">מבהירים </w:t>
      </w:r>
      <w:bookmarkStart w:id="28350" w:name="_ETM_Q47_711099"/>
      <w:bookmarkEnd w:id="28350"/>
      <w:r>
        <w:rPr>
          <w:rFonts w:hint="cs"/>
          <w:rtl/>
        </w:rPr>
        <w:t xml:space="preserve">שכל </w:t>
      </w:r>
      <w:bookmarkStart w:id="28351" w:name="_ETM_Q47_711579"/>
      <w:bookmarkEnd w:id="28351"/>
      <w:r>
        <w:rPr>
          <w:rFonts w:hint="cs"/>
          <w:rtl/>
        </w:rPr>
        <w:t xml:space="preserve">מטרתם </w:t>
      </w:r>
      <w:bookmarkStart w:id="28352" w:name="_ETM_Q47_712179"/>
      <w:bookmarkEnd w:id="28352"/>
      <w:r>
        <w:rPr>
          <w:rFonts w:hint="cs"/>
          <w:rtl/>
        </w:rPr>
        <w:t xml:space="preserve">היא </w:t>
      </w:r>
      <w:bookmarkStart w:id="28353" w:name="_ETM_Q47_712719"/>
      <w:bookmarkEnd w:id="28353"/>
      <w:r>
        <w:rPr>
          <w:rFonts w:hint="cs"/>
          <w:rtl/>
        </w:rPr>
        <w:t xml:space="preserve">לתדלק </w:t>
      </w:r>
      <w:bookmarkStart w:id="28354" w:name="_ETM_Q47_713319"/>
      <w:bookmarkEnd w:id="28354"/>
      <w:r>
        <w:rPr>
          <w:rFonts w:hint="cs"/>
          <w:rtl/>
        </w:rPr>
        <w:t xml:space="preserve">את </w:t>
      </w:r>
      <w:bookmarkStart w:id="28355" w:name="_ETM_Q47_713439"/>
      <w:bookmarkEnd w:id="28355"/>
      <w:r>
        <w:rPr>
          <w:rFonts w:hint="cs"/>
          <w:rtl/>
        </w:rPr>
        <w:t xml:space="preserve">המריבה, </w:t>
      </w:r>
      <w:bookmarkStart w:id="28356" w:name="_ETM_Q47_714489"/>
      <w:bookmarkEnd w:id="28356"/>
      <w:r>
        <w:rPr>
          <w:rFonts w:hint="cs"/>
          <w:rtl/>
        </w:rPr>
        <w:t xml:space="preserve">לתדלק </w:t>
      </w:r>
      <w:bookmarkStart w:id="28357" w:name="_ETM_Q47_715059"/>
      <w:bookmarkEnd w:id="28357"/>
      <w:r>
        <w:rPr>
          <w:rFonts w:hint="cs"/>
          <w:rtl/>
        </w:rPr>
        <w:t xml:space="preserve">את </w:t>
      </w:r>
      <w:bookmarkStart w:id="28358" w:name="_ETM_Q47_715179"/>
      <w:bookmarkEnd w:id="28358"/>
      <w:r>
        <w:rPr>
          <w:rFonts w:hint="cs"/>
          <w:rtl/>
        </w:rPr>
        <w:t xml:space="preserve">המחלוקת. </w:t>
      </w:r>
      <w:bookmarkStart w:id="28359" w:name="_ETM_Q47_717120"/>
      <w:bookmarkEnd w:id="28359"/>
      <w:r>
        <w:rPr>
          <w:rFonts w:hint="cs"/>
          <w:rtl/>
        </w:rPr>
        <w:t xml:space="preserve">החל </w:t>
      </w:r>
      <w:bookmarkStart w:id="28360" w:name="_ETM_Q47_717510"/>
      <w:bookmarkEnd w:id="28360"/>
      <w:r>
        <w:rPr>
          <w:rFonts w:hint="cs"/>
          <w:rtl/>
        </w:rPr>
        <w:t xml:space="preserve">מבר </w:t>
      </w:r>
      <w:bookmarkStart w:id="28361" w:name="_ETM_Q47_717839"/>
      <w:bookmarkEnd w:id="28361"/>
      <w:r>
        <w:rPr>
          <w:rFonts w:hint="cs"/>
          <w:rtl/>
        </w:rPr>
        <w:t xml:space="preserve">הסלטים </w:t>
      </w:r>
      <w:bookmarkStart w:id="28362" w:name="_ETM_Q47_718439"/>
      <w:bookmarkEnd w:id="28362"/>
      <w:r>
        <w:rPr>
          <w:rFonts w:hint="cs"/>
          <w:rtl/>
        </w:rPr>
        <w:t xml:space="preserve">שפתח </w:t>
      </w:r>
      <w:bookmarkStart w:id="28363" w:name="_ETM_Q47_719499"/>
      <w:bookmarkEnd w:id="28363"/>
      <w:r>
        <w:rPr>
          <w:rFonts w:hint="cs"/>
          <w:rtl/>
        </w:rPr>
        <w:t xml:space="preserve">גיבור </w:t>
      </w:r>
      <w:bookmarkStart w:id="28364" w:name="_ETM_Q47_720010"/>
      <w:bookmarkEnd w:id="28364"/>
      <w:r>
        <w:rPr>
          <w:rFonts w:hint="cs"/>
          <w:rtl/>
        </w:rPr>
        <w:t xml:space="preserve">החיל, </w:t>
      </w:r>
      <w:bookmarkStart w:id="28365" w:name="_ETM_Q47_720489"/>
      <w:bookmarkEnd w:id="28365"/>
      <w:r>
        <w:rPr>
          <w:rFonts w:hint="cs"/>
          <w:rtl/>
        </w:rPr>
        <w:t xml:space="preserve">הלוחם </w:t>
      </w:r>
      <w:bookmarkStart w:id="28366" w:name="_ETM_Q47_721059"/>
      <w:bookmarkEnd w:id="28366"/>
      <w:r>
        <w:rPr>
          <w:rFonts w:hint="cs"/>
          <w:rtl/>
        </w:rPr>
        <w:t xml:space="preserve">עז הרוח והנפש </w:t>
      </w:r>
      <w:bookmarkStart w:id="28367" w:name="_ETM_Q47_721000"/>
      <w:bookmarkStart w:id="28368" w:name="_ETM_Q47_721599"/>
      <w:bookmarkStart w:id="28369" w:name="_ETM_Q47_722139"/>
      <w:bookmarkEnd w:id="28367"/>
      <w:bookmarkEnd w:id="28368"/>
      <w:bookmarkEnd w:id="28369"/>
      <w:r>
        <w:rPr>
          <w:rFonts w:hint="cs"/>
          <w:rtl/>
        </w:rPr>
        <w:t xml:space="preserve">איתמר </w:t>
      </w:r>
      <w:bookmarkStart w:id="28370" w:name="_ETM_Q47_722499"/>
      <w:bookmarkEnd w:id="28370"/>
      <w:r>
        <w:rPr>
          <w:rFonts w:hint="cs"/>
          <w:rtl/>
        </w:rPr>
        <w:t xml:space="preserve">בן </w:t>
      </w:r>
      <w:bookmarkStart w:id="28371" w:name="_ETM_Q47_722709"/>
      <w:bookmarkEnd w:id="28371"/>
      <w:r>
        <w:rPr>
          <w:rFonts w:hint="cs"/>
          <w:rtl/>
        </w:rPr>
        <w:t>גביר; עבור</w:t>
      </w:r>
      <w:bookmarkStart w:id="28372" w:name="_ETM_Q47_723690"/>
      <w:bookmarkStart w:id="28373" w:name="_ETM_Q47_724170"/>
      <w:bookmarkStart w:id="28374" w:name="_ETM_Q47_724410"/>
      <w:bookmarkEnd w:id="28372"/>
      <w:bookmarkEnd w:id="28373"/>
      <w:bookmarkEnd w:id="28374"/>
      <w:r>
        <w:rPr>
          <w:rFonts w:hint="cs"/>
          <w:rtl/>
        </w:rPr>
        <w:t xml:space="preserve"> באקרובטי</w:t>
      </w:r>
      <w:bookmarkStart w:id="28375" w:name="_ETM_Q47_724950"/>
      <w:bookmarkEnd w:id="28375"/>
      <w:r>
        <w:rPr>
          <w:rFonts w:hint="cs"/>
          <w:rtl/>
        </w:rPr>
        <w:t xml:space="preserve">ת </w:t>
      </w:r>
      <w:bookmarkStart w:id="28376" w:name="_ETM_Q47_725040"/>
      <w:bookmarkEnd w:id="28376"/>
      <w:r>
        <w:rPr>
          <w:rFonts w:hint="cs"/>
          <w:rtl/>
        </w:rPr>
        <w:t xml:space="preserve">המילים </w:t>
      </w:r>
      <w:bookmarkStart w:id="28377" w:name="_ETM_Q47_725400"/>
      <w:bookmarkEnd w:id="28377"/>
      <w:r>
        <w:rPr>
          <w:rFonts w:hint="cs"/>
          <w:rtl/>
        </w:rPr>
        <w:t xml:space="preserve">והתעופה </w:t>
      </w:r>
      <w:bookmarkStart w:id="28378" w:name="_ETM_Q47_726650"/>
      <w:bookmarkEnd w:id="28378"/>
      <w:r>
        <w:rPr>
          <w:rFonts w:hint="cs"/>
          <w:rtl/>
        </w:rPr>
        <w:t xml:space="preserve">הטייסת </w:t>
      </w:r>
      <w:bookmarkStart w:id="28379" w:name="_ETM_Q47_727309"/>
      <w:bookmarkEnd w:id="28379"/>
      <w:r>
        <w:rPr>
          <w:rFonts w:hint="cs"/>
          <w:rtl/>
        </w:rPr>
        <w:t xml:space="preserve">המהוללת, </w:t>
      </w:r>
      <w:bookmarkStart w:id="28380" w:name="_ETM_Q47_727879"/>
      <w:bookmarkEnd w:id="28380"/>
      <w:r>
        <w:rPr>
          <w:rFonts w:hint="cs"/>
          <w:rtl/>
        </w:rPr>
        <w:t xml:space="preserve">גלית </w:t>
      </w:r>
      <w:bookmarkStart w:id="28381" w:name="_ETM_Q47_728150"/>
      <w:bookmarkEnd w:id="28381"/>
      <w:r>
        <w:rPr>
          <w:rFonts w:hint="cs"/>
          <w:rtl/>
        </w:rPr>
        <w:t xml:space="preserve">דיסטל, </w:t>
      </w:r>
      <w:bookmarkStart w:id="28382" w:name="_ETM_Q47_729079"/>
      <w:bookmarkEnd w:id="28382"/>
      <w:r>
        <w:rPr>
          <w:rFonts w:hint="cs"/>
          <w:rtl/>
        </w:rPr>
        <w:t xml:space="preserve">שלשיטתה </w:t>
      </w:r>
      <w:bookmarkStart w:id="28383" w:name="_ETM_Q47_730489"/>
      <w:bookmarkEnd w:id="28383"/>
      <w:r>
        <w:rPr>
          <w:rFonts w:hint="cs"/>
          <w:rtl/>
        </w:rPr>
        <w:t xml:space="preserve">טייסי </w:t>
      </w:r>
      <w:bookmarkStart w:id="28384" w:name="_ETM_Q47_730939"/>
      <w:bookmarkEnd w:id="28384"/>
      <w:r>
        <w:rPr>
          <w:rFonts w:hint="cs"/>
          <w:rtl/>
        </w:rPr>
        <w:t xml:space="preserve">המילואים </w:t>
      </w:r>
      <w:bookmarkStart w:id="28385" w:name="_ETM_Q47_731359"/>
      <w:bookmarkEnd w:id="28385"/>
      <w:r>
        <w:rPr>
          <w:rFonts w:hint="cs"/>
          <w:rtl/>
        </w:rPr>
        <w:t xml:space="preserve">בחיל </w:t>
      </w:r>
      <w:bookmarkStart w:id="28386" w:name="_ETM_Q47_731689"/>
      <w:bookmarkEnd w:id="28386"/>
      <w:r>
        <w:rPr>
          <w:rFonts w:hint="cs"/>
          <w:rtl/>
        </w:rPr>
        <w:t xml:space="preserve">האוויר </w:t>
      </w:r>
      <w:bookmarkStart w:id="28387" w:name="_ETM_Q47_732019"/>
      <w:bookmarkEnd w:id="28387"/>
      <w:r>
        <w:rPr>
          <w:rFonts w:hint="cs"/>
          <w:rtl/>
        </w:rPr>
        <w:t xml:space="preserve">הם </w:t>
      </w:r>
      <w:bookmarkStart w:id="28388" w:name="_ETM_Q47_732109"/>
      <w:bookmarkEnd w:id="28388"/>
      <w:r>
        <w:rPr>
          <w:rFonts w:hint="cs"/>
          <w:rtl/>
        </w:rPr>
        <w:t xml:space="preserve">נפולת </w:t>
      </w:r>
      <w:bookmarkStart w:id="28389" w:name="_ETM_Q47_732559"/>
      <w:bookmarkEnd w:id="28389"/>
      <w:r>
        <w:rPr>
          <w:rFonts w:hint="cs"/>
          <w:rtl/>
        </w:rPr>
        <w:t xml:space="preserve">של </w:t>
      </w:r>
      <w:bookmarkStart w:id="28390" w:name="_ETM_Q47_732709"/>
      <w:bookmarkEnd w:id="28390"/>
      <w:r>
        <w:rPr>
          <w:rFonts w:hint="cs"/>
          <w:rtl/>
        </w:rPr>
        <w:t xml:space="preserve">נמושות, </w:t>
      </w:r>
      <w:bookmarkStart w:id="28391" w:name="_ETM_Q47_733549"/>
      <w:bookmarkEnd w:id="28391"/>
      <w:r>
        <w:rPr>
          <w:rFonts w:hint="cs"/>
          <w:rtl/>
        </w:rPr>
        <w:t xml:space="preserve">ושאלף </w:t>
      </w:r>
      <w:bookmarkStart w:id="28392" w:name="_ETM_Q47_734449"/>
      <w:bookmarkEnd w:id="28392"/>
      <w:r>
        <w:rPr>
          <w:rFonts w:hint="cs"/>
          <w:rtl/>
        </w:rPr>
        <w:t xml:space="preserve">טייסים </w:t>
      </w:r>
      <w:bookmarkStart w:id="28393" w:name="_ETM_Q47_734989"/>
      <w:bookmarkEnd w:id="28393"/>
      <w:r>
        <w:rPr>
          <w:rFonts w:hint="cs"/>
          <w:rtl/>
        </w:rPr>
        <w:t xml:space="preserve">לא </w:t>
      </w:r>
      <w:bookmarkStart w:id="28394" w:name="_ETM_Q47_735079"/>
      <w:bookmarkEnd w:id="28394"/>
      <w:r>
        <w:rPr>
          <w:rFonts w:hint="cs"/>
          <w:rtl/>
        </w:rPr>
        <w:t xml:space="preserve">יצליחו </w:t>
      </w:r>
      <w:bookmarkStart w:id="28395" w:name="_ETM_Q47_735559"/>
      <w:bookmarkEnd w:id="28395"/>
      <w:r>
        <w:rPr>
          <w:rFonts w:hint="cs"/>
          <w:rtl/>
        </w:rPr>
        <w:t xml:space="preserve">לכבות </w:t>
      </w:r>
      <w:bookmarkStart w:id="28396" w:name="_ETM_Q47_736009"/>
      <w:bookmarkEnd w:id="28396"/>
      <w:r>
        <w:rPr>
          <w:rFonts w:hint="cs"/>
          <w:rtl/>
        </w:rPr>
        <w:t xml:space="preserve">אותה; </w:t>
      </w:r>
      <w:bookmarkStart w:id="28397" w:name="_ETM_Q47_737009"/>
      <w:bookmarkEnd w:id="28397"/>
      <w:r>
        <w:rPr>
          <w:rFonts w:hint="cs"/>
          <w:rtl/>
        </w:rPr>
        <w:t xml:space="preserve">ועד </w:t>
      </w:r>
      <w:bookmarkStart w:id="28398" w:name="_ETM_Q47_737429"/>
      <w:bookmarkEnd w:id="28398"/>
      <w:r>
        <w:rPr>
          <w:rFonts w:hint="cs"/>
          <w:rtl/>
        </w:rPr>
        <w:t xml:space="preserve">אליך, </w:t>
      </w:r>
      <w:bookmarkStart w:id="28399" w:name="_ETM_Q47_737759"/>
      <w:bookmarkEnd w:id="28399"/>
      <w:r>
        <w:rPr>
          <w:rFonts w:hint="cs"/>
          <w:rtl/>
        </w:rPr>
        <w:t xml:space="preserve">השר </w:t>
      </w:r>
      <w:bookmarkStart w:id="28400" w:name="_ETM_Q47_738120"/>
      <w:bookmarkEnd w:id="28400"/>
      <w:r>
        <w:rPr>
          <w:rFonts w:hint="cs"/>
          <w:rtl/>
        </w:rPr>
        <w:t xml:space="preserve">קרעי, </w:t>
      </w:r>
      <w:bookmarkStart w:id="28401" w:name="_ETM_Q47_738960"/>
      <w:bookmarkEnd w:id="28401"/>
      <w:r>
        <w:rPr>
          <w:rFonts w:hint="cs"/>
          <w:rtl/>
        </w:rPr>
        <w:t xml:space="preserve">אומן </w:t>
      </w:r>
      <w:bookmarkStart w:id="28402" w:name="_ETM_Q47_739379"/>
      <w:bookmarkEnd w:id="28402"/>
      <w:r>
        <w:rPr>
          <w:rFonts w:hint="cs"/>
          <w:rtl/>
        </w:rPr>
        <w:t xml:space="preserve">הגימטרייה </w:t>
      </w:r>
      <w:bookmarkStart w:id="28403" w:name="_ETM_Q47_740159"/>
      <w:bookmarkEnd w:id="28403"/>
      <w:r>
        <w:rPr>
          <w:rFonts w:hint="cs"/>
          <w:rtl/>
        </w:rPr>
        <w:t xml:space="preserve">ומתק </w:t>
      </w:r>
      <w:bookmarkStart w:id="28404" w:name="_ETM_Q47_740639"/>
      <w:bookmarkEnd w:id="28404"/>
      <w:r>
        <w:rPr>
          <w:rFonts w:hint="cs"/>
          <w:rtl/>
        </w:rPr>
        <w:t xml:space="preserve">השפתיים, </w:t>
      </w:r>
      <w:bookmarkStart w:id="28405" w:name="_ETM_Q47_741629"/>
      <w:bookmarkEnd w:id="28405"/>
      <w:r>
        <w:rPr>
          <w:rFonts w:hint="cs"/>
          <w:rtl/>
        </w:rPr>
        <w:t xml:space="preserve">ששולח </w:t>
      </w:r>
      <w:bookmarkStart w:id="28406" w:name="_ETM_Q47_742229"/>
      <w:bookmarkEnd w:id="28406"/>
      <w:r>
        <w:rPr>
          <w:rFonts w:hint="cs"/>
          <w:rtl/>
        </w:rPr>
        <w:t xml:space="preserve">את </w:t>
      </w:r>
      <w:bookmarkStart w:id="28407" w:name="_ETM_Q47_742379"/>
      <w:bookmarkEnd w:id="28407"/>
      <w:r>
        <w:rPr>
          <w:rFonts w:hint="cs"/>
          <w:rtl/>
        </w:rPr>
        <w:t xml:space="preserve">טייסי </w:t>
      </w:r>
      <w:bookmarkStart w:id="28408" w:name="_ETM_Q47_742770"/>
      <w:bookmarkEnd w:id="28408"/>
      <w:r>
        <w:rPr>
          <w:rFonts w:hint="cs"/>
          <w:rtl/>
        </w:rPr>
        <w:t xml:space="preserve">המילואים </w:t>
      </w:r>
      <w:bookmarkStart w:id="28409" w:name="_ETM_Q47_743250"/>
      <w:bookmarkEnd w:id="28409"/>
      <w:r>
        <w:rPr>
          <w:rFonts w:hint="cs"/>
          <w:rtl/>
        </w:rPr>
        <w:t xml:space="preserve">במדינת </w:t>
      </w:r>
      <w:bookmarkStart w:id="28410" w:name="_ETM_Q47_743639"/>
      <w:bookmarkEnd w:id="28410"/>
      <w:r>
        <w:rPr>
          <w:rFonts w:hint="cs"/>
          <w:rtl/>
        </w:rPr>
        <w:t>ישראל</w:t>
      </w:r>
      <w:bookmarkStart w:id="28411" w:name="_ETM_Q47_744389"/>
      <w:bookmarkEnd w:id="28411"/>
      <w:r>
        <w:rPr>
          <w:rFonts w:hint="cs"/>
          <w:rtl/>
        </w:rPr>
        <w:t xml:space="preserve"> </w:t>
      </w:r>
      <w:bookmarkStart w:id="28412" w:name="_ETM_Q47_744900"/>
      <w:bookmarkEnd w:id="28412"/>
      <w:r>
        <w:rPr>
          <w:rFonts w:hint="cs"/>
          <w:rtl/>
        </w:rPr>
        <w:t>לעזאזל.</w:t>
      </w:r>
    </w:p>
    <w:p w:rsidR="00BB59CD" w:rsidRDefault="00BB59CD" w:rsidP="00BB59CD">
      <w:pPr>
        <w:rPr>
          <w:rtl/>
        </w:rPr>
      </w:pPr>
      <w:bookmarkStart w:id="28413" w:name="_ETM_Q47_744000"/>
      <w:bookmarkEnd w:id="28413"/>
    </w:p>
    <w:p w:rsidR="00BB59CD" w:rsidRDefault="00BB59CD" w:rsidP="00BB59CD">
      <w:pPr>
        <w:pStyle w:val="af8"/>
        <w:keepNext/>
        <w:rPr>
          <w:rtl/>
        </w:rPr>
      </w:pPr>
      <w:bookmarkStart w:id="28414" w:name="ET_interruption_6461_35"/>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28414"/>
    </w:p>
    <w:p w:rsidR="00BB59CD" w:rsidRDefault="00BB59CD" w:rsidP="00337201">
      <w:pPr>
        <w:rPr>
          <w:rtl/>
        </w:rPr>
      </w:pPr>
    </w:p>
    <w:p w:rsidR="00BB59CD" w:rsidRDefault="00BB59CD" w:rsidP="00BB59CD">
      <w:pPr>
        <w:rPr>
          <w:rtl/>
        </w:rPr>
      </w:pPr>
      <w:r>
        <w:rPr>
          <w:rFonts w:hint="cs"/>
          <w:rtl/>
        </w:rPr>
        <w:t>את הסרבנים.</w:t>
      </w:r>
    </w:p>
    <w:p w:rsidR="00BB59CD" w:rsidRDefault="00BB59CD" w:rsidP="00BB59CD">
      <w:pPr>
        <w:rPr>
          <w:rtl/>
        </w:rPr>
      </w:pPr>
      <w:bookmarkStart w:id="28415" w:name="_ETM_Q47_743000"/>
      <w:bookmarkEnd w:id="28415"/>
    </w:p>
    <w:p w:rsidR="00BB59CD" w:rsidRDefault="00BB59CD" w:rsidP="00BB59CD">
      <w:pPr>
        <w:pStyle w:val="-"/>
        <w:keepNext/>
        <w:rPr>
          <w:rtl/>
        </w:rPr>
      </w:pPr>
      <w:bookmarkStart w:id="28416" w:name="ET_speakercontinue_5520_36"/>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8416"/>
    </w:p>
    <w:p w:rsidR="00BB59CD" w:rsidRDefault="00BB59CD" w:rsidP="00337201">
      <w:pPr>
        <w:rPr>
          <w:rtl/>
        </w:rPr>
      </w:pPr>
    </w:p>
    <w:p w:rsidR="00BB59CD" w:rsidRDefault="00BB59CD" w:rsidP="0037589E">
      <w:pPr>
        <w:rPr>
          <w:rtl/>
        </w:rPr>
      </w:pPr>
      <w:bookmarkStart w:id="28417" w:name="_ETM_Q47_746000"/>
      <w:bookmarkStart w:id="28418" w:name="_ETM_Q47_746350"/>
      <w:bookmarkEnd w:id="28417"/>
      <w:bookmarkEnd w:id="28418"/>
      <w:r>
        <w:rPr>
          <w:rFonts w:hint="cs"/>
          <w:rtl/>
        </w:rPr>
        <w:t xml:space="preserve">אבל </w:t>
      </w:r>
      <w:bookmarkStart w:id="28419" w:name="_ETM_Q47_747440"/>
      <w:bookmarkEnd w:id="28419"/>
      <w:r>
        <w:rPr>
          <w:rFonts w:hint="cs"/>
          <w:rtl/>
        </w:rPr>
        <w:t xml:space="preserve">אסור </w:t>
      </w:r>
      <w:bookmarkStart w:id="28420" w:name="_ETM_Q47_748009"/>
      <w:bookmarkEnd w:id="28420"/>
      <w:r>
        <w:rPr>
          <w:rFonts w:hint="cs"/>
          <w:rtl/>
        </w:rPr>
        <w:t xml:space="preserve">להתבלבל </w:t>
      </w:r>
      <w:bookmarkStart w:id="28421" w:name="_ETM_Q47_749199"/>
      <w:bookmarkEnd w:id="28421"/>
      <w:r>
        <w:rPr>
          <w:rFonts w:hint="cs"/>
          <w:rtl/>
        </w:rPr>
        <w:t xml:space="preserve">ואסור </w:t>
      </w:r>
      <w:bookmarkStart w:id="28422" w:name="_ETM_Q47_749830"/>
      <w:bookmarkEnd w:id="28422"/>
      <w:r>
        <w:rPr>
          <w:rFonts w:hint="cs"/>
          <w:rtl/>
        </w:rPr>
        <w:t xml:space="preserve">לתת </w:t>
      </w:r>
      <w:bookmarkStart w:id="28423" w:name="_ETM_Q47_750159"/>
      <w:bookmarkEnd w:id="28423"/>
      <w:r>
        <w:rPr>
          <w:rFonts w:hint="cs"/>
          <w:rtl/>
        </w:rPr>
        <w:t xml:space="preserve">לכל </w:t>
      </w:r>
      <w:bookmarkStart w:id="28424" w:name="_ETM_Q47_750429"/>
      <w:bookmarkEnd w:id="28424"/>
      <w:r>
        <w:rPr>
          <w:rFonts w:hint="cs"/>
          <w:rtl/>
        </w:rPr>
        <w:t xml:space="preserve">החבורה </w:t>
      </w:r>
      <w:bookmarkStart w:id="28425" w:name="_ETM_Q47_750909"/>
      <w:bookmarkEnd w:id="28425"/>
      <w:r>
        <w:rPr>
          <w:rFonts w:hint="cs"/>
          <w:rtl/>
        </w:rPr>
        <w:t xml:space="preserve">המופקרת </w:t>
      </w:r>
      <w:bookmarkStart w:id="28426" w:name="_ETM_Q47_751539"/>
      <w:bookmarkEnd w:id="28426"/>
      <w:r>
        <w:rPr>
          <w:rFonts w:hint="cs"/>
          <w:rtl/>
        </w:rPr>
        <w:t xml:space="preserve">הזאת, </w:t>
      </w:r>
      <w:bookmarkStart w:id="28427" w:name="_ETM_Q47_752350"/>
      <w:bookmarkEnd w:id="28427"/>
      <w:r>
        <w:rPr>
          <w:rFonts w:hint="cs"/>
          <w:rtl/>
        </w:rPr>
        <w:t xml:space="preserve">המסוכנת </w:t>
      </w:r>
      <w:bookmarkStart w:id="28428" w:name="_ETM_Q47_753460"/>
      <w:bookmarkEnd w:id="28428"/>
      <w:r>
        <w:rPr>
          <w:rFonts w:hint="cs"/>
          <w:rtl/>
        </w:rPr>
        <w:t xml:space="preserve">הזאת, </w:t>
      </w:r>
      <w:bookmarkStart w:id="28429" w:name="_ETM_Q47_754300"/>
      <w:bookmarkEnd w:id="28429"/>
      <w:r>
        <w:rPr>
          <w:rFonts w:hint="cs"/>
          <w:rtl/>
        </w:rPr>
        <w:t xml:space="preserve">לבלבל </w:t>
      </w:r>
      <w:bookmarkStart w:id="28430" w:name="_ETM_Q47_754870"/>
      <w:bookmarkEnd w:id="28430"/>
      <w:r>
        <w:rPr>
          <w:rFonts w:hint="cs"/>
          <w:rtl/>
        </w:rPr>
        <w:t xml:space="preserve">אותנו. </w:t>
      </w:r>
      <w:bookmarkStart w:id="28431" w:name="_ETM_Q47_756179"/>
      <w:bookmarkStart w:id="28432" w:name="_ETM_Q47_758000"/>
      <w:bookmarkStart w:id="28433" w:name="TOR_Q48"/>
      <w:bookmarkEnd w:id="28431"/>
      <w:bookmarkEnd w:id="28432"/>
      <w:bookmarkEnd w:id="28433"/>
      <w:r>
        <w:rPr>
          <w:rFonts w:hint="cs"/>
          <w:rtl/>
        </w:rPr>
        <w:t xml:space="preserve">למצב שאליו הגענו יש רק כתובת אחת – היא לא אתה, חבר הכנסת קרעי, היא לא גלית דיסטל, היא לא איתמר בן גביר, היא גם לא יריב </w:t>
      </w:r>
      <w:bookmarkStart w:id="28434" w:name="_ETM_Q48_168000"/>
      <w:bookmarkEnd w:id="28434"/>
      <w:r>
        <w:rPr>
          <w:rFonts w:hint="cs"/>
          <w:rtl/>
        </w:rPr>
        <w:t xml:space="preserve">לוין וגם לא שמחה רוטמן. יש כתובת אחת לבן אדם </w:t>
      </w:r>
      <w:bookmarkStart w:id="28435" w:name="_ETM_Q48_171000"/>
      <w:bookmarkEnd w:id="28435"/>
      <w:r>
        <w:rPr>
          <w:rFonts w:hint="cs"/>
          <w:rtl/>
        </w:rPr>
        <w:t>שנושא באחריות למה שקורה כאן, במדינת ישראל, וקוראים לו בנימין</w:t>
      </w:r>
      <w:bookmarkStart w:id="28436" w:name="_ETM_Q48_177000"/>
      <w:bookmarkEnd w:id="28436"/>
      <w:r>
        <w:rPr>
          <w:rFonts w:hint="cs"/>
          <w:rtl/>
        </w:rPr>
        <w:t xml:space="preserve"> נתניהו. הוא העומד בראש הפירמידה, הוא ראש ממשלת ישראל, הוא </w:t>
      </w:r>
      <w:bookmarkStart w:id="28437" w:name="_ETM_Q48_184000"/>
      <w:bookmarkEnd w:id="28437"/>
      <w:r>
        <w:rPr>
          <w:rFonts w:hint="cs"/>
          <w:rtl/>
        </w:rPr>
        <w:t xml:space="preserve">מוביל את מדינת ישראל לחורבן, ורק בגלל שלשיטתו של בנימין </w:t>
      </w:r>
      <w:bookmarkStart w:id="28438" w:name="_ETM_Q48_189000"/>
      <w:bookmarkEnd w:id="28438"/>
      <w:r>
        <w:rPr>
          <w:rFonts w:hint="cs"/>
          <w:rtl/>
        </w:rPr>
        <w:t xml:space="preserve">נתניהו המדינה זה הוא. ואם הוא נמצא במצוקה משפטית ואם </w:t>
      </w:r>
      <w:bookmarkStart w:id="28439" w:name="_ETM_Q48_193000"/>
      <w:bookmarkEnd w:id="28439"/>
      <w:r>
        <w:rPr>
          <w:rFonts w:hint="cs"/>
          <w:rtl/>
        </w:rPr>
        <w:t>הוא עומד למשפט, אז בואו נפרק את מערכת המשפט</w:t>
      </w:r>
      <w:r w:rsidR="0037589E">
        <w:rPr>
          <w:rFonts w:hint="cs"/>
          <w:rtl/>
        </w:rPr>
        <w:t>;</w:t>
      </w:r>
      <w:r>
        <w:rPr>
          <w:rFonts w:hint="cs"/>
          <w:rtl/>
        </w:rPr>
        <w:t xml:space="preserve"> גם </w:t>
      </w:r>
      <w:bookmarkStart w:id="28440" w:name="_ETM_Q48_200000"/>
      <w:bookmarkEnd w:id="28440"/>
      <w:r>
        <w:rPr>
          <w:rFonts w:hint="cs"/>
          <w:rtl/>
        </w:rPr>
        <w:t>אם לא יהיו לנו טייסות</w:t>
      </w:r>
      <w:r w:rsidR="0037589E">
        <w:rPr>
          <w:rFonts w:hint="cs"/>
          <w:rtl/>
        </w:rPr>
        <w:t>,</w:t>
      </w:r>
      <w:r>
        <w:rPr>
          <w:rFonts w:hint="cs"/>
          <w:rtl/>
        </w:rPr>
        <w:t xml:space="preserve"> לשיטתו, לפחות תהיה לנו </w:t>
      </w:r>
      <w:bookmarkStart w:id="28441" w:name="_ETM_Q48_199000"/>
      <w:bookmarkEnd w:id="28441"/>
      <w:r>
        <w:rPr>
          <w:rFonts w:hint="cs"/>
          <w:rtl/>
        </w:rPr>
        <w:t>ממשלה הזויה שתשרת את הגחמות שלו.</w:t>
      </w:r>
    </w:p>
    <w:p w:rsidR="00BB59CD" w:rsidRDefault="00BB59CD" w:rsidP="00BB59CD">
      <w:pPr>
        <w:rPr>
          <w:rtl/>
        </w:rPr>
      </w:pPr>
    </w:p>
    <w:p w:rsidR="00BB59CD" w:rsidRDefault="00BB59CD" w:rsidP="0037589E">
      <w:pPr>
        <w:rPr>
          <w:rtl/>
        </w:rPr>
      </w:pPr>
      <w:r>
        <w:rPr>
          <w:rFonts w:hint="cs"/>
          <w:rtl/>
        </w:rPr>
        <w:t xml:space="preserve">אני רוצה להקדיש כמה מילים </w:t>
      </w:r>
      <w:bookmarkStart w:id="28442" w:name="_ETM_Q48_206000"/>
      <w:bookmarkEnd w:id="28442"/>
      <w:r>
        <w:rPr>
          <w:rFonts w:hint="cs"/>
          <w:rtl/>
        </w:rPr>
        <w:t xml:space="preserve">לראש הממשלה נתניהו. כמה מילים, כדי שיבין </w:t>
      </w:r>
      <w:bookmarkStart w:id="28443" w:name="_ETM_Q48_214000"/>
      <w:bookmarkEnd w:id="28443"/>
      <w:r>
        <w:rPr>
          <w:rFonts w:hint="cs"/>
          <w:rtl/>
        </w:rPr>
        <w:t xml:space="preserve">אולי את מה שהוא הבין בעבר וכנראה שכח: ממשלת ישראל </w:t>
      </w:r>
      <w:bookmarkStart w:id="28444" w:name="_ETM_Q48_215000"/>
      <w:bookmarkEnd w:id="28444"/>
      <w:r>
        <w:rPr>
          <w:rFonts w:hint="cs"/>
          <w:rtl/>
        </w:rPr>
        <w:t xml:space="preserve">עבורנו, עבור רבים, היא נס גלוי. עבור סבא שלי זה </w:t>
      </w:r>
      <w:bookmarkStart w:id="28445" w:name="_ETM_Q48_227000"/>
      <w:bookmarkEnd w:id="28445"/>
      <w:r>
        <w:rPr>
          <w:rFonts w:hint="cs"/>
          <w:rtl/>
        </w:rPr>
        <w:t>היה משהו שכאילו הוא לא יכול היה לדמיין אפילו. סבא</w:t>
      </w:r>
      <w:bookmarkStart w:id="28446" w:name="_ETM_Q48_233000"/>
      <w:bookmarkEnd w:id="28446"/>
      <w:r>
        <w:rPr>
          <w:rFonts w:hint="cs"/>
          <w:rtl/>
        </w:rPr>
        <w:t xml:space="preserve"> שלי, זיכרונו לברכה, נולד ברחובות בשנת 1903, נכד לבונה הבית הראשון </w:t>
      </w:r>
      <w:bookmarkStart w:id="28447" w:name="_ETM_Q48_237000"/>
      <w:bookmarkEnd w:id="28447"/>
      <w:r>
        <w:rPr>
          <w:rFonts w:hint="cs"/>
          <w:rtl/>
        </w:rPr>
        <w:t xml:space="preserve">במושבה. את בר-המצווה שלו ברחובות הוא חגג בבית הכנסת </w:t>
      </w:r>
      <w:bookmarkStart w:id="28448" w:name="_ETM_Q48_241000"/>
      <w:bookmarkEnd w:id="28448"/>
      <w:r>
        <w:rPr>
          <w:rFonts w:hint="cs"/>
          <w:rtl/>
        </w:rPr>
        <w:t>הגדול אהל שרה, כשהטורקים עדיין שלטו בארץ. את החתונה שלו,</w:t>
      </w:r>
      <w:bookmarkStart w:id="28449" w:name="_ETM_Q48_252000"/>
      <w:bookmarkEnd w:id="28449"/>
      <w:r>
        <w:rPr>
          <w:rFonts w:hint="cs"/>
          <w:rtl/>
        </w:rPr>
        <w:t xml:space="preserve"> שהוא ערך ברחובות, הוא כבר ערך כשהמנדט הבריטי </w:t>
      </w:r>
      <w:bookmarkStart w:id="28450" w:name="_ETM_Q48_256000"/>
      <w:bookmarkEnd w:id="28450"/>
      <w:r>
        <w:rPr>
          <w:rFonts w:hint="cs"/>
          <w:rtl/>
        </w:rPr>
        <w:t xml:space="preserve">שלט בארץ ישראל, ולאבא שלי ברחובות, באותו בית </w:t>
      </w:r>
      <w:bookmarkStart w:id="28451" w:name="_ETM_Q48_264000"/>
      <w:bookmarkEnd w:id="28451"/>
      <w:r>
        <w:rPr>
          <w:rFonts w:hint="cs"/>
          <w:rtl/>
        </w:rPr>
        <w:t xml:space="preserve">כנסת, הוא חגג בר-מצווה – אך הפעם תחת ממשלה עברית </w:t>
      </w:r>
      <w:bookmarkStart w:id="28452" w:name="_ETM_Q48_267000"/>
      <w:bookmarkEnd w:id="28452"/>
      <w:r>
        <w:rPr>
          <w:rFonts w:hint="cs"/>
          <w:rtl/>
        </w:rPr>
        <w:t xml:space="preserve">במדינה יהודית בארץ ישראל. אי-אפשר לדמיין מה היה עבורו </w:t>
      </w:r>
      <w:bookmarkStart w:id="28453" w:name="_ETM_Q48_273000"/>
      <w:bookmarkEnd w:id="28453"/>
      <w:r>
        <w:rPr>
          <w:rFonts w:hint="cs"/>
          <w:rtl/>
        </w:rPr>
        <w:t xml:space="preserve">המעבר הזה מעם ללא מדינה עצמאית לעם עצמאי עם </w:t>
      </w:r>
      <w:bookmarkStart w:id="28454" w:name="_ETM_Q48_281000"/>
      <w:bookmarkEnd w:id="28454"/>
      <w:r>
        <w:rPr>
          <w:rFonts w:hint="cs"/>
          <w:rtl/>
        </w:rPr>
        <w:t>ממשלה עברית; מה היה היחס שלו לזה שיש כאן ממשלה,</w:t>
      </w:r>
      <w:bookmarkStart w:id="28455" w:name="_ETM_Q48_286000"/>
      <w:bookmarkEnd w:id="28455"/>
      <w:r>
        <w:rPr>
          <w:rFonts w:hint="cs"/>
          <w:rtl/>
        </w:rPr>
        <w:t xml:space="preserve"> שיש כאן שרים, שיש כאן כנסת. </w:t>
      </w:r>
    </w:p>
    <w:p w:rsidR="00BB59CD" w:rsidRDefault="00BB59CD" w:rsidP="00BB59CD">
      <w:pPr>
        <w:rPr>
          <w:rtl/>
        </w:rPr>
      </w:pPr>
    </w:p>
    <w:p w:rsidR="00BB59CD" w:rsidRDefault="00BB59CD" w:rsidP="0037589E">
      <w:pPr>
        <w:rPr>
          <w:rtl/>
        </w:rPr>
      </w:pPr>
      <w:bookmarkStart w:id="28456" w:name="_ETM_Q48_292000"/>
      <w:bookmarkEnd w:id="28456"/>
      <w:r>
        <w:rPr>
          <w:rFonts w:hint="cs"/>
          <w:rtl/>
        </w:rPr>
        <w:t xml:space="preserve">במטבח שלו היה טרנזיסטור </w:t>
      </w:r>
      <w:bookmarkStart w:id="28457" w:name="_ETM_Q48_291000"/>
      <w:bookmarkEnd w:id="28457"/>
      <w:r>
        <w:rPr>
          <w:rFonts w:hint="cs"/>
          <w:rtl/>
        </w:rPr>
        <w:t xml:space="preserve">– אתה יודע מה זה טרנזיסטור, אדון היושב-ראש? אנחנו עוד </w:t>
      </w:r>
      <w:bookmarkStart w:id="28458" w:name="_ETM_Q48_293000"/>
      <w:bookmarkEnd w:id="28458"/>
      <w:r>
        <w:rPr>
          <w:rFonts w:hint="cs"/>
          <w:rtl/>
        </w:rPr>
        <w:t xml:space="preserve">מהדור שיודע מה זה – </w:t>
      </w:r>
      <w:bookmarkStart w:id="28459" w:name="_ETM_Q48_297000"/>
      <w:bookmarkEnd w:id="28459"/>
      <w:r>
        <w:rPr>
          <w:rFonts w:hint="cs"/>
          <w:rtl/>
        </w:rPr>
        <w:t xml:space="preserve">שתמיד היה פתוח. בתור </w:t>
      </w:r>
      <w:bookmarkStart w:id="28460" w:name="_ETM_Q48_296000"/>
      <w:bookmarkEnd w:id="28460"/>
      <w:r>
        <w:rPr>
          <w:rFonts w:hint="cs"/>
          <w:rtl/>
        </w:rPr>
        <w:t xml:space="preserve">ילד הייתי מגיע, ותמיד בכל שעה עגולה מגבירים את </w:t>
      </w:r>
      <w:bookmarkStart w:id="28461" w:name="_ETM_Q48_300000"/>
      <w:bookmarkEnd w:id="28461"/>
      <w:r>
        <w:rPr>
          <w:rFonts w:hint="cs"/>
          <w:rtl/>
        </w:rPr>
        <w:t>הווליום</w:t>
      </w:r>
      <w:r w:rsidR="0037589E">
        <w:rPr>
          <w:rFonts w:hint="cs"/>
          <w:rtl/>
        </w:rPr>
        <w:t>.</w:t>
      </w:r>
      <w:r>
        <w:rPr>
          <w:rFonts w:hint="cs"/>
          <w:rtl/>
        </w:rPr>
        <w:t xml:space="preserve"> הוא חייב לשמוע חדשות, הוא חייב לדעת </w:t>
      </w:r>
      <w:bookmarkStart w:id="28462" w:name="_ETM_Q48_306000"/>
      <w:bookmarkEnd w:id="28462"/>
      <w:r>
        <w:rPr>
          <w:rFonts w:hint="cs"/>
          <w:rtl/>
        </w:rPr>
        <w:t xml:space="preserve">בכל שעה עגולה מה קורה. כל הדאגה מופנית </w:t>
      </w:r>
      <w:bookmarkStart w:id="28463" w:name="_ETM_Q48_309000"/>
      <w:bookmarkEnd w:id="28463"/>
      <w:r>
        <w:rPr>
          <w:rFonts w:hint="cs"/>
          <w:rtl/>
        </w:rPr>
        <w:t xml:space="preserve">לעתידה של מדינת ישראל, למה יקרה כאן בעוד כמה שנים. </w:t>
      </w:r>
      <w:bookmarkStart w:id="28464" w:name="_ETM_Q48_317000"/>
      <w:bookmarkEnd w:id="28464"/>
      <w:r>
        <w:rPr>
          <w:rFonts w:hint="cs"/>
          <w:rtl/>
        </w:rPr>
        <w:t xml:space="preserve">ותמיד, לשיטתו, המדינה הייתה מעל הפוליטיקה, ותמיד הוא ידע – </w:t>
      </w:r>
      <w:bookmarkStart w:id="28465" w:name="_ETM_Q48_326000"/>
      <w:bookmarkEnd w:id="28465"/>
      <w:r>
        <w:rPr>
          <w:rFonts w:hint="cs"/>
          <w:rtl/>
        </w:rPr>
        <w:t xml:space="preserve">היה לו מין משפט כזה: בסוף שם למעלה הם יקבלו את ההחלטה הנכונה, כי גם אם יושב שם לא מי </w:t>
      </w:r>
      <w:bookmarkStart w:id="28466" w:name="_ETM_Q48_333000"/>
      <w:bookmarkEnd w:id="28466"/>
      <w:r>
        <w:rPr>
          <w:rFonts w:hint="cs"/>
          <w:rtl/>
        </w:rPr>
        <w:t xml:space="preserve">שבחרנו בו – וסבא שלי כאיש ליכוד, איש ימין כל חייו, </w:t>
      </w:r>
      <w:bookmarkStart w:id="28467" w:name="_ETM_Q48_340000"/>
      <w:bookmarkEnd w:id="28467"/>
      <w:r>
        <w:rPr>
          <w:rFonts w:hint="cs"/>
          <w:rtl/>
        </w:rPr>
        <w:t xml:space="preserve">שנים ארוכות ראה את ראש המפלגה שלו באופוזיציה, 30 </w:t>
      </w:r>
      <w:bookmarkStart w:id="28468" w:name="_ETM_Q48_341000"/>
      <w:bookmarkEnd w:id="28468"/>
      <w:r>
        <w:rPr>
          <w:rFonts w:hint="cs"/>
          <w:rtl/>
        </w:rPr>
        <w:t xml:space="preserve">שנה – עדיין מבחינתו הוא תמיד ידע שההנהגה הציונית, שראש הממשלה </w:t>
      </w:r>
      <w:bookmarkStart w:id="28469" w:name="_ETM_Q48_352000"/>
      <w:bookmarkEnd w:id="28469"/>
      <w:r>
        <w:rPr>
          <w:rFonts w:hint="cs"/>
          <w:rtl/>
        </w:rPr>
        <w:t xml:space="preserve">העברית בארץ ישראל בסוף ידאג למדינת ישראל ולא לענייניו האישיים, </w:t>
      </w:r>
      <w:bookmarkStart w:id="28470" w:name="_ETM_Q48_357000"/>
      <w:bookmarkEnd w:id="28470"/>
      <w:r>
        <w:rPr>
          <w:rFonts w:hint="cs"/>
          <w:rtl/>
        </w:rPr>
        <w:t xml:space="preserve">כי הוא ידע שראשי הממשלה כאן תמיד שמו את העניין </w:t>
      </w:r>
      <w:bookmarkStart w:id="28471" w:name="_ETM_Q48_363000"/>
      <w:bookmarkEnd w:id="28471"/>
      <w:r>
        <w:rPr>
          <w:rFonts w:hint="cs"/>
          <w:rtl/>
        </w:rPr>
        <w:t>הלאומי מעל העניין האישי שלהם.</w:t>
      </w:r>
    </w:p>
    <w:p w:rsidR="00BB59CD" w:rsidRDefault="00BB59CD" w:rsidP="00BB59CD">
      <w:pPr>
        <w:rPr>
          <w:rtl/>
        </w:rPr>
      </w:pPr>
    </w:p>
    <w:p w:rsidR="00BB59CD" w:rsidRDefault="00011595" w:rsidP="00011595">
      <w:pPr>
        <w:rPr>
          <w:rtl/>
        </w:rPr>
      </w:pPr>
      <w:bookmarkStart w:id="28472" w:name="_ETM_Q48_367000"/>
      <w:bookmarkEnd w:id="28472"/>
      <w:r>
        <w:rPr>
          <w:rFonts w:hint="cs"/>
          <w:rtl/>
        </w:rPr>
        <w:t>הוא ידע, וראשי הממשלה כאן ידעו</w:t>
      </w:r>
      <w:r w:rsidR="00BB59CD">
        <w:rPr>
          <w:rFonts w:hint="cs"/>
          <w:rtl/>
        </w:rPr>
        <w:t xml:space="preserve"> </w:t>
      </w:r>
      <w:bookmarkStart w:id="28473" w:name="_ETM_Q48_372000"/>
      <w:bookmarkEnd w:id="28473"/>
      <w:r w:rsidR="00BB59CD">
        <w:rPr>
          <w:rFonts w:hint="cs"/>
          <w:rtl/>
        </w:rPr>
        <w:t xml:space="preserve">שעל הכתפיים של כל ראש ממשלה מונח עול של עם </w:t>
      </w:r>
      <w:bookmarkStart w:id="28474" w:name="_ETM_Q48_376000"/>
      <w:bookmarkEnd w:id="28474"/>
      <w:r w:rsidR="00BB59CD">
        <w:rPr>
          <w:rFonts w:hint="cs"/>
          <w:rtl/>
        </w:rPr>
        <w:t>עם היסטוריה של אלפי שנים</w:t>
      </w:r>
      <w:r>
        <w:rPr>
          <w:rFonts w:hint="cs"/>
          <w:rtl/>
        </w:rPr>
        <w:t>;</w:t>
      </w:r>
      <w:r w:rsidR="00BB59CD">
        <w:rPr>
          <w:rFonts w:hint="cs"/>
          <w:rtl/>
        </w:rPr>
        <w:t xml:space="preserve"> עם שהצליח לעשות את הבלתי</w:t>
      </w:r>
      <w:bookmarkStart w:id="28475" w:name="_ETM_Q48_380000"/>
      <w:bookmarkEnd w:id="28475"/>
      <w:r w:rsidR="00BB59CD">
        <w:rPr>
          <w:rFonts w:hint="cs"/>
          <w:rtl/>
        </w:rPr>
        <w:t xml:space="preserve">-ייאמן ולבנות מחדש את ביתו בארץ ישראל בניגוד </w:t>
      </w:r>
      <w:bookmarkStart w:id="28476" w:name="_ETM_Q48_381000"/>
      <w:bookmarkEnd w:id="28476"/>
      <w:r w:rsidR="00BB59CD">
        <w:rPr>
          <w:rFonts w:hint="cs"/>
          <w:rtl/>
        </w:rPr>
        <w:t xml:space="preserve">לכל הסיכויים. כל ראש ממשלה שהיה כאן ידע שהאחריות היא </w:t>
      </w:r>
      <w:bookmarkStart w:id="28477" w:name="_ETM_Q48_391000"/>
      <w:bookmarkEnd w:id="28477"/>
      <w:r w:rsidR="00BB59CD">
        <w:rPr>
          <w:rFonts w:hint="cs"/>
          <w:rtl/>
        </w:rPr>
        <w:t xml:space="preserve">אצלו לשמור על הדבר המופלא הזה שקרה כאן, על הבניין </w:t>
      </w:r>
      <w:bookmarkStart w:id="28478" w:name="_ETM_Q48_401000"/>
      <w:bookmarkEnd w:id="28478"/>
      <w:r w:rsidR="00BB59CD">
        <w:rPr>
          <w:rFonts w:hint="cs"/>
          <w:rtl/>
        </w:rPr>
        <w:t>הזה, שעלה לנו בהרבה דם של אחים ואחיות, של בנות</w:t>
      </w:r>
      <w:bookmarkStart w:id="28479" w:name="_ETM_Q48_407000"/>
      <w:bookmarkEnd w:id="28479"/>
      <w:r w:rsidR="00BB59CD">
        <w:rPr>
          <w:rFonts w:hint="cs"/>
          <w:rtl/>
        </w:rPr>
        <w:t xml:space="preserve"> ובנים</w:t>
      </w:r>
      <w:r>
        <w:rPr>
          <w:rFonts w:hint="cs"/>
          <w:rtl/>
        </w:rPr>
        <w:t>,</w:t>
      </w:r>
      <w:r w:rsidR="00BB59CD">
        <w:rPr>
          <w:rFonts w:hint="cs"/>
          <w:rtl/>
        </w:rPr>
        <w:t xml:space="preserve"> שהקריבו את חייהם רק כדי שלעם היהודי יהיה בית </w:t>
      </w:r>
      <w:bookmarkStart w:id="28480" w:name="_ETM_Q48_412000"/>
      <w:bookmarkEnd w:id="28480"/>
      <w:r w:rsidR="00BB59CD">
        <w:rPr>
          <w:rFonts w:hint="cs"/>
          <w:rtl/>
        </w:rPr>
        <w:t>לאומי בארץ ישראל.</w:t>
      </w:r>
    </w:p>
    <w:p w:rsidR="00BB59CD" w:rsidRDefault="00BB59CD" w:rsidP="00BB59CD">
      <w:pPr>
        <w:rPr>
          <w:rtl/>
        </w:rPr>
      </w:pPr>
    </w:p>
    <w:p w:rsidR="00BB59CD" w:rsidRDefault="00BB59CD" w:rsidP="00011595">
      <w:pPr>
        <w:rPr>
          <w:rtl/>
        </w:rPr>
      </w:pPr>
      <w:bookmarkStart w:id="28481" w:name="_ETM_Q48_411000"/>
      <w:bookmarkEnd w:id="28481"/>
      <w:r>
        <w:rPr>
          <w:rFonts w:hint="cs"/>
          <w:rtl/>
        </w:rPr>
        <w:t xml:space="preserve">וכמו סבי, זיכרונו לברכה, כל בני הדור ההוא וגם </w:t>
      </w:r>
      <w:bookmarkStart w:id="28482" w:name="_ETM_Q48_418000"/>
      <w:bookmarkEnd w:id="28482"/>
      <w:r>
        <w:rPr>
          <w:rFonts w:hint="cs"/>
          <w:rtl/>
        </w:rPr>
        <w:t xml:space="preserve">הדורות שבאו אחריו – לשם הם כיוונו את כל כוונתם </w:t>
      </w:r>
      <w:bookmarkStart w:id="28483" w:name="_ETM_Q48_425000"/>
      <w:bookmarkEnd w:id="28483"/>
      <w:r>
        <w:rPr>
          <w:rFonts w:hint="cs"/>
          <w:rtl/>
        </w:rPr>
        <w:t xml:space="preserve">– גם הדור של מי שעזב את הארץ בעקבות עבודתו של </w:t>
      </w:r>
      <w:bookmarkStart w:id="28484" w:name="_ETM_Q48_427000"/>
      <w:bookmarkEnd w:id="28484"/>
      <w:r>
        <w:rPr>
          <w:rFonts w:hint="cs"/>
          <w:rtl/>
        </w:rPr>
        <w:t xml:space="preserve">אביו ושב לישראל כדי להתגייס לצה"ל. כן, גם מר נתניהו, </w:t>
      </w:r>
      <w:bookmarkStart w:id="28485" w:name="_ETM_Q48_434000"/>
      <w:bookmarkEnd w:id="28485"/>
      <w:r>
        <w:rPr>
          <w:rFonts w:hint="cs"/>
          <w:rtl/>
        </w:rPr>
        <w:t xml:space="preserve">ראש הממשלה, הבין פעם את המשמעות של מסע הדורות הזה </w:t>
      </w:r>
      <w:bookmarkStart w:id="28486" w:name="_ETM_Q48_440000"/>
      <w:bookmarkEnd w:id="28486"/>
      <w:r>
        <w:rPr>
          <w:rFonts w:hint="cs"/>
          <w:rtl/>
        </w:rPr>
        <w:t>שכל אחד ואחת מא</w:t>
      </w:r>
      <w:r w:rsidR="00011595">
        <w:rPr>
          <w:rFonts w:hint="cs"/>
          <w:rtl/>
        </w:rPr>
        <w:t>י</w:t>
      </w:r>
      <w:r>
        <w:rPr>
          <w:rFonts w:hint="cs"/>
          <w:rtl/>
        </w:rPr>
        <w:t xml:space="preserve">תנו נושא עימו. גם הוא חזר </w:t>
      </w:r>
      <w:bookmarkStart w:id="28487" w:name="_ETM_Q48_441000"/>
      <w:bookmarkEnd w:id="28487"/>
      <w:r>
        <w:rPr>
          <w:rFonts w:hint="cs"/>
          <w:rtl/>
        </w:rPr>
        <w:t>לכאן. גם אתה, מר נתניהו, חזרת לכאן, גם אחיך</w:t>
      </w:r>
      <w:bookmarkStart w:id="28488" w:name="_ETM_Q48_449000"/>
      <w:bookmarkEnd w:id="28488"/>
      <w:r>
        <w:rPr>
          <w:rFonts w:hint="cs"/>
          <w:rtl/>
        </w:rPr>
        <w:t xml:space="preserve">, שלחם לצידך. איבדת את אחיך, יחד עם </w:t>
      </w:r>
      <w:bookmarkStart w:id="28489" w:name="_ETM_Q48_453000"/>
      <w:bookmarkEnd w:id="28489"/>
      <w:r>
        <w:rPr>
          <w:rFonts w:hint="cs"/>
          <w:rtl/>
        </w:rPr>
        <w:t xml:space="preserve">כל עם ישראל, כשנהרג במבצע אנטבה כדי להגן על </w:t>
      </w:r>
      <w:bookmarkStart w:id="28490" w:name="_ETM_Q48_457000"/>
      <w:bookmarkEnd w:id="28490"/>
      <w:r>
        <w:rPr>
          <w:rFonts w:hint="cs"/>
          <w:rtl/>
        </w:rPr>
        <w:t xml:space="preserve">ישראלים שנחטפו. הוא </w:t>
      </w:r>
      <w:bookmarkStart w:id="28491" w:name="_ETM_Q48_466603"/>
      <w:bookmarkEnd w:id="28491"/>
      <w:r>
        <w:rPr>
          <w:rFonts w:hint="cs"/>
          <w:rtl/>
        </w:rPr>
        <w:t xml:space="preserve">נשלח אל מחוץ לגבולות הארץ מתוך הבנה </w:t>
      </w:r>
      <w:r w:rsidR="00011595">
        <w:rPr>
          <w:rFonts w:hint="cs"/>
          <w:rtl/>
        </w:rPr>
        <w:t>ש</w:t>
      </w:r>
      <w:r>
        <w:rPr>
          <w:rFonts w:hint="cs"/>
          <w:rtl/>
        </w:rPr>
        <w:t xml:space="preserve">ל </w:t>
      </w:r>
      <w:bookmarkStart w:id="28492" w:name="_ETM_Q48_463000"/>
      <w:bookmarkEnd w:id="28492"/>
      <w:r>
        <w:rPr>
          <w:rFonts w:hint="cs"/>
          <w:rtl/>
        </w:rPr>
        <w:t xml:space="preserve">האחריות שלנו אחד כלפי אחיו. </w:t>
      </w:r>
      <w:bookmarkStart w:id="28493" w:name="_ETM_Q48_467000"/>
      <w:bookmarkEnd w:id="28493"/>
      <w:r>
        <w:rPr>
          <w:rFonts w:hint="cs"/>
          <w:rtl/>
        </w:rPr>
        <w:t xml:space="preserve">הבנת אז, בנימין נתניהו, כפי שהבינו </w:t>
      </w:r>
      <w:bookmarkStart w:id="28494" w:name="_ETM_Q48_470000"/>
      <w:bookmarkEnd w:id="28494"/>
      <w:r>
        <w:rPr>
          <w:rFonts w:hint="cs"/>
          <w:rtl/>
        </w:rPr>
        <w:t>אלפים, כפי שהבינו מיליונים, שאין לנו ברירה. שכדי לקיים</w:t>
      </w:r>
      <w:bookmarkStart w:id="28495" w:name="_ETM_Q48_476000"/>
      <w:bookmarkEnd w:id="28495"/>
      <w:r>
        <w:rPr>
          <w:rFonts w:hint="cs"/>
          <w:rtl/>
        </w:rPr>
        <w:t xml:space="preserve"> כאן מדינה חייבים להילחם יחד. אבל משהו בך, בנימין נתניהו, </w:t>
      </w:r>
      <w:bookmarkStart w:id="28496" w:name="_ETM_Q48_485000"/>
      <w:bookmarkEnd w:id="28496"/>
      <w:r>
        <w:rPr>
          <w:rFonts w:hint="cs"/>
          <w:rtl/>
        </w:rPr>
        <w:t xml:space="preserve">כבה. משהו בך דעך ונעלם. אין לי דרך להסביר </w:t>
      </w:r>
      <w:bookmarkStart w:id="28497" w:name="_ETM_Q48_492000"/>
      <w:bookmarkEnd w:id="28497"/>
      <w:r>
        <w:rPr>
          <w:rFonts w:hint="cs"/>
          <w:rtl/>
        </w:rPr>
        <w:t xml:space="preserve">זאת. שישה חודשים שמדינת ישראל נמצאת בסחרחורת, ומר נתניהו הוא </w:t>
      </w:r>
      <w:bookmarkStart w:id="28498" w:name="_ETM_Q48_496000"/>
      <w:bookmarkEnd w:id="28498"/>
      <w:r>
        <w:rPr>
          <w:rFonts w:hint="cs"/>
          <w:rtl/>
        </w:rPr>
        <w:t xml:space="preserve">הקפטן של הספינה. כן, לא של ספינת התענוגות שלך, קפטן ניסים </w:t>
      </w:r>
      <w:bookmarkStart w:id="28499" w:name="_ETM_Q48_504000"/>
      <w:bookmarkEnd w:id="28499"/>
      <w:r>
        <w:rPr>
          <w:rFonts w:hint="cs"/>
          <w:rtl/>
        </w:rPr>
        <w:t xml:space="preserve">ואטורי, אלא הקפטן של מדינת ישראל. הבית השלישי, קיבלת עליו </w:t>
      </w:r>
      <w:bookmarkStart w:id="28500" w:name="_ETM_Q48_511000"/>
      <w:bookmarkEnd w:id="28500"/>
      <w:r>
        <w:rPr>
          <w:rFonts w:hint="cs"/>
          <w:rtl/>
        </w:rPr>
        <w:t>אחריות. עמדת כאן לפני חצי שנה ונשבעת לשמור אמונים למדינת ישראל ולחוקיה.</w:t>
      </w:r>
    </w:p>
    <w:p w:rsidR="00BB59CD" w:rsidRDefault="00BB59CD" w:rsidP="00BB59CD">
      <w:pPr>
        <w:rPr>
          <w:rtl/>
        </w:rPr>
      </w:pPr>
      <w:bookmarkStart w:id="28501" w:name="_ETM_Q48_513000"/>
      <w:bookmarkEnd w:id="28501"/>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8502" w:name="_ETM_Q48_514000"/>
      <w:bookmarkEnd w:id="28502"/>
      <w:r>
        <w:rPr>
          <w:rFonts w:hint="cs"/>
          <w:rtl/>
        </w:rPr>
        <w:t>אני לא יודע על מה הם מדברים.</w:t>
      </w:r>
    </w:p>
    <w:p w:rsidR="00BB59CD" w:rsidRDefault="00BB59CD" w:rsidP="00BB59CD">
      <w:pPr>
        <w:rPr>
          <w:rtl/>
        </w:rPr>
      </w:pPr>
    </w:p>
    <w:p w:rsidR="00BB59CD" w:rsidRDefault="00BB59CD" w:rsidP="00BB59CD">
      <w:pPr>
        <w:pStyle w:val="af8"/>
        <w:keepNext/>
        <w:rPr>
          <w:rtl/>
        </w:rPr>
      </w:pPr>
      <w:bookmarkStart w:id="28503" w:name="ET_interruption_6461_10"/>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28503"/>
    </w:p>
    <w:p w:rsidR="00BB59CD" w:rsidRDefault="00BB59CD" w:rsidP="00337201">
      <w:pPr>
        <w:rPr>
          <w:rtl/>
        </w:rPr>
      </w:pPr>
    </w:p>
    <w:p w:rsidR="00BB59CD" w:rsidRDefault="00BB59CD" w:rsidP="00BB59CD">
      <w:pPr>
        <w:rPr>
          <w:rtl/>
        </w:rPr>
      </w:pPr>
      <w:bookmarkStart w:id="28504" w:name="_ETM_Q48_515000"/>
      <w:bookmarkEnd w:id="28504"/>
      <w:r>
        <w:rPr>
          <w:rFonts w:hint="cs"/>
          <w:rtl/>
        </w:rPr>
        <w:t>חמוצים, חמוצים -</w:t>
      </w:r>
      <w:bookmarkStart w:id="28505" w:name="_ETM_Q48_516000"/>
      <w:bookmarkEnd w:id="28505"/>
      <w:r>
        <w:rPr>
          <w:rFonts w:hint="cs"/>
          <w:rtl/>
        </w:rPr>
        <w:t xml:space="preserve"> - - </w:t>
      </w:r>
    </w:p>
    <w:p w:rsidR="00BB59CD" w:rsidRDefault="00BB59CD" w:rsidP="00BB59CD">
      <w:pPr>
        <w:rPr>
          <w:rtl/>
        </w:rPr>
      </w:pPr>
      <w:bookmarkStart w:id="28506" w:name="_ETM_Q48_517000"/>
      <w:bookmarkEnd w:id="28506"/>
    </w:p>
    <w:p w:rsidR="00BB59CD" w:rsidRDefault="00BB59CD" w:rsidP="00BB59CD">
      <w:pPr>
        <w:pStyle w:val="-"/>
        <w:keepNext/>
        <w:rPr>
          <w:rtl/>
        </w:rPr>
      </w:pPr>
      <w:bookmarkStart w:id="28507" w:name="ET_speakercontinue_5520_11"/>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8507"/>
    </w:p>
    <w:p w:rsidR="00BB59CD" w:rsidRDefault="00BB59CD" w:rsidP="00337201">
      <w:pPr>
        <w:rPr>
          <w:rtl/>
        </w:rPr>
      </w:pPr>
    </w:p>
    <w:p w:rsidR="00BB59CD" w:rsidRDefault="00BB59CD" w:rsidP="00BB59CD">
      <w:pPr>
        <w:rPr>
          <w:rtl/>
        </w:rPr>
      </w:pPr>
      <w:bookmarkStart w:id="28508" w:name="_ETM_Q48_518000"/>
      <w:bookmarkEnd w:id="28508"/>
      <w:r>
        <w:rPr>
          <w:rFonts w:hint="cs"/>
          <w:rtl/>
        </w:rPr>
        <w:t xml:space="preserve">אנחנו – אדוני השר, אני מציע שתקשיב </w:t>
      </w:r>
      <w:bookmarkStart w:id="28509" w:name="_ETM_Q48_524000"/>
      <w:bookmarkEnd w:id="28509"/>
      <w:r>
        <w:rPr>
          <w:rFonts w:hint="cs"/>
          <w:rtl/>
        </w:rPr>
        <w:t>בקשב לדברים שאני אומר, הם יוצאים מהלב. זה לא בדיחה.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8510" w:name="_ETM_Q48_531000"/>
      <w:bookmarkEnd w:id="28510"/>
      <w:r>
        <w:rPr>
          <w:rFonts w:hint="cs"/>
          <w:rtl/>
        </w:rPr>
        <w:t>היית</w:t>
      </w:r>
      <w:bookmarkStart w:id="28511" w:name="_ETM_Q48_532000"/>
      <w:bookmarkEnd w:id="28511"/>
      <w:r>
        <w:rPr>
          <w:rFonts w:hint="cs"/>
          <w:rtl/>
        </w:rPr>
        <w:t xml:space="preserve"> בחיל הים, נכון?</w:t>
      </w:r>
    </w:p>
    <w:p w:rsidR="00BB59CD" w:rsidRDefault="00BB59CD" w:rsidP="00BB59CD">
      <w:pPr>
        <w:rPr>
          <w:rtl/>
        </w:rPr>
      </w:pPr>
      <w:bookmarkStart w:id="28512" w:name="_ETM_Q48_529000"/>
      <w:bookmarkEnd w:id="28512"/>
    </w:p>
    <w:p w:rsidR="00BB59CD" w:rsidRDefault="00BB59CD" w:rsidP="00BB59CD">
      <w:pPr>
        <w:pStyle w:val="-"/>
        <w:keepNext/>
        <w:rPr>
          <w:rtl/>
        </w:rPr>
      </w:pPr>
      <w:bookmarkStart w:id="28513" w:name="ET_speakercontinue_5520_13"/>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8513"/>
    </w:p>
    <w:p w:rsidR="00BB59CD" w:rsidRDefault="00BB59CD" w:rsidP="00337201">
      <w:pPr>
        <w:rPr>
          <w:rtl/>
        </w:rPr>
      </w:pPr>
    </w:p>
    <w:p w:rsidR="00BB59CD" w:rsidRDefault="00BB59CD" w:rsidP="00BB59CD">
      <w:pPr>
        <w:rPr>
          <w:rtl/>
        </w:rPr>
      </w:pPr>
      <w:bookmarkStart w:id="28514" w:name="_ETM_Q48_530000"/>
      <w:bookmarkEnd w:id="28514"/>
      <w:r>
        <w:rPr>
          <w:rFonts w:hint="cs"/>
          <w:rtl/>
        </w:rPr>
        <w:t>כן. מה שקורה כאן במדינת ישראל זה לא בדיחה.</w:t>
      </w:r>
      <w:bookmarkStart w:id="28515" w:name="_ETM_Q48_536000"/>
      <w:bookmarkEnd w:id="28515"/>
      <w:r>
        <w:rPr>
          <w:rFonts w:hint="cs"/>
          <w:rtl/>
        </w:rPr>
        <w:t xml:space="preserve"> מה שקורה כאן בחוץ זה לא משהו שאתם יכולים לעשות </w:t>
      </w:r>
      <w:bookmarkStart w:id="28516" w:name="_ETM_Q48_540000"/>
      <w:bookmarkEnd w:id="28516"/>
      <w:r>
        <w:rPr>
          <w:rFonts w:hint="cs"/>
          <w:rtl/>
        </w:rPr>
        <w:t xml:space="preserve">ממנו צחוק. אני מקווה שאתה יודע, כשר בממשלה, ואם לא, </w:t>
      </w:r>
      <w:bookmarkStart w:id="28517" w:name="_ETM_Q48_545000"/>
      <w:bookmarkEnd w:id="28517"/>
      <w:r>
        <w:rPr>
          <w:rFonts w:hint="cs"/>
          <w:rtl/>
        </w:rPr>
        <w:t xml:space="preserve">אז כדאי שתדע, שאנחנו מתמודדים עם אתגרים ביטחוניים חסרי תקדים, אולי </w:t>
      </w:r>
      <w:bookmarkStart w:id="28518" w:name="_ETM_Q48_550000"/>
      <w:bookmarkEnd w:id="28518"/>
      <w:r>
        <w:rPr>
          <w:rFonts w:hint="cs"/>
          <w:rtl/>
        </w:rPr>
        <w:t>אחת מהשעות הקשות של מדינת ישראל - -</w:t>
      </w:r>
    </w:p>
    <w:p w:rsidR="00BB59CD" w:rsidRDefault="00BB59CD" w:rsidP="00BB59CD">
      <w:pPr>
        <w:rPr>
          <w:rtl/>
        </w:rPr>
      </w:pPr>
    </w:p>
    <w:p w:rsidR="00BB59CD" w:rsidRDefault="00BB59CD" w:rsidP="00BB59CD">
      <w:pPr>
        <w:pStyle w:val="af8"/>
        <w:keepNext/>
        <w:rPr>
          <w:rtl/>
        </w:rPr>
      </w:pPr>
      <w:bookmarkStart w:id="28519" w:name="ET_interruption_6461_14"/>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28519"/>
    </w:p>
    <w:p w:rsidR="00BB59CD" w:rsidRDefault="00BB59CD" w:rsidP="00337201">
      <w:pPr>
        <w:rPr>
          <w:rtl/>
        </w:rPr>
      </w:pPr>
    </w:p>
    <w:p w:rsidR="00BB59CD" w:rsidRDefault="00BB59CD" w:rsidP="00BB59CD">
      <w:pPr>
        <w:rPr>
          <w:rtl/>
        </w:rPr>
      </w:pPr>
      <w:r>
        <w:rPr>
          <w:rFonts w:hint="cs"/>
          <w:rtl/>
        </w:rPr>
        <w:t>כן, אחרי - - -</w:t>
      </w:r>
    </w:p>
    <w:p w:rsidR="00BB59CD" w:rsidRDefault="00BB59CD" w:rsidP="00BB59CD">
      <w:pPr>
        <w:rPr>
          <w:rtl/>
        </w:rPr>
      </w:pPr>
      <w:bookmarkStart w:id="28520" w:name="_ETM_Q48_551000"/>
      <w:bookmarkEnd w:id="28520"/>
    </w:p>
    <w:p w:rsidR="00BB59CD" w:rsidRDefault="00BB59CD" w:rsidP="00BB59CD">
      <w:pPr>
        <w:pStyle w:val="-"/>
        <w:keepNext/>
        <w:rPr>
          <w:rtl/>
        </w:rPr>
      </w:pPr>
      <w:bookmarkStart w:id="28521" w:name="ET_speakercontinue_5520_15"/>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8521"/>
    </w:p>
    <w:p w:rsidR="00BB59CD" w:rsidRDefault="00BB59CD" w:rsidP="00337201">
      <w:pPr>
        <w:rPr>
          <w:rtl/>
        </w:rPr>
      </w:pPr>
    </w:p>
    <w:p w:rsidR="00BB59CD" w:rsidRDefault="00BB59CD" w:rsidP="00BB59CD">
      <w:pPr>
        <w:rPr>
          <w:rtl/>
        </w:rPr>
      </w:pPr>
      <w:bookmarkStart w:id="28522" w:name="_ETM_Q48_552000"/>
      <w:bookmarkEnd w:id="28522"/>
      <w:r>
        <w:rPr>
          <w:rFonts w:hint="cs"/>
          <w:rtl/>
        </w:rPr>
        <w:t>- - עם איומים מכל הגזרות. אתה יודע טוב</w:t>
      </w:r>
      <w:bookmarkStart w:id="28523" w:name="_ETM_Q48_557000"/>
      <w:bookmarkEnd w:id="28523"/>
      <w:r>
        <w:rPr>
          <w:rFonts w:hint="cs"/>
          <w:rtl/>
        </w:rPr>
        <w:t xml:space="preserve"> מאוד שאזרחי ישראל נאנקים תחת יוקר מחיה, ורחובות ישראל מדממים </w:t>
      </w:r>
      <w:bookmarkStart w:id="28524" w:name="_ETM_Q48_563000"/>
      <w:bookmarkEnd w:id="28524"/>
      <w:r>
        <w:rPr>
          <w:rFonts w:hint="cs"/>
          <w:rtl/>
        </w:rPr>
        <w:t xml:space="preserve">בגלל אובדן הביטחון האישי, עם שיא של רציחות במגזר הערבי </w:t>
      </w:r>
      <w:bookmarkStart w:id="28525" w:name="_ETM_Q48_565000"/>
      <w:bookmarkEnd w:id="28525"/>
      <w:r>
        <w:rPr>
          <w:rFonts w:hint="cs"/>
          <w:rtl/>
        </w:rPr>
        <w:t>והיהודי שלא ידענו כמוהו.</w:t>
      </w:r>
    </w:p>
    <w:p w:rsidR="00BB59CD" w:rsidRDefault="00BB59CD" w:rsidP="00BB59CD">
      <w:pPr>
        <w:rPr>
          <w:rtl/>
        </w:rPr>
      </w:pPr>
      <w:bookmarkStart w:id="28526" w:name="_ETM_Q48_569000"/>
      <w:bookmarkEnd w:id="28526"/>
    </w:p>
    <w:p w:rsidR="00BB59CD" w:rsidRDefault="00BB59CD" w:rsidP="00BB59CD">
      <w:pPr>
        <w:pStyle w:val="af8"/>
        <w:keepNext/>
        <w:rPr>
          <w:rtl/>
        </w:rPr>
      </w:pPr>
      <w:bookmarkStart w:id="28527" w:name="ET_interruption_6461_16"/>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28527"/>
    </w:p>
    <w:p w:rsidR="00BB59CD" w:rsidRDefault="00BB59CD" w:rsidP="00337201">
      <w:pPr>
        <w:rPr>
          <w:rtl/>
        </w:rPr>
      </w:pPr>
    </w:p>
    <w:p w:rsidR="00BB59CD" w:rsidRDefault="00BB59CD" w:rsidP="00BB59CD">
      <w:pPr>
        <w:rPr>
          <w:rtl/>
        </w:rPr>
      </w:pPr>
      <w:bookmarkStart w:id="28528" w:name="_ETM_Q48_567000"/>
      <w:bookmarkEnd w:id="28528"/>
      <w:r>
        <w:rPr>
          <w:rFonts w:hint="cs"/>
          <w:rtl/>
        </w:rPr>
        <w:t xml:space="preserve">אתה יודע - - - קץ הדמוקרטיה. </w:t>
      </w:r>
    </w:p>
    <w:p w:rsidR="00BB59CD" w:rsidRDefault="00BB59CD" w:rsidP="00BB59CD">
      <w:pPr>
        <w:rPr>
          <w:rtl/>
        </w:rPr>
      </w:pPr>
    </w:p>
    <w:p w:rsidR="00BB59CD" w:rsidRDefault="00BB59CD" w:rsidP="00BB59CD">
      <w:pPr>
        <w:pStyle w:val="-"/>
        <w:keepNext/>
        <w:rPr>
          <w:rtl/>
        </w:rPr>
      </w:pPr>
      <w:bookmarkStart w:id="28529" w:name="ET_speakercontinue_5520_17"/>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8529"/>
    </w:p>
    <w:p w:rsidR="00BB59CD" w:rsidRDefault="00BB59CD" w:rsidP="00337201">
      <w:pPr>
        <w:rPr>
          <w:rtl/>
        </w:rPr>
      </w:pPr>
    </w:p>
    <w:p w:rsidR="00BB59CD" w:rsidRDefault="00BB59CD" w:rsidP="00011595">
      <w:pPr>
        <w:rPr>
          <w:rtl/>
        </w:rPr>
      </w:pPr>
      <w:bookmarkStart w:id="28530" w:name="_ETM_Q48_570000"/>
      <w:bookmarkEnd w:id="28530"/>
      <w:r>
        <w:rPr>
          <w:rFonts w:hint="cs"/>
          <w:rtl/>
        </w:rPr>
        <w:t>רק לפני חצי</w:t>
      </w:r>
      <w:bookmarkStart w:id="28531" w:name="_ETM_Q48_572000"/>
      <w:bookmarkEnd w:id="28531"/>
      <w:r>
        <w:rPr>
          <w:rFonts w:hint="cs"/>
          <w:rtl/>
        </w:rPr>
        <w:t xml:space="preserve"> שנה, רק לפני חצי שנה דורגנו בראש הכלכלות המבטיחות בעולם. </w:t>
      </w:r>
      <w:bookmarkStart w:id="28532" w:name="_ETM_Q48_579000"/>
      <w:bookmarkEnd w:id="28532"/>
      <w:r>
        <w:rPr>
          <w:rFonts w:hint="cs"/>
          <w:rtl/>
        </w:rPr>
        <w:t xml:space="preserve">ההייטק הישראלי היה מקור לגאווה – סטרטאפ ניישן, זה היה המותג </w:t>
      </w:r>
      <w:bookmarkStart w:id="28533" w:name="_ETM_Q48_581000"/>
      <w:bookmarkEnd w:id="28533"/>
      <w:r>
        <w:rPr>
          <w:rFonts w:hint="cs"/>
          <w:rtl/>
        </w:rPr>
        <w:t xml:space="preserve">שלנו – אבל בגלל עילת הסבירות והוועדה למינוי שופטים נאבד את </w:t>
      </w:r>
      <w:bookmarkStart w:id="28534" w:name="_ETM_Q48_596000"/>
      <w:bookmarkEnd w:id="28534"/>
      <w:r>
        <w:rPr>
          <w:rFonts w:hint="cs"/>
          <w:rtl/>
        </w:rPr>
        <w:t xml:space="preserve">כל זה. מוכנים לשפוך את הכול. למה? מה יש בה, </w:t>
      </w:r>
      <w:bookmarkStart w:id="28535" w:name="_ETM_Q48_601000"/>
      <w:bookmarkEnd w:id="28535"/>
      <w:r>
        <w:rPr>
          <w:rFonts w:hint="cs"/>
          <w:rtl/>
        </w:rPr>
        <w:t>בעילת הסבירות הזאת? ותגידו לי אתם, חברי הקואליציה של נתניהו,</w:t>
      </w:r>
      <w:bookmarkStart w:id="28536" w:name="_ETM_Q48_608000"/>
      <w:bookmarkEnd w:id="28536"/>
      <w:r>
        <w:rPr>
          <w:rFonts w:hint="cs"/>
          <w:rtl/>
        </w:rPr>
        <w:t xml:space="preserve"> אתם תגידו לי: אבל המחאה. הרי לכם אין אחריות על </w:t>
      </w:r>
      <w:bookmarkStart w:id="28537" w:name="_ETM_Q48_611000"/>
      <w:bookmarkEnd w:id="28537"/>
      <w:r>
        <w:rPr>
          <w:rFonts w:hint="cs"/>
          <w:rtl/>
        </w:rPr>
        <w:t xml:space="preserve">כלום. המחאה, המחאה. דעו לכם שהמחאה הזאת, שאתם </w:t>
      </w:r>
      <w:bookmarkStart w:id="28538" w:name="_ETM_Q48_613000"/>
      <w:bookmarkEnd w:id="28538"/>
      <w:r>
        <w:rPr>
          <w:rFonts w:hint="cs"/>
          <w:rtl/>
        </w:rPr>
        <w:t xml:space="preserve">מאשימים אותה בכל הכישלונות שלכם, היא זו שעד עכשיו הצילה את מדינת ישראל. היא זו שבזכותה עד עכשיו עוד </w:t>
      </w:r>
      <w:bookmarkStart w:id="28539" w:name="_ETM_Q48_627000"/>
      <w:bookmarkEnd w:id="28539"/>
      <w:r>
        <w:rPr>
          <w:rFonts w:hint="cs"/>
          <w:rtl/>
        </w:rPr>
        <w:t xml:space="preserve">לא קרו האסונות שעלולים לקרות כאן. היא גלגל ההצלה שלכם </w:t>
      </w:r>
      <w:bookmarkStart w:id="28540" w:name="_ETM_Q48_633000"/>
      <w:bookmarkEnd w:id="28540"/>
      <w:r>
        <w:rPr>
          <w:rFonts w:hint="cs"/>
          <w:rtl/>
        </w:rPr>
        <w:t>מעצמכם</w:t>
      </w:r>
      <w:r w:rsidR="00011595">
        <w:rPr>
          <w:rFonts w:hint="cs"/>
          <w:rtl/>
        </w:rPr>
        <w:t>.</w:t>
      </w:r>
      <w:r>
        <w:rPr>
          <w:rFonts w:hint="cs"/>
          <w:rtl/>
        </w:rPr>
        <w:t xml:space="preserve"> חבורה מפוארת </w:t>
      </w:r>
      <w:r w:rsidR="00011595">
        <w:rPr>
          <w:rFonts w:hint="eastAsia"/>
          <w:rtl/>
        </w:rPr>
        <w:t>–</w:t>
      </w:r>
      <w:r w:rsidR="00011595">
        <w:rPr>
          <w:rFonts w:hint="cs"/>
          <w:rtl/>
        </w:rPr>
        <w:t xml:space="preserve"> </w:t>
      </w:r>
      <w:r>
        <w:rPr>
          <w:rFonts w:hint="cs"/>
          <w:rtl/>
        </w:rPr>
        <w:t xml:space="preserve">אתם חבורה מופקרת בממשלה הזאת, שמתייחסים לחבורה </w:t>
      </w:r>
      <w:bookmarkStart w:id="28541" w:name="_ETM_Q48_641000"/>
      <w:bookmarkEnd w:id="28541"/>
      <w:r>
        <w:rPr>
          <w:rFonts w:hint="cs"/>
          <w:rtl/>
        </w:rPr>
        <w:t>המפוארת הזאת בזלזול – חבורה מפוארת של נשים, נערות ונערים, אזרחיות</w:t>
      </w:r>
      <w:bookmarkStart w:id="28542" w:name="_ETM_Q48_649000"/>
      <w:bookmarkEnd w:id="28542"/>
      <w:r>
        <w:rPr>
          <w:rFonts w:hint="cs"/>
          <w:rtl/>
        </w:rPr>
        <w:t xml:space="preserve"> ואזרחים ותיקים</w:t>
      </w:r>
      <w:r w:rsidR="00011595">
        <w:rPr>
          <w:rFonts w:hint="cs"/>
          <w:rtl/>
        </w:rPr>
        <w:t>,</w:t>
      </w:r>
      <w:r>
        <w:rPr>
          <w:rFonts w:hint="cs"/>
          <w:rtl/>
        </w:rPr>
        <w:t xml:space="preserve"> שיוצאים במשך חצי שנה, שבוע-שבוע, לפעמים </w:t>
      </w:r>
      <w:bookmarkStart w:id="28543" w:name="_ETM_Q48_655000"/>
      <w:bookmarkEnd w:id="28543"/>
      <w:r>
        <w:rPr>
          <w:rFonts w:hint="cs"/>
          <w:rtl/>
        </w:rPr>
        <w:t>פעמיים ושלוש פעמים בשבוע, לרחובות הערים, לכפרים, לצמתים</w:t>
      </w:r>
      <w:r w:rsidR="00011595">
        <w:rPr>
          <w:rFonts w:hint="cs"/>
          <w:rtl/>
        </w:rPr>
        <w:t>,</w:t>
      </w:r>
      <w:r>
        <w:rPr>
          <w:rFonts w:hint="cs"/>
          <w:rtl/>
        </w:rPr>
        <w:t xml:space="preserve"> את הדגלים </w:t>
      </w:r>
      <w:bookmarkStart w:id="28544" w:name="_ETM_Q48_664000"/>
      <w:bookmarkEnd w:id="28544"/>
      <w:r>
        <w:rPr>
          <w:rFonts w:hint="cs"/>
          <w:rtl/>
        </w:rPr>
        <w:t xml:space="preserve">מרימים ועל הדגלים מגן דוד, סמל של חופש ושחרור. ומדובר </w:t>
      </w:r>
      <w:bookmarkStart w:id="28545" w:name="_ETM_Q48_673000"/>
      <w:bookmarkEnd w:id="28545"/>
      <w:r>
        <w:rPr>
          <w:rFonts w:hint="cs"/>
          <w:rtl/>
        </w:rPr>
        <w:t xml:space="preserve">באזרחים, לא בחיילים במדים. אומנם הם חיילים אלמונים בלי מדים, </w:t>
      </w:r>
      <w:bookmarkStart w:id="28546" w:name="_ETM_Q48_681000"/>
      <w:bookmarkEnd w:id="28546"/>
      <w:r>
        <w:rPr>
          <w:rFonts w:hint="cs"/>
          <w:rtl/>
        </w:rPr>
        <w:t>הם חיילים של צבא האזרחים של מדינת ישראל, הצבא האזרחי</w:t>
      </w:r>
      <w:bookmarkStart w:id="28547" w:name="_ETM_Q48_687000"/>
      <w:bookmarkEnd w:id="28547"/>
      <w:r>
        <w:rPr>
          <w:rFonts w:hint="cs"/>
          <w:rtl/>
        </w:rPr>
        <w:t xml:space="preserve"> שקם כאן, אבל הם לא חיילים, הם פשוט אזרחים, שכן, </w:t>
      </w:r>
      <w:bookmarkStart w:id="28548" w:name="_ETM_Q48_692000"/>
      <w:bookmarkEnd w:id="28548"/>
      <w:r>
        <w:rPr>
          <w:rFonts w:hint="cs"/>
          <w:rtl/>
        </w:rPr>
        <w:t xml:space="preserve">אחת לתקופה, כשקוראים להם, הם שנים התייצבו למילואים – מה שאגב </w:t>
      </w:r>
      <w:bookmarkStart w:id="28549" w:name="_ETM_Q48_697000"/>
      <w:bookmarkEnd w:id="28549"/>
      <w:r>
        <w:rPr>
          <w:rFonts w:hint="cs"/>
          <w:rtl/>
        </w:rPr>
        <w:t>לא עושים רוב השרים בממשלת ישראל. הם מובילים היום מאבק</w:t>
      </w:r>
      <w:bookmarkStart w:id="28550" w:name="_ETM_Q48_702000"/>
      <w:bookmarkEnd w:id="28550"/>
      <w:r>
        <w:rPr>
          <w:rFonts w:hint="cs"/>
          <w:rtl/>
        </w:rPr>
        <w:t xml:space="preserve"> ומחאה אזרחית של אזרחים. אזרחים שמתנדבים שנים ארוכות כדי להגן </w:t>
      </w:r>
      <w:bookmarkStart w:id="28551" w:name="_ETM_Q48_711000"/>
      <w:bookmarkEnd w:id="28551"/>
      <w:r>
        <w:rPr>
          <w:rFonts w:hint="cs"/>
          <w:rtl/>
        </w:rPr>
        <w:t xml:space="preserve">על עם ישראל בצה"ל, היום הם מגינים עלינו. הם מוכנים </w:t>
      </w:r>
      <w:bookmarkStart w:id="28552" w:name="_ETM_Q48_713000"/>
      <w:bookmarkEnd w:id="28552"/>
      <w:r>
        <w:rPr>
          <w:rFonts w:hint="cs"/>
          <w:rtl/>
        </w:rPr>
        <w:t>להגן על הדמוקרטיה הישראלית</w:t>
      </w:r>
      <w:r w:rsidR="00011595">
        <w:rPr>
          <w:rFonts w:hint="cs"/>
          <w:rtl/>
        </w:rPr>
        <w:t>.</w:t>
      </w:r>
      <w:r>
        <w:rPr>
          <w:rFonts w:hint="cs"/>
          <w:rtl/>
        </w:rPr>
        <w:t xml:space="preserve"> הם לא רוצים להגן על משטר </w:t>
      </w:r>
      <w:bookmarkStart w:id="28553" w:name="_ETM_Q48_722000"/>
      <w:bookmarkEnd w:id="28553"/>
      <w:r>
        <w:rPr>
          <w:rFonts w:hint="cs"/>
          <w:rtl/>
        </w:rPr>
        <w:t>יחיד, לא דמוקרטי, שכורת את הבסיס שעליו נוסדה מדינת ישראל.</w:t>
      </w:r>
    </w:p>
    <w:p w:rsidR="00BB59CD" w:rsidRDefault="00BB59CD" w:rsidP="00BB59CD">
      <w:pPr>
        <w:rPr>
          <w:rtl/>
        </w:rPr>
      </w:pPr>
      <w:bookmarkStart w:id="28554" w:name="_ETM_Q48_726000"/>
      <w:bookmarkEnd w:id="28554"/>
    </w:p>
    <w:p w:rsidR="00BB59CD" w:rsidRDefault="00BB59CD" w:rsidP="00011595">
      <w:pPr>
        <w:rPr>
          <w:rtl/>
        </w:rPr>
      </w:pPr>
      <w:bookmarkStart w:id="28555" w:name="_ETM_Q48_727000"/>
      <w:bookmarkEnd w:id="28555"/>
      <w:r>
        <w:rPr>
          <w:rFonts w:hint="cs"/>
          <w:rtl/>
        </w:rPr>
        <w:t xml:space="preserve">ואתה, </w:t>
      </w:r>
      <w:bookmarkStart w:id="28556" w:name="_ETM_Q48_729000"/>
      <w:bookmarkEnd w:id="28556"/>
      <w:r>
        <w:rPr>
          <w:rFonts w:hint="cs"/>
          <w:rtl/>
        </w:rPr>
        <w:t xml:space="preserve">בנימין נתניהו, כקפטן הספינה, כמי שאמור להוביל את מדינת ישראל, </w:t>
      </w:r>
      <w:bookmarkStart w:id="28557" w:name="_ETM_Q48_735000"/>
      <w:bookmarkEnd w:id="28557"/>
      <w:r>
        <w:rPr>
          <w:rFonts w:hint="cs"/>
          <w:rtl/>
        </w:rPr>
        <w:t>לא מקשיב לאזרחים האלה</w:t>
      </w:r>
      <w:r w:rsidR="00011595">
        <w:rPr>
          <w:rFonts w:hint="cs"/>
          <w:rtl/>
        </w:rPr>
        <w:t>,</w:t>
      </w:r>
      <w:r>
        <w:rPr>
          <w:rFonts w:hint="cs"/>
          <w:rtl/>
        </w:rPr>
        <w:t xml:space="preserve"> לא רואה אותם</w:t>
      </w:r>
      <w:r w:rsidR="00011595">
        <w:rPr>
          <w:rFonts w:hint="cs"/>
          <w:rtl/>
        </w:rPr>
        <w:t>,</w:t>
      </w:r>
      <w:r>
        <w:rPr>
          <w:rFonts w:hint="cs"/>
          <w:rtl/>
        </w:rPr>
        <w:t xml:space="preserve"> לא שומע אותם? </w:t>
      </w:r>
      <w:bookmarkStart w:id="28558" w:name="_ETM_Q48_741000"/>
      <w:bookmarkEnd w:id="28558"/>
      <w:r>
        <w:rPr>
          <w:rFonts w:hint="cs"/>
          <w:rtl/>
        </w:rPr>
        <w:t>אתה, נתניהו, ראש הממשלה שלכם ושלנו, ראש ממשלת</w:t>
      </w:r>
      <w:bookmarkStart w:id="28559" w:name="_ETM_Q48_749000"/>
      <w:bookmarkEnd w:id="28559"/>
      <w:r>
        <w:rPr>
          <w:rFonts w:hint="cs"/>
          <w:rtl/>
        </w:rPr>
        <w:t xml:space="preserve"> ישראל, כאילו מפליג עם הטיטניק הזאת לתוך הקרחון ומתווכח </w:t>
      </w:r>
      <w:bookmarkStart w:id="28560" w:name="_ETM_Q48_756000"/>
      <w:bookmarkEnd w:id="28560"/>
      <w:r>
        <w:rPr>
          <w:rFonts w:hint="cs"/>
          <w:rtl/>
        </w:rPr>
        <w:t xml:space="preserve">עם כל מי שאומר לו לעצור, לשנות כיוון, שאומר לו </w:t>
      </w:r>
      <w:bookmarkStart w:id="28561" w:name="_ETM_Q48_763000"/>
      <w:bookmarkEnd w:id="28561"/>
      <w:r>
        <w:rPr>
          <w:rFonts w:hint="cs"/>
          <w:rtl/>
        </w:rPr>
        <w:t>שהוא בדרך להתנגשות.</w:t>
      </w:r>
      <w:bookmarkStart w:id="28562" w:name="_ETM_Q48_396000"/>
      <w:bookmarkStart w:id="28563" w:name="TOR_Q49"/>
      <w:bookmarkEnd w:id="28562"/>
      <w:bookmarkEnd w:id="28563"/>
      <w:r>
        <w:rPr>
          <w:rFonts w:hint="cs"/>
          <w:rtl/>
        </w:rPr>
        <w:t xml:space="preserve"> אז במה אתם עוסקים? אתם מספרים לי שיותר חשוב שהתזמורת תמשיך לנגן. אז התזמורת על הטיטניק תמשיך לנגן עד ההתנגשות בקרחון </w:t>
      </w:r>
      <w:bookmarkStart w:id="28564" w:name="_ETM_Q49_175000"/>
      <w:bookmarkEnd w:id="28564"/>
      <w:r>
        <w:rPr>
          <w:rFonts w:hint="cs"/>
          <w:rtl/>
        </w:rPr>
        <w:t xml:space="preserve">ועד השקיעה. לשם אתם מובילים אותנו. </w:t>
      </w:r>
    </w:p>
    <w:p w:rsidR="00BB59CD" w:rsidRDefault="00BB59CD" w:rsidP="00BB59CD">
      <w:pPr>
        <w:rPr>
          <w:rtl/>
        </w:rPr>
      </w:pPr>
    </w:p>
    <w:p w:rsidR="00BB59CD" w:rsidRDefault="00BB59CD" w:rsidP="00BB59CD">
      <w:pPr>
        <w:rPr>
          <w:rtl/>
        </w:rPr>
      </w:pPr>
      <w:r>
        <w:rPr>
          <w:rFonts w:hint="cs"/>
          <w:rtl/>
        </w:rPr>
        <w:t xml:space="preserve">אני </w:t>
      </w:r>
      <w:bookmarkStart w:id="28565" w:name="_ETM_Q49_180710"/>
      <w:bookmarkEnd w:id="28565"/>
      <w:r>
        <w:rPr>
          <w:rFonts w:hint="cs"/>
          <w:rtl/>
        </w:rPr>
        <w:t xml:space="preserve">אומר </w:t>
      </w:r>
      <w:bookmarkStart w:id="28566" w:name="_ETM_Q49_180950"/>
      <w:bookmarkEnd w:id="28566"/>
      <w:r>
        <w:rPr>
          <w:rFonts w:hint="cs"/>
          <w:rtl/>
        </w:rPr>
        <w:t xml:space="preserve">מכאן </w:t>
      </w:r>
      <w:bookmarkStart w:id="28567" w:name="_ETM_Q49_181430"/>
      <w:bookmarkEnd w:id="28567"/>
      <w:r>
        <w:rPr>
          <w:rFonts w:hint="cs"/>
          <w:rtl/>
        </w:rPr>
        <w:t xml:space="preserve">לראש </w:t>
      </w:r>
      <w:bookmarkStart w:id="28568" w:name="_ETM_Q49_181730"/>
      <w:bookmarkEnd w:id="28568"/>
      <w:r>
        <w:rPr>
          <w:rFonts w:hint="cs"/>
          <w:rtl/>
        </w:rPr>
        <w:t xml:space="preserve">הממשלה: </w:t>
      </w:r>
      <w:bookmarkStart w:id="28569" w:name="_ETM_Q49_183239"/>
      <w:bookmarkEnd w:id="28569"/>
      <w:r>
        <w:rPr>
          <w:rFonts w:hint="cs"/>
          <w:rtl/>
        </w:rPr>
        <w:t xml:space="preserve">זה </w:t>
      </w:r>
      <w:bookmarkStart w:id="28570" w:name="_ETM_Q49_183719"/>
      <w:bookmarkEnd w:id="28570"/>
      <w:r>
        <w:rPr>
          <w:rFonts w:hint="cs"/>
          <w:rtl/>
        </w:rPr>
        <w:t xml:space="preserve">בכוחך </w:t>
      </w:r>
      <w:bookmarkStart w:id="28571" w:name="_ETM_Q49_184109"/>
      <w:bookmarkStart w:id="28572" w:name="_ETM_Q49_185370"/>
      <w:bookmarkEnd w:id="28571"/>
      <w:bookmarkEnd w:id="28572"/>
      <w:r>
        <w:rPr>
          <w:rFonts w:hint="cs"/>
          <w:rtl/>
        </w:rPr>
        <w:t xml:space="preserve">וזה </w:t>
      </w:r>
      <w:bookmarkStart w:id="28573" w:name="_ETM_Q49_185970"/>
      <w:bookmarkEnd w:id="28573"/>
      <w:r>
        <w:rPr>
          <w:rFonts w:hint="cs"/>
          <w:rtl/>
        </w:rPr>
        <w:t>באחריותך</w:t>
      </w:r>
      <w:bookmarkStart w:id="28574" w:name="_ETM_Q49_188070"/>
      <w:bookmarkEnd w:id="28574"/>
      <w:r>
        <w:rPr>
          <w:rFonts w:hint="cs"/>
          <w:rtl/>
        </w:rPr>
        <w:t xml:space="preserve">. לא </w:t>
      </w:r>
      <w:bookmarkStart w:id="28575" w:name="_ETM_Q49_188369"/>
      <w:bookmarkEnd w:id="28575"/>
      <w:r>
        <w:rPr>
          <w:rFonts w:hint="cs"/>
          <w:rtl/>
        </w:rPr>
        <w:t xml:space="preserve">שלמות </w:t>
      </w:r>
      <w:bookmarkStart w:id="28576" w:name="_ETM_Q49_188879"/>
      <w:bookmarkEnd w:id="28576"/>
      <w:r>
        <w:rPr>
          <w:rFonts w:hint="cs"/>
          <w:rtl/>
        </w:rPr>
        <w:t xml:space="preserve">הקואליציה </w:t>
      </w:r>
      <w:bookmarkStart w:id="28577" w:name="_ETM_Q49_189629"/>
      <w:bookmarkEnd w:id="28577"/>
      <w:r>
        <w:rPr>
          <w:rFonts w:hint="cs"/>
          <w:rtl/>
        </w:rPr>
        <w:t xml:space="preserve">היא </w:t>
      </w:r>
      <w:bookmarkStart w:id="28578" w:name="_ETM_Q49_189780"/>
      <w:bookmarkStart w:id="28579" w:name="_ETM_Q49_190019"/>
      <w:bookmarkEnd w:id="28578"/>
      <w:bookmarkEnd w:id="28579"/>
      <w:r>
        <w:rPr>
          <w:rFonts w:hint="cs"/>
          <w:rtl/>
        </w:rPr>
        <w:t xml:space="preserve">שחשובה </w:t>
      </w:r>
      <w:bookmarkStart w:id="28580" w:name="_ETM_Q49_190650"/>
      <w:bookmarkEnd w:id="28580"/>
      <w:r>
        <w:rPr>
          <w:rFonts w:hint="cs"/>
          <w:rtl/>
        </w:rPr>
        <w:t xml:space="preserve">כעת </w:t>
      </w:r>
      <w:bookmarkStart w:id="28581" w:name="_ETM_Q49_191539"/>
      <w:bookmarkEnd w:id="28581"/>
      <w:r>
        <w:rPr>
          <w:rFonts w:hint="cs"/>
          <w:rtl/>
        </w:rPr>
        <w:t xml:space="preserve">כי </w:t>
      </w:r>
      <w:bookmarkStart w:id="28582" w:name="_ETM_Q49_192019"/>
      <w:bookmarkEnd w:id="28582"/>
      <w:r>
        <w:rPr>
          <w:rFonts w:hint="cs"/>
          <w:rtl/>
        </w:rPr>
        <w:t xml:space="preserve">אם </w:t>
      </w:r>
      <w:bookmarkStart w:id="28583" w:name="_ETM_Q49_192139"/>
      <w:bookmarkEnd w:id="28583"/>
      <w:r>
        <w:rPr>
          <w:rFonts w:hint="cs"/>
          <w:rtl/>
        </w:rPr>
        <w:t xml:space="preserve">שלמות </w:t>
      </w:r>
      <w:bookmarkStart w:id="28584" w:name="_ETM_Q49_192740"/>
      <w:bookmarkEnd w:id="28584"/>
      <w:r>
        <w:rPr>
          <w:rFonts w:hint="cs"/>
          <w:rtl/>
        </w:rPr>
        <w:t xml:space="preserve">העם. </w:t>
      </w:r>
      <w:bookmarkStart w:id="28585" w:name="_ETM_Q49_194389"/>
      <w:bookmarkEnd w:id="28585"/>
      <w:r>
        <w:rPr>
          <w:rFonts w:hint="cs"/>
          <w:rtl/>
        </w:rPr>
        <w:t xml:space="preserve">תהפוך </w:t>
      </w:r>
      <w:bookmarkStart w:id="28586" w:name="_ETM_Q49_194870"/>
      <w:bookmarkEnd w:id="28586"/>
      <w:r>
        <w:rPr>
          <w:rFonts w:hint="cs"/>
          <w:rtl/>
        </w:rPr>
        <w:t xml:space="preserve">את </w:t>
      </w:r>
      <w:bookmarkStart w:id="28587" w:name="_ETM_Q49_194930"/>
      <w:bookmarkEnd w:id="28587"/>
      <w:r>
        <w:rPr>
          <w:rFonts w:hint="cs"/>
          <w:rtl/>
        </w:rPr>
        <w:t xml:space="preserve">המשבר </w:t>
      </w:r>
      <w:bookmarkStart w:id="28588" w:name="_ETM_Q49_195349"/>
      <w:bookmarkEnd w:id="28588"/>
      <w:r>
        <w:rPr>
          <w:rFonts w:hint="cs"/>
          <w:rtl/>
        </w:rPr>
        <w:t xml:space="preserve">הזה </w:t>
      </w:r>
      <w:bookmarkStart w:id="28589" w:name="_ETM_Q49_195530"/>
      <w:bookmarkEnd w:id="28589"/>
      <w:r>
        <w:rPr>
          <w:rFonts w:hint="cs"/>
          <w:rtl/>
        </w:rPr>
        <w:t xml:space="preserve">להזדמנות. </w:t>
      </w:r>
      <w:bookmarkStart w:id="28590" w:name="_ETM_Q49_196800"/>
      <w:bookmarkEnd w:id="28590"/>
      <w:r>
        <w:rPr>
          <w:rFonts w:hint="cs"/>
          <w:rtl/>
        </w:rPr>
        <w:t xml:space="preserve">קח </w:t>
      </w:r>
      <w:bookmarkStart w:id="28591" w:name="_ETM_Q49_197160"/>
      <w:bookmarkEnd w:id="28591"/>
      <w:r>
        <w:rPr>
          <w:rFonts w:hint="cs"/>
          <w:rtl/>
        </w:rPr>
        <w:t xml:space="preserve">את </w:t>
      </w:r>
      <w:bookmarkStart w:id="28592" w:name="_ETM_Q49_197310"/>
      <w:bookmarkEnd w:id="28592"/>
      <w:r>
        <w:rPr>
          <w:rFonts w:hint="cs"/>
          <w:rtl/>
        </w:rPr>
        <w:t xml:space="preserve">הרגע </w:t>
      </w:r>
      <w:bookmarkStart w:id="28593" w:name="_ETM_Q49_197670"/>
      <w:bookmarkEnd w:id="28593"/>
      <w:r>
        <w:rPr>
          <w:rFonts w:hint="cs"/>
          <w:rtl/>
        </w:rPr>
        <w:t xml:space="preserve">המכונן </w:t>
      </w:r>
      <w:bookmarkStart w:id="28594" w:name="_ETM_Q49_198180"/>
      <w:bookmarkEnd w:id="28594"/>
      <w:r>
        <w:rPr>
          <w:rFonts w:hint="cs"/>
          <w:rtl/>
        </w:rPr>
        <w:t xml:space="preserve">הזה </w:t>
      </w:r>
      <w:bookmarkStart w:id="28595" w:name="_ETM_Q49_198360"/>
      <w:bookmarkEnd w:id="28595"/>
      <w:r>
        <w:rPr>
          <w:rFonts w:hint="cs"/>
          <w:rtl/>
        </w:rPr>
        <w:t xml:space="preserve">שאנחנו </w:t>
      </w:r>
      <w:bookmarkStart w:id="28596" w:name="_ETM_Q49_198630"/>
      <w:bookmarkEnd w:id="28596"/>
      <w:r>
        <w:rPr>
          <w:rFonts w:hint="cs"/>
          <w:rtl/>
        </w:rPr>
        <w:t xml:space="preserve">נמצאים </w:t>
      </w:r>
      <w:bookmarkStart w:id="28597" w:name="_ETM_Q49_199110"/>
      <w:bookmarkEnd w:id="28597"/>
      <w:r>
        <w:rPr>
          <w:rFonts w:hint="cs"/>
          <w:rtl/>
        </w:rPr>
        <w:t xml:space="preserve">בו; </w:t>
      </w:r>
      <w:bookmarkStart w:id="28598" w:name="_ETM_Q49_200210"/>
      <w:bookmarkEnd w:id="28598"/>
      <w:r>
        <w:rPr>
          <w:rFonts w:hint="cs"/>
          <w:rtl/>
        </w:rPr>
        <w:t xml:space="preserve">קח </w:t>
      </w:r>
      <w:bookmarkStart w:id="28599" w:name="_ETM_Q49_200419"/>
      <w:bookmarkEnd w:id="28599"/>
      <w:r>
        <w:rPr>
          <w:rFonts w:hint="cs"/>
          <w:rtl/>
        </w:rPr>
        <w:t xml:space="preserve">את </w:t>
      </w:r>
      <w:bookmarkStart w:id="28600" w:name="_ETM_Q49_200599"/>
      <w:bookmarkEnd w:id="28600"/>
      <w:r>
        <w:rPr>
          <w:rFonts w:hint="cs"/>
          <w:rtl/>
        </w:rPr>
        <w:t xml:space="preserve">הרגע </w:t>
      </w:r>
      <w:bookmarkStart w:id="28601" w:name="_ETM_Q49_201050"/>
      <w:bookmarkEnd w:id="28601"/>
      <w:r>
        <w:rPr>
          <w:rFonts w:hint="cs"/>
          <w:rtl/>
        </w:rPr>
        <w:t xml:space="preserve">הזה, </w:t>
      </w:r>
      <w:bookmarkStart w:id="28602" w:name="_ETM_Q49_201289"/>
      <w:bookmarkEnd w:id="28602"/>
      <w:r>
        <w:rPr>
          <w:rFonts w:hint="cs"/>
          <w:rtl/>
        </w:rPr>
        <w:t xml:space="preserve">75 </w:t>
      </w:r>
      <w:bookmarkStart w:id="28603" w:name="_ETM_Q49_202130"/>
      <w:bookmarkEnd w:id="28603"/>
      <w:r>
        <w:rPr>
          <w:rFonts w:hint="cs"/>
          <w:rtl/>
        </w:rPr>
        <w:t xml:space="preserve">שנים </w:t>
      </w:r>
      <w:bookmarkStart w:id="28604" w:name="_ETM_Q49_202909"/>
      <w:bookmarkEnd w:id="28604"/>
      <w:r>
        <w:rPr>
          <w:rFonts w:hint="cs"/>
          <w:rtl/>
        </w:rPr>
        <w:t xml:space="preserve">אחרי </w:t>
      </w:r>
      <w:bookmarkStart w:id="28605" w:name="_ETM_Q49_203210"/>
      <w:bookmarkEnd w:id="28605"/>
      <w:r>
        <w:rPr>
          <w:rFonts w:hint="cs"/>
          <w:rtl/>
        </w:rPr>
        <w:t xml:space="preserve">שקמה </w:t>
      </w:r>
      <w:bookmarkStart w:id="28606" w:name="_ETM_Q49_203660"/>
      <w:bookmarkEnd w:id="28606"/>
      <w:r>
        <w:rPr>
          <w:rFonts w:hint="cs"/>
          <w:rtl/>
        </w:rPr>
        <w:t xml:space="preserve">מדינת </w:t>
      </w:r>
      <w:bookmarkStart w:id="28607" w:name="_ETM_Q49_204019"/>
      <w:bookmarkEnd w:id="28607"/>
      <w:r>
        <w:rPr>
          <w:rFonts w:hint="cs"/>
          <w:rtl/>
        </w:rPr>
        <w:t xml:space="preserve">ישראל, </w:t>
      </w:r>
      <w:bookmarkStart w:id="28608" w:name="_ETM_Q49_205570"/>
      <w:bookmarkEnd w:id="28608"/>
      <w:r>
        <w:rPr>
          <w:rFonts w:hint="cs"/>
          <w:rtl/>
        </w:rPr>
        <w:t xml:space="preserve">תעצור </w:t>
      </w:r>
      <w:bookmarkStart w:id="28609" w:name="_ETM_Q49_206200"/>
      <w:bookmarkEnd w:id="28609"/>
      <w:r>
        <w:rPr>
          <w:rFonts w:hint="cs"/>
          <w:rtl/>
        </w:rPr>
        <w:t xml:space="preserve">ותודיע </w:t>
      </w:r>
      <w:bookmarkStart w:id="28610" w:name="_ETM_Q49_206770"/>
      <w:bookmarkEnd w:id="28610"/>
      <w:r>
        <w:rPr>
          <w:rFonts w:hint="cs"/>
          <w:rtl/>
        </w:rPr>
        <w:t xml:space="preserve">שאתה </w:t>
      </w:r>
      <w:bookmarkStart w:id="28611" w:name="_ETM_Q49_207100"/>
      <w:bookmarkEnd w:id="28611"/>
      <w:r>
        <w:rPr>
          <w:rFonts w:hint="cs"/>
          <w:rtl/>
        </w:rPr>
        <w:t xml:space="preserve">מוריד </w:t>
      </w:r>
      <w:bookmarkStart w:id="28612" w:name="_ETM_Q49_207460"/>
      <w:bookmarkEnd w:id="28612"/>
      <w:r>
        <w:rPr>
          <w:rFonts w:hint="cs"/>
          <w:rtl/>
        </w:rPr>
        <w:t xml:space="preserve">את </w:t>
      </w:r>
      <w:bookmarkStart w:id="28613" w:name="_ETM_Q49_207580"/>
      <w:bookmarkEnd w:id="28613"/>
      <w:r>
        <w:rPr>
          <w:rFonts w:hint="cs"/>
          <w:rtl/>
        </w:rPr>
        <w:t xml:space="preserve">החקיקה </w:t>
      </w:r>
      <w:bookmarkStart w:id="28614" w:name="_ETM_Q49_208120"/>
      <w:bookmarkEnd w:id="28614"/>
      <w:r>
        <w:rPr>
          <w:rFonts w:hint="cs"/>
          <w:rtl/>
        </w:rPr>
        <w:t xml:space="preserve">הזאת </w:t>
      </w:r>
      <w:bookmarkStart w:id="28615" w:name="_ETM_Q49_208360"/>
      <w:bookmarkEnd w:id="28615"/>
      <w:r>
        <w:rPr>
          <w:rFonts w:hint="cs"/>
          <w:rtl/>
        </w:rPr>
        <w:t xml:space="preserve">מהשולחן </w:t>
      </w:r>
      <w:bookmarkStart w:id="28616" w:name="_ETM_Q49_209499"/>
      <w:bookmarkEnd w:id="28616"/>
      <w:r>
        <w:rPr>
          <w:rFonts w:hint="cs"/>
          <w:rtl/>
        </w:rPr>
        <w:t xml:space="preserve">ומתחיל </w:t>
      </w:r>
      <w:bookmarkStart w:id="28617" w:name="_ETM_Q49_210130"/>
      <w:bookmarkEnd w:id="28617"/>
      <w:r>
        <w:rPr>
          <w:rFonts w:hint="cs"/>
          <w:rtl/>
        </w:rPr>
        <w:t xml:space="preserve">לנהל </w:t>
      </w:r>
      <w:bookmarkStart w:id="28618" w:name="_ETM_Q49_210460"/>
      <w:bookmarkEnd w:id="28618"/>
      <w:r>
        <w:rPr>
          <w:rFonts w:hint="cs"/>
          <w:rtl/>
        </w:rPr>
        <w:t xml:space="preserve">משא ומתן </w:t>
      </w:r>
      <w:bookmarkStart w:id="28619" w:name="_ETM_Q49_211670"/>
      <w:bookmarkEnd w:id="28619"/>
      <w:r>
        <w:rPr>
          <w:rFonts w:hint="cs"/>
          <w:rtl/>
        </w:rPr>
        <w:t xml:space="preserve">על </w:t>
      </w:r>
      <w:bookmarkStart w:id="28620" w:name="_ETM_Q49_212000"/>
      <w:bookmarkEnd w:id="28620"/>
      <w:r>
        <w:rPr>
          <w:rFonts w:hint="cs"/>
          <w:rtl/>
        </w:rPr>
        <w:t xml:space="preserve">חוקה </w:t>
      </w:r>
      <w:bookmarkStart w:id="28621" w:name="_ETM_Q49_212840"/>
      <w:bookmarkEnd w:id="28621"/>
      <w:r>
        <w:rPr>
          <w:rFonts w:hint="cs"/>
          <w:rtl/>
        </w:rPr>
        <w:t xml:space="preserve">בהסכמה, </w:t>
      </w:r>
      <w:bookmarkStart w:id="28622" w:name="_ETM_Q49_214129"/>
      <w:bookmarkEnd w:id="28622"/>
      <w:r>
        <w:rPr>
          <w:rFonts w:hint="cs"/>
          <w:rtl/>
        </w:rPr>
        <w:t xml:space="preserve">חוקה </w:t>
      </w:r>
      <w:bookmarkStart w:id="28623" w:name="_ETM_Q49_214520"/>
      <w:bookmarkEnd w:id="28623"/>
      <w:r>
        <w:rPr>
          <w:rFonts w:hint="cs"/>
          <w:rtl/>
        </w:rPr>
        <w:t xml:space="preserve">שתזכה </w:t>
      </w:r>
      <w:bookmarkStart w:id="28624" w:name="_ETM_Q49_215090"/>
      <w:bookmarkEnd w:id="28624"/>
      <w:r>
        <w:rPr>
          <w:rFonts w:hint="cs"/>
          <w:rtl/>
        </w:rPr>
        <w:t xml:space="preserve">לאמון </w:t>
      </w:r>
      <w:bookmarkStart w:id="28625" w:name="_ETM_Q49_215449"/>
      <w:bookmarkEnd w:id="28625"/>
      <w:r>
        <w:rPr>
          <w:rFonts w:hint="cs"/>
          <w:rtl/>
        </w:rPr>
        <w:t xml:space="preserve">הסיעות </w:t>
      </w:r>
      <w:bookmarkStart w:id="28626" w:name="_ETM_Q49_215899"/>
      <w:bookmarkEnd w:id="28626"/>
      <w:r>
        <w:rPr>
          <w:rFonts w:hint="cs"/>
          <w:rtl/>
        </w:rPr>
        <w:t xml:space="preserve">הציוניות </w:t>
      </w:r>
      <w:bookmarkStart w:id="28627" w:name="_ETM_Q49_216559"/>
      <w:bookmarkEnd w:id="28627"/>
      <w:r>
        <w:rPr>
          <w:rFonts w:hint="cs"/>
          <w:rtl/>
        </w:rPr>
        <w:t xml:space="preserve">בבית </w:t>
      </w:r>
      <w:bookmarkStart w:id="28628" w:name="_ETM_Q49_216979"/>
      <w:bookmarkEnd w:id="28628"/>
      <w:r>
        <w:rPr>
          <w:rFonts w:hint="cs"/>
          <w:rtl/>
        </w:rPr>
        <w:t xml:space="preserve">הזה, </w:t>
      </w:r>
      <w:bookmarkStart w:id="28629" w:name="_ETM_Q49_217830"/>
      <w:bookmarkEnd w:id="28629"/>
      <w:r>
        <w:rPr>
          <w:rFonts w:hint="cs"/>
          <w:rtl/>
        </w:rPr>
        <w:t xml:space="preserve">שתחזיר </w:t>
      </w:r>
      <w:bookmarkStart w:id="28630" w:name="_ETM_Q49_218460"/>
      <w:bookmarkEnd w:id="28630"/>
      <w:r>
        <w:rPr>
          <w:rFonts w:hint="cs"/>
          <w:rtl/>
        </w:rPr>
        <w:t xml:space="preserve">את </w:t>
      </w:r>
      <w:bookmarkStart w:id="28631" w:name="_ETM_Q49_218580"/>
      <w:bookmarkEnd w:id="28631"/>
      <w:r>
        <w:rPr>
          <w:rFonts w:hint="cs"/>
          <w:rtl/>
        </w:rPr>
        <w:t xml:space="preserve">מדינת </w:t>
      </w:r>
      <w:bookmarkStart w:id="28632" w:name="_ETM_Q49_218970"/>
      <w:bookmarkEnd w:id="28632"/>
      <w:r>
        <w:rPr>
          <w:rFonts w:hint="cs"/>
          <w:rtl/>
        </w:rPr>
        <w:t xml:space="preserve">ישראל </w:t>
      </w:r>
      <w:bookmarkStart w:id="28633" w:name="_ETM_Q49_220010"/>
      <w:bookmarkEnd w:id="28633"/>
      <w:r>
        <w:rPr>
          <w:rFonts w:hint="cs"/>
          <w:rtl/>
        </w:rPr>
        <w:t xml:space="preserve">למסלול </w:t>
      </w:r>
      <w:bookmarkStart w:id="28634" w:name="_ETM_Q49_221120"/>
      <w:bookmarkEnd w:id="28634"/>
      <w:r>
        <w:rPr>
          <w:rFonts w:hint="cs"/>
          <w:rtl/>
        </w:rPr>
        <w:t xml:space="preserve">שהתוותה </w:t>
      </w:r>
      <w:bookmarkStart w:id="28635" w:name="_ETM_Q49_221000"/>
      <w:bookmarkStart w:id="28636" w:name="_ETM_Q49_221479"/>
      <w:bookmarkStart w:id="28637" w:name="_ETM_Q49_222139"/>
      <w:bookmarkEnd w:id="28635"/>
      <w:bookmarkEnd w:id="28636"/>
      <w:bookmarkEnd w:id="28637"/>
      <w:r>
        <w:rPr>
          <w:rFonts w:hint="cs"/>
          <w:rtl/>
        </w:rPr>
        <w:t xml:space="preserve">התנועה </w:t>
      </w:r>
      <w:bookmarkStart w:id="28638" w:name="_ETM_Q49_222889"/>
      <w:bookmarkEnd w:id="28638"/>
      <w:r>
        <w:rPr>
          <w:rFonts w:hint="cs"/>
          <w:rtl/>
        </w:rPr>
        <w:t xml:space="preserve">הציונית: </w:t>
      </w:r>
      <w:bookmarkStart w:id="28639" w:name="_ETM_Q49_224159"/>
      <w:bookmarkEnd w:id="28639"/>
      <w:r>
        <w:rPr>
          <w:rFonts w:hint="cs"/>
          <w:rtl/>
        </w:rPr>
        <w:t xml:space="preserve">בית </w:t>
      </w:r>
      <w:bookmarkStart w:id="28640" w:name="_ETM_Q49_224609"/>
      <w:bookmarkEnd w:id="28640"/>
      <w:r>
        <w:rPr>
          <w:rFonts w:hint="cs"/>
          <w:rtl/>
        </w:rPr>
        <w:t xml:space="preserve">לאומי </w:t>
      </w:r>
      <w:bookmarkStart w:id="28641" w:name="_ETM_Q49_225479"/>
      <w:bookmarkEnd w:id="28641"/>
      <w:r>
        <w:rPr>
          <w:rFonts w:hint="cs"/>
          <w:rtl/>
        </w:rPr>
        <w:t xml:space="preserve">לעם </w:t>
      </w:r>
      <w:bookmarkStart w:id="28642" w:name="_ETM_Q49_225930"/>
      <w:bookmarkEnd w:id="28642"/>
      <w:r>
        <w:rPr>
          <w:rFonts w:hint="cs"/>
          <w:rtl/>
        </w:rPr>
        <w:t xml:space="preserve">היהודי </w:t>
      </w:r>
      <w:bookmarkStart w:id="28643" w:name="_ETM_Q49_226350"/>
      <w:bookmarkEnd w:id="28643"/>
      <w:r>
        <w:rPr>
          <w:rFonts w:hint="cs"/>
          <w:rtl/>
        </w:rPr>
        <w:t xml:space="preserve">בארץ </w:t>
      </w:r>
      <w:bookmarkStart w:id="28644" w:name="_ETM_Q49_226829"/>
      <w:bookmarkEnd w:id="28644"/>
      <w:r>
        <w:rPr>
          <w:rFonts w:hint="cs"/>
          <w:rtl/>
        </w:rPr>
        <w:t xml:space="preserve">ישראל </w:t>
      </w:r>
      <w:bookmarkStart w:id="28645" w:name="_ETM_Q49_227719"/>
      <w:bookmarkEnd w:id="28645"/>
      <w:r>
        <w:rPr>
          <w:rFonts w:hint="cs"/>
          <w:rtl/>
        </w:rPr>
        <w:t xml:space="preserve">שמושתת </w:t>
      </w:r>
      <w:bookmarkStart w:id="28646" w:name="_ETM_Q49_228440"/>
      <w:bookmarkEnd w:id="28646"/>
      <w:r>
        <w:rPr>
          <w:rFonts w:hint="cs"/>
          <w:rtl/>
        </w:rPr>
        <w:t xml:space="preserve">על </w:t>
      </w:r>
      <w:bookmarkStart w:id="28647" w:name="_ETM_Q49_228559"/>
      <w:bookmarkEnd w:id="28647"/>
      <w:r>
        <w:rPr>
          <w:rFonts w:hint="cs"/>
          <w:rtl/>
        </w:rPr>
        <w:t xml:space="preserve">עקרונות </w:t>
      </w:r>
      <w:bookmarkStart w:id="28648" w:name="_ETM_Q49_228979"/>
      <w:bookmarkEnd w:id="28648"/>
      <w:r>
        <w:rPr>
          <w:rFonts w:hint="cs"/>
          <w:rtl/>
        </w:rPr>
        <w:t xml:space="preserve">היסוד </w:t>
      </w:r>
      <w:bookmarkStart w:id="28649" w:name="_ETM_Q49_229889"/>
      <w:bookmarkEnd w:id="28649"/>
      <w:r>
        <w:rPr>
          <w:rFonts w:hint="cs"/>
          <w:rtl/>
        </w:rPr>
        <w:t xml:space="preserve">של </w:t>
      </w:r>
      <w:bookmarkStart w:id="28650" w:name="_ETM_Q49_230129"/>
      <w:bookmarkEnd w:id="28650"/>
      <w:r>
        <w:rPr>
          <w:rFonts w:hint="cs"/>
          <w:rtl/>
        </w:rPr>
        <w:t xml:space="preserve">חירות </w:t>
      </w:r>
      <w:bookmarkStart w:id="28651" w:name="_ETM_Q49_230489"/>
      <w:bookmarkEnd w:id="28651"/>
      <w:r>
        <w:rPr>
          <w:rFonts w:hint="cs"/>
          <w:rtl/>
        </w:rPr>
        <w:t xml:space="preserve">וצדק, </w:t>
      </w:r>
      <w:bookmarkStart w:id="28652" w:name="_ETM_Q49_231720"/>
      <w:bookmarkEnd w:id="28652"/>
      <w:r>
        <w:rPr>
          <w:rFonts w:hint="cs"/>
          <w:rtl/>
        </w:rPr>
        <w:t xml:space="preserve">עם </w:t>
      </w:r>
      <w:bookmarkStart w:id="28653" w:name="_ETM_Q49_231870"/>
      <w:bookmarkEnd w:id="28653"/>
      <w:r>
        <w:rPr>
          <w:rFonts w:hint="cs"/>
          <w:rtl/>
        </w:rPr>
        <w:t xml:space="preserve">שוויון </w:t>
      </w:r>
      <w:bookmarkStart w:id="28654" w:name="_ETM_Q49_232380"/>
      <w:bookmarkEnd w:id="28654"/>
      <w:r>
        <w:rPr>
          <w:rFonts w:hint="cs"/>
          <w:rtl/>
        </w:rPr>
        <w:t xml:space="preserve">זכויות </w:t>
      </w:r>
      <w:bookmarkStart w:id="28655" w:name="_ETM_Q49_233400"/>
      <w:bookmarkEnd w:id="28655"/>
      <w:r>
        <w:rPr>
          <w:rFonts w:hint="cs"/>
          <w:rtl/>
        </w:rPr>
        <w:t xml:space="preserve">וחובות, </w:t>
      </w:r>
      <w:bookmarkStart w:id="28656" w:name="_ETM_Q49_234809"/>
      <w:bookmarkEnd w:id="28656"/>
      <w:r>
        <w:rPr>
          <w:rFonts w:hint="cs"/>
          <w:rtl/>
        </w:rPr>
        <w:t xml:space="preserve">עם </w:t>
      </w:r>
      <w:bookmarkStart w:id="28657" w:name="_ETM_Q49_235020"/>
      <w:bookmarkEnd w:id="28657"/>
      <w:r>
        <w:rPr>
          <w:rFonts w:hint="cs"/>
          <w:rtl/>
        </w:rPr>
        <w:t xml:space="preserve">חופש </w:t>
      </w:r>
      <w:bookmarkStart w:id="28658" w:name="_ETM_Q49_235590"/>
      <w:bookmarkEnd w:id="28658"/>
      <w:r>
        <w:rPr>
          <w:rFonts w:hint="cs"/>
          <w:rtl/>
        </w:rPr>
        <w:t xml:space="preserve">מדת </w:t>
      </w:r>
      <w:bookmarkStart w:id="28659" w:name="_ETM_Q49_236730"/>
      <w:bookmarkEnd w:id="28659"/>
      <w:r>
        <w:rPr>
          <w:rFonts w:hint="cs"/>
          <w:rtl/>
        </w:rPr>
        <w:t xml:space="preserve">וחופש </w:t>
      </w:r>
      <w:bookmarkStart w:id="28660" w:name="_ETM_Q49_238579"/>
      <w:bookmarkEnd w:id="28660"/>
      <w:r>
        <w:rPr>
          <w:rFonts w:hint="cs"/>
          <w:rtl/>
        </w:rPr>
        <w:t xml:space="preserve">הדת. זו </w:t>
      </w:r>
      <w:bookmarkStart w:id="28661" w:name="_ETM_Q49_238969"/>
      <w:bookmarkEnd w:id="28661"/>
      <w:r>
        <w:rPr>
          <w:rFonts w:hint="cs"/>
          <w:rtl/>
        </w:rPr>
        <w:t xml:space="preserve">ההזדמנות </w:t>
      </w:r>
      <w:bookmarkStart w:id="28662" w:name="_ETM_Q49_239660"/>
      <w:bookmarkEnd w:id="28662"/>
      <w:r>
        <w:rPr>
          <w:rFonts w:hint="cs"/>
          <w:rtl/>
        </w:rPr>
        <w:t xml:space="preserve">שלנו </w:t>
      </w:r>
      <w:bookmarkStart w:id="28663" w:name="_ETM_Q49_240230"/>
      <w:bookmarkEnd w:id="28663"/>
      <w:r>
        <w:rPr>
          <w:rFonts w:hint="cs"/>
          <w:rtl/>
        </w:rPr>
        <w:t xml:space="preserve">לחוקה </w:t>
      </w:r>
      <w:bookmarkStart w:id="28664" w:name="_ETM_Q49_240710"/>
      <w:bookmarkEnd w:id="28664"/>
      <w:r>
        <w:rPr>
          <w:rFonts w:hint="cs"/>
          <w:rtl/>
        </w:rPr>
        <w:t xml:space="preserve">לישראל, </w:t>
      </w:r>
      <w:bookmarkStart w:id="28665" w:name="_ETM_Q49_241969"/>
      <w:bookmarkEnd w:id="28665"/>
      <w:r>
        <w:rPr>
          <w:rFonts w:hint="cs"/>
          <w:rtl/>
        </w:rPr>
        <w:t xml:space="preserve">ולא </w:t>
      </w:r>
      <w:bookmarkStart w:id="28666" w:name="_ETM_Q49_242300"/>
      <w:bookmarkEnd w:id="28666"/>
      <w:r>
        <w:rPr>
          <w:rFonts w:hint="cs"/>
          <w:rtl/>
        </w:rPr>
        <w:t xml:space="preserve">הקשקוש </w:t>
      </w:r>
      <w:bookmarkStart w:id="28667" w:name="_ETM_Q49_242899"/>
      <w:bookmarkEnd w:id="28667"/>
      <w:r>
        <w:rPr>
          <w:rFonts w:hint="cs"/>
          <w:rtl/>
        </w:rPr>
        <w:t xml:space="preserve">הזה </w:t>
      </w:r>
      <w:bookmarkStart w:id="28668" w:name="_ETM_Q49_243630"/>
      <w:bookmarkEnd w:id="28668"/>
      <w:r>
        <w:rPr>
          <w:rFonts w:hint="cs"/>
          <w:rtl/>
        </w:rPr>
        <w:t xml:space="preserve">שאתם </w:t>
      </w:r>
      <w:bookmarkStart w:id="28669" w:name="_ETM_Q49_243990"/>
      <w:bookmarkEnd w:id="28669"/>
      <w:r>
        <w:rPr>
          <w:rFonts w:hint="cs"/>
          <w:rtl/>
        </w:rPr>
        <w:t xml:space="preserve">מנסים </w:t>
      </w:r>
      <w:bookmarkStart w:id="28670" w:name="_ETM_Q49_244410"/>
      <w:bookmarkEnd w:id="28670"/>
      <w:r>
        <w:rPr>
          <w:rFonts w:hint="cs"/>
          <w:rtl/>
        </w:rPr>
        <w:t xml:space="preserve">להעביר </w:t>
      </w:r>
      <w:bookmarkStart w:id="28671" w:name="_ETM_Q49_244860"/>
      <w:bookmarkEnd w:id="28671"/>
      <w:r>
        <w:rPr>
          <w:rFonts w:hint="cs"/>
          <w:rtl/>
        </w:rPr>
        <w:t xml:space="preserve">כאן </w:t>
      </w:r>
      <w:bookmarkStart w:id="28672" w:name="_ETM_Q49_245459"/>
      <w:bookmarkEnd w:id="28672"/>
      <w:r>
        <w:rPr>
          <w:rFonts w:hint="cs"/>
          <w:rtl/>
        </w:rPr>
        <w:t xml:space="preserve">וקוראים </w:t>
      </w:r>
      <w:bookmarkStart w:id="28673" w:name="_ETM_Q49_245940"/>
      <w:bookmarkEnd w:id="28673"/>
      <w:r>
        <w:rPr>
          <w:rFonts w:hint="cs"/>
          <w:rtl/>
        </w:rPr>
        <w:t xml:space="preserve">לו </w:t>
      </w:r>
      <w:bookmarkStart w:id="28674" w:name="_ETM_Q49_246060"/>
      <w:bookmarkEnd w:id="28674"/>
      <w:r>
        <w:rPr>
          <w:rFonts w:hint="cs"/>
          <w:rtl/>
        </w:rPr>
        <w:t xml:space="preserve">"רפורמה", </w:t>
      </w:r>
      <w:bookmarkStart w:id="28675" w:name="_ETM_Q49_247090"/>
      <w:bookmarkEnd w:id="28675"/>
      <w:r>
        <w:rPr>
          <w:rFonts w:hint="cs"/>
          <w:rtl/>
        </w:rPr>
        <w:t xml:space="preserve">כי </w:t>
      </w:r>
      <w:bookmarkStart w:id="28676" w:name="_ETM_Q49_247240"/>
      <w:bookmarkEnd w:id="28676"/>
      <w:r>
        <w:rPr>
          <w:rFonts w:hint="cs"/>
          <w:rtl/>
        </w:rPr>
        <w:t xml:space="preserve">זאת </w:t>
      </w:r>
      <w:bookmarkStart w:id="28677" w:name="_ETM_Q49_247450"/>
      <w:bookmarkEnd w:id="28677"/>
      <w:r>
        <w:rPr>
          <w:rFonts w:hint="cs"/>
          <w:rtl/>
        </w:rPr>
        <w:t xml:space="preserve">לא </w:t>
      </w:r>
      <w:bookmarkStart w:id="28678" w:name="_ETM_Q49_247600"/>
      <w:bookmarkEnd w:id="28678"/>
      <w:r>
        <w:rPr>
          <w:rFonts w:hint="cs"/>
          <w:rtl/>
        </w:rPr>
        <w:t xml:space="preserve">רפורמה </w:t>
      </w:r>
      <w:bookmarkStart w:id="28679" w:name="_ETM_Q49_248080"/>
      <w:bookmarkEnd w:id="28679"/>
      <w:r>
        <w:rPr>
          <w:rFonts w:hint="cs"/>
          <w:rtl/>
        </w:rPr>
        <w:t xml:space="preserve">משפטית. </w:t>
      </w:r>
      <w:bookmarkStart w:id="28680" w:name="_ETM_Q49_250150"/>
      <w:bookmarkEnd w:id="28680"/>
      <w:r>
        <w:rPr>
          <w:rFonts w:hint="cs"/>
          <w:rtl/>
        </w:rPr>
        <w:t xml:space="preserve">מה </w:t>
      </w:r>
      <w:bookmarkStart w:id="28681" w:name="_ETM_Q49_250360"/>
      <w:bookmarkEnd w:id="28681"/>
      <w:r>
        <w:rPr>
          <w:rFonts w:hint="cs"/>
          <w:rtl/>
        </w:rPr>
        <w:t xml:space="preserve">שמתנהל </w:t>
      </w:r>
      <w:bookmarkStart w:id="28682" w:name="_ETM_Q49_250990"/>
      <w:bookmarkEnd w:id="28682"/>
      <w:r>
        <w:rPr>
          <w:rFonts w:hint="cs"/>
          <w:rtl/>
        </w:rPr>
        <w:t xml:space="preserve">כאן </w:t>
      </w:r>
      <w:bookmarkStart w:id="28683" w:name="_ETM_Q49_251229"/>
      <w:bookmarkEnd w:id="28683"/>
      <w:r>
        <w:rPr>
          <w:rFonts w:hint="cs"/>
          <w:rtl/>
        </w:rPr>
        <w:t xml:space="preserve">זה </w:t>
      </w:r>
      <w:bookmarkStart w:id="28684" w:name="_ETM_Q49_251380"/>
      <w:bookmarkEnd w:id="28684"/>
      <w:r>
        <w:rPr>
          <w:rFonts w:hint="cs"/>
          <w:rtl/>
        </w:rPr>
        <w:t xml:space="preserve">מאמץ </w:t>
      </w:r>
      <w:bookmarkStart w:id="28685" w:name="_ETM_Q49_252450"/>
      <w:bookmarkEnd w:id="28685"/>
      <w:r>
        <w:rPr>
          <w:rFonts w:hint="cs"/>
          <w:rtl/>
        </w:rPr>
        <w:t xml:space="preserve">לעשות </w:t>
      </w:r>
      <w:bookmarkStart w:id="28686" w:name="_ETM_Q49_253080"/>
      <w:bookmarkEnd w:id="28686"/>
      <w:r>
        <w:rPr>
          <w:rFonts w:hint="cs"/>
          <w:rtl/>
        </w:rPr>
        <w:t xml:space="preserve">הפיכה </w:t>
      </w:r>
      <w:bookmarkStart w:id="28687" w:name="_ETM_Q49_253500"/>
      <w:bookmarkEnd w:id="28687"/>
      <w:r>
        <w:rPr>
          <w:rFonts w:hint="cs"/>
          <w:rtl/>
        </w:rPr>
        <w:t xml:space="preserve">משטרית. </w:t>
      </w:r>
      <w:bookmarkStart w:id="28688" w:name="_ETM_Q49_255020"/>
      <w:bookmarkEnd w:id="28688"/>
      <w:r>
        <w:rPr>
          <w:rFonts w:hint="cs"/>
          <w:rtl/>
        </w:rPr>
        <w:t xml:space="preserve">וגם </w:t>
      </w:r>
      <w:bookmarkStart w:id="28689" w:name="_ETM_Q49_255440"/>
      <w:bookmarkEnd w:id="28689"/>
      <w:r>
        <w:rPr>
          <w:rFonts w:hint="cs"/>
          <w:rtl/>
        </w:rPr>
        <w:t xml:space="preserve">כאן, </w:t>
      </w:r>
      <w:bookmarkStart w:id="28690" w:name="_ETM_Q49_256850"/>
      <w:bookmarkEnd w:id="28690"/>
      <w:r>
        <w:rPr>
          <w:rFonts w:hint="cs"/>
          <w:rtl/>
        </w:rPr>
        <w:t xml:space="preserve">אני </w:t>
      </w:r>
      <w:bookmarkStart w:id="28691" w:name="_ETM_Q49_256939"/>
      <w:bookmarkEnd w:id="28691"/>
      <w:r>
        <w:rPr>
          <w:rFonts w:hint="cs"/>
          <w:rtl/>
        </w:rPr>
        <w:t xml:space="preserve">רוצה </w:t>
      </w:r>
      <w:bookmarkStart w:id="28692" w:name="_ETM_Q49_257149"/>
      <w:bookmarkEnd w:id="28692"/>
      <w:r>
        <w:rPr>
          <w:rFonts w:hint="cs"/>
          <w:rtl/>
        </w:rPr>
        <w:t xml:space="preserve">לומר </w:t>
      </w:r>
      <w:bookmarkStart w:id="28693" w:name="_ETM_Q49_257450"/>
      <w:bookmarkEnd w:id="28693"/>
      <w:r>
        <w:rPr>
          <w:rFonts w:hint="cs"/>
          <w:rtl/>
        </w:rPr>
        <w:t xml:space="preserve">לכם </w:t>
      </w:r>
      <w:bookmarkStart w:id="28694" w:name="_ETM_Q49_258500"/>
      <w:bookmarkEnd w:id="28694"/>
      <w:r>
        <w:rPr>
          <w:rFonts w:hint="cs"/>
          <w:rtl/>
        </w:rPr>
        <w:t xml:space="preserve">- - </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שכחת את "לאור חזונם של </w:t>
      </w:r>
      <w:bookmarkStart w:id="28695" w:name="_ETM_Q49_261000"/>
      <w:bookmarkEnd w:id="28695"/>
      <w:r>
        <w:rPr>
          <w:rFonts w:hint="cs"/>
          <w:rtl/>
        </w:rPr>
        <w:t>נביאי ישראל".</w:t>
      </w:r>
    </w:p>
    <w:p w:rsidR="00BB59CD" w:rsidRDefault="00BB59CD" w:rsidP="00BB59CD">
      <w:pPr>
        <w:rPr>
          <w:rtl/>
        </w:rPr>
      </w:pPr>
    </w:p>
    <w:p w:rsidR="00BB59CD" w:rsidRDefault="00BB59CD" w:rsidP="00BB59CD">
      <w:pPr>
        <w:pStyle w:val="-"/>
        <w:keepNext/>
        <w:rPr>
          <w:rtl/>
        </w:rPr>
      </w:pPr>
      <w:bookmarkStart w:id="28696" w:name="ET_speakercontinue_5520_3"/>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8696"/>
    </w:p>
    <w:p w:rsidR="00BB59CD" w:rsidRDefault="00BB59CD" w:rsidP="00337201">
      <w:pPr>
        <w:rPr>
          <w:rtl/>
        </w:rPr>
      </w:pPr>
    </w:p>
    <w:p w:rsidR="00BB59CD" w:rsidRDefault="00BB59CD" w:rsidP="00BB59CD">
      <w:pPr>
        <w:rPr>
          <w:rtl/>
        </w:rPr>
      </w:pPr>
      <w:r>
        <w:rPr>
          <w:rFonts w:hint="cs"/>
          <w:rtl/>
        </w:rPr>
        <w:t xml:space="preserve">- - גם </w:t>
      </w:r>
      <w:bookmarkStart w:id="28697" w:name="_ETM_Q49_258800"/>
      <w:bookmarkEnd w:id="28697"/>
      <w:r>
        <w:rPr>
          <w:rFonts w:hint="cs"/>
          <w:rtl/>
        </w:rPr>
        <w:t>לך</w:t>
      </w:r>
      <w:r w:rsidR="00011595">
        <w:rPr>
          <w:rFonts w:hint="cs"/>
          <w:rtl/>
        </w:rPr>
        <w:t>,</w:t>
      </w:r>
      <w:r>
        <w:rPr>
          <w:rFonts w:hint="cs"/>
          <w:rtl/>
        </w:rPr>
        <w:t xml:space="preserve"> </w:t>
      </w:r>
      <w:bookmarkStart w:id="28698" w:name="_ETM_Q49_260000"/>
      <w:bookmarkStart w:id="28699" w:name="_ETM_Q49_260360"/>
      <w:bookmarkStart w:id="28700" w:name="_ETM_Q49_261560"/>
      <w:bookmarkEnd w:id="28698"/>
      <w:bookmarkEnd w:id="28699"/>
      <w:bookmarkEnd w:id="28700"/>
      <w:r>
        <w:rPr>
          <w:rFonts w:hint="cs"/>
          <w:rtl/>
        </w:rPr>
        <w:t xml:space="preserve">אדוני </w:t>
      </w:r>
      <w:bookmarkStart w:id="28701" w:name="_ETM_Q49_262130"/>
      <w:bookmarkEnd w:id="28701"/>
      <w:r>
        <w:rPr>
          <w:rFonts w:hint="cs"/>
          <w:rtl/>
        </w:rPr>
        <w:t>השר</w:t>
      </w:r>
      <w:r w:rsidR="00011595">
        <w:rPr>
          <w:rFonts w:hint="cs"/>
          <w:rtl/>
        </w:rPr>
        <w:t>,</w:t>
      </w:r>
      <w:r>
        <w:rPr>
          <w:rFonts w:hint="cs"/>
          <w:rtl/>
        </w:rPr>
        <w:t xml:space="preserve"> </w:t>
      </w:r>
      <w:bookmarkStart w:id="28702" w:name="_ETM_Q49_263310"/>
      <w:bookmarkEnd w:id="28702"/>
      <w:r>
        <w:rPr>
          <w:rFonts w:hint="cs"/>
          <w:rtl/>
        </w:rPr>
        <w:t xml:space="preserve">וגם </w:t>
      </w:r>
      <w:bookmarkStart w:id="28703" w:name="_ETM_Q49_263700"/>
      <w:bookmarkEnd w:id="28703"/>
      <w:r>
        <w:rPr>
          <w:rFonts w:hint="cs"/>
          <w:rtl/>
        </w:rPr>
        <w:t xml:space="preserve">לך, </w:t>
      </w:r>
      <w:bookmarkStart w:id="28704" w:name="_ETM_Q49_264639"/>
      <w:bookmarkEnd w:id="28704"/>
      <w:r>
        <w:rPr>
          <w:rFonts w:hint="cs"/>
          <w:rtl/>
        </w:rPr>
        <w:t xml:space="preserve">היושב </w:t>
      </w:r>
      <w:bookmarkStart w:id="28705" w:name="_ETM_Q49_265090"/>
      <w:bookmarkEnd w:id="28705"/>
      <w:r>
        <w:rPr>
          <w:rFonts w:hint="cs"/>
          <w:rtl/>
        </w:rPr>
        <w:t xml:space="preserve">בראש, </w:t>
      </w:r>
      <w:bookmarkStart w:id="28706" w:name="_ETM_Q49_266240"/>
      <w:bookmarkEnd w:id="28706"/>
      <w:r>
        <w:rPr>
          <w:rFonts w:hint="cs"/>
          <w:rtl/>
        </w:rPr>
        <w:t xml:space="preserve">שתפסיקו </w:t>
      </w:r>
      <w:bookmarkStart w:id="28707" w:name="_ETM_Q49_266900"/>
      <w:bookmarkEnd w:id="28707"/>
      <w:r>
        <w:rPr>
          <w:rFonts w:hint="cs"/>
          <w:rtl/>
        </w:rPr>
        <w:t xml:space="preserve">לחשוב </w:t>
      </w:r>
      <w:bookmarkStart w:id="28708" w:name="_ETM_Q49_268009"/>
      <w:bookmarkEnd w:id="28708"/>
      <w:r>
        <w:rPr>
          <w:rFonts w:hint="cs"/>
          <w:rtl/>
        </w:rPr>
        <w:t xml:space="preserve">שכל </w:t>
      </w:r>
      <w:bookmarkStart w:id="28709" w:name="_ETM_Q49_268520"/>
      <w:bookmarkEnd w:id="28709"/>
      <w:r>
        <w:rPr>
          <w:rFonts w:hint="cs"/>
          <w:rtl/>
        </w:rPr>
        <w:t xml:space="preserve">עם </w:t>
      </w:r>
      <w:bookmarkStart w:id="28710" w:name="_ETM_Q49_268640"/>
      <w:bookmarkEnd w:id="28710"/>
      <w:r>
        <w:rPr>
          <w:rFonts w:hint="cs"/>
          <w:rtl/>
        </w:rPr>
        <w:t xml:space="preserve">ישראל </w:t>
      </w:r>
      <w:bookmarkStart w:id="28711" w:name="_ETM_Q49_269030"/>
      <w:bookmarkEnd w:id="28711"/>
      <w:r>
        <w:rPr>
          <w:rFonts w:hint="cs"/>
          <w:rtl/>
        </w:rPr>
        <w:t xml:space="preserve">מטומטמים </w:t>
      </w:r>
      <w:bookmarkStart w:id="28712" w:name="_ETM_Q49_270310"/>
      <w:bookmarkEnd w:id="28712"/>
      <w:r>
        <w:rPr>
          <w:rFonts w:hint="cs"/>
          <w:rtl/>
        </w:rPr>
        <w:t xml:space="preserve">ותיתנו </w:t>
      </w:r>
      <w:bookmarkStart w:id="28713" w:name="_ETM_Q49_270910"/>
      <w:bookmarkEnd w:id="28713"/>
      <w:r>
        <w:rPr>
          <w:rFonts w:hint="cs"/>
          <w:rtl/>
        </w:rPr>
        <w:t xml:space="preserve">לעם </w:t>
      </w:r>
      <w:bookmarkStart w:id="28714" w:name="_ETM_Q49_271209"/>
      <w:bookmarkEnd w:id="28714"/>
      <w:r>
        <w:rPr>
          <w:rFonts w:hint="cs"/>
          <w:rtl/>
        </w:rPr>
        <w:t xml:space="preserve">הזה </w:t>
      </w:r>
      <w:bookmarkStart w:id="28715" w:name="_ETM_Q49_271480"/>
      <w:bookmarkEnd w:id="28715"/>
      <w:r>
        <w:rPr>
          <w:rFonts w:hint="cs"/>
          <w:rtl/>
        </w:rPr>
        <w:t xml:space="preserve">קצת </w:t>
      </w:r>
      <w:bookmarkStart w:id="28716" w:name="_ETM_Q49_271810"/>
      <w:bookmarkEnd w:id="28716"/>
      <w:r>
        <w:rPr>
          <w:rFonts w:hint="cs"/>
          <w:rtl/>
        </w:rPr>
        <w:t xml:space="preserve">קרדיט. </w:t>
      </w:r>
      <w:bookmarkStart w:id="28717" w:name="_ETM_Q49_272950"/>
      <w:bookmarkEnd w:id="28717"/>
      <w:r>
        <w:rPr>
          <w:rFonts w:hint="cs"/>
          <w:rtl/>
        </w:rPr>
        <w:t xml:space="preserve">תפסיקו </w:t>
      </w:r>
      <w:bookmarkStart w:id="28718" w:name="_ETM_Q49_273459"/>
      <w:bookmarkEnd w:id="28718"/>
      <w:r>
        <w:rPr>
          <w:rFonts w:hint="cs"/>
          <w:rtl/>
        </w:rPr>
        <w:t xml:space="preserve">לספר </w:t>
      </w:r>
      <w:bookmarkStart w:id="28719" w:name="_ETM_Q49_273909"/>
      <w:bookmarkEnd w:id="28719"/>
      <w:r>
        <w:rPr>
          <w:rFonts w:hint="cs"/>
          <w:rtl/>
        </w:rPr>
        <w:t xml:space="preserve">לנו </w:t>
      </w:r>
      <w:bookmarkStart w:id="28720" w:name="_ETM_Q49_274569"/>
      <w:bookmarkEnd w:id="28720"/>
      <w:r>
        <w:rPr>
          <w:rFonts w:hint="cs"/>
          <w:rtl/>
        </w:rPr>
        <w:t xml:space="preserve">שבסך </w:t>
      </w:r>
      <w:bookmarkStart w:id="28721" w:name="_ETM_Q49_275109"/>
      <w:bookmarkEnd w:id="28721"/>
      <w:r>
        <w:rPr>
          <w:rFonts w:hint="cs"/>
          <w:rtl/>
        </w:rPr>
        <w:t xml:space="preserve">הכול </w:t>
      </w:r>
      <w:bookmarkStart w:id="28722" w:name="_ETM_Q49_275350"/>
      <w:bookmarkEnd w:id="28722"/>
      <w:r>
        <w:rPr>
          <w:rFonts w:hint="cs"/>
          <w:rtl/>
        </w:rPr>
        <w:t xml:space="preserve">עושים </w:t>
      </w:r>
      <w:bookmarkStart w:id="28723" w:name="_ETM_Q49_275619"/>
      <w:bookmarkEnd w:id="28723"/>
      <w:r>
        <w:rPr>
          <w:rFonts w:hint="cs"/>
          <w:rtl/>
        </w:rPr>
        <w:t xml:space="preserve">תיקון </w:t>
      </w:r>
      <w:bookmarkStart w:id="28724" w:name="_ETM_Q49_275979"/>
      <w:bookmarkEnd w:id="28724"/>
      <w:r>
        <w:rPr>
          <w:rFonts w:hint="cs"/>
          <w:rtl/>
        </w:rPr>
        <w:t xml:space="preserve">קטן </w:t>
      </w:r>
      <w:bookmarkStart w:id="28725" w:name="_ETM_Q49_277020"/>
      <w:bookmarkEnd w:id="28725"/>
      <w:r>
        <w:rPr>
          <w:rFonts w:hint="cs"/>
          <w:rtl/>
        </w:rPr>
        <w:t xml:space="preserve">וזה </w:t>
      </w:r>
      <w:bookmarkStart w:id="28726" w:name="_ETM_Q49_277380"/>
      <w:bookmarkEnd w:id="28726"/>
      <w:r>
        <w:rPr>
          <w:rFonts w:hint="cs"/>
          <w:rtl/>
        </w:rPr>
        <w:t xml:space="preserve">רק </w:t>
      </w:r>
      <w:bookmarkStart w:id="28727" w:name="_ETM_Q49_277560"/>
      <w:bookmarkEnd w:id="28727"/>
      <w:r>
        <w:rPr>
          <w:rFonts w:hint="cs"/>
          <w:rtl/>
        </w:rPr>
        <w:t xml:space="preserve">סבירות </w:t>
      </w:r>
      <w:bookmarkStart w:id="28728" w:name="_ETM_Q49_278520"/>
      <w:bookmarkEnd w:id="28728"/>
      <w:r>
        <w:rPr>
          <w:rFonts w:hint="cs"/>
          <w:rtl/>
        </w:rPr>
        <w:t xml:space="preserve">ו"על </w:t>
      </w:r>
      <w:bookmarkStart w:id="28729" w:name="_ETM_Q49_278760"/>
      <w:bookmarkEnd w:id="28729"/>
      <w:r>
        <w:rPr>
          <w:rFonts w:hint="cs"/>
          <w:rtl/>
        </w:rPr>
        <w:t xml:space="preserve">מה </w:t>
      </w:r>
      <w:bookmarkStart w:id="28730" w:name="_ETM_Q49_278910"/>
      <w:bookmarkEnd w:id="28730"/>
      <w:r>
        <w:rPr>
          <w:rFonts w:hint="cs"/>
          <w:rtl/>
        </w:rPr>
        <w:t xml:space="preserve">אתם </w:t>
      </w:r>
      <w:bookmarkStart w:id="28731" w:name="_ETM_Q49_279120"/>
      <w:bookmarkEnd w:id="28731"/>
      <w:r>
        <w:rPr>
          <w:rFonts w:hint="cs"/>
          <w:rtl/>
        </w:rPr>
        <w:t xml:space="preserve">מדברים", </w:t>
      </w:r>
      <w:bookmarkStart w:id="28732" w:name="_ETM_Q49_280080"/>
      <w:bookmarkEnd w:id="28732"/>
      <w:r>
        <w:rPr>
          <w:rFonts w:hint="cs"/>
          <w:rtl/>
        </w:rPr>
        <w:t xml:space="preserve">ולחשוב </w:t>
      </w:r>
      <w:bookmarkStart w:id="28733" w:name="_ETM_Q49_280530"/>
      <w:bookmarkEnd w:id="28733"/>
      <w:r>
        <w:rPr>
          <w:rFonts w:hint="cs"/>
          <w:rtl/>
        </w:rPr>
        <w:t xml:space="preserve">שאף </w:t>
      </w:r>
      <w:bookmarkStart w:id="28734" w:name="_ETM_Q49_280830"/>
      <w:bookmarkEnd w:id="28734"/>
      <w:r>
        <w:rPr>
          <w:rFonts w:hint="cs"/>
          <w:rtl/>
        </w:rPr>
        <w:t xml:space="preserve">אחד </w:t>
      </w:r>
      <w:bookmarkStart w:id="28735" w:name="_ETM_Q49_281069"/>
      <w:bookmarkEnd w:id="28735"/>
      <w:r>
        <w:rPr>
          <w:rFonts w:hint="cs"/>
          <w:rtl/>
        </w:rPr>
        <w:t xml:space="preserve">לא </w:t>
      </w:r>
      <w:bookmarkStart w:id="28736" w:name="_ETM_Q49_281160"/>
      <w:bookmarkEnd w:id="28736"/>
      <w:r>
        <w:rPr>
          <w:rFonts w:hint="cs"/>
          <w:rtl/>
        </w:rPr>
        <w:t xml:space="preserve">שומע </w:t>
      </w:r>
      <w:bookmarkStart w:id="28737" w:name="_ETM_Q49_282120"/>
      <w:bookmarkEnd w:id="28737"/>
      <w:r>
        <w:rPr>
          <w:rFonts w:hint="cs"/>
          <w:rtl/>
        </w:rPr>
        <w:t xml:space="preserve">את </w:t>
      </w:r>
      <w:bookmarkStart w:id="28738" w:name="_ETM_Q49_282300"/>
      <w:bookmarkEnd w:id="28738"/>
      <w:r>
        <w:rPr>
          <w:rFonts w:hint="cs"/>
          <w:rtl/>
        </w:rPr>
        <w:t xml:space="preserve">השרים </w:t>
      </w:r>
      <w:bookmarkStart w:id="28739" w:name="_ETM_Q49_283420"/>
      <w:bookmarkEnd w:id="28739"/>
      <w:r>
        <w:rPr>
          <w:rFonts w:hint="cs"/>
          <w:rtl/>
        </w:rPr>
        <w:t xml:space="preserve">שמתארים </w:t>
      </w:r>
      <w:bookmarkStart w:id="28740" w:name="_ETM_Q49_285040"/>
      <w:bookmarkEnd w:id="28740"/>
      <w:r>
        <w:rPr>
          <w:rFonts w:hint="cs"/>
          <w:rtl/>
        </w:rPr>
        <w:t xml:space="preserve">את </w:t>
      </w:r>
      <w:bookmarkStart w:id="28741" w:name="_ETM_Q49_285340"/>
      <w:bookmarkEnd w:id="28741"/>
      <w:r>
        <w:rPr>
          <w:rFonts w:hint="cs"/>
          <w:rtl/>
        </w:rPr>
        <w:t xml:space="preserve">שיטת </w:t>
      </w:r>
      <w:bookmarkStart w:id="28742" w:name="_ETM_Q49_285729"/>
      <w:bookmarkEnd w:id="28742"/>
      <w:r>
        <w:rPr>
          <w:rFonts w:hint="cs"/>
          <w:rtl/>
        </w:rPr>
        <w:t xml:space="preserve">הסלמי, </w:t>
      </w:r>
      <w:bookmarkStart w:id="28743" w:name="_ETM_Q49_286750"/>
      <w:bookmarkEnd w:id="28743"/>
      <w:r>
        <w:rPr>
          <w:rFonts w:hint="cs"/>
          <w:rtl/>
        </w:rPr>
        <w:t xml:space="preserve">שהפכה </w:t>
      </w:r>
      <w:bookmarkStart w:id="28744" w:name="_ETM_Q49_287200"/>
      <w:bookmarkEnd w:id="28744"/>
      <w:r>
        <w:rPr>
          <w:rFonts w:hint="cs"/>
          <w:rtl/>
        </w:rPr>
        <w:t xml:space="preserve">לשיטת </w:t>
      </w:r>
      <w:bookmarkStart w:id="28745" w:name="_ETM_Q49_287680"/>
      <w:bookmarkEnd w:id="28745"/>
      <w:r>
        <w:rPr>
          <w:rFonts w:hint="cs"/>
          <w:rtl/>
        </w:rPr>
        <w:t xml:space="preserve">הטיפות – </w:t>
      </w:r>
      <w:bookmarkStart w:id="28746" w:name="_ETM_Q49_288400"/>
      <w:bookmarkEnd w:id="28746"/>
      <w:r>
        <w:rPr>
          <w:rFonts w:hint="cs"/>
          <w:rtl/>
        </w:rPr>
        <w:t xml:space="preserve">נעשה </w:t>
      </w:r>
      <w:bookmarkStart w:id="28747" w:name="_ETM_Q49_288700"/>
      <w:bookmarkEnd w:id="28747"/>
      <w:r>
        <w:rPr>
          <w:rFonts w:hint="cs"/>
          <w:rtl/>
        </w:rPr>
        <w:t xml:space="preserve">את </w:t>
      </w:r>
      <w:bookmarkStart w:id="28748" w:name="_ETM_Q49_288760"/>
      <w:bookmarkEnd w:id="28748"/>
      <w:r>
        <w:rPr>
          <w:rFonts w:hint="cs"/>
          <w:rtl/>
        </w:rPr>
        <w:t xml:space="preserve">זה </w:t>
      </w:r>
      <w:bookmarkStart w:id="28749" w:name="_ETM_Q49_288880"/>
      <w:bookmarkEnd w:id="28749"/>
      <w:r>
        <w:rPr>
          <w:rFonts w:hint="cs"/>
          <w:rtl/>
        </w:rPr>
        <w:t xml:space="preserve">טיפה </w:t>
      </w:r>
      <w:bookmarkStart w:id="28750" w:name="_ETM_Q49_289810"/>
      <w:bookmarkEnd w:id="28750"/>
      <w:r>
        <w:rPr>
          <w:rFonts w:hint="cs"/>
          <w:rtl/>
        </w:rPr>
        <w:t xml:space="preserve">ועוד </w:t>
      </w:r>
      <w:bookmarkStart w:id="28751" w:name="_ETM_Q49_290290"/>
      <w:bookmarkEnd w:id="28751"/>
      <w:r>
        <w:rPr>
          <w:rFonts w:hint="cs"/>
          <w:rtl/>
        </w:rPr>
        <w:t xml:space="preserve">טיפה – </w:t>
      </w:r>
      <w:bookmarkStart w:id="28752" w:name="_ETM_Q49_291149"/>
      <w:bookmarkEnd w:id="28752"/>
      <w:r>
        <w:rPr>
          <w:rFonts w:hint="cs"/>
          <w:rtl/>
        </w:rPr>
        <w:t xml:space="preserve">או </w:t>
      </w:r>
      <w:bookmarkStart w:id="28753" w:name="_ETM_Q49_291270"/>
      <w:bookmarkEnd w:id="28753"/>
      <w:r>
        <w:rPr>
          <w:rFonts w:hint="cs"/>
          <w:rtl/>
        </w:rPr>
        <w:t xml:space="preserve">את </w:t>
      </w:r>
      <w:bookmarkStart w:id="28754" w:name="_ETM_Q49_291420"/>
      <w:bookmarkEnd w:id="28754"/>
      <w:r>
        <w:rPr>
          <w:rFonts w:hint="cs"/>
          <w:rtl/>
        </w:rPr>
        <w:t xml:space="preserve">בר </w:t>
      </w:r>
      <w:bookmarkStart w:id="28755" w:name="_ETM_Q49_291659"/>
      <w:bookmarkEnd w:id="28755"/>
      <w:r>
        <w:rPr>
          <w:rFonts w:hint="cs"/>
          <w:rtl/>
        </w:rPr>
        <w:t>הסלטים</w:t>
      </w:r>
      <w:bookmarkStart w:id="28756" w:name="_ETM_Q49_292990"/>
      <w:bookmarkEnd w:id="28756"/>
      <w:r>
        <w:rPr>
          <w:rFonts w:hint="cs"/>
          <w:rtl/>
        </w:rPr>
        <w:t xml:space="preserve">, המתאבן </w:t>
      </w:r>
      <w:bookmarkStart w:id="28757" w:name="_ETM_Q49_293530"/>
      <w:bookmarkStart w:id="28758" w:name="_ETM_Q49_293800"/>
      <w:bookmarkEnd w:id="28757"/>
      <w:bookmarkEnd w:id="28758"/>
      <w:r>
        <w:rPr>
          <w:rFonts w:hint="cs"/>
          <w:rtl/>
        </w:rPr>
        <w:t xml:space="preserve">לפני </w:t>
      </w:r>
      <w:bookmarkStart w:id="28759" w:name="_ETM_Q49_294160"/>
      <w:bookmarkEnd w:id="28759"/>
      <w:r>
        <w:rPr>
          <w:rFonts w:hint="cs"/>
          <w:rtl/>
        </w:rPr>
        <w:t xml:space="preserve">הארוחה, </w:t>
      </w:r>
      <w:bookmarkStart w:id="28760" w:name="_ETM_Q49_295490"/>
      <w:bookmarkEnd w:id="28760"/>
      <w:r>
        <w:rPr>
          <w:rFonts w:hint="cs"/>
          <w:rtl/>
        </w:rPr>
        <w:t xml:space="preserve">ותפסיקו </w:t>
      </w:r>
      <w:bookmarkStart w:id="28761" w:name="_ETM_Q49_296119"/>
      <w:bookmarkEnd w:id="28761"/>
      <w:r>
        <w:rPr>
          <w:rFonts w:hint="cs"/>
          <w:rtl/>
        </w:rPr>
        <w:t xml:space="preserve">לספר </w:t>
      </w:r>
      <w:bookmarkStart w:id="28762" w:name="_ETM_Q49_296570"/>
      <w:bookmarkEnd w:id="28762"/>
      <w:r>
        <w:rPr>
          <w:rFonts w:hint="cs"/>
          <w:rtl/>
        </w:rPr>
        <w:t xml:space="preserve">לנו </w:t>
      </w:r>
      <w:bookmarkStart w:id="28763" w:name="_ETM_Q49_297650"/>
      <w:bookmarkEnd w:id="28763"/>
      <w:r>
        <w:rPr>
          <w:rFonts w:hint="cs"/>
          <w:rtl/>
        </w:rPr>
        <w:t xml:space="preserve">שהמהפכה </w:t>
      </w:r>
      <w:bookmarkStart w:id="28764" w:name="_ETM_Q49_298430"/>
      <w:bookmarkEnd w:id="28764"/>
      <w:r>
        <w:rPr>
          <w:rFonts w:hint="cs"/>
          <w:rtl/>
        </w:rPr>
        <w:t xml:space="preserve">המשטרית </w:t>
      </w:r>
      <w:bookmarkStart w:id="28765" w:name="_ETM_Q49_298970"/>
      <w:bookmarkEnd w:id="28765"/>
      <w:r>
        <w:rPr>
          <w:rFonts w:hint="cs"/>
          <w:rtl/>
        </w:rPr>
        <w:t xml:space="preserve">שאותה </w:t>
      </w:r>
      <w:bookmarkStart w:id="28766" w:name="_ETM_Q49_299270"/>
      <w:bookmarkEnd w:id="28766"/>
      <w:r>
        <w:rPr>
          <w:rFonts w:hint="cs"/>
          <w:rtl/>
        </w:rPr>
        <w:t xml:space="preserve">הובלתם </w:t>
      </w:r>
      <w:bookmarkStart w:id="28767" w:name="_ETM_Q49_299780"/>
      <w:bookmarkStart w:id="28768" w:name="_ETM_Q49_299870"/>
      <w:bookmarkEnd w:id="28767"/>
      <w:bookmarkEnd w:id="28768"/>
      <w:r>
        <w:rPr>
          <w:rFonts w:hint="cs"/>
          <w:rtl/>
        </w:rPr>
        <w:t xml:space="preserve">מתה, </w:t>
      </w:r>
      <w:bookmarkStart w:id="28769" w:name="_ETM_Q49_301200"/>
      <w:bookmarkEnd w:id="28769"/>
      <w:r>
        <w:rPr>
          <w:rFonts w:hint="cs"/>
          <w:rtl/>
        </w:rPr>
        <w:t xml:space="preserve">כי </w:t>
      </w:r>
      <w:bookmarkStart w:id="28770" w:name="_ETM_Q49_301500"/>
      <w:bookmarkEnd w:id="28770"/>
      <w:r w:rsidR="00011595">
        <w:rPr>
          <w:rFonts w:hint="cs"/>
          <w:rtl/>
        </w:rPr>
        <w:t xml:space="preserve">היא </w:t>
      </w:r>
      <w:r>
        <w:rPr>
          <w:rFonts w:hint="cs"/>
          <w:rtl/>
        </w:rPr>
        <w:t xml:space="preserve">חיה </w:t>
      </w:r>
      <w:bookmarkStart w:id="28771" w:name="_ETM_Q49_301920"/>
      <w:bookmarkEnd w:id="28771"/>
      <w:r>
        <w:rPr>
          <w:rFonts w:hint="cs"/>
          <w:rtl/>
        </w:rPr>
        <w:t>ונושמת</w:t>
      </w:r>
      <w:bookmarkStart w:id="28772" w:name="_ETM_Q49_303179"/>
      <w:bookmarkEnd w:id="28772"/>
      <w:r>
        <w:rPr>
          <w:rFonts w:hint="cs"/>
          <w:rtl/>
        </w:rPr>
        <w:t xml:space="preserve">, היא רק </w:t>
      </w:r>
      <w:bookmarkStart w:id="28773" w:name="_ETM_Q49_303539"/>
      <w:bookmarkEnd w:id="28773"/>
      <w:r>
        <w:rPr>
          <w:rFonts w:hint="cs"/>
          <w:rtl/>
        </w:rPr>
        <w:t xml:space="preserve">שינתה </w:t>
      </w:r>
      <w:bookmarkStart w:id="28774" w:name="_ETM_Q49_303899"/>
      <w:bookmarkEnd w:id="28774"/>
      <w:r>
        <w:rPr>
          <w:rFonts w:hint="cs"/>
          <w:rtl/>
        </w:rPr>
        <w:t xml:space="preserve">את </w:t>
      </w:r>
      <w:bookmarkStart w:id="28775" w:name="_ETM_Q49_304079"/>
      <w:bookmarkEnd w:id="28775"/>
      <w:r>
        <w:rPr>
          <w:rFonts w:hint="cs"/>
          <w:rtl/>
        </w:rPr>
        <w:t xml:space="preserve">האסטרטגיה </w:t>
      </w:r>
      <w:bookmarkStart w:id="28776" w:name="_ETM_Q49_305340"/>
      <w:bookmarkEnd w:id="28776"/>
      <w:r>
        <w:rPr>
          <w:rFonts w:hint="cs"/>
          <w:rtl/>
        </w:rPr>
        <w:t xml:space="preserve">של </w:t>
      </w:r>
      <w:bookmarkStart w:id="28777" w:name="_ETM_Q49_305639"/>
      <w:bookmarkEnd w:id="28777"/>
      <w:r>
        <w:rPr>
          <w:rFonts w:hint="cs"/>
          <w:rtl/>
        </w:rPr>
        <w:t xml:space="preserve">איך </w:t>
      </w:r>
      <w:bookmarkStart w:id="28778" w:name="_ETM_Q49_305849"/>
      <w:bookmarkEnd w:id="28778"/>
      <w:r>
        <w:rPr>
          <w:rFonts w:hint="cs"/>
          <w:rtl/>
        </w:rPr>
        <w:t xml:space="preserve">להגיע </w:t>
      </w:r>
      <w:bookmarkStart w:id="28779" w:name="_ETM_Q49_306329"/>
      <w:bookmarkEnd w:id="28779"/>
      <w:r>
        <w:rPr>
          <w:rFonts w:hint="cs"/>
          <w:rtl/>
        </w:rPr>
        <w:t xml:space="preserve">אל </w:t>
      </w:r>
      <w:bookmarkStart w:id="28780" w:name="_ETM_Q49_306450"/>
      <w:bookmarkEnd w:id="28780"/>
      <w:r>
        <w:rPr>
          <w:rFonts w:hint="cs"/>
          <w:rtl/>
        </w:rPr>
        <w:t xml:space="preserve">היעד </w:t>
      </w:r>
      <w:bookmarkStart w:id="28781" w:name="_ETM_Q49_307259"/>
      <w:bookmarkEnd w:id="28781"/>
      <w:r>
        <w:rPr>
          <w:rFonts w:hint="cs"/>
          <w:rtl/>
        </w:rPr>
        <w:t xml:space="preserve">של </w:t>
      </w:r>
      <w:bookmarkStart w:id="28782" w:name="_ETM_Q49_307499"/>
      <w:bookmarkEnd w:id="28782"/>
      <w:r>
        <w:rPr>
          <w:rFonts w:hint="cs"/>
          <w:rtl/>
        </w:rPr>
        <w:t xml:space="preserve">הפיכת </w:t>
      </w:r>
      <w:bookmarkStart w:id="28783" w:name="_ETM_Q49_307919"/>
      <w:bookmarkEnd w:id="28783"/>
      <w:r>
        <w:rPr>
          <w:rFonts w:hint="cs"/>
          <w:rtl/>
        </w:rPr>
        <w:t xml:space="preserve">מדינת </w:t>
      </w:r>
      <w:bookmarkStart w:id="28784" w:name="_ETM_Q49_308310"/>
      <w:bookmarkEnd w:id="28784"/>
      <w:r>
        <w:rPr>
          <w:rFonts w:hint="cs"/>
          <w:rtl/>
        </w:rPr>
        <w:t xml:space="preserve">ישראל </w:t>
      </w:r>
      <w:bookmarkStart w:id="28785" w:name="_ETM_Q49_309120"/>
      <w:bookmarkEnd w:id="28785"/>
      <w:r>
        <w:rPr>
          <w:rFonts w:hint="cs"/>
          <w:rtl/>
        </w:rPr>
        <w:t xml:space="preserve">למדינה </w:t>
      </w:r>
      <w:bookmarkStart w:id="28786" w:name="_ETM_Q49_309780"/>
      <w:bookmarkEnd w:id="28786"/>
      <w:r>
        <w:rPr>
          <w:rFonts w:hint="cs"/>
          <w:rtl/>
        </w:rPr>
        <w:t xml:space="preserve">שהיא </w:t>
      </w:r>
      <w:bookmarkStart w:id="28787" w:name="_ETM_Q49_309959"/>
      <w:bookmarkEnd w:id="28787"/>
      <w:r>
        <w:rPr>
          <w:rFonts w:hint="cs"/>
          <w:rtl/>
        </w:rPr>
        <w:t xml:space="preserve">לא </w:t>
      </w:r>
      <w:bookmarkStart w:id="28788" w:name="_ETM_Q49_310080"/>
      <w:bookmarkEnd w:id="28788"/>
      <w:r>
        <w:rPr>
          <w:rFonts w:hint="cs"/>
          <w:rtl/>
        </w:rPr>
        <w:t>דמוקרטית.</w:t>
      </w:r>
    </w:p>
    <w:p w:rsidR="00BB59CD" w:rsidRDefault="00BB59CD" w:rsidP="00BB59CD">
      <w:pPr>
        <w:rPr>
          <w:rtl/>
        </w:rPr>
      </w:pPr>
    </w:p>
    <w:p w:rsidR="00BB59CD" w:rsidRDefault="00BB59CD" w:rsidP="00AD5596">
      <w:pPr>
        <w:rPr>
          <w:rtl/>
        </w:rPr>
      </w:pPr>
      <w:bookmarkStart w:id="28789" w:name="_ETM_Q49_312000"/>
      <w:bookmarkStart w:id="28790" w:name="_ETM_Q49_312440"/>
      <w:bookmarkEnd w:id="28789"/>
      <w:bookmarkEnd w:id="28790"/>
      <w:r>
        <w:rPr>
          <w:rFonts w:hint="cs"/>
          <w:rtl/>
        </w:rPr>
        <w:t xml:space="preserve">ראש </w:t>
      </w:r>
      <w:bookmarkStart w:id="28791" w:name="_ETM_Q49_312680"/>
      <w:bookmarkEnd w:id="28791"/>
      <w:r>
        <w:rPr>
          <w:rFonts w:hint="cs"/>
          <w:rtl/>
        </w:rPr>
        <w:t xml:space="preserve">הממשלה </w:t>
      </w:r>
      <w:bookmarkStart w:id="28792" w:name="_ETM_Q49_313190"/>
      <w:bookmarkEnd w:id="28792"/>
      <w:r>
        <w:rPr>
          <w:rFonts w:hint="cs"/>
          <w:rtl/>
        </w:rPr>
        <w:t xml:space="preserve">נתניהו, </w:t>
      </w:r>
      <w:bookmarkStart w:id="28793" w:name="_ETM_Q49_315889"/>
      <w:bookmarkEnd w:id="28793"/>
      <w:r>
        <w:rPr>
          <w:rFonts w:hint="cs"/>
          <w:rtl/>
        </w:rPr>
        <w:t xml:space="preserve">אתה </w:t>
      </w:r>
      <w:bookmarkStart w:id="28794" w:name="_ETM_Q49_316220"/>
      <w:bookmarkEnd w:id="28794"/>
      <w:r>
        <w:rPr>
          <w:rFonts w:hint="cs"/>
          <w:rtl/>
        </w:rPr>
        <w:t xml:space="preserve">כבר </w:t>
      </w:r>
      <w:bookmarkStart w:id="28795" w:name="_ETM_Q49_316459"/>
      <w:bookmarkEnd w:id="28795"/>
      <w:r>
        <w:rPr>
          <w:rFonts w:hint="cs"/>
          <w:rtl/>
        </w:rPr>
        <w:t xml:space="preserve">לא </w:t>
      </w:r>
      <w:bookmarkStart w:id="28796" w:name="_ETM_Q49_316610"/>
      <w:bookmarkEnd w:id="28796"/>
      <w:r>
        <w:rPr>
          <w:rFonts w:hint="cs"/>
          <w:rtl/>
        </w:rPr>
        <w:t xml:space="preserve">ילד. </w:t>
      </w:r>
      <w:bookmarkStart w:id="28797" w:name="_ETM_Q49_317989"/>
      <w:bookmarkEnd w:id="28797"/>
      <w:r>
        <w:rPr>
          <w:rFonts w:hint="cs"/>
          <w:rtl/>
        </w:rPr>
        <w:t xml:space="preserve">ראית </w:t>
      </w:r>
      <w:bookmarkStart w:id="28798" w:name="_ETM_Q49_318349"/>
      <w:bookmarkEnd w:id="28798"/>
      <w:r>
        <w:rPr>
          <w:rFonts w:hint="cs"/>
          <w:rtl/>
        </w:rPr>
        <w:t xml:space="preserve">משהו </w:t>
      </w:r>
      <w:bookmarkStart w:id="28799" w:name="_ETM_Q49_318620"/>
      <w:bookmarkEnd w:id="28799"/>
      <w:r>
        <w:rPr>
          <w:rFonts w:hint="cs"/>
          <w:rtl/>
        </w:rPr>
        <w:t xml:space="preserve">בחייך, </w:t>
      </w:r>
      <w:bookmarkStart w:id="28800" w:name="_ETM_Q49_319930"/>
      <w:bookmarkEnd w:id="28800"/>
      <w:r>
        <w:rPr>
          <w:rFonts w:hint="cs"/>
          <w:rtl/>
        </w:rPr>
        <w:t xml:space="preserve">אתה </w:t>
      </w:r>
      <w:bookmarkStart w:id="28801" w:name="_ETM_Q49_320260"/>
      <w:bookmarkEnd w:id="28801"/>
      <w:r>
        <w:rPr>
          <w:rFonts w:hint="cs"/>
          <w:rtl/>
        </w:rPr>
        <w:t xml:space="preserve">אדם </w:t>
      </w:r>
      <w:bookmarkStart w:id="28802" w:name="_ETM_Q49_320500"/>
      <w:bookmarkEnd w:id="28802"/>
      <w:r>
        <w:rPr>
          <w:rFonts w:hint="cs"/>
          <w:rtl/>
        </w:rPr>
        <w:t xml:space="preserve">עם </w:t>
      </w:r>
      <w:bookmarkStart w:id="28803" w:name="_ETM_Q49_320620"/>
      <w:bookmarkEnd w:id="28803"/>
      <w:r>
        <w:rPr>
          <w:rFonts w:hint="cs"/>
          <w:rtl/>
        </w:rPr>
        <w:t xml:space="preserve">ניסיון, </w:t>
      </w:r>
      <w:bookmarkStart w:id="28804" w:name="_ETM_Q49_322010"/>
      <w:bookmarkEnd w:id="28804"/>
      <w:r>
        <w:rPr>
          <w:rFonts w:hint="cs"/>
          <w:rtl/>
        </w:rPr>
        <w:t xml:space="preserve">אבל </w:t>
      </w:r>
      <w:bookmarkStart w:id="28805" w:name="_ETM_Q49_322400"/>
      <w:bookmarkStart w:id="28806" w:name="_ETM_Q49_323270"/>
      <w:bookmarkEnd w:id="28805"/>
      <w:bookmarkEnd w:id="28806"/>
      <w:r>
        <w:rPr>
          <w:rFonts w:hint="cs"/>
          <w:rtl/>
        </w:rPr>
        <w:t xml:space="preserve">אדוני </w:t>
      </w:r>
      <w:bookmarkStart w:id="28807" w:name="_ETM_Q49_323600"/>
      <w:bookmarkEnd w:id="28807"/>
      <w:r>
        <w:rPr>
          <w:rFonts w:hint="cs"/>
          <w:rtl/>
        </w:rPr>
        <w:t>היושב</w:t>
      </w:r>
      <w:bookmarkStart w:id="28808" w:name="_ETM_Q49_323930"/>
      <w:bookmarkEnd w:id="28808"/>
      <w:r>
        <w:rPr>
          <w:rFonts w:hint="cs"/>
          <w:rtl/>
        </w:rPr>
        <w:t xml:space="preserve">-ראש, </w:t>
      </w:r>
      <w:bookmarkStart w:id="28809" w:name="_ETM_Q49_325250"/>
      <w:bookmarkEnd w:id="28809"/>
      <w:r>
        <w:rPr>
          <w:rFonts w:hint="cs"/>
          <w:rtl/>
        </w:rPr>
        <w:t xml:space="preserve">אדוני </w:t>
      </w:r>
      <w:bookmarkStart w:id="28810" w:name="_ETM_Q49_325520"/>
      <w:bookmarkEnd w:id="28810"/>
      <w:r>
        <w:rPr>
          <w:rFonts w:hint="cs"/>
          <w:rtl/>
        </w:rPr>
        <w:t xml:space="preserve">השר, </w:t>
      </w:r>
      <w:bookmarkStart w:id="28811" w:name="_ETM_Q49_325850"/>
      <w:bookmarkEnd w:id="28811"/>
      <w:r>
        <w:rPr>
          <w:rFonts w:hint="cs"/>
          <w:rtl/>
        </w:rPr>
        <w:t xml:space="preserve">זה </w:t>
      </w:r>
      <w:bookmarkStart w:id="28812" w:name="_ETM_Q49_326000"/>
      <w:bookmarkEnd w:id="28812"/>
      <w:r>
        <w:rPr>
          <w:rFonts w:hint="cs"/>
          <w:rtl/>
        </w:rPr>
        <w:t xml:space="preserve">נראה </w:t>
      </w:r>
      <w:bookmarkStart w:id="28813" w:name="_ETM_Q49_326270"/>
      <w:bookmarkEnd w:id="28813"/>
      <w:r>
        <w:rPr>
          <w:rFonts w:hint="cs"/>
          <w:rtl/>
        </w:rPr>
        <w:t>ש</w:t>
      </w:r>
      <w:bookmarkStart w:id="28814" w:name="_ETM_Q49_326419"/>
      <w:bookmarkEnd w:id="28814"/>
      <w:r>
        <w:rPr>
          <w:rFonts w:hint="cs"/>
          <w:rtl/>
        </w:rPr>
        <w:t xml:space="preserve">ראש </w:t>
      </w:r>
      <w:bookmarkStart w:id="28815" w:name="_ETM_Q49_326600"/>
      <w:bookmarkEnd w:id="28815"/>
      <w:r>
        <w:rPr>
          <w:rFonts w:hint="cs"/>
          <w:rtl/>
        </w:rPr>
        <w:t xml:space="preserve">הממשלה, </w:t>
      </w:r>
      <w:bookmarkStart w:id="28816" w:name="_ETM_Q49_327879"/>
      <w:bookmarkEnd w:id="28816"/>
      <w:r>
        <w:rPr>
          <w:rFonts w:hint="cs"/>
          <w:rtl/>
        </w:rPr>
        <w:t xml:space="preserve">שחזר </w:t>
      </w:r>
      <w:bookmarkStart w:id="28817" w:name="_ETM_Q49_328450"/>
      <w:bookmarkEnd w:id="28817"/>
      <w:r>
        <w:rPr>
          <w:rFonts w:hint="cs"/>
          <w:rtl/>
        </w:rPr>
        <w:t xml:space="preserve">לשלטון </w:t>
      </w:r>
      <w:bookmarkStart w:id="28818" w:name="_ETM_Q49_328959"/>
      <w:bookmarkEnd w:id="28818"/>
      <w:r>
        <w:rPr>
          <w:rFonts w:hint="cs"/>
          <w:rtl/>
        </w:rPr>
        <w:t xml:space="preserve">אחרי </w:t>
      </w:r>
      <w:bookmarkStart w:id="28819" w:name="_ETM_Q49_329169"/>
      <w:bookmarkEnd w:id="28819"/>
      <w:r>
        <w:rPr>
          <w:rFonts w:hint="cs"/>
          <w:rtl/>
        </w:rPr>
        <w:t xml:space="preserve">שנה </w:t>
      </w:r>
      <w:bookmarkStart w:id="28820" w:name="_ETM_Q49_329440"/>
      <w:bookmarkEnd w:id="28820"/>
      <w:r>
        <w:rPr>
          <w:rFonts w:hint="cs"/>
          <w:rtl/>
        </w:rPr>
        <w:t xml:space="preserve">וחצי </w:t>
      </w:r>
      <w:bookmarkStart w:id="28821" w:name="_ETM_Q49_329889"/>
      <w:bookmarkEnd w:id="28821"/>
      <w:r>
        <w:rPr>
          <w:rFonts w:hint="cs"/>
          <w:rtl/>
        </w:rPr>
        <w:t xml:space="preserve">הפסקה, </w:t>
      </w:r>
      <w:bookmarkStart w:id="28822" w:name="_ETM_Q49_330980"/>
      <w:bookmarkEnd w:id="28822"/>
      <w:r>
        <w:rPr>
          <w:rFonts w:hint="cs"/>
          <w:rtl/>
        </w:rPr>
        <w:t xml:space="preserve">מתנהג </w:t>
      </w:r>
      <w:bookmarkStart w:id="28823" w:name="_ETM_Q49_332660"/>
      <w:bookmarkEnd w:id="28823"/>
      <w:r>
        <w:rPr>
          <w:rFonts w:hint="cs"/>
          <w:rtl/>
        </w:rPr>
        <w:t xml:space="preserve">כאילו </w:t>
      </w:r>
      <w:bookmarkStart w:id="28824" w:name="_ETM_Q49_333350"/>
      <w:bookmarkEnd w:id="28824"/>
      <w:r>
        <w:rPr>
          <w:rFonts w:hint="cs"/>
          <w:rtl/>
        </w:rPr>
        <w:t xml:space="preserve">הוא קיבל </w:t>
      </w:r>
      <w:bookmarkStart w:id="28825" w:name="_ETM_Q49_333710"/>
      <w:bookmarkEnd w:id="28825"/>
      <w:r>
        <w:rPr>
          <w:rFonts w:hint="cs"/>
          <w:rtl/>
        </w:rPr>
        <w:t xml:space="preserve">צעצוע </w:t>
      </w:r>
      <w:bookmarkStart w:id="28826" w:name="_ETM_Q49_334190"/>
      <w:bookmarkEnd w:id="28826"/>
      <w:r>
        <w:rPr>
          <w:rFonts w:hint="cs"/>
          <w:rtl/>
        </w:rPr>
        <w:t xml:space="preserve">חדש. </w:t>
      </w:r>
      <w:bookmarkStart w:id="28827" w:name="_ETM_Q49_335230"/>
      <w:bookmarkEnd w:id="28827"/>
      <w:r>
        <w:rPr>
          <w:rFonts w:hint="cs"/>
          <w:rtl/>
        </w:rPr>
        <w:t xml:space="preserve">זה מזכיר </w:t>
      </w:r>
      <w:bookmarkStart w:id="28828" w:name="_ETM_Q49_336830"/>
      <w:bookmarkEnd w:id="28828"/>
      <w:r>
        <w:rPr>
          <w:rFonts w:hint="cs"/>
          <w:rtl/>
        </w:rPr>
        <w:t xml:space="preserve">מלך, </w:t>
      </w:r>
      <w:bookmarkStart w:id="28829" w:name="_ETM_Q49_338260"/>
      <w:bookmarkEnd w:id="28829"/>
      <w:r>
        <w:rPr>
          <w:rFonts w:hint="cs"/>
          <w:rtl/>
        </w:rPr>
        <w:t xml:space="preserve">את </w:t>
      </w:r>
      <w:bookmarkStart w:id="28830" w:name="_ETM_Q49_338470"/>
      <w:bookmarkEnd w:id="28830"/>
      <w:r>
        <w:rPr>
          <w:rFonts w:hint="cs"/>
          <w:rtl/>
        </w:rPr>
        <w:t xml:space="preserve">המלך </w:t>
      </w:r>
      <w:bookmarkStart w:id="28831" w:name="_ETM_Q49_339530"/>
      <w:bookmarkEnd w:id="28831"/>
      <w:r>
        <w:rPr>
          <w:rFonts w:hint="cs"/>
          <w:rtl/>
        </w:rPr>
        <w:t xml:space="preserve">רחבעם. </w:t>
      </w:r>
      <w:bookmarkStart w:id="28832" w:name="_ETM_Q49_340950"/>
      <w:bookmarkEnd w:id="28832"/>
      <w:r>
        <w:rPr>
          <w:rFonts w:hint="cs"/>
          <w:rtl/>
        </w:rPr>
        <w:t xml:space="preserve">בספר </w:t>
      </w:r>
      <w:bookmarkStart w:id="28833" w:name="_ETM_Q49_341520"/>
      <w:bookmarkEnd w:id="28833"/>
      <w:r>
        <w:rPr>
          <w:rFonts w:hint="cs"/>
          <w:rtl/>
        </w:rPr>
        <w:t xml:space="preserve">מלכים </w:t>
      </w:r>
      <w:bookmarkStart w:id="28834" w:name="_ETM_Q49_342000"/>
      <w:bookmarkEnd w:id="28834"/>
      <w:r>
        <w:rPr>
          <w:rFonts w:hint="cs"/>
          <w:rtl/>
        </w:rPr>
        <w:t xml:space="preserve">א' </w:t>
      </w:r>
      <w:bookmarkStart w:id="28835" w:name="_ETM_Q49_343380"/>
      <w:bookmarkEnd w:id="28835"/>
      <w:r>
        <w:rPr>
          <w:rFonts w:hint="cs"/>
          <w:rtl/>
        </w:rPr>
        <w:t xml:space="preserve">מסופר </w:t>
      </w:r>
      <w:bookmarkStart w:id="28836" w:name="_ETM_Q49_344250"/>
      <w:bookmarkEnd w:id="28836"/>
      <w:r>
        <w:rPr>
          <w:rFonts w:hint="cs"/>
          <w:rtl/>
        </w:rPr>
        <w:t xml:space="preserve">איך לאחר </w:t>
      </w:r>
      <w:bookmarkStart w:id="28837" w:name="_ETM_Q49_344669"/>
      <w:bookmarkEnd w:id="28837"/>
      <w:r>
        <w:rPr>
          <w:rFonts w:hint="cs"/>
          <w:rtl/>
        </w:rPr>
        <w:t xml:space="preserve">מות </w:t>
      </w:r>
      <w:bookmarkStart w:id="28838" w:name="_ETM_Q49_344850"/>
      <w:bookmarkEnd w:id="28838"/>
      <w:r>
        <w:rPr>
          <w:rFonts w:hint="cs"/>
          <w:rtl/>
        </w:rPr>
        <w:t xml:space="preserve">שלמה </w:t>
      </w:r>
      <w:bookmarkStart w:id="28839" w:name="_ETM_Q49_345209"/>
      <w:bookmarkEnd w:id="28839"/>
      <w:r>
        <w:rPr>
          <w:rFonts w:hint="cs"/>
          <w:rtl/>
        </w:rPr>
        <w:t xml:space="preserve">המלך </w:t>
      </w:r>
      <w:bookmarkStart w:id="28840" w:name="_ETM_Q49_345959"/>
      <w:bookmarkEnd w:id="28840"/>
      <w:r>
        <w:rPr>
          <w:rFonts w:hint="cs"/>
          <w:rtl/>
        </w:rPr>
        <w:t xml:space="preserve">בא ירבעם בין נבט </w:t>
      </w:r>
      <w:bookmarkStart w:id="28841" w:name="_ETM_Q49_346230"/>
      <w:bookmarkStart w:id="28842" w:name="_ETM_Q49_346650"/>
      <w:bookmarkStart w:id="28843" w:name="_ETM_Q49_347370"/>
      <w:bookmarkEnd w:id="28841"/>
      <w:bookmarkEnd w:id="28842"/>
      <w:bookmarkEnd w:id="28843"/>
      <w:r>
        <w:rPr>
          <w:rFonts w:hint="cs"/>
          <w:rtl/>
        </w:rPr>
        <w:t xml:space="preserve">עם </w:t>
      </w:r>
      <w:bookmarkStart w:id="28844" w:name="_ETM_Q49_347490"/>
      <w:bookmarkEnd w:id="28844"/>
      <w:r>
        <w:rPr>
          <w:rFonts w:hint="cs"/>
          <w:rtl/>
        </w:rPr>
        <w:t xml:space="preserve">נציגי </w:t>
      </w:r>
      <w:bookmarkStart w:id="28845" w:name="_ETM_Q49_347910"/>
      <w:bookmarkEnd w:id="28845"/>
      <w:r>
        <w:rPr>
          <w:rFonts w:hint="cs"/>
          <w:rtl/>
        </w:rPr>
        <w:t xml:space="preserve">השבטים </w:t>
      </w:r>
      <w:bookmarkStart w:id="28846" w:name="_ETM_Q49_348810"/>
      <w:bookmarkEnd w:id="28846"/>
      <w:r>
        <w:rPr>
          <w:rFonts w:hint="cs"/>
          <w:rtl/>
        </w:rPr>
        <w:t xml:space="preserve">לדבר </w:t>
      </w:r>
      <w:bookmarkStart w:id="28847" w:name="_ETM_Q49_349230"/>
      <w:bookmarkEnd w:id="28847"/>
      <w:r>
        <w:rPr>
          <w:rFonts w:hint="cs"/>
          <w:rtl/>
        </w:rPr>
        <w:t xml:space="preserve">עם </w:t>
      </w:r>
      <w:bookmarkStart w:id="28848" w:name="_ETM_Q49_349350"/>
      <w:bookmarkEnd w:id="28848"/>
      <w:r>
        <w:rPr>
          <w:rFonts w:hint="cs"/>
          <w:rtl/>
        </w:rPr>
        <w:t xml:space="preserve">רחבעם </w:t>
      </w:r>
      <w:bookmarkStart w:id="28849" w:name="_ETM_Q49_350739"/>
      <w:bookmarkEnd w:id="28849"/>
      <w:r>
        <w:rPr>
          <w:rFonts w:hint="cs"/>
          <w:rtl/>
        </w:rPr>
        <w:t xml:space="preserve">וביקש </w:t>
      </w:r>
      <w:bookmarkStart w:id="28850" w:name="_ETM_Q49_351280"/>
      <w:bookmarkEnd w:id="28850"/>
      <w:r>
        <w:rPr>
          <w:rFonts w:hint="cs"/>
          <w:rtl/>
        </w:rPr>
        <w:t xml:space="preserve">ממנו: </w:t>
      </w:r>
      <w:bookmarkStart w:id="28851" w:name="_ETM_Q49_352180"/>
      <w:bookmarkEnd w:id="28851"/>
      <w:r>
        <w:rPr>
          <w:rFonts w:hint="cs"/>
          <w:rtl/>
        </w:rPr>
        <w:t xml:space="preserve">אדוני </w:t>
      </w:r>
      <w:bookmarkStart w:id="28852" w:name="_ETM_Q49_352480"/>
      <w:bookmarkEnd w:id="28852"/>
      <w:r>
        <w:rPr>
          <w:rFonts w:hint="cs"/>
          <w:rtl/>
        </w:rPr>
        <w:t xml:space="preserve">המלך, </w:t>
      </w:r>
      <w:bookmarkStart w:id="28853" w:name="_ETM_Q49_353700"/>
      <w:bookmarkEnd w:id="28853"/>
      <w:r>
        <w:rPr>
          <w:rFonts w:hint="cs"/>
          <w:rtl/>
        </w:rPr>
        <w:t xml:space="preserve">תוריד </w:t>
      </w:r>
      <w:bookmarkStart w:id="28854" w:name="_ETM_Q49_354150"/>
      <w:bookmarkEnd w:id="28854"/>
      <w:r>
        <w:rPr>
          <w:rFonts w:hint="cs"/>
          <w:rtl/>
        </w:rPr>
        <w:t xml:space="preserve">את </w:t>
      </w:r>
      <w:bookmarkStart w:id="28855" w:name="_ETM_Q49_354269"/>
      <w:bookmarkEnd w:id="28855"/>
      <w:r>
        <w:rPr>
          <w:rFonts w:hint="cs"/>
          <w:rtl/>
        </w:rPr>
        <w:t xml:space="preserve">נטל </w:t>
      </w:r>
      <w:bookmarkStart w:id="28856" w:name="_ETM_Q49_354599"/>
      <w:bookmarkEnd w:id="28856"/>
      <w:r>
        <w:rPr>
          <w:rFonts w:hint="cs"/>
          <w:rtl/>
        </w:rPr>
        <w:t xml:space="preserve">המיסים </w:t>
      </w:r>
      <w:bookmarkStart w:id="28857" w:name="_ETM_Q49_355079"/>
      <w:bookmarkEnd w:id="28857"/>
      <w:r>
        <w:rPr>
          <w:rFonts w:hint="cs"/>
          <w:rtl/>
        </w:rPr>
        <w:t xml:space="preserve">שהונהג </w:t>
      </w:r>
      <w:bookmarkStart w:id="28858" w:name="_ETM_Q49_355469"/>
      <w:bookmarkEnd w:id="28858"/>
      <w:r>
        <w:rPr>
          <w:rFonts w:hint="cs"/>
          <w:rtl/>
        </w:rPr>
        <w:t xml:space="preserve">בתקופת </w:t>
      </w:r>
      <w:bookmarkStart w:id="28859" w:name="_ETM_Q49_355950"/>
      <w:bookmarkEnd w:id="28859"/>
      <w:r>
        <w:rPr>
          <w:rFonts w:hint="cs"/>
          <w:rtl/>
        </w:rPr>
        <w:t xml:space="preserve">שלמה. לרחבעם </w:t>
      </w:r>
      <w:bookmarkStart w:id="28860" w:name="_ETM_Q49_357720"/>
      <w:bookmarkEnd w:id="28860"/>
      <w:r>
        <w:rPr>
          <w:rFonts w:hint="cs"/>
          <w:rtl/>
        </w:rPr>
        <w:t xml:space="preserve">לוקח </w:t>
      </w:r>
      <w:bookmarkStart w:id="28861" w:name="_ETM_Q49_358349"/>
      <w:bookmarkEnd w:id="28861"/>
      <w:r>
        <w:rPr>
          <w:rFonts w:hint="cs"/>
          <w:rtl/>
        </w:rPr>
        <w:t xml:space="preserve">שלושה </w:t>
      </w:r>
      <w:bookmarkStart w:id="28862" w:name="_ETM_Q49_358800"/>
      <w:bookmarkEnd w:id="28862"/>
      <w:r>
        <w:rPr>
          <w:rFonts w:hint="cs"/>
          <w:rtl/>
        </w:rPr>
        <w:t xml:space="preserve">ימים </w:t>
      </w:r>
      <w:bookmarkStart w:id="28863" w:name="_ETM_Q49_359099"/>
      <w:bookmarkEnd w:id="28863"/>
      <w:r>
        <w:rPr>
          <w:rFonts w:hint="cs"/>
          <w:rtl/>
        </w:rPr>
        <w:t xml:space="preserve">להתייעץ. </w:t>
      </w:r>
      <w:bookmarkStart w:id="28864" w:name="_ETM_Q49_360760"/>
      <w:bookmarkEnd w:id="28864"/>
      <w:r>
        <w:rPr>
          <w:rFonts w:hint="cs"/>
          <w:rtl/>
        </w:rPr>
        <w:t xml:space="preserve">הוא </w:t>
      </w:r>
      <w:bookmarkStart w:id="28865" w:name="_ETM_Q49_360909"/>
      <w:bookmarkEnd w:id="28865"/>
      <w:r>
        <w:rPr>
          <w:rFonts w:hint="cs"/>
          <w:rtl/>
        </w:rPr>
        <w:t xml:space="preserve">מתייעץ </w:t>
      </w:r>
      <w:bookmarkStart w:id="28866" w:name="_ETM_Q49_362200"/>
      <w:bookmarkEnd w:id="28866"/>
      <w:r>
        <w:rPr>
          <w:rFonts w:hint="cs"/>
          <w:rtl/>
        </w:rPr>
        <w:t xml:space="preserve">עם </w:t>
      </w:r>
      <w:bookmarkStart w:id="28867" w:name="_ETM_Q49_362379"/>
      <w:bookmarkEnd w:id="28867"/>
      <w:r>
        <w:rPr>
          <w:rFonts w:hint="cs"/>
          <w:rtl/>
        </w:rPr>
        <w:t xml:space="preserve">זקני </w:t>
      </w:r>
      <w:bookmarkStart w:id="28868" w:name="_ETM_Q49_362800"/>
      <w:bookmarkEnd w:id="28868"/>
      <w:r>
        <w:rPr>
          <w:rFonts w:hint="cs"/>
          <w:rtl/>
        </w:rPr>
        <w:t xml:space="preserve">העם, </w:t>
      </w:r>
      <w:bookmarkStart w:id="28869" w:name="_ETM_Q49_363250"/>
      <w:bookmarkEnd w:id="28869"/>
      <w:r>
        <w:rPr>
          <w:rFonts w:hint="cs"/>
          <w:rtl/>
        </w:rPr>
        <w:t xml:space="preserve">עם </w:t>
      </w:r>
      <w:bookmarkStart w:id="28870" w:name="_ETM_Q49_363400"/>
      <w:bookmarkEnd w:id="28870"/>
      <w:r>
        <w:rPr>
          <w:rFonts w:hint="cs"/>
          <w:rtl/>
        </w:rPr>
        <w:t xml:space="preserve">היועצים </w:t>
      </w:r>
      <w:bookmarkStart w:id="28871" w:name="_ETM_Q49_363849"/>
      <w:bookmarkEnd w:id="28871"/>
      <w:r>
        <w:rPr>
          <w:rFonts w:hint="cs"/>
          <w:rtl/>
        </w:rPr>
        <w:t xml:space="preserve">הזקנים </w:t>
      </w:r>
      <w:bookmarkStart w:id="28872" w:name="_ETM_Q49_364900"/>
      <w:bookmarkEnd w:id="28872"/>
      <w:r>
        <w:rPr>
          <w:rFonts w:hint="cs"/>
          <w:rtl/>
        </w:rPr>
        <w:t xml:space="preserve">והוותיקים, </w:t>
      </w:r>
      <w:bookmarkStart w:id="28873" w:name="_ETM_Q49_366409"/>
      <w:bookmarkEnd w:id="28873"/>
      <w:r>
        <w:rPr>
          <w:rFonts w:hint="cs"/>
          <w:rtl/>
        </w:rPr>
        <w:t xml:space="preserve">והוא </w:t>
      </w:r>
      <w:bookmarkStart w:id="28874" w:name="_ETM_Q49_366590"/>
      <w:bookmarkEnd w:id="28874"/>
      <w:r>
        <w:rPr>
          <w:rFonts w:hint="cs"/>
          <w:rtl/>
        </w:rPr>
        <w:t xml:space="preserve">מתייעץ </w:t>
      </w:r>
      <w:bookmarkStart w:id="28875" w:name="_ETM_Q49_367010"/>
      <w:bookmarkEnd w:id="28875"/>
      <w:r>
        <w:rPr>
          <w:rFonts w:hint="cs"/>
          <w:rtl/>
        </w:rPr>
        <w:t xml:space="preserve">עם </w:t>
      </w:r>
      <w:bookmarkStart w:id="28876" w:name="_ETM_Q49_367129"/>
      <w:bookmarkEnd w:id="28876"/>
      <w:r>
        <w:rPr>
          <w:rFonts w:hint="cs"/>
          <w:rtl/>
        </w:rPr>
        <w:t xml:space="preserve">הצעירים. </w:t>
      </w:r>
      <w:bookmarkStart w:id="28877" w:name="_ETM_Q49_368609"/>
      <w:bookmarkEnd w:id="28877"/>
      <w:r>
        <w:rPr>
          <w:rFonts w:hint="cs"/>
          <w:rtl/>
        </w:rPr>
        <w:t xml:space="preserve">אומרים </w:t>
      </w:r>
      <w:bookmarkStart w:id="28878" w:name="_ETM_Q49_368999"/>
      <w:bookmarkEnd w:id="28878"/>
      <w:r>
        <w:rPr>
          <w:rFonts w:hint="cs"/>
          <w:rtl/>
        </w:rPr>
        <w:t xml:space="preserve">לו </w:t>
      </w:r>
      <w:bookmarkStart w:id="28879" w:name="_ETM_Q49_369120"/>
      <w:bookmarkEnd w:id="28879"/>
      <w:r>
        <w:rPr>
          <w:rFonts w:hint="cs"/>
          <w:rtl/>
        </w:rPr>
        <w:t xml:space="preserve">הזקנים </w:t>
      </w:r>
      <w:bookmarkStart w:id="28880" w:name="_ETM_Q49_369569"/>
      <w:bookmarkEnd w:id="28880"/>
      <w:r>
        <w:rPr>
          <w:rFonts w:hint="cs"/>
          <w:rtl/>
        </w:rPr>
        <w:t xml:space="preserve">והוותיקים: </w:t>
      </w:r>
      <w:bookmarkStart w:id="28881" w:name="_ETM_Q49_371349"/>
      <w:bookmarkEnd w:id="28881"/>
      <w:r>
        <w:rPr>
          <w:rFonts w:hint="cs"/>
          <w:rtl/>
        </w:rPr>
        <w:t xml:space="preserve">תקשיב </w:t>
      </w:r>
      <w:bookmarkStart w:id="28882" w:name="_ETM_Q49_372000"/>
      <w:bookmarkEnd w:id="28882"/>
      <w:r>
        <w:rPr>
          <w:rFonts w:hint="cs"/>
          <w:rtl/>
        </w:rPr>
        <w:t xml:space="preserve">לציבור, </w:t>
      </w:r>
      <w:bookmarkStart w:id="28883" w:name="_ETM_Q49_373510"/>
      <w:bookmarkEnd w:id="28883"/>
      <w:r>
        <w:rPr>
          <w:rFonts w:hint="cs"/>
          <w:rtl/>
        </w:rPr>
        <w:t xml:space="preserve">תקשיב </w:t>
      </w:r>
      <w:bookmarkStart w:id="28884" w:name="_ETM_Q49_373930"/>
      <w:bookmarkEnd w:id="28884"/>
      <w:r>
        <w:rPr>
          <w:rFonts w:hint="cs"/>
          <w:rtl/>
        </w:rPr>
        <w:t xml:space="preserve">למסרים, </w:t>
      </w:r>
      <w:bookmarkStart w:id="28885" w:name="_ETM_Q49_375780"/>
      <w:bookmarkEnd w:id="28885"/>
      <w:r>
        <w:rPr>
          <w:rFonts w:hint="cs"/>
          <w:rtl/>
        </w:rPr>
        <w:t xml:space="preserve">תוריד </w:t>
      </w:r>
      <w:bookmarkStart w:id="28886" w:name="_ETM_Q49_376230"/>
      <w:bookmarkEnd w:id="28886"/>
      <w:r>
        <w:rPr>
          <w:rFonts w:hint="cs"/>
          <w:rtl/>
        </w:rPr>
        <w:t xml:space="preserve">את </w:t>
      </w:r>
      <w:bookmarkStart w:id="28887" w:name="_ETM_Q49_376380"/>
      <w:bookmarkEnd w:id="28887"/>
      <w:r>
        <w:rPr>
          <w:rFonts w:hint="cs"/>
          <w:rtl/>
        </w:rPr>
        <w:t xml:space="preserve">הרגל </w:t>
      </w:r>
      <w:bookmarkStart w:id="28888" w:name="_ETM_Q49_376740"/>
      <w:bookmarkEnd w:id="28888"/>
      <w:r>
        <w:rPr>
          <w:rFonts w:hint="cs"/>
          <w:rtl/>
        </w:rPr>
        <w:t xml:space="preserve">מהגז, </w:t>
      </w:r>
      <w:bookmarkStart w:id="28889" w:name="_ETM_Q49_377850"/>
      <w:bookmarkEnd w:id="28889"/>
      <w:r>
        <w:rPr>
          <w:rFonts w:hint="cs"/>
          <w:rtl/>
        </w:rPr>
        <w:t xml:space="preserve">תוריד </w:t>
      </w:r>
      <w:bookmarkStart w:id="28890" w:name="_ETM_Q49_378180"/>
      <w:bookmarkEnd w:id="28890"/>
      <w:r>
        <w:rPr>
          <w:rFonts w:hint="cs"/>
          <w:rtl/>
        </w:rPr>
        <w:t xml:space="preserve">קצת </w:t>
      </w:r>
      <w:bookmarkStart w:id="28891" w:name="_ETM_Q49_378510"/>
      <w:bookmarkEnd w:id="28891"/>
      <w:r>
        <w:rPr>
          <w:rFonts w:hint="cs"/>
          <w:rtl/>
        </w:rPr>
        <w:t xml:space="preserve">את </w:t>
      </w:r>
      <w:bookmarkStart w:id="28892" w:name="_ETM_Q49_378660"/>
      <w:bookmarkEnd w:id="28892"/>
      <w:r>
        <w:rPr>
          <w:rFonts w:hint="cs"/>
          <w:rtl/>
        </w:rPr>
        <w:t xml:space="preserve">העול </w:t>
      </w:r>
      <w:bookmarkStart w:id="28893" w:name="_ETM_Q49_379919"/>
      <w:bookmarkEnd w:id="28893"/>
      <w:r>
        <w:rPr>
          <w:rFonts w:hint="cs"/>
          <w:rtl/>
        </w:rPr>
        <w:t xml:space="preserve">מהעם, </w:t>
      </w:r>
      <w:bookmarkStart w:id="28894" w:name="_ETM_Q49_380849"/>
      <w:bookmarkEnd w:id="28894"/>
      <w:r>
        <w:rPr>
          <w:rFonts w:hint="cs"/>
          <w:rtl/>
        </w:rPr>
        <w:t xml:space="preserve">תוריד </w:t>
      </w:r>
      <w:bookmarkStart w:id="28895" w:name="_ETM_Q49_381209"/>
      <w:bookmarkEnd w:id="28895"/>
      <w:r>
        <w:rPr>
          <w:rFonts w:hint="cs"/>
          <w:rtl/>
        </w:rPr>
        <w:t xml:space="preserve">את </w:t>
      </w:r>
      <w:bookmarkStart w:id="28896" w:name="_ETM_Q49_381359"/>
      <w:bookmarkEnd w:id="28896"/>
      <w:r>
        <w:rPr>
          <w:rFonts w:hint="cs"/>
          <w:rtl/>
        </w:rPr>
        <w:t xml:space="preserve">המיסים. </w:t>
      </w:r>
      <w:bookmarkStart w:id="28897" w:name="_ETM_Q49_382989"/>
      <w:bookmarkEnd w:id="28897"/>
      <w:r>
        <w:rPr>
          <w:rFonts w:hint="cs"/>
          <w:rtl/>
        </w:rPr>
        <w:t xml:space="preserve">מה </w:t>
      </w:r>
      <w:bookmarkStart w:id="28898" w:name="_ETM_Q49_383200"/>
      <w:bookmarkEnd w:id="28898"/>
      <w:r>
        <w:rPr>
          <w:rFonts w:hint="cs"/>
          <w:rtl/>
        </w:rPr>
        <w:t xml:space="preserve">אומרים </w:t>
      </w:r>
      <w:bookmarkStart w:id="28899" w:name="_ETM_Q49_383499"/>
      <w:bookmarkEnd w:id="28899"/>
      <w:r>
        <w:rPr>
          <w:rFonts w:hint="cs"/>
          <w:rtl/>
        </w:rPr>
        <w:t xml:space="preserve">לו </w:t>
      </w:r>
      <w:bookmarkStart w:id="28900" w:name="_ETM_Q49_383590"/>
      <w:bookmarkEnd w:id="28900"/>
      <w:r>
        <w:rPr>
          <w:rFonts w:hint="cs"/>
          <w:rtl/>
        </w:rPr>
        <w:t xml:space="preserve">יועציו </w:t>
      </w:r>
      <w:bookmarkStart w:id="28901" w:name="_ETM_Q49_384010"/>
      <w:bookmarkEnd w:id="28901"/>
      <w:r>
        <w:rPr>
          <w:rFonts w:hint="cs"/>
          <w:rtl/>
        </w:rPr>
        <w:t xml:space="preserve">הצעירים? </w:t>
      </w:r>
      <w:bookmarkStart w:id="28902" w:name="_ETM_Q49_385569"/>
      <w:bookmarkEnd w:id="28902"/>
      <w:r>
        <w:rPr>
          <w:rFonts w:hint="cs"/>
          <w:rtl/>
        </w:rPr>
        <w:t xml:space="preserve">מה </w:t>
      </w:r>
      <w:bookmarkStart w:id="28903" w:name="_ETM_Q49_385750"/>
      <w:bookmarkEnd w:id="28903"/>
      <w:r>
        <w:rPr>
          <w:rFonts w:hint="cs"/>
          <w:rtl/>
        </w:rPr>
        <w:t xml:space="preserve">פתאום, </w:t>
      </w:r>
      <w:bookmarkStart w:id="28904" w:name="_ETM_Q49_387080"/>
      <w:bookmarkEnd w:id="28904"/>
      <w:r>
        <w:rPr>
          <w:rFonts w:hint="cs"/>
          <w:rtl/>
        </w:rPr>
        <w:t xml:space="preserve">תפגין </w:t>
      </w:r>
      <w:bookmarkStart w:id="28905" w:name="_ETM_Q49_387680"/>
      <w:bookmarkEnd w:id="28905"/>
      <w:r>
        <w:rPr>
          <w:rFonts w:hint="cs"/>
          <w:rtl/>
        </w:rPr>
        <w:t xml:space="preserve">כוח, </w:t>
      </w:r>
      <w:bookmarkStart w:id="28906" w:name="_ETM_Q49_388040"/>
      <w:bookmarkEnd w:id="28906"/>
      <w:r>
        <w:rPr>
          <w:rFonts w:hint="cs"/>
          <w:rtl/>
        </w:rPr>
        <w:t xml:space="preserve">אתה </w:t>
      </w:r>
      <w:bookmarkStart w:id="28907" w:name="_ETM_Q49_391350"/>
      <w:bookmarkStart w:id="28908" w:name="_ETM_Q49_391590"/>
      <w:bookmarkEnd w:id="28907"/>
      <w:bookmarkEnd w:id="28908"/>
      <w:r>
        <w:rPr>
          <w:rFonts w:hint="cs"/>
          <w:rtl/>
        </w:rPr>
        <w:t>השליט</w:t>
      </w:r>
      <w:r w:rsidR="00AD5596">
        <w:rPr>
          <w:rFonts w:hint="cs"/>
          <w:rtl/>
        </w:rPr>
        <w:t>,</w:t>
      </w:r>
      <w:r>
        <w:rPr>
          <w:rFonts w:hint="cs"/>
          <w:rtl/>
        </w:rPr>
        <w:t xml:space="preserve"> משילות, </w:t>
      </w:r>
      <w:bookmarkStart w:id="28909" w:name="_ETM_Q49_392780"/>
      <w:bookmarkEnd w:id="28909"/>
      <w:r>
        <w:rPr>
          <w:rFonts w:hint="cs"/>
          <w:rtl/>
        </w:rPr>
        <w:t xml:space="preserve">תראה לעם </w:t>
      </w:r>
      <w:bookmarkStart w:id="28910" w:name="_ETM_Q49_393230"/>
      <w:bookmarkStart w:id="28911" w:name="_ETM_Q49_393620"/>
      <w:bookmarkEnd w:id="28910"/>
      <w:bookmarkEnd w:id="28911"/>
      <w:r>
        <w:rPr>
          <w:rFonts w:hint="cs"/>
          <w:rtl/>
        </w:rPr>
        <w:t xml:space="preserve">מה </w:t>
      </w:r>
      <w:bookmarkStart w:id="28912" w:name="_ETM_Q49_393800"/>
      <w:bookmarkEnd w:id="28912"/>
      <w:r>
        <w:rPr>
          <w:rFonts w:hint="cs"/>
          <w:rtl/>
        </w:rPr>
        <w:t xml:space="preserve">זאת </w:t>
      </w:r>
      <w:bookmarkStart w:id="28913" w:name="_ETM_Q49_394010"/>
      <w:bookmarkEnd w:id="28913"/>
      <w:r>
        <w:rPr>
          <w:rFonts w:hint="cs"/>
          <w:rtl/>
        </w:rPr>
        <w:t xml:space="preserve">משילות. ורחבעם </w:t>
      </w:r>
      <w:bookmarkStart w:id="28914" w:name="_ETM_Q49_397000"/>
      <w:bookmarkStart w:id="28915" w:name="_ETM_Q49_394409"/>
      <w:bookmarkStart w:id="28916" w:name="_ETM_Q49_396910"/>
      <w:bookmarkStart w:id="28917" w:name="_ETM_Q49_397720"/>
      <w:bookmarkEnd w:id="28914"/>
      <w:bookmarkEnd w:id="28915"/>
      <w:bookmarkEnd w:id="28916"/>
      <w:bookmarkEnd w:id="28917"/>
      <w:r>
        <w:rPr>
          <w:rFonts w:hint="cs"/>
          <w:rtl/>
        </w:rPr>
        <w:t xml:space="preserve">מקשיב </w:t>
      </w:r>
      <w:bookmarkStart w:id="28918" w:name="_ETM_Q49_398980"/>
      <w:bookmarkEnd w:id="28918"/>
      <w:r>
        <w:rPr>
          <w:rFonts w:hint="cs"/>
          <w:rtl/>
        </w:rPr>
        <w:t xml:space="preserve">לאותם </w:t>
      </w:r>
      <w:bookmarkStart w:id="28919" w:name="_ETM_Q49_399670"/>
      <w:bookmarkEnd w:id="28919"/>
      <w:r>
        <w:rPr>
          <w:rFonts w:hint="cs"/>
          <w:rtl/>
        </w:rPr>
        <w:t xml:space="preserve">היועצים </w:t>
      </w:r>
      <w:bookmarkStart w:id="28920" w:name="_ETM_Q49_400989"/>
      <w:bookmarkEnd w:id="28920"/>
      <w:r>
        <w:rPr>
          <w:rFonts w:hint="cs"/>
          <w:rtl/>
        </w:rPr>
        <w:t xml:space="preserve">כאילו </w:t>
      </w:r>
      <w:bookmarkStart w:id="28921" w:name="_ETM_Q49_401739"/>
      <w:bookmarkEnd w:id="28921"/>
      <w:r>
        <w:rPr>
          <w:rFonts w:hint="cs"/>
          <w:rtl/>
        </w:rPr>
        <w:t xml:space="preserve">הם </w:t>
      </w:r>
      <w:bookmarkStart w:id="28922" w:name="_ETM_Q49_402400"/>
      <w:bookmarkEnd w:id="28922"/>
      <w:r>
        <w:rPr>
          <w:rFonts w:hint="cs"/>
          <w:rtl/>
        </w:rPr>
        <w:t xml:space="preserve">שרי </w:t>
      </w:r>
      <w:bookmarkStart w:id="28923" w:name="_ETM_Q49_403120"/>
      <w:bookmarkEnd w:id="28923"/>
      <w:r>
        <w:rPr>
          <w:rFonts w:hint="cs"/>
          <w:rtl/>
        </w:rPr>
        <w:t xml:space="preserve">ממשלתו </w:t>
      </w:r>
      <w:bookmarkStart w:id="28924" w:name="_ETM_Q49_403809"/>
      <w:bookmarkEnd w:id="28924"/>
      <w:r>
        <w:rPr>
          <w:rFonts w:hint="cs"/>
          <w:rtl/>
        </w:rPr>
        <w:t xml:space="preserve">של </w:t>
      </w:r>
      <w:bookmarkStart w:id="28925" w:name="_ETM_Q49_403989"/>
      <w:bookmarkEnd w:id="28925"/>
      <w:r>
        <w:rPr>
          <w:rFonts w:hint="cs"/>
          <w:rtl/>
        </w:rPr>
        <w:t xml:space="preserve">נתניהו </w:t>
      </w:r>
      <w:bookmarkStart w:id="28926" w:name="_ETM_Q49_404559"/>
      <w:bookmarkEnd w:id="28926"/>
      <w:r>
        <w:rPr>
          <w:rFonts w:hint="cs"/>
          <w:rtl/>
        </w:rPr>
        <w:t xml:space="preserve">היום, </w:t>
      </w:r>
      <w:bookmarkStart w:id="28927" w:name="_ETM_Q49_405550"/>
      <w:bookmarkEnd w:id="28927"/>
      <w:r>
        <w:rPr>
          <w:rFonts w:hint="cs"/>
          <w:rtl/>
        </w:rPr>
        <w:t xml:space="preserve">שמספרים </w:t>
      </w:r>
      <w:bookmarkStart w:id="28928" w:name="_ETM_Q49_406269"/>
      <w:bookmarkEnd w:id="28928"/>
      <w:r>
        <w:rPr>
          <w:rFonts w:hint="cs"/>
          <w:rtl/>
        </w:rPr>
        <w:t xml:space="preserve">לנו </w:t>
      </w:r>
      <w:bookmarkStart w:id="28929" w:name="_ETM_Q49_406450"/>
      <w:bookmarkEnd w:id="28929"/>
      <w:r>
        <w:rPr>
          <w:rFonts w:hint="cs"/>
          <w:rtl/>
        </w:rPr>
        <w:t xml:space="preserve">על </w:t>
      </w:r>
      <w:bookmarkStart w:id="28930" w:name="_ETM_Q49_406569"/>
      <w:bookmarkEnd w:id="28930"/>
      <w:r>
        <w:rPr>
          <w:rFonts w:hint="cs"/>
          <w:rtl/>
        </w:rPr>
        <w:t xml:space="preserve">משילות: </w:t>
      </w:r>
      <w:bookmarkStart w:id="28931" w:name="_ETM_Q49_407590"/>
      <w:bookmarkEnd w:id="28931"/>
      <w:r>
        <w:rPr>
          <w:rFonts w:hint="cs"/>
          <w:rtl/>
        </w:rPr>
        <w:t xml:space="preserve">תשבור </w:t>
      </w:r>
      <w:bookmarkStart w:id="28932" w:name="_ETM_Q49_408430"/>
      <w:bookmarkEnd w:id="28932"/>
      <w:r>
        <w:rPr>
          <w:rFonts w:hint="cs"/>
          <w:rtl/>
        </w:rPr>
        <w:t xml:space="preserve">את </w:t>
      </w:r>
      <w:bookmarkStart w:id="28933" w:name="_ETM_Q49_408550"/>
      <w:bookmarkEnd w:id="28933"/>
      <w:r>
        <w:rPr>
          <w:rFonts w:hint="cs"/>
          <w:rtl/>
        </w:rPr>
        <w:t xml:space="preserve">ההתנגדות, </w:t>
      </w:r>
      <w:bookmarkStart w:id="28934" w:name="_ETM_Q49_409480"/>
      <w:bookmarkEnd w:id="28934"/>
      <w:r>
        <w:rPr>
          <w:rFonts w:hint="cs"/>
          <w:rtl/>
        </w:rPr>
        <w:t xml:space="preserve">תשבור </w:t>
      </w:r>
      <w:bookmarkStart w:id="28935" w:name="_ETM_Q49_410170"/>
      <w:bookmarkEnd w:id="28935"/>
      <w:r>
        <w:rPr>
          <w:rFonts w:hint="cs"/>
          <w:rtl/>
        </w:rPr>
        <w:t xml:space="preserve">את </w:t>
      </w:r>
      <w:bookmarkStart w:id="28936" w:name="_ETM_Q49_410290"/>
      <w:bookmarkEnd w:id="28936"/>
      <w:r>
        <w:rPr>
          <w:rFonts w:hint="cs"/>
          <w:rtl/>
        </w:rPr>
        <w:t xml:space="preserve">האזרחים ותמשול ותהיה השליט, כי אנחנו השלטון. כאילו אנחנו </w:t>
      </w:r>
      <w:bookmarkStart w:id="28937" w:name="_ETM_Q49_421000"/>
      <w:bookmarkEnd w:id="28937"/>
      <w:r>
        <w:rPr>
          <w:rFonts w:hint="cs"/>
          <w:rtl/>
        </w:rPr>
        <w:t xml:space="preserve">נמצאים באותה תקופה. </w:t>
      </w:r>
      <w:bookmarkStart w:id="28938" w:name="_ETM_Q49_411409"/>
      <w:bookmarkStart w:id="28939" w:name="_ETM_Q49_412849"/>
      <w:bookmarkEnd w:id="28938"/>
      <w:bookmarkEnd w:id="28939"/>
      <w:r>
        <w:rPr>
          <w:rFonts w:hint="cs"/>
          <w:rtl/>
        </w:rPr>
        <w:t xml:space="preserve">ועתה אומר נתניהו: "אבי הכביד את </w:t>
      </w:r>
      <w:bookmarkStart w:id="28940" w:name="_ETM_Q49_425000"/>
      <w:bookmarkEnd w:id="28940"/>
      <w:r>
        <w:rPr>
          <w:rFonts w:hint="cs"/>
          <w:rtl/>
        </w:rPr>
        <w:t>עֻלכם ואני אֹסיף על עֻלכם אבי</w:t>
      </w:r>
      <w:bookmarkStart w:id="28941" w:name="_ETM_Q49_413420"/>
      <w:bookmarkStart w:id="28942" w:name="_ETM_Q49_414939"/>
      <w:bookmarkStart w:id="28943" w:name="_ETM_Q49_415090"/>
      <w:bookmarkStart w:id="28944" w:name="_ETM_Q49_415480"/>
      <w:bookmarkStart w:id="28945" w:name="_ETM_Q49_417219"/>
      <w:bookmarkStart w:id="28946" w:name="_ETM_Q49_417879"/>
      <w:bookmarkStart w:id="28947" w:name="_ETM_Q49_418180"/>
      <w:bookmarkStart w:id="28948" w:name="_ETM_Q49_419580"/>
      <w:bookmarkStart w:id="28949" w:name="_ETM_Q49_420240"/>
      <w:bookmarkStart w:id="28950" w:name="_ETM_Q49_422120"/>
      <w:bookmarkStart w:id="28951" w:name="_ETM_Q49_422720"/>
      <w:bookmarkStart w:id="28952" w:name="_ETM_Q49_423050"/>
      <w:bookmarkStart w:id="28953" w:name="_ETM_Q49_423800"/>
      <w:bookmarkStart w:id="28954" w:name="_ETM_Q49_424280"/>
      <w:bookmarkStart w:id="28955" w:name="_ETM_Q49_424700"/>
      <w:bookmarkStart w:id="28956" w:name="_ETM_Q49_425599"/>
      <w:bookmarkStart w:id="28957" w:name="_ETM_Q49_426020"/>
      <w:bookmarkStart w:id="28958" w:name="_ETM_Q49_426560"/>
      <w:bookmarkStart w:id="28959" w:name="_ETM_Q49_426770"/>
      <w:bookmarkStart w:id="28960" w:name="_ETM_Q49_427550"/>
      <w:bookmarkStart w:id="28961" w:name="_ETM_Q49_427940"/>
      <w:bookmarkStart w:id="28962" w:name="_ETM_Q49_428239"/>
      <w:bookmarkStart w:id="28963" w:name="_ETM_Q49_428569"/>
      <w:bookmarkEnd w:id="28941"/>
      <w:bookmarkEnd w:id="28942"/>
      <w:bookmarkEnd w:id="28943"/>
      <w:bookmarkEnd w:id="28944"/>
      <w:bookmarkEnd w:id="28945"/>
      <w:bookmarkEnd w:id="28946"/>
      <w:bookmarkEnd w:id="28947"/>
      <w:bookmarkEnd w:id="28948"/>
      <w:bookmarkEnd w:id="28949"/>
      <w:bookmarkEnd w:id="28950"/>
      <w:bookmarkEnd w:id="28951"/>
      <w:bookmarkEnd w:id="28952"/>
      <w:bookmarkEnd w:id="28953"/>
      <w:bookmarkEnd w:id="28954"/>
      <w:bookmarkEnd w:id="28955"/>
      <w:bookmarkEnd w:id="28956"/>
      <w:bookmarkEnd w:id="28957"/>
      <w:bookmarkEnd w:id="28958"/>
      <w:bookmarkEnd w:id="28959"/>
      <w:bookmarkEnd w:id="28960"/>
      <w:bookmarkEnd w:id="28961"/>
      <w:bookmarkEnd w:id="28962"/>
      <w:bookmarkEnd w:id="28963"/>
      <w:r>
        <w:t> </w:t>
      </w:r>
      <w:r>
        <w:rPr>
          <w:rFonts w:hint="cs"/>
          <w:rtl/>
        </w:rPr>
        <w:t xml:space="preserve">יִסַּר אתכם בשוטים </w:t>
      </w:r>
      <w:bookmarkStart w:id="28964" w:name="_ETM_Q49_429609"/>
      <w:bookmarkEnd w:id="28964"/>
      <w:r>
        <w:rPr>
          <w:rFonts w:hint="cs"/>
          <w:rtl/>
        </w:rPr>
        <w:t xml:space="preserve">ואני </w:t>
      </w:r>
      <w:bookmarkStart w:id="28965" w:name="_ETM_Q49_430089"/>
      <w:bookmarkEnd w:id="28965"/>
      <w:r>
        <w:rPr>
          <w:rFonts w:hint="cs"/>
          <w:rtl/>
        </w:rPr>
        <w:t xml:space="preserve">איַסר </w:t>
      </w:r>
      <w:bookmarkStart w:id="28966" w:name="_ETM_Q49_430569"/>
      <w:bookmarkEnd w:id="28966"/>
      <w:r>
        <w:rPr>
          <w:rFonts w:hint="cs"/>
          <w:rtl/>
        </w:rPr>
        <w:t xml:space="preserve">אתכם </w:t>
      </w:r>
      <w:bookmarkStart w:id="28967" w:name="_ETM_Q49_430930"/>
      <w:bookmarkEnd w:id="28967"/>
      <w:r>
        <w:rPr>
          <w:rFonts w:hint="cs"/>
          <w:rtl/>
        </w:rPr>
        <w:t xml:space="preserve">בעקרבים". </w:t>
      </w:r>
      <w:bookmarkStart w:id="28968" w:name="_ETM_Q49_432749"/>
      <w:bookmarkEnd w:id="28968"/>
    </w:p>
    <w:p w:rsidR="00BB59CD" w:rsidRDefault="00BB59CD" w:rsidP="00BB59CD">
      <w:pPr>
        <w:rPr>
          <w:rtl/>
        </w:rPr>
      </w:pPr>
    </w:p>
    <w:p w:rsidR="00BB59CD" w:rsidRDefault="00BB59CD" w:rsidP="00AD5596">
      <w:pPr>
        <w:rPr>
          <w:rtl/>
        </w:rPr>
      </w:pPr>
      <w:r>
        <w:rPr>
          <w:rFonts w:hint="cs"/>
          <w:rtl/>
        </w:rPr>
        <w:t xml:space="preserve">את </w:t>
      </w:r>
      <w:bookmarkStart w:id="28969" w:name="_ETM_Q49_432930"/>
      <w:bookmarkEnd w:id="28969"/>
      <w:r>
        <w:rPr>
          <w:rFonts w:hint="cs"/>
          <w:rtl/>
        </w:rPr>
        <w:t xml:space="preserve">התוצאה </w:t>
      </w:r>
      <w:bookmarkStart w:id="28970" w:name="_ETM_Q49_434720"/>
      <w:bookmarkEnd w:id="28970"/>
      <w:r>
        <w:rPr>
          <w:rFonts w:hint="cs"/>
          <w:rtl/>
        </w:rPr>
        <w:t xml:space="preserve">אני </w:t>
      </w:r>
      <w:bookmarkStart w:id="28971" w:name="_ETM_Q49_435020"/>
      <w:bookmarkEnd w:id="28971"/>
      <w:r>
        <w:rPr>
          <w:rFonts w:hint="cs"/>
          <w:rtl/>
        </w:rPr>
        <w:t xml:space="preserve">בטוח </w:t>
      </w:r>
      <w:bookmarkStart w:id="28972" w:name="_ETM_Q49_435440"/>
      <w:bookmarkEnd w:id="28972"/>
      <w:r>
        <w:rPr>
          <w:rFonts w:hint="cs"/>
          <w:rtl/>
        </w:rPr>
        <w:t xml:space="preserve">שראש </w:t>
      </w:r>
      <w:bookmarkStart w:id="28973" w:name="_ETM_Q49_435740"/>
      <w:bookmarkEnd w:id="28973"/>
      <w:r>
        <w:rPr>
          <w:rFonts w:hint="cs"/>
          <w:rtl/>
        </w:rPr>
        <w:t xml:space="preserve">הממשלה </w:t>
      </w:r>
      <w:bookmarkStart w:id="28974" w:name="_ETM_Q49_436190"/>
      <w:bookmarkEnd w:id="28974"/>
      <w:r>
        <w:rPr>
          <w:rFonts w:hint="cs"/>
          <w:rtl/>
        </w:rPr>
        <w:t xml:space="preserve">נתניהו </w:t>
      </w:r>
      <w:bookmarkStart w:id="28975" w:name="_ETM_Q49_436700"/>
      <w:bookmarkEnd w:id="28975"/>
      <w:r>
        <w:rPr>
          <w:rFonts w:hint="cs"/>
          <w:rtl/>
        </w:rPr>
        <w:t xml:space="preserve">מכיר, </w:t>
      </w:r>
      <w:bookmarkStart w:id="28976" w:name="_ETM_Q49_437629"/>
      <w:bookmarkEnd w:id="28976"/>
      <w:r>
        <w:rPr>
          <w:rFonts w:hint="cs"/>
          <w:rtl/>
        </w:rPr>
        <w:t xml:space="preserve">וגם </w:t>
      </w:r>
      <w:bookmarkStart w:id="28977" w:name="_ETM_Q49_438020"/>
      <w:bookmarkEnd w:id="28977"/>
      <w:r>
        <w:rPr>
          <w:rFonts w:hint="cs"/>
          <w:rtl/>
        </w:rPr>
        <w:t xml:space="preserve">אתה, </w:t>
      </w:r>
      <w:bookmarkStart w:id="28978" w:name="_ETM_Q49_438229"/>
      <w:bookmarkEnd w:id="28978"/>
      <w:r>
        <w:rPr>
          <w:rFonts w:hint="cs"/>
          <w:rtl/>
        </w:rPr>
        <w:t xml:space="preserve">השר </w:t>
      </w:r>
      <w:bookmarkStart w:id="28979" w:name="_ETM_Q49_438529"/>
      <w:bookmarkEnd w:id="28979"/>
      <w:r>
        <w:rPr>
          <w:rFonts w:hint="cs"/>
          <w:rtl/>
        </w:rPr>
        <w:t xml:space="preserve">קרעי, </w:t>
      </w:r>
      <w:bookmarkStart w:id="28980" w:name="_ETM_Q49_439970"/>
      <w:bookmarkEnd w:id="28980"/>
      <w:r>
        <w:rPr>
          <w:rFonts w:hint="cs"/>
          <w:rtl/>
        </w:rPr>
        <w:t xml:space="preserve">וגם </w:t>
      </w:r>
      <w:bookmarkStart w:id="28981" w:name="_ETM_Q49_440360"/>
      <w:bookmarkEnd w:id="28981"/>
      <w:r>
        <w:rPr>
          <w:rFonts w:hint="cs"/>
          <w:rtl/>
        </w:rPr>
        <w:t xml:space="preserve">אתה, </w:t>
      </w:r>
      <w:bookmarkStart w:id="28982" w:name="_ETM_Q49_440600"/>
      <w:bookmarkEnd w:id="28982"/>
      <w:r>
        <w:rPr>
          <w:rFonts w:hint="cs"/>
          <w:rtl/>
        </w:rPr>
        <w:t xml:space="preserve">קפטן </w:t>
      </w:r>
      <w:bookmarkStart w:id="28983" w:name="_ETM_Q49_442230"/>
      <w:bookmarkEnd w:id="28983"/>
      <w:r>
        <w:rPr>
          <w:rFonts w:hint="cs"/>
          <w:rtl/>
        </w:rPr>
        <w:t xml:space="preserve">ואטורי. התוצאה </w:t>
      </w:r>
      <w:bookmarkStart w:id="28984" w:name="_ETM_Q49_442860"/>
      <w:bookmarkEnd w:id="28984"/>
      <w:r>
        <w:rPr>
          <w:rFonts w:hint="cs"/>
          <w:rtl/>
        </w:rPr>
        <w:t xml:space="preserve">היא </w:t>
      </w:r>
      <w:bookmarkStart w:id="28985" w:name="_ETM_Q49_443490"/>
      <w:bookmarkEnd w:id="28985"/>
      <w:r>
        <w:rPr>
          <w:rFonts w:hint="cs"/>
          <w:rtl/>
        </w:rPr>
        <w:t xml:space="preserve">התקוממות </w:t>
      </w:r>
      <w:bookmarkStart w:id="28986" w:name="_ETM_Q49_444150"/>
      <w:bookmarkEnd w:id="28986"/>
      <w:r>
        <w:rPr>
          <w:rFonts w:hint="cs"/>
          <w:rtl/>
        </w:rPr>
        <w:t xml:space="preserve">ישראל, </w:t>
      </w:r>
      <w:bookmarkStart w:id="28987" w:name="_ETM_Q49_445419"/>
      <w:bookmarkEnd w:id="28987"/>
      <w:r>
        <w:rPr>
          <w:rFonts w:hint="cs"/>
          <w:rtl/>
        </w:rPr>
        <w:t xml:space="preserve">התחלת </w:t>
      </w:r>
      <w:bookmarkStart w:id="28988" w:name="_ETM_Q49_446139"/>
      <w:bookmarkEnd w:id="28988"/>
      <w:r>
        <w:rPr>
          <w:rFonts w:hint="cs"/>
          <w:rtl/>
        </w:rPr>
        <w:t xml:space="preserve">הפיצול </w:t>
      </w:r>
      <w:bookmarkStart w:id="28989" w:name="_ETM_Q49_447099"/>
      <w:bookmarkEnd w:id="28989"/>
      <w:r>
        <w:rPr>
          <w:rFonts w:hint="cs"/>
          <w:rtl/>
        </w:rPr>
        <w:t xml:space="preserve">לשתי </w:t>
      </w:r>
      <w:bookmarkStart w:id="28990" w:name="_ETM_Q49_447520"/>
      <w:bookmarkEnd w:id="28990"/>
      <w:r>
        <w:rPr>
          <w:rFonts w:hint="cs"/>
          <w:rtl/>
        </w:rPr>
        <w:t xml:space="preserve">ממלכות </w:t>
      </w:r>
      <w:bookmarkStart w:id="28991" w:name="_ETM_Q49_448029"/>
      <w:bookmarkEnd w:id="28991"/>
      <w:r>
        <w:rPr>
          <w:rFonts w:hint="cs"/>
          <w:rtl/>
        </w:rPr>
        <w:t>נפרדות</w:t>
      </w:r>
      <w:bookmarkStart w:id="28992" w:name="_ETM_Q49_449170"/>
      <w:bookmarkEnd w:id="28992"/>
      <w:r w:rsidR="00AD5596">
        <w:rPr>
          <w:rFonts w:hint="cs"/>
          <w:rtl/>
        </w:rPr>
        <w:t>,</w:t>
      </w:r>
      <w:r>
        <w:rPr>
          <w:rFonts w:hint="cs"/>
          <w:rtl/>
        </w:rPr>
        <w:t xml:space="preserve"> ממלכת </w:t>
      </w:r>
      <w:bookmarkStart w:id="28993" w:name="_ETM_Q49_449680"/>
      <w:bookmarkEnd w:id="28993"/>
      <w:r>
        <w:rPr>
          <w:rFonts w:hint="cs"/>
          <w:rtl/>
        </w:rPr>
        <w:t xml:space="preserve">ישראל </w:t>
      </w:r>
      <w:bookmarkStart w:id="28994" w:name="_ETM_Q49_450130"/>
      <w:bookmarkEnd w:id="28994"/>
      <w:r>
        <w:rPr>
          <w:rFonts w:hint="cs"/>
          <w:rtl/>
        </w:rPr>
        <w:t xml:space="preserve">בצפון </w:t>
      </w:r>
      <w:bookmarkStart w:id="28995" w:name="_ETM_Q49_451240"/>
      <w:bookmarkEnd w:id="28995"/>
      <w:r>
        <w:rPr>
          <w:rFonts w:hint="cs"/>
          <w:rtl/>
        </w:rPr>
        <w:t xml:space="preserve">וממלכת </w:t>
      </w:r>
      <w:bookmarkStart w:id="28996" w:name="_ETM_Q49_452050"/>
      <w:bookmarkEnd w:id="28996"/>
      <w:r>
        <w:rPr>
          <w:rFonts w:hint="cs"/>
          <w:rtl/>
        </w:rPr>
        <w:t xml:space="preserve">יהודה </w:t>
      </w:r>
      <w:bookmarkStart w:id="28997" w:name="_ETM_Q49_452440"/>
      <w:bookmarkEnd w:id="28997"/>
      <w:r>
        <w:rPr>
          <w:rFonts w:hint="cs"/>
          <w:rtl/>
        </w:rPr>
        <w:t xml:space="preserve">בדרום. </w:t>
      </w:r>
      <w:bookmarkStart w:id="28998" w:name="_ETM_Q49_454469"/>
      <w:bookmarkEnd w:id="28998"/>
      <w:r>
        <w:rPr>
          <w:rFonts w:hint="cs"/>
          <w:rtl/>
        </w:rPr>
        <w:t xml:space="preserve">לשם, </w:t>
      </w:r>
      <w:bookmarkStart w:id="28999" w:name="_ETM_Q49_456270"/>
      <w:bookmarkEnd w:id="28999"/>
      <w:r>
        <w:rPr>
          <w:rFonts w:hint="cs"/>
          <w:rtl/>
        </w:rPr>
        <w:t xml:space="preserve">מר </w:t>
      </w:r>
      <w:bookmarkStart w:id="29000" w:name="_ETM_Q49_456539"/>
      <w:bookmarkEnd w:id="29000"/>
      <w:r>
        <w:rPr>
          <w:rFonts w:hint="cs"/>
          <w:rtl/>
        </w:rPr>
        <w:t xml:space="preserve">נתניהו, </w:t>
      </w:r>
      <w:bookmarkStart w:id="29001" w:name="_ETM_Q49_457800"/>
      <w:bookmarkEnd w:id="29001"/>
      <w:r>
        <w:rPr>
          <w:rFonts w:hint="cs"/>
          <w:rtl/>
        </w:rPr>
        <w:t xml:space="preserve">אתה </w:t>
      </w:r>
      <w:bookmarkStart w:id="29002" w:name="_ETM_Q49_458159"/>
      <w:bookmarkEnd w:id="29002"/>
      <w:r>
        <w:rPr>
          <w:rFonts w:hint="cs"/>
          <w:rtl/>
        </w:rPr>
        <w:t xml:space="preserve">רוצה </w:t>
      </w:r>
      <w:bookmarkStart w:id="29003" w:name="_ETM_Q49_458490"/>
      <w:bookmarkEnd w:id="29003"/>
      <w:r>
        <w:rPr>
          <w:rFonts w:hint="cs"/>
          <w:rtl/>
        </w:rPr>
        <w:t xml:space="preserve">להוביל </w:t>
      </w:r>
      <w:bookmarkStart w:id="29004" w:name="_ETM_Q49_458819"/>
      <w:bookmarkEnd w:id="29004"/>
      <w:r>
        <w:rPr>
          <w:rFonts w:hint="cs"/>
          <w:rtl/>
        </w:rPr>
        <w:t>אותנו</w:t>
      </w:r>
      <w:r w:rsidR="00AD5596">
        <w:rPr>
          <w:rFonts w:hint="cs"/>
          <w:rtl/>
        </w:rPr>
        <w:t>,</w:t>
      </w:r>
      <w:r>
        <w:rPr>
          <w:rFonts w:hint="cs"/>
          <w:rtl/>
        </w:rPr>
        <w:t xml:space="preserve"> </w:t>
      </w:r>
      <w:bookmarkStart w:id="29005" w:name="_ETM_Q49_460120"/>
      <w:bookmarkEnd w:id="29005"/>
      <w:r>
        <w:rPr>
          <w:rFonts w:hint="cs"/>
          <w:rtl/>
        </w:rPr>
        <w:t xml:space="preserve">לפירוד </w:t>
      </w:r>
      <w:bookmarkStart w:id="29006" w:name="_ETM_Q49_461470"/>
      <w:bookmarkEnd w:id="29006"/>
      <w:r>
        <w:rPr>
          <w:rFonts w:hint="cs"/>
          <w:rtl/>
        </w:rPr>
        <w:t xml:space="preserve">ולחלוקה? </w:t>
      </w:r>
      <w:bookmarkStart w:id="29007" w:name="_ETM_Q49_463589"/>
      <w:bookmarkEnd w:id="29007"/>
      <w:r>
        <w:rPr>
          <w:rFonts w:hint="cs"/>
          <w:rtl/>
        </w:rPr>
        <w:t xml:space="preserve">אז </w:t>
      </w:r>
      <w:bookmarkStart w:id="29008" w:name="_ETM_Q49_463740"/>
      <w:bookmarkEnd w:id="29008"/>
      <w:r>
        <w:rPr>
          <w:rFonts w:hint="cs"/>
          <w:rtl/>
        </w:rPr>
        <w:t xml:space="preserve">אני </w:t>
      </w:r>
      <w:bookmarkStart w:id="29009" w:name="_ETM_Q49_463889"/>
      <w:bookmarkEnd w:id="29009"/>
      <w:r>
        <w:rPr>
          <w:rFonts w:hint="cs"/>
          <w:rtl/>
        </w:rPr>
        <w:t xml:space="preserve">אומר </w:t>
      </w:r>
      <w:bookmarkStart w:id="29010" w:name="_ETM_Q49_464160"/>
      <w:bookmarkEnd w:id="29010"/>
      <w:r>
        <w:rPr>
          <w:rFonts w:hint="cs"/>
          <w:rtl/>
        </w:rPr>
        <w:t xml:space="preserve">לכם, </w:t>
      </w:r>
      <w:bookmarkStart w:id="29011" w:name="_ETM_Q49_465589"/>
      <w:bookmarkEnd w:id="29011"/>
      <w:r>
        <w:rPr>
          <w:rFonts w:hint="cs"/>
          <w:rtl/>
        </w:rPr>
        <w:t xml:space="preserve">זה </w:t>
      </w:r>
      <w:bookmarkStart w:id="29012" w:name="_ETM_Q49_465830"/>
      <w:bookmarkEnd w:id="29012"/>
      <w:r>
        <w:rPr>
          <w:rFonts w:hint="cs"/>
          <w:rtl/>
        </w:rPr>
        <w:t xml:space="preserve">לא </w:t>
      </w:r>
      <w:bookmarkStart w:id="29013" w:name="_ETM_Q49_465950"/>
      <w:bookmarkEnd w:id="29013"/>
      <w:r>
        <w:rPr>
          <w:rFonts w:hint="cs"/>
          <w:rtl/>
        </w:rPr>
        <w:t xml:space="preserve">יעבוד. </w:t>
      </w:r>
      <w:bookmarkStart w:id="29014" w:name="_ETM_Q49_467279"/>
      <w:bookmarkEnd w:id="29014"/>
      <w:r>
        <w:rPr>
          <w:rFonts w:hint="cs"/>
          <w:rtl/>
        </w:rPr>
        <w:t xml:space="preserve">לא </w:t>
      </w:r>
      <w:bookmarkStart w:id="29015" w:name="_ETM_Q49_467490"/>
      <w:bookmarkEnd w:id="29015"/>
      <w:r>
        <w:rPr>
          <w:rFonts w:hint="cs"/>
          <w:rtl/>
        </w:rPr>
        <w:t xml:space="preserve">ניתן </w:t>
      </w:r>
      <w:bookmarkStart w:id="29016" w:name="_ETM_Q49_467849"/>
      <w:bookmarkEnd w:id="29016"/>
      <w:r>
        <w:rPr>
          <w:rFonts w:hint="cs"/>
          <w:rtl/>
        </w:rPr>
        <w:t xml:space="preserve">לכם </w:t>
      </w:r>
      <w:bookmarkStart w:id="29017" w:name="_ETM_Q49_468569"/>
      <w:bookmarkEnd w:id="29017"/>
      <w:r>
        <w:rPr>
          <w:rFonts w:hint="cs"/>
          <w:rtl/>
        </w:rPr>
        <w:t xml:space="preserve">לפרק </w:t>
      </w:r>
      <w:bookmarkStart w:id="29018" w:name="_ETM_Q49_469020"/>
      <w:bookmarkEnd w:id="29018"/>
      <w:r>
        <w:rPr>
          <w:rFonts w:hint="cs"/>
          <w:rtl/>
        </w:rPr>
        <w:t xml:space="preserve">את </w:t>
      </w:r>
      <w:bookmarkStart w:id="29019" w:name="_ETM_Q49_469169"/>
      <w:bookmarkEnd w:id="29019"/>
      <w:r>
        <w:rPr>
          <w:rFonts w:hint="cs"/>
          <w:rtl/>
        </w:rPr>
        <w:t xml:space="preserve">המדינה. </w:t>
      </w:r>
      <w:bookmarkStart w:id="29020" w:name="_ETM_Q49_470200"/>
      <w:bookmarkEnd w:id="29020"/>
      <w:r>
        <w:rPr>
          <w:rFonts w:hint="cs"/>
          <w:rtl/>
        </w:rPr>
        <w:t xml:space="preserve">לא </w:t>
      </w:r>
      <w:bookmarkStart w:id="29021" w:name="_ETM_Q49_470350"/>
      <w:bookmarkEnd w:id="29021"/>
      <w:r>
        <w:rPr>
          <w:rFonts w:hint="cs"/>
          <w:rtl/>
        </w:rPr>
        <w:t xml:space="preserve">ניתן </w:t>
      </w:r>
      <w:bookmarkStart w:id="29022" w:name="_ETM_Q49_470680"/>
      <w:bookmarkEnd w:id="29022"/>
      <w:r>
        <w:rPr>
          <w:rFonts w:hint="cs"/>
          <w:rtl/>
        </w:rPr>
        <w:t xml:space="preserve">לראש </w:t>
      </w:r>
      <w:bookmarkStart w:id="29023" w:name="_ETM_Q49_470980"/>
      <w:bookmarkEnd w:id="29023"/>
      <w:r>
        <w:rPr>
          <w:rFonts w:hint="cs"/>
          <w:rtl/>
        </w:rPr>
        <w:t xml:space="preserve">הממשלה </w:t>
      </w:r>
      <w:bookmarkStart w:id="29024" w:name="_ETM_Q49_471460"/>
      <w:bookmarkEnd w:id="29024"/>
      <w:r>
        <w:rPr>
          <w:rFonts w:hint="cs"/>
          <w:rtl/>
        </w:rPr>
        <w:t xml:space="preserve">נתניהו </w:t>
      </w:r>
      <w:bookmarkStart w:id="29025" w:name="_ETM_Q49_472000"/>
      <w:bookmarkEnd w:id="29025"/>
      <w:r>
        <w:rPr>
          <w:rFonts w:hint="cs"/>
          <w:rtl/>
        </w:rPr>
        <w:t xml:space="preserve">לפרק </w:t>
      </w:r>
      <w:bookmarkStart w:id="29026" w:name="_ETM_Q49_472390"/>
      <w:bookmarkEnd w:id="29026"/>
      <w:r>
        <w:rPr>
          <w:rFonts w:hint="cs"/>
          <w:rtl/>
        </w:rPr>
        <w:t xml:space="preserve">את </w:t>
      </w:r>
      <w:bookmarkStart w:id="29027" w:name="_ETM_Q49_472510"/>
      <w:bookmarkEnd w:id="29027"/>
      <w:r>
        <w:rPr>
          <w:rFonts w:hint="cs"/>
          <w:rtl/>
        </w:rPr>
        <w:t xml:space="preserve">המדינה. </w:t>
      </w:r>
      <w:bookmarkStart w:id="29028" w:name="_ETM_Q49_473830"/>
      <w:bookmarkEnd w:id="29028"/>
      <w:r>
        <w:rPr>
          <w:rFonts w:hint="cs"/>
          <w:rtl/>
        </w:rPr>
        <w:t xml:space="preserve">לא </w:t>
      </w:r>
      <w:bookmarkStart w:id="29029" w:name="_ETM_Q49_474039"/>
      <w:bookmarkEnd w:id="29029"/>
      <w:r>
        <w:rPr>
          <w:rFonts w:hint="cs"/>
          <w:rtl/>
        </w:rPr>
        <w:t xml:space="preserve">ניתן </w:t>
      </w:r>
      <w:bookmarkStart w:id="29030" w:name="_ETM_Q49_474400"/>
      <w:bookmarkEnd w:id="29030"/>
      <w:r>
        <w:rPr>
          <w:rFonts w:hint="cs"/>
          <w:rtl/>
        </w:rPr>
        <w:t xml:space="preserve">לו </w:t>
      </w:r>
      <w:bookmarkStart w:id="29031" w:name="_ETM_Q49_474490"/>
      <w:bookmarkEnd w:id="29031"/>
      <w:r>
        <w:rPr>
          <w:rFonts w:hint="cs"/>
          <w:rtl/>
        </w:rPr>
        <w:t xml:space="preserve">להיות </w:t>
      </w:r>
      <w:bookmarkStart w:id="29032" w:name="_ETM_Q49_474789"/>
      <w:bookmarkEnd w:id="29032"/>
      <w:r>
        <w:rPr>
          <w:rFonts w:hint="cs"/>
          <w:rtl/>
        </w:rPr>
        <w:t xml:space="preserve">רחבעם. </w:t>
      </w:r>
      <w:bookmarkStart w:id="29033" w:name="_ETM_Q49_476230"/>
      <w:bookmarkEnd w:id="29033"/>
      <w:r>
        <w:rPr>
          <w:rFonts w:hint="cs"/>
          <w:rtl/>
        </w:rPr>
        <w:t xml:space="preserve">פשוט </w:t>
      </w:r>
      <w:bookmarkStart w:id="29034" w:name="_ETM_Q49_477629"/>
      <w:bookmarkEnd w:id="29034"/>
      <w:r>
        <w:rPr>
          <w:rFonts w:hint="cs"/>
          <w:rtl/>
        </w:rPr>
        <w:t xml:space="preserve">נחליף </w:t>
      </w:r>
      <w:bookmarkStart w:id="29035" w:name="_ETM_Q49_478020"/>
      <w:bookmarkEnd w:id="29035"/>
      <w:r>
        <w:rPr>
          <w:rFonts w:hint="cs"/>
          <w:rtl/>
        </w:rPr>
        <w:t xml:space="preserve">אותו. </w:t>
      </w:r>
      <w:bookmarkStart w:id="29036" w:name="_ETM_Q49_479250"/>
      <w:bookmarkEnd w:id="29036"/>
      <w:r>
        <w:rPr>
          <w:rFonts w:hint="cs"/>
          <w:rtl/>
        </w:rPr>
        <w:t xml:space="preserve">הממשלה </w:t>
      </w:r>
      <w:bookmarkStart w:id="29037" w:name="_ETM_Q49_479910"/>
      <w:bookmarkEnd w:id="29037"/>
      <w:r>
        <w:rPr>
          <w:rFonts w:hint="cs"/>
          <w:rtl/>
        </w:rPr>
        <w:t xml:space="preserve">הזו </w:t>
      </w:r>
      <w:bookmarkStart w:id="29038" w:name="_ETM_Q49_480669"/>
      <w:bookmarkEnd w:id="29038"/>
      <w:r>
        <w:rPr>
          <w:rFonts w:hint="cs"/>
          <w:rtl/>
        </w:rPr>
        <w:t xml:space="preserve">פשוט </w:t>
      </w:r>
      <w:bookmarkStart w:id="29039" w:name="_ETM_Q49_480000"/>
      <w:bookmarkEnd w:id="29039"/>
      <w:r>
        <w:rPr>
          <w:rFonts w:hint="cs"/>
          <w:rtl/>
        </w:rPr>
        <w:t xml:space="preserve">תוחלף. </w:t>
      </w:r>
      <w:bookmarkStart w:id="29040" w:name="_ETM_Q49_480510"/>
      <w:bookmarkStart w:id="29041" w:name="_ETM_Q49_481300"/>
      <w:bookmarkStart w:id="29042" w:name="_ETM_Q49_481689"/>
      <w:bookmarkStart w:id="29043" w:name="_ETM_Q49_483029"/>
      <w:bookmarkEnd w:id="29040"/>
      <w:bookmarkEnd w:id="29041"/>
      <w:bookmarkEnd w:id="29042"/>
      <w:bookmarkEnd w:id="29043"/>
      <w:r>
        <w:rPr>
          <w:rFonts w:hint="cs"/>
          <w:rtl/>
        </w:rPr>
        <w:t xml:space="preserve">זה </w:t>
      </w:r>
      <w:bookmarkStart w:id="29044" w:name="_ETM_Q49_483210"/>
      <w:bookmarkEnd w:id="29044"/>
      <w:r>
        <w:rPr>
          <w:rFonts w:hint="cs"/>
          <w:rtl/>
        </w:rPr>
        <w:t xml:space="preserve">ייקח </w:t>
      </w:r>
      <w:bookmarkStart w:id="29045" w:name="_ETM_Q49_483510"/>
      <w:bookmarkEnd w:id="29045"/>
      <w:r>
        <w:rPr>
          <w:rFonts w:hint="cs"/>
          <w:rtl/>
        </w:rPr>
        <w:t xml:space="preserve">עוד </w:t>
      </w:r>
      <w:bookmarkStart w:id="29046" w:name="_ETM_Q49_483630"/>
      <w:bookmarkEnd w:id="29046"/>
      <w:r>
        <w:rPr>
          <w:rFonts w:hint="cs"/>
          <w:rtl/>
        </w:rPr>
        <w:t xml:space="preserve">קצת </w:t>
      </w:r>
      <w:bookmarkStart w:id="29047" w:name="_ETM_Q49_483870"/>
      <w:bookmarkEnd w:id="29047"/>
      <w:r>
        <w:rPr>
          <w:rFonts w:hint="cs"/>
          <w:rtl/>
        </w:rPr>
        <w:t xml:space="preserve">זמן, </w:t>
      </w:r>
      <w:bookmarkStart w:id="29048" w:name="_ETM_Q49_484990"/>
      <w:bookmarkEnd w:id="29048"/>
      <w:r>
        <w:rPr>
          <w:rFonts w:hint="cs"/>
          <w:rtl/>
        </w:rPr>
        <w:t xml:space="preserve">אבל </w:t>
      </w:r>
      <w:bookmarkStart w:id="29049" w:name="_ETM_Q49_485290"/>
      <w:bookmarkEnd w:id="29049"/>
      <w:r>
        <w:rPr>
          <w:rFonts w:hint="cs"/>
          <w:rtl/>
        </w:rPr>
        <w:t xml:space="preserve">זה </w:t>
      </w:r>
      <w:bookmarkStart w:id="29050" w:name="_ETM_Q49_485439"/>
      <w:bookmarkEnd w:id="29050"/>
      <w:r>
        <w:rPr>
          <w:rFonts w:hint="cs"/>
          <w:rtl/>
        </w:rPr>
        <w:t>יגיע.</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תגלה - - -</w:t>
      </w:r>
    </w:p>
    <w:p w:rsidR="00BB59CD" w:rsidRDefault="00BB59CD" w:rsidP="00BB59CD">
      <w:pPr>
        <w:rPr>
          <w:rtl/>
        </w:rPr>
      </w:pPr>
    </w:p>
    <w:p w:rsidR="00BB59CD" w:rsidRDefault="00BB59CD" w:rsidP="00BB59CD">
      <w:pPr>
        <w:pStyle w:val="-"/>
        <w:keepNext/>
        <w:rPr>
          <w:rtl/>
        </w:rPr>
      </w:pPr>
      <w:bookmarkStart w:id="29051" w:name="ET_speakercontinue_5520_5"/>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051"/>
    </w:p>
    <w:p w:rsidR="00BB59CD" w:rsidRDefault="00BB59CD" w:rsidP="00337201">
      <w:pPr>
        <w:rPr>
          <w:rtl/>
        </w:rPr>
      </w:pPr>
    </w:p>
    <w:p w:rsidR="00BB59CD" w:rsidRDefault="00BB59CD" w:rsidP="00BB59CD">
      <w:pPr>
        <w:rPr>
          <w:rtl/>
        </w:rPr>
      </w:pPr>
      <w:bookmarkStart w:id="29052" w:name="_ETM_Q49_486570"/>
      <w:bookmarkEnd w:id="29052"/>
      <w:r>
        <w:rPr>
          <w:rFonts w:hint="cs"/>
          <w:rtl/>
        </w:rPr>
        <w:t xml:space="preserve">זה </w:t>
      </w:r>
      <w:bookmarkStart w:id="29053" w:name="_ETM_Q49_486779"/>
      <w:bookmarkEnd w:id="29053"/>
      <w:r>
        <w:rPr>
          <w:rFonts w:hint="cs"/>
          <w:rtl/>
        </w:rPr>
        <w:t xml:space="preserve">יגיע </w:t>
      </w:r>
      <w:bookmarkStart w:id="29054" w:name="_ETM_Q49_488070"/>
      <w:bookmarkStart w:id="29055" w:name="_ETM_Q49_488250"/>
      <w:bookmarkStart w:id="29056" w:name="_ETM_Q49_489210"/>
      <w:bookmarkEnd w:id="29054"/>
      <w:bookmarkEnd w:id="29055"/>
      <w:bookmarkEnd w:id="29056"/>
      <w:r>
        <w:rPr>
          <w:rFonts w:hint="cs"/>
          <w:rtl/>
        </w:rPr>
        <w:t xml:space="preserve">מהסיבה </w:t>
      </w:r>
      <w:bookmarkStart w:id="29057" w:name="_ETM_Q49_489839"/>
      <w:bookmarkEnd w:id="29057"/>
      <w:r>
        <w:rPr>
          <w:rFonts w:hint="cs"/>
          <w:rtl/>
        </w:rPr>
        <w:t xml:space="preserve">הפשוטה </w:t>
      </w:r>
      <w:bookmarkStart w:id="29058" w:name="_ETM_Q49_491049"/>
      <w:bookmarkEnd w:id="29058"/>
      <w:r>
        <w:rPr>
          <w:rFonts w:hint="cs"/>
          <w:rtl/>
        </w:rPr>
        <w:t xml:space="preserve">שהציבור, </w:t>
      </w:r>
      <w:bookmarkStart w:id="29059" w:name="_ETM_Q49_492559"/>
      <w:bookmarkEnd w:id="29059"/>
      <w:r>
        <w:rPr>
          <w:rFonts w:hint="cs"/>
          <w:rtl/>
        </w:rPr>
        <w:t xml:space="preserve">הציבור </w:t>
      </w:r>
      <w:bookmarkStart w:id="29060" w:name="_ETM_Q49_493669"/>
      <w:bookmarkEnd w:id="29060"/>
      <w:r>
        <w:rPr>
          <w:rFonts w:hint="cs"/>
          <w:rtl/>
        </w:rPr>
        <w:t xml:space="preserve">מאס </w:t>
      </w:r>
      <w:bookmarkStart w:id="29061" w:name="_ETM_Q49_494150"/>
      <w:bookmarkEnd w:id="29061"/>
      <w:r>
        <w:rPr>
          <w:rFonts w:hint="cs"/>
          <w:rtl/>
        </w:rPr>
        <w:t xml:space="preserve">בכם, מאס </w:t>
      </w:r>
      <w:bookmarkStart w:id="29062" w:name="_ETM_Q49_495670"/>
      <w:bookmarkEnd w:id="29062"/>
      <w:r>
        <w:rPr>
          <w:rFonts w:hint="cs"/>
          <w:rtl/>
        </w:rPr>
        <w:t xml:space="preserve">בהתנהלות </w:t>
      </w:r>
      <w:bookmarkStart w:id="29063" w:name="_ETM_Q49_496270"/>
      <w:bookmarkEnd w:id="29063"/>
      <w:r>
        <w:rPr>
          <w:rFonts w:hint="cs"/>
          <w:rtl/>
        </w:rPr>
        <w:t xml:space="preserve">שלכם, </w:t>
      </w:r>
      <w:bookmarkStart w:id="29064" w:name="_ETM_Q49_497120"/>
      <w:bookmarkEnd w:id="29064"/>
      <w:r>
        <w:rPr>
          <w:rFonts w:hint="cs"/>
          <w:rtl/>
        </w:rPr>
        <w:t xml:space="preserve">בדיוק </w:t>
      </w:r>
      <w:bookmarkStart w:id="29065" w:name="_ETM_Q49_497630"/>
      <w:bookmarkEnd w:id="29065"/>
      <w:r>
        <w:rPr>
          <w:rFonts w:hint="cs"/>
          <w:rtl/>
        </w:rPr>
        <w:t xml:space="preserve">כפי </w:t>
      </w:r>
      <w:bookmarkStart w:id="29066" w:name="_ETM_Q49_498410"/>
      <w:bookmarkStart w:id="29067" w:name="_ETM_Q49_498650"/>
      <w:bookmarkEnd w:id="29066"/>
      <w:bookmarkEnd w:id="29067"/>
      <w:r>
        <w:rPr>
          <w:rFonts w:hint="cs"/>
          <w:rtl/>
        </w:rPr>
        <w:t xml:space="preserve">שמאסו </w:t>
      </w:r>
      <w:bookmarkStart w:id="29068" w:name="_ETM_Q49_498950"/>
      <w:bookmarkEnd w:id="29068"/>
      <w:r>
        <w:rPr>
          <w:rFonts w:hint="cs"/>
          <w:rtl/>
        </w:rPr>
        <w:t xml:space="preserve">גם </w:t>
      </w:r>
      <w:bookmarkStart w:id="29069" w:name="_ETM_Q49_499160"/>
      <w:bookmarkEnd w:id="29069"/>
      <w:r>
        <w:rPr>
          <w:rFonts w:hint="cs"/>
          <w:rtl/>
        </w:rPr>
        <w:t>בעבר.</w:t>
      </w:r>
    </w:p>
    <w:p w:rsidR="00BB59CD" w:rsidRDefault="00BB59CD" w:rsidP="00BB59CD">
      <w:pPr>
        <w:rPr>
          <w:rtl/>
        </w:rPr>
      </w:pPr>
      <w:bookmarkStart w:id="29070" w:name="_ETM_Q49_500000"/>
      <w:bookmarkEnd w:id="29070"/>
    </w:p>
    <w:p w:rsidR="00BB59CD" w:rsidRDefault="00BB59CD" w:rsidP="00BB59CD">
      <w:pPr>
        <w:rPr>
          <w:rtl/>
        </w:rPr>
      </w:pPr>
      <w:bookmarkStart w:id="29071" w:name="_ETM_Q49_501000"/>
      <w:bookmarkStart w:id="29072" w:name="_ETM_Q49_500210"/>
      <w:bookmarkEnd w:id="29071"/>
      <w:bookmarkEnd w:id="29072"/>
      <w:r>
        <w:rPr>
          <w:rFonts w:hint="cs"/>
          <w:rtl/>
        </w:rPr>
        <w:t xml:space="preserve">אבל </w:t>
      </w:r>
      <w:bookmarkStart w:id="29073" w:name="_ETM_Q49_500539"/>
      <w:bookmarkEnd w:id="29073"/>
      <w:r>
        <w:rPr>
          <w:rFonts w:hint="cs"/>
          <w:rtl/>
        </w:rPr>
        <w:t xml:space="preserve">כן </w:t>
      </w:r>
      <w:bookmarkStart w:id="29074" w:name="_ETM_Q49_500779"/>
      <w:bookmarkEnd w:id="29074"/>
      <w:r>
        <w:rPr>
          <w:rFonts w:hint="cs"/>
          <w:rtl/>
        </w:rPr>
        <w:t xml:space="preserve">הייתי </w:t>
      </w:r>
      <w:bookmarkStart w:id="29075" w:name="_ETM_Q49_500990"/>
      <w:bookmarkEnd w:id="29075"/>
      <w:r>
        <w:rPr>
          <w:rFonts w:hint="cs"/>
          <w:rtl/>
        </w:rPr>
        <w:t xml:space="preserve">רוצה </w:t>
      </w:r>
      <w:bookmarkStart w:id="29076" w:name="_ETM_Q49_501230"/>
      <w:bookmarkEnd w:id="29076"/>
      <w:r>
        <w:rPr>
          <w:rFonts w:hint="cs"/>
          <w:rtl/>
        </w:rPr>
        <w:t xml:space="preserve">לשאול </w:t>
      </w:r>
      <w:bookmarkStart w:id="29077" w:name="_ETM_Q49_501529"/>
      <w:bookmarkEnd w:id="29077"/>
      <w:r>
        <w:rPr>
          <w:rFonts w:hint="cs"/>
          <w:rtl/>
        </w:rPr>
        <w:t>שאלה את</w:t>
      </w:r>
      <w:bookmarkStart w:id="29078" w:name="_ETM_Q49_503770"/>
      <w:bookmarkEnd w:id="29078"/>
      <w:r>
        <w:rPr>
          <w:rFonts w:hint="cs"/>
          <w:rtl/>
        </w:rPr>
        <w:t xml:space="preserve"> </w:t>
      </w:r>
      <w:bookmarkStart w:id="29079" w:name="_ETM_Q49_504000"/>
      <w:bookmarkEnd w:id="29079"/>
      <w:r>
        <w:rPr>
          <w:rFonts w:hint="cs"/>
          <w:rtl/>
        </w:rPr>
        <w:t xml:space="preserve">חברי </w:t>
      </w:r>
      <w:bookmarkStart w:id="29080" w:name="_ETM_Q49_504250"/>
      <w:bookmarkEnd w:id="29080"/>
      <w:r>
        <w:rPr>
          <w:rFonts w:hint="cs"/>
          <w:rtl/>
        </w:rPr>
        <w:t xml:space="preserve">הכנסת </w:t>
      </w:r>
      <w:bookmarkStart w:id="29081" w:name="_ETM_Q49_504580"/>
      <w:bookmarkEnd w:id="29081"/>
      <w:r>
        <w:rPr>
          <w:rFonts w:hint="cs"/>
          <w:rtl/>
        </w:rPr>
        <w:t xml:space="preserve">מהליכוד שלא </w:t>
      </w:r>
      <w:bookmarkStart w:id="29082" w:name="_ETM_Q49_504760"/>
      <w:bookmarkEnd w:id="29082"/>
      <w:r>
        <w:rPr>
          <w:rFonts w:hint="cs"/>
          <w:rtl/>
        </w:rPr>
        <w:t xml:space="preserve">נמצאים </w:t>
      </w:r>
      <w:bookmarkStart w:id="29083" w:name="_ETM_Q49_505180"/>
      <w:bookmarkEnd w:id="29083"/>
      <w:r>
        <w:rPr>
          <w:rFonts w:hint="cs"/>
          <w:rtl/>
        </w:rPr>
        <w:t>כאן</w:t>
      </w:r>
      <w:bookmarkStart w:id="29084" w:name="_ETM_Q49_506130"/>
      <w:bookmarkStart w:id="29085" w:name="_ETM_Q49_507539"/>
      <w:bookmarkEnd w:id="29084"/>
      <w:bookmarkEnd w:id="29085"/>
      <w:r>
        <w:rPr>
          <w:rFonts w:hint="cs"/>
          <w:rtl/>
        </w:rPr>
        <w:t xml:space="preserve">, שאני </w:t>
      </w:r>
      <w:bookmarkStart w:id="29086" w:name="_ETM_Q49_507839"/>
      <w:bookmarkEnd w:id="29086"/>
      <w:r>
        <w:rPr>
          <w:rFonts w:hint="cs"/>
          <w:rtl/>
        </w:rPr>
        <w:t xml:space="preserve">יודע </w:t>
      </w:r>
      <w:bookmarkStart w:id="29087" w:name="_ETM_Q49_508079"/>
      <w:bookmarkEnd w:id="29087"/>
      <w:r>
        <w:rPr>
          <w:rFonts w:hint="cs"/>
          <w:rtl/>
        </w:rPr>
        <w:t xml:space="preserve">מה </w:t>
      </w:r>
      <w:bookmarkStart w:id="29088" w:name="_ETM_Q49_508199"/>
      <w:bookmarkEnd w:id="29088"/>
      <w:r>
        <w:rPr>
          <w:rFonts w:hint="cs"/>
          <w:rtl/>
        </w:rPr>
        <w:t xml:space="preserve">הם </w:t>
      </w:r>
      <w:bookmarkStart w:id="29089" w:name="_ETM_Q49_508259"/>
      <w:bookmarkEnd w:id="29089"/>
      <w:r>
        <w:rPr>
          <w:rFonts w:hint="cs"/>
          <w:rtl/>
        </w:rPr>
        <w:t xml:space="preserve">חושבים, </w:t>
      </w:r>
      <w:bookmarkStart w:id="29090" w:name="_ETM_Q49_509800"/>
      <w:bookmarkEnd w:id="29090"/>
      <w:r>
        <w:rPr>
          <w:rFonts w:hint="cs"/>
          <w:rtl/>
        </w:rPr>
        <w:t xml:space="preserve">אני </w:t>
      </w:r>
      <w:bookmarkStart w:id="29091" w:name="_ETM_Q49_510160"/>
      <w:bookmarkEnd w:id="29091"/>
      <w:r>
        <w:rPr>
          <w:rFonts w:hint="cs"/>
          <w:rtl/>
        </w:rPr>
        <w:t xml:space="preserve">יודע </w:t>
      </w:r>
      <w:bookmarkStart w:id="29092" w:name="_ETM_Q49_510490"/>
      <w:bookmarkEnd w:id="29092"/>
      <w:r>
        <w:rPr>
          <w:rFonts w:hint="cs"/>
          <w:rtl/>
        </w:rPr>
        <w:t xml:space="preserve">מה </w:t>
      </w:r>
      <w:bookmarkStart w:id="29093" w:name="_ETM_Q49_510640"/>
      <w:bookmarkEnd w:id="29093"/>
      <w:r>
        <w:rPr>
          <w:rFonts w:hint="cs"/>
          <w:rtl/>
        </w:rPr>
        <w:t xml:space="preserve">הם </w:t>
      </w:r>
      <w:bookmarkStart w:id="29094" w:name="_ETM_Q49_510730"/>
      <w:bookmarkEnd w:id="29094"/>
      <w:r>
        <w:rPr>
          <w:rFonts w:hint="cs"/>
          <w:rtl/>
        </w:rPr>
        <w:t xml:space="preserve">חושבים </w:t>
      </w:r>
      <w:bookmarkStart w:id="29095" w:name="_ETM_Q49_511089"/>
      <w:bookmarkEnd w:id="29095"/>
      <w:r>
        <w:rPr>
          <w:rFonts w:hint="cs"/>
          <w:rtl/>
        </w:rPr>
        <w:t xml:space="preserve">על </w:t>
      </w:r>
      <w:bookmarkStart w:id="29096" w:name="_ETM_Q49_511179"/>
      <w:bookmarkEnd w:id="29096"/>
      <w:r>
        <w:rPr>
          <w:rFonts w:hint="cs"/>
          <w:rtl/>
        </w:rPr>
        <w:t xml:space="preserve">מדינת </w:t>
      </w:r>
      <w:bookmarkStart w:id="29097" w:name="_ETM_Q49_511509"/>
      <w:bookmarkEnd w:id="29097"/>
      <w:r>
        <w:rPr>
          <w:rFonts w:hint="cs"/>
          <w:rtl/>
        </w:rPr>
        <w:t xml:space="preserve">ישראל </w:t>
      </w:r>
      <w:bookmarkStart w:id="29098" w:name="_ETM_Q49_511960"/>
      <w:bookmarkEnd w:id="29098"/>
      <w:r>
        <w:rPr>
          <w:rFonts w:hint="cs"/>
          <w:rtl/>
        </w:rPr>
        <w:t xml:space="preserve">וכמה </w:t>
      </w:r>
      <w:bookmarkStart w:id="29099" w:name="_ETM_Q49_512290"/>
      <w:bookmarkEnd w:id="29099"/>
      <w:r>
        <w:rPr>
          <w:rFonts w:hint="cs"/>
          <w:rtl/>
        </w:rPr>
        <w:t xml:space="preserve">היא </w:t>
      </w:r>
      <w:bookmarkStart w:id="29100" w:name="_ETM_Q49_512379"/>
      <w:bookmarkEnd w:id="29100"/>
      <w:r>
        <w:rPr>
          <w:rFonts w:hint="cs"/>
          <w:rtl/>
        </w:rPr>
        <w:t xml:space="preserve">חשובה </w:t>
      </w:r>
      <w:bookmarkStart w:id="29101" w:name="_ETM_Q49_512770"/>
      <w:bookmarkEnd w:id="29101"/>
      <w:r>
        <w:rPr>
          <w:rFonts w:hint="cs"/>
          <w:rtl/>
        </w:rPr>
        <w:t xml:space="preserve">להם. </w:t>
      </w:r>
      <w:bookmarkStart w:id="29102" w:name="_ETM_Q49_514180"/>
      <w:bookmarkEnd w:id="29102"/>
      <w:r>
        <w:rPr>
          <w:rFonts w:hint="cs"/>
          <w:rtl/>
        </w:rPr>
        <w:t xml:space="preserve">אני </w:t>
      </w:r>
      <w:bookmarkStart w:id="29103" w:name="_ETM_Q49_514360"/>
      <w:bookmarkEnd w:id="29103"/>
      <w:r>
        <w:rPr>
          <w:rFonts w:hint="cs"/>
          <w:rtl/>
        </w:rPr>
        <w:t xml:space="preserve">רוצה </w:t>
      </w:r>
      <w:bookmarkStart w:id="29104" w:name="_ETM_Q49_514540"/>
      <w:bookmarkEnd w:id="29104"/>
      <w:r>
        <w:rPr>
          <w:rFonts w:hint="cs"/>
          <w:rtl/>
        </w:rPr>
        <w:t xml:space="preserve">לשאול </w:t>
      </w:r>
      <w:bookmarkStart w:id="29105" w:name="_ETM_Q49_514839"/>
      <w:bookmarkEnd w:id="29105"/>
      <w:r>
        <w:rPr>
          <w:rFonts w:hint="cs"/>
          <w:rtl/>
        </w:rPr>
        <w:t xml:space="preserve">את </w:t>
      </w:r>
      <w:bookmarkStart w:id="29106" w:name="_ETM_Q49_514930"/>
      <w:bookmarkEnd w:id="29106"/>
      <w:r>
        <w:rPr>
          <w:rFonts w:hint="cs"/>
          <w:rtl/>
        </w:rPr>
        <w:t xml:space="preserve">יולי </w:t>
      </w:r>
      <w:bookmarkStart w:id="29107" w:name="_ETM_Q49_515200"/>
      <w:bookmarkEnd w:id="29107"/>
      <w:r>
        <w:rPr>
          <w:rFonts w:hint="cs"/>
          <w:rtl/>
        </w:rPr>
        <w:t xml:space="preserve">אדלשטיין: </w:t>
      </w:r>
      <w:bookmarkStart w:id="29108" w:name="_ETM_Q49_515680"/>
      <w:bookmarkEnd w:id="29108"/>
      <w:r>
        <w:rPr>
          <w:rFonts w:hint="cs"/>
          <w:rtl/>
        </w:rPr>
        <w:t xml:space="preserve">חבר </w:t>
      </w:r>
      <w:bookmarkStart w:id="29109" w:name="_ETM_Q49_515920"/>
      <w:bookmarkEnd w:id="29109"/>
      <w:r>
        <w:rPr>
          <w:rFonts w:hint="cs"/>
          <w:rtl/>
        </w:rPr>
        <w:t xml:space="preserve">הכנסת </w:t>
      </w:r>
      <w:bookmarkStart w:id="29110" w:name="_ETM_Q49_516279"/>
      <w:bookmarkEnd w:id="29110"/>
      <w:r>
        <w:rPr>
          <w:rFonts w:hint="cs"/>
          <w:rtl/>
        </w:rPr>
        <w:t xml:space="preserve">אדלשטיין, </w:t>
      </w:r>
      <w:bookmarkStart w:id="29111" w:name="_ETM_Q49_518239"/>
      <w:bookmarkEnd w:id="29111"/>
      <w:r>
        <w:rPr>
          <w:rFonts w:hint="cs"/>
          <w:rtl/>
        </w:rPr>
        <w:t xml:space="preserve">היית </w:t>
      </w:r>
      <w:bookmarkStart w:id="29112" w:name="_ETM_Q49_518540"/>
      <w:bookmarkEnd w:id="29112"/>
      <w:r>
        <w:rPr>
          <w:rFonts w:hint="cs"/>
          <w:rtl/>
        </w:rPr>
        <w:t xml:space="preserve">אסיר </w:t>
      </w:r>
      <w:bookmarkStart w:id="29113" w:name="_ETM_Q49_518809"/>
      <w:bookmarkEnd w:id="29113"/>
      <w:r>
        <w:rPr>
          <w:rFonts w:hint="cs"/>
          <w:rtl/>
        </w:rPr>
        <w:t xml:space="preserve">ציון, </w:t>
      </w:r>
      <w:bookmarkStart w:id="29114" w:name="_ETM_Q49_520970"/>
      <w:bookmarkEnd w:id="29114"/>
      <w:r>
        <w:rPr>
          <w:rFonts w:hint="cs"/>
          <w:rtl/>
        </w:rPr>
        <w:t xml:space="preserve">ישבת </w:t>
      </w:r>
      <w:bookmarkStart w:id="29115" w:name="_ETM_Q49_521360"/>
      <w:bookmarkEnd w:id="29115"/>
      <w:r>
        <w:rPr>
          <w:rFonts w:hint="cs"/>
          <w:rtl/>
        </w:rPr>
        <w:t xml:space="preserve">בבית </w:t>
      </w:r>
      <w:bookmarkStart w:id="29116" w:name="_ETM_Q49_521690"/>
      <w:bookmarkEnd w:id="29116"/>
      <w:r>
        <w:rPr>
          <w:rFonts w:hint="cs"/>
          <w:rtl/>
        </w:rPr>
        <w:t xml:space="preserve">הסוהר </w:t>
      </w:r>
      <w:bookmarkStart w:id="29117" w:name="_ETM_Q49_522140"/>
      <w:bookmarkEnd w:id="29117"/>
      <w:r>
        <w:rPr>
          <w:rFonts w:hint="cs"/>
          <w:rtl/>
        </w:rPr>
        <w:t xml:space="preserve">כדי </w:t>
      </w:r>
      <w:bookmarkStart w:id="29118" w:name="_ETM_Q49_522440"/>
      <w:bookmarkEnd w:id="29118"/>
      <w:r>
        <w:rPr>
          <w:rFonts w:hint="cs"/>
          <w:rtl/>
        </w:rPr>
        <w:t xml:space="preserve">לעלות </w:t>
      </w:r>
      <w:bookmarkStart w:id="29119" w:name="_ETM_Q49_522860"/>
      <w:bookmarkEnd w:id="29119"/>
      <w:r>
        <w:rPr>
          <w:rFonts w:hint="cs"/>
          <w:rtl/>
        </w:rPr>
        <w:t xml:space="preserve">למדינת </w:t>
      </w:r>
      <w:bookmarkStart w:id="29120" w:name="_ETM_Q49_523339"/>
      <w:bookmarkEnd w:id="29120"/>
      <w:r>
        <w:rPr>
          <w:rFonts w:hint="cs"/>
          <w:rtl/>
        </w:rPr>
        <w:t xml:space="preserve">ישראל. </w:t>
      </w:r>
      <w:bookmarkStart w:id="29121" w:name="_ETM_Q49_525020"/>
      <w:bookmarkEnd w:id="29121"/>
      <w:r>
        <w:rPr>
          <w:rFonts w:hint="cs"/>
          <w:rtl/>
        </w:rPr>
        <w:t xml:space="preserve">אתה </w:t>
      </w:r>
      <w:bookmarkStart w:id="29122" w:name="_ETM_Q49_525350"/>
      <w:bookmarkEnd w:id="29122"/>
      <w:r>
        <w:rPr>
          <w:rFonts w:hint="cs"/>
          <w:rtl/>
        </w:rPr>
        <w:t xml:space="preserve">יודע </w:t>
      </w:r>
      <w:bookmarkStart w:id="29123" w:name="_ETM_Q49_525890"/>
      <w:bookmarkEnd w:id="29123"/>
      <w:r>
        <w:rPr>
          <w:rFonts w:hint="cs"/>
          <w:rtl/>
        </w:rPr>
        <w:t xml:space="preserve">מה </w:t>
      </w:r>
      <w:bookmarkStart w:id="29124" w:name="_ETM_Q49_526130"/>
      <w:bookmarkEnd w:id="29124"/>
      <w:r>
        <w:rPr>
          <w:rFonts w:hint="cs"/>
          <w:rtl/>
        </w:rPr>
        <w:t xml:space="preserve">המשמעות </w:t>
      </w:r>
      <w:bookmarkStart w:id="29125" w:name="_ETM_Q49_527670"/>
      <w:bookmarkEnd w:id="29125"/>
      <w:r>
        <w:rPr>
          <w:rFonts w:hint="cs"/>
          <w:rtl/>
        </w:rPr>
        <w:t xml:space="preserve">של </w:t>
      </w:r>
      <w:bookmarkStart w:id="29126" w:name="_ETM_Q49_527940"/>
      <w:bookmarkEnd w:id="29126"/>
      <w:r>
        <w:rPr>
          <w:rFonts w:hint="cs"/>
          <w:rtl/>
        </w:rPr>
        <w:t xml:space="preserve">שלטון </w:t>
      </w:r>
      <w:bookmarkStart w:id="29127" w:name="_ETM_Q49_529199"/>
      <w:bookmarkEnd w:id="29127"/>
      <w:r>
        <w:rPr>
          <w:rFonts w:hint="cs"/>
          <w:rtl/>
        </w:rPr>
        <w:t xml:space="preserve">שהוא </w:t>
      </w:r>
      <w:bookmarkStart w:id="29128" w:name="_ETM_Q49_529469"/>
      <w:bookmarkEnd w:id="29128"/>
      <w:r>
        <w:rPr>
          <w:rFonts w:hint="cs"/>
          <w:rtl/>
        </w:rPr>
        <w:t xml:space="preserve">לא </w:t>
      </w:r>
      <w:bookmarkStart w:id="29129" w:name="_ETM_Q49_529589"/>
      <w:bookmarkEnd w:id="29129"/>
      <w:r>
        <w:rPr>
          <w:rFonts w:hint="cs"/>
          <w:rtl/>
        </w:rPr>
        <w:t xml:space="preserve">דמוקרטי, </w:t>
      </w:r>
      <w:bookmarkStart w:id="29130" w:name="_ETM_Q49_531160"/>
      <w:bookmarkEnd w:id="29130"/>
      <w:r>
        <w:rPr>
          <w:rFonts w:hint="cs"/>
          <w:rtl/>
        </w:rPr>
        <w:t xml:space="preserve">של </w:t>
      </w:r>
      <w:bookmarkStart w:id="29131" w:name="_ETM_Q49_531400"/>
      <w:bookmarkEnd w:id="29131"/>
      <w:r>
        <w:rPr>
          <w:rFonts w:hint="cs"/>
          <w:rtl/>
        </w:rPr>
        <w:t xml:space="preserve">שלטון </w:t>
      </w:r>
      <w:bookmarkStart w:id="29132" w:name="_ETM_Q49_531850"/>
      <w:bookmarkEnd w:id="29132"/>
      <w:r>
        <w:rPr>
          <w:rFonts w:hint="cs"/>
          <w:rtl/>
        </w:rPr>
        <w:t xml:space="preserve">מחשבות. </w:t>
      </w:r>
      <w:bookmarkStart w:id="29133" w:name="_ETM_Q49_532989"/>
      <w:bookmarkEnd w:id="29133"/>
      <w:r>
        <w:rPr>
          <w:rFonts w:hint="cs"/>
          <w:rtl/>
        </w:rPr>
        <w:t xml:space="preserve">אתה </w:t>
      </w:r>
      <w:bookmarkStart w:id="29134" w:name="_ETM_Q49_533290"/>
      <w:bookmarkEnd w:id="29134"/>
      <w:r>
        <w:rPr>
          <w:rFonts w:hint="cs"/>
          <w:rtl/>
        </w:rPr>
        <w:t xml:space="preserve">יודע </w:t>
      </w:r>
      <w:bookmarkStart w:id="29135" w:name="_ETM_Q49_533650"/>
      <w:bookmarkEnd w:id="29135"/>
      <w:r>
        <w:rPr>
          <w:rFonts w:hint="cs"/>
          <w:rtl/>
        </w:rPr>
        <w:t xml:space="preserve">מה </w:t>
      </w:r>
      <w:bookmarkStart w:id="29136" w:name="_ETM_Q49_533860"/>
      <w:bookmarkEnd w:id="29136"/>
      <w:r>
        <w:rPr>
          <w:rFonts w:hint="cs"/>
          <w:rtl/>
        </w:rPr>
        <w:t xml:space="preserve">המשמעות </w:t>
      </w:r>
      <w:bookmarkStart w:id="29137" w:name="_ETM_Q49_535079"/>
      <w:bookmarkEnd w:id="29137"/>
      <w:r>
        <w:rPr>
          <w:rFonts w:hint="cs"/>
          <w:rtl/>
        </w:rPr>
        <w:t xml:space="preserve">של </w:t>
      </w:r>
      <w:bookmarkStart w:id="29138" w:name="_ETM_Q49_535319"/>
      <w:bookmarkEnd w:id="29138"/>
      <w:r>
        <w:rPr>
          <w:rFonts w:hint="cs"/>
          <w:rtl/>
        </w:rPr>
        <w:t xml:space="preserve">צמצום </w:t>
      </w:r>
      <w:bookmarkStart w:id="29139" w:name="_ETM_Q49_535769"/>
      <w:bookmarkEnd w:id="29139"/>
      <w:r>
        <w:rPr>
          <w:rFonts w:hint="cs"/>
          <w:rtl/>
        </w:rPr>
        <w:t xml:space="preserve">החופש </w:t>
      </w:r>
      <w:bookmarkStart w:id="29140" w:name="_ETM_Q49_536159"/>
      <w:bookmarkEnd w:id="29140"/>
      <w:r>
        <w:rPr>
          <w:rFonts w:hint="cs"/>
          <w:rtl/>
        </w:rPr>
        <w:t xml:space="preserve">של </w:t>
      </w:r>
      <w:bookmarkStart w:id="29141" w:name="_ETM_Q49_536309"/>
      <w:bookmarkEnd w:id="29141"/>
      <w:r>
        <w:rPr>
          <w:rFonts w:hint="cs"/>
          <w:rtl/>
        </w:rPr>
        <w:t xml:space="preserve">האזרחים. </w:t>
      </w:r>
      <w:bookmarkStart w:id="29142" w:name="_ETM_Q49_537640"/>
      <w:bookmarkEnd w:id="29142"/>
      <w:r>
        <w:rPr>
          <w:rFonts w:hint="cs"/>
          <w:rtl/>
        </w:rPr>
        <w:t xml:space="preserve">אתה </w:t>
      </w:r>
      <w:bookmarkStart w:id="29143" w:name="_ETM_Q49_537940"/>
      <w:bookmarkEnd w:id="29143"/>
      <w:r>
        <w:rPr>
          <w:rFonts w:hint="cs"/>
          <w:rtl/>
        </w:rPr>
        <w:t xml:space="preserve">יודע </w:t>
      </w:r>
      <w:bookmarkStart w:id="29144" w:name="_ETM_Q49_538360"/>
      <w:bookmarkEnd w:id="29144"/>
      <w:r>
        <w:rPr>
          <w:rFonts w:hint="cs"/>
          <w:rtl/>
        </w:rPr>
        <w:t xml:space="preserve">מה </w:t>
      </w:r>
      <w:bookmarkStart w:id="29145" w:name="_ETM_Q49_538510"/>
      <w:bookmarkEnd w:id="29145"/>
      <w:r>
        <w:rPr>
          <w:rFonts w:hint="cs"/>
          <w:rtl/>
        </w:rPr>
        <w:t xml:space="preserve">המשמעות </w:t>
      </w:r>
      <w:bookmarkStart w:id="29146" w:name="_ETM_Q49_539079"/>
      <w:bookmarkEnd w:id="29146"/>
      <w:r>
        <w:rPr>
          <w:rFonts w:hint="cs"/>
          <w:rtl/>
        </w:rPr>
        <w:t xml:space="preserve">של </w:t>
      </w:r>
      <w:bookmarkStart w:id="29147" w:name="_ETM_Q49_539230"/>
      <w:bookmarkEnd w:id="29147"/>
      <w:r>
        <w:rPr>
          <w:rFonts w:hint="cs"/>
          <w:rtl/>
        </w:rPr>
        <w:t xml:space="preserve">כוח </w:t>
      </w:r>
      <w:bookmarkStart w:id="29148" w:name="_ETM_Q49_539559"/>
      <w:bookmarkEnd w:id="29148"/>
      <w:r>
        <w:rPr>
          <w:rFonts w:hint="cs"/>
          <w:rtl/>
        </w:rPr>
        <w:t xml:space="preserve">בלתי </w:t>
      </w:r>
      <w:bookmarkStart w:id="29149" w:name="_ETM_Q49_540010"/>
      <w:bookmarkEnd w:id="29149"/>
      <w:r>
        <w:rPr>
          <w:rFonts w:hint="cs"/>
          <w:rtl/>
        </w:rPr>
        <w:t xml:space="preserve">נשלט </w:t>
      </w:r>
      <w:bookmarkStart w:id="29150" w:name="_ETM_Q49_540430"/>
      <w:bookmarkEnd w:id="29150"/>
      <w:r>
        <w:rPr>
          <w:rFonts w:hint="cs"/>
          <w:rtl/>
        </w:rPr>
        <w:t xml:space="preserve">שניתן </w:t>
      </w:r>
      <w:bookmarkStart w:id="29151" w:name="_ETM_Q49_540940"/>
      <w:bookmarkEnd w:id="29151"/>
      <w:r>
        <w:rPr>
          <w:rFonts w:hint="cs"/>
          <w:rtl/>
        </w:rPr>
        <w:t xml:space="preserve">לממשלה. </w:t>
      </w:r>
      <w:bookmarkStart w:id="29152" w:name="_ETM_Q49_542760"/>
      <w:bookmarkEnd w:id="29152"/>
      <w:r>
        <w:rPr>
          <w:rFonts w:hint="cs"/>
          <w:rtl/>
        </w:rPr>
        <w:t xml:space="preserve">אתה </w:t>
      </w:r>
      <w:bookmarkStart w:id="29153" w:name="_ETM_Q49_542999"/>
      <w:bookmarkEnd w:id="29153"/>
      <w:r>
        <w:rPr>
          <w:rFonts w:hint="cs"/>
          <w:rtl/>
        </w:rPr>
        <w:t xml:space="preserve">יודע. </w:t>
      </w:r>
      <w:bookmarkStart w:id="29154" w:name="_ETM_Q49_545060"/>
      <w:bookmarkEnd w:id="29154"/>
      <w:r>
        <w:rPr>
          <w:rFonts w:hint="cs"/>
          <w:rtl/>
        </w:rPr>
        <w:t xml:space="preserve">אתה </w:t>
      </w:r>
      <w:bookmarkStart w:id="29155" w:name="_ETM_Q49_545390"/>
      <w:bookmarkEnd w:id="29155"/>
      <w:r>
        <w:rPr>
          <w:rFonts w:hint="cs"/>
          <w:rtl/>
        </w:rPr>
        <w:t xml:space="preserve">גם </w:t>
      </w:r>
      <w:bookmarkStart w:id="29156" w:name="_ETM_Q49_545540"/>
      <w:bookmarkEnd w:id="29156"/>
      <w:r>
        <w:rPr>
          <w:rFonts w:hint="cs"/>
          <w:rtl/>
        </w:rPr>
        <w:t xml:space="preserve">התבטאת </w:t>
      </w:r>
      <w:bookmarkStart w:id="29157" w:name="_ETM_Q49_546170"/>
      <w:bookmarkEnd w:id="29157"/>
      <w:r>
        <w:rPr>
          <w:rFonts w:hint="cs"/>
          <w:rtl/>
        </w:rPr>
        <w:t xml:space="preserve">בעבר </w:t>
      </w:r>
      <w:bookmarkStart w:id="29158" w:name="_ETM_Q49_547750"/>
      <w:bookmarkEnd w:id="29158"/>
      <w:r>
        <w:rPr>
          <w:rFonts w:hint="cs"/>
          <w:rtl/>
        </w:rPr>
        <w:t xml:space="preserve">שאתה </w:t>
      </w:r>
      <w:bookmarkStart w:id="29159" w:name="_ETM_Q49_548170"/>
      <w:bookmarkEnd w:id="29159"/>
      <w:r>
        <w:rPr>
          <w:rFonts w:hint="cs"/>
          <w:rtl/>
        </w:rPr>
        <w:t xml:space="preserve">לא </w:t>
      </w:r>
      <w:bookmarkStart w:id="29160" w:name="_ETM_Q49_548259"/>
      <w:bookmarkEnd w:id="29160"/>
      <w:r>
        <w:rPr>
          <w:rFonts w:hint="cs"/>
          <w:rtl/>
        </w:rPr>
        <w:t xml:space="preserve">תיתן </w:t>
      </w:r>
      <w:bookmarkStart w:id="29161" w:name="_ETM_Q49_548589"/>
      <w:bookmarkEnd w:id="29161"/>
      <w:r>
        <w:rPr>
          <w:rFonts w:hint="cs"/>
          <w:rtl/>
        </w:rPr>
        <w:t xml:space="preserve">לזה </w:t>
      </w:r>
      <w:bookmarkStart w:id="29162" w:name="_ETM_Q49_548799"/>
      <w:bookmarkEnd w:id="29162"/>
      <w:r>
        <w:rPr>
          <w:rFonts w:hint="cs"/>
          <w:rtl/>
        </w:rPr>
        <w:t xml:space="preserve">לעבור. </w:t>
      </w:r>
      <w:bookmarkStart w:id="29163" w:name="_ETM_Q49_550039"/>
      <w:bookmarkEnd w:id="29163"/>
      <w:r>
        <w:rPr>
          <w:rFonts w:hint="cs"/>
          <w:rtl/>
        </w:rPr>
        <w:t xml:space="preserve">ממה </w:t>
      </w:r>
      <w:bookmarkStart w:id="29164" w:name="_ETM_Q49_550429"/>
      <w:bookmarkEnd w:id="29164"/>
      <w:r>
        <w:rPr>
          <w:rFonts w:hint="cs"/>
          <w:rtl/>
        </w:rPr>
        <w:t xml:space="preserve">אתה </w:t>
      </w:r>
      <w:bookmarkStart w:id="29165" w:name="_ETM_Q49_550579"/>
      <w:bookmarkEnd w:id="29165"/>
      <w:r>
        <w:rPr>
          <w:rFonts w:hint="cs"/>
          <w:rtl/>
        </w:rPr>
        <w:t>מפחד</w:t>
      </w:r>
      <w:bookmarkStart w:id="29166" w:name="_ETM_Q49_552220"/>
      <w:bookmarkEnd w:id="29166"/>
      <w:r>
        <w:rPr>
          <w:rFonts w:hint="cs"/>
          <w:rtl/>
        </w:rPr>
        <w:t xml:space="preserve">? האם </w:t>
      </w:r>
      <w:bookmarkStart w:id="29167" w:name="_ETM_Q49_552520"/>
      <w:bookmarkEnd w:id="29167"/>
      <w:r>
        <w:rPr>
          <w:rFonts w:hint="cs"/>
          <w:rtl/>
        </w:rPr>
        <w:t xml:space="preserve">אתה, </w:t>
      </w:r>
      <w:bookmarkStart w:id="29168" w:name="_ETM_Q49_552850"/>
      <w:bookmarkEnd w:id="29168"/>
      <w:r>
        <w:rPr>
          <w:rFonts w:hint="cs"/>
          <w:rtl/>
        </w:rPr>
        <w:t xml:space="preserve">שלא </w:t>
      </w:r>
      <w:bookmarkStart w:id="29169" w:name="_ETM_Q49_553150"/>
      <w:bookmarkEnd w:id="29169"/>
      <w:r>
        <w:rPr>
          <w:rFonts w:hint="cs"/>
          <w:rtl/>
        </w:rPr>
        <w:t xml:space="preserve">פחדת </w:t>
      </w:r>
      <w:bookmarkStart w:id="29170" w:name="_ETM_Q49_553810"/>
      <w:bookmarkEnd w:id="29170"/>
      <w:r>
        <w:rPr>
          <w:rFonts w:hint="cs"/>
          <w:rtl/>
        </w:rPr>
        <w:t xml:space="preserve">מהשלטון </w:t>
      </w:r>
      <w:bookmarkStart w:id="29171" w:name="_ETM_Q49_554320"/>
      <w:bookmarkEnd w:id="29171"/>
      <w:r>
        <w:rPr>
          <w:rFonts w:hint="cs"/>
          <w:rtl/>
        </w:rPr>
        <w:t xml:space="preserve">הקומוניסטי, </w:t>
      </w:r>
      <w:bookmarkStart w:id="29172" w:name="_ETM_Q49_555520"/>
      <w:bookmarkEnd w:id="29172"/>
      <w:r>
        <w:rPr>
          <w:rFonts w:hint="cs"/>
          <w:rtl/>
        </w:rPr>
        <w:t xml:space="preserve">מפחד </w:t>
      </w:r>
      <w:bookmarkStart w:id="29173" w:name="_ETM_Q49_556240"/>
      <w:bookmarkEnd w:id="29173"/>
      <w:r>
        <w:rPr>
          <w:rFonts w:hint="cs"/>
          <w:rtl/>
        </w:rPr>
        <w:t xml:space="preserve">מאימתו </w:t>
      </w:r>
      <w:bookmarkStart w:id="29174" w:name="_ETM_Q49_556779"/>
      <w:bookmarkStart w:id="29175" w:name="_ETM_Q49_556960"/>
      <w:bookmarkEnd w:id="29174"/>
      <w:bookmarkEnd w:id="29175"/>
      <w:r>
        <w:rPr>
          <w:rFonts w:hint="cs"/>
          <w:rtl/>
        </w:rPr>
        <w:t xml:space="preserve">של </w:t>
      </w:r>
      <w:bookmarkStart w:id="29176" w:name="_ETM_Q49_557140"/>
      <w:bookmarkEnd w:id="29176"/>
      <w:r>
        <w:rPr>
          <w:rFonts w:hint="cs"/>
          <w:rtl/>
        </w:rPr>
        <w:t xml:space="preserve">בנימין </w:t>
      </w:r>
      <w:bookmarkStart w:id="29177" w:name="_ETM_Q49_557589"/>
      <w:bookmarkEnd w:id="29177"/>
      <w:r>
        <w:rPr>
          <w:rFonts w:hint="cs"/>
          <w:rtl/>
        </w:rPr>
        <w:t xml:space="preserve">נתניהו? </w:t>
      </w:r>
      <w:bookmarkStart w:id="29178" w:name="_ETM_Q49_558950"/>
      <w:bookmarkEnd w:id="29178"/>
      <w:r>
        <w:rPr>
          <w:rFonts w:hint="cs"/>
          <w:rtl/>
        </w:rPr>
        <w:t xml:space="preserve">מפחד </w:t>
      </w:r>
      <w:bookmarkStart w:id="29179" w:name="_ETM_Q49_560089"/>
      <w:bookmarkStart w:id="29180" w:name="_ETM_Q49_561319"/>
      <w:bookmarkEnd w:id="29179"/>
      <w:bookmarkEnd w:id="29180"/>
      <w:r>
        <w:rPr>
          <w:rFonts w:hint="cs"/>
          <w:rtl/>
        </w:rPr>
        <w:t xml:space="preserve">מאימתם אולי </w:t>
      </w:r>
      <w:bookmarkStart w:id="29181" w:name="_ETM_Q49_561799"/>
      <w:bookmarkEnd w:id="29181"/>
      <w:r>
        <w:rPr>
          <w:rFonts w:hint="cs"/>
          <w:rtl/>
        </w:rPr>
        <w:t xml:space="preserve">של </w:t>
      </w:r>
      <w:bookmarkStart w:id="29182" w:name="_ETM_Q49_562009"/>
      <w:bookmarkEnd w:id="29182"/>
      <w:r>
        <w:rPr>
          <w:rFonts w:hint="cs"/>
          <w:rtl/>
        </w:rPr>
        <w:t xml:space="preserve">חלק </w:t>
      </w:r>
      <w:bookmarkStart w:id="29183" w:name="_ETM_Q49_562429"/>
      <w:bookmarkStart w:id="29184" w:name="_ETM_Q49_562579"/>
      <w:bookmarkEnd w:id="29183"/>
      <w:bookmarkEnd w:id="29184"/>
      <w:r>
        <w:rPr>
          <w:rFonts w:hint="cs"/>
          <w:rtl/>
        </w:rPr>
        <w:t xml:space="preserve">ממתפקדי </w:t>
      </w:r>
      <w:bookmarkStart w:id="29185" w:name="_ETM_Q49_563089"/>
      <w:bookmarkEnd w:id="29185"/>
      <w:r>
        <w:rPr>
          <w:rFonts w:hint="cs"/>
          <w:rtl/>
        </w:rPr>
        <w:t xml:space="preserve">הליכוד, </w:t>
      </w:r>
      <w:bookmarkStart w:id="29186" w:name="_ETM_Q49_564220"/>
      <w:bookmarkEnd w:id="29186"/>
      <w:r>
        <w:rPr>
          <w:rFonts w:hint="cs"/>
          <w:rtl/>
        </w:rPr>
        <w:t xml:space="preserve">או </w:t>
      </w:r>
      <w:bookmarkStart w:id="29187" w:name="_ETM_Q49_564339"/>
      <w:bookmarkEnd w:id="29187"/>
      <w:r>
        <w:rPr>
          <w:rFonts w:hint="cs"/>
          <w:rtl/>
        </w:rPr>
        <w:t xml:space="preserve">של אני </w:t>
      </w:r>
      <w:bookmarkStart w:id="29188" w:name="_ETM_Q49_564729"/>
      <w:bookmarkEnd w:id="29188"/>
      <w:r>
        <w:rPr>
          <w:rFonts w:hint="cs"/>
          <w:rtl/>
        </w:rPr>
        <w:t xml:space="preserve">לא </w:t>
      </w:r>
      <w:bookmarkStart w:id="29189" w:name="_ETM_Q49_564850"/>
      <w:bookmarkEnd w:id="29189"/>
      <w:r>
        <w:rPr>
          <w:rFonts w:hint="cs"/>
          <w:rtl/>
        </w:rPr>
        <w:t xml:space="preserve">יודע </w:t>
      </w:r>
      <w:bookmarkStart w:id="29190" w:name="_ETM_Q49_565270"/>
      <w:bookmarkEnd w:id="29190"/>
      <w:r>
        <w:rPr>
          <w:rFonts w:hint="cs"/>
          <w:rtl/>
        </w:rPr>
        <w:t xml:space="preserve">מי? </w:t>
      </w:r>
      <w:bookmarkStart w:id="29191" w:name="_ETM_Q49_566959"/>
      <w:bookmarkEnd w:id="29191"/>
      <w:r>
        <w:rPr>
          <w:rFonts w:hint="cs"/>
          <w:rtl/>
        </w:rPr>
        <w:t xml:space="preserve">אתה </w:t>
      </w:r>
      <w:bookmarkStart w:id="29192" w:name="_ETM_Q49_567409"/>
      <w:bookmarkEnd w:id="29192"/>
      <w:r>
        <w:rPr>
          <w:rFonts w:hint="cs"/>
          <w:rtl/>
        </w:rPr>
        <w:t xml:space="preserve">יודע </w:t>
      </w:r>
      <w:bookmarkStart w:id="29193" w:name="_ETM_Q49_567950"/>
      <w:bookmarkEnd w:id="29193"/>
      <w:r>
        <w:rPr>
          <w:rFonts w:hint="cs"/>
          <w:rtl/>
        </w:rPr>
        <w:t xml:space="preserve">מה </w:t>
      </w:r>
      <w:bookmarkStart w:id="29194" w:name="_ETM_Q49_568099"/>
      <w:bookmarkEnd w:id="29194"/>
      <w:r>
        <w:rPr>
          <w:rFonts w:hint="cs"/>
          <w:rtl/>
        </w:rPr>
        <w:t xml:space="preserve">חשוב </w:t>
      </w:r>
      <w:bookmarkStart w:id="29195" w:name="_ETM_Q49_568459"/>
      <w:bookmarkEnd w:id="29195"/>
      <w:r>
        <w:rPr>
          <w:rFonts w:hint="cs"/>
          <w:rtl/>
        </w:rPr>
        <w:t xml:space="preserve">למדינת </w:t>
      </w:r>
      <w:bookmarkStart w:id="29196" w:name="_ETM_Q49_568849"/>
      <w:bookmarkEnd w:id="29196"/>
      <w:r>
        <w:rPr>
          <w:rFonts w:hint="cs"/>
          <w:rtl/>
        </w:rPr>
        <w:t xml:space="preserve">ישראל. </w:t>
      </w:r>
      <w:bookmarkStart w:id="29197" w:name="_ETM_Q49_569880"/>
      <w:bookmarkEnd w:id="29197"/>
      <w:r>
        <w:rPr>
          <w:rFonts w:hint="cs"/>
          <w:rtl/>
        </w:rPr>
        <w:t xml:space="preserve">אתה </w:t>
      </w:r>
      <w:bookmarkStart w:id="29198" w:name="_ETM_Q49_570179"/>
      <w:bookmarkEnd w:id="29198"/>
      <w:r>
        <w:rPr>
          <w:rFonts w:hint="cs"/>
          <w:rtl/>
        </w:rPr>
        <w:t xml:space="preserve">יודע </w:t>
      </w:r>
      <w:bookmarkStart w:id="29199" w:name="_ETM_Q49_570630"/>
      <w:bookmarkEnd w:id="29199"/>
      <w:r>
        <w:rPr>
          <w:rFonts w:hint="cs"/>
          <w:rtl/>
        </w:rPr>
        <w:t xml:space="preserve">שלמען </w:t>
      </w:r>
      <w:bookmarkStart w:id="29200" w:name="_ETM_Q49_571139"/>
      <w:bookmarkEnd w:id="29200"/>
      <w:r>
        <w:rPr>
          <w:rFonts w:hint="cs"/>
          <w:rtl/>
        </w:rPr>
        <w:t xml:space="preserve">מדינת </w:t>
      </w:r>
      <w:bookmarkStart w:id="29201" w:name="_ETM_Q49_571499"/>
      <w:bookmarkEnd w:id="29201"/>
      <w:r>
        <w:rPr>
          <w:rFonts w:hint="cs"/>
          <w:rtl/>
        </w:rPr>
        <w:t xml:space="preserve">ישראל </w:t>
      </w:r>
      <w:bookmarkStart w:id="29202" w:name="_ETM_Q49_571859"/>
      <w:bookmarkEnd w:id="29202"/>
      <w:r>
        <w:rPr>
          <w:rFonts w:hint="cs"/>
          <w:rtl/>
        </w:rPr>
        <w:t xml:space="preserve">צריך </w:t>
      </w:r>
      <w:bookmarkStart w:id="29203" w:name="_ETM_Q49_572279"/>
      <w:bookmarkEnd w:id="29203"/>
      <w:r>
        <w:rPr>
          <w:rFonts w:hint="cs"/>
          <w:rtl/>
        </w:rPr>
        <w:t xml:space="preserve">לעצור </w:t>
      </w:r>
      <w:bookmarkStart w:id="29204" w:name="_ETM_Q49_572759"/>
      <w:bookmarkEnd w:id="29204"/>
      <w:r>
        <w:rPr>
          <w:rFonts w:hint="cs"/>
          <w:rtl/>
        </w:rPr>
        <w:t xml:space="preserve">עכשיו </w:t>
      </w:r>
      <w:bookmarkStart w:id="29205" w:name="_ETM_Q49_573060"/>
      <w:bookmarkEnd w:id="29205"/>
      <w:r>
        <w:rPr>
          <w:rFonts w:hint="cs"/>
          <w:rtl/>
        </w:rPr>
        <w:t xml:space="preserve">את </w:t>
      </w:r>
      <w:bookmarkStart w:id="29206" w:name="_ETM_Q49_573179"/>
      <w:bookmarkEnd w:id="29206"/>
      <w:r>
        <w:rPr>
          <w:rFonts w:hint="cs"/>
          <w:rtl/>
        </w:rPr>
        <w:t xml:space="preserve">החקיקה. </w:t>
      </w:r>
      <w:bookmarkStart w:id="29207" w:name="_ETM_Q49_575100"/>
      <w:bookmarkEnd w:id="29207"/>
      <w:r>
        <w:rPr>
          <w:rFonts w:hint="cs"/>
          <w:rtl/>
        </w:rPr>
        <w:t xml:space="preserve">יולי </w:t>
      </w:r>
      <w:bookmarkStart w:id="29208" w:name="_ETM_Q49_575460"/>
      <w:bookmarkEnd w:id="29208"/>
      <w:r>
        <w:rPr>
          <w:rFonts w:hint="cs"/>
          <w:rtl/>
        </w:rPr>
        <w:t xml:space="preserve">אדלשטיין, </w:t>
      </w:r>
      <w:bookmarkStart w:id="29209" w:name="_ETM_Q49_576119"/>
      <w:bookmarkEnd w:id="29209"/>
      <w:r>
        <w:rPr>
          <w:rFonts w:hint="cs"/>
          <w:rtl/>
        </w:rPr>
        <w:t xml:space="preserve">אם </w:t>
      </w:r>
      <w:bookmarkStart w:id="29210" w:name="_ETM_Q49_576240"/>
      <w:bookmarkEnd w:id="29210"/>
      <w:r>
        <w:rPr>
          <w:rFonts w:hint="cs"/>
          <w:rtl/>
        </w:rPr>
        <w:t xml:space="preserve">היה </w:t>
      </w:r>
      <w:bookmarkStart w:id="29211" w:name="_ETM_Q49_576570"/>
      <w:bookmarkEnd w:id="29211"/>
      <w:r>
        <w:rPr>
          <w:rFonts w:hint="cs"/>
          <w:rtl/>
        </w:rPr>
        <w:t xml:space="preserve">היום </w:t>
      </w:r>
      <w:bookmarkStart w:id="29212" w:name="_ETM_Q49_576839"/>
      <w:bookmarkEnd w:id="29212"/>
      <w:r>
        <w:rPr>
          <w:rFonts w:hint="cs"/>
          <w:rtl/>
        </w:rPr>
        <w:t xml:space="preserve">ראש </w:t>
      </w:r>
      <w:bookmarkStart w:id="29213" w:name="_ETM_Q49_577020"/>
      <w:bookmarkEnd w:id="29213"/>
      <w:r>
        <w:rPr>
          <w:rFonts w:hint="cs"/>
          <w:rtl/>
        </w:rPr>
        <w:t xml:space="preserve">הממשלה, </w:t>
      </w:r>
      <w:bookmarkStart w:id="29214" w:name="_ETM_Q49_577589"/>
      <w:bookmarkEnd w:id="29214"/>
      <w:r>
        <w:rPr>
          <w:rFonts w:hint="cs"/>
          <w:rtl/>
        </w:rPr>
        <w:t xml:space="preserve">הוא </w:t>
      </w:r>
      <w:bookmarkStart w:id="29215" w:name="_ETM_Q49_577740"/>
      <w:bookmarkEnd w:id="29215"/>
      <w:r>
        <w:rPr>
          <w:rFonts w:hint="cs"/>
          <w:rtl/>
        </w:rPr>
        <w:t xml:space="preserve">יודע </w:t>
      </w:r>
      <w:bookmarkStart w:id="29216" w:name="_ETM_Q49_578159"/>
      <w:bookmarkEnd w:id="29216"/>
      <w:r>
        <w:rPr>
          <w:rFonts w:hint="cs"/>
          <w:rtl/>
        </w:rPr>
        <w:t xml:space="preserve">שהוא </w:t>
      </w:r>
      <w:bookmarkStart w:id="29217" w:name="_ETM_Q49_578490"/>
      <w:bookmarkEnd w:id="29217"/>
      <w:r>
        <w:rPr>
          <w:rFonts w:hint="cs"/>
          <w:rtl/>
        </w:rPr>
        <w:t xml:space="preserve">היה </w:t>
      </w:r>
      <w:bookmarkStart w:id="29218" w:name="_ETM_Q49_578700"/>
      <w:bookmarkEnd w:id="29218"/>
      <w:r>
        <w:rPr>
          <w:rFonts w:hint="cs"/>
          <w:rtl/>
        </w:rPr>
        <w:t xml:space="preserve">עוצר </w:t>
      </w:r>
      <w:bookmarkStart w:id="29219" w:name="_ETM_Q49_579000"/>
      <w:bookmarkEnd w:id="29219"/>
      <w:r>
        <w:rPr>
          <w:rFonts w:hint="cs"/>
          <w:rtl/>
        </w:rPr>
        <w:t xml:space="preserve">את החקיקה. </w:t>
      </w:r>
      <w:bookmarkStart w:id="29220" w:name="_ETM_Q49_580000"/>
      <w:bookmarkStart w:id="29221" w:name="_ETM_Q49_581039"/>
      <w:bookmarkEnd w:id="29220"/>
      <w:bookmarkEnd w:id="29221"/>
      <w:r>
        <w:rPr>
          <w:rFonts w:hint="cs"/>
          <w:rtl/>
        </w:rPr>
        <w:t xml:space="preserve">בכוחך </w:t>
      </w:r>
      <w:bookmarkStart w:id="29222" w:name="_ETM_Q49_581430"/>
      <w:bookmarkStart w:id="29223" w:name="_ETM_Q49_582029"/>
      <w:bookmarkEnd w:id="29222"/>
      <w:bookmarkEnd w:id="29223"/>
      <w:r>
        <w:rPr>
          <w:rFonts w:hint="cs"/>
          <w:rtl/>
        </w:rPr>
        <w:t xml:space="preserve">לעשות </w:t>
      </w:r>
      <w:bookmarkStart w:id="29224" w:name="_ETM_Q49_582450"/>
      <w:bookmarkEnd w:id="29224"/>
      <w:r>
        <w:rPr>
          <w:rFonts w:hint="cs"/>
          <w:rtl/>
        </w:rPr>
        <w:t xml:space="preserve">את </w:t>
      </w:r>
      <w:bookmarkStart w:id="29225" w:name="_ETM_Q49_582539"/>
      <w:bookmarkEnd w:id="29225"/>
      <w:r>
        <w:rPr>
          <w:rFonts w:hint="cs"/>
          <w:rtl/>
        </w:rPr>
        <w:t xml:space="preserve">זה. </w:t>
      </w:r>
      <w:bookmarkStart w:id="29226" w:name="_ETM_Q49_583500"/>
      <w:bookmarkEnd w:id="29226"/>
      <w:r>
        <w:rPr>
          <w:rFonts w:hint="cs"/>
          <w:rtl/>
        </w:rPr>
        <w:t xml:space="preserve">אתה </w:t>
      </w:r>
      <w:bookmarkStart w:id="29227" w:name="_ETM_Q49_583979"/>
      <w:bookmarkEnd w:id="29227"/>
      <w:r>
        <w:rPr>
          <w:rFonts w:hint="cs"/>
          <w:rtl/>
        </w:rPr>
        <w:t xml:space="preserve">יכול </w:t>
      </w:r>
      <w:bookmarkStart w:id="29228" w:name="_ETM_Q49_584279"/>
      <w:bookmarkEnd w:id="29228"/>
      <w:r>
        <w:rPr>
          <w:rFonts w:hint="cs"/>
          <w:rtl/>
        </w:rPr>
        <w:t xml:space="preserve">להוביל </w:t>
      </w:r>
      <w:bookmarkStart w:id="29229" w:name="_ETM_Q49_584579"/>
      <w:bookmarkEnd w:id="29229"/>
      <w:r>
        <w:rPr>
          <w:rFonts w:hint="cs"/>
          <w:rtl/>
        </w:rPr>
        <w:t xml:space="preserve">את </w:t>
      </w:r>
      <w:bookmarkStart w:id="29230" w:name="_ETM_Q49_584640"/>
      <w:bookmarkEnd w:id="29230"/>
      <w:r>
        <w:rPr>
          <w:rFonts w:hint="cs"/>
          <w:rtl/>
        </w:rPr>
        <w:t xml:space="preserve">זה, </w:t>
      </w:r>
      <w:bookmarkStart w:id="29231" w:name="_ETM_Q49_585649"/>
      <w:bookmarkEnd w:id="29231"/>
      <w:r>
        <w:rPr>
          <w:rFonts w:hint="cs"/>
          <w:rtl/>
        </w:rPr>
        <w:t xml:space="preserve">אתה </w:t>
      </w:r>
      <w:bookmarkStart w:id="29232" w:name="_ETM_Q49_586790"/>
      <w:bookmarkEnd w:id="29232"/>
      <w:r>
        <w:rPr>
          <w:rFonts w:hint="cs"/>
          <w:rtl/>
        </w:rPr>
        <w:t xml:space="preserve">עם </w:t>
      </w:r>
      <w:bookmarkStart w:id="29233" w:name="_ETM_Q49_586970"/>
      <w:bookmarkEnd w:id="29233"/>
      <w:r>
        <w:rPr>
          <w:rFonts w:hint="cs"/>
          <w:rtl/>
        </w:rPr>
        <w:t xml:space="preserve">עוד </w:t>
      </w:r>
      <w:bookmarkStart w:id="29234" w:name="_ETM_Q49_587149"/>
      <w:bookmarkEnd w:id="29234"/>
      <w:r>
        <w:rPr>
          <w:rFonts w:hint="cs"/>
          <w:rtl/>
        </w:rPr>
        <w:t xml:space="preserve">חברים </w:t>
      </w:r>
      <w:bookmarkStart w:id="29235" w:name="_ETM_Q49_587570"/>
      <w:bookmarkEnd w:id="29235"/>
      <w:r>
        <w:rPr>
          <w:rFonts w:hint="cs"/>
          <w:rtl/>
        </w:rPr>
        <w:t xml:space="preserve">מהקואליציה. </w:t>
      </w:r>
      <w:bookmarkStart w:id="29236" w:name="_ETM_Q49_588909"/>
      <w:bookmarkEnd w:id="29236"/>
    </w:p>
    <w:p w:rsidR="00BB59CD" w:rsidRDefault="00BB59CD" w:rsidP="00BB59CD">
      <w:pPr>
        <w:rPr>
          <w:rtl/>
        </w:rPr>
      </w:pPr>
    </w:p>
    <w:p w:rsidR="00BB59CD" w:rsidRDefault="00BB59CD" w:rsidP="00AD5596">
      <w:pPr>
        <w:rPr>
          <w:rtl/>
        </w:rPr>
      </w:pPr>
      <w:r>
        <w:rPr>
          <w:rFonts w:hint="cs"/>
          <w:rtl/>
        </w:rPr>
        <w:t xml:space="preserve">נשארו </w:t>
      </w:r>
      <w:bookmarkStart w:id="29237" w:name="_ETM_Q49_589570"/>
      <w:bookmarkEnd w:id="29237"/>
      <w:r>
        <w:rPr>
          <w:rFonts w:hint="cs"/>
          <w:rtl/>
        </w:rPr>
        <w:t xml:space="preserve">עוד </w:t>
      </w:r>
      <w:bookmarkStart w:id="29238" w:name="_ETM_Q49_589689"/>
      <w:bookmarkEnd w:id="29238"/>
      <w:r>
        <w:rPr>
          <w:rFonts w:hint="cs"/>
          <w:rtl/>
        </w:rPr>
        <w:t xml:space="preserve">כמה </w:t>
      </w:r>
      <w:bookmarkStart w:id="29239" w:name="_ETM_Q49_590020"/>
      <w:bookmarkEnd w:id="29239"/>
      <w:r>
        <w:rPr>
          <w:rFonts w:hint="cs"/>
          <w:rtl/>
        </w:rPr>
        <w:t xml:space="preserve">אנשים </w:t>
      </w:r>
      <w:bookmarkStart w:id="29240" w:name="_ETM_Q49_590740"/>
      <w:bookmarkEnd w:id="29240"/>
      <w:r>
        <w:rPr>
          <w:rFonts w:hint="cs"/>
          <w:rtl/>
        </w:rPr>
        <w:t xml:space="preserve">שאולי </w:t>
      </w:r>
      <w:bookmarkStart w:id="29241" w:name="_ETM_Q49_592480"/>
      <w:bookmarkEnd w:id="29241"/>
      <w:r>
        <w:rPr>
          <w:rFonts w:hint="cs"/>
          <w:rtl/>
        </w:rPr>
        <w:t xml:space="preserve">בתוך </w:t>
      </w:r>
      <w:bookmarkStart w:id="29242" w:name="_ETM_Q49_592990"/>
      <w:bookmarkEnd w:id="29242"/>
      <w:r>
        <w:rPr>
          <w:rFonts w:hint="cs"/>
          <w:rtl/>
        </w:rPr>
        <w:t xml:space="preserve">הלב </w:t>
      </w:r>
      <w:bookmarkStart w:id="29243" w:name="_ETM_Q49_593290"/>
      <w:bookmarkEnd w:id="29243"/>
      <w:r>
        <w:rPr>
          <w:rFonts w:hint="cs"/>
          <w:rtl/>
        </w:rPr>
        <w:t xml:space="preserve">הזה </w:t>
      </w:r>
      <w:bookmarkStart w:id="29244" w:name="_ETM_Q49_593529"/>
      <w:bookmarkEnd w:id="29244"/>
      <w:r>
        <w:rPr>
          <w:rFonts w:hint="cs"/>
          <w:rtl/>
        </w:rPr>
        <w:t xml:space="preserve">שהלך </w:t>
      </w:r>
      <w:bookmarkStart w:id="29245" w:name="_ETM_Q49_593920"/>
      <w:bookmarkEnd w:id="29245"/>
      <w:r>
        <w:rPr>
          <w:rFonts w:hint="cs"/>
          <w:rtl/>
        </w:rPr>
        <w:t>והתאב</w:t>
      </w:r>
      <w:bookmarkStart w:id="29246" w:name="_ETM_Q49_595200"/>
      <w:bookmarkEnd w:id="29246"/>
      <w:r>
        <w:rPr>
          <w:rFonts w:hint="cs"/>
          <w:rtl/>
        </w:rPr>
        <w:t xml:space="preserve">ן נשאר </w:t>
      </w:r>
      <w:bookmarkStart w:id="29247" w:name="_ETM_Q49_595649"/>
      <w:bookmarkEnd w:id="29247"/>
      <w:r>
        <w:rPr>
          <w:rFonts w:hint="cs"/>
          <w:rtl/>
        </w:rPr>
        <w:t xml:space="preserve">להם </w:t>
      </w:r>
      <w:bookmarkStart w:id="29248" w:name="_ETM_Q49_596499"/>
      <w:bookmarkEnd w:id="29248"/>
      <w:r>
        <w:rPr>
          <w:rFonts w:hint="cs"/>
          <w:rtl/>
        </w:rPr>
        <w:t xml:space="preserve">עוד </w:t>
      </w:r>
      <w:bookmarkStart w:id="29249" w:name="_ETM_Q49_596649"/>
      <w:bookmarkEnd w:id="29249"/>
      <w:r>
        <w:rPr>
          <w:rFonts w:hint="cs"/>
          <w:rtl/>
        </w:rPr>
        <w:t xml:space="preserve">קצת </w:t>
      </w:r>
      <w:bookmarkStart w:id="29250" w:name="_ETM_Q49_597149"/>
      <w:bookmarkEnd w:id="29250"/>
      <w:r>
        <w:rPr>
          <w:rFonts w:hint="cs"/>
          <w:rtl/>
        </w:rPr>
        <w:t xml:space="preserve">מצפון.  </w:t>
      </w:r>
      <w:bookmarkStart w:id="29251" w:name="_ETM_Q49_598560"/>
      <w:bookmarkEnd w:id="29251"/>
      <w:r>
        <w:rPr>
          <w:rFonts w:hint="cs"/>
          <w:rtl/>
        </w:rPr>
        <w:t xml:space="preserve">איפה </w:t>
      </w:r>
      <w:bookmarkStart w:id="29252" w:name="_ETM_Q49_598859"/>
      <w:bookmarkEnd w:id="29252"/>
      <w:r>
        <w:rPr>
          <w:rFonts w:hint="cs"/>
          <w:rtl/>
        </w:rPr>
        <w:t xml:space="preserve">אבי </w:t>
      </w:r>
      <w:bookmarkStart w:id="29253" w:name="_ETM_Q49_599069"/>
      <w:bookmarkEnd w:id="29253"/>
      <w:r>
        <w:rPr>
          <w:rFonts w:hint="cs"/>
          <w:rtl/>
        </w:rPr>
        <w:t xml:space="preserve">דיכטר? </w:t>
      </w:r>
      <w:bookmarkStart w:id="29254" w:name="_ETM_Q49_600299"/>
      <w:bookmarkEnd w:id="29254"/>
      <w:r>
        <w:rPr>
          <w:rFonts w:hint="cs"/>
          <w:rtl/>
        </w:rPr>
        <w:t xml:space="preserve">היית </w:t>
      </w:r>
      <w:bookmarkStart w:id="29255" w:name="_ETM_Q49_600630"/>
      <w:bookmarkEnd w:id="29255"/>
      <w:r>
        <w:rPr>
          <w:rFonts w:hint="cs"/>
          <w:rtl/>
        </w:rPr>
        <w:t xml:space="preserve">ראש </w:t>
      </w:r>
      <w:bookmarkStart w:id="29256" w:name="_ETM_Q49_600839"/>
      <w:bookmarkEnd w:id="29256"/>
      <w:r>
        <w:rPr>
          <w:rFonts w:hint="cs"/>
          <w:rtl/>
        </w:rPr>
        <w:t xml:space="preserve">שב"כ. </w:t>
      </w:r>
      <w:bookmarkStart w:id="29257" w:name="_ETM_Q49_601820"/>
      <w:bookmarkEnd w:id="29257"/>
      <w:r>
        <w:rPr>
          <w:rFonts w:hint="cs"/>
          <w:rtl/>
        </w:rPr>
        <w:t xml:space="preserve">אתה </w:t>
      </w:r>
      <w:bookmarkStart w:id="29258" w:name="_ETM_Q49_602089"/>
      <w:bookmarkEnd w:id="29258"/>
      <w:r>
        <w:rPr>
          <w:rFonts w:hint="cs"/>
          <w:rtl/>
        </w:rPr>
        <w:t xml:space="preserve">יודע </w:t>
      </w:r>
      <w:bookmarkStart w:id="29259" w:name="_ETM_Q49_602450"/>
      <w:bookmarkEnd w:id="29259"/>
      <w:r>
        <w:rPr>
          <w:rFonts w:hint="cs"/>
          <w:rtl/>
        </w:rPr>
        <w:t xml:space="preserve">מה </w:t>
      </w:r>
      <w:bookmarkStart w:id="29260" w:name="_ETM_Q49_602689"/>
      <w:bookmarkEnd w:id="29260"/>
      <w:r>
        <w:rPr>
          <w:rFonts w:hint="cs"/>
          <w:rtl/>
        </w:rPr>
        <w:t xml:space="preserve">המשמעות </w:t>
      </w:r>
      <w:bookmarkStart w:id="29261" w:name="_ETM_Q49_603960"/>
      <w:bookmarkEnd w:id="29261"/>
      <w:r>
        <w:rPr>
          <w:rFonts w:hint="cs"/>
          <w:rtl/>
        </w:rPr>
        <w:t xml:space="preserve">של </w:t>
      </w:r>
      <w:bookmarkStart w:id="29262" w:name="_ETM_Q49_604200"/>
      <w:bookmarkEnd w:id="29262"/>
      <w:r>
        <w:rPr>
          <w:rFonts w:hint="cs"/>
          <w:rtl/>
        </w:rPr>
        <w:t xml:space="preserve">בתי </w:t>
      </w:r>
      <w:bookmarkStart w:id="29263" w:name="_ETM_Q49_604560"/>
      <w:bookmarkEnd w:id="29263"/>
      <w:r>
        <w:rPr>
          <w:rFonts w:hint="cs"/>
          <w:rtl/>
        </w:rPr>
        <w:t xml:space="preserve">המשפט </w:t>
      </w:r>
      <w:bookmarkStart w:id="29264" w:name="_ETM_Q49_605579"/>
      <w:bookmarkEnd w:id="29264"/>
      <w:r>
        <w:rPr>
          <w:rFonts w:hint="cs"/>
          <w:rtl/>
        </w:rPr>
        <w:t xml:space="preserve">בהגנה </w:t>
      </w:r>
      <w:bookmarkStart w:id="29265" w:name="_ETM_Q49_606210"/>
      <w:bookmarkEnd w:id="29265"/>
      <w:r>
        <w:rPr>
          <w:rFonts w:hint="cs"/>
          <w:rtl/>
        </w:rPr>
        <w:t xml:space="preserve">על </w:t>
      </w:r>
      <w:bookmarkStart w:id="29266" w:name="_ETM_Q49_606299"/>
      <w:bookmarkEnd w:id="29266"/>
      <w:r>
        <w:rPr>
          <w:rFonts w:hint="cs"/>
          <w:rtl/>
        </w:rPr>
        <w:t xml:space="preserve">חיילות </w:t>
      </w:r>
      <w:bookmarkStart w:id="29267" w:name="_ETM_Q49_606630"/>
      <w:bookmarkEnd w:id="29267"/>
      <w:r>
        <w:rPr>
          <w:rFonts w:hint="cs"/>
          <w:rtl/>
        </w:rPr>
        <w:t xml:space="preserve">וחיילי </w:t>
      </w:r>
      <w:bookmarkStart w:id="29268" w:name="_ETM_Q49_607049"/>
      <w:bookmarkEnd w:id="29268"/>
      <w:r>
        <w:rPr>
          <w:rFonts w:hint="cs"/>
          <w:rtl/>
        </w:rPr>
        <w:t>צה"ל</w:t>
      </w:r>
      <w:r w:rsidR="00AD5596">
        <w:rPr>
          <w:rFonts w:hint="cs"/>
          <w:rtl/>
        </w:rPr>
        <w:t>.</w:t>
      </w:r>
      <w:r>
        <w:rPr>
          <w:rFonts w:hint="cs"/>
          <w:rtl/>
        </w:rPr>
        <w:t xml:space="preserve"> </w:t>
      </w:r>
      <w:bookmarkStart w:id="29269" w:name="_ETM_Q49_607880"/>
      <w:bookmarkEnd w:id="29269"/>
      <w:r>
        <w:rPr>
          <w:rFonts w:hint="cs"/>
          <w:rtl/>
        </w:rPr>
        <w:t xml:space="preserve">אותם </w:t>
      </w:r>
      <w:bookmarkStart w:id="29270" w:name="_ETM_Q49_608330"/>
      <w:bookmarkEnd w:id="29270"/>
      <w:r>
        <w:rPr>
          <w:rFonts w:hint="cs"/>
          <w:rtl/>
        </w:rPr>
        <w:t xml:space="preserve">טייסים </w:t>
      </w:r>
      <w:bookmarkStart w:id="29271" w:name="_ETM_Q49_609840"/>
      <w:bookmarkEnd w:id="29271"/>
      <w:r>
        <w:rPr>
          <w:rFonts w:hint="cs"/>
          <w:rtl/>
        </w:rPr>
        <w:t xml:space="preserve">שהממשלה </w:t>
      </w:r>
      <w:bookmarkStart w:id="29272" w:name="_ETM_Q49_610440"/>
      <w:bookmarkEnd w:id="29272"/>
      <w:r>
        <w:rPr>
          <w:rFonts w:hint="cs"/>
          <w:rtl/>
        </w:rPr>
        <w:t xml:space="preserve">הזו </w:t>
      </w:r>
      <w:bookmarkStart w:id="29273" w:name="_ETM_Q49_610620"/>
      <w:bookmarkEnd w:id="29273"/>
      <w:r>
        <w:rPr>
          <w:rFonts w:hint="cs"/>
          <w:rtl/>
        </w:rPr>
        <w:t xml:space="preserve">שולחת </w:t>
      </w:r>
      <w:bookmarkStart w:id="29274" w:name="_ETM_Q49_610980"/>
      <w:bookmarkEnd w:id="29274"/>
      <w:r>
        <w:rPr>
          <w:rFonts w:hint="cs"/>
          <w:rtl/>
        </w:rPr>
        <w:t xml:space="preserve">אותם </w:t>
      </w:r>
      <w:bookmarkStart w:id="29275" w:name="_ETM_Q49_611250"/>
      <w:bookmarkEnd w:id="29275"/>
      <w:r>
        <w:rPr>
          <w:rFonts w:hint="cs"/>
          <w:rtl/>
        </w:rPr>
        <w:t>לעזאזל</w:t>
      </w:r>
      <w:r w:rsidR="00AD5596">
        <w:rPr>
          <w:rFonts w:hint="cs"/>
          <w:rtl/>
        </w:rPr>
        <w:t>,</w:t>
      </w:r>
      <w:r>
        <w:rPr>
          <w:rFonts w:hint="cs"/>
          <w:rtl/>
        </w:rPr>
        <w:t xml:space="preserve"> </w:t>
      </w:r>
      <w:bookmarkStart w:id="29276" w:name="_ETM_Q49_613519"/>
      <w:bookmarkEnd w:id="29276"/>
      <w:r>
        <w:rPr>
          <w:rFonts w:hint="cs"/>
          <w:rtl/>
        </w:rPr>
        <w:t xml:space="preserve">אתם </w:t>
      </w:r>
      <w:bookmarkStart w:id="29277" w:name="_ETM_Q49_614120"/>
      <w:bookmarkEnd w:id="29277"/>
      <w:r>
        <w:rPr>
          <w:rFonts w:hint="cs"/>
          <w:rtl/>
        </w:rPr>
        <w:t xml:space="preserve">שולחים </w:t>
      </w:r>
      <w:bookmarkStart w:id="29278" w:name="_ETM_Q49_614569"/>
      <w:bookmarkEnd w:id="29278"/>
      <w:r>
        <w:rPr>
          <w:rFonts w:hint="cs"/>
          <w:rtl/>
        </w:rPr>
        <w:t xml:space="preserve">אותם </w:t>
      </w:r>
      <w:bookmarkStart w:id="29279" w:name="_ETM_Q49_614900"/>
      <w:bookmarkEnd w:id="29279"/>
      <w:r>
        <w:rPr>
          <w:rFonts w:hint="cs"/>
          <w:rtl/>
        </w:rPr>
        <w:t xml:space="preserve">להילחם </w:t>
      </w:r>
      <w:bookmarkStart w:id="29280" w:name="_ETM_Q49_616040"/>
      <w:bookmarkEnd w:id="29280"/>
      <w:r>
        <w:rPr>
          <w:rFonts w:hint="cs"/>
          <w:rtl/>
        </w:rPr>
        <w:t xml:space="preserve">בלי </w:t>
      </w:r>
      <w:bookmarkStart w:id="29281" w:name="_ETM_Q49_616370"/>
      <w:bookmarkEnd w:id="29281"/>
      <w:r>
        <w:rPr>
          <w:rFonts w:hint="cs"/>
          <w:rtl/>
        </w:rPr>
        <w:t xml:space="preserve">המטרייה, </w:t>
      </w:r>
      <w:bookmarkStart w:id="29282" w:name="_ETM_Q49_617389"/>
      <w:bookmarkEnd w:id="29282"/>
      <w:r>
        <w:rPr>
          <w:rFonts w:hint="cs"/>
          <w:rtl/>
        </w:rPr>
        <w:t xml:space="preserve">מטריית </w:t>
      </w:r>
      <w:bookmarkStart w:id="29283" w:name="_ETM_Q49_617959"/>
      <w:bookmarkEnd w:id="29283"/>
      <w:r>
        <w:rPr>
          <w:rFonts w:hint="cs"/>
          <w:rtl/>
        </w:rPr>
        <w:t xml:space="preserve">ההגנה </w:t>
      </w:r>
      <w:bookmarkStart w:id="29284" w:name="_ETM_Q49_618950"/>
      <w:bookmarkEnd w:id="29284"/>
      <w:r>
        <w:rPr>
          <w:rFonts w:hint="cs"/>
          <w:rtl/>
        </w:rPr>
        <w:t xml:space="preserve">שהדמוקרטיה </w:t>
      </w:r>
      <w:bookmarkStart w:id="29285" w:name="_ETM_Q49_619669"/>
      <w:bookmarkEnd w:id="29285"/>
      <w:r>
        <w:rPr>
          <w:rFonts w:hint="cs"/>
          <w:rtl/>
        </w:rPr>
        <w:t xml:space="preserve">הישראלית </w:t>
      </w:r>
      <w:bookmarkStart w:id="29286" w:name="_ETM_Q49_620120"/>
      <w:bookmarkEnd w:id="29286"/>
      <w:r>
        <w:rPr>
          <w:rFonts w:hint="cs"/>
          <w:rtl/>
        </w:rPr>
        <w:t>מספקת</w:t>
      </w:r>
      <w:bookmarkStart w:id="29287" w:name="_ETM_Q49_621160"/>
      <w:bookmarkEnd w:id="29287"/>
      <w:r>
        <w:rPr>
          <w:rFonts w:hint="cs"/>
          <w:rtl/>
        </w:rPr>
        <w:t xml:space="preserve">. הרי </w:t>
      </w:r>
      <w:bookmarkStart w:id="29288" w:name="_ETM_Q49_621400"/>
      <w:bookmarkEnd w:id="29288"/>
      <w:r>
        <w:rPr>
          <w:rFonts w:hint="cs"/>
          <w:rtl/>
        </w:rPr>
        <w:t xml:space="preserve">אנחנו </w:t>
      </w:r>
      <w:bookmarkStart w:id="29289" w:name="_ETM_Q49_621880"/>
      <w:bookmarkEnd w:id="29289"/>
      <w:r>
        <w:rPr>
          <w:rFonts w:hint="cs"/>
          <w:rtl/>
        </w:rPr>
        <w:t xml:space="preserve">זכאים </w:t>
      </w:r>
      <w:bookmarkStart w:id="29290" w:name="_ETM_Q49_622300"/>
      <w:bookmarkEnd w:id="29290"/>
      <w:r>
        <w:rPr>
          <w:rFonts w:hint="cs"/>
          <w:rtl/>
        </w:rPr>
        <w:t xml:space="preserve">למטרייה </w:t>
      </w:r>
      <w:bookmarkStart w:id="29291" w:name="_ETM_Q49_622840"/>
      <w:bookmarkEnd w:id="29291"/>
      <w:r>
        <w:rPr>
          <w:rFonts w:hint="cs"/>
          <w:rtl/>
        </w:rPr>
        <w:t xml:space="preserve">כזאת </w:t>
      </w:r>
      <w:bookmarkStart w:id="29292" w:name="_ETM_Q49_623380"/>
      <w:bookmarkEnd w:id="29292"/>
      <w:r>
        <w:rPr>
          <w:rFonts w:hint="cs"/>
          <w:rtl/>
        </w:rPr>
        <w:t xml:space="preserve">בכל </w:t>
      </w:r>
      <w:bookmarkStart w:id="29293" w:name="_ETM_Q49_623830"/>
      <w:bookmarkEnd w:id="29293"/>
      <w:r>
        <w:rPr>
          <w:rFonts w:hint="cs"/>
          <w:rtl/>
        </w:rPr>
        <w:t xml:space="preserve">הטריבונלים </w:t>
      </w:r>
      <w:bookmarkStart w:id="29294" w:name="_ETM_Q49_624490"/>
      <w:bookmarkEnd w:id="29294"/>
      <w:r>
        <w:rPr>
          <w:rFonts w:hint="cs"/>
          <w:rtl/>
        </w:rPr>
        <w:t xml:space="preserve">הבין-לאומיים </w:t>
      </w:r>
      <w:bookmarkStart w:id="29295" w:name="_ETM_Q49_625510"/>
      <w:bookmarkEnd w:id="29295"/>
      <w:r>
        <w:rPr>
          <w:rFonts w:hint="cs"/>
          <w:rtl/>
        </w:rPr>
        <w:t xml:space="preserve">בגלל </w:t>
      </w:r>
      <w:bookmarkStart w:id="29296" w:name="_ETM_Q49_626140"/>
      <w:bookmarkEnd w:id="29296"/>
      <w:r>
        <w:rPr>
          <w:rFonts w:hint="cs"/>
          <w:rtl/>
        </w:rPr>
        <w:t xml:space="preserve">בתי </w:t>
      </w:r>
      <w:bookmarkStart w:id="29297" w:name="_ETM_Q49_626440"/>
      <w:bookmarkEnd w:id="29297"/>
      <w:r>
        <w:rPr>
          <w:rFonts w:hint="cs"/>
          <w:rtl/>
        </w:rPr>
        <w:t xml:space="preserve">המשפט, </w:t>
      </w:r>
      <w:bookmarkStart w:id="29298" w:name="_ETM_Q49_627249"/>
      <w:bookmarkEnd w:id="29298"/>
      <w:r>
        <w:rPr>
          <w:rFonts w:hint="cs"/>
          <w:rtl/>
        </w:rPr>
        <w:t xml:space="preserve">בגלל </w:t>
      </w:r>
      <w:bookmarkStart w:id="29299" w:name="_ETM_Q49_627849"/>
      <w:bookmarkEnd w:id="29299"/>
      <w:r>
        <w:rPr>
          <w:rFonts w:hint="cs"/>
          <w:rtl/>
        </w:rPr>
        <w:t xml:space="preserve">עצמאות </w:t>
      </w:r>
      <w:bookmarkStart w:id="29300" w:name="_ETM_Q49_628299"/>
      <w:bookmarkEnd w:id="29300"/>
      <w:r>
        <w:rPr>
          <w:rFonts w:hint="cs"/>
          <w:rtl/>
        </w:rPr>
        <w:t xml:space="preserve">מערכת </w:t>
      </w:r>
      <w:bookmarkStart w:id="29301" w:name="_ETM_Q49_628659"/>
      <w:bookmarkEnd w:id="29301"/>
      <w:r>
        <w:rPr>
          <w:rFonts w:hint="cs"/>
          <w:rtl/>
        </w:rPr>
        <w:t xml:space="preserve">המשפט, </w:t>
      </w:r>
      <w:bookmarkStart w:id="29302" w:name="_ETM_Q49_629670"/>
      <w:bookmarkEnd w:id="29302"/>
      <w:r>
        <w:rPr>
          <w:rFonts w:hint="cs"/>
          <w:rtl/>
        </w:rPr>
        <w:t xml:space="preserve">בגלל </w:t>
      </w:r>
      <w:bookmarkStart w:id="29303" w:name="_ETM_Q49_630239"/>
      <w:bookmarkEnd w:id="29303"/>
      <w:r>
        <w:rPr>
          <w:rFonts w:hint="cs"/>
          <w:rtl/>
        </w:rPr>
        <w:t xml:space="preserve">העובדה </w:t>
      </w:r>
      <w:bookmarkStart w:id="29304" w:name="_ETM_Q49_631140"/>
      <w:bookmarkEnd w:id="29304"/>
      <w:r>
        <w:rPr>
          <w:rFonts w:hint="cs"/>
          <w:rtl/>
        </w:rPr>
        <w:t xml:space="preserve">שלממשלה </w:t>
      </w:r>
      <w:bookmarkStart w:id="29305" w:name="_ETM_Q49_631799"/>
      <w:bookmarkEnd w:id="29305"/>
      <w:r>
        <w:rPr>
          <w:rFonts w:hint="cs"/>
          <w:rtl/>
        </w:rPr>
        <w:t xml:space="preserve">אין </w:t>
      </w:r>
      <w:bookmarkStart w:id="29306" w:name="_ETM_Q49_631920"/>
      <w:bookmarkEnd w:id="29306"/>
      <w:r>
        <w:rPr>
          <w:rFonts w:hint="cs"/>
          <w:rtl/>
        </w:rPr>
        <w:t xml:space="preserve">כוח </w:t>
      </w:r>
      <w:bookmarkStart w:id="29307" w:name="_ETM_Q49_632129"/>
      <w:bookmarkEnd w:id="29307"/>
      <w:r>
        <w:rPr>
          <w:rFonts w:hint="cs"/>
          <w:rtl/>
        </w:rPr>
        <w:t xml:space="preserve">בלתי </w:t>
      </w:r>
      <w:bookmarkStart w:id="29308" w:name="_ETM_Q49_632430"/>
      <w:bookmarkEnd w:id="29308"/>
      <w:r>
        <w:rPr>
          <w:rFonts w:hint="cs"/>
          <w:rtl/>
        </w:rPr>
        <w:t xml:space="preserve">מוגבל. </w:t>
      </w:r>
      <w:bookmarkStart w:id="29309" w:name="_ETM_Q49_634180"/>
      <w:bookmarkEnd w:id="29309"/>
      <w:r>
        <w:rPr>
          <w:rFonts w:hint="cs"/>
          <w:rtl/>
        </w:rPr>
        <w:t xml:space="preserve">אז </w:t>
      </w:r>
      <w:bookmarkStart w:id="29310" w:name="_ETM_Q49_634360"/>
      <w:bookmarkEnd w:id="29310"/>
      <w:r>
        <w:rPr>
          <w:rFonts w:hint="cs"/>
          <w:rtl/>
        </w:rPr>
        <w:t xml:space="preserve">אתה, </w:t>
      </w:r>
      <w:bookmarkStart w:id="29311" w:name="_ETM_Q49_634900"/>
      <w:bookmarkEnd w:id="29311"/>
      <w:r>
        <w:rPr>
          <w:rFonts w:hint="cs"/>
          <w:rtl/>
        </w:rPr>
        <w:t xml:space="preserve">אבי </w:t>
      </w:r>
      <w:bookmarkStart w:id="29312" w:name="_ETM_Q49_635170"/>
      <w:bookmarkEnd w:id="29312"/>
      <w:r>
        <w:rPr>
          <w:rFonts w:hint="cs"/>
          <w:rtl/>
        </w:rPr>
        <w:t xml:space="preserve">דיכטר, </w:t>
      </w:r>
      <w:bookmarkStart w:id="29313" w:name="_ETM_Q49_636010"/>
      <w:bookmarkEnd w:id="29313"/>
      <w:r>
        <w:rPr>
          <w:rFonts w:hint="cs"/>
          <w:rtl/>
        </w:rPr>
        <w:t xml:space="preserve">מוכן </w:t>
      </w:r>
      <w:bookmarkStart w:id="29314" w:name="_ETM_Q49_636459"/>
      <w:bookmarkEnd w:id="29314"/>
      <w:r>
        <w:rPr>
          <w:rFonts w:hint="cs"/>
          <w:rtl/>
        </w:rPr>
        <w:t xml:space="preserve">לסכן </w:t>
      </w:r>
      <w:bookmarkStart w:id="29315" w:name="_ETM_Q49_637970"/>
      <w:bookmarkEnd w:id="29315"/>
      <w:r>
        <w:rPr>
          <w:rFonts w:hint="cs"/>
          <w:rtl/>
        </w:rPr>
        <w:t xml:space="preserve">את </w:t>
      </w:r>
      <w:bookmarkStart w:id="29316" w:name="_ETM_Q49_638120"/>
      <w:bookmarkEnd w:id="29316"/>
      <w:r>
        <w:rPr>
          <w:rFonts w:hint="cs"/>
          <w:rtl/>
        </w:rPr>
        <w:t xml:space="preserve">חיילות </w:t>
      </w:r>
      <w:bookmarkStart w:id="29317" w:name="_ETM_Q49_638570"/>
      <w:bookmarkEnd w:id="29317"/>
      <w:r>
        <w:rPr>
          <w:rFonts w:hint="cs"/>
          <w:rtl/>
        </w:rPr>
        <w:t xml:space="preserve">וחיילי </w:t>
      </w:r>
      <w:bookmarkStart w:id="29318" w:name="_ETM_Q49_639110"/>
      <w:bookmarkEnd w:id="29318"/>
      <w:r>
        <w:rPr>
          <w:rFonts w:hint="cs"/>
          <w:rtl/>
        </w:rPr>
        <w:t xml:space="preserve">צה"ל? </w:t>
      </w:r>
      <w:bookmarkStart w:id="29319" w:name="_ETM_Q49_640980"/>
      <w:bookmarkEnd w:id="29319"/>
      <w:r>
        <w:rPr>
          <w:rFonts w:hint="cs"/>
          <w:rtl/>
        </w:rPr>
        <w:t xml:space="preserve">למה? </w:t>
      </w:r>
      <w:bookmarkStart w:id="29320" w:name="_ETM_Q49_641910"/>
      <w:bookmarkEnd w:id="29320"/>
      <w:r>
        <w:rPr>
          <w:rFonts w:hint="cs"/>
          <w:rtl/>
        </w:rPr>
        <w:t xml:space="preserve">כי </w:t>
      </w:r>
      <w:bookmarkStart w:id="29321" w:name="_ETM_Q49_642000"/>
      <w:bookmarkEnd w:id="29321"/>
      <w:r>
        <w:rPr>
          <w:rFonts w:hint="cs"/>
          <w:rtl/>
        </w:rPr>
        <w:t xml:space="preserve">אתה </w:t>
      </w:r>
      <w:bookmarkStart w:id="29322" w:name="_ETM_Q49_642150"/>
      <w:bookmarkEnd w:id="29322"/>
      <w:r>
        <w:rPr>
          <w:rFonts w:hint="cs"/>
          <w:rtl/>
        </w:rPr>
        <w:t xml:space="preserve">חושב </w:t>
      </w:r>
      <w:bookmarkStart w:id="29323" w:name="_ETM_Q49_642540"/>
      <w:bookmarkEnd w:id="29323"/>
      <w:r>
        <w:rPr>
          <w:rFonts w:hint="cs"/>
          <w:rtl/>
        </w:rPr>
        <w:t xml:space="preserve">שאולי </w:t>
      </w:r>
      <w:bookmarkStart w:id="29324" w:name="_ETM_Q49_643080"/>
      <w:bookmarkEnd w:id="29324"/>
      <w:r>
        <w:rPr>
          <w:rFonts w:hint="cs"/>
          <w:rtl/>
        </w:rPr>
        <w:t xml:space="preserve">תהיה </w:t>
      </w:r>
      <w:bookmarkStart w:id="29325" w:name="_ETM_Q49_643380"/>
      <w:bookmarkEnd w:id="29325"/>
      <w:r>
        <w:rPr>
          <w:rFonts w:hint="cs"/>
          <w:rtl/>
        </w:rPr>
        <w:t xml:space="preserve">לך </w:t>
      </w:r>
      <w:bookmarkStart w:id="29326" w:name="_ETM_Q49_643620"/>
      <w:bookmarkEnd w:id="29326"/>
      <w:r>
        <w:rPr>
          <w:rFonts w:hint="cs"/>
          <w:rtl/>
        </w:rPr>
        <w:t xml:space="preserve">הזדמנות </w:t>
      </w:r>
      <w:bookmarkStart w:id="29327" w:name="_ETM_Q49_644550"/>
      <w:bookmarkEnd w:id="29327"/>
      <w:r>
        <w:rPr>
          <w:rFonts w:hint="cs"/>
          <w:rtl/>
        </w:rPr>
        <w:t xml:space="preserve">להחליף </w:t>
      </w:r>
      <w:bookmarkStart w:id="29328" w:name="_ETM_Q49_645120"/>
      <w:bookmarkEnd w:id="29328"/>
      <w:r>
        <w:rPr>
          <w:rFonts w:hint="cs"/>
          <w:rtl/>
        </w:rPr>
        <w:t>מתי</w:t>
      </w:r>
      <w:bookmarkStart w:id="29329" w:name="_ETM_Q49_645450"/>
      <w:bookmarkEnd w:id="29329"/>
      <w:r>
        <w:rPr>
          <w:rFonts w:hint="cs"/>
          <w:rtl/>
        </w:rPr>
        <w:t xml:space="preserve">שהו </w:t>
      </w:r>
      <w:bookmarkStart w:id="29330" w:name="_ETM_Q49_645630"/>
      <w:bookmarkEnd w:id="29330"/>
      <w:r>
        <w:rPr>
          <w:rFonts w:hint="cs"/>
          <w:rtl/>
        </w:rPr>
        <w:t xml:space="preserve">את </w:t>
      </w:r>
      <w:bookmarkStart w:id="29331" w:name="_ETM_Q49_645720"/>
      <w:bookmarkEnd w:id="29331"/>
      <w:r>
        <w:rPr>
          <w:rFonts w:hint="cs"/>
          <w:rtl/>
        </w:rPr>
        <w:t xml:space="preserve">נתניהו? </w:t>
      </w:r>
      <w:bookmarkStart w:id="29332" w:name="_ETM_Q49_647239"/>
      <w:bookmarkEnd w:id="29332"/>
      <w:r>
        <w:rPr>
          <w:rFonts w:hint="cs"/>
          <w:rtl/>
        </w:rPr>
        <w:t xml:space="preserve">עוד </w:t>
      </w:r>
      <w:bookmarkStart w:id="29333" w:name="_ETM_Q49_647420"/>
      <w:bookmarkEnd w:id="29333"/>
      <w:r>
        <w:rPr>
          <w:rFonts w:hint="cs"/>
          <w:rtl/>
        </w:rPr>
        <w:t xml:space="preserve">לא </w:t>
      </w:r>
      <w:bookmarkStart w:id="29334" w:name="_ETM_Q49_647540"/>
      <w:bookmarkEnd w:id="29334"/>
      <w:r>
        <w:rPr>
          <w:rFonts w:hint="cs"/>
          <w:rtl/>
        </w:rPr>
        <w:t xml:space="preserve">למדת, </w:t>
      </w:r>
      <w:bookmarkStart w:id="29335" w:name="_ETM_Q49_649180"/>
      <w:bookmarkEnd w:id="29335"/>
      <w:r>
        <w:rPr>
          <w:rFonts w:hint="cs"/>
          <w:rtl/>
        </w:rPr>
        <w:t xml:space="preserve">עוד </w:t>
      </w:r>
      <w:bookmarkStart w:id="29336" w:name="_ETM_Q49_649360"/>
      <w:bookmarkEnd w:id="29336"/>
      <w:r>
        <w:rPr>
          <w:rFonts w:hint="cs"/>
          <w:rtl/>
        </w:rPr>
        <w:t xml:space="preserve">לא </w:t>
      </w:r>
      <w:bookmarkStart w:id="29337" w:name="_ETM_Q49_649480"/>
      <w:bookmarkEnd w:id="29337"/>
      <w:r>
        <w:rPr>
          <w:rFonts w:hint="cs"/>
          <w:rtl/>
        </w:rPr>
        <w:t xml:space="preserve">ראית </w:t>
      </w:r>
      <w:bookmarkStart w:id="29338" w:name="_ETM_Q49_650609"/>
      <w:bookmarkEnd w:id="29338"/>
      <w:r>
        <w:rPr>
          <w:rFonts w:hint="cs"/>
          <w:rtl/>
        </w:rPr>
        <w:t xml:space="preserve">מה </w:t>
      </w:r>
      <w:bookmarkStart w:id="29339" w:name="_ETM_Q49_650939"/>
      <w:bookmarkEnd w:id="29339"/>
      <w:r>
        <w:rPr>
          <w:rFonts w:hint="cs"/>
          <w:rtl/>
        </w:rPr>
        <w:t xml:space="preserve">קרה </w:t>
      </w:r>
      <w:bookmarkStart w:id="29340" w:name="_ETM_Q49_651269"/>
      <w:bookmarkEnd w:id="29340"/>
      <w:r>
        <w:rPr>
          <w:rFonts w:hint="cs"/>
          <w:rtl/>
        </w:rPr>
        <w:t xml:space="preserve">לכל </w:t>
      </w:r>
      <w:bookmarkStart w:id="29341" w:name="_ETM_Q49_651599"/>
      <w:bookmarkEnd w:id="29341"/>
      <w:r>
        <w:rPr>
          <w:rFonts w:hint="cs"/>
          <w:rtl/>
        </w:rPr>
        <w:t xml:space="preserve">אלה </w:t>
      </w:r>
      <w:bookmarkStart w:id="29342" w:name="_ETM_Q49_651749"/>
      <w:bookmarkEnd w:id="29342"/>
      <w:r>
        <w:rPr>
          <w:rFonts w:hint="cs"/>
          <w:rtl/>
        </w:rPr>
        <w:t xml:space="preserve">שהיו </w:t>
      </w:r>
      <w:bookmarkStart w:id="29343" w:name="_ETM_Q49_652019"/>
      <w:bookmarkEnd w:id="29343"/>
      <w:r>
        <w:rPr>
          <w:rFonts w:hint="cs"/>
          <w:rtl/>
        </w:rPr>
        <w:t xml:space="preserve">לפניך? </w:t>
      </w:r>
      <w:bookmarkStart w:id="29344" w:name="_ETM_Q49_653769"/>
      <w:bookmarkEnd w:id="29344"/>
      <w:r>
        <w:rPr>
          <w:rFonts w:hint="cs"/>
          <w:rtl/>
        </w:rPr>
        <w:t xml:space="preserve">אחרי </w:t>
      </w:r>
      <w:bookmarkStart w:id="29345" w:name="_ETM_Q49_654069"/>
      <w:bookmarkEnd w:id="29345"/>
      <w:r>
        <w:rPr>
          <w:rFonts w:hint="cs"/>
          <w:rtl/>
        </w:rPr>
        <w:t xml:space="preserve">כל </w:t>
      </w:r>
      <w:bookmarkStart w:id="29346" w:name="_ETM_Q49_654219"/>
      <w:bookmarkEnd w:id="29346"/>
      <w:r>
        <w:rPr>
          <w:rFonts w:hint="cs"/>
          <w:rtl/>
        </w:rPr>
        <w:t xml:space="preserve">כך </w:t>
      </w:r>
      <w:bookmarkStart w:id="29347" w:name="_ETM_Q49_654489"/>
      <w:bookmarkEnd w:id="29347"/>
      <w:r>
        <w:rPr>
          <w:rFonts w:hint="cs"/>
          <w:rtl/>
        </w:rPr>
        <w:t xml:space="preserve">הרבה </w:t>
      </w:r>
      <w:bookmarkStart w:id="29348" w:name="_ETM_Q49_654760"/>
      <w:bookmarkEnd w:id="29348"/>
      <w:r>
        <w:rPr>
          <w:rFonts w:hint="cs"/>
          <w:rtl/>
        </w:rPr>
        <w:t xml:space="preserve">שנים </w:t>
      </w:r>
      <w:bookmarkStart w:id="29349" w:name="_ETM_Q49_655120"/>
      <w:bookmarkEnd w:id="29349"/>
      <w:r>
        <w:rPr>
          <w:rFonts w:hint="cs"/>
          <w:rtl/>
        </w:rPr>
        <w:t xml:space="preserve">בשירות </w:t>
      </w:r>
      <w:bookmarkStart w:id="29350" w:name="_ETM_Q49_655540"/>
      <w:bookmarkEnd w:id="29350"/>
      <w:r>
        <w:rPr>
          <w:rFonts w:hint="cs"/>
          <w:rtl/>
        </w:rPr>
        <w:t xml:space="preserve">המדינה </w:t>
      </w:r>
      <w:bookmarkStart w:id="29351" w:name="_ETM_Q49_656380"/>
      <w:bookmarkEnd w:id="29351"/>
      <w:r>
        <w:rPr>
          <w:rFonts w:hint="cs"/>
          <w:rtl/>
        </w:rPr>
        <w:t xml:space="preserve">יש </w:t>
      </w:r>
      <w:bookmarkStart w:id="29352" w:name="_ETM_Q49_656650"/>
      <w:bookmarkEnd w:id="29352"/>
      <w:r>
        <w:rPr>
          <w:rFonts w:hint="cs"/>
          <w:rtl/>
        </w:rPr>
        <w:t xml:space="preserve">גם </w:t>
      </w:r>
      <w:bookmarkStart w:id="29353" w:name="_ETM_Q49_656830"/>
      <w:bookmarkEnd w:id="29353"/>
      <w:r>
        <w:rPr>
          <w:rFonts w:hint="cs"/>
          <w:rtl/>
        </w:rPr>
        <w:t xml:space="preserve">לך, </w:t>
      </w:r>
      <w:bookmarkStart w:id="29354" w:name="_ETM_Q49_657790"/>
      <w:bookmarkEnd w:id="29354"/>
      <w:r>
        <w:rPr>
          <w:rFonts w:hint="cs"/>
          <w:rtl/>
        </w:rPr>
        <w:t xml:space="preserve">אבי </w:t>
      </w:r>
      <w:bookmarkStart w:id="29355" w:name="_ETM_Q49_658209"/>
      <w:bookmarkEnd w:id="29355"/>
      <w:r>
        <w:rPr>
          <w:rFonts w:hint="cs"/>
          <w:rtl/>
        </w:rPr>
        <w:t xml:space="preserve">דיכטר, </w:t>
      </w:r>
      <w:bookmarkStart w:id="29356" w:name="_ETM_Q49_658629"/>
      <w:bookmarkEnd w:id="29356"/>
      <w:r>
        <w:rPr>
          <w:rFonts w:hint="cs"/>
          <w:rtl/>
        </w:rPr>
        <w:t xml:space="preserve">אחריות. </w:t>
      </w:r>
      <w:bookmarkStart w:id="29357" w:name="_ETM_Q49_659050"/>
      <w:bookmarkEnd w:id="29357"/>
      <w:r>
        <w:rPr>
          <w:rFonts w:hint="cs"/>
          <w:rtl/>
        </w:rPr>
        <w:t xml:space="preserve">בשביל </w:t>
      </w:r>
      <w:bookmarkStart w:id="29358" w:name="_ETM_Q49_659379"/>
      <w:bookmarkEnd w:id="29358"/>
      <w:r>
        <w:rPr>
          <w:rFonts w:hint="cs"/>
          <w:rtl/>
        </w:rPr>
        <w:t xml:space="preserve">זה </w:t>
      </w:r>
      <w:bookmarkStart w:id="29359" w:name="_ETM_Q49_659560"/>
      <w:bookmarkEnd w:id="29359"/>
      <w:r>
        <w:rPr>
          <w:rFonts w:hint="cs"/>
          <w:rtl/>
        </w:rPr>
        <w:t xml:space="preserve">נלחמת. </w:t>
      </w:r>
      <w:bookmarkStart w:id="29360" w:name="_ETM_Q49_660670"/>
      <w:bookmarkEnd w:id="29360"/>
      <w:r>
        <w:rPr>
          <w:rFonts w:hint="cs"/>
          <w:rtl/>
        </w:rPr>
        <w:t xml:space="preserve">אתה </w:t>
      </w:r>
      <w:bookmarkStart w:id="29361" w:name="_ETM_Q49_660819"/>
      <w:bookmarkEnd w:id="29361"/>
      <w:r>
        <w:rPr>
          <w:rFonts w:hint="cs"/>
          <w:rtl/>
        </w:rPr>
        <w:t xml:space="preserve">יושב </w:t>
      </w:r>
      <w:bookmarkStart w:id="29362" w:name="_ETM_Q49_661239"/>
      <w:bookmarkEnd w:id="29362"/>
      <w:r>
        <w:rPr>
          <w:rFonts w:hint="cs"/>
          <w:rtl/>
        </w:rPr>
        <w:t xml:space="preserve">כאן, </w:t>
      </w:r>
      <w:bookmarkStart w:id="29363" w:name="_ETM_Q49_661660"/>
      <w:bookmarkEnd w:id="29363"/>
      <w:r>
        <w:rPr>
          <w:rFonts w:hint="cs"/>
          <w:rtl/>
        </w:rPr>
        <w:t xml:space="preserve">לאצבע </w:t>
      </w:r>
      <w:bookmarkStart w:id="29364" w:name="_ETM_Q49_662050"/>
      <w:bookmarkEnd w:id="29364"/>
      <w:r>
        <w:rPr>
          <w:rFonts w:hint="cs"/>
          <w:rtl/>
        </w:rPr>
        <w:t xml:space="preserve">שלך </w:t>
      </w:r>
      <w:bookmarkStart w:id="29365" w:name="_ETM_Q49_662319"/>
      <w:bookmarkEnd w:id="29365"/>
      <w:r>
        <w:rPr>
          <w:rFonts w:hint="cs"/>
          <w:rtl/>
        </w:rPr>
        <w:t xml:space="preserve">יש </w:t>
      </w:r>
      <w:bookmarkStart w:id="29366" w:name="_ETM_Q49_662440"/>
      <w:bookmarkEnd w:id="29366"/>
      <w:r>
        <w:rPr>
          <w:rFonts w:hint="cs"/>
          <w:rtl/>
        </w:rPr>
        <w:t xml:space="preserve">משמעות, </w:t>
      </w:r>
      <w:bookmarkStart w:id="29367" w:name="_ETM_Q49_663560"/>
      <w:bookmarkEnd w:id="29367"/>
      <w:r>
        <w:rPr>
          <w:rFonts w:hint="cs"/>
          <w:rtl/>
        </w:rPr>
        <w:t xml:space="preserve">היא </w:t>
      </w:r>
      <w:bookmarkStart w:id="29368" w:name="_ETM_Q49_663680"/>
      <w:bookmarkEnd w:id="29368"/>
      <w:r>
        <w:rPr>
          <w:rFonts w:hint="cs"/>
          <w:rtl/>
        </w:rPr>
        <w:t xml:space="preserve">יכולה </w:t>
      </w:r>
      <w:bookmarkStart w:id="29369" w:name="_ETM_Q49_664040"/>
      <w:bookmarkEnd w:id="29369"/>
      <w:r>
        <w:rPr>
          <w:rFonts w:hint="cs"/>
          <w:rtl/>
        </w:rPr>
        <w:t xml:space="preserve">לעצור </w:t>
      </w:r>
      <w:bookmarkStart w:id="29370" w:name="_ETM_Q49_664489"/>
      <w:bookmarkEnd w:id="29370"/>
      <w:r>
        <w:rPr>
          <w:rFonts w:hint="cs"/>
          <w:rtl/>
        </w:rPr>
        <w:t xml:space="preserve">את </w:t>
      </w:r>
      <w:bookmarkStart w:id="29371" w:name="_ETM_Q49_664580"/>
      <w:bookmarkEnd w:id="29371"/>
      <w:r>
        <w:rPr>
          <w:rFonts w:hint="cs"/>
          <w:rtl/>
        </w:rPr>
        <w:t>זה.</w:t>
      </w:r>
    </w:p>
    <w:p w:rsidR="00BB59CD" w:rsidRDefault="00BB59CD" w:rsidP="00BB59CD">
      <w:pPr>
        <w:rPr>
          <w:rtl/>
        </w:rPr>
      </w:pPr>
    </w:p>
    <w:p w:rsidR="00BB59CD" w:rsidRDefault="00BB59CD" w:rsidP="00AD5596">
      <w:pPr>
        <w:rPr>
          <w:rtl/>
        </w:rPr>
      </w:pPr>
      <w:bookmarkStart w:id="29372" w:name="_ETM_Q49_666390"/>
      <w:bookmarkEnd w:id="29372"/>
      <w:r>
        <w:rPr>
          <w:rFonts w:hint="cs"/>
          <w:rtl/>
        </w:rPr>
        <w:t xml:space="preserve">אם </w:t>
      </w:r>
      <w:bookmarkStart w:id="29373" w:name="_ETM_Q49_666510"/>
      <w:bookmarkEnd w:id="29373"/>
      <w:r>
        <w:rPr>
          <w:rFonts w:hint="cs"/>
          <w:rtl/>
        </w:rPr>
        <w:t xml:space="preserve">נסתכל </w:t>
      </w:r>
      <w:bookmarkStart w:id="29374" w:name="_ETM_Q49_666990"/>
      <w:bookmarkEnd w:id="29374"/>
      <w:r>
        <w:rPr>
          <w:rFonts w:hint="cs"/>
          <w:rtl/>
        </w:rPr>
        <w:t xml:space="preserve">על </w:t>
      </w:r>
      <w:bookmarkStart w:id="29375" w:name="_ETM_Q49_667080"/>
      <w:bookmarkEnd w:id="29375"/>
      <w:r>
        <w:rPr>
          <w:rFonts w:hint="cs"/>
          <w:rtl/>
        </w:rPr>
        <w:t xml:space="preserve">ניר </w:t>
      </w:r>
      <w:bookmarkStart w:id="29376" w:name="_ETM_Q49_667290"/>
      <w:bookmarkEnd w:id="29376"/>
      <w:r>
        <w:rPr>
          <w:rFonts w:hint="cs"/>
          <w:rtl/>
        </w:rPr>
        <w:t xml:space="preserve">ברקת, </w:t>
      </w:r>
      <w:bookmarkStart w:id="29377" w:name="_ETM_Q49_668220"/>
      <w:bookmarkEnd w:id="29377"/>
      <w:r>
        <w:rPr>
          <w:rFonts w:hint="cs"/>
          <w:rtl/>
        </w:rPr>
        <w:t xml:space="preserve">שיודע </w:t>
      </w:r>
      <w:bookmarkStart w:id="29378" w:name="_ETM_Q49_668850"/>
      <w:bookmarkEnd w:id="29378"/>
      <w:r>
        <w:rPr>
          <w:rFonts w:hint="cs"/>
          <w:rtl/>
        </w:rPr>
        <w:t xml:space="preserve">מה </w:t>
      </w:r>
      <w:bookmarkStart w:id="29379" w:name="_ETM_Q49_668970"/>
      <w:bookmarkEnd w:id="29379"/>
      <w:r>
        <w:rPr>
          <w:rFonts w:hint="cs"/>
          <w:rtl/>
        </w:rPr>
        <w:t xml:space="preserve">קורה </w:t>
      </w:r>
      <w:bookmarkStart w:id="29380" w:name="_ETM_Q49_669210"/>
      <w:bookmarkEnd w:id="29380"/>
      <w:r>
        <w:rPr>
          <w:rFonts w:hint="cs"/>
          <w:rtl/>
        </w:rPr>
        <w:t xml:space="preserve">בהייטק </w:t>
      </w:r>
      <w:bookmarkStart w:id="29381" w:name="_ETM_Q49_669630"/>
      <w:bookmarkEnd w:id="29381"/>
      <w:r>
        <w:rPr>
          <w:rFonts w:hint="cs"/>
          <w:rtl/>
        </w:rPr>
        <w:t xml:space="preserve">הישראלי, </w:t>
      </w:r>
      <w:bookmarkStart w:id="29382" w:name="_ETM_Q49_670590"/>
      <w:bookmarkEnd w:id="29382"/>
      <w:r>
        <w:rPr>
          <w:rFonts w:hint="cs"/>
          <w:rtl/>
        </w:rPr>
        <w:t xml:space="preserve">הוא </w:t>
      </w:r>
      <w:bookmarkStart w:id="29383" w:name="_ETM_Q49_670740"/>
      <w:bookmarkEnd w:id="29383"/>
      <w:r>
        <w:rPr>
          <w:rFonts w:hint="cs"/>
          <w:rtl/>
        </w:rPr>
        <w:t xml:space="preserve">יודע </w:t>
      </w:r>
      <w:bookmarkStart w:id="29384" w:name="_ETM_Q49_671130"/>
      <w:bookmarkEnd w:id="29384"/>
      <w:r>
        <w:rPr>
          <w:rFonts w:hint="cs"/>
          <w:rtl/>
        </w:rPr>
        <w:t xml:space="preserve">שכלכלת </w:t>
      </w:r>
      <w:bookmarkStart w:id="29385" w:name="_ETM_Q49_671850"/>
      <w:bookmarkEnd w:id="29385"/>
      <w:r>
        <w:rPr>
          <w:rFonts w:hint="cs"/>
          <w:rtl/>
        </w:rPr>
        <w:t xml:space="preserve">בעזרת </w:t>
      </w:r>
      <w:bookmarkStart w:id="29386" w:name="_ETM_Q49_672270"/>
      <w:bookmarkEnd w:id="29386"/>
      <w:r>
        <w:rPr>
          <w:rFonts w:hint="cs"/>
          <w:rtl/>
        </w:rPr>
        <w:t xml:space="preserve">השם </w:t>
      </w:r>
      <w:bookmarkStart w:id="29387" w:name="_ETM_Q49_672630"/>
      <w:bookmarkEnd w:id="29387"/>
      <w:r>
        <w:rPr>
          <w:rFonts w:hint="cs"/>
          <w:rtl/>
        </w:rPr>
        <w:t xml:space="preserve">שעליה </w:t>
      </w:r>
      <w:bookmarkStart w:id="29388" w:name="_ETM_Q49_673020"/>
      <w:bookmarkEnd w:id="29388"/>
      <w:r>
        <w:rPr>
          <w:rFonts w:hint="cs"/>
          <w:rtl/>
        </w:rPr>
        <w:t xml:space="preserve">מדבר </w:t>
      </w:r>
      <w:bookmarkStart w:id="29389" w:name="_ETM_Q49_674249"/>
      <w:bookmarkEnd w:id="29389"/>
      <w:r>
        <w:rPr>
          <w:rFonts w:hint="cs"/>
          <w:rtl/>
        </w:rPr>
        <w:t xml:space="preserve">בצלאל </w:t>
      </w:r>
      <w:bookmarkStart w:id="29390" w:name="_ETM_Q49_674760"/>
      <w:bookmarkEnd w:id="29390"/>
      <w:r>
        <w:rPr>
          <w:rFonts w:hint="cs"/>
          <w:rtl/>
        </w:rPr>
        <w:t xml:space="preserve">סמוטריץ' </w:t>
      </w:r>
      <w:bookmarkStart w:id="29391" w:name="_ETM_Q49_675239"/>
      <w:bookmarkEnd w:id="29391"/>
      <w:r>
        <w:rPr>
          <w:rFonts w:hint="cs"/>
          <w:rtl/>
        </w:rPr>
        <w:t xml:space="preserve">לא </w:t>
      </w:r>
      <w:bookmarkStart w:id="29392" w:name="_ETM_Q49_675329"/>
      <w:bookmarkEnd w:id="29392"/>
      <w:r>
        <w:rPr>
          <w:rFonts w:hint="cs"/>
          <w:rtl/>
        </w:rPr>
        <w:t xml:space="preserve">קיימת. </w:t>
      </w:r>
      <w:bookmarkStart w:id="29393" w:name="_ETM_Q49_676420"/>
      <w:bookmarkEnd w:id="29393"/>
      <w:r>
        <w:rPr>
          <w:rFonts w:hint="cs"/>
          <w:rtl/>
        </w:rPr>
        <w:t xml:space="preserve">הוא </w:t>
      </w:r>
      <w:bookmarkStart w:id="29394" w:name="_ETM_Q49_676569"/>
      <w:bookmarkEnd w:id="29394"/>
      <w:r>
        <w:rPr>
          <w:rFonts w:hint="cs"/>
          <w:rtl/>
        </w:rPr>
        <w:t xml:space="preserve">יודע </w:t>
      </w:r>
      <w:bookmarkStart w:id="29395" w:name="_ETM_Q49_676989"/>
      <w:bookmarkEnd w:id="29395"/>
      <w:r>
        <w:rPr>
          <w:rFonts w:hint="cs"/>
          <w:rtl/>
        </w:rPr>
        <w:t>שמ</w:t>
      </w:r>
      <w:bookmarkStart w:id="29396" w:name="_ETM_Q49_677349"/>
      <w:bookmarkEnd w:id="29396"/>
      <w:r>
        <w:rPr>
          <w:rFonts w:hint="cs"/>
          <w:rtl/>
        </w:rPr>
        <w:t xml:space="preserve">ינואר </w:t>
      </w:r>
      <w:bookmarkStart w:id="29397" w:name="_ETM_Q49_679120"/>
      <w:bookmarkEnd w:id="29397"/>
      <w:r>
        <w:rPr>
          <w:rFonts w:hint="cs"/>
          <w:rtl/>
        </w:rPr>
        <w:t xml:space="preserve">כל </w:t>
      </w:r>
      <w:bookmarkStart w:id="29398" w:name="_ETM_Q49_679360"/>
      <w:bookmarkEnd w:id="29398"/>
      <w:r>
        <w:rPr>
          <w:rFonts w:hint="cs"/>
          <w:rtl/>
        </w:rPr>
        <w:t xml:space="preserve">המדדים </w:t>
      </w:r>
      <w:bookmarkStart w:id="29399" w:name="_ETM_Q49_679810"/>
      <w:bookmarkEnd w:id="29399"/>
      <w:r>
        <w:rPr>
          <w:rFonts w:hint="cs"/>
          <w:rtl/>
        </w:rPr>
        <w:t xml:space="preserve">של </w:t>
      </w:r>
      <w:bookmarkStart w:id="29400" w:name="_ETM_Q49_679990"/>
      <w:bookmarkEnd w:id="29400"/>
      <w:r>
        <w:rPr>
          <w:rFonts w:hint="cs"/>
          <w:rtl/>
        </w:rPr>
        <w:t xml:space="preserve">ההשקעות </w:t>
      </w:r>
      <w:bookmarkStart w:id="29401" w:name="_ETM_Q49_680440"/>
      <w:bookmarkEnd w:id="29401"/>
      <w:r>
        <w:rPr>
          <w:rFonts w:hint="cs"/>
          <w:rtl/>
        </w:rPr>
        <w:t xml:space="preserve">בחברות </w:t>
      </w:r>
      <w:bookmarkStart w:id="29402" w:name="_ETM_Q49_680980"/>
      <w:bookmarkEnd w:id="29402"/>
      <w:r>
        <w:rPr>
          <w:rFonts w:hint="cs"/>
          <w:rtl/>
        </w:rPr>
        <w:t xml:space="preserve">ההייטק </w:t>
      </w:r>
      <w:bookmarkStart w:id="29403" w:name="_ETM_Q49_681340"/>
      <w:bookmarkEnd w:id="29403"/>
      <w:r>
        <w:rPr>
          <w:rFonts w:hint="cs"/>
          <w:rtl/>
        </w:rPr>
        <w:t xml:space="preserve">בכל </w:t>
      </w:r>
      <w:bookmarkStart w:id="29404" w:name="_ETM_Q49_681670"/>
      <w:bookmarkEnd w:id="29404"/>
      <w:r>
        <w:rPr>
          <w:rFonts w:hint="cs"/>
          <w:rtl/>
        </w:rPr>
        <w:t xml:space="preserve">העולם </w:t>
      </w:r>
      <w:bookmarkStart w:id="29405" w:name="_ETM_Q49_682390"/>
      <w:bookmarkEnd w:id="29405"/>
      <w:r>
        <w:rPr>
          <w:rFonts w:hint="cs"/>
          <w:rtl/>
        </w:rPr>
        <w:t xml:space="preserve">עולים </w:t>
      </w:r>
      <w:bookmarkStart w:id="29406" w:name="_ETM_Q49_683200"/>
      <w:bookmarkEnd w:id="29406"/>
      <w:r>
        <w:rPr>
          <w:rFonts w:hint="cs"/>
          <w:rtl/>
        </w:rPr>
        <w:t xml:space="preserve">ובמדינת </w:t>
      </w:r>
      <w:bookmarkStart w:id="29407" w:name="_ETM_Q49_683740"/>
      <w:bookmarkEnd w:id="29407"/>
      <w:r>
        <w:rPr>
          <w:rFonts w:hint="cs"/>
          <w:rtl/>
        </w:rPr>
        <w:t xml:space="preserve">ישראל </w:t>
      </w:r>
      <w:bookmarkStart w:id="29408" w:name="_ETM_Q49_684100"/>
      <w:bookmarkEnd w:id="29408"/>
      <w:r>
        <w:rPr>
          <w:rFonts w:hint="cs"/>
          <w:rtl/>
        </w:rPr>
        <w:t xml:space="preserve">צונחים. </w:t>
      </w:r>
      <w:bookmarkStart w:id="29409" w:name="_ETM_Q49_685159"/>
      <w:bookmarkEnd w:id="29409"/>
      <w:r>
        <w:rPr>
          <w:rFonts w:hint="cs"/>
          <w:rtl/>
        </w:rPr>
        <w:t xml:space="preserve">הוא </w:t>
      </w:r>
      <w:bookmarkStart w:id="29410" w:name="_ETM_Q49_685430"/>
      <w:bookmarkEnd w:id="29410"/>
      <w:r>
        <w:rPr>
          <w:rFonts w:hint="cs"/>
          <w:rtl/>
        </w:rPr>
        <w:t xml:space="preserve">יודע. </w:t>
      </w:r>
      <w:bookmarkStart w:id="29411" w:name="_ETM_Q49_686310"/>
      <w:bookmarkEnd w:id="29411"/>
      <w:r>
        <w:rPr>
          <w:rFonts w:hint="cs"/>
          <w:rtl/>
        </w:rPr>
        <w:t xml:space="preserve">הוא </w:t>
      </w:r>
      <w:bookmarkStart w:id="29412" w:name="_ETM_Q49_686400"/>
      <w:bookmarkEnd w:id="29412"/>
      <w:r>
        <w:rPr>
          <w:rFonts w:hint="cs"/>
          <w:rtl/>
        </w:rPr>
        <w:t xml:space="preserve">גם </w:t>
      </w:r>
      <w:bookmarkStart w:id="29413" w:name="_ETM_Q49_686579"/>
      <w:bookmarkEnd w:id="29413"/>
      <w:r>
        <w:rPr>
          <w:rFonts w:hint="cs"/>
          <w:rtl/>
        </w:rPr>
        <w:t xml:space="preserve">יודע </w:t>
      </w:r>
      <w:bookmarkStart w:id="29414" w:name="_ETM_Q49_686849"/>
      <w:bookmarkEnd w:id="29414"/>
      <w:r>
        <w:rPr>
          <w:rFonts w:hint="cs"/>
          <w:rtl/>
        </w:rPr>
        <w:t xml:space="preserve">למה </w:t>
      </w:r>
      <w:bookmarkStart w:id="29415" w:name="_ETM_Q49_687030"/>
      <w:bookmarkEnd w:id="29415"/>
      <w:r>
        <w:rPr>
          <w:rFonts w:hint="cs"/>
          <w:rtl/>
        </w:rPr>
        <w:t xml:space="preserve">זה </w:t>
      </w:r>
      <w:bookmarkStart w:id="29416" w:name="_ETM_Q49_687180"/>
      <w:bookmarkEnd w:id="29416"/>
      <w:r>
        <w:rPr>
          <w:rFonts w:hint="cs"/>
          <w:rtl/>
        </w:rPr>
        <w:t xml:space="preserve">קורה. </w:t>
      </w:r>
      <w:bookmarkStart w:id="29417" w:name="_ETM_Q49_689280"/>
      <w:bookmarkEnd w:id="29417"/>
      <w:r>
        <w:rPr>
          <w:rFonts w:hint="cs"/>
          <w:rtl/>
        </w:rPr>
        <w:t xml:space="preserve">אתה </w:t>
      </w:r>
      <w:bookmarkStart w:id="29418" w:name="_ETM_Q49_689580"/>
      <w:bookmarkEnd w:id="29418"/>
      <w:r>
        <w:rPr>
          <w:rFonts w:hint="cs"/>
          <w:rtl/>
        </w:rPr>
        <w:t xml:space="preserve">לא </w:t>
      </w:r>
      <w:bookmarkStart w:id="29419" w:name="_ETM_Q49_689730"/>
      <w:bookmarkEnd w:id="29419"/>
      <w:r>
        <w:rPr>
          <w:rFonts w:hint="cs"/>
          <w:rtl/>
        </w:rPr>
        <w:t xml:space="preserve">תעצור </w:t>
      </w:r>
      <w:bookmarkStart w:id="29420" w:name="_ETM_Q49_690180"/>
      <w:bookmarkEnd w:id="29420"/>
      <w:r>
        <w:rPr>
          <w:rFonts w:hint="cs"/>
          <w:rtl/>
        </w:rPr>
        <w:t xml:space="preserve">את </w:t>
      </w:r>
      <w:bookmarkStart w:id="29421" w:name="_ETM_Q49_690269"/>
      <w:bookmarkEnd w:id="29421"/>
      <w:r>
        <w:rPr>
          <w:rFonts w:hint="cs"/>
          <w:rtl/>
        </w:rPr>
        <w:t xml:space="preserve">זה? </w:t>
      </w:r>
      <w:bookmarkStart w:id="29422" w:name="_ETM_Q49_690720"/>
      <w:bookmarkEnd w:id="29422"/>
      <w:r>
        <w:rPr>
          <w:rFonts w:hint="cs"/>
          <w:rtl/>
        </w:rPr>
        <w:t xml:space="preserve">יש </w:t>
      </w:r>
      <w:bookmarkStart w:id="29423" w:name="_ETM_Q49_690989"/>
      <w:bookmarkEnd w:id="29423"/>
      <w:r>
        <w:rPr>
          <w:rFonts w:hint="cs"/>
          <w:rtl/>
        </w:rPr>
        <w:t xml:space="preserve">לך </w:t>
      </w:r>
      <w:bookmarkStart w:id="29424" w:name="_ETM_Q49_691230"/>
      <w:bookmarkEnd w:id="29424"/>
      <w:r>
        <w:rPr>
          <w:rFonts w:hint="cs"/>
          <w:rtl/>
        </w:rPr>
        <w:t xml:space="preserve">את </w:t>
      </w:r>
      <w:bookmarkStart w:id="29425" w:name="_ETM_Q49_691379"/>
      <w:bookmarkEnd w:id="29425"/>
      <w:r>
        <w:rPr>
          <w:rFonts w:hint="cs"/>
          <w:rtl/>
        </w:rPr>
        <w:t xml:space="preserve">ההזדמנות </w:t>
      </w:r>
      <w:bookmarkStart w:id="29426" w:name="_ETM_Q49_692519"/>
      <w:bookmarkEnd w:id="29426"/>
      <w:r>
        <w:rPr>
          <w:rFonts w:hint="cs"/>
          <w:rtl/>
        </w:rPr>
        <w:t xml:space="preserve">לקום </w:t>
      </w:r>
      <w:bookmarkStart w:id="29427" w:name="_ETM_Q49_693000"/>
      <w:bookmarkEnd w:id="29427"/>
      <w:r>
        <w:rPr>
          <w:rFonts w:hint="cs"/>
          <w:rtl/>
        </w:rPr>
        <w:t xml:space="preserve">ולעצור </w:t>
      </w:r>
      <w:bookmarkStart w:id="29428" w:name="_ETM_Q49_693540"/>
      <w:bookmarkEnd w:id="29428"/>
      <w:r>
        <w:rPr>
          <w:rFonts w:hint="cs"/>
          <w:rtl/>
        </w:rPr>
        <w:t xml:space="preserve">ולא </w:t>
      </w:r>
      <w:bookmarkStart w:id="29429" w:name="_ETM_Q49_693780"/>
      <w:bookmarkEnd w:id="29429"/>
      <w:r>
        <w:rPr>
          <w:rFonts w:hint="cs"/>
          <w:rtl/>
        </w:rPr>
        <w:t xml:space="preserve">תעשה </w:t>
      </w:r>
      <w:bookmarkStart w:id="29430" w:name="_ETM_Q49_694230"/>
      <w:bookmarkEnd w:id="29430"/>
      <w:r>
        <w:rPr>
          <w:rFonts w:hint="cs"/>
          <w:rtl/>
        </w:rPr>
        <w:t xml:space="preserve">את </w:t>
      </w:r>
      <w:bookmarkStart w:id="29431" w:name="_ETM_Q49_694290"/>
      <w:bookmarkEnd w:id="29431"/>
      <w:r>
        <w:rPr>
          <w:rFonts w:hint="cs"/>
          <w:rtl/>
        </w:rPr>
        <w:t>זה?</w:t>
      </w:r>
    </w:p>
    <w:p w:rsidR="00BB59CD" w:rsidRDefault="00BB59CD" w:rsidP="00BB59CD">
      <w:pPr>
        <w:rPr>
          <w:rtl/>
        </w:rPr>
      </w:pPr>
    </w:p>
    <w:p w:rsidR="00BB59CD" w:rsidRDefault="00BB59CD" w:rsidP="00AD5596">
      <w:pPr>
        <w:rPr>
          <w:rtl/>
        </w:rPr>
      </w:pPr>
      <w:bookmarkStart w:id="29432" w:name="_ETM_Q49_696000"/>
      <w:bookmarkStart w:id="29433" w:name="_ETM_Q49_695670"/>
      <w:bookmarkEnd w:id="29432"/>
      <w:bookmarkEnd w:id="29433"/>
      <w:r>
        <w:rPr>
          <w:rFonts w:hint="cs"/>
          <w:rtl/>
        </w:rPr>
        <w:t xml:space="preserve">והאחרון </w:t>
      </w:r>
      <w:bookmarkStart w:id="29434" w:name="_ETM_Q49_696269"/>
      <w:bookmarkEnd w:id="29434"/>
      <w:r>
        <w:rPr>
          <w:rFonts w:hint="cs"/>
          <w:rtl/>
        </w:rPr>
        <w:t xml:space="preserve">שאני </w:t>
      </w:r>
      <w:bookmarkStart w:id="29435" w:name="_ETM_Q49_696480"/>
      <w:bookmarkEnd w:id="29435"/>
      <w:r>
        <w:rPr>
          <w:rFonts w:hint="cs"/>
          <w:rtl/>
        </w:rPr>
        <w:t xml:space="preserve">לא </w:t>
      </w:r>
      <w:bookmarkStart w:id="29436" w:name="_ETM_Q49_696599"/>
      <w:bookmarkEnd w:id="29436"/>
      <w:r>
        <w:rPr>
          <w:rFonts w:hint="cs"/>
          <w:rtl/>
        </w:rPr>
        <w:t xml:space="preserve">מבין </w:t>
      </w:r>
      <w:bookmarkStart w:id="29437" w:name="_ETM_Q49_696929"/>
      <w:bookmarkEnd w:id="29437"/>
      <w:r>
        <w:rPr>
          <w:rFonts w:hint="cs"/>
          <w:rtl/>
        </w:rPr>
        <w:t xml:space="preserve">אותו </w:t>
      </w:r>
      <w:bookmarkStart w:id="29438" w:name="_ETM_Q49_698419"/>
      <w:bookmarkEnd w:id="29438"/>
      <w:r>
        <w:rPr>
          <w:rFonts w:hint="cs"/>
          <w:rtl/>
        </w:rPr>
        <w:t xml:space="preserve">זה </w:t>
      </w:r>
      <w:bookmarkStart w:id="29439" w:name="_ETM_Q49_698599"/>
      <w:bookmarkEnd w:id="29439"/>
      <w:r>
        <w:rPr>
          <w:rFonts w:hint="cs"/>
          <w:rtl/>
        </w:rPr>
        <w:t xml:space="preserve">יואב </w:t>
      </w:r>
      <w:bookmarkStart w:id="29440" w:name="_ETM_Q49_698870"/>
      <w:bookmarkEnd w:id="29440"/>
      <w:r>
        <w:rPr>
          <w:rFonts w:hint="cs"/>
          <w:rtl/>
        </w:rPr>
        <w:t xml:space="preserve">גלנט. </w:t>
      </w:r>
      <w:bookmarkStart w:id="29441" w:name="_ETM_Q49_701599"/>
      <w:bookmarkEnd w:id="29441"/>
      <w:r>
        <w:rPr>
          <w:rFonts w:hint="cs"/>
          <w:rtl/>
        </w:rPr>
        <w:t xml:space="preserve">אני לא </w:t>
      </w:r>
      <w:bookmarkStart w:id="29442" w:name="_ETM_Q49_701750"/>
      <w:bookmarkEnd w:id="29442"/>
      <w:r>
        <w:rPr>
          <w:rFonts w:hint="cs"/>
          <w:rtl/>
        </w:rPr>
        <w:t xml:space="preserve">יודע </w:t>
      </w:r>
      <w:bookmarkStart w:id="29443" w:name="_ETM_Q49_701959"/>
      <w:bookmarkEnd w:id="29443"/>
      <w:r>
        <w:rPr>
          <w:rFonts w:hint="cs"/>
          <w:rtl/>
        </w:rPr>
        <w:t xml:space="preserve">אם </w:t>
      </w:r>
      <w:bookmarkStart w:id="29444" w:name="_ETM_Q49_702080"/>
      <w:bookmarkEnd w:id="29444"/>
      <w:r>
        <w:rPr>
          <w:rFonts w:hint="cs"/>
          <w:rtl/>
        </w:rPr>
        <w:t xml:space="preserve">אתם </w:t>
      </w:r>
      <w:bookmarkStart w:id="29445" w:name="_ETM_Q49_702319"/>
      <w:bookmarkEnd w:id="29445"/>
      <w:r>
        <w:rPr>
          <w:rFonts w:hint="cs"/>
          <w:rtl/>
        </w:rPr>
        <w:t xml:space="preserve">יודעים </w:t>
      </w:r>
      <w:bookmarkStart w:id="29446" w:name="_ETM_Q49_702650"/>
      <w:bookmarkEnd w:id="29446"/>
      <w:r>
        <w:rPr>
          <w:rFonts w:hint="cs"/>
          <w:rtl/>
        </w:rPr>
        <w:t xml:space="preserve">– אני </w:t>
      </w:r>
      <w:bookmarkStart w:id="29447" w:name="_ETM_Q49_702799"/>
      <w:bookmarkEnd w:id="29447"/>
      <w:r>
        <w:rPr>
          <w:rFonts w:hint="cs"/>
          <w:rtl/>
        </w:rPr>
        <w:t xml:space="preserve">אגלה </w:t>
      </w:r>
      <w:bookmarkStart w:id="29448" w:name="_ETM_Q49_703040"/>
      <w:bookmarkEnd w:id="29448"/>
      <w:r>
        <w:rPr>
          <w:rFonts w:hint="cs"/>
          <w:rtl/>
        </w:rPr>
        <w:t xml:space="preserve">לך </w:t>
      </w:r>
      <w:bookmarkStart w:id="29449" w:name="_ETM_Q49_703220"/>
      <w:bookmarkEnd w:id="29449"/>
      <w:r>
        <w:rPr>
          <w:rFonts w:hint="cs"/>
          <w:rtl/>
        </w:rPr>
        <w:t xml:space="preserve">משהו, </w:t>
      </w:r>
      <w:bookmarkStart w:id="29450" w:name="_ETM_Q49_703459"/>
      <w:bookmarkEnd w:id="29450"/>
      <w:r>
        <w:rPr>
          <w:rFonts w:hint="cs"/>
          <w:rtl/>
        </w:rPr>
        <w:t xml:space="preserve">חבר </w:t>
      </w:r>
      <w:bookmarkStart w:id="29451" w:name="_ETM_Q49_703700"/>
      <w:bookmarkEnd w:id="29451"/>
      <w:r>
        <w:rPr>
          <w:rFonts w:hint="cs"/>
          <w:rtl/>
        </w:rPr>
        <w:t xml:space="preserve">הכנסת </w:t>
      </w:r>
      <w:bookmarkStart w:id="29452" w:name="_ETM_Q49_704030"/>
      <w:bookmarkEnd w:id="29452"/>
      <w:r>
        <w:rPr>
          <w:rFonts w:hint="cs"/>
          <w:rtl/>
        </w:rPr>
        <w:t xml:space="preserve">חמד </w:t>
      </w:r>
      <w:bookmarkStart w:id="29453" w:name="_ETM_Q49_704360"/>
      <w:bookmarkEnd w:id="29453"/>
      <w:r>
        <w:rPr>
          <w:rFonts w:hint="cs"/>
          <w:rtl/>
        </w:rPr>
        <w:t>עמאר</w:t>
      </w:r>
      <w:bookmarkStart w:id="29454" w:name="_ETM_Q49_705459"/>
      <w:bookmarkEnd w:id="29454"/>
      <w:r w:rsidR="00AD5596">
        <w:rPr>
          <w:rFonts w:hint="cs"/>
          <w:rtl/>
        </w:rPr>
        <w:t>:</w:t>
      </w:r>
      <w:r>
        <w:rPr>
          <w:rFonts w:hint="cs"/>
          <w:rtl/>
        </w:rPr>
        <w:t xml:space="preserve"> יואב </w:t>
      </w:r>
      <w:bookmarkStart w:id="29455" w:name="_ETM_Q49_705760"/>
      <w:bookmarkEnd w:id="29455"/>
      <w:r>
        <w:rPr>
          <w:rFonts w:hint="cs"/>
          <w:rtl/>
        </w:rPr>
        <w:t xml:space="preserve">גלנט </w:t>
      </w:r>
      <w:bookmarkStart w:id="29456" w:name="_ETM_Q49_706920"/>
      <w:bookmarkEnd w:id="29456"/>
      <w:r>
        <w:rPr>
          <w:rFonts w:hint="cs"/>
          <w:rtl/>
        </w:rPr>
        <w:t xml:space="preserve">הוא </w:t>
      </w:r>
      <w:bookmarkStart w:id="29457" w:name="_ETM_Q49_707099"/>
      <w:bookmarkEnd w:id="29457"/>
      <w:r>
        <w:rPr>
          <w:rFonts w:hint="cs"/>
          <w:rtl/>
        </w:rPr>
        <w:t xml:space="preserve">עדיין </w:t>
      </w:r>
      <w:bookmarkStart w:id="29458" w:name="_ETM_Q49_707549"/>
      <w:bookmarkEnd w:id="29458"/>
      <w:r>
        <w:rPr>
          <w:rFonts w:hint="cs"/>
          <w:rtl/>
        </w:rPr>
        <w:t xml:space="preserve">שר </w:t>
      </w:r>
      <w:bookmarkStart w:id="29459" w:name="_ETM_Q49_707849"/>
      <w:bookmarkEnd w:id="29459"/>
      <w:r>
        <w:rPr>
          <w:rFonts w:hint="cs"/>
          <w:rtl/>
        </w:rPr>
        <w:t xml:space="preserve">הביטחון </w:t>
      </w:r>
      <w:bookmarkStart w:id="29460" w:name="_ETM_Q49_708299"/>
      <w:bookmarkEnd w:id="29460"/>
      <w:r>
        <w:rPr>
          <w:rFonts w:hint="cs"/>
          <w:rtl/>
        </w:rPr>
        <w:t xml:space="preserve">של </w:t>
      </w:r>
      <w:bookmarkStart w:id="29461" w:name="_ETM_Q49_708420"/>
      <w:bookmarkEnd w:id="29461"/>
      <w:r>
        <w:rPr>
          <w:rFonts w:hint="cs"/>
          <w:rtl/>
        </w:rPr>
        <w:t xml:space="preserve">מדינת </w:t>
      </w:r>
      <w:bookmarkStart w:id="29462" w:name="_ETM_Q49_708809"/>
      <w:bookmarkEnd w:id="29462"/>
      <w:r>
        <w:rPr>
          <w:rFonts w:hint="cs"/>
          <w:rtl/>
        </w:rPr>
        <w:t xml:space="preserve">ישראל </w:t>
      </w:r>
      <w:bookmarkStart w:id="29463" w:name="_ETM_Q49_709920"/>
      <w:bookmarkEnd w:id="29463"/>
      <w:r>
        <w:rPr>
          <w:rFonts w:hint="cs"/>
          <w:rtl/>
        </w:rPr>
        <w:t xml:space="preserve">לא </w:t>
      </w:r>
      <w:bookmarkStart w:id="29464" w:name="_ETM_Q49_710220"/>
      <w:bookmarkEnd w:id="29464"/>
      <w:r>
        <w:rPr>
          <w:rFonts w:hint="cs"/>
          <w:rtl/>
        </w:rPr>
        <w:t xml:space="preserve">בזכות </w:t>
      </w:r>
      <w:bookmarkStart w:id="29465" w:name="_ETM_Q49_710700"/>
      <w:bookmarkEnd w:id="29465"/>
      <w:r>
        <w:rPr>
          <w:rFonts w:hint="cs"/>
          <w:rtl/>
        </w:rPr>
        <w:t xml:space="preserve">שלמה </w:t>
      </w:r>
      <w:bookmarkStart w:id="29466" w:name="_ETM_Q49_711059"/>
      <w:bookmarkEnd w:id="29466"/>
      <w:r>
        <w:rPr>
          <w:rFonts w:hint="cs"/>
          <w:rtl/>
        </w:rPr>
        <w:t xml:space="preserve">קרעי </w:t>
      </w:r>
      <w:bookmarkStart w:id="29467" w:name="_ETM_Q49_711870"/>
      <w:bookmarkEnd w:id="29467"/>
      <w:r>
        <w:rPr>
          <w:rFonts w:hint="cs"/>
          <w:rtl/>
        </w:rPr>
        <w:t xml:space="preserve">ולא </w:t>
      </w:r>
      <w:bookmarkStart w:id="29468" w:name="_ETM_Q49_712140"/>
      <w:bookmarkEnd w:id="29468"/>
      <w:r>
        <w:rPr>
          <w:rFonts w:hint="cs"/>
          <w:rtl/>
        </w:rPr>
        <w:t xml:space="preserve">בזכות </w:t>
      </w:r>
      <w:bookmarkStart w:id="29469" w:name="_ETM_Q49_712500"/>
      <w:bookmarkEnd w:id="29469"/>
      <w:r>
        <w:rPr>
          <w:rFonts w:hint="cs"/>
          <w:rtl/>
        </w:rPr>
        <w:t xml:space="preserve">בנימין </w:t>
      </w:r>
      <w:bookmarkStart w:id="29470" w:name="_ETM_Q49_712860"/>
      <w:bookmarkEnd w:id="29470"/>
      <w:r>
        <w:rPr>
          <w:rFonts w:hint="cs"/>
          <w:rtl/>
        </w:rPr>
        <w:t xml:space="preserve">נתניהו </w:t>
      </w:r>
      <w:bookmarkStart w:id="29471" w:name="_ETM_Q49_713429"/>
      <w:bookmarkEnd w:id="29471"/>
      <w:r>
        <w:rPr>
          <w:rFonts w:hint="cs"/>
          <w:rtl/>
        </w:rPr>
        <w:t xml:space="preserve">וגם </w:t>
      </w:r>
      <w:bookmarkStart w:id="29472" w:name="_ETM_Q49_713700"/>
      <w:bookmarkEnd w:id="29472"/>
      <w:r>
        <w:rPr>
          <w:rFonts w:hint="cs"/>
          <w:rtl/>
        </w:rPr>
        <w:t xml:space="preserve">לא </w:t>
      </w:r>
      <w:bookmarkStart w:id="29473" w:name="_ETM_Q49_713819"/>
      <w:bookmarkEnd w:id="29473"/>
      <w:r>
        <w:rPr>
          <w:rFonts w:hint="cs"/>
          <w:rtl/>
        </w:rPr>
        <w:t xml:space="preserve">בזכות </w:t>
      </w:r>
      <w:bookmarkStart w:id="29474" w:name="_ETM_Q49_714209"/>
      <w:bookmarkEnd w:id="29474"/>
      <w:r>
        <w:rPr>
          <w:rFonts w:hint="cs"/>
          <w:rtl/>
        </w:rPr>
        <w:t xml:space="preserve">קפטן </w:t>
      </w:r>
      <w:bookmarkStart w:id="29475" w:name="_ETM_Q49_714540"/>
      <w:bookmarkEnd w:id="29475"/>
      <w:r>
        <w:rPr>
          <w:rFonts w:hint="cs"/>
          <w:rtl/>
        </w:rPr>
        <w:t xml:space="preserve">ואטורי. הוא עדיין </w:t>
      </w:r>
      <w:bookmarkStart w:id="29476" w:name="_ETM_Q49_715809"/>
      <w:bookmarkEnd w:id="29476"/>
      <w:r>
        <w:rPr>
          <w:rFonts w:hint="cs"/>
          <w:rtl/>
        </w:rPr>
        <w:t>-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נסים ואטורי:</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29477" w:name="_ETM_Q49_715000"/>
      <w:bookmarkEnd w:id="29477"/>
      <w:r>
        <w:rPr>
          <w:rFonts w:hint="cs"/>
          <w:rtl/>
        </w:rPr>
        <w:t xml:space="preserve">אני מבקש </w:t>
      </w:r>
      <w:bookmarkStart w:id="29478" w:name="_ETM_Q49_716080"/>
      <w:bookmarkStart w:id="29479" w:name="_ETM_Q49_716830"/>
      <w:bookmarkEnd w:id="29478"/>
      <w:bookmarkEnd w:id="29479"/>
      <w:r>
        <w:rPr>
          <w:rFonts w:hint="cs"/>
          <w:rtl/>
        </w:rPr>
        <w:t xml:space="preserve">שתחזור </w:t>
      </w:r>
      <w:bookmarkStart w:id="29480" w:name="_ETM_Q49_717190"/>
      <w:bookmarkEnd w:id="29480"/>
      <w:r>
        <w:rPr>
          <w:rFonts w:hint="cs"/>
          <w:rtl/>
        </w:rPr>
        <w:t xml:space="preserve">בך. </w:t>
      </w:r>
      <w:bookmarkStart w:id="29481" w:name="_ETM_Q49_717460"/>
      <w:bookmarkEnd w:id="29481"/>
      <w:r>
        <w:rPr>
          <w:rFonts w:hint="cs"/>
          <w:rtl/>
        </w:rPr>
        <w:t xml:space="preserve">אתה </w:t>
      </w:r>
      <w:bookmarkStart w:id="29482" w:name="_ETM_Q49_717550"/>
      <w:bookmarkEnd w:id="29482"/>
      <w:r>
        <w:rPr>
          <w:rFonts w:hint="cs"/>
          <w:rtl/>
        </w:rPr>
        <w:t xml:space="preserve">לא </w:t>
      </w:r>
      <w:bookmarkStart w:id="29483" w:name="_ETM_Q49_717640"/>
      <w:bookmarkEnd w:id="29483"/>
      <w:r>
        <w:rPr>
          <w:rFonts w:hint="cs"/>
          <w:rtl/>
        </w:rPr>
        <w:t xml:space="preserve">קורא </w:t>
      </w:r>
      <w:bookmarkStart w:id="29484" w:name="_ETM_Q49_717790"/>
      <w:bookmarkEnd w:id="29484"/>
      <w:r>
        <w:rPr>
          <w:rFonts w:hint="cs"/>
          <w:rtl/>
        </w:rPr>
        <w:t xml:space="preserve">לי </w:t>
      </w:r>
      <w:bookmarkStart w:id="29485" w:name="_ETM_Q49_717880"/>
      <w:bookmarkEnd w:id="29485"/>
      <w:r>
        <w:rPr>
          <w:rFonts w:hint="cs"/>
          <w:rtl/>
        </w:rPr>
        <w:t xml:space="preserve">"קפטן". </w:t>
      </w:r>
      <w:bookmarkStart w:id="29486" w:name="_ETM_Q49_718270"/>
      <w:bookmarkEnd w:id="29486"/>
      <w:r>
        <w:rPr>
          <w:rFonts w:hint="cs"/>
          <w:rtl/>
        </w:rPr>
        <w:t xml:space="preserve">פה </w:t>
      </w:r>
      <w:bookmarkStart w:id="29487" w:name="_ETM_Q49_718420"/>
      <w:bookmarkEnd w:id="29487"/>
      <w:r>
        <w:rPr>
          <w:rFonts w:hint="cs"/>
          <w:rtl/>
        </w:rPr>
        <w:t xml:space="preserve">קוראים </w:t>
      </w:r>
      <w:bookmarkStart w:id="29488" w:name="_ETM_Q49_718660"/>
      <w:bookmarkEnd w:id="29488"/>
      <w:r>
        <w:rPr>
          <w:rFonts w:hint="cs"/>
          <w:rtl/>
        </w:rPr>
        <w:t xml:space="preserve">בשמות </w:t>
      </w:r>
      <w:bookmarkStart w:id="29489" w:name="_ETM_Q49_719350"/>
      <w:bookmarkEnd w:id="29489"/>
      <w:r>
        <w:rPr>
          <w:rFonts w:hint="cs"/>
          <w:rtl/>
        </w:rPr>
        <w:t xml:space="preserve">לפי התארים. </w:t>
      </w:r>
    </w:p>
    <w:p w:rsidR="00BB59CD" w:rsidRDefault="00BB59CD" w:rsidP="00BB59CD">
      <w:pPr>
        <w:rPr>
          <w:rtl/>
        </w:rPr>
      </w:pPr>
    </w:p>
    <w:p w:rsidR="00BB59CD" w:rsidRDefault="00BB59CD" w:rsidP="00BB59CD">
      <w:pPr>
        <w:pStyle w:val="-"/>
        <w:keepNext/>
        <w:rPr>
          <w:rtl/>
        </w:rPr>
      </w:pPr>
      <w:bookmarkStart w:id="29490" w:name="ET_speakercontinue_5520_7"/>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490"/>
    </w:p>
    <w:p w:rsidR="00BB59CD" w:rsidRDefault="00BB59CD" w:rsidP="00337201">
      <w:pPr>
        <w:rPr>
          <w:rtl/>
        </w:rPr>
      </w:pPr>
    </w:p>
    <w:p w:rsidR="00BB59CD" w:rsidRDefault="00BB59CD" w:rsidP="00BB59CD">
      <w:pPr>
        <w:rPr>
          <w:rtl/>
        </w:rPr>
      </w:pPr>
      <w:r>
        <w:rPr>
          <w:rFonts w:hint="cs"/>
          <w:rtl/>
        </w:rPr>
        <w:t xml:space="preserve">בסדר. </w:t>
      </w:r>
    </w:p>
    <w:p w:rsidR="00BB59CD" w:rsidRDefault="00BB59CD" w:rsidP="00BB59CD">
      <w:pPr>
        <w:rPr>
          <w:rtl/>
        </w:rPr>
      </w:pPr>
    </w:p>
    <w:p w:rsidR="00BB59CD" w:rsidRDefault="00BB59CD" w:rsidP="00BB59CD">
      <w:pPr>
        <w:pStyle w:val="af9"/>
        <w:keepNext/>
        <w:rPr>
          <w:rtl/>
        </w:rPr>
      </w:pPr>
      <w:bookmarkStart w:id="29491" w:name="ET_yor_היור_נסים_ואטורי_14"/>
      <w:r>
        <w:rPr>
          <w:rStyle w:val="TagStyle"/>
          <w:rFonts w:hint="cs"/>
          <w:rtl/>
        </w:rPr>
        <w:t xml:space="preserve">&lt;&lt; יור &gt;&gt; </w:t>
      </w:r>
      <w:r>
        <w:rPr>
          <w:rFonts w:hint="cs"/>
          <w:rtl/>
        </w:rPr>
        <w:t>היו"ר נסים ואטורי:</w:t>
      </w:r>
      <w:r>
        <w:rPr>
          <w:rStyle w:val="TagStyle"/>
          <w:rtl/>
        </w:rPr>
        <w:t xml:space="preserve"> &lt;&lt; יור &gt;&gt;</w:t>
      </w:r>
      <w:r>
        <w:rPr>
          <w:rFonts w:hint="cs"/>
          <w:rtl/>
        </w:rPr>
        <w:t xml:space="preserve">   </w:t>
      </w:r>
    </w:p>
    <w:bookmarkEnd w:id="29491"/>
    <w:p w:rsidR="00BB59CD" w:rsidRDefault="00BB59CD" w:rsidP="00337201">
      <w:pPr>
        <w:rPr>
          <w:rtl/>
        </w:rPr>
      </w:pPr>
    </w:p>
    <w:p w:rsidR="00BB59CD" w:rsidRDefault="00BB59CD" w:rsidP="00BB59CD">
      <w:pPr>
        <w:rPr>
          <w:rtl/>
        </w:rPr>
      </w:pPr>
      <w:bookmarkStart w:id="29492" w:name="_ETM_Q49_721000"/>
      <w:bookmarkEnd w:id="29492"/>
      <w:r>
        <w:rPr>
          <w:rFonts w:hint="cs"/>
          <w:rtl/>
        </w:rPr>
        <w:t xml:space="preserve">לא, לא בסדר. </w:t>
      </w:r>
      <w:bookmarkStart w:id="29493" w:name="_ETM_Q49_722000"/>
      <w:bookmarkEnd w:id="29493"/>
      <w:r>
        <w:rPr>
          <w:rFonts w:hint="cs"/>
          <w:rtl/>
        </w:rPr>
        <w:t>זה לא בסדר שאתה מדבר ככה, אוקיי?</w:t>
      </w:r>
    </w:p>
    <w:p w:rsidR="00BB59CD" w:rsidRDefault="00BB59CD" w:rsidP="00BB59CD">
      <w:pPr>
        <w:rPr>
          <w:rtl/>
        </w:rPr>
      </w:pPr>
    </w:p>
    <w:p w:rsidR="00BB59CD" w:rsidRDefault="00BB59CD" w:rsidP="00BB59CD">
      <w:pPr>
        <w:pStyle w:val="-"/>
        <w:keepNext/>
        <w:rPr>
          <w:rtl/>
        </w:rPr>
      </w:pPr>
      <w:bookmarkStart w:id="29494" w:name="ET_speakercontinue_5520_9"/>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494"/>
    </w:p>
    <w:p w:rsidR="00BB59CD" w:rsidRDefault="00BB59CD" w:rsidP="00337201">
      <w:pPr>
        <w:rPr>
          <w:rtl/>
        </w:rPr>
      </w:pPr>
    </w:p>
    <w:p w:rsidR="00BB59CD" w:rsidRDefault="00BB59CD" w:rsidP="00BB59CD">
      <w:pPr>
        <w:rPr>
          <w:rtl/>
        </w:rPr>
      </w:pPr>
      <w:bookmarkStart w:id="29495" w:name="_ETM_Q49_723000"/>
      <w:bookmarkEnd w:id="29495"/>
      <w:r>
        <w:rPr>
          <w:rFonts w:hint="cs"/>
          <w:rtl/>
        </w:rPr>
        <w:t xml:space="preserve">בסדר. </w:t>
      </w:r>
    </w:p>
    <w:p w:rsidR="00BB59CD" w:rsidRDefault="00BB59CD" w:rsidP="00BB59CD">
      <w:pPr>
        <w:rPr>
          <w:rtl/>
        </w:rPr>
      </w:pPr>
    </w:p>
    <w:p w:rsidR="00BB59CD" w:rsidRDefault="00BB59CD" w:rsidP="00AD5596">
      <w:pPr>
        <w:rPr>
          <w:rtl/>
        </w:rPr>
      </w:pPr>
      <w:bookmarkStart w:id="29496" w:name="_ETM_Q49_719000"/>
      <w:bookmarkEnd w:id="29496"/>
      <w:r>
        <w:rPr>
          <w:rFonts w:hint="cs"/>
          <w:rtl/>
        </w:rPr>
        <w:t xml:space="preserve">יואב גלנט הוא </w:t>
      </w:r>
      <w:bookmarkStart w:id="29497" w:name="_ETM_Q49_727000"/>
      <w:bookmarkEnd w:id="29497"/>
      <w:r>
        <w:rPr>
          <w:rFonts w:hint="cs"/>
          <w:rtl/>
        </w:rPr>
        <w:t>עדיין</w:t>
      </w:r>
      <w:bookmarkStart w:id="29498" w:name="_ETM_Q49_719709"/>
      <w:bookmarkEnd w:id="29498"/>
      <w:r>
        <w:rPr>
          <w:rFonts w:hint="cs"/>
          <w:rtl/>
        </w:rPr>
        <w:t xml:space="preserve"> שר הביטחון </w:t>
      </w:r>
      <w:bookmarkStart w:id="29499" w:name="_ETM_Q49_719920"/>
      <w:bookmarkStart w:id="29500" w:name="_ETM_Q49_720610"/>
      <w:bookmarkStart w:id="29501" w:name="_ETM_Q49_721179"/>
      <w:bookmarkStart w:id="29502" w:name="_ETM_Q49_721300"/>
      <w:bookmarkStart w:id="29503" w:name="_ETM_Q49_721750"/>
      <w:bookmarkStart w:id="29504" w:name="_ETM_Q49_721929"/>
      <w:bookmarkStart w:id="29505" w:name="_ETM_Q49_722050"/>
      <w:bookmarkStart w:id="29506" w:name="_ETM_Q49_722530"/>
      <w:bookmarkStart w:id="29507" w:name="_ETM_Q49_722620"/>
      <w:bookmarkStart w:id="29508" w:name="_ETM_Q49_722709"/>
      <w:bookmarkStart w:id="29509" w:name="_ETM_Q49_722950"/>
      <w:bookmarkStart w:id="29510" w:name="_ETM_Q49_723100"/>
      <w:bookmarkStart w:id="29511" w:name="_ETM_Q49_723370"/>
      <w:bookmarkStart w:id="29512" w:name="_ETM_Q49_723910"/>
      <w:bookmarkStart w:id="29513" w:name="_ETM_Q49_724209"/>
      <w:bookmarkStart w:id="29514" w:name="_ETM_Q49_724780"/>
      <w:bookmarkStart w:id="29515" w:name="_ETM_Q49_725879"/>
      <w:bookmarkStart w:id="29516" w:name="_ETM_Q49_726150"/>
      <w:bookmarkStart w:id="29517" w:name="_ETM_Q49_727480"/>
      <w:bookmarkStart w:id="29518" w:name="_ETM_Q49_727750"/>
      <w:bookmarkStart w:id="29519" w:name="_ETM_Q49_728140"/>
      <w:bookmarkStart w:id="29520" w:name="_ETM_Q49_728200"/>
      <w:bookmarkStart w:id="29521" w:name="_ETM_Q49_728559"/>
      <w:bookmarkStart w:id="29522" w:name="_ETM_Q49_728800"/>
      <w:bookmarkStart w:id="29523" w:name="_ETM_Q49_729590"/>
      <w:bookmarkEnd w:id="29499"/>
      <w:bookmarkEnd w:id="29500"/>
      <w:bookmarkEnd w:id="29501"/>
      <w:bookmarkEnd w:id="29502"/>
      <w:bookmarkEnd w:id="29503"/>
      <w:bookmarkEnd w:id="29504"/>
      <w:bookmarkEnd w:id="29505"/>
      <w:bookmarkEnd w:id="29506"/>
      <w:bookmarkEnd w:id="29507"/>
      <w:bookmarkEnd w:id="29508"/>
      <w:bookmarkEnd w:id="29509"/>
      <w:bookmarkEnd w:id="29510"/>
      <w:bookmarkEnd w:id="29511"/>
      <w:bookmarkEnd w:id="29512"/>
      <w:bookmarkEnd w:id="29513"/>
      <w:bookmarkEnd w:id="29514"/>
      <w:bookmarkEnd w:id="29515"/>
      <w:bookmarkEnd w:id="29516"/>
      <w:bookmarkEnd w:id="29517"/>
      <w:bookmarkEnd w:id="29518"/>
      <w:bookmarkEnd w:id="29519"/>
      <w:bookmarkEnd w:id="29520"/>
      <w:bookmarkEnd w:id="29521"/>
      <w:bookmarkEnd w:id="29522"/>
      <w:bookmarkEnd w:id="29523"/>
      <w:r>
        <w:rPr>
          <w:rFonts w:hint="cs"/>
          <w:rtl/>
        </w:rPr>
        <w:t>מסיבה אחת</w:t>
      </w:r>
      <w:bookmarkStart w:id="29524" w:name="_ETM_Q49_730099"/>
      <w:bookmarkEnd w:id="29524"/>
      <w:r>
        <w:rPr>
          <w:rFonts w:hint="cs"/>
          <w:rtl/>
        </w:rPr>
        <w:t xml:space="preserve"> </w:t>
      </w:r>
      <w:bookmarkStart w:id="29525" w:name="_ETM_Q49_730340"/>
      <w:bookmarkEnd w:id="29525"/>
      <w:r>
        <w:rPr>
          <w:rFonts w:hint="cs"/>
          <w:rtl/>
        </w:rPr>
        <w:t xml:space="preserve">פשוטה: </w:t>
      </w:r>
      <w:bookmarkStart w:id="29526" w:name="_ETM_Q49_731650"/>
      <w:bookmarkEnd w:id="29526"/>
      <w:r>
        <w:rPr>
          <w:rFonts w:hint="cs"/>
          <w:rtl/>
        </w:rPr>
        <w:t xml:space="preserve">הוא </w:t>
      </w:r>
      <w:bookmarkStart w:id="29527" w:name="_ETM_Q49_731860"/>
      <w:bookmarkEnd w:id="29527"/>
      <w:r>
        <w:rPr>
          <w:rFonts w:hint="cs"/>
          <w:rtl/>
        </w:rPr>
        <w:t xml:space="preserve">שר </w:t>
      </w:r>
      <w:bookmarkStart w:id="29528" w:name="_ETM_Q49_732220"/>
      <w:bookmarkEnd w:id="29528"/>
      <w:r>
        <w:rPr>
          <w:rFonts w:hint="cs"/>
          <w:rtl/>
        </w:rPr>
        <w:t xml:space="preserve">הביטחון </w:t>
      </w:r>
      <w:bookmarkStart w:id="29529" w:name="_ETM_Q49_733979"/>
      <w:bookmarkEnd w:id="29529"/>
      <w:r>
        <w:rPr>
          <w:rFonts w:hint="cs"/>
          <w:rtl/>
        </w:rPr>
        <w:t xml:space="preserve">אך </w:t>
      </w:r>
      <w:bookmarkStart w:id="29530" w:name="_ETM_Q49_734249"/>
      <w:bookmarkEnd w:id="29530"/>
      <w:r>
        <w:rPr>
          <w:rFonts w:hint="cs"/>
          <w:rtl/>
        </w:rPr>
        <w:t xml:space="preserve">ורק </w:t>
      </w:r>
      <w:bookmarkStart w:id="29531" w:name="_ETM_Q49_734639"/>
      <w:bookmarkEnd w:id="29531"/>
      <w:r>
        <w:rPr>
          <w:rFonts w:hint="cs"/>
          <w:rtl/>
        </w:rPr>
        <w:t xml:space="preserve">בגלל </w:t>
      </w:r>
      <w:bookmarkStart w:id="29532" w:name="_ETM_Q49_735950"/>
      <w:bookmarkEnd w:id="29532"/>
      <w:r>
        <w:rPr>
          <w:rFonts w:hint="cs"/>
          <w:rtl/>
        </w:rPr>
        <w:t xml:space="preserve">כל </w:t>
      </w:r>
      <w:bookmarkStart w:id="29533" w:name="_ETM_Q49_736669"/>
      <w:bookmarkEnd w:id="29533"/>
      <w:r>
        <w:rPr>
          <w:rFonts w:hint="cs"/>
          <w:rtl/>
        </w:rPr>
        <w:t xml:space="preserve">אותם </w:t>
      </w:r>
      <w:bookmarkStart w:id="29534" w:name="_ETM_Q49_737570"/>
      <w:bookmarkEnd w:id="29534"/>
      <w:r>
        <w:rPr>
          <w:rFonts w:hint="cs"/>
          <w:rtl/>
        </w:rPr>
        <w:t xml:space="preserve">אלה </w:t>
      </w:r>
      <w:bookmarkStart w:id="29535" w:name="_ETM_Q49_738779"/>
      <w:bookmarkEnd w:id="29535"/>
      <w:r>
        <w:rPr>
          <w:rFonts w:hint="cs"/>
          <w:rtl/>
        </w:rPr>
        <w:t xml:space="preserve">שיושבים </w:t>
      </w:r>
      <w:bookmarkStart w:id="29536" w:name="_ETM_Q49_739889"/>
      <w:bookmarkEnd w:id="29536"/>
      <w:r>
        <w:rPr>
          <w:rFonts w:hint="cs"/>
          <w:rtl/>
        </w:rPr>
        <w:t xml:space="preserve">מחוץ </w:t>
      </w:r>
      <w:bookmarkStart w:id="29537" w:name="_ETM_Q49_740249"/>
      <w:bookmarkEnd w:id="29537"/>
      <w:r>
        <w:rPr>
          <w:rFonts w:hint="cs"/>
          <w:rtl/>
        </w:rPr>
        <w:t xml:space="preserve">לכנסת, </w:t>
      </w:r>
      <w:bookmarkStart w:id="29538" w:name="_ETM_Q49_741120"/>
      <w:bookmarkEnd w:id="29538"/>
      <w:r>
        <w:rPr>
          <w:rFonts w:hint="cs"/>
          <w:rtl/>
        </w:rPr>
        <w:t xml:space="preserve">באוהלים; </w:t>
      </w:r>
      <w:bookmarkStart w:id="29539" w:name="_ETM_Q49_742289"/>
      <w:bookmarkEnd w:id="29539"/>
      <w:r>
        <w:rPr>
          <w:rFonts w:hint="cs"/>
          <w:rtl/>
        </w:rPr>
        <w:t xml:space="preserve">הוא </w:t>
      </w:r>
      <w:bookmarkStart w:id="29540" w:name="_ETM_Q49_742470"/>
      <w:bookmarkEnd w:id="29540"/>
      <w:r>
        <w:rPr>
          <w:rFonts w:hint="cs"/>
          <w:rtl/>
        </w:rPr>
        <w:t xml:space="preserve">שר </w:t>
      </w:r>
      <w:bookmarkStart w:id="29541" w:name="_ETM_Q49_742740"/>
      <w:bookmarkEnd w:id="29541"/>
      <w:r>
        <w:rPr>
          <w:rFonts w:hint="cs"/>
          <w:rtl/>
        </w:rPr>
        <w:t xml:space="preserve">הביטחון </w:t>
      </w:r>
      <w:bookmarkStart w:id="29542" w:name="_ETM_Q49_743250"/>
      <w:bookmarkEnd w:id="29542"/>
      <w:r>
        <w:rPr>
          <w:rFonts w:hint="cs"/>
          <w:rtl/>
        </w:rPr>
        <w:t xml:space="preserve">בזכות </w:t>
      </w:r>
      <w:bookmarkStart w:id="29543" w:name="_ETM_Q49_743699"/>
      <w:bookmarkEnd w:id="29543"/>
      <w:r>
        <w:rPr>
          <w:rFonts w:hint="cs"/>
          <w:rtl/>
        </w:rPr>
        <w:t xml:space="preserve">אלה </w:t>
      </w:r>
      <w:bookmarkStart w:id="29544" w:name="_ETM_Q49_743940"/>
      <w:bookmarkEnd w:id="29544"/>
      <w:r>
        <w:rPr>
          <w:rFonts w:hint="cs"/>
          <w:rtl/>
        </w:rPr>
        <w:t xml:space="preserve">שעלו </w:t>
      </w:r>
      <w:bookmarkStart w:id="29545" w:name="_ETM_Q49_744990"/>
      <w:bookmarkEnd w:id="29545"/>
      <w:r>
        <w:rPr>
          <w:rFonts w:hint="cs"/>
          <w:rtl/>
        </w:rPr>
        <w:t xml:space="preserve">בצעדה </w:t>
      </w:r>
      <w:bookmarkStart w:id="29546" w:name="_ETM_Q49_746490"/>
      <w:bookmarkEnd w:id="29546"/>
      <w:r>
        <w:rPr>
          <w:rFonts w:hint="cs"/>
          <w:rtl/>
        </w:rPr>
        <w:t>לירושלים</w:t>
      </w:r>
      <w:bookmarkStart w:id="29547" w:name="_ETM_Q49_748559"/>
      <w:bookmarkEnd w:id="29547"/>
      <w:r>
        <w:rPr>
          <w:rFonts w:hint="cs"/>
          <w:rtl/>
        </w:rPr>
        <w:t xml:space="preserve">; הוא </w:t>
      </w:r>
      <w:bookmarkStart w:id="29548" w:name="_ETM_Q49_748800"/>
      <w:bookmarkEnd w:id="29548"/>
      <w:r>
        <w:rPr>
          <w:rFonts w:hint="cs"/>
          <w:rtl/>
        </w:rPr>
        <w:t xml:space="preserve">עדיין </w:t>
      </w:r>
      <w:bookmarkStart w:id="29549" w:name="_ETM_Q49_749699"/>
      <w:bookmarkEnd w:id="29549"/>
      <w:r>
        <w:rPr>
          <w:rFonts w:hint="cs"/>
          <w:rtl/>
        </w:rPr>
        <w:t xml:space="preserve">שר </w:t>
      </w:r>
      <w:bookmarkStart w:id="29550" w:name="_ETM_Q49_750090"/>
      <w:bookmarkEnd w:id="29550"/>
      <w:r>
        <w:rPr>
          <w:rFonts w:hint="cs"/>
          <w:rtl/>
        </w:rPr>
        <w:t xml:space="preserve">ביטחון </w:t>
      </w:r>
      <w:bookmarkStart w:id="29551" w:name="_ETM_Q49_751020"/>
      <w:bookmarkEnd w:id="29551"/>
      <w:r>
        <w:rPr>
          <w:rFonts w:hint="cs"/>
          <w:rtl/>
        </w:rPr>
        <w:t xml:space="preserve">בגלל </w:t>
      </w:r>
      <w:bookmarkStart w:id="29552" w:name="_ETM_Q49_751380"/>
      <w:bookmarkEnd w:id="29552"/>
      <w:r>
        <w:rPr>
          <w:rFonts w:hint="cs"/>
          <w:rtl/>
        </w:rPr>
        <w:t xml:space="preserve">אלה </w:t>
      </w:r>
      <w:bookmarkStart w:id="29553" w:name="_ETM_Q49_751559"/>
      <w:bookmarkEnd w:id="29553"/>
      <w:r>
        <w:rPr>
          <w:rFonts w:hint="cs"/>
          <w:rtl/>
        </w:rPr>
        <w:t xml:space="preserve">שיצאו </w:t>
      </w:r>
      <w:bookmarkStart w:id="29554" w:name="_ETM_Q49_751949"/>
      <w:bookmarkEnd w:id="29554"/>
      <w:r>
        <w:rPr>
          <w:rFonts w:hint="cs"/>
          <w:rtl/>
        </w:rPr>
        <w:t xml:space="preserve">לרחובות </w:t>
      </w:r>
      <w:bookmarkStart w:id="29555" w:name="_ETM_Q49_752429"/>
      <w:bookmarkEnd w:id="29555"/>
      <w:r>
        <w:rPr>
          <w:rFonts w:hint="cs"/>
          <w:rtl/>
        </w:rPr>
        <w:t>להפגין</w:t>
      </w:r>
      <w:r w:rsidR="00AD5596">
        <w:rPr>
          <w:rFonts w:hint="cs"/>
          <w:rtl/>
        </w:rPr>
        <w:t xml:space="preserve">. בגללם הוא שר הביטחון. </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AD5596">
      <w:pPr>
        <w:rPr>
          <w:rtl/>
        </w:rPr>
      </w:pPr>
      <w:r>
        <w:rPr>
          <w:rFonts w:hint="cs"/>
          <w:rtl/>
        </w:rPr>
        <w:t>שר ביטחון של שניים וחצי מיליון שהצביעו בקלפי</w:t>
      </w:r>
      <w:r w:rsidR="00AD5596">
        <w:rPr>
          <w:rFonts w:hint="cs"/>
          <w:rtl/>
        </w:rPr>
        <w:t xml:space="preserve"> </w:t>
      </w:r>
      <w:r>
        <w:rPr>
          <w:rFonts w:hint="cs"/>
          <w:rtl/>
        </w:rPr>
        <w:t>- - -</w:t>
      </w:r>
    </w:p>
    <w:p w:rsidR="00BB59CD" w:rsidRDefault="00BB59CD" w:rsidP="00BB59CD">
      <w:pPr>
        <w:rPr>
          <w:rtl/>
          <w:lang w:eastAsia="he-IL"/>
        </w:rPr>
      </w:pPr>
    </w:p>
    <w:p w:rsidR="00BB59CD" w:rsidRDefault="00BB59CD" w:rsidP="00BB59CD">
      <w:pPr>
        <w:pStyle w:val="-"/>
        <w:keepNext/>
        <w:rPr>
          <w:rtl/>
        </w:rPr>
      </w:pPr>
      <w:bookmarkStart w:id="29556" w:name="TOR_Q50"/>
      <w:bookmarkStart w:id="29557" w:name="ET_speakercontinue_5520_1"/>
      <w:bookmarkEnd w:id="29556"/>
      <w:r>
        <w:rPr>
          <w:rStyle w:val="TagStyle"/>
          <w:rFonts w:hint="cs"/>
          <w:rtl/>
        </w:rPr>
        <w:t xml:space="preserve">&lt;&lt;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29557"/>
    </w:p>
    <w:p w:rsidR="00BB59CD" w:rsidRDefault="00BB59CD" w:rsidP="00337201">
      <w:pPr>
        <w:rPr>
          <w:rtl/>
        </w:rPr>
      </w:pPr>
    </w:p>
    <w:p w:rsidR="00BB59CD" w:rsidRDefault="00BB59CD" w:rsidP="00AD5596">
      <w:pPr>
        <w:rPr>
          <w:rtl/>
        </w:rPr>
      </w:pPr>
      <w:r>
        <w:rPr>
          <w:rFonts w:hint="cs"/>
          <w:rtl/>
        </w:rPr>
        <w:t>לא בגלל גולדקנופ, אריה דרעי וגפני.</w:t>
      </w:r>
      <w:r w:rsidR="00AD5596">
        <w:rPr>
          <w:rFonts w:hint="cs"/>
          <w:rtl/>
        </w:rPr>
        <w:t xml:space="preserve"> </w:t>
      </w:r>
      <w:r>
        <w:rPr>
          <w:rFonts w:hint="cs"/>
          <w:rtl/>
        </w:rPr>
        <w:t xml:space="preserve">בגללם הוא שר הביטחון, ואם לא הם, אם לא הם, מזמן הוא היה נזרק מתחת לגלגלים של הממשלה הדורסנית הזאת. פתאום הוא נאלם דום. הוא יודע מה המחיר הביטחוני, הוא יודע מה הסיכון למדינת ישראל. גם עליו יש אחריות. אני עדיין מצפה שגם הוא אולי יהיה זה שירים את הדגל. </w:t>
      </w:r>
    </w:p>
    <w:p w:rsidR="00BB59CD" w:rsidRDefault="00BB59CD" w:rsidP="00BB59CD">
      <w:pPr>
        <w:rPr>
          <w:rtl/>
        </w:rPr>
      </w:pPr>
    </w:p>
    <w:p w:rsidR="00BB59CD" w:rsidRDefault="00BB59CD" w:rsidP="00BB59CD">
      <w:pPr>
        <w:rPr>
          <w:rtl/>
        </w:rPr>
      </w:pPr>
      <w:r>
        <w:rPr>
          <w:rFonts w:hint="cs"/>
          <w:rtl/>
        </w:rPr>
        <w:t xml:space="preserve">אני רוצה להקדיש את החלק השני של הנאום שלי כדי לספר לכם על רב-סרן שלומי כהן, זיכרונו לברכה, בן עליזה ושמעון מרחובות. כקצין שירת שלומי כמפקד מחלקה, סמ"פ ומ"פ בבסיס הטירונים בזיקים. שלומי יכול היה לשרת שירות סדיר וקבע ביחידה עורפית, אך הוא חתר ללא לאות ליחידה לוחמת, ורק לאחר שמיצה את עצמו בזיקים, עבר לתפקד כקמב"ץ חטיבתי בחטיבת הבקעה, וזכה לתואר קצין מצטיין חטיבתי. בהמשך מונה למ"פ בגדוד מבצעי. מפקדו סיפר: לאחר שהתברר כי שלומי אינו מפקד פלוגה רגיל אלא קצין מצטיין, מודל לחיקוי ואישיות נערצת על פקודיו, הוא התמנה למפקד פלוגת החוד. בזכות העבודה הקשה שהשקיע, ההתמדה, החריצות, המסירות וכוח הרצון, הביא שלומי את הפלוגה לידי מקצועיות ויכולות מדהימות ולמצב שבו מסוגלים החיילים לבצע פעולות מורכבות ביותר. </w:t>
      </w:r>
    </w:p>
    <w:p w:rsidR="00BB59CD" w:rsidRDefault="00BB59CD" w:rsidP="00BB59CD">
      <w:pPr>
        <w:rPr>
          <w:rtl/>
        </w:rPr>
      </w:pPr>
    </w:p>
    <w:p w:rsidR="00BB59CD" w:rsidRDefault="00BB59CD" w:rsidP="00BB59CD">
      <w:pPr>
        <w:rPr>
          <w:rtl/>
        </w:rPr>
      </w:pPr>
      <w:r>
        <w:rPr>
          <w:rFonts w:hint="cs"/>
          <w:rtl/>
        </w:rPr>
        <w:t xml:space="preserve">שלומי הוביל את הפלוגה באירועי גאות ושפל, במבצע חומת מגן ובפעילויות רבות אחרות בשטחי </w:t>
      </w:r>
      <w:r>
        <w:t>A</w:t>
      </w:r>
      <w:r>
        <w:rPr>
          <w:rFonts w:hint="cs"/>
          <w:rtl/>
        </w:rPr>
        <w:t xml:space="preserve">, בעיקר בקלקיליה. שלומי עצר מבוקשים רבים, ובזכות פעולותיו עם חייליו נמנעו פיגועים רבים וניצלו חיי ישראלים רבים. שלומי דאג תמיד לחייליו לפני הכול. כשהיה מגיע לחופשה, היה ראשית מתקשר לוודא את הגעתם של חייליו לביתם, ומתקשר ליחידה לוודא שאוכל טרי הגיע לכל החיילים במחסומים. רק אחר כך היה נרדם ל-20 שעות, שהרי בצבא כמעט לא ישן. בחופשות נהג להתרים </w:t>
      </w:r>
      <w:r w:rsidR="00AD5596">
        <w:rPr>
          <w:rFonts w:hint="cs"/>
          <w:rtl/>
        </w:rPr>
        <w:t>ל</w:t>
      </w:r>
      <w:r>
        <w:rPr>
          <w:rFonts w:hint="cs"/>
          <w:rtl/>
        </w:rPr>
        <w:t xml:space="preserve">גופים שונים בעזרת הוריו ולהביא בגדים וציוד חשמלי כמתנה לחייליו. </w:t>
      </w:r>
    </w:p>
    <w:p w:rsidR="00BB59CD" w:rsidRDefault="00BB59CD" w:rsidP="00BB59CD">
      <w:pPr>
        <w:rPr>
          <w:rtl/>
        </w:rPr>
      </w:pPr>
    </w:p>
    <w:p w:rsidR="00BB59CD" w:rsidRDefault="00BB59CD" w:rsidP="00AD5596">
      <w:pPr>
        <w:rPr>
          <w:rtl/>
        </w:rPr>
      </w:pPr>
      <w:r>
        <w:rPr>
          <w:rFonts w:hint="cs"/>
          <w:rtl/>
        </w:rPr>
        <w:t>בחודש מאי 2002 התעתד שלומי להשתחרר מצה"ל, וכבר החל לתכנן את עתידו, אך מכיוון שמחליפו התעכב, הסכים להאריך את שירותו בחודש. ביום ט' בתמוז תשס"ב, 18 ביוני 2002, נפל שלומי בקרב בקלקיליה במהלך פעילות לאיתור מבוקשים. נכנס כוח בפיקודו לבניין בן ארבע קומות, ובכניסה לאחת הדירות נורה שלומי, שנכנס ראשון, על ידי מחבל שהסתתר במקום. הוא נהרג במקום</w:t>
      </w:r>
      <w:r w:rsidR="00AD5596">
        <w:rPr>
          <w:rFonts w:hint="cs"/>
          <w:rtl/>
        </w:rPr>
        <w:t>;</w:t>
      </w:r>
      <w:r>
        <w:rPr>
          <w:rFonts w:hint="cs"/>
          <w:rtl/>
        </w:rPr>
        <w:t xml:space="preserve"> בפעילות זאת נהרג גם סמל ראשון יוסף תלמי. בן 26 היה שלומי בנופלו. לאחר מותו הוא הועלה לדרגת רב-סרן והובא למנוחות בבית העלמין הצבאי ברחובות. שלומי הותיר אחריו הורים, שתי אחיות ואח. </w:t>
      </w:r>
    </w:p>
    <w:p w:rsidR="00BB59CD" w:rsidRDefault="00BB59CD" w:rsidP="00BB59CD">
      <w:pPr>
        <w:rPr>
          <w:rtl/>
        </w:rPr>
      </w:pPr>
    </w:p>
    <w:p w:rsidR="00BB59CD" w:rsidRDefault="00BB59CD" w:rsidP="00AD5596">
      <w:pPr>
        <w:rPr>
          <w:rtl/>
        </w:rPr>
      </w:pPr>
      <w:r>
        <w:rPr>
          <w:rFonts w:hint="cs"/>
          <w:rtl/>
        </w:rPr>
        <w:t>היום, אדוני היושב-ראש, קיבלתי הודעה קולית מאימא של שלומי. בדמעות, תוך שהיא נחנקת – אני לא אצמיד את הטלפון שלי למיקרופון כדי להשמיע קול אחר מאחר שזה אסור, אבל הייתי עושה את זה. אני חושב שראוי שישמעו את הקולות האלה. שואלת אותי אם שכולה, שאני מכיר אותה, לצערי בנסיבות הטרגיות האלה, אומרת לי: אני פשוט מול הטלוויזיה ואני רואה את כל מה שקורה, ואני לא מבינה למה שלומי היה צריך להיהרג, בשביל מה, בשביל מי, למה. לכאן הגענו. לכאן הבאתם אותנו, ממשלת ישראל</w:t>
      </w:r>
      <w:r w:rsidR="00AD5596">
        <w:rPr>
          <w:rFonts w:hint="cs"/>
          <w:rtl/>
        </w:rPr>
        <w:t>,</w:t>
      </w:r>
      <w:r>
        <w:rPr>
          <w:rFonts w:hint="cs"/>
          <w:rtl/>
        </w:rPr>
        <w:t xml:space="preserve"> לתחושה הזאת שמסתובבים איתה אזרחיות ואזרחים שהקריבו את גופם, את חייהם ואת חיי בני משפחתם. אז אני אומר לעליזה: הוא לא עשה את זה בשביל ממשלת ישראל או בשביל שרי ממשלת ישראל או חברי הכנסת שיושבים כאן, וגם לא בשביל ראש הממשלה. שלומי ועוד רבים אחרים נלחמו והקריבו את חייהם למען עם ישראל, למען כלל ישראל, למען אלה שצעדו וצועדים ברחובות, למען אלה שמפגינות ומפגינים בצמתים שבוע אחרי שבוע, למען כלל ילדי ישראל, כי הם רוצים שתהיה מדינה לעם ישראל, מדינה יהודית ודמוקרטית. והם יודעים שכדי שתהיה כאן מדינה יהודית, היא חייבת להיות דמוקרטית, ואם לא תהיה כאן דמוקרטיה, לא תהיה כאן מדינה יהודית, כי היא לא תוכל להתקיים במצב שכזה. </w:t>
      </w:r>
    </w:p>
    <w:p w:rsidR="00BB59CD" w:rsidRDefault="00BB59CD" w:rsidP="00BB59CD">
      <w:pPr>
        <w:rPr>
          <w:rtl/>
        </w:rPr>
      </w:pPr>
    </w:p>
    <w:p w:rsidR="00BB59CD" w:rsidRDefault="00BB59CD" w:rsidP="00AD5596">
      <w:pPr>
        <w:rPr>
          <w:rtl/>
        </w:rPr>
      </w:pPr>
      <w:r>
        <w:rPr>
          <w:rFonts w:hint="cs"/>
          <w:rtl/>
        </w:rPr>
        <w:t>בהזדמנות הזאת אני רוצה לנצל את הבמה הזאת ולהגיד לחבורה הנפלאה הזאת שצעדה לירושלים ושריגשה אותי ועוד רבים עד דמעות: אני מצדיע לכם. אתם התקווה של עם ישראל. אתם התקווה של מדינת ישראל. מאות האלפים שצעדו, אלה שהגיעו לתמוך וסייעו לישנים במאהלים לאורך הדרך</w:t>
      </w:r>
      <w:r w:rsidR="00AD5596">
        <w:rPr>
          <w:rFonts w:hint="cs"/>
          <w:rtl/>
        </w:rPr>
        <w:t>,</w:t>
      </w:r>
      <w:r>
        <w:rPr>
          <w:rFonts w:hint="cs"/>
          <w:rtl/>
        </w:rPr>
        <w:t xml:space="preserve"> קטועי הגפיים שצעדו, גיבורי המלחמות, האימהות והאבות עם הילדים והסבים והסבתות שיצאו בשמש הקופחת, רק כדי להילחם במחאה אזרחית לא אלימה על דמותה של מדינת ישראל – אתם ההוכחה לכך שהדור לא הולך ופוחת. אתם עושים כאן משהו עצום. </w:t>
      </w:r>
    </w:p>
    <w:p w:rsidR="00BB59CD" w:rsidRDefault="00BB59CD" w:rsidP="00BB59CD">
      <w:pPr>
        <w:rPr>
          <w:rtl/>
        </w:rPr>
      </w:pPr>
    </w:p>
    <w:p w:rsidR="00BB59CD" w:rsidRDefault="00BB59CD" w:rsidP="00BB59CD">
      <w:pPr>
        <w:rPr>
          <w:rtl/>
        </w:rPr>
      </w:pPr>
      <w:r>
        <w:rPr>
          <w:rFonts w:hint="cs"/>
          <w:rtl/>
        </w:rPr>
        <w:t xml:space="preserve">אדוני היושב-ראש, גם אם החוק הזה יעבור, המאבק הזה לא יסתיים. המאבק הזה יצליח. גם אלה שמקללים את המפגינים ברחובות, גם אלה שיוצאים נגדם ונגדנו, עוד ימחאו כפיים לאותם מפגינות ומפגינים, עוד יצדיעו להם, כי הם אלה ששומרים אמונים לרעיון של מדינה יהודית ודמוקרטית בארץ ישראל; הם אלה שנאמנים לדרך שעם ישראל צועד בה ב-130 השנים האחרונות, מאז החלה שיבת העם היהודי לארצו; הם אלה שצועדים בנתיב שאבות הציונות התוו לנו; הם אלה שנלחמים על מדינת ישראל. </w:t>
      </w:r>
    </w:p>
    <w:p w:rsidR="00BB59CD" w:rsidRDefault="00BB59CD" w:rsidP="00BB59CD">
      <w:pPr>
        <w:rPr>
          <w:rtl/>
        </w:rPr>
      </w:pPr>
    </w:p>
    <w:p w:rsidR="00BB59CD" w:rsidRDefault="00BB59CD" w:rsidP="00AD5596">
      <w:pPr>
        <w:rPr>
          <w:rtl/>
        </w:rPr>
      </w:pPr>
      <w:r>
        <w:rPr>
          <w:rFonts w:hint="cs"/>
          <w:rtl/>
        </w:rPr>
        <w:t xml:space="preserve">אני רוצה לומר מילה על כל האמירות האלה על פשרה. אומרים לי: </w:t>
      </w:r>
      <w:bookmarkStart w:id="29558" w:name="_ETM_Q50_638000"/>
      <w:bookmarkEnd w:id="29558"/>
      <w:r>
        <w:rPr>
          <w:rFonts w:hint="cs"/>
          <w:rtl/>
        </w:rPr>
        <w:t>אתם לא רוצים פשרה, אתם לא רוצים פשרה. אני לא יודע, שמעת את שר המשפטים לאחרונה, חבר הכנסת עמ</w:t>
      </w:r>
      <w:r w:rsidR="00AD5596">
        <w:rPr>
          <w:rFonts w:hint="cs"/>
          <w:rtl/>
        </w:rPr>
        <w:t>א</w:t>
      </w:r>
      <w:r>
        <w:rPr>
          <w:rFonts w:hint="cs"/>
          <w:rtl/>
        </w:rPr>
        <w:t>ר? הוא מודיע,</w:t>
      </w:r>
      <w:bookmarkStart w:id="29559" w:name="_ETM_Q50_647000"/>
      <w:bookmarkEnd w:id="29559"/>
      <w:r>
        <w:rPr>
          <w:rFonts w:hint="cs"/>
          <w:rtl/>
        </w:rPr>
        <w:t xml:space="preserve"> הוא לא מתבייש, שאין לו שום כוונה לכנס את הוועדה למינוי שופטים. הוא מודיע שהוא נחוש לשנות </w:t>
      </w:r>
      <w:bookmarkStart w:id="29560" w:name="_ETM_Q50_656000"/>
      <w:bookmarkEnd w:id="29560"/>
      <w:r>
        <w:rPr>
          <w:rFonts w:hint="cs"/>
          <w:rtl/>
        </w:rPr>
        <w:t>את הרכב הוועדה למינוי שופטים כדי לקבל שליטה מלאה בה בהתאם לחוק שמונח על</w:t>
      </w:r>
      <w:bookmarkStart w:id="29561" w:name="_ETM_Q50_660000"/>
      <w:bookmarkEnd w:id="29561"/>
      <w:r>
        <w:rPr>
          <w:rFonts w:hint="cs"/>
          <w:rtl/>
        </w:rPr>
        <w:t xml:space="preserve"> שולחן הכנסת. הוא מאיים לפרק את לשכת עורכי הדין. </w:t>
      </w:r>
      <w:bookmarkStart w:id="29562" w:name="_ETM_Q50_666000"/>
      <w:bookmarkStart w:id="29563" w:name="_ETM_Q50_667000"/>
      <w:bookmarkEnd w:id="29562"/>
      <w:bookmarkEnd w:id="29563"/>
      <w:r>
        <w:rPr>
          <w:rFonts w:hint="cs"/>
          <w:rtl/>
        </w:rPr>
        <w:t>ראש הממשלה מתחייב לגפני, לגולדקנופ, לדרעי, שחוק ההשתמטות, שמפלה בין דם לדם, יעבור מייד עם פתיחת המושב הבא. זה הדבר הכי חשוב למדינת ישראל כרגע; לא הביטחון, לא העובדה שהחיזבאללה משתלט על שטח</w:t>
      </w:r>
      <w:bookmarkStart w:id="29564" w:name="_ETM_Q50_688000"/>
      <w:bookmarkEnd w:id="29564"/>
      <w:r>
        <w:rPr>
          <w:rFonts w:hint="cs"/>
          <w:rtl/>
        </w:rPr>
        <w:t xml:space="preserve"> ריבוני ישראלי והקים התנחלות בצפון. אה, זה לא משנה. חשוב שנפלה בין דם לדם</w:t>
      </w:r>
      <w:r w:rsidR="00AD5596">
        <w:rPr>
          <w:rFonts w:hint="cs"/>
          <w:rtl/>
        </w:rPr>
        <w:t>,</w:t>
      </w:r>
      <w:r>
        <w:rPr>
          <w:rFonts w:hint="cs"/>
          <w:rtl/>
        </w:rPr>
        <w:t xml:space="preserve"> </w:t>
      </w:r>
      <w:bookmarkStart w:id="29565" w:name="_ETM_Q50_699000"/>
      <w:bookmarkEnd w:id="29565"/>
      <w:r>
        <w:rPr>
          <w:rFonts w:hint="cs"/>
          <w:rtl/>
        </w:rPr>
        <w:t>שחצי מהעם ישרת וחצי מהעם ילמד. זאת המשימה שלו. הוא מתחייב לכך שהוא יקדיש מיליארדים מכספי משלם המיסים למערכות כדי שהם לא ילמדו לימודי ליבה, כדי שילדים במדינת ישראל לא ילמדו מתמטיקה,</w:t>
      </w:r>
      <w:bookmarkStart w:id="29566" w:name="_ETM_Q50_715000"/>
      <w:bookmarkEnd w:id="29566"/>
      <w:r>
        <w:rPr>
          <w:rFonts w:hint="cs"/>
          <w:rtl/>
        </w:rPr>
        <w:t xml:space="preserve"> אנגלית, מדעים, מחשבים. לזה הוא מתחייב, והוא לא מבין – או שהוא מבין אבל חשובים לו יותר ענייניו האישיים – שהמשמעות היא חיסולה של מדינת ישראל כמו שאנחנו מכירים אותה. </w:t>
      </w:r>
    </w:p>
    <w:p w:rsidR="00BB59CD" w:rsidRDefault="00BB59CD" w:rsidP="00BB59CD">
      <w:pPr>
        <w:rPr>
          <w:rtl/>
        </w:rPr>
      </w:pPr>
    </w:p>
    <w:p w:rsidR="00BB59CD" w:rsidRDefault="00BB59CD" w:rsidP="00BB59CD">
      <w:pPr>
        <w:rPr>
          <w:rtl/>
        </w:rPr>
      </w:pPr>
      <w:bookmarkStart w:id="29567" w:name="_ETM_Q50_736000"/>
      <w:bookmarkEnd w:id="29567"/>
      <w:r>
        <w:rPr>
          <w:rFonts w:hint="cs"/>
          <w:rtl/>
        </w:rPr>
        <w:t>ואני אומר לכם שמדינת ישראל לא תוכל</w:t>
      </w:r>
      <w:bookmarkStart w:id="29568" w:name="_ETM_Q50_740000"/>
      <w:bookmarkEnd w:id="29568"/>
      <w:r>
        <w:rPr>
          <w:rFonts w:hint="cs"/>
          <w:rtl/>
        </w:rPr>
        <w:t xml:space="preserve"> לחיות אלא בפורמט שבו לכולם יש את אותן הזכויות ואותן החובות, בפורמט שבו כל בן 18 ילך לשירות צבאי, לאומי או אזרחי. את זה נוכל להשיג רק אם נעשה את מה שלא נעשה כאן </w:t>
      </w:r>
      <w:bookmarkStart w:id="29569" w:name="_ETM_Q50_763000"/>
      <w:bookmarkEnd w:id="29569"/>
      <w:r>
        <w:rPr>
          <w:rFonts w:hint="cs"/>
          <w:rtl/>
        </w:rPr>
        <w:t xml:space="preserve">שנים רבות – את זה נוכל להשיג רק אם תהיה חוקה למדינת ישראל. </w:t>
      </w:r>
      <w:bookmarkStart w:id="29570" w:name="TOR_Q51"/>
      <w:bookmarkStart w:id="29571" w:name="_ETM_Q51_180000"/>
      <w:bookmarkEnd w:id="29570"/>
      <w:bookmarkEnd w:id="29571"/>
      <w:r>
        <w:rPr>
          <w:rFonts w:hint="cs"/>
          <w:rtl/>
        </w:rPr>
        <w:t xml:space="preserve">אחרי 75 שנה הגיעה השעה שבמדינת ישראל יוגדרו כללי המשחק לא באופן כזה שכל כנסת שנבחרת </w:t>
      </w:r>
      <w:bookmarkStart w:id="29572" w:name="_ETM_Q51_180149"/>
      <w:bookmarkStart w:id="29573" w:name="_ETM_Q51_180539"/>
      <w:bookmarkStart w:id="29574" w:name="_ETM_Q51_181170"/>
      <w:bookmarkEnd w:id="29572"/>
      <w:bookmarkEnd w:id="29573"/>
      <w:bookmarkEnd w:id="29574"/>
      <w:r>
        <w:rPr>
          <w:rFonts w:hint="cs"/>
          <w:rtl/>
        </w:rPr>
        <w:t xml:space="preserve">משנה </w:t>
      </w:r>
      <w:bookmarkStart w:id="29575" w:name="_ETM_Q51_181589"/>
      <w:bookmarkEnd w:id="29575"/>
      <w:r>
        <w:rPr>
          <w:rFonts w:hint="cs"/>
          <w:rtl/>
        </w:rPr>
        <w:t xml:space="preserve">את </w:t>
      </w:r>
      <w:bookmarkStart w:id="29576" w:name="_ETM_Q51_181709"/>
      <w:bookmarkEnd w:id="29576"/>
      <w:r>
        <w:rPr>
          <w:rFonts w:hint="cs"/>
          <w:rtl/>
        </w:rPr>
        <w:t xml:space="preserve">הכללים </w:t>
      </w:r>
      <w:bookmarkStart w:id="29577" w:name="_ETM_Q51_182100"/>
      <w:bookmarkEnd w:id="29577"/>
      <w:r>
        <w:rPr>
          <w:rFonts w:hint="cs"/>
          <w:rtl/>
        </w:rPr>
        <w:t xml:space="preserve">כדי </w:t>
      </w:r>
      <w:bookmarkStart w:id="29578" w:name="_ETM_Q51_182370"/>
      <w:bookmarkEnd w:id="29578"/>
      <w:r>
        <w:rPr>
          <w:rFonts w:hint="cs"/>
          <w:rtl/>
        </w:rPr>
        <w:t xml:space="preserve">שיתאימו </w:t>
      </w:r>
      <w:bookmarkStart w:id="29579" w:name="_ETM_Q51_182970"/>
      <w:bookmarkStart w:id="29580" w:name="_ETM_Q51_195370"/>
      <w:bookmarkEnd w:id="29579"/>
      <w:bookmarkEnd w:id="29580"/>
      <w:r>
        <w:rPr>
          <w:rFonts w:hint="cs"/>
          <w:rtl/>
        </w:rPr>
        <w:t>לה.</w:t>
      </w:r>
      <w:bookmarkStart w:id="29581" w:name="_ETM_Q51_185000"/>
      <w:bookmarkStart w:id="29582" w:name="_ETM_Q51_186000"/>
      <w:bookmarkEnd w:id="29581"/>
      <w:bookmarkEnd w:id="29582"/>
      <w:r>
        <w:rPr>
          <w:rFonts w:hint="cs"/>
          <w:rtl/>
        </w:rPr>
        <w:t xml:space="preserve"> אי-</w:t>
      </w:r>
      <w:bookmarkStart w:id="29583" w:name="_ETM_Q51_195519"/>
      <w:bookmarkEnd w:id="29583"/>
      <w:r>
        <w:rPr>
          <w:rFonts w:hint="cs"/>
          <w:rtl/>
        </w:rPr>
        <w:t xml:space="preserve">אפשר </w:t>
      </w:r>
      <w:bookmarkStart w:id="29584" w:name="_ETM_Q51_195880"/>
      <w:bookmarkEnd w:id="29584"/>
      <w:r>
        <w:rPr>
          <w:rFonts w:hint="cs"/>
          <w:rtl/>
        </w:rPr>
        <w:t xml:space="preserve">לנהל </w:t>
      </w:r>
      <w:bookmarkStart w:id="29585" w:name="_ETM_Q51_196300"/>
      <w:bookmarkEnd w:id="29585"/>
      <w:r>
        <w:rPr>
          <w:rFonts w:hint="cs"/>
          <w:rtl/>
        </w:rPr>
        <w:t xml:space="preserve">כאן </w:t>
      </w:r>
      <w:bookmarkStart w:id="29586" w:name="_ETM_Q51_196509"/>
      <w:bookmarkEnd w:id="29586"/>
      <w:r>
        <w:rPr>
          <w:rFonts w:hint="cs"/>
          <w:rtl/>
        </w:rPr>
        <w:t xml:space="preserve">מדינה </w:t>
      </w:r>
      <w:bookmarkStart w:id="29587" w:name="_ETM_Q51_197579"/>
      <w:bookmarkEnd w:id="29587"/>
      <w:r w:rsidR="00AD5596">
        <w:rPr>
          <w:rFonts w:hint="cs"/>
          <w:rtl/>
        </w:rPr>
        <w:t>כ</w:t>
      </w:r>
      <w:r>
        <w:rPr>
          <w:rFonts w:hint="cs"/>
          <w:rtl/>
        </w:rPr>
        <w:t xml:space="preserve">שכל </w:t>
      </w:r>
      <w:bookmarkStart w:id="29588" w:name="_ETM_Q51_198000"/>
      <w:bookmarkEnd w:id="29588"/>
      <w:r>
        <w:rPr>
          <w:rFonts w:hint="cs"/>
          <w:rtl/>
        </w:rPr>
        <w:t xml:space="preserve">פעם </w:t>
      </w:r>
      <w:bookmarkStart w:id="29589" w:name="_ETM_Q51_198239"/>
      <w:bookmarkEnd w:id="29589"/>
      <w:r>
        <w:rPr>
          <w:rFonts w:hint="cs"/>
          <w:rtl/>
        </w:rPr>
        <w:t xml:space="preserve">נבחרת </w:t>
      </w:r>
      <w:bookmarkStart w:id="29590" w:name="_ETM_Q51_198630"/>
      <w:bookmarkEnd w:id="29590"/>
      <w:r>
        <w:rPr>
          <w:rFonts w:hint="cs"/>
          <w:rtl/>
        </w:rPr>
        <w:t xml:space="preserve">כנסת </w:t>
      </w:r>
      <w:bookmarkStart w:id="29591" w:name="_ETM_Q51_200109"/>
      <w:bookmarkEnd w:id="29591"/>
      <w:r>
        <w:rPr>
          <w:rFonts w:hint="cs"/>
          <w:rtl/>
        </w:rPr>
        <w:t>ו</w:t>
      </w:r>
      <w:r w:rsidR="00AD5596">
        <w:rPr>
          <w:rFonts w:hint="cs"/>
          <w:rtl/>
        </w:rPr>
        <w:t xml:space="preserve">אם </w:t>
      </w:r>
      <w:r>
        <w:rPr>
          <w:rFonts w:hint="cs"/>
          <w:rtl/>
        </w:rPr>
        <w:t xml:space="preserve">הכללים </w:t>
      </w:r>
      <w:bookmarkStart w:id="29592" w:name="_ETM_Q51_200560"/>
      <w:bookmarkStart w:id="29593" w:name="_ETM_Q51_200619"/>
      <w:bookmarkEnd w:id="29592"/>
      <w:bookmarkEnd w:id="29593"/>
      <w:r>
        <w:rPr>
          <w:rFonts w:hint="cs"/>
          <w:rtl/>
        </w:rPr>
        <w:t xml:space="preserve">לא </w:t>
      </w:r>
      <w:bookmarkStart w:id="29594" w:name="_ETM_Q51_200679"/>
      <w:bookmarkEnd w:id="29594"/>
      <w:r>
        <w:rPr>
          <w:rFonts w:hint="cs"/>
          <w:rtl/>
        </w:rPr>
        <w:t xml:space="preserve">כל </w:t>
      </w:r>
      <w:bookmarkStart w:id="29595" w:name="_ETM_Q51_200829"/>
      <w:bookmarkEnd w:id="29595"/>
      <w:r>
        <w:rPr>
          <w:rFonts w:hint="cs"/>
          <w:rtl/>
        </w:rPr>
        <w:t xml:space="preserve">כך </w:t>
      </w:r>
      <w:bookmarkStart w:id="29596" w:name="_ETM_Q51_200980"/>
      <w:bookmarkEnd w:id="29596"/>
      <w:r>
        <w:rPr>
          <w:rFonts w:hint="cs"/>
          <w:rtl/>
        </w:rPr>
        <w:t xml:space="preserve">מסתדרים </w:t>
      </w:r>
      <w:bookmarkStart w:id="29597" w:name="_ETM_Q51_202160"/>
      <w:bookmarkEnd w:id="29597"/>
      <w:r>
        <w:rPr>
          <w:rFonts w:hint="cs"/>
          <w:rtl/>
        </w:rPr>
        <w:t xml:space="preserve">– זה </w:t>
      </w:r>
      <w:bookmarkStart w:id="29598" w:name="_ETM_Q51_202310"/>
      <w:bookmarkEnd w:id="29598"/>
      <w:r>
        <w:rPr>
          <w:rFonts w:hint="cs"/>
          <w:rtl/>
        </w:rPr>
        <w:t xml:space="preserve">קרה </w:t>
      </w:r>
      <w:bookmarkStart w:id="29599" w:name="_ETM_Q51_202519"/>
      <w:bookmarkEnd w:id="29599"/>
      <w:r>
        <w:rPr>
          <w:rFonts w:hint="cs"/>
          <w:rtl/>
        </w:rPr>
        <w:t xml:space="preserve">בכנסת </w:t>
      </w:r>
      <w:bookmarkStart w:id="29600" w:name="_ETM_Q51_202910"/>
      <w:bookmarkEnd w:id="29600"/>
      <w:r>
        <w:rPr>
          <w:rFonts w:hint="cs"/>
          <w:rtl/>
        </w:rPr>
        <w:t xml:space="preserve">הזאת, </w:t>
      </w:r>
      <w:bookmarkStart w:id="29601" w:name="_ETM_Q51_203180"/>
      <w:bookmarkEnd w:id="29601"/>
      <w:r>
        <w:rPr>
          <w:rFonts w:hint="cs"/>
          <w:rtl/>
        </w:rPr>
        <w:t xml:space="preserve">זה </w:t>
      </w:r>
      <w:bookmarkStart w:id="29602" w:name="_ETM_Q51_203269"/>
      <w:bookmarkEnd w:id="29602"/>
      <w:r>
        <w:rPr>
          <w:rFonts w:hint="cs"/>
          <w:rtl/>
        </w:rPr>
        <w:t xml:space="preserve">קרה </w:t>
      </w:r>
      <w:bookmarkStart w:id="29603" w:name="_ETM_Q51_203480"/>
      <w:bookmarkEnd w:id="29603"/>
      <w:r>
        <w:rPr>
          <w:rFonts w:hint="cs"/>
          <w:rtl/>
        </w:rPr>
        <w:t xml:space="preserve">בכנסות </w:t>
      </w:r>
      <w:bookmarkStart w:id="29604" w:name="_ETM_Q51_203930"/>
      <w:bookmarkEnd w:id="29604"/>
      <w:r>
        <w:rPr>
          <w:rFonts w:hint="cs"/>
          <w:rtl/>
        </w:rPr>
        <w:t xml:space="preserve">קודמות </w:t>
      </w:r>
      <w:bookmarkStart w:id="29605" w:name="_ETM_Q51_204619"/>
      <w:bookmarkEnd w:id="29605"/>
      <w:r>
        <w:rPr>
          <w:rFonts w:hint="cs"/>
          <w:rtl/>
        </w:rPr>
        <w:t xml:space="preserve">– משנים </w:t>
      </w:r>
      <w:bookmarkStart w:id="29606" w:name="_ETM_Q51_205009"/>
      <w:bookmarkEnd w:id="29606"/>
      <w:r>
        <w:rPr>
          <w:rFonts w:hint="cs"/>
          <w:rtl/>
        </w:rPr>
        <w:t xml:space="preserve">אותם; </w:t>
      </w:r>
      <w:bookmarkStart w:id="29607" w:name="_ETM_Q51_205550"/>
      <w:bookmarkEnd w:id="29607"/>
      <w:r>
        <w:rPr>
          <w:rFonts w:hint="cs"/>
          <w:rtl/>
        </w:rPr>
        <w:t xml:space="preserve">בואו </w:t>
      </w:r>
      <w:bookmarkStart w:id="29608" w:name="_ETM_Q51_205730"/>
      <w:bookmarkEnd w:id="29608"/>
      <w:r>
        <w:rPr>
          <w:rFonts w:hint="cs"/>
          <w:rtl/>
        </w:rPr>
        <w:t xml:space="preserve">נשנה </w:t>
      </w:r>
      <w:bookmarkStart w:id="29609" w:name="_ETM_Q51_206060"/>
      <w:bookmarkEnd w:id="29609"/>
      <w:r>
        <w:rPr>
          <w:rFonts w:hint="cs"/>
          <w:rtl/>
        </w:rPr>
        <w:t xml:space="preserve">אותם, </w:t>
      </w:r>
      <w:bookmarkStart w:id="29610" w:name="_ETM_Q51_206929"/>
      <w:bookmarkEnd w:id="29610"/>
      <w:r>
        <w:rPr>
          <w:rFonts w:hint="cs"/>
          <w:rtl/>
        </w:rPr>
        <w:t xml:space="preserve">בואו </w:t>
      </w:r>
      <w:bookmarkStart w:id="29611" w:name="_ETM_Q51_207289"/>
      <w:bookmarkEnd w:id="29611"/>
      <w:r>
        <w:rPr>
          <w:rFonts w:hint="cs"/>
          <w:rtl/>
        </w:rPr>
        <w:t xml:space="preserve">נשנה </w:t>
      </w:r>
      <w:bookmarkStart w:id="29612" w:name="_ETM_Q51_207619"/>
      <w:bookmarkEnd w:id="29612"/>
      <w:r>
        <w:rPr>
          <w:rFonts w:hint="cs"/>
          <w:rtl/>
        </w:rPr>
        <w:t xml:space="preserve">את </w:t>
      </w:r>
      <w:bookmarkStart w:id="29613" w:name="_ETM_Q51_207710"/>
      <w:bookmarkEnd w:id="29613"/>
      <w:r>
        <w:rPr>
          <w:rFonts w:hint="cs"/>
          <w:rtl/>
        </w:rPr>
        <w:t>חוקי</w:t>
      </w:r>
      <w:bookmarkStart w:id="29614" w:name="_ETM_Q51_208009"/>
      <w:bookmarkEnd w:id="29614"/>
      <w:r>
        <w:rPr>
          <w:rFonts w:hint="cs"/>
          <w:rtl/>
        </w:rPr>
        <w:t xml:space="preserve">-היסוד, </w:t>
      </w:r>
      <w:bookmarkStart w:id="29615" w:name="_ETM_Q51_208759"/>
      <w:bookmarkEnd w:id="29615"/>
      <w:r>
        <w:rPr>
          <w:rFonts w:hint="cs"/>
          <w:rtl/>
        </w:rPr>
        <w:t xml:space="preserve">בואו </w:t>
      </w:r>
      <w:bookmarkStart w:id="29616" w:name="_ETM_Q51_208999"/>
      <w:bookmarkEnd w:id="29616"/>
      <w:r>
        <w:rPr>
          <w:rFonts w:hint="cs"/>
          <w:rtl/>
        </w:rPr>
        <w:t xml:space="preserve">נשנה </w:t>
      </w:r>
      <w:bookmarkStart w:id="29617" w:name="_ETM_Q51_209359"/>
      <w:bookmarkEnd w:id="29617"/>
      <w:r>
        <w:rPr>
          <w:rFonts w:hint="cs"/>
          <w:rtl/>
        </w:rPr>
        <w:t xml:space="preserve">את </w:t>
      </w:r>
      <w:bookmarkStart w:id="29618" w:name="_ETM_Q51_209479"/>
      <w:bookmarkEnd w:id="29618"/>
      <w:r>
        <w:rPr>
          <w:rFonts w:hint="cs"/>
          <w:rtl/>
        </w:rPr>
        <w:t xml:space="preserve">השיטה, </w:t>
      </w:r>
      <w:bookmarkStart w:id="29619" w:name="_ETM_Q51_210289"/>
      <w:bookmarkEnd w:id="29619"/>
      <w:r>
        <w:rPr>
          <w:rFonts w:hint="cs"/>
          <w:rtl/>
        </w:rPr>
        <w:t xml:space="preserve">נרכיב </w:t>
      </w:r>
      <w:bookmarkStart w:id="29620" w:name="_ETM_Q51_210679"/>
      <w:bookmarkEnd w:id="29620"/>
      <w:r>
        <w:rPr>
          <w:rFonts w:hint="cs"/>
          <w:rtl/>
        </w:rPr>
        <w:t xml:space="preserve">ממשלות </w:t>
      </w:r>
      <w:bookmarkStart w:id="29621" w:name="_ETM_Q51_211069"/>
      <w:bookmarkEnd w:id="29621"/>
      <w:r>
        <w:rPr>
          <w:rFonts w:hint="cs"/>
          <w:rtl/>
        </w:rPr>
        <w:t xml:space="preserve">כאלה </w:t>
      </w:r>
      <w:bookmarkStart w:id="29622" w:name="_ETM_Q51_211579"/>
      <w:bookmarkEnd w:id="29622"/>
      <w:r>
        <w:rPr>
          <w:rFonts w:hint="cs"/>
          <w:rtl/>
        </w:rPr>
        <w:t xml:space="preserve">ואחרות, </w:t>
      </w:r>
      <w:bookmarkStart w:id="29623" w:name="_ETM_Q51_212059"/>
      <w:bookmarkEnd w:id="29623"/>
      <w:r>
        <w:rPr>
          <w:rFonts w:hint="cs"/>
          <w:rtl/>
        </w:rPr>
        <w:t xml:space="preserve">נוסיף, </w:t>
      </w:r>
      <w:bookmarkStart w:id="29624" w:name="_ETM_Q51_212479"/>
      <w:bookmarkEnd w:id="29624"/>
      <w:r>
        <w:rPr>
          <w:rFonts w:hint="cs"/>
          <w:rtl/>
        </w:rPr>
        <w:t xml:space="preserve">נוריד, </w:t>
      </w:r>
      <w:bookmarkStart w:id="29625" w:name="_ETM_Q51_212870"/>
      <w:bookmarkEnd w:id="29625"/>
      <w:r>
        <w:rPr>
          <w:rFonts w:hint="cs"/>
          <w:rtl/>
        </w:rPr>
        <w:t xml:space="preserve">נדביק. </w:t>
      </w:r>
      <w:bookmarkStart w:id="29626" w:name="_ETM_Q51_214350"/>
      <w:bookmarkEnd w:id="29626"/>
      <w:r>
        <w:rPr>
          <w:rFonts w:hint="cs"/>
          <w:rtl/>
        </w:rPr>
        <w:t xml:space="preserve">זה </w:t>
      </w:r>
      <w:bookmarkStart w:id="29627" w:name="_ETM_Q51_214530"/>
      <w:bookmarkEnd w:id="29627"/>
      <w:r>
        <w:rPr>
          <w:rFonts w:hint="cs"/>
          <w:rtl/>
        </w:rPr>
        <w:t xml:space="preserve">לא </w:t>
      </w:r>
      <w:bookmarkStart w:id="29628" w:name="_ETM_Q51_214620"/>
      <w:bookmarkEnd w:id="29628"/>
      <w:r>
        <w:rPr>
          <w:rFonts w:hint="cs"/>
          <w:rtl/>
        </w:rPr>
        <w:t xml:space="preserve">עובד. </w:t>
      </w:r>
      <w:bookmarkStart w:id="29629" w:name="_ETM_Q51_216140"/>
      <w:bookmarkEnd w:id="29629"/>
    </w:p>
    <w:p w:rsidR="00BB59CD" w:rsidRDefault="00BB59CD" w:rsidP="00BB59CD">
      <w:pPr>
        <w:rPr>
          <w:rtl/>
        </w:rPr>
      </w:pPr>
      <w:bookmarkStart w:id="29630" w:name="_ETM_Q51_217000"/>
      <w:bookmarkEnd w:id="29630"/>
    </w:p>
    <w:p w:rsidR="00BB59CD" w:rsidRDefault="00BB59CD" w:rsidP="00AD5596">
      <w:pPr>
        <w:rPr>
          <w:rtl/>
        </w:rPr>
      </w:pPr>
      <w:bookmarkStart w:id="29631" w:name="_ETM_Q51_218000"/>
      <w:bookmarkEnd w:id="29631"/>
      <w:r>
        <w:rPr>
          <w:rFonts w:hint="cs"/>
          <w:rtl/>
        </w:rPr>
        <w:t xml:space="preserve">הגיע </w:t>
      </w:r>
      <w:bookmarkStart w:id="29632" w:name="_ETM_Q51_216530"/>
      <w:bookmarkEnd w:id="29632"/>
      <w:r>
        <w:rPr>
          <w:rFonts w:hint="cs"/>
          <w:rtl/>
        </w:rPr>
        <w:t xml:space="preserve">הזמן </w:t>
      </w:r>
      <w:bookmarkStart w:id="29633" w:name="_ETM_Q51_217379"/>
      <w:bookmarkEnd w:id="29633"/>
      <w:r>
        <w:rPr>
          <w:rFonts w:hint="cs"/>
          <w:rtl/>
        </w:rPr>
        <w:t xml:space="preserve">שבמדינת </w:t>
      </w:r>
      <w:bookmarkStart w:id="29634" w:name="_ETM_Q51_217920"/>
      <w:bookmarkEnd w:id="29634"/>
      <w:r>
        <w:rPr>
          <w:rFonts w:hint="cs"/>
          <w:rtl/>
        </w:rPr>
        <w:t xml:space="preserve">ישראל </w:t>
      </w:r>
      <w:bookmarkStart w:id="29635" w:name="_ETM_Q51_218280"/>
      <w:bookmarkEnd w:id="29635"/>
      <w:r>
        <w:rPr>
          <w:rFonts w:hint="cs"/>
          <w:rtl/>
        </w:rPr>
        <w:t xml:space="preserve">תהיה </w:t>
      </w:r>
      <w:bookmarkStart w:id="29636" w:name="_ETM_Q51_218489"/>
      <w:bookmarkEnd w:id="29636"/>
      <w:r>
        <w:rPr>
          <w:rFonts w:hint="cs"/>
          <w:rtl/>
        </w:rPr>
        <w:t xml:space="preserve">חוקה, </w:t>
      </w:r>
      <w:bookmarkStart w:id="29637" w:name="_ETM_Q51_219390"/>
      <w:bookmarkEnd w:id="29637"/>
      <w:r>
        <w:rPr>
          <w:rFonts w:hint="cs"/>
          <w:rtl/>
        </w:rPr>
        <w:t xml:space="preserve">שהתפקיד </w:t>
      </w:r>
      <w:bookmarkStart w:id="29638" w:name="_ETM_Q51_219870"/>
      <w:bookmarkEnd w:id="29638"/>
      <w:r>
        <w:rPr>
          <w:rFonts w:hint="cs"/>
          <w:rtl/>
        </w:rPr>
        <w:t xml:space="preserve">שלה </w:t>
      </w:r>
      <w:bookmarkStart w:id="29639" w:name="_ETM_Q51_220920"/>
      <w:bookmarkEnd w:id="29639"/>
      <w:r>
        <w:rPr>
          <w:rFonts w:hint="cs"/>
          <w:rtl/>
        </w:rPr>
        <w:t xml:space="preserve">הוא בין </w:t>
      </w:r>
      <w:bookmarkStart w:id="29640" w:name="_ETM_Q51_221250"/>
      <w:bookmarkEnd w:id="29640"/>
      <w:r>
        <w:rPr>
          <w:rFonts w:hint="cs"/>
          <w:rtl/>
        </w:rPr>
        <w:t xml:space="preserve">היתר </w:t>
      </w:r>
      <w:bookmarkStart w:id="29641" w:name="_ETM_Q51_221820"/>
      <w:bookmarkEnd w:id="29641"/>
      <w:r>
        <w:rPr>
          <w:rFonts w:hint="cs"/>
          <w:rtl/>
        </w:rPr>
        <w:t xml:space="preserve">להגן </w:t>
      </w:r>
      <w:bookmarkStart w:id="29642" w:name="_ETM_Q51_222239"/>
      <w:bookmarkEnd w:id="29642"/>
      <w:r>
        <w:rPr>
          <w:rFonts w:hint="cs"/>
          <w:rtl/>
        </w:rPr>
        <w:t xml:space="preserve">על </w:t>
      </w:r>
      <w:bookmarkStart w:id="29643" w:name="_ETM_Q51_222329"/>
      <w:bookmarkEnd w:id="29643"/>
      <w:r>
        <w:rPr>
          <w:rFonts w:hint="cs"/>
          <w:rtl/>
        </w:rPr>
        <w:t xml:space="preserve">האזרחים </w:t>
      </w:r>
      <w:bookmarkStart w:id="29644" w:name="_ETM_Q51_222780"/>
      <w:bookmarkEnd w:id="29644"/>
      <w:r>
        <w:rPr>
          <w:rFonts w:hint="cs"/>
          <w:rtl/>
        </w:rPr>
        <w:t xml:space="preserve">מפני </w:t>
      </w:r>
      <w:bookmarkStart w:id="29645" w:name="_ETM_Q51_223050"/>
      <w:bookmarkEnd w:id="29645"/>
      <w:r>
        <w:rPr>
          <w:rFonts w:hint="cs"/>
          <w:rtl/>
        </w:rPr>
        <w:t xml:space="preserve">השלטון. </w:t>
      </w:r>
      <w:bookmarkStart w:id="29646" w:name="_ETM_Q51_224200"/>
      <w:bookmarkEnd w:id="29646"/>
      <w:r>
        <w:rPr>
          <w:rFonts w:hint="cs"/>
          <w:rtl/>
        </w:rPr>
        <w:t xml:space="preserve">שלטון </w:t>
      </w:r>
      <w:bookmarkStart w:id="29647" w:name="_ETM_Q51_224710"/>
      <w:bookmarkEnd w:id="29647"/>
      <w:r>
        <w:rPr>
          <w:rFonts w:hint="cs"/>
          <w:rtl/>
        </w:rPr>
        <w:t xml:space="preserve">רוצה </w:t>
      </w:r>
      <w:bookmarkStart w:id="29648" w:name="_ETM_Q51_225010"/>
      <w:bookmarkEnd w:id="29648"/>
      <w:r>
        <w:rPr>
          <w:rFonts w:hint="cs"/>
          <w:rtl/>
        </w:rPr>
        <w:t xml:space="preserve">תמיד </w:t>
      </w:r>
      <w:bookmarkStart w:id="29649" w:name="_ETM_Q51_225280"/>
      <w:bookmarkEnd w:id="29649"/>
      <w:r>
        <w:rPr>
          <w:rFonts w:hint="cs"/>
          <w:rtl/>
        </w:rPr>
        <w:t xml:space="preserve">יותר </w:t>
      </w:r>
      <w:bookmarkStart w:id="29650" w:name="_ETM_Q51_225520"/>
      <w:bookmarkEnd w:id="29650"/>
      <w:r>
        <w:rPr>
          <w:rFonts w:hint="cs"/>
          <w:rtl/>
        </w:rPr>
        <w:t xml:space="preserve">כוח, </w:t>
      </w:r>
      <w:bookmarkStart w:id="29651" w:name="_ETM_Q51_226210"/>
      <w:bookmarkEnd w:id="29651"/>
      <w:r>
        <w:rPr>
          <w:rFonts w:hint="cs"/>
          <w:rtl/>
        </w:rPr>
        <w:t xml:space="preserve">זה </w:t>
      </w:r>
      <w:bookmarkStart w:id="29652" w:name="_ETM_Q51_226390"/>
      <w:bookmarkEnd w:id="29652"/>
      <w:r>
        <w:rPr>
          <w:rFonts w:hint="cs"/>
          <w:rtl/>
        </w:rPr>
        <w:t xml:space="preserve">לא </w:t>
      </w:r>
      <w:bookmarkStart w:id="29653" w:name="_ETM_Q51_226479"/>
      <w:bookmarkEnd w:id="29653"/>
      <w:r>
        <w:rPr>
          <w:rFonts w:hint="cs"/>
          <w:rtl/>
        </w:rPr>
        <w:t xml:space="preserve">סוד. </w:t>
      </w:r>
      <w:bookmarkStart w:id="29654" w:name="_ETM_Q51_227620"/>
      <w:bookmarkEnd w:id="29654"/>
      <w:r>
        <w:rPr>
          <w:rFonts w:hint="cs"/>
          <w:rtl/>
        </w:rPr>
        <w:t xml:space="preserve">חוקה </w:t>
      </w:r>
      <w:bookmarkStart w:id="29655" w:name="_ETM_Q51_228159"/>
      <w:bookmarkEnd w:id="29655"/>
      <w:r>
        <w:rPr>
          <w:rFonts w:hint="cs"/>
          <w:rtl/>
        </w:rPr>
        <w:t xml:space="preserve">תגדיר </w:t>
      </w:r>
      <w:bookmarkStart w:id="29656" w:name="_ETM_Q51_228640"/>
      <w:bookmarkEnd w:id="29656"/>
      <w:r>
        <w:rPr>
          <w:rFonts w:hint="cs"/>
          <w:rtl/>
        </w:rPr>
        <w:t xml:space="preserve">את </w:t>
      </w:r>
      <w:bookmarkStart w:id="29657" w:name="_ETM_Q51_228729"/>
      <w:bookmarkEnd w:id="29657"/>
      <w:r>
        <w:rPr>
          <w:rFonts w:hint="cs"/>
          <w:rtl/>
        </w:rPr>
        <w:t xml:space="preserve">הפרדת </w:t>
      </w:r>
      <w:bookmarkStart w:id="29658" w:name="_ETM_Q51_229180"/>
      <w:bookmarkEnd w:id="29658"/>
      <w:r>
        <w:rPr>
          <w:rFonts w:hint="cs"/>
          <w:rtl/>
        </w:rPr>
        <w:t xml:space="preserve">הרשויות </w:t>
      </w:r>
      <w:bookmarkStart w:id="29659" w:name="_ETM_Q51_229570"/>
      <w:bookmarkEnd w:id="29659"/>
      <w:r>
        <w:rPr>
          <w:rFonts w:hint="cs"/>
          <w:rtl/>
        </w:rPr>
        <w:t xml:space="preserve">במדינת </w:t>
      </w:r>
      <w:bookmarkStart w:id="29660" w:name="_ETM_Q51_229930"/>
      <w:bookmarkEnd w:id="29660"/>
      <w:r>
        <w:rPr>
          <w:rFonts w:hint="cs"/>
          <w:rtl/>
        </w:rPr>
        <w:t>ישראל</w:t>
      </w:r>
      <w:bookmarkStart w:id="29661" w:name="_ETM_Q51_231269"/>
      <w:bookmarkEnd w:id="29661"/>
      <w:r w:rsidR="00AD5596">
        <w:rPr>
          <w:rFonts w:hint="cs"/>
          <w:rtl/>
        </w:rPr>
        <w:t>,</w:t>
      </w:r>
      <w:r>
        <w:rPr>
          <w:rFonts w:hint="cs"/>
          <w:rtl/>
        </w:rPr>
        <w:t xml:space="preserve"> תגדיר </w:t>
      </w:r>
      <w:bookmarkStart w:id="29662" w:name="_ETM_Q51_232440"/>
      <w:bookmarkEnd w:id="29662"/>
      <w:r>
        <w:rPr>
          <w:rFonts w:hint="cs"/>
          <w:rtl/>
        </w:rPr>
        <w:t xml:space="preserve">את </w:t>
      </w:r>
      <w:bookmarkStart w:id="29663" w:name="_ETM_Q51_232589"/>
      <w:bookmarkEnd w:id="29663"/>
      <w:r>
        <w:rPr>
          <w:rFonts w:hint="cs"/>
          <w:rtl/>
        </w:rPr>
        <w:t xml:space="preserve">מערכת </w:t>
      </w:r>
      <w:bookmarkStart w:id="29664" w:name="_ETM_Q51_233010"/>
      <w:bookmarkEnd w:id="29664"/>
      <w:r>
        <w:rPr>
          <w:rFonts w:hint="cs"/>
          <w:rtl/>
        </w:rPr>
        <w:t xml:space="preserve">היחסים </w:t>
      </w:r>
      <w:bookmarkStart w:id="29665" w:name="_ETM_Q51_234260"/>
      <w:bookmarkEnd w:id="29665"/>
      <w:r>
        <w:rPr>
          <w:rFonts w:hint="cs"/>
          <w:rtl/>
        </w:rPr>
        <w:t xml:space="preserve">בין </w:t>
      </w:r>
      <w:bookmarkStart w:id="29666" w:name="_ETM_Q51_234680"/>
      <w:bookmarkEnd w:id="29666"/>
      <w:r>
        <w:rPr>
          <w:rFonts w:hint="cs"/>
          <w:rtl/>
        </w:rPr>
        <w:t xml:space="preserve">רשות </w:t>
      </w:r>
      <w:bookmarkStart w:id="29667" w:name="_ETM_Q51_234980"/>
      <w:bookmarkEnd w:id="29667"/>
      <w:r>
        <w:rPr>
          <w:rFonts w:hint="cs"/>
          <w:rtl/>
        </w:rPr>
        <w:t xml:space="preserve">מחוקקת </w:t>
      </w:r>
      <w:bookmarkStart w:id="29668" w:name="_ETM_Q51_235580"/>
      <w:bookmarkEnd w:id="29668"/>
      <w:r>
        <w:rPr>
          <w:rFonts w:hint="cs"/>
          <w:rtl/>
        </w:rPr>
        <w:t xml:space="preserve">למבצעת </w:t>
      </w:r>
      <w:bookmarkStart w:id="29669" w:name="_ETM_Q51_236330"/>
      <w:bookmarkEnd w:id="29669"/>
      <w:r>
        <w:rPr>
          <w:rFonts w:hint="cs"/>
          <w:rtl/>
        </w:rPr>
        <w:t xml:space="preserve">לשופטת, </w:t>
      </w:r>
      <w:bookmarkStart w:id="29670" w:name="_ETM_Q51_237380"/>
      <w:bookmarkEnd w:id="29670"/>
      <w:r>
        <w:rPr>
          <w:rFonts w:hint="cs"/>
          <w:rtl/>
        </w:rPr>
        <w:t xml:space="preserve">תדאג </w:t>
      </w:r>
      <w:bookmarkStart w:id="29671" w:name="_ETM_Q51_238040"/>
      <w:bookmarkEnd w:id="29671"/>
      <w:r>
        <w:rPr>
          <w:rFonts w:hint="cs"/>
          <w:rtl/>
        </w:rPr>
        <w:t>ל</w:t>
      </w:r>
      <w:bookmarkStart w:id="29672" w:name="_ETM_Q51_238160"/>
      <w:bookmarkEnd w:id="29672"/>
      <w:r>
        <w:rPr>
          <w:rFonts w:hint="cs"/>
          <w:rtl/>
        </w:rPr>
        <w:t xml:space="preserve">איזון </w:t>
      </w:r>
      <w:bookmarkStart w:id="29673" w:name="_ETM_Q51_238430"/>
      <w:bookmarkEnd w:id="29673"/>
      <w:r>
        <w:rPr>
          <w:rFonts w:hint="cs"/>
          <w:rtl/>
        </w:rPr>
        <w:t xml:space="preserve">האינטרסים </w:t>
      </w:r>
      <w:bookmarkStart w:id="29674" w:name="_ETM_Q51_239060"/>
      <w:bookmarkEnd w:id="29674"/>
      <w:r>
        <w:rPr>
          <w:rFonts w:hint="cs"/>
          <w:rtl/>
        </w:rPr>
        <w:t xml:space="preserve">האלה </w:t>
      </w:r>
      <w:bookmarkStart w:id="29675" w:name="_ETM_Q51_239829"/>
      <w:bookmarkEnd w:id="29675"/>
      <w:r>
        <w:rPr>
          <w:rFonts w:hint="cs"/>
          <w:rtl/>
        </w:rPr>
        <w:t xml:space="preserve">לא </w:t>
      </w:r>
      <w:bookmarkStart w:id="29676" w:name="_ETM_Q51_240010"/>
      <w:bookmarkEnd w:id="29676"/>
      <w:r>
        <w:rPr>
          <w:rFonts w:hint="cs"/>
          <w:rtl/>
        </w:rPr>
        <w:t xml:space="preserve">באופן </w:t>
      </w:r>
      <w:bookmarkStart w:id="29677" w:name="_ETM_Q51_240399"/>
      <w:bookmarkEnd w:id="29677"/>
      <w:r>
        <w:rPr>
          <w:rFonts w:hint="cs"/>
          <w:rtl/>
        </w:rPr>
        <w:t xml:space="preserve">כזה </w:t>
      </w:r>
      <w:bookmarkStart w:id="29678" w:name="_ETM_Q51_240639"/>
      <w:bookmarkEnd w:id="29678"/>
      <w:r>
        <w:rPr>
          <w:rFonts w:hint="cs"/>
          <w:rtl/>
        </w:rPr>
        <w:t xml:space="preserve">שרשות </w:t>
      </w:r>
      <w:bookmarkStart w:id="29679" w:name="_ETM_Q51_241059"/>
      <w:bookmarkEnd w:id="29679"/>
      <w:r>
        <w:rPr>
          <w:rFonts w:hint="cs"/>
          <w:rtl/>
        </w:rPr>
        <w:t xml:space="preserve">אחת </w:t>
      </w:r>
      <w:bookmarkStart w:id="29680" w:name="_ETM_Q51_241299"/>
      <w:bookmarkEnd w:id="29680"/>
      <w:r>
        <w:rPr>
          <w:rFonts w:hint="cs"/>
          <w:rtl/>
        </w:rPr>
        <w:t xml:space="preserve">גוברת </w:t>
      </w:r>
      <w:bookmarkStart w:id="29681" w:name="_ETM_Q51_241659"/>
      <w:bookmarkEnd w:id="29681"/>
      <w:r>
        <w:rPr>
          <w:rFonts w:hint="cs"/>
          <w:rtl/>
        </w:rPr>
        <w:t xml:space="preserve">על </w:t>
      </w:r>
      <w:bookmarkStart w:id="29682" w:name="_ETM_Q51_241749"/>
      <w:bookmarkEnd w:id="29682"/>
      <w:r>
        <w:rPr>
          <w:rFonts w:hint="cs"/>
          <w:rtl/>
        </w:rPr>
        <w:t xml:space="preserve">השנייה </w:t>
      </w:r>
      <w:bookmarkStart w:id="29683" w:name="_ETM_Q51_242980"/>
      <w:bookmarkEnd w:id="29683"/>
      <w:r>
        <w:rPr>
          <w:rFonts w:hint="cs"/>
          <w:rtl/>
        </w:rPr>
        <w:t xml:space="preserve">אלא </w:t>
      </w:r>
      <w:bookmarkStart w:id="29684" w:name="_ETM_Q51_243219"/>
      <w:bookmarkEnd w:id="29684"/>
      <w:r>
        <w:rPr>
          <w:rFonts w:hint="cs"/>
          <w:rtl/>
        </w:rPr>
        <w:t xml:space="preserve">באופן </w:t>
      </w:r>
      <w:bookmarkStart w:id="29685" w:name="_ETM_Q51_243820"/>
      <w:bookmarkEnd w:id="29685"/>
      <w:r>
        <w:rPr>
          <w:rFonts w:hint="cs"/>
          <w:rtl/>
        </w:rPr>
        <w:t xml:space="preserve">שמאזן </w:t>
      </w:r>
      <w:bookmarkStart w:id="29686" w:name="_ETM_Q51_244390"/>
      <w:bookmarkEnd w:id="29686"/>
      <w:r>
        <w:rPr>
          <w:rFonts w:hint="cs"/>
          <w:rtl/>
        </w:rPr>
        <w:t xml:space="preserve">בין </w:t>
      </w:r>
      <w:bookmarkStart w:id="29687" w:name="_ETM_Q51_244540"/>
      <w:bookmarkEnd w:id="29687"/>
      <w:r>
        <w:rPr>
          <w:rFonts w:hint="cs"/>
          <w:rtl/>
        </w:rPr>
        <w:t xml:space="preserve">הרשויות. </w:t>
      </w:r>
      <w:bookmarkStart w:id="29688" w:name="_ETM_Q51_247000"/>
      <w:bookmarkStart w:id="29689" w:name="_ETM_Q51_246319"/>
      <w:bookmarkEnd w:id="29688"/>
      <w:bookmarkEnd w:id="29689"/>
      <w:r>
        <w:rPr>
          <w:rFonts w:hint="cs"/>
          <w:rtl/>
        </w:rPr>
        <w:t xml:space="preserve">חוקה </w:t>
      </w:r>
      <w:bookmarkStart w:id="29690" w:name="_ETM_Q51_247810"/>
      <w:bookmarkEnd w:id="29690"/>
      <w:r>
        <w:rPr>
          <w:rFonts w:hint="cs"/>
          <w:rtl/>
        </w:rPr>
        <w:t xml:space="preserve">תפריד </w:t>
      </w:r>
      <w:bookmarkStart w:id="29691" w:name="_ETM_Q51_248850"/>
      <w:bookmarkEnd w:id="29691"/>
      <w:r>
        <w:rPr>
          <w:rFonts w:hint="cs"/>
          <w:rtl/>
        </w:rPr>
        <w:t xml:space="preserve">בין </w:t>
      </w:r>
      <w:bookmarkStart w:id="29692" w:name="_ETM_Q51_249180"/>
      <w:bookmarkEnd w:id="29692"/>
      <w:r>
        <w:rPr>
          <w:rFonts w:hint="cs"/>
          <w:rtl/>
        </w:rPr>
        <w:t xml:space="preserve">הדת </w:t>
      </w:r>
      <w:bookmarkStart w:id="29693" w:name="_ETM_Q51_250050"/>
      <w:bookmarkEnd w:id="29693"/>
      <w:r>
        <w:rPr>
          <w:rFonts w:hint="cs"/>
          <w:rtl/>
        </w:rPr>
        <w:t xml:space="preserve">לבין </w:t>
      </w:r>
      <w:bookmarkStart w:id="29694" w:name="_ETM_Q51_250440"/>
      <w:bookmarkEnd w:id="29694"/>
      <w:r>
        <w:rPr>
          <w:rFonts w:hint="cs"/>
          <w:rtl/>
        </w:rPr>
        <w:t xml:space="preserve">המדינה. </w:t>
      </w:r>
      <w:bookmarkStart w:id="29695" w:name="_ETM_Q51_251650"/>
      <w:bookmarkEnd w:id="29695"/>
      <w:r>
        <w:rPr>
          <w:rFonts w:hint="cs"/>
          <w:rtl/>
        </w:rPr>
        <w:t xml:space="preserve">אין </w:t>
      </w:r>
      <w:bookmarkStart w:id="29696" w:name="_ETM_Q51_251980"/>
      <w:bookmarkEnd w:id="29696"/>
      <w:r>
        <w:rPr>
          <w:rFonts w:hint="cs"/>
          <w:rtl/>
        </w:rPr>
        <w:t xml:space="preserve">לנו </w:t>
      </w:r>
      <w:bookmarkStart w:id="29697" w:name="_ETM_Q51_252370"/>
      <w:bookmarkEnd w:id="29697"/>
      <w:r>
        <w:rPr>
          <w:rFonts w:hint="cs"/>
          <w:rtl/>
        </w:rPr>
        <w:t xml:space="preserve">כאן, </w:t>
      </w:r>
      <w:bookmarkStart w:id="29698" w:name="_ETM_Q51_253060"/>
      <w:bookmarkEnd w:id="29698"/>
      <w:r>
        <w:rPr>
          <w:rFonts w:hint="cs"/>
          <w:rtl/>
        </w:rPr>
        <w:t xml:space="preserve">בכנסת </w:t>
      </w:r>
      <w:bookmarkStart w:id="29699" w:name="_ETM_Q51_253630"/>
      <w:bookmarkEnd w:id="29699"/>
      <w:r>
        <w:rPr>
          <w:rFonts w:hint="cs"/>
          <w:rtl/>
        </w:rPr>
        <w:t xml:space="preserve">ישראל, </w:t>
      </w:r>
      <w:bookmarkStart w:id="29700" w:name="_ETM_Q51_255280"/>
      <w:bookmarkEnd w:id="29700"/>
      <w:r>
        <w:rPr>
          <w:rFonts w:hint="cs"/>
          <w:rtl/>
        </w:rPr>
        <w:t xml:space="preserve">את </w:t>
      </w:r>
      <w:bookmarkStart w:id="29701" w:name="_ETM_Q51_255490"/>
      <w:bookmarkEnd w:id="29701"/>
      <w:r>
        <w:rPr>
          <w:rFonts w:hint="cs"/>
          <w:rtl/>
        </w:rPr>
        <w:t xml:space="preserve">הסמכות </w:t>
      </w:r>
      <w:bookmarkStart w:id="29702" w:name="_ETM_Q51_256819"/>
      <w:bookmarkEnd w:id="29702"/>
      <w:r>
        <w:rPr>
          <w:rFonts w:hint="cs"/>
          <w:rtl/>
        </w:rPr>
        <w:t xml:space="preserve">להתערב </w:t>
      </w:r>
      <w:bookmarkStart w:id="29703" w:name="_ETM_Q51_258109"/>
      <w:bookmarkEnd w:id="29703"/>
      <w:r>
        <w:rPr>
          <w:rFonts w:hint="cs"/>
          <w:rtl/>
        </w:rPr>
        <w:t xml:space="preserve">באמונה </w:t>
      </w:r>
      <w:bookmarkStart w:id="29704" w:name="_ETM_Q51_258740"/>
      <w:bookmarkEnd w:id="29704"/>
      <w:r>
        <w:rPr>
          <w:rFonts w:hint="cs"/>
          <w:rtl/>
        </w:rPr>
        <w:t xml:space="preserve">האישית </w:t>
      </w:r>
      <w:bookmarkStart w:id="29705" w:name="_ETM_Q51_259490"/>
      <w:bookmarkEnd w:id="29705"/>
      <w:r>
        <w:rPr>
          <w:rFonts w:hint="cs"/>
          <w:rtl/>
        </w:rPr>
        <w:t xml:space="preserve">של </w:t>
      </w:r>
      <w:bookmarkStart w:id="29706" w:name="_ETM_Q51_259670"/>
      <w:bookmarkEnd w:id="29706"/>
      <w:r>
        <w:rPr>
          <w:rFonts w:hint="cs"/>
          <w:rtl/>
        </w:rPr>
        <w:t xml:space="preserve">כל </w:t>
      </w:r>
      <w:bookmarkStart w:id="29707" w:name="_ETM_Q51_259849"/>
      <w:bookmarkEnd w:id="29707"/>
      <w:r>
        <w:rPr>
          <w:rFonts w:hint="cs"/>
          <w:rtl/>
        </w:rPr>
        <w:t xml:space="preserve">אדם </w:t>
      </w:r>
      <w:bookmarkStart w:id="29708" w:name="_ETM_Q51_260090"/>
      <w:bookmarkEnd w:id="29708"/>
      <w:r>
        <w:rPr>
          <w:rFonts w:hint="cs"/>
          <w:rtl/>
        </w:rPr>
        <w:t xml:space="preserve">ואדם. </w:t>
      </w:r>
      <w:bookmarkStart w:id="29709" w:name="_ETM_Q51_261790"/>
      <w:bookmarkEnd w:id="29709"/>
      <w:r>
        <w:rPr>
          <w:rFonts w:hint="cs"/>
          <w:rtl/>
        </w:rPr>
        <w:t xml:space="preserve">מדינת </w:t>
      </w:r>
      <w:bookmarkStart w:id="29710" w:name="_ETM_Q51_262090"/>
      <w:bookmarkEnd w:id="29710"/>
      <w:r>
        <w:rPr>
          <w:rFonts w:hint="cs"/>
          <w:rtl/>
        </w:rPr>
        <w:t xml:space="preserve">ישראל </w:t>
      </w:r>
      <w:bookmarkStart w:id="29711" w:name="_ETM_Q51_262420"/>
      <w:bookmarkEnd w:id="29711"/>
      <w:r>
        <w:rPr>
          <w:rFonts w:hint="cs"/>
          <w:rtl/>
        </w:rPr>
        <w:t xml:space="preserve">היא </w:t>
      </w:r>
      <w:bookmarkStart w:id="29712" w:name="_ETM_Q51_262480"/>
      <w:bookmarkEnd w:id="29712"/>
      <w:r>
        <w:rPr>
          <w:rFonts w:hint="cs"/>
          <w:rtl/>
        </w:rPr>
        <w:t xml:space="preserve">מדינה </w:t>
      </w:r>
      <w:bookmarkStart w:id="29713" w:name="_ETM_Q51_262780"/>
      <w:bookmarkEnd w:id="29713"/>
      <w:r>
        <w:rPr>
          <w:rFonts w:hint="cs"/>
          <w:rtl/>
        </w:rPr>
        <w:t xml:space="preserve">יהודית, </w:t>
      </w:r>
      <w:bookmarkStart w:id="29714" w:name="_ETM_Q51_263840"/>
      <w:bookmarkEnd w:id="29714"/>
      <w:r>
        <w:rPr>
          <w:rFonts w:hint="cs"/>
          <w:rtl/>
        </w:rPr>
        <w:t xml:space="preserve">יום </w:t>
      </w:r>
      <w:bookmarkStart w:id="29715" w:name="_ETM_Q51_264079"/>
      <w:bookmarkEnd w:id="29715"/>
      <w:r>
        <w:rPr>
          <w:rFonts w:hint="cs"/>
          <w:rtl/>
        </w:rPr>
        <w:t xml:space="preserve">המנוחה </w:t>
      </w:r>
      <w:bookmarkStart w:id="29716" w:name="_ETM_Q51_264530"/>
      <w:bookmarkEnd w:id="29716"/>
      <w:r>
        <w:rPr>
          <w:rFonts w:hint="cs"/>
          <w:rtl/>
        </w:rPr>
        <w:t xml:space="preserve">הרשמי </w:t>
      </w:r>
      <w:bookmarkStart w:id="29717" w:name="_ETM_Q51_264890"/>
      <w:bookmarkEnd w:id="29717"/>
      <w:r>
        <w:rPr>
          <w:rFonts w:hint="cs"/>
          <w:rtl/>
        </w:rPr>
        <w:t>של</w:t>
      </w:r>
      <w:bookmarkStart w:id="29718" w:name="_ETM_Q51_265250"/>
      <w:bookmarkEnd w:id="29718"/>
      <w:r>
        <w:rPr>
          <w:rFonts w:hint="cs"/>
          <w:rtl/>
        </w:rPr>
        <w:t xml:space="preserve">ה הוא השבת, החגים </w:t>
      </w:r>
      <w:bookmarkStart w:id="29719" w:name="_ETM_Q51_266369"/>
      <w:bookmarkStart w:id="29720" w:name="_ETM_Q51_266759"/>
      <w:bookmarkStart w:id="29721" w:name="_ETM_Q51_267750"/>
      <w:bookmarkEnd w:id="29719"/>
      <w:bookmarkEnd w:id="29720"/>
      <w:bookmarkEnd w:id="29721"/>
      <w:r>
        <w:rPr>
          <w:rFonts w:hint="cs"/>
          <w:rtl/>
        </w:rPr>
        <w:t xml:space="preserve">הם </w:t>
      </w:r>
      <w:bookmarkStart w:id="29722" w:name="_ETM_Q51_267900"/>
      <w:bookmarkEnd w:id="29722"/>
      <w:r>
        <w:rPr>
          <w:rFonts w:hint="cs"/>
          <w:rtl/>
        </w:rPr>
        <w:t xml:space="preserve">חגי </w:t>
      </w:r>
      <w:bookmarkStart w:id="29723" w:name="_ETM_Q51_268200"/>
      <w:bookmarkEnd w:id="29723"/>
      <w:r>
        <w:rPr>
          <w:rFonts w:hint="cs"/>
          <w:rtl/>
        </w:rPr>
        <w:t xml:space="preserve">ישראל, </w:t>
      </w:r>
      <w:bookmarkStart w:id="29724" w:name="_ETM_Q51_269950"/>
      <w:bookmarkEnd w:id="29724"/>
      <w:r>
        <w:rPr>
          <w:rFonts w:hint="cs"/>
          <w:rtl/>
        </w:rPr>
        <w:t xml:space="preserve">אבל </w:t>
      </w:r>
      <w:bookmarkStart w:id="29725" w:name="_ETM_Q51_270220"/>
      <w:bookmarkEnd w:id="29725"/>
      <w:r>
        <w:rPr>
          <w:rFonts w:hint="cs"/>
          <w:rtl/>
        </w:rPr>
        <w:t xml:space="preserve">מכאן </w:t>
      </w:r>
      <w:bookmarkStart w:id="29726" w:name="_ETM_Q51_270580"/>
      <w:bookmarkEnd w:id="29726"/>
      <w:r>
        <w:rPr>
          <w:rFonts w:hint="cs"/>
          <w:rtl/>
        </w:rPr>
        <w:t>ואילך</w:t>
      </w:r>
      <w:bookmarkStart w:id="29727" w:name="_ETM_Q51_272500"/>
      <w:bookmarkStart w:id="29728" w:name="_ETM_Q51_272920"/>
      <w:bookmarkEnd w:id="29727"/>
      <w:bookmarkEnd w:id="29728"/>
      <w:r>
        <w:rPr>
          <w:rFonts w:hint="cs"/>
          <w:rtl/>
        </w:rPr>
        <w:t xml:space="preserve"> </w:t>
      </w:r>
      <w:bookmarkStart w:id="29729" w:name="_ETM_Q51_273430"/>
      <w:bookmarkEnd w:id="29729"/>
      <w:r>
        <w:rPr>
          <w:rFonts w:hint="cs"/>
          <w:rtl/>
        </w:rPr>
        <w:t xml:space="preserve">כל </w:t>
      </w:r>
      <w:bookmarkStart w:id="29730" w:name="_ETM_Q51_273670"/>
      <w:bookmarkEnd w:id="29730"/>
      <w:r>
        <w:rPr>
          <w:rFonts w:hint="cs"/>
          <w:rtl/>
        </w:rPr>
        <w:t>אזרח</w:t>
      </w:r>
      <w:r w:rsidR="00AD5596">
        <w:rPr>
          <w:rFonts w:hint="cs"/>
          <w:rtl/>
        </w:rPr>
        <w:t>,</w:t>
      </w:r>
      <w:r>
        <w:rPr>
          <w:rFonts w:hint="cs"/>
          <w:rtl/>
        </w:rPr>
        <w:t xml:space="preserve"> </w:t>
      </w:r>
      <w:bookmarkStart w:id="29731" w:name="_ETM_Q51_274880"/>
      <w:bookmarkEnd w:id="29731"/>
      <w:r>
        <w:rPr>
          <w:rFonts w:hint="cs"/>
          <w:rtl/>
        </w:rPr>
        <w:t xml:space="preserve">יש </w:t>
      </w:r>
      <w:bookmarkStart w:id="29732" w:name="_ETM_Q51_275120"/>
      <w:bookmarkEnd w:id="29732"/>
      <w:r>
        <w:rPr>
          <w:rFonts w:hint="cs"/>
          <w:rtl/>
        </w:rPr>
        <w:t xml:space="preserve">לו </w:t>
      </w:r>
      <w:bookmarkStart w:id="29733" w:name="_ETM_Q51_276080"/>
      <w:bookmarkEnd w:id="29733"/>
      <w:r>
        <w:rPr>
          <w:rFonts w:hint="cs"/>
          <w:rtl/>
        </w:rPr>
        <w:t xml:space="preserve">את </w:t>
      </w:r>
      <w:bookmarkStart w:id="29734" w:name="_ETM_Q51_276260"/>
      <w:bookmarkEnd w:id="29734"/>
      <w:r>
        <w:rPr>
          <w:rFonts w:hint="cs"/>
          <w:rtl/>
        </w:rPr>
        <w:t xml:space="preserve">השבת </w:t>
      </w:r>
      <w:bookmarkStart w:id="29735" w:name="_ETM_Q51_276620"/>
      <w:bookmarkEnd w:id="29735"/>
      <w:r>
        <w:rPr>
          <w:rFonts w:hint="cs"/>
          <w:rtl/>
        </w:rPr>
        <w:t xml:space="preserve">שלו, </w:t>
      </w:r>
      <w:bookmarkStart w:id="29736" w:name="_ETM_Q51_277799"/>
      <w:bookmarkEnd w:id="29736"/>
      <w:r>
        <w:rPr>
          <w:rFonts w:hint="cs"/>
          <w:rtl/>
        </w:rPr>
        <w:t xml:space="preserve">יש </w:t>
      </w:r>
      <w:bookmarkStart w:id="29737" w:name="_ETM_Q51_278100"/>
      <w:bookmarkEnd w:id="29737"/>
      <w:r>
        <w:rPr>
          <w:rFonts w:hint="cs"/>
          <w:rtl/>
        </w:rPr>
        <w:t xml:space="preserve">לו </w:t>
      </w:r>
      <w:bookmarkStart w:id="29738" w:name="_ETM_Q51_278850"/>
      <w:bookmarkEnd w:id="29738"/>
      <w:r>
        <w:rPr>
          <w:rFonts w:hint="cs"/>
          <w:rtl/>
        </w:rPr>
        <w:t xml:space="preserve">את </w:t>
      </w:r>
      <w:bookmarkStart w:id="29739" w:name="_ETM_Q51_279060"/>
      <w:bookmarkEnd w:id="29739"/>
      <w:r>
        <w:rPr>
          <w:rFonts w:hint="cs"/>
          <w:rtl/>
        </w:rPr>
        <w:t xml:space="preserve">האופן </w:t>
      </w:r>
      <w:bookmarkStart w:id="29740" w:name="_ETM_Q51_279509"/>
      <w:bookmarkEnd w:id="29740"/>
      <w:r>
        <w:rPr>
          <w:rFonts w:hint="cs"/>
          <w:rtl/>
        </w:rPr>
        <w:t xml:space="preserve">שבו </w:t>
      </w:r>
      <w:bookmarkStart w:id="29741" w:name="_ETM_Q51_279930"/>
      <w:bookmarkEnd w:id="29741"/>
      <w:r>
        <w:rPr>
          <w:rFonts w:hint="cs"/>
          <w:rtl/>
        </w:rPr>
        <w:t xml:space="preserve">הוא </w:t>
      </w:r>
      <w:bookmarkStart w:id="29742" w:name="_ETM_Q51_280200"/>
      <w:bookmarkEnd w:id="29742"/>
      <w:r>
        <w:rPr>
          <w:rFonts w:hint="cs"/>
          <w:rtl/>
        </w:rPr>
        <w:t xml:space="preserve">חי </w:t>
      </w:r>
      <w:bookmarkStart w:id="29743" w:name="_ETM_Q51_280560"/>
      <w:bookmarkEnd w:id="29743"/>
      <w:r>
        <w:rPr>
          <w:rFonts w:hint="cs"/>
          <w:rtl/>
        </w:rPr>
        <w:t xml:space="preserve">את </w:t>
      </w:r>
      <w:bookmarkStart w:id="29744" w:name="_ETM_Q51_280680"/>
      <w:bookmarkEnd w:id="29744"/>
      <w:r>
        <w:rPr>
          <w:rFonts w:hint="cs"/>
          <w:rtl/>
        </w:rPr>
        <w:t xml:space="preserve">חייו, </w:t>
      </w:r>
      <w:bookmarkStart w:id="29745" w:name="_ETM_Q51_281560"/>
      <w:bookmarkEnd w:id="29745"/>
      <w:r>
        <w:rPr>
          <w:rFonts w:hint="cs"/>
          <w:rtl/>
        </w:rPr>
        <w:t xml:space="preserve">בין </w:t>
      </w:r>
      <w:bookmarkStart w:id="29746" w:name="_ETM_Q51_281890"/>
      <w:bookmarkStart w:id="29747" w:name="_ETM_Q51_281980"/>
      <w:bookmarkEnd w:id="29746"/>
      <w:bookmarkEnd w:id="29747"/>
      <w:r>
        <w:rPr>
          <w:rFonts w:hint="cs"/>
          <w:rtl/>
        </w:rPr>
        <w:t xml:space="preserve">שהוא </w:t>
      </w:r>
      <w:bookmarkStart w:id="29748" w:name="_ETM_Q51_282069"/>
      <w:bookmarkEnd w:id="29748"/>
      <w:r>
        <w:rPr>
          <w:rFonts w:hint="cs"/>
          <w:rtl/>
        </w:rPr>
        <w:t xml:space="preserve">רוצה </w:t>
      </w:r>
      <w:bookmarkStart w:id="29749" w:name="_ETM_Q51_282370"/>
      <w:bookmarkEnd w:id="29749"/>
      <w:r>
        <w:rPr>
          <w:rFonts w:hint="cs"/>
          <w:rtl/>
        </w:rPr>
        <w:t xml:space="preserve">להיות </w:t>
      </w:r>
      <w:bookmarkStart w:id="29750" w:name="_ETM_Q51_282610"/>
      <w:bookmarkEnd w:id="29750"/>
      <w:r>
        <w:rPr>
          <w:rFonts w:hint="cs"/>
          <w:rtl/>
        </w:rPr>
        <w:t xml:space="preserve">דתי, </w:t>
      </w:r>
      <w:bookmarkStart w:id="29751" w:name="_ETM_Q51_283090"/>
      <w:bookmarkEnd w:id="29751"/>
      <w:r>
        <w:rPr>
          <w:rFonts w:hint="cs"/>
          <w:rtl/>
        </w:rPr>
        <w:t xml:space="preserve">בין </w:t>
      </w:r>
      <w:bookmarkStart w:id="29752" w:name="_ETM_Q51_283270"/>
      <w:bookmarkStart w:id="29753" w:name="_ETM_Q51_283360"/>
      <w:bookmarkEnd w:id="29752"/>
      <w:bookmarkEnd w:id="29753"/>
      <w:r>
        <w:rPr>
          <w:rFonts w:hint="cs"/>
          <w:rtl/>
        </w:rPr>
        <w:t xml:space="preserve">שהוא </w:t>
      </w:r>
      <w:bookmarkStart w:id="29754" w:name="_ETM_Q51_283600"/>
      <w:bookmarkEnd w:id="29754"/>
      <w:r>
        <w:rPr>
          <w:rFonts w:hint="cs"/>
          <w:rtl/>
        </w:rPr>
        <w:t xml:space="preserve">רוצה </w:t>
      </w:r>
      <w:bookmarkStart w:id="29755" w:name="_ETM_Q51_283840"/>
      <w:bookmarkEnd w:id="29755"/>
      <w:r>
        <w:rPr>
          <w:rFonts w:hint="cs"/>
          <w:rtl/>
        </w:rPr>
        <w:t xml:space="preserve">להיות </w:t>
      </w:r>
      <w:bookmarkStart w:id="29756" w:name="_ETM_Q51_284020"/>
      <w:bookmarkEnd w:id="29756"/>
      <w:r>
        <w:rPr>
          <w:rFonts w:hint="cs"/>
          <w:rtl/>
        </w:rPr>
        <w:t xml:space="preserve">פחות </w:t>
      </w:r>
      <w:bookmarkStart w:id="29757" w:name="_ETM_Q51_284350"/>
      <w:bookmarkEnd w:id="29757"/>
      <w:r>
        <w:rPr>
          <w:rFonts w:hint="cs"/>
          <w:rtl/>
        </w:rPr>
        <w:t xml:space="preserve">דתי, </w:t>
      </w:r>
      <w:bookmarkStart w:id="29758" w:name="_ETM_Q51_285939"/>
      <w:bookmarkEnd w:id="29758"/>
      <w:r>
        <w:rPr>
          <w:rFonts w:hint="cs"/>
          <w:rtl/>
        </w:rPr>
        <w:t xml:space="preserve">כן </w:t>
      </w:r>
      <w:bookmarkStart w:id="29759" w:name="_ETM_Q51_286119"/>
      <w:bookmarkEnd w:id="29759"/>
      <w:r>
        <w:rPr>
          <w:rFonts w:hint="cs"/>
          <w:rtl/>
        </w:rPr>
        <w:t xml:space="preserve">שומר </w:t>
      </w:r>
      <w:bookmarkStart w:id="29760" w:name="_ETM_Q51_286389"/>
      <w:bookmarkEnd w:id="29760"/>
      <w:r>
        <w:rPr>
          <w:rFonts w:hint="cs"/>
          <w:rtl/>
        </w:rPr>
        <w:t xml:space="preserve">מצוות, </w:t>
      </w:r>
      <w:bookmarkStart w:id="29761" w:name="_ETM_Q51_286810"/>
      <w:bookmarkEnd w:id="29761"/>
      <w:r>
        <w:rPr>
          <w:rFonts w:hint="cs"/>
          <w:rtl/>
        </w:rPr>
        <w:t xml:space="preserve">לא </w:t>
      </w:r>
      <w:bookmarkStart w:id="29762" w:name="_ETM_Q51_286899"/>
      <w:bookmarkEnd w:id="29762"/>
      <w:r>
        <w:rPr>
          <w:rFonts w:hint="cs"/>
          <w:rtl/>
        </w:rPr>
        <w:t xml:space="preserve">שומר </w:t>
      </w:r>
      <w:bookmarkStart w:id="29763" w:name="_ETM_Q51_287170"/>
      <w:bookmarkEnd w:id="29763"/>
      <w:r>
        <w:rPr>
          <w:rFonts w:hint="cs"/>
          <w:rtl/>
        </w:rPr>
        <w:t xml:space="preserve">מצוות. </w:t>
      </w:r>
      <w:bookmarkStart w:id="29764" w:name="_ETM_Q51_288210"/>
      <w:bookmarkStart w:id="29765" w:name="_ETM_Q51_288659"/>
      <w:bookmarkEnd w:id="29764"/>
      <w:bookmarkEnd w:id="29765"/>
      <w:r>
        <w:rPr>
          <w:rFonts w:hint="cs"/>
          <w:rtl/>
        </w:rPr>
        <w:t xml:space="preserve">בסופו </w:t>
      </w:r>
      <w:bookmarkStart w:id="29766" w:name="_ETM_Q51_289049"/>
      <w:bookmarkEnd w:id="29766"/>
      <w:r>
        <w:rPr>
          <w:rFonts w:hint="cs"/>
          <w:rtl/>
        </w:rPr>
        <w:t xml:space="preserve">של </w:t>
      </w:r>
      <w:bookmarkStart w:id="29767" w:name="_ETM_Q51_289259"/>
      <w:bookmarkEnd w:id="29767"/>
      <w:r>
        <w:rPr>
          <w:rFonts w:hint="cs"/>
          <w:rtl/>
        </w:rPr>
        <w:t xml:space="preserve">יום </w:t>
      </w:r>
      <w:bookmarkStart w:id="29768" w:name="_ETM_Q51_290530"/>
      <w:bookmarkEnd w:id="29768"/>
      <w:r>
        <w:rPr>
          <w:rFonts w:hint="cs"/>
          <w:rtl/>
        </w:rPr>
        <w:t xml:space="preserve">הבית </w:t>
      </w:r>
      <w:bookmarkStart w:id="29769" w:name="_ETM_Q51_291040"/>
      <w:bookmarkEnd w:id="29769"/>
      <w:r>
        <w:rPr>
          <w:rFonts w:hint="cs"/>
          <w:rtl/>
        </w:rPr>
        <w:t xml:space="preserve">הזה </w:t>
      </w:r>
      <w:bookmarkStart w:id="29770" w:name="_ETM_Q51_291890"/>
      <w:bookmarkEnd w:id="29770"/>
      <w:r>
        <w:rPr>
          <w:rFonts w:hint="cs"/>
          <w:rtl/>
        </w:rPr>
        <w:t xml:space="preserve">לא </w:t>
      </w:r>
      <w:bookmarkStart w:id="29771" w:name="_ETM_Q51_292069"/>
      <w:bookmarkEnd w:id="29771"/>
      <w:r>
        <w:rPr>
          <w:rFonts w:hint="cs"/>
          <w:rtl/>
        </w:rPr>
        <w:t xml:space="preserve">מתערב </w:t>
      </w:r>
      <w:bookmarkStart w:id="29772" w:name="_ETM_Q51_292490"/>
      <w:bookmarkEnd w:id="29772"/>
      <w:r>
        <w:rPr>
          <w:rFonts w:hint="cs"/>
          <w:rtl/>
        </w:rPr>
        <w:t xml:space="preserve">בחיים </w:t>
      </w:r>
      <w:bookmarkStart w:id="29773" w:name="_ETM_Q51_292850"/>
      <w:bookmarkEnd w:id="29773"/>
      <w:r>
        <w:rPr>
          <w:rFonts w:hint="cs"/>
          <w:rtl/>
        </w:rPr>
        <w:t xml:space="preserve">האלה. </w:t>
      </w:r>
      <w:bookmarkStart w:id="29774" w:name="_ETM_Q51_294670"/>
      <w:bookmarkEnd w:id="29774"/>
    </w:p>
    <w:p w:rsidR="00BB59CD" w:rsidRDefault="00BB59CD" w:rsidP="00BB59CD">
      <w:pPr>
        <w:rPr>
          <w:rtl/>
        </w:rPr>
      </w:pPr>
    </w:p>
    <w:p w:rsidR="00BB59CD" w:rsidRDefault="00BB59CD" w:rsidP="00AD5596">
      <w:pPr>
        <w:rPr>
          <w:rtl/>
        </w:rPr>
      </w:pPr>
      <w:bookmarkStart w:id="29775" w:name="_ETM_Q51_296000"/>
      <w:bookmarkEnd w:id="29775"/>
      <w:r>
        <w:rPr>
          <w:rFonts w:hint="cs"/>
          <w:rtl/>
        </w:rPr>
        <w:t xml:space="preserve">הסיכון </w:t>
      </w:r>
      <w:bookmarkStart w:id="29776" w:name="_ETM_Q51_295539"/>
      <w:bookmarkEnd w:id="29776"/>
      <w:r>
        <w:rPr>
          <w:rFonts w:hint="cs"/>
          <w:rtl/>
        </w:rPr>
        <w:t xml:space="preserve">הגדול </w:t>
      </w:r>
      <w:bookmarkStart w:id="29777" w:name="_ETM_Q51_295840"/>
      <w:bookmarkEnd w:id="29777"/>
      <w:r>
        <w:rPr>
          <w:rFonts w:hint="cs"/>
          <w:rtl/>
        </w:rPr>
        <w:t xml:space="preserve">שאנחנו </w:t>
      </w:r>
      <w:bookmarkStart w:id="29778" w:name="_ETM_Q51_296079"/>
      <w:bookmarkEnd w:id="29778"/>
      <w:r>
        <w:rPr>
          <w:rFonts w:hint="cs"/>
          <w:rtl/>
        </w:rPr>
        <w:t xml:space="preserve">נמצאים </w:t>
      </w:r>
      <w:bookmarkStart w:id="29779" w:name="_ETM_Q51_296469"/>
      <w:bookmarkEnd w:id="29779"/>
      <w:r>
        <w:rPr>
          <w:rFonts w:hint="cs"/>
          <w:rtl/>
        </w:rPr>
        <w:t xml:space="preserve">בו </w:t>
      </w:r>
      <w:bookmarkStart w:id="29780" w:name="_ETM_Q51_296560"/>
      <w:bookmarkEnd w:id="29780"/>
      <w:r>
        <w:rPr>
          <w:rFonts w:hint="cs"/>
          <w:rtl/>
        </w:rPr>
        <w:t xml:space="preserve">עכשיו </w:t>
      </w:r>
      <w:bookmarkStart w:id="29781" w:name="_ETM_Q51_297509"/>
      <w:bookmarkEnd w:id="29781"/>
      <w:r>
        <w:rPr>
          <w:rFonts w:hint="cs"/>
          <w:rtl/>
        </w:rPr>
        <w:t xml:space="preserve">– ואנחנו </w:t>
      </w:r>
      <w:bookmarkStart w:id="29782" w:name="_ETM_Q51_297930"/>
      <w:bookmarkEnd w:id="29782"/>
      <w:r>
        <w:rPr>
          <w:rFonts w:hint="cs"/>
          <w:rtl/>
        </w:rPr>
        <w:t xml:space="preserve">רואים </w:t>
      </w:r>
      <w:bookmarkStart w:id="29783" w:name="_ETM_Q51_298200"/>
      <w:bookmarkEnd w:id="29783"/>
      <w:r>
        <w:rPr>
          <w:rFonts w:hint="cs"/>
          <w:rtl/>
        </w:rPr>
        <w:t xml:space="preserve">אותו </w:t>
      </w:r>
      <w:bookmarkStart w:id="29784" w:name="_ETM_Q51_298380"/>
      <w:bookmarkEnd w:id="29784"/>
      <w:r>
        <w:rPr>
          <w:rFonts w:hint="cs"/>
          <w:rtl/>
        </w:rPr>
        <w:t xml:space="preserve">בחקיקה </w:t>
      </w:r>
      <w:bookmarkStart w:id="29785" w:name="_ETM_Q51_298890"/>
      <w:bookmarkEnd w:id="29785"/>
      <w:r>
        <w:rPr>
          <w:rFonts w:hint="cs"/>
          <w:rtl/>
        </w:rPr>
        <w:t xml:space="preserve">שמונחת </w:t>
      </w:r>
      <w:bookmarkStart w:id="29786" w:name="_ETM_Q51_299939"/>
      <w:bookmarkEnd w:id="29786"/>
      <w:r>
        <w:rPr>
          <w:rFonts w:hint="cs"/>
          <w:rtl/>
        </w:rPr>
        <w:t xml:space="preserve">על </w:t>
      </w:r>
      <w:bookmarkStart w:id="29787" w:name="_ETM_Q51_300030"/>
      <w:bookmarkEnd w:id="29787"/>
      <w:r>
        <w:rPr>
          <w:rFonts w:hint="cs"/>
          <w:rtl/>
        </w:rPr>
        <w:t xml:space="preserve">שולחן </w:t>
      </w:r>
      <w:bookmarkStart w:id="29788" w:name="_ETM_Q51_301670"/>
      <w:bookmarkEnd w:id="29788"/>
      <w:r>
        <w:rPr>
          <w:rFonts w:hint="cs"/>
          <w:rtl/>
        </w:rPr>
        <w:t xml:space="preserve">הכנסת – הוא </w:t>
      </w:r>
      <w:bookmarkStart w:id="29789" w:name="_ETM_Q51_301850"/>
      <w:bookmarkEnd w:id="29789"/>
      <w:r>
        <w:rPr>
          <w:rFonts w:hint="cs"/>
          <w:rtl/>
        </w:rPr>
        <w:t xml:space="preserve">שהממשלה </w:t>
      </w:r>
      <w:bookmarkStart w:id="29790" w:name="_ETM_Q51_302690"/>
      <w:bookmarkEnd w:id="29790"/>
      <w:r>
        <w:rPr>
          <w:rFonts w:hint="cs"/>
          <w:rtl/>
        </w:rPr>
        <w:t xml:space="preserve">והכנסת </w:t>
      </w:r>
      <w:bookmarkStart w:id="29791" w:name="_ETM_Q51_303350"/>
      <w:bookmarkEnd w:id="29791"/>
      <w:r>
        <w:rPr>
          <w:rFonts w:hint="cs"/>
          <w:rtl/>
        </w:rPr>
        <w:t xml:space="preserve">רוצים </w:t>
      </w:r>
      <w:bookmarkStart w:id="29792" w:name="_ETM_Q51_303710"/>
      <w:bookmarkEnd w:id="29792"/>
      <w:r>
        <w:rPr>
          <w:rFonts w:hint="cs"/>
          <w:rtl/>
        </w:rPr>
        <w:t xml:space="preserve">יותר </w:t>
      </w:r>
      <w:bookmarkStart w:id="29793" w:name="_ETM_Q51_304130"/>
      <w:bookmarkEnd w:id="29793"/>
      <w:r>
        <w:rPr>
          <w:rFonts w:hint="cs"/>
          <w:rtl/>
        </w:rPr>
        <w:t xml:space="preserve">ויותר </w:t>
      </w:r>
      <w:bookmarkStart w:id="29794" w:name="_ETM_Q51_304610"/>
      <w:bookmarkEnd w:id="29794"/>
      <w:r>
        <w:rPr>
          <w:rFonts w:hint="cs"/>
          <w:rtl/>
        </w:rPr>
        <w:t xml:space="preserve">להתערב </w:t>
      </w:r>
      <w:bookmarkStart w:id="29795" w:name="_ETM_Q51_305820"/>
      <w:bookmarkEnd w:id="29795"/>
      <w:r>
        <w:rPr>
          <w:rFonts w:hint="cs"/>
          <w:rtl/>
        </w:rPr>
        <w:t xml:space="preserve">בחיים </w:t>
      </w:r>
      <w:bookmarkStart w:id="29796" w:name="_ETM_Q51_306299"/>
      <w:bookmarkEnd w:id="29796"/>
      <w:r>
        <w:rPr>
          <w:rFonts w:hint="cs"/>
          <w:rtl/>
        </w:rPr>
        <w:t xml:space="preserve">הפרטיים </w:t>
      </w:r>
      <w:bookmarkStart w:id="29797" w:name="_ETM_Q51_306719"/>
      <w:bookmarkEnd w:id="29797"/>
      <w:r>
        <w:rPr>
          <w:rFonts w:hint="cs"/>
          <w:rtl/>
        </w:rPr>
        <w:t xml:space="preserve">של </w:t>
      </w:r>
      <w:bookmarkStart w:id="29798" w:name="_ETM_Q51_306869"/>
      <w:bookmarkEnd w:id="29798"/>
      <w:r>
        <w:rPr>
          <w:rFonts w:hint="cs"/>
          <w:rtl/>
        </w:rPr>
        <w:t xml:space="preserve">אנשים. </w:t>
      </w:r>
      <w:bookmarkStart w:id="29799" w:name="_ETM_Q51_308490"/>
      <w:bookmarkEnd w:id="29799"/>
      <w:r>
        <w:rPr>
          <w:rFonts w:hint="cs"/>
          <w:rtl/>
        </w:rPr>
        <w:t xml:space="preserve">כשאני </w:t>
      </w:r>
      <w:bookmarkStart w:id="29800" w:name="_ETM_Q51_308849"/>
      <w:bookmarkEnd w:id="29800"/>
      <w:r>
        <w:rPr>
          <w:rFonts w:hint="cs"/>
          <w:rtl/>
        </w:rPr>
        <w:t xml:space="preserve">מסתכל </w:t>
      </w:r>
      <w:bookmarkStart w:id="29801" w:name="_ETM_Q51_311709"/>
      <w:bookmarkEnd w:id="29801"/>
      <w:r>
        <w:rPr>
          <w:rFonts w:hint="cs"/>
          <w:rtl/>
        </w:rPr>
        <w:t xml:space="preserve">על </w:t>
      </w:r>
      <w:bookmarkStart w:id="29802" w:name="_ETM_Q51_311919"/>
      <w:bookmarkEnd w:id="29802"/>
      <w:r>
        <w:rPr>
          <w:rFonts w:hint="cs"/>
          <w:rtl/>
        </w:rPr>
        <w:t xml:space="preserve">הצעות </w:t>
      </w:r>
      <w:bookmarkStart w:id="29803" w:name="_ETM_Q51_312310"/>
      <w:bookmarkEnd w:id="29803"/>
      <w:r>
        <w:rPr>
          <w:rFonts w:hint="cs"/>
          <w:rtl/>
        </w:rPr>
        <w:t xml:space="preserve">החוק </w:t>
      </w:r>
      <w:bookmarkStart w:id="29804" w:name="_ETM_Q51_313190"/>
      <w:bookmarkEnd w:id="29804"/>
      <w:r>
        <w:rPr>
          <w:rFonts w:hint="cs"/>
          <w:rtl/>
        </w:rPr>
        <w:t xml:space="preserve">שמשמעותן </w:t>
      </w:r>
      <w:bookmarkStart w:id="29805" w:name="_ETM_Q51_314389"/>
      <w:bookmarkEnd w:id="29805"/>
      <w:r>
        <w:rPr>
          <w:rFonts w:hint="cs"/>
          <w:rtl/>
        </w:rPr>
        <w:t xml:space="preserve">הפיכתה </w:t>
      </w:r>
      <w:bookmarkStart w:id="29806" w:name="_ETM_Q51_314990"/>
      <w:bookmarkEnd w:id="29806"/>
      <w:r>
        <w:rPr>
          <w:rFonts w:hint="cs"/>
          <w:rtl/>
        </w:rPr>
        <w:t xml:space="preserve">של </w:t>
      </w:r>
      <w:bookmarkStart w:id="29807" w:name="_ETM_Q51_315139"/>
      <w:bookmarkEnd w:id="29807"/>
      <w:r>
        <w:rPr>
          <w:rFonts w:hint="cs"/>
          <w:rtl/>
        </w:rPr>
        <w:t xml:space="preserve">מדינת </w:t>
      </w:r>
      <w:bookmarkStart w:id="29808" w:name="_ETM_Q51_315440"/>
      <w:bookmarkEnd w:id="29808"/>
      <w:r>
        <w:rPr>
          <w:rFonts w:hint="cs"/>
          <w:rtl/>
        </w:rPr>
        <w:t xml:space="preserve">ישראל </w:t>
      </w:r>
      <w:bookmarkStart w:id="29809" w:name="_ETM_Q51_315740"/>
      <w:bookmarkEnd w:id="29809"/>
      <w:r>
        <w:rPr>
          <w:rFonts w:hint="cs"/>
          <w:rtl/>
        </w:rPr>
        <w:t xml:space="preserve">למדינת </w:t>
      </w:r>
      <w:bookmarkStart w:id="29810" w:name="_ETM_Q51_316130"/>
      <w:bookmarkEnd w:id="29810"/>
      <w:r>
        <w:rPr>
          <w:rFonts w:hint="cs"/>
          <w:rtl/>
        </w:rPr>
        <w:t xml:space="preserve">הלכה </w:t>
      </w:r>
      <w:bookmarkStart w:id="29811" w:name="_ETM_Q51_317480"/>
      <w:bookmarkEnd w:id="29811"/>
      <w:r>
        <w:rPr>
          <w:rFonts w:hint="cs"/>
          <w:rtl/>
        </w:rPr>
        <w:t xml:space="preserve">– כמובן </w:t>
      </w:r>
      <w:bookmarkStart w:id="29812" w:name="_ETM_Q51_318810"/>
      <w:bookmarkEnd w:id="29812"/>
      <w:r>
        <w:rPr>
          <w:rFonts w:hint="cs"/>
          <w:rtl/>
        </w:rPr>
        <w:t xml:space="preserve">לא </w:t>
      </w:r>
      <w:bookmarkStart w:id="29813" w:name="_ETM_Q51_319079"/>
      <w:bookmarkEnd w:id="29813"/>
      <w:r>
        <w:rPr>
          <w:rFonts w:hint="cs"/>
          <w:rtl/>
        </w:rPr>
        <w:t xml:space="preserve">ביום אחד </w:t>
      </w:r>
      <w:bookmarkStart w:id="29814" w:name="_ETM_Q51_319379"/>
      <w:bookmarkStart w:id="29815" w:name="_ETM_Q51_320790"/>
      <w:bookmarkEnd w:id="29814"/>
      <w:bookmarkEnd w:id="29815"/>
      <w:r>
        <w:rPr>
          <w:rFonts w:hint="cs"/>
          <w:rtl/>
        </w:rPr>
        <w:t xml:space="preserve">אלא </w:t>
      </w:r>
      <w:bookmarkStart w:id="29816" w:name="_ETM_Q51_321030"/>
      <w:bookmarkEnd w:id="29816"/>
      <w:r>
        <w:rPr>
          <w:rFonts w:hint="cs"/>
          <w:rtl/>
        </w:rPr>
        <w:t xml:space="preserve">בשיטת </w:t>
      </w:r>
      <w:bookmarkStart w:id="29817" w:name="_ETM_Q51_321540"/>
      <w:bookmarkEnd w:id="29817"/>
      <w:r>
        <w:rPr>
          <w:rFonts w:hint="cs"/>
          <w:rtl/>
        </w:rPr>
        <w:t xml:space="preserve">הסלמי </w:t>
      </w:r>
      <w:bookmarkStart w:id="29818" w:name="_ETM_Q51_322889"/>
      <w:bookmarkEnd w:id="29818"/>
      <w:r>
        <w:rPr>
          <w:rFonts w:hint="cs"/>
          <w:rtl/>
        </w:rPr>
        <w:t xml:space="preserve">או </w:t>
      </w:r>
      <w:bookmarkStart w:id="29819" w:name="_ETM_Q51_323129"/>
      <w:bookmarkEnd w:id="29819"/>
      <w:r>
        <w:rPr>
          <w:rFonts w:hint="cs"/>
          <w:rtl/>
        </w:rPr>
        <w:t xml:space="preserve">שיטת </w:t>
      </w:r>
      <w:bookmarkStart w:id="29820" w:name="_ETM_Q51_323610"/>
      <w:bookmarkEnd w:id="29820"/>
      <w:r>
        <w:rPr>
          <w:rFonts w:hint="cs"/>
          <w:rtl/>
        </w:rPr>
        <w:t xml:space="preserve">הטיפות, </w:t>
      </w:r>
      <w:bookmarkStart w:id="29821" w:name="_ETM_Q51_324700"/>
      <w:bookmarkEnd w:id="29821"/>
      <w:r>
        <w:rPr>
          <w:rFonts w:hint="cs"/>
          <w:rtl/>
        </w:rPr>
        <w:t>טיפה-</w:t>
      </w:r>
      <w:bookmarkStart w:id="29822" w:name="_ETM_Q51_325210"/>
      <w:bookmarkEnd w:id="29822"/>
      <w:r>
        <w:rPr>
          <w:rFonts w:hint="cs"/>
          <w:rtl/>
        </w:rPr>
        <w:t xml:space="preserve">טיפה, </w:t>
      </w:r>
      <w:bookmarkStart w:id="29823" w:name="_ETM_Q51_326590"/>
      <w:bookmarkEnd w:id="29823"/>
      <w:r>
        <w:rPr>
          <w:rFonts w:hint="cs"/>
          <w:rtl/>
        </w:rPr>
        <w:t xml:space="preserve">בדיוק </w:t>
      </w:r>
      <w:bookmarkStart w:id="29824" w:name="_ETM_Q51_326950"/>
      <w:bookmarkEnd w:id="29824"/>
      <w:r>
        <w:rPr>
          <w:rFonts w:hint="cs"/>
          <w:rtl/>
        </w:rPr>
        <w:t xml:space="preserve">כמו </w:t>
      </w:r>
      <w:bookmarkStart w:id="29825" w:name="_ETM_Q51_327130"/>
      <w:bookmarkEnd w:id="29825"/>
      <w:r>
        <w:rPr>
          <w:rFonts w:hint="cs"/>
          <w:rtl/>
        </w:rPr>
        <w:t xml:space="preserve">שרוצים </w:t>
      </w:r>
      <w:bookmarkStart w:id="29826" w:name="_ETM_Q51_327550"/>
      <w:bookmarkEnd w:id="29826"/>
      <w:r>
        <w:rPr>
          <w:rFonts w:hint="cs"/>
          <w:rtl/>
        </w:rPr>
        <w:t xml:space="preserve">לעשות </w:t>
      </w:r>
      <w:bookmarkStart w:id="29827" w:name="_ETM_Q51_327910"/>
      <w:bookmarkEnd w:id="29827"/>
      <w:r>
        <w:rPr>
          <w:rFonts w:hint="cs"/>
          <w:rtl/>
        </w:rPr>
        <w:t xml:space="preserve">עם </w:t>
      </w:r>
      <w:bookmarkStart w:id="29828" w:name="_ETM_Q51_328030"/>
      <w:bookmarkEnd w:id="29828"/>
      <w:r>
        <w:rPr>
          <w:rFonts w:hint="cs"/>
          <w:rtl/>
        </w:rPr>
        <w:t xml:space="preserve">המהפכה </w:t>
      </w:r>
      <w:bookmarkStart w:id="29829" w:name="_ETM_Q51_328510"/>
      <w:bookmarkEnd w:id="29829"/>
      <w:r>
        <w:rPr>
          <w:rFonts w:hint="cs"/>
          <w:rtl/>
        </w:rPr>
        <w:t xml:space="preserve">המשטרית </w:t>
      </w:r>
      <w:bookmarkStart w:id="29830" w:name="_ETM_Q51_329940"/>
      <w:bookmarkEnd w:id="29830"/>
      <w:r>
        <w:rPr>
          <w:rFonts w:hint="cs"/>
          <w:rtl/>
        </w:rPr>
        <w:t xml:space="preserve">– אז </w:t>
      </w:r>
      <w:bookmarkStart w:id="29831" w:name="_ETM_Q51_330120"/>
      <w:bookmarkEnd w:id="29831"/>
      <w:r>
        <w:rPr>
          <w:rFonts w:hint="cs"/>
          <w:rtl/>
        </w:rPr>
        <w:t xml:space="preserve">מתחילים </w:t>
      </w:r>
      <w:bookmarkStart w:id="29832" w:name="_ETM_Q51_331419"/>
      <w:bookmarkEnd w:id="29832"/>
      <w:r>
        <w:rPr>
          <w:rFonts w:hint="cs"/>
          <w:rtl/>
        </w:rPr>
        <w:t xml:space="preserve">עם </w:t>
      </w:r>
      <w:bookmarkStart w:id="29833" w:name="_ETM_Q51_331599"/>
      <w:bookmarkEnd w:id="29833"/>
      <w:r>
        <w:rPr>
          <w:rFonts w:hint="cs"/>
          <w:rtl/>
        </w:rPr>
        <w:t xml:space="preserve">הרחבת </w:t>
      </w:r>
      <w:bookmarkStart w:id="29834" w:name="_ETM_Q51_332019"/>
      <w:bookmarkEnd w:id="29834"/>
      <w:r>
        <w:rPr>
          <w:rFonts w:hint="cs"/>
          <w:rtl/>
        </w:rPr>
        <w:t xml:space="preserve">הסמכויות </w:t>
      </w:r>
      <w:bookmarkStart w:id="29835" w:name="_ETM_Q51_332530"/>
      <w:bookmarkEnd w:id="29835"/>
      <w:r>
        <w:rPr>
          <w:rFonts w:hint="cs"/>
          <w:rtl/>
        </w:rPr>
        <w:t xml:space="preserve">של </w:t>
      </w:r>
      <w:bookmarkStart w:id="29836" w:name="_ETM_Q51_332650"/>
      <w:bookmarkEnd w:id="29836"/>
      <w:r>
        <w:rPr>
          <w:rFonts w:hint="cs"/>
          <w:rtl/>
        </w:rPr>
        <w:t xml:space="preserve">בתי </w:t>
      </w:r>
      <w:bookmarkStart w:id="29837" w:name="_ETM_Q51_332919"/>
      <w:bookmarkEnd w:id="29837"/>
      <w:r>
        <w:rPr>
          <w:rFonts w:hint="cs"/>
          <w:rtl/>
        </w:rPr>
        <w:t xml:space="preserve">הדין </w:t>
      </w:r>
      <w:bookmarkStart w:id="29838" w:name="_ETM_Q51_333099"/>
      <w:bookmarkEnd w:id="29838"/>
      <w:r>
        <w:rPr>
          <w:rFonts w:hint="cs"/>
          <w:rtl/>
        </w:rPr>
        <w:t xml:space="preserve">הרבניים </w:t>
      </w:r>
      <w:bookmarkStart w:id="29839" w:name="_ETM_Q51_333669"/>
      <w:bookmarkEnd w:id="29839"/>
      <w:r>
        <w:rPr>
          <w:rFonts w:hint="cs"/>
          <w:rtl/>
        </w:rPr>
        <w:t xml:space="preserve">כדי </w:t>
      </w:r>
      <w:bookmarkStart w:id="29840" w:name="_ETM_Q51_333909"/>
      <w:bookmarkEnd w:id="29840"/>
      <w:r>
        <w:rPr>
          <w:rFonts w:hint="cs"/>
          <w:rtl/>
        </w:rPr>
        <w:t xml:space="preserve">שיוכלו </w:t>
      </w:r>
      <w:bookmarkStart w:id="29841" w:name="_ETM_Q51_334239"/>
      <w:bookmarkEnd w:id="29841"/>
      <w:r>
        <w:rPr>
          <w:rFonts w:hint="cs"/>
          <w:rtl/>
        </w:rPr>
        <w:t xml:space="preserve">לדון </w:t>
      </w:r>
      <w:bookmarkStart w:id="29842" w:name="_ETM_Q51_334540"/>
      <w:bookmarkEnd w:id="29842"/>
      <w:r>
        <w:rPr>
          <w:rFonts w:hint="cs"/>
          <w:rtl/>
        </w:rPr>
        <w:t xml:space="preserve">גם </w:t>
      </w:r>
      <w:bookmarkStart w:id="29843" w:name="_ETM_Q51_334720"/>
      <w:bookmarkEnd w:id="29843"/>
      <w:r>
        <w:rPr>
          <w:rFonts w:hint="cs"/>
          <w:rtl/>
        </w:rPr>
        <w:t xml:space="preserve">בענייני </w:t>
      </w:r>
      <w:bookmarkStart w:id="29844" w:name="_ETM_Q51_335110"/>
      <w:bookmarkEnd w:id="29844"/>
      <w:r>
        <w:rPr>
          <w:rFonts w:hint="cs"/>
          <w:rtl/>
        </w:rPr>
        <w:t xml:space="preserve">ממון, </w:t>
      </w:r>
      <w:bookmarkStart w:id="29845" w:name="_ETM_Q51_336110"/>
      <w:bookmarkEnd w:id="29845"/>
      <w:r>
        <w:rPr>
          <w:rFonts w:hint="cs"/>
          <w:rtl/>
        </w:rPr>
        <w:t xml:space="preserve">ממשיכים </w:t>
      </w:r>
      <w:bookmarkStart w:id="29846" w:name="_ETM_Q51_337210"/>
      <w:bookmarkEnd w:id="29846"/>
      <w:r>
        <w:rPr>
          <w:rFonts w:hint="cs"/>
          <w:rtl/>
        </w:rPr>
        <w:t xml:space="preserve">בחוק </w:t>
      </w:r>
      <w:bookmarkStart w:id="29847" w:name="_ETM_Q51_337600"/>
      <w:bookmarkEnd w:id="29847"/>
      <w:r>
        <w:rPr>
          <w:rFonts w:hint="cs"/>
          <w:rtl/>
        </w:rPr>
        <w:t xml:space="preserve">שמקדם </w:t>
      </w:r>
      <w:bookmarkStart w:id="29848" w:name="_ETM_Q51_338080"/>
      <w:bookmarkEnd w:id="29848"/>
      <w:r>
        <w:rPr>
          <w:rFonts w:hint="cs"/>
          <w:rtl/>
        </w:rPr>
        <w:t xml:space="preserve">עכשיו </w:t>
      </w:r>
      <w:bookmarkStart w:id="29849" w:name="_ETM_Q51_338350"/>
      <w:bookmarkEnd w:id="29849"/>
      <w:r>
        <w:rPr>
          <w:rFonts w:hint="cs"/>
          <w:rtl/>
        </w:rPr>
        <w:t xml:space="preserve">שר </w:t>
      </w:r>
      <w:bookmarkStart w:id="29850" w:name="_ETM_Q51_338590"/>
      <w:bookmarkEnd w:id="29850"/>
      <w:r>
        <w:rPr>
          <w:rFonts w:hint="cs"/>
          <w:rtl/>
        </w:rPr>
        <w:t xml:space="preserve">הדתות, </w:t>
      </w:r>
      <w:bookmarkStart w:id="29851" w:name="_ETM_Q51_340180"/>
      <w:bookmarkEnd w:id="29851"/>
      <w:r>
        <w:rPr>
          <w:rFonts w:hint="cs"/>
          <w:rtl/>
        </w:rPr>
        <w:t xml:space="preserve">שמחסל </w:t>
      </w:r>
      <w:bookmarkStart w:id="29852" w:name="_ETM_Q51_341470"/>
      <w:bookmarkEnd w:id="29852"/>
      <w:r>
        <w:rPr>
          <w:rFonts w:hint="cs"/>
          <w:rtl/>
        </w:rPr>
        <w:t xml:space="preserve">בעצם </w:t>
      </w:r>
      <w:bookmarkStart w:id="29853" w:name="_ETM_Q51_341860"/>
      <w:bookmarkEnd w:id="29853"/>
      <w:r>
        <w:rPr>
          <w:rFonts w:hint="cs"/>
          <w:rtl/>
        </w:rPr>
        <w:t xml:space="preserve">את </w:t>
      </w:r>
      <w:bookmarkStart w:id="29854" w:name="_ETM_Q51_342010"/>
      <w:bookmarkEnd w:id="29854"/>
      <w:r>
        <w:rPr>
          <w:rFonts w:hint="cs"/>
          <w:rtl/>
        </w:rPr>
        <w:t xml:space="preserve">האפשרות </w:t>
      </w:r>
      <w:bookmarkStart w:id="29855" w:name="_ETM_Q51_343780"/>
      <w:bookmarkEnd w:id="29855"/>
      <w:r w:rsidR="00AD5596">
        <w:rPr>
          <w:rFonts w:hint="cs"/>
          <w:rtl/>
        </w:rPr>
        <w:t xml:space="preserve">של </w:t>
      </w:r>
      <w:r>
        <w:rPr>
          <w:rFonts w:hint="cs"/>
          <w:rtl/>
        </w:rPr>
        <w:t xml:space="preserve">בתי </w:t>
      </w:r>
      <w:bookmarkStart w:id="29856" w:name="_ETM_Q51_344290"/>
      <w:bookmarkEnd w:id="29856"/>
      <w:r>
        <w:rPr>
          <w:rFonts w:hint="cs"/>
          <w:rtl/>
        </w:rPr>
        <w:t xml:space="preserve">הדין </w:t>
      </w:r>
      <w:bookmarkStart w:id="29857" w:name="_ETM_Q51_346610"/>
      <w:bookmarkEnd w:id="29857"/>
      <w:r>
        <w:rPr>
          <w:rFonts w:hint="cs"/>
          <w:rtl/>
        </w:rPr>
        <w:t xml:space="preserve">האזרחיים </w:t>
      </w:r>
      <w:bookmarkStart w:id="29858" w:name="_ETM_Q51_348260"/>
      <w:bookmarkEnd w:id="29858"/>
      <w:r>
        <w:rPr>
          <w:rFonts w:hint="cs"/>
          <w:rtl/>
        </w:rPr>
        <w:t xml:space="preserve">לדון </w:t>
      </w:r>
      <w:bookmarkStart w:id="29859" w:name="_ETM_Q51_348650"/>
      <w:bookmarkEnd w:id="29859"/>
      <w:r>
        <w:rPr>
          <w:rFonts w:hint="cs"/>
          <w:rtl/>
        </w:rPr>
        <w:t xml:space="preserve">בענייני </w:t>
      </w:r>
      <w:bookmarkStart w:id="29860" w:name="_ETM_Q51_349010"/>
      <w:bookmarkEnd w:id="29860"/>
      <w:r>
        <w:rPr>
          <w:rFonts w:hint="cs"/>
          <w:rtl/>
        </w:rPr>
        <w:t xml:space="preserve">מזונות </w:t>
      </w:r>
      <w:bookmarkStart w:id="29861" w:name="_ETM_Q51_349459"/>
      <w:bookmarkEnd w:id="29861"/>
      <w:r>
        <w:rPr>
          <w:rFonts w:hint="cs"/>
          <w:rtl/>
        </w:rPr>
        <w:t xml:space="preserve">ומחזיר </w:t>
      </w:r>
      <w:bookmarkStart w:id="29862" w:name="_ETM_Q51_349970"/>
      <w:bookmarkEnd w:id="29862"/>
      <w:r>
        <w:rPr>
          <w:rFonts w:hint="cs"/>
          <w:rtl/>
        </w:rPr>
        <w:t xml:space="preserve">את </w:t>
      </w:r>
      <w:bookmarkStart w:id="29863" w:name="_ETM_Q51_350060"/>
      <w:bookmarkEnd w:id="29863"/>
      <w:r>
        <w:rPr>
          <w:rFonts w:hint="cs"/>
          <w:rtl/>
        </w:rPr>
        <w:t xml:space="preserve">ענייני </w:t>
      </w:r>
      <w:bookmarkStart w:id="29864" w:name="_ETM_Q51_350389"/>
      <w:bookmarkEnd w:id="29864"/>
      <w:r>
        <w:rPr>
          <w:rFonts w:hint="cs"/>
          <w:rtl/>
        </w:rPr>
        <w:t xml:space="preserve">המזונות </w:t>
      </w:r>
      <w:bookmarkStart w:id="29865" w:name="_ETM_Q51_350930"/>
      <w:bookmarkEnd w:id="29865"/>
      <w:r>
        <w:rPr>
          <w:rFonts w:hint="cs"/>
          <w:rtl/>
        </w:rPr>
        <w:t xml:space="preserve">וענייני </w:t>
      </w:r>
      <w:bookmarkStart w:id="29866" w:name="_ETM_Q51_351319"/>
      <w:bookmarkEnd w:id="29866"/>
      <w:r>
        <w:rPr>
          <w:rFonts w:hint="cs"/>
          <w:rtl/>
        </w:rPr>
        <w:t xml:space="preserve">הרכוש </w:t>
      </w:r>
      <w:bookmarkStart w:id="29867" w:name="_ETM_Q51_352129"/>
      <w:bookmarkEnd w:id="29867"/>
      <w:r>
        <w:rPr>
          <w:rFonts w:hint="cs"/>
          <w:rtl/>
        </w:rPr>
        <w:t xml:space="preserve">לבתי </w:t>
      </w:r>
      <w:bookmarkStart w:id="29868" w:name="_ETM_Q51_352639"/>
      <w:bookmarkEnd w:id="29868"/>
      <w:r>
        <w:rPr>
          <w:rFonts w:hint="cs"/>
          <w:rtl/>
        </w:rPr>
        <w:t xml:space="preserve">הדין </w:t>
      </w:r>
      <w:bookmarkStart w:id="29869" w:name="_ETM_Q51_352849"/>
      <w:bookmarkEnd w:id="29869"/>
      <w:r>
        <w:rPr>
          <w:rFonts w:hint="cs"/>
          <w:rtl/>
        </w:rPr>
        <w:t xml:space="preserve">הרבניים, </w:t>
      </w:r>
      <w:bookmarkStart w:id="29870" w:name="_ETM_Q51_355419"/>
      <w:bookmarkEnd w:id="29870"/>
      <w:r>
        <w:rPr>
          <w:rFonts w:hint="cs"/>
          <w:rtl/>
        </w:rPr>
        <w:t xml:space="preserve">ופתאום </w:t>
      </w:r>
      <w:bookmarkStart w:id="29871" w:name="_ETM_Q51_355990"/>
      <w:bookmarkEnd w:id="29871"/>
      <w:r>
        <w:rPr>
          <w:rFonts w:hint="cs"/>
          <w:rtl/>
        </w:rPr>
        <w:t xml:space="preserve">אנחנו </w:t>
      </w:r>
      <w:bookmarkStart w:id="29872" w:name="_ETM_Q51_356290"/>
      <w:bookmarkEnd w:id="29872"/>
      <w:r>
        <w:rPr>
          <w:rFonts w:hint="cs"/>
          <w:rtl/>
        </w:rPr>
        <w:t xml:space="preserve">מוצאים </w:t>
      </w:r>
      <w:bookmarkStart w:id="29873" w:name="_ETM_Q51_356560"/>
      <w:bookmarkEnd w:id="29873"/>
      <w:r>
        <w:rPr>
          <w:rFonts w:hint="cs"/>
          <w:rtl/>
        </w:rPr>
        <w:t xml:space="preserve">את </w:t>
      </w:r>
      <w:bookmarkStart w:id="29874" w:name="_ETM_Q51_356620"/>
      <w:bookmarkEnd w:id="29874"/>
      <w:r>
        <w:rPr>
          <w:rFonts w:hint="cs"/>
          <w:rtl/>
        </w:rPr>
        <w:t xml:space="preserve">עצמנו </w:t>
      </w:r>
      <w:bookmarkStart w:id="29875" w:name="_ETM_Q51_357700"/>
      <w:bookmarkEnd w:id="29875"/>
      <w:r>
        <w:rPr>
          <w:rFonts w:hint="cs"/>
          <w:rtl/>
        </w:rPr>
        <w:t xml:space="preserve">עם </w:t>
      </w:r>
      <w:bookmarkStart w:id="29876" w:name="_ETM_Q51_357819"/>
      <w:bookmarkEnd w:id="29876"/>
      <w:r>
        <w:rPr>
          <w:rFonts w:hint="cs"/>
          <w:rtl/>
        </w:rPr>
        <w:t xml:space="preserve">מערכת </w:t>
      </w:r>
      <w:bookmarkStart w:id="29877" w:name="_ETM_Q51_358209"/>
      <w:bookmarkEnd w:id="29877"/>
      <w:r>
        <w:rPr>
          <w:rFonts w:hint="cs"/>
          <w:rtl/>
        </w:rPr>
        <w:t xml:space="preserve">משפט </w:t>
      </w:r>
      <w:bookmarkStart w:id="29878" w:name="_ETM_Q51_358569"/>
      <w:bookmarkEnd w:id="29878"/>
      <w:r>
        <w:rPr>
          <w:rFonts w:hint="cs"/>
          <w:rtl/>
        </w:rPr>
        <w:t xml:space="preserve">מקבילה, </w:t>
      </w:r>
      <w:bookmarkStart w:id="29879" w:name="_ETM_Q51_359830"/>
      <w:bookmarkEnd w:id="29879"/>
      <w:r>
        <w:rPr>
          <w:rFonts w:hint="cs"/>
          <w:rtl/>
        </w:rPr>
        <w:t xml:space="preserve">דתית, </w:t>
      </w:r>
      <w:bookmarkStart w:id="29880" w:name="_ETM_Q51_361209"/>
      <w:bookmarkEnd w:id="29880"/>
      <w:r>
        <w:rPr>
          <w:rFonts w:hint="cs"/>
          <w:rtl/>
        </w:rPr>
        <w:t xml:space="preserve">במדינת </w:t>
      </w:r>
      <w:bookmarkStart w:id="29881" w:name="_ETM_Q51_361629"/>
      <w:bookmarkEnd w:id="29881"/>
      <w:r>
        <w:rPr>
          <w:rFonts w:hint="cs"/>
          <w:rtl/>
        </w:rPr>
        <w:t xml:space="preserve">ישראל, </w:t>
      </w:r>
      <w:bookmarkStart w:id="29882" w:name="_ETM_Q51_362559"/>
      <w:bookmarkEnd w:id="29882"/>
      <w:r>
        <w:rPr>
          <w:rFonts w:hint="cs"/>
          <w:rtl/>
        </w:rPr>
        <w:t xml:space="preserve">שלאט-לאט </w:t>
      </w:r>
      <w:bookmarkStart w:id="29883" w:name="_ETM_Q51_363430"/>
      <w:bookmarkEnd w:id="29883"/>
      <w:r>
        <w:rPr>
          <w:rFonts w:hint="cs"/>
          <w:rtl/>
        </w:rPr>
        <w:t xml:space="preserve">תלך </w:t>
      </w:r>
      <w:bookmarkStart w:id="29884" w:name="_ETM_Q51_363939"/>
      <w:bookmarkEnd w:id="29884"/>
      <w:r>
        <w:rPr>
          <w:rFonts w:hint="cs"/>
          <w:rtl/>
        </w:rPr>
        <w:t xml:space="preserve">ותדחק </w:t>
      </w:r>
      <w:bookmarkStart w:id="29885" w:name="_ETM_Q51_364930"/>
      <w:bookmarkEnd w:id="29885"/>
      <w:r>
        <w:rPr>
          <w:rFonts w:hint="cs"/>
          <w:rtl/>
        </w:rPr>
        <w:t xml:space="preserve">את </w:t>
      </w:r>
      <w:bookmarkStart w:id="29886" w:name="_ETM_Q51_365079"/>
      <w:bookmarkEnd w:id="29886"/>
      <w:r>
        <w:rPr>
          <w:rFonts w:hint="cs"/>
          <w:rtl/>
        </w:rPr>
        <w:t xml:space="preserve">רגליה </w:t>
      </w:r>
      <w:bookmarkStart w:id="29887" w:name="_ETM_Q51_365409"/>
      <w:bookmarkEnd w:id="29887"/>
      <w:r>
        <w:rPr>
          <w:rFonts w:hint="cs"/>
          <w:rtl/>
        </w:rPr>
        <w:t xml:space="preserve">של </w:t>
      </w:r>
      <w:bookmarkStart w:id="29888" w:name="_ETM_Q51_365559"/>
      <w:bookmarkEnd w:id="29888"/>
      <w:r>
        <w:rPr>
          <w:rFonts w:hint="cs"/>
          <w:rtl/>
        </w:rPr>
        <w:t xml:space="preserve">מערכת </w:t>
      </w:r>
      <w:bookmarkStart w:id="29889" w:name="_ETM_Q51_365859"/>
      <w:bookmarkEnd w:id="29889"/>
      <w:r>
        <w:rPr>
          <w:rFonts w:hint="cs"/>
          <w:rtl/>
        </w:rPr>
        <w:t xml:space="preserve">המשפט </w:t>
      </w:r>
      <w:bookmarkStart w:id="29890" w:name="_ETM_Q51_366219"/>
      <w:bookmarkEnd w:id="29890"/>
      <w:r>
        <w:rPr>
          <w:rFonts w:hint="cs"/>
          <w:rtl/>
        </w:rPr>
        <w:t>האזרחית.</w:t>
      </w:r>
      <w:bookmarkStart w:id="29891" w:name="_ETM_Q51_371000"/>
      <w:bookmarkStart w:id="29892" w:name="_ETM_Q51_368240"/>
      <w:bookmarkEnd w:id="29891"/>
      <w:bookmarkEnd w:id="29892"/>
      <w:r>
        <w:rPr>
          <w:rFonts w:hint="cs"/>
          <w:rtl/>
        </w:rPr>
        <w:t xml:space="preserve"> אז </w:t>
      </w:r>
      <w:bookmarkStart w:id="29893" w:name="_ETM_Q51_368419"/>
      <w:bookmarkEnd w:id="29893"/>
      <w:r>
        <w:rPr>
          <w:rFonts w:hint="cs"/>
          <w:rtl/>
        </w:rPr>
        <w:t xml:space="preserve">נתחיל </w:t>
      </w:r>
      <w:bookmarkStart w:id="29894" w:name="_ETM_Q51_368750"/>
      <w:bookmarkEnd w:id="29894"/>
      <w:r>
        <w:rPr>
          <w:rFonts w:hint="cs"/>
          <w:rtl/>
        </w:rPr>
        <w:t>מזה ש</w:t>
      </w:r>
      <w:bookmarkStart w:id="29895" w:name="_ETM_Q51_369760"/>
      <w:bookmarkStart w:id="29896" w:name="_ETM_Q51_370029"/>
      <w:bookmarkEnd w:id="29895"/>
      <w:bookmarkEnd w:id="29896"/>
      <w:r>
        <w:rPr>
          <w:rFonts w:hint="cs"/>
          <w:rtl/>
        </w:rPr>
        <w:t xml:space="preserve">איך </w:t>
      </w:r>
      <w:bookmarkStart w:id="29897" w:name="_ETM_Q51_370120"/>
      <w:bookmarkEnd w:id="29897"/>
      <w:r>
        <w:rPr>
          <w:rFonts w:hint="cs"/>
          <w:rtl/>
        </w:rPr>
        <w:t xml:space="preserve">יכול </w:t>
      </w:r>
      <w:bookmarkStart w:id="29898" w:name="_ETM_Q51_370419"/>
      <w:bookmarkEnd w:id="29898"/>
      <w:r>
        <w:rPr>
          <w:rFonts w:hint="cs"/>
          <w:rtl/>
        </w:rPr>
        <w:t xml:space="preserve">להיות </w:t>
      </w:r>
      <w:bookmarkStart w:id="29899" w:name="_ETM_Q51_370689"/>
      <w:bookmarkEnd w:id="29899"/>
      <w:r>
        <w:rPr>
          <w:rFonts w:hint="cs"/>
          <w:rtl/>
        </w:rPr>
        <w:t xml:space="preserve">שבמדינת </w:t>
      </w:r>
      <w:bookmarkStart w:id="29900" w:name="_ETM_Q51_371169"/>
      <w:bookmarkEnd w:id="29900"/>
      <w:r>
        <w:rPr>
          <w:rFonts w:hint="cs"/>
          <w:rtl/>
        </w:rPr>
        <w:t xml:space="preserve">ישראל </w:t>
      </w:r>
      <w:bookmarkStart w:id="29901" w:name="_ETM_Q51_371469"/>
      <w:bookmarkEnd w:id="29901"/>
      <w:r>
        <w:rPr>
          <w:rFonts w:hint="cs"/>
          <w:rtl/>
        </w:rPr>
        <w:t xml:space="preserve">יש </w:t>
      </w:r>
      <w:bookmarkStart w:id="29902" w:name="_ETM_Q51_371589"/>
      <w:bookmarkEnd w:id="29902"/>
      <w:r>
        <w:rPr>
          <w:rFonts w:hint="cs"/>
          <w:rtl/>
        </w:rPr>
        <w:t xml:space="preserve">שתי </w:t>
      </w:r>
      <w:bookmarkStart w:id="29903" w:name="_ETM_Q51_371769"/>
      <w:bookmarkEnd w:id="29903"/>
      <w:r>
        <w:rPr>
          <w:rFonts w:hint="cs"/>
          <w:rtl/>
        </w:rPr>
        <w:t xml:space="preserve">מערכות </w:t>
      </w:r>
      <w:bookmarkStart w:id="29904" w:name="_ETM_Q51_372129"/>
      <w:bookmarkEnd w:id="29904"/>
      <w:r>
        <w:rPr>
          <w:rFonts w:hint="cs"/>
          <w:rtl/>
        </w:rPr>
        <w:t xml:space="preserve">משפט, </w:t>
      </w:r>
      <w:bookmarkStart w:id="29905" w:name="_ETM_Q51_373220"/>
      <w:bookmarkEnd w:id="29905"/>
      <w:r>
        <w:rPr>
          <w:rFonts w:hint="cs"/>
          <w:rtl/>
        </w:rPr>
        <w:t xml:space="preserve">שני </w:t>
      </w:r>
      <w:bookmarkStart w:id="29906" w:name="_ETM_Q51_373550"/>
      <w:bookmarkEnd w:id="29906"/>
      <w:r>
        <w:rPr>
          <w:rFonts w:hint="cs"/>
          <w:rtl/>
        </w:rPr>
        <w:t xml:space="preserve">מסלולים </w:t>
      </w:r>
      <w:bookmarkStart w:id="29907" w:name="_ETM_Q51_373970"/>
      <w:bookmarkEnd w:id="29907"/>
      <w:r>
        <w:rPr>
          <w:rFonts w:hint="cs"/>
          <w:rtl/>
        </w:rPr>
        <w:t>מקבילים</w:t>
      </w:r>
      <w:r w:rsidR="00AD5596">
        <w:rPr>
          <w:rFonts w:hint="cs"/>
          <w:rtl/>
        </w:rPr>
        <w:t>;</w:t>
      </w:r>
      <w:r>
        <w:rPr>
          <w:rFonts w:hint="cs"/>
          <w:rtl/>
        </w:rPr>
        <w:t xml:space="preserve"> </w:t>
      </w:r>
      <w:bookmarkStart w:id="29908" w:name="_ETM_Q51_380000"/>
      <w:bookmarkEnd w:id="29908"/>
      <w:r>
        <w:rPr>
          <w:rFonts w:hint="cs"/>
          <w:rtl/>
        </w:rPr>
        <w:t>נמשיך בזה שברור לכל בר</w:t>
      </w:r>
      <w:r w:rsidR="00AD5596">
        <w:rPr>
          <w:rFonts w:hint="cs"/>
          <w:rtl/>
        </w:rPr>
        <w:t xml:space="preserve"> </w:t>
      </w:r>
      <w:r>
        <w:rPr>
          <w:rFonts w:hint="cs"/>
          <w:rtl/>
        </w:rPr>
        <w:t xml:space="preserve">דעת מה המשמעות של אישה </w:t>
      </w:r>
      <w:bookmarkStart w:id="29909" w:name="_ETM_Q51_385000"/>
      <w:bookmarkEnd w:id="29909"/>
      <w:r>
        <w:rPr>
          <w:rFonts w:hint="cs"/>
          <w:rtl/>
        </w:rPr>
        <w:t xml:space="preserve">בבית דין רבני, מה המשמעות בשבילה כשהיא מגיעה לבית דין </w:t>
      </w:r>
      <w:bookmarkStart w:id="29910" w:name="_ETM_Q51_394000"/>
      <w:bookmarkEnd w:id="29910"/>
      <w:r>
        <w:rPr>
          <w:rFonts w:hint="cs"/>
          <w:rtl/>
        </w:rPr>
        <w:t xml:space="preserve">שדיינות לא יימצאו שם. </w:t>
      </w:r>
      <w:bookmarkStart w:id="29911" w:name="_ETM_Q51_396000"/>
      <w:bookmarkStart w:id="29912" w:name="_ETM_Q51_396840"/>
      <w:bookmarkEnd w:id="29911"/>
      <w:bookmarkEnd w:id="29912"/>
      <w:r>
        <w:rPr>
          <w:rFonts w:hint="cs"/>
          <w:rtl/>
        </w:rPr>
        <w:t xml:space="preserve">אגב </w:t>
      </w:r>
      <w:bookmarkStart w:id="29913" w:name="_ETM_Q51_397629"/>
      <w:bookmarkEnd w:id="29913"/>
      <w:r>
        <w:rPr>
          <w:rFonts w:hint="cs"/>
          <w:rtl/>
        </w:rPr>
        <w:t xml:space="preserve">בתי </w:t>
      </w:r>
      <w:bookmarkStart w:id="29914" w:name="_ETM_Q51_397989"/>
      <w:bookmarkEnd w:id="29914"/>
      <w:r>
        <w:rPr>
          <w:rFonts w:hint="cs"/>
          <w:rtl/>
        </w:rPr>
        <w:t xml:space="preserve">הדין </w:t>
      </w:r>
      <w:bookmarkStart w:id="29915" w:name="_ETM_Q51_398200"/>
      <w:bookmarkEnd w:id="29915"/>
      <w:r>
        <w:rPr>
          <w:rFonts w:hint="cs"/>
          <w:rtl/>
        </w:rPr>
        <w:t xml:space="preserve">הרבניים, </w:t>
      </w:r>
      <w:bookmarkStart w:id="29916" w:name="_ETM_Q51_399159"/>
      <w:bookmarkEnd w:id="29916"/>
      <w:r>
        <w:rPr>
          <w:rFonts w:hint="cs"/>
          <w:rtl/>
        </w:rPr>
        <w:t xml:space="preserve">בין </w:t>
      </w:r>
      <w:bookmarkStart w:id="29917" w:name="_ETM_Q51_399430"/>
      <w:bookmarkEnd w:id="29917"/>
      <w:r>
        <w:rPr>
          <w:rFonts w:hint="cs"/>
          <w:rtl/>
        </w:rPr>
        <w:t xml:space="preserve">היתר </w:t>
      </w:r>
      <w:bookmarkStart w:id="29918" w:name="_ETM_Q51_399849"/>
      <w:bookmarkEnd w:id="29918"/>
      <w:r>
        <w:rPr>
          <w:rFonts w:hint="cs"/>
          <w:rtl/>
        </w:rPr>
        <w:t xml:space="preserve">מבחינת איך </w:t>
      </w:r>
      <w:bookmarkStart w:id="29919" w:name="_ETM_Q51_400390"/>
      <w:bookmarkEnd w:id="29919"/>
      <w:r>
        <w:rPr>
          <w:rFonts w:hint="cs"/>
          <w:rtl/>
        </w:rPr>
        <w:t xml:space="preserve">שנבחרים </w:t>
      </w:r>
      <w:bookmarkStart w:id="29920" w:name="_ETM_Q51_400900"/>
      <w:bookmarkEnd w:id="29920"/>
      <w:r>
        <w:rPr>
          <w:rFonts w:hint="cs"/>
          <w:rtl/>
        </w:rPr>
        <w:t xml:space="preserve">דיינים </w:t>
      </w:r>
      <w:bookmarkStart w:id="29921" w:name="_ETM_Q51_401230"/>
      <w:bookmarkEnd w:id="29921"/>
      <w:r>
        <w:rPr>
          <w:rFonts w:hint="cs"/>
          <w:rtl/>
        </w:rPr>
        <w:t xml:space="preserve">רבניים </w:t>
      </w:r>
      <w:bookmarkStart w:id="29922" w:name="_ETM_Q51_403100"/>
      <w:bookmarkEnd w:id="29922"/>
      <w:r>
        <w:rPr>
          <w:rFonts w:hint="cs"/>
          <w:rtl/>
        </w:rPr>
        <w:t xml:space="preserve">– נבחרים </w:t>
      </w:r>
      <w:bookmarkStart w:id="29923" w:name="_ETM_Q51_403610"/>
      <w:bookmarkEnd w:id="29923"/>
      <w:r>
        <w:rPr>
          <w:rFonts w:hint="cs"/>
          <w:rtl/>
        </w:rPr>
        <w:t xml:space="preserve">בהתאם </w:t>
      </w:r>
      <w:bookmarkStart w:id="29924" w:name="_ETM_Q51_403910"/>
      <w:bookmarkEnd w:id="29924"/>
      <w:r>
        <w:rPr>
          <w:rFonts w:hint="cs"/>
          <w:rtl/>
        </w:rPr>
        <w:t xml:space="preserve">לדילים </w:t>
      </w:r>
      <w:bookmarkStart w:id="29925" w:name="_ETM_Q51_404240"/>
      <w:bookmarkEnd w:id="29925"/>
      <w:r>
        <w:rPr>
          <w:rFonts w:hint="cs"/>
          <w:rtl/>
        </w:rPr>
        <w:t xml:space="preserve">פוליטיים. </w:t>
      </w:r>
      <w:bookmarkStart w:id="29926" w:name="_ETM_Q51_405930"/>
      <w:bookmarkStart w:id="29927" w:name="_ETM_Q51_406410"/>
      <w:bookmarkEnd w:id="29926"/>
      <w:bookmarkEnd w:id="29927"/>
      <w:r>
        <w:rPr>
          <w:rFonts w:hint="cs"/>
          <w:rtl/>
        </w:rPr>
        <w:t xml:space="preserve">זה </w:t>
      </w:r>
      <w:bookmarkStart w:id="29928" w:name="_ETM_Q51_406680"/>
      <w:bookmarkStart w:id="29929" w:name="_ETM_Q51_407540"/>
      <w:bookmarkStart w:id="29930" w:name="_ETM_Q51_408580"/>
      <w:bookmarkStart w:id="29931" w:name="_ETM_Q51_408790"/>
      <w:bookmarkEnd w:id="29928"/>
      <w:bookmarkEnd w:id="29929"/>
      <w:bookmarkEnd w:id="29930"/>
      <w:bookmarkEnd w:id="29931"/>
      <w:r>
        <w:rPr>
          <w:rFonts w:hint="cs"/>
          <w:rtl/>
        </w:rPr>
        <w:t xml:space="preserve">בית </w:t>
      </w:r>
      <w:bookmarkStart w:id="29932" w:name="_ETM_Q51_408970"/>
      <w:bookmarkEnd w:id="29932"/>
      <w:r>
        <w:rPr>
          <w:rFonts w:hint="cs"/>
          <w:rtl/>
        </w:rPr>
        <w:t xml:space="preserve">משפט </w:t>
      </w:r>
      <w:bookmarkStart w:id="29933" w:name="_ETM_Q51_409330"/>
      <w:bookmarkEnd w:id="29933"/>
      <w:r>
        <w:rPr>
          <w:rFonts w:hint="cs"/>
          <w:rtl/>
        </w:rPr>
        <w:t xml:space="preserve">שרואים </w:t>
      </w:r>
      <w:bookmarkStart w:id="29934" w:name="_ETM_Q51_409720"/>
      <w:bookmarkEnd w:id="29934"/>
      <w:r>
        <w:rPr>
          <w:rFonts w:hint="cs"/>
          <w:rtl/>
        </w:rPr>
        <w:t xml:space="preserve">עד </w:t>
      </w:r>
      <w:bookmarkStart w:id="29935" w:name="_ETM_Q51_409840"/>
      <w:bookmarkEnd w:id="29935"/>
      <w:r>
        <w:rPr>
          <w:rFonts w:hint="cs"/>
          <w:rtl/>
        </w:rPr>
        <w:t xml:space="preserve">כמה </w:t>
      </w:r>
      <w:bookmarkStart w:id="29936" w:name="_ETM_Q51_410170"/>
      <w:bookmarkEnd w:id="29936"/>
      <w:r>
        <w:rPr>
          <w:rFonts w:hint="cs"/>
          <w:rtl/>
        </w:rPr>
        <w:t xml:space="preserve">המערכת </w:t>
      </w:r>
      <w:bookmarkStart w:id="29937" w:name="_ETM_Q51_410560"/>
      <w:bookmarkEnd w:id="29937"/>
      <w:r>
        <w:rPr>
          <w:rFonts w:hint="cs"/>
          <w:rtl/>
        </w:rPr>
        <w:t xml:space="preserve">הפוליטית </w:t>
      </w:r>
      <w:bookmarkStart w:id="29938" w:name="_ETM_Q51_410950"/>
      <w:bookmarkEnd w:id="29938"/>
      <w:r>
        <w:rPr>
          <w:rFonts w:hint="cs"/>
          <w:rtl/>
        </w:rPr>
        <w:t xml:space="preserve">שולטת </w:t>
      </w:r>
      <w:bookmarkStart w:id="29939" w:name="_ETM_Q51_413030"/>
      <w:bookmarkEnd w:id="29939"/>
      <w:r>
        <w:rPr>
          <w:rFonts w:hint="cs"/>
          <w:rtl/>
        </w:rPr>
        <w:t>בו.</w:t>
      </w:r>
    </w:p>
    <w:p w:rsidR="00BB59CD" w:rsidRDefault="00BB59CD" w:rsidP="00BB59CD">
      <w:pPr>
        <w:rPr>
          <w:rtl/>
        </w:rPr>
      </w:pPr>
    </w:p>
    <w:p w:rsidR="00BB59CD" w:rsidRDefault="00BB59CD" w:rsidP="00BB59CD">
      <w:pPr>
        <w:rPr>
          <w:rtl/>
        </w:rPr>
      </w:pPr>
      <w:bookmarkStart w:id="29940" w:name="_ETM_Q51_414000"/>
      <w:bookmarkEnd w:id="29940"/>
      <w:r>
        <w:rPr>
          <w:rFonts w:hint="cs"/>
          <w:rtl/>
        </w:rPr>
        <w:t>הסיפור הזה, אני חושב ש</w:t>
      </w:r>
      <w:bookmarkStart w:id="29941" w:name="_ETM_Q51_413360"/>
      <w:bookmarkStart w:id="29942" w:name="_ETM_Q51_413720"/>
      <w:bookmarkStart w:id="29943" w:name="_ETM_Q51_414650"/>
      <w:bookmarkStart w:id="29944" w:name="_ETM_Q51_414740"/>
      <w:bookmarkStart w:id="29945" w:name="_ETM_Q51_414890"/>
      <w:bookmarkStart w:id="29946" w:name="_ETM_Q51_415040"/>
      <w:bookmarkEnd w:id="29941"/>
      <w:bookmarkEnd w:id="29942"/>
      <w:bookmarkEnd w:id="29943"/>
      <w:bookmarkEnd w:id="29944"/>
      <w:bookmarkEnd w:id="29945"/>
      <w:bookmarkEnd w:id="29946"/>
      <w:r>
        <w:rPr>
          <w:rFonts w:hint="cs"/>
          <w:rtl/>
        </w:rPr>
        <w:t xml:space="preserve">הוא אחת </w:t>
      </w:r>
      <w:bookmarkStart w:id="29947" w:name="_ETM_Q51_415340"/>
      <w:bookmarkEnd w:id="29947"/>
      <w:r>
        <w:rPr>
          <w:rFonts w:hint="cs"/>
          <w:rtl/>
        </w:rPr>
        <w:t xml:space="preserve">הסכנות </w:t>
      </w:r>
      <w:bookmarkStart w:id="29948" w:name="_ETM_Q51_416480"/>
      <w:bookmarkEnd w:id="29948"/>
      <w:r>
        <w:rPr>
          <w:rFonts w:hint="cs"/>
          <w:rtl/>
        </w:rPr>
        <w:t xml:space="preserve">שמאיימות </w:t>
      </w:r>
      <w:bookmarkStart w:id="29949" w:name="_ETM_Q51_417140"/>
      <w:bookmarkEnd w:id="29949"/>
      <w:r>
        <w:rPr>
          <w:rFonts w:hint="cs"/>
          <w:rtl/>
        </w:rPr>
        <w:t xml:space="preserve">על </w:t>
      </w:r>
      <w:bookmarkStart w:id="29950" w:name="_ETM_Q51_417260"/>
      <w:bookmarkEnd w:id="29950"/>
      <w:r>
        <w:rPr>
          <w:rFonts w:hint="cs"/>
          <w:rtl/>
        </w:rPr>
        <w:t xml:space="preserve">אזרחי </w:t>
      </w:r>
      <w:bookmarkStart w:id="29951" w:name="_ETM_Q51_417650"/>
      <w:bookmarkEnd w:id="29951"/>
      <w:r>
        <w:rPr>
          <w:rFonts w:hint="cs"/>
          <w:rtl/>
        </w:rPr>
        <w:t xml:space="preserve">ישראל </w:t>
      </w:r>
      <w:bookmarkStart w:id="29952" w:name="_ETM_Q51_418040"/>
      <w:bookmarkEnd w:id="29952"/>
      <w:r>
        <w:rPr>
          <w:rFonts w:hint="cs"/>
          <w:rtl/>
        </w:rPr>
        <w:t xml:space="preserve">היום </w:t>
      </w:r>
      <w:bookmarkStart w:id="29953" w:name="_ETM_Q51_418700"/>
      <w:bookmarkEnd w:id="29953"/>
      <w:r>
        <w:rPr>
          <w:rFonts w:hint="cs"/>
          <w:rtl/>
        </w:rPr>
        <w:t xml:space="preserve">בהפיכה </w:t>
      </w:r>
      <w:bookmarkStart w:id="29954" w:name="_ETM_Q51_419270"/>
      <w:bookmarkEnd w:id="29954"/>
      <w:r>
        <w:rPr>
          <w:rFonts w:hint="cs"/>
          <w:rtl/>
        </w:rPr>
        <w:t xml:space="preserve">של </w:t>
      </w:r>
      <w:bookmarkStart w:id="29955" w:name="_ETM_Q51_419420"/>
      <w:bookmarkEnd w:id="29955"/>
      <w:r>
        <w:rPr>
          <w:rFonts w:hint="cs"/>
          <w:rtl/>
        </w:rPr>
        <w:t xml:space="preserve">מדינת </w:t>
      </w:r>
      <w:bookmarkStart w:id="29956" w:name="_ETM_Q51_419720"/>
      <w:bookmarkEnd w:id="29956"/>
      <w:r>
        <w:rPr>
          <w:rFonts w:hint="cs"/>
          <w:rtl/>
        </w:rPr>
        <w:t xml:space="preserve">ישראל </w:t>
      </w:r>
      <w:bookmarkStart w:id="29957" w:name="_ETM_Q51_419990"/>
      <w:bookmarkEnd w:id="29957"/>
      <w:r>
        <w:rPr>
          <w:rFonts w:hint="cs"/>
          <w:rtl/>
        </w:rPr>
        <w:t xml:space="preserve">למדינת הלכה. </w:t>
      </w:r>
      <w:bookmarkStart w:id="29958" w:name="_ETM_Q51_420299"/>
      <w:bookmarkStart w:id="29959" w:name="_ETM_Q51_420479"/>
      <w:bookmarkStart w:id="29960" w:name="_ETM_Q51_421790"/>
      <w:bookmarkEnd w:id="29958"/>
      <w:bookmarkEnd w:id="29959"/>
      <w:bookmarkEnd w:id="29960"/>
      <w:r>
        <w:rPr>
          <w:rFonts w:hint="cs"/>
          <w:rtl/>
        </w:rPr>
        <w:t xml:space="preserve">והפתרון </w:t>
      </w:r>
      <w:bookmarkStart w:id="29961" w:name="_ETM_Q51_423340"/>
      <w:bookmarkEnd w:id="29961"/>
      <w:r>
        <w:rPr>
          <w:rFonts w:hint="cs"/>
          <w:rtl/>
        </w:rPr>
        <w:t xml:space="preserve">לכל </w:t>
      </w:r>
      <w:bookmarkStart w:id="29962" w:name="_ETM_Q51_423700"/>
      <w:bookmarkEnd w:id="29962"/>
      <w:r>
        <w:rPr>
          <w:rFonts w:hint="cs"/>
          <w:rtl/>
        </w:rPr>
        <w:t xml:space="preserve">המצב </w:t>
      </w:r>
      <w:bookmarkStart w:id="29963" w:name="_ETM_Q51_424030"/>
      <w:bookmarkEnd w:id="29963"/>
      <w:r>
        <w:rPr>
          <w:rFonts w:hint="cs"/>
          <w:rtl/>
        </w:rPr>
        <w:t xml:space="preserve">הזה, </w:t>
      </w:r>
      <w:bookmarkStart w:id="29964" w:name="_ETM_Q51_424900"/>
      <w:bookmarkEnd w:id="29964"/>
      <w:r>
        <w:rPr>
          <w:rFonts w:hint="cs"/>
          <w:rtl/>
        </w:rPr>
        <w:t xml:space="preserve">כדי </w:t>
      </w:r>
      <w:bookmarkStart w:id="29965" w:name="_ETM_Q51_425109"/>
      <w:bookmarkEnd w:id="29965"/>
      <w:r>
        <w:rPr>
          <w:rFonts w:hint="cs"/>
          <w:rtl/>
        </w:rPr>
        <w:t xml:space="preserve">שנוכל </w:t>
      </w:r>
      <w:bookmarkStart w:id="29966" w:name="_ETM_Q51_425379"/>
      <w:bookmarkEnd w:id="29966"/>
      <w:r>
        <w:rPr>
          <w:rFonts w:hint="cs"/>
          <w:rtl/>
        </w:rPr>
        <w:t xml:space="preserve">לחיות </w:t>
      </w:r>
      <w:bookmarkStart w:id="29967" w:name="_ETM_Q51_425799"/>
      <w:bookmarkEnd w:id="29967"/>
      <w:r>
        <w:rPr>
          <w:rFonts w:hint="cs"/>
          <w:rtl/>
        </w:rPr>
        <w:t xml:space="preserve">כאן ביחד: </w:t>
      </w:r>
      <w:bookmarkStart w:id="29968" w:name="_ETM_Q51_427400"/>
      <w:bookmarkEnd w:id="29968"/>
      <w:r>
        <w:rPr>
          <w:rFonts w:hint="cs"/>
          <w:rtl/>
        </w:rPr>
        <w:t xml:space="preserve">מי </w:t>
      </w:r>
      <w:bookmarkStart w:id="29969" w:name="_ETM_Q51_427580"/>
      <w:bookmarkEnd w:id="29969"/>
      <w:r>
        <w:rPr>
          <w:rFonts w:hint="cs"/>
          <w:rtl/>
        </w:rPr>
        <w:t xml:space="preserve">שרוצה </w:t>
      </w:r>
      <w:bookmarkStart w:id="29970" w:name="_ETM_Q51_427880"/>
      <w:bookmarkEnd w:id="29970"/>
      <w:r>
        <w:rPr>
          <w:rFonts w:hint="cs"/>
          <w:rtl/>
        </w:rPr>
        <w:t xml:space="preserve">להיות </w:t>
      </w:r>
      <w:bookmarkStart w:id="29971" w:name="_ETM_Q51_428090"/>
      <w:bookmarkEnd w:id="29971"/>
      <w:r>
        <w:rPr>
          <w:rFonts w:hint="cs"/>
          <w:rtl/>
        </w:rPr>
        <w:t xml:space="preserve">חרדי, </w:t>
      </w:r>
      <w:bookmarkStart w:id="29972" w:name="_ETM_Q51_428720"/>
      <w:bookmarkEnd w:id="29972"/>
      <w:r>
        <w:rPr>
          <w:rFonts w:hint="cs"/>
          <w:rtl/>
        </w:rPr>
        <w:t xml:space="preserve">שיהיה </w:t>
      </w:r>
      <w:bookmarkStart w:id="29973" w:name="_ETM_Q51_428960"/>
      <w:bookmarkEnd w:id="29973"/>
      <w:r>
        <w:rPr>
          <w:rFonts w:hint="cs"/>
          <w:rtl/>
        </w:rPr>
        <w:t xml:space="preserve">חרדי; </w:t>
      </w:r>
      <w:bookmarkStart w:id="29974" w:name="_ETM_Q51_429470"/>
      <w:bookmarkEnd w:id="29974"/>
      <w:r>
        <w:rPr>
          <w:rFonts w:hint="cs"/>
          <w:rtl/>
        </w:rPr>
        <w:t xml:space="preserve">מי </w:t>
      </w:r>
      <w:bookmarkStart w:id="29975" w:name="_ETM_Q51_429620"/>
      <w:bookmarkEnd w:id="29975"/>
      <w:r>
        <w:rPr>
          <w:rFonts w:hint="cs"/>
          <w:rtl/>
        </w:rPr>
        <w:t xml:space="preserve">שרוצה </w:t>
      </w:r>
      <w:bookmarkStart w:id="29976" w:name="_ETM_Q51_429980"/>
      <w:bookmarkEnd w:id="29976"/>
      <w:r>
        <w:rPr>
          <w:rFonts w:hint="cs"/>
          <w:rtl/>
        </w:rPr>
        <w:t xml:space="preserve">להיות </w:t>
      </w:r>
      <w:bookmarkStart w:id="29977" w:name="_ETM_Q51_430280"/>
      <w:bookmarkEnd w:id="29977"/>
      <w:r>
        <w:rPr>
          <w:rFonts w:hint="cs"/>
          <w:rtl/>
        </w:rPr>
        <w:t xml:space="preserve">דתי-לאומי, </w:t>
      </w:r>
      <w:bookmarkStart w:id="29978" w:name="_ETM_Q51_430910"/>
      <w:bookmarkEnd w:id="29978"/>
      <w:r>
        <w:rPr>
          <w:rFonts w:hint="cs"/>
          <w:rtl/>
        </w:rPr>
        <w:t xml:space="preserve">שיהיה </w:t>
      </w:r>
      <w:bookmarkStart w:id="29979" w:name="_ETM_Q51_431120"/>
      <w:bookmarkEnd w:id="29979"/>
      <w:r>
        <w:rPr>
          <w:rFonts w:hint="cs"/>
          <w:rtl/>
        </w:rPr>
        <w:t xml:space="preserve">דתי-לאומי, </w:t>
      </w:r>
      <w:bookmarkStart w:id="29980" w:name="_ETM_Q51_431750"/>
      <w:bookmarkEnd w:id="29980"/>
      <w:r>
        <w:rPr>
          <w:rFonts w:hint="cs"/>
          <w:rtl/>
        </w:rPr>
        <w:t>חרדי</w:t>
      </w:r>
      <w:bookmarkStart w:id="29981" w:name="_ETM_Q51_432170"/>
      <w:bookmarkEnd w:id="29981"/>
      <w:r>
        <w:rPr>
          <w:rFonts w:hint="cs"/>
          <w:rtl/>
        </w:rPr>
        <w:t>-לאומי, אחד</w:t>
      </w:r>
      <w:bookmarkStart w:id="29982" w:name="_ETM_Q51_433129"/>
      <w:bookmarkEnd w:id="29982"/>
      <w:r>
        <w:rPr>
          <w:rFonts w:hint="cs"/>
          <w:rtl/>
        </w:rPr>
        <w:t xml:space="preserve"> </w:t>
      </w:r>
      <w:bookmarkStart w:id="29983" w:name="_ETM_Q51_433489"/>
      <w:bookmarkEnd w:id="29983"/>
      <w:r>
        <w:rPr>
          <w:rFonts w:hint="cs"/>
          <w:rtl/>
        </w:rPr>
        <w:t xml:space="preserve">שהוא </w:t>
      </w:r>
      <w:bookmarkStart w:id="29984" w:name="_ETM_Q51_434269"/>
      <w:bookmarkEnd w:id="29984"/>
      <w:r>
        <w:rPr>
          <w:rFonts w:hint="cs"/>
          <w:rtl/>
        </w:rPr>
        <w:t xml:space="preserve">יהודי </w:t>
      </w:r>
      <w:bookmarkStart w:id="29985" w:name="_ETM_Q51_434659"/>
      <w:bookmarkEnd w:id="29985"/>
      <w:r>
        <w:rPr>
          <w:rFonts w:hint="cs"/>
          <w:rtl/>
        </w:rPr>
        <w:t xml:space="preserve">שומר </w:t>
      </w:r>
      <w:bookmarkStart w:id="29986" w:name="_ETM_Q51_434959"/>
      <w:bookmarkEnd w:id="29986"/>
      <w:r>
        <w:rPr>
          <w:rFonts w:hint="cs"/>
          <w:rtl/>
        </w:rPr>
        <w:t xml:space="preserve">מצוות </w:t>
      </w:r>
      <w:bookmarkStart w:id="29987" w:name="_ETM_Q51_435379"/>
      <w:bookmarkEnd w:id="29987"/>
      <w:r>
        <w:rPr>
          <w:rFonts w:hint="cs"/>
          <w:rtl/>
        </w:rPr>
        <w:t xml:space="preserve">ואחד </w:t>
      </w:r>
      <w:bookmarkStart w:id="29988" w:name="_ETM_Q51_435650"/>
      <w:bookmarkEnd w:id="29988"/>
      <w:r>
        <w:rPr>
          <w:rFonts w:hint="cs"/>
          <w:rtl/>
        </w:rPr>
        <w:t xml:space="preserve">שהוא </w:t>
      </w:r>
      <w:bookmarkStart w:id="29989" w:name="_ETM_Q51_435769"/>
      <w:bookmarkEnd w:id="29989"/>
      <w:r>
        <w:rPr>
          <w:rFonts w:hint="cs"/>
          <w:rtl/>
        </w:rPr>
        <w:t xml:space="preserve">יהודי </w:t>
      </w:r>
      <w:bookmarkStart w:id="29990" w:name="_ETM_Q51_436009"/>
      <w:bookmarkEnd w:id="29990"/>
      <w:r>
        <w:rPr>
          <w:rFonts w:hint="cs"/>
          <w:rtl/>
        </w:rPr>
        <w:t xml:space="preserve">לא </w:t>
      </w:r>
      <w:bookmarkStart w:id="29991" w:name="_ETM_Q51_436099"/>
      <w:bookmarkEnd w:id="29991"/>
      <w:r>
        <w:rPr>
          <w:rFonts w:hint="cs"/>
          <w:rtl/>
        </w:rPr>
        <w:t xml:space="preserve">שומר מצוות. כל אחד, איש באמונתו </w:t>
      </w:r>
      <w:bookmarkStart w:id="29992" w:name="_ETM_Q51_439000"/>
      <w:bookmarkEnd w:id="29992"/>
      <w:r>
        <w:rPr>
          <w:rFonts w:hint="cs"/>
          <w:rtl/>
        </w:rPr>
        <w:t xml:space="preserve">יחיה. אחד שהוא אתאיסט, אחד שהוא רפורמי </w:t>
      </w:r>
      <w:bookmarkStart w:id="29993" w:name="_ETM_Q51_436370"/>
      <w:bookmarkStart w:id="29994" w:name="_ETM_Q51_436610"/>
      <w:bookmarkStart w:id="29995" w:name="_ETM_Q51_436789"/>
      <w:bookmarkStart w:id="29996" w:name="_ETM_Q51_437360"/>
      <w:bookmarkStart w:id="29997" w:name="_ETM_Q51_437509"/>
      <w:bookmarkStart w:id="29998" w:name="_ETM_Q51_438020"/>
      <w:bookmarkStart w:id="29999" w:name="_ETM_Q51_438770"/>
      <w:bookmarkStart w:id="30000" w:name="_ETM_Q51_439069"/>
      <w:bookmarkStart w:id="30001" w:name="_ETM_Q51_439220"/>
      <w:bookmarkStart w:id="30002" w:name="_ETM_Q51_439879"/>
      <w:bookmarkStart w:id="30003" w:name="_ETM_Q51_440089"/>
      <w:bookmarkStart w:id="30004" w:name="_ETM_Q51_440240"/>
      <w:bookmarkStart w:id="30005" w:name="_ETM_Q51_441169"/>
      <w:bookmarkEnd w:id="29993"/>
      <w:bookmarkEnd w:id="29994"/>
      <w:bookmarkEnd w:id="29995"/>
      <w:bookmarkEnd w:id="29996"/>
      <w:bookmarkEnd w:id="29997"/>
      <w:bookmarkEnd w:id="29998"/>
      <w:bookmarkEnd w:id="29999"/>
      <w:bookmarkEnd w:id="30000"/>
      <w:bookmarkEnd w:id="30001"/>
      <w:bookmarkEnd w:id="30002"/>
      <w:bookmarkEnd w:id="30003"/>
      <w:bookmarkEnd w:id="30004"/>
      <w:bookmarkEnd w:id="30005"/>
      <w:r>
        <w:rPr>
          <w:rFonts w:hint="cs"/>
          <w:rtl/>
        </w:rPr>
        <w:t xml:space="preserve">– זה </w:t>
      </w:r>
      <w:bookmarkStart w:id="30006" w:name="_ETM_Q51_441289"/>
      <w:bookmarkEnd w:id="30006"/>
      <w:r>
        <w:rPr>
          <w:rFonts w:hint="cs"/>
          <w:rtl/>
        </w:rPr>
        <w:t xml:space="preserve">ממש </w:t>
      </w:r>
      <w:bookmarkStart w:id="30007" w:name="_ETM_Q51_441529"/>
      <w:bookmarkEnd w:id="30007"/>
      <w:r>
        <w:rPr>
          <w:rFonts w:hint="cs"/>
          <w:rtl/>
        </w:rPr>
        <w:t xml:space="preserve">לא </w:t>
      </w:r>
      <w:bookmarkStart w:id="30008" w:name="_ETM_Q51_441620"/>
      <w:bookmarkEnd w:id="30008"/>
      <w:r>
        <w:rPr>
          <w:rFonts w:hint="cs"/>
          <w:rtl/>
        </w:rPr>
        <w:t xml:space="preserve">משנה. </w:t>
      </w:r>
      <w:bookmarkStart w:id="30009" w:name="_ETM_Q51_443400"/>
      <w:bookmarkStart w:id="30010" w:name="_ETM_Q51_445000"/>
      <w:bookmarkEnd w:id="30009"/>
      <w:bookmarkEnd w:id="30010"/>
      <w:r>
        <w:rPr>
          <w:rFonts w:hint="cs"/>
          <w:rtl/>
        </w:rPr>
        <w:t xml:space="preserve">יחיה </w:t>
      </w:r>
      <w:bookmarkStart w:id="30011" w:name="_ETM_Q51_443730"/>
      <w:bookmarkEnd w:id="30011"/>
      <w:r>
        <w:rPr>
          <w:rFonts w:hint="cs"/>
          <w:rtl/>
        </w:rPr>
        <w:t xml:space="preserve">את </w:t>
      </w:r>
      <w:bookmarkStart w:id="30012" w:name="_ETM_Q51_443820"/>
      <w:bookmarkEnd w:id="30012"/>
      <w:r>
        <w:rPr>
          <w:rFonts w:hint="cs"/>
          <w:rtl/>
        </w:rPr>
        <w:t xml:space="preserve">חייו. </w:t>
      </w:r>
      <w:bookmarkStart w:id="30013" w:name="_ETM_Q51_445060"/>
      <w:bookmarkEnd w:id="30013"/>
      <w:r>
        <w:rPr>
          <w:rFonts w:hint="cs"/>
          <w:rtl/>
        </w:rPr>
        <w:t xml:space="preserve">יש </w:t>
      </w:r>
      <w:bookmarkStart w:id="30014" w:name="_ETM_Q51_445300"/>
      <w:bookmarkEnd w:id="30014"/>
      <w:r>
        <w:rPr>
          <w:rFonts w:hint="cs"/>
          <w:rtl/>
        </w:rPr>
        <w:t xml:space="preserve">חקיקה </w:t>
      </w:r>
      <w:bookmarkStart w:id="30015" w:name="_ETM_Q51_445589"/>
      <w:bookmarkStart w:id="30016" w:name="_ETM_Q51_445770"/>
      <w:bookmarkEnd w:id="30015"/>
      <w:bookmarkEnd w:id="30016"/>
      <w:r>
        <w:rPr>
          <w:rFonts w:hint="cs"/>
          <w:rtl/>
        </w:rPr>
        <w:t xml:space="preserve">למדינת </w:t>
      </w:r>
      <w:bookmarkStart w:id="30017" w:name="_ETM_Q51_446130"/>
      <w:bookmarkEnd w:id="30017"/>
      <w:r>
        <w:rPr>
          <w:rFonts w:hint="cs"/>
          <w:rtl/>
        </w:rPr>
        <w:t xml:space="preserve">ישראל, </w:t>
      </w:r>
      <w:bookmarkStart w:id="30018" w:name="_ETM_Q51_447029"/>
      <w:bookmarkEnd w:id="30018"/>
      <w:r>
        <w:rPr>
          <w:rFonts w:hint="cs"/>
          <w:rtl/>
        </w:rPr>
        <w:t xml:space="preserve">היא </w:t>
      </w:r>
      <w:bookmarkStart w:id="30019" w:name="_ETM_Q51_447120"/>
      <w:bookmarkEnd w:id="30019"/>
      <w:r>
        <w:rPr>
          <w:rFonts w:hint="cs"/>
          <w:rtl/>
        </w:rPr>
        <w:t xml:space="preserve">מתנהלת </w:t>
      </w:r>
      <w:bookmarkStart w:id="30020" w:name="_ETM_Q51_448320"/>
      <w:bookmarkEnd w:id="30020"/>
      <w:r>
        <w:rPr>
          <w:rFonts w:hint="cs"/>
          <w:rtl/>
        </w:rPr>
        <w:t xml:space="preserve">כמדינה </w:t>
      </w:r>
      <w:bookmarkStart w:id="30021" w:name="_ETM_Q51_449850"/>
      <w:bookmarkEnd w:id="30021"/>
      <w:r>
        <w:rPr>
          <w:rFonts w:hint="cs"/>
          <w:rtl/>
        </w:rPr>
        <w:t xml:space="preserve">על </w:t>
      </w:r>
      <w:bookmarkStart w:id="30022" w:name="_ETM_Q51_450000"/>
      <w:bookmarkEnd w:id="30022"/>
      <w:r>
        <w:rPr>
          <w:rFonts w:hint="cs"/>
          <w:rtl/>
        </w:rPr>
        <w:t xml:space="preserve">פי </w:t>
      </w:r>
      <w:bookmarkStart w:id="30023" w:name="_ETM_Q51_450210"/>
      <w:bookmarkEnd w:id="30023"/>
      <w:r>
        <w:rPr>
          <w:rFonts w:hint="cs"/>
          <w:rtl/>
        </w:rPr>
        <w:t xml:space="preserve">ההליכים </w:t>
      </w:r>
      <w:bookmarkStart w:id="30024" w:name="_ETM_Q51_450600"/>
      <w:bookmarkEnd w:id="30024"/>
      <w:r>
        <w:rPr>
          <w:rFonts w:hint="cs"/>
          <w:rtl/>
        </w:rPr>
        <w:t xml:space="preserve">האזרחים, </w:t>
      </w:r>
      <w:bookmarkStart w:id="30025" w:name="_ETM_Q51_451610"/>
      <w:bookmarkEnd w:id="30025"/>
      <w:r>
        <w:rPr>
          <w:rFonts w:hint="cs"/>
          <w:rtl/>
        </w:rPr>
        <w:t xml:space="preserve">וכל </w:t>
      </w:r>
      <w:bookmarkStart w:id="30026" w:name="_ETM_Q51_452180"/>
      <w:bookmarkEnd w:id="30026"/>
      <w:r>
        <w:rPr>
          <w:rFonts w:hint="cs"/>
          <w:rtl/>
        </w:rPr>
        <w:t xml:space="preserve">נושא </w:t>
      </w:r>
      <w:bookmarkStart w:id="30027" w:name="_ETM_Q51_452510"/>
      <w:bookmarkEnd w:id="30027"/>
      <w:r>
        <w:rPr>
          <w:rFonts w:hint="cs"/>
          <w:rtl/>
        </w:rPr>
        <w:t xml:space="preserve">הדת </w:t>
      </w:r>
      <w:bookmarkStart w:id="30028" w:name="_ETM_Q51_454120"/>
      <w:bookmarkEnd w:id="30028"/>
      <w:r>
        <w:rPr>
          <w:rFonts w:hint="cs"/>
          <w:rtl/>
        </w:rPr>
        <w:t xml:space="preserve">ושמירת </w:t>
      </w:r>
      <w:bookmarkStart w:id="30029" w:name="_ETM_Q51_454839"/>
      <w:bookmarkEnd w:id="30029"/>
      <w:r>
        <w:rPr>
          <w:rFonts w:hint="cs"/>
          <w:rtl/>
        </w:rPr>
        <w:t xml:space="preserve">הדת </w:t>
      </w:r>
      <w:bookmarkStart w:id="30030" w:name="_ETM_Q51_456009"/>
      <w:bookmarkEnd w:id="30030"/>
      <w:r>
        <w:rPr>
          <w:rFonts w:hint="cs"/>
          <w:rtl/>
        </w:rPr>
        <w:t xml:space="preserve">הוא </w:t>
      </w:r>
      <w:bookmarkStart w:id="30031" w:name="_ETM_Q51_456129"/>
      <w:bookmarkEnd w:id="30031"/>
      <w:r>
        <w:rPr>
          <w:rFonts w:hint="cs"/>
          <w:rtl/>
        </w:rPr>
        <w:t xml:space="preserve">עניין </w:t>
      </w:r>
      <w:bookmarkStart w:id="30032" w:name="_ETM_Q51_456370"/>
      <w:bookmarkEnd w:id="30032"/>
      <w:r>
        <w:rPr>
          <w:rFonts w:hint="cs"/>
          <w:rtl/>
        </w:rPr>
        <w:t xml:space="preserve">אישי, </w:t>
      </w:r>
      <w:bookmarkStart w:id="30033" w:name="_ETM_Q51_457870"/>
      <w:bookmarkEnd w:id="30033"/>
      <w:r>
        <w:rPr>
          <w:rFonts w:hint="cs"/>
          <w:rtl/>
        </w:rPr>
        <w:t xml:space="preserve">הוא </w:t>
      </w:r>
      <w:bookmarkStart w:id="30034" w:name="_ETM_Q51_458020"/>
      <w:bookmarkEnd w:id="30034"/>
      <w:r>
        <w:rPr>
          <w:rFonts w:hint="cs"/>
          <w:rtl/>
        </w:rPr>
        <w:t xml:space="preserve">עניין </w:t>
      </w:r>
      <w:bookmarkStart w:id="30035" w:name="_ETM_Q51_459370"/>
      <w:bookmarkEnd w:id="30035"/>
      <w:r>
        <w:rPr>
          <w:rFonts w:hint="cs"/>
          <w:rtl/>
        </w:rPr>
        <w:t xml:space="preserve">בין אדם </w:t>
      </w:r>
      <w:bookmarkStart w:id="30036" w:name="_ETM_Q51_459999"/>
      <w:bookmarkEnd w:id="30036"/>
      <w:r>
        <w:rPr>
          <w:rFonts w:hint="cs"/>
          <w:rtl/>
        </w:rPr>
        <w:t>למקום.</w:t>
      </w:r>
    </w:p>
    <w:p w:rsidR="00BB59CD" w:rsidRDefault="00BB59CD" w:rsidP="00BB59CD">
      <w:pPr>
        <w:rPr>
          <w:rtl/>
        </w:rPr>
      </w:pPr>
    </w:p>
    <w:p w:rsidR="00BB59CD" w:rsidRDefault="00BB59CD" w:rsidP="004E08CB">
      <w:pPr>
        <w:rPr>
          <w:rtl/>
        </w:rPr>
      </w:pPr>
      <w:bookmarkStart w:id="30037" w:name="_ETM_Q51_462000"/>
      <w:bookmarkEnd w:id="30037"/>
      <w:r>
        <w:rPr>
          <w:rFonts w:hint="cs"/>
          <w:rtl/>
        </w:rPr>
        <w:t xml:space="preserve"> </w:t>
      </w:r>
      <w:bookmarkStart w:id="30038" w:name="_ETM_Q51_461690"/>
      <w:bookmarkEnd w:id="30038"/>
      <w:r>
        <w:rPr>
          <w:rFonts w:hint="cs"/>
          <w:rtl/>
        </w:rPr>
        <w:t xml:space="preserve">אתה </w:t>
      </w:r>
      <w:bookmarkStart w:id="30039" w:name="_ETM_Q51_461779"/>
      <w:bookmarkEnd w:id="30039"/>
      <w:r>
        <w:rPr>
          <w:rFonts w:hint="cs"/>
          <w:rtl/>
        </w:rPr>
        <w:t xml:space="preserve">יודע, </w:t>
      </w:r>
      <w:bookmarkStart w:id="30040" w:name="_ETM_Q51_462020"/>
      <w:bookmarkEnd w:id="30040"/>
      <w:r>
        <w:rPr>
          <w:rFonts w:hint="cs"/>
          <w:rtl/>
        </w:rPr>
        <w:t xml:space="preserve">אדוני </w:t>
      </w:r>
      <w:bookmarkStart w:id="30041" w:name="_ETM_Q51_462259"/>
      <w:bookmarkEnd w:id="30041"/>
      <w:r>
        <w:rPr>
          <w:rFonts w:hint="cs"/>
          <w:rtl/>
        </w:rPr>
        <w:t xml:space="preserve">היושב </w:t>
      </w:r>
      <w:bookmarkStart w:id="30042" w:name="_ETM_Q51_462529"/>
      <w:bookmarkEnd w:id="30042"/>
      <w:r>
        <w:rPr>
          <w:rFonts w:hint="cs"/>
          <w:rtl/>
        </w:rPr>
        <w:t xml:space="preserve">בראש, </w:t>
      </w:r>
      <w:bookmarkStart w:id="30043" w:name="_ETM_Q51_463620"/>
      <w:bookmarkEnd w:id="30043"/>
      <w:r>
        <w:rPr>
          <w:rFonts w:hint="cs"/>
          <w:rtl/>
        </w:rPr>
        <w:t xml:space="preserve">יש </w:t>
      </w:r>
      <w:bookmarkStart w:id="30044" w:name="_ETM_Q51_463980"/>
      <w:bookmarkEnd w:id="30044"/>
      <w:r>
        <w:rPr>
          <w:rFonts w:hint="cs"/>
          <w:rtl/>
        </w:rPr>
        <w:t xml:space="preserve">חובה </w:t>
      </w:r>
      <w:bookmarkStart w:id="30045" w:name="_ETM_Q51_464790"/>
      <w:bookmarkEnd w:id="30045"/>
      <w:r>
        <w:rPr>
          <w:rFonts w:hint="cs"/>
          <w:rtl/>
        </w:rPr>
        <w:t xml:space="preserve">חוקית </w:t>
      </w:r>
      <w:bookmarkStart w:id="30046" w:name="_ETM_Q51_466000"/>
      <w:bookmarkEnd w:id="30046"/>
      <w:r>
        <w:rPr>
          <w:rFonts w:hint="cs"/>
          <w:rtl/>
        </w:rPr>
        <w:t xml:space="preserve">בישראל </w:t>
      </w:r>
      <w:bookmarkStart w:id="30047" w:name="_ETM_Q51_465000"/>
      <w:bookmarkStart w:id="30048" w:name="_ETM_Q51_465839"/>
      <w:bookmarkEnd w:id="30047"/>
      <w:bookmarkEnd w:id="30048"/>
      <w:r>
        <w:rPr>
          <w:rFonts w:hint="cs"/>
          <w:rtl/>
        </w:rPr>
        <w:t xml:space="preserve">להתחתן </w:t>
      </w:r>
      <w:bookmarkStart w:id="30049" w:name="_ETM_Q51_466980"/>
      <w:bookmarkEnd w:id="30049"/>
      <w:r>
        <w:rPr>
          <w:rFonts w:hint="cs"/>
          <w:rtl/>
        </w:rPr>
        <w:t xml:space="preserve">ברבנות </w:t>
      </w:r>
      <w:bookmarkStart w:id="30050" w:name="_ETM_Q51_467610"/>
      <w:bookmarkEnd w:id="30050"/>
      <w:r>
        <w:rPr>
          <w:rFonts w:hint="cs"/>
          <w:rtl/>
        </w:rPr>
        <w:t xml:space="preserve">הראשית. </w:t>
      </w:r>
      <w:bookmarkStart w:id="30051" w:name="_ETM_Q51_471010"/>
      <w:bookmarkEnd w:id="30051"/>
      <w:r>
        <w:rPr>
          <w:rFonts w:hint="cs"/>
          <w:rtl/>
        </w:rPr>
        <w:t xml:space="preserve">אז </w:t>
      </w:r>
      <w:bookmarkStart w:id="30052" w:name="_ETM_Q51_471160"/>
      <w:bookmarkEnd w:id="30052"/>
      <w:r>
        <w:rPr>
          <w:rFonts w:hint="cs"/>
          <w:rtl/>
        </w:rPr>
        <w:t xml:space="preserve">אני </w:t>
      </w:r>
      <w:bookmarkStart w:id="30053" w:name="_ETM_Q51_471339"/>
      <w:bookmarkEnd w:id="30053"/>
      <w:r>
        <w:rPr>
          <w:rFonts w:hint="cs"/>
          <w:rtl/>
        </w:rPr>
        <w:t xml:space="preserve">עכשיו </w:t>
      </w:r>
      <w:bookmarkStart w:id="30054" w:name="_ETM_Q51_471640"/>
      <w:bookmarkEnd w:id="30054"/>
      <w:r>
        <w:rPr>
          <w:rFonts w:hint="cs"/>
          <w:rtl/>
        </w:rPr>
        <w:t xml:space="preserve">עוד </w:t>
      </w:r>
      <w:bookmarkStart w:id="30055" w:name="_ETM_Q51_471790"/>
      <w:bookmarkEnd w:id="30055"/>
      <w:r>
        <w:rPr>
          <w:rFonts w:hint="cs"/>
          <w:rtl/>
        </w:rPr>
        <w:t xml:space="preserve">לא </w:t>
      </w:r>
      <w:bookmarkStart w:id="30056" w:name="_ETM_Q51_471880"/>
      <w:bookmarkEnd w:id="30056"/>
      <w:r>
        <w:rPr>
          <w:rFonts w:hint="cs"/>
          <w:rtl/>
        </w:rPr>
        <w:t xml:space="preserve">אדבר </w:t>
      </w:r>
      <w:bookmarkStart w:id="30057" w:name="_ETM_Q51_472240"/>
      <w:bookmarkEnd w:id="30057"/>
      <w:r>
        <w:rPr>
          <w:rFonts w:hint="cs"/>
          <w:rtl/>
        </w:rPr>
        <w:t xml:space="preserve">על </w:t>
      </w:r>
      <w:bookmarkStart w:id="30058" w:name="_ETM_Q51_472360"/>
      <w:bookmarkEnd w:id="30058"/>
      <w:r>
        <w:rPr>
          <w:rFonts w:hint="cs"/>
          <w:rtl/>
        </w:rPr>
        <w:t xml:space="preserve">אלה </w:t>
      </w:r>
      <w:bookmarkStart w:id="30059" w:name="_ETM_Q51_472540"/>
      <w:bookmarkEnd w:id="30059"/>
      <w:r>
        <w:rPr>
          <w:rFonts w:hint="cs"/>
          <w:rtl/>
        </w:rPr>
        <w:t xml:space="preserve">שבכלל </w:t>
      </w:r>
      <w:bookmarkStart w:id="30060" w:name="_ETM_Q51_473200"/>
      <w:bookmarkEnd w:id="30060"/>
      <w:r>
        <w:rPr>
          <w:rFonts w:hint="cs"/>
          <w:rtl/>
        </w:rPr>
        <w:t xml:space="preserve">מדינת </w:t>
      </w:r>
      <w:bookmarkStart w:id="30061" w:name="_ETM_Q51_473500"/>
      <w:bookmarkEnd w:id="30061"/>
      <w:r>
        <w:rPr>
          <w:rFonts w:hint="cs"/>
          <w:rtl/>
        </w:rPr>
        <w:t xml:space="preserve">ישראל </w:t>
      </w:r>
      <w:bookmarkStart w:id="30062" w:name="_ETM_Q51_473740"/>
      <w:bookmarkEnd w:id="30062"/>
      <w:r>
        <w:rPr>
          <w:rFonts w:hint="cs"/>
          <w:rtl/>
        </w:rPr>
        <w:t xml:space="preserve">לא </w:t>
      </w:r>
      <w:bookmarkStart w:id="30063" w:name="_ETM_Q51_473800"/>
      <w:bookmarkEnd w:id="30063"/>
      <w:r>
        <w:rPr>
          <w:rFonts w:hint="cs"/>
          <w:rtl/>
        </w:rPr>
        <w:t xml:space="preserve">נותנת </w:t>
      </w:r>
      <w:bookmarkStart w:id="30064" w:name="_ETM_Q51_474040"/>
      <w:bookmarkEnd w:id="30064"/>
      <w:r>
        <w:rPr>
          <w:rFonts w:hint="cs"/>
          <w:rtl/>
        </w:rPr>
        <w:t xml:space="preserve">להם </w:t>
      </w:r>
      <w:bookmarkStart w:id="30065" w:name="_ETM_Q51_474190"/>
      <w:bookmarkEnd w:id="30065"/>
      <w:r>
        <w:rPr>
          <w:rFonts w:hint="cs"/>
          <w:rtl/>
        </w:rPr>
        <w:t xml:space="preserve">פתרון </w:t>
      </w:r>
      <w:bookmarkStart w:id="30066" w:name="_ETM_Q51_475150"/>
      <w:bookmarkEnd w:id="30066"/>
      <w:r>
        <w:rPr>
          <w:rFonts w:hint="cs"/>
          <w:rtl/>
        </w:rPr>
        <w:t xml:space="preserve">להתחתן בה, </w:t>
      </w:r>
      <w:bookmarkStart w:id="30067" w:name="_ETM_Q51_475720"/>
      <w:bookmarkEnd w:id="30067"/>
      <w:r>
        <w:rPr>
          <w:rFonts w:hint="cs"/>
          <w:rtl/>
        </w:rPr>
        <w:t xml:space="preserve">אבל </w:t>
      </w:r>
      <w:bookmarkStart w:id="30068" w:name="_ETM_Q51_477770"/>
      <w:bookmarkEnd w:id="30068"/>
      <w:r>
        <w:rPr>
          <w:rFonts w:hint="cs"/>
          <w:rtl/>
        </w:rPr>
        <w:t xml:space="preserve">נניח </w:t>
      </w:r>
      <w:bookmarkStart w:id="30069" w:name="_ETM_Q51_479020"/>
      <w:bookmarkEnd w:id="30069"/>
      <w:r>
        <w:rPr>
          <w:rFonts w:hint="cs"/>
          <w:rtl/>
        </w:rPr>
        <w:t xml:space="preserve">ששני </w:t>
      </w:r>
      <w:bookmarkStart w:id="30070" w:name="_ETM_Q51_479500"/>
      <w:bookmarkEnd w:id="30070"/>
      <w:r>
        <w:rPr>
          <w:rFonts w:hint="cs"/>
          <w:rtl/>
        </w:rPr>
        <w:t xml:space="preserve">בני </w:t>
      </w:r>
      <w:bookmarkStart w:id="30071" w:name="_ETM_Q51_479710"/>
      <w:bookmarkEnd w:id="30071"/>
      <w:r>
        <w:rPr>
          <w:rFonts w:hint="cs"/>
          <w:rtl/>
        </w:rPr>
        <w:t xml:space="preserve">הזוג </w:t>
      </w:r>
      <w:bookmarkStart w:id="30072" w:name="_ETM_Q51_480009"/>
      <w:bookmarkEnd w:id="30072"/>
      <w:r>
        <w:rPr>
          <w:rFonts w:hint="cs"/>
          <w:rtl/>
        </w:rPr>
        <w:t xml:space="preserve">יהודים </w:t>
      </w:r>
      <w:bookmarkStart w:id="30073" w:name="_ETM_Q51_480000"/>
      <w:bookmarkStart w:id="30074" w:name="_ETM_Q51_480699"/>
      <w:bookmarkEnd w:id="30073"/>
      <w:bookmarkEnd w:id="30074"/>
      <w:r>
        <w:rPr>
          <w:rFonts w:hint="cs"/>
          <w:rtl/>
        </w:rPr>
        <w:t xml:space="preserve">ועומדים </w:t>
      </w:r>
      <w:bookmarkStart w:id="30075" w:name="_ETM_Q51_481300"/>
      <w:bookmarkEnd w:id="30075"/>
      <w:r>
        <w:rPr>
          <w:rFonts w:hint="cs"/>
          <w:rtl/>
        </w:rPr>
        <w:t xml:space="preserve">בקריטריונים </w:t>
      </w:r>
      <w:bookmarkStart w:id="30076" w:name="_ETM_Q51_481959"/>
      <w:bookmarkEnd w:id="30076"/>
      <w:r>
        <w:rPr>
          <w:rFonts w:hint="cs"/>
          <w:rtl/>
        </w:rPr>
        <w:t xml:space="preserve">כדי </w:t>
      </w:r>
      <w:bookmarkStart w:id="30077" w:name="_ETM_Q51_482170"/>
      <w:bookmarkEnd w:id="30077"/>
      <w:r>
        <w:rPr>
          <w:rFonts w:hint="cs"/>
          <w:rtl/>
        </w:rPr>
        <w:t xml:space="preserve">להתחתן </w:t>
      </w:r>
      <w:bookmarkStart w:id="30078" w:name="_ETM_Q51_482620"/>
      <w:bookmarkEnd w:id="30078"/>
      <w:r>
        <w:rPr>
          <w:rFonts w:hint="cs"/>
          <w:rtl/>
        </w:rPr>
        <w:t xml:space="preserve">ברבנות </w:t>
      </w:r>
      <w:bookmarkStart w:id="30079" w:name="_ETM_Q51_483070"/>
      <w:bookmarkEnd w:id="30079"/>
      <w:r>
        <w:rPr>
          <w:rFonts w:hint="cs"/>
          <w:rtl/>
        </w:rPr>
        <w:t xml:space="preserve">הראשית </w:t>
      </w:r>
      <w:bookmarkStart w:id="30080" w:name="_ETM_Q51_484339"/>
      <w:bookmarkEnd w:id="30080"/>
      <w:r>
        <w:rPr>
          <w:rFonts w:hint="cs"/>
          <w:rtl/>
        </w:rPr>
        <w:t xml:space="preserve">– אנחנו </w:t>
      </w:r>
      <w:bookmarkStart w:id="30081" w:name="_ETM_Q51_484730"/>
      <w:bookmarkEnd w:id="30081"/>
      <w:r>
        <w:rPr>
          <w:rFonts w:hint="cs"/>
          <w:rtl/>
        </w:rPr>
        <w:t xml:space="preserve">רואים </w:t>
      </w:r>
      <w:bookmarkStart w:id="30082" w:name="_ETM_Q51_485000"/>
      <w:bookmarkEnd w:id="30082"/>
      <w:r>
        <w:rPr>
          <w:rFonts w:hint="cs"/>
          <w:rtl/>
        </w:rPr>
        <w:t xml:space="preserve">פחות </w:t>
      </w:r>
      <w:bookmarkStart w:id="30083" w:name="_ETM_Q51_485390"/>
      <w:bookmarkEnd w:id="30083"/>
      <w:r>
        <w:rPr>
          <w:rFonts w:hint="cs"/>
          <w:rtl/>
        </w:rPr>
        <w:t xml:space="preserve">ופחות </w:t>
      </w:r>
      <w:bookmarkStart w:id="30084" w:name="_ETM_Q51_485810"/>
      <w:bookmarkEnd w:id="30084"/>
      <w:r>
        <w:rPr>
          <w:rFonts w:hint="cs"/>
          <w:rtl/>
        </w:rPr>
        <w:t xml:space="preserve">זוגות </w:t>
      </w:r>
      <w:bookmarkStart w:id="30085" w:name="_ETM_Q51_487039"/>
      <w:bookmarkEnd w:id="30085"/>
      <w:r>
        <w:rPr>
          <w:rFonts w:hint="cs"/>
          <w:rtl/>
        </w:rPr>
        <w:t xml:space="preserve">שהולכים </w:t>
      </w:r>
      <w:bookmarkStart w:id="30086" w:name="_ETM_Q51_487459"/>
      <w:bookmarkEnd w:id="30086"/>
      <w:r>
        <w:rPr>
          <w:rFonts w:hint="cs"/>
          <w:rtl/>
        </w:rPr>
        <w:t xml:space="preserve">למסלול </w:t>
      </w:r>
      <w:bookmarkStart w:id="30087" w:name="_ETM_Q51_488330"/>
      <w:bookmarkEnd w:id="30087"/>
      <w:r>
        <w:rPr>
          <w:rFonts w:hint="cs"/>
          <w:rtl/>
        </w:rPr>
        <w:t>של חתונה</w:t>
      </w:r>
      <w:bookmarkStart w:id="30088" w:name="_ETM_Q51_488690"/>
      <w:bookmarkEnd w:id="30088"/>
      <w:r>
        <w:rPr>
          <w:rFonts w:hint="cs"/>
          <w:rtl/>
        </w:rPr>
        <w:t xml:space="preserve"> </w:t>
      </w:r>
      <w:bookmarkStart w:id="30089" w:name="_ETM_Q51_488959"/>
      <w:bookmarkEnd w:id="30089"/>
      <w:r>
        <w:rPr>
          <w:rFonts w:hint="cs"/>
          <w:rtl/>
        </w:rPr>
        <w:t xml:space="preserve">ברבנות </w:t>
      </w:r>
      <w:bookmarkStart w:id="30090" w:name="_ETM_Q51_489379"/>
      <w:bookmarkEnd w:id="30090"/>
      <w:r>
        <w:rPr>
          <w:rFonts w:hint="cs"/>
          <w:rtl/>
        </w:rPr>
        <w:t xml:space="preserve">הראשית; </w:t>
      </w:r>
      <w:bookmarkStart w:id="30091" w:name="_ETM_Q51_490679"/>
      <w:bookmarkEnd w:id="30091"/>
      <w:r>
        <w:rPr>
          <w:rFonts w:hint="cs"/>
          <w:rtl/>
        </w:rPr>
        <w:t xml:space="preserve">אנחנו </w:t>
      </w:r>
      <w:bookmarkStart w:id="30092" w:name="_ETM_Q51_491070"/>
      <w:bookmarkEnd w:id="30092"/>
      <w:r>
        <w:rPr>
          <w:rFonts w:hint="cs"/>
          <w:rtl/>
        </w:rPr>
        <w:t xml:space="preserve">רואים </w:t>
      </w:r>
      <w:bookmarkStart w:id="30093" w:name="_ETM_Q51_491279"/>
      <w:bookmarkEnd w:id="30093"/>
      <w:r>
        <w:rPr>
          <w:rFonts w:hint="cs"/>
          <w:rtl/>
        </w:rPr>
        <w:t xml:space="preserve">פחות </w:t>
      </w:r>
      <w:bookmarkStart w:id="30094" w:name="_ETM_Q51_491670"/>
      <w:bookmarkEnd w:id="30094"/>
      <w:r>
        <w:rPr>
          <w:rFonts w:hint="cs"/>
          <w:rtl/>
        </w:rPr>
        <w:t xml:space="preserve">ופחות </w:t>
      </w:r>
      <w:bookmarkStart w:id="30095" w:name="_ETM_Q51_492120"/>
      <w:bookmarkEnd w:id="30095"/>
      <w:r>
        <w:rPr>
          <w:rFonts w:hint="cs"/>
          <w:rtl/>
        </w:rPr>
        <w:t xml:space="preserve">זוגות </w:t>
      </w:r>
      <w:bookmarkStart w:id="30096" w:name="_ETM_Q51_494570"/>
      <w:bookmarkEnd w:id="30096"/>
      <w:r>
        <w:rPr>
          <w:rFonts w:hint="cs"/>
          <w:rtl/>
        </w:rPr>
        <w:t xml:space="preserve">שבוחרים </w:t>
      </w:r>
      <w:bookmarkStart w:id="30097" w:name="_ETM_Q51_495139"/>
      <w:bookmarkEnd w:id="30097"/>
      <w:r>
        <w:rPr>
          <w:rFonts w:hint="cs"/>
          <w:rtl/>
        </w:rPr>
        <w:t xml:space="preserve">במסלול </w:t>
      </w:r>
      <w:bookmarkStart w:id="30098" w:name="_ETM_Q51_495559"/>
      <w:bookmarkEnd w:id="30098"/>
      <w:r>
        <w:rPr>
          <w:rFonts w:hint="cs"/>
          <w:rtl/>
        </w:rPr>
        <w:t>הזה</w:t>
      </w:r>
      <w:r w:rsidR="004E08CB">
        <w:rPr>
          <w:rFonts w:hint="cs"/>
          <w:rtl/>
        </w:rPr>
        <w:t>,</w:t>
      </w:r>
      <w:r>
        <w:rPr>
          <w:rFonts w:hint="cs"/>
          <w:rtl/>
        </w:rPr>
        <w:t xml:space="preserve"> </w:t>
      </w:r>
      <w:bookmarkStart w:id="30099" w:name="_ETM_Q51_497029"/>
      <w:bookmarkEnd w:id="30099"/>
      <w:r>
        <w:rPr>
          <w:rFonts w:hint="cs"/>
          <w:rtl/>
        </w:rPr>
        <w:t xml:space="preserve">מהסיבה </w:t>
      </w:r>
      <w:bookmarkStart w:id="30100" w:name="_ETM_Q51_497539"/>
      <w:bookmarkEnd w:id="30100"/>
      <w:r>
        <w:rPr>
          <w:rFonts w:hint="cs"/>
          <w:rtl/>
        </w:rPr>
        <w:t xml:space="preserve">הפשוטה </w:t>
      </w:r>
      <w:bookmarkStart w:id="30101" w:name="_ETM_Q51_499279"/>
      <w:bookmarkEnd w:id="30101"/>
      <w:r>
        <w:rPr>
          <w:rFonts w:hint="cs"/>
          <w:rtl/>
        </w:rPr>
        <w:t xml:space="preserve">שהפוליטיקה </w:t>
      </w:r>
      <w:bookmarkStart w:id="30102" w:name="_ETM_Q51_500480"/>
      <w:bookmarkEnd w:id="30102"/>
      <w:r>
        <w:rPr>
          <w:rFonts w:hint="cs"/>
          <w:rtl/>
        </w:rPr>
        <w:t xml:space="preserve">נכנסה </w:t>
      </w:r>
      <w:bookmarkStart w:id="30103" w:name="_ETM_Q51_500900"/>
      <w:bookmarkEnd w:id="30103"/>
      <w:r>
        <w:rPr>
          <w:rFonts w:hint="cs"/>
          <w:rtl/>
        </w:rPr>
        <w:t xml:space="preserve">להם </w:t>
      </w:r>
      <w:bookmarkStart w:id="30104" w:name="_ETM_Q51_501080"/>
      <w:bookmarkEnd w:id="30104"/>
      <w:r>
        <w:rPr>
          <w:rFonts w:hint="cs"/>
          <w:rtl/>
        </w:rPr>
        <w:t xml:space="preserve">לתוך </w:t>
      </w:r>
      <w:bookmarkStart w:id="30105" w:name="_ETM_Q51_501349"/>
      <w:bookmarkEnd w:id="30105"/>
      <w:r>
        <w:rPr>
          <w:rFonts w:hint="cs"/>
          <w:rtl/>
        </w:rPr>
        <w:t xml:space="preserve">הדת. </w:t>
      </w:r>
      <w:bookmarkStart w:id="30106" w:name="_ETM_Q51_502789"/>
      <w:bookmarkEnd w:id="30106"/>
      <w:r>
        <w:rPr>
          <w:rFonts w:hint="cs"/>
          <w:rtl/>
        </w:rPr>
        <w:t xml:space="preserve">איך </w:t>
      </w:r>
      <w:bookmarkStart w:id="30107" w:name="_ETM_Q51_502970"/>
      <w:bookmarkEnd w:id="30107"/>
      <w:r>
        <w:rPr>
          <w:rFonts w:hint="cs"/>
          <w:rtl/>
        </w:rPr>
        <w:t xml:space="preserve">אני </w:t>
      </w:r>
      <w:bookmarkStart w:id="30108" w:name="_ETM_Q51_503119"/>
      <w:bookmarkEnd w:id="30108"/>
      <w:r>
        <w:rPr>
          <w:rFonts w:hint="cs"/>
          <w:rtl/>
        </w:rPr>
        <w:t xml:space="preserve">יודע </w:t>
      </w:r>
      <w:bookmarkStart w:id="30109" w:name="_ETM_Q51_503420"/>
      <w:bookmarkEnd w:id="30109"/>
      <w:r>
        <w:rPr>
          <w:rFonts w:hint="cs"/>
          <w:rtl/>
        </w:rPr>
        <w:t xml:space="preserve">את </w:t>
      </w:r>
      <w:bookmarkStart w:id="30110" w:name="_ETM_Q51_503510"/>
      <w:bookmarkEnd w:id="30110"/>
      <w:r>
        <w:rPr>
          <w:rFonts w:hint="cs"/>
          <w:rtl/>
        </w:rPr>
        <w:t xml:space="preserve">זה? </w:t>
      </w:r>
      <w:bookmarkStart w:id="30111" w:name="_ETM_Q51_505330"/>
      <w:bookmarkEnd w:id="30111"/>
      <w:r>
        <w:rPr>
          <w:rFonts w:hint="cs"/>
          <w:rtl/>
        </w:rPr>
        <w:t xml:space="preserve">כי </w:t>
      </w:r>
      <w:bookmarkStart w:id="30112" w:name="_ETM_Q51_505449"/>
      <w:bookmarkEnd w:id="30112"/>
      <w:r>
        <w:rPr>
          <w:rFonts w:hint="cs"/>
          <w:rtl/>
        </w:rPr>
        <w:t xml:space="preserve">אני </w:t>
      </w:r>
      <w:bookmarkStart w:id="30113" w:name="_ETM_Q51_505539"/>
      <w:bookmarkEnd w:id="30113"/>
      <w:r>
        <w:rPr>
          <w:rFonts w:hint="cs"/>
          <w:rtl/>
        </w:rPr>
        <w:t xml:space="preserve">מסתכל </w:t>
      </w:r>
      <w:bookmarkStart w:id="30114" w:name="_ETM_Q51_505900"/>
      <w:bookmarkEnd w:id="30114"/>
      <w:r>
        <w:rPr>
          <w:rFonts w:hint="cs"/>
          <w:rtl/>
        </w:rPr>
        <w:t xml:space="preserve">על </w:t>
      </w:r>
      <w:bookmarkStart w:id="30115" w:name="_ETM_Q51_506019"/>
      <w:bookmarkEnd w:id="30115"/>
      <w:r>
        <w:rPr>
          <w:rFonts w:hint="cs"/>
          <w:rtl/>
        </w:rPr>
        <w:t xml:space="preserve">הליך </w:t>
      </w:r>
      <w:bookmarkStart w:id="30116" w:name="_ETM_Q51_506259"/>
      <w:bookmarkEnd w:id="30116"/>
      <w:r>
        <w:rPr>
          <w:rFonts w:hint="cs"/>
          <w:rtl/>
        </w:rPr>
        <w:t xml:space="preserve">דתי </w:t>
      </w:r>
      <w:bookmarkStart w:id="30117" w:name="_ETM_Q51_506529"/>
      <w:bookmarkEnd w:id="30117"/>
      <w:r>
        <w:rPr>
          <w:rFonts w:hint="cs"/>
          <w:rtl/>
        </w:rPr>
        <w:t xml:space="preserve">אחר, </w:t>
      </w:r>
      <w:bookmarkStart w:id="30118" w:name="_ETM_Q51_508010"/>
      <w:bookmarkEnd w:id="30118"/>
      <w:r>
        <w:rPr>
          <w:rFonts w:hint="cs"/>
          <w:rtl/>
        </w:rPr>
        <w:t xml:space="preserve">ברית </w:t>
      </w:r>
      <w:bookmarkStart w:id="30119" w:name="_ETM_Q51_508310"/>
      <w:bookmarkEnd w:id="30119"/>
      <w:r>
        <w:rPr>
          <w:rFonts w:hint="cs"/>
          <w:rtl/>
        </w:rPr>
        <w:t xml:space="preserve">מילה. </w:t>
      </w:r>
      <w:bookmarkStart w:id="30120" w:name="_ETM_Q51_511509"/>
      <w:bookmarkEnd w:id="30120"/>
      <w:r>
        <w:rPr>
          <w:rFonts w:hint="cs"/>
          <w:rtl/>
        </w:rPr>
        <w:t xml:space="preserve">למעלה </w:t>
      </w:r>
      <w:bookmarkStart w:id="30121" w:name="_ETM_Q51_512110"/>
      <w:bookmarkEnd w:id="30121"/>
      <w:r>
        <w:rPr>
          <w:rFonts w:hint="cs"/>
          <w:rtl/>
        </w:rPr>
        <w:t xml:space="preserve">מ-97% </w:t>
      </w:r>
      <w:bookmarkStart w:id="30122" w:name="_ETM_Q51_514629"/>
      <w:bookmarkEnd w:id="30122"/>
      <w:r>
        <w:rPr>
          <w:rFonts w:hint="cs"/>
          <w:rtl/>
        </w:rPr>
        <w:t xml:space="preserve">מהבנים היהודים, ההורים שלהם עושים </w:t>
      </w:r>
      <w:bookmarkStart w:id="30123" w:name="_ETM_Q51_519000"/>
      <w:bookmarkStart w:id="30124" w:name="_ETM_Q51_515440"/>
      <w:bookmarkStart w:id="30125" w:name="_ETM_Q51_515800"/>
      <w:bookmarkStart w:id="30126" w:name="_ETM_Q51_518070"/>
      <w:bookmarkStart w:id="30127" w:name="_ETM_Q51_518430"/>
      <w:bookmarkStart w:id="30128" w:name="_ETM_Q51_518730"/>
      <w:bookmarkStart w:id="30129" w:name="_ETM_Q51_518970"/>
      <w:bookmarkEnd w:id="30123"/>
      <w:bookmarkEnd w:id="30124"/>
      <w:bookmarkEnd w:id="30125"/>
      <w:bookmarkEnd w:id="30126"/>
      <w:bookmarkEnd w:id="30127"/>
      <w:bookmarkEnd w:id="30128"/>
      <w:bookmarkEnd w:id="30129"/>
      <w:r>
        <w:rPr>
          <w:rFonts w:hint="cs"/>
          <w:rtl/>
        </w:rPr>
        <w:t xml:space="preserve">להם </w:t>
      </w:r>
      <w:bookmarkStart w:id="30130" w:name="_ETM_Q51_519089"/>
      <w:bookmarkEnd w:id="30130"/>
      <w:r>
        <w:rPr>
          <w:rFonts w:hint="cs"/>
          <w:rtl/>
        </w:rPr>
        <w:t xml:space="preserve">ברית </w:t>
      </w:r>
      <w:bookmarkStart w:id="30131" w:name="_ETM_Q51_519270"/>
      <w:bookmarkEnd w:id="30131"/>
      <w:r>
        <w:rPr>
          <w:rFonts w:hint="cs"/>
          <w:rtl/>
        </w:rPr>
        <w:t xml:space="preserve">מילה. </w:t>
      </w:r>
      <w:bookmarkStart w:id="30132" w:name="_ETM_Q51_521039"/>
      <w:bookmarkEnd w:id="30132"/>
      <w:r>
        <w:rPr>
          <w:rFonts w:hint="cs"/>
          <w:rtl/>
        </w:rPr>
        <w:t>חיפשתי את החוק</w:t>
      </w:r>
      <w:bookmarkStart w:id="30133" w:name="_ETM_Q51_521589"/>
      <w:bookmarkStart w:id="30134" w:name="_ETM_Q51_522010"/>
      <w:bookmarkStart w:id="30135" w:name="_ETM_Q51_522190"/>
      <w:bookmarkEnd w:id="30133"/>
      <w:bookmarkEnd w:id="30134"/>
      <w:bookmarkEnd w:id="30135"/>
      <w:r>
        <w:rPr>
          <w:rFonts w:hint="cs"/>
          <w:rtl/>
        </w:rPr>
        <w:t xml:space="preserve"> </w:t>
      </w:r>
      <w:bookmarkStart w:id="30136" w:name="_ETM_Q51_522870"/>
      <w:bookmarkEnd w:id="30136"/>
      <w:r>
        <w:rPr>
          <w:rFonts w:hint="cs"/>
          <w:rtl/>
        </w:rPr>
        <w:t xml:space="preserve">שמחייב </w:t>
      </w:r>
      <w:bookmarkStart w:id="30137" w:name="_ETM_Q51_524470"/>
      <w:bookmarkEnd w:id="30137"/>
      <w:r>
        <w:rPr>
          <w:rFonts w:hint="cs"/>
          <w:rtl/>
        </w:rPr>
        <w:t xml:space="preserve">– אין </w:t>
      </w:r>
      <w:bookmarkStart w:id="30138" w:name="_ETM_Q51_524650"/>
      <w:bookmarkEnd w:id="30138"/>
      <w:r>
        <w:rPr>
          <w:rFonts w:hint="cs"/>
          <w:rtl/>
        </w:rPr>
        <w:t xml:space="preserve">כזה. </w:t>
      </w:r>
      <w:bookmarkStart w:id="30139" w:name="_ETM_Q51_525870"/>
      <w:bookmarkEnd w:id="30139"/>
      <w:r>
        <w:rPr>
          <w:rFonts w:hint="cs"/>
          <w:rtl/>
        </w:rPr>
        <w:t xml:space="preserve">ראה </w:t>
      </w:r>
      <w:bookmarkStart w:id="30140" w:name="_ETM_Q51_526140"/>
      <w:bookmarkEnd w:id="30140"/>
      <w:r>
        <w:rPr>
          <w:rFonts w:hint="cs"/>
          <w:rtl/>
        </w:rPr>
        <w:t xml:space="preserve">זה </w:t>
      </w:r>
      <w:bookmarkStart w:id="30141" w:name="_ETM_Q51_526290"/>
      <w:bookmarkEnd w:id="30141"/>
      <w:r>
        <w:rPr>
          <w:rFonts w:hint="cs"/>
          <w:rtl/>
        </w:rPr>
        <w:t xml:space="preserve">פלא, </w:t>
      </w:r>
      <w:bookmarkStart w:id="30142" w:name="_ETM_Q51_527800"/>
      <w:bookmarkEnd w:id="30142"/>
      <w:r>
        <w:rPr>
          <w:rFonts w:hint="cs"/>
          <w:rtl/>
        </w:rPr>
        <w:t xml:space="preserve">אין </w:t>
      </w:r>
      <w:bookmarkStart w:id="30143" w:name="_ETM_Q51_528129"/>
      <w:bookmarkEnd w:id="30143"/>
      <w:r>
        <w:rPr>
          <w:rFonts w:hint="cs"/>
          <w:rtl/>
        </w:rPr>
        <w:t xml:space="preserve">חוק </w:t>
      </w:r>
      <w:bookmarkStart w:id="30144" w:name="_ETM_Q51_528370"/>
      <w:bookmarkEnd w:id="30144"/>
      <w:r>
        <w:rPr>
          <w:rFonts w:hint="cs"/>
          <w:rtl/>
        </w:rPr>
        <w:t xml:space="preserve">שמחייב </w:t>
      </w:r>
      <w:bookmarkStart w:id="30145" w:name="_ETM_Q51_530440"/>
      <w:bookmarkEnd w:id="30145"/>
      <w:r>
        <w:rPr>
          <w:rFonts w:hint="cs"/>
          <w:rtl/>
        </w:rPr>
        <w:t xml:space="preserve">לעשות </w:t>
      </w:r>
      <w:bookmarkStart w:id="30146" w:name="_ETM_Q51_530800"/>
      <w:bookmarkEnd w:id="30146"/>
      <w:r>
        <w:rPr>
          <w:rFonts w:hint="cs"/>
          <w:rtl/>
        </w:rPr>
        <w:t xml:space="preserve">ברית </w:t>
      </w:r>
      <w:bookmarkStart w:id="30147" w:name="_ETM_Q51_531010"/>
      <w:bookmarkEnd w:id="30147"/>
      <w:r>
        <w:rPr>
          <w:rFonts w:hint="cs"/>
          <w:rtl/>
        </w:rPr>
        <w:t xml:space="preserve">מילה </w:t>
      </w:r>
      <w:bookmarkStart w:id="30148" w:name="_ETM_Q51_531220"/>
      <w:bookmarkEnd w:id="30148"/>
      <w:r>
        <w:rPr>
          <w:rFonts w:hint="cs"/>
          <w:rtl/>
        </w:rPr>
        <w:t xml:space="preserve">לילד </w:t>
      </w:r>
      <w:bookmarkStart w:id="30149" w:name="_ETM_Q51_531579"/>
      <w:bookmarkEnd w:id="30149"/>
      <w:r>
        <w:rPr>
          <w:rFonts w:hint="cs"/>
          <w:rtl/>
        </w:rPr>
        <w:t>יהודי</w:t>
      </w:r>
      <w:r w:rsidR="004E08CB">
        <w:rPr>
          <w:rFonts w:hint="cs"/>
          <w:rtl/>
        </w:rPr>
        <w:t>;</w:t>
      </w:r>
      <w:r>
        <w:rPr>
          <w:rFonts w:hint="cs"/>
          <w:rtl/>
        </w:rPr>
        <w:t xml:space="preserve"> </w:t>
      </w:r>
      <w:bookmarkStart w:id="30150" w:name="_ETM_Q51_532120"/>
      <w:bookmarkEnd w:id="30150"/>
      <w:r>
        <w:rPr>
          <w:rFonts w:hint="cs"/>
          <w:rtl/>
        </w:rPr>
        <w:t xml:space="preserve">אגב, </w:t>
      </w:r>
      <w:bookmarkStart w:id="30151" w:name="_ETM_Q51_533260"/>
      <w:bookmarkEnd w:id="30151"/>
      <w:r>
        <w:rPr>
          <w:rFonts w:hint="cs"/>
          <w:rtl/>
        </w:rPr>
        <w:t xml:space="preserve">להערכתי, </w:t>
      </w:r>
      <w:bookmarkStart w:id="30152" w:name="_ETM_Q51_533859"/>
      <w:bookmarkEnd w:id="30152"/>
      <w:r>
        <w:rPr>
          <w:rFonts w:hint="cs"/>
          <w:rtl/>
        </w:rPr>
        <w:t xml:space="preserve">בקרוב </w:t>
      </w:r>
      <w:bookmarkStart w:id="30153" w:name="_ETM_Q51_534339"/>
      <w:bookmarkEnd w:id="30153"/>
      <w:r>
        <w:rPr>
          <w:rFonts w:hint="cs"/>
          <w:rtl/>
        </w:rPr>
        <w:t xml:space="preserve">יהיה </w:t>
      </w:r>
      <w:bookmarkStart w:id="30154" w:name="_ETM_Q51_534519"/>
      <w:bookmarkEnd w:id="30154"/>
      <w:r>
        <w:rPr>
          <w:rFonts w:hint="cs"/>
          <w:rtl/>
        </w:rPr>
        <w:t xml:space="preserve">כזה. </w:t>
      </w:r>
      <w:bookmarkStart w:id="30155" w:name="_ETM_Q51_535789"/>
      <w:bookmarkEnd w:id="30155"/>
      <w:r>
        <w:rPr>
          <w:rFonts w:hint="cs"/>
          <w:rtl/>
        </w:rPr>
        <w:t xml:space="preserve">ככל </w:t>
      </w:r>
      <w:bookmarkStart w:id="30156" w:name="_ETM_Q51_536210"/>
      <w:bookmarkEnd w:id="30156"/>
      <w:r>
        <w:rPr>
          <w:rFonts w:hint="cs"/>
          <w:rtl/>
        </w:rPr>
        <w:t xml:space="preserve">שממציאים </w:t>
      </w:r>
      <w:bookmarkStart w:id="30157" w:name="_ETM_Q51_536870"/>
      <w:bookmarkEnd w:id="30157"/>
      <w:r>
        <w:rPr>
          <w:rFonts w:hint="cs"/>
          <w:rtl/>
        </w:rPr>
        <w:t xml:space="preserve">את </w:t>
      </w:r>
      <w:bookmarkStart w:id="30158" w:name="_ETM_Q51_536989"/>
      <w:bookmarkEnd w:id="30158"/>
      <w:r>
        <w:rPr>
          <w:rFonts w:hint="cs"/>
          <w:rtl/>
        </w:rPr>
        <w:t xml:space="preserve">החוקים </w:t>
      </w:r>
      <w:bookmarkStart w:id="30159" w:name="_ETM_Q51_537410"/>
      <w:bookmarkEnd w:id="30159"/>
      <w:r>
        <w:rPr>
          <w:rFonts w:hint="cs"/>
          <w:rtl/>
        </w:rPr>
        <w:t xml:space="preserve">האלה </w:t>
      </w:r>
      <w:bookmarkStart w:id="30160" w:name="_ETM_Q51_537739"/>
      <w:bookmarkEnd w:id="30160"/>
      <w:r>
        <w:rPr>
          <w:rFonts w:hint="cs"/>
          <w:rtl/>
        </w:rPr>
        <w:t xml:space="preserve">שחושבים </w:t>
      </w:r>
      <w:bookmarkStart w:id="30161" w:name="_ETM_Q51_538489"/>
      <w:bookmarkEnd w:id="30161"/>
      <w:r>
        <w:rPr>
          <w:rFonts w:hint="cs"/>
          <w:rtl/>
        </w:rPr>
        <w:t xml:space="preserve">לקחת </w:t>
      </w:r>
      <w:bookmarkStart w:id="30162" w:name="_ETM_Q51_538910"/>
      <w:bookmarkEnd w:id="30162"/>
      <w:r>
        <w:rPr>
          <w:rFonts w:hint="cs"/>
          <w:rtl/>
        </w:rPr>
        <w:t xml:space="preserve">את </w:t>
      </w:r>
      <w:bookmarkStart w:id="30163" w:name="_ETM_Q51_539059"/>
      <w:bookmarkEnd w:id="30163"/>
      <w:r>
        <w:rPr>
          <w:rFonts w:hint="cs"/>
          <w:rtl/>
        </w:rPr>
        <w:t xml:space="preserve">החקיקה </w:t>
      </w:r>
      <w:bookmarkStart w:id="30164" w:name="_ETM_Q51_539629"/>
      <w:bookmarkEnd w:id="30164"/>
      <w:r>
        <w:rPr>
          <w:rFonts w:hint="cs"/>
          <w:rtl/>
        </w:rPr>
        <w:t xml:space="preserve">ואת </w:t>
      </w:r>
      <w:bookmarkStart w:id="30165" w:name="_ETM_Q51_539839"/>
      <w:bookmarkEnd w:id="30165"/>
      <w:r>
        <w:rPr>
          <w:rFonts w:hint="cs"/>
          <w:rtl/>
        </w:rPr>
        <w:t xml:space="preserve">ההלכה </w:t>
      </w:r>
      <w:bookmarkStart w:id="30166" w:name="_ETM_Q51_540289"/>
      <w:bookmarkEnd w:id="30166"/>
      <w:r>
        <w:rPr>
          <w:rFonts w:hint="cs"/>
          <w:rtl/>
        </w:rPr>
        <w:t xml:space="preserve">הדתית </w:t>
      </w:r>
      <w:bookmarkStart w:id="30167" w:name="_ETM_Q51_541070"/>
      <w:bookmarkEnd w:id="30167"/>
      <w:r>
        <w:rPr>
          <w:rFonts w:hint="cs"/>
          <w:rtl/>
        </w:rPr>
        <w:t xml:space="preserve">ולהפוך </w:t>
      </w:r>
      <w:bookmarkStart w:id="30168" w:name="_ETM_Q51_541519"/>
      <w:bookmarkEnd w:id="30168"/>
      <w:r>
        <w:rPr>
          <w:rFonts w:hint="cs"/>
          <w:rtl/>
        </w:rPr>
        <w:t xml:space="preserve">אותה </w:t>
      </w:r>
      <w:bookmarkStart w:id="30169" w:name="_ETM_Q51_541670"/>
      <w:bookmarkEnd w:id="30169"/>
      <w:r>
        <w:rPr>
          <w:rFonts w:hint="cs"/>
          <w:rtl/>
        </w:rPr>
        <w:t xml:space="preserve">לחוק </w:t>
      </w:r>
      <w:bookmarkStart w:id="30170" w:name="_ETM_Q51_541909"/>
      <w:bookmarkEnd w:id="30170"/>
      <w:r>
        <w:rPr>
          <w:rFonts w:hint="cs"/>
          <w:rtl/>
        </w:rPr>
        <w:t xml:space="preserve">מדינה, </w:t>
      </w:r>
      <w:bookmarkStart w:id="30171" w:name="_ETM_Q51_542269"/>
      <w:bookmarkEnd w:id="30171"/>
      <w:r>
        <w:rPr>
          <w:rFonts w:hint="cs"/>
          <w:rtl/>
        </w:rPr>
        <w:t xml:space="preserve">כנראה </w:t>
      </w:r>
      <w:bookmarkStart w:id="30172" w:name="_ETM_Q51_542510"/>
      <w:bookmarkEnd w:id="30172"/>
      <w:r>
        <w:rPr>
          <w:rFonts w:hint="cs"/>
          <w:rtl/>
        </w:rPr>
        <w:t xml:space="preserve">שגם </w:t>
      </w:r>
      <w:bookmarkStart w:id="30173" w:name="_ETM_Q51_542690"/>
      <w:bookmarkEnd w:id="30173"/>
      <w:r>
        <w:rPr>
          <w:rFonts w:hint="cs"/>
          <w:rtl/>
        </w:rPr>
        <w:t xml:space="preserve">החוק </w:t>
      </w:r>
      <w:bookmarkStart w:id="30174" w:name="_ETM_Q51_542929"/>
      <w:bookmarkEnd w:id="30174"/>
      <w:r>
        <w:rPr>
          <w:rFonts w:hint="cs"/>
          <w:rtl/>
        </w:rPr>
        <w:t xml:space="preserve">הזה </w:t>
      </w:r>
      <w:bookmarkStart w:id="30175" w:name="_ETM_Q51_543109"/>
      <w:bookmarkEnd w:id="30175"/>
      <w:r>
        <w:rPr>
          <w:rFonts w:hint="cs"/>
          <w:rtl/>
        </w:rPr>
        <w:t xml:space="preserve">יגיע </w:t>
      </w:r>
      <w:bookmarkStart w:id="30176" w:name="_ETM_Q51_543350"/>
      <w:bookmarkEnd w:id="30176"/>
      <w:r>
        <w:rPr>
          <w:rFonts w:hint="cs"/>
          <w:rtl/>
        </w:rPr>
        <w:t>מתי</w:t>
      </w:r>
      <w:bookmarkStart w:id="30177" w:name="_ETM_Q51_543620"/>
      <w:bookmarkEnd w:id="30177"/>
      <w:r>
        <w:rPr>
          <w:rFonts w:hint="cs"/>
          <w:rtl/>
        </w:rPr>
        <w:t xml:space="preserve">שהו </w:t>
      </w:r>
      <w:bookmarkStart w:id="30178" w:name="_ETM_Q51_543769"/>
      <w:bookmarkEnd w:id="30178"/>
      <w:r>
        <w:rPr>
          <w:rFonts w:hint="cs"/>
          <w:rtl/>
        </w:rPr>
        <w:t xml:space="preserve">לשולחן </w:t>
      </w:r>
      <w:bookmarkStart w:id="30179" w:name="_ETM_Q51_544220"/>
      <w:bookmarkEnd w:id="30179"/>
      <w:r>
        <w:rPr>
          <w:rFonts w:hint="cs"/>
          <w:rtl/>
        </w:rPr>
        <w:t xml:space="preserve">של </w:t>
      </w:r>
      <w:bookmarkStart w:id="30180" w:name="_ETM_Q51_544339"/>
      <w:bookmarkEnd w:id="30180"/>
      <w:r>
        <w:rPr>
          <w:rFonts w:hint="cs"/>
          <w:rtl/>
        </w:rPr>
        <w:t xml:space="preserve">הבית </w:t>
      </w:r>
      <w:bookmarkStart w:id="30181" w:name="_ETM_Q51_544640"/>
      <w:bookmarkEnd w:id="30181"/>
      <w:r>
        <w:rPr>
          <w:rFonts w:hint="cs"/>
          <w:rtl/>
        </w:rPr>
        <w:t xml:space="preserve">הזה. </w:t>
      </w:r>
      <w:bookmarkStart w:id="30182" w:name="_ETM_Q51_549270"/>
      <w:bookmarkStart w:id="30183" w:name="_ETM_Q51_549000"/>
      <w:bookmarkStart w:id="30184" w:name="_ETM_Q51_550000"/>
      <w:bookmarkEnd w:id="30182"/>
      <w:bookmarkEnd w:id="30183"/>
      <w:bookmarkEnd w:id="30184"/>
      <w:r>
        <w:rPr>
          <w:rFonts w:hint="cs"/>
          <w:rtl/>
        </w:rPr>
        <w:t xml:space="preserve">וזאת </w:t>
      </w:r>
      <w:bookmarkStart w:id="30185" w:name="_ETM_Q51_549750"/>
      <w:bookmarkEnd w:id="30185"/>
      <w:r>
        <w:rPr>
          <w:rFonts w:hint="cs"/>
          <w:rtl/>
        </w:rPr>
        <w:t xml:space="preserve">הדוגמה </w:t>
      </w:r>
      <w:bookmarkStart w:id="30186" w:name="_ETM_Q51_550200"/>
      <w:bookmarkEnd w:id="30186"/>
      <w:r>
        <w:rPr>
          <w:rFonts w:hint="cs"/>
          <w:rtl/>
        </w:rPr>
        <w:t xml:space="preserve">הטובה </w:t>
      </w:r>
      <w:bookmarkStart w:id="30187" w:name="_ETM_Q51_550589"/>
      <w:bookmarkEnd w:id="30187"/>
      <w:r>
        <w:rPr>
          <w:rFonts w:hint="cs"/>
          <w:rtl/>
        </w:rPr>
        <w:t xml:space="preserve">ביותר </w:t>
      </w:r>
      <w:bookmarkStart w:id="30188" w:name="_ETM_Q51_550950"/>
      <w:bookmarkEnd w:id="30188"/>
      <w:r>
        <w:rPr>
          <w:rFonts w:hint="cs"/>
          <w:rtl/>
        </w:rPr>
        <w:t xml:space="preserve">כדי </w:t>
      </w:r>
      <w:bookmarkStart w:id="30189" w:name="_ETM_Q51_551250"/>
      <w:bookmarkEnd w:id="30189"/>
      <w:r>
        <w:rPr>
          <w:rFonts w:hint="cs"/>
          <w:rtl/>
        </w:rPr>
        <w:t xml:space="preserve">להבין </w:t>
      </w:r>
      <w:bookmarkStart w:id="30190" w:name="_ETM_Q51_552350"/>
      <w:bookmarkEnd w:id="30190"/>
      <w:r>
        <w:rPr>
          <w:rFonts w:hint="cs"/>
          <w:rtl/>
        </w:rPr>
        <w:t xml:space="preserve">מה </w:t>
      </w:r>
      <w:bookmarkStart w:id="30191" w:name="_ETM_Q51_552589"/>
      <w:bookmarkEnd w:id="30191"/>
      <w:r>
        <w:rPr>
          <w:rFonts w:hint="cs"/>
          <w:rtl/>
        </w:rPr>
        <w:t xml:space="preserve">המשמעות </w:t>
      </w:r>
      <w:bookmarkStart w:id="30192" w:name="_ETM_Q51_553069"/>
      <w:bookmarkEnd w:id="30192"/>
      <w:r>
        <w:rPr>
          <w:rFonts w:hint="cs"/>
          <w:rtl/>
        </w:rPr>
        <w:t xml:space="preserve">של </w:t>
      </w:r>
      <w:bookmarkStart w:id="30193" w:name="_ETM_Q51_553219"/>
      <w:bookmarkEnd w:id="30193"/>
      <w:r>
        <w:rPr>
          <w:rFonts w:hint="cs"/>
          <w:rtl/>
        </w:rPr>
        <w:t xml:space="preserve">הדת </w:t>
      </w:r>
      <w:bookmarkStart w:id="30194" w:name="_ETM_Q51_554000"/>
      <w:bookmarkEnd w:id="30194"/>
      <w:r>
        <w:rPr>
          <w:rFonts w:hint="cs"/>
          <w:rtl/>
        </w:rPr>
        <w:t xml:space="preserve">בחיי </w:t>
      </w:r>
      <w:bookmarkStart w:id="30195" w:name="_ETM_Q51_554570"/>
      <w:bookmarkEnd w:id="30195"/>
      <w:r>
        <w:rPr>
          <w:rFonts w:hint="cs"/>
          <w:rtl/>
        </w:rPr>
        <w:t xml:space="preserve">הפרט. </w:t>
      </w:r>
      <w:bookmarkStart w:id="30196" w:name="_ETM_Q51_556000"/>
      <w:bookmarkStart w:id="30197" w:name="_ETM_Q51_556130"/>
      <w:bookmarkEnd w:id="30196"/>
      <w:bookmarkEnd w:id="30197"/>
      <w:r>
        <w:rPr>
          <w:rFonts w:hint="cs"/>
          <w:rtl/>
        </w:rPr>
        <w:t xml:space="preserve">כדי </w:t>
      </w:r>
      <w:bookmarkStart w:id="30198" w:name="_ETM_Q51_556549"/>
      <w:bookmarkEnd w:id="30198"/>
      <w:r>
        <w:rPr>
          <w:rFonts w:hint="cs"/>
          <w:rtl/>
        </w:rPr>
        <w:t xml:space="preserve">למנוע </w:t>
      </w:r>
      <w:bookmarkStart w:id="30199" w:name="_ETM_Q51_557000"/>
      <w:bookmarkEnd w:id="30199"/>
      <w:r>
        <w:rPr>
          <w:rFonts w:hint="cs"/>
          <w:rtl/>
        </w:rPr>
        <w:t xml:space="preserve">את </w:t>
      </w:r>
      <w:bookmarkStart w:id="30200" w:name="_ETM_Q51_557119"/>
      <w:bookmarkEnd w:id="30200"/>
      <w:r>
        <w:rPr>
          <w:rFonts w:hint="cs"/>
          <w:rtl/>
        </w:rPr>
        <w:t xml:space="preserve">התהליך </w:t>
      </w:r>
      <w:bookmarkStart w:id="30201" w:name="_ETM_Q51_557630"/>
      <w:bookmarkEnd w:id="30201"/>
      <w:r>
        <w:rPr>
          <w:rFonts w:hint="cs"/>
          <w:rtl/>
        </w:rPr>
        <w:t xml:space="preserve">הזה </w:t>
      </w:r>
      <w:bookmarkStart w:id="30202" w:name="_ETM_Q51_559050"/>
      <w:bookmarkEnd w:id="30202"/>
      <w:r>
        <w:rPr>
          <w:rFonts w:hint="cs"/>
          <w:rtl/>
        </w:rPr>
        <w:t xml:space="preserve">שבו </w:t>
      </w:r>
      <w:bookmarkStart w:id="30203" w:name="_ETM_Q51_559410"/>
      <w:bookmarkEnd w:id="30203"/>
      <w:r>
        <w:rPr>
          <w:rFonts w:hint="cs"/>
          <w:rtl/>
        </w:rPr>
        <w:t xml:space="preserve">אנחנו </w:t>
      </w:r>
      <w:bookmarkStart w:id="30204" w:name="_ETM_Q51_559650"/>
      <w:bookmarkEnd w:id="30204"/>
      <w:r>
        <w:rPr>
          <w:rFonts w:hint="cs"/>
          <w:rtl/>
        </w:rPr>
        <w:t xml:space="preserve">נמצאים, </w:t>
      </w:r>
      <w:bookmarkStart w:id="30205" w:name="_ETM_Q51_560850"/>
      <w:bookmarkEnd w:id="30205"/>
      <w:r>
        <w:rPr>
          <w:rFonts w:hint="cs"/>
          <w:rtl/>
        </w:rPr>
        <w:t xml:space="preserve">חייבים </w:t>
      </w:r>
      <w:bookmarkStart w:id="30206" w:name="_ETM_Q51_561659"/>
      <w:bookmarkEnd w:id="30206"/>
      <w:r>
        <w:rPr>
          <w:rFonts w:hint="cs"/>
          <w:rtl/>
        </w:rPr>
        <w:t xml:space="preserve">חוקה </w:t>
      </w:r>
      <w:bookmarkStart w:id="30207" w:name="_ETM_Q51_563089"/>
      <w:bookmarkEnd w:id="30207"/>
      <w:r>
        <w:rPr>
          <w:rFonts w:hint="cs"/>
          <w:rtl/>
        </w:rPr>
        <w:t xml:space="preserve">שתגדיר </w:t>
      </w:r>
      <w:bookmarkStart w:id="30208" w:name="_ETM_Q51_564110"/>
      <w:bookmarkEnd w:id="30208"/>
      <w:r>
        <w:rPr>
          <w:rFonts w:hint="cs"/>
          <w:rtl/>
        </w:rPr>
        <w:t xml:space="preserve">את </w:t>
      </w:r>
      <w:bookmarkStart w:id="30209" w:name="_ETM_Q51_564260"/>
      <w:bookmarkEnd w:id="30209"/>
      <w:r>
        <w:rPr>
          <w:rFonts w:hint="cs"/>
          <w:rtl/>
        </w:rPr>
        <w:t xml:space="preserve">כללי </w:t>
      </w:r>
      <w:bookmarkStart w:id="30210" w:name="_ETM_Q51_564560"/>
      <w:bookmarkEnd w:id="30210"/>
      <w:r>
        <w:rPr>
          <w:rFonts w:hint="cs"/>
          <w:rtl/>
        </w:rPr>
        <w:t xml:space="preserve">המשחק, </w:t>
      </w:r>
      <w:bookmarkStart w:id="30211" w:name="_ETM_Q51_565859"/>
      <w:bookmarkEnd w:id="30211"/>
      <w:r>
        <w:rPr>
          <w:rFonts w:hint="cs"/>
          <w:rtl/>
        </w:rPr>
        <w:t xml:space="preserve">שתגדיר </w:t>
      </w:r>
      <w:bookmarkStart w:id="30212" w:name="_ETM_Q51_566520"/>
      <w:bookmarkEnd w:id="30212"/>
      <w:r>
        <w:rPr>
          <w:rFonts w:hint="cs"/>
          <w:rtl/>
        </w:rPr>
        <w:t>מ</w:t>
      </w:r>
      <w:bookmarkStart w:id="30213" w:name="_ETM_Q51_566639"/>
      <w:bookmarkEnd w:id="30213"/>
      <w:r>
        <w:rPr>
          <w:rFonts w:hint="cs"/>
          <w:rtl/>
        </w:rPr>
        <w:t>הם</w:t>
      </w:r>
      <w:bookmarkStart w:id="30214" w:name="_ETM_Q51_566759"/>
      <w:bookmarkEnd w:id="30214"/>
      <w:r w:rsidR="004E08CB">
        <w:rPr>
          <w:rFonts w:hint="cs"/>
          <w:rtl/>
        </w:rPr>
        <w:t xml:space="preserve"> </w:t>
      </w:r>
      <w:r>
        <w:rPr>
          <w:rFonts w:hint="cs"/>
          <w:rtl/>
        </w:rPr>
        <w:t xml:space="preserve">הגבולות, </w:t>
      </w:r>
      <w:bookmarkStart w:id="30215" w:name="_ETM_Q51_568520"/>
      <w:bookmarkEnd w:id="30215"/>
      <w:r>
        <w:rPr>
          <w:rFonts w:hint="cs"/>
          <w:rtl/>
        </w:rPr>
        <w:t xml:space="preserve">שתקבע </w:t>
      </w:r>
      <w:bookmarkStart w:id="30216" w:name="_ETM_Q51_570140"/>
      <w:bookmarkEnd w:id="30216"/>
      <w:r>
        <w:rPr>
          <w:rFonts w:hint="cs"/>
          <w:rtl/>
        </w:rPr>
        <w:t xml:space="preserve">מהן </w:t>
      </w:r>
      <w:bookmarkStart w:id="30217" w:name="_ETM_Q51_570560"/>
      <w:bookmarkEnd w:id="30217"/>
      <w:r>
        <w:rPr>
          <w:rFonts w:hint="cs"/>
          <w:rtl/>
        </w:rPr>
        <w:t xml:space="preserve">זכויות </w:t>
      </w:r>
      <w:bookmarkStart w:id="30218" w:name="_ETM_Q51_570980"/>
      <w:bookmarkEnd w:id="30218"/>
      <w:r>
        <w:rPr>
          <w:rFonts w:hint="cs"/>
          <w:rtl/>
        </w:rPr>
        <w:t xml:space="preserve">היסוד </w:t>
      </w:r>
      <w:bookmarkStart w:id="30219" w:name="_ETM_Q51_571430"/>
      <w:bookmarkEnd w:id="30219"/>
      <w:r>
        <w:rPr>
          <w:rFonts w:hint="cs"/>
          <w:rtl/>
        </w:rPr>
        <w:t xml:space="preserve">של </w:t>
      </w:r>
      <w:bookmarkStart w:id="30220" w:name="_ETM_Q51_571580"/>
      <w:bookmarkEnd w:id="30220"/>
      <w:r>
        <w:rPr>
          <w:rFonts w:hint="cs"/>
          <w:rtl/>
        </w:rPr>
        <w:t xml:space="preserve">אזרח </w:t>
      </w:r>
      <w:bookmarkStart w:id="30221" w:name="_ETM_Q51_571970"/>
      <w:bookmarkEnd w:id="30221"/>
      <w:r>
        <w:rPr>
          <w:rFonts w:hint="cs"/>
          <w:rtl/>
        </w:rPr>
        <w:t xml:space="preserve">במדינת </w:t>
      </w:r>
      <w:bookmarkStart w:id="30222" w:name="_ETM_Q51_572360"/>
      <w:bookmarkEnd w:id="30222"/>
      <w:r>
        <w:rPr>
          <w:rFonts w:hint="cs"/>
          <w:rtl/>
        </w:rPr>
        <w:t xml:space="preserve">ישראל </w:t>
      </w:r>
      <w:bookmarkStart w:id="30223" w:name="_ETM_Q51_574799"/>
      <w:bookmarkEnd w:id="30223"/>
      <w:r>
        <w:rPr>
          <w:rFonts w:hint="cs"/>
          <w:rtl/>
        </w:rPr>
        <w:t xml:space="preserve">ותפריד </w:t>
      </w:r>
      <w:bookmarkStart w:id="30224" w:name="_ETM_Q51_576300"/>
      <w:bookmarkEnd w:id="30224"/>
      <w:r>
        <w:rPr>
          <w:rFonts w:hint="cs"/>
          <w:rtl/>
        </w:rPr>
        <w:t xml:space="preserve">בין הדת למדינה. </w:t>
      </w:r>
      <w:bookmarkStart w:id="30225" w:name="_ETM_Q51_580000"/>
      <w:bookmarkStart w:id="30226" w:name="_ETM_Q51_577170"/>
      <w:bookmarkStart w:id="30227" w:name="_ETM_Q51_579779"/>
      <w:bookmarkEnd w:id="30225"/>
      <w:bookmarkEnd w:id="30226"/>
      <w:bookmarkEnd w:id="30227"/>
      <w:r>
        <w:rPr>
          <w:rFonts w:hint="cs"/>
          <w:rtl/>
        </w:rPr>
        <w:t xml:space="preserve">75 </w:t>
      </w:r>
      <w:bookmarkStart w:id="30228" w:name="_ETM_Q51_580439"/>
      <w:bookmarkEnd w:id="30228"/>
      <w:r>
        <w:rPr>
          <w:rFonts w:hint="cs"/>
          <w:rtl/>
        </w:rPr>
        <w:t xml:space="preserve">שנה </w:t>
      </w:r>
      <w:bookmarkStart w:id="30229" w:name="_ETM_Q51_580649"/>
      <w:bookmarkEnd w:id="30229"/>
      <w:r>
        <w:rPr>
          <w:rFonts w:hint="cs"/>
          <w:rtl/>
        </w:rPr>
        <w:t xml:space="preserve">זה </w:t>
      </w:r>
      <w:bookmarkStart w:id="30230" w:name="_ETM_Q51_580770"/>
      <w:bookmarkEnd w:id="30230"/>
      <w:r>
        <w:rPr>
          <w:rFonts w:hint="cs"/>
          <w:rtl/>
        </w:rPr>
        <w:t xml:space="preserve">לא </w:t>
      </w:r>
      <w:bookmarkStart w:id="30231" w:name="_ETM_Q51_580859"/>
      <w:bookmarkEnd w:id="30231"/>
      <w:r>
        <w:rPr>
          <w:rFonts w:hint="cs"/>
          <w:rtl/>
        </w:rPr>
        <w:t xml:space="preserve">קרה, </w:t>
      </w:r>
      <w:bookmarkStart w:id="30232" w:name="_ETM_Q51_581890"/>
      <w:bookmarkEnd w:id="30232"/>
      <w:r>
        <w:rPr>
          <w:rFonts w:hint="cs"/>
          <w:rtl/>
        </w:rPr>
        <w:t xml:space="preserve">אבל </w:t>
      </w:r>
      <w:bookmarkStart w:id="30233" w:name="_ETM_Q51_582100"/>
      <w:bookmarkEnd w:id="30233"/>
      <w:r>
        <w:rPr>
          <w:rFonts w:hint="cs"/>
          <w:rtl/>
        </w:rPr>
        <w:t xml:space="preserve">אנחנו </w:t>
      </w:r>
      <w:bookmarkStart w:id="30234" w:name="_ETM_Q51_582279"/>
      <w:bookmarkEnd w:id="30234"/>
      <w:r>
        <w:rPr>
          <w:rFonts w:hint="cs"/>
          <w:rtl/>
        </w:rPr>
        <w:t xml:space="preserve">נמצאים </w:t>
      </w:r>
      <w:bookmarkStart w:id="30235" w:name="_ETM_Q51_582670"/>
      <w:bookmarkEnd w:id="30235"/>
      <w:r>
        <w:rPr>
          <w:rFonts w:hint="cs"/>
          <w:rtl/>
        </w:rPr>
        <w:t xml:space="preserve">עכשיו </w:t>
      </w:r>
      <w:bookmarkStart w:id="30236" w:name="_ETM_Q51_582909"/>
      <w:bookmarkEnd w:id="30236"/>
      <w:r>
        <w:rPr>
          <w:rFonts w:hint="cs"/>
          <w:rtl/>
        </w:rPr>
        <w:t xml:space="preserve">ברגע </w:t>
      </w:r>
      <w:bookmarkStart w:id="30237" w:name="_ETM_Q51_583240"/>
      <w:bookmarkEnd w:id="30237"/>
      <w:r>
        <w:rPr>
          <w:rFonts w:hint="cs"/>
          <w:rtl/>
        </w:rPr>
        <w:t>מכונן.</w:t>
      </w:r>
    </w:p>
    <w:p w:rsidR="00BB59CD" w:rsidRDefault="00BB59CD" w:rsidP="00BB59CD">
      <w:pPr>
        <w:rPr>
          <w:rtl/>
        </w:rPr>
      </w:pPr>
    </w:p>
    <w:p w:rsidR="00BB59CD" w:rsidRDefault="00BB59CD" w:rsidP="004E08CB">
      <w:pPr>
        <w:rPr>
          <w:rtl/>
        </w:rPr>
      </w:pPr>
      <w:bookmarkStart w:id="30238" w:name="_ETM_Q51_585609"/>
      <w:bookmarkEnd w:id="30238"/>
      <w:r>
        <w:rPr>
          <w:rFonts w:hint="cs"/>
          <w:rtl/>
        </w:rPr>
        <w:t xml:space="preserve">אם </w:t>
      </w:r>
      <w:bookmarkStart w:id="30239" w:name="_ETM_Q51_585729"/>
      <w:bookmarkEnd w:id="30239"/>
      <w:r>
        <w:rPr>
          <w:rFonts w:hint="cs"/>
          <w:rtl/>
        </w:rPr>
        <w:t xml:space="preserve">אני </w:t>
      </w:r>
      <w:bookmarkStart w:id="30240" w:name="_ETM_Q51_585850"/>
      <w:bookmarkEnd w:id="30240"/>
      <w:r>
        <w:rPr>
          <w:rFonts w:hint="cs"/>
          <w:rtl/>
        </w:rPr>
        <w:t xml:space="preserve">יכול </w:t>
      </w:r>
      <w:bookmarkStart w:id="30241" w:name="_ETM_Q51_586089"/>
      <w:bookmarkEnd w:id="30241"/>
      <w:r>
        <w:rPr>
          <w:rFonts w:hint="cs"/>
          <w:rtl/>
        </w:rPr>
        <w:t xml:space="preserve">לתת </w:t>
      </w:r>
      <w:bookmarkStart w:id="30242" w:name="_ETM_Q51_586420"/>
      <w:bookmarkEnd w:id="30242"/>
      <w:r>
        <w:rPr>
          <w:rFonts w:hint="cs"/>
          <w:rtl/>
        </w:rPr>
        <w:t xml:space="preserve">לסיום </w:t>
      </w:r>
      <w:bookmarkStart w:id="30243" w:name="_ETM_Q51_586839"/>
      <w:bookmarkEnd w:id="30243"/>
      <w:r>
        <w:rPr>
          <w:rFonts w:hint="cs"/>
          <w:rtl/>
        </w:rPr>
        <w:t xml:space="preserve">דבריי </w:t>
      </w:r>
      <w:bookmarkStart w:id="30244" w:name="_ETM_Q51_588200"/>
      <w:bookmarkEnd w:id="30244"/>
      <w:r>
        <w:rPr>
          <w:rFonts w:hint="cs"/>
          <w:rtl/>
        </w:rPr>
        <w:t>עצה אחת</w:t>
      </w:r>
      <w:bookmarkStart w:id="30245" w:name="_ETM_Q51_588529"/>
      <w:bookmarkEnd w:id="30245"/>
      <w:r>
        <w:rPr>
          <w:rFonts w:hint="cs"/>
          <w:rtl/>
        </w:rPr>
        <w:t xml:space="preserve"> </w:t>
      </w:r>
      <w:bookmarkStart w:id="30246" w:name="_ETM_Q51_588829"/>
      <w:bookmarkEnd w:id="30246"/>
      <w:r>
        <w:rPr>
          <w:rFonts w:hint="cs"/>
          <w:rtl/>
        </w:rPr>
        <w:t xml:space="preserve">לראש </w:t>
      </w:r>
      <w:bookmarkStart w:id="30247" w:name="_ETM_Q51_589130"/>
      <w:bookmarkEnd w:id="30247"/>
      <w:r>
        <w:rPr>
          <w:rFonts w:hint="cs"/>
          <w:rtl/>
        </w:rPr>
        <w:t xml:space="preserve">הממשלה, </w:t>
      </w:r>
      <w:bookmarkStart w:id="30248" w:name="_ETM_Q51_591149"/>
      <w:bookmarkEnd w:id="30248"/>
      <w:r>
        <w:rPr>
          <w:rFonts w:hint="cs"/>
          <w:rtl/>
        </w:rPr>
        <w:t xml:space="preserve">לפני </w:t>
      </w:r>
      <w:bookmarkStart w:id="30249" w:name="_ETM_Q51_591479"/>
      <w:bookmarkEnd w:id="30249"/>
      <w:r>
        <w:rPr>
          <w:rFonts w:hint="cs"/>
          <w:rtl/>
        </w:rPr>
        <w:t xml:space="preserve">שהטיטניק </w:t>
      </w:r>
      <w:bookmarkStart w:id="30250" w:name="_ETM_Q51_592229"/>
      <w:bookmarkEnd w:id="30250"/>
      <w:r>
        <w:rPr>
          <w:rFonts w:hint="cs"/>
          <w:rtl/>
        </w:rPr>
        <w:t xml:space="preserve">הזאת </w:t>
      </w:r>
      <w:bookmarkStart w:id="30251" w:name="_ETM_Q51_592529"/>
      <w:bookmarkEnd w:id="30251"/>
      <w:r>
        <w:rPr>
          <w:rFonts w:hint="cs"/>
          <w:rtl/>
        </w:rPr>
        <w:t xml:space="preserve">שהוא </w:t>
      </w:r>
      <w:bookmarkStart w:id="30252" w:name="_ETM_Q51_592770"/>
      <w:bookmarkEnd w:id="30252"/>
      <w:r>
        <w:rPr>
          <w:rFonts w:hint="cs"/>
          <w:rtl/>
        </w:rPr>
        <w:t xml:space="preserve">מוביל </w:t>
      </w:r>
      <w:bookmarkStart w:id="30253" w:name="_ETM_Q51_593100"/>
      <w:bookmarkEnd w:id="30253"/>
      <w:r>
        <w:rPr>
          <w:rFonts w:hint="cs"/>
          <w:rtl/>
        </w:rPr>
        <w:t xml:space="preserve">כרגע </w:t>
      </w:r>
      <w:bookmarkStart w:id="30254" w:name="_ETM_Q51_594250"/>
      <w:bookmarkEnd w:id="30254"/>
      <w:r>
        <w:rPr>
          <w:rFonts w:hint="cs"/>
          <w:rtl/>
        </w:rPr>
        <w:t xml:space="preserve">לשקיעתה </w:t>
      </w:r>
      <w:bookmarkStart w:id="30255" w:name="_ETM_Q51_596139"/>
      <w:bookmarkEnd w:id="30255"/>
      <w:r>
        <w:rPr>
          <w:rFonts w:hint="cs"/>
          <w:rtl/>
        </w:rPr>
        <w:t xml:space="preserve">מתנגשת </w:t>
      </w:r>
      <w:bookmarkStart w:id="30256" w:name="_ETM_Q51_596740"/>
      <w:bookmarkEnd w:id="30256"/>
      <w:r>
        <w:rPr>
          <w:rFonts w:hint="cs"/>
          <w:rtl/>
        </w:rPr>
        <w:t xml:space="preserve">בקרחון: </w:t>
      </w:r>
      <w:bookmarkStart w:id="30257" w:name="_ETM_Q51_598190"/>
      <w:bookmarkEnd w:id="30257"/>
      <w:r>
        <w:rPr>
          <w:rFonts w:hint="cs"/>
          <w:rtl/>
        </w:rPr>
        <w:t xml:space="preserve">תודיע </w:t>
      </w:r>
      <w:bookmarkStart w:id="30258" w:name="_ETM_Q51_598700"/>
      <w:bookmarkEnd w:id="30258"/>
      <w:r>
        <w:rPr>
          <w:rFonts w:hint="cs"/>
          <w:rtl/>
        </w:rPr>
        <w:t xml:space="preserve">מייד </w:t>
      </w:r>
      <w:bookmarkStart w:id="30259" w:name="_ETM_Q51_599870"/>
      <w:bookmarkEnd w:id="30259"/>
      <w:r>
        <w:rPr>
          <w:rFonts w:hint="cs"/>
          <w:rtl/>
        </w:rPr>
        <w:t xml:space="preserve">על </w:t>
      </w:r>
      <w:bookmarkStart w:id="30260" w:name="_ETM_Q51_600050"/>
      <w:bookmarkEnd w:id="30260"/>
      <w:r>
        <w:rPr>
          <w:rFonts w:hint="cs"/>
          <w:rtl/>
        </w:rPr>
        <w:t xml:space="preserve">עצירת </w:t>
      </w:r>
      <w:bookmarkStart w:id="30261" w:name="_ETM_Q51_600409"/>
      <w:bookmarkEnd w:id="30261"/>
      <w:r>
        <w:rPr>
          <w:rFonts w:hint="cs"/>
          <w:rtl/>
        </w:rPr>
        <w:t xml:space="preserve">החקיקה, </w:t>
      </w:r>
      <w:bookmarkStart w:id="30262" w:name="_ETM_Q51_601909"/>
      <w:bookmarkEnd w:id="30262"/>
      <w:r>
        <w:rPr>
          <w:rFonts w:hint="cs"/>
          <w:rtl/>
        </w:rPr>
        <w:t xml:space="preserve">על </w:t>
      </w:r>
      <w:bookmarkStart w:id="30263" w:name="_ETM_Q51_602060"/>
      <w:bookmarkEnd w:id="30263"/>
      <w:r>
        <w:rPr>
          <w:rFonts w:hint="cs"/>
          <w:rtl/>
        </w:rPr>
        <w:t xml:space="preserve">הקמת </w:t>
      </w:r>
      <w:bookmarkStart w:id="30264" w:name="_ETM_Q51_602450"/>
      <w:bookmarkEnd w:id="30264"/>
      <w:r>
        <w:rPr>
          <w:rFonts w:hint="cs"/>
          <w:rtl/>
        </w:rPr>
        <w:t xml:space="preserve">צוות </w:t>
      </w:r>
      <w:bookmarkStart w:id="30265" w:name="_ETM_Q51_602869"/>
      <w:bookmarkEnd w:id="30265"/>
      <w:r>
        <w:rPr>
          <w:rFonts w:hint="cs"/>
          <w:rtl/>
        </w:rPr>
        <w:t xml:space="preserve">שיעבוד </w:t>
      </w:r>
      <w:bookmarkStart w:id="30266" w:name="_ETM_Q51_603920"/>
      <w:bookmarkEnd w:id="30266"/>
      <w:r>
        <w:rPr>
          <w:rFonts w:hint="cs"/>
          <w:rtl/>
        </w:rPr>
        <w:t xml:space="preserve">ללא </w:t>
      </w:r>
      <w:bookmarkStart w:id="30267" w:name="_ETM_Q51_604219"/>
      <w:bookmarkEnd w:id="30267"/>
      <w:r>
        <w:rPr>
          <w:rFonts w:hint="cs"/>
          <w:rtl/>
        </w:rPr>
        <w:t xml:space="preserve">הגבלה </w:t>
      </w:r>
      <w:bookmarkStart w:id="30268" w:name="_ETM_Q51_606000"/>
      <w:bookmarkEnd w:id="30268"/>
      <w:r>
        <w:rPr>
          <w:rFonts w:hint="cs"/>
          <w:rtl/>
        </w:rPr>
        <w:t xml:space="preserve">כדי </w:t>
      </w:r>
      <w:bookmarkStart w:id="30269" w:name="_ETM_Q51_606480"/>
      <w:bookmarkEnd w:id="30269"/>
      <w:r>
        <w:rPr>
          <w:rFonts w:hint="cs"/>
          <w:rtl/>
        </w:rPr>
        <w:t xml:space="preserve">להניח </w:t>
      </w:r>
      <w:bookmarkStart w:id="30270" w:name="_ETM_Q51_607020"/>
      <w:bookmarkEnd w:id="30270"/>
      <w:r>
        <w:rPr>
          <w:rFonts w:hint="cs"/>
          <w:rtl/>
        </w:rPr>
        <w:t xml:space="preserve">מסמך </w:t>
      </w:r>
      <w:bookmarkStart w:id="30271" w:name="_ETM_Q51_607440"/>
      <w:bookmarkEnd w:id="30271"/>
      <w:r>
        <w:rPr>
          <w:rFonts w:hint="cs"/>
          <w:rtl/>
        </w:rPr>
        <w:t xml:space="preserve">מוסכם, </w:t>
      </w:r>
      <w:bookmarkStart w:id="30272" w:name="_ETM_Q51_608040"/>
      <w:bookmarkEnd w:id="30272"/>
      <w:r>
        <w:rPr>
          <w:rFonts w:hint="cs"/>
          <w:rtl/>
        </w:rPr>
        <w:t xml:space="preserve">שיוסכם </w:t>
      </w:r>
      <w:bookmarkStart w:id="30273" w:name="_ETM_Q51_608610"/>
      <w:bookmarkEnd w:id="30273"/>
      <w:r>
        <w:rPr>
          <w:rFonts w:hint="cs"/>
          <w:rtl/>
        </w:rPr>
        <w:t xml:space="preserve">על </w:t>
      </w:r>
      <w:bookmarkStart w:id="30274" w:name="_ETM_Q51_608700"/>
      <w:bookmarkEnd w:id="30274"/>
      <w:r>
        <w:rPr>
          <w:rFonts w:hint="cs"/>
          <w:rtl/>
        </w:rPr>
        <w:t xml:space="preserve">כלל </w:t>
      </w:r>
      <w:bookmarkStart w:id="30275" w:name="_ETM_Q51_608970"/>
      <w:bookmarkEnd w:id="30275"/>
      <w:r>
        <w:rPr>
          <w:rFonts w:hint="cs"/>
          <w:rtl/>
        </w:rPr>
        <w:t xml:space="preserve">הסיעות </w:t>
      </w:r>
      <w:bookmarkStart w:id="30276" w:name="_ETM_Q51_609300"/>
      <w:bookmarkEnd w:id="30276"/>
      <w:r>
        <w:rPr>
          <w:rFonts w:hint="cs"/>
          <w:rtl/>
        </w:rPr>
        <w:t xml:space="preserve">הציוניות </w:t>
      </w:r>
      <w:bookmarkStart w:id="30277" w:name="_ETM_Q51_609780"/>
      <w:bookmarkEnd w:id="30277"/>
      <w:r>
        <w:rPr>
          <w:rFonts w:hint="cs"/>
          <w:rtl/>
        </w:rPr>
        <w:t xml:space="preserve">בבית, </w:t>
      </w:r>
      <w:bookmarkStart w:id="30278" w:name="_ETM_Q51_610790"/>
      <w:bookmarkEnd w:id="30278"/>
      <w:r>
        <w:rPr>
          <w:rFonts w:hint="cs"/>
          <w:rtl/>
        </w:rPr>
        <w:t xml:space="preserve">של </w:t>
      </w:r>
      <w:bookmarkStart w:id="30279" w:name="_ETM_Q51_611000"/>
      <w:bookmarkEnd w:id="30279"/>
      <w:r>
        <w:rPr>
          <w:rFonts w:hint="cs"/>
          <w:rtl/>
        </w:rPr>
        <w:t xml:space="preserve">חוקה </w:t>
      </w:r>
      <w:bookmarkStart w:id="30280" w:name="_ETM_Q51_611330"/>
      <w:bookmarkEnd w:id="30280"/>
      <w:r>
        <w:rPr>
          <w:rFonts w:hint="cs"/>
          <w:rtl/>
        </w:rPr>
        <w:t>לישראל</w:t>
      </w:r>
      <w:bookmarkStart w:id="30281" w:name="_ETM_Q51_612260"/>
      <w:bookmarkEnd w:id="30281"/>
      <w:r w:rsidR="004E08CB">
        <w:rPr>
          <w:rFonts w:hint="cs"/>
          <w:rtl/>
        </w:rPr>
        <w:t xml:space="preserve"> </w:t>
      </w:r>
      <w:r>
        <w:rPr>
          <w:rFonts w:hint="cs"/>
          <w:rtl/>
        </w:rPr>
        <w:t xml:space="preserve">שמושתתת </w:t>
      </w:r>
      <w:bookmarkStart w:id="30282" w:name="_ETM_Q51_612950"/>
      <w:bookmarkEnd w:id="30282"/>
      <w:r>
        <w:rPr>
          <w:rFonts w:hint="cs"/>
          <w:rtl/>
        </w:rPr>
        <w:t xml:space="preserve">על </w:t>
      </w:r>
      <w:bookmarkStart w:id="30283" w:name="_ETM_Q51_613040"/>
      <w:bookmarkEnd w:id="30283"/>
      <w:r>
        <w:rPr>
          <w:rFonts w:hint="cs"/>
          <w:rtl/>
        </w:rPr>
        <w:t xml:space="preserve">מגילת </w:t>
      </w:r>
      <w:bookmarkStart w:id="30284" w:name="_ETM_Q51_613490"/>
      <w:bookmarkEnd w:id="30284"/>
      <w:r>
        <w:rPr>
          <w:rFonts w:hint="cs"/>
          <w:rtl/>
        </w:rPr>
        <w:t xml:space="preserve">העצמאות </w:t>
      </w:r>
      <w:bookmarkStart w:id="30285" w:name="_ETM_Q51_614569"/>
      <w:bookmarkEnd w:id="30285"/>
      <w:r>
        <w:rPr>
          <w:rFonts w:hint="cs"/>
          <w:rtl/>
        </w:rPr>
        <w:t xml:space="preserve">ועל </w:t>
      </w:r>
      <w:bookmarkStart w:id="30286" w:name="_ETM_Q51_614780"/>
      <w:bookmarkEnd w:id="30286"/>
      <w:r>
        <w:rPr>
          <w:rFonts w:hint="cs"/>
          <w:rtl/>
        </w:rPr>
        <w:t xml:space="preserve">הפרדת </w:t>
      </w:r>
      <w:bookmarkStart w:id="30287" w:name="_ETM_Q51_615660"/>
      <w:bookmarkEnd w:id="30287"/>
      <w:r>
        <w:rPr>
          <w:rFonts w:hint="cs"/>
          <w:rtl/>
        </w:rPr>
        <w:t xml:space="preserve">הדת </w:t>
      </w:r>
      <w:bookmarkStart w:id="30288" w:name="_ETM_Q51_616050"/>
      <w:bookmarkEnd w:id="30288"/>
      <w:r>
        <w:rPr>
          <w:rFonts w:hint="cs"/>
          <w:rtl/>
        </w:rPr>
        <w:t>מהמדינה. תודה, אדוני.</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תודה רב</w:t>
      </w:r>
      <w:bookmarkStart w:id="30289" w:name="_ETM_Q51_618000"/>
      <w:bookmarkEnd w:id="30289"/>
      <w:r>
        <w:rPr>
          <w:rFonts w:hint="cs"/>
          <w:rtl/>
        </w:rPr>
        <w:t>ה לחבר הכנסת פורר. חברת הכנסת יסמין פרידמן, בבקשה.</w:t>
      </w:r>
      <w:bookmarkStart w:id="30290" w:name="_ETM_Q51_624000"/>
      <w:bookmarkEnd w:id="30290"/>
    </w:p>
    <w:p w:rsidR="00BB59CD" w:rsidRDefault="00BB59CD" w:rsidP="00BB59CD">
      <w:pPr>
        <w:rPr>
          <w:rtl/>
        </w:rPr>
      </w:pPr>
    </w:p>
    <w:p w:rsidR="00BB59CD" w:rsidRDefault="00BB59CD" w:rsidP="00BB59CD">
      <w:pPr>
        <w:rPr>
          <w:rtl/>
        </w:rPr>
      </w:pPr>
    </w:p>
    <w:p w:rsidR="00BB59CD" w:rsidRDefault="00BB59CD" w:rsidP="00BB59CD">
      <w:pPr>
        <w:pStyle w:val="a7"/>
        <w:rPr>
          <w:rtl/>
        </w:rPr>
      </w:pPr>
      <w:bookmarkStart w:id="30291" w:name="_ETM_Q51_546499"/>
      <w:bookmarkStart w:id="30292" w:name="_ETM_Q51_546582"/>
      <w:bookmarkStart w:id="30293" w:name="_ETM_Q51_546722"/>
      <w:bookmarkStart w:id="30294" w:name="_ETM_Q51_546782"/>
      <w:bookmarkStart w:id="30295" w:name="_ETM_Q51_622000"/>
      <w:bookmarkStart w:id="30296" w:name="ET_subject_מסמכים_שהונחו_על_שולחן__9"/>
      <w:bookmarkEnd w:id="30291"/>
      <w:bookmarkEnd w:id="30292"/>
      <w:bookmarkEnd w:id="30293"/>
      <w:bookmarkEnd w:id="30294"/>
      <w:bookmarkEnd w:id="30295"/>
      <w:r>
        <w:rPr>
          <w:rStyle w:val="TagStyle"/>
          <w:rFonts w:hint="cs"/>
          <w:rtl/>
        </w:rPr>
        <w:t xml:space="preserve"> &lt;&lt; נושא &gt;&gt; </w:t>
      </w:r>
      <w:bookmarkStart w:id="30297" w:name="_Toc141197156"/>
      <w:bookmarkStart w:id="30298" w:name="_Toc141196892"/>
      <w:r>
        <w:rPr>
          <w:rFonts w:hint="cs"/>
          <w:rtl/>
        </w:rPr>
        <w:t>מסמכים שהונחו על שולחן הכנסת</w:t>
      </w:r>
      <w:bookmarkEnd w:id="30297"/>
      <w:bookmarkEnd w:id="30298"/>
      <w:r>
        <w:rPr>
          <w:rStyle w:val="TagStyle"/>
          <w:rFonts w:hint="cs"/>
          <w:rtl/>
        </w:rPr>
        <w:t xml:space="preserve"> &lt;&lt; נושא &gt;&gt;</w:t>
      </w:r>
      <w:r>
        <w:rPr>
          <w:rFonts w:hint="cs"/>
          <w:rtl/>
        </w:rPr>
        <w:t xml:space="preserve">   </w:t>
      </w:r>
      <w:bookmarkEnd w:id="30296"/>
    </w:p>
    <w:p w:rsidR="00BB59CD" w:rsidRDefault="00BB59CD" w:rsidP="00337201">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הודעה לסגנית מזכיר הכנסת.</w:t>
      </w:r>
    </w:p>
    <w:p w:rsidR="00BB59CD" w:rsidRDefault="00BB59CD" w:rsidP="00BB59CD">
      <w:pPr>
        <w:rPr>
          <w:rtl/>
        </w:rPr>
      </w:pPr>
    </w:p>
    <w:p w:rsidR="00BB59CD" w:rsidRDefault="00BB59CD" w:rsidP="00BB59CD">
      <w:pPr>
        <w:pStyle w:val="a5"/>
        <w:rPr>
          <w:rtl/>
        </w:rPr>
      </w:pPr>
      <w:bookmarkStart w:id="30299" w:name="ET_speaker_6118_11"/>
      <w:r>
        <w:rPr>
          <w:rStyle w:val="TagStyle"/>
          <w:rFonts w:hint="cs"/>
          <w:rtl/>
        </w:rPr>
        <w:t xml:space="preserve"> &lt;&lt; דובר &gt;&gt; </w:t>
      </w:r>
      <w:r>
        <w:rPr>
          <w:rFonts w:hint="cs"/>
          <w:rtl/>
        </w:rPr>
        <w:t>סגנית מזכיר הכנסת אלינור ימין:</w:t>
      </w:r>
      <w:r>
        <w:rPr>
          <w:rStyle w:val="TagStyle"/>
          <w:rtl/>
        </w:rPr>
        <w:t xml:space="preserve"> &lt;&lt; דובר &gt;&gt; </w:t>
      </w:r>
      <w:r>
        <w:rPr>
          <w:rFonts w:hint="cs"/>
          <w:rtl/>
        </w:rPr>
        <w:t xml:space="preserve">   </w:t>
      </w:r>
      <w:bookmarkEnd w:id="30299"/>
    </w:p>
    <w:p w:rsidR="00BB59CD" w:rsidRDefault="00BB59CD" w:rsidP="00337201">
      <w:pPr>
        <w:rPr>
          <w:rtl/>
        </w:rPr>
      </w:pPr>
    </w:p>
    <w:p w:rsidR="00BB59CD" w:rsidRDefault="00BB59CD" w:rsidP="00BB59CD">
      <w:pPr>
        <w:rPr>
          <w:rtl/>
        </w:rPr>
      </w:pPr>
      <w:bookmarkStart w:id="30300" w:name="_ETM_Q51_623000"/>
      <w:bookmarkEnd w:id="30300"/>
      <w:r>
        <w:rPr>
          <w:rFonts w:hint="cs"/>
          <w:rtl/>
        </w:rPr>
        <w:t xml:space="preserve">ברשות יושב-ראש הישיבה, הינני מתכבדת להודיעכם, כי הונחה היום על שולחן הכנסת, לקריאה שנייה ולקריאה שלישית, הצעת </w:t>
      </w:r>
      <w:bookmarkStart w:id="30301" w:name="_ETM_Q51_633000"/>
      <w:bookmarkEnd w:id="30301"/>
      <w:r>
        <w:rPr>
          <w:rFonts w:hint="cs"/>
          <w:rtl/>
        </w:rPr>
        <w:t xml:space="preserve">חוק הנכים (תגמולים ושיקום) (תיקון מס' 32), התשפ"ג–2023, שהחזירה ועדת </w:t>
      </w:r>
      <w:bookmarkStart w:id="30302" w:name="_ETM_Q51_639000"/>
      <w:bookmarkEnd w:id="30302"/>
      <w:r>
        <w:rPr>
          <w:rFonts w:hint="cs"/>
          <w:rtl/>
        </w:rPr>
        <w:t>העבודה והרווחה. תודה.</w:t>
      </w:r>
    </w:p>
    <w:p w:rsidR="00BB59CD" w:rsidRDefault="00BB59CD" w:rsidP="00BB59CD">
      <w:pPr>
        <w:rPr>
          <w:rtl/>
        </w:rPr>
      </w:pPr>
      <w:bookmarkStart w:id="30303" w:name="_ETM_Q51_640000"/>
      <w:bookmarkEnd w:id="30303"/>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30304" w:name="_ETM_Q51_642000"/>
      <w:bookmarkEnd w:id="30304"/>
      <w:r>
        <w:rPr>
          <w:rFonts w:hint="cs"/>
          <w:rtl/>
        </w:rPr>
        <w:t>תודה רבה.</w:t>
      </w:r>
    </w:p>
    <w:p w:rsidR="00BB59CD" w:rsidRDefault="00BB59CD" w:rsidP="00BB59CD">
      <w:pPr>
        <w:rPr>
          <w:rtl/>
        </w:rPr>
      </w:pPr>
    </w:p>
    <w:p w:rsidR="00BB59CD" w:rsidRDefault="00BB59CD" w:rsidP="00BB59CD">
      <w:pPr>
        <w:rPr>
          <w:rtl/>
        </w:rPr>
      </w:pPr>
    </w:p>
    <w:p w:rsidR="00BB59CD" w:rsidRDefault="00BB59CD" w:rsidP="00BB59CD">
      <w:pPr>
        <w:pStyle w:val="a7"/>
        <w:rPr>
          <w:rtl/>
        </w:rPr>
      </w:pPr>
      <w:bookmarkStart w:id="30305" w:name="_ETM_Q51_641000"/>
      <w:bookmarkStart w:id="30306" w:name="_ETM_Q51_574970"/>
      <w:bookmarkStart w:id="30307" w:name="_ETM_Q51_575027"/>
      <w:bookmarkStart w:id="30308" w:name="_ETM_Q51_575193"/>
      <w:bookmarkStart w:id="30309" w:name="_ETM_Q51_575261"/>
      <w:bookmarkStart w:id="30310" w:name="ET_hatsach_640328_13"/>
      <w:bookmarkEnd w:id="30305"/>
      <w:bookmarkEnd w:id="30306"/>
      <w:bookmarkEnd w:id="30307"/>
      <w:bookmarkEnd w:id="30308"/>
      <w:bookmarkEnd w:id="30309"/>
      <w:r>
        <w:rPr>
          <w:rStyle w:val="TagStyle"/>
          <w:rFonts w:hint="cs"/>
          <w:rtl/>
        </w:rPr>
        <w:t xml:space="preserve"> &lt;&lt; הצח &gt;&gt; </w:t>
      </w:r>
      <w:bookmarkStart w:id="30311" w:name="_Toc141197157"/>
      <w:bookmarkStart w:id="30312" w:name="_Toc141196893"/>
      <w:r>
        <w:rPr>
          <w:rFonts w:hint="cs"/>
          <w:rtl/>
        </w:rPr>
        <w:t>הצעת חוק-יסוד: השפיטה (תיקון מס' 4)</w:t>
      </w:r>
      <w:bookmarkEnd w:id="30311"/>
      <w:bookmarkEnd w:id="30312"/>
      <w:r>
        <w:rPr>
          <w:rStyle w:val="TagStyle"/>
          <w:rFonts w:hint="cs"/>
          <w:rtl/>
        </w:rPr>
        <w:t xml:space="preserve"> &lt;&lt; הצח &gt;&gt;</w:t>
      </w:r>
      <w:r>
        <w:rPr>
          <w:rFonts w:hint="cs"/>
          <w:rtl/>
        </w:rPr>
        <w:t xml:space="preserve">   </w:t>
      </w:r>
      <w:bookmarkEnd w:id="30310"/>
    </w:p>
    <w:p w:rsidR="00BB59CD" w:rsidRDefault="00BB59CD" w:rsidP="00BB59CD">
      <w:pPr>
        <w:pStyle w:val="-1"/>
        <w:rPr>
          <w:rtl/>
        </w:rPr>
      </w:pPr>
      <w:r>
        <w:rPr>
          <w:rFonts w:hint="cs"/>
          <w:rtl/>
        </w:rPr>
        <w:t>(קריאה שנייה וקריאה שלישית)</w:t>
      </w:r>
    </w:p>
    <w:p w:rsidR="00BB59CD" w:rsidRDefault="00BB59CD" w:rsidP="00BB59CD">
      <w:pPr>
        <w:rPr>
          <w:rtl/>
        </w:rPr>
      </w:pPr>
    </w:p>
    <w:p w:rsidR="00BB59CD" w:rsidRDefault="00BB59CD" w:rsidP="00BB59CD">
      <w:pPr>
        <w:pStyle w:val="af9"/>
        <w:keepNext/>
        <w:rPr>
          <w:rtl/>
        </w:rPr>
      </w:pPr>
      <w:bookmarkStart w:id="30313" w:name="ET_yor_6488_1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0313"/>
    </w:p>
    <w:p w:rsidR="00BB59CD" w:rsidRDefault="00BB59CD" w:rsidP="00337201">
      <w:pPr>
        <w:rPr>
          <w:rtl/>
        </w:rPr>
      </w:pPr>
    </w:p>
    <w:p w:rsidR="00BB59CD" w:rsidRDefault="00BB59CD" w:rsidP="00BB59CD">
      <w:pPr>
        <w:rPr>
          <w:rtl/>
        </w:rPr>
      </w:pPr>
      <w:r>
        <w:rPr>
          <w:rFonts w:hint="cs"/>
          <w:rtl/>
        </w:rPr>
        <w:t>בבקשה. 30 דקות לרשותך.</w:t>
      </w:r>
    </w:p>
    <w:p w:rsidR="00BB59CD" w:rsidRDefault="00BB59CD" w:rsidP="00BB59CD">
      <w:pPr>
        <w:rPr>
          <w:rtl/>
        </w:rPr>
      </w:pPr>
      <w:bookmarkStart w:id="30314" w:name="_ETM_Q51_644000"/>
      <w:bookmarkEnd w:id="30314"/>
    </w:p>
    <w:p w:rsidR="00BB59CD" w:rsidRDefault="00BB59CD" w:rsidP="00BB59CD">
      <w:pPr>
        <w:pStyle w:val="a5"/>
        <w:keepNext/>
        <w:rPr>
          <w:rtl/>
        </w:rPr>
      </w:pPr>
      <w:bookmarkStart w:id="30315" w:name="ET_speaker_6231_15"/>
      <w:r>
        <w:rPr>
          <w:rStyle w:val="TagStyle"/>
          <w:rFonts w:hint="cs"/>
          <w:rtl/>
        </w:rPr>
        <w:t xml:space="preserve"> &lt;&lt; דובר &gt;&gt; </w:t>
      </w:r>
      <w:bookmarkStart w:id="30316" w:name="_Toc141197158"/>
      <w:bookmarkStart w:id="30317" w:name="_Toc141196894"/>
      <w:r>
        <w:rPr>
          <w:rFonts w:hint="cs"/>
          <w:rtl/>
        </w:rPr>
        <w:t>יסמין פרידמן (יש עתיד):</w:t>
      </w:r>
      <w:bookmarkEnd w:id="30316"/>
      <w:bookmarkEnd w:id="30317"/>
      <w:r>
        <w:rPr>
          <w:rStyle w:val="TagStyle"/>
          <w:rFonts w:hint="cs"/>
          <w:rtl/>
        </w:rPr>
        <w:t xml:space="preserve"> &lt;&lt; דובר &gt;&gt;</w:t>
      </w:r>
      <w:r>
        <w:rPr>
          <w:rFonts w:hint="cs"/>
          <w:rtl/>
        </w:rPr>
        <w:t xml:space="preserve">   </w:t>
      </w:r>
      <w:bookmarkEnd w:id="30315"/>
    </w:p>
    <w:p w:rsidR="00BB59CD" w:rsidRDefault="00BB59CD" w:rsidP="00337201">
      <w:pPr>
        <w:rPr>
          <w:rtl/>
        </w:rPr>
      </w:pPr>
    </w:p>
    <w:p w:rsidR="00BB59CD" w:rsidRDefault="00BB59CD" w:rsidP="00BB59CD">
      <w:pPr>
        <w:rPr>
          <w:rtl/>
        </w:rPr>
      </w:pPr>
      <w:bookmarkStart w:id="30318" w:name="_ETM_Q51_662000"/>
      <w:bookmarkEnd w:id="30318"/>
      <w:r>
        <w:rPr>
          <w:rFonts w:hint="cs"/>
          <w:rtl/>
        </w:rPr>
        <w:t xml:space="preserve">תודה, </w:t>
      </w:r>
      <w:bookmarkStart w:id="30319" w:name="_ETM_Q51_645000"/>
      <w:bookmarkStart w:id="30320" w:name="_ETM_Q51_642270"/>
      <w:bookmarkStart w:id="30321" w:name="_ETM_Q51_642480"/>
      <w:bookmarkStart w:id="30322" w:name="_ETM_Q51_660440"/>
      <w:bookmarkStart w:id="30323" w:name="_ETM_Q51_660860"/>
      <w:bookmarkStart w:id="30324" w:name="_ETM_Q51_661100"/>
      <w:bookmarkStart w:id="30325" w:name="_ETM_Q51_662780"/>
      <w:bookmarkStart w:id="30326" w:name="_ETM_Q51_663320"/>
      <w:bookmarkEnd w:id="30319"/>
      <w:bookmarkEnd w:id="30320"/>
      <w:bookmarkEnd w:id="30321"/>
      <w:bookmarkEnd w:id="30322"/>
      <w:bookmarkEnd w:id="30323"/>
      <w:bookmarkEnd w:id="30324"/>
      <w:bookmarkEnd w:id="30325"/>
      <w:bookmarkEnd w:id="30326"/>
      <w:r>
        <w:rPr>
          <w:rFonts w:hint="cs"/>
          <w:rtl/>
        </w:rPr>
        <w:t xml:space="preserve">אדוני </w:t>
      </w:r>
      <w:bookmarkStart w:id="30327" w:name="_ETM_Q51_663620"/>
      <w:bookmarkEnd w:id="30327"/>
      <w:r>
        <w:rPr>
          <w:rFonts w:hint="cs"/>
          <w:rtl/>
        </w:rPr>
        <w:t xml:space="preserve">היושב </w:t>
      </w:r>
      <w:bookmarkStart w:id="30328" w:name="_ETM_Q51_664100"/>
      <w:bookmarkEnd w:id="30328"/>
      <w:r>
        <w:rPr>
          <w:rFonts w:hint="cs"/>
          <w:rtl/>
        </w:rPr>
        <w:t xml:space="preserve">בראש. </w:t>
      </w:r>
      <w:bookmarkStart w:id="30329" w:name="_ETM_Q51_665210"/>
      <w:bookmarkEnd w:id="30329"/>
      <w:r>
        <w:rPr>
          <w:rFonts w:hint="cs"/>
          <w:rtl/>
        </w:rPr>
        <w:t xml:space="preserve">חבריי </w:t>
      </w:r>
      <w:bookmarkStart w:id="30330" w:name="_ETM_Q51_665660"/>
      <w:bookmarkEnd w:id="30330"/>
      <w:r>
        <w:rPr>
          <w:rFonts w:hint="cs"/>
          <w:rtl/>
        </w:rPr>
        <w:t xml:space="preserve">חברי </w:t>
      </w:r>
      <w:bookmarkStart w:id="30331" w:name="_ETM_Q51_665990"/>
      <w:bookmarkEnd w:id="30331"/>
      <w:r>
        <w:rPr>
          <w:rFonts w:hint="cs"/>
          <w:rtl/>
        </w:rPr>
        <w:t xml:space="preserve">הכנסת, </w:t>
      </w:r>
      <w:bookmarkStart w:id="30332" w:name="_ETM_Q51_668590"/>
      <w:bookmarkStart w:id="30333" w:name="_ETM_Q51_669879"/>
      <w:bookmarkStart w:id="30334" w:name="_ETM_Q51_670480"/>
      <w:bookmarkStart w:id="30335" w:name="_ETM_Q51_671109"/>
      <w:bookmarkStart w:id="30336" w:name="_ETM_Q51_672340"/>
      <w:bookmarkEnd w:id="30332"/>
      <w:bookmarkEnd w:id="30333"/>
      <w:bookmarkEnd w:id="30334"/>
      <w:bookmarkEnd w:id="30335"/>
      <w:bookmarkEnd w:id="30336"/>
      <w:r>
        <w:rPr>
          <w:rFonts w:hint="cs"/>
          <w:rtl/>
        </w:rPr>
        <w:t xml:space="preserve">יש </w:t>
      </w:r>
      <w:bookmarkStart w:id="30337" w:name="_ETM_Q51_672459"/>
      <w:bookmarkEnd w:id="30337"/>
      <w:r>
        <w:rPr>
          <w:rFonts w:hint="cs"/>
          <w:rtl/>
        </w:rPr>
        <w:t xml:space="preserve">לי </w:t>
      </w:r>
      <w:bookmarkStart w:id="30338" w:name="_ETM_Q51_672549"/>
      <w:bookmarkEnd w:id="30338"/>
      <w:r>
        <w:rPr>
          <w:rFonts w:hint="cs"/>
          <w:rtl/>
        </w:rPr>
        <w:t xml:space="preserve">חצי </w:t>
      </w:r>
      <w:bookmarkStart w:id="30339" w:name="_ETM_Q51_672849"/>
      <w:bookmarkEnd w:id="30339"/>
      <w:r>
        <w:rPr>
          <w:rFonts w:hint="cs"/>
          <w:rtl/>
        </w:rPr>
        <w:t xml:space="preserve">שעה </w:t>
      </w:r>
      <w:bookmarkStart w:id="30340" w:name="_ETM_Q51_673530"/>
      <w:bookmarkEnd w:id="30340"/>
      <w:r>
        <w:rPr>
          <w:rFonts w:hint="cs"/>
          <w:rtl/>
        </w:rPr>
        <w:t xml:space="preserve">לדבר, </w:t>
      </w:r>
      <w:bookmarkStart w:id="30341" w:name="_ETM_Q51_674099"/>
      <w:bookmarkEnd w:id="30341"/>
      <w:r>
        <w:rPr>
          <w:rFonts w:hint="cs"/>
          <w:rtl/>
        </w:rPr>
        <w:t xml:space="preserve">ויש </w:t>
      </w:r>
      <w:bookmarkStart w:id="30342" w:name="_ETM_Q51_674310"/>
      <w:bookmarkEnd w:id="30342"/>
      <w:r>
        <w:rPr>
          <w:rFonts w:hint="cs"/>
          <w:rtl/>
        </w:rPr>
        <w:t xml:space="preserve">לי </w:t>
      </w:r>
      <w:bookmarkStart w:id="30343" w:name="_ETM_Q51_674400"/>
      <w:bookmarkEnd w:id="30343"/>
      <w:r>
        <w:rPr>
          <w:rFonts w:hint="cs"/>
          <w:rtl/>
        </w:rPr>
        <w:t xml:space="preserve">הרבה </w:t>
      </w:r>
      <w:bookmarkStart w:id="30344" w:name="_ETM_Q51_674610"/>
      <w:bookmarkEnd w:id="30344"/>
      <w:r>
        <w:rPr>
          <w:rFonts w:hint="cs"/>
          <w:rtl/>
        </w:rPr>
        <w:t xml:space="preserve">על </w:t>
      </w:r>
      <w:bookmarkStart w:id="30345" w:name="_ETM_Q51_674700"/>
      <w:bookmarkEnd w:id="30345"/>
      <w:r>
        <w:rPr>
          <w:rFonts w:hint="cs"/>
          <w:rtl/>
        </w:rPr>
        <w:t xml:space="preserve">מה </w:t>
      </w:r>
      <w:bookmarkStart w:id="30346" w:name="_ETM_Q51_674819"/>
      <w:bookmarkEnd w:id="30346"/>
      <w:r>
        <w:rPr>
          <w:rFonts w:hint="cs"/>
          <w:rtl/>
        </w:rPr>
        <w:t xml:space="preserve">לדבר, </w:t>
      </w:r>
      <w:bookmarkStart w:id="30347" w:name="_ETM_Q51_675780"/>
      <w:bookmarkEnd w:id="30347"/>
      <w:r>
        <w:rPr>
          <w:rFonts w:hint="cs"/>
          <w:rtl/>
        </w:rPr>
        <w:t xml:space="preserve">אבל </w:t>
      </w:r>
      <w:bookmarkStart w:id="30348" w:name="_ETM_Q51_676110"/>
      <w:bookmarkEnd w:id="30348"/>
      <w:r>
        <w:rPr>
          <w:rFonts w:hint="cs"/>
          <w:rtl/>
        </w:rPr>
        <w:t xml:space="preserve">אני </w:t>
      </w:r>
      <w:bookmarkStart w:id="30349" w:name="_ETM_Q51_676530"/>
      <w:bookmarkEnd w:id="30349"/>
      <w:r>
        <w:rPr>
          <w:rFonts w:hint="cs"/>
          <w:rtl/>
        </w:rPr>
        <w:t xml:space="preserve">רוצה </w:t>
      </w:r>
      <w:bookmarkStart w:id="30350" w:name="_ETM_Q51_677220"/>
      <w:bookmarkEnd w:id="30350"/>
      <w:r>
        <w:rPr>
          <w:rFonts w:hint="cs"/>
          <w:rtl/>
        </w:rPr>
        <w:t xml:space="preserve">לפתוח </w:t>
      </w:r>
      <w:bookmarkStart w:id="30351" w:name="_ETM_Q51_678090"/>
      <w:bookmarkEnd w:id="30351"/>
      <w:r>
        <w:rPr>
          <w:rFonts w:hint="cs"/>
          <w:rtl/>
        </w:rPr>
        <w:t xml:space="preserve">את </w:t>
      </w:r>
      <w:bookmarkStart w:id="30352" w:name="_ETM_Q51_678300"/>
      <w:bookmarkStart w:id="30353" w:name="_ETM_Q51_679959"/>
      <w:bookmarkStart w:id="30354" w:name="_ETM_Q51_680139"/>
      <w:bookmarkEnd w:id="30352"/>
      <w:bookmarkEnd w:id="30353"/>
      <w:bookmarkEnd w:id="30354"/>
      <w:r>
        <w:rPr>
          <w:rFonts w:hint="cs"/>
          <w:rtl/>
        </w:rPr>
        <w:t xml:space="preserve">חצי </w:t>
      </w:r>
      <w:bookmarkStart w:id="30355" w:name="_ETM_Q51_680529"/>
      <w:bookmarkEnd w:id="30355"/>
      <w:r>
        <w:rPr>
          <w:rFonts w:hint="cs"/>
          <w:rtl/>
        </w:rPr>
        <w:t xml:space="preserve">השעה </w:t>
      </w:r>
      <w:bookmarkStart w:id="30356" w:name="_ETM_Q51_680889"/>
      <w:bookmarkEnd w:id="30356"/>
      <w:r>
        <w:rPr>
          <w:rFonts w:hint="cs"/>
          <w:rtl/>
        </w:rPr>
        <w:t xml:space="preserve">הזאת </w:t>
      </w:r>
      <w:bookmarkStart w:id="30357" w:name="_ETM_Q51_681309"/>
      <w:bookmarkEnd w:id="30357"/>
      <w:r>
        <w:rPr>
          <w:rFonts w:hint="cs"/>
          <w:rtl/>
        </w:rPr>
        <w:t xml:space="preserve">בברכות. </w:t>
      </w:r>
      <w:bookmarkStart w:id="30358" w:name="_ETM_Q51_682480"/>
      <w:bookmarkEnd w:id="30358"/>
      <w:r>
        <w:rPr>
          <w:rFonts w:hint="cs"/>
          <w:rtl/>
        </w:rPr>
        <w:t xml:space="preserve">אני </w:t>
      </w:r>
      <w:bookmarkStart w:id="30359" w:name="_ETM_Q51_682809"/>
      <w:bookmarkEnd w:id="30359"/>
      <w:r>
        <w:rPr>
          <w:rFonts w:hint="cs"/>
          <w:rtl/>
        </w:rPr>
        <w:t xml:space="preserve">רוצה </w:t>
      </w:r>
      <w:bookmarkStart w:id="30360" w:name="_ETM_Q51_683319"/>
      <w:bookmarkEnd w:id="30360"/>
      <w:r>
        <w:rPr>
          <w:rFonts w:hint="cs"/>
          <w:rtl/>
        </w:rPr>
        <w:t xml:space="preserve">לברך </w:t>
      </w:r>
      <w:bookmarkStart w:id="30361" w:name="_ETM_Q51_684579"/>
      <w:bookmarkEnd w:id="30361"/>
      <w:r>
        <w:rPr>
          <w:rFonts w:hint="cs"/>
          <w:rtl/>
        </w:rPr>
        <w:t xml:space="preserve">את </w:t>
      </w:r>
      <w:bookmarkStart w:id="30362" w:name="_ETM_Q51_685180"/>
      <w:bookmarkEnd w:id="30362"/>
      <w:r>
        <w:rPr>
          <w:rFonts w:hint="cs"/>
          <w:rtl/>
        </w:rPr>
        <w:t xml:space="preserve">איתמר </w:t>
      </w:r>
      <w:bookmarkStart w:id="30363" w:name="_ETM_Q51_685689"/>
      <w:bookmarkEnd w:id="30363"/>
      <w:r>
        <w:rPr>
          <w:rFonts w:hint="cs"/>
          <w:rtl/>
        </w:rPr>
        <w:t xml:space="preserve">בן </w:t>
      </w:r>
      <w:bookmarkStart w:id="30364" w:name="_ETM_Q51_686019"/>
      <w:bookmarkEnd w:id="30364"/>
      <w:r>
        <w:rPr>
          <w:rFonts w:hint="cs"/>
          <w:rtl/>
        </w:rPr>
        <w:t xml:space="preserve">גביר </w:t>
      </w:r>
      <w:bookmarkStart w:id="30365" w:name="_ETM_Q51_686590"/>
      <w:bookmarkEnd w:id="30365"/>
      <w:r>
        <w:rPr>
          <w:rFonts w:hint="cs"/>
          <w:rtl/>
        </w:rPr>
        <w:t xml:space="preserve">על </w:t>
      </w:r>
      <w:bookmarkStart w:id="30366" w:name="_ETM_Q51_686709"/>
      <w:bookmarkEnd w:id="30366"/>
      <w:r>
        <w:rPr>
          <w:rFonts w:hint="cs"/>
          <w:rtl/>
        </w:rPr>
        <w:t xml:space="preserve">התרחבות </w:t>
      </w:r>
      <w:bookmarkStart w:id="30367" w:name="_ETM_Q51_687430"/>
      <w:bookmarkEnd w:id="30367"/>
      <w:r>
        <w:rPr>
          <w:rFonts w:hint="cs"/>
          <w:rtl/>
        </w:rPr>
        <w:t xml:space="preserve">העסק. </w:t>
      </w:r>
      <w:bookmarkStart w:id="30368" w:name="_ETM_Q51_688480"/>
      <w:bookmarkEnd w:id="30368"/>
      <w:r>
        <w:rPr>
          <w:rFonts w:hint="cs"/>
          <w:rtl/>
        </w:rPr>
        <w:t xml:space="preserve">איתמר </w:t>
      </w:r>
      <w:bookmarkStart w:id="30369" w:name="_ETM_Q51_688989"/>
      <w:bookmarkEnd w:id="30369"/>
      <w:r>
        <w:rPr>
          <w:rFonts w:hint="cs"/>
          <w:rtl/>
        </w:rPr>
        <w:t xml:space="preserve">בן </w:t>
      </w:r>
      <w:bookmarkStart w:id="30370" w:name="_ETM_Q51_689260"/>
      <w:bookmarkEnd w:id="30370"/>
      <w:r>
        <w:rPr>
          <w:rFonts w:hint="cs"/>
          <w:rtl/>
        </w:rPr>
        <w:t xml:space="preserve">גביר </w:t>
      </w:r>
      <w:bookmarkStart w:id="30371" w:name="_ETM_Q51_689829"/>
      <w:bookmarkEnd w:id="30371"/>
      <w:r>
        <w:rPr>
          <w:rFonts w:hint="cs"/>
          <w:rtl/>
        </w:rPr>
        <w:t xml:space="preserve">מרחיב </w:t>
      </w:r>
      <w:bookmarkStart w:id="30372" w:name="_ETM_Q51_690459"/>
      <w:bookmarkEnd w:id="30372"/>
      <w:r>
        <w:rPr>
          <w:rFonts w:hint="cs"/>
          <w:rtl/>
        </w:rPr>
        <w:t xml:space="preserve">את </w:t>
      </w:r>
      <w:bookmarkStart w:id="30373" w:name="_ETM_Q51_690609"/>
      <w:bookmarkEnd w:id="30373"/>
      <w:r>
        <w:rPr>
          <w:rFonts w:hint="cs"/>
          <w:rtl/>
        </w:rPr>
        <w:t xml:space="preserve">העסק </w:t>
      </w:r>
      <w:bookmarkStart w:id="30374" w:name="_ETM_Q51_691090"/>
      <w:bookmarkEnd w:id="30374"/>
      <w:r>
        <w:rPr>
          <w:rFonts w:hint="cs"/>
          <w:rtl/>
        </w:rPr>
        <w:t xml:space="preserve">שלו </w:t>
      </w:r>
      <w:bookmarkStart w:id="30375" w:name="_ETM_Q51_691749"/>
      <w:bookmarkEnd w:id="30375"/>
      <w:r>
        <w:rPr>
          <w:rFonts w:hint="cs"/>
          <w:rtl/>
        </w:rPr>
        <w:t xml:space="preserve">מפיתות </w:t>
      </w:r>
      <w:bookmarkStart w:id="30376" w:name="_ETM_Q51_692499"/>
      <w:bookmarkEnd w:id="30376"/>
      <w:r>
        <w:rPr>
          <w:rFonts w:hint="cs"/>
          <w:rtl/>
        </w:rPr>
        <w:t xml:space="preserve">לסלטים. </w:t>
      </w:r>
      <w:bookmarkStart w:id="30377" w:name="_ETM_Q51_693760"/>
      <w:bookmarkEnd w:id="30377"/>
      <w:r>
        <w:rPr>
          <w:rFonts w:hint="cs"/>
          <w:rtl/>
        </w:rPr>
        <w:t xml:space="preserve">כולנו </w:t>
      </w:r>
      <w:bookmarkStart w:id="30378" w:name="_ETM_Q51_694239"/>
      <w:bookmarkEnd w:id="30378"/>
      <w:r>
        <w:rPr>
          <w:rFonts w:hint="cs"/>
          <w:rtl/>
        </w:rPr>
        <w:t xml:space="preserve">מאחלים </w:t>
      </w:r>
      <w:bookmarkStart w:id="30379" w:name="_ETM_Q51_694719"/>
      <w:bookmarkEnd w:id="30379"/>
      <w:r>
        <w:rPr>
          <w:rFonts w:hint="cs"/>
          <w:rtl/>
        </w:rPr>
        <w:t xml:space="preserve">לו </w:t>
      </w:r>
      <w:bookmarkStart w:id="30380" w:name="_ETM_Q51_695079"/>
      <w:bookmarkEnd w:id="30380"/>
      <w:r>
        <w:rPr>
          <w:rFonts w:hint="cs"/>
          <w:rtl/>
        </w:rPr>
        <w:t xml:space="preserve">בהצלחה. </w:t>
      </w:r>
      <w:bookmarkStart w:id="30381" w:name="_ETM_Q51_696129"/>
      <w:bookmarkEnd w:id="30381"/>
      <w:r>
        <w:rPr>
          <w:rFonts w:hint="cs"/>
          <w:rtl/>
        </w:rPr>
        <w:t xml:space="preserve">אולי </w:t>
      </w:r>
      <w:bookmarkStart w:id="30382" w:name="_ETM_Q51_696849"/>
      <w:bookmarkEnd w:id="30382"/>
      <w:r>
        <w:rPr>
          <w:rFonts w:hint="cs"/>
          <w:rtl/>
        </w:rPr>
        <w:t xml:space="preserve">הוא </w:t>
      </w:r>
      <w:bookmarkStart w:id="30383" w:name="_ETM_Q51_699000"/>
      <w:bookmarkEnd w:id="30383"/>
      <w:r>
        <w:rPr>
          <w:rFonts w:hint="cs"/>
          <w:rtl/>
        </w:rPr>
        <w:t xml:space="preserve">ישנה </w:t>
      </w:r>
      <w:bookmarkStart w:id="30384" w:name="_ETM_Q51_697719"/>
      <w:bookmarkEnd w:id="30384"/>
      <w:r>
        <w:rPr>
          <w:rFonts w:hint="cs"/>
          <w:rtl/>
        </w:rPr>
        <w:t xml:space="preserve">מקצוע </w:t>
      </w:r>
      <w:bookmarkStart w:id="30385" w:name="_ETM_Q51_698319"/>
      <w:bookmarkEnd w:id="30385"/>
      <w:r>
        <w:rPr>
          <w:rFonts w:hint="cs"/>
          <w:rtl/>
        </w:rPr>
        <w:t xml:space="preserve">ויניח </w:t>
      </w:r>
      <w:bookmarkStart w:id="30386" w:name="_ETM_Q51_698829"/>
      <w:bookmarkEnd w:id="30386"/>
      <w:r>
        <w:rPr>
          <w:rFonts w:hint="cs"/>
          <w:rtl/>
        </w:rPr>
        <w:t>לנו.</w:t>
      </w:r>
    </w:p>
    <w:p w:rsidR="00BB59CD" w:rsidRDefault="00BB59CD" w:rsidP="00BB59CD">
      <w:pPr>
        <w:rPr>
          <w:rtl/>
        </w:rPr>
      </w:pPr>
    </w:p>
    <w:p w:rsidR="00BB59CD" w:rsidRDefault="00BB59CD" w:rsidP="004E08CB">
      <w:pPr>
        <w:rPr>
          <w:rtl/>
        </w:rPr>
      </w:pPr>
      <w:bookmarkStart w:id="30387" w:name="_ETM_Q51_700000"/>
      <w:bookmarkStart w:id="30388" w:name="_ETM_Q51_700520"/>
      <w:bookmarkStart w:id="30389" w:name="_ETM_Q51_700819"/>
      <w:bookmarkEnd w:id="30387"/>
      <w:bookmarkEnd w:id="30388"/>
      <w:bookmarkEnd w:id="30389"/>
      <w:r>
        <w:rPr>
          <w:rFonts w:hint="cs"/>
          <w:rtl/>
        </w:rPr>
        <w:t xml:space="preserve">החלטתי </w:t>
      </w:r>
      <w:bookmarkStart w:id="30390" w:name="_ETM_Q51_702920"/>
      <w:bookmarkEnd w:id="30390"/>
      <w:r>
        <w:rPr>
          <w:rFonts w:hint="cs"/>
          <w:rtl/>
        </w:rPr>
        <w:t xml:space="preserve">להקדיש </w:t>
      </w:r>
      <w:bookmarkStart w:id="30391" w:name="_ETM_Q51_703489"/>
      <w:bookmarkEnd w:id="30391"/>
      <w:r>
        <w:rPr>
          <w:rFonts w:hint="cs"/>
          <w:rtl/>
        </w:rPr>
        <w:t xml:space="preserve">את </w:t>
      </w:r>
      <w:bookmarkStart w:id="30392" w:name="_ETM_Q51_703670"/>
      <w:bookmarkEnd w:id="30392"/>
      <w:r>
        <w:rPr>
          <w:rFonts w:hint="cs"/>
          <w:rtl/>
        </w:rPr>
        <w:t xml:space="preserve">חצי </w:t>
      </w:r>
      <w:bookmarkStart w:id="30393" w:name="_ETM_Q51_704590"/>
      <w:bookmarkEnd w:id="30393"/>
      <w:r>
        <w:rPr>
          <w:rFonts w:hint="cs"/>
          <w:rtl/>
        </w:rPr>
        <w:t xml:space="preserve">השעה </w:t>
      </w:r>
      <w:bookmarkStart w:id="30394" w:name="_ETM_Q51_705040"/>
      <w:bookmarkEnd w:id="30394"/>
      <w:r>
        <w:rPr>
          <w:rFonts w:hint="cs"/>
          <w:rtl/>
        </w:rPr>
        <w:t xml:space="preserve">הזאת </w:t>
      </w:r>
      <w:bookmarkStart w:id="30395" w:name="_ETM_Q51_705760"/>
      <w:bookmarkEnd w:id="30395"/>
      <w:r>
        <w:rPr>
          <w:rFonts w:hint="cs"/>
          <w:rtl/>
        </w:rPr>
        <w:t xml:space="preserve">כדי </w:t>
      </w:r>
      <w:bookmarkStart w:id="30396" w:name="_ETM_Q51_706090"/>
      <w:bookmarkEnd w:id="30396"/>
      <w:r>
        <w:rPr>
          <w:rFonts w:hint="cs"/>
          <w:rtl/>
        </w:rPr>
        <w:t xml:space="preserve">לפרק </w:t>
      </w:r>
      <w:bookmarkStart w:id="30397" w:name="_ETM_Q51_706599"/>
      <w:bookmarkEnd w:id="30397"/>
      <w:r>
        <w:rPr>
          <w:rFonts w:hint="cs"/>
          <w:rtl/>
        </w:rPr>
        <w:t xml:space="preserve">את </w:t>
      </w:r>
      <w:bookmarkStart w:id="30398" w:name="_ETM_Q51_706809"/>
      <w:bookmarkEnd w:id="30398"/>
      <w:r>
        <w:rPr>
          <w:rFonts w:hint="cs"/>
          <w:rtl/>
        </w:rPr>
        <w:t xml:space="preserve">המושגים </w:t>
      </w:r>
      <w:bookmarkStart w:id="30399" w:name="_ETM_Q51_708730"/>
      <w:bookmarkEnd w:id="30399"/>
      <w:r>
        <w:rPr>
          <w:rFonts w:hint="cs"/>
          <w:rtl/>
        </w:rPr>
        <w:t xml:space="preserve">פריבילגים וניתוק. </w:t>
      </w:r>
      <w:bookmarkStart w:id="30400" w:name="_ETM_Q51_710330"/>
      <w:bookmarkStart w:id="30401" w:name="_ETM_Q51_711980"/>
      <w:bookmarkEnd w:id="30400"/>
      <w:bookmarkEnd w:id="30401"/>
      <w:r>
        <w:rPr>
          <w:rFonts w:hint="cs"/>
          <w:rtl/>
        </w:rPr>
        <w:t xml:space="preserve">אני </w:t>
      </w:r>
      <w:bookmarkStart w:id="30402" w:name="_ETM_Q51_712370"/>
      <w:bookmarkEnd w:id="30402"/>
      <w:r>
        <w:rPr>
          <w:rFonts w:hint="cs"/>
          <w:rtl/>
        </w:rPr>
        <w:t xml:space="preserve">רוצה </w:t>
      </w:r>
      <w:bookmarkStart w:id="30403" w:name="_ETM_Q51_712849"/>
      <w:bookmarkStart w:id="30404" w:name="_ETM_Q51_713419"/>
      <w:bookmarkEnd w:id="30403"/>
      <w:bookmarkEnd w:id="30404"/>
      <w:r>
        <w:rPr>
          <w:rFonts w:hint="cs"/>
          <w:rtl/>
        </w:rPr>
        <w:t xml:space="preserve">לפרק </w:t>
      </w:r>
      <w:bookmarkStart w:id="30405" w:name="_ETM_Q51_713929"/>
      <w:bookmarkEnd w:id="30405"/>
      <w:r>
        <w:rPr>
          <w:rFonts w:hint="cs"/>
          <w:rtl/>
        </w:rPr>
        <w:t xml:space="preserve">אותם </w:t>
      </w:r>
      <w:bookmarkStart w:id="30406" w:name="_ETM_Q51_714529"/>
      <w:bookmarkEnd w:id="30406"/>
      <w:r>
        <w:rPr>
          <w:rFonts w:hint="cs"/>
          <w:rtl/>
        </w:rPr>
        <w:t xml:space="preserve">לגורמים, </w:t>
      </w:r>
      <w:bookmarkStart w:id="30407" w:name="_ETM_Q51_716830"/>
      <w:bookmarkEnd w:id="30407"/>
      <w:r>
        <w:rPr>
          <w:rFonts w:hint="cs"/>
          <w:rtl/>
        </w:rPr>
        <w:t xml:space="preserve">ואני </w:t>
      </w:r>
      <w:bookmarkStart w:id="30408" w:name="_ETM_Q51_717099"/>
      <w:bookmarkEnd w:id="30408"/>
      <w:r>
        <w:rPr>
          <w:rFonts w:hint="cs"/>
          <w:rtl/>
        </w:rPr>
        <w:t xml:space="preserve">אתחיל </w:t>
      </w:r>
      <w:bookmarkStart w:id="30409" w:name="_ETM_Q51_717340"/>
      <w:bookmarkEnd w:id="30409"/>
      <w:r>
        <w:rPr>
          <w:rFonts w:hint="cs"/>
          <w:rtl/>
        </w:rPr>
        <w:t xml:space="preserve">דווקא </w:t>
      </w:r>
      <w:bookmarkStart w:id="30410" w:name="_ETM_Q51_717610"/>
      <w:bookmarkEnd w:id="30410"/>
      <w:r>
        <w:rPr>
          <w:rFonts w:hint="cs"/>
          <w:rtl/>
        </w:rPr>
        <w:t xml:space="preserve">ביום </w:t>
      </w:r>
      <w:bookmarkStart w:id="30411" w:name="_ETM_Q51_717939"/>
      <w:bookmarkEnd w:id="30411"/>
      <w:r>
        <w:rPr>
          <w:rFonts w:hint="cs"/>
          <w:rtl/>
        </w:rPr>
        <w:t xml:space="preserve">שישי </w:t>
      </w:r>
      <w:bookmarkStart w:id="30412" w:name="_ETM_Q51_718269"/>
      <w:bookmarkEnd w:id="30412"/>
      <w:r>
        <w:rPr>
          <w:rFonts w:hint="cs"/>
          <w:rtl/>
        </w:rPr>
        <w:t xml:space="preserve">האחרון, </w:t>
      </w:r>
      <w:bookmarkStart w:id="30413" w:name="_ETM_Q51_718929"/>
      <w:bookmarkEnd w:id="30413"/>
      <w:r>
        <w:rPr>
          <w:rFonts w:hint="cs"/>
          <w:rtl/>
        </w:rPr>
        <w:t xml:space="preserve">כי </w:t>
      </w:r>
      <w:bookmarkStart w:id="30414" w:name="_ETM_Q51_719290"/>
      <w:bookmarkEnd w:id="30414"/>
      <w:r>
        <w:rPr>
          <w:rFonts w:hint="cs"/>
          <w:rtl/>
        </w:rPr>
        <w:t xml:space="preserve">ביום </w:t>
      </w:r>
      <w:bookmarkStart w:id="30415" w:name="_ETM_Q51_719620"/>
      <w:bookmarkEnd w:id="30415"/>
      <w:r>
        <w:rPr>
          <w:rFonts w:hint="cs"/>
          <w:rtl/>
        </w:rPr>
        <w:t xml:space="preserve">שישי </w:t>
      </w:r>
      <w:bookmarkStart w:id="30416" w:name="_ETM_Q51_719980"/>
      <w:bookmarkEnd w:id="30416"/>
      <w:r>
        <w:rPr>
          <w:rFonts w:hint="cs"/>
          <w:rtl/>
        </w:rPr>
        <w:t xml:space="preserve">האחרון </w:t>
      </w:r>
      <w:bookmarkStart w:id="30417" w:name="_ETM_Q51_721630"/>
      <w:bookmarkStart w:id="30418" w:name="_ETM_Q51_721809"/>
      <w:bookmarkEnd w:id="30417"/>
      <w:bookmarkEnd w:id="30418"/>
      <w:r>
        <w:rPr>
          <w:rFonts w:hint="cs"/>
          <w:rtl/>
        </w:rPr>
        <w:t xml:space="preserve">היית </w:t>
      </w:r>
      <w:bookmarkStart w:id="30419" w:name="_ETM_Q51_722080"/>
      <w:bookmarkEnd w:id="30419"/>
      <w:r>
        <w:rPr>
          <w:rFonts w:hint="cs"/>
          <w:rtl/>
        </w:rPr>
        <w:t xml:space="preserve">שואל </w:t>
      </w:r>
      <w:bookmarkStart w:id="30420" w:name="_ETM_Q51_722380"/>
      <w:bookmarkEnd w:id="30420"/>
      <w:r>
        <w:rPr>
          <w:rFonts w:hint="cs"/>
          <w:rtl/>
        </w:rPr>
        <w:t xml:space="preserve">את </w:t>
      </w:r>
      <w:bookmarkStart w:id="30421" w:name="_ETM_Q51_722500"/>
      <w:bookmarkEnd w:id="30421"/>
      <w:r>
        <w:rPr>
          <w:rFonts w:hint="cs"/>
          <w:rtl/>
        </w:rPr>
        <w:t xml:space="preserve">השאלה: סירי, </w:t>
      </w:r>
      <w:bookmarkStart w:id="30422" w:name="_ETM_Q51_725000"/>
      <w:bookmarkEnd w:id="30422"/>
      <w:r>
        <w:rPr>
          <w:rFonts w:hint="cs"/>
          <w:rtl/>
        </w:rPr>
        <w:t xml:space="preserve">איך נראה ניתוק? כנראה שהיו מופיעים שני סרטונים, האחד </w:t>
      </w:r>
      <w:bookmarkStart w:id="30423" w:name="_ETM_Q51_734000"/>
      <w:bookmarkEnd w:id="30423"/>
      <w:r>
        <w:rPr>
          <w:rFonts w:hint="cs"/>
          <w:rtl/>
        </w:rPr>
        <w:t xml:space="preserve">של אלפי אזרחים צועדים בחום הכבד תחת השמש הקופחת, אנשים </w:t>
      </w:r>
      <w:bookmarkStart w:id="30424" w:name="_ETM_Q51_743000"/>
      <w:bookmarkEnd w:id="30424"/>
      <w:r>
        <w:rPr>
          <w:rFonts w:hint="cs"/>
          <w:rtl/>
        </w:rPr>
        <w:t xml:space="preserve">מכל הארץ, מכל המגזרים, </w:t>
      </w:r>
      <w:bookmarkStart w:id="30425" w:name="_ETM_Q51_722950"/>
      <w:bookmarkStart w:id="30426" w:name="_ETM_Q51_745140"/>
      <w:bookmarkEnd w:id="30425"/>
      <w:bookmarkEnd w:id="30426"/>
      <w:r>
        <w:rPr>
          <w:rFonts w:hint="cs"/>
          <w:rtl/>
        </w:rPr>
        <w:t xml:space="preserve">כמו </w:t>
      </w:r>
      <w:bookmarkStart w:id="30427" w:name="_ETM_Q51_745350"/>
      <w:bookmarkEnd w:id="30427"/>
      <w:r>
        <w:rPr>
          <w:rFonts w:hint="cs"/>
          <w:rtl/>
        </w:rPr>
        <w:t xml:space="preserve">יציאת </w:t>
      </w:r>
      <w:bookmarkStart w:id="30428" w:name="_ETM_Q51_745920"/>
      <w:bookmarkEnd w:id="30428"/>
      <w:r>
        <w:rPr>
          <w:rFonts w:hint="cs"/>
          <w:rtl/>
        </w:rPr>
        <w:t xml:space="preserve">מצרים, </w:t>
      </w:r>
      <w:bookmarkStart w:id="30429" w:name="_ETM_Q51_746970"/>
      <w:bookmarkEnd w:id="30429"/>
      <w:r>
        <w:rPr>
          <w:rFonts w:hint="cs"/>
          <w:rtl/>
        </w:rPr>
        <w:t xml:space="preserve">הולכים </w:t>
      </w:r>
      <w:bookmarkStart w:id="30430" w:name="_ETM_Q51_747330"/>
      <w:bookmarkEnd w:id="30430"/>
      <w:r>
        <w:rPr>
          <w:rFonts w:hint="cs"/>
          <w:rtl/>
        </w:rPr>
        <w:t xml:space="preserve">עם </w:t>
      </w:r>
      <w:bookmarkStart w:id="30431" w:name="_ETM_Q51_747480"/>
      <w:bookmarkEnd w:id="30431"/>
      <w:r>
        <w:rPr>
          <w:rFonts w:hint="cs"/>
          <w:rtl/>
        </w:rPr>
        <w:t xml:space="preserve">דגלים </w:t>
      </w:r>
      <w:bookmarkStart w:id="30432" w:name="_ETM_Q51_748320"/>
      <w:bookmarkEnd w:id="30432"/>
      <w:r>
        <w:rPr>
          <w:rFonts w:hint="cs"/>
          <w:rtl/>
        </w:rPr>
        <w:t xml:space="preserve">בעלייה </w:t>
      </w:r>
      <w:bookmarkStart w:id="30433" w:name="_ETM_Q51_748890"/>
      <w:bookmarkEnd w:id="30433"/>
      <w:r>
        <w:rPr>
          <w:rFonts w:hint="cs"/>
          <w:rtl/>
        </w:rPr>
        <w:t xml:space="preserve">לירושלים; </w:t>
      </w:r>
      <w:bookmarkStart w:id="30434" w:name="_ETM_Q51_750360"/>
      <w:bookmarkEnd w:id="30434"/>
      <w:r>
        <w:rPr>
          <w:rFonts w:hint="cs"/>
          <w:rtl/>
        </w:rPr>
        <w:t xml:space="preserve">מראה </w:t>
      </w:r>
      <w:bookmarkStart w:id="30435" w:name="_ETM_Q51_750870"/>
      <w:bookmarkEnd w:id="30435"/>
      <w:r>
        <w:rPr>
          <w:rFonts w:hint="cs"/>
          <w:rtl/>
        </w:rPr>
        <w:t xml:space="preserve">מרגש, </w:t>
      </w:r>
      <w:bookmarkStart w:id="30436" w:name="_ETM_Q51_752900"/>
      <w:bookmarkEnd w:id="30436"/>
      <w:r>
        <w:rPr>
          <w:rFonts w:hint="cs"/>
          <w:rtl/>
        </w:rPr>
        <w:t xml:space="preserve">אין </w:t>
      </w:r>
      <w:bookmarkStart w:id="30437" w:name="_ETM_Q51_753110"/>
      <w:bookmarkEnd w:id="30437"/>
      <w:r>
        <w:rPr>
          <w:rFonts w:hint="cs"/>
          <w:rtl/>
        </w:rPr>
        <w:t xml:space="preserve">מילים. </w:t>
      </w:r>
      <w:bookmarkStart w:id="30438" w:name="_ETM_Q51_753470"/>
      <w:bookmarkEnd w:id="30438"/>
      <w:r>
        <w:rPr>
          <w:rFonts w:hint="cs"/>
          <w:rtl/>
        </w:rPr>
        <w:t xml:space="preserve">כל </w:t>
      </w:r>
      <w:bookmarkStart w:id="30439" w:name="_ETM_Q51_753650"/>
      <w:bookmarkEnd w:id="30439"/>
      <w:r>
        <w:rPr>
          <w:rFonts w:hint="cs"/>
          <w:rtl/>
        </w:rPr>
        <w:t xml:space="preserve">מי </w:t>
      </w:r>
      <w:bookmarkStart w:id="30440" w:name="_ETM_Q51_753770"/>
      <w:bookmarkEnd w:id="30440"/>
      <w:r>
        <w:rPr>
          <w:rFonts w:hint="cs"/>
          <w:rtl/>
        </w:rPr>
        <w:t xml:space="preserve">שראה </w:t>
      </w:r>
      <w:bookmarkStart w:id="30441" w:name="_ETM_Q51_754130"/>
      <w:bookmarkEnd w:id="30441"/>
      <w:r>
        <w:rPr>
          <w:rFonts w:hint="cs"/>
          <w:rtl/>
        </w:rPr>
        <w:t xml:space="preserve">את </w:t>
      </w:r>
      <w:bookmarkStart w:id="30442" w:name="_ETM_Q51_754250"/>
      <w:bookmarkEnd w:id="30442"/>
      <w:r>
        <w:rPr>
          <w:rFonts w:hint="cs"/>
          <w:rtl/>
        </w:rPr>
        <w:t xml:space="preserve">זה </w:t>
      </w:r>
      <w:bookmarkStart w:id="30443" w:name="_ETM_Q51_754400"/>
      <w:bookmarkEnd w:id="30443"/>
      <w:r>
        <w:rPr>
          <w:rFonts w:hint="cs"/>
          <w:rtl/>
        </w:rPr>
        <w:t xml:space="preserve">אני </w:t>
      </w:r>
      <w:bookmarkStart w:id="30444" w:name="_ETM_Q51_754550"/>
      <w:bookmarkEnd w:id="30444"/>
      <w:r>
        <w:rPr>
          <w:rFonts w:hint="cs"/>
          <w:rtl/>
        </w:rPr>
        <w:t xml:space="preserve">חושבת </w:t>
      </w:r>
      <w:bookmarkStart w:id="30445" w:name="_ETM_Q51_754790"/>
      <w:bookmarkEnd w:id="30445"/>
      <w:r>
        <w:rPr>
          <w:rFonts w:hint="cs"/>
          <w:rtl/>
        </w:rPr>
        <w:t xml:space="preserve">שבאמת </w:t>
      </w:r>
      <w:bookmarkStart w:id="30446" w:name="_ETM_Q51_755570"/>
      <w:bookmarkEnd w:id="30446"/>
      <w:r>
        <w:rPr>
          <w:rFonts w:hint="cs"/>
          <w:rtl/>
        </w:rPr>
        <w:t xml:space="preserve">באמת </w:t>
      </w:r>
      <w:bookmarkStart w:id="30447" w:name="_ETM_Q51_755929"/>
      <w:bookmarkEnd w:id="30447"/>
      <w:r>
        <w:rPr>
          <w:rFonts w:hint="cs"/>
          <w:rtl/>
        </w:rPr>
        <w:t xml:space="preserve">התרשם. </w:t>
      </w:r>
      <w:bookmarkStart w:id="30448" w:name="_ETM_Q51_756950"/>
      <w:bookmarkStart w:id="30449" w:name="TOR_Q52"/>
      <w:bookmarkEnd w:id="30448"/>
      <w:bookmarkEnd w:id="30449"/>
      <w:r>
        <w:rPr>
          <w:rFonts w:hint="cs"/>
          <w:rtl/>
        </w:rPr>
        <w:t>ובאותה שעה בדיוק עלה עוד סרטון בכל הרשתות. בסרטון הזה רואים שני שרים מהממשלה במה שנראה כמו מסיבת בריכה, חוגגים, שרים לצלילי הבוזוקי. אני אומרת, יש ניתוק יותר גדול מזה, שתי התמונות האלה? אזרחי ישראל שנאנקים תחת הפחד, העול הכלכלי, הביטחוני, צועדים בשמש ובאותו הזמן בדיוק שני שרים מממשלת ישראל שעשו קריירה על הבכיינות שלהם חוגגים במסיבת בריכה?</w:t>
      </w:r>
      <w:r w:rsidR="004E08CB">
        <w:rPr>
          <w:rFonts w:hint="cs"/>
          <w:rtl/>
        </w:rPr>
        <w:t xml:space="preserve"> </w:t>
      </w:r>
      <w:r>
        <w:rPr>
          <w:rFonts w:hint="cs"/>
          <w:rtl/>
        </w:rPr>
        <w:t>אותם בכיינים ובכיינים נוספים, שלהצית כל יום מחדש ולהעיר בכל הכוח את השד העדתי הוא לחם חוקם, אותם שרים וחברי כנסת, לא זכור לי שהם אי פעם בחרו במזרחי לעמוד בראשם. האם יש ניתוק גדול מזה שהם מדברים כל היום על מזרחיות וישראל השנייה?</w:t>
      </w:r>
    </w:p>
    <w:p w:rsidR="00BB59CD" w:rsidRDefault="00BB59CD" w:rsidP="00BB59CD">
      <w:pPr>
        <w:rPr>
          <w:rtl/>
        </w:rPr>
      </w:pPr>
    </w:p>
    <w:p w:rsidR="00BB59CD" w:rsidRDefault="00BB59CD" w:rsidP="004E08CB">
      <w:pPr>
        <w:rPr>
          <w:rtl/>
        </w:rPr>
      </w:pPr>
      <w:r>
        <w:rPr>
          <w:rFonts w:hint="cs"/>
          <w:rtl/>
        </w:rPr>
        <w:t xml:space="preserve">אני גדלתי בבאר שבע </w:t>
      </w:r>
      <w:bookmarkStart w:id="30450" w:name="_ETM_Q52_238000"/>
      <w:bookmarkEnd w:id="30450"/>
      <w:r>
        <w:rPr>
          <w:rFonts w:hint="cs"/>
          <w:rtl/>
        </w:rPr>
        <w:t xml:space="preserve">בשנות השבעים במה שנקרא משעולים, ובמשעולים האלה שמעת כל היום בליל של שפות, כי משפחת פאר דיברה הונגרית ומשפחת חזות דיברה מרוקאית </w:t>
      </w:r>
      <w:bookmarkStart w:id="30451" w:name="_ETM_Q52_251000"/>
      <w:bookmarkEnd w:id="30451"/>
      <w:r>
        <w:rPr>
          <w:rFonts w:hint="cs"/>
          <w:rtl/>
        </w:rPr>
        <w:t>ומשפחת סאקס – שמעת מדי פעם צרפתית</w:t>
      </w:r>
      <w:r w:rsidR="004E08CB">
        <w:rPr>
          <w:rFonts w:hint="cs"/>
          <w:rtl/>
        </w:rPr>
        <w:t>,</w:t>
      </w:r>
      <w:r>
        <w:rPr>
          <w:rFonts w:hint="cs"/>
          <w:rtl/>
        </w:rPr>
        <w:t xml:space="preserve"> ואפילו אנגלית, היו לנו משפחות שדיברו אנגלית במשעול. אבל מעולם, מעולם לא שאלנו את הילדים ששיחקנו </w:t>
      </w:r>
      <w:bookmarkStart w:id="30452" w:name="_ETM_Q52_261000"/>
      <w:bookmarkEnd w:id="30452"/>
      <w:r>
        <w:rPr>
          <w:rFonts w:hint="cs"/>
          <w:rtl/>
        </w:rPr>
        <w:t>איתם מה המוצא שלהם, איפה ההורים שלהם נולדו. אף פעם זה לא העסיק אותנו</w:t>
      </w:r>
      <w:r w:rsidR="004E08CB">
        <w:rPr>
          <w:rFonts w:hint="cs"/>
          <w:rtl/>
        </w:rPr>
        <w:t>.</w:t>
      </w:r>
      <w:r>
        <w:rPr>
          <w:rFonts w:hint="cs"/>
          <w:rtl/>
        </w:rPr>
        <w:t xml:space="preserve"> והיום? היום הבן שלי והחברים שלו עוסקים בזה, וזה הורג אותי. </w:t>
      </w:r>
      <w:bookmarkStart w:id="30453" w:name="_ETM_Q52_275000"/>
      <w:bookmarkEnd w:id="30453"/>
      <w:r>
        <w:rPr>
          <w:rFonts w:hint="cs"/>
          <w:rtl/>
        </w:rPr>
        <w:t xml:space="preserve">הם מתעסקים בזה. מי גדל איפה, מה המוצא שלו. השיח הזה עלה בחזרה לכותרות, ליום-יום שלנו. ואני אומרת: זו הגאווה הגדולה? זה ההישג שלכם? </w:t>
      </w:r>
    </w:p>
    <w:p w:rsidR="00BB59CD" w:rsidRDefault="00BB59CD" w:rsidP="00337201">
      <w:pPr>
        <w:rPr>
          <w:rtl/>
          <w:lang w:eastAsia="he-IL"/>
        </w:rPr>
      </w:pPr>
    </w:p>
    <w:p w:rsidR="00BB59CD" w:rsidRDefault="00BB59CD" w:rsidP="00BB59CD">
      <w:pPr>
        <w:rPr>
          <w:rtl/>
          <w:lang w:eastAsia="he-IL"/>
        </w:rPr>
      </w:pPr>
      <w:r>
        <w:rPr>
          <w:rFonts w:hint="cs"/>
          <w:rtl/>
          <w:lang w:eastAsia="he-IL"/>
        </w:rPr>
        <w:t>השאלה הגדולה היא: האם עילת הסבירות היא זו שאתם חושבים שתתקן את זה? הרי התשובה היא לא, ואני לא חושבת שאתם באמת רוצים לתקן</w:t>
      </w:r>
      <w:bookmarkStart w:id="30454" w:name="_ETM_Q52_308968"/>
      <w:bookmarkStart w:id="30455" w:name="_ETM_Q52_309121"/>
      <w:bookmarkEnd w:id="30454"/>
      <w:bookmarkEnd w:id="30455"/>
      <w:r>
        <w:rPr>
          <w:rFonts w:hint="cs"/>
          <w:rtl/>
          <w:lang w:eastAsia="he-IL"/>
        </w:rPr>
        <w:t xml:space="preserve">, אתם פשוט רודפים אחרי כוח, שליטה וכבוד. נראה שזה הדבר היחיד שלמעשה מעניין את חברי הממשלה כרגע, וכל דבר, כל דבר שהם עושים מוכיח את זה.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אני גדלתי בבית חילוני גמור. לא שמרנו שבת, לא עשינו קידוש בשישי, אבל קידשנו את המשפחה, ויותר מזה, קידשנו את הדאגה לחלשים מאיתנו. קיבלנו חינוך קפדני ביותר, שבו לא משנה כמה אתה חושב שאתה למטה, כמה אתה חושב שאתה סובל, כמה אתה חושב שרע לך, יש סביבך אנשים שיותר קשה להם, והחובה שלך – שלי </w:t>
      </w:r>
      <w:bookmarkStart w:id="30456" w:name="_ETM_Q52_356000"/>
      <w:bookmarkEnd w:id="30456"/>
      <w:r>
        <w:rPr>
          <w:rFonts w:hint="cs"/>
          <w:rtl/>
          <w:lang w:eastAsia="he-IL"/>
        </w:rPr>
        <w:t xml:space="preserve">ושל אחותי ושל כל בני הבית – הייתה להסתכל מסביב ולראות מיהו החלש הזה, לאתר אותו ולנסות לעזור לו. חינכו אותנו לכבד כל אדם באשר הוא, לא משנה היכן נולד, לא משנה צבע העור שלו, ולא משנה מה היו הדעות שלו. משפט המוטו בבית, של אבא שלי ושל אימא שלי, היה: לעולם אל תשפוט אדם לפני שצעדת בנעליו. ככה גדלנו, </w:t>
      </w:r>
      <w:bookmarkStart w:id="30457" w:name="_ETM_Q52_392000"/>
      <w:bookmarkEnd w:id="30457"/>
      <w:r>
        <w:rPr>
          <w:rFonts w:hint="cs"/>
          <w:rtl/>
          <w:lang w:eastAsia="he-IL"/>
        </w:rPr>
        <w:t xml:space="preserve">ככה התחנכנו. זו היהדות שלי, ואני לא חושבת שהיא פחות טובה משום יהדות, ואני לא חושבת שהיא פחות ראויה משום יהדות. </w:t>
      </w:r>
    </w:p>
    <w:p w:rsidR="00BB59CD" w:rsidRDefault="00BB59CD" w:rsidP="00BB59CD">
      <w:pPr>
        <w:rPr>
          <w:rtl/>
          <w:lang w:eastAsia="he-IL"/>
        </w:rPr>
      </w:pPr>
    </w:p>
    <w:p w:rsidR="00BB59CD" w:rsidRDefault="00BB59CD" w:rsidP="004E08CB">
      <w:pPr>
        <w:rPr>
          <w:rtl/>
          <w:lang w:eastAsia="he-IL"/>
        </w:rPr>
      </w:pPr>
      <w:r>
        <w:rPr>
          <w:rFonts w:hint="cs"/>
          <w:rtl/>
          <w:lang w:eastAsia="he-IL"/>
        </w:rPr>
        <w:t xml:space="preserve">אבא שלי ומשפחתו עלו ממצרים חסרי כול. למעשה, את אבא שלי הוציאו בגיל 16 מבית ספר, למרות שללמוד היה אחד הדברים שהוא הכי אהב והיה מאוד טוב בהם, אבל הוציאו אותו כדי לעזור בפרנסת המשפחה ושלחו אותו לעבוד בתיקון אופניים. אבא שלי, שהשתתף בכל מלחמות ישראל, שסלל דרכו </w:t>
      </w:r>
      <w:r w:rsidR="004E08CB">
        <w:rPr>
          <w:rFonts w:hint="cs"/>
          <w:rtl/>
          <w:lang w:eastAsia="he-IL"/>
        </w:rPr>
        <w:t>ב</w:t>
      </w:r>
      <w:r>
        <w:rPr>
          <w:rFonts w:hint="cs"/>
          <w:rtl/>
          <w:lang w:eastAsia="he-IL"/>
        </w:rPr>
        <w:t>חזרה לאקדמיה לבד וללא שום עזרה, שפתח את דלת ביתו יחד עם אימא שלי לנערה צעירה ללא עורף משפחתי ודאג לה כאילו היא שלו, שעשה הכול בעשר אצבעות, ושמעולם,</w:t>
      </w:r>
      <w:bookmarkStart w:id="30458" w:name="_ETM_Q52_449000"/>
      <w:bookmarkEnd w:id="30458"/>
      <w:r>
        <w:rPr>
          <w:rFonts w:hint="cs"/>
          <w:rtl/>
          <w:lang w:eastAsia="he-IL"/>
        </w:rPr>
        <w:t xml:space="preserve"> מעולם לא שמעתי אותו מתבכיין או מתלונן – לו אתם קוראים בוגד. הוא השמאלני הבוגד שלכם.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אני אינני טובה מאף אחד אחר, אבל אני גם לא פחות טובה ממישהו אחר. אבל המדינה לעיתים מתייחסת אליי כאל פחות טובה. מגיל 15 אני עובדת, מפרנסת את עצמי, וכשהגיע זמני להתגייס אף אחד לא שאל אותי אם אני מעוניינת או </w:t>
      </w:r>
      <w:bookmarkStart w:id="30459" w:name="_ETM_Q52_482000"/>
      <w:bookmarkEnd w:id="30459"/>
      <w:r>
        <w:rPr>
          <w:rFonts w:hint="cs"/>
          <w:rtl/>
          <w:lang w:eastAsia="he-IL"/>
        </w:rPr>
        <w:t xml:space="preserve">לא, אף אחד לא שאל אותי אם יש לי תוכניות אחרות, ואני התגייסתי מתוך תחושת שליחות, בחדווה וברצון רב. זו הייתה חובתי ומילאתי אותה. </w:t>
      </w:r>
    </w:p>
    <w:p w:rsidR="00BB59CD" w:rsidRDefault="00BB59CD" w:rsidP="00BB59CD">
      <w:pPr>
        <w:rPr>
          <w:rtl/>
          <w:lang w:eastAsia="he-IL"/>
        </w:rPr>
      </w:pPr>
    </w:p>
    <w:p w:rsidR="00BB59CD" w:rsidRDefault="00BB59CD" w:rsidP="004E08CB">
      <w:pPr>
        <w:rPr>
          <w:rtl/>
          <w:lang w:eastAsia="he-IL"/>
        </w:rPr>
      </w:pPr>
      <w:r>
        <w:rPr>
          <w:rFonts w:hint="cs"/>
          <w:rtl/>
          <w:lang w:eastAsia="he-IL"/>
        </w:rPr>
        <w:t xml:space="preserve">כשהחלטתי שאני רוצה ללמוד עבדתי בשתי עבודות כדי לממן </w:t>
      </w:r>
      <w:bookmarkStart w:id="30460" w:name="_ETM_Q52_503000"/>
      <w:bookmarkEnd w:id="30460"/>
      <w:r>
        <w:rPr>
          <w:rFonts w:hint="cs"/>
          <w:rtl/>
          <w:lang w:eastAsia="he-IL"/>
        </w:rPr>
        <w:t xml:space="preserve">את זה. זה לקח המון זמן, בגלל הקושי הכלכלי, אבל מעולם לא ויתרתי, מעולם לא התבכיינתי ומעולם לא האשמתי אף אחד אחר. רציתי, עשיתי את זה תוך כדי חיי משפחה, כלום לא עצר אותי. לא היה פשוט. לא האשמתי אף אחד בכישלונות שלי וגם לא נתתי לאף אחד </w:t>
      </w:r>
      <w:bookmarkStart w:id="30461" w:name="_ETM_Q52_529000"/>
      <w:bookmarkEnd w:id="30461"/>
      <w:r>
        <w:rPr>
          <w:rFonts w:hint="cs"/>
          <w:rtl/>
          <w:lang w:eastAsia="he-IL"/>
        </w:rPr>
        <w:t xml:space="preserve">לקחת קרדיט על ההצלחות שלי. אבל יש פה מגזר שלם שלא חייב להתגייס אם הוא לא רוצה, למעשה, אם את אישה – </w:t>
      </w:r>
      <w:bookmarkStart w:id="30462" w:name="_ETM_Q52_536000"/>
      <w:bookmarkEnd w:id="30462"/>
      <w:r>
        <w:rPr>
          <w:rFonts w:hint="cs"/>
          <w:rtl/>
          <w:lang w:eastAsia="he-IL"/>
        </w:rPr>
        <w:t xml:space="preserve">בוודאי ובוודאי שאת לא צריכה. וכשאותו בחור שלא מתגייס רוצה ללמוד, הוא יכול ללמוד כמה שנים שהוא רוצה, והמדינה גם </w:t>
      </w:r>
      <w:bookmarkStart w:id="30463" w:name="_ETM_Q52_545000"/>
      <w:bookmarkEnd w:id="30463"/>
      <w:r>
        <w:rPr>
          <w:rFonts w:hint="cs"/>
          <w:rtl/>
          <w:lang w:eastAsia="he-IL"/>
        </w:rPr>
        <w:t>תיתן לו קצבה. האם הוא טוב ממני? האם הוא טוב מהבן שלי</w:t>
      </w:r>
      <w:r w:rsidR="004E08CB">
        <w:rPr>
          <w:rFonts w:hint="cs"/>
          <w:rtl/>
          <w:lang w:eastAsia="he-IL"/>
        </w:rPr>
        <w:t>,</w:t>
      </w:r>
      <w:r>
        <w:rPr>
          <w:rFonts w:hint="cs"/>
          <w:rtl/>
          <w:lang w:eastAsia="he-IL"/>
        </w:rPr>
        <w:t xml:space="preserve"> שתכף </w:t>
      </w:r>
      <w:bookmarkStart w:id="30464" w:name="_ETM_Q52_551000"/>
      <w:bookmarkEnd w:id="30464"/>
      <w:r>
        <w:rPr>
          <w:rFonts w:hint="cs"/>
          <w:rtl/>
          <w:lang w:eastAsia="he-IL"/>
        </w:rPr>
        <w:t>מתגייס? אז מי בעצם הפריבילג? זה שחייב לשרת, שחייב לשלם על לימודיו, או זה שלא?</w:t>
      </w:r>
    </w:p>
    <w:p w:rsidR="00BB59CD" w:rsidRDefault="00BB59CD" w:rsidP="00BB59CD">
      <w:pPr>
        <w:rPr>
          <w:rtl/>
          <w:lang w:eastAsia="he-IL"/>
        </w:rPr>
      </w:pPr>
    </w:p>
    <w:p w:rsidR="00BB59CD" w:rsidRDefault="00BB59CD" w:rsidP="00BB59CD">
      <w:pPr>
        <w:rPr>
          <w:rtl/>
          <w:lang w:eastAsia="he-IL"/>
        </w:rPr>
      </w:pPr>
      <w:r>
        <w:rPr>
          <w:rFonts w:hint="cs"/>
          <w:rtl/>
          <w:lang w:eastAsia="he-IL"/>
        </w:rPr>
        <w:t>למעשה – וזה דבר כואב, אדוני היושב בראש – עמד פה בכנסת אחד הפריבילגים האלה וקרא לי כלבה, ואני אצטט ציטוט מדויק: "מעולם לא ראיתי כלבים נותנים משהו לחתולים", אבל לפחות הכלבה הזאת עשתה צבא. למעשה, בצבא משרתים אפילו כלבים, שמגינים בגופם על הלוחמים.</w:t>
      </w:r>
    </w:p>
    <w:p w:rsidR="00BB59CD" w:rsidRDefault="00BB59CD" w:rsidP="00BB59CD">
      <w:pPr>
        <w:rPr>
          <w:rtl/>
          <w:lang w:eastAsia="he-IL"/>
        </w:rPr>
      </w:pPr>
      <w:bookmarkStart w:id="30465" w:name="_ETM_Q52_594000"/>
      <w:bookmarkEnd w:id="30465"/>
    </w:p>
    <w:p w:rsidR="00BB59CD" w:rsidRDefault="00BB59CD" w:rsidP="004E08CB">
      <w:pPr>
        <w:rPr>
          <w:rtl/>
          <w:lang w:eastAsia="he-IL"/>
        </w:rPr>
      </w:pPr>
      <w:bookmarkStart w:id="30466" w:name="_ETM_Q52_595000"/>
      <w:bookmarkEnd w:id="30466"/>
      <w:r>
        <w:rPr>
          <w:rFonts w:hint="cs"/>
          <w:rtl/>
          <w:lang w:eastAsia="he-IL"/>
        </w:rPr>
        <w:t xml:space="preserve">וזה פשוט אירוני כל כך לשמוע חברי כנסת כמו צבי סוכות, איתמר בן גביר, שלא שירתו יום אחד בחייהם; לא רק שהם לא שירתו, הם גם היו יעדים של השב"כ – נאשמו באלימות, בהצתות לכאורה, בהרס רכוש, כתבי אישום, הרשעות – והם עומדים כאן, מעל כל במה, ולהם יש ביקורת על סרבנות, למרות שמעולם </w:t>
      </w:r>
      <w:bookmarkStart w:id="30467" w:name="_ETM_Q52_630000"/>
      <w:bookmarkEnd w:id="30467"/>
      <w:r>
        <w:rPr>
          <w:rFonts w:hint="cs"/>
          <w:rtl/>
          <w:lang w:eastAsia="he-IL"/>
        </w:rPr>
        <w:t>מעולם לא שמעת מישהו מחברי הכנסת של יש עתיד קורא לסרבנות או מעודד סרבנות, אבל בטח ובטח אנשים שלא שירתו בצבא יום אחד בחייהם לא יטיפו על סרבנות לנו או למוחים שנמצאים בחוץ, הפטריוטים. אותו הדבר לגבי כל המפלגות שבדנ"א שלהן לא משרתים. גם לה</w:t>
      </w:r>
      <w:r w:rsidR="004E08CB">
        <w:rPr>
          <w:rFonts w:hint="cs"/>
          <w:rtl/>
          <w:lang w:eastAsia="he-IL"/>
        </w:rPr>
        <w:t>ם</w:t>
      </w:r>
      <w:r>
        <w:rPr>
          <w:rFonts w:hint="cs"/>
          <w:rtl/>
          <w:lang w:eastAsia="he-IL"/>
        </w:rPr>
        <w:t xml:space="preserve"> יש ביקורת. אין לה</w:t>
      </w:r>
      <w:r w:rsidR="004E08CB">
        <w:rPr>
          <w:rFonts w:hint="cs"/>
          <w:rtl/>
          <w:lang w:eastAsia="he-IL"/>
        </w:rPr>
        <w:t>ם</w:t>
      </w:r>
      <w:r>
        <w:rPr>
          <w:rFonts w:hint="cs"/>
          <w:rtl/>
          <w:lang w:eastAsia="he-IL"/>
        </w:rPr>
        <w:t xml:space="preserve"> שום בעיה </w:t>
      </w:r>
      <w:bookmarkStart w:id="30468" w:name="_ETM_Q52_661000"/>
      <w:bookmarkEnd w:id="30468"/>
      <w:r>
        <w:rPr>
          <w:rFonts w:hint="cs"/>
          <w:rtl/>
          <w:lang w:eastAsia="he-IL"/>
        </w:rPr>
        <w:t xml:space="preserve">שימשיכו להגן עליהם, אבל הם פטורים, אבל הם יכולים להעביר ביקורת. למעשה הסרבנים האמיתיים יושבים פה בכנסת.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ואני רוצה להמשיך לפרק לכם את השקר. בשבועות האחרונים אנחנו </w:t>
      </w:r>
      <w:bookmarkStart w:id="30469" w:name="_ETM_Q52_677000"/>
      <w:bookmarkEnd w:id="30469"/>
      <w:r>
        <w:rPr>
          <w:rFonts w:hint="cs"/>
          <w:rtl/>
          <w:lang w:eastAsia="he-IL"/>
        </w:rPr>
        <w:t xml:space="preserve">רואים בליץ של השמצות, והפעם גם על אנשי הקיבוצים, עכשיו גם הם הפריבילגים התורנים. חיצי הרעל בחסות הממשלה מופנים אליהם. אז תרשו לי לקחת </w:t>
      </w:r>
      <w:bookmarkStart w:id="30470" w:name="_ETM_Q52_691000"/>
      <w:bookmarkEnd w:id="30470"/>
      <w:r>
        <w:rPr>
          <w:rFonts w:hint="cs"/>
          <w:rtl/>
          <w:lang w:eastAsia="he-IL"/>
        </w:rPr>
        <w:t xml:space="preserve">דוגמה אחת מקיבוץ בדרום. הקיבוץ שייך למועצה אזורית חוף אשקלון, קיבוץ יד מרדכי. הקיבוץ הזה עלה להתיישבות במקומו היום בדרום בדצמבר 1943. כמה חודשים קודם לכן פרץ מרד גטו ורשה, והם החליטו לקרוא לקיבוץ על שם אחד ממנהיגי המרד, איש השומר הצעיר, מרדכי אנילביץ' כמובן, שנפל במהלך המרד. </w:t>
      </w:r>
    </w:p>
    <w:p w:rsidR="00BB59CD" w:rsidRDefault="00BB59CD" w:rsidP="00BB59CD">
      <w:pPr>
        <w:rPr>
          <w:rtl/>
          <w:lang w:eastAsia="he-IL"/>
        </w:rPr>
      </w:pPr>
    </w:p>
    <w:p w:rsidR="00BB59CD" w:rsidRDefault="00BB59CD" w:rsidP="004E08CB">
      <w:pPr>
        <w:rPr>
          <w:rtl/>
          <w:lang w:eastAsia="he-IL"/>
        </w:rPr>
      </w:pPr>
      <w:r>
        <w:rPr>
          <w:rFonts w:hint="cs"/>
          <w:rtl/>
          <w:lang w:eastAsia="he-IL"/>
        </w:rPr>
        <w:t xml:space="preserve">סיפור עמידתו של </w:t>
      </w:r>
      <w:bookmarkStart w:id="30471" w:name="_ETM_Q52_730000"/>
      <w:bookmarkEnd w:id="30471"/>
      <w:r>
        <w:rPr>
          <w:rFonts w:hint="cs"/>
          <w:rtl/>
          <w:lang w:eastAsia="he-IL"/>
        </w:rPr>
        <w:t xml:space="preserve">הקיבוץ במשך שישה ימים בקרב יד מרדכי הידוע מהווה את אחד מסיפורי הגבורה של מלחמת העצמאות. חברי הקיבוץ עברו הכשרה בפולין, עלו לקרקע ובסמיכות לאירועי גטו ורשה החל הקיבוץ בתקופה של בנייה והתרחבות – נבנו בתי ילדים, בתים ראשונים למגורי חברים, ענפי החי והשדה גדלו, הונח יסוד למפעל שימור ירקות, על ראש הגבעה </w:t>
      </w:r>
      <w:bookmarkStart w:id="30472" w:name="_ETM_Q52_762000"/>
      <w:bookmarkEnd w:id="30472"/>
      <w:r>
        <w:rPr>
          <w:rFonts w:hint="cs"/>
          <w:rtl/>
          <w:lang w:eastAsia="he-IL"/>
        </w:rPr>
        <w:t>הונח מגדל מים.</w:t>
      </w:r>
      <w:r w:rsidR="004E08CB">
        <w:rPr>
          <w:rFonts w:hint="cs"/>
          <w:rtl/>
          <w:lang w:eastAsia="he-IL"/>
        </w:rPr>
        <w:t xml:space="preserve"> </w:t>
      </w:r>
      <w:bookmarkStart w:id="30473" w:name="TOR_Q53"/>
      <w:bookmarkEnd w:id="30473"/>
      <w:r>
        <w:rPr>
          <w:rFonts w:hint="cs"/>
          <w:rtl/>
          <w:lang w:eastAsia="he-IL"/>
        </w:rPr>
        <w:t xml:space="preserve">האזור שמסביב לקיבוץ, לרבות העיר מג'דל – לימים תוקם בה אשקלון </w:t>
      </w:r>
      <w:bookmarkStart w:id="30474" w:name="_ETM_Q53_168727"/>
      <w:bookmarkEnd w:id="30474"/>
      <w:r>
        <w:rPr>
          <w:rFonts w:hint="cs"/>
          <w:rtl/>
          <w:lang w:eastAsia="he-IL"/>
        </w:rPr>
        <w:t xml:space="preserve">– היה בשליטה ערבית. המצב הביטחוני היה קשה וחמור, הנסיעה לתל </w:t>
      </w:r>
      <w:bookmarkStart w:id="30475" w:name="_ETM_Q53_175290"/>
      <w:bookmarkEnd w:id="30475"/>
      <w:r>
        <w:rPr>
          <w:rFonts w:hint="cs"/>
          <w:rtl/>
          <w:lang w:eastAsia="he-IL"/>
        </w:rPr>
        <w:t xml:space="preserve">אביב נעשתה קשה יותר ויותר. יריות, מחסומים של פורעים ערבים </w:t>
      </w:r>
      <w:bookmarkStart w:id="30476" w:name="_ETM_Q53_180312"/>
      <w:bookmarkEnd w:id="30476"/>
      <w:r>
        <w:rPr>
          <w:rFonts w:hint="cs"/>
          <w:rtl/>
          <w:lang w:eastAsia="he-IL"/>
        </w:rPr>
        <w:t xml:space="preserve">הפכו לעניין של שגרה. הקיבוץ נכנס למצב של מצור וניתוק </w:t>
      </w:r>
      <w:bookmarkStart w:id="30477" w:name="_ETM_Q53_185414"/>
      <w:bookmarkEnd w:id="30477"/>
      <w:r>
        <w:rPr>
          <w:rFonts w:hint="cs"/>
          <w:rtl/>
          <w:lang w:eastAsia="he-IL"/>
        </w:rPr>
        <w:t xml:space="preserve">ממרכז הארץ. מעתה התנהל הקשר עם המרכז באמצעות שיירות שאורגנו </w:t>
      </w:r>
      <w:bookmarkStart w:id="30478" w:name="_ETM_Q53_192241"/>
      <w:bookmarkEnd w:id="30478"/>
      <w:r>
        <w:rPr>
          <w:rFonts w:hint="cs"/>
          <w:rtl/>
          <w:lang w:eastAsia="he-IL"/>
        </w:rPr>
        <w:t xml:space="preserve">על ידי חטיבת הנגב והפלמ"ח. מדי יום היו הפורעים במכוניות </w:t>
      </w:r>
      <w:bookmarkStart w:id="30479" w:name="_ETM_Q53_197730"/>
      <w:bookmarkEnd w:id="30479"/>
      <w:r>
        <w:rPr>
          <w:rFonts w:hint="cs"/>
          <w:rtl/>
          <w:lang w:eastAsia="he-IL"/>
        </w:rPr>
        <w:t xml:space="preserve">העוברות בכביש הראשי </w:t>
      </w:r>
      <w:r w:rsidR="004E08CB">
        <w:rPr>
          <w:rFonts w:hint="cs"/>
          <w:rtl/>
          <w:lang w:eastAsia="he-IL"/>
        </w:rPr>
        <w:t xml:space="preserve">היו </w:t>
      </w:r>
      <w:r>
        <w:rPr>
          <w:rFonts w:hint="cs"/>
          <w:rtl/>
          <w:lang w:eastAsia="he-IL"/>
        </w:rPr>
        <w:t xml:space="preserve">יורים לעבר הקיבוץ. מסגריית הקיבוץ מיגנה את </w:t>
      </w:r>
      <w:bookmarkStart w:id="30480" w:name="_ETM_Q53_205689"/>
      <w:bookmarkEnd w:id="30480"/>
      <w:r>
        <w:rPr>
          <w:rFonts w:hint="cs"/>
          <w:rtl/>
          <w:lang w:eastAsia="he-IL"/>
        </w:rPr>
        <w:t xml:space="preserve">הקבינות של נהגי המשאיות בלוחות שריון, ובמשך כשישה חודשים חיו הנהגים תחת סכנה מתמדת ממוקשים וממארבים בכבישים </w:t>
      </w:r>
      <w:bookmarkStart w:id="30481" w:name="_ETM_Q53_217448"/>
      <w:bookmarkEnd w:id="30481"/>
      <w:r>
        <w:rPr>
          <w:rFonts w:hint="cs"/>
          <w:rtl/>
          <w:lang w:eastAsia="he-IL"/>
        </w:rPr>
        <w:t xml:space="preserve">ובדרכים, אבל הם היו חייבים להביא אספקה לקיבוץ. בתחילת מלחמת </w:t>
      </w:r>
      <w:bookmarkStart w:id="30482" w:name="_ETM_Q53_223082"/>
      <w:bookmarkEnd w:id="30482"/>
      <w:r>
        <w:rPr>
          <w:rFonts w:hint="cs"/>
          <w:rtl/>
          <w:lang w:eastAsia="he-IL"/>
        </w:rPr>
        <w:t xml:space="preserve">העצמאות נערך בגבול הקיבוץ קרב בלימה בניסיון לעצור את הצבא </w:t>
      </w:r>
      <w:bookmarkStart w:id="30483" w:name="_ETM_Q53_229631"/>
      <w:bookmarkEnd w:id="30483"/>
      <w:r>
        <w:rPr>
          <w:rFonts w:hint="cs"/>
          <w:rtl/>
          <w:lang w:eastAsia="he-IL"/>
        </w:rPr>
        <w:t>המצרי הסדיר שנע צפונה לעבר תל אביב. במשך שישה ימים</w:t>
      </w:r>
      <w:bookmarkStart w:id="30484" w:name="_ETM_Q53_232833"/>
      <w:bookmarkEnd w:id="30484"/>
      <w:r>
        <w:rPr>
          <w:rFonts w:hint="cs"/>
          <w:rtl/>
          <w:lang w:eastAsia="he-IL"/>
        </w:rPr>
        <w:t xml:space="preserve">, מ-18 במאי ועד 23 במאי, נערכו ניסיונות של חטיבה </w:t>
      </w:r>
      <w:bookmarkStart w:id="30485" w:name="_ETM_Q53_238705"/>
      <w:bookmarkEnd w:id="30485"/>
      <w:r>
        <w:rPr>
          <w:rFonts w:hint="cs"/>
          <w:rtl/>
          <w:lang w:eastAsia="he-IL"/>
        </w:rPr>
        <w:t>מצרית סדירה לכבוש את קיבוץ יד מרדכי</w:t>
      </w:r>
      <w:r w:rsidR="004E08CB">
        <w:rPr>
          <w:rFonts w:hint="cs"/>
          <w:rtl/>
          <w:lang w:eastAsia="he-IL"/>
        </w:rPr>
        <w:t>.</w:t>
      </w:r>
      <w:r>
        <w:rPr>
          <w:rFonts w:hint="cs"/>
          <w:rtl/>
          <w:lang w:eastAsia="he-IL"/>
        </w:rPr>
        <w:t xml:space="preserve"> </w:t>
      </w:r>
      <w:bookmarkStart w:id="30486" w:name="_ETM_Q53_299256"/>
      <w:bookmarkStart w:id="30487" w:name="_ETM_Q53_299337"/>
      <w:bookmarkStart w:id="30488" w:name="_ETM_Q53_299414"/>
      <w:bookmarkStart w:id="30489" w:name="_ETM_Q53_299465"/>
      <w:bookmarkEnd w:id="30486"/>
      <w:bookmarkEnd w:id="30487"/>
      <w:bookmarkEnd w:id="30488"/>
      <w:bookmarkEnd w:id="30489"/>
      <w:r>
        <w:rPr>
          <w:rFonts w:hint="cs"/>
          <w:rtl/>
          <w:lang w:eastAsia="he-IL"/>
        </w:rPr>
        <w:t xml:space="preserve">עכשיו, חשוב לומר </w:t>
      </w:r>
      <w:bookmarkStart w:id="30490" w:name="_ETM_Q53_248500"/>
      <w:bookmarkEnd w:id="30490"/>
      <w:r>
        <w:rPr>
          <w:rFonts w:hint="cs"/>
          <w:rtl/>
          <w:lang w:eastAsia="he-IL"/>
        </w:rPr>
        <w:t xml:space="preserve">שהיו שם בסך הכול 150 לוחמים עם 75 כלי נשק </w:t>
      </w:r>
      <w:bookmarkStart w:id="30491" w:name="_ETM_Q53_255314"/>
      <w:bookmarkEnd w:id="30491"/>
      <w:r>
        <w:rPr>
          <w:rFonts w:hint="cs"/>
          <w:rtl/>
          <w:lang w:eastAsia="he-IL"/>
        </w:rPr>
        <w:t>קלים</w:t>
      </w:r>
      <w:r w:rsidR="004E08CB">
        <w:rPr>
          <w:rFonts w:hint="cs"/>
          <w:rtl/>
          <w:lang w:eastAsia="he-IL"/>
        </w:rPr>
        <w:t>,</w:t>
      </w:r>
      <w:r>
        <w:rPr>
          <w:rFonts w:hint="cs"/>
          <w:rtl/>
          <w:lang w:eastAsia="he-IL"/>
        </w:rPr>
        <w:t xml:space="preserve"> וכאשר התברר סופית שהתגבורת שנשלחה לא מצליחה לחדור </w:t>
      </w:r>
      <w:bookmarkStart w:id="30492" w:name="_ETM_Q53_260984"/>
      <w:bookmarkEnd w:id="30492"/>
      <w:r>
        <w:rPr>
          <w:rFonts w:hint="cs"/>
          <w:rtl/>
          <w:lang w:eastAsia="he-IL"/>
        </w:rPr>
        <w:t xml:space="preserve">את הכיתור המצרי, ולאחר שהלוחמים נותרו ללא תחמושת ונשק ראוי </w:t>
      </w:r>
      <w:bookmarkStart w:id="30493" w:name="_ETM_Q53_265159"/>
      <w:bookmarkEnd w:id="30493"/>
      <w:r>
        <w:rPr>
          <w:rFonts w:hint="cs"/>
          <w:rtl/>
          <w:lang w:eastAsia="he-IL"/>
        </w:rPr>
        <w:t>וספגו אבדות כבדות – הוחלט על נטישת הקיבוץ.</w:t>
      </w:r>
    </w:p>
    <w:p w:rsidR="00BB59CD" w:rsidRDefault="00BB59CD" w:rsidP="00BB59CD">
      <w:pPr>
        <w:rPr>
          <w:rtl/>
          <w:lang w:eastAsia="he-IL"/>
        </w:rPr>
      </w:pPr>
      <w:bookmarkStart w:id="30494" w:name="_ETM_Q53_270478"/>
      <w:bookmarkStart w:id="30495" w:name="_ETM_Q53_270588"/>
      <w:bookmarkEnd w:id="30494"/>
      <w:bookmarkEnd w:id="30495"/>
    </w:p>
    <w:p w:rsidR="00BB59CD" w:rsidRDefault="00BB59CD" w:rsidP="004E08CB">
      <w:pPr>
        <w:rPr>
          <w:rtl/>
          <w:lang w:eastAsia="he-IL"/>
        </w:rPr>
      </w:pPr>
      <w:bookmarkStart w:id="30496" w:name="_ETM_Q53_270831"/>
      <w:bookmarkStart w:id="30497" w:name="_ETM_Q53_270908"/>
      <w:bookmarkEnd w:id="30496"/>
      <w:bookmarkEnd w:id="30497"/>
      <w:r>
        <w:rPr>
          <w:rFonts w:hint="cs"/>
          <w:rtl/>
          <w:lang w:eastAsia="he-IL"/>
        </w:rPr>
        <w:t xml:space="preserve">סיפור עמידת קיבוץ </w:t>
      </w:r>
      <w:bookmarkStart w:id="30498" w:name="_ETM_Q53_271684"/>
      <w:bookmarkEnd w:id="30498"/>
      <w:r>
        <w:rPr>
          <w:rFonts w:hint="cs"/>
          <w:rtl/>
          <w:lang w:eastAsia="he-IL"/>
        </w:rPr>
        <w:t xml:space="preserve">קומץ הלוחמים החמושים בנשק דל, מנותקים, ללא סיוע חיצוני, כנגד חטיבה מצרית סדירה, הפך לאחד הסמלים הבולטים של עמידה עיקשת. </w:t>
      </w:r>
      <w:bookmarkStart w:id="30499" w:name="_ETM_Q53_283743"/>
      <w:bookmarkEnd w:id="30499"/>
      <w:r>
        <w:rPr>
          <w:rFonts w:hint="cs"/>
          <w:rtl/>
          <w:lang w:eastAsia="he-IL"/>
        </w:rPr>
        <w:t xml:space="preserve">ב-6 בנובמבר 1948, לאחר כיבושו מחדש, חוזרים התושבים לקיבוץ ומתחילים </w:t>
      </w:r>
      <w:bookmarkStart w:id="30500" w:name="_ETM_Q53_291687"/>
      <w:bookmarkEnd w:id="30500"/>
      <w:r>
        <w:rPr>
          <w:rFonts w:hint="cs"/>
          <w:rtl/>
          <w:lang w:eastAsia="he-IL"/>
        </w:rPr>
        <w:t xml:space="preserve">בשיקומו. מה שנקרא, חבורה של פריבילגים אמיתיים, חברי קיבוץ </w:t>
      </w:r>
      <w:bookmarkStart w:id="30501" w:name="_ETM_Q53_298601"/>
      <w:bookmarkEnd w:id="30501"/>
      <w:r>
        <w:rPr>
          <w:rFonts w:hint="cs"/>
          <w:rtl/>
          <w:lang w:eastAsia="he-IL"/>
        </w:rPr>
        <w:t>יד מרדכי.</w:t>
      </w:r>
      <w:bookmarkStart w:id="30502" w:name="_ETM_Q53_298966"/>
      <w:bookmarkStart w:id="30503" w:name="_ETM_Q53_299070"/>
      <w:bookmarkStart w:id="30504" w:name="_ETM_Q53_299350"/>
      <w:bookmarkStart w:id="30505" w:name="_ETM_Q53_299441"/>
      <w:bookmarkEnd w:id="30502"/>
      <w:bookmarkEnd w:id="30503"/>
      <w:bookmarkEnd w:id="30504"/>
      <w:bookmarkEnd w:id="30505"/>
      <w:r w:rsidR="004E08CB">
        <w:rPr>
          <w:rFonts w:hint="cs"/>
          <w:rtl/>
          <w:lang w:eastAsia="he-IL"/>
        </w:rPr>
        <w:t xml:space="preserve"> </w:t>
      </w:r>
      <w:r>
        <w:rPr>
          <w:rFonts w:hint="cs"/>
          <w:rtl/>
          <w:lang w:eastAsia="he-IL"/>
        </w:rPr>
        <w:t xml:space="preserve">ראיתי אתמול, בדרכי לנאום באשדוד במחאה, </w:t>
      </w:r>
      <w:r w:rsidR="004E08CB">
        <w:rPr>
          <w:rFonts w:hint="cs"/>
          <w:rtl/>
          <w:lang w:eastAsia="he-IL"/>
        </w:rPr>
        <w:t>ש</w:t>
      </w:r>
      <w:r>
        <w:rPr>
          <w:rFonts w:hint="cs"/>
          <w:rtl/>
          <w:lang w:eastAsia="he-IL"/>
        </w:rPr>
        <w:t xml:space="preserve">בדיוק בצומת </w:t>
      </w:r>
      <w:bookmarkStart w:id="30506" w:name="_ETM_Q53_306671"/>
      <w:bookmarkEnd w:id="30506"/>
      <w:r>
        <w:rPr>
          <w:rFonts w:hint="cs"/>
          <w:rtl/>
          <w:lang w:eastAsia="he-IL"/>
        </w:rPr>
        <w:t xml:space="preserve">יד מרדכי שם, עומדים עם דגלים מאות אנשים עם משפחות. </w:t>
      </w:r>
      <w:bookmarkStart w:id="30507" w:name="_ETM_Q53_315039"/>
      <w:bookmarkEnd w:id="30507"/>
      <w:r>
        <w:rPr>
          <w:rFonts w:hint="cs"/>
          <w:rtl/>
          <w:lang w:eastAsia="he-IL"/>
        </w:rPr>
        <w:t xml:space="preserve">ולהם, להם אתם קוראים "בוגדים", "שמאלנים", "פריבילגים". אבדה הבושה לחלוטין. קיבוץ </w:t>
      </w:r>
      <w:bookmarkStart w:id="30508" w:name="_ETM_Q53_325726"/>
      <w:bookmarkEnd w:id="30508"/>
      <w:r>
        <w:rPr>
          <w:rFonts w:hint="cs"/>
          <w:rtl/>
          <w:lang w:eastAsia="he-IL"/>
        </w:rPr>
        <w:t xml:space="preserve">יד מרדכי הוא רק דוגמה אחת </w:t>
      </w:r>
      <w:r w:rsidR="004E08CB">
        <w:rPr>
          <w:rFonts w:hint="cs"/>
          <w:rtl/>
          <w:lang w:eastAsia="he-IL"/>
        </w:rPr>
        <w:t>ל</w:t>
      </w:r>
      <w:r>
        <w:rPr>
          <w:rFonts w:hint="cs"/>
          <w:rtl/>
          <w:lang w:eastAsia="he-IL"/>
        </w:rPr>
        <w:t xml:space="preserve">עשרות קיבוצים שעלו לארץ </w:t>
      </w:r>
      <w:bookmarkStart w:id="30509" w:name="_ETM_Q53_331120"/>
      <w:bookmarkEnd w:id="30509"/>
      <w:r>
        <w:rPr>
          <w:rFonts w:hint="cs"/>
          <w:rtl/>
          <w:lang w:eastAsia="he-IL"/>
        </w:rPr>
        <w:t xml:space="preserve">ובנו אותה מחול וביצות וכלום. אבל הם הבוגדים היום. </w:t>
      </w:r>
    </w:p>
    <w:p w:rsidR="00BB59CD" w:rsidRDefault="00BB59CD" w:rsidP="00BB59CD">
      <w:pPr>
        <w:rPr>
          <w:rtl/>
          <w:lang w:eastAsia="he-IL"/>
        </w:rPr>
      </w:pPr>
    </w:p>
    <w:p w:rsidR="00BB59CD" w:rsidRDefault="00BB59CD" w:rsidP="004E08CB">
      <w:pPr>
        <w:rPr>
          <w:rtl/>
          <w:lang w:eastAsia="he-IL"/>
        </w:rPr>
      </w:pPr>
      <w:r>
        <w:rPr>
          <w:rFonts w:hint="cs"/>
          <w:rtl/>
          <w:lang w:eastAsia="he-IL"/>
        </w:rPr>
        <w:t xml:space="preserve">עכשיו, </w:t>
      </w:r>
      <w:bookmarkStart w:id="30510" w:name="_ETM_Q53_340885"/>
      <w:bookmarkEnd w:id="30510"/>
      <w:r>
        <w:rPr>
          <w:rFonts w:hint="cs"/>
          <w:rtl/>
          <w:lang w:eastAsia="he-IL"/>
        </w:rPr>
        <w:t xml:space="preserve">עוד קבוצה פריבילגית שחשוב שנזכיר – אנחנו מדברים על פריבילגים וקבוצות </w:t>
      </w:r>
      <w:bookmarkStart w:id="30511" w:name="_ETM_Q53_344577"/>
      <w:bookmarkEnd w:id="30511"/>
      <w:r>
        <w:rPr>
          <w:rFonts w:hint="cs"/>
          <w:rtl/>
          <w:lang w:eastAsia="he-IL"/>
        </w:rPr>
        <w:t xml:space="preserve">פריבילגיות – אז כמובן זה הנשים. הרי הנשים במדינת ישראל, </w:t>
      </w:r>
      <w:bookmarkStart w:id="30512" w:name="_ETM_Q53_350045"/>
      <w:bookmarkEnd w:id="30512"/>
      <w:r>
        <w:rPr>
          <w:rFonts w:hint="cs"/>
          <w:rtl/>
          <w:lang w:eastAsia="he-IL"/>
        </w:rPr>
        <w:t xml:space="preserve">שהיו צריכות בתחילת דרכה של המדינה להילחם על זכותן להצביע </w:t>
      </w:r>
      <w:bookmarkStart w:id="30513" w:name="_ETM_Q53_355964"/>
      <w:bookmarkEnd w:id="30513"/>
      <w:r>
        <w:rPr>
          <w:rFonts w:hint="cs"/>
          <w:rtl/>
          <w:lang w:eastAsia="he-IL"/>
        </w:rPr>
        <w:t xml:space="preserve">בכלל, הן ידועות כפריבילגיות גדולות. למרות שהן מרוויחות שכר נמוך </w:t>
      </w:r>
      <w:bookmarkStart w:id="30514" w:name="_ETM_Q53_363141"/>
      <w:bookmarkEnd w:id="30514"/>
      <w:r>
        <w:rPr>
          <w:rFonts w:hint="cs"/>
          <w:rtl/>
          <w:lang w:eastAsia="he-IL"/>
        </w:rPr>
        <w:t xml:space="preserve">יותר – אז מה? למרות שהן לא נמצאות במוקדי </w:t>
      </w:r>
      <w:bookmarkStart w:id="30515" w:name="_ETM_Q53_367938"/>
      <w:bookmarkEnd w:id="30515"/>
      <w:r>
        <w:rPr>
          <w:rFonts w:hint="cs"/>
          <w:rtl/>
          <w:lang w:eastAsia="he-IL"/>
        </w:rPr>
        <w:t>קבלת ההחלטות, למרות שאין להן ייצוג אפילו קרוב לראוי במוסדות</w:t>
      </w:r>
      <w:bookmarkStart w:id="30516" w:name="_ETM_Q53_372946"/>
      <w:bookmarkEnd w:id="30516"/>
      <w:r>
        <w:rPr>
          <w:rFonts w:hint="cs"/>
          <w:rtl/>
          <w:lang w:eastAsia="he-IL"/>
        </w:rPr>
        <w:t xml:space="preserve">, בכנסת, בחברות הממשלתיות, במוניציפלי. הן כמובן הפריבילגיות, וכראוי, עלינו להחזיר אותן למקומן הטבעי במטבח, ורצוי </w:t>
      </w:r>
      <w:bookmarkStart w:id="30517" w:name="_ETM_Q53_388694"/>
      <w:bookmarkEnd w:id="30517"/>
      <w:r>
        <w:rPr>
          <w:rFonts w:hint="cs"/>
          <w:rtl/>
          <w:lang w:eastAsia="he-IL"/>
        </w:rPr>
        <w:t xml:space="preserve">בהיריון. כי זה הייעוד של הנשים על פי חלק נכבד </w:t>
      </w:r>
      <w:bookmarkStart w:id="30518" w:name="_ETM_Q53_391895"/>
      <w:bookmarkEnd w:id="30518"/>
      <w:r>
        <w:rPr>
          <w:rFonts w:hint="cs"/>
          <w:rtl/>
          <w:lang w:eastAsia="he-IL"/>
        </w:rPr>
        <w:t>מממשלת ישראל. ולראיה, בואו נפרק את הרשות לקידום מעמד האיש</w:t>
      </w:r>
      <w:r w:rsidR="004E08CB">
        <w:rPr>
          <w:rFonts w:hint="cs"/>
          <w:rtl/>
          <w:lang w:eastAsia="he-IL"/>
        </w:rPr>
        <w:t>ה,</w:t>
      </w:r>
      <w:r>
        <w:rPr>
          <w:rFonts w:hint="cs"/>
          <w:rtl/>
          <w:lang w:eastAsia="he-IL"/>
        </w:rPr>
        <w:t xml:space="preserve"> נהפוך אותה לפוליטית ופחות מקצועית. זה מה שיעזור לנשים, כמובן. </w:t>
      </w:r>
      <w:bookmarkStart w:id="30519" w:name="_ETM_Q53_404822"/>
      <w:bookmarkStart w:id="30520" w:name="_ETM_Q53_406152"/>
      <w:bookmarkStart w:id="30521" w:name="_ETM_Q53_406244"/>
      <w:bookmarkEnd w:id="30519"/>
      <w:bookmarkEnd w:id="30520"/>
      <w:bookmarkEnd w:id="30521"/>
      <w:r>
        <w:rPr>
          <w:rFonts w:hint="cs"/>
          <w:rtl/>
          <w:lang w:eastAsia="he-IL"/>
        </w:rPr>
        <w:t>נרחיב את סמכותם של בתי הדין הרבניים, הידועים ברצון שלהם</w:t>
      </w:r>
      <w:bookmarkStart w:id="30522" w:name="_ETM_Q53_409561"/>
      <w:bookmarkEnd w:id="30522"/>
      <w:r>
        <w:rPr>
          <w:rFonts w:hint="cs"/>
          <w:rtl/>
          <w:lang w:eastAsia="he-IL"/>
        </w:rPr>
        <w:t xml:space="preserve"> לפעול לקידום נשים. בואו נשנה את כל המכרזים רק </w:t>
      </w:r>
      <w:bookmarkStart w:id="30523" w:name="_ETM_Q53_415323"/>
      <w:bookmarkEnd w:id="30523"/>
      <w:r>
        <w:rPr>
          <w:rFonts w:hint="cs"/>
          <w:rtl/>
          <w:lang w:eastAsia="he-IL"/>
        </w:rPr>
        <w:t xml:space="preserve">ללשון זכר, למרות שנשים הן 51% מהאוכלוסייה. בואו נעודד </w:t>
      </w:r>
      <w:bookmarkStart w:id="30524" w:name="_ETM_Q53_424392"/>
      <w:bookmarkEnd w:id="30524"/>
      <w:r>
        <w:rPr>
          <w:rFonts w:hint="cs"/>
          <w:rtl/>
          <w:lang w:eastAsia="he-IL"/>
        </w:rPr>
        <w:t xml:space="preserve">הפרדה של נשים וגברים במרחבים הציבוריים ונסרב להקשיב או </w:t>
      </w:r>
      <w:bookmarkStart w:id="30525" w:name="_ETM_Q53_431559"/>
      <w:bookmarkEnd w:id="30525"/>
      <w:r>
        <w:rPr>
          <w:rFonts w:hint="cs"/>
          <w:rtl/>
          <w:lang w:eastAsia="he-IL"/>
        </w:rPr>
        <w:t xml:space="preserve">להכניס את ארגוני הנשים לדיונים שבהם דנים בזה פה בכנסת. הגיוני. </w:t>
      </w:r>
      <w:bookmarkStart w:id="30526" w:name="_ETM_Q53_439164"/>
      <w:bookmarkEnd w:id="30526"/>
    </w:p>
    <w:p w:rsidR="00BB59CD" w:rsidRDefault="00BB59CD" w:rsidP="00BB59CD">
      <w:pPr>
        <w:rPr>
          <w:rtl/>
          <w:lang w:eastAsia="he-IL"/>
        </w:rPr>
      </w:pPr>
      <w:bookmarkStart w:id="30527" w:name="_ETM_Q53_440700"/>
      <w:bookmarkStart w:id="30528" w:name="_ETM_Q53_440826"/>
      <w:bookmarkEnd w:id="30527"/>
      <w:bookmarkEnd w:id="30528"/>
    </w:p>
    <w:p w:rsidR="00BB59CD" w:rsidRDefault="00BB59CD" w:rsidP="00BB59CD">
      <w:pPr>
        <w:rPr>
          <w:rtl/>
          <w:lang w:eastAsia="he-IL"/>
        </w:rPr>
      </w:pPr>
      <w:r>
        <w:rPr>
          <w:rFonts w:hint="cs"/>
          <w:rtl/>
          <w:lang w:eastAsia="he-IL"/>
        </w:rPr>
        <w:t xml:space="preserve">עכשיו, אפרופו נשים. יש משהו שבאמת שורף לי בנשמה </w:t>
      </w:r>
      <w:bookmarkStart w:id="30529" w:name="_ETM_Q53_446787"/>
      <w:bookmarkEnd w:id="30529"/>
      <w:r>
        <w:rPr>
          <w:rFonts w:hint="cs"/>
          <w:rtl/>
          <w:lang w:eastAsia="he-IL"/>
        </w:rPr>
        <w:t xml:space="preserve">כבר כמה וכמה ימים. אני באמת לא יכולה להבין איך </w:t>
      </w:r>
      <w:bookmarkStart w:id="30530" w:name="_ETM_Q53_456068"/>
      <w:bookmarkEnd w:id="30530"/>
      <w:r>
        <w:rPr>
          <w:rFonts w:hint="cs"/>
          <w:rtl/>
          <w:lang w:eastAsia="he-IL"/>
        </w:rPr>
        <w:t xml:space="preserve">יכול להיות ששר בישראל פשוט החליט להתעלל באישה שעובדת תחתיו, </w:t>
      </w:r>
      <w:bookmarkStart w:id="30531" w:name="_ETM_Q53_462613"/>
      <w:bookmarkEnd w:id="30531"/>
      <w:r>
        <w:rPr>
          <w:rFonts w:hint="cs"/>
          <w:rtl/>
          <w:lang w:eastAsia="he-IL"/>
        </w:rPr>
        <w:t xml:space="preserve">ואני מדברת על מנהלת רשות החברות הממשלתיות. הוא מתנהג אליה באלימות, בחרמות, במיזוגיניות, בהשמצות, והפך אותה לשק החבטות האישי </w:t>
      </w:r>
      <w:bookmarkStart w:id="30532" w:name="_ETM_Q53_482301"/>
      <w:bookmarkEnd w:id="30532"/>
      <w:r>
        <w:rPr>
          <w:rFonts w:hint="cs"/>
          <w:rtl/>
          <w:lang w:eastAsia="he-IL"/>
        </w:rPr>
        <w:t xml:space="preserve">שלו. והשיא, השיא היה שהוא קרא לה "מופקרת". פשוט אין </w:t>
      </w:r>
      <w:bookmarkStart w:id="30533" w:name="_ETM_Q53_490712"/>
      <w:bookmarkEnd w:id="30533"/>
      <w:r>
        <w:rPr>
          <w:rFonts w:hint="cs"/>
          <w:rtl/>
          <w:lang w:eastAsia="he-IL"/>
        </w:rPr>
        <w:t xml:space="preserve">לי מילים, אין לי מילים. אני לפעמים לא מבינה איך </w:t>
      </w:r>
      <w:bookmarkStart w:id="30534" w:name="_ETM_Q53_493676"/>
      <w:bookmarkEnd w:id="30534"/>
      <w:r>
        <w:rPr>
          <w:rFonts w:hint="cs"/>
          <w:rtl/>
          <w:lang w:eastAsia="he-IL"/>
        </w:rPr>
        <w:t xml:space="preserve">יכול להיות שהידרדרנו ככה. איך אנחנו נותנים לזה לקרות. </w:t>
      </w:r>
      <w:bookmarkStart w:id="30535" w:name="_ETM_Q53_499297"/>
      <w:bookmarkEnd w:id="30535"/>
      <w:r>
        <w:rPr>
          <w:rFonts w:hint="cs"/>
          <w:rtl/>
          <w:lang w:eastAsia="he-IL"/>
        </w:rPr>
        <w:t>איך חבריו שיושבים לידו פה בכיסאות לא אומרים משהו. ל</w:t>
      </w:r>
      <w:bookmarkStart w:id="30536" w:name="_ETM_Q53_504216"/>
      <w:bookmarkEnd w:id="30536"/>
      <w:r>
        <w:rPr>
          <w:rFonts w:hint="cs"/>
          <w:rtl/>
          <w:lang w:eastAsia="he-IL"/>
        </w:rPr>
        <w:t xml:space="preserve">ו ולכולם. </w:t>
      </w:r>
    </w:p>
    <w:p w:rsidR="00BB59CD" w:rsidRDefault="00BB59CD" w:rsidP="00BB59CD">
      <w:pPr>
        <w:rPr>
          <w:rtl/>
          <w:lang w:eastAsia="he-IL"/>
        </w:rPr>
      </w:pPr>
      <w:bookmarkStart w:id="30537" w:name="_ETM_Q53_507778"/>
      <w:bookmarkStart w:id="30538" w:name="_ETM_Q53_507892"/>
      <w:bookmarkStart w:id="30539" w:name="_ETM_Q53_507986"/>
      <w:bookmarkStart w:id="30540" w:name="_ETM_Q53_508082"/>
      <w:bookmarkEnd w:id="30537"/>
      <w:bookmarkEnd w:id="30538"/>
      <w:bookmarkEnd w:id="30539"/>
      <w:bookmarkEnd w:id="30540"/>
    </w:p>
    <w:p w:rsidR="00BB59CD" w:rsidRDefault="00BB59CD" w:rsidP="00BB59CD">
      <w:pPr>
        <w:pStyle w:val="af8"/>
        <w:keepNext/>
        <w:rPr>
          <w:rtl/>
        </w:rPr>
      </w:pPr>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גם אתם אופוזיציה מופקרת.</w:t>
      </w:r>
    </w:p>
    <w:p w:rsidR="00BB59CD" w:rsidRDefault="00BB59CD" w:rsidP="00BB59CD">
      <w:pPr>
        <w:rPr>
          <w:rtl/>
          <w:lang w:eastAsia="he-IL"/>
        </w:rPr>
      </w:pPr>
      <w:bookmarkStart w:id="30541" w:name="_ETM_Q53_440989"/>
      <w:bookmarkStart w:id="30542" w:name="_ETM_Q53_441085"/>
      <w:bookmarkEnd w:id="30541"/>
      <w:bookmarkEnd w:id="30542"/>
    </w:p>
    <w:p w:rsidR="00BB59CD" w:rsidRDefault="00BB59CD" w:rsidP="00BB59CD">
      <w:pPr>
        <w:pStyle w:val="-"/>
        <w:keepNext/>
        <w:rPr>
          <w:rtl/>
        </w:rPr>
      </w:pPr>
      <w:bookmarkStart w:id="30543" w:name="ET_speakercontinue_6231_3"/>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30543"/>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ברגע שאנחנו מאפשרים את זה – קרעי, לא </w:t>
      </w:r>
      <w:bookmarkStart w:id="30544" w:name="_ETM_Q53_514549"/>
      <w:bookmarkEnd w:id="30544"/>
      <w:r>
        <w:rPr>
          <w:rFonts w:hint="cs"/>
          <w:rtl/>
          <w:lang w:eastAsia="he-IL"/>
        </w:rPr>
        <w:t>חשבתי שחס וחלילה תאמר איזה משהו טוב.</w:t>
      </w:r>
    </w:p>
    <w:p w:rsidR="00BB59CD" w:rsidRDefault="00BB59CD" w:rsidP="00BB59CD">
      <w:pPr>
        <w:rPr>
          <w:rtl/>
          <w:lang w:eastAsia="he-IL"/>
        </w:rPr>
      </w:pPr>
      <w:bookmarkStart w:id="30545" w:name="_ETM_Q53_518469"/>
      <w:bookmarkStart w:id="30546" w:name="_ETM_Q53_518562"/>
      <w:bookmarkEnd w:id="30545"/>
      <w:bookmarkEnd w:id="30546"/>
    </w:p>
    <w:p w:rsidR="00BB59CD" w:rsidRDefault="00BB59CD" w:rsidP="00BB59CD">
      <w:pPr>
        <w:pStyle w:val="af8"/>
        <w:keepNext/>
        <w:rPr>
          <w:rtl/>
        </w:rPr>
      </w:pPr>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בטח.</w:t>
      </w:r>
    </w:p>
    <w:p w:rsidR="00BB59CD" w:rsidRDefault="00BB59CD" w:rsidP="00BB59CD">
      <w:pPr>
        <w:rPr>
          <w:rtl/>
        </w:rPr>
      </w:pPr>
    </w:p>
    <w:p w:rsidR="00BB59CD" w:rsidRDefault="00BB59CD" w:rsidP="00BB59CD">
      <w:pPr>
        <w:pStyle w:val="-"/>
        <w:keepNext/>
        <w:rPr>
          <w:rtl/>
        </w:rPr>
      </w:pPr>
      <w:bookmarkStart w:id="30547" w:name="ET_speakercontinue_6231_4"/>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30547"/>
    </w:p>
    <w:p w:rsidR="00BB59CD" w:rsidRDefault="00BB59CD" w:rsidP="00337201">
      <w:pPr>
        <w:rPr>
          <w:rtl/>
        </w:rPr>
      </w:pPr>
    </w:p>
    <w:p w:rsidR="00BB59CD" w:rsidRDefault="00BB59CD" w:rsidP="00BB59CD">
      <w:pPr>
        <w:rPr>
          <w:rtl/>
        </w:rPr>
      </w:pPr>
      <w:r>
        <w:rPr>
          <w:rFonts w:hint="cs"/>
          <w:rtl/>
        </w:rPr>
        <w:t>אבל עוד נגיע אליך</w:t>
      </w:r>
      <w:bookmarkStart w:id="30548" w:name="_ETM_Q53_518043"/>
      <w:bookmarkEnd w:id="30548"/>
      <w:r>
        <w:rPr>
          <w:rFonts w:hint="cs"/>
          <w:rtl/>
        </w:rPr>
        <w:t xml:space="preserve"> ולתוכנית שלך. ברגע שאנחנו מאפשרים את זה, ברגע שאנחנו </w:t>
      </w:r>
      <w:bookmarkStart w:id="30549" w:name="_ETM_Q53_526334"/>
      <w:bookmarkEnd w:id="30549"/>
      <w:r>
        <w:rPr>
          <w:rFonts w:hint="cs"/>
          <w:rtl/>
        </w:rPr>
        <w:t xml:space="preserve">כאזרחים מפנים את הראש לצד השני, אל תתפלאו אם התופעה </w:t>
      </w:r>
      <w:bookmarkStart w:id="30550" w:name="_ETM_Q53_531810"/>
      <w:bookmarkEnd w:id="30550"/>
      <w:r>
        <w:rPr>
          <w:rFonts w:hint="cs"/>
          <w:rtl/>
        </w:rPr>
        <w:t>הזאת תתרחב. כל אישה, כל אישה שרואה את המעשה הנבזה</w:t>
      </w:r>
      <w:bookmarkStart w:id="30551" w:name="_ETM_Q53_537781"/>
      <w:bookmarkEnd w:id="30551"/>
      <w:r>
        <w:rPr>
          <w:rFonts w:hint="cs"/>
          <w:rtl/>
        </w:rPr>
        <w:t xml:space="preserve"> הזה אבל לא אומרת כלום, צריכה לקום ולשאוג. כי </w:t>
      </w:r>
      <w:bookmarkStart w:id="30552" w:name="_ETM_Q53_546315"/>
      <w:bookmarkEnd w:id="30552"/>
      <w:r>
        <w:rPr>
          <w:rFonts w:hint="cs"/>
          <w:rtl/>
        </w:rPr>
        <w:t xml:space="preserve">היום זאת היא ומחר זאת תהיה אני ומוחרתיים זאת תהיה </w:t>
      </w:r>
      <w:bookmarkStart w:id="30553" w:name="_ETM_Q53_551257"/>
      <w:bookmarkEnd w:id="30553"/>
      <w:r>
        <w:rPr>
          <w:rFonts w:hint="cs"/>
          <w:rtl/>
        </w:rPr>
        <w:t xml:space="preserve">את. ולכן עלינו הנשים לשלב כוחות, לשלב ידיים, לעזור אחת </w:t>
      </w:r>
      <w:bookmarkStart w:id="30554" w:name="_ETM_Q53_559101"/>
      <w:bookmarkEnd w:id="30554"/>
      <w:r>
        <w:rPr>
          <w:rFonts w:hint="cs"/>
          <w:rtl/>
        </w:rPr>
        <w:t xml:space="preserve">לשנייה, להגן אחת על השנייה. </w:t>
      </w:r>
      <w:bookmarkStart w:id="30555" w:name="_ETM_Q53_562481"/>
      <w:bookmarkStart w:id="30556" w:name="_ETM_Q53_562562"/>
      <w:bookmarkStart w:id="30557" w:name="_ETM_Q53_562656"/>
      <w:bookmarkStart w:id="30558" w:name="_ETM_Q53_562715"/>
      <w:bookmarkEnd w:id="30555"/>
      <w:bookmarkEnd w:id="30556"/>
      <w:bookmarkEnd w:id="30557"/>
      <w:bookmarkEnd w:id="30558"/>
      <w:r>
        <w:rPr>
          <w:rFonts w:hint="cs"/>
          <w:rtl/>
        </w:rPr>
        <w:t xml:space="preserve">הרי בכל מצב חירום במדינות, </w:t>
      </w:r>
      <w:bookmarkStart w:id="30559" w:name="_ETM_Q53_565388"/>
      <w:bookmarkEnd w:id="30559"/>
      <w:r>
        <w:rPr>
          <w:rFonts w:hint="cs"/>
          <w:rtl/>
        </w:rPr>
        <w:t xml:space="preserve">בכל שינוי חקיקה לרעה שפוגע בדמוקרטיה, הראשונות, </w:t>
      </w:r>
      <w:bookmarkStart w:id="30560" w:name="_ETM_Q53_575481"/>
      <w:bookmarkEnd w:id="30560"/>
      <w:r>
        <w:rPr>
          <w:rFonts w:hint="cs"/>
          <w:rtl/>
        </w:rPr>
        <w:t xml:space="preserve">הראשונות להיפגע הן נשים. ואם אנחנו לא נבין את זה </w:t>
      </w:r>
      <w:bookmarkStart w:id="30561" w:name="_ETM_Q53_579156"/>
      <w:bookmarkEnd w:id="30561"/>
      <w:r>
        <w:rPr>
          <w:rFonts w:hint="cs"/>
          <w:rtl/>
        </w:rPr>
        <w:t xml:space="preserve">ולא נפעל לקידום נשים, לייצוג נשים, להגנה על </w:t>
      </w:r>
      <w:bookmarkStart w:id="30562" w:name="_ETM_Q53_583653"/>
      <w:bookmarkEnd w:id="30562"/>
      <w:r>
        <w:rPr>
          <w:rFonts w:hint="cs"/>
          <w:rtl/>
        </w:rPr>
        <w:t xml:space="preserve">נשים </w:t>
      </w:r>
      <w:r>
        <w:t>–</w:t>
      </w:r>
      <w:r>
        <w:rPr>
          <w:rFonts w:hint="cs"/>
          <w:rtl/>
        </w:rPr>
        <w:t xml:space="preserve"> יהיה מאוחר מדי, בטח ובטח אחרי ששר התקשורת </w:t>
      </w:r>
      <w:bookmarkStart w:id="30563" w:name="_ETM_Q53_591780"/>
      <w:bookmarkEnd w:id="30563"/>
      <w:r>
        <w:rPr>
          <w:rFonts w:hint="cs"/>
          <w:rtl/>
        </w:rPr>
        <w:t>משתלט גם על עיתונות חופשית באופן סופי.</w:t>
      </w:r>
    </w:p>
    <w:p w:rsidR="00BB59CD" w:rsidRDefault="00BB59CD" w:rsidP="00BB59CD">
      <w:pPr>
        <w:rPr>
          <w:lang w:eastAsia="he-IL"/>
        </w:rPr>
      </w:pPr>
    </w:p>
    <w:p w:rsidR="00BB59CD" w:rsidRDefault="00BB59CD" w:rsidP="00BB59CD">
      <w:pPr>
        <w:rPr>
          <w:rtl/>
          <w:lang w:eastAsia="he-IL"/>
        </w:rPr>
      </w:pPr>
      <w:r>
        <w:rPr>
          <w:rFonts w:hint="cs"/>
          <w:rtl/>
          <w:lang w:eastAsia="he-IL"/>
        </w:rPr>
        <w:t xml:space="preserve">שר התקשורת הציג </w:t>
      </w:r>
      <w:bookmarkStart w:id="30564" w:name="_ETM_Q53_597388"/>
      <w:bookmarkEnd w:id="30564"/>
      <w:r>
        <w:rPr>
          <w:rFonts w:hint="cs"/>
          <w:rtl/>
          <w:lang w:eastAsia="he-IL"/>
        </w:rPr>
        <w:t xml:space="preserve">בשבוע שעבר רפורמה בתחום השידורים שמסייעת בעיקר לחברים שלו בערוץ </w:t>
      </w:r>
      <w:bookmarkStart w:id="30565" w:name="_ETM_Q53_606114"/>
      <w:bookmarkEnd w:id="30565"/>
      <w:r>
        <w:rPr>
          <w:rFonts w:hint="cs"/>
          <w:rtl/>
          <w:lang w:eastAsia="he-IL"/>
        </w:rPr>
        <w:t xml:space="preserve">14. במסגרת הרפורמה תבוטל החובה לרישיון לשידור חדשות כך שכל </w:t>
      </w:r>
      <w:bookmarkStart w:id="30566" w:name="_ETM_Q53_612443"/>
      <w:bookmarkEnd w:id="30566"/>
      <w:r>
        <w:rPr>
          <w:rFonts w:hint="cs"/>
          <w:rtl/>
          <w:lang w:eastAsia="he-IL"/>
        </w:rPr>
        <w:t xml:space="preserve">גוף יוכל לשדר חדשות ללא פיקוח, מה שנקרא, פייק ניוז </w:t>
      </w:r>
      <w:bookmarkStart w:id="30567" w:name="_ETM_Q53_617963"/>
      <w:bookmarkEnd w:id="30567"/>
      <w:r>
        <w:rPr>
          <w:rFonts w:hint="cs"/>
          <w:rtl/>
          <w:lang w:eastAsia="he-IL"/>
        </w:rPr>
        <w:t xml:space="preserve">בחסות החוק. בנוסף, כיום הדירקטוריונים המנהלים את גופי החדשות מחויבים </w:t>
      </w:r>
      <w:bookmarkStart w:id="30568" w:name="_ETM_Q53_626604"/>
      <w:bookmarkEnd w:id="30568"/>
      <w:r>
        <w:rPr>
          <w:rFonts w:hint="cs"/>
          <w:rtl/>
          <w:lang w:eastAsia="he-IL"/>
        </w:rPr>
        <w:t xml:space="preserve">לכלול חברי דירקטוריון חיצוניים, השומרים על אובייקטיביות ההנהלה ומאפשרים פיקוח </w:t>
      </w:r>
      <w:bookmarkStart w:id="30569" w:name="_ETM_Q53_632875"/>
      <w:bookmarkEnd w:id="30569"/>
      <w:r>
        <w:rPr>
          <w:rFonts w:hint="cs"/>
          <w:rtl/>
          <w:lang w:eastAsia="he-IL"/>
        </w:rPr>
        <w:t xml:space="preserve">על המתרחש. הרפורמה של השר מבטלת את החובה הזו. מאפשרת לגופי החדשות לפעול ללא פיקוח, לשדר ולעשות ככל </w:t>
      </w:r>
      <w:bookmarkStart w:id="30570" w:name="_ETM_Q53_645793"/>
      <w:bookmarkEnd w:id="30570"/>
      <w:r>
        <w:rPr>
          <w:rFonts w:hint="cs"/>
          <w:rtl/>
          <w:lang w:eastAsia="he-IL"/>
        </w:rPr>
        <w:t xml:space="preserve">העולה על רוחם. למעשה הרפורמה מבטלת כל זכר לפיקוח על </w:t>
      </w:r>
      <w:bookmarkStart w:id="30571" w:name="_ETM_Q53_654161"/>
      <w:bookmarkEnd w:id="30571"/>
      <w:r>
        <w:rPr>
          <w:rFonts w:hint="cs"/>
          <w:rtl/>
          <w:lang w:eastAsia="he-IL"/>
        </w:rPr>
        <w:t xml:space="preserve">החדשות שהציבור צורך – מי מעביר אותם ומי יושב </w:t>
      </w:r>
      <w:bookmarkStart w:id="30572" w:name="_ETM_Q53_657574"/>
      <w:bookmarkEnd w:id="30572"/>
      <w:r>
        <w:rPr>
          <w:rFonts w:hint="cs"/>
          <w:rtl/>
          <w:lang w:eastAsia="he-IL"/>
        </w:rPr>
        <w:t>בהנהלה של אותו הגוף.</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נשים - - -</w:t>
      </w:r>
    </w:p>
    <w:p w:rsidR="00BB59CD" w:rsidRDefault="00BB59CD" w:rsidP="00BB59CD">
      <w:pPr>
        <w:rPr>
          <w:rtl/>
          <w:lang w:eastAsia="he-IL"/>
        </w:rPr>
      </w:pPr>
      <w:bookmarkStart w:id="30573" w:name="_ETM_Q53_660274"/>
      <w:bookmarkStart w:id="30574" w:name="_ETM_Q53_660382"/>
      <w:bookmarkEnd w:id="30573"/>
      <w:bookmarkEnd w:id="30574"/>
    </w:p>
    <w:p w:rsidR="00BB59CD" w:rsidRDefault="00BB59CD" w:rsidP="00BB59CD">
      <w:pPr>
        <w:pStyle w:val="-"/>
        <w:keepNext/>
        <w:rPr>
          <w:rtl/>
        </w:rPr>
      </w:pPr>
      <w:bookmarkStart w:id="30575" w:name="ET_speakercontinue_6231_6"/>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3057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עכשיו, עכשיו אפרופו דירקטוריונים ומינויים </w:t>
      </w:r>
      <w:bookmarkStart w:id="30576" w:name="_ETM_Q53_665948"/>
      <w:bookmarkEnd w:id="30576"/>
      <w:r>
        <w:rPr>
          <w:rFonts w:hint="cs"/>
          <w:rtl/>
          <w:lang w:eastAsia="he-IL"/>
        </w:rPr>
        <w:t xml:space="preserve">פוליטיים וכל מה שקורה עכשיו, כי הרי כל המטרה של עילת הסבירות היא בעיקר כדי שתוכלו לפטר היועצת המשפטית ולמנות </w:t>
      </w:r>
      <w:bookmarkStart w:id="30577" w:name="_ETM_Q53_680336"/>
      <w:bookmarkEnd w:id="30577"/>
      <w:r>
        <w:rPr>
          <w:rFonts w:hint="cs"/>
          <w:rtl/>
          <w:lang w:eastAsia="he-IL"/>
        </w:rPr>
        <w:t xml:space="preserve">מקורבים, ג'ובים או מה שאתם רוצים. אבל חשוב – הרי גם </w:t>
      </w:r>
      <w:bookmarkStart w:id="30578" w:name="_ETM_Q53_686674"/>
      <w:bookmarkEnd w:id="30578"/>
      <w:r>
        <w:rPr>
          <w:rFonts w:hint="cs"/>
          <w:rtl/>
          <w:lang w:eastAsia="he-IL"/>
        </w:rPr>
        <w:t xml:space="preserve">ככה אתם כבר ממנים אנשים לא ראויים לכל מיני תפקידים </w:t>
      </w:r>
      <w:bookmarkStart w:id="30579" w:name="_ETM_Q53_689108"/>
      <w:bookmarkEnd w:id="30579"/>
      <w:r>
        <w:rPr>
          <w:rFonts w:hint="cs"/>
          <w:rtl/>
          <w:lang w:eastAsia="he-IL"/>
        </w:rPr>
        <w:t xml:space="preserve">מאוד רגישים וחשובים. מה יקרה אחרי החקיקה הזאת? ראיתי עכשיו </w:t>
      </w:r>
      <w:bookmarkStart w:id="30580" w:name="_ETM_Q53_697412"/>
      <w:bookmarkEnd w:id="30580"/>
      <w:r>
        <w:rPr>
          <w:rFonts w:hint="cs"/>
          <w:rtl/>
          <w:lang w:eastAsia="he-IL"/>
        </w:rPr>
        <w:t xml:space="preserve">חברי כנסת שאומרים: מה יקרה? לא יקרה כלום, אנשים לא ירגישו. נכון, אנשים בהתחלה לא ירגישו שבחברות הממשלתיות ימנו אנשים לא ראויים. אבל אחר כך הם </w:t>
      </w:r>
      <w:bookmarkStart w:id="30581" w:name="_ETM_Q53_710586"/>
      <w:bookmarkEnd w:id="30581"/>
      <w:r>
        <w:rPr>
          <w:rFonts w:hint="cs"/>
          <w:rtl/>
          <w:lang w:eastAsia="he-IL"/>
        </w:rPr>
        <w:t xml:space="preserve">ירגישו את זה בכיס, כשהחברות הממשלתיות יתחילו שוב להפסיד כסף, </w:t>
      </w:r>
      <w:bookmarkStart w:id="30582" w:name="_ETM_Q53_714949"/>
      <w:bookmarkEnd w:id="30582"/>
      <w:r>
        <w:rPr>
          <w:rFonts w:hint="cs"/>
          <w:rtl/>
          <w:lang w:eastAsia="he-IL"/>
        </w:rPr>
        <w:t xml:space="preserve">כמו שהיה בכל שנות 20 השלטון של הליכוד. </w:t>
      </w:r>
    </w:p>
    <w:p w:rsidR="00BB59CD" w:rsidRDefault="00BB59CD" w:rsidP="00BB59CD">
      <w:pPr>
        <w:rPr>
          <w:rtl/>
          <w:lang w:eastAsia="he-IL"/>
        </w:rPr>
      </w:pPr>
      <w:bookmarkStart w:id="30583" w:name="_ETM_Q53_723152"/>
      <w:bookmarkStart w:id="30584" w:name="_ETM_Q53_723261"/>
      <w:bookmarkEnd w:id="30583"/>
      <w:bookmarkEnd w:id="30584"/>
    </w:p>
    <w:p w:rsidR="00BB59CD" w:rsidRDefault="00BB59CD" w:rsidP="00FB3734">
      <w:pPr>
        <w:rPr>
          <w:rtl/>
          <w:lang w:eastAsia="he-IL"/>
        </w:rPr>
      </w:pPr>
      <w:r>
        <w:rPr>
          <w:rFonts w:hint="cs"/>
          <w:rtl/>
          <w:lang w:eastAsia="he-IL"/>
        </w:rPr>
        <w:t xml:space="preserve">אני חייבת </w:t>
      </w:r>
      <w:bookmarkStart w:id="30585" w:name="_ETM_Q53_722664"/>
      <w:bookmarkEnd w:id="30585"/>
      <w:r>
        <w:rPr>
          <w:rFonts w:hint="cs"/>
          <w:rtl/>
          <w:lang w:eastAsia="he-IL"/>
        </w:rPr>
        <w:t xml:space="preserve">לתת דוגמה. לאחרונה מונתה סמנכ"לית חדשה במשרד ראש הממשלה. </w:t>
      </w:r>
      <w:bookmarkStart w:id="30586" w:name="_ETM_Q53_728572"/>
      <w:bookmarkEnd w:id="30586"/>
      <w:r>
        <w:rPr>
          <w:rFonts w:hint="cs"/>
          <w:rtl/>
          <w:lang w:eastAsia="he-IL"/>
        </w:rPr>
        <w:t xml:space="preserve">התפקיד נקרא: סמנכ"לית מנהלת אגף פנים, תכנון ופיתוח במשרד. </w:t>
      </w:r>
      <w:bookmarkStart w:id="30587" w:name="_ETM_Q53_737446"/>
      <w:bookmarkEnd w:id="30587"/>
      <w:r>
        <w:rPr>
          <w:rFonts w:hint="cs"/>
          <w:rtl/>
          <w:lang w:eastAsia="he-IL"/>
        </w:rPr>
        <w:t>היא מונתה למרות שלתפקיד הבכיר הזה היא אינה עומ</w:t>
      </w:r>
      <w:bookmarkStart w:id="30588" w:name="_ETM_Q53_742687"/>
      <w:bookmarkEnd w:id="30588"/>
      <w:r>
        <w:rPr>
          <w:rFonts w:hint="cs"/>
          <w:rtl/>
          <w:lang w:eastAsia="he-IL"/>
        </w:rPr>
        <w:t xml:space="preserve">דת בתנאי הסף. באיזה תנאי סף הסמנכ"לית החדשה </w:t>
      </w:r>
      <w:bookmarkStart w:id="30589" w:name="_ETM_Q53_748674"/>
      <w:bookmarkEnd w:id="30589"/>
      <w:r>
        <w:rPr>
          <w:rFonts w:hint="cs"/>
          <w:rtl/>
          <w:lang w:eastAsia="he-IL"/>
        </w:rPr>
        <w:t xml:space="preserve">כן עומדת? כמובן, היא הייתה מדורגת במקום ה-46 ברשימת הליכוד. </w:t>
      </w:r>
      <w:bookmarkStart w:id="30590" w:name="_ETM_Q53_754941"/>
      <w:bookmarkEnd w:id="30590"/>
      <w:r>
        <w:rPr>
          <w:rFonts w:hint="cs"/>
          <w:rtl/>
          <w:lang w:eastAsia="he-IL"/>
        </w:rPr>
        <w:t xml:space="preserve">תנאי סף ראויים. </w:t>
      </w:r>
      <w:bookmarkStart w:id="30591" w:name="TOR_Q54"/>
      <w:bookmarkStart w:id="30592" w:name="_ETM_Q54_99399"/>
      <w:bookmarkEnd w:id="30591"/>
      <w:bookmarkEnd w:id="30592"/>
      <w:r>
        <w:rPr>
          <w:rFonts w:hint="cs"/>
          <w:rtl/>
        </w:rPr>
        <w:t xml:space="preserve">האגף הזה מטפל, בין היתר, במעבר צה"ל לנגב, היערכות </w:t>
      </w:r>
      <w:bookmarkStart w:id="30593" w:name="_ETM_Q54_113221"/>
      <w:bookmarkEnd w:id="30593"/>
      <w:r>
        <w:rPr>
          <w:rFonts w:hint="cs"/>
          <w:rtl/>
        </w:rPr>
        <w:t xml:space="preserve">לרעידות אדמה, שיקום לאחר אירועי אסון, פיתוח מרחבי ופיתות תת-הקרקע. </w:t>
      </w:r>
      <w:bookmarkStart w:id="30594" w:name="_ETM_Q54_136613"/>
      <w:bookmarkEnd w:id="30594"/>
      <w:r>
        <w:rPr>
          <w:rFonts w:hint="cs"/>
          <w:rtl/>
        </w:rPr>
        <w:t xml:space="preserve">מסתבר שהשתתפות בפריימריז של הליכוד מקנה את הכלים להתמודד עם </w:t>
      </w:r>
      <w:bookmarkStart w:id="30595" w:name="_ETM_Q54_147685"/>
      <w:bookmarkEnd w:id="30595"/>
      <w:r>
        <w:rPr>
          <w:rFonts w:hint="cs"/>
          <w:rtl/>
        </w:rPr>
        <w:t xml:space="preserve">כל המשימות המורכבות האלה. זה המקום שבו במשימות </w:t>
      </w:r>
      <w:bookmarkStart w:id="30596" w:name="_ETM_Q54_182218"/>
      <w:bookmarkEnd w:id="30596"/>
      <w:r>
        <w:rPr>
          <w:rFonts w:hint="cs"/>
          <w:rtl/>
        </w:rPr>
        <w:t>האלה אנחנו שמים את הידיים שלנו על מישהו או מישהי של</w:t>
      </w:r>
      <w:bookmarkStart w:id="30597" w:name="_ETM_Q54_183318"/>
      <w:bookmarkEnd w:id="30597"/>
      <w:r>
        <w:rPr>
          <w:rFonts w:hint="cs"/>
          <w:rtl/>
        </w:rPr>
        <w:t xml:space="preserve">א עוברת תנאי סף </w:t>
      </w:r>
      <w:r>
        <w:t>–</w:t>
      </w:r>
      <w:r>
        <w:rPr>
          <w:rFonts w:hint="cs"/>
          <w:rtl/>
        </w:rPr>
        <w:t xml:space="preserve"> הגיוני. כדי לסבר את האוזן - -</w:t>
      </w:r>
    </w:p>
    <w:p w:rsidR="00BB59CD" w:rsidRDefault="00BB59CD" w:rsidP="00BB59CD">
      <w:pPr>
        <w:rPr>
          <w:rtl/>
        </w:rPr>
      </w:pPr>
      <w:bookmarkStart w:id="30598" w:name="_ETM_Q54_189266"/>
      <w:bookmarkStart w:id="30599" w:name="_ETM_Q54_189314"/>
      <w:bookmarkEnd w:id="30598"/>
      <w:bookmarkEnd w:id="30599"/>
    </w:p>
    <w:p w:rsidR="00BB59CD" w:rsidRDefault="00BB59CD" w:rsidP="00BB59CD">
      <w:pPr>
        <w:pStyle w:val="af8"/>
        <w:rPr>
          <w:rtl/>
        </w:rPr>
      </w:pPr>
      <w:bookmarkStart w:id="30600" w:name="ET_interruption_6461_3"/>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30600"/>
    </w:p>
    <w:p w:rsidR="00BB59CD" w:rsidRDefault="00BB59CD" w:rsidP="00337201">
      <w:pPr>
        <w:rPr>
          <w:rtl/>
          <w:lang w:eastAsia="he-IL"/>
        </w:rPr>
      </w:pPr>
    </w:p>
    <w:p w:rsidR="00BB59CD" w:rsidRDefault="00BB59CD" w:rsidP="00BB59CD">
      <w:pPr>
        <w:rPr>
          <w:rtl/>
          <w:lang w:eastAsia="he-IL"/>
        </w:rPr>
      </w:pPr>
      <w:bookmarkStart w:id="30601" w:name="_ETM_Q54_185468"/>
      <w:bookmarkStart w:id="30602" w:name="_ETM_Q54_185762"/>
      <w:bookmarkEnd w:id="30601"/>
      <w:bookmarkEnd w:id="30602"/>
      <w:r>
        <w:rPr>
          <w:rFonts w:hint="cs"/>
          <w:rtl/>
          <w:lang w:eastAsia="he-IL"/>
        </w:rPr>
        <w:t>- - - רק את המוח של לפיד</w:t>
      </w:r>
      <w:r w:rsidR="00FB3734">
        <w:rPr>
          <w:rFonts w:hint="cs"/>
          <w:rtl/>
          <w:lang w:eastAsia="he-IL"/>
        </w:rPr>
        <w:t>,</w:t>
      </w:r>
      <w:r>
        <w:rPr>
          <w:rFonts w:hint="cs"/>
          <w:rtl/>
          <w:lang w:eastAsia="he-IL"/>
        </w:rPr>
        <w:t xml:space="preserve"> שמינה אותה, רק - - -</w:t>
      </w:r>
    </w:p>
    <w:p w:rsidR="00BB59CD" w:rsidRDefault="00BB59CD" w:rsidP="00BB59CD">
      <w:pPr>
        <w:rPr>
          <w:rtl/>
          <w:lang w:eastAsia="he-IL"/>
        </w:rPr>
      </w:pPr>
      <w:bookmarkStart w:id="30603" w:name="_ETM_Q54_185854"/>
      <w:bookmarkEnd w:id="30603"/>
    </w:p>
    <w:p w:rsidR="00BB59CD" w:rsidRDefault="00BB59CD" w:rsidP="00BB59CD">
      <w:pPr>
        <w:pStyle w:val="-"/>
        <w:rPr>
          <w:rtl/>
        </w:rPr>
      </w:pPr>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rPr>
      </w:pPr>
      <w:bookmarkStart w:id="30604" w:name="_ETM_Q54_186640"/>
      <w:bookmarkStart w:id="30605" w:name="_ETM_Q54_189409"/>
      <w:bookmarkStart w:id="30606" w:name="_ETM_Q54_189476"/>
      <w:bookmarkEnd w:id="30604"/>
      <w:bookmarkEnd w:id="30605"/>
      <w:bookmarkEnd w:id="30606"/>
      <w:r>
        <w:rPr>
          <w:rFonts w:hint="cs"/>
          <w:rtl/>
        </w:rPr>
        <w:t xml:space="preserve">- - הינה </w:t>
      </w:r>
      <w:bookmarkStart w:id="30607" w:name="_ETM_Q54_176075"/>
      <w:bookmarkEnd w:id="30607"/>
      <w:r>
        <w:rPr>
          <w:rFonts w:hint="cs"/>
          <w:rtl/>
        </w:rPr>
        <w:t>כמה מקודמיה בתפקיד: אנשי מקצוע בכירים במשרד האוצר,</w:t>
      </w:r>
      <w:bookmarkStart w:id="30608" w:name="_ETM_Q54_198412"/>
      <w:bookmarkEnd w:id="30608"/>
      <w:r>
        <w:rPr>
          <w:rFonts w:hint="cs"/>
          <w:rtl/>
        </w:rPr>
        <w:t xml:space="preserve"> מנכ"לים של  משרדים ממשלתיים לשעבר, יועצים בכירים ואנשים שהחזיקו </w:t>
      </w:r>
      <w:bookmarkStart w:id="30609" w:name="_ETM_Q54_208715"/>
      <w:bookmarkEnd w:id="30609"/>
      <w:r>
        <w:rPr>
          <w:rFonts w:hint="cs"/>
          <w:rtl/>
        </w:rPr>
        <w:t>בתפקידי מפתח בכירים ומאתגרים.</w:t>
      </w:r>
    </w:p>
    <w:p w:rsidR="00BB59CD" w:rsidRDefault="00BB59CD" w:rsidP="00BB59CD">
      <w:pPr>
        <w:rPr>
          <w:rtl/>
        </w:rPr>
      </w:pPr>
      <w:bookmarkStart w:id="30610" w:name="_ETM_Q54_210451"/>
      <w:bookmarkStart w:id="30611" w:name="_ETM_Q54_210533"/>
      <w:bookmarkEnd w:id="30610"/>
      <w:bookmarkEnd w:id="30611"/>
    </w:p>
    <w:p w:rsidR="00BB59CD" w:rsidRDefault="00BB59CD" w:rsidP="00FB3734">
      <w:pPr>
        <w:rPr>
          <w:rtl/>
        </w:rPr>
      </w:pPr>
      <w:bookmarkStart w:id="30612" w:name="_ETM_Q54_210595"/>
      <w:bookmarkStart w:id="30613" w:name="_ETM_Q54_210706"/>
      <w:bookmarkEnd w:id="30612"/>
      <w:bookmarkEnd w:id="30613"/>
      <w:r>
        <w:rPr>
          <w:rFonts w:hint="cs"/>
          <w:rtl/>
        </w:rPr>
        <w:t xml:space="preserve">עוד דוגמה: הדוגמה השנייה היא סמנכ"לית </w:t>
      </w:r>
      <w:bookmarkStart w:id="30614" w:name="_ETM_Q54_215190"/>
      <w:bookmarkEnd w:id="30614"/>
      <w:r>
        <w:rPr>
          <w:rFonts w:hint="cs"/>
          <w:rtl/>
        </w:rPr>
        <w:t xml:space="preserve">ממשל וחברה, שמונתה רק לפני ארבעה חודשים. </w:t>
      </w:r>
      <w:bookmarkStart w:id="30615" w:name="_ETM_Q54_222429"/>
      <w:bookmarkEnd w:id="30615"/>
      <w:r>
        <w:rPr>
          <w:rFonts w:hint="cs"/>
          <w:rtl/>
        </w:rPr>
        <w:t xml:space="preserve">ההכשרה שלה: היא האחיינית של. לאחרונה, שלחו כל עובדי </w:t>
      </w:r>
      <w:bookmarkStart w:id="30616" w:name="_ETM_Q54_226874"/>
      <w:bookmarkEnd w:id="30616"/>
      <w:r>
        <w:rPr>
          <w:rFonts w:hint="cs"/>
          <w:rtl/>
        </w:rPr>
        <w:t xml:space="preserve">המשרד מכתב למנכ"ל משרד הממשלה, שבו הם מזהירים כי </w:t>
      </w:r>
      <w:bookmarkStart w:id="30617" w:name="_ETM_Q54_232935"/>
      <w:bookmarkEnd w:id="30617"/>
      <w:r>
        <w:rPr>
          <w:rFonts w:hint="cs"/>
          <w:rtl/>
        </w:rPr>
        <w:t xml:space="preserve">האגף לא יכול להמשיך לתפקד כל עוד הסמנכ"לית הזאת מנהלת. </w:t>
      </w:r>
      <w:bookmarkStart w:id="30618" w:name="_ETM_Q54_242566"/>
      <w:bookmarkEnd w:id="30618"/>
      <w:r>
        <w:rPr>
          <w:rFonts w:hint="cs"/>
          <w:rtl/>
        </w:rPr>
        <w:t xml:space="preserve">היש חמור מזה? במכתב עלו טענות על פגיעה מקצועית, מיקרו-ניהול, </w:t>
      </w:r>
      <w:bookmarkStart w:id="30619" w:name="_ETM_Q54_247794"/>
      <w:bookmarkEnd w:id="30619"/>
      <w:r>
        <w:rPr>
          <w:rFonts w:hint="cs"/>
          <w:rtl/>
        </w:rPr>
        <w:t xml:space="preserve">חוסר אבחנה בין טפל לעיקר ועיסוק בסוגיות שוליות </w:t>
      </w:r>
      <w:bookmarkStart w:id="30620" w:name="_ETM_Q54_253932"/>
      <w:bookmarkEnd w:id="30620"/>
      <w:r>
        <w:rPr>
          <w:rFonts w:hint="cs"/>
          <w:rtl/>
        </w:rPr>
        <w:t xml:space="preserve">ויחסים דורסניים ומבטלים מול העובדים. </w:t>
      </w:r>
      <w:bookmarkStart w:id="30621" w:name="_ETM_Q54_261766"/>
      <w:bookmarkStart w:id="30622" w:name="_ETM_Q54_261882"/>
      <w:bookmarkStart w:id="30623" w:name="_ETM_Q54_261912"/>
      <w:bookmarkStart w:id="30624" w:name="_ETM_Q54_261947"/>
      <w:bookmarkEnd w:id="30621"/>
      <w:bookmarkEnd w:id="30622"/>
      <w:bookmarkEnd w:id="30623"/>
      <w:bookmarkEnd w:id="30624"/>
      <w:r>
        <w:rPr>
          <w:rFonts w:hint="cs"/>
          <w:rtl/>
        </w:rPr>
        <w:t xml:space="preserve">עכשיו, אדוני היושב בראש, </w:t>
      </w:r>
      <w:bookmarkStart w:id="30625" w:name="_ETM_Q54_260751"/>
      <w:bookmarkEnd w:id="30625"/>
      <w:r>
        <w:rPr>
          <w:rFonts w:hint="cs"/>
          <w:rtl/>
        </w:rPr>
        <w:t>את זה אתה תרצה לשמוע, מכיוון שאחד הפרויקטים שהם</w:t>
      </w:r>
      <w:bookmarkStart w:id="30626" w:name="_ETM_Q54_264983"/>
      <w:bookmarkEnd w:id="30626"/>
      <w:r>
        <w:rPr>
          <w:rFonts w:hint="cs"/>
          <w:rtl/>
        </w:rPr>
        <w:t xml:space="preserve"> תחת אחריותה של אותה חסרת כישורים, זה משבר כוח האדם</w:t>
      </w:r>
      <w:bookmarkStart w:id="30627" w:name="_ETM_Q54_272805"/>
      <w:bookmarkEnd w:id="30627"/>
      <w:r>
        <w:rPr>
          <w:rFonts w:hint="cs"/>
          <w:rtl/>
        </w:rPr>
        <w:t xml:space="preserve"> במקצועות הבריאות. תכלס, הגיוני. היא מחזיקה תחתיה אגף </w:t>
      </w:r>
      <w:bookmarkStart w:id="30628" w:name="_ETM_Q54_279268"/>
      <w:bookmarkEnd w:id="30628"/>
      <w:r>
        <w:rPr>
          <w:rFonts w:hint="cs"/>
          <w:rtl/>
        </w:rPr>
        <w:t>שמטפל בסוגיות – כשאחת הסוגיות היא גם השתלבות של יוצאי אתיופיה</w:t>
      </w:r>
      <w:bookmarkStart w:id="30629" w:name="_ETM_Q54_287098"/>
      <w:bookmarkEnd w:id="30629"/>
      <w:r>
        <w:rPr>
          <w:rFonts w:hint="cs"/>
          <w:rtl/>
        </w:rPr>
        <w:t xml:space="preserve"> – היא מחזיקה תחתיה תוכניות, תקציבים וסוגיות בוערות וקשות. </w:t>
      </w:r>
      <w:bookmarkStart w:id="30630" w:name="_ETM_Q54_292744"/>
      <w:bookmarkEnd w:id="30630"/>
      <w:r>
        <w:rPr>
          <w:rFonts w:hint="cs"/>
          <w:rtl/>
        </w:rPr>
        <w:t xml:space="preserve">עובדי המשרד טוענים כבר ארבעה חודשים שהם לא יכולים לתפקד </w:t>
      </w:r>
      <w:bookmarkStart w:id="30631" w:name="_ETM_Q54_296798"/>
      <w:bookmarkEnd w:id="30631"/>
      <w:r>
        <w:rPr>
          <w:rFonts w:hint="cs"/>
          <w:rtl/>
        </w:rPr>
        <w:t>תחתיה. מישהו עשה משהו? לא, כי עדיין לא התקבל</w:t>
      </w:r>
      <w:bookmarkStart w:id="30632" w:name="_ETM_Q54_296977"/>
      <w:bookmarkEnd w:id="30632"/>
      <w:r>
        <w:rPr>
          <w:rFonts w:hint="cs"/>
          <w:rtl/>
        </w:rPr>
        <w:t>ה תגובה למכתב ממנכ"ל משרד ראש הממשלה.</w:t>
      </w:r>
    </w:p>
    <w:p w:rsidR="00BB59CD" w:rsidRDefault="00BB59CD" w:rsidP="00BB59CD">
      <w:pPr>
        <w:rPr>
          <w:rtl/>
        </w:rPr>
      </w:pPr>
      <w:bookmarkStart w:id="30633" w:name="_ETM_Q54_305777"/>
      <w:bookmarkStart w:id="30634" w:name="_ETM_Q54_305896"/>
      <w:bookmarkEnd w:id="30633"/>
      <w:bookmarkEnd w:id="30634"/>
    </w:p>
    <w:p w:rsidR="00FB3734" w:rsidRDefault="00BB59CD" w:rsidP="00FB3734">
      <w:pPr>
        <w:rPr>
          <w:rtl/>
        </w:rPr>
      </w:pPr>
      <w:bookmarkStart w:id="30635" w:name="_ETM_Q54_306130"/>
      <w:bookmarkStart w:id="30636" w:name="_ETM_Q54_306221"/>
      <w:bookmarkEnd w:id="30635"/>
      <w:bookmarkEnd w:id="30636"/>
      <w:r>
        <w:rPr>
          <w:rFonts w:hint="cs"/>
          <w:rtl/>
        </w:rPr>
        <w:t xml:space="preserve">לסיכום, מה היה לנו? הייתה </w:t>
      </w:r>
      <w:bookmarkStart w:id="30637" w:name="_ETM_Q54_311186"/>
      <w:bookmarkEnd w:id="30637"/>
      <w:r>
        <w:rPr>
          <w:rFonts w:hint="cs"/>
          <w:rtl/>
        </w:rPr>
        <w:t xml:space="preserve">לנו ממשלה, שבחסות </w:t>
      </w:r>
      <w:r w:rsidR="00FB3734">
        <w:rPr>
          <w:rFonts w:hint="cs"/>
          <w:rtl/>
        </w:rPr>
        <w:t>ע</w:t>
      </w:r>
      <w:r>
        <w:rPr>
          <w:rFonts w:hint="cs"/>
          <w:rtl/>
        </w:rPr>
        <w:t>ל</w:t>
      </w:r>
      <w:r w:rsidR="00FB3734">
        <w:rPr>
          <w:rFonts w:hint="cs"/>
          <w:rtl/>
        </w:rPr>
        <w:t>ק</w:t>
      </w:r>
      <w:r>
        <w:rPr>
          <w:rFonts w:hint="cs"/>
          <w:rtl/>
        </w:rPr>
        <w:t xml:space="preserve"> ישראל השנייה, לוקחת לעצמה עוד כוח </w:t>
      </w:r>
      <w:bookmarkStart w:id="30638" w:name="_ETM_Q54_317596"/>
      <w:bookmarkEnd w:id="30638"/>
      <w:r>
        <w:rPr>
          <w:rFonts w:hint="cs"/>
          <w:rtl/>
        </w:rPr>
        <w:t>שליטה ולא לשכוח כ</w:t>
      </w:r>
      <w:r w:rsidR="00FB3734">
        <w:rPr>
          <w:rFonts w:hint="cs"/>
          <w:rtl/>
        </w:rPr>
        <w:t>בוד</w:t>
      </w:r>
      <w:r>
        <w:rPr>
          <w:rFonts w:hint="cs"/>
          <w:rtl/>
        </w:rPr>
        <w:t>. באותה הזדמנות אני רוצה לספר</w:t>
      </w:r>
      <w:bookmarkStart w:id="30639" w:name="_ETM_Q54_323015"/>
      <w:bookmarkEnd w:id="30639"/>
      <w:r>
        <w:rPr>
          <w:rFonts w:hint="cs"/>
          <w:rtl/>
        </w:rPr>
        <w:t xml:space="preserve"> לשר אמסלם </w:t>
      </w:r>
      <w:r w:rsidR="00FB3734">
        <w:rPr>
          <w:rFonts w:hint="cs"/>
          <w:rtl/>
        </w:rPr>
        <w:t>ש</w:t>
      </w:r>
      <w:r>
        <w:rPr>
          <w:rFonts w:hint="cs"/>
          <w:rtl/>
        </w:rPr>
        <w:t>מעולם לא ראיתי רולקס מקרוב, אבל אני בטוחה</w:t>
      </w:r>
      <w:bookmarkStart w:id="30640" w:name="_ETM_Q54_329117"/>
      <w:bookmarkEnd w:id="30640"/>
      <w:r>
        <w:rPr>
          <w:rFonts w:hint="cs"/>
          <w:rtl/>
        </w:rPr>
        <w:t xml:space="preserve"> שהוא או אחד מחבריו יוכלו להראות לי</w:t>
      </w:r>
      <w:bookmarkStart w:id="30641" w:name="_ETM_Q54_329660"/>
      <w:bookmarkStart w:id="30642" w:name="_ETM_Q54_329765"/>
      <w:bookmarkStart w:id="30643" w:name="_ETM_Q54_329835"/>
      <w:bookmarkStart w:id="30644" w:name="_ETM_Q54_329908"/>
      <w:bookmarkEnd w:id="30641"/>
      <w:bookmarkEnd w:id="30642"/>
      <w:bookmarkEnd w:id="30643"/>
      <w:bookmarkEnd w:id="30644"/>
      <w:r w:rsidR="00FB3734">
        <w:rPr>
          <w:rFonts w:hint="cs"/>
          <w:rtl/>
        </w:rPr>
        <w:t xml:space="preserve">. </w:t>
      </w:r>
      <w:bookmarkStart w:id="30645" w:name="_ETM_Q0_31955418"/>
      <w:bookmarkEnd w:id="30645"/>
    </w:p>
    <w:p w:rsidR="00FB3734" w:rsidRDefault="00FB3734" w:rsidP="00FB3734">
      <w:pPr>
        <w:rPr>
          <w:rtl/>
        </w:rPr>
      </w:pPr>
    </w:p>
    <w:p w:rsidR="00BB59CD" w:rsidRDefault="00BB59CD" w:rsidP="00FB3734">
      <w:pPr>
        <w:rPr>
          <w:rtl/>
        </w:rPr>
      </w:pPr>
      <w:r>
        <w:rPr>
          <w:rFonts w:hint="cs"/>
          <w:rtl/>
        </w:rPr>
        <w:t xml:space="preserve">אבחנה ברורה מי באמת </w:t>
      </w:r>
      <w:bookmarkStart w:id="30646" w:name="_ETM_Q54_336315"/>
      <w:bookmarkEnd w:id="30646"/>
      <w:r>
        <w:rPr>
          <w:rFonts w:hint="cs"/>
          <w:rtl/>
        </w:rPr>
        <w:t>פריבילגים</w:t>
      </w:r>
      <w:bookmarkStart w:id="30647" w:name="_ETM_Q54_333550"/>
      <w:bookmarkStart w:id="30648" w:name="_ETM_Q54_333633"/>
      <w:bookmarkStart w:id="30649" w:name="_ETM_Q54_336878"/>
      <w:bookmarkStart w:id="30650" w:name="_ETM_Q54_336959"/>
      <w:bookmarkEnd w:id="30647"/>
      <w:bookmarkEnd w:id="30648"/>
      <w:bookmarkEnd w:id="30649"/>
      <w:bookmarkEnd w:id="30650"/>
      <w:r>
        <w:rPr>
          <w:rFonts w:hint="cs"/>
          <w:rtl/>
        </w:rPr>
        <w:t xml:space="preserve"> </w:t>
      </w:r>
      <w:r w:rsidR="00FB3734">
        <w:rPr>
          <w:rFonts w:hint="eastAsia"/>
          <w:rtl/>
        </w:rPr>
        <w:t>–</w:t>
      </w:r>
      <w:r w:rsidR="00FB3734">
        <w:rPr>
          <w:rFonts w:hint="cs"/>
          <w:rtl/>
        </w:rPr>
        <w:t xml:space="preserve"> </w:t>
      </w:r>
      <w:r>
        <w:rPr>
          <w:rFonts w:hint="cs"/>
          <w:rtl/>
        </w:rPr>
        <w:t xml:space="preserve">שרים ואנשי מקצוע שאינם מוכשרים לבצע את תפקידם, מינויים </w:t>
      </w:r>
      <w:bookmarkStart w:id="30651" w:name="_ETM_Q54_345022"/>
      <w:bookmarkEnd w:id="30651"/>
      <w:r>
        <w:rPr>
          <w:rFonts w:hint="cs"/>
          <w:rtl/>
        </w:rPr>
        <w:t xml:space="preserve">לא ראויים במקומות רגישים, וזה רק ילך ויחמיר ברגע שהחקיקה </w:t>
      </w:r>
      <w:bookmarkStart w:id="30652" w:name="_ETM_Q54_355534"/>
      <w:bookmarkEnd w:id="30652"/>
      <w:r>
        <w:rPr>
          <w:rFonts w:hint="cs"/>
          <w:rtl/>
        </w:rPr>
        <w:t xml:space="preserve">הזאת תעבור; וכמובן השאלה מיהו יותר יהודי. </w:t>
      </w:r>
      <w:bookmarkStart w:id="30653" w:name="_ETM_Q54_356494"/>
      <w:bookmarkEnd w:id="30653"/>
      <w:r>
        <w:rPr>
          <w:rFonts w:hint="cs"/>
          <w:rtl/>
        </w:rPr>
        <w:t xml:space="preserve">הביטול שלנו כיהודים רק כי המילה דמוקרטיה ממשיכה יחד עם </w:t>
      </w:r>
      <w:bookmarkStart w:id="30654" w:name="_ETM_Q54_366723"/>
      <w:bookmarkEnd w:id="30654"/>
      <w:r>
        <w:rPr>
          <w:rFonts w:hint="cs"/>
          <w:rtl/>
        </w:rPr>
        <w:t xml:space="preserve">יהודי. </w:t>
      </w:r>
    </w:p>
    <w:p w:rsidR="00BB59CD" w:rsidRDefault="00BB59CD" w:rsidP="00BB59CD">
      <w:pPr>
        <w:rPr>
          <w:rtl/>
        </w:rPr>
      </w:pPr>
    </w:p>
    <w:p w:rsidR="00BB59CD" w:rsidRDefault="00BB59CD" w:rsidP="00FB3734">
      <w:pPr>
        <w:rPr>
          <w:rtl/>
        </w:rPr>
      </w:pPr>
      <w:r>
        <w:rPr>
          <w:rFonts w:hint="cs"/>
          <w:rtl/>
        </w:rPr>
        <w:t>אז אני יהודייה בעיקר כי אימא שלי יהודי</w:t>
      </w:r>
      <w:bookmarkStart w:id="30655" w:name="_ETM_Q54_367861"/>
      <w:bookmarkEnd w:id="30655"/>
      <w:r>
        <w:rPr>
          <w:rFonts w:hint="cs"/>
          <w:rtl/>
        </w:rPr>
        <w:t xml:space="preserve">יה. נולדתי יהודייה. היהדות שלי כנראה לא כוללת את קיום </w:t>
      </w:r>
      <w:bookmarkStart w:id="30656" w:name="_ETM_Q54_372736"/>
      <w:bookmarkEnd w:id="30656"/>
      <w:r>
        <w:rPr>
          <w:rFonts w:hint="cs"/>
          <w:rtl/>
        </w:rPr>
        <w:t>המצוות של חלק מהאנשים פה, שחושבים שזה חשוב</w:t>
      </w:r>
      <w:r w:rsidR="00FB3734">
        <w:rPr>
          <w:rFonts w:hint="cs"/>
          <w:rtl/>
        </w:rPr>
        <w:t>.</w:t>
      </w:r>
      <w:r>
        <w:rPr>
          <w:rFonts w:hint="cs"/>
          <w:rtl/>
        </w:rPr>
        <w:t xml:space="preserve"> זה </w:t>
      </w:r>
      <w:bookmarkStart w:id="30657" w:name="_ETM_Q54_378669"/>
      <w:bookmarkEnd w:id="30657"/>
      <w:r>
        <w:rPr>
          <w:rFonts w:hint="cs"/>
          <w:rtl/>
        </w:rPr>
        <w:t>בסדר, ואני מכבדת את זה מאוד</w:t>
      </w:r>
      <w:r w:rsidR="00FB3734">
        <w:rPr>
          <w:rFonts w:hint="cs"/>
          <w:rtl/>
        </w:rPr>
        <w:t>,</w:t>
      </w:r>
      <w:r>
        <w:rPr>
          <w:rFonts w:hint="cs"/>
          <w:rtl/>
        </w:rPr>
        <w:t xml:space="preserve"> אבל היהדות שלי כוללת </w:t>
      </w:r>
      <w:bookmarkStart w:id="30658" w:name="_ETM_Q54_383183"/>
      <w:bookmarkEnd w:id="30658"/>
      <w:r>
        <w:rPr>
          <w:rFonts w:hint="cs"/>
          <w:rtl/>
        </w:rPr>
        <w:t xml:space="preserve">"ואהבת לרעך כמוך"; היהדות שלי כוללת עזרה לחלשים; היהדות </w:t>
      </w:r>
      <w:bookmarkStart w:id="30659" w:name="_ETM_Q54_388853"/>
      <w:bookmarkEnd w:id="30659"/>
      <w:r>
        <w:rPr>
          <w:rFonts w:hint="cs"/>
          <w:rtl/>
        </w:rPr>
        <w:t xml:space="preserve">שלי כוללת תמיד תמיד לראות איפה אפשר לעזור; היהדות שלי </w:t>
      </w:r>
      <w:bookmarkStart w:id="30660" w:name="_ETM_Q54_395392"/>
      <w:bookmarkEnd w:id="30660"/>
      <w:r>
        <w:rPr>
          <w:rFonts w:hint="cs"/>
          <w:rtl/>
        </w:rPr>
        <w:t>כוללת כבוד הדדי; היהדות שלי כוללת משפחה וחברים</w:t>
      </w:r>
      <w:bookmarkStart w:id="30661" w:name="_ETM_Q54_408881"/>
      <w:bookmarkEnd w:id="30661"/>
      <w:r>
        <w:rPr>
          <w:rFonts w:hint="cs"/>
          <w:rtl/>
        </w:rPr>
        <w:t>.</w:t>
      </w:r>
      <w:bookmarkStart w:id="30662" w:name="_ETM_Q54_412416"/>
      <w:bookmarkEnd w:id="30662"/>
    </w:p>
    <w:p w:rsidR="00BB59CD" w:rsidRDefault="00BB59CD" w:rsidP="00BB59CD">
      <w:pPr>
        <w:rPr>
          <w:rtl/>
        </w:rPr>
      </w:pPr>
      <w:bookmarkStart w:id="30663" w:name="_ETM_Q54_412493"/>
      <w:bookmarkEnd w:id="30663"/>
    </w:p>
    <w:p w:rsidR="00BB59CD" w:rsidRDefault="00BB59CD" w:rsidP="00BB59CD">
      <w:pPr>
        <w:rPr>
          <w:rtl/>
        </w:rPr>
      </w:pPr>
      <w:bookmarkStart w:id="30664" w:name="_ETM_Q54_412528"/>
      <w:bookmarkStart w:id="30665" w:name="_ETM_Q54_412615"/>
      <w:bookmarkEnd w:id="30664"/>
      <w:bookmarkEnd w:id="30665"/>
      <w:r>
        <w:rPr>
          <w:rFonts w:hint="cs"/>
          <w:rtl/>
        </w:rPr>
        <w:t xml:space="preserve">אני פונה, באמת לסיום, שוב לחברי הממשלה, לשרים לחברי </w:t>
      </w:r>
      <w:bookmarkStart w:id="30666" w:name="_ETM_Q54_418607"/>
      <w:bookmarkEnd w:id="30666"/>
      <w:r>
        <w:rPr>
          <w:rFonts w:hint="cs"/>
          <w:rtl/>
        </w:rPr>
        <w:t xml:space="preserve">הכנסת, שהרי ברור לי שאם ההצבעה מחר הייתה מאחורי </w:t>
      </w:r>
      <w:bookmarkStart w:id="30667" w:name="_ETM_Q54_422771"/>
      <w:bookmarkEnd w:id="30667"/>
      <w:r>
        <w:rPr>
          <w:rFonts w:hint="cs"/>
          <w:rtl/>
        </w:rPr>
        <w:t xml:space="preserve">פרגוד היא לא הייתה – החקיקה הזאת לא הייתה עוברת </w:t>
      </w:r>
      <w:bookmarkStart w:id="30668" w:name="_ETM_Q54_427031"/>
      <w:bookmarkEnd w:id="30668"/>
      <w:r>
        <w:rPr>
          <w:rFonts w:hint="cs"/>
          <w:rtl/>
        </w:rPr>
        <w:t>– אני פונה אליהם שוב ומבקשת בכל לשון של בקשה:</w:t>
      </w:r>
      <w:r>
        <w:rPr>
          <w:rFonts w:hint="cs"/>
        </w:rPr>
        <w:t xml:space="preserve"> </w:t>
      </w:r>
      <w:bookmarkStart w:id="30669" w:name="_ETM_Q54_432359"/>
      <w:bookmarkEnd w:id="30669"/>
      <w:r>
        <w:rPr>
          <w:rFonts w:hint="cs"/>
          <w:rtl/>
        </w:rPr>
        <w:t xml:space="preserve">עצרו את הטירוף; עצרו את הקרע בעם; עצרו את כל </w:t>
      </w:r>
      <w:bookmarkStart w:id="30670" w:name="_ETM_Q54_436130"/>
      <w:bookmarkEnd w:id="30670"/>
      <w:r>
        <w:rPr>
          <w:rFonts w:hint="cs"/>
          <w:rtl/>
        </w:rPr>
        <w:t xml:space="preserve">מה שקורה. צאו החוצה פה רגע פה, דקה מהכנסת, ותראו </w:t>
      </w:r>
      <w:bookmarkStart w:id="30671" w:name="_ETM_Q54_437385"/>
      <w:bookmarkEnd w:id="30671"/>
      <w:r>
        <w:rPr>
          <w:rFonts w:hint="cs"/>
          <w:rtl/>
        </w:rPr>
        <w:t xml:space="preserve">מה מתחולל. תראו מה עם ישראל מבקש מכם. אין לכם </w:t>
      </w:r>
      <w:bookmarkStart w:id="30672" w:name="_ETM_Q54_446361"/>
      <w:bookmarkEnd w:id="30672"/>
      <w:r>
        <w:rPr>
          <w:rFonts w:hint="cs"/>
          <w:rtl/>
        </w:rPr>
        <w:t>כבר רוב בציבור לעשות את זה. איבדתם את הרוב</w:t>
      </w:r>
      <w:bookmarkStart w:id="30673" w:name="_ETM_Q54_446766"/>
      <w:bookmarkEnd w:id="30673"/>
      <w:r>
        <w:rPr>
          <w:rFonts w:hint="cs"/>
          <w:rtl/>
        </w:rPr>
        <w:t xml:space="preserve"> שלכם עם התוכנית הזאת. אני מבקשת מכם: עצרו. תודה.</w:t>
      </w:r>
    </w:p>
    <w:p w:rsidR="00BB59CD" w:rsidRDefault="00BB59CD" w:rsidP="00BB59CD">
      <w:pPr>
        <w:rPr>
          <w:rtl/>
        </w:rPr>
      </w:pPr>
      <w:bookmarkStart w:id="30674" w:name="_ETM_Q54_450691"/>
      <w:bookmarkStart w:id="30675" w:name="_ETM_Q54_450795"/>
      <w:bookmarkEnd w:id="30674"/>
      <w:bookmarkEnd w:id="30675"/>
    </w:p>
    <w:p w:rsidR="00BB59CD" w:rsidRDefault="00BB59CD" w:rsidP="00BB59CD">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30676" w:name="_ETM_Q54_458571"/>
      <w:bookmarkEnd w:id="30676"/>
      <w:r>
        <w:rPr>
          <w:rFonts w:hint="cs"/>
          <w:rtl/>
          <w:lang w:eastAsia="he-IL"/>
        </w:rPr>
        <w:t xml:space="preserve">תודה רבה. </w:t>
      </w:r>
      <w:bookmarkStart w:id="30677" w:name="_ETM_Q54_459790"/>
      <w:bookmarkEnd w:id="30677"/>
      <w:r>
        <w:rPr>
          <w:rFonts w:hint="cs"/>
          <w:rtl/>
          <w:lang w:eastAsia="he-IL"/>
        </w:rPr>
        <w:t>חבר הכנסת גדעון סער, בבקשה.</w:t>
      </w:r>
    </w:p>
    <w:p w:rsidR="00BB59CD" w:rsidRDefault="00BB59CD" w:rsidP="00BB59CD">
      <w:pPr>
        <w:rPr>
          <w:rtl/>
          <w:lang w:eastAsia="he-IL"/>
        </w:rPr>
      </w:pPr>
      <w:bookmarkStart w:id="30678" w:name="_ETM_Q54_458984"/>
      <w:bookmarkStart w:id="30679" w:name="_ETM_Q54_459092"/>
      <w:bookmarkEnd w:id="30678"/>
      <w:bookmarkEnd w:id="30679"/>
    </w:p>
    <w:p w:rsidR="00BB59CD" w:rsidRDefault="00BB59CD" w:rsidP="00BB59CD">
      <w:pPr>
        <w:pStyle w:val="af8"/>
        <w:rPr>
          <w:rtl/>
        </w:rPr>
      </w:pPr>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30680" w:name="_ETM_Q54_453370"/>
      <w:bookmarkEnd w:id="30680"/>
      <w:r>
        <w:rPr>
          <w:rFonts w:hint="cs"/>
          <w:rtl/>
          <w:lang w:eastAsia="he-IL"/>
        </w:rPr>
        <w:t xml:space="preserve">תתביישי לך, חברת הכנסת </w:t>
      </w:r>
      <w:bookmarkStart w:id="30681" w:name="_ETM_Q54_459132"/>
      <w:bookmarkEnd w:id="30681"/>
      <w:r>
        <w:rPr>
          <w:rFonts w:hint="cs"/>
          <w:rtl/>
          <w:lang w:eastAsia="he-IL"/>
        </w:rPr>
        <w:t>פרידמן. זו שהשמצת אותה, הדס שון לוי, תשמעי מה הוועדה</w:t>
      </w:r>
      <w:bookmarkStart w:id="30682" w:name="_ETM_Q54_463962"/>
      <w:bookmarkEnd w:id="30682"/>
      <w:r>
        <w:rPr>
          <w:rFonts w:hint="cs"/>
          <w:rtl/>
          <w:lang w:eastAsia="he-IL"/>
        </w:rPr>
        <w:t xml:space="preserve"> אמרה עליה: הוועדה בחנה וראיינה את המועמדת והסכימה </w:t>
      </w:r>
      <w:bookmarkStart w:id="30683" w:name="_ETM_Q54_473382"/>
      <w:bookmarkEnd w:id="30683"/>
      <w:r>
        <w:rPr>
          <w:rFonts w:hint="cs"/>
          <w:rtl/>
          <w:lang w:eastAsia="he-IL"/>
        </w:rPr>
        <w:t>כי יש בניסיונה המקצועי כדי לענות על דרישת ההקפדה היתרה</w:t>
      </w:r>
      <w:bookmarkStart w:id="30684" w:name="_ETM_Q54_475999"/>
      <w:bookmarkEnd w:id="30684"/>
      <w:r>
        <w:rPr>
          <w:rFonts w:hint="cs"/>
          <w:rtl/>
          <w:lang w:eastAsia="he-IL"/>
        </w:rPr>
        <w:t xml:space="preserve"> העושים אותה ראויה למשרה. הוועדה מציינת בסיפוק </w:t>
      </w:r>
      <w:bookmarkStart w:id="30685" w:name="_ETM_Q54_477113"/>
      <w:bookmarkEnd w:id="30685"/>
      <w:r>
        <w:rPr>
          <w:rFonts w:hint="cs"/>
          <w:rtl/>
          <w:lang w:eastAsia="he-IL"/>
        </w:rPr>
        <w:t xml:space="preserve">את בחירתה של אישה לתפקיד. נשים – רוממות הנשים </w:t>
      </w:r>
      <w:bookmarkStart w:id="30686" w:name="_ETM_Q54_483622"/>
      <w:bookmarkEnd w:id="30686"/>
      <w:r>
        <w:rPr>
          <w:rFonts w:hint="cs"/>
          <w:rtl/>
          <w:lang w:eastAsia="he-IL"/>
        </w:rPr>
        <w:t xml:space="preserve">בגרונך, ואת משמיצה פה נשים שלא יכולות לענות לך. </w:t>
      </w:r>
      <w:bookmarkStart w:id="30687" w:name="_ETM_Q54_489406"/>
      <w:bookmarkEnd w:id="30687"/>
      <w:r>
        <w:rPr>
          <w:rFonts w:hint="cs"/>
          <w:rtl/>
          <w:lang w:eastAsia="he-IL"/>
        </w:rPr>
        <w:t>תתביישי לך, את חרפה.</w:t>
      </w:r>
    </w:p>
    <w:p w:rsidR="00BB59CD" w:rsidRDefault="00BB59CD" w:rsidP="00BB59CD">
      <w:pPr>
        <w:rPr>
          <w:rtl/>
          <w:lang w:eastAsia="he-IL"/>
        </w:rPr>
      </w:pPr>
      <w:bookmarkStart w:id="30688" w:name="_ETM_Q54_484211"/>
      <w:bookmarkStart w:id="30689" w:name="_ETM_Q54_484294"/>
      <w:bookmarkEnd w:id="30688"/>
      <w:bookmarkEnd w:id="30689"/>
    </w:p>
    <w:p w:rsidR="00BB59CD" w:rsidRDefault="00BB59CD" w:rsidP="00BB59CD">
      <w:pPr>
        <w:pStyle w:val="af8"/>
        <w:rPr>
          <w:rtl/>
        </w:rPr>
      </w:pPr>
      <w:bookmarkStart w:id="30690" w:name="ET_interruption_6231_8"/>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30690"/>
    </w:p>
    <w:p w:rsidR="00BB59CD" w:rsidRDefault="00BB59CD" w:rsidP="00337201">
      <w:pPr>
        <w:rPr>
          <w:rtl/>
          <w:lang w:eastAsia="he-IL"/>
        </w:rPr>
      </w:pPr>
    </w:p>
    <w:p w:rsidR="00BB59CD" w:rsidRDefault="00BB59CD" w:rsidP="00BB59CD">
      <w:pPr>
        <w:rPr>
          <w:rtl/>
          <w:lang w:eastAsia="he-IL"/>
        </w:rPr>
      </w:pPr>
      <w:bookmarkStart w:id="30691" w:name="_ETM_Q54_486181"/>
      <w:bookmarkEnd w:id="30691"/>
      <w:r>
        <w:rPr>
          <w:rFonts w:hint="cs"/>
          <w:rtl/>
          <w:lang w:eastAsia="he-IL"/>
        </w:rPr>
        <w:t>הפסקתי לענות לו. מתעלמת. לפעמים,</w:t>
      </w:r>
      <w:bookmarkStart w:id="30692" w:name="_ETM_Q54_502950"/>
      <w:bookmarkStart w:id="30693" w:name="_ETM_Q54_503040"/>
      <w:bookmarkEnd w:id="30692"/>
      <w:bookmarkEnd w:id="30693"/>
      <w:r>
        <w:rPr>
          <w:rFonts w:hint="cs"/>
          <w:rtl/>
          <w:lang w:eastAsia="he-IL"/>
        </w:rPr>
        <w:t xml:space="preserve"> להתעלם זה </w:t>
      </w:r>
      <w:bookmarkStart w:id="30694" w:name="_ETM_Q54_491110"/>
      <w:bookmarkEnd w:id="30694"/>
      <w:r>
        <w:rPr>
          <w:rFonts w:hint="cs"/>
          <w:rtl/>
          <w:lang w:eastAsia="he-IL"/>
        </w:rPr>
        <w:t>הכי טוב.</w:t>
      </w:r>
    </w:p>
    <w:p w:rsidR="00BB59CD" w:rsidRDefault="00BB59CD" w:rsidP="00BB59CD">
      <w:pPr>
        <w:rPr>
          <w:rtl/>
        </w:rPr>
      </w:pPr>
      <w:bookmarkStart w:id="30695" w:name="_ETM_Q54_333762"/>
      <w:bookmarkStart w:id="30696" w:name="_ETM_Q54_333835"/>
      <w:bookmarkStart w:id="30697" w:name="_ETM_Q54_320711"/>
      <w:bookmarkStart w:id="30698" w:name="_ETM_Q54_320801"/>
      <w:bookmarkEnd w:id="30695"/>
      <w:bookmarkEnd w:id="30696"/>
      <w:bookmarkEnd w:id="30697"/>
      <w:bookmarkEnd w:id="30698"/>
    </w:p>
    <w:p w:rsidR="00BB59CD" w:rsidRDefault="00BB59CD" w:rsidP="00BB59CD">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30699" w:name="_ETM_Q54_321512"/>
      <w:bookmarkEnd w:id="30699"/>
      <w:r>
        <w:rPr>
          <w:rFonts w:hint="cs"/>
          <w:rtl/>
          <w:lang w:eastAsia="he-IL"/>
        </w:rPr>
        <w:t>תודה רבה. לרשותך 30 דקות.</w:t>
      </w:r>
    </w:p>
    <w:p w:rsidR="00BB59CD" w:rsidRDefault="00BB59CD" w:rsidP="00BB59CD">
      <w:pPr>
        <w:rPr>
          <w:rtl/>
          <w:lang w:eastAsia="he-IL"/>
        </w:rPr>
      </w:pPr>
      <w:bookmarkStart w:id="30700" w:name="_ETM_Q54_495605"/>
      <w:bookmarkStart w:id="30701" w:name="_ETM_Q54_495686"/>
      <w:bookmarkEnd w:id="30700"/>
      <w:bookmarkEnd w:id="30701"/>
    </w:p>
    <w:p w:rsidR="00BB59CD" w:rsidRDefault="00BB59CD" w:rsidP="00BB59CD">
      <w:pPr>
        <w:pStyle w:val="a5"/>
        <w:rPr>
          <w:rtl/>
        </w:rPr>
      </w:pPr>
      <w:bookmarkStart w:id="30702" w:name="ET_speaker_4672_9"/>
      <w:r>
        <w:rPr>
          <w:rStyle w:val="TagStyle"/>
          <w:rFonts w:hint="cs"/>
          <w:rtl/>
        </w:rPr>
        <w:t xml:space="preserve"> &lt;&lt; דובר &gt;&gt; </w:t>
      </w:r>
      <w:bookmarkStart w:id="30703" w:name="_Toc141197159"/>
      <w:bookmarkStart w:id="30704" w:name="_Toc141196895"/>
      <w:r>
        <w:rPr>
          <w:rFonts w:hint="cs"/>
          <w:rtl/>
        </w:rPr>
        <w:t>גדעון סער (המחנה הממלכתי):</w:t>
      </w:r>
      <w:bookmarkEnd w:id="30703"/>
      <w:bookmarkEnd w:id="30704"/>
      <w:r>
        <w:rPr>
          <w:rStyle w:val="TagStyle"/>
          <w:rFonts w:hint="cs"/>
          <w:rtl/>
        </w:rPr>
        <w:t xml:space="preserve"> &lt;&lt; דובר &gt;&gt;</w:t>
      </w:r>
      <w:r>
        <w:rPr>
          <w:rFonts w:hint="cs"/>
          <w:rtl/>
        </w:rPr>
        <w:t xml:space="preserve">   </w:t>
      </w:r>
      <w:bookmarkEnd w:id="30702"/>
    </w:p>
    <w:p w:rsidR="00BB59CD" w:rsidRDefault="00BB59CD" w:rsidP="00337201">
      <w:pPr>
        <w:rPr>
          <w:rtl/>
          <w:lang w:eastAsia="he-IL"/>
        </w:rPr>
      </w:pPr>
    </w:p>
    <w:p w:rsidR="00BB59CD" w:rsidRDefault="00BB59CD" w:rsidP="00FB3734">
      <w:pPr>
        <w:rPr>
          <w:rtl/>
          <w:lang w:eastAsia="he-IL"/>
        </w:rPr>
      </w:pPr>
      <w:bookmarkStart w:id="30705" w:name="_ETM_Q54_498273"/>
      <w:bookmarkStart w:id="30706" w:name="_ETM_Q54_498546"/>
      <w:bookmarkStart w:id="30707" w:name="_ETM_Q54_498623"/>
      <w:bookmarkEnd w:id="30705"/>
      <w:bookmarkEnd w:id="30706"/>
      <w:bookmarkEnd w:id="30707"/>
      <w:r>
        <w:rPr>
          <w:rFonts w:hint="cs"/>
          <w:rtl/>
          <w:lang w:eastAsia="he-IL"/>
        </w:rPr>
        <w:t>אדוני היושב-ראש, כנסת נכבדה, אני</w:t>
      </w:r>
      <w:bookmarkStart w:id="30708" w:name="_ETM_Q54_507934"/>
      <w:bookmarkEnd w:id="30708"/>
      <w:r>
        <w:rPr>
          <w:rFonts w:hint="cs"/>
          <w:rtl/>
          <w:lang w:eastAsia="he-IL"/>
        </w:rPr>
        <w:t xml:space="preserve"> לא הופתעתי מהאופן המיידי שבו דחה הליכוד את הצעת יושב-</w:t>
      </w:r>
      <w:bookmarkStart w:id="30709" w:name="_ETM_Q54_510512"/>
      <w:bookmarkEnd w:id="30709"/>
      <w:r>
        <w:rPr>
          <w:rFonts w:hint="cs"/>
          <w:rtl/>
          <w:lang w:eastAsia="he-IL"/>
        </w:rPr>
        <w:t xml:space="preserve">ראש ההסתדרות בצוהריים, כשם שדחה באופן מיידי את הצעתו של </w:t>
      </w:r>
      <w:bookmarkStart w:id="30710" w:name="_ETM_Q54_522479"/>
      <w:bookmarkEnd w:id="30710"/>
      <w:r>
        <w:rPr>
          <w:rFonts w:hint="cs"/>
          <w:rtl/>
          <w:lang w:eastAsia="he-IL"/>
        </w:rPr>
        <w:t xml:space="preserve">יושב-ראש המחנה הממלכתי בני גנץ מיום רביעי בערב האחרון, </w:t>
      </w:r>
      <w:bookmarkStart w:id="30711" w:name="_ETM_Q54_528723"/>
      <w:bookmarkEnd w:id="30711"/>
      <w:r>
        <w:rPr>
          <w:rFonts w:hint="cs"/>
          <w:rtl/>
          <w:lang w:eastAsia="he-IL"/>
        </w:rPr>
        <w:t xml:space="preserve">כשם שדחה באופן מיידי את מתווה נשיא המדינה בחודש מרץ. </w:t>
      </w:r>
      <w:bookmarkStart w:id="30712" w:name="_ETM_Q54_540755"/>
      <w:bookmarkStart w:id="30713" w:name="_ETM_Q54_515243"/>
      <w:bookmarkStart w:id="30714" w:name="_ETM_Q54_515327"/>
      <w:bookmarkStart w:id="30715" w:name="_ETM_Q54_515370"/>
      <w:bookmarkStart w:id="30716" w:name="_ETM_Q54_515432"/>
      <w:bookmarkEnd w:id="30712"/>
      <w:bookmarkEnd w:id="30713"/>
      <w:bookmarkEnd w:id="30714"/>
      <w:bookmarkEnd w:id="30715"/>
      <w:bookmarkEnd w:id="30716"/>
      <w:r>
        <w:rPr>
          <w:rFonts w:hint="cs"/>
          <w:rtl/>
          <w:lang w:eastAsia="he-IL"/>
        </w:rPr>
        <w:t xml:space="preserve">נתניהו נחוש לבצע הפיכה משטרית במדינה, לרסק את האיזונים והבלמים בשיטת המשטר שלנו, וזה הדבר החמור, </w:t>
      </w:r>
      <w:bookmarkStart w:id="30717" w:name="_ETM_Q54_548880"/>
      <w:bookmarkEnd w:id="30717"/>
      <w:r>
        <w:rPr>
          <w:rFonts w:hint="cs"/>
          <w:rtl/>
          <w:lang w:eastAsia="he-IL"/>
        </w:rPr>
        <w:t xml:space="preserve">אדוני היושב-ראש: הוא מוכן להמר באופן בלתי </w:t>
      </w:r>
      <w:bookmarkStart w:id="30718" w:name="_ETM_Q54_556680"/>
      <w:bookmarkEnd w:id="30718"/>
      <w:r>
        <w:rPr>
          <w:rFonts w:hint="cs"/>
          <w:rtl/>
          <w:lang w:eastAsia="he-IL"/>
        </w:rPr>
        <w:t xml:space="preserve">נתפס על האינטרסים החיוניים ביותר של ישראל. הלכידות החברתית </w:t>
      </w:r>
      <w:bookmarkStart w:id="30719" w:name="_ETM_Q54_563433"/>
      <w:bookmarkEnd w:id="30719"/>
      <w:r>
        <w:rPr>
          <w:rFonts w:hint="cs"/>
          <w:rtl/>
          <w:lang w:eastAsia="he-IL"/>
        </w:rPr>
        <w:t>שלנו, היחסים עם ב</w:t>
      </w:r>
      <w:r w:rsidR="00FB3734">
        <w:rPr>
          <w:rFonts w:hint="cs"/>
          <w:rtl/>
          <w:lang w:eastAsia="he-IL"/>
        </w:rPr>
        <w:t>עלי</w:t>
      </w:r>
      <w:r>
        <w:rPr>
          <w:rFonts w:hint="cs"/>
          <w:rtl/>
          <w:lang w:eastAsia="he-IL"/>
        </w:rPr>
        <w:t xml:space="preserve"> הברית הטובים ביותר שלנו בעולם, </w:t>
      </w:r>
      <w:bookmarkStart w:id="30720" w:name="_ETM_Q54_572602"/>
      <w:bookmarkEnd w:id="30720"/>
      <w:r>
        <w:rPr>
          <w:rFonts w:hint="cs"/>
          <w:rtl/>
          <w:lang w:eastAsia="he-IL"/>
        </w:rPr>
        <w:t xml:space="preserve">הביטחון שלנו, הכלכלה שלנו – כל אלה, למרבה </w:t>
      </w:r>
      <w:bookmarkStart w:id="30721" w:name="_ETM_Q54_580379"/>
      <w:bookmarkEnd w:id="30721"/>
      <w:r>
        <w:rPr>
          <w:rFonts w:hint="cs"/>
          <w:rtl/>
          <w:lang w:eastAsia="he-IL"/>
        </w:rPr>
        <w:t xml:space="preserve">הצער, כבר נפגעו וייפגעו באופן קשה, אם החוק לביטול </w:t>
      </w:r>
      <w:bookmarkStart w:id="30722" w:name="_ETM_Q54_582248"/>
      <w:bookmarkEnd w:id="30722"/>
      <w:r>
        <w:rPr>
          <w:rFonts w:hint="cs"/>
          <w:rtl/>
          <w:lang w:eastAsia="he-IL"/>
        </w:rPr>
        <w:t>עילת הסבירות על נבחרי ציבור יעבור מחר.</w:t>
      </w:r>
    </w:p>
    <w:p w:rsidR="00BB59CD" w:rsidRDefault="00BB59CD" w:rsidP="00BB59CD">
      <w:pPr>
        <w:rPr>
          <w:rtl/>
          <w:lang w:eastAsia="he-IL"/>
        </w:rPr>
      </w:pPr>
      <w:bookmarkStart w:id="30723" w:name="_ETM_Q54_591192"/>
      <w:bookmarkStart w:id="30724" w:name="_ETM_Q54_591295"/>
      <w:bookmarkEnd w:id="30723"/>
      <w:bookmarkEnd w:id="30724"/>
    </w:p>
    <w:p w:rsidR="00BB59CD" w:rsidRDefault="00BB59CD" w:rsidP="00FB3734">
      <w:pPr>
        <w:rPr>
          <w:rtl/>
          <w:lang w:eastAsia="he-IL"/>
        </w:rPr>
      </w:pPr>
      <w:bookmarkStart w:id="30725" w:name="_ETM_Q54_591320"/>
      <w:bookmarkStart w:id="30726" w:name="_ETM_Q54_591401"/>
      <w:bookmarkEnd w:id="30725"/>
      <w:bookmarkEnd w:id="30726"/>
      <w:r>
        <w:rPr>
          <w:rFonts w:hint="cs"/>
          <w:rtl/>
          <w:lang w:eastAsia="he-IL"/>
        </w:rPr>
        <w:t>אני ראיתי לפני כמה</w:t>
      </w:r>
      <w:bookmarkStart w:id="30727" w:name="_ETM_Q54_593609"/>
      <w:bookmarkEnd w:id="30727"/>
      <w:r>
        <w:rPr>
          <w:rFonts w:hint="cs"/>
          <w:rtl/>
          <w:lang w:eastAsia="he-IL"/>
        </w:rPr>
        <w:t xml:space="preserve"> רגעים מסמך שהופץ על ידי המכון למחקרי ביטחון לאומי</w:t>
      </w:r>
      <w:bookmarkStart w:id="30728" w:name="_ETM_Q54_600141"/>
      <w:bookmarkEnd w:id="30728"/>
      <w:r>
        <w:rPr>
          <w:rFonts w:hint="cs"/>
          <w:rtl/>
          <w:lang w:eastAsia="he-IL"/>
        </w:rPr>
        <w:t xml:space="preserve"> שנושא את הכותרת הבלתי</w:t>
      </w:r>
      <w:r w:rsidR="00FB3734">
        <w:rPr>
          <w:rFonts w:hint="cs"/>
          <w:rtl/>
          <w:lang w:eastAsia="he-IL"/>
        </w:rPr>
        <w:t>-</w:t>
      </w:r>
      <w:r>
        <w:rPr>
          <w:rFonts w:hint="cs"/>
          <w:rtl/>
          <w:lang w:eastAsia="he-IL"/>
        </w:rPr>
        <w:t>נתפסת: צבא העם בסכנ</w:t>
      </w:r>
      <w:bookmarkStart w:id="30729" w:name="_ETM_Q54_604591"/>
      <w:bookmarkEnd w:id="30729"/>
      <w:r>
        <w:rPr>
          <w:rFonts w:hint="cs"/>
          <w:rtl/>
          <w:lang w:eastAsia="he-IL"/>
        </w:rPr>
        <w:t xml:space="preserve">ת פירוק, עם קריאה לעצירה מיידית של החקיקה. קראתי </w:t>
      </w:r>
      <w:bookmarkStart w:id="30730" w:name="_ETM_Q54_611153"/>
      <w:bookmarkEnd w:id="30730"/>
      <w:r>
        <w:rPr>
          <w:rFonts w:hint="cs"/>
          <w:rtl/>
          <w:lang w:eastAsia="he-IL"/>
        </w:rPr>
        <w:t>היום את אגרת הרמטכ"ל מהבוקר, ואני ממליץ לכל אחד לקרוא</w:t>
      </w:r>
      <w:bookmarkStart w:id="30731" w:name="_ETM_Q54_613827"/>
      <w:bookmarkEnd w:id="30731"/>
      <w:r>
        <w:rPr>
          <w:rFonts w:hint="cs"/>
          <w:rtl/>
          <w:lang w:eastAsia="he-IL"/>
        </w:rPr>
        <w:t xml:space="preserve"> אותה. האחריות שלנו לכשירות וללכידות – אני מסכים עם כל מילה</w:t>
      </w:r>
      <w:bookmarkStart w:id="30732" w:name="_ETM_Q54_624967"/>
      <w:bookmarkEnd w:id="30732"/>
      <w:r w:rsidR="00FB3734">
        <w:rPr>
          <w:rFonts w:hint="cs"/>
          <w:rtl/>
          <w:lang w:eastAsia="he-IL"/>
        </w:rPr>
        <w:t>,</w:t>
      </w:r>
      <w:r>
        <w:rPr>
          <w:rFonts w:hint="cs"/>
          <w:rtl/>
          <w:lang w:eastAsia="he-IL"/>
        </w:rPr>
        <w:t xml:space="preserve"> גם על הסדקים המסוכנים, גם על חשיבותה של הכשירות </w:t>
      </w:r>
      <w:bookmarkStart w:id="30733" w:name="_ETM_Q54_624689"/>
      <w:bookmarkEnd w:id="30733"/>
      <w:r>
        <w:rPr>
          <w:rFonts w:hint="cs"/>
          <w:rtl/>
          <w:lang w:eastAsia="he-IL"/>
        </w:rPr>
        <w:t xml:space="preserve">והלכידות בזמן מחלוקת, דווקא בזמן מחלוקת. הרמטכ"ל באגרתו כותב </w:t>
      </w:r>
      <w:bookmarkStart w:id="30734" w:name="_ETM_Q54_638465"/>
      <w:bookmarkEnd w:id="30734"/>
      <w:r>
        <w:rPr>
          <w:rFonts w:hint="cs"/>
          <w:rtl/>
          <w:lang w:eastAsia="he-IL"/>
        </w:rPr>
        <w:t>משפט שהיה אמור לצמרר כל אחד מאיתנו כישראלי, ואני מצטט:</w:t>
      </w:r>
      <w:bookmarkStart w:id="30735" w:name="_ETM_Q54_648626"/>
      <w:bookmarkEnd w:id="30735"/>
      <w:r>
        <w:rPr>
          <w:rFonts w:hint="cs"/>
          <w:rtl/>
          <w:lang w:eastAsia="he-IL"/>
        </w:rPr>
        <w:t xml:space="preserve"> "אם לא נהיה צבא חזק ומלוכד, לא נתקיים כמדינה באזור".</w:t>
      </w:r>
      <w:bookmarkStart w:id="30736" w:name="_ETM_Q54_658065"/>
      <w:bookmarkEnd w:id="30736"/>
    </w:p>
    <w:p w:rsidR="00BB59CD" w:rsidRDefault="00BB59CD" w:rsidP="00BB59CD">
      <w:pPr>
        <w:rPr>
          <w:rtl/>
          <w:lang w:eastAsia="he-IL"/>
        </w:rPr>
      </w:pPr>
      <w:bookmarkStart w:id="30737" w:name="_ETM_Q54_658721"/>
      <w:bookmarkStart w:id="30738" w:name="_ETM_Q54_658825"/>
      <w:bookmarkEnd w:id="30737"/>
      <w:bookmarkEnd w:id="30738"/>
    </w:p>
    <w:p w:rsidR="00BB59CD" w:rsidRDefault="00BB59CD" w:rsidP="00FB3734">
      <w:pPr>
        <w:rPr>
          <w:rtl/>
          <w:lang w:eastAsia="he-IL"/>
        </w:rPr>
      </w:pPr>
      <w:bookmarkStart w:id="30739" w:name="_ETM_Q54_658865"/>
      <w:bookmarkEnd w:id="30739"/>
      <w:r>
        <w:rPr>
          <w:rFonts w:hint="cs"/>
          <w:rtl/>
          <w:lang w:eastAsia="he-IL"/>
        </w:rPr>
        <w:t>ב</w:t>
      </w:r>
      <w:bookmarkStart w:id="30740" w:name="_ETM_Q54_658979"/>
      <w:bookmarkEnd w:id="30740"/>
      <w:r>
        <w:rPr>
          <w:rFonts w:hint="cs"/>
          <w:rtl/>
          <w:lang w:eastAsia="he-IL"/>
        </w:rPr>
        <w:t xml:space="preserve">יוזמת הרמטכ"ל לשעבר, חברי רב-אלוף במיל' חבר הכנסת </w:t>
      </w:r>
      <w:bookmarkStart w:id="30741" w:name="_ETM_Q54_666479"/>
      <w:bookmarkEnd w:id="30741"/>
      <w:r>
        <w:rPr>
          <w:rFonts w:hint="cs"/>
          <w:rtl/>
          <w:lang w:eastAsia="he-IL"/>
        </w:rPr>
        <w:t xml:space="preserve">גדי איזנקוט, פנינו ביום שישי, שבעה מחברי ועדת החוץ </w:t>
      </w:r>
      <w:bookmarkStart w:id="30742" w:name="_ETM_Q54_666584"/>
      <w:bookmarkEnd w:id="30742"/>
      <w:r>
        <w:rPr>
          <w:rFonts w:hint="cs"/>
          <w:rtl/>
          <w:lang w:eastAsia="he-IL"/>
        </w:rPr>
        <w:t>והביטחון</w:t>
      </w:r>
      <w:r w:rsidR="00FB3734">
        <w:rPr>
          <w:rFonts w:hint="cs"/>
          <w:rtl/>
          <w:lang w:eastAsia="he-IL"/>
        </w:rPr>
        <w:t>,</w:t>
      </w:r>
      <w:r>
        <w:rPr>
          <w:rFonts w:hint="cs"/>
          <w:rtl/>
          <w:lang w:eastAsia="he-IL"/>
        </w:rPr>
        <w:t xml:space="preserve"> ליושב-ראש יולי אדלשטיין, וביקשנו כינוס דחוף </w:t>
      </w:r>
      <w:bookmarkStart w:id="30743" w:name="_ETM_Q54_676223"/>
      <w:bookmarkEnd w:id="30743"/>
      <w:r>
        <w:rPr>
          <w:rFonts w:hint="cs"/>
          <w:rtl/>
          <w:lang w:eastAsia="he-IL"/>
        </w:rPr>
        <w:t xml:space="preserve">של הוועדה בנושא הפגיעה החמורה בכשירות צה"ל. ביקשנו לזמן את </w:t>
      </w:r>
      <w:bookmarkStart w:id="30744" w:name="_ETM_Q54_682876"/>
      <w:bookmarkEnd w:id="30744"/>
      <w:r>
        <w:rPr>
          <w:rFonts w:hint="cs"/>
          <w:rtl/>
          <w:lang w:eastAsia="he-IL"/>
        </w:rPr>
        <w:t>ראש אמ"ן, את מפקד חיל האוויר, את הרמטכ"ל</w:t>
      </w:r>
      <w:bookmarkStart w:id="30745" w:name="_ETM_Q54_685904"/>
      <w:bookmarkEnd w:id="30745"/>
      <w:r>
        <w:rPr>
          <w:rFonts w:hint="cs"/>
          <w:rtl/>
          <w:lang w:eastAsia="he-IL"/>
        </w:rPr>
        <w:t xml:space="preserve"> ואת שר הביטחון לדיון זה, והיום שבנו ופנינו. </w:t>
      </w:r>
      <w:bookmarkStart w:id="30746" w:name="_ETM_Q54_692690"/>
      <w:bookmarkEnd w:id="30746"/>
      <w:r>
        <w:rPr>
          <w:rFonts w:hint="cs"/>
          <w:rtl/>
          <w:lang w:eastAsia="he-IL"/>
        </w:rPr>
        <w:t>עד כה לא נענינו. אני מתקשה להבין זאת. אדוני היושב-ראש</w:t>
      </w:r>
      <w:r w:rsidR="00FB3734">
        <w:rPr>
          <w:rFonts w:hint="cs"/>
          <w:rtl/>
          <w:lang w:eastAsia="he-IL"/>
        </w:rPr>
        <w:t>.</w:t>
      </w:r>
      <w:r>
        <w:rPr>
          <w:rFonts w:hint="cs"/>
          <w:rtl/>
          <w:lang w:eastAsia="he-IL"/>
        </w:rPr>
        <w:t xml:space="preserve"> </w:t>
      </w:r>
      <w:bookmarkStart w:id="30747" w:name="_ETM_Q54_700106"/>
      <w:bookmarkEnd w:id="30747"/>
      <w:r>
        <w:rPr>
          <w:rFonts w:hint="cs"/>
          <w:rtl/>
          <w:lang w:eastAsia="he-IL"/>
        </w:rPr>
        <w:t>בא</w:t>
      </w:r>
      <w:r w:rsidR="00FB3734">
        <w:rPr>
          <w:rFonts w:hint="cs"/>
          <w:rtl/>
          <w:lang w:eastAsia="he-IL"/>
        </w:rPr>
        <w:t>י</w:t>
      </w:r>
      <w:r>
        <w:rPr>
          <w:rFonts w:hint="cs"/>
          <w:rtl/>
          <w:lang w:eastAsia="he-IL"/>
        </w:rPr>
        <w:t xml:space="preserve">לו נסיבות הפיקוח הפרלמנטרי של הכנסת, של ועדת חוץ </w:t>
      </w:r>
      <w:bookmarkStart w:id="30748" w:name="_ETM_Q54_702236"/>
      <w:bookmarkEnd w:id="30748"/>
      <w:r>
        <w:rPr>
          <w:rFonts w:hint="cs"/>
          <w:rtl/>
          <w:lang w:eastAsia="he-IL"/>
        </w:rPr>
        <w:t xml:space="preserve">וביטחון, נדרש יותר, נחוץ יותר, מתבקש יותר וחיוני יותר מאשר </w:t>
      </w:r>
      <w:bookmarkStart w:id="30749" w:name="_ETM_Q54_712514"/>
      <w:bookmarkEnd w:id="30749"/>
      <w:r>
        <w:rPr>
          <w:rFonts w:hint="cs"/>
          <w:rtl/>
          <w:lang w:eastAsia="he-IL"/>
        </w:rPr>
        <w:t>עתה?</w:t>
      </w:r>
      <w:bookmarkStart w:id="30750" w:name="_ETM_Q54_716706"/>
      <w:bookmarkEnd w:id="30750"/>
    </w:p>
    <w:p w:rsidR="00BB59CD" w:rsidRDefault="00BB59CD" w:rsidP="00BB59CD">
      <w:pPr>
        <w:rPr>
          <w:rtl/>
          <w:lang w:eastAsia="he-IL"/>
        </w:rPr>
      </w:pPr>
      <w:bookmarkStart w:id="30751" w:name="_ETM_Q54_716791"/>
      <w:bookmarkEnd w:id="30751"/>
    </w:p>
    <w:p w:rsidR="00BB59CD" w:rsidRDefault="00BB59CD" w:rsidP="00FB3734">
      <w:pPr>
        <w:rPr>
          <w:rtl/>
        </w:rPr>
      </w:pPr>
      <w:bookmarkStart w:id="30752" w:name="_ETM_Q54_716835"/>
      <w:bookmarkEnd w:id="30752"/>
      <w:r>
        <w:rPr>
          <w:rFonts w:hint="cs"/>
          <w:rtl/>
          <w:lang w:eastAsia="he-IL"/>
        </w:rPr>
        <w:t>א</w:t>
      </w:r>
      <w:bookmarkStart w:id="30753" w:name="_ETM_Q54_716931"/>
      <w:bookmarkEnd w:id="30753"/>
      <w:r>
        <w:rPr>
          <w:rFonts w:hint="cs"/>
          <w:rtl/>
          <w:lang w:eastAsia="he-IL"/>
        </w:rPr>
        <w:t>בל לא רק זה. אני שואל: האם הממשלה</w:t>
      </w:r>
      <w:bookmarkStart w:id="30754" w:name="_ETM_Q54_599275"/>
      <w:bookmarkEnd w:id="30754"/>
      <w:r w:rsidR="00FB3734">
        <w:rPr>
          <w:rFonts w:hint="cs"/>
          <w:rtl/>
          <w:lang w:eastAsia="he-IL"/>
        </w:rPr>
        <w:t>,</w:t>
      </w:r>
      <w:r>
        <w:rPr>
          <w:rFonts w:hint="cs"/>
          <w:rtl/>
          <w:lang w:eastAsia="he-IL"/>
        </w:rPr>
        <w:t xml:space="preserve"> </w:t>
      </w:r>
      <w:bookmarkStart w:id="30755" w:name="_ETM_Q54_724947"/>
      <w:bookmarkEnd w:id="30755"/>
      <w:r>
        <w:rPr>
          <w:rFonts w:hint="cs"/>
          <w:rtl/>
          <w:lang w:eastAsia="he-IL"/>
        </w:rPr>
        <w:t>ממשלת הבובות הזאת</w:t>
      </w:r>
      <w:r w:rsidR="00FB3734">
        <w:rPr>
          <w:rFonts w:hint="cs"/>
          <w:rtl/>
          <w:lang w:eastAsia="he-IL"/>
        </w:rPr>
        <w:t>,</w:t>
      </w:r>
      <w:r>
        <w:rPr>
          <w:rFonts w:hint="cs"/>
          <w:rtl/>
          <w:lang w:eastAsia="he-IL"/>
        </w:rPr>
        <w:t xml:space="preserve"> התכנסה לשמוע את הרמטכ"ל? התכנסה לשמוע את </w:t>
      </w:r>
      <w:bookmarkStart w:id="30756" w:name="_ETM_Q54_728339"/>
      <w:bookmarkEnd w:id="30756"/>
      <w:r>
        <w:rPr>
          <w:rFonts w:hint="cs"/>
          <w:rtl/>
          <w:lang w:eastAsia="he-IL"/>
        </w:rPr>
        <w:t xml:space="preserve">מפקד חיל האוויר? את שר הביטחון? נניח לא הממשלה – </w:t>
      </w:r>
      <w:bookmarkStart w:id="30757" w:name="_ETM_Q54_733423"/>
      <w:bookmarkEnd w:id="30757"/>
      <w:r>
        <w:rPr>
          <w:rFonts w:hint="cs"/>
          <w:rtl/>
          <w:lang w:eastAsia="he-IL"/>
        </w:rPr>
        <w:t xml:space="preserve">האם הקבינט הביטחוני התכנס? האם זו לא חובתו של הקבינט </w:t>
      </w:r>
      <w:bookmarkStart w:id="30758" w:name="_ETM_Q54_743391"/>
      <w:bookmarkEnd w:id="30758"/>
      <w:r>
        <w:rPr>
          <w:rFonts w:hint="cs"/>
          <w:rtl/>
          <w:lang w:eastAsia="he-IL"/>
        </w:rPr>
        <w:t xml:space="preserve">המדיני-ביטחוני לאמוד את המצב הביטחוני, את המשמעויות הביטחוניות, את ההשלכות </w:t>
      </w:r>
      <w:bookmarkStart w:id="30759" w:name="_ETM_Q54_745901"/>
      <w:bookmarkEnd w:id="30759"/>
      <w:r>
        <w:rPr>
          <w:rFonts w:hint="cs"/>
          <w:rtl/>
          <w:lang w:eastAsia="he-IL"/>
        </w:rPr>
        <w:t>על כשירות צה"ל, את המוכנות למלחמה כי תבוא, חלילה?</w:t>
      </w:r>
      <w:bookmarkStart w:id="30760" w:name="_ETM_Q54_756265"/>
      <w:bookmarkStart w:id="30761" w:name="_ETM_Q54_757849"/>
      <w:bookmarkStart w:id="30762" w:name="_ETM_Q54_757956"/>
      <w:bookmarkStart w:id="30763" w:name="_ETM_Q54_604353"/>
      <w:bookmarkStart w:id="30764" w:name="_ETM_Q54_604456"/>
      <w:bookmarkStart w:id="30765" w:name="_ETM_Q54_499531"/>
      <w:bookmarkStart w:id="30766" w:name="_ETM_Q54_499619"/>
      <w:bookmarkStart w:id="30767" w:name="_ETM_Q54_499659"/>
      <w:bookmarkStart w:id="30768" w:name="_ETM_Q54_499730"/>
      <w:bookmarkStart w:id="30769" w:name="TOR_Q55"/>
      <w:bookmarkEnd w:id="30760"/>
      <w:bookmarkEnd w:id="30761"/>
      <w:bookmarkEnd w:id="30762"/>
      <w:bookmarkEnd w:id="30763"/>
      <w:bookmarkEnd w:id="30764"/>
      <w:bookmarkEnd w:id="30765"/>
      <w:bookmarkEnd w:id="30766"/>
      <w:bookmarkEnd w:id="30767"/>
      <w:bookmarkEnd w:id="30768"/>
      <w:bookmarkEnd w:id="30769"/>
      <w:r>
        <w:rPr>
          <w:rFonts w:hint="cs"/>
          <w:rtl/>
        </w:rPr>
        <w:t xml:space="preserve"> היכן היא האחריות המיניסטריאלית? מה המשמעות שלה בכלל? אין לכם עניין לשאול, להתעניין, לנסות להבין לאן זה עלול להידרדר? </w:t>
      </w:r>
    </w:p>
    <w:p w:rsidR="00BB59CD" w:rsidRDefault="00BB59CD" w:rsidP="00BB59CD">
      <w:pPr>
        <w:rPr>
          <w:rtl/>
        </w:rPr>
      </w:pPr>
    </w:p>
    <w:p w:rsidR="00BB59CD" w:rsidRDefault="00BB59CD" w:rsidP="00FB3734">
      <w:pPr>
        <w:rPr>
          <w:rtl/>
        </w:rPr>
      </w:pPr>
      <w:r>
        <w:rPr>
          <w:rFonts w:hint="cs"/>
          <w:rtl/>
        </w:rPr>
        <w:t xml:space="preserve">אדוני היושב-ראש, אני מקווה, </w:t>
      </w:r>
      <w:bookmarkStart w:id="30770" w:name="_ETM_Q55_184000"/>
      <w:bookmarkEnd w:id="30770"/>
      <w:r>
        <w:rPr>
          <w:rFonts w:hint="cs"/>
          <w:rtl/>
        </w:rPr>
        <w:t>כמובן, שדבר ר</w:t>
      </w:r>
      <w:r w:rsidR="00FB3734">
        <w:rPr>
          <w:rFonts w:hint="cs"/>
          <w:rtl/>
        </w:rPr>
        <w:t>ע</w:t>
      </w:r>
      <w:r>
        <w:rPr>
          <w:rFonts w:hint="cs"/>
          <w:rtl/>
        </w:rPr>
        <w:t xml:space="preserve"> לא יארע. אבל צריכה להיות קצת יראה. מה תשיבו כשתישאלו: איך לא עצרתם? איך לא ראיתם את הכתובת על הקיר מרוחה באותיות קידוש לבנה? מי לא מבין שיש קשר הדוק בין מהלכי חיזבאללה, ההתגרויות שלו על קו </w:t>
      </w:r>
      <w:bookmarkStart w:id="30771" w:name="_ETM_Q55_213000"/>
      <w:bookmarkEnd w:id="30771"/>
      <w:r>
        <w:rPr>
          <w:rFonts w:hint="cs"/>
          <w:rtl/>
        </w:rPr>
        <w:t>הגבול</w:t>
      </w:r>
      <w:r w:rsidR="00FB3734">
        <w:rPr>
          <w:rFonts w:hint="cs"/>
          <w:rtl/>
        </w:rPr>
        <w:t>,</w:t>
      </w:r>
      <w:r>
        <w:rPr>
          <w:rFonts w:hint="cs"/>
          <w:rtl/>
        </w:rPr>
        <w:t xml:space="preserve"> לבין הקרע הגדול הזה בתוכנו?</w:t>
      </w:r>
    </w:p>
    <w:p w:rsidR="00BB59CD" w:rsidRDefault="00BB59CD" w:rsidP="00BB59CD">
      <w:pPr>
        <w:rPr>
          <w:rtl/>
        </w:rPr>
      </w:pPr>
    </w:p>
    <w:p w:rsidR="00BB59CD" w:rsidRDefault="00BB59CD" w:rsidP="003701F0">
      <w:pPr>
        <w:rPr>
          <w:rtl/>
        </w:rPr>
      </w:pPr>
      <w:bookmarkStart w:id="30772" w:name="_ETM_Q55_222000"/>
      <w:bookmarkEnd w:id="30772"/>
      <w:r>
        <w:rPr>
          <w:rFonts w:hint="cs"/>
          <w:rtl/>
        </w:rPr>
        <w:t xml:space="preserve">בימים האלה, אדוני היושב-ראש, הממשלה וצבא ההגנה לישראל היו צריכים להיערך למערכה שעלולה לבוא; ואנחנו שנינו שומעים את הדברים מעת לעת </w:t>
      </w:r>
      <w:bookmarkStart w:id="30773" w:name="_ETM_Q55_237000"/>
      <w:bookmarkEnd w:id="30773"/>
      <w:r>
        <w:rPr>
          <w:rFonts w:hint="cs"/>
          <w:rtl/>
        </w:rPr>
        <w:t>בוועדת המשנה למודיעין ולשירותים חשאיים. אבל במקום זה במה הם עוסקים</w:t>
      </w:r>
      <w:r w:rsidR="00FB3734">
        <w:rPr>
          <w:rFonts w:hint="cs"/>
          <w:rtl/>
        </w:rPr>
        <w:t>,</w:t>
      </w:r>
      <w:r>
        <w:rPr>
          <w:rFonts w:hint="cs"/>
          <w:rtl/>
        </w:rPr>
        <w:t xml:space="preserve"> במה הם עסוקים? בעיניי זה בלתי נתפס.</w:t>
      </w:r>
      <w:bookmarkStart w:id="30774" w:name="_ETM_Q55_249000"/>
      <w:bookmarkEnd w:id="30774"/>
      <w:r>
        <w:rPr>
          <w:rFonts w:hint="cs"/>
          <w:rtl/>
        </w:rPr>
        <w:t xml:space="preserve"> אנחנו כבר חיים עם הידרדרות בנושא ביטחון הפנים; עם מספר שיא של פיגועים ונפגעים בפיגועים זה כמעט 20 שנה. ואיפה האחריות של הממשלה, של ראש הממשלה – שאני מאחל לו רפואה שלמה – </w:t>
      </w:r>
      <w:bookmarkStart w:id="30775" w:name="_ETM_Q55_274000"/>
      <w:bookmarkEnd w:id="30775"/>
      <w:r>
        <w:rPr>
          <w:rFonts w:hint="cs"/>
          <w:rtl/>
        </w:rPr>
        <w:t>לביטחון אזרחי ישראל</w:t>
      </w:r>
      <w:r w:rsidR="008D60AE">
        <w:rPr>
          <w:rFonts w:hint="cs"/>
          <w:rtl/>
        </w:rPr>
        <w:t xml:space="preserve">, </w:t>
      </w:r>
      <w:r>
        <w:rPr>
          <w:rFonts w:hint="cs"/>
          <w:rtl/>
        </w:rPr>
        <w:t>לביטחון של כולנו, לביטחון של ילדינו</w:t>
      </w:r>
      <w:r w:rsidR="008D60AE">
        <w:rPr>
          <w:rFonts w:hint="cs"/>
          <w:rtl/>
        </w:rPr>
        <w:t>?</w:t>
      </w:r>
      <w:r>
        <w:rPr>
          <w:rFonts w:hint="cs"/>
          <w:rtl/>
        </w:rPr>
        <w:t xml:space="preserve"> האם היום זה עניין משני, זה עניין שולי? ואיך כל זה, מכובדי היושב-ראש, יכול לקרות לנו בימים האלה, בימי בין המצרים? עם שזוכר, עם הזיכרון, עם שחווה על בשרו בצורה הטרגית ביותר האפשרית את נזקי הפילוג – גם בחורבן וגם בשנים הארוכות של הגלות. </w:t>
      </w:r>
      <w:bookmarkStart w:id="30776" w:name="_ETM_Q55_322000"/>
      <w:bookmarkEnd w:id="30776"/>
      <w:r>
        <w:rPr>
          <w:rFonts w:hint="cs"/>
          <w:rtl/>
        </w:rPr>
        <w:t xml:space="preserve">בראשי מהדהד כל </w:t>
      </w:r>
      <w:bookmarkStart w:id="30777" w:name="_ETM_Q55_326000"/>
      <w:bookmarkEnd w:id="30777"/>
      <w:r>
        <w:rPr>
          <w:rFonts w:hint="cs"/>
          <w:rtl/>
        </w:rPr>
        <w:t xml:space="preserve">הזמן בימים האחרונים המשפט ממגילת איכה: "כל רֹדְפֶיהָ השיגוה בין המצרים". הדברים הללו, אני רוצה לומר אותם בטון </w:t>
      </w:r>
      <w:bookmarkStart w:id="30778" w:name="_ETM_Q55_342000"/>
      <w:bookmarkEnd w:id="30778"/>
      <w:r>
        <w:rPr>
          <w:rFonts w:hint="cs"/>
          <w:rtl/>
        </w:rPr>
        <w:t xml:space="preserve">שצריך להיאמר בימי בין המצרים – לא כזה המעמיק, חלילה, שנאה או איבה בתוכנו – זה כבר קיים במידה מספקת, </w:t>
      </w:r>
      <w:bookmarkStart w:id="30779" w:name="_ETM_Q55_361000"/>
      <w:bookmarkEnd w:id="30779"/>
      <w:r>
        <w:rPr>
          <w:rFonts w:hint="cs"/>
          <w:rtl/>
        </w:rPr>
        <w:t>למרבה הצער. אני שואל רבים מאיתנו שמקיימים בימים הללו, בתשעת הימים, שורה של איסורים הנוגעים לתשעת הימים, ורבים מא</w:t>
      </w:r>
      <w:r w:rsidR="003701F0">
        <w:rPr>
          <w:rFonts w:hint="cs"/>
          <w:rtl/>
        </w:rPr>
        <w:t>י</w:t>
      </w:r>
      <w:r>
        <w:rPr>
          <w:rFonts w:hint="cs"/>
          <w:rtl/>
        </w:rPr>
        <w:t xml:space="preserve">תנו שיצומו ביום רביעי הקרוב בתשעה באב – וכל זה מלמד על מסורת גדולה, על מורשת שאנחנו שומרים עליה הרבה שנים. אבל מה למדנו? מה באמת למדנו? </w:t>
      </w:r>
    </w:p>
    <w:p w:rsidR="00BB59CD" w:rsidRDefault="00BB59CD" w:rsidP="00BB59CD">
      <w:pPr>
        <w:rPr>
          <w:rtl/>
        </w:rPr>
      </w:pPr>
    </w:p>
    <w:p w:rsidR="00BB59CD" w:rsidRDefault="00BB59CD" w:rsidP="003701F0">
      <w:pPr>
        <w:rPr>
          <w:rtl/>
        </w:rPr>
      </w:pPr>
      <w:r>
        <w:rPr>
          <w:rFonts w:hint="cs"/>
          <w:rtl/>
        </w:rPr>
        <w:t xml:space="preserve">מהביטחון אני מגיע ליחסים עם הטובה שבידידותנו – </w:t>
      </w:r>
      <w:bookmarkStart w:id="30780" w:name="_ETM_Q55_413000"/>
      <w:bookmarkEnd w:id="30780"/>
      <w:r>
        <w:rPr>
          <w:rFonts w:hint="cs"/>
          <w:rtl/>
        </w:rPr>
        <w:t xml:space="preserve">ארצות הברית של אמריקה. ישראל היא, ברוך השם, מדינה עצמאית, והיא לבדה תקבע את דרכה, את אופייה. איננו מבקשים התערבות של מדינות זרות בעניינינו הפנימיים. אבל האם איננו חייבים להיות קשובים לרחשי הלב והראש של הטובה בידידותנו ושל ידידים אחרים בעולם? מאותת לנו לא פחות מנשיא ארצות הברית, אדם עם רקורד של עשרות שנים כידיד ישראל </w:t>
      </w:r>
      <w:r w:rsidR="003701F0">
        <w:rPr>
          <w:rFonts w:hint="eastAsia"/>
          <w:rtl/>
        </w:rPr>
        <w:t>–</w:t>
      </w:r>
      <w:r w:rsidR="003701F0">
        <w:rPr>
          <w:rFonts w:hint="cs"/>
          <w:rtl/>
        </w:rPr>
        <w:t xml:space="preserve"> </w:t>
      </w:r>
      <w:r>
        <w:rPr>
          <w:rFonts w:hint="cs"/>
          <w:rtl/>
        </w:rPr>
        <w:t xml:space="preserve">כן, היו לנו גם איתו ויכוחים, ומן הסתם גם </w:t>
      </w:r>
      <w:bookmarkStart w:id="30781" w:name="_ETM_Q55_463000"/>
      <w:bookmarkEnd w:id="30781"/>
      <w:r>
        <w:rPr>
          <w:rFonts w:hint="cs"/>
          <w:rtl/>
        </w:rPr>
        <w:t>עוד יהיו. עם מי לא היו לנו</w:t>
      </w:r>
      <w:r w:rsidR="003701F0">
        <w:rPr>
          <w:rFonts w:hint="cs"/>
          <w:rtl/>
        </w:rPr>
        <w:t>,</w:t>
      </w:r>
      <w:r>
        <w:rPr>
          <w:rFonts w:hint="cs"/>
          <w:rtl/>
        </w:rPr>
        <w:t xml:space="preserve"> זה טבעי </w:t>
      </w:r>
      <w:r w:rsidR="003701F0">
        <w:rPr>
          <w:rFonts w:hint="eastAsia"/>
          <w:rtl/>
        </w:rPr>
        <w:t>–</w:t>
      </w:r>
      <w:r w:rsidR="003701F0">
        <w:rPr>
          <w:rFonts w:hint="cs"/>
          <w:rtl/>
        </w:rPr>
        <w:t xml:space="preserve"> </w:t>
      </w:r>
      <w:r>
        <w:rPr>
          <w:rFonts w:hint="cs"/>
          <w:rtl/>
        </w:rPr>
        <w:t xml:space="preserve">אבל, באמת, ידיד ישראל גדול, שזה הרקורד שלו עשרות שנים בבתי המחוקקים, עוד לפני שהיה סגן נשיא ונשיא, שאכפת לו מעתיד המדינה. </w:t>
      </w:r>
    </w:p>
    <w:p w:rsidR="00BB59CD" w:rsidRDefault="00BB59CD" w:rsidP="00BB59CD">
      <w:pPr>
        <w:rPr>
          <w:rtl/>
        </w:rPr>
      </w:pPr>
    </w:p>
    <w:p w:rsidR="00BB59CD" w:rsidRDefault="00BB59CD" w:rsidP="003701F0">
      <w:pPr>
        <w:rPr>
          <w:rtl/>
        </w:rPr>
      </w:pPr>
      <w:bookmarkStart w:id="30782" w:name="_ETM_Q55_487000"/>
      <w:bookmarkEnd w:id="30782"/>
      <w:r>
        <w:rPr>
          <w:rFonts w:hint="cs"/>
          <w:rtl/>
        </w:rPr>
        <w:t xml:space="preserve">אני קראתי בעיון רב, אדוני היושב-ראש, את מאמרו של תום פרידמן בניו יורק </w:t>
      </w:r>
      <w:bookmarkStart w:id="30783" w:name="_ETM_Q55_493000"/>
      <w:bookmarkEnd w:id="30783"/>
      <w:r>
        <w:rPr>
          <w:rFonts w:hint="cs"/>
          <w:rtl/>
        </w:rPr>
        <w:t>טיימס מלפני חמישה ימים, שמתבסס על שיחה של שעה ורבע עם נשיא ארצות הברית. אני מצטט בתרגום חופשי. המסר שלו לראש ממשלת ישראל ולנשיא הרצוג לא היה יכול להיות ברור יותר: בבקשה, עצרו עכשיו. אל תעבירו שום דבר בעל חשיבות כה גדולה בלי קונ</w:t>
      </w:r>
      <w:r w:rsidR="003701F0">
        <w:rPr>
          <w:rFonts w:hint="cs"/>
          <w:rtl/>
        </w:rPr>
        <w:t>ס</w:t>
      </w:r>
      <w:r>
        <w:rPr>
          <w:rFonts w:hint="cs"/>
          <w:rtl/>
        </w:rPr>
        <w:t xml:space="preserve">נזוס רחב, או שאתם הולכים לשבור משהו בדמוקרטיה </w:t>
      </w:r>
      <w:bookmarkStart w:id="30784" w:name="_ETM_Q55_527000"/>
      <w:bookmarkEnd w:id="30784"/>
      <w:r>
        <w:rPr>
          <w:rFonts w:hint="cs"/>
          <w:rtl/>
        </w:rPr>
        <w:t xml:space="preserve">הישראלית וביחסים שלכם עם הדמוקרטיה האמריקנית, וייתכן שלעולם לא תצליחו לקבל זאת בחזרה. ובאנגלית: </w:t>
      </w:r>
      <w:r>
        <w:t>And you may never be able to get it back</w:t>
      </w:r>
      <w:r>
        <w:rPr>
          <w:rFonts w:hint="cs"/>
          <w:rtl/>
        </w:rPr>
        <w:t>. אדוני היושב-ראש, אלה דברים מדאיגים מאוד. נשיא ארצות הברית מתייחס גם לסקרים העקביים שאנחנו רואים כאן, וגם לגודלן ועוצמתן של ההפגנות, שמעידים – אלה ואלה – שיש היום רוב ברור שמתנגד למהלך ש</w:t>
      </w:r>
      <w:bookmarkStart w:id="30785" w:name="_ETM_Q55_573000"/>
      <w:bookmarkEnd w:id="30785"/>
      <w:r>
        <w:rPr>
          <w:rFonts w:hint="cs"/>
          <w:rtl/>
        </w:rPr>
        <w:t>ל הממשלה. אין מקום אחד שהראה הפוך, מתוך אולי מאות מחקרים.</w:t>
      </w:r>
      <w:bookmarkStart w:id="30786" w:name="_ETM_Q55_577000"/>
      <w:bookmarkEnd w:id="30786"/>
      <w:r>
        <w:rPr>
          <w:rFonts w:hint="cs"/>
          <w:rtl/>
        </w:rPr>
        <w:t xml:space="preserve"> </w:t>
      </w:r>
    </w:p>
    <w:p w:rsidR="00BB59CD" w:rsidRDefault="00BB59CD" w:rsidP="00BB59CD">
      <w:pPr>
        <w:rPr>
          <w:rtl/>
        </w:rPr>
      </w:pPr>
    </w:p>
    <w:p w:rsidR="00BB59CD" w:rsidRDefault="00BB59CD" w:rsidP="001D2F50">
      <w:pPr>
        <w:rPr>
          <w:rtl/>
        </w:rPr>
      </w:pPr>
      <w:bookmarkStart w:id="30787" w:name="_ETM_Q55_579000"/>
      <w:bookmarkEnd w:id="30787"/>
      <w:r>
        <w:rPr>
          <w:rFonts w:hint="cs"/>
          <w:rtl/>
        </w:rPr>
        <w:t xml:space="preserve">לכן הוא קובע שלא סביר שאי-פעם תהיה לגיטימציה פנימית – ולכן גם לא לגיטימציה חיצונית </w:t>
      </w:r>
      <w:bookmarkStart w:id="30788" w:name="_ETM_Q55_592039"/>
      <w:bookmarkEnd w:id="30788"/>
      <w:r>
        <w:rPr>
          <w:rFonts w:hint="cs"/>
          <w:rtl/>
        </w:rPr>
        <w:t xml:space="preserve">– לאותם מהלכים. הוא מתחנן – לשון המאמר – שנתניהו ותומכיו יבינו: </w:t>
      </w:r>
      <w:r>
        <w:t xml:space="preserve">If we are not seem to share that </w:t>
      </w:r>
      <w:bookmarkStart w:id="30789" w:name="_ETM_Q55_607000"/>
      <w:bookmarkEnd w:id="30789"/>
      <w:r>
        <w:t>democratic value it will be difficult to sustain the special relationship that Israel and America have enjoyed for the last 75 years for another 75 years</w:t>
      </w:r>
      <w:r>
        <w:rPr>
          <w:rFonts w:hint="cs"/>
          <w:rtl/>
        </w:rPr>
        <w:t>.</w:t>
      </w:r>
    </w:p>
    <w:p w:rsidR="00BB59CD" w:rsidRDefault="00BB59CD" w:rsidP="00BB59CD">
      <w:pPr>
        <w:rPr>
          <w:rtl/>
        </w:rPr>
      </w:pPr>
    </w:p>
    <w:p w:rsidR="00BB59CD" w:rsidRDefault="00BB59CD" w:rsidP="00BB59CD">
      <w:pPr>
        <w:rPr>
          <w:rtl/>
        </w:rPr>
      </w:pPr>
      <w:r>
        <w:rPr>
          <w:rFonts w:hint="cs"/>
          <w:rtl/>
        </w:rPr>
        <w:t>אנחנו יכולים להיות אדישים לזה? והוא מסכם במסר שהוא מגדיר אותו לישראלים – ימין, שמאל ומרכז: ג'ו ביידן יכול להיות – או עלול להיות</w:t>
      </w:r>
      <w:r w:rsidR="001D2F50">
        <w:rPr>
          <w:rFonts w:hint="cs"/>
          <w:rtl/>
        </w:rPr>
        <w:t>,</w:t>
      </w:r>
      <w:r>
        <w:rPr>
          <w:rFonts w:hint="cs"/>
          <w:rtl/>
        </w:rPr>
        <w:t xml:space="preserve"> מנקודת המבט שלנו </w:t>
      </w:r>
      <w:bookmarkStart w:id="30790" w:name="_ETM_Q55_634000"/>
      <w:bookmarkEnd w:id="30790"/>
      <w:r>
        <w:rPr>
          <w:rFonts w:hint="cs"/>
          <w:rtl/>
        </w:rPr>
        <w:t xml:space="preserve">– הנשיא הפרו-ישראלי הדמוקרטי האחרון. האם גם על הדבר הזה אתם בממשלה מוכנים להמר?  </w:t>
      </w:r>
    </w:p>
    <w:p w:rsidR="00BB59CD" w:rsidRDefault="00BB59CD" w:rsidP="00BB59CD">
      <w:pPr>
        <w:rPr>
          <w:rtl/>
        </w:rPr>
      </w:pPr>
    </w:p>
    <w:p w:rsidR="00BB59CD" w:rsidRDefault="00BB59CD" w:rsidP="00BB59CD">
      <w:pPr>
        <w:pStyle w:val="af8"/>
        <w:keepNext/>
        <w:rPr>
          <w:rtl/>
        </w:rPr>
      </w:pPr>
      <w:bookmarkStart w:id="30791" w:name="ET_interruption_6559_4"/>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3079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הלוואי שהיינו מאמצים את כל מערכת המשפט של ארצות הברית, ככה, בלי בעיה. חותמים עליה, היום. גם </w:t>
      </w:r>
      <w:bookmarkStart w:id="30792" w:name="_ETM_Q55_656000"/>
      <w:bookmarkEnd w:id="30792"/>
      <w:r>
        <w:rPr>
          <w:rFonts w:hint="cs"/>
          <w:rtl/>
          <w:lang w:eastAsia="he-IL"/>
        </w:rPr>
        <w:t xml:space="preserve">על המצע שלך ושל המפלגה שלך היינו חותמים מייד. זה היה מאוד פשוט. </w:t>
      </w:r>
      <w:bookmarkStart w:id="30793" w:name="_ETM_Q55_661000"/>
      <w:bookmarkEnd w:id="30793"/>
      <w:r>
        <w:rPr>
          <w:rFonts w:hint="cs"/>
          <w:rtl/>
          <w:lang w:eastAsia="he-IL"/>
        </w:rPr>
        <w:t xml:space="preserve">לא היינו צריכים את כל הבלגן הזה. </w:t>
      </w:r>
    </w:p>
    <w:p w:rsidR="00BB59CD" w:rsidRDefault="00BB59CD" w:rsidP="00BB59CD">
      <w:pPr>
        <w:rPr>
          <w:rtl/>
          <w:lang w:eastAsia="he-IL"/>
        </w:rPr>
      </w:pPr>
    </w:p>
    <w:p w:rsidR="00BB59CD" w:rsidRDefault="00BB59CD" w:rsidP="00BB59CD">
      <w:pPr>
        <w:pStyle w:val="-"/>
        <w:keepNext/>
        <w:rPr>
          <w:rtl/>
        </w:rPr>
      </w:pPr>
      <w:bookmarkStart w:id="30794" w:name="ET_speakercontinue_4672_5"/>
      <w:r>
        <w:rPr>
          <w:rStyle w:val="TagStyle"/>
          <w:rFonts w:hint="cs"/>
          <w:rtl/>
        </w:rPr>
        <w:t xml:space="preserve"> &lt;&lt; דובר_המשך &gt;&gt; </w:t>
      </w:r>
      <w:r>
        <w:rPr>
          <w:rFonts w:hint="cs"/>
          <w:rtl/>
        </w:rPr>
        <w:t>גדעון סער (המחנה הממלכתי):</w:t>
      </w:r>
      <w:r>
        <w:rPr>
          <w:rStyle w:val="TagStyle"/>
          <w:rtl/>
        </w:rPr>
        <w:t xml:space="preserve"> &lt;&lt; דובר_המשך &gt;&gt;</w:t>
      </w:r>
      <w:r>
        <w:rPr>
          <w:rFonts w:hint="cs"/>
          <w:rtl/>
        </w:rPr>
        <w:t xml:space="preserve">   </w:t>
      </w:r>
      <w:bookmarkEnd w:id="3079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למה, אדוני היושב-ראש, ההמונים ברחובות? לא באמת בגלל אהוד ברק או בגלל מישהו אחר ממפלגות האופוזיציה. צריך להבין שמה שנפגע פה זה ציפור הנפש. לכל אחד יש ציפור נפש. יש הבדל מהותי בין עניין של מדיניות – ולכל ממשלה יש </w:t>
      </w:r>
      <w:bookmarkStart w:id="30795" w:name="_ETM_Q55_704000"/>
      <w:bookmarkEnd w:id="30795"/>
      <w:r>
        <w:rPr>
          <w:rFonts w:hint="cs"/>
          <w:rtl/>
          <w:lang w:eastAsia="he-IL"/>
        </w:rPr>
        <w:t xml:space="preserve">המדיניות שלה. הממשלה נבחרה, ויש לה זכות להגשים את מדיניותה </w:t>
      </w:r>
      <w:bookmarkStart w:id="30796" w:name="_ETM_Q55_710000"/>
      <w:bookmarkEnd w:id="30796"/>
      <w:r>
        <w:rPr>
          <w:rFonts w:hint="cs"/>
          <w:rtl/>
          <w:lang w:eastAsia="he-IL"/>
        </w:rPr>
        <w:t xml:space="preserve">– לבין הכללים הבסיסיים של המשטר הדמוקרטי: מערכת היחסים, האיזונים והבלמים בין הרשויות. </w:t>
      </w:r>
      <w:bookmarkStart w:id="30797" w:name="_ETM_Q55_719000"/>
      <w:bookmarkEnd w:id="30797"/>
      <w:r>
        <w:rPr>
          <w:rFonts w:hint="cs"/>
          <w:rtl/>
          <w:lang w:eastAsia="he-IL"/>
        </w:rPr>
        <w:t xml:space="preserve">מדיניות? כמו שאמרתי, כל ממשלה מובילה את מדיניותה. רוב של 61 מנדטים הוא מספיק בשביל זה. אבל בשביל לשנות כללי יסוד, חוקי-יסוד בדברים הללו, כפי שעולה מהזעקה של אזרחי ישראל רבים כל כך, </w:t>
      </w:r>
      <w:bookmarkStart w:id="30798" w:name="_ETM_Q55_735000"/>
      <w:bookmarkEnd w:id="30798"/>
      <w:r>
        <w:rPr>
          <w:rFonts w:hint="cs"/>
          <w:rtl/>
          <w:lang w:eastAsia="he-IL"/>
        </w:rPr>
        <w:t xml:space="preserve">נדרשת הסכמה רחבה. </w:t>
      </w:r>
    </w:p>
    <w:p w:rsidR="00BB59CD" w:rsidRDefault="00BB59CD" w:rsidP="00BB59CD">
      <w:pPr>
        <w:rPr>
          <w:rtl/>
          <w:lang w:eastAsia="he-IL"/>
        </w:rPr>
      </w:pPr>
      <w:bookmarkStart w:id="30799" w:name="_ETM_Q55_728666"/>
      <w:bookmarkStart w:id="30800" w:name="_ETM_Q55_728747"/>
      <w:bookmarkStart w:id="30801" w:name="_ETM_Q55_729122"/>
      <w:bookmarkEnd w:id="30799"/>
      <w:bookmarkEnd w:id="30800"/>
      <w:bookmarkEnd w:id="30801"/>
    </w:p>
    <w:p w:rsidR="00BB59CD" w:rsidRDefault="00BB59CD" w:rsidP="001D2F50">
      <w:pPr>
        <w:rPr>
          <w:rtl/>
        </w:rPr>
      </w:pPr>
      <w:bookmarkStart w:id="30802" w:name="_ETM_Q55_729173"/>
      <w:bookmarkEnd w:id="30802"/>
      <w:r>
        <w:rPr>
          <w:rFonts w:hint="cs"/>
          <w:rtl/>
          <w:lang w:eastAsia="he-IL"/>
        </w:rPr>
        <w:t>ההסכמה הרחבה נדרשת לפחות משני טעמים: הטעם הראשון זה שהסכמה רחבה נותנת לגיטימציה רחבה; הטעם השני,</w:t>
      </w:r>
      <w:r w:rsidR="001D2F50">
        <w:rPr>
          <w:rFonts w:hint="cs"/>
          <w:rtl/>
          <w:lang w:eastAsia="he-IL"/>
        </w:rPr>
        <w:t xml:space="preserve"> </w:t>
      </w:r>
      <w:r>
        <w:rPr>
          <w:rFonts w:hint="cs"/>
          <w:rtl/>
          <w:lang w:eastAsia="he-IL"/>
        </w:rPr>
        <w:t>זה מבטיח ש</w:t>
      </w:r>
      <w:bookmarkStart w:id="30803" w:name="_ETM_Q55_754000"/>
      <w:bookmarkEnd w:id="30803"/>
      <w:r>
        <w:rPr>
          <w:rFonts w:hint="cs"/>
          <w:rtl/>
          <w:lang w:eastAsia="he-IL"/>
        </w:rPr>
        <w:t xml:space="preserve">עם שינויי השלטון ההסדרים יישארו על כנם, והם לא יבוטלו </w:t>
      </w:r>
      <w:bookmarkStart w:id="30804" w:name="_ETM_Q55_760000"/>
      <w:bookmarkEnd w:id="30804"/>
      <w:r>
        <w:rPr>
          <w:rFonts w:hint="cs"/>
          <w:rtl/>
          <w:lang w:eastAsia="he-IL"/>
        </w:rPr>
        <w:t xml:space="preserve">לאחר מכן. ואני בהחלט מודאג. </w:t>
      </w:r>
      <w:bookmarkStart w:id="30805" w:name="TOR_Q56"/>
      <w:bookmarkStart w:id="30806" w:name="_ETM_Q56_160360"/>
      <w:bookmarkStart w:id="30807" w:name="_ETM_Q56_156980"/>
      <w:bookmarkEnd w:id="30805"/>
      <w:bookmarkEnd w:id="30806"/>
      <w:bookmarkEnd w:id="30807"/>
      <w:r>
        <w:rPr>
          <w:rFonts w:hint="cs"/>
          <w:rtl/>
          <w:lang w:eastAsia="he-IL"/>
        </w:rPr>
        <w:t>והייתי מודאג מזה גם בעבר, אני חייב להודות.</w:t>
      </w:r>
      <w:bookmarkStart w:id="30808" w:name="_ETM_Q56_163620"/>
      <w:bookmarkEnd w:id="30808"/>
      <w:r>
        <w:rPr>
          <w:rFonts w:hint="cs"/>
          <w:rtl/>
          <w:lang w:eastAsia="he-IL"/>
        </w:rPr>
        <w:t xml:space="preserve"> והדבר הזה </w:t>
      </w:r>
      <w:bookmarkStart w:id="30809" w:name="_ETM_Q56_165357"/>
      <w:bookmarkEnd w:id="30809"/>
      <w:r>
        <w:rPr>
          <w:rFonts w:hint="cs"/>
          <w:rtl/>
          <w:lang w:eastAsia="he-IL"/>
        </w:rPr>
        <w:t xml:space="preserve">גובר והוא לא ישתנה </w:t>
      </w:r>
      <w:bookmarkStart w:id="30810" w:name="_ETM_Q56_167050"/>
      <w:bookmarkEnd w:id="30810"/>
      <w:r>
        <w:rPr>
          <w:rFonts w:hint="cs"/>
          <w:rtl/>
          <w:lang w:eastAsia="he-IL"/>
        </w:rPr>
        <w:t xml:space="preserve">גם בימים של ממשלות אחרי </w:t>
      </w:r>
      <w:bookmarkStart w:id="30811" w:name="_ETM_Q56_173801"/>
      <w:bookmarkEnd w:id="30811"/>
      <w:r>
        <w:rPr>
          <w:rFonts w:hint="cs"/>
          <w:rtl/>
          <w:lang w:eastAsia="he-IL"/>
        </w:rPr>
        <w:t>הממשלה הזאת, מזה שאנחנו כחברה לא יכולי</w:t>
      </w:r>
      <w:bookmarkStart w:id="30812" w:name="_ETM_Q56_175059"/>
      <w:bookmarkEnd w:id="30812"/>
      <w:r>
        <w:rPr>
          <w:rFonts w:hint="cs"/>
          <w:rtl/>
          <w:lang w:eastAsia="he-IL"/>
        </w:rPr>
        <w:t xml:space="preserve">ם או מתקשים </w:t>
      </w:r>
      <w:bookmarkStart w:id="30813" w:name="_ETM_Q56_176904"/>
      <w:bookmarkEnd w:id="30813"/>
      <w:r>
        <w:rPr>
          <w:rFonts w:hint="cs"/>
          <w:rtl/>
          <w:lang w:eastAsia="he-IL"/>
        </w:rPr>
        <w:t xml:space="preserve">להגיע לכללי משחק, להגיע להסדרי יסוד מוסכמים. </w:t>
      </w:r>
      <w:bookmarkStart w:id="30814" w:name="_ETM_Q56_180799"/>
      <w:bookmarkStart w:id="30815" w:name="_ETM_Q56_181370"/>
      <w:bookmarkStart w:id="30816" w:name="_ETM_Q56_181790"/>
      <w:bookmarkStart w:id="30817" w:name="_ETM_Q56_183620"/>
      <w:bookmarkStart w:id="30818" w:name="_ETM_Q56_178159"/>
      <w:bookmarkStart w:id="30819" w:name="_ETM_Q56_191100"/>
      <w:bookmarkEnd w:id="30814"/>
      <w:bookmarkEnd w:id="30815"/>
      <w:bookmarkEnd w:id="30816"/>
      <w:bookmarkEnd w:id="30817"/>
      <w:bookmarkEnd w:id="30818"/>
      <w:bookmarkEnd w:id="30819"/>
      <w:r>
        <w:rPr>
          <w:rFonts w:hint="cs"/>
          <w:rtl/>
        </w:rPr>
        <w:t xml:space="preserve">בכל </w:t>
      </w:r>
      <w:bookmarkStart w:id="30820" w:name="_ETM_Q56_183949"/>
      <w:bookmarkEnd w:id="30820"/>
      <w:r>
        <w:rPr>
          <w:rFonts w:hint="cs"/>
          <w:rtl/>
        </w:rPr>
        <w:t xml:space="preserve">דמוקרטיה </w:t>
      </w:r>
      <w:bookmarkStart w:id="30821" w:name="_ETM_Q56_184460"/>
      <w:bookmarkEnd w:id="30821"/>
      <w:r>
        <w:rPr>
          <w:rFonts w:hint="cs"/>
          <w:rtl/>
        </w:rPr>
        <w:t xml:space="preserve">יש </w:t>
      </w:r>
      <w:bookmarkStart w:id="30822" w:name="_ETM_Q56_184670"/>
      <w:bookmarkEnd w:id="30822"/>
      <w:r>
        <w:rPr>
          <w:rFonts w:hint="cs"/>
          <w:rtl/>
        </w:rPr>
        <w:t xml:space="preserve">מחלוקות </w:t>
      </w:r>
      <w:bookmarkStart w:id="30823" w:name="_ETM_Q56_185300"/>
      <w:bookmarkEnd w:id="30823"/>
      <w:r>
        <w:rPr>
          <w:rFonts w:hint="cs"/>
          <w:rtl/>
        </w:rPr>
        <w:t xml:space="preserve">על </w:t>
      </w:r>
      <w:bookmarkStart w:id="30824" w:name="_ETM_Q56_185420"/>
      <w:bookmarkEnd w:id="30824"/>
      <w:r>
        <w:rPr>
          <w:rFonts w:hint="cs"/>
          <w:rtl/>
        </w:rPr>
        <w:t xml:space="preserve">פסקי </w:t>
      </w:r>
      <w:bookmarkStart w:id="30825" w:name="_ETM_Q56_185840"/>
      <w:bookmarkEnd w:id="30825"/>
      <w:r>
        <w:rPr>
          <w:rFonts w:hint="cs"/>
          <w:rtl/>
        </w:rPr>
        <w:t xml:space="preserve">דין, </w:t>
      </w:r>
      <w:bookmarkStart w:id="30826" w:name="_ETM_Q56_185990"/>
      <w:bookmarkEnd w:id="30826"/>
      <w:r>
        <w:rPr>
          <w:rFonts w:hint="cs"/>
          <w:rtl/>
        </w:rPr>
        <w:t xml:space="preserve">אבל </w:t>
      </w:r>
      <w:bookmarkStart w:id="30827" w:name="_ETM_Q56_186600"/>
      <w:bookmarkEnd w:id="30827"/>
      <w:r>
        <w:rPr>
          <w:rFonts w:hint="cs"/>
          <w:rtl/>
        </w:rPr>
        <w:t xml:space="preserve">לפחות </w:t>
      </w:r>
      <w:bookmarkStart w:id="30828" w:name="_ETM_Q56_187109"/>
      <w:bookmarkEnd w:id="30828"/>
      <w:r>
        <w:rPr>
          <w:rFonts w:hint="cs"/>
          <w:rtl/>
        </w:rPr>
        <w:t xml:space="preserve">ההסדרים </w:t>
      </w:r>
      <w:bookmarkStart w:id="30829" w:name="_ETM_Q56_187740"/>
      <w:bookmarkEnd w:id="30829"/>
      <w:r>
        <w:rPr>
          <w:rFonts w:hint="cs"/>
          <w:rtl/>
        </w:rPr>
        <w:t xml:space="preserve">עצמם </w:t>
      </w:r>
      <w:bookmarkStart w:id="30830" w:name="_ETM_Q56_188190"/>
      <w:bookmarkEnd w:id="30830"/>
      <w:r>
        <w:rPr>
          <w:rFonts w:hint="cs"/>
          <w:rtl/>
        </w:rPr>
        <w:t>מוסכמים.</w:t>
      </w:r>
      <w:bookmarkStart w:id="30831" w:name="_ETM_Q56_191890"/>
      <w:bookmarkStart w:id="30832" w:name="_ETM_Q56_195692"/>
      <w:bookmarkStart w:id="30833" w:name="_ETM_Q56_195885"/>
      <w:bookmarkStart w:id="30834" w:name="_ETM_Q56_195961"/>
      <w:bookmarkStart w:id="30835" w:name="_ETM_Q56_195999"/>
      <w:bookmarkEnd w:id="30831"/>
      <w:bookmarkEnd w:id="30832"/>
      <w:bookmarkEnd w:id="30833"/>
      <w:bookmarkEnd w:id="30834"/>
      <w:bookmarkEnd w:id="30835"/>
      <w:r>
        <w:rPr>
          <w:rFonts w:hint="cs"/>
          <w:rtl/>
        </w:rPr>
        <w:t xml:space="preserve"> והרי </w:t>
      </w:r>
      <w:bookmarkStart w:id="30836" w:name="_ETM_Q56_190400"/>
      <w:bookmarkStart w:id="30837" w:name="_ETM_Q56_192520"/>
      <w:bookmarkEnd w:id="30836"/>
      <w:bookmarkEnd w:id="30837"/>
      <w:r>
        <w:rPr>
          <w:rFonts w:hint="cs"/>
          <w:rtl/>
        </w:rPr>
        <w:t xml:space="preserve">החקיקה </w:t>
      </w:r>
      <w:bookmarkStart w:id="30838" w:name="_ETM_Q56_193119"/>
      <w:bookmarkEnd w:id="30838"/>
      <w:r>
        <w:rPr>
          <w:rFonts w:hint="cs"/>
          <w:rtl/>
        </w:rPr>
        <w:t>הזאת</w:t>
      </w:r>
      <w:bookmarkStart w:id="30839" w:name="_ETM_Q56_193660"/>
      <w:bookmarkEnd w:id="30839"/>
      <w:r w:rsidR="001D2F50">
        <w:rPr>
          <w:rFonts w:hint="cs"/>
          <w:rtl/>
        </w:rPr>
        <w:t>,</w:t>
      </w:r>
      <w:r>
        <w:rPr>
          <w:rFonts w:hint="cs"/>
          <w:rtl/>
        </w:rPr>
        <w:t xml:space="preserve"> </w:t>
      </w:r>
      <w:bookmarkStart w:id="30840" w:name="_ETM_Q56_193131"/>
      <w:bookmarkEnd w:id="30840"/>
      <w:r>
        <w:rPr>
          <w:rFonts w:hint="cs"/>
          <w:rtl/>
        </w:rPr>
        <w:t>ו</w:t>
      </w:r>
      <w:bookmarkStart w:id="30841" w:name="_ETM_Q56_194380"/>
      <w:bookmarkEnd w:id="30841"/>
      <w:r>
        <w:rPr>
          <w:rFonts w:hint="cs"/>
          <w:rtl/>
        </w:rPr>
        <w:t xml:space="preserve">בידכם </w:t>
      </w:r>
      <w:bookmarkStart w:id="30842" w:name="_ETM_Q56_194920"/>
      <w:bookmarkEnd w:id="30842"/>
      <w:r>
        <w:rPr>
          <w:rFonts w:hint="cs"/>
          <w:rtl/>
        </w:rPr>
        <w:t>הרוב</w:t>
      </w:r>
      <w:bookmarkStart w:id="30843" w:name="_ETM_Q56_193361"/>
      <w:bookmarkEnd w:id="30843"/>
      <w:r>
        <w:rPr>
          <w:rFonts w:hint="cs"/>
          <w:rtl/>
        </w:rPr>
        <w:t xml:space="preserve"> </w:t>
      </w:r>
      <w:bookmarkStart w:id="30844" w:name="_ETM_Q56_195160"/>
      <w:bookmarkEnd w:id="30844"/>
      <w:r>
        <w:rPr>
          <w:rFonts w:hint="cs"/>
          <w:rtl/>
        </w:rPr>
        <w:t xml:space="preserve">לחוקק </w:t>
      </w:r>
      <w:bookmarkStart w:id="30845" w:name="_ETM_Q56_195639"/>
      <w:bookmarkEnd w:id="30845"/>
      <w:r>
        <w:rPr>
          <w:rFonts w:hint="cs"/>
          <w:rtl/>
        </w:rPr>
        <w:t>אותה</w:t>
      </w:r>
      <w:r w:rsidR="001D2F50">
        <w:rPr>
          <w:rFonts w:hint="cs"/>
          <w:rtl/>
        </w:rPr>
        <w:t>,</w:t>
      </w:r>
      <w:r>
        <w:rPr>
          <w:rFonts w:hint="cs"/>
          <w:rtl/>
        </w:rPr>
        <w:t xml:space="preserve"> </w:t>
      </w:r>
      <w:bookmarkStart w:id="30846" w:name="_ETM_Q56_196640"/>
      <w:bookmarkEnd w:id="30846"/>
      <w:r>
        <w:rPr>
          <w:rFonts w:hint="cs"/>
          <w:rtl/>
        </w:rPr>
        <w:t xml:space="preserve">נניח </w:t>
      </w:r>
      <w:bookmarkStart w:id="30847" w:name="_ETM_Q56_197270"/>
      <w:bookmarkEnd w:id="30847"/>
      <w:r>
        <w:rPr>
          <w:rFonts w:hint="cs"/>
          <w:rtl/>
        </w:rPr>
        <w:t xml:space="preserve">שבג"ץ </w:t>
      </w:r>
      <w:bookmarkStart w:id="30848" w:name="_ETM_Q56_197870"/>
      <w:bookmarkEnd w:id="30848"/>
      <w:r>
        <w:rPr>
          <w:rFonts w:hint="cs"/>
          <w:rtl/>
        </w:rPr>
        <w:t xml:space="preserve">ישאיר </w:t>
      </w:r>
      <w:bookmarkStart w:id="30849" w:name="_ETM_Q56_198200"/>
      <w:bookmarkEnd w:id="30849"/>
      <w:r>
        <w:rPr>
          <w:rFonts w:hint="cs"/>
          <w:rtl/>
        </w:rPr>
        <w:t xml:space="preserve">אותה </w:t>
      </w:r>
      <w:bookmarkStart w:id="30850" w:name="_ETM_Q56_198440"/>
      <w:bookmarkEnd w:id="30850"/>
      <w:r>
        <w:rPr>
          <w:rFonts w:hint="cs"/>
          <w:rtl/>
        </w:rPr>
        <w:t xml:space="preserve">על </w:t>
      </w:r>
      <w:bookmarkStart w:id="30851" w:name="_ETM_Q56_198560"/>
      <w:bookmarkEnd w:id="30851"/>
      <w:r>
        <w:rPr>
          <w:rFonts w:hint="cs"/>
          <w:rtl/>
        </w:rPr>
        <w:t xml:space="preserve">כנה </w:t>
      </w:r>
      <w:bookmarkStart w:id="30852" w:name="_ETM_Q56_198890"/>
      <w:bookmarkEnd w:id="30852"/>
      <w:r>
        <w:rPr>
          <w:rFonts w:hint="cs"/>
          <w:rtl/>
        </w:rPr>
        <w:t xml:space="preserve">בעתירות </w:t>
      </w:r>
      <w:bookmarkStart w:id="30853" w:name="_ETM_Q56_199670"/>
      <w:bookmarkEnd w:id="30853"/>
      <w:r>
        <w:rPr>
          <w:rFonts w:hint="cs"/>
          <w:rtl/>
        </w:rPr>
        <w:t>שצפוי</w:t>
      </w:r>
      <w:bookmarkStart w:id="30854" w:name="_ETM_Q56_197980"/>
      <w:bookmarkEnd w:id="30854"/>
      <w:r>
        <w:rPr>
          <w:rFonts w:hint="cs"/>
          <w:rtl/>
        </w:rPr>
        <w:t xml:space="preserve"> </w:t>
      </w:r>
      <w:bookmarkStart w:id="30855" w:name="_ETM_Q56_200150"/>
      <w:bookmarkEnd w:id="30855"/>
      <w:r>
        <w:rPr>
          <w:rFonts w:hint="cs"/>
          <w:rtl/>
        </w:rPr>
        <w:t xml:space="preserve">שיהיו </w:t>
      </w:r>
      <w:bookmarkStart w:id="30856" w:name="_ETM_Q56_201340"/>
      <w:bookmarkStart w:id="30857" w:name="_ETM_Q56_202430"/>
      <w:bookmarkEnd w:id="30856"/>
      <w:bookmarkEnd w:id="30857"/>
      <w:r w:rsidR="001D2F50">
        <w:rPr>
          <w:rFonts w:hint="eastAsia"/>
          <w:rtl/>
        </w:rPr>
        <w:t>–</w:t>
      </w:r>
      <w:r w:rsidR="001D2F50">
        <w:rPr>
          <w:rFonts w:hint="cs"/>
          <w:rtl/>
        </w:rPr>
        <w:t xml:space="preserve"> </w:t>
      </w:r>
      <w:r>
        <w:rPr>
          <w:rFonts w:hint="cs"/>
          <w:rtl/>
        </w:rPr>
        <w:t xml:space="preserve">היא </w:t>
      </w:r>
      <w:bookmarkStart w:id="30858" w:name="_ETM_Q56_202550"/>
      <w:bookmarkEnd w:id="30858"/>
      <w:r>
        <w:rPr>
          <w:rFonts w:hint="cs"/>
          <w:rtl/>
        </w:rPr>
        <w:t xml:space="preserve">תתבטל </w:t>
      </w:r>
      <w:bookmarkStart w:id="30859" w:name="_ETM_Q56_203150"/>
      <w:bookmarkEnd w:id="30859"/>
      <w:r>
        <w:rPr>
          <w:rFonts w:hint="cs"/>
          <w:rtl/>
        </w:rPr>
        <w:t xml:space="preserve">כשאנחנו </w:t>
      </w:r>
      <w:bookmarkStart w:id="30860" w:name="_ETM_Q56_203540"/>
      <w:bookmarkEnd w:id="30860"/>
      <w:r>
        <w:rPr>
          <w:rFonts w:hint="cs"/>
          <w:rtl/>
        </w:rPr>
        <w:t xml:space="preserve">נחזור </w:t>
      </w:r>
      <w:bookmarkStart w:id="30861" w:name="_ETM_Q56_203900"/>
      <w:bookmarkEnd w:id="30861"/>
      <w:r>
        <w:rPr>
          <w:rFonts w:hint="cs"/>
          <w:rtl/>
        </w:rPr>
        <w:t>לש</w:t>
      </w:r>
      <w:bookmarkStart w:id="30862" w:name="_ETM_Q56_200571"/>
      <w:bookmarkEnd w:id="30862"/>
      <w:r>
        <w:rPr>
          <w:rFonts w:hint="cs"/>
          <w:rtl/>
        </w:rPr>
        <w:t>לטון,</w:t>
      </w:r>
      <w:bookmarkStart w:id="30863" w:name="_ETM_Q56_205012"/>
      <w:bookmarkEnd w:id="30863"/>
      <w:r>
        <w:rPr>
          <w:rFonts w:hint="cs"/>
          <w:rtl/>
        </w:rPr>
        <w:t xml:space="preserve"> </w:t>
      </w:r>
      <w:bookmarkStart w:id="30864" w:name="_ETM_Q56_204410"/>
      <w:bookmarkEnd w:id="30864"/>
      <w:r>
        <w:rPr>
          <w:rFonts w:hint="cs"/>
          <w:rtl/>
        </w:rPr>
        <w:t xml:space="preserve">היא </w:t>
      </w:r>
      <w:bookmarkStart w:id="30865" w:name="_ETM_Q56_204500"/>
      <w:bookmarkEnd w:id="30865"/>
      <w:r>
        <w:rPr>
          <w:rFonts w:hint="cs"/>
          <w:rtl/>
        </w:rPr>
        <w:t xml:space="preserve">לא </w:t>
      </w:r>
      <w:bookmarkStart w:id="30866" w:name="_ETM_Q56_204620"/>
      <w:bookmarkEnd w:id="30866"/>
      <w:r>
        <w:rPr>
          <w:rFonts w:hint="cs"/>
          <w:rtl/>
        </w:rPr>
        <w:t xml:space="preserve">תישאר </w:t>
      </w:r>
      <w:bookmarkStart w:id="30867" w:name="_ETM_Q56_205040"/>
      <w:bookmarkEnd w:id="30867"/>
      <w:r>
        <w:rPr>
          <w:rFonts w:hint="cs"/>
          <w:rtl/>
        </w:rPr>
        <w:t xml:space="preserve">על </w:t>
      </w:r>
      <w:bookmarkStart w:id="30868" w:name="_ETM_Q56_205130"/>
      <w:bookmarkEnd w:id="30868"/>
      <w:r>
        <w:rPr>
          <w:rFonts w:hint="cs"/>
          <w:rtl/>
        </w:rPr>
        <w:t>כנה.</w:t>
      </w:r>
      <w:bookmarkStart w:id="30869" w:name="_ETM_Q56_208869"/>
      <w:bookmarkEnd w:id="30869"/>
    </w:p>
    <w:p w:rsidR="00BB59CD" w:rsidRDefault="00BB59CD" w:rsidP="00BB59CD">
      <w:pPr>
        <w:rPr>
          <w:rtl/>
        </w:rPr>
      </w:pPr>
      <w:bookmarkStart w:id="30870" w:name="_ETM_Q56_208130"/>
      <w:bookmarkStart w:id="30871" w:name="_ETM_Q56_208259"/>
      <w:bookmarkEnd w:id="30870"/>
      <w:bookmarkEnd w:id="30871"/>
    </w:p>
    <w:p w:rsidR="00BB59CD" w:rsidRDefault="00BB59CD" w:rsidP="001D2F50">
      <w:pPr>
        <w:rPr>
          <w:rtl/>
        </w:rPr>
      </w:pPr>
      <w:bookmarkStart w:id="30872" w:name="_ETM_Q56_208333"/>
      <w:bookmarkStart w:id="30873" w:name="_ETM_Q56_208374"/>
      <w:bookmarkStart w:id="30874" w:name="_ETM_Q56_207391"/>
      <w:bookmarkEnd w:id="30872"/>
      <w:bookmarkEnd w:id="30873"/>
      <w:bookmarkEnd w:id="30874"/>
      <w:r>
        <w:rPr>
          <w:rFonts w:hint="cs"/>
          <w:rtl/>
        </w:rPr>
        <w:t xml:space="preserve">מהניסיון </w:t>
      </w:r>
      <w:bookmarkStart w:id="30875" w:name="_ETM_Q56_209800"/>
      <w:bookmarkEnd w:id="30875"/>
      <w:r>
        <w:rPr>
          <w:rFonts w:hint="cs"/>
          <w:rtl/>
        </w:rPr>
        <w:t xml:space="preserve">שלי, </w:t>
      </w:r>
      <w:bookmarkStart w:id="30876" w:name="_ETM_Q56_210309"/>
      <w:bookmarkEnd w:id="30876"/>
      <w:r>
        <w:rPr>
          <w:rFonts w:hint="cs"/>
          <w:rtl/>
        </w:rPr>
        <w:t xml:space="preserve">אדוני </w:t>
      </w:r>
      <w:bookmarkStart w:id="30877" w:name="_ETM_Q56_210640"/>
      <w:bookmarkEnd w:id="30877"/>
      <w:r>
        <w:rPr>
          <w:rFonts w:hint="cs"/>
          <w:rtl/>
        </w:rPr>
        <w:t xml:space="preserve">היושב-ראש, </w:t>
      </w:r>
      <w:bookmarkStart w:id="30878" w:name="_ETM_Q56_211599"/>
      <w:bookmarkEnd w:id="30878"/>
      <w:r>
        <w:rPr>
          <w:rFonts w:hint="cs"/>
          <w:rtl/>
        </w:rPr>
        <w:t xml:space="preserve">בהעברת </w:t>
      </w:r>
      <w:bookmarkStart w:id="30879" w:name="_ETM_Q56_212500"/>
      <w:bookmarkEnd w:id="30879"/>
      <w:r>
        <w:rPr>
          <w:rFonts w:hint="cs"/>
          <w:rtl/>
        </w:rPr>
        <w:t xml:space="preserve">רפורמות </w:t>
      </w:r>
      <w:bookmarkStart w:id="30880" w:name="_ETM_Q56_213070"/>
      <w:bookmarkEnd w:id="30880"/>
      <w:r>
        <w:rPr>
          <w:rFonts w:hint="cs"/>
          <w:rtl/>
        </w:rPr>
        <w:t xml:space="preserve">במשפט, </w:t>
      </w:r>
      <w:bookmarkStart w:id="30881" w:name="_ETM_Q56_213879"/>
      <w:bookmarkStart w:id="30882" w:name="_ETM_Q56_219090"/>
      <w:bookmarkEnd w:id="30881"/>
      <w:bookmarkEnd w:id="30882"/>
      <w:r>
        <w:rPr>
          <w:rFonts w:hint="cs"/>
          <w:rtl/>
        </w:rPr>
        <w:t xml:space="preserve">אני </w:t>
      </w:r>
      <w:bookmarkStart w:id="30883" w:name="_ETM_Q56_214390"/>
      <w:bookmarkEnd w:id="30883"/>
      <w:r>
        <w:rPr>
          <w:rFonts w:hint="cs"/>
          <w:rtl/>
        </w:rPr>
        <w:t xml:space="preserve">אתן </w:t>
      </w:r>
      <w:bookmarkStart w:id="30884" w:name="_ETM_Q56_214629"/>
      <w:bookmarkEnd w:id="30884"/>
      <w:r>
        <w:rPr>
          <w:rFonts w:hint="cs"/>
          <w:rtl/>
        </w:rPr>
        <w:t xml:space="preserve">רק </w:t>
      </w:r>
      <w:bookmarkStart w:id="30885" w:name="_ETM_Q56_214839"/>
      <w:bookmarkEnd w:id="30885"/>
      <w:r>
        <w:rPr>
          <w:rFonts w:hint="cs"/>
          <w:rtl/>
        </w:rPr>
        <w:t xml:space="preserve">שתי </w:t>
      </w:r>
      <w:bookmarkStart w:id="30886" w:name="_ETM_Q56_215079"/>
      <w:bookmarkEnd w:id="30886"/>
      <w:r>
        <w:rPr>
          <w:rFonts w:hint="cs"/>
          <w:rtl/>
        </w:rPr>
        <w:t xml:space="preserve">דוגמאות </w:t>
      </w:r>
      <w:bookmarkStart w:id="30887" w:name="_ETM_Q56_215530"/>
      <w:bookmarkEnd w:id="30887"/>
      <w:r>
        <w:rPr>
          <w:rFonts w:hint="cs"/>
          <w:rtl/>
        </w:rPr>
        <w:t xml:space="preserve">בולטות, </w:t>
      </w:r>
      <w:bookmarkStart w:id="30888" w:name="_ETM_Q56_216190"/>
      <w:bookmarkEnd w:id="30888"/>
      <w:r>
        <w:rPr>
          <w:rFonts w:hint="cs"/>
          <w:rtl/>
        </w:rPr>
        <w:t xml:space="preserve">ואני </w:t>
      </w:r>
      <w:bookmarkStart w:id="30889" w:name="_ETM_Q56_216430"/>
      <w:bookmarkEnd w:id="30889"/>
      <w:r>
        <w:rPr>
          <w:rFonts w:hint="cs"/>
          <w:rtl/>
        </w:rPr>
        <w:t xml:space="preserve">יכול </w:t>
      </w:r>
      <w:bookmarkStart w:id="30890" w:name="_ETM_Q56_216670"/>
      <w:bookmarkEnd w:id="30890"/>
      <w:r>
        <w:rPr>
          <w:rFonts w:hint="cs"/>
          <w:rtl/>
        </w:rPr>
        <w:t xml:space="preserve">לתת </w:t>
      </w:r>
      <w:bookmarkStart w:id="30891" w:name="_ETM_Q56_216940"/>
      <w:bookmarkEnd w:id="30891"/>
      <w:r>
        <w:rPr>
          <w:rFonts w:hint="cs"/>
          <w:rtl/>
        </w:rPr>
        <w:t xml:space="preserve">עוד </w:t>
      </w:r>
      <w:bookmarkStart w:id="30892" w:name="_ETM_Q56_217390"/>
      <w:bookmarkEnd w:id="30892"/>
      <w:r>
        <w:rPr>
          <w:rFonts w:hint="cs"/>
          <w:rtl/>
        </w:rPr>
        <w:t xml:space="preserve">הרבה </w:t>
      </w:r>
      <w:bookmarkStart w:id="30893" w:name="_ETM_Q56_217690"/>
      <w:bookmarkEnd w:id="30893"/>
      <w:r>
        <w:rPr>
          <w:rFonts w:hint="cs"/>
          <w:rtl/>
        </w:rPr>
        <w:t xml:space="preserve">דוגמאות. </w:t>
      </w:r>
      <w:bookmarkStart w:id="30894" w:name="_ETM_Q56_220379"/>
      <w:bookmarkStart w:id="30895" w:name="_ETM_Q56_222150"/>
      <w:bookmarkStart w:id="30896" w:name="_ETM_Q56_225650"/>
      <w:bookmarkEnd w:id="30894"/>
      <w:bookmarkEnd w:id="30895"/>
      <w:bookmarkEnd w:id="30896"/>
      <w:r>
        <w:rPr>
          <w:rFonts w:hint="cs"/>
          <w:rtl/>
        </w:rPr>
        <w:t xml:space="preserve">בכנסת </w:t>
      </w:r>
      <w:bookmarkStart w:id="30897" w:name="_ETM_Q56_223080"/>
      <w:bookmarkEnd w:id="30897"/>
      <w:r>
        <w:rPr>
          <w:rFonts w:hint="cs"/>
          <w:rtl/>
        </w:rPr>
        <w:t xml:space="preserve">השש-עשרה, </w:t>
      </w:r>
      <w:bookmarkStart w:id="30898" w:name="_ETM_Q56_224780"/>
      <w:bookmarkEnd w:id="30898"/>
      <w:r>
        <w:rPr>
          <w:rFonts w:hint="cs"/>
          <w:rtl/>
        </w:rPr>
        <w:t xml:space="preserve">שהייתה </w:t>
      </w:r>
      <w:bookmarkStart w:id="30899" w:name="_ETM_Q56_225170"/>
      <w:bookmarkEnd w:id="30899"/>
      <w:r>
        <w:rPr>
          <w:rFonts w:hint="cs"/>
          <w:rtl/>
        </w:rPr>
        <w:t xml:space="preserve">הכנסת </w:t>
      </w:r>
      <w:bookmarkStart w:id="30900" w:name="_ETM_Q56_225500"/>
      <w:bookmarkEnd w:id="30900"/>
      <w:r>
        <w:rPr>
          <w:rFonts w:hint="cs"/>
          <w:rtl/>
        </w:rPr>
        <w:t xml:space="preserve">הראשונה </w:t>
      </w:r>
      <w:bookmarkStart w:id="30901" w:name="_ETM_Q56_225890"/>
      <w:bookmarkEnd w:id="30901"/>
      <w:r>
        <w:rPr>
          <w:rFonts w:hint="cs"/>
          <w:rtl/>
        </w:rPr>
        <w:t xml:space="preserve">שבה </w:t>
      </w:r>
      <w:bookmarkStart w:id="30902" w:name="_ETM_Q56_226159"/>
      <w:bookmarkStart w:id="30903" w:name="_ETM_Q56_224390"/>
      <w:bookmarkEnd w:id="30902"/>
      <w:bookmarkEnd w:id="30903"/>
      <w:r>
        <w:rPr>
          <w:rFonts w:hint="cs"/>
          <w:rtl/>
        </w:rPr>
        <w:t xml:space="preserve">כיהנתי, </w:t>
      </w:r>
      <w:bookmarkStart w:id="30904" w:name="_ETM_Q56_226820"/>
      <w:bookmarkEnd w:id="30904"/>
      <w:r>
        <w:rPr>
          <w:rFonts w:hint="cs"/>
          <w:rtl/>
        </w:rPr>
        <w:t xml:space="preserve">יצאתי </w:t>
      </w:r>
      <w:bookmarkStart w:id="30905" w:name="_ETM_Q56_227420"/>
      <w:bookmarkEnd w:id="30905"/>
      <w:r>
        <w:rPr>
          <w:rFonts w:hint="cs"/>
          <w:rtl/>
        </w:rPr>
        <w:t xml:space="preserve">עם </w:t>
      </w:r>
      <w:bookmarkStart w:id="30906" w:name="_ETM_Q56_227570"/>
      <w:bookmarkEnd w:id="30906"/>
      <w:r>
        <w:rPr>
          <w:rFonts w:hint="cs"/>
          <w:rtl/>
        </w:rPr>
        <w:t xml:space="preserve">שני </w:t>
      </w:r>
      <w:bookmarkStart w:id="30907" w:name="_ETM_Q56_227840"/>
      <w:bookmarkEnd w:id="30907"/>
      <w:r>
        <w:rPr>
          <w:rFonts w:hint="cs"/>
          <w:rtl/>
        </w:rPr>
        <w:t xml:space="preserve">רעיונות </w:t>
      </w:r>
      <w:bookmarkStart w:id="30908" w:name="_ETM_Q56_228990"/>
      <w:bookmarkEnd w:id="30908"/>
      <w:r>
        <w:rPr>
          <w:rFonts w:hint="cs"/>
          <w:rtl/>
        </w:rPr>
        <w:t xml:space="preserve">שחשבתי </w:t>
      </w:r>
      <w:bookmarkStart w:id="30909" w:name="_ETM_Q56_229740"/>
      <w:bookmarkEnd w:id="30909"/>
      <w:r>
        <w:rPr>
          <w:rFonts w:hint="cs"/>
          <w:rtl/>
        </w:rPr>
        <w:t xml:space="preserve">שהם </w:t>
      </w:r>
      <w:bookmarkStart w:id="30910" w:name="_ETM_Q56_230010"/>
      <w:bookmarkEnd w:id="30910"/>
      <w:r>
        <w:rPr>
          <w:rFonts w:hint="cs"/>
          <w:rtl/>
        </w:rPr>
        <w:t xml:space="preserve">חשובים </w:t>
      </w:r>
      <w:bookmarkStart w:id="30911" w:name="_ETM_Q56_231370"/>
      <w:bookmarkEnd w:id="30911"/>
      <w:r>
        <w:rPr>
          <w:rFonts w:hint="cs"/>
          <w:rtl/>
        </w:rPr>
        <w:t xml:space="preserve">כדי </w:t>
      </w:r>
      <w:bookmarkStart w:id="30912" w:name="_ETM_Q56_232420"/>
      <w:bookmarkEnd w:id="30912"/>
      <w:r>
        <w:rPr>
          <w:rFonts w:hint="cs"/>
          <w:rtl/>
        </w:rPr>
        <w:t xml:space="preserve">לשפר </w:t>
      </w:r>
      <w:bookmarkStart w:id="30913" w:name="_ETM_Q56_234170"/>
      <w:bookmarkEnd w:id="30913"/>
      <w:r>
        <w:rPr>
          <w:rFonts w:hint="cs"/>
          <w:rtl/>
        </w:rPr>
        <w:t xml:space="preserve">את דרך </w:t>
      </w:r>
      <w:bookmarkStart w:id="30914" w:name="_ETM_Q56_234649"/>
      <w:bookmarkEnd w:id="30914"/>
      <w:r>
        <w:rPr>
          <w:rFonts w:hint="cs"/>
          <w:rtl/>
        </w:rPr>
        <w:t xml:space="preserve">בחירת </w:t>
      </w:r>
      <w:bookmarkStart w:id="30915" w:name="_ETM_Q56_235040"/>
      <w:bookmarkEnd w:id="30915"/>
      <w:r>
        <w:rPr>
          <w:rFonts w:hint="cs"/>
          <w:rtl/>
        </w:rPr>
        <w:t xml:space="preserve">השופטים </w:t>
      </w:r>
      <w:bookmarkStart w:id="30916" w:name="_ETM_Q56_235730"/>
      <w:bookmarkEnd w:id="30916"/>
      <w:r>
        <w:rPr>
          <w:rFonts w:hint="cs"/>
          <w:rtl/>
        </w:rPr>
        <w:t xml:space="preserve">לבית </w:t>
      </w:r>
      <w:bookmarkStart w:id="30917" w:name="_ETM_Q56_236120"/>
      <w:bookmarkEnd w:id="30917"/>
      <w:r>
        <w:rPr>
          <w:rFonts w:hint="cs"/>
          <w:rtl/>
        </w:rPr>
        <w:t xml:space="preserve">המשפט </w:t>
      </w:r>
      <w:bookmarkStart w:id="30918" w:name="_ETM_Q56_236570"/>
      <w:bookmarkEnd w:id="30918"/>
      <w:r>
        <w:rPr>
          <w:rFonts w:hint="cs"/>
          <w:rtl/>
        </w:rPr>
        <w:t xml:space="preserve">העליון </w:t>
      </w:r>
      <w:bookmarkStart w:id="30919" w:name="_ETM_Q56_236960"/>
      <w:bookmarkEnd w:id="30919"/>
      <w:r>
        <w:rPr>
          <w:rFonts w:hint="cs"/>
          <w:rtl/>
        </w:rPr>
        <w:t xml:space="preserve">שלנו. </w:t>
      </w:r>
      <w:bookmarkStart w:id="30920" w:name="_ETM_Q56_238190"/>
      <w:bookmarkEnd w:id="30920"/>
      <w:r>
        <w:rPr>
          <w:rFonts w:hint="cs"/>
          <w:rtl/>
        </w:rPr>
        <w:t xml:space="preserve">הראשון </w:t>
      </w:r>
      <w:bookmarkStart w:id="30921" w:name="_ETM_Q56_238730"/>
      <w:bookmarkEnd w:id="30921"/>
      <w:r>
        <w:rPr>
          <w:rFonts w:hint="cs"/>
          <w:rtl/>
        </w:rPr>
        <w:t xml:space="preserve">היה </w:t>
      </w:r>
      <w:bookmarkStart w:id="30922" w:name="_ETM_Q56_239239"/>
      <w:bookmarkEnd w:id="30922"/>
      <w:r>
        <w:rPr>
          <w:rFonts w:hint="cs"/>
          <w:rtl/>
        </w:rPr>
        <w:t xml:space="preserve">שינוי </w:t>
      </w:r>
      <w:bookmarkStart w:id="30923" w:name="_ETM_Q56_239749"/>
      <w:bookmarkEnd w:id="30923"/>
      <w:r>
        <w:rPr>
          <w:rFonts w:hint="cs"/>
          <w:rtl/>
        </w:rPr>
        <w:t xml:space="preserve">ברוב </w:t>
      </w:r>
      <w:bookmarkStart w:id="30924" w:name="_ETM_Q56_240079"/>
      <w:bookmarkEnd w:id="30924"/>
      <w:r>
        <w:rPr>
          <w:rFonts w:hint="cs"/>
          <w:rtl/>
        </w:rPr>
        <w:t xml:space="preserve">המיוחס </w:t>
      </w:r>
      <w:bookmarkStart w:id="30925" w:name="_ETM_Q56_241859"/>
      <w:bookmarkEnd w:id="30925"/>
      <w:r>
        <w:rPr>
          <w:rFonts w:hint="cs"/>
          <w:rtl/>
        </w:rPr>
        <w:t xml:space="preserve">ומעבר </w:t>
      </w:r>
      <w:bookmarkStart w:id="30926" w:name="_ETM_Q56_242879"/>
      <w:bookmarkEnd w:id="30926"/>
      <w:r>
        <w:rPr>
          <w:rFonts w:hint="cs"/>
          <w:rtl/>
        </w:rPr>
        <w:t>מ</w:t>
      </w:r>
      <w:bookmarkStart w:id="30927" w:name="_ETM_Q56_243359"/>
      <w:bookmarkEnd w:id="30927"/>
      <w:r>
        <w:rPr>
          <w:rFonts w:hint="cs"/>
          <w:rtl/>
        </w:rPr>
        <w:t xml:space="preserve">רוב </w:t>
      </w:r>
      <w:bookmarkStart w:id="30928" w:name="_ETM_Q56_243690"/>
      <w:bookmarkEnd w:id="30928"/>
      <w:r>
        <w:rPr>
          <w:rFonts w:hint="cs"/>
          <w:rtl/>
        </w:rPr>
        <w:t xml:space="preserve">רגיל </w:t>
      </w:r>
      <w:bookmarkStart w:id="30929" w:name="_ETM_Q56_244229"/>
      <w:bookmarkEnd w:id="30929"/>
      <w:r>
        <w:rPr>
          <w:rFonts w:hint="cs"/>
          <w:rtl/>
        </w:rPr>
        <w:t xml:space="preserve">לרוב </w:t>
      </w:r>
      <w:bookmarkStart w:id="30930" w:name="_ETM_Q56_244680"/>
      <w:bookmarkEnd w:id="30930"/>
      <w:r>
        <w:rPr>
          <w:rFonts w:hint="cs"/>
          <w:rtl/>
        </w:rPr>
        <w:t xml:space="preserve">של </w:t>
      </w:r>
      <w:bookmarkStart w:id="30931" w:name="_ETM_Q56_244860"/>
      <w:bookmarkStart w:id="30932" w:name="_ETM_Q56_242380"/>
      <w:bookmarkEnd w:id="30931"/>
      <w:bookmarkEnd w:id="30932"/>
      <w:r>
        <w:rPr>
          <w:rFonts w:hint="cs"/>
          <w:rtl/>
        </w:rPr>
        <w:t xml:space="preserve">שבעה </w:t>
      </w:r>
      <w:bookmarkStart w:id="30933" w:name="_ETM_Q56_245340"/>
      <w:bookmarkEnd w:id="30933"/>
      <w:r>
        <w:rPr>
          <w:rFonts w:hint="cs"/>
          <w:rtl/>
        </w:rPr>
        <w:t xml:space="preserve">מחברי </w:t>
      </w:r>
      <w:bookmarkStart w:id="30934" w:name="_ETM_Q56_245819"/>
      <w:bookmarkEnd w:id="30934"/>
      <w:r>
        <w:rPr>
          <w:rFonts w:hint="cs"/>
          <w:rtl/>
        </w:rPr>
        <w:t xml:space="preserve">הוועדה </w:t>
      </w:r>
      <w:bookmarkStart w:id="30935" w:name="_ETM_Q56_246689"/>
      <w:bookmarkEnd w:id="30935"/>
      <w:r>
        <w:rPr>
          <w:rFonts w:hint="cs"/>
          <w:rtl/>
        </w:rPr>
        <w:t xml:space="preserve">לצורך </w:t>
      </w:r>
      <w:bookmarkStart w:id="30936" w:name="_ETM_Q56_247200"/>
      <w:bookmarkEnd w:id="30936"/>
      <w:r>
        <w:rPr>
          <w:rFonts w:hint="cs"/>
          <w:rtl/>
        </w:rPr>
        <w:t xml:space="preserve">בחירת </w:t>
      </w:r>
      <w:bookmarkStart w:id="30937" w:name="_ETM_Q56_247530"/>
      <w:bookmarkEnd w:id="30937"/>
      <w:r>
        <w:rPr>
          <w:rFonts w:hint="cs"/>
          <w:rtl/>
        </w:rPr>
        <w:t xml:space="preserve">שופט </w:t>
      </w:r>
      <w:bookmarkStart w:id="30938" w:name="_ETM_Q56_247829"/>
      <w:bookmarkEnd w:id="30938"/>
      <w:r>
        <w:rPr>
          <w:rFonts w:hint="cs"/>
          <w:rtl/>
        </w:rPr>
        <w:t xml:space="preserve">בבית </w:t>
      </w:r>
      <w:bookmarkStart w:id="30939" w:name="_ETM_Q56_248130"/>
      <w:bookmarkEnd w:id="30939"/>
      <w:r>
        <w:rPr>
          <w:rFonts w:hint="cs"/>
          <w:rtl/>
        </w:rPr>
        <w:t xml:space="preserve">המשפט </w:t>
      </w:r>
      <w:bookmarkStart w:id="30940" w:name="_ETM_Q56_248579"/>
      <w:bookmarkEnd w:id="30940"/>
      <w:r>
        <w:rPr>
          <w:rFonts w:hint="cs"/>
          <w:rtl/>
        </w:rPr>
        <w:t>העליון</w:t>
      </w:r>
      <w:bookmarkStart w:id="30941" w:name="_ETM_Q56_245680"/>
      <w:bookmarkEnd w:id="30941"/>
      <w:r>
        <w:rPr>
          <w:rFonts w:hint="cs"/>
          <w:rtl/>
        </w:rPr>
        <w:t xml:space="preserve">. </w:t>
      </w:r>
      <w:bookmarkStart w:id="30942" w:name="_ETM_Q56_250399"/>
      <w:bookmarkEnd w:id="30942"/>
      <w:r>
        <w:rPr>
          <w:rFonts w:hint="cs"/>
          <w:rtl/>
        </w:rPr>
        <w:t xml:space="preserve">זה </w:t>
      </w:r>
      <w:bookmarkStart w:id="30943" w:name="_ETM_Q56_250999"/>
      <w:bookmarkEnd w:id="30943"/>
      <w:r>
        <w:rPr>
          <w:rFonts w:hint="cs"/>
          <w:rtl/>
        </w:rPr>
        <w:t xml:space="preserve">היה </w:t>
      </w:r>
      <w:bookmarkStart w:id="30944" w:name="_ETM_Q56_251270"/>
      <w:bookmarkEnd w:id="30944"/>
      <w:r>
        <w:rPr>
          <w:rFonts w:hint="cs"/>
          <w:rtl/>
        </w:rPr>
        <w:t xml:space="preserve">על </w:t>
      </w:r>
      <w:bookmarkStart w:id="30945" w:name="_ETM_Q56_251389"/>
      <w:bookmarkEnd w:id="30945"/>
      <w:r>
        <w:rPr>
          <w:rFonts w:hint="cs"/>
          <w:rtl/>
        </w:rPr>
        <w:t xml:space="preserve">רקע </w:t>
      </w:r>
      <w:bookmarkStart w:id="30946" w:name="_ETM_Q56_252139"/>
      <w:bookmarkEnd w:id="30946"/>
      <w:r>
        <w:rPr>
          <w:rFonts w:hint="cs"/>
          <w:rtl/>
        </w:rPr>
        <w:t xml:space="preserve">המחלוקת </w:t>
      </w:r>
      <w:bookmarkStart w:id="30947" w:name="_ETM_Q56_252859"/>
      <w:bookmarkEnd w:id="30947"/>
      <w:r>
        <w:rPr>
          <w:rFonts w:hint="cs"/>
          <w:rtl/>
        </w:rPr>
        <w:t xml:space="preserve">שהייתה </w:t>
      </w:r>
      <w:bookmarkStart w:id="30948" w:name="_ETM_Q56_253219"/>
      <w:bookmarkEnd w:id="30948"/>
      <w:r>
        <w:rPr>
          <w:rFonts w:hint="cs"/>
          <w:rtl/>
        </w:rPr>
        <w:t xml:space="preserve">סביב </w:t>
      </w:r>
      <w:bookmarkStart w:id="30949" w:name="_ETM_Q56_253579"/>
      <w:bookmarkEnd w:id="30949"/>
      <w:r>
        <w:rPr>
          <w:rFonts w:hint="cs"/>
          <w:rtl/>
        </w:rPr>
        <w:t xml:space="preserve">רצונה </w:t>
      </w:r>
      <w:bookmarkStart w:id="30950" w:name="_ETM_Q56_254060"/>
      <w:bookmarkEnd w:id="30950"/>
      <w:r>
        <w:rPr>
          <w:rFonts w:hint="cs"/>
          <w:rtl/>
        </w:rPr>
        <w:t xml:space="preserve">של </w:t>
      </w:r>
      <w:bookmarkStart w:id="30951" w:name="_ETM_Q56_254270"/>
      <w:bookmarkEnd w:id="30951"/>
      <w:r>
        <w:rPr>
          <w:rFonts w:hint="cs"/>
          <w:rtl/>
        </w:rPr>
        <w:t xml:space="preserve">שרת </w:t>
      </w:r>
      <w:bookmarkStart w:id="30952" w:name="_ETM_Q56_254569"/>
      <w:bookmarkEnd w:id="30952"/>
      <w:r>
        <w:rPr>
          <w:rFonts w:hint="cs"/>
          <w:rtl/>
        </w:rPr>
        <w:t xml:space="preserve">המשפטים </w:t>
      </w:r>
      <w:bookmarkStart w:id="30953" w:name="_ETM_Q56_255109"/>
      <w:bookmarkEnd w:id="30953"/>
      <w:r>
        <w:rPr>
          <w:rFonts w:hint="cs"/>
          <w:rtl/>
        </w:rPr>
        <w:t xml:space="preserve">ציפי </w:t>
      </w:r>
      <w:bookmarkStart w:id="30954" w:name="_ETM_Q56_255439"/>
      <w:bookmarkEnd w:id="30954"/>
      <w:r>
        <w:rPr>
          <w:rFonts w:hint="cs"/>
          <w:rtl/>
        </w:rPr>
        <w:t xml:space="preserve">לבני </w:t>
      </w:r>
      <w:bookmarkStart w:id="30955" w:name="_ETM_Q56_255709"/>
      <w:bookmarkEnd w:id="30955"/>
      <w:r>
        <w:rPr>
          <w:rFonts w:hint="cs"/>
          <w:rtl/>
        </w:rPr>
        <w:t xml:space="preserve">למנות </w:t>
      </w:r>
      <w:bookmarkStart w:id="30956" w:name="_ETM_Q56_256429"/>
      <w:bookmarkEnd w:id="30956"/>
      <w:r>
        <w:rPr>
          <w:rFonts w:hint="cs"/>
          <w:rtl/>
        </w:rPr>
        <w:t xml:space="preserve">את </w:t>
      </w:r>
      <w:bookmarkStart w:id="30957" w:name="_ETM_Q56_258139"/>
      <w:bookmarkEnd w:id="30957"/>
      <w:r>
        <w:rPr>
          <w:rFonts w:hint="cs"/>
          <w:rtl/>
        </w:rPr>
        <w:t>פרופ</w:t>
      </w:r>
      <w:r w:rsidR="001D2F50">
        <w:rPr>
          <w:rFonts w:hint="cs"/>
          <w:rtl/>
        </w:rPr>
        <w:t>'</w:t>
      </w:r>
      <w:r>
        <w:rPr>
          <w:rFonts w:hint="cs"/>
          <w:rtl/>
        </w:rPr>
        <w:t xml:space="preserve"> </w:t>
      </w:r>
      <w:bookmarkStart w:id="30958" w:name="_ETM_Q56_258619"/>
      <w:bookmarkEnd w:id="30958"/>
      <w:r>
        <w:rPr>
          <w:rFonts w:hint="cs"/>
          <w:rtl/>
        </w:rPr>
        <w:t xml:space="preserve">רות </w:t>
      </w:r>
      <w:bookmarkStart w:id="30959" w:name="_ETM_Q56_258799"/>
      <w:bookmarkEnd w:id="30959"/>
      <w:r>
        <w:rPr>
          <w:rFonts w:hint="cs"/>
          <w:rtl/>
        </w:rPr>
        <w:t xml:space="preserve">גביזון </w:t>
      </w:r>
      <w:bookmarkStart w:id="30960" w:name="_ETM_Q56_259310"/>
      <w:bookmarkEnd w:id="30960"/>
      <w:r>
        <w:rPr>
          <w:rFonts w:hint="cs"/>
          <w:rtl/>
        </w:rPr>
        <w:t xml:space="preserve">לבית </w:t>
      </w:r>
      <w:bookmarkStart w:id="30961" w:name="_ETM_Q56_259579"/>
      <w:bookmarkEnd w:id="30961"/>
      <w:r>
        <w:rPr>
          <w:rFonts w:hint="cs"/>
          <w:rtl/>
        </w:rPr>
        <w:t xml:space="preserve">המשפט </w:t>
      </w:r>
      <w:bookmarkStart w:id="30962" w:name="_ETM_Q56_260060"/>
      <w:bookmarkEnd w:id="30962"/>
      <w:r>
        <w:rPr>
          <w:rFonts w:hint="cs"/>
          <w:rtl/>
        </w:rPr>
        <w:t xml:space="preserve">העליון, </w:t>
      </w:r>
      <w:bookmarkStart w:id="30963" w:name="_ETM_Q56_260420"/>
      <w:bookmarkEnd w:id="30963"/>
      <w:r>
        <w:rPr>
          <w:rFonts w:hint="cs"/>
          <w:rtl/>
        </w:rPr>
        <w:t xml:space="preserve">ואני </w:t>
      </w:r>
      <w:bookmarkStart w:id="30964" w:name="_ETM_Q56_260630"/>
      <w:bookmarkEnd w:id="30964"/>
      <w:r>
        <w:rPr>
          <w:rFonts w:hint="cs"/>
          <w:rtl/>
        </w:rPr>
        <w:t xml:space="preserve">הצעתי </w:t>
      </w:r>
      <w:bookmarkStart w:id="30965" w:name="_ETM_Q56_261049"/>
      <w:bookmarkEnd w:id="30965"/>
      <w:r>
        <w:rPr>
          <w:rFonts w:hint="cs"/>
          <w:rtl/>
        </w:rPr>
        <w:t xml:space="preserve">לה </w:t>
      </w:r>
      <w:bookmarkStart w:id="30966" w:name="_ETM_Q56_261170"/>
      <w:bookmarkEnd w:id="30966"/>
      <w:r>
        <w:rPr>
          <w:rFonts w:hint="cs"/>
          <w:rtl/>
        </w:rPr>
        <w:t xml:space="preserve">את </w:t>
      </w:r>
      <w:bookmarkStart w:id="30967" w:name="_ETM_Q56_261319"/>
      <w:bookmarkEnd w:id="30967"/>
      <w:r>
        <w:rPr>
          <w:rFonts w:hint="cs"/>
          <w:rtl/>
        </w:rPr>
        <w:t>זה.</w:t>
      </w:r>
      <w:bookmarkStart w:id="30968" w:name="_ETM_Q56_262150"/>
      <w:bookmarkEnd w:id="30968"/>
      <w:r>
        <w:rPr>
          <w:rFonts w:hint="cs"/>
          <w:rtl/>
        </w:rPr>
        <w:t xml:space="preserve"> </w:t>
      </w:r>
      <w:bookmarkStart w:id="30969" w:name="_ETM_Q56_260102"/>
      <w:bookmarkEnd w:id="30969"/>
      <w:r>
        <w:rPr>
          <w:rFonts w:hint="cs"/>
          <w:rtl/>
        </w:rPr>
        <w:t xml:space="preserve">אבל בסופו </w:t>
      </w:r>
      <w:bookmarkStart w:id="30970" w:name="_ETM_Q56_262750"/>
      <w:bookmarkEnd w:id="30970"/>
      <w:r>
        <w:rPr>
          <w:rFonts w:hint="cs"/>
          <w:rtl/>
        </w:rPr>
        <w:t xml:space="preserve">של </w:t>
      </w:r>
      <w:bookmarkStart w:id="30971" w:name="_ETM_Q56_262900"/>
      <w:bookmarkEnd w:id="30971"/>
      <w:r>
        <w:rPr>
          <w:rFonts w:hint="cs"/>
          <w:rtl/>
        </w:rPr>
        <w:t xml:space="preserve">דבר </w:t>
      </w:r>
      <w:bookmarkStart w:id="30972" w:name="_ETM_Q56_263200"/>
      <w:bookmarkEnd w:id="30972"/>
      <w:r>
        <w:rPr>
          <w:rFonts w:hint="cs"/>
          <w:rtl/>
        </w:rPr>
        <w:t xml:space="preserve">לקח </w:t>
      </w:r>
      <w:bookmarkStart w:id="30973" w:name="_ETM_Q56_263530"/>
      <w:bookmarkEnd w:id="30973"/>
      <w:r>
        <w:rPr>
          <w:rFonts w:hint="cs"/>
          <w:rtl/>
        </w:rPr>
        <w:t xml:space="preserve">שנים, </w:t>
      </w:r>
      <w:bookmarkStart w:id="30974" w:name="_ETM_Q56_264469"/>
      <w:bookmarkEnd w:id="30974"/>
      <w:r>
        <w:rPr>
          <w:rFonts w:hint="cs"/>
          <w:rtl/>
        </w:rPr>
        <w:t xml:space="preserve">ורק </w:t>
      </w:r>
      <w:bookmarkStart w:id="30975" w:name="_ETM_Q56_264829"/>
      <w:bookmarkEnd w:id="30975"/>
      <w:r>
        <w:rPr>
          <w:rFonts w:hint="cs"/>
          <w:rtl/>
        </w:rPr>
        <w:t xml:space="preserve">בתקופת </w:t>
      </w:r>
      <w:bookmarkStart w:id="30976" w:name="_ETM_Q56_265459"/>
      <w:bookmarkEnd w:id="30976"/>
      <w:r>
        <w:rPr>
          <w:rFonts w:hint="cs"/>
          <w:rtl/>
        </w:rPr>
        <w:t xml:space="preserve">כהונתו </w:t>
      </w:r>
      <w:bookmarkStart w:id="30977" w:name="_ETM_Q56_265969"/>
      <w:bookmarkEnd w:id="30977"/>
      <w:r>
        <w:rPr>
          <w:rFonts w:hint="cs"/>
          <w:rtl/>
        </w:rPr>
        <w:t xml:space="preserve">של </w:t>
      </w:r>
      <w:bookmarkStart w:id="30978" w:name="_ETM_Q56_266179"/>
      <w:bookmarkEnd w:id="30978"/>
      <w:r>
        <w:rPr>
          <w:rFonts w:hint="cs"/>
          <w:rtl/>
        </w:rPr>
        <w:t xml:space="preserve">השר </w:t>
      </w:r>
      <w:bookmarkStart w:id="30979" w:name="_ETM_Q56_266450"/>
      <w:bookmarkEnd w:id="30979"/>
      <w:r>
        <w:rPr>
          <w:rFonts w:hint="cs"/>
          <w:rtl/>
        </w:rPr>
        <w:t xml:space="preserve">דניאל </w:t>
      </w:r>
      <w:bookmarkStart w:id="30980" w:name="_ETM_Q56_266810"/>
      <w:bookmarkEnd w:id="30980"/>
      <w:r>
        <w:rPr>
          <w:rFonts w:hint="cs"/>
          <w:rtl/>
        </w:rPr>
        <w:t xml:space="preserve">פרידמן </w:t>
      </w:r>
      <w:bookmarkStart w:id="30981" w:name="_ETM_Q56_269439"/>
      <w:bookmarkEnd w:id="30981"/>
      <w:r>
        <w:rPr>
          <w:rFonts w:hint="cs"/>
          <w:rtl/>
        </w:rPr>
        <w:t xml:space="preserve">– הוא </w:t>
      </w:r>
      <w:bookmarkStart w:id="30982" w:name="_ETM_Q56_269649"/>
      <w:bookmarkEnd w:id="30982"/>
      <w:r>
        <w:rPr>
          <w:rFonts w:hint="cs"/>
          <w:rtl/>
        </w:rPr>
        <w:t xml:space="preserve">חשב </w:t>
      </w:r>
      <w:bookmarkStart w:id="30983" w:name="_ETM_Q56_269979"/>
      <w:bookmarkEnd w:id="30983"/>
      <w:r>
        <w:rPr>
          <w:rFonts w:hint="cs"/>
          <w:rtl/>
        </w:rPr>
        <w:t xml:space="preserve">לעשות </w:t>
      </w:r>
      <w:bookmarkStart w:id="30984" w:name="_ETM_Q56_270340"/>
      <w:bookmarkEnd w:id="30984"/>
      <w:r>
        <w:rPr>
          <w:rFonts w:hint="cs"/>
          <w:rtl/>
        </w:rPr>
        <w:t xml:space="preserve">שינויים </w:t>
      </w:r>
      <w:bookmarkStart w:id="30985" w:name="_ETM_Q56_270700"/>
      <w:bookmarkEnd w:id="30985"/>
      <w:r>
        <w:rPr>
          <w:rFonts w:hint="cs"/>
          <w:rtl/>
        </w:rPr>
        <w:t>אחרים</w:t>
      </w:r>
      <w:bookmarkStart w:id="30986" w:name="_ETM_Q56_268101"/>
      <w:bookmarkEnd w:id="30986"/>
      <w:r>
        <w:rPr>
          <w:rFonts w:hint="cs"/>
          <w:rtl/>
        </w:rPr>
        <w:t>,</w:t>
      </w:r>
      <w:bookmarkStart w:id="30987" w:name="_ETM_Q56_269042"/>
      <w:bookmarkEnd w:id="30987"/>
      <w:r>
        <w:rPr>
          <w:rFonts w:hint="cs"/>
          <w:rtl/>
        </w:rPr>
        <w:t xml:space="preserve"> </w:t>
      </w:r>
      <w:bookmarkStart w:id="30988" w:name="_ETM_Q56_271000"/>
      <w:bookmarkEnd w:id="30988"/>
      <w:r>
        <w:rPr>
          <w:rFonts w:hint="cs"/>
          <w:rtl/>
        </w:rPr>
        <w:t xml:space="preserve">ובסוף </w:t>
      </w:r>
      <w:bookmarkStart w:id="30989" w:name="_ETM_Q56_271450"/>
      <w:bookmarkEnd w:id="30989"/>
      <w:r>
        <w:rPr>
          <w:rFonts w:hint="cs"/>
          <w:rtl/>
        </w:rPr>
        <w:t xml:space="preserve">הוא </w:t>
      </w:r>
      <w:bookmarkStart w:id="30990" w:name="_ETM_Q56_271539"/>
      <w:bookmarkEnd w:id="30990"/>
      <w:r>
        <w:rPr>
          <w:rFonts w:hint="cs"/>
          <w:rtl/>
        </w:rPr>
        <w:t xml:space="preserve">אמר </w:t>
      </w:r>
      <w:bookmarkStart w:id="30991" w:name="_ETM_Q56_271750"/>
      <w:bookmarkEnd w:id="30991"/>
      <w:r>
        <w:rPr>
          <w:rFonts w:hint="cs"/>
          <w:rtl/>
        </w:rPr>
        <w:t xml:space="preserve">לי, </w:t>
      </w:r>
      <w:bookmarkStart w:id="30992" w:name="_ETM_Q56_271930"/>
      <w:bookmarkEnd w:id="30992"/>
      <w:r>
        <w:rPr>
          <w:rFonts w:hint="cs"/>
          <w:rtl/>
        </w:rPr>
        <w:t xml:space="preserve">איפה </w:t>
      </w:r>
      <w:bookmarkStart w:id="30993" w:name="_ETM_Q56_272229"/>
      <w:bookmarkEnd w:id="30993"/>
      <w:r>
        <w:rPr>
          <w:rFonts w:hint="cs"/>
          <w:rtl/>
        </w:rPr>
        <w:t xml:space="preserve">החוק </w:t>
      </w:r>
      <w:bookmarkStart w:id="30994" w:name="_ETM_Q56_272500"/>
      <w:bookmarkEnd w:id="30994"/>
      <w:r>
        <w:rPr>
          <w:rFonts w:hint="cs"/>
          <w:rtl/>
        </w:rPr>
        <w:t xml:space="preserve">שלך? </w:t>
      </w:r>
      <w:bookmarkStart w:id="30995" w:name="_ETM_Q56_273680"/>
      <w:bookmarkEnd w:id="30995"/>
      <w:r>
        <w:rPr>
          <w:rFonts w:hint="cs"/>
          <w:rtl/>
        </w:rPr>
        <w:t xml:space="preserve">אני </w:t>
      </w:r>
      <w:bookmarkStart w:id="30996" w:name="_ETM_Q56_273920"/>
      <w:bookmarkEnd w:id="30996"/>
      <w:r>
        <w:rPr>
          <w:rFonts w:hint="cs"/>
          <w:rtl/>
        </w:rPr>
        <w:t xml:space="preserve">תומך </w:t>
      </w:r>
      <w:bookmarkStart w:id="30997" w:name="_ETM_Q56_274250"/>
      <w:bookmarkEnd w:id="30997"/>
      <w:r>
        <w:rPr>
          <w:rFonts w:hint="cs"/>
          <w:rtl/>
        </w:rPr>
        <w:t>בו,</w:t>
      </w:r>
      <w:bookmarkStart w:id="30998" w:name="_ETM_Q56_272031"/>
      <w:bookmarkEnd w:id="30998"/>
      <w:r>
        <w:rPr>
          <w:rFonts w:hint="cs"/>
          <w:rtl/>
        </w:rPr>
        <w:t xml:space="preserve"> </w:t>
      </w:r>
      <w:bookmarkStart w:id="30999" w:name="_ETM_Q56_274400"/>
      <w:bookmarkEnd w:id="30999"/>
      <w:r>
        <w:rPr>
          <w:rFonts w:hint="cs"/>
          <w:rtl/>
        </w:rPr>
        <w:t xml:space="preserve">בוא </w:t>
      </w:r>
      <w:bookmarkStart w:id="31000" w:name="_ETM_Q56_274610"/>
      <w:bookmarkEnd w:id="31000"/>
      <w:r>
        <w:rPr>
          <w:rFonts w:hint="cs"/>
          <w:rtl/>
        </w:rPr>
        <w:t xml:space="preserve">נעביר </w:t>
      </w:r>
      <w:bookmarkStart w:id="31001" w:name="_ETM_Q56_274970"/>
      <w:bookmarkEnd w:id="31001"/>
      <w:r>
        <w:rPr>
          <w:rFonts w:hint="cs"/>
          <w:rtl/>
        </w:rPr>
        <w:t xml:space="preserve">אותו. </w:t>
      </w:r>
      <w:bookmarkStart w:id="31002" w:name="_ETM_Q56_276280"/>
      <w:bookmarkEnd w:id="31002"/>
      <w:r>
        <w:rPr>
          <w:rFonts w:hint="cs"/>
          <w:rtl/>
        </w:rPr>
        <w:t xml:space="preserve">העברנו </w:t>
      </w:r>
      <w:bookmarkStart w:id="31003" w:name="_ETM_Q56_276819"/>
      <w:bookmarkEnd w:id="31003"/>
      <w:r>
        <w:rPr>
          <w:rFonts w:hint="cs"/>
          <w:rtl/>
        </w:rPr>
        <w:t xml:space="preserve">אותו, </w:t>
      </w:r>
      <w:bookmarkStart w:id="31004" w:name="_ETM_Q56_277209"/>
      <w:bookmarkEnd w:id="31004"/>
      <w:r>
        <w:rPr>
          <w:rFonts w:hint="cs"/>
          <w:rtl/>
        </w:rPr>
        <w:t xml:space="preserve">אדוני </w:t>
      </w:r>
      <w:bookmarkStart w:id="31005" w:name="_ETM_Q56_277569"/>
      <w:bookmarkEnd w:id="31005"/>
      <w:r>
        <w:rPr>
          <w:rFonts w:hint="cs"/>
          <w:rtl/>
        </w:rPr>
        <w:t>היושב-ראש,</w:t>
      </w:r>
      <w:bookmarkStart w:id="31006" w:name="_ETM_Q56_277001"/>
      <w:bookmarkEnd w:id="31006"/>
      <w:r>
        <w:rPr>
          <w:rFonts w:hint="cs"/>
          <w:rtl/>
        </w:rPr>
        <w:t xml:space="preserve"> </w:t>
      </w:r>
      <w:bookmarkStart w:id="31007" w:name="_ETM_Q56_278229"/>
      <w:bookmarkEnd w:id="31007"/>
      <w:r>
        <w:rPr>
          <w:rFonts w:hint="cs"/>
          <w:rtl/>
        </w:rPr>
        <w:t xml:space="preserve">ברוב </w:t>
      </w:r>
      <w:bookmarkStart w:id="31008" w:name="_ETM_Q56_278619"/>
      <w:bookmarkEnd w:id="31008"/>
      <w:r>
        <w:rPr>
          <w:rFonts w:hint="cs"/>
          <w:rtl/>
        </w:rPr>
        <w:t xml:space="preserve">של למעלה </w:t>
      </w:r>
      <w:bookmarkStart w:id="31009" w:name="_ETM_Q56_279190"/>
      <w:bookmarkEnd w:id="31009"/>
      <w:r>
        <w:rPr>
          <w:rFonts w:hint="cs"/>
          <w:rtl/>
        </w:rPr>
        <w:t xml:space="preserve">מ-80% </w:t>
      </w:r>
      <w:bookmarkStart w:id="31010" w:name="_ETM_Q56_280479"/>
      <w:bookmarkEnd w:id="31010"/>
      <w:r>
        <w:rPr>
          <w:rFonts w:hint="cs"/>
          <w:rtl/>
        </w:rPr>
        <w:t xml:space="preserve">מהחברים </w:t>
      </w:r>
      <w:bookmarkStart w:id="31011" w:name="_ETM_Q56_281049"/>
      <w:bookmarkEnd w:id="31011"/>
      <w:r>
        <w:rPr>
          <w:rFonts w:hint="cs"/>
          <w:rtl/>
        </w:rPr>
        <w:t xml:space="preserve">שהשתתפו </w:t>
      </w:r>
      <w:bookmarkStart w:id="31012" w:name="_ETM_Q56_281590"/>
      <w:bookmarkEnd w:id="31012"/>
      <w:r>
        <w:rPr>
          <w:rFonts w:hint="cs"/>
          <w:rtl/>
        </w:rPr>
        <w:t xml:space="preserve">בהצבעה – </w:t>
      </w:r>
      <w:bookmarkStart w:id="31013" w:name="_ETM_Q56_282810"/>
      <w:bookmarkEnd w:id="31013"/>
      <w:r>
        <w:rPr>
          <w:rFonts w:hint="cs"/>
          <w:rtl/>
        </w:rPr>
        <w:t xml:space="preserve">זולת </w:t>
      </w:r>
      <w:bookmarkStart w:id="31014" w:name="_ETM_Q56_284150"/>
      <w:bookmarkStart w:id="31015" w:name="_ETM_Q56_286220"/>
      <w:bookmarkEnd w:id="31014"/>
      <w:bookmarkEnd w:id="31015"/>
      <w:r>
        <w:rPr>
          <w:rFonts w:hint="cs"/>
          <w:rtl/>
        </w:rPr>
        <w:t xml:space="preserve">חברים </w:t>
      </w:r>
      <w:bookmarkStart w:id="31016" w:name="_ETM_Q56_286670"/>
      <w:bookmarkStart w:id="31017" w:name="_ETM_Q56_286970"/>
      <w:bookmarkEnd w:id="31016"/>
      <w:bookmarkEnd w:id="31017"/>
      <w:r>
        <w:rPr>
          <w:rFonts w:hint="cs"/>
          <w:rtl/>
        </w:rPr>
        <w:t>בשמאל ה</w:t>
      </w:r>
      <w:bookmarkStart w:id="31018" w:name="_ETM_Q56_287540"/>
      <w:bookmarkEnd w:id="31018"/>
      <w:r>
        <w:rPr>
          <w:rFonts w:hint="cs"/>
          <w:rtl/>
        </w:rPr>
        <w:t>יותר</w:t>
      </w:r>
      <w:bookmarkStart w:id="31019" w:name="_ETM_Q56_287900"/>
      <w:bookmarkStart w:id="31020" w:name="_ETM_Q56_285472"/>
      <w:bookmarkEnd w:id="31019"/>
      <w:bookmarkEnd w:id="31020"/>
      <w:r w:rsidR="001D2F50">
        <w:rPr>
          <w:rFonts w:hint="cs"/>
          <w:rtl/>
        </w:rPr>
        <w:t>-</w:t>
      </w:r>
      <w:r>
        <w:rPr>
          <w:rFonts w:hint="cs"/>
          <w:rtl/>
        </w:rPr>
        <w:t xml:space="preserve">רחוק – </w:t>
      </w:r>
      <w:bookmarkStart w:id="31021" w:name="_ETM_Q56_289100"/>
      <w:bookmarkEnd w:id="31021"/>
      <w:r>
        <w:rPr>
          <w:rFonts w:hint="cs"/>
          <w:rtl/>
        </w:rPr>
        <w:t xml:space="preserve">מכל </w:t>
      </w:r>
      <w:bookmarkStart w:id="31022" w:name="_ETM_Q56_289429"/>
      <w:bookmarkEnd w:id="31022"/>
      <w:r>
        <w:rPr>
          <w:rFonts w:hint="cs"/>
          <w:rtl/>
        </w:rPr>
        <w:t>הסיעות,</w:t>
      </w:r>
      <w:bookmarkStart w:id="31023" w:name="_ETM_Q56_289571"/>
      <w:bookmarkEnd w:id="31023"/>
      <w:r>
        <w:rPr>
          <w:rFonts w:hint="cs"/>
          <w:rtl/>
        </w:rPr>
        <w:t xml:space="preserve"> </w:t>
      </w:r>
      <w:bookmarkStart w:id="31024" w:name="_ETM_Q56_289850"/>
      <w:bookmarkEnd w:id="31024"/>
      <w:r>
        <w:rPr>
          <w:rFonts w:hint="cs"/>
          <w:rtl/>
        </w:rPr>
        <w:t xml:space="preserve">אופוזיציה </w:t>
      </w:r>
      <w:bookmarkStart w:id="31025" w:name="_ETM_Q56_290359"/>
      <w:bookmarkEnd w:id="31025"/>
      <w:r>
        <w:rPr>
          <w:rFonts w:hint="cs"/>
          <w:rtl/>
        </w:rPr>
        <w:t xml:space="preserve">וקואליציה. </w:t>
      </w:r>
      <w:bookmarkStart w:id="31026" w:name="_ETM_Q56_291469"/>
      <w:bookmarkEnd w:id="31026"/>
      <w:r>
        <w:rPr>
          <w:rFonts w:hint="cs"/>
          <w:rtl/>
        </w:rPr>
        <w:t xml:space="preserve">ולכן </w:t>
      </w:r>
      <w:bookmarkStart w:id="31027" w:name="_ETM_Q56_291979"/>
      <w:bookmarkEnd w:id="31027"/>
      <w:r>
        <w:rPr>
          <w:rFonts w:hint="cs"/>
          <w:rtl/>
        </w:rPr>
        <w:t xml:space="preserve">התיקון </w:t>
      </w:r>
      <w:bookmarkStart w:id="31028" w:name="_ETM_Q56_292490"/>
      <w:bookmarkEnd w:id="31028"/>
      <w:r>
        <w:rPr>
          <w:rFonts w:hint="cs"/>
          <w:rtl/>
        </w:rPr>
        <w:t xml:space="preserve">הזה </w:t>
      </w:r>
      <w:bookmarkStart w:id="31029" w:name="_ETM_Q56_293869"/>
      <w:bookmarkEnd w:id="31029"/>
      <w:r>
        <w:rPr>
          <w:rFonts w:hint="cs"/>
          <w:rtl/>
        </w:rPr>
        <w:t xml:space="preserve">החזיק </w:t>
      </w:r>
      <w:bookmarkStart w:id="31030" w:name="_ETM_Q56_294320"/>
      <w:bookmarkStart w:id="31031" w:name="_ETM_Q56_289691"/>
      <w:bookmarkEnd w:id="31030"/>
      <w:bookmarkEnd w:id="31031"/>
      <w:r>
        <w:rPr>
          <w:rFonts w:hint="cs"/>
          <w:rtl/>
        </w:rPr>
        <w:t xml:space="preserve">15 </w:t>
      </w:r>
      <w:bookmarkStart w:id="31032" w:name="_ETM_Q56_294890"/>
      <w:bookmarkEnd w:id="31032"/>
      <w:r>
        <w:rPr>
          <w:rFonts w:hint="cs"/>
          <w:rtl/>
        </w:rPr>
        <w:t xml:space="preserve">שנה, </w:t>
      </w:r>
      <w:bookmarkStart w:id="31033" w:name="_ETM_Q56_295850"/>
      <w:bookmarkEnd w:id="31033"/>
      <w:r>
        <w:rPr>
          <w:rFonts w:hint="cs"/>
          <w:rtl/>
        </w:rPr>
        <w:t xml:space="preserve">והיום </w:t>
      </w:r>
      <w:bookmarkStart w:id="31034" w:name="_ETM_Q56_296360"/>
      <w:bookmarkEnd w:id="31034"/>
      <w:r>
        <w:rPr>
          <w:rFonts w:hint="cs"/>
          <w:rtl/>
        </w:rPr>
        <w:t xml:space="preserve">הרכב </w:t>
      </w:r>
      <w:bookmarkStart w:id="31035" w:name="_ETM_Q56_296690"/>
      <w:bookmarkEnd w:id="31035"/>
      <w:r>
        <w:rPr>
          <w:rFonts w:hint="cs"/>
          <w:rtl/>
        </w:rPr>
        <w:t xml:space="preserve">בית </w:t>
      </w:r>
      <w:bookmarkStart w:id="31036" w:name="_ETM_Q56_296930"/>
      <w:bookmarkEnd w:id="31036"/>
      <w:r>
        <w:rPr>
          <w:rFonts w:hint="cs"/>
          <w:rtl/>
        </w:rPr>
        <w:t xml:space="preserve">המשפט </w:t>
      </w:r>
      <w:bookmarkStart w:id="31037" w:name="_ETM_Q56_297410"/>
      <w:bookmarkEnd w:id="31037"/>
      <w:r>
        <w:rPr>
          <w:rFonts w:hint="cs"/>
          <w:rtl/>
        </w:rPr>
        <w:t xml:space="preserve">העליון </w:t>
      </w:r>
      <w:bookmarkStart w:id="31038" w:name="_ETM_Q56_298369"/>
      <w:bookmarkEnd w:id="31038"/>
      <w:r>
        <w:rPr>
          <w:rFonts w:hint="cs"/>
          <w:rtl/>
        </w:rPr>
        <w:t>השתנה.</w:t>
      </w:r>
      <w:bookmarkStart w:id="31039" w:name="_ETM_Q56_296191"/>
      <w:bookmarkEnd w:id="31039"/>
      <w:r>
        <w:rPr>
          <w:rFonts w:hint="cs"/>
          <w:rtl/>
        </w:rPr>
        <w:t xml:space="preserve"> </w:t>
      </w:r>
      <w:bookmarkStart w:id="31040" w:name="_ETM_Q56_299090"/>
      <w:bookmarkEnd w:id="31040"/>
      <w:r>
        <w:rPr>
          <w:rFonts w:hint="cs"/>
          <w:rtl/>
        </w:rPr>
        <w:t xml:space="preserve">יש </w:t>
      </w:r>
      <w:bookmarkStart w:id="31041" w:name="_ETM_Q56_299299"/>
      <w:bookmarkEnd w:id="31041"/>
      <w:r>
        <w:rPr>
          <w:rFonts w:hint="cs"/>
          <w:rtl/>
        </w:rPr>
        <w:t xml:space="preserve">כאלה </w:t>
      </w:r>
      <w:bookmarkStart w:id="31042" w:name="_ETM_Q56_299570"/>
      <w:bookmarkEnd w:id="31042"/>
      <w:r>
        <w:rPr>
          <w:rFonts w:hint="cs"/>
          <w:rtl/>
        </w:rPr>
        <w:t xml:space="preserve">שמאמינים </w:t>
      </w:r>
      <w:bookmarkStart w:id="31043" w:name="_ETM_Q56_300170"/>
      <w:bookmarkEnd w:id="31043"/>
      <w:r>
        <w:rPr>
          <w:rFonts w:hint="cs"/>
          <w:rtl/>
        </w:rPr>
        <w:t xml:space="preserve">שהוא </w:t>
      </w:r>
      <w:bookmarkStart w:id="31044" w:name="_ETM_Q56_300320"/>
      <w:bookmarkEnd w:id="31044"/>
      <w:r>
        <w:rPr>
          <w:rFonts w:hint="cs"/>
          <w:rtl/>
        </w:rPr>
        <w:t xml:space="preserve">לא </w:t>
      </w:r>
      <w:bookmarkStart w:id="31045" w:name="_ETM_Q56_300439"/>
      <w:bookmarkStart w:id="31046" w:name="_ETM_Q56_301100"/>
      <w:bookmarkEnd w:id="31045"/>
      <w:bookmarkEnd w:id="31046"/>
      <w:r>
        <w:rPr>
          <w:rFonts w:hint="cs"/>
          <w:rtl/>
        </w:rPr>
        <w:t xml:space="preserve">השתנה </w:t>
      </w:r>
      <w:bookmarkStart w:id="31047" w:name="_ETM_Q56_300799"/>
      <w:bookmarkEnd w:id="31047"/>
      <w:r>
        <w:rPr>
          <w:rFonts w:hint="cs"/>
          <w:rtl/>
        </w:rPr>
        <w:t>מספי</w:t>
      </w:r>
      <w:bookmarkStart w:id="31048" w:name="_ETM_Q56_298580"/>
      <w:bookmarkEnd w:id="31048"/>
      <w:r>
        <w:rPr>
          <w:rFonts w:hint="cs"/>
          <w:rtl/>
        </w:rPr>
        <w:t xml:space="preserve">ק, </w:t>
      </w:r>
      <w:bookmarkStart w:id="31049" w:name="_ETM_Q56_301189"/>
      <w:bookmarkEnd w:id="31049"/>
      <w:r>
        <w:rPr>
          <w:rFonts w:hint="cs"/>
          <w:rtl/>
        </w:rPr>
        <w:t xml:space="preserve">אבל </w:t>
      </w:r>
      <w:bookmarkStart w:id="31050" w:name="_ETM_Q56_301429"/>
      <w:bookmarkEnd w:id="31050"/>
      <w:r>
        <w:rPr>
          <w:rFonts w:hint="cs"/>
          <w:rtl/>
        </w:rPr>
        <w:t xml:space="preserve">אין </w:t>
      </w:r>
      <w:bookmarkStart w:id="31051" w:name="_ETM_Q56_301549"/>
      <w:bookmarkEnd w:id="31051"/>
      <w:r>
        <w:rPr>
          <w:rFonts w:hint="cs"/>
          <w:rtl/>
        </w:rPr>
        <w:t xml:space="preserve">מחלוקת </w:t>
      </w:r>
      <w:bookmarkStart w:id="31052" w:name="_ETM_Q56_302390"/>
      <w:bookmarkEnd w:id="31052"/>
      <w:r>
        <w:rPr>
          <w:rFonts w:hint="cs"/>
          <w:rtl/>
        </w:rPr>
        <w:t xml:space="preserve">שהוא </w:t>
      </w:r>
      <w:bookmarkStart w:id="31053" w:name="_ETM_Q56_302600"/>
      <w:bookmarkEnd w:id="31053"/>
      <w:r>
        <w:rPr>
          <w:rFonts w:hint="cs"/>
          <w:rtl/>
        </w:rPr>
        <w:t xml:space="preserve">השתנה. </w:t>
      </w:r>
      <w:bookmarkStart w:id="31054" w:name="_ETM_Q56_305160"/>
      <w:bookmarkEnd w:id="31054"/>
      <w:r>
        <w:rPr>
          <w:rFonts w:hint="cs"/>
          <w:rtl/>
        </w:rPr>
        <w:t xml:space="preserve">אבל </w:t>
      </w:r>
      <w:bookmarkStart w:id="31055" w:name="_ETM_Q56_305430"/>
      <w:bookmarkEnd w:id="31055"/>
      <w:r>
        <w:rPr>
          <w:rFonts w:hint="cs"/>
          <w:rtl/>
        </w:rPr>
        <w:t xml:space="preserve">זה </w:t>
      </w:r>
      <w:bookmarkStart w:id="31056" w:name="_ETM_Q56_305550"/>
      <w:bookmarkEnd w:id="31056"/>
      <w:r>
        <w:rPr>
          <w:rFonts w:hint="cs"/>
          <w:rtl/>
        </w:rPr>
        <w:t xml:space="preserve">לקח </w:t>
      </w:r>
      <w:bookmarkStart w:id="31057" w:name="_ETM_Q56_305940"/>
      <w:bookmarkEnd w:id="31057"/>
      <w:r>
        <w:rPr>
          <w:rFonts w:hint="cs"/>
          <w:rtl/>
        </w:rPr>
        <w:t xml:space="preserve">בכל </w:t>
      </w:r>
      <w:bookmarkStart w:id="31058" w:name="_ETM_Q56_306330"/>
      <w:bookmarkEnd w:id="31058"/>
      <w:r>
        <w:rPr>
          <w:rFonts w:hint="cs"/>
          <w:rtl/>
        </w:rPr>
        <w:t xml:space="preserve">זאת </w:t>
      </w:r>
      <w:bookmarkStart w:id="31059" w:name="_ETM_Q56_306900"/>
      <w:bookmarkEnd w:id="31059"/>
      <w:r>
        <w:rPr>
          <w:rFonts w:hint="cs"/>
          <w:rtl/>
        </w:rPr>
        <w:t xml:space="preserve">כמה </w:t>
      </w:r>
      <w:bookmarkStart w:id="31060" w:name="_ETM_Q56_307200"/>
      <w:bookmarkEnd w:id="31060"/>
      <w:r>
        <w:rPr>
          <w:rFonts w:hint="cs"/>
          <w:rtl/>
        </w:rPr>
        <w:t xml:space="preserve">שנים </w:t>
      </w:r>
      <w:bookmarkStart w:id="31061" w:name="_ETM_Q56_307590"/>
      <w:bookmarkEnd w:id="31061"/>
      <w:r>
        <w:rPr>
          <w:rFonts w:hint="cs"/>
          <w:rtl/>
        </w:rPr>
        <w:t xml:space="preserve">טובות </w:t>
      </w:r>
      <w:bookmarkStart w:id="31062" w:name="_ETM_Q56_308500"/>
      <w:bookmarkEnd w:id="31062"/>
      <w:r>
        <w:rPr>
          <w:rFonts w:hint="cs"/>
          <w:rtl/>
        </w:rPr>
        <w:t xml:space="preserve">מהרגע </w:t>
      </w:r>
      <w:bookmarkStart w:id="31063" w:name="_ETM_Q56_309100"/>
      <w:bookmarkEnd w:id="31063"/>
      <w:r>
        <w:rPr>
          <w:rFonts w:hint="cs"/>
          <w:rtl/>
        </w:rPr>
        <w:t xml:space="preserve">שההצעה </w:t>
      </w:r>
      <w:bookmarkStart w:id="31064" w:name="_ETM_Q56_309730"/>
      <w:bookmarkEnd w:id="31064"/>
      <w:r>
        <w:rPr>
          <w:rFonts w:hint="cs"/>
          <w:rtl/>
        </w:rPr>
        <w:t xml:space="preserve">הונחה </w:t>
      </w:r>
      <w:bookmarkStart w:id="31065" w:name="_ETM_Q56_310570"/>
      <w:bookmarkEnd w:id="31065"/>
      <w:r>
        <w:rPr>
          <w:rFonts w:hint="cs"/>
          <w:rtl/>
        </w:rPr>
        <w:t xml:space="preserve">ועד </w:t>
      </w:r>
      <w:bookmarkStart w:id="31066" w:name="_ETM_Q56_310900"/>
      <w:bookmarkEnd w:id="31066"/>
      <w:r>
        <w:rPr>
          <w:rFonts w:hint="cs"/>
          <w:rtl/>
        </w:rPr>
        <w:t xml:space="preserve">שהיא </w:t>
      </w:r>
      <w:bookmarkStart w:id="31067" w:name="_ETM_Q56_311290"/>
      <w:bookmarkEnd w:id="31067"/>
      <w:r>
        <w:rPr>
          <w:rFonts w:hint="cs"/>
          <w:rtl/>
        </w:rPr>
        <w:t xml:space="preserve">נכנסה </w:t>
      </w:r>
      <w:bookmarkStart w:id="31068" w:name="_ETM_Q56_311740"/>
      <w:bookmarkEnd w:id="31068"/>
      <w:r>
        <w:rPr>
          <w:rFonts w:hint="cs"/>
          <w:rtl/>
        </w:rPr>
        <w:t xml:space="preserve">לספר </w:t>
      </w:r>
      <w:bookmarkStart w:id="31069" w:name="_ETM_Q56_312160"/>
      <w:bookmarkEnd w:id="31069"/>
      <w:r>
        <w:rPr>
          <w:rFonts w:hint="cs"/>
          <w:rtl/>
        </w:rPr>
        <w:t xml:space="preserve">החוקים </w:t>
      </w:r>
      <w:bookmarkStart w:id="31070" w:name="_ETM_Q56_312490"/>
      <w:bookmarkEnd w:id="31070"/>
      <w:r>
        <w:rPr>
          <w:rFonts w:hint="cs"/>
          <w:rtl/>
        </w:rPr>
        <w:t xml:space="preserve">של </w:t>
      </w:r>
      <w:bookmarkStart w:id="31071" w:name="_ETM_Q56_312669"/>
      <w:bookmarkEnd w:id="31071"/>
      <w:r>
        <w:rPr>
          <w:rFonts w:hint="cs"/>
          <w:rtl/>
        </w:rPr>
        <w:t xml:space="preserve">מדינת </w:t>
      </w:r>
      <w:bookmarkStart w:id="31072" w:name="_ETM_Q56_313060"/>
      <w:bookmarkEnd w:id="31072"/>
      <w:r>
        <w:rPr>
          <w:rFonts w:hint="cs"/>
          <w:rtl/>
        </w:rPr>
        <w:t>ישראל.</w:t>
      </w:r>
      <w:bookmarkStart w:id="31073" w:name="_ETM_Q56_313690"/>
      <w:bookmarkEnd w:id="31073"/>
    </w:p>
    <w:p w:rsidR="00BB59CD" w:rsidRDefault="00BB59CD" w:rsidP="00BB59CD">
      <w:pPr>
        <w:rPr>
          <w:rtl/>
        </w:rPr>
      </w:pPr>
      <w:bookmarkStart w:id="31074" w:name="_ETM_Q56_315974"/>
      <w:bookmarkStart w:id="31075" w:name="_ETM_Q56_316042"/>
      <w:bookmarkEnd w:id="31074"/>
      <w:bookmarkEnd w:id="31075"/>
    </w:p>
    <w:p w:rsidR="00BB59CD" w:rsidRDefault="00BB59CD" w:rsidP="001D2F50">
      <w:pPr>
        <w:rPr>
          <w:rtl/>
        </w:rPr>
      </w:pPr>
      <w:bookmarkStart w:id="31076" w:name="_ETM_Q56_316134"/>
      <w:bookmarkStart w:id="31077" w:name="_ETM_Q56_316182"/>
      <w:bookmarkStart w:id="31078" w:name="_ETM_Q56_311360"/>
      <w:bookmarkEnd w:id="31076"/>
      <w:bookmarkEnd w:id="31077"/>
      <w:bookmarkEnd w:id="31078"/>
      <w:r>
        <w:rPr>
          <w:rFonts w:hint="cs"/>
          <w:rtl/>
        </w:rPr>
        <w:t xml:space="preserve">עכשיו </w:t>
      </w:r>
      <w:bookmarkStart w:id="31079" w:name="_ETM_Q56_313960"/>
      <w:bookmarkEnd w:id="31079"/>
      <w:r>
        <w:rPr>
          <w:rFonts w:hint="cs"/>
          <w:rtl/>
        </w:rPr>
        <w:t xml:space="preserve">אני </w:t>
      </w:r>
      <w:bookmarkStart w:id="31080" w:name="_ETM_Q56_314110"/>
      <w:bookmarkEnd w:id="31080"/>
      <w:r>
        <w:rPr>
          <w:rFonts w:hint="cs"/>
          <w:rtl/>
        </w:rPr>
        <w:t xml:space="preserve">אתן </w:t>
      </w:r>
      <w:bookmarkStart w:id="31081" w:name="_ETM_Q56_314410"/>
      <w:bookmarkEnd w:id="31081"/>
      <w:r>
        <w:rPr>
          <w:rFonts w:hint="cs"/>
          <w:rtl/>
        </w:rPr>
        <w:t xml:space="preserve">דוגמה </w:t>
      </w:r>
      <w:bookmarkStart w:id="31082" w:name="_ETM_Q56_315330"/>
      <w:bookmarkEnd w:id="31082"/>
      <w:r>
        <w:rPr>
          <w:rFonts w:hint="cs"/>
          <w:rtl/>
        </w:rPr>
        <w:t xml:space="preserve">עוד </w:t>
      </w:r>
      <w:bookmarkStart w:id="31083" w:name="_ETM_Q56_315540"/>
      <w:bookmarkEnd w:id="31083"/>
      <w:r>
        <w:rPr>
          <w:rFonts w:hint="cs"/>
          <w:rtl/>
        </w:rPr>
        <w:t xml:space="preserve">יותר </w:t>
      </w:r>
      <w:bookmarkStart w:id="31084" w:name="_ETM_Q56_315870"/>
      <w:bookmarkEnd w:id="31084"/>
      <w:r>
        <w:rPr>
          <w:rFonts w:hint="cs"/>
          <w:rtl/>
        </w:rPr>
        <w:t>מרחיקת</w:t>
      </w:r>
      <w:bookmarkStart w:id="31085" w:name="_ETM_Q56_316470"/>
      <w:bookmarkEnd w:id="31085"/>
      <w:r>
        <w:rPr>
          <w:rFonts w:hint="cs"/>
          <w:rtl/>
        </w:rPr>
        <w:t xml:space="preserve"> לכת</w:t>
      </w:r>
      <w:r w:rsidR="001D2F50">
        <w:rPr>
          <w:rFonts w:hint="cs"/>
          <w:rtl/>
        </w:rPr>
        <w:t>:</w:t>
      </w:r>
      <w:r>
        <w:rPr>
          <w:rFonts w:hint="cs"/>
          <w:rtl/>
        </w:rPr>
        <w:t xml:space="preserve"> </w:t>
      </w:r>
      <w:bookmarkStart w:id="31086" w:name="_ETM_Q56_319639"/>
      <w:bookmarkEnd w:id="31086"/>
      <w:r>
        <w:rPr>
          <w:rFonts w:hint="cs"/>
          <w:rtl/>
        </w:rPr>
        <w:t xml:space="preserve">שימוע </w:t>
      </w:r>
      <w:bookmarkStart w:id="31087" w:name="_ETM_Q56_320060"/>
      <w:bookmarkEnd w:id="31087"/>
      <w:r>
        <w:rPr>
          <w:rFonts w:hint="cs"/>
          <w:rtl/>
        </w:rPr>
        <w:t xml:space="preserve">פומבי </w:t>
      </w:r>
      <w:bookmarkStart w:id="31088" w:name="_ETM_Q56_320450"/>
      <w:bookmarkEnd w:id="31088"/>
      <w:r>
        <w:rPr>
          <w:rFonts w:hint="cs"/>
          <w:rtl/>
        </w:rPr>
        <w:t xml:space="preserve">למועמדים </w:t>
      </w:r>
      <w:bookmarkStart w:id="31089" w:name="_ETM_Q56_322960"/>
      <w:bookmarkEnd w:id="31089"/>
      <w:r>
        <w:rPr>
          <w:rFonts w:hint="cs"/>
          <w:rtl/>
        </w:rPr>
        <w:t xml:space="preserve">לבית </w:t>
      </w:r>
      <w:bookmarkStart w:id="31090" w:name="_ETM_Q56_323290"/>
      <w:bookmarkEnd w:id="31090"/>
      <w:r>
        <w:rPr>
          <w:rFonts w:hint="cs"/>
          <w:rtl/>
        </w:rPr>
        <w:t xml:space="preserve">המשפט </w:t>
      </w:r>
      <w:bookmarkStart w:id="31091" w:name="_ETM_Q56_323770"/>
      <w:bookmarkEnd w:id="31091"/>
      <w:r>
        <w:rPr>
          <w:rFonts w:hint="cs"/>
          <w:rtl/>
        </w:rPr>
        <w:t>העליון</w:t>
      </w:r>
      <w:bookmarkStart w:id="31092" w:name="_ETM_Q56_327745"/>
      <w:bookmarkEnd w:id="31092"/>
      <w:r w:rsidR="001D2F50">
        <w:rPr>
          <w:rFonts w:hint="cs"/>
          <w:rtl/>
        </w:rPr>
        <w:t xml:space="preserve"> </w:t>
      </w:r>
      <w:r>
        <w:rPr>
          <w:rFonts w:hint="cs"/>
          <w:rtl/>
        </w:rPr>
        <w:t xml:space="preserve">זאת </w:t>
      </w:r>
      <w:bookmarkStart w:id="31093" w:name="_ETM_Q56_325630"/>
      <w:bookmarkEnd w:id="31093"/>
      <w:r>
        <w:rPr>
          <w:rFonts w:hint="cs"/>
          <w:rtl/>
        </w:rPr>
        <w:t xml:space="preserve">הצעת </w:t>
      </w:r>
      <w:bookmarkStart w:id="31094" w:name="_ETM_Q56_326020"/>
      <w:bookmarkEnd w:id="31094"/>
      <w:r>
        <w:rPr>
          <w:rFonts w:hint="cs"/>
          <w:rtl/>
        </w:rPr>
        <w:t xml:space="preserve">חוק </w:t>
      </w:r>
      <w:bookmarkStart w:id="31095" w:name="_ETM_Q56_326260"/>
      <w:bookmarkEnd w:id="31095"/>
      <w:r>
        <w:rPr>
          <w:rFonts w:hint="cs"/>
          <w:rtl/>
        </w:rPr>
        <w:t xml:space="preserve">שהגשתי </w:t>
      </w:r>
      <w:bookmarkStart w:id="31096" w:name="_ETM_Q56_326860"/>
      <w:bookmarkEnd w:id="31096"/>
      <w:r>
        <w:rPr>
          <w:rFonts w:hint="cs"/>
          <w:rtl/>
        </w:rPr>
        <w:t xml:space="preserve">כנסת </w:t>
      </w:r>
      <w:bookmarkStart w:id="31097" w:name="_ETM_Q56_327280"/>
      <w:bookmarkEnd w:id="31097"/>
      <w:r>
        <w:rPr>
          <w:rFonts w:hint="cs"/>
          <w:rtl/>
        </w:rPr>
        <w:t xml:space="preserve">אחרי </w:t>
      </w:r>
      <w:bookmarkStart w:id="31098" w:name="_ETM_Q56_327520"/>
      <w:bookmarkEnd w:id="31098"/>
      <w:r>
        <w:rPr>
          <w:rFonts w:hint="cs"/>
          <w:rtl/>
        </w:rPr>
        <w:t xml:space="preserve">כנסת, </w:t>
      </w:r>
      <w:bookmarkStart w:id="31099" w:name="_ETM_Q56_327940"/>
      <w:bookmarkEnd w:id="31099"/>
      <w:r>
        <w:rPr>
          <w:rFonts w:hint="cs"/>
          <w:rtl/>
        </w:rPr>
        <w:t xml:space="preserve">מהכנסת </w:t>
      </w:r>
      <w:bookmarkStart w:id="31100" w:name="_ETM_Q56_328480"/>
      <w:bookmarkEnd w:id="31100"/>
      <w:r>
        <w:rPr>
          <w:rFonts w:hint="cs"/>
          <w:rtl/>
        </w:rPr>
        <w:t>השש-עשרה.</w:t>
      </w:r>
      <w:bookmarkStart w:id="31101" w:name="_ETM_Q56_329850"/>
      <w:bookmarkEnd w:id="31101"/>
      <w:r>
        <w:rPr>
          <w:rFonts w:hint="cs"/>
          <w:rtl/>
        </w:rPr>
        <w:t xml:space="preserve"> </w:t>
      </w:r>
      <w:bookmarkStart w:id="31102" w:name="_ETM_Q56_331770"/>
      <w:bookmarkEnd w:id="31102"/>
      <w:r>
        <w:rPr>
          <w:rFonts w:hint="cs"/>
          <w:rtl/>
        </w:rPr>
        <w:t xml:space="preserve">לפני </w:t>
      </w:r>
      <w:bookmarkStart w:id="31103" w:name="_ETM_Q56_332100"/>
      <w:bookmarkEnd w:id="31103"/>
      <w:r>
        <w:rPr>
          <w:rFonts w:hint="cs"/>
          <w:rtl/>
        </w:rPr>
        <w:t xml:space="preserve">קצת </w:t>
      </w:r>
      <w:bookmarkStart w:id="31104" w:name="_ETM_Q56_332400"/>
      <w:bookmarkEnd w:id="31104"/>
      <w:r>
        <w:rPr>
          <w:rFonts w:hint="cs"/>
          <w:rtl/>
        </w:rPr>
        <w:t xml:space="preserve">יותר </w:t>
      </w:r>
      <w:bookmarkStart w:id="31105" w:name="_ETM_Q56_332639"/>
      <w:bookmarkEnd w:id="31105"/>
      <w:r>
        <w:rPr>
          <w:rFonts w:hint="cs"/>
          <w:rtl/>
        </w:rPr>
        <w:t xml:space="preserve">משנה, </w:t>
      </w:r>
      <w:bookmarkStart w:id="31106" w:name="_ETM_Q56_333150"/>
      <w:bookmarkEnd w:id="31106"/>
      <w:r>
        <w:rPr>
          <w:rFonts w:hint="cs"/>
          <w:rtl/>
        </w:rPr>
        <w:t xml:space="preserve">בתפקידי </w:t>
      </w:r>
      <w:bookmarkStart w:id="31107" w:name="_ETM_Q56_333780"/>
      <w:bookmarkEnd w:id="31107"/>
      <w:r>
        <w:rPr>
          <w:rFonts w:hint="cs"/>
          <w:rtl/>
        </w:rPr>
        <w:t xml:space="preserve">כשר </w:t>
      </w:r>
      <w:bookmarkStart w:id="31108" w:name="_ETM_Q56_334110"/>
      <w:bookmarkEnd w:id="31108"/>
      <w:r>
        <w:rPr>
          <w:rFonts w:hint="cs"/>
          <w:rtl/>
        </w:rPr>
        <w:t xml:space="preserve">המשפטים </w:t>
      </w:r>
      <w:bookmarkStart w:id="31109" w:name="_ETM_Q56_334680"/>
      <w:bookmarkEnd w:id="31109"/>
      <w:r>
        <w:rPr>
          <w:rFonts w:hint="cs"/>
          <w:rtl/>
        </w:rPr>
        <w:t xml:space="preserve">עלה </w:t>
      </w:r>
      <w:bookmarkStart w:id="31110" w:name="_ETM_Q56_334889"/>
      <w:bookmarkEnd w:id="31110"/>
      <w:r>
        <w:rPr>
          <w:rFonts w:hint="cs"/>
          <w:rtl/>
        </w:rPr>
        <w:t xml:space="preserve">בידי </w:t>
      </w:r>
      <w:bookmarkStart w:id="31111" w:name="_ETM_Q56_335280"/>
      <w:bookmarkEnd w:id="31111"/>
      <w:r>
        <w:rPr>
          <w:rFonts w:hint="cs"/>
          <w:rtl/>
        </w:rPr>
        <w:t xml:space="preserve">להעביר </w:t>
      </w:r>
      <w:bookmarkStart w:id="31112" w:name="_ETM_Q56_335669"/>
      <w:bookmarkEnd w:id="31112"/>
      <w:r>
        <w:rPr>
          <w:rFonts w:hint="cs"/>
          <w:rtl/>
        </w:rPr>
        <w:t xml:space="preserve">אותה </w:t>
      </w:r>
      <w:bookmarkStart w:id="31113" w:name="_ETM_Q56_335970"/>
      <w:bookmarkEnd w:id="31113"/>
      <w:r>
        <w:rPr>
          <w:rFonts w:hint="cs"/>
          <w:rtl/>
        </w:rPr>
        <w:t xml:space="preserve">כמעט </w:t>
      </w:r>
      <w:bookmarkStart w:id="31114" w:name="_ETM_Q56_336450"/>
      <w:bookmarkEnd w:id="31114"/>
      <w:r>
        <w:rPr>
          <w:rFonts w:hint="cs"/>
          <w:rtl/>
        </w:rPr>
        <w:t xml:space="preserve">פה </w:t>
      </w:r>
      <w:bookmarkStart w:id="31115" w:name="_ETM_Q56_334290"/>
      <w:bookmarkEnd w:id="31115"/>
      <w:r>
        <w:rPr>
          <w:rFonts w:hint="cs"/>
          <w:rtl/>
        </w:rPr>
        <w:t xml:space="preserve">אחד; </w:t>
      </w:r>
      <w:bookmarkStart w:id="31116" w:name="_ETM_Q56_337110"/>
      <w:bookmarkEnd w:id="31116"/>
      <w:r>
        <w:rPr>
          <w:rFonts w:hint="cs"/>
          <w:rtl/>
        </w:rPr>
        <w:t xml:space="preserve">לא </w:t>
      </w:r>
      <w:bookmarkStart w:id="31117" w:name="_ETM_Q56_337290"/>
      <w:bookmarkEnd w:id="31117"/>
      <w:r>
        <w:rPr>
          <w:rFonts w:hint="cs"/>
          <w:rtl/>
        </w:rPr>
        <w:t>פה אחד,</w:t>
      </w:r>
      <w:bookmarkStart w:id="31118" w:name="_ETM_Q56_336400"/>
      <w:bookmarkEnd w:id="31118"/>
      <w:r>
        <w:rPr>
          <w:rFonts w:hint="cs"/>
          <w:rtl/>
        </w:rPr>
        <w:t xml:space="preserve"> </w:t>
      </w:r>
      <w:bookmarkStart w:id="31119" w:name="_ETM_Q56_337919"/>
      <w:bookmarkEnd w:id="31119"/>
      <w:r>
        <w:rPr>
          <w:rFonts w:hint="cs"/>
          <w:rtl/>
        </w:rPr>
        <w:t xml:space="preserve">נמנעה </w:t>
      </w:r>
      <w:bookmarkStart w:id="31120" w:name="_ETM_Q56_338340"/>
      <w:bookmarkEnd w:id="31120"/>
      <w:r>
        <w:rPr>
          <w:rFonts w:hint="cs"/>
          <w:rtl/>
        </w:rPr>
        <w:t xml:space="preserve">חברת </w:t>
      </w:r>
      <w:bookmarkStart w:id="31121" w:name="_ETM_Q56_338700"/>
      <w:bookmarkEnd w:id="31121"/>
      <w:r>
        <w:rPr>
          <w:rFonts w:hint="cs"/>
          <w:rtl/>
        </w:rPr>
        <w:t xml:space="preserve">הכנסת </w:t>
      </w:r>
      <w:bookmarkStart w:id="31122" w:name="_ETM_Q56_339180"/>
      <w:bookmarkEnd w:id="31122"/>
      <w:r>
        <w:rPr>
          <w:rFonts w:hint="cs"/>
          <w:rtl/>
        </w:rPr>
        <w:t xml:space="preserve">רייטן </w:t>
      </w:r>
      <w:bookmarkStart w:id="31123" w:name="_ETM_Q56_339889"/>
      <w:bookmarkEnd w:id="31123"/>
      <w:r>
        <w:rPr>
          <w:rFonts w:hint="cs"/>
          <w:rtl/>
        </w:rPr>
        <w:t xml:space="preserve">ממפלגת </w:t>
      </w:r>
      <w:bookmarkStart w:id="31124" w:name="_ETM_Q56_340520"/>
      <w:bookmarkEnd w:id="31124"/>
      <w:r>
        <w:rPr>
          <w:rFonts w:hint="cs"/>
          <w:rtl/>
        </w:rPr>
        <w:t xml:space="preserve">העבודה, </w:t>
      </w:r>
      <w:bookmarkStart w:id="31125" w:name="_ETM_Q56_341330"/>
      <w:bookmarkEnd w:id="31125"/>
      <w:r>
        <w:rPr>
          <w:rFonts w:hint="cs"/>
          <w:rtl/>
        </w:rPr>
        <w:t xml:space="preserve">אבל </w:t>
      </w:r>
      <w:bookmarkStart w:id="31126" w:name="_ETM_Q56_341660"/>
      <w:bookmarkEnd w:id="31126"/>
      <w:r>
        <w:rPr>
          <w:rFonts w:hint="cs"/>
          <w:rtl/>
        </w:rPr>
        <w:t xml:space="preserve">כל </w:t>
      </w:r>
      <w:bookmarkStart w:id="31127" w:name="_ETM_Q56_341900"/>
      <w:bookmarkEnd w:id="31127"/>
      <w:r>
        <w:rPr>
          <w:rFonts w:hint="cs"/>
          <w:rtl/>
        </w:rPr>
        <w:t xml:space="preserve">שאר </w:t>
      </w:r>
      <w:bookmarkStart w:id="31128" w:name="_ETM_Q56_342230"/>
      <w:bookmarkEnd w:id="31128"/>
      <w:r>
        <w:rPr>
          <w:rFonts w:hint="cs"/>
          <w:rtl/>
        </w:rPr>
        <w:t xml:space="preserve">חברי </w:t>
      </w:r>
      <w:bookmarkStart w:id="31129" w:name="_ETM_Q56_342650"/>
      <w:bookmarkEnd w:id="31129"/>
      <w:r>
        <w:rPr>
          <w:rFonts w:hint="cs"/>
          <w:rtl/>
        </w:rPr>
        <w:t xml:space="preserve">הוועדה, </w:t>
      </w:r>
      <w:bookmarkStart w:id="31130" w:name="_ETM_Q56_344400"/>
      <w:bookmarkStart w:id="31131" w:name="_ETM_Q56_344790"/>
      <w:bookmarkEnd w:id="31130"/>
      <w:bookmarkEnd w:id="31131"/>
      <w:r>
        <w:rPr>
          <w:rFonts w:hint="cs"/>
          <w:rtl/>
        </w:rPr>
        <w:t xml:space="preserve">האנשים </w:t>
      </w:r>
      <w:bookmarkStart w:id="31132" w:name="_ETM_Q56_345540"/>
      <w:bookmarkEnd w:id="31132"/>
      <w:r>
        <w:rPr>
          <w:rFonts w:hint="cs"/>
          <w:rtl/>
        </w:rPr>
        <w:t xml:space="preserve">הפוליטיים, </w:t>
      </w:r>
      <w:bookmarkStart w:id="31133" w:name="_ETM_Q56_346319"/>
      <w:bookmarkEnd w:id="31133"/>
      <w:r>
        <w:rPr>
          <w:rFonts w:hint="cs"/>
          <w:rtl/>
        </w:rPr>
        <w:t>השופטים,</w:t>
      </w:r>
      <w:bookmarkStart w:id="31134" w:name="_ETM_Q56_345411"/>
      <w:bookmarkEnd w:id="31134"/>
      <w:r>
        <w:rPr>
          <w:rFonts w:hint="cs"/>
          <w:rtl/>
        </w:rPr>
        <w:t xml:space="preserve"> </w:t>
      </w:r>
      <w:bookmarkStart w:id="31135" w:name="_ETM_Q56_347189"/>
      <w:bookmarkEnd w:id="31135"/>
      <w:r>
        <w:rPr>
          <w:rFonts w:hint="cs"/>
          <w:rtl/>
        </w:rPr>
        <w:t xml:space="preserve">עורכי הדין, </w:t>
      </w:r>
      <w:bookmarkStart w:id="31136" w:name="_ETM_Q56_348150"/>
      <w:bookmarkEnd w:id="31136"/>
      <w:r>
        <w:rPr>
          <w:rFonts w:hint="cs"/>
          <w:rtl/>
        </w:rPr>
        <w:t xml:space="preserve">כולם </w:t>
      </w:r>
      <w:bookmarkStart w:id="31137" w:name="_ETM_Q56_348689"/>
      <w:bookmarkEnd w:id="31137"/>
      <w:r>
        <w:rPr>
          <w:rFonts w:hint="cs"/>
          <w:rtl/>
        </w:rPr>
        <w:t xml:space="preserve">הצביעו </w:t>
      </w:r>
      <w:bookmarkStart w:id="31138" w:name="_ETM_Q56_349260"/>
      <w:bookmarkEnd w:id="31138"/>
      <w:r>
        <w:rPr>
          <w:rFonts w:hint="cs"/>
          <w:rtl/>
        </w:rPr>
        <w:t xml:space="preserve">בעד. </w:t>
      </w:r>
      <w:bookmarkStart w:id="31139" w:name="_ETM_Q56_350349"/>
      <w:bookmarkEnd w:id="31139"/>
      <w:r>
        <w:rPr>
          <w:rFonts w:hint="cs"/>
          <w:rtl/>
        </w:rPr>
        <w:t xml:space="preserve">זה </w:t>
      </w:r>
      <w:bookmarkStart w:id="31140" w:name="_ETM_Q56_350590"/>
      <w:bookmarkEnd w:id="31140"/>
      <w:r>
        <w:rPr>
          <w:rFonts w:hint="cs"/>
          <w:rtl/>
        </w:rPr>
        <w:t xml:space="preserve">שינוי </w:t>
      </w:r>
      <w:bookmarkStart w:id="31141" w:name="_ETM_Q56_350919"/>
      <w:bookmarkEnd w:id="31141"/>
      <w:r>
        <w:rPr>
          <w:rFonts w:hint="cs"/>
          <w:rtl/>
        </w:rPr>
        <w:t xml:space="preserve">מאוד </w:t>
      </w:r>
      <w:bookmarkStart w:id="31142" w:name="_ETM_Q56_351099"/>
      <w:bookmarkEnd w:id="31142"/>
      <w:r>
        <w:rPr>
          <w:rFonts w:hint="cs"/>
          <w:rtl/>
        </w:rPr>
        <w:t>משמעותי</w:t>
      </w:r>
      <w:bookmarkStart w:id="31143" w:name="_ETM_Q56_350572"/>
      <w:bookmarkEnd w:id="31143"/>
      <w:r>
        <w:rPr>
          <w:rFonts w:hint="cs"/>
          <w:rtl/>
        </w:rPr>
        <w:t xml:space="preserve">. </w:t>
      </w:r>
      <w:bookmarkStart w:id="31144" w:name="_ETM_Q56_352290"/>
      <w:bookmarkEnd w:id="31144"/>
      <w:r>
        <w:rPr>
          <w:rFonts w:hint="cs"/>
          <w:rtl/>
        </w:rPr>
        <w:t xml:space="preserve">הוא </w:t>
      </w:r>
      <w:bookmarkStart w:id="31145" w:name="_ETM_Q56_352500"/>
      <w:bookmarkEnd w:id="31145"/>
      <w:r>
        <w:rPr>
          <w:rFonts w:hint="cs"/>
          <w:rtl/>
        </w:rPr>
        <w:t xml:space="preserve">נותן </w:t>
      </w:r>
      <w:bookmarkStart w:id="31146" w:name="_ETM_Q56_352860"/>
      <w:bookmarkEnd w:id="31146"/>
      <w:r>
        <w:rPr>
          <w:rFonts w:hint="cs"/>
          <w:rtl/>
        </w:rPr>
        <w:t xml:space="preserve">את </w:t>
      </w:r>
      <w:bookmarkStart w:id="31147" w:name="_ETM_Q56_352919"/>
      <w:bookmarkEnd w:id="31147"/>
      <w:r>
        <w:rPr>
          <w:rFonts w:hint="cs"/>
          <w:rtl/>
        </w:rPr>
        <w:t xml:space="preserve">הערך </w:t>
      </w:r>
      <w:bookmarkStart w:id="31148" w:name="_ETM_Q56_353190"/>
      <w:bookmarkEnd w:id="31148"/>
      <w:r>
        <w:rPr>
          <w:rFonts w:hint="cs"/>
          <w:rtl/>
        </w:rPr>
        <w:t xml:space="preserve">של </w:t>
      </w:r>
      <w:bookmarkStart w:id="31149" w:name="_ETM_Q56_353370"/>
      <w:bookmarkEnd w:id="31149"/>
      <w:r>
        <w:rPr>
          <w:rFonts w:hint="cs"/>
          <w:rtl/>
        </w:rPr>
        <w:t xml:space="preserve">השקיפות, </w:t>
      </w:r>
      <w:bookmarkStart w:id="31150" w:name="_ETM_Q56_354240"/>
      <w:bookmarkEnd w:id="31150"/>
      <w:r>
        <w:rPr>
          <w:rFonts w:hint="cs"/>
          <w:rtl/>
        </w:rPr>
        <w:t xml:space="preserve">הוא </w:t>
      </w:r>
      <w:bookmarkStart w:id="31151" w:name="_ETM_Q56_354389"/>
      <w:bookmarkEnd w:id="31151"/>
      <w:r>
        <w:rPr>
          <w:rFonts w:hint="cs"/>
          <w:rtl/>
        </w:rPr>
        <w:t xml:space="preserve">נותן </w:t>
      </w:r>
      <w:bookmarkStart w:id="31152" w:name="_ETM_Q56_354720"/>
      <w:bookmarkEnd w:id="31152"/>
      <w:r>
        <w:rPr>
          <w:rFonts w:hint="cs"/>
          <w:rtl/>
        </w:rPr>
        <w:t xml:space="preserve">גם </w:t>
      </w:r>
      <w:bookmarkStart w:id="31153" w:name="_ETM_Q56_354900"/>
      <w:bookmarkEnd w:id="31153"/>
      <w:r>
        <w:rPr>
          <w:rFonts w:hint="cs"/>
          <w:rtl/>
        </w:rPr>
        <w:t xml:space="preserve">את </w:t>
      </w:r>
      <w:bookmarkStart w:id="31154" w:name="_ETM_Q56_355080"/>
      <w:bookmarkEnd w:id="31154"/>
      <w:r>
        <w:rPr>
          <w:rFonts w:hint="cs"/>
          <w:rtl/>
        </w:rPr>
        <w:t xml:space="preserve">הערך </w:t>
      </w:r>
      <w:bookmarkStart w:id="31155" w:name="_ETM_Q56_355470"/>
      <w:bookmarkEnd w:id="31155"/>
      <w:r>
        <w:rPr>
          <w:rFonts w:hint="cs"/>
          <w:rtl/>
        </w:rPr>
        <w:t xml:space="preserve">של </w:t>
      </w:r>
      <w:bookmarkStart w:id="31156" w:name="_ETM_Q56_355680"/>
      <w:bookmarkEnd w:id="31156"/>
      <w:r>
        <w:rPr>
          <w:rFonts w:hint="cs"/>
          <w:rtl/>
        </w:rPr>
        <w:t xml:space="preserve">המשקל </w:t>
      </w:r>
      <w:bookmarkStart w:id="31157" w:name="_ETM_Q56_357020"/>
      <w:bookmarkEnd w:id="31157"/>
      <w:r>
        <w:rPr>
          <w:rFonts w:hint="cs"/>
          <w:rtl/>
        </w:rPr>
        <w:t xml:space="preserve">להשקפת </w:t>
      </w:r>
      <w:bookmarkStart w:id="31158" w:name="_ETM_Q56_359010"/>
      <w:bookmarkEnd w:id="31158"/>
      <w:r>
        <w:rPr>
          <w:rFonts w:hint="cs"/>
          <w:rtl/>
        </w:rPr>
        <w:t>העולם</w:t>
      </w:r>
      <w:bookmarkStart w:id="31159" w:name="_ETM_Q56_359190"/>
      <w:bookmarkEnd w:id="31159"/>
      <w:r>
        <w:rPr>
          <w:rFonts w:hint="cs"/>
          <w:rtl/>
        </w:rPr>
        <w:t xml:space="preserve"> </w:t>
      </w:r>
      <w:bookmarkStart w:id="31160" w:name="_ETM_Q56_361220"/>
      <w:bookmarkEnd w:id="31160"/>
      <w:r>
        <w:rPr>
          <w:rFonts w:hint="cs"/>
          <w:rtl/>
        </w:rPr>
        <w:t xml:space="preserve">של </w:t>
      </w:r>
      <w:bookmarkStart w:id="31161" w:name="_ETM_Q56_361459"/>
      <w:bookmarkEnd w:id="31161"/>
      <w:r>
        <w:rPr>
          <w:rFonts w:hint="cs"/>
          <w:rtl/>
        </w:rPr>
        <w:t xml:space="preserve">מי </w:t>
      </w:r>
      <w:bookmarkStart w:id="31162" w:name="_ETM_Q56_361580"/>
      <w:bookmarkEnd w:id="31162"/>
      <w:r>
        <w:rPr>
          <w:rFonts w:hint="cs"/>
          <w:rtl/>
        </w:rPr>
        <w:t xml:space="preserve">שמועמד </w:t>
      </w:r>
      <w:bookmarkStart w:id="31163" w:name="_ETM_Q56_362150"/>
      <w:bookmarkEnd w:id="31163"/>
      <w:r>
        <w:rPr>
          <w:rFonts w:hint="cs"/>
          <w:rtl/>
        </w:rPr>
        <w:t xml:space="preserve">לכהונה </w:t>
      </w:r>
      <w:bookmarkStart w:id="31164" w:name="_ETM_Q56_362810"/>
      <w:bookmarkEnd w:id="31164"/>
      <w:r>
        <w:rPr>
          <w:rFonts w:hint="cs"/>
          <w:rtl/>
        </w:rPr>
        <w:t>בערכא</w:t>
      </w:r>
      <w:bookmarkStart w:id="31165" w:name="_ETM_Q56_360632"/>
      <w:bookmarkEnd w:id="31165"/>
      <w:r>
        <w:rPr>
          <w:rFonts w:hint="cs"/>
          <w:rtl/>
        </w:rPr>
        <w:t xml:space="preserve">ת </w:t>
      </w:r>
      <w:bookmarkStart w:id="31166" w:name="_ETM_Q56_363290"/>
      <w:bookmarkEnd w:id="31166"/>
      <w:r>
        <w:rPr>
          <w:rFonts w:hint="cs"/>
          <w:rtl/>
        </w:rPr>
        <w:t xml:space="preserve">השיפוט </w:t>
      </w:r>
      <w:bookmarkStart w:id="31167" w:name="_ETM_Q56_363709"/>
      <w:bookmarkEnd w:id="31167"/>
      <w:r>
        <w:rPr>
          <w:rFonts w:hint="cs"/>
          <w:rtl/>
        </w:rPr>
        <w:t xml:space="preserve">הגבוהה </w:t>
      </w:r>
      <w:bookmarkStart w:id="31168" w:name="_ETM_Q56_364099"/>
      <w:bookmarkEnd w:id="31168"/>
      <w:r>
        <w:rPr>
          <w:rFonts w:hint="cs"/>
          <w:rtl/>
        </w:rPr>
        <w:t>ביותר.</w:t>
      </w:r>
      <w:bookmarkStart w:id="31169" w:name="_ETM_Q56_365413"/>
      <w:bookmarkEnd w:id="31169"/>
      <w:r>
        <w:rPr>
          <w:rFonts w:hint="cs"/>
          <w:rtl/>
        </w:rPr>
        <w:t xml:space="preserve"> </w:t>
      </w:r>
      <w:bookmarkStart w:id="31170" w:name="_ETM_Q56_365849"/>
      <w:bookmarkEnd w:id="31170"/>
      <w:r>
        <w:rPr>
          <w:rFonts w:hint="cs"/>
          <w:rtl/>
        </w:rPr>
        <w:t xml:space="preserve">אבל </w:t>
      </w:r>
      <w:bookmarkStart w:id="31171" w:name="_ETM_Q56_366060"/>
      <w:bookmarkEnd w:id="31171"/>
      <w:r>
        <w:rPr>
          <w:rFonts w:hint="cs"/>
          <w:rtl/>
        </w:rPr>
        <w:t xml:space="preserve">אני </w:t>
      </w:r>
      <w:bookmarkStart w:id="31172" w:name="_ETM_Q56_366090"/>
      <w:bookmarkEnd w:id="31172"/>
      <w:r>
        <w:rPr>
          <w:rFonts w:hint="cs"/>
          <w:rtl/>
        </w:rPr>
        <w:t xml:space="preserve">נותן </w:t>
      </w:r>
      <w:bookmarkStart w:id="31173" w:name="_ETM_Q56_366360"/>
      <w:bookmarkEnd w:id="31173"/>
      <w:r>
        <w:rPr>
          <w:rFonts w:hint="cs"/>
          <w:rtl/>
        </w:rPr>
        <w:t xml:space="preserve">את </w:t>
      </w:r>
      <w:bookmarkStart w:id="31174" w:name="_ETM_Q56_366450"/>
      <w:bookmarkEnd w:id="31174"/>
      <w:r>
        <w:rPr>
          <w:rFonts w:hint="cs"/>
          <w:rtl/>
        </w:rPr>
        <w:t xml:space="preserve">זה </w:t>
      </w:r>
      <w:bookmarkStart w:id="31175" w:name="_ETM_Q56_366540"/>
      <w:bookmarkEnd w:id="31175"/>
      <w:r>
        <w:rPr>
          <w:rFonts w:hint="cs"/>
          <w:rtl/>
        </w:rPr>
        <w:t xml:space="preserve">כדוגמה </w:t>
      </w:r>
      <w:bookmarkStart w:id="31176" w:name="_ETM_Q56_368639"/>
      <w:bookmarkEnd w:id="31176"/>
      <w:r>
        <w:rPr>
          <w:rFonts w:hint="cs"/>
          <w:rtl/>
        </w:rPr>
        <w:t xml:space="preserve">נוספת </w:t>
      </w:r>
      <w:bookmarkStart w:id="31177" w:name="_ETM_Q56_370500"/>
      <w:bookmarkEnd w:id="31177"/>
      <w:r>
        <w:rPr>
          <w:rFonts w:hint="cs"/>
          <w:rtl/>
        </w:rPr>
        <w:t xml:space="preserve">לתהליך </w:t>
      </w:r>
      <w:bookmarkStart w:id="31178" w:name="_ETM_Q56_371190"/>
      <w:bookmarkEnd w:id="31178"/>
      <w:r>
        <w:rPr>
          <w:rFonts w:hint="cs"/>
          <w:rtl/>
        </w:rPr>
        <w:t xml:space="preserve">שבעצם </w:t>
      </w:r>
      <w:bookmarkStart w:id="31179" w:name="_ETM_Q56_371760"/>
      <w:bookmarkEnd w:id="31179"/>
      <w:r>
        <w:rPr>
          <w:rFonts w:hint="cs"/>
          <w:rtl/>
        </w:rPr>
        <w:t>א</w:t>
      </w:r>
      <w:bookmarkStart w:id="31180" w:name="_ETM_Q56_369144"/>
      <w:bookmarkStart w:id="31181" w:name="_ETM_Q56_370923"/>
      <w:bookmarkEnd w:id="31180"/>
      <w:bookmarkEnd w:id="31181"/>
      <w:r>
        <w:rPr>
          <w:rFonts w:hint="cs"/>
          <w:rtl/>
        </w:rPr>
        <w:t xml:space="preserve">רך </w:t>
      </w:r>
      <w:bookmarkStart w:id="31182" w:name="_ETM_Q56_372120"/>
      <w:bookmarkEnd w:id="31182"/>
      <w:r>
        <w:rPr>
          <w:rFonts w:hint="cs"/>
          <w:rtl/>
        </w:rPr>
        <w:t xml:space="preserve">אולי </w:t>
      </w:r>
      <w:bookmarkStart w:id="31183" w:name="_ETM_Q56_372840"/>
      <w:bookmarkEnd w:id="31183"/>
      <w:r>
        <w:rPr>
          <w:rFonts w:hint="cs"/>
          <w:rtl/>
        </w:rPr>
        <w:t xml:space="preserve">17 </w:t>
      </w:r>
      <w:bookmarkStart w:id="31184" w:name="_ETM_Q56_373410"/>
      <w:bookmarkEnd w:id="31184"/>
      <w:r>
        <w:rPr>
          <w:rFonts w:hint="cs"/>
          <w:rtl/>
        </w:rPr>
        <w:t xml:space="preserve">שנה או </w:t>
      </w:r>
      <w:bookmarkStart w:id="31185" w:name="_ETM_Q56_374040"/>
      <w:bookmarkEnd w:id="31185"/>
      <w:r>
        <w:rPr>
          <w:rFonts w:hint="cs"/>
          <w:rtl/>
        </w:rPr>
        <w:t xml:space="preserve">18 </w:t>
      </w:r>
      <w:bookmarkStart w:id="31186" w:name="_ETM_Q56_374700"/>
      <w:bookmarkEnd w:id="31186"/>
      <w:r>
        <w:rPr>
          <w:rFonts w:hint="cs"/>
          <w:rtl/>
        </w:rPr>
        <w:t>שנה</w:t>
      </w:r>
      <w:bookmarkStart w:id="31187" w:name="_ETM_Q56_373454"/>
      <w:bookmarkEnd w:id="31187"/>
      <w:r>
        <w:rPr>
          <w:rFonts w:hint="cs"/>
          <w:rtl/>
        </w:rPr>
        <w:t xml:space="preserve">, </w:t>
      </w:r>
      <w:bookmarkStart w:id="31188" w:name="_ETM_Q56_375430"/>
      <w:bookmarkEnd w:id="31188"/>
      <w:r>
        <w:rPr>
          <w:rFonts w:hint="cs"/>
          <w:rtl/>
        </w:rPr>
        <w:t>מ</w:t>
      </w:r>
      <w:bookmarkStart w:id="31189" w:name="_ETM_Q56_375700"/>
      <w:bookmarkEnd w:id="31189"/>
      <w:r>
        <w:rPr>
          <w:rFonts w:hint="cs"/>
          <w:rtl/>
        </w:rPr>
        <w:t>הנחתו</w:t>
      </w:r>
      <w:bookmarkStart w:id="31190" w:name="_ETM_Q56_373475"/>
      <w:bookmarkEnd w:id="31190"/>
      <w:r>
        <w:rPr>
          <w:rFonts w:hint="cs"/>
          <w:rtl/>
        </w:rPr>
        <w:t xml:space="preserve"> </w:t>
      </w:r>
      <w:bookmarkStart w:id="31191" w:name="_ETM_Q56_376180"/>
      <w:bookmarkEnd w:id="31191"/>
      <w:r>
        <w:rPr>
          <w:rFonts w:hint="cs"/>
          <w:rtl/>
        </w:rPr>
        <w:t xml:space="preserve">על </w:t>
      </w:r>
      <w:bookmarkStart w:id="31192" w:name="_ETM_Q56_376240"/>
      <w:bookmarkEnd w:id="31192"/>
      <w:r>
        <w:rPr>
          <w:rFonts w:hint="cs"/>
          <w:rtl/>
        </w:rPr>
        <w:t xml:space="preserve">שולחן </w:t>
      </w:r>
      <w:bookmarkStart w:id="31193" w:name="_ETM_Q56_376600"/>
      <w:bookmarkEnd w:id="31193"/>
      <w:r>
        <w:rPr>
          <w:rFonts w:hint="cs"/>
          <w:rtl/>
        </w:rPr>
        <w:t>הכנסת</w:t>
      </w:r>
      <w:bookmarkStart w:id="31194" w:name="_ETM_Q56_377110"/>
      <w:bookmarkStart w:id="31195" w:name="_ETM_Q56_378309"/>
      <w:bookmarkEnd w:id="31194"/>
      <w:bookmarkEnd w:id="31195"/>
      <w:r>
        <w:rPr>
          <w:rFonts w:hint="cs"/>
          <w:rtl/>
        </w:rPr>
        <w:t>.</w:t>
      </w:r>
    </w:p>
    <w:p w:rsidR="00BB59CD" w:rsidRDefault="00BB59CD" w:rsidP="00BB59CD">
      <w:pPr>
        <w:rPr>
          <w:rtl/>
        </w:rPr>
      </w:pPr>
      <w:bookmarkStart w:id="31196" w:name="_ETM_Q56_378371"/>
      <w:bookmarkStart w:id="31197" w:name="_ETM_Q56_378470"/>
      <w:bookmarkEnd w:id="31196"/>
      <w:bookmarkEnd w:id="31197"/>
    </w:p>
    <w:p w:rsidR="00BD2960" w:rsidRDefault="00BB59CD" w:rsidP="00BB59CD">
      <w:pPr>
        <w:rPr>
          <w:rtl/>
        </w:rPr>
      </w:pPr>
      <w:bookmarkStart w:id="31198" w:name="_ETM_Q56_378514"/>
      <w:bookmarkEnd w:id="31198"/>
      <w:r>
        <w:rPr>
          <w:rFonts w:hint="cs"/>
          <w:rtl/>
        </w:rPr>
        <w:t xml:space="preserve">אתה </w:t>
      </w:r>
      <w:bookmarkStart w:id="31199" w:name="_ETM_Q56_377350"/>
      <w:bookmarkEnd w:id="31199"/>
      <w:r>
        <w:rPr>
          <w:rFonts w:hint="cs"/>
          <w:rtl/>
        </w:rPr>
        <w:t xml:space="preserve">מעלה </w:t>
      </w:r>
      <w:bookmarkStart w:id="31200" w:name="_ETM_Q56_377650"/>
      <w:bookmarkEnd w:id="31200"/>
      <w:r>
        <w:rPr>
          <w:rFonts w:hint="cs"/>
          <w:rtl/>
        </w:rPr>
        <w:t xml:space="preserve">רעיון </w:t>
      </w:r>
      <w:bookmarkStart w:id="31201" w:name="_ETM_Q56_378800"/>
      <w:bookmarkEnd w:id="31201"/>
      <w:r>
        <w:rPr>
          <w:rFonts w:hint="cs"/>
          <w:rtl/>
        </w:rPr>
        <w:t xml:space="preserve">ואתה </w:t>
      </w:r>
      <w:bookmarkStart w:id="31202" w:name="_ETM_Q56_379100"/>
      <w:bookmarkEnd w:id="31202"/>
      <w:r>
        <w:rPr>
          <w:rFonts w:hint="cs"/>
          <w:rtl/>
        </w:rPr>
        <w:t xml:space="preserve">מגבש </w:t>
      </w:r>
      <w:bookmarkStart w:id="31203" w:name="_ETM_Q56_379850"/>
      <w:bookmarkEnd w:id="31203"/>
      <w:r>
        <w:rPr>
          <w:rFonts w:hint="cs"/>
          <w:rtl/>
        </w:rPr>
        <w:t xml:space="preserve">לאורך </w:t>
      </w:r>
      <w:bookmarkStart w:id="31204" w:name="_ETM_Q56_380240"/>
      <w:bookmarkEnd w:id="31204"/>
      <w:r>
        <w:rPr>
          <w:rFonts w:hint="cs"/>
          <w:rtl/>
        </w:rPr>
        <w:t xml:space="preserve">שנים, </w:t>
      </w:r>
      <w:bookmarkStart w:id="31205" w:name="_ETM_Q56_380750"/>
      <w:bookmarkEnd w:id="31205"/>
      <w:r>
        <w:rPr>
          <w:rFonts w:hint="cs"/>
          <w:rtl/>
        </w:rPr>
        <w:t xml:space="preserve">וזה </w:t>
      </w:r>
      <w:bookmarkStart w:id="31206" w:name="_ETM_Q56_381200"/>
      <w:bookmarkStart w:id="31207" w:name="_ETM_Q56_381380"/>
      <w:bookmarkStart w:id="31208" w:name="_ETM_Q56_379985"/>
      <w:bookmarkEnd w:id="31206"/>
      <w:bookmarkEnd w:id="31207"/>
      <w:bookmarkEnd w:id="31208"/>
      <w:r>
        <w:rPr>
          <w:rFonts w:hint="cs"/>
          <w:rtl/>
        </w:rPr>
        <w:t xml:space="preserve">היה </w:t>
      </w:r>
      <w:bookmarkStart w:id="31209" w:name="_ETM_Q56_381560"/>
      <w:bookmarkEnd w:id="31209"/>
      <w:r>
        <w:rPr>
          <w:rFonts w:hint="cs"/>
          <w:rtl/>
        </w:rPr>
        <w:t xml:space="preserve">לא </w:t>
      </w:r>
      <w:bookmarkStart w:id="31210" w:name="_ETM_Q56_381680"/>
      <w:bookmarkEnd w:id="31210"/>
      <w:r>
        <w:rPr>
          <w:rFonts w:hint="cs"/>
          <w:rtl/>
        </w:rPr>
        <w:t xml:space="preserve">פשוט. </w:t>
      </w:r>
      <w:bookmarkStart w:id="31211" w:name="_ETM_Q56_382409"/>
      <w:bookmarkEnd w:id="31211"/>
      <w:r>
        <w:rPr>
          <w:rFonts w:hint="cs"/>
          <w:rtl/>
        </w:rPr>
        <w:t xml:space="preserve">אולי </w:t>
      </w:r>
      <w:bookmarkStart w:id="31212" w:name="_ETM_Q56_382769"/>
      <w:bookmarkEnd w:id="31212"/>
      <w:r>
        <w:rPr>
          <w:rFonts w:hint="cs"/>
          <w:rtl/>
        </w:rPr>
        <w:t>בזי</w:t>
      </w:r>
      <w:bookmarkStart w:id="31213" w:name="_ETM_Q56_380234"/>
      <w:bookmarkEnd w:id="31213"/>
      <w:r>
        <w:rPr>
          <w:rFonts w:hint="cs"/>
          <w:rtl/>
        </w:rPr>
        <w:t xml:space="preserve">כרונותיי </w:t>
      </w:r>
      <w:bookmarkStart w:id="31214" w:name="_ETM_Q56_383549"/>
      <w:bookmarkEnd w:id="31214"/>
      <w:r>
        <w:rPr>
          <w:rFonts w:hint="cs"/>
          <w:rtl/>
        </w:rPr>
        <w:t xml:space="preserve">אני </w:t>
      </w:r>
      <w:bookmarkStart w:id="31215" w:name="_ETM_Q56_383700"/>
      <w:bookmarkEnd w:id="31215"/>
      <w:r>
        <w:rPr>
          <w:rFonts w:hint="cs"/>
          <w:rtl/>
        </w:rPr>
        <w:t xml:space="preserve">אכתוב </w:t>
      </w:r>
      <w:bookmarkStart w:id="31216" w:name="_ETM_Q56_383999"/>
      <w:bookmarkEnd w:id="31216"/>
      <w:r>
        <w:rPr>
          <w:rFonts w:hint="cs"/>
          <w:rtl/>
        </w:rPr>
        <w:t xml:space="preserve">איך </w:t>
      </w:r>
      <w:bookmarkStart w:id="31217" w:name="_ETM_Q56_384150"/>
      <w:bookmarkEnd w:id="31217"/>
      <w:r>
        <w:rPr>
          <w:rFonts w:hint="cs"/>
          <w:rtl/>
        </w:rPr>
        <w:t xml:space="preserve">זה </w:t>
      </w:r>
      <w:bookmarkStart w:id="31218" w:name="_ETM_Q56_384299"/>
      <w:bookmarkEnd w:id="31218"/>
      <w:r>
        <w:rPr>
          <w:rFonts w:hint="cs"/>
          <w:rtl/>
        </w:rPr>
        <w:t xml:space="preserve">עבר. </w:t>
      </w:r>
      <w:bookmarkStart w:id="31219" w:name="_ETM_Q56_385490"/>
      <w:bookmarkEnd w:id="31219"/>
      <w:r>
        <w:rPr>
          <w:rFonts w:hint="cs"/>
          <w:rtl/>
        </w:rPr>
        <w:t xml:space="preserve">אתה </w:t>
      </w:r>
      <w:bookmarkStart w:id="31220" w:name="_ETM_Q56_385850"/>
      <w:bookmarkEnd w:id="31220"/>
      <w:r>
        <w:rPr>
          <w:rFonts w:hint="cs"/>
          <w:rtl/>
        </w:rPr>
        <w:t xml:space="preserve">מציב </w:t>
      </w:r>
      <w:bookmarkStart w:id="31221" w:name="_ETM_Q56_386180"/>
      <w:bookmarkEnd w:id="31221"/>
      <w:r>
        <w:rPr>
          <w:rFonts w:hint="cs"/>
          <w:rtl/>
        </w:rPr>
        <w:t xml:space="preserve">על </w:t>
      </w:r>
      <w:bookmarkStart w:id="31222" w:name="_ETM_Q56_386300"/>
      <w:bookmarkEnd w:id="31222"/>
      <w:r>
        <w:rPr>
          <w:rFonts w:hint="cs"/>
          <w:rtl/>
        </w:rPr>
        <w:t xml:space="preserve">השולחן </w:t>
      </w:r>
      <w:bookmarkStart w:id="31223" w:name="_ETM_Q56_387020"/>
      <w:bookmarkEnd w:id="31223"/>
      <w:r>
        <w:rPr>
          <w:rFonts w:hint="cs"/>
          <w:rtl/>
        </w:rPr>
        <w:t>רעיון –</w:t>
      </w:r>
      <w:bookmarkStart w:id="31224" w:name="_ETM_Q56_388694"/>
      <w:bookmarkEnd w:id="31224"/>
      <w:r>
        <w:rPr>
          <w:rFonts w:hint="cs"/>
          <w:rtl/>
        </w:rPr>
        <w:t xml:space="preserve"> </w:t>
      </w:r>
      <w:bookmarkStart w:id="31225" w:name="_ETM_Q56_388380"/>
      <w:bookmarkEnd w:id="31225"/>
      <w:r>
        <w:rPr>
          <w:rFonts w:hint="cs"/>
          <w:rtl/>
        </w:rPr>
        <w:t xml:space="preserve">אתה </w:t>
      </w:r>
      <w:bookmarkStart w:id="31226" w:name="_ETM_Q56_388709"/>
      <w:bookmarkEnd w:id="31226"/>
      <w:r>
        <w:rPr>
          <w:rFonts w:hint="cs"/>
          <w:rtl/>
        </w:rPr>
        <w:t xml:space="preserve">בעצמך </w:t>
      </w:r>
      <w:bookmarkStart w:id="31227" w:name="_ETM_Q56_389190"/>
      <w:bookmarkEnd w:id="31227"/>
      <w:r>
        <w:rPr>
          <w:rFonts w:hint="cs"/>
          <w:rtl/>
        </w:rPr>
        <w:t xml:space="preserve">עשית </w:t>
      </w:r>
      <w:bookmarkStart w:id="31228" w:name="_ETM_Q56_389610"/>
      <w:bookmarkEnd w:id="31228"/>
      <w:r>
        <w:rPr>
          <w:rFonts w:hint="cs"/>
          <w:rtl/>
        </w:rPr>
        <w:t xml:space="preserve">את </w:t>
      </w:r>
      <w:bookmarkStart w:id="31229" w:name="_ETM_Q56_389700"/>
      <w:bookmarkEnd w:id="31229"/>
      <w:r>
        <w:rPr>
          <w:rFonts w:hint="cs"/>
          <w:rtl/>
        </w:rPr>
        <w:t xml:space="preserve">זה </w:t>
      </w:r>
      <w:bookmarkStart w:id="31230" w:name="_ETM_Q56_389940"/>
      <w:bookmarkEnd w:id="31230"/>
      <w:r>
        <w:rPr>
          <w:rFonts w:hint="cs"/>
          <w:rtl/>
        </w:rPr>
        <w:t xml:space="preserve">הרבה </w:t>
      </w:r>
      <w:bookmarkStart w:id="31231" w:name="_ETM_Q56_390180"/>
      <w:bookmarkEnd w:id="31231"/>
      <w:r>
        <w:rPr>
          <w:rFonts w:hint="cs"/>
          <w:rtl/>
        </w:rPr>
        <w:t xml:space="preserve">מאוד </w:t>
      </w:r>
      <w:bookmarkStart w:id="31232" w:name="_ETM_Q56_390389"/>
      <w:bookmarkEnd w:id="31232"/>
      <w:r>
        <w:rPr>
          <w:rFonts w:hint="cs"/>
          <w:rtl/>
        </w:rPr>
        <w:t xml:space="preserve">פעמים – </w:t>
      </w:r>
      <w:bookmarkStart w:id="31233" w:name="_ETM_Q56_391650"/>
      <w:bookmarkEnd w:id="31233"/>
      <w:r>
        <w:rPr>
          <w:rFonts w:hint="cs"/>
          <w:rtl/>
        </w:rPr>
        <w:t xml:space="preserve">מקיים </w:t>
      </w:r>
      <w:bookmarkStart w:id="31234" w:name="_ETM_Q56_391980"/>
      <w:bookmarkEnd w:id="31234"/>
      <w:r>
        <w:rPr>
          <w:rFonts w:hint="cs"/>
          <w:rtl/>
        </w:rPr>
        <w:t xml:space="preserve">עליו </w:t>
      </w:r>
      <w:bookmarkStart w:id="31235" w:name="_ETM_Q56_392220"/>
      <w:bookmarkEnd w:id="31235"/>
      <w:r>
        <w:rPr>
          <w:rFonts w:hint="cs"/>
          <w:rtl/>
        </w:rPr>
        <w:t xml:space="preserve">שיח </w:t>
      </w:r>
      <w:bookmarkStart w:id="31236" w:name="_ETM_Q56_392550"/>
      <w:bookmarkEnd w:id="31236"/>
      <w:r>
        <w:rPr>
          <w:rFonts w:hint="cs"/>
          <w:rtl/>
        </w:rPr>
        <w:t xml:space="preserve">ציבורי </w:t>
      </w:r>
      <w:bookmarkStart w:id="31237" w:name="_ETM_Q56_393000"/>
      <w:bookmarkEnd w:id="31237"/>
      <w:r>
        <w:rPr>
          <w:rFonts w:hint="cs"/>
          <w:rtl/>
        </w:rPr>
        <w:t>רחב,</w:t>
      </w:r>
      <w:bookmarkStart w:id="31238" w:name="_ETM_Q56_391693"/>
      <w:bookmarkEnd w:id="31238"/>
      <w:r>
        <w:rPr>
          <w:rFonts w:hint="cs"/>
          <w:rtl/>
        </w:rPr>
        <w:t xml:space="preserve"> </w:t>
      </w:r>
      <w:bookmarkStart w:id="31239" w:name="_ETM_Q56_393870"/>
      <w:bookmarkEnd w:id="31239"/>
      <w:r>
        <w:rPr>
          <w:rFonts w:hint="cs"/>
          <w:rtl/>
        </w:rPr>
        <w:t xml:space="preserve">בונה </w:t>
      </w:r>
      <w:bookmarkStart w:id="31240" w:name="_ETM_Q56_394260"/>
      <w:bookmarkEnd w:id="31240"/>
      <w:r>
        <w:rPr>
          <w:rFonts w:hint="cs"/>
          <w:rtl/>
        </w:rPr>
        <w:t xml:space="preserve">קונסנזוס </w:t>
      </w:r>
      <w:bookmarkStart w:id="31241" w:name="_ETM_Q56_394889"/>
      <w:bookmarkEnd w:id="31241"/>
      <w:r>
        <w:rPr>
          <w:rFonts w:hint="cs"/>
          <w:rtl/>
        </w:rPr>
        <w:t xml:space="preserve">ציבורי, </w:t>
      </w:r>
      <w:bookmarkStart w:id="31242" w:name="_ETM_Q56_395519"/>
      <w:bookmarkEnd w:id="31242"/>
      <w:r>
        <w:rPr>
          <w:rFonts w:hint="cs"/>
          <w:rtl/>
        </w:rPr>
        <w:t xml:space="preserve">בונה </w:t>
      </w:r>
      <w:bookmarkStart w:id="31243" w:name="_ETM_Q56_395849"/>
      <w:bookmarkEnd w:id="31243"/>
      <w:r>
        <w:rPr>
          <w:rFonts w:hint="cs"/>
          <w:rtl/>
        </w:rPr>
        <w:t>קונ</w:t>
      </w:r>
      <w:bookmarkStart w:id="31244" w:name="_ETM_Q56_395592"/>
      <w:bookmarkEnd w:id="31244"/>
      <w:r>
        <w:rPr>
          <w:rFonts w:hint="cs"/>
          <w:rtl/>
        </w:rPr>
        <w:t xml:space="preserve">סנזוס </w:t>
      </w:r>
      <w:bookmarkStart w:id="31245" w:name="_ETM_Q56_396449"/>
      <w:bookmarkEnd w:id="31245"/>
      <w:r>
        <w:rPr>
          <w:rFonts w:hint="cs"/>
          <w:rtl/>
        </w:rPr>
        <w:t xml:space="preserve">פרלמנטרי, </w:t>
      </w:r>
      <w:bookmarkStart w:id="31246" w:name="_ETM_Q56_397930"/>
      <w:bookmarkEnd w:id="31246"/>
      <w:r>
        <w:rPr>
          <w:rFonts w:hint="cs"/>
          <w:rtl/>
        </w:rPr>
        <w:t xml:space="preserve">תהליך. </w:t>
      </w:r>
      <w:bookmarkStart w:id="31247" w:name="_ETM_Q56_399150"/>
      <w:bookmarkEnd w:id="31247"/>
      <w:r>
        <w:rPr>
          <w:rFonts w:hint="cs"/>
          <w:rtl/>
        </w:rPr>
        <w:t xml:space="preserve">ובסופו </w:t>
      </w:r>
      <w:bookmarkStart w:id="31248" w:name="_ETM_Q56_399870"/>
      <w:bookmarkEnd w:id="31248"/>
      <w:r>
        <w:rPr>
          <w:rFonts w:hint="cs"/>
          <w:rtl/>
        </w:rPr>
        <w:t xml:space="preserve">של </w:t>
      </w:r>
      <w:bookmarkStart w:id="31249" w:name="_ETM_Q56_400049"/>
      <w:bookmarkEnd w:id="31249"/>
      <w:r>
        <w:rPr>
          <w:rFonts w:hint="cs"/>
          <w:rtl/>
        </w:rPr>
        <w:t>דבר,</w:t>
      </w:r>
      <w:bookmarkStart w:id="31250" w:name="_ETM_Q56_398991"/>
      <w:bookmarkEnd w:id="31250"/>
      <w:r>
        <w:rPr>
          <w:rFonts w:hint="cs"/>
          <w:rtl/>
        </w:rPr>
        <w:t xml:space="preserve"> </w:t>
      </w:r>
      <w:bookmarkStart w:id="31251" w:name="_ETM_Q56_400780"/>
      <w:bookmarkEnd w:id="31251"/>
      <w:r>
        <w:rPr>
          <w:rFonts w:hint="cs"/>
          <w:rtl/>
        </w:rPr>
        <w:t xml:space="preserve">אם </w:t>
      </w:r>
      <w:bookmarkStart w:id="31252" w:name="_ETM_Q56_400959"/>
      <w:bookmarkEnd w:id="31252"/>
      <w:r>
        <w:rPr>
          <w:rFonts w:hint="cs"/>
          <w:rtl/>
        </w:rPr>
        <w:t xml:space="preserve">העניין </w:t>
      </w:r>
      <w:bookmarkStart w:id="31253" w:name="_ETM_Q56_401319"/>
      <w:bookmarkEnd w:id="31253"/>
      <w:r>
        <w:rPr>
          <w:rFonts w:hint="cs"/>
          <w:rtl/>
        </w:rPr>
        <w:t xml:space="preserve">הוא </w:t>
      </w:r>
      <w:bookmarkStart w:id="31254" w:name="_ETM_Q56_401379"/>
      <w:bookmarkEnd w:id="31254"/>
      <w:r>
        <w:rPr>
          <w:rFonts w:hint="cs"/>
          <w:rtl/>
        </w:rPr>
        <w:t xml:space="preserve">יסודי </w:t>
      </w:r>
      <w:bookmarkStart w:id="31255" w:name="_ETM_Q56_402159"/>
      <w:bookmarkEnd w:id="31255"/>
      <w:r>
        <w:rPr>
          <w:rFonts w:hint="cs"/>
          <w:rtl/>
        </w:rPr>
        <w:t xml:space="preserve">הוא </w:t>
      </w:r>
      <w:bookmarkStart w:id="31256" w:name="_ETM_Q56_402250"/>
      <w:bookmarkEnd w:id="31256"/>
      <w:r>
        <w:rPr>
          <w:rFonts w:hint="cs"/>
          <w:rtl/>
        </w:rPr>
        <w:t xml:space="preserve">חייב </w:t>
      </w:r>
      <w:bookmarkStart w:id="31257" w:name="_ETM_Q56_402760"/>
      <w:bookmarkEnd w:id="31257"/>
      <w:r>
        <w:rPr>
          <w:rFonts w:hint="cs"/>
          <w:rtl/>
        </w:rPr>
        <w:t xml:space="preserve">לעבור </w:t>
      </w:r>
      <w:bookmarkStart w:id="31258" w:name="_ETM_Q56_403269"/>
      <w:bookmarkEnd w:id="31258"/>
      <w:r>
        <w:rPr>
          <w:rFonts w:hint="cs"/>
          <w:rtl/>
        </w:rPr>
        <w:t xml:space="preserve">ברוב </w:t>
      </w:r>
      <w:bookmarkStart w:id="31259" w:name="_ETM_Q56_403629"/>
      <w:bookmarkEnd w:id="31259"/>
      <w:r>
        <w:rPr>
          <w:rFonts w:hint="cs"/>
          <w:rtl/>
        </w:rPr>
        <w:t xml:space="preserve">גדול. </w:t>
      </w:r>
      <w:bookmarkStart w:id="31260" w:name="_ETM_Q56_405000"/>
      <w:bookmarkStart w:id="31261" w:name="_ETM_Q56_405330"/>
      <w:bookmarkEnd w:id="31260"/>
      <w:bookmarkEnd w:id="31261"/>
      <w:r>
        <w:rPr>
          <w:rFonts w:hint="cs"/>
          <w:rtl/>
        </w:rPr>
        <w:t xml:space="preserve">למה? </w:t>
      </w:r>
      <w:bookmarkStart w:id="31262" w:name="_ETM_Q56_408829"/>
      <w:bookmarkEnd w:id="31262"/>
      <w:r>
        <w:rPr>
          <w:rFonts w:hint="cs"/>
          <w:rtl/>
        </w:rPr>
        <w:t xml:space="preserve">כי </w:t>
      </w:r>
      <w:bookmarkStart w:id="31263" w:name="_ETM_Q56_409280"/>
      <w:bookmarkEnd w:id="31263"/>
      <w:r>
        <w:rPr>
          <w:rFonts w:hint="cs"/>
          <w:rtl/>
        </w:rPr>
        <w:t xml:space="preserve">זה </w:t>
      </w:r>
      <w:bookmarkStart w:id="31264" w:name="_ETM_Q56_409909"/>
      <w:bookmarkEnd w:id="31264"/>
      <w:r>
        <w:rPr>
          <w:rFonts w:hint="cs"/>
          <w:rtl/>
        </w:rPr>
        <w:t xml:space="preserve">ההבדל </w:t>
      </w:r>
      <w:bookmarkStart w:id="31265" w:name="_ETM_Q56_410689"/>
      <w:bookmarkEnd w:id="31265"/>
      <w:r>
        <w:rPr>
          <w:rFonts w:hint="cs"/>
          <w:rtl/>
        </w:rPr>
        <w:t>בין</w:t>
      </w:r>
      <w:bookmarkStart w:id="31266" w:name="_ETM_Q56_409852"/>
      <w:bookmarkEnd w:id="31266"/>
      <w:r>
        <w:rPr>
          <w:rFonts w:hint="cs"/>
          <w:rtl/>
        </w:rPr>
        <w:t xml:space="preserve"> </w:t>
      </w:r>
      <w:bookmarkStart w:id="31267" w:name="_ETM_Q56_410930"/>
      <w:bookmarkEnd w:id="31267"/>
      <w:r>
        <w:rPr>
          <w:rFonts w:hint="cs"/>
          <w:rtl/>
        </w:rPr>
        <w:t xml:space="preserve">רשות </w:t>
      </w:r>
      <w:bookmarkStart w:id="31268" w:name="_ETM_Q56_411469"/>
      <w:bookmarkEnd w:id="31268"/>
      <w:r>
        <w:rPr>
          <w:rFonts w:hint="cs"/>
          <w:rtl/>
        </w:rPr>
        <w:t xml:space="preserve">מחוקקת </w:t>
      </w:r>
      <w:bookmarkStart w:id="31269" w:name="_ETM_Q56_412189"/>
      <w:bookmarkEnd w:id="31269"/>
      <w:r>
        <w:rPr>
          <w:rFonts w:hint="cs"/>
          <w:rtl/>
        </w:rPr>
        <w:t xml:space="preserve">לרשות </w:t>
      </w:r>
      <w:bookmarkStart w:id="31270" w:name="_ETM_Q56_412700"/>
      <w:bookmarkEnd w:id="31270"/>
      <w:r>
        <w:rPr>
          <w:rFonts w:hint="cs"/>
          <w:rtl/>
        </w:rPr>
        <w:t xml:space="preserve">מכוננת. </w:t>
      </w:r>
      <w:bookmarkStart w:id="31271" w:name="_ETM_Q56_413420"/>
      <w:bookmarkEnd w:id="31271"/>
      <w:r>
        <w:rPr>
          <w:rFonts w:hint="cs"/>
          <w:rtl/>
        </w:rPr>
        <w:t xml:space="preserve">אנחנו </w:t>
      </w:r>
      <w:bookmarkStart w:id="31272" w:name="_ETM_Q56_413810"/>
      <w:bookmarkEnd w:id="31272"/>
      <w:r>
        <w:rPr>
          <w:rFonts w:hint="cs"/>
          <w:rtl/>
        </w:rPr>
        <w:t xml:space="preserve">חובשים </w:t>
      </w:r>
      <w:bookmarkStart w:id="31273" w:name="_ETM_Q56_414290"/>
      <w:bookmarkEnd w:id="31273"/>
      <w:r>
        <w:rPr>
          <w:rFonts w:hint="cs"/>
          <w:rtl/>
        </w:rPr>
        <w:t xml:space="preserve">את </w:t>
      </w:r>
      <w:bookmarkStart w:id="31274" w:name="_ETM_Q56_414409"/>
      <w:bookmarkEnd w:id="31274"/>
      <w:r>
        <w:rPr>
          <w:rFonts w:hint="cs"/>
          <w:rtl/>
        </w:rPr>
        <w:t xml:space="preserve">שני </w:t>
      </w:r>
      <w:bookmarkStart w:id="31275" w:name="_ETM_Q56_414650"/>
      <w:bookmarkEnd w:id="31275"/>
      <w:r>
        <w:rPr>
          <w:rFonts w:hint="cs"/>
          <w:rtl/>
        </w:rPr>
        <w:t>הכובעים,</w:t>
      </w:r>
      <w:bookmarkStart w:id="31276" w:name="_ETM_Q56_413292"/>
      <w:bookmarkEnd w:id="31276"/>
      <w:r>
        <w:rPr>
          <w:rFonts w:hint="cs"/>
          <w:rtl/>
        </w:rPr>
        <w:t xml:space="preserve"> </w:t>
      </w:r>
      <w:bookmarkStart w:id="31277" w:name="_ETM_Q56_415639"/>
      <w:bookmarkEnd w:id="31277"/>
      <w:r>
        <w:rPr>
          <w:rFonts w:hint="cs"/>
          <w:rtl/>
        </w:rPr>
        <w:t xml:space="preserve">ואנחנו </w:t>
      </w:r>
      <w:bookmarkStart w:id="31278" w:name="_ETM_Q56_415939"/>
      <w:bookmarkEnd w:id="31278"/>
      <w:r>
        <w:rPr>
          <w:rFonts w:hint="cs"/>
          <w:rtl/>
        </w:rPr>
        <w:t xml:space="preserve">לא </w:t>
      </w:r>
      <w:bookmarkStart w:id="31279" w:name="_ETM_Q56_416090"/>
      <w:bookmarkEnd w:id="31279"/>
      <w:r>
        <w:rPr>
          <w:rFonts w:hint="cs"/>
          <w:rtl/>
        </w:rPr>
        <w:t xml:space="preserve">נותנים </w:t>
      </w:r>
      <w:bookmarkStart w:id="31280" w:name="_ETM_Q56_416510"/>
      <w:bookmarkEnd w:id="31280"/>
      <w:r>
        <w:rPr>
          <w:rFonts w:hint="cs"/>
          <w:rtl/>
        </w:rPr>
        <w:t xml:space="preserve">לעצמנו </w:t>
      </w:r>
      <w:bookmarkStart w:id="31281" w:name="_ETM_Q56_416959"/>
      <w:bookmarkEnd w:id="31281"/>
      <w:r>
        <w:rPr>
          <w:rFonts w:hint="cs"/>
          <w:rtl/>
        </w:rPr>
        <w:t xml:space="preserve">דין </w:t>
      </w:r>
      <w:bookmarkStart w:id="31282" w:name="_ETM_Q56_417139"/>
      <w:bookmarkEnd w:id="31282"/>
      <w:r>
        <w:rPr>
          <w:rFonts w:hint="cs"/>
          <w:rtl/>
        </w:rPr>
        <w:t xml:space="preserve">וחשבון </w:t>
      </w:r>
      <w:bookmarkStart w:id="31283" w:name="_ETM_Q56_418040"/>
      <w:bookmarkEnd w:id="31283"/>
      <w:r>
        <w:rPr>
          <w:rFonts w:hint="cs"/>
          <w:rtl/>
        </w:rPr>
        <w:t xml:space="preserve">מתי </w:t>
      </w:r>
      <w:bookmarkStart w:id="31284" w:name="_ETM_Q56_418609"/>
      <w:bookmarkEnd w:id="31284"/>
      <w:r>
        <w:rPr>
          <w:rFonts w:hint="cs"/>
          <w:rtl/>
        </w:rPr>
        <w:t xml:space="preserve">אנחנו </w:t>
      </w:r>
      <w:bookmarkStart w:id="31285" w:name="_ETM_Q56_418999"/>
      <w:bookmarkEnd w:id="31285"/>
      <w:r>
        <w:rPr>
          <w:rFonts w:hint="cs"/>
          <w:rtl/>
        </w:rPr>
        <w:t xml:space="preserve">בנעלי </w:t>
      </w:r>
      <w:bookmarkStart w:id="31286" w:name="_ETM_Q56_419810"/>
      <w:bookmarkEnd w:id="31286"/>
      <w:r>
        <w:rPr>
          <w:rFonts w:hint="cs"/>
          <w:rtl/>
        </w:rPr>
        <w:t xml:space="preserve">האספה </w:t>
      </w:r>
      <w:bookmarkStart w:id="31287" w:name="_ETM_Q56_420379"/>
      <w:bookmarkEnd w:id="31287"/>
      <w:r>
        <w:rPr>
          <w:rFonts w:hint="cs"/>
          <w:rtl/>
        </w:rPr>
        <w:t xml:space="preserve">המכוננת </w:t>
      </w:r>
      <w:bookmarkStart w:id="31288" w:name="_ETM_Q56_420920"/>
      <w:bookmarkEnd w:id="31288"/>
      <w:r>
        <w:rPr>
          <w:rFonts w:hint="cs"/>
          <w:rtl/>
        </w:rPr>
        <w:t xml:space="preserve">ומתי </w:t>
      </w:r>
      <w:bookmarkStart w:id="31289" w:name="_ETM_Q56_421280"/>
      <w:bookmarkEnd w:id="31289"/>
      <w:r>
        <w:rPr>
          <w:rFonts w:hint="cs"/>
          <w:rtl/>
        </w:rPr>
        <w:t xml:space="preserve">אנחנו </w:t>
      </w:r>
      <w:bookmarkStart w:id="31290" w:name="_ETM_Q56_421489"/>
      <w:bookmarkEnd w:id="31290"/>
      <w:r>
        <w:rPr>
          <w:rFonts w:hint="cs"/>
          <w:rtl/>
        </w:rPr>
        <w:t xml:space="preserve">מחוקקים. זה </w:t>
      </w:r>
      <w:bookmarkStart w:id="31291" w:name="_ETM_Q56_422180"/>
      <w:bookmarkEnd w:id="31291"/>
      <w:r>
        <w:rPr>
          <w:rFonts w:hint="cs"/>
          <w:rtl/>
        </w:rPr>
        <w:t xml:space="preserve">לא </w:t>
      </w:r>
      <w:bookmarkStart w:id="31292" w:name="_ETM_Q56_422299"/>
      <w:bookmarkEnd w:id="31292"/>
      <w:r>
        <w:rPr>
          <w:rFonts w:hint="cs"/>
          <w:rtl/>
        </w:rPr>
        <w:t xml:space="preserve">אותו </w:t>
      </w:r>
      <w:bookmarkStart w:id="31293" w:name="_ETM_Q56_422480"/>
      <w:bookmarkEnd w:id="31293"/>
      <w:r>
        <w:rPr>
          <w:rFonts w:hint="cs"/>
          <w:rtl/>
        </w:rPr>
        <w:t>הדבר.</w:t>
      </w:r>
      <w:bookmarkStart w:id="31294" w:name="_ETM_Q56_420202"/>
      <w:bookmarkStart w:id="31295" w:name="_ETM_Q56_423489"/>
      <w:bookmarkStart w:id="31296" w:name="_ETM_Q56_421871"/>
      <w:bookmarkEnd w:id="31294"/>
      <w:bookmarkEnd w:id="31295"/>
      <w:bookmarkEnd w:id="31296"/>
      <w:r>
        <w:rPr>
          <w:rFonts w:hint="cs"/>
          <w:rtl/>
        </w:rPr>
        <w:t xml:space="preserve"> </w:t>
      </w:r>
      <w:bookmarkStart w:id="31297" w:name="_ETM_Q56_421985"/>
      <w:bookmarkStart w:id="31298" w:name="_ETM_Q56_422030"/>
      <w:bookmarkStart w:id="31299" w:name="_ETM_Q56_422105"/>
      <w:bookmarkEnd w:id="31297"/>
      <w:bookmarkEnd w:id="31298"/>
      <w:bookmarkEnd w:id="31299"/>
    </w:p>
    <w:p w:rsidR="00BD2960" w:rsidRDefault="00BD2960" w:rsidP="00BB59CD">
      <w:pPr>
        <w:rPr>
          <w:rtl/>
        </w:rPr>
      </w:pPr>
    </w:p>
    <w:p w:rsidR="00BB59CD" w:rsidRDefault="00BB59CD" w:rsidP="00BD2960">
      <w:pPr>
        <w:rPr>
          <w:rtl/>
        </w:rPr>
      </w:pPr>
      <w:r>
        <w:rPr>
          <w:rFonts w:hint="cs"/>
          <w:rtl/>
        </w:rPr>
        <w:t xml:space="preserve">וכאן, </w:t>
      </w:r>
      <w:bookmarkStart w:id="31300" w:name="_ETM_Q56_423940"/>
      <w:bookmarkEnd w:id="31300"/>
      <w:r>
        <w:rPr>
          <w:rFonts w:hint="cs"/>
          <w:rtl/>
        </w:rPr>
        <w:t xml:space="preserve">כשאנחנו </w:t>
      </w:r>
      <w:bookmarkStart w:id="31301" w:name="_ETM_Q56_424390"/>
      <w:bookmarkEnd w:id="31301"/>
      <w:r>
        <w:rPr>
          <w:rFonts w:hint="cs"/>
          <w:rtl/>
        </w:rPr>
        <w:t xml:space="preserve">באים </w:t>
      </w:r>
      <w:bookmarkStart w:id="31302" w:name="_ETM_Q56_424599"/>
      <w:bookmarkEnd w:id="31302"/>
      <w:r>
        <w:rPr>
          <w:rFonts w:hint="cs"/>
          <w:rtl/>
        </w:rPr>
        <w:t xml:space="preserve">לתקן </w:t>
      </w:r>
      <w:bookmarkStart w:id="31303" w:name="_ETM_Q56_425019"/>
      <w:bookmarkEnd w:id="31303"/>
      <w:r>
        <w:rPr>
          <w:rFonts w:hint="cs"/>
          <w:rtl/>
        </w:rPr>
        <w:t xml:space="preserve">את </w:t>
      </w:r>
      <w:bookmarkStart w:id="31304" w:name="_ETM_Q56_425140"/>
      <w:bookmarkEnd w:id="31304"/>
      <w:r>
        <w:rPr>
          <w:rFonts w:hint="cs"/>
          <w:rtl/>
        </w:rPr>
        <w:t>חוק</w:t>
      </w:r>
      <w:bookmarkStart w:id="31305" w:name="_ETM_Q56_425379"/>
      <w:bookmarkEnd w:id="31305"/>
      <w:r>
        <w:rPr>
          <w:rFonts w:hint="cs"/>
          <w:rtl/>
        </w:rPr>
        <w:t>-היסוד,</w:t>
      </w:r>
      <w:bookmarkStart w:id="31306" w:name="_ETM_Q56_423461"/>
      <w:bookmarkEnd w:id="31306"/>
      <w:r>
        <w:rPr>
          <w:rFonts w:hint="cs"/>
          <w:rtl/>
        </w:rPr>
        <w:t xml:space="preserve"> </w:t>
      </w:r>
      <w:bookmarkStart w:id="31307" w:name="_ETM_Q56_425890"/>
      <w:bookmarkEnd w:id="31307"/>
      <w:r>
        <w:rPr>
          <w:rFonts w:hint="cs"/>
          <w:rtl/>
        </w:rPr>
        <w:t xml:space="preserve">אנחנו </w:t>
      </w:r>
      <w:bookmarkStart w:id="31308" w:name="_ETM_Q56_426310"/>
      <w:bookmarkEnd w:id="31308"/>
      <w:r>
        <w:rPr>
          <w:rFonts w:hint="cs"/>
          <w:rtl/>
        </w:rPr>
        <w:t xml:space="preserve">פועלים </w:t>
      </w:r>
      <w:bookmarkStart w:id="31309" w:name="_ETM_Q56_426700"/>
      <w:bookmarkEnd w:id="31309"/>
      <w:r>
        <w:rPr>
          <w:rFonts w:hint="cs"/>
          <w:rtl/>
        </w:rPr>
        <w:t xml:space="preserve">כרשות </w:t>
      </w:r>
      <w:bookmarkStart w:id="31310" w:name="_ETM_Q56_427209"/>
      <w:bookmarkEnd w:id="31310"/>
      <w:r>
        <w:rPr>
          <w:rFonts w:hint="cs"/>
          <w:rtl/>
        </w:rPr>
        <w:t>מכוננת.</w:t>
      </w:r>
      <w:bookmarkStart w:id="31311" w:name="_ETM_Q56_432660"/>
      <w:bookmarkStart w:id="31312" w:name="_ETM_Q56_427221"/>
      <w:bookmarkStart w:id="31313" w:name="_ETM_Q56_427290"/>
      <w:bookmarkStart w:id="31314" w:name="_ETM_Q56_427365"/>
      <w:bookmarkStart w:id="31315" w:name="_ETM_Q56_427454"/>
      <w:bookmarkEnd w:id="31311"/>
      <w:bookmarkEnd w:id="31312"/>
      <w:bookmarkEnd w:id="31313"/>
      <w:bookmarkEnd w:id="31314"/>
      <w:bookmarkEnd w:id="31315"/>
      <w:r w:rsidR="00BD2960">
        <w:rPr>
          <w:rFonts w:hint="cs"/>
          <w:rtl/>
        </w:rPr>
        <w:t xml:space="preserve"> </w:t>
      </w:r>
      <w:r>
        <w:rPr>
          <w:rFonts w:hint="cs"/>
          <w:rtl/>
        </w:rPr>
        <w:t xml:space="preserve">היום </w:t>
      </w:r>
      <w:bookmarkStart w:id="31316" w:name="_ETM_Q56_435559"/>
      <w:bookmarkEnd w:id="31316"/>
      <w:r>
        <w:rPr>
          <w:rFonts w:hint="cs"/>
          <w:rtl/>
        </w:rPr>
        <w:t xml:space="preserve">באה </w:t>
      </w:r>
      <w:bookmarkStart w:id="31317" w:name="_ETM_Q56_435859"/>
      <w:bookmarkEnd w:id="31317"/>
      <w:r>
        <w:rPr>
          <w:rFonts w:hint="cs"/>
          <w:rtl/>
        </w:rPr>
        <w:t xml:space="preserve">אלינו </w:t>
      </w:r>
      <w:bookmarkStart w:id="31318" w:name="_ETM_Q56_436190"/>
      <w:bookmarkEnd w:id="31318"/>
      <w:r>
        <w:rPr>
          <w:rFonts w:hint="cs"/>
          <w:rtl/>
        </w:rPr>
        <w:t xml:space="preserve">הממשלה </w:t>
      </w:r>
      <w:bookmarkStart w:id="31319" w:name="_ETM_Q56_436669"/>
      <w:bookmarkEnd w:id="31319"/>
      <w:r>
        <w:rPr>
          <w:rFonts w:hint="cs"/>
          <w:rtl/>
        </w:rPr>
        <w:t xml:space="preserve">כדי </w:t>
      </w:r>
      <w:bookmarkStart w:id="31320" w:name="_ETM_Q56_436879"/>
      <w:bookmarkEnd w:id="31320"/>
      <w:r>
        <w:rPr>
          <w:rFonts w:hint="cs"/>
          <w:rtl/>
        </w:rPr>
        <w:t xml:space="preserve">שנתקן </w:t>
      </w:r>
      <w:bookmarkStart w:id="31321" w:name="_ETM_Q56_437419"/>
      <w:bookmarkEnd w:id="31321"/>
      <w:r>
        <w:rPr>
          <w:rFonts w:hint="cs"/>
          <w:rtl/>
        </w:rPr>
        <w:t xml:space="preserve">את </w:t>
      </w:r>
      <w:bookmarkStart w:id="31322" w:name="_ETM_Q56_437569"/>
      <w:bookmarkEnd w:id="31322"/>
      <w:r>
        <w:rPr>
          <w:rFonts w:hint="cs"/>
          <w:rtl/>
        </w:rPr>
        <w:t xml:space="preserve">חוק-יסוד: </w:t>
      </w:r>
      <w:bookmarkStart w:id="31323" w:name="_ETM_Q56_438020"/>
      <w:bookmarkEnd w:id="31323"/>
      <w:r>
        <w:rPr>
          <w:rFonts w:hint="cs"/>
          <w:rtl/>
        </w:rPr>
        <w:t>השפיטה</w:t>
      </w:r>
      <w:r w:rsidR="001D2F50">
        <w:rPr>
          <w:rFonts w:hint="cs"/>
          <w:rtl/>
        </w:rPr>
        <w:t>.</w:t>
      </w:r>
      <w:r>
        <w:rPr>
          <w:rFonts w:hint="cs"/>
          <w:rtl/>
        </w:rPr>
        <w:t xml:space="preserve"> </w:t>
      </w:r>
      <w:bookmarkStart w:id="31324" w:name="_ETM_Q56_438379"/>
      <w:bookmarkEnd w:id="31324"/>
      <w:r>
        <w:rPr>
          <w:rFonts w:hint="cs"/>
          <w:rtl/>
        </w:rPr>
        <w:t>בכ</w:t>
      </w:r>
      <w:bookmarkStart w:id="31325" w:name="_ETM_Q56_436061"/>
      <w:bookmarkEnd w:id="31325"/>
      <w:r>
        <w:rPr>
          <w:rFonts w:hint="cs"/>
          <w:rtl/>
        </w:rPr>
        <w:t xml:space="preserve">ל </w:t>
      </w:r>
      <w:bookmarkStart w:id="31326" w:name="_ETM_Q56_438860"/>
      <w:bookmarkEnd w:id="31326"/>
      <w:r>
        <w:rPr>
          <w:rFonts w:hint="cs"/>
          <w:rtl/>
        </w:rPr>
        <w:t xml:space="preserve">סקרי </w:t>
      </w:r>
      <w:bookmarkStart w:id="31327" w:name="_ETM_Q56_439279"/>
      <w:bookmarkEnd w:id="31327"/>
      <w:r>
        <w:rPr>
          <w:rFonts w:hint="cs"/>
          <w:rtl/>
        </w:rPr>
        <w:t xml:space="preserve">דעת </w:t>
      </w:r>
      <w:bookmarkStart w:id="31328" w:name="_ETM_Q56_439580"/>
      <w:bookmarkEnd w:id="31328"/>
      <w:r>
        <w:rPr>
          <w:rFonts w:hint="cs"/>
          <w:rtl/>
        </w:rPr>
        <w:t>הקהל,</w:t>
      </w:r>
      <w:bookmarkStart w:id="31329" w:name="_ETM_Q56_438121"/>
      <w:bookmarkEnd w:id="31329"/>
      <w:r>
        <w:rPr>
          <w:rFonts w:hint="cs"/>
          <w:rtl/>
        </w:rPr>
        <w:t xml:space="preserve"> </w:t>
      </w:r>
      <w:bookmarkStart w:id="31330" w:name="_ETM_Q56_439879"/>
      <w:bookmarkEnd w:id="31330"/>
      <w:r>
        <w:rPr>
          <w:rFonts w:hint="cs"/>
          <w:rtl/>
        </w:rPr>
        <w:t xml:space="preserve">ללא </w:t>
      </w:r>
      <w:bookmarkStart w:id="31331" w:name="_ETM_Q56_440120"/>
      <w:bookmarkEnd w:id="31331"/>
      <w:r>
        <w:rPr>
          <w:rFonts w:hint="cs"/>
          <w:rtl/>
        </w:rPr>
        <w:t xml:space="preserve">יוצא </w:t>
      </w:r>
      <w:bookmarkStart w:id="31332" w:name="_ETM_Q56_440449"/>
      <w:bookmarkEnd w:id="31332"/>
      <w:r>
        <w:rPr>
          <w:rFonts w:hint="cs"/>
          <w:rtl/>
        </w:rPr>
        <w:t xml:space="preserve">מן </w:t>
      </w:r>
      <w:bookmarkStart w:id="31333" w:name="_ETM_Q56_440599"/>
      <w:bookmarkEnd w:id="31333"/>
      <w:r>
        <w:rPr>
          <w:rFonts w:hint="cs"/>
          <w:rtl/>
        </w:rPr>
        <w:t xml:space="preserve">הכלל, </w:t>
      </w:r>
      <w:bookmarkStart w:id="31334" w:name="_ETM_Q56_440900"/>
      <w:bookmarkEnd w:id="31334"/>
      <w:r>
        <w:rPr>
          <w:rFonts w:hint="cs"/>
          <w:rtl/>
        </w:rPr>
        <w:t xml:space="preserve">כפי </w:t>
      </w:r>
      <w:bookmarkStart w:id="31335" w:name="_ETM_Q56_441080"/>
      <w:bookmarkEnd w:id="31335"/>
      <w:r>
        <w:rPr>
          <w:rFonts w:hint="cs"/>
          <w:rtl/>
        </w:rPr>
        <w:t xml:space="preserve">שאמרתי, </w:t>
      </w:r>
      <w:bookmarkStart w:id="31336" w:name="_ETM_Q56_441680"/>
      <w:bookmarkEnd w:id="31336"/>
      <w:r>
        <w:rPr>
          <w:rFonts w:hint="cs"/>
          <w:rtl/>
        </w:rPr>
        <w:t xml:space="preserve">יש </w:t>
      </w:r>
      <w:bookmarkStart w:id="31337" w:name="_ETM_Q56_441830"/>
      <w:bookmarkEnd w:id="31337"/>
      <w:r>
        <w:rPr>
          <w:rFonts w:hint="cs"/>
          <w:rtl/>
        </w:rPr>
        <w:t xml:space="preserve">רוב </w:t>
      </w:r>
      <w:bookmarkStart w:id="31338" w:name="_ETM_Q56_442099"/>
      <w:bookmarkEnd w:id="31338"/>
      <w:r>
        <w:rPr>
          <w:rFonts w:hint="cs"/>
          <w:rtl/>
        </w:rPr>
        <w:t xml:space="preserve">נגד </w:t>
      </w:r>
      <w:bookmarkStart w:id="31339" w:name="_ETM_Q56_442460"/>
      <w:bookmarkEnd w:id="31339"/>
      <w:r>
        <w:rPr>
          <w:rFonts w:hint="cs"/>
          <w:rtl/>
        </w:rPr>
        <w:t xml:space="preserve">החוק </w:t>
      </w:r>
      <w:bookmarkStart w:id="31340" w:name="_ETM_Q56_442819"/>
      <w:bookmarkEnd w:id="31340"/>
      <w:r>
        <w:rPr>
          <w:rFonts w:hint="cs"/>
          <w:rtl/>
        </w:rPr>
        <w:t xml:space="preserve">הגורף </w:t>
      </w:r>
      <w:bookmarkStart w:id="31341" w:name="_ETM_Q56_443270"/>
      <w:bookmarkEnd w:id="31341"/>
      <w:r>
        <w:rPr>
          <w:rFonts w:hint="cs"/>
          <w:rtl/>
        </w:rPr>
        <w:t xml:space="preserve">הזה. </w:t>
      </w:r>
      <w:bookmarkStart w:id="31342" w:name="_ETM_Q56_443720"/>
      <w:bookmarkEnd w:id="31342"/>
      <w:r>
        <w:rPr>
          <w:rFonts w:hint="cs"/>
          <w:rtl/>
        </w:rPr>
        <w:t xml:space="preserve">אין </w:t>
      </w:r>
      <w:bookmarkStart w:id="31343" w:name="_ETM_Q56_443870"/>
      <w:bookmarkEnd w:id="31343"/>
      <w:r>
        <w:rPr>
          <w:rFonts w:hint="cs"/>
          <w:rtl/>
        </w:rPr>
        <w:t xml:space="preserve">אחד </w:t>
      </w:r>
      <w:bookmarkStart w:id="31344" w:name="_ETM_Q56_444139"/>
      <w:bookmarkEnd w:id="31344"/>
      <w:r>
        <w:rPr>
          <w:rFonts w:hint="cs"/>
          <w:rtl/>
        </w:rPr>
        <w:t>הפוך</w:t>
      </w:r>
      <w:bookmarkStart w:id="31345" w:name="_ETM_Q56_444320"/>
      <w:bookmarkStart w:id="31346" w:name="_ETM_Q56_441379"/>
      <w:bookmarkStart w:id="31347" w:name="_ETM_Q56_440589"/>
      <w:bookmarkEnd w:id="31345"/>
      <w:bookmarkEnd w:id="31346"/>
      <w:bookmarkEnd w:id="31347"/>
      <w:r>
        <w:rPr>
          <w:rFonts w:hint="cs"/>
          <w:rtl/>
        </w:rPr>
        <w:t xml:space="preserve">. </w:t>
      </w:r>
      <w:bookmarkStart w:id="31348" w:name="_ETM_Q56_446050"/>
      <w:bookmarkEnd w:id="31348"/>
      <w:r>
        <w:rPr>
          <w:rFonts w:hint="cs"/>
          <w:rtl/>
        </w:rPr>
        <w:t xml:space="preserve">אפשר </w:t>
      </w:r>
      <w:bookmarkStart w:id="31349" w:name="_ETM_Q56_446620"/>
      <w:bookmarkEnd w:id="31349"/>
      <w:r>
        <w:rPr>
          <w:rFonts w:hint="cs"/>
          <w:rtl/>
        </w:rPr>
        <w:t xml:space="preserve">לחוקק </w:t>
      </w:r>
      <w:bookmarkStart w:id="31350" w:name="_ETM_Q56_447040"/>
      <w:bookmarkEnd w:id="31350"/>
      <w:r>
        <w:rPr>
          <w:rFonts w:hint="cs"/>
          <w:rtl/>
        </w:rPr>
        <w:t xml:space="preserve">חוק </w:t>
      </w:r>
      <w:bookmarkStart w:id="31351" w:name="_ETM_Q56_447430"/>
      <w:bookmarkEnd w:id="31351"/>
      <w:r>
        <w:rPr>
          <w:rFonts w:hint="cs"/>
          <w:rtl/>
        </w:rPr>
        <w:t xml:space="preserve">לא </w:t>
      </w:r>
      <w:bookmarkStart w:id="31352" w:name="_ETM_Q56_447610"/>
      <w:bookmarkEnd w:id="31352"/>
      <w:r>
        <w:rPr>
          <w:rFonts w:hint="cs"/>
          <w:rtl/>
        </w:rPr>
        <w:t xml:space="preserve">פופולרי, </w:t>
      </w:r>
      <w:bookmarkStart w:id="31353" w:name="_ETM_Q56_448900"/>
      <w:bookmarkEnd w:id="31353"/>
      <w:r>
        <w:rPr>
          <w:rFonts w:hint="cs"/>
          <w:rtl/>
        </w:rPr>
        <w:t xml:space="preserve">אבל </w:t>
      </w:r>
      <w:bookmarkStart w:id="31354" w:name="_ETM_Q56_449169"/>
      <w:bookmarkEnd w:id="31354"/>
      <w:r>
        <w:rPr>
          <w:rFonts w:hint="cs"/>
          <w:rtl/>
        </w:rPr>
        <w:t xml:space="preserve">זה </w:t>
      </w:r>
      <w:bookmarkStart w:id="31355" w:name="_ETM_Q56_449320"/>
      <w:bookmarkEnd w:id="31355"/>
      <w:r>
        <w:rPr>
          <w:rFonts w:hint="cs"/>
          <w:rtl/>
        </w:rPr>
        <w:t xml:space="preserve">לא </w:t>
      </w:r>
      <w:bookmarkStart w:id="31356" w:name="_ETM_Q56_449440"/>
      <w:bookmarkEnd w:id="31356"/>
      <w:r>
        <w:rPr>
          <w:rFonts w:hint="cs"/>
          <w:rtl/>
        </w:rPr>
        <w:t xml:space="preserve">דומה </w:t>
      </w:r>
      <w:bookmarkStart w:id="31357" w:name="_ETM_Q56_449800"/>
      <w:bookmarkEnd w:id="31357"/>
      <w:r>
        <w:rPr>
          <w:rFonts w:hint="cs"/>
          <w:rtl/>
        </w:rPr>
        <w:t xml:space="preserve">לתיקון </w:t>
      </w:r>
      <w:bookmarkStart w:id="31358" w:name="_ETM_Q56_450279"/>
      <w:bookmarkEnd w:id="31358"/>
      <w:r>
        <w:rPr>
          <w:rFonts w:hint="cs"/>
          <w:rtl/>
        </w:rPr>
        <w:t>חוק</w:t>
      </w:r>
      <w:bookmarkStart w:id="31359" w:name="_ETM_Q56_450550"/>
      <w:bookmarkEnd w:id="31359"/>
      <w:r>
        <w:rPr>
          <w:rFonts w:hint="cs"/>
          <w:rtl/>
        </w:rPr>
        <w:t>-יסוד</w:t>
      </w:r>
      <w:bookmarkStart w:id="31360" w:name="_ETM_Q56_449460"/>
      <w:bookmarkStart w:id="31361" w:name="_ETM_Q56_451210"/>
      <w:bookmarkEnd w:id="31360"/>
      <w:bookmarkEnd w:id="31361"/>
      <w:r>
        <w:rPr>
          <w:rFonts w:hint="cs"/>
          <w:rtl/>
        </w:rPr>
        <w:t xml:space="preserve"> </w:t>
      </w:r>
      <w:r w:rsidR="00BD2960">
        <w:rPr>
          <w:rFonts w:hint="cs"/>
          <w:rtl/>
        </w:rPr>
        <w:t>כ</w:t>
      </w:r>
      <w:r>
        <w:rPr>
          <w:rFonts w:hint="cs"/>
          <w:rtl/>
        </w:rPr>
        <w:t xml:space="preserve">שהציבור </w:t>
      </w:r>
      <w:bookmarkStart w:id="31362" w:name="_ETM_Q56_451839"/>
      <w:bookmarkEnd w:id="31362"/>
      <w:r>
        <w:rPr>
          <w:rFonts w:hint="cs"/>
          <w:rtl/>
        </w:rPr>
        <w:t xml:space="preserve">אומר </w:t>
      </w:r>
      <w:bookmarkStart w:id="31363" w:name="_ETM_Q56_452050"/>
      <w:bookmarkEnd w:id="31363"/>
      <w:r>
        <w:rPr>
          <w:rFonts w:hint="cs"/>
          <w:rtl/>
        </w:rPr>
        <w:t xml:space="preserve">לך </w:t>
      </w:r>
      <w:bookmarkStart w:id="31364" w:name="_ETM_Q56_452290"/>
      <w:bookmarkEnd w:id="31364"/>
      <w:r>
        <w:rPr>
          <w:rFonts w:hint="cs"/>
          <w:rtl/>
        </w:rPr>
        <w:t xml:space="preserve">בכל </w:t>
      </w:r>
      <w:bookmarkStart w:id="31365" w:name="_ETM_Q56_452620"/>
      <w:bookmarkEnd w:id="31365"/>
      <w:r>
        <w:rPr>
          <w:rFonts w:hint="cs"/>
          <w:rtl/>
        </w:rPr>
        <w:t xml:space="preserve">דרך </w:t>
      </w:r>
      <w:bookmarkStart w:id="31366" w:name="_ETM_Q56_453310"/>
      <w:bookmarkEnd w:id="31366"/>
      <w:r>
        <w:rPr>
          <w:rFonts w:hint="cs"/>
          <w:rtl/>
        </w:rPr>
        <w:t xml:space="preserve">לא. </w:t>
      </w:r>
      <w:bookmarkStart w:id="31367" w:name="_ETM_Q56_454630"/>
      <w:bookmarkEnd w:id="31367"/>
      <w:r>
        <w:rPr>
          <w:rFonts w:hint="cs"/>
          <w:rtl/>
        </w:rPr>
        <w:t>לא</w:t>
      </w:r>
      <w:bookmarkStart w:id="31368" w:name="_ETM_Q56_451929"/>
      <w:bookmarkEnd w:id="31368"/>
      <w:r>
        <w:rPr>
          <w:rFonts w:hint="cs"/>
          <w:rtl/>
        </w:rPr>
        <w:t xml:space="preserve"> </w:t>
      </w:r>
      <w:bookmarkStart w:id="31369" w:name="_ETM_Q56_454810"/>
      <w:bookmarkEnd w:id="31369"/>
      <w:r>
        <w:rPr>
          <w:rFonts w:hint="cs"/>
          <w:rtl/>
        </w:rPr>
        <w:t xml:space="preserve">כל </w:t>
      </w:r>
      <w:bookmarkStart w:id="31370" w:name="_ETM_Q56_455020"/>
      <w:bookmarkEnd w:id="31370"/>
      <w:r>
        <w:rPr>
          <w:rFonts w:hint="cs"/>
          <w:rtl/>
        </w:rPr>
        <w:t xml:space="preserve">הציבור, </w:t>
      </w:r>
      <w:bookmarkStart w:id="31371" w:name="_ETM_Q56_455380"/>
      <w:bookmarkEnd w:id="31371"/>
      <w:r>
        <w:rPr>
          <w:rFonts w:hint="cs"/>
          <w:rtl/>
        </w:rPr>
        <w:t xml:space="preserve">רוב </w:t>
      </w:r>
      <w:bookmarkStart w:id="31372" w:name="_ETM_Q56_455529"/>
      <w:bookmarkEnd w:id="31372"/>
      <w:r>
        <w:rPr>
          <w:rFonts w:hint="cs"/>
          <w:rtl/>
        </w:rPr>
        <w:t xml:space="preserve">הציבור. </w:t>
      </w:r>
      <w:bookmarkStart w:id="31373" w:name="_ETM_Q56_456250"/>
      <w:bookmarkEnd w:id="31373"/>
      <w:r>
        <w:rPr>
          <w:rFonts w:hint="cs"/>
          <w:rtl/>
        </w:rPr>
        <w:t xml:space="preserve">אבל </w:t>
      </w:r>
      <w:bookmarkStart w:id="31374" w:name="_ETM_Q56_456460"/>
      <w:bookmarkEnd w:id="31374"/>
      <w:r>
        <w:rPr>
          <w:rFonts w:hint="cs"/>
          <w:rtl/>
        </w:rPr>
        <w:t xml:space="preserve">הוא </w:t>
      </w:r>
      <w:bookmarkStart w:id="31375" w:name="_ETM_Q56_456520"/>
      <w:bookmarkEnd w:id="31375"/>
      <w:r>
        <w:rPr>
          <w:rFonts w:hint="cs"/>
          <w:rtl/>
        </w:rPr>
        <w:t xml:space="preserve">אומר </w:t>
      </w:r>
      <w:bookmarkStart w:id="31376" w:name="_ETM_Q56_456790"/>
      <w:bookmarkEnd w:id="31376"/>
      <w:r>
        <w:rPr>
          <w:rFonts w:hint="cs"/>
          <w:rtl/>
        </w:rPr>
        <w:t xml:space="preserve">לך </w:t>
      </w:r>
      <w:bookmarkStart w:id="31377" w:name="_ETM_Q56_457060"/>
      <w:bookmarkEnd w:id="31377"/>
      <w:r>
        <w:rPr>
          <w:rFonts w:hint="cs"/>
          <w:rtl/>
        </w:rPr>
        <w:t xml:space="preserve">את </w:t>
      </w:r>
      <w:bookmarkStart w:id="31378" w:name="_ETM_Q56_457150"/>
      <w:bookmarkEnd w:id="31378"/>
      <w:r>
        <w:rPr>
          <w:rFonts w:hint="cs"/>
          <w:rtl/>
        </w:rPr>
        <w:t>זה,</w:t>
      </w:r>
      <w:bookmarkStart w:id="31379" w:name="_ETM_Q56_454339"/>
      <w:bookmarkEnd w:id="31379"/>
      <w:r>
        <w:rPr>
          <w:rFonts w:hint="cs"/>
          <w:rtl/>
        </w:rPr>
        <w:t xml:space="preserve"> </w:t>
      </w:r>
      <w:bookmarkStart w:id="31380" w:name="_ETM_Q56_457270"/>
      <w:bookmarkEnd w:id="31380"/>
      <w:r>
        <w:rPr>
          <w:rFonts w:hint="cs"/>
          <w:rtl/>
        </w:rPr>
        <w:t xml:space="preserve">הוא </w:t>
      </w:r>
      <w:bookmarkStart w:id="31381" w:name="_ETM_Q56_457360"/>
      <w:bookmarkEnd w:id="31381"/>
      <w:r>
        <w:rPr>
          <w:rFonts w:hint="cs"/>
          <w:rtl/>
        </w:rPr>
        <w:t xml:space="preserve">זועק </w:t>
      </w:r>
      <w:bookmarkStart w:id="31382" w:name="_ETM_Q56_457750"/>
      <w:bookmarkEnd w:id="31382"/>
      <w:r>
        <w:rPr>
          <w:rFonts w:hint="cs"/>
          <w:rtl/>
        </w:rPr>
        <w:t xml:space="preserve">את </w:t>
      </w:r>
      <w:bookmarkStart w:id="31383" w:name="_ETM_Q56_457870"/>
      <w:bookmarkEnd w:id="31383"/>
      <w:r>
        <w:rPr>
          <w:rFonts w:hint="cs"/>
          <w:rtl/>
        </w:rPr>
        <w:t>זה.</w:t>
      </w:r>
      <w:bookmarkStart w:id="31384" w:name="_ETM_Q56_464110"/>
      <w:bookmarkStart w:id="31385" w:name="_ETM_Q56_457116"/>
      <w:bookmarkEnd w:id="31384"/>
      <w:bookmarkEnd w:id="31385"/>
    </w:p>
    <w:p w:rsidR="00BB59CD" w:rsidRDefault="00BB59CD" w:rsidP="00BB59CD">
      <w:pPr>
        <w:rPr>
          <w:rtl/>
        </w:rPr>
      </w:pPr>
      <w:bookmarkStart w:id="31386" w:name="_ETM_Q56_457194"/>
      <w:bookmarkEnd w:id="31386"/>
    </w:p>
    <w:p w:rsidR="00BB59CD" w:rsidRDefault="00BB59CD" w:rsidP="00035376">
      <w:pPr>
        <w:rPr>
          <w:rtl/>
        </w:rPr>
      </w:pPr>
      <w:bookmarkStart w:id="31387" w:name="_ETM_Q56_457291"/>
      <w:bookmarkStart w:id="31388" w:name="_ETM_Q56_457346"/>
      <w:bookmarkEnd w:id="31387"/>
      <w:bookmarkEnd w:id="31388"/>
      <w:r>
        <w:rPr>
          <w:rFonts w:hint="cs"/>
          <w:rtl/>
        </w:rPr>
        <w:t xml:space="preserve">להסדר </w:t>
      </w:r>
      <w:bookmarkStart w:id="31389" w:name="_ETM_Q56_464740"/>
      <w:bookmarkEnd w:id="31389"/>
      <w:r>
        <w:rPr>
          <w:rFonts w:hint="cs"/>
          <w:rtl/>
        </w:rPr>
        <w:t xml:space="preserve">הזה </w:t>
      </w:r>
      <w:bookmarkStart w:id="31390" w:name="_ETM_Q56_466310"/>
      <w:bookmarkEnd w:id="31390"/>
      <w:r>
        <w:rPr>
          <w:rFonts w:hint="cs"/>
          <w:rtl/>
        </w:rPr>
        <w:t xml:space="preserve">יש </w:t>
      </w:r>
      <w:bookmarkStart w:id="31391" w:name="_ETM_Q56_466880"/>
      <w:bookmarkEnd w:id="31391"/>
      <w:r>
        <w:rPr>
          <w:rFonts w:hint="cs"/>
          <w:rtl/>
        </w:rPr>
        <w:t xml:space="preserve">חולשות משמעותיות, </w:t>
      </w:r>
      <w:bookmarkStart w:id="31392" w:name="_ETM_Q56_467600"/>
      <w:bookmarkEnd w:id="31392"/>
      <w:r>
        <w:rPr>
          <w:rFonts w:hint="cs"/>
          <w:rtl/>
        </w:rPr>
        <w:t xml:space="preserve">אדוני </w:t>
      </w:r>
      <w:bookmarkStart w:id="31393" w:name="_ETM_Q56_467870"/>
      <w:bookmarkEnd w:id="31393"/>
      <w:r>
        <w:rPr>
          <w:rFonts w:hint="cs"/>
          <w:rtl/>
        </w:rPr>
        <w:t>היושב-ראש.</w:t>
      </w:r>
      <w:bookmarkStart w:id="31394" w:name="_ETM_Q56_468529"/>
      <w:bookmarkEnd w:id="31394"/>
      <w:r>
        <w:rPr>
          <w:rFonts w:hint="cs"/>
          <w:rtl/>
        </w:rPr>
        <w:t xml:space="preserve"> </w:t>
      </w:r>
      <w:bookmarkStart w:id="31395" w:name="_ETM_Q56_469490"/>
      <w:bookmarkEnd w:id="31395"/>
      <w:r>
        <w:rPr>
          <w:rFonts w:hint="cs"/>
          <w:rtl/>
        </w:rPr>
        <w:t xml:space="preserve">קודם </w:t>
      </w:r>
      <w:bookmarkStart w:id="31396" w:name="_ETM_Q56_469760"/>
      <w:bookmarkEnd w:id="31396"/>
      <w:r>
        <w:rPr>
          <w:rFonts w:hint="cs"/>
          <w:rtl/>
        </w:rPr>
        <w:t>כו</w:t>
      </w:r>
      <w:bookmarkStart w:id="31397" w:name="_ETM_Q56_465908"/>
      <w:bookmarkEnd w:id="31397"/>
      <w:r>
        <w:rPr>
          <w:rFonts w:hint="cs"/>
          <w:rtl/>
        </w:rPr>
        <w:t>ל,</w:t>
      </w:r>
      <w:bookmarkStart w:id="31398" w:name="_ETM_Q56_467716"/>
      <w:bookmarkStart w:id="31399" w:name="_ETM_Q56_464319"/>
      <w:bookmarkStart w:id="31400" w:name="_ETM_Q56_470779"/>
      <w:bookmarkEnd w:id="31398"/>
      <w:bookmarkEnd w:id="31399"/>
      <w:bookmarkEnd w:id="31400"/>
      <w:r>
        <w:rPr>
          <w:rFonts w:hint="cs"/>
          <w:rtl/>
        </w:rPr>
        <w:t xml:space="preserve"> </w:t>
      </w:r>
      <w:bookmarkStart w:id="31401" w:name="_ETM_Q56_470240"/>
      <w:bookmarkEnd w:id="31401"/>
      <w:r>
        <w:rPr>
          <w:rFonts w:hint="cs"/>
          <w:rtl/>
        </w:rPr>
        <w:t xml:space="preserve">בוא </w:t>
      </w:r>
      <w:bookmarkStart w:id="31402" w:name="_ETM_Q56_470450"/>
      <w:bookmarkEnd w:id="31402"/>
      <w:r>
        <w:rPr>
          <w:rFonts w:hint="cs"/>
          <w:rtl/>
        </w:rPr>
        <w:t xml:space="preserve">נתחיל </w:t>
      </w:r>
      <w:bookmarkStart w:id="31403" w:name="_ETM_Q56_470839"/>
      <w:bookmarkEnd w:id="31403"/>
      <w:r>
        <w:rPr>
          <w:rFonts w:hint="cs"/>
          <w:rtl/>
        </w:rPr>
        <w:t xml:space="preserve">ממה </w:t>
      </w:r>
      <w:bookmarkStart w:id="31404" w:name="_ETM_Q56_471140"/>
      <w:bookmarkEnd w:id="31404"/>
      <w:r>
        <w:rPr>
          <w:rFonts w:hint="cs"/>
          <w:rtl/>
        </w:rPr>
        <w:t xml:space="preserve">שציין </w:t>
      </w:r>
      <w:bookmarkStart w:id="31405" w:name="_ETM_Q56_472810"/>
      <w:bookmarkEnd w:id="31405"/>
      <w:r>
        <w:rPr>
          <w:rFonts w:hint="cs"/>
          <w:rtl/>
        </w:rPr>
        <w:t xml:space="preserve">השופט </w:t>
      </w:r>
      <w:bookmarkStart w:id="31406" w:name="_ETM_Q56_473200"/>
      <w:bookmarkEnd w:id="31406"/>
      <w:r>
        <w:rPr>
          <w:rFonts w:hint="cs"/>
          <w:rtl/>
        </w:rPr>
        <w:t xml:space="preserve">סולברג </w:t>
      </w:r>
      <w:bookmarkStart w:id="31407" w:name="_ETM_Q56_473950"/>
      <w:bookmarkEnd w:id="31407"/>
      <w:r>
        <w:rPr>
          <w:rFonts w:hint="cs"/>
          <w:rtl/>
        </w:rPr>
        <w:t xml:space="preserve">לפני </w:t>
      </w:r>
      <w:bookmarkStart w:id="31408" w:name="_ETM_Q56_474310"/>
      <w:bookmarkEnd w:id="31408"/>
      <w:r>
        <w:rPr>
          <w:rFonts w:hint="cs"/>
          <w:rtl/>
        </w:rPr>
        <w:t xml:space="preserve">כמה </w:t>
      </w:r>
      <w:bookmarkStart w:id="31409" w:name="_ETM_Q56_474580"/>
      <w:bookmarkEnd w:id="31409"/>
      <w:r>
        <w:rPr>
          <w:rFonts w:hint="cs"/>
          <w:rtl/>
        </w:rPr>
        <w:t xml:space="preserve">ימים. </w:t>
      </w:r>
      <w:bookmarkStart w:id="31410" w:name="_ETM_Q56_475389"/>
      <w:bookmarkEnd w:id="31410"/>
      <w:r>
        <w:rPr>
          <w:rFonts w:hint="cs"/>
          <w:rtl/>
        </w:rPr>
        <w:t xml:space="preserve">הדרך </w:t>
      </w:r>
      <w:bookmarkStart w:id="31411" w:name="_ETM_Q56_475839"/>
      <w:bookmarkEnd w:id="31411"/>
      <w:r>
        <w:rPr>
          <w:rFonts w:hint="cs"/>
          <w:rtl/>
        </w:rPr>
        <w:t xml:space="preserve">הנכונה </w:t>
      </w:r>
      <w:bookmarkStart w:id="31412" w:name="_ETM_Q56_477199"/>
      <w:bookmarkEnd w:id="31412"/>
      <w:r>
        <w:rPr>
          <w:rFonts w:hint="cs"/>
          <w:rtl/>
        </w:rPr>
        <w:t xml:space="preserve">לצמצם </w:t>
      </w:r>
      <w:bookmarkStart w:id="31413" w:name="_ETM_Q56_477889"/>
      <w:bookmarkEnd w:id="31413"/>
      <w:r>
        <w:rPr>
          <w:rFonts w:hint="cs"/>
          <w:rtl/>
        </w:rPr>
        <w:t xml:space="preserve">את </w:t>
      </w:r>
      <w:bookmarkStart w:id="31414" w:name="_ETM_Q56_478010"/>
      <w:bookmarkEnd w:id="31414"/>
      <w:r>
        <w:rPr>
          <w:rFonts w:hint="cs"/>
          <w:rtl/>
        </w:rPr>
        <w:t xml:space="preserve">עילת </w:t>
      </w:r>
      <w:bookmarkStart w:id="31415" w:name="_ETM_Q56_478279"/>
      <w:bookmarkEnd w:id="31415"/>
      <w:r>
        <w:rPr>
          <w:rFonts w:hint="cs"/>
          <w:rtl/>
        </w:rPr>
        <w:t>ה</w:t>
      </w:r>
      <w:bookmarkStart w:id="31416" w:name="_ETM_Q56_477769"/>
      <w:bookmarkEnd w:id="31416"/>
      <w:r>
        <w:rPr>
          <w:rFonts w:hint="cs"/>
          <w:rtl/>
        </w:rPr>
        <w:t xml:space="preserve">סבירות </w:t>
      </w:r>
      <w:bookmarkStart w:id="31417" w:name="_ETM_Q56_479330"/>
      <w:bookmarkEnd w:id="31417"/>
      <w:r>
        <w:rPr>
          <w:rFonts w:hint="cs"/>
          <w:rtl/>
        </w:rPr>
        <w:t xml:space="preserve">או </w:t>
      </w:r>
      <w:bookmarkStart w:id="31418" w:name="_ETM_Q56_479449"/>
      <w:bookmarkEnd w:id="31418"/>
      <w:r>
        <w:rPr>
          <w:rFonts w:hint="cs"/>
          <w:rtl/>
        </w:rPr>
        <w:t xml:space="preserve">את </w:t>
      </w:r>
      <w:bookmarkStart w:id="31419" w:name="_ETM_Q56_479600"/>
      <w:bookmarkEnd w:id="31419"/>
      <w:r>
        <w:rPr>
          <w:rFonts w:hint="cs"/>
          <w:rtl/>
        </w:rPr>
        <w:t>תחולתה</w:t>
      </w:r>
      <w:r w:rsidR="00BD2960">
        <w:rPr>
          <w:rFonts w:hint="cs"/>
          <w:rtl/>
        </w:rPr>
        <w:t>,</w:t>
      </w:r>
      <w:r>
        <w:rPr>
          <w:rFonts w:hint="cs"/>
          <w:rtl/>
        </w:rPr>
        <w:t xml:space="preserve"> </w:t>
      </w:r>
      <w:bookmarkStart w:id="31420" w:name="_ETM_Q56_481029"/>
      <w:bookmarkStart w:id="31421" w:name="_ETM_Q56_481180"/>
      <w:bookmarkEnd w:id="31420"/>
      <w:bookmarkEnd w:id="31421"/>
      <w:r>
        <w:rPr>
          <w:rFonts w:hint="cs"/>
          <w:rtl/>
        </w:rPr>
        <w:t xml:space="preserve">דרך </w:t>
      </w:r>
      <w:bookmarkStart w:id="31422" w:name="_ETM_Q56_480410"/>
      <w:bookmarkStart w:id="31423" w:name="_ETM_Q56_480589"/>
      <w:bookmarkStart w:id="31424" w:name="_ETM_Q56_479088"/>
      <w:bookmarkStart w:id="31425" w:name="_ETM_Q56_480859"/>
      <w:bookmarkEnd w:id="31422"/>
      <w:bookmarkEnd w:id="31423"/>
      <w:bookmarkEnd w:id="31424"/>
      <w:bookmarkEnd w:id="31425"/>
      <w:r>
        <w:rPr>
          <w:rFonts w:hint="cs"/>
          <w:rtl/>
        </w:rPr>
        <w:t xml:space="preserve">המלך, </w:t>
      </w:r>
      <w:bookmarkStart w:id="31426" w:name="_ETM_Q56_481189"/>
      <w:bookmarkEnd w:id="31426"/>
      <w:r>
        <w:rPr>
          <w:rFonts w:hint="cs"/>
          <w:rtl/>
        </w:rPr>
        <w:t>היא</w:t>
      </w:r>
      <w:bookmarkStart w:id="31427" w:name="_ETM_Q56_478678"/>
      <w:bookmarkEnd w:id="31427"/>
      <w:r>
        <w:rPr>
          <w:rFonts w:hint="cs"/>
          <w:rtl/>
        </w:rPr>
        <w:t xml:space="preserve"> </w:t>
      </w:r>
      <w:bookmarkStart w:id="31428" w:name="_ETM_Q56_481459"/>
      <w:bookmarkEnd w:id="31428"/>
      <w:r>
        <w:rPr>
          <w:rFonts w:hint="cs"/>
          <w:rtl/>
        </w:rPr>
        <w:t xml:space="preserve">בפסיקה. </w:t>
      </w:r>
      <w:bookmarkStart w:id="31429" w:name="_ETM_Q56_483480"/>
      <w:bookmarkEnd w:id="31429"/>
      <w:r>
        <w:rPr>
          <w:rFonts w:hint="cs"/>
          <w:rtl/>
        </w:rPr>
        <w:t xml:space="preserve">אני </w:t>
      </w:r>
      <w:bookmarkStart w:id="31430" w:name="_ETM_Q56_484200"/>
      <w:bookmarkEnd w:id="31430"/>
      <w:r>
        <w:rPr>
          <w:rFonts w:hint="cs"/>
          <w:rtl/>
        </w:rPr>
        <w:t xml:space="preserve">מאמין </w:t>
      </w:r>
      <w:bookmarkStart w:id="31431" w:name="_ETM_Q56_484620"/>
      <w:bookmarkEnd w:id="31431"/>
      <w:r>
        <w:rPr>
          <w:rFonts w:hint="cs"/>
          <w:rtl/>
        </w:rPr>
        <w:t>שהיום,</w:t>
      </w:r>
      <w:bookmarkStart w:id="31432" w:name="_ETM_Q56_483168"/>
      <w:bookmarkEnd w:id="31432"/>
      <w:r>
        <w:rPr>
          <w:rFonts w:hint="cs"/>
          <w:rtl/>
        </w:rPr>
        <w:t xml:space="preserve"> </w:t>
      </w:r>
      <w:bookmarkStart w:id="31433" w:name="_ETM_Q56_485609"/>
      <w:bookmarkEnd w:id="31433"/>
      <w:r>
        <w:rPr>
          <w:rFonts w:hint="cs"/>
          <w:rtl/>
        </w:rPr>
        <w:t xml:space="preserve">וראינו </w:t>
      </w:r>
      <w:bookmarkStart w:id="31434" w:name="_ETM_Q56_486149"/>
      <w:bookmarkEnd w:id="31434"/>
      <w:r>
        <w:rPr>
          <w:rFonts w:hint="cs"/>
          <w:rtl/>
        </w:rPr>
        <w:t xml:space="preserve">את זה </w:t>
      </w:r>
      <w:bookmarkStart w:id="31435" w:name="_ETM_Q56_486330"/>
      <w:bookmarkStart w:id="31436" w:name="_ETM_Q56_486750"/>
      <w:bookmarkEnd w:id="31435"/>
      <w:bookmarkEnd w:id="31436"/>
      <w:r>
        <w:rPr>
          <w:rFonts w:hint="cs"/>
          <w:rtl/>
        </w:rPr>
        <w:t>ב</w:t>
      </w:r>
      <w:r w:rsidR="00BD2960">
        <w:rPr>
          <w:rFonts w:hint="cs"/>
          <w:rtl/>
        </w:rPr>
        <w:t xml:space="preserve">כמה </w:t>
      </w:r>
      <w:r>
        <w:rPr>
          <w:rFonts w:hint="cs"/>
          <w:rtl/>
        </w:rPr>
        <w:t xml:space="preserve">הזדמנויות, </w:t>
      </w:r>
      <w:bookmarkStart w:id="31437" w:name="_ETM_Q56_488070"/>
      <w:bookmarkEnd w:id="31437"/>
      <w:r>
        <w:rPr>
          <w:rFonts w:hint="cs"/>
          <w:rtl/>
        </w:rPr>
        <w:t xml:space="preserve">יש </w:t>
      </w:r>
      <w:bookmarkStart w:id="31438" w:name="_ETM_Q56_489880"/>
      <w:bookmarkEnd w:id="31438"/>
      <w:r>
        <w:rPr>
          <w:rFonts w:hint="cs"/>
          <w:rtl/>
        </w:rPr>
        <w:t xml:space="preserve">שתי </w:t>
      </w:r>
      <w:bookmarkStart w:id="31439" w:name="_ETM_Q56_490240"/>
      <w:bookmarkEnd w:id="31439"/>
      <w:r>
        <w:rPr>
          <w:rFonts w:hint="cs"/>
          <w:rtl/>
        </w:rPr>
        <w:t xml:space="preserve">אסכולות </w:t>
      </w:r>
      <w:bookmarkStart w:id="31440" w:name="_ETM_Q56_490839"/>
      <w:bookmarkEnd w:id="31440"/>
      <w:r>
        <w:rPr>
          <w:rFonts w:hint="cs"/>
          <w:rtl/>
        </w:rPr>
        <w:t xml:space="preserve">בבית </w:t>
      </w:r>
      <w:bookmarkStart w:id="31441" w:name="_ETM_Q56_491170"/>
      <w:bookmarkEnd w:id="31441"/>
      <w:r>
        <w:rPr>
          <w:rFonts w:hint="cs"/>
          <w:rtl/>
        </w:rPr>
        <w:t xml:space="preserve">המשפט </w:t>
      </w:r>
      <w:bookmarkStart w:id="31442" w:name="_ETM_Q56_491529"/>
      <w:bookmarkEnd w:id="31442"/>
      <w:r>
        <w:rPr>
          <w:rFonts w:hint="cs"/>
          <w:rtl/>
        </w:rPr>
        <w:t xml:space="preserve">העליון. </w:t>
      </w:r>
      <w:bookmarkStart w:id="31443" w:name="_ETM_Q56_491770"/>
      <w:bookmarkEnd w:id="31443"/>
      <w:r>
        <w:rPr>
          <w:rFonts w:hint="cs"/>
          <w:rtl/>
        </w:rPr>
        <w:t>בגדול</w:t>
      </w:r>
      <w:bookmarkStart w:id="31444" w:name="_ETM_Q56_491459"/>
      <w:bookmarkEnd w:id="31444"/>
      <w:r>
        <w:rPr>
          <w:rFonts w:hint="cs"/>
          <w:rtl/>
        </w:rPr>
        <w:t xml:space="preserve"> </w:t>
      </w:r>
      <w:bookmarkStart w:id="31445" w:name="_ETM_Q56_492460"/>
      <w:bookmarkEnd w:id="31445"/>
      <w:r>
        <w:rPr>
          <w:rFonts w:hint="cs"/>
          <w:rtl/>
        </w:rPr>
        <w:t xml:space="preserve">אני </w:t>
      </w:r>
      <w:bookmarkStart w:id="31446" w:name="_ETM_Q56_492670"/>
      <w:bookmarkStart w:id="31447" w:name="_ETM_Q56_486808"/>
      <w:bookmarkStart w:id="31448" w:name="_ETM_Q56_492910"/>
      <w:bookmarkEnd w:id="31446"/>
      <w:bookmarkEnd w:id="31447"/>
      <w:bookmarkEnd w:id="31448"/>
      <w:r>
        <w:rPr>
          <w:rFonts w:hint="cs"/>
          <w:rtl/>
        </w:rPr>
        <w:t>ל</w:t>
      </w:r>
      <w:bookmarkStart w:id="31449" w:name="_ETM_Q56_493819"/>
      <w:bookmarkEnd w:id="31449"/>
      <w:r>
        <w:rPr>
          <w:rFonts w:hint="cs"/>
          <w:rtl/>
        </w:rPr>
        <w:t>א</w:t>
      </w:r>
      <w:bookmarkStart w:id="31450" w:name="_ETM_Q56_489788"/>
      <w:bookmarkEnd w:id="31450"/>
      <w:r>
        <w:rPr>
          <w:rFonts w:hint="cs"/>
          <w:rtl/>
        </w:rPr>
        <w:t xml:space="preserve"> </w:t>
      </w:r>
      <w:bookmarkStart w:id="31451" w:name="_ETM_Q56_493030"/>
      <w:bookmarkEnd w:id="31451"/>
      <w:r>
        <w:rPr>
          <w:rFonts w:hint="cs"/>
          <w:rtl/>
        </w:rPr>
        <w:t xml:space="preserve">אוהב </w:t>
      </w:r>
      <w:bookmarkStart w:id="31452" w:name="_ETM_Q56_493300"/>
      <w:bookmarkEnd w:id="31452"/>
      <w:r>
        <w:rPr>
          <w:rFonts w:hint="cs"/>
          <w:rtl/>
        </w:rPr>
        <w:t xml:space="preserve">לעשות </w:t>
      </w:r>
      <w:bookmarkStart w:id="31453" w:name="_ETM_Q56_493630"/>
      <w:bookmarkEnd w:id="31453"/>
      <w:r>
        <w:rPr>
          <w:rFonts w:hint="cs"/>
          <w:rtl/>
        </w:rPr>
        <w:t xml:space="preserve">את </w:t>
      </w:r>
      <w:bookmarkStart w:id="31454" w:name="_ETM_Q56_494200"/>
      <w:bookmarkEnd w:id="31454"/>
      <w:r>
        <w:rPr>
          <w:rFonts w:hint="cs"/>
          <w:rtl/>
        </w:rPr>
        <w:t xml:space="preserve">החלוקה </w:t>
      </w:r>
      <w:bookmarkStart w:id="31455" w:name="_ETM_Q56_494710"/>
      <w:bookmarkEnd w:id="31455"/>
      <w:r>
        <w:rPr>
          <w:rFonts w:hint="cs"/>
          <w:rtl/>
        </w:rPr>
        <w:t xml:space="preserve">הדיכוטומית </w:t>
      </w:r>
      <w:bookmarkStart w:id="31456" w:name="_ETM_Q56_495370"/>
      <w:bookmarkEnd w:id="31456"/>
      <w:r>
        <w:rPr>
          <w:rFonts w:hint="cs"/>
          <w:rtl/>
        </w:rPr>
        <w:t xml:space="preserve">הזאת, </w:t>
      </w:r>
      <w:bookmarkStart w:id="31457" w:name="_ETM_Q56_495670"/>
      <w:bookmarkEnd w:id="31457"/>
      <w:r>
        <w:rPr>
          <w:rFonts w:hint="cs"/>
          <w:rtl/>
        </w:rPr>
        <w:t xml:space="preserve">כי </w:t>
      </w:r>
      <w:bookmarkStart w:id="31458" w:name="_ETM_Q56_495760"/>
      <w:bookmarkEnd w:id="31458"/>
      <w:r>
        <w:rPr>
          <w:rFonts w:hint="cs"/>
          <w:rtl/>
        </w:rPr>
        <w:t xml:space="preserve">יכול </w:t>
      </w:r>
      <w:bookmarkStart w:id="31459" w:name="_ETM_Q56_496000"/>
      <w:bookmarkStart w:id="31460" w:name="_ETM_Q56_496768"/>
      <w:bookmarkEnd w:id="31459"/>
      <w:bookmarkEnd w:id="31460"/>
      <w:r>
        <w:rPr>
          <w:rFonts w:hint="cs"/>
          <w:rtl/>
        </w:rPr>
        <w:t xml:space="preserve">להיות </w:t>
      </w:r>
      <w:bookmarkStart w:id="31461" w:name="_ETM_Q56_496210"/>
      <w:bookmarkEnd w:id="31461"/>
      <w:r>
        <w:rPr>
          <w:rFonts w:hint="cs"/>
          <w:rtl/>
        </w:rPr>
        <w:t>ששופט</w:t>
      </w:r>
      <w:bookmarkStart w:id="31462" w:name="_ETM_Q56_497230"/>
      <w:bookmarkStart w:id="31463" w:name="_ETM_Q56_497950"/>
      <w:bookmarkEnd w:id="31462"/>
      <w:bookmarkEnd w:id="31463"/>
      <w:r>
        <w:rPr>
          <w:rFonts w:hint="cs"/>
          <w:rtl/>
        </w:rPr>
        <w:t xml:space="preserve"> </w:t>
      </w:r>
      <w:bookmarkStart w:id="31464" w:name="_ETM_Q56_499089"/>
      <w:bookmarkEnd w:id="31464"/>
      <w:r>
        <w:rPr>
          <w:rFonts w:hint="cs"/>
          <w:rtl/>
        </w:rPr>
        <w:t xml:space="preserve">ששומר </w:t>
      </w:r>
      <w:bookmarkStart w:id="31465" w:name="_ETM_Q56_499599"/>
      <w:bookmarkEnd w:id="31465"/>
      <w:r>
        <w:rPr>
          <w:rFonts w:hint="cs"/>
          <w:rtl/>
        </w:rPr>
        <w:t xml:space="preserve">על </w:t>
      </w:r>
      <w:bookmarkStart w:id="31466" w:name="_ETM_Q56_499720"/>
      <w:bookmarkEnd w:id="31466"/>
      <w:r>
        <w:rPr>
          <w:rFonts w:hint="cs"/>
          <w:rtl/>
        </w:rPr>
        <w:t xml:space="preserve">ריסון </w:t>
      </w:r>
      <w:bookmarkStart w:id="31467" w:name="_ETM_Q56_500259"/>
      <w:bookmarkEnd w:id="31467"/>
      <w:r>
        <w:rPr>
          <w:rFonts w:hint="cs"/>
          <w:rtl/>
        </w:rPr>
        <w:t xml:space="preserve">בהתערבות </w:t>
      </w:r>
      <w:bookmarkStart w:id="31468" w:name="_ETM_Q56_500949"/>
      <w:bookmarkEnd w:id="31468"/>
      <w:r>
        <w:rPr>
          <w:rFonts w:hint="cs"/>
          <w:rtl/>
        </w:rPr>
        <w:t xml:space="preserve">מול </w:t>
      </w:r>
      <w:bookmarkStart w:id="31469" w:name="_ETM_Q56_501099"/>
      <w:bookmarkEnd w:id="31469"/>
      <w:r>
        <w:rPr>
          <w:rFonts w:hint="cs"/>
          <w:rtl/>
        </w:rPr>
        <w:t xml:space="preserve">הרשות </w:t>
      </w:r>
      <w:bookmarkStart w:id="31470" w:name="_ETM_Q56_501460"/>
      <w:bookmarkEnd w:id="31470"/>
      <w:r>
        <w:rPr>
          <w:rFonts w:hint="cs"/>
          <w:rtl/>
        </w:rPr>
        <w:t xml:space="preserve">המחוקקת </w:t>
      </w:r>
      <w:bookmarkStart w:id="31471" w:name="_ETM_Q56_502000"/>
      <w:bookmarkEnd w:id="31471"/>
      <w:r>
        <w:rPr>
          <w:rFonts w:hint="cs"/>
          <w:rtl/>
        </w:rPr>
        <w:t xml:space="preserve">או הרשות </w:t>
      </w:r>
      <w:bookmarkStart w:id="31472" w:name="_ETM_Q56_502390"/>
      <w:bookmarkEnd w:id="31472"/>
      <w:r>
        <w:rPr>
          <w:rFonts w:hint="cs"/>
          <w:rtl/>
        </w:rPr>
        <w:t xml:space="preserve">המבצעת </w:t>
      </w:r>
      <w:bookmarkStart w:id="31473" w:name="_ETM_Q56_503589"/>
      <w:bookmarkEnd w:id="31473"/>
      <w:r>
        <w:rPr>
          <w:rFonts w:hint="cs"/>
          <w:rtl/>
        </w:rPr>
        <w:t xml:space="preserve">הוא </w:t>
      </w:r>
      <w:bookmarkStart w:id="31474" w:name="_ETM_Q56_503770"/>
      <w:bookmarkEnd w:id="31474"/>
      <w:r>
        <w:rPr>
          <w:rFonts w:hint="cs"/>
          <w:rtl/>
        </w:rPr>
        <w:t xml:space="preserve">שופט </w:t>
      </w:r>
      <w:bookmarkStart w:id="31475" w:name="_ETM_Q56_504460"/>
      <w:bookmarkEnd w:id="31475"/>
      <w:r>
        <w:rPr>
          <w:rFonts w:hint="cs"/>
          <w:rtl/>
        </w:rPr>
        <w:t>ליברלי</w:t>
      </w:r>
      <w:bookmarkStart w:id="31476" w:name="_ETM_Q56_502958"/>
      <w:bookmarkEnd w:id="31476"/>
      <w:r>
        <w:rPr>
          <w:rFonts w:hint="cs"/>
          <w:rtl/>
        </w:rPr>
        <w:t xml:space="preserve">, </w:t>
      </w:r>
      <w:bookmarkStart w:id="31477" w:name="_ETM_Q56_505120"/>
      <w:bookmarkEnd w:id="31477"/>
      <w:r>
        <w:rPr>
          <w:rFonts w:hint="cs"/>
          <w:rtl/>
        </w:rPr>
        <w:t>נניח,</w:t>
      </w:r>
      <w:bookmarkStart w:id="31478" w:name="_ETM_Q56_503369"/>
      <w:bookmarkEnd w:id="31478"/>
      <w:r>
        <w:rPr>
          <w:rFonts w:hint="cs"/>
          <w:rtl/>
        </w:rPr>
        <w:t xml:space="preserve"> </w:t>
      </w:r>
      <w:bookmarkStart w:id="31479" w:name="_ETM_Q56_505450"/>
      <w:bookmarkEnd w:id="31479"/>
      <w:r>
        <w:rPr>
          <w:rFonts w:hint="cs"/>
          <w:rtl/>
        </w:rPr>
        <w:t xml:space="preserve">בנושאים </w:t>
      </w:r>
      <w:bookmarkStart w:id="31480" w:name="_ETM_Q56_505900"/>
      <w:bookmarkEnd w:id="31480"/>
      <w:r>
        <w:rPr>
          <w:rFonts w:hint="cs"/>
          <w:rtl/>
        </w:rPr>
        <w:t xml:space="preserve">של </w:t>
      </w:r>
      <w:bookmarkStart w:id="31481" w:name="_ETM_Q56_506080"/>
      <w:bookmarkEnd w:id="31481"/>
      <w:r>
        <w:rPr>
          <w:rFonts w:hint="cs"/>
          <w:rtl/>
        </w:rPr>
        <w:t xml:space="preserve">דת </w:t>
      </w:r>
      <w:bookmarkStart w:id="31482" w:name="_ETM_Q56_506320"/>
      <w:bookmarkEnd w:id="31482"/>
      <w:r>
        <w:rPr>
          <w:rFonts w:hint="cs"/>
          <w:rtl/>
        </w:rPr>
        <w:t xml:space="preserve">ומדינה </w:t>
      </w:r>
      <w:bookmarkStart w:id="31483" w:name="_ETM_Q56_506770"/>
      <w:bookmarkEnd w:id="31483"/>
      <w:r>
        <w:rPr>
          <w:rFonts w:hint="cs"/>
          <w:rtl/>
        </w:rPr>
        <w:t xml:space="preserve">או בנושאים </w:t>
      </w:r>
      <w:bookmarkStart w:id="31484" w:name="_ETM_Q56_507279"/>
      <w:bookmarkEnd w:id="31484"/>
      <w:r>
        <w:rPr>
          <w:rFonts w:hint="cs"/>
          <w:rtl/>
        </w:rPr>
        <w:t>אחרים</w:t>
      </w:r>
      <w:bookmarkStart w:id="31485" w:name="_ETM_Q56_505379"/>
      <w:bookmarkEnd w:id="31485"/>
      <w:r w:rsidR="001D2F50">
        <w:rPr>
          <w:rFonts w:hint="cs"/>
          <w:rtl/>
        </w:rPr>
        <w:t>,</w:t>
      </w:r>
      <w:r>
        <w:rPr>
          <w:rFonts w:hint="cs"/>
          <w:rtl/>
        </w:rPr>
        <w:t xml:space="preserve"> </w:t>
      </w:r>
      <w:bookmarkStart w:id="31486" w:name="_ETM_Q56_508360"/>
      <w:bookmarkEnd w:id="31486"/>
      <w:r>
        <w:rPr>
          <w:rFonts w:hint="cs"/>
          <w:rtl/>
        </w:rPr>
        <w:t xml:space="preserve">אבל </w:t>
      </w:r>
      <w:bookmarkStart w:id="31487" w:name="_ETM_Q56_508720"/>
      <w:bookmarkEnd w:id="31487"/>
      <w:r>
        <w:rPr>
          <w:rFonts w:hint="cs"/>
          <w:rtl/>
        </w:rPr>
        <w:t xml:space="preserve">באופן </w:t>
      </w:r>
      <w:bookmarkStart w:id="31488" w:name="_ETM_Q56_509140"/>
      <w:bookmarkEnd w:id="31488"/>
      <w:r>
        <w:rPr>
          <w:rFonts w:hint="cs"/>
          <w:rtl/>
        </w:rPr>
        <w:t xml:space="preserve">עקרוני </w:t>
      </w:r>
      <w:bookmarkStart w:id="31489" w:name="_ETM_Q56_510250"/>
      <w:bookmarkEnd w:id="31489"/>
      <w:r>
        <w:rPr>
          <w:rFonts w:hint="cs"/>
          <w:rtl/>
        </w:rPr>
        <w:t xml:space="preserve">יש </w:t>
      </w:r>
      <w:bookmarkStart w:id="31490" w:name="_ETM_Q56_510880"/>
      <w:bookmarkEnd w:id="31490"/>
      <w:r>
        <w:rPr>
          <w:rFonts w:hint="cs"/>
          <w:rtl/>
        </w:rPr>
        <w:t xml:space="preserve">שתי </w:t>
      </w:r>
      <w:bookmarkStart w:id="31491" w:name="_ETM_Q56_511269"/>
      <w:bookmarkEnd w:id="31491"/>
      <w:r>
        <w:rPr>
          <w:rFonts w:hint="cs"/>
          <w:rtl/>
        </w:rPr>
        <w:t>תפיסות.</w:t>
      </w:r>
      <w:bookmarkStart w:id="31492" w:name="_ETM_Q56_511990"/>
      <w:bookmarkEnd w:id="31492"/>
      <w:r w:rsidR="00035376">
        <w:rPr>
          <w:rFonts w:hint="cs"/>
          <w:rtl/>
        </w:rPr>
        <w:t xml:space="preserve"> </w:t>
      </w:r>
      <w:bookmarkStart w:id="31493" w:name="_ETM_Q56_508695"/>
      <w:bookmarkStart w:id="31494" w:name="_ETM_Q56_508762"/>
      <w:bookmarkStart w:id="31495" w:name="_ETM_Q56_508870"/>
      <w:bookmarkStart w:id="31496" w:name="_ETM_Q56_508925"/>
      <w:bookmarkStart w:id="31497" w:name="_ETM_Q56_512920"/>
      <w:bookmarkStart w:id="31498" w:name="_ETM_Q56_511628"/>
      <w:bookmarkEnd w:id="31493"/>
      <w:bookmarkEnd w:id="31494"/>
      <w:bookmarkEnd w:id="31495"/>
      <w:bookmarkEnd w:id="31496"/>
      <w:bookmarkEnd w:id="31497"/>
      <w:bookmarkEnd w:id="31498"/>
      <w:r>
        <w:rPr>
          <w:rFonts w:hint="cs"/>
          <w:rtl/>
        </w:rPr>
        <w:t xml:space="preserve">המשפט </w:t>
      </w:r>
      <w:bookmarkStart w:id="31499" w:name="_ETM_Q56_513460"/>
      <w:bookmarkEnd w:id="31499"/>
      <w:r>
        <w:rPr>
          <w:rFonts w:hint="cs"/>
          <w:rtl/>
        </w:rPr>
        <w:t xml:space="preserve">הוא </w:t>
      </w:r>
      <w:bookmarkStart w:id="31500" w:name="_ETM_Q56_513520"/>
      <w:bookmarkEnd w:id="31500"/>
      <w:r>
        <w:rPr>
          <w:rFonts w:hint="cs"/>
          <w:rtl/>
        </w:rPr>
        <w:t xml:space="preserve">דבר </w:t>
      </w:r>
      <w:bookmarkStart w:id="31501" w:name="_ETM_Q56_513880"/>
      <w:bookmarkEnd w:id="31501"/>
      <w:r>
        <w:rPr>
          <w:rFonts w:hint="cs"/>
          <w:rtl/>
        </w:rPr>
        <w:t xml:space="preserve">חי. </w:t>
      </w:r>
      <w:bookmarkStart w:id="31502" w:name="_ETM_Q56_515260"/>
      <w:bookmarkEnd w:id="31502"/>
      <w:r>
        <w:rPr>
          <w:rFonts w:hint="cs"/>
          <w:rtl/>
        </w:rPr>
        <w:t xml:space="preserve">העילות </w:t>
      </w:r>
      <w:bookmarkStart w:id="31503" w:name="_ETM_Q56_515680"/>
      <w:bookmarkEnd w:id="31503"/>
      <w:r>
        <w:rPr>
          <w:rFonts w:hint="cs"/>
          <w:rtl/>
        </w:rPr>
        <w:t>במשפט</w:t>
      </w:r>
      <w:bookmarkStart w:id="31504" w:name="_ETM_Q56_516430"/>
      <w:bookmarkEnd w:id="31504"/>
      <w:r>
        <w:rPr>
          <w:rFonts w:hint="cs"/>
          <w:rtl/>
        </w:rPr>
        <w:t xml:space="preserve"> </w:t>
      </w:r>
      <w:bookmarkStart w:id="31505" w:name="_ETM_Q56_516910"/>
      <w:bookmarkEnd w:id="31505"/>
      <w:r>
        <w:rPr>
          <w:rFonts w:hint="cs"/>
          <w:rtl/>
        </w:rPr>
        <w:t>המי</w:t>
      </w:r>
      <w:bookmarkStart w:id="31506" w:name="_ETM_Q56_514699"/>
      <w:bookmarkEnd w:id="31506"/>
      <w:r>
        <w:rPr>
          <w:rFonts w:hint="cs"/>
          <w:rtl/>
        </w:rPr>
        <w:t>נהלי</w:t>
      </w:r>
      <w:bookmarkStart w:id="31507" w:name="_ETM_Q56_517300"/>
      <w:bookmarkStart w:id="31508" w:name="_ETM_Q56_515439"/>
      <w:bookmarkEnd w:id="31507"/>
      <w:bookmarkEnd w:id="31508"/>
      <w:r>
        <w:rPr>
          <w:rFonts w:hint="cs"/>
          <w:rtl/>
        </w:rPr>
        <w:t xml:space="preserve"> </w:t>
      </w:r>
      <w:bookmarkStart w:id="31509" w:name="_ETM_Q56_517480"/>
      <w:bookmarkEnd w:id="31509"/>
      <w:r>
        <w:rPr>
          <w:rFonts w:hint="cs"/>
          <w:rtl/>
        </w:rPr>
        <w:t xml:space="preserve">כולן </w:t>
      </w:r>
      <w:bookmarkStart w:id="31510" w:name="_ETM_Q56_517989"/>
      <w:bookmarkEnd w:id="31510"/>
      <w:r>
        <w:rPr>
          <w:rFonts w:hint="cs"/>
          <w:rtl/>
        </w:rPr>
        <w:t xml:space="preserve">התפתחו </w:t>
      </w:r>
      <w:bookmarkStart w:id="31511" w:name="_ETM_Q56_518440"/>
      <w:bookmarkEnd w:id="31511"/>
      <w:r>
        <w:rPr>
          <w:rFonts w:hint="cs"/>
          <w:rtl/>
        </w:rPr>
        <w:t>בפסיקה.</w:t>
      </w:r>
      <w:bookmarkStart w:id="31512" w:name="_ETM_Q56_517579"/>
      <w:bookmarkEnd w:id="31512"/>
      <w:r>
        <w:rPr>
          <w:rFonts w:hint="cs"/>
          <w:rtl/>
        </w:rPr>
        <w:t xml:space="preserve"> </w:t>
      </w:r>
      <w:bookmarkStart w:id="31513" w:name="_ETM_Q56_519460"/>
      <w:bookmarkEnd w:id="31513"/>
      <w:r>
        <w:rPr>
          <w:rFonts w:hint="cs"/>
          <w:rtl/>
        </w:rPr>
        <w:t xml:space="preserve">אם </w:t>
      </w:r>
      <w:bookmarkStart w:id="31514" w:name="_ETM_Q56_519610"/>
      <w:bookmarkEnd w:id="31514"/>
      <w:r>
        <w:rPr>
          <w:rFonts w:hint="cs"/>
          <w:rtl/>
        </w:rPr>
        <w:t xml:space="preserve">אתה </w:t>
      </w:r>
      <w:bookmarkStart w:id="31515" w:name="_ETM_Q56_519790"/>
      <w:bookmarkEnd w:id="31515"/>
      <w:r>
        <w:rPr>
          <w:rFonts w:hint="cs"/>
          <w:rtl/>
        </w:rPr>
        <w:t xml:space="preserve">רוצה </w:t>
      </w:r>
      <w:bookmarkStart w:id="31516" w:name="_ETM_Q56_520059"/>
      <w:bookmarkEnd w:id="31516"/>
      <w:r>
        <w:rPr>
          <w:rFonts w:hint="cs"/>
          <w:rtl/>
        </w:rPr>
        <w:t xml:space="preserve">לחוקק </w:t>
      </w:r>
      <w:bookmarkStart w:id="31517" w:name="_ETM_Q56_520630"/>
      <w:bookmarkEnd w:id="31517"/>
      <w:r>
        <w:rPr>
          <w:rFonts w:hint="cs"/>
          <w:rtl/>
        </w:rPr>
        <w:t xml:space="preserve">– בזמנו </w:t>
      </w:r>
      <w:bookmarkStart w:id="31518" w:name="_ETM_Q56_521079"/>
      <w:bookmarkEnd w:id="31518"/>
      <w:r>
        <w:rPr>
          <w:rFonts w:hint="cs"/>
          <w:rtl/>
        </w:rPr>
        <w:t xml:space="preserve">עבדנו </w:t>
      </w:r>
      <w:bookmarkStart w:id="31519" w:name="_ETM_Q56_521440"/>
      <w:bookmarkEnd w:id="31519"/>
      <w:r>
        <w:rPr>
          <w:rFonts w:hint="cs"/>
          <w:rtl/>
        </w:rPr>
        <w:t xml:space="preserve">על </w:t>
      </w:r>
      <w:bookmarkStart w:id="31520" w:name="_ETM_Q56_521529"/>
      <w:bookmarkEnd w:id="31520"/>
      <w:r>
        <w:rPr>
          <w:rFonts w:hint="cs"/>
          <w:rtl/>
        </w:rPr>
        <w:t xml:space="preserve">חוק </w:t>
      </w:r>
      <w:bookmarkStart w:id="31521" w:name="_ETM_Q56_521770"/>
      <w:bookmarkEnd w:id="31521"/>
      <w:r>
        <w:rPr>
          <w:rFonts w:hint="cs"/>
          <w:rtl/>
        </w:rPr>
        <w:t xml:space="preserve">עילות </w:t>
      </w:r>
      <w:bookmarkStart w:id="31522" w:name="_ETM_Q56_522040"/>
      <w:bookmarkEnd w:id="31522"/>
      <w:r>
        <w:rPr>
          <w:rFonts w:hint="cs"/>
          <w:rtl/>
        </w:rPr>
        <w:t xml:space="preserve">המשפט </w:t>
      </w:r>
      <w:bookmarkStart w:id="31523" w:name="_ETM_Q56_522430"/>
      <w:bookmarkEnd w:id="31523"/>
      <w:r>
        <w:rPr>
          <w:rFonts w:hint="cs"/>
          <w:rtl/>
        </w:rPr>
        <w:t xml:space="preserve">המינהלי </w:t>
      </w:r>
      <w:bookmarkStart w:id="31524" w:name="_ETM_Q56_522760"/>
      <w:bookmarkEnd w:id="31524"/>
      <w:r>
        <w:rPr>
          <w:rFonts w:hint="cs"/>
          <w:rtl/>
        </w:rPr>
        <w:t xml:space="preserve">– אתה </w:t>
      </w:r>
      <w:bookmarkStart w:id="31525" w:name="_ETM_Q56_522910"/>
      <w:bookmarkEnd w:id="31525"/>
      <w:r>
        <w:rPr>
          <w:rFonts w:hint="cs"/>
          <w:rtl/>
        </w:rPr>
        <w:t xml:space="preserve">מחוקק </w:t>
      </w:r>
      <w:bookmarkStart w:id="31526" w:name="_ETM_Q56_523960"/>
      <w:bookmarkEnd w:id="31526"/>
      <w:r>
        <w:rPr>
          <w:rFonts w:hint="cs"/>
          <w:rtl/>
        </w:rPr>
        <w:t xml:space="preserve">את </w:t>
      </w:r>
      <w:bookmarkStart w:id="31527" w:name="_ETM_Q56_524170"/>
      <w:bookmarkEnd w:id="31527"/>
      <w:r>
        <w:rPr>
          <w:rFonts w:hint="cs"/>
          <w:rtl/>
        </w:rPr>
        <w:t xml:space="preserve">הכול </w:t>
      </w:r>
      <w:bookmarkStart w:id="31528" w:name="_ETM_Q56_524379"/>
      <w:bookmarkEnd w:id="31528"/>
      <w:r>
        <w:rPr>
          <w:rFonts w:hint="cs"/>
          <w:rtl/>
        </w:rPr>
        <w:t xml:space="preserve">מתוך </w:t>
      </w:r>
      <w:bookmarkStart w:id="31529" w:name="_ETM_Q56_524710"/>
      <w:bookmarkEnd w:id="31529"/>
      <w:r>
        <w:rPr>
          <w:rFonts w:hint="cs"/>
          <w:rtl/>
        </w:rPr>
        <w:t xml:space="preserve">ראייה </w:t>
      </w:r>
      <w:bookmarkStart w:id="31530" w:name="_ETM_Q56_524890"/>
      <w:bookmarkEnd w:id="31530"/>
      <w:r>
        <w:rPr>
          <w:rFonts w:hint="cs"/>
          <w:rtl/>
        </w:rPr>
        <w:t>רחבה.</w:t>
      </w:r>
      <w:bookmarkStart w:id="31531" w:name="_ETM_Q56_523868"/>
      <w:bookmarkEnd w:id="31531"/>
      <w:r>
        <w:rPr>
          <w:rFonts w:hint="cs"/>
          <w:rtl/>
        </w:rPr>
        <w:t xml:space="preserve"> </w:t>
      </w:r>
      <w:bookmarkStart w:id="31532" w:name="_ETM_Q56_525520"/>
      <w:bookmarkEnd w:id="31532"/>
      <w:r>
        <w:rPr>
          <w:rFonts w:hint="cs"/>
          <w:rtl/>
        </w:rPr>
        <w:t xml:space="preserve">לבוא </w:t>
      </w:r>
      <w:bookmarkStart w:id="31533" w:name="_ETM_Q56_525850"/>
      <w:bookmarkEnd w:id="31533"/>
      <w:r>
        <w:rPr>
          <w:rFonts w:hint="cs"/>
          <w:rtl/>
        </w:rPr>
        <w:t xml:space="preserve">ולבודד </w:t>
      </w:r>
      <w:bookmarkStart w:id="31534" w:name="_ETM_Q56_526510"/>
      <w:bookmarkEnd w:id="31534"/>
      <w:r>
        <w:rPr>
          <w:rFonts w:hint="cs"/>
          <w:rtl/>
        </w:rPr>
        <w:t xml:space="preserve">עילה </w:t>
      </w:r>
      <w:bookmarkStart w:id="31535" w:name="_ETM_Q56_526779"/>
      <w:bookmarkEnd w:id="31535"/>
      <w:r>
        <w:rPr>
          <w:rFonts w:hint="cs"/>
          <w:rtl/>
        </w:rPr>
        <w:t xml:space="preserve">אחת </w:t>
      </w:r>
      <w:bookmarkStart w:id="31536" w:name="_ETM_Q56_527170"/>
      <w:bookmarkEnd w:id="31536"/>
      <w:r>
        <w:rPr>
          <w:rFonts w:hint="cs"/>
          <w:rtl/>
        </w:rPr>
        <w:t xml:space="preserve">ולחתוך </w:t>
      </w:r>
      <w:bookmarkStart w:id="31537" w:name="_ETM_Q56_528229"/>
      <w:bookmarkEnd w:id="31537"/>
      <w:r>
        <w:rPr>
          <w:rFonts w:hint="cs"/>
          <w:rtl/>
        </w:rPr>
        <w:t>בה בגרזן,</w:t>
      </w:r>
      <w:bookmarkStart w:id="31538" w:name="_ETM_Q56_530380"/>
      <w:bookmarkEnd w:id="31538"/>
      <w:r>
        <w:rPr>
          <w:rFonts w:hint="cs"/>
          <w:rtl/>
        </w:rPr>
        <w:t xml:space="preserve"> רק </w:t>
      </w:r>
      <w:bookmarkStart w:id="31539" w:name="_ETM_Q56_530620"/>
      <w:bookmarkEnd w:id="31539"/>
      <w:r>
        <w:rPr>
          <w:rFonts w:hint="cs"/>
          <w:rtl/>
        </w:rPr>
        <w:t xml:space="preserve">על </w:t>
      </w:r>
      <w:bookmarkStart w:id="31540" w:name="_ETM_Q56_530739"/>
      <w:bookmarkEnd w:id="31540"/>
      <w:r>
        <w:rPr>
          <w:rFonts w:hint="cs"/>
          <w:rtl/>
        </w:rPr>
        <w:t xml:space="preserve">בסיס </w:t>
      </w:r>
      <w:bookmarkStart w:id="31541" w:name="_ETM_Q56_531639"/>
      <w:bookmarkEnd w:id="31541"/>
      <w:r>
        <w:rPr>
          <w:rFonts w:hint="cs"/>
          <w:rtl/>
        </w:rPr>
        <w:t>שא</w:t>
      </w:r>
      <w:bookmarkStart w:id="31542" w:name="_ETM_Q56_529918"/>
      <w:bookmarkEnd w:id="31542"/>
      <w:r>
        <w:rPr>
          <w:rFonts w:hint="cs"/>
          <w:rtl/>
        </w:rPr>
        <w:t xml:space="preserve">לה </w:t>
      </w:r>
      <w:bookmarkStart w:id="31543" w:name="_ETM_Q56_532089"/>
      <w:bookmarkEnd w:id="31543"/>
      <w:r>
        <w:rPr>
          <w:rFonts w:hint="cs"/>
          <w:rtl/>
        </w:rPr>
        <w:t xml:space="preserve">אחת, </w:t>
      </w:r>
      <w:bookmarkStart w:id="31544" w:name="_ETM_Q56_533359"/>
      <w:bookmarkEnd w:id="31544"/>
      <w:r>
        <w:rPr>
          <w:rFonts w:hint="cs"/>
          <w:rtl/>
        </w:rPr>
        <w:t xml:space="preserve">שהיא </w:t>
      </w:r>
      <w:bookmarkStart w:id="31545" w:name="_ETM_Q56_533570"/>
      <w:bookmarkEnd w:id="31545"/>
      <w:r>
        <w:rPr>
          <w:rFonts w:hint="cs"/>
          <w:rtl/>
        </w:rPr>
        <w:t xml:space="preserve">חשובה </w:t>
      </w:r>
      <w:bookmarkStart w:id="31546" w:name="_ETM_Q56_535260"/>
      <w:bookmarkEnd w:id="31546"/>
      <w:r>
        <w:rPr>
          <w:rFonts w:hint="cs"/>
          <w:rtl/>
        </w:rPr>
        <w:t xml:space="preserve">אבל </w:t>
      </w:r>
      <w:bookmarkStart w:id="31547" w:name="_ETM_Q56_535620"/>
      <w:bookmarkEnd w:id="31547"/>
      <w:r>
        <w:rPr>
          <w:rFonts w:hint="cs"/>
          <w:rtl/>
        </w:rPr>
        <w:t xml:space="preserve">היא </w:t>
      </w:r>
      <w:bookmarkStart w:id="31548" w:name="_ETM_Q56_535679"/>
      <w:bookmarkEnd w:id="31548"/>
      <w:r>
        <w:rPr>
          <w:rFonts w:hint="cs"/>
          <w:rtl/>
        </w:rPr>
        <w:t xml:space="preserve">לא </w:t>
      </w:r>
      <w:bookmarkStart w:id="31549" w:name="_ETM_Q56_535769"/>
      <w:bookmarkEnd w:id="31549"/>
      <w:r>
        <w:rPr>
          <w:rFonts w:hint="cs"/>
          <w:rtl/>
        </w:rPr>
        <w:t>בלעדית –</w:t>
      </w:r>
      <w:bookmarkStart w:id="31550" w:name="_ETM_Q56_533608"/>
      <w:bookmarkEnd w:id="31550"/>
      <w:r>
        <w:rPr>
          <w:rFonts w:hint="cs"/>
          <w:rtl/>
        </w:rPr>
        <w:t xml:space="preserve"> </w:t>
      </w:r>
      <w:bookmarkStart w:id="31551" w:name="_ETM_Q56_536429"/>
      <w:bookmarkEnd w:id="31551"/>
      <w:r>
        <w:rPr>
          <w:rFonts w:hint="cs"/>
          <w:rtl/>
        </w:rPr>
        <w:t xml:space="preserve">מי </w:t>
      </w:r>
      <w:bookmarkStart w:id="31552" w:name="_ETM_Q56_536640"/>
      <w:bookmarkEnd w:id="31552"/>
      <w:r>
        <w:rPr>
          <w:rFonts w:hint="cs"/>
          <w:rtl/>
        </w:rPr>
        <w:t xml:space="preserve">מקבל </w:t>
      </w:r>
      <w:bookmarkStart w:id="31553" w:name="_ETM_Q56_537029"/>
      <w:bookmarkEnd w:id="31553"/>
      <w:r>
        <w:rPr>
          <w:rFonts w:hint="cs"/>
          <w:rtl/>
        </w:rPr>
        <w:t xml:space="preserve">את </w:t>
      </w:r>
      <w:bookmarkStart w:id="31554" w:name="_ETM_Q56_537120"/>
      <w:bookmarkEnd w:id="31554"/>
      <w:r>
        <w:rPr>
          <w:rFonts w:hint="cs"/>
          <w:rtl/>
        </w:rPr>
        <w:t xml:space="preserve">ההחלטה? </w:t>
      </w:r>
      <w:bookmarkStart w:id="31555" w:name="_ETM_Q56_539750"/>
      <w:bookmarkStart w:id="31556" w:name="_ETM_Q56_559579"/>
      <w:bookmarkStart w:id="31557" w:name="_ETM_Q56_539960"/>
      <w:bookmarkEnd w:id="31555"/>
      <w:bookmarkEnd w:id="31556"/>
      <w:bookmarkEnd w:id="31557"/>
      <w:r>
        <w:rPr>
          <w:rFonts w:hint="cs"/>
          <w:rtl/>
        </w:rPr>
        <w:t xml:space="preserve">מה </w:t>
      </w:r>
      <w:bookmarkStart w:id="31558" w:name="_ETM_Q56_540140"/>
      <w:bookmarkEnd w:id="31558"/>
      <w:r>
        <w:rPr>
          <w:rFonts w:hint="cs"/>
          <w:rtl/>
        </w:rPr>
        <w:t>קורה,</w:t>
      </w:r>
      <w:bookmarkStart w:id="31559" w:name="_ETM_Q56_540878"/>
      <w:bookmarkEnd w:id="31559"/>
      <w:r>
        <w:rPr>
          <w:rFonts w:hint="cs"/>
          <w:rtl/>
        </w:rPr>
        <w:t xml:space="preserve"> </w:t>
      </w:r>
      <w:bookmarkStart w:id="31560" w:name="_ETM_Q56_540500"/>
      <w:bookmarkEnd w:id="31560"/>
      <w:r>
        <w:rPr>
          <w:rFonts w:hint="cs"/>
          <w:rtl/>
        </w:rPr>
        <w:t xml:space="preserve">לדוגמה, </w:t>
      </w:r>
      <w:bookmarkStart w:id="31561" w:name="_ETM_Q56_542879"/>
      <w:bookmarkStart w:id="31562" w:name="_ETM_Q56_543420"/>
      <w:bookmarkStart w:id="31563" w:name="_ETM_Q56_543870"/>
      <w:bookmarkEnd w:id="31561"/>
      <w:bookmarkEnd w:id="31562"/>
      <w:bookmarkEnd w:id="31563"/>
      <w:r>
        <w:rPr>
          <w:rFonts w:hint="cs"/>
          <w:rtl/>
        </w:rPr>
        <w:t xml:space="preserve">כשאותה </w:t>
      </w:r>
      <w:bookmarkStart w:id="31564" w:name="_ETM_Q56_544140"/>
      <w:bookmarkEnd w:id="31564"/>
      <w:r>
        <w:rPr>
          <w:rFonts w:hint="cs"/>
          <w:rtl/>
        </w:rPr>
        <w:t xml:space="preserve">החלטה </w:t>
      </w:r>
      <w:bookmarkStart w:id="31565" w:name="_ETM_Q56_544529"/>
      <w:bookmarkEnd w:id="31565"/>
      <w:r>
        <w:rPr>
          <w:rFonts w:hint="cs"/>
          <w:rtl/>
        </w:rPr>
        <w:t>עצמה</w:t>
      </w:r>
      <w:bookmarkStart w:id="31566" w:name="_ETM_Q56_544979"/>
      <w:bookmarkStart w:id="31567" w:name="_ETM_Q56_542897"/>
      <w:bookmarkEnd w:id="31566"/>
      <w:bookmarkEnd w:id="31567"/>
      <w:r>
        <w:rPr>
          <w:rFonts w:hint="cs"/>
          <w:rtl/>
        </w:rPr>
        <w:t xml:space="preserve"> – אני </w:t>
      </w:r>
      <w:bookmarkStart w:id="31568" w:name="_ETM_Q56_545189"/>
      <w:bookmarkStart w:id="31569" w:name="_ETM_Q56_544637"/>
      <w:bookmarkStart w:id="31570" w:name="_ETM_Q56_545610"/>
      <w:bookmarkEnd w:id="31568"/>
      <w:bookmarkEnd w:id="31569"/>
      <w:bookmarkEnd w:id="31570"/>
      <w:r>
        <w:rPr>
          <w:rFonts w:hint="cs"/>
          <w:rtl/>
        </w:rPr>
        <w:t xml:space="preserve">זוכר </w:t>
      </w:r>
      <w:bookmarkStart w:id="31571" w:name="_ETM_Q56_545970"/>
      <w:bookmarkEnd w:id="31571"/>
      <w:r>
        <w:rPr>
          <w:rFonts w:hint="cs"/>
          <w:rtl/>
        </w:rPr>
        <w:t xml:space="preserve">כשר </w:t>
      </w:r>
      <w:bookmarkStart w:id="31572" w:name="_ETM_Q56_547229"/>
      <w:bookmarkEnd w:id="31572"/>
      <w:r>
        <w:rPr>
          <w:rFonts w:hint="cs"/>
          <w:rtl/>
        </w:rPr>
        <w:t>הפנים,</w:t>
      </w:r>
      <w:bookmarkStart w:id="31573" w:name="_ETM_Q56_548668"/>
      <w:bookmarkEnd w:id="31573"/>
      <w:r>
        <w:rPr>
          <w:rFonts w:hint="cs"/>
          <w:rtl/>
        </w:rPr>
        <w:t xml:space="preserve"> </w:t>
      </w:r>
      <w:bookmarkStart w:id="31574" w:name="_ETM_Q56_548009"/>
      <w:bookmarkEnd w:id="31574"/>
      <w:r>
        <w:rPr>
          <w:rFonts w:hint="cs"/>
          <w:rtl/>
        </w:rPr>
        <w:t xml:space="preserve">כשהייתי </w:t>
      </w:r>
      <w:bookmarkStart w:id="31575" w:name="_ETM_Q56_548310"/>
      <w:bookmarkEnd w:id="31575"/>
      <w:r>
        <w:rPr>
          <w:rFonts w:hint="cs"/>
          <w:rtl/>
        </w:rPr>
        <w:t xml:space="preserve">בתפקיד, </w:t>
      </w:r>
      <w:bookmarkStart w:id="31576" w:name="_ETM_Q56_550810"/>
      <w:bookmarkEnd w:id="31576"/>
      <w:r>
        <w:rPr>
          <w:rFonts w:hint="cs"/>
          <w:rtl/>
        </w:rPr>
        <w:t xml:space="preserve">האצלתי </w:t>
      </w:r>
      <w:bookmarkStart w:id="31577" w:name="_ETM_Q56_551409"/>
      <w:bookmarkEnd w:id="31577"/>
      <w:r>
        <w:rPr>
          <w:rFonts w:hint="cs"/>
          <w:rtl/>
        </w:rPr>
        <w:t xml:space="preserve">את </w:t>
      </w:r>
      <w:bookmarkStart w:id="31578" w:name="_ETM_Q56_551529"/>
      <w:bookmarkEnd w:id="31578"/>
      <w:r>
        <w:rPr>
          <w:rFonts w:hint="cs"/>
          <w:rtl/>
        </w:rPr>
        <w:t>הסמכות,</w:t>
      </w:r>
      <w:bookmarkStart w:id="31579" w:name="_ETM_Q56_551787"/>
      <w:bookmarkEnd w:id="31579"/>
      <w:r>
        <w:rPr>
          <w:rFonts w:hint="cs"/>
          <w:rtl/>
        </w:rPr>
        <w:t xml:space="preserve"> </w:t>
      </w:r>
      <w:bookmarkStart w:id="31580" w:name="_ETM_Q56_552729"/>
      <w:bookmarkEnd w:id="31580"/>
      <w:r>
        <w:rPr>
          <w:rFonts w:hint="cs"/>
          <w:rtl/>
        </w:rPr>
        <w:t>וכ</w:t>
      </w:r>
      <w:bookmarkStart w:id="31581" w:name="_ETM_Q56_550748"/>
      <w:bookmarkEnd w:id="31581"/>
      <w:r>
        <w:rPr>
          <w:rFonts w:hint="cs"/>
          <w:rtl/>
        </w:rPr>
        <w:t xml:space="preserve">ך </w:t>
      </w:r>
      <w:bookmarkStart w:id="31582" w:name="_ETM_Q56_553089"/>
      <w:bookmarkEnd w:id="31582"/>
      <w:r>
        <w:rPr>
          <w:rFonts w:hint="cs"/>
          <w:rtl/>
        </w:rPr>
        <w:t xml:space="preserve">עשו </w:t>
      </w:r>
      <w:bookmarkStart w:id="31583" w:name="_ETM_Q56_553270"/>
      <w:bookmarkEnd w:id="31583"/>
      <w:r>
        <w:rPr>
          <w:rFonts w:hint="cs"/>
          <w:rtl/>
        </w:rPr>
        <w:t xml:space="preserve">קודמיי, </w:t>
      </w:r>
      <w:bookmarkStart w:id="31584" w:name="_ETM_Q56_553749"/>
      <w:bookmarkEnd w:id="31584"/>
      <w:r>
        <w:rPr>
          <w:rFonts w:hint="cs"/>
          <w:rtl/>
        </w:rPr>
        <w:t xml:space="preserve">למנות </w:t>
      </w:r>
      <w:bookmarkStart w:id="31585" w:name="_ETM_Q56_554170"/>
      <w:bookmarkEnd w:id="31585"/>
      <w:r>
        <w:rPr>
          <w:rFonts w:hint="cs"/>
          <w:rtl/>
        </w:rPr>
        <w:t xml:space="preserve">חשבים </w:t>
      </w:r>
      <w:bookmarkStart w:id="31586" w:name="_ETM_Q56_554679"/>
      <w:bookmarkEnd w:id="31586"/>
      <w:r>
        <w:rPr>
          <w:rFonts w:hint="cs"/>
          <w:rtl/>
        </w:rPr>
        <w:t xml:space="preserve">מלווים </w:t>
      </w:r>
      <w:bookmarkStart w:id="31587" w:name="_ETM_Q56_555829"/>
      <w:bookmarkStart w:id="31588" w:name="_ETM_Q56_556460"/>
      <w:bookmarkStart w:id="31589" w:name="_ETM_Q56_556789"/>
      <w:bookmarkStart w:id="31590" w:name="_ETM_Q56_553868"/>
      <w:bookmarkEnd w:id="31587"/>
      <w:bookmarkEnd w:id="31588"/>
      <w:bookmarkEnd w:id="31589"/>
      <w:bookmarkEnd w:id="31590"/>
      <w:r>
        <w:rPr>
          <w:rFonts w:hint="cs"/>
          <w:rtl/>
        </w:rPr>
        <w:t xml:space="preserve">לרשויות </w:t>
      </w:r>
      <w:bookmarkStart w:id="31591" w:name="_ETM_Q56_557210"/>
      <w:bookmarkEnd w:id="31591"/>
      <w:r>
        <w:rPr>
          <w:rFonts w:hint="cs"/>
          <w:rtl/>
        </w:rPr>
        <w:t>מקומיות</w:t>
      </w:r>
      <w:bookmarkStart w:id="31592" w:name="_ETM_Q56_557750"/>
      <w:bookmarkEnd w:id="31592"/>
      <w:r>
        <w:rPr>
          <w:rFonts w:hint="cs"/>
          <w:rtl/>
        </w:rPr>
        <w:t xml:space="preserve"> למנכ"ל </w:t>
      </w:r>
      <w:bookmarkStart w:id="31593" w:name="_ETM_Q56_558229"/>
      <w:bookmarkEnd w:id="31593"/>
      <w:r>
        <w:rPr>
          <w:rFonts w:hint="cs"/>
          <w:rtl/>
        </w:rPr>
        <w:t xml:space="preserve">המשרד, </w:t>
      </w:r>
      <w:bookmarkStart w:id="31594" w:name="_ETM_Q56_559130"/>
      <w:bookmarkEnd w:id="31594"/>
      <w:r>
        <w:rPr>
          <w:rFonts w:hint="cs"/>
          <w:rtl/>
        </w:rPr>
        <w:t xml:space="preserve">והוא </w:t>
      </w:r>
      <w:bookmarkStart w:id="31595" w:name="_ETM_Q56_559279"/>
      <w:bookmarkEnd w:id="31595"/>
      <w:r>
        <w:rPr>
          <w:rFonts w:hint="cs"/>
          <w:rtl/>
        </w:rPr>
        <w:t xml:space="preserve">עשה </w:t>
      </w:r>
      <w:bookmarkStart w:id="31596" w:name="_ETM_Q56_559490"/>
      <w:bookmarkEnd w:id="31596"/>
      <w:r>
        <w:rPr>
          <w:rFonts w:hint="cs"/>
          <w:rtl/>
        </w:rPr>
        <w:t xml:space="preserve">את זה </w:t>
      </w:r>
      <w:bookmarkStart w:id="31597" w:name="_ETM_Q56_559729"/>
      <w:bookmarkEnd w:id="31597"/>
      <w:r>
        <w:rPr>
          <w:rFonts w:hint="cs"/>
          <w:rtl/>
        </w:rPr>
        <w:t xml:space="preserve">בהמלצת </w:t>
      </w:r>
      <w:bookmarkStart w:id="31598" w:name="_ETM_Q56_561529"/>
      <w:bookmarkEnd w:id="31598"/>
      <w:r>
        <w:rPr>
          <w:rFonts w:hint="cs"/>
          <w:rtl/>
        </w:rPr>
        <w:t xml:space="preserve">מנהל </w:t>
      </w:r>
      <w:bookmarkStart w:id="31599" w:name="_ETM_Q56_561830"/>
      <w:bookmarkEnd w:id="31599"/>
      <w:r>
        <w:rPr>
          <w:rFonts w:hint="cs"/>
          <w:rtl/>
        </w:rPr>
        <w:t xml:space="preserve">מינהל </w:t>
      </w:r>
      <w:bookmarkStart w:id="31600" w:name="_ETM_Q56_562100"/>
      <w:bookmarkEnd w:id="31600"/>
      <w:r>
        <w:rPr>
          <w:rFonts w:hint="cs"/>
          <w:rtl/>
        </w:rPr>
        <w:t xml:space="preserve">השלטון </w:t>
      </w:r>
      <w:bookmarkStart w:id="31601" w:name="_ETM_Q56_562430"/>
      <w:bookmarkEnd w:id="31601"/>
      <w:r>
        <w:rPr>
          <w:rFonts w:hint="cs"/>
          <w:rtl/>
        </w:rPr>
        <w:t xml:space="preserve">המקומי. </w:t>
      </w:r>
      <w:bookmarkStart w:id="31602" w:name="_ETM_Q56_563029"/>
      <w:bookmarkStart w:id="31603" w:name="_ETM_Q56_563910"/>
      <w:bookmarkStart w:id="31604" w:name="_ETM_Q56_563739"/>
      <w:bookmarkEnd w:id="31602"/>
      <w:bookmarkEnd w:id="31603"/>
      <w:bookmarkEnd w:id="31604"/>
      <w:r>
        <w:rPr>
          <w:rFonts w:hint="cs"/>
          <w:rtl/>
        </w:rPr>
        <w:t xml:space="preserve">אני </w:t>
      </w:r>
      <w:bookmarkStart w:id="31605" w:name="_ETM_Q56_564270"/>
      <w:bookmarkEnd w:id="31605"/>
      <w:r>
        <w:rPr>
          <w:rFonts w:hint="cs"/>
          <w:rtl/>
        </w:rPr>
        <w:t xml:space="preserve">יכול </w:t>
      </w:r>
      <w:bookmarkStart w:id="31606" w:name="_ETM_Q56_564510"/>
      <w:bookmarkEnd w:id="31606"/>
      <w:r>
        <w:rPr>
          <w:rFonts w:hint="cs"/>
          <w:rtl/>
        </w:rPr>
        <w:t xml:space="preserve">לקחת </w:t>
      </w:r>
      <w:bookmarkStart w:id="31607" w:name="_ETM_Q56_564900"/>
      <w:bookmarkEnd w:id="31607"/>
      <w:r>
        <w:rPr>
          <w:rFonts w:hint="cs"/>
          <w:rtl/>
        </w:rPr>
        <w:t xml:space="preserve">את </w:t>
      </w:r>
      <w:bookmarkStart w:id="31608" w:name="_ETM_Q56_564960"/>
      <w:bookmarkEnd w:id="31608"/>
      <w:r>
        <w:rPr>
          <w:rFonts w:hint="cs"/>
          <w:rtl/>
        </w:rPr>
        <w:t xml:space="preserve">הסמכות </w:t>
      </w:r>
      <w:bookmarkStart w:id="31609" w:name="_ETM_Q56_565350"/>
      <w:bookmarkEnd w:id="31609"/>
      <w:r w:rsidR="00035376">
        <w:rPr>
          <w:rFonts w:hint="cs"/>
          <w:rtl/>
        </w:rPr>
        <w:t>בחזרה;</w:t>
      </w:r>
      <w:r>
        <w:rPr>
          <w:rFonts w:hint="cs"/>
          <w:rtl/>
        </w:rPr>
        <w:t xml:space="preserve"> </w:t>
      </w:r>
      <w:bookmarkStart w:id="31610" w:name="_ETM_Q56_566469"/>
      <w:bookmarkStart w:id="31611" w:name="_ETM_Q56_566799"/>
      <w:bookmarkEnd w:id="31610"/>
      <w:bookmarkEnd w:id="31611"/>
      <w:r>
        <w:rPr>
          <w:rFonts w:hint="cs"/>
          <w:rtl/>
        </w:rPr>
        <w:t xml:space="preserve">אם </w:t>
      </w:r>
      <w:bookmarkStart w:id="31612" w:name="_ETM_Q56_566979"/>
      <w:bookmarkEnd w:id="31612"/>
      <w:r>
        <w:rPr>
          <w:rFonts w:hint="cs"/>
          <w:rtl/>
        </w:rPr>
        <w:t xml:space="preserve">אני </w:t>
      </w:r>
      <w:bookmarkStart w:id="31613" w:name="_ETM_Q56_567130"/>
      <w:bookmarkEnd w:id="31613"/>
      <w:r>
        <w:rPr>
          <w:rFonts w:hint="cs"/>
          <w:rtl/>
        </w:rPr>
        <w:t xml:space="preserve">מקבל </w:t>
      </w:r>
      <w:bookmarkStart w:id="31614" w:name="_ETM_Q56_567490"/>
      <w:bookmarkEnd w:id="31614"/>
      <w:r>
        <w:rPr>
          <w:rFonts w:hint="cs"/>
          <w:rtl/>
        </w:rPr>
        <w:t xml:space="preserve">את </w:t>
      </w:r>
      <w:bookmarkStart w:id="31615" w:name="_ETM_Q56_567579"/>
      <w:bookmarkEnd w:id="31615"/>
      <w:r>
        <w:rPr>
          <w:rFonts w:hint="cs"/>
          <w:rtl/>
        </w:rPr>
        <w:t xml:space="preserve">ההחלטה </w:t>
      </w:r>
      <w:bookmarkStart w:id="31616" w:name="_ETM_Q56_567939"/>
      <w:bookmarkEnd w:id="31616"/>
      <w:r>
        <w:rPr>
          <w:rFonts w:hint="cs"/>
          <w:rtl/>
        </w:rPr>
        <w:t>כשר</w:t>
      </w:r>
      <w:bookmarkStart w:id="31617" w:name="_ETM_Q56_568139"/>
      <w:bookmarkEnd w:id="31617"/>
      <w:r>
        <w:rPr>
          <w:rFonts w:hint="cs"/>
          <w:rtl/>
        </w:rPr>
        <w:t xml:space="preserve"> </w:t>
      </w:r>
      <w:bookmarkStart w:id="31618" w:name="_ETM_Q56_569289"/>
      <w:bookmarkEnd w:id="31618"/>
      <w:r>
        <w:rPr>
          <w:rFonts w:hint="cs"/>
          <w:rtl/>
        </w:rPr>
        <w:t xml:space="preserve">לא </w:t>
      </w:r>
      <w:bookmarkStart w:id="31619" w:name="_ETM_Q56_569589"/>
      <w:bookmarkEnd w:id="31619"/>
      <w:r>
        <w:rPr>
          <w:rFonts w:hint="cs"/>
          <w:rtl/>
        </w:rPr>
        <w:t xml:space="preserve">ניתן </w:t>
      </w:r>
      <w:bookmarkStart w:id="31620" w:name="_ETM_Q56_569950"/>
      <w:bookmarkEnd w:id="31620"/>
      <w:r>
        <w:rPr>
          <w:rFonts w:hint="cs"/>
          <w:rtl/>
        </w:rPr>
        <w:t xml:space="preserve">לבקר </w:t>
      </w:r>
      <w:bookmarkStart w:id="31621" w:name="_ETM_Q56_570459"/>
      <w:bookmarkEnd w:id="31621"/>
      <w:r>
        <w:rPr>
          <w:rFonts w:hint="cs"/>
          <w:rtl/>
        </w:rPr>
        <w:t xml:space="preserve">את </w:t>
      </w:r>
      <w:bookmarkStart w:id="31622" w:name="_ETM_Q56_570639"/>
      <w:bookmarkEnd w:id="31622"/>
      <w:r>
        <w:rPr>
          <w:rFonts w:hint="cs"/>
          <w:rtl/>
        </w:rPr>
        <w:t xml:space="preserve">ההחלטה </w:t>
      </w:r>
      <w:bookmarkStart w:id="31623" w:name="_ETM_Q56_571209"/>
      <w:bookmarkEnd w:id="31623"/>
      <w:r>
        <w:rPr>
          <w:rFonts w:hint="cs"/>
          <w:rtl/>
        </w:rPr>
        <w:t xml:space="preserve">על </w:t>
      </w:r>
      <w:bookmarkStart w:id="31624" w:name="_ETM_Q56_571299"/>
      <w:bookmarkEnd w:id="31624"/>
      <w:r>
        <w:rPr>
          <w:rFonts w:hint="cs"/>
          <w:rtl/>
        </w:rPr>
        <w:t xml:space="preserve">בסיס </w:t>
      </w:r>
      <w:bookmarkStart w:id="31625" w:name="_ETM_Q56_571600"/>
      <w:bookmarkEnd w:id="31625"/>
      <w:r>
        <w:rPr>
          <w:rFonts w:hint="cs"/>
          <w:rtl/>
        </w:rPr>
        <w:t xml:space="preserve">עילת </w:t>
      </w:r>
      <w:bookmarkStart w:id="31626" w:name="_ETM_Q56_571839"/>
      <w:bookmarkEnd w:id="31626"/>
      <w:r>
        <w:rPr>
          <w:rFonts w:hint="cs"/>
          <w:rtl/>
        </w:rPr>
        <w:t>הסבירות,</w:t>
      </w:r>
      <w:bookmarkStart w:id="31627" w:name="_ETM_Q56_572608"/>
      <w:bookmarkEnd w:id="31627"/>
      <w:r>
        <w:rPr>
          <w:rFonts w:hint="cs"/>
          <w:rtl/>
        </w:rPr>
        <w:t xml:space="preserve"> </w:t>
      </w:r>
      <w:bookmarkStart w:id="31628" w:name="_ETM_Q56_572319"/>
      <w:bookmarkEnd w:id="31628"/>
      <w:r>
        <w:rPr>
          <w:rFonts w:hint="cs"/>
          <w:rtl/>
        </w:rPr>
        <w:t xml:space="preserve">אבל </w:t>
      </w:r>
      <w:bookmarkStart w:id="31629" w:name="_ETM_Q56_572560"/>
      <w:bookmarkEnd w:id="31629"/>
      <w:r>
        <w:rPr>
          <w:rFonts w:hint="cs"/>
          <w:rtl/>
        </w:rPr>
        <w:t xml:space="preserve">אם </w:t>
      </w:r>
      <w:bookmarkStart w:id="31630" w:name="_ETM_Q56_573039"/>
      <w:bookmarkEnd w:id="31630"/>
      <w:r>
        <w:rPr>
          <w:rFonts w:hint="cs"/>
          <w:rtl/>
        </w:rPr>
        <w:t xml:space="preserve">מקבל </w:t>
      </w:r>
      <w:bookmarkStart w:id="31631" w:name="_ETM_Q56_573490"/>
      <w:bookmarkEnd w:id="31631"/>
      <w:r>
        <w:rPr>
          <w:rFonts w:hint="cs"/>
          <w:rtl/>
        </w:rPr>
        <w:t xml:space="preserve">ההחלטה </w:t>
      </w:r>
      <w:bookmarkStart w:id="31632" w:name="_ETM_Q56_575580"/>
      <w:bookmarkEnd w:id="31632"/>
      <w:r>
        <w:rPr>
          <w:rFonts w:hint="cs"/>
          <w:rtl/>
        </w:rPr>
        <w:t xml:space="preserve">הוא </w:t>
      </w:r>
      <w:bookmarkStart w:id="31633" w:name="_ETM_Q56_575700"/>
      <w:bookmarkEnd w:id="31633"/>
      <w:r>
        <w:rPr>
          <w:rFonts w:hint="cs"/>
          <w:rtl/>
        </w:rPr>
        <w:t xml:space="preserve">מנכ"ל </w:t>
      </w:r>
      <w:bookmarkStart w:id="31634" w:name="_ETM_Q56_576089"/>
      <w:bookmarkEnd w:id="31634"/>
      <w:r>
        <w:rPr>
          <w:rFonts w:hint="cs"/>
          <w:rtl/>
        </w:rPr>
        <w:t>משרדי</w:t>
      </w:r>
      <w:bookmarkStart w:id="31635" w:name="_ETM_Q56_575178"/>
      <w:bookmarkEnd w:id="31635"/>
      <w:r>
        <w:rPr>
          <w:rFonts w:hint="cs"/>
          <w:rtl/>
        </w:rPr>
        <w:t xml:space="preserve"> </w:t>
      </w:r>
      <w:bookmarkStart w:id="31636" w:name="_ETM_Q56_576510"/>
      <w:bookmarkEnd w:id="31636"/>
      <w:r>
        <w:rPr>
          <w:rFonts w:hint="cs"/>
          <w:rtl/>
        </w:rPr>
        <w:t xml:space="preserve">אז </w:t>
      </w:r>
      <w:bookmarkStart w:id="31637" w:name="_ETM_Q56_576690"/>
      <w:bookmarkEnd w:id="31637"/>
      <w:r>
        <w:rPr>
          <w:rFonts w:hint="cs"/>
          <w:rtl/>
        </w:rPr>
        <w:t xml:space="preserve">כן </w:t>
      </w:r>
      <w:bookmarkStart w:id="31638" w:name="_ETM_Q56_576960"/>
      <w:bookmarkEnd w:id="31638"/>
      <w:r>
        <w:rPr>
          <w:rFonts w:hint="cs"/>
          <w:rtl/>
        </w:rPr>
        <w:t xml:space="preserve">ניתן? </w:t>
      </w:r>
      <w:bookmarkStart w:id="31639" w:name="_ETM_Q56_577619"/>
      <w:bookmarkEnd w:id="31639"/>
      <w:r>
        <w:rPr>
          <w:rFonts w:hint="cs"/>
          <w:rtl/>
        </w:rPr>
        <w:t xml:space="preserve">זו אותה </w:t>
      </w:r>
      <w:bookmarkStart w:id="31640" w:name="_ETM_Q56_577830"/>
      <w:bookmarkEnd w:id="31640"/>
      <w:r>
        <w:rPr>
          <w:rFonts w:hint="cs"/>
          <w:rtl/>
        </w:rPr>
        <w:t xml:space="preserve">החלטה </w:t>
      </w:r>
      <w:bookmarkStart w:id="31641" w:name="_ETM_Q56_578220"/>
      <w:bookmarkEnd w:id="31641"/>
      <w:r>
        <w:rPr>
          <w:rFonts w:hint="cs"/>
          <w:rtl/>
        </w:rPr>
        <w:t>עצמה.</w:t>
      </w:r>
      <w:bookmarkStart w:id="31642" w:name="_ETM_Q56_580189"/>
      <w:bookmarkEnd w:id="31642"/>
      <w:r>
        <w:rPr>
          <w:rFonts w:hint="cs"/>
          <w:rtl/>
        </w:rPr>
        <w:t xml:space="preserve"> </w:t>
      </w:r>
      <w:bookmarkStart w:id="31643" w:name="_ETM_Q56_577008"/>
      <w:bookmarkEnd w:id="31643"/>
      <w:r>
        <w:rPr>
          <w:rFonts w:hint="cs"/>
          <w:rtl/>
        </w:rPr>
        <w:t xml:space="preserve">יש </w:t>
      </w:r>
      <w:bookmarkStart w:id="31644" w:name="_ETM_Q56_580490"/>
      <w:bookmarkEnd w:id="31644"/>
      <w:r>
        <w:rPr>
          <w:rFonts w:hint="cs"/>
          <w:rtl/>
        </w:rPr>
        <w:t xml:space="preserve">נושאים </w:t>
      </w:r>
      <w:bookmarkStart w:id="31645" w:name="_ETM_Q56_580909"/>
      <w:bookmarkEnd w:id="31645"/>
      <w:r>
        <w:rPr>
          <w:rFonts w:hint="cs"/>
          <w:rtl/>
        </w:rPr>
        <w:t>שונים.</w:t>
      </w:r>
      <w:bookmarkStart w:id="31646" w:name="_ETM_Q56_582159"/>
      <w:bookmarkEnd w:id="31646"/>
    </w:p>
    <w:p w:rsidR="00BB59CD" w:rsidRDefault="00BB59CD" w:rsidP="00BB59CD">
      <w:pPr>
        <w:rPr>
          <w:rtl/>
        </w:rPr>
      </w:pPr>
    </w:p>
    <w:p w:rsidR="00BB59CD" w:rsidRDefault="00BB59CD" w:rsidP="00035376">
      <w:pPr>
        <w:rPr>
          <w:rtl/>
        </w:rPr>
      </w:pPr>
      <w:r>
        <w:rPr>
          <w:rFonts w:hint="cs"/>
          <w:rtl/>
        </w:rPr>
        <w:t xml:space="preserve">אז </w:t>
      </w:r>
      <w:bookmarkStart w:id="31647" w:name="_ETM_Q56_582339"/>
      <w:bookmarkEnd w:id="31647"/>
      <w:r>
        <w:rPr>
          <w:rFonts w:hint="cs"/>
          <w:rtl/>
        </w:rPr>
        <w:t>למשל,</w:t>
      </w:r>
      <w:bookmarkStart w:id="31648" w:name="_ETM_Q56_580397"/>
      <w:bookmarkEnd w:id="31648"/>
      <w:r>
        <w:rPr>
          <w:rFonts w:hint="cs"/>
          <w:rtl/>
        </w:rPr>
        <w:t xml:space="preserve"> </w:t>
      </w:r>
      <w:bookmarkStart w:id="31649" w:name="_ETM_Q56_583880"/>
      <w:bookmarkEnd w:id="31649"/>
      <w:r>
        <w:rPr>
          <w:rFonts w:hint="cs"/>
          <w:rtl/>
        </w:rPr>
        <w:t xml:space="preserve">כשיש </w:t>
      </w:r>
      <w:bookmarkStart w:id="31650" w:name="_ETM_Q56_584179"/>
      <w:bookmarkEnd w:id="31650"/>
      <w:r>
        <w:rPr>
          <w:rFonts w:hint="cs"/>
          <w:rtl/>
        </w:rPr>
        <w:t xml:space="preserve">החלטות </w:t>
      </w:r>
      <w:bookmarkStart w:id="31651" w:name="_ETM_Q56_584630"/>
      <w:bookmarkEnd w:id="31651"/>
      <w:r>
        <w:rPr>
          <w:rFonts w:hint="cs"/>
          <w:rtl/>
        </w:rPr>
        <w:t>מדיניוּ</w:t>
      </w:r>
      <w:bookmarkStart w:id="31652" w:name="_ETM_Q56_581297"/>
      <w:bookmarkEnd w:id="31652"/>
      <w:r>
        <w:rPr>
          <w:rFonts w:hint="cs"/>
          <w:rtl/>
        </w:rPr>
        <w:t xml:space="preserve">ת </w:t>
      </w:r>
      <w:bookmarkStart w:id="31653" w:name="_ETM_Q56_585079"/>
      <w:bookmarkEnd w:id="31653"/>
      <w:r>
        <w:rPr>
          <w:rFonts w:hint="cs"/>
          <w:rtl/>
        </w:rPr>
        <w:t xml:space="preserve">של </w:t>
      </w:r>
      <w:bookmarkStart w:id="31654" w:name="_ETM_Q56_585259"/>
      <w:bookmarkEnd w:id="31654"/>
      <w:r>
        <w:rPr>
          <w:rFonts w:hint="cs"/>
          <w:rtl/>
        </w:rPr>
        <w:t>הממשלה</w:t>
      </w:r>
      <w:bookmarkStart w:id="31655" w:name="_ETM_Q56_584027"/>
      <w:bookmarkEnd w:id="31655"/>
      <w:r>
        <w:rPr>
          <w:rFonts w:hint="cs"/>
          <w:rtl/>
        </w:rPr>
        <w:t xml:space="preserve"> </w:t>
      </w:r>
      <w:bookmarkStart w:id="31656" w:name="_ETM_Q56_586099"/>
      <w:bookmarkEnd w:id="31656"/>
      <w:r>
        <w:rPr>
          <w:rFonts w:hint="cs"/>
          <w:rtl/>
        </w:rPr>
        <w:t xml:space="preserve">יש </w:t>
      </w:r>
      <w:bookmarkStart w:id="31657" w:name="_ETM_Q56_586339"/>
      <w:bookmarkEnd w:id="31657"/>
      <w:r>
        <w:rPr>
          <w:rFonts w:hint="cs"/>
          <w:rtl/>
        </w:rPr>
        <w:t xml:space="preserve">טעם </w:t>
      </w:r>
      <w:bookmarkStart w:id="31658" w:name="_ETM_Q56_586549"/>
      <w:bookmarkEnd w:id="31658"/>
      <w:r>
        <w:rPr>
          <w:rFonts w:hint="cs"/>
          <w:rtl/>
        </w:rPr>
        <w:t xml:space="preserve">חזק </w:t>
      </w:r>
      <w:bookmarkStart w:id="31659" w:name="_ETM_Q56_586969"/>
      <w:bookmarkEnd w:id="31659"/>
      <w:r>
        <w:rPr>
          <w:rFonts w:hint="cs"/>
          <w:rtl/>
        </w:rPr>
        <w:t xml:space="preserve">לבוא </w:t>
      </w:r>
      <w:bookmarkStart w:id="31660" w:name="_ETM_Q56_587240"/>
      <w:bookmarkEnd w:id="31660"/>
      <w:r>
        <w:rPr>
          <w:rFonts w:hint="cs"/>
          <w:rtl/>
        </w:rPr>
        <w:t xml:space="preserve">מול </w:t>
      </w:r>
      <w:bookmarkStart w:id="31661" w:name="_ETM_Q56_587389"/>
      <w:bookmarkEnd w:id="31661"/>
      <w:r>
        <w:rPr>
          <w:rFonts w:hint="cs"/>
          <w:rtl/>
        </w:rPr>
        <w:t xml:space="preserve">בית </w:t>
      </w:r>
      <w:bookmarkStart w:id="31662" w:name="_ETM_Q56_587599"/>
      <w:bookmarkEnd w:id="31662"/>
      <w:r>
        <w:rPr>
          <w:rFonts w:hint="cs"/>
          <w:rtl/>
        </w:rPr>
        <w:t xml:space="preserve">המשפט </w:t>
      </w:r>
      <w:bookmarkStart w:id="31663" w:name="_ETM_Q56_587990"/>
      <w:bookmarkEnd w:id="31663"/>
      <w:r>
        <w:rPr>
          <w:rFonts w:hint="cs"/>
          <w:rtl/>
        </w:rPr>
        <w:t xml:space="preserve">ולהגיד: </w:t>
      </w:r>
      <w:bookmarkStart w:id="31664" w:name="_ETM_Q56_588970"/>
      <w:bookmarkEnd w:id="31664"/>
      <w:r>
        <w:rPr>
          <w:rFonts w:hint="cs"/>
          <w:rtl/>
        </w:rPr>
        <w:t xml:space="preserve">בעניין </w:t>
      </w:r>
      <w:bookmarkStart w:id="31665" w:name="_ETM_Q56_589570"/>
      <w:bookmarkEnd w:id="31665"/>
      <w:r>
        <w:rPr>
          <w:rFonts w:hint="cs"/>
          <w:rtl/>
        </w:rPr>
        <w:t xml:space="preserve">הזה </w:t>
      </w:r>
      <w:bookmarkStart w:id="31666" w:name="_ETM_Q56_591339"/>
      <w:bookmarkEnd w:id="31666"/>
      <w:r>
        <w:rPr>
          <w:rFonts w:hint="cs"/>
          <w:rtl/>
        </w:rPr>
        <w:t xml:space="preserve">אין </w:t>
      </w:r>
      <w:bookmarkStart w:id="31667" w:name="_ETM_Q56_591520"/>
      <w:bookmarkEnd w:id="31667"/>
      <w:r>
        <w:rPr>
          <w:rFonts w:hint="cs"/>
          <w:rtl/>
        </w:rPr>
        <w:t xml:space="preserve">לך </w:t>
      </w:r>
      <w:bookmarkStart w:id="31668" w:name="_ETM_Q56_591729"/>
      <w:bookmarkEnd w:id="31668"/>
      <w:r>
        <w:rPr>
          <w:rFonts w:hint="cs"/>
          <w:rtl/>
        </w:rPr>
        <w:t xml:space="preserve">יתרון </w:t>
      </w:r>
      <w:bookmarkStart w:id="31669" w:name="_ETM_Q56_592149"/>
      <w:bookmarkEnd w:id="31669"/>
      <w:r>
        <w:rPr>
          <w:rFonts w:hint="cs"/>
          <w:rtl/>
        </w:rPr>
        <w:t xml:space="preserve">על </w:t>
      </w:r>
      <w:bookmarkStart w:id="31670" w:name="_ETM_Q56_592270"/>
      <w:bookmarkEnd w:id="31670"/>
      <w:r>
        <w:rPr>
          <w:rFonts w:hint="cs"/>
          <w:rtl/>
        </w:rPr>
        <w:t>הממשלה</w:t>
      </w:r>
      <w:bookmarkStart w:id="31671" w:name="_ETM_Q56_590247"/>
      <w:bookmarkStart w:id="31672" w:name="_ETM_Q56_587437"/>
      <w:bookmarkStart w:id="31673" w:name="_ETM_Q56_582637"/>
      <w:bookmarkStart w:id="31674" w:name="_ETM_Q56_594670"/>
      <w:bookmarkStart w:id="31675" w:name="_ETM_Q56_594970"/>
      <w:bookmarkStart w:id="31676" w:name="_ETM_Q56_595029"/>
      <w:bookmarkEnd w:id="31671"/>
      <w:bookmarkEnd w:id="31672"/>
      <w:bookmarkEnd w:id="31673"/>
      <w:bookmarkEnd w:id="31674"/>
      <w:bookmarkEnd w:id="31675"/>
      <w:bookmarkEnd w:id="31676"/>
      <w:r>
        <w:rPr>
          <w:rFonts w:hint="cs"/>
          <w:rtl/>
        </w:rPr>
        <w:t xml:space="preserve"> כי בית</w:t>
      </w:r>
      <w:bookmarkStart w:id="31677" w:name="_ETM_Q56_602733"/>
      <w:bookmarkEnd w:id="31677"/>
      <w:r>
        <w:rPr>
          <w:rFonts w:hint="cs"/>
          <w:rtl/>
        </w:rPr>
        <w:t xml:space="preserve"> המשפט </w:t>
      </w:r>
      <w:bookmarkStart w:id="31678" w:name="_ETM_Q56_596509"/>
      <w:bookmarkEnd w:id="31678"/>
      <w:r>
        <w:rPr>
          <w:rFonts w:hint="cs"/>
          <w:rtl/>
        </w:rPr>
        <w:t xml:space="preserve">הוא </w:t>
      </w:r>
      <w:bookmarkStart w:id="31679" w:name="_ETM_Q56_596749"/>
      <w:bookmarkEnd w:id="31679"/>
      <w:r>
        <w:rPr>
          <w:rFonts w:hint="cs"/>
          <w:rtl/>
        </w:rPr>
        <w:t xml:space="preserve">לא </w:t>
      </w:r>
      <w:bookmarkStart w:id="31680" w:name="_ETM_Q56_597870"/>
      <w:bookmarkEnd w:id="31680"/>
      <w:r>
        <w:rPr>
          <w:rFonts w:hint="cs"/>
          <w:rtl/>
        </w:rPr>
        <w:t>זה ש</w:t>
      </w:r>
      <w:bookmarkStart w:id="31681" w:name="_ETM_Q56_602887"/>
      <w:bookmarkEnd w:id="31681"/>
      <w:r>
        <w:rPr>
          <w:rFonts w:hint="cs"/>
          <w:rtl/>
        </w:rPr>
        <w:t xml:space="preserve">רגיל </w:t>
      </w:r>
      <w:bookmarkStart w:id="31682" w:name="_ETM_Q56_600069"/>
      <w:bookmarkEnd w:id="31682"/>
      <w:r>
        <w:rPr>
          <w:rFonts w:hint="cs"/>
          <w:rtl/>
        </w:rPr>
        <w:t xml:space="preserve">לעשות </w:t>
      </w:r>
      <w:bookmarkStart w:id="31683" w:name="_ETM_Q56_600579"/>
      <w:bookmarkEnd w:id="31683"/>
      <w:r>
        <w:rPr>
          <w:rFonts w:hint="cs"/>
          <w:rtl/>
        </w:rPr>
        <w:t xml:space="preserve">את </w:t>
      </w:r>
      <w:bookmarkStart w:id="31684" w:name="_ETM_Q56_600729"/>
      <w:bookmarkEnd w:id="31684"/>
      <w:r>
        <w:rPr>
          <w:rFonts w:hint="cs"/>
          <w:rtl/>
        </w:rPr>
        <w:t xml:space="preserve">העבודה </w:t>
      </w:r>
      <w:bookmarkStart w:id="31685" w:name="_ETM_Q56_601119"/>
      <w:bookmarkEnd w:id="31685"/>
      <w:r>
        <w:rPr>
          <w:rFonts w:hint="cs"/>
          <w:rtl/>
        </w:rPr>
        <w:t xml:space="preserve">הזאת. </w:t>
      </w:r>
      <w:bookmarkStart w:id="31686" w:name="_ETM_Q56_605350"/>
      <w:bookmarkEnd w:id="31686"/>
      <w:r>
        <w:rPr>
          <w:rFonts w:hint="cs"/>
          <w:rtl/>
        </w:rPr>
        <w:t xml:space="preserve">אבל </w:t>
      </w:r>
      <w:bookmarkStart w:id="31687" w:name="_ETM_Q56_605650"/>
      <w:bookmarkEnd w:id="31687"/>
      <w:r>
        <w:rPr>
          <w:rFonts w:hint="cs"/>
          <w:rtl/>
        </w:rPr>
        <w:t xml:space="preserve">האם </w:t>
      </w:r>
      <w:bookmarkStart w:id="31688" w:name="_ETM_Q56_605830"/>
      <w:bookmarkEnd w:id="31688"/>
      <w:r>
        <w:rPr>
          <w:rFonts w:hint="cs"/>
          <w:rtl/>
        </w:rPr>
        <w:t xml:space="preserve">נכון </w:t>
      </w:r>
      <w:bookmarkStart w:id="31689" w:name="_ETM_Q56_606159"/>
      <w:bookmarkStart w:id="31690" w:name="_ETM_Q56_604227"/>
      <w:bookmarkEnd w:id="31689"/>
      <w:bookmarkEnd w:id="31690"/>
      <w:r>
        <w:rPr>
          <w:rFonts w:hint="cs"/>
          <w:rtl/>
        </w:rPr>
        <w:t xml:space="preserve">לומר </w:t>
      </w:r>
      <w:bookmarkStart w:id="31691" w:name="_ETM_Q56_606490"/>
      <w:bookmarkEnd w:id="31691"/>
      <w:r>
        <w:rPr>
          <w:rFonts w:hint="cs"/>
          <w:rtl/>
        </w:rPr>
        <w:t xml:space="preserve">אותו </w:t>
      </w:r>
      <w:bookmarkStart w:id="31692" w:name="_ETM_Q56_606700"/>
      <w:bookmarkEnd w:id="31692"/>
      <w:r>
        <w:rPr>
          <w:rFonts w:hint="cs"/>
          <w:rtl/>
        </w:rPr>
        <w:t xml:space="preserve">דבר </w:t>
      </w:r>
      <w:bookmarkStart w:id="31693" w:name="_ETM_Q56_607000"/>
      <w:bookmarkEnd w:id="31693"/>
      <w:r>
        <w:rPr>
          <w:rFonts w:hint="cs"/>
          <w:rtl/>
        </w:rPr>
        <w:t xml:space="preserve">על </w:t>
      </w:r>
      <w:bookmarkStart w:id="31694" w:name="_ETM_Q56_607119"/>
      <w:bookmarkEnd w:id="31694"/>
      <w:r>
        <w:rPr>
          <w:rFonts w:hint="cs"/>
          <w:rtl/>
        </w:rPr>
        <w:t xml:space="preserve">מינויים? </w:t>
      </w:r>
      <w:bookmarkStart w:id="31695" w:name="_ETM_Q56_607970"/>
      <w:bookmarkEnd w:id="31695"/>
      <w:r>
        <w:rPr>
          <w:rFonts w:hint="cs"/>
          <w:rtl/>
        </w:rPr>
        <w:t xml:space="preserve">האם </w:t>
      </w:r>
      <w:bookmarkStart w:id="31696" w:name="_ETM_Q56_608180"/>
      <w:bookmarkEnd w:id="31696"/>
      <w:r>
        <w:rPr>
          <w:rFonts w:hint="cs"/>
          <w:rtl/>
        </w:rPr>
        <w:t xml:space="preserve">נכון </w:t>
      </w:r>
      <w:bookmarkStart w:id="31697" w:name="_ETM_Q56_608510"/>
      <w:bookmarkEnd w:id="31697"/>
      <w:r>
        <w:rPr>
          <w:rFonts w:hint="cs"/>
          <w:rtl/>
        </w:rPr>
        <w:t xml:space="preserve">לומר </w:t>
      </w:r>
      <w:bookmarkStart w:id="31698" w:name="_ETM_Q56_608779"/>
      <w:bookmarkEnd w:id="31698"/>
      <w:r>
        <w:rPr>
          <w:rFonts w:hint="cs"/>
          <w:rtl/>
        </w:rPr>
        <w:t xml:space="preserve">אותו </w:t>
      </w:r>
      <w:bookmarkStart w:id="31699" w:name="_ETM_Q56_609020"/>
      <w:bookmarkEnd w:id="31699"/>
      <w:r>
        <w:rPr>
          <w:rFonts w:hint="cs"/>
          <w:rtl/>
        </w:rPr>
        <w:t xml:space="preserve">דבר </w:t>
      </w:r>
      <w:bookmarkStart w:id="31700" w:name="_ETM_Q56_609560"/>
      <w:bookmarkEnd w:id="31700"/>
      <w:r>
        <w:rPr>
          <w:rFonts w:hint="cs"/>
          <w:rtl/>
        </w:rPr>
        <w:t xml:space="preserve">על </w:t>
      </w:r>
      <w:bookmarkStart w:id="31701" w:name="_ETM_Q56_610070"/>
      <w:bookmarkEnd w:id="31701"/>
      <w:r>
        <w:rPr>
          <w:rFonts w:hint="cs"/>
          <w:rtl/>
        </w:rPr>
        <w:t xml:space="preserve">דברים </w:t>
      </w:r>
      <w:bookmarkStart w:id="31702" w:name="_ETM_Q56_610550"/>
      <w:bookmarkEnd w:id="31702"/>
      <w:r>
        <w:rPr>
          <w:rFonts w:hint="cs"/>
          <w:rtl/>
        </w:rPr>
        <w:t xml:space="preserve">שנוגעים </w:t>
      </w:r>
      <w:bookmarkStart w:id="31703" w:name="_ETM_Q56_610970"/>
      <w:bookmarkEnd w:id="31703"/>
      <w:r>
        <w:rPr>
          <w:rFonts w:hint="cs"/>
          <w:rtl/>
        </w:rPr>
        <w:t xml:space="preserve">ממש </w:t>
      </w:r>
      <w:bookmarkStart w:id="31704" w:name="_ETM_Q56_611270"/>
      <w:bookmarkEnd w:id="31704"/>
      <w:r>
        <w:rPr>
          <w:rFonts w:hint="cs"/>
          <w:rtl/>
        </w:rPr>
        <w:t xml:space="preserve">לזכויות </w:t>
      </w:r>
      <w:bookmarkStart w:id="31705" w:name="_ETM_Q56_611810"/>
      <w:bookmarkEnd w:id="31705"/>
      <w:r>
        <w:rPr>
          <w:rFonts w:hint="cs"/>
          <w:rtl/>
        </w:rPr>
        <w:t xml:space="preserve">הפרט? </w:t>
      </w:r>
      <w:bookmarkStart w:id="31706" w:name="_ETM_Q56_612200"/>
      <w:bookmarkEnd w:id="31706"/>
      <w:r>
        <w:rPr>
          <w:rFonts w:hint="cs"/>
          <w:rtl/>
        </w:rPr>
        <w:t xml:space="preserve">אתה </w:t>
      </w:r>
      <w:bookmarkStart w:id="31707" w:name="_ETM_Q56_612440"/>
      <w:bookmarkEnd w:id="31707"/>
      <w:r>
        <w:rPr>
          <w:rFonts w:hint="cs"/>
          <w:rtl/>
        </w:rPr>
        <w:t xml:space="preserve">היית </w:t>
      </w:r>
      <w:bookmarkStart w:id="31708" w:name="_ETM_Q56_613220"/>
      <w:bookmarkEnd w:id="31708"/>
      <w:r>
        <w:rPr>
          <w:rFonts w:hint="cs"/>
          <w:rtl/>
        </w:rPr>
        <w:t xml:space="preserve">שר </w:t>
      </w:r>
      <w:bookmarkStart w:id="31709" w:name="_ETM_Q56_613520"/>
      <w:bookmarkEnd w:id="31709"/>
      <w:r>
        <w:rPr>
          <w:rFonts w:hint="cs"/>
          <w:rtl/>
        </w:rPr>
        <w:t>המשפטים,</w:t>
      </w:r>
      <w:bookmarkStart w:id="31710" w:name="_ETM_Q56_613076"/>
      <w:bookmarkEnd w:id="31710"/>
      <w:r>
        <w:rPr>
          <w:rFonts w:hint="cs"/>
          <w:rtl/>
        </w:rPr>
        <w:t xml:space="preserve"> </w:t>
      </w:r>
      <w:bookmarkStart w:id="31711" w:name="_ETM_Q56_614030"/>
      <w:bookmarkEnd w:id="31711"/>
      <w:r>
        <w:rPr>
          <w:rFonts w:hint="cs"/>
          <w:rtl/>
        </w:rPr>
        <w:t xml:space="preserve">קיבלת </w:t>
      </w:r>
      <w:bookmarkStart w:id="31712" w:name="_ETM_Q56_614480"/>
      <w:bookmarkEnd w:id="31712"/>
      <w:r>
        <w:rPr>
          <w:rFonts w:hint="cs"/>
          <w:rtl/>
        </w:rPr>
        <w:t xml:space="preserve">החלטות </w:t>
      </w:r>
      <w:bookmarkStart w:id="31713" w:name="_ETM_Q56_615450"/>
      <w:bookmarkEnd w:id="31713"/>
      <w:r>
        <w:rPr>
          <w:rFonts w:hint="cs"/>
          <w:rtl/>
        </w:rPr>
        <w:t xml:space="preserve">להסגיר </w:t>
      </w:r>
      <w:bookmarkStart w:id="31714" w:name="_ETM_Q56_616140"/>
      <w:bookmarkEnd w:id="31714"/>
      <w:r>
        <w:rPr>
          <w:rFonts w:hint="cs"/>
          <w:rtl/>
        </w:rPr>
        <w:t xml:space="preserve">או </w:t>
      </w:r>
      <w:bookmarkStart w:id="31715" w:name="_ETM_Q56_616200"/>
      <w:bookmarkEnd w:id="31715"/>
      <w:r>
        <w:rPr>
          <w:rFonts w:hint="cs"/>
          <w:rtl/>
        </w:rPr>
        <w:t xml:space="preserve">לא </w:t>
      </w:r>
      <w:bookmarkStart w:id="31716" w:name="_ETM_Q56_616319"/>
      <w:bookmarkEnd w:id="31716"/>
      <w:r>
        <w:rPr>
          <w:rFonts w:hint="cs"/>
          <w:rtl/>
        </w:rPr>
        <w:t xml:space="preserve">להסגיר </w:t>
      </w:r>
      <w:bookmarkStart w:id="31717" w:name="_ETM_Q56_616769"/>
      <w:bookmarkEnd w:id="31717"/>
      <w:r>
        <w:rPr>
          <w:rFonts w:hint="cs"/>
          <w:rtl/>
        </w:rPr>
        <w:t xml:space="preserve">פלוני </w:t>
      </w:r>
      <w:bookmarkStart w:id="31718" w:name="_ETM_Q56_617220"/>
      <w:bookmarkEnd w:id="31718"/>
      <w:r>
        <w:rPr>
          <w:rFonts w:hint="cs"/>
          <w:rtl/>
        </w:rPr>
        <w:t xml:space="preserve">למדינה </w:t>
      </w:r>
      <w:bookmarkStart w:id="31719" w:name="_ETM_Q56_617580"/>
      <w:bookmarkEnd w:id="31719"/>
      <w:r>
        <w:rPr>
          <w:rFonts w:hint="cs"/>
          <w:rtl/>
        </w:rPr>
        <w:t xml:space="preserve">שמבקשת </w:t>
      </w:r>
      <w:bookmarkStart w:id="31720" w:name="_ETM_Q56_618150"/>
      <w:bookmarkEnd w:id="31720"/>
      <w:r>
        <w:rPr>
          <w:rFonts w:hint="cs"/>
          <w:rtl/>
        </w:rPr>
        <w:t xml:space="preserve">אותו, </w:t>
      </w:r>
      <w:bookmarkStart w:id="31721" w:name="_ETM_Q56_618780"/>
      <w:bookmarkEnd w:id="31721"/>
      <w:r>
        <w:rPr>
          <w:rFonts w:hint="cs"/>
          <w:rtl/>
        </w:rPr>
        <w:t xml:space="preserve">להמליץ </w:t>
      </w:r>
      <w:bookmarkStart w:id="31722" w:name="_ETM_Q56_619409"/>
      <w:bookmarkEnd w:id="31722"/>
      <w:r>
        <w:rPr>
          <w:rFonts w:hint="cs"/>
          <w:rtl/>
        </w:rPr>
        <w:t xml:space="preserve">בפני </w:t>
      </w:r>
      <w:bookmarkStart w:id="31723" w:name="_ETM_Q56_619860"/>
      <w:bookmarkEnd w:id="31723"/>
      <w:r>
        <w:rPr>
          <w:rFonts w:hint="cs"/>
          <w:rtl/>
        </w:rPr>
        <w:t xml:space="preserve">נשיא </w:t>
      </w:r>
      <w:bookmarkStart w:id="31724" w:name="_ETM_Q56_620189"/>
      <w:bookmarkEnd w:id="31724"/>
      <w:r>
        <w:rPr>
          <w:rFonts w:hint="cs"/>
          <w:rtl/>
        </w:rPr>
        <w:t xml:space="preserve">המדינה </w:t>
      </w:r>
      <w:bookmarkStart w:id="31725" w:name="_ETM_Q56_621239"/>
      <w:bookmarkEnd w:id="31725"/>
      <w:r>
        <w:rPr>
          <w:rFonts w:hint="cs"/>
          <w:rtl/>
        </w:rPr>
        <w:t xml:space="preserve">לתת </w:t>
      </w:r>
      <w:bookmarkStart w:id="31726" w:name="_ETM_Q56_621599"/>
      <w:bookmarkEnd w:id="31726"/>
      <w:r>
        <w:rPr>
          <w:rFonts w:hint="cs"/>
          <w:rtl/>
        </w:rPr>
        <w:t xml:space="preserve">חנינה </w:t>
      </w:r>
      <w:bookmarkStart w:id="31727" w:name="_ETM_Q56_621989"/>
      <w:bookmarkEnd w:id="31727"/>
      <w:r>
        <w:rPr>
          <w:rFonts w:hint="cs"/>
          <w:rtl/>
        </w:rPr>
        <w:t xml:space="preserve">או </w:t>
      </w:r>
      <w:bookmarkStart w:id="31728" w:name="_ETM_Q56_622049"/>
      <w:bookmarkEnd w:id="31728"/>
      <w:r>
        <w:rPr>
          <w:rFonts w:hint="cs"/>
          <w:rtl/>
        </w:rPr>
        <w:t xml:space="preserve">לא </w:t>
      </w:r>
      <w:bookmarkStart w:id="31729" w:name="_ETM_Q56_622170"/>
      <w:bookmarkEnd w:id="31729"/>
      <w:r>
        <w:rPr>
          <w:rFonts w:hint="cs"/>
          <w:rtl/>
        </w:rPr>
        <w:t xml:space="preserve">לתת </w:t>
      </w:r>
      <w:bookmarkStart w:id="31730" w:name="_ETM_Q56_622500"/>
      <w:bookmarkEnd w:id="31730"/>
      <w:r>
        <w:rPr>
          <w:rFonts w:hint="cs"/>
          <w:rtl/>
        </w:rPr>
        <w:t xml:space="preserve">חנינה </w:t>
      </w:r>
      <w:bookmarkStart w:id="31731" w:name="_ETM_Q56_623310"/>
      <w:bookmarkEnd w:id="31731"/>
      <w:r>
        <w:rPr>
          <w:rFonts w:hint="cs"/>
          <w:rtl/>
        </w:rPr>
        <w:t xml:space="preserve">לאדם </w:t>
      </w:r>
      <w:bookmarkStart w:id="31732" w:name="_ETM_Q56_623640"/>
      <w:bookmarkEnd w:id="31732"/>
      <w:r>
        <w:rPr>
          <w:rFonts w:hint="cs"/>
          <w:rtl/>
        </w:rPr>
        <w:t xml:space="preserve">מסוים. </w:t>
      </w:r>
      <w:bookmarkStart w:id="31733" w:name="_ETM_Q56_623970"/>
      <w:bookmarkEnd w:id="31733"/>
      <w:r>
        <w:rPr>
          <w:rFonts w:hint="cs"/>
          <w:rtl/>
        </w:rPr>
        <w:t>אלה</w:t>
      </w:r>
      <w:bookmarkStart w:id="31734" w:name="_ETM_Q56_623036"/>
      <w:bookmarkEnd w:id="31734"/>
      <w:r>
        <w:rPr>
          <w:rFonts w:hint="cs"/>
          <w:rtl/>
        </w:rPr>
        <w:t xml:space="preserve"> </w:t>
      </w:r>
      <w:bookmarkStart w:id="31735" w:name="_ETM_Q56_624180"/>
      <w:bookmarkEnd w:id="31735"/>
      <w:r>
        <w:rPr>
          <w:rFonts w:hint="cs"/>
          <w:rtl/>
        </w:rPr>
        <w:t xml:space="preserve">ממש </w:t>
      </w:r>
      <w:bookmarkStart w:id="31736" w:name="_ETM_Q56_624480"/>
      <w:bookmarkEnd w:id="31736"/>
      <w:r>
        <w:rPr>
          <w:rFonts w:hint="cs"/>
          <w:rtl/>
        </w:rPr>
        <w:t xml:space="preserve">נושאים </w:t>
      </w:r>
      <w:bookmarkStart w:id="31737" w:name="_ETM_Q56_624780"/>
      <w:bookmarkEnd w:id="31737"/>
      <w:r>
        <w:rPr>
          <w:rFonts w:hint="cs"/>
          <w:rtl/>
        </w:rPr>
        <w:t xml:space="preserve">של </w:t>
      </w:r>
      <w:bookmarkStart w:id="31738" w:name="_ETM_Q56_624959"/>
      <w:bookmarkEnd w:id="31738"/>
      <w:r>
        <w:rPr>
          <w:rFonts w:hint="cs"/>
          <w:rtl/>
        </w:rPr>
        <w:t xml:space="preserve">זכויות </w:t>
      </w:r>
      <w:bookmarkStart w:id="31739" w:name="_ETM_Q56_625260"/>
      <w:bookmarkEnd w:id="31739"/>
      <w:r>
        <w:rPr>
          <w:rFonts w:hint="cs"/>
          <w:rtl/>
        </w:rPr>
        <w:t xml:space="preserve">הפרט. </w:t>
      </w:r>
      <w:bookmarkStart w:id="31740" w:name="_ETM_Q56_625829"/>
      <w:bookmarkStart w:id="31741" w:name="_ETM_Q56_626010"/>
      <w:bookmarkEnd w:id="31740"/>
      <w:bookmarkEnd w:id="31741"/>
      <w:r>
        <w:rPr>
          <w:rFonts w:hint="cs"/>
          <w:rtl/>
        </w:rPr>
        <w:t xml:space="preserve">מה </w:t>
      </w:r>
      <w:bookmarkStart w:id="31742" w:name="_ETM_Q56_626159"/>
      <w:bookmarkEnd w:id="31742"/>
      <w:r>
        <w:rPr>
          <w:rFonts w:hint="cs"/>
          <w:rtl/>
        </w:rPr>
        <w:t xml:space="preserve">הסיבה </w:t>
      </w:r>
      <w:bookmarkStart w:id="31743" w:name="_ETM_Q56_626519"/>
      <w:bookmarkEnd w:id="31743"/>
      <w:r>
        <w:rPr>
          <w:rFonts w:hint="cs"/>
          <w:rtl/>
        </w:rPr>
        <w:t xml:space="preserve">העניינית </w:t>
      </w:r>
      <w:bookmarkStart w:id="31744" w:name="_ETM_Q56_627300"/>
      <w:bookmarkEnd w:id="31744"/>
      <w:r>
        <w:rPr>
          <w:rFonts w:hint="cs"/>
          <w:rtl/>
        </w:rPr>
        <w:t xml:space="preserve">שהם </w:t>
      </w:r>
      <w:bookmarkStart w:id="31745" w:name="_ETM_Q56_627569"/>
      <w:bookmarkEnd w:id="31745"/>
      <w:r>
        <w:rPr>
          <w:rFonts w:hint="cs"/>
          <w:rtl/>
        </w:rPr>
        <w:t xml:space="preserve">יהיו </w:t>
      </w:r>
      <w:bookmarkStart w:id="31746" w:name="_ETM_Q56_629459"/>
      <w:bookmarkEnd w:id="31746"/>
      <w:r>
        <w:rPr>
          <w:rFonts w:hint="cs"/>
          <w:rtl/>
        </w:rPr>
        <w:t xml:space="preserve">חסינים </w:t>
      </w:r>
      <w:bookmarkStart w:id="31747" w:name="_ETM_Q56_630030"/>
      <w:bookmarkStart w:id="31748" w:name="_ETM_Q56_627547"/>
      <w:bookmarkEnd w:id="31747"/>
      <w:bookmarkEnd w:id="31748"/>
      <w:r>
        <w:rPr>
          <w:rFonts w:hint="cs"/>
          <w:rtl/>
        </w:rPr>
        <w:t xml:space="preserve">מביקורת </w:t>
      </w:r>
      <w:bookmarkStart w:id="31749" w:name="_ETM_Q56_630400"/>
      <w:bookmarkEnd w:id="31749"/>
      <w:r>
        <w:rPr>
          <w:rFonts w:hint="cs"/>
          <w:rtl/>
        </w:rPr>
        <w:t xml:space="preserve">שיפוטית </w:t>
      </w:r>
      <w:bookmarkStart w:id="31750" w:name="_ETM_Q56_631239"/>
      <w:bookmarkEnd w:id="31750"/>
      <w:r>
        <w:rPr>
          <w:rFonts w:hint="cs"/>
          <w:rtl/>
        </w:rPr>
        <w:t xml:space="preserve">בגין </w:t>
      </w:r>
      <w:bookmarkStart w:id="31751" w:name="_ETM_Q56_631569"/>
      <w:bookmarkEnd w:id="31751"/>
      <w:r>
        <w:rPr>
          <w:rFonts w:hint="cs"/>
          <w:rtl/>
        </w:rPr>
        <w:t xml:space="preserve">עילת </w:t>
      </w:r>
      <w:bookmarkStart w:id="31752" w:name="_ETM_Q56_631810"/>
      <w:bookmarkEnd w:id="31752"/>
      <w:r>
        <w:rPr>
          <w:rFonts w:hint="cs"/>
          <w:rtl/>
        </w:rPr>
        <w:t>הסבירות?</w:t>
      </w:r>
      <w:bookmarkStart w:id="31753" w:name="_ETM_Q56_630427"/>
      <w:bookmarkEnd w:id="31753"/>
      <w:r>
        <w:rPr>
          <w:rFonts w:hint="cs"/>
          <w:rtl/>
        </w:rPr>
        <w:t xml:space="preserve"> </w:t>
      </w:r>
      <w:bookmarkStart w:id="31754" w:name="_ETM_Q56_632230"/>
      <w:bookmarkEnd w:id="31754"/>
      <w:r>
        <w:rPr>
          <w:rFonts w:hint="cs"/>
          <w:rtl/>
        </w:rPr>
        <w:t xml:space="preserve">אני </w:t>
      </w:r>
      <w:bookmarkStart w:id="31755" w:name="_ETM_Q56_632349"/>
      <w:bookmarkEnd w:id="31755"/>
      <w:r>
        <w:rPr>
          <w:rFonts w:hint="cs"/>
          <w:rtl/>
        </w:rPr>
        <w:t xml:space="preserve">לא </w:t>
      </w:r>
      <w:bookmarkStart w:id="31756" w:name="_ETM_Q56_632409"/>
      <w:bookmarkEnd w:id="31756"/>
      <w:r>
        <w:rPr>
          <w:rFonts w:hint="cs"/>
          <w:rtl/>
        </w:rPr>
        <w:t xml:space="preserve">חושב </w:t>
      </w:r>
      <w:bookmarkStart w:id="31757" w:name="_ETM_Q56_632680"/>
      <w:bookmarkEnd w:id="31757"/>
      <w:r>
        <w:rPr>
          <w:rFonts w:hint="cs"/>
          <w:rtl/>
        </w:rPr>
        <w:t xml:space="preserve">שיש </w:t>
      </w:r>
      <w:bookmarkStart w:id="31758" w:name="_ETM_Q56_632860"/>
      <w:bookmarkEnd w:id="31758"/>
      <w:r>
        <w:rPr>
          <w:rFonts w:hint="cs"/>
          <w:rtl/>
        </w:rPr>
        <w:t xml:space="preserve">סיבה </w:t>
      </w:r>
      <w:bookmarkStart w:id="31759" w:name="_ETM_Q56_633159"/>
      <w:bookmarkEnd w:id="31759"/>
      <w:r>
        <w:rPr>
          <w:rFonts w:hint="cs"/>
          <w:rtl/>
        </w:rPr>
        <w:t>כזאת.</w:t>
      </w:r>
      <w:bookmarkStart w:id="31760" w:name="_ETM_Q56_636739"/>
      <w:bookmarkStart w:id="31761" w:name="_ETM_Q56_634625"/>
      <w:bookmarkStart w:id="31762" w:name="_ETM_Q56_634683"/>
      <w:bookmarkStart w:id="31763" w:name="_ETM_Q56_634768"/>
      <w:bookmarkStart w:id="31764" w:name="_ETM_Q56_634810"/>
      <w:bookmarkStart w:id="31765" w:name="_ETM_Q56_639070"/>
      <w:bookmarkEnd w:id="31760"/>
      <w:bookmarkEnd w:id="31761"/>
      <w:bookmarkEnd w:id="31762"/>
      <w:bookmarkEnd w:id="31763"/>
      <w:bookmarkEnd w:id="31764"/>
      <w:bookmarkEnd w:id="31765"/>
      <w:r w:rsidR="00035376">
        <w:rPr>
          <w:rFonts w:hint="cs"/>
          <w:rtl/>
        </w:rPr>
        <w:t xml:space="preserve"> </w:t>
      </w:r>
      <w:r>
        <w:rPr>
          <w:rFonts w:hint="cs"/>
          <w:rtl/>
        </w:rPr>
        <w:t xml:space="preserve">ובאמת, גם </w:t>
      </w:r>
      <w:bookmarkStart w:id="31766" w:name="_ETM_Q56_641280"/>
      <w:bookmarkEnd w:id="31766"/>
      <w:r>
        <w:rPr>
          <w:rFonts w:hint="cs"/>
          <w:rtl/>
        </w:rPr>
        <w:t xml:space="preserve">המשפטנים </w:t>
      </w:r>
      <w:bookmarkStart w:id="31767" w:name="_ETM_Q56_642030"/>
      <w:bookmarkEnd w:id="31767"/>
      <w:r>
        <w:rPr>
          <w:rFonts w:hint="cs"/>
          <w:rtl/>
        </w:rPr>
        <w:t xml:space="preserve">השמרנים, </w:t>
      </w:r>
      <w:bookmarkStart w:id="31768" w:name="_ETM_Q56_645410"/>
      <w:bookmarkEnd w:id="31768"/>
      <w:r>
        <w:rPr>
          <w:rFonts w:hint="cs"/>
          <w:rtl/>
        </w:rPr>
        <w:t xml:space="preserve">פרופ' </w:t>
      </w:r>
      <w:bookmarkStart w:id="31769" w:name="_ETM_Q56_645890"/>
      <w:bookmarkEnd w:id="31769"/>
      <w:r>
        <w:rPr>
          <w:rFonts w:hint="cs"/>
          <w:rtl/>
        </w:rPr>
        <w:t xml:space="preserve">יואב </w:t>
      </w:r>
      <w:bookmarkStart w:id="31770" w:name="_ETM_Q56_646220"/>
      <w:bookmarkEnd w:id="31770"/>
      <w:r>
        <w:rPr>
          <w:rFonts w:hint="cs"/>
          <w:rtl/>
        </w:rPr>
        <w:t xml:space="preserve">דותן </w:t>
      </w:r>
      <w:bookmarkStart w:id="31771" w:name="_ETM_Q56_646700"/>
      <w:bookmarkEnd w:id="31771"/>
      <w:r>
        <w:rPr>
          <w:rFonts w:hint="cs"/>
          <w:rtl/>
        </w:rPr>
        <w:t xml:space="preserve">ואחרים, </w:t>
      </w:r>
      <w:bookmarkStart w:id="31772" w:name="_ETM_Q56_648010"/>
      <w:bookmarkEnd w:id="31772"/>
      <w:r>
        <w:rPr>
          <w:rFonts w:hint="cs"/>
          <w:rtl/>
        </w:rPr>
        <w:t xml:space="preserve">שהביעו </w:t>
      </w:r>
      <w:bookmarkStart w:id="31773" w:name="_ETM_Q56_648609"/>
      <w:bookmarkEnd w:id="31773"/>
      <w:r>
        <w:rPr>
          <w:rFonts w:hint="cs"/>
          <w:rtl/>
        </w:rPr>
        <w:t xml:space="preserve">תמיכה </w:t>
      </w:r>
      <w:bookmarkStart w:id="31774" w:name="_ETM_Q56_649029"/>
      <w:bookmarkStart w:id="31775" w:name="_ETM_Q56_647768"/>
      <w:bookmarkStart w:id="31776" w:name="_ETM_Q56_649540"/>
      <w:bookmarkEnd w:id="31774"/>
      <w:bookmarkEnd w:id="31775"/>
      <w:bookmarkEnd w:id="31776"/>
      <w:r>
        <w:rPr>
          <w:rFonts w:hint="cs"/>
          <w:rtl/>
        </w:rPr>
        <w:t xml:space="preserve">בצמצום עילת </w:t>
      </w:r>
      <w:bookmarkStart w:id="31777" w:name="_ETM_Q56_649810"/>
      <w:bookmarkEnd w:id="31777"/>
      <w:r>
        <w:rPr>
          <w:rFonts w:hint="cs"/>
          <w:rtl/>
        </w:rPr>
        <w:t>הסבירות,</w:t>
      </w:r>
      <w:bookmarkStart w:id="31778" w:name="_ETM_Q56_649038"/>
      <w:bookmarkEnd w:id="31778"/>
      <w:r>
        <w:rPr>
          <w:rFonts w:hint="cs"/>
          <w:rtl/>
        </w:rPr>
        <w:t xml:space="preserve"> </w:t>
      </w:r>
      <w:bookmarkStart w:id="31779" w:name="_ETM_Q56_650900"/>
      <w:bookmarkEnd w:id="31779"/>
      <w:r>
        <w:rPr>
          <w:rFonts w:hint="cs"/>
          <w:rtl/>
        </w:rPr>
        <w:t xml:space="preserve">באו </w:t>
      </w:r>
      <w:bookmarkStart w:id="31780" w:name="_ETM_Q56_651260"/>
      <w:bookmarkEnd w:id="31780"/>
      <w:r>
        <w:rPr>
          <w:rFonts w:hint="cs"/>
          <w:rtl/>
        </w:rPr>
        <w:t xml:space="preserve">ואמרו: </w:t>
      </w:r>
      <w:bookmarkStart w:id="31781" w:name="_ETM_Q56_651620"/>
      <w:bookmarkEnd w:id="31781"/>
      <w:r>
        <w:rPr>
          <w:rFonts w:hint="cs"/>
          <w:rtl/>
        </w:rPr>
        <w:t xml:space="preserve">אנחנו </w:t>
      </w:r>
      <w:bookmarkStart w:id="31782" w:name="_ETM_Q56_651859"/>
      <w:bookmarkEnd w:id="31782"/>
      <w:r>
        <w:rPr>
          <w:rFonts w:hint="cs"/>
          <w:rtl/>
        </w:rPr>
        <w:t xml:space="preserve">לא </w:t>
      </w:r>
      <w:bookmarkStart w:id="31783" w:name="_ETM_Q56_651919"/>
      <w:bookmarkEnd w:id="31783"/>
      <w:r>
        <w:rPr>
          <w:rFonts w:hint="cs"/>
          <w:rtl/>
        </w:rPr>
        <w:t xml:space="preserve">יכולים </w:t>
      </w:r>
      <w:bookmarkStart w:id="31784" w:name="_ETM_Q56_652189"/>
      <w:bookmarkEnd w:id="31784"/>
      <w:r>
        <w:rPr>
          <w:rFonts w:hint="cs"/>
          <w:rtl/>
        </w:rPr>
        <w:t xml:space="preserve">לתמוך </w:t>
      </w:r>
      <w:bookmarkStart w:id="31785" w:name="_ETM_Q56_652519"/>
      <w:bookmarkEnd w:id="31785"/>
      <w:r>
        <w:rPr>
          <w:rFonts w:hint="cs"/>
          <w:rtl/>
        </w:rPr>
        <w:t xml:space="preserve">בנוסח </w:t>
      </w:r>
      <w:bookmarkStart w:id="31786" w:name="_ETM_Q56_653029"/>
      <w:bookmarkEnd w:id="31786"/>
      <w:r>
        <w:rPr>
          <w:rFonts w:hint="cs"/>
          <w:rtl/>
        </w:rPr>
        <w:t xml:space="preserve">הזה. </w:t>
      </w:r>
      <w:bookmarkStart w:id="31787" w:name="_ETM_Q56_653209"/>
      <w:bookmarkEnd w:id="31787"/>
      <w:r>
        <w:rPr>
          <w:rFonts w:hint="cs"/>
          <w:rtl/>
        </w:rPr>
        <w:t xml:space="preserve">זה </w:t>
      </w:r>
      <w:bookmarkStart w:id="31788" w:name="_ETM_Q56_653359"/>
      <w:bookmarkEnd w:id="31788"/>
      <w:r>
        <w:rPr>
          <w:rFonts w:hint="cs"/>
          <w:rtl/>
        </w:rPr>
        <w:t xml:space="preserve">נוסח </w:t>
      </w:r>
      <w:bookmarkStart w:id="31789" w:name="_ETM_Q56_654019"/>
      <w:bookmarkEnd w:id="31789"/>
      <w:r>
        <w:rPr>
          <w:rFonts w:hint="cs"/>
          <w:rtl/>
        </w:rPr>
        <w:t xml:space="preserve">גורף </w:t>
      </w:r>
      <w:bookmarkStart w:id="31790" w:name="_ETM_Q56_654439"/>
      <w:bookmarkEnd w:id="31790"/>
      <w:r>
        <w:rPr>
          <w:rFonts w:hint="cs"/>
          <w:rtl/>
        </w:rPr>
        <w:t xml:space="preserve">מדי. </w:t>
      </w:r>
      <w:bookmarkStart w:id="31791" w:name="_ETM_Q56_655129"/>
      <w:bookmarkEnd w:id="31791"/>
      <w:r>
        <w:rPr>
          <w:rFonts w:hint="cs"/>
          <w:rtl/>
        </w:rPr>
        <w:t xml:space="preserve">אין </w:t>
      </w:r>
      <w:bookmarkStart w:id="31792" w:name="_ETM_Q56_655309"/>
      <w:bookmarkEnd w:id="31792"/>
      <w:r>
        <w:rPr>
          <w:rFonts w:hint="cs"/>
          <w:rtl/>
        </w:rPr>
        <w:t>היגיון,</w:t>
      </w:r>
      <w:bookmarkStart w:id="31793" w:name="_ETM_Q56_653579"/>
      <w:bookmarkEnd w:id="31793"/>
      <w:r>
        <w:rPr>
          <w:rFonts w:hint="cs"/>
          <w:rtl/>
        </w:rPr>
        <w:t xml:space="preserve"> </w:t>
      </w:r>
      <w:bookmarkStart w:id="31794" w:name="_ETM_Q56_655819"/>
      <w:bookmarkEnd w:id="31794"/>
      <w:r>
        <w:rPr>
          <w:rFonts w:hint="cs"/>
          <w:rtl/>
        </w:rPr>
        <w:t xml:space="preserve">אין </w:t>
      </w:r>
      <w:bookmarkStart w:id="31795" w:name="_ETM_Q56_655999"/>
      <w:bookmarkEnd w:id="31795"/>
      <w:r>
        <w:rPr>
          <w:rFonts w:hint="cs"/>
          <w:rtl/>
        </w:rPr>
        <w:t xml:space="preserve">סיבה, </w:t>
      </w:r>
      <w:bookmarkStart w:id="31796" w:name="_ETM_Q56_656540"/>
      <w:bookmarkEnd w:id="31796"/>
      <w:r>
        <w:rPr>
          <w:rFonts w:hint="cs"/>
          <w:rtl/>
        </w:rPr>
        <w:t xml:space="preserve">אין </w:t>
      </w:r>
      <w:bookmarkStart w:id="31797" w:name="_ETM_Q56_656689"/>
      <w:bookmarkEnd w:id="31797"/>
      <w:r>
        <w:rPr>
          <w:rFonts w:hint="cs"/>
          <w:rtl/>
        </w:rPr>
        <w:t xml:space="preserve">הצדקה </w:t>
      </w:r>
      <w:bookmarkStart w:id="31798" w:name="_ETM_Q56_657290"/>
      <w:bookmarkEnd w:id="31798"/>
      <w:r>
        <w:rPr>
          <w:rFonts w:hint="cs"/>
          <w:rtl/>
        </w:rPr>
        <w:t xml:space="preserve">לעשות </w:t>
      </w:r>
      <w:bookmarkStart w:id="31799" w:name="_ETM_Q56_657709"/>
      <w:bookmarkEnd w:id="31799"/>
      <w:r>
        <w:rPr>
          <w:rFonts w:hint="cs"/>
          <w:rtl/>
        </w:rPr>
        <w:t xml:space="preserve">את </w:t>
      </w:r>
      <w:bookmarkStart w:id="31800" w:name="_ETM_Q56_657829"/>
      <w:bookmarkEnd w:id="31800"/>
      <w:r>
        <w:rPr>
          <w:rFonts w:hint="cs"/>
          <w:rtl/>
        </w:rPr>
        <w:t>זה</w:t>
      </w:r>
      <w:bookmarkStart w:id="31801" w:name="_ETM_Q56_665441"/>
      <w:bookmarkEnd w:id="31801"/>
      <w:r>
        <w:rPr>
          <w:rFonts w:hint="cs"/>
          <w:rtl/>
        </w:rPr>
        <w:t xml:space="preserve">. </w:t>
      </w:r>
      <w:bookmarkStart w:id="31802" w:name="_ETM_Q56_659660"/>
      <w:bookmarkEnd w:id="31802"/>
      <w:r>
        <w:rPr>
          <w:rFonts w:hint="cs"/>
          <w:rtl/>
        </w:rPr>
        <w:t xml:space="preserve">וכנראה </w:t>
      </w:r>
      <w:bookmarkStart w:id="31803" w:name="_ETM_Q56_660140"/>
      <w:bookmarkEnd w:id="31803"/>
      <w:r>
        <w:rPr>
          <w:rFonts w:hint="cs"/>
          <w:rtl/>
        </w:rPr>
        <w:t xml:space="preserve">יש </w:t>
      </w:r>
      <w:bookmarkStart w:id="31804" w:name="_ETM_Q56_660410"/>
      <w:bookmarkEnd w:id="31804"/>
      <w:r>
        <w:rPr>
          <w:rFonts w:hint="cs"/>
          <w:rtl/>
        </w:rPr>
        <w:t xml:space="preserve">סיבה </w:t>
      </w:r>
      <w:bookmarkStart w:id="31805" w:name="_ETM_Q56_660770"/>
      <w:bookmarkEnd w:id="31805"/>
      <w:r>
        <w:rPr>
          <w:rFonts w:hint="cs"/>
          <w:rtl/>
        </w:rPr>
        <w:t xml:space="preserve">למה </w:t>
      </w:r>
      <w:bookmarkStart w:id="31806" w:name="_ETM_Q56_661010"/>
      <w:bookmarkEnd w:id="31806"/>
      <w:r>
        <w:rPr>
          <w:rFonts w:hint="cs"/>
          <w:rtl/>
        </w:rPr>
        <w:t xml:space="preserve">מתעקשים </w:t>
      </w:r>
      <w:bookmarkStart w:id="31807" w:name="_ETM_Q56_661610"/>
      <w:bookmarkEnd w:id="31807"/>
      <w:r>
        <w:rPr>
          <w:rFonts w:hint="cs"/>
          <w:rtl/>
        </w:rPr>
        <w:t xml:space="preserve">על </w:t>
      </w:r>
      <w:bookmarkStart w:id="31808" w:name="_ETM_Q56_663989"/>
      <w:bookmarkEnd w:id="31808"/>
      <w:r>
        <w:rPr>
          <w:rFonts w:hint="cs"/>
          <w:rtl/>
        </w:rPr>
        <w:t xml:space="preserve">דבר </w:t>
      </w:r>
      <w:bookmarkStart w:id="31809" w:name="_ETM_Q56_664379"/>
      <w:bookmarkEnd w:id="31809"/>
      <w:r>
        <w:rPr>
          <w:rFonts w:hint="cs"/>
          <w:rtl/>
        </w:rPr>
        <w:t xml:space="preserve">כל </w:t>
      </w:r>
      <w:bookmarkStart w:id="31810" w:name="_ETM_Q56_664560"/>
      <w:bookmarkEnd w:id="31810"/>
      <w:r>
        <w:rPr>
          <w:rFonts w:hint="cs"/>
          <w:rtl/>
        </w:rPr>
        <w:t xml:space="preserve">כך </w:t>
      </w:r>
      <w:bookmarkStart w:id="31811" w:name="_ETM_Q56_664800"/>
      <w:bookmarkEnd w:id="31811"/>
      <w:r>
        <w:rPr>
          <w:rFonts w:hint="cs"/>
          <w:rtl/>
        </w:rPr>
        <w:t>גורף.</w:t>
      </w:r>
      <w:bookmarkStart w:id="31812" w:name="_ETM_Q56_669620"/>
      <w:bookmarkEnd w:id="31812"/>
    </w:p>
    <w:p w:rsidR="00BB59CD" w:rsidRDefault="00BB59CD" w:rsidP="00BB59CD">
      <w:pPr>
        <w:rPr>
          <w:rtl/>
        </w:rPr>
      </w:pPr>
    </w:p>
    <w:p w:rsidR="00BB59CD" w:rsidRDefault="00BB59CD" w:rsidP="00035376">
      <w:pPr>
        <w:rPr>
          <w:rtl/>
        </w:rPr>
      </w:pPr>
      <w:bookmarkStart w:id="31813" w:name="_ETM_Q56_667230"/>
      <w:bookmarkEnd w:id="31813"/>
      <w:r>
        <w:rPr>
          <w:rFonts w:hint="cs"/>
          <w:rtl/>
        </w:rPr>
        <w:t xml:space="preserve">האחריות </w:t>
      </w:r>
      <w:bookmarkStart w:id="31814" w:name="_ETM_Q56_670400"/>
      <w:bookmarkEnd w:id="31814"/>
      <w:r>
        <w:rPr>
          <w:rFonts w:hint="cs"/>
          <w:rtl/>
        </w:rPr>
        <w:t xml:space="preserve">שלנו </w:t>
      </w:r>
      <w:bookmarkStart w:id="31815" w:name="_ETM_Q56_671270"/>
      <w:bookmarkEnd w:id="31815"/>
      <w:r>
        <w:rPr>
          <w:rFonts w:hint="cs"/>
          <w:rtl/>
        </w:rPr>
        <w:t>בהצבעה</w:t>
      </w:r>
      <w:r w:rsidR="00035376">
        <w:rPr>
          <w:rFonts w:hint="cs"/>
          <w:rtl/>
        </w:rPr>
        <w:t>,</w:t>
      </w:r>
      <w:r>
        <w:rPr>
          <w:rFonts w:hint="cs"/>
          <w:rtl/>
        </w:rPr>
        <w:t xml:space="preserve"> </w:t>
      </w:r>
      <w:bookmarkStart w:id="31816" w:name="_ETM_Q56_672050"/>
      <w:bookmarkEnd w:id="31816"/>
      <w:r>
        <w:rPr>
          <w:rFonts w:hint="cs"/>
          <w:rtl/>
        </w:rPr>
        <w:t xml:space="preserve">ואני </w:t>
      </w:r>
      <w:bookmarkStart w:id="31817" w:name="_ETM_Q56_672320"/>
      <w:bookmarkEnd w:id="31817"/>
      <w:r>
        <w:rPr>
          <w:rFonts w:hint="cs"/>
          <w:rtl/>
        </w:rPr>
        <w:t xml:space="preserve">כבר הייתי </w:t>
      </w:r>
      <w:bookmarkStart w:id="31818" w:name="_ETM_Q56_672560"/>
      <w:bookmarkEnd w:id="31818"/>
      <w:r>
        <w:rPr>
          <w:rFonts w:hint="cs"/>
          <w:rtl/>
        </w:rPr>
        <w:t xml:space="preserve">בבית </w:t>
      </w:r>
      <w:bookmarkStart w:id="31819" w:name="_ETM_Q56_672980"/>
      <w:bookmarkEnd w:id="31819"/>
      <w:r>
        <w:rPr>
          <w:rFonts w:hint="cs"/>
          <w:rtl/>
        </w:rPr>
        <w:t xml:space="preserve">הזה </w:t>
      </w:r>
      <w:bookmarkStart w:id="31820" w:name="_ETM_Q56_673160"/>
      <w:bookmarkStart w:id="31821" w:name="_ETM_Q56_673490"/>
      <w:bookmarkEnd w:id="31820"/>
      <w:bookmarkEnd w:id="31821"/>
      <w:r>
        <w:rPr>
          <w:rFonts w:hint="cs"/>
          <w:rtl/>
        </w:rPr>
        <w:t xml:space="preserve">בהצבעות </w:t>
      </w:r>
      <w:bookmarkStart w:id="31822" w:name="_ETM_Q56_674090"/>
      <w:bookmarkEnd w:id="31822"/>
      <w:r>
        <w:rPr>
          <w:rFonts w:hint="cs"/>
          <w:rtl/>
        </w:rPr>
        <w:t xml:space="preserve">גורליות, </w:t>
      </w:r>
      <w:bookmarkStart w:id="31823" w:name="_ETM_Q56_674870"/>
      <w:bookmarkEnd w:id="31823"/>
      <w:r>
        <w:rPr>
          <w:rFonts w:hint="cs"/>
          <w:rtl/>
        </w:rPr>
        <w:t xml:space="preserve">אני </w:t>
      </w:r>
      <w:bookmarkStart w:id="31824" w:name="_ETM_Q56_677810"/>
      <w:bookmarkEnd w:id="31824"/>
      <w:r>
        <w:rPr>
          <w:rFonts w:hint="cs"/>
          <w:rtl/>
        </w:rPr>
        <w:t xml:space="preserve">נשבעתי </w:t>
      </w:r>
      <w:bookmarkStart w:id="31825" w:name="_ETM_Q56_678390"/>
      <w:bookmarkEnd w:id="31825"/>
      <w:r>
        <w:rPr>
          <w:rFonts w:hint="cs"/>
          <w:rtl/>
        </w:rPr>
        <w:t xml:space="preserve">אמונים </w:t>
      </w:r>
      <w:bookmarkStart w:id="31826" w:name="_ETM_Q56_678900"/>
      <w:bookmarkEnd w:id="31826"/>
      <w:r>
        <w:rPr>
          <w:rFonts w:hint="cs"/>
          <w:rtl/>
        </w:rPr>
        <w:t xml:space="preserve">בפעם </w:t>
      </w:r>
      <w:bookmarkStart w:id="31827" w:name="_ETM_Q56_679230"/>
      <w:bookmarkEnd w:id="31827"/>
      <w:r>
        <w:rPr>
          <w:rFonts w:hint="cs"/>
          <w:rtl/>
        </w:rPr>
        <w:t xml:space="preserve">הראשונה </w:t>
      </w:r>
      <w:bookmarkStart w:id="31828" w:name="_ETM_Q56_679740"/>
      <w:bookmarkEnd w:id="31828"/>
      <w:r>
        <w:rPr>
          <w:rFonts w:hint="cs"/>
          <w:rtl/>
        </w:rPr>
        <w:t xml:space="preserve">לפני </w:t>
      </w:r>
      <w:bookmarkStart w:id="31829" w:name="_ETM_Q56_680100"/>
      <w:bookmarkEnd w:id="31829"/>
      <w:r>
        <w:rPr>
          <w:rFonts w:hint="cs"/>
          <w:rtl/>
        </w:rPr>
        <w:t xml:space="preserve">למעלה </w:t>
      </w:r>
      <w:bookmarkStart w:id="31830" w:name="_ETM_Q56_680430"/>
      <w:bookmarkEnd w:id="31830"/>
      <w:r>
        <w:rPr>
          <w:rFonts w:hint="cs"/>
          <w:rtl/>
        </w:rPr>
        <w:t xml:space="preserve">מ-20 </w:t>
      </w:r>
      <w:bookmarkStart w:id="31831" w:name="_ETM_Q56_680819"/>
      <w:bookmarkEnd w:id="31831"/>
      <w:r>
        <w:rPr>
          <w:rFonts w:hint="cs"/>
          <w:rtl/>
        </w:rPr>
        <w:t xml:space="preserve">שנה – </w:t>
      </w:r>
      <w:bookmarkStart w:id="31832" w:name="_ETM_Q56_681840"/>
      <w:bookmarkEnd w:id="31832"/>
      <w:r>
        <w:rPr>
          <w:rFonts w:hint="cs"/>
          <w:rtl/>
        </w:rPr>
        <w:t xml:space="preserve">אני </w:t>
      </w:r>
      <w:bookmarkStart w:id="31833" w:name="_ETM_Q56_681989"/>
      <w:bookmarkEnd w:id="31833"/>
      <w:r>
        <w:rPr>
          <w:rFonts w:hint="cs"/>
          <w:rtl/>
        </w:rPr>
        <w:t xml:space="preserve">חושב </w:t>
      </w:r>
      <w:bookmarkStart w:id="31834" w:name="_ETM_Q56_682230"/>
      <w:bookmarkEnd w:id="31834"/>
      <w:r>
        <w:rPr>
          <w:rFonts w:hint="cs"/>
          <w:rtl/>
        </w:rPr>
        <w:t xml:space="preserve">שההצבעה </w:t>
      </w:r>
      <w:bookmarkStart w:id="31835" w:name="_ETM_Q56_682799"/>
      <w:bookmarkEnd w:id="31835"/>
      <w:r>
        <w:rPr>
          <w:rFonts w:hint="cs"/>
          <w:rtl/>
        </w:rPr>
        <w:t>הזאת</w:t>
      </w:r>
      <w:bookmarkStart w:id="31836" w:name="_ETM_Q56_683641"/>
      <w:bookmarkEnd w:id="31836"/>
      <w:r>
        <w:rPr>
          <w:rFonts w:hint="cs"/>
          <w:rtl/>
        </w:rPr>
        <w:t xml:space="preserve">, </w:t>
      </w:r>
      <w:bookmarkStart w:id="31837" w:name="_ETM_Q56_683519"/>
      <w:bookmarkEnd w:id="31837"/>
      <w:r>
        <w:rPr>
          <w:rFonts w:hint="cs"/>
          <w:rtl/>
        </w:rPr>
        <w:t xml:space="preserve">בגלל </w:t>
      </w:r>
      <w:bookmarkStart w:id="31838" w:name="_ETM_Q56_683939"/>
      <w:bookmarkEnd w:id="31838"/>
      <w:r>
        <w:rPr>
          <w:rFonts w:hint="cs"/>
          <w:rtl/>
        </w:rPr>
        <w:t>הנסיבות</w:t>
      </w:r>
      <w:bookmarkStart w:id="31839" w:name="_ETM_Q56_684291"/>
      <w:bookmarkStart w:id="31840" w:name="_ETM_Q56_687803"/>
      <w:bookmarkStart w:id="31841" w:name="_ETM_Q56_684451"/>
      <w:bookmarkStart w:id="31842" w:name="_ETM_Q56_683871"/>
      <w:bookmarkEnd w:id="31839"/>
      <w:bookmarkEnd w:id="31840"/>
      <w:bookmarkEnd w:id="31841"/>
      <w:bookmarkEnd w:id="31842"/>
      <w:r>
        <w:rPr>
          <w:rFonts w:hint="cs"/>
          <w:rtl/>
        </w:rPr>
        <w:t>,</w:t>
      </w:r>
      <w:bookmarkStart w:id="31843" w:name="_ETM_Q56_683932"/>
      <w:bookmarkEnd w:id="31843"/>
      <w:r>
        <w:rPr>
          <w:rFonts w:hint="cs"/>
          <w:rtl/>
        </w:rPr>
        <w:t xml:space="preserve"> </w:t>
      </w:r>
      <w:bookmarkStart w:id="31844" w:name="_ETM_Q56_686409"/>
      <w:bookmarkEnd w:id="31844"/>
      <w:r w:rsidR="00035376">
        <w:rPr>
          <w:rFonts w:hint="cs"/>
          <w:rtl/>
        </w:rPr>
        <w:t>ו</w:t>
      </w:r>
      <w:r>
        <w:rPr>
          <w:rFonts w:hint="cs"/>
          <w:rtl/>
        </w:rPr>
        <w:t xml:space="preserve">זה </w:t>
      </w:r>
      <w:bookmarkStart w:id="31845" w:name="_ETM_Q56_686680"/>
      <w:bookmarkEnd w:id="31845"/>
      <w:r>
        <w:rPr>
          <w:rFonts w:hint="cs"/>
          <w:rtl/>
        </w:rPr>
        <w:t xml:space="preserve">לא </w:t>
      </w:r>
      <w:bookmarkStart w:id="31846" w:name="_ETM_Q56_686829"/>
      <w:bookmarkEnd w:id="31846"/>
      <w:r>
        <w:rPr>
          <w:rFonts w:hint="cs"/>
          <w:rtl/>
        </w:rPr>
        <w:t xml:space="preserve">שלא </w:t>
      </w:r>
      <w:bookmarkStart w:id="31847" w:name="_ETM_Q56_687249"/>
      <w:bookmarkEnd w:id="31847"/>
      <w:r>
        <w:rPr>
          <w:rFonts w:hint="cs"/>
          <w:rtl/>
        </w:rPr>
        <w:t xml:space="preserve">היו </w:t>
      </w:r>
      <w:bookmarkStart w:id="31848" w:name="_ETM_Q56_687489"/>
      <w:bookmarkEnd w:id="31848"/>
      <w:r>
        <w:rPr>
          <w:rFonts w:hint="cs"/>
          <w:rtl/>
        </w:rPr>
        <w:t xml:space="preserve">נושאים </w:t>
      </w:r>
      <w:bookmarkStart w:id="31849" w:name="_ETM_Q56_687819"/>
      <w:bookmarkEnd w:id="31849"/>
      <w:r>
        <w:rPr>
          <w:rFonts w:hint="cs"/>
          <w:rtl/>
        </w:rPr>
        <w:t xml:space="preserve">יותר </w:t>
      </w:r>
      <w:bookmarkStart w:id="31850" w:name="_ETM_Q56_688059"/>
      <w:bookmarkEnd w:id="31850"/>
      <w:r>
        <w:rPr>
          <w:rFonts w:hint="cs"/>
          <w:rtl/>
        </w:rPr>
        <w:t xml:space="preserve">חשובים, </w:t>
      </w:r>
      <w:bookmarkStart w:id="31851" w:name="_ETM_Q56_689120"/>
      <w:bookmarkEnd w:id="31851"/>
      <w:r>
        <w:rPr>
          <w:rFonts w:hint="cs"/>
          <w:rtl/>
        </w:rPr>
        <w:t xml:space="preserve">אבל </w:t>
      </w:r>
      <w:bookmarkStart w:id="31852" w:name="_ETM_Q56_689480"/>
      <w:bookmarkEnd w:id="31852"/>
      <w:r>
        <w:rPr>
          <w:rFonts w:hint="cs"/>
          <w:rtl/>
        </w:rPr>
        <w:t xml:space="preserve">בגלל </w:t>
      </w:r>
      <w:bookmarkStart w:id="31853" w:name="_ETM_Q56_689990"/>
      <w:bookmarkEnd w:id="31853"/>
      <w:r>
        <w:rPr>
          <w:rFonts w:hint="cs"/>
          <w:rtl/>
        </w:rPr>
        <w:t xml:space="preserve">הקרע </w:t>
      </w:r>
      <w:bookmarkStart w:id="31854" w:name="_ETM_Q56_690410"/>
      <w:bookmarkEnd w:id="31854"/>
      <w:r>
        <w:rPr>
          <w:rFonts w:hint="cs"/>
          <w:rtl/>
        </w:rPr>
        <w:t xml:space="preserve">בעם </w:t>
      </w:r>
      <w:bookmarkStart w:id="31855" w:name="_ETM_Q56_691430"/>
      <w:bookmarkEnd w:id="31855"/>
      <w:r>
        <w:rPr>
          <w:rFonts w:hint="cs"/>
          <w:rtl/>
        </w:rPr>
        <w:t xml:space="preserve">כפי </w:t>
      </w:r>
      <w:bookmarkStart w:id="31856" w:name="_ETM_Q56_691670"/>
      <w:bookmarkEnd w:id="31856"/>
      <w:r>
        <w:rPr>
          <w:rFonts w:hint="cs"/>
          <w:rtl/>
        </w:rPr>
        <w:t xml:space="preserve">שהוא </w:t>
      </w:r>
      <w:bookmarkStart w:id="31857" w:name="_ETM_Q56_691880"/>
      <w:bookmarkEnd w:id="31857"/>
      <w:r>
        <w:rPr>
          <w:rFonts w:hint="cs"/>
          <w:rtl/>
        </w:rPr>
        <w:t xml:space="preserve">קיים </w:t>
      </w:r>
      <w:bookmarkStart w:id="31858" w:name="_ETM_Q56_692450"/>
      <w:bookmarkEnd w:id="31858"/>
      <w:r>
        <w:rPr>
          <w:rFonts w:hint="cs"/>
          <w:rtl/>
        </w:rPr>
        <w:t xml:space="preserve">עכשיו </w:t>
      </w:r>
      <w:bookmarkStart w:id="31859" w:name="_ETM_Q56_694049"/>
      <w:bookmarkEnd w:id="31859"/>
      <w:r>
        <w:rPr>
          <w:rFonts w:hint="cs"/>
          <w:rtl/>
        </w:rPr>
        <w:t xml:space="preserve">זאת </w:t>
      </w:r>
      <w:bookmarkStart w:id="31860" w:name="_ETM_Q56_694319"/>
      <w:bookmarkEnd w:id="31860"/>
      <w:r>
        <w:rPr>
          <w:rFonts w:hint="cs"/>
          <w:rtl/>
        </w:rPr>
        <w:t>הה</w:t>
      </w:r>
      <w:bookmarkStart w:id="31861" w:name="_ETM_Q56_690022"/>
      <w:bookmarkEnd w:id="31861"/>
      <w:r>
        <w:rPr>
          <w:rFonts w:hint="cs"/>
          <w:rtl/>
        </w:rPr>
        <w:t xml:space="preserve">צבעה </w:t>
      </w:r>
      <w:bookmarkStart w:id="31862" w:name="_ETM_Q56_694679"/>
      <w:bookmarkEnd w:id="31862"/>
      <w:r>
        <w:rPr>
          <w:rFonts w:hint="cs"/>
          <w:rtl/>
        </w:rPr>
        <w:t xml:space="preserve">הכי </w:t>
      </w:r>
      <w:bookmarkStart w:id="31863" w:name="_ETM_Q56_694889"/>
      <w:bookmarkEnd w:id="31863"/>
      <w:r>
        <w:rPr>
          <w:rFonts w:hint="cs"/>
          <w:rtl/>
        </w:rPr>
        <w:t xml:space="preserve">גורלית. </w:t>
      </w:r>
      <w:bookmarkStart w:id="31864" w:name="_ETM_Q56_696209"/>
      <w:bookmarkEnd w:id="31864"/>
      <w:r>
        <w:rPr>
          <w:rFonts w:hint="cs"/>
          <w:rtl/>
        </w:rPr>
        <w:t xml:space="preserve">וכל </w:t>
      </w:r>
      <w:bookmarkStart w:id="31865" w:name="_ETM_Q56_696510"/>
      <w:bookmarkStart w:id="31866" w:name="_ETM_Q56_692442"/>
      <w:bookmarkEnd w:id="31865"/>
      <w:bookmarkEnd w:id="31866"/>
      <w:r>
        <w:rPr>
          <w:rFonts w:hint="cs"/>
          <w:rtl/>
        </w:rPr>
        <w:t xml:space="preserve">אחד </w:t>
      </w:r>
      <w:bookmarkStart w:id="31867" w:name="_ETM_Q56_696779"/>
      <w:bookmarkEnd w:id="31867"/>
      <w:r>
        <w:rPr>
          <w:rFonts w:hint="cs"/>
          <w:rtl/>
        </w:rPr>
        <w:t>מאיתנו</w:t>
      </w:r>
      <w:bookmarkStart w:id="31868" w:name="_ETM_Q56_694792"/>
      <w:bookmarkEnd w:id="31868"/>
      <w:r>
        <w:rPr>
          <w:rFonts w:hint="cs"/>
          <w:rtl/>
        </w:rPr>
        <w:t xml:space="preserve"> </w:t>
      </w:r>
      <w:bookmarkStart w:id="31869" w:name="_ETM_Q56_697169"/>
      <w:bookmarkEnd w:id="31869"/>
      <w:r>
        <w:rPr>
          <w:rFonts w:hint="cs"/>
          <w:rtl/>
        </w:rPr>
        <w:t xml:space="preserve">חייב </w:t>
      </w:r>
      <w:bookmarkStart w:id="31870" w:name="_ETM_Q56_697439"/>
      <w:bookmarkEnd w:id="31870"/>
      <w:r>
        <w:rPr>
          <w:rFonts w:hint="cs"/>
          <w:rtl/>
        </w:rPr>
        <w:t xml:space="preserve">לחשוב, </w:t>
      </w:r>
      <w:bookmarkStart w:id="31871" w:name="_ETM_Q56_698429"/>
      <w:bookmarkEnd w:id="31871"/>
      <w:r>
        <w:rPr>
          <w:rFonts w:hint="cs"/>
          <w:rtl/>
        </w:rPr>
        <w:t xml:space="preserve">להעריך, </w:t>
      </w:r>
      <w:bookmarkStart w:id="31872" w:name="_ETM_Q56_699809"/>
      <w:bookmarkEnd w:id="31872"/>
      <w:r>
        <w:rPr>
          <w:rFonts w:hint="cs"/>
          <w:rtl/>
        </w:rPr>
        <w:t xml:space="preserve">לתת </w:t>
      </w:r>
      <w:bookmarkStart w:id="31873" w:name="_ETM_Q56_700230"/>
      <w:bookmarkEnd w:id="31873"/>
      <w:r>
        <w:rPr>
          <w:rFonts w:hint="cs"/>
          <w:rtl/>
        </w:rPr>
        <w:t xml:space="preserve">לעצמו </w:t>
      </w:r>
      <w:bookmarkStart w:id="31874" w:name="_ETM_Q56_700620"/>
      <w:bookmarkEnd w:id="31874"/>
      <w:r>
        <w:rPr>
          <w:rFonts w:hint="cs"/>
          <w:rtl/>
        </w:rPr>
        <w:t xml:space="preserve">דין </w:t>
      </w:r>
      <w:bookmarkStart w:id="31875" w:name="_ETM_Q56_700829"/>
      <w:bookmarkEnd w:id="31875"/>
      <w:r>
        <w:rPr>
          <w:rFonts w:hint="cs"/>
          <w:rtl/>
        </w:rPr>
        <w:t xml:space="preserve">וחשבון, </w:t>
      </w:r>
      <w:bookmarkStart w:id="31876" w:name="_ETM_Q56_701999"/>
      <w:bookmarkEnd w:id="31876"/>
      <w:r>
        <w:rPr>
          <w:rFonts w:hint="cs"/>
          <w:rtl/>
        </w:rPr>
        <w:t xml:space="preserve">מה </w:t>
      </w:r>
      <w:bookmarkStart w:id="31877" w:name="_ETM_Q56_702239"/>
      <w:bookmarkEnd w:id="31877"/>
      <w:r>
        <w:rPr>
          <w:rFonts w:hint="cs"/>
          <w:rtl/>
        </w:rPr>
        <w:t xml:space="preserve">יקרה </w:t>
      </w:r>
      <w:bookmarkStart w:id="31878" w:name="_ETM_Q56_702809"/>
      <w:bookmarkEnd w:id="31878"/>
      <w:r>
        <w:rPr>
          <w:rFonts w:hint="cs"/>
          <w:rtl/>
        </w:rPr>
        <w:t xml:space="preserve">ביום </w:t>
      </w:r>
      <w:bookmarkStart w:id="31879" w:name="_ETM_Q56_703169"/>
      <w:bookmarkEnd w:id="31879"/>
      <w:r>
        <w:rPr>
          <w:rFonts w:hint="cs"/>
          <w:rtl/>
        </w:rPr>
        <w:t xml:space="preserve">שאחרי, </w:t>
      </w:r>
      <w:bookmarkStart w:id="31880" w:name="_ETM_Q56_704620"/>
      <w:bookmarkEnd w:id="31880"/>
      <w:r>
        <w:rPr>
          <w:rFonts w:hint="cs"/>
          <w:rtl/>
        </w:rPr>
        <w:t xml:space="preserve">לאיזו </w:t>
      </w:r>
      <w:bookmarkStart w:id="31881" w:name="_ETM_Q56_705220"/>
      <w:bookmarkEnd w:id="31881"/>
      <w:r>
        <w:rPr>
          <w:rFonts w:hint="cs"/>
          <w:rtl/>
        </w:rPr>
        <w:t xml:space="preserve">ישראל </w:t>
      </w:r>
      <w:bookmarkStart w:id="31882" w:name="_ETM_Q56_705730"/>
      <w:bookmarkEnd w:id="31882"/>
      <w:r>
        <w:rPr>
          <w:rFonts w:hint="cs"/>
          <w:rtl/>
        </w:rPr>
        <w:t xml:space="preserve">אנחנו </w:t>
      </w:r>
      <w:bookmarkStart w:id="31883" w:name="_ETM_Q56_706090"/>
      <w:bookmarkEnd w:id="31883"/>
      <w:r>
        <w:rPr>
          <w:rFonts w:hint="cs"/>
          <w:rtl/>
        </w:rPr>
        <w:t xml:space="preserve">נקום, </w:t>
      </w:r>
      <w:bookmarkStart w:id="31884" w:name="_ETM_Q56_706989"/>
      <w:bookmarkEnd w:id="31884"/>
      <w:r>
        <w:rPr>
          <w:rFonts w:hint="cs"/>
          <w:rtl/>
        </w:rPr>
        <w:t xml:space="preserve">האם </w:t>
      </w:r>
      <w:bookmarkStart w:id="31885" w:name="_ETM_Q56_707290"/>
      <w:bookmarkEnd w:id="31885"/>
      <w:r>
        <w:rPr>
          <w:rFonts w:hint="cs"/>
          <w:rtl/>
        </w:rPr>
        <w:t xml:space="preserve">זה </w:t>
      </w:r>
      <w:bookmarkStart w:id="31886" w:name="_ETM_Q56_707440"/>
      <w:bookmarkEnd w:id="31886"/>
      <w:r>
        <w:rPr>
          <w:rFonts w:hint="cs"/>
          <w:rtl/>
        </w:rPr>
        <w:t xml:space="preserve">שווה </w:t>
      </w:r>
      <w:bookmarkStart w:id="31887" w:name="_ETM_Q56_707920"/>
      <w:bookmarkEnd w:id="31887"/>
      <w:r>
        <w:rPr>
          <w:rFonts w:hint="cs"/>
          <w:rtl/>
        </w:rPr>
        <w:t xml:space="preserve">את </w:t>
      </w:r>
      <w:bookmarkStart w:id="31888" w:name="_ETM_Q56_708040"/>
      <w:bookmarkEnd w:id="31888"/>
      <w:r>
        <w:rPr>
          <w:rFonts w:hint="cs"/>
          <w:rtl/>
        </w:rPr>
        <w:t>המחיר</w:t>
      </w:r>
      <w:bookmarkStart w:id="31889" w:name="_ETM_Q56_713739"/>
      <w:bookmarkEnd w:id="31889"/>
      <w:r w:rsidR="00035376">
        <w:rPr>
          <w:rFonts w:hint="cs"/>
          <w:rtl/>
        </w:rPr>
        <w:t>.</w:t>
      </w:r>
    </w:p>
    <w:p w:rsidR="00BB59CD" w:rsidRDefault="00BB59CD" w:rsidP="00BB59CD">
      <w:pPr>
        <w:rPr>
          <w:rtl/>
        </w:rPr>
      </w:pPr>
      <w:bookmarkStart w:id="31890" w:name="_ETM_Q56_714511"/>
      <w:bookmarkStart w:id="31891" w:name="_ETM_Q56_714583"/>
      <w:bookmarkEnd w:id="31890"/>
      <w:bookmarkEnd w:id="31891"/>
    </w:p>
    <w:p w:rsidR="00BB59CD" w:rsidRDefault="00BB59CD" w:rsidP="00035376">
      <w:pPr>
        <w:rPr>
          <w:rtl/>
        </w:rPr>
      </w:pPr>
      <w:bookmarkStart w:id="31892" w:name="_ETM_Q56_714655"/>
      <w:bookmarkStart w:id="31893" w:name="_ETM_Q56_714747"/>
      <w:bookmarkEnd w:id="31892"/>
      <w:bookmarkEnd w:id="31893"/>
      <w:r>
        <w:rPr>
          <w:rFonts w:hint="cs"/>
          <w:rtl/>
        </w:rPr>
        <w:t xml:space="preserve">אני </w:t>
      </w:r>
      <w:bookmarkStart w:id="31894" w:name="_ETM_Q56_714099"/>
      <w:bookmarkEnd w:id="31894"/>
      <w:r>
        <w:rPr>
          <w:rFonts w:hint="cs"/>
          <w:rtl/>
        </w:rPr>
        <w:t xml:space="preserve">אומר </w:t>
      </w:r>
      <w:bookmarkStart w:id="31895" w:name="_ETM_Q56_716749"/>
      <w:bookmarkEnd w:id="31895"/>
      <w:r>
        <w:rPr>
          <w:rFonts w:hint="cs"/>
          <w:rtl/>
        </w:rPr>
        <w:t xml:space="preserve">מניסיון </w:t>
      </w:r>
      <w:bookmarkStart w:id="31896" w:name="_ETM_Q56_717319"/>
      <w:bookmarkEnd w:id="31896"/>
      <w:r>
        <w:rPr>
          <w:rFonts w:hint="cs"/>
          <w:rtl/>
        </w:rPr>
        <w:t xml:space="preserve">אישי. </w:t>
      </w:r>
      <w:bookmarkStart w:id="31897" w:name="_ETM_Q56_718459"/>
      <w:bookmarkStart w:id="31898" w:name="_ETM_Q56_718760"/>
      <w:bookmarkEnd w:id="31897"/>
      <w:bookmarkEnd w:id="31898"/>
      <w:r>
        <w:rPr>
          <w:rFonts w:hint="cs"/>
          <w:rtl/>
        </w:rPr>
        <w:t xml:space="preserve">לפני </w:t>
      </w:r>
      <w:bookmarkStart w:id="31899" w:name="_ETM_Q56_719510"/>
      <w:bookmarkEnd w:id="31899"/>
      <w:r>
        <w:rPr>
          <w:rFonts w:hint="cs"/>
          <w:rtl/>
        </w:rPr>
        <w:t xml:space="preserve">למעלה </w:t>
      </w:r>
      <w:bookmarkStart w:id="31900" w:name="_ETM_Q56_719959"/>
      <w:bookmarkEnd w:id="31900"/>
      <w:r>
        <w:rPr>
          <w:rFonts w:hint="cs"/>
          <w:rtl/>
        </w:rPr>
        <w:t xml:space="preserve">משנתיים </w:t>
      </w:r>
      <w:bookmarkStart w:id="31901" w:name="_ETM_Q56_720500"/>
      <w:bookmarkEnd w:id="31901"/>
      <w:r>
        <w:rPr>
          <w:rFonts w:hint="cs"/>
          <w:rtl/>
        </w:rPr>
        <w:t xml:space="preserve">וחצי </w:t>
      </w:r>
      <w:bookmarkStart w:id="31902" w:name="_ETM_Q56_720950"/>
      <w:bookmarkEnd w:id="31902"/>
      <w:r>
        <w:rPr>
          <w:rFonts w:hint="cs"/>
          <w:rtl/>
        </w:rPr>
        <w:t xml:space="preserve">עשיתי </w:t>
      </w:r>
      <w:bookmarkStart w:id="31903" w:name="_ETM_Q56_721309"/>
      <w:bookmarkEnd w:id="31903"/>
      <w:r>
        <w:rPr>
          <w:rFonts w:hint="cs"/>
          <w:rtl/>
        </w:rPr>
        <w:t xml:space="preserve">מעשה </w:t>
      </w:r>
      <w:bookmarkStart w:id="31904" w:name="_ETM_Q56_721790"/>
      <w:bookmarkEnd w:id="31904"/>
      <w:r>
        <w:rPr>
          <w:rFonts w:hint="cs"/>
          <w:rtl/>
        </w:rPr>
        <w:t>ש</w:t>
      </w:r>
      <w:bookmarkStart w:id="31905" w:name="_ETM_Q56_719582"/>
      <w:bookmarkStart w:id="31906" w:name="_ETM_Q56_722360"/>
      <w:bookmarkEnd w:id="31905"/>
      <w:bookmarkEnd w:id="31906"/>
      <w:r>
        <w:rPr>
          <w:rFonts w:hint="cs"/>
          <w:rtl/>
        </w:rPr>
        <w:t xml:space="preserve">לא </w:t>
      </w:r>
      <w:bookmarkStart w:id="31907" w:name="_ETM_Q56_722510"/>
      <w:bookmarkEnd w:id="31907"/>
      <w:r>
        <w:rPr>
          <w:rFonts w:hint="cs"/>
          <w:rtl/>
        </w:rPr>
        <w:t xml:space="preserve">היה </w:t>
      </w:r>
      <w:bookmarkStart w:id="31908" w:name="_ETM_Q56_722690"/>
      <w:bookmarkEnd w:id="31908"/>
      <w:r>
        <w:rPr>
          <w:rFonts w:hint="cs"/>
          <w:rtl/>
        </w:rPr>
        <w:t xml:space="preserve">לי </w:t>
      </w:r>
      <w:bookmarkStart w:id="31909" w:name="_ETM_Q56_722809"/>
      <w:bookmarkEnd w:id="31909"/>
      <w:r>
        <w:rPr>
          <w:rFonts w:hint="cs"/>
          <w:rtl/>
        </w:rPr>
        <w:t xml:space="preserve">קל </w:t>
      </w:r>
      <w:bookmarkStart w:id="31910" w:name="_ETM_Q56_723200"/>
      <w:bookmarkEnd w:id="31910"/>
      <w:r>
        <w:rPr>
          <w:rFonts w:hint="cs"/>
          <w:rtl/>
        </w:rPr>
        <w:t xml:space="preserve">לעשות </w:t>
      </w:r>
      <w:bookmarkStart w:id="31911" w:name="_ETM_Q56_723470"/>
      <w:bookmarkEnd w:id="31911"/>
      <w:r>
        <w:rPr>
          <w:rFonts w:hint="cs"/>
          <w:rtl/>
        </w:rPr>
        <w:t xml:space="preserve">אותו, </w:t>
      </w:r>
      <w:bookmarkStart w:id="31912" w:name="_ETM_Q56_726690"/>
      <w:bookmarkStart w:id="31913" w:name="_ETM_Q56_726870"/>
      <w:bookmarkEnd w:id="31912"/>
      <w:bookmarkEnd w:id="31913"/>
      <w:r>
        <w:rPr>
          <w:rFonts w:hint="cs"/>
          <w:rtl/>
        </w:rPr>
        <w:t xml:space="preserve">עזבתי </w:t>
      </w:r>
      <w:bookmarkStart w:id="31914" w:name="_ETM_Q56_727379"/>
      <w:bookmarkEnd w:id="31914"/>
      <w:r>
        <w:rPr>
          <w:rFonts w:hint="cs"/>
          <w:rtl/>
        </w:rPr>
        <w:t xml:space="preserve">תנועה </w:t>
      </w:r>
      <w:bookmarkStart w:id="31915" w:name="_ETM_Q56_727739"/>
      <w:bookmarkEnd w:id="31915"/>
      <w:r>
        <w:rPr>
          <w:rFonts w:hint="cs"/>
          <w:rtl/>
        </w:rPr>
        <w:t>ש</w:t>
      </w:r>
      <w:bookmarkStart w:id="31916" w:name="_ETM_Q56_725892"/>
      <w:bookmarkEnd w:id="31916"/>
      <w:r>
        <w:rPr>
          <w:rFonts w:hint="cs"/>
          <w:rtl/>
        </w:rPr>
        <w:t>ה</w:t>
      </w:r>
      <w:bookmarkStart w:id="31917" w:name="_ETM_Q56_725632"/>
      <w:bookmarkStart w:id="31918" w:name="_ETM_Q56_726032"/>
      <w:bookmarkEnd w:id="31917"/>
      <w:bookmarkEnd w:id="31918"/>
      <w:r>
        <w:rPr>
          <w:rFonts w:hint="cs"/>
          <w:rtl/>
        </w:rPr>
        <w:t xml:space="preserve">ייתי </w:t>
      </w:r>
      <w:bookmarkStart w:id="31919" w:name="_ETM_Q56_728099"/>
      <w:bookmarkEnd w:id="31919"/>
      <w:r>
        <w:rPr>
          <w:rFonts w:hint="cs"/>
          <w:rtl/>
        </w:rPr>
        <w:t xml:space="preserve">בה </w:t>
      </w:r>
      <w:bookmarkStart w:id="31920" w:name="_ETM_Q56_725802"/>
      <w:bookmarkEnd w:id="31920"/>
      <w:r>
        <w:rPr>
          <w:rFonts w:hint="cs"/>
          <w:rtl/>
        </w:rPr>
        <w:t xml:space="preserve">רוב </w:t>
      </w:r>
      <w:bookmarkStart w:id="31921" w:name="_ETM_Q56_729679"/>
      <w:bookmarkEnd w:id="31921"/>
      <w:r>
        <w:rPr>
          <w:rFonts w:hint="cs"/>
          <w:rtl/>
        </w:rPr>
        <w:t xml:space="preserve">חיי </w:t>
      </w:r>
      <w:bookmarkStart w:id="31922" w:name="_ETM_Q56_730069"/>
      <w:bookmarkEnd w:id="31922"/>
      <w:r>
        <w:rPr>
          <w:rFonts w:hint="cs"/>
          <w:rtl/>
        </w:rPr>
        <w:t xml:space="preserve">הבוגרים, </w:t>
      </w:r>
      <w:bookmarkStart w:id="31923" w:name="_ETM_Q56_732290"/>
      <w:bookmarkEnd w:id="31923"/>
      <w:r>
        <w:rPr>
          <w:rFonts w:hint="cs"/>
          <w:rtl/>
        </w:rPr>
        <w:t xml:space="preserve">אבל </w:t>
      </w:r>
      <w:bookmarkStart w:id="31924" w:name="_ETM_Q56_732589"/>
      <w:bookmarkEnd w:id="31924"/>
      <w:r>
        <w:rPr>
          <w:rFonts w:hint="cs"/>
          <w:rtl/>
        </w:rPr>
        <w:t xml:space="preserve">הייתי </w:t>
      </w:r>
      <w:bookmarkStart w:id="31925" w:name="_ETM_Q56_732829"/>
      <w:bookmarkEnd w:id="31925"/>
      <w:r>
        <w:rPr>
          <w:rFonts w:hint="cs"/>
          <w:rtl/>
        </w:rPr>
        <w:t xml:space="preserve">משוכנע </w:t>
      </w:r>
      <w:bookmarkStart w:id="31926" w:name="_ETM_Q56_733309"/>
      <w:bookmarkEnd w:id="31926"/>
      <w:r>
        <w:rPr>
          <w:rFonts w:hint="cs"/>
          <w:rtl/>
        </w:rPr>
        <w:t xml:space="preserve">שאני </w:t>
      </w:r>
      <w:bookmarkStart w:id="31927" w:name="_ETM_Q56_733579"/>
      <w:bookmarkEnd w:id="31927"/>
      <w:r>
        <w:rPr>
          <w:rFonts w:hint="cs"/>
          <w:rtl/>
        </w:rPr>
        <w:t xml:space="preserve">כבר </w:t>
      </w:r>
      <w:bookmarkStart w:id="31928" w:name="_ETM_Q56_733819"/>
      <w:bookmarkEnd w:id="31928"/>
      <w:r>
        <w:rPr>
          <w:rFonts w:hint="cs"/>
          <w:rtl/>
        </w:rPr>
        <w:t xml:space="preserve">חייב </w:t>
      </w:r>
      <w:bookmarkStart w:id="31929" w:name="_ETM_Q56_734120"/>
      <w:bookmarkEnd w:id="31929"/>
      <w:r>
        <w:rPr>
          <w:rFonts w:hint="cs"/>
          <w:rtl/>
        </w:rPr>
        <w:t xml:space="preserve">לעשות </w:t>
      </w:r>
      <w:bookmarkStart w:id="31930" w:name="_ETM_Q56_734540"/>
      <w:bookmarkEnd w:id="31930"/>
      <w:r>
        <w:rPr>
          <w:rFonts w:hint="cs"/>
          <w:rtl/>
        </w:rPr>
        <w:t>אותו.</w:t>
      </w:r>
      <w:bookmarkStart w:id="31931" w:name="_ETM_Q56_739022"/>
      <w:bookmarkEnd w:id="31931"/>
      <w:r>
        <w:rPr>
          <w:rFonts w:hint="cs"/>
          <w:rtl/>
        </w:rPr>
        <w:t xml:space="preserve"> </w:t>
      </w:r>
      <w:bookmarkStart w:id="31932" w:name="_ETM_Q56_735879"/>
      <w:bookmarkEnd w:id="31932"/>
      <w:r>
        <w:rPr>
          <w:rFonts w:hint="cs"/>
          <w:rtl/>
        </w:rPr>
        <w:t xml:space="preserve">עזבתי </w:t>
      </w:r>
      <w:bookmarkStart w:id="31933" w:name="_ETM_Q56_736569"/>
      <w:bookmarkEnd w:id="31933"/>
      <w:r>
        <w:rPr>
          <w:rFonts w:hint="cs"/>
          <w:rtl/>
        </w:rPr>
        <w:t xml:space="preserve">את </w:t>
      </w:r>
      <w:bookmarkStart w:id="31934" w:name="_ETM_Q56_736660"/>
      <w:bookmarkEnd w:id="31934"/>
      <w:r>
        <w:rPr>
          <w:rFonts w:hint="cs"/>
          <w:rtl/>
        </w:rPr>
        <w:t xml:space="preserve">הליכוד </w:t>
      </w:r>
      <w:bookmarkStart w:id="31935" w:name="_ETM_Q56_737139"/>
      <w:bookmarkEnd w:id="31935"/>
      <w:r>
        <w:rPr>
          <w:rFonts w:hint="cs"/>
          <w:rtl/>
        </w:rPr>
        <w:t xml:space="preserve">והגשתי </w:t>
      </w:r>
      <w:bookmarkStart w:id="31936" w:name="_ETM_Q56_737830"/>
      <w:bookmarkEnd w:id="31936"/>
      <w:r>
        <w:rPr>
          <w:rFonts w:hint="cs"/>
          <w:rtl/>
        </w:rPr>
        <w:t xml:space="preserve">מכתב </w:t>
      </w:r>
      <w:bookmarkStart w:id="31937" w:name="_ETM_Q56_738160"/>
      <w:bookmarkEnd w:id="31937"/>
      <w:r>
        <w:rPr>
          <w:rFonts w:hint="cs"/>
          <w:rtl/>
        </w:rPr>
        <w:t xml:space="preserve">התפטרות </w:t>
      </w:r>
      <w:bookmarkStart w:id="31938" w:name="_ETM_Q56_738759"/>
      <w:bookmarkEnd w:id="31938"/>
      <w:r>
        <w:rPr>
          <w:rFonts w:hint="cs"/>
          <w:rtl/>
        </w:rPr>
        <w:t>פה</w:t>
      </w:r>
      <w:bookmarkStart w:id="31939" w:name="_ETM_Q56_738351"/>
      <w:bookmarkEnd w:id="31939"/>
      <w:r>
        <w:rPr>
          <w:rFonts w:hint="cs"/>
          <w:rtl/>
        </w:rPr>
        <w:t xml:space="preserve"> </w:t>
      </w:r>
      <w:bookmarkStart w:id="31940" w:name="_ETM_Q56_738970"/>
      <w:bookmarkEnd w:id="31940"/>
      <w:r>
        <w:rPr>
          <w:rFonts w:hint="cs"/>
          <w:rtl/>
        </w:rPr>
        <w:t>ליושב-רא</w:t>
      </w:r>
      <w:bookmarkStart w:id="31941" w:name="_ETM_Q56_739701"/>
      <w:bookmarkEnd w:id="31941"/>
      <w:r>
        <w:rPr>
          <w:rFonts w:hint="cs"/>
          <w:rtl/>
        </w:rPr>
        <w:t xml:space="preserve">ש </w:t>
      </w:r>
      <w:bookmarkStart w:id="31942" w:name="_ETM_Q56_740639"/>
      <w:bookmarkEnd w:id="31942"/>
      <w:r>
        <w:rPr>
          <w:rFonts w:hint="cs"/>
          <w:rtl/>
        </w:rPr>
        <w:t xml:space="preserve">שהיה </w:t>
      </w:r>
      <w:bookmarkStart w:id="31943" w:name="_ETM_Q56_740879"/>
      <w:bookmarkEnd w:id="31943"/>
      <w:r>
        <w:rPr>
          <w:rFonts w:hint="cs"/>
          <w:rtl/>
        </w:rPr>
        <w:t xml:space="preserve">אז, </w:t>
      </w:r>
      <w:bookmarkStart w:id="31944" w:name="_ETM_Q56_741059"/>
      <w:bookmarkEnd w:id="31944"/>
      <w:r>
        <w:rPr>
          <w:rFonts w:hint="cs"/>
          <w:rtl/>
        </w:rPr>
        <w:t xml:space="preserve">יולי </w:t>
      </w:r>
      <w:bookmarkStart w:id="31945" w:name="_ETM_Q56_741330"/>
      <w:bookmarkEnd w:id="31945"/>
      <w:r>
        <w:rPr>
          <w:rFonts w:hint="cs"/>
          <w:rtl/>
        </w:rPr>
        <w:t xml:space="preserve">אדלשטיין, </w:t>
      </w:r>
      <w:bookmarkStart w:id="31946" w:name="_ETM_Q56_741840"/>
      <w:bookmarkEnd w:id="31946"/>
      <w:r>
        <w:rPr>
          <w:rFonts w:hint="cs"/>
          <w:rtl/>
        </w:rPr>
        <w:t xml:space="preserve">והלכתי </w:t>
      </w:r>
      <w:bookmarkStart w:id="31947" w:name="_ETM_Q56_742289"/>
      <w:bookmarkEnd w:id="31947"/>
      <w:r>
        <w:rPr>
          <w:rFonts w:hint="cs"/>
          <w:rtl/>
        </w:rPr>
        <w:t xml:space="preserve">להקים </w:t>
      </w:r>
      <w:bookmarkStart w:id="31948" w:name="_ETM_Q56_742679"/>
      <w:bookmarkEnd w:id="31948"/>
      <w:r>
        <w:rPr>
          <w:rFonts w:hint="cs"/>
          <w:rtl/>
        </w:rPr>
        <w:t xml:space="preserve">תנועה </w:t>
      </w:r>
      <w:bookmarkStart w:id="31949" w:name="_ETM_Q56_742949"/>
      <w:bookmarkEnd w:id="31949"/>
      <w:r>
        <w:rPr>
          <w:rFonts w:hint="cs"/>
          <w:rtl/>
        </w:rPr>
        <w:t xml:space="preserve">פוליטית </w:t>
      </w:r>
      <w:bookmarkStart w:id="31950" w:name="_ETM_Q56_743400"/>
      <w:bookmarkEnd w:id="31950"/>
      <w:r>
        <w:rPr>
          <w:rFonts w:hint="cs"/>
          <w:rtl/>
        </w:rPr>
        <w:t>חדשה</w:t>
      </w:r>
      <w:r w:rsidR="00035376">
        <w:rPr>
          <w:rFonts w:hint="cs"/>
          <w:rtl/>
        </w:rPr>
        <w:t>,</w:t>
      </w:r>
      <w:r>
        <w:rPr>
          <w:rFonts w:hint="cs"/>
          <w:rtl/>
        </w:rPr>
        <w:t xml:space="preserve"> </w:t>
      </w:r>
      <w:bookmarkStart w:id="31951" w:name="_ETM_Q56_743849"/>
      <w:bookmarkEnd w:id="31951"/>
      <w:r>
        <w:rPr>
          <w:rFonts w:hint="cs"/>
          <w:rtl/>
        </w:rPr>
        <w:t xml:space="preserve">כי </w:t>
      </w:r>
      <w:bookmarkStart w:id="31952" w:name="_ETM_Q56_744029"/>
      <w:bookmarkEnd w:id="31952"/>
      <w:r>
        <w:rPr>
          <w:rFonts w:hint="cs"/>
          <w:rtl/>
        </w:rPr>
        <w:t xml:space="preserve">האמנתי </w:t>
      </w:r>
      <w:bookmarkStart w:id="31953" w:name="_ETM_Q56_744419"/>
      <w:bookmarkEnd w:id="31953"/>
      <w:r>
        <w:rPr>
          <w:rFonts w:hint="cs"/>
          <w:rtl/>
        </w:rPr>
        <w:t xml:space="preserve">שזאת </w:t>
      </w:r>
      <w:bookmarkStart w:id="31954" w:name="_ETM_Q56_744840"/>
      <w:bookmarkEnd w:id="31954"/>
      <w:r>
        <w:rPr>
          <w:rFonts w:hint="cs"/>
          <w:rtl/>
        </w:rPr>
        <w:t xml:space="preserve">טובת </w:t>
      </w:r>
      <w:bookmarkStart w:id="31955" w:name="_ETM_Q56_745199"/>
      <w:bookmarkEnd w:id="31955"/>
      <w:r>
        <w:rPr>
          <w:rFonts w:hint="cs"/>
          <w:rtl/>
        </w:rPr>
        <w:t xml:space="preserve">המדינה </w:t>
      </w:r>
      <w:bookmarkStart w:id="31956" w:name="_ETM_Q56_749240"/>
      <w:bookmarkEnd w:id="31956"/>
      <w:r>
        <w:rPr>
          <w:rFonts w:hint="cs"/>
          <w:rtl/>
        </w:rPr>
        <w:t xml:space="preserve">ושאני </w:t>
      </w:r>
      <w:bookmarkStart w:id="31957" w:name="_ETM_Q56_749900"/>
      <w:bookmarkEnd w:id="31957"/>
      <w:r>
        <w:rPr>
          <w:rFonts w:hint="cs"/>
          <w:rtl/>
        </w:rPr>
        <w:t xml:space="preserve">לא </w:t>
      </w:r>
      <w:bookmarkStart w:id="31958" w:name="_ETM_Q56_750110"/>
      <w:bookmarkEnd w:id="31958"/>
      <w:r>
        <w:rPr>
          <w:rFonts w:hint="cs"/>
          <w:rtl/>
        </w:rPr>
        <w:t xml:space="preserve">אצליח </w:t>
      </w:r>
      <w:bookmarkStart w:id="31959" w:name="_ETM_Q56_750559"/>
      <w:bookmarkEnd w:id="31959"/>
      <w:r>
        <w:rPr>
          <w:rFonts w:hint="cs"/>
          <w:rtl/>
        </w:rPr>
        <w:t xml:space="preserve">לשנות </w:t>
      </w:r>
      <w:bookmarkStart w:id="31960" w:name="_ETM_Q56_751040"/>
      <w:bookmarkEnd w:id="31960"/>
      <w:r>
        <w:rPr>
          <w:rFonts w:hint="cs"/>
          <w:rtl/>
        </w:rPr>
        <w:t xml:space="preserve">את </w:t>
      </w:r>
      <w:bookmarkStart w:id="31961" w:name="_ETM_Q56_751190"/>
      <w:bookmarkEnd w:id="31961"/>
      <w:r>
        <w:rPr>
          <w:rFonts w:hint="cs"/>
          <w:rtl/>
        </w:rPr>
        <w:t xml:space="preserve">הדברים </w:t>
      </w:r>
      <w:bookmarkStart w:id="31962" w:name="_ETM_Q56_752340"/>
      <w:bookmarkEnd w:id="31962"/>
      <w:r>
        <w:rPr>
          <w:rFonts w:hint="cs"/>
          <w:rtl/>
        </w:rPr>
        <w:t>מבפנים.</w:t>
      </w:r>
      <w:bookmarkStart w:id="31963" w:name="_ETM_Q56_753322"/>
      <w:bookmarkEnd w:id="31963"/>
      <w:r>
        <w:rPr>
          <w:rFonts w:hint="cs"/>
          <w:rtl/>
        </w:rPr>
        <w:t xml:space="preserve"> </w:t>
      </w:r>
      <w:bookmarkStart w:id="31964" w:name="_ETM_Q56_754080"/>
      <w:bookmarkEnd w:id="31964"/>
      <w:r>
        <w:rPr>
          <w:rFonts w:hint="cs"/>
          <w:rtl/>
        </w:rPr>
        <w:t xml:space="preserve">וזה </w:t>
      </w:r>
      <w:bookmarkStart w:id="31965" w:name="_ETM_Q56_754500"/>
      <w:bookmarkEnd w:id="31965"/>
      <w:r>
        <w:rPr>
          <w:rFonts w:hint="cs"/>
          <w:rtl/>
        </w:rPr>
        <w:t xml:space="preserve">לא </w:t>
      </w:r>
      <w:bookmarkStart w:id="31966" w:name="_ETM_Q56_754620"/>
      <w:bookmarkEnd w:id="31966"/>
      <w:r>
        <w:rPr>
          <w:rFonts w:hint="cs"/>
          <w:rtl/>
        </w:rPr>
        <w:t xml:space="preserve">קל. </w:t>
      </w:r>
      <w:bookmarkStart w:id="31967" w:name="_ETM_Q56_755030"/>
      <w:bookmarkEnd w:id="31967"/>
      <w:r>
        <w:rPr>
          <w:rFonts w:hint="cs"/>
          <w:rtl/>
        </w:rPr>
        <w:t xml:space="preserve">אתה </w:t>
      </w:r>
      <w:bookmarkStart w:id="31968" w:name="_ETM_Q56_755300"/>
      <w:bookmarkEnd w:id="31968"/>
      <w:r>
        <w:rPr>
          <w:rFonts w:hint="cs"/>
          <w:rtl/>
        </w:rPr>
        <w:t xml:space="preserve">משאיר </w:t>
      </w:r>
      <w:bookmarkStart w:id="31969" w:name="_ETM_Q56_755630"/>
      <w:bookmarkEnd w:id="31969"/>
      <w:r>
        <w:rPr>
          <w:rFonts w:hint="cs"/>
          <w:rtl/>
        </w:rPr>
        <w:t xml:space="preserve">מאחוריך </w:t>
      </w:r>
      <w:bookmarkStart w:id="31970" w:name="_ETM_Q56_756230"/>
      <w:bookmarkEnd w:id="31970"/>
      <w:r>
        <w:rPr>
          <w:rFonts w:hint="cs"/>
          <w:rtl/>
        </w:rPr>
        <w:t xml:space="preserve">הרבה </w:t>
      </w:r>
      <w:bookmarkStart w:id="31971" w:name="_ETM_Q56_756470"/>
      <w:bookmarkEnd w:id="31971"/>
      <w:r>
        <w:rPr>
          <w:rFonts w:hint="cs"/>
          <w:rtl/>
        </w:rPr>
        <w:t xml:space="preserve">חברים </w:t>
      </w:r>
      <w:bookmarkStart w:id="31972" w:name="_ETM_Q56_757520"/>
      <w:bookmarkEnd w:id="31972"/>
      <w:r>
        <w:rPr>
          <w:rFonts w:hint="cs"/>
          <w:rtl/>
        </w:rPr>
        <w:t xml:space="preserve">שתמכו </w:t>
      </w:r>
      <w:bookmarkStart w:id="31973" w:name="_ETM_Q56_758059"/>
      <w:bookmarkEnd w:id="31973"/>
      <w:r>
        <w:rPr>
          <w:rFonts w:hint="cs"/>
          <w:rtl/>
        </w:rPr>
        <w:t>בך</w:t>
      </w:r>
      <w:bookmarkStart w:id="31974" w:name="_ETM_Q56_755972"/>
      <w:bookmarkEnd w:id="31974"/>
      <w:r>
        <w:rPr>
          <w:rFonts w:hint="cs"/>
          <w:rtl/>
        </w:rPr>
        <w:t xml:space="preserve"> </w:t>
      </w:r>
      <w:bookmarkStart w:id="31975" w:name="_ETM_Q56_758420"/>
      <w:bookmarkEnd w:id="31975"/>
      <w:r>
        <w:rPr>
          <w:rFonts w:hint="cs"/>
          <w:rtl/>
        </w:rPr>
        <w:t xml:space="preserve">והרבה </w:t>
      </w:r>
      <w:bookmarkStart w:id="31976" w:name="_ETM_Q56_758690"/>
      <w:bookmarkEnd w:id="31976"/>
      <w:r>
        <w:rPr>
          <w:rFonts w:hint="cs"/>
          <w:rtl/>
        </w:rPr>
        <w:t xml:space="preserve">זיכרונות, </w:t>
      </w:r>
      <w:bookmarkStart w:id="31977" w:name="_ETM_Q56_759900"/>
      <w:bookmarkEnd w:id="31977"/>
      <w:r>
        <w:rPr>
          <w:rFonts w:hint="cs"/>
          <w:rtl/>
        </w:rPr>
        <w:t xml:space="preserve">ויוצא </w:t>
      </w:r>
      <w:bookmarkStart w:id="31978" w:name="_ETM_Q56_760500"/>
      <w:bookmarkEnd w:id="31978"/>
      <w:r>
        <w:rPr>
          <w:rFonts w:hint="cs"/>
          <w:rtl/>
        </w:rPr>
        <w:t xml:space="preserve">מאזור </w:t>
      </w:r>
      <w:bookmarkStart w:id="31979" w:name="_ETM_Q56_761070"/>
      <w:bookmarkEnd w:id="31979"/>
      <w:r>
        <w:rPr>
          <w:rFonts w:hint="cs"/>
          <w:rtl/>
        </w:rPr>
        <w:t xml:space="preserve">הנוחות </w:t>
      </w:r>
      <w:bookmarkStart w:id="31980" w:name="_ETM_Q56_761760"/>
      <w:bookmarkEnd w:id="31980"/>
      <w:r>
        <w:rPr>
          <w:rFonts w:hint="cs"/>
          <w:rtl/>
        </w:rPr>
        <w:t xml:space="preserve">הפוליטי </w:t>
      </w:r>
      <w:bookmarkStart w:id="31981" w:name="_ETM_Q56_763610"/>
      <w:bookmarkEnd w:id="31981"/>
      <w:r>
        <w:rPr>
          <w:rFonts w:hint="cs"/>
          <w:rtl/>
        </w:rPr>
        <w:t>שלך</w:t>
      </w:r>
      <w:bookmarkStart w:id="31982" w:name="_ETM_Q56_761532"/>
      <w:bookmarkEnd w:id="31982"/>
      <w:r>
        <w:rPr>
          <w:rFonts w:hint="cs"/>
          <w:rtl/>
        </w:rPr>
        <w:t>.</w:t>
      </w:r>
      <w:bookmarkStart w:id="31983" w:name="_ETM_Q56_768735"/>
      <w:bookmarkStart w:id="31984" w:name="_ETM_Q56_768815"/>
      <w:bookmarkStart w:id="31985" w:name="TOR_Q57"/>
      <w:bookmarkEnd w:id="31983"/>
      <w:bookmarkEnd w:id="31984"/>
      <w:bookmarkEnd w:id="31985"/>
      <w:r>
        <w:rPr>
          <w:rFonts w:hint="cs"/>
          <w:rtl/>
        </w:rPr>
        <w:t xml:space="preserve"> אבל הבנתי לאן הדברים הולכים, וידעתי שלא אוכל לעמוד במקום שאליו נתניהו לוקח את הליכוד ואת המדינה. אני גם אומר היום לחברים מסיעת הליכוד, ואני יודע שהסיכוי לשנות את דעתם באמירה הזאת אינו גבוה, אבל יש חברים רבים שאני משוחח איתם. הם לא רואים באופן שונה את החומרה, לאן הדברים הולכים כעם וכמדינה ומה המחירים שעם ישראל ומדינת ישראל הולכים לשלם. אני אומר להם: תדברו עם הילדים שלכם, הם יגידו לכם את האמת. תקשיבו להם. הם יישאו בתוצאות של ההכרעות בבית הזה – הילדים שלנו, הנכדים שלנו, הדורות הבאים – ויבוא יום והם ישאלו אתכם: איך יכולתם לעשות את זה? לא ראיתם מה שעומד לקרות?</w:t>
      </w:r>
    </w:p>
    <w:p w:rsidR="00BB59CD" w:rsidRDefault="00BB59CD" w:rsidP="00BB59CD">
      <w:pPr>
        <w:rPr>
          <w:rtl/>
        </w:rPr>
      </w:pPr>
    </w:p>
    <w:p w:rsidR="00BB59CD" w:rsidRDefault="00BB59CD" w:rsidP="00BB59CD">
      <w:pPr>
        <w:rPr>
          <w:rtl/>
        </w:rPr>
      </w:pPr>
      <w:r>
        <w:rPr>
          <w:rFonts w:hint="cs"/>
          <w:rtl/>
        </w:rPr>
        <w:t>אני יודע מה הקושי בתוך מסגרת פוליטית להתייצב, ללכת נגד הזרם, גם לפרוש, אבל עובדה היא שגדולי המנהיגים – זאב ז'בוטינסקי, שציינו 83 שנים לפטירתו בשבוע שעבר, פרש מההסתדרות הציונית והקים את ההסתדרות הציונית החדשה</w:t>
      </w:r>
      <w:bookmarkStart w:id="31986" w:name="_ETM_Q57_263853"/>
      <w:bookmarkStart w:id="31987" w:name="_ETM_Q57_263963"/>
      <w:bookmarkEnd w:id="31986"/>
      <w:bookmarkEnd w:id="31987"/>
      <w:r>
        <w:rPr>
          <w:rFonts w:hint="cs"/>
          <w:rtl/>
        </w:rPr>
        <w:t xml:space="preserve">, מתוך אמונה שהיא סטתה מהדרך להקמת מדינה יהודית או להגשמת </w:t>
      </w:r>
      <w:bookmarkStart w:id="31988" w:name="_ETM_Q57_272470"/>
      <w:bookmarkEnd w:id="31988"/>
      <w:r>
        <w:rPr>
          <w:rFonts w:hint="cs"/>
          <w:rtl/>
        </w:rPr>
        <w:t xml:space="preserve">חזון הציונות. </w:t>
      </w:r>
    </w:p>
    <w:p w:rsidR="00BB59CD" w:rsidRDefault="00BB59CD" w:rsidP="00BB59CD">
      <w:pPr>
        <w:rPr>
          <w:rtl/>
        </w:rPr>
      </w:pPr>
      <w:bookmarkStart w:id="31989" w:name="_ETM_Q57_274808"/>
      <w:bookmarkStart w:id="31990" w:name="_ETM_Q57_274868"/>
      <w:bookmarkEnd w:id="31989"/>
      <w:bookmarkEnd w:id="31990"/>
    </w:p>
    <w:p w:rsidR="00BB59CD" w:rsidRDefault="00BB59CD" w:rsidP="00BB59CD">
      <w:pPr>
        <w:rPr>
          <w:rtl/>
        </w:rPr>
      </w:pPr>
      <w:bookmarkStart w:id="31991" w:name="_ETM_Q57_274952"/>
      <w:bookmarkStart w:id="31992" w:name="_ETM_Q57_275000"/>
      <w:bookmarkEnd w:id="31991"/>
      <w:bookmarkEnd w:id="31992"/>
      <w:r>
        <w:rPr>
          <w:rFonts w:hint="cs"/>
          <w:rtl/>
        </w:rPr>
        <w:t xml:space="preserve">אני אומר לשר הביטחון יואב גלנט: במרץ עשית את המעשה הנכון – הצדענו לך – לא מפוזיציה פוליטית, אלא כי מימשת את האחריות שלך כשר הביטחון של מדינת ישראל, מתוקף התפקיד, כמי שאחראי לנושא הזה, לביטחון. הצדענו לך כי העדפת את טובת המדינה בסיטואציה פוליטית שאיננה קלה. אני אומר היום לרבים אחרים, לא אחד ולא שניים, מסיעת הליכוד: אתם יודעים כמה החיים הפוליטיים קשים, משעבדים, לפעמים אכזריים. מה הערך בשליחות אם אינך יכול ברגע האמת להעדיף את מה שבאמת חשוב? ומה שבאמת חשוב זה טובת המדינה. אני חושב שעם ישראל ברובו יכיר לכם תודה ויכיר לכם טובה. ואני קורא לאותם חברים – לשר הביטחון, ליו"ר ועדת החוץ והביטחון של הכנסת יולי אדלשטיין – כי אני מעריך אתכם ואני מאמין שטובת המדינה ועתידה יקרים לכם: עשו מעשה. בכוחכם לעשות מעשה ברגע גורלי לעם ישראל. אין רגע בחיים שלכם שבו תוכלו לעשות מעשה כל </w:t>
      </w:r>
      <w:bookmarkStart w:id="31993" w:name="_ETM_Q57_372114"/>
      <w:bookmarkEnd w:id="31993"/>
      <w:r>
        <w:rPr>
          <w:rFonts w:hint="cs"/>
          <w:rtl/>
        </w:rPr>
        <w:t xml:space="preserve">כך חשוב, ואם תחמיצו את הרגע, אתם תחיו עם תחושת ההחמצה הזאת. </w:t>
      </w:r>
    </w:p>
    <w:p w:rsidR="00BB59CD" w:rsidRDefault="00BB59CD" w:rsidP="00BB59CD">
      <w:pPr>
        <w:rPr>
          <w:rtl/>
        </w:rPr>
      </w:pPr>
    </w:p>
    <w:p w:rsidR="00BB59CD" w:rsidRDefault="00BB59CD" w:rsidP="00BB59CD">
      <w:pPr>
        <w:rPr>
          <w:rtl/>
        </w:rPr>
      </w:pPr>
      <w:r>
        <w:rPr>
          <w:rFonts w:hint="cs"/>
          <w:rtl/>
        </w:rPr>
        <w:t xml:space="preserve">אני רוצה, אדוני היושב-ראש, לפנות למחנה הגדול שהוא הוא היום רוב הציבור בישראל, שמתנגד למהלכים האלה ומתנגד גם לחוק הזה, ולומר כמה דברים. 1. שינוי אמיתי יוכל להיות רק אחרי בחירות. בהרכב הנוכחי של הכנסת הזאת יהיה קשה לחולל, אולי בלתי אפשרי, שינוי לטובה. 2. אנחנו במיעוט בכנסת הזאת, ויש לכך משמעויות, ואחת המשמעויות – שצריך להבין שהמערכה הזאת תהיה ארוכה. היא תדרוש לא רק נחישות, היא תדרוש גם אורך נשימה. אין כאן הוקוס-פוקוס, אין כאן קסמים, כי צריך להבין מה עומד לפנינו. אנחנו מבינים היטב שזה לא סוגיית </w:t>
      </w:r>
      <w:bookmarkStart w:id="31994" w:name="_ETM_Q57_445601"/>
      <w:bookmarkEnd w:id="31994"/>
      <w:r>
        <w:rPr>
          <w:rFonts w:hint="cs"/>
          <w:rtl/>
        </w:rPr>
        <w:t xml:space="preserve">עילת הסבירות לבדה. גם שר המשפטים עצמו – כולל בשעות האחרונות שמענו דברים מסוימים – וגם ראש </w:t>
      </w:r>
      <w:r w:rsidR="00035376">
        <w:rPr>
          <w:rFonts w:hint="cs"/>
          <w:rtl/>
        </w:rPr>
        <w:t>ה</w:t>
      </w:r>
      <w:r>
        <w:rPr>
          <w:rFonts w:hint="cs"/>
          <w:rtl/>
        </w:rPr>
        <w:t xml:space="preserve">ממשלה, כולל בשיחה לנשיא ארצות הברית, וגם שר האוצר, כולם חזרו על כך שנגיע לכנס החורף עם הוועדה לבחירת שופטים, או בלשונו של בן גביר, אלה </w:t>
      </w:r>
      <w:bookmarkStart w:id="31995" w:name="_ETM_Q57_473204"/>
      <w:bookmarkEnd w:id="31995"/>
      <w:r>
        <w:rPr>
          <w:rFonts w:hint="cs"/>
          <w:rtl/>
        </w:rPr>
        <w:t xml:space="preserve">רק הסלטים לפתוח את התיאבון. ההתנפלות על היועצת המשפטית לממשלה ועל משרתי ציבור </w:t>
      </w:r>
      <w:bookmarkStart w:id="31996" w:name="_ETM_Q57_481755"/>
      <w:bookmarkEnd w:id="31996"/>
      <w:r>
        <w:rPr>
          <w:rFonts w:hint="cs"/>
          <w:rtl/>
        </w:rPr>
        <w:t xml:space="preserve">אחרים נמשכת גם היום. הממשלה הזאת, הקואליציה הזאת, היא במסלול ברור ועקבי. היא מבקשת להיות מעל החוק; היא מבקשת לפרק את כל האיזונים והבלמים; היא מבקשת לקבל יועצים משפטיים ושופטים מסוג אחר. אנחנו רואים חשיבות ברפורמה במערכת המשפט, אבל זאת לא רפורמה במערכת המשפט, זה פירוק יסודות המדינה, ולכך נתנגד.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מודה לחבר הכנסת סער, ומתכבד להזמין את חבר הכנסת משה טור פז לשאת את דבריו, בבקשה.  </w:t>
      </w:r>
    </w:p>
    <w:p w:rsidR="00BB59CD" w:rsidRDefault="00BB59CD" w:rsidP="00BB59CD">
      <w:pPr>
        <w:rPr>
          <w:rtl/>
          <w:lang w:eastAsia="he-IL"/>
        </w:rPr>
      </w:pPr>
    </w:p>
    <w:p w:rsidR="00BB59CD" w:rsidRDefault="00BB59CD" w:rsidP="00BB59CD">
      <w:pPr>
        <w:rPr>
          <w:rtl/>
          <w:lang w:eastAsia="he-IL"/>
        </w:rPr>
      </w:pPr>
    </w:p>
    <w:p w:rsidR="00BB59CD" w:rsidRDefault="00BB59CD" w:rsidP="00BB59CD">
      <w:pPr>
        <w:pStyle w:val="a7"/>
        <w:rPr>
          <w:rtl/>
          <w:lang w:eastAsia="he-IL"/>
        </w:rPr>
      </w:pPr>
      <w:r>
        <w:rPr>
          <w:rStyle w:val="TagStyle"/>
          <w:rFonts w:hint="cs"/>
          <w:rtl/>
        </w:rPr>
        <w:t xml:space="preserve"> &lt;&lt; נושא &gt;&gt; </w:t>
      </w:r>
      <w:bookmarkStart w:id="31997" w:name="_Toc141197160"/>
      <w:bookmarkStart w:id="31998" w:name="_Toc141196896"/>
      <w:r>
        <w:rPr>
          <w:rFonts w:hint="cs"/>
          <w:rtl/>
          <w:lang w:eastAsia="he-IL"/>
        </w:rPr>
        <w:t>מסמכים שהונחו על שולחן הכנסת</w:t>
      </w:r>
      <w:bookmarkEnd w:id="31997"/>
      <w:bookmarkEnd w:id="31998"/>
      <w:r>
        <w:rPr>
          <w:rStyle w:val="TagStyle"/>
          <w:rFonts w:hint="cs"/>
          <w:rtl/>
        </w:rPr>
        <w:t xml:space="preserve"> &lt;&lt; נושא &gt;&gt;</w:t>
      </w:r>
      <w:r>
        <w:rPr>
          <w:rFonts w:hint="cs"/>
          <w:rtl/>
          <w:lang w:eastAsia="he-IL"/>
        </w:rPr>
        <w:t xml:space="preserve">   </w:t>
      </w:r>
    </w:p>
    <w:p w:rsidR="00BB59CD" w:rsidRDefault="00BB59CD" w:rsidP="00BB59CD">
      <w:pPr>
        <w:rPr>
          <w:rtl/>
          <w:lang w:eastAsia="he-IL"/>
        </w:rPr>
      </w:pPr>
    </w:p>
    <w:p w:rsidR="00BB59CD" w:rsidRDefault="00BB59CD" w:rsidP="00BB59CD">
      <w:pPr>
        <w:pStyle w:val="af9"/>
        <w:keepNext/>
        <w:rPr>
          <w:rtl/>
        </w:rPr>
      </w:pPr>
      <w:bookmarkStart w:id="31999" w:name="ET_yor_6423_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1999"/>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הודעה לסגנית </w:t>
      </w:r>
      <w:bookmarkStart w:id="32000" w:name="_ETM_Q57_528801"/>
      <w:bookmarkEnd w:id="32000"/>
      <w:r>
        <w:rPr>
          <w:rFonts w:hint="cs"/>
          <w:rtl/>
          <w:lang w:eastAsia="he-IL"/>
        </w:rPr>
        <w:t xml:space="preserve">מזכיר הכנסת, בבקשה. </w:t>
      </w:r>
    </w:p>
    <w:p w:rsidR="00BB59CD" w:rsidRDefault="00BB59CD" w:rsidP="00BB59CD">
      <w:pPr>
        <w:rPr>
          <w:rtl/>
          <w:lang w:eastAsia="he-IL"/>
        </w:rPr>
      </w:pPr>
    </w:p>
    <w:p w:rsidR="00BB59CD" w:rsidRDefault="00BB59CD" w:rsidP="00BB59CD">
      <w:pPr>
        <w:pStyle w:val="a5"/>
        <w:keepNext/>
        <w:rPr>
          <w:rtl/>
        </w:rPr>
      </w:pPr>
      <w:bookmarkStart w:id="32001" w:name="ET_speaker_6118_7"/>
      <w:r>
        <w:rPr>
          <w:rStyle w:val="TagStyle"/>
          <w:rFonts w:hint="cs"/>
          <w:rtl/>
        </w:rPr>
        <w:t xml:space="preserve"> &lt;&lt; דובר &gt;&gt; </w:t>
      </w:r>
      <w:bookmarkStart w:id="32002" w:name="_Toc141197161"/>
      <w:bookmarkStart w:id="32003" w:name="_Toc141196897"/>
      <w:r>
        <w:rPr>
          <w:rFonts w:hint="cs"/>
          <w:rtl/>
        </w:rPr>
        <w:t>סגנית מזכיר הכנסת אלינור ימין:</w:t>
      </w:r>
      <w:bookmarkEnd w:id="32002"/>
      <w:bookmarkEnd w:id="32003"/>
      <w:r>
        <w:rPr>
          <w:rStyle w:val="TagStyle"/>
          <w:rFonts w:hint="cs"/>
          <w:rtl/>
        </w:rPr>
        <w:t xml:space="preserve"> &lt;&lt; דובר &gt;&gt;</w:t>
      </w:r>
      <w:r>
        <w:rPr>
          <w:rFonts w:hint="cs"/>
          <w:rtl/>
        </w:rPr>
        <w:t xml:space="preserve">   </w:t>
      </w:r>
      <w:bookmarkEnd w:id="3200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ברשות יושב-ראש הכנסת, הינני מתכבדת להודיעכם, כי הונחה היום על שולחן הכנסת, לקריאה שנייה ולקריאה שלישית, </w:t>
      </w:r>
      <w:bookmarkStart w:id="32004" w:name="_ETM_Q57_537813"/>
      <w:bookmarkEnd w:id="32004"/>
      <w:r>
        <w:rPr>
          <w:rFonts w:hint="cs"/>
          <w:rtl/>
          <w:lang w:eastAsia="he-IL"/>
        </w:rPr>
        <w:t xml:space="preserve">הצעת חוק הסדרת העיסוק במקצועות הבריאות (תיקון מס' 8), התשפ"ג–2023, </w:t>
      </w:r>
      <w:bookmarkStart w:id="32005" w:name="_ETM_Q57_539959"/>
      <w:bookmarkEnd w:id="32005"/>
      <w:r>
        <w:rPr>
          <w:rFonts w:hint="cs"/>
          <w:rtl/>
          <w:lang w:eastAsia="he-IL"/>
        </w:rPr>
        <w:t xml:space="preserve">שהחזירה ועדת הבריאות. תודה. </w:t>
      </w:r>
    </w:p>
    <w:p w:rsidR="00BB59CD" w:rsidRDefault="00BB59CD" w:rsidP="00BB59CD">
      <w:pPr>
        <w:rPr>
          <w:rtl/>
          <w:lang w:eastAsia="he-IL"/>
        </w:rPr>
      </w:pPr>
    </w:p>
    <w:p w:rsidR="00BB59CD" w:rsidRDefault="00BB59CD" w:rsidP="00BB59CD">
      <w:pPr>
        <w:pStyle w:val="af9"/>
        <w:keepNext/>
        <w:rPr>
          <w:rtl/>
        </w:rPr>
      </w:pPr>
      <w:bookmarkStart w:id="32006" w:name="ET_yor_6423_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2006"/>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רבה. </w:t>
      </w:r>
    </w:p>
    <w:p w:rsidR="00BB59CD" w:rsidRDefault="00BB59CD" w:rsidP="00BB59CD">
      <w:pPr>
        <w:rPr>
          <w:rtl/>
          <w:lang w:eastAsia="he-IL"/>
        </w:rPr>
      </w:pPr>
    </w:p>
    <w:p w:rsidR="00BB59CD" w:rsidRDefault="00BB59CD" w:rsidP="00BB59CD">
      <w:pPr>
        <w:rPr>
          <w:rtl/>
          <w:lang w:eastAsia="he-IL"/>
        </w:rPr>
      </w:pPr>
    </w:p>
    <w:p w:rsidR="00BB59CD" w:rsidRDefault="00BB59CD" w:rsidP="00BB59CD">
      <w:pPr>
        <w:pStyle w:val="a7"/>
        <w:rPr>
          <w:rtl/>
          <w:lang w:eastAsia="he-IL"/>
        </w:rPr>
      </w:pPr>
      <w:bookmarkStart w:id="32007" w:name="ET_hatsach_640328_3"/>
      <w:r>
        <w:rPr>
          <w:rStyle w:val="TagStyle"/>
          <w:rFonts w:hint="cs"/>
          <w:rtl/>
        </w:rPr>
        <w:t xml:space="preserve"> &lt;&lt; הצח &gt;&gt; </w:t>
      </w:r>
      <w:bookmarkStart w:id="32008" w:name="_Toc141197162"/>
      <w:bookmarkStart w:id="32009" w:name="_Toc141196898"/>
      <w:r>
        <w:rPr>
          <w:rFonts w:hint="cs"/>
          <w:rtl/>
          <w:lang w:eastAsia="he-IL"/>
        </w:rPr>
        <w:t>הצעת חוק-יסוד: השפיטה (תיקון מס' 4)</w:t>
      </w:r>
      <w:bookmarkEnd w:id="32008"/>
      <w:bookmarkEnd w:id="32009"/>
      <w:r>
        <w:rPr>
          <w:rStyle w:val="TagStyle"/>
          <w:rFonts w:hint="cs"/>
          <w:rtl/>
        </w:rPr>
        <w:t xml:space="preserve"> &lt;&lt; הצח &gt;&gt;</w:t>
      </w:r>
      <w:r>
        <w:rPr>
          <w:rFonts w:hint="cs"/>
          <w:rtl/>
          <w:lang w:eastAsia="he-IL"/>
        </w:rPr>
        <w:t xml:space="preserve">   </w:t>
      </w:r>
      <w:bookmarkEnd w:id="32007"/>
    </w:p>
    <w:p w:rsidR="00BB59CD" w:rsidRDefault="00BB59CD" w:rsidP="00BB59CD">
      <w:pPr>
        <w:pStyle w:val="-1"/>
        <w:rPr>
          <w:rtl/>
          <w:lang w:eastAsia="he-IL"/>
        </w:rPr>
      </w:pPr>
      <w:r>
        <w:rPr>
          <w:rFonts w:hint="cs"/>
          <w:rtl/>
          <w:lang w:eastAsia="he-IL"/>
        </w:rPr>
        <w:t>(קריאה שנייה וקריאה שלישית)</w:t>
      </w:r>
    </w:p>
    <w:p w:rsidR="00BB59CD" w:rsidRDefault="00BB59CD" w:rsidP="00BB59CD">
      <w:pPr>
        <w:rPr>
          <w:rtl/>
          <w:lang w:eastAsia="he-IL"/>
        </w:rPr>
      </w:pPr>
    </w:p>
    <w:p w:rsidR="00BB59CD" w:rsidRDefault="00BB59CD" w:rsidP="00BB59CD">
      <w:pPr>
        <w:pStyle w:val="af9"/>
        <w:keepNext/>
        <w:rPr>
          <w:rtl/>
        </w:rPr>
      </w:pPr>
      <w:bookmarkStart w:id="32010" w:name="ET_yor_6423_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2010"/>
    </w:p>
    <w:p w:rsidR="00BB59CD" w:rsidRDefault="00BB59CD" w:rsidP="00337201">
      <w:pPr>
        <w:rPr>
          <w:rtl/>
          <w:lang w:eastAsia="he-IL"/>
        </w:rPr>
      </w:pPr>
    </w:p>
    <w:p w:rsidR="00BB59CD" w:rsidRDefault="00BB59CD" w:rsidP="00BB59CD">
      <w:pPr>
        <w:rPr>
          <w:rtl/>
          <w:lang w:eastAsia="he-IL"/>
        </w:rPr>
      </w:pPr>
      <w:bookmarkStart w:id="32011" w:name="_ETM_Q57_526684"/>
      <w:bookmarkStart w:id="32012" w:name="_ETM_Q57_526761"/>
      <w:bookmarkEnd w:id="32011"/>
      <w:bookmarkEnd w:id="32012"/>
      <w:r>
        <w:rPr>
          <w:rFonts w:hint="cs"/>
          <w:rtl/>
          <w:lang w:eastAsia="he-IL"/>
        </w:rPr>
        <w:t xml:space="preserve">בבקשה. </w:t>
      </w:r>
    </w:p>
    <w:p w:rsidR="00BB59CD" w:rsidRDefault="00BB59CD" w:rsidP="00BB59CD">
      <w:pPr>
        <w:rPr>
          <w:rtl/>
          <w:lang w:eastAsia="he-IL"/>
        </w:rPr>
      </w:pPr>
    </w:p>
    <w:p w:rsidR="00BB59CD" w:rsidRDefault="00BB59CD" w:rsidP="00BB59CD">
      <w:pPr>
        <w:pStyle w:val="a5"/>
        <w:keepNext/>
        <w:rPr>
          <w:rtl/>
        </w:rPr>
      </w:pPr>
      <w:bookmarkStart w:id="32013" w:name="ET_speaker_6128_5"/>
      <w:r>
        <w:rPr>
          <w:rStyle w:val="TagStyle"/>
          <w:rFonts w:hint="cs"/>
          <w:rtl/>
        </w:rPr>
        <w:t xml:space="preserve"> &lt;&lt; דובר &gt;&gt; </w:t>
      </w:r>
      <w:bookmarkStart w:id="32014" w:name="_Toc141197163"/>
      <w:bookmarkStart w:id="32015" w:name="_Toc141196899"/>
      <w:r>
        <w:rPr>
          <w:rFonts w:hint="cs"/>
          <w:rtl/>
        </w:rPr>
        <w:t>משה טור פז (יש עתיד):</w:t>
      </w:r>
      <w:bookmarkEnd w:id="32014"/>
      <w:bookmarkEnd w:id="32015"/>
      <w:r>
        <w:rPr>
          <w:rStyle w:val="TagStyle"/>
          <w:rFonts w:hint="cs"/>
          <w:rtl/>
        </w:rPr>
        <w:t xml:space="preserve"> &lt;&lt; דובר &gt;&gt;</w:t>
      </w:r>
      <w:r>
        <w:rPr>
          <w:rFonts w:hint="cs"/>
          <w:rtl/>
        </w:rPr>
        <w:t xml:space="preserve">   </w:t>
      </w:r>
      <w:bookmarkEnd w:id="32013"/>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אדוני היושב-ראש, חבריי חברי הכנסת, הפתגם אומר שרק עם שזוכר את עברו, יש לו עתיד; זאת הגרסה המקוצרת של הפתגם </w:t>
      </w:r>
      <w:bookmarkStart w:id="32016" w:name="_ETM_Q57_569739"/>
      <w:bookmarkEnd w:id="32016"/>
      <w:r>
        <w:rPr>
          <w:rFonts w:hint="cs"/>
          <w:rtl/>
          <w:lang w:eastAsia="he-IL"/>
        </w:rPr>
        <w:t xml:space="preserve">הזה. מספרים על נפוליאון שהלך עם חייליו בלילה והסתובב בעיר. לפתע הם ראו אור קלוש בוקע מחלון אחד הבתים. ביקש נפוליאון להציץ, הציץ ונפגע. ראה המון של אנשים, גברים, נשים, ילדים, יושבים על הרצפה, בידיהם ספרים והם ממררים בבכי. שאל אותם נפוליאון: על מה אתם בוכים? אמרו לו: ביתנו נשרף. אמר נפוליאון: איך נשרף? אני אחראי פה, אני נפוליאון, לא סיפרו לי על בית חשוב שנשרף. אמרו לו: תקשיב, הבית נשרף לפני אלפיים </w:t>
      </w:r>
      <w:bookmarkStart w:id="32017" w:name="_ETM_Q57_597748"/>
      <w:bookmarkEnd w:id="32017"/>
      <w:r>
        <w:rPr>
          <w:rFonts w:hint="cs"/>
          <w:rtl/>
          <w:lang w:eastAsia="he-IL"/>
        </w:rPr>
        <w:t xml:space="preserve">שנה, על כך אנחנו בוכים. התפעל נפוליאון ואמר: עם שיודע כל כך </w:t>
      </w:r>
      <w:bookmarkStart w:id="32018" w:name="_ETM_Q57_619245"/>
      <w:bookmarkEnd w:id="32018"/>
      <w:r>
        <w:rPr>
          <w:rFonts w:hint="cs"/>
          <w:rtl/>
          <w:lang w:eastAsia="he-IL"/>
        </w:rPr>
        <w:t xml:space="preserve">טוב לזכור את העבר שלו, הוא חי את ההווה שלו, והעתיד שלו – העתיד שלו מובטח. </w:t>
      </w:r>
    </w:p>
    <w:p w:rsidR="00BB59CD" w:rsidRDefault="00BB59CD" w:rsidP="00BB59CD">
      <w:pPr>
        <w:rPr>
          <w:rtl/>
          <w:lang w:eastAsia="he-IL"/>
        </w:rPr>
      </w:pPr>
    </w:p>
    <w:p w:rsidR="00BB59CD" w:rsidRDefault="00BB59CD" w:rsidP="002E4473">
      <w:pPr>
        <w:rPr>
          <w:rtl/>
          <w:lang w:eastAsia="he-IL"/>
        </w:rPr>
      </w:pPr>
      <w:r>
        <w:rPr>
          <w:rFonts w:hint="cs"/>
          <w:rtl/>
          <w:lang w:eastAsia="he-IL"/>
        </w:rPr>
        <w:t xml:space="preserve">התאריך היום הוא ה' באב. אנחנו מתקרבים לסופם של שלושת השבועות, תשעת הימים, אירוע האבל הגדול ט' באב. אני רוצה לשאול אתכם באמת, אנשי הקואליציה: מה אתם מנסים להשיג כאן? הרי אתם לא יכולים לומר: אנחנו לא רואים, אנחנו לא שומעים. מאות אלפים ברחובות זועקים כבר חצי שנה, </w:t>
      </w:r>
      <w:bookmarkStart w:id="32019" w:name="_ETM_Q57_654402"/>
      <w:bookmarkEnd w:id="32019"/>
      <w:r>
        <w:rPr>
          <w:rFonts w:hint="cs"/>
          <w:rtl/>
          <w:lang w:eastAsia="he-IL"/>
        </w:rPr>
        <w:t xml:space="preserve">חרדים, חוששים, כואבים, ואתם דורסים, מתעלמים, מלגלגים. אצל אחד יש סלמי, אנחנו בפרוסה הראשונה; אצל השני בר הסלטים נפתח; אצל השלישית 1,000 טייסים כבר לא יצליחו לכבות; הרביעי, הרביעי מנופף ברולקסים. מה, מה אתם רוצים להשיג? הרי אתם </w:t>
      </w:r>
      <w:bookmarkStart w:id="32020" w:name="_ETM_Q57_680792"/>
      <w:bookmarkEnd w:id="32020"/>
      <w:r>
        <w:rPr>
          <w:rFonts w:hint="cs"/>
          <w:rtl/>
          <w:lang w:eastAsia="he-IL"/>
        </w:rPr>
        <w:t>יודעים שאומרים שההיסטוריה לעולם חוזרת. אנחנו מכירים את ההיסטוריה של השלטון היהודי בארץ ישראל. הוא החזיק פעמיים, ובשתי הפעמים הוא נהרס בעשור השמיני. אנחנו יודעים שלא חרבה ירושלים אלא על שנאת חינם. אנחנו מכירים את ממלכת יהודה וממלכת ישראל שהתפצלו להן. אנחנו בשבוע של תשעה באב, ואתם מה?</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אני כואב את כאב העם הזה. אני קשוב להיסטוריה, לקולות סביבנו, וחרד מהמשמעות ההיסטורית ומהאפשרות שההיסטוריה תחזור על עצמה. הרי אתם, חבריי בקואליציה, חבריי בממשלה, </w:t>
      </w:r>
      <w:bookmarkStart w:id="32021" w:name="_ETM_Q57_726758"/>
      <w:bookmarkEnd w:id="32021"/>
      <w:r>
        <w:rPr>
          <w:rFonts w:hint="cs"/>
          <w:rtl/>
          <w:lang w:eastAsia="he-IL"/>
        </w:rPr>
        <w:t xml:space="preserve">אתם השלטון היהודי בארץ היום. הכוח הוא אצלכם. הקשיבו להיסטוריה, הקשיבו לעם, הקשיבו לצורך בפיוס לאומי לפני שיהיה מאוחר מדי. אין לנו באמת אפשרות להרוס גם את הבית השלישי שעודנו נבנה. </w:t>
      </w:r>
    </w:p>
    <w:p w:rsidR="00BB59CD" w:rsidRDefault="00BB59CD" w:rsidP="00BB59CD">
      <w:pPr>
        <w:rPr>
          <w:rtl/>
          <w:lang w:eastAsia="he-IL"/>
        </w:rPr>
      </w:pPr>
      <w:bookmarkStart w:id="32022" w:name="_ETM_Q57_752650"/>
      <w:bookmarkStart w:id="32023" w:name="_ETM_Q57_752715"/>
      <w:bookmarkEnd w:id="32022"/>
      <w:bookmarkEnd w:id="32023"/>
    </w:p>
    <w:p w:rsidR="00BB59CD" w:rsidRDefault="00BB59CD" w:rsidP="002E4473">
      <w:pPr>
        <w:rPr>
          <w:rtl/>
        </w:rPr>
      </w:pPr>
      <w:bookmarkStart w:id="32024" w:name="_ETM_Q57_752777"/>
      <w:bookmarkStart w:id="32025" w:name="_ETM_Q57_752831"/>
      <w:bookmarkEnd w:id="32024"/>
      <w:bookmarkEnd w:id="32025"/>
      <w:r>
        <w:rPr>
          <w:rFonts w:hint="cs"/>
          <w:rtl/>
          <w:lang w:eastAsia="he-IL"/>
        </w:rPr>
        <w:t xml:space="preserve">במה עסוקים בתשעת הימים? בלהכניע, בלנצח יותר מדי, בלבדוק אם אנחנו דבקים באמת שלנו ורק בשלנו, בלהנציח סמלים. </w:t>
      </w:r>
      <w:bookmarkStart w:id="32026" w:name="TOR_Q58"/>
      <w:bookmarkStart w:id="32027" w:name="_ETM_Q58_180000"/>
      <w:bookmarkEnd w:id="32026"/>
      <w:bookmarkEnd w:id="32027"/>
      <w:r>
        <w:rPr>
          <w:rFonts w:hint="cs"/>
          <w:rtl/>
        </w:rPr>
        <w:t xml:space="preserve">בואו ניזכר ביחד על מה חרבה ירושלים. לפני כמה ימים לומדי הדף היומי למדו את </w:t>
      </w:r>
      <w:bookmarkStart w:id="32028" w:name="_ETM_Q58_180797"/>
      <w:bookmarkEnd w:id="32028"/>
      <w:r>
        <w:rPr>
          <w:rFonts w:hint="cs"/>
          <w:rtl/>
        </w:rPr>
        <w:t xml:space="preserve">מסכת גיטין, ובמסכת גיטין דף נ"ה עמוד ב' אנחנו </w:t>
      </w:r>
      <w:bookmarkStart w:id="32029" w:name="_ETM_Q58_180599"/>
      <w:bookmarkStart w:id="32030" w:name="_ETM_Q58_180960"/>
      <w:bookmarkStart w:id="32031" w:name="_ETM_Q58_181199"/>
      <w:bookmarkStart w:id="32032" w:name="_ETM_Q58_181469"/>
      <w:bookmarkStart w:id="32033" w:name="_ETM_Q58_181770"/>
      <w:bookmarkStart w:id="32034" w:name="_ETM_Q58_183300"/>
      <w:bookmarkEnd w:id="32029"/>
      <w:bookmarkEnd w:id="32030"/>
      <w:bookmarkEnd w:id="32031"/>
      <w:bookmarkEnd w:id="32032"/>
      <w:bookmarkEnd w:id="32033"/>
      <w:bookmarkEnd w:id="32034"/>
      <w:r>
        <w:rPr>
          <w:rFonts w:hint="cs"/>
          <w:rtl/>
        </w:rPr>
        <w:t xml:space="preserve">קוראים </w:t>
      </w:r>
      <w:bookmarkStart w:id="32035" w:name="_ETM_Q58_183600"/>
      <w:bookmarkEnd w:id="32035"/>
      <w:r>
        <w:rPr>
          <w:rFonts w:hint="cs"/>
          <w:rtl/>
        </w:rPr>
        <w:t xml:space="preserve">את </w:t>
      </w:r>
      <w:bookmarkStart w:id="32036" w:name="_ETM_Q58_183690"/>
      <w:bookmarkEnd w:id="32036"/>
      <w:r>
        <w:rPr>
          <w:rFonts w:hint="cs"/>
          <w:rtl/>
        </w:rPr>
        <w:t xml:space="preserve">הסיפור </w:t>
      </w:r>
      <w:bookmarkStart w:id="32037" w:name="_ETM_Q58_184140"/>
      <w:bookmarkEnd w:id="32037"/>
      <w:r>
        <w:rPr>
          <w:rFonts w:hint="cs"/>
          <w:rtl/>
        </w:rPr>
        <w:t xml:space="preserve">הידוע </w:t>
      </w:r>
      <w:bookmarkStart w:id="32038" w:name="_ETM_Q58_185100"/>
      <w:bookmarkStart w:id="32039" w:name="_ETM_Q58_186620"/>
      <w:bookmarkEnd w:id="32038"/>
      <w:bookmarkEnd w:id="32039"/>
      <w:r>
        <w:rPr>
          <w:rFonts w:hint="cs"/>
          <w:rtl/>
        </w:rPr>
        <w:t xml:space="preserve">על </w:t>
      </w:r>
      <w:bookmarkStart w:id="32040" w:name="_ETM_Q58_186920"/>
      <w:bookmarkEnd w:id="32040"/>
      <w:r>
        <w:rPr>
          <w:rFonts w:hint="cs"/>
          <w:rtl/>
        </w:rPr>
        <w:t xml:space="preserve">קמצא </w:t>
      </w:r>
      <w:bookmarkStart w:id="32041" w:name="_ETM_Q58_187520"/>
      <w:bookmarkEnd w:id="32041"/>
      <w:r>
        <w:rPr>
          <w:rFonts w:hint="cs"/>
          <w:rtl/>
        </w:rPr>
        <w:t>ובר</w:t>
      </w:r>
      <w:bookmarkStart w:id="32042" w:name="_ETM_Q58_190475"/>
      <w:bookmarkEnd w:id="32042"/>
      <w:r>
        <w:rPr>
          <w:rFonts w:hint="cs"/>
          <w:rtl/>
        </w:rPr>
        <w:t xml:space="preserve">-קמצא, </w:t>
      </w:r>
      <w:bookmarkStart w:id="32043" w:name="_ETM_Q58_188750"/>
      <w:bookmarkEnd w:id="32043"/>
      <w:r>
        <w:rPr>
          <w:rFonts w:hint="cs"/>
          <w:rtl/>
        </w:rPr>
        <w:t xml:space="preserve">אז </w:t>
      </w:r>
      <w:bookmarkStart w:id="32044" w:name="_ETM_Q58_188930"/>
      <w:bookmarkEnd w:id="32044"/>
      <w:r>
        <w:rPr>
          <w:rFonts w:hint="cs"/>
          <w:rtl/>
        </w:rPr>
        <w:t xml:space="preserve">בואו </w:t>
      </w:r>
      <w:bookmarkStart w:id="32045" w:name="_ETM_Q58_189080"/>
      <w:bookmarkEnd w:id="32045"/>
      <w:r>
        <w:rPr>
          <w:rFonts w:hint="cs"/>
          <w:rtl/>
        </w:rPr>
        <w:t xml:space="preserve">נקרא </w:t>
      </w:r>
      <w:bookmarkStart w:id="32046" w:name="_ETM_Q58_189410"/>
      <w:bookmarkEnd w:id="32046"/>
      <w:r>
        <w:rPr>
          <w:rFonts w:hint="cs"/>
          <w:rtl/>
        </w:rPr>
        <w:t xml:space="preserve">מהו. </w:t>
      </w:r>
      <w:bookmarkStart w:id="32047" w:name="_ETM_Q58_191450"/>
      <w:bookmarkStart w:id="32048" w:name="_ETM_Q58_191780"/>
      <w:bookmarkStart w:id="32049" w:name="_ETM_Q58_191990"/>
      <w:bookmarkEnd w:id="32047"/>
      <w:bookmarkEnd w:id="32048"/>
      <w:bookmarkEnd w:id="32049"/>
      <w:r>
        <w:rPr>
          <w:rFonts w:hint="cs"/>
          <w:rtl/>
        </w:rPr>
        <w:t xml:space="preserve">אני </w:t>
      </w:r>
      <w:bookmarkStart w:id="32050" w:name="_ETM_Q58_192619"/>
      <w:bookmarkEnd w:id="32050"/>
      <w:r>
        <w:rPr>
          <w:rFonts w:hint="cs"/>
          <w:rtl/>
        </w:rPr>
        <w:t xml:space="preserve">קורא </w:t>
      </w:r>
      <w:bookmarkStart w:id="32051" w:name="_ETM_Q58_192889"/>
      <w:bookmarkEnd w:id="32051"/>
      <w:r>
        <w:rPr>
          <w:rFonts w:hint="cs"/>
          <w:rtl/>
        </w:rPr>
        <w:t xml:space="preserve">בתרגום </w:t>
      </w:r>
      <w:bookmarkStart w:id="32052" w:name="_ETM_Q58_194129"/>
      <w:bookmarkEnd w:id="32052"/>
      <w:r>
        <w:rPr>
          <w:rFonts w:hint="cs"/>
          <w:rtl/>
        </w:rPr>
        <w:t>מה</w:t>
      </w:r>
      <w:bookmarkStart w:id="32053" w:name="_ETM_Q58_194309"/>
      <w:bookmarkEnd w:id="32053"/>
      <w:r>
        <w:rPr>
          <w:rFonts w:hint="cs"/>
          <w:rtl/>
        </w:rPr>
        <w:t xml:space="preserve">תלמוד </w:t>
      </w:r>
      <w:bookmarkStart w:id="32054" w:name="_ETM_Q58_194699"/>
      <w:bookmarkEnd w:id="32054"/>
      <w:r>
        <w:rPr>
          <w:rFonts w:hint="cs"/>
          <w:rtl/>
        </w:rPr>
        <w:t xml:space="preserve">הבבלי. </w:t>
      </w:r>
      <w:bookmarkStart w:id="32055" w:name="_ETM_Q58_196360"/>
      <w:bookmarkEnd w:id="32055"/>
      <w:r>
        <w:rPr>
          <w:rFonts w:hint="cs"/>
          <w:rtl/>
        </w:rPr>
        <w:t xml:space="preserve">"אמר </w:t>
      </w:r>
      <w:bookmarkStart w:id="32056" w:name="_ETM_Q58_196660"/>
      <w:bookmarkEnd w:id="32056"/>
      <w:r>
        <w:rPr>
          <w:rFonts w:hint="cs"/>
          <w:rtl/>
        </w:rPr>
        <w:t xml:space="preserve">רבי </w:t>
      </w:r>
      <w:bookmarkStart w:id="32057" w:name="_ETM_Q58_196870"/>
      <w:bookmarkEnd w:id="32057"/>
      <w:r>
        <w:rPr>
          <w:rFonts w:hint="cs"/>
          <w:rtl/>
        </w:rPr>
        <w:t xml:space="preserve">יוחנן: </w:t>
      </w:r>
      <w:bookmarkStart w:id="32058" w:name="_ETM_Q58_198130"/>
      <w:bookmarkEnd w:id="32058"/>
      <w:r>
        <w:rPr>
          <w:rFonts w:hint="cs"/>
          <w:rtl/>
        </w:rPr>
        <w:t xml:space="preserve">מהו </w:t>
      </w:r>
      <w:bookmarkStart w:id="32059" w:name="_ETM_Q58_198369"/>
      <w:bookmarkStart w:id="32060" w:name="_ETM_Q58_198489"/>
      <w:bookmarkEnd w:id="32059"/>
      <w:bookmarkEnd w:id="32060"/>
      <w:r>
        <w:rPr>
          <w:rFonts w:hint="cs"/>
          <w:rtl/>
        </w:rPr>
        <w:t xml:space="preserve">שכתוב </w:t>
      </w:r>
      <w:bookmarkStart w:id="32061" w:name="_ETM_Q58_199119"/>
      <w:bookmarkEnd w:id="32061"/>
      <w:r>
        <w:rPr>
          <w:rFonts w:hint="cs"/>
          <w:rtl/>
        </w:rPr>
        <w:t xml:space="preserve">'אשרי </w:t>
      </w:r>
      <w:bookmarkStart w:id="32062" w:name="_ETM_Q58_199450"/>
      <w:bookmarkEnd w:id="32062"/>
      <w:r>
        <w:rPr>
          <w:rFonts w:hint="cs"/>
          <w:rtl/>
        </w:rPr>
        <w:t xml:space="preserve">אדם </w:t>
      </w:r>
      <w:bookmarkStart w:id="32063" w:name="_ETM_Q58_200050"/>
      <w:bookmarkEnd w:id="32063"/>
      <w:r>
        <w:rPr>
          <w:rFonts w:hint="cs"/>
          <w:rtl/>
        </w:rPr>
        <w:t xml:space="preserve">מפחד </w:t>
      </w:r>
      <w:bookmarkStart w:id="32064" w:name="_ETM_Q58_200619"/>
      <w:bookmarkEnd w:id="32064"/>
      <w:r>
        <w:rPr>
          <w:rFonts w:hint="cs"/>
          <w:rtl/>
        </w:rPr>
        <w:t xml:space="preserve">תמיד </w:t>
      </w:r>
      <w:bookmarkStart w:id="32065" w:name="_ETM_Q58_201939"/>
      <w:bookmarkEnd w:id="32065"/>
      <w:r>
        <w:rPr>
          <w:rFonts w:hint="cs"/>
          <w:rtl/>
        </w:rPr>
        <w:t xml:space="preserve">ומקשה ליבו ייפול ברעה'? </w:t>
      </w:r>
      <w:bookmarkStart w:id="32066" w:name="_ETM_Q58_202060"/>
      <w:bookmarkStart w:id="32067" w:name="_ETM_Q58_202390"/>
      <w:bookmarkStart w:id="32068" w:name="_ETM_Q58_202539"/>
      <w:bookmarkStart w:id="32069" w:name="_ETM_Q58_202689"/>
      <w:bookmarkStart w:id="32070" w:name="_ETM_Q58_203720"/>
      <w:bookmarkStart w:id="32071" w:name="_ETM_Q58_203989"/>
      <w:bookmarkStart w:id="32072" w:name="_ETM_Q58_204320"/>
      <w:bookmarkStart w:id="32073" w:name="_ETM_Q58_205829"/>
      <w:bookmarkEnd w:id="32066"/>
      <w:bookmarkEnd w:id="32067"/>
      <w:bookmarkEnd w:id="32068"/>
      <w:bookmarkEnd w:id="32069"/>
      <w:bookmarkEnd w:id="32070"/>
      <w:bookmarkEnd w:id="32071"/>
      <w:bookmarkEnd w:id="32072"/>
      <w:bookmarkEnd w:id="32073"/>
      <w:r>
        <w:rPr>
          <w:rFonts w:hint="cs"/>
          <w:rtl/>
        </w:rPr>
        <w:t xml:space="preserve">על </w:t>
      </w:r>
      <w:bookmarkStart w:id="32074" w:name="_ETM_Q58_206159"/>
      <w:bookmarkEnd w:id="32074"/>
      <w:r>
        <w:rPr>
          <w:rFonts w:hint="cs"/>
          <w:rtl/>
        </w:rPr>
        <w:t xml:space="preserve">קמצא </w:t>
      </w:r>
      <w:bookmarkStart w:id="32075" w:name="_ETM_Q58_206970"/>
      <w:bookmarkEnd w:id="32075"/>
      <w:r>
        <w:rPr>
          <w:rFonts w:hint="cs"/>
          <w:rtl/>
        </w:rPr>
        <w:t xml:space="preserve">ובר-קמצא </w:t>
      </w:r>
      <w:bookmarkStart w:id="32076" w:name="_ETM_Q58_208720"/>
      <w:bookmarkEnd w:id="32076"/>
      <w:r>
        <w:rPr>
          <w:rFonts w:hint="cs"/>
          <w:rtl/>
        </w:rPr>
        <w:t xml:space="preserve">חרבה </w:t>
      </w:r>
      <w:bookmarkStart w:id="32077" w:name="_ETM_Q58_209259"/>
      <w:bookmarkEnd w:id="32077"/>
      <w:r>
        <w:rPr>
          <w:rFonts w:hint="cs"/>
          <w:rtl/>
        </w:rPr>
        <w:t xml:space="preserve">ירושלים, </w:t>
      </w:r>
      <w:bookmarkStart w:id="32078" w:name="_ETM_Q58_211650"/>
      <w:bookmarkEnd w:id="32078"/>
      <w:r>
        <w:rPr>
          <w:rFonts w:hint="cs"/>
          <w:rtl/>
        </w:rPr>
        <w:t xml:space="preserve">שאותו </w:t>
      </w:r>
      <w:bookmarkStart w:id="32079" w:name="_ETM_Q58_212219"/>
      <w:bookmarkEnd w:id="32079"/>
      <w:r>
        <w:rPr>
          <w:rFonts w:hint="cs"/>
          <w:rtl/>
        </w:rPr>
        <w:t xml:space="preserve">איש </w:t>
      </w:r>
      <w:bookmarkStart w:id="32080" w:name="_ETM_Q58_213420"/>
      <w:bookmarkEnd w:id="32080"/>
      <w:r>
        <w:rPr>
          <w:rFonts w:hint="cs"/>
          <w:rtl/>
        </w:rPr>
        <w:t xml:space="preserve">שאוהבו קמצא ובעל ריבו בר-קמצא עשה סעודה." היה אדם </w:t>
      </w:r>
      <w:bookmarkStart w:id="32081" w:name="_ETM_Q58_213809"/>
      <w:bookmarkStart w:id="32082" w:name="_ETM_Q58_214079"/>
      <w:bookmarkStart w:id="32083" w:name="_ETM_Q58_215550"/>
      <w:bookmarkStart w:id="32084" w:name="_ETM_Q58_216000"/>
      <w:bookmarkStart w:id="32085" w:name="_ETM_Q58_216930"/>
      <w:bookmarkStart w:id="32086" w:name="_ETM_Q58_218300"/>
      <w:bookmarkEnd w:id="32081"/>
      <w:bookmarkEnd w:id="32082"/>
      <w:bookmarkEnd w:id="32083"/>
      <w:bookmarkEnd w:id="32084"/>
      <w:bookmarkEnd w:id="32085"/>
      <w:bookmarkEnd w:id="32086"/>
      <w:r>
        <w:rPr>
          <w:rFonts w:hint="cs"/>
          <w:rtl/>
        </w:rPr>
        <w:t xml:space="preserve">שהיה </w:t>
      </w:r>
      <w:bookmarkStart w:id="32087" w:name="_ETM_Q58_218510"/>
      <w:bookmarkStart w:id="32088" w:name="_ETM_Q58_218810"/>
      <w:bookmarkStart w:id="32089" w:name="_ETM_Q58_219080"/>
      <w:bookmarkStart w:id="32090" w:name="_ETM_Q58_219590"/>
      <w:bookmarkEnd w:id="32087"/>
      <w:bookmarkEnd w:id="32088"/>
      <w:bookmarkEnd w:id="32089"/>
      <w:bookmarkEnd w:id="32090"/>
      <w:r>
        <w:rPr>
          <w:rFonts w:hint="cs"/>
          <w:rtl/>
        </w:rPr>
        <w:t xml:space="preserve">לו אוהב </w:t>
      </w:r>
      <w:bookmarkStart w:id="32091" w:name="_ETM_Q58_220040"/>
      <w:bookmarkEnd w:id="32091"/>
      <w:r>
        <w:rPr>
          <w:rFonts w:hint="cs"/>
          <w:rtl/>
        </w:rPr>
        <w:t xml:space="preserve">עם </w:t>
      </w:r>
      <w:bookmarkStart w:id="32092" w:name="_ETM_Q58_220190"/>
      <w:bookmarkEnd w:id="32092"/>
      <w:r>
        <w:rPr>
          <w:rFonts w:hint="cs"/>
          <w:rtl/>
        </w:rPr>
        <w:t xml:space="preserve">שם </w:t>
      </w:r>
      <w:bookmarkStart w:id="32093" w:name="_ETM_Q58_220370"/>
      <w:bookmarkEnd w:id="32093"/>
      <w:r>
        <w:rPr>
          <w:rFonts w:hint="cs"/>
          <w:rtl/>
        </w:rPr>
        <w:t xml:space="preserve">אחד </w:t>
      </w:r>
      <w:bookmarkStart w:id="32094" w:name="_ETM_Q58_218535"/>
      <w:bookmarkEnd w:id="32094"/>
      <w:r>
        <w:rPr>
          <w:rFonts w:hint="cs"/>
          <w:rtl/>
        </w:rPr>
        <w:t xml:space="preserve">ושונא </w:t>
      </w:r>
      <w:bookmarkStart w:id="32095" w:name="_ETM_Q58_221120"/>
      <w:bookmarkStart w:id="32096" w:name="_ETM_Q58_221780"/>
      <w:bookmarkStart w:id="32097" w:name="_ETM_Q58_222020"/>
      <w:bookmarkEnd w:id="32095"/>
      <w:bookmarkEnd w:id="32096"/>
      <w:bookmarkEnd w:id="32097"/>
      <w:r>
        <w:rPr>
          <w:rFonts w:hint="cs"/>
          <w:rtl/>
        </w:rPr>
        <w:t xml:space="preserve">עם שם דומה </w:t>
      </w:r>
      <w:bookmarkStart w:id="32098" w:name="_ETM_Q58_222320"/>
      <w:bookmarkEnd w:id="32098"/>
      <w:r>
        <w:rPr>
          <w:rFonts w:hint="cs"/>
          <w:rtl/>
        </w:rPr>
        <w:t xml:space="preserve">לו. </w:t>
      </w:r>
      <w:bookmarkStart w:id="32099" w:name="_ETM_Q58_223100"/>
      <w:bookmarkEnd w:id="32099"/>
      <w:r>
        <w:rPr>
          <w:rFonts w:hint="cs"/>
          <w:rtl/>
        </w:rPr>
        <w:t xml:space="preserve">הוא </w:t>
      </w:r>
      <w:bookmarkStart w:id="32100" w:name="_ETM_Q58_223250"/>
      <w:bookmarkEnd w:id="32100"/>
      <w:r>
        <w:rPr>
          <w:rFonts w:hint="cs"/>
          <w:rtl/>
        </w:rPr>
        <w:t xml:space="preserve">עשה </w:t>
      </w:r>
      <w:bookmarkStart w:id="32101" w:name="_ETM_Q58_223520"/>
      <w:bookmarkEnd w:id="32101"/>
      <w:r>
        <w:rPr>
          <w:rFonts w:hint="cs"/>
          <w:rtl/>
        </w:rPr>
        <w:t xml:space="preserve">סעודה. </w:t>
      </w:r>
      <w:bookmarkStart w:id="32102" w:name="_ETM_Q58_224949"/>
      <w:bookmarkEnd w:id="32102"/>
      <w:r>
        <w:rPr>
          <w:rFonts w:hint="cs"/>
          <w:rtl/>
        </w:rPr>
        <w:t xml:space="preserve">"אמר </w:t>
      </w:r>
      <w:bookmarkStart w:id="32103" w:name="_ETM_Q58_225399"/>
      <w:bookmarkEnd w:id="32103"/>
      <w:r>
        <w:rPr>
          <w:rFonts w:hint="cs"/>
          <w:rtl/>
        </w:rPr>
        <w:t xml:space="preserve">לו </w:t>
      </w:r>
      <w:bookmarkStart w:id="32104" w:name="_ETM_Q58_225670"/>
      <w:bookmarkEnd w:id="32104"/>
      <w:r>
        <w:rPr>
          <w:rFonts w:hint="cs"/>
          <w:rtl/>
        </w:rPr>
        <w:t xml:space="preserve">לשמשו: </w:t>
      </w:r>
      <w:bookmarkStart w:id="32105" w:name="_ETM_Q58_226120"/>
      <w:bookmarkStart w:id="32106" w:name="_ETM_Q58_226629"/>
      <w:bookmarkStart w:id="32107" w:name="_ETM_Q58_226989"/>
      <w:bookmarkStart w:id="32108" w:name="_ETM_Q58_227140"/>
      <w:bookmarkEnd w:id="32105"/>
      <w:bookmarkEnd w:id="32106"/>
      <w:bookmarkEnd w:id="32107"/>
      <w:bookmarkEnd w:id="32108"/>
      <w:r>
        <w:rPr>
          <w:rFonts w:hint="cs"/>
          <w:rtl/>
        </w:rPr>
        <w:t xml:space="preserve">לך הבה לי את </w:t>
      </w:r>
      <w:bookmarkStart w:id="32109" w:name="_ETM_Q58_227260"/>
      <w:bookmarkEnd w:id="32109"/>
      <w:r>
        <w:rPr>
          <w:rFonts w:hint="cs"/>
          <w:rtl/>
        </w:rPr>
        <w:t xml:space="preserve">קמצא" </w:t>
      </w:r>
      <w:bookmarkStart w:id="32110" w:name="_ETM_Q58_228460"/>
      <w:bookmarkEnd w:id="32110"/>
      <w:r>
        <w:rPr>
          <w:rFonts w:hint="cs"/>
          <w:rtl/>
        </w:rPr>
        <w:t xml:space="preserve">– תביא </w:t>
      </w:r>
      <w:bookmarkStart w:id="32111" w:name="_ETM_Q58_228760"/>
      <w:bookmarkEnd w:id="32111"/>
      <w:r>
        <w:rPr>
          <w:rFonts w:hint="cs"/>
          <w:rtl/>
        </w:rPr>
        <w:t xml:space="preserve">לי </w:t>
      </w:r>
      <w:bookmarkStart w:id="32112" w:name="_ETM_Q58_228850"/>
      <w:bookmarkEnd w:id="32112"/>
      <w:r>
        <w:rPr>
          <w:rFonts w:hint="cs"/>
          <w:rtl/>
        </w:rPr>
        <w:t xml:space="preserve">את </w:t>
      </w:r>
      <w:bookmarkStart w:id="32113" w:name="_ETM_Q58_228940"/>
      <w:bookmarkEnd w:id="32113"/>
      <w:r>
        <w:rPr>
          <w:rFonts w:hint="cs"/>
          <w:rtl/>
        </w:rPr>
        <w:t xml:space="preserve">החבר </w:t>
      </w:r>
      <w:bookmarkStart w:id="32114" w:name="_ETM_Q58_229300"/>
      <w:bookmarkEnd w:id="32114"/>
      <w:r>
        <w:rPr>
          <w:rFonts w:hint="cs"/>
          <w:rtl/>
        </w:rPr>
        <w:t xml:space="preserve">שלי. </w:t>
      </w:r>
      <w:bookmarkStart w:id="32115" w:name="_ETM_Q58_230110"/>
      <w:bookmarkEnd w:id="32115"/>
      <w:r>
        <w:rPr>
          <w:rFonts w:hint="cs"/>
          <w:rtl/>
        </w:rPr>
        <w:t xml:space="preserve">אבל </w:t>
      </w:r>
      <w:bookmarkStart w:id="32116" w:name="_ETM_Q58_230469"/>
      <w:bookmarkEnd w:id="32116"/>
      <w:r>
        <w:rPr>
          <w:rFonts w:hint="cs"/>
          <w:rtl/>
        </w:rPr>
        <w:t xml:space="preserve">הוא </w:t>
      </w:r>
      <w:bookmarkStart w:id="32117" w:name="_ETM_Q58_230530"/>
      <w:bookmarkEnd w:id="32117"/>
      <w:r>
        <w:rPr>
          <w:rFonts w:hint="cs"/>
          <w:rtl/>
        </w:rPr>
        <w:t xml:space="preserve">עשה </w:t>
      </w:r>
      <w:bookmarkStart w:id="32118" w:name="_ETM_Q58_230710"/>
      <w:bookmarkEnd w:id="32118"/>
      <w:r>
        <w:rPr>
          <w:rFonts w:hint="cs"/>
          <w:rtl/>
        </w:rPr>
        <w:t xml:space="preserve">טעות, הלך </w:t>
      </w:r>
      <w:bookmarkStart w:id="32119" w:name="_ETM_Q58_231370"/>
      <w:bookmarkEnd w:id="32119"/>
      <w:r>
        <w:rPr>
          <w:rFonts w:hint="cs"/>
          <w:rtl/>
        </w:rPr>
        <w:t xml:space="preserve">והביא </w:t>
      </w:r>
      <w:bookmarkStart w:id="32120" w:name="_ETM_Q58_231670"/>
      <w:bookmarkEnd w:id="32120"/>
      <w:r>
        <w:rPr>
          <w:rFonts w:hint="cs"/>
          <w:rtl/>
        </w:rPr>
        <w:t xml:space="preserve">לו </w:t>
      </w:r>
      <w:bookmarkStart w:id="32121" w:name="_ETM_Q58_231790"/>
      <w:bookmarkEnd w:id="32121"/>
      <w:r>
        <w:rPr>
          <w:rFonts w:hint="cs"/>
          <w:rtl/>
        </w:rPr>
        <w:t xml:space="preserve">את </w:t>
      </w:r>
      <w:bookmarkStart w:id="32122" w:name="_ETM_Q58_231940"/>
      <w:bookmarkEnd w:id="32122"/>
      <w:r>
        <w:rPr>
          <w:rFonts w:hint="cs"/>
          <w:rtl/>
        </w:rPr>
        <w:t>בר</w:t>
      </w:r>
      <w:bookmarkStart w:id="32123" w:name="_ETM_Q58_232210"/>
      <w:bookmarkEnd w:id="32123"/>
      <w:r>
        <w:rPr>
          <w:rFonts w:hint="cs"/>
          <w:rtl/>
        </w:rPr>
        <w:t xml:space="preserve">-קמצא, </w:t>
      </w:r>
      <w:bookmarkStart w:id="32124" w:name="_ETM_Q58_231014"/>
      <w:bookmarkEnd w:id="32124"/>
      <w:r>
        <w:rPr>
          <w:rFonts w:hint="cs"/>
          <w:rtl/>
        </w:rPr>
        <w:t xml:space="preserve">את השונא שלו. </w:t>
      </w:r>
      <w:bookmarkStart w:id="32125" w:name="_ETM_Q58_232600"/>
      <w:bookmarkStart w:id="32126" w:name="_ETM_Q58_232840"/>
      <w:bookmarkStart w:id="32127" w:name="_ETM_Q58_233200"/>
      <w:bookmarkStart w:id="32128" w:name="_ETM_Q58_234670"/>
      <w:bookmarkEnd w:id="32125"/>
      <w:bookmarkEnd w:id="32126"/>
      <w:bookmarkEnd w:id="32127"/>
      <w:bookmarkEnd w:id="32128"/>
      <w:r>
        <w:rPr>
          <w:rFonts w:hint="cs"/>
          <w:rtl/>
        </w:rPr>
        <w:t xml:space="preserve">בא בעל </w:t>
      </w:r>
      <w:bookmarkStart w:id="32129" w:name="_ETM_Q58_235449"/>
      <w:bookmarkEnd w:id="32129"/>
      <w:r>
        <w:rPr>
          <w:rFonts w:hint="cs"/>
          <w:rtl/>
        </w:rPr>
        <w:t xml:space="preserve">הבית, </w:t>
      </w:r>
      <w:bookmarkStart w:id="32130" w:name="_ETM_Q58_235870"/>
      <w:bookmarkEnd w:id="32130"/>
      <w:r>
        <w:rPr>
          <w:rFonts w:hint="cs"/>
          <w:rtl/>
        </w:rPr>
        <w:t xml:space="preserve">ראה </w:t>
      </w:r>
      <w:bookmarkStart w:id="32131" w:name="_ETM_Q58_236109"/>
      <w:bookmarkEnd w:id="32131"/>
      <w:r>
        <w:rPr>
          <w:rFonts w:hint="cs"/>
          <w:rtl/>
        </w:rPr>
        <w:t xml:space="preserve">אותו, </w:t>
      </w:r>
      <w:bookmarkStart w:id="32132" w:name="_ETM_Q58_236440"/>
      <w:bookmarkEnd w:id="32132"/>
      <w:r>
        <w:rPr>
          <w:rFonts w:hint="cs"/>
          <w:rtl/>
        </w:rPr>
        <w:t xml:space="preserve">את </w:t>
      </w:r>
      <w:bookmarkStart w:id="32133" w:name="_ETM_Q58_236559"/>
      <w:bookmarkEnd w:id="32133"/>
      <w:r>
        <w:rPr>
          <w:rFonts w:hint="cs"/>
          <w:rtl/>
        </w:rPr>
        <w:t>בר-קמצא השונא, שהיה יושב בסעודה</w:t>
      </w:r>
      <w:bookmarkStart w:id="32134" w:name="_ETM_Q58_239032"/>
      <w:bookmarkStart w:id="32135" w:name="_ETM_Q58_236980"/>
      <w:bookmarkStart w:id="32136" w:name="_ETM_Q58_237129"/>
      <w:bookmarkStart w:id="32137" w:name="_ETM_Q58_238239"/>
      <w:bookmarkStart w:id="32138" w:name="_ETM_Q58_238600"/>
      <w:bookmarkStart w:id="32139" w:name="_ETM_Q58_238989"/>
      <w:bookmarkEnd w:id="32134"/>
      <w:bookmarkEnd w:id="32135"/>
      <w:bookmarkEnd w:id="32136"/>
      <w:bookmarkEnd w:id="32137"/>
      <w:bookmarkEnd w:id="32138"/>
      <w:bookmarkEnd w:id="32139"/>
      <w:r>
        <w:rPr>
          <w:rFonts w:hint="cs"/>
          <w:rtl/>
        </w:rPr>
        <w:t xml:space="preserve">. </w:t>
      </w:r>
      <w:bookmarkStart w:id="32140" w:name="_ETM_Q58_241499"/>
      <w:bookmarkEnd w:id="32140"/>
      <w:r>
        <w:rPr>
          <w:rFonts w:hint="cs"/>
          <w:rtl/>
        </w:rPr>
        <w:t xml:space="preserve">"אמר </w:t>
      </w:r>
      <w:bookmarkStart w:id="32141" w:name="_ETM_Q58_241920"/>
      <w:bookmarkEnd w:id="32141"/>
      <w:r>
        <w:rPr>
          <w:rFonts w:hint="cs"/>
          <w:rtl/>
        </w:rPr>
        <w:t xml:space="preserve">לו: </w:t>
      </w:r>
      <w:bookmarkStart w:id="32142" w:name="_ETM_Q58_242600"/>
      <w:bookmarkEnd w:id="32142"/>
      <w:r>
        <w:rPr>
          <w:rFonts w:hint="cs"/>
          <w:rtl/>
        </w:rPr>
        <w:t xml:space="preserve">הרי </w:t>
      </w:r>
      <w:bookmarkStart w:id="32143" w:name="_ETM_Q58_243019"/>
      <w:bookmarkEnd w:id="32143"/>
      <w:r>
        <w:rPr>
          <w:rFonts w:hint="cs"/>
          <w:rtl/>
        </w:rPr>
        <w:t xml:space="preserve">אותו </w:t>
      </w:r>
      <w:bookmarkStart w:id="32144" w:name="_ETM_Q58_243350"/>
      <w:bookmarkEnd w:id="32144"/>
      <w:r>
        <w:rPr>
          <w:rFonts w:hint="cs"/>
          <w:rtl/>
        </w:rPr>
        <w:t xml:space="preserve">האיש </w:t>
      </w:r>
      <w:bookmarkStart w:id="32145" w:name="_ETM_Q58_243739"/>
      <w:bookmarkEnd w:id="32145"/>
      <w:r>
        <w:rPr>
          <w:rFonts w:hint="cs"/>
          <w:rtl/>
        </w:rPr>
        <w:t xml:space="preserve">בעל ריבו </w:t>
      </w:r>
      <w:bookmarkStart w:id="32146" w:name="_ETM_Q58_244340"/>
      <w:bookmarkEnd w:id="32146"/>
      <w:r>
        <w:rPr>
          <w:rFonts w:hint="cs"/>
          <w:rtl/>
        </w:rPr>
        <w:t xml:space="preserve">של </w:t>
      </w:r>
      <w:bookmarkStart w:id="32147" w:name="_ETM_Q58_244520"/>
      <w:bookmarkEnd w:id="32147"/>
      <w:r>
        <w:rPr>
          <w:rFonts w:hint="cs"/>
          <w:rtl/>
        </w:rPr>
        <w:t xml:space="preserve">אותו </w:t>
      </w:r>
      <w:bookmarkStart w:id="32148" w:name="_ETM_Q58_244790"/>
      <w:bookmarkEnd w:id="32148"/>
      <w:r>
        <w:rPr>
          <w:rFonts w:hint="cs"/>
          <w:rtl/>
        </w:rPr>
        <w:t xml:space="preserve">האיש" </w:t>
      </w:r>
      <w:r>
        <w:t>–</w:t>
      </w:r>
      <w:r>
        <w:rPr>
          <w:rFonts w:hint="cs"/>
          <w:rtl/>
        </w:rPr>
        <w:t xml:space="preserve"> </w:t>
      </w:r>
      <w:bookmarkStart w:id="32149" w:name="_ETM_Q58_245299"/>
      <w:bookmarkEnd w:id="32149"/>
      <w:r>
        <w:rPr>
          <w:rFonts w:hint="cs"/>
          <w:rtl/>
        </w:rPr>
        <w:t xml:space="preserve">הרי אתה </w:t>
      </w:r>
      <w:bookmarkStart w:id="32150" w:name="_ETM_Q58_245509"/>
      <w:bookmarkEnd w:id="32150"/>
      <w:r>
        <w:rPr>
          <w:rFonts w:hint="cs"/>
          <w:rtl/>
        </w:rPr>
        <w:t xml:space="preserve">השונא </w:t>
      </w:r>
      <w:bookmarkStart w:id="32151" w:name="_ETM_Q58_245869"/>
      <w:bookmarkEnd w:id="32151"/>
      <w:r>
        <w:rPr>
          <w:rFonts w:hint="cs"/>
          <w:rtl/>
        </w:rPr>
        <w:t xml:space="preserve">שלי, </w:t>
      </w:r>
      <w:bookmarkStart w:id="32152" w:name="_ETM_Q58_246740"/>
      <w:bookmarkEnd w:id="32152"/>
      <w:r>
        <w:rPr>
          <w:rFonts w:hint="cs"/>
          <w:rtl/>
        </w:rPr>
        <w:t xml:space="preserve">מה </w:t>
      </w:r>
      <w:bookmarkStart w:id="32153" w:name="_ETM_Q58_246979"/>
      <w:bookmarkEnd w:id="32153"/>
      <w:r>
        <w:rPr>
          <w:rFonts w:hint="cs"/>
          <w:rtl/>
        </w:rPr>
        <w:t xml:space="preserve">רצונך </w:t>
      </w:r>
      <w:bookmarkStart w:id="32154" w:name="_ETM_Q58_247490"/>
      <w:bookmarkEnd w:id="32154"/>
      <w:r>
        <w:rPr>
          <w:rFonts w:hint="cs"/>
          <w:rtl/>
        </w:rPr>
        <w:t xml:space="preserve">כאן? </w:t>
      </w:r>
      <w:bookmarkStart w:id="32155" w:name="_ETM_Q58_248260"/>
      <w:bookmarkEnd w:id="32155"/>
      <w:r>
        <w:rPr>
          <w:rFonts w:hint="cs"/>
          <w:rtl/>
        </w:rPr>
        <w:t xml:space="preserve">"קום </w:t>
      </w:r>
      <w:bookmarkStart w:id="32156" w:name="_ETM_Q58_248560"/>
      <w:bookmarkEnd w:id="32156"/>
      <w:r>
        <w:rPr>
          <w:rFonts w:hint="cs"/>
          <w:rtl/>
        </w:rPr>
        <w:t xml:space="preserve">צא". </w:t>
      </w:r>
      <w:bookmarkStart w:id="32157" w:name="_ETM_Q58_250390"/>
      <w:bookmarkEnd w:id="32157"/>
      <w:r>
        <w:rPr>
          <w:rFonts w:hint="cs"/>
          <w:rtl/>
        </w:rPr>
        <w:t xml:space="preserve">יושב </w:t>
      </w:r>
      <w:bookmarkStart w:id="32158" w:name="_ETM_Q58_250750"/>
      <w:bookmarkEnd w:id="32158"/>
      <w:r>
        <w:rPr>
          <w:rFonts w:hint="cs"/>
          <w:rtl/>
        </w:rPr>
        <w:t xml:space="preserve">בר-קמצא </w:t>
      </w:r>
      <w:bookmarkStart w:id="32159" w:name="_ETM_Q58_250930"/>
      <w:bookmarkStart w:id="32160" w:name="_ETM_Q58_251319"/>
      <w:bookmarkEnd w:id="32159"/>
      <w:bookmarkEnd w:id="32160"/>
      <w:r>
        <w:rPr>
          <w:rFonts w:hint="cs"/>
          <w:rtl/>
        </w:rPr>
        <w:t xml:space="preserve">במצב </w:t>
      </w:r>
      <w:bookmarkStart w:id="32161" w:name="_ETM_Q58_251709"/>
      <w:bookmarkEnd w:id="32161"/>
      <w:r>
        <w:rPr>
          <w:rFonts w:hint="cs"/>
          <w:rtl/>
        </w:rPr>
        <w:t xml:space="preserve">בלתי </w:t>
      </w:r>
      <w:bookmarkStart w:id="32162" w:name="_ETM_Q58_252010"/>
      <w:bookmarkEnd w:id="32162"/>
      <w:r>
        <w:rPr>
          <w:rFonts w:hint="cs"/>
          <w:rtl/>
        </w:rPr>
        <w:t xml:space="preserve">אפשרי </w:t>
      </w:r>
      <w:bookmarkStart w:id="32163" w:name="_ETM_Q58_252430"/>
      <w:bookmarkEnd w:id="32163"/>
      <w:r>
        <w:rPr>
          <w:rFonts w:hint="cs"/>
          <w:rtl/>
        </w:rPr>
        <w:t xml:space="preserve">בסעודה, </w:t>
      </w:r>
      <w:bookmarkStart w:id="32164" w:name="_ETM_Q58_254050"/>
      <w:bookmarkEnd w:id="32164"/>
      <w:r>
        <w:rPr>
          <w:rFonts w:hint="cs"/>
          <w:rtl/>
        </w:rPr>
        <w:t xml:space="preserve">ערב </w:t>
      </w:r>
      <w:bookmarkStart w:id="32165" w:name="_ETM_Q58_254410"/>
      <w:bookmarkEnd w:id="32165"/>
      <w:r>
        <w:rPr>
          <w:rFonts w:hint="cs"/>
          <w:rtl/>
        </w:rPr>
        <w:t xml:space="preserve">חורבן </w:t>
      </w:r>
      <w:bookmarkStart w:id="32166" w:name="_ETM_Q58_254860"/>
      <w:bookmarkEnd w:id="32166"/>
      <w:r>
        <w:rPr>
          <w:rFonts w:hint="cs"/>
          <w:rtl/>
        </w:rPr>
        <w:t xml:space="preserve">בית </w:t>
      </w:r>
      <w:bookmarkStart w:id="32167" w:name="_ETM_Q58_255160"/>
      <w:bookmarkEnd w:id="32167"/>
      <w:r>
        <w:rPr>
          <w:rFonts w:hint="cs"/>
          <w:rtl/>
        </w:rPr>
        <w:t xml:space="preserve">שני. </w:t>
      </w:r>
      <w:bookmarkStart w:id="32168" w:name="_ETM_Q58_256280"/>
      <w:bookmarkEnd w:id="32168"/>
      <w:r>
        <w:rPr>
          <w:rFonts w:hint="cs"/>
          <w:rtl/>
        </w:rPr>
        <w:t xml:space="preserve">אמר </w:t>
      </w:r>
      <w:bookmarkStart w:id="32169" w:name="_ETM_Q58_256850"/>
      <w:bookmarkEnd w:id="32169"/>
      <w:r>
        <w:rPr>
          <w:rFonts w:hint="cs"/>
          <w:rtl/>
        </w:rPr>
        <w:t xml:space="preserve">לו </w:t>
      </w:r>
      <w:bookmarkStart w:id="32170" w:name="_ETM_Q58_257270"/>
      <w:bookmarkEnd w:id="32170"/>
      <w:r>
        <w:rPr>
          <w:rFonts w:hint="cs"/>
          <w:rtl/>
        </w:rPr>
        <w:t xml:space="preserve">בר-קמצא: </w:t>
      </w:r>
      <w:bookmarkStart w:id="32171" w:name="_ETM_Q58_258689"/>
      <w:bookmarkEnd w:id="32171"/>
      <w:r>
        <w:rPr>
          <w:rFonts w:hint="cs"/>
          <w:rtl/>
        </w:rPr>
        <w:t xml:space="preserve">"הואיל </w:t>
      </w:r>
      <w:bookmarkStart w:id="32172" w:name="_ETM_Q58_258990"/>
      <w:bookmarkEnd w:id="32172"/>
      <w:r>
        <w:rPr>
          <w:rFonts w:hint="cs"/>
          <w:rtl/>
        </w:rPr>
        <w:t xml:space="preserve">ובאתי, </w:t>
      </w:r>
      <w:bookmarkStart w:id="32173" w:name="_ETM_Q58_259500"/>
      <w:bookmarkEnd w:id="32173"/>
      <w:r>
        <w:rPr>
          <w:rFonts w:hint="cs"/>
          <w:rtl/>
        </w:rPr>
        <w:t xml:space="preserve">תניחני </w:t>
      </w:r>
      <w:bookmarkStart w:id="32174" w:name="_ETM_Q58_259740"/>
      <w:bookmarkStart w:id="32175" w:name="_ETM_Q58_259799"/>
      <w:bookmarkStart w:id="32176" w:name="_ETM_Q58_261079"/>
      <w:bookmarkEnd w:id="32174"/>
      <w:bookmarkEnd w:id="32175"/>
      <w:bookmarkEnd w:id="32176"/>
      <w:r>
        <w:rPr>
          <w:rFonts w:hint="cs"/>
          <w:rtl/>
        </w:rPr>
        <w:t xml:space="preserve">ואתן </w:t>
      </w:r>
      <w:bookmarkStart w:id="32177" w:name="_ETM_Q58_261590"/>
      <w:bookmarkEnd w:id="32177"/>
      <w:r>
        <w:rPr>
          <w:rFonts w:hint="cs"/>
          <w:rtl/>
        </w:rPr>
        <w:t xml:space="preserve">לך </w:t>
      </w:r>
      <w:bookmarkStart w:id="32178" w:name="_ETM_Q58_261799"/>
      <w:bookmarkEnd w:id="32178"/>
      <w:r>
        <w:rPr>
          <w:rFonts w:hint="cs"/>
          <w:rtl/>
        </w:rPr>
        <w:t xml:space="preserve">דמי </w:t>
      </w:r>
      <w:bookmarkStart w:id="32179" w:name="_ETM_Q58_262039"/>
      <w:bookmarkEnd w:id="32179"/>
      <w:r>
        <w:rPr>
          <w:rFonts w:hint="cs"/>
          <w:rtl/>
        </w:rPr>
        <w:t xml:space="preserve">מה </w:t>
      </w:r>
      <w:bookmarkStart w:id="32180" w:name="_ETM_Q58_262159"/>
      <w:bookmarkEnd w:id="32180"/>
      <w:r>
        <w:rPr>
          <w:rFonts w:hint="cs"/>
          <w:rtl/>
        </w:rPr>
        <w:t xml:space="preserve">שאוכל </w:t>
      </w:r>
      <w:bookmarkStart w:id="32181" w:name="_ETM_Q58_262609"/>
      <w:bookmarkEnd w:id="32181"/>
      <w:r>
        <w:rPr>
          <w:rFonts w:hint="cs"/>
          <w:rtl/>
        </w:rPr>
        <w:t xml:space="preserve">ואשתה" – באתי לארוחה. נכון, הזמנת אותי בטעות. </w:t>
      </w:r>
      <w:bookmarkStart w:id="32182" w:name="_ETM_Q58_263060"/>
      <w:bookmarkStart w:id="32183" w:name="_ETM_Q58_263389"/>
      <w:bookmarkStart w:id="32184" w:name="_ETM_Q58_264670"/>
      <w:bookmarkStart w:id="32185" w:name="_ETM_Q58_265030"/>
      <w:bookmarkStart w:id="32186" w:name="_ETM_Q58_265450"/>
      <w:bookmarkStart w:id="32187" w:name="_ETM_Q58_265659"/>
      <w:bookmarkStart w:id="32188" w:name="_ETM_Q58_266139"/>
      <w:bookmarkEnd w:id="32182"/>
      <w:bookmarkEnd w:id="32183"/>
      <w:bookmarkEnd w:id="32184"/>
      <w:bookmarkEnd w:id="32185"/>
      <w:bookmarkEnd w:id="32186"/>
      <w:bookmarkEnd w:id="32187"/>
      <w:bookmarkEnd w:id="32188"/>
      <w:r>
        <w:rPr>
          <w:rFonts w:hint="cs"/>
          <w:rtl/>
        </w:rPr>
        <w:t xml:space="preserve">אני </w:t>
      </w:r>
      <w:bookmarkStart w:id="32189" w:name="_ETM_Q58_266289"/>
      <w:bookmarkEnd w:id="32189"/>
      <w:r>
        <w:rPr>
          <w:rFonts w:hint="cs"/>
          <w:rtl/>
        </w:rPr>
        <w:t xml:space="preserve">מוכן </w:t>
      </w:r>
      <w:bookmarkStart w:id="32190" w:name="_ETM_Q58_266560"/>
      <w:bookmarkEnd w:id="32190"/>
      <w:r>
        <w:rPr>
          <w:rFonts w:hint="cs"/>
          <w:rtl/>
        </w:rPr>
        <w:t xml:space="preserve">לשלם </w:t>
      </w:r>
      <w:bookmarkStart w:id="32191" w:name="_ETM_Q58_267609"/>
      <w:bookmarkEnd w:id="32191"/>
      <w:r>
        <w:rPr>
          <w:rFonts w:hint="cs"/>
          <w:rtl/>
        </w:rPr>
        <w:t xml:space="preserve">על </w:t>
      </w:r>
      <w:bookmarkStart w:id="32192" w:name="_ETM_Q58_267789"/>
      <w:bookmarkEnd w:id="32192"/>
      <w:r>
        <w:rPr>
          <w:rFonts w:hint="cs"/>
          <w:rtl/>
        </w:rPr>
        <w:t xml:space="preserve">מה </w:t>
      </w:r>
      <w:bookmarkStart w:id="32193" w:name="_ETM_Q58_267939"/>
      <w:bookmarkEnd w:id="32193"/>
      <w:r>
        <w:rPr>
          <w:rFonts w:hint="cs"/>
          <w:rtl/>
        </w:rPr>
        <w:t xml:space="preserve">שאני </w:t>
      </w:r>
      <w:bookmarkStart w:id="32194" w:name="_ETM_Q58_268240"/>
      <w:bookmarkEnd w:id="32194"/>
      <w:r>
        <w:rPr>
          <w:rFonts w:hint="cs"/>
          <w:rtl/>
        </w:rPr>
        <w:t xml:space="preserve">אוכל. אמר לו: לא, </w:t>
      </w:r>
      <w:bookmarkStart w:id="32195" w:name="_ETM_Q58_272849"/>
      <w:bookmarkEnd w:id="32195"/>
      <w:r>
        <w:rPr>
          <w:rFonts w:hint="cs"/>
          <w:rtl/>
        </w:rPr>
        <w:t xml:space="preserve">לא מוכן, לך. אמר לו: אני אשלם לך חצי מכל דמי הסעודה – את שומעת, עליזה? חצי מכל דמי הסעודה של כולם פה אני אשלם. אמר לו: </w:t>
      </w:r>
      <w:bookmarkStart w:id="32196" w:name="_ETM_Q58_286940"/>
      <w:bookmarkEnd w:id="32196"/>
      <w:r>
        <w:rPr>
          <w:rFonts w:hint="cs"/>
          <w:rtl/>
        </w:rPr>
        <w:t xml:space="preserve">לא. אמר לו: תקשיב, אני אממן את כל הסעודה של </w:t>
      </w:r>
      <w:bookmarkStart w:id="32197" w:name="_ETM_Q58_290020"/>
      <w:bookmarkEnd w:id="32197"/>
      <w:r>
        <w:rPr>
          <w:rFonts w:hint="cs"/>
          <w:rtl/>
        </w:rPr>
        <w:t xml:space="preserve">כל האנשים פה, רק שלא תבייש אותי. אמר לו: לא. </w:t>
      </w:r>
      <w:bookmarkStart w:id="32198" w:name="_ETM_Q58_295474"/>
      <w:bookmarkEnd w:id="32198"/>
      <w:r>
        <w:rPr>
          <w:rFonts w:hint="cs"/>
          <w:rtl/>
        </w:rPr>
        <w:t xml:space="preserve">"אחזו בידו והקימו והוציאו", כך מספרת הגמרא במסכת גיטין </w:t>
      </w:r>
      <w:bookmarkStart w:id="32199" w:name="_ETM_Q58_298662"/>
      <w:bookmarkEnd w:id="32199"/>
      <w:r>
        <w:rPr>
          <w:rFonts w:hint="cs"/>
          <w:rtl/>
        </w:rPr>
        <w:t>דף נ"ה.</w:t>
      </w:r>
      <w:bookmarkStart w:id="32200" w:name="_ETM_Q58_302406"/>
      <w:bookmarkEnd w:id="32200"/>
    </w:p>
    <w:p w:rsidR="00BB59CD" w:rsidRDefault="00BB59CD" w:rsidP="00BB59CD">
      <w:pPr>
        <w:rPr>
          <w:rtl/>
        </w:rPr>
      </w:pPr>
      <w:bookmarkStart w:id="32201" w:name="_ETM_Q58_302515"/>
      <w:bookmarkEnd w:id="32201"/>
    </w:p>
    <w:p w:rsidR="00BB59CD" w:rsidRDefault="00BB59CD" w:rsidP="00BB59CD">
      <w:pPr>
        <w:rPr>
          <w:rtl/>
        </w:rPr>
      </w:pPr>
      <w:bookmarkStart w:id="32202" w:name="_ETM_Q58_302566"/>
      <w:bookmarkStart w:id="32203" w:name="_ETM_Q58_302657"/>
      <w:bookmarkEnd w:id="32202"/>
      <w:bookmarkEnd w:id="32203"/>
      <w:r>
        <w:rPr>
          <w:rFonts w:hint="cs"/>
          <w:rtl/>
        </w:rPr>
        <w:t xml:space="preserve">אומר לעצמו בר-קמצא, חדור תחושת השפלה ונקמה: </w:t>
      </w:r>
      <w:bookmarkStart w:id="32204" w:name="_ETM_Q58_310979"/>
      <w:bookmarkEnd w:id="32204"/>
      <w:r>
        <w:rPr>
          <w:rFonts w:hint="cs"/>
          <w:rtl/>
        </w:rPr>
        <w:t xml:space="preserve">"הואיל והיו יושבים חכמים" בסעודה "ולא מחו בו", בבעל </w:t>
      </w:r>
      <w:bookmarkStart w:id="32205" w:name="_ETM_Q58_317888"/>
      <w:bookmarkEnd w:id="32205"/>
      <w:r>
        <w:rPr>
          <w:rFonts w:hint="cs"/>
          <w:rtl/>
        </w:rPr>
        <w:t xml:space="preserve">הבית שגירש אותי, מה אני מבין מזה? "שנוח להם", הם </w:t>
      </w:r>
      <w:bookmarkStart w:id="32206" w:name="_ETM_Q58_316995"/>
      <w:bookmarkEnd w:id="32206"/>
      <w:r>
        <w:rPr>
          <w:rFonts w:hint="cs"/>
          <w:rtl/>
        </w:rPr>
        <w:t xml:space="preserve">מקבלים את זה. אני "אלך ואלשין עליהם למלך". מי </w:t>
      </w:r>
      <w:bookmarkStart w:id="32207" w:name="_ETM_Q58_321698"/>
      <w:bookmarkEnd w:id="32207"/>
      <w:r>
        <w:rPr>
          <w:rFonts w:hint="cs"/>
          <w:rtl/>
        </w:rPr>
        <w:t xml:space="preserve">זה המלך? מלך רומא, הקיסר. הלך ואמר לו לקיסר, </w:t>
      </w:r>
      <w:bookmarkStart w:id="32208" w:name="_ETM_Q58_326592"/>
      <w:bookmarkEnd w:id="32208"/>
      <w:r>
        <w:rPr>
          <w:rFonts w:hint="cs"/>
          <w:rtl/>
        </w:rPr>
        <w:t xml:space="preserve">אותו בר-קמצא: "מרדו בך היהודים. אמר הקיסר: "מי יגיד?" תוכיח. </w:t>
      </w:r>
      <w:bookmarkStart w:id="32209" w:name="_ETM_Q58_333539"/>
      <w:bookmarkEnd w:id="32209"/>
      <w:r>
        <w:rPr>
          <w:rFonts w:hint="cs"/>
          <w:rtl/>
        </w:rPr>
        <w:t xml:space="preserve">"אמר לו: שלח להם קורבן, תראה אם מקריבים". </w:t>
      </w:r>
      <w:bookmarkStart w:id="32210" w:name="_ETM_Q58_343093"/>
      <w:bookmarkEnd w:id="32210"/>
      <w:r>
        <w:rPr>
          <w:rFonts w:hint="cs"/>
          <w:rtl/>
        </w:rPr>
        <w:t xml:space="preserve">שלח הקיסר ביד בר-קמצא עגל משולש, עגל מובחר ביותר, </w:t>
      </w:r>
      <w:bookmarkStart w:id="32211" w:name="_ETM_Q58_351148"/>
      <w:bookmarkEnd w:id="32211"/>
      <w:r>
        <w:rPr>
          <w:rFonts w:hint="cs"/>
          <w:rtl/>
        </w:rPr>
        <w:t xml:space="preserve">כדי לבחון אם היהודים מקריבים אותו או לא. "בזמן שבא" </w:t>
      </w:r>
      <w:bookmarkStart w:id="32212" w:name="_ETM_Q58_351088"/>
      <w:bookmarkEnd w:id="32212"/>
      <w:r>
        <w:rPr>
          <w:rFonts w:hint="cs"/>
          <w:rtl/>
        </w:rPr>
        <w:t xml:space="preserve">בדרך, בר-קמצא "זרק בו מום בניב השפתיים", פגם את </w:t>
      </w:r>
      <w:bookmarkStart w:id="32213" w:name="_ETM_Q58_360684"/>
      <w:bookmarkEnd w:id="32213"/>
      <w:r>
        <w:rPr>
          <w:rFonts w:hint="cs"/>
          <w:rtl/>
        </w:rPr>
        <w:t xml:space="preserve">העגל המשולש המובחר הזה, "ויש אומרים בדוקין שבעין", שזה היה </w:t>
      </w:r>
      <w:bookmarkStart w:id="32214" w:name="_ETM_Q58_366505"/>
      <w:bookmarkEnd w:id="32214"/>
      <w:r>
        <w:rPr>
          <w:rFonts w:hint="cs"/>
          <w:rtl/>
        </w:rPr>
        <w:t>במקום העדין שבעין, מקום שלנו היהודים הוא מום ולכן אנחנו</w:t>
      </w:r>
      <w:bookmarkStart w:id="32215" w:name="_ETM_Q58_372046"/>
      <w:bookmarkEnd w:id="32215"/>
      <w:r>
        <w:rPr>
          <w:rFonts w:hint="cs"/>
          <w:rtl/>
        </w:rPr>
        <w:t xml:space="preserve"> לא מקריבים, ולהם, הרומאים, הוא לא מום ולכן </w:t>
      </w:r>
      <w:bookmarkStart w:id="32216" w:name="_ETM_Q58_372194"/>
      <w:bookmarkEnd w:id="32216"/>
      <w:r>
        <w:rPr>
          <w:rFonts w:hint="cs"/>
          <w:rtl/>
        </w:rPr>
        <w:t xml:space="preserve">זה לא נחשב אצלם. מביא בר-קמצא את העגל </w:t>
      </w:r>
      <w:bookmarkStart w:id="32217" w:name="_ETM_Q58_377439"/>
      <w:bookmarkEnd w:id="32217"/>
      <w:r>
        <w:rPr>
          <w:rFonts w:hint="cs"/>
          <w:rtl/>
        </w:rPr>
        <w:t>לחכמים. והחכמים בדילמה: מה עושים? חושבים החכמים: בוא נקריב אותו</w:t>
      </w:r>
      <w:bookmarkStart w:id="32218" w:name="_ETM_Q58_385683"/>
      <w:bookmarkEnd w:id="32218"/>
      <w:r>
        <w:rPr>
          <w:rFonts w:hint="cs"/>
          <w:rtl/>
        </w:rPr>
        <w:t xml:space="preserve"> "משום שלום מלכות" – נכון, זה פסול, זה אסור, אבל </w:t>
      </w:r>
      <w:bookmarkStart w:id="32219" w:name="_ETM_Q58_388847"/>
      <w:bookmarkEnd w:id="32219"/>
      <w:r>
        <w:rPr>
          <w:rFonts w:hint="cs"/>
          <w:rtl/>
        </w:rPr>
        <w:t xml:space="preserve">מה עדיף, לריב עם הקיסר, מלך העולם? אבל בתוך החכמים </w:t>
      </w:r>
      <w:bookmarkStart w:id="32220" w:name="_ETM_Q58_394452"/>
      <w:bookmarkEnd w:id="32220"/>
      <w:r>
        <w:rPr>
          <w:rFonts w:hint="cs"/>
          <w:rtl/>
        </w:rPr>
        <w:t xml:space="preserve">יש אחד יותר צדיק מכולם, רבי זכריה בן אבקולס. </w:t>
      </w:r>
      <w:bookmarkStart w:id="32221" w:name="_ETM_Q58_404686"/>
      <w:bookmarkEnd w:id="32221"/>
      <w:r>
        <w:rPr>
          <w:rFonts w:hint="cs"/>
          <w:rtl/>
        </w:rPr>
        <w:t xml:space="preserve">אמר להם: אם תעשו את זה, אנשים ילמדו מזה ש"בעלי </w:t>
      </w:r>
      <w:bookmarkStart w:id="32222" w:name="_ETM_Q58_405195"/>
      <w:bookmarkEnd w:id="32222"/>
      <w:r>
        <w:rPr>
          <w:rFonts w:hint="cs"/>
          <w:rtl/>
        </w:rPr>
        <w:t xml:space="preserve">מומים קרבים על המזבח", כלומר, המעשה שלכם שבאתם לעשות יורה </w:t>
      </w:r>
      <w:bookmarkStart w:id="32223" w:name="_ETM_Q58_411168"/>
      <w:bookmarkEnd w:id="32223"/>
      <w:r>
        <w:rPr>
          <w:rFonts w:hint="cs"/>
          <w:rtl/>
        </w:rPr>
        <w:t xml:space="preserve">הלכה לדורות. אמרו: אוקיי, לא נעשה את זה, אז בוא </w:t>
      </w:r>
      <w:bookmarkStart w:id="32224" w:name="_ETM_Q58_415771"/>
      <w:bookmarkEnd w:id="32224"/>
      <w:r>
        <w:rPr>
          <w:rFonts w:hint="cs"/>
          <w:rtl/>
        </w:rPr>
        <w:t xml:space="preserve">נהרוג לפחות, נהרוג את בר-קמצא, שלפחות הוא לא ילך </w:t>
      </w:r>
      <w:bookmarkStart w:id="32225" w:name="_ETM_Q58_421168"/>
      <w:bookmarkEnd w:id="32225"/>
      <w:r>
        <w:rPr>
          <w:rFonts w:hint="cs"/>
          <w:rtl/>
        </w:rPr>
        <w:t xml:space="preserve">וילשין עלינו. אמר להם רבי זכריה: אם ככה – הוא </w:t>
      </w:r>
      <w:bookmarkStart w:id="32226" w:name="_ETM_Q58_425043"/>
      <w:bookmarkEnd w:id="32226"/>
      <w:r>
        <w:rPr>
          <w:rFonts w:hint="cs"/>
          <w:rtl/>
        </w:rPr>
        <w:t xml:space="preserve">לא מוטרד מזה שבר-קמצא ימות, זה לא מטריד </w:t>
      </w:r>
      <w:bookmarkStart w:id="32227" w:name="_ETM_Q58_429088"/>
      <w:bookmarkEnd w:id="32227"/>
      <w:r>
        <w:rPr>
          <w:rFonts w:hint="cs"/>
          <w:rtl/>
        </w:rPr>
        <w:t xml:space="preserve">אותו </w:t>
      </w:r>
      <w:r>
        <w:t>–</w:t>
      </w:r>
      <w:r>
        <w:rPr>
          <w:rFonts w:hint="cs"/>
          <w:rtl/>
        </w:rPr>
        <w:t xml:space="preserve"> אנשים יגידו: "מטיל מום בקודשים ייהרג" – שמי שנוהג להטיל את המום הוא בר-מיתה. שוב, זכריה בן אבקולס לא </w:t>
      </w:r>
      <w:bookmarkStart w:id="32228" w:name="_ETM_Q58_436251"/>
      <w:bookmarkEnd w:id="32228"/>
      <w:r>
        <w:rPr>
          <w:rFonts w:hint="cs"/>
          <w:rtl/>
        </w:rPr>
        <w:t xml:space="preserve">מוטרד מהמלחמה עם רומא הוא גם לא מוטרד מחייו של </w:t>
      </w:r>
      <w:bookmarkStart w:id="32229" w:name="_ETM_Q58_443308"/>
      <w:bookmarkEnd w:id="32229"/>
      <w:r>
        <w:rPr>
          <w:rFonts w:hint="cs"/>
          <w:rtl/>
        </w:rPr>
        <w:t xml:space="preserve">אדם בודד. מה שמטריד אותו זה ההלכה הצרה ומה יגידו. </w:t>
      </w:r>
      <w:bookmarkStart w:id="32230" w:name="_ETM_Q58_449323"/>
      <w:bookmarkStart w:id="32231" w:name="_ETM_Q58_448638"/>
      <w:bookmarkStart w:id="32232" w:name="_ETM_Q58_448749"/>
      <w:bookmarkStart w:id="32233" w:name="_ETM_Q58_448797"/>
      <w:bookmarkStart w:id="32234" w:name="_ETM_Q58_448898"/>
      <w:bookmarkEnd w:id="32230"/>
      <w:bookmarkEnd w:id="32231"/>
      <w:bookmarkEnd w:id="32232"/>
      <w:bookmarkEnd w:id="32233"/>
      <w:bookmarkEnd w:id="32234"/>
      <w:r>
        <w:rPr>
          <w:rFonts w:hint="cs"/>
          <w:rtl/>
        </w:rPr>
        <w:t xml:space="preserve">אומר רבי יוחנן </w:t>
      </w:r>
      <w:r>
        <w:t>–</w:t>
      </w:r>
      <w:r>
        <w:rPr>
          <w:rFonts w:hint="cs"/>
          <w:rtl/>
        </w:rPr>
        <w:t xml:space="preserve"> וכאן אין לנו אלא לחוש את הנימה </w:t>
      </w:r>
      <w:bookmarkStart w:id="32235" w:name="_ETM_Q58_454838"/>
      <w:bookmarkEnd w:id="32235"/>
      <w:r>
        <w:rPr>
          <w:rFonts w:hint="cs"/>
          <w:rtl/>
        </w:rPr>
        <w:t xml:space="preserve">של הקושי והעוצמה; רבי יוחנן אומר את זה כמה דורות </w:t>
      </w:r>
      <w:bookmarkStart w:id="32236" w:name="_ETM_Q58_456924"/>
      <w:bookmarkEnd w:id="32236"/>
      <w:r>
        <w:rPr>
          <w:rFonts w:hint="cs"/>
          <w:rtl/>
        </w:rPr>
        <w:t xml:space="preserve">אחר </w:t>
      </w:r>
      <w:bookmarkStart w:id="32237" w:name="_ETM_Q58_459566"/>
      <w:bookmarkEnd w:id="32237"/>
      <w:r>
        <w:rPr>
          <w:rFonts w:hint="cs"/>
          <w:rtl/>
        </w:rPr>
        <w:t xml:space="preserve">כך, או דור לפחות אחר כך: "ענוותנותו של רבי זכריה בן </w:t>
      </w:r>
      <w:bookmarkStart w:id="32238" w:name="_ETM_Q58_459924"/>
      <w:bookmarkEnd w:id="32238"/>
      <w:r>
        <w:rPr>
          <w:rFonts w:hint="cs"/>
          <w:rtl/>
        </w:rPr>
        <w:t xml:space="preserve">אבקולס החריבה את ביתנו ושרפה את היכלנו והגליתנו </w:t>
      </w:r>
      <w:bookmarkStart w:id="32239" w:name="_ETM_Q58_471183"/>
      <w:bookmarkEnd w:id="32239"/>
      <w:r>
        <w:rPr>
          <w:rFonts w:hint="cs"/>
          <w:rtl/>
        </w:rPr>
        <w:t xml:space="preserve">מארצנו". </w:t>
      </w:r>
      <w:bookmarkStart w:id="32240" w:name="_ETM_Q58_472507"/>
      <w:bookmarkStart w:id="32241" w:name="_ETM_Q58_472651"/>
      <w:bookmarkStart w:id="32242" w:name="_ETM_Q58_450199"/>
      <w:bookmarkEnd w:id="32240"/>
      <w:bookmarkEnd w:id="32241"/>
      <w:bookmarkEnd w:id="32242"/>
      <w:r>
        <w:rPr>
          <w:rFonts w:hint="cs"/>
          <w:rtl/>
        </w:rPr>
        <w:t xml:space="preserve">אותו זכריה בן אבקולס, שרצה להיות יותר צדיק מכולם </w:t>
      </w:r>
      <w:bookmarkStart w:id="32243" w:name="_ETM_Q58_470952"/>
      <w:bookmarkStart w:id="32244" w:name="_ETM_Q58_471640"/>
      <w:bookmarkStart w:id="32245" w:name="_ETM_Q58_471731"/>
      <w:bookmarkStart w:id="32246" w:name="_ETM_Q58_468330"/>
      <w:bookmarkStart w:id="32247" w:name="_ETM_Q58_468479"/>
      <w:bookmarkStart w:id="32248" w:name="_ETM_Q58_469629"/>
      <w:bookmarkStart w:id="32249" w:name="_ETM_Q58_470050"/>
      <w:bookmarkStart w:id="32250" w:name="_ETM_Q58_470949"/>
      <w:bookmarkStart w:id="32251" w:name="_ETM_Q58_471129"/>
      <w:bookmarkStart w:id="32252" w:name="_ETM_Q58_472190"/>
      <w:bookmarkStart w:id="32253" w:name="_ETM_Q58_472820"/>
      <w:bookmarkStart w:id="32254" w:name="_ETM_Q58_473089"/>
      <w:bookmarkStart w:id="32255" w:name="_ETM_Q58_473389"/>
      <w:bookmarkStart w:id="32256" w:name="_ETM_Q58_473779"/>
      <w:bookmarkStart w:id="32257" w:name="_ETM_Q58_474839"/>
      <w:bookmarkEnd w:id="32243"/>
      <w:bookmarkEnd w:id="32244"/>
      <w:bookmarkEnd w:id="32245"/>
      <w:bookmarkEnd w:id="32246"/>
      <w:bookmarkEnd w:id="32247"/>
      <w:bookmarkEnd w:id="32248"/>
      <w:bookmarkEnd w:id="32249"/>
      <w:bookmarkEnd w:id="32250"/>
      <w:bookmarkEnd w:id="32251"/>
      <w:bookmarkEnd w:id="32252"/>
      <w:bookmarkEnd w:id="32253"/>
      <w:bookmarkEnd w:id="32254"/>
      <w:bookmarkEnd w:id="32255"/>
      <w:bookmarkEnd w:id="32256"/>
      <w:bookmarkEnd w:id="32257"/>
      <w:r>
        <w:rPr>
          <w:rFonts w:hint="cs"/>
          <w:rtl/>
        </w:rPr>
        <w:t xml:space="preserve">– אולי </w:t>
      </w:r>
      <w:bookmarkStart w:id="32258" w:name="_ETM_Q58_475110"/>
      <w:bookmarkEnd w:id="32258"/>
      <w:r>
        <w:rPr>
          <w:rFonts w:hint="cs"/>
          <w:rtl/>
        </w:rPr>
        <w:t xml:space="preserve">היום </w:t>
      </w:r>
      <w:bookmarkStart w:id="32259" w:name="_ETM_Q58_475320"/>
      <w:bookmarkEnd w:id="32259"/>
      <w:r>
        <w:rPr>
          <w:rFonts w:hint="cs"/>
          <w:rtl/>
        </w:rPr>
        <w:t xml:space="preserve">ביידיש </w:t>
      </w:r>
      <w:bookmarkStart w:id="32260" w:name="_ETM_Q58_475680"/>
      <w:bookmarkEnd w:id="32260"/>
      <w:r>
        <w:rPr>
          <w:rFonts w:hint="cs"/>
          <w:rtl/>
        </w:rPr>
        <w:t xml:space="preserve">היו </w:t>
      </w:r>
      <w:bookmarkStart w:id="32261" w:name="_ETM_Q58_475860"/>
      <w:bookmarkEnd w:id="32261"/>
      <w:r>
        <w:rPr>
          <w:rFonts w:hint="cs"/>
          <w:rtl/>
        </w:rPr>
        <w:t xml:space="preserve">קוראים </w:t>
      </w:r>
      <w:bookmarkStart w:id="32262" w:name="_ETM_Q58_476130"/>
      <w:bookmarkEnd w:id="32262"/>
      <w:r>
        <w:rPr>
          <w:rFonts w:hint="cs"/>
          <w:rtl/>
        </w:rPr>
        <w:t xml:space="preserve">לו פיינשמייקר – אותו אחד </w:t>
      </w:r>
      <w:bookmarkStart w:id="32263" w:name="_ETM_Q58_476430"/>
      <w:bookmarkStart w:id="32264" w:name="_ETM_Q58_476639"/>
      <w:bookmarkStart w:id="32265" w:name="_ETM_Q58_478029"/>
      <w:bookmarkStart w:id="32266" w:name="_ETM_Q58_478330"/>
      <w:bookmarkStart w:id="32267" w:name="_ETM_Q58_479490"/>
      <w:bookmarkEnd w:id="32263"/>
      <w:bookmarkEnd w:id="32264"/>
      <w:bookmarkEnd w:id="32265"/>
      <w:bookmarkEnd w:id="32266"/>
      <w:bookmarkEnd w:id="32267"/>
      <w:r>
        <w:rPr>
          <w:rFonts w:hint="cs"/>
          <w:rtl/>
        </w:rPr>
        <w:t xml:space="preserve">החריב </w:t>
      </w:r>
      <w:bookmarkStart w:id="32268" w:name="_ETM_Q58_480180"/>
      <w:bookmarkEnd w:id="32268"/>
      <w:r>
        <w:rPr>
          <w:rFonts w:hint="cs"/>
          <w:rtl/>
        </w:rPr>
        <w:t xml:space="preserve">את </w:t>
      </w:r>
      <w:bookmarkStart w:id="32269" w:name="_ETM_Q58_480360"/>
      <w:bookmarkEnd w:id="32269"/>
      <w:r>
        <w:rPr>
          <w:rFonts w:hint="cs"/>
          <w:rtl/>
        </w:rPr>
        <w:t>הבית</w:t>
      </w:r>
      <w:bookmarkStart w:id="32270" w:name="_ETM_Q58_480000"/>
      <w:bookmarkStart w:id="32271" w:name="_ETM_Q58_480750"/>
      <w:bookmarkStart w:id="32272" w:name="_ETM_Q58_480930"/>
      <w:bookmarkStart w:id="32273" w:name="_ETM_Q58_481740"/>
      <w:bookmarkEnd w:id="32270"/>
      <w:bookmarkEnd w:id="32271"/>
      <w:bookmarkEnd w:id="32272"/>
      <w:bookmarkEnd w:id="32273"/>
      <w:r>
        <w:rPr>
          <w:rFonts w:hint="cs"/>
          <w:rtl/>
        </w:rPr>
        <w:t xml:space="preserve">, שרף </w:t>
      </w:r>
      <w:bookmarkStart w:id="32274" w:name="_ETM_Q58_482339"/>
      <w:bookmarkEnd w:id="32274"/>
      <w:r>
        <w:rPr>
          <w:rFonts w:hint="cs"/>
          <w:rtl/>
        </w:rPr>
        <w:t xml:space="preserve">את </w:t>
      </w:r>
      <w:bookmarkStart w:id="32275" w:name="_ETM_Q58_482490"/>
      <w:bookmarkEnd w:id="32275"/>
      <w:r>
        <w:rPr>
          <w:rFonts w:hint="cs"/>
          <w:rtl/>
        </w:rPr>
        <w:t xml:space="preserve">ההיכל </w:t>
      </w:r>
      <w:bookmarkStart w:id="32276" w:name="_ETM_Q58_483689"/>
      <w:bookmarkEnd w:id="32276"/>
      <w:r>
        <w:rPr>
          <w:rFonts w:hint="cs"/>
          <w:rtl/>
        </w:rPr>
        <w:t xml:space="preserve">והביא </w:t>
      </w:r>
      <w:bookmarkStart w:id="32277" w:name="_ETM_Q58_484170"/>
      <w:bookmarkStart w:id="32278" w:name="_ETM_Q58_484649"/>
      <w:bookmarkEnd w:id="32277"/>
      <w:bookmarkEnd w:id="32278"/>
      <w:r>
        <w:rPr>
          <w:rFonts w:hint="cs"/>
          <w:rtl/>
        </w:rPr>
        <w:t xml:space="preserve">אותנו לגלות. </w:t>
      </w:r>
      <w:bookmarkStart w:id="32279" w:name="_ETM_Q58_486200"/>
      <w:bookmarkEnd w:id="32279"/>
    </w:p>
    <w:p w:rsidR="00BB59CD" w:rsidRDefault="00BB59CD" w:rsidP="00BB59CD">
      <w:pPr>
        <w:rPr>
          <w:rtl/>
        </w:rPr>
      </w:pPr>
      <w:bookmarkStart w:id="32280" w:name="_ETM_Q58_490261"/>
      <w:bookmarkEnd w:id="32280"/>
    </w:p>
    <w:p w:rsidR="00BB59CD" w:rsidRDefault="00BB59CD" w:rsidP="002E4473">
      <w:pPr>
        <w:rPr>
          <w:rtl/>
        </w:rPr>
      </w:pPr>
      <w:bookmarkStart w:id="32281" w:name="_ETM_Q58_490413"/>
      <w:bookmarkStart w:id="32282" w:name="_ETM_Q58_490508"/>
      <w:bookmarkStart w:id="32283" w:name="_ETM_Q58_490607"/>
      <w:bookmarkEnd w:id="32281"/>
      <w:bookmarkEnd w:id="32282"/>
      <w:bookmarkEnd w:id="32283"/>
      <w:r>
        <w:rPr>
          <w:rFonts w:hint="cs"/>
          <w:rtl/>
        </w:rPr>
        <w:t xml:space="preserve">זה </w:t>
      </w:r>
      <w:bookmarkStart w:id="32284" w:name="_ETM_Q58_486410"/>
      <w:bookmarkEnd w:id="32284"/>
      <w:r>
        <w:rPr>
          <w:rFonts w:hint="cs"/>
          <w:rtl/>
        </w:rPr>
        <w:t xml:space="preserve">הסיפור. </w:t>
      </w:r>
      <w:bookmarkStart w:id="32285" w:name="_ETM_Q58_487669"/>
      <w:bookmarkEnd w:id="32285"/>
      <w:r>
        <w:rPr>
          <w:rFonts w:hint="cs"/>
          <w:rtl/>
        </w:rPr>
        <w:t xml:space="preserve">מסופר </w:t>
      </w:r>
      <w:bookmarkStart w:id="32286" w:name="_ETM_Q58_488179"/>
      <w:bookmarkEnd w:id="32286"/>
      <w:r>
        <w:rPr>
          <w:rFonts w:hint="cs"/>
          <w:rtl/>
        </w:rPr>
        <w:t xml:space="preserve">בגמרא. </w:t>
      </w:r>
      <w:bookmarkStart w:id="32287" w:name="_ETM_Q58_488690"/>
      <w:bookmarkEnd w:id="32287"/>
      <w:r>
        <w:rPr>
          <w:rFonts w:hint="cs"/>
          <w:rtl/>
        </w:rPr>
        <w:t xml:space="preserve">למדנו </w:t>
      </w:r>
      <w:bookmarkStart w:id="32288" w:name="_ETM_Q58_488990"/>
      <w:bookmarkEnd w:id="32288"/>
      <w:r>
        <w:rPr>
          <w:rFonts w:hint="cs"/>
          <w:rtl/>
        </w:rPr>
        <w:t xml:space="preserve">אותו </w:t>
      </w:r>
      <w:bookmarkStart w:id="32289" w:name="_ETM_Q58_489200"/>
      <w:bookmarkEnd w:id="32289"/>
      <w:r>
        <w:rPr>
          <w:rFonts w:hint="cs"/>
          <w:rtl/>
        </w:rPr>
        <w:t xml:space="preserve">לפני </w:t>
      </w:r>
      <w:bookmarkStart w:id="32290" w:name="_ETM_Q58_489440"/>
      <w:bookmarkEnd w:id="32290"/>
      <w:r>
        <w:rPr>
          <w:rFonts w:hint="cs"/>
          <w:rtl/>
        </w:rPr>
        <w:t xml:space="preserve">כמה </w:t>
      </w:r>
      <w:bookmarkStart w:id="32291" w:name="_ETM_Q58_489709"/>
      <w:bookmarkEnd w:id="32291"/>
      <w:r>
        <w:rPr>
          <w:rFonts w:hint="cs"/>
          <w:rtl/>
        </w:rPr>
        <w:t xml:space="preserve">ימים </w:t>
      </w:r>
      <w:bookmarkStart w:id="32292" w:name="_ETM_Q58_490459"/>
      <w:bookmarkEnd w:id="32292"/>
      <w:r>
        <w:rPr>
          <w:rFonts w:hint="cs"/>
          <w:rtl/>
        </w:rPr>
        <w:t xml:space="preserve">בדף </w:t>
      </w:r>
      <w:bookmarkStart w:id="32293" w:name="_ETM_Q58_490849"/>
      <w:bookmarkEnd w:id="32293"/>
      <w:r>
        <w:rPr>
          <w:rFonts w:hint="cs"/>
          <w:rtl/>
        </w:rPr>
        <w:t xml:space="preserve">היומי </w:t>
      </w:r>
      <w:bookmarkStart w:id="32294" w:name="_ETM_Q58_491599"/>
      <w:bookmarkEnd w:id="32294"/>
      <w:r>
        <w:rPr>
          <w:rFonts w:hint="cs"/>
          <w:rtl/>
        </w:rPr>
        <w:t xml:space="preserve">בתוך </w:t>
      </w:r>
      <w:bookmarkStart w:id="32295" w:name="_ETM_Q58_491990"/>
      <w:bookmarkEnd w:id="32295"/>
      <w:r>
        <w:rPr>
          <w:rFonts w:hint="cs"/>
          <w:rtl/>
        </w:rPr>
        <w:t xml:space="preserve">קובץ </w:t>
      </w:r>
      <w:bookmarkStart w:id="32296" w:name="_ETM_Q58_492970"/>
      <w:bookmarkEnd w:id="32296"/>
      <w:r>
        <w:rPr>
          <w:rFonts w:hint="cs"/>
          <w:rtl/>
        </w:rPr>
        <w:t xml:space="preserve">של </w:t>
      </w:r>
      <w:bookmarkStart w:id="32297" w:name="_ETM_Q58_493269"/>
      <w:bookmarkEnd w:id="32297"/>
      <w:r>
        <w:rPr>
          <w:rFonts w:hint="cs"/>
          <w:rtl/>
        </w:rPr>
        <w:t xml:space="preserve">אגדות </w:t>
      </w:r>
      <w:bookmarkStart w:id="32298" w:name="_ETM_Q58_493779"/>
      <w:bookmarkEnd w:id="32298"/>
      <w:r>
        <w:rPr>
          <w:rFonts w:hint="cs"/>
          <w:rtl/>
        </w:rPr>
        <w:t xml:space="preserve">המכונה </w:t>
      </w:r>
      <w:bookmarkStart w:id="32299" w:name="_ETM_Q58_494260"/>
      <w:bookmarkEnd w:id="32299"/>
      <w:r>
        <w:rPr>
          <w:rFonts w:hint="cs"/>
          <w:rtl/>
        </w:rPr>
        <w:t xml:space="preserve">"קובץ </w:t>
      </w:r>
      <w:bookmarkStart w:id="32300" w:name="_ETM_Q58_494620"/>
      <w:bookmarkEnd w:id="32300"/>
      <w:r>
        <w:rPr>
          <w:rFonts w:hint="cs"/>
          <w:rtl/>
        </w:rPr>
        <w:t xml:space="preserve">אגדות </w:t>
      </w:r>
      <w:bookmarkStart w:id="32301" w:name="_ETM_Q58_495010"/>
      <w:bookmarkEnd w:id="32301"/>
      <w:r>
        <w:rPr>
          <w:rFonts w:hint="cs"/>
          <w:rtl/>
        </w:rPr>
        <w:t xml:space="preserve">החורבן", </w:t>
      </w:r>
      <w:bookmarkStart w:id="32302" w:name="_ETM_Q58_495930"/>
      <w:bookmarkEnd w:id="32302"/>
      <w:r>
        <w:rPr>
          <w:rFonts w:hint="cs"/>
          <w:rtl/>
        </w:rPr>
        <w:t xml:space="preserve">מתחיל </w:t>
      </w:r>
      <w:bookmarkStart w:id="32303" w:name="_ETM_Q58_496260"/>
      <w:bookmarkEnd w:id="32303"/>
      <w:r>
        <w:rPr>
          <w:rFonts w:hint="cs"/>
          <w:rtl/>
        </w:rPr>
        <w:t xml:space="preserve">בדף </w:t>
      </w:r>
      <w:bookmarkStart w:id="32304" w:name="_ETM_Q58_496560"/>
      <w:bookmarkEnd w:id="32304"/>
      <w:r>
        <w:rPr>
          <w:rFonts w:hint="cs"/>
          <w:rtl/>
        </w:rPr>
        <w:t xml:space="preserve">נ"ה, </w:t>
      </w:r>
      <w:bookmarkStart w:id="32305" w:name="_ETM_Q58_496860"/>
      <w:bookmarkEnd w:id="32305"/>
      <w:r>
        <w:rPr>
          <w:rFonts w:hint="cs"/>
          <w:rtl/>
        </w:rPr>
        <w:t xml:space="preserve">ממשיך עד דף ע"א </w:t>
      </w:r>
      <w:bookmarkStart w:id="32306" w:name="_ETM_Q58_498918"/>
      <w:bookmarkEnd w:id="32306"/>
      <w:r>
        <w:rPr>
          <w:rFonts w:hint="cs"/>
          <w:rtl/>
        </w:rPr>
        <w:t>כמעט, למעלה מחמישה דפים, שכל</w:t>
      </w:r>
      <w:r w:rsidR="002E4473">
        <w:rPr>
          <w:rFonts w:hint="cs"/>
          <w:rtl/>
        </w:rPr>
        <w:t>-</w:t>
      </w:r>
      <w:r>
        <w:rPr>
          <w:rFonts w:hint="cs"/>
          <w:rtl/>
        </w:rPr>
        <w:t xml:space="preserve">כולם סיפורים על חורבן הבית. </w:t>
      </w:r>
      <w:bookmarkStart w:id="32307" w:name="_ETM_Q58_497250"/>
      <w:bookmarkStart w:id="32308" w:name="_ETM_Q58_497580"/>
      <w:bookmarkStart w:id="32309" w:name="_ETM_Q58_497910"/>
      <w:bookmarkStart w:id="32310" w:name="_ETM_Q58_498089"/>
      <w:bookmarkStart w:id="32311" w:name="_ETM_Q58_499109"/>
      <w:bookmarkStart w:id="32312" w:name="_ETM_Q58_499439"/>
      <w:bookmarkStart w:id="32313" w:name="_ETM_Q58_499920"/>
      <w:bookmarkStart w:id="32314" w:name="_ETM_Q58_500839"/>
      <w:bookmarkStart w:id="32315" w:name="_ETM_Q58_501290"/>
      <w:bookmarkStart w:id="32316" w:name="_ETM_Q58_501589"/>
      <w:bookmarkStart w:id="32317" w:name="_ETM_Q58_502040"/>
      <w:bookmarkStart w:id="32318" w:name="_ETM_Q58_502160"/>
      <w:bookmarkStart w:id="32319" w:name="_ETM_Q58_502580"/>
      <w:bookmarkStart w:id="32320" w:name="_ETM_Q58_504250"/>
      <w:bookmarkEnd w:id="32307"/>
      <w:bookmarkEnd w:id="32308"/>
      <w:bookmarkEnd w:id="32309"/>
      <w:bookmarkEnd w:id="32310"/>
      <w:bookmarkEnd w:id="32311"/>
      <w:bookmarkEnd w:id="32312"/>
      <w:bookmarkEnd w:id="32313"/>
      <w:bookmarkEnd w:id="32314"/>
      <w:bookmarkEnd w:id="32315"/>
      <w:bookmarkEnd w:id="32316"/>
      <w:bookmarkEnd w:id="32317"/>
      <w:bookmarkEnd w:id="32318"/>
      <w:bookmarkEnd w:id="32319"/>
      <w:bookmarkEnd w:id="32320"/>
      <w:r>
        <w:rPr>
          <w:rFonts w:hint="cs"/>
          <w:rtl/>
        </w:rPr>
        <w:t xml:space="preserve">וזה </w:t>
      </w:r>
      <w:bookmarkStart w:id="32321" w:name="_ETM_Q58_504490"/>
      <w:bookmarkEnd w:id="32321"/>
      <w:r>
        <w:rPr>
          <w:rFonts w:hint="cs"/>
          <w:rtl/>
        </w:rPr>
        <w:t xml:space="preserve">סיפור </w:t>
      </w:r>
      <w:bookmarkStart w:id="32322" w:name="_ETM_Q58_504820"/>
      <w:bookmarkEnd w:id="32322"/>
      <w:r>
        <w:rPr>
          <w:rFonts w:hint="cs"/>
          <w:rtl/>
        </w:rPr>
        <w:t xml:space="preserve">פשוט </w:t>
      </w:r>
      <w:bookmarkStart w:id="32323" w:name="_ETM_Q58_505180"/>
      <w:bookmarkStart w:id="32324" w:name="_ETM_Q58_505270"/>
      <w:bookmarkEnd w:id="32323"/>
      <w:bookmarkEnd w:id="32324"/>
      <w:r>
        <w:rPr>
          <w:rFonts w:hint="cs"/>
          <w:rtl/>
        </w:rPr>
        <w:t xml:space="preserve">בסך </w:t>
      </w:r>
      <w:bookmarkStart w:id="32325" w:name="_ETM_Q58_505450"/>
      <w:bookmarkEnd w:id="32325"/>
      <w:r>
        <w:rPr>
          <w:rFonts w:hint="cs"/>
          <w:rtl/>
        </w:rPr>
        <w:t xml:space="preserve">הכול: אדם אחד שיש לו חבר, עושה סעודה, השמש שלו </w:t>
      </w:r>
      <w:bookmarkStart w:id="32326" w:name="_ETM_Q58_509218"/>
      <w:bookmarkEnd w:id="32326"/>
      <w:r>
        <w:rPr>
          <w:rFonts w:hint="cs"/>
          <w:rtl/>
        </w:rPr>
        <w:t xml:space="preserve">מזמין את האדם הלא-נכון, הוא בא להעיף את האדם </w:t>
      </w:r>
      <w:bookmarkStart w:id="32327" w:name="_ETM_Q58_511709"/>
      <w:bookmarkEnd w:id="32327"/>
      <w:r>
        <w:rPr>
          <w:rFonts w:hint="cs"/>
          <w:rtl/>
        </w:rPr>
        <w:t xml:space="preserve">הלא-נכון, </w:t>
      </w:r>
      <w:bookmarkStart w:id="32328" w:name="_ETM_Q58_506140"/>
      <w:bookmarkStart w:id="32329" w:name="_ETM_Q58_506440"/>
      <w:bookmarkStart w:id="32330" w:name="_ETM_Q58_507070"/>
      <w:bookmarkStart w:id="32331" w:name="_ETM_Q58_507339"/>
      <w:bookmarkStart w:id="32332" w:name="_ETM_Q58_507760"/>
      <w:bookmarkStart w:id="32333" w:name="_ETM_Q58_508210"/>
      <w:bookmarkStart w:id="32334" w:name="_ETM_Q58_508450"/>
      <w:bookmarkStart w:id="32335" w:name="_ETM_Q58_509509"/>
      <w:bookmarkStart w:id="32336" w:name="_ETM_Q58_509689"/>
      <w:bookmarkStart w:id="32337" w:name="_ETM_Q58_509989"/>
      <w:bookmarkStart w:id="32338" w:name="_ETM_Q58_510079"/>
      <w:bookmarkStart w:id="32339" w:name="_ETM_Q58_510470"/>
      <w:bookmarkStart w:id="32340" w:name="_ETM_Q58_510529"/>
      <w:bookmarkStart w:id="32341" w:name="_ETM_Q58_510800"/>
      <w:bookmarkStart w:id="32342" w:name="_ETM_Q58_510949"/>
      <w:bookmarkStart w:id="32343" w:name="_ETM_Q58_512230"/>
      <w:bookmarkStart w:id="32344" w:name="_ETM_Q58_512529"/>
      <w:bookmarkStart w:id="32345" w:name="_ETM_Q58_512829"/>
      <w:bookmarkStart w:id="32346" w:name="_ETM_Q58_512890"/>
      <w:bookmarkStart w:id="32347" w:name="_ETM_Q58_513129"/>
      <w:bookmarkStart w:id="32348" w:name="_ETM_Q58_513219"/>
      <w:bookmarkStart w:id="32349" w:name="_ETM_Q58_513309"/>
      <w:bookmarkStart w:id="32350" w:name="_ETM_Q58_514300"/>
      <w:bookmarkEnd w:id="32328"/>
      <w:bookmarkEnd w:id="32329"/>
      <w:bookmarkEnd w:id="32330"/>
      <w:bookmarkEnd w:id="32331"/>
      <w:bookmarkEnd w:id="32332"/>
      <w:bookmarkEnd w:id="32333"/>
      <w:bookmarkEnd w:id="32334"/>
      <w:bookmarkEnd w:id="32335"/>
      <w:bookmarkEnd w:id="32336"/>
      <w:bookmarkEnd w:id="32337"/>
      <w:bookmarkEnd w:id="32338"/>
      <w:bookmarkEnd w:id="32339"/>
      <w:bookmarkEnd w:id="32340"/>
      <w:bookmarkEnd w:id="32341"/>
      <w:bookmarkEnd w:id="32342"/>
      <w:bookmarkEnd w:id="32343"/>
      <w:bookmarkEnd w:id="32344"/>
      <w:bookmarkEnd w:id="32345"/>
      <w:bookmarkEnd w:id="32346"/>
      <w:bookmarkEnd w:id="32347"/>
      <w:bookmarkEnd w:id="32348"/>
      <w:bookmarkEnd w:id="32349"/>
      <w:bookmarkEnd w:id="32350"/>
      <w:r>
        <w:rPr>
          <w:rFonts w:hint="cs"/>
          <w:rtl/>
        </w:rPr>
        <w:t xml:space="preserve">ההוא </w:t>
      </w:r>
      <w:bookmarkStart w:id="32351" w:name="_ETM_Q58_514510"/>
      <w:bookmarkEnd w:id="32351"/>
      <w:r>
        <w:rPr>
          <w:rFonts w:hint="cs"/>
          <w:rtl/>
        </w:rPr>
        <w:t xml:space="preserve">מוכן </w:t>
      </w:r>
      <w:bookmarkStart w:id="32352" w:name="_ETM_Q58_514839"/>
      <w:bookmarkEnd w:id="32352"/>
      <w:r>
        <w:rPr>
          <w:rFonts w:hint="cs"/>
          <w:rtl/>
        </w:rPr>
        <w:t xml:space="preserve">לשלם </w:t>
      </w:r>
      <w:bookmarkStart w:id="32353" w:name="_ETM_Q58_515500"/>
      <w:bookmarkEnd w:id="32353"/>
      <w:r>
        <w:rPr>
          <w:rFonts w:hint="cs"/>
          <w:rtl/>
        </w:rPr>
        <w:t xml:space="preserve">אבל </w:t>
      </w:r>
      <w:bookmarkStart w:id="32354" w:name="_ETM_Q58_515739"/>
      <w:bookmarkEnd w:id="32354"/>
      <w:r>
        <w:rPr>
          <w:rFonts w:hint="cs"/>
          <w:rtl/>
        </w:rPr>
        <w:t xml:space="preserve">הוא </w:t>
      </w:r>
      <w:bookmarkStart w:id="32355" w:name="_ETM_Q58_515800"/>
      <w:bookmarkEnd w:id="32355"/>
      <w:r>
        <w:rPr>
          <w:rFonts w:hint="cs"/>
          <w:rtl/>
        </w:rPr>
        <w:t xml:space="preserve">מתעקש, </w:t>
      </w:r>
      <w:bookmarkStart w:id="32356" w:name="_ETM_Q58_517140"/>
      <w:bookmarkEnd w:id="32356"/>
      <w:r>
        <w:rPr>
          <w:rFonts w:hint="cs"/>
          <w:rtl/>
        </w:rPr>
        <w:t xml:space="preserve">ואחרי </w:t>
      </w:r>
      <w:bookmarkStart w:id="32357" w:name="_ETM_Q58_517649"/>
      <w:bookmarkEnd w:id="32357"/>
      <w:r>
        <w:rPr>
          <w:rFonts w:hint="cs"/>
          <w:rtl/>
        </w:rPr>
        <w:t xml:space="preserve">כל </w:t>
      </w:r>
      <w:bookmarkStart w:id="32358" w:name="_ETM_Q58_517829"/>
      <w:bookmarkEnd w:id="32358"/>
      <w:r>
        <w:rPr>
          <w:rFonts w:hint="cs"/>
          <w:rtl/>
        </w:rPr>
        <w:t xml:space="preserve">הניסיונות </w:t>
      </w:r>
      <w:bookmarkStart w:id="32359" w:name="_ETM_Q58_518429"/>
      <w:bookmarkEnd w:id="32359"/>
      <w:r>
        <w:rPr>
          <w:rFonts w:hint="cs"/>
          <w:rtl/>
        </w:rPr>
        <w:t xml:space="preserve">הוא </w:t>
      </w:r>
      <w:bookmarkStart w:id="32360" w:name="_ETM_Q58_518519"/>
      <w:bookmarkEnd w:id="32360"/>
      <w:r>
        <w:rPr>
          <w:rFonts w:hint="cs"/>
          <w:rtl/>
        </w:rPr>
        <w:t xml:space="preserve">מעיף </w:t>
      </w:r>
      <w:bookmarkStart w:id="32361" w:name="_ETM_Q58_518789"/>
      <w:bookmarkEnd w:id="32361"/>
      <w:r>
        <w:rPr>
          <w:rFonts w:hint="cs"/>
          <w:rtl/>
        </w:rPr>
        <w:t xml:space="preserve">אותו. </w:t>
      </w:r>
      <w:bookmarkStart w:id="32362" w:name="_ETM_Q58_519760"/>
      <w:bookmarkEnd w:id="32362"/>
      <w:r>
        <w:rPr>
          <w:rFonts w:hint="cs"/>
          <w:rtl/>
        </w:rPr>
        <w:t xml:space="preserve">ואז </w:t>
      </w:r>
      <w:bookmarkStart w:id="32363" w:name="_ETM_Q58_520180"/>
      <w:bookmarkEnd w:id="32363"/>
      <w:r>
        <w:rPr>
          <w:rFonts w:hint="cs"/>
          <w:rtl/>
        </w:rPr>
        <w:t xml:space="preserve">ההוא </w:t>
      </w:r>
      <w:bookmarkStart w:id="32364" w:name="_ETM_Q58_520420"/>
      <w:bookmarkEnd w:id="32364"/>
      <w:r>
        <w:rPr>
          <w:rFonts w:hint="cs"/>
          <w:rtl/>
        </w:rPr>
        <w:t xml:space="preserve">חדור </w:t>
      </w:r>
      <w:bookmarkStart w:id="32365" w:name="_ETM_Q58_520839"/>
      <w:bookmarkEnd w:id="32365"/>
      <w:r>
        <w:rPr>
          <w:rFonts w:hint="cs"/>
          <w:rtl/>
        </w:rPr>
        <w:t xml:space="preserve">בנקמה </w:t>
      </w:r>
      <w:bookmarkStart w:id="32366" w:name="_ETM_Q58_521350"/>
      <w:bookmarkStart w:id="32367" w:name="_ETM_Q58_521980"/>
      <w:bookmarkEnd w:id="32366"/>
      <w:bookmarkEnd w:id="32367"/>
      <w:r>
        <w:rPr>
          <w:rFonts w:hint="cs"/>
          <w:rtl/>
        </w:rPr>
        <w:t xml:space="preserve">הולך </w:t>
      </w:r>
      <w:bookmarkStart w:id="32368" w:name="_ETM_Q58_522250"/>
      <w:bookmarkEnd w:id="32368"/>
      <w:r>
        <w:rPr>
          <w:rFonts w:hint="cs"/>
          <w:rtl/>
        </w:rPr>
        <w:t xml:space="preserve">לקיסר, מלשין, </w:t>
      </w:r>
      <w:bookmarkStart w:id="32369" w:name="_ETM_Q58_524829"/>
      <w:bookmarkEnd w:id="32369"/>
      <w:r>
        <w:rPr>
          <w:rFonts w:hint="cs"/>
          <w:rtl/>
        </w:rPr>
        <w:t xml:space="preserve">והקיסר </w:t>
      </w:r>
      <w:bookmarkStart w:id="32370" w:name="_ETM_Q58_526120"/>
      <w:bookmarkEnd w:id="32370"/>
      <w:r>
        <w:rPr>
          <w:rFonts w:hint="cs"/>
          <w:rtl/>
        </w:rPr>
        <w:t xml:space="preserve">לא </w:t>
      </w:r>
      <w:bookmarkStart w:id="32371" w:name="_ETM_Q58_526360"/>
      <w:bookmarkEnd w:id="32371"/>
      <w:r>
        <w:rPr>
          <w:rFonts w:hint="cs"/>
          <w:rtl/>
        </w:rPr>
        <w:t xml:space="preserve">מאמין </w:t>
      </w:r>
      <w:bookmarkStart w:id="32372" w:name="_ETM_Q58_526809"/>
      <w:bookmarkEnd w:id="32372"/>
      <w:r>
        <w:rPr>
          <w:rFonts w:hint="cs"/>
          <w:rtl/>
        </w:rPr>
        <w:t xml:space="preserve">לו, </w:t>
      </w:r>
      <w:bookmarkStart w:id="32373" w:name="_ETM_Q58_527140"/>
      <w:bookmarkEnd w:id="32373"/>
      <w:r>
        <w:rPr>
          <w:rFonts w:hint="cs"/>
          <w:rtl/>
        </w:rPr>
        <w:t xml:space="preserve">כי </w:t>
      </w:r>
      <w:bookmarkStart w:id="32374" w:name="_ETM_Q58_527289"/>
      <w:bookmarkEnd w:id="32374"/>
      <w:r>
        <w:rPr>
          <w:rFonts w:hint="cs"/>
          <w:rtl/>
        </w:rPr>
        <w:t xml:space="preserve">הקיסר </w:t>
      </w:r>
      <w:bookmarkStart w:id="32375" w:name="_ETM_Q58_527739"/>
      <w:bookmarkEnd w:id="32375"/>
      <w:r>
        <w:rPr>
          <w:rFonts w:hint="cs"/>
          <w:rtl/>
        </w:rPr>
        <w:t xml:space="preserve">הוא </w:t>
      </w:r>
      <w:bookmarkStart w:id="32376" w:name="_ETM_Q58_527860"/>
      <w:bookmarkEnd w:id="32376"/>
      <w:r>
        <w:rPr>
          <w:rFonts w:hint="cs"/>
          <w:rtl/>
        </w:rPr>
        <w:t xml:space="preserve">אדם </w:t>
      </w:r>
      <w:bookmarkStart w:id="32377" w:name="_ETM_Q58_528219"/>
      <w:bookmarkEnd w:id="32377"/>
      <w:r>
        <w:rPr>
          <w:rFonts w:hint="cs"/>
          <w:rtl/>
        </w:rPr>
        <w:t xml:space="preserve">אולי </w:t>
      </w:r>
      <w:bookmarkStart w:id="32378" w:name="_ETM_Q58_528519"/>
      <w:bookmarkEnd w:id="32378"/>
      <w:r>
        <w:rPr>
          <w:rFonts w:hint="cs"/>
          <w:rtl/>
        </w:rPr>
        <w:t xml:space="preserve">הגיוני, </w:t>
      </w:r>
      <w:bookmarkStart w:id="32379" w:name="_ETM_Q58_529829"/>
      <w:bookmarkEnd w:id="32379"/>
      <w:r>
        <w:rPr>
          <w:rFonts w:hint="cs"/>
          <w:rtl/>
        </w:rPr>
        <w:t xml:space="preserve">והוא </w:t>
      </w:r>
      <w:bookmarkStart w:id="32380" w:name="_ETM_Q58_530370"/>
      <w:bookmarkEnd w:id="32380"/>
      <w:r>
        <w:rPr>
          <w:rFonts w:hint="cs"/>
          <w:rtl/>
        </w:rPr>
        <w:t xml:space="preserve">רוצה </w:t>
      </w:r>
      <w:bookmarkStart w:id="32381" w:name="_ETM_Q58_530610"/>
      <w:bookmarkEnd w:id="32381"/>
      <w:r>
        <w:rPr>
          <w:rFonts w:hint="cs"/>
          <w:rtl/>
        </w:rPr>
        <w:t xml:space="preserve">הוכחה. </w:t>
      </w:r>
      <w:bookmarkStart w:id="32382" w:name="_ETM_Q58_531670"/>
      <w:bookmarkEnd w:id="32382"/>
      <w:r>
        <w:rPr>
          <w:rFonts w:hint="cs"/>
          <w:rtl/>
        </w:rPr>
        <w:t xml:space="preserve">והאיש </w:t>
      </w:r>
      <w:bookmarkStart w:id="32383" w:name="_ETM_Q58_532029"/>
      <w:bookmarkEnd w:id="32383"/>
      <w:r>
        <w:rPr>
          <w:rFonts w:hint="cs"/>
          <w:rtl/>
        </w:rPr>
        <w:t xml:space="preserve">הזה </w:t>
      </w:r>
      <w:bookmarkStart w:id="32384" w:name="_ETM_Q58_532510"/>
      <w:bookmarkEnd w:id="32384"/>
      <w:r>
        <w:rPr>
          <w:rFonts w:hint="cs"/>
          <w:rtl/>
        </w:rPr>
        <w:t xml:space="preserve">מוכיח </w:t>
      </w:r>
      <w:bookmarkStart w:id="32385" w:name="_ETM_Q58_533079"/>
      <w:bookmarkEnd w:id="32385"/>
      <w:r>
        <w:rPr>
          <w:rFonts w:hint="cs"/>
          <w:rtl/>
        </w:rPr>
        <w:t xml:space="preserve">בכוח </w:t>
      </w:r>
      <w:bookmarkStart w:id="32386" w:name="_ETM_Q58_534010"/>
      <w:bookmarkEnd w:id="32386"/>
      <w:r>
        <w:rPr>
          <w:rFonts w:hint="cs"/>
          <w:rtl/>
        </w:rPr>
        <w:t xml:space="preserve">שהיהודים </w:t>
      </w:r>
      <w:bookmarkStart w:id="32387" w:name="_ETM_Q58_534549"/>
      <w:bookmarkEnd w:id="32387"/>
      <w:r>
        <w:rPr>
          <w:rFonts w:hint="cs"/>
          <w:rtl/>
        </w:rPr>
        <w:t xml:space="preserve">מרדו </w:t>
      </w:r>
      <w:bookmarkStart w:id="32388" w:name="_ETM_Q58_534909"/>
      <w:bookmarkEnd w:id="32388"/>
      <w:r>
        <w:rPr>
          <w:rFonts w:hint="cs"/>
          <w:rtl/>
        </w:rPr>
        <w:t xml:space="preserve">בו, </w:t>
      </w:r>
      <w:bookmarkStart w:id="32389" w:name="_ETM_Q58_535059"/>
      <w:bookmarkEnd w:id="32389"/>
      <w:r>
        <w:rPr>
          <w:rFonts w:hint="cs"/>
          <w:rtl/>
        </w:rPr>
        <w:t xml:space="preserve">בעצם </w:t>
      </w:r>
      <w:bookmarkStart w:id="32390" w:name="_ETM_Q58_535510"/>
      <w:bookmarkEnd w:id="32390"/>
      <w:r>
        <w:rPr>
          <w:rFonts w:hint="cs"/>
          <w:rtl/>
        </w:rPr>
        <w:t xml:space="preserve">יוצר </w:t>
      </w:r>
      <w:bookmarkStart w:id="32391" w:name="_ETM_Q58_537250"/>
      <w:bookmarkEnd w:id="32391"/>
      <w:r>
        <w:rPr>
          <w:rFonts w:hint="cs"/>
          <w:rtl/>
        </w:rPr>
        <w:t xml:space="preserve">את </w:t>
      </w:r>
      <w:bookmarkStart w:id="32392" w:name="_ETM_Q58_537580"/>
      <w:bookmarkEnd w:id="32392"/>
      <w:r>
        <w:rPr>
          <w:rFonts w:hint="cs"/>
          <w:rtl/>
        </w:rPr>
        <w:t xml:space="preserve">הסכסוך, </w:t>
      </w:r>
      <w:bookmarkStart w:id="32393" w:name="_ETM_Q58_539960"/>
      <w:bookmarkEnd w:id="32393"/>
      <w:r>
        <w:rPr>
          <w:rFonts w:hint="cs"/>
          <w:rtl/>
        </w:rPr>
        <w:t xml:space="preserve">וחכמים </w:t>
      </w:r>
      <w:bookmarkStart w:id="32394" w:name="_ETM_Q58_540860"/>
      <w:bookmarkEnd w:id="32394"/>
      <w:r>
        <w:rPr>
          <w:rFonts w:hint="cs"/>
          <w:rtl/>
        </w:rPr>
        <w:t xml:space="preserve">– שוב, הם המבוגר </w:t>
      </w:r>
      <w:bookmarkStart w:id="32395" w:name="_ETM_Q58_541880"/>
      <w:bookmarkEnd w:id="32395"/>
      <w:r>
        <w:rPr>
          <w:rFonts w:hint="cs"/>
          <w:rtl/>
        </w:rPr>
        <w:t xml:space="preserve">האחראי </w:t>
      </w:r>
      <w:bookmarkStart w:id="32396" w:name="_ETM_Q58_542420"/>
      <w:bookmarkEnd w:id="32396"/>
      <w:r>
        <w:rPr>
          <w:rFonts w:hint="cs"/>
          <w:rtl/>
        </w:rPr>
        <w:t xml:space="preserve">פה </w:t>
      </w:r>
      <w:bookmarkStart w:id="32397" w:name="_ETM_Q58_543080"/>
      <w:bookmarkEnd w:id="32397"/>
      <w:r>
        <w:rPr>
          <w:rFonts w:hint="cs"/>
          <w:rtl/>
        </w:rPr>
        <w:t xml:space="preserve">– הם </w:t>
      </w:r>
      <w:bookmarkStart w:id="32398" w:name="_ETM_Q58_543290"/>
      <w:bookmarkEnd w:id="32398"/>
      <w:r>
        <w:rPr>
          <w:rFonts w:hint="cs"/>
          <w:rtl/>
        </w:rPr>
        <w:t xml:space="preserve">לא </w:t>
      </w:r>
      <w:bookmarkStart w:id="32399" w:name="_ETM_Q58_543410"/>
      <w:bookmarkEnd w:id="32399"/>
      <w:r>
        <w:rPr>
          <w:rFonts w:hint="cs"/>
          <w:rtl/>
        </w:rPr>
        <w:t xml:space="preserve">רוצים </w:t>
      </w:r>
      <w:bookmarkStart w:id="32400" w:name="_ETM_Q58_543860"/>
      <w:bookmarkEnd w:id="32400"/>
      <w:r>
        <w:rPr>
          <w:rFonts w:hint="cs"/>
          <w:rtl/>
        </w:rPr>
        <w:t xml:space="preserve">לשחק </w:t>
      </w:r>
      <w:bookmarkStart w:id="32401" w:name="_ETM_Q58_544460"/>
      <w:bookmarkEnd w:id="32401"/>
      <w:r>
        <w:rPr>
          <w:rFonts w:hint="cs"/>
          <w:rtl/>
        </w:rPr>
        <w:t xml:space="preserve">לידיו </w:t>
      </w:r>
      <w:bookmarkStart w:id="32402" w:name="_ETM_Q58_544880"/>
      <w:bookmarkEnd w:id="32402"/>
      <w:r>
        <w:rPr>
          <w:rFonts w:hint="cs"/>
          <w:rtl/>
        </w:rPr>
        <w:t xml:space="preserve">של </w:t>
      </w:r>
      <w:bookmarkStart w:id="32403" w:name="_ETM_Q58_545029"/>
      <w:bookmarkEnd w:id="32403"/>
      <w:r>
        <w:rPr>
          <w:rFonts w:hint="cs"/>
          <w:rtl/>
        </w:rPr>
        <w:t xml:space="preserve">בר-קמצא. </w:t>
      </w:r>
      <w:bookmarkStart w:id="32404" w:name="_ETM_Q58_546110"/>
      <w:bookmarkEnd w:id="32404"/>
      <w:r>
        <w:rPr>
          <w:rFonts w:hint="cs"/>
          <w:rtl/>
        </w:rPr>
        <w:t xml:space="preserve">הם </w:t>
      </w:r>
      <w:bookmarkStart w:id="32405" w:name="_ETM_Q58_546320"/>
      <w:bookmarkStart w:id="32406" w:name="_ETM_Q58_546440"/>
      <w:bookmarkEnd w:id="32405"/>
      <w:bookmarkEnd w:id="32406"/>
      <w:r>
        <w:rPr>
          <w:rFonts w:hint="cs"/>
          <w:rtl/>
        </w:rPr>
        <w:t xml:space="preserve">מבינים </w:t>
      </w:r>
      <w:bookmarkStart w:id="32407" w:name="_ETM_Q58_546920"/>
      <w:bookmarkEnd w:id="32407"/>
      <w:r>
        <w:rPr>
          <w:rFonts w:hint="cs"/>
          <w:rtl/>
        </w:rPr>
        <w:t xml:space="preserve">קצת </w:t>
      </w:r>
      <w:r w:rsidR="002E4473">
        <w:t>realpolitik</w:t>
      </w:r>
      <w:r>
        <w:rPr>
          <w:rFonts w:hint="cs"/>
          <w:rtl/>
        </w:rPr>
        <w:t xml:space="preserve">, </w:t>
      </w:r>
      <w:bookmarkStart w:id="32408" w:name="_ETM_Q58_548029"/>
      <w:bookmarkEnd w:id="32408"/>
      <w:r>
        <w:rPr>
          <w:rFonts w:hint="cs"/>
          <w:rtl/>
        </w:rPr>
        <w:t xml:space="preserve">הם </w:t>
      </w:r>
      <w:bookmarkStart w:id="32409" w:name="_ETM_Q58_548120"/>
      <w:bookmarkEnd w:id="32409"/>
      <w:r>
        <w:rPr>
          <w:rFonts w:hint="cs"/>
          <w:rtl/>
        </w:rPr>
        <w:t xml:space="preserve">לא </w:t>
      </w:r>
      <w:bookmarkStart w:id="32410" w:name="_ETM_Q58_548210"/>
      <w:bookmarkEnd w:id="32410"/>
      <w:r>
        <w:rPr>
          <w:rFonts w:hint="cs"/>
          <w:rtl/>
        </w:rPr>
        <w:t xml:space="preserve">מתכוונים </w:t>
      </w:r>
      <w:bookmarkStart w:id="32411" w:name="_ETM_Q58_548810"/>
      <w:bookmarkEnd w:id="32411"/>
      <w:r>
        <w:rPr>
          <w:rFonts w:hint="cs"/>
          <w:rtl/>
        </w:rPr>
        <w:t xml:space="preserve">לריב </w:t>
      </w:r>
      <w:bookmarkStart w:id="32412" w:name="_ETM_Q58_549940"/>
      <w:bookmarkEnd w:id="32412"/>
      <w:r>
        <w:rPr>
          <w:rFonts w:hint="cs"/>
          <w:rtl/>
        </w:rPr>
        <w:t xml:space="preserve">עם </w:t>
      </w:r>
      <w:bookmarkStart w:id="32413" w:name="_ETM_Q58_550120"/>
      <w:bookmarkEnd w:id="32413"/>
      <w:r>
        <w:rPr>
          <w:rFonts w:hint="cs"/>
          <w:rtl/>
        </w:rPr>
        <w:t xml:space="preserve">הקיסר </w:t>
      </w:r>
      <w:bookmarkStart w:id="32414" w:name="_ETM_Q58_550630"/>
      <w:bookmarkEnd w:id="32414"/>
      <w:r>
        <w:rPr>
          <w:rFonts w:hint="cs"/>
          <w:rtl/>
        </w:rPr>
        <w:t xml:space="preserve">הגדול. </w:t>
      </w:r>
      <w:bookmarkStart w:id="32415" w:name="_ETM_Q58_551590"/>
      <w:bookmarkEnd w:id="32415"/>
      <w:r>
        <w:rPr>
          <w:rFonts w:hint="cs"/>
          <w:rtl/>
        </w:rPr>
        <w:t xml:space="preserve">אבל </w:t>
      </w:r>
      <w:bookmarkStart w:id="32416" w:name="_ETM_Q58_551830"/>
      <w:bookmarkEnd w:id="32416"/>
      <w:r>
        <w:rPr>
          <w:rFonts w:hint="cs"/>
          <w:rtl/>
        </w:rPr>
        <w:t xml:space="preserve">יש </w:t>
      </w:r>
      <w:bookmarkStart w:id="32417" w:name="_ETM_Q58_552010"/>
      <w:bookmarkEnd w:id="32417"/>
      <w:r>
        <w:rPr>
          <w:rFonts w:hint="cs"/>
          <w:rtl/>
        </w:rPr>
        <w:t xml:space="preserve">שם אחד שחייב </w:t>
      </w:r>
      <w:bookmarkStart w:id="32418" w:name="_ETM_Q58_551234"/>
      <w:bookmarkEnd w:id="32418"/>
      <w:r>
        <w:rPr>
          <w:rFonts w:hint="cs"/>
          <w:rtl/>
        </w:rPr>
        <w:t xml:space="preserve">להיות </w:t>
      </w:r>
      <w:bookmarkStart w:id="32419" w:name="_ETM_Q58_552130"/>
      <w:bookmarkStart w:id="32420" w:name="_ETM_Q58_553090"/>
      <w:bookmarkStart w:id="32421" w:name="_ETM_Q58_553600"/>
      <w:bookmarkStart w:id="32422" w:name="_ETM_Q58_553810"/>
      <w:bookmarkEnd w:id="32419"/>
      <w:bookmarkEnd w:id="32420"/>
      <w:bookmarkEnd w:id="32421"/>
      <w:bookmarkEnd w:id="32422"/>
      <w:r>
        <w:rPr>
          <w:rFonts w:hint="cs"/>
          <w:rtl/>
        </w:rPr>
        <w:t xml:space="preserve">צדיק </w:t>
      </w:r>
      <w:bookmarkStart w:id="32423" w:name="_ETM_Q58_554200"/>
      <w:bookmarkEnd w:id="32423"/>
      <w:r>
        <w:rPr>
          <w:rFonts w:hint="cs"/>
          <w:rtl/>
        </w:rPr>
        <w:t xml:space="preserve">מכולם. חז"ל מכנים אותו "ענוותן". </w:t>
      </w:r>
      <w:bookmarkStart w:id="32424" w:name="_ETM_Q58_555070"/>
      <w:bookmarkStart w:id="32425" w:name="_ETM_Q58_555400"/>
      <w:bookmarkStart w:id="32426" w:name="_ETM_Q58_555850"/>
      <w:bookmarkStart w:id="32427" w:name="_ETM_Q58_556120"/>
      <w:bookmarkStart w:id="32428" w:name="_ETM_Q58_556779"/>
      <w:bookmarkEnd w:id="32424"/>
      <w:bookmarkEnd w:id="32425"/>
      <w:bookmarkEnd w:id="32426"/>
      <w:bookmarkEnd w:id="32427"/>
      <w:bookmarkEnd w:id="32428"/>
      <w:r>
        <w:rPr>
          <w:rFonts w:hint="cs"/>
          <w:rtl/>
        </w:rPr>
        <w:t xml:space="preserve">בדרך </w:t>
      </w:r>
      <w:bookmarkStart w:id="32429" w:name="_ETM_Q58_557050"/>
      <w:bookmarkEnd w:id="32429"/>
      <w:r>
        <w:rPr>
          <w:rFonts w:hint="cs"/>
          <w:rtl/>
        </w:rPr>
        <w:t xml:space="preserve">כלל </w:t>
      </w:r>
      <w:bookmarkStart w:id="32430" w:name="_ETM_Q58_557170"/>
      <w:bookmarkEnd w:id="32430"/>
      <w:r>
        <w:rPr>
          <w:rFonts w:hint="cs"/>
          <w:rtl/>
        </w:rPr>
        <w:t xml:space="preserve">אנחנו </w:t>
      </w:r>
      <w:bookmarkStart w:id="32431" w:name="_ETM_Q58_557740"/>
      <w:bookmarkEnd w:id="32431"/>
      <w:r>
        <w:rPr>
          <w:rFonts w:hint="cs"/>
          <w:rtl/>
        </w:rPr>
        <w:t xml:space="preserve">חושבים </w:t>
      </w:r>
      <w:bookmarkStart w:id="32432" w:name="_ETM_Q58_558070"/>
      <w:bookmarkEnd w:id="32432"/>
      <w:r>
        <w:rPr>
          <w:rFonts w:hint="cs"/>
          <w:rtl/>
        </w:rPr>
        <w:t xml:space="preserve">על </w:t>
      </w:r>
      <w:bookmarkStart w:id="32433" w:name="_ETM_Q58_558250"/>
      <w:bookmarkStart w:id="32434" w:name="_ETM_Q58_558490"/>
      <w:bookmarkEnd w:id="32433"/>
      <w:bookmarkEnd w:id="32434"/>
      <w:r>
        <w:rPr>
          <w:rFonts w:hint="cs"/>
          <w:rtl/>
        </w:rPr>
        <w:t xml:space="preserve">ענווה </w:t>
      </w:r>
      <w:bookmarkStart w:id="32435" w:name="_ETM_Q58_559360"/>
      <w:bookmarkEnd w:id="32435"/>
      <w:r>
        <w:rPr>
          <w:rFonts w:hint="cs"/>
          <w:rtl/>
        </w:rPr>
        <w:t xml:space="preserve">ככינוי </w:t>
      </w:r>
      <w:bookmarkStart w:id="32436" w:name="_ETM_Q58_559900"/>
      <w:bookmarkEnd w:id="32436"/>
      <w:r>
        <w:rPr>
          <w:rFonts w:hint="cs"/>
          <w:rtl/>
        </w:rPr>
        <w:t xml:space="preserve">חיובי, </w:t>
      </w:r>
      <w:bookmarkStart w:id="32437" w:name="_ETM_Q58_560990"/>
      <w:bookmarkEnd w:id="32437"/>
      <w:r>
        <w:rPr>
          <w:rFonts w:hint="cs"/>
          <w:rtl/>
        </w:rPr>
        <w:t xml:space="preserve">אבל </w:t>
      </w:r>
      <w:bookmarkStart w:id="32438" w:name="_ETM_Q58_561230"/>
      <w:bookmarkEnd w:id="32438"/>
      <w:r>
        <w:rPr>
          <w:rFonts w:hint="cs"/>
          <w:rtl/>
        </w:rPr>
        <w:t xml:space="preserve">פה </w:t>
      </w:r>
      <w:bookmarkStart w:id="32439" w:name="_ETM_Q58_561440"/>
      <w:bookmarkEnd w:id="32439"/>
      <w:r>
        <w:rPr>
          <w:rFonts w:hint="cs"/>
          <w:rtl/>
        </w:rPr>
        <w:t xml:space="preserve">ענוותן </w:t>
      </w:r>
      <w:bookmarkStart w:id="32440" w:name="_ETM_Q58_562700"/>
      <w:bookmarkEnd w:id="32440"/>
      <w:r>
        <w:rPr>
          <w:rFonts w:hint="cs"/>
          <w:rtl/>
        </w:rPr>
        <w:t xml:space="preserve">הופך </w:t>
      </w:r>
      <w:bookmarkStart w:id="32441" w:name="_ETM_Q58_563060"/>
      <w:bookmarkEnd w:id="32441"/>
      <w:r>
        <w:rPr>
          <w:rFonts w:hint="cs"/>
          <w:rtl/>
        </w:rPr>
        <w:t xml:space="preserve">להיות </w:t>
      </w:r>
      <w:bookmarkStart w:id="32442" w:name="_ETM_Q58_563330"/>
      <w:bookmarkEnd w:id="32442"/>
      <w:r>
        <w:rPr>
          <w:rFonts w:hint="cs"/>
          <w:rtl/>
        </w:rPr>
        <w:t xml:space="preserve">שלילי. </w:t>
      </w:r>
      <w:bookmarkStart w:id="32443" w:name="_ETM_Q58_563750"/>
      <w:bookmarkEnd w:id="32443"/>
      <w:r>
        <w:rPr>
          <w:rFonts w:hint="cs"/>
          <w:rtl/>
        </w:rPr>
        <w:t xml:space="preserve">הוא </w:t>
      </w:r>
      <w:bookmarkStart w:id="32444" w:name="_ETM_Q58_564260"/>
      <w:bookmarkEnd w:id="32444"/>
      <w:r>
        <w:rPr>
          <w:rFonts w:hint="cs"/>
          <w:rtl/>
        </w:rPr>
        <w:t xml:space="preserve">זה </w:t>
      </w:r>
      <w:bookmarkStart w:id="32445" w:name="_ETM_Q58_565160"/>
      <w:bookmarkEnd w:id="32445"/>
      <w:r>
        <w:rPr>
          <w:rFonts w:hint="cs"/>
          <w:rtl/>
        </w:rPr>
        <w:t xml:space="preserve">שאף אחד </w:t>
      </w:r>
      <w:bookmarkStart w:id="32446" w:name="_ETM_Q58_565520"/>
      <w:bookmarkStart w:id="32447" w:name="_ETM_Q58_565760"/>
      <w:bookmarkEnd w:id="32446"/>
      <w:bookmarkEnd w:id="32447"/>
      <w:r>
        <w:rPr>
          <w:rFonts w:hint="cs"/>
          <w:rtl/>
        </w:rPr>
        <w:t xml:space="preserve">לא </w:t>
      </w:r>
      <w:bookmarkStart w:id="32448" w:name="_ETM_Q58_565880"/>
      <w:bookmarkEnd w:id="32448"/>
      <w:r>
        <w:rPr>
          <w:rFonts w:hint="cs"/>
          <w:rtl/>
        </w:rPr>
        <w:t xml:space="preserve">רוצה </w:t>
      </w:r>
      <w:bookmarkStart w:id="32449" w:name="_ETM_Q58_566150"/>
      <w:bookmarkEnd w:id="32449"/>
      <w:r>
        <w:rPr>
          <w:rFonts w:hint="cs"/>
          <w:rtl/>
        </w:rPr>
        <w:t xml:space="preserve">להיות </w:t>
      </w:r>
      <w:bookmarkStart w:id="32450" w:name="_ETM_Q58_566390"/>
      <w:bookmarkEnd w:id="32450"/>
      <w:r>
        <w:rPr>
          <w:rFonts w:hint="cs"/>
          <w:rtl/>
        </w:rPr>
        <w:t xml:space="preserve">יותר </w:t>
      </w:r>
      <w:bookmarkStart w:id="32451" w:name="_ETM_Q58_567290"/>
      <w:bookmarkEnd w:id="32451"/>
      <w:r>
        <w:rPr>
          <w:rFonts w:hint="cs"/>
          <w:rtl/>
        </w:rPr>
        <w:t xml:space="preserve">מתון </w:t>
      </w:r>
      <w:bookmarkStart w:id="32452" w:name="_ETM_Q58_567890"/>
      <w:bookmarkEnd w:id="32452"/>
      <w:r>
        <w:rPr>
          <w:rFonts w:hint="cs"/>
          <w:rtl/>
        </w:rPr>
        <w:t xml:space="preserve">ממנו, </w:t>
      </w:r>
      <w:bookmarkStart w:id="32453" w:name="_ETM_Q58_568430"/>
      <w:bookmarkEnd w:id="32453"/>
      <w:r>
        <w:rPr>
          <w:rFonts w:hint="cs"/>
          <w:rtl/>
        </w:rPr>
        <w:t xml:space="preserve">הוא </w:t>
      </w:r>
      <w:bookmarkStart w:id="32454" w:name="_ETM_Q58_568580"/>
      <w:bookmarkEnd w:id="32454"/>
      <w:r>
        <w:rPr>
          <w:rFonts w:hint="cs"/>
          <w:rtl/>
        </w:rPr>
        <w:t xml:space="preserve">הקיצוני </w:t>
      </w:r>
      <w:bookmarkStart w:id="32455" w:name="_ETM_Q58_569150"/>
      <w:bookmarkEnd w:id="32455"/>
      <w:r>
        <w:rPr>
          <w:rFonts w:hint="cs"/>
          <w:rtl/>
        </w:rPr>
        <w:t xml:space="preserve">שבקיצוניים, </w:t>
      </w:r>
      <w:bookmarkStart w:id="32456" w:name="_ETM_Q58_570880"/>
      <w:bookmarkEnd w:id="32456"/>
      <w:r>
        <w:rPr>
          <w:rFonts w:hint="cs"/>
          <w:rtl/>
        </w:rPr>
        <w:t xml:space="preserve">ולכן </w:t>
      </w:r>
      <w:bookmarkStart w:id="32457" w:name="_ETM_Q58_571420"/>
      <w:bookmarkEnd w:id="32457"/>
      <w:r>
        <w:rPr>
          <w:rFonts w:hint="cs"/>
          <w:rtl/>
        </w:rPr>
        <w:t xml:space="preserve">הוא </w:t>
      </w:r>
      <w:bookmarkStart w:id="32458" w:name="_ETM_Q58_571930"/>
      <w:bookmarkEnd w:id="32458"/>
      <w:r>
        <w:rPr>
          <w:rFonts w:hint="cs"/>
          <w:rtl/>
        </w:rPr>
        <w:t xml:space="preserve">מסמן </w:t>
      </w:r>
      <w:bookmarkStart w:id="32459" w:name="_ETM_Q58_572560"/>
      <w:bookmarkEnd w:id="32459"/>
      <w:r>
        <w:rPr>
          <w:rFonts w:hint="cs"/>
          <w:rtl/>
        </w:rPr>
        <w:t xml:space="preserve">את </w:t>
      </w:r>
      <w:bookmarkStart w:id="32460" w:name="_ETM_Q58_572799"/>
      <w:bookmarkStart w:id="32461" w:name="_ETM_Q58_572790"/>
      <w:bookmarkEnd w:id="32460"/>
      <w:bookmarkEnd w:id="32461"/>
      <w:r>
        <w:rPr>
          <w:rFonts w:hint="cs"/>
          <w:rtl/>
        </w:rPr>
        <w:t xml:space="preserve">הקצה, </w:t>
      </w:r>
      <w:bookmarkStart w:id="32462" w:name="_ETM_Q58_573450"/>
      <w:bookmarkEnd w:id="32462"/>
      <w:r>
        <w:rPr>
          <w:rFonts w:hint="cs"/>
          <w:rtl/>
        </w:rPr>
        <w:t xml:space="preserve">וכולם </w:t>
      </w:r>
      <w:bookmarkStart w:id="32463" w:name="_ETM_Q58_573930"/>
      <w:bookmarkEnd w:id="32463"/>
      <w:r>
        <w:rPr>
          <w:rFonts w:hint="cs"/>
          <w:rtl/>
        </w:rPr>
        <w:t xml:space="preserve">מתיישרים </w:t>
      </w:r>
      <w:bookmarkStart w:id="32464" w:name="_ETM_Q58_574500"/>
      <w:bookmarkEnd w:id="32464"/>
      <w:r>
        <w:rPr>
          <w:rFonts w:hint="cs"/>
          <w:rtl/>
        </w:rPr>
        <w:t xml:space="preserve">אחריו </w:t>
      </w:r>
      <w:bookmarkStart w:id="32465" w:name="_ETM_Q58_574920"/>
      <w:bookmarkEnd w:id="32465"/>
      <w:r>
        <w:rPr>
          <w:rFonts w:hint="cs"/>
          <w:rtl/>
        </w:rPr>
        <w:t xml:space="preserve">למרות </w:t>
      </w:r>
      <w:bookmarkStart w:id="32466" w:name="_ETM_Q58_575160"/>
      <w:bookmarkEnd w:id="32466"/>
      <w:r>
        <w:rPr>
          <w:rFonts w:hint="cs"/>
          <w:rtl/>
        </w:rPr>
        <w:t xml:space="preserve">שהוא </w:t>
      </w:r>
      <w:bookmarkStart w:id="32467" w:name="_ETM_Q58_575310"/>
      <w:bookmarkEnd w:id="32467"/>
      <w:r>
        <w:rPr>
          <w:rFonts w:hint="cs"/>
          <w:rtl/>
        </w:rPr>
        <w:t xml:space="preserve">רק </w:t>
      </w:r>
      <w:bookmarkStart w:id="32468" w:name="_ETM_Q58_577172"/>
      <w:bookmarkEnd w:id="32468"/>
      <w:r>
        <w:rPr>
          <w:rFonts w:hint="cs"/>
          <w:rtl/>
        </w:rPr>
        <w:t>אחד.</w:t>
      </w:r>
    </w:p>
    <w:p w:rsidR="00BB59CD" w:rsidRDefault="00BB59CD" w:rsidP="00BB59CD">
      <w:pPr>
        <w:rPr>
          <w:rtl/>
        </w:rPr>
      </w:pPr>
      <w:bookmarkStart w:id="32469" w:name="_ETM_Q58_578659"/>
      <w:bookmarkStart w:id="32470" w:name="_ETM_Q58_578806"/>
      <w:bookmarkEnd w:id="32469"/>
      <w:bookmarkEnd w:id="32470"/>
    </w:p>
    <w:p w:rsidR="00BB59CD" w:rsidRDefault="00BB59CD" w:rsidP="00BB59CD">
      <w:pPr>
        <w:rPr>
          <w:rtl/>
        </w:rPr>
      </w:pPr>
      <w:bookmarkStart w:id="32471" w:name="_ETM_Q58_578852"/>
      <w:bookmarkStart w:id="32472" w:name="_ETM_Q58_578977"/>
      <w:bookmarkStart w:id="32473" w:name="_ETM_Q58_575520"/>
      <w:bookmarkStart w:id="32474" w:name="_ETM_Q58_577950"/>
      <w:bookmarkEnd w:id="32471"/>
      <w:bookmarkEnd w:id="32472"/>
      <w:bookmarkEnd w:id="32473"/>
      <w:bookmarkEnd w:id="32474"/>
      <w:r>
        <w:rPr>
          <w:rFonts w:hint="cs"/>
          <w:rtl/>
        </w:rPr>
        <w:t xml:space="preserve">אז </w:t>
      </w:r>
      <w:bookmarkStart w:id="32475" w:name="_ETM_Q58_578130"/>
      <w:bookmarkEnd w:id="32475"/>
      <w:r>
        <w:rPr>
          <w:rFonts w:hint="cs"/>
          <w:rtl/>
        </w:rPr>
        <w:t xml:space="preserve">מה </w:t>
      </w:r>
      <w:bookmarkStart w:id="32476" w:name="_ETM_Q58_578250"/>
      <w:bookmarkEnd w:id="32476"/>
      <w:r>
        <w:rPr>
          <w:rFonts w:hint="cs"/>
          <w:rtl/>
        </w:rPr>
        <w:t xml:space="preserve">גרם </w:t>
      </w:r>
      <w:bookmarkStart w:id="32477" w:name="_ETM_Q58_578550"/>
      <w:bookmarkEnd w:id="32477"/>
      <w:r>
        <w:rPr>
          <w:rFonts w:hint="cs"/>
          <w:rtl/>
        </w:rPr>
        <w:t xml:space="preserve">לחורבן? </w:t>
      </w:r>
      <w:bookmarkStart w:id="32478" w:name="_ETM_Q58_580330"/>
      <w:bookmarkEnd w:id="32478"/>
      <w:r>
        <w:rPr>
          <w:rFonts w:hint="cs"/>
          <w:rtl/>
        </w:rPr>
        <w:t xml:space="preserve">יש </w:t>
      </w:r>
      <w:bookmarkStart w:id="32479" w:name="_ETM_Q58_580600"/>
      <w:bookmarkEnd w:id="32479"/>
      <w:r>
        <w:rPr>
          <w:rFonts w:hint="cs"/>
          <w:rtl/>
        </w:rPr>
        <w:t xml:space="preserve">בגמרא </w:t>
      </w:r>
      <w:bookmarkStart w:id="32480" w:name="_ETM_Q58_581110"/>
      <w:bookmarkEnd w:id="32480"/>
      <w:r>
        <w:rPr>
          <w:rFonts w:hint="cs"/>
          <w:rtl/>
        </w:rPr>
        <w:t xml:space="preserve">בעצם </w:t>
      </w:r>
      <w:bookmarkStart w:id="32481" w:name="_ETM_Q58_581560"/>
      <w:bookmarkEnd w:id="32481"/>
      <w:r>
        <w:rPr>
          <w:rFonts w:hint="cs"/>
          <w:rtl/>
        </w:rPr>
        <w:t xml:space="preserve">כמה </w:t>
      </w:r>
      <w:bookmarkStart w:id="32482" w:name="_ETM_Q58_581860"/>
      <w:bookmarkEnd w:id="32482"/>
      <w:r>
        <w:rPr>
          <w:rFonts w:hint="cs"/>
          <w:rtl/>
        </w:rPr>
        <w:t xml:space="preserve">תשובות. </w:t>
      </w:r>
      <w:bookmarkStart w:id="32483" w:name="_ETM_Q58_583499"/>
      <w:bookmarkEnd w:id="32483"/>
      <w:r>
        <w:rPr>
          <w:rFonts w:hint="cs"/>
          <w:rtl/>
        </w:rPr>
        <w:t xml:space="preserve">יש </w:t>
      </w:r>
      <w:bookmarkStart w:id="32484" w:name="_ETM_Q58_584680"/>
      <w:bookmarkEnd w:id="32484"/>
      <w:r>
        <w:rPr>
          <w:rFonts w:hint="cs"/>
          <w:rtl/>
        </w:rPr>
        <w:t xml:space="preserve">גרימה אחת </w:t>
      </w:r>
      <w:bookmarkStart w:id="32485" w:name="_ETM_Q58_585130"/>
      <w:bookmarkStart w:id="32486" w:name="_ETM_Q58_585400"/>
      <w:bookmarkEnd w:id="32485"/>
      <w:bookmarkEnd w:id="32486"/>
      <w:r>
        <w:rPr>
          <w:rFonts w:hint="cs"/>
          <w:rtl/>
        </w:rPr>
        <w:t xml:space="preserve">לחורבן שזה </w:t>
      </w:r>
      <w:bookmarkStart w:id="32487" w:name="_ETM_Q58_586750"/>
      <w:bookmarkEnd w:id="32487"/>
      <w:r>
        <w:rPr>
          <w:rFonts w:hint="cs"/>
          <w:rtl/>
        </w:rPr>
        <w:t xml:space="preserve">התעלמות </w:t>
      </w:r>
      <w:bookmarkStart w:id="32488" w:name="_ETM_Q58_587200"/>
      <w:bookmarkEnd w:id="32488"/>
      <w:r>
        <w:rPr>
          <w:rFonts w:hint="cs"/>
          <w:rtl/>
        </w:rPr>
        <w:t xml:space="preserve">מהחלש. </w:t>
      </w:r>
      <w:bookmarkStart w:id="32489" w:name="_ETM_Q58_588430"/>
      <w:bookmarkEnd w:id="32489"/>
      <w:r>
        <w:rPr>
          <w:rFonts w:hint="cs"/>
          <w:rtl/>
        </w:rPr>
        <w:t xml:space="preserve">בר-קמצא </w:t>
      </w:r>
      <w:bookmarkStart w:id="32490" w:name="_ETM_Q58_589119"/>
      <w:bookmarkEnd w:id="32490"/>
      <w:r>
        <w:rPr>
          <w:rFonts w:hint="cs"/>
          <w:rtl/>
        </w:rPr>
        <w:t xml:space="preserve">היה </w:t>
      </w:r>
      <w:bookmarkStart w:id="32491" w:name="_ETM_Q58_589299"/>
      <w:bookmarkEnd w:id="32491"/>
      <w:r>
        <w:rPr>
          <w:rFonts w:hint="cs"/>
          <w:rtl/>
        </w:rPr>
        <w:t xml:space="preserve">במצוקה; </w:t>
      </w:r>
      <w:bookmarkStart w:id="32492" w:name="_ETM_Q58_590320"/>
      <w:bookmarkEnd w:id="32492"/>
      <w:r>
        <w:rPr>
          <w:rFonts w:hint="cs"/>
          <w:rtl/>
        </w:rPr>
        <w:t xml:space="preserve">חכמים </w:t>
      </w:r>
      <w:bookmarkStart w:id="32493" w:name="_ETM_Q58_590860"/>
      <w:bookmarkEnd w:id="32493"/>
      <w:r>
        <w:rPr>
          <w:rFonts w:hint="cs"/>
          <w:rtl/>
        </w:rPr>
        <w:t xml:space="preserve">היו </w:t>
      </w:r>
      <w:bookmarkStart w:id="32494" w:name="_ETM_Q58_591040"/>
      <w:bookmarkEnd w:id="32494"/>
      <w:r>
        <w:rPr>
          <w:rFonts w:hint="cs"/>
          <w:rtl/>
        </w:rPr>
        <w:t xml:space="preserve">בסעודה, </w:t>
      </w:r>
      <w:bookmarkStart w:id="32495" w:name="_ETM_Q58_591549"/>
      <w:bookmarkEnd w:id="32495"/>
      <w:r>
        <w:rPr>
          <w:rFonts w:hint="cs"/>
          <w:rtl/>
        </w:rPr>
        <w:t xml:space="preserve">ולא </w:t>
      </w:r>
      <w:bookmarkStart w:id="32496" w:name="_ETM_Q58_591790"/>
      <w:bookmarkEnd w:id="32496"/>
      <w:r>
        <w:rPr>
          <w:rFonts w:hint="cs"/>
          <w:rtl/>
        </w:rPr>
        <w:t xml:space="preserve">קמו </w:t>
      </w:r>
      <w:bookmarkStart w:id="32497" w:name="_ETM_Q58_592089"/>
      <w:bookmarkEnd w:id="32497"/>
      <w:r>
        <w:rPr>
          <w:rFonts w:hint="cs"/>
          <w:rtl/>
        </w:rPr>
        <w:t xml:space="preserve">לזכותו. </w:t>
      </w:r>
      <w:bookmarkStart w:id="32498" w:name="_ETM_Q58_592960"/>
      <w:bookmarkEnd w:id="32498"/>
      <w:r>
        <w:rPr>
          <w:rFonts w:hint="cs"/>
          <w:rtl/>
        </w:rPr>
        <w:t xml:space="preserve">"לא </w:t>
      </w:r>
      <w:bookmarkStart w:id="32499" w:name="_ETM_Q58_593170"/>
      <w:bookmarkEnd w:id="32499"/>
      <w:r>
        <w:rPr>
          <w:rFonts w:hint="cs"/>
          <w:rtl/>
        </w:rPr>
        <w:t xml:space="preserve">תעמוד </w:t>
      </w:r>
      <w:bookmarkStart w:id="32500" w:name="_ETM_Q58_593560"/>
      <w:bookmarkEnd w:id="32500"/>
      <w:r>
        <w:rPr>
          <w:rFonts w:hint="cs"/>
          <w:rtl/>
        </w:rPr>
        <w:t xml:space="preserve">על </w:t>
      </w:r>
      <w:bookmarkStart w:id="32501" w:name="_ETM_Q58_593680"/>
      <w:bookmarkEnd w:id="32501"/>
      <w:r>
        <w:rPr>
          <w:rFonts w:hint="cs"/>
          <w:rtl/>
        </w:rPr>
        <w:t xml:space="preserve">דם </w:t>
      </w:r>
      <w:bookmarkStart w:id="32502" w:name="_ETM_Q58_593890"/>
      <w:bookmarkEnd w:id="32502"/>
      <w:r>
        <w:rPr>
          <w:rFonts w:hint="cs"/>
          <w:rtl/>
        </w:rPr>
        <w:t xml:space="preserve">רעך". </w:t>
      </w:r>
      <w:bookmarkStart w:id="32503" w:name="_ETM_Q58_594700"/>
      <w:bookmarkEnd w:id="32503"/>
      <w:r>
        <w:rPr>
          <w:rFonts w:hint="cs"/>
          <w:rtl/>
        </w:rPr>
        <w:t xml:space="preserve">לפני </w:t>
      </w:r>
      <w:bookmarkStart w:id="32504" w:name="_ETM_Q58_595000"/>
      <w:bookmarkEnd w:id="32504"/>
      <w:r>
        <w:rPr>
          <w:rFonts w:hint="cs"/>
          <w:rtl/>
        </w:rPr>
        <w:t xml:space="preserve">די </w:t>
      </w:r>
      <w:bookmarkStart w:id="32505" w:name="_ETM_Q58_595150"/>
      <w:bookmarkEnd w:id="32505"/>
      <w:r>
        <w:rPr>
          <w:rFonts w:hint="cs"/>
          <w:rtl/>
        </w:rPr>
        <w:t xml:space="preserve">הרבה </w:t>
      </w:r>
      <w:bookmarkStart w:id="32506" w:name="_ETM_Q58_595330"/>
      <w:bookmarkEnd w:id="32506"/>
      <w:r>
        <w:rPr>
          <w:rFonts w:hint="cs"/>
          <w:rtl/>
        </w:rPr>
        <w:t xml:space="preserve">שנים </w:t>
      </w:r>
      <w:bookmarkStart w:id="32507" w:name="_ETM_Q58_595659"/>
      <w:bookmarkEnd w:id="32507"/>
      <w:r>
        <w:rPr>
          <w:rFonts w:hint="cs"/>
          <w:rtl/>
        </w:rPr>
        <w:t xml:space="preserve">העביר </w:t>
      </w:r>
      <w:bookmarkStart w:id="32508" w:name="_ETM_Q58_595900"/>
      <w:bookmarkEnd w:id="32508"/>
      <w:r>
        <w:rPr>
          <w:rFonts w:hint="cs"/>
          <w:rtl/>
        </w:rPr>
        <w:t xml:space="preserve">פה </w:t>
      </w:r>
      <w:bookmarkStart w:id="32509" w:name="_ETM_Q58_596020"/>
      <w:bookmarkEnd w:id="32509"/>
      <w:r>
        <w:rPr>
          <w:rFonts w:hint="cs"/>
          <w:rtl/>
        </w:rPr>
        <w:t xml:space="preserve">חבר </w:t>
      </w:r>
      <w:bookmarkStart w:id="32510" w:name="_ETM_Q58_596350"/>
      <w:bookmarkEnd w:id="32510"/>
      <w:r>
        <w:rPr>
          <w:rFonts w:hint="cs"/>
          <w:rtl/>
        </w:rPr>
        <w:t xml:space="preserve">כנסת, </w:t>
      </w:r>
      <w:bookmarkStart w:id="32511" w:name="_ETM_Q58_596799"/>
      <w:bookmarkEnd w:id="32511"/>
      <w:r>
        <w:rPr>
          <w:rFonts w:hint="cs"/>
          <w:rtl/>
        </w:rPr>
        <w:t xml:space="preserve">במקרה </w:t>
      </w:r>
      <w:bookmarkStart w:id="32512" w:name="_ETM_Q58_597729"/>
      <w:bookmarkEnd w:id="32512"/>
      <w:r>
        <w:rPr>
          <w:rFonts w:hint="cs"/>
          <w:rtl/>
        </w:rPr>
        <w:t xml:space="preserve">מהקיבוץ </w:t>
      </w:r>
      <w:bookmarkStart w:id="32513" w:name="_ETM_Q58_598330"/>
      <w:bookmarkEnd w:id="32513"/>
      <w:r>
        <w:rPr>
          <w:rFonts w:hint="cs"/>
          <w:rtl/>
        </w:rPr>
        <w:t xml:space="preserve">שאני </w:t>
      </w:r>
      <w:bookmarkStart w:id="32514" w:name="_ETM_Q58_598600"/>
      <w:bookmarkEnd w:id="32514"/>
      <w:r>
        <w:rPr>
          <w:rFonts w:hint="cs"/>
          <w:rtl/>
        </w:rPr>
        <w:t xml:space="preserve">גר בו, </w:t>
      </w:r>
      <w:bookmarkStart w:id="32515" w:name="_ETM_Q58_598839"/>
      <w:bookmarkStart w:id="32516" w:name="_ETM_Q58_599290"/>
      <w:bookmarkEnd w:id="32515"/>
      <w:bookmarkEnd w:id="32516"/>
      <w:r>
        <w:rPr>
          <w:rFonts w:hint="cs"/>
          <w:rtl/>
        </w:rPr>
        <w:t xml:space="preserve">חנן </w:t>
      </w:r>
      <w:bookmarkStart w:id="32517" w:name="_ETM_Q58_599710"/>
      <w:bookmarkEnd w:id="32517"/>
      <w:r>
        <w:rPr>
          <w:rFonts w:hint="cs"/>
          <w:rtl/>
        </w:rPr>
        <w:t xml:space="preserve">פורת, </w:t>
      </w:r>
      <w:bookmarkStart w:id="32518" w:name="_ETM_Q58_600890"/>
      <w:bookmarkEnd w:id="32518"/>
      <w:r>
        <w:rPr>
          <w:rFonts w:hint="cs"/>
          <w:rtl/>
        </w:rPr>
        <w:t xml:space="preserve">חוק </w:t>
      </w:r>
      <w:bookmarkStart w:id="32519" w:name="_ETM_Q58_601220"/>
      <w:bookmarkEnd w:id="32519"/>
      <w:r>
        <w:rPr>
          <w:rFonts w:hint="cs"/>
          <w:rtl/>
        </w:rPr>
        <w:t xml:space="preserve">שנקרא </w:t>
      </w:r>
      <w:bookmarkStart w:id="32520" w:name="_ETM_Q58_601640"/>
      <w:bookmarkEnd w:id="32520"/>
      <w:r>
        <w:rPr>
          <w:rFonts w:hint="cs"/>
          <w:rtl/>
        </w:rPr>
        <w:t xml:space="preserve">"לא </w:t>
      </w:r>
      <w:bookmarkStart w:id="32521" w:name="_ETM_Q58_601760"/>
      <w:bookmarkEnd w:id="32521"/>
      <w:r>
        <w:rPr>
          <w:rFonts w:hint="cs"/>
          <w:rtl/>
        </w:rPr>
        <w:t xml:space="preserve">תעמוד </w:t>
      </w:r>
      <w:bookmarkStart w:id="32522" w:name="_ETM_Q58_602180"/>
      <w:bookmarkEnd w:id="32522"/>
      <w:r>
        <w:rPr>
          <w:rFonts w:hint="cs"/>
          <w:rtl/>
        </w:rPr>
        <w:t xml:space="preserve">על </w:t>
      </w:r>
      <w:bookmarkStart w:id="32523" w:name="_ETM_Q58_602270"/>
      <w:bookmarkEnd w:id="32523"/>
      <w:r>
        <w:rPr>
          <w:rFonts w:hint="cs"/>
          <w:rtl/>
        </w:rPr>
        <w:t xml:space="preserve">דם </w:t>
      </w:r>
      <w:bookmarkStart w:id="32524" w:name="_ETM_Q58_602510"/>
      <w:bookmarkEnd w:id="32524"/>
      <w:r>
        <w:rPr>
          <w:rFonts w:hint="cs"/>
          <w:rtl/>
        </w:rPr>
        <w:t xml:space="preserve">רעך" – בלעז הוא מכונה "חוק השומרוני הטוב" </w:t>
      </w:r>
      <w:bookmarkStart w:id="32525" w:name="_ETM_Q58_603580"/>
      <w:bookmarkStart w:id="32526" w:name="_ETM_Q58_603970"/>
      <w:bookmarkStart w:id="32527" w:name="_ETM_Q58_604120"/>
      <w:bookmarkStart w:id="32528" w:name="_ETM_Q58_604479"/>
      <w:bookmarkStart w:id="32529" w:name="_ETM_Q58_604690"/>
      <w:bookmarkStart w:id="32530" w:name="_ETM_Q58_605229"/>
      <w:bookmarkStart w:id="32531" w:name="_ETM_Q58_606310"/>
      <w:bookmarkEnd w:id="32525"/>
      <w:bookmarkEnd w:id="32526"/>
      <w:bookmarkEnd w:id="32527"/>
      <w:bookmarkEnd w:id="32528"/>
      <w:bookmarkEnd w:id="32529"/>
      <w:bookmarkEnd w:id="32530"/>
      <w:bookmarkEnd w:id="32531"/>
      <w:r>
        <w:rPr>
          <w:rFonts w:hint="cs"/>
          <w:rtl/>
        </w:rPr>
        <w:t xml:space="preserve">– שאומר </w:t>
      </w:r>
      <w:bookmarkStart w:id="32532" w:name="_ETM_Q58_606729"/>
      <w:bookmarkEnd w:id="32532"/>
      <w:r>
        <w:rPr>
          <w:rFonts w:hint="cs"/>
          <w:rtl/>
        </w:rPr>
        <w:t xml:space="preserve">שאדם </w:t>
      </w:r>
      <w:bookmarkStart w:id="32533" w:name="_ETM_Q58_607120"/>
      <w:bookmarkEnd w:id="32533"/>
      <w:r>
        <w:rPr>
          <w:rFonts w:hint="cs"/>
          <w:rtl/>
        </w:rPr>
        <w:t xml:space="preserve">שעומד </w:t>
      </w:r>
      <w:bookmarkStart w:id="32534" w:name="_ETM_Q58_607540"/>
      <w:bookmarkEnd w:id="32534"/>
      <w:r>
        <w:rPr>
          <w:rFonts w:hint="cs"/>
          <w:rtl/>
        </w:rPr>
        <w:t xml:space="preserve">מנגד </w:t>
      </w:r>
      <w:bookmarkStart w:id="32535" w:name="_ETM_Q58_607779"/>
      <w:bookmarkStart w:id="32536" w:name="_ETM_Q58_608470"/>
      <w:bookmarkEnd w:id="32535"/>
      <w:bookmarkEnd w:id="32536"/>
      <w:r>
        <w:rPr>
          <w:rFonts w:hint="cs"/>
          <w:rtl/>
        </w:rPr>
        <w:t xml:space="preserve">ולא </w:t>
      </w:r>
      <w:bookmarkStart w:id="32537" w:name="_ETM_Q58_608770"/>
      <w:bookmarkEnd w:id="32537"/>
      <w:r>
        <w:rPr>
          <w:rFonts w:hint="cs"/>
          <w:rtl/>
        </w:rPr>
        <w:t xml:space="preserve">מתערב </w:t>
      </w:r>
      <w:bookmarkStart w:id="32538" w:name="_ETM_Q58_609279"/>
      <w:bookmarkEnd w:id="32538"/>
      <w:r>
        <w:rPr>
          <w:rFonts w:hint="cs"/>
          <w:rtl/>
        </w:rPr>
        <w:t xml:space="preserve">כשמתבצע </w:t>
      </w:r>
      <w:bookmarkStart w:id="32539" w:name="_ETM_Q58_610000"/>
      <w:bookmarkEnd w:id="32539"/>
      <w:r>
        <w:rPr>
          <w:rFonts w:hint="cs"/>
          <w:rtl/>
        </w:rPr>
        <w:t xml:space="preserve">עוול </w:t>
      </w:r>
      <w:bookmarkStart w:id="32540" w:name="_ETM_Q58_610690"/>
      <w:bookmarkEnd w:id="32540"/>
      <w:r>
        <w:rPr>
          <w:rFonts w:hint="cs"/>
          <w:rtl/>
        </w:rPr>
        <w:t xml:space="preserve">הוא </w:t>
      </w:r>
      <w:bookmarkStart w:id="32541" w:name="_ETM_Q58_610810"/>
      <w:bookmarkEnd w:id="32541"/>
      <w:r>
        <w:rPr>
          <w:rFonts w:hint="cs"/>
          <w:rtl/>
        </w:rPr>
        <w:t xml:space="preserve">פושע, </w:t>
      </w:r>
      <w:bookmarkStart w:id="32542" w:name="_ETM_Q58_611620"/>
      <w:bookmarkEnd w:id="32542"/>
      <w:r>
        <w:rPr>
          <w:rFonts w:hint="cs"/>
          <w:rtl/>
        </w:rPr>
        <w:t xml:space="preserve">וניתן </w:t>
      </w:r>
      <w:bookmarkStart w:id="32543" w:name="_ETM_Q58_611980"/>
      <w:bookmarkEnd w:id="32543"/>
      <w:r>
        <w:rPr>
          <w:rFonts w:hint="cs"/>
          <w:rtl/>
        </w:rPr>
        <w:t xml:space="preserve">לחייבו </w:t>
      </w:r>
      <w:bookmarkStart w:id="32544" w:name="_ETM_Q58_612520"/>
      <w:bookmarkEnd w:id="32544"/>
      <w:r>
        <w:rPr>
          <w:rFonts w:hint="cs"/>
          <w:rtl/>
        </w:rPr>
        <w:t xml:space="preserve">על </w:t>
      </w:r>
      <w:bookmarkStart w:id="32545" w:name="_ETM_Q58_617024"/>
      <w:bookmarkEnd w:id="32545"/>
      <w:r>
        <w:rPr>
          <w:rFonts w:hint="cs"/>
          <w:rtl/>
        </w:rPr>
        <w:t xml:space="preserve">כך. </w:t>
      </w:r>
      <w:bookmarkStart w:id="32546" w:name="_ETM_Q58_613630"/>
      <w:bookmarkEnd w:id="32546"/>
      <w:r>
        <w:rPr>
          <w:rFonts w:hint="cs"/>
          <w:rtl/>
        </w:rPr>
        <w:t>זה אחד ה</w:t>
      </w:r>
      <w:bookmarkStart w:id="32547" w:name="_ETM_Q58_613900"/>
      <w:bookmarkEnd w:id="32547"/>
      <w:r>
        <w:rPr>
          <w:rFonts w:hint="cs"/>
          <w:rtl/>
        </w:rPr>
        <w:t xml:space="preserve">חוקים </w:t>
      </w:r>
      <w:bookmarkStart w:id="32548" w:name="_ETM_Q58_614200"/>
      <w:bookmarkEnd w:id="32548"/>
      <w:r>
        <w:rPr>
          <w:rFonts w:hint="cs"/>
          <w:rtl/>
        </w:rPr>
        <w:t xml:space="preserve">הבודדים </w:t>
      </w:r>
      <w:bookmarkStart w:id="32549" w:name="_ETM_Q58_614650"/>
      <w:bookmarkEnd w:id="32549"/>
      <w:r>
        <w:rPr>
          <w:rFonts w:hint="cs"/>
          <w:rtl/>
        </w:rPr>
        <w:t xml:space="preserve">שחנן </w:t>
      </w:r>
      <w:bookmarkStart w:id="32550" w:name="_ETM_Q58_615010"/>
      <w:bookmarkEnd w:id="32550"/>
      <w:r>
        <w:rPr>
          <w:rFonts w:hint="cs"/>
          <w:rtl/>
        </w:rPr>
        <w:t xml:space="preserve">פורת </w:t>
      </w:r>
      <w:bookmarkStart w:id="32551" w:name="_ETM_Q58_615370"/>
      <w:bookmarkEnd w:id="32551"/>
      <w:r>
        <w:rPr>
          <w:rFonts w:hint="cs"/>
          <w:rtl/>
        </w:rPr>
        <w:t xml:space="preserve">העביר </w:t>
      </w:r>
      <w:bookmarkStart w:id="32552" w:name="_ETM_Q58_615640"/>
      <w:bookmarkEnd w:id="32552"/>
      <w:r>
        <w:rPr>
          <w:rFonts w:hint="cs"/>
          <w:rtl/>
        </w:rPr>
        <w:t xml:space="preserve">כאן </w:t>
      </w:r>
      <w:bookmarkStart w:id="32553" w:name="_ETM_Q58_615790"/>
      <w:bookmarkEnd w:id="32553"/>
      <w:r>
        <w:rPr>
          <w:rFonts w:hint="cs"/>
          <w:rtl/>
        </w:rPr>
        <w:t xml:space="preserve">בכנסת, </w:t>
      </w:r>
      <w:bookmarkStart w:id="32554" w:name="_ETM_Q58_616690"/>
      <w:bookmarkEnd w:id="32554"/>
      <w:r>
        <w:rPr>
          <w:rFonts w:hint="cs"/>
          <w:rtl/>
        </w:rPr>
        <w:t xml:space="preserve">באמת </w:t>
      </w:r>
      <w:bookmarkStart w:id="32555" w:name="_ETM_Q58_616960"/>
      <w:bookmarkEnd w:id="32555"/>
      <w:r>
        <w:rPr>
          <w:rFonts w:hint="cs"/>
          <w:rtl/>
        </w:rPr>
        <w:t xml:space="preserve">חוק </w:t>
      </w:r>
      <w:bookmarkStart w:id="32556" w:name="_ETM_Q58_617170"/>
      <w:bookmarkEnd w:id="32556"/>
      <w:r>
        <w:rPr>
          <w:rFonts w:hint="cs"/>
          <w:rtl/>
        </w:rPr>
        <w:t xml:space="preserve">ראוי </w:t>
      </w:r>
      <w:bookmarkStart w:id="32557" w:name="_ETM_Q58_617440"/>
      <w:bookmarkEnd w:id="32557"/>
      <w:r>
        <w:rPr>
          <w:rFonts w:hint="cs"/>
          <w:rtl/>
        </w:rPr>
        <w:t xml:space="preserve">לציון. </w:t>
      </w:r>
      <w:bookmarkStart w:id="32558" w:name="_ETM_Q58_618280"/>
      <w:bookmarkEnd w:id="32558"/>
      <w:r>
        <w:rPr>
          <w:rFonts w:hint="cs"/>
          <w:rtl/>
        </w:rPr>
        <w:t xml:space="preserve">חכמים </w:t>
      </w:r>
      <w:bookmarkStart w:id="32559" w:name="_ETM_Q58_618850"/>
      <w:bookmarkEnd w:id="32559"/>
      <w:r>
        <w:rPr>
          <w:rFonts w:hint="cs"/>
          <w:rtl/>
        </w:rPr>
        <w:t xml:space="preserve">נאשמים </w:t>
      </w:r>
      <w:bookmarkStart w:id="32560" w:name="_ETM_Q58_620349"/>
      <w:bookmarkEnd w:id="32560"/>
      <w:r>
        <w:rPr>
          <w:rFonts w:hint="cs"/>
          <w:rtl/>
        </w:rPr>
        <w:t xml:space="preserve">בכך </w:t>
      </w:r>
      <w:bookmarkStart w:id="32561" w:name="_ETM_Q58_621480"/>
      <w:bookmarkEnd w:id="32561"/>
      <w:r>
        <w:rPr>
          <w:rFonts w:hint="cs"/>
          <w:rtl/>
        </w:rPr>
        <w:t xml:space="preserve">שהם </w:t>
      </w:r>
      <w:bookmarkStart w:id="32562" w:name="_ETM_Q58_621810"/>
      <w:bookmarkEnd w:id="32562"/>
      <w:r>
        <w:rPr>
          <w:rFonts w:hint="cs"/>
          <w:rtl/>
        </w:rPr>
        <w:t xml:space="preserve">לא </w:t>
      </w:r>
      <w:bookmarkStart w:id="32563" w:name="_ETM_Q58_621900"/>
      <w:bookmarkEnd w:id="32563"/>
      <w:r>
        <w:rPr>
          <w:rFonts w:hint="cs"/>
          <w:rtl/>
        </w:rPr>
        <w:t xml:space="preserve">התערבו </w:t>
      </w:r>
      <w:bookmarkStart w:id="32564" w:name="_ETM_Q58_622290"/>
      <w:bookmarkEnd w:id="32564"/>
      <w:r>
        <w:rPr>
          <w:rFonts w:hint="cs"/>
          <w:rtl/>
        </w:rPr>
        <w:t xml:space="preserve">לטובת </w:t>
      </w:r>
      <w:bookmarkStart w:id="32565" w:name="_ETM_Q58_622709"/>
      <w:bookmarkEnd w:id="32565"/>
      <w:r>
        <w:rPr>
          <w:rFonts w:hint="cs"/>
          <w:rtl/>
        </w:rPr>
        <w:t xml:space="preserve">בר-קמצא, </w:t>
      </w:r>
      <w:bookmarkStart w:id="32566" w:name="_ETM_Q58_623279"/>
      <w:bookmarkEnd w:id="32566"/>
      <w:r>
        <w:rPr>
          <w:rFonts w:hint="cs"/>
          <w:rtl/>
        </w:rPr>
        <w:t xml:space="preserve">הם </w:t>
      </w:r>
      <w:bookmarkStart w:id="32567" w:name="_ETM_Q58_623340"/>
      <w:bookmarkEnd w:id="32567"/>
      <w:r>
        <w:rPr>
          <w:rFonts w:hint="cs"/>
          <w:rtl/>
        </w:rPr>
        <w:t xml:space="preserve">ישבו </w:t>
      </w:r>
      <w:bookmarkStart w:id="32568" w:name="_ETM_Q58_623609"/>
      <w:bookmarkEnd w:id="32568"/>
      <w:r>
        <w:rPr>
          <w:rFonts w:hint="cs"/>
          <w:rtl/>
        </w:rPr>
        <w:t xml:space="preserve">מנגד. </w:t>
      </w:r>
      <w:bookmarkStart w:id="32569" w:name="_ETM_Q58_624389"/>
      <w:bookmarkEnd w:id="32569"/>
      <w:r>
        <w:rPr>
          <w:rFonts w:hint="cs"/>
          <w:rtl/>
        </w:rPr>
        <w:t xml:space="preserve">אולי </w:t>
      </w:r>
      <w:bookmarkStart w:id="32570" w:name="_ETM_Q58_624689"/>
      <w:bookmarkEnd w:id="32570"/>
      <w:r>
        <w:rPr>
          <w:rFonts w:hint="cs"/>
          <w:rtl/>
        </w:rPr>
        <w:t xml:space="preserve">האוכל </w:t>
      </w:r>
      <w:bookmarkStart w:id="32571" w:name="_ETM_Q58_624989"/>
      <w:bookmarkEnd w:id="32571"/>
      <w:r>
        <w:rPr>
          <w:rFonts w:hint="cs"/>
          <w:rtl/>
        </w:rPr>
        <w:t xml:space="preserve">היה טעים להם מדי, </w:t>
      </w:r>
      <w:bookmarkStart w:id="32572" w:name="_ETM_Q58_627768"/>
      <w:bookmarkStart w:id="32573" w:name="_ETM_Q58_625079"/>
      <w:bookmarkStart w:id="32574" w:name="_ETM_Q58_625379"/>
      <w:bookmarkStart w:id="32575" w:name="_ETM_Q58_625560"/>
      <w:bookmarkStart w:id="32576" w:name="_ETM_Q58_626310"/>
      <w:bookmarkEnd w:id="32572"/>
      <w:bookmarkEnd w:id="32573"/>
      <w:bookmarkEnd w:id="32574"/>
      <w:bookmarkEnd w:id="32575"/>
      <w:bookmarkEnd w:id="32576"/>
      <w:r>
        <w:rPr>
          <w:rFonts w:hint="cs"/>
          <w:rtl/>
        </w:rPr>
        <w:t xml:space="preserve">אולי </w:t>
      </w:r>
      <w:bookmarkStart w:id="32577" w:name="_ETM_Q58_626579"/>
      <w:bookmarkEnd w:id="32577"/>
      <w:r>
        <w:rPr>
          <w:rFonts w:hint="cs"/>
          <w:rtl/>
        </w:rPr>
        <w:t xml:space="preserve">הם </w:t>
      </w:r>
      <w:bookmarkStart w:id="32578" w:name="_ETM_Q58_626639"/>
      <w:bookmarkEnd w:id="32578"/>
      <w:r>
        <w:rPr>
          <w:rFonts w:hint="cs"/>
          <w:rtl/>
        </w:rPr>
        <w:t xml:space="preserve">לא </w:t>
      </w:r>
      <w:bookmarkStart w:id="32579" w:name="_ETM_Q58_626730"/>
      <w:bookmarkEnd w:id="32579"/>
      <w:r>
        <w:rPr>
          <w:rFonts w:hint="cs"/>
          <w:rtl/>
        </w:rPr>
        <w:t xml:space="preserve">מצאו </w:t>
      </w:r>
      <w:bookmarkStart w:id="32580" w:name="_ETM_Q58_627029"/>
      <w:bookmarkEnd w:id="32580"/>
      <w:r>
        <w:rPr>
          <w:rFonts w:hint="cs"/>
          <w:rtl/>
        </w:rPr>
        <w:t xml:space="preserve">לנכון </w:t>
      </w:r>
      <w:bookmarkStart w:id="32581" w:name="_ETM_Q58_627450"/>
      <w:bookmarkEnd w:id="32581"/>
      <w:r>
        <w:rPr>
          <w:rFonts w:hint="cs"/>
          <w:rtl/>
        </w:rPr>
        <w:t xml:space="preserve">להתערב, </w:t>
      </w:r>
      <w:bookmarkStart w:id="32582" w:name="_ETM_Q58_628379"/>
      <w:bookmarkEnd w:id="32582"/>
      <w:r>
        <w:rPr>
          <w:rFonts w:hint="cs"/>
          <w:rtl/>
        </w:rPr>
        <w:t xml:space="preserve">אולי </w:t>
      </w:r>
      <w:bookmarkStart w:id="32583" w:name="_ETM_Q58_628650"/>
      <w:bookmarkEnd w:id="32583"/>
      <w:r>
        <w:rPr>
          <w:rFonts w:hint="cs"/>
          <w:rtl/>
        </w:rPr>
        <w:t xml:space="preserve">זה </w:t>
      </w:r>
      <w:bookmarkStart w:id="32584" w:name="_ETM_Q58_628799"/>
      <w:bookmarkEnd w:id="32584"/>
      <w:r>
        <w:rPr>
          <w:rFonts w:hint="cs"/>
          <w:rtl/>
        </w:rPr>
        <w:t xml:space="preserve">לא </w:t>
      </w:r>
      <w:bookmarkStart w:id="32585" w:name="_ETM_Q58_628919"/>
      <w:bookmarkEnd w:id="32585"/>
      <w:r>
        <w:rPr>
          <w:rFonts w:hint="cs"/>
          <w:rtl/>
        </w:rPr>
        <w:t xml:space="preserve">היה </w:t>
      </w:r>
      <w:bookmarkStart w:id="32586" w:name="_ETM_Q58_629010"/>
      <w:bookmarkEnd w:id="32586"/>
      <w:r>
        <w:rPr>
          <w:rFonts w:hint="cs"/>
          <w:rtl/>
        </w:rPr>
        <w:t xml:space="preserve">נראה </w:t>
      </w:r>
      <w:bookmarkStart w:id="32587" w:name="_ETM_Q58_629249"/>
      <w:bookmarkEnd w:id="32587"/>
      <w:r>
        <w:rPr>
          <w:rFonts w:hint="cs"/>
          <w:rtl/>
        </w:rPr>
        <w:t xml:space="preserve">להם </w:t>
      </w:r>
      <w:bookmarkStart w:id="32588" w:name="_ETM_Q58_629849"/>
      <w:bookmarkEnd w:id="32588"/>
      <w:r>
        <w:rPr>
          <w:rFonts w:hint="cs"/>
          <w:rtl/>
        </w:rPr>
        <w:t xml:space="preserve">קשור </w:t>
      </w:r>
      <w:bookmarkStart w:id="32589" w:name="_ETM_Q58_630239"/>
      <w:bookmarkEnd w:id="32589"/>
      <w:r>
        <w:rPr>
          <w:rFonts w:hint="cs"/>
          <w:rtl/>
        </w:rPr>
        <w:t xml:space="preserve">אליהם. </w:t>
      </w:r>
      <w:bookmarkStart w:id="32590" w:name="_ETM_Q58_631099"/>
      <w:bookmarkEnd w:id="32590"/>
      <w:r>
        <w:rPr>
          <w:rFonts w:hint="cs"/>
          <w:rtl/>
        </w:rPr>
        <w:t xml:space="preserve">הסתכלות </w:t>
      </w:r>
      <w:bookmarkStart w:id="32591" w:name="_ETM_Q58_631730"/>
      <w:bookmarkEnd w:id="32591"/>
      <w:r>
        <w:rPr>
          <w:rFonts w:hint="cs"/>
          <w:rtl/>
        </w:rPr>
        <w:t xml:space="preserve">מהצד </w:t>
      </w:r>
      <w:bookmarkStart w:id="32592" w:name="_ETM_Q58_632180"/>
      <w:bookmarkEnd w:id="32592"/>
      <w:r>
        <w:rPr>
          <w:rFonts w:hint="cs"/>
          <w:rtl/>
        </w:rPr>
        <w:t xml:space="preserve">בלי לנקוט מעשה. </w:t>
      </w:r>
      <w:bookmarkStart w:id="32593" w:name="_ETM_Q58_632480"/>
      <w:bookmarkStart w:id="32594" w:name="_ETM_Q58_632720"/>
      <w:bookmarkStart w:id="32595" w:name="_ETM_Q58_633740"/>
      <w:bookmarkEnd w:id="32593"/>
      <w:bookmarkEnd w:id="32594"/>
      <w:bookmarkEnd w:id="32595"/>
    </w:p>
    <w:p w:rsidR="00BB59CD" w:rsidRDefault="00BB59CD" w:rsidP="00BB59CD">
      <w:pPr>
        <w:rPr>
          <w:rtl/>
        </w:rPr>
      </w:pPr>
    </w:p>
    <w:p w:rsidR="004D5B6C" w:rsidRDefault="00BB59CD" w:rsidP="004D5B6C">
      <w:pPr>
        <w:rPr>
          <w:rtl/>
        </w:rPr>
      </w:pPr>
      <w:r>
        <w:rPr>
          <w:rFonts w:hint="cs"/>
          <w:rtl/>
        </w:rPr>
        <w:t xml:space="preserve">אבל </w:t>
      </w:r>
      <w:bookmarkStart w:id="32596" w:name="_ETM_Q58_633980"/>
      <w:bookmarkEnd w:id="32596"/>
      <w:r>
        <w:rPr>
          <w:rFonts w:hint="cs"/>
          <w:rtl/>
        </w:rPr>
        <w:t xml:space="preserve">זו </w:t>
      </w:r>
      <w:bookmarkStart w:id="32597" w:name="_ETM_Q58_634130"/>
      <w:bookmarkEnd w:id="32597"/>
      <w:r>
        <w:rPr>
          <w:rFonts w:hint="cs"/>
          <w:rtl/>
        </w:rPr>
        <w:t xml:space="preserve">לא </w:t>
      </w:r>
      <w:bookmarkStart w:id="32598" w:name="_ETM_Q58_634280"/>
      <w:bookmarkEnd w:id="32598"/>
      <w:r>
        <w:rPr>
          <w:rFonts w:hint="cs"/>
          <w:rtl/>
        </w:rPr>
        <w:t xml:space="preserve">התשובה </w:t>
      </w:r>
      <w:bookmarkStart w:id="32599" w:name="_ETM_Q58_634580"/>
      <w:bookmarkEnd w:id="32599"/>
      <w:r>
        <w:rPr>
          <w:rFonts w:hint="cs"/>
          <w:rtl/>
        </w:rPr>
        <w:t xml:space="preserve">היחידה </w:t>
      </w:r>
      <w:bookmarkStart w:id="32600" w:name="_ETM_Q58_635000"/>
      <w:bookmarkEnd w:id="32600"/>
      <w:r>
        <w:rPr>
          <w:rFonts w:hint="cs"/>
          <w:rtl/>
        </w:rPr>
        <w:t xml:space="preserve">בגמרא. </w:t>
      </w:r>
      <w:bookmarkStart w:id="32601" w:name="_ETM_Q58_636940"/>
      <w:bookmarkStart w:id="32602" w:name="_ETM_Q58_637000"/>
      <w:bookmarkStart w:id="32603" w:name="_ETM_Q58_637086"/>
      <w:bookmarkEnd w:id="32601"/>
      <w:bookmarkEnd w:id="32602"/>
      <w:bookmarkEnd w:id="32603"/>
      <w:r>
        <w:rPr>
          <w:rFonts w:hint="cs"/>
          <w:rtl/>
        </w:rPr>
        <w:t xml:space="preserve">התבצרות </w:t>
      </w:r>
      <w:bookmarkStart w:id="32604" w:name="_ETM_Q58_637690"/>
      <w:bookmarkEnd w:id="32604"/>
      <w:r>
        <w:rPr>
          <w:rFonts w:hint="cs"/>
          <w:rtl/>
        </w:rPr>
        <w:t xml:space="preserve">באמת </w:t>
      </w:r>
      <w:bookmarkStart w:id="32605" w:name="_ETM_Q58_638170"/>
      <w:bookmarkEnd w:id="32605"/>
      <w:r>
        <w:rPr>
          <w:rFonts w:hint="cs"/>
          <w:rtl/>
        </w:rPr>
        <w:t xml:space="preserve">שלי </w:t>
      </w:r>
      <w:bookmarkStart w:id="32606" w:name="_ETM_Q58_639560"/>
      <w:bookmarkEnd w:id="32606"/>
      <w:r>
        <w:rPr>
          <w:rFonts w:hint="cs"/>
          <w:rtl/>
        </w:rPr>
        <w:t xml:space="preserve">– בר-קמצא </w:t>
      </w:r>
      <w:bookmarkStart w:id="32607" w:name="_ETM_Q58_640400"/>
      <w:bookmarkEnd w:id="32607"/>
      <w:r>
        <w:rPr>
          <w:rFonts w:hint="cs"/>
          <w:rtl/>
        </w:rPr>
        <w:t xml:space="preserve">הגיע </w:t>
      </w:r>
      <w:bookmarkStart w:id="32608" w:name="_ETM_Q58_640819"/>
      <w:bookmarkEnd w:id="32608"/>
      <w:r>
        <w:rPr>
          <w:rFonts w:hint="cs"/>
          <w:rtl/>
        </w:rPr>
        <w:t xml:space="preserve">למרות </w:t>
      </w:r>
      <w:bookmarkStart w:id="32609" w:name="_ETM_Q58_641120"/>
      <w:bookmarkEnd w:id="32609"/>
      <w:r>
        <w:rPr>
          <w:rFonts w:hint="cs"/>
          <w:rtl/>
        </w:rPr>
        <w:t xml:space="preserve">שהוא </w:t>
      </w:r>
      <w:bookmarkStart w:id="32610" w:name="_ETM_Q58_641269"/>
      <w:bookmarkEnd w:id="32610"/>
      <w:r>
        <w:rPr>
          <w:rFonts w:hint="cs"/>
          <w:rtl/>
        </w:rPr>
        <w:t xml:space="preserve">לא </w:t>
      </w:r>
      <w:bookmarkStart w:id="32611" w:name="_ETM_Q58_641390"/>
      <w:bookmarkEnd w:id="32611"/>
      <w:r>
        <w:rPr>
          <w:rFonts w:hint="cs"/>
          <w:rtl/>
        </w:rPr>
        <w:t xml:space="preserve">מוזמן. </w:t>
      </w:r>
      <w:bookmarkStart w:id="32612" w:name="_ETM_Q58_641870"/>
      <w:bookmarkEnd w:id="32612"/>
      <w:r>
        <w:rPr>
          <w:rFonts w:hint="cs"/>
          <w:rtl/>
        </w:rPr>
        <w:t xml:space="preserve">אולי </w:t>
      </w:r>
      <w:bookmarkStart w:id="32613" w:name="_ETM_Q58_642820"/>
      <w:bookmarkEnd w:id="32613"/>
      <w:r>
        <w:rPr>
          <w:rFonts w:hint="cs"/>
          <w:rtl/>
        </w:rPr>
        <w:t xml:space="preserve">הוא </w:t>
      </w:r>
      <w:bookmarkStart w:id="32614" w:name="_ETM_Q58_642910"/>
      <w:bookmarkEnd w:id="32614"/>
      <w:r>
        <w:rPr>
          <w:rFonts w:hint="cs"/>
          <w:rtl/>
        </w:rPr>
        <w:t xml:space="preserve">היה </w:t>
      </w:r>
      <w:bookmarkStart w:id="32615" w:name="_ETM_Q58_643030"/>
      <w:bookmarkEnd w:id="32615"/>
      <w:r>
        <w:rPr>
          <w:rFonts w:hint="cs"/>
          <w:rtl/>
        </w:rPr>
        <w:t xml:space="preserve">צריך </w:t>
      </w:r>
      <w:bookmarkStart w:id="32616" w:name="_ETM_Q58_643210"/>
      <w:bookmarkEnd w:id="32616"/>
      <w:r>
        <w:rPr>
          <w:rFonts w:hint="cs"/>
          <w:rtl/>
        </w:rPr>
        <w:t xml:space="preserve">לחשוב </w:t>
      </w:r>
      <w:bookmarkStart w:id="32617" w:name="_ETM_Q58_643540"/>
      <w:bookmarkEnd w:id="32617"/>
      <w:r>
        <w:rPr>
          <w:rFonts w:hint="cs"/>
          <w:rtl/>
        </w:rPr>
        <w:t xml:space="preserve">פעמיים: </w:t>
      </w:r>
      <w:bookmarkStart w:id="32618" w:name="_ETM_Q58_644050"/>
      <w:bookmarkEnd w:id="32618"/>
      <w:r>
        <w:rPr>
          <w:rFonts w:hint="cs"/>
          <w:rtl/>
        </w:rPr>
        <w:t xml:space="preserve">מה </w:t>
      </w:r>
      <w:bookmarkStart w:id="32619" w:name="_ETM_Q58_644140"/>
      <w:bookmarkEnd w:id="32619"/>
      <w:r>
        <w:rPr>
          <w:rFonts w:hint="cs"/>
          <w:rtl/>
        </w:rPr>
        <w:t xml:space="preserve">פתאום </w:t>
      </w:r>
      <w:bookmarkStart w:id="32620" w:name="_ETM_Q58_644410"/>
      <w:bookmarkEnd w:id="32620"/>
      <w:r>
        <w:rPr>
          <w:rFonts w:hint="cs"/>
          <w:rtl/>
        </w:rPr>
        <w:t xml:space="preserve">הזמינו </w:t>
      </w:r>
      <w:bookmarkStart w:id="32621" w:name="_ETM_Q58_644710"/>
      <w:bookmarkEnd w:id="32621"/>
      <w:r>
        <w:rPr>
          <w:rFonts w:hint="cs"/>
          <w:rtl/>
        </w:rPr>
        <w:t xml:space="preserve">אותי </w:t>
      </w:r>
      <w:bookmarkStart w:id="32622" w:name="_ETM_Q58_644920"/>
      <w:bookmarkEnd w:id="32622"/>
      <w:r>
        <w:rPr>
          <w:rFonts w:hint="cs"/>
          <w:rtl/>
        </w:rPr>
        <w:t xml:space="preserve">לארוחה </w:t>
      </w:r>
      <w:bookmarkStart w:id="32623" w:name="_ETM_Q58_645370"/>
      <w:bookmarkEnd w:id="32623"/>
      <w:r>
        <w:rPr>
          <w:rFonts w:hint="cs"/>
          <w:rtl/>
        </w:rPr>
        <w:t xml:space="preserve">הזו? </w:t>
      </w:r>
      <w:bookmarkStart w:id="32624" w:name="_ETM_Q58_645970"/>
      <w:bookmarkEnd w:id="32624"/>
      <w:r>
        <w:rPr>
          <w:rFonts w:hint="cs"/>
          <w:rtl/>
        </w:rPr>
        <w:t xml:space="preserve">הוא </w:t>
      </w:r>
      <w:bookmarkStart w:id="32625" w:name="_ETM_Q58_646090"/>
      <w:bookmarkEnd w:id="32625"/>
      <w:r>
        <w:rPr>
          <w:rFonts w:hint="cs"/>
          <w:rtl/>
        </w:rPr>
        <w:t xml:space="preserve">לא </w:t>
      </w:r>
      <w:bookmarkStart w:id="32626" w:name="_ETM_Q58_646180"/>
      <w:bookmarkEnd w:id="32626"/>
      <w:r>
        <w:rPr>
          <w:rFonts w:hint="cs"/>
          <w:rtl/>
        </w:rPr>
        <w:t xml:space="preserve">אמר </w:t>
      </w:r>
      <w:bookmarkStart w:id="32627" w:name="_ETM_Q58_646390"/>
      <w:bookmarkEnd w:id="32627"/>
      <w:r>
        <w:rPr>
          <w:rFonts w:hint="cs"/>
          <w:rtl/>
        </w:rPr>
        <w:t xml:space="preserve">לי </w:t>
      </w:r>
      <w:bookmarkStart w:id="32628" w:name="_ETM_Q58_646510"/>
      <w:bookmarkEnd w:id="32628"/>
      <w:r w:rsidR="004D5B6C">
        <w:rPr>
          <w:rFonts w:hint="cs"/>
          <w:rtl/>
        </w:rPr>
        <w:t>כלום,</w:t>
      </w:r>
      <w:r>
        <w:rPr>
          <w:rFonts w:hint="cs"/>
          <w:rtl/>
        </w:rPr>
        <w:t xml:space="preserve"> </w:t>
      </w:r>
      <w:bookmarkStart w:id="32629" w:name="_ETM_Q58_646840"/>
      <w:bookmarkEnd w:id="32629"/>
      <w:r>
        <w:rPr>
          <w:rFonts w:hint="cs"/>
          <w:rtl/>
        </w:rPr>
        <w:t xml:space="preserve">אני </w:t>
      </w:r>
      <w:bookmarkStart w:id="32630" w:name="_ETM_Q58_646960"/>
      <w:bookmarkEnd w:id="32630"/>
      <w:r>
        <w:rPr>
          <w:rFonts w:hint="cs"/>
          <w:rtl/>
        </w:rPr>
        <w:t xml:space="preserve">אגיע </w:t>
      </w:r>
      <w:bookmarkStart w:id="32631" w:name="_ETM_Q58_647230"/>
      <w:bookmarkEnd w:id="32631"/>
      <w:r>
        <w:rPr>
          <w:rFonts w:hint="cs"/>
          <w:rtl/>
        </w:rPr>
        <w:t xml:space="preserve">לארוחה </w:t>
      </w:r>
      <w:bookmarkStart w:id="32632" w:name="_ETM_Q58_648070"/>
      <w:bookmarkEnd w:id="32632"/>
      <w:r>
        <w:rPr>
          <w:rFonts w:hint="cs"/>
          <w:rtl/>
        </w:rPr>
        <w:t xml:space="preserve">של </w:t>
      </w:r>
      <w:bookmarkStart w:id="32633" w:name="_ETM_Q58_648280"/>
      <w:bookmarkEnd w:id="32633"/>
      <w:r>
        <w:rPr>
          <w:rFonts w:hint="cs"/>
          <w:rtl/>
        </w:rPr>
        <w:t xml:space="preserve">מישהו </w:t>
      </w:r>
      <w:bookmarkStart w:id="32634" w:name="_ETM_Q58_648550"/>
      <w:bookmarkEnd w:id="32634"/>
      <w:r>
        <w:rPr>
          <w:rFonts w:hint="cs"/>
          <w:rtl/>
        </w:rPr>
        <w:t xml:space="preserve">שלא </w:t>
      </w:r>
      <w:bookmarkStart w:id="32635" w:name="_ETM_Q58_649270"/>
      <w:bookmarkEnd w:id="32635"/>
      <w:r>
        <w:rPr>
          <w:rFonts w:hint="cs"/>
          <w:rtl/>
        </w:rPr>
        <w:t xml:space="preserve">אוהב </w:t>
      </w:r>
      <w:bookmarkStart w:id="32636" w:name="_ETM_Q58_649510"/>
      <w:bookmarkEnd w:id="32636"/>
      <w:r>
        <w:rPr>
          <w:rFonts w:hint="cs"/>
          <w:rtl/>
        </w:rPr>
        <w:t xml:space="preserve">אותי? </w:t>
      </w:r>
      <w:bookmarkStart w:id="32637" w:name="_ETM_Q58_650250"/>
      <w:bookmarkEnd w:id="32637"/>
      <w:r>
        <w:rPr>
          <w:rFonts w:hint="cs"/>
          <w:rtl/>
        </w:rPr>
        <w:t xml:space="preserve">אולי </w:t>
      </w:r>
      <w:bookmarkStart w:id="32638" w:name="_ETM_Q58_650549"/>
      <w:bookmarkEnd w:id="32638"/>
      <w:r>
        <w:rPr>
          <w:rFonts w:hint="cs"/>
          <w:rtl/>
        </w:rPr>
        <w:t xml:space="preserve">גם </w:t>
      </w:r>
      <w:bookmarkStart w:id="32639" w:name="_ETM_Q58_650700"/>
      <w:bookmarkEnd w:id="32639"/>
      <w:r>
        <w:rPr>
          <w:rFonts w:hint="cs"/>
          <w:rtl/>
        </w:rPr>
        <w:t xml:space="preserve">עליו </w:t>
      </w:r>
      <w:bookmarkStart w:id="32640" w:name="_ETM_Q58_650909"/>
      <w:bookmarkEnd w:id="32640"/>
      <w:r>
        <w:rPr>
          <w:rFonts w:hint="cs"/>
          <w:rtl/>
        </w:rPr>
        <w:t xml:space="preserve">יש </w:t>
      </w:r>
      <w:bookmarkStart w:id="32641" w:name="_ETM_Q58_651030"/>
      <w:bookmarkEnd w:id="32641"/>
      <w:r>
        <w:rPr>
          <w:rFonts w:hint="cs"/>
          <w:rtl/>
        </w:rPr>
        <w:t xml:space="preserve">אחריות </w:t>
      </w:r>
      <w:bookmarkStart w:id="32642" w:name="_ETM_Q58_651510"/>
      <w:bookmarkEnd w:id="32642"/>
      <w:r>
        <w:rPr>
          <w:rFonts w:hint="cs"/>
          <w:rtl/>
        </w:rPr>
        <w:t xml:space="preserve">מסוימת. </w:t>
      </w:r>
      <w:bookmarkStart w:id="32643" w:name="_ETM_Q58_652819"/>
      <w:bookmarkEnd w:id="32643"/>
      <w:r>
        <w:rPr>
          <w:rFonts w:hint="cs"/>
          <w:rtl/>
        </w:rPr>
        <w:t xml:space="preserve">בעל </w:t>
      </w:r>
      <w:bookmarkStart w:id="32644" w:name="_ETM_Q58_653090"/>
      <w:bookmarkEnd w:id="32644"/>
      <w:r>
        <w:rPr>
          <w:rFonts w:hint="cs"/>
          <w:rtl/>
        </w:rPr>
        <w:t xml:space="preserve">הבית, </w:t>
      </w:r>
      <w:bookmarkStart w:id="32645" w:name="_ETM_Q58_653989"/>
      <w:bookmarkEnd w:id="32645"/>
      <w:r>
        <w:rPr>
          <w:rFonts w:hint="cs"/>
          <w:rtl/>
        </w:rPr>
        <w:t xml:space="preserve">זה </w:t>
      </w:r>
      <w:bookmarkStart w:id="32646" w:name="_ETM_Q58_654200"/>
      <w:bookmarkEnd w:id="32646"/>
      <w:r>
        <w:rPr>
          <w:rFonts w:hint="cs"/>
          <w:rtl/>
        </w:rPr>
        <w:t xml:space="preserve">ברור </w:t>
      </w:r>
      <w:bookmarkStart w:id="32647" w:name="_ETM_Q58_654620"/>
      <w:bookmarkEnd w:id="32647"/>
      <w:r>
        <w:rPr>
          <w:rFonts w:hint="cs"/>
          <w:rtl/>
        </w:rPr>
        <w:t xml:space="preserve">שהתעקש </w:t>
      </w:r>
      <w:bookmarkStart w:id="32648" w:name="_ETM_Q58_655730"/>
      <w:bookmarkEnd w:id="32648"/>
      <w:r>
        <w:rPr>
          <w:rFonts w:hint="cs"/>
          <w:rtl/>
        </w:rPr>
        <w:t xml:space="preserve">לגרש </w:t>
      </w:r>
      <w:bookmarkStart w:id="32649" w:name="_ETM_Q58_656360"/>
      <w:bookmarkEnd w:id="32649"/>
      <w:r>
        <w:rPr>
          <w:rFonts w:hint="cs"/>
          <w:rtl/>
        </w:rPr>
        <w:t xml:space="preserve">אותו </w:t>
      </w:r>
      <w:bookmarkStart w:id="32650" w:name="_ETM_Q58_657360"/>
      <w:bookmarkEnd w:id="32650"/>
      <w:r>
        <w:rPr>
          <w:rFonts w:hint="cs"/>
          <w:rtl/>
        </w:rPr>
        <w:t xml:space="preserve">למרות </w:t>
      </w:r>
      <w:bookmarkStart w:id="32651" w:name="_ETM_Q58_657750"/>
      <w:bookmarkEnd w:id="32651"/>
      <w:r>
        <w:rPr>
          <w:rFonts w:hint="cs"/>
          <w:rtl/>
        </w:rPr>
        <w:t xml:space="preserve">שהוא </w:t>
      </w:r>
      <w:bookmarkStart w:id="32652" w:name="_ETM_Q58_657900"/>
      <w:bookmarkEnd w:id="32652"/>
      <w:r>
        <w:rPr>
          <w:rFonts w:hint="cs"/>
          <w:rtl/>
        </w:rPr>
        <w:t xml:space="preserve">מבין </w:t>
      </w:r>
      <w:bookmarkStart w:id="32653" w:name="_ETM_Q58_658140"/>
      <w:bookmarkEnd w:id="32653"/>
      <w:r>
        <w:rPr>
          <w:rFonts w:hint="cs"/>
          <w:rtl/>
        </w:rPr>
        <w:t xml:space="preserve">שנעשתה </w:t>
      </w:r>
      <w:bookmarkStart w:id="32654" w:name="_ETM_Q58_658620"/>
      <w:bookmarkEnd w:id="32654"/>
      <w:r>
        <w:rPr>
          <w:rFonts w:hint="cs"/>
          <w:rtl/>
        </w:rPr>
        <w:t xml:space="preserve">פה </w:t>
      </w:r>
      <w:bookmarkStart w:id="32655" w:name="_ETM_Q58_658770"/>
      <w:bookmarkEnd w:id="32655"/>
      <w:r>
        <w:rPr>
          <w:rFonts w:hint="cs"/>
          <w:rtl/>
        </w:rPr>
        <w:t xml:space="preserve">טעות. </w:t>
      </w:r>
      <w:bookmarkStart w:id="32656" w:name="_ETM_Q58_659250"/>
      <w:bookmarkEnd w:id="32656"/>
      <w:r>
        <w:rPr>
          <w:rFonts w:hint="cs"/>
          <w:rtl/>
        </w:rPr>
        <w:t xml:space="preserve">הוא </w:t>
      </w:r>
      <w:bookmarkStart w:id="32657" w:name="_ETM_Q58_659310"/>
      <w:bookmarkEnd w:id="32657"/>
      <w:r>
        <w:rPr>
          <w:rFonts w:hint="cs"/>
          <w:rtl/>
        </w:rPr>
        <w:t xml:space="preserve">לא </w:t>
      </w:r>
      <w:bookmarkStart w:id="32658" w:name="_ETM_Q58_661069"/>
      <w:bookmarkEnd w:id="32658"/>
      <w:r>
        <w:rPr>
          <w:rFonts w:hint="cs"/>
          <w:rtl/>
        </w:rPr>
        <w:t xml:space="preserve">תמים. </w:t>
      </w:r>
      <w:bookmarkStart w:id="32659" w:name="_ETM_Q58_663130"/>
      <w:bookmarkEnd w:id="32659"/>
      <w:r>
        <w:rPr>
          <w:rFonts w:hint="cs"/>
          <w:rtl/>
        </w:rPr>
        <w:t xml:space="preserve">הוא </w:t>
      </w:r>
      <w:bookmarkStart w:id="32660" w:name="_ETM_Q58_663220"/>
      <w:bookmarkEnd w:id="32660"/>
      <w:r>
        <w:rPr>
          <w:rFonts w:hint="cs"/>
          <w:rtl/>
        </w:rPr>
        <w:t xml:space="preserve">גם </w:t>
      </w:r>
      <w:bookmarkStart w:id="32661" w:name="_ETM_Q58_663400"/>
      <w:bookmarkEnd w:id="32661"/>
      <w:r>
        <w:rPr>
          <w:rFonts w:hint="cs"/>
          <w:rtl/>
        </w:rPr>
        <w:t xml:space="preserve">מסרב </w:t>
      </w:r>
      <w:bookmarkStart w:id="32662" w:name="_ETM_Q58_663820"/>
      <w:bookmarkEnd w:id="32662"/>
      <w:r>
        <w:rPr>
          <w:rFonts w:hint="cs"/>
          <w:rtl/>
        </w:rPr>
        <w:t xml:space="preserve">לקבל </w:t>
      </w:r>
      <w:bookmarkStart w:id="32663" w:name="_ETM_Q58_664150"/>
      <w:bookmarkEnd w:id="32663"/>
      <w:r>
        <w:rPr>
          <w:rFonts w:hint="cs"/>
          <w:rtl/>
        </w:rPr>
        <w:t xml:space="preserve">את </w:t>
      </w:r>
      <w:bookmarkStart w:id="32664" w:name="_ETM_Q58_664210"/>
      <w:bookmarkEnd w:id="32664"/>
      <w:r>
        <w:rPr>
          <w:rFonts w:hint="cs"/>
          <w:rtl/>
        </w:rPr>
        <w:t xml:space="preserve">דמי </w:t>
      </w:r>
      <w:bookmarkStart w:id="32665" w:name="_ETM_Q58_664420"/>
      <w:bookmarkEnd w:id="32665"/>
      <w:r>
        <w:rPr>
          <w:rFonts w:hint="cs"/>
          <w:rtl/>
        </w:rPr>
        <w:t xml:space="preserve">הארוחה </w:t>
      </w:r>
      <w:bookmarkStart w:id="32666" w:name="_ETM_Q58_665050"/>
      <w:bookmarkEnd w:id="32666"/>
      <w:r>
        <w:rPr>
          <w:rFonts w:hint="cs"/>
          <w:rtl/>
        </w:rPr>
        <w:t xml:space="preserve">שלו </w:t>
      </w:r>
      <w:bookmarkStart w:id="32667" w:name="_ETM_Q58_665860"/>
      <w:bookmarkEnd w:id="32667"/>
      <w:r>
        <w:rPr>
          <w:rFonts w:hint="cs"/>
          <w:rtl/>
        </w:rPr>
        <w:t xml:space="preserve">– חצי </w:t>
      </w:r>
      <w:bookmarkStart w:id="32668" w:name="_ETM_Q58_666280"/>
      <w:bookmarkEnd w:id="32668"/>
      <w:r>
        <w:rPr>
          <w:rFonts w:hint="cs"/>
          <w:rtl/>
        </w:rPr>
        <w:t xml:space="preserve">מהסעודה, </w:t>
      </w:r>
      <w:bookmarkStart w:id="32669" w:name="_ETM_Q58_666820"/>
      <w:bookmarkEnd w:id="32669"/>
      <w:r>
        <w:rPr>
          <w:rFonts w:hint="cs"/>
          <w:rtl/>
        </w:rPr>
        <w:t xml:space="preserve">את </w:t>
      </w:r>
      <w:bookmarkStart w:id="32670" w:name="_ETM_Q58_666970"/>
      <w:bookmarkEnd w:id="32670"/>
      <w:r>
        <w:rPr>
          <w:rFonts w:hint="cs"/>
          <w:rtl/>
        </w:rPr>
        <w:t xml:space="preserve">כל </w:t>
      </w:r>
      <w:bookmarkStart w:id="32671" w:name="_ETM_Q58_667180"/>
      <w:bookmarkEnd w:id="32671"/>
      <w:r>
        <w:rPr>
          <w:rFonts w:hint="cs"/>
          <w:rtl/>
        </w:rPr>
        <w:t xml:space="preserve">הסעודה. </w:t>
      </w:r>
      <w:bookmarkStart w:id="32672" w:name="_ETM_Q58_669010"/>
      <w:bookmarkEnd w:id="32672"/>
      <w:r>
        <w:rPr>
          <w:rFonts w:hint="cs"/>
          <w:rtl/>
        </w:rPr>
        <w:t xml:space="preserve">וכמובן, האשם </w:t>
      </w:r>
      <w:bookmarkStart w:id="32673" w:name="_ETM_Q58_669520"/>
      <w:bookmarkStart w:id="32674" w:name="_ETM_Q58_669610"/>
      <w:bookmarkStart w:id="32675" w:name="_ETM_Q58_670819"/>
      <w:bookmarkEnd w:id="32673"/>
      <w:bookmarkEnd w:id="32674"/>
      <w:bookmarkEnd w:id="32675"/>
      <w:r>
        <w:rPr>
          <w:rFonts w:hint="cs"/>
          <w:rtl/>
        </w:rPr>
        <w:t xml:space="preserve">שלפחות </w:t>
      </w:r>
      <w:bookmarkStart w:id="32676" w:name="_ETM_Q58_671779"/>
      <w:bookmarkEnd w:id="32676"/>
      <w:r>
        <w:rPr>
          <w:rFonts w:hint="cs"/>
          <w:rtl/>
        </w:rPr>
        <w:t xml:space="preserve">רבי </w:t>
      </w:r>
      <w:bookmarkStart w:id="32677" w:name="_ETM_Q58_672019"/>
      <w:bookmarkEnd w:id="32677"/>
      <w:r>
        <w:rPr>
          <w:rFonts w:hint="cs"/>
          <w:rtl/>
        </w:rPr>
        <w:t xml:space="preserve">יוחנן </w:t>
      </w:r>
      <w:bookmarkStart w:id="32678" w:name="_ETM_Q58_672439"/>
      <w:bookmarkEnd w:id="32678"/>
      <w:r>
        <w:rPr>
          <w:rFonts w:hint="cs"/>
          <w:rtl/>
        </w:rPr>
        <w:t xml:space="preserve">מונה, </w:t>
      </w:r>
      <w:bookmarkStart w:id="32679" w:name="_ETM_Q58_673189"/>
      <w:bookmarkEnd w:id="32679"/>
      <w:r>
        <w:rPr>
          <w:rFonts w:hint="cs"/>
          <w:rtl/>
        </w:rPr>
        <w:t xml:space="preserve">רבי </w:t>
      </w:r>
      <w:bookmarkStart w:id="32680" w:name="_ETM_Q58_673489"/>
      <w:bookmarkEnd w:id="32680"/>
      <w:r>
        <w:rPr>
          <w:rFonts w:hint="cs"/>
          <w:rtl/>
        </w:rPr>
        <w:t xml:space="preserve">זכריה </w:t>
      </w:r>
      <w:bookmarkStart w:id="32681" w:name="_ETM_Q58_673939"/>
      <w:bookmarkEnd w:id="32681"/>
      <w:r>
        <w:rPr>
          <w:rFonts w:hint="cs"/>
          <w:rtl/>
        </w:rPr>
        <w:t xml:space="preserve">בן אבקולס, זה </w:t>
      </w:r>
      <w:bookmarkStart w:id="32682" w:name="_ETM_Q58_675823"/>
      <w:bookmarkEnd w:id="32682"/>
      <w:r>
        <w:rPr>
          <w:rFonts w:hint="cs"/>
          <w:rtl/>
        </w:rPr>
        <w:t xml:space="preserve">שמתעקש </w:t>
      </w:r>
      <w:bookmarkStart w:id="32683" w:name="_ETM_Q58_674239"/>
      <w:bookmarkStart w:id="32684" w:name="_ETM_Q58_674569"/>
      <w:bookmarkStart w:id="32685" w:name="_ETM_Q58_675050"/>
      <w:bookmarkStart w:id="32686" w:name="_ETM_Q58_675380"/>
      <w:bookmarkStart w:id="32687" w:name="_ETM_Q58_676070"/>
      <w:bookmarkEnd w:id="32683"/>
      <w:bookmarkEnd w:id="32684"/>
      <w:bookmarkEnd w:id="32685"/>
      <w:bookmarkEnd w:id="32686"/>
      <w:bookmarkEnd w:id="32687"/>
      <w:r>
        <w:rPr>
          <w:rFonts w:hint="cs"/>
          <w:rtl/>
        </w:rPr>
        <w:t xml:space="preserve">למנוע </w:t>
      </w:r>
      <w:bookmarkStart w:id="32688" w:name="_ETM_Q58_677120"/>
      <w:bookmarkEnd w:id="32688"/>
      <w:r>
        <w:rPr>
          <w:rFonts w:hint="cs"/>
          <w:rtl/>
        </w:rPr>
        <w:t xml:space="preserve">את </w:t>
      </w:r>
      <w:bookmarkStart w:id="32689" w:name="_ETM_Q58_677329"/>
      <w:bookmarkEnd w:id="32689"/>
      <w:r>
        <w:rPr>
          <w:rFonts w:hint="cs"/>
          <w:rtl/>
        </w:rPr>
        <w:t xml:space="preserve">הקורבן </w:t>
      </w:r>
      <w:bookmarkStart w:id="32690" w:name="_ETM_Q58_678239"/>
      <w:bookmarkEnd w:id="32690"/>
      <w:r>
        <w:rPr>
          <w:rFonts w:hint="cs"/>
          <w:rtl/>
        </w:rPr>
        <w:t xml:space="preserve">למרות </w:t>
      </w:r>
      <w:bookmarkStart w:id="32691" w:name="_ETM_Q58_679530"/>
      <w:bookmarkStart w:id="32692" w:name="_ETM_Q58_680280"/>
      <w:bookmarkEnd w:id="32691"/>
      <w:bookmarkEnd w:id="32692"/>
      <w:r>
        <w:rPr>
          <w:rFonts w:hint="cs"/>
          <w:rtl/>
        </w:rPr>
        <w:t xml:space="preserve">שההשלכות </w:t>
      </w:r>
      <w:bookmarkStart w:id="32693" w:name="_ETM_Q58_681900"/>
      <w:bookmarkEnd w:id="32693"/>
      <w:r>
        <w:rPr>
          <w:rFonts w:hint="cs"/>
          <w:rtl/>
        </w:rPr>
        <w:t xml:space="preserve">מוצגות </w:t>
      </w:r>
      <w:bookmarkStart w:id="32694" w:name="_ETM_Q58_682500"/>
      <w:bookmarkEnd w:id="32694"/>
      <w:r>
        <w:rPr>
          <w:rFonts w:hint="cs"/>
          <w:rtl/>
        </w:rPr>
        <w:t>בפניו.</w:t>
      </w:r>
      <w:bookmarkStart w:id="32695" w:name="_ETM_Q58_685759"/>
      <w:bookmarkStart w:id="32696" w:name="_ETM_Q58_685876"/>
      <w:bookmarkStart w:id="32697" w:name="_ETM_Q58_685935"/>
      <w:bookmarkStart w:id="32698" w:name="_ETM_Q58_686026"/>
      <w:bookmarkStart w:id="32699" w:name="_ETM_Q58_684150"/>
      <w:bookmarkEnd w:id="32695"/>
      <w:bookmarkEnd w:id="32696"/>
      <w:bookmarkEnd w:id="32697"/>
      <w:bookmarkEnd w:id="32698"/>
      <w:bookmarkEnd w:id="32699"/>
      <w:r w:rsidR="004D5B6C">
        <w:rPr>
          <w:rFonts w:hint="cs"/>
          <w:rtl/>
        </w:rPr>
        <w:t xml:space="preserve"> </w:t>
      </w:r>
      <w:r>
        <w:rPr>
          <w:rFonts w:hint="cs"/>
          <w:rtl/>
        </w:rPr>
        <w:t xml:space="preserve">לכולם </w:t>
      </w:r>
      <w:bookmarkStart w:id="32700" w:name="_ETM_Q58_684659"/>
      <w:bookmarkEnd w:id="32700"/>
      <w:r>
        <w:rPr>
          <w:rFonts w:hint="cs"/>
          <w:rtl/>
        </w:rPr>
        <w:t xml:space="preserve">בסיפור </w:t>
      </w:r>
      <w:bookmarkStart w:id="32701" w:name="_ETM_Q58_685079"/>
      <w:bookmarkEnd w:id="32701"/>
      <w:r>
        <w:rPr>
          <w:rFonts w:hint="cs"/>
          <w:rtl/>
        </w:rPr>
        <w:t xml:space="preserve">הזה </w:t>
      </w:r>
      <w:bookmarkStart w:id="32702" w:name="_ETM_Q58_685290"/>
      <w:bookmarkEnd w:id="32702"/>
      <w:r>
        <w:rPr>
          <w:rFonts w:hint="cs"/>
          <w:rtl/>
        </w:rPr>
        <w:t xml:space="preserve">יש </w:t>
      </w:r>
      <w:bookmarkStart w:id="32703" w:name="_ETM_Q58_685500"/>
      <w:bookmarkEnd w:id="32703"/>
      <w:r>
        <w:rPr>
          <w:rFonts w:hint="cs"/>
          <w:rtl/>
        </w:rPr>
        <w:t xml:space="preserve">טיעונים </w:t>
      </w:r>
      <w:bookmarkStart w:id="32704" w:name="_ETM_Q58_685890"/>
      <w:bookmarkEnd w:id="32704"/>
      <w:r>
        <w:rPr>
          <w:rFonts w:hint="cs"/>
          <w:rtl/>
        </w:rPr>
        <w:t xml:space="preserve">מצוינים. </w:t>
      </w:r>
      <w:bookmarkStart w:id="32705" w:name="_ETM_Q58_687260"/>
      <w:bookmarkEnd w:id="32705"/>
      <w:r>
        <w:rPr>
          <w:rFonts w:hint="cs"/>
          <w:rtl/>
        </w:rPr>
        <w:t xml:space="preserve">כולם </w:t>
      </w:r>
      <w:bookmarkStart w:id="32706" w:name="_ETM_Q58_687799"/>
      <w:bookmarkEnd w:id="32706"/>
      <w:r>
        <w:rPr>
          <w:rFonts w:hint="cs"/>
          <w:rtl/>
        </w:rPr>
        <w:t xml:space="preserve">משכנעים </w:t>
      </w:r>
      <w:bookmarkStart w:id="32707" w:name="_ETM_Q58_688579"/>
      <w:bookmarkEnd w:id="32707"/>
      <w:r>
        <w:rPr>
          <w:rFonts w:hint="cs"/>
          <w:rtl/>
        </w:rPr>
        <w:t xml:space="preserve">בדרכם. </w:t>
      </w:r>
      <w:bookmarkStart w:id="32708" w:name="_ETM_Q58_690409"/>
      <w:bookmarkEnd w:id="32708"/>
      <w:r>
        <w:rPr>
          <w:rFonts w:hint="cs"/>
          <w:rtl/>
        </w:rPr>
        <w:t xml:space="preserve">אבל </w:t>
      </w:r>
      <w:bookmarkStart w:id="32709" w:name="_ETM_Q58_690650"/>
      <w:bookmarkEnd w:id="32709"/>
      <w:r>
        <w:rPr>
          <w:rFonts w:hint="cs"/>
          <w:rtl/>
        </w:rPr>
        <w:t xml:space="preserve">מה </w:t>
      </w:r>
      <w:bookmarkStart w:id="32710" w:name="_ETM_Q58_690769"/>
      <w:bookmarkEnd w:id="32710"/>
      <w:r>
        <w:rPr>
          <w:rFonts w:hint="cs"/>
          <w:rtl/>
        </w:rPr>
        <w:t xml:space="preserve">שמאפיין </w:t>
      </w:r>
      <w:bookmarkStart w:id="32711" w:name="_ETM_Q58_691459"/>
      <w:bookmarkEnd w:id="32711"/>
      <w:r>
        <w:rPr>
          <w:rFonts w:hint="cs"/>
          <w:rtl/>
        </w:rPr>
        <w:t xml:space="preserve">אותם </w:t>
      </w:r>
      <w:bookmarkStart w:id="32712" w:name="_ETM_Q58_692239"/>
      <w:bookmarkEnd w:id="32712"/>
      <w:r>
        <w:rPr>
          <w:rFonts w:hint="cs"/>
          <w:rtl/>
        </w:rPr>
        <w:t xml:space="preserve">זה </w:t>
      </w:r>
      <w:bookmarkStart w:id="32713" w:name="_ETM_Q58_692420"/>
      <w:bookmarkEnd w:id="32713"/>
      <w:r>
        <w:rPr>
          <w:rFonts w:hint="cs"/>
          <w:rtl/>
        </w:rPr>
        <w:t xml:space="preserve">שכולם </w:t>
      </w:r>
      <w:bookmarkStart w:id="32714" w:name="_ETM_Q58_692989"/>
      <w:bookmarkEnd w:id="32714"/>
      <w:r>
        <w:rPr>
          <w:rFonts w:hint="cs"/>
          <w:rtl/>
        </w:rPr>
        <w:t xml:space="preserve">רואים </w:t>
      </w:r>
      <w:bookmarkStart w:id="32715" w:name="_ETM_Q58_693319"/>
      <w:bookmarkEnd w:id="32715"/>
      <w:r>
        <w:rPr>
          <w:rFonts w:hint="cs"/>
          <w:rtl/>
        </w:rPr>
        <w:t xml:space="preserve">רק </w:t>
      </w:r>
      <w:bookmarkStart w:id="32716" w:name="_ETM_Q58_693559"/>
      <w:bookmarkEnd w:id="32716"/>
      <w:r>
        <w:rPr>
          <w:rFonts w:hint="cs"/>
          <w:rtl/>
        </w:rPr>
        <w:t xml:space="preserve">צד אחד </w:t>
      </w:r>
      <w:bookmarkStart w:id="32717" w:name="_ETM_Q58_693859"/>
      <w:bookmarkStart w:id="32718" w:name="_ETM_Q58_694250"/>
      <w:bookmarkEnd w:id="32717"/>
      <w:bookmarkEnd w:id="32718"/>
      <w:r>
        <w:rPr>
          <w:rFonts w:hint="cs"/>
          <w:rtl/>
        </w:rPr>
        <w:t xml:space="preserve">מהסיפור, </w:t>
      </w:r>
      <w:bookmarkStart w:id="32719" w:name="_ETM_Q58_695269"/>
      <w:bookmarkEnd w:id="32719"/>
      <w:r>
        <w:rPr>
          <w:rFonts w:hint="cs"/>
          <w:rtl/>
        </w:rPr>
        <w:t xml:space="preserve">רק </w:t>
      </w:r>
      <w:bookmarkStart w:id="32720" w:name="_ETM_Q58_695659"/>
      <w:bookmarkEnd w:id="32720"/>
      <w:r>
        <w:rPr>
          <w:rFonts w:hint="cs"/>
          <w:rtl/>
        </w:rPr>
        <w:t xml:space="preserve">ממד אחד מהעסק. </w:t>
      </w:r>
      <w:bookmarkStart w:id="32721" w:name="_ETM_Q58_696109"/>
      <w:bookmarkStart w:id="32722" w:name="_ETM_Q58_696890"/>
      <w:bookmarkStart w:id="32723" w:name="_ETM_Q58_698709"/>
      <w:bookmarkEnd w:id="32721"/>
      <w:bookmarkEnd w:id="32722"/>
      <w:bookmarkEnd w:id="32723"/>
      <w:r>
        <w:rPr>
          <w:rFonts w:hint="cs"/>
          <w:rtl/>
        </w:rPr>
        <w:t xml:space="preserve">אגדות </w:t>
      </w:r>
      <w:bookmarkStart w:id="32724" w:name="_ETM_Q58_699190"/>
      <w:bookmarkEnd w:id="32724"/>
      <w:r>
        <w:rPr>
          <w:rFonts w:hint="cs"/>
          <w:rtl/>
        </w:rPr>
        <w:t xml:space="preserve">החורבן </w:t>
      </w:r>
      <w:bookmarkStart w:id="32725" w:name="_ETM_Q58_699730"/>
      <w:bookmarkEnd w:id="32725"/>
      <w:r>
        <w:rPr>
          <w:rFonts w:hint="cs"/>
          <w:rtl/>
        </w:rPr>
        <w:t xml:space="preserve">במסכת </w:t>
      </w:r>
      <w:bookmarkStart w:id="32726" w:name="_ETM_Q58_700270"/>
      <w:bookmarkEnd w:id="32726"/>
      <w:r>
        <w:rPr>
          <w:rFonts w:hint="cs"/>
          <w:rtl/>
        </w:rPr>
        <w:t xml:space="preserve">גיטין </w:t>
      </w:r>
      <w:bookmarkStart w:id="32727" w:name="_ETM_Q58_700630"/>
      <w:bookmarkEnd w:id="32727"/>
      <w:r>
        <w:rPr>
          <w:rFonts w:hint="cs"/>
          <w:rtl/>
        </w:rPr>
        <w:t xml:space="preserve">נמשכות, </w:t>
      </w:r>
      <w:bookmarkStart w:id="32728" w:name="_ETM_Q58_701920"/>
      <w:bookmarkEnd w:id="32728"/>
      <w:r>
        <w:rPr>
          <w:rFonts w:hint="cs"/>
          <w:rtl/>
        </w:rPr>
        <w:t xml:space="preserve">ותאמינו </w:t>
      </w:r>
      <w:bookmarkStart w:id="32729" w:name="_ETM_Q58_702580"/>
      <w:bookmarkEnd w:id="32729"/>
      <w:r>
        <w:rPr>
          <w:rFonts w:hint="cs"/>
          <w:rtl/>
        </w:rPr>
        <w:t xml:space="preserve">לי, </w:t>
      </w:r>
      <w:bookmarkStart w:id="32730" w:name="_ETM_Q58_702730"/>
      <w:bookmarkEnd w:id="32730"/>
      <w:r>
        <w:rPr>
          <w:rFonts w:hint="cs"/>
          <w:rtl/>
        </w:rPr>
        <w:t xml:space="preserve">קראתי </w:t>
      </w:r>
      <w:bookmarkStart w:id="32731" w:name="_ETM_Q58_703120"/>
      <w:bookmarkEnd w:id="32731"/>
      <w:r>
        <w:rPr>
          <w:rFonts w:hint="cs"/>
          <w:rtl/>
        </w:rPr>
        <w:t xml:space="preserve">סיפור </w:t>
      </w:r>
      <w:bookmarkStart w:id="32732" w:name="_ETM_Q58_703510"/>
      <w:bookmarkEnd w:id="32732"/>
      <w:r>
        <w:rPr>
          <w:rFonts w:hint="cs"/>
          <w:rtl/>
        </w:rPr>
        <w:t xml:space="preserve">קשה </w:t>
      </w:r>
      <w:bookmarkStart w:id="32733" w:name="_ETM_Q58_704290"/>
      <w:bookmarkEnd w:id="32733"/>
      <w:r w:rsidR="004D5B6C">
        <w:rPr>
          <w:rFonts w:hint="eastAsia"/>
          <w:rtl/>
        </w:rPr>
        <w:t>–</w:t>
      </w:r>
      <w:r w:rsidR="004D5B6C">
        <w:rPr>
          <w:rFonts w:hint="cs"/>
          <w:rtl/>
        </w:rPr>
        <w:t xml:space="preserve"> </w:t>
      </w:r>
      <w:r>
        <w:rPr>
          <w:rFonts w:hint="cs"/>
          <w:rtl/>
        </w:rPr>
        <w:t xml:space="preserve">הסיפורים </w:t>
      </w:r>
      <w:bookmarkStart w:id="32734" w:name="_ETM_Q58_704830"/>
      <w:bookmarkEnd w:id="32734"/>
      <w:r>
        <w:rPr>
          <w:rFonts w:hint="cs"/>
          <w:rtl/>
        </w:rPr>
        <w:t xml:space="preserve">הבאים </w:t>
      </w:r>
      <w:bookmarkStart w:id="32735" w:name="_ETM_Q58_705190"/>
      <w:bookmarkEnd w:id="32735"/>
      <w:r>
        <w:rPr>
          <w:rFonts w:hint="cs"/>
          <w:rtl/>
        </w:rPr>
        <w:t xml:space="preserve">קשים </w:t>
      </w:r>
      <w:bookmarkStart w:id="32736" w:name="_ETM_Q58_706059"/>
      <w:bookmarkEnd w:id="32736"/>
      <w:r>
        <w:rPr>
          <w:rFonts w:hint="cs"/>
          <w:rtl/>
        </w:rPr>
        <w:t xml:space="preserve">ממנו. </w:t>
      </w:r>
      <w:bookmarkStart w:id="32737" w:name="_ETM_Q58_706840"/>
      <w:bookmarkEnd w:id="32737"/>
      <w:r>
        <w:rPr>
          <w:rFonts w:hint="cs"/>
          <w:rtl/>
        </w:rPr>
        <w:t xml:space="preserve">הם </w:t>
      </w:r>
      <w:bookmarkStart w:id="32738" w:name="_ETM_Q58_706960"/>
      <w:bookmarkEnd w:id="32738"/>
      <w:r>
        <w:rPr>
          <w:rFonts w:hint="cs"/>
          <w:rtl/>
        </w:rPr>
        <w:t xml:space="preserve">מתארים </w:t>
      </w:r>
      <w:bookmarkStart w:id="32739" w:name="_ETM_Q58_707770"/>
      <w:bookmarkEnd w:id="32739"/>
      <w:r>
        <w:rPr>
          <w:rFonts w:hint="cs"/>
          <w:rtl/>
        </w:rPr>
        <w:t xml:space="preserve">מציאות </w:t>
      </w:r>
      <w:bookmarkStart w:id="32740" w:name="_ETM_Q58_708670"/>
      <w:bookmarkEnd w:id="32740"/>
      <w:r>
        <w:rPr>
          <w:rFonts w:hint="cs"/>
          <w:rtl/>
        </w:rPr>
        <w:t>מחרידה</w:t>
      </w:r>
      <w:r w:rsidR="004D5B6C">
        <w:rPr>
          <w:rFonts w:hint="cs"/>
          <w:rtl/>
        </w:rPr>
        <w:t>,</w:t>
      </w:r>
      <w:r>
        <w:rPr>
          <w:rFonts w:hint="cs"/>
          <w:rtl/>
        </w:rPr>
        <w:t xml:space="preserve"> </w:t>
      </w:r>
      <w:bookmarkStart w:id="32741" w:name="_ETM_Q58_709270"/>
      <w:bookmarkEnd w:id="32741"/>
      <w:r>
        <w:rPr>
          <w:rFonts w:hint="cs"/>
          <w:rtl/>
        </w:rPr>
        <w:t xml:space="preserve">שנקרא </w:t>
      </w:r>
      <w:bookmarkStart w:id="32742" w:name="_ETM_Q58_709750"/>
      <w:bookmarkEnd w:id="32742"/>
      <w:r>
        <w:rPr>
          <w:rFonts w:hint="cs"/>
          <w:rtl/>
        </w:rPr>
        <w:t xml:space="preserve">אותה </w:t>
      </w:r>
      <w:bookmarkStart w:id="32743" w:name="_ETM_Q58_710290"/>
      <w:bookmarkStart w:id="32744" w:name="_ETM_Q58_710709"/>
      <w:bookmarkEnd w:id="32743"/>
      <w:bookmarkEnd w:id="32744"/>
      <w:r>
        <w:rPr>
          <w:rFonts w:hint="cs"/>
          <w:rtl/>
        </w:rPr>
        <w:t xml:space="preserve">עוד שלושה ימים </w:t>
      </w:r>
      <w:bookmarkStart w:id="32745" w:name="_ETM_Q58_710890"/>
      <w:bookmarkStart w:id="32746" w:name="_ETM_Q58_711309"/>
      <w:bookmarkStart w:id="32747" w:name="_ETM_Q58_711610"/>
      <w:bookmarkEnd w:id="32745"/>
      <w:bookmarkEnd w:id="32746"/>
      <w:bookmarkEnd w:id="32747"/>
      <w:r>
        <w:rPr>
          <w:rFonts w:hint="cs"/>
          <w:rtl/>
        </w:rPr>
        <w:t xml:space="preserve">במגילת </w:t>
      </w:r>
      <w:bookmarkStart w:id="32748" w:name="_ETM_Q58_712120"/>
      <w:bookmarkEnd w:id="32748"/>
      <w:r>
        <w:rPr>
          <w:rFonts w:hint="cs"/>
          <w:rtl/>
        </w:rPr>
        <w:t>איכה</w:t>
      </w:r>
      <w:bookmarkStart w:id="32749" w:name="_ETM_Q58_714364"/>
      <w:bookmarkEnd w:id="32749"/>
      <w:r>
        <w:rPr>
          <w:rFonts w:hint="cs"/>
          <w:rtl/>
        </w:rPr>
        <w:t xml:space="preserve">: ידי </w:t>
      </w:r>
      <w:bookmarkStart w:id="32750" w:name="_ETM_Q58_713220"/>
      <w:bookmarkStart w:id="32751" w:name="_ETM_Q58_713909"/>
      <w:bookmarkEnd w:id="32750"/>
      <w:bookmarkEnd w:id="32751"/>
      <w:r>
        <w:rPr>
          <w:rFonts w:hint="cs"/>
          <w:rtl/>
        </w:rPr>
        <w:t xml:space="preserve">נשים </w:t>
      </w:r>
      <w:bookmarkStart w:id="32752" w:name="_ETM_Q58_714330"/>
      <w:bookmarkEnd w:id="32752"/>
      <w:r>
        <w:rPr>
          <w:rFonts w:hint="cs"/>
          <w:rtl/>
        </w:rPr>
        <w:t xml:space="preserve">רחמניות </w:t>
      </w:r>
      <w:bookmarkStart w:id="32753" w:name="_ETM_Q58_715049"/>
      <w:bookmarkEnd w:id="32753"/>
      <w:r>
        <w:rPr>
          <w:rFonts w:hint="cs"/>
          <w:rtl/>
        </w:rPr>
        <w:t xml:space="preserve">בישלו </w:t>
      </w:r>
      <w:bookmarkStart w:id="32754" w:name="_ETM_Q58_716170"/>
      <w:bookmarkEnd w:id="32754"/>
      <w:r>
        <w:rPr>
          <w:rFonts w:hint="cs"/>
          <w:rtl/>
        </w:rPr>
        <w:t xml:space="preserve">ילדיהן </w:t>
      </w:r>
      <w:bookmarkStart w:id="32755" w:name="_ETM_Q58_717209"/>
      <w:bookmarkEnd w:id="32755"/>
      <w:r>
        <w:rPr>
          <w:rFonts w:hint="cs"/>
          <w:rtl/>
        </w:rPr>
        <w:t xml:space="preserve">– ככה </w:t>
      </w:r>
      <w:bookmarkStart w:id="32756" w:name="_ETM_Q58_717569"/>
      <w:bookmarkEnd w:id="32756"/>
      <w:r>
        <w:rPr>
          <w:rFonts w:hint="cs"/>
          <w:rtl/>
        </w:rPr>
        <w:t xml:space="preserve">מתאר </w:t>
      </w:r>
      <w:bookmarkStart w:id="32757" w:name="_ETM_Q58_718790"/>
      <w:bookmarkEnd w:id="32757"/>
      <w:r>
        <w:rPr>
          <w:rFonts w:hint="cs"/>
          <w:rtl/>
        </w:rPr>
        <w:t>בעל ה</w:t>
      </w:r>
      <w:bookmarkStart w:id="32758" w:name="_ETM_Q58_719000"/>
      <w:bookmarkEnd w:id="32758"/>
      <w:r>
        <w:rPr>
          <w:rFonts w:hint="cs"/>
          <w:rtl/>
        </w:rPr>
        <w:t xml:space="preserve">מגילה, </w:t>
      </w:r>
      <w:bookmarkStart w:id="32759" w:name="_ETM_Q58_719540"/>
      <w:bookmarkEnd w:id="32759"/>
      <w:r>
        <w:rPr>
          <w:rFonts w:hint="cs"/>
          <w:rtl/>
        </w:rPr>
        <w:t xml:space="preserve">כך </w:t>
      </w:r>
      <w:bookmarkStart w:id="32760" w:name="_ETM_Q58_719750"/>
      <w:bookmarkEnd w:id="32760"/>
      <w:r>
        <w:rPr>
          <w:rFonts w:hint="cs"/>
          <w:rtl/>
        </w:rPr>
        <w:t xml:space="preserve">מתארים </w:t>
      </w:r>
      <w:bookmarkStart w:id="32761" w:name="_ETM_Q58_720230"/>
      <w:bookmarkEnd w:id="32761"/>
      <w:r>
        <w:rPr>
          <w:rFonts w:hint="cs"/>
          <w:rtl/>
        </w:rPr>
        <w:t xml:space="preserve">חז"ל </w:t>
      </w:r>
      <w:bookmarkStart w:id="32762" w:name="_ETM_Q58_721420"/>
      <w:bookmarkStart w:id="32763" w:name="_ETM_Q58_721599"/>
      <w:bookmarkEnd w:id="32762"/>
      <w:bookmarkEnd w:id="32763"/>
      <w:r>
        <w:rPr>
          <w:rFonts w:hint="cs"/>
          <w:rtl/>
        </w:rPr>
        <w:t xml:space="preserve">קניבליזם </w:t>
      </w:r>
      <w:bookmarkStart w:id="32764" w:name="_ETM_Q58_722559"/>
      <w:bookmarkEnd w:id="32764"/>
      <w:r>
        <w:rPr>
          <w:rFonts w:hint="cs"/>
          <w:rtl/>
        </w:rPr>
        <w:t xml:space="preserve">בתוך </w:t>
      </w:r>
      <w:bookmarkStart w:id="32765" w:name="_ETM_Q58_722920"/>
      <w:bookmarkEnd w:id="32765"/>
      <w:r>
        <w:rPr>
          <w:rFonts w:hint="cs"/>
          <w:rtl/>
        </w:rPr>
        <w:t xml:space="preserve">המשפחה </w:t>
      </w:r>
      <w:bookmarkStart w:id="32766" w:name="_ETM_Q58_723910"/>
      <w:bookmarkEnd w:id="32766"/>
      <w:r>
        <w:rPr>
          <w:rFonts w:hint="cs"/>
          <w:rtl/>
        </w:rPr>
        <w:t xml:space="preserve">מרוב </w:t>
      </w:r>
      <w:bookmarkStart w:id="32767" w:name="_ETM_Q58_724270"/>
      <w:bookmarkEnd w:id="32767"/>
      <w:r>
        <w:rPr>
          <w:rFonts w:hint="cs"/>
          <w:rtl/>
        </w:rPr>
        <w:t xml:space="preserve">מצוקה </w:t>
      </w:r>
      <w:bookmarkStart w:id="32768" w:name="_ETM_Q58_725319"/>
      <w:bookmarkEnd w:id="32768"/>
      <w:r>
        <w:rPr>
          <w:rFonts w:hint="cs"/>
          <w:rtl/>
        </w:rPr>
        <w:t xml:space="preserve">בחורבן. </w:t>
      </w:r>
      <w:bookmarkStart w:id="32769" w:name="_ETM_Q58_727150"/>
      <w:bookmarkEnd w:id="32769"/>
    </w:p>
    <w:p w:rsidR="004D5B6C" w:rsidRDefault="004D5B6C" w:rsidP="004D5B6C">
      <w:pPr>
        <w:rPr>
          <w:rtl/>
        </w:rPr>
      </w:pPr>
    </w:p>
    <w:p w:rsidR="00BB59CD" w:rsidRDefault="00BB59CD" w:rsidP="004D5B6C">
      <w:r>
        <w:rPr>
          <w:rFonts w:hint="cs"/>
          <w:rtl/>
        </w:rPr>
        <w:t xml:space="preserve">אבל </w:t>
      </w:r>
      <w:bookmarkStart w:id="32770" w:name="_ETM_Q58_727420"/>
      <w:bookmarkEnd w:id="32770"/>
      <w:r>
        <w:rPr>
          <w:rFonts w:hint="cs"/>
          <w:rtl/>
        </w:rPr>
        <w:t xml:space="preserve">האמת </w:t>
      </w:r>
      <w:bookmarkStart w:id="32771" w:name="_ETM_Q58_727840"/>
      <w:bookmarkEnd w:id="32771"/>
      <w:r>
        <w:rPr>
          <w:rFonts w:hint="cs"/>
          <w:rtl/>
        </w:rPr>
        <w:t xml:space="preserve">היא </w:t>
      </w:r>
      <w:bookmarkStart w:id="32772" w:name="_ETM_Q58_728900"/>
      <w:bookmarkEnd w:id="32772"/>
      <w:r>
        <w:rPr>
          <w:rFonts w:hint="cs"/>
          <w:rtl/>
        </w:rPr>
        <w:t xml:space="preserve">שהאשמה </w:t>
      </w:r>
      <w:bookmarkStart w:id="32773" w:name="_ETM_Q58_730069"/>
      <w:bookmarkEnd w:id="32773"/>
      <w:r>
        <w:rPr>
          <w:rFonts w:hint="cs"/>
          <w:rtl/>
        </w:rPr>
        <w:t xml:space="preserve">והאחריות </w:t>
      </w:r>
      <w:bookmarkStart w:id="32774" w:name="_ETM_Q58_730819"/>
      <w:bookmarkEnd w:id="32774"/>
      <w:r>
        <w:rPr>
          <w:rFonts w:hint="cs"/>
          <w:rtl/>
        </w:rPr>
        <w:t xml:space="preserve">לא </w:t>
      </w:r>
      <w:bookmarkStart w:id="32775" w:name="_ETM_Q58_730970"/>
      <w:bookmarkEnd w:id="32775"/>
      <w:r>
        <w:rPr>
          <w:rFonts w:hint="cs"/>
          <w:rtl/>
        </w:rPr>
        <w:t xml:space="preserve">נגמרת </w:t>
      </w:r>
      <w:bookmarkStart w:id="32776" w:name="_ETM_Q58_732000"/>
      <w:bookmarkEnd w:id="32776"/>
      <w:r>
        <w:rPr>
          <w:rFonts w:hint="cs"/>
          <w:rtl/>
        </w:rPr>
        <w:t xml:space="preserve">לא </w:t>
      </w:r>
      <w:bookmarkStart w:id="32777" w:name="_ETM_Q58_732209"/>
      <w:bookmarkEnd w:id="32777"/>
      <w:r>
        <w:rPr>
          <w:rFonts w:hint="cs"/>
          <w:rtl/>
        </w:rPr>
        <w:t xml:space="preserve">בקמצא </w:t>
      </w:r>
      <w:bookmarkStart w:id="32778" w:name="_ETM_Q58_732840"/>
      <w:bookmarkEnd w:id="32778"/>
      <w:r>
        <w:rPr>
          <w:rFonts w:hint="cs"/>
          <w:rtl/>
        </w:rPr>
        <w:t xml:space="preserve">ולא </w:t>
      </w:r>
      <w:bookmarkStart w:id="32779" w:name="_ETM_Q58_733079"/>
      <w:bookmarkEnd w:id="32779"/>
      <w:r>
        <w:rPr>
          <w:rFonts w:hint="cs"/>
          <w:rtl/>
        </w:rPr>
        <w:t xml:space="preserve">בבר-קמצא, </w:t>
      </w:r>
      <w:bookmarkStart w:id="32780" w:name="_ETM_Q58_734220"/>
      <w:bookmarkEnd w:id="32780"/>
      <w:r>
        <w:rPr>
          <w:rFonts w:hint="cs"/>
          <w:rtl/>
        </w:rPr>
        <w:t xml:space="preserve">לא </w:t>
      </w:r>
      <w:bookmarkStart w:id="32781" w:name="_ETM_Q58_734400"/>
      <w:bookmarkEnd w:id="32781"/>
      <w:r>
        <w:rPr>
          <w:rFonts w:hint="cs"/>
          <w:rtl/>
        </w:rPr>
        <w:t xml:space="preserve">בבעל </w:t>
      </w:r>
      <w:bookmarkStart w:id="32782" w:name="_ETM_Q58_734819"/>
      <w:bookmarkEnd w:id="32782"/>
      <w:r>
        <w:rPr>
          <w:rFonts w:hint="cs"/>
          <w:rtl/>
        </w:rPr>
        <w:t xml:space="preserve">הסעודה, </w:t>
      </w:r>
      <w:bookmarkStart w:id="32783" w:name="_ETM_Q58_735299"/>
      <w:bookmarkEnd w:id="32783"/>
      <w:r>
        <w:rPr>
          <w:rFonts w:hint="cs"/>
          <w:rtl/>
        </w:rPr>
        <w:t xml:space="preserve">לא </w:t>
      </w:r>
      <w:bookmarkStart w:id="32784" w:name="_ETM_Q58_735420"/>
      <w:bookmarkEnd w:id="32784"/>
      <w:r>
        <w:rPr>
          <w:rFonts w:hint="cs"/>
          <w:rtl/>
        </w:rPr>
        <w:t xml:space="preserve">בחכמים, </w:t>
      </w:r>
      <w:bookmarkStart w:id="32785" w:name="_ETM_Q58_736380"/>
      <w:bookmarkEnd w:id="32785"/>
      <w:r>
        <w:rPr>
          <w:rFonts w:hint="cs"/>
          <w:rtl/>
        </w:rPr>
        <w:t xml:space="preserve">גם </w:t>
      </w:r>
      <w:bookmarkStart w:id="32786" w:name="_ETM_Q58_736620"/>
      <w:bookmarkEnd w:id="32786"/>
      <w:r>
        <w:rPr>
          <w:rFonts w:hint="cs"/>
          <w:rtl/>
        </w:rPr>
        <w:t xml:space="preserve">לא </w:t>
      </w:r>
      <w:bookmarkStart w:id="32787" w:name="_ETM_Q58_737340"/>
      <w:bookmarkEnd w:id="32787"/>
      <w:r>
        <w:rPr>
          <w:rFonts w:hint="cs"/>
          <w:rtl/>
        </w:rPr>
        <w:t xml:space="preserve">בזכריה בן אבקולס. </w:t>
      </w:r>
      <w:bookmarkStart w:id="32788" w:name="_ETM_Q58_737790"/>
      <w:bookmarkStart w:id="32789" w:name="_ETM_Q58_738059"/>
      <w:bookmarkStart w:id="32790" w:name="_ETM_Q58_740330"/>
      <w:bookmarkEnd w:id="32788"/>
      <w:bookmarkEnd w:id="32789"/>
      <w:bookmarkEnd w:id="32790"/>
      <w:r>
        <w:rPr>
          <w:rFonts w:hint="cs"/>
          <w:rtl/>
        </w:rPr>
        <w:t xml:space="preserve">המצור </w:t>
      </w:r>
      <w:bookmarkStart w:id="32791" w:name="_ETM_Q58_740780"/>
      <w:bookmarkEnd w:id="32791"/>
      <w:r>
        <w:rPr>
          <w:rFonts w:hint="cs"/>
          <w:rtl/>
        </w:rPr>
        <w:t xml:space="preserve">מתחיל, </w:t>
      </w:r>
      <w:bookmarkStart w:id="32792" w:name="_ETM_Q58_741889"/>
      <w:bookmarkEnd w:id="32792"/>
      <w:r>
        <w:rPr>
          <w:rFonts w:hint="cs"/>
          <w:rtl/>
        </w:rPr>
        <w:t xml:space="preserve">הרומאים </w:t>
      </w:r>
      <w:bookmarkStart w:id="32793" w:name="_ETM_Q58_742400"/>
      <w:bookmarkEnd w:id="32793"/>
      <w:r>
        <w:rPr>
          <w:rFonts w:hint="cs"/>
          <w:rtl/>
        </w:rPr>
        <w:t xml:space="preserve">יוצאים </w:t>
      </w:r>
      <w:bookmarkStart w:id="32794" w:name="_ETM_Q58_742669"/>
      <w:bookmarkEnd w:id="32794"/>
      <w:r>
        <w:rPr>
          <w:rFonts w:hint="cs"/>
          <w:rtl/>
        </w:rPr>
        <w:t xml:space="preserve">למצור </w:t>
      </w:r>
      <w:bookmarkStart w:id="32795" w:name="_ETM_Q58_743090"/>
      <w:bookmarkEnd w:id="32795"/>
      <w:r>
        <w:rPr>
          <w:rFonts w:hint="cs"/>
          <w:rtl/>
        </w:rPr>
        <w:t xml:space="preserve">על </w:t>
      </w:r>
      <w:bookmarkStart w:id="32796" w:name="_ETM_Q58_743179"/>
      <w:bookmarkEnd w:id="32796"/>
      <w:r>
        <w:rPr>
          <w:rFonts w:hint="cs"/>
          <w:rtl/>
        </w:rPr>
        <w:t xml:space="preserve">ירושלים, </w:t>
      </w:r>
      <w:bookmarkStart w:id="32797" w:name="_ETM_Q58_745260"/>
      <w:bookmarkEnd w:id="32797"/>
      <w:r>
        <w:rPr>
          <w:rFonts w:hint="cs"/>
          <w:rtl/>
        </w:rPr>
        <w:t xml:space="preserve">וירושלים </w:t>
      </w:r>
      <w:bookmarkStart w:id="32798" w:name="_ETM_Q58_746900"/>
      <w:bookmarkEnd w:id="32798"/>
      <w:r>
        <w:rPr>
          <w:rFonts w:hint="cs"/>
          <w:rtl/>
        </w:rPr>
        <w:t xml:space="preserve">עיר </w:t>
      </w:r>
      <w:bookmarkStart w:id="32799" w:name="_ETM_Q58_747110"/>
      <w:bookmarkEnd w:id="32799"/>
      <w:r>
        <w:rPr>
          <w:rFonts w:hint="cs"/>
          <w:rtl/>
        </w:rPr>
        <w:t xml:space="preserve">חזקה </w:t>
      </w:r>
      <w:bookmarkStart w:id="32800" w:name="_ETM_Q58_747620"/>
      <w:bookmarkEnd w:id="32800"/>
      <w:r>
        <w:rPr>
          <w:rFonts w:hint="cs"/>
          <w:rtl/>
        </w:rPr>
        <w:t xml:space="preserve">ומבוצרת, </w:t>
      </w:r>
      <w:bookmarkStart w:id="32801" w:name="_ETM_Q58_748550"/>
      <w:bookmarkEnd w:id="32801"/>
      <w:r>
        <w:rPr>
          <w:rFonts w:hint="cs"/>
          <w:rtl/>
        </w:rPr>
        <w:t xml:space="preserve">יש </w:t>
      </w:r>
      <w:bookmarkStart w:id="32802" w:name="_ETM_Q58_748729"/>
      <w:bookmarkEnd w:id="32802"/>
      <w:r>
        <w:rPr>
          <w:rFonts w:hint="cs"/>
          <w:rtl/>
        </w:rPr>
        <w:t xml:space="preserve">בה מחסנים. </w:t>
      </w:r>
      <w:bookmarkStart w:id="32803" w:name="_ETM_Q58_750500"/>
      <w:bookmarkEnd w:id="32803"/>
      <w:r>
        <w:rPr>
          <w:rFonts w:hint="cs"/>
          <w:rtl/>
        </w:rPr>
        <w:t xml:space="preserve">לכמה </w:t>
      </w:r>
      <w:bookmarkStart w:id="32804" w:name="_ETM_Q58_750950"/>
      <w:bookmarkEnd w:id="32804"/>
      <w:r>
        <w:rPr>
          <w:rFonts w:hint="cs"/>
          <w:rtl/>
        </w:rPr>
        <w:t xml:space="preserve">זמן </w:t>
      </w:r>
      <w:bookmarkStart w:id="32805" w:name="_ETM_Q58_751280"/>
      <w:bookmarkEnd w:id="32805"/>
      <w:r>
        <w:rPr>
          <w:rFonts w:hint="cs"/>
          <w:rtl/>
        </w:rPr>
        <w:t xml:space="preserve">הם </w:t>
      </w:r>
      <w:bookmarkStart w:id="32806" w:name="_ETM_Q58_751730"/>
      <w:bookmarkEnd w:id="32806"/>
      <w:r>
        <w:rPr>
          <w:rFonts w:hint="cs"/>
          <w:rtl/>
        </w:rPr>
        <w:t xml:space="preserve">יספיקו? </w:t>
      </w:r>
      <w:bookmarkStart w:id="32807" w:name="_ETM_Q58_752870"/>
      <w:bookmarkEnd w:id="32807"/>
      <w:r>
        <w:rPr>
          <w:rFonts w:hint="cs"/>
          <w:rtl/>
        </w:rPr>
        <w:t xml:space="preserve">היום </w:t>
      </w:r>
      <w:bookmarkStart w:id="32808" w:name="_ETM_Q58_753110"/>
      <w:bookmarkEnd w:id="32808"/>
      <w:r>
        <w:rPr>
          <w:rFonts w:hint="cs"/>
          <w:rtl/>
        </w:rPr>
        <w:t xml:space="preserve">אנחנו </w:t>
      </w:r>
      <w:bookmarkStart w:id="32809" w:name="_ETM_Q58_753350"/>
      <w:bookmarkEnd w:id="32809"/>
      <w:r>
        <w:rPr>
          <w:rFonts w:hint="cs"/>
          <w:rtl/>
        </w:rPr>
        <w:t xml:space="preserve">יודעים </w:t>
      </w:r>
      <w:bookmarkStart w:id="32810" w:name="_ETM_Q58_753590"/>
      <w:bookmarkEnd w:id="32810"/>
      <w:r>
        <w:rPr>
          <w:rFonts w:hint="cs"/>
          <w:rtl/>
        </w:rPr>
        <w:t xml:space="preserve">לפי </w:t>
      </w:r>
      <w:bookmarkStart w:id="32811" w:name="_ETM_Q58_753830"/>
      <w:bookmarkEnd w:id="32811"/>
      <w:r>
        <w:rPr>
          <w:rFonts w:hint="cs"/>
          <w:rtl/>
        </w:rPr>
        <w:t xml:space="preserve">המטבעות </w:t>
      </w:r>
      <w:bookmarkStart w:id="32812" w:name="_ETM_Q58_754340"/>
      <w:bookmarkEnd w:id="32812"/>
      <w:r>
        <w:rPr>
          <w:rFonts w:hint="cs"/>
          <w:rtl/>
        </w:rPr>
        <w:t xml:space="preserve">מימי </w:t>
      </w:r>
      <w:bookmarkStart w:id="32813" w:name="_ETM_Q58_754610"/>
      <w:bookmarkEnd w:id="32813"/>
      <w:r>
        <w:rPr>
          <w:rFonts w:hint="cs"/>
          <w:rtl/>
        </w:rPr>
        <w:t xml:space="preserve">הבית </w:t>
      </w:r>
      <w:bookmarkStart w:id="32814" w:name="_ETM_Q58_754970"/>
      <w:bookmarkEnd w:id="32814"/>
      <w:r>
        <w:rPr>
          <w:rFonts w:hint="cs"/>
          <w:rtl/>
        </w:rPr>
        <w:t xml:space="preserve">השני </w:t>
      </w:r>
      <w:bookmarkStart w:id="32815" w:name="_ETM_Q58_755850"/>
      <w:bookmarkEnd w:id="32815"/>
      <w:r>
        <w:rPr>
          <w:rFonts w:hint="cs"/>
          <w:rtl/>
        </w:rPr>
        <w:t xml:space="preserve">שהם </w:t>
      </w:r>
      <w:bookmarkStart w:id="32816" w:name="_ETM_Q58_756420"/>
      <w:bookmarkStart w:id="32817" w:name="_ETM_Q58_756600"/>
      <w:bookmarkEnd w:id="32816"/>
      <w:bookmarkEnd w:id="32817"/>
      <w:r>
        <w:rPr>
          <w:rFonts w:hint="cs"/>
          <w:rtl/>
        </w:rPr>
        <w:t xml:space="preserve">שרדו כשלוש </w:t>
      </w:r>
      <w:bookmarkStart w:id="32818" w:name="_ETM_Q58_758998"/>
      <w:bookmarkEnd w:id="32818"/>
      <w:r>
        <w:rPr>
          <w:rFonts w:hint="cs"/>
          <w:rtl/>
        </w:rPr>
        <w:t xml:space="preserve">ומשהו שנים, כלומר </w:t>
      </w:r>
      <w:bookmarkStart w:id="32819" w:name="_ETM_Q58_757110"/>
      <w:bookmarkStart w:id="32820" w:name="_ETM_Q58_757679"/>
      <w:bookmarkStart w:id="32821" w:name="_ETM_Q58_758100"/>
      <w:bookmarkStart w:id="32822" w:name="_ETM_Q58_758910"/>
      <w:bookmarkStart w:id="32823" w:name="_ETM_Q58_760330"/>
      <w:bookmarkEnd w:id="32819"/>
      <w:bookmarkEnd w:id="32820"/>
      <w:bookmarkEnd w:id="32821"/>
      <w:bookmarkEnd w:id="32822"/>
      <w:bookmarkEnd w:id="32823"/>
      <w:r>
        <w:rPr>
          <w:rFonts w:hint="cs"/>
          <w:rtl/>
        </w:rPr>
        <w:t xml:space="preserve">ירושלים </w:t>
      </w:r>
      <w:bookmarkStart w:id="32824" w:name="_ETM_Q58_760900"/>
      <w:bookmarkEnd w:id="32824"/>
      <w:r>
        <w:rPr>
          <w:rFonts w:hint="cs"/>
          <w:rtl/>
        </w:rPr>
        <w:t xml:space="preserve">שרדה במצור כשלוש שנים. </w:t>
      </w:r>
      <w:bookmarkStart w:id="32825" w:name="_ETM_Q58_765214"/>
      <w:bookmarkStart w:id="32826" w:name="_ETM_Q58_765313"/>
      <w:bookmarkStart w:id="32827" w:name="TOR_Q59"/>
      <w:bookmarkStart w:id="32828" w:name="_ETM_Q59_180000"/>
      <w:bookmarkEnd w:id="32825"/>
      <w:bookmarkEnd w:id="32826"/>
      <w:bookmarkEnd w:id="32827"/>
      <w:bookmarkEnd w:id="32828"/>
      <w:r>
        <w:rPr>
          <w:rFonts w:hint="cs"/>
          <w:rtl/>
        </w:rPr>
        <w:t xml:space="preserve">אבל הגמרא מספרת שבעיר ירושלים היו שלושה עשירים; גם </w:t>
      </w:r>
      <w:bookmarkStart w:id="32829" w:name="_ETM_Q59_165180"/>
      <w:bookmarkEnd w:id="32829"/>
      <w:r>
        <w:rPr>
          <w:rFonts w:hint="cs"/>
          <w:rtl/>
        </w:rPr>
        <w:t>אצלם היו אליטות, גם אצלם היו בעלי ממון, ובעלי הממון החזיקו אספקה – תחזיקו חזק – ל-21 שנים. ירושלים י</w:t>
      </w:r>
      <w:bookmarkStart w:id="32830" w:name="_ETM_Q59_180032"/>
      <w:bookmarkEnd w:id="32830"/>
      <w:r>
        <w:rPr>
          <w:rFonts w:hint="cs"/>
          <w:rtl/>
        </w:rPr>
        <w:t xml:space="preserve">כלה לעמוד במצור </w:t>
      </w:r>
      <w:bookmarkStart w:id="32831" w:name="_ETM_Q59_128575"/>
      <w:bookmarkStart w:id="32832" w:name="_ETM_Q59_128748"/>
      <w:bookmarkStart w:id="32833" w:name="_ETM_Q59_180989"/>
      <w:bookmarkEnd w:id="32831"/>
      <w:bookmarkEnd w:id="32832"/>
      <w:bookmarkEnd w:id="32833"/>
      <w:r>
        <w:rPr>
          <w:rFonts w:hint="cs"/>
          <w:rtl/>
        </w:rPr>
        <w:t xml:space="preserve">ולא </w:t>
      </w:r>
      <w:bookmarkStart w:id="32834" w:name="_ETM_Q59_181319"/>
      <w:bookmarkEnd w:id="32834"/>
      <w:r>
        <w:rPr>
          <w:rFonts w:hint="cs"/>
          <w:rtl/>
        </w:rPr>
        <w:t xml:space="preserve">לרעוב </w:t>
      </w:r>
      <w:bookmarkStart w:id="32835" w:name="_ETM_Q59_181829"/>
      <w:bookmarkEnd w:id="32835"/>
      <w:r>
        <w:rPr>
          <w:rFonts w:hint="cs"/>
          <w:rtl/>
        </w:rPr>
        <w:t xml:space="preserve">21 </w:t>
      </w:r>
      <w:bookmarkStart w:id="32836" w:name="_ETM_Q59_182699"/>
      <w:bookmarkEnd w:id="32836"/>
      <w:r>
        <w:rPr>
          <w:rFonts w:hint="cs"/>
          <w:rtl/>
        </w:rPr>
        <w:t xml:space="preserve">שנים. </w:t>
      </w:r>
      <w:bookmarkStart w:id="32837" w:name="_ETM_Q59_184009"/>
      <w:bookmarkEnd w:id="32837"/>
      <w:r>
        <w:rPr>
          <w:rFonts w:hint="cs"/>
          <w:rtl/>
        </w:rPr>
        <w:t xml:space="preserve">אבל </w:t>
      </w:r>
      <w:bookmarkStart w:id="32838" w:name="_ETM_Q59_184250"/>
      <w:bookmarkEnd w:id="32838"/>
      <w:r>
        <w:rPr>
          <w:rFonts w:hint="cs"/>
          <w:rtl/>
        </w:rPr>
        <w:t xml:space="preserve">אז </w:t>
      </w:r>
      <w:bookmarkStart w:id="32839" w:name="_ETM_Q59_184490"/>
      <w:bookmarkEnd w:id="32839"/>
      <w:r>
        <w:rPr>
          <w:rFonts w:hint="cs"/>
          <w:rtl/>
        </w:rPr>
        <w:t xml:space="preserve">הגיעו </w:t>
      </w:r>
      <w:bookmarkStart w:id="32840" w:name="_ETM_Q59_184790"/>
      <w:bookmarkEnd w:id="32840"/>
      <w:r>
        <w:rPr>
          <w:rFonts w:hint="cs"/>
          <w:rtl/>
        </w:rPr>
        <w:t xml:space="preserve">הבריונים, </w:t>
      </w:r>
      <w:bookmarkStart w:id="32841" w:name="_ETM_Q59_186620"/>
      <w:bookmarkEnd w:id="32841"/>
      <w:r>
        <w:rPr>
          <w:rFonts w:hint="cs"/>
          <w:rtl/>
        </w:rPr>
        <w:t xml:space="preserve">מה </w:t>
      </w:r>
      <w:bookmarkStart w:id="32842" w:name="_ETM_Q59_186799"/>
      <w:bookmarkEnd w:id="32842"/>
      <w:r>
        <w:rPr>
          <w:rFonts w:hint="cs"/>
          <w:rtl/>
        </w:rPr>
        <w:t xml:space="preserve">שמכונה </w:t>
      </w:r>
      <w:bookmarkStart w:id="32843" w:name="_ETM_Q59_187339"/>
      <w:bookmarkEnd w:id="32843"/>
      <w:r>
        <w:rPr>
          <w:rFonts w:hint="cs"/>
          <w:rtl/>
        </w:rPr>
        <w:t xml:space="preserve">"שורפי </w:t>
      </w:r>
      <w:bookmarkStart w:id="32844" w:name="_ETM_Q59_187999"/>
      <w:bookmarkEnd w:id="32844"/>
      <w:r>
        <w:rPr>
          <w:rFonts w:hint="cs"/>
          <w:rtl/>
        </w:rPr>
        <w:t xml:space="preserve">האסמים" </w:t>
      </w:r>
      <w:bookmarkStart w:id="32845" w:name="_ETM_Q59_188990"/>
      <w:bookmarkEnd w:id="32845"/>
      <w:r>
        <w:rPr>
          <w:rFonts w:hint="cs"/>
          <w:rtl/>
        </w:rPr>
        <w:t xml:space="preserve">– משם </w:t>
      </w:r>
      <w:bookmarkStart w:id="32846" w:name="_ETM_Q59_189500"/>
      <w:bookmarkEnd w:id="32846"/>
      <w:r>
        <w:rPr>
          <w:rFonts w:hint="cs"/>
          <w:rtl/>
        </w:rPr>
        <w:t xml:space="preserve">מגיע </w:t>
      </w:r>
      <w:bookmarkStart w:id="32847" w:name="_ETM_Q59_189769"/>
      <w:bookmarkEnd w:id="32847"/>
      <w:r>
        <w:rPr>
          <w:rFonts w:hint="cs"/>
          <w:rtl/>
        </w:rPr>
        <w:t xml:space="preserve">הביטוי </w:t>
      </w:r>
      <w:bookmarkStart w:id="32848" w:name="_ETM_Q59_190929"/>
      <w:bookmarkEnd w:id="32848"/>
      <w:r>
        <w:rPr>
          <w:rFonts w:hint="cs"/>
          <w:rtl/>
        </w:rPr>
        <w:t xml:space="preserve">– אלה </w:t>
      </w:r>
      <w:bookmarkStart w:id="32849" w:name="_ETM_Q59_191169"/>
      <w:bookmarkEnd w:id="32849"/>
      <w:r>
        <w:rPr>
          <w:rFonts w:hint="cs"/>
          <w:rtl/>
        </w:rPr>
        <w:t xml:space="preserve">שכל </w:t>
      </w:r>
      <w:bookmarkStart w:id="32850" w:name="_ETM_Q59_191589"/>
      <w:bookmarkEnd w:id="32850"/>
      <w:r>
        <w:rPr>
          <w:rFonts w:hint="cs"/>
          <w:rtl/>
        </w:rPr>
        <w:t xml:space="preserve">האמת </w:t>
      </w:r>
      <w:bookmarkStart w:id="32851" w:name="_ETM_Q59_191919"/>
      <w:bookmarkEnd w:id="32851"/>
      <w:r>
        <w:rPr>
          <w:rFonts w:hint="cs"/>
          <w:rtl/>
        </w:rPr>
        <w:t xml:space="preserve">אצלם. </w:t>
      </w:r>
      <w:bookmarkStart w:id="32852" w:name="_ETM_Q59_193210"/>
      <w:bookmarkEnd w:id="32852"/>
      <w:r>
        <w:rPr>
          <w:rFonts w:hint="cs"/>
          <w:rtl/>
        </w:rPr>
        <w:t xml:space="preserve">הם </w:t>
      </w:r>
      <w:bookmarkStart w:id="32853" w:name="_ETM_Q59_193360"/>
      <w:bookmarkEnd w:id="32853"/>
      <w:r>
        <w:rPr>
          <w:rFonts w:hint="cs"/>
          <w:rtl/>
        </w:rPr>
        <w:t xml:space="preserve">לא </w:t>
      </w:r>
      <w:bookmarkStart w:id="32854" w:name="_ETM_Q59_193450"/>
      <w:bookmarkEnd w:id="32854"/>
      <w:r>
        <w:rPr>
          <w:rFonts w:hint="cs"/>
          <w:rtl/>
        </w:rPr>
        <w:t xml:space="preserve">היו </w:t>
      </w:r>
      <w:bookmarkStart w:id="32855" w:name="_ETM_Q59_193630"/>
      <w:bookmarkEnd w:id="32855"/>
      <w:r>
        <w:rPr>
          <w:rFonts w:hint="cs"/>
          <w:rtl/>
        </w:rPr>
        <w:t xml:space="preserve">מוכנים </w:t>
      </w:r>
      <w:bookmarkStart w:id="32856" w:name="_ETM_Q59_195280"/>
      <w:bookmarkEnd w:id="32856"/>
      <w:r>
        <w:rPr>
          <w:rFonts w:hint="cs"/>
          <w:rtl/>
        </w:rPr>
        <w:t>שלעשירים</w:t>
      </w:r>
      <w:bookmarkStart w:id="32857" w:name="_ETM_Q59_195760"/>
      <w:bookmarkEnd w:id="32857"/>
      <w:r>
        <w:rPr>
          <w:rFonts w:hint="cs"/>
          <w:rtl/>
        </w:rPr>
        <w:t xml:space="preserve"> </w:t>
      </w:r>
      <w:bookmarkStart w:id="32858" w:name="_ETM_Q59_196180"/>
      <w:bookmarkEnd w:id="32858"/>
      <w:r>
        <w:rPr>
          <w:rFonts w:hint="cs"/>
          <w:rtl/>
        </w:rPr>
        <w:t xml:space="preserve">יהיה </w:t>
      </w:r>
      <w:bookmarkStart w:id="32859" w:name="_ETM_Q59_196539"/>
      <w:bookmarkEnd w:id="32859"/>
      <w:r>
        <w:rPr>
          <w:rFonts w:hint="cs"/>
          <w:rtl/>
        </w:rPr>
        <w:t xml:space="preserve">ולאחרים </w:t>
      </w:r>
      <w:bookmarkStart w:id="32860" w:name="_ETM_Q59_197170"/>
      <w:bookmarkEnd w:id="32860"/>
      <w:r>
        <w:rPr>
          <w:rFonts w:hint="cs"/>
          <w:rtl/>
        </w:rPr>
        <w:t xml:space="preserve">לא </w:t>
      </w:r>
      <w:bookmarkStart w:id="32861" w:name="_ETM_Q59_197380"/>
      <w:bookmarkEnd w:id="32861"/>
      <w:r>
        <w:rPr>
          <w:rFonts w:hint="cs"/>
          <w:rtl/>
        </w:rPr>
        <w:t xml:space="preserve">יהיה. </w:t>
      </w:r>
      <w:bookmarkStart w:id="32862" w:name="_ETM_Q59_198070"/>
      <w:bookmarkEnd w:id="32862"/>
      <w:r>
        <w:rPr>
          <w:rFonts w:hint="cs"/>
          <w:rtl/>
        </w:rPr>
        <w:t xml:space="preserve">הם </w:t>
      </w:r>
      <w:bookmarkStart w:id="32863" w:name="_ETM_Q59_198220"/>
      <w:bookmarkEnd w:id="32863"/>
      <w:r>
        <w:rPr>
          <w:rFonts w:hint="cs"/>
          <w:rtl/>
        </w:rPr>
        <w:t xml:space="preserve">לא </w:t>
      </w:r>
      <w:bookmarkStart w:id="32864" w:name="_ETM_Q59_198310"/>
      <w:bookmarkEnd w:id="32864"/>
      <w:r>
        <w:rPr>
          <w:rFonts w:hint="cs"/>
          <w:rtl/>
        </w:rPr>
        <w:t xml:space="preserve">היו </w:t>
      </w:r>
      <w:bookmarkStart w:id="32865" w:name="_ETM_Q59_198430"/>
      <w:bookmarkEnd w:id="32865"/>
      <w:r>
        <w:rPr>
          <w:rFonts w:hint="cs"/>
          <w:rtl/>
        </w:rPr>
        <w:t xml:space="preserve">מוכנים </w:t>
      </w:r>
      <w:bookmarkStart w:id="32866" w:name="_ETM_Q59_198880"/>
      <w:bookmarkEnd w:id="32866"/>
      <w:r>
        <w:rPr>
          <w:rFonts w:hint="cs"/>
          <w:rtl/>
        </w:rPr>
        <w:t xml:space="preserve">שהם </w:t>
      </w:r>
      <w:bookmarkStart w:id="32867" w:name="_ETM_Q59_199119"/>
      <w:bookmarkEnd w:id="32867"/>
      <w:r>
        <w:rPr>
          <w:rFonts w:hint="cs"/>
          <w:rtl/>
        </w:rPr>
        <w:t xml:space="preserve">לא </w:t>
      </w:r>
      <w:bookmarkStart w:id="32868" w:name="_ETM_Q59_199210"/>
      <w:bookmarkEnd w:id="32868"/>
      <w:r>
        <w:rPr>
          <w:rFonts w:hint="cs"/>
          <w:rtl/>
        </w:rPr>
        <w:t xml:space="preserve">ישלטו </w:t>
      </w:r>
      <w:bookmarkStart w:id="32869" w:name="_ETM_Q59_199720"/>
      <w:bookmarkEnd w:id="32869"/>
      <w:r>
        <w:rPr>
          <w:rFonts w:hint="cs"/>
          <w:rtl/>
        </w:rPr>
        <w:t xml:space="preserve">בעיר. </w:t>
      </w:r>
      <w:bookmarkStart w:id="32870" w:name="_ETM_Q59_200829"/>
      <w:bookmarkEnd w:id="32870"/>
      <w:r>
        <w:rPr>
          <w:rFonts w:hint="cs"/>
          <w:rtl/>
        </w:rPr>
        <w:t xml:space="preserve">אולי </w:t>
      </w:r>
      <w:bookmarkStart w:id="32871" w:name="_ETM_Q59_201250"/>
      <w:bookmarkEnd w:id="32871"/>
      <w:r>
        <w:rPr>
          <w:rFonts w:hint="cs"/>
          <w:rtl/>
        </w:rPr>
        <w:t xml:space="preserve">הם </w:t>
      </w:r>
      <w:bookmarkStart w:id="32872" w:name="_ETM_Q59_201310"/>
      <w:bookmarkEnd w:id="32872"/>
      <w:r>
        <w:rPr>
          <w:rFonts w:hint="cs"/>
          <w:rtl/>
        </w:rPr>
        <w:t xml:space="preserve">חשבו </w:t>
      </w:r>
      <w:bookmarkStart w:id="32873" w:name="_ETM_Q59_201670"/>
      <w:bookmarkEnd w:id="32873"/>
      <w:r>
        <w:rPr>
          <w:rFonts w:hint="cs"/>
          <w:rtl/>
        </w:rPr>
        <w:t xml:space="preserve">שהם </w:t>
      </w:r>
      <w:bookmarkStart w:id="32874" w:name="_ETM_Q59_201880"/>
      <w:bookmarkEnd w:id="32874"/>
      <w:r>
        <w:rPr>
          <w:rFonts w:hint="cs"/>
          <w:rtl/>
        </w:rPr>
        <w:t>מוסרים מסר</w:t>
      </w:r>
      <w:bookmarkStart w:id="32875" w:name="_ETM_Q59_202300"/>
      <w:bookmarkEnd w:id="32875"/>
      <w:r>
        <w:rPr>
          <w:rFonts w:hint="cs"/>
          <w:rtl/>
        </w:rPr>
        <w:t xml:space="preserve"> </w:t>
      </w:r>
      <w:bookmarkStart w:id="32876" w:name="_ETM_Q59_203420"/>
      <w:bookmarkEnd w:id="32876"/>
      <w:r>
        <w:rPr>
          <w:rFonts w:hint="cs"/>
          <w:rtl/>
        </w:rPr>
        <w:t xml:space="preserve">לרומאים: </w:t>
      </w:r>
      <w:bookmarkStart w:id="32877" w:name="_ETM_Q59_204200"/>
      <w:bookmarkEnd w:id="32877"/>
      <w:r>
        <w:rPr>
          <w:rFonts w:hint="cs"/>
          <w:rtl/>
        </w:rPr>
        <w:t xml:space="preserve">הינה, </w:t>
      </w:r>
      <w:bookmarkStart w:id="32878" w:name="_ETM_Q59_204470"/>
      <w:bookmarkEnd w:id="32878"/>
      <w:r>
        <w:rPr>
          <w:rFonts w:hint="cs"/>
          <w:rtl/>
        </w:rPr>
        <w:t xml:space="preserve">אנחנו </w:t>
      </w:r>
      <w:bookmarkStart w:id="32879" w:name="_ETM_Q59_204739"/>
      <w:bookmarkEnd w:id="32879"/>
      <w:r>
        <w:rPr>
          <w:rFonts w:hint="cs"/>
          <w:rtl/>
        </w:rPr>
        <w:t xml:space="preserve">לא </w:t>
      </w:r>
      <w:bookmarkStart w:id="32880" w:name="_ETM_Q59_204920"/>
      <w:bookmarkEnd w:id="32880"/>
      <w:r>
        <w:rPr>
          <w:rFonts w:hint="cs"/>
          <w:rtl/>
        </w:rPr>
        <w:t xml:space="preserve">סומכים </w:t>
      </w:r>
      <w:bookmarkStart w:id="32881" w:name="_ETM_Q59_205520"/>
      <w:bookmarkEnd w:id="32881"/>
      <w:r>
        <w:rPr>
          <w:rFonts w:hint="cs"/>
          <w:rtl/>
        </w:rPr>
        <w:t xml:space="preserve">על </w:t>
      </w:r>
      <w:bookmarkStart w:id="32882" w:name="_ETM_Q59_205640"/>
      <w:bookmarkEnd w:id="32882"/>
      <w:r>
        <w:rPr>
          <w:rFonts w:hint="cs"/>
          <w:rtl/>
        </w:rPr>
        <w:t xml:space="preserve">האוכל </w:t>
      </w:r>
      <w:bookmarkStart w:id="32883" w:name="_ETM_Q59_206450"/>
      <w:bookmarkEnd w:id="32883"/>
      <w:r>
        <w:rPr>
          <w:rFonts w:hint="cs"/>
          <w:rtl/>
        </w:rPr>
        <w:t xml:space="preserve">שלנו, </w:t>
      </w:r>
      <w:bookmarkStart w:id="32884" w:name="_ETM_Q59_207230"/>
      <w:bookmarkEnd w:id="32884"/>
      <w:r>
        <w:rPr>
          <w:rFonts w:hint="cs"/>
          <w:rtl/>
        </w:rPr>
        <w:t xml:space="preserve">אנחנו </w:t>
      </w:r>
      <w:bookmarkStart w:id="32885" w:name="_ETM_Q59_207650"/>
      <w:bookmarkEnd w:id="32885"/>
      <w:r>
        <w:rPr>
          <w:rFonts w:hint="cs"/>
          <w:rtl/>
        </w:rPr>
        <w:t xml:space="preserve">נדע </w:t>
      </w:r>
      <w:bookmarkStart w:id="32886" w:name="_ETM_Q59_208010"/>
      <w:bookmarkEnd w:id="32886"/>
      <w:r>
        <w:rPr>
          <w:rFonts w:hint="cs"/>
          <w:rtl/>
        </w:rPr>
        <w:t xml:space="preserve">להילחם </w:t>
      </w:r>
      <w:bookmarkStart w:id="32887" w:name="_ETM_Q59_208520"/>
      <w:bookmarkEnd w:id="32887"/>
      <w:r>
        <w:rPr>
          <w:rFonts w:hint="cs"/>
          <w:rtl/>
        </w:rPr>
        <w:t xml:space="preserve">גם </w:t>
      </w:r>
      <w:bookmarkStart w:id="32888" w:name="_ETM_Q59_208700"/>
      <w:bookmarkEnd w:id="32888"/>
      <w:r>
        <w:rPr>
          <w:rFonts w:hint="cs"/>
          <w:rtl/>
        </w:rPr>
        <w:t xml:space="preserve">בלי </w:t>
      </w:r>
      <w:bookmarkStart w:id="32889" w:name="_ETM_Q59_208970"/>
      <w:bookmarkEnd w:id="32889"/>
      <w:r>
        <w:rPr>
          <w:rFonts w:hint="cs"/>
          <w:rtl/>
        </w:rPr>
        <w:t xml:space="preserve">זה, </w:t>
      </w:r>
      <w:bookmarkStart w:id="32890" w:name="_ETM_Q59_209480"/>
      <w:bookmarkEnd w:id="32890"/>
      <w:r>
        <w:rPr>
          <w:rFonts w:hint="cs"/>
          <w:rtl/>
        </w:rPr>
        <w:t xml:space="preserve">כך </w:t>
      </w:r>
      <w:bookmarkStart w:id="32891" w:name="_ETM_Q59_209720"/>
      <w:bookmarkEnd w:id="32891"/>
      <w:r>
        <w:rPr>
          <w:rFonts w:hint="cs"/>
          <w:rtl/>
        </w:rPr>
        <w:t xml:space="preserve">מספר </w:t>
      </w:r>
      <w:bookmarkStart w:id="32892" w:name="_ETM_Q59_210140"/>
      <w:bookmarkEnd w:id="32892"/>
      <w:r>
        <w:rPr>
          <w:rFonts w:hint="cs"/>
          <w:rtl/>
        </w:rPr>
        <w:t xml:space="preserve">הסיפור, </w:t>
      </w:r>
      <w:bookmarkStart w:id="32893" w:name="_ETM_Q59_211340"/>
      <w:bookmarkEnd w:id="32893"/>
      <w:r>
        <w:rPr>
          <w:rFonts w:hint="cs"/>
          <w:rtl/>
        </w:rPr>
        <w:t xml:space="preserve">ומי </w:t>
      </w:r>
      <w:bookmarkStart w:id="32894" w:name="_ETM_Q59_211520"/>
      <w:bookmarkEnd w:id="32894"/>
      <w:r>
        <w:rPr>
          <w:rFonts w:hint="cs"/>
          <w:rtl/>
        </w:rPr>
        <w:t xml:space="preserve">שלא </w:t>
      </w:r>
      <w:bookmarkStart w:id="32895" w:name="_ETM_Q59_211760"/>
      <w:bookmarkEnd w:id="32895"/>
      <w:r>
        <w:rPr>
          <w:rFonts w:hint="cs"/>
          <w:rtl/>
        </w:rPr>
        <w:t xml:space="preserve">– מוזמן </w:t>
      </w:r>
      <w:bookmarkStart w:id="32896" w:name="_ETM_Q59_212120"/>
      <w:bookmarkEnd w:id="32896"/>
      <w:r>
        <w:rPr>
          <w:rFonts w:hint="cs"/>
          <w:rtl/>
        </w:rPr>
        <w:t xml:space="preserve">לראות </w:t>
      </w:r>
      <w:bookmarkStart w:id="32897" w:name="_ETM_Q59_212360"/>
      <w:bookmarkEnd w:id="32897"/>
      <w:r>
        <w:rPr>
          <w:rFonts w:hint="cs"/>
          <w:rtl/>
        </w:rPr>
        <w:t xml:space="preserve">את </w:t>
      </w:r>
      <w:bookmarkStart w:id="32898" w:name="_ETM_Q59_212510"/>
      <w:bookmarkEnd w:id="32898"/>
      <w:r>
        <w:rPr>
          <w:rFonts w:hint="cs"/>
          <w:rtl/>
        </w:rPr>
        <w:t xml:space="preserve">הסרט </w:t>
      </w:r>
      <w:bookmarkStart w:id="32899" w:name="_ETM_Q59_212870"/>
      <w:bookmarkEnd w:id="32899"/>
      <w:r>
        <w:rPr>
          <w:rFonts w:hint="cs"/>
          <w:rtl/>
        </w:rPr>
        <w:t xml:space="preserve">"אגדת </w:t>
      </w:r>
      <w:bookmarkStart w:id="32900" w:name="_ETM_Q59_213229"/>
      <w:bookmarkEnd w:id="32900"/>
      <w:r>
        <w:rPr>
          <w:rFonts w:hint="cs"/>
          <w:rtl/>
        </w:rPr>
        <w:t xml:space="preserve">חורבן", </w:t>
      </w:r>
      <w:bookmarkStart w:id="32901" w:name="_ETM_Q59_214229"/>
      <w:bookmarkEnd w:id="32901"/>
      <w:r>
        <w:rPr>
          <w:rFonts w:hint="cs"/>
          <w:rtl/>
        </w:rPr>
        <w:t xml:space="preserve">שמתאר </w:t>
      </w:r>
      <w:bookmarkStart w:id="32902" w:name="_ETM_Q59_214769"/>
      <w:bookmarkEnd w:id="32902"/>
      <w:r>
        <w:rPr>
          <w:rFonts w:hint="cs"/>
          <w:rtl/>
        </w:rPr>
        <w:t xml:space="preserve">את </w:t>
      </w:r>
      <w:bookmarkStart w:id="32903" w:name="_ETM_Q59_214859"/>
      <w:bookmarkEnd w:id="32903"/>
      <w:r>
        <w:rPr>
          <w:rFonts w:hint="cs"/>
          <w:rtl/>
        </w:rPr>
        <w:t xml:space="preserve">זה </w:t>
      </w:r>
      <w:bookmarkStart w:id="32904" w:name="_ETM_Q59_214979"/>
      <w:bookmarkEnd w:id="32904"/>
      <w:r>
        <w:rPr>
          <w:rFonts w:hint="cs"/>
          <w:rtl/>
        </w:rPr>
        <w:t xml:space="preserve">בצורה </w:t>
      </w:r>
      <w:bookmarkStart w:id="32905" w:name="_ETM_Q59_215760"/>
      <w:bookmarkEnd w:id="32905"/>
      <w:r>
        <w:rPr>
          <w:rFonts w:hint="cs"/>
          <w:rtl/>
        </w:rPr>
        <w:t xml:space="preserve">מודרנית </w:t>
      </w:r>
      <w:bookmarkStart w:id="32906" w:name="_ETM_Q59_216300"/>
      <w:bookmarkEnd w:id="32906"/>
      <w:r>
        <w:rPr>
          <w:rFonts w:hint="cs"/>
          <w:rtl/>
        </w:rPr>
        <w:t>וצבעונית.</w:t>
      </w:r>
      <w:bookmarkStart w:id="32907" w:name="_ETM_Q59_217510"/>
      <w:bookmarkStart w:id="32908" w:name="_ETM_Q59_217856"/>
      <w:bookmarkStart w:id="32909" w:name="_ETM_Q59_217929"/>
      <w:bookmarkStart w:id="32910" w:name="_ETM_Q59_217983"/>
      <w:bookmarkStart w:id="32911" w:name="_ETM_Q59_218033"/>
      <w:bookmarkEnd w:id="32907"/>
      <w:bookmarkEnd w:id="32908"/>
      <w:bookmarkEnd w:id="32909"/>
      <w:bookmarkEnd w:id="32910"/>
      <w:bookmarkEnd w:id="32911"/>
      <w:r>
        <w:rPr>
          <w:rFonts w:hint="cs"/>
          <w:rtl/>
        </w:rPr>
        <w:t xml:space="preserve"> האנשים האלה </w:t>
      </w:r>
      <w:bookmarkStart w:id="32912" w:name="_ETM_Q59_218170"/>
      <w:bookmarkEnd w:id="32912"/>
      <w:r>
        <w:rPr>
          <w:rFonts w:hint="cs"/>
          <w:rtl/>
        </w:rPr>
        <w:t>חשבו</w:t>
      </w:r>
      <w:bookmarkStart w:id="32913" w:name="_ETM_Q59_219449"/>
      <w:bookmarkEnd w:id="32913"/>
      <w:r w:rsidR="004D5B6C">
        <w:rPr>
          <w:rFonts w:hint="cs"/>
          <w:rtl/>
        </w:rPr>
        <w:t>,</w:t>
      </w:r>
      <w:r>
        <w:rPr>
          <w:rFonts w:hint="cs"/>
          <w:rtl/>
        </w:rPr>
        <w:t xml:space="preserve"> מבחינתם </w:t>
      </w:r>
      <w:bookmarkStart w:id="32914" w:name="_ETM_Q59_220109"/>
      <w:bookmarkStart w:id="32915" w:name="_ETM_Q59_220350"/>
      <w:bookmarkStart w:id="32916" w:name="_ETM_Q59_220949"/>
      <w:bookmarkEnd w:id="32914"/>
      <w:bookmarkEnd w:id="32915"/>
      <w:bookmarkEnd w:id="32916"/>
      <w:r>
        <w:rPr>
          <w:rFonts w:hint="cs"/>
          <w:rtl/>
        </w:rPr>
        <w:t xml:space="preserve">היה </w:t>
      </w:r>
      <w:bookmarkStart w:id="32917" w:name="_ETM_Q59_221159"/>
      <w:bookmarkStart w:id="32918" w:name="_ETM_Q59_221339"/>
      <w:bookmarkEnd w:id="32917"/>
      <w:bookmarkEnd w:id="32918"/>
      <w:r>
        <w:rPr>
          <w:rFonts w:hint="cs"/>
          <w:rtl/>
        </w:rPr>
        <w:t>היגיון: הם</w:t>
      </w:r>
      <w:bookmarkStart w:id="32919" w:name="_ETM_Q59_222359"/>
      <w:bookmarkEnd w:id="32919"/>
      <w:r>
        <w:rPr>
          <w:rFonts w:hint="cs"/>
          <w:rtl/>
        </w:rPr>
        <w:t xml:space="preserve"> מאחדים </w:t>
      </w:r>
      <w:bookmarkStart w:id="32920" w:name="_ETM_Q59_222960"/>
      <w:bookmarkEnd w:id="32920"/>
      <w:r>
        <w:rPr>
          <w:rFonts w:hint="cs"/>
          <w:rtl/>
        </w:rPr>
        <w:t xml:space="preserve">את </w:t>
      </w:r>
      <w:bookmarkStart w:id="32921" w:name="_ETM_Q59_223079"/>
      <w:bookmarkEnd w:id="32921"/>
      <w:r>
        <w:rPr>
          <w:rFonts w:hint="cs"/>
          <w:rtl/>
        </w:rPr>
        <w:t xml:space="preserve">השורות. </w:t>
      </w:r>
      <w:bookmarkStart w:id="32922" w:name="_ETM_Q59_224840"/>
      <w:bookmarkEnd w:id="32922"/>
      <w:r>
        <w:rPr>
          <w:rFonts w:hint="cs"/>
          <w:rtl/>
        </w:rPr>
        <w:t xml:space="preserve">אבל </w:t>
      </w:r>
      <w:bookmarkStart w:id="32923" w:name="_ETM_Q59_225110"/>
      <w:bookmarkEnd w:id="32923"/>
      <w:r>
        <w:rPr>
          <w:rFonts w:hint="cs"/>
          <w:rtl/>
        </w:rPr>
        <w:t xml:space="preserve">את העם </w:t>
      </w:r>
      <w:bookmarkStart w:id="32924" w:name="_ETM_Q59_225470"/>
      <w:bookmarkEnd w:id="32924"/>
      <w:r>
        <w:rPr>
          <w:rFonts w:hint="cs"/>
          <w:rtl/>
        </w:rPr>
        <w:t xml:space="preserve">הם </w:t>
      </w:r>
      <w:bookmarkStart w:id="32925" w:name="_ETM_Q59_225590"/>
      <w:bookmarkEnd w:id="32925"/>
      <w:r>
        <w:rPr>
          <w:rFonts w:hint="cs"/>
          <w:rtl/>
        </w:rPr>
        <w:t xml:space="preserve">לא </w:t>
      </w:r>
      <w:bookmarkStart w:id="32926" w:name="_ETM_Q59_225710"/>
      <w:bookmarkEnd w:id="32926"/>
      <w:r>
        <w:rPr>
          <w:rFonts w:hint="cs"/>
          <w:rtl/>
        </w:rPr>
        <w:t xml:space="preserve">ראו. </w:t>
      </w:r>
      <w:bookmarkStart w:id="32927" w:name="_ETM_Q59_226579"/>
      <w:bookmarkEnd w:id="32927"/>
      <w:r>
        <w:rPr>
          <w:rFonts w:hint="cs"/>
          <w:rtl/>
        </w:rPr>
        <w:t xml:space="preserve">הם </w:t>
      </w:r>
      <w:bookmarkStart w:id="32928" w:name="_ETM_Q59_226729"/>
      <w:bookmarkEnd w:id="32928"/>
      <w:r>
        <w:rPr>
          <w:rFonts w:hint="cs"/>
          <w:rtl/>
        </w:rPr>
        <w:t xml:space="preserve">הגשימו </w:t>
      </w:r>
      <w:bookmarkStart w:id="32929" w:name="_ETM_Q59_227510"/>
      <w:bookmarkEnd w:id="32929"/>
      <w:r>
        <w:rPr>
          <w:rFonts w:hint="cs"/>
          <w:rtl/>
        </w:rPr>
        <w:t xml:space="preserve">אג'נדה </w:t>
      </w:r>
      <w:bookmarkStart w:id="32930" w:name="_ETM_Q59_228559"/>
      <w:bookmarkEnd w:id="32930"/>
      <w:r>
        <w:rPr>
          <w:rFonts w:hint="cs"/>
          <w:rtl/>
        </w:rPr>
        <w:t xml:space="preserve">קיצונית </w:t>
      </w:r>
      <w:bookmarkStart w:id="32931" w:name="_ETM_Q59_229889"/>
      <w:bookmarkEnd w:id="32931"/>
      <w:r>
        <w:rPr>
          <w:rFonts w:hint="cs"/>
          <w:rtl/>
        </w:rPr>
        <w:t>ו</w:t>
      </w:r>
      <w:bookmarkStart w:id="32932" w:name="_ETM_Q59_230309"/>
      <w:bookmarkEnd w:id="32932"/>
      <w:r>
        <w:rPr>
          <w:rFonts w:hint="cs"/>
          <w:rtl/>
        </w:rPr>
        <w:t xml:space="preserve">הימרו </w:t>
      </w:r>
      <w:bookmarkStart w:id="32933" w:name="_ETM_Q59_231190"/>
      <w:bookmarkEnd w:id="32933"/>
      <w:r>
        <w:rPr>
          <w:rFonts w:hint="cs"/>
          <w:rtl/>
        </w:rPr>
        <w:t xml:space="preserve">על </w:t>
      </w:r>
      <w:bookmarkStart w:id="32934" w:name="_ETM_Q59_231370"/>
      <w:bookmarkEnd w:id="32934"/>
      <w:r>
        <w:rPr>
          <w:rFonts w:hint="cs"/>
          <w:rtl/>
        </w:rPr>
        <w:t xml:space="preserve">חיי </w:t>
      </w:r>
      <w:bookmarkStart w:id="32935" w:name="_ETM_Q59_231760"/>
      <w:bookmarkEnd w:id="32935"/>
      <w:r>
        <w:rPr>
          <w:rFonts w:hint="cs"/>
          <w:rtl/>
        </w:rPr>
        <w:t>ירושלים ועל חורבן של</w:t>
      </w:r>
      <w:bookmarkStart w:id="32936" w:name="_ETM_Q59_233149"/>
      <w:bookmarkStart w:id="32937" w:name="_ETM_Q59_233420"/>
      <w:bookmarkStart w:id="32938" w:name="_ETM_Q59_233929"/>
      <w:bookmarkEnd w:id="32936"/>
      <w:bookmarkEnd w:id="32937"/>
      <w:bookmarkEnd w:id="32938"/>
      <w:r>
        <w:rPr>
          <w:rFonts w:hint="cs"/>
          <w:rtl/>
        </w:rPr>
        <w:t xml:space="preserve"> אלפיים</w:t>
      </w:r>
      <w:bookmarkStart w:id="32939" w:name="_ETM_Q59_234109"/>
      <w:bookmarkEnd w:id="32939"/>
      <w:r>
        <w:rPr>
          <w:rFonts w:hint="cs"/>
          <w:rtl/>
        </w:rPr>
        <w:t xml:space="preserve"> </w:t>
      </w:r>
      <w:bookmarkStart w:id="32940" w:name="_ETM_Q59_234589"/>
      <w:bookmarkEnd w:id="32940"/>
      <w:r>
        <w:rPr>
          <w:rFonts w:hint="cs"/>
          <w:rtl/>
        </w:rPr>
        <w:t xml:space="preserve">שנה. </w:t>
      </w:r>
      <w:bookmarkStart w:id="32941" w:name="_ETM_Q59_235850"/>
      <w:bookmarkEnd w:id="32941"/>
    </w:p>
    <w:p w:rsidR="00BB59CD" w:rsidRDefault="00BB59CD" w:rsidP="00BB59CD">
      <w:pPr>
        <w:rPr>
          <w:rtl/>
        </w:rPr>
      </w:pPr>
      <w:bookmarkStart w:id="32942" w:name="_ETM_Q59_240196"/>
      <w:bookmarkStart w:id="32943" w:name="_ETM_Q59_240249"/>
      <w:bookmarkEnd w:id="32942"/>
      <w:bookmarkEnd w:id="32943"/>
    </w:p>
    <w:p w:rsidR="00BB59CD" w:rsidRDefault="00BB59CD" w:rsidP="004D5B6C">
      <w:pPr>
        <w:rPr>
          <w:rtl/>
        </w:rPr>
      </w:pPr>
      <w:bookmarkStart w:id="32944" w:name="_ETM_Q59_240410"/>
      <w:bookmarkStart w:id="32945" w:name="_ETM_Q59_240451"/>
      <w:bookmarkEnd w:id="32944"/>
      <w:bookmarkEnd w:id="32945"/>
      <w:r>
        <w:rPr>
          <w:rFonts w:hint="cs"/>
          <w:rtl/>
        </w:rPr>
        <w:t xml:space="preserve">כאמור, </w:t>
      </w:r>
      <w:bookmarkStart w:id="32946" w:name="_ETM_Q59_236269"/>
      <w:bookmarkEnd w:id="32946"/>
      <w:r>
        <w:rPr>
          <w:rFonts w:hint="cs"/>
          <w:rtl/>
        </w:rPr>
        <w:t xml:space="preserve">הגמרא </w:t>
      </w:r>
      <w:bookmarkStart w:id="32947" w:name="_ETM_Q59_236719"/>
      <w:bookmarkEnd w:id="32947"/>
      <w:r>
        <w:rPr>
          <w:rFonts w:hint="cs"/>
          <w:rtl/>
        </w:rPr>
        <w:t xml:space="preserve">מספרת </w:t>
      </w:r>
      <w:bookmarkStart w:id="32948" w:name="_ETM_Q59_238199"/>
      <w:bookmarkEnd w:id="32948"/>
      <w:r>
        <w:rPr>
          <w:rFonts w:hint="cs"/>
          <w:rtl/>
        </w:rPr>
        <w:t xml:space="preserve">עוד </w:t>
      </w:r>
      <w:bookmarkStart w:id="32949" w:name="_ETM_Q59_238530"/>
      <w:bookmarkEnd w:id="32949"/>
      <w:r>
        <w:rPr>
          <w:rFonts w:hint="cs"/>
          <w:rtl/>
        </w:rPr>
        <w:t xml:space="preserve">כמה </w:t>
      </w:r>
      <w:bookmarkStart w:id="32950" w:name="_ETM_Q59_238890"/>
      <w:bookmarkEnd w:id="32950"/>
      <w:r>
        <w:rPr>
          <w:rFonts w:hint="cs"/>
          <w:rtl/>
        </w:rPr>
        <w:t xml:space="preserve">וכמה </w:t>
      </w:r>
      <w:bookmarkStart w:id="32951" w:name="_ETM_Q59_239309"/>
      <w:bookmarkEnd w:id="32951"/>
      <w:r>
        <w:rPr>
          <w:rFonts w:hint="cs"/>
          <w:rtl/>
        </w:rPr>
        <w:t xml:space="preserve">סיפורים </w:t>
      </w:r>
      <w:bookmarkStart w:id="32952" w:name="_ETM_Q59_239850"/>
      <w:bookmarkEnd w:id="32952"/>
      <w:r>
        <w:rPr>
          <w:rFonts w:hint="cs"/>
          <w:rtl/>
        </w:rPr>
        <w:t xml:space="preserve">על </w:t>
      </w:r>
      <w:bookmarkStart w:id="32953" w:name="_ETM_Q59_239940"/>
      <w:bookmarkEnd w:id="32953"/>
      <w:r>
        <w:rPr>
          <w:rFonts w:hint="cs"/>
          <w:rtl/>
        </w:rPr>
        <w:t xml:space="preserve">מה </w:t>
      </w:r>
      <w:bookmarkStart w:id="32954" w:name="_ETM_Q59_240120"/>
      <w:bookmarkEnd w:id="32954"/>
      <w:r>
        <w:rPr>
          <w:rFonts w:hint="cs"/>
          <w:rtl/>
        </w:rPr>
        <w:t xml:space="preserve">חרבה </w:t>
      </w:r>
      <w:bookmarkStart w:id="32955" w:name="_ETM_Q59_240539"/>
      <w:bookmarkEnd w:id="32955"/>
      <w:r>
        <w:rPr>
          <w:rFonts w:hint="cs"/>
          <w:rtl/>
        </w:rPr>
        <w:t>ירושלים</w:t>
      </w:r>
      <w:r w:rsidR="004D5B6C">
        <w:rPr>
          <w:rFonts w:hint="cs"/>
          <w:rtl/>
        </w:rPr>
        <w:t>.</w:t>
      </w:r>
      <w:r>
        <w:rPr>
          <w:rFonts w:hint="cs"/>
          <w:rtl/>
        </w:rPr>
        <w:t xml:space="preserve"> </w:t>
      </w:r>
      <w:bookmarkStart w:id="32956" w:name="_ETM_Q59_241760"/>
      <w:bookmarkEnd w:id="32956"/>
      <w:r>
        <w:rPr>
          <w:rFonts w:hint="cs"/>
          <w:rtl/>
        </w:rPr>
        <w:t xml:space="preserve">המסר </w:t>
      </w:r>
      <w:bookmarkStart w:id="32957" w:name="_ETM_Q59_242270"/>
      <w:bookmarkEnd w:id="32957"/>
      <w:r>
        <w:rPr>
          <w:rFonts w:hint="cs"/>
          <w:rtl/>
        </w:rPr>
        <w:t xml:space="preserve">שלהם </w:t>
      </w:r>
      <w:bookmarkStart w:id="32958" w:name="_ETM_Q59_242540"/>
      <w:bookmarkEnd w:id="32958"/>
      <w:r>
        <w:rPr>
          <w:rFonts w:hint="cs"/>
          <w:rtl/>
        </w:rPr>
        <w:t xml:space="preserve">הוא </w:t>
      </w:r>
      <w:bookmarkStart w:id="32959" w:name="_ETM_Q59_242630"/>
      <w:bookmarkEnd w:id="32959"/>
      <w:r>
        <w:rPr>
          <w:rFonts w:hint="cs"/>
          <w:rtl/>
        </w:rPr>
        <w:t xml:space="preserve">לא </w:t>
      </w:r>
      <w:bookmarkStart w:id="32960" w:name="_ETM_Q59_242750"/>
      <w:bookmarkEnd w:id="32960"/>
      <w:r>
        <w:rPr>
          <w:rFonts w:hint="cs"/>
          <w:rtl/>
        </w:rPr>
        <w:t xml:space="preserve">ברור </w:t>
      </w:r>
      <w:bookmarkStart w:id="32961" w:name="_ETM_Q59_243170"/>
      <w:bookmarkEnd w:id="32961"/>
      <w:r>
        <w:rPr>
          <w:rFonts w:hint="cs"/>
          <w:rtl/>
        </w:rPr>
        <w:t xml:space="preserve">ומוכר </w:t>
      </w:r>
      <w:bookmarkStart w:id="32962" w:name="_ETM_Q59_243899"/>
      <w:bookmarkEnd w:id="32962"/>
      <w:r>
        <w:rPr>
          <w:rFonts w:hint="cs"/>
          <w:rtl/>
        </w:rPr>
        <w:t xml:space="preserve">כמו </w:t>
      </w:r>
      <w:bookmarkStart w:id="32963" w:name="_ETM_Q59_244229"/>
      <w:bookmarkEnd w:id="32963"/>
      <w:r>
        <w:rPr>
          <w:rFonts w:hint="cs"/>
          <w:rtl/>
        </w:rPr>
        <w:t xml:space="preserve">מה </w:t>
      </w:r>
      <w:bookmarkStart w:id="32964" w:name="_ETM_Q59_244380"/>
      <w:bookmarkEnd w:id="32964"/>
      <w:r>
        <w:rPr>
          <w:rFonts w:hint="cs"/>
          <w:rtl/>
        </w:rPr>
        <w:t xml:space="preserve">שמניתי, </w:t>
      </w:r>
      <w:bookmarkStart w:id="32965" w:name="_ETM_Q59_246009"/>
      <w:bookmarkEnd w:id="32965"/>
      <w:r>
        <w:rPr>
          <w:rFonts w:hint="cs"/>
          <w:rtl/>
        </w:rPr>
        <w:t xml:space="preserve">אבל </w:t>
      </w:r>
      <w:bookmarkStart w:id="32966" w:name="_ETM_Q59_246280"/>
      <w:bookmarkEnd w:id="32966"/>
      <w:r>
        <w:rPr>
          <w:rFonts w:hint="cs"/>
          <w:rtl/>
        </w:rPr>
        <w:t xml:space="preserve">הם </w:t>
      </w:r>
      <w:bookmarkStart w:id="32967" w:name="_ETM_Q59_246399"/>
      <w:bookmarkEnd w:id="32967"/>
      <w:r>
        <w:rPr>
          <w:rFonts w:hint="cs"/>
          <w:rtl/>
        </w:rPr>
        <w:t xml:space="preserve">בעצם </w:t>
      </w:r>
      <w:bookmarkStart w:id="32968" w:name="_ETM_Q59_246729"/>
      <w:bookmarkEnd w:id="32968"/>
      <w:r>
        <w:rPr>
          <w:rFonts w:hint="cs"/>
          <w:rtl/>
        </w:rPr>
        <w:t xml:space="preserve">מדברים </w:t>
      </w:r>
      <w:bookmarkStart w:id="32969" w:name="_ETM_Q59_247149"/>
      <w:bookmarkEnd w:id="32969"/>
      <w:r>
        <w:rPr>
          <w:rFonts w:hint="cs"/>
          <w:rtl/>
        </w:rPr>
        <w:t xml:space="preserve">על </w:t>
      </w:r>
      <w:bookmarkStart w:id="32970" w:name="_ETM_Q59_247240"/>
      <w:bookmarkEnd w:id="32970"/>
      <w:r>
        <w:rPr>
          <w:rFonts w:hint="cs"/>
          <w:rtl/>
        </w:rPr>
        <w:t xml:space="preserve">אותה </w:t>
      </w:r>
      <w:bookmarkStart w:id="32971" w:name="_ETM_Q59_247539"/>
      <w:bookmarkEnd w:id="32971"/>
      <w:r>
        <w:rPr>
          <w:rFonts w:hint="cs"/>
          <w:rtl/>
        </w:rPr>
        <w:t xml:space="preserve">תופעה </w:t>
      </w:r>
      <w:bookmarkStart w:id="32972" w:name="_ETM_Q59_248439"/>
      <w:bookmarkEnd w:id="32972"/>
      <w:r>
        <w:rPr>
          <w:rFonts w:hint="cs"/>
          <w:rtl/>
        </w:rPr>
        <w:t xml:space="preserve">שחוזרת </w:t>
      </w:r>
      <w:bookmarkStart w:id="32973" w:name="_ETM_Q59_249219"/>
      <w:bookmarkEnd w:id="32973"/>
      <w:r>
        <w:rPr>
          <w:rFonts w:hint="cs"/>
          <w:rtl/>
        </w:rPr>
        <w:t xml:space="preserve">על </w:t>
      </w:r>
      <w:bookmarkStart w:id="32974" w:name="_ETM_Q59_249340"/>
      <w:bookmarkEnd w:id="32974"/>
      <w:r>
        <w:rPr>
          <w:rFonts w:hint="cs"/>
          <w:rtl/>
        </w:rPr>
        <w:t xml:space="preserve">עצמה, </w:t>
      </w:r>
      <w:bookmarkStart w:id="32975" w:name="_ETM_Q59_249880"/>
      <w:bookmarkEnd w:id="32975"/>
      <w:r>
        <w:rPr>
          <w:rFonts w:hint="cs"/>
          <w:rtl/>
        </w:rPr>
        <w:t xml:space="preserve">אז </w:t>
      </w:r>
      <w:bookmarkStart w:id="32976" w:name="_ETM_Q59_250539"/>
      <w:bookmarkEnd w:id="32976"/>
      <w:r>
        <w:rPr>
          <w:rFonts w:hint="cs"/>
          <w:rtl/>
        </w:rPr>
        <w:t xml:space="preserve">ולצערנו </w:t>
      </w:r>
      <w:bookmarkStart w:id="32977" w:name="_ETM_Q59_251319"/>
      <w:bookmarkEnd w:id="32977"/>
      <w:r>
        <w:rPr>
          <w:rFonts w:hint="cs"/>
          <w:rtl/>
        </w:rPr>
        <w:t xml:space="preserve">גם </w:t>
      </w:r>
      <w:bookmarkStart w:id="32978" w:name="_ETM_Q59_251530"/>
      <w:bookmarkEnd w:id="32978"/>
      <w:r>
        <w:rPr>
          <w:rFonts w:hint="cs"/>
          <w:rtl/>
        </w:rPr>
        <w:t xml:space="preserve">היום: </w:t>
      </w:r>
      <w:bookmarkStart w:id="32979" w:name="_ETM_Q59_252399"/>
      <w:bookmarkEnd w:id="32979"/>
      <w:r>
        <w:rPr>
          <w:rFonts w:hint="cs"/>
          <w:rtl/>
        </w:rPr>
        <w:t xml:space="preserve">קבוצת </w:t>
      </w:r>
      <w:bookmarkStart w:id="32980" w:name="_ETM_Q59_252969"/>
      <w:bookmarkEnd w:id="32980"/>
      <w:r>
        <w:rPr>
          <w:rFonts w:hint="cs"/>
          <w:rtl/>
        </w:rPr>
        <w:t xml:space="preserve">אנשים </w:t>
      </w:r>
      <w:bookmarkStart w:id="32981" w:name="_ETM_Q59_254069"/>
      <w:bookmarkEnd w:id="32981"/>
      <w:r>
        <w:rPr>
          <w:rFonts w:hint="cs"/>
          <w:rtl/>
        </w:rPr>
        <w:t xml:space="preserve">שרואה </w:t>
      </w:r>
      <w:bookmarkStart w:id="32982" w:name="_ETM_Q59_255000"/>
      <w:bookmarkEnd w:id="32982"/>
      <w:r>
        <w:rPr>
          <w:rFonts w:hint="cs"/>
          <w:rtl/>
        </w:rPr>
        <w:t xml:space="preserve">אך </w:t>
      </w:r>
      <w:bookmarkStart w:id="32983" w:name="_ETM_Q59_255270"/>
      <w:bookmarkEnd w:id="32983"/>
      <w:r>
        <w:rPr>
          <w:rFonts w:hint="cs"/>
          <w:rtl/>
        </w:rPr>
        <w:t xml:space="preserve">ורק </w:t>
      </w:r>
      <w:bookmarkStart w:id="32984" w:name="_ETM_Q59_255630"/>
      <w:bookmarkEnd w:id="32984"/>
      <w:r>
        <w:rPr>
          <w:rFonts w:hint="cs"/>
          <w:rtl/>
        </w:rPr>
        <w:t xml:space="preserve">את </w:t>
      </w:r>
      <w:bookmarkStart w:id="32985" w:name="_ETM_Q59_255780"/>
      <w:bookmarkEnd w:id="32985"/>
      <w:r>
        <w:rPr>
          <w:rFonts w:hint="cs"/>
          <w:rtl/>
        </w:rPr>
        <w:t xml:space="preserve">עצמה, </w:t>
      </w:r>
      <w:bookmarkStart w:id="32986" w:name="_ETM_Q59_256959"/>
      <w:bookmarkEnd w:id="32986"/>
      <w:r>
        <w:rPr>
          <w:rFonts w:hint="cs"/>
          <w:rtl/>
        </w:rPr>
        <w:t xml:space="preserve">אך </w:t>
      </w:r>
      <w:bookmarkStart w:id="32987" w:name="_ETM_Q59_257229"/>
      <w:bookmarkEnd w:id="32987"/>
      <w:r>
        <w:rPr>
          <w:rFonts w:hint="cs"/>
          <w:rtl/>
        </w:rPr>
        <w:t xml:space="preserve">ורק </w:t>
      </w:r>
      <w:bookmarkStart w:id="32988" w:name="_ETM_Q59_257590"/>
      <w:bookmarkEnd w:id="32988"/>
      <w:r>
        <w:rPr>
          <w:rFonts w:hint="cs"/>
          <w:rtl/>
        </w:rPr>
        <w:t xml:space="preserve">את </w:t>
      </w:r>
      <w:bookmarkStart w:id="32989" w:name="_ETM_Q59_257740"/>
      <w:bookmarkEnd w:id="32989"/>
      <w:r>
        <w:rPr>
          <w:rFonts w:hint="cs"/>
          <w:rtl/>
        </w:rPr>
        <w:t xml:space="preserve">האמת </w:t>
      </w:r>
      <w:bookmarkStart w:id="32990" w:name="_ETM_Q59_258159"/>
      <w:bookmarkEnd w:id="32990"/>
      <w:r>
        <w:rPr>
          <w:rFonts w:hint="cs"/>
          <w:rtl/>
        </w:rPr>
        <w:t xml:space="preserve">שלה. </w:t>
      </w:r>
      <w:bookmarkStart w:id="32991" w:name="_ETM_Q59_259240"/>
      <w:bookmarkEnd w:id="32991"/>
      <w:r>
        <w:rPr>
          <w:rFonts w:hint="cs"/>
          <w:rtl/>
        </w:rPr>
        <w:t xml:space="preserve">כשהם </w:t>
      </w:r>
      <w:bookmarkStart w:id="32992" w:name="_ETM_Q59_259600"/>
      <w:bookmarkEnd w:id="32992"/>
      <w:r>
        <w:rPr>
          <w:rFonts w:hint="cs"/>
          <w:rtl/>
        </w:rPr>
        <w:t xml:space="preserve">נוקמים, זו </w:t>
      </w:r>
      <w:bookmarkStart w:id="32993" w:name="_ETM_Q59_260200"/>
      <w:bookmarkEnd w:id="32993"/>
      <w:r>
        <w:rPr>
          <w:rFonts w:hint="cs"/>
          <w:rtl/>
        </w:rPr>
        <w:t xml:space="preserve">נקמת </w:t>
      </w:r>
      <w:bookmarkStart w:id="32994" w:name="_ETM_Q59_260560"/>
      <w:bookmarkEnd w:id="32994"/>
      <w:r>
        <w:rPr>
          <w:rFonts w:hint="cs"/>
          <w:rtl/>
        </w:rPr>
        <w:t xml:space="preserve">צדק; </w:t>
      </w:r>
      <w:bookmarkStart w:id="32995" w:name="_ETM_Q59_261579"/>
      <w:bookmarkEnd w:id="32995"/>
      <w:r>
        <w:rPr>
          <w:rFonts w:hint="cs"/>
          <w:rtl/>
        </w:rPr>
        <w:t xml:space="preserve">כשהם </w:t>
      </w:r>
      <w:bookmarkStart w:id="32996" w:name="_ETM_Q59_261880"/>
      <w:bookmarkEnd w:id="32996"/>
      <w:r>
        <w:rPr>
          <w:rFonts w:hint="cs"/>
          <w:rtl/>
        </w:rPr>
        <w:t xml:space="preserve">נלחמים </w:t>
      </w:r>
      <w:bookmarkStart w:id="32997" w:name="_ETM_Q59_262450"/>
      <w:bookmarkEnd w:id="32997"/>
      <w:r>
        <w:rPr>
          <w:rFonts w:hint="cs"/>
          <w:rtl/>
        </w:rPr>
        <w:t>– חלילה</w:t>
      </w:r>
      <w:r w:rsidR="004D5B6C">
        <w:rPr>
          <w:rFonts w:hint="cs"/>
          <w:rtl/>
        </w:rPr>
        <w:t>, זה</w:t>
      </w:r>
      <w:r>
        <w:rPr>
          <w:rFonts w:hint="cs"/>
          <w:rtl/>
        </w:rPr>
        <w:t xml:space="preserve"> </w:t>
      </w:r>
      <w:bookmarkStart w:id="32998" w:name="_ETM_Q59_262869"/>
      <w:bookmarkEnd w:id="32998"/>
      <w:r>
        <w:rPr>
          <w:rFonts w:hint="cs"/>
          <w:rtl/>
        </w:rPr>
        <w:t xml:space="preserve">לא </w:t>
      </w:r>
      <w:bookmarkStart w:id="32999" w:name="_ETM_Q59_262959"/>
      <w:bookmarkEnd w:id="32999"/>
      <w:r>
        <w:rPr>
          <w:rFonts w:hint="cs"/>
          <w:rtl/>
        </w:rPr>
        <w:t xml:space="preserve">בשבילם, </w:t>
      </w:r>
      <w:bookmarkStart w:id="33000" w:name="_ETM_Q59_264189"/>
      <w:bookmarkEnd w:id="33000"/>
      <w:r w:rsidR="004D5B6C">
        <w:rPr>
          <w:rFonts w:hint="cs"/>
          <w:rtl/>
        </w:rPr>
        <w:t xml:space="preserve">זה </w:t>
      </w:r>
      <w:r>
        <w:rPr>
          <w:rFonts w:hint="cs"/>
          <w:rtl/>
        </w:rPr>
        <w:t xml:space="preserve">בשם </w:t>
      </w:r>
      <w:bookmarkStart w:id="33001" w:name="_ETM_Q59_264610"/>
      <w:bookmarkEnd w:id="33001"/>
      <w:r>
        <w:rPr>
          <w:rFonts w:hint="cs"/>
          <w:rtl/>
        </w:rPr>
        <w:t xml:space="preserve">כבוד </w:t>
      </w:r>
      <w:bookmarkStart w:id="33002" w:name="_ETM_Q59_264909"/>
      <w:bookmarkEnd w:id="33002"/>
      <w:r>
        <w:rPr>
          <w:rFonts w:hint="cs"/>
          <w:rtl/>
        </w:rPr>
        <w:t>התושבים</w:t>
      </w:r>
      <w:r w:rsidR="004D5B6C">
        <w:rPr>
          <w:rFonts w:hint="cs"/>
          <w:rtl/>
        </w:rPr>
        <w:t>,</w:t>
      </w:r>
      <w:r>
        <w:rPr>
          <w:rFonts w:hint="cs"/>
          <w:rtl/>
        </w:rPr>
        <w:t xml:space="preserve"> </w:t>
      </w:r>
      <w:bookmarkStart w:id="33003" w:name="_ETM_Q59_266350"/>
      <w:bookmarkEnd w:id="33003"/>
      <w:r>
        <w:rPr>
          <w:rFonts w:hint="cs"/>
          <w:rtl/>
        </w:rPr>
        <w:t xml:space="preserve">כשהם </w:t>
      </w:r>
      <w:bookmarkStart w:id="33004" w:name="_ETM_Q59_266830"/>
      <w:bookmarkEnd w:id="33004"/>
      <w:r>
        <w:rPr>
          <w:rFonts w:hint="cs"/>
          <w:rtl/>
        </w:rPr>
        <w:t xml:space="preserve">מכריזים </w:t>
      </w:r>
      <w:bookmarkStart w:id="33005" w:name="_ETM_Q59_267340"/>
      <w:bookmarkEnd w:id="33005"/>
      <w:r>
        <w:rPr>
          <w:rFonts w:hint="cs"/>
          <w:rtl/>
        </w:rPr>
        <w:t>מלחמה</w:t>
      </w:r>
      <w:r w:rsidR="004D5B6C">
        <w:rPr>
          <w:rFonts w:hint="cs"/>
          <w:rtl/>
        </w:rPr>
        <w:t>,</w:t>
      </w:r>
      <w:r>
        <w:rPr>
          <w:rFonts w:hint="cs"/>
          <w:rtl/>
        </w:rPr>
        <w:t xml:space="preserve"> </w:t>
      </w:r>
      <w:bookmarkStart w:id="33006" w:name="_ETM_Q59_268480"/>
      <w:bookmarkEnd w:id="33006"/>
      <w:r>
        <w:rPr>
          <w:rFonts w:hint="cs"/>
          <w:rtl/>
        </w:rPr>
        <w:t xml:space="preserve">זה </w:t>
      </w:r>
      <w:bookmarkStart w:id="33007" w:name="_ETM_Q59_268690"/>
      <w:bookmarkEnd w:id="33007"/>
      <w:r>
        <w:rPr>
          <w:rFonts w:hint="cs"/>
          <w:rtl/>
        </w:rPr>
        <w:t xml:space="preserve">כאילו </w:t>
      </w:r>
      <w:bookmarkStart w:id="33008" w:name="_ETM_Q59_269050"/>
      <w:bookmarkEnd w:id="33008"/>
      <w:r>
        <w:rPr>
          <w:rFonts w:hint="cs"/>
          <w:rtl/>
        </w:rPr>
        <w:t xml:space="preserve">כדי </w:t>
      </w:r>
      <w:bookmarkStart w:id="33009" w:name="_ETM_Q59_269319"/>
      <w:bookmarkEnd w:id="33009"/>
      <w:r>
        <w:rPr>
          <w:rFonts w:hint="cs"/>
          <w:rtl/>
        </w:rPr>
        <w:t xml:space="preserve">להציל </w:t>
      </w:r>
      <w:bookmarkStart w:id="33010" w:name="_ETM_Q59_269709"/>
      <w:bookmarkEnd w:id="33010"/>
      <w:r>
        <w:rPr>
          <w:rFonts w:hint="cs"/>
          <w:rtl/>
        </w:rPr>
        <w:t xml:space="preserve">את </w:t>
      </w:r>
      <w:bookmarkStart w:id="33011" w:name="_ETM_Q59_269860"/>
      <w:bookmarkEnd w:id="33011"/>
      <w:r>
        <w:rPr>
          <w:rFonts w:hint="cs"/>
          <w:rtl/>
        </w:rPr>
        <w:t xml:space="preserve">העיר; </w:t>
      </w:r>
      <w:bookmarkStart w:id="33012" w:name="_ETM_Q59_271100"/>
      <w:bookmarkEnd w:id="33012"/>
      <w:r>
        <w:rPr>
          <w:rFonts w:hint="cs"/>
          <w:rtl/>
        </w:rPr>
        <w:t xml:space="preserve">כשהם </w:t>
      </w:r>
      <w:bookmarkStart w:id="33013" w:name="_ETM_Q59_272110"/>
      <w:bookmarkEnd w:id="33013"/>
      <w:r>
        <w:rPr>
          <w:rFonts w:hint="cs"/>
          <w:rtl/>
        </w:rPr>
        <w:t xml:space="preserve">פוסקים </w:t>
      </w:r>
      <w:bookmarkStart w:id="33014" w:name="_ETM_Q59_272709"/>
      <w:bookmarkEnd w:id="33014"/>
      <w:r>
        <w:rPr>
          <w:rFonts w:hint="cs"/>
          <w:rtl/>
        </w:rPr>
        <w:t xml:space="preserve">הלכה, </w:t>
      </w:r>
      <w:bookmarkStart w:id="33015" w:name="_ETM_Q59_273459"/>
      <w:bookmarkEnd w:id="33015"/>
      <w:r>
        <w:rPr>
          <w:rFonts w:hint="cs"/>
          <w:rtl/>
        </w:rPr>
        <w:t xml:space="preserve">הם </w:t>
      </w:r>
      <w:bookmarkStart w:id="33016" w:name="_ETM_Q59_273580"/>
      <w:bookmarkEnd w:id="33016"/>
      <w:r>
        <w:rPr>
          <w:rFonts w:hint="cs"/>
          <w:rtl/>
        </w:rPr>
        <w:t xml:space="preserve">פוסקים </w:t>
      </w:r>
      <w:bookmarkStart w:id="33017" w:name="_ETM_Q59_274119"/>
      <w:bookmarkEnd w:id="33017"/>
      <w:r>
        <w:rPr>
          <w:rFonts w:hint="cs"/>
          <w:rtl/>
        </w:rPr>
        <w:t>שמא</w:t>
      </w:r>
      <w:bookmarkStart w:id="33018" w:name="_ETM_Q59_275260"/>
      <w:bookmarkStart w:id="33019" w:name="_ETM_Q59_275409"/>
      <w:bookmarkEnd w:id="33018"/>
      <w:bookmarkEnd w:id="33019"/>
      <w:r>
        <w:rPr>
          <w:rFonts w:hint="cs"/>
          <w:rtl/>
        </w:rPr>
        <w:t xml:space="preserve"> </w:t>
      </w:r>
      <w:bookmarkStart w:id="33020" w:name="_ETM_Q59_281097"/>
      <w:bookmarkEnd w:id="33020"/>
      <w:r>
        <w:rPr>
          <w:rFonts w:hint="cs"/>
          <w:rtl/>
        </w:rPr>
        <w:t xml:space="preserve">ילמדו </w:t>
      </w:r>
      <w:bookmarkStart w:id="33021" w:name="_ETM_Q59_275740"/>
      <w:bookmarkEnd w:id="33021"/>
      <w:r>
        <w:rPr>
          <w:rFonts w:hint="cs"/>
          <w:rtl/>
        </w:rPr>
        <w:t xml:space="preserve">אנשים </w:t>
      </w:r>
      <w:bookmarkStart w:id="33022" w:name="_ETM_Q59_276100"/>
      <w:bookmarkEnd w:id="33022"/>
      <w:r>
        <w:rPr>
          <w:rFonts w:hint="cs"/>
          <w:rtl/>
        </w:rPr>
        <w:t xml:space="preserve">אחרים. </w:t>
      </w:r>
      <w:bookmarkStart w:id="33023" w:name="_ETM_Q59_277000"/>
      <w:bookmarkEnd w:id="33023"/>
      <w:r>
        <w:rPr>
          <w:rFonts w:hint="cs"/>
          <w:rtl/>
        </w:rPr>
        <w:t xml:space="preserve">אבל </w:t>
      </w:r>
      <w:bookmarkStart w:id="33024" w:name="_ETM_Q59_277270"/>
      <w:bookmarkEnd w:id="33024"/>
      <w:r>
        <w:rPr>
          <w:rFonts w:hint="cs"/>
          <w:rtl/>
        </w:rPr>
        <w:t xml:space="preserve">בסוף </w:t>
      </w:r>
      <w:bookmarkStart w:id="33025" w:name="_ETM_Q59_277659"/>
      <w:bookmarkEnd w:id="33025"/>
      <w:r>
        <w:rPr>
          <w:rFonts w:hint="cs"/>
          <w:rtl/>
        </w:rPr>
        <w:t xml:space="preserve">בסוף </w:t>
      </w:r>
      <w:bookmarkStart w:id="33026" w:name="_ETM_Q59_278049"/>
      <w:bookmarkEnd w:id="33026"/>
      <w:r>
        <w:rPr>
          <w:rFonts w:hint="cs"/>
          <w:rtl/>
        </w:rPr>
        <w:t xml:space="preserve">בדרך </w:t>
      </w:r>
      <w:bookmarkStart w:id="33027" w:name="_ETM_Q59_278560"/>
      <w:bookmarkEnd w:id="33027"/>
      <w:r>
        <w:rPr>
          <w:rFonts w:hint="cs"/>
          <w:rtl/>
        </w:rPr>
        <w:t xml:space="preserve">הזו </w:t>
      </w:r>
      <w:bookmarkStart w:id="33028" w:name="_ETM_Q59_279150"/>
      <w:bookmarkEnd w:id="33028"/>
      <w:r>
        <w:rPr>
          <w:rFonts w:hint="cs"/>
          <w:rtl/>
        </w:rPr>
        <w:t xml:space="preserve">ירושלים, </w:t>
      </w:r>
      <w:bookmarkStart w:id="33029" w:name="_ETM_Q59_279990"/>
      <w:bookmarkEnd w:id="33029"/>
      <w:r>
        <w:rPr>
          <w:rFonts w:hint="cs"/>
          <w:rtl/>
        </w:rPr>
        <w:t xml:space="preserve">העיר </w:t>
      </w:r>
      <w:bookmarkStart w:id="33030" w:name="_ETM_Q59_280230"/>
      <w:bookmarkEnd w:id="33030"/>
      <w:r>
        <w:rPr>
          <w:rFonts w:hint="cs"/>
          <w:rtl/>
        </w:rPr>
        <w:t xml:space="preserve">הזו, </w:t>
      </w:r>
      <w:bookmarkStart w:id="33031" w:name="_ETM_Q59_280920"/>
      <w:bookmarkEnd w:id="33031"/>
      <w:r>
        <w:rPr>
          <w:rFonts w:hint="cs"/>
          <w:rtl/>
        </w:rPr>
        <w:t xml:space="preserve">העיר </w:t>
      </w:r>
      <w:bookmarkStart w:id="33032" w:name="_ETM_Q59_281220"/>
      <w:bookmarkEnd w:id="33032"/>
      <w:r>
        <w:rPr>
          <w:rFonts w:hint="cs"/>
          <w:rtl/>
        </w:rPr>
        <w:t xml:space="preserve">הקדושה, </w:t>
      </w:r>
      <w:bookmarkStart w:id="33033" w:name="_ETM_Q59_281730"/>
      <w:bookmarkEnd w:id="33033"/>
      <w:r>
        <w:rPr>
          <w:rFonts w:hint="cs"/>
          <w:rtl/>
        </w:rPr>
        <w:t xml:space="preserve">חרבה, </w:t>
      </w:r>
      <w:bookmarkStart w:id="33034" w:name="_ETM_Q59_282959"/>
      <w:bookmarkEnd w:id="33034"/>
      <w:r>
        <w:rPr>
          <w:rFonts w:hint="cs"/>
          <w:rtl/>
        </w:rPr>
        <w:t xml:space="preserve">חרבה </w:t>
      </w:r>
      <w:bookmarkStart w:id="33035" w:name="_ETM_Q59_283530"/>
      <w:bookmarkEnd w:id="33035"/>
      <w:r>
        <w:rPr>
          <w:rFonts w:hint="cs"/>
          <w:rtl/>
        </w:rPr>
        <w:t xml:space="preserve">כי </w:t>
      </w:r>
      <w:bookmarkStart w:id="33036" w:name="_ETM_Q59_283680"/>
      <w:bookmarkEnd w:id="33036"/>
      <w:r>
        <w:rPr>
          <w:rFonts w:hint="cs"/>
          <w:rtl/>
        </w:rPr>
        <w:t xml:space="preserve">כולם </w:t>
      </w:r>
      <w:bookmarkStart w:id="33037" w:name="_ETM_Q59_284100"/>
      <w:bookmarkEnd w:id="33037"/>
      <w:r>
        <w:rPr>
          <w:rFonts w:hint="cs"/>
          <w:rtl/>
        </w:rPr>
        <w:t xml:space="preserve">צודקים </w:t>
      </w:r>
      <w:bookmarkStart w:id="33038" w:name="_ETM_Q59_284760"/>
      <w:bookmarkEnd w:id="33038"/>
      <w:r>
        <w:rPr>
          <w:rFonts w:hint="cs"/>
          <w:rtl/>
        </w:rPr>
        <w:t>בה.</w:t>
      </w:r>
    </w:p>
    <w:p w:rsidR="00BB59CD" w:rsidRDefault="00BB59CD" w:rsidP="00BB59CD">
      <w:pPr>
        <w:rPr>
          <w:rtl/>
        </w:rPr>
      </w:pPr>
    </w:p>
    <w:p w:rsidR="00BB59CD" w:rsidRDefault="00BB59CD" w:rsidP="004D5B6C">
      <w:pPr>
        <w:rPr>
          <w:rtl/>
        </w:rPr>
      </w:pPr>
      <w:r>
        <w:rPr>
          <w:rFonts w:hint="cs"/>
          <w:rtl/>
        </w:rPr>
        <w:t xml:space="preserve">בסיפור </w:t>
      </w:r>
      <w:bookmarkStart w:id="33039" w:name="_ETM_Q59_287490"/>
      <w:bookmarkEnd w:id="33039"/>
      <w:r>
        <w:rPr>
          <w:rFonts w:hint="cs"/>
          <w:rtl/>
        </w:rPr>
        <w:t xml:space="preserve">נוסף </w:t>
      </w:r>
      <w:bookmarkStart w:id="33040" w:name="_ETM_Q59_288820"/>
      <w:bookmarkEnd w:id="33040"/>
      <w:r>
        <w:rPr>
          <w:rFonts w:hint="cs"/>
          <w:rtl/>
        </w:rPr>
        <w:t xml:space="preserve">מסופר </w:t>
      </w:r>
      <w:bookmarkStart w:id="33041" w:name="_ETM_Q59_289540"/>
      <w:bookmarkEnd w:id="33041"/>
      <w:r>
        <w:rPr>
          <w:rFonts w:hint="cs"/>
          <w:rtl/>
        </w:rPr>
        <w:t xml:space="preserve">באגדות </w:t>
      </w:r>
      <w:bookmarkStart w:id="33042" w:name="_ETM_Q59_290020"/>
      <w:bookmarkEnd w:id="33042"/>
      <w:r>
        <w:rPr>
          <w:rFonts w:hint="cs"/>
          <w:rtl/>
        </w:rPr>
        <w:t xml:space="preserve">החורבן </w:t>
      </w:r>
      <w:bookmarkStart w:id="33043" w:name="_ETM_Q59_290560"/>
      <w:bookmarkEnd w:id="33043"/>
      <w:r>
        <w:rPr>
          <w:rFonts w:hint="cs"/>
          <w:rtl/>
        </w:rPr>
        <w:t xml:space="preserve">על הר </w:t>
      </w:r>
      <w:bookmarkStart w:id="33044" w:name="_ETM_Q59_290680"/>
      <w:bookmarkEnd w:id="33044"/>
      <w:r>
        <w:rPr>
          <w:rFonts w:hint="cs"/>
          <w:rtl/>
        </w:rPr>
        <w:t xml:space="preserve">המלך; </w:t>
      </w:r>
      <w:bookmarkStart w:id="33045" w:name="_ETM_Q59_292509"/>
      <w:bookmarkEnd w:id="33045"/>
      <w:r>
        <w:rPr>
          <w:rFonts w:hint="cs"/>
          <w:rtl/>
        </w:rPr>
        <w:t xml:space="preserve">הוא </w:t>
      </w:r>
      <w:bookmarkStart w:id="33046" w:name="_ETM_Q59_292600"/>
      <w:bookmarkEnd w:id="33046"/>
      <w:r>
        <w:rPr>
          <w:rFonts w:hint="cs"/>
          <w:rtl/>
        </w:rPr>
        <w:t xml:space="preserve">נקרא </w:t>
      </w:r>
      <w:bookmarkStart w:id="33047" w:name="_ETM_Q59_292869"/>
      <w:bookmarkEnd w:id="33047"/>
      <w:r>
        <w:rPr>
          <w:rFonts w:hint="cs"/>
          <w:rtl/>
        </w:rPr>
        <w:t xml:space="preserve">בארמית </w:t>
      </w:r>
      <w:bookmarkStart w:id="33048" w:name="_ETM_Q59_293350"/>
      <w:bookmarkEnd w:id="33048"/>
      <w:r>
        <w:rPr>
          <w:rFonts w:hint="cs"/>
          <w:rtl/>
        </w:rPr>
        <w:t>טור מלכא.</w:t>
      </w:r>
      <w:bookmarkStart w:id="33049" w:name="_ETM_Q59_293590"/>
      <w:bookmarkEnd w:id="33049"/>
      <w:r>
        <w:rPr>
          <w:rFonts w:hint="cs"/>
          <w:rtl/>
        </w:rPr>
        <w:t xml:space="preserve"> </w:t>
      </w:r>
      <w:bookmarkStart w:id="33050" w:name="_ETM_Q59_295460"/>
      <w:bookmarkEnd w:id="33050"/>
      <w:r>
        <w:rPr>
          <w:rFonts w:hint="cs"/>
          <w:rtl/>
        </w:rPr>
        <w:t xml:space="preserve">האנשים </w:t>
      </w:r>
      <w:bookmarkStart w:id="33051" w:name="_ETM_Q59_295940"/>
      <w:bookmarkEnd w:id="33051"/>
      <w:r>
        <w:rPr>
          <w:rFonts w:hint="cs"/>
          <w:rtl/>
        </w:rPr>
        <w:t xml:space="preserve">של </w:t>
      </w:r>
      <w:bookmarkStart w:id="33052" w:name="_ETM_Q59_296330"/>
      <w:bookmarkEnd w:id="33052"/>
      <w:r>
        <w:rPr>
          <w:rFonts w:hint="cs"/>
          <w:rtl/>
        </w:rPr>
        <w:t xml:space="preserve">ההר הזה </w:t>
      </w:r>
      <w:bookmarkStart w:id="33053" w:name="_ETM_Q59_296570"/>
      <w:bookmarkEnd w:id="33053"/>
      <w:r>
        <w:rPr>
          <w:rFonts w:hint="cs"/>
          <w:rtl/>
        </w:rPr>
        <w:t xml:space="preserve">יוצאים </w:t>
      </w:r>
      <w:bookmarkStart w:id="33054" w:name="_ETM_Q59_297080"/>
      <w:bookmarkEnd w:id="33054"/>
      <w:r>
        <w:rPr>
          <w:rFonts w:hint="cs"/>
          <w:rtl/>
        </w:rPr>
        <w:t xml:space="preserve">להילחם </w:t>
      </w:r>
      <w:bookmarkStart w:id="33055" w:name="_ETM_Q59_297620"/>
      <w:bookmarkEnd w:id="33055"/>
      <w:r>
        <w:rPr>
          <w:rFonts w:hint="cs"/>
          <w:rtl/>
        </w:rPr>
        <w:t xml:space="preserve">ברומאים. </w:t>
      </w:r>
      <w:bookmarkStart w:id="33056" w:name="_ETM_Q59_298890"/>
      <w:bookmarkEnd w:id="33056"/>
      <w:r>
        <w:rPr>
          <w:rFonts w:hint="cs"/>
          <w:rtl/>
        </w:rPr>
        <w:t xml:space="preserve">יש </w:t>
      </w:r>
      <w:bookmarkStart w:id="33057" w:name="_ETM_Q59_299130"/>
      <w:bookmarkEnd w:id="33057"/>
      <w:r>
        <w:rPr>
          <w:rFonts w:hint="cs"/>
          <w:rtl/>
        </w:rPr>
        <w:t xml:space="preserve">להם </w:t>
      </w:r>
      <w:bookmarkStart w:id="33058" w:name="_ETM_Q59_299310"/>
      <w:bookmarkEnd w:id="33058"/>
      <w:r>
        <w:rPr>
          <w:rFonts w:hint="cs"/>
          <w:rtl/>
        </w:rPr>
        <w:t xml:space="preserve">סיבה </w:t>
      </w:r>
      <w:bookmarkStart w:id="33059" w:name="_ETM_Q59_299700"/>
      <w:bookmarkEnd w:id="33059"/>
      <w:r>
        <w:rPr>
          <w:rFonts w:hint="cs"/>
          <w:rtl/>
        </w:rPr>
        <w:t xml:space="preserve">מדהימה, </w:t>
      </w:r>
      <w:bookmarkStart w:id="33060" w:name="_ETM_Q59_301229"/>
      <w:bookmarkEnd w:id="33060"/>
      <w:r>
        <w:rPr>
          <w:rFonts w:hint="cs"/>
          <w:rtl/>
        </w:rPr>
        <w:t xml:space="preserve">כך </w:t>
      </w:r>
      <w:bookmarkStart w:id="33061" w:name="_ETM_Q59_301500"/>
      <w:bookmarkEnd w:id="33061"/>
      <w:r>
        <w:rPr>
          <w:rFonts w:hint="cs"/>
          <w:rtl/>
        </w:rPr>
        <w:t xml:space="preserve">נאמר: </w:t>
      </w:r>
      <w:bookmarkStart w:id="33062" w:name="_ETM_Q59_302070"/>
      <w:bookmarkEnd w:id="33062"/>
      <w:r>
        <w:rPr>
          <w:rFonts w:hint="cs"/>
          <w:rtl/>
        </w:rPr>
        <w:t xml:space="preserve">על </w:t>
      </w:r>
      <w:bookmarkStart w:id="33063" w:name="_ETM_Q59_302250"/>
      <w:bookmarkEnd w:id="33063"/>
      <w:r>
        <w:rPr>
          <w:rFonts w:hint="cs"/>
          <w:rtl/>
        </w:rPr>
        <w:t xml:space="preserve">תרנגול </w:t>
      </w:r>
      <w:bookmarkStart w:id="33064" w:name="_ETM_Q59_303030"/>
      <w:bookmarkEnd w:id="33064"/>
      <w:r>
        <w:rPr>
          <w:rFonts w:hint="cs"/>
          <w:rtl/>
        </w:rPr>
        <w:t xml:space="preserve">ותרנגולת </w:t>
      </w:r>
      <w:bookmarkStart w:id="33065" w:name="_ETM_Q59_304759"/>
      <w:bookmarkEnd w:id="33065"/>
      <w:r>
        <w:rPr>
          <w:rFonts w:hint="cs"/>
          <w:rtl/>
        </w:rPr>
        <w:t xml:space="preserve">חרבה </w:t>
      </w:r>
      <w:bookmarkStart w:id="33066" w:name="_ETM_Q59_305299"/>
      <w:bookmarkEnd w:id="33066"/>
      <w:r>
        <w:rPr>
          <w:rFonts w:hint="cs"/>
          <w:rtl/>
        </w:rPr>
        <w:t xml:space="preserve">טור </w:t>
      </w:r>
      <w:bookmarkStart w:id="33067" w:name="_ETM_Q59_305600"/>
      <w:bookmarkEnd w:id="33067"/>
      <w:r>
        <w:rPr>
          <w:rFonts w:hint="cs"/>
          <w:rtl/>
        </w:rPr>
        <w:t xml:space="preserve">מלכא. </w:t>
      </w:r>
      <w:bookmarkStart w:id="33068" w:name="_ETM_Q59_307130"/>
      <w:bookmarkEnd w:id="33068"/>
      <w:r>
        <w:rPr>
          <w:rFonts w:hint="cs"/>
          <w:rtl/>
        </w:rPr>
        <w:t xml:space="preserve">מעשה </w:t>
      </w:r>
      <w:bookmarkStart w:id="33069" w:name="_ETM_Q59_307549"/>
      <w:bookmarkEnd w:id="33069"/>
      <w:r>
        <w:rPr>
          <w:rFonts w:hint="cs"/>
          <w:rtl/>
        </w:rPr>
        <w:t xml:space="preserve">שהיה </w:t>
      </w:r>
      <w:bookmarkStart w:id="33070" w:name="_ETM_Q59_307939"/>
      <w:bookmarkEnd w:id="33070"/>
      <w:r>
        <w:rPr>
          <w:rFonts w:hint="cs"/>
          <w:rtl/>
        </w:rPr>
        <w:t xml:space="preserve">כך </w:t>
      </w:r>
      <w:bookmarkStart w:id="33071" w:name="_ETM_Q59_308209"/>
      <w:bookmarkEnd w:id="33071"/>
      <w:r>
        <w:rPr>
          <w:rFonts w:hint="cs"/>
          <w:rtl/>
        </w:rPr>
        <w:t xml:space="preserve">היה: </w:t>
      </w:r>
      <w:bookmarkStart w:id="33072" w:name="_ETM_Q59_308900"/>
      <w:bookmarkEnd w:id="33072"/>
      <w:r>
        <w:rPr>
          <w:rFonts w:hint="cs"/>
          <w:rtl/>
        </w:rPr>
        <w:t xml:space="preserve">היה </w:t>
      </w:r>
      <w:bookmarkStart w:id="33073" w:name="_ETM_Q59_309169"/>
      <w:bookmarkEnd w:id="33073"/>
      <w:r>
        <w:rPr>
          <w:rFonts w:hint="cs"/>
          <w:rtl/>
        </w:rPr>
        <w:t xml:space="preserve">טקס </w:t>
      </w:r>
      <w:bookmarkStart w:id="33074" w:name="_ETM_Q59_309620"/>
      <w:bookmarkEnd w:id="33074"/>
      <w:r>
        <w:rPr>
          <w:rFonts w:hint="cs"/>
          <w:rtl/>
        </w:rPr>
        <w:t xml:space="preserve">במקום </w:t>
      </w:r>
      <w:bookmarkStart w:id="33075" w:name="_ETM_Q59_310870"/>
      <w:bookmarkEnd w:id="33075"/>
      <w:r>
        <w:rPr>
          <w:rFonts w:hint="cs"/>
          <w:rtl/>
        </w:rPr>
        <w:t>הזה</w:t>
      </w:r>
      <w:r w:rsidR="004D5B6C">
        <w:rPr>
          <w:rFonts w:hint="cs"/>
          <w:rtl/>
        </w:rPr>
        <w:t xml:space="preserve">, </w:t>
      </w:r>
      <w:bookmarkStart w:id="33076" w:name="_ETM_Q59_311610"/>
      <w:bookmarkEnd w:id="33076"/>
      <w:r w:rsidR="004D5B6C">
        <w:rPr>
          <w:rFonts w:hint="cs"/>
          <w:rtl/>
        </w:rPr>
        <w:t xml:space="preserve">ובו </w:t>
      </w:r>
      <w:r>
        <w:rPr>
          <w:rFonts w:hint="cs"/>
          <w:rtl/>
        </w:rPr>
        <w:t xml:space="preserve">אנשי </w:t>
      </w:r>
      <w:bookmarkStart w:id="33077" w:name="_ETM_Q59_312840"/>
      <w:bookmarkEnd w:id="33077"/>
      <w:r>
        <w:rPr>
          <w:rFonts w:hint="cs"/>
          <w:rtl/>
        </w:rPr>
        <w:t xml:space="preserve">המקום, </w:t>
      </w:r>
      <w:bookmarkStart w:id="33078" w:name="_ETM_Q59_313349"/>
      <w:bookmarkEnd w:id="33078"/>
      <w:r>
        <w:rPr>
          <w:rFonts w:hint="cs"/>
          <w:rtl/>
        </w:rPr>
        <w:t xml:space="preserve">אנשי </w:t>
      </w:r>
      <w:bookmarkStart w:id="33079" w:name="_ETM_Q59_313650"/>
      <w:bookmarkEnd w:id="33079"/>
      <w:r>
        <w:rPr>
          <w:rFonts w:hint="cs"/>
          <w:rtl/>
        </w:rPr>
        <w:t xml:space="preserve">ההר, </w:t>
      </w:r>
      <w:bookmarkStart w:id="33080" w:name="_ETM_Q59_314790"/>
      <w:bookmarkEnd w:id="33080"/>
      <w:r>
        <w:rPr>
          <w:rFonts w:hint="cs"/>
          <w:rtl/>
        </w:rPr>
        <w:t xml:space="preserve">בכל </w:t>
      </w:r>
      <w:bookmarkStart w:id="33081" w:name="_ETM_Q59_315029"/>
      <w:bookmarkEnd w:id="33081"/>
      <w:r>
        <w:rPr>
          <w:rFonts w:hint="cs"/>
          <w:rtl/>
        </w:rPr>
        <w:t xml:space="preserve">פעם </w:t>
      </w:r>
      <w:bookmarkStart w:id="33082" w:name="_ETM_Q59_315239"/>
      <w:bookmarkEnd w:id="33082"/>
      <w:r>
        <w:rPr>
          <w:rFonts w:hint="cs"/>
          <w:rtl/>
        </w:rPr>
        <w:t xml:space="preserve">שהייתה </w:t>
      </w:r>
      <w:bookmarkStart w:id="33083" w:name="_ETM_Q59_315540"/>
      <w:bookmarkEnd w:id="33083"/>
      <w:r>
        <w:rPr>
          <w:rFonts w:hint="cs"/>
          <w:rtl/>
        </w:rPr>
        <w:t xml:space="preserve">חתונה </w:t>
      </w:r>
      <w:bookmarkStart w:id="33084" w:name="_ETM_Q59_316730"/>
      <w:bookmarkEnd w:id="33084"/>
      <w:r w:rsidR="004D5B6C">
        <w:rPr>
          <w:rFonts w:hint="cs"/>
          <w:rtl/>
        </w:rPr>
        <w:t>ו</w:t>
      </w:r>
      <w:r>
        <w:rPr>
          <w:rFonts w:hint="cs"/>
          <w:rtl/>
        </w:rPr>
        <w:t xml:space="preserve">היו </w:t>
      </w:r>
      <w:bookmarkStart w:id="33085" w:name="_ETM_Q59_316939"/>
      <w:bookmarkEnd w:id="33085"/>
      <w:r>
        <w:rPr>
          <w:rFonts w:hint="cs"/>
          <w:rtl/>
        </w:rPr>
        <w:t xml:space="preserve">מביאים </w:t>
      </w:r>
      <w:bookmarkStart w:id="33086" w:name="_ETM_Q59_317269"/>
      <w:bookmarkEnd w:id="33086"/>
      <w:r>
        <w:rPr>
          <w:rFonts w:hint="cs"/>
          <w:rtl/>
        </w:rPr>
        <w:t xml:space="preserve">את </w:t>
      </w:r>
      <w:bookmarkStart w:id="33087" w:name="_ETM_Q59_317389"/>
      <w:bookmarkEnd w:id="33087"/>
      <w:r>
        <w:rPr>
          <w:rFonts w:hint="cs"/>
          <w:rtl/>
        </w:rPr>
        <w:t xml:space="preserve">החתן </w:t>
      </w:r>
      <w:bookmarkStart w:id="33088" w:name="_ETM_Q59_317749"/>
      <w:bookmarkEnd w:id="33088"/>
      <w:r>
        <w:rPr>
          <w:rFonts w:hint="cs"/>
          <w:rtl/>
        </w:rPr>
        <w:t xml:space="preserve">והכלה </w:t>
      </w:r>
      <w:bookmarkStart w:id="33089" w:name="_ETM_Q59_318319"/>
      <w:bookmarkEnd w:id="33089"/>
      <w:r>
        <w:rPr>
          <w:rFonts w:hint="cs"/>
          <w:rtl/>
        </w:rPr>
        <w:t>ולפניהם</w:t>
      </w:r>
      <w:r w:rsidR="004D5B6C">
        <w:rPr>
          <w:rFonts w:hint="cs"/>
          <w:rtl/>
        </w:rPr>
        <w:t>,</w:t>
      </w:r>
      <w:r>
        <w:rPr>
          <w:rFonts w:hint="cs"/>
          <w:rtl/>
        </w:rPr>
        <w:t xml:space="preserve"> </w:t>
      </w:r>
      <w:bookmarkStart w:id="33090" w:name="_ETM_Q59_319430"/>
      <w:bookmarkStart w:id="33091" w:name="_ETM_Q59_319579"/>
      <w:bookmarkEnd w:id="33090"/>
      <w:bookmarkEnd w:id="33091"/>
      <w:r>
        <w:rPr>
          <w:rFonts w:hint="cs"/>
          <w:rtl/>
        </w:rPr>
        <w:t xml:space="preserve">היו </w:t>
      </w:r>
      <w:bookmarkStart w:id="33092" w:name="_ETM_Q59_319760"/>
      <w:bookmarkEnd w:id="33092"/>
      <w:r>
        <w:rPr>
          <w:rFonts w:hint="cs"/>
          <w:rtl/>
        </w:rPr>
        <w:t xml:space="preserve">שמים </w:t>
      </w:r>
      <w:bookmarkStart w:id="33093" w:name="_ETM_Q59_320510"/>
      <w:bookmarkEnd w:id="33093"/>
      <w:r>
        <w:rPr>
          <w:rFonts w:hint="cs"/>
          <w:rtl/>
        </w:rPr>
        <w:t xml:space="preserve">תרנגולים, </w:t>
      </w:r>
      <w:bookmarkStart w:id="33094" w:name="_ETM_Q59_321139"/>
      <w:bookmarkEnd w:id="33094"/>
      <w:r>
        <w:rPr>
          <w:rFonts w:hint="cs"/>
          <w:rtl/>
        </w:rPr>
        <w:t xml:space="preserve">תרנגול </w:t>
      </w:r>
      <w:bookmarkStart w:id="33095" w:name="_ETM_Q59_321590"/>
      <w:bookmarkEnd w:id="33095"/>
      <w:r>
        <w:rPr>
          <w:rFonts w:hint="cs"/>
          <w:rtl/>
        </w:rPr>
        <w:t xml:space="preserve">ותרנגולת, </w:t>
      </w:r>
      <w:bookmarkStart w:id="33096" w:name="_ETM_Q59_322889"/>
      <w:bookmarkEnd w:id="33096"/>
      <w:r>
        <w:rPr>
          <w:rFonts w:hint="cs"/>
          <w:rtl/>
        </w:rPr>
        <w:t xml:space="preserve">וזה </w:t>
      </w:r>
      <w:bookmarkStart w:id="33097" w:name="_ETM_Q59_323160"/>
      <w:bookmarkEnd w:id="33097"/>
      <w:r>
        <w:rPr>
          <w:rFonts w:hint="cs"/>
          <w:rtl/>
        </w:rPr>
        <w:t xml:space="preserve">היה </w:t>
      </w:r>
      <w:bookmarkStart w:id="33098" w:name="_ETM_Q59_323250"/>
      <w:bookmarkEnd w:id="33098"/>
      <w:r>
        <w:rPr>
          <w:rFonts w:hint="cs"/>
          <w:rtl/>
        </w:rPr>
        <w:t xml:space="preserve">סימן </w:t>
      </w:r>
      <w:bookmarkStart w:id="33099" w:name="_ETM_Q59_323639"/>
      <w:bookmarkEnd w:id="33099"/>
      <w:r>
        <w:rPr>
          <w:rFonts w:hint="cs"/>
          <w:rtl/>
        </w:rPr>
        <w:t xml:space="preserve">של </w:t>
      </w:r>
      <w:bookmarkStart w:id="33100" w:name="_ETM_Q59_323790"/>
      <w:bookmarkEnd w:id="33100"/>
      <w:r>
        <w:rPr>
          <w:rFonts w:hint="cs"/>
          <w:rtl/>
        </w:rPr>
        <w:t xml:space="preserve">פוריות, </w:t>
      </w:r>
      <w:bookmarkStart w:id="33101" w:name="_ETM_Q59_324330"/>
      <w:bookmarkEnd w:id="33101"/>
      <w:r>
        <w:rPr>
          <w:rFonts w:hint="cs"/>
          <w:rtl/>
        </w:rPr>
        <w:t xml:space="preserve">ככה </w:t>
      </w:r>
      <w:bookmarkStart w:id="33102" w:name="_ETM_Q59_324599"/>
      <w:bookmarkEnd w:id="33102"/>
      <w:r>
        <w:rPr>
          <w:rFonts w:hint="cs"/>
          <w:rtl/>
        </w:rPr>
        <w:t>מסופר.</w:t>
      </w:r>
      <w:bookmarkStart w:id="33103" w:name="_ETM_Q59_326510"/>
      <w:bookmarkStart w:id="33104" w:name="_ETM_Q59_326506"/>
      <w:bookmarkEnd w:id="33103"/>
      <w:bookmarkEnd w:id="33104"/>
      <w:r>
        <w:rPr>
          <w:rFonts w:hint="cs"/>
          <w:rtl/>
        </w:rPr>
        <w:t xml:space="preserve"> באו </w:t>
      </w:r>
      <w:bookmarkStart w:id="33105" w:name="_ETM_Q59_326870"/>
      <w:bookmarkEnd w:id="33105"/>
      <w:r>
        <w:rPr>
          <w:rFonts w:hint="cs"/>
          <w:rtl/>
        </w:rPr>
        <w:t xml:space="preserve">הרומאים </w:t>
      </w:r>
      <w:bookmarkStart w:id="33106" w:name="_ETM_Q59_327349"/>
      <w:bookmarkEnd w:id="33106"/>
      <w:r>
        <w:rPr>
          <w:rFonts w:hint="cs"/>
          <w:rtl/>
        </w:rPr>
        <w:t xml:space="preserve">וחטפו </w:t>
      </w:r>
      <w:bookmarkStart w:id="33107" w:name="_ETM_Q59_327859"/>
      <w:bookmarkEnd w:id="33107"/>
      <w:r>
        <w:rPr>
          <w:rFonts w:hint="cs"/>
          <w:rtl/>
        </w:rPr>
        <w:t xml:space="preserve">את </w:t>
      </w:r>
      <w:bookmarkStart w:id="33108" w:name="_ETM_Q59_327950"/>
      <w:bookmarkEnd w:id="33108"/>
      <w:r>
        <w:rPr>
          <w:rFonts w:hint="cs"/>
          <w:rtl/>
        </w:rPr>
        <w:t xml:space="preserve">התרנגול </w:t>
      </w:r>
      <w:bookmarkStart w:id="33109" w:name="_ETM_Q59_328489"/>
      <w:bookmarkEnd w:id="33109"/>
      <w:r>
        <w:rPr>
          <w:rFonts w:hint="cs"/>
          <w:rtl/>
        </w:rPr>
        <w:t xml:space="preserve">והתרנגולת, </w:t>
      </w:r>
      <w:bookmarkStart w:id="33110" w:name="_ETM_Q59_330620"/>
      <w:bookmarkEnd w:id="33110"/>
      <w:r>
        <w:rPr>
          <w:rFonts w:hint="cs"/>
          <w:rtl/>
        </w:rPr>
        <w:t xml:space="preserve">מה </w:t>
      </w:r>
      <w:bookmarkStart w:id="33111" w:name="_ETM_Q59_330830"/>
      <w:bookmarkEnd w:id="33111"/>
      <w:r>
        <w:rPr>
          <w:rFonts w:hint="cs"/>
          <w:rtl/>
        </w:rPr>
        <w:t xml:space="preserve">שנקרא; </w:t>
      </w:r>
      <w:bookmarkStart w:id="33112" w:name="_ETM_Q59_331910"/>
      <w:bookmarkEnd w:id="33112"/>
      <w:r>
        <w:rPr>
          <w:rFonts w:hint="cs"/>
          <w:rtl/>
        </w:rPr>
        <w:t xml:space="preserve">אולי </w:t>
      </w:r>
      <w:bookmarkStart w:id="33113" w:name="_ETM_Q59_332270"/>
      <w:bookmarkEnd w:id="33113"/>
      <w:r>
        <w:rPr>
          <w:rFonts w:hint="cs"/>
          <w:rtl/>
        </w:rPr>
        <w:t xml:space="preserve">הם </w:t>
      </w:r>
      <w:bookmarkStart w:id="33114" w:name="_ETM_Q59_332389"/>
      <w:bookmarkEnd w:id="33114"/>
      <w:r>
        <w:rPr>
          <w:rFonts w:hint="cs"/>
          <w:rtl/>
        </w:rPr>
        <w:t xml:space="preserve">עשו </w:t>
      </w:r>
      <w:bookmarkStart w:id="33115" w:name="_ETM_Q59_332599"/>
      <w:bookmarkEnd w:id="33115"/>
      <w:r>
        <w:rPr>
          <w:rFonts w:hint="cs"/>
          <w:rtl/>
        </w:rPr>
        <w:t xml:space="preserve">את </w:t>
      </w:r>
      <w:bookmarkStart w:id="33116" w:name="_ETM_Q59_332720"/>
      <w:bookmarkEnd w:id="33116"/>
      <w:r>
        <w:rPr>
          <w:rFonts w:hint="cs"/>
          <w:rtl/>
        </w:rPr>
        <w:t xml:space="preserve">זה </w:t>
      </w:r>
      <w:bookmarkStart w:id="33117" w:name="_ETM_Q59_332840"/>
      <w:bookmarkEnd w:id="33117"/>
      <w:r>
        <w:rPr>
          <w:rFonts w:hint="cs"/>
          <w:rtl/>
        </w:rPr>
        <w:t xml:space="preserve">בשביל </w:t>
      </w:r>
      <w:bookmarkStart w:id="33118" w:name="_ETM_Q59_333139"/>
      <w:bookmarkEnd w:id="33118"/>
      <w:r>
        <w:rPr>
          <w:rFonts w:hint="cs"/>
          <w:rtl/>
        </w:rPr>
        <w:t xml:space="preserve">לאכול </w:t>
      </w:r>
      <w:bookmarkStart w:id="33119" w:name="_ETM_Q59_333620"/>
      <w:bookmarkEnd w:id="33119"/>
      <w:r>
        <w:rPr>
          <w:rFonts w:hint="cs"/>
          <w:rtl/>
        </w:rPr>
        <w:t xml:space="preserve">כי </w:t>
      </w:r>
      <w:bookmarkStart w:id="33120" w:name="_ETM_Q59_333709"/>
      <w:bookmarkEnd w:id="33120"/>
      <w:r>
        <w:rPr>
          <w:rFonts w:hint="cs"/>
          <w:rtl/>
        </w:rPr>
        <w:t xml:space="preserve">הם </w:t>
      </w:r>
      <w:bookmarkStart w:id="33121" w:name="_ETM_Q59_333770"/>
      <w:bookmarkEnd w:id="33121"/>
      <w:r>
        <w:rPr>
          <w:rFonts w:hint="cs"/>
          <w:rtl/>
        </w:rPr>
        <w:t xml:space="preserve">היו </w:t>
      </w:r>
      <w:bookmarkStart w:id="33122" w:name="_ETM_Q59_333889"/>
      <w:bookmarkEnd w:id="33122"/>
      <w:r>
        <w:rPr>
          <w:rFonts w:hint="cs"/>
          <w:rtl/>
        </w:rPr>
        <w:t xml:space="preserve">רעבים, </w:t>
      </w:r>
      <w:bookmarkStart w:id="33123" w:name="_ETM_Q59_334310"/>
      <w:bookmarkEnd w:id="33123"/>
      <w:r>
        <w:rPr>
          <w:rFonts w:hint="cs"/>
          <w:rtl/>
        </w:rPr>
        <w:t xml:space="preserve">אולי </w:t>
      </w:r>
      <w:bookmarkStart w:id="33124" w:name="_ETM_Q59_334520"/>
      <w:bookmarkEnd w:id="33124"/>
      <w:r>
        <w:rPr>
          <w:rFonts w:hint="cs"/>
          <w:rtl/>
        </w:rPr>
        <w:t xml:space="preserve">הם </w:t>
      </w:r>
      <w:bookmarkStart w:id="33125" w:name="_ETM_Q59_334580"/>
      <w:bookmarkEnd w:id="33125"/>
      <w:r>
        <w:rPr>
          <w:rFonts w:hint="cs"/>
          <w:rtl/>
        </w:rPr>
        <w:t xml:space="preserve">עשו </w:t>
      </w:r>
      <w:bookmarkStart w:id="33126" w:name="_ETM_Q59_334790"/>
      <w:bookmarkEnd w:id="33126"/>
      <w:r>
        <w:rPr>
          <w:rFonts w:hint="cs"/>
          <w:rtl/>
        </w:rPr>
        <w:t xml:space="preserve">את </w:t>
      </w:r>
      <w:bookmarkStart w:id="33127" w:name="_ETM_Q59_334880"/>
      <w:bookmarkEnd w:id="33127"/>
      <w:r>
        <w:rPr>
          <w:rFonts w:hint="cs"/>
          <w:rtl/>
        </w:rPr>
        <w:t xml:space="preserve">זה </w:t>
      </w:r>
      <w:bookmarkStart w:id="33128" w:name="_ETM_Q59_334940"/>
      <w:bookmarkEnd w:id="33128"/>
      <w:r>
        <w:rPr>
          <w:rFonts w:hint="cs"/>
          <w:rtl/>
        </w:rPr>
        <w:t xml:space="preserve">כדי </w:t>
      </w:r>
      <w:bookmarkStart w:id="33129" w:name="_ETM_Q59_335150"/>
      <w:bookmarkEnd w:id="33129"/>
      <w:r>
        <w:rPr>
          <w:rFonts w:hint="cs"/>
          <w:rtl/>
        </w:rPr>
        <w:t xml:space="preserve">להתגרות, </w:t>
      </w:r>
      <w:bookmarkStart w:id="33130" w:name="_ETM_Q59_335989"/>
      <w:bookmarkEnd w:id="33130"/>
      <w:r>
        <w:rPr>
          <w:rFonts w:hint="cs"/>
          <w:rtl/>
        </w:rPr>
        <w:t xml:space="preserve">אולי </w:t>
      </w:r>
      <w:bookmarkStart w:id="33131" w:name="_ETM_Q59_336290"/>
      <w:bookmarkEnd w:id="33131"/>
      <w:r>
        <w:rPr>
          <w:rFonts w:hint="cs"/>
          <w:rtl/>
        </w:rPr>
        <w:t xml:space="preserve">הם </w:t>
      </w:r>
      <w:bookmarkStart w:id="33132" w:name="_ETM_Q59_336380"/>
      <w:bookmarkEnd w:id="33132"/>
      <w:r>
        <w:rPr>
          <w:rFonts w:hint="cs"/>
          <w:rtl/>
        </w:rPr>
        <w:t xml:space="preserve">עשו </w:t>
      </w:r>
      <w:bookmarkStart w:id="33133" w:name="_ETM_Q59_336590"/>
      <w:bookmarkEnd w:id="33133"/>
      <w:r>
        <w:rPr>
          <w:rFonts w:hint="cs"/>
          <w:rtl/>
        </w:rPr>
        <w:t xml:space="preserve">את </w:t>
      </w:r>
      <w:bookmarkStart w:id="33134" w:name="_ETM_Q59_336680"/>
      <w:bookmarkEnd w:id="33134"/>
      <w:r>
        <w:rPr>
          <w:rFonts w:hint="cs"/>
          <w:rtl/>
        </w:rPr>
        <w:t xml:space="preserve">זה </w:t>
      </w:r>
      <w:bookmarkStart w:id="33135" w:name="_ETM_Q59_336790"/>
      <w:bookmarkEnd w:id="33135"/>
      <w:r>
        <w:rPr>
          <w:rFonts w:hint="cs"/>
          <w:rtl/>
        </w:rPr>
        <w:t xml:space="preserve">אפילו כדי </w:t>
      </w:r>
      <w:bookmarkStart w:id="33136" w:name="_ETM_Q59_337389"/>
      <w:bookmarkStart w:id="33137" w:name="_ETM_Q59_337719"/>
      <w:bookmarkEnd w:id="33136"/>
      <w:bookmarkEnd w:id="33137"/>
      <w:r>
        <w:rPr>
          <w:rFonts w:hint="cs"/>
          <w:rtl/>
        </w:rPr>
        <w:t xml:space="preserve">להשפיל. </w:t>
      </w:r>
      <w:bookmarkStart w:id="33138" w:name="_ETM_Q59_339950"/>
      <w:bookmarkEnd w:id="33138"/>
      <w:r>
        <w:rPr>
          <w:rFonts w:hint="cs"/>
          <w:rtl/>
        </w:rPr>
        <w:t xml:space="preserve">אנשי </w:t>
      </w:r>
      <w:bookmarkStart w:id="33139" w:name="_ETM_Q59_340610"/>
      <w:bookmarkEnd w:id="33139"/>
      <w:r>
        <w:rPr>
          <w:rFonts w:hint="cs"/>
          <w:rtl/>
        </w:rPr>
        <w:t xml:space="preserve">ההר </w:t>
      </w:r>
      <w:bookmarkStart w:id="33140" w:name="_ETM_Q59_341419"/>
      <w:bookmarkEnd w:id="33140"/>
      <w:r>
        <w:rPr>
          <w:rFonts w:hint="cs"/>
          <w:rtl/>
        </w:rPr>
        <w:t xml:space="preserve">של </w:t>
      </w:r>
      <w:bookmarkStart w:id="33141" w:name="_ETM_Q59_341599"/>
      <w:bookmarkEnd w:id="33141"/>
      <w:r>
        <w:rPr>
          <w:rFonts w:hint="cs"/>
          <w:rtl/>
        </w:rPr>
        <w:t xml:space="preserve">טור </w:t>
      </w:r>
      <w:bookmarkStart w:id="33142" w:name="_ETM_Q59_341810"/>
      <w:bookmarkEnd w:id="33142"/>
      <w:r>
        <w:rPr>
          <w:rFonts w:hint="cs"/>
          <w:rtl/>
        </w:rPr>
        <w:t xml:space="preserve">מלכא </w:t>
      </w:r>
      <w:bookmarkStart w:id="33143" w:name="_ETM_Q59_342169"/>
      <w:bookmarkEnd w:id="33143"/>
      <w:r>
        <w:rPr>
          <w:rFonts w:hint="cs"/>
          <w:rtl/>
        </w:rPr>
        <w:t xml:space="preserve">הם </w:t>
      </w:r>
      <w:bookmarkStart w:id="33144" w:name="_ETM_Q59_342260"/>
      <w:bookmarkEnd w:id="33144"/>
      <w:r>
        <w:rPr>
          <w:rFonts w:hint="cs"/>
          <w:rtl/>
        </w:rPr>
        <w:t xml:space="preserve">אנשים </w:t>
      </w:r>
      <w:bookmarkStart w:id="33145" w:name="_ETM_Q59_342650"/>
      <w:bookmarkEnd w:id="33145"/>
      <w:r>
        <w:rPr>
          <w:rFonts w:hint="cs"/>
          <w:rtl/>
        </w:rPr>
        <w:t>גאים</w:t>
      </w:r>
      <w:r w:rsidR="004D5B6C">
        <w:rPr>
          <w:rFonts w:hint="cs"/>
          <w:rtl/>
        </w:rPr>
        <w:t>,</w:t>
      </w:r>
      <w:r>
        <w:rPr>
          <w:rFonts w:hint="cs"/>
          <w:rtl/>
        </w:rPr>
        <w:t xml:space="preserve"> </w:t>
      </w:r>
      <w:bookmarkStart w:id="33146" w:name="_ETM_Q59_343870"/>
      <w:bookmarkEnd w:id="33146"/>
      <w:r>
        <w:rPr>
          <w:rFonts w:hint="cs"/>
          <w:rtl/>
        </w:rPr>
        <w:t xml:space="preserve">הם </w:t>
      </w:r>
      <w:bookmarkStart w:id="33147" w:name="_ETM_Q59_344110"/>
      <w:bookmarkEnd w:id="33147"/>
      <w:r>
        <w:rPr>
          <w:rFonts w:hint="cs"/>
          <w:rtl/>
        </w:rPr>
        <w:t xml:space="preserve">לא </w:t>
      </w:r>
      <w:bookmarkStart w:id="33148" w:name="_ETM_Q59_344200"/>
      <w:bookmarkEnd w:id="33148"/>
      <w:r>
        <w:rPr>
          <w:rFonts w:hint="cs"/>
          <w:rtl/>
        </w:rPr>
        <w:t xml:space="preserve">יוותרו </w:t>
      </w:r>
      <w:bookmarkStart w:id="33149" w:name="_ETM_Q59_344620"/>
      <w:bookmarkEnd w:id="33149"/>
      <w:r>
        <w:rPr>
          <w:rFonts w:hint="cs"/>
          <w:rtl/>
        </w:rPr>
        <w:t xml:space="preserve">לרומאים, </w:t>
      </w:r>
      <w:bookmarkStart w:id="33150" w:name="_ETM_Q59_345810"/>
      <w:bookmarkEnd w:id="33150"/>
      <w:r>
        <w:rPr>
          <w:rFonts w:hint="cs"/>
          <w:rtl/>
        </w:rPr>
        <w:t xml:space="preserve">והם </w:t>
      </w:r>
      <w:bookmarkStart w:id="33151" w:name="_ETM_Q59_346230"/>
      <w:bookmarkEnd w:id="33151"/>
      <w:r>
        <w:rPr>
          <w:rFonts w:hint="cs"/>
          <w:rtl/>
        </w:rPr>
        <w:t xml:space="preserve">יצאו </w:t>
      </w:r>
      <w:bookmarkStart w:id="33152" w:name="_ETM_Q59_346500"/>
      <w:bookmarkEnd w:id="33152"/>
      <w:r>
        <w:rPr>
          <w:rFonts w:hint="cs"/>
          <w:rtl/>
        </w:rPr>
        <w:t xml:space="preserve">למלחמה, </w:t>
      </w:r>
      <w:bookmarkStart w:id="33153" w:name="_ETM_Q59_347959"/>
      <w:bookmarkEnd w:id="33153"/>
      <w:r>
        <w:rPr>
          <w:rFonts w:hint="cs"/>
          <w:rtl/>
        </w:rPr>
        <w:t xml:space="preserve">מלחמה </w:t>
      </w:r>
      <w:bookmarkStart w:id="33154" w:name="_ETM_Q59_348439"/>
      <w:bookmarkEnd w:id="33154"/>
      <w:r>
        <w:rPr>
          <w:rFonts w:hint="cs"/>
          <w:rtl/>
        </w:rPr>
        <w:t xml:space="preserve">מוצדקת </w:t>
      </w:r>
      <w:bookmarkStart w:id="33155" w:name="_ETM_Q59_349510"/>
      <w:bookmarkEnd w:id="33155"/>
      <w:r>
        <w:rPr>
          <w:rFonts w:hint="cs"/>
          <w:rtl/>
        </w:rPr>
        <w:t xml:space="preserve">– השפילו </w:t>
      </w:r>
      <w:bookmarkStart w:id="33156" w:name="_ETM_Q59_350139"/>
      <w:bookmarkEnd w:id="33156"/>
      <w:r>
        <w:rPr>
          <w:rFonts w:hint="cs"/>
          <w:rtl/>
        </w:rPr>
        <w:t>אותנו</w:t>
      </w:r>
      <w:r w:rsidR="004D5B6C">
        <w:rPr>
          <w:rFonts w:hint="cs"/>
          <w:rtl/>
        </w:rPr>
        <w:t>,</w:t>
      </w:r>
      <w:r>
        <w:rPr>
          <w:rFonts w:hint="cs"/>
          <w:rtl/>
        </w:rPr>
        <w:t xml:space="preserve"> </w:t>
      </w:r>
      <w:bookmarkStart w:id="33157" w:name="_ETM_Q59_351180"/>
      <w:bookmarkEnd w:id="33157"/>
      <w:r>
        <w:rPr>
          <w:rFonts w:hint="cs"/>
          <w:rtl/>
        </w:rPr>
        <w:t xml:space="preserve">כבוד </w:t>
      </w:r>
      <w:bookmarkStart w:id="33158" w:name="_ETM_Q59_351600"/>
      <w:bookmarkEnd w:id="33158"/>
      <w:r>
        <w:rPr>
          <w:rFonts w:hint="cs"/>
          <w:rtl/>
        </w:rPr>
        <w:t xml:space="preserve">המסורת. </w:t>
      </w:r>
      <w:bookmarkStart w:id="33159" w:name="_ETM_Q59_353129"/>
      <w:bookmarkEnd w:id="33159"/>
      <w:r>
        <w:rPr>
          <w:rFonts w:hint="cs"/>
          <w:rtl/>
        </w:rPr>
        <w:t xml:space="preserve">והינה </w:t>
      </w:r>
      <w:bookmarkStart w:id="33160" w:name="_ETM_Q59_353519"/>
      <w:bookmarkEnd w:id="33160"/>
      <w:r>
        <w:rPr>
          <w:rFonts w:hint="cs"/>
          <w:rtl/>
        </w:rPr>
        <w:t xml:space="preserve">עוד </w:t>
      </w:r>
      <w:bookmarkStart w:id="33161" w:name="_ETM_Q59_353790"/>
      <w:bookmarkEnd w:id="33161"/>
      <w:r>
        <w:rPr>
          <w:rFonts w:hint="cs"/>
          <w:rtl/>
        </w:rPr>
        <w:t xml:space="preserve">אנשים </w:t>
      </w:r>
      <w:bookmarkStart w:id="33162" w:name="_ETM_Q59_354239"/>
      <w:bookmarkEnd w:id="33162"/>
      <w:r>
        <w:rPr>
          <w:rFonts w:hint="cs"/>
          <w:rtl/>
        </w:rPr>
        <w:t xml:space="preserve">שיצאו </w:t>
      </w:r>
      <w:bookmarkStart w:id="33163" w:name="_ETM_Q59_354629"/>
      <w:bookmarkEnd w:id="33163"/>
      <w:r>
        <w:rPr>
          <w:rFonts w:hint="cs"/>
          <w:rtl/>
        </w:rPr>
        <w:t xml:space="preserve">להיות </w:t>
      </w:r>
      <w:bookmarkStart w:id="33164" w:name="_ETM_Q59_354870"/>
      <w:bookmarkEnd w:id="33164"/>
      <w:r>
        <w:rPr>
          <w:rFonts w:hint="cs"/>
          <w:rtl/>
        </w:rPr>
        <w:t xml:space="preserve">צודקים </w:t>
      </w:r>
      <w:bookmarkStart w:id="33165" w:name="_ETM_Q59_355680"/>
      <w:bookmarkEnd w:id="33165"/>
      <w:r>
        <w:rPr>
          <w:rFonts w:hint="cs"/>
          <w:rtl/>
        </w:rPr>
        <w:t xml:space="preserve">במקום </w:t>
      </w:r>
      <w:bookmarkStart w:id="33166" w:name="_ETM_Q59_356040"/>
      <w:bookmarkEnd w:id="33166"/>
      <w:r>
        <w:rPr>
          <w:rFonts w:hint="cs"/>
          <w:rtl/>
        </w:rPr>
        <w:t xml:space="preserve">להיות </w:t>
      </w:r>
      <w:bookmarkStart w:id="33167" w:name="_ETM_Q59_356250"/>
      <w:bookmarkEnd w:id="33167"/>
      <w:r>
        <w:rPr>
          <w:rFonts w:hint="cs"/>
          <w:rtl/>
        </w:rPr>
        <w:t xml:space="preserve">חכמים, </w:t>
      </w:r>
      <w:bookmarkStart w:id="33168" w:name="_ETM_Q59_357330"/>
      <w:bookmarkEnd w:id="33168"/>
      <w:r w:rsidR="004D5B6C">
        <w:rPr>
          <w:rFonts w:hint="cs"/>
          <w:rtl/>
        </w:rPr>
        <w:t>ו</w:t>
      </w:r>
      <w:r>
        <w:rPr>
          <w:rFonts w:hint="cs"/>
          <w:rtl/>
        </w:rPr>
        <w:t xml:space="preserve">לא </w:t>
      </w:r>
      <w:bookmarkStart w:id="33169" w:name="_ETM_Q59_357510"/>
      <w:bookmarkEnd w:id="33169"/>
      <w:r>
        <w:rPr>
          <w:rFonts w:hint="cs"/>
          <w:rtl/>
        </w:rPr>
        <w:t xml:space="preserve">ניסו </w:t>
      </w:r>
      <w:bookmarkStart w:id="33170" w:name="_ETM_Q59_357810"/>
      <w:bookmarkEnd w:id="33170"/>
      <w:r>
        <w:rPr>
          <w:rFonts w:hint="cs"/>
          <w:rtl/>
        </w:rPr>
        <w:t>לעצור</w:t>
      </w:r>
      <w:bookmarkStart w:id="33171" w:name="_ETM_Q59_358319"/>
      <w:bookmarkEnd w:id="33171"/>
      <w:r w:rsidR="004D5B6C">
        <w:rPr>
          <w:rFonts w:hint="cs"/>
          <w:rtl/>
        </w:rPr>
        <w:t xml:space="preserve">, </w:t>
      </w:r>
      <w:r>
        <w:rPr>
          <w:rFonts w:hint="cs"/>
          <w:rtl/>
        </w:rPr>
        <w:t xml:space="preserve">כמו </w:t>
      </w:r>
      <w:bookmarkStart w:id="33172" w:name="_ETM_Q59_358500"/>
      <w:bookmarkEnd w:id="33172"/>
      <w:r>
        <w:rPr>
          <w:rFonts w:hint="cs"/>
          <w:rtl/>
        </w:rPr>
        <w:t xml:space="preserve">החכמים </w:t>
      </w:r>
      <w:bookmarkStart w:id="33173" w:name="_ETM_Q59_359389"/>
      <w:bookmarkEnd w:id="33173"/>
      <w:r>
        <w:rPr>
          <w:rFonts w:hint="cs"/>
          <w:rtl/>
        </w:rPr>
        <w:t xml:space="preserve">בסיפור </w:t>
      </w:r>
      <w:bookmarkStart w:id="33174" w:name="_ETM_Q59_359990"/>
      <w:bookmarkEnd w:id="33174"/>
      <w:r>
        <w:rPr>
          <w:rFonts w:hint="cs"/>
          <w:rtl/>
        </w:rPr>
        <w:t xml:space="preserve">של </w:t>
      </w:r>
      <w:bookmarkStart w:id="33175" w:name="_ETM_Q59_360169"/>
      <w:bookmarkEnd w:id="33175"/>
      <w:r>
        <w:rPr>
          <w:rFonts w:hint="cs"/>
          <w:rtl/>
        </w:rPr>
        <w:t xml:space="preserve">קמצא </w:t>
      </w:r>
      <w:bookmarkStart w:id="33176" w:name="_ETM_Q59_360530"/>
      <w:bookmarkEnd w:id="33176"/>
      <w:r>
        <w:rPr>
          <w:rFonts w:hint="cs"/>
          <w:rtl/>
        </w:rPr>
        <w:t xml:space="preserve">ובר-קמצא, </w:t>
      </w:r>
      <w:bookmarkStart w:id="33177" w:name="_ETM_Q59_361610"/>
      <w:bookmarkEnd w:id="33177"/>
      <w:r>
        <w:rPr>
          <w:rFonts w:hint="cs"/>
          <w:rtl/>
        </w:rPr>
        <w:t xml:space="preserve">לחשוב </w:t>
      </w:r>
      <w:bookmarkStart w:id="33178" w:name="_ETM_Q59_361970"/>
      <w:bookmarkEnd w:id="33178"/>
      <w:r>
        <w:rPr>
          <w:rFonts w:hint="cs"/>
          <w:rtl/>
        </w:rPr>
        <w:t xml:space="preserve">על </w:t>
      </w:r>
      <w:bookmarkStart w:id="33179" w:name="_ETM_Q59_362060"/>
      <w:bookmarkEnd w:id="33179"/>
      <w:r>
        <w:rPr>
          <w:rFonts w:hint="cs"/>
          <w:rtl/>
        </w:rPr>
        <w:t xml:space="preserve">השלכות </w:t>
      </w:r>
      <w:bookmarkStart w:id="33180" w:name="_ETM_Q59_362600"/>
      <w:bookmarkEnd w:id="33180"/>
      <w:r>
        <w:rPr>
          <w:rFonts w:hint="cs"/>
          <w:rtl/>
        </w:rPr>
        <w:t>המעשים.</w:t>
      </w:r>
      <w:bookmarkStart w:id="33181" w:name="_ETM_Q59_364159"/>
      <w:bookmarkEnd w:id="33181"/>
    </w:p>
    <w:p w:rsidR="00BB59CD" w:rsidRDefault="00BB59CD" w:rsidP="00BB59CD">
      <w:pPr>
        <w:rPr>
          <w:rtl/>
        </w:rPr>
      </w:pPr>
    </w:p>
    <w:p w:rsidR="00BB59CD" w:rsidRDefault="00BB59CD" w:rsidP="00BB59CD">
      <w:pPr>
        <w:rPr>
          <w:rtl/>
        </w:rPr>
      </w:pPr>
      <w:bookmarkStart w:id="33182" w:name="_ETM_Q59_364364"/>
      <w:bookmarkEnd w:id="33182"/>
      <w:r>
        <w:rPr>
          <w:rFonts w:hint="cs"/>
          <w:rtl/>
        </w:rPr>
        <w:t xml:space="preserve">הדברים </w:t>
      </w:r>
      <w:bookmarkStart w:id="33183" w:name="_ETM_Q59_364519"/>
      <w:bookmarkEnd w:id="33183"/>
      <w:r>
        <w:rPr>
          <w:rFonts w:hint="cs"/>
          <w:rtl/>
        </w:rPr>
        <w:t xml:space="preserve">מזכירים </w:t>
      </w:r>
      <w:bookmarkStart w:id="33184" w:name="_ETM_Q59_364999"/>
      <w:bookmarkEnd w:id="33184"/>
      <w:r>
        <w:rPr>
          <w:rFonts w:hint="cs"/>
          <w:rtl/>
        </w:rPr>
        <w:t xml:space="preserve">לנו </w:t>
      </w:r>
      <w:bookmarkStart w:id="33185" w:name="_ETM_Q59_365239"/>
      <w:bookmarkEnd w:id="33185"/>
      <w:r>
        <w:rPr>
          <w:rFonts w:hint="cs"/>
          <w:rtl/>
        </w:rPr>
        <w:t xml:space="preserve">עוד </w:t>
      </w:r>
      <w:bookmarkStart w:id="33186" w:name="_ETM_Q59_365739"/>
      <w:bookmarkEnd w:id="33186"/>
      <w:r>
        <w:rPr>
          <w:rFonts w:hint="cs"/>
          <w:rtl/>
        </w:rPr>
        <w:t xml:space="preserve">בתנ"ך </w:t>
      </w:r>
      <w:bookmarkStart w:id="33187" w:name="_ETM_Q59_366250"/>
      <w:bookmarkEnd w:id="33187"/>
      <w:r>
        <w:rPr>
          <w:rFonts w:hint="cs"/>
          <w:rtl/>
        </w:rPr>
        <w:t xml:space="preserve">את </w:t>
      </w:r>
      <w:bookmarkStart w:id="33188" w:name="_ETM_Q59_366370"/>
      <w:bookmarkEnd w:id="33188"/>
      <w:r>
        <w:rPr>
          <w:rFonts w:hint="cs"/>
          <w:rtl/>
        </w:rPr>
        <w:t xml:space="preserve">יעקב </w:t>
      </w:r>
      <w:bookmarkStart w:id="33189" w:name="_ETM_Q59_366819"/>
      <w:bookmarkEnd w:id="33189"/>
      <w:r>
        <w:rPr>
          <w:rFonts w:hint="cs"/>
          <w:rtl/>
        </w:rPr>
        <w:t xml:space="preserve">אבינו, </w:t>
      </w:r>
      <w:bookmarkStart w:id="33190" w:name="_ETM_Q59_367629"/>
      <w:bookmarkEnd w:id="33190"/>
      <w:r>
        <w:rPr>
          <w:rFonts w:hint="cs"/>
          <w:rtl/>
        </w:rPr>
        <w:t xml:space="preserve">שנוזף </w:t>
      </w:r>
      <w:bookmarkStart w:id="33191" w:name="_ETM_Q59_368230"/>
      <w:bookmarkEnd w:id="33191"/>
      <w:r>
        <w:rPr>
          <w:rFonts w:hint="cs"/>
          <w:rtl/>
        </w:rPr>
        <w:t xml:space="preserve">בשמעון </w:t>
      </w:r>
      <w:bookmarkStart w:id="33192" w:name="_ETM_Q59_368800"/>
      <w:bookmarkEnd w:id="33192"/>
      <w:r>
        <w:rPr>
          <w:rFonts w:hint="cs"/>
          <w:rtl/>
        </w:rPr>
        <w:t xml:space="preserve">ולוי, </w:t>
      </w:r>
      <w:bookmarkStart w:id="33193" w:name="_ETM_Q59_370190"/>
      <w:bookmarkEnd w:id="33193"/>
      <w:r>
        <w:rPr>
          <w:rFonts w:hint="cs"/>
          <w:rtl/>
        </w:rPr>
        <w:t xml:space="preserve">"עכרתם </w:t>
      </w:r>
      <w:bookmarkStart w:id="33194" w:name="_ETM_Q59_370730"/>
      <w:bookmarkEnd w:id="33194"/>
      <w:r>
        <w:rPr>
          <w:rFonts w:hint="cs"/>
          <w:rtl/>
        </w:rPr>
        <w:t xml:space="preserve">אֹתי </w:t>
      </w:r>
      <w:bookmarkStart w:id="33195" w:name="_ETM_Q59_371030"/>
      <w:bookmarkEnd w:id="33195"/>
      <w:r>
        <w:rPr>
          <w:rFonts w:hint="cs"/>
          <w:rtl/>
        </w:rPr>
        <w:t xml:space="preserve">להבאישני </w:t>
      </w:r>
      <w:bookmarkStart w:id="33196" w:name="_ETM_Q59_371330"/>
      <w:bookmarkEnd w:id="33196"/>
      <w:r>
        <w:rPr>
          <w:rFonts w:hint="cs"/>
          <w:rtl/>
        </w:rPr>
        <w:t xml:space="preserve">ביֹשב </w:t>
      </w:r>
      <w:bookmarkStart w:id="33197" w:name="_ETM_Q59_372770"/>
      <w:bookmarkEnd w:id="33197"/>
      <w:r>
        <w:rPr>
          <w:rFonts w:hint="cs"/>
          <w:rtl/>
        </w:rPr>
        <w:t xml:space="preserve">הארץ", </w:t>
      </w:r>
      <w:bookmarkStart w:id="33198" w:name="_ETM_Q59_374490"/>
      <w:bookmarkEnd w:id="33198"/>
      <w:r>
        <w:rPr>
          <w:rFonts w:hint="cs"/>
          <w:rtl/>
        </w:rPr>
        <w:t xml:space="preserve">על כך </w:t>
      </w:r>
      <w:bookmarkStart w:id="33199" w:name="_ETM_Q59_374910"/>
      <w:bookmarkEnd w:id="33199"/>
      <w:r>
        <w:rPr>
          <w:rFonts w:hint="cs"/>
          <w:rtl/>
        </w:rPr>
        <w:t xml:space="preserve">שהם </w:t>
      </w:r>
      <w:bookmarkStart w:id="33200" w:name="_ETM_Q59_375610"/>
      <w:bookmarkEnd w:id="33200"/>
      <w:r>
        <w:rPr>
          <w:rFonts w:hint="cs"/>
          <w:rtl/>
        </w:rPr>
        <w:t xml:space="preserve">נקמו </w:t>
      </w:r>
      <w:bookmarkStart w:id="33201" w:name="_ETM_Q59_376060"/>
      <w:bookmarkEnd w:id="33201"/>
      <w:r>
        <w:rPr>
          <w:rFonts w:hint="cs"/>
          <w:rtl/>
        </w:rPr>
        <w:t xml:space="preserve">נקמה </w:t>
      </w:r>
      <w:bookmarkStart w:id="33202" w:name="_ETM_Q59_376419"/>
      <w:bookmarkStart w:id="33203" w:name="_ETM_Q59_376780"/>
      <w:bookmarkEnd w:id="33202"/>
      <w:bookmarkEnd w:id="33203"/>
      <w:r>
        <w:rPr>
          <w:rFonts w:hint="cs"/>
          <w:rtl/>
        </w:rPr>
        <w:t xml:space="preserve">מוצדקת </w:t>
      </w:r>
      <w:bookmarkStart w:id="33204" w:name="_ETM_Q59_377919"/>
      <w:bookmarkEnd w:id="33204"/>
      <w:r>
        <w:rPr>
          <w:rFonts w:hint="cs"/>
          <w:rtl/>
        </w:rPr>
        <w:t xml:space="preserve">באנשי </w:t>
      </w:r>
      <w:bookmarkStart w:id="33205" w:name="_ETM_Q59_378370"/>
      <w:bookmarkEnd w:id="33205"/>
      <w:r>
        <w:rPr>
          <w:rFonts w:hint="cs"/>
          <w:rtl/>
        </w:rPr>
        <w:t xml:space="preserve">שכם </w:t>
      </w:r>
      <w:bookmarkStart w:id="33206" w:name="_ETM_Q59_379510"/>
      <w:bookmarkEnd w:id="33206"/>
      <w:r>
        <w:rPr>
          <w:rFonts w:hint="cs"/>
          <w:rtl/>
        </w:rPr>
        <w:t xml:space="preserve">על </w:t>
      </w:r>
      <w:bookmarkStart w:id="33207" w:name="_ETM_Q59_379629"/>
      <w:bookmarkEnd w:id="33207"/>
      <w:r>
        <w:rPr>
          <w:rFonts w:hint="cs"/>
          <w:rtl/>
        </w:rPr>
        <w:t xml:space="preserve">סיפור </w:t>
      </w:r>
      <w:bookmarkStart w:id="33208" w:name="_ETM_Q59_379989"/>
      <w:bookmarkEnd w:id="33208"/>
      <w:r>
        <w:rPr>
          <w:rFonts w:hint="cs"/>
          <w:rtl/>
        </w:rPr>
        <w:t xml:space="preserve">דינה </w:t>
      </w:r>
      <w:bookmarkStart w:id="33209" w:name="_ETM_Q59_380349"/>
      <w:bookmarkEnd w:id="33209"/>
      <w:r>
        <w:rPr>
          <w:rFonts w:hint="cs"/>
          <w:rtl/>
        </w:rPr>
        <w:t xml:space="preserve">אחותם. </w:t>
      </w:r>
      <w:bookmarkStart w:id="33210" w:name="_ETM_Q59_381639"/>
      <w:bookmarkEnd w:id="33210"/>
      <w:r>
        <w:rPr>
          <w:rFonts w:hint="cs"/>
          <w:rtl/>
        </w:rPr>
        <w:t xml:space="preserve">אבל </w:t>
      </w:r>
      <w:bookmarkStart w:id="33211" w:name="_ETM_Q59_381880"/>
      <w:bookmarkEnd w:id="33211"/>
      <w:r>
        <w:rPr>
          <w:rFonts w:hint="cs"/>
          <w:rtl/>
        </w:rPr>
        <w:t xml:space="preserve">הינה, </w:t>
      </w:r>
      <w:bookmarkStart w:id="33212" w:name="_ETM_Q59_382120"/>
      <w:bookmarkEnd w:id="33212"/>
      <w:r>
        <w:rPr>
          <w:rFonts w:hint="cs"/>
          <w:rtl/>
        </w:rPr>
        <w:t xml:space="preserve">אנחנו </w:t>
      </w:r>
      <w:bookmarkStart w:id="33213" w:name="_ETM_Q59_382480"/>
      <w:bookmarkEnd w:id="33213"/>
      <w:r>
        <w:rPr>
          <w:rFonts w:hint="cs"/>
          <w:rtl/>
        </w:rPr>
        <w:t xml:space="preserve">מקדשים </w:t>
      </w:r>
      <w:bookmarkStart w:id="33214" w:name="_ETM_Q59_382990"/>
      <w:bookmarkEnd w:id="33214"/>
      <w:r>
        <w:rPr>
          <w:rFonts w:hint="cs"/>
          <w:rtl/>
        </w:rPr>
        <w:t xml:space="preserve">את </w:t>
      </w:r>
      <w:bookmarkStart w:id="33215" w:name="_ETM_Q59_383110"/>
      <w:bookmarkEnd w:id="33215"/>
      <w:r>
        <w:rPr>
          <w:rFonts w:hint="cs"/>
          <w:rtl/>
        </w:rPr>
        <w:t xml:space="preserve">הסמל </w:t>
      </w:r>
      <w:bookmarkStart w:id="33216" w:name="_ETM_Q59_384180"/>
      <w:bookmarkEnd w:id="33216"/>
      <w:r>
        <w:rPr>
          <w:rFonts w:hint="cs"/>
          <w:rtl/>
        </w:rPr>
        <w:t xml:space="preserve">וזונחים </w:t>
      </w:r>
      <w:bookmarkStart w:id="33217" w:name="_ETM_Q59_384780"/>
      <w:bookmarkEnd w:id="33217"/>
      <w:r>
        <w:rPr>
          <w:rFonts w:hint="cs"/>
          <w:rtl/>
        </w:rPr>
        <w:t xml:space="preserve">את </w:t>
      </w:r>
      <w:bookmarkStart w:id="33218" w:name="_ETM_Q59_384930"/>
      <w:bookmarkEnd w:id="33218"/>
      <w:r>
        <w:rPr>
          <w:rFonts w:hint="cs"/>
          <w:rtl/>
        </w:rPr>
        <w:t>המציאות.</w:t>
      </w:r>
      <w:bookmarkStart w:id="33219" w:name="_ETM_Q59_387930"/>
      <w:bookmarkEnd w:id="33219"/>
    </w:p>
    <w:p w:rsidR="00BB59CD" w:rsidRDefault="00BB59CD" w:rsidP="00BB59CD">
      <w:pPr>
        <w:rPr>
          <w:rtl/>
        </w:rPr>
      </w:pPr>
      <w:bookmarkStart w:id="33220" w:name="_ETM_Q59_385827"/>
      <w:bookmarkStart w:id="33221" w:name="_ETM_Q59_385875"/>
      <w:bookmarkStart w:id="33222" w:name="_ETM_Q59_385955"/>
      <w:bookmarkEnd w:id="33220"/>
      <w:bookmarkEnd w:id="33221"/>
      <w:bookmarkEnd w:id="33222"/>
    </w:p>
    <w:p w:rsidR="00BB59CD" w:rsidRDefault="00BB59CD" w:rsidP="004D5B6C">
      <w:pPr>
        <w:rPr>
          <w:rtl/>
        </w:rPr>
      </w:pPr>
      <w:bookmarkStart w:id="33223" w:name="_ETM_Q59_385991"/>
      <w:bookmarkEnd w:id="33223"/>
      <w:r>
        <w:rPr>
          <w:rFonts w:hint="cs"/>
          <w:rtl/>
        </w:rPr>
        <w:t>לעם</w:t>
      </w:r>
      <w:bookmarkStart w:id="33224" w:name="_ETM_Q59_388200"/>
      <w:bookmarkEnd w:id="33224"/>
      <w:r>
        <w:rPr>
          <w:rFonts w:hint="cs"/>
          <w:rtl/>
        </w:rPr>
        <w:t xml:space="preserve"> ישראל </w:t>
      </w:r>
      <w:bookmarkStart w:id="33225" w:name="_ETM_Q59_388620"/>
      <w:bookmarkEnd w:id="33225"/>
      <w:r>
        <w:rPr>
          <w:rFonts w:hint="cs"/>
          <w:rtl/>
        </w:rPr>
        <w:t xml:space="preserve">יש </w:t>
      </w:r>
      <w:bookmarkStart w:id="33226" w:name="_ETM_Q59_388800"/>
      <w:bookmarkEnd w:id="33226"/>
      <w:r>
        <w:rPr>
          <w:rFonts w:hint="cs"/>
          <w:rtl/>
        </w:rPr>
        <w:t xml:space="preserve">זיכרון </w:t>
      </w:r>
      <w:bookmarkStart w:id="33227" w:name="_ETM_Q59_389190"/>
      <w:bookmarkEnd w:id="33227"/>
      <w:r>
        <w:rPr>
          <w:rFonts w:hint="cs"/>
          <w:rtl/>
        </w:rPr>
        <w:t xml:space="preserve">היסטורי </w:t>
      </w:r>
      <w:bookmarkStart w:id="33228" w:name="_ETM_Q59_389700"/>
      <w:bookmarkEnd w:id="33228"/>
      <w:r>
        <w:rPr>
          <w:rFonts w:hint="cs"/>
          <w:rtl/>
        </w:rPr>
        <w:t xml:space="preserve">ארוך </w:t>
      </w:r>
      <w:bookmarkStart w:id="33229" w:name="_ETM_Q59_390000"/>
      <w:bookmarkEnd w:id="33229"/>
      <w:r>
        <w:rPr>
          <w:rFonts w:hint="cs"/>
          <w:rtl/>
        </w:rPr>
        <w:t xml:space="preserve">שנים. </w:t>
      </w:r>
      <w:bookmarkStart w:id="33230" w:name="_ETM_Q59_391360"/>
      <w:bookmarkEnd w:id="33230"/>
      <w:r>
        <w:rPr>
          <w:rFonts w:hint="cs"/>
          <w:rtl/>
        </w:rPr>
        <w:t xml:space="preserve">כן, </w:t>
      </w:r>
      <w:bookmarkStart w:id="33231" w:name="_ETM_Q59_391630"/>
      <w:bookmarkEnd w:id="33231"/>
      <w:r>
        <w:rPr>
          <w:rFonts w:hint="cs"/>
          <w:rtl/>
        </w:rPr>
        <w:t xml:space="preserve">ההיסטוריה </w:t>
      </w:r>
      <w:bookmarkStart w:id="33232" w:name="_ETM_Q59_392230"/>
      <w:bookmarkEnd w:id="33232"/>
      <w:r>
        <w:rPr>
          <w:rFonts w:hint="cs"/>
          <w:rtl/>
        </w:rPr>
        <w:t xml:space="preserve">חוזרת </w:t>
      </w:r>
      <w:bookmarkStart w:id="33233" w:name="_ETM_Q59_392740"/>
      <w:bookmarkEnd w:id="33233"/>
      <w:r>
        <w:rPr>
          <w:rFonts w:hint="cs"/>
          <w:rtl/>
        </w:rPr>
        <w:t xml:space="preserve">על </w:t>
      </w:r>
      <w:bookmarkStart w:id="33234" w:name="_ETM_Q59_392860"/>
      <w:bookmarkEnd w:id="33234"/>
      <w:r>
        <w:rPr>
          <w:rFonts w:hint="cs"/>
          <w:rtl/>
        </w:rPr>
        <w:t xml:space="preserve">עצמה; </w:t>
      </w:r>
      <w:bookmarkStart w:id="33235" w:name="_ETM_Q59_393250"/>
      <w:bookmarkEnd w:id="33235"/>
      <w:r>
        <w:rPr>
          <w:rFonts w:hint="cs"/>
          <w:rtl/>
        </w:rPr>
        <w:t xml:space="preserve">הדפוסים </w:t>
      </w:r>
      <w:bookmarkStart w:id="33236" w:name="_ETM_Q59_393730"/>
      <w:bookmarkEnd w:id="33236"/>
      <w:r>
        <w:rPr>
          <w:rFonts w:hint="cs"/>
          <w:rtl/>
        </w:rPr>
        <w:t xml:space="preserve">הישנים </w:t>
      </w:r>
      <w:bookmarkStart w:id="33237" w:name="_ETM_Q59_394920"/>
      <w:bookmarkEnd w:id="33237"/>
      <w:r>
        <w:rPr>
          <w:rFonts w:hint="cs"/>
          <w:rtl/>
        </w:rPr>
        <w:t xml:space="preserve">צפים </w:t>
      </w:r>
      <w:bookmarkStart w:id="33238" w:name="_ETM_Q59_395400"/>
      <w:bookmarkEnd w:id="33238"/>
      <w:r>
        <w:rPr>
          <w:rFonts w:hint="cs"/>
          <w:rtl/>
        </w:rPr>
        <w:t xml:space="preserve">ועולים </w:t>
      </w:r>
      <w:bookmarkStart w:id="33239" w:name="_ETM_Q59_395760"/>
      <w:bookmarkEnd w:id="33239"/>
      <w:r w:rsidR="004D5B6C">
        <w:rPr>
          <w:rFonts w:hint="cs"/>
          <w:rtl/>
        </w:rPr>
        <w:t xml:space="preserve">על </w:t>
      </w:r>
      <w:r>
        <w:rPr>
          <w:rFonts w:hint="cs"/>
          <w:rtl/>
        </w:rPr>
        <w:t xml:space="preserve">פני </w:t>
      </w:r>
      <w:bookmarkStart w:id="33240" w:name="_ETM_Q59_396090"/>
      <w:bookmarkEnd w:id="33240"/>
      <w:r>
        <w:rPr>
          <w:rFonts w:hint="cs"/>
          <w:rtl/>
        </w:rPr>
        <w:t xml:space="preserve">השטח. </w:t>
      </w:r>
      <w:bookmarkStart w:id="33241" w:name="_ETM_Q59_401230"/>
      <w:bookmarkStart w:id="33242" w:name="_ETM_Q59_401319"/>
      <w:bookmarkStart w:id="33243" w:name="_ETM_Q59_403439"/>
      <w:bookmarkEnd w:id="33241"/>
      <w:bookmarkEnd w:id="33242"/>
      <w:bookmarkEnd w:id="33243"/>
      <w:r>
        <w:rPr>
          <w:rFonts w:hint="cs"/>
          <w:rtl/>
        </w:rPr>
        <w:t xml:space="preserve">אנחנו </w:t>
      </w:r>
      <w:bookmarkStart w:id="33244" w:name="_ETM_Q59_403799"/>
      <w:bookmarkEnd w:id="33244"/>
      <w:r>
        <w:rPr>
          <w:rFonts w:hint="cs"/>
          <w:rtl/>
        </w:rPr>
        <w:t xml:space="preserve">מתעקשים </w:t>
      </w:r>
      <w:bookmarkStart w:id="33245" w:name="_ETM_Q59_404370"/>
      <w:bookmarkEnd w:id="33245"/>
      <w:r>
        <w:rPr>
          <w:rFonts w:hint="cs"/>
          <w:rtl/>
        </w:rPr>
        <w:t xml:space="preserve">לקצר </w:t>
      </w:r>
      <w:bookmarkStart w:id="33246" w:name="_ETM_Q59_404849"/>
      <w:bookmarkEnd w:id="33246"/>
      <w:r>
        <w:rPr>
          <w:rFonts w:hint="cs"/>
          <w:rtl/>
        </w:rPr>
        <w:t xml:space="preserve">את </w:t>
      </w:r>
      <w:bookmarkStart w:id="33247" w:name="_ETM_Q59_404939"/>
      <w:bookmarkEnd w:id="33247"/>
      <w:r>
        <w:rPr>
          <w:rFonts w:hint="cs"/>
          <w:rtl/>
        </w:rPr>
        <w:t xml:space="preserve">הזיכרון </w:t>
      </w:r>
      <w:bookmarkStart w:id="33248" w:name="_ETM_Q59_405419"/>
      <w:bookmarkEnd w:id="33248"/>
      <w:r>
        <w:rPr>
          <w:rFonts w:hint="cs"/>
          <w:rtl/>
        </w:rPr>
        <w:t xml:space="preserve">שלנו, </w:t>
      </w:r>
      <w:bookmarkStart w:id="33249" w:name="_ETM_Q59_405809"/>
      <w:bookmarkEnd w:id="33249"/>
      <w:r>
        <w:rPr>
          <w:rFonts w:hint="cs"/>
          <w:rtl/>
        </w:rPr>
        <w:t xml:space="preserve">לצמצם </w:t>
      </w:r>
      <w:bookmarkStart w:id="33250" w:name="_ETM_Q59_406439"/>
      <w:bookmarkEnd w:id="33250"/>
      <w:r>
        <w:rPr>
          <w:rFonts w:hint="cs"/>
          <w:rtl/>
        </w:rPr>
        <w:t xml:space="preserve">את </w:t>
      </w:r>
      <w:bookmarkStart w:id="33251" w:name="_ETM_Q59_406559"/>
      <w:bookmarkEnd w:id="33251"/>
      <w:r>
        <w:rPr>
          <w:rFonts w:hint="cs"/>
          <w:rtl/>
        </w:rPr>
        <w:t xml:space="preserve">עצמנו </w:t>
      </w:r>
      <w:bookmarkStart w:id="33252" w:name="_ETM_Q59_406979"/>
      <w:bookmarkEnd w:id="33252"/>
      <w:r>
        <w:rPr>
          <w:rFonts w:hint="cs"/>
          <w:rtl/>
        </w:rPr>
        <w:t xml:space="preserve">לדיון </w:t>
      </w:r>
      <w:bookmarkStart w:id="33253" w:name="_ETM_Q59_407339"/>
      <w:bookmarkEnd w:id="33253"/>
      <w:r>
        <w:rPr>
          <w:rFonts w:hint="cs"/>
          <w:rtl/>
        </w:rPr>
        <w:t xml:space="preserve">הפוליטי </w:t>
      </w:r>
      <w:bookmarkStart w:id="33254" w:name="_ETM_Q59_408680"/>
      <w:bookmarkEnd w:id="33254"/>
      <w:r>
        <w:rPr>
          <w:rFonts w:hint="cs"/>
          <w:rtl/>
        </w:rPr>
        <w:t xml:space="preserve">הרדוד </w:t>
      </w:r>
      <w:bookmarkStart w:id="33255" w:name="_ETM_Q59_409310"/>
      <w:bookmarkEnd w:id="33255"/>
      <w:r>
        <w:rPr>
          <w:rFonts w:hint="cs"/>
          <w:rtl/>
        </w:rPr>
        <w:t xml:space="preserve">והשטוח </w:t>
      </w:r>
      <w:bookmarkStart w:id="33256" w:name="_ETM_Q59_410030"/>
      <w:bookmarkEnd w:id="33256"/>
      <w:r>
        <w:rPr>
          <w:rFonts w:hint="cs"/>
          <w:rtl/>
        </w:rPr>
        <w:t xml:space="preserve">ביותר. </w:t>
      </w:r>
      <w:bookmarkStart w:id="33257" w:name="_ETM_Q59_411400"/>
      <w:bookmarkEnd w:id="33257"/>
      <w:r>
        <w:rPr>
          <w:rFonts w:hint="cs"/>
          <w:rtl/>
        </w:rPr>
        <w:t xml:space="preserve">אנחנו </w:t>
      </w:r>
      <w:bookmarkStart w:id="33258" w:name="_ETM_Q59_411819"/>
      <w:bookmarkEnd w:id="33258"/>
      <w:r>
        <w:rPr>
          <w:rFonts w:hint="cs"/>
          <w:rtl/>
        </w:rPr>
        <w:t xml:space="preserve">בימי </w:t>
      </w:r>
      <w:bookmarkStart w:id="33259" w:name="_ETM_Q59_412180"/>
      <w:bookmarkEnd w:id="33259"/>
      <w:r>
        <w:rPr>
          <w:rFonts w:hint="cs"/>
          <w:rtl/>
        </w:rPr>
        <w:t xml:space="preserve">תשעת </w:t>
      </w:r>
      <w:bookmarkStart w:id="33260" w:name="_ETM_Q59_412599"/>
      <w:bookmarkEnd w:id="33260"/>
      <w:r>
        <w:rPr>
          <w:rFonts w:hint="cs"/>
          <w:rtl/>
        </w:rPr>
        <w:t xml:space="preserve">הימים, </w:t>
      </w:r>
      <w:bookmarkStart w:id="33261" w:name="_ETM_Q59_413110"/>
      <w:bookmarkEnd w:id="33261"/>
      <w:r>
        <w:rPr>
          <w:rFonts w:hint="cs"/>
          <w:rtl/>
        </w:rPr>
        <w:t xml:space="preserve">ובמה </w:t>
      </w:r>
      <w:bookmarkStart w:id="33262" w:name="_ETM_Q59_413379"/>
      <w:bookmarkEnd w:id="33262"/>
      <w:r>
        <w:rPr>
          <w:rFonts w:hint="cs"/>
          <w:rtl/>
        </w:rPr>
        <w:t xml:space="preserve">אנחנו </w:t>
      </w:r>
      <w:bookmarkStart w:id="33263" w:name="_ETM_Q59_413620"/>
      <w:bookmarkEnd w:id="33263"/>
      <w:r>
        <w:rPr>
          <w:rFonts w:hint="cs"/>
          <w:rtl/>
        </w:rPr>
        <w:t xml:space="preserve">מתעסקים? </w:t>
      </w:r>
      <w:bookmarkStart w:id="33264" w:name="_ETM_Q59_414930"/>
      <w:bookmarkEnd w:id="33264"/>
      <w:r>
        <w:rPr>
          <w:rFonts w:hint="cs"/>
          <w:rtl/>
        </w:rPr>
        <w:t xml:space="preserve">בלנצח </w:t>
      </w:r>
      <w:bookmarkStart w:id="33265" w:name="_ETM_Q59_415769"/>
      <w:bookmarkEnd w:id="33265"/>
      <w:r>
        <w:rPr>
          <w:rFonts w:hint="cs"/>
          <w:rtl/>
        </w:rPr>
        <w:t xml:space="preserve">יותר </w:t>
      </w:r>
      <w:bookmarkStart w:id="33266" w:name="_ETM_Q59_416129"/>
      <w:bookmarkEnd w:id="33266"/>
      <w:r>
        <w:rPr>
          <w:rFonts w:hint="cs"/>
          <w:rtl/>
        </w:rPr>
        <w:t xml:space="preserve">מדי, </w:t>
      </w:r>
      <w:bookmarkStart w:id="33267" w:name="_ETM_Q59_417199"/>
      <w:bookmarkEnd w:id="33267"/>
      <w:r>
        <w:rPr>
          <w:rFonts w:hint="cs"/>
          <w:rtl/>
        </w:rPr>
        <w:t xml:space="preserve">בלהכניע </w:t>
      </w:r>
      <w:bookmarkStart w:id="33268" w:name="_ETM_Q59_418069"/>
      <w:bookmarkEnd w:id="33268"/>
      <w:r>
        <w:rPr>
          <w:rFonts w:hint="cs"/>
          <w:rtl/>
        </w:rPr>
        <w:t xml:space="preserve">את </w:t>
      </w:r>
      <w:bookmarkStart w:id="33269" w:name="_ETM_Q59_418219"/>
      <w:bookmarkEnd w:id="33269"/>
      <w:r>
        <w:rPr>
          <w:rFonts w:hint="cs"/>
          <w:rtl/>
        </w:rPr>
        <w:t xml:space="preserve">הצד </w:t>
      </w:r>
      <w:bookmarkStart w:id="33270" w:name="_ETM_Q59_418579"/>
      <w:bookmarkEnd w:id="33270"/>
      <w:r>
        <w:rPr>
          <w:rFonts w:hint="cs"/>
          <w:rtl/>
        </w:rPr>
        <w:t xml:space="preserve">השני, </w:t>
      </w:r>
      <w:bookmarkStart w:id="33271" w:name="_ETM_Q59_419599"/>
      <w:bookmarkEnd w:id="33271"/>
      <w:r>
        <w:rPr>
          <w:rFonts w:hint="cs"/>
          <w:rtl/>
        </w:rPr>
        <w:t>בל</w:t>
      </w:r>
      <w:bookmarkStart w:id="33272" w:name="_ETM_Q59_419869"/>
      <w:bookmarkEnd w:id="33272"/>
      <w:r>
        <w:rPr>
          <w:rFonts w:hint="cs"/>
          <w:rtl/>
        </w:rPr>
        <w:t xml:space="preserve">דבוק </w:t>
      </w:r>
      <w:bookmarkStart w:id="33273" w:name="_ETM_Q59_420349"/>
      <w:bookmarkEnd w:id="33273"/>
      <w:r>
        <w:rPr>
          <w:rFonts w:hint="cs"/>
          <w:rtl/>
        </w:rPr>
        <w:t xml:space="preserve">באמת </w:t>
      </w:r>
      <w:bookmarkStart w:id="33274" w:name="_ETM_Q59_420769"/>
      <w:bookmarkEnd w:id="33274"/>
      <w:r>
        <w:rPr>
          <w:rFonts w:hint="cs"/>
          <w:rtl/>
        </w:rPr>
        <w:t xml:space="preserve">שלנו </w:t>
      </w:r>
      <w:bookmarkStart w:id="33275" w:name="_ETM_Q59_421219"/>
      <w:bookmarkEnd w:id="33275"/>
      <w:r>
        <w:rPr>
          <w:rFonts w:hint="cs"/>
          <w:rtl/>
        </w:rPr>
        <w:t xml:space="preserve">בכל </w:t>
      </w:r>
      <w:bookmarkStart w:id="33276" w:name="_ETM_Q59_421609"/>
      <w:bookmarkEnd w:id="33276"/>
      <w:r>
        <w:rPr>
          <w:rFonts w:hint="cs"/>
          <w:rtl/>
        </w:rPr>
        <w:t xml:space="preserve">מחיר, </w:t>
      </w:r>
      <w:bookmarkStart w:id="33277" w:name="_ETM_Q59_422629"/>
      <w:bookmarkEnd w:id="33277"/>
      <w:r>
        <w:rPr>
          <w:rFonts w:hint="cs"/>
          <w:rtl/>
        </w:rPr>
        <w:t xml:space="preserve">בלהאדיר </w:t>
      </w:r>
      <w:bookmarkStart w:id="33278" w:name="_ETM_Q59_423349"/>
      <w:bookmarkEnd w:id="33278"/>
      <w:r>
        <w:rPr>
          <w:rFonts w:hint="cs"/>
          <w:rtl/>
        </w:rPr>
        <w:t xml:space="preserve">את </w:t>
      </w:r>
      <w:bookmarkStart w:id="33279" w:name="_ETM_Q59_423409"/>
      <w:bookmarkEnd w:id="33279"/>
      <w:r>
        <w:rPr>
          <w:rFonts w:hint="cs"/>
          <w:rtl/>
        </w:rPr>
        <w:t xml:space="preserve">הסמלים </w:t>
      </w:r>
      <w:bookmarkStart w:id="33280" w:name="_ETM_Q59_423919"/>
      <w:bookmarkEnd w:id="33280"/>
      <w:r>
        <w:rPr>
          <w:rFonts w:hint="cs"/>
          <w:rtl/>
        </w:rPr>
        <w:t xml:space="preserve">שלנו </w:t>
      </w:r>
      <w:bookmarkStart w:id="33281" w:name="_ETM_Q59_424909"/>
      <w:bookmarkEnd w:id="33281"/>
      <w:r>
        <w:rPr>
          <w:rFonts w:hint="cs"/>
          <w:rtl/>
        </w:rPr>
        <w:t xml:space="preserve">ובלזלזל </w:t>
      </w:r>
      <w:bookmarkStart w:id="33282" w:name="_ETM_Q59_426019"/>
      <w:bookmarkEnd w:id="33282"/>
      <w:r>
        <w:rPr>
          <w:rFonts w:hint="cs"/>
          <w:rtl/>
        </w:rPr>
        <w:t xml:space="preserve">בהבנה </w:t>
      </w:r>
      <w:bookmarkStart w:id="33283" w:name="_ETM_Q59_426889"/>
      <w:bookmarkEnd w:id="33283"/>
      <w:r>
        <w:rPr>
          <w:rFonts w:hint="cs"/>
          <w:rtl/>
        </w:rPr>
        <w:t xml:space="preserve">שגם </w:t>
      </w:r>
      <w:bookmarkStart w:id="33284" w:name="_ETM_Q59_427339"/>
      <w:bookmarkEnd w:id="33284"/>
      <w:r>
        <w:rPr>
          <w:rFonts w:hint="cs"/>
          <w:rtl/>
        </w:rPr>
        <w:t xml:space="preserve">לצד </w:t>
      </w:r>
      <w:bookmarkStart w:id="33285" w:name="_ETM_Q59_427639"/>
      <w:bookmarkEnd w:id="33285"/>
      <w:r>
        <w:rPr>
          <w:rFonts w:hint="cs"/>
          <w:rtl/>
        </w:rPr>
        <w:t xml:space="preserve">השני </w:t>
      </w:r>
      <w:bookmarkStart w:id="33286" w:name="_ETM_Q59_427939"/>
      <w:bookmarkEnd w:id="33286"/>
      <w:r>
        <w:rPr>
          <w:rFonts w:hint="cs"/>
          <w:rtl/>
        </w:rPr>
        <w:t xml:space="preserve">יש </w:t>
      </w:r>
      <w:bookmarkStart w:id="33287" w:name="_ETM_Q59_428089"/>
      <w:bookmarkEnd w:id="33287"/>
      <w:r>
        <w:rPr>
          <w:rFonts w:hint="cs"/>
          <w:rtl/>
        </w:rPr>
        <w:t xml:space="preserve">סמל, </w:t>
      </w:r>
      <w:bookmarkStart w:id="33288" w:name="_ETM_Q59_429680"/>
      <w:bookmarkEnd w:id="33288"/>
      <w:r>
        <w:rPr>
          <w:rFonts w:hint="cs"/>
          <w:rtl/>
        </w:rPr>
        <w:t>ולהקשיב.</w:t>
      </w:r>
      <w:bookmarkStart w:id="33289" w:name="_ETM_Q59_432280"/>
      <w:bookmarkEnd w:id="33289"/>
    </w:p>
    <w:p w:rsidR="00BB59CD" w:rsidRDefault="00BB59CD" w:rsidP="00BB59CD">
      <w:pPr>
        <w:rPr>
          <w:rtl/>
        </w:rPr>
      </w:pPr>
    </w:p>
    <w:p w:rsidR="00BB59CD" w:rsidRDefault="00BB59CD" w:rsidP="004D5B6C">
      <w:pPr>
        <w:rPr>
          <w:rtl/>
        </w:rPr>
      </w:pPr>
      <w:r>
        <w:rPr>
          <w:rFonts w:hint="cs"/>
          <w:rtl/>
        </w:rPr>
        <w:t xml:space="preserve">אני </w:t>
      </w:r>
      <w:bookmarkStart w:id="33290" w:name="_ETM_Q59_432520"/>
      <w:bookmarkEnd w:id="33290"/>
      <w:r>
        <w:rPr>
          <w:rFonts w:hint="cs"/>
          <w:rtl/>
        </w:rPr>
        <w:t xml:space="preserve">מסתכל </w:t>
      </w:r>
      <w:bookmarkStart w:id="33291" w:name="_ETM_Q59_432790"/>
      <w:bookmarkStart w:id="33292" w:name="_ETM_Q59_432969"/>
      <w:bookmarkEnd w:id="33291"/>
      <w:bookmarkEnd w:id="33292"/>
      <w:r>
        <w:rPr>
          <w:rFonts w:hint="cs"/>
          <w:rtl/>
        </w:rPr>
        <w:t xml:space="preserve">החוצה, </w:t>
      </w:r>
      <w:bookmarkStart w:id="33293" w:name="_ETM_Q59_434160"/>
      <w:bookmarkEnd w:id="33293"/>
      <w:r>
        <w:rPr>
          <w:rFonts w:hint="cs"/>
          <w:rtl/>
        </w:rPr>
        <w:t xml:space="preserve">מחוץ </w:t>
      </w:r>
      <w:bookmarkStart w:id="33294" w:name="_ETM_Q59_434610"/>
      <w:bookmarkEnd w:id="33294"/>
      <w:r>
        <w:rPr>
          <w:rFonts w:hint="cs"/>
          <w:rtl/>
        </w:rPr>
        <w:t>ל</w:t>
      </w:r>
      <w:bookmarkStart w:id="33295" w:name="_ETM_Q59_435150"/>
      <w:bookmarkEnd w:id="33295"/>
      <w:r>
        <w:rPr>
          <w:rFonts w:hint="cs"/>
          <w:rtl/>
        </w:rPr>
        <w:t xml:space="preserve">קירות </w:t>
      </w:r>
      <w:bookmarkStart w:id="33296" w:name="_ETM_Q59_435570"/>
      <w:bookmarkEnd w:id="33296"/>
      <w:r>
        <w:rPr>
          <w:rFonts w:hint="cs"/>
          <w:rtl/>
        </w:rPr>
        <w:t xml:space="preserve">התהודה </w:t>
      </w:r>
      <w:bookmarkStart w:id="33297" w:name="_ETM_Q59_436020"/>
      <w:bookmarkEnd w:id="33297"/>
      <w:r>
        <w:rPr>
          <w:rFonts w:hint="cs"/>
          <w:rtl/>
        </w:rPr>
        <w:t xml:space="preserve">של </w:t>
      </w:r>
      <w:bookmarkStart w:id="33298" w:name="_ETM_Q59_436200"/>
      <w:bookmarkEnd w:id="33298"/>
      <w:r>
        <w:rPr>
          <w:rFonts w:hint="cs"/>
          <w:rtl/>
        </w:rPr>
        <w:t xml:space="preserve">הבית </w:t>
      </w:r>
      <w:bookmarkStart w:id="33299" w:name="_ETM_Q59_436620"/>
      <w:bookmarkEnd w:id="33299"/>
      <w:r>
        <w:rPr>
          <w:rFonts w:hint="cs"/>
          <w:rtl/>
        </w:rPr>
        <w:t xml:space="preserve">הזה, </w:t>
      </w:r>
      <w:bookmarkStart w:id="33300" w:name="_ETM_Q59_437580"/>
      <w:bookmarkEnd w:id="33300"/>
      <w:r>
        <w:rPr>
          <w:rFonts w:hint="cs"/>
          <w:rtl/>
        </w:rPr>
        <w:t xml:space="preserve">ואני </w:t>
      </w:r>
      <w:bookmarkStart w:id="33301" w:name="_ETM_Q59_437909"/>
      <w:bookmarkEnd w:id="33301"/>
      <w:r>
        <w:rPr>
          <w:rFonts w:hint="cs"/>
          <w:rtl/>
        </w:rPr>
        <w:t xml:space="preserve">נדרש </w:t>
      </w:r>
      <w:bookmarkStart w:id="33302" w:name="_ETM_Q59_438779"/>
      <w:bookmarkEnd w:id="33302"/>
      <w:r w:rsidR="004D5B6C">
        <w:rPr>
          <w:rFonts w:hint="cs"/>
          <w:rtl/>
        </w:rPr>
        <w:t xml:space="preserve">עם </w:t>
      </w:r>
      <w:r>
        <w:rPr>
          <w:rFonts w:hint="cs"/>
          <w:rtl/>
        </w:rPr>
        <w:t xml:space="preserve">עצמי </w:t>
      </w:r>
      <w:bookmarkStart w:id="33303" w:name="_ETM_Q59_439979"/>
      <w:bookmarkEnd w:id="33303"/>
      <w:r>
        <w:rPr>
          <w:rFonts w:hint="cs"/>
          <w:rtl/>
        </w:rPr>
        <w:t xml:space="preserve">ודורש </w:t>
      </w:r>
      <w:bookmarkStart w:id="33304" w:name="_ETM_Q59_440490"/>
      <w:bookmarkEnd w:id="33304"/>
      <w:r>
        <w:rPr>
          <w:rFonts w:hint="cs"/>
          <w:rtl/>
        </w:rPr>
        <w:t xml:space="preserve">מאיתנו </w:t>
      </w:r>
      <w:bookmarkStart w:id="33305" w:name="_ETM_Q59_441690"/>
      <w:bookmarkEnd w:id="33305"/>
      <w:r>
        <w:rPr>
          <w:rFonts w:hint="cs"/>
          <w:rtl/>
        </w:rPr>
        <w:t xml:space="preserve">חשבון </w:t>
      </w:r>
      <w:bookmarkStart w:id="33306" w:name="_ETM_Q59_442230"/>
      <w:bookmarkEnd w:id="33306"/>
      <w:r>
        <w:rPr>
          <w:rFonts w:hint="cs"/>
          <w:rtl/>
        </w:rPr>
        <w:t xml:space="preserve">נפש. </w:t>
      </w:r>
      <w:bookmarkStart w:id="33307" w:name="_ETM_Q59_442589"/>
      <w:bookmarkEnd w:id="33307"/>
      <w:r>
        <w:rPr>
          <w:rFonts w:hint="cs"/>
          <w:rtl/>
        </w:rPr>
        <w:t xml:space="preserve">אני </w:t>
      </w:r>
      <w:bookmarkStart w:id="33308" w:name="_ETM_Q59_442770"/>
      <w:bookmarkEnd w:id="33308"/>
      <w:r>
        <w:rPr>
          <w:rFonts w:hint="cs"/>
          <w:rtl/>
        </w:rPr>
        <w:t xml:space="preserve">מזמין </w:t>
      </w:r>
      <w:bookmarkStart w:id="33309" w:name="_ETM_Q59_443130"/>
      <w:bookmarkEnd w:id="33309"/>
      <w:r>
        <w:rPr>
          <w:rFonts w:hint="cs"/>
          <w:rtl/>
        </w:rPr>
        <w:t xml:space="preserve">את </w:t>
      </w:r>
      <w:bookmarkStart w:id="33310" w:name="_ETM_Q59_443250"/>
      <w:bookmarkEnd w:id="33310"/>
      <w:r>
        <w:rPr>
          <w:rFonts w:hint="cs"/>
          <w:rtl/>
        </w:rPr>
        <w:t>כולכם</w:t>
      </w:r>
      <w:bookmarkStart w:id="33311" w:name="_ETM_Q59_444380"/>
      <w:bookmarkEnd w:id="33311"/>
      <w:r>
        <w:rPr>
          <w:rFonts w:hint="cs"/>
          <w:rtl/>
        </w:rPr>
        <w:t xml:space="preserve">, את כל </w:t>
      </w:r>
      <w:bookmarkStart w:id="33312" w:name="_ETM_Q59_444800"/>
      <w:bookmarkEnd w:id="33312"/>
      <w:r>
        <w:rPr>
          <w:rFonts w:hint="cs"/>
          <w:rtl/>
        </w:rPr>
        <w:t xml:space="preserve">מי </w:t>
      </w:r>
      <w:bookmarkStart w:id="33313" w:name="_ETM_Q59_444890"/>
      <w:bookmarkEnd w:id="33313"/>
      <w:r>
        <w:rPr>
          <w:rFonts w:hint="cs"/>
          <w:rtl/>
        </w:rPr>
        <w:t xml:space="preserve">שקשוב </w:t>
      </w:r>
      <w:bookmarkStart w:id="33314" w:name="_ETM_Q59_445490"/>
      <w:bookmarkEnd w:id="33314"/>
      <w:r>
        <w:rPr>
          <w:rFonts w:hint="cs"/>
          <w:rtl/>
        </w:rPr>
        <w:t xml:space="preserve">כאן, </w:t>
      </w:r>
      <w:bookmarkStart w:id="33315" w:name="_ETM_Q59_446479"/>
      <w:bookmarkEnd w:id="33315"/>
      <w:r>
        <w:rPr>
          <w:rFonts w:hint="cs"/>
          <w:rtl/>
        </w:rPr>
        <w:t xml:space="preserve">לקחת </w:t>
      </w:r>
      <w:bookmarkStart w:id="33316" w:name="_ETM_Q59_446960"/>
      <w:bookmarkEnd w:id="33316"/>
      <w:r>
        <w:rPr>
          <w:rFonts w:hint="cs"/>
          <w:rtl/>
        </w:rPr>
        <w:t xml:space="preserve">חלק </w:t>
      </w:r>
      <w:bookmarkStart w:id="33317" w:name="_ETM_Q59_447290"/>
      <w:bookmarkEnd w:id="33317"/>
      <w:r>
        <w:rPr>
          <w:rFonts w:hint="cs"/>
          <w:rtl/>
        </w:rPr>
        <w:t xml:space="preserve">בחשבון </w:t>
      </w:r>
      <w:bookmarkStart w:id="33318" w:name="_ETM_Q59_447770"/>
      <w:bookmarkEnd w:id="33318"/>
      <w:r>
        <w:rPr>
          <w:rFonts w:hint="cs"/>
          <w:rtl/>
        </w:rPr>
        <w:t xml:space="preserve">הנפש </w:t>
      </w:r>
      <w:bookmarkStart w:id="33319" w:name="_ETM_Q59_448160"/>
      <w:bookmarkEnd w:id="33319"/>
      <w:r>
        <w:rPr>
          <w:rFonts w:hint="cs"/>
          <w:rtl/>
        </w:rPr>
        <w:t xml:space="preserve">הזה: </w:t>
      </w:r>
      <w:bookmarkStart w:id="33320" w:name="_ETM_Q59_448839"/>
      <w:bookmarkEnd w:id="33320"/>
      <w:r>
        <w:rPr>
          <w:rFonts w:hint="cs"/>
          <w:rtl/>
        </w:rPr>
        <w:t xml:space="preserve">מה </w:t>
      </w:r>
      <w:bookmarkStart w:id="33321" w:name="_ETM_Q59_449140"/>
      <w:bookmarkEnd w:id="33321"/>
      <w:r>
        <w:rPr>
          <w:rFonts w:hint="cs"/>
          <w:rtl/>
        </w:rPr>
        <w:t xml:space="preserve">מניע </w:t>
      </w:r>
      <w:bookmarkStart w:id="33322" w:name="_ETM_Q59_449500"/>
      <w:bookmarkEnd w:id="33322"/>
      <w:r>
        <w:rPr>
          <w:rFonts w:hint="cs"/>
          <w:rtl/>
        </w:rPr>
        <w:t xml:space="preserve">אותנו; </w:t>
      </w:r>
      <w:bookmarkStart w:id="33323" w:name="_ETM_Q59_450690"/>
      <w:bookmarkEnd w:id="33323"/>
      <w:r>
        <w:rPr>
          <w:rFonts w:hint="cs"/>
          <w:rtl/>
        </w:rPr>
        <w:t xml:space="preserve">את </w:t>
      </w:r>
      <w:bookmarkStart w:id="33324" w:name="_ETM_Q59_450930"/>
      <w:bookmarkEnd w:id="33324"/>
      <w:r>
        <w:rPr>
          <w:rFonts w:hint="cs"/>
          <w:rtl/>
        </w:rPr>
        <w:t xml:space="preserve">מה </w:t>
      </w:r>
      <w:bookmarkStart w:id="33325" w:name="_ETM_Q59_451260"/>
      <w:bookmarkEnd w:id="33325"/>
      <w:r>
        <w:rPr>
          <w:rFonts w:hint="cs"/>
          <w:rtl/>
        </w:rPr>
        <w:t xml:space="preserve">ואת </w:t>
      </w:r>
      <w:bookmarkStart w:id="33326" w:name="_ETM_Q59_451529"/>
      <w:bookmarkEnd w:id="33326"/>
      <w:r>
        <w:rPr>
          <w:rFonts w:hint="cs"/>
          <w:rtl/>
        </w:rPr>
        <w:t xml:space="preserve">מי </w:t>
      </w:r>
      <w:bookmarkStart w:id="33327" w:name="_ETM_Q59_451680"/>
      <w:bookmarkEnd w:id="33327"/>
      <w:r>
        <w:rPr>
          <w:rFonts w:hint="cs"/>
          <w:rtl/>
        </w:rPr>
        <w:t xml:space="preserve">אנחנו </w:t>
      </w:r>
      <w:bookmarkStart w:id="33328" w:name="_ETM_Q59_451980"/>
      <w:bookmarkEnd w:id="33328"/>
      <w:r>
        <w:rPr>
          <w:rFonts w:hint="cs"/>
          <w:rtl/>
        </w:rPr>
        <w:t xml:space="preserve">לא </w:t>
      </w:r>
      <w:bookmarkStart w:id="33329" w:name="_ETM_Q59_452130"/>
      <w:bookmarkEnd w:id="33329"/>
      <w:r>
        <w:rPr>
          <w:rFonts w:hint="cs"/>
          <w:rtl/>
        </w:rPr>
        <w:t xml:space="preserve">רואים; </w:t>
      </w:r>
      <w:bookmarkStart w:id="33330" w:name="_ETM_Q59_453509"/>
      <w:bookmarkEnd w:id="33330"/>
      <w:r>
        <w:rPr>
          <w:rFonts w:hint="cs"/>
          <w:rtl/>
        </w:rPr>
        <w:t xml:space="preserve">איזו </w:t>
      </w:r>
      <w:bookmarkStart w:id="33331" w:name="_ETM_Q59_453930"/>
      <w:bookmarkEnd w:id="33331"/>
      <w:r>
        <w:rPr>
          <w:rFonts w:hint="cs"/>
          <w:rtl/>
        </w:rPr>
        <w:t xml:space="preserve">אמת </w:t>
      </w:r>
      <w:bookmarkStart w:id="33332" w:name="_ETM_Q59_454259"/>
      <w:bookmarkEnd w:id="33332"/>
      <w:r>
        <w:rPr>
          <w:rFonts w:hint="cs"/>
          <w:rtl/>
        </w:rPr>
        <w:t xml:space="preserve">נמצאת </w:t>
      </w:r>
      <w:bookmarkStart w:id="33333" w:name="_ETM_Q59_454710"/>
      <w:bookmarkEnd w:id="33333"/>
      <w:r>
        <w:rPr>
          <w:rFonts w:hint="cs"/>
          <w:rtl/>
        </w:rPr>
        <w:t xml:space="preserve">גם </w:t>
      </w:r>
      <w:bookmarkStart w:id="33334" w:name="_ETM_Q59_454949"/>
      <w:bookmarkEnd w:id="33334"/>
      <w:r>
        <w:rPr>
          <w:rFonts w:hint="cs"/>
          <w:rtl/>
        </w:rPr>
        <w:t xml:space="preserve">בצד </w:t>
      </w:r>
      <w:bookmarkStart w:id="33335" w:name="_ETM_Q59_455310"/>
      <w:bookmarkEnd w:id="33335"/>
      <w:r>
        <w:rPr>
          <w:rFonts w:hint="cs"/>
          <w:rtl/>
        </w:rPr>
        <w:t xml:space="preserve">השני, </w:t>
      </w:r>
      <w:bookmarkStart w:id="33336" w:name="_ETM_Q59_455759"/>
      <w:bookmarkEnd w:id="33336"/>
      <w:r>
        <w:rPr>
          <w:rFonts w:hint="cs"/>
          <w:rtl/>
        </w:rPr>
        <w:t xml:space="preserve">כן, </w:t>
      </w:r>
      <w:bookmarkStart w:id="33337" w:name="_ETM_Q59_456029"/>
      <w:bookmarkEnd w:id="33337"/>
      <w:r>
        <w:rPr>
          <w:rFonts w:hint="cs"/>
          <w:rtl/>
        </w:rPr>
        <w:t xml:space="preserve">באלה </w:t>
      </w:r>
      <w:bookmarkStart w:id="33338" w:name="_ETM_Q59_456270"/>
      <w:bookmarkEnd w:id="33338"/>
      <w:r>
        <w:rPr>
          <w:rFonts w:hint="cs"/>
          <w:rtl/>
        </w:rPr>
        <w:t xml:space="preserve">שאני </w:t>
      </w:r>
      <w:bookmarkStart w:id="33339" w:name="_ETM_Q59_456539"/>
      <w:bookmarkEnd w:id="33339"/>
      <w:r>
        <w:rPr>
          <w:rFonts w:hint="cs"/>
          <w:rtl/>
        </w:rPr>
        <w:t xml:space="preserve">לא </w:t>
      </w:r>
      <w:bookmarkStart w:id="33340" w:name="_ETM_Q59_456689"/>
      <w:bookmarkEnd w:id="33340"/>
      <w:r>
        <w:rPr>
          <w:rFonts w:hint="cs"/>
          <w:rtl/>
        </w:rPr>
        <w:t xml:space="preserve">מסכים </w:t>
      </w:r>
      <w:bookmarkStart w:id="33341" w:name="_ETM_Q59_457139"/>
      <w:bookmarkEnd w:id="33341"/>
      <w:r>
        <w:rPr>
          <w:rFonts w:hint="cs"/>
          <w:rtl/>
        </w:rPr>
        <w:t xml:space="preserve">איתם; </w:t>
      </w:r>
      <w:bookmarkStart w:id="33342" w:name="_ETM_Q59_458469"/>
      <w:bookmarkEnd w:id="33342"/>
      <w:r>
        <w:rPr>
          <w:rFonts w:hint="cs"/>
          <w:rtl/>
        </w:rPr>
        <w:t xml:space="preserve">בשם </w:t>
      </w:r>
      <w:bookmarkStart w:id="33343" w:name="_ETM_Q59_459069"/>
      <w:bookmarkEnd w:id="33343"/>
      <w:r>
        <w:rPr>
          <w:rFonts w:hint="cs"/>
          <w:rtl/>
        </w:rPr>
        <w:t xml:space="preserve">מה </w:t>
      </w:r>
      <w:bookmarkStart w:id="33344" w:name="_ETM_Q59_459249"/>
      <w:bookmarkEnd w:id="33344"/>
      <w:r>
        <w:rPr>
          <w:rFonts w:hint="cs"/>
          <w:rtl/>
        </w:rPr>
        <w:t xml:space="preserve">אנחנו </w:t>
      </w:r>
      <w:bookmarkStart w:id="33345" w:name="_ETM_Q59_459639"/>
      <w:bookmarkEnd w:id="33345"/>
      <w:r>
        <w:rPr>
          <w:rFonts w:hint="cs"/>
          <w:rtl/>
        </w:rPr>
        <w:t xml:space="preserve">נלחמים, </w:t>
      </w:r>
      <w:bookmarkStart w:id="33346" w:name="_ETM_Q59_460860"/>
      <w:bookmarkEnd w:id="33346"/>
      <w:r>
        <w:rPr>
          <w:rFonts w:hint="cs"/>
          <w:rtl/>
        </w:rPr>
        <w:t xml:space="preserve">ואם </w:t>
      </w:r>
      <w:bookmarkStart w:id="33347" w:name="_ETM_Q59_461099"/>
      <w:bookmarkEnd w:id="33347"/>
      <w:r>
        <w:rPr>
          <w:rFonts w:hint="cs"/>
          <w:rtl/>
        </w:rPr>
        <w:t xml:space="preserve">אנחנו </w:t>
      </w:r>
      <w:bookmarkStart w:id="33348" w:name="_ETM_Q59_461370"/>
      <w:bookmarkEnd w:id="33348"/>
      <w:r>
        <w:rPr>
          <w:rFonts w:hint="cs"/>
          <w:rtl/>
        </w:rPr>
        <w:t xml:space="preserve">נופלים </w:t>
      </w:r>
      <w:bookmarkStart w:id="33349" w:name="_ETM_Q59_461729"/>
      <w:bookmarkEnd w:id="33349"/>
      <w:r>
        <w:rPr>
          <w:rFonts w:hint="cs"/>
          <w:rtl/>
        </w:rPr>
        <w:t xml:space="preserve">במקומות </w:t>
      </w:r>
      <w:bookmarkStart w:id="33350" w:name="_ETM_Q59_462180"/>
      <w:bookmarkEnd w:id="33350"/>
      <w:r>
        <w:rPr>
          <w:rFonts w:hint="cs"/>
          <w:rtl/>
        </w:rPr>
        <w:t xml:space="preserve">שכבר </w:t>
      </w:r>
      <w:bookmarkStart w:id="33351" w:name="_ETM_Q59_462539"/>
      <w:bookmarkEnd w:id="33351"/>
      <w:r>
        <w:rPr>
          <w:rFonts w:hint="cs"/>
          <w:rtl/>
        </w:rPr>
        <w:t xml:space="preserve">נפלו </w:t>
      </w:r>
      <w:bookmarkStart w:id="33352" w:name="_ETM_Q59_463860"/>
      <w:bookmarkEnd w:id="33352"/>
      <w:r>
        <w:rPr>
          <w:rFonts w:hint="cs"/>
          <w:rtl/>
        </w:rPr>
        <w:t xml:space="preserve">אבותינו </w:t>
      </w:r>
      <w:bookmarkStart w:id="33353" w:name="_ETM_Q59_464460"/>
      <w:bookmarkEnd w:id="33353"/>
      <w:r>
        <w:rPr>
          <w:rFonts w:hint="cs"/>
          <w:rtl/>
        </w:rPr>
        <w:t>ההיסטוריים.</w:t>
      </w:r>
      <w:bookmarkStart w:id="33354" w:name="_ETM_Q59_466210"/>
      <w:bookmarkEnd w:id="33354"/>
    </w:p>
    <w:p w:rsidR="00BB59CD" w:rsidRDefault="00BB59CD" w:rsidP="00BB59CD">
      <w:pPr>
        <w:rPr>
          <w:rtl/>
        </w:rPr>
      </w:pPr>
      <w:bookmarkStart w:id="33355" w:name="_ETM_Q59_466397"/>
      <w:bookmarkStart w:id="33356" w:name="_ETM_Q59_466464"/>
      <w:bookmarkEnd w:id="33355"/>
      <w:bookmarkEnd w:id="33356"/>
    </w:p>
    <w:p w:rsidR="00BB59CD" w:rsidRDefault="00BB59CD" w:rsidP="00BB59CD">
      <w:pPr>
        <w:rPr>
          <w:rtl/>
        </w:rPr>
      </w:pPr>
      <w:bookmarkStart w:id="33357" w:name="_ETM_Q59_466542"/>
      <w:bookmarkStart w:id="33358" w:name="_ETM_Q59_466595"/>
      <w:bookmarkEnd w:id="33357"/>
      <w:bookmarkEnd w:id="33358"/>
      <w:r>
        <w:rPr>
          <w:rFonts w:hint="cs"/>
          <w:rtl/>
        </w:rPr>
        <w:t xml:space="preserve">אתם </w:t>
      </w:r>
      <w:bookmarkStart w:id="33359" w:name="_ETM_Q59_466480"/>
      <w:bookmarkEnd w:id="33359"/>
      <w:r>
        <w:rPr>
          <w:rFonts w:hint="cs"/>
          <w:rtl/>
        </w:rPr>
        <w:t xml:space="preserve">יודעים, </w:t>
      </w:r>
      <w:bookmarkStart w:id="33360" w:name="_ETM_Q59_466750"/>
      <w:bookmarkEnd w:id="33360"/>
      <w:r>
        <w:rPr>
          <w:rFonts w:hint="cs"/>
          <w:rtl/>
        </w:rPr>
        <w:t xml:space="preserve">בשלוש </w:t>
      </w:r>
      <w:bookmarkStart w:id="33361" w:name="_ETM_Q59_469199"/>
      <w:bookmarkEnd w:id="33361"/>
      <w:r>
        <w:rPr>
          <w:rFonts w:hint="cs"/>
          <w:rtl/>
        </w:rPr>
        <w:t xml:space="preserve">השבתות </w:t>
      </w:r>
      <w:bookmarkStart w:id="33362" w:name="_ETM_Q59_469949"/>
      <w:bookmarkEnd w:id="33362"/>
      <w:r>
        <w:rPr>
          <w:rFonts w:hint="cs"/>
          <w:rtl/>
        </w:rPr>
        <w:t xml:space="preserve">האחרונות </w:t>
      </w:r>
      <w:bookmarkStart w:id="33363" w:name="_ETM_Q59_470520"/>
      <w:bookmarkEnd w:id="33363"/>
      <w:r>
        <w:rPr>
          <w:rFonts w:hint="cs"/>
          <w:rtl/>
        </w:rPr>
        <w:t xml:space="preserve">קראנו </w:t>
      </w:r>
      <w:bookmarkStart w:id="33364" w:name="_ETM_Q59_470970"/>
      <w:bookmarkEnd w:id="33364"/>
      <w:r>
        <w:rPr>
          <w:rFonts w:hint="cs"/>
          <w:rtl/>
        </w:rPr>
        <w:t xml:space="preserve">את </w:t>
      </w:r>
      <w:bookmarkStart w:id="33365" w:name="_ETM_Q59_471060"/>
      <w:bookmarkEnd w:id="33365"/>
      <w:r>
        <w:rPr>
          <w:rFonts w:hint="cs"/>
          <w:rtl/>
        </w:rPr>
        <w:t xml:space="preserve">נבואות </w:t>
      </w:r>
      <w:bookmarkStart w:id="33366" w:name="_ETM_Q59_471660"/>
      <w:bookmarkEnd w:id="33366"/>
      <w:r>
        <w:rPr>
          <w:rFonts w:hint="cs"/>
          <w:rtl/>
        </w:rPr>
        <w:t xml:space="preserve">החורבן, </w:t>
      </w:r>
      <w:bookmarkStart w:id="33367" w:name="_ETM_Q59_472259"/>
      <w:bookmarkEnd w:id="33367"/>
      <w:r>
        <w:rPr>
          <w:rFonts w:hint="cs"/>
          <w:rtl/>
        </w:rPr>
        <w:t xml:space="preserve">מה </w:t>
      </w:r>
      <w:bookmarkStart w:id="33368" w:name="_ETM_Q59_472529"/>
      <w:bookmarkEnd w:id="33368"/>
      <w:r>
        <w:rPr>
          <w:rFonts w:hint="cs"/>
          <w:rtl/>
        </w:rPr>
        <w:t xml:space="preserve">שמכונה </w:t>
      </w:r>
      <w:bookmarkStart w:id="33369" w:name="_ETM_Q59_473250"/>
      <w:bookmarkEnd w:id="33369"/>
      <w:r>
        <w:rPr>
          <w:rFonts w:hint="cs"/>
          <w:rtl/>
        </w:rPr>
        <w:t xml:space="preserve">"תלתא </w:t>
      </w:r>
      <w:bookmarkStart w:id="33370" w:name="_ETM_Q59_473834"/>
      <w:bookmarkEnd w:id="33370"/>
      <w:r>
        <w:rPr>
          <w:rFonts w:hint="cs"/>
          <w:rtl/>
        </w:rPr>
        <w:t>דפורענותא",</w:t>
      </w:r>
      <w:bookmarkStart w:id="33371" w:name="_ETM_Q59_473669"/>
      <w:bookmarkEnd w:id="33371"/>
      <w:r>
        <w:rPr>
          <w:rFonts w:hint="cs"/>
          <w:rtl/>
        </w:rPr>
        <w:t xml:space="preserve"> </w:t>
      </w:r>
      <w:bookmarkStart w:id="33372" w:name="_ETM_Q59_474839"/>
      <w:bookmarkEnd w:id="33372"/>
      <w:r>
        <w:rPr>
          <w:rFonts w:hint="cs"/>
          <w:rtl/>
        </w:rPr>
        <w:t xml:space="preserve">שלוש </w:t>
      </w:r>
      <w:bookmarkStart w:id="33373" w:name="_ETM_Q59_475349"/>
      <w:bookmarkEnd w:id="33373"/>
      <w:r>
        <w:rPr>
          <w:rFonts w:hint="cs"/>
          <w:rtl/>
        </w:rPr>
        <w:t xml:space="preserve">נבואות </w:t>
      </w:r>
      <w:bookmarkStart w:id="33374" w:name="_ETM_Q59_475860"/>
      <w:bookmarkEnd w:id="33374"/>
      <w:r>
        <w:rPr>
          <w:rFonts w:hint="cs"/>
          <w:rtl/>
        </w:rPr>
        <w:t xml:space="preserve">הפורענות </w:t>
      </w:r>
      <w:bookmarkStart w:id="33375" w:name="_ETM_Q59_476430"/>
      <w:bookmarkEnd w:id="33375"/>
      <w:r>
        <w:rPr>
          <w:rFonts w:hint="cs"/>
          <w:rtl/>
        </w:rPr>
        <w:t xml:space="preserve">מירמיהו, </w:t>
      </w:r>
      <w:bookmarkStart w:id="33376" w:name="_ETM_Q59_478000"/>
      <w:bookmarkEnd w:id="33376"/>
      <w:r>
        <w:rPr>
          <w:rFonts w:hint="cs"/>
          <w:rtl/>
        </w:rPr>
        <w:t xml:space="preserve">הנביא </w:t>
      </w:r>
      <w:bookmarkStart w:id="33377" w:name="_ETM_Q59_478360"/>
      <w:bookmarkEnd w:id="33377"/>
      <w:r>
        <w:rPr>
          <w:rFonts w:hint="cs"/>
          <w:rtl/>
        </w:rPr>
        <w:t xml:space="preserve">שהתנבא </w:t>
      </w:r>
      <w:bookmarkStart w:id="33378" w:name="_ETM_Q59_478900"/>
      <w:bookmarkEnd w:id="33378"/>
      <w:r>
        <w:rPr>
          <w:rFonts w:hint="cs"/>
          <w:rtl/>
        </w:rPr>
        <w:t xml:space="preserve">במשך </w:t>
      </w:r>
      <w:bookmarkStart w:id="33379" w:name="_ETM_Q59_479319"/>
      <w:bookmarkEnd w:id="33379"/>
      <w:r>
        <w:rPr>
          <w:rFonts w:hint="cs"/>
          <w:rtl/>
        </w:rPr>
        <w:t xml:space="preserve">עשרות </w:t>
      </w:r>
      <w:bookmarkStart w:id="33380" w:name="_ETM_Q59_479680"/>
      <w:bookmarkEnd w:id="33380"/>
      <w:r>
        <w:rPr>
          <w:rFonts w:hint="cs"/>
          <w:rtl/>
        </w:rPr>
        <w:t xml:space="preserve">שנים </w:t>
      </w:r>
      <w:bookmarkStart w:id="33381" w:name="_ETM_Q59_480639"/>
      <w:bookmarkEnd w:id="33381"/>
      <w:r>
        <w:rPr>
          <w:rFonts w:hint="cs"/>
          <w:rtl/>
        </w:rPr>
        <w:t xml:space="preserve">על </w:t>
      </w:r>
      <w:bookmarkStart w:id="33382" w:name="_ETM_Q59_480789"/>
      <w:bookmarkEnd w:id="33382"/>
      <w:r>
        <w:rPr>
          <w:rFonts w:hint="cs"/>
          <w:rtl/>
        </w:rPr>
        <w:t xml:space="preserve">חורבן </w:t>
      </w:r>
      <w:bookmarkStart w:id="33383" w:name="_ETM_Q59_480350"/>
      <w:bookmarkStart w:id="33384" w:name="_ETM_Q59_480500"/>
      <w:bookmarkStart w:id="33385" w:name="_ETM_Q59_480950"/>
      <w:bookmarkEnd w:id="33383"/>
      <w:bookmarkEnd w:id="33384"/>
      <w:bookmarkEnd w:id="33385"/>
      <w:r>
        <w:rPr>
          <w:rFonts w:hint="cs"/>
          <w:rtl/>
        </w:rPr>
        <w:t xml:space="preserve">הבית. </w:t>
      </w:r>
      <w:bookmarkStart w:id="33386" w:name="_ETM_Q59_481459"/>
      <w:bookmarkEnd w:id="33386"/>
      <w:r>
        <w:rPr>
          <w:rFonts w:hint="cs"/>
          <w:rtl/>
        </w:rPr>
        <w:t xml:space="preserve">הוא </w:t>
      </w:r>
      <w:bookmarkStart w:id="33387" w:name="_ETM_Q59_481579"/>
      <w:bookmarkEnd w:id="33387"/>
      <w:r>
        <w:rPr>
          <w:rFonts w:hint="cs"/>
          <w:rtl/>
        </w:rPr>
        <w:t xml:space="preserve">הזהיר, </w:t>
      </w:r>
      <w:bookmarkStart w:id="33388" w:name="_ETM_Q59_482560"/>
      <w:bookmarkEnd w:id="33388"/>
      <w:r>
        <w:rPr>
          <w:rFonts w:hint="cs"/>
          <w:rtl/>
        </w:rPr>
        <w:t xml:space="preserve">הוא </w:t>
      </w:r>
      <w:bookmarkStart w:id="33389" w:name="_ETM_Q59_482680"/>
      <w:bookmarkEnd w:id="33389"/>
      <w:r>
        <w:rPr>
          <w:rFonts w:hint="cs"/>
          <w:rtl/>
        </w:rPr>
        <w:t xml:space="preserve">נרדף, </w:t>
      </w:r>
      <w:bookmarkStart w:id="33390" w:name="_ETM_Q59_483779"/>
      <w:bookmarkEnd w:id="33390"/>
      <w:r>
        <w:rPr>
          <w:rFonts w:hint="cs"/>
          <w:rtl/>
        </w:rPr>
        <w:t xml:space="preserve">הוא </w:t>
      </w:r>
      <w:bookmarkStart w:id="33391" w:name="_ETM_Q59_483899"/>
      <w:bookmarkEnd w:id="33391"/>
      <w:r>
        <w:rPr>
          <w:rFonts w:hint="cs"/>
          <w:rtl/>
        </w:rPr>
        <w:t xml:space="preserve">סבל </w:t>
      </w:r>
      <w:bookmarkStart w:id="33392" w:name="_ETM_Q59_484500"/>
      <w:bookmarkEnd w:id="33392"/>
      <w:r>
        <w:rPr>
          <w:rFonts w:hint="cs"/>
          <w:rtl/>
        </w:rPr>
        <w:t xml:space="preserve">והוא </w:t>
      </w:r>
      <w:bookmarkStart w:id="33393" w:name="_ETM_Q59_484680"/>
      <w:bookmarkEnd w:id="33393"/>
      <w:r>
        <w:rPr>
          <w:rFonts w:hint="cs"/>
          <w:rtl/>
        </w:rPr>
        <w:t xml:space="preserve">המשיך </w:t>
      </w:r>
      <w:bookmarkStart w:id="33394" w:name="_ETM_Q59_485069"/>
      <w:bookmarkEnd w:id="33394"/>
      <w:r>
        <w:rPr>
          <w:rFonts w:hint="cs"/>
          <w:rtl/>
        </w:rPr>
        <w:t xml:space="preserve">להזהיר. </w:t>
      </w:r>
      <w:bookmarkStart w:id="33395" w:name="_ETM_Q59_487039"/>
      <w:bookmarkEnd w:id="33395"/>
      <w:r>
        <w:rPr>
          <w:rFonts w:hint="cs"/>
          <w:rtl/>
        </w:rPr>
        <w:t xml:space="preserve">מה </w:t>
      </w:r>
      <w:bookmarkStart w:id="33396" w:name="_ETM_Q59_487279"/>
      <w:bookmarkEnd w:id="33396"/>
      <w:r>
        <w:rPr>
          <w:rFonts w:hint="cs"/>
          <w:rtl/>
        </w:rPr>
        <w:t xml:space="preserve">שהוא </w:t>
      </w:r>
      <w:bookmarkStart w:id="33397" w:name="_ETM_Q59_487490"/>
      <w:bookmarkEnd w:id="33397"/>
      <w:r>
        <w:rPr>
          <w:rFonts w:hint="cs"/>
          <w:rtl/>
        </w:rPr>
        <w:t xml:space="preserve">עושה, </w:t>
      </w:r>
      <w:bookmarkStart w:id="33398" w:name="_ETM_Q59_488179"/>
      <w:bookmarkEnd w:id="33398"/>
      <w:r>
        <w:rPr>
          <w:rFonts w:hint="cs"/>
          <w:rtl/>
        </w:rPr>
        <w:t xml:space="preserve">ירמיהו, </w:t>
      </w:r>
      <w:bookmarkStart w:id="33399" w:name="_ETM_Q59_488660"/>
      <w:bookmarkEnd w:id="33399"/>
      <w:r>
        <w:rPr>
          <w:rFonts w:hint="cs"/>
          <w:rtl/>
        </w:rPr>
        <w:t xml:space="preserve">בצורה </w:t>
      </w:r>
      <w:bookmarkStart w:id="33400" w:name="_ETM_Q59_489019"/>
      <w:bookmarkEnd w:id="33400"/>
      <w:r>
        <w:rPr>
          <w:rFonts w:hint="cs"/>
          <w:rtl/>
        </w:rPr>
        <w:t xml:space="preserve">די </w:t>
      </w:r>
      <w:bookmarkStart w:id="33401" w:name="_ETM_Q59_489200"/>
      <w:bookmarkEnd w:id="33401"/>
      <w:r>
        <w:rPr>
          <w:rFonts w:hint="cs"/>
          <w:rtl/>
        </w:rPr>
        <w:t>מדהימה</w:t>
      </w:r>
      <w:bookmarkStart w:id="33402" w:name="_ETM_Q59_490389"/>
      <w:bookmarkEnd w:id="33402"/>
      <w:r>
        <w:rPr>
          <w:rFonts w:hint="cs"/>
          <w:rtl/>
        </w:rPr>
        <w:t xml:space="preserve"> </w:t>
      </w:r>
      <w:bookmarkStart w:id="33403" w:name="_ETM_Q59_490750"/>
      <w:bookmarkStart w:id="33404" w:name="_ETM_Q59_491320"/>
      <w:bookmarkEnd w:id="33403"/>
      <w:bookmarkEnd w:id="33404"/>
      <w:r>
        <w:rPr>
          <w:rFonts w:hint="cs"/>
          <w:rtl/>
        </w:rPr>
        <w:t xml:space="preserve">זה שהוא </w:t>
      </w:r>
      <w:bookmarkStart w:id="33405" w:name="_ETM_Q59_491799"/>
      <w:bookmarkEnd w:id="33405"/>
      <w:r>
        <w:rPr>
          <w:rFonts w:hint="cs"/>
          <w:rtl/>
        </w:rPr>
        <w:t xml:space="preserve">משתף </w:t>
      </w:r>
      <w:bookmarkStart w:id="33406" w:name="_ETM_Q59_492309"/>
      <w:bookmarkEnd w:id="33406"/>
      <w:r>
        <w:rPr>
          <w:rFonts w:hint="cs"/>
          <w:rtl/>
        </w:rPr>
        <w:t xml:space="preserve">בנבואות </w:t>
      </w:r>
      <w:bookmarkStart w:id="33407" w:name="_ETM_Q59_492820"/>
      <w:bookmarkEnd w:id="33407"/>
      <w:r>
        <w:rPr>
          <w:rFonts w:hint="cs"/>
          <w:rtl/>
        </w:rPr>
        <w:t xml:space="preserve">שלו </w:t>
      </w:r>
      <w:bookmarkStart w:id="33408" w:name="_ETM_Q59_493690"/>
      <w:bookmarkEnd w:id="33408"/>
      <w:r>
        <w:rPr>
          <w:rFonts w:hint="cs"/>
          <w:rtl/>
        </w:rPr>
        <w:t xml:space="preserve">את </w:t>
      </w:r>
      <w:bookmarkStart w:id="33409" w:name="_ETM_Q59_493870"/>
      <w:bookmarkEnd w:id="33409"/>
      <w:r>
        <w:rPr>
          <w:rFonts w:hint="cs"/>
          <w:rtl/>
        </w:rPr>
        <w:t xml:space="preserve">התחושה </w:t>
      </w:r>
      <w:bookmarkStart w:id="33410" w:name="_ETM_Q59_494349"/>
      <w:bookmarkEnd w:id="33410"/>
      <w:r>
        <w:rPr>
          <w:rFonts w:hint="cs"/>
          <w:rtl/>
        </w:rPr>
        <w:t xml:space="preserve">האישית </w:t>
      </w:r>
      <w:bookmarkStart w:id="33411" w:name="_ETM_Q59_494769"/>
      <w:bookmarkEnd w:id="33411"/>
      <w:r>
        <w:rPr>
          <w:rFonts w:hint="cs"/>
          <w:rtl/>
        </w:rPr>
        <w:t xml:space="preserve">שלו. </w:t>
      </w:r>
      <w:bookmarkStart w:id="33412" w:name="_ETM_Q59_496380"/>
      <w:bookmarkEnd w:id="33412"/>
      <w:r>
        <w:rPr>
          <w:rFonts w:hint="cs"/>
          <w:rtl/>
        </w:rPr>
        <w:t xml:space="preserve">אז </w:t>
      </w:r>
      <w:bookmarkStart w:id="33413" w:name="_ETM_Q59_496560"/>
      <w:bookmarkEnd w:id="33413"/>
      <w:r>
        <w:rPr>
          <w:rFonts w:hint="cs"/>
          <w:rtl/>
        </w:rPr>
        <w:t xml:space="preserve">דווקא </w:t>
      </w:r>
      <w:bookmarkStart w:id="33414" w:name="_ETM_Q59_496890"/>
      <w:bookmarkEnd w:id="33414"/>
      <w:r>
        <w:rPr>
          <w:rFonts w:hint="cs"/>
          <w:rtl/>
        </w:rPr>
        <w:t xml:space="preserve">בימים </w:t>
      </w:r>
      <w:bookmarkStart w:id="33415" w:name="_ETM_Q59_497220"/>
      <w:bookmarkEnd w:id="33415"/>
      <w:r>
        <w:rPr>
          <w:rFonts w:hint="cs"/>
          <w:rtl/>
        </w:rPr>
        <w:t xml:space="preserve">הקשים </w:t>
      </w:r>
      <w:bookmarkStart w:id="33416" w:name="_ETM_Q59_497670"/>
      <w:bookmarkEnd w:id="33416"/>
      <w:r>
        <w:rPr>
          <w:rFonts w:hint="cs"/>
          <w:rtl/>
        </w:rPr>
        <w:t xml:space="preserve">האלה, </w:t>
      </w:r>
      <w:bookmarkStart w:id="33417" w:name="_ETM_Q59_498440"/>
      <w:bookmarkEnd w:id="33417"/>
      <w:r>
        <w:rPr>
          <w:rFonts w:hint="cs"/>
          <w:rtl/>
        </w:rPr>
        <w:t xml:space="preserve">אחרי </w:t>
      </w:r>
      <w:bookmarkStart w:id="33418" w:name="_ETM_Q59_498800"/>
      <w:bookmarkEnd w:id="33418"/>
      <w:r>
        <w:rPr>
          <w:rFonts w:hint="cs"/>
          <w:rtl/>
        </w:rPr>
        <w:t xml:space="preserve">שלמדנו </w:t>
      </w:r>
      <w:bookmarkStart w:id="33419" w:name="_ETM_Q59_499369"/>
      <w:bookmarkStart w:id="33420" w:name="_ETM_Q59_499610"/>
      <w:bookmarkEnd w:id="33419"/>
      <w:bookmarkEnd w:id="33420"/>
      <w:r>
        <w:rPr>
          <w:rFonts w:hint="cs"/>
          <w:rtl/>
        </w:rPr>
        <w:t xml:space="preserve">משהו </w:t>
      </w:r>
      <w:bookmarkStart w:id="33421" w:name="_ETM_Q59_499970"/>
      <w:bookmarkEnd w:id="33421"/>
      <w:r>
        <w:rPr>
          <w:rFonts w:hint="cs"/>
          <w:rtl/>
        </w:rPr>
        <w:t xml:space="preserve">מהאגדות </w:t>
      </w:r>
      <w:bookmarkStart w:id="33422" w:name="_ETM_Q59_500450"/>
      <w:bookmarkEnd w:id="33422"/>
      <w:r>
        <w:rPr>
          <w:rFonts w:hint="cs"/>
          <w:rtl/>
        </w:rPr>
        <w:t xml:space="preserve">החורבן </w:t>
      </w:r>
      <w:bookmarkStart w:id="33423" w:name="_ETM_Q59_500869"/>
      <w:bookmarkEnd w:id="33423"/>
      <w:r>
        <w:rPr>
          <w:rFonts w:hint="cs"/>
          <w:rtl/>
        </w:rPr>
        <w:t xml:space="preserve">ביחד, </w:t>
      </w:r>
      <w:bookmarkStart w:id="33424" w:name="_ETM_Q59_501830"/>
      <w:bookmarkEnd w:id="33424"/>
      <w:r>
        <w:rPr>
          <w:rFonts w:hint="cs"/>
          <w:rtl/>
        </w:rPr>
        <w:t xml:space="preserve">אני </w:t>
      </w:r>
      <w:bookmarkStart w:id="33425" w:name="_ETM_Q59_502039"/>
      <w:bookmarkEnd w:id="33425"/>
      <w:r>
        <w:rPr>
          <w:rFonts w:hint="cs"/>
          <w:rtl/>
        </w:rPr>
        <w:t xml:space="preserve">רוצה </w:t>
      </w:r>
      <w:bookmarkStart w:id="33426" w:name="_ETM_Q59_502279"/>
      <w:bookmarkEnd w:id="33426"/>
      <w:r>
        <w:rPr>
          <w:rFonts w:hint="cs"/>
          <w:rtl/>
        </w:rPr>
        <w:t xml:space="preserve">לשתף </w:t>
      </w:r>
      <w:bookmarkStart w:id="33427" w:name="_ETM_Q59_502670"/>
      <w:bookmarkEnd w:id="33427"/>
      <w:r>
        <w:rPr>
          <w:rFonts w:hint="cs"/>
          <w:rtl/>
        </w:rPr>
        <w:t xml:space="preserve">אתכם </w:t>
      </w:r>
      <w:bookmarkStart w:id="33428" w:name="_ETM_Q59_502970"/>
      <w:bookmarkEnd w:id="33428"/>
      <w:r>
        <w:rPr>
          <w:rFonts w:hint="cs"/>
          <w:rtl/>
        </w:rPr>
        <w:t xml:space="preserve">בחוויה </w:t>
      </w:r>
      <w:bookmarkStart w:id="33429" w:name="_ETM_Q59_503450"/>
      <w:bookmarkEnd w:id="33429"/>
      <w:r>
        <w:rPr>
          <w:rFonts w:hint="cs"/>
          <w:rtl/>
        </w:rPr>
        <w:t xml:space="preserve">שלי </w:t>
      </w:r>
      <w:bookmarkStart w:id="33430" w:name="_ETM_Q59_504689"/>
      <w:bookmarkEnd w:id="33430"/>
      <w:r>
        <w:rPr>
          <w:rFonts w:hint="cs"/>
          <w:rtl/>
        </w:rPr>
        <w:t>כ</w:t>
      </w:r>
      <w:bookmarkStart w:id="33431" w:name="_ETM_Q59_504899"/>
      <w:bookmarkEnd w:id="33431"/>
      <w:r>
        <w:rPr>
          <w:rFonts w:hint="cs"/>
          <w:rtl/>
        </w:rPr>
        <w:t xml:space="preserve">חבר </w:t>
      </w:r>
      <w:bookmarkStart w:id="33432" w:name="_ETM_Q59_505230"/>
      <w:bookmarkEnd w:id="33432"/>
      <w:r>
        <w:rPr>
          <w:rFonts w:hint="cs"/>
          <w:rtl/>
        </w:rPr>
        <w:t xml:space="preserve">כנסת </w:t>
      </w:r>
      <w:bookmarkStart w:id="33433" w:name="_ETM_Q59_506429"/>
      <w:bookmarkStart w:id="33434" w:name="_ETM_Q59_506699"/>
      <w:bookmarkEnd w:id="33433"/>
      <w:bookmarkEnd w:id="33434"/>
      <w:r>
        <w:rPr>
          <w:rFonts w:hint="cs"/>
          <w:rtl/>
        </w:rPr>
        <w:t xml:space="preserve">– עוד </w:t>
      </w:r>
      <w:bookmarkStart w:id="33435" w:name="_ETM_Q59_507269"/>
      <w:bookmarkEnd w:id="33435"/>
      <w:r>
        <w:rPr>
          <w:rFonts w:hint="cs"/>
          <w:rtl/>
        </w:rPr>
        <w:t xml:space="preserve">הרבה </w:t>
      </w:r>
      <w:bookmarkStart w:id="33436" w:name="_ETM_Q59_507599"/>
      <w:bookmarkEnd w:id="33436"/>
      <w:r>
        <w:rPr>
          <w:rFonts w:hint="cs"/>
          <w:rtl/>
        </w:rPr>
        <w:t xml:space="preserve">קודם, </w:t>
      </w:r>
      <w:bookmarkStart w:id="33437" w:name="_ETM_Q59_508320"/>
      <w:bookmarkEnd w:id="33437"/>
      <w:r>
        <w:rPr>
          <w:rFonts w:hint="cs"/>
          <w:rtl/>
        </w:rPr>
        <w:t xml:space="preserve">אבל </w:t>
      </w:r>
      <w:bookmarkStart w:id="33438" w:name="_ETM_Q59_508559"/>
      <w:bookmarkEnd w:id="33438"/>
      <w:r>
        <w:rPr>
          <w:rFonts w:hint="cs"/>
          <w:rtl/>
        </w:rPr>
        <w:t xml:space="preserve">היום </w:t>
      </w:r>
      <w:bookmarkStart w:id="33439" w:name="_ETM_Q59_508890"/>
      <w:bookmarkEnd w:id="33439"/>
      <w:r>
        <w:rPr>
          <w:rFonts w:hint="cs"/>
          <w:rtl/>
        </w:rPr>
        <w:t xml:space="preserve">כחבר </w:t>
      </w:r>
      <w:bookmarkStart w:id="33440" w:name="_ETM_Q59_509279"/>
      <w:bookmarkEnd w:id="33440"/>
      <w:r>
        <w:rPr>
          <w:rFonts w:hint="cs"/>
          <w:rtl/>
        </w:rPr>
        <w:t xml:space="preserve">כנסת </w:t>
      </w:r>
      <w:bookmarkStart w:id="33441" w:name="_ETM_Q59_509579"/>
      <w:bookmarkEnd w:id="33441"/>
      <w:r>
        <w:rPr>
          <w:rFonts w:hint="cs"/>
          <w:rtl/>
        </w:rPr>
        <w:t xml:space="preserve">באופוזיציה, </w:t>
      </w:r>
      <w:bookmarkStart w:id="33442" w:name="_ETM_Q59_511029"/>
      <w:bookmarkEnd w:id="33442"/>
      <w:r>
        <w:rPr>
          <w:rFonts w:hint="cs"/>
          <w:rtl/>
        </w:rPr>
        <w:t xml:space="preserve">כשעיני </w:t>
      </w:r>
      <w:bookmarkStart w:id="33443" w:name="_ETM_Q59_511359"/>
      <w:bookmarkEnd w:id="33443"/>
      <w:r>
        <w:rPr>
          <w:rFonts w:hint="cs"/>
          <w:rtl/>
        </w:rPr>
        <w:t xml:space="preserve">עם </w:t>
      </w:r>
      <w:bookmarkStart w:id="33444" w:name="_ETM_Q59_511510"/>
      <w:bookmarkEnd w:id="33444"/>
      <w:r>
        <w:rPr>
          <w:rFonts w:hint="cs"/>
          <w:rtl/>
        </w:rPr>
        <w:t xml:space="preserve">ישראל </w:t>
      </w:r>
      <w:bookmarkStart w:id="33445" w:name="_ETM_Q59_512410"/>
      <w:bookmarkEnd w:id="33445"/>
      <w:r>
        <w:rPr>
          <w:rFonts w:hint="cs"/>
          <w:rtl/>
        </w:rPr>
        <w:t xml:space="preserve">נשואות </w:t>
      </w:r>
      <w:bookmarkStart w:id="33446" w:name="_ETM_Q59_512920"/>
      <w:bookmarkEnd w:id="33446"/>
      <w:r>
        <w:rPr>
          <w:rFonts w:hint="cs"/>
          <w:rtl/>
        </w:rPr>
        <w:t xml:space="preserve">אל </w:t>
      </w:r>
      <w:bookmarkStart w:id="33447" w:name="_ETM_Q59_513040"/>
      <w:bookmarkEnd w:id="33447"/>
      <w:r>
        <w:rPr>
          <w:rFonts w:hint="cs"/>
          <w:rtl/>
        </w:rPr>
        <w:t xml:space="preserve">הבית </w:t>
      </w:r>
      <w:bookmarkStart w:id="33448" w:name="_ETM_Q59_513460"/>
      <w:bookmarkEnd w:id="33448"/>
      <w:r>
        <w:rPr>
          <w:rFonts w:hint="cs"/>
          <w:rtl/>
        </w:rPr>
        <w:t xml:space="preserve">הזה, </w:t>
      </w:r>
      <w:bookmarkStart w:id="33449" w:name="_ETM_Q59_514500"/>
      <w:bookmarkEnd w:id="33449"/>
      <w:r>
        <w:rPr>
          <w:rFonts w:hint="cs"/>
          <w:rtl/>
        </w:rPr>
        <w:t xml:space="preserve">אל </w:t>
      </w:r>
      <w:bookmarkStart w:id="33450" w:name="_ETM_Q59_514770"/>
      <w:bookmarkEnd w:id="33450"/>
      <w:r>
        <w:rPr>
          <w:rFonts w:hint="cs"/>
          <w:rtl/>
        </w:rPr>
        <w:t xml:space="preserve">ההחלטות </w:t>
      </w:r>
      <w:bookmarkStart w:id="33451" w:name="_ETM_Q59_515220"/>
      <w:bookmarkEnd w:id="33451"/>
      <w:r>
        <w:rPr>
          <w:rFonts w:hint="cs"/>
          <w:rtl/>
        </w:rPr>
        <w:t xml:space="preserve">שמתקבלות </w:t>
      </w:r>
      <w:bookmarkStart w:id="33452" w:name="_ETM_Q59_515910"/>
      <w:bookmarkEnd w:id="33452"/>
      <w:r>
        <w:rPr>
          <w:rFonts w:hint="cs"/>
          <w:rtl/>
        </w:rPr>
        <w:t xml:space="preserve">כאן, </w:t>
      </w:r>
      <w:bookmarkStart w:id="33453" w:name="_ETM_Q59_516630"/>
      <w:bookmarkEnd w:id="33453"/>
      <w:r>
        <w:rPr>
          <w:rFonts w:hint="cs"/>
          <w:rtl/>
        </w:rPr>
        <w:t>אל ה</w:t>
      </w:r>
      <w:bookmarkStart w:id="33454" w:name="_ETM_Q59_516870"/>
      <w:bookmarkEnd w:id="33454"/>
      <w:r>
        <w:rPr>
          <w:rFonts w:hint="cs"/>
          <w:rtl/>
        </w:rPr>
        <w:t xml:space="preserve">מנהיגים </w:t>
      </w:r>
      <w:bookmarkStart w:id="33455" w:name="_ETM_Q59_517350"/>
      <w:bookmarkEnd w:id="33455"/>
      <w:r>
        <w:rPr>
          <w:rFonts w:hint="cs"/>
          <w:rtl/>
        </w:rPr>
        <w:t xml:space="preserve">שמסתובבים </w:t>
      </w:r>
      <w:bookmarkStart w:id="33456" w:name="_ETM_Q59_518160"/>
      <w:bookmarkEnd w:id="33456"/>
      <w:r>
        <w:rPr>
          <w:rFonts w:hint="cs"/>
          <w:rtl/>
        </w:rPr>
        <w:t xml:space="preserve">כאן </w:t>
      </w:r>
      <w:bookmarkStart w:id="33457" w:name="_ETM_Q59_519809"/>
      <w:bookmarkEnd w:id="33457"/>
      <w:r>
        <w:rPr>
          <w:rFonts w:hint="cs"/>
          <w:rtl/>
        </w:rPr>
        <w:t xml:space="preserve">בכנסת </w:t>
      </w:r>
      <w:bookmarkStart w:id="33458" w:name="_ETM_Q59_520350"/>
      <w:bookmarkEnd w:id="33458"/>
      <w:r>
        <w:rPr>
          <w:rFonts w:hint="cs"/>
          <w:rtl/>
        </w:rPr>
        <w:t>ישראל.</w:t>
      </w:r>
      <w:bookmarkStart w:id="33459" w:name="_ETM_Q59_522490"/>
      <w:bookmarkEnd w:id="33459"/>
    </w:p>
    <w:p w:rsidR="00BB59CD" w:rsidRDefault="00BB59CD" w:rsidP="00BB59CD">
      <w:pPr>
        <w:rPr>
          <w:rtl/>
        </w:rPr>
      </w:pPr>
      <w:bookmarkStart w:id="33460" w:name="_ETM_Q59_522798"/>
      <w:bookmarkStart w:id="33461" w:name="_ETM_Q59_522879"/>
      <w:bookmarkEnd w:id="33460"/>
      <w:bookmarkEnd w:id="33461"/>
    </w:p>
    <w:p w:rsidR="00BB59CD" w:rsidRDefault="00BB59CD" w:rsidP="001033F7">
      <w:pPr>
        <w:rPr>
          <w:rtl/>
        </w:rPr>
      </w:pPr>
      <w:bookmarkStart w:id="33462" w:name="_ETM_Q59_522925"/>
      <w:bookmarkStart w:id="33463" w:name="_ETM_Q59_522990"/>
      <w:bookmarkEnd w:id="33462"/>
      <w:bookmarkEnd w:id="33463"/>
      <w:r>
        <w:rPr>
          <w:rFonts w:hint="cs"/>
          <w:rtl/>
        </w:rPr>
        <w:t xml:space="preserve">לפני </w:t>
      </w:r>
      <w:bookmarkStart w:id="33464" w:name="_ETM_Q59_524190"/>
      <w:bookmarkEnd w:id="33464"/>
      <w:r>
        <w:rPr>
          <w:rFonts w:hint="cs"/>
          <w:rtl/>
        </w:rPr>
        <w:t xml:space="preserve">19 </w:t>
      </w:r>
      <w:bookmarkStart w:id="33465" w:name="_ETM_Q59_524760"/>
      <w:bookmarkEnd w:id="33465"/>
      <w:r>
        <w:rPr>
          <w:rFonts w:hint="cs"/>
          <w:rtl/>
        </w:rPr>
        <w:t xml:space="preserve">שנים </w:t>
      </w:r>
      <w:bookmarkStart w:id="33466" w:name="_ETM_Q59_526390"/>
      <w:bookmarkEnd w:id="33466"/>
      <w:r>
        <w:rPr>
          <w:rFonts w:hint="cs"/>
          <w:rtl/>
        </w:rPr>
        <w:t xml:space="preserve">הייתי </w:t>
      </w:r>
      <w:bookmarkStart w:id="33467" w:name="_ETM_Q59_526720"/>
      <w:bookmarkEnd w:id="33467"/>
      <w:r>
        <w:rPr>
          <w:rFonts w:hint="cs"/>
          <w:rtl/>
        </w:rPr>
        <w:t xml:space="preserve">מ"פ </w:t>
      </w:r>
      <w:bookmarkStart w:id="33468" w:name="_ETM_Q59_527170"/>
      <w:bookmarkEnd w:id="33468"/>
      <w:r>
        <w:rPr>
          <w:rFonts w:hint="cs"/>
          <w:rtl/>
        </w:rPr>
        <w:t xml:space="preserve">צעיר </w:t>
      </w:r>
      <w:bookmarkStart w:id="33469" w:name="_ETM_Q59_527560"/>
      <w:bookmarkEnd w:id="33469"/>
      <w:r>
        <w:rPr>
          <w:rFonts w:hint="cs"/>
          <w:rtl/>
        </w:rPr>
        <w:t xml:space="preserve">במילואים, </w:t>
      </w:r>
      <w:bookmarkStart w:id="33470" w:name="_ETM_Q59_529400"/>
      <w:bookmarkEnd w:id="33470"/>
      <w:r>
        <w:rPr>
          <w:rFonts w:hint="cs"/>
          <w:rtl/>
        </w:rPr>
        <w:t xml:space="preserve">והימים </w:t>
      </w:r>
      <w:bookmarkStart w:id="33471" w:name="_ETM_Q59_529940"/>
      <w:bookmarkEnd w:id="33471"/>
      <w:r>
        <w:rPr>
          <w:rFonts w:hint="cs"/>
          <w:rtl/>
        </w:rPr>
        <w:t xml:space="preserve">הם </w:t>
      </w:r>
      <w:bookmarkStart w:id="33472" w:name="_ETM_Q59_530150"/>
      <w:bookmarkEnd w:id="33472"/>
      <w:r>
        <w:rPr>
          <w:rFonts w:hint="cs"/>
          <w:rtl/>
        </w:rPr>
        <w:t xml:space="preserve">כבר </w:t>
      </w:r>
      <w:bookmarkStart w:id="33473" w:name="_ETM_Q59_530390"/>
      <w:bookmarkEnd w:id="33473"/>
      <w:r>
        <w:rPr>
          <w:rFonts w:hint="cs"/>
          <w:rtl/>
        </w:rPr>
        <w:t xml:space="preserve">ימי </w:t>
      </w:r>
      <w:bookmarkStart w:id="33474" w:name="_ETM_Q59_531409"/>
      <w:bookmarkEnd w:id="33474"/>
      <w:r>
        <w:rPr>
          <w:rFonts w:hint="cs"/>
          <w:rtl/>
        </w:rPr>
        <w:t xml:space="preserve">מה </w:t>
      </w:r>
      <w:bookmarkStart w:id="33475" w:name="_ETM_Q59_531620"/>
      <w:bookmarkEnd w:id="33475"/>
      <w:r>
        <w:rPr>
          <w:rFonts w:hint="cs"/>
          <w:rtl/>
        </w:rPr>
        <w:t xml:space="preserve">שמכונה </w:t>
      </w:r>
      <w:bookmarkStart w:id="33476" w:name="_ETM_Q59_532399"/>
      <w:bookmarkEnd w:id="33476"/>
      <w:r>
        <w:rPr>
          <w:rFonts w:hint="cs"/>
          <w:rtl/>
        </w:rPr>
        <w:t xml:space="preserve">ההתנתקות, </w:t>
      </w:r>
      <w:bookmarkStart w:id="33477" w:name="_ETM_Q59_533690"/>
      <w:bookmarkEnd w:id="33477"/>
      <w:r>
        <w:rPr>
          <w:rFonts w:hint="cs"/>
          <w:rtl/>
        </w:rPr>
        <w:t xml:space="preserve">אנחנו </w:t>
      </w:r>
      <w:bookmarkStart w:id="33478" w:name="_ETM_Q59_533989"/>
      <w:bookmarkEnd w:id="33478"/>
      <w:r>
        <w:rPr>
          <w:rFonts w:hint="cs"/>
          <w:rtl/>
        </w:rPr>
        <w:t xml:space="preserve">בערך </w:t>
      </w:r>
      <w:bookmarkStart w:id="33479" w:name="_ETM_Q59_534289"/>
      <w:bookmarkEnd w:id="33479"/>
      <w:r>
        <w:rPr>
          <w:rFonts w:hint="cs"/>
          <w:rtl/>
        </w:rPr>
        <w:t xml:space="preserve">שנה </w:t>
      </w:r>
      <w:bookmarkStart w:id="33480" w:name="_ETM_Q59_534649"/>
      <w:bookmarkEnd w:id="33480"/>
      <w:r>
        <w:rPr>
          <w:rFonts w:hint="cs"/>
          <w:rtl/>
        </w:rPr>
        <w:t xml:space="preserve">קודם. </w:t>
      </w:r>
      <w:bookmarkStart w:id="33481" w:name="_ETM_Q59_535790"/>
      <w:bookmarkEnd w:id="33481"/>
      <w:r>
        <w:rPr>
          <w:rFonts w:hint="cs"/>
          <w:rtl/>
        </w:rPr>
        <w:t xml:space="preserve">יצא </w:t>
      </w:r>
      <w:bookmarkStart w:id="33482" w:name="_ETM_Q59_536089"/>
      <w:bookmarkEnd w:id="33482"/>
      <w:r>
        <w:rPr>
          <w:rFonts w:hint="cs"/>
          <w:rtl/>
        </w:rPr>
        <w:t xml:space="preserve">לי </w:t>
      </w:r>
      <w:bookmarkStart w:id="33483" w:name="_ETM_Q59_536180"/>
      <w:bookmarkEnd w:id="33483"/>
      <w:r>
        <w:rPr>
          <w:rFonts w:hint="cs"/>
          <w:rtl/>
        </w:rPr>
        <w:t xml:space="preserve">כבר </w:t>
      </w:r>
      <w:bookmarkStart w:id="33484" w:name="_ETM_Q59_536360"/>
      <w:bookmarkEnd w:id="33484"/>
      <w:r>
        <w:rPr>
          <w:rFonts w:hint="cs"/>
          <w:rtl/>
        </w:rPr>
        <w:t xml:space="preserve">לספר </w:t>
      </w:r>
      <w:bookmarkStart w:id="33485" w:name="_ETM_Q59_536690"/>
      <w:bookmarkEnd w:id="33485"/>
      <w:r>
        <w:rPr>
          <w:rFonts w:hint="cs"/>
          <w:rtl/>
        </w:rPr>
        <w:t xml:space="preserve">את </w:t>
      </w:r>
      <w:bookmarkStart w:id="33486" w:name="_ETM_Q59_536750"/>
      <w:bookmarkEnd w:id="33486"/>
      <w:r>
        <w:rPr>
          <w:rFonts w:hint="cs"/>
          <w:rtl/>
        </w:rPr>
        <w:t xml:space="preserve">הסיפור </w:t>
      </w:r>
      <w:bookmarkStart w:id="33487" w:name="_ETM_Q59_537110"/>
      <w:bookmarkEnd w:id="33487"/>
      <w:r>
        <w:rPr>
          <w:rFonts w:hint="cs"/>
          <w:rtl/>
        </w:rPr>
        <w:t xml:space="preserve">הזה, </w:t>
      </w:r>
      <w:bookmarkStart w:id="33488" w:name="_ETM_Q59_537589"/>
      <w:bookmarkEnd w:id="33488"/>
      <w:r>
        <w:rPr>
          <w:rFonts w:hint="cs"/>
          <w:rtl/>
        </w:rPr>
        <w:t xml:space="preserve">אבל </w:t>
      </w:r>
      <w:bookmarkStart w:id="33489" w:name="_ETM_Q59_537890"/>
      <w:bookmarkEnd w:id="33489"/>
      <w:r>
        <w:rPr>
          <w:rFonts w:hint="cs"/>
          <w:rtl/>
        </w:rPr>
        <w:t xml:space="preserve">הוא </w:t>
      </w:r>
      <w:bookmarkStart w:id="33490" w:name="_ETM_Q59_537980"/>
      <w:bookmarkEnd w:id="33490"/>
      <w:r>
        <w:rPr>
          <w:rFonts w:hint="cs"/>
          <w:rtl/>
        </w:rPr>
        <w:t xml:space="preserve">שייך </w:t>
      </w:r>
      <w:bookmarkStart w:id="33491" w:name="_ETM_Q59_538310"/>
      <w:bookmarkEnd w:id="33491"/>
      <w:r>
        <w:rPr>
          <w:rFonts w:hint="cs"/>
          <w:rtl/>
        </w:rPr>
        <w:t>כל</w:t>
      </w:r>
      <w:bookmarkStart w:id="33492" w:name="_ETM_Q59_538490"/>
      <w:bookmarkEnd w:id="33492"/>
      <w:r>
        <w:rPr>
          <w:rFonts w:hint="cs"/>
          <w:rtl/>
        </w:rPr>
        <w:t xml:space="preserve"> כך </w:t>
      </w:r>
      <w:bookmarkStart w:id="33493" w:name="_ETM_Q59_538730"/>
      <w:bookmarkEnd w:id="33493"/>
      <w:r>
        <w:rPr>
          <w:rFonts w:hint="cs"/>
          <w:rtl/>
        </w:rPr>
        <w:t xml:space="preserve">ליום </w:t>
      </w:r>
      <w:bookmarkStart w:id="33494" w:name="_ETM_Q59_539089"/>
      <w:bookmarkEnd w:id="33494"/>
      <w:r>
        <w:rPr>
          <w:rFonts w:hint="cs"/>
          <w:rtl/>
        </w:rPr>
        <w:t xml:space="preserve">הזה. </w:t>
      </w:r>
      <w:bookmarkStart w:id="33495" w:name="_ETM_Q59_540500"/>
      <w:bookmarkEnd w:id="33495"/>
      <w:r>
        <w:rPr>
          <w:rFonts w:hint="cs"/>
          <w:rtl/>
        </w:rPr>
        <w:t xml:space="preserve">אני </w:t>
      </w:r>
      <w:bookmarkStart w:id="33496" w:name="_ETM_Q59_543029"/>
      <w:bookmarkEnd w:id="33496"/>
      <w:r>
        <w:rPr>
          <w:rFonts w:hint="cs"/>
          <w:rtl/>
        </w:rPr>
        <w:t xml:space="preserve">והפלוגה </w:t>
      </w:r>
      <w:bookmarkStart w:id="33497" w:name="_ETM_Q59_543569"/>
      <w:bookmarkEnd w:id="33497"/>
      <w:r>
        <w:rPr>
          <w:rFonts w:hint="cs"/>
          <w:rtl/>
        </w:rPr>
        <w:t xml:space="preserve">שלי </w:t>
      </w:r>
      <w:bookmarkStart w:id="33498" w:name="_ETM_Q59_543899"/>
      <w:bookmarkEnd w:id="33498"/>
      <w:r>
        <w:rPr>
          <w:rFonts w:hint="cs"/>
          <w:rtl/>
        </w:rPr>
        <w:t xml:space="preserve">נקראים </w:t>
      </w:r>
      <w:bookmarkStart w:id="33499" w:name="_ETM_Q59_544619"/>
      <w:bookmarkEnd w:id="33499"/>
      <w:r>
        <w:rPr>
          <w:rFonts w:hint="cs"/>
          <w:rtl/>
        </w:rPr>
        <w:t xml:space="preserve">יחד </w:t>
      </w:r>
      <w:bookmarkStart w:id="33500" w:name="_ETM_Q59_545009"/>
      <w:bookmarkEnd w:id="33500"/>
      <w:r>
        <w:rPr>
          <w:rFonts w:hint="cs"/>
          <w:rtl/>
        </w:rPr>
        <w:t xml:space="preserve">עם </w:t>
      </w:r>
      <w:bookmarkStart w:id="33501" w:name="_ETM_Q59_545130"/>
      <w:bookmarkEnd w:id="33501"/>
      <w:r>
        <w:rPr>
          <w:rFonts w:hint="cs"/>
          <w:rtl/>
        </w:rPr>
        <w:t xml:space="preserve">כל </w:t>
      </w:r>
      <w:bookmarkStart w:id="33502" w:name="_ETM_Q59_545369"/>
      <w:bookmarkEnd w:id="33502"/>
      <w:r>
        <w:rPr>
          <w:rFonts w:hint="cs"/>
          <w:rtl/>
        </w:rPr>
        <w:t xml:space="preserve">הגדוד, </w:t>
      </w:r>
      <w:bookmarkStart w:id="33503" w:name="_ETM_Q59_545789"/>
      <w:bookmarkEnd w:id="33503"/>
      <w:r>
        <w:rPr>
          <w:rFonts w:hint="cs"/>
          <w:rtl/>
        </w:rPr>
        <w:t xml:space="preserve">גדוד </w:t>
      </w:r>
      <w:bookmarkStart w:id="33504" w:name="_ETM_Q59_546029"/>
      <w:bookmarkEnd w:id="33504"/>
      <w:r>
        <w:rPr>
          <w:rFonts w:hint="cs"/>
          <w:rtl/>
        </w:rPr>
        <w:t xml:space="preserve">420 – </w:t>
      </w:r>
      <w:bookmarkStart w:id="33505" w:name="_ETM_Q59_546930"/>
      <w:bookmarkEnd w:id="33505"/>
      <w:r>
        <w:rPr>
          <w:rFonts w:hint="cs"/>
          <w:rtl/>
        </w:rPr>
        <w:t xml:space="preserve">גם </w:t>
      </w:r>
      <w:bookmarkStart w:id="33506" w:name="_ETM_Q59_547579"/>
      <w:bookmarkEnd w:id="33506"/>
      <w:r>
        <w:rPr>
          <w:rFonts w:hint="cs"/>
          <w:rtl/>
        </w:rPr>
        <w:t xml:space="preserve">חברי </w:t>
      </w:r>
      <w:bookmarkStart w:id="33507" w:name="_ETM_Q59_548000"/>
      <w:bookmarkEnd w:id="33507"/>
      <w:r>
        <w:rPr>
          <w:rFonts w:hint="cs"/>
          <w:rtl/>
        </w:rPr>
        <w:t xml:space="preserve">הכנסת </w:t>
      </w:r>
      <w:bookmarkStart w:id="33508" w:name="_ETM_Q59_548360"/>
      <w:bookmarkEnd w:id="33508"/>
      <w:r>
        <w:rPr>
          <w:rFonts w:hint="cs"/>
          <w:rtl/>
        </w:rPr>
        <w:t xml:space="preserve">מאיר </w:t>
      </w:r>
      <w:bookmarkStart w:id="33509" w:name="_ETM_Q59_548630"/>
      <w:bookmarkEnd w:id="33509"/>
      <w:r>
        <w:rPr>
          <w:rFonts w:hint="cs"/>
          <w:rtl/>
        </w:rPr>
        <w:t xml:space="preserve">כהן </w:t>
      </w:r>
      <w:bookmarkStart w:id="33510" w:name="_ETM_Q59_548899"/>
      <w:bookmarkEnd w:id="33510"/>
      <w:r>
        <w:rPr>
          <w:rFonts w:hint="cs"/>
          <w:rtl/>
        </w:rPr>
        <w:t xml:space="preserve">ואלעזר </w:t>
      </w:r>
      <w:bookmarkStart w:id="33511" w:name="_ETM_Q59_549320"/>
      <w:bookmarkEnd w:id="33511"/>
      <w:r>
        <w:rPr>
          <w:rFonts w:hint="cs"/>
          <w:rtl/>
        </w:rPr>
        <w:t xml:space="preserve">שטרן </w:t>
      </w:r>
      <w:bookmarkStart w:id="33512" w:name="_ETM_Q59_549680"/>
      <w:bookmarkEnd w:id="33512"/>
      <w:r>
        <w:rPr>
          <w:rFonts w:hint="cs"/>
          <w:rtl/>
        </w:rPr>
        <w:t xml:space="preserve">שירתו </w:t>
      </w:r>
      <w:bookmarkStart w:id="33513" w:name="_ETM_Q59_549979"/>
      <w:bookmarkEnd w:id="33513"/>
      <w:r>
        <w:rPr>
          <w:rFonts w:hint="cs"/>
          <w:rtl/>
        </w:rPr>
        <w:t xml:space="preserve">בגדוד </w:t>
      </w:r>
      <w:bookmarkStart w:id="33514" w:name="_ETM_Q59_550339"/>
      <w:bookmarkEnd w:id="33514"/>
      <w:r>
        <w:rPr>
          <w:rFonts w:hint="cs"/>
          <w:rtl/>
        </w:rPr>
        <w:t xml:space="preserve">הזה, </w:t>
      </w:r>
      <w:bookmarkStart w:id="33515" w:name="_ETM_Q59_550850"/>
      <w:bookmarkEnd w:id="33515"/>
      <w:r>
        <w:rPr>
          <w:rFonts w:hint="cs"/>
          <w:rtl/>
        </w:rPr>
        <w:t xml:space="preserve">אלעזר </w:t>
      </w:r>
      <w:bookmarkStart w:id="33516" w:name="_ETM_Q59_551180"/>
      <w:bookmarkEnd w:id="33516"/>
      <w:r>
        <w:rPr>
          <w:rFonts w:hint="cs"/>
          <w:rtl/>
        </w:rPr>
        <w:t xml:space="preserve">היה </w:t>
      </w:r>
      <w:bookmarkStart w:id="33517" w:name="_ETM_Q59_551299"/>
      <w:bookmarkEnd w:id="33517"/>
      <w:r>
        <w:rPr>
          <w:rFonts w:hint="cs"/>
          <w:rtl/>
        </w:rPr>
        <w:t xml:space="preserve">המפקד </w:t>
      </w:r>
      <w:bookmarkStart w:id="33518" w:name="_ETM_Q59_551689"/>
      <w:bookmarkEnd w:id="33518"/>
      <w:r>
        <w:rPr>
          <w:rFonts w:hint="cs"/>
          <w:rtl/>
        </w:rPr>
        <w:t xml:space="preserve">שלו </w:t>
      </w:r>
      <w:bookmarkStart w:id="33519" w:name="_ETM_Q59_551930"/>
      <w:bookmarkEnd w:id="33519"/>
      <w:r>
        <w:rPr>
          <w:rFonts w:hint="cs"/>
          <w:rtl/>
        </w:rPr>
        <w:t xml:space="preserve">אפילו – </w:t>
      </w:r>
      <w:bookmarkStart w:id="33520" w:name="_ETM_Q59_553170"/>
      <w:bookmarkEnd w:id="33520"/>
      <w:r>
        <w:rPr>
          <w:rFonts w:hint="cs"/>
          <w:rtl/>
        </w:rPr>
        <w:t xml:space="preserve">אנחנו </w:t>
      </w:r>
      <w:bookmarkStart w:id="33521" w:name="_ETM_Q59_553529"/>
      <w:bookmarkEnd w:id="33521"/>
      <w:r>
        <w:rPr>
          <w:rFonts w:hint="cs"/>
          <w:rtl/>
        </w:rPr>
        <w:t xml:space="preserve">נקראים </w:t>
      </w:r>
      <w:bookmarkStart w:id="33522" w:name="_ETM_Q59_554070"/>
      <w:bookmarkEnd w:id="33522"/>
      <w:r>
        <w:rPr>
          <w:rFonts w:hint="cs"/>
          <w:rtl/>
        </w:rPr>
        <w:t xml:space="preserve">לשירות </w:t>
      </w:r>
      <w:bookmarkStart w:id="33523" w:name="_ETM_Q59_554520"/>
      <w:bookmarkEnd w:id="33523"/>
      <w:r>
        <w:rPr>
          <w:rFonts w:hint="cs"/>
          <w:rtl/>
        </w:rPr>
        <w:t xml:space="preserve">מילואים </w:t>
      </w:r>
      <w:bookmarkStart w:id="33524" w:name="_ETM_Q59_555490"/>
      <w:bookmarkEnd w:id="33524"/>
      <w:r>
        <w:rPr>
          <w:rFonts w:hint="cs"/>
          <w:rtl/>
        </w:rPr>
        <w:t xml:space="preserve">בנצרים, </w:t>
      </w:r>
      <w:bookmarkStart w:id="33525" w:name="_ETM_Q59_556810"/>
      <w:bookmarkEnd w:id="33525"/>
      <w:r>
        <w:rPr>
          <w:rFonts w:hint="cs"/>
          <w:rtl/>
        </w:rPr>
        <w:t xml:space="preserve">חלק </w:t>
      </w:r>
      <w:bookmarkStart w:id="33526" w:name="_ETM_Q59_557170"/>
      <w:bookmarkEnd w:id="33526"/>
      <w:r>
        <w:rPr>
          <w:rFonts w:hint="cs"/>
          <w:rtl/>
        </w:rPr>
        <w:t xml:space="preserve">מגוש </w:t>
      </w:r>
      <w:bookmarkStart w:id="33527" w:name="_ETM_Q59_557500"/>
      <w:bookmarkEnd w:id="33527"/>
      <w:r>
        <w:rPr>
          <w:rFonts w:hint="cs"/>
          <w:rtl/>
        </w:rPr>
        <w:t xml:space="preserve">קטיף </w:t>
      </w:r>
      <w:bookmarkStart w:id="33528" w:name="_ETM_Q59_557860"/>
      <w:bookmarkEnd w:id="33528"/>
      <w:r>
        <w:rPr>
          <w:rFonts w:hint="cs"/>
          <w:rtl/>
        </w:rPr>
        <w:t xml:space="preserve">דאז </w:t>
      </w:r>
      <w:bookmarkStart w:id="33529" w:name="_ETM_Q59_558159"/>
      <w:bookmarkEnd w:id="33529"/>
      <w:r>
        <w:rPr>
          <w:rFonts w:hint="cs"/>
          <w:rtl/>
        </w:rPr>
        <w:t xml:space="preserve">לפני </w:t>
      </w:r>
      <w:bookmarkStart w:id="33530" w:name="_ETM_Q59_558430"/>
      <w:bookmarkEnd w:id="33530"/>
      <w:r>
        <w:rPr>
          <w:rFonts w:hint="cs"/>
          <w:rtl/>
        </w:rPr>
        <w:t xml:space="preserve">שהוא </w:t>
      </w:r>
      <w:bookmarkStart w:id="33531" w:name="_ETM_Q59_558610"/>
      <w:bookmarkEnd w:id="33531"/>
      <w:r>
        <w:rPr>
          <w:rFonts w:hint="cs"/>
          <w:rtl/>
        </w:rPr>
        <w:t>נ</w:t>
      </w:r>
      <w:bookmarkStart w:id="33532" w:name="_ETM_Q59_558790"/>
      <w:bookmarkEnd w:id="33532"/>
      <w:r>
        <w:rPr>
          <w:rFonts w:hint="cs"/>
          <w:rtl/>
        </w:rPr>
        <w:t>עקר.</w:t>
      </w:r>
      <w:bookmarkStart w:id="33533" w:name="_ETM_Q59_560020"/>
      <w:bookmarkEnd w:id="33533"/>
      <w:r>
        <w:rPr>
          <w:rFonts w:hint="cs"/>
          <w:rtl/>
        </w:rPr>
        <w:t xml:space="preserve"> נצרים, </w:t>
      </w:r>
      <w:bookmarkStart w:id="33534" w:name="_ETM_Q59_560500"/>
      <w:bookmarkEnd w:id="33534"/>
      <w:r>
        <w:rPr>
          <w:rFonts w:hint="cs"/>
          <w:rtl/>
        </w:rPr>
        <w:t xml:space="preserve">למי </w:t>
      </w:r>
      <w:bookmarkStart w:id="33535" w:name="_ETM_Q59_560680"/>
      <w:bookmarkEnd w:id="33535"/>
      <w:r>
        <w:rPr>
          <w:rFonts w:hint="cs"/>
          <w:rtl/>
        </w:rPr>
        <w:t xml:space="preserve">שזוכר, </w:t>
      </w:r>
      <w:bookmarkStart w:id="33536" w:name="_ETM_Q59_561640"/>
      <w:bookmarkEnd w:id="33536"/>
      <w:r>
        <w:rPr>
          <w:rFonts w:hint="cs"/>
          <w:rtl/>
        </w:rPr>
        <w:t xml:space="preserve">מוצב </w:t>
      </w:r>
      <w:bookmarkStart w:id="33537" w:name="_ETM_Q59_562119"/>
      <w:bookmarkEnd w:id="33537"/>
      <w:r>
        <w:rPr>
          <w:rFonts w:hint="cs"/>
          <w:rtl/>
        </w:rPr>
        <w:t xml:space="preserve">בודד, </w:t>
      </w:r>
      <w:bookmarkStart w:id="33538" w:name="_ETM_Q59_562960"/>
      <w:bookmarkEnd w:id="33538"/>
      <w:r>
        <w:rPr>
          <w:rFonts w:hint="cs"/>
          <w:rtl/>
        </w:rPr>
        <w:t xml:space="preserve">יושב </w:t>
      </w:r>
      <w:bookmarkStart w:id="33539" w:name="_ETM_Q59_563350"/>
      <w:bookmarkEnd w:id="33539"/>
      <w:r>
        <w:rPr>
          <w:rFonts w:hint="cs"/>
          <w:rtl/>
        </w:rPr>
        <w:t xml:space="preserve">כמעט </w:t>
      </w:r>
      <w:bookmarkStart w:id="33540" w:name="_ETM_Q59_563679"/>
      <w:bookmarkEnd w:id="33540"/>
      <w:r>
        <w:rPr>
          <w:rFonts w:hint="cs"/>
          <w:rtl/>
        </w:rPr>
        <w:t xml:space="preserve">בלב </w:t>
      </w:r>
      <w:bookmarkStart w:id="33541" w:name="_ETM_Q59_564009"/>
      <w:bookmarkEnd w:id="33541"/>
      <w:r>
        <w:rPr>
          <w:rFonts w:hint="cs"/>
          <w:rtl/>
        </w:rPr>
        <w:t xml:space="preserve">רצועת </w:t>
      </w:r>
      <w:bookmarkStart w:id="33542" w:name="_ETM_Q59_564520"/>
      <w:bookmarkEnd w:id="33542"/>
      <w:r>
        <w:rPr>
          <w:rFonts w:hint="cs"/>
          <w:rtl/>
        </w:rPr>
        <w:t xml:space="preserve">עזה. </w:t>
      </w:r>
      <w:bookmarkStart w:id="33543" w:name="_ETM_Q59_565240"/>
      <w:bookmarkEnd w:id="33543"/>
      <w:r>
        <w:rPr>
          <w:rFonts w:hint="cs"/>
          <w:rtl/>
        </w:rPr>
        <w:t xml:space="preserve">גדוד </w:t>
      </w:r>
      <w:bookmarkStart w:id="33544" w:name="_ETM_Q59_565659"/>
      <w:bookmarkEnd w:id="33544"/>
      <w:r>
        <w:rPr>
          <w:rFonts w:hint="cs"/>
          <w:rtl/>
        </w:rPr>
        <w:t xml:space="preserve">שלם </w:t>
      </w:r>
      <w:bookmarkStart w:id="33545" w:name="_ETM_Q59_566020"/>
      <w:bookmarkEnd w:id="33545"/>
      <w:r>
        <w:rPr>
          <w:rFonts w:hint="cs"/>
          <w:rtl/>
        </w:rPr>
        <w:t xml:space="preserve">שומר </w:t>
      </w:r>
      <w:bookmarkStart w:id="33546" w:name="_ETM_Q59_566439"/>
      <w:bookmarkEnd w:id="33546"/>
      <w:r>
        <w:rPr>
          <w:rFonts w:hint="cs"/>
          <w:rtl/>
        </w:rPr>
        <w:t>עליו,</w:t>
      </w:r>
      <w:bookmarkStart w:id="33547" w:name="_ETM_Q59_567279"/>
      <w:bookmarkEnd w:id="33547"/>
      <w:r>
        <w:rPr>
          <w:rFonts w:hint="cs"/>
          <w:rtl/>
        </w:rPr>
        <w:t xml:space="preserve"> אחד </w:t>
      </w:r>
      <w:bookmarkStart w:id="33548" w:name="_ETM_Q59_567579"/>
      <w:bookmarkEnd w:id="33548"/>
      <w:r>
        <w:rPr>
          <w:rFonts w:hint="cs"/>
          <w:rtl/>
        </w:rPr>
        <w:t xml:space="preserve">מגדודי </w:t>
      </w:r>
      <w:bookmarkStart w:id="33549" w:name="_ETM_Q59_568029"/>
      <w:bookmarkEnd w:id="33549"/>
      <w:r>
        <w:rPr>
          <w:rFonts w:hint="cs"/>
          <w:rtl/>
        </w:rPr>
        <w:t xml:space="preserve">חטיבת </w:t>
      </w:r>
      <w:bookmarkStart w:id="33550" w:name="_ETM_Q59_568509"/>
      <w:bookmarkEnd w:id="33550"/>
      <w:r>
        <w:rPr>
          <w:rFonts w:hint="cs"/>
          <w:rtl/>
        </w:rPr>
        <w:t xml:space="preserve">כפיר, </w:t>
      </w:r>
      <w:bookmarkStart w:id="33551" w:name="_ETM_Q59_568779"/>
      <w:bookmarkEnd w:id="33551"/>
      <w:r>
        <w:rPr>
          <w:rFonts w:hint="cs"/>
          <w:rtl/>
        </w:rPr>
        <w:t xml:space="preserve">גדוד </w:t>
      </w:r>
      <w:bookmarkStart w:id="33552" w:name="_ETM_Q59_569020"/>
      <w:bookmarkEnd w:id="33552"/>
      <w:r>
        <w:rPr>
          <w:rFonts w:hint="cs"/>
          <w:rtl/>
        </w:rPr>
        <w:t>שמשון</w:t>
      </w:r>
      <w:r w:rsidR="001033F7">
        <w:rPr>
          <w:rFonts w:hint="cs"/>
          <w:rtl/>
        </w:rPr>
        <w:t>.</w:t>
      </w:r>
      <w:r>
        <w:rPr>
          <w:rFonts w:hint="cs"/>
          <w:rtl/>
        </w:rPr>
        <w:t xml:space="preserve"> </w:t>
      </w:r>
      <w:bookmarkStart w:id="33553" w:name="_ETM_Q59_569920"/>
      <w:bookmarkEnd w:id="33553"/>
      <w:r>
        <w:rPr>
          <w:rFonts w:hint="cs"/>
          <w:rtl/>
        </w:rPr>
        <w:t xml:space="preserve">והגדוד </w:t>
      </w:r>
      <w:bookmarkStart w:id="33554" w:name="_ETM_Q59_570430"/>
      <w:bookmarkEnd w:id="33554"/>
      <w:r>
        <w:rPr>
          <w:rFonts w:hint="cs"/>
          <w:rtl/>
        </w:rPr>
        <w:t xml:space="preserve">שלי, </w:t>
      </w:r>
      <w:bookmarkStart w:id="33555" w:name="_ETM_Q59_570670"/>
      <w:bookmarkEnd w:id="33555"/>
      <w:r>
        <w:rPr>
          <w:rFonts w:hint="cs"/>
          <w:rtl/>
        </w:rPr>
        <w:t xml:space="preserve">גדוד </w:t>
      </w:r>
      <w:bookmarkStart w:id="33556" w:name="_ETM_Q59_570909"/>
      <w:bookmarkEnd w:id="33556"/>
      <w:r>
        <w:rPr>
          <w:rFonts w:hint="cs"/>
          <w:rtl/>
        </w:rPr>
        <w:t xml:space="preserve">420 </w:t>
      </w:r>
      <w:bookmarkStart w:id="33557" w:name="_ETM_Q59_572080"/>
      <w:bookmarkEnd w:id="33557"/>
      <w:r>
        <w:rPr>
          <w:rFonts w:hint="cs"/>
          <w:rtl/>
        </w:rPr>
        <w:t xml:space="preserve">של </w:t>
      </w:r>
      <w:bookmarkStart w:id="33558" w:name="_ETM_Q59_572290"/>
      <w:bookmarkEnd w:id="33558"/>
      <w:r>
        <w:rPr>
          <w:rFonts w:hint="cs"/>
          <w:rtl/>
        </w:rPr>
        <w:t xml:space="preserve">חטיבת </w:t>
      </w:r>
      <w:bookmarkStart w:id="33559" w:name="_ETM_Q59_572710"/>
      <w:bookmarkEnd w:id="33559"/>
      <w:r>
        <w:rPr>
          <w:rFonts w:hint="cs"/>
          <w:rtl/>
        </w:rPr>
        <w:t xml:space="preserve">הצנחנים, </w:t>
      </w:r>
      <w:bookmarkStart w:id="33560" w:name="_ETM_Q59_573279"/>
      <w:bookmarkEnd w:id="33560"/>
      <w:r>
        <w:rPr>
          <w:rFonts w:hint="cs"/>
          <w:rtl/>
        </w:rPr>
        <w:t xml:space="preserve">נקרא </w:t>
      </w:r>
      <w:bookmarkStart w:id="33561" w:name="_ETM_Q59_573610"/>
      <w:bookmarkEnd w:id="33561"/>
      <w:r>
        <w:rPr>
          <w:rFonts w:hint="cs"/>
          <w:rtl/>
        </w:rPr>
        <w:t xml:space="preserve">להחליף </w:t>
      </w:r>
      <w:bookmarkStart w:id="33562" w:name="_ETM_Q59_574060"/>
      <w:bookmarkEnd w:id="33562"/>
      <w:r>
        <w:rPr>
          <w:rFonts w:hint="cs"/>
          <w:rtl/>
        </w:rPr>
        <w:t xml:space="preserve">אותו </w:t>
      </w:r>
      <w:bookmarkStart w:id="33563" w:name="_ETM_Q59_574950"/>
      <w:bookmarkEnd w:id="33563"/>
      <w:r>
        <w:rPr>
          <w:rFonts w:hint="cs"/>
          <w:rtl/>
        </w:rPr>
        <w:t xml:space="preserve">לשלושה </w:t>
      </w:r>
      <w:bookmarkStart w:id="33564" w:name="_ETM_Q59_575549"/>
      <w:bookmarkEnd w:id="33564"/>
      <w:r>
        <w:rPr>
          <w:rFonts w:hint="cs"/>
          <w:rtl/>
        </w:rPr>
        <w:t xml:space="preserve">שבועות </w:t>
      </w:r>
      <w:bookmarkStart w:id="33565" w:name="_ETM_Q59_575909"/>
      <w:bookmarkEnd w:id="33565"/>
      <w:r>
        <w:rPr>
          <w:rFonts w:hint="cs"/>
          <w:rtl/>
        </w:rPr>
        <w:t xml:space="preserve">לתת </w:t>
      </w:r>
      <w:bookmarkStart w:id="33566" w:name="_ETM_Q59_576180"/>
      <w:bookmarkEnd w:id="33566"/>
      <w:r>
        <w:rPr>
          <w:rFonts w:hint="cs"/>
          <w:rtl/>
        </w:rPr>
        <w:t xml:space="preserve">לו </w:t>
      </w:r>
      <w:bookmarkStart w:id="33567" w:name="_ETM_Q59_576270"/>
      <w:bookmarkEnd w:id="33567"/>
      <w:r>
        <w:rPr>
          <w:rFonts w:hint="cs"/>
          <w:rtl/>
        </w:rPr>
        <w:t>מנוחה.</w:t>
      </w:r>
      <w:bookmarkStart w:id="33568" w:name="_ETM_Q59_577500"/>
      <w:bookmarkStart w:id="33569" w:name="_ETM_Q59_577950"/>
      <w:bookmarkStart w:id="33570" w:name="_ETM_Q59_578100"/>
      <w:bookmarkStart w:id="33571" w:name="_ETM_Q59_578339"/>
      <w:bookmarkEnd w:id="33568"/>
      <w:bookmarkEnd w:id="33569"/>
      <w:bookmarkEnd w:id="33570"/>
      <w:bookmarkEnd w:id="33571"/>
      <w:r>
        <w:rPr>
          <w:rFonts w:hint="cs"/>
          <w:rtl/>
        </w:rPr>
        <w:t xml:space="preserve"> אנחנו מתכוננים</w:t>
      </w:r>
      <w:bookmarkStart w:id="33572" w:name="_ETM_Q59_578460"/>
      <w:bookmarkEnd w:id="33572"/>
      <w:r>
        <w:rPr>
          <w:rFonts w:hint="cs"/>
          <w:rtl/>
        </w:rPr>
        <w:t xml:space="preserve"> לסיטואציה </w:t>
      </w:r>
      <w:bookmarkStart w:id="33573" w:name="_ETM_Q59_579150"/>
      <w:bookmarkEnd w:id="33573"/>
      <w:r>
        <w:rPr>
          <w:rFonts w:hint="cs"/>
          <w:rtl/>
        </w:rPr>
        <w:t xml:space="preserve">הזו, </w:t>
      </w:r>
      <w:bookmarkStart w:id="33574" w:name="_ETM_Q59_580369"/>
      <w:bookmarkEnd w:id="33574"/>
      <w:r>
        <w:rPr>
          <w:rFonts w:hint="cs"/>
          <w:rtl/>
        </w:rPr>
        <w:t xml:space="preserve">אנחנו </w:t>
      </w:r>
      <w:bookmarkStart w:id="33575" w:name="_ETM_Q59_580640"/>
      <w:bookmarkEnd w:id="33575"/>
      <w:r>
        <w:rPr>
          <w:rFonts w:hint="cs"/>
          <w:rtl/>
        </w:rPr>
        <w:t xml:space="preserve">יודעים, </w:t>
      </w:r>
      <w:bookmarkStart w:id="33576" w:name="_ETM_Q59_580939"/>
      <w:bookmarkEnd w:id="33576"/>
      <w:r>
        <w:rPr>
          <w:rFonts w:hint="cs"/>
          <w:rtl/>
        </w:rPr>
        <w:t xml:space="preserve">דרך </w:t>
      </w:r>
      <w:bookmarkStart w:id="33577" w:name="_ETM_Q59_581119"/>
      <w:bookmarkEnd w:id="33577"/>
      <w:r>
        <w:rPr>
          <w:rFonts w:hint="cs"/>
          <w:rtl/>
        </w:rPr>
        <w:t xml:space="preserve">אגב, </w:t>
      </w:r>
      <w:bookmarkStart w:id="33578" w:name="_ETM_Q59_581360"/>
      <w:bookmarkEnd w:id="33578"/>
      <w:r>
        <w:rPr>
          <w:rFonts w:hint="cs"/>
          <w:rtl/>
        </w:rPr>
        <w:t xml:space="preserve">שקו </w:t>
      </w:r>
      <w:bookmarkStart w:id="33579" w:name="_ETM_Q59_581600"/>
      <w:bookmarkEnd w:id="33579"/>
      <w:r>
        <w:rPr>
          <w:rFonts w:hint="cs"/>
          <w:rtl/>
        </w:rPr>
        <w:t xml:space="preserve">כזה </w:t>
      </w:r>
      <w:bookmarkStart w:id="33580" w:name="_ETM_Q59_582110"/>
      <w:bookmarkEnd w:id="33580"/>
      <w:r>
        <w:rPr>
          <w:rFonts w:hint="cs"/>
          <w:rtl/>
        </w:rPr>
        <w:t xml:space="preserve">תמיד </w:t>
      </w:r>
      <w:bookmarkStart w:id="33581" w:name="_ETM_Q59_582439"/>
      <w:bookmarkEnd w:id="33581"/>
      <w:r>
        <w:rPr>
          <w:rFonts w:hint="cs"/>
          <w:rtl/>
        </w:rPr>
        <w:t xml:space="preserve">נגמר </w:t>
      </w:r>
      <w:bookmarkStart w:id="33582" w:name="_ETM_Q59_582770"/>
      <w:bookmarkEnd w:id="33582"/>
      <w:r>
        <w:rPr>
          <w:rFonts w:hint="cs"/>
          <w:rtl/>
        </w:rPr>
        <w:t xml:space="preserve">עם </w:t>
      </w:r>
      <w:bookmarkStart w:id="33583" w:name="_ETM_Q59_582860"/>
      <w:bookmarkEnd w:id="33583"/>
      <w:r>
        <w:rPr>
          <w:rFonts w:hint="cs"/>
          <w:rtl/>
        </w:rPr>
        <w:t xml:space="preserve">היתקלות. </w:t>
      </w:r>
      <w:bookmarkStart w:id="33584" w:name="_ETM_Q59_583700"/>
      <w:bookmarkEnd w:id="33584"/>
      <w:r>
        <w:rPr>
          <w:rFonts w:hint="cs"/>
          <w:rtl/>
        </w:rPr>
        <w:t xml:space="preserve">אנחנו </w:t>
      </w:r>
      <w:bookmarkStart w:id="33585" w:name="_ETM_Q59_584060"/>
      <w:bookmarkEnd w:id="33585"/>
      <w:r>
        <w:rPr>
          <w:rFonts w:hint="cs"/>
          <w:rtl/>
        </w:rPr>
        <w:t xml:space="preserve">אנשי </w:t>
      </w:r>
      <w:bookmarkStart w:id="33586" w:name="_ETM_Q59_584329"/>
      <w:bookmarkEnd w:id="33586"/>
      <w:r>
        <w:rPr>
          <w:rFonts w:hint="cs"/>
          <w:rtl/>
        </w:rPr>
        <w:t xml:space="preserve">מילואים, </w:t>
      </w:r>
      <w:bookmarkStart w:id="33587" w:name="_ETM_Q59_584810"/>
      <w:bookmarkEnd w:id="33587"/>
      <w:r>
        <w:rPr>
          <w:rFonts w:hint="cs"/>
          <w:rtl/>
        </w:rPr>
        <w:t xml:space="preserve">אני </w:t>
      </w:r>
      <w:bookmarkStart w:id="33588" w:name="_ETM_Q59_584960"/>
      <w:bookmarkEnd w:id="33588"/>
      <w:r>
        <w:rPr>
          <w:rFonts w:hint="cs"/>
          <w:rtl/>
        </w:rPr>
        <w:t xml:space="preserve">אז </w:t>
      </w:r>
      <w:bookmarkStart w:id="33589" w:name="_ETM_Q59_585170"/>
      <w:bookmarkEnd w:id="33589"/>
      <w:r>
        <w:rPr>
          <w:rFonts w:hint="cs"/>
          <w:rtl/>
        </w:rPr>
        <w:t xml:space="preserve">בן </w:t>
      </w:r>
      <w:bookmarkStart w:id="33590" w:name="_ETM_Q59_585899"/>
      <w:bookmarkEnd w:id="33590"/>
      <w:r>
        <w:rPr>
          <w:rFonts w:hint="cs"/>
          <w:rtl/>
        </w:rPr>
        <w:t xml:space="preserve">30 </w:t>
      </w:r>
      <w:bookmarkStart w:id="33591" w:name="_ETM_Q59_586350"/>
      <w:bookmarkEnd w:id="33591"/>
      <w:r>
        <w:rPr>
          <w:rFonts w:hint="cs"/>
          <w:rtl/>
        </w:rPr>
        <w:t xml:space="preserve">וקצת, </w:t>
      </w:r>
      <w:bookmarkStart w:id="33592" w:name="_ETM_Q59_586799"/>
      <w:bookmarkEnd w:id="33592"/>
      <w:r>
        <w:rPr>
          <w:rFonts w:hint="cs"/>
          <w:rtl/>
        </w:rPr>
        <w:t xml:space="preserve">מ"פ </w:t>
      </w:r>
      <w:bookmarkStart w:id="33593" w:name="_ETM_Q59_587100"/>
      <w:bookmarkEnd w:id="33593"/>
      <w:r>
        <w:rPr>
          <w:rFonts w:hint="cs"/>
          <w:rtl/>
        </w:rPr>
        <w:t xml:space="preserve">במילואים, </w:t>
      </w:r>
      <w:bookmarkStart w:id="33594" w:name="_ETM_Q59_589979"/>
      <w:bookmarkEnd w:id="33594"/>
      <w:r>
        <w:rPr>
          <w:rFonts w:hint="cs"/>
          <w:rtl/>
        </w:rPr>
        <w:t>32</w:t>
      </w:r>
      <w:bookmarkStart w:id="33595" w:name="_ETM_Q59_590850"/>
      <w:bookmarkEnd w:id="33595"/>
      <w:r>
        <w:rPr>
          <w:rFonts w:hint="cs"/>
          <w:rtl/>
        </w:rPr>
        <w:t xml:space="preserve">. </w:t>
      </w:r>
    </w:p>
    <w:p w:rsidR="00BB59CD" w:rsidRDefault="00BB59CD" w:rsidP="00BB59CD">
      <w:pPr>
        <w:rPr>
          <w:rtl/>
        </w:rPr>
      </w:pPr>
      <w:bookmarkStart w:id="33596" w:name="_ETM_Q59_591060"/>
      <w:bookmarkStart w:id="33597" w:name="_ETM_Q59_592380"/>
      <w:bookmarkEnd w:id="33596"/>
      <w:bookmarkEnd w:id="33597"/>
    </w:p>
    <w:p w:rsidR="00BB59CD" w:rsidRDefault="00BB59CD" w:rsidP="001033F7">
      <w:pPr>
        <w:rPr>
          <w:rtl/>
        </w:rPr>
      </w:pPr>
      <w:bookmarkStart w:id="33598" w:name="_ETM_Q59_594794"/>
      <w:bookmarkStart w:id="33599" w:name="_ETM_Q59_594866"/>
      <w:bookmarkEnd w:id="33598"/>
      <w:bookmarkEnd w:id="33599"/>
      <w:r>
        <w:rPr>
          <w:rFonts w:hint="cs"/>
          <w:rtl/>
        </w:rPr>
        <w:t xml:space="preserve">קרה </w:t>
      </w:r>
      <w:bookmarkStart w:id="33600" w:name="_ETM_Q59_593839"/>
      <w:bookmarkEnd w:id="33600"/>
      <w:r>
        <w:rPr>
          <w:rFonts w:hint="cs"/>
          <w:rtl/>
        </w:rPr>
        <w:t xml:space="preserve">המקרה </w:t>
      </w:r>
      <w:bookmarkStart w:id="33601" w:name="_ETM_Q59_594200"/>
      <w:bookmarkEnd w:id="33601"/>
      <w:r>
        <w:rPr>
          <w:rFonts w:hint="cs"/>
          <w:rtl/>
        </w:rPr>
        <w:t xml:space="preserve">ששבוע </w:t>
      </w:r>
      <w:bookmarkStart w:id="33602" w:name="_ETM_Q59_594740"/>
      <w:bookmarkEnd w:id="33602"/>
      <w:r>
        <w:rPr>
          <w:rFonts w:hint="cs"/>
          <w:rtl/>
        </w:rPr>
        <w:t xml:space="preserve">לפני </w:t>
      </w:r>
      <w:bookmarkStart w:id="33603" w:name="_ETM_Q59_595130"/>
      <w:bookmarkEnd w:id="33603"/>
      <w:r>
        <w:rPr>
          <w:rFonts w:hint="cs"/>
          <w:rtl/>
        </w:rPr>
        <w:t xml:space="preserve">התעסוקה </w:t>
      </w:r>
      <w:bookmarkStart w:id="33604" w:name="_ETM_Q59_595999"/>
      <w:bookmarkEnd w:id="33604"/>
      <w:r>
        <w:rPr>
          <w:rFonts w:hint="cs"/>
          <w:rtl/>
        </w:rPr>
        <w:t xml:space="preserve">המבצעית </w:t>
      </w:r>
      <w:bookmarkStart w:id="33605" w:name="_ETM_Q59_596509"/>
      <w:bookmarkEnd w:id="33605"/>
      <w:r>
        <w:rPr>
          <w:rFonts w:hint="cs"/>
          <w:rtl/>
        </w:rPr>
        <w:t xml:space="preserve">הזו </w:t>
      </w:r>
      <w:bookmarkStart w:id="33606" w:name="_ETM_Q59_597439"/>
      <w:bookmarkEnd w:id="33606"/>
      <w:r>
        <w:rPr>
          <w:rFonts w:hint="cs"/>
          <w:rtl/>
        </w:rPr>
        <w:t xml:space="preserve">יש </w:t>
      </w:r>
      <w:bookmarkStart w:id="33607" w:name="_ETM_Q59_597679"/>
      <w:bookmarkEnd w:id="33607"/>
      <w:r>
        <w:rPr>
          <w:rFonts w:hint="cs"/>
          <w:rtl/>
        </w:rPr>
        <w:t xml:space="preserve">חתונה </w:t>
      </w:r>
      <w:bookmarkStart w:id="33608" w:name="_ETM_Q59_598130"/>
      <w:bookmarkEnd w:id="33608"/>
      <w:r>
        <w:rPr>
          <w:rFonts w:hint="cs"/>
          <w:rtl/>
        </w:rPr>
        <w:t>ל</w:t>
      </w:r>
      <w:bookmarkStart w:id="33609" w:name="_ETM_Q59_598490"/>
      <w:bookmarkEnd w:id="33609"/>
      <w:r>
        <w:rPr>
          <w:rFonts w:hint="cs"/>
          <w:rtl/>
        </w:rPr>
        <w:t xml:space="preserve">אחד </w:t>
      </w:r>
      <w:bookmarkStart w:id="33610" w:name="_ETM_Q59_600117"/>
      <w:bookmarkEnd w:id="33610"/>
      <w:r>
        <w:rPr>
          <w:rFonts w:hint="cs"/>
          <w:rtl/>
        </w:rPr>
        <w:t xml:space="preserve">החבר'ה </w:t>
      </w:r>
      <w:bookmarkStart w:id="33611" w:name="_ETM_Q59_598909"/>
      <w:bookmarkEnd w:id="33611"/>
      <w:r>
        <w:rPr>
          <w:rFonts w:hint="cs"/>
          <w:rtl/>
        </w:rPr>
        <w:t xml:space="preserve">בתל </w:t>
      </w:r>
      <w:bookmarkStart w:id="33612" w:name="_ETM_Q59_599179"/>
      <w:bookmarkEnd w:id="33612"/>
      <w:r>
        <w:rPr>
          <w:rFonts w:hint="cs"/>
          <w:rtl/>
        </w:rPr>
        <w:t xml:space="preserve">אביב. </w:t>
      </w:r>
      <w:bookmarkStart w:id="33613" w:name="_ETM_Q59_600500"/>
      <w:bookmarkEnd w:id="33613"/>
      <w:r>
        <w:rPr>
          <w:rFonts w:hint="cs"/>
          <w:rtl/>
        </w:rPr>
        <w:t xml:space="preserve">ואני </w:t>
      </w:r>
      <w:bookmarkStart w:id="33614" w:name="_ETM_Q59_600799"/>
      <w:bookmarkEnd w:id="33614"/>
      <w:r>
        <w:rPr>
          <w:rFonts w:hint="cs"/>
          <w:rtl/>
        </w:rPr>
        <w:t xml:space="preserve">מגיע </w:t>
      </w:r>
      <w:bookmarkStart w:id="33615" w:name="_ETM_Q59_601070"/>
      <w:bookmarkEnd w:id="33615"/>
      <w:r>
        <w:rPr>
          <w:rFonts w:hint="cs"/>
          <w:rtl/>
        </w:rPr>
        <w:t xml:space="preserve">לחתונה </w:t>
      </w:r>
      <w:bookmarkStart w:id="33616" w:name="_ETM_Q59_601610"/>
      <w:bookmarkEnd w:id="33616"/>
      <w:r>
        <w:rPr>
          <w:rFonts w:hint="cs"/>
          <w:rtl/>
        </w:rPr>
        <w:t xml:space="preserve">– אני </w:t>
      </w:r>
      <w:bookmarkStart w:id="33617" w:name="_ETM_Q59_601729"/>
      <w:bookmarkEnd w:id="33617"/>
      <w:r>
        <w:rPr>
          <w:rFonts w:hint="cs"/>
          <w:rtl/>
        </w:rPr>
        <w:t xml:space="preserve">כבר </w:t>
      </w:r>
      <w:bookmarkStart w:id="33618" w:name="_ETM_Q59_601939"/>
      <w:bookmarkEnd w:id="33618"/>
      <w:r>
        <w:rPr>
          <w:rFonts w:hint="cs"/>
          <w:rtl/>
        </w:rPr>
        <w:t xml:space="preserve">מ"פ </w:t>
      </w:r>
      <w:bookmarkStart w:id="33619" w:name="_ETM_Q59_602270"/>
      <w:bookmarkEnd w:id="33619"/>
      <w:r>
        <w:rPr>
          <w:rFonts w:hint="cs"/>
          <w:rtl/>
        </w:rPr>
        <w:t xml:space="preserve">אז </w:t>
      </w:r>
      <w:bookmarkStart w:id="33620" w:name="_ETM_Q59_603659"/>
      <w:bookmarkEnd w:id="33620"/>
      <w:r>
        <w:rPr>
          <w:rFonts w:hint="cs"/>
          <w:rtl/>
        </w:rPr>
        <w:t xml:space="preserve">תקופה, </w:t>
      </w:r>
      <w:bookmarkStart w:id="33621" w:name="_ETM_Q59_604080"/>
      <w:bookmarkEnd w:id="33621"/>
      <w:r>
        <w:rPr>
          <w:rFonts w:hint="cs"/>
          <w:rtl/>
        </w:rPr>
        <w:t xml:space="preserve">הייתי </w:t>
      </w:r>
      <w:bookmarkStart w:id="33622" w:name="_ETM_Q59_604320"/>
      <w:bookmarkEnd w:id="33622"/>
      <w:r>
        <w:rPr>
          <w:rFonts w:hint="cs"/>
          <w:rtl/>
        </w:rPr>
        <w:t xml:space="preserve">בחומת </w:t>
      </w:r>
      <w:bookmarkStart w:id="33623" w:name="_ETM_Q59_604740"/>
      <w:bookmarkEnd w:id="33623"/>
      <w:r>
        <w:rPr>
          <w:rFonts w:hint="cs"/>
          <w:rtl/>
        </w:rPr>
        <w:t xml:space="preserve">מגן, </w:t>
      </w:r>
      <w:bookmarkStart w:id="33624" w:name="_ETM_Q59_605130"/>
      <w:bookmarkEnd w:id="33624"/>
      <w:r>
        <w:rPr>
          <w:rFonts w:hint="cs"/>
          <w:rtl/>
        </w:rPr>
        <w:t xml:space="preserve">הייתי </w:t>
      </w:r>
      <w:bookmarkStart w:id="33625" w:name="_ETM_Q59_605370"/>
      <w:bookmarkEnd w:id="33625"/>
      <w:r>
        <w:rPr>
          <w:rFonts w:hint="cs"/>
          <w:rtl/>
        </w:rPr>
        <w:t xml:space="preserve">גם </w:t>
      </w:r>
      <w:bookmarkStart w:id="33626" w:name="_ETM_Q59_605550"/>
      <w:bookmarkEnd w:id="33626"/>
      <w:r>
        <w:rPr>
          <w:rFonts w:hint="cs"/>
          <w:rtl/>
        </w:rPr>
        <w:t xml:space="preserve">בשנה </w:t>
      </w:r>
      <w:bookmarkStart w:id="33627" w:name="_ETM_Q59_605820"/>
      <w:bookmarkEnd w:id="33627"/>
      <w:r>
        <w:rPr>
          <w:rFonts w:hint="cs"/>
          <w:rtl/>
        </w:rPr>
        <w:t xml:space="preserve">שאחרי </w:t>
      </w:r>
      <w:bookmarkStart w:id="33628" w:name="_ETM_Q59_606300"/>
      <w:bookmarkEnd w:id="33628"/>
      <w:r>
        <w:rPr>
          <w:rFonts w:hint="cs"/>
          <w:rtl/>
        </w:rPr>
        <w:t xml:space="preserve">זה </w:t>
      </w:r>
      <w:bookmarkStart w:id="33629" w:name="_ETM_Q59_606969"/>
      <w:bookmarkEnd w:id="33629"/>
      <w:r>
        <w:rPr>
          <w:rFonts w:hint="cs"/>
          <w:rtl/>
        </w:rPr>
        <w:t xml:space="preserve">– </w:t>
      </w:r>
      <w:bookmarkStart w:id="33630" w:name="_ETM_Q59_601812"/>
      <w:bookmarkEnd w:id="33630"/>
      <w:r>
        <w:rPr>
          <w:rFonts w:hint="cs"/>
          <w:rtl/>
        </w:rPr>
        <w:t xml:space="preserve">ובחתונה </w:t>
      </w:r>
      <w:bookmarkStart w:id="33631" w:name="_ETM_Q59_607719"/>
      <w:bookmarkEnd w:id="33631"/>
      <w:r>
        <w:rPr>
          <w:rFonts w:hint="cs"/>
          <w:rtl/>
        </w:rPr>
        <w:t xml:space="preserve">מגיע </w:t>
      </w:r>
      <w:bookmarkStart w:id="33632" w:name="_ETM_Q59_608049"/>
      <w:bookmarkEnd w:id="33632"/>
      <w:r>
        <w:rPr>
          <w:rFonts w:hint="cs"/>
          <w:rtl/>
        </w:rPr>
        <w:t xml:space="preserve">אלי </w:t>
      </w:r>
      <w:bookmarkStart w:id="33633" w:name="_ETM_Q59_608290"/>
      <w:bookmarkEnd w:id="33633"/>
      <w:r>
        <w:rPr>
          <w:rFonts w:hint="cs"/>
          <w:rtl/>
        </w:rPr>
        <w:t xml:space="preserve">רועי, </w:t>
      </w:r>
      <w:bookmarkStart w:id="33634" w:name="_ETM_Q59_609099"/>
      <w:bookmarkEnd w:id="33634"/>
      <w:r>
        <w:rPr>
          <w:rFonts w:hint="cs"/>
          <w:rtl/>
        </w:rPr>
        <w:t xml:space="preserve">אחד </w:t>
      </w:r>
      <w:bookmarkStart w:id="33635" w:name="_ETM_Q59_609640"/>
      <w:bookmarkEnd w:id="33635"/>
      <w:r>
        <w:rPr>
          <w:rFonts w:hint="cs"/>
          <w:rtl/>
        </w:rPr>
        <w:t xml:space="preserve">הקלעים, </w:t>
      </w:r>
      <w:bookmarkStart w:id="33636" w:name="_ETM_Q59_610180"/>
      <w:bookmarkEnd w:id="33636"/>
      <w:r>
        <w:rPr>
          <w:rFonts w:hint="cs"/>
          <w:rtl/>
        </w:rPr>
        <w:t xml:space="preserve">הצלפים </w:t>
      </w:r>
      <w:bookmarkStart w:id="33637" w:name="_ETM_Q59_610750"/>
      <w:bookmarkEnd w:id="33637"/>
      <w:r>
        <w:rPr>
          <w:rFonts w:hint="cs"/>
          <w:rtl/>
        </w:rPr>
        <w:t xml:space="preserve">של </w:t>
      </w:r>
      <w:bookmarkStart w:id="33638" w:name="_ETM_Q59_610959"/>
      <w:bookmarkEnd w:id="33638"/>
      <w:r>
        <w:rPr>
          <w:rFonts w:hint="cs"/>
          <w:rtl/>
        </w:rPr>
        <w:t xml:space="preserve">הגדוד. </w:t>
      </w:r>
      <w:bookmarkStart w:id="33639" w:name="_ETM_Q59_612170"/>
      <w:bookmarkEnd w:id="33639"/>
      <w:r>
        <w:rPr>
          <w:rFonts w:hint="cs"/>
          <w:rtl/>
        </w:rPr>
        <w:t xml:space="preserve">רועי </w:t>
      </w:r>
      <w:bookmarkStart w:id="33640" w:name="_ETM_Q59_612380"/>
      <w:bookmarkEnd w:id="33640"/>
      <w:r>
        <w:rPr>
          <w:rFonts w:hint="cs"/>
          <w:rtl/>
        </w:rPr>
        <w:t xml:space="preserve">הוא </w:t>
      </w:r>
      <w:bookmarkStart w:id="33641" w:name="_ETM_Q59_612470"/>
      <w:bookmarkEnd w:id="33641"/>
      <w:r>
        <w:rPr>
          <w:rFonts w:hint="cs"/>
          <w:rtl/>
        </w:rPr>
        <w:t xml:space="preserve">תל אביבי, </w:t>
      </w:r>
      <w:bookmarkStart w:id="33642" w:name="_ETM_Q59_613070"/>
      <w:bookmarkEnd w:id="33642"/>
      <w:r>
        <w:rPr>
          <w:rFonts w:hint="cs"/>
          <w:rtl/>
        </w:rPr>
        <w:t xml:space="preserve">סטודנט, </w:t>
      </w:r>
      <w:bookmarkStart w:id="33643" w:name="_ETM_Q59_614150"/>
      <w:bookmarkEnd w:id="33643"/>
      <w:r>
        <w:rPr>
          <w:rFonts w:hint="cs"/>
          <w:rtl/>
        </w:rPr>
        <w:t xml:space="preserve">חייל </w:t>
      </w:r>
      <w:bookmarkStart w:id="33644" w:name="_ETM_Q59_614600"/>
      <w:bookmarkEnd w:id="33644"/>
      <w:r>
        <w:rPr>
          <w:rFonts w:hint="cs"/>
          <w:rtl/>
        </w:rPr>
        <w:t xml:space="preserve">מצטיין, </w:t>
      </w:r>
      <w:bookmarkStart w:id="33645" w:name="_ETM_Q59_615200"/>
      <w:bookmarkEnd w:id="33645"/>
      <w:r>
        <w:rPr>
          <w:rFonts w:hint="cs"/>
          <w:rtl/>
        </w:rPr>
        <w:t xml:space="preserve">צלף </w:t>
      </w:r>
      <w:bookmarkStart w:id="33646" w:name="_ETM_Q59_615620"/>
      <w:bookmarkEnd w:id="33646"/>
      <w:r>
        <w:rPr>
          <w:rFonts w:hint="cs"/>
          <w:rtl/>
        </w:rPr>
        <w:t xml:space="preserve">מצטיין, </w:t>
      </w:r>
      <w:bookmarkStart w:id="33647" w:name="_ETM_Q59_616910"/>
      <w:bookmarkEnd w:id="33647"/>
      <w:r>
        <w:rPr>
          <w:rFonts w:hint="cs"/>
          <w:rtl/>
        </w:rPr>
        <w:t xml:space="preserve">והוא </w:t>
      </w:r>
      <w:bookmarkStart w:id="33648" w:name="_ETM_Q59_617060"/>
      <w:bookmarkEnd w:id="33648"/>
      <w:r>
        <w:rPr>
          <w:rFonts w:hint="cs"/>
          <w:rtl/>
        </w:rPr>
        <w:t xml:space="preserve">ניגש </w:t>
      </w:r>
      <w:bookmarkStart w:id="33649" w:name="_ETM_Q59_617390"/>
      <w:bookmarkEnd w:id="33649"/>
      <w:r>
        <w:rPr>
          <w:rFonts w:hint="cs"/>
          <w:rtl/>
        </w:rPr>
        <w:t xml:space="preserve">אלי </w:t>
      </w:r>
      <w:bookmarkStart w:id="33650" w:name="_ETM_Q59_617569"/>
      <w:bookmarkEnd w:id="33650"/>
      <w:r>
        <w:rPr>
          <w:rFonts w:hint="cs"/>
          <w:rtl/>
        </w:rPr>
        <w:t xml:space="preserve">בחתונה, </w:t>
      </w:r>
      <w:bookmarkStart w:id="33651" w:name="_ETM_Q59_618170"/>
      <w:bookmarkEnd w:id="33651"/>
      <w:r>
        <w:rPr>
          <w:rFonts w:hint="cs"/>
          <w:rtl/>
        </w:rPr>
        <w:t xml:space="preserve">כשהכול </w:t>
      </w:r>
      <w:bookmarkStart w:id="33652" w:name="_ETM_Q59_618890"/>
      <w:bookmarkEnd w:id="33652"/>
      <w:r>
        <w:rPr>
          <w:rFonts w:hint="cs"/>
          <w:rtl/>
        </w:rPr>
        <w:t xml:space="preserve">רוגש </w:t>
      </w:r>
      <w:bookmarkStart w:id="33653" w:name="_ETM_Q59_619340"/>
      <w:bookmarkEnd w:id="33653"/>
      <w:r>
        <w:rPr>
          <w:rFonts w:hint="cs"/>
          <w:rtl/>
        </w:rPr>
        <w:t xml:space="preserve">ורועש, </w:t>
      </w:r>
      <w:bookmarkStart w:id="33654" w:name="_ETM_Q59_619819"/>
      <w:bookmarkEnd w:id="33654"/>
      <w:r>
        <w:rPr>
          <w:rFonts w:hint="cs"/>
          <w:rtl/>
        </w:rPr>
        <w:t xml:space="preserve">ואומר </w:t>
      </w:r>
      <w:bookmarkStart w:id="33655" w:name="_ETM_Q59_620090"/>
      <w:bookmarkEnd w:id="33655"/>
      <w:r>
        <w:rPr>
          <w:rFonts w:hint="cs"/>
          <w:rtl/>
        </w:rPr>
        <w:t>לי: קינלי,</w:t>
      </w:r>
      <w:bookmarkStart w:id="33656" w:name="_ETM_Q59_620209"/>
      <w:bookmarkStart w:id="33657" w:name="_ETM_Q59_620510"/>
      <w:bookmarkEnd w:id="33656"/>
      <w:bookmarkEnd w:id="33657"/>
      <w:r>
        <w:rPr>
          <w:rFonts w:hint="cs"/>
          <w:rtl/>
        </w:rPr>
        <w:t xml:space="preserve"> אני </w:t>
      </w:r>
      <w:bookmarkStart w:id="33658" w:name="_ETM_Q59_621760"/>
      <w:bookmarkEnd w:id="33658"/>
      <w:r>
        <w:rPr>
          <w:rFonts w:hint="cs"/>
          <w:rtl/>
        </w:rPr>
        <w:t xml:space="preserve">מבקש </w:t>
      </w:r>
      <w:bookmarkStart w:id="33659" w:name="_ETM_Q59_622240"/>
      <w:bookmarkEnd w:id="33659"/>
      <w:r>
        <w:rPr>
          <w:rFonts w:hint="cs"/>
          <w:rtl/>
        </w:rPr>
        <w:t xml:space="preserve">לא </w:t>
      </w:r>
      <w:bookmarkStart w:id="33660" w:name="_ETM_Q59_622390"/>
      <w:bookmarkEnd w:id="33660"/>
      <w:r>
        <w:rPr>
          <w:rFonts w:hint="cs"/>
          <w:rtl/>
        </w:rPr>
        <w:t xml:space="preserve">להגיע </w:t>
      </w:r>
      <w:bookmarkStart w:id="33661" w:name="_ETM_Q59_622750"/>
      <w:bookmarkEnd w:id="33661"/>
      <w:r>
        <w:rPr>
          <w:rFonts w:hint="cs"/>
          <w:rtl/>
        </w:rPr>
        <w:t xml:space="preserve">לקו </w:t>
      </w:r>
      <w:bookmarkStart w:id="33662" w:name="_ETM_Q59_623080"/>
      <w:bookmarkEnd w:id="33662"/>
      <w:r>
        <w:rPr>
          <w:rFonts w:hint="cs"/>
          <w:rtl/>
        </w:rPr>
        <w:t xml:space="preserve">בשבוע </w:t>
      </w:r>
      <w:bookmarkStart w:id="33663" w:name="_ETM_Q59_623590"/>
      <w:bookmarkEnd w:id="33663"/>
      <w:r>
        <w:rPr>
          <w:rFonts w:hint="cs"/>
          <w:rtl/>
        </w:rPr>
        <w:t xml:space="preserve">הבא. </w:t>
      </w:r>
      <w:bookmarkStart w:id="33664" w:name="_ETM_Q59_625459"/>
      <w:bookmarkEnd w:id="33664"/>
      <w:r>
        <w:rPr>
          <w:rFonts w:hint="cs"/>
          <w:rtl/>
        </w:rPr>
        <w:t xml:space="preserve">אני </w:t>
      </w:r>
      <w:bookmarkStart w:id="33665" w:name="_ETM_Q59_625609"/>
      <w:bookmarkEnd w:id="33665"/>
      <w:r>
        <w:rPr>
          <w:rFonts w:hint="cs"/>
          <w:rtl/>
        </w:rPr>
        <w:t xml:space="preserve">אומר </w:t>
      </w:r>
      <w:bookmarkStart w:id="33666" w:name="_ETM_Q59_625730"/>
      <w:bookmarkEnd w:id="33666"/>
      <w:r>
        <w:rPr>
          <w:rFonts w:hint="cs"/>
          <w:rtl/>
        </w:rPr>
        <w:t xml:space="preserve">לו: </w:t>
      </w:r>
      <w:bookmarkStart w:id="33667" w:name="_ETM_Q59_625849"/>
      <w:bookmarkEnd w:id="33667"/>
      <w:r>
        <w:rPr>
          <w:rFonts w:hint="cs"/>
          <w:rtl/>
        </w:rPr>
        <w:t xml:space="preserve">רועי, </w:t>
      </w:r>
      <w:bookmarkStart w:id="33668" w:name="_ETM_Q59_626090"/>
      <w:bookmarkEnd w:id="33668"/>
      <w:r>
        <w:rPr>
          <w:rFonts w:hint="cs"/>
          <w:rtl/>
        </w:rPr>
        <w:t xml:space="preserve">למה? </w:t>
      </w:r>
      <w:bookmarkStart w:id="33669" w:name="_ETM_Q59_626269"/>
      <w:bookmarkStart w:id="33670" w:name="_ETM_Q59_627500"/>
      <w:bookmarkEnd w:id="33669"/>
      <w:bookmarkEnd w:id="33670"/>
      <w:r>
        <w:rPr>
          <w:rFonts w:hint="cs"/>
          <w:rtl/>
        </w:rPr>
        <w:t>אתה</w:t>
      </w:r>
      <w:bookmarkStart w:id="33671" w:name="_ETM_Q59_627740"/>
      <w:bookmarkEnd w:id="33671"/>
      <w:r>
        <w:rPr>
          <w:rFonts w:hint="cs"/>
          <w:rtl/>
        </w:rPr>
        <w:t xml:space="preserve"> אחד </w:t>
      </w:r>
      <w:bookmarkStart w:id="33672" w:name="_ETM_Q59_628010"/>
      <w:bookmarkEnd w:id="33672"/>
      <w:r>
        <w:rPr>
          <w:rFonts w:hint="cs"/>
          <w:rtl/>
        </w:rPr>
        <w:t xml:space="preserve">החיילים </w:t>
      </w:r>
      <w:bookmarkStart w:id="33673" w:name="_ETM_Q59_628370"/>
      <w:bookmarkEnd w:id="33673"/>
      <w:r>
        <w:rPr>
          <w:rFonts w:hint="cs"/>
          <w:rtl/>
        </w:rPr>
        <w:t xml:space="preserve">הכי </w:t>
      </w:r>
      <w:bookmarkStart w:id="33674" w:name="_ETM_Q59_628550"/>
      <w:bookmarkEnd w:id="33674"/>
      <w:r>
        <w:rPr>
          <w:rFonts w:hint="cs"/>
          <w:rtl/>
        </w:rPr>
        <w:t xml:space="preserve">טובים </w:t>
      </w:r>
      <w:bookmarkStart w:id="33675" w:name="_ETM_Q59_628820"/>
      <w:bookmarkEnd w:id="33675"/>
      <w:r>
        <w:rPr>
          <w:rFonts w:hint="cs"/>
          <w:rtl/>
        </w:rPr>
        <w:t xml:space="preserve">שלי </w:t>
      </w:r>
      <w:bookmarkStart w:id="33676" w:name="_ETM_Q59_629030"/>
      <w:bookmarkEnd w:id="33676"/>
      <w:r>
        <w:rPr>
          <w:rFonts w:hint="cs"/>
          <w:rtl/>
        </w:rPr>
        <w:t xml:space="preserve">בפלוגה </w:t>
      </w:r>
      <w:r w:rsidR="001033F7">
        <w:rPr>
          <w:rFonts w:hint="eastAsia"/>
          <w:rtl/>
        </w:rPr>
        <w:t>–</w:t>
      </w:r>
      <w:r w:rsidR="001033F7">
        <w:rPr>
          <w:rFonts w:hint="cs"/>
          <w:rtl/>
        </w:rPr>
        <w:t xml:space="preserve"> </w:t>
      </w:r>
      <w:r>
        <w:rPr>
          <w:rFonts w:hint="cs"/>
          <w:rtl/>
        </w:rPr>
        <w:t>נכון יש 100 ח</w:t>
      </w:r>
      <w:bookmarkStart w:id="33677" w:name="_ETM_Q59_629810"/>
      <w:bookmarkStart w:id="33678" w:name="_ETM_Q59_630170"/>
      <w:bookmarkEnd w:id="33677"/>
      <w:bookmarkEnd w:id="33678"/>
      <w:r>
        <w:rPr>
          <w:rFonts w:hint="cs"/>
          <w:rtl/>
        </w:rPr>
        <w:t xml:space="preserve">יילים </w:t>
      </w:r>
      <w:bookmarkStart w:id="33679" w:name="_ETM_Q59_630680"/>
      <w:bookmarkEnd w:id="33679"/>
      <w:r>
        <w:rPr>
          <w:rFonts w:hint="cs"/>
          <w:rtl/>
        </w:rPr>
        <w:t>בפלוגה</w:t>
      </w:r>
      <w:r w:rsidR="001033F7">
        <w:rPr>
          <w:rFonts w:hint="cs"/>
          <w:rtl/>
        </w:rPr>
        <w:t>?</w:t>
      </w:r>
      <w:r>
        <w:rPr>
          <w:rFonts w:hint="cs"/>
          <w:rtl/>
        </w:rPr>
        <w:t xml:space="preserve"> </w:t>
      </w:r>
      <w:bookmarkStart w:id="33680" w:name="_ETM_Q59_631520"/>
      <w:bookmarkEnd w:id="33680"/>
      <w:r>
        <w:rPr>
          <w:rFonts w:hint="cs"/>
          <w:rtl/>
        </w:rPr>
        <w:t xml:space="preserve">רועי </w:t>
      </w:r>
      <w:bookmarkStart w:id="33681" w:name="_ETM_Q59_631730"/>
      <w:bookmarkEnd w:id="33681"/>
      <w:r>
        <w:rPr>
          <w:rFonts w:hint="cs"/>
          <w:rtl/>
        </w:rPr>
        <w:t xml:space="preserve">הוא </w:t>
      </w:r>
      <w:bookmarkStart w:id="33682" w:name="_ETM_Q59_631790"/>
      <w:bookmarkEnd w:id="33682"/>
      <w:r>
        <w:rPr>
          <w:rFonts w:hint="cs"/>
          <w:rtl/>
        </w:rPr>
        <w:t>בוודאי</w:t>
      </w:r>
      <w:bookmarkStart w:id="33683" w:name="_ETM_Q59_632180"/>
      <w:bookmarkEnd w:id="33683"/>
      <w:r>
        <w:rPr>
          <w:rFonts w:hint="cs"/>
          <w:rtl/>
        </w:rPr>
        <w:t xml:space="preserve"> אחד </w:t>
      </w:r>
      <w:bookmarkStart w:id="33684" w:name="_ETM_Q59_632420"/>
      <w:bookmarkEnd w:id="33684"/>
      <w:r>
        <w:rPr>
          <w:rFonts w:hint="cs"/>
          <w:rtl/>
        </w:rPr>
        <w:t xml:space="preserve">הטובים </w:t>
      </w:r>
      <w:bookmarkStart w:id="33685" w:name="_ETM_Q59_632810"/>
      <w:bookmarkEnd w:id="33685"/>
      <w:r>
        <w:rPr>
          <w:rFonts w:hint="cs"/>
          <w:rtl/>
        </w:rPr>
        <w:t xml:space="preserve">שבהם </w:t>
      </w:r>
      <w:bookmarkStart w:id="33686" w:name="_ETM_Q59_633720"/>
      <w:bookmarkEnd w:id="33686"/>
      <w:r w:rsidR="001033F7">
        <w:rPr>
          <w:rFonts w:hint="eastAsia"/>
          <w:rtl/>
        </w:rPr>
        <w:t>–</w:t>
      </w:r>
      <w:r w:rsidR="001033F7">
        <w:rPr>
          <w:rFonts w:hint="cs"/>
          <w:rtl/>
        </w:rPr>
        <w:t xml:space="preserve"> </w:t>
      </w:r>
      <w:r>
        <w:rPr>
          <w:rFonts w:hint="cs"/>
          <w:rtl/>
        </w:rPr>
        <w:t xml:space="preserve">אתה </w:t>
      </w:r>
      <w:bookmarkStart w:id="33687" w:name="_ETM_Q59_633930"/>
      <w:bookmarkEnd w:id="33687"/>
      <w:r>
        <w:rPr>
          <w:rFonts w:hint="cs"/>
          <w:rtl/>
        </w:rPr>
        <w:t xml:space="preserve">צלף </w:t>
      </w:r>
      <w:bookmarkStart w:id="33688" w:name="_ETM_Q59_634349"/>
      <w:bookmarkEnd w:id="33688"/>
      <w:r>
        <w:rPr>
          <w:rFonts w:hint="cs"/>
          <w:rtl/>
        </w:rPr>
        <w:t xml:space="preserve">מצוין. </w:t>
      </w:r>
      <w:bookmarkStart w:id="33689" w:name="_ETM_Q59_635630"/>
      <w:bookmarkEnd w:id="33689"/>
      <w:r>
        <w:rPr>
          <w:rFonts w:hint="cs"/>
          <w:rtl/>
        </w:rPr>
        <w:t xml:space="preserve">בשתי </w:t>
      </w:r>
      <w:bookmarkStart w:id="33690" w:name="_ETM_Q59_636080"/>
      <w:bookmarkEnd w:id="33690"/>
      <w:r>
        <w:rPr>
          <w:rFonts w:hint="cs"/>
          <w:rtl/>
        </w:rPr>
        <w:t>התעסוקות</w:t>
      </w:r>
      <w:bookmarkStart w:id="33691" w:name="_ETM_Q59_636790"/>
      <w:bookmarkEnd w:id="33691"/>
      <w:r>
        <w:rPr>
          <w:rFonts w:hint="cs"/>
          <w:rtl/>
        </w:rPr>
        <w:t xml:space="preserve"> </w:t>
      </w:r>
      <w:bookmarkStart w:id="33692" w:name="_ETM_Q59_637656"/>
      <w:bookmarkEnd w:id="33692"/>
      <w:r>
        <w:rPr>
          <w:rFonts w:hint="cs"/>
          <w:rtl/>
        </w:rPr>
        <w:t xml:space="preserve">הקודמות, </w:t>
      </w:r>
      <w:bookmarkStart w:id="33693" w:name="_ETM_Q59_636879"/>
      <w:bookmarkStart w:id="33694" w:name="_ETM_Q59_637060"/>
      <w:bookmarkEnd w:id="33693"/>
      <w:bookmarkEnd w:id="33694"/>
      <w:r>
        <w:rPr>
          <w:rFonts w:hint="cs"/>
          <w:rtl/>
        </w:rPr>
        <w:t xml:space="preserve">כולל </w:t>
      </w:r>
      <w:bookmarkStart w:id="33695" w:name="_ETM_Q59_637329"/>
      <w:bookmarkEnd w:id="33695"/>
      <w:r>
        <w:rPr>
          <w:rFonts w:hint="cs"/>
          <w:rtl/>
        </w:rPr>
        <w:t xml:space="preserve">בחומת </w:t>
      </w:r>
      <w:bookmarkStart w:id="33696" w:name="_ETM_Q59_637750"/>
      <w:bookmarkEnd w:id="33696"/>
      <w:r>
        <w:rPr>
          <w:rFonts w:hint="cs"/>
          <w:rtl/>
        </w:rPr>
        <w:t xml:space="preserve">מגן, </w:t>
      </w:r>
      <w:bookmarkStart w:id="33697" w:name="_ETM_Q59_638560"/>
      <w:bookmarkEnd w:id="33697"/>
      <w:r>
        <w:rPr>
          <w:rFonts w:hint="cs"/>
          <w:rtl/>
        </w:rPr>
        <w:t xml:space="preserve">אתה </w:t>
      </w:r>
      <w:bookmarkStart w:id="33698" w:name="_ETM_Q59_639430"/>
      <w:bookmarkEnd w:id="33698"/>
      <w:r>
        <w:rPr>
          <w:rFonts w:hint="cs"/>
          <w:rtl/>
        </w:rPr>
        <w:t xml:space="preserve">אישית </w:t>
      </w:r>
      <w:bookmarkStart w:id="33699" w:name="_ETM_Q59_640189"/>
      <w:bookmarkEnd w:id="33699"/>
      <w:r>
        <w:rPr>
          <w:rFonts w:hint="cs"/>
          <w:rtl/>
        </w:rPr>
        <w:t xml:space="preserve">פגעת </w:t>
      </w:r>
      <w:bookmarkStart w:id="33700" w:name="_ETM_Q59_640700"/>
      <w:bookmarkEnd w:id="33700"/>
      <w:r>
        <w:rPr>
          <w:rFonts w:hint="cs"/>
          <w:rtl/>
        </w:rPr>
        <w:t xml:space="preserve">במחבלים. </w:t>
      </w:r>
      <w:bookmarkStart w:id="33701" w:name="_ETM_Q59_642230"/>
      <w:bookmarkEnd w:id="33701"/>
      <w:r>
        <w:rPr>
          <w:rFonts w:hint="cs"/>
          <w:rtl/>
        </w:rPr>
        <w:t xml:space="preserve">אני </w:t>
      </w:r>
      <w:bookmarkStart w:id="33702" w:name="_ETM_Q59_642470"/>
      <w:bookmarkEnd w:id="33702"/>
      <w:r>
        <w:rPr>
          <w:rFonts w:hint="cs"/>
          <w:rtl/>
        </w:rPr>
        <w:t xml:space="preserve">צריך </w:t>
      </w:r>
      <w:bookmarkStart w:id="33703" w:name="_ETM_Q59_642770"/>
      <w:bookmarkEnd w:id="33703"/>
      <w:r>
        <w:rPr>
          <w:rFonts w:hint="cs"/>
          <w:rtl/>
        </w:rPr>
        <w:t xml:space="preserve">אותך </w:t>
      </w:r>
      <w:bookmarkStart w:id="33704" w:name="_ETM_Q59_643040"/>
      <w:bookmarkEnd w:id="33704"/>
      <w:r>
        <w:rPr>
          <w:rFonts w:hint="cs"/>
          <w:rtl/>
        </w:rPr>
        <w:t xml:space="preserve">איתי </w:t>
      </w:r>
      <w:bookmarkStart w:id="33705" w:name="_ETM_Q59_643310"/>
      <w:bookmarkEnd w:id="33705"/>
      <w:r>
        <w:rPr>
          <w:rFonts w:hint="cs"/>
          <w:rtl/>
        </w:rPr>
        <w:t>דווקא</w:t>
      </w:r>
      <w:bookmarkStart w:id="33706" w:name="_ETM_Q59_643670"/>
      <w:bookmarkEnd w:id="33706"/>
      <w:r>
        <w:rPr>
          <w:rFonts w:hint="cs"/>
          <w:rtl/>
        </w:rPr>
        <w:t xml:space="preserve"> שם, </w:t>
      </w:r>
      <w:bookmarkStart w:id="33707" w:name="_ETM_Q59_644519"/>
      <w:bookmarkEnd w:id="33707"/>
      <w:r>
        <w:rPr>
          <w:rFonts w:hint="cs"/>
          <w:rtl/>
        </w:rPr>
        <w:t xml:space="preserve">ברגע </w:t>
      </w:r>
      <w:bookmarkStart w:id="33708" w:name="_ETM_Q59_645090"/>
      <w:bookmarkEnd w:id="33708"/>
      <w:r>
        <w:rPr>
          <w:rFonts w:hint="cs"/>
          <w:rtl/>
        </w:rPr>
        <w:t xml:space="preserve">האמת. </w:t>
      </w:r>
      <w:bookmarkStart w:id="33709" w:name="_ETM_Q59_647220"/>
      <w:bookmarkEnd w:id="33709"/>
      <w:r>
        <w:rPr>
          <w:rFonts w:hint="cs"/>
          <w:rtl/>
        </w:rPr>
        <w:t xml:space="preserve">ורועי </w:t>
      </w:r>
      <w:bookmarkStart w:id="33710" w:name="_ETM_Q59_647519"/>
      <w:bookmarkEnd w:id="33710"/>
      <w:r>
        <w:rPr>
          <w:rFonts w:hint="cs"/>
          <w:rtl/>
        </w:rPr>
        <w:t xml:space="preserve">אומר </w:t>
      </w:r>
      <w:bookmarkStart w:id="33711" w:name="_ETM_Q59_647760"/>
      <w:bookmarkEnd w:id="33711"/>
      <w:r>
        <w:rPr>
          <w:rFonts w:hint="cs"/>
          <w:rtl/>
        </w:rPr>
        <w:t>לי:</w:t>
      </w:r>
      <w:bookmarkStart w:id="33712" w:name="_ETM_Q59_647849"/>
      <w:bookmarkStart w:id="33713" w:name="_ETM_Q59_648090"/>
      <w:bookmarkEnd w:id="33712"/>
      <w:bookmarkEnd w:id="33713"/>
      <w:r>
        <w:rPr>
          <w:rFonts w:hint="cs"/>
          <w:rtl/>
        </w:rPr>
        <w:t xml:space="preserve"> קינלי, </w:t>
      </w:r>
      <w:bookmarkStart w:id="33714" w:name="_ETM_Q59_648180"/>
      <w:bookmarkEnd w:id="33714"/>
      <w:r>
        <w:rPr>
          <w:rFonts w:hint="cs"/>
          <w:rtl/>
        </w:rPr>
        <w:t xml:space="preserve">תראה, </w:t>
      </w:r>
      <w:bookmarkStart w:id="33715" w:name="_ETM_Q59_649230"/>
      <w:bookmarkEnd w:id="33715"/>
      <w:r>
        <w:rPr>
          <w:rFonts w:hint="cs"/>
          <w:rtl/>
        </w:rPr>
        <w:t xml:space="preserve">אני </w:t>
      </w:r>
      <w:bookmarkStart w:id="33716" w:name="_ETM_Q59_649439"/>
      <w:bookmarkEnd w:id="33716"/>
      <w:r>
        <w:rPr>
          <w:rFonts w:hint="cs"/>
          <w:rtl/>
        </w:rPr>
        <w:t xml:space="preserve">מה </w:t>
      </w:r>
      <w:bookmarkStart w:id="33717" w:name="_ETM_Q59_649560"/>
      <w:bookmarkEnd w:id="33717"/>
      <w:r>
        <w:rPr>
          <w:rFonts w:hint="cs"/>
          <w:rtl/>
        </w:rPr>
        <w:t xml:space="preserve">שנקרא </w:t>
      </w:r>
      <w:bookmarkStart w:id="33718" w:name="_ETM_Q59_650580"/>
      <w:bookmarkEnd w:id="33718"/>
      <w:r>
        <w:rPr>
          <w:rFonts w:hint="cs"/>
          <w:rtl/>
        </w:rPr>
        <w:t xml:space="preserve">פוליטית </w:t>
      </w:r>
      <w:bookmarkStart w:id="33719" w:name="_ETM_Q59_651060"/>
      <w:bookmarkEnd w:id="33719"/>
      <w:r>
        <w:rPr>
          <w:rFonts w:hint="cs"/>
          <w:rtl/>
        </w:rPr>
        <w:t xml:space="preserve">מהשמאל, </w:t>
      </w:r>
      <w:bookmarkStart w:id="33720" w:name="_ETM_Q59_651659"/>
      <w:bookmarkEnd w:id="33720"/>
      <w:r>
        <w:rPr>
          <w:rFonts w:hint="cs"/>
          <w:rtl/>
        </w:rPr>
        <w:t xml:space="preserve">אני </w:t>
      </w:r>
      <w:bookmarkStart w:id="33721" w:name="_ETM_Q59_651810"/>
      <w:bookmarkEnd w:id="33721"/>
      <w:r>
        <w:rPr>
          <w:rFonts w:hint="cs"/>
          <w:rtl/>
        </w:rPr>
        <w:t xml:space="preserve">יודע </w:t>
      </w:r>
      <w:bookmarkStart w:id="33722" w:name="_ETM_Q59_652049"/>
      <w:bookmarkEnd w:id="33722"/>
      <w:r>
        <w:rPr>
          <w:rFonts w:hint="cs"/>
          <w:rtl/>
        </w:rPr>
        <w:t xml:space="preserve">שאתה </w:t>
      </w:r>
      <w:bookmarkStart w:id="33723" w:name="_ETM_Q59_652349"/>
      <w:bookmarkEnd w:id="33723"/>
      <w:r>
        <w:rPr>
          <w:rFonts w:hint="cs"/>
          <w:rtl/>
        </w:rPr>
        <w:t xml:space="preserve">לא </w:t>
      </w:r>
      <w:bookmarkStart w:id="33724" w:name="_ETM_Q59_652959"/>
      <w:bookmarkEnd w:id="33724"/>
      <w:r>
        <w:rPr>
          <w:rFonts w:hint="cs"/>
          <w:rtl/>
        </w:rPr>
        <w:t>איתי</w:t>
      </w:r>
      <w:bookmarkStart w:id="33725" w:name="_ETM_Q59_653890"/>
      <w:bookmarkEnd w:id="33725"/>
      <w:r w:rsidR="001033F7">
        <w:rPr>
          <w:rFonts w:hint="cs"/>
          <w:rtl/>
        </w:rPr>
        <w:t>,</w:t>
      </w:r>
      <w:r>
        <w:rPr>
          <w:rFonts w:hint="cs"/>
          <w:rtl/>
        </w:rPr>
        <w:t xml:space="preserve"> אתה </w:t>
      </w:r>
      <w:bookmarkStart w:id="33726" w:name="_ETM_Q59_654129"/>
      <w:bookmarkEnd w:id="33726"/>
      <w:r>
        <w:rPr>
          <w:rFonts w:hint="cs"/>
          <w:rtl/>
        </w:rPr>
        <w:t xml:space="preserve">ציונות </w:t>
      </w:r>
      <w:bookmarkStart w:id="33727" w:name="_ETM_Q59_654549"/>
      <w:bookmarkEnd w:id="33727"/>
      <w:r>
        <w:rPr>
          <w:rFonts w:hint="cs"/>
          <w:rtl/>
        </w:rPr>
        <w:t xml:space="preserve">דתית, </w:t>
      </w:r>
      <w:bookmarkStart w:id="33728" w:name="_ETM_Q59_655390"/>
      <w:bookmarkEnd w:id="33728"/>
      <w:r>
        <w:rPr>
          <w:rFonts w:hint="cs"/>
          <w:rtl/>
        </w:rPr>
        <w:t xml:space="preserve">אתה </w:t>
      </w:r>
      <w:bookmarkStart w:id="33729" w:name="_ETM_Q59_655659"/>
      <w:bookmarkEnd w:id="33729"/>
      <w:r>
        <w:rPr>
          <w:rFonts w:hint="cs"/>
          <w:rtl/>
        </w:rPr>
        <w:t>בימין</w:t>
      </w:r>
      <w:bookmarkStart w:id="33730" w:name="_ETM_Q59_656620"/>
      <w:bookmarkEnd w:id="33730"/>
      <w:r w:rsidR="001033F7">
        <w:rPr>
          <w:rFonts w:hint="cs"/>
          <w:rtl/>
        </w:rPr>
        <w:t>,</w:t>
      </w:r>
      <w:r>
        <w:rPr>
          <w:rFonts w:hint="cs"/>
          <w:rtl/>
        </w:rPr>
        <w:t xml:space="preserve"> אבל </w:t>
      </w:r>
      <w:bookmarkStart w:id="33731" w:name="_ETM_Q59_656829"/>
      <w:bookmarkEnd w:id="33731"/>
      <w:r>
        <w:rPr>
          <w:rFonts w:hint="cs"/>
          <w:rtl/>
        </w:rPr>
        <w:t xml:space="preserve">אני </w:t>
      </w:r>
      <w:bookmarkStart w:id="33732" w:name="_ETM_Q59_657010"/>
      <w:bookmarkEnd w:id="33732"/>
      <w:r>
        <w:rPr>
          <w:rFonts w:hint="cs"/>
          <w:rtl/>
        </w:rPr>
        <w:t xml:space="preserve">מהשמאל, </w:t>
      </w:r>
      <w:bookmarkStart w:id="33733" w:name="_ETM_Q59_658599"/>
      <w:bookmarkEnd w:id="33733"/>
      <w:r>
        <w:rPr>
          <w:rFonts w:hint="cs"/>
          <w:rtl/>
        </w:rPr>
        <w:t xml:space="preserve">ואני </w:t>
      </w:r>
      <w:bookmarkStart w:id="33734" w:name="_ETM_Q59_659580"/>
      <w:bookmarkEnd w:id="33734"/>
      <w:r>
        <w:rPr>
          <w:rFonts w:hint="cs"/>
          <w:rtl/>
        </w:rPr>
        <w:t xml:space="preserve">לא </w:t>
      </w:r>
      <w:bookmarkStart w:id="33735" w:name="_ETM_Q59_659819"/>
      <w:bookmarkEnd w:id="33735"/>
      <w:r>
        <w:rPr>
          <w:rFonts w:hint="cs"/>
          <w:rtl/>
        </w:rPr>
        <w:t xml:space="preserve">מאמין </w:t>
      </w:r>
      <w:bookmarkStart w:id="33736" w:name="_ETM_Q59_661180"/>
      <w:bookmarkEnd w:id="33736"/>
      <w:r>
        <w:rPr>
          <w:rFonts w:hint="cs"/>
          <w:rtl/>
        </w:rPr>
        <w:t xml:space="preserve">בשהות </w:t>
      </w:r>
      <w:bookmarkStart w:id="33737" w:name="_ETM_Q59_661810"/>
      <w:bookmarkEnd w:id="33737"/>
      <w:r>
        <w:rPr>
          <w:rFonts w:hint="cs"/>
          <w:rtl/>
        </w:rPr>
        <w:t xml:space="preserve">שלנו </w:t>
      </w:r>
      <w:bookmarkStart w:id="33738" w:name="_ETM_Q59_662080"/>
      <w:bookmarkEnd w:id="33738"/>
      <w:r>
        <w:rPr>
          <w:rFonts w:hint="cs"/>
          <w:rtl/>
        </w:rPr>
        <w:t xml:space="preserve">בגוש </w:t>
      </w:r>
      <w:bookmarkStart w:id="33739" w:name="_ETM_Q59_662379"/>
      <w:bookmarkEnd w:id="33739"/>
      <w:r>
        <w:rPr>
          <w:rFonts w:hint="cs"/>
          <w:rtl/>
        </w:rPr>
        <w:t xml:space="preserve">קטיף. </w:t>
      </w:r>
      <w:bookmarkStart w:id="33740" w:name="_ETM_Q59_662739"/>
      <w:bookmarkEnd w:id="33740"/>
      <w:r>
        <w:rPr>
          <w:rFonts w:hint="cs"/>
          <w:rtl/>
        </w:rPr>
        <w:t xml:space="preserve">אני </w:t>
      </w:r>
      <w:bookmarkStart w:id="33741" w:name="_ETM_Q59_662860"/>
      <w:bookmarkEnd w:id="33741"/>
      <w:r>
        <w:rPr>
          <w:rFonts w:hint="cs"/>
          <w:rtl/>
        </w:rPr>
        <w:t xml:space="preserve">חושב </w:t>
      </w:r>
      <w:bookmarkStart w:id="33742" w:name="_ETM_Q59_663010"/>
      <w:bookmarkEnd w:id="33742"/>
      <w:r>
        <w:rPr>
          <w:rFonts w:hint="cs"/>
          <w:rtl/>
        </w:rPr>
        <w:t xml:space="preserve">שאנחנו </w:t>
      </w:r>
      <w:bookmarkStart w:id="33743" w:name="_ETM_Q59_663280"/>
      <w:bookmarkEnd w:id="33743"/>
      <w:r>
        <w:rPr>
          <w:rFonts w:hint="cs"/>
          <w:rtl/>
        </w:rPr>
        <w:t xml:space="preserve">צריכים </w:t>
      </w:r>
      <w:bookmarkStart w:id="33744" w:name="_ETM_Q59_663489"/>
      <w:bookmarkEnd w:id="33744"/>
      <w:r>
        <w:rPr>
          <w:rFonts w:hint="cs"/>
          <w:rtl/>
        </w:rPr>
        <w:t xml:space="preserve">לצאת </w:t>
      </w:r>
      <w:bookmarkStart w:id="33745" w:name="_ETM_Q59_663790"/>
      <w:bookmarkEnd w:id="33745"/>
      <w:r>
        <w:rPr>
          <w:rFonts w:hint="cs"/>
          <w:rtl/>
        </w:rPr>
        <w:t xml:space="preserve">משם, </w:t>
      </w:r>
      <w:bookmarkStart w:id="33746" w:name="_ETM_Q59_664890"/>
      <w:bookmarkEnd w:id="33746"/>
      <w:r>
        <w:rPr>
          <w:rFonts w:hint="cs"/>
          <w:rtl/>
        </w:rPr>
        <w:t xml:space="preserve">ואני </w:t>
      </w:r>
      <w:bookmarkStart w:id="33747" w:name="_ETM_Q59_665130"/>
      <w:bookmarkEnd w:id="33747"/>
      <w:r>
        <w:rPr>
          <w:rFonts w:hint="cs"/>
          <w:rtl/>
        </w:rPr>
        <w:t xml:space="preserve">מבקש </w:t>
      </w:r>
      <w:bookmarkStart w:id="33748" w:name="_ETM_Q59_665520"/>
      <w:bookmarkEnd w:id="33748"/>
      <w:r>
        <w:rPr>
          <w:rFonts w:hint="cs"/>
          <w:rtl/>
        </w:rPr>
        <w:t xml:space="preserve">ממך, </w:t>
      </w:r>
      <w:bookmarkStart w:id="33749" w:name="_ETM_Q59_666400"/>
      <w:bookmarkEnd w:id="33749"/>
      <w:r>
        <w:rPr>
          <w:rFonts w:hint="cs"/>
          <w:rtl/>
        </w:rPr>
        <w:t xml:space="preserve">אני </w:t>
      </w:r>
      <w:bookmarkStart w:id="33750" w:name="_ETM_Q59_666610"/>
      <w:bookmarkEnd w:id="33750"/>
      <w:r>
        <w:rPr>
          <w:rFonts w:hint="cs"/>
          <w:rtl/>
        </w:rPr>
        <w:t xml:space="preserve">לא </w:t>
      </w:r>
      <w:bookmarkStart w:id="33751" w:name="_ETM_Q59_666700"/>
      <w:bookmarkEnd w:id="33751"/>
      <w:r>
        <w:rPr>
          <w:rFonts w:hint="cs"/>
          <w:rtl/>
        </w:rPr>
        <w:t xml:space="preserve">רוצה </w:t>
      </w:r>
      <w:bookmarkStart w:id="33752" w:name="_ETM_Q59_666939"/>
      <w:bookmarkEnd w:id="33752"/>
      <w:r>
        <w:rPr>
          <w:rFonts w:hint="cs"/>
          <w:rtl/>
        </w:rPr>
        <w:t xml:space="preserve">שתהיה </w:t>
      </w:r>
      <w:bookmarkStart w:id="33753" w:name="_ETM_Q59_667180"/>
      <w:bookmarkEnd w:id="33753"/>
      <w:r>
        <w:rPr>
          <w:rFonts w:hint="cs"/>
          <w:rtl/>
        </w:rPr>
        <w:t xml:space="preserve">סיטואציה </w:t>
      </w:r>
      <w:bookmarkStart w:id="33754" w:name="_ETM_Q59_668379"/>
      <w:bookmarkEnd w:id="33754"/>
      <w:r>
        <w:rPr>
          <w:rFonts w:hint="cs"/>
          <w:rtl/>
        </w:rPr>
        <w:t xml:space="preserve">שבה </w:t>
      </w:r>
      <w:bookmarkStart w:id="33755" w:name="_ETM_Q59_668799"/>
      <w:bookmarkEnd w:id="33755"/>
      <w:r>
        <w:rPr>
          <w:rFonts w:hint="cs"/>
          <w:rtl/>
        </w:rPr>
        <w:t xml:space="preserve">אני </w:t>
      </w:r>
      <w:bookmarkStart w:id="33756" w:name="_ETM_Q59_668980"/>
      <w:bookmarkEnd w:id="33756"/>
      <w:r>
        <w:rPr>
          <w:rFonts w:hint="cs"/>
          <w:rtl/>
        </w:rPr>
        <w:t xml:space="preserve">אגיע </w:t>
      </w:r>
      <w:bookmarkStart w:id="33757" w:name="_ETM_Q59_670130"/>
      <w:bookmarkEnd w:id="33757"/>
      <w:r>
        <w:rPr>
          <w:rFonts w:hint="cs"/>
          <w:rtl/>
        </w:rPr>
        <w:t xml:space="preserve">למצב </w:t>
      </w:r>
      <w:bookmarkStart w:id="33758" w:name="_ETM_Q59_671550"/>
      <w:bookmarkEnd w:id="33758"/>
      <w:r>
        <w:rPr>
          <w:rFonts w:hint="cs"/>
          <w:rtl/>
        </w:rPr>
        <w:t xml:space="preserve">שאתה </w:t>
      </w:r>
      <w:bookmarkStart w:id="33759" w:name="_ETM_Q59_671850"/>
      <w:bookmarkEnd w:id="33759"/>
      <w:r>
        <w:rPr>
          <w:rFonts w:hint="cs"/>
          <w:rtl/>
        </w:rPr>
        <w:t xml:space="preserve">נותן </w:t>
      </w:r>
      <w:bookmarkStart w:id="33760" w:name="_ETM_Q59_672120"/>
      <w:bookmarkEnd w:id="33760"/>
      <w:r>
        <w:rPr>
          <w:rFonts w:hint="cs"/>
          <w:rtl/>
        </w:rPr>
        <w:t xml:space="preserve">לי </w:t>
      </w:r>
      <w:bookmarkStart w:id="33761" w:name="_ETM_Q59_672240"/>
      <w:bookmarkEnd w:id="33761"/>
      <w:r>
        <w:rPr>
          <w:rFonts w:hint="cs"/>
          <w:rtl/>
        </w:rPr>
        <w:t xml:space="preserve">פקודה </w:t>
      </w:r>
      <w:bookmarkStart w:id="33762" w:name="_ETM_Q59_672720"/>
      <w:bookmarkEnd w:id="33762"/>
      <w:r>
        <w:rPr>
          <w:rFonts w:hint="cs"/>
          <w:rtl/>
        </w:rPr>
        <w:t xml:space="preserve">בתור </w:t>
      </w:r>
      <w:bookmarkStart w:id="33763" w:name="_ETM_Q59_673020"/>
      <w:bookmarkEnd w:id="33763"/>
      <w:r>
        <w:rPr>
          <w:rFonts w:hint="cs"/>
          <w:rtl/>
        </w:rPr>
        <w:t xml:space="preserve">המ"פ </w:t>
      </w:r>
      <w:bookmarkStart w:id="33764" w:name="_ETM_Q59_673410"/>
      <w:bookmarkEnd w:id="33764"/>
      <w:r>
        <w:rPr>
          <w:rFonts w:hint="cs"/>
          <w:rtl/>
        </w:rPr>
        <w:t>שלי</w:t>
      </w:r>
      <w:r w:rsidR="001033F7">
        <w:rPr>
          <w:rFonts w:hint="cs"/>
          <w:rtl/>
        </w:rPr>
        <w:t>,</w:t>
      </w:r>
      <w:r>
        <w:rPr>
          <w:rFonts w:hint="cs"/>
          <w:rtl/>
        </w:rPr>
        <w:t xml:space="preserve"> </w:t>
      </w:r>
      <w:bookmarkStart w:id="33765" w:name="_ETM_Q59_674400"/>
      <w:bookmarkEnd w:id="33765"/>
      <w:r>
        <w:rPr>
          <w:rFonts w:hint="cs"/>
          <w:rtl/>
        </w:rPr>
        <w:t xml:space="preserve">אתה </w:t>
      </w:r>
      <w:bookmarkStart w:id="33766" w:name="_ETM_Q59_674700"/>
      <w:bookmarkEnd w:id="33766"/>
      <w:r>
        <w:rPr>
          <w:rFonts w:hint="cs"/>
          <w:rtl/>
        </w:rPr>
        <w:t xml:space="preserve">אומר </w:t>
      </w:r>
      <w:bookmarkStart w:id="33767" w:name="_ETM_Q59_674969"/>
      <w:bookmarkEnd w:id="33767"/>
      <w:r>
        <w:rPr>
          <w:rFonts w:hint="cs"/>
          <w:rtl/>
        </w:rPr>
        <w:t xml:space="preserve">לי </w:t>
      </w:r>
      <w:bookmarkStart w:id="33768" w:name="_ETM_Q59_675120"/>
      <w:bookmarkEnd w:id="33768"/>
      <w:r>
        <w:rPr>
          <w:rFonts w:hint="cs"/>
          <w:rtl/>
        </w:rPr>
        <w:t>לירות</w:t>
      </w:r>
      <w:r w:rsidR="001033F7">
        <w:rPr>
          <w:rFonts w:hint="cs"/>
          <w:rtl/>
        </w:rPr>
        <w:t>,</w:t>
      </w:r>
      <w:r>
        <w:rPr>
          <w:rFonts w:hint="cs"/>
          <w:rtl/>
        </w:rPr>
        <w:t xml:space="preserve"> </w:t>
      </w:r>
      <w:bookmarkStart w:id="33769" w:name="_ETM_Q59_676010"/>
      <w:bookmarkEnd w:id="33769"/>
      <w:r>
        <w:rPr>
          <w:rFonts w:hint="cs"/>
          <w:rtl/>
        </w:rPr>
        <w:t xml:space="preserve">ואני </w:t>
      </w:r>
      <w:bookmarkStart w:id="33770" w:name="_ETM_Q59_676459"/>
      <w:bookmarkEnd w:id="33770"/>
      <w:r>
        <w:rPr>
          <w:rFonts w:hint="cs"/>
          <w:rtl/>
        </w:rPr>
        <w:t xml:space="preserve">לא </w:t>
      </w:r>
      <w:bookmarkStart w:id="33771" w:name="_ETM_Q59_676610"/>
      <w:bookmarkEnd w:id="33771"/>
      <w:r>
        <w:rPr>
          <w:rFonts w:hint="cs"/>
          <w:rtl/>
        </w:rPr>
        <w:t xml:space="preserve">אירה. </w:t>
      </w:r>
      <w:bookmarkStart w:id="33772" w:name="_ETM_Q59_676880"/>
      <w:bookmarkEnd w:id="33772"/>
      <w:r>
        <w:rPr>
          <w:rFonts w:hint="cs"/>
          <w:rtl/>
        </w:rPr>
        <w:t xml:space="preserve">אני </w:t>
      </w:r>
      <w:bookmarkStart w:id="33773" w:name="_ETM_Q59_677000"/>
      <w:bookmarkEnd w:id="33773"/>
      <w:r>
        <w:rPr>
          <w:rFonts w:hint="cs"/>
          <w:rtl/>
        </w:rPr>
        <w:t xml:space="preserve">לא </w:t>
      </w:r>
      <w:bookmarkStart w:id="33774" w:name="_ETM_Q59_677120"/>
      <w:bookmarkEnd w:id="33774"/>
      <w:r>
        <w:rPr>
          <w:rFonts w:hint="cs"/>
          <w:rtl/>
        </w:rPr>
        <w:t xml:space="preserve">רוצה </w:t>
      </w:r>
      <w:bookmarkStart w:id="33775" w:name="_ETM_Q59_677390"/>
      <w:bookmarkEnd w:id="33775"/>
      <w:r>
        <w:rPr>
          <w:rFonts w:hint="cs"/>
          <w:rtl/>
        </w:rPr>
        <w:t xml:space="preserve">לסרב </w:t>
      </w:r>
      <w:bookmarkStart w:id="33776" w:name="_ETM_Q59_677780"/>
      <w:bookmarkEnd w:id="33776"/>
      <w:r>
        <w:rPr>
          <w:rFonts w:hint="cs"/>
          <w:rtl/>
        </w:rPr>
        <w:t xml:space="preserve">פקודה, </w:t>
      </w:r>
      <w:bookmarkStart w:id="33777" w:name="_ETM_Q59_678430"/>
      <w:bookmarkEnd w:id="33777"/>
      <w:r>
        <w:rPr>
          <w:rFonts w:hint="cs"/>
          <w:rtl/>
        </w:rPr>
        <w:t xml:space="preserve">אז </w:t>
      </w:r>
      <w:bookmarkStart w:id="33778" w:name="_ETM_Q59_678580"/>
      <w:bookmarkEnd w:id="33778"/>
      <w:r>
        <w:rPr>
          <w:rFonts w:hint="cs"/>
          <w:rtl/>
        </w:rPr>
        <w:t xml:space="preserve">בוא </w:t>
      </w:r>
      <w:bookmarkStart w:id="33779" w:name="_ETM_Q59_678730"/>
      <w:bookmarkEnd w:id="33779"/>
      <w:r>
        <w:rPr>
          <w:rFonts w:hint="cs"/>
          <w:rtl/>
        </w:rPr>
        <w:t xml:space="preserve">נסכם </w:t>
      </w:r>
      <w:bookmarkStart w:id="33780" w:name="_ETM_Q59_679209"/>
      <w:bookmarkEnd w:id="33780"/>
      <w:r>
        <w:rPr>
          <w:rFonts w:hint="cs"/>
          <w:rtl/>
        </w:rPr>
        <w:t xml:space="preserve">מעכשיו </w:t>
      </w:r>
      <w:bookmarkStart w:id="33781" w:name="_ETM_Q59_680230"/>
      <w:bookmarkEnd w:id="33781"/>
      <w:r>
        <w:rPr>
          <w:rFonts w:hint="cs"/>
          <w:rtl/>
        </w:rPr>
        <w:t xml:space="preserve">שאני </w:t>
      </w:r>
      <w:bookmarkStart w:id="33782" w:name="_ETM_Q59_680560"/>
      <w:bookmarkEnd w:id="33782"/>
      <w:r>
        <w:rPr>
          <w:rFonts w:hint="cs"/>
          <w:rtl/>
        </w:rPr>
        <w:t xml:space="preserve">לא </w:t>
      </w:r>
      <w:bookmarkStart w:id="33783" w:name="_ETM_Q59_680680"/>
      <w:bookmarkEnd w:id="33783"/>
      <w:r>
        <w:rPr>
          <w:rFonts w:hint="cs"/>
          <w:rtl/>
        </w:rPr>
        <w:t xml:space="preserve">מגיע </w:t>
      </w:r>
      <w:bookmarkStart w:id="33784" w:name="_ETM_Q59_680950"/>
      <w:bookmarkEnd w:id="33784"/>
      <w:r>
        <w:rPr>
          <w:rFonts w:hint="cs"/>
          <w:rtl/>
        </w:rPr>
        <w:t xml:space="preserve">לקו </w:t>
      </w:r>
      <w:bookmarkStart w:id="33785" w:name="_ETM_Q59_681250"/>
      <w:bookmarkEnd w:id="33785"/>
      <w:r>
        <w:rPr>
          <w:rFonts w:hint="cs"/>
          <w:rtl/>
        </w:rPr>
        <w:t xml:space="preserve">בשבוע </w:t>
      </w:r>
      <w:bookmarkStart w:id="33786" w:name="_ETM_Q59_681730"/>
      <w:bookmarkEnd w:id="33786"/>
      <w:r>
        <w:rPr>
          <w:rFonts w:hint="cs"/>
          <w:rtl/>
        </w:rPr>
        <w:t>הבא.</w:t>
      </w:r>
      <w:bookmarkStart w:id="33787" w:name="_ETM_Q59_682989"/>
      <w:bookmarkEnd w:id="33787"/>
    </w:p>
    <w:p w:rsidR="00BB59CD" w:rsidRDefault="00BB59CD" w:rsidP="00BB59CD">
      <w:pPr>
        <w:rPr>
          <w:rtl/>
        </w:rPr>
      </w:pPr>
      <w:bookmarkStart w:id="33788" w:name="_ETM_Q59_683541"/>
      <w:bookmarkStart w:id="33789" w:name="_ETM_Q59_683637"/>
      <w:bookmarkEnd w:id="33788"/>
      <w:bookmarkEnd w:id="33789"/>
    </w:p>
    <w:p w:rsidR="00BB59CD" w:rsidRDefault="00BB59CD" w:rsidP="00BB59CD">
      <w:pPr>
        <w:rPr>
          <w:rtl/>
        </w:rPr>
      </w:pPr>
      <w:bookmarkStart w:id="33790" w:name="_ETM_Q59_683688"/>
      <w:bookmarkStart w:id="33791" w:name="_ETM_Q59_683752"/>
      <w:bookmarkEnd w:id="33790"/>
      <w:bookmarkEnd w:id="33791"/>
      <w:r>
        <w:rPr>
          <w:rFonts w:hint="cs"/>
          <w:rtl/>
        </w:rPr>
        <w:t xml:space="preserve">מסביב </w:t>
      </w:r>
      <w:bookmarkStart w:id="33792" w:name="_ETM_Q59_683499"/>
      <w:bookmarkEnd w:id="33792"/>
      <w:r>
        <w:rPr>
          <w:rFonts w:hint="cs"/>
          <w:rtl/>
        </w:rPr>
        <w:t xml:space="preserve">חתונה, </w:t>
      </w:r>
      <w:bookmarkStart w:id="33793" w:name="_ETM_Q59_684600"/>
      <w:bookmarkEnd w:id="33793"/>
      <w:r>
        <w:rPr>
          <w:rFonts w:hint="cs"/>
          <w:rtl/>
        </w:rPr>
        <w:t xml:space="preserve">רעש, </w:t>
      </w:r>
      <w:bookmarkStart w:id="33794" w:name="_ETM_Q59_685530"/>
      <w:bookmarkEnd w:id="33794"/>
      <w:r>
        <w:rPr>
          <w:rFonts w:hint="cs"/>
          <w:rtl/>
        </w:rPr>
        <w:t>מוזיקה</w:t>
      </w:r>
      <w:r w:rsidR="001033F7">
        <w:rPr>
          <w:rFonts w:hint="cs"/>
          <w:rtl/>
        </w:rPr>
        <w:t>,</w:t>
      </w:r>
      <w:r>
        <w:rPr>
          <w:rFonts w:hint="cs"/>
          <w:rtl/>
        </w:rPr>
        <w:t xml:space="preserve"> </w:t>
      </w:r>
      <w:bookmarkStart w:id="33795" w:name="_ETM_Q59_686670"/>
      <w:bookmarkEnd w:id="33795"/>
      <w:r>
        <w:rPr>
          <w:rFonts w:hint="cs"/>
          <w:rtl/>
        </w:rPr>
        <w:t xml:space="preserve">ואני </w:t>
      </w:r>
      <w:bookmarkStart w:id="33796" w:name="_ETM_Q59_687180"/>
      <w:bookmarkEnd w:id="33796"/>
      <w:r>
        <w:rPr>
          <w:rFonts w:hint="cs"/>
          <w:rtl/>
        </w:rPr>
        <w:t xml:space="preserve">יודע </w:t>
      </w:r>
      <w:bookmarkStart w:id="33797" w:name="_ETM_Q59_687540"/>
      <w:bookmarkEnd w:id="33797"/>
      <w:r>
        <w:rPr>
          <w:rFonts w:hint="cs"/>
          <w:rtl/>
        </w:rPr>
        <w:t xml:space="preserve">רק </w:t>
      </w:r>
      <w:bookmarkStart w:id="33798" w:name="_ETM_Q59_687720"/>
      <w:bookmarkEnd w:id="33798"/>
      <w:r>
        <w:rPr>
          <w:rFonts w:hint="cs"/>
          <w:rtl/>
        </w:rPr>
        <w:t>דבר</w:t>
      </w:r>
      <w:bookmarkStart w:id="33799" w:name="_ETM_Q59_687960"/>
      <w:bookmarkEnd w:id="33799"/>
      <w:r>
        <w:rPr>
          <w:rFonts w:hint="cs"/>
          <w:rtl/>
        </w:rPr>
        <w:t xml:space="preserve"> אחד: </w:t>
      </w:r>
      <w:bookmarkStart w:id="33800" w:name="_ETM_Q59_688260"/>
      <w:bookmarkEnd w:id="33800"/>
      <w:r>
        <w:rPr>
          <w:rFonts w:hint="cs"/>
          <w:rtl/>
        </w:rPr>
        <w:t xml:space="preserve">אני </w:t>
      </w:r>
      <w:bookmarkStart w:id="33801" w:name="_ETM_Q59_688440"/>
      <w:bookmarkEnd w:id="33801"/>
      <w:r>
        <w:rPr>
          <w:rFonts w:hint="cs"/>
          <w:rtl/>
        </w:rPr>
        <w:t xml:space="preserve">את </w:t>
      </w:r>
      <w:bookmarkStart w:id="33802" w:name="_ETM_Q59_688530"/>
      <w:bookmarkEnd w:id="33802"/>
      <w:r>
        <w:rPr>
          <w:rFonts w:hint="cs"/>
          <w:rtl/>
        </w:rPr>
        <w:t xml:space="preserve">רועי </w:t>
      </w:r>
      <w:bookmarkStart w:id="33803" w:name="_ETM_Q59_688770"/>
      <w:bookmarkEnd w:id="33803"/>
      <w:r>
        <w:rPr>
          <w:rFonts w:hint="cs"/>
          <w:rtl/>
        </w:rPr>
        <w:t xml:space="preserve">לא </w:t>
      </w:r>
      <w:bookmarkStart w:id="33804" w:name="_ETM_Q59_688890"/>
      <w:bookmarkEnd w:id="33804"/>
      <w:r>
        <w:rPr>
          <w:rFonts w:hint="cs"/>
          <w:rtl/>
        </w:rPr>
        <w:t xml:space="preserve">מאבד </w:t>
      </w:r>
      <w:bookmarkStart w:id="33805" w:name="_ETM_Q59_689310"/>
      <w:bookmarkEnd w:id="33805"/>
      <w:r>
        <w:rPr>
          <w:rFonts w:hint="cs"/>
          <w:rtl/>
        </w:rPr>
        <w:t xml:space="preserve">פה. </w:t>
      </w:r>
      <w:bookmarkStart w:id="33806" w:name="_ETM_Q59_690620"/>
      <w:bookmarkEnd w:id="33806"/>
      <w:r>
        <w:rPr>
          <w:rFonts w:hint="cs"/>
          <w:rtl/>
        </w:rPr>
        <w:t xml:space="preserve">אז </w:t>
      </w:r>
      <w:bookmarkStart w:id="33807" w:name="_ETM_Q59_690799"/>
      <w:bookmarkEnd w:id="33807"/>
      <w:r>
        <w:rPr>
          <w:rFonts w:hint="cs"/>
          <w:rtl/>
        </w:rPr>
        <w:t xml:space="preserve">מה </w:t>
      </w:r>
      <w:bookmarkStart w:id="33808" w:name="_ETM_Q59_690950"/>
      <w:bookmarkEnd w:id="33808"/>
      <w:r>
        <w:rPr>
          <w:rFonts w:hint="cs"/>
          <w:rtl/>
        </w:rPr>
        <w:t xml:space="preserve">אני </w:t>
      </w:r>
      <w:bookmarkStart w:id="33809" w:name="_ETM_Q59_691099"/>
      <w:bookmarkEnd w:id="33809"/>
      <w:r>
        <w:rPr>
          <w:rFonts w:hint="cs"/>
          <w:rtl/>
        </w:rPr>
        <w:t xml:space="preserve">אומר </w:t>
      </w:r>
      <w:bookmarkStart w:id="33810" w:name="_ETM_Q59_691340"/>
      <w:bookmarkEnd w:id="33810"/>
      <w:r>
        <w:rPr>
          <w:rFonts w:hint="cs"/>
          <w:rtl/>
        </w:rPr>
        <w:t xml:space="preserve">לו? </w:t>
      </w:r>
      <w:bookmarkStart w:id="33811" w:name="_ETM_Q59_691459"/>
      <w:bookmarkEnd w:id="33811"/>
      <w:r>
        <w:rPr>
          <w:rFonts w:hint="cs"/>
          <w:rtl/>
        </w:rPr>
        <w:t xml:space="preserve">אני </w:t>
      </w:r>
      <w:bookmarkStart w:id="33812" w:name="_ETM_Q59_691579"/>
      <w:bookmarkEnd w:id="33812"/>
      <w:r>
        <w:rPr>
          <w:rFonts w:hint="cs"/>
          <w:rtl/>
        </w:rPr>
        <w:t xml:space="preserve">שולף </w:t>
      </w:r>
      <w:bookmarkStart w:id="33813" w:name="_ETM_Q59_692090"/>
      <w:bookmarkEnd w:id="33813"/>
      <w:r>
        <w:rPr>
          <w:rFonts w:hint="cs"/>
          <w:rtl/>
        </w:rPr>
        <w:t xml:space="preserve">ואני </w:t>
      </w:r>
      <w:bookmarkStart w:id="33814" w:name="_ETM_Q59_692269"/>
      <w:bookmarkEnd w:id="33814"/>
      <w:r>
        <w:rPr>
          <w:rFonts w:hint="cs"/>
          <w:rtl/>
        </w:rPr>
        <w:t xml:space="preserve">אומר </w:t>
      </w:r>
      <w:bookmarkStart w:id="33815" w:name="_ETM_Q59_692510"/>
      <w:bookmarkEnd w:id="33815"/>
      <w:r>
        <w:rPr>
          <w:rFonts w:hint="cs"/>
          <w:rtl/>
        </w:rPr>
        <w:t xml:space="preserve">לו: </w:t>
      </w:r>
      <w:bookmarkStart w:id="33816" w:name="_ETM_Q59_693999"/>
      <w:bookmarkEnd w:id="33816"/>
      <w:r>
        <w:rPr>
          <w:rFonts w:hint="cs"/>
          <w:rtl/>
        </w:rPr>
        <w:t xml:space="preserve">רועי, </w:t>
      </w:r>
      <w:bookmarkStart w:id="33817" w:name="_ETM_Q59_695239"/>
      <w:bookmarkEnd w:id="33817"/>
      <w:r>
        <w:rPr>
          <w:rFonts w:hint="cs"/>
          <w:rtl/>
        </w:rPr>
        <w:t xml:space="preserve">אתה </w:t>
      </w:r>
      <w:bookmarkStart w:id="33818" w:name="_ETM_Q59_695989"/>
      <w:bookmarkEnd w:id="33818"/>
      <w:r>
        <w:rPr>
          <w:rFonts w:hint="cs"/>
          <w:rtl/>
        </w:rPr>
        <w:t xml:space="preserve">בדיוק </w:t>
      </w:r>
      <w:bookmarkStart w:id="33819" w:name="_ETM_Q59_696590"/>
      <w:bookmarkEnd w:id="33819"/>
      <w:r>
        <w:rPr>
          <w:rFonts w:hint="cs"/>
          <w:rtl/>
        </w:rPr>
        <w:t xml:space="preserve">הבן אדם </w:t>
      </w:r>
      <w:bookmarkStart w:id="33820" w:name="_ETM_Q59_697129"/>
      <w:bookmarkEnd w:id="33820"/>
      <w:r>
        <w:rPr>
          <w:rFonts w:hint="cs"/>
          <w:rtl/>
        </w:rPr>
        <w:t xml:space="preserve">שאני </w:t>
      </w:r>
      <w:bookmarkStart w:id="33821" w:name="_ETM_Q59_697400"/>
      <w:bookmarkEnd w:id="33821"/>
      <w:r>
        <w:rPr>
          <w:rFonts w:hint="cs"/>
          <w:rtl/>
        </w:rPr>
        <w:t xml:space="preserve">צריך. </w:t>
      </w:r>
      <w:bookmarkStart w:id="33822" w:name="_ETM_Q59_700040"/>
      <w:bookmarkEnd w:id="33822"/>
      <w:r>
        <w:rPr>
          <w:rFonts w:hint="cs"/>
          <w:rtl/>
        </w:rPr>
        <w:t xml:space="preserve">אני </w:t>
      </w:r>
      <w:bookmarkStart w:id="33823" w:name="_ETM_Q59_700250"/>
      <w:bookmarkEnd w:id="33823"/>
      <w:r>
        <w:rPr>
          <w:rFonts w:hint="cs"/>
          <w:rtl/>
        </w:rPr>
        <w:t xml:space="preserve">יודע </w:t>
      </w:r>
      <w:bookmarkStart w:id="33824" w:name="_ETM_Q59_700850"/>
      <w:bookmarkEnd w:id="33824"/>
      <w:r>
        <w:rPr>
          <w:rFonts w:hint="cs"/>
          <w:rtl/>
        </w:rPr>
        <w:t xml:space="preserve">מי </w:t>
      </w:r>
      <w:bookmarkStart w:id="33825" w:name="_ETM_Q59_701059"/>
      <w:bookmarkEnd w:id="33825"/>
      <w:r>
        <w:rPr>
          <w:rFonts w:hint="cs"/>
          <w:rtl/>
        </w:rPr>
        <w:t xml:space="preserve">אתה, </w:t>
      </w:r>
      <w:bookmarkStart w:id="33826" w:name="_ETM_Q59_701720"/>
      <w:bookmarkEnd w:id="33826"/>
      <w:r>
        <w:rPr>
          <w:rFonts w:hint="cs"/>
          <w:rtl/>
        </w:rPr>
        <w:t xml:space="preserve">אני </w:t>
      </w:r>
      <w:bookmarkStart w:id="33827" w:name="_ETM_Q59_701929"/>
      <w:bookmarkEnd w:id="33827"/>
      <w:r>
        <w:rPr>
          <w:rFonts w:hint="cs"/>
          <w:rtl/>
        </w:rPr>
        <w:t xml:space="preserve">יודע </w:t>
      </w:r>
      <w:bookmarkStart w:id="33828" w:name="_ETM_Q59_702170"/>
      <w:bookmarkEnd w:id="33828"/>
      <w:r>
        <w:rPr>
          <w:rFonts w:hint="cs"/>
          <w:rtl/>
        </w:rPr>
        <w:t xml:space="preserve">מה </w:t>
      </w:r>
      <w:bookmarkStart w:id="33829" w:name="_ETM_Q59_702290"/>
      <w:bookmarkEnd w:id="33829"/>
      <w:r>
        <w:rPr>
          <w:rFonts w:hint="cs"/>
          <w:rtl/>
        </w:rPr>
        <w:t xml:space="preserve">העמדות </w:t>
      </w:r>
      <w:bookmarkStart w:id="33830" w:name="_ETM_Q59_702559"/>
      <w:bookmarkEnd w:id="33830"/>
      <w:r>
        <w:rPr>
          <w:rFonts w:hint="cs"/>
          <w:rtl/>
        </w:rPr>
        <w:t xml:space="preserve">הפוליטיות </w:t>
      </w:r>
      <w:bookmarkStart w:id="33831" w:name="_ETM_Q59_703040"/>
      <w:bookmarkEnd w:id="33831"/>
      <w:r>
        <w:rPr>
          <w:rFonts w:hint="cs"/>
          <w:rtl/>
        </w:rPr>
        <w:t xml:space="preserve">שלך; </w:t>
      </w:r>
      <w:bookmarkStart w:id="33832" w:name="_ETM_Q59_703190"/>
      <w:bookmarkEnd w:id="33832"/>
      <w:r>
        <w:rPr>
          <w:rFonts w:hint="cs"/>
          <w:rtl/>
        </w:rPr>
        <w:t xml:space="preserve">זה </w:t>
      </w:r>
      <w:bookmarkStart w:id="33833" w:name="_ETM_Q59_703340"/>
      <w:bookmarkEnd w:id="33833"/>
      <w:r>
        <w:rPr>
          <w:rFonts w:hint="cs"/>
          <w:rtl/>
        </w:rPr>
        <w:t xml:space="preserve">לא </w:t>
      </w:r>
      <w:bookmarkStart w:id="33834" w:name="_ETM_Q59_703429"/>
      <w:bookmarkEnd w:id="33834"/>
      <w:r>
        <w:rPr>
          <w:rFonts w:hint="cs"/>
          <w:rtl/>
        </w:rPr>
        <w:t xml:space="preserve">מזיז </w:t>
      </w:r>
      <w:bookmarkStart w:id="33835" w:name="_ETM_Q59_703819"/>
      <w:bookmarkEnd w:id="33835"/>
      <w:r>
        <w:rPr>
          <w:rFonts w:hint="cs"/>
          <w:rtl/>
        </w:rPr>
        <w:t xml:space="preserve">לי, </w:t>
      </w:r>
      <w:bookmarkStart w:id="33836" w:name="_ETM_Q59_703910"/>
      <w:bookmarkEnd w:id="33836"/>
      <w:r>
        <w:rPr>
          <w:rFonts w:hint="cs"/>
          <w:rtl/>
        </w:rPr>
        <w:t xml:space="preserve">זה </w:t>
      </w:r>
      <w:bookmarkStart w:id="33837" w:name="_ETM_Q59_704059"/>
      <w:bookmarkEnd w:id="33837"/>
      <w:r>
        <w:rPr>
          <w:rFonts w:hint="cs"/>
          <w:rtl/>
        </w:rPr>
        <w:t xml:space="preserve">לא </w:t>
      </w:r>
      <w:bookmarkStart w:id="33838" w:name="_ETM_Q59_704179"/>
      <w:bookmarkEnd w:id="33838"/>
      <w:r>
        <w:rPr>
          <w:rFonts w:hint="cs"/>
          <w:rtl/>
        </w:rPr>
        <w:t xml:space="preserve">מעניין </w:t>
      </w:r>
      <w:bookmarkStart w:id="33839" w:name="_ETM_Q59_704569"/>
      <w:bookmarkEnd w:id="33839"/>
      <w:r>
        <w:rPr>
          <w:rFonts w:hint="cs"/>
          <w:rtl/>
        </w:rPr>
        <w:t xml:space="preserve">אותי. </w:t>
      </w:r>
      <w:bookmarkStart w:id="33840" w:name="_ETM_Q59_705330"/>
      <w:bookmarkEnd w:id="33840"/>
      <w:r>
        <w:rPr>
          <w:rFonts w:hint="cs"/>
          <w:rtl/>
        </w:rPr>
        <w:t xml:space="preserve">ברגע </w:t>
      </w:r>
      <w:bookmarkStart w:id="33841" w:name="_ETM_Q59_705840"/>
      <w:bookmarkEnd w:id="33841"/>
      <w:r>
        <w:rPr>
          <w:rFonts w:hint="cs"/>
          <w:rtl/>
        </w:rPr>
        <w:t xml:space="preserve">האמת, </w:t>
      </w:r>
      <w:bookmarkStart w:id="33842" w:name="_ETM_Q59_706140"/>
      <w:bookmarkEnd w:id="33842"/>
      <w:r>
        <w:rPr>
          <w:rFonts w:hint="cs"/>
          <w:rtl/>
        </w:rPr>
        <w:t xml:space="preserve">כשצריך, </w:t>
      </w:r>
      <w:bookmarkStart w:id="33843" w:name="_ETM_Q59_706620"/>
      <w:bookmarkEnd w:id="33843"/>
      <w:r>
        <w:rPr>
          <w:rFonts w:hint="cs"/>
          <w:rtl/>
        </w:rPr>
        <w:t xml:space="preserve">אתה </w:t>
      </w:r>
      <w:bookmarkStart w:id="33844" w:name="_ETM_Q59_706770"/>
      <w:bookmarkEnd w:id="33844"/>
      <w:r>
        <w:rPr>
          <w:rFonts w:hint="cs"/>
          <w:rtl/>
        </w:rPr>
        <w:t xml:space="preserve">תלחץ </w:t>
      </w:r>
      <w:bookmarkStart w:id="33845" w:name="_ETM_Q59_707160"/>
      <w:bookmarkEnd w:id="33845"/>
      <w:r>
        <w:rPr>
          <w:rFonts w:hint="cs"/>
          <w:rtl/>
        </w:rPr>
        <w:t xml:space="preserve">על </w:t>
      </w:r>
      <w:bookmarkStart w:id="33846" w:name="_ETM_Q59_707309"/>
      <w:bookmarkEnd w:id="33846"/>
      <w:r>
        <w:rPr>
          <w:rFonts w:hint="cs"/>
          <w:rtl/>
        </w:rPr>
        <w:t xml:space="preserve">ההדק, </w:t>
      </w:r>
      <w:bookmarkStart w:id="33847" w:name="_ETM_Q59_707700"/>
      <w:bookmarkEnd w:id="33847"/>
      <w:r>
        <w:rPr>
          <w:rFonts w:hint="cs"/>
          <w:rtl/>
        </w:rPr>
        <w:t xml:space="preserve">ואתה </w:t>
      </w:r>
      <w:bookmarkStart w:id="33848" w:name="_ETM_Q59_707880"/>
      <w:bookmarkEnd w:id="33848"/>
      <w:r>
        <w:rPr>
          <w:rFonts w:hint="cs"/>
          <w:rtl/>
        </w:rPr>
        <w:t xml:space="preserve">יודע </w:t>
      </w:r>
      <w:bookmarkStart w:id="33849" w:name="_ETM_Q59_708179"/>
      <w:bookmarkEnd w:id="33849"/>
      <w:r>
        <w:rPr>
          <w:rFonts w:hint="cs"/>
          <w:rtl/>
        </w:rPr>
        <w:t xml:space="preserve">מה? </w:t>
      </w:r>
      <w:bookmarkStart w:id="33850" w:name="_ETM_Q59_708690"/>
      <w:bookmarkEnd w:id="33850"/>
      <w:r>
        <w:rPr>
          <w:rFonts w:hint="cs"/>
          <w:rtl/>
        </w:rPr>
        <w:t xml:space="preserve">אם </w:t>
      </w:r>
      <w:bookmarkStart w:id="33851" w:name="_ETM_Q59_708840"/>
      <w:bookmarkEnd w:id="33851"/>
      <w:r>
        <w:rPr>
          <w:rFonts w:hint="cs"/>
          <w:rtl/>
        </w:rPr>
        <w:t xml:space="preserve">חלילה </w:t>
      </w:r>
      <w:bookmarkStart w:id="33852" w:name="_ETM_Q59_709830"/>
      <w:bookmarkEnd w:id="33852"/>
      <w:r>
        <w:rPr>
          <w:rFonts w:hint="cs"/>
          <w:rtl/>
        </w:rPr>
        <w:t xml:space="preserve">אני, </w:t>
      </w:r>
      <w:bookmarkStart w:id="33853" w:name="_ETM_Q59_710099"/>
      <w:bookmarkEnd w:id="33853"/>
      <w:r>
        <w:rPr>
          <w:rFonts w:hint="cs"/>
          <w:rtl/>
        </w:rPr>
        <w:t>קינלי</w:t>
      </w:r>
      <w:bookmarkStart w:id="33854" w:name="_ETM_Q59_710400"/>
      <w:bookmarkStart w:id="33855" w:name="_ETM_Q59_710880"/>
      <w:bookmarkEnd w:id="33854"/>
      <w:bookmarkEnd w:id="33855"/>
      <w:r>
        <w:rPr>
          <w:rFonts w:hint="cs"/>
          <w:rtl/>
        </w:rPr>
        <w:t xml:space="preserve">, אתן </w:t>
      </w:r>
      <w:bookmarkStart w:id="33856" w:name="_ETM_Q59_711120"/>
      <w:bookmarkEnd w:id="33856"/>
      <w:r>
        <w:rPr>
          <w:rFonts w:hint="cs"/>
          <w:rtl/>
        </w:rPr>
        <w:t xml:space="preserve">לך </w:t>
      </w:r>
      <w:bookmarkStart w:id="33857" w:name="_ETM_Q59_711360"/>
      <w:bookmarkEnd w:id="33857"/>
      <w:r>
        <w:rPr>
          <w:rFonts w:hint="cs"/>
          <w:rtl/>
        </w:rPr>
        <w:t xml:space="preserve">פקודה </w:t>
      </w:r>
      <w:bookmarkStart w:id="33858" w:name="_ETM_Q59_711809"/>
      <w:bookmarkEnd w:id="33858"/>
      <w:r>
        <w:rPr>
          <w:rFonts w:hint="cs"/>
          <w:rtl/>
        </w:rPr>
        <w:t xml:space="preserve">לא </w:t>
      </w:r>
      <w:bookmarkStart w:id="33859" w:name="_ETM_Q59_711989"/>
      <w:bookmarkEnd w:id="33859"/>
      <w:r>
        <w:rPr>
          <w:rFonts w:hint="cs"/>
          <w:rtl/>
        </w:rPr>
        <w:t xml:space="preserve">נכונה, </w:t>
      </w:r>
      <w:bookmarkStart w:id="33860" w:name="_ETM_Q59_713099"/>
      <w:bookmarkEnd w:id="33860"/>
      <w:r>
        <w:rPr>
          <w:rFonts w:hint="cs"/>
          <w:rtl/>
        </w:rPr>
        <w:t xml:space="preserve">לא </w:t>
      </w:r>
      <w:bookmarkStart w:id="33861" w:name="_ETM_Q59_713340"/>
      <w:bookmarkEnd w:id="33861"/>
      <w:r>
        <w:rPr>
          <w:rFonts w:hint="cs"/>
          <w:rtl/>
        </w:rPr>
        <w:t xml:space="preserve">חוקית </w:t>
      </w:r>
      <w:bookmarkStart w:id="33862" w:name="_ETM_Q59_713849"/>
      <w:bookmarkEnd w:id="33862"/>
      <w:r>
        <w:rPr>
          <w:rFonts w:hint="cs"/>
          <w:rtl/>
        </w:rPr>
        <w:t xml:space="preserve">בעליל, </w:t>
      </w:r>
      <w:bookmarkStart w:id="33863" w:name="_ETM_Q59_714720"/>
      <w:bookmarkEnd w:id="33863"/>
      <w:r>
        <w:rPr>
          <w:rFonts w:hint="cs"/>
          <w:rtl/>
        </w:rPr>
        <w:t xml:space="preserve">אל </w:t>
      </w:r>
      <w:bookmarkStart w:id="33864" w:name="_ETM_Q59_714959"/>
      <w:bookmarkEnd w:id="33864"/>
      <w:r>
        <w:rPr>
          <w:rFonts w:hint="cs"/>
          <w:rtl/>
        </w:rPr>
        <w:t xml:space="preserve">תירה. </w:t>
      </w:r>
      <w:bookmarkStart w:id="33865" w:name="_ETM_Q59_716040"/>
      <w:bookmarkEnd w:id="33865"/>
      <w:r>
        <w:rPr>
          <w:rFonts w:hint="cs"/>
          <w:rtl/>
        </w:rPr>
        <w:t xml:space="preserve">אני </w:t>
      </w:r>
      <w:bookmarkStart w:id="33866" w:name="_ETM_Q59_716219"/>
      <w:bookmarkEnd w:id="33866"/>
      <w:r>
        <w:rPr>
          <w:rFonts w:hint="cs"/>
          <w:rtl/>
        </w:rPr>
        <w:t xml:space="preserve">מסכם </w:t>
      </w:r>
      <w:bookmarkStart w:id="33867" w:name="_ETM_Q59_716609"/>
      <w:bookmarkEnd w:id="33867"/>
      <w:r>
        <w:rPr>
          <w:rFonts w:hint="cs"/>
          <w:rtl/>
        </w:rPr>
        <w:t xml:space="preserve">איתך </w:t>
      </w:r>
      <w:bookmarkStart w:id="33868" w:name="_ETM_Q59_716849"/>
      <w:bookmarkEnd w:id="33868"/>
      <w:r>
        <w:rPr>
          <w:rFonts w:hint="cs"/>
          <w:rtl/>
        </w:rPr>
        <w:t xml:space="preserve">את </w:t>
      </w:r>
      <w:bookmarkStart w:id="33869" w:name="_ETM_Q59_716939"/>
      <w:bookmarkEnd w:id="33869"/>
      <w:r>
        <w:rPr>
          <w:rFonts w:hint="cs"/>
          <w:rtl/>
        </w:rPr>
        <w:t xml:space="preserve">זה </w:t>
      </w:r>
      <w:bookmarkStart w:id="33870" w:name="_ETM_Q59_717059"/>
      <w:bookmarkEnd w:id="33870"/>
      <w:r>
        <w:rPr>
          <w:rFonts w:hint="cs"/>
          <w:rtl/>
        </w:rPr>
        <w:t xml:space="preserve">מעכשיו. </w:t>
      </w:r>
      <w:bookmarkStart w:id="33871" w:name="_ETM_Q59_719620"/>
      <w:bookmarkEnd w:id="33871"/>
      <w:r>
        <w:rPr>
          <w:rFonts w:hint="cs"/>
          <w:rtl/>
        </w:rPr>
        <w:t xml:space="preserve">רועי </w:t>
      </w:r>
      <w:bookmarkStart w:id="33872" w:name="_ETM_Q59_719890"/>
      <w:bookmarkEnd w:id="33872"/>
      <w:r>
        <w:rPr>
          <w:rFonts w:hint="cs"/>
          <w:rtl/>
        </w:rPr>
        <w:t xml:space="preserve">מופתע </w:t>
      </w:r>
      <w:bookmarkStart w:id="33873" w:name="_ETM_Q59_720280"/>
      <w:bookmarkEnd w:id="33873"/>
      <w:r>
        <w:rPr>
          <w:rFonts w:hint="cs"/>
          <w:rtl/>
        </w:rPr>
        <w:t xml:space="preserve">מהתשובה </w:t>
      </w:r>
      <w:bookmarkStart w:id="33874" w:name="_ETM_Q59_720820"/>
      <w:bookmarkEnd w:id="33874"/>
      <w:r>
        <w:rPr>
          <w:rFonts w:hint="cs"/>
          <w:rtl/>
        </w:rPr>
        <w:t xml:space="preserve">שלי </w:t>
      </w:r>
      <w:bookmarkStart w:id="33875" w:name="_ETM_Q59_724040"/>
      <w:bookmarkEnd w:id="33875"/>
      <w:r>
        <w:rPr>
          <w:rFonts w:hint="cs"/>
          <w:rtl/>
        </w:rPr>
        <w:t xml:space="preserve">והוא </w:t>
      </w:r>
      <w:bookmarkStart w:id="33876" w:name="_ETM_Q59_724250"/>
      <w:bookmarkEnd w:id="33876"/>
      <w:r>
        <w:rPr>
          <w:rFonts w:hint="cs"/>
          <w:rtl/>
        </w:rPr>
        <w:t xml:space="preserve">מסכים, </w:t>
      </w:r>
      <w:bookmarkStart w:id="33877" w:name="_ETM_Q59_726170"/>
      <w:bookmarkEnd w:id="33877"/>
      <w:r>
        <w:rPr>
          <w:rFonts w:hint="cs"/>
          <w:rtl/>
        </w:rPr>
        <w:t xml:space="preserve">ושבוע </w:t>
      </w:r>
      <w:bookmarkStart w:id="33878" w:name="_ETM_Q59_726679"/>
      <w:bookmarkEnd w:id="33878"/>
      <w:r>
        <w:rPr>
          <w:rFonts w:hint="cs"/>
          <w:rtl/>
        </w:rPr>
        <w:t xml:space="preserve">אחרי </w:t>
      </w:r>
      <w:bookmarkStart w:id="33879" w:name="_ETM_Q59_726890"/>
      <w:bookmarkEnd w:id="33879"/>
      <w:r>
        <w:rPr>
          <w:rFonts w:hint="cs"/>
          <w:rtl/>
        </w:rPr>
        <w:t xml:space="preserve">זה </w:t>
      </w:r>
      <w:bookmarkStart w:id="33880" w:name="_ETM_Q59_727040"/>
      <w:bookmarkEnd w:id="33880"/>
      <w:r>
        <w:rPr>
          <w:rFonts w:hint="cs"/>
          <w:rtl/>
        </w:rPr>
        <w:t xml:space="preserve">אנחנו </w:t>
      </w:r>
      <w:bookmarkStart w:id="33881" w:name="_ETM_Q59_727280"/>
      <w:bookmarkEnd w:id="33881"/>
      <w:r>
        <w:rPr>
          <w:rFonts w:hint="cs"/>
          <w:rtl/>
        </w:rPr>
        <w:t xml:space="preserve">מתגייסים. שנת </w:t>
      </w:r>
      <w:bookmarkStart w:id="33882" w:name="_ETM_Q59_729220"/>
      <w:bookmarkEnd w:id="33882"/>
      <w:r>
        <w:rPr>
          <w:rFonts w:hint="cs"/>
          <w:rtl/>
        </w:rPr>
        <w:t xml:space="preserve">2004, </w:t>
      </w:r>
      <w:bookmarkStart w:id="33883" w:name="_ETM_Q59_730750"/>
      <w:bookmarkEnd w:id="33883"/>
      <w:r>
        <w:rPr>
          <w:rFonts w:hint="cs"/>
          <w:rtl/>
        </w:rPr>
        <w:t xml:space="preserve">תעסוקה </w:t>
      </w:r>
      <w:bookmarkStart w:id="33884" w:name="_ETM_Q59_731620"/>
      <w:bookmarkEnd w:id="33884"/>
      <w:r>
        <w:rPr>
          <w:rFonts w:hint="cs"/>
          <w:rtl/>
        </w:rPr>
        <w:t>ב</w:t>
      </w:r>
      <w:bookmarkStart w:id="33885" w:name="_ETM_Q59_731830"/>
      <w:bookmarkEnd w:id="33885"/>
      <w:r>
        <w:rPr>
          <w:rFonts w:hint="cs"/>
          <w:rtl/>
        </w:rPr>
        <w:t xml:space="preserve">נצרים, </w:t>
      </w:r>
      <w:bookmarkStart w:id="33886" w:name="_ETM_Q59_733459"/>
      <w:bookmarkEnd w:id="33886"/>
      <w:r>
        <w:rPr>
          <w:rFonts w:hint="cs"/>
          <w:rtl/>
        </w:rPr>
        <w:t xml:space="preserve">ובאמת </w:t>
      </w:r>
      <w:bookmarkStart w:id="33887" w:name="_ETM_Q59_734150"/>
      <w:bookmarkEnd w:id="33887"/>
      <w:r>
        <w:rPr>
          <w:rFonts w:hint="cs"/>
          <w:rtl/>
        </w:rPr>
        <w:t xml:space="preserve">הפלוגה </w:t>
      </w:r>
      <w:bookmarkStart w:id="33888" w:name="_ETM_Q59_734569"/>
      <w:bookmarkEnd w:id="33888"/>
      <w:r>
        <w:rPr>
          <w:rFonts w:hint="cs"/>
          <w:rtl/>
        </w:rPr>
        <w:t xml:space="preserve">שלי </w:t>
      </w:r>
      <w:bookmarkStart w:id="33889" w:name="_ETM_Q59_735470"/>
      <w:bookmarkEnd w:id="33889"/>
      <w:r>
        <w:rPr>
          <w:rFonts w:hint="cs"/>
          <w:rtl/>
        </w:rPr>
        <w:t xml:space="preserve">– אומנם </w:t>
      </w:r>
      <w:bookmarkStart w:id="33890" w:name="_ETM_Q59_735830"/>
      <w:bookmarkEnd w:id="33890"/>
      <w:r>
        <w:rPr>
          <w:rFonts w:hint="cs"/>
          <w:rtl/>
        </w:rPr>
        <w:t xml:space="preserve">אני </w:t>
      </w:r>
      <w:bookmarkStart w:id="33891" w:name="_ETM_Q59_735980"/>
      <w:bookmarkEnd w:id="33891"/>
      <w:r>
        <w:rPr>
          <w:rFonts w:hint="cs"/>
          <w:rtl/>
        </w:rPr>
        <w:t xml:space="preserve">בדיוק </w:t>
      </w:r>
      <w:bookmarkStart w:id="33892" w:name="_ETM_Q59_736280"/>
      <w:bookmarkEnd w:id="33892"/>
      <w:r>
        <w:rPr>
          <w:rFonts w:hint="cs"/>
          <w:rtl/>
        </w:rPr>
        <w:t xml:space="preserve">הייתי </w:t>
      </w:r>
      <w:bookmarkStart w:id="33893" w:name="_ETM_Q59_736550"/>
      <w:bookmarkEnd w:id="33893"/>
      <w:r>
        <w:rPr>
          <w:rFonts w:hint="cs"/>
          <w:rtl/>
        </w:rPr>
        <w:t xml:space="preserve">במקום </w:t>
      </w:r>
      <w:bookmarkStart w:id="33894" w:name="_ETM_Q59_736970"/>
      <w:bookmarkEnd w:id="33894"/>
      <w:r>
        <w:rPr>
          <w:rFonts w:hint="cs"/>
          <w:rtl/>
        </w:rPr>
        <w:t xml:space="preserve">אחר </w:t>
      </w:r>
      <w:bookmarkStart w:id="33895" w:name="_ETM_Q59_737940"/>
      <w:bookmarkEnd w:id="33895"/>
      <w:r>
        <w:rPr>
          <w:rFonts w:hint="cs"/>
          <w:rtl/>
        </w:rPr>
        <w:t>–</w:t>
      </w:r>
      <w:bookmarkStart w:id="33896" w:name="_ETM_Q59_738330"/>
      <w:bookmarkEnd w:id="33896"/>
      <w:r>
        <w:rPr>
          <w:rFonts w:hint="cs"/>
          <w:rtl/>
        </w:rPr>
        <w:t xml:space="preserve"> נתקלת </w:t>
      </w:r>
      <w:bookmarkStart w:id="33897" w:name="_ETM_Q59_739390"/>
      <w:bookmarkEnd w:id="33897"/>
      <w:r>
        <w:rPr>
          <w:rFonts w:hint="cs"/>
          <w:rtl/>
        </w:rPr>
        <w:t xml:space="preserve">בשני </w:t>
      </w:r>
      <w:bookmarkStart w:id="33898" w:name="_ETM_Q59_739870"/>
      <w:bookmarkEnd w:id="33898"/>
      <w:r>
        <w:rPr>
          <w:rFonts w:hint="cs"/>
          <w:rtl/>
        </w:rPr>
        <w:t xml:space="preserve">מחבלים </w:t>
      </w:r>
      <w:bookmarkStart w:id="33899" w:name="_ETM_Q59_740410"/>
      <w:bookmarkEnd w:id="33899"/>
      <w:r>
        <w:rPr>
          <w:rFonts w:hint="cs"/>
          <w:rtl/>
        </w:rPr>
        <w:t xml:space="preserve">בצומת </w:t>
      </w:r>
      <w:bookmarkStart w:id="33900" w:name="_ETM_Q59_741040"/>
      <w:bookmarkEnd w:id="33900"/>
      <w:r>
        <w:rPr>
          <w:rFonts w:hint="cs"/>
          <w:rtl/>
        </w:rPr>
        <w:t xml:space="preserve">נצרים, </w:t>
      </w:r>
      <w:bookmarkStart w:id="33901" w:name="_ETM_Q59_742000"/>
      <w:bookmarkEnd w:id="33901"/>
      <w:r>
        <w:rPr>
          <w:rFonts w:hint="cs"/>
          <w:rtl/>
        </w:rPr>
        <w:t xml:space="preserve">מי </w:t>
      </w:r>
      <w:bookmarkStart w:id="33902" w:name="_ETM_Q59_742179"/>
      <w:bookmarkEnd w:id="33902"/>
      <w:r>
        <w:rPr>
          <w:rFonts w:hint="cs"/>
          <w:rtl/>
        </w:rPr>
        <w:t>שמכיר</w:t>
      </w:r>
      <w:bookmarkStart w:id="33903" w:name="_ETM_Q59_743170"/>
      <w:bookmarkEnd w:id="33903"/>
      <w:r>
        <w:rPr>
          <w:rFonts w:hint="cs"/>
          <w:rtl/>
        </w:rPr>
        <w:t xml:space="preserve">, על </w:t>
      </w:r>
      <w:bookmarkStart w:id="33904" w:name="_ETM_Q59_743350"/>
      <w:bookmarkEnd w:id="33904"/>
      <w:r>
        <w:rPr>
          <w:rFonts w:hint="cs"/>
          <w:rtl/>
        </w:rPr>
        <w:t xml:space="preserve">ציר </w:t>
      </w:r>
      <w:bookmarkStart w:id="33905" w:name="_ETM_Q59_743620"/>
      <w:bookmarkEnd w:id="33905"/>
      <w:r>
        <w:rPr>
          <w:rFonts w:hint="cs"/>
          <w:rtl/>
        </w:rPr>
        <w:t xml:space="preserve">טנצ'ר, </w:t>
      </w:r>
      <w:bookmarkStart w:id="33906" w:name="_ETM_Q59_744999"/>
      <w:bookmarkEnd w:id="33906"/>
      <w:r>
        <w:rPr>
          <w:rFonts w:hint="cs"/>
          <w:rtl/>
        </w:rPr>
        <w:t>ו</w:t>
      </w:r>
      <w:bookmarkStart w:id="33907" w:name="_ETM_Q59_745590"/>
      <w:bookmarkStart w:id="33908" w:name="_ETM_Q59_745800"/>
      <w:bookmarkEnd w:id="33907"/>
      <w:bookmarkEnd w:id="33908"/>
      <w:r>
        <w:rPr>
          <w:rFonts w:hint="cs"/>
          <w:rtl/>
        </w:rPr>
        <w:t xml:space="preserve">הורגת </w:t>
      </w:r>
      <w:bookmarkStart w:id="33909" w:name="_ETM_Q59_746070"/>
      <w:bookmarkEnd w:id="33909"/>
      <w:r>
        <w:rPr>
          <w:rFonts w:hint="cs"/>
          <w:rtl/>
        </w:rPr>
        <w:t xml:space="preserve">שני </w:t>
      </w:r>
      <w:bookmarkStart w:id="33910" w:name="_ETM_Q59_746250"/>
      <w:bookmarkEnd w:id="33910"/>
      <w:r>
        <w:rPr>
          <w:rFonts w:hint="cs"/>
          <w:rtl/>
        </w:rPr>
        <w:t xml:space="preserve">מחבלים </w:t>
      </w:r>
      <w:bookmarkStart w:id="33911" w:name="_ETM_Q59_746669"/>
      <w:bookmarkEnd w:id="33911"/>
      <w:r>
        <w:rPr>
          <w:rFonts w:hint="cs"/>
          <w:rtl/>
        </w:rPr>
        <w:t xml:space="preserve">בהיתקלות, </w:t>
      </w:r>
      <w:bookmarkStart w:id="33912" w:name="_ETM_Q59_749970"/>
      <w:bookmarkEnd w:id="33912"/>
      <w:r>
        <w:rPr>
          <w:rFonts w:hint="cs"/>
          <w:rtl/>
        </w:rPr>
        <w:t xml:space="preserve">ועומדת </w:t>
      </w:r>
      <w:bookmarkStart w:id="33913" w:name="_ETM_Q59_751729"/>
      <w:bookmarkEnd w:id="33913"/>
      <w:r>
        <w:rPr>
          <w:rFonts w:hint="cs"/>
          <w:rtl/>
        </w:rPr>
        <w:t xml:space="preserve">בעוד </w:t>
      </w:r>
      <w:bookmarkStart w:id="33914" w:name="_ETM_Q59_751970"/>
      <w:bookmarkEnd w:id="33914"/>
      <w:r>
        <w:rPr>
          <w:rFonts w:hint="cs"/>
          <w:rtl/>
        </w:rPr>
        <w:t xml:space="preserve">כמה </w:t>
      </w:r>
      <w:bookmarkStart w:id="33915" w:name="_ETM_Q59_752389"/>
      <w:bookmarkEnd w:id="33915"/>
      <w:r>
        <w:rPr>
          <w:rFonts w:hint="cs"/>
          <w:rtl/>
        </w:rPr>
        <w:t xml:space="preserve">ניסיונות, </w:t>
      </w:r>
      <w:bookmarkStart w:id="33916" w:name="_ETM_Q59_753679"/>
      <w:bookmarkEnd w:id="33916"/>
      <w:r>
        <w:rPr>
          <w:rFonts w:hint="cs"/>
          <w:rtl/>
        </w:rPr>
        <w:t xml:space="preserve">ועומדת </w:t>
      </w:r>
      <w:bookmarkStart w:id="33917" w:name="_ETM_Q59_754160"/>
      <w:bookmarkEnd w:id="33917"/>
      <w:r>
        <w:rPr>
          <w:rFonts w:hint="cs"/>
          <w:rtl/>
        </w:rPr>
        <w:t xml:space="preserve">בהם </w:t>
      </w:r>
      <w:bookmarkStart w:id="33918" w:name="_ETM_Q59_754400"/>
      <w:bookmarkEnd w:id="33918"/>
      <w:r>
        <w:rPr>
          <w:rFonts w:hint="cs"/>
          <w:rtl/>
        </w:rPr>
        <w:t xml:space="preserve">יפה. </w:t>
      </w:r>
      <w:bookmarkStart w:id="33919" w:name="_ETM_Q59_755309"/>
      <w:bookmarkEnd w:id="33919"/>
      <w:r>
        <w:rPr>
          <w:rFonts w:hint="cs"/>
          <w:rtl/>
        </w:rPr>
        <w:t xml:space="preserve">והלכידות </w:t>
      </w:r>
      <w:bookmarkStart w:id="33920" w:name="_ETM_Q59_756330"/>
      <w:bookmarkEnd w:id="33920"/>
      <w:r>
        <w:rPr>
          <w:rFonts w:hint="cs"/>
          <w:rtl/>
        </w:rPr>
        <w:t xml:space="preserve">מחזיקה, </w:t>
      </w:r>
      <w:bookmarkStart w:id="33921" w:name="_ETM_Q59_757470"/>
      <w:bookmarkEnd w:id="33921"/>
      <w:r>
        <w:rPr>
          <w:rFonts w:hint="cs"/>
          <w:rtl/>
        </w:rPr>
        <w:t xml:space="preserve">והדעות </w:t>
      </w:r>
      <w:bookmarkStart w:id="33922" w:name="_ETM_Q59_758010"/>
      <w:bookmarkEnd w:id="33922"/>
      <w:r>
        <w:rPr>
          <w:rFonts w:hint="cs"/>
          <w:rtl/>
        </w:rPr>
        <w:t xml:space="preserve">הפוליטיות </w:t>
      </w:r>
      <w:bookmarkStart w:id="33923" w:name="_ETM_Q59_758550"/>
      <w:bookmarkEnd w:id="33923"/>
      <w:r>
        <w:rPr>
          <w:rFonts w:hint="cs"/>
          <w:rtl/>
        </w:rPr>
        <w:t>הש</w:t>
      </w:r>
      <w:bookmarkStart w:id="33924" w:name="_ETM_Q59_759120"/>
      <w:bookmarkEnd w:id="33924"/>
      <w:r>
        <w:rPr>
          <w:rFonts w:hint="cs"/>
          <w:rtl/>
        </w:rPr>
        <w:t xml:space="preserve">ונות </w:t>
      </w:r>
      <w:bookmarkStart w:id="33925" w:name="_ETM_Q59_759660"/>
      <w:bookmarkEnd w:id="33925"/>
      <w:r>
        <w:rPr>
          <w:rFonts w:hint="cs"/>
          <w:rtl/>
        </w:rPr>
        <w:t xml:space="preserve">ובמחלוקת </w:t>
      </w:r>
      <w:bookmarkStart w:id="33926" w:name="_ETM_Q59_760350"/>
      <w:bookmarkEnd w:id="33926"/>
      <w:r>
        <w:rPr>
          <w:rFonts w:hint="cs"/>
          <w:rtl/>
        </w:rPr>
        <w:t xml:space="preserve">מחזיקות, </w:t>
      </w:r>
      <w:bookmarkStart w:id="33927" w:name="_ETM_Q59_762130"/>
      <w:bookmarkEnd w:id="33927"/>
      <w:r>
        <w:rPr>
          <w:rFonts w:hint="cs"/>
          <w:rtl/>
        </w:rPr>
        <w:t>ו</w:t>
      </w:r>
      <w:bookmarkStart w:id="33928" w:name="_ETM_Q59_762340"/>
      <w:bookmarkEnd w:id="33928"/>
      <w:r>
        <w:rPr>
          <w:rFonts w:hint="cs"/>
          <w:rtl/>
        </w:rPr>
        <w:t xml:space="preserve">"איש </w:t>
      </w:r>
      <w:bookmarkStart w:id="33929" w:name="_ETM_Q59_762520"/>
      <w:bookmarkEnd w:id="33929"/>
      <w:r>
        <w:rPr>
          <w:rFonts w:hint="cs"/>
          <w:rtl/>
        </w:rPr>
        <w:t xml:space="preserve">את רעהו </w:t>
      </w:r>
      <w:bookmarkStart w:id="33930" w:name="_ETM_Q59_762910"/>
      <w:bookmarkEnd w:id="33930"/>
      <w:r>
        <w:rPr>
          <w:rFonts w:hint="cs"/>
          <w:rtl/>
        </w:rPr>
        <w:t xml:space="preserve">יעזֹרו </w:t>
      </w:r>
      <w:bookmarkStart w:id="33931" w:name="_ETM_Q59_763419"/>
      <w:bookmarkEnd w:id="33931"/>
      <w:r>
        <w:rPr>
          <w:rFonts w:hint="cs"/>
          <w:rtl/>
        </w:rPr>
        <w:t xml:space="preserve">ולאחיו </w:t>
      </w:r>
      <w:bookmarkStart w:id="33932" w:name="_ETM_Q59_763900"/>
      <w:bookmarkEnd w:id="33932"/>
      <w:r>
        <w:rPr>
          <w:rFonts w:hint="cs"/>
          <w:rtl/>
        </w:rPr>
        <w:t xml:space="preserve">יאמר </w:t>
      </w:r>
      <w:bookmarkStart w:id="33933" w:name="_ETM_Q59_764169"/>
      <w:bookmarkEnd w:id="33933"/>
      <w:r>
        <w:rPr>
          <w:rFonts w:hint="cs"/>
          <w:rtl/>
        </w:rPr>
        <w:t>חזק".</w:t>
      </w:r>
    </w:p>
    <w:p w:rsidR="00BB59CD" w:rsidRDefault="00BB59CD" w:rsidP="00BB59CD">
      <w:pPr>
        <w:rPr>
          <w:rtl/>
        </w:rPr>
      </w:pPr>
      <w:bookmarkStart w:id="33934" w:name="_ETM_Q59_767649"/>
      <w:bookmarkStart w:id="33935" w:name="_ETM_Q59_767828"/>
      <w:bookmarkEnd w:id="33934"/>
      <w:bookmarkEnd w:id="33935"/>
    </w:p>
    <w:p w:rsidR="00BB59CD" w:rsidRDefault="00BB59CD" w:rsidP="00BB59CD">
      <w:pPr>
        <w:rPr>
          <w:rtl/>
          <w:lang w:eastAsia="he-IL"/>
        </w:rPr>
      </w:pPr>
      <w:bookmarkStart w:id="33936" w:name="TOR_Q60"/>
      <w:bookmarkEnd w:id="33936"/>
      <w:r>
        <w:rPr>
          <w:rFonts w:hint="cs"/>
          <w:rtl/>
          <w:lang w:eastAsia="he-IL"/>
        </w:rPr>
        <w:t>עוברת שנה, היציאה מרצועת עזה – הגירוש, ההתנתקות, תקראו לזה מה שאתם חושבים – שב</w:t>
      </w:r>
      <w:r w:rsidR="00B404F9">
        <w:rPr>
          <w:rFonts w:hint="cs"/>
          <w:rtl/>
          <w:lang w:eastAsia="he-IL"/>
        </w:rPr>
        <w:t>וע בדיוק אחרי היציאה מרצועת עזה</w:t>
      </w:r>
      <w:r>
        <w:rPr>
          <w:rFonts w:hint="cs"/>
          <w:rtl/>
          <w:lang w:eastAsia="he-IL"/>
        </w:rPr>
        <w:t xml:space="preserve"> הגדוד שלי נקרא שוב למילואים. הסתיימה היציאה מרצועת עזה, 8,000 מתיישבים נעקרו מבתיהם, קרע נורא בעם ואנחנו בשטחי ההתארגנות בבא"פ דרום, ליד צאלים. </w:t>
      </w:r>
      <w:bookmarkStart w:id="33937" w:name="_ETM_Q60_195000"/>
      <w:bookmarkEnd w:id="33937"/>
      <w:r>
        <w:rPr>
          <w:rFonts w:hint="cs"/>
          <w:rtl/>
          <w:lang w:eastAsia="he-IL"/>
        </w:rPr>
        <w:t>ואליי מגיע יהושע, ויהושע הוא תלמיד לדיינות, ויהושע</w:t>
      </w:r>
      <w:bookmarkStart w:id="33938" w:name="_ETM_Q60_202000"/>
      <w:bookmarkEnd w:id="33938"/>
      <w:r>
        <w:rPr>
          <w:rFonts w:hint="cs"/>
          <w:rtl/>
          <w:lang w:eastAsia="he-IL"/>
        </w:rPr>
        <w:t xml:space="preserve"> אומר לי: קינלי, אני לא יכול לבוא למילואים. אני אומר לו: למה, יהושע? הוא אומר לי: </w:t>
      </w:r>
      <w:bookmarkStart w:id="33939" w:name="_ETM_Q60_210000"/>
      <w:bookmarkEnd w:id="33939"/>
      <w:r>
        <w:rPr>
          <w:rFonts w:hint="cs"/>
          <w:rtl/>
          <w:lang w:eastAsia="he-IL"/>
        </w:rPr>
        <w:t xml:space="preserve">קינלי, בשבוע שעבר אני נעקרתי יחד עם המשפחה שלי. </w:t>
      </w:r>
      <w:bookmarkStart w:id="33940" w:name="_ETM_Q60_214000"/>
      <w:bookmarkEnd w:id="33940"/>
      <w:r>
        <w:rPr>
          <w:rFonts w:hint="cs"/>
          <w:rtl/>
          <w:lang w:eastAsia="he-IL"/>
        </w:rPr>
        <w:t xml:space="preserve">לא אני אישית, אח שלי נעקר מגוש קטיף. אני לא יכול לבוא, זה הורג אותי, אני לא יכול לשרת יותר, אני לא יכול </w:t>
      </w:r>
      <w:bookmarkStart w:id="33941" w:name="_ETM_Q60_224000"/>
      <w:bookmarkEnd w:id="33941"/>
      <w:r>
        <w:rPr>
          <w:rFonts w:hint="cs"/>
          <w:rtl/>
          <w:lang w:eastAsia="he-IL"/>
        </w:rPr>
        <w:t xml:space="preserve">לשים את המדים האלה. ואני אומר לו: יהושע, תקשיב, אני לא רוצה לאבד אותך, </w:t>
      </w:r>
      <w:bookmarkStart w:id="33942" w:name="_ETM_Q60_227000"/>
      <w:bookmarkEnd w:id="33942"/>
      <w:r>
        <w:rPr>
          <w:rFonts w:hint="cs"/>
          <w:rtl/>
          <w:lang w:eastAsia="he-IL"/>
        </w:rPr>
        <w:t xml:space="preserve">אני מבין שקשה לך. הוא אומר לי: קינלי, אני לא יכול לבוא. ואז אני מספר לו על רועי, איך שנה </w:t>
      </w:r>
      <w:bookmarkStart w:id="33943" w:name="_ETM_Q60_237000"/>
      <w:bookmarkEnd w:id="33943"/>
      <w:r>
        <w:rPr>
          <w:rFonts w:hint="cs"/>
          <w:rtl/>
          <w:lang w:eastAsia="he-IL"/>
        </w:rPr>
        <w:t xml:space="preserve">קודם רועי יצא וויתר על מה שהוא מאמין בו והגיע לקו בגוש קטיף – לא רחוק משם, זה נצרים וזה היה </w:t>
      </w:r>
      <w:bookmarkStart w:id="33944" w:name="_ETM_Q60_248000"/>
      <w:bookmarkEnd w:id="33944"/>
      <w:r>
        <w:rPr>
          <w:rFonts w:hint="cs"/>
          <w:rtl/>
          <w:lang w:eastAsia="he-IL"/>
        </w:rPr>
        <w:t>בדרום הרצועה – ועשה את זה. ויהושע אמר לי: שמע</w:t>
      </w:r>
      <w:r w:rsidR="00B404F9">
        <w:rPr>
          <w:rFonts w:hint="cs"/>
          <w:rtl/>
          <w:lang w:eastAsia="he-IL"/>
        </w:rPr>
        <w:t>,</w:t>
      </w:r>
      <w:r>
        <w:rPr>
          <w:rFonts w:hint="cs"/>
          <w:rtl/>
          <w:lang w:eastAsia="he-IL"/>
        </w:rPr>
        <w:t xml:space="preserve"> קינלי, </w:t>
      </w:r>
      <w:bookmarkStart w:id="33945" w:name="_ETM_Q60_251000"/>
      <w:bookmarkEnd w:id="33945"/>
      <w:r>
        <w:rPr>
          <w:rFonts w:hint="cs"/>
          <w:rtl/>
          <w:lang w:eastAsia="he-IL"/>
        </w:rPr>
        <w:t xml:space="preserve">אני אומר לך את האמת, אני לא יכול. בוא נסכם, אתה תכיל אותי – אלה היו המילים שלו – הפעם </w:t>
      </w:r>
      <w:bookmarkStart w:id="33946" w:name="_ETM_Q60_261000"/>
      <w:bookmarkEnd w:id="33946"/>
      <w:r>
        <w:rPr>
          <w:rFonts w:hint="cs"/>
          <w:rtl/>
          <w:lang w:eastAsia="he-IL"/>
        </w:rPr>
        <w:t xml:space="preserve">אני לא אבוא ובפעם הבאה, בעזרת השם, אני אגיע. זה </w:t>
      </w:r>
      <w:bookmarkStart w:id="33947" w:name="_ETM_Q60_265000"/>
      <w:bookmarkEnd w:id="33947"/>
      <w:r>
        <w:rPr>
          <w:rFonts w:hint="cs"/>
          <w:rtl/>
          <w:lang w:eastAsia="he-IL"/>
        </w:rPr>
        <w:t xml:space="preserve">מה שהיה. הוא לא הגיע בפעם הזו למילואים, לצערי הרב, והשתדלתי להשאיר אותו במסגרת. אני חושב שלפעמים </w:t>
      </w:r>
      <w:bookmarkStart w:id="33948" w:name="_ETM_Q60_271000"/>
      <w:bookmarkEnd w:id="33948"/>
      <w:r>
        <w:rPr>
          <w:rFonts w:hint="cs"/>
          <w:rtl/>
          <w:lang w:eastAsia="he-IL"/>
        </w:rPr>
        <w:t xml:space="preserve">גם זו חוכמה של מפקדים, לא להביא את החייל אל </w:t>
      </w:r>
      <w:bookmarkStart w:id="33949" w:name="_ETM_Q60_275000"/>
      <w:bookmarkEnd w:id="33949"/>
      <w:r>
        <w:rPr>
          <w:rFonts w:hint="cs"/>
          <w:rtl/>
          <w:lang w:eastAsia="he-IL"/>
        </w:rPr>
        <w:t xml:space="preserve">הקצה. יש נסיבות קשות, זה לא הפך לדגל, לא קראתי </w:t>
      </w:r>
      <w:bookmarkStart w:id="33950" w:name="_ETM_Q60_283000"/>
      <w:bookmarkEnd w:id="33950"/>
      <w:r>
        <w:rPr>
          <w:rFonts w:hint="cs"/>
          <w:rtl/>
          <w:lang w:eastAsia="he-IL"/>
        </w:rPr>
        <w:t xml:space="preserve">לזה סרבן, השתדלתי להשאיר אותו. הצטערתי על ההחלטה שלו, אבל אני חושב שעשיתי </w:t>
      </w:r>
      <w:bookmarkStart w:id="33951" w:name="_ETM_Q60_291000"/>
      <w:bookmarkEnd w:id="33951"/>
      <w:r>
        <w:rPr>
          <w:rFonts w:hint="cs"/>
          <w:rtl/>
          <w:lang w:eastAsia="he-IL"/>
        </w:rPr>
        <w:t>גם אז את הדבר הנכון, הייתי חוזר על זה גם</w:t>
      </w:r>
      <w:bookmarkStart w:id="33952" w:name="_ETM_Q60_295000"/>
      <w:bookmarkEnd w:id="33952"/>
      <w:r>
        <w:rPr>
          <w:rFonts w:hint="cs"/>
          <w:rtl/>
          <w:lang w:eastAsia="he-IL"/>
        </w:rPr>
        <w:t xml:space="preserve"> היום.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חבריי חברי הכנסת וכל האנשים הטובים, אלה שמפגינים עכשיו ברחוב קפלן בתל אביב ואלה שמקיפים עכשיו את הכנסת בירושלים. הייתי לפני כמה דקות </w:t>
      </w:r>
      <w:bookmarkStart w:id="33953" w:name="_ETM_Q60_309000"/>
      <w:bookmarkEnd w:id="33953"/>
      <w:r>
        <w:rPr>
          <w:rFonts w:hint="cs"/>
          <w:rtl/>
          <w:lang w:eastAsia="he-IL"/>
        </w:rPr>
        <w:t xml:space="preserve">עם מאות אלפים פה בחוץ, בגן סאקר, בקפלן ירושלים, בכל מקום, אני רוצה לומר לכם משהו. יש לי עמדה, אני לא מהאו"ם, אני חושב שעילת הסבירות היא דבר נורא, אני חושב שהיא פוגעת בדמוקרטיה הישראלית, אני חושב שהיא תהפוך אותה למדינה הרבה פחות טובה. אני אצטט רק אדם אחד שהגיע לוועדת חוקה, אבל הדברים שלו צדו את </w:t>
      </w:r>
      <w:bookmarkStart w:id="33954" w:name="_ETM_Q60_333000"/>
      <w:bookmarkEnd w:id="33954"/>
      <w:r>
        <w:rPr>
          <w:rFonts w:hint="cs"/>
          <w:rtl/>
          <w:lang w:eastAsia="he-IL"/>
        </w:rPr>
        <w:t xml:space="preserve">אוזני, אוריאל לין, היה יו"ר ועדת </w:t>
      </w:r>
      <w:r w:rsidR="00B404F9">
        <w:rPr>
          <w:rFonts w:hint="cs"/>
          <w:rtl/>
          <w:lang w:eastAsia="he-IL"/>
        </w:rPr>
        <w:t>ה</w:t>
      </w:r>
      <w:r>
        <w:rPr>
          <w:rFonts w:hint="cs"/>
          <w:rtl/>
          <w:lang w:eastAsia="he-IL"/>
        </w:rPr>
        <w:t xml:space="preserve">חוקה בכנסת התשיעית. הוא שאל את שמחה רוטמן, יו"ר הוועדה, שאלה פשוטה: האם </w:t>
      </w:r>
      <w:bookmarkStart w:id="33955" w:name="_ETM_Q60_344000"/>
      <w:bookmarkEnd w:id="33955"/>
      <w:r>
        <w:rPr>
          <w:rFonts w:hint="cs"/>
          <w:rtl/>
          <w:lang w:eastAsia="he-IL"/>
        </w:rPr>
        <w:t xml:space="preserve">אחרי עילת הסבירות, אחרי הביטול שלה, אנחנו נהיה מדינה יותר טובה </w:t>
      </w:r>
      <w:bookmarkStart w:id="33956" w:name="_ETM_Q60_343000"/>
      <w:bookmarkEnd w:id="33956"/>
      <w:r>
        <w:rPr>
          <w:rFonts w:hint="cs"/>
          <w:rtl/>
          <w:lang w:eastAsia="he-IL"/>
        </w:rPr>
        <w:t xml:space="preserve">או פחות טובה? הוא אמר, אני </w:t>
      </w:r>
      <w:bookmarkStart w:id="33957" w:name="_ETM_Q60_349000"/>
      <w:bookmarkEnd w:id="33957"/>
      <w:r>
        <w:rPr>
          <w:rFonts w:hint="cs"/>
          <w:rtl/>
          <w:lang w:eastAsia="he-IL"/>
        </w:rPr>
        <w:t xml:space="preserve">חושב שפחות טובה. כך אמר אוריאל לין. אני מסכים איתו. </w:t>
      </w:r>
    </w:p>
    <w:p w:rsidR="00BB59CD" w:rsidRDefault="00BB59CD" w:rsidP="00BB59CD">
      <w:pPr>
        <w:rPr>
          <w:rtl/>
          <w:lang w:eastAsia="he-IL"/>
        </w:rPr>
      </w:pPr>
      <w:bookmarkStart w:id="33958" w:name="_ETM_Q60_353000"/>
      <w:bookmarkEnd w:id="33958"/>
    </w:p>
    <w:p w:rsidR="00BB59CD" w:rsidRDefault="00BB59CD" w:rsidP="00BB59CD">
      <w:pPr>
        <w:rPr>
          <w:rtl/>
          <w:lang w:eastAsia="he-IL"/>
        </w:rPr>
      </w:pPr>
      <w:r>
        <w:rPr>
          <w:rFonts w:hint="cs"/>
          <w:rtl/>
          <w:lang w:eastAsia="he-IL"/>
        </w:rPr>
        <w:t xml:space="preserve">אנחנו בערב תשעה באב, ואני קורא להם </w:t>
      </w:r>
      <w:r w:rsidR="00B404F9">
        <w:rPr>
          <w:rFonts w:hint="cs"/>
          <w:rtl/>
          <w:lang w:eastAsia="he-IL"/>
        </w:rPr>
        <w:t>"</w:t>
      </w:r>
      <w:r>
        <w:rPr>
          <w:rFonts w:hint="cs"/>
          <w:rtl/>
          <w:lang w:eastAsia="he-IL"/>
        </w:rPr>
        <w:t>אחים שלי</w:t>
      </w:r>
      <w:r w:rsidR="00B404F9">
        <w:rPr>
          <w:rFonts w:hint="cs"/>
          <w:rtl/>
          <w:lang w:eastAsia="he-IL"/>
        </w:rPr>
        <w:t>"</w:t>
      </w:r>
      <w:r>
        <w:rPr>
          <w:rFonts w:hint="cs"/>
          <w:rtl/>
          <w:lang w:eastAsia="he-IL"/>
        </w:rPr>
        <w:t xml:space="preserve">. יש לי אמונה, יש לי דרך. עכשיו זה הזמן לפשרות. היום ראש האופוזיציה יאיר לפיד דיבר על מתווה מסוים לפשרה, ייתכנו גם </w:t>
      </w:r>
      <w:bookmarkStart w:id="33959" w:name="_ETM_Q60_367000"/>
      <w:bookmarkEnd w:id="33959"/>
      <w:r>
        <w:rPr>
          <w:rFonts w:hint="cs"/>
          <w:rtl/>
          <w:lang w:eastAsia="he-IL"/>
        </w:rPr>
        <w:t xml:space="preserve">מתווים אחרים. אנחנו לא מוותרים על העקרונות שלנו, אנחנו לא מוותרים על הדרך שלנו, </w:t>
      </w:r>
      <w:bookmarkStart w:id="33960" w:name="_ETM_Q60_372000"/>
      <w:bookmarkEnd w:id="33960"/>
      <w:r>
        <w:rPr>
          <w:rFonts w:hint="cs"/>
          <w:rtl/>
          <w:lang w:eastAsia="he-IL"/>
        </w:rPr>
        <w:t xml:space="preserve">אבל ידנו מושטת לפשרה. היא הייתה מושטת בבית הנשיא והיא מושטת </w:t>
      </w:r>
      <w:bookmarkStart w:id="33961" w:name="_ETM_Q60_378000"/>
      <w:bookmarkEnd w:id="33961"/>
      <w:r>
        <w:rPr>
          <w:rFonts w:hint="cs"/>
          <w:rtl/>
          <w:lang w:eastAsia="he-IL"/>
        </w:rPr>
        <w:t>גם היום. חקיקה חד-צדדית היא אפשרית בתוך הדמוקרטיה, אבל היא עוול. חז"ל קראו לזה בלשונם "נבל ברשות התורה"</w:t>
      </w:r>
      <w:bookmarkStart w:id="33962" w:name="_ETM_Q60_391864"/>
      <w:bookmarkStart w:id="33963" w:name="_ETM_Q60_392020"/>
      <w:bookmarkEnd w:id="33962"/>
      <w:bookmarkEnd w:id="33963"/>
      <w:r>
        <w:rPr>
          <w:rFonts w:hint="cs"/>
          <w:rtl/>
          <w:lang w:eastAsia="he-IL"/>
        </w:rPr>
        <w:t xml:space="preserve">. אפשר להיות נבל ברשות הדמוקרטיה. </w:t>
      </w:r>
      <w:bookmarkStart w:id="33964" w:name="_ETM_Q60_394000"/>
      <w:bookmarkEnd w:id="33964"/>
      <w:r>
        <w:rPr>
          <w:rFonts w:hint="cs"/>
          <w:rtl/>
          <w:lang w:eastAsia="he-IL"/>
        </w:rPr>
        <w:t>אפשר לעשות מעשה נבלה</w:t>
      </w:r>
      <w:r w:rsidR="00B404F9">
        <w:rPr>
          <w:rFonts w:hint="cs"/>
          <w:rtl/>
          <w:lang w:eastAsia="he-IL"/>
        </w:rPr>
        <w:t>,</w:t>
      </w:r>
      <w:r>
        <w:rPr>
          <w:rFonts w:hint="cs"/>
          <w:rtl/>
          <w:lang w:eastAsia="he-IL"/>
        </w:rPr>
        <w:t xml:space="preserve"> והוא </w:t>
      </w:r>
      <w:r w:rsidR="00B404F9">
        <w:rPr>
          <w:rFonts w:hint="cs"/>
          <w:rtl/>
          <w:lang w:eastAsia="he-IL"/>
        </w:rPr>
        <w:t xml:space="preserve">מותר, הוא חוקי, הוא אפילו עונה על </w:t>
      </w:r>
      <w:r>
        <w:rPr>
          <w:rFonts w:hint="cs"/>
          <w:rtl/>
          <w:lang w:eastAsia="he-IL"/>
        </w:rPr>
        <w:t>קריטריונים דמוקרטיים. אבל אם הוא קורע את העם</w:t>
      </w:r>
      <w:r w:rsidR="00B404F9">
        <w:rPr>
          <w:rFonts w:hint="cs"/>
          <w:rtl/>
          <w:lang w:eastAsia="he-IL"/>
        </w:rPr>
        <w:t>,</w:t>
      </w:r>
      <w:r>
        <w:rPr>
          <w:rFonts w:hint="cs"/>
          <w:rtl/>
          <w:lang w:eastAsia="he-IL"/>
        </w:rPr>
        <w:t xml:space="preserve"> הוא מעשה נבלה. ואני אומר </w:t>
      </w:r>
      <w:bookmarkStart w:id="33965" w:name="_ETM_Q60_409000"/>
      <w:bookmarkEnd w:id="33965"/>
      <w:r>
        <w:rPr>
          <w:rFonts w:hint="cs"/>
          <w:rtl/>
          <w:lang w:eastAsia="he-IL"/>
        </w:rPr>
        <w:t>כאן בצורה הכי ברורה, העברת החקיקה שלא בהסכמה</w:t>
      </w:r>
      <w:r w:rsidR="00B404F9">
        <w:rPr>
          <w:rFonts w:hint="cs"/>
          <w:rtl/>
          <w:lang w:eastAsia="he-IL"/>
        </w:rPr>
        <w:t>,</w:t>
      </w:r>
      <w:r>
        <w:rPr>
          <w:rFonts w:hint="cs"/>
          <w:rtl/>
          <w:lang w:eastAsia="he-IL"/>
        </w:rPr>
        <w:t xml:space="preserve"> באופן חד</w:t>
      </w:r>
      <w:bookmarkStart w:id="33966" w:name="_ETM_Q60_415000"/>
      <w:bookmarkEnd w:id="33966"/>
      <w:r w:rsidR="00B404F9">
        <w:rPr>
          <w:rFonts w:hint="cs"/>
          <w:rtl/>
          <w:lang w:eastAsia="he-IL"/>
        </w:rPr>
        <w:t xml:space="preserve">-צדדי, </w:t>
      </w:r>
      <w:r>
        <w:rPr>
          <w:rFonts w:hint="cs"/>
          <w:rtl/>
          <w:lang w:eastAsia="he-IL"/>
        </w:rPr>
        <w:t xml:space="preserve">במלואה, היא מעשה נבלה, היא מעשה שלא ייעשה. הוא אפשרי דמוקרטית. הוא רע חברתית, הוא רע משפטית, הוא רע לאומית. ואתם יודעים מה, </w:t>
      </w:r>
      <w:bookmarkStart w:id="33967" w:name="_ETM_Q60_429000"/>
      <w:bookmarkEnd w:id="33967"/>
      <w:r>
        <w:rPr>
          <w:rFonts w:hint="cs"/>
          <w:rtl/>
          <w:lang w:eastAsia="he-IL"/>
        </w:rPr>
        <w:t xml:space="preserve">אני לא יודע אם תכננתם את </w:t>
      </w:r>
      <w:bookmarkStart w:id="33968" w:name="_ETM_Q60_428000"/>
      <w:bookmarkEnd w:id="33968"/>
      <w:r w:rsidR="00B404F9">
        <w:rPr>
          <w:rFonts w:hint="cs"/>
          <w:rtl/>
          <w:lang w:eastAsia="he-IL"/>
        </w:rPr>
        <w:t>זה</w:t>
      </w:r>
      <w:r>
        <w:rPr>
          <w:rFonts w:hint="cs"/>
          <w:rtl/>
          <w:lang w:eastAsia="he-IL"/>
        </w:rPr>
        <w:t xml:space="preserve"> או לא, באמת, אני לא יודע אם, יו"ר הכנסת, כשישבתם על הלו"ז של החקיקה ראיתם לנגד עיניכם את </w:t>
      </w:r>
      <w:bookmarkStart w:id="33969" w:name="_ETM_Q60_438000"/>
      <w:bookmarkEnd w:id="33969"/>
      <w:r>
        <w:rPr>
          <w:rFonts w:hint="cs"/>
          <w:rtl/>
          <w:lang w:eastAsia="he-IL"/>
        </w:rPr>
        <w:t xml:space="preserve">תשעת הימים. אני זוכר שב-2005 הסתכלתי על אריאל שרון בטלוויזיה, ואמרתי לעצמי, האם הוא מבין שעבור </w:t>
      </w:r>
      <w:bookmarkStart w:id="33970" w:name="_ETM_Q60_443000"/>
      <w:bookmarkEnd w:id="33970"/>
      <w:r w:rsidR="00B404F9">
        <w:rPr>
          <w:rFonts w:hint="cs"/>
          <w:rtl/>
          <w:lang w:eastAsia="he-IL"/>
        </w:rPr>
        <w:t>האנשים שנעקרים מהבית שלהם</w:t>
      </w:r>
      <w:r>
        <w:rPr>
          <w:rFonts w:hint="cs"/>
          <w:rtl/>
          <w:lang w:eastAsia="he-IL"/>
        </w:rPr>
        <w:t xml:space="preserve"> זה ממש שחזור היסטורי? האם הוא רואה את זה? אני לא יודע. לי ברור, ולכן אני </w:t>
      </w:r>
      <w:bookmarkStart w:id="33971" w:name="_ETM_Q60_453000"/>
      <w:bookmarkEnd w:id="33971"/>
      <w:r>
        <w:rPr>
          <w:rFonts w:hint="cs"/>
          <w:rtl/>
          <w:lang w:eastAsia="he-IL"/>
        </w:rPr>
        <w:t xml:space="preserve">אומר את זה כאן, שלאנשים שנמצאים היום כאן, מסביב לכנסת, מקיפים אותה, עשרות ומאות אלפים, וצועקים בכל גרונם דמוקרטיה, הדבר הזה הוא </w:t>
      </w:r>
      <w:bookmarkStart w:id="33972" w:name="_ETM_Q60_469000"/>
      <w:bookmarkEnd w:id="33972"/>
      <w:r>
        <w:rPr>
          <w:rFonts w:hint="cs"/>
          <w:rtl/>
          <w:lang w:eastAsia="he-IL"/>
        </w:rPr>
        <w:t xml:space="preserve">חורבן הבית. אתם יכולים לא להבין את זה, אתם יכולים לא להסכים לזה, אתם </w:t>
      </w:r>
      <w:bookmarkStart w:id="33973" w:name="_ETM_Q60_476000"/>
      <w:bookmarkEnd w:id="33973"/>
      <w:r>
        <w:rPr>
          <w:rFonts w:hint="cs"/>
          <w:rtl/>
          <w:lang w:eastAsia="he-IL"/>
        </w:rPr>
        <w:t xml:space="preserve">יכולים לחשוב שהם מגזימים, אתם יכולים לקרוא להם מוסתים, אתם יכולים מה שאתם רוצים, אתם חייבים להבין דבר אחד. הם, אנחנו, באמת מאמינים בזה. אנחנו מאמינים בכך </w:t>
      </w:r>
      <w:bookmarkStart w:id="33974" w:name="_ETM_Q60_490000"/>
      <w:bookmarkEnd w:id="33974"/>
      <w:r>
        <w:rPr>
          <w:rFonts w:hint="cs"/>
          <w:rtl/>
          <w:lang w:eastAsia="he-IL"/>
        </w:rPr>
        <w:t xml:space="preserve">שחקיקה חד-צדדית כזאת קורעת אותנו כחברה, קורעת אותנו כעם, עושה את המדינה הזאת הרבה פחות טובה ממה שהיא צריכה להיות ועלולה לדרדר אותנו לחורבן </w:t>
      </w:r>
      <w:bookmarkStart w:id="33975" w:name="_ETM_Q60_506000"/>
      <w:bookmarkEnd w:id="33975"/>
      <w:r>
        <w:rPr>
          <w:rFonts w:hint="cs"/>
          <w:rtl/>
          <w:lang w:eastAsia="he-IL"/>
        </w:rPr>
        <w:t>בית של</w:t>
      </w:r>
      <w:r w:rsidR="00B404F9">
        <w:rPr>
          <w:rFonts w:hint="cs"/>
          <w:rtl/>
          <w:lang w:eastAsia="he-IL"/>
        </w:rPr>
        <w:t xml:space="preserve">ישי. הינה, אני אומר את זה כאן. </w:t>
      </w:r>
      <w:r>
        <w:rPr>
          <w:rFonts w:hint="cs"/>
          <w:rtl/>
          <w:lang w:eastAsia="he-IL"/>
        </w:rPr>
        <w:t>ענוותנותו של ז</w:t>
      </w:r>
      <w:r w:rsidR="00B404F9">
        <w:rPr>
          <w:rFonts w:hint="cs"/>
          <w:rtl/>
          <w:lang w:eastAsia="he-IL"/>
        </w:rPr>
        <w:t>כריה בן אבקולס החריבה את מקדשנו</w:t>
      </w:r>
      <w:r>
        <w:rPr>
          <w:rFonts w:hint="cs"/>
          <w:rtl/>
          <w:lang w:eastAsia="he-IL"/>
        </w:rPr>
        <w:t xml:space="preserve">, בוא לא ניתן לעילת הסבירות להחריב את הבית השלישי. תודה. </w:t>
      </w:r>
    </w:p>
    <w:p w:rsidR="00BB59CD" w:rsidRDefault="00BB59CD" w:rsidP="00BB59CD">
      <w:pPr>
        <w:rPr>
          <w:rtl/>
          <w:lang w:eastAsia="he-IL"/>
        </w:rPr>
      </w:pPr>
    </w:p>
    <w:p w:rsidR="00BB59CD" w:rsidRDefault="00BB59CD" w:rsidP="00BB59CD">
      <w:pPr>
        <w:pStyle w:val="af9"/>
        <w:keepNext/>
        <w:rPr>
          <w:rtl/>
        </w:rPr>
      </w:pPr>
      <w:bookmarkStart w:id="33976" w:name="ET_yor_6423_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3976"/>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רבה לחבר הכנסת טור פז, וכעת תעלה ותבוא </w:t>
      </w:r>
      <w:bookmarkStart w:id="33977" w:name="_ETM_Q60_522000"/>
      <w:bookmarkEnd w:id="33977"/>
      <w:r>
        <w:rPr>
          <w:rFonts w:hint="cs"/>
          <w:rtl/>
          <w:lang w:eastAsia="he-IL"/>
        </w:rPr>
        <w:t xml:space="preserve">חברת הכנסת שרון ניר, בבקשה. עד 20 דקות לרשותך, בבקשה. </w:t>
      </w:r>
      <w:bookmarkStart w:id="33978" w:name="_ETM_Q60_553000"/>
      <w:bookmarkEnd w:id="33978"/>
    </w:p>
    <w:p w:rsidR="00BB59CD" w:rsidRDefault="00BB59CD" w:rsidP="00BB59CD">
      <w:pPr>
        <w:rPr>
          <w:rtl/>
          <w:lang w:eastAsia="he-IL"/>
        </w:rPr>
      </w:pPr>
      <w:bookmarkStart w:id="33979" w:name="_ETM_Q60_523000"/>
      <w:bookmarkEnd w:id="33979"/>
    </w:p>
    <w:p w:rsidR="00BB59CD" w:rsidRDefault="00BB59CD" w:rsidP="00BB59CD">
      <w:pPr>
        <w:pStyle w:val="a5"/>
        <w:keepNext/>
        <w:rPr>
          <w:rtl/>
        </w:rPr>
      </w:pPr>
      <w:bookmarkStart w:id="33980" w:name="ET_speaker_6367_4"/>
      <w:r>
        <w:rPr>
          <w:rStyle w:val="TagStyle"/>
          <w:rFonts w:hint="cs"/>
          <w:rtl/>
        </w:rPr>
        <w:t xml:space="preserve"> &lt;&lt; דובר &gt;&gt; </w:t>
      </w:r>
      <w:bookmarkStart w:id="33981" w:name="_Toc141197164"/>
      <w:bookmarkStart w:id="33982" w:name="_Toc141196900"/>
      <w:r>
        <w:rPr>
          <w:rFonts w:hint="cs"/>
          <w:rtl/>
        </w:rPr>
        <w:t>שרון ניר (ישראל ביתנו):</w:t>
      </w:r>
      <w:bookmarkEnd w:id="33981"/>
      <w:bookmarkEnd w:id="33982"/>
      <w:r>
        <w:rPr>
          <w:rStyle w:val="TagStyle"/>
          <w:rFonts w:hint="cs"/>
          <w:rtl/>
        </w:rPr>
        <w:t xml:space="preserve"> &lt;&lt; דובר &gt;&gt;</w:t>
      </w:r>
      <w:r>
        <w:rPr>
          <w:rFonts w:hint="cs"/>
          <w:rtl/>
        </w:rPr>
        <w:t xml:space="preserve"> </w:t>
      </w:r>
      <w:bookmarkEnd w:id="33980"/>
    </w:p>
    <w:p w:rsidR="00BB59CD" w:rsidRDefault="00BB59CD" w:rsidP="00337201">
      <w:pPr>
        <w:rPr>
          <w:rtl/>
          <w:lang w:eastAsia="he-IL"/>
        </w:rPr>
      </w:pPr>
    </w:p>
    <w:p w:rsidR="00BB59CD" w:rsidRDefault="00BB59CD" w:rsidP="00337201">
      <w:pPr>
        <w:rPr>
          <w:rtl/>
          <w:lang w:eastAsia="he-IL"/>
        </w:rPr>
      </w:pPr>
      <w:r>
        <w:rPr>
          <w:rFonts w:hint="cs"/>
          <w:rtl/>
          <w:lang w:eastAsia="he-IL"/>
        </w:rPr>
        <w:t>תודה רבה</w:t>
      </w:r>
      <w:bookmarkStart w:id="33983" w:name="_ETM_Q60_557000"/>
      <w:bookmarkEnd w:id="33983"/>
      <w:r>
        <w:rPr>
          <w:rFonts w:hint="cs"/>
          <w:rtl/>
          <w:lang w:eastAsia="he-IL"/>
        </w:rPr>
        <w:t>, אדוני. אדוני ה</w:t>
      </w:r>
      <w:bookmarkStart w:id="33984" w:name="_ETM_Q60_809845"/>
      <w:r>
        <w:rPr>
          <w:rFonts w:hint="cs"/>
          <w:rtl/>
          <w:lang w:eastAsia="he-IL"/>
        </w:rPr>
        <w:t>יושב</w:t>
      </w:r>
      <w:bookmarkEnd w:id="33984"/>
      <w:r>
        <w:rPr>
          <w:rFonts w:hint="cs"/>
          <w:rtl/>
          <w:lang w:eastAsia="he-IL"/>
        </w:rPr>
        <w:t>-ראש, חבריי חברי הכנסת, את נאומי הערב אני רוצה להקדיש</w:t>
      </w:r>
      <w:r w:rsidR="00B404F9">
        <w:rPr>
          <w:rFonts w:hint="cs"/>
          <w:rtl/>
          <w:lang w:eastAsia="he-IL"/>
        </w:rPr>
        <w:t>,</w:t>
      </w:r>
      <w:r>
        <w:rPr>
          <w:rFonts w:hint="cs"/>
          <w:rtl/>
          <w:lang w:eastAsia="he-IL"/>
        </w:rPr>
        <w:t xml:space="preserve"> בצורת מכתב אישי</w:t>
      </w:r>
      <w:r w:rsidR="00B404F9">
        <w:rPr>
          <w:rFonts w:hint="cs"/>
          <w:rtl/>
          <w:lang w:eastAsia="he-IL"/>
        </w:rPr>
        <w:t>,</w:t>
      </w:r>
      <w:r>
        <w:rPr>
          <w:rFonts w:hint="cs"/>
          <w:rtl/>
          <w:lang w:eastAsia="he-IL"/>
        </w:rPr>
        <w:t xml:space="preserve"> לראש הממשלה.</w:t>
      </w:r>
    </w:p>
    <w:p w:rsidR="00BB59CD" w:rsidRDefault="00BB59CD" w:rsidP="00337201">
      <w:pPr>
        <w:rPr>
          <w:rtl/>
          <w:lang w:eastAsia="he-IL"/>
        </w:rPr>
      </w:pPr>
    </w:p>
    <w:p w:rsidR="00BB59CD" w:rsidRDefault="00BB59CD" w:rsidP="00337201">
      <w:pPr>
        <w:rPr>
          <w:rtl/>
          <w:lang w:eastAsia="he-IL"/>
        </w:rPr>
      </w:pPr>
      <w:r>
        <w:rPr>
          <w:rFonts w:hint="cs"/>
          <w:rtl/>
          <w:lang w:eastAsia="he-IL"/>
        </w:rPr>
        <w:t xml:space="preserve">אדוני ראש הממשלה, </w:t>
      </w:r>
      <w:bookmarkStart w:id="33985" w:name="_ETM_Q60_573000"/>
      <w:bookmarkEnd w:id="33985"/>
      <w:r w:rsidR="00B404F9">
        <w:rPr>
          <w:rFonts w:hint="cs"/>
          <w:rtl/>
          <w:lang w:eastAsia="he-IL"/>
        </w:rPr>
        <w:t>ראשית</w:t>
      </w:r>
      <w:r>
        <w:rPr>
          <w:rFonts w:hint="cs"/>
          <w:rtl/>
          <w:lang w:eastAsia="he-IL"/>
        </w:rPr>
        <w:t xml:space="preserve"> נאחל לך רפואה שלמה. אנחנו נמצאים בימי בין המצרים. </w:t>
      </w:r>
      <w:bookmarkStart w:id="33986" w:name="_ETM_Q60_574000"/>
      <w:bookmarkEnd w:id="33986"/>
      <w:r>
        <w:rPr>
          <w:rFonts w:hint="cs"/>
          <w:rtl/>
          <w:lang w:eastAsia="he-IL"/>
        </w:rPr>
        <w:t xml:space="preserve">בעוד שלושה ימים נציין את תשעה באב, וכאדם מאמין אני </w:t>
      </w:r>
      <w:bookmarkStart w:id="33987" w:name="_ETM_Q60_584000"/>
      <w:bookmarkEnd w:id="33987"/>
      <w:r>
        <w:rPr>
          <w:rFonts w:hint="cs"/>
          <w:rtl/>
          <w:lang w:eastAsia="he-IL"/>
        </w:rPr>
        <w:t xml:space="preserve">יכולה לומר לך שדברים לא קורים סתם. לתוך הימים העצובים </w:t>
      </w:r>
      <w:bookmarkStart w:id="33988" w:name="_ETM_Q60_588000"/>
      <w:bookmarkEnd w:id="33988"/>
      <w:r>
        <w:rPr>
          <w:rFonts w:hint="cs"/>
          <w:rtl/>
          <w:lang w:eastAsia="he-IL"/>
        </w:rPr>
        <w:t xml:space="preserve">האלה מתכנס רגע ההכרעה שלך, רגע שבו אתה מחויב </w:t>
      </w:r>
      <w:bookmarkStart w:id="33989" w:name="_ETM_Q60_591000"/>
      <w:bookmarkEnd w:id="33989"/>
      <w:r>
        <w:rPr>
          <w:rFonts w:hint="cs"/>
          <w:rtl/>
          <w:lang w:eastAsia="he-IL"/>
        </w:rPr>
        <w:t xml:space="preserve">להכריע לאן אתה לוקח את המפעל הציוני הגדול ביותר </w:t>
      </w:r>
      <w:bookmarkStart w:id="33990" w:name="_ETM_Q60_599000"/>
      <w:bookmarkEnd w:id="33990"/>
      <w:r>
        <w:rPr>
          <w:rFonts w:hint="cs"/>
          <w:rtl/>
          <w:lang w:eastAsia="he-IL"/>
        </w:rPr>
        <w:t xml:space="preserve">שידעה הארץ הזאת אחרי אלפיים שנה, מדינת ישראל של עם ישראל. חזרתו של עם ישראל לארץ צבי </w:t>
      </w:r>
      <w:bookmarkStart w:id="33991" w:name="_ETM_Q60_604000"/>
      <w:bookmarkEnd w:id="33991"/>
      <w:r>
        <w:rPr>
          <w:rFonts w:hint="cs"/>
          <w:rtl/>
          <w:lang w:eastAsia="he-IL"/>
        </w:rPr>
        <w:t xml:space="preserve">היא אירוע מכונן, זה נס גלוי. גם אם הוא נראה היום לילדים שלנו כמובן מאליו, הוא לא מובן מאליו. מסע הדורות בשיבה לארץ הקודש מעיד על עוצמה, על נחישות ועל לכידות. לכידות זה נכס שעלינו לשמר. מדינת ישראל היא אור לגויים. מדינה שלמרות הגודל שלה ונתוני </w:t>
      </w:r>
      <w:bookmarkStart w:id="33992" w:name="_ETM_Q60_635000"/>
      <w:bookmarkEnd w:id="33992"/>
      <w:r>
        <w:rPr>
          <w:rFonts w:hint="cs"/>
          <w:rtl/>
          <w:lang w:eastAsia="he-IL"/>
        </w:rPr>
        <w:t xml:space="preserve">הפתיחה שלה, לימים היא הפכה </w:t>
      </w:r>
      <w:r w:rsidR="00B404F9">
        <w:rPr>
          <w:rFonts w:hint="cs"/>
          <w:rtl/>
          <w:lang w:eastAsia="he-IL"/>
        </w:rPr>
        <w:t>להיות מעצמה אזורית. היא לא מובנת מאליה</w:t>
      </w:r>
      <w:r>
        <w:rPr>
          <w:rFonts w:hint="cs"/>
          <w:rtl/>
          <w:lang w:eastAsia="he-IL"/>
        </w:rPr>
        <w:t xml:space="preserve">, צריך לשמור ולהישמר שככה היא תישאר. </w:t>
      </w:r>
      <w:bookmarkStart w:id="33993" w:name="_ETM_Q60_646000"/>
      <w:bookmarkEnd w:id="33993"/>
    </w:p>
    <w:p w:rsidR="00BB59CD" w:rsidRDefault="00BB59CD" w:rsidP="00337201">
      <w:pPr>
        <w:rPr>
          <w:rtl/>
          <w:lang w:eastAsia="he-IL"/>
        </w:rPr>
      </w:pPr>
    </w:p>
    <w:p w:rsidR="00BB59CD" w:rsidRDefault="00BB59CD" w:rsidP="00337201">
      <w:pPr>
        <w:rPr>
          <w:rtl/>
          <w:lang w:eastAsia="he-IL"/>
        </w:rPr>
      </w:pPr>
      <w:r>
        <w:rPr>
          <w:rFonts w:hint="cs"/>
          <w:rtl/>
          <w:lang w:eastAsia="he-IL"/>
        </w:rPr>
        <w:t>מפגן העוצמה שמתרחש במדינה למעלה מחצי שנה, שבו רבע מיליון ישראלים לפחות שוטפים את הרחובות, הוא בגדר אזעקת אמת. לא מדובר באירוע פוליטי. המחאה מגוונת, חוצה עמדות פוליטיות, חוצה מגזרים, חוצה מינים, חוצה דעות. מדובר באזרחים פטריוטי</w:t>
      </w:r>
      <w:r w:rsidR="00B404F9">
        <w:rPr>
          <w:rFonts w:hint="cs"/>
          <w:rtl/>
          <w:lang w:eastAsia="he-IL"/>
        </w:rPr>
        <w:t>י</w:t>
      </w:r>
      <w:r>
        <w:rPr>
          <w:rFonts w:hint="cs"/>
          <w:rtl/>
          <w:lang w:eastAsia="he-IL"/>
        </w:rPr>
        <w:t xml:space="preserve">ם, אמיצים, אוהבי ארץ ישראל, נושאי דגל ישראל, אוהבי אדם, ליברלים, לוחמי זכויות, אנשי רפואה, אנשי הייטק, אנשי חינוך, </w:t>
      </w:r>
      <w:bookmarkStart w:id="33994" w:name="_ETM_Q60_687000"/>
      <w:bookmarkEnd w:id="33994"/>
      <w:r>
        <w:rPr>
          <w:rFonts w:hint="cs"/>
          <w:rtl/>
          <w:lang w:eastAsia="he-IL"/>
        </w:rPr>
        <w:t>אנשי צבא, גברים, נשים, צעירים, מבוגרים, ימנים ושמאלנים, דתיים וחילונים, אנשים מכל חלקי החברה הישראלית</w:t>
      </w:r>
      <w:r w:rsidR="00B404F9">
        <w:rPr>
          <w:rFonts w:hint="cs"/>
          <w:rtl/>
          <w:lang w:eastAsia="he-IL"/>
        </w:rPr>
        <w:t>,</w:t>
      </w:r>
      <w:r>
        <w:rPr>
          <w:rFonts w:hint="cs"/>
          <w:rtl/>
          <w:lang w:eastAsia="he-IL"/>
        </w:rPr>
        <w:t xml:space="preserve"> שבסך הכול מבקשים להבטיח את עתידה של מדינת ישראל כמדינה יהודית </w:t>
      </w:r>
      <w:bookmarkStart w:id="33995" w:name="_ETM_Q60_705000"/>
      <w:bookmarkEnd w:id="33995"/>
      <w:r>
        <w:rPr>
          <w:rFonts w:hint="cs"/>
          <w:rtl/>
          <w:lang w:eastAsia="he-IL"/>
        </w:rPr>
        <w:t>ודמוקרטי</w:t>
      </w:r>
      <w:r w:rsidR="00B404F9">
        <w:rPr>
          <w:rFonts w:hint="cs"/>
          <w:rtl/>
          <w:lang w:eastAsia="he-IL"/>
        </w:rPr>
        <w:t>ת</w:t>
      </w:r>
      <w:r>
        <w:rPr>
          <w:rFonts w:hint="cs"/>
          <w:rtl/>
          <w:lang w:eastAsia="he-IL"/>
        </w:rPr>
        <w:t xml:space="preserve"> על פי ערכי מגילת העצמאות. הכי פשוט שחשבנו, הכי טריוויאלי שחשבנו. </w:t>
      </w:r>
      <w:bookmarkStart w:id="33996" w:name="_ETM_Q60_704515"/>
      <w:bookmarkStart w:id="33997" w:name="_ETM_Q60_704619"/>
      <w:bookmarkStart w:id="33998" w:name="_ETM_Q60_704777"/>
      <w:bookmarkStart w:id="33999" w:name="_ETM_Q60_704873"/>
      <w:bookmarkEnd w:id="33996"/>
      <w:bookmarkEnd w:id="33997"/>
      <w:bookmarkEnd w:id="33998"/>
      <w:bookmarkEnd w:id="33999"/>
      <w:r>
        <w:rPr>
          <w:rFonts w:hint="cs"/>
          <w:rtl/>
          <w:lang w:eastAsia="he-IL"/>
        </w:rPr>
        <w:t>מסתבר שלא.</w:t>
      </w:r>
      <w:bookmarkStart w:id="34000" w:name="_ETM_Q60_708166"/>
      <w:bookmarkEnd w:id="34000"/>
    </w:p>
    <w:p w:rsidR="00BB59CD" w:rsidRDefault="00BB59CD" w:rsidP="00337201">
      <w:pPr>
        <w:rPr>
          <w:rtl/>
          <w:lang w:eastAsia="he-IL"/>
        </w:rPr>
      </w:pPr>
      <w:bookmarkStart w:id="34001" w:name="_ETM_Q60_708280"/>
      <w:bookmarkEnd w:id="34001"/>
    </w:p>
    <w:p w:rsidR="00BB59CD" w:rsidRDefault="00BB59CD" w:rsidP="00337201">
      <w:pPr>
        <w:rPr>
          <w:rtl/>
          <w:lang w:eastAsia="he-IL"/>
        </w:rPr>
      </w:pPr>
      <w:bookmarkStart w:id="34002" w:name="_ETM_Q60_708366"/>
      <w:bookmarkStart w:id="34003" w:name="_ETM_Q60_708482"/>
      <w:bookmarkEnd w:id="34002"/>
      <w:bookmarkEnd w:id="34003"/>
      <w:r>
        <w:rPr>
          <w:rFonts w:hint="cs"/>
          <w:rtl/>
          <w:lang w:eastAsia="he-IL"/>
        </w:rPr>
        <w:t xml:space="preserve">מעולם בהיסטוריה של מדינת ישראל לא נרשמה מחאה כל כך ארוכה, כל כך גדולה, כל כך עקבית. רבבות של אזרחי </w:t>
      </w:r>
      <w:bookmarkStart w:id="34004" w:name="_ETM_Q60_727000"/>
      <w:bookmarkEnd w:id="34004"/>
      <w:r>
        <w:rPr>
          <w:rFonts w:hint="cs"/>
          <w:rtl/>
          <w:lang w:eastAsia="he-IL"/>
        </w:rPr>
        <w:t xml:space="preserve">מדינת ישראל בחרו להצביע ברגליים. אזרחי ישראל בחרו להתאחד, לעמוד כגוף אחד מול הממשלה הרעה שבראשותה אתה עומד ולהגיד לך – עד כאן. כרגע הם חרדים לגורל ארצם. במהלך השבוע האחרון המוחים עלו לירושלים, בחום הכבד, משפחות, הורים, ילדים, לוחמי מלחמות ישראל מכל המערכות בכל הגילים. ביניהם היה גם פרופ' יחיאל זיק, </w:t>
      </w:r>
      <w:bookmarkStart w:id="34005" w:name="_ETM_Q60_763000"/>
      <w:bookmarkEnd w:id="34005"/>
      <w:r>
        <w:rPr>
          <w:rFonts w:hint="cs"/>
          <w:rtl/>
          <w:lang w:eastAsia="he-IL"/>
        </w:rPr>
        <w:t xml:space="preserve">לוחם סיירת שקד שאיבד את הרגל שלו במלחמת ההתשה בתעלת סואץ. הוא צעד </w:t>
      </w:r>
      <w:bookmarkStart w:id="34006" w:name="_ETM_Q60_771000"/>
      <w:bookmarkEnd w:id="34006"/>
      <w:r>
        <w:rPr>
          <w:rFonts w:hint="cs"/>
          <w:rtl/>
          <w:lang w:eastAsia="he-IL"/>
        </w:rPr>
        <w:t xml:space="preserve">עם קביים וריגש מדינה שלמה. </w:t>
      </w:r>
    </w:p>
    <w:p w:rsidR="00BB59CD" w:rsidRDefault="00BB59CD" w:rsidP="00BB59CD">
      <w:pPr>
        <w:rPr>
          <w:rtl/>
          <w:lang w:eastAsia="he-IL"/>
        </w:rPr>
      </w:pPr>
    </w:p>
    <w:p w:rsidR="00BB59CD" w:rsidRDefault="00BB59CD" w:rsidP="00BB59CD">
      <w:pPr>
        <w:rPr>
          <w:rtl/>
        </w:rPr>
      </w:pPr>
      <w:bookmarkStart w:id="34007" w:name="_ETM_Q60_780000"/>
      <w:bookmarkStart w:id="34008" w:name="TOR_Q61"/>
      <w:bookmarkStart w:id="34009" w:name="_ETM_Q61_180000"/>
      <w:bookmarkEnd w:id="34007"/>
      <w:bookmarkEnd w:id="34008"/>
      <w:bookmarkEnd w:id="34009"/>
      <w:r>
        <w:rPr>
          <w:rFonts w:hint="cs"/>
          <w:rtl/>
        </w:rPr>
        <w:t xml:space="preserve">אדוני ראש הממשלה, זה הרבה יותר מעוד מחאה. מדובר באירוע </w:t>
      </w:r>
      <w:bookmarkStart w:id="34010" w:name="_ETM_Q61_177000"/>
      <w:bookmarkEnd w:id="34010"/>
      <w:r>
        <w:rPr>
          <w:rFonts w:hint="cs"/>
          <w:rtl/>
        </w:rPr>
        <w:t xml:space="preserve">מכונן. </w:t>
      </w:r>
      <w:bookmarkStart w:id="34011" w:name="_ETM_Q61_181430"/>
      <w:bookmarkEnd w:id="34011"/>
      <w:r>
        <w:rPr>
          <w:rFonts w:hint="cs"/>
          <w:rtl/>
        </w:rPr>
        <w:t xml:space="preserve">התמונות </w:t>
      </w:r>
      <w:bookmarkStart w:id="34012" w:name="_ETM_Q61_182240"/>
      <w:bookmarkEnd w:id="34012"/>
      <w:r>
        <w:rPr>
          <w:rFonts w:hint="cs"/>
          <w:rtl/>
        </w:rPr>
        <w:t xml:space="preserve">והסרטונים </w:t>
      </w:r>
      <w:bookmarkStart w:id="34013" w:name="_ETM_Q61_183050"/>
      <w:bookmarkEnd w:id="34013"/>
      <w:r>
        <w:rPr>
          <w:rFonts w:hint="cs"/>
          <w:rtl/>
        </w:rPr>
        <w:t xml:space="preserve">מהאירוע </w:t>
      </w:r>
      <w:bookmarkStart w:id="34014" w:name="_ETM_Q61_183530"/>
      <w:bookmarkEnd w:id="34014"/>
      <w:r>
        <w:rPr>
          <w:rFonts w:hint="cs"/>
          <w:rtl/>
        </w:rPr>
        <w:t xml:space="preserve">הזה </w:t>
      </w:r>
      <w:bookmarkStart w:id="34015" w:name="_ETM_Q61_184309"/>
      <w:bookmarkEnd w:id="34015"/>
      <w:r>
        <w:rPr>
          <w:rFonts w:hint="cs"/>
          <w:rtl/>
        </w:rPr>
        <w:t xml:space="preserve">ייכנסו </w:t>
      </w:r>
      <w:bookmarkStart w:id="34016" w:name="_ETM_Q61_185240"/>
      <w:bookmarkEnd w:id="34016"/>
      <w:r>
        <w:rPr>
          <w:rFonts w:hint="cs"/>
          <w:rtl/>
        </w:rPr>
        <w:t xml:space="preserve">לדפי </w:t>
      </w:r>
      <w:bookmarkStart w:id="34017" w:name="_ETM_Q61_185990"/>
      <w:bookmarkEnd w:id="34017"/>
      <w:r>
        <w:rPr>
          <w:rFonts w:hint="cs"/>
          <w:rtl/>
        </w:rPr>
        <w:t xml:space="preserve">ההיסטוריה </w:t>
      </w:r>
      <w:bookmarkStart w:id="34018" w:name="_ETM_Q61_186680"/>
      <w:bookmarkEnd w:id="34018"/>
      <w:r>
        <w:rPr>
          <w:rFonts w:hint="cs"/>
          <w:rtl/>
        </w:rPr>
        <w:t xml:space="preserve">של </w:t>
      </w:r>
      <w:bookmarkStart w:id="34019" w:name="_ETM_Q61_186890"/>
      <w:bookmarkEnd w:id="34019"/>
      <w:r>
        <w:rPr>
          <w:rFonts w:hint="cs"/>
          <w:rtl/>
        </w:rPr>
        <w:t xml:space="preserve">עם </w:t>
      </w:r>
      <w:bookmarkStart w:id="34020" w:name="_ETM_Q61_187100"/>
      <w:bookmarkEnd w:id="34020"/>
      <w:r>
        <w:rPr>
          <w:rFonts w:hint="cs"/>
          <w:rtl/>
        </w:rPr>
        <w:t xml:space="preserve">ישראל. </w:t>
      </w:r>
      <w:bookmarkStart w:id="34021" w:name="_ETM_Q61_188690"/>
      <w:bookmarkEnd w:id="34021"/>
      <w:r>
        <w:rPr>
          <w:rFonts w:hint="cs"/>
          <w:rtl/>
        </w:rPr>
        <w:t xml:space="preserve">התמונות </w:t>
      </w:r>
      <w:bookmarkStart w:id="34022" w:name="_ETM_Q61_189350"/>
      <w:bookmarkEnd w:id="34022"/>
      <w:r>
        <w:rPr>
          <w:rFonts w:hint="cs"/>
          <w:rtl/>
        </w:rPr>
        <w:t xml:space="preserve">האלה </w:t>
      </w:r>
      <w:bookmarkStart w:id="34023" w:name="_ETM_Q61_190130"/>
      <w:bookmarkEnd w:id="34023"/>
      <w:r>
        <w:rPr>
          <w:rFonts w:hint="cs"/>
          <w:rtl/>
        </w:rPr>
        <w:t xml:space="preserve">יזכירו </w:t>
      </w:r>
      <w:bookmarkStart w:id="34024" w:name="_ETM_Q61_190700"/>
      <w:bookmarkEnd w:id="34024"/>
      <w:r>
        <w:rPr>
          <w:rFonts w:hint="cs"/>
          <w:rtl/>
        </w:rPr>
        <w:t xml:space="preserve">לנו </w:t>
      </w:r>
      <w:bookmarkStart w:id="34025" w:name="_ETM_Q61_190910"/>
      <w:bookmarkEnd w:id="34025"/>
      <w:r>
        <w:rPr>
          <w:rFonts w:hint="cs"/>
          <w:rtl/>
        </w:rPr>
        <w:t xml:space="preserve">תמיד </w:t>
      </w:r>
      <w:bookmarkStart w:id="34026" w:name="_ETM_Q61_191360"/>
      <w:bookmarkEnd w:id="34026"/>
      <w:r>
        <w:rPr>
          <w:rFonts w:hint="cs"/>
          <w:rtl/>
        </w:rPr>
        <w:t xml:space="preserve">את </w:t>
      </w:r>
      <w:bookmarkStart w:id="34027" w:name="_ETM_Q61_191480"/>
      <w:bookmarkEnd w:id="34027"/>
      <w:r>
        <w:rPr>
          <w:rFonts w:hint="cs"/>
          <w:rtl/>
        </w:rPr>
        <w:t xml:space="preserve">העוצמות </w:t>
      </w:r>
      <w:bookmarkStart w:id="34028" w:name="_ETM_Q61_192050"/>
      <w:bookmarkEnd w:id="34028"/>
      <w:r>
        <w:rPr>
          <w:rFonts w:hint="cs"/>
          <w:rtl/>
        </w:rPr>
        <w:t xml:space="preserve">של </w:t>
      </w:r>
      <w:bookmarkStart w:id="34029" w:name="_ETM_Q61_192289"/>
      <w:bookmarkEnd w:id="34029"/>
      <w:r>
        <w:rPr>
          <w:rFonts w:hint="cs"/>
          <w:rtl/>
        </w:rPr>
        <w:t xml:space="preserve">עם </w:t>
      </w:r>
      <w:bookmarkStart w:id="34030" w:name="_ETM_Q61_192410"/>
      <w:bookmarkEnd w:id="34030"/>
      <w:r>
        <w:rPr>
          <w:rFonts w:hint="cs"/>
          <w:rtl/>
        </w:rPr>
        <w:t xml:space="preserve">ישראל. </w:t>
      </w:r>
      <w:bookmarkStart w:id="34031" w:name="_ETM_Q61_193700"/>
      <w:bookmarkEnd w:id="34031"/>
      <w:r>
        <w:rPr>
          <w:rFonts w:hint="cs"/>
          <w:rtl/>
        </w:rPr>
        <w:t xml:space="preserve">לא </w:t>
      </w:r>
      <w:bookmarkStart w:id="34032" w:name="_ETM_Q61_194180"/>
      <w:bookmarkEnd w:id="34032"/>
      <w:r>
        <w:rPr>
          <w:rFonts w:hint="cs"/>
          <w:rtl/>
        </w:rPr>
        <w:t xml:space="preserve">יעזור </w:t>
      </w:r>
      <w:bookmarkStart w:id="34033" w:name="_ETM_Q61_195049"/>
      <w:bookmarkEnd w:id="34033"/>
      <w:r>
        <w:rPr>
          <w:rFonts w:hint="cs"/>
          <w:rtl/>
        </w:rPr>
        <w:t xml:space="preserve">לכל </w:t>
      </w:r>
      <w:bookmarkStart w:id="34034" w:name="_ETM_Q61_195650"/>
      <w:bookmarkEnd w:id="34034"/>
      <w:r>
        <w:rPr>
          <w:rFonts w:hint="cs"/>
          <w:rtl/>
        </w:rPr>
        <w:t xml:space="preserve">המשסעים </w:t>
      </w:r>
      <w:bookmarkStart w:id="34035" w:name="_ETM_Q61_196369"/>
      <w:bookmarkEnd w:id="34035"/>
      <w:r>
        <w:rPr>
          <w:rFonts w:hint="cs"/>
          <w:rtl/>
        </w:rPr>
        <w:t xml:space="preserve">והמפלגים, </w:t>
      </w:r>
      <w:bookmarkStart w:id="34036" w:name="_ETM_Q61_197690"/>
      <w:bookmarkEnd w:id="34036"/>
      <w:r>
        <w:rPr>
          <w:rFonts w:hint="cs"/>
          <w:rtl/>
        </w:rPr>
        <w:t xml:space="preserve">יש </w:t>
      </w:r>
      <w:bookmarkStart w:id="34037" w:name="_ETM_Q61_198200"/>
      <w:bookmarkEnd w:id="34037"/>
      <w:r>
        <w:rPr>
          <w:rFonts w:hint="cs"/>
          <w:rtl/>
        </w:rPr>
        <w:t xml:space="preserve">לעם </w:t>
      </w:r>
      <w:bookmarkStart w:id="34038" w:name="_ETM_Q61_198619"/>
      <w:bookmarkEnd w:id="34038"/>
      <w:r>
        <w:rPr>
          <w:rFonts w:hint="cs"/>
          <w:rtl/>
        </w:rPr>
        <w:t xml:space="preserve">הזה </w:t>
      </w:r>
      <w:bookmarkStart w:id="34039" w:name="_ETM_Q61_199130"/>
      <w:bookmarkEnd w:id="34039"/>
      <w:r>
        <w:rPr>
          <w:rFonts w:hint="cs"/>
          <w:rtl/>
        </w:rPr>
        <w:t xml:space="preserve">עוצמות </w:t>
      </w:r>
      <w:bookmarkStart w:id="34040" w:name="_ETM_Q61_199940"/>
      <w:bookmarkEnd w:id="34040"/>
      <w:r>
        <w:rPr>
          <w:rFonts w:hint="cs"/>
          <w:rtl/>
        </w:rPr>
        <w:t xml:space="preserve">אדירות. </w:t>
      </w:r>
      <w:bookmarkStart w:id="34041" w:name="_ETM_Q61_203890"/>
      <w:bookmarkEnd w:id="34041"/>
    </w:p>
    <w:p w:rsidR="00BB59CD" w:rsidRDefault="00BB59CD" w:rsidP="00BB59CD">
      <w:pPr>
        <w:rPr>
          <w:rtl/>
        </w:rPr>
      </w:pPr>
    </w:p>
    <w:p w:rsidR="00BB59CD" w:rsidRDefault="00BB59CD" w:rsidP="00BB59CD">
      <w:pPr>
        <w:rPr>
          <w:rtl/>
        </w:rPr>
      </w:pPr>
      <w:bookmarkStart w:id="34042" w:name="_ETM_Q61_204000"/>
      <w:bookmarkEnd w:id="34042"/>
      <w:r>
        <w:rPr>
          <w:rFonts w:hint="cs"/>
          <w:rtl/>
        </w:rPr>
        <w:t xml:space="preserve">אדוני, </w:t>
      </w:r>
      <w:bookmarkStart w:id="34043" w:name="_ETM_Q61_204939"/>
      <w:bookmarkEnd w:id="34043"/>
      <w:r>
        <w:rPr>
          <w:rFonts w:hint="cs"/>
          <w:rtl/>
        </w:rPr>
        <w:t xml:space="preserve">מעבר </w:t>
      </w:r>
      <w:bookmarkStart w:id="34044" w:name="_ETM_Q61_205550"/>
      <w:bookmarkEnd w:id="34044"/>
      <w:r>
        <w:rPr>
          <w:rFonts w:hint="cs"/>
          <w:rtl/>
        </w:rPr>
        <w:t xml:space="preserve">למפגן </w:t>
      </w:r>
      <w:bookmarkStart w:id="34045" w:name="_ETM_Q61_206000"/>
      <w:bookmarkEnd w:id="34045"/>
      <w:r>
        <w:rPr>
          <w:rFonts w:hint="cs"/>
          <w:rtl/>
        </w:rPr>
        <w:t xml:space="preserve">העוצמה </w:t>
      </w:r>
      <w:bookmarkStart w:id="34046" w:name="_ETM_Q61_206449"/>
      <w:bookmarkEnd w:id="34046"/>
      <w:r>
        <w:rPr>
          <w:rFonts w:hint="cs"/>
          <w:rtl/>
        </w:rPr>
        <w:t xml:space="preserve">והנחישות, </w:t>
      </w:r>
      <w:bookmarkStart w:id="34047" w:name="_ETM_Q61_207679"/>
      <w:bookmarkEnd w:id="34047"/>
      <w:r>
        <w:rPr>
          <w:rFonts w:hint="cs"/>
          <w:rtl/>
        </w:rPr>
        <w:t xml:space="preserve">אני </w:t>
      </w:r>
      <w:bookmarkStart w:id="34048" w:name="_ETM_Q61_207919"/>
      <w:bookmarkEnd w:id="34048"/>
      <w:r>
        <w:rPr>
          <w:rFonts w:hint="cs"/>
          <w:rtl/>
        </w:rPr>
        <w:t xml:space="preserve">מבקשת </w:t>
      </w:r>
      <w:bookmarkStart w:id="34049" w:name="_ETM_Q61_208519"/>
      <w:bookmarkEnd w:id="34049"/>
      <w:r>
        <w:rPr>
          <w:rFonts w:hint="cs"/>
          <w:rtl/>
        </w:rPr>
        <w:t xml:space="preserve">להעביר </w:t>
      </w:r>
      <w:bookmarkStart w:id="34050" w:name="_ETM_Q61_208910"/>
      <w:bookmarkEnd w:id="34050"/>
      <w:r>
        <w:rPr>
          <w:rFonts w:hint="cs"/>
          <w:rtl/>
        </w:rPr>
        <w:t xml:space="preserve">לך </w:t>
      </w:r>
      <w:bookmarkStart w:id="34051" w:name="_ETM_Q61_209150"/>
      <w:bookmarkEnd w:id="34051"/>
      <w:r>
        <w:rPr>
          <w:rFonts w:hint="cs"/>
          <w:rtl/>
        </w:rPr>
        <w:t xml:space="preserve">מסר </w:t>
      </w:r>
      <w:bookmarkStart w:id="34052" w:name="_ETM_Q61_210019"/>
      <w:bookmarkEnd w:id="34052"/>
      <w:r>
        <w:rPr>
          <w:rFonts w:hint="cs"/>
          <w:rtl/>
        </w:rPr>
        <w:t xml:space="preserve">שרק </w:t>
      </w:r>
      <w:bookmarkStart w:id="34053" w:name="_ETM_Q61_210470"/>
      <w:bookmarkEnd w:id="34053"/>
      <w:r>
        <w:rPr>
          <w:rFonts w:hint="cs"/>
          <w:rtl/>
        </w:rPr>
        <w:t xml:space="preserve">כשאתה </w:t>
      </w:r>
      <w:bookmarkStart w:id="34054" w:name="_ETM_Q61_210770"/>
      <w:bookmarkEnd w:id="34054"/>
      <w:r>
        <w:rPr>
          <w:rFonts w:hint="cs"/>
          <w:rtl/>
        </w:rPr>
        <w:t xml:space="preserve">נמצא </w:t>
      </w:r>
      <w:bookmarkStart w:id="34055" w:name="_ETM_Q61_211160"/>
      <w:bookmarkEnd w:id="34055"/>
      <w:r>
        <w:rPr>
          <w:rFonts w:hint="cs"/>
          <w:rtl/>
        </w:rPr>
        <w:t xml:space="preserve">עם </w:t>
      </w:r>
      <w:bookmarkStart w:id="34056" w:name="_ETM_Q61_211310"/>
      <w:bookmarkEnd w:id="34056"/>
      <w:r>
        <w:rPr>
          <w:rFonts w:hint="cs"/>
          <w:rtl/>
        </w:rPr>
        <w:t xml:space="preserve">האנשים </w:t>
      </w:r>
      <w:bookmarkStart w:id="34057" w:name="_ETM_Q61_211880"/>
      <w:bookmarkEnd w:id="34057"/>
      <w:r>
        <w:rPr>
          <w:rFonts w:hint="cs"/>
          <w:rtl/>
        </w:rPr>
        <w:t xml:space="preserve">אתה </w:t>
      </w:r>
      <w:bookmarkStart w:id="34058" w:name="_ETM_Q61_212149"/>
      <w:bookmarkEnd w:id="34058"/>
      <w:r>
        <w:rPr>
          <w:rFonts w:hint="cs"/>
          <w:rtl/>
        </w:rPr>
        <w:t xml:space="preserve">מרגיש </w:t>
      </w:r>
      <w:bookmarkStart w:id="34059" w:name="_ETM_Q61_212750"/>
      <w:bookmarkEnd w:id="34059"/>
      <w:r>
        <w:rPr>
          <w:rFonts w:hint="cs"/>
          <w:rtl/>
        </w:rPr>
        <w:t xml:space="preserve">אותו; </w:t>
      </w:r>
      <w:bookmarkStart w:id="34060" w:name="_ETM_Q61_213409"/>
      <w:bookmarkEnd w:id="34060"/>
      <w:r>
        <w:rPr>
          <w:rFonts w:hint="cs"/>
          <w:rtl/>
        </w:rPr>
        <w:t>אי</w:t>
      </w:r>
      <w:bookmarkStart w:id="34061" w:name="_ETM_Q61_213559"/>
      <w:bookmarkEnd w:id="34061"/>
      <w:r>
        <w:rPr>
          <w:rFonts w:hint="cs"/>
          <w:rtl/>
        </w:rPr>
        <w:t xml:space="preserve">-אפשר </w:t>
      </w:r>
      <w:bookmarkStart w:id="34062" w:name="_ETM_Q61_213860"/>
      <w:bookmarkEnd w:id="34062"/>
      <w:r>
        <w:rPr>
          <w:rFonts w:hint="cs"/>
          <w:rtl/>
        </w:rPr>
        <w:t xml:space="preserve">לראות </w:t>
      </w:r>
      <w:bookmarkStart w:id="34063" w:name="_ETM_Q61_214219"/>
      <w:bookmarkEnd w:id="34063"/>
      <w:r>
        <w:rPr>
          <w:rFonts w:hint="cs"/>
          <w:rtl/>
        </w:rPr>
        <w:t xml:space="preserve">את </w:t>
      </w:r>
      <w:bookmarkStart w:id="34064" w:name="_ETM_Q61_214309"/>
      <w:bookmarkEnd w:id="34064"/>
      <w:r>
        <w:rPr>
          <w:rFonts w:hint="cs"/>
          <w:rtl/>
        </w:rPr>
        <w:t xml:space="preserve">זה </w:t>
      </w:r>
      <w:bookmarkStart w:id="34065" w:name="_ETM_Q61_214430"/>
      <w:bookmarkEnd w:id="34065"/>
      <w:r>
        <w:rPr>
          <w:rFonts w:hint="cs"/>
          <w:rtl/>
        </w:rPr>
        <w:t xml:space="preserve">בטלוויזיה. </w:t>
      </w:r>
      <w:bookmarkStart w:id="34066" w:name="_ETM_Q61_216110"/>
      <w:bookmarkEnd w:id="34066"/>
      <w:r>
        <w:rPr>
          <w:rFonts w:hint="cs"/>
          <w:rtl/>
        </w:rPr>
        <w:t xml:space="preserve">מפלס </w:t>
      </w:r>
      <w:bookmarkStart w:id="34067" w:name="_ETM_Q61_216800"/>
      <w:bookmarkEnd w:id="34067"/>
      <w:r>
        <w:rPr>
          <w:rFonts w:hint="cs"/>
          <w:rtl/>
        </w:rPr>
        <w:t xml:space="preserve">החרדה </w:t>
      </w:r>
      <w:bookmarkStart w:id="34068" w:name="_ETM_Q61_217340"/>
      <w:bookmarkEnd w:id="34068"/>
      <w:r>
        <w:rPr>
          <w:rFonts w:hint="cs"/>
          <w:rtl/>
        </w:rPr>
        <w:t xml:space="preserve">של </w:t>
      </w:r>
      <w:bookmarkStart w:id="34069" w:name="_ETM_Q61_217520"/>
      <w:bookmarkEnd w:id="34069"/>
      <w:r>
        <w:rPr>
          <w:rFonts w:hint="cs"/>
          <w:rtl/>
        </w:rPr>
        <w:t xml:space="preserve">אותם </w:t>
      </w:r>
      <w:bookmarkStart w:id="34070" w:name="_ETM_Q61_217880"/>
      <w:bookmarkEnd w:id="34070"/>
      <w:r>
        <w:rPr>
          <w:rFonts w:hint="cs"/>
          <w:rtl/>
        </w:rPr>
        <w:t xml:space="preserve">אזרחים </w:t>
      </w:r>
      <w:bookmarkStart w:id="34071" w:name="_ETM_Q61_218930"/>
      <w:bookmarkEnd w:id="34071"/>
      <w:r>
        <w:rPr>
          <w:rFonts w:hint="cs"/>
          <w:rtl/>
        </w:rPr>
        <w:t xml:space="preserve">הולך </w:t>
      </w:r>
      <w:bookmarkStart w:id="34072" w:name="_ETM_Q61_219409"/>
      <w:bookmarkEnd w:id="34072"/>
      <w:r>
        <w:rPr>
          <w:rFonts w:hint="cs"/>
          <w:rtl/>
        </w:rPr>
        <w:t xml:space="preserve">וגדל. </w:t>
      </w:r>
      <w:bookmarkStart w:id="34073" w:name="_ETM_Q61_220670"/>
      <w:bookmarkEnd w:id="34073"/>
      <w:r>
        <w:rPr>
          <w:rFonts w:hint="cs"/>
          <w:rtl/>
        </w:rPr>
        <w:t xml:space="preserve">האזרחים </w:t>
      </w:r>
      <w:bookmarkStart w:id="34074" w:name="_ETM_Q61_221420"/>
      <w:bookmarkEnd w:id="34074"/>
      <w:r>
        <w:rPr>
          <w:rFonts w:hint="cs"/>
          <w:rtl/>
        </w:rPr>
        <w:t xml:space="preserve">הללו </w:t>
      </w:r>
      <w:bookmarkStart w:id="34075" w:name="_ETM_Q61_222050"/>
      <w:bookmarkEnd w:id="34075"/>
      <w:r>
        <w:rPr>
          <w:rFonts w:hint="cs"/>
          <w:rtl/>
        </w:rPr>
        <w:t xml:space="preserve">בחרדה </w:t>
      </w:r>
      <w:bookmarkStart w:id="34076" w:name="_ETM_Q61_222979"/>
      <w:bookmarkEnd w:id="34076"/>
      <w:r>
        <w:rPr>
          <w:rFonts w:hint="cs"/>
          <w:rtl/>
        </w:rPr>
        <w:t xml:space="preserve">עצומה </w:t>
      </w:r>
      <w:bookmarkStart w:id="34077" w:name="_ETM_Q61_224000"/>
      <w:bookmarkEnd w:id="34077"/>
      <w:r>
        <w:rPr>
          <w:rFonts w:hint="cs"/>
          <w:rtl/>
        </w:rPr>
        <w:t xml:space="preserve">ובדאגה </w:t>
      </w:r>
      <w:bookmarkStart w:id="34078" w:name="_ETM_Q61_224930"/>
      <w:bookmarkEnd w:id="34078"/>
      <w:r>
        <w:rPr>
          <w:rFonts w:hint="cs"/>
          <w:rtl/>
        </w:rPr>
        <w:t xml:space="preserve">אין-סופית </w:t>
      </w:r>
      <w:bookmarkStart w:id="34079" w:name="_ETM_Q61_226070"/>
      <w:bookmarkEnd w:id="34079"/>
      <w:r>
        <w:rPr>
          <w:rFonts w:hint="cs"/>
          <w:rtl/>
        </w:rPr>
        <w:t xml:space="preserve">לגורל </w:t>
      </w:r>
      <w:bookmarkStart w:id="34080" w:name="_ETM_Q61_226700"/>
      <w:bookmarkEnd w:id="34080"/>
      <w:r>
        <w:rPr>
          <w:rFonts w:hint="cs"/>
          <w:rtl/>
        </w:rPr>
        <w:t xml:space="preserve">הארץ </w:t>
      </w:r>
      <w:bookmarkStart w:id="34081" w:name="_ETM_Q61_227210"/>
      <w:bookmarkEnd w:id="34081"/>
      <w:r>
        <w:rPr>
          <w:rFonts w:hint="cs"/>
          <w:rtl/>
        </w:rPr>
        <w:t xml:space="preserve">הזאת. </w:t>
      </w:r>
      <w:bookmarkStart w:id="34082" w:name="_ETM_Q61_228100"/>
      <w:bookmarkEnd w:id="34082"/>
      <w:r>
        <w:rPr>
          <w:rFonts w:hint="cs"/>
          <w:rtl/>
        </w:rPr>
        <w:t xml:space="preserve">אנשים </w:t>
      </w:r>
      <w:bookmarkStart w:id="34083" w:name="_ETM_Q61_229210"/>
      <w:bookmarkEnd w:id="34083"/>
      <w:r>
        <w:rPr>
          <w:rFonts w:hint="cs"/>
          <w:rtl/>
        </w:rPr>
        <w:t xml:space="preserve">מבועתים. </w:t>
      </w:r>
      <w:bookmarkStart w:id="34084" w:name="_ETM_Q61_234719"/>
      <w:bookmarkEnd w:id="34084"/>
      <w:r>
        <w:rPr>
          <w:rFonts w:hint="cs"/>
          <w:rtl/>
        </w:rPr>
        <w:t xml:space="preserve">אלה אנשים </w:t>
      </w:r>
      <w:bookmarkStart w:id="34085" w:name="_ETM_Q61_235379"/>
      <w:bookmarkEnd w:id="34085"/>
      <w:r>
        <w:rPr>
          <w:rFonts w:hint="cs"/>
          <w:rtl/>
        </w:rPr>
        <w:t xml:space="preserve">רגילים </w:t>
      </w:r>
      <w:bookmarkStart w:id="34086" w:name="_ETM_Q61_236519"/>
      <w:bookmarkEnd w:id="34086"/>
      <w:r>
        <w:rPr>
          <w:rFonts w:hint="cs"/>
          <w:rtl/>
        </w:rPr>
        <w:t xml:space="preserve">שבסך </w:t>
      </w:r>
      <w:bookmarkStart w:id="34087" w:name="_ETM_Q61_237149"/>
      <w:bookmarkEnd w:id="34087"/>
      <w:r>
        <w:rPr>
          <w:rFonts w:hint="cs"/>
          <w:rtl/>
        </w:rPr>
        <w:t xml:space="preserve">הכול </w:t>
      </w:r>
      <w:bookmarkStart w:id="34088" w:name="_ETM_Q61_237449"/>
      <w:bookmarkEnd w:id="34088"/>
      <w:r>
        <w:rPr>
          <w:rFonts w:hint="cs"/>
          <w:rtl/>
        </w:rPr>
        <w:t xml:space="preserve">רוצים </w:t>
      </w:r>
      <w:bookmarkStart w:id="34089" w:name="_ETM_Q61_237809"/>
      <w:bookmarkEnd w:id="34089"/>
      <w:r>
        <w:rPr>
          <w:rFonts w:hint="cs"/>
          <w:rtl/>
        </w:rPr>
        <w:t xml:space="preserve">שגרה </w:t>
      </w:r>
      <w:bookmarkStart w:id="34090" w:name="_ETM_Q61_238229"/>
      <w:bookmarkEnd w:id="34090"/>
      <w:r>
        <w:rPr>
          <w:rFonts w:hint="cs"/>
          <w:rtl/>
        </w:rPr>
        <w:t xml:space="preserve">ברוכה, </w:t>
      </w:r>
      <w:bookmarkStart w:id="34091" w:name="_ETM_Q61_239190"/>
      <w:bookmarkEnd w:id="34091"/>
      <w:r>
        <w:rPr>
          <w:rFonts w:hint="cs"/>
          <w:rtl/>
        </w:rPr>
        <w:t xml:space="preserve">מדינה </w:t>
      </w:r>
      <w:bookmarkStart w:id="34092" w:name="_ETM_Q61_239760"/>
      <w:bookmarkEnd w:id="34092"/>
      <w:r>
        <w:rPr>
          <w:rFonts w:hint="cs"/>
          <w:rtl/>
        </w:rPr>
        <w:t xml:space="preserve">דמוקרטית </w:t>
      </w:r>
      <w:bookmarkStart w:id="34093" w:name="_ETM_Q61_240900"/>
      <w:bookmarkEnd w:id="34093"/>
      <w:r>
        <w:rPr>
          <w:rFonts w:hint="cs"/>
          <w:rtl/>
        </w:rPr>
        <w:t xml:space="preserve">וממשלה </w:t>
      </w:r>
      <w:bookmarkStart w:id="34094" w:name="_ETM_Q61_241650"/>
      <w:bookmarkEnd w:id="34094"/>
      <w:r>
        <w:rPr>
          <w:rFonts w:hint="cs"/>
          <w:rtl/>
        </w:rPr>
        <w:t xml:space="preserve">מתפקדת </w:t>
      </w:r>
      <w:bookmarkStart w:id="34095" w:name="_ETM_Q61_242820"/>
      <w:bookmarkEnd w:id="34095"/>
      <w:r>
        <w:rPr>
          <w:rFonts w:hint="cs"/>
          <w:rtl/>
        </w:rPr>
        <w:t xml:space="preserve">שתחזור </w:t>
      </w:r>
      <w:bookmarkStart w:id="34096" w:name="_ETM_Q61_243570"/>
      <w:bookmarkEnd w:id="34096"/>
      <w:r>
        <w:rPr>
          <w:rFonts w:hint="cs"/>
          <w:rtl/>
        </w:rPr>
        <w:t xml:space="preserve">להתעסק </w:t>
      </w:r>
      <w:bookmarkStart w:id="34097" w:name="_ETM_Q61_244230"/>
      <w:bookmarkEnd w:id="34097"/>
      <w:r>
        <w:rPr>
          <w:rFonts w:hint="cs"/>
          <w:rtl/>
        </w:rPr>
        <w:t xml:space="preserve">בענייני </w:t>
      </w:r>
      <w:bookmarkStart w:id="34098" w:name="_ETM_Q61_244770"/>
      <w:bookmarkEnd w:id="34098"/>
      <w:r>
        <w:rPr>
          <w:rFonts w:hint="cs"/>
          <w:rtl/>
        </w:rPr>
        <w:t xml:space="preserve">היום-יום </w:t>
      </w:r>
      <w:bookmarkStart w:id="34099" w:name="_ETM_Q61_245310"/>
      <w:bookmarkEnd w:id="34099"/>
      <w:r>
        <w:rPr>
          <w:rFonts w:hint="cs"/>
          <w:rtl/>
        </w:rPr>
        <w:t xml:space="preserve">שלהם. </w:t>
      </w:r>
      <w:bookmarkStart w:id="34100" w:name="_ETM_Q61_246920"/>
      <w:bookmarkEnd w:id="34100"/>
      <w:r>
        <w:rPr>
          <w:rFonts w:hint="cs"/>
          <w:rtl/>
        </w:rPr>
        <w:t xml:space="preserve">אלה </w:t>
      </w:r>
      <w:bookmarkStart w:id="34101" w:name="_ETM_Q61_247159"/>
      <w:bookmarkEnd w:id="34101"/>
      <w:r>
        <w:rPr>
          <w:rFonts w:hint="cs"/>
          <w:rtl/>
        </w:rPr>
        <w:t xml:space="preserve">אנשים </w:t>
      </w:r>
      <w:bookmarkStart w:id="34102" w:name="_ETM_Q61_247579"/>
      <w:bookmarkEnd w:id="34102"/>
      <w:r>
        <w:rPr>
          <w:rFonts w:hint="cs"/>
          <w:rtl/>
        </w:rPr>
        <w:t xml:space="preserve">שהיו </w:t>
      </w:r>
      <w:bookmarkStart w:id="34103" w:name="_ETM_Q61_247969"/>
      <w:bookmarkEnd w:id="34103"/>
      <w:r>
        <w:rPr>
          <w:rFonts w:hint="cs"/>
          <w:rtl/>
        </w:rPr>
        <w:t xml:space="preserve">תחת </w:t>
      </w:r>
      <w:bookmarkStart w:id="34104" w:name="_ETM_Q61_248630"/>
      <w:bookmarkEnd w:id="34104"/>
      <w:r>
        <w:rPr>
          <w:rFonts w:hint="cs"/>
          <w:rtl/>
        </w:rPr>
        <w:t xml:space="preserve">ממשלות </w:t>
      </w:r>
      <w:bookmarkStart w:id="34105" w:name="_ETM_Q61_249319"/>
      <w:bookmarkEnd w:id="34105"/>
      <w:r>
        <w:rPr>
          <w:rFonts w:hint="cs"/>
          <w:rtl/>
        </w:rPr>
        <w:t xml:space="preserve">ימין </w:t>
      </w:r>
      <w:bookmarkStart w:id="34106" w:name="_ETM_Q61_249920"/>
      <w:bookmarkEnd w:id="34106"/>
      <w:r>
        <w:rPr>
          <w:rFonts w:hint="cs"/>
          <w:rtl/>
        </w:rPr>
        <w:t xml:space="preserve">וממשלות </w:t>
      </w:r>
      <w:bookmarkStart w:id="34107" w:name="_ETM_Q61_250580"/>
      <w:bookmarkEnd w:id="34107"/>
      <w:r w:rsidR="00B404F9">
        <w:rPr>
          <w:rFonts w:hint="cs"/>
          <w:rtl/>
        </w:rPr>
        <w:t>שמאל</w:t>
      </w:r>
      <w:r>
        <w:rPr>
          <w:rFonts w:hint="cs"/>
          <w:rtl/>
        </w:rPr>
        <w:t xml:space="preserve"> </w:t>
      </w:r>
      <w:bookmarkStart w:id="34108" w:name="_ETM_Q61_251330"/>
      <w:bookmarkEnd w:id="34108"/>
      <w:r>
        <w:rPr>
          <w:rFonts w:hint="cs"/>
          <w:rtl/>
        </w:rPr>
        <w:t xml:space="preserve">ובחיים </w:t>
      </w:r>
      <w:bookmarkStart w:id="34109" w:name="_ETM_Q61_252020"/>
      <w:bookmarkEnd w:id="34109"/>
      <w:r>
        <w:rPr>
          <w:rFonts w:hint="cs"/>
          <w:rtl/>
        </w:rPr>
        <w:t xml:space="preserve">לא </w:t>
      </w:r>
      <w:bookmarkStart w:id="34110" w:name="_ETM_Q61_252170"/>
      <w:bookmarkEnd w:id="34110"/>
      <w:r>
        <w:rPr>
          <w:rFonts w:hint="cs"/>
          <w:rtl/>
        </w:rPr>
        <w:t xml:space="preserve">זעקו </w:t>
      </w:r>
      <w:bookmarkStart w:id="34111" w:name="_ETM_Q61_252590"/>
      <w:bookmarkEnd w:id="34111"/>
      <w:r>
        <w:rPr>
          <w:rFonts w:hint="cs"/>
          <w:rtl/>
        </w:rPr>
        <w:t xml:space="preserve">את </w:t>
      </w:r>
      <w:bookmarkStart w:id="34112" w:name="_ETM_Q61_252680"/>
      <w:bookmarkEnd w:id="34112"/>
      <w:r>
        <w:rPr>
          <w:rFonts w:hint="cs"/>
          <w:rtl/>
        </w:rPr>
        <w:t xml:space="preserve">זעקת </w:t>
      </w:r>
      <w:bookmarkStart w:id="34113" w:name="_ETM_Q61_253220"/>
      <w:bookmarkEnd w:id="34113"/>
      <w:r>
        <w:rPr>
          <w:rFonts w:hint="cs"/>
          <w:rtl/>
        </w:rPr>
        <w:t xml:space="preserve">השבר </w:t>
      </w:r>
      <w:bookmarkStart w:id="34114" w:name="_ETM_Q61_253610"/>
      <w:bookmarkEnd w:id="34114"/>
      <w:r>
        <w:rPr>
          <w:rFonts w:hint="cs"/>
          <w:rtl/>
        </w:rPr>
        <w:t xml:space="preserve">הזאת. </w:t>
      </w:r>
      <w:bookmarkStart w:id="34115" w:name="_ETM_Q61_254959"/>
      <w:bookmarkEnd w:id="34115"/>
      <w:r>
        <w:rPr>
          <w:rFonts w:hint="cs"/>
          <w:rtl/>
        </w:rPr>
        <w:t xml:space="preserve">חובתכם </w:t>
      </w:r>
      <w:bookmarkStart w:id="34116" w:name="_ETM_Q61_256010"/>
      <w:bookmarkEnd w:id="34116"/>
      <w:r>
        <w:rPr>
          <w:rFonts w:hint="cs"/>
          <w:rtl/>
        </w:rPr>
        <w:t xml:space="preserve">בממשלת </w:t>
      </w:r>
      <w:bookmarkStart w:id="34117" w:name="_ETM_Q61_256310"/>
      <w:bookmarkStart w:id="34118" w:name="_ETM_Q61_256730"/>
      <w:bookmarkEnd w:id="34117"/>
      <w:bookmarkEnd w:id="34118"/>
      <w:r>
        <w:rPr>
          <w:rFonts w:hint="cs"/>
          <w:rtl/>
        </w:rPr>
        <w:t xml:space="preserve">ישראל </w:t>
      </w:r>
      <w:bookmarkStart w:id="34119" w:name="_ETM_Q61_257240"/>
      <w:bookmarkEnd w:id="34119"/>
      <w:r>
        <w:rPr>
          <w:rFonts w:hint="cs"/>
          <w:rtl/>
        </w:rPr>
        <w:t xml:space="preserve">להקשיב </w:t>
      </w:r>
      <w:bookmarkStart w:id="34120" w:name="_ETM_Q61_257780"/>
      <w:bookmarkEnd w:id="34120"/>
      <w:r>
        <w:rPr>
          <w:rFonts w:hint="cs"/>
          <w:rtl/>
        </w:rPr>
        <w:t xml:space="preserve">להם. </w:t>
      </w:r>
      <w:bookmarkStart w:id="34121" w:name="_ETM_Q61_259840"/>
      <w:bookmarkEnd w:id="34121"/>
    </w:p>
    <w:p w:rsidR="00BB59CD" w:rsidRDefault="00BB59CD" w:rsidP="00BB59CD">
      <w:pPr>
        <w:rPr>
          <w:rtl/>
        </w:rPr>
      </w:pPr>
    </w:p>
    <w:p w:rsidR="00BB59CD" w:rsidRDefault="00BB59CD" w:rsidP="00B404F9">
      <w:pPr>
        <w:rPr>
          <w:rtl/>
        </w:rPr>
      </w:pPr>
      <w:bookmarkStart w:id="34122" w:name="_ETM_Q61_262000"/>
      <w:bookmarkEnd w:id="34122"/>
      <w:r>
        <w:rPr>
          <w:rFonts w:hint="cs"/>
          <w:rtl/>
        </w:rPr>
        <w:t xml:space="preserve">הממשלה </w:t>
      </w:r>
      <w:bookmarkStart w:id="34123" w:name="_ETM_Q61_260530"/>
      <w:bookmarkEnd w:id="34123"/>
      <w:r>
        <w:rPr>
          <w:rFonts w:hint="cs"/>
          <w:rtl/>
        </w:rPr>
        <w:t xml:space="preserve">שאתה </w:t>
      </w:r>
      <w:bookmarkStart w:id="34124" w:name="_ETM_Q61_260920"/>
      <w:bookmarkEnd w:id="34124"/>
      <w:r>
        <w:rPr>
          <w:rFonts w:hint="cs"/>
          <w:rtl/>
        </w:rPr>
        <w:t xml:space="preserve">עומד </w:t>
      </w:r>
      <w:bookmarkStart w:id="34125" w:name="_ETM_Q61_261219"/>
      <w:bookmarkEnd w:id="34125"/>
      <w:r>
        <w:rPr>
          <w:rFonts w:hint="cs"/>
          <w:rtl/>
        </w:rPr>
        <w:t>בראשה</w:t>
      </w:r>
      <w:bookmarkStart w:id="34126" w:name="_ETM_Q61_262030"/>
      <w:bookmarkEnd w:id="34126"/>
      <w:r>
        <w:rPr>
          <w:rFonts w:hint="cs"/>
          <w:rtl/>
        </w:rPr>
        <w:t xml:space="preserve"> </w:t>
      </w:r>
      <w:bookmarkStart w:id="34127" w:name="_ETM_Q61_262630"/>
      <w:bookmarkEnd w:id="34127"/>
      <w:r>
        <w:rPr>
          <w:rFonts w:hint="cs"/>
          <w:rtl/>
        </w:rPr>
        <w:t xml:space="preserve">מסכנת </w:t>
      </w:r>
      <w:bookmarkStart w:id="34128" w:name="_ETM_Q61_263409"/>
      <w:bookmarkEnd w:id="34128"/>
      <w:r>
        <w:rPr>
          <w:rFonts w:hint="cs"/>
          <w:rtl/>
        </w:rPr>
        <w:t xml:space="preserve">את </w:t>
      </w:r>
      <w:bookmarkStart w:id="34129" w:name="_ETM_Q61_263530"/>
      <w:bookmarkEnd w:id="34129"/>
      <w:r>
        <w:rPr>
          <w:rFonts w:hint="cs"/>
          <w:rtl/>
        </w:rPr>
        <w:t xml:space="preserve">הדמוקרטיה, </w:t>
      </w:r>
      <w:bookmarkStart w:id="34130" w:name="_ETM_Q61_264759"/>
      <w:bookmarkEnd w:id="34130"/>
      <w:r>
        <w:rPr>
          <w:rFonts w:hint="cs"/>
          <w:rtl/>
        </w:rPr>
        <w:t xml:space="preserve">פוגעת </w:t>
      </w:r>
      <w:bookmarkStart w:id="34131" w:name="_ETM_Q61_265329"/>
      <w:bookmarkEnd w:id="34131"/>
      <w:r>
        <w:rPr>
          <w:rFonts w:hint="cs"/>
          <w:rtl/>
        </w:rPr>
        <w:t xml:space="preserve">בחברה </w:t>
      </w:r>
      <w:bookmarkStart w:id="34132" w:name="_ETM_Q61_265840"/>
      <w:bookmarkEnd w:id="34132"/>
      <w:r>
        <w:rPr>
          <w:rFonts w:hint="cs"/>
          <w:rtl/>
        </w:rPr>
        <w:t xml:space="preserve">הישראלית, </w:t>
      </w:r>
      <w:bookmarkStart w:id="34133" w:name="_ETM_Q61_266870"/>
      <w:bookmarkEnd w:id="34133"/>
      <w:r>
        <w:rPr>
          <w:rFonts w:hint="cs"/>
          <w:rtl/>
        </w:rPr>
        <w:t xml:space="preserve">מייצרת </w:t>
      </w:r>
      <w:bookmarkStart w:id="34134" w:name="_ETM_Q61_267800"/>
      <w:bookmarkEnd w:id="34134"/>
      <w:r>
        <w:rPr>
          <w:rFonts w:hint="cs"/>
          <w:rtl/>
        </w:rPr>
        <w:t xml:space="preserve">שסע </w:t>
      </w:r>
      <w:bookmarkStart w:id="34135" w:name="_ETM_Q61_268430"/>
      <w:bookmarkEnd w:id="34135"/>
      <w:r>
        <w:rPr>
          <w:rFonts w:hint="cs"/>
          <w:rtl/>
        </w:rPr>
        <w:t xml:space="preserve">ופילוג </w:t>
      </w:r>
      <w:bookmarkStart w:id="34136" w:name="_ETM_Q61_268940"/>
      <w:bookmarkEnd w:id="34136"/>
      <w:r>
        <w:rPr>
          <w:rFonts w:hint="cs"/>
          <w:rtl/>
        </w:rPr>
        <w:t xml:space="preserve">נורא, </w:t>
      </w:r>
      <w:bookmarkStart w:id="34137" w:name="_ETM_Q61_270159"/>
      <w:bookmarkEnd w:id="34137"/>
      <w:r>
        <w:rPr>
          <w:rFonts w:hint="cs"/>
          <w:rtl/>
        </w:rPr>
        <w:t xml:space="preserve">והכי </w:t>
      </w:r>
      <w:bookmarkStart w:id="34138" w:name="_ETM_Q61_270669"/>
      <w:bookmarkEnd w:id="34138"/>
      <w:r>
        <w:rPr>
          <w:rFonts w:hint="cs"/>
          <w:rtl/>
        </w:rPr>
        <w:t xml:space="preserve">נורא </w:t>
      </w:r>
      <w:bookmarkStart w:id="34139" w:name="_ETM_Q61_271539"/>
      <w:bookmarkEnd w:id="34139"/>
      <w:r>
        <w:rPr>
          <w:rFonts w:hint="cs"/>
          <w:rtl/>
        </w:rPr>
        <w:t xml:space="preserve">– הממשלה </w:t>
      </w:r>
      <w:bookmarkStart w:id="34140" w:name="_ETM_Q61_272200"/>
      <w:bookmarkEnd w:id="34140"/>
      <w:r>
        <w:rPr>
          <w:rFonts w:hint="cs"/>
          <w:rtl/>
        </w:rPr>
        <w:t xml:space="preserve">הזאת </w:t>
      </w:r>
      <w:bookmarkStart w:id="34141" w:name="_ETM_Q61_272529"/>
      <w:bookmarkEnd w:id="34141"/>
      <w:r>
        <w:rPr>
          <w:rFonts w:hint="cs"/>
          <w:rtl/>
        </w:rPr>
        <w:t xml:space="preserve">מנותקת </w:t>
      </w:r>
      <w:bookmarkStart w:id="34142" w:name="_ETM_Q61_273189"/>
      <w:bookmarkEnd w:id="34142"/>
      <w:r>
        <w:rPr>
          <w:rFonts w:hint="cs"/>
          <w:rtl/>
        </w:rPr>
        <w:t xml:space="preserve">מהמציאות </w:t>
      </w:r>
      <w:bookmarkStart w:id="34143" w:name="_ETM_Q61_274299"/>
      <w:bookmarkEnd w:id="34143"/>
      <w:r>
        <w:rPr>
          <w:rFonts w:hint="cs"/>
          <w:rtl/>
        </w:rPr>
        <w:t>ו</w:t>
      </w:r>
      <w:bookmarkStart w:id="34144" w:name="_ETM_Q61_274599"/>
      <w:bookmarkEnd w:id="34144"/>
      <w:r>
        <w:rPr>
          <w:rFonts w:hint="cs"/>
          <w:rtl/>
        </w:rPr>
        <w:t xml:space="preserve">מנותקת </w:t>
      </w:r>
      <w:bookmarkStart w:id="34145" w:name="_ETM_Q61_275349"/>
      <w:bookmarkEnd w:id="34145"/>
      <w:r>
        <w:rPr>
          <w:rFonts w:hint="cs"/>
          <w:rtl/>
        </w:rPr>
        <w:t xml:space="preserve">מהעם. </w:t>
      </w:r>
      <w:bookmarkStart w:id="34146" w:name="_ETM_Q61_278410"/>
      <w:bookmarkEnd w:id="34146"/>
      <w:r>
        <w:rPr>
          <w:rFonts w:hint="cs"/>
          <w:rtl/>
        </w:rPr>
        <w:t xml:space="preserve">זוהי </w:t>
      </w:r>
      <w:bookmarkStart w:id="34147" w:name="_ETM_Q61_278800"/>
      <w:bookmarkEnd w:id="34147"/>
      <w:r>
        <w:rPr>
          <w:rFonts w:hint="cs"/>
          <w:rtl/>
        </w:rPr>
        <w:t xml:space="preserve">פגיעה </w:t>
      </w:r>
      <w:bookmarkStart w:id="34148" w:name="_ETM_Q61_279280"/>
      <w:bookmarkEnd w:id="34148"/>
      <w:r>
        <w:rPr>
          <w:rFonts w:hint="cs"/>
          <w:rtl/>
        </w:rPr>
        <w:t xml:space="preserve">אנושה </w:t>
      </w:r>
      <w:bookmarkStart w:id="34149" w:name="_ETM_Q61_279790"/>
      <w:bookmarkEnd w:id="34149"/>
      <w:r>
        <w:rPr>
          <w:rFonts w:hint="cs"/>
          <w:rtl/>
        </w:rPr>
        <w:t xml:space="preserve">בחוסן </w:t>
      </w:r>
      <w:bookmarkStart w:id="34150" w:name="_ETM_Q61_280480"/>
      <w:bookmarkEnd w:id="34150"/>
      <w:r>
        <w:rPr>
          <w:rFonts w:hint="cs"/>
          <w:rtl/>
        </w:rPr>
        <w:t xml:space="preserve">הפנימי, </w:t>
      </w:r>
      <w:bookmarkStart w:id="34151" w:name="_ETM_Q61_281500"/>
      <w:bookmarkEnd w:id="34151"/>
      <w:r>
        <w:rPr>
          <w:rFonts w:hint="cs"/>
          <w:rtl/>
        </w:rPr>
        <w:t xml:space="preserve">ואתם </w:t>
      </w:r>
      <w:bookmarkStart w:id="34152" w:name="_ETM_Q61_282040"/>
      <w:bookmarkEnd w:id="34152"/>
      <w:r>
        <w:rPr>
          <w:rFonts w:hint="cs"/>
          <w:rtl/>
        </w:rPr>
        <w:t xml:space="preserve">אדישים </w:t>
      </w:r>
      <w:bookmarkStart w:id="34153" w:name="_ETM_Q61_282520"/>
      <w:bookmarkEnd w:id="34153"/>
      <w:r>
        <w:rPr>
          <w:rFonts w:hint="cs"/>
          <w:rtl/>
        </w:rPr>
        <w:t xml:space="preserve">לכך. </w:t>
      </w:r>
      <w:bookmarkStart w:id="34154" w:name="_ETM_Q61_285100"/>
      <w:bookmarkEnd w:id="34154"/>
      <w:r>
        <w:rPr>
          <w:rFonts w:hint="cs"/>
          <w:rtl/>
        </w:rPr>
        <w:t xml:space="preserve">אתם </w:t>
      </w:r>
      <w:bookmarkStart w:id="34155" w:name="_ETM_Q61_285430"/>
      <w:bookmarkEnd w:id="34155"/>
      <w:r>
        <w:rPr>
          <w:rFonts w:hint="cs"/>
          <w:rtl/>
        </w:rPr>
        <w:t xml:space="preserve">במיסקונספציה, </w:t>
      </w:r>
      <w:bookmarkStart w:id="34156" w:name="_ETM_Q61_287429"/>
      <w:bookmarkEnd w:id="34156"/>
      <w:r>
        <w:rPr>
          <w:rFonts w:hint="cs"/>
          <w:rtl/>
        </w:rPr>
        <w:t xml:space="preserve">אתם </w:t>
      </w:r>
      <w:bookmarkStart w:id="34157" w:name="_ETM_Q61_287849"/>
      <w:bookmarkEnd w:id="34157"/>
      <w:r>
        <w:rPr>
          <w:rFonts w:hint="cs"/>
          <w:rtl/>
        </w:rPr>
        <w:t xml:space="preserve">בתפיסה </w:t>
      </w:r>
      <w:bookmarkStart w:id="34158" w:name="_ETM_Q61_288479"/>
      <w:bookmarkEnd w:id="34158"/>
      <w:r>
        <w:rPr>
          <w:rFonts w:hint="cs"/>
          <w:rtl/>
        </w:rPr>
        <w:t xml:space="preserve">שגויה </w:t>
      </w:r>
      <w:bookmarkStart w:id="34159" w:name="_ETM_Q61_288989"/>
      <w:bookmarkEnd w:id="34159"/>
      <w:r>
        <w:rPr>
          <w:rFonts w:hint="cs"/>
          <w:rtl/>
        </w:rPr>
        <w:t xml:space="preserve">של </w:t>
      </w:r>
      <w:bookmarkStart w:id="34160" w:name="_ETM_Q61_289169"/>
      <w:bookmarkEnd w:id="34160"/>
      <w:r>
        <w:rPr>
          <w:rFonts w:hint="cs"/>
          <w:rtl/>
        </w:rPr>
        <w:t xml:space="preserve">המציאות. </w:t>
      </w:r>
      <w:bookmarkStart w:id="34161" w:name="_ETM_Q61_290440"/>
      <w:bookmarkEnd w:id="34161"/>
      <w:r>
        <w:rPr>
          <w:rFonts w:hint="cs"/>
          <w:rtl/>
        </w:rPr>
        <w:t xml:space="preserve">ממשלת </w:t>
      </w:r>
      <w:bookmarkStart w:id="34162" w:name="_ETM_Q61_291220"/>
      <w:bookmarkEnd w:id="34162"/>
      <w:r>
        <w:rPr>
          <w:rFonts w:hint="cs"/>
          <w:rtl/>
        </w:rPr>
        <w:t xml:space="preserve">ישראל </w:t>
      </w:r>
      <w:bookmarkStart w:id="34163" w:name="_ETM_Q61_291790"/>
      <w:bookmarkEnd w:id="34163"/>
      <w:r>
        <w:rPr>
          <w:rFonts w:hint="cs"/>
          <w:rtl/>
        </w:rPr>
        <w:t xml:space="preserve">תופסת </w:t>
      </w:r>
      <w:bookmarkStart w:id="34164" w:name="_ETM_Q61_292299"/>
      <w:bookmarkEnd w:id="34164"/>
      <w:r>
        <w:rPr>
          <w:rFonts w:hint="cs"/>
          <w:rtl/>
        </w:rPr>
        <w:t xml:space="preserve">את </w:t>
      </w:r>
      <w:bookmarkStart w:id="34165" w:name="_ETM_Q61_292479"/>
      <w:bookmarkEnd w:id="34165"/>
      <w:r>
        <w:rPr>
          <w:rFonts w:hint="cs"/>
          <w:rtl/>
        </w:rPr>
        <w:t xml:space="preserve">המציאות </w:t>
      </w:r>
      <w:bookmarkStart w:id="34166" w:name="_ETM_Q61_293049"/>
      <w:bookmarkEnd w:id="34166"/>
      <w:r>
        <w:rPr>
          <w:rFonts w:hint="cs"/>
          <w:rtl/>
        </w:rPr>
        <w:t xml:space="preserve">באופן </w:t>
      </w:r>
      <w:bookmarkStart w:id="34167" w:name="_ETM_Q61_293470"/>
      <w:bookmarkEnd w:id="34167"/>
      <w:r>
        <w:rPr>
          <w:rFonts w:hint="cs"/>
          <w:rtl/>
        </w:rPr>
        <w:t xml:space="preserve">שגוי, </w:t>
      </w:r>
      <w:bookmarkStart w:id="34168" w:name="_ETM_Q61_294280"/>
      <w:bookmarkEnd w:id="34168"/>
      <w:r>
        <w:rPr>
          <w:rFonts w:hint="cs"/>
          <w:rtl/>
        </w:rPr>
        <w:t xml:space="preserve">בדומה </w:t>
      </w:r>
      <w:bookmarkStart w:id="34169" w:name="_ETM_Q61_294939"/>
      <w:bookmarkStart w:id="34170" w:name="_ETM_Q61_295119"/>
      <w:bookmarkEnd w:id="34169"/>
      <w:bookmarkEnd w:id="34170"/>
      <w:r>
        <w:rPr>
          <w:rFonts w:hint="cs"/>
          <w:rtl/>
        </w:rPr>
        <w:t xml:space="preserve">לממשלת </w:t>
      </w:r>
      <w:bookmarkStart w:id="34171" w:name="_ETM_Q61_295600"/>
      <w:bookmarkEnd w:id="34171"/>
      <w:r>
        <w:rPr>
          <w:rFonts w:hint="cs"/>
          <w:rtl/>
        </w:rPr>
        <w:t xml:space="preserve">ישראל </w:t>
      </w:r>
      <w:bookmarkStart w:id="34172" w:name="_ETM_Q61_296079"/>
      <w:bookmarkEnd w:id="34172"/>
      <w:r>
        <w:rPr>
          <w:rFonts w:hint="cs"/>
          <w:rtl/>
        </w:rPr>
        <w:t xml:space="preserve">טרום </w:t>
      </w:r>
      <w:bookmarkStart w:id="34173" w:name="_ETM_Q61_296469"/>
      <w:bookmarkStart w:id="34174" w:name="_ETM_Q61_299550"/>
      <w:bookmarkEnd w:id="34173"/>
      <w:bookmarkEnd w:id="34174"/>
      <w:r>
        <w:rPr>
          <w:rFonts w:hint="cs"/>
          <w:rtl/>
        </w:rPr>
        <w:t xml:space="preserve">מלחמת </w:t>
      </w:r>
      <w:bookmarkStart w:id="34175" w:name="_ETM_Q61_299970"/>
      <w:bookmarkEnd w:id="34175"/>
      <w:r>
        <w:rPr>
          <w:rFonts w:hint="cs"/>
          <w:rtl/>
        </w:rPr>
        <w:t xml:space="preserve">יום </w:t>
      </w:r>
      <w:bookmarkStart w:id="34176" w:name="_ETM_Q61_300210"/>
      <w:bookmarkEnd w:id="34176"/>
      <w:r>
        <w:rPr>
          <w:rFonts w:hint="cs"/>
          <w:rtl/>
        </w:rPr>
        <w:t xml:space="preserve">הכיפורים. </w:t>
      </w:r>
      <w:bookmarkStart w:id="34177" w:name="_ETM_Q61_305100"/>
      <w:bookmarkStart w:id="34178" w:name="_ETM_Q61_303000"/>
      <w:bookmarkEnd w:id="34177"/>
      <w:bookmarkEnd w:id="34178"/>
      <w:r>
        <w:rPr>
          <w:rFonts w:hint="cs"/>
          <w:rtl/>
        </w:rPr>
        <w:t xml:space="preserve">אדוני, </w:t>
      </w:r>
      <w:bookmarkStart w:id="34179" w:name="_ETM_Q61_306000"/>
      <w:bookmarkEnd w:id="34179"/>
      <w:r>
        <w:rPr>
          <w:rFonts w:hint="cs"/>
          <w:rtl/>
        </w:rPr>
        <w:t xml:space="preserve">זוהי </w:t>
      </w:r>
      <w:bookmarkStart w:id="34180" w:name="_ETM_Q61_306299"/>
      <w:bookmarkEnd w:id="34180"/>
      <w:r>
        <w:rPr>
          <w:rFonts w:hint="cs"/>
          <w:rtl/>
        </w:rPr>
        <w:t xml:space="preserve">סכנה </w:t>
      </w:r>
      <w:bookmarkStart w:id="34181" w:name="_ETM_Q61_306810"/>
      <w:bookmarkEnd w:id="34181"/>
      <w:r>
        <w:rPr>
          <w:rFonts w:hint="cs"/>
          <w:rtl/>
        </w:rPr>
        <w:t xml:space="preserve">קיומית </w:t>
      </w:r>
      <w:bookmarkStart w:id="34182" w:name="_ETM_Q61_307320"/>
      <w:bookmarkEnd w:id="34182"/>
      <w:r>
        <w:rPr>
          <w:rFonts w:hint="cs"/>
          <w:rtl/>
        </w:rPr>
        <w:t xml:space="preserve">גדולה </w:t>
      </w:r>
      <w:bookmarkStart w:id="34183" w:name="_ETM_Q61_307710"/>
      <w:bookmarkEnd w:id="34183"/>
      <w:r>
        <w:rPr>
          <w:rFonts w:hint="cs"/>
          <w:rtl/>
        </w:rPr>
        <w:t xml:space="preserve">פי </w:t>
      </w:r>
      <w:bookmarkStart w:id="34184" w:name="_ETM_Q61_307860"/>
      <w:bookmarkEnd w:id="34184"/>
      <w:r>
        <w:rPr>
          <w:rFonts w:hint="cs"/>
          <w:rtl/>
        </w:rPr>
        <w:t xml:space="preserve">כמה. </w:t>
      </w:r>
      <w:bookmarkStart w:id="34185" w:name="_ETM_Q61_309610"/>
      <w:bookmarkEnd w:id="34185"/>
      <w:r>
        <w:rPr>
          <w:rFonts w:hint="cs"/>
          <w:rtl/>
        </w:rPr>
        <w:t xml:space="preserve">אתם </w:t>
      </w:r>
      <w:bookmarkStart w:id="34186" w:name="_ETM_Q61_310090"/>
      <w:bookmarkStart w:id="34187" w:name="_ETM_Q61_310540"/>
      <w:bookmarkEnd w:id="34186"/>
      <w:bookmarkEnd w:id="34187"/>
      <w:r>
        <w:rPr>
          <w:rFonts w:hint="cs"/>
          <w:rtl/>
        </w:rPr>
        <w:t xml:space="preserve">מובילים </w:t>
      </w:r>
      <w:bookmarkStart w:id="34188" w:name="_ETM_Q61_310930"/>
      <w:bookmarkEnd w:id="34188"/>
      <w:r>
        <w:rPr>
          <w:rFonts w:hint="cs"/>
          <w:rtl/>
        </w:rPr>
        <w:t xml:space="preserve">את </w:t>
      </w:r>
      <w:bookmarkStart w:id="34189" w:name="_ETM_Q61_311050"/>
      <w:bookmarkEnd w:id="34189"/>
      <w:r>
        <w:rPr>
          <w:rFonts w:hint="cs"/>
          <w:rtl/>
        </w:rPr>
        <w:t xml:space="preserve">המדינה </w:t>
      </w:r>
      <w:bookmarkStart w:id="34190" w:name="_ETM_Q61_311800"/>
      <w:bookmarkEnd w:id="34190"/>
      <w:r>
        <w:rPr>
          <w:rFonts w:hint="cs"/>
          <w:rtl/>
        </w:rPr>
        <w:t xml:space="preserve">למלחמת </w:t>
      </w:r>
      <w:bookmarkStart w:id="34191" w:name="_ETM_Q61_312520"/>
      <w:bookmarkEnd w:id="34191"/>
      <w:r>
        <w:rPr>
          <w:rFonts w:hint="cs"/>
          <w:rtl/>
        </w:rPr>
        <w:t>אחים.</w:t>
      </w:r>
    </w:p>
    <w:p w:rsidR="00BB59CD" w:rsidRDefault="00BB59CD" w:rsidP="00BB59CD">
      <w:pPr>
        <w:rPr>
          <w:rtl/>
        </w:rPr>
      </w:pPr>
    </w:p>
    <w:p w:rsidR="00BB59CD" w:rsidRDefault="00BB59CD" w:rsidP="00B404F9">
      <w:pPr>
        <w:rPr>
          <w:rtl/>
        </w:rPr>
      </w:pPr>
      <w:bookmarkStart w:id="34192" w:name="_ETM_Q61_323000"/>
      <w:bookmarkStart w:id="34193" w:name="_ETM_Q61_318270"/>
      <w:bookmarkEnd w:id="34192"/>
      <w:bookmarkEnd w:id="34193"/>
      <w:r>
        <w:rPr>
          <w:rFonts w:hint="cs"/>
          <w:rtl/>
        </w:rPr>
        <w:t xml:space="preserve">אני </w:t>
      </w:r>
      <w:bookmarkStart w:id="34194" w:name="_ETM_Q61_318510"/>
      <w:bookmarkEnd w:id="34194"/>
      <w:r>
        <w:rPr>
          <w:rFonts w:hint="cs"/>
          <w:rtl/>
        </w:rPr>
        <w:t xml:space="preserve">מבקשת </w:t>
      </w:r>
      <w:bookmarkStart w:id="34195" w:name="_ETM_Q61_319080"/>
      <w:bookmarkEnd w:id="34195"/>
      <w:r>
        <w:rPr>
          <w:rFonts w:hint="cs"/>
          <w:rtl/>
        </w:rPr>
        <w:t xml:space="preserve">להפנות </w:t>
      </w:r>
      <w:bookmarkStart w:id="34196" w:name="_ETM_Q61_320160"/>
      <w:bookmarkEnd w:id="34196"/>
      <w:r>
        <w:rPr>
          <w:rFonts w:hint="cs"/>
          <w:rtl/>
        </w:rPr>
        <w:t xml:space="preserve">את </w:t>
      </w:r>
      <w:bookmarkStart w:id="34197" w:name="_ETM_Q61_320310"/>
      <w:bookmarkEnd w:id="34197"/>
      <w:r>
        <w:rPr>
          <w:rFonts w:hint="cs"/>
          <w:rtl/>
        </w:rPr>
        <w:t xml:space="preserve">תשומת </w:t>
      </w:r>
      <w:bookmarkStart w:id="34198" w:name="_ETM_Q61_320700"/>
      <w:bookmarkEnd w:id="34198"/>
      <w:r>
        <w:rPr>
          <w:rFonts w:hint="cs"/>
          <w:rtl/>
        </w:rPr>
        <w:t xml:space="preserve">הלב </w:t>
      </w:r>
      <w:bookmarkStart w:id="34199" w:name="_ETM_Q61_321060"/>
      <w:bookmarkEnd w:id="34199"/>
      <w:r>
        <w:rPr>
          <w:rFonts w:hint="cs"/>
          <w:rtl/>
        </w:rPr>
        <w:t xml:space="preserve">לתזמון </w:t>
      </w:r>
      <w:bookmarkStart w:id="34200" w:name="_ETM_Q61_321540"/>
      <w:bookmarkEnd w:id="34200"/>
      <w:r>
        <w:rPr>
          <w:rFonts w:hint="cs"/>
          <w:rtl/>
        </w:rPr>
        <w:t xml:space="preserve">ההיסטורי. </w:t>
      </w:r>
      <w:bookmarkStart w:id="34201" w:name="_ETM_Q61_323750"/>
      <w:bookmarkEnd w:id="34201"/>
      <w:r>
        <w:rPr>
          <w:rFonts w:hint="cs"/>
          <w:rtl/>
        </w:rPr>
        <w:t xml:space="preserve">אנחנו </w:t>
      </w:r>
      <w:bookmarkStart w:id="34202" w:name="_ETM_Q61_324169"/>
      <w:bookmarkEnd w:id="34202"/>
      <w:r>
        <w:rPr>
          <w:rFonts w:hint="cs"/>
          <w:rtl/>
        </w:rPr>
        <w:t xml:space="preserve">נמצאים </w:t>
      </w:r>
      <w:bookmarkStart w:id="34203" w:name="_ETM_Q61_324739"/>
      <w:bookmarkEnd w:id="34203"/>
      <w:r>
        <w:rPr>
          <w:rFonts w:hint="cs"/>
          <w:rtl/>
        </w:rPr>
        <w:t xml:space="preserve">לפני </w:t>
      </w:r>
      <w:bookmarkStart w:id="34204" w:name="_ETM_Q61_325129"/>
      <w:bookmarkEnd w:id="34204"/>
      <w:r>
        <w:rPr>
          <w:rFonts w:hint="cs"/>
          <w:rtl/>
        </w:rPr>
        <w:t xml:space="preserve">צום </w:t>
      </w:r>
      <w:bookmarkStart w:id="34205" w:name="_ETM_Q61_327000"/>
      <w:bookmarkEnd w:id="34205"/>
      <w:r>
        <w:rPr>
          <w:rFonts w:hint="cs"/>
          <w:rtl/>
        </w:rPr>
        <w:t xml:space="preserve">תשעה </w:t>
      </w:r>
      <w:bookmarkStart w:id="34206" w:name="_ETM_Q61_325790"/>
      <w:bookmarkEnd w:id="34206"/>
      <w:r>
        <w:rPr>
          <w:rFonts w:hint="cs"/>
          <w:rtl/>
        </w:rPr>
        <w:t xml:space="preserve">באב </w:t>
      </w:r>
      <w:bookmarkStart w:id="34207" w:name="_ETM_Q61_326660"/>
      <w:bookmarkEnd w:id="34207"/>
      <w:r>
        <w:rPr>
          <w:rFonts w:hint="cs"/>
          <w:rtl/>
        </w:rPr>
        <w:t xml:space="preserve">על </w:t>
      </w:r>
      <w:bookmarkStart w:id="34208" w:name="_ETM_Q61_326840"/>
      <w:bookmarkEnd w:id="34208"/>
      <w:r>
        <w:rPr>
          <w:rFonts w:hint="cs"/>
          <w:rtl/>
        </w:rPr>
        <w:t xml:space="preserve">שום </w:t>
      </w:r>
      <w:bookmarkStart w:id="34209" w:name="_ETM_Q61_327139"/>
      <w:bookmarkEnd w:id="34209"/>
      <w:r>
        <w:rPr>
          <w:rFonts w:hint="cs"/>
          <w:rtl/>
        </w:rPr>
        <w:t xml:space="preserve">חורבן </w:t>
      </w:r>
      <w:bookmarkStart w:id="34210" w:name="_ETM_Q61_327709"/>
      <w:bookmarkEnd w:id="34210"/>
      <w:r>
        <w:rPr>
          <w:rFonts w:hint="cs"/>
          <w:rtl/>
        </w:rPr>
        <w:t xml:space="preserve">בית </w:t>
      </w:r>
      <w:bookmarkStart w:id="34211" w:name="_ETM_Q61_327919"/>
      <w:bookmarkEnd w:id="34211"/>
      <w:r>
        <w:rPr>
          <w:rFonts w:hint="cs"/>
          <w:rtl/>
        </w:rPr>
        <w:t xml:space="preserve">המקדש, </w:t>
      </w:r>
      <w:bookmarkStart w:id="34212" w:name="_ETM_Q61_329000"/>
      <w:bookmarkEnd w:id="34212"/>
      <w:r>
        <w:rPr>
          <w:rFonts w:hint="cs"/>
          <w:rtl/>
        </w:rPr>
        <w:t xml:space="preserve">שנחרב </w:t>
      </w:r>
      <w:bookmarkStart w:id="34213" w:name="_ETM_Q61_329810"/>
      <w:bookmarkEnd w:id="34213"/>
      <w:r>
        <w:rPr>
          <w:rFonts w:hint="cs"/>
          <w:rtl/>
        </w:rPr>
        <w:t xml:space="preserve">על </w:t>
      </w:r>
      <w:bookmarkStart w:id="34214" w:name="_ETM_Q61_329900"/>
      <w:bookmarkEnd w:id="34214"/>
      <w:r>
        <w:rPr>
          <w:rFonts w:hint="cs"/>
          <w:rtl/>
        </w:rPr>
        <w:t xml:space="preserve">שנאת </w:t>
      </w:r>
      <w:bookmarkStart w:id="34215" w:name="_ETM_Q61_330410"/>
      <w:bookmarkEnd w:id="34215"/>
      <w:r>
        <w:rPr>
          <w:rFonts w:hint="cs"/>
          <w:rtl/>
        </w:rPr>
        <w:t xml:space="preserve">אחים. </w:t>
      </w:r>
      <w:bookmarkStart w:id="34216" w:name="_ETM_Q61_331739"/>
      <w:bookmarkEnd w:id="34216"/>
      <w:r>
        <w:rPr>
          <w:rFonts w:hint="cs"/>
          <w:rtl/>
        </w:rPr>
        <w:t xml:space="preserve">אותה </w:t>
      </w:r>
      <w:bookmarkStart w:id="34217" w:name="_ETM_Q61_332280"/>
      <w:bookmarkEnd w:id="34217"/>
      <w:r>
        <w:rPr>
          <w:rFonts w:hint="cs"/>
          <w:rtl/>
        </w:rPr>
        <w:t xml:space="preserve">תקופה </w:t>
      </w:r>
      <w:bookmarkStart w:id="34218" w:name="_ETM_Q61_333290"/>
      <w:bookmarkStart w:id="34219" w:name="_ETM_Q61_333500"/>
      <w:bookmarkEnd w:id="34218"/>
      <w:bookmarkEnd w:id="34219"/>
      <w:r>
        <w:rPr>
          <w:rFonts w:hint="cs"/>
          <w:rtl/>
        </w:rPr>
        <w:t xml:space="preserve">הייתה </w:t>
      </w:r>
      <w:bookmarkStart w:id="34220" w:name="_ETM_Q61_333770"/>
      <w:bookmarkEnd w:id="34220"/>
      <w:r>
        <w:rPr>
          <w:rFonts w:hint="cs"/>
          <w:rtl/>
        </w:rPr>
        <w:t xml:space="preserve">תקופה </w:t>
      </w:r>
      <w:bookmarkStart w:id="34221" w:name="_ETM_Q61_334250"/>
      <w:bookmarkEnd w:id="34221"/>
      <w:r>
        <w:rPr>
          <w:rFonts w:hint="cs"/>
          <w:rtl/>
        </w:rPr>
        <w:t xml:space="preserve">של </w:t>
      </w:r>
      <w:bookmarkStart w:id="34222" w:name="_ETM_Q61_334460"/>
      <w:bookmarkEnd w:id="34222"/>
      <w:r>
        <w:rPr>
          <w:rFonts w:hint="cs"/>
          <w:rtl/>
        </w:rPr>
        <w:t xml:space="preserve">תורה </w:t>
      </w:r>
      <w:bookmarkStart w:id="34223" w:name="_ETM_Q61_334790"/>
      <w:bookmarkEnd w:id="34223"/>
      <w:r>
        <w:rPr>
          <w:rFonts w:hint="cs"/>
          <w:rtl/>
        </w:rPr>
        <w:t xml:space="preserve">וחסד </w:t>
      </w:r>
      <w:bookmarkStart w:id="34224" w:name="_ETM_Q61_335360"/>
      <w:bookmarkEnd w:id="34224"/>
      <w:r>
        <w:rPr>
          <w:rFonts w:hint="cs"/>
          <w:rtl/>
        </w:rPr>
        <w:t xml:space="preserve">לעם </w:t>
      </w:r>
      <w:bookmarkStart w:id="34225" w:name="_ETM_Q61_335630"/>
      <w:bookmarkEnd w:id="34225"/>
      <w:r>
        <w:rPr>
          <w:rFonts w:hint="cs"/>
          <w:rtl/>
        </w:rPr>
        <w:t>ישראל</w:t>
      </w:r>
      <w:r w:rsidR="00B404F9">
        <w:rPr>
          <w:rFonts w:hint="cs"/>
          <w:rtl/>
        </w:rPr>
        <w:t>,</w:t>
      </w:r>
      <w:r>
        <w:rPr>
          <w:rFonts w:hint="cs"/>
          <w:rtl/>
        </w:rPr>
        <w:t xml:space="preserve"> </w:t>
      </w:r>
      <w:bookmarkStart w:id="34226" w:name="_ETM_Q61_336849"/>
      <w:bookmarkEnd w:id="34226"/>
      <w:r>
        <w:rPr>
          <w:rFonts w:hint="cs"/>
          <w:rtl/>
        </w:rPr>
        <w:t xml:space="preserve">היינו </w:t>
      </w:r>
      <w:bookmarkStart w:id="34227" w:name="_ETM_Q61_337180"/>
      <w:bookmarkEnd w:id="34227"/>
      <w:r>
        <w:rPr>
          <w:rFonts w:hint="cs"/>
          <w:rtl/>
        </w:rPr>
        <w:t xml:space="preserve">אמורים </w:t>
      </w:r>
      <w:bookmarkStart w:id="34228" w:name="_ETM_Q61_337569"/>
      <w:bookmarkEnd w:id="34228"/>
      <w:r>
        <w:rPr>
          <w:rFonts w:hint="cs"/>
          <w:rtl/>
        </w:rPr>
        <w:t xml:space="preserve">לראות </w:t>
      </w:r>
      <w:bookmarkStart w:id="34229" w:name="_ETM_Q61_337900"/>
      <w:bookmarkEnd w:id="34229"/>
      <w:r>
        <w:rPr>
          <w:rFonts w:hint="cs"/>
          <w:rtl/>
        </w:rPr>
        <w:t xml:space="preserve">רק </w:t>
      </w:r>
      <w:bookmarkStart w:id="34230" w:name="_ETM_Q61_338139"/>
      <w:bookmarkEnd w:id="34230"/>
      <w:r>
        <w:rPr>
          <w:rFonts w:hint="cs"/>
          <w:rtl/>
        </w:rPr>
        <w:t xml:space="preserve">ישועות, </w:t>
      </w:r>
      <w:bookmarkStart w:id="34231" w:name="_ETM_Q61_339129"/>
      <w:bookmarkEnd w:id="34231"/>
      <w:r>
        <w:rPr>
          <w:rFonts w:hint="cs"/>
          <w:rtl/>
        </w:rPr>
        <w:t xml:space="preserve">אבל </w:t>
      </w:r>
      <w:bookmarkStart w:id="34232" w:name="_ETM_Q61_339430"/>
      <w:bookmarkEnd w:id="34232"/>
      <w:r>
        <w:rPr>
          <w:rFonts w:hint="cs"/>
          <w:rtl/>
        </w:rPr>
        <w:t xml:space="preserve">הכול </w:t>
      </w:r>
      <w:bookmarkStart w:id="34233" w:name="_ETM_Q61_339790"/>
      <w:bookmarkEnd w:id="34233"/>
      <w:r>
        <w:rPr>
          <w:rFonts w:hint="cs"/>
          <w:rtl/>
        </w:rPr>
        <w:t xml:space="preserve">קרס </w:t>
      </w:r>
      <w:bookmarkStart w:id="34234" w:name="_ETM_Q61_340700"/>
      <w:bookmarkEnd w:id="34234"/>
      <w:r>
        <w:rPr>
          <w:rFonts w:hint="cs"/>
          <w:rtl/>
        </w:rPr>
        <w:t xml:space="preserve">עקב </w:t>
      </w:r>
      <w:bookmarkStart w:id="34235" w:name="_ETM_Q61_341240"/>
      <w:bookmarkEnd w:id="34235"/>
      <w:r>
        <w:rPr>
          <w:rFonts w:hint="cs"/>
          <w:rtl/>
        </w:rPr>
        <w:t xml:space="preserve">שנאת </w:t>
      </w:r>
      <w:bookmarkStart w:id="34236" w:name="_ETM_Q61_341780"/>
      <w:bookmarkEnd w:id="34236"/>
      <w:r>
        <w:rPr>
          <w:rFonts w:hint="cs"/>
          <w:rtl/>
        </w:rPr>
        <w:t xml:space="preserve">אחים, </w:t>
      </w:r>
      <w:bookmarkStart w:id="34237" w:name="_ETM_Q61_343040"/>
      <w:bookmarkEnd w:id="34237"/>
      <w:r>
        <w:rPr>
          <w:rFonts w:hint="cs"/>
          <w:rtl/>
        </w:rPr>
        <w:t xml:space="preserve">שנאת </w:t>
      </w:r>
      <w:bookmarkStart w:id="34238" w:name="_ETM_Q61_343669"/>
      <w:bookmarkEnd w:id="34238"/>
      <w:r>
        <w:rPr>
          <w:rFonts w:hint="cs"/>
          <w:rtl/>
        </w:rPr>
        <w:t xml:space="preserve">אחים </w:t>
      </w:r>
      <w:bookmarkStart w:id="34239" w:name="_ETM_Q61_344180"/>
      <w:bookmarkEnd w:id="34239"/>
      <w:r>
        <w:rPr>
          <w:rFonts w:hint="cs"/>
          <w:rtl/>
        </w:rPr>
        <w:t xml:space="preserve">אשר </w:t>
      </w:r>
      <w:bookmarkStart w:id="34240" w:name="_ETM_Q61_344480"/>
      <w:bookmarkEnd w:id="34240"/>
      <w:r>
        <w:rPr>
          <w:rFonts w:hint="cs"/>
          <w:rtl/>
        </w:rPr>
        <w:t xml:space="preserve">התחוללה </w:t>
      </w:r>
      <w:bookmarkStart w:id="34241" w:name="_ETM_Q61_345110"/>
      <w:bookmarkEnd w:id="34241"/>
      <w:r>
        <w:rPr>
          <w:rFonts w:hint="cs"/>
          <w:rtl/>
        </w:rPr>
        <w:t xml:space="preserve">בין </w:t>
      </w:r>
      <w:bookmarkStart w:id="34242" w:name="_ETM_Q61_345319"/>
      <w:bookmarkEnd w:id="34242"/>
      <w:r>
        <w:rPr>
          <w:rFonts w:hint="cs"/>
          <w:rtl/>
        </w:rPr>
        <w:t xml:space="preserve">איש </w:t>
      </w:r>
      <w:bookmarkStart w:id="34243" w:name="_ETM_Q61_345530"/>
      <w:bookmarkEnd w:id="34243"/>
      <w:r>
        <w:rPr>
          <w:rFonts w:hint="cs"/>
          <w:rtl/>
        </w:rPr>
        <w:t xml:space="preserve">לרעהו. </w:t>
      </w:r>
      <w:bookmarkStart w:id="34244" w:name="_ETM_Q61_348069"/>
      <w:bookmarkEnd w:id="34244"/>
    </w:p>
    <w:p w:rsidR="00BB59CD" w:rsidRDefault="00BB59CD" w:rsidP="00BB59CD">
      <w:pPr>
        <w:rPr>
          <w:rtl/>
        </w:rPr>
      </w:pPr>
      <w:bookmarkStart w:id="34245" w:name="_ETM_Q61_351000"/>
      <w:bookmarkEnd w:id="34245"/>
    </w:p>
    <w:p w:rsidR="00B404F9" w:rsidRDefault="00BB59CD" w:rsidP="00B404F9">
      <w:pPr>
        <w:rPr>
          <w:rtl/>
        </w:rPr>
      </w:pPr>
      <w:r>
        <w:rPr>
          <w:rFonts w:hint="cs"/>
          <w:rtl/>
        </w:rPr>
        <w:t xml:space="preserve">ראש </w:t>
      </w:r>
      <w:bookmarkStart w:id="34246" w:name="_ETM_Q61_348370"/>
      <w:bookmarkEnd w:id="34246"/>
      <w:r>
        <w:rPr>
          <w:rFonts w:hint="cs"/>
          <w:rtl/>
        </w:rPr>
        <w:t xml:space="preserve">הממשלה, </w:t>
      </w:r>
      <w:bookmarkStart w:id="34247" w:name="_ETM_Q61_349360"/>
      <w:bookmarkEnd w:id="34247"/>
      <w:r>
        <w:rPr>
          <w:rFonts w:hint="cs"/>
          <w:rtl/>
        </w:rPr>
        <w:t xml:space="preserve">אל </w:t>
      </w:r>
      <w:bookmarkStart w:id="34248" w:name="_ETM_Q61_349599"/>
      <w:bookmarkEnd w:id="34248"/>
      <w:r>
        <w:rPr>
          <w:rFonts w:hint="cs"/>
          <w:rtl/>
        </w:rPr>
        <w:t xml:space="preserve">תביא </w:t>
      </w:r>
      <w:bookmarkStart w:id="34249" w:name="_ETM_Q61_349900"/>
      <w:bookmarkEnd w:id="34249"/>
      <w:r>
        <w:rPr>
          <w:rFonts w:hint="cs"/>
          <w:rtl/>
        </w:rPr>
        <w:t xml:space="preserve">עלינו </w:t>
      </w:r>
      <w:bookmarkStart w:id="34250" w:name="_ETM_Q61_350200"/>
      <w:bookmarkEnd w:id="34250"/>
      <w:r>
        <w:rPr>
          <w:rFonts w:hint="cs"/>
          <w:rtl/>
        </w:rPr>
        <w:t xml:space="preserve">חורבן </w:t>
      </w:r>
      <w:bookmarkStart w:id="34251" w:name="_ETM_Q61_350650"/>
      <w:bookmarkEnd w:id="34251"/>
      <w:r>
        <w:rPr>
          <w:rFonts w:hint="cs"/>
          <w:rtl/>
        </w:rPr>
        <w:t xml:space="preserve">בית </w:t>
      </w:r>
      <w:bookmarkStart w:id="34252" w:name="_ETM_Q61_350950"/>
      <w:bookmarkEnd w:id="34252"/>
      <w:r>
        <w:rPr>
          <w:rFonts w:hint="cs"/>
          <w:rtl/>
        </w:rPr>
        <w:t xml:space="preserve">שלישי. </w:t>
      </w:r>
      <w:bookmarkStart w:id="34253" w:name="_ETM_Q61_353360"/>
      <w:bookmarkEnd w:id="34253"/>
      <w:r>
        <w:rPr>
          <w:rFonts w:hint="cs"/>
          <w:rtl/>
        </w:rPr>
        <w:t xml:space="preserve">שנאת </w:t>
      </w:r>
      <w:bookmarkStart w:id="34254" w:name="_ETM_Q61_354049"/>
      <w:bookmarkEnd w:id="34254"/>
      <w:r>
        <w:rPr>
          <w:rFonts w:hint="cs"/>
          <w:rtl/>
        </w:rPr>
        <w:t>אחים</w:t>
      </w:r>
      <w:r w:rsidR="00B404F9">
        <w:rPr>
          <w:rFonts w:hint="cs"/>
          <w:rtl/>
        </w:rPr>
        <w:t>,</w:t>
      </w:r>
      <w:r>
        <w:rPr>
          <w:rFonts w:hint="cs"/>
          <w:rtl/>
        </w:rPr>
        <w:t xml:space="preserve"> </w:t>
      </w:r>
      <w:bookmarkStart w:id="34255" w:name="_ETM_Q61_354409"/>
      <w:bookmarkEnd w:id="34255"/>
      <w:r>
        <w:rPr>
          <w:rFonts w:hint="cs"/>
          <w:rtl/>
        </w:rPr>
        <w:t xml:space="preserve">מלחמת </w:t>
      </w:r>
      <w:bookmarkStart w:id="34256" w:name="_ETM_Q61_355099"/>
      <w:bookmarkEnd w:id="34256"/>
      <w:r>
        <w:rPr>
          <w:rFonts w:hint="cs"/>
          <w:rtl/>
        </w:rPr>
        <w:t xml:space="preserve">אחים, </w:t>
      </w:r>
      <w:bookmarkStart w:id="34257" w:name="_ETM_Q61_355430"/>
      <w:bookmarkEnd w:id="34257"/>
      <w:r>
        <w:rPr>
          <w:rFonts w:hint="cs"/>
          <w:rtl/>
        </w:rPr>
        <w:t xml:space="preserve">שאנו </w:t>
      </w:r>
      <w:bookmarkStart w:id="34258" w:name="_ETM_Q61_355790"/>
      <w:bookmarkEnd w:id="34258"/>
      <w:r>
        <w:rPr>
          <w:rFonts w:hint="cs"/>
          <w:rtl/>
        </w:rPr>
        <w:t xml:space="preserve">נמצאים </w:t>
      </w:r>
      <w:bookmarkStart w:id="34259" w:name="_ETM_Q61_356389"/>
      <w:bookmarkEnd w:id="34259"/>
      <w:r w:rsidR="00B404F9">
        <w:rPr>
          <w:rFonts w:hint="cs"/>
          <w:rtl/>
        </w:rPr>
        <w:t>כ</w:t>
      </w:r>
      <w:r>
        <w:rPr>
          <w:rFonts w:hint="cs"/>
          <w:rtl/>
        </w:rPr>
        <w:t xml:space="preserve">פסע </w:t>
      </w:r>
      <w:bookmarkStart w:id="34260" w:name="_ETM_Q61_356840"/>
      <w:bookmarkEnd w:id="34260"/>
      <w:r>
        <w:rPr>
          <w:rFonts w:hint="cs"/>
          <w:rtl/>
        </w:rPr>
        <w:t xml:space="preserve">ממנה, </w:t>
      </w:r>
      <w:bookmarkStart w:id="34261" w:name="_ETM_Q61_358069"/>
      <w:bookmarkEnd w:id="34261"/>
      <w:r>
        <w:rPr>
          <w:rFonts w:hint="cs"/>
          <w:rtl/>
        </w:rPr>
        <w:t xml:space="preserve">תהיה </w:t>
      </w:r>
      <w:bookmarkStart w:id="34262" w:name="_ETM_Q61_358459"/>
      <w:bookmarkEnd w:id="34262"/>
      <w:r>
        <w:rPr>
          <w:rFonts w:hint="cs"/>
          <w:rtl/>
        </w:rPr>
        <w:t xml:space="preserve">באחריותך </w:t>
      </w:r>
      <w:bookmarkStart w:id="34263" w:name="_ETM_Q61_359190"/>
      <w:bookmarkEnd w:id="34263"/>
      <w:r>
        <w:rPr>
          <w:rFonts w:hint="cs"/>
          <w:rtl/>
        </w:rPr>
        <w:t xml:space="preserve">האישית </w:t>
      </w:r>
      <w:bookmarkStart w:id="34264" w:name="_ETM_Q61_359700"/>
      <w:bookmarkEnd w:id="34264"/>
      <w:r>
        <w:rPr>
          <w:rFonts w:hint="cs"/>
          <w:rtl/>
        </w:rPr>
        <w:t xml:space="preserve">בלבד. </w:t>
      </w:r>
      <w:bookmarkStart w:id="34265" w:name="_ETM_Q61_362919"/>
      <w:bookmarkEnd w:id="34265"/>
      <w:r>
        <w:rPr>
          <w:rFonts w:hint="cs"/>
          <w:rtl/>
        </w:rPr>
        <w:t xml:space="preserve">אל </w:t>
      </w:r>
      <w:bookmarkStart w:id="34266" w:name="_ETM_Q61_363189"/>
      <w:bookmarkEnd w:id="34266"/>
      <w:r>
        <w:rPr>
          <w:rFonts w:hint="cs"/>
          <w:rtl/>
        </w:rPr>
        <w:t xml:space="preserve">תעשה </w:t>
      </w:r>
      <w:bookmarkStart w:id="34267" w:name="_ETM_Q61_363669"/>
      <w:bookmarkEnd w:id="34267"/>
      <w:r>
        <w:rPr>
          <w:rFonts w:hint="cs"/>
          <w:rtl/>
        </w:rPr>
        <w:t xml:space="preserve">את </w:t>
      </w:r>
      <w:bookmarkStart w:id="34268" w:name="_ETM_Q61_363760"/>
      <w:bookmarkEnd w:id="34268"/>
      <w:r>
        <w:rPr>
          <w:rFonts w:hint="cs"/>
          <w:rtl/>
        </w:rPr>
        <w:t xml:space="preserve">מעשה </w:t>
      </w:r>
      <w:bookmarkStart w:id="34269" w:name="_ETM_Q61_364239"/>
      <w:bookmarkEnd w:id="34269"/>
      <w:r>
        <w:rPr>
          <w:rFonts w:hint="cs"/>
          <w:rtl/>
        </w:rPr>
        <w:t xml:space="preserve">העשיר </w:t>
      </w:r>
      <w:bookmarkStart w:id="34270" w:name="_ETM_Q61_364719"/>
      <w:bookmarkEnd w:id="34270"/>
      <w:r>
        <w:rPr>
          <w:rFonts w:hint="cs"/>
          <w:rtl/>
        </w:rPr>
        <w:t xml:space="preserve">אשר </w:t>
      </w:r>
      <w:bookmarkStart w:id="34271" w:name="_ETM_Q61_364959"/>
      <w:bookmarkEnd w:id="34271"/>
      <w:r>
        <w:rPr>
          <w:rFonts w:hint="cs"/>
          <w:rtl/>
        </w:rPr>
        <w:t xml:space="preserve">גירש </w:t>
      </w:r>
      <w:bookmarkStart w:id="34272" w:name="_ETM_Q61_365349"/>
      <w:bookmarkEnd w:id="34272"/>
      <w:r>
        <w:rPr>
          <w:rFonts w:hint="cs"/>
          <w:rtl/>
        </w:rPr>
        <w:t xml:space="preserve">את </w:t>
      </w:r>
      <w:bookmarkStart w:id="34273" w:name="_ETM_Q61_365469"/>
      <w:bookmarkEnd w:id="34273"/>
      <w:r>
        <w:rPr>
          <w:rFonts w:hint="cs"/>
          <w:rtl/>
        </w:rPr>
        <w:t xml:space="preserve">בר-קמצא </w:t>
      </w:r>
      <w:bookmarkStart w:id="34274" w:name="_ETM_Q61_366159"/>
      <w:bookmarkEnd w:id="34274"/>
      <w:r>
        <w:rPr>
          <w:rFonts w:hint="cs"/>
          <w:rtl/>
        </w:rPr>
        <w:t xml:space="preserve">בבושת </w:t>
      </w:r>
      <w:bookmarkStart w:id="34275" w:name="_ETM_Q61_366639"/>
      <w:bookmarkEnd w:id="34275"/>
      <w:r>
        <w:rPr>
          <w:rFonts w:hint="cs"/>
          <w:rtl/>
        </w:rPr>
        <w:t xml:space="preserve">פנים </w:t>
      </w:r>
      <w:bookmarkStart w:id="34276" w:name="_ETM_Q61_367299"/>
      <w:bookmarkEnd w:id="34276"/>
      <w:r>
        <w:rPr>
          <w:rFonts w:hint="cs"/>
          <w:rtl/>
        </w:rPr>
        <w:t xml:space="preserve">ופגע </w:t>
      </w:r>
      <w:bookmarkStart w:id="34277" w:name="_ETM_Q61_367840"/>
      <w:bookmarkEnd w:id="34277"/>
      <w:r>
        <w:rPr>
          <w:rFonts w:hint="cs"/>
          <w:rtl/>
        </w:rPr>
        <w:t xml:space="preserve">בו </w:t>
      </w:r>
      <w:bookmarkStart w:id="34278" w:name="_ETM_Q61_367989"/>
      <w:bookmarkEnd w:id="34278"/>
      <w:r>
        <w:rPr>
          <w:rFonts w:hint="cs"/>
          <w:rtl/>
        </w:rPr>
        <w:t xml:space="preserve">לעיני </w:t>
      </w:r>
      <w:bookmarkStart w:id="34279" w:name="_ETM_Q61_368409"/>
      <w:bookmarkEnd w:id="34279"/>
      <w:r>
        <w:rPr>
          <w:rFonts w:hint="cs"/>
          <w:rtl/>
        </w:rPr>
        <w:t xml:space="preserve">ישראל. </w:t>
      </w:r>
      <w:bookmarkStart w:id="34280" w:name="_ETM_Q61_369909"/>
      <w:bookmarkEnd w:id="34280"/>
      <w:r>
        <w:rPr>
          <w:rFonts w:hint="cs"/>
          <w:rtl/>
        </w:rPr>
        <w:t xml:space="preserve">רגע </w:t>
      </w:r>
      <w:bookmarkStart w:id="34281" w:name="_ETM_Q61_370299"/>
      <w:bookmarkEnd w:id="34281"/>
      <w:r>
        <w:rPr>
          <w:rFonts w:hint="cs"/>
          <w:rtl/>
        </w:rPr>
        <w:t xml:space="preserve">לפני </w:t>
      </w:r>
      <w:bookmarkStart w:id="34282" w:name="_ETM_Q61_370659"/>
      <w:bookmarkEnd w:id="34282"/>
      <w:r>
        <w:rPr>
          <w:rFonts w:hint="cs"/>
          <w:rtl/>
        </w:rPr>
        <w:t xml:space="preserve">ההרס </w:t>
      </w:r>
      <w:bookmarkStart w:id="34283" w:name="_ETM_Q61_371750"/>
      <w:bookmarkEnd w:id="34283"/>
      <w:r>
        <w:rPr>
          <w:rFonts w:hint="cs"/>
          <w:rtl/>
        </w:rPr>
        <w:t xml:space="preserve">צריך </w:t>
      </w:r>
      <w:bookmarkStart w:id="34284" w:name="_ETM_Q61_372079"/>
      <w:bookmarkEnd w:id="34284"/>
      <w:r>
        <w:rPr>
          <w:rFonts w:hint="cs"/>
          <w:rtl/>
        </w:rPr>
        <w:t xml:space="preserve">לעצור </w:t>
      </w:r>
      <w:bookmarkStart w:id="34285" w:name="_ETM_Q61_372709"/>
      <w:bookmarkEnd w:id="34285"/>
      <w:r>
        <w:rPr>
          <w:rFonts w:hint="cs"/>
          <w:rtl/>
        </w:rPr>
        <w:t xml:space="preserve">ולרסן </w:t>
      </w:r>
      <w:bookmarkStart w:id="34286" w:name="_ETM_Q61_373430"/>
      <w:bookmarkEnd w:id="34286"/>
      <w:r>
        <w:rPr>
          <w:rFonts w:hint="cs"/>
          <w:rtl/>
        </w:rPr>
        <w:t xml:space="preserve">את </w:t>
      </w:r>
      <w:bookmarkStart w:id="34287" w:name="_ETM_Q61_373519"/>
      <w:bookmarkEnd w:id="34287"/>
      <w:r>
        <w:rPr>
          <w:rFonts w:hint="cs"/>
          <w:rtl/>
        </w:rPr>
        <w:t xml:space="preserve">שנאת </w:t>
      </w:r>
      <w:bookmarkStart w:id="34288" w:name="_ETM_Q61_374060"/>
      <w:bookmarkEnd w:id="34288"/>
      <w:r>
        <w:rPr>
          <w:rFonts w:hint="cs"/>
          <w:rtl/>
        </w:rPr>
        <w:t xml:space="preserve">החינם </w:t>
      </w:r>
      <w:bookmarkStart w:id="34289" w:name="_ETM_Q61_374480"/>
      <w:bookmarkEnd w:id="34289"/>
      <w:r>
        <w:rPr>
          <w:rFonts w:hint="cs"/>
          <w:rtl/>
        </w:rPr>
        <w:t xml:space="preserve">שמתחוללת </w:t>
      </w:r>
      <w:bookmarkStart w:id="34290" w:name="_ETM_Q61_375260"/>
      <w:bookmarkEnd w:id="34290"/>
      <w:r>
        <w:rPr>
          <w:rFonts w:hint="cs"/>
          <w:rtl/>
        </w:rPr>
        <w:t xml:space="preserve">פה </w:t>
      </w:r>
      <w:bookmarkStart w:id="34291" w:name="_ETM_Q61_375799"/>
      <w:bookmarkEnd w:id="34291"/>
      <w:r>
        <w:rPr>
          <w:rFonts w:hint="cs"/>
          <w:rtl/>
        </w:rPr>
        <w:t xml:space="preserve">ולהתחיל </w:t>
      </w:r>
      <w:bookmarkStart w:id="34292" w:name="_ETM_Q61_376519"/>
      <w:bookmarkEnd w:id="34292"/>
      <w:r>
        <w:rPr>
          <w:rFonts w:hint="cs"/>
          <w:rtl/>
        </w:rPr>
        <w:t xml:space="preserve">סדר </w:t>
      </w:r>
      <w:bookmarkStart w:id="34293" w:name="_ETM_Q61_376879"/>
      <w:bookmarkEnd w:id="34293"/>
      <w:r>
        <w:rPr>
          <w:rFonts w:hint="cs"/>
          <w:rtl/>
        </w:rPr>
        <w:t xml:space="preserve">חדש </w:t>
      </w:r>
      <w:bookmarkStart w:id="34294" w:name="_ETM_Q61_377750"/>
      <w:bookmarkEnd w:id="34294"/>
      <w:r>
        <w:rPr>
          <w:rFonts w:hint="cs"/>
          <w:rtl/>
        </w:rPr>
        <w:t xml:space="preserve">של </w:t>
      </w:r>
      <w:bookmarkStart w:id="34295" w:name="_ETM_Q61_378019"/>
      <w:bookmarkEnd w:id="34295"/>
      <w:r>
        <w:rPr>
          <w:rFonts w:hint="cs"/>
          <w:rtl/>
        </w:rPr>
        <w:t xml:space="preserve">אהבת </w:t>
      </w:r>
      <w:bookmarkStart w:id="34296" w:name="_ETM_Q61_378530"/>
      <w:bookmarkEnd w:id="34296"/>
      <w:r>
        <w:rPr>
          <w:rFonts w:hint="cs"/>
          <w:rtl/>
        </w:rPr>
        <w:t xml:space="preserve">חינם </w:t>
      </w:r>
      <w:bookmarkStart w:id="34297" w:name="_ETM_Q61_379400"/>
      <w:bookmarkEnd w:id="34297"/>
      <w:r>
        <w:rPr>
          <w:rFonts w:hint="cs"/>
          <w:rtl/>
        </w:rPr>
        <w:t xml:space="preserve">והבנה </w:t>
      </w:r>
      <w:bookmarkStart w:id="34298" w:name="_ETM_Q61_380060"/>
      <w:bookmarkEnd w:id="34298"/>
      <w:r>
        <w:rPr>
          <w:rFonts w:hint="cs"/>
          <w:rtl/>
        </w:rPr>
        <w:t xml:space="preserve">בין </w:t>
      </w:r>
      <w:bookmarkStart w:id="34299" w:name="_ETM_Q61_380269"/>
      <w:bookmarkEnd w:id="34299"/>
      <w:r>
        <w:rPr>
          <w:rFonts w:hint="cs"/>
          <w:rtl/>
        </w:rPr>
        <w:t xml:space="preserve">איש </w:t>
      </w:r>
      <w:bookmarkStart w:id="34300" w:name="_ETM_Q61_380510"/>
      <w:bookmarkEnd w:id="34300"/>
      <w:r>
        <w:rPr>
          <w:rFonts w:hint="cs"/>
          <w:rtl/>
        </w:rPr>
        <w:t>לרעהו</w:t>
      </w:r>
      <w:bookmarkStart w:id="34301" w:name="_ETM_Q61_382299"/>
      <w:bookmarkEnd w:id="34301"/>
      <w:r>
        <w:rPr>
          <w:rFonts w:hint="cs"/>
          <w:rtl/>
        </w:rPr>
        <w:t xml:space="preserve">. </w:t>
      </w:r>
      <w:bookmarkStart w:id="34302" w:name="_ETM_Q61_385000"/>
      <w:bookmarkEnd w:id="34302"/>
      <w:r>
        <w:rPr>
          <w:rFonts w:hint="cs"/>
          <w:rtl/>
        </w:rPr>
        <w:t xml:space="preserve">בית </w:t>
      </w:r>
      <w:bookmarkStart w:id="34303" w:name="_ETM_Q61_382629"/>
      <w:bookmarkEnd w:id="34303"/>
      <w:r>
        <w:rPr>
          <w:rFonts w:hint="cs"/>
          <w:rtl/>
        </w:rPr>
        <w:t xml:space="preserve">המקדש </w:t>
      </w:r>
      <w:bookmarkStart w:id="34304" w:name="_ETM_Q61_383169"/>
      <w:bookmarkEnd w:id="34304"/>
      <w:r>
        <w:rPr>
          <w:rFonts w:hint="cs"/>
          <w:rtl/>
        </w:rPr>
        <w:t xml:space="preserve">הראשון </w:t>
      </w:r>
      <w:bookmarkStart w:id="34305" w:name="_ETM_Q61_383650"/>
      <w:bookmarkEnd w:id="34305"/>
      <w:r>
        <w:rPr>
          <w:rFonts w:hint="cs"/>
          <w:rtl/>
        </w:rPr>
        <w:t xml:space="preserve">נחרב, </w:t>
      </w:r>
      <w:bookmarkStart w:id="34306" w:name="_ETM_Q61_384129"/>
      <w:bookmarkEnd w:id="34306"/>
      <w:r>
        <w:rPr>
          <w:rFonts w:hint="cs"/>
          <w:rtl/>
        </w:rPr>
        <w:t xml:space="preserve">על </w:t>
      </w:r>
      <w:bookmarkStart w:id="34307" w:name="_ETM_Q61_384220"/>
      <w:bookmarkEnd w:id="34307"/>
      <w:r>
        <w:rPr>
          <w:rFonts w:hint="cs"/>
          <w:rtl/>
        </w:rPr>
        <w:t xml:space="preserve">פי </w:t>
      </w:r>
      <w:bookmarkStart w:id="34308" w:name="_ETM_Q61_384370"/>
      <w:bookmarkEnd w:id="34308"/>
      <w:r>
        <w:rPr>
          <w:rFonts w:hint="cs"/>
          <w:rtl/>
        </w:rPr>
        <w:t xml:space="preserve">חלק </w:t>
      </w:r>
      <w:bookmarkStart w:id="34309" w:name="_ETM_Q61_384700"/>
      <w:bookmarkEnd w:id="34309"/>
      <w:r>
        <w:rPr>
          <w:rFonts w:hint="cs"/>
          <w:rtl/>
        </w:rPr>
        <w:t xml:space="preserve">מהמקורות, </w:t>
      </w:r>
      <w:bookmarkStart w:id="34310" w:name="_ETM_Q61_386070"/>
      <w:bookmarkEnd w:id="34310"/>
      <w:r>
        <w:rPr>
          <w:rFonts w:hint="cs"/>
          <w:rtl/>
        </w:rPr>
        <w:t xml:space="preserve">גם </w:t>
      </w:r>
      <w:bookmarkStart w:id="34311" w:name="_ETM_Q61_386400"/>
      <w:bookmarkEnd w:id="34311"/>
      <w:r>
        <w:rPr>
          <w:rFonts w:hint="cs"/>
          <w:rtl/>
        </w:rPr>
        <w:t xml:space="preserve">בגלל </w:t>
      </w:r>
      <w:bookmarkStart w:id="34312" w:name="_ETM_Q61_386730"/>
      <w:bookmarkEnd w:id="34312"/>
      <w:r>
        <w:rPr>
          <w:rFonts w:hint="cs"/>
          <w:rtl/>
        </w:rPr>
        <w:t xml:space="preserve">שחיתות </w:t>
      </w:r>
      <w:bookmarkStart w:id="34313" w:name="_ETM_Q61_387180"/>
      <w:bookmarkEnd w:id="34313"/>
      <w:r>
        <w:rPr>
          <w:rFonts w:hint="cs"/>
          <w:rtl/>
        </w:rPr>
        <w:t xml:space="preserve">שלטונית. </w:t>
      </w:r>
      <w:bookmarkStart w:id="34314" w:name="_ETM_Q61_388520"/>
      <w:bookmarkEnd w:id="34314"/>
      <w:r>
        <w:rPr>
          <w:rFonts w:hint="cs"/>
          <w:rtl/>
        </w:rPr>
        <w:t xml:space="preserve">בית </w:t>
      </w:r>
      <w:bookmarkStart w:id="34315" w:name="_ETM_Q61_388940"/>
      <w:bookmarkEnd w:id="34315"/>
      <w:r>
        <w:rPr>
          <w:rFonts w:hint="cs"/>
          <w:rtl/>
        </w:rPr>
        <w:t xml:space="preserve">המקדש </w:t>
      </w:r>
      <w:bookmarkStart w:id="34316" w:name="_ETM_Q61_389480"/>
      <w:bookmarkEnd w:id="34316"/>
      <w:r>
        <w:rPr>
          <w:rFonts w:hint="cs"/>
          <w:rtl/>
        </w:rPr>
        <w:t xml:space="preserve">השני </w:t>
      </w:r>
      <w:bookmarkStart w:id="34317" w:name="_ETM_Q61_390230"/>
      <w:bookmarkEnd w:id="34317"/>
      <w:r>
        <w:rPr>
          <w:rFonts w:hint="cs"/>
          <w:rtl/>
        </w:rPr>
        <w:t xml:space="preserve">נחרב, </w:t>
      </w:r>
      <w:bookmarkStart w:id="34318" w:name="_ETM_Q61_390770"/>
      <w:bookmarkEnd w:id="34318"/>
      <w:r>
        <w:rPr>
          <w:rFonts w:hint="cs"/>
          <w:rtl/>
        </w:rPr>
        <w:t xml:space="preserve">על </w:t>
      </w:r>
      <w:bookmarkStart w:id="34319" w:name="_ETM_Q61_390889"/>
      <w:bookmarkEnd w:id="34319"/>
      <w:r>
        <w:rPr>
          <w:rFonts w:hint="cs"/>
          <w:rtl/>
        </w:rPr>
        <w:t xml:space="preserve">פי </w:t>
      </w:r>
      <w:bookmarkStart w:id="34320" w:name="_ETM_Q61_391040"/>
      <w:bookmarkEnd w:id="34320"/>
      <w:r>
        <w:rPr>
          <w:rFonts w:hint="cs"/>
          <w:rtl/>
        </w:rPr>
        <w:t xml:space="preserve">המקורות, </w:t>
      </w:r>
      <w:bookmarkStart w:id="34321" w:name="_ETM_Q61_391730"/>
      <w:bookmarkEnd w:id="34321"/>
      <w:r>
        <w:rPr>
          <w:rFonts w:hint="cs"/>
          <w:rtl/>
        </w:rPr>
        <w:t xml:space="preserve">בגלל </w:t>
      </w:r>
      <w:bookmarkStart w:id="34322" w:name="_ETM_Q61_392120"/>
      <w:bookmarkEnd w:id="34322"/>
      <w:r>
        <w:rPr>
          <w:rFonts w:hint="cs"/>
          <w:rtl/>
        </w:rPr>
        <w:t xml:space="preserve">שנאת </w:t>
      </w:r>
      <w:bookmarkStart w:id="34323" w:name="_ETM_Q61_392480"/>
      <w:bookmarkEnd w:id="34323"/>
      <w:r>
        <w:rPr>
          <w:rFonts w:hint="cs"/>
          <w:rtl/>
        </w:rPr>
        <w:t xml:space="preserve">חינם. </w:t>
      </w:r>
      <w:bookmarkStart w:id="34324" w:name="_ETM_Q61_393859"/>
      <w:bookmarkStart w:id="34325" w:name="_ETM_Q61_349366"/>
      <w:bookmarkStart w:id="34326" w:name="_ETM_Q61_349459"/>
      <w:bookmarkEnd w:id="34324"/>
      <w:bookmarkEnd w:id="34325"/>
      <w:bookmarkEnd w:id="34326"/>
    </w:p>
    <w:p w:rsidR="00B404F9" w:rsidRDefault="00B404F9" w:rsidP="00B404F9">
      <w:pPr>
        <w:rPr>
          <w:rtl/>
        </w:rPr>
      </w:pPr>
    </w:p>
    <w:p w:rsidR="00BB59CD" w:rsidRDefault="00BB59CD" w:rsidP="00B404F9">
      <w:pPr>
        <w:rPr>
          <w:rtl/>
        </w:rPr>
      </w:pPr>
      <w:r>
        <w:rPr>
          <w:rFonts w:hint="cs"/>
          <w:rtl/>
        </w:rPr>
        <w:t xml:space="preserve">אני </w:t>
      </w:r>
      <w:bookmarkStart w:id="34327" w:name="_ETM_Q61_394069"/>
      <w:bookmarkEnd w:id="34327"/>
      <w:r>
        <w:rPr>
          <w:rFonts w:hint="cs"/>
          <w:rtl/>
        </w:rPr>
        <w:t xml:space="preserve">מבקשת </w:t>
      </w:r>
      <w:bookmarkStart w:id="34328" w:name="_ETM_Q61_394639"/>
      <w:bookmarkEnd w:id="34328"/>
      <w:r>
        <w:rPr>
          <w:rFonts w:hint="cs"/>
          <w:rtl/>
        </w:rPr>
        <w:t xml:space="preserve">לצטט </w:t>
      </w:r>
      <w:bookmarkStart w:id="34329" w:name="_ETM_Q61_395089"/>
      <w:bookmarkEnd w:id="34329"/>
      <w:r>
        <w:rPr>
          <w:rFonts w:hint="cs"/>
          <w:rtl/>
        </w:rPr>
        <w:t xml:space="preserve">ציטוטים </w:t>
      </w:r>
      <w:bookmarkStart w:id="34330" w:name="_ETM_Q61_396079"/>
      <w:bookmarkEnd w:id="34330"/>
      <w:r>
        <w:rPr>
          <w:rFonts w:hint="cs"/>
          <w:rtl/>
        </w:rPr>
        <w:t xml:space="preserve">על </w:t>
      </w:r>
      <w:bookmarkStart w:id="34331" w:name="_ETM_Q61_396290"/>
      <w:bookmarkEnd w:id="34331"/>
      <w:r>
        <w:rPr>
          <w:rFonts w:hint="cs"/>
          <w:rtl/>
        </w:rPr>
        <w:t xml:space="preserve">צום </w:t>
      </w:r>
      <w:bookmarkStart w:id="34332" w:name="_ETM_Q61_396680"/>
      <w:bookmarkStart w:id="34333" w:name="_ETM_Q61_397189"/>
      <w:bookmarkEnd w:id="34332"/>
      <w:bookmarkEnd w:id="34333"/>
      <w:r>
        <w:rPr>
          <w:rFonts w:hint="cs"/>
          <w:rtl/>
        </w:rPr>
        <w:t xml:space="preserve">תשעה באב </w:t>
      </w:r>
      <w:bookmarkStart w:id="34334" w:name="_ETM_Q61_398040"/>
      <w:bookmarkStart w:id="34335" w:name="_ETM_Q61_398189"/>
      <w:bookmarkEnd w:id="34334"/>
      <w:bookmarkEnd w:id="34335"/>
      <w:r>
        <w:rPr>
          <w:rFonts w:hint="cs"/>
          <w:rtl/>
        </w:rPr>
        <w:t xml:space="preserve">וחורבן </w:t>
      </w:r>
      <w:bookmarkStart w:id="34336" w:name="_ETM_Q61_398670"/>
      <w:bookmarkEnd w:id="34336"/>
      <w:r>
        <w:rPr>
          <w:rFonts w:hint="cs"/>
          <w:rtl/>
        </w:rPr>
        <w:t xml:space="preserve">בית </w:t>
      </w:r>
      <w:bookmarkStart w:id="34337" w:name="_ETM_Q61_398879"/>
      <w:bookmarkEnd w:id="34337"/>
      <w:r>
        <w:rPr>
          <w:rFonts w:hint="cs"/>
          <w:rtl/>
        </w:rPr>
        <w:t xml:space="preserve">המקדש </w:t>
      </w:r>
      <w:bookmarkStart w:id="34338" w:name="_ETM_Q61_399779"/>
      <w:bookmarkEnd w:id="34338"/>
      <w:r>
        <w:rPr>
          <w:rFonts w:hint="cs"/>
          <w:rtl/>
        </w:rPr>
        <w:t xml:space="preserve">שיכולים </w:t>
      </w:r>
      <w:bookmarkStart w:id="34339" w:name="_ETM_Q61_400409"/>
      <w:bookmarkEnd w:id="34339"/>
      <w:r>
        <w:rPr>
          <w:rFonts w:hint="cs"/>
          <w:rtl/>
        </w:rPr>
        <w:t xml:space="preserve">להתקשר </w:t>
      </w:r>
      <w:bookmarkStart w:id="34340" w:name="_ETM_Q61_400950"/>
      <w:bookmarkEnd w:id="34340"/>
      <w:r>
        <w:rPr>
          <w:rFonts w:hint="cs"/>
          <w:rtl/>
        </w:rPr>
        <w:t xml:space="preserve">גם </w:t>
      </w:r>
      <w:bookmarkStart w:id="34341" w:name="_ETM_Q61_401219"/>
      <w:bookmarkEnd w:id="34341"/>
      <w:r>
        <w:rPr>
          <w:rFonts w:hint="cs"/>
          <w:rtl/>
        </w:rPr>
        <w:t>לימינו</w:t>
      </w:r>
      <w:bookmarkStart w:id="34342" w:name="_ETM_Q61_401730"/>
      <w:bookmarkEnd w:id="34342"/>
      <w:r>
        <w:rPr>
          <w:rFonts w:hint="cs"/>
          <w:rtl/>
        </w:rPr>
        <w:t xml:space="preserve"> אנו</w:t>
      </w:r>
      <w:bookmarkStart w:id="34343" w:name="_ETM_Q61_403120"/>
      <w:bookmarkEnd w:id="34343"/>
      <w:r>
        <w:rPr>
          <w:rFonts w:hint="cs"/>
          <w:rtl/>
        </w:rPr>
        <w:t xml:space="preserve">. מוזמנים </w:t>
      </w:r>
      <w:bookmarkStart w:id="34344" w:name="_ETM_Q61_403629"/>
      <w:bookmarkEnd w:id="34344"/>
      <w:r>
        <w:rPr>
          <w:rFonts w:hint="cs"/>
          <w:rtl/>
        </w:rPr>
        <w:t xml:space="preserve">כל </w:t>
      </w:r>
      <w:bookmarkStart w:id="34345" w:name="_ETM_Q61_403870"/>
      <w:bookmarkEnd w:id="34345"/>
      <w:r>
        <w:rPr>
          <w:rFonts w:hint="cs"/>
          <w:rtl/>
        </w:rPr>
        <w:t xml:space="preserve">הנוכחים </w:t>
      </w:r>
      <w:bookmarkStart w:id="34346" w:name="_ETM_Q61_404379"/>
      <w:bookmarkEnd w:id="34346"/>
      <w:r>
        <w:rPr>
          <w:rFonts w:hint="cs"/>
          <w:rtl/>
        </w:rPr>
        <w:t xml:space="preserve">בחדר </w:t>
      </w:r>
      <w:bookmarkStart w:id="34347" w:name="_ETM_Q61_404800"/>
      <w:bookmarkEnd w:id="34347"/>
      <w:r>
        <w:rPr>
          <w:rFonts w:hint="cs"/>
          <w:rtl/>
        </w:rPr>
        <w:t xml:space="preserve">לנסות </w:t>
      </w:r>
      <w:bookmarkStart w:id="34348" w:name="_ETM_Q61_405310"/>
      <w:bookmarkEnd w:id="34348"/>
      <w:r>
        <w:rPr>
          <w:rFonts w:hint="cs"/>
          <w:rtl/>
        </w:rPr>
        <w:t xml:space="preserve">ללמוד. </w:t>
      </w:r>
      <w:bookmarkStart w:id="34349" w:name="_ETM_Q61_407199"/>
      <w:bookmarkEnd w:id="34349"/>
      <w:r>
        <w:rPr>
          <w:rFonts w:hint="cs"/>
          <w:rtl/>
        </w:rPr>
        <w:t xml:space="preserve">השופטת </w:t>
      </w:r>
      <w:bookmarkStart w:id="34350" w:name="_ETM_Q61_407799"/>
      <w:bookmarkEnd w:id="34350"/>
      <w:r>
        <w:rPr>
          <w:rFonts w:hint="cs"/>
          <w:rtl/>
        </w:rPr>
        <w:t xml:space="preserve">דליה </w:t>
      </w:r>
      <w:bookmarkStart w:id="34351" w:name="_ETM_Q61_408159"/>
      <w:bookmarkEnd w:id="34351"/>
      <w:r>
        <w:rPr>
          <w:rFonts w:hint="cs"/>
          <w:rtl/>
        </w:rPr>
        <w:t xml:space="preserve">דורנר, </w:t>
      </w:r>
      <w:bookmarkStart w:id="34352" w:name="_ETM_Q61_408579"/>
      <w:bookmarkEnd w:id="34352"/>
      <w:r>
        <w:rPr>
          <w:rFonts w:hint="cs"/>
          <w:rtl/>
        </w:rPr>
        <w:t xml:space="preserve">שהייתה </w:t>
      </w:r>
      <w:bookmarkStart w:id="34353" w:name="_ETM_Q61_408939"/>
      <w:bookmarkEnd w:id="34353"/>
      <w:r>
        <w:rPr>
          <w:rFonts w:hint="cs"/>
          <w:rtl/>
        </w:rPr>
        <w:t xml:space="preserve">שופטת </w:t>
      </w:r>
      <w:bookmarkStart w:id="34354" w:name="_ETM_Q61_409419"/>
      <w:bookmarkEnd w:id="34354"/>
      <w:r>
        <w:rPr>
          <w:rFonts w:hint="cs"/>
          <w:rtl/>
        </w:rPr>
        <w:t xml:space="preserve">בית </w:t>
      </w:r>
      <w:bookmarkStart w:id="34355" w:name="_ETM_Q61_409629"/>
      <w:bookmarkEnd w:id="34355"/>
      <w:r>
        <w:rPr>
          <w:rFonts w:hint="cs"/>
          <w:rtl/>
        </w:rPr>
        <w:t xml:space="preserve">המשפט </w:t>
      </w:r>
      <w:bookmarkStart w:id="34356" w:name="_ETM_Q61_410019"/>
      <w:bookmarkEnd w:id="34356"/>
      <w:r>
        <w:rPr>
          <w:rFonts w:hint="cs"/>
          <w:rtl/>
        </w:rPr>
        <w:t>העליון</w:t>
      </w:r>
      <w:bookmarkStart w:id="34357" w:name="_ETM_Q61_411099"/>
      <w:bookmarkEnd w:id="34357"/>
      <w:r>
        <w:rPr>
          <w:rFonts w:hint="cs"/>
          <w:rtl/>
        </w:rPr>
        <w:t xml:space="preserve">, אמרה </w:t>
      </w:r>
      <w:bookmarkStart w:id="34358" w:name="_ETM_Q61_411610"/>
      <w:bookmarkEnd w:id="34358"/>
      <w:r>
        <w:rPr>
          <w:rFonts w:hint="cs"/>
          <w:rtl/>
        </w:rPr>
        <w:t xml:space="preserve">שביום תשעה </w:t>
      </w:r>
      <w:bookmarkStart w:id="34359" w:name="_ETM_Q61_412090"/>
      <w:bookmarkStart w:id="34360" w:name="_ETM_Q61_412480"/>
      <w:bookmarkEnd w:id="34359"/>
      <w:bookmarkEnd w:id="34360"/>
      <w:r>
        <w:rPr>
          <w:rFonts w:hint="cs"/>
          <w:rtl/>
        </w:rPr>
        <w:t xml:space="preserve">באב </w:t>
      </w:r>
      <w:bookmarkStart w:id="34361" w:name="_ETM_Q61_413170"/>
      <w:bookmarkEnd w:id="34361"/>
      <w:r>
        <w:rPr>
          <w:rFonts w:hint="cs"/>
          <w:rtl/>
        </w:rPr>
        <w:t xml:space="preserve">אנחנו </w:t>
      </w:r>
      <w:bookmarkStart w:id="34362" w:name="_ETM_Q61_413590"/>
      <w:bookmarkEnd w:id="34362"/>
      <w:r>
        <w:rPr>
          <w:rFonts w:hint="cs"/>
          <w:rtl/>
        </w:rPr>
        <w:t xml:space="preserve">צריכים </w:t>
      </w:r>
      <w:bookmarkStart w:id="34363" w:name="_ETM_Q61_414160"/>
      <w:bookmarkEnd w:id="34363"/>
      <w:r>
        <w:rPr>
          <w:rFonts w:hint="cs"/>
          <w:rtl/>
        </w:rPr>
        <w:t xml:space="preserve">להפיק </w:t>
      </w:r>
      <w:bookmarkStart w:id="34364" w:name="_ETM_Q61_414670"/>
      <w:bookmarkEnd w:id="34364"/>
      <w:r>
        <w:rPr>
          <w:rFonts w:hint="cs"/>
          <w:rtl/>
        </w:rPr>
        <w:t xml:space="preserve">לקחים </w:t>
      </w:r>
      <w:bookmarkStart w:id="34365" w:name="_ETM_Q61_415180"/>
      <w:bookmarkEnd w:id="34365"/>
      <w:r>
        <w:rPr>
          <w:rFonts w:hint="cs"/>
          <w:rtl/>
        </w:rPr>
        <w:t xml:space="preserve">מהעבר </w:t>
      </w:r>
      <w:bookmarkStart w:id="34366" w:name="_ETM_Q61_415629"/>
      <w:bookmarkEnd w:id="34366"/>
      <w:r>
        <w:rPr>
          <w:rFonts w:hint="cs"/>
          <w:rtl/>
        </w:rPr>
        <w:t xml:space="preserve">שלנו </w:t>
      </w:r>
      <w:bookmarkStart w:id="34367" w:name="_ETM_Q61_417450"/>
      <w:bookmarkEnd w:id="34367"/>
      <w:r>
        <w:rPr>
          <w:rFonts w:hint="cs"/>
          <w:rtl/>
        </w:rPr>
        <w:t xml:space="preserve">ולצאת </w:t>
      </w:r>
      <w:bookmarkStart w:id="34368" w:name="_ETM_Q61_417930"/>
      <w:bookmarkEnd w:id="34368"/>
      <w:r>
        <w:rPr>
          <w:rFonts w:hint="cs"/>
          <w:rtl/>
        </w:rPr>
        <w:t xml:space="preserve">נגד </w:t>
      </w:r>
      <w:bookmarkStart w:id="34369" w:name="_ETM_Q61_418290"/>
      <w:bookmarkEnd w:id="34369"/>
      <w:r>
        <w:rPr>
          <w:rFonts w:hint="cs"/>
          <w:rtl/>
        </w:rPr>
        <w:t xml:space="preserve">שנאת </w:t>
      </w:r>
      <w:bookmarkStart w:id="34370" w:name="_ETM_Q61_418680"/>
      <w:bookmarkEnd w:id="34370"/>
      <w:r>
        <w:rPr>
          <w:rFonts w:hint="cs"/>
          <w:rtl/>
        </w:rPr>
        <w:t xml:space="preserve">חינם, </w:t>
      </w:r>
      <w:bookmarkStart w:id="34371" w:name="_ETM_Q61_419549"/>
      <w:bookmarkEnd w:id="34371"/>
      <w:r>
        <w:rPr>
          <w:rFonts w:hint="cs"/>
          <w:rtl/>
        </w:rPr>
        <w:t xml:space="preserve">שנאת </w:t>
      </w:r>
      <w:bookmarkStart w:id="34372" w:name="_ETM_Q61_420500"/>
      <w:bookmarkEnd w:id="34372"/>
      <w:r>
        <w:rPr>
          <w:rFonts w:hint="cs"/>
          <w:rtl/>
        </w:rPr>
        <w:t xml:space="preserve">אחים </w:t>
      </w:r>
      <w:bookmarkStart w:id="34373" w:name="_ETM_Q61_420890"/>
      <w:bookmarkEnd w:id="34373"/>
      <w:r>
        <w:rPr>
          <w:rFonts w:hint="cs"/>
          <w:rtl/>
        </w:rPr>
        <w:t xml:space="preserve">וקבוצות </w:t>
      </w:r>
      <w:bookmarkStart w:id="34374" w:name="_ETM_Q61_421520"/>
      <w:bookmarkEnd w:id="34374"/>
      <w:r>
        <w:rPr>
          <w:rFonts w:hint="cs"/>
          <w:rtl/>
        </w:rPr>
        <w:t xml:space="preserve">קנאים </w:t>
      </w:r>
      <w:bookmarkStart w:id="34375" w:name="_ETM_Q61_421880"/>
      <w:bookmarkEnd w:id="34375"/>
      <w:r>
        <w:rPr>
          <w:rFonts w:hint="cs"/>
          <w:rtl/>
        </w:rPr>
        <w:t xml:space="preserve">שרבות </w:t>
      </w:r>
      <w:bookmarkStart w:id="34376" w:name="_ETM_Q61_422450"/>
      <w:bookmarkEnd w:id="34376"/>
      <w:r>
        <w:rPr>
          <w:rFonts w:hint="cs"/>
          <w:rtl/>
        </w:rPr>
        <w:t xml:space="preserve">אלו </w:t>
      </w:r>
      <w:bookmarkStart w:id="34377" w:name="_ETM_Q61_421000"/>
      <w:bookmarkEnd w:id="34377"/>
      <w:r>
        <w:rPr>
          <w:rFonts w:hint="cs"/>
          <w:rtl/>
        </w:rPr>
        <w:t xml:space="preserve">עם </w:t>
      </w:r>
      <w:bookmarkStart w:id="34378" w:name="_ETM_Q61_422870"/>
      <w:bookmarkEnd w:id="34378"/>
      <w:r>
        <w:rPr>
          <w:rFonts w:hint="cs"/>
          <w:rtl/>
        </w:rPr>
        <w:t xml:space="preserve">אלו. </w:t>
      </w:r>
      <w:bookmarkStart w:id="34379" w:name="_ETM_Q61_424440"/>
      <w:bookmarkEnd w:id="34379"/>
      <w:r>
        <w:rPr>
          <w:rFonts w:hint="cs"/>
          <w:rtl/>
        </w:rPr>
        <w:t xml:space="preserve">חיים </w:t>
      </w:r>
      <w:bookmarkStart w:id="34380" w:name="_ETM_Q61_424800"/>
      <w:bookmarkEnd w:id="34380"/>
      <w:r>
        <w:rPr>
          <w:rFonts w:hint="cs"/>
          <w:rtl/>
        </w:rPr>
        <w:t xml:space="preserve">ארלוזורוב </w:t>
      </w:r>
      <w:bookmarkStart w:id="34381" w:name="_ETM_Q61_425430"/>
      <w:bookmarkEnd w:id="34381"/>
      <w:r>
        <w:rPr>
          <w:rFonts w:hint="cs"/>
          <w:rtl/>
        </w:rPr>
        <w:t xml:space="preserve">אמר </w:t>
      </w:r>
      <w:bookmarkStart w:id="34382" w:name="_ETM_Q61_425790"/>
      <w:bookmarkEnd w:id="34382"/>
      <w:r>
        <w:rPr>
          <w:rFonts w:hint="cs"/>
          <w:rtl/>
        </w:rPr>
        <w:t xml:space="preserve">שתשעה </w:t>
      </w:r>
      <w:bookmarkStart w:id="34383" w:name="_ETM_Q61_426330"/>
      <w:bookmarkEnd w:id="34383"/>
      <w:r>
        <w:rPr>
          <w:rFonts w:hint="cs"/>
          <w:rtl/>
        </w:rPr>
        <w:t xml:space="preserve">באב </w:t>
      </w:r>
      <w:bookmarkStart w:id="34384" w:name="_ETM_Q61_426720"/>
      <w:bookmarkEnd w:id="34384"/>
      <w:r>
        <w:rPr>
          <w:rFonts w:hint="cs"/>
          <w:rtl/>
        </w:rPr>
        <w:t xml:space="preserve">הוא </w:t>
      </w:r>
      <w:bookmarkStart w:id="34385" w:name="_ETM_Q61_426810"/>
      <w:bookmarkEnd w:id="34385"/>
      <w:r>
        <w:rPr>
          <w:rFonts w:hint="cs"/>
          <w:rtl/>
        </w:rPr>
        <w:t xml:space="preserve">יום </w:t>
      </w:r>
      <w:bookmarkStart w:id="34386" w:name="_ETM_Q61_427080"/>
      <w:bookmarkEnd w:id="34386"/>
      <w:r>
        <w:rPr>
          <w:rFonts w:hint="cs"/>
          <w:rtl/>
        </w:rPr>
        <w:t xml:space="preserve">האבל </w:t>
      </w:r>
      <w:bookmarkStart w:id="34387" w:name="_ETM_Q61_427379"/>
      <w:bookmarkEnd w:id="34387"/>
      <w:r>
        <w:rPr>
          <w:rFonts w:hint="cs"/>
          <w:rtl/>
        </w:rPr>
        <w:t xml:space="preserve">הגדול </w:t>
      </w:r>
      <w:bookmarkStart w:id="34388" w:name="_ETM_Q61_427890"/>
      <w:bookmarkEnd w:id="34388"/>
      <w:r>
        <w:rPr>
          <w:rFonts w:hint="cs"/>
          <w:rtl/>
        </w:rPr>
        <w:t xml:space="preserve">ביותר </w:t>
      </w:r>
      <w:bookmarkStart w:id="34389" w:name="_ETM_Q61_428400"/>
      <w:bookmarkEnd w:id="34389"/>
      <w:r>
        <w:rPr>
          <w:rFonts w:hint="cs"/>
          <w:rtl/>
        </w:rPr>
        <w:t xml:space="preserve">של </w:t>
      </w:r>
      <w:bookmarkStart w:id="34390" w:name="_ETM_Q61_428610"/>
      <w:bookmarkEnd w:id="34390"/>
      <w:r>
        <w:rPr>
          <w:rFonts w:hint="cs"/>
          <w:rtl/>
        </w:rPr>
        <w:t xml:space="preserve">האומה. </w:t>
      </w:r>
      <w:bookmarkStart w:id="34391" w:name="_ETM_Q61_429650"/>
      <w:bookmarkEnd w:id="34391"/>
      <w:r>
        <w:rPr>
          <w:rFonts w:hint="cs"/>
          <w:rtl/>
        </w:rPr>
        <w:t xml:space="preserve">היש </w:t>
      </w:r>
      <w:bookmarkStart w:id="34392" w:name="_ETM_Q61_430129"/>
      <w:bookmarkEnd w:id="34392"/>
      <w:r>
        <w:rPr>
          <w:rFonts w:hint="cs"/>
          <w:rtl/>
        </w:rPr>
        <w:t xml:space="preserve">בעולם </w:t>
      </w:r>
      <w:bookmarkStart w:id="34393" w:name="_ETM_Q61_430700"/>
      <w:bookmarkEnd w:id="34393"/>
      <w:r>
        <w:rPr>
          <w:rFonts w:hint="cs"/>
          <w:rtl/>
        </w:rPr>
        <w:t xml:space="preserve">דבר </w:t>
      </w:r>
      <w:bookmarkStart w:id="34394" w:name="_ETM_Q61_431150"/>
      <w:bookmarkEnd w:id="34394"/>
      <w:r>
        <w:rPr>
          <w:rFonts w:hint="cs"/>
          <w:rtl/>
        </w:rPr>
        <w:t xml:space="preserve">איום </w:t>
      </w:r>
      <w:bookmarkStart w:id="34395" w:name="_ETM_Q61_431510"/>
      <w:bookmarkEnd w:id="34395"/>
      <w:r>
        <w:rPr>
          <w:rFonts w:hint="cs"/>
          <w:rtl/>
        </w:rPr>
        <w:t xml:space="preserve">ונורא </w:t>
      </w:r>
      <w:bookmarkStart w:id="34396" w:name="_ETM_Q61_431989"/>
      <w:bookmarkEnd w:id="34396"/>
      <w:r>
        <w:rPr>
          <w:rFonts w:hint="cs"/>
          <w:rtl/>
        </w:rPr>
        <w:t xml:space="preserve">מאומה </w:t>
      </w:r>
      <w:bookmarkStart w:id="34397" w:name="_ETM_Q61_432469"/>
      <w:bookmarkEnd w:id="34397"/>
      <w:r>
        <w:rPr>
          <w:rFonts w:hint="cs"/>
          <w:rtl/>
        </w:rPr>
        <w:t xml:space="preserve">שלמה </w:t>
      </w:r>
      <w:bookmarkStart w:id="34398" w:name="_ETM_Q61_432950"/>
      <w:bookmarkEnd w:id="34398"/>
      <w:r>
        <w:rPr>
          <w:rFonts w:hint="cs"/>
          <w:rtl/>
        </w:rPr>
        <w:t>המאבד</w:t>
      </w:r>
      <w:bookmarkStart w:id="34399" w:name="_ETM_Q61_433549"/>
      <w:bookmarkEnd w:id="34399"/>
      <w:r>
        <w:rPr>
          <w:rFonts w:hint="cs"/>
          <w:rtl/>
        </w:rPr>
        <w:t xml:space="preserve">ת </w:t>
      </w:r>
      <w:bookmarkStart w:id="34400" w:name="_ETM_Q61_433640"/>
      <w:bookmarkEnd w:id="34400"/>
      <w:r>
        <w:rPr>
          <w:rFonts w:hint="cs"/>
          <w:rtl/>
        </w:rPr>
        <w:t xml:space="preserve">את חירותה, </w:t>
      </w:r>
      <w:bookmarkStart w:id="34401" w:name="_ETM_Q61_435030"/>
      <w:bookmarkEnd w:id="34401"/>
      <w:r>
        <w:rPr>
          <w:rFonts w:hint="cs"/>
          <w:rtl/>
        </w:rPr>
        <w:t xml:space="preserve">שתאבד </w:t>
      </w:r>
      <w:bookmarkStart w:id="34402" w:name="_ETM_Q61_435810"/>
      <w:bookmarkEnd w:id="34402"/>
      <w:r>
        <w:rPr>
          <w:rFonts w:hint="cs"/>
          <w:rtl/>
        </w:rPr>
        <w:t xml:space="preserve">לה האפשרות </w:t>
      </w:r>
      <w:bookmarkStart w:id="34403" w:name="_ETM_Q61_436979"/>
      <w:bookmarkStart w:id="34404" w:name="_ETM_Q61_437610"/>
      <w:bookmarkEnd w:id="34403"/>
      <w:bookmarkEnd w:id="34404"/>
      <w:r>
        <w:rPr>
          <w:rFonts w:hint="cs"/>
          <w:rtl/>
        </w:rPr>
        <w:t xml:space="preserve">לפתח </w:t>
      </w:r>
      <w:bookmarkStart w:id="34405" w:name="_ETM_Q61_438180"/>
      <w:bookmarkStart w:id="34406" w:name="_ETM_Q61_438660"/>
      <w:bookmarkEnd w:id="34405"/>
      <w:bookmarkEnd w:id="34406"/>
      <w:r>
        <w:rPr>
          <w:rFonts w:hint="cs"/>
          <w:rtl/>
        </w:rPr>
        <w:t xml:space="preserve">בחירות </w:t>
      </w:r>
      <w:bookmarkStart w:id="34407" w:name="_ETM_Q61_439110"/>
      <w:bookmarkEnd w:id="34407"/>
      <w:r>
        <w:rPr>
          <w:rFonts w:hint="cs"/>
          <w:rtl/>
        </w:rPr>
        <w:t xml:space="preserve">את </w:t>
      </w:r>
      <w:bookmarkStart w:id="34408" w:name="_ETM_Q61_439229"/>
      <w:bookmarkEnd w:id="34408"/>
      <w:r>
        <w:rPr>
          <w:rFonts w:hint="cs"/>
          <w:rtl/>
        </w:rPr>
        <w:t xml:space="preserve">עצמאותה, </w:t>
      </w:r>
      <w:bookmarkStart w:id="34409" w:name="_ETM_Q61_440320"/>
      <w:bookmarkEnd w:id="34409"/>
      <w:r>
        <w:rPr>
          <w:rFonts w:hint="cs"/>
          <w:rtl/>
        </w:rPr>
        <w:t xml:space="preserve">לפתח </w:t>
      </w:r>
      <w:bookmarkStart w:id="34410" w:name="_ETM_Q61_441040"/>
      <w:bookmarkEnd w:id="34410"/>
      <w:r>
        <w:rPr>
          <w:rFonts w:hint="cs"/>
          <w:rtl/>
        </w:rPr>
        <w:t xml:space="preserve">את </w:t>
      </w:r>
      <w:bookmarkStart w:id="34411" w:name="_ETM_Q61_441160"/>
      <w:bookmarkEnd w:id="34411"/>
      <w:r>
        <w:rPr>
          <w:rFonts w:hint="cs"/>
          <w:rtl/>
        </w:rPr>
        <w:t xml:space="preserve">תרבותה, </w:t>
      </w:r>
      <w:bookmarkStart w:id="34412" w:name="_ETM_Q61_441729"/>
      <w:bookmarkEnd w:id="34412"/>
      <w:r>
        <w:rPr>
          <w:rFonts w:hint="cs"/>
          <w:rtl/>
        </w:rPr>
        <w:t>לפתח</w:t>
      </w:r>
      <w:bookmarkStart w:id="34413" w:name="_ETM_Q61_442240"/>
      <w:bookmarkStart w:id="34414" w:name="_ETM_Q61_442690"/>
      <w:bookmarkEnd w:id="34413"/>
      <w:bookmarkEnd w:id="34414"/>
      <w:r>
        <w:rPr>
          <w:rFonts w:hint="cs"/>
          <w:rtl/>
        </w:rPr>
        <w:t xml:space="preserve"> את </w:t>
      </w:r>
      <w:bookmarkStart w:id="34415" w:name="_ETM_Q61_442839"/>
      <w:bookmarkEnd w:id="34415"/>
      <w:r>
        <w:rPr>
          <w:rFonts w:hint="cs"/>
          <w:rtl/>
        </w:rPr>
        <w:t xml:space="preserve">המסורת </w:t>
      </w:r>
      <w:bookmarkStart w:id="34416" w:name="_ETM_Q61_443350"/>
      <w:bookmarkEnd w:id="34416"/>
      <w:r>
        <w:rPr>
          <w:rFonts w:hint="cs"/>
          <w:rtl/>
        </w:rPr>
        <w:t xml:space="preserve">ואת </w:t>
      </w:r>
      <w:bookmarkStart w:id="34417" w:name="_ETM_Q61_443589"/>
      <w:bookmarkEnd w:id="34417"/>
      <w:r>
        <w:rPr>
          <w:rFonts w:hint="cs"/>
          <w:rtl/>
        </w:rPr>
        <w:t xml:space="preserve">האידיאלים </w:t>
      </w:r>
      <w:bookmarkStart w:id="34418" w:name="_ETM_Q61_444130"/>
      <w:bookmarkEnd w:id="34418"/>
      <w:r>
        <w:rPr>
          <w:rFonts w:hint="cs"/>
          <w:rtl/>
        </w:rPr>
        <w:t xml:space="preserve">שלה? </w:t>
      </w:r>
      <w:bookmarkStart w:id="34419" w:name="_ETM_Q61_446870"/>
      <w:bookmarkEnd w:id="34419"/>
    </w:p>
    <w:p w:rsidR="00BB59CD" w:rsidRDefault="00BB59CD" w:rsidP="00BB59CD">
      <w:pPr>
        <w:rPr>
          <w:rtl/>
        </w:rPr>
      </w:pPr>
      <w:bookmarkStart w:id="34420" w:name="_ETM_Q61_450000"/>
      <w:bookmarkEnd w:id="34420"/>
    </w:p>
    <w:p w:rsidR="00BB59CD" w:rsidRDefault="00BB59CD" w:rsidP="00B404F9">
      <w:pPr>
        <w:rPr>
          <w:rtl/>
        </w:rPr>
      </w:pPr>
      <w:r>
        <w:rPr>
          <w:rFonts w:hint="cs"/>
          <w:rtl/>
        </w:rPr>
        <w:t xml:space="preserve">כאמור, </w:t>
      </w:r>
      <w:bookmarkStart w:id="34421" w:name="_ETM_Q61_447620"/>
      <w:bookmarkEnd w:id="34421"/>
      <w:r>
        <w:rPr>
          <w:rFonts w:hint="cs"/>
          <w:rtl/>
        </w:rPr>
        <w:t xml:space="preserve">לפנינו </w:t>
      </w:r>
      <w:bookmarkStart w:id="34422" w:name="_ETM_Q61_448190"/>
      <w:bookmarkEnd w:id="34422"/>
      <w:r>
        <w:rPr>
          <w:rFonts w:hint="cs"/>
          <w:rtl/>
        </w:rPr>
        <w:t xml:space="preserve">לא </w:t>
      </w:r>
      <w:bookmarkStart w:id="34423" w:name="_ETM_Q61_448370"/>
      <w:bookmarkEnd w:id="34423"/>
      <w:r>
        <w:rPr>
          <w:rFonts w:hint="cs"/>
          <w:rtl/>
        </w:rPr>
        <w:t xml:space="preserve">רק </w:t>
      </w:r>
      <w:bookmarkStart w:id="34424" w:name="_ETM_Q61_448580"/>
      <w:bookmarkEnd w:id="34424"/>
      <w:r>
        <w:rPr>
          <w:rFonts w:hint="cs"/>
          <w:rtl/>
        </w:rPr>
        <w:t xml:space="preserve">תמרור </w:t>
      </w:r>
      <w:bookmarkStart w:id="34425" w:name="_ETM_Q61_449000"/>
      <w:bookmarkEnd w:id="34425"/>
      <w:r>
        <w:rPr>
          <w:rFonts w:hint="cs"/>
          <w:rtl/>
        </w:rPr>
        <w:t xml:space="preserve">עצור; </w:t>
      </w:r>
      <w:bookmarkStart w:id="34426" w:name="_ETM_Q61_449779"/>
      <w:bookmarkEnd w:id="34426"/>
      <w:r>
        <w:rPr>
          <w:rFonts w:hint="cs"/>
          <w:rtl/>
        </w:rPr>
        <w:t xml:space="preserve">יש </w:t>
      </w:r>
      <w:bookmarkStart w:id="34427" w:name="_ETM_Q61_450050"/>
      <w:bookmarkEnd w:id="34427"/>
      <w:r>
        <w:rPr>
          <w:rFonts w:hint="cs"/>
          <w:rtl/>
        </w:rPr>
        <w:t xml:space="preserve">פה </w:t>
      </w:r>
      <w:bookmarkStart w:id="34428" w:name="_ETM_Q61_450199"/>
      <w:bookmarkStart w:id="34429" w:name="_ETM_Q61_450380"/>
      <w:bookmarkEnd w:id="34428"/>
      <w:bookmarkEnd w:id="34429"/>
      <w:r>
        <w:rPr>
          <w:rFonts w:hint="cs"/>
          <w:rtl/>
        </w:rPr>
        <w:t xml:space="preserve">אזעקת </w:t>
      </w:r>
      <w:bookmarkStart w:id="34430" w:name="_ETM_Q61_451070"/>
      <w:bookmarkEnd w:id="34430"/>
      <w:r>
        <w:rPr>
          <w:rFonts w:hint="cs"/>
          <w:rtl/>
        </w:rPr>
        <w:t xml:space="preserve">אמת. </w:t>
      </w:r>
      <w:bookmarkStart w:id="34431" w:name="_ETM_Q61_452469"/>
      <w:bookmarkEnd w:id="34431"/>
      <w:r>
        <w:rPr>
          <w:rFonts w:hint="cs"/>
          <w:rtl/>
        </w:rPr>
        <w:t xml:space="preserve">כיצד </w:t>
      </w:r>
      <w:bookmarkStart w:id="34432" w:name="_ETM_Q61_453069"/>
      <w:bookmarkEnd w:id="34432"/>
      <w:r>
        <w:rPr>
          <w:rFonts w:hint="cs"/>
          <w:rtl/>
        </w:rPr>
        <w:t xml:space="preserve">ייתכן </w:t>
      </w:r>
      <w:bookmarkStart w:id="34433" w:name="_ETM_Q61_453699"/>
      <w:bookmarkEnd w:id="34433"/>
      <w:r>
        <w:rPr>
          <w:rFonts w:hint="cs"/>
          <w:rtl/>
        </w:rPr>
        <w:t xml:space="preserve">שבמשמרת </w:t>
      </w:r>
      <w:bookmarkStart w:id="34434" w:name="_ETM_Q61_454599"/>
      <w:bookmarkEnd w:id="34434"/>
      <w:r>
        <w:rPr>
          <w:rFonts w:hint="cs"/>
          <w:rtl/>
        </w:rPr>
        <w:t xml:space="preserve">של </w:t>
      </w:r>
      <w:bookmarkStart w:id="34435" w:name="_ETM_Q61_454749"/>
      <w:bookmarkEnd w:id="34435"/>
      <w:r>
        <w:rPr>
          <w:rFonts w:hint="cs"/>
          <w:rtl/>
        </w:rPr>
        <w:t xml:space="preserve">הממשלה </w:t>
      </w:r>
      <w:bookmarkStart w:id="34436" w:name="_ETM_Q61_455379"/>
      <w:bookmarkEnd w:id="34436"/>
      <w:r>
        <w:rPr>
          <w:rFonts w:hint="cs"/>
          <w:rtl/>
        </w:rPr>
        <w:t xml:space="preserve">הזאת </w:t>
      </w:r>
      <w:bookmarkStart w:id="34437" w:name="_ETM_Q61_456210"/>
      <w:bookmarkEnd w:id="34437"/>
      <w:r>
        <w:rPr>
          <w:rFonts w:hint="cs"/>
          <w:rtl/>
        </w:rPr>
        <w:t xml:space="preserve">שרי </w:t>
      </w:r>
      <w:bookmarkStart w:id="34438" w:name="_ETM_Q61_456720"/>
      <w:bookmarkEnd w:id="34438"/>
      <w:r>
        <w:rPr>
          <w:rFonts w:hint="cs"/>
          <w:rtl/>
        </w:rPr>
        <w:t xml:space="preserve">הממשלה </w:t>
      </w:r>
      <w:bookmarkStart w:id="34439" w:name="_ETM_Q61_457800"/>
      <w:bookmarkEnd w:id="34439"/>
      <w:r>
        <w:rPr>
          <w:rFonts w:hint="cs"/>
          <w:rtl/>
        </w:rPr>
        <w:t xml:space="preserve">החליטו </w:t>
      </w:r>
      <w:bookmarkStart w:id="34440" w:name="_ETM_Q61_458279"/>
      <w:bookmarkEnd w:id="34440"/>
      <w:r>
        <w:rPr>
          <w:rFonts w:hint="cs"/>
          <w:rtl/>
        </w:rPr>
        <w:t xml:space="preserve">לשסות </w:t>
      </w:r>
      <w:bookmarkStart w:id="34441" w:name="_ETM_Q61_458910"/>
      <w:bookmarkEnd w:id="34441"/>
      <w:r>
        <w:rPr>
          <w:rFonts w:hint="cs"/>
          <w:rtl/>
        </w:rPr>
        <w:t xml:space="preserve">אותנו </w:t>
      </w:r>
      <w:bookmarkStart w:id="34442" w:name="_ETM_Q61_459300"/>
      <w:bookmarkStart w:id="34443" w:name="_ETM_Q61_459660"/>
      <w:bookmarkEnd w:id="34442"/>
      <w:bookmarkEnd w:id="34443"/>
      <w:r>
        <w:rPr>
          <w:rFonts w:hint="cs"/>
          <w:rtl/>
        </w:rPr>
        <w:t xml:space="preserve">אחד בשני? </w:t>
      </w:r>
      <w:bookmarkStart w:id="34444" w:name="_ETM_Q61_461360"/>
      <w:bookmarkEnd w:id="34444"/>
      <w:r>
        <w:rPr>
          <w:rFonts w:hint="cs"/>
          <w:rtl/>
        </w:rPr>
        <w:t xml:space="preserve">כיצד </w:t>
      </w:r>
      <w:bookmarkStart w:id="34445" w:name="_ETM_Q61_462020"/>
      <w:bookmarkEnd w:id="34445"/>
      <w:r>
        <w:rPr>
          <w:rFonts w:hint="cs"/>
          <w:rtl/>
        </w:rPr>
        <w:t xml:space="preserve">ייתכן </w:t>
      </w:r>
      <w:bookmarkStart w:id="34446" w:name="_ETM_Q61_462560"/>
      <w:bookmarkEnd w:id="34446"/>
      <w:r>
        <w:rPr>
          <w:rFonts w:hint="cs"/>
          <w:rtl/>
        </w:rPr>
        <w:t xml:space="preserve">שבמשמרת </w:t>
      </w:r>
      <w:bookmarkStart w:id="34447" w:name="_ETM_Q61_463339"/>
      <w:bookmarkEnd w:id="34447"/>
      <w:r>
        <w:rPr>
          <w:rFonts w:hint="cs"/>
          <w:rtl/>
        </w:rPr>
        <w:t xml:space="preserve">של </w:t>
      </w:r>
      <w:bookmarkStart w:id="34448" w:name="_ETM_Q61_463490"/>
      <w:bookmarkEnd w:id="34448"/>
      <w:r>
        <w:rPr>
          <w:rFonts w:hint="cs"/>
          <w:rtl/>
        </w:rPr>
        <w:t xml:space="preserve">ראש </w:t>
      </w:r>
      <w:bookmarkStart w:id="34449" w:name="_ETM_Q61_463760"/>
      <w:bookmarkEnd w:id="34449"/>
      <w:r>
        <w:rPr>
          <w:rFonts w:hint="cs"/>
          <w:rtl/>
        </w:rPr>
        <w:t xml:space="preserve">הממשלה </w:t>
      </w:r>
      <w:bookmarkStart w:id="34450" w:name="_ETM_Q61_464510"/>
      <w:bookmarkEnd w:id="34450"/>
      <w:r>
        <w:rPr>
          <w:rFonts w:hint="cs"/>
          <w:rtl/>
        </w:rPr>
        <w:t xml:space="preserve">בנימין </w:t>
      </w:r>
      <w:bookmarkStart w:id="34451" w:name="_ETM_Q61_464990"/>
      <w:bookmarkEnd w:id="34451"/>
      <w:r>
        <w:rPr>
          <w:rFonts w:hint="cs"/>
          <w:rtl/>
        </w:rPr>
        <w:t xml:space="preserve">נתניהו, </w:t>
      </w:r>
      <w:bookmarkStart w:id="34452" w:name="_ETM_Q61_466220"/>
      <w:bookmarkEnd w:id="34452"/>
      <w:r>
        <w:rPr>
          <w:rFonts w:hint="cs"/>
          <w:rtl/>
        </w:rPr>
        <w:t xml:space="preserve">שרים, </w:t>
      </w:r>
      <w:bookmarkStart w:id="34453" w:name="_ETM_Q61_466610"/>
      <w:bookmarkEnd w:id="34453"/>
      <w:r>
        <w:rPr>
          <w:rFonts w:hint="cs"/>
          <w:rtl/>
        </w:rPr>
        <w:t xml:space="preserve">שחלקם </w:t>
      </w:r>
      <w:bookmarkStart w:id="34454" w:name="_ETM_Q61_467180"/>
      <w:bookmarkEnd w:id="34454"/>
      <w:r>
        <w:rPr>
          <w:rFonts w:hint="cs"/>
          <w:rtl/>
        </w:rPr>
        <w:t xml:space="preserve">אפילו </w:t>
      </w:r>
      <w:bookmarkStart w:id="34455" w:name="_ETM_Q61_467510"/>
      <w:bookmarkEnd w:id="34455"/>
      <w:r>
        <w:rPr>
          <w:rFonts w:hint="cs"/>
          <w:rtl/>
        </w:rPr>
        <w:t xml:space="preserve">לא </w:t>
      </w:r>
      <w:bookmarkStart w:id="34456" w:name="_ETM_Q61_467630"/>
      <w:bookmarkEnd w:id="34456"/>
      <w:r>
        <w:rPr>
          <w:rFonts w:hint="cs"/>
          <w:rtl/>
        </w:rPr>
        <w:t xml:space="preserve">שירתו </w:t>
      </w:r>
      <w:bookmarkStart w:id="34457" w:name="_ETM_Q61_468020"/>
      <w:bookmarkEnd w:id="34457"/>
      <w:r>
        <w:rPr>
          <w:rFonts w:hint="cs"/>
          <w:rtl/>
        </w:rPr>
        <w:t xml:space="preserve">בצבא </w:t>
      </w:r>
      <w:bookmarkStart w:id="34458" w:name="_ETM_Q61_468830"/>
      <w:bookmarkEnd w:id="34458"/>
      <w:r>
        <w:rPr>
          <w:rFonts w:hint="cs"/>
          <w:rtl/>
        </w:rPr>
        <w:t xml:space="preserve">או </w:t>
      </w:r>
      <w:bookmarkStart w:id="34459" w:name="_ETM_Q61_468980"/>
      <w:bookmarkEnd w:id="34459"/>
      <w:r>
        <w:rPr>
          <w:rFonts w:hint="cs"/>
          <w:rtl/>
        </w:rPr>
        <w:t xml:space="preserve">עשו </w:t>
      </w:r>
      <w:bookmarkStart w:id="34460" w:name="_ETM_Q61_469310"/>
      <w:bookmarkEnd w:id="34460"/>
      <w:r>
        <w:rPr>
          <w:rFonts w:hint="cs"/>
          <w:rtl/>
        </w:rPr>
        <w:t xml:space="preserve">שירות </w:t>
      </w:r>
      <w:bookmarkStart w:id="34461" w:name="_ETM_Q61_469700"/>
      <w:bookmarkEnd w:id="34461"/>
      <w:r>
        <w:rPr>
          <w:rFonts w:hint="cs"/>
          <w:rtl/>
        </w:rPr>
        <w:t xml:space="preserve">מקוצר </w:t>
      </w:r>
      <w:bookmarkStart w:id="34462" w:name="_ETM_Q61_470210"/>
      <w:bookmarkEnd w:id="34462"/>
      <w:r>
        <w:rPr>
          <w:rFonts w:hint="cs"/>
          <w:rtl/>
        </w:rPr>
        <w:t xml:space="preserve">ומצ'וקמק </w:t>
      </w:r>
      <w:bookmarkStart w:id="34463" w:name="_ETM_Q61_470930"/>
      <w:bookmarkEnd w:id="34463"/>
      <w:r>
        <w:rPr>
          <w:rFonts w:hint="cs"/>
          <w:rtl/>
        </w:rPr>
        <w:t xml:space="preserve">ולא </w:t>
      </w:r>
      <w:bookmarkStart w:id="34464" w:name="_ETM_Q61_471139"/>
      <w:bookmarkEnd w:id="34464"/>
      <w:r>
        <w:rPr>
          <w:rFonts w:hint="cs"/>
          <w:rtl/>
        </w:rPr>
        <w:t xml:space="preserve">תרמו </w:t>
      </w:r>
      <w:bookmarkStart w:id="34465" w:name="_ETM_Q61_471500"/>
      <w:bookmarkEnd w:id="34465"/>
      <w:r>
        <w:rPr>
          <w:rFonts w:hint="cs"/>
          <w:rtl/>
        </w:rPr>
        <w:t xml:space="preserve">פרומיל </w:t>
      </w:r>
      <w:bookmarkStart w:id="34466" w:name="_ETM_Q61_472040"/>
      <w:bookmarkEnd w:id="34466"/>
      <w:r>
        <w:rPr>
          <w:rFonts w:hint="cs"/>
          <w:rtl/>
        </w:rPr>
        <w:t xml:space="preserve">מהאזרחים </w:t>
      </w:r>
      <w:bookmarkStart w:id="34467" w:name="_ETM_Q61_472669"/>
      <w:bookmarkEnd w:id="34467"/>
      <w:r>
        <w:rPr>
          <w:rFonts w:hint="cs"/>
          <w:rtl/>
        </w:rPr>
        <w:t xml:space="preserve">ששוטפים </w:t>
      </w:r>
      <w:bookmarkStart w:id="34468" w:name="_ETM_Q61_473210"/>
      <w:bookmarkEnd w:id="34468"/>
      <w:r>
        <w:rPr>
          <w:rFonts w:hint="cs"/>
          <w:rtl/>
        </w:rPr>
        <w:t xml:space="preserve">את </w:t>
      </w:r>
      <w:bookmarkStart w:id="34469" w:name="_ETM_Q61_473330"/>
      <w:bookmarkEnd w:id="34469"/>
      <w:r>
        <w:rPr>
          <w:rFonts w:hint="cs"/>
          <w:rtl/>
        </w:rPr>
        <w:t xml:space="preserve">הרחובות, </w:t>
      </w:r>
      <w:bookmarkStart w:id="34470" w:name="_ETM_Q61_474529"/>
      <w:bookmarkEnd w:id="34470"/>
      <w:r>
        <w:rPr>
          <w:rFonts w:hint="cs"/>
          <w:rtl/>
        </w:rPr>
        <w:t xml:space="preserve">מתגרים </w:t>
      </w:r>
      <w:bookmarkStart w:id="34471" w:name="_ETM_Q61_475250"/>
      <w:bookmarkEnd w:id="34471"/>
      <w:r>
        <w:rPr>
          <w:rFonts w:hint="cs"/>
          <w:rtl/>
        </w:rPr>
        <w:t xml:space="preserve">באזרחים? </w:t>
      </w:r>
      <w:bookmarkStart w:id="34472" w:name="_ETM_Q61_477520"/>
      <w:bookmarkEnd w:id="34472"/>
      <w:r>
        <w:rPr>
          <w:rFonts w:hint="cs"/>
          <w:rtl/>
        </w:rPr>
        <w:t xml:space="preserve">איזו </w:t>
      </w:r>
      <w:bookmarkStart w:id="34473" w:name="_ETM_Q61_477909"/>
      <w:bookmarkEnd w:id="34473"/>
      <w:r>
        <w:rPr>
          <w:rFonts w:hint="cs"/>
          <w:rtl/>
        </w:rPr>
        <w:t xml:space="preserve">מנהיגות </w:t>
      </w:r>
      <w:bookmarkStart w:id="34474" w:name="_ETM_Q61_478449"/>
      <w:bookmarkEnd w:id="34474"/>
      <w:r>
        <w:rPr>
          <w:rFonts w:hint="cs"/>
          <w:rtl/>
        </w:rPr>
        <w:t xml:space="preserve">מעוותת </w:t>
      </w:r>
      <w:bookmarkStart w:id="34475" w:name="_ETM_Q61_479110"/>
      <w:bookmarkEnd w:id="34475"/>
      <w:r>
        <w:rPr>
          <w:rFonts w:hint="cs"/>
          <w:rtl/>
        </w:rPr>
        <w:t xml:space="preserve">זאת? </w:t>
      </w:r>
      <w:bookmarkStart w:id="34476" w:name="_ETM_Q61_479960"/>
      <w:bookmarkEnd w:id="34476"/>
      <w:r>
        <w:rPr>
          <w:rFonts w:hint="cs"/>
          <w:rtl/>
        </w:rPr>
        <w:t xml:space="preserve">איפה </w:t>
      </w:r>
      <w:bookmarkStart w:id="34477" w:name="_ETM_Q61_480469"/>
      <w:bookmarkEnd w:id="34477"/>
      <w:r>
        <w:rPr>
          <w:rFonts w:hint="cs"/>
          <w:rtl/>
        </w:rPr>
        <w:t xml:space="preserve">הדוגמה </w:t>
      </w:r>
      <w:bookmarkStart w:id="34478" w:name="_ETM_Q61_480949"/>
      <w:bookmarkEnd w:id="34478"/>
      <w:r>
        <w:rPr>
          <w:rFonts w:hint="cs"/>
          <w:rtl/>
        </w:rPr>
        <w:t>האישית</w:t>
      </w:r>
      <w:bookmarkStart w:id="34479" w:name="_ETM_Q61_480000"/>
      <w:bookmarkEnd w:id="34479"/>
      <w:r>
        <w:rPr>
          <w:rFonts w:hint="cs"/>
          <w:rtl/>
        </w:rPr>
        <w:t xml:space="preserve">? </w:t>
      </w:r>
      <w:bookmarkStart w:id="34480" w:name="_ETM_Q61_480699"/>
      <w:bookmarkStart w:id="34481" w:name="_ETM_Q61_481150"/>
      <w:bookmarkStart w:id="34482" w:name="_ETM_Q61_481629"/>
      <w:bookmarkStart w:id="34483" w:name="_ETM_Q61_482649"/>
      <w:bookmarkEnd w:id="34480"/>
      <w:bookmarkEnd w:id="34481"/>
      <w:bookmarkEnd w:id="34482"/>
      <w:bookmarkEnd w:id="34483"/>
      <w:r>
        <w:rPr>
          <w:rFonts w:hint="cs"/>
          <w:rtl/>
        </w:rPr>
        <w:t xml:space="preserve">מה עם </w:t>
      </w:r>
      <w:bookmarkStart w:id="34484" w:name="_ETM_Q61_482980"/>
      <w:bookmarkEnd w:id="34484"/>
      <w:r>
        <w:rPr>
          <w:rFonts w:hint="cs"/>
          <w:rtl/>
        </w:rPr>
        <w:t xml:space="preserve">קצת </w:t>
      </w:r>
      <w:bookmarkStart w:id="34485" w:name="_ETM_Q61_483250"/>
      <w:bookmarkEnd w:id="34485"/>
      <w:r>
        <w:rPr>
          <w:rFonts w:hint="cs"/>
          <w:rtl/>
        </w:rPr>
        <w:t xml:space="preserve">צניעות, </w:t>
      </w:r>
      <w:bookmarkStart w:id="34486" w:name="_ETM_Q61_483850"/>
      <w:bookmarkEnd w:id="34486"/>
      <w:r>
        <w:rPr>
          <w:rFonts w:hint="cs"/>
          <w:rtl/>
        </w:rPr>
        <w:t xml:space="preserve">אהבת </w:t>
      </w:r>
      <w:bookmarkStart w:id="34487" w:name="_ETM_Q61_484300"/>
      <w:bookmarkEnd w:id="34487"/>
      <w:r>
        <w:rPr>
          <w:rFonts w:hint="cs"/>
          <w:rtl/>
        </w:rPr>
        <w:t xml:space="preserve">אדם </w:t>
      </w:r>
      <w:bookmarkStart w:id="34488" w:name="_ETM_Q61_484630"/>
      <w:bookmarkEnd w:id="34488"/>
      <w:r>
        <w:rPr>
          <w:rFonts w:hint="cs"/>
          <w:rtl/>
        </w:rPr>
        <w:t xml:space="preserve">וכבוד </w:t>
      </w:r>
      <w:bookmarkStart w:id="34489" w:name="_ETM_Q61_485050"/>
      <w:bookmarkEnd w:id="34489"/>
      <w:r>
        <w:rPr>
          <w:rFonts w:hint="cs"/>
          <w:rtl/>
        </w:rPr>
        <w:t xml:space="preserve">אדם? </w:t>
      </w:r>
      <w:bookmarkStart w:id="34490" w:name="_ETM_Q61_486249"/>
      <w:bookmarkEnd w:id="34490"/>
      <w:r>
        <w:rPr>
          <w:rFonts w:hint="cs"/>
          <w:rtl/>
        </w:rPr>
        <w:t xml:space="preserve">שרים </w:t>
      </w:r>
      <w:bookmarkStart w:id="34491" w:name="_ETM_Q61_486700"/>
      <w:bookmarkEnd w:id="34491"/>
      <w:r>
        <w:rPr>
          <w:rFonts w:hint="cs"/>
          <w:rtl/>
        </w:rPr>
        <w:t xml:space="preserve">שמשתלחים </w:t>
      </w:r>
      <w:bookmarkStart w:id="34492" w:name="_ETM_Q61_487749"/>
      <w:bookmarkEnd w:id="34492"/>
      <w:r>
        <w:rPr>
          <w:rFonts w:hint="cs"/>
          <w:rtl/>
        </w:rPr>
        <w:t xml:space="preserve">במשרתי </w:t>
      </w:r>
      <w:bookmarkStart w:id="34493" w:name="_ETM_Q61_488469"/>
      <w:bookmarkEnd w:id="34493"/>
      <w:r>
        <w:rPr>
          <w:rFonts w:hint="cs"/>
          <w:rtl/>
        </w:rPr>
        <w:t xml:space="preserve">צה"ל </w:t>
      </w:r>
      <w:bookmarkStart w:id="34494" w:name="_ETM_Q61_489329"/>
      <w:bookmarkEnd w:id="34494"/>
      <w:r>
        <w:rPr>
          <w:rFonts w:hint="cs"/>
          <w:rtl/>
        </w:rPr>
        <w:t xml:space="preserve">– איפה </w:t>
      </w:r>
      <w:bookmarkStart w:id="34495" w:name="_ETM_Q61_489749"/>
      <w:bookmarkEnd w:id="34495"/>
      <w:r>
        <w:rPr>
          <w:rFonts w:hint="cs"/>
          <w:rtl/>
        </w:rPr>
        <w:t xml:space="preserve">נשמע </w:t>
      </w:r>
      <w:bookmarkStart w:id="34496" w:name="_ETM_Q61_490199"/>
      <w:bookmarkEnd w:id="34496"/>
      <w:r>
        <w:rPr>
          <w:rFonts w:hint="cs"/>
          <w:rtl/>
        </w:rPr>
        <w:t xml:space="preserve">בהיסטוריה </w:t>
      </w:r>
      <w:bookmarkStart w:id="34497" w:name="_ETM_Q61_490829"/>
      <w:bookmarkEnd w:id="34497"/>
      <w:r>
        <w:rPr>
          <w:rFonts w:hint="cs"/>
          <w:rtl/>
        </w:rPr>
        <w:t xml:space="preserve">של </w:t>
      </w:r>
      <w:bookmarkStart w:id="34498" w:name="_ETM_Q61_491009"/>
      <w:bookmarkEnd w:id="34498"/>
      <w:r>
        <w:rPr>
          <w:rFonts w:hint="cs"/>
          <w:rtl/>
        </w:rPr>
        <w:t xml:space="preserve">מדינת </w:t>
      </w:r>
      <w:bookmarkStart w:id="34499" w:name="_ETM_Q61_491400"/>
      <w:bookmarkEnd w:id="34499"/>
      <w:r>
        <w:rPr>
          <w:rFonts w:hint="cs"/>
          <w:rtl/>
        </w:rPr>
        <w:t xml:space="preserve">ישראל </w:t>
      </w:r>
      <w:bookmarkStart w:id="34500" w:name="_ETM_Q61_491820"/>
      <w:bookmarkEnd w:id="34500"/>
      <w:r>
        <w:rPr>
          <w:rFonts w:hint="cs"/>
          <w:rtl/>
        </w:rPr>
        <w:t xml:space="preserve">דבר </w:t>
      </w:r>
      <w:bookmarkStart w:id="34501" w:name="_ETM_Q61_492209"/>
      <w:bookmarkEnd w:id="34501"/>
      <w:r>
        <w:rPr>
          <w:rFonts w:hint="cs"/>
          <w:rtl/>
        </w:rPr>
        <w:t xml:space="preserve">כזה? </w:t>
      </w:r>
      <w:bookmarkStart w:id="34502" w:name="_ETM_Q61_493949"/>
      <w:bookmarkEnd w:id="34502"/>
    </w:p>
    <w:p w:rsidR="00BB59CD" w:rsidRDefault="00BB59CD" w:rsidP="00BB59CD">
      <w:pPr>
        <w:rPr>
          <w:rtl/>
        </w:rPr>
      </w:pPr>
    </w:p>
    <w:p w:rsidR="00BB59CD" w:rsidRDefault="00BB59CD" w:rsidP="000145FA">
      <w:pPr>
        <w:rPr>
          <w:rtl/>
        </w:rPr>
      </w:pPr>
      <w:bookmarkStart w:id="34503" w:name="_ETM_Q61_490000"/>
      <w:bookmarkEnd w:id="34503"/>
      <w:r>
        <w:rPr>
          <w:rFonts w:hint="cs"/>
          <w:rtl/>
        </w:rPr>
        <w:t xml:space="preserve">ואתה </w:t>
      </w:r>
      <w:bookmarkStart w:id="34504" w:name="_ETM_Q61_494339"/>
      <w:bookmarkEnd w:id="34504"/>
      <w:r>
        <w:rPr>
          <w:rFonts w:hint="cs"/>
          <w:rtl/>
        </w:rPr>
        <w:t xml:space="preserve">יודע </w:t>
      </w:r>
      <w:bookmarkStart w:id="34505" w:name="_ETM_Q61_494639"/>
      <w:bookmarkEnd w:id="34505"/>
      <w:r>
        <w:rPr>
          <w:rFonts w:hint="cs"/>
          <w:rtl/>
        </w:rPr>
        <w:t xml:space="preserve">מה </w:t>
      </w:r>
      <w:bookmarkStart w:id="34506" w:name="_ETM_Q61_494789"/>
      <w:bookmarkEnd w:id="34506"/>
      <w:r>
        <w:rPr>
          <w:rFonts w:hint="cs"/>
          <w:rtl/>
        </w:rPr>
        <w:t xml:space="preserve">הכי </w:t>
      </w:r>
      <w:bookmarkStart w:id="34507" w:name="_ETM_Q61_494999"/>
      <w:bookmarkEnd w:id="34507"/>
      <w:r>
        <w:rPr>
          <w:rFonts w:hint="cs"/>
          <w:rtl/>
        </w:rPr>
        <w:t xml:space="preserve">צורם? </w:t>
      </w:r>
      <w:bookmarkStart w:id="34508" w:name="_ETM_Q61_495190"/>
      <w:bookmarkStart w:id="34509" w:name="_ETM_Q61_495969"/>
      <w:bookmarkEnd w:id="34508"/>
      <w:bookmarkEnd w:id="34509"/>
      <w:r>
        <w:rPr>
          <w:rFonts w:hint="cs"/>
          <w:rtl/>
        </w:rPr>
        <w:t xml:space="preserve">השתיקה </w:t>
      </w:r>
      <w:bookmarkStart w:id="34510" w:name="_ETM_Q61_497050"/>
      <w:bookmarkEnd w:id="34510"/>
      <w:r>
        <w:rPr>
          <w:rFonts w:hint="cs"/>
          <w:rtl/>
        </w:rPr>
        <w:t xml:space="preserve">הרועמת. </w:t>
      </w:r>
      <w:bookmarkStart w:id="34511" w:name="_ETM_Q61_499230"/>
      <w:bookmarkEnd w:id="34511"/>
      <w:r>
        <w:rPr>
          <w:rFonts w:hint="cs"/>
          <w:rtl/>
        </w:rPr>
        <w:t xml:space="preserve">ראש </w:t>
      </w:r>
      <w:bookmarkStart w:id="34512" w:name="_ETM_Q61_499560"/>
      <w:bookmarkEnd w:id="34512"/>
      <w:r>
        <w:rPr>
          <w:rFonts w:hint="cs"/>
          <w:rtl/>
        </w:rPr>
        <w:t xml:space="preserve">הממשלה, </w:t>
      </w:r>
      <w:bookmarkStart w:id="34513" w:name="_ETM_Q61_500190"/>
      <w:bookmarkEnd w:id="34513"/>
      <w:r>
        <w:rPr>
          <w:rFonts w:hint="cs"/>
          <w:rtl/>
        </w:rPr>
        <w:t xml:space="preserve">לא גינית </w:t>
      </w:r>
      <w:bookmarkStart w:id="34514" w:name="_ETM_Q61_500700"/>
      <w:bookmarkStart w:id="34515" w:name="_ETM_Q61_500940"/>
      <w:bookmarkStart w:id="34516" w:name="_ETM_Q61_501050"/>
      <w:bookmarkEnd w:id="34514"/>
      <w:bookmarkEnd w:id="34515"/>
      <w:bookmarkEnd w:id="34516"/>
      <w:r>
        <w:rPr>
          <w:rFonts w:hint="cs"/>
          <w:rtl/>
        </w:rPr>
        <w:t xml:space="preserve">את השרים </w:t>
      </w:r>
      <w:bookmarkStart w:id="34517" w:name="_ETM_Q61_496000"/>
      <w:bookmarkStart w:id="34518" w:name="_ETM_Q61_501470"/>
      <w:bookmarkEnd w:id="34517"/>
      <w:bookmarkEnd w:id="34518"/>
      <w:r>
        <w:rPr>
          <w:rFonts w:hint="cs"/>
          <w:rtl/>
        </w:rPr>
        <w:t xml:space="preserve">על </w:t>
      </w:r>
      <w:bookmarkStart w:id="34519" w:name="_ETM_Q61_501560"/>
      <w:bookmarkEnd w:id="34519"/>
      <w:r>
        <w:rPr>
          <w:rFonts w:hint="cs"/>
          <w:rtl/>
        </w:rPr>
        <w:t xml:space="preserve">דברי </w:t>
      </w:r>
      <w:bookmarkStart w:id="34520" w:name="_ETM_Q61_501920"/>
      <w:bookmarkEnd w:id="34520"/>
      <w:r>
        <w:rPr>
          <w:rFonts w:hint="cs"/>
          <w:rtl/>
        </w:rPr>
        <w:t xml:space="preserve">הבלע </w:t>
      </w:r>
      <w:bookmarkStart w:id="34521" w:name="_ETM_Q61_502400"/>
      <w:bookmarkEnd w:id="34521"/>
      <w:r>
        <w:rPr>
          <w:rFonts w:hint="cs"/>
          <w:rtl/>
        </w:rPr>
        <w:t xml:space="preserve">שלהם. </w:t>
      </w:r>
      <w:bookmarkStart w:id="34522" w:name="_ETM_Q61_503320"/>
      <w:bookmarkEnd w:id="34522"/>
      <w:r>
        <w:rPr>
          <w:rFonts w:hint="cs"/>
          <w:rtl/>
        </w:rPr>
        <w:t xml:space="preserve">שקר זה רפש, </w:t>
      </w:r>
      <w:bookmarkStart w:id="34523" w:name="_ETM_Q61_503920"/>
      <w:bookmarkStart w:id="34524" w:name="_ETM_Q61_504250"/>
      <w:bookmarkStart w:id="34525" w:name="_ETM_Q61_504699"/>
      <w:bookmarkEnd w:id="34523"/>
      <w:bookmarkEnd w:id="34524"/>
      <w:bookmarkEnd w:id="34525"/>
      <w:r>
        <w:rPr>
          <w:rFonts w:hint="cs"/>
          <w:rtl/>
        </w:rPr>
        <w:t xml:space="preserve">כדברי </w:t>
      </w:r>
      <w:bookmarkStart w:id="34526" w:name="_ETM_Q61_505180"/>
      <w:bookmarkEnd w:id="34526"/>
      <w:r>
        <w:rPr>
          <w:rFonts w:hint="cs"/>
          <w:rtl/>
        </w:rPr>
        <w:t>ז'בוטינסקי. השר קרעי</w:t>
      </w:r>
      <w:bookmarkStart w:id="34527" w:name="_ETM_Q61_507319"/>
      <w:bookmarkStart w:id="34528" w:name="_ETM_Q61_507560"/>
      <w:bookmarkEnd w:id="34527"/>
      <w:bookmarkEnd w:id="34528"/>
      <w:r>
        <w:rPr>
          <w:rFonts w:hint="cs"/>
          <w:rtl/>
        </w:rPr>
        <w:t xml:space="preserve">, שקרא </w:t>
      </w:r>
      <w:bookmarkStart w:id="34529" w:name="_ETM_Q61_507830"/>
      <w:bookmarkStart w:id="34530" w:name="_ETM_Q61_507949"/>
      <w:bookmarkStart w:id="34531" w:name="_ETM_Q61_508400"/>
      <w:bookmarkEnd w:id="34529"/>
      <w:bookmarkEnd w:id="34530"/>
      <w:bookmarkEnd w:id="34531"/>
      <w:r>
        <w:rPr>
          <w:rFonts w:hint="cs"/>
          <w:rtl/>
        </w:rPr>
        <w:t>לטייסים</w:t>
      </w:r>
      <w:bookmarkStart w:id="34532" w:name="_ETM_Q61_509150"/>
      <w:bookmarkEnd w:id="34532"/>
      <w:r>
        <w:rPr>
          <w:rFonts w:hint="cs"/>
          <w:rtl/>
        </w:rPr>
        <w:t xml:space="preserve"> "סרבנים </w:t>
      </w:r>
      <w:bookmarkStart w:id="34533" w:name="_ETM_Q61_509779"/>
      <w:bookmarkEnd w:id="34533"/>
      <w:r>
        <w:rPr>
          <w:rFonts w:hint="cs"/>
          <w:rtl/>
        </w:rPr>
        <w:t xml:space="preserve">מחוצפים, </w:t>
      </w:r>
      <w:bookmarkStart w:id="34534" w:name="_ETM_Q61_510500"/>
      <w:bookmarkEnd w:id="34534"/>
      <w:r>
        <w:rPr>
          <w:rFonts w:hint="cs"/>
          <w:rtl/>
        </w:rPr>
        <w:t xml:space="preserve">עם </w:t>
      </w:r>
      <w:bookmarkStart w:id="34535" w:name="_ETM_Q61_510650"/>
      <w:bookmarkEnd w:id="34535"/>
      <w:r>
        <w:rPr>
          <w:rFonts w:hint="cs"/>
          <w:rtl/>
        </w:rPr>
        <w:t xml:space="preserve">ישראל </w:t>
      </w:r>
      <w:bookmarkStart w:id="34536" w:name="_ETM_Q61_511039"/>
      <w:bookmarkEnd w:id="34536"/>
      <w:r>
        <w:rPr>
          <w:rFonts w:hint="cs"/>
          <w:rtl/>
        </w:rPr>
        <w:t xml:space="preserve">יסתדר </w:t>
      </w:r>
      <w:bookmarkStart w:id="34537" w:name="_ETM_Q61_511519"/>
      <w:bookmarkEnd w:id="34537"/>
      <w:r>
        <w:rPr>
          <w:rFonts w:hint="cs"/>
          <w:rtl/>
        </w:rPr>
        <w:t xml:space="preserve">בלעדיכם </w:t>
      </w:r>
      <w:bookmarkStart w:id="34538" w:name="_ETM_Q61_512540"/>
      <w:bookmarkEnd w:id="34538"/>
      <w:r>
        <w:rPr>
          <w:rFonts w:hint="cs"/>
          <w:rtl/>
        </w:rPr>
        <w:t xml:space="preserve">ואתם </w:t>
      </w:r>
      <w:bookmarkStart w:id="34539" w:name="_ETM_Q61_512960"/>
      <w:bookmarkEnd w:id="34539"/>
      <w:r>
        <w:rPr>
          <w:rFonts w:hint="cs"/>
          <w:rtl/>
        </w:rPr>
        <w:t xml:space="preserve">תלכו </w:t>
      </w:r>
      <w:bookmarkStart w:id="34540" w:name="_ETM_Q61_513350"/>
      <w:bookmarkEnd w:id="34540"/>
      <w:r>
        <w:rPr>
          <w:rFonts w:hint="cs"/>
          <w:rtl/>
        </w:rPr>
        <w:t xml:space="preserve">לעזאזל"; השרה </w:t>
      </w:r>
      <w:bookmarkStart w:id="34541" w:name="_ETM_Q61_517000"/>
      <w:bookmarkStart w:id="34542" w:name="_ETM_Q61_515479"/>
      <w:bookmarkStart w:id="34543" w:name="_ETM_Q61_516004"/>
      <w:bookmarkEnd w:id="34541"/>
      <w:bookmarkEnd w:id="34542"/>
      <w:bookmarkEnd w:id="34543"/>
      <w:r>
        <w:rPr>
          <w:rFonts w:hint="cs"/>
          <w:rtl/>
        </w:rPr>
        <w:t xml:space="preserve">דיסטל, </w:t>
      </w:r>
      <w:bookmarkStart w:id="34544" w:name="_ETM_Q61_516529"/>
      <w:bookmarkEnd w:id="34544"/>
      <w:r>
        <w:rPr>
          <w:rFonts w:hint="cs"/>
          <w:rtl/>
        </w:rPr>
        <w:t>שכתבה</w:t>
      </w:r>
      <w:bookmarkStart w:id="34545" w:name="_ETM_Q61_517010"/>
      <w:bookmarkEnd w:id="34545"/>
      <w:r>
        <w:rPr>
          <w:rFonts w:hint="cs"/>
          <w:rtl/>
        </w:rPr>
        <w:t xml:space="preserve">: "טייסים </w:t>
      </w:r>
      <w:bookmarkStart w:id="34546" w:name="_ETM_Q61_517129"/>
      <w:bookmarkStart w:id="34547" w:name="_ETM_Q61_517670"/>
      <w:bookmarkEnd w:id="34546"/>
      <w:bookmarkEnd w:id="34547"/>
      <w:r>
        <w:rPr>
          <w:rFonts w:hint="cs"/>
          <w:rtl/>
        </w:rPr>
        <w:t xml:space="preserve">על </w:t>
      </w:r>
      <w:bookmarkStart w:id="34548" w:name="_ETM_Q61_517760"/>
      <w:bookmarkEnd w:id="34548"/>
      <w:r>
        <w:rPr>
          <w:rFonts w:hint="cs"/>
          <w:rtl/>
        </w:rPr>
        <w:t xml:space="preserve">תנאי </w:t>
      </w:r>
      <w:bookmarkStart w:id="34549" w:name="_ETM_Q61_518089"/>
      <w:bookmarkEnd w:id="34549"/>
      <w:r>
        <w:rPr>
          <w:rFonts w:hint="cs"/>
          <w:rtl/>
        </w:rPr>
        <w:t xml:space="preserve">הם </w:t>
      </w:r>
      <w:bookmarkStart w:id="34550" w:name="_ETM_Q61_518210"/>
      <w:bookmarkEnd w:id="34550"/>
      <w:r>
        <w:rPr>
          <w:rFonts w:hint="cs"/>
          <w:rtl/>
        </w:rPr>
        <w:t xml:space="preserve">לא </w:t>
      </w:r>
      <w:bookmarkStart w:id="34551" w:name="_ETM_Q61_518359"/>
      <w:bookmarkEnd w:id="34551"/>
      <w:r>
        <w:rPr>
          <w:rFonts w:hint="cs"/>
          <w:rtl/>
        </w:rPr>
        <w:t xml:space="preserve">פטריוטים. </w:t>
      </w:r>
      <w:bookmarkStart w:id="34552" w:name="_ETM_Q61_519049"/>
      <w:bookmarkEnd w:id="34552"/>
      <w:r>
        <w:rPr>
          <w:rFonts w:hint="cs"/>
          <w:rtl/>
        </w:rPr>
        <w:t xml:space="preserve">לא </w:t>
      </w:r>
      <w:bookmarkStart w:id="34553" w:name="_ETM_Q61_519170"/>
      <w:bookmarkEnd w:id="34553"/>
      <w:r>
        <w:rPr>
          <w:rFonts w:hint="cs"/>
          <w:rtl/>
        </w:rPr>
        <w:t xml:space="preserve">מלח </w:t>
      </w:r>
      <w:bookmarkStart w:id="34554" w:name="_ETM_Q61_519499"/>
      <w:bookmarkEnd w:id="34554"/>
      <w:r>
        <w:rPr>
          <w:rFonts w:hint="cs"/>
          <w:rtl/>
        </w:rPr>
        <w:t xml:space="preserve">הארץ. </w:t>
      </w:r>
      <w:bookmarkStart w:id="34555" w:name="_ETM_Q61_519890"/>
      <w:bookmarkEnd w:id="34555"/>
      <w:r>
        <w:rPr>
          <w:rFonts w:hint="cs"/>
          <w:rtl/>
        </w:rPr>
        <w:t xml:space="preserve">לא ציונים. לא מטובי בחורינו. </w:t>
      </w:r>
      <w:bookmarkStart w:id="34556" w:name="_ETM_Q61_520909"/>
      <w:bookmarkStart w:id="34557" w:name="_ETM_Q61_521539"/>
      <w:bookmarkStart w:id="34558" w:name="_ETM_Q61_522109"/>
      <w:bookmarkEnd w:id="34556"/>
      <w:bookmarkEnd w:id="34557"/>
      <w:bookmarkEnd w:id="34558"/>
      <w:r>
        <w:rPr>
          <w:rFonts w:hint="cs"/>
          <w:rtl/>
        </w:rPr>
        <w:t xml:space="preserve">לא </w:t>
      </w:r>
      <w:bookmarkStart w:id="34559" w:name="_ETM_Q61_519000"/>
      <w:bookmarkEnd w:id="34559"/>
      <w:r>
        <w:rPr>
          <w:rFonts w:hint="cs"/>
          <w:rtl/>
        </w:rPr>
        <w:t xml:space="preserve">אנשים </w:t>
      </w:r>
      <w:bookmarkStart w:id="34560" w:name="_ETM_Q61_522679"/>
      <w:bookmarkEnd w:id="34560"/>
      <w:r>
        <w:rPr>
          <w:rFonts w:hint="cs"/>
          <w:rtl/>
        </w:rPr>
        <w:t xml:space="preserve">נפלאים, </w:t>
      </w:r>
      <w:bookmarkStart w:id="34561" w:name="_ETM_Q61_523100"/>
      <w:bookmarkStart w:id="34562" w:name="_ETM_Q61_523670"/>
      <w:bookmarkEnd w:id="34561"/>
      <w:bookmarkEnd w:id="34562"/>
      <w:r>
        <w:rPr>
          <w:rFonts w:hint="cs"/>
          <w:rtl/>
        </w:rPr>
        <w:t xml:space="preserve">לא עמישראל - - - הם </w:t>
      </w:r>
      <w:bookmarkStart w:id="34563" w:name="_ETM_Q61_523879"/>
      <w:bookmarkEnd w:id="34563"/>
      <w:r>
        <w:rPr>
          <w:rFonts w:hint="cs"/>
          <w:rtl/>
        </w:rPr>
        <w:t xml:space="preserve">נפולת </w:t>
      </w:r>
      <w:bookmarkStart w:id="34564" w:name="_ETM_Q61_524269"/>
      <w:bookmarkStart w:id="34565" w:name="_ETM_Q61_524479"/>
      <w:bookmarkEnd w:id="34564"/>
      <w:bookmarkEnd w:id="34565"/>
      <w:r>
        <w:rPr>
          <w:rFonts w:hint="cs"/>
          <w:rtl/>
        </w:rPr>
        <w:t xml:space="preserve">של נמושות"; אלמוג </w:t>
      </w:r>
      <w:bookmarkStart w:id="34566" w:name="_ETM_Q61_526560"/>
      <w:bookmarkStart w:id="34567" w:name="_ETM_Q61_526829"/>
      <w:bookmarkStart w:id="34568" w:name="_ETM_Q61_527040"/>
      <w:bookmarkEnd w:id="34566"/>
      <w:bookmarkEnd w:id="34567"/>
      <w:bookmarkEnd w:id="34568"/>
      <w:r>
        <w:rPr>
          <w:rFonts w:hint="cs"/>
          <w:rtl/>
        </w:rPr>
        <w:t xml:space="preserve">כהן, </w:t>
      </w:r>
      <w:bookmarkStart w:id="34569" w:name="_ETM_Q61_527310"/>
      <w:bookmarkEnd w:id="34569"/>
      <w:r>
        <w:rPr>
          <w:rFonts w:hint="cs"/>
          <w:rtl/>
        </w:rPr>
        <w:t xml:space="preserve">שגינה </w:t>
      </w:r>
      <w:bookmarkStart w:id="34570" w:name="_ETM_Q61_527730"/>
      <w:bookmarkEnd w:id="34570"/>
      <w:r>
        <w:rPr>
          <w:rFonts w:hint="cs"/>
          <w:rtl/>
        </w:rPr>
        <w:t xml:space="preserve">אותם בשבוע </w:t>
      </w:r>
      <w:bookmarkStart w:id="34571" w:name="_ETM_Q61_528150"/>
      <w:bookmarkEnd w:id="34571"/>
      <w:r>
        <w:rPr>
          <w:rFonts w:hint="cs"/>
          <w:rtl/>
        </w:rPr>
        <w:t>שעבר</w:t>
      </w:r>
      <w:bookmarkStart w:id="34572" w:name="_ETM_Q61_528600"/>
      <w:bookmarkEnd w:id="34572"/>
      <w:r>
        <w:rPr>
          <w:rFonts w:hint="cs"/>
          <w:rtl/>
        </w:rPr>
        <w:t xml:space="preserve"> </w:t>
      </w:r>
      <w:bookmarkStart w:id="34573" w:name="_ETM_Q61_528900"/>
      <w:bookmarkEnd w:id="34573"/>
      <w:r>
        <w:rPr>
          <w:rFonts w:hint="cs"/>
          <w:rtl/>
        </w:rPr>
        <w:t xml:space="preserve">ואמר </w:t>
      </w:r>
      <w:bookmarkStart w:id="34574" w:name="_ETM_Q61_529230"/>
      <w:bookmarkEnd w:id="34574"/>
      <w:r>
        <w:rPr>
          <w:rFonts w:hint="cs"/>
          <w:rtl/>
        </w:rPr>
        <w:t>להם: שפלים,</w:t>
      </w:r>
      <w:r w:rsidR="00B404F9">
        <w:rPr>
          <w:rFonts w:hint="cs"/>
          <w:rtl/>
        </w:rPr>
        <w:t xml:space="preserve"> </w:t>
      </w:r>
      <w:r>
        <w:rPr>
          <w:rFonts w:hint="cs"/>
          <w:rtl/>
        </w:rPr>
        <w:t>בזויים;</w:t>
      </w:r>
      <w:bookmarkStart w:id="34575" w:name="_ETM_Q61_529470"/>
      <w:bookmarkStart w:id="34576" w:name="_ETM_Q61_530580"/>
      <w:bookmarkEnd w:id="34575"/>
      <w:bookmarkEnd w:id="34576"/>
      <w:r>
        <w:rPr>
          <w:rFonts w:hint="cs"/>
          <w:rtl/>
        </w:rPr>
        <w:t xml:space="preserve"> </w:t>
      </w:r>
      <w:bookmarkStart w:id="34577" w:name="_ETM_Q61_533010"/>
      <w:bookmarkEnd w:id="34577"/>
      <w:r>
        <w:rPr>
          <w:rFonts w:hint="cs"/>
          <w:rtl/>
        </w:rPr>
        <w:t xml:space="preserve">השר </w:t>
      </w:r>
      <w:bookmarkStart w:id="34578" w:name="_ETM_Q61_533399"/>
      <w:bookmarkEnd w:id="34578"/>
      <w:r>
        <w:rPr>
          <w:rFonts w:hint="cs"/>
          <w:rtl/>
        </w:rPr>
        <w:t xml:space="preserve">דודי </w:t>
      </w:r>
      <w:bookmarkStart w:id="34579" w:name="_ETM_Q61_533670"/>
      <w:bookmarkEnd w:id="34579"/>
      <w:r>
        <w:rPr>
          <w:rFonts w:hint="cs"/>
          <w:rtl/>
        </w:rPr>
        <w:t xml:space="preserve">אמסלם, </w:t>
      </w:r>
      <w:bookmarkStart w:id="34580" w:name="_ETM_Q61_534179"/>
      <w:bookmarkEnd w:id="34580"/>
      <w:r>
        <w:rPr>
          <w:rFonts w:hint="cs"/>
          <w:rtl/>
        </w:rPr>
        <w:t xml:space="preserve">שמעז </w:t>
      </w:r>
      <w:bookmarkStart w:id="34581" w:name="_ETM_Q61_531000"/>
      <w:bookmarkStart w:id="34582" w:name="_ETM_Q61_534539"/>
      <w:bookmarkStart w:id="34583" w:name="_ETM_Q61_534929"/>
      <w:bookmarkEnd w:id="34581"/>
      <w:bookmarkEnd w:id="34582"/>
      <w:bookmarkEnd w:id="34583"/>
      <w:r>
        <w:rPr>
          <w:rFonts w:hint="cs"/>
          <w:rtl/>
        </w:rPr>
        <w:t xml:space="preserve">לכנות טייס </w:t>
      </w:r>
      <w:bookmarkStart w:id="34584" w:name="_ETM_Q61_535229"/>
      <w:bookmarkEnd w:id="34584"/>
      <w:r>
        <w:rPr>
          <w:rFonts w:hint="cs"/>
          <w:rtl/>
        </w:rPr>
        <w:t xml:space="preserve">קרב </w:t>
      </w:r>
      <w:bookmarkStart w:id="34585" w:name="_ETM_Q61_535529"/>
      <w:bookmarkEnd w:id="34585"/>
      <w:r>
        <w:rPr>
          <w:rFonts w:hint="cs"/>
          <w:rtl/>
        </w:rPr>
        <w:t xml:space="preserve">שנלחם </w:t>
      </w:r>
      <w:bookmarkStart w:id="34586" w:name="_ETM_Q61_536129"/>
      <w:bookmarkEnd w:id="34586"/>
      <w:r>
        <w:rPr>
          <w:rFonts w:hint="cs"/>
          <w:rtl/>
        </w:rPr>
        <w:t xml:space="preserve">כעת </w:t>
      </w:r>
      <w:bookmarkStart w:id="34587" w:name="_ETM_Q61_536429"/>
      <w:bookmarkEnd w:id="34587"/>
      <w:r>
        <w:rPr>
          <w:rFonts w:hint="cs"/>
          <w:rtl/>
        </w:rPr>
        <w:t xml:space="preserve">על </w:t>
      </w:r>
      <w:bookmarkStart w:id="34588" w:name="_ETM_Q61_536549"/>
      <w:bookmarkEnd w:id="34588"/>
      <w:r>
        <w:rPr>
          <w:rFonts w:hint="cs"/>
          <w:rtl/>
        </w:rPr>
        <w:t xml:space="preserve">מאור </w:t>
      </w:r>
      <w:bookmarkStart w:id="34589" w:name="_ETM_Q61_536879"/>
      <w:bookmarkEnd w:id="34589"/>
      <w:r>
        <w:rPr>
          <w:rFonts w:hint="cs"/>
          <w:rtl/>
        </w:rPr>
        <w:t>עיניו</w:t>
      </w:r>
      <w:bookmarkStart w:id="34590" w:name="_ETM_Q61_537749"/>
      <w:bookmarkEnd w:id="34590"/>
      <w:r w:rsidR="000145FA">
        <w:rPr>
          <w:rFonts w:hint="cs"/>
          <w:rtl/>
        </w:rPr>
        <w:t>:</w:t>
      </w:r>
      <w:r>
        <w:rPr>
          <w:rFonts w:hint="cs"/>
          <w:rtl/>
        </w:rPr>
        <w:t xml:space="preserve"> צפונבון </w:t>
      </w:r>
      <w:bookmarkStart w:id="34591" w:name="_ETM_Q61_538529"/>
      <w:bookmarkEnd w:id="34591"/>
      <w:r>
        <w:rPr>
          <w:rFonts w:hint="cs"/>
          <w:rtl/>
        </w:rPr>
        <w:t>שנ</w:t>
      </w:r>
      <w:r w:rsidR="000145FA">
        <w:rPr>
          <w:rFonts w:hint="cs"/>
          <w:rtl/>
        </w:rPr>
        <w:t>ס</w:t>
      </w:r>
      <w:r>
        <w:rPr>
          <w:rFonts w:hint="cs"/>
          <w:rtl/>
        </w:rPr>
        <w:t xml:space="preserve">רט </w:t>
      </w:r>
      <w:bookmarkStart w:id="34592" w:name="_ETM_Q61_539249"/>
      <w:bookmarkEnd w:id="34592"/>
      <w:r>
        <w:rPr>
          <w:rFonts w:hint="cs"/>
          <w:rtl/>
        </w:rPr>
        <w:t xml:space="preserve">בעין. </w:t>
      </w:r>
      <w:bookmarkStart w:id="34593" w:name="_ETM_Q61_541210"/>
      <w:bookmarkEnd w:id="34593"/>
      <w:r>
        <w:rPr>
          <w:rFonts w:hint="cs"/>
          <w:rtl/>
        </w:rPr>
        <w:t xml:space="preserve">זאת, </w:t>
      </w:r>
      <w:bookmarkStart w:id="34594" w:name="_ETM_Q61_541629"/>
      <w:bookmarkEnd w:id="34594"/>
      <w:r>
        <w:rPr>
          <w:rFonts w:hint="cs"/>
          <w:rtl/>
        </w:rPr>
        <w:t xml:space="preserve">נוסף </w:t>
      </w:r>
      <w:bookmarkStart w:id="34595" w:name="_ETM_Q61_542170"/>
      <w:bookmarkEnd w:id="34595"/>
      <w:r>
        <w:rPr>
          <w:rFonts w:hint="cs"/>
          <w:rtl/>
        </w:rPr>
        <w:t xml:space="preserve">על </w:t>
      </w:r>
      <w:bookmarkStart w:id="34596" w:name="_ETM_Q61_542320"/>
      <w:bookmarkEnd w:id="34596"/>
      <w:r>
        <w:rPr>
          <w:rFonts w:hint="cs"/>
          <w:rtl/>
        </w:rPr>
        <w:t xml:space="preserve">ההשתלחות </w:t>
      </w:r>
      <w:bookmarkStart w:id="34597" w:name="_ETM_Q61_542980"/>
      <w:bookmarkEnd w:id="34597"/>
      <w:r>
        <w:rPr>
          <w:rFonts w:hint="cs"/>
          <w:rtl/>
        </w:rPr>
        <w:t xml:space="preserve">המיזוגינית ביועמ"שית </w:t>
      </w:r>
      <w:bookmarkStart w:id="34598" w:name="_ETM_Q61_543670"/>
      <w:bookmarkStart w:id="34599" w:name="_ETM_Q61_544479"/>
      <w:bookmarkEnd w:id="34598"/>
      <w:bookmarkEnd w:id="34599"/>
      <w:r>
        <w:rPr>
          <w:rFonts w:hint="cs"/>
          <w:rtl/>
        </w:rPr>
        <w:t xml:space="preserve">ובראש </w:t>
      </w:r>
      <w:bookmarkStart w:id="34600" w:name="_ETM_Q61_544930"/>
      <w:bookmarkEnd w:id="34600"/>
      <w:r>
        <w:rPr>
          <w:rFonts w:hint="cs"/>
          <w:rtl/>
        </w:rPr>
        <w:t xml:space="preserve">רשות </w:t>
      </w:r>
      <w:bookmarkStart w:id="34601" w:name="_ETM_Q61_545290"/>
      <w:bookmarkEnd w:id="34601"/>
      <w:r>
        <w:rPr>
          <w:rFonts w:hint="cs"/>
          <w:rtl/>
        </w:rPr>
        <w:t xml:space="preserve">החברות. </w:t>
      </w:r>
      <w:bookmarkStart w:id="34602" w:name="_ETM_Q61_549310"/>
      <w:bookmarkEnd w:id="34602"/>
    </w:p>
    <w:p w:rsidR="00BB59CD" w:rsidRDefault="00BB59CD" w:rsidP="00BB59CD">
      <w:pPr>
        <w:rPr>
          <w:rtl/>
        </w:rPr>
      </w:pPr>
      <w:bookmarkStart w:id="34603" w:name="_ETM_Q61_551000"/>
      <w:bookmarkEnd w:id="34603"/>
    </w:p>
    <w:p w:rsidR="00BB59CD" w:rsidRDefault="00BB59CD" w:rsidP="00BB59CD">
      <w:pPr>
        <w:rPr>
          <w:rtl/>
        </w:rPr>
      </w:pPr>
      <w:r>
        <w:rPr>
          <w:rFonts w:hint="cs"/>
          <w:rtl/>
        </w:rPr>
        <w:t xml:space="preserve">השיח </w:t>
      </w:r>
      <w:bookmarkStart w:id="34604" w:name="_ETM_Q61_549850"/>
      <w:bookmarkEnd w:id="34604"/>
      <w:r>
        <w:rPr>
          <w:rFonts w:hint="cs"/>
          <w:rtl/>
        </w:rPr>
        <w:t xml:space="preserve">הזה </w:t>
      </w:r>
      <w:bookmarkStart w:id="34605" w:name="_ETM_Q61_550830"/>
      <w:bookmarkEnd w:id="34605"/>
      <w:r>
        <w:rPr>
          <w:rFonts w:hint="cs"/>
          <w:rtl/>
        </w:rPr>
        <w:t xml:space="preserve">מחלחל </w:t>
      </w:r>
      <w:bookmarkStart w:id="34606" w:name="_ETM_Q61_551490"/>
      <w:bookmarkEnd w:id="34606"/>
      <w:r>
        <w:rPr>
          <w:rFonts w:hint="cs"/>
          <w:rtl/>
        </w:rPr>
        <w:t xml:space="preserve">לציבור </w:t>
      </w:r>
      <w:bookmarkStart w:id="34607" w:name="_ETM_Q61_551970"/>
      <w:bookmarkEnd w:id="34607"/>
      <w:r>
        <w:rPr>
          <w:rFonts w:hint="cs"/>
          <w:rtl/>
        </w:rPr>
        <w:t xml:space="preserve">כולו. </w:t>
      </w:r>
      <w:bookmarkStart w:id="34608" w:name="_ETM_Q61_553060"/>
      <w:bookmarkEnd w:id="34608"/>
      <w:r>
        <w:rPr>
          <w:rFonts w:hint="cs"/>
          <w:rtl/>
        </w:rPr>
        <w:t xml:space="preserve">לצערי, </w:t>
      </w:r>
      <w:bookmarkStart w:id="34609" w:name="_ETM_Q61_553720"/>
      <w:bookmarkEnd w:id="34609"/>
      <w:r>
        <w:rPr>
          <w:rFonts w:hint="cs"/>
          <w:rtl/>
        </w:rPr>
        <w:t xml:space="preserve">השיח </w:t>
      </w:r>
      <w:bookmarkStart w:id="34610" w:name="_ETM_Q61_554200"/>
      <w:bookmarkEnd w:id="34610"/>
      <w:r>
        <w:rPr>
          <w:rFonts w:hint="cs"/>
          <w:rtl/>
        </w:rPr>
        <w:t xml:space="preserve">הזה </w:t>
      </w:r>
      <w:bookmarkStart w:id="34611" w:name="_ETM_Q61_554470"/>
      <w:bookmarkEnd w:id="34611"/>
      <w:r>
        <w:rPr>
          <w:rFonts w:hint="cs"/>
          <w:rtl/>
        </w:rPr>
        <w:t xml:space="preserve">מעודד </w:t>
      </w:r>
      <w:bookmarkStart w:id="34612" w:name="_ETM_Q61_554950"/>
      <w:bookmarkEnd w:id="34612"/>
      <w:r>
        <w:rPr>
          <w:rFonts w:hint="cs"/>
          <w:rtl/>
        </w:rPr>
        <w:t xml:space="preserve">הסתה </w:t>
      </w:r>
      <w:bookmarkStart w:id="34613" w:name="_ETM_Q61_555339"/>
      <w:bookmarkEnd w:id="34613"/>
      <w:r>
        <w:rPr>
          <w:rFonts w:hint="cs"/>
          <w:rtl/>
        </w:rPr>
        <w:t xml:space="preserve">ושנאה. </w:t>
      </w:r>
      <w:bookmarkStart w:id="34614" w:name="_ETM_Q61_556810"/>
      <w:bookmarkEnd w:id="34614"/>
      <w:r>
        <w:rPr>
          <w:rFonts w:hint="cs"/>
          <w:rtl/>
        </w:rPr>
        <w:t>כש</w:t>
      </w:r>
      <w:bookmarkStart w:id="34615" w:name="_ETM_Q61_557080"/>
      <w:bookmarkEnd w:id="34615"/>
      <w:r>
        <w:rPr>
          <w:rFonts w:hint="cs"/>
          <w:rtl/>
        </w:rPr>
        <w:t xml:space="preserve">שרים </w:t>
      </w:r>
      <w:bookmarkStart w:id="34616" w:name="_ETM_Q61_557440"/>
      <w:bookmarkEnd w:id="34616"/>
      <w:r>
        <w:rPr>
          <w:rFonts w:hint="cs"/>
          <w:rtl/>
        </w:rPr>
        <w:t xml:space="preserve">בממשלת </w:t>
      </w:r>
      <w:bookmarkStart w:id="34617" w:name="_ETM_Q61_558040"/>
      <w:bookmarkEnd w:id="34617"/>
      <w:r>
        <w:rPr>
          <w:rFonts w:hint="cs"/>
          <w:rtl/>
        </w:rPr>
        <w:t xml:space="preserve">ישראל </w:t>
      </w:r>
      <w:bookmarkStart w:id="34618" w:name="_ETM_Q61_558490"/>
      <w:bookmarkEnd w:id="34618"/>
      <w:r>
        <w:rPr>
          <w:rFonts w:hint="cs"/>
          <w:rtl/>
        </w:rPr>
        <w:t>בראשותך</w:t>
      </w:r>
      <w:bookmarkStart w:id="34619" w:name="_ETM_Q61_559150"/>
      <w:bookmarkEnd w:id="34619"/>
      <w:r>
        <w:rPr>
          <w:rFonts w:hint="cs"/>
          <w:rtl/>
        </w:rPr>
        <w:t xml:space="preserve">, ראש הממשלה, </w:t>
      </w:r>
      <w:bookmarkStart w:id="34620" w:name="_ETM_Q61_559870"/>
      <w:bookmarkEnd w:id="34620"/>
      <w:r>
        <w:rPr>
          <w:rFonts w:hint="cs"/>
          <w:rtl/>
        </w:rPr>
        <w:t xml:space="preserve">מדברים </w:t>
      </w:r>
      <w:bookmarkStart w:id="34621" w:name="_ETM_Q61_560410"/>
      <w:bookmarkEnd w:id="34621"/>
      <w:r>
        <w:rPr>
          <w:rFonts w:hint="cs"/>
          <w:rtl/>
        </w:rPr>
        <w:t xml:space="preserve">כך, </w:t>
      </w:r>
      <w:bookmarkStart w:id="34622" w:name="_ETM_Q61_561299"/>
      <w:bookmarkEnd w:id="34622"/>
      <w:r>
        <w:rPr>
          <w:rFonts w:hint="cs"/>
          <w:rtl/>
        </w:rPr>
        <w:t xml:space="preserve">אנחנו </w:t>
      </w:r>
      <w:bookmarkStart w:id="34623" w:name="_ETM_Q61_561689"/>
      <w:bookmarkEnd w:id="34623"/>
      <w:r>
        <w:rPr>
          <w:rFonts w:hint="cs"/>
          <w:rtl/>
        </w:rPr>
        <w:t xml:space="preserve">לא </w:t>
      </w:r>
      <w:bookmarkStart w:id="34624" w:name="_ETM_Q61_561810"/>
      <w:bookmarkEnd w:id="34624"/>
      <w:r>
        <w:rPr>
          <w:rFonts w:hint="cs"/>
          <w:rtl/>
        </w:rPr>
        <w:t xml:space="preserve">יכולים </w:t>
      </w:r>
      <w:bookmarkStart w:id="34625" w:name="_ETM_Q61_562170"/>
      <w:bookmarkEnd w:id="34625"/>
      <w:r>
        <w:rPr>
          <w:rFonts w:hint="cs"/>
          <w:rtl/>
        </w:rPr>
        <w:t xml:space="preserve">להיות </w:t>
      </w:r>
      <w:bookmarkStart w:id="34626" w:name="_ETM_Q61_562380"/>
      <w:bookmarkEnd w:id="34626"/>
      <w:r>
        <w:rPr>
          <w:rFonts w:hint="cs"/>
          <w:rtl/>
        </w:rPr>
        <w:t xml:space="preserve">מופתעים </w:t>
      </w:r>
      <w:bookmarkStart w:id="34627" w:name="_ETM_Q61_562830"/>
      <w:bookmarkEnd w:id="34627"/>
      <w:r>
        <w:rPr>
          <w:rFonts w:hint="cs"/>
          <w:rtl/>
        </w:rPr>
        <w:t xml:space="preserve">שאזרחים </w:t>
      </w:r>
      <w:bookmarkStart w:id="34628" w:name="_ETM_Q61_563400"/>
      <w:bookmarkEnd w:id="34628"/>
      <w:r>
        <w:rPr>
          <w:rFonts w:hint="cs"/>
          <w:rtl/>
        </w:rPr>
        <w:t xml:space="preserve">נוהגים </w:t>
      </w:r>
      <w:bookmarkStart w:id="34629" w:name="_ETM_Q61_563850"/>
      <w:bookmarkEnd w:id="34629"/>
      <w:r>
        <w:rPr>
          <w:rFonts w:hint="cs"/>
          <w:rtl/>
        </w:rPr>
        <w:t xml:space="preserve">באלימות, </w:t>
      </w:r>
      <w:bookmarkStart w:id="34630" w:name="_ETM_Q61_565150"/>
      <w:bookmarkEnd w:id="34630"/>
      <w:r>
        <w:rPr>
          <w:rFonts w:hint="cs"/>
          <w:rtl/>
        </w:rPr>
        <w:t xml:space="preserve">דורסים, </w:t>
      </w:r>
      <w:bookmarkStart w:id="34631" w:name="_ETM_Q61_566170"/>
      <w:bookmarkEnd w:id="34631"/>
      <w:r>
        <w:rPr>
          <w:rFonts w:hint="cs"/>
          <w:rtl/>
        </w:rPr>
        <w:t xml:space="preserve">מקללים </w:t>
      </w:r>
      <w:bookmarkStart w:id="34632" w:name="_ETM_Q61_567339"/>
      <w:bookmarkEnd w:id="34632"/>
      <w:r>
        <w:rPr>
          <w:rFonts w:hint="cs"/>
          <w:rtl/>
        </w:rPr>
        <w:t xml:space="preserve">ומכים. </w:t>
      </w:r>
      <w:bookmarkStart w:id="34633" w:name="_ETM_Q61_570119"/>
      <w:bookmarkEnd w:id="34633"/>
      <w:r>
        <w:rPr>
          <w:rFonts w:hint="cs"/>
          <w:rtl/>
        </w:rPr>
        <w:t xml:space="preserve">הרשת </w:t>
      </w:r>
      <w:bookmarkStart w:id="34634" w:name="_ETM_Q61_570600"/>
      <w:bookmarkEnd w:id="34634"/>
      <w:r>
        <w:rPr>
          <w:rFonts w:hint="cs"/>
          <w:rtl/>
        </w:rPr>
        <w:t xml:space="preserve">מלאה </w:t>
      </w:r>
      <w:bookmarkStart w:id="34635" w:name="_ETM_Q61_570960"/>
      <w:bookmarkEnd w:id="34635"/>
      <w:r>
        <w:rPr>
          <w:rFonts w:hint="cs"/>
          <w:rtl/>
        </w:rPr>
        <w:t xml:space="preserve">בסרטוני נאצה </w:t>
      </w:r>
      <w:bookmarkStart w:id="34636" w:name="_ETM_Q61_571560"/>
      <w:bookmarkStart w:id="34637" w:name="_ETM_Q61_572010"/>
      <w:bookmarkEnd w:id="34636"/>
      <w:bookmarkEnd w:id="34637"/>
      <w:r>
        <w:rPr>
          <w:rFonts w:hint="cs"/>
          <w:rtl/>
        </w:rPr>
        <w:t xml:space="preserve">של </w:t>
      </w:r>
      <w:bookmarkStart w:id="34638" w:name="_ETM_Q61_572190"/>
      <w:bookmarkEnd w:id="34638"/>
      <w:r>
        <w:rPr>
          <w:rFonts w:hint="cs"/>
          <w:rtl/>
        </w:rPr>
        <w:t xml:space="preserve">נערים </w:t>
      </w:r>
      <w:bookmarkStart w:id="34639" w:name="_ETM_Q61_572610"/>
      <w:bookmarkEnd w:id="34639"/>
      <w:r>
        <w:rPr>
          <w:rFonts w:hint="cs"/>
          <w:rtl/>
        </w:rPr>
        <w:t xml:space="preserve">שיוצאים </w:t>
      </w:r>
      <w:bookmarkStart w:id="34640" w:name="_ETM_Q61_573180"/>
      <w:bookmarkEnd w:id="34640"/>
      <w:r>
        <w:rPr>
          <w:rFonts w:hint="cs"/>
          <w:rtl/>
        </w:rPr>
        <w:t xml:space="preserve">לצלם </w:t>
      </w:r>
      <w:bookmarkStart w:id="34641" w:name="_ETM_Q61_574170"/>
      <w:bookmarkEnd w:id="34641"/>
      <w:r>
        <w:rPr>
          <w:rFonts w:hint="cs"/>
          <w:rtl/>
        </w:rPr>
        <w:t xml:space="preserve">מוחים, </w:t>
      </w:r>
      <w:bookmarkStart w:id="34642" w:name="_ETM_Q61_576090"/>
      <w:bookmarkEnd w:id="34642"/>
      <w:r>
        <w:rPr>
          <w:rFonts w:hint="cs"/>
          <w:rtl/>
        </w:rPr>
        <w:t xml:space="preserve">מקללים, </w:t>
      </w:r>
      <w:bookmarkStart w:id="34643" w:name="_ETM_Q61_576900"/>
      <w:bookmarkEnd w:id="34643"/>
      <w:r>
        <w:rPr>
          <w:rFonts w:hint="cs"/>
          <w:rtl/>
        </w:rPr>
        <w:t xml:space="preserve">תוקפים </w:t>
      </w:r>
      <w:bookmarkStart w:id="34644" w:name="_ETM_Q61_577350"/>
      <w:bookmarkEnd w:id="34644"/>
      <w:r>
        <w:rPr>
          <w:rFonts w:hint="cs"/>
          <w:rtl/>
        </w:rPr>
        <w:t xml:space="preserve">מפגינים, </w:t>
      </w:r>
      <w:bookmarkStart w:id="34645" w:name="_ETM_Q61_578570"/>
      <w:bookmarkEnd w:id="34645"/>
      <w:r>
        <w:rPr>
          <w:rFonts w:hint="cs"/>
          <w:rtl/>
        </w:rPr>
        <w:t xml:space="preserve">תוקפים </w:t>
      </w:r>
      <w:bookmarkStart w:id="34646" w:name="_ETM_Q61_578990"/>
      <w:bookmarkEnd w:id="34646"/>
      <w:r>
        <w:rPr>
          <w:rFonts w:hint="cs"/>
          <w:rtl/>
        </w:rPr>
        <w:t xml:space="preserve">מפגינים </w:t>
      </w:r>
      <w:bookmarkStart w:id="34647" w:name="_ETM_Q61_579380"/>
      <w:bookmarkEnd w:id="34647"/>
      <w:r>
        <w:rPr>
          <w:rFonts w:hint="cs"/>
          <w:rtl/>
        </w:rPr>
        <w:t xml:space="preserve">מבוגרים, </w:t>
      </w:r>
      <w:bookmarkStart w:id="34648" w:name="_ETM_Q61_580370"/>
      <w:bookmarkEnd w:id="34648"/>
      <w:r>
        <w:rPr>
          <w:rFonts w:hint="cs"/>
          <w:rtl/>
        </w:rPr>
        <w:t xml:space="preserve">קוראים </w:t>
      </w:r>
      <w:bookmarkStart w:id="34649" w:name="_ETM_Q61_580700"/>
      <w:bookmarkEnd w:id="34649"/>
      <w:r>
        <w:rPr>
          <w:rFonts w:hint="cs"/>
          <w:rtl/>
        </w:rPr>
        <w:t xml:space="preserve">להם </w:t>
      </w:r>
      <w:bookmarkStart w:id="34650" w:name="_ETM_Q61_580880"/>
      <w:bookmarkEnd w:id="34650"/>
      <w:r>
        <w:rPr>
          <w:rFonts w:hint="cs"/>
          <w:rtl/>
        </w:rPr>
        <w:t xml:space="preserve">בשמות, </w:t>
      </w:r>
      <w:bookmarkStart w:id="34651" w:name="_ETM_Q61_581720"/>
      <w:bookmarkEnd w:id="34651"/>
      <w:r>
        <w:rPr>
          <w:rFonts w:hint="cs"/>
          <w:rtl/>
        </w:rPr>
        <w:t xml:space="preserve">מטרידים </w:t>
      </w:r>
      <w:bookmarkStart w:id="34652" w:name="_ETM_Q61_582290"/>
      <w:bookmarkEnd w:id="34652"/>
      <w:r>
        <w:rPr>
          <w:rFonts w:hint="cs"/>
          <w:rtl/>
        </w:rPr>
        <w:t xml:space="preserve">אותם. </w:t>
      </w:r>
      <w:bookmarkStart w:id="34653" w:name="_ETM_Q61_584219"/>
      <w:bookmarkEnd w:id="34653"/>
      <w:r>
        <w:rPr>
          <w:rFonts w:hint="cs"/>
          <w:rtl/>
        </w:rPr>
        <w:t xml:space="preserve">זו </w:t>
      </w:r>
      <w:bookmarkStart w:id="34654" w:name="_ETM_Q61_584520"/>
      <w:bookmarkEnd w:id="34654"/>
      <w:r>
        <w:rPr>
          <w:rFonts w:hint="cs"/>
          <w:rtl/>
        </w:rPr>
        <w:t xml:space="preserve">המורשת </w:t>
      </w:r>
      <w:bookmarkStart w:id="34655" w:name="_ETM_Q61_584969"/>
      <w:bookmarkEnd w:id="34655"/>
      <w:r>
        <w:rPr>
          <w:rFonts w:hint="cs"/>
          <w:rtl/>
        </w:rPr>
        <w:t xml:space="preserve">שהממשלה </w:t>
      </w:r>
      <w:bookmarkStart w:id="34656" w:name="_ETM_Q61_585569"/>
      <w:bookmarkEnd w:id="34656"/>
      <w:r>
        <w:rPr>
          <w:rFonts w:hint="cs"/>
          <w:rtl/>
        </w:rPr>
        <w:t xml:space="preserve">הזאת </w:t>
      </w:r>
      <w:bookmarkStart w:id="34657" w:name="_ETM_Q61_585779"/>
      <w:bookmarkEnd w:id="34657"/>
      <w:r>
        <w:rPr>
          <w:rFonts w:hint="cs"/>
          <w:rtl/>
        </w:rPr>
        <w:t xml:space="preserve">רוצה </w:t>
      </w:r>
      <w:bookmarkStart w:id="34658" w:name="_ETM_Q61_586079"/>
      <w:bookmarkEnd w:id="34658"/>
      <w:r>
        <w:rPr>
          <w:rFonts w:hint="cs"/>
          <w:rtl/>
        </w:rPr>
        <w:t xml:space="preserve">להשאיר </w:t>
      </w:r>
      <w:bookmarkStart w:id="34659" w:name="_ETM_Q61_586439"/>
      <w:bookmarkEnd w:id="34659"/>
      <w:r>
        <w:rPr>
          <w:rFonts w:hint="cs"/>
          <w:rtl/>
        </w:rPr>
        <w:t xml:space="preserve">לנו? </w:t>
      </w:r>
      <w:bookmarkStart w:id="34660" w:name="_ETM_Q61_586000"/>
      <w:bookmarkStart w:id="34661" w:name="_ETM_Q61_589619"/>
      <w:bookmarkEnd w:id="34660"/>
      <w:bookmarkEnd w:id="34661"/>
    </w:p>
    <w:p w:rsidR="00BB59CD" w:rsidRDefault="00BB59CD" w:rsidP="00BB59CD">
      <w:pPr>
        <w:rPr>
          <w:rtl/>
        </w:rPr>
      </w:pPr>
      <w:bookmarkStart w:id="34662" w:name="_ETM_Q61_592000"/>
      <w:bookmarkEnd w:id="34662"/>
    </w:p>
    <w:p w:rsidR="00BB59CD" w:rsidRDefault="00BB59CD" w:rsidP="00B404F9">
      <w:pPr>
        <w:rPr>
          <w:rtl/>
        </w:rPr>
      </w:pPr>
      <w:bookmarkStart w:id="34663" w:name="_ETM_Q61_593000"/>
      <w:bookmarkEnd w:id="34663"/>
      <w:r>
        <w:rPr>
          <w:rFonts w:hint="cs"/>
          <w:rtl/>
        </w:rPr>
        <w:t xml:space="preserve">שיא השיאים של </w:t>
      </w:r>
      <w:bookmarkStart w:id="34664" w:name="_ETM_Q61_590249"/>
      <w:bookmarkStart w:id="34665" w:name="_ETM_Q61_590700"/>
      <w:bookmarkStart w:id="34666" w:name="_ETM_Q61_590880"/>
      <w:bookmarkEnd w:id="34664"/>
      <w:bookmarkEnd w:id="34665"/>
      <w:bookmarkEnd w:id="34666"/>
      <w:r>
        <w:rPr>
          <w:rFonts w:hint="cs"/>
          <w:rtl/>
        </w:rPr>
        <w:t xml:space="preserve">השסע וההסתה </w:t>
      </w:r>
      <w:bookmarkStart w:id="34667" w:name="_ETM_Q61_592230"/>
      <w:bookmarkEnd w:id="34667"/>
      <w:r>
        <w:rPr>
          <w:rFonts w:hint="cs"/>
          <w:rtl/>
        </w:rPr>
        <w:t xml:space="preserve">הוא </w:t>
      </w:r>
      <w:bookmarkStart w:id="34668" w:name="_ETM_Q61_592470"/>
      <w:bookmarkEnd w:id="34668"/>
      <w:r>
        <w:rPr>
          <w:rFonts w:hint="cs"/>
          <w:rtl/>
        </w:rPr>
        <w:t xml:space="preserve">הפגיעה </w:t>
      </w:r>
      <w:bookmarkStart w:id="34669" w:name="_ETM_Q61_592920"/>
      <w:bookmarkEnd w:id="34669"/>
      <w:r>
        <w:rPr>
          <w:rFonts w:hint="cs"/>
          <w:rtl/>
        </w:rPr>
        <w:t xml:space="preserve">של </w:t>
      </w:r>
      <w:bookmarkStart w:id="34670" w:name="_ETM_Q61_593130"/>
      <w:bookmarkEnd w:id="34670"/>
      <w:r>
        <w:rPr>
          <w:rFonts w:hint="cs"/>
          <w:rtl/>
        </w:rPr>
        <w:t xml:space="preserve">הממשלה </w:t>
      </w:r>
      <w:bookmarkStart w:id="34671" w:name="_ETM_Q61_593640"/>
      <w:bookmarkEnd w:id="34671"/>
      <w:r>
        <w:rPr>
          <w:rFonts w:hint="cs"/>
          <w:rtl/>
        </w:rPr>
        <w:t>בקודש</w:t>
      </w:r>
      <w:bookmarkStart w:id="34672" w:name="_ETM_Q61_594120"/>
      <w:bookmarkEnd w:id="34672"/>
      <w:r w:rsidR="00B404F9">
        <w:rPr>
          <w:rFonts w:hint="cs"/>
          <w:rtl/>
        </w:rPr>
        <w:t xml:space="preserve"> </w:t>
      </w:r>
      <w:r>
        <w:rPr>
          <w:rFonts w:hint="cs"/>
          <w:rtl/>
        </w:rPr>
        <w:t xml:space="preserve">הקודשים, </w:t>
      </w:r>
      <w:bookmarkStart w:id="34673" w:name="_ETM_Q61_594720"/>
      <w:bookmarkEnd w:id="34673"/>
      <w:r>
        <w:rPr>
          <w:rFonts w:hint="cs"/>
          <w:rtl/>
        </w:rPr>
        <w:t xml:space="preserve">בצה"ל. </w:t>
      </w:r>
      <w:bookmarkStart w:id="34674" w:name="_ETM_Q61_596170"/>
      <w:bookmarkEnd w:id="34674"/>
      <w:r>
        <w:rPr>
          <w:rFonts w:hint="cs"/>
          <w:rtl/>
        </w:rPr>
        <w:t xml:space="preserve">זו </w:t>
      </w:r>
      <w:bookmarkStart w:id="34675" w:name="_ETM_Q61_596589"/>
      <w:bookmarkEnd w:id="34675"/>
      <w:r>
        <w:rPr>
          <w:rFonts w:hint="cs"/>
          <w:rtl/>
        </w:rPr>
        <w:t xml:space="preserve">פגיעה </w:t>
      </w:r>
      <w:bookmarkStart w:id="34676" w:name="_ETM_Q61_596950"/>
      <w:bookmarkEnd w:id="34676"/>
      <w:r>
        <w:rPr>
          <w:rFonts w:hint="cs"/>
          <w:rtl/>
        </w:rPr>
        <w:t xml:space="preserve">בציפור </w:t>
      </w:r>
      <w:bookmarkStart w:id="34677" w:name="_ETM_Q61_597430"/>
      <w:bookmarkEnd w:id="34677"/>
      <w:r>
        <w:rPr>
          <w:rFonts w:hint="cs"/>
          <w:rtl/>
        </w:rPr>
        <w:t xml:space="preserve">נפשי. </w:t>
      </w:r>
      <w:bookmarkStart w:id="34678" w:name="_ETM_Q61_599979"/>
      <w:bookmarkEnd w:id="34678"/>
      <w:r>
        <w:rPr>
          <w:rFonts w:hint="cs"/>
          <w:rtl/>
        </w:rPr>
        <w:t xml:space="preserve">הפגיעה </w:t>
      </w:r>
      <w:bookmarkStart w:id="34679" w:name="_ETM_Q61_600520"/>
      <w:bookmarkEnd w:id="34679"/>
      <w:r>
        <w:rPr>
          <w:rFonts w:hint="cs"/>
          <w:rtl/>
        </w:rPr>
        <w:t xml:space="preserve">בלכידות </w:t>
      </w:r>
      <w:bookmarkStart w:id="34680" w:name="_ETM_Q61_601179"/>
      <w:bookmarkEnd w:id="34680"/>
      <w:r>
        <w:rPr>
          <w:rFonts w:hint="cs"/>
          <w:rtl/>
        </w:rPr>
        <w:t xml:space="preserve">של </w:t>
      </w:r>
      <w:bookmarkStart w:id="34681" w:name="_ETM_Q61_601329"/>
      <w:bookmarkEnd w:id="34681"/>
      <w:r>
        <w:rPr>
          <w:rFonts w:hint="cs"/>
          <w:rtl/>
        </w:rPr>
        <w:t xml:space="preserve">צה"ל </w:t>
      </w:r>
      <w:bookmarkStart w:id="34682" w:name="_ETM_Q61_602049"/>
      <w:bookmarkEnd w:id="34682"/>
      <w:r>
        <w:rPr>
          <w:rFonts w:hint="cs"/>
          <w:rtl/>
        </w:rPr>
        <w:t xml:space="preserve">תהיה </w:t>
      </w:r>
      <w:bookmarkStart w:id="34683" w:name="_ETM_Q61_602380"/>
      <w:bookmarkEnd w:id="34683"/>
      <w:r>
        <w:rPr>
          <w:rFonts w:hint="cs"/>
          <w:rtl/>
        </w:rPr>
        <w:t xml:space="preserve">בכייה </w:t>
      </w:r>
      <w:bookmarkStart w:id="34684" w:name="_ETM_Q61_602740"/>
      <w:bookmarkEnd w:id="34684"/>
      <w:r>
        <w:rPr>
          <w:rFonts w:hint="cs"/>
          <w:rtl/>
        </w:rPr>
        <w:t>לדורות.</w:t>
      </w:r>
      <w:bookmarkStart w:id="34685" w:name="_ETM_Q61_604710"/>
      <w:bookmarkEnd w:id="34685"/>
      <w:r>
        <w:rPr>
          <w:rFonts w:hint="cs"/>
          <w:rtl/>
        </w:rPr>
        <w:t xml:space="preserve"> </w:t>
      </w:r>
      <w:bookmarkStart w:id="34686" w:name="_ETM_Q61_605670"/>
      <w:bookmarkEnd w:id="34686"/>
      <w:r>
        <w:rPr>
          <w:rFonts w:hint="cs"/>
          <w:rtl/>
        </w:rPr>
        <w:t xml:space="preserve">לאורך </w:t>
      </w:r>
      <w:bookmarkStart w:id="34687" w:name="_ETM_Q61_606090"/>
      <w:bookmarkEnd w:id="34687"/>
      <w:r w:rsidR="00215526">
        <w:rPr>
          <w:rFonts w:hint="cs"/>
          <w:rtl/>
        </w:rPr>
        <w:t>השנים</w:t>
      </w:r>
      <w:r>
        <w:rPr>
          <w:rFonts w:hint="cs"/>
          <w:rtl/>
        </w:rPr>
        <w:t xml:space="preserve"> </w:t>
      </w:r>
      <w:bookmarkStart w:id="34688" w:name="_ETM_Q61_606570"/>
      <w:bookmarkEnd w:id="34688"/>
      <w:r>
        <w:rPr>
          <w:rFonts w:hint="cs"/>
          <w:rtl/>
        </w:rPr>
        <w:t xml:space="preserve">הביטוי </w:t>
      </w:r>
      <w:bookmarkStart w:id="34689" w:name="_ETM_Q61_607020"/>
      <w:bookmarkEnd w:id="34689"/>
      <w:r>
        <w:rPr>
          <w:rFonts w:hint="cs"/>
          <w:rtl/>
        </w:rPr>
        <w:t xml:space="preserve">היום-יומי </w:t>
      </w:r>
      <w:bookmarkStart w:id="34690" w:name="_ETM_Q61_607529"/>
      <w:bookmarkEnd w:id="34690"/>
      <w:r>
        <w:rPr>
          <w:rFonts w:hint="cs"/>
          <w:rtl/>
        </w:rPr>
        <w:t xml:space="preserve">לעוצמתנו </w:t>
      </w:r>
      <w:bookmarkStart w:id="34691" w:name="_ETM_Q61_608850"/>
      <w:bookmarkEnd w:id="34691"/>
      <w:r>
        <w:rPr>
          <w:rFonts w:hint="cs"/>
          <w:rtl/>
        </w:rPr>
        <w:t xml:space="preserve">היה </w:t>
      </w:r>
      <w:bookmarkStart w:id="34692" w:name="_ETM_Q61_609420"/>
      <w:bookmarkEnd w:id="34692"/>
      <w:r>
        <w:rPr>
          <w:rFonts w:hint="cs"/>
          <w:rtl/>
        </w:rPr>
        <w:t xml:space="preserve">התייצבות </w:t>
      </w:r>
      <w:bookmarkStart w:id="34693" w:name="_ETM_Q61_610099"/>
      <w:bookmarkStart w:id="34694" w:name="_ETM_Q61_610189"/>
      <w:bookmarkEnd w:id="34693"/>
      <w:bookmarkEnd w:id="34694"/>
      <w:r>
        <w:rPr>
          <w:rFonts w:hint="cs"/>
          <w:rtl/>
        </w:rPr>
        <w:t xml:space="preserve">הדורות </w:t>
      </w:r>
      <w:bookmarkStart w:id="34695" w:name="_ETM_Q61_610639"/>
      <w:bookmarkEnd w:id="34695"/>
      <w:r>
        <w:rPr>
          <w:rFonts w:hint="cs"/>
          <w:rtl/>
        </w:rPr>
        <w:t xml:space="preserve">הבאים </w:t>
      </w:r>
      <w:bookmarkStart w:id="34696" w:name="_ETM_Q61_610999"/>
      <w:bookmarkEnd w:id="34696"/>
      <w:r>
        <w:rPr>
          <w:rFonts w:hint="cs"/>
          <w:rtl/>
        </w:rPr>
        <w:t xml:space="preserve">על </w:t>
      </w:r>
      <w:bookmarkStart w:id="34697" w:name="_ETM_Q61_611120"/>
      <w:bookmarkEnd w:id="34697"/>
      <w:r>
        <w:rPr>
          <w:rFonts w:hint="cs"/>
          <w:rtl/>
        </w:rPr>
        <w:t xml:space="preserve">המשמר </w:t>
      </w:r>
      <w:bookmarkStart w:id="34698" w:name="_ETM_Q61_611629"/>
      <w:bookmarkEnd w:id="34698"/>
      <w:r>
        <w:rPr>
          <w:rFonts w:hint="cs"/>
          <w:rtl/>
        </w:rPr>
        <w:t xml:space="preserve">והגיוס </w:t>
      </w:r>
      <w:bookmarkStart w:id="34699" w:name="_ETM_Q61_612139"/>
      <w:bookmarkEnd w:id="34699"/>
      <w:r>
        <w:rPr>
          <w:rFonts w:hint="cs"/>
          <w:rtl/>
        </w:rPr>
        <w:t xml:space="preserve">לצה"ל. </w:t>
      </w:r>
      <w:bookmarkStart w:id="34700" w:name="_ETM_Q61_613780"/>
      <w:bookmarkEnd w:id="34700"/>
      <w:r>
        <w:rPr>
          <w:rFonts w:hint="cs"/>
          <w:rtl/>
        </w:rPr>
        <w:t xml:space="preserve">כעת </w:t>
      </w:r>
      <w:bookmarkStart w:id="34701" w:name="_ETM_Q61_614170"/>
      <w:bookmarkEnd w:id="34701"/>
      <w:r>
        <w:rPr>
          <w:rFonts w:hint="cs"/>
          <w:rtl/>
        </w:rPr>
        <w:t xml:space="preserve">אתם </w:t>
      </w:r>
      <w:bookmarkStart w:id="34702" w:name="_ETM_Q61_614380"/>
      <w:bookmarkEnd w:id="34702"/>
      <w:r>
        <w:rPr>
          <w:rFonts w:hint="cs"/>
          <w:rtl/>
        </w:rPr>
        <w:t xml:space="preserve">פוגעים </w:t>
      </w:r>
      <w:bookmarkStart w:id="34703" w:name="_ETM_Q61_614740"/>
      <w:bookmarkEnd w:id="34703"/>
      <w:r>
        <w:rPr>
          <w:rFonts w:hint="cs"/>
          <w:rtl/>
        </w:rPr>
        <w:t xml:space="preserve">גם </w:t>
      </w:r>
      <w:bookmarkStart w:id="34704" w:name="_ETM_Q61_614950"/>
      <w:bookmarkEnd w:id="34704"/>
      <w:r>
        <w:rPr>
          <w:rFonts w:hint="cs"/>
          <w:rtl/>
        </w:rPr>
        <w:t xml:space="preserve">בלכידות </w:t>
      </w:r>
      <w:bookmarkStart w:id="34705" w:name="_ETM_Q61_615550"/>
      <w:bookmarkEnd w:id="34705"/>
      <w:r>
        <w:rPr>
          <w:rFonts w:hint="cs"/>
          <w:rtl/>
        </w:rPr>
        <w:t xml:space="preserve">וגם </w:t>
      </w:r>
      <w:bookmarkStart w:id="34706" w:name="_ETM_Q61_615880"/>
      <w:bookmarkEnd w:id="34706"/>
      <w:r>
        <w:rPr>
          <w:rFonts w:hint="cs"/>
          <w:rtl/>
        </w:rPr>
        <w:t xml:space="preserve">בכשירות. </w:t>
      </w:r>
      <w:bookmarkStart w:id="34707" w:name="_ETM_Q61_619450"/>
      <w:bookmarkEnd w:id="34707"/>
      <w:r>
        <w:rPr>
          <w:rFonts w:hint="cs"/>
          <w:rtl/>
        </w:rPr>
        <w:t xml:space="preserve">זאת </w:t>
      </w:r>
      <w:bookmarkStart w:id="34708" w:name="_ETM_Q61_619690"/>
      <w:bookmarkEnd w:id="34708"/>
      <w:r>
        <w:rPr>
          <w:rFonts w:hint="cs"/>
          <w:rtl/>
        </w:rPr>
        <w:t xml:space="preserve">הסתה </w:t>
      </w:r>
      <w:bookmarkStart w:id="34709" w:name="_ETM_Q61_620080"/>
      <w:bookmarkEnd w:id="34709"/>
      <w:r>
        <w:rPr>
          <w:rFonts w:hint="cs"/>
          <w:rtl/>
        </w:rPr>
        <w:t xml:space="preserve">נגד </w:t>
      </w:r>
      <w:bookmarkStart w:id="34710" w:name="_ETM_Q61_620379"/>
      <w:bookmarkEnd w:id="34710"/>
      <w:r>
        <w:rPr>
          <w:rFonts w:hint="cs"/>
          <w:rtl/>
        </w:rPr>
        <w:t xml:space="preserve">טובי </w:t>
      </w:r>
      <w:bookmarkStart w:id="34711" w:name="_ETM_Q61_620680"/>
      <w:bookmarkEnd w:id="34711"/>
      <w:r>
        <w:rPr>
          <w:rFonts w:hint="cs"/>
          <w:rtl/>
        </w:rPr>
        <w:t xml:space="preserve">בינינו </w:t>
      </w:r>
      <w:bookmarkStart w:id="34712" w:name="_ETM_Q61_621040"/>
      <w:bookmarkEnd w:id="34712"/>
      <w:r>
        <w:rPr>
          <w:rFonts w:hint="cs"/>
          <w:rtl/>
        </w:rPr>
        <w:t>ולוחמינו</w:t>
      </w:r>
      <w:bookmarkStart w:id="34713" w:name="_ETM_Q61_622819"/>
      <w:bookmarkEnd w:id="34713"/>
      <w:r>
        <w:rPr>
          <w:rFonts w:hint="cs"/>
          <w:rtl/>
        </w:rPr>
        <w:t xml:space="preserve">, אלו </w:t>
      </w:r>
      <w:bookmarkStart w:id="34714" w:name="_ETM_Q61_623000"/>
      <w:bookmarkStart w:id="34715" w:name="_ETM_Q61_623060"/>
      <w:bookmarkStart w:id="34716" w:name="_ETM_Q61_623120"/>
      <w:bookmarkStart w:id="34717" w:name="_ETM_Q61_623689"/>
      <w:bookmarkEnd w:id="34714"/>
      <w:bookmarkEnd w:id="34715"/>
      <w:bookmarkEnd w:id="34716"/>
      <w:bookmarkEnd w:id="34717"/>
      <w:r>
        <w:rPr>
          <w:rFonts w:hint="cs"/>
          <w:rtl/>
        </w:rPr>
        <w:t xml:space="preserve">שמשרתים </w:t>
      </w:r>
      <w:bookmarkStart w:id="34718" w:name="_ETM_Q61_624170"/>
      <w:bookmarkEnd w:id="34718"/>
      <w:r>
        <w:rPr>
          <w:rFonts w:hint="cs"/>
          <w:rtl/>
        </w:rPr>
        <w:t xml:space="preserve">עשרות </w:t>
      </w:r>
      <w:bookmarkStart w:id="34719" w:name="_ETM_Q61_624560"/>
      <w:bookmarkEnd w:id="34719"/>
      <w:r>
        <w:rPr>
          <w:rFonts w:hint="cs"/>
          <w:rtl/>
        </w:rPr>
        <w:t xml:space="preserve">שנים, </w:t>
      </w:r>
      <w:bookmarkStart w:id="34720" w:name="_ETM_Q61_625519"/>
      <w:bookmarkEnd w:id="34720"/>
      <w:r>
        <w:rPr>
          <w:rFonts w:hint="cs"/>
          <w:rtl/>
        </w:rPr>
        <w:t xml:space="preserve">אלו </w:t>
      </w:r>
      <w:bookmarkStart w:id="34721" w:name="_ETM_Q61_625790"/>
      <w:bookmarkEnd w:id="34721"/>
      <w:r>
        <w:rPr>
          <w:rFonts w:hint="cs"/>
          <w:rtl/>
        </w:rPr>
        <w:t xml:space="preserve">שמסכנים </w:t>
      </w:r>
      <w:bookmarkStart w:id="34722" w:name="_ETM_Q61_626420"/>
      <w:bookmarkEnd w:id="34722"/>
      <w:r>
        <w:rPr>
          <w:rFonts w:hint="cs"/>
          <w:rtl/>
        </w:rPr>
        <w:t xml:space="preserve">את </w:t>
      </w:r>
      <w:bookmarkStart w:id="34723" w:name="_ETM_Q61_626510"/>
      <w:bookmarkEnd w:id="34723"/>
      <w:r>
        <w:rPr>
          <w:rFonts w:hint="cs"/>
          <w:rtl/>
        </w:rPr>
        <w:t xml:space="preserve">חייהם </w:t>
      </w:r>
      <w:bookmarkStart w:id="34724" w:name="_ETM_Q61_626840"/>
      <w:bookmarkEnd w:id="34724"/>
      <w:r>
        <w:rPr>
          <w:rFonts w:hint="cs"/>
          <w:rtl/>
        </w:rPr>
        <w:t xml:space="preserve">כל </w:t>
      </w:r>
      <w:bookmarkStart w:id="34725" w:name="_ETM_Q61_627049"/>
      <w:bookmarkEnd w:id="34725"/>
      <w:r>
        <w:rPr>
          <w:rFonts w:hint="cs"/>
          <w:rtl/>
        </w:rPr>
        <w:t xml:space="preserve">שבוע </w:t>
      </w:r>
      <w:bookmarkStart w:id="34726" w:name="_ETM_Q61_627409"/>
      <w:bookmarkEnd w:id="34726"/>
      <w:r>
        <w:rPr>
          <w:rFonts w:hint="cs"/>
          <w:rtl/>
        </w:rPr>
        <w:t xml:space="preserve">בטיסות </w:t>
      </w:r>
      <w:bookmarkStart w:id="34727" w:name="_ETM_Q61_627829"/>
      <w:bookmarkEnd w:id="34727"/>
      <w:r>
        <w:rPr>
          <w:rFonts w:hint="cs"/>
          <w:rtl/>
        </w:rPr>
        <w:t xml:space="preserve">מבצעיות, </w:t>
      </w:r>
      <w:bookmarkStart w:id="34728" w:name="_ETM_Q61_629000"/>
      <w:bookmarkEnd w:id="34728"/>
      <w:r>
        <w:rPr>
          <w:rFonts w:hint="cs"/>
          <w:rtl/>
        </w:rPr>
        <w:t xml:space="preserve">אלו </w:t>
      </w:r>
      <w:bookmarkStart w:id="34729" w:name="_ETM_Q61_629329"/>
      <w:bookmarkEnd w:id="34729"/>
      <w:r>
        <w:rPr>
          <w:rFonts w:hint="cs"/>
          <w:rtl/>
        </w:rPr>
        <w:t xml:space="preserve">שקברו </w:t>
      </w:r>
      <w:bookmarkStart w:id="34730" w:name="_ETM_Q61_629900"/>
      <w:bookmarkEnd w:id="34730"/>
      <w:r>
        <w:rPr>
          <w:rFonts w:hint="cs"/>
          <w:rtl/>
        </w:rPr>
        <w:t xml:space="preserve">לאורך </w:t>
      </w:r>
      <w:bookmarkStart w:id="34731" w:name="_ETM_Q61_630349"/>
      <w:bookmarkEnd w:id="34731"/>
      <w:r>
        <w:rPr>
          <w:rFonts w:hint="cs"/>
          <w:rtl/>
        </w:rPr>
        <w:t xml:space="preserve">שנים </w:t>
      </w:r>
      <w:bookmarkStart w:id="34732" w:name="_ETM_Q61_630799"/>
      <w:bookmarkEnd w:id="34732"/>
      <w:r>
        <w:rPr>
          <w:rFonts w:hint="cs"/>
          <w:rtl/>
        </w:rPr>
        <w:t xml:space="preserve">חברים. </w:t>
      </w:r>
      <w:bookmarkStart w:id="34733" w:name="_ETM_Q61_630000"/>
      <w:bookmarkEnd w:id="34733"/>
      <w:r>
        <w:rPr>
          <w:rFonts w:hint="cs"/>
          <w:rtl/>
        </w:rPr>
        <w:t>איבדתם את זה.</w:t>
      </w:r>
      <w:bookmarkStart w:id="34734" w:name="_ETM_Q61_633269"/>
      <w:bookmarkStart w:id="34735" w:name="_ETM_Q61_633540"/>
      <w:bookmarkStart w:id="34736" w:name="_ETM_Q61_633930"/>
      <w:bookmarkStart w:id="34737" w:name="_ETM_Q61_634019"/>
      <w:bookmarkStart w:id="34738" w:name="_ETM_Q61_635110"/>
      <w:bookmarkEnd w:id="34734"/>
      <w:bookmarkEnd w:id="34735"/>
      <w:bookmarkEnd w:id="34736"/>
      <w:bookmarkEnd w:id="34737"/>
      <w:bookmarkEnd w:id="34738"/>
      <w:r>
        <w:rPr>
          <w:rFonts w:hint="cs"/>
          <w:rtl/>
        </w:rPr>
        <w:t xml:space="preserve"> עד </w:t>
      </w:r>
      <w:bookmarkStart w:id="34739" w:name="_ETM_Q61_635349"/>
      <w:bookmarkEnd w:id="34739"/>
      <w:r>
        <w:rPr>
          <w:rFonts w:hint="cs"/>
          <w:rtl/>
        </w:rPr>
        <w:t xml:space="preserve">לאן </w:t>
      </w:r>
      <w:bookmarkStart w:id="34740" w:name="_ETM_Q61_635590"/>
      <w:bookmarkEnd w:id="34740"/>
      <w:r>
        <w:rPr>
          <w:rFonts w:hint="cs"/>
          <w:rtl/>
        </w:rPr>
        <w:t xml:space="preserve">תוליכו </w:t>
      </w:r>
      <w:bookmarkStart w:id="34741" w:name="_ETM_Q61_635709"/>
      <w:bookmarkStart w:id="34742" w:name="_ETM_Q61_635950"/>
      <w:bookmarkEnd w:id="34741"/>
      <w:bookmarkEnd w:id="34742"/>
      <w:r>
        <w:rPr>
          <w:rFonts w:hint="cs"/>
          <w:rtl/>
        </w:rPr>
        <w:t xml:space="preserve">את </w:t>
      </w:r>
      <w:bookmarkStart w:id="34743" w:name="_ETM_Q61_636160"/>
      <w:bookmarkEnd w:id="34743"/>
      <w:r>
        <w:rPr>
          <w:rFonts w:hint="cs"/>
          <w:rtl/>
        </w:rPr>
        <w:t xml:space="preserve">החרפה? </w:t>
      </w:r>
      <w:bookmarkStart w:id="34744" w:name="_ETM_Q61_637540"/>
      <w:bookmarkEnd w:id="34744"/>
      <w:r>
        <w:rPr>
          <w:rFonts w:hint="cs"/>
          <w:rtl/>
        </w:rPr>
        <w:t xml:space="preserve">במקום </w:t>
      </w:r>
      <w:bookmarkStart w:id="34745" w:name="_ETM_Q61_644140"/>
      <w:bookmarkEnd w:id="34745"/>
      <w:r>
        <w:rPr>
          <w:rFonts w:hint="cs"/>
          <w:rtl/>
        </w:rPr>
        <w:t xml:space="preserve">להטות </w:t>
      </w:r>
      <w:bookmarkStart w:id="34746" w:name="_ETM_Q61_644620"/>
      <w:bookmarkEnd w:id="34746"/>
      <w:r>
        <w:rPr>
          <w:rFonts w:hint="cs"/>
          <w:rtl/>
        </w:rPr>
        <w:t xml:space="preserve">אוזן </w:t>
      </w:r>
      <w:bookmarkStart w:id="34747" w:name="_ETM_Q61_644920"/>
      <w:bookmarkEnd w:id="34747"/>
      <w:r>
        <w:rPr>
          <w:rFonts w:hint="cs"/>
          <w:rtl/>
        </w:rPr>
        <w:t xml:space="preserve">קשבת </w:t>
      </w:r>
      <w:bookmarkStart w:id="34748" w:name="_ETM_Q61_645459"/>
      <w:bookmarkEnd w:id="34748"/>
      <w:r>
        <w:rPr>
          <w:rFonts w:hint="cs"/>
          <w:rtl/>
        </w:rPr>
        <w:t xml:space="preserve">לנזקים </w:t>
      </w:r>
      <w:bookmarkStart w:id="34749" w:name="_ETM_Q61_646030"/>
      <w:bookmarkEnd w:id="34749"/>
      <w:r>
        <w:rPr>
          <w:rFonts w:hint="cs"/>
          <w:rtl/>
        </w:rPr>
        <w:t xml:space="preserve">ולהשלכות </w:t>
      </w:r>
      <w:bookmarkStart w:id="34750" w:name="_ETM_Q61_646720"/>
      <w:bookmarkEnd w:id="34750"/>
      <w:r>
        <w:rPr>
          <w:rFonts w:hint="cs"/>
          <w:rtl/>
        </w:rPr>
        <w:t xml:space="preserve">של </w:t>
      </w:r>
      <w:bookmarkStart w:id="34751" w:name="_ETM_Q61_646900"/>
      <w:bookmarkEnd w:id="34751"/>
      <w:r>
        <w:rPr>
          <w:rFonts w:hint="cs"/>
          <w:rtl/>
        </w:rPr>
        <w:t xml:space="preserve">החקיקה </w:t>
      </w:r>
      <w:bookmarkStart w:id="34752" w:name="_ETM_Q61_647500"/>
      <w:bookmarkEnd w:id="34752"/>
      <w:r>
        <w:rPr>
          <w:rFonts w:hint="cs"/>
          <w:rtl/>
        </w:rPr>
        <w:t>הבלתי</w:t>
      </w:r>
      <w:bookmarkStart w:id="34753" w:name="_ETM_Q61_647890"/>
      <w:bookmarkEnd w:id="34753"/>
      <w:r>
        <w:rPr>
          <w:rFonts w:hint="cs"/>
          <w:rtl/>
        </w:rPr>
        <w:t xml:space="preserve">-סבירה </w:t>
      </w:r>
      <w:bookmarkStart w:id="34754" w:name="_ETM_Q61_648340"/>
      <w:bookmarkEnd w:id="34754"/>
      <w:r>
        <w:rPr>
          <w:rFonts w:hint="cs"/>
          <w:rtl/>
        </w:rPr>
        <w:t xml:space="preserve">בעליל </w:t>
      </w:r>
      <w:bookmarkStart w:id="34755" w:name="_ETM_Q61_648849"/>
      <w:bookmarkEnd w:id="34755"/>
      <w:r>
        <w:rPr>
          <w:rFonts w:hint="cs"/>
          <w:rtl/>
        </w:rPr>
        <w:t xml:space="preserve">הזאת </w:t>
      </w:r>
      <w:bookmarkStart w:id="34756" w:name="_ETM_Q61_649700"/>
      <w:bookmarkEnd w:id="34756"/>
      <w:r>
        <w:rPr>
          <w:rFonts w:hint="cs"/>
          <w:rtl/>
        </w:rPr>
        <w:t xml:space="preserve">על </w:t>
      </w:r>
      <w:bookmarkStart w:id="34757" w:name="_ETM_Q61_649939"/>
      <w:bookmarkEnd w:id="34757"/>
      <w:r>
        <w:rPr>
          <w:rFonts w:hint="cs"/>
          <w:rtl/>
        </w:rPr>
        <w:t xml:space="preserve">הלוחמים, </w:t>
      </w:r>
      <w:bookmarkStart w:id="34758" w:name="_ETM_Q61_650959"/>
      <w:bookmarkEnd w:id="34758"/>
      <w:r>
        <w:rPr>
          <w:rFonts w:hint="cs"/>
          <w:rtl/>
        </w:rPr>
        <w:t xml:space="preserve">בהינתן </w:t>
      </w:r>
      <w:bookmarkStart w:id="34759" w:name="_ETM_Q61_651560"/>
      <w:bookmarkEnd w:id="34759"/>
      <w:r>
        <w:rPr>
          <w:rFonts w:hint="cs"/>
          <w:rtl/>
        </w:rPr>
        <w:t>שמחלישים</w:t>
      </w:r>
      <w:bookmarkStart w:id="34760" w:name="_ETM_Q61_652370"/>
      <w:bookmarkStart w:id="34761" w:name="_ETM_Q61_652459"/>
      <w:bookmarkEnd w:id="34760"/>
      <w:bookmarkEnd w:id="34761"/>
      <w:r>
        <w:rPr>
          <w:rFonts w:hint="cs"/>
          <w:rtl/>
        </w:rPr>
        <w:t xml:space="preserve"> </w:t>
      </w:r>
      <w:bookmarkStart w:id="34762" w:name="_ETM_Q61_652790"/>
      <w:bookmarkEnd w:id="34762"/>
      <w:r>
        <w:rPr>
          <w:rFonts w:hint="cs"/>
          <w:rtl/>
        </w:rPr>
        <w:t xml:space="preserve">את </w:t>
      </w:r>
      <w:bookmarkStart w:id="34763" w:name="_ETM_Q61_652939"/>
      <w:bookmarkEnd w:id="34763"/>
      <w:r>
        <w:rPr>
          <w:rFonts w:hint="cs"/>
          <w:rtl/>
        </w:rPr>
        <w:t xml:space="preserve">מערכת המשפט </w:t>
      </w:r>
      <w:bookmarkStart w:id="34764" w:name="_ETM_Q61_654070"/>
      <w:bookmarkEnd w:id="34764"/>
      <w:r>
        <w:rPr>
          <w:rFonts w:hint="cs"/>
          <w:rtl/>
        </w:rPr>
        <w:t xml:space="preserve">– ויש </w:t>
      </w:r>
      <w:bookmarkStart w:id="34765" w:name="_ETM_Q61_654460"/>
      <w:bookmarkEnd w:id="34765"/>
      <w:r>
        <w:rPr>
          <w:rFonts w:hint="cs"/>
          <w:rtl/>
        </w:rPr>
        <w:t xml:space="preserve">לכך </w:t>
      </w:r>
      <w:bookmarkStart w:id="34766" w:name="_ETM_Q61_654790"/>
      <w:bookmarkEnd w:id="34766"/>
      <w:r>
        <w:rPr>
          <w:rFonts w:hint="cs"/>
          <w:rtl/>
        </w:rPr>
        <w:t xml:space="preserve">משמעויות </w:t>
      </w:r>
      <w:bookmarkStart w:id="34767" w:name="_ETM_Q61_655360"/>
      <w:bookmarkEnd w:id="34767"/>
      <w:r>
        <w:rPr>
          <w:rFonts w:hint="cs"/>
          <w:rtl/>
        </w:rPr>
        <w:t xml:space="preserve">בין-לאומיות, </w:t>
      </w:r>
      <w:bookmarkStart w:id="34768" w:name="_ETM_Q61_656050"/>
      <w:bookmarkEnd w:id="34768"/>
      <w:r>
        <w:rPr>
          <w:rFonts w:hint="cs"/>
          <w:rtl/>
        </w:rPr>
        <w:t xml:space="preserve">ואנחנו </w:t>
      </w:r>
      <w:bookmarkStart w:id="34769" w:name="_ETM_Q61_656380"/>
      <w:bookmarkEnd w:id="34769"/>
      <w:r>
        <w:rPr>
          <w:rFonts w:hint="cs"/>
          <w:rtl/>
        </w:rPr>
        <w:t xml:space="preserve">יודעים, </w:t>
      </w:r>
      <w:bookmarkStart w:id="34770" w:name="_ETM_Q61_657380"/>
      <w:bookmarkEnd w:id="34770"/>
      <w:r>
        <w:rPr>
          <w:rFonts w:hint="cs"/>
          <w:rtl/>
        </w:rPr>
        <w:t xml:space="preserve">כולל </w:t>
      </w:r>
      <w:bookmarkStart w:id="34771" w:name="_ETM_Q61_657620"/>
      <w:bookmarkStart w:id="34772" w:name="_ETM_Q61_657800"/>
      <w:bookmarkEnd w:id="34771"/>
      <w:bookmarkEnd w:id="34772"/>
      <w:r>
        <w:rPr>
          <w:rFonts w:hint="cs"/>
          <w:rtl/>
        </w:rPr>
        <w:t xml:space="preserve">ההשלכות </w:t>
      </w:r>
      <w:bookmarkStart w:id="34773" w:name="_ETM_Q61_658340"/>
      <w:bookmarkEnd w:id="34773"/>
      <w:r>
        <w:rPr>
          <w:rFonts w:hint="cs"/>
          <w:rtl/>
        </w:rPr>
        <w:t xml:space="preserve">מול </w:t>
      </w:r>
      <w:bookmarkStart w:id="34774" w:name="_ETM_Q61_658520"/>
      <w:bookmarkEnd w:id="34774"/>
      <w:r>
        <w:rPr>
          <w:rFonts w:hint="cs"/>
          <w:rtl/>
        </w:rPr>
        <w:t xml:space="preserve">בית </w:t>
      </w:r>
      <w:bookmarkStart w:id="34775" w:name="_ETM_Q61_658760"/>
      <w:bookmarkEnd w:id="34775"/>
      <w:r>
        <w:rPr>
          <w:rFonts w:hint="cs"/>
          <w:rtl/>
        </w:rPr>
        <w:t xml:space="preserve">הדין </w:t>
      </w:r>
      <w:bookmarkStart w:id="34776" w:name="_ETM_Q61_659030"/>
      <w:bookmarkEnd w:id="34776"/>
      <w:r>
        <w:rPr>
          <w:rFonts w:hint="cs"/>
          <w:rtl/>
        </w:rPr>
        <w:t xml:space="preserve">הבין-לאומי </w:t>
      </w:r>
      <w:bookmarkStart w:id="34777" w:name="_ETM_Q61_659660"/>
      <w:bookmarkEnd w:id="34777"/>
      <w:r>
        <w:rPr>
          <w:rFonts w:hint="cs"/>
          <w:rtl/>
        </w:rPr>
        <w:t xml:space="preserve">בהאג </w:t>
      </w:r>
      <w:bookmarkStart w:id="34778" w:name="_ETM_Q61_660500"/>
      <w:bookmarkEnd w:id="34778"/>
      <w:r>
        <w:rPr>
          <w:rFonts w:hint="cs"/>
          <w:rtl/>
        </w:rPr>
        <w:t xml:space="preserve">– אתם </w:t>
      </w:r>
      <w:bookmarkStart w:id="34779" w:name="_ETM_Q61_660860"/>
      <w:bookmarkEnd w:id="34779"/>
      <w:r>
        <w:rPr>
          <w:rFonts w:hint="cs"/>
          <w:rtl/>
        </w:rPr>
        <w:t xml:space="preserve">דוחקים </w:t>
      </w:r>
      <w:bookmarkStart w:id="34780" w:name="_ETM_Q61_661420"/>
      <w:bookmarkEnd w:id="34780"/>
      <w:r>
        <w:rPr>
          <w:rFonts w:hint="cs"/>
          <w:rtl/>
        </w:rPr>
        <w:t xml:space="preserve">את </w:t>
      </w:r>
      <w:bookmarkStart w:id="34781" w:name="_ETM_Q61_661599"/>
      <w:bookmarkEnd w:id="34781"/>
      <w:r>
        <w:rPr>
          <w:rFonts w:hint="cs"/>
          <w:rtl/>
        </w:rPr>
        <w:t xml:space="preserve">אותם </w:t>
      </w:r>
      <w:bookmarkStart w:id="34782" w:name="_ETM_Q61_661990"/>
      <w:bookmarkEnd w:id="34782"/>
      <w:r>
        <w:rPr>
          <w:rFonts w:hint="cs"/>
          <w:rtl/>
        </w:rPr>
        <w:t xml:space="preserve">אנשים, </w:t>
      </w:r>
      <w:bookmarkStart w:id="34783" w:name="_ETM_Q61_662440"/>
      <w:bookmarkEnd w:id="34783"/>
      <w:r>
        <w:rPr>
          <w:rFonts w:hint="cs"/>
          <w:rtl/>
        </w:rPr>
        <w:t xml:space="preserve">את </w:t>
      </w:r>
      <w:bookmarkStart w:id="34784" w:name="_ETM_Q61_662560"/>
      <w:bookmarkEnd w:id="34784"/>
      <w:r>
        <w:rPr>
          <w:rFonts w:hint="cs"/>
          <w:rtl/>
        </w:rPr>
        <w:t xml:space="preserve">טובי </w:t>
      </w:r>
      <w:bookmarkStart w:id="34785" w:name="_ETM_Q61_662890"/>
      <w:bookmarkEnd w:id="34785"/>
      <w:r>
        <w:rPr>
          <w:rFonts w:hint="cs"/>
          <w:rtl/>
        </w:rPr>
        <w:t xml:space="preserve">בנינו, </w:t>
      </w:r>
      <w:bookmarkStart w:id="34786" w:name="_ETM_Q61_663430"/>
      <w:bookmarkEnd w:id="34786"/>
      <w:r>
        <w:rPr>
          <w:rFonts w:hint="cs"/>
          <w:rtl/>
        </w:rPr>
        <w:t xml:space="preserve">לקצה. </w:t>
      </w:r>
      <w:bookmarkStart w:id="34787" w:name="_ETM_Q61_664810"/>
      <w:bookmarkEnd w:id="34787"/>
      <w:r>
        <w:rPr>
          <w:rFonts w:hint="cs"/>
          <w:rtl/>
        </w:rPr>
        <w:t xml:space="preserve">אתם </w:t>
      </w:r>
      <w:bookmarkStart w:id="34788" w:name="_ETM_Q61_665140"/>
      <w:bookmarkEnd w:id="34788"/>
      <w:r>
        <w:rPr>
          <w:rFonts w:hint="cs"/>
          <w:rtl/>
        </w:rPr>
        <w:t xml:space="preserve">גורמים </w:t>
      </w:r>
      <w:bookmarkStart w:id="34789" w:name="_ETM_Q61_665440"/>
      <w:bookmarkEnd w:id="34789"/>
      <w:r>
        <w:rPr>
          <w:rFonts w:hint="cs"/>
          <w:rtl/>
        </w:rPr>
        <w:t xml:space="preserve">להם </w:t>
      </w:r>
      <w:bookmarkStart w:id="34790" w:name="_ETM_Q61_665680"/>
      <w:bookmarkEnd w:id="34790"/>
      <w:r>
        <w:rPr>
          <w:rFonts w:hint="cs"/>
          <w:rtl/>
        </w:rPr>
        <w:t xml:space="preserve">להפסיק </w:t>
      </w:r>
      <w:bookmarkStart w:id="34791" w:name="_ETM_Q61_666100"/>
      <w:bookmarkEnd w:id="34791"/>
      <w:r>
        <w:rPr>
          <w:rFonts w:hint="cs"/>
          <w:rtl/>
        </w:rPr>
        <w:t xml:space="preserve">את </w:t>
      </w:r>
      <w:bookmarkStart w:id="34792" w:name="_ETM_Q61_666220"/>
      <w:bookmarkEnd w:id="34792"/>
      <w:r>
        <w:rPr>
          <w:rFonts w:hint="cs"/>
          <w:rtl/>
        </w:rPr>
        <w:t xml:space="preserve">התנדבותם, </w:t>
      </w:r>
      <w:bookmarkStart w:id="34793" w:name="_ETM_Q61_666830"/>
      <w:bookmarkEnd w:id="34793"/>
      <w:r>
        <w:rPr>
          <w:rFonts w:hint="cs"/>
          <w:rtl/>
        </w:rPr>
        <w:t xml:space="preserve">אנשים </w:t>
      </w:r>
      <w:bookmarkStart w:id="34794" w:name="_ETM_Q61_667310"/>
      <w:bookmarkEnd w:id="34794"/>
      <w:r>
        <w:rPr>
          <w:rFonts w:hint="cs"/>
          <w:rtl/>
        </w:rPr>
        <w:t xml:space="preserve">שיש </w:t>
      </w:r>
      <w:bookmarkStart w:id="34795" w:name="_ETM_Q61_667550"/>
      <w:bookmarkEnd w:id="34795"/>
      <w:r>
        <w:rPr>
          <w:rFonts w:hint="cs"/>
          <w:rtl/>
        </w:rPr>
        <w:t xml:space="preserve">מאחוריהם עשורים </w:t>
      </w:r>
      <w:bookmarkStart w:id="34796" w:name="_ETM_Q61_668030"/>
      <w:bookmarkStart w:id="34797" w:name="_ETM_Q61_668750"/>
      <w:bookmarkEnd w:id="34796"/>
      <w:bookmarkEnd w:id="34797"/>
      <w:r>
        <w:rPr>
          <w:rFonts w:hint="cs"/>
          <w:rtl/>
        </w:rPr>
        <w:t xml:space="preserve">של </w:t>
      </w:r>
      <w:bookmarkStart w:id="34798" w:name="_ETM_Q61_668930"/>
      <w:bookmarkEnd w:id="34798"/>
      <w:r>
        <w:rPr>
          <w:rFonts w:hint="cs"/>
          <w:rtl/>
        </w:rPr>
        <w:t xml:space="preserve">שנות </w:t>
      </w:r>
      <w:bookmarkStart w:id="34799" w:name="_ETM_Q61_669320"/>
      <w:bookmarkEnd w:id="34799"/>
      <w:r>
        <w:rPr>
          <w:rFonts w:hint="cs"/>
          <w:rtl/>
        </w:rPr>
        <w:t xml:space="preserve">שירות, </w:t>
      </w:r>
      <w:bookmarkStart w:id="34800" w:name="_ETM_Q61_670370"/>
      <w:bookmarkEnd w:id="34800"/>
      <w:r>
        <w:rPr>
          <w:rFonts w:hint="cs"/>
          <w:rtl/>
        </w:rPr>
        <w:t xml:space="preserve">כל </w:t>
      </w:r>
      <w:bookmarkStart w:id="34801" w:name="_ETM_Q61_670670"/>
      <w:bookmarkEnd w:id="34801"/>
      <w:r>
        <w:rPr>
          <w:rFonts w:hint="cs"/>
          <w:rtl/>
        </w:rPr>
        <w:t xml:space="preserve">שבוע </w:t>
      </w:r>
      <w:bookmarkStart w:id="34802" w:name="_ETM_Q61_671180"/>
      <w:bookmarkEnd w:id="34802"/>
      <w:r>
        <w:rPr>
          <w:rFonts w:hint="cs"/>
          <w:rtl/>
        </w:rPr>
        <w:t xml:space="preserve">התייצבות </w:t>
      </w:r>
      <w:bookmarkStart w:id="34803" w:name="_ETM_Q61_671750"/>
      <w:bookmarkEnd w:id="34803"/>
      <w:r>
        <w:rPr>
          <w:rFonts w:hint="cs"/>
          <w:rtl/>
        </w:rPr>
        <w:t xml:space="preserve">לטיסות </w:t>
      </w:r>
      <w:bookmarkStart w:id="34804" w:name="_ETM_Q61_672260"/>
      <w:bookmarkEnd w:id="34804"/>
      <w:r>
        <w:rPr>
          <w:rFonts w:hint="cs"/>
          <w:rtl/>
        </w:rPr>
        <w:t xml:space="preserve">מבצעיות. </w:t>
      </w:r>
      <w:bookmarkStart w:id="34805" w:name="_ETM_Q61_677530"/>
      <w:bookmarkEnd w:id="34805"/>
    </w:p>
    <w:p w:rsidR="00BB59CD" w:rsidRDefault="00BB59CD" w:rsidP="00BB59CD">
      <w:pPr>
        <w:rPr>
          <w:rtl/>
        </w:rPr>
      </w:pPr>
      <w:bookmarkStart w:id="34806" w:name="_ETM_Q61_676000"/>
      <w:bookmarkEnd w:id="34806"/>
    </w:p>
    <w:p w:rsidR="00BB59CD" w:rsidRDefault="00BB59CD" w:rsidP="00BB59CD">
      <w:pPr>
        <w:rPr>
          <w:rtl/>
        </w:rPr>
      </w:pPr>
      <w:bookmarkStart w:id="34807" w:name="_ETM_Q61_677000"/>
      <w:bookmarkEnd w:id="34807"/>
      <w:r>
        <w:rPr>
          <w:rFonts w:hint="cs"/>
          <w:rtl/>
        </w:rPr>
        <w:t xml:space="preserve">על </w:t>
      </w:r>
      <w:bookmarkStart w:id="34808" w:name="_ETM_Q61_677799"/>
      <w:bookmarkEnd w:id="34808"/>
      <w:r>
        <w:rPr>
          <w:rFonts w:hint="cs"/>
          <w:rtl/>
        </w:rPr>
        <w:t xml:space="preserve">אף </w:t>
      </w:r>
      <w:bookmarkStart w:id="34809" w:name="_ETM_Q61_678069"/>
      <w:bookmarkEnd w:id="34809"/>
      <w:r>
        <w:rPr>
          <w:rFonts w:hint="cs"/>
          <w:rtl/>
        </w:rPr>
        <w:t xml:space="preserve">התחינות </w:t>
      </w:r>
      <w:bookmarkStart w:id="34810" w:name="_ETM_Q61_678730"/>
      <w:bookmarkEnd w:id="34810"/>
      <w:r>
        <w:rPr>
          <w:rFonts w:hint="cs"/>
          <w:rtl/>
        </w:rPr>
        <w:t xml:space="preserve">של </w:t>
      </w:r>
      <w:bookmarkStart w:id="34811" w:name="_ETM_Q61_678849"/>
      <w:bookmarkEnd w:id="34811"/>
      <w:r>
        <w:rPr>
          <w:rFonts w:hint="cs"/>
          <w:rtl/>
        </w:rPr>
        <w:t xml:space="preserve">חברי </w:t>
      </w:r>
      <w:bookmarkStart w:id="34812" w:name="_ETM_Q61_679180"/>
      <w:bookmarkEnd w:id="34812"/>
      <w:r>
        <w:rPr>
          <w:rFonts w:hint="cs"/>
          <w:rtl/>
        </w:rPr>
        <w:t xml:space="preserve">ועדת </w:t>
      </w:r>
      <w:bookmarkStart w:id="34813" w:name="_ETM_Q61_679629"/>
      <w:bookmarkEnd w:id="34813"/>
      <w:r w:rsidR="00215526">
        <w:rPr>
          <w:rFonts w:hint="cs"/>
          <w:rtl/>
        </w:rPr>
        <w:t>ה</w:t>
      </w:r>
      <w:r>
        <w:rPr>
          <w:rFonts w:hint="cs"/>
          <w:rtl/>
        </w:rPr>
        <w:t xml:space="preserve">חוקה </w:t>
      </w:r>
      <w:bookmarkStart w:id="34814" w:name="_ETM_Q61_679989"/>
      <w:bookmarkEnd w:id="34814"/>
      <w:r>
        <w:rPr>
          <w:rFonts w:hint="cs"/>
          <w:rtl/>
        </w:rPr>
        <w:t xml:space="preserve">לזמן </w:t>
      </w:r>
      <w:bookmarkStart w:id="34815" w:name="_ETM_Q61_680680"/>
      <w:bookmarkEnd w:id="34815"/>
      <w:r>
        <w:rPr>
          <w:rFonts w:hint="cs"/>
          <w:rtl/>
        </w:rPr>
        <w:t xml:space="preserve">את </w:t>
      </w:r>
      <w:bookmarkStart w:id="34816" w:name="_ETM_Q61_680769"/>
      <w:bookmarkEnd w:id="34816"/>
      <w:r>
        <w:rPr>
          <w:rFonts w:hint="cs"/>
          <w:rtl/>
        </w:rPr>
        <w:t xml:space="preserve">יועמ"ש </w:t>
      </w:r>
      <w:bookmarkStart w:id="34817" w:name="_ETM_Q61_681280"/>
      <w:bookmarkEnd w:id="34817"/>
      <w:r>
        <w:rPr>
          <w:rFonts w:hint="cs"/>
          <w:rtl/>
        </w:rPr>
        <w:t xml:space="preserve">מערכת </w:t>
      </w:r>
      <w:bookmarkStart w:id="34818" w:name="_ETM_Q61_681790"/>
      <w:bookmarkEnd w:id="34818"/>
      <w:r>
        <w:rPr>
          <w:rFonts w:hint="cs"/>
          <w:rtl/>
        </w:rPr>
        <w:t xml:space="preserve">הביטחון, </w:t>
      </w:r>
      <w:bookmarkStart w:id="34819" w:name="_ETM_Q61_682360"/>
      <w:bookmarkEnd w:id="34819"/>
      <w:r>
        <w:rPr>
          <w:rFonts w:hint="cs"/>
          <w:rtl/>
        </w:rPr>
        <w:t xml:space="preserve">לזמן </w:t>
      </w:r>
      <w:bookmarkStart w:id="34820" w:name="_ETM_Q61_682930"/>
      <w:bookmarkEnd w:id="34820"/>
      <w:r>
        <w:rPr>
          <w:rFonts w:hint="cs"/>
          <w:rtl/>
        </w:rPr>
        <w:t xml:space="preserve">את </w:t>
      </w:r>
      <w:bookmarkStart w:id="34821" w:name="_ETM_Q61_683080"/>
      <w:bookmarkEnd w:id="34821"/>
      <w:r>
        <w:rPr>
          <w:rFonts w:hint="cs"/>
          <w:rtl/>
        </w:rPr>
        <w:t xml:space="preserve">הפצ"רית, </w:t>
      </w:r>
      <w:bookmarkStart w:id="34822" w:name="_ETM_Q61_684000"/>
      <w:bookmarkStart w:id="34823" w:name="_ETM_Q61_684319"/>
      <w:bookmarkEnd w:id="34822"/>
      <w:bookmarkEnd w:id="34823"/>
      <w:r>
        <w:rPr>
          <w:rFonts w:hint="cs"/>
          <w:rtl/>
        </w:rPr>
        <w:t xml:space="preserve">על מנת </w:t>
      </w:r>
      <w:bookmarkStart w:id="34824" w:name="_ETM_Q61_684790"/>
      <w:bookmarkStart w:id="34825" w:name="_ETM_Q61_685150"/>
      <w:bookmarkEnd w:id="34824"/>
      <w:bookmarkEnd w:id="34825"/>
      <w:r>
        <w:rPr>
          <w:rFonts w:hint="cs"/>
          <w:rtl/>
        </w:rPr>
        <w:t xml:space="preserve">שיוצגו </w:t>
      </w:r>
      <w:bookmarkStart w:id="34826" w:name="_ETM_Q61_685629"/>
      <w:bookmarkEnd w:id="34826"/>
      <w:r>
        <w:rPr>
          <w:rFonts w:hint="cs"/>
          <w:rtl/>
        </w:rPr>
        <w:t xml:space="preserve">ההשלכות </w:t>
      </w:r>
      <w:bookmarkStart w:id="34827" w:name="_ETM_Q61_686260"/>
      <w:bookmarkEnd w:id="34827"/>
      <w:r>
        <w:rPr>
          <w:rFonts w:hint="cs"/>
          <w:rtl/>
        </w:rPr>
        <w:t xml:space="preserve">של </w:t>
      </w:r>
      <w:bookmarkStart w:id="34828" w:name="_ETM_Q61_686439"/>
      <w:bookmarkEnd w:id="34828"/>
      <w:r>
        <w:rPr>
          <w:rFonts w:hint="cs"/>
          <w:rtl/>
        </w:rPr>
        <w:t xml:space="preserve">החקיקה </w:t>
      </w:r>
      <w:bookmarkStart w:id="34829" w:name="_ETM_Q61_687159"/>
      <w:bookmarkEnd w:id="34829"/>
      <w:r>
        <w:rPr>
          <w:rFonts w:hint="cs"/>
          <w:rtl/>
        </w:rPr>
        <w:t xml:space="preserve">הזאת – </w:t>
      </w:r>
      <w:bookmarkStart w:id="34830" w:name="_ETM_Q61_690190"/>
      <w:bookmarkEnd w:id="34830"/>
      <w:r>
        <w:rPr>
          <w:rFonts w:hint="cs"/>
          <w:rtl/>
        </w:rPr>
        <w:t xml:space="preserve">יש </w:t>
      </w:r>
      <w:bookmarkStart w:id="34831" w:name="_ETM_Q61_690430"/>
      <w:bookmarkEnd w:id="34831"/>
      <w:r>
        <w:rPr>
          <w:rFonts w:hint="cs"/>
          <w:rtl/>
        </w:rPr>
        <w:t xml:space="preserve">לכך </w:t>
      </w:r>
      <w:bookmarkStart w:id="34832" w:name="_ETM_Q61_690730"/>
      <w:bookmarkEnd w:id="34832"/>
      <w:r>
        <w:rPr>
          <w:rFonts w:hint="cs"/>
          <w:rtl/>
        </w:rPr>
        <w:t xml:space="preserve">השלכות </w:t>
      </w:r>
      <w:bookmarkStart w:id="34833" w:name="_ETM_Q61_691330"/>
      <w:bookmarkEnd w:id="34833"/>
      <w:r>
        <w:rPr>
          <w:rFonts w:hint="cs"/>
          <w:rtl/>
        </w:rPr>
        <w:t xml:space="preserve">על </w:t>
      </w:r>
      <w:bookmarkStart w:id="34834" w:name="_ETM_Q61_691450"/>
      <w:bookmarkEnd w:id="34834"/>
      <w:r>
        <w:rPr>
          <w:rFonts w:hint="cs"/>
          <w:rtl/>
        </w:rPr>
        <w:t xml:space="preserve">צה"ל, </w:t>
      </w:r>
      <w:bookmarkStart w:id="34835" w:name="_ETM_Q61_691900"/>
      <w:bookmarkEnd w:id="34835"/>
      <w:r>
        <w:rPr>
          <w:rFonts w:hint="cs"/>
          <w:rtl/>
        </w:rPr>
        <w:t xml:space="preserve">השלכות </w:t>
      </w:r>
      <w:bookmarkStart w:id="34836" w:name="_ETM_Q61_692410"/>
      <w:bookmarkEnd w:id="34836"/>
      <w:r>
        <w:rPr>
          <w:rFonts w:hint="cs"/>
          <w:rtl/>
        </w:rPr>
        <w:t xml:space="preserve">על </w:t>
      </w:r>
      <w:bookmarkStart w:id="34837" w:name="_ETM_Q61_692530"/>
      <w:bookmarkEnd w:id="34837"/>
      <w:r>
        <w:rPr>
          <w:rFonts w:hint="cs"/>
          <w:rtl/>
        </w:rPr>
        <w:t xml:space="preserve">המשרתים – </w:t>
      </w:r>
      <w:bookmarkStart w:id="34838" w:name="_ETM_Q61_693670"/>
      <w:bookmarkEnd w:id="34838"/>
      <w:r>
        <w:rPr>
          <w:rFonts w:hint="cs"/>
          <w:rtl/>
        </w:rPr>
        <w:t xml:space="preserve">עד </w:t>
      </w:r>
      <w:bookmarkStart w:id="34839" w:name="_ETM_Q61_694059"/>
      <w:bookmarkEnd w:id="34839"/>
      <w:r>
        <w:rPr>
          <w:rFonts w:hint="cs"/>
          <w:rtl/>
        </w:rPr>
        <w:t xml:space="preserve">לרגע </w:t>
      </w:r>
      <w:bookmarkStart w:id="34840" w:name="_ETM_Q61_694540"/>
      <w:bookmarkEnd w:id="34840"/>
      <w:r>
        <w:rPr>
          <w:rFonts w:hint="cs"/>
          <w:rtl/>
        </w:rPr>
        <w:t xml:space="preserve">הזה </w:t>
      </w:r>
      <w:bookmarkStart w:id="34841" w:name="_ETM_Q61_695020"/>
      <w:bookmarkEnd w:id="34841"/>
      <w:r>
        <w:rPr>
          <w:rFonts w:hint="cs"/>
          <w:rtl/>
        </w:rPr>
        <w:t xml:space="preserve">הנושא </w:t>
      </w:r>
      <w:bookmarkStart w:id="34842" w:name="_ETM_Q61_695559"/>
      <w:bookmarkEnd w:id="34842"/>
      <w:r>
        <w:rPr>
          <w:rFonts w:hint="cs"/>
          <w:rtl/>
        </w:rPr>
        <w:t xml:space="preserve">לא </w:t>
      </w:r>
      <w:bookmarkStart w:id="34843" w:name="_ETM_Q61_695679"/>
      <w:bookmarkEnd w:id="34843"/>
      <w:r>
        <w:rPr>
          <w:rFonts w:hint="cs"/>
          <w:rtl/>
        </w:rPr>
        <w:t xml:space="preserve">נדון; </w:t>
      </w:r>
      <w:bookmarkStart w:id="34844" w:name="_ETM_Q61_696559"/>
      <w:bookmarkEnd w:id="34844"/>
      <w:r>
        <w:rPr>
          <w:rFonts w:hint="cs"/>
          <w:rtl/>
        </w:rPr>
        <w:t xml:space="preserve">עד </w:t>
      </w:r>
      <w:bookmarkStart w:id="34845" w:name="_ETM_Q61_696980"/>
      <w:bookmarkEnd w:id="34845"/>
      <w:r>
        <w:rPr>
          <w:rFonts w:hint="cs"/>
          <w:rtl/>
        </w:rPr>
        <w:t xml:space="preserve">לרגע </w:t>
      </w:r>
      <w:bookmarkStart w:id="34846" w:name="_ETM_Q61_697400"/>
      <w:bookmarkEnd w:id="34846"/>
      <w:r>
        <w:rPr>
          <w:rFonts w:hint="cs"/>
          <w:rtl/>
        </w:rPr>
        <w:t xml:space="preserve">הזה </w:t>
      </w:r>
      <w:bookmarkStart w:id="34847" w:name="_ETM_Q61_697580"/>
      <w:bookmarkEnd w:id="34847"/>
      <w:r>
        <w:rPr>
          <w:rFonts w:hint="cs"/>
          <w:rtl/>
        </w:rPr>
        <w:t xml:space="preserve">אנחנו </w:t>
      </w:r>
      <w:bookmarkStart w:id="34848" w:name="_ETM_Q61_697910"/>
      <w:bookmarkEnd w:id="34848"/>
      <w:r>
        <w:rPr>
          <w:rFonts w:hint="cs"/>
          <w:rtl/>
        </w:rPr>
        <w:t xml:space="preserve">לא </w:t>
      </w:r>
      <w:bookmarkStart w:id="34849" w:name="_ETM_Q61_698000"/>
      <w:bookmarkEnd w:id="34849"/>
      <w:r>
        <w:rPr>
          <w:rFonts w:hint="cs"/>
          <w:rtl/>
        </w:rPr>
        <w:t xml:space="preserve">יודעים </w:t>
      </w:r>
      <w:bookmarkStart w:id="34850" w:name="_ETM_Q61_698330"/>
      <w:bookmarkEnd w:id="34850"/>
      <w:r>
        <w:rPr>
          <w:rFonts w:hint="cs"/>
          <w:rtl/>
        </w:rPr>
        <w:t xml:space="preserve">מה </w:t>
      </w:r>
      <w:bookmarkStart w:id="34851" w:name="_ETM_Q61_698450"/>
      <w:bookmarkEnd w:id="34851"/>
      <w:r>
        <w:rPr>
          <w:rFonts w:hint="cs"/>
          <w:rtl/>
        </w:rPr>
        <w:t xml:space="preserve">ההשלכות </w:t>
      </w:r>
      <w:bookmarkStart w:id="34852" w:name="_ETM_Q61_698900"/>
      <w:bookmarkEnd w:id="34852"/>
      <w:r>
        <w:rPr>
          <w:rFonts w:hint="cs"/>
          <w:rtl/>
        </w:rPr>
        <w:t xml:space="preserve">של </w:t>
      </w:r>
      <w:bookmarkStart w:id="34853" w:name="_ETM_Q61_699080"/>
      <w:bookmarkEnd w:id="34853"/>
      <w:r>
        <w:rPr>
          <w:rFonts w:hint="cs"/>
          <w:rtl/>
        </w:rPr>
        <w:t xml:space="preserve">החקיקה </w:t>
      </w:r>
      <w:bookmarkStart w:id="34854" w:name="_ETM_Q61_699590"/>
      <w:bookmarkEnd w:id="34854"/>
      <w:r>
        <w:rPr>
          <w:rFonts w:hint="cs"/>
          <w:rtl/>
        </w:rPr>
        <w:t xml:space="preserve">ההרסנית, </w:t>
      </w:r>
      <w:bookmarkStart w:id="34855" w:name="_ETM_Q61_700130"/>
      <w:bookmarkEnd w:id="34855"/>
      <w:r>
        <w:rPr>
          <w:rFonts w:hint="cs"/>
          <w:rtl/>
        </w:rPr>
        <w:t>הבלתי</w:t>
      </w:r>
      <w:bookmarkStart w:id="34856" w:name="_ETM_Q61_700520"/>
      <w:bookmarkEnd w:id="34856"/>
      <w:r w:rsidR="00215526">
        <w:rPr>
          <w:rFonts w:hint="cs"/>
          <w:rtl/>
        </w:rPr>
        <w:t>-</w:t>
      </w:r>
      <w:r>
        <w:rPr>
          <w:rFonts w:hint="cs"/>
          <w:rtl/>
        </w:rPr>
        <w:t xml:space="preserve">סבירה </w:t>
      </w:r>
      <w:bookmarkStart w:id="34857" w:name="_ETM_Q61_700940"/>
      <w:bookmarkEnd w:id="34857"/>
      <w:r>
        <w:rPr>
          <w:rFonts w:hint="cs"/>
          <w:rtl/>
        </w:rPr>
        <w:t xml:space="preserve">הזאת, </w:t>
      </w:r>
      <w:bookmarkStart w:id="34858" w:name="_ETM_Q61_701209"/>
      <w:bookmarkEnd w:id="34858"/>
      <w:r>
        <w:rPr>
          <w:rFonts w:hint="cs"/>
          <w:rtl/>
        </w:rPr>
        <w:t xml:space="preserve">על </w:t>
      </w:r>
      <w:bookmarkStart w:id="34859" w:name="_ETM_Q61_701330"/>
      <w:bookmarkEnd w:id="34859"/>
      <w:r>
        <w:rPr>
          <w:rFonts w:hint="cs"/>
          <w:rtl/>
        </w:rPr>
        <w:t xml:space="preserve">צה"ל. </w:t>
      </w:r>
      <w:bookmarkStart w:id="34860" w:name="_ETM_Q61_702260"/>
      <w:bookmarkEnd w:id="34860"/>
      <w:r>
        <w:rPr>
          <w:rFonts w:hint="cs"/>
          <w:rtl/>
        </w:rPr>
        <w:t xml:space="preserve">ככה </w:t>
      </w:r>
      <w:bookmarkStart w:id="34861" w:name="_ETM_Q61_702620"/>
      <w:bookmarkEnd w:id="34861"/>
      <w:r>
        <w:rPr>
          <w:rFonts w:hint="cs"/>
          <w:rtl/>
        </w:rPr>
        <w:t xml:space="preserve">מעבירים </w:t>
      </w:r>
      <w:bookmarkStart w:id="34862" w:name="_ETM_Q61_703130"/>
      <w:bookmarkEnd w:id="34862"/>
      <w:r>
        <w:rPr>
          <w:rFonts w:hint="cs"/>
          <w:rtl/>
        </w:rPr>
        <w:t xml:space="preserve">חקיקה </w:t>
      </w:r>
      <w:bookmarkStart w:id="34863" w:name="_ETM_Q61_703580"/>
      <w:bookmarkEnd w:id="34863"/>
      <w:r>
        <w:rPr>
          <w:rFonts w:hint="cs"/>
          <w:rtl/>
        </w:rPr>
        <w:t xml:space="preserve">בממשלת </w:t>
      </w:r>
      <w:bookmarkStart w:id="34864" w:name="_ETM_Q61_704179"/>
      <w:bookmarkEnd w:id="34864"/>
      <w:r>
        <w:rPr>
          <w:rFonts w:hint="cs"/>
          <w:rtl/>
        </w:rPr>
        <w:t xml:space="preserve">ישראל? </w:t>
      </w:r>
      <w:bookmarkStart w:id="34865" w:name="_ETM_Q61_704610"/>
      <w:bookmarkStart w:id="34866" w:name="_ETM_Q61_710559"/>
      <w:bookmarkEnd w:id="34865"/>
      <w:bookmarkEnd w:id="34866"/>
      <w:r>
        <w:rPr>
          <w:rFonts w:hint="cs"/>
          <w:rtl/>
        </w:rPr>
        <w:t xml:space="preserve">ממשלה </w:t>
      </w:r>
      <w:bookmarkStart w:id="34867" w:name="_ETM_Q61_711190"/>
      <w:bookmarkEnd w:id="34867"/>
      <w:r>
        <w:rPr>
          <w:rFonts w:hint="cs"/>
          <w:rtl/>
        </w:rPr>
        <w:t xml:space="preserve">שמפנה </w:t>
      </w:r>
      <w:bookmarkStart w:id="34868" w:name="_ETM_Q61_711730"/>
      <w:bookmarkEnd w:id="34868"/>
      <w:r>
        <w:rPr>
          <w:rFonts w:hint="cs"/>
          <w:rtl/>
        </w:rPr>
        <w:t xml:space="preserve">עורף </w:t>
      </w:r>
      <w:bookmarkStart w:id="34869" w:name="_ETM_Q61_712030"/>
      <w:bookmarkEnd w:id="34869"/>
      <w:r>
        <w:rPr>
          <w:rFonts w:hint="cs"/>
          <w:rtl/>
        </w:rPr>
        <w:t xml:space="preserve">ללוחמיה, </w:t>
      </w:r>
      <w:bookmarkStart w:id="34870" w:name="_ETM_Q61_712690"/>
      <w:bookmarkEnd w:id="34870"/>
      <w:r>
        <w:rPr>
          <w:rFonts w:hint="cs"/>
          <w:rtl/>
        </w:rPr>
        <w:t>לטובי בניה</w:t>
      </w:r>
      <w:bookmarkStart w:id="34871" w:name="_ETM_Q61_713140"/>
      <w:bookmarkEnd w:id="34871"/>
      <w:r>
        <w:rPr>
          <w:rFonts w:hint="cs"/>
          <w:rtl/>
        </w:rPr>
        <w:t>,</w:t>
      </w:r>
      <w:bookmarkStart w:id="34872" w:name="_ETM_Q61_713980"/>
      <w:bookmarkEnd w:id="34872"/>
      <w:r>
        <w:rPr>
          <w:rFonts w:hint="cs"/>
          <w:rtl/>
        </w:rPr>
        <w:t xml:space="preserve"> </w:t>
      </w:r>
      <w:bookmarkStart w:id="34873" w:name="_ETM_Q61_710000"/>
      <w:bookmarkEnd w:id="34873"/>
      <w:r>
        <w:rPr>
          <w:rFonts w:hint="cs"/>
          <w:rtl/>
        </w:rPr>
        <w:t xml:space="preserve">לאלו </w:t>
      </w:r>
      <w:bookmarkStart w:id="34874" w:name="_ETM_Q61_714309"/>
      <w:bookmarkEnd w:id="34874"/>
      <w:r>
        <w:rPr>
          <w:rFonts w:hint="cs"/>
          <w:rtl/>
        </w:rPr>
        <w:t xml:space="preserve">שמסרו </w:t>
      </w:r>
      <w:bookmarkStart w:id="34875" w:name="_ETM_Q61_714879"/>
      <w:bookmarkEnd w:id="34875"/>
      <w:r>
        <w:rPr>
          <w:rFonts w:hint="cs"/>
          <w:rtl/>
        </w:rPr>
        <w:t xml:space="preserve">נפשם </w:t>
      </w:r>
      <w:bookmarkStart w:id="34876" w:name="_ETM_Q61_715329"/>
      <w:bookmarkEnd w:id="34876"/>
      <w:r>
        <w:rPr>
          <w:rFonts w:hint="cs"/>
          <w:rtl/>
        </w:rPr>
        <w:t>למענה</w:t>
      </w:r>
      <w:bookmarkStart w:id="34877" w:name="_ETM_Q61_716079"/>
      <w:bookmarkStart w:id="34878" w:name="_ETM_Q61_718040"/>
      <w:bookmarkStart w:id="34879" w:name="_ETM_Q61_718370"/>
      <w:bookmarkStart w:id="34880" w:name="_ETM_Q61_718549"/>
      <w:bookmarkEnd w:id="34877"/>
      <w:bookmarkEnd w:id="34878"/>
      <w:bookmarkEnd w:id="34879"/>
      <w:bookmarkEnd w:id="34880"/>
      <w:r>
        <w:rPr>
          <w:rFonts w:hint="cs"/>
          <w:rtl/>
        </w:rPr>
        <w:t xml:space="preserve"> – זוהי הפרת </w:t>
      </w:r>
      <w:bookmarkStart w:id="34881" w:name="_ETM_Q61_718969"/>
      <w:bookmarkEnd w:id="34881"/>
      <w:r>
        <w:rPr>
          <w:rFonts w:hint="cs"/>
          <w:rtl/>
        </w:rPr>
        <w:t>חוזה, זוהי הפרת</w:t>
      </w:r>
      <w:bookmarkStart w:id="34882" w:name="_ETM_Q61_719719"/>
      <w:bookmarkStart w:id="34883" w:name="_ETM_Q61_719900"/>
      <w:bookmarkStart w:id="34884" w:name="_ETM_Q61_720019"/>
      <w:bookmarkEnd w:id="34882"/>
      <w:bookmarkEnd w:id="34883"/>
      <w:bookmarkEnd w:id="34884"/>
      <w:r>
        <w:rPr>
          <w:rFonts w:hint="cs"/>
          <w:rtl/>
        </w:rPr>
        <w:t xml:space="preserve"> </w:t>
      </w:r>
      <w:bookmarkStart w:id="34885" w:name="_ETM_Q61_720409"/>
      <w:bookmarkEnd w:id="34885"/>
      <w:r>
        <w:rPr>
          <w:rFonts w:hint="cs"/>
          <w:rtl/>
        </w:rPr>
        <w:t xml:space="preserve">חוזה </w:t>
      </w:r>
      <w:bookmarkStart w:id="34886" w:name="_ETM_Q61_720739"/>
      <w:bookmarkEnd w:id="34886"/>
      <w:r>
        <w:rPr>
          <w:rFonts w:hint="cs"/>
          <w:rtl/>
        </w:rPr>
        <w:t xml:space="preserve">מול </w:t>
      </w:r>
      <w:bookmarkStart w:id="34887" w:name="_ETM_Q61_720919"/>
      <w:bookmarkEnd w:id="34887"/>
      <w:r>
        <w:rPr>
          <w:rFonts w:hint="cs"/>
          <w:rtl/>
        </w:rPr>
        <w:t xml:space="preserve">המשרתים </w:t>
      </w:r>
      <w:bookmarkStart w:id="34888" w:name="_ETM_Q61_721429"/>
      <w:bookmarkEnd w:id="34888"/>
      <w:r>
        <w:rPr>
          <w:rFonts w:hint="cs"/>
          <w:rtl/>
        </w:rPr>
        <w:t xml:space="preserve">בצה"ל, ואין </w:t>
      </w:r>
      <w:bookmarkStart w:id="34889" w:name="_ETM_Q61_722389"/>
      <w:bookmarkEnd w:id="34889"/>
      <w:r>
        <w:rPr>
          <w:rFonts w:hint="cs"/>
          <w:rtl/>
        </w:rPr>
        <w:t xml:space="preserve">לממשלה </w:t>
      </w:r>
      <w:bookmarkStart w:id="34890" w:name="_ETM_Q61_723599"/>
      <w:bookmarkEnd w:id="34890"/>
      <w:r>
        <w:rPr>
          <w:rFonts w:hint="cs"/>
          <w:rtl/>
        </w:rPr>
        <w:t xml:space="preserve">הזו </w:t>
      </w:r>
      <w:bookmarkStart w:id="34891" w:name="_ETM_Q61_723900"/>
      <w:bookmarkEnd w:id="34891"/>
      <w:r>
        <w:rPr>
          <w:rFonts w:hint="cs"/>
          <w:rtl/>
        </w:rPr>
        <w:t xml:space="preserve">על </w:t>
      </w:r>
      <w:bookmarkStart w:id="34892" w:name="_ETM_Q61_724020"/>
      <w:bookmarkEnd w:id="34892"/>
      <w:r>
        <w:rPr>
          <w:rFonts w:hint="cs"/>
          <w:rtl/>
        </w:rPr>
        <w:t xml:space="preserve">מי </w:t>
      </w:r>
      <w:bookmarkStart w:id="34893" w:name="_ETM_Q61_724200"/>
      <w:bookmarkEnd w:id="34893"/>
      <w:r>
        <w:rPr>
          <w:rFonts w:hint="cs"/>
          <w:rtl/>
        </w:rPr>
        <w:t xml:space="preserve">להלין </w:t>
      </w:r>
      <w:bookmarkStart w:id="34894" w:name="_ETM_Q61_724739"/>
      <w:bookmarkEnd w:id="34894"/>
      <w:r>
        <w:rPr>
          <w:rFonts w:hint="cs"/>
          <w:rtl/>
        </w:rPr>
        <w:t xml:space="preserve">אלא </w:t>
      </w:r>
      <w:bookmarkStart w:id="34895" w:name="_ETM_Q61_720000"/>
      <w:bookmarkEnd w:id="34895"/>
      <w:r>
        <w:rPr>
          <w:rFonts w:hint="cs"/>
          <w:rtl/>
        </w:rPr>
        <w:t xml:space="preserve">על </w:t>
      </w:r>
      <w:bookmarkStart w:id="34896" w:name="_ETM_Q61_724890"/>
      <w:bookmarkEnd w:id="34896"/>
      <w:r>
        <w:rPr>
          <w:rFonts w:hint="cs"/>
          <w:rtl/>
        </w:rPr>
        <w:t xml:space="preserve">עצמה. </w:t>
      </w:r>
      <w:bookmarkStart w:id="34897" w:name="_ETM_Q61_729059"/>
      <w:bookmarkEnd w:id="34897"/>
    </w:p>
    <w:p w:rsidR="00BB59CD" w:rsidRDefault="00BB59CD" w:rsidP="00BB59CD">
      <w:pPr>
        <w:rPr>
          <w:rtl/>
        </w:rPr>
      </w:pPr>
    </w:p>
    <w:p w:rsidR="00BB59CD" w:rsidRDefault="00BB59CD" w:rsidP="00215526">
      <w:pPr>
        <w:rPr>
          <w:rtl/>
        </w:rPr>
      </w:pPr>
      <w:bookmarkStart w:id="34898" w:name="_ETM_Q61_737000"/>
      <w:bookmarkEnd w:id="34898"/>
      <w:r>
        <w:rPr>
          <w:rFonts w:hint="cs"/>
          <w:rtl/>
        </w:rPr>
        <w:t xml:space="preserve">ואם </w:t>
      </w:r>
      <w:bookmarkStart w:id="34899" w:name="_ETM_Q61_729359"/>
      <w:bookmarkEnd w:id="34899"/>
      <w:r>
        <w:rPr>
          <w:rFonts w:hint="cs"/>
          <w:rtl/>
        </w:rPr>
        <w:t xml:space="preserve">לא </w:t>
      </w:r>
      <w:bookmarkStart w:id="34900" w:name="_ETM_Q61_729599"/>
      <w:bookmarkEnd w:id="34900"/>
      <w:r>
        <w:rPr>
          <w:rFonts w:hint="cs"/>
          <w:rtl/>
        </w:rPr>
        <w:t xml:space="preserve">די </w:t>
      </w:r>
      <w:bookmarkStart w:id="34901" w:name="_ETM_Q61_729870"/>
      <w:bookmarkEnd w:id="34901"/>
      <w:r>
        <w:rPr>
          <w:rFonts w:hint="cs"/>
          <w:rtl/>
        </w:rPr>
        <w:t xml:space="preserve">בכך, </w:t>
      </w:r>
      <w:bookmarkStart w:id="34902" w:name="_ETM_Q61_733559"/>
      <w:bookmarkEnd w:id="34902"/>
      <w:r>
        <w:rPr>
          <w:rFonts w:hint="cs"/>
          <w:rtl/>
        </w:rPr>
        <w:t xml:space="preserve">זו ממשלה </w:t>
      </w:r>
      <w:bookmarkStart w:id="34903" w:name="_ETM_Q61_734099"/>
      <w:bookmarkEnd w:id="34903"/>
      <w:r>
        <w:rPr>
          <w:rFonts w:hint="cs"/>
          <w:rtl/>
        </w:rPr>
        <w:t xml:space="preserve">שפוגעת </w:t>
      </w:r>
      <w:bookmarkStart w:id="34904" w:name="_ETM_Q61_735120"/>
      <w:bookmarkEnd w:id="34904"/>
      <w:r>
        <w:rPr>
          <w:rFonts w:hint="cs"/>
          <w:rtl/>
        </w:rPr>
        <w:t xml:space="preserve">במשרתים </w:t>
      </w:r>
      <w:bookmarkStart w:id="34905" w:name="_ETM_Q61_737809"/>
      <w:bookmarkEnd w:id="34905"/>
      <w:r>
        <w:rPr>
          <w:rFonts w:hint="cs"/>
          <w:rtl/>
        </w:rPr>
        <w:t xml:space="preserve">ובפועל </w:t>
      </w:r>
      <w:bookmarkStart w:id="34906" w:name="_ETM_Q61_738530"/>
      <w:bookmarkEnd w:id="34906"/>
      <w:r>
        <w:rPr>
          <w:rFonts w:hint="cs"/>
          <w:rtl/>
        </w:rPr>
        <w:t xml:space="preserve">מכשירה </w:t>
      </w:r>
      <w:bookmarkStart w:id="34907" w:name="_ETM_Q61_739100"/>
      <w:bookmarkEnd w:id="34907"/>
      <w:r>
        <w:rPr>
          <w:rFonts w:hint="cs"/>
          <w:rtl/>
        </w:rPr>
        <w:t xml:space="preserve">השתמטות </w:t>
      </w:r>
      <w:bookmarkStart w:id="34908" w:name="_ETM_Q61_739820"/>
      <w:bookmarkEnd w:id="34908"/>
      <w:r>
        <w:rPr>
          <w:rFonts w:hint="cs"/>
          <w:rtl/>
        </w:rPr>
        <w:t xml:space="preserve">בחסות </w:t>
      </w:r>
      <w:bookmarkStart w:id="34909" w:name="_ETM_Q61_740450"/>
      <w:bookmarkEnd w:id="34909"/>
      <w:r>
        <w:rPr>
          <w:rFonts w:hint="cs"/>
          <w:rtl/>
        </w:rPr>
        <w:t xml:space="preserve">החוק. </w:t>
      </w:r>
      <w:bookmarkStart w:id="34910" w:name="_ETM_Q61_741800"/>
      <w:bookmarkEnd w:id="34910"/>
      <w:r>
        <w:rPr>
          <w:rFonts w:hint="cs"/>
          <w:rtl/>
        </w:rPr>
        <w:t xml:space="preserve">אני </w:t>
      </w:r>
      <w:bookmarkStart w:id="34911" w:name="_ETM_Q61_742039"/>
      <w:bookmarkEnd w:id="34911"/>
      <w:r>
        <w:rPr>
          <w:rFonts w:hint="cs"/>
          <w:rtl/>
        </w:rPr>
        <w:t xml:space="preserve">מזכירה </w:t>
      </w:r>
      <w:bookmarkStart w:id="34912" w:name="_ETM_Q61_742520"/>
      <w:bookmarkEnd w:id="34912"/>
      <w:r>
        <w:rPr>
          <w:rFonts w:hint="cs"/>
          <w:rtl/>
        </w:rPr>
        <w:t xml:space="preserve">לכולם שב-25 </w:t>
      </w:r>
      <w:bookmarkStart w:id="34913" w:name="_ETM_Q61_743990"/>
      <w:bookmarkStart w:id="34914" w:name="_ETM_Q61_744935"/>
      <w:bookmarkEnd w:id="34913"/>
      <w:bookmarkEnd w:id="34914"/>
      <w:r>
        <w:rPr>
          <w:rFonts w:hint="cs"/>
          <w:rtl/>
        </w:rPr>
        <w:t xml:space="preserve">ביוני </w:t>
      </w:r>
      <w:bookmarkStart w:id="34915" w:name="_ETM_Q61_746120"/>
      <w:bookmarkEnd w:id="34915"/>
      <w:r>
        <w:rPr>
          <w:rFonts w:hint="cs"/>
          <w:rtl/>
        </w:rPr>
        <w:t xml:space="preserve">עברה </w:t>
      </w:r>
      <w:bookmarkStart w:id="34916" w:name="_ETM_Q61_746510"/>
      <w:bookmarkEnd w:id="34916"/>
      <w:r>
        <w:rPr>
          <w:rFonts w:hint="cs"/>
          <w:rtl/>
        </w:rPr>
        <w:t xml:space="preserve">פה </w:t>
      </w:r>
      <w:bookmarkStart w:id="34917" w:name="_ETM_Q61_746690"/>
      <w:bookmarkEnd w:id="34917"/>
      <w:r>
        <w:rPr>
          <w:rFonts w:hint="cs"/>
          <w:rtl/>
        </w:rPr>
        <w:t xml:space="preserve">החלטה, </w:t>
      </w:r>
      <w:bookmarkStart w:id="34918" w:name="_ETM_Q61_747530"/>
      <w:bookmarkEnd w:id="34918"/>
      <w:r>
        <w:rPr>
          <w:rFonts w:hint="cs"/>
          <w:rtl/>
        </w:rPr>
        <w:t xml:space="preserve">החלטה </w:t>
      </w:r>
      <w:bookmarkStart w:id="34919" w:name="_ETM_Q61_748040"/>
      <w:bookmarkEnd w:id="34919"/>
      <w:r>
        <w:rPr>
          <w:rFonts w:hint="cs"/>
          <w:rtl/>
        </w:rPr>
        <w:t>862</w:t>
      </w:r>
      <w:bookmarkStart w:id="34920" w:name="_ETM_Q61_749155"/>
      <w:bookmarkEnd w:id="34920"/>
      <w:r>
        <w:rPr>
          <w:rFonts w:hint="cs"/>
          <w:rtl/>
        </w:rPr>
        <w:t>, שהעברת</w:t>
      </w:r>
      <w:bookmarkStart w:id="34921" w:name="_ETM_Q61_750300"/>
      <w:bookmarkEnd w:id="34921"/>
      <w:r>
        <w:rPr>
          <w:rFonts w:hint="cs"/>
          <w:rtl/>
        </w:rPr>
        <w:t xml:space="preserve">ם אותה </w:t>
      </w:r>
      <w:bookmarkStart w:id="34922" w:name="_ETM_Q61_750510"/>
      <w:bookmarkEnd w:id="34922"/>
      <w:r>
        <w:rPr>
          <w:rFonts w:hint="cs"/>
          <w:rtl/>
        </w:rPr>
        <w:t xml:space="preserve">במסגרת </w:t>
      </w:r>
      <w:bookmarkStart w:id="34923" w:name="_ETM_Q61_751050"/>
      <w:bookmarkEnd w:id="34923"/>
      <w:r>
        <w:rPr>
          <w:rFonts w:hint="cs"/>
          <w:rtl/>
        </w:rPr>
        <w:t xml:space="preserve">החלטת </w:t>
      </w:r>
      <w:bookmarkStart w:id="34924" w:name="_ETM_Q61_751470"/>
      <w:bookmarkEnd w:id="34924"/>
      <w:r>
        <w:rPr>
          <w:rFonts w:hint="cs"/>
          <w:rtl/>
        </w:rPr>
        <w:t xml:space="preserve">ממשלה. </w:t>
      </w:r>
      <w:bookmarkStart w:id="34925" w:name="_ETM_Q61_753240"/>
      <w:bookmarkEnd w:id="34925"/>
      <w:r>
        <w:rPr>
          <w:rFonts w:hint="cs"/>
          <w:rtl/>
        </w:rPr>
        <w:t xml:space="preserve">זוהי </w:t>
      </w:r>
      <w:bookmarkStart w:id="34926" w:name="_ETM_Q61_753510"/>
      <w:bookmarkEnd w:id="34926"/>
      <w:r>
        <w:rPr>
          <w:rFonts w:hint="cs"/>
          <w:rtl/>
        </w:rPr>
        <w:t xml:space="preserve">החלטה </w:t>
      </w:r>
      <w:bookmarkStart w:id="34927" w:name="_ETM_Q61_753929"/>
      <w:bookmarkEnd w:id="34927"/>
      <w:r>
        <w:rPr>
          <w:rFonts w:hint="cs"/>
          <w:rtl/>
        </w:rPr>
        <w:t xml:space="preserve">בזויה, </w:t>
      </w:r>
      <w:bookmarkStart w:id="34928" w:name="_ETM_Q61_755140"/>
      <w:bookmarkEnd w:id="34928"/>
      <w:r>
        <w:rPr>
          <w:rFonts w:hint="cs"/>
          <w:rtl/>
        </w:rPr>
        <w:t xml:space="preserve">שמנחה </w:t>
      </w:r>
      <w:bookmarkStart w:id="34929" w:name="_ETM_Q61_755680"/>
      <w:bookmarkEnd w:id="34929"/>
      <w:r>
        <w:rPr>
          <w:rFonts w:hint="cs"/>
          <w:rtl/>
        </w:rPr>
        <w:t xml:space="preserve">את </w:t>
      </w:r>
      <w:bookmarkStart w:id="34930" w:name="_ETM_Q61_755770"/>
      <w:bookmarkEnd w:id="34930"/>
      <w:r>
        <w:rPr>
          <w:rFonts w:hint="cs"/>
          <w:rtl/>
        </w:rPr>
        <w:t xml:space="preserve">שר </w:t>
      </w:r>
      <w:bookmarkStart w:id="34931" w:name="_ETM_Q61_756010"/>
      <w:bookmarkEnd w:id="34931"/>
      <w:r>
        <w:rPr>
          <w:rFonts w:hint="cs"/>
          <w:rtl/>
        </w:rPr>
        <w:t xml:space="preserve">הביטחון </w:t>
      </w:r>
      <w:bookmarkStart w:id="34932" w:name="_ETM_Q61_756520"/>
      <w:bookmarkStart w:id="34933" w:name="_ETM_Q61_756940"/>
      <w:bookmarkEnd w:id="34932"/>
      <w:bookmarkEnd w:id="34933"/>
      <w:r>
        <w:rPr>
          <w:rFonts w:hint="cs"/>
          <w:rtl/>
        </w:rPr>
        <w:t xml:space="preserve">לפטור </w:t>
      </w:r>
      <w:bookmarkStart w:id="34934" w:name="_ETM_Q61_757390"/>
      <w:bookmarkEnd w:id="34934"/>
      <w:r>
        <w:rPr>
          <w:rFonts w:hint="cs"/>
          <w:rtl/>
        </w:rPr>
        <w:t xml:space="preserve">מגיוס </w:t>
      </w:r>
      <w:bookmarkStart w:id="34935" w:name="_ETM_Q61_757840"/>
      <w:bookmarkEnd w:id="34935"/>
      <w:r>
        <w:rPr>
          <w:rFonts w:hint="cs"/>
          <w:rtl/>
        </w:rPr>
        <w:t xml:space="preserve">מגזר </w:t>
      </w:r>
      <w:bookmarkStart w:id="34936" w:name="_ETM_Q61_758290"/>
      <w:bookmarkEnd w:id="34936"/>
      <w:r>
        <w:rPr>
          <w:rFonts w:hint="cs"/>
          <w:rtl/>
        </w:rPr>
        <w:t xml:space="preserve">שלם </w:t>
      </w:r>
      <w:bookmarkStart w:id="34937" w:name="_ETM_Q61_759210"/>
      <w:bookmarkEnd w:id="34937"/>
      <w:r>
        <w:rPr>
          <w:rFonts w:hint="cs"/>
          <w:rtl/>
        </w:rPr>
        <w:t xml:space="preserve">ובעצם </w:t>
      </w:r>
      <w:bookmarkStart w:id="34938" w:name="_ETM_Q61_759960"/>
      <w:bookmarkEnd w:id="34938"/>
      <w:r>
        <w:rPr>
          <w:rFonts w:hint="cs"/>
          <w:rtl/>
        </w:rPr>
        <w:t xml:space="preserve">מכשירה </w:t>
      </w:r>
      <w:bookmarkStart w:id="34939" w:name="_ETM_Q61_760529"/>
      <w:bookmarkEnd w:id="34939"/>
      <w:r>
        <w:rPr>
          <w:rFonts w:hint="cs"/>
          <w:rtl/>
        </w:rPr>
        <w:t xml:space="preserve">באופן </w:t>
      </w:r>
      <w:bookmarkStart w:id="34940" w:name="_ETM_Q61_761099"/>
      <w:bookmarkEnd w:id="34940"/>
      <w:r>
        <w:rPr>
          <w:rFonts w:hint="cs"/>
          <w:rtl/>
        </w:rPr>
        <w:t>רשמי</w:t>
      </w:r>
      <w:bookmarkStart w:id="34941" w:name="_ETM_Q61_761509"/>
      <w:bookmarkEnd w:id="34941"/>
      <w:r>
        <w:rPr>
          <w:rFonts w:hint="cs"/>
          <w:rtl/>
        </w:rPr>
        <w:t xml:space="preserve">, </w:t>
      </w:r>
      <w:bookmarkStart w:id="34942" w:name="_ETM_Q61_761659"/>
      <w:bookmarkEnd w:id="34942"/>
      <w:r>
        <w:rPr>
          <w:rFonts w:hint="cs"/>
          <w:rtl/>
        </w:rPr>
        <w:t xml:space="preserve">מלבינה, </w:t>
      </w:r>
      <w:bookmarkStart w:id="34943" w:name="_ETM_Q61_763319"/>
      <w:bookmarkEnd w:id="34943"/>
      <w:r>
        <w:rPr>
          <w:rFonts w:hint="cs"/>
          <w:rtl/>
        </w:rPr>
        <w:t xml:space="preserve">סרבנות </w:t>
      </w:r>
      <w:bookmarkStart w:id="34944" w:name="_ETM_Q61_764009"/>
      <w:bookmarkEnd w:id="34944"/>
      <w:r>
        <w:rPr>
          <w:rFonts w:hint="cs"/>
          <w:rtl/>
        </w:rPr>
        <w:t xml:space="preserve">של </w:t>
      </w:r>
      <w:bookmarkStart w:id="34945" w:name="_ETM_Q61_764129"/>
      <w:bookmarkEnd w:id="34945"/>
      <w:r>
        <w:rPr>
          <w:rFonts w:hint="cs"/>
          <w:rtl/>
        </w:rPr>
        <w:t xml:space="preserve">170,000 </w:t>
      </w:r>
      <w:bookmarkStart w:id="34946" w:name="_ETM_Q61_765030"/>
      <w:bookmarkEnd w:id="34946"/>
      <w:r>
        <w:rPr>
          <w:rFonts w:hint="cs"/>
          <w:rtl/>
        </w:rPr>
        <w:t xml:space="preserve">איש, </w:t>
      </w:r>
      <w:bookmarkStart w:id="34947" w:name="_ETM_Q61_765240"/>
      <w:bookmarkEnd w:id="34947"/>
      <w:r>
        <w:rPr>
          <w:rFonts w:hint="cs"/>
          <w:rtl/>
        </w:rPr>
        <w:t xml:space="preserve">שמסרבים </w:t>
      </w:r>
      <w:bookmarkStart w:id="34948" w:name="_ETM_Q61_765780"/>
      <w:bookmarkEnd w:id="34948"/>
      <w:r>
        <w:rPr>
          <w:rFonts w:hint="cs"/>
          <w:rtl/>
        </w:rPr>
        <w:t xml:space="preserve">באופן </w:t>
      </w:r>
      <w:bookmarkStart w:id="34949" w:name="_ETM_Q61_766139"/>
      <w:bookmarkEnd w:id="34949"/>
      <w:r>
        <w:rPr>
          <w:rFonts w:hint="cs"/>
          <w:rtl/>
        </w:rPr>
        <w:t xml:space="preserve">גורף </w:t>
      </w:r>
      <w:bookmarkStart w:id="34950" w:name="_ETM_Q61_766620"/>
      <w:bookmarkEnd w:id="34950"/>
      <w:r>
        <w:rPr>
          <w:rFonts w:hint="cs"/>
          <w:rtl/>
        </w:rPr>
        <w:t xml:space="preserve">ולאורך </w:t>
      </w:r>
      <w:bookmarkStart w:id="34951" w:name="_ETM_Q61_767039"/>
      <w:bookmarkEnd w:id="34951"/>
      <w:r>
        <w:rPr>
          <w:rFonts w:hint="cs"/>
          <w:rtl/>
        </w:rPr>
        <w:t xml:space="preserve">שנים </w:t>
      </w:r>
      <w:bookmarkStart w:id="34952" w:name="_ETM_Q61_767370"/>
      <w:bookmarkEnd w:id="34952"/>
      <w:r>
        <w:rPr>
          <w:rFonts w:hint="cs"/>
          <w:rtl/>
        </w:rPr>
        <w:t xml:space="preserve">לשרת </w:t>
      </w:r>
      <w:bookmarkStart w:id="34953" w:name="_ETM_Q61_767789"/>
      <w:bookmarkEnd w:id="34953"/>
      <w:r>
        <w:rPr>
          <w:rFonts w:hint="cs"/>
          <w:rtl/>
        </w:rPr>
        <w:t xml:space="preserve">בצה"ל </w:t>
      </w:r>
      <w:bookmarkStart w:id="34954" w:name="_ETM_Q61_768720"/>
      <w:bookmarkEnd w:id="34954"/>
      <w:r>
        <w:rPr>
          <w:rFonts w:hint="cs"/>
          <w:rtl/>
        </w:rPr>
        <w:t xml:space="preserve">או </w:t>
      </w:r>
      <w:bookmarkStart w:id="34955" w:name="_ETM_Q61_768840"/>
      <w:bookmarkEnd w:id="34955"/>
      <w:r>
        <w:rPr>
          <w:rFonts w:hint="cs"/>
          <w:rtl/>
        </w:rPr>
        <w:t xml:space="preserve">בשירות </w:t>
      </w:r>
      <w:bookmarkStart w:id="34956" w:name="_ETM_Q61_769319"/>
      <w:bookmarkEnd w:id="34956"/>
      <w:r>
        <w:rPr>
          <w:rFonts w:hint="cs"/>
          <w:rtl/>
        </w:rPr>
        <w:t xml:space="preserve">אזרחי </w:t>
      </w:r>
      <w:bookmarkStart w:id="34957" w:name="_ETM_Q61_770069"/>
      <w:bookmarkEnd w:id="34957"/>
      <w:r>
        <w:rPr>
          <w:rFonts w:hint="cs"/>
          <w:rtl/>
        </w:rPr>
        <w:t xml:space="preserve">או </w:t>
      </w:r>
      <w:bookmarkStart w:id="34958" w:name="_ETM_Q61_770220"/>
      <w:bookmarkEnd w:id="34958"/>
      <w:r>
        <w:rPr>
          <w:rFonts w:hint="cs"/>
          <w:rtl/>
        </w:rPr>
        <w:t xml:space="preserve">בשירות </w:t>
      </w:r>
      <w:bookmarkStart w:id="34959" w:name="_ETM_Q61_770729"/>
      <w:bookmarkEnd w:id="34959"/>
      <w:r>
        <w:rPr>
          <w:rFonts w:hint="cs"/>
          <w:rtl/>
        </w:rPr>
        <w:t>לאומי.</w:t>
      </w:r>
      <w:bookmarkStart w:id="34960" w:name="_ETM_Q61_772000"/>
      <w:bookmarkStart w:id="34961" w:name="TOR_Q62"/>
      <w:bookmarkEnd w:id="34960"/>
      <w:bookmarkEnd w:id="34961"/>
      <w:r>
        <w:rPr>
          <w:rFonts w:hint="cs"/>
          <w:rtl/>
        </w:rPr>
        <w:t xml:space="preserve"> זה עולם הפוך. אלה סרבנים או אלה סרבנים? צדיק זה שמשרת בצה"ל, ואיך אנחנו </w:t>
      </w:r>
      <w:bookmarkStart w:id="34962" w:name="_ETM_Q62_182000"/>
      <w:bookmarkEnd w:id="34962"/>
      <w:r>
        <w:rPr>
          <w:rFonts w:hint="cs"/>
          <w:rtl/>
        </w:rPr>
        <w:t>הופכים את זה שצדיק יהיה לו רע? מי שלא משרת</w:t>
      </w:r>
      <w:bookmarkStart w:id="34963" w:name="_ETM_Q62_188000"/>
      <w:bookmarkEnd w:id="34963"/>
      <w:r>
        <w:rPr>
          <w:rFonts w:hint="cs"/>
          <w:rtl/>
        </w:rPr>
        <w:t xml:space="preserve"> ולא עובד מתוגמל</w:t>
      </w:r>
      <w:r w:rsidR="00215526">
        <w:rPr>
          <w:rFonts w:hint="cs"/>
          <w:rtl/>
        </w:rPr>
        <w:t>,</w:t>
      </w:r>
      <w:r>
        <w:rPr>
          <w:rFonts w:hint="cs"/>
          <w:rtl/>
        </w:rPr>
        <w:t xml:space="preserve"> ואני שואלת: איך אתם יכולים מצד </w:t>
      </w:r>
      <w:bookmarkStart w:id="34964" w:name="_ETM_Q62_192000"/>
      <w:bookmarkEnd w:id="34964"/>
      <w:r>
        <w:rPr>
          <w:rFonts w:hint="cs"/>
          <w:rtl/>
        </w:rPr>
        <w:t xml:space="preserve">אחד להשתלח בלוחמים שמתנדבים לשרת את המדינה ומצד שני להכשיר </w:t>
      </w:r>
      <w:bookmarkStart w:id="34965" w:name="_ETM_Q62_199000"/>
      <w:bookmarkEnd w:id="34965"/>
      <w:r>
        <w:rPr>
          <w:rFonts w:hint="cs"/>
          <w:rtl/>
        </w:rPr>
        <w:t>השתמטות של תלמידי ישיבה? אם צה"ל כל כך חשוב לכם</w:t>
      </w:r>
      <w:r w:rsidR="00215526">
        <w:rPr>
          <w:rFonts w:hint="cs"/>
          <w:rtl/>
        </w:rPr>
        <w:t>,</w:t>
      </w:r>
      <w:r>
        <w:rPr>
          <w:rFonts w:hint="cs"/>
          <w:rtl/>
        </w:rPr>
        <w:t xml:space="preserve"> היי</w:t>
      </w:r>
      <w:bookmarkStart w:id="34966" w:name="_ETM_Q62_200000"/>
      <w:bookmarkEnd w:id="34966"/>
      <w:r>
        <w:rPr>
          <w:rFonts w:hint="cs"/>
          <w:rtl/>
        </w:rPr>
        <w:t>תם מגייסים את כולם, מקצה לקצה, בלי יוצא</w:t>
      </w:r>
      <w:r w:rsidR="00215526">
        <w:rPr>
          <w:rFonts w:hint="cs"/>
          <w:rtl/>
        </w:rPr>
        <w:t>י</w:t>
      </w:r>
      <w:r>
        <w:rPr>
          <w:rFonts w:hint="cs"/>
          <w:rtl/>
        </w:rPr>
        <w:t xml:space="preserve"> דופן. הייתם </w:t>
      </w:r>
      <w:bookmarkStart w:id="34967" w:name="_ETM_Q62_210000"/>
      <w:bookmarkEnd w:id="34967"/>
      <w:r>
        <w:rPr>
          <w:rFonts w:hint="cs"/>
          <w:rtl/>
        </w:rPr>
        <w:t>מוצאים דרך.</w:t>
      </w:r>
    </w:p>
    <w:p w:rsidR="00BB59CD" w:rsidRDefault="00BB59CD" w:rsidP="00BB59CD">
      <w:pPr>
        <w:rPr>
          <w:rtl/>
        </w:rPr>
      </w:pPr>
    </w:p>
    <w:p w:rsidR="00BB59CD" w:rsidRDefault="00BB59CD" w:rsidP="00215526">
      <w:pPr>
        <w:rPr>
          <w:rtl/>
        </w:rPr>
      </w:pPr>
      <w:bookmarkStart w:id="34968" w:name="_ETM_Q62_212000"/>
      <w:bookmarkEnd w:id="34968"/>
      <w:r>
        <w:rPr>
          <w:rFonts w:hint="cs"/>
          <w:rtl/>
        </w:rPr>
        <w:t>אתם ממשלה שזור</w:t>
      </w:r>
      <w:r w:rsidR="00215526">
        <w:rPr>
          <w:rFonts w:hint="cs"/>
          <w:rtl/>
        </w:rPr>
        <w:t>עת</w:t>
      </w:r>
      <w:r>
        <w:rPr>
          <w:rFonts w:hint="cs"/>
          <w:rtl/>
        </w:rPr>
        <w:t xml:space="preserve"> הרס. פגעתם בחברה הישראלית, פגעתם בלכידו</w:t>
      </w:r>
      <w:bookmarkStart w:id="34969" w:name="_ETM_Q62_218000"/>
      <w:bookmarkEnd w:id="34969"/>
      <w:r>
        <w:rPr>
          <w:rFonts w:hint="cs"/>
          <w:rtl/>
        </w:rPr>
        <w:t xml:space="preserve">ת וברעות בצה"ל. סרטון החרפה שהופץ </w:t>
      </w:r>
      <w:r w:rsidR="00215526">
        <w:rPr>
          <w:rFonts w:hint="cs"/>
          <w:rtl/>
        </w:rPr>
        <w:t>ב</w:t>
      </w:r>
      <w:r>
        <w:rPr>
          <w:rFonts w:hint="cs"/>
          <w:rtl/>
        </w:rPr>
        <w:t xml:space="preserve">שבוע שעבר וקיבל תהודה </w:t>
      </w:r>
      <w:bookmarkStart w:id="34970" w:name="_ETM_Q62_223000"/>
      <w:bookmarkEnd w:id="34970"/>
      <w:r>
        <w:rPr>
          <w:rFonts w:hint="cs"/>
          <w:rtl/>
        </w:rPr>
        <w:t>על ידי שרי הממשלה מעורר שא</w:t>
      </w:r>
      <w:r w:rsidR="00215526">
        <w:rPr>
          <w:rFonts w:hint="cs"/>
          <w:rtl/>
        </w:rPr>
        <w:t>ט</w:t>
      </w:r>
      <w:r>
        <w:rPr>
          <w:rFonts w:hint="cs"/>
          <w:rtl/>
        </w:rPr>
        <w:t xml:space="preserve"> נפש וזעזוע. אין לי </w:t>
      </w:r>
      <w:bookmarkStart w:id="34971" w:name="_ETM_Q62_228000"/>
      <w:bookmarkEnd w:id="34971"/>
      <w:r>
        <w:rPr>
          <w:rFonts w:hint="cs"/>
          <w:rtl/>
        </w:rPr>
        <w:t xml:space="preserve">מילים אחרות. לא מספיק שקרעתם את החברה הישראלית, כעת אתם </w:t>
      </w:r>
      <w:bookmarkStart w:id="34972" w:name="_ETM_Q62_230000"/>
      <w:bookmarkEnd w:id="34972"/>
      <w:r>
        <w:rPr>
          <w:rFonts w:hint="cs"/>
          <w:rtl/>
        </w:rPr>
        <w:t xml:space="preserve">קורעים את הצבא. קורעים את הצבא ופוגעים ברוח צה"ל. </w:t>
      </w:r>
      <w:bookmarkStart w:id="34973" w:name="_ETM_Q62_237000"/>
      <w:bookmarkEnd w:id="34973"/>
      <w:r>
        <w:rPr>
          <w:rFonts w:hint="cs"/>
          <w:rtl/>
        </w:rPr>
        <w:t>איך אפשר</w:t>
      </w:r>
      <w:bookmarkStart w:id="34974" w:name="_ETM_Q62_239000"/>
      <w:bookmarkEnd w:id="34974"/>
      <w:r>
        <w:rPr>
          <w:rFonts w:hint="cs"/>
          <w:rtl/>
        </w:rPr>
        <w:t xml:space="preserve"> לשסות את לוחמי היבשה בלוחמי האוויר? איך אפשר לזרוע דה-מורליזציה </w:t>
      </w:r>
      <w:bookmarkStart w:id="34975" w:name="_ETM_Q62_244000"/>
      <w:bookmarkEnd w:id="34975"/>
      <w:r>
        <w:rPr>
          <w:rFonts w:hint="cs"/>
          <w:rtl/>
        </w:rPr>
        <w:t xml:space="preserve">בשדה הקרב? איך? </w:t>
      </w:r>
    </w:p>
    <w:p w:rsidR="00BB59CD" w:rsidRDefault="00BB59CD" w:rsidP="00BB59CD">
      <w:pPr>
        <w:rPr>
          <w:rtl/>
        </w:rPr>
      </w:pPr>
    </w:p>
    <w:p w:rsidR="00BB59CD" w:rsidRDefault="00BB59CD" w:rsidP="00BB59CD">
      <w:pPr>
        <w:rPr>
          <w:rtl/>
        </w:rPr>
      </w:pPr>
      <w:bookmarkStart w:id="34976" w:name="_ETM_Q62_250000"/>
      <w:bookmarkEnd w:id="34976"/>
      <w:r>
        <w:rPr>
          <w:rFonts w:hint="cs"/>
          <w:rtl/>
        </w:rPr>
        <w:t xml:space="preserve">אז אדוני, אני לא מאמינה </w:t>
      </w:r>
      <w:bookmarkStart w:id="34977" w:name="_ETM_Q62_253000"/>
      <w:bookmarkEnd w:id="34977"/>
      <w:r>
        <w:rPr>
          <w:rFonts w:hint="cs"/>
          <w:rtl/>
        </w:rPr>
        <w:t xml:space="preserve">לכם כשאתם אומרים שהמדינה ומערכת הביטחון בראש מעייניכם. ביטחון לאומי </w:t>
      </w:r>
      <w:bookmarkStart w:id="34978" w:name="_ETM_Q62_257000"/>
      <w:bookmarkEnd w:id="34978"/>
      <w:r>
        <w:rPr>
          <w:rFonts w:hint="cs"/>
          <w:rtl/>
        </w:rPr>
        <w:t xml:space="preserve">הוא בראש ובראשונה חוסן לאומי, חברה חזקה ומלוכדת, חוסן </w:t>
      </w:r>
      <w:bookmarkStart w:id="34979" w:name="_ETM_Q62_261000"/>
      <w:bookmarkEnd w:id="34979"/>
      <w:r>
        <w:rPr>
          <w:rFonts w:hint="cs"/>
          <w:rtl/>
        </w:rPr>
        <w:t xml:space="preserve">כלכלי, ביטחון וביטחון אישי – </w:t>
      </w:r>
      <w:bookmarkStart w:id="34980" w:name="_ETM_Q62_262000"/>
      <w:bookmarkEnd w:id="34980"/>
      <w:r>
        <w:rPr>
          <w:rFonts w:hint="cs"/>
          <w:rtl/>
        </w:rPr>
        <w:t xml:space="preserve">זה ביטחון לאומי. </w:t>
      </w:r>
      <w:bookmarkStart w:id="34981" w:name="_ETM_Q62_265000"/>
      <w:bookmarkEnd w:id="34981"/>
      <w:r>
        <w:rPr>
          <w:rFonts w:hint="cs"/>
          <w:rtl/>
        </w:rPr>
        <w:t xml:space="preserve">משרתי המילואים המתנדבים הם אנשים שאוהבים את המדינה, הם תמיד </w:t>
      </w:r>
      <w:bookmarkStart w:id="34982" w:name="_ETM_Q62_270000"/>
      <w:bookmarkEnd w:id="34982"/>
      <w:r>
        <w:rPr>
          <w:rFonts w:hint="cs"/>
          <w:rtl/>
        </w:rPr>
        <w:t xml:space="preserve">הראשונים לעמוד על המשמר בעת הצורך. ואם באחת מהתקופות הביטחוניות </w:t>
      </w:r>
      <w:bookmarkStart w:id="34983" w:name="_ETM_Q62_274000"/>
      <w:bookmarkEnd w:id="34983"/>
      <w:r>
        <w:rPr>
          <w:rFonts w:hint="cs"/>
          <w:rtl/>
        </w:rPr>
        <w:t xml:space="preserve">הרגישות ביותר בעשור האחרון הצלחתם לגרום להם לחשוב איך לחשב </w:t>
      </w:r>
      <w:bookmarkStart w:id="34984" w:name="_ETM_Q62_278000"/>
      <w:bookmarkEnd w:id="34984"/>
      <w:r>
        <w:rPr>
          <w:rFonts w:hint="cs"/>
          <w:rtl/>
        </w:rPr>
        <w:t xml:space="preserve">מסלול מחדש – סימן שהשמש שוקעת במשמרת שלכם ובאחריותכם. עם </w:t>
      </w:r>
      <w:bookmarkStart w:id="34985" w:name="_ETM_Q62_288000"/>
      <w:bookmarkEnd w:id="34985"/>
      <w:r>
        <w:rPr>
          <w:rFonts w:hint="cs"/>
          <w:rtl/>
        </w:rPr>
        <w:t>כל הקריאות שקראתם להם, ציפיתם שהם ימשיכו לשרת?</w:t>
      </w:r>
    </w:p>
    <w:p w:rsidR="00BB59CD" w:rsidRDefault="00BB59CD" w:rsidP="00BB59CD">
      <w:pPr>
        <w:rPr>
          <w:rtl/>
        </w:rPr>
      </w:pPr>
      <w:bookmarkStart w:id="34986" w:name="_ETM_Q62_294000"/>
      <w:bookmarkEnd w:id="34986"/>
    </w:p>
    <w:p w:rsidR="00BB59CD" w:rsidRDefault="00BB59CD" w:rsidP="00215526">
      <w:pPr>
        <w:rPr>
          <w:rtl/>
        </w:rPr>
      </w:pPr>
      <w:bookmarkStart w:id="34987" w:name="_ETM_Q62_295000"/>
      <w:bookmarkEnd w:id="34987"/>
      <w:r>
        <w:rPr>
          <w:rFonts w:hint="cs"/>
          <w:rtl/>
        </w:rPr>
        <w:t xml:space="preserve">דע לך, אדוני ראש הממשלה, אני מבועתת. אני פונה אליך עם </w:t>
      </w:r>
      <w:bookmarkStart w:id="34988" w:name="_ETM_Q62_300000"/>
      <w:bookmarkEnd w:id="34988"/>
      <w:r>
        <w:rPr>
          <w:rFonts w:hint="cs"/>
          <w:rtl/>
        </w:rPr>
        <w:t xml:space="preserve">דפיקות לב, לא רק כחברת כנסת אלא כתת-אלוף במילואים, כחברת </w:t>
      </w:r>
      <w:bookmarkStart w:id="34989" w:name="_ETM_Q62_304000"/>
      <w:bookmarkEnd w:id="34989"/>
      <w:r>
        <w:rPr>
          <w:rFonts w:hint="cs"/>
          <w:rtl/>
        </w:rPr>
        <w:t xml:space="preserve">ועדת </w:t>
      </w:r>
      <w:r w:rsidR="00215526">
        <w:rPr>
          <w:rFonts w:hint="cs"/>
          <w:rtl/>
        </w:rPr>
        <w:t>ה</w:t>
      </w:r>
      <w:r>
        <w:rPr>
          <w:rFonts w:hint="cs"/>
          <w:rtl/>
        </w:rPr>
        <w:t>חוץ ו</w:t>
      </w:r>
      <w:r w:rsidR="00215526">
        <w:rPr>
          <w:rFonts w:hint="cs"/>
          <w:rtl/>
        </w:rPr>
        <w:t>ה</w:t>
      </w:r>
      <w:r>
        <w:rPr>
          <w:rFonts w:hint="cs"/>
          <w:rtl/>
        </w:rPr>
        <w:t xml:space="preserve">ביטחון – תעצור. המינימום שצריך לעשות כעת זה </w:t>
      </w:r>
      <w:bookmarkStart w:id="34990" w:name="_ETM_Q62_306000"/>
      <w:bookmarkEnd w:id="34990"/>
      <w:r>
        <w:rPr>
          <w:rFonts w:hint="cs"/>
          <w:rtl/>
        </w:rPr>
        <w:t>לכנס את הקבינט ולהקשיב לנתונים שנאספים מדי יום בצה"ל</w:t>
      </w:r>
      <w:bookmarkStart w:id="34991" w:name="_ETM_Q62_313970"/>
      <w:bookmarkStart w:id="34992" w:name="_ETM_Q62_314073"/>
      <w:bookmarkEnd w:id="34991"/>
      <w:bookmarkEnd w:id="34992"/>
      <w:r>
        <w:rPr>
          <w:rFonts w:hint="cs"/>
          <w:rtl/>
        </w:rPr>
        <w:t xml:space="preserve">, בכל </w:t>
      </w:r>
      <w:bookmarkStart w:id="34993" w:name="_ETM_Q62_315000"/>
      <w:bookmarkEnd w:id="34993"/>
      <w:r>
        <w:rPr>
          <w:rFonts w:hint="cs"/>
          <w:rtl/>
        </w:rPr>
        <w:t xml:space="preserve">השבוע האחרון, בנוגע לכשירות, לכוננות, ללכידות, עוד בטרם ההצבעה מחר. </w:t>
      </w:r>
      <w:bookmarkStart w:id="34994" w:name="_ETM_Q62_325000"/>
      <w:bookmarkEnd w:id="34994"/>
      <w:r>
        <w:rPr>
          <w:rFonts w:hint="cs"/>
          <w:rtl/>
        </w:rPr>
        <w:t>תמונת</w:t>
      </w:r>
      <w:bookmarkStart w:id="34995" w:name="_ETM_Q62_326000"/>
      <w:bookmarkEnd w:id="34995"/>
      <w:r>
        <w:rPr>
          <w:rFonts w:hint="cs"/>
          <w:rtl/>
        </w:rPr>
        <w:t xml:space="preserve"> המצב המבצעי בצה"ל מונחת על כף המאזניים, ועל פיה </w:t>
      </w:r>
      <w:bookmarkStart w:id="34996" w:name="_ETM_Q62_329000"/>
      <w:bookmarkEnd w:id="34996"/>
      <w:r>
        <w:rPr>
          <w:rFonts w:hint="cs"/>
          <w:rtl/>
        </w:rPr>
        <w:t xml:space="preserve">מצופה ממך להחליט לאן פנינו. זאת האחריות שלך, אדוני </w:t>
      </w:r>
      <w:bookmarkStart w:id="34997" w:name="_ETM_Q62_334000"/>
      <w:bookmarkEnd w:id="34997"/>
      <w:r>
        <w:rPr>
          <w:rFonts w:hint="cs"/>
          <w:rtl/>
        </w:rPr>
        <w:t>ראש הממשלה.</w:t>
      </w:r>
      <w:r w:rsidR="00215526">
        <w:rPr>
          <w:rFonts w:hint="cs"/>
          <w:rtl/>
        </w:rPr>
        <w:t xml:space="preserve"> </w:t>
      </w:r>
      <w:bookmarkStart w:id="34998" w:name="_ETM_Q62_336000"/>
      <w:bookmarkEnd w:id="34998"/>
      <w:r w:rsidR="00215526">
        <w:rPr>
          <w:rFonts w:hint="cs"/>
          <w:rtl/>
        </w:rPr>
        <w:t xml:space="preserve"> ב</w:t>
      </w:r>
      <w:r>
        <w:rPr>
          <w:rFonts w:hint="cs"/>
          <w:rtl/>
        </w:rPr>
        <w:t xml:space="preserve">איגרת הרמטכ"ל שהופצה הבוקר הוא קובע, ואני מצטטת: "פעלנו כדי להישאר" – צה"ל – "מחוץ למחלוקת, אך </w:t>
      </w:r>
      <w:bookmarkStart w:id="34999" w:name="_ETM_Q62_341000"/>
      <w:bookmarkEnd w:id="34999"/>
      <w:r>
        <w:rPr>
          <w:rFonts w:hint="cs"/>
          <w:rtl/>
        </w:rPr>
        <w:t>נוכח עצימותה בחברה הישראלית נקלענו לתוכה והלכידות נפגעת"</w:t>
      </w:r>
      <w:r w:rsidR="00215526">
        <w:rPr>
          <w:rFonts w:hint="cs"/>
          <w:rtl/>
        </w:rPr>
        <w:t>.</w:t>
      </w:r>
      <w:r>
        <w:rPr>
          <w:rFonts w:hint="cs"/>
          <w:rtl/>
        </w:rPr>
        <w:t xml:space="preserve"> </w:t>
      </w:r>
      <w:r w:rsidR="00215526">
        <w:rPr>
          <w:rFonts w:hint="cs"/>
          <w:rtl/>
        </w:rPr>
        <w:t xml:space="preserve">את </w:t>
      </w:r>
      <w:r>
        <w:rPr>
          <w:rFonts w:hint="cs"/>
          <w:rtl/>
        </w:rPr>
        <w:t xml:space="preserve">זה אומר </w:t>
      </w:r>
      <w:bookmarkStart w:id="35000" w:name="_ETM_Q62_352000"/>
      <w:bookmarkEnd w:id="35000"/>
      <w:r>
        <w:rPr>
          <w:rFonts w:hint="cs"/>
          <w:rtl/>
        </w:rPr>
        <w:t xml:space="preserve">הרמטכ"ל. ועוד מוסיף הרמטכ"ל: "אין זה מאוחר לתקן, חייבים לתקן כי אין דרך אחרת ללא הלכידות הפנימית והחיצונית. זו האחריות </w:t>
      </w:r>
      <w:bookmarkStart w:id="35001" w:name="_ETM_Q62_358000"/>
      <w:bookmarkEnd w:id="35001"/>
      <w:r>
        <w:rPr>
          <w:rFonts w:hint="cs"/>
          <w:rtl/>
        </w:rPr>
        <w:t xml:space="preserve">של כולנו ובראש ובראשונה האחריות - - - </w:t>
      </w:r>
      <w:bookmarkStart w:id="35002" w:name="_ETM_Q62_529217"/>
      <w:bookmarkEnd w:id="35002"/>
      <w:r>
        <w:rPr>
          <w:rFonts w:hint="cs"/>
          <w:rtl/>
        </w:rPr>
        <w:t xml:space="preserve">שלי, כרמטכ"ל". כך נוהגים </w:t>
      </w:r>
      <w:bookmarkStart w:id="35003" w:name="_ETM_Q62_365000"/>
      <w:bookmarkEnd w:id="35003"/>
      <w:r>
        <w:rPr>
          <w:rFonts w:hint="cs"/>
          <w:rtl/>
        </w:rPr>
        <w:t>אנשים עם אחריות.</w:t>
      </w:r>
    </w:p>
    <w:p w:rsidR="00BB59CD" w:rsidRDefault="00BB59CD" w:rsidP="00BB59CD">
      <w:pPr>
        <w:rPr>
          <w:rtl/>
        </w:rPr>
      </w:pPr>
    </w:p>
    <w:p w:rsidR="00BB59CD" w:rsidRDefault="00BB59CD" w:rsidP="00BB59CD">
      <w:pPr>
        <w:rPr>
          <w:rtl/>
        </w:rPr>
      </w:pPr>
      <w:bookmarkStart w:id="35004" w:name="_ETM_Q62_369000"/>
      <w:bookmarkEnd w:id="35004"/>
      <w:r>
        <w:rPr>
          <w:rFonts w:hint="cs"/>
          <w:rtl/>
        </w:rPr>
        <w:t xml:space="preserve">אז אדוני ראש הממשלה, כך נוהג מי שהמדינה </w:t>
      </w:r>
      <w:bookmarkStart w:id="35005" w:name="_ETM_Q62_368000"/>
      <w:bookmarkEnd w:id="35005"/>
      <w:r>
        <w:rPr>
          <w:rFonts w:hint="cs"/>
          <w:rtl/>
        </w:rPr>
        <w:t xml:space="preserve">וצה"ל בראש מעייניו. כך מצופה ממנהיגות אחראית לפעול, כך </w:t>
      </w:r>
      <w:bookmarkStart w:id="35006" w:name="_ETM_Q62_373000"/>
      <w:bookmarkEnd w:id="35006"/>
      <w:r>
        <w:rPr>
          <w:rFonts w:hint="cs"/>
          <w:rtl/>
        </w:rPr>
        <w:t xml:space="preserve">מצופה ממך לפעול. אתה צריך לקחת אחריות ולתקן, ויפה שעה </w:t>
      </w:r>
      <w:bookmarkStart w:id="35007" w:name="_ETM_Q62_386000"/>
      <w:bookmarkEnd w:id="35007"/>
      <w:r>
        <w:rPr>
          <w:rFonts w:hint="cs"/>
          <w:rtl/>
        </w:rPr>
        <w:t xml:space="preserve">אחת קודם. </w:t>
      </w:r>
    </w:p>
    <w:p w:rsidR="00BB59CD" w:rsidRDefault="00BB59CD" w:rsidP="00BB59CD">
      <w:pPr>
        <w:rPr>
          <w:rtl/>
        </w:rPr>
      </w:pPr>
    </w:p>
    <w:p w:rsidR="00BB59CD" w:rsidRDefault="00BB59CD" w:rsidP="00BB59CD">
      <w:pPr>
        <w:rPr>
          <w:rtl/>
        </w:rPr>
      </w:pPr>
      <w:bookmarkStart w:id="35008" w:name="_ETM_Q62_392000"/>
      <w:bookmarkEnd w:id="35008"/>
      <w:r>
        <w:rPr>
          <w:rFonts w:hint="cs"/>
          <w:rtl/>
        </w:rPr>
        <w:t xml:space="preserve">ואם בחשבון נפש עסקינן, בסיומה של חצי שנה </w:t>
      </w:r>
      <w:bookmarkStart w:id="35009" w:name="_ETM_Q62_391000"/>
      <w:bookmarkEnd w:id="35009"/>
      <w:r>
        <w:rPr>
          <w:rFonts w:hint="cs"/>
          <w:rtl/>
        </w:rPr>
        <w:t xml:space="preserve">לממשלה ראוי שנתבונן על הישגיה ביחס למטרות שאתה הצבת פה, </w:t>
      </w:r>
      <w:bookmarkStart w:id="35010" w:name="_ETM_Q62_396000"/>
      <w:bookmarkEnd w:id="35010"/>
      <w:r>
        <w:rPr>
          <w:rFonts w:hint="cs"/>
          <w:rtl/>
        </w:rPr>
        <w:t xml:space="preserve">על הבמה הזאת, בישיבת הממשלה הראשונה, ואלו הן, ואני חוזרת: </w:t>
      </w:r>
      <w:bookmarkStart w:id="35011" w:name="_ETM_Q62_399000"/>
      <w:bookmarkEnd w:id="35011"/>
      <w:r>
        <w:rPr>
          <w:rFonts w:hint="cs"/>
          <w:rtl/>
        </w:rPr>
        <w:t xml:space="preserve">טיפול בגרעין האיראני, הורדת יוקר המחיה, השבת המשילות והרחבת מעגל </w:t>
      </w:r>
      <w:bookmarkStart w:id="35012" w:name="_ETM_Q62_411000"/>
      <w:bookmarkEnd w:id="35012"/>
      <w:r>
        <w:rPr>
          <w:rFonts w:hint="cs"/>
          <w:rtl/>
        </w:rPr>
        <w:t xml:space="preserve">השלום עם סעודיה. אף מילה לא הייתה פה על </w:t>
      </w:r>
      <w:bookmarkStart w:id="35013" w:name="_ETM_Q62_415000"/>
      <w:bookmarkEnd w:id="35013"/>
      <w:r>
        <w:rPr>
          <w:rFonts w:hint="cs"/>
          <w:rtl/>
        </w:rPr>
        <w:t xml:space="preserve">הפיכה משטרית, ובקרב אזרחי ישראל נוצרה תקווה שהממשלה תעסוק בחיים </w:t>
      </w:r>
      <w:bookmarkStart w:id="35014" w:name="_ETM_Q62_423000"/>
      <w:bookmarkEnd w:id="35014"/>
      <w:r>
        <w:rPr>
          <w:rFonts w:hint="cs"/>
          <w:rtl/>
        </w:rPr>
        <w:t>עצמם. בפועל – סדר עדיפו</w:t>
      </w:r>
      <w:r w:rsidR="00215526">
        <w:rPr>
          <w:rFonts w:hint="cs"/>
          <w:rtl/>
        </w:rPr>
        <w:t>יו</w:t>
      </w:r>
      <w:r>
        <w:rPr>
          <w:rFonts w:hint="cs"/>
          <w:rtl/>
        </w:rPr>
        <w:t xml:space="preserve">ת הפוך. הפיכה משטרית בראש סדר </w:t>
      </w:r>
      <w:bookmarkStart w:id="35015" w:name="_ETM_Q62_425000"/>
      <w:bookmarkEnd w:id="35015"/>
      <w:r>
        <w:rPr>
          <w:rFonts w:hint="cs"/>
          <w:rtl/>
        </w:rPr>
        <w:t>העדיפו</w:t>
      </w:r>
      <w:r w:rsidR="00215526">
        <w:rPr>
          <w:rFonts w:hint="cs"/>
          <w:rtl/>
        </w:rPr>
        <w:t>יו</w:t>
      </w:r>
      <w:r>
        <w:rPr>
          <w:rFonts w:hint="cs"/>
          <w:rtl/>
        </w:rPr>
        <w:t xml:space="preserve">ת וכישלון צורב בכל יתר המטרות. הרחובות בוערים והמציאות הביטחונית </w:t>
      </w:r>
      <w:bookmarkStart w:id="35016" w:name="_ETM_Q62_431000"/>
      <w:bookmarkEnd w:id="35016"/>
      <w:r>
        <w:rPr>
          <w:rFonts w:hint="cs"/>
          <w:rtl/>
        </w:rPr>
        <w:t xml:space="preserve">במצב הרגיש ביותר שהיה כאן זה עשור. </w:t>
      </w:r>
      <w:bookmarkStart w:id="35017" w:name="_ETM_Q62_437000"/>
      <w:bookmarkStart w:id="35018" w:name="_ETM_Q62_438000"/>
      <w:bookmarkEnd w:id="35017"/>
      <w:bookmarkEnd w:id="35018"/>
      <w:r>
        <w:rPr>
          <w:rFonts w:hint="cs"/>
          <w:rtl/>
        </w:rPr>
        <w:t>הפרובוקציות של נסר</w:t>
      </w:r>
      <w:bookmarkStart w:id="35019" w:name="_ETM_Q62_434000"/>
      <w:bookmarkEnd w:id="35019"/>
      <w:r>
        <w:rPr>
          <w:rFonts w:hint="cs"/>
          <w:rtl/>
        </w:rPr>
        <w:t xml:space="preserve">אללה בשיאן – חדירה למגידו; מאהלי חיזבאללה בשטח ריבוני של </w:t>
      </w:r>
      <w:bookmarkStart w:id="35020" w:name="_ETM_Q62_442000"/>
      <w:bookmarkEnd w:id="35020"/>
      <w:r>
        <w:rPr>
          <w:rFonts w:hint="cs"/>
          <w:rtl/>
        </w:rPr>
        <w:t xml:space="preserve">מדינת ישראל; בשבוע שעבר פעילים גנבו מצלמה של צה"ל מהגבול. </w:t>
      </w:r>
      <w:bookmarkStart w:id="35021" w:name="_ETM_Q62_444000"/>
      <w:bookmarkEnd w:id="35021"/>
      <w:r>
        <w:rPr>
          <w:rFonts w:hint="cs"/>
          <w:rtl/>
        </w:rPr>
        <w:t xml:space="preserve">כל אלה מעידים על הפרה בוטה של משוואת ההרתעה. </w:t>
      </w:r>
    </w:p>
    <w:p w:rsidR="00BB59CD" w:rsidRDefault="00BB59CD" w:rsidP="00BB59CD">
      <w:pPr>
        <w:rPr>
          <w:rtl/>
        </w:rPr>
      </w:pPr>
    </w:p>
    <w:p w:rsidR="00BB59CD" w:rsidRDefault="00BB59CD" w:rsidP="00BB59CD">
      <w:pPr>
        <w:rPr>
          <w:rtl/>
        </w:rPr>
      </w:pPr>
      <w:bookmarkStart w:id="35022" w:name="_ETM_Q62_447000"/>
      <w:bookmarkEnd w:id="35022"/>
      <w:r>
        <w:rPr>
          <w:rFonts w:hint="cs"/>
          <w:rtl/>
        </w:rPr>
        <w:t>ולגבי</w:t>
      </w:r>
      <w:bookmarkStart w:id="35023" w:name="_ETM_Q62_448000"/>
      <w:bookmarkEnd w:id="35023"/>
      <w:r>
        <w:rPr>
          <w:rFonts w:hint="cs"/>
          <w:rtl/>
        </w:rPr>
        <w:t xml:space="preserve"> ביטחון אישי – הטרור גואה ו-30 איש נרצחו באירועי טרור. היעדר משילות, היעדר שליטה, ותחושת הביטחון </w:t>
      </w:r>
      <w:bookmarkStart w:id="35024" w:name="_ETM_Q62_455000"/>
      <w:bookmarkEnd w:id="35024"/>
      <w:r>
        <w:rPr>
          <w:rFonts w:hint="cs"/>
          <w:rtl/>
        </w:rPr>
        <w:t xml:space="preserve">האישי לא קיימת. הפשיעה בשיאה – פי שלושה נרצחים בחברה </w:t>
      </w:r>
      <w:bookmarkStart w:id="35025" w:name="_ETM_Q62_462000"/>
      <w:bookmarkEnd w:id="35025"/>
      <w:r>
        <w:rPr>
          <w:rFonts w:hint="cs"/>
          <w:rtl/>
        </w:rPr>
        <w:t>הערבית; עלייה בנרצחים בחברה הישראלית.</w:t>
      </w:r>
    </w:p>
    <w:p w:rsidR="00BB59CD" w:rsidRDefault="00BB59CD" w:rsidP="00BB59CD">
      <w:pPr>
        <w:rPr>
          <w:rtl/>
        </w:rPr>
      </w:pPr>
    </w:p>
    <w:p w:rsidR="00BB59CD" w:rsidRDefault="00BB59CD" w:rsidP="00215526">
      <w:pPr>
        <w:rPr>
          <w:rtl/>
        </w:rPr>
      </w:pPr>
      <w:bookmarkStart w:id="35026" w:name="_ETM_Q62_469000"/>
      <w:bookmarkEnd w:id="35026"/>
      <w:r>
        <w:rPr>
          <w:rFonts w:hint="cs"/>
          <w:rtl/>
        </w:rPr>
        <w:t xml:space="preserve">ראש הממשלה, נשיא ארצות הברית שלח </w:t>
      </w:r>
      <w:bookmarkStart w:id="35027" w:name="_ETM_Q62_472000"/>
      <w:bookmarkEnd w:id="35027"/>
      <w:r>
        <w:rPr>
          <w:rFonts w:hint="cs"/>
          <w:rtl/>
        </w:rPr>
        <w:t xml:space="preserve">לך מסרים בסוף השבוע האחרון וביקש ממך לעצור; המומחים כולם </w:t>
      </w:r>
      <w:bookmarkStart w:id="35028" w:name="_ETM_Q62_479000"/>
      <w:bookmarkEnd w:id="35028"/>
      <w:r>
        <w:rPr>
          <w:rFonts w:hint="cs"/>
          <w:rtl/>
        </w:rPr>
        <w:t xml:space="preserve">מרימים דגלים אדומים; המתנדבים לצה"ל זועקים זעקת שבר וטוענים להפרת </w:t>
      </w:r>
      <w:bookmarkStart w:id="35029" w:name="_ETM_Q62_482000"/>
      <w:bookmarkEnd w:id="35029"/>
      <w:r>
        <w:rPr>
          <w:rFonts w:hint="cs"/>
          <w:rtl/>
        </w:rPr>
        <w:t>החוזה הלא</w:t>
      </w:r>
      <w:r w:rsidR="00215526">
        <w:rPr>
          <w:rFonts w:hint="cs"/>
          <w:rtl/>
        </w:rPr>
        <w:t>-</w:t>
      </w:r>
      <w:r>
        <w:rPr>
          <w:rFonts w:hint="cs"/>
          <w:rtl/>
        </w:rPr>
        <w:t xml:space="preserve">כתוב מולם. שר הביטחון כבר העביר מסר שהמצב </w:t>
      </w:r>
      <w:bookmarkStart w:id="35030" w:name="_ETM_Q62_490000"/>
      <w:bookmarkEnd w:id="35030"/>
      <w:r>
        <w:rPr>
          <w:rFonts w:hint="cs"/>
          <w:rtl/>
        </w:rPr>
        <w:t xml:space="preserve">מדאיג ולא נשאר אדיש. ולכן, אני רוצה לשאול אותך, אדוני </w:t>
      </w:r>
      <w:bookmarkStart w:id="35031" w:name="_ETM_Q62_496000"/>
      <w:bookmarkEnd w:id="35031"/>
      <w:r>
        <w:rPr>
          <w:rFonts w:hint="cs"/>
          <w:rtl/>
        </w:rPr>
        <w:t xml:space="preserve">ראש הממשלה, האם השרידות של הממשלה הזאת והשרידות </w:t>
      </w:r>
      <w:bookmarkStart w:id="35032" w:name="_ETM_Q62_498000"/>
      <w:bookmarkEnd w:id="35032"/>
      <w:r>
        <w:rPr>
          <w:rFonts w:hint="cs"/>
          <w:rtl/>
        </w:rPr>
        <w:t xml:space="preserve">שלך חשובים יותר מביטחון ישראל? יותר מלכידות צה"ל? יותר מכשירות </w:t>
      </w:r>
      <w:bookmarkStart w:id="35033" w:name="_ETM_Q62_500000"/>
      <w:bookmarkEnd w:id="35033"/>
      <w:r>
        <w:rPr>
          <w:rFonts w:hint="cs"/>
          <w:rtl/>
        </w:rPr>
        <w:t xml:space="preserve">הכוחות שלנו? </w:t>
      </w:r>
      <w:bookmarkStart w:id="35034" w:name="_ETM_Q62_508000"/>
      <w:bookmarkEnd w:id="35034"/>
      <w:r>
        <w:rPr>
          <w:rFonts w:hint="cs"/>
          <w:rtl/>
        </w:rPr>
        <w:t>זו העת לחשבון נפש.</w:t>
      </w:r>
    </w:p>
    <w:p w:rsidR="00BB59CD" w:rsidRDefault="00BB59CD" w:rsidP="00BB59CD">
      <w:pPr>
        <w:rPr>
          <w:rtl/>
        </w:rPr>
      </w:pPr>
    </w:p>
    <w:p w:rsidR="00BB59CD" w:rsidRDefault="00BB59CD" w:rsidP="00BB59CD">
      <w:pPr>
        <w:pStyle w:val="af9"/>
        <w:keepNext/>
        <w:rPr>
          <w:rtl/>
        </w:rPr>
      </w:pPr>
      <w:bookmarkStart w:id="35035" w:name="_ETM_Q62_381000"/>
      <w:bookmarkEnd w:id="3503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רבה לגברתי. אני מתכבד להזמין כעת </w:t>
      </w:r>
      <w:bookmarkStart w:id="35036" w:name="_ETM_Q62_516000"/>
      <w:bookmarkEnd w:id="35036"/>
      <w:r>
        <w:rPr>
          <w:rFonts w:hint="cs"/>
          <w:rtl/>
          <w:lang w:eastAsia="he-IL"/>
        </w:rPr>
        <w:t>את חבר הכנסת מיכאל מרדכי ביטון, בבקשה.</w:t>
      </w:r>
    </w:p>
    <w:p w:rsidR="00BB59CD" w:rsidRDefault="00BB59CD" w:rsidP="00BB59CD">
      <w:pPr>
        <w:rPr>
          <w:rtl/>
          <w:lang w:eastAsia="he-IL"/>
        </w:rPr>
      </w:pPr>
    </w:p>
    <w:p w:rsidR="00BB59CD" w:rsidRDefault="00BB59CD" w:rsidP="00BB59CD">
      <w:pPr>
        <w:pStyle w:val="af8"/>
        <w:keepNext/>
        <w:rPr>
          <w:rtl/>
        </w:rPr>
      </w:pPr>
      <w:bookmarkStart w:id="35037" w:name="ET_interruption_קריאה_5"/>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5037"/>
    </w:p>
    <w:p w:rsidR="00BB59CD" w:rsidRDefault="00BB59CD" w:rsidP="00337201">
      <w:pPr>
        <w:rPr>
          <w:rtl/>
          <w:lang w:eastAsia="he-IL"/>
        </w:rPr>
      </w:pPr>
    </w:p>
    <w:p w:rsidR="00BB59CD" w:rsidRDefault="00BB59CD" w:rsidP="00BB59CD">
      <w:pPr>
        <w:rPr>
          <w:rtl/>
          <w:lang w:eastAsia="he-IL"/>
        </w:rPr>
      </w:pPr>
      <w:bookmarkStart w:id="35038" w:name="_ETM_Q62_542000"/>
      <w:bookmarkStart w:id="35039" w:name="_ETM_Q62_534000"/>
      <w:bookmarkEnd w:id="35038"/>
      <w:bookmarkEnd w:id="35039"/>
      <w:r>
        <w:rPr>
          <w:rFonts w:hint="cs"/>
          <w:rtl/>
          <w:lang w:eastAsia="he-IL"/>
        </w:rPr>
        <w:t xml:space="preserve">- - - </w:t>
      </w:r>
    </w:p>
    <w:p w:rsidR="00BB59CD" w:rsidRDefault="00BB59CD" w:rsidP="00BB59CD">
      <w:pPr>
        <w:rPr>
          <w:rtl/>
          <w:lang w:eastAsia="he-IL"/>
        </w:rPr>
      </w:pPr>
      <w:bookmarkStart w:id="35040" w:name="_ETM_Q62_537000"/>
      <w:bookmarkEnd w:id="35040"/>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ברוך</w:t>
      </w:r>
      <w:bookmarkStart w:id="35041" w:name="_ETM_Q62_538000"/>
      <w:bookmarkEnd w:id="35041"/>
      <w:r>
        <w:rPr>
          <w:rFonts w:hint="cs"/>
          <w:rtl/>
          <w:lang w:eastAsia="he-IL"/>
        </w:rPr>
        <w:t xml:space="preserve"> השם. עד 60 דקות, אדוני, לרשותך.</w:t>
      </w:r>
    </w:p>
    <w:p w:rsidR="00BB59CD" w:rsidRDefault="00BB59CD" w:rsidP="00BB59CD">
      <w:pPr>
        <w:rPr>
          <w:rtl/>
          <w:lang w:eastAsia="he-IL"/>
        </w:rPr>
      </w:pPr>
      <w:bookmarkStart w:id="35042" w:name="_ETM_Q62_544000"/>
      <w:bookmarkEnd w:id="35042"/>
    </w:p>
    <w:p w:rsidR="00BB59CD" w:rsidRDefault="00BB59CD" w:rsidP="00BB59CD">
      <w:pPr>
        <w:pStyle w:val="a5"/>
        <w:keepNext/>
        <w:rPr>
          <w:rtl/>
        </w:rPr>
      </w:pPr>
      <w:bookmarkStart w:id="35043" w:name="ET_speaker_5765_6"/>
      <w:r>
        <w:rPr>
          <w:rStyle w:val="TagStyle"/>
          <w:rFonts w:hint="cs"/>
          <w:rtl/>
        </w:rPr>
        <w:t xml:space="preserve"> &lt;&lt; דובר &gt;&gt; </w:t>
      </w:r>
      <w:bookmarkStart w:id="35044" w:name="_Toc141197165"/>
      <w:bookmarkStart w:id="35045" w:name="_Toc141196901"/>
      <w:r>
        <w:rPr>
          <w:rFonts w:hint="cs"/>
          <w:rtl/>
        </w:rPr>
        <w:t>מיכאל מרדכי ביטון (המחנה הממלכתי):</w:t>
      </w:r>
      <w:bookmarkEnd w:id="35044"/>
      <w:bookmarkEnd w:id="35045"/>
      <w:r>
        <w:rPr>
          <w:rStyle w:val="TagStyle"/>
          <w:rFonts w:hint="cs"/>
          <w:rtl/>
        </w:rPr>
        <w:t xml:space="preserve"> &lt;&lt; דובר &gt;&gt;</w:t>
      </w:r>
      <w:r>
        <w:rPr>
          <w:rFonts w:hint="cs"/>
          <w:rtl/>
        </w:rPr>
        <w:t xml:space="preserve"> </w:t>
      </w:r>
      <w:bookmarkEnd w:id="35043"/>
    </w:p>
    <w:p w:rsidR="00BB59CD" w:rsidRDefault="00BB59CD" w:rsidP="00337201">
      <w:pPr>
        <w:rPr>
          <w:rtl/>
          <w:lang w:eastAsia="he-IL"/>
        </w:rPr>
      </w:pPr>
    </w:p>
    <w:p w:rsidR="00BB59CD" w:rsidRDefault="00BB59CD" w:rsidP="00BB59CD">
      <w:pPr>
        <w:rPr>
          <w:rtl/>
          <w:lang w:eastAsia="he-IL"/>
        </w:rPr>
      </w:pPr>
      <w:bookmarkStart w:id="35046" w:name="_ETM_Q62_549000"/>
      <w:bookmarkEnd w:id="35046"/>
      <w:r>
        <w:rPr>
          <w:rFonts w:hint="cs"/>
          <w:rtl/>
          <w:lang w:eastAsia="he-IL"/>
        </w:rPr>
        <w:t xml:space="preserve">אדוני היושב-ראש, אני מבקש לאחל </w:t>
      </w:r>
      <w:bookmarkStart w:id="35047" w:name="_ETM_Q62_553000"/>
      <w:bookmarkEnd w:id="35047"/>
      <w:r>
        <w:rPr>
          <w:rFonts w:hint="cs"/>
          <w:rtl/>
          <w:lang w:eastAsia="he-IL"/>
        </w:rPr>
        <w:t xml:space="preserve">מכאן לראש הממשלה רפואה שלמה. בכל הבדלה בבית שלי, </w:t>
      </w:r>
      <w:bookmarkStart w:id="35048" w:name="_ETM_Q62_555000"/>
      <w:bookmarkEnd w:id="35048"/>
      <w:r>
        <w:rPr>
          <w:rFonts w:hint="cs"/>
          <w:rtl/>
          <w:lang w:eastAsia="he-IL"/>
        </w:rPr>
        <w:t xml:space="preserve">עשרות שנים, אנחנו מבקשים על משפחתנו ועל קהילתנו ומברכים את </w:t>
      </w:r>
      <w:bookmarkStart w:id="35049" w:name="_ETM_Q62_564000"/>
      <w:bookmarkEnd w:id="35049"/>
      <w:r>
        <w:rPr>
          <w:rFonts w:hint="cs"/>
          <w:rtl/>
          <w:lang w:eastAsia="he-IL"/>
        </w:rPr>
        <w:t xml:space="preserve">ראש הממשלה והנשיא והכנסת והצבא והרמטכ"ל, לא משנה מי בתפקיד. </w:t>
      </w:r>
      <w:bookmarkStart w:id="35050" w:name="_ETM_Q62_573000"/>
      <w:bookmarkEnd w:id="35050"/>
      <w:r>
        <w:rPr>
          <w:rFonts w:hint="cs"/>
          <w:rtl/>
          <w:lang w:eastAsia="he-IL"/>
        </w:rPr>
        <w:t>זאת ממלכתיות</w:t>
      </w:r>
      <w:r w:rsidR="00215526">
        <w:rPr>
          <w:rFonts w:hint="cs"/>
          <w:rtl/>
          <w:lang w:eastAsia="he-IL"/>
        </w:rPr>
        <w:t>,</w:t>
      </w:r>
      <w:r>
        <w:rPr>
          <w:rFonts w:hint="cs"/>
          <w:rtl/>
          <w:lang w:eastAsia="he-IL"/>
        </w:rPr>
        <w:t xml:space="preserve"> ואנחנו באמת מאחלים לו רפואה שלמה ואריכות ימים.</w:t>
      </w:r>
    </w:p>
    <w:p w:rsidR="00BB59CD" w:rsidRDefault="00BB59CD" w:rsidP="00BB59CD">
      <w:pPr>
        <w:rPr>
          <w:rtl/>
          <w:lang w:eastAsia="he-IL"/>
        </w:rPr>
      </w:pPr>
    </w:p>
    <w:p w:rsidR="00BB59CD" w:rsidRDefault="00BB59CD" w:rsidP="00BB59CD">
      <w:pPr>
        <w:pStyle w:val="af9"/>
        <w:keepNext/>
        <w:rPr>
          <w:rtl/>
        </w:rPr>
      </w:pPr>
      <w:bookmarkStart w:id="35051" w:name="ET_yor_6423_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5051"/>
    </w:p>
    <w:p w:rsidR="00BB59CD" w:rsidRDefault="00BB59CD" w:rsidP="00337201">
      <w:pPr>
        <w:rPr>
          <w:rtl/>
          <w:lang w:eastAsia="he-IL"/>
        </w:rPr>
      </w:pPr>
    </w:p>
    <w:p w:rsidR="00BB59CD" w:rsidRDefault="00BB59CD" w:rsidP="00BB59CD">
      <w:pPr>
        <w:rPr>
          <w:rtl/>
          <w:lang w:eastAsia="he-IL"/>
        </w:rPr>
      </w:pPr>
      <w:r>
        <w:rPr>
          <w:rFonts w:hint="cs"/>
          <w:rtl/>
          <w:lang w:eastAsia="he-IL"/>
        </w:rPr>
        <w:t>אמן.</w:t>
      </w:r>
    </w:p>
    <w:p w:rsidR="00BB59CD" w:rsidRDefault="00BB59CD" w:rsidP="00BB59CD">
      <w:pPr>
        <w:rPr>
          <w:rtl/>
          <w:lang w:eastAsia="he-IL"/>
        </w:rPr>
      </w:pPr>
    </w:p>
    <w:p w:rsidR="00BB59CD" w:rsidRDefault="00BB59CD" w:rsidP="00BB59CD">
      <w:pPr>
        <w:pStyle w:val="-"/>
        <w:keepNext/>
        <w:rPr>
          <w:rtl/>
        </w:rPr>
      </w:pPr>
      <w:bookmarkStart w:id="35052" w:name="ET_speakercontinue_5765_8"/>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35052"/>
    </w:p>
    <w:p w:rsidR="00BB59CD" w:rsidRDefault="00BB59CD" w:rsidP="00337201">
      <w:pPr>
        <w:rPr>
          <w:rtl/>
          <w:lang w:eastAsia="he-IL"/>
        </w:rPr>
      </w:pPr>
    </w:p>
    <w:p w:rsidR="00BB59CD" w:rsidRDefault="00BB59CD" w:rsidP="00BB59CD">
      <w:pPr>
        <w:rPr>
          <w:rtl/>
          <w:lang w:eastAsia="he-IL"/>
        </w:rPr>
      </w:pPr>
      <w:bookmarkStart w:id="35053" w:name="_ETM_Q62_579000"/>
      <w:bookmarkEnd w:id="35053"/>
      <w:r>
        <w:rPr>
          <w:rFonts w:hint="cs"/>
          <w:rtl/>
          <w:lang w:eastAsia="he-IL"/>
        </w:rPr>
        <w:t xml:space="preserve">אזרחי </w:t>
      </w:r>
      <w:bookmarkStart w:id="35054" w:name="_ETM_Q62_580000"/>
      <w:bookmarkEnd w:id="35054"/>
      <w:r>
        <w:rPr>
          <w:rFonts w:hint="cs"/>
          <w:rtl/>
          <w:lang w:eastAsia="he-IL"/>
        </w:rPr>
        <w:t>ישראל, אני עומד לפניכם היום עצוב וכואב ודואג</w:t>
      </w:r>
      <w:bookmarkStart w:id="35055" w:name="_ETM_Q62_588000"/>
      <w:bookmarkEnd w:id="35055"/>
      <w:r>
        <w:rPr>
          <w:rFonts w:hint="cs"/>
          <w:rtl/>
          <w:lang w:eastAsia="he-IL"/>
        </w:rPr>
        <w:t>, אבל נחוש ומאמין בצדקת הדרך. לא נוכל להרשות לעצמנו</w:t>
      </w:r>
      <w:bookmarkStart w:id="35056" w:name="_ETM_Q62_595000"/>
      <w:bookmarkEnd w:id="35056"/>
      <w:r>
        <w:rPr>
          <w:rFonts w:hint="cs"/>
          <w:rtl/>
          <w:lang w:eastAsia="he-IL"/>
        </w:rPr>
        <w:t xml:space="preserve"> להיות מיואשים, לא כיחידים, לא כמדינה ולא כקבוצות. </w:t>
      </w:r>
    </w:p>
    <w:p w:rsidR="00BB59CD" w:rsidRDefault="00BB59CD" w:rsidP="00BB59CD">
      <w:pPr>
        <w:rPr>
          <w:rtl/>
          <w:lang w:eastAsia="he-IL"/>
        </w:rPr>
      </w:pPr>
    </w:p>
    <w:p w:rsidR="00BB59CD" w:rsidRDefault="00BB59CD" w:rsidP="00BB59CD">
      <w:pPr>
        <w:rPr>
          <w:rtl/>
          <w:lang w:eastAsia="he-IL"/>
        </w:rPr>
      </w:pPr>
      <w:bookmarkStart w:id="35057" w:name="_ETM_Q62_603000"/>
      <w:bookmarkEnd w:id="35057"/>
      <w:r>
        <w:rPr>
          <w:rFonts w:hint="cs"/>
          <w:rtl/>
          <w:lang w:eastAsia="he-IL"/>
        </w:rPr>
        <w:t xml:space="preserve">ערב תשעה </w:t>
      </w:r>
      <w:bookmarkStart w:id="35058" w:name="_ETM_Q62_602000"/>
      <w:bookmarkEnd w:id="35058"/>
      <w:r>
        <w:rPr>
          <w:rFonts w:hint="cs"/>
          <w:rtl/>
          <w:lang w:eastAsia="he-IL"/>
        </w:rPr>
        <w:t xml:space="preserve">באב, ערב היום שמציין סדרה של אסונות שקרו לנו כעם. </w:t>
      </w:r>
      <w:bookmarkStart w:id="35059" w:name="_ETM_Q62_609000"/>
      <w:bookmarkEnd w:id="35059"/>
      <w:r>
        <w:rPr>
          <w:rFonts w:hint="cs"/>
          <w:rtl/>
          <w:lang w:eastAsia="he-IL"/>
        </w:rPr>
        <w:t xml:space="preserve">ערב שבו אנו מציינים את חורבן הבית הראשון וחורבן הבית </w:t>
      </w:r>
      <w:bookmarkStart w:id="35060" w:name="_ETM_Q62_613000"/>
      <w:bookmarkEnd w:id="35060"/>
      <w:r>
        <w:rPr>
          <w:rFonts w:hint="cs"/>
          <w:rtl/>
          <w:lang w:eastAsia="he-IL"/>
        </w:rPr>
        <w:t xml:space="preserve">השני בשל שנאת חינם ומחלוקת. ערב שמציין אובדן דרך של </w:t>
      </w:r>
      <w:bookmarkStart w:id="35061" w:name="_ETM_Q62_619000"/>
      <w:bookmarkEnd w:id="35061"/>
      <w:r>
        <w:rPr>
          <w:rFonts w:hint="cs"/>
          <w:rtl/>
          <w:lang w:eastAsia="he-IL"/>
        </w:rPr>
        <w:t xml:space="preserve">העם, אובדן ריבונות, אכזריות ושנאה בין איש לאחיו, </w:t>
      </w:r>
      <w:bookmarkStart w:id="35062" w:name="_ETM_Q62_628000"/>
      <w:bookmarkEnd w:id="35062"/>
      <w:r>
        <w:rPr>
          <w:rFonts w:hint="cs"/>
          <w:rtl/>
          <w:lang w:eastAsia="he-IL"/>
        </w:rPr>
        <w:t xml:space="preserve">אכזריות שהביאה לחורבן. </w:t>
      </w:r>
    </w:p>
    <w:p w:rsidR="00BB59CD" w:rsidRDefault="00BB59CD" w:rsidP="00BB59CD">
      <w:pPr>
        <w:rPr>
          <w:rtl/>
          <w:lang w:eastAsia="he-IL"/>
        </w:rPr>
      </w:pPr>
    </w:p>
    <w:p w:rsidR="00BB59CD" w:rsidRDefault="00BB59CD" w:rsidP="00215526">
      <w:pPr>
        <w:rPr>
          <w:rtl/>
          <w:lang w:eastAsia="he-IL"/>
        </w:rPr>
      </w:pPr>
      <w:bookmarkStart w:id="35063" w:name="_ETM_Q62_629000"/>
      <w:bookmarkEnd w:id="35063"/>
      <w:r>
        <w:rPr>
          <w:rFonts w:hint="cs"/>
          <w:rtl/>
          <w:lang w:eastAsia="he-IL"/>
        </w:rPr>
        <w:t>אני עומד לפניכם בכנסת ישראל חצוי, דואג</w:t>
      </w:r>
      <w:bookmarkStart w:id="35064" w:name="_ETM_Q62_635000"/>
      <w:bookmarkEnd w:id="35064"/>
      <w:r>
        <w:rPr>
          <w:rFonts w:hint="cs"/>
          <w:rtl/>
          <w:lang w:eastAsia="he-IL"/>
        </w:rPr>
        <w:t xml:space="preserve"> ונבוך. חצוי במחשבות, מתוך דאגה לעם חצוי ולמדינה חצויה </w:t>
      </w:r>
      <w:bookmarkStart w:id="35065" w:name="_ETM_Q62_645000"/>
      <w:bookmarkEnd w:id="35065"/>
      <w:r>
        <w:rPr>
          <w:rFonts w:hint="cs"/>
          <w:rtl/>
          <w:lang w:eastAsia="he-IL"/>
        </w:rPr>
        <w:t xml:space="preserve">בעמדותיה. לפני כשלוש שנים עמדתי כשר בממשלה, כאן על הדוכן, </w:t>
      </w:r>
      <w:bookmarkStart w:id="35066" w:name="_ETM_Q62_651000"/>
      <w:bookmarkEnd w:id="35066"/>
      <w:r>
        <w:rPr>
          <w:rFonts w:hint="cs"/>
          <w:rtl/>
          <w:lang w:eastAsia="he-IL"/>
        </w:rPr>
        <w:t xml:space="preserve">ואמרתי דבר שלא היה נהוג לומר. מתוך הממשלה, בתפקיד שר, </w:t>
      </w:r>
      <w:bookmarkStart w:id="35067" w:name="_ETM_Q62_657000"/>
      <w:bookmarkEnd w:id="35067"/>
      <w:r>
        <w:rPr>
          <w:rFonts w:hint="cs"/>
          <w:rtl/>
          <w:lang w:eastAsia="he-IL"/>
        </w:rPr>
        <w:t xml:space="preserve">אמרתי שהעם שלנו חצוי והאזרחים חצויים והם עברו שלוש וארבע </w:t>
      </w:r>
      <w:bookmarkStart w:id="35068" w:name="_ETM_Q62_667000"/>
      <w:bookmarkEnd w:id="35068"/>
      <w:r>
        <w:rPr>
          <w:rFonts w:hint="cs"/>
          <w:rtl/>
          <w:lang w:eastAsia="he-IL"/>
        </w:rPr>
        <w:t>מערכות בחירות ולא נוכל להתעלם מחצי מהעם, ולא נוכל להתעלם מכל אדם שלישי שהצביע ליכוד.</w:t>
      </w:r>
      <w:bookmarkStart w:id="35069" w:name="_ETM_Q62_675000"/>
      <w:bookmarkEnd w:id="35069"/>
      <w:r w:rsidR="00215526">
        <w:rPr>
          <w:rFonts w:hint="cs"/>
          <w:rtl/>
          <w:lang w:eastAsia="he-IL"/>
        </w:rPr>
        <w:t xml:space="preserve"> </w:t>
      </w:r>
      <w:r>
        <w:rPr>
          <w:rFonts w:hint="cs"/>
          <w:rtl/>
          <w:lang w:eastAsia="he-IL"/>
        </w:rPr>
        <w:t>דיברתי כבר אז על הצורך</w:t>
      </w:r>
      <w:bookmarkStart w:id="35070" w:name="_ETM_Q62_679000"/>
      <w:bookmarkEnd w:id="35070"/>
      <w:r>
        <w:rPr>
          <w:rFonts w:hint="cs"/>
          <w:rtl/>
          <w:lang w:eastAsia="he-IL"/>
        </w:rPr>
        <w:t xml:space="preserve"> של העם בישראל באחדות. על הצורך לא ב-61 אצבעות </w:t>
      </w:r>
      <w:bookmarkStart w:id="35071" w:name="_ETM_Q62_684000"/>
      <w:bookmarkEnd w:id="35071"/>
      <w:r>
        <w:rPr>
          <w:rFonts w:hint="cs"/>
          <w:rtl/>
          <w:lang w:eastAsia="he-IL"/>
        </w:rPr>
        <w:t>לצד אחד כדי שירמוס את הצד השני, אלא על הצורך</w:t>
      </w:r>
      <w:bookmarkStart w:id="35072" w:name="_ETM_Q62_690000"/>
      <w:bookmarkEnd w:id="35072"/>
      <w:r>
        <w:rPr>
          <w:rFonts w:hint="cs"/>
          <w:rtl/>
          <w:lang w:eastAsia="he-IL"/>
        </w:rPr>
        <w:t xml:space="preserve"> בשפיות, באיזון, במידתיות, בממלכתיות, באחריות, באחריות לאחדות של עם ישראל. </w:t>
      </w:r>
      <w:bookmarkStart w:id="35073" w:name="_ETM_Q62_699000"/>
      <w:bookmarkEnd w:id="35073"/>
      <w:r>
        <w:rPr>
          <w:rFonts w:hint="cs"/>
          <w:rtl/>
          <w:lang w:eastAsia="he-IL"/>
        </w:rPr>
        <w:t>ציטטתי אז ואני מצטט היום את הציווי מתהילים, הציווי</w:t>
      </w:r>
      <w:bookmarkStart w:id="35074" w:name="_ETM_Q62_704000"/>
      <w:bookmarkEnd w:id="35074"/>
      <w:r>
        <w:rPr>
          <w:rFonts w:hint="cs"/>
          <w:rtl/>
          <w:lang w:eastAsia="he-IL"/>
        </w:rPr>
        <w:t xml:space="preserve"> של היהדות: "מי האיש החפץ חיים, אֹהב ימים לראות טוב; </w:t>
      </w:r>
      <w:bookmarkStart w:id="35075" w:name="_ETM_Q62_710000"/>
      <w:bookmarkEnd w:id="35075"/>
      <w:r>
        <w:rPr>
          <w:rFonts w:hint="cs"/>
          <w:rtl/>
          <w:lang w:eastAsia="he-IL"/>
        </w:rPr>
        <w:t xml:space="preserve">נצֹר לשונך מרע ושפתיך מדבר מרמה; סור מרע ועשה טוב; </w:t>
      </w:r>
      <w:bookmarkStart w:id="35076" w:name="_ETM_Q62_716000"/>
      <w:bookmarkEnd w:id="35076"/>
      <w:r>
        <w:rPr>
          <w:rFonts w:hint="cs"/>
          <w:rtl/>
          <w:lang w:eastAsia="he-IL"/>
        </w:rPr>
        <w:t>בקש שלום ורדפהו". מילים שמדגישות שאסור לנו ליפול לשנאה, להסתה</w:t>
      </w:r>
      <w:bookmarkStart w:id="35077" w:name="_ETM_Q62_718000"/>
      <w:bookmarkEnd w:id="35077"/>
      <w:r>
        <w:rPr>
          <w:rFonts w:hint="cs"/>
          <w:rtl/>
          <w:lang w:eastAsia="he-IL"/>
        </w:rPr>
        <w:t>, לפילוג.</w:t>
      </w:r>
    </w:p>
    <w:p w:rsidR="00BB59CD" w:rsidRDefault="00BB59CD" w:rsidP="00BB59CD">
      <w:pPr>
        <w:rPr>
          <w:rtl/>
          <w:lang w:eastAsia="he-IL"/>
        </w:rPr>
      </w:pPr>
    </w:p>
    <w:p w:rsidR="00BB59CD" w:rsidRDefault="00BB59CD" w:rsidP="003F0554">
      <w:pPr>
        <w:rPr>
          <w:rtl/>
        </w:rPr>
      </w:pPr>
      <w:bookmarkStart w:id="35078" w:name="_ETM_Q62_725000"/>
      <w:bookmarkEnd w:id="35078"/>
      <w:r>
        <w:rPr>
          <w:rFonts w:hint="cs"/>
          <w:rtl/>
          <w:lang w:eastAsia="he-IL"/>
        </w:rPr>
        <w:t xml:space="preserve">רבים מאלו שהצביעו למפלגת הליכוד נתנו בה אמון שתפעל </w:t>
      </w:r>
      <w:bookmarkStart w:id="35079" w:name="_ETM_Q62_731000"/>
      <w:bookmarkEnd w:id="35079"/>
      <w:r>
        <w:rPr>
          <w:rFonts w:hint="cs"/>
          <w:rtl/>
          <w:lang w:eastAsia="he-IL"/>
        </w:rPr>
        <w:t>מתוך הערכים הללו. דובר פה הרבה על שלטון הרוב. אמרתם:</w:t>
      </w:r>
      <w:bookmarkStart w:id="35080" w:name="_ETM_Q62_736000"/>
      <w:bookmarkEnd w:id="35080"/>
      <w:r>
        <w:rPr>
          <w:rFonts w:hint="cs"/>
          <w:rtl/>
          <w:lang w:eastAsia="he-IL"/>
        </w:rPr>
        <w:t xml:space="preserve"> ניצחנו בבחירות, תנו לנו למשול. </w:t>
      </w:r>
      <w:bookmarkStart w:id="35081" w:name="TOR_Q63"/>
      <w:bookmarkStart w:id="35082" w:name="_ETM_Q63_180000"/>
      <w:bookmarkEnd w:id="35081"/>
      <w:bookmarkEnd w:id="35082"/>
      <w:r>
        <w:rPr>
          <w:rFonts w:hint="cs"/>
          <w:rtl/>
        </w:rPr>
        <w:t xml:space="preserve">אני רוצה להקריא לכם ציטוט קצר, ואתם כבר תגלו מי </w:t>
      </w:r>
      <w:bookmarkStart w:id="35083" w:name="_ETM_Q63_145000"/>
      <w:bookmarkEnd w:id="35083"/>
      <w:r>
        <w:rPr>
          <w:rFonts w:hint="cs"/>
          <w:rtl/>
        </w:rPr>
        <w:t xml:space="preserve">אמר זאת. ציטוט ראשון: "שטות היא לזהות את שלטון הרוב </w:t>
      </w:r>
      <w:bookmarkStart w:id="35084" w:name="_ETM_Q63_152000"/>
      <w:bookmarkEnd w:id="35084"/>
      <w:r>
        <w:rPr>
          <w:rFonts w:hint="cs"/>
          <w:rtl/>
        </w:rPr>
        <w:t xml:space="preserve">עם תמצית הדמוקרטיה והחירות. תמצית החירות היא השאיפה לכך שאיש לא ייאלץ להיכנע למה שמצפונו מתנגד לו, אפילו נתמכת קביעה זו על ידי הרוב". אותו אדם בציטוט אחר: "במדינה אידיאלית מן הדין שהפשרה בין הרוב למיעוט תהיה </w:t>
      </w:r>
      <w:bookmarkStart w:id="35085" w:name="_ETM_Q63_179000"/>
      <w:bookmarkEnd w:id="35085"/>
      <w:r>
        <w:rPr>
          <w:rFonts w:hint="cs"/>
          <w:rtl/>
        </w:rPr>
        <w:t xml:space="preserve">מקובלת בחזקת </w:t>
      </w:r>
      <w:bookmarkStart w:id="35086" w:name="_ETM_Q63_180299"/>
      <w:bookmarkEnd w:id="35086"/>
      <w:r>
        <w:rPr>
          <w:rFonts w:hint="cs"/>
          <w:rtl/>
        </w:rPr>
        <w:t xml:space="preserve">נוהג </w:t>
      </w:r>
      <w:bookmarkStart w:id="35087" w:name="_ETM_Q63_180930"/>
      <w:bookmarkEnd w:id="35087"/>
      <w:r>
        <w:rPr>
          <w:rFonts w:hint="cs"/>
          <w:rtl/>
        </w:rPr>
        <w:t xml:space="preserve">קבוע", </w:t>
      </w:r>
      <w:bookmarkStart w:id="35088" w:name="_ETM_Q63_182460"/>
      <w:bookmarkEnd w:id="35088"/>
      <w:r>
        <w:rPr>
          <w:rFonts w:hint="cs"/>
          <w:rtl/>
        </w:rPr>
        <w:t xml:space="preserve">פשרה </w:t>
      </w:r>
      <w:bookmarkStart w:id="35089" w:name="_ETM_Q63_183179"/>
      <w:bookmarkEnd w:id="35089"/>
      <w:r>
        <w:rPr>
          <w:rFonts w:hint="cs"/>
          <w:rtl/>
        </w:rPr>
        <w:t xml:space="preserve">בין </w:t>
      </w:r>
      <w:bookmarkStart w:id="35090" w:name="_ETM_Q63_183480"/>
      <w:bookmarkEnd w:id="35090"/>
      <w:r>
        <w:rPr>
          <w:rFonts w:hint="cs"/>
          <w:rtl/>
        </w:rPr>
        <w:t xml:space="preserve">רוב </w:t>
      </w:r>
      <w:bookmarkStart w:id="35091" w:name="_ETM_Q63_183840"/>
      <w:bookmarkEnd w:id="35091"/>
      <w:r>
        <w:rPr>
          <w:rFonts w:hint="cs"/>
          <w:rtl/>
        </w:rPr>
        <w:t>למיעוט.</w:t>
      </w:r>
      <w:bookmarkStart w:id="35092" w:name="_ETM_Q63_185540"/>
      <w:bookmarkStart w:id="35093" w:name="_ETM_Q63_187000"/>
      <w:bookmarkEnd w:id="35092"/>
      <w:bookmarkEnd w:id="35093"/>
      <w:r>
        <w:rPr>
          <w:rFonts w:hint="cs"/>
          <w:rtl/>
        </w:rPr>
        <w:t xml:space="preserve"> ניחשתם </w:t>
      </w:r>
      <w:bookmarkStart w:id="35094" w:name="_ETM_Q63_186319"/>
      <w:bookmarkEnd w:id="35094"/>
      <w:r>
        <w:rPr>
          <w:rFonts w:hint="cs"/>
          <w:rtl/>
        </w:rPr>
        <w:t xml:space="preserve">נכון, </w:t>
      </w:r>
      <w:bookmarkStart w:id="35095" w:name="_ETM_Q63_188160"/>
      <w:bookmarkEnd w:id="35095"/>
      <w:r>
        <w:rPr>
          <w:rFonts w:hint="cs"/>
          <w:rtl/>
        </w:rPr>
        <w:t xml:space="preserve">אלה </w:t>
      </w:r>
      <w:bookmarkStart w:id="35096" w:name="_ETM_Q63_188639"/>
      <w:bookmarkEnd w:id="35096"/>
      <w:r>
        <w:rPr>
          <w:rFonts w:hint="cs"/>
          <w:rtl/>
        </w:rPr>
        <w:t xml:space="preserve">הם דברים </w:t>
      </w:r>
      <w:bookmarkStart w:id="35097" w:name="_ETM_Q63_189740"/>
      <w:bookmarkEnd w:id="35097"/>
      <w:r w:rsidR="003F0554">
        <w:rPr>
          <w:rFonts w:hint="cs"/>
          <w:rtl/>
        </w:rPr>
        <w:t xml:space="preserve">של </w:t>
      </w:r>
      <w:r w:rsidR="003F0554">
        <w:rPr>
          <w:rFonts w:hint="eastAsia"/>
          <w:rtl/>
        </w:rPr>
        <w:t>–</w:t>
      </w:r>
      <w:r>
        <w:rPr>
          <w:rFonts w:hint="cs"/>
          <w:rtl/>
        </w:rPr>
        <w:t xml:space="preserve"> היושב-ראש, </w:t>
      </w:r>
      <w:bookmarkStart w:id="35098" w:name="_ETM_Q63_189920"/>
      <w:bookmarkStart w:id="35099" w:name="_ETM_Q63_190280"/>
      <w:bookmarkEnd w:id="35098"/>
      <w:bookmarkEnd w:id="35099"/>
      <w:r>
        <w:rPr>
          <w:rFonts w:hint="cs"/>
          <w:rtl/>
        </w:rPr>
        <w:t xml:space="preserve">אתה </w:t>
      </w:r>
      <w:bookmarkStart w:id="35100" w:name="_ETM_Q63_190580"/>
      <w:bookmarkEnd w:id="35100"/>
      <w:r>
        <w:rPr>
          <w:rFonts w:hint="cs"/>
          <w:rtl/>
        </w:rPr>
        <w:t>מנחש?</w:t>
      </w:r>
    </w:p>
    <w:p w:rsidR="00BB59CD" w:rsidRDefault="00BB59CD" w:rsidP="00BB59CD">
      <w:pPr>
        <w:rPr>
          <w:rtl/>
        </w:rPr>
      </w:pPr>
    </w:p>
    <w:p w:rsidR="00BB59CD" w:rsidRDefault="00BB59CD" w:rsidP="00BB59CD">
      <w:pPr>
        <w:pStyle w:val="af9"/>
        <w:keepNext/>
        <w:rPr>
          <w:rtl/>
        </w:rPr>
      </w:pPr>
      <w:bookmarkStart w:id="35101" w:name="ET_yor_6423_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5101"/>
    </w:p>
    <w:p w:rsidR="00BB59CD" w:rsidRDefault="00BB59CD" w:rsidP="00337201">
      <w:pPr>
        <w:rPr>
          <w:rtl/>
        </w:rPr>
      </w:pPr>
    </w:p>
    <w:p w:rsidR="00BB59CD" w:rsidRDefault="00BB59CD" w:rsidP="00BB59CD">
      <w:pPr>
        <w:rPr>
          <w:rtl/>
        </w:rPr>
      </w:pPr>
      <w:r>
        <w:rPr>
          <w:rFonts w:hint="cs"/>
          <w:rtl/>
        </w:rPr>
        <w:t xml:space="preserve"> </w:t>
      </w:r>
      <w:bookmarkStart w:id="35102" w:name="_ETM_Q63_191300"/>
      <w:bookmarkEnd w:id="35102"/>
      <w:r>
        <w:rPr>
          <w:rFonts w:hint="cs"/>
          <w:rtl/>
        </w:rPr>
        <w:t xml:space="preserve">זאב </w:t>
      </w:r>
      <w:bookmarkStart w:id="35103" w:name="_ETM_Q63_191600"/>
      <w:bookmarkEnd w:id="35103"/>
      <w:r>
        <w:rPr>
          <w:rFonts w:hint="cs"/>
          <w:rtl/>
        </w:rPr>
        <w:t>ז'בוטינסקי.</w:t>
      </w:r>
    </w:p>
    <w:p w:rsidR="00BB59CD" w:rsidRDefault="00BB59CD" w:rsidP="00BB59CD">
      <w:pPr>
        <w:rPr>
          <w:rtl/>
        </w:rPr>
      </w:pPr>
    </w:p>
    <w:p w:rsidR="00BB59CD" w:rsidRDefault="00BB59CD" w:rsidP="00BB59CD">
      <w:pPr>
        <w:pStyle w:val="-"/>
        <w:keepNext/>
        <w:rPr>
          <w:rtl/>
        </w:rPr>
      </w:pPr>
      <w:bookmarkStart w:id="35104" w:name="ET_speakercontinue_5765_6"/>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35104"/>
    </w:p>
    <w:p w:rsidR="00BB59CD" w:rsidRDefault="00BB59CD" w:rsidP="00337201">
      <w:pPr>
        <w:rPr>
          <w:rtl/>
        </w:rPr>
      </w:pPr>
    </w:p>
    <w:p w:rsidR="00BB59CD" w:rsidRDefault="00BB59CD" w:rsidP="00BB59CD">
      <w:pPr>
        <w:rPr>
          <w:rtl/>
        </w:rPr>
      </w:pPr>
      <w:bookmarkStart w:id="35105" w:name="_ETM_Q63_192350"/>
      <w:bookmarkStart w:id="35106" w:name="_ETM_Q63_192650"/>
      <w:bookmarkEnd w:id="35105"/>
      <w:bookmarkEnd w:id="35106"/>
      <w:r>
        <w:rPr>
          <w:rFonts w:hint="cs"/>
          <w:rtl/>
        </w:rPr>
        <w:t xml:space="preserve">זאב </w:t>
      </w:r>
      <w:bookmarkStart w:id="35107" w:name="_ETM_Q63_193160"/>
      <w:bookmarkEnd w:id="35107"/>
      <w:r>
        <w:rPr>
          <w:rFonts w:hint="cs"/>
          <w:rtl/>
        </w:rPr>
        <w:t xml:space="preserve">ז'בוטינסקי, </w:t>
      </w:r>
      <w:bookmarkStart w:id="35108" w:name="_ETM_Q63_194740"/>
      <w:bookmarkEnd w:id="35108"/>
      <w:r>
        <w:rPr>
          <w:rFonts w:hint="cs"/>
          <w:rtl/>
        </w:rPr>
        <w:t xml:space="preserve">מייסד </w:t>
      </w:r>
      <w:bookmarkStart w:id="35109" w:name="_ETM_Q63_195580"/>
      <w:bookmarkEnd w:id="35109"/>
      <w:r>
        <w:rPr>
          <w:rFonts w:hint="cs"/>
          <w:rtl/>
        </w:rPr>
        <w:t xml:space="preserve">התנועה </w:t>
      </w:r>
      <w:bookmarkStart w:id="35110" w:name="_ETM_Q63_196000"/>
      <w:bookmarkEnd w:id="35110"/>
      <w:r>
        <w:rPr>
          <w:rFonts w:hint="cs"/>
          <w:rtl/>
        </w:rPr>
        <w:t xml:space="preserve">הרוויזיוניסטית </w:t>
      </w:r>
      <w:bookmarkStart w:id="35111" w:name="_ETM_Q63_196960"/>
      <w:bookmarkStart w:id="35112" w:name="_ETM_Q63_197050"/>
      <w:bookmarkEnd w:id="35111"/>
      <w:bookmarkEnd w:id="35112"/>
      <w:r>
        <w:rPr>
          <w:rFonts w:hint="cs"/>
          <w:rtl/>
        </w:rPr>
        <w:t xml:space="preserve">ובית"ר. </w:t>
      </w:r>
      <w:bookmarkStart w:id="35113" w:name="_ETM_Q63_198260"/>
      <w:bookmarkEnd w:id="35113"/>
      <w:r>
        <w:rPr>
          <w:rFonts w:hint="cs"/>
          <w:rtl/>
        </w:rPr>
        <w:t xml:space="preserve">קשה </w:t>
      </w:r>
      <w:bookmarkStart w:id="35114" w:name="_ETM_Q63_198739"/>
      <w:bookmarkEnd w:id="35114"/>
      <w:r>
        <w:rPr>
          <w:rFonts w:hint="cs"/>
          <w:rtl/>
        </w:rPr>
        <w:t xml:space="preserve">לקרוא </w:t>
      </w:r>
      <w:bookmarkStart w:id="35115" w:name="_ETM_Q63_199160"/>
      <w:bookmarkEnd w:id="35115"/>
      <w:r>
        <w:rPr>
          <w:rFonts w:hint="cs"/>
          <w:rtl/>
        </w:rPr>
        <w:t xml:space="preserve">לו </w:t>
      </w:r>
      <w:bookmarkStart w:id="35116" w:name="_ETM_Q63_199340"/>
      <w:bookmarkEnd w:id="35116"/>
      <w:r>
        <w:rPr>
          <w:rFonts w:hint="cs"/>
          <w:rtl/>
        </w:rPr>
        <w:t xml:space="preserve">איש </w:t>
      </w:r>
      <w:bookmarkStart w:id="35117" w:name="_ETM_Q63_199460"/>
      <w:bookmarkEnd w:id="35117"/>
      <w:r>
        <w:rPr>
          <w:rFonts w:hint="cs"/>
          <w:rtl/>
        </w:rPr>
        <w:t xml:space="preserve">שמאל </w:t>
      </w:r>
      <w:bookmarkStart w:id="35118" w:name="_ETM_Q63_200420"/>
      <w:bookmarkEnd w:id="35118"/>
      <w:r>
        <w:rPr>
          <w:rFonts w:hint="cs"/>
          <w:rtl/>
        </w:rPr>
        <w:t xml:space="preserve">ואפילו </w:t>
      </w:r>
      <w:bookmarkStart w:id="35119" w:name="_ETM_Q63_200989"/>
      <w:bookmarkEnd w:id="35119"/>
      <w:r>
        <w:rPr>
          <w:rFonts w:hint="cs"/>
          <w:rtl/>
        </w:rPr>
        <w:t xml:space="preserve">לא </w:t>
      </w:r>
      <w:bookmarkStart w:id="35120" w:name="_ETM_Q63_201140"/>
      <w:bookmarkEnd w:id="35120"/>
      <w:r>
        <w:rPr>
          <w:rFonts w:hint="cs"/>
          <w:rtl/>
        </w:rPr>
        <w:t xml:space="preserve">איש מרכז. </w:t>
      </w:r>
      <w:bookmarkStart w:id="35121" w:name="_ETM_Q63_202000"/>
      <w:bookmarkStart w:id="35122" w:name="_ETM_Q63_201650"/>
      <w:bookmarkStart w:id="35123" w:name="_ETM_Q63_202390"/>
      <w:bookmarkStart w:id="35124" w:name="_ETM_Q63_202720"/>
      <w:bookmarkEnd w:id="35121"/>
      <w:bookmarkEnd w:id="35122"/>
      <w:bookmarkEnd w:id="35123"/>
      <w:bookmarkEnd w:id="35124"/>
      <w:r>
        <w:rPr>
          <w:rFonts w:hint="cs"/>
          <w:rtl/>
        </w:rPr>
        <w:t>איש ימין.</w:t>
      </w:r>
    </w:p>
    <w:p w:rsidR="00BB59CD" w:rsidRDefault="00BB59CD" w:rsidP="00BB59CD">
      <w:pPr>
        <w:rPr>
          <w:rtl/>
        </w:rPr>
      </w:pPr>
      <w:bookmarkStart w:id="35125" w:name="_ETM_Q63_207000"/>
      <w:bookmarkEnd w:id="35125"/>
    </w:p>
    <w:p w:rsidR="00BB59CD" w:rsidRDefault="00BB59CD" w:rsidP="00BB59CD">
      <w:pPr>
        <w:rPr>
          <w:rtl/>
        </w:rPr>
      </w:pPr>
      <w:bookmarkStart w:id="35126" w:name="_ETM_Q63_204789"/>
      <w:bookmarkEnd w:id="35126"/>
      <w:r>
        <w:rPr>
          <w:rFonts w:hint="cs"/>
          <w:rtl/>
        </w:rPr>
        <w:t xml:space="preserve">כל </w:t>
      </w:r>
      <w:bookmarkStart w:id="35127" w:name="_ETM_Q63_205119"/>
      <w:bookmarkEnd w:id="35127"/>
      <w:r>
        <w:rPr>
          <w:rFonts w:hint="cs"/>
          <w:rtl/>
        </w:rPr>
        <w:t xml:space="preserve">ממשלה </w:t>
      </w:r>
      <w:bookmarkStart w:id="35128" w:name="_ETM_Q63_205600"/>
      <w:bookmarkEnd w:id="35128"/>
      <w:r>
        <w:rPr>
          <w:rFonts w:hint="cs"/>
          <w:rtl/>
        </w:rPr>
        <w:t xml:space="preserve">בישראל </w:t>
      </w:r>
      <w:bookmarkStart w:id="35129" w:name="_ETM_Q63_206170"/>
      <w:bookmarkEnd w:id="35129"/>
      <w:r>
        <w:rPr>
          <w:rFonts w:hint="cs"/>
          <w:rtl/>
        </w:rPr>
        <w:t xml:space="preserve">מוגבלת </w:t>
      </w:r>
      <w:bookmarkStart w:id="35130" w:name="_ETM_Q63_207010"/>
      <w:bookmarkEnd w:id="35130"/>
      <w:r>
        <w:rPr>
          <w:rFonts w:hint="cs"/>
          <w:rtl/>
        </w:rPr>
        <w:t xml:space="preserve">בפעולות </w:t>
      </w:r>
      <w:bookmarkStart w:id="35131" w:name="_ETM_Q63_207670"/>
      <w:bookmarkEnd w:id="35131"/>
      <w:r>
        <w:rPr>
          <w:rFonts w:hint="cs"/>
          <w:rtl/>
        </w:rPr>
        <w:t xml:space="preserve">ובמעשים </w:t>
      </w:r>
      <w:bookmarkStart w:id="35132" w:name="_ETM_Q63_208689"/>
      <w:bookmarkEnd w:id="35132"/>
      <w:r>
        <w:rPr>
          <w:rFonts w:hint="cs"/>
          <w:rtl/>
        </w:rPr>
        <w:t xml:space="preserve">שהיא </w:t>
      </w:r>
      <w:bookmarkStart w:id="35133" w:name="_ETM_Q63_208960"/>
      <w:bookmarkEnd w:id="35133"/>
      <w:r>
        <w:rPr>
          <w:rFonts w:hint="cs"/>
          <w:rtl/>
        </w:rPr>
        <w:t xml:space="preserve">יכולה </w:t>
      </w:r>
      <w:bookmarkStart w:id="35134" w:name="_ETM_Q63_209319"/>
      <w:bookmarkEnd w:id="35134"/>
      <w:r>
        <w:rPr>
          <w:rFonts w:hint="cs"/>
          <w:rtl/>
        </w:rPr>
        <w:t xml:space="preserve">לבצע, </w:t>
      </w:r>
      <w:bookmarkStart w:id="35135" w:name="_ETM_Q63_210950"/>
      <w:bookmarkEnd w:id="35135"/>
      <w:r>
        <w:rPr>
          <w:rFonts w:hint="cs"/>
          <w:rtl/>
        </w:rPr>
        <w:t>ועל</w:t>
      </w:r>
      <w:bookmarkStart w:id="35136" w:name="_ETM_Q63_211640"/>
      <w:bookmarkEnd w:id="35136"/>
      <w:r>
        <w:rPr>
          <w:rFonts w:hint="cs"/>
          <w:rtl/>
        </w:rPr>
        <w:t xml:space="preserve">יה </w:t>
      </w:r>
      <w:bookmarkStart w:id="35137" w:name="_ETM_Q63_211970"/>
      <w:bookmarkEnd w:id="35137"/>
      <w:r>
        <w:rPr>
          <w:rFonts w:hint="cs"/>
          <w:rtl/>
        </w:rPr>
        <w:t xml:space="preserve">לנהוג </w:t>
      </w:r>
      <w:bookmarkStart w:id="35138" w:name="_ETM_Q63_212390"/>
      <w:bookmarkEnd w:id="35138"/>
      <w:r>
        <w:rPr>
          <w:rFonts w:hint="cs"/>
          <w:rtl/>
        </w:rPr>
        <w:t xml:space="preserve">בזהירות </w:t>
      </w:r>
      <w:bookmarkStart w:id="35139" w:name="_ETM_Q63_213050"/>
      <w:bookmarkEnd w:id="35139"/>
      <w:r>
        <w:rPr>
          <w:rFonts w:hint="cs"/>
          <w:rtl/>
        </w:rPr>
        <w:t xml:space="preserve">ובאחריות. </w:t>
      </w:r>
      <w:bookmarkStart w:id="35140" w:name="_ETM_Q63_215030"/>
      <w:bookmarkEnd w:id="35140"/>
      <w:r>
        <w:rPr>
          <w:rFonts w:hint="cs"/>
          <w:rtl/>
        </w:rPr>
        <w:t xml:space="preserve">זו </w:t>
      </w:r>
      <w:bookmarkStart w:id="35141" w:name="_ETM_Q63_215979"/>
      <w:bookmarkEnd w:id="35141"/>
      <w:r>
        <w:rPr>
          <w:rFonts w:hint="cs"/>
          <w:rtl/>
        </w:rPr>
        <w:t xml:space="preserve">המנהיגות, </w:t>
      </w:r>
      <w:bookmarkStart w:id="35142" w:name="_ETM_Q63_217550"/>
      <w:bookmarkEnd w:id="35142"/>
      <w:r>
        <w:rPr>
          <w:rFonts w:hint="cs"/>
          <w:rtl/>
        </w:rPr>
        <w:t xml:space="preserve">אולי </w:t>
      </w:r>
      <w:bookmarkStart w:id="35143" w:name="_ETM_Q63_217880"/>
      <w:bookmarkEnd w:id="35143"/>
      <w:r>
        <w:rPr>
          <w:rFonts w:hint="cs"/>
          <w:rtl/>
        </w:rPr>
        <w:t xml:space="preserve">מהות </w:t>
      </w:r>
      <w:bookmarkStart w:id="35144" w:name="_ETM_Q63_218300"/>
      <w:bookmarkEnd w:id="35144"/>
      <w:r>
        <w:rPr>
          <w:rFonts w:hint="cs"/>
          <w:rtl/>
        </w:rPr>
        <w:t xml:space="preserve">המנהיגות. </w:t>
      </w:r>
      <w:bookmarkStart w:id="35145" w:name="_ETM_Q63_224000"/>
      <w:bookmarkStart w:id="35146" w:name="_ETM_Q63_221809"/>
      <w:bookmarkEnd w:id="35145"/>
      <w:bookmarkEnd w:id="35146"/>
      <w:r>
        <w:rPr>
          <w:rFonts w:hint="cs"/>
          <w:rtl/>
        </w:rPr>
        <w:t xml:space="preserve">מנחם </w:t>
      </w:r>
      <w:bookmarkStart w:id="35147" w:name="_ETM_Q63_222559"/>
      <w:bookmarkEnd w:id="35147"/>
      <w:r>
        <w:rPr>
          <w:rFonts w:hint="cs"/>
          <w:rtl/>
        </w:rPr>
        <w:t xml:space="preserve">בגין, </w:t>
      </w:r>
      <w:bookmarkStart w:id="35148" w:name="_ETM_Q63_223129"/>
      <w:bookmarkEnd w:id="35148"/>
      <w:r>
        <w:rPr>
          <w:rFonts w:hint="cs"/>
          <w:rtl/>
        </w:rPr>
        <w:t xml:space="preserve">זיכרונו </w:t>
      </w:r>
      <w:bookmarkStart w:id="35149" w:name="_ETM_Q63_223579"/>
      <w:bookmarkEnd w:id="35149"/>
      <w:r>
        <w:rPr>
          <w:rFonts w:hint="cs"/>
          <w:rtl/>
        </w:rPr>
        <w:t xml:space="preserve">לברכה, </w:t>
      </w:r>
      <w:bookmarkStart w:id="35150" w:name="_ETM_Q63_225080"/>
      <w:bookmarkEnd w:id="35150"/>
      <w:r>
        <w:rPr>
          <w:rFonts w:hint="cs"/>
          <w:rtl/>
        </w:rPr>
        <w:t xml:space="preserve">שהבית </w:t>
      </w:r>
      <w:bookmarkStart w:id="35151" w:name="_ETM_Q63_225710"/>
      <w:bookmarkEnd w:id="35151"/>
      <w:r>
        <w:rPr>
          <w:rFonts w:hint="cs"/>
          <w:rtl/>
        </w:rPr>
        <w:t xml:space="preserve">הזה </w:t>
      </w:r>
      <w:bookmarkStart w:id="35152" w:name="_ETM_Q63_225950"/>
      <w:bookmarkEnd w:id="35152"/>
      <w:r>
        <w:rPr>
          <w:rFonts w:hint="cs"/>
          <w:rtl/>
        </w:rPr>
        <w:t xml:space="preserve">חסר </w:t>
      </w:r>
      <w:bookmarkStart w:id="35153" w:name="_ETM_Q63_226370"/>
      <w:bookmarkEnd w:id="35153"/>
      <w:r>
        <w:rPr>
          <w:rFonts w:hint="cs"/>
          <w:rtl/>
        </w:rPr>
        <w:t xml:space="preserve">אותו </w:t>
      </w:r>
      <w:bookmarkStart w:id="35154" w:name="_ETM_Q63_226670"/>
      <w:bookmarkEnd w:id="35154"/>
      <w:r>
        <w:rPr>
          <w:rFonts w:hint="cs"/>
          <w:rtl/>
        </w:rPr>
        <w:t xml:space="preserve">כל </w:t>
      </w:r>
      <w:bookmarkStart w:id="35155" w:name="_ETM_Q63_226850"/>
      <w:bookmarkEnd w:id="35155"/>
      <w:r>
        <w:rPr>
          <w:rFonts w:hint="cs"/>
          <w:rtl/>
        </w:rPr>
        <w:t xml:space="preserve">כך, </w:t>
      </w:r>
      <w:bookmarkStart w:id="35156" w:name="_ETM_Q63_227780"/>
      <w:bookmarkEnd w:id="35156"/>
      <w:r>
        <w:rPr>
          <w:rFonts w:hint="cs"/>
          <w:rtl/>
        </w:rPr>
        <w:t xml:space="preserve">גם </w:t>
      </w:r>
      <w:bookmarkStart w:id="35157" w:name="_ETM_Q63_228049"/>
      <w:bookmarkEnd w:id="35157"/>
      <w:r>
        <w:rPr>
          <w:rFonts w:hint="cs"/>
          <w:rtl/>
        </w:rPr>
        <w:t xml:space="preserve">הוא </w:t>
      </w:r>
      <w:bookmarkStart w:id="35158" w:name="_ETM_Q63_228170"/>
      <w:bookmarkEnd w:id="35158"/>
      <w:r>
        <w:rPr>
          <w:rFonts w:hint="cs"/>
          <w:rtl/>
        </w:rPr>
        <w:t xml:space="preserve">לא </w:t>
      </w:r>
      <w:bookmarkStart w:id="35159" w:name="_ETM_Q63_228319"/>
      <w:bookmarkEnd w:id="35159"/>
      <w:r>
        <w:rPr>
          <w:rFonts w:hint="cs"/>
          <w:rtl/>
        </w:rPr>
        <w:t xml:space="preserve">איש </w:t>
      </w:r>
      <w:bookmarkStart w:id="35160" w:name="_ETM_Q63_228440"/>
      <w:bookmarkEnd w:id="35160"/>
      <w:r>
        <w:rPr>
          <w:rFonts w:hint="cs"/>
          <w:rtl/>
        </w:rPr>
        <w:t xml:space="preserve">שמאל, </w:t>
      </w:r>
      <w:bookmarkStart w:id="35161" w:name="_ETM_Q63_230239"/>
      <w:bookmarkEnd w:id="35161"/>
      <w:r>
        <w:rPr>
          <w:rFonts w:hint="cs"/>
          <w:rtl/>
        </w:rPr>
        <w:t xml:space="preserve">אמר </w:t>
      </w:r>
      <w:bookmarkStart w:id="35162" w:name="_ETM_Q63_230600"/>
      <w:bookmarkEnd w:id="35162"/>
      <w:r>
        <w:rPr>
          <w:rFonts w:hint="cs"/>
          <w:rtl/>
        </w:rPr>
        <w:t xml:space="preserve">זאת </w:t>
      </w:r>
      <w:bookmarkStart w:id="35163" w:name="_ETM_Q63_230840"/>
      <w:bookmarkEnd w:id="35163"/>
      <w:r>
        <w:rPr>
          <w:rFonts w:hint="cs"/>
          <w:rtl/>
        </w:rPr>
        <w:t xml:space="preserve">בפשטות, </w:t>
      </w:r>
      <w:bookmarkStart w:id="35164" w:name="_ETM_Q63_232940"/>
      <w:bookmarkEnd w:id="35164"/>
      <w:r>
        <w:rPr>
          <w:rFonts w:hint="cs"/>
          <w:rtl/>
        </w:rPr>
        <w:t xml:space="preserve">ואני </w:t>
      </w:r>
      <w:bookmarkStart w:id="35165" w:name="_ETM_Q63_233120"/>
      <w:bookmarkEnd w:id="35165"/>
      <w:r>
        <w:rPr>
          <w:rFonts w:hint="cs"/>
          <w:rtl/>
        </w:rPr>
        <w:t xml:space="preserve">מצטט: </w:t>
      </w:r>
      <w:bookmarkStart w:id="35166" w:name="_ETM_Q63_234649"/>
      <w:bookmarkEnd w:id="35166"/>
      <w:r>
        <w:rPr>
          <w:rFonts w:hint="cs"/>
          <w:rtl/>
        </w:rPr>
        <w:t xml:space="preserve">"למדנו </w:t>
      </w:r>
      <w:bookmarkStart w:id="35167" w:name="_ETM_Q63_235250"/>
      <w:bookmarkEnd w:id="35167"/>
      <w:r>
        <w:rPr>
          <w:rFonts w:hint="cs"/>
          <w:rtl/>
        </w:rPr>
        <w:t xml:space="preserve">כי </w:t>
      </w:r>
      <w:bookmarkStart w:id="35168" w:name="_ETM_Q63_235460"/>
      <w:bookmarkEnd w:id="35168"/>
      <w:r>
        <w:rPr>
          <w:rFonts w:hint="cs"/>
          <w:rtl/>
        </w:rPr>
        <w:t xml:space="preserve">רוב </w:t>
      </w:r>
      <w:bookmarkStart w:id="35169" w:name="_ETM_Q63_235730"/>
      <w:bookmarkEnd w:id="35169"/>
      <w:r>
        <w:rPr>
          <w:rFonts w:hint="cs"/>
          <w:rtl/>
        </w:rPr>
        <w:t xml:space="preserve">פרלמנטרי </w:t>
      </w:r>
      <w:bookmarkStart w:id="35170" w:name="_ETM_Q63_236660"/>
      <w:bookmarkEnd w:id="35170"/>
      <w:r>
        <w:rPr>
          <w:rFonts w:hint="cs"/>
          <w:rtl/>
        </w:rPr>
        <w:t xml:space="preserve">נבחר </w:t>
      </w:r>
      <w:bookmarkStart w:id="35171" w:name="_ETM_Q63_237899"/>
      <w:bookmarkEnd w:id="35171"/>
      <w:r>
        <w:rPr>
          <w:rFonts w:hint="cs"/>
          <w:rtl/>
        </w:rPr>
        <w:t xml:space="preserve">יכול </w:t>
      </w:r>
      <w:bookmarkStart w:id="35172" w:name="_ETM_Q63_238350"/>
      <w:bookmarkEnd w:id="35172"/>
      <w:r>
        <w:rPr>
          <w:rFonts w:hint="cs"/>
          <w:rtl/>
        </w:rPr>
        <w:t xml:space="preserve">להיות </w:t>
      </w:r>
      <w:bookmarkStart w:id="35173" w:name="_ETM_Q63_238590"/>
      <w:bookmarkEnd w:id="35173"/>
      <w:r>
        <w:rPr>
          <w:rFonts w:hint="cs"/>
          <w:rtl/>
        </w:rPr>
        <w:t xml:space="preserve">מכשיר </w:t>
      </w:r>
      <w:bookmarkStart w:id="35174" w:name="_ETM_Q63_239160"/>
      <w:bookmarkEnd w:id="35174"/>
      <w:r>
        <w:rPr>
          <w:rFonts w:hint="cs"/>
          <w:rtl/>
        </w:rPr>
        <w:t xml:space="preserve">בידי </w:t>
      </w:r>
      <w:bookmarkStart w:id="35175" w:name="_ETM_Q63_239489"/>
      <w:bookmarkEnd w:id="35175"/>
      <w:r>
        <w:rPr>
          <w:rFonts w:hint="cs"/>
          <w:rtl/>
        </w:rPr>
        <w:t xml:space="preserve">קבוצת </w:t>
      </w:r>
      <w:bookmarkStart w:id="35176" w:name="_ETM_Q63_240030"/>
      <w:bookmarkEnd w:id="35176"/>
      <w:r>
        <w:rPr>
          <w:rFonts w:hint="cs"/>
          <w:rtl/>
        </w:rPr>
        <w:t xml:space="preserve">שליטים </w:t>
      </w:r>
      <w:bookmarkStart w:id="35177" w:name="_ETM_Q63_241350"/>
      <w:bookmarkEnd w:id="35177"/>
      <w:r>
        <w:rPr>
          <w:rFonts w:hint="cs"/>
          <w:rtl/>
        </w:rPr>
        <w:t xml:space="preserve">ומסווה </w:t>
      </w:r>
      <w:bookmarkStart w:id="35178" w:name="_ETM_Q63_242100"/>
      <w:bookmarkStart w:id="35179" w:name="_ETM_Q63_242640"/>
      <w:bookmarkEnd w:id="35178"/>
      <w:bookmarkEnd w:id="35179"/>
      <w:r>
        <w:rPr>
          <w:rFonts w:hint="cs"/>
          <w:rtl/>
        </w:rPr>
        <w:t xml:space="preserve">לעריצותם. </w:t>
      </w:r>
      <w:bookmarkStart w:id="35180" w:name="_ETM_Q63_244360"/>
      <w:bookmarkEnd w:id="35180"/>
      <w:r>
        <w:rPr>
          <w:rFonts w:hint="cs"/>
          <w:rtl/>
        </w:rPr>
        <w:t xml:space="preserve">על </w:t>
      </w:r>
      <w:bookmarkStart w:id="35181" w:name="_ETM_Q63_244540"/>
      <w:bookmarkEnd w:id="35181"/>
      <w:r>
        <w:rPr>
          <w:rFonts w:hint="cs"/>
          <w:rtl/>
        </w:rPr>
        <w:t xml:space="preserve">כן </w:t>
      </w:r>
      <w:bookmarkStart w:id="35182" w:name="_ETM_Q63_244780"/>
      <w:bookmarkEnd w:id="35182"/>
      <w:r>
        <w:rPr>
          <w:rFonts w:hint="cs"/>
          <w:rtl/>
        </w:rPr>
        <w:t xml:space="preserve">חייב </w:t>
      </w:r>
      <w:bookmarkStart w:id="35183" w:name="_ETM_Q63_245170"/>
      <w:bookmarkEnd w:id="35183"/>
      <w:r>
        <w:rPr>
          <w:rFonts w:hint="cs"/>
          <w:rtl/>
        </w:rPr>
        <w:t xml:space="preserve">העם, </w:t>
      </w:r>
      <w:bookmarkStart w:id="35184" w:name="_ETM_Q63_245440"/>
      <w:bookmarkEnd w:id="35184"/>
      <w:r>
        <w:rPr>
          <w:rFonts w:hint="cs"/>
          <w:rtl/>
        </w:rPr>
        <w:t xml:space="preserve">אם </w:t>
      </w:r>
      <w:bookmarkStart w:id="35185" w:name="_ETM_Q63_245590"/>
      <w:bookmarkEnd w:id="35185"/>
      <w:r>
        <w:rPr>
          <w:rFonts w:hint="cs"/>
          <w:rtl/>
        </w:rPr>
        <w:t xml:space="preserve">הוא </w:t>
      </w:r>
      <w:bookmarkStart w:id="35186" w:name="_ETM_Q63_245680"/>
      <w:bookmarkEnd w:id="35186"/>
      <w:r>
        <w:rPr>
          <w:rFonts w:hint="cs"/>
          <w:rtl/>
        </w:rPr>
        <w:t xml:space="preserve">בוחר </w:t>
      </w:r>
      <w:bookmarkStart w:id="35187" w:name="_ETM_Q63_246160"/>
      <w:bookmarkEnd w:id="35187"/>
      <w:r>
        <w:rPr>
          <w:rFonts w:hint="cs"/>
          <w:rtl/>
        </w:rPr>
        <w:t xml:space="preserve">בחירות, </w:t>
      </w:r>
      <w:bookmarkStart w:id="35188" w:name="_ETM_Q63_247250"/>
      <w:bookmarkEnd w:id="35188"/>
      <w:r>
        <w:rPr>
          <w:rFonts w:hint="cs"/>
          <w:rtl/>
        </w:rPr>
        <w:t xml:space="preserve">לקבוע </w:t>
      </w:r>
      <w:bookmarkStart w:id="35189" w:name="_ETM_Q63_247850"/>
      <w:bookmarkEnd w:id="35189"/>
      <w:r>
        <w:rPr>
          <w:rFonts w:hint="cs"/>
          <w:rtl/>
        </w:rPr>
        <w:t xml:space="preserve">את </w:t>
      </w:r>
      <w:bookmarkStart w:id="35190" w:name="_ETM_Q63_247939"/>
      <w:bookmarkEnd w:id="35190"/>
      <w:r>
        <w:rPr>
          <w:rFonts w:hint="cs"/>
          <w:rtl/>
        </w:rPr>
        <w:t xml:space="preserve">זכויותיו </w:t>
      </w:r>
      <w:bookmarkStart w:id="35191" w:name="_ETM_Q63_248659"/>
      <w:bookmarkEnd w:id="35191"/>
      <w:r>
        <w:rPr>
          <w:rFonts w:hint="cs"/>
          <w:rtl/>
        </w:rPr>
        <w:t xml:space="preserve">גם </w:t>
      </w:r>
      <w:bookmarkStart w:id="35192" w:name="_ETM_Q63_248990"/>
      <w:bookmarkEnd w:id="35192"/>
      <w:r>
        <w:rPr>
          <w:rFonts w:hint="cs"/>
          <w:rtl/>
        </w:rPr>
        <w:t xml:space="preserve">מול </w:t>
      </w:r>
      <w:bookmarkStart w:id="35193" w:name="_ETM_Q63_249170"/>
      <w:bookmarkEnd w:id="35193"/>
      <w:r>
        <w:rPr>
          <w:rFonts w:hint="cs"/>
          <w:rtl/>
        </w:rPr>
        <w:t xml:space="preserve">בית </w:t>
      </w:r>
      <w:bookmarkStart w:id="35194" w:name="_ETM_Q63_249409"/>
      <w:bookmarkEnd w:id="35194"/>
      <w:r>
        <w:rPr>
          <w:rFonts w:hint="cs"/>
          <w:rtl/>
        </w:rPr>
        <w:t xml:space="preserve">הנבחרים, </w:t>
      </w:r>
      <w:bookmarkStart w:id="35195" w:name="_ETM_Q63_250950"/>
      <w:bookmarkEnd w:id="35195"/>
      <w:r>
        <w:rPr>
          <w:rFonts w:hint="cs"/>
          <w:rtl/>
        </w:rPr>
        <w:t xml:space="preserve">לבל </w:t>
      </w:r>
      <w:bookmarkStart w:id="35196" w:name="_ETM_Q63_251640"/>
      <w:bookmarkEnd w:id="35196"/>
      <w:r>
        <w:rPr>
          <w:rFonts w:hint="cs"/>
          <w:rtl/>
        </w:rPr>
        <w:t xml:space="preserve">יוכל </w:t>
      </w:r>
      <w:bookmarkStart w:id="35197" w:name="_ETM_Q63_252120"/>
      <w:bookmarkEnd w:id="35197"/>
      <w:r>
        <w:rPr>
          <w:rFonts w:hint="cs"/>
          <w:rtl/>
        </w:rPr>
        <w:t xml:space="preserve">הרוב </w:t>
      </w:r>
      <w:bookmarkStart w:id="35198" w:name="_ETM_Q63_252569"/>
      <w:bookmarkEnd w:id="35198"/>
      <w:r>
        <w:rPr>
          <w:rFonts w:hint="cs"/>
          <w:rtl/>
        </w:rPr>
        <w:t xml:space="preserve">שבו, </w:t>
      </w:r>
      <w:bookmarkStart w:id="35199" w:name="_ETM_Q63_253459"/>
      <w:bookmarkEnd w:id="35199"/>
      <w:r>
        <w:rPr>
          <w:rFonts w:hint="cs"/>
          <w:rtl/>
        </w:rPr>
        <w:t xml:space="preserve">המשרת </w:t>
      </w:r>
      <w:bookmarkStart w:id="35200" w:name="_ETM_Q63_254510"/>
      <w:bookmarkEnd w:id="35200"/>
      <w:r>
        <w:rPr>
          <w:rFonts w:hint="cs"/>
          <w:rtl/>
        </w:rPr>
        <w:t xml:space="preserve">את </w:t>
      </w:r>
      <w:bookmarkStart w:id="35201" w:name="_ETM_Q63_254659"/>
      <w:bookmarkEnd w:id="35201"/>
      <w:r>
        <w:rPr>
          <w:rFonts w:hint="cs"/>
          <w:rtl/>
        </w:rPr>
        <w:t xml:space="preserve">השלטון </w:t>
      </w:r>
      <w:bookmarkStart w:id="35202" w:name="_ETM_Q63_255319"/>
      <w:bookmarkEnd w:id="35202"/>
      <w:r>
        <w:rPr>
          <w:rFonts w:hint="cs"/>
          <w:rtl/>
        </w:rPr>
        <w:t xml:space="preserve">יותר </w:t>
      </w:r>
      <w:bookmarkStart w:id="35203" w:name="_ETM_Q63_255830"/>
      <w:bookmarkEnd w:id="35203"/>
      <w:r>
        <w:rPr>
          <w:rFonts w:hint="cs"/>
          <w:rtl/>
        </w:rPr>
        <w:t xml:space="preserve">מאשר </w:t>
      </w:r>
      <w:bookmarkStart w:id="35204" w:name="_ETM_Q63_256400"/>
      <w:bookmarkEnd w:id="35204"/>
      <w:r>
        <w:rPr>
          <w:rFonts w:hint="cs"/>
          <w:rtl/>
        </w:rPr>
        <w:t xml:space="preserve">הוא </w:t>
      </w:r>
      <w:bookmarkStart w:id="35205" w:name="_ETM_Q63_256520"/>
      <w:bookmarkEnd w:id="35205"/>
      <w:r>
        <w:rPr>
          <w:rFonts w:hint="cs"/>
          <w:rtl/>
        </w:rPr>
        <w:t xml:space="preserve">מפקח </w:t>
      </w:r>
      <w:bookmarkStart w:id="35206" w:name="_ETM_Q63_257299"/>
      <w:bookmarkEnd w:id="35206"/>
      <w:r>
        <w:rPr>
          <w:rFonts w:hint="cs"/>
          <w:rtl/>
        </w:rPr>
        <w:t xml:space="preserve">עליו, </w:t>
      </w:r>
      <w:bookmarkStart w:id="35207" w:name="_ETM_Q63_258170"/>
      <w:bookmarkEnd w:id="35207"/>
      <w:r>
        <w:rPr>
          <w:rFonts w:hint="cs"/>
          <w:rtl/>
        </w:rPr>
        <w:t xml:space="preserve">לשלול </w:t>
      </w:r>
      <w:bookmarkStart w:id="35208" w:name="_ETM_Q63_258799"/>
      <w:bookmarkEnd w:id="35208"/>
      <w:r>
        <w:rPr>
          <w:rFonts w:hint="cs"/>
          <w:rtl/>
        </w:rPr>
        <w:t xml:space="preserve">את </w:t>
      </w:r>
      <w:bookmarkStart w:id="35209" w:name="_ETM_Q63_258950"/>
      <w:bookmarkEnd w:id="35209"/>
      <w:r>
        <w:rPr>
          <w:rFonts w:hint="cs"/>
          <w:rtl/>
        </w:rPr>
        <w:t xml:space="preserve">הזכויות </w:t>
      </w:r>
      <w:bookmarkStart w:id="35210" w:name="_ETM_Q63_259549"/>
      <w:bookmarkEnd w:id="35210"/>
      <w:r>
        <w:rPr>
          <w:rFonts w:hint="cs"/>
          <w:rtl/>
        </w:rPr>
        <w:t xml:space="preserve">הללו". </w:t>
      </w:r>
      <w:bookmarkStart w:id="35211" w:name="_ETM_Q63_260950"/>
      <w:bookmarkEnd w:id="35211"/>
      <w:r>
        <w:rPr>
          <w:rFonts w:hint="cs"/>
          <w:rtl/>
        </w:rPr>
        <w:t xml:space="preserve">מנחם </w:t>
      </w:r>
      <w:bookmarkStart w:id="35212" w:name="_ETM_Q63_261520"/>
      <w:bookmarkEnd w:id="35212"/>
      <w:r>
        <w:rPr>
          <w:rFonts w:hint="cs"/>
          <w:rtl/>
        </w:rPr>
        <w:t>בגין.</w:t>
      </w:r>
    </w:p>
    <w:p w:rsidR="00BB59CD" w:rsidRDefault="00BB59CD" w:rsidP="00BB59CD">
      <w:pPr>
        <w:rPr>
          <w:rtl/>
        </w:rPr>
      </w:pPr>
      <w:bookmarkStart w:id="35213" w:name="_ETM_Q63_264000"/>
      <w:bookmarkEnd w:id="35213"/>
    </w:p>
    <w:p w:rsidR="00BB59CD" w:rsidRDefault="00BB59CD" w:rsidP="003F0554">
      <w:pPr>
        <w:rPr>
          <w:rtl/>
        </w:rPr>
      </w:pPr>
      <w:bookmarkStart w:id="35214" w:name="_ETM_Q63_265000"/>
      <w:bookmarkStart w:id="35215" w:name="_ETM_Q63_263859"/>
      <w:bookmarkEnd w:id="35214"/>
      <w:bookmarkEnd w:id="35215"/>
      <w:r>
        <w:rPr>
          <w:rFonts w:hint="cs"/>
          <w:rtl/>
        </w:rPr>
        <w:t xml:space="preserve">הבחירה </w:t>
      </w:r>
      <w:bookmarkStart w:id="35216" w:name="_ETM_Q63_264429"/>
      <w:bookmarkEnd w:id="35216"/>
      <w:r>
        <w:rPr>
          <w:rFonts w:hint="cs"/>
          <w:rtl/>
        </w:rPr>
        <w:t xml:space="preserve">של </w:t>
      </w:r>
      <w:bookmarkStart w:id="35217" w:name="_ETM_Q63_264609"/>
      <w:bookmarkEnd w:id="35217"/>
      <w:r>
        <w:rPr>
          <w:rFonts w:hint="cs"/>
          <w:rtl/>
        </w:rPr>
        <w:t xml:space="preserve">הממשלה </w:t>
      </w:r>
      <w:bookmarkStart w:id="35218" w:name="_ETM_Q63_265179"/>
      <w:bookmarkEnd w:id="35218"/>
      <w:r>
        <w:rPr>
          <w:rFonts w:hint="cs"/>
          <w:rtl/>
        </w:rPr>
        <w:t xml:space="preserve">לבצע </w:t>
      </w:r>
      <w:bookmarkStart w:id="35219" w:name="_ETM_Q63_265779"/>
      <w:bookmarkEnd w:id="35219"/>
      <w:r>
        <w:rPr>
          <w:rFonts w:hint="cs"/>
          <w:rtl/>
        </w:rPr>
        <w:t xml:space="preserve">פעולות </w:t>
      </w:r>
      <w:bookmarkStart w:id="35220" w:name="_ETM_Q63_266229"/>
      <w:bookmarkEnd w:id="35220"/>
      <w:r>
        <w:rPr>
          <w:rFonts w:hint="cs"/>
          <w:rtl/>
        </w:rPr>
        <w:t xml:space="preserve">כאלה </w:t>
      </w:r>
      <w:bookmarkStart w:id="35221" w:name="_ETM_Q63_266619"/>
      <w:bookmarkEnd w:id="35221"/>
      <w:r>
        <w:rPr>
          <w:rFonts w:hint="cs"/>
          <w:rtl/>
        </w:rPr>
        <w:t>היום</w:t>
      </w:r>
      <w:bookmarkStart w:id="35222" w:name="_ETM_Q63_267579"/>
      <w:bookmarkEnd w:id="35222"/>
      <w:r>
        <w:rPr>
          <w:rFonts w:hint="cs"/>
          <w:rtl/>
        </w:rPr>
        <w:t xml:space="preserve">, בזמנים </w:t>
      </w:r>
      <w:bookmarkStart w:id="35223" w:name="_ETM_Q63_268209"/>
      <w:bookmarkEnd w:id="35223"/>
      <w:r>
        <w:rPr>
          <w:rFonts w:hint="cs"/>
          <w:rtl/>
        </w:rPr>
        <w:t xml:space="preserve">האלה, </w:t>
      </w:r>
      <w:bookmarkStart w:id="35224" w:name="_ETM_Q63_269240"/>
      <w:bookmarkEnd w:id="35224"/>
      <w:r>
        <w:rPr>
          <w:rFonts w:hint="cs"/>
          <w:rtl/>
        </w:rPr>
        <w:t xml:space="preserve">כשבחוץ </w:t>
      </w:r>
      <w:bookmarkStart w:id="35225" w:name="_ETM_Q63_269840"/>
      <w:bookmarkEnd w:id="35225"/>
      <w:r>
        <w:rPr>
          <w:rFonts w:hint="cs"/>
          <w:rtl/>
        </w:rPr>
        <w:t xml:space="preserve">משתוללת </w:t>
      </w:r>
      <w:bookmarkStart w:id="35226" w:name="_ETM_Q63_270770"/>
      <w:bookmarkEnd w:id="35226"/>
      <w:r>
        <w:rPr>
          <w:rFonts w:hint="cs"/>
          <w:rtl/>
        </w:rPr>
        <w:t xml:space="preserve">מחאה </w:t>
      </w:r>
      <w:bookmarkStart w:id="35227" w:name="_ETM_Q63_271189"/>
      <w:bookmarkEnd w:id="35227"/>
      <w:r>
        <w:rPr>
          <w:rFonts w:hint="cs"/>
          <w:rtl/>
        </w:rPr>
        <w:t xml:space="preserve">אזרחית </w:t>
      </w:r>
      <w:bookmarkStart w:id="35228" w:name="_ETM_Q63_271729"/>
      <w:bookmarkEnd w:id="35228"/>
      <w:r>
        <w:rPr>
          <w:rFonts w:hint="cs"/>
          <w:rtl/>
        </w:rPr>
        <w:t xml:space="preserve">עצומה, </w:t>
      </w:r>
      <w:bookmarkStart w:id="35229" w:name="_ETM_Q63_272689"/>
      <w:bookmarkEnd w:id="35229"/>
      <w:r>
        <w:rPr>
          <w:rFonts w:hint="cs"/>
          <w:rtl/>
        </w:rPr>
        <w:t xml:space="preserve">היא </w:t>
      </w:r>
      <w:bookmarkStart w:id="35230" w:name="_ETM_Q63_272929"/>
      <w:bookmarkEnd w:id="35230"/>
      <w:r>
        <w:rPr>
          <w:rFonts w:hint="cs"/>
          <w:rtl/>
        </w:rPr>
        <w:t xml:space="preserve">בחירה </w:t>
      </w:r>
      <w:bookmarkStart w:id="35231" w:name="_ETM_Q63_273469"/>
      <w:bookmarkEnd w:id="35231"/>
      <w:r>
        <w:rPr>
          <w:rFonts w:hint="cs"/>
          <w:rtl/>
        </w:rPr>
        <w:t xml:space="preserve">לא </w:t>
      </w:r>
      <w:bookmarkStart w:id="35232" w:name="_ETM_Q63_273649"/>
      <w:bookmarkEnd w:id="35232"/>
      <w:r>
        <w:rPr>
          <w:rFonts w:hint="cs"/>
          <w:rtl/>
        </w:rPr>
        <w:t xml:space="preserve">זהירה </w:t>
      </w:r>
      <w:bookmarkStart w:id="35233" w:name="_ETM_Q63_274810"/>
      <w:bookmarkEnd w:id="35233"/>
      <w:r>
        <w:rPr>
          <w:rFonts w:hint="cs"/>
          <w:rtl/>
        </w:rPr>
        <w:t xml:space="preserve">ולא </w:t>
      </w:r>
      <w:bookmarkStart w:id="35234" w:name="_ETM_Q63_275229"/>
      <w:bookmarkEnd w:id="35234"/>
      <w:r>
        <w:rPr>
          <w:rFonts w:hint="cs"/>
          <w:rtl/>
        </w:rPr>
        <w:t xml:space="preserve">אחראית </w:t>
      </w:r>
      <w:bookmarkStart w:id="35235" w:name="_ETM_Q63_276430"/>
      <w:bookmarkEnd w:id="35235"/>
      <w:r>
        <w:rPr>
          <w:rFonts w:hint="cs"/>
          <w:rtl/>
        </w:rPr>
        <w:t xml:space="preserve">ולא </w:t>
      </w:r>
      <w:bookmarkStart w:id="35236" w:name="_ETM_Q63_276819"/>
      <w:bookmarkEnd w:id="35236"/>
      <w:r>
        <w:rPr>
          <w:rFonts w:hint="cs"/>
          <w:rtl/>
        </w:rPr>
        <w:t xml:space="preserve">מידתית </w:t>
      </w:r>
      <w:bookmarkStart w:id="35237" w:name="_ETM_Q63_277659"/>
      <w:bookmarkEnd w:id="35237"/>
      <w:r>
        <w:rPr>
          <w:rFonts w:hint="cs"/>
          <w:rtl/>
        </w:rPr>
        <w:t xml:space="preserve">ולא </w:t>
      </w:r>
      <w:bookmarkStart w:id="35238" w:name="_ETM_Q63_277990"/>
      <w:bookmarkEnd w:id="35238"/>
      <w:r>
        <w:rPr>
          <w:rFonts w:hint="cs"/>
          <w:rtl/>
        </w:rPr>
        <w:t xml:space="preserve">מנהיגותית. </w:t>
      </w:r>
      <w:bookmarkStart w:id="35239" w:name="_ETM_Q63_279240"/>
      <w:bookmarkEnd w:id="35239"/>
      <w:r>
        <w:rPr>
          <w:rFonts w:hint="cs"/>
          <w:rtl/>
        </w:rPr>
        <w:t xml:space="preserve">היא </w:t>
      </w:r>
      <w:bookmarkStart w:id="35240" w:name="_ETM_Q63_279420"/>
      <w:bookmarkEnd w:id="35240"/>
      <w:r>
        <w:rPr>
          <w:rFonts w:hint="cs"/>
          <w:rtl/>
        </w:rPr>
        <w:t xml:space="preserve">לא </w:t>
      </w:r>
      <w:bookmarkStart w:id="35241" w:name="_ETM_Q63_279569"/>
      <w:bookmarkEnd w:id="35241"/>
      <w:r>
        <w:rPr>
          <w:rFonts w:hint="cs"/>
          <w:rtl/>
        </w:rPr>
        <w:t xml:space="preserve">בגיניסטית </w:t>
      </w:r>
      <w:bookmarkStart w:id="35242" w:name="_ETM_Q63_281359"/>
      <w:bookmarkEnd w:id="35242"/>
      <w:r>
        <w:rPr>
          <w:rFonts w:hint="cs"/>
          <w:rtl/>
        </w:rPr>
        <w:t xml:space="preserve">והיא </w:t>
      </w:r>
      <w:bookmarkStart w:id="35243" w:name="_ETM_Q63_281630"/>
      <w:bookmarkEnd w:id="35243"/>
      <w:r>
        <w:rPr>
          <w:rFonts w:hint="cs"/>
          <w:rtl/>
        </w:rPr>
        <w:t xml:space="preserve">לא </w:t>
      </w:r>
      <w:bookmarkStart w:id="35244" w:name="_ETM_Q63_281840"/>
      <w:bookmarkEnd w:id="35244"/>
      <w:r>
        <w:rPr>
          <w:rFonts w:hint="cs"/>
          <w:rtl/>
        </w:rPr>
        <w:t xml:space="preserve">ז'בוטינסקאית. </w:t>
      </w:r>
      <w:bookmarkStart w:id="35245" w:name="_ETM_Q63_282679"/>
      <w:bookmarkStart w:id="35246" w:name="_ETM_Q63_285049"/>
      <w:bookmarkEnd w:id="35245"/>
      <w:bookmarkEnd w:id="35246"/>
      <w:r>
        <w:rPr>
          <w:rFonts w:hint="cs"/>
          <w:rtl/>
        </w:rPr>
        <w:t xml:space="preserve">אני </w:t>
      </w:r>
      <w:bookmarkStart w:id="35247" w:name="_ETM_Q63_285289"/>
      <w:bookmarkEnd w:id="35247"/>
      <w:r>
        <w:rPr>
          <w:rFonts w:hint="cs"/>
          <w:rtl/>
        </w:rPr>
        <w:t xml:space="preserve">עומד </w:t>
      </w:r>
      <w:bookmarkStart w:id="35248" w:name="_ETM_Q63_285649"/>
      <w:bookmarkEnd w:id="35248"/>
      <w:r>
        <w:rPr>
          <w:rFonts w:hint="cs"/>
          <w:rtl/>
        </w:rPr>
        <w:t xml:space="preserve">כאן </w:t>
      </w:r>
      <w:bookmarkStart w:id="35249" w:name="_ETM_Q63_286340"/>
      <w:bookmarkEnd w:id="35249"/>
      <w:r>
        <w:rPr>
          <w:rFonts w:hint="cs"/>
          <w:rtl/>
        </w:rPr>
        <w:t xml:space="preserve">חצוי </w:t>
      </w:r>
      <w:bookmarkStart w:id="35250" w:name="_ETM_Q63_286880"/>
      <w:bookmarkEnd w:id="35250"/>
      <w:r>
        <w:rPr>
          <w:rFonts w:hint="cs"/>
          <w:rtl/>
        </w:rPr>
        <w:t xml:space="preserve">ונבוך, </w:t>
      </w:r>
      <w:bookmarkStart w:id="35251" w:name="_ETM_Q63_288899"/>
      <w:bookmarkEnd w:id="35251"/>
      <w:r>
        <w:rPr>
          <w:rFonts w:hint="cs"/>
          <w:rtl/>
        </w:rPr>
        <w:t xml:space="preserve">כי ליבי </w:t>
      </w:r>
      <w:bookmarkStart w:id="35252" w:name="_ETM_Q63_290219"/>
      <w:bookmarkEnd w:id="35252"/>
      <w:r>
        <w:rPr>
          <w:rFonts w:hint="cs"/>
          <w:rtl/>
        </w:rPr>
        <w:t xml:space="preserve">עם עם </w:t>
      </w:r>
      <w:bookmarkStart w:id="35253" w:name="_ETM_Q63_290549"/>
      <w:bookmarkEnd w:id="35253"/>
      <w:r>
        <w:rPr>
          <w:rFonts w:hint="cs"/>
          <w:rtl/>
        </w:rPr>
        <w:t xml:space="preserve">ישראל </w:t>
      </w:r>
      <w:bookmarkStart w:id="35254" w:name="_ETM_Q63_291609"/>
      <w:bookmarkEnd w:id="35254"/>
      <w:r>
        <w:rPr>
          <w:rFonts w:hint="cs"/>
          <w:rtl/>
        </w:rPr>
        <w:t xml:space="preserve">באשר </w:t>
      </w:r>
      <w:bookmarkStart w:id="35255" w:name="_ETM_Q63_292329"/>
      <w:bookmarkEnd w:id="35255"/>
      <w:r>
        <w:rPr>
          <w:rFonts w:hint="cs"/>
          <w:rtl/>
        </w:rPr>
        <w:t xml:space="preserve">הוא. </w:t>
      </w:r>
      <w:bookmarkStart w:id="35256" w:name="_ETM_Q63_293990"/>
      <w:bookmarkEnd w:id="35256"/>
      <w:r>
        <w:rPr>
          <w:rFonts w:hint="cs"/>
          <w:rtl/>
        </w:rPr>
        <w:t xml:space="preserve">לכל אחד </w:t>
      </w:r>
      <w:bookmarkStart w:id="35257" w:name="_ETM_Q63_294830"/>
      <w:bookmarkEnd w:id="35257"/>
      <w:r>
        <w:rPr>
          <w:rFonts w:hint="cs"/>
          <w:rtl/>
        </w:rPr>
        <w:t>מ</w:t>
      </w:r>
      <w:bookmarkStart w:id="35258" w:name="_ETM_Q63_295009"/>
      <w:bookmarkEnd w:id="35258"/>
      <w:r>
        <w:rPr>
          <w:rFonts w:hint="cs"/>
          <w:rtl/>
        </w:rPr>
        <w:t xml:space="preserve">הצדדים </w:t>
      </w:r>
      <w:bookmarkStart w:id="35259" w:name="_ETM_Q63_295610"/>
      <w:bookmarkEnd w:id="35259"/>
      <w:r>
        <w:rPr>
          <w:rFonts w:hint="cs"/>
          <w:rtl/>
        </w:rPr>
        <w:t xml:space="preserve">הנאבקים </w:t>
      </w:r>
      <w:bookmarkStart w:id="35260" w:name="_ETM_Q63_296720"/>
      <w:bookmarkEnd w:id="35260"/>
      <w:r>
        <w:rPr>
          <w:rFonts w:hint="cs"/>
          <w:rtl/>
        </w:rPr>
        <w:t xml:space="preserve">יש </w:t>
      </w:r>
      <w:bookmarkStart w:id="35261" w:name="_ETM_Q63_297049"/>
      <w:bookmarkEnd w:id="35261"/>
      <w:r>
        <w:rPr>
          <w:rFonts w:hint="cs"/>
          <w:rtl/>
        </w:rPr>
        <w:t xml:space="preserve">משהו </w:t>
      </w:r>
      <w:bookmarkStart w:id="35262" w:name="_ETM_Q63_297530"/>
      <w:bookmarkEnd w:id="35262"/>
      <w:r>
        <w:rPr>
          <w:rFonts w:hint="cs"/>
          <w:rtl/>
        </w:rPr>
        <w:t xml:space="preserve">שמחבר </w:t>
      </w:r>
      <w:bookmarkStart w:id="35263" w:name="_ETM_Q63_298280"/>
      <w:bookmarkEnd w:id="35263"/>
      <w:r>
        <w:rPr>
          <w:rFonts w:hint="cs"/>
          <w:rtl/>
        </w:rPr>
        <w:t xml:space="preserve">אותי </w:t>
      </w:r>
      <w:bookmarkStart w:id="35264" w:name="_ETM_Q63_298580"/>
      <w:bookmarkEnd w:id="35264"/>
      <w:r>
        <w:rPr>
          <w:rFonts w:hint="cs"/>
          <w:rtl/>
        </w:rPr>
        <w:t xml:space="preserve">אליו, </w:t>
      </w:r>
      <w:bookmarkStart w:id="35265" w:name="_ETM_Q63_300579"/>
      <w:bookmarkEnd w:id="35265"/>
      <w:r>
        <w:rPr>
          <w:rFonts w:hint="cs"/>
          <w:rtl/>
        </w:rPr>
        <w:t>לכל</w:t>
      </w:r>
      <w:bookmarkStart w:id="35266" w:name="_ETM_Q63_301060"/>
      <w:bookmarkEnd w:id="35266"/>
      <w:r>
        <w:rPr>
          <w:rFonts w:hint="cs"/>
          <w:rtl/>
        </w:rPr>
        <w:t xml:space="preserve"> אחד </w:t>
      </w:r>
      <w:bookmarkStart w:id="35267" w:name="_ETM_Q63_301420"/>
      <w:bookmarkEnd w:id="35267"/>
      <w:r>
        <w:rPr>
          <w:rFonts w:hint="cs"/>
          <w:rtl/>
        </w:rPr>
        <w:t xml:space="preserve">מהצדדים </w:t>
      </w:r>
      <w:bookmarkStart w:id="35268" w:name="_ETM_Q63_302109"/>
      <w:bookmarkEnd w:id="35268"/>
      <w:r>
        <w:rPr>
          <w:rFonts w:hint="cs"/>
          <w:rtl/>
        </w:rPr>
        <w:t xml:space="preserve">יש </w:t>
      </w:r>
      <w:bookmarkStart w:id="35269" w:name="_ETM_Q63_302319"/>
      <w:bookmarkEnd w:id="35269"/>
      <w:r>
        <w:rPr>
          <w:rFonts w:hint="cs"/>
          <w:rtl/>
        </w:rPr>
        <w:t xml:space="preserve">מקום </w:t>
      </w:r>
      <w:bookmarkStart w:id="35270" w:name="_ETM_Q63_302740"/>
      <w:bookmarkEnd w:id="35270"/>
      <w:r>
        <w:rPr>
          <w:rFonts w:hint="cs"/>
          <w:rtl/>
        </w:rPr>
        <w:t xml:space="preserve">בליבי </w:t>
      </w:r>
      <w:bookmarkStart w:id="35271" w:name="_ETM_Q63_304630"/>
      <w:bookmarkEnd w:id="35271"/>
      <w:r>
        <w:rPr>
          <w:rFonts w:hint="cs"/>
          <w:rtl/>
        </w:rPr>
        <w:t xml:space="preserve">ועם </w:t>
      </w:r>
      <w:bookmarkStart w:id="35272" w:name="_ETM_Q63_304930"/>
      <w:bookmarkEnd w:id="35272"/>
      <w:r>
        <w:rPr>
          <w:rFonts w:hint="cs"/>
          <w:rtl/>
        </w:rPr>
        <w:t xml:space="preserve">כל </w:t>
      </w:r>
      <w:bookmarkStart w:id="35273" w:name="_ETM_Q63_305200"/>
      <w:bookmarkEnd w:id="35273"/>
      <w:r>
        <w:rPr>
          <w:rFonts w:hint="cs"/>
          <w:rtl/>
        </w:rPr>
        <w:t xml:space="preserve">אחד </w:t>
      </w:r>
      <w:bookmarkStart w:id="35274" w:name="_ETM_Q63_305530"/>
      <w:bookmarkEnd w:id="35274"/>
      <w:r>
        <w:rPr>
          <w:rFonts w:hint="cs"/>
          <w:rtl/>
        </w:rPr>
        <w:t xml:space="preserve">מהם </w:t>
      </w:r>
      <w:bookmarkStart w:id="35275" w:name="_ETM_Q63_305770"/>
      <w:bookmarkEnd w:id="35275"/>
      <w:r>
        <w:rPr>
          <w:rFonts w:hint="cs"/>
          <w:rtl/>
        </w:rPr>
        <w:t xml:space="preserve">אני </w:t>
      </w:r>
      <w:bookmarkStart w:id="35276" w:name="_ETM_Q63_305920"/>
      <w:bookmarkEnd w:id="35276"/>
      <w:r>
        <w:rPr>
          <w:rFonts w:hint="cs"/>
          <w:rtl/>
        </w:rPr>
        <w:t xml:space="preserve">יכול </w:t>
      </w:r>
      <w:bookmarkStart w:id="35277" w:name="_ETM_Q63_306219"/>
      <w:bookmarkEnd w:id="35277"/>
      <w:r>
        <w:rPr>
          <w:rFonts w:hint="cs"/>
          <w:rtl/>
        </w:rPr>
        <w:t xml:space="preserve">להיות </w:t>
      </w:r>
      <w:bookmarkStart w:id="35278" w:name="_ETM_Q63_306399"/>
      <w:bookmarkEnd w:id="35278"/>
      <w:r>
        <w:rPr>
          <w:rFonts w:hint="cs"/>
          <w:rtl/>
        </w:rPr>
        <w:t xml:space="preserve">שמח </w:t>
      </w:r>
      <w:bookmarkStart w:id="35279" w:name="_ETM_Q63_307030"/>
      <w:bookmarkStart w:id="35280" w:name="_ETM_Q63_307119"/>
      <w:bookmarkEnd w:id="35279"/>
      <w:bookmarkEnd w:id="35280"/>
      <w:r>
        <w:rPr>
          <w:rFonts w:hint="cs"/>
          <w:rtl/>
        </w:rPr>
        <w:t xml:space="preserve">או עצוב </w:t>
      </w:r>
      <w:bookmarkStart w:id="35281" w:name="_ETM_Q63_307719"/>
      <w:bookmarkEnd w:id="35281"/>
      <w:r>
        <w:rPr>
          <w:rFonts w:hint="cs"/>
          <w:rtl/>
        </w:rPr>
        <w:t>או מודאג</w:t>
      </w:r>
      <w:bookmarkStart w:id="35282" w:name="_ETM_Q63_310340"/>
      <w:bookmarkEnd w:id="35282"/>
      <w:r w:rsidR="003F0554">
        <w:rPr>
          <w:rFonts w:hint="cs"/>
          <w:rtl/>
        </w:rPr>
        <w:t>:</w:t>
      </w:r>
      <w:r>
        <w:rPr>
          <w:rFonts w:hint="cs"/>
          <w:rtl/>
        </w:rPr>
        <w:t xml:space="preserve"> עם </w:t>
      </w:r>
      <w:bookmarkStart w:id="35283" w:name="_ETM_Q63_310520"/>
      <w:bookmarkEnd w:id="35283"/>
      <w:r>
        <w:rPr>
          <w:rFonts w:hint="cs"/>
          <w:rtl/>
        </w:rPr>
        <w:t xml:space="preserve">חברים </w:t>
      </w:r>
      <w:bookmarkStart w:id="35284" w:name="_ETM_Q63_311000"/>
      <w:bookmarkEnd w:id="35284"/>
      <w:r>
        <w:rPr>
          <w:rFonts w:hint="cs"/>
          <w:rtl/>
        </w:rPr>
        <w:t xml:space="preserve">לדרך </w:t>
      </w:r>
      <w:bookmarkStart w:id="35285" w:name="_ETM_Q63_311570"/>
      <w:bookmarkEnd w:id="35285"/>
      <w:r>
        <w:rPr>
          <w:rFonts w:hint="cs"/>
          <w:rtl/>
        </w:rPr>
        <w:t xml:space="preserve">מהמרכז </w:t>
      </w:r>
      <w:bookmarkStart w:id="35286" w:name="_ETM_Q63_312230"/>
      <w:bookmarkEnd w:id="35286"/>
      <w:r>
        <w:rPr>
          <w:rFonts w:hint="cs"/>
          <w:rtl/>
        </w:rPr>
        <w:t xml:space="preserve">הפוליטי, </w:t>
      </w:r>
      <w:bookmarkStart w:id="35287" w:name="_ETM_Q63_313970"/>
      <w:bookmarkEnd w:id="35287"/>
      <w:r>
        <w:rPr>
          <w:rFonts w:hint="cs"/>
          <w:rtl/>
        </w:rPr>
        <w:t xml:space="preserve">עם </w:t>
      </w:r>
      <w:bookmarkStart w:id="35288" w:name="_ETM_Q63_314150"/>
      <w:bookmarkEnd w:id="35288"/>
      <w:r>
        <w:rPr>
          <w:rFonts w:hint="cs"/>
          <w:rtl/>
        </w:rPr>
        <w:t xml:space="preserve">חברים </w:t>
      </w:r>
      <w:bookmarkStart w:id="35289" w:name="_ETM_Q63_314690"/>
      <w:bookmarkEnd w:id="35289"/>
      <w:r>
        <w:rPr>
          <w:rFonts w:hint="cs"/>
          <w:rtl/>
        </w:rPr>
        <w:t xml:space="preserve">וקצינים </w:t>
      </w:r>
      <w:bookmarkStart w:id="35290" w:name="_ETM_Q63_316629"/>
      <w:bookmarkEnd w:id="35290"/>
      <w:r>
        <w:rPr>
          <w:rFonts w:hint="cs"/>
          <w:rtl/>
        </w:rPr>
        <w:t xml:space="preserve">בצה"ל </w:t>
      </w:r>
      <w:bookmarkStart w:id="35291" w:name="_ETM_Q63_317379"/>
      <w:bookmarkEnd w:id="35291"/>
      <w:r>
        <w:rPr>
          <w:rFonts w:hint="cs"/>
          <w:rtl/>
        </w:rPr>
        <w:t xml:space="preserve">משמאל </w:t>
      </w:r>
      <w:bookmarkStart w:id="35292" w:name="_ETM_Q63_317950"/>
      <w:bookmarkEnd w:id="35292"/>
      <w:r>
        <w:rPr>
          <w:rFonts w:hint="cs"/>
          <w:rtl/>
        </w:rPr>
        <w:t xml:space="preserve">ומימין, </w:t>
      </w:r>
      <w:bookmarkStart w:id="35293" w:name="_ETM_Q63_319150"/>
      <w:bookmarkEnd w:id="35293"/>
      <w:r>
        <w:rPr>
          <w:rFonts w:hint="cs"/>
          <w:rtl/>
        </w:rPr>
        <w:t xml:space="preserve">עם </w:t>
      </w:r>
      <w:bookmarkStart w:id="35294" w:name="_ETM_Q63_319329"/>
      <w:bookmarkEnd w:id="35294"/>
      <w:r>
        <w:rPr>
          <w:rFonts w:hint="cs"/>
          <w:rtl/>
        </w:rPr>
        <w:t xml:space="preserve">לי </w:t>
      </w:r>
      <w:bookmarkStart w:id="35295" w:name="_ETM_Q63_319480"/>
      <w:bookmarkEnd w:id="35295"/>
      <w:r>
        <w:rPr>
          <w:rFonts w:hint="cs"/>
          <w:rtl/>
        </w:rPr>
        <w:t xml:space="preserve">גולן, </w:t>
      </w:r>
      <w:bookmarkStart w:id="35296" w:name="_ETM_Q63_319930"/>
      <w:bookmarkEnd w:id="35296"/>
      <w:r>
        <w:rPr>
          <w:rFonts w:hint="cs"/>
          <w:rtl/>
        </w:rPr>
        <w:t xml:space="preserve">המפקד </w:t>
      </w:r>
      <w:bookmarkStart w:id="35297" w:name="_ETM_Q63_320439"/>
      <w:bookmarkEnd w:id="35297"/>
      <w:r>
        <w:rPr>
          <w:rFonts w:hint="cs"/>
          <w:rtl/>
        </w:rPr>
        <w:t xml:space="preserve">שלי </w:t>
      </w:r>
      <w:bookmarkStart w:id="35298" w:name="_ETM_Q63_320709"/>
      <w:bookmarkEnd w:id="35298"/>
      <w:r>
        <w:rPr>
          <w:rFonts w:hint="cs"/>
          <w:rtl/>
        </w:rPr>
        <w:t xml:space="preserve">שפגשתי </w:t>
      </w:r>
      <w:bookmarkStart w:id="35299" w:name="_ETM_Q63_321400"/>
      <w:bookmarkEnd w:id="35299"/>
      <w:r>
        <w:rPr>
          <w:rFonts w:hint="cs"/>
          <w:rtl/>
        </w:rPr>
        <w:t xml:space="preserve">בגן </w:t>
      </w:r>
      <w:bookmarkStart w:id="35300" w:name="_ETM_Q63_321760"/>
      <w:bookmarkEnd w:id="35300"/>
      <w:r>
        <w:rPr>
          <w:rFonts w:hint="cs"/>
          <w:rtl/>
        </w:rPr>
        <w:t xml:space="preserve">סאקר </w:t>
      </w:r>
      <w:bookmarkStart w:id="35301" w:name="_ETM_Q63_322209"/>
      <w:bookmarkEnd w:id="35301"/>
      <w:r>
        <w:rPr>
          <w:rFonts w:hint="cs"/>
          <w:rtl/>
        </w:rPr>
        <w:t xml:space="preserve">עכשיו, עם אסי שוהם </w:t>
      </w:r>
      <w:bookmarkStart w:id="35302" w:name="_ETM_Q63_324000"/>
      <w:bookmarkEnd w:id="35302"/>
      <w:r>
        <w:rPr>
          <w:rFonts w:hint="cs"/>
          <w:rtl/>
        </w:rPr>
        <w:t xml:space="preserve">מירוחם, המ"פ </w:t>
      </w:r>
      <w:bookmarkStart w:id="35303" w:name="_ETM_Q63_323230"/>
      <w:bookmarkStart w:id="35304" w:name="_ETM_Q63_323499"/>
      <w:bookmarkEnd w:id="35303"/>
      <w:bookmarkEnd w:id="35304"/>
      <w:r>
        <w:rPr>
          <w:rFonts w:hint="cs"/>
          <w:rtl/>
        </w:rPr>
        <w:t>שלי</w:t>
      </w:r>
      <w:bookmarkStart w:id="35305" w:name="_ETM_Q63_323680"/>
      <w:bookmarkEnd w:id="35305"/>
      <w:r>
        <w:rPr>
          <w:rFonts w:hint="cs"/>
          <w:rtl/>
        </w:rPr>
        <w:t xml:space="preserve">, עם עמדות </w:t>
      </w:r>
      <w:bookmarkStart w:id="35306" w:name="_ETM_Q63_324010"/>
      <w:bookmarkStart w:id="35307" w:name="_ETM_Q63_324639"/>
      <w:bookmarkStart w:id="35308" w:name="_ETM_Q63_325120"/>
      <w:bookmarkStart w:id="35309" w:name="_ETM_Q63_326430"/>
      <w:bookmarkStart w:id="35310" w:name="_ETM_Q63_326639"/>
      <w:bookmarkStart w:id="35311" w:name="_ETM_Q63_327460"/>
      <w:bookmarkEnd w:id="35306"/>
      <w:bookmarkEnd w:id="35307"/>
      <w:bookmarkEnd w:id="35308"/>
      <w:bookmarkEnd w:id="35309"/>
      <w:bookmarkEnd w:id="35310"/>
      <w:bookmarkEnd w:id="35311"/>
      <w:r>
        <w:rPr>
          <w:rFonts w:hint="cs"/>
          <w:rtl/>
        </w:rPr>
        <w:t xml:space="preserve">שנעות </w:t>
      </w:r>
      <w:bookmarkStart w:id="35312" w:name="_ETM_Q63_328150"/>
      <w:bookmarkEnd w:id="35312"/>
      <w:r>
        <w:rPr>
          <w:rFonts w:hint="cs"/>
          <w:rtl/>
        </w:rPr>
        <w:t xml:space="preserve">הכי </w:t>
      </w:r>
      <w:bookmarkStart w:id="35313" w:name="_ETM_Q63_328419"/>
      <w:bookmarkEnd w:id="35313"/>
      <w:r>
        <w:rPr>
          <w:rFonts w:hint="cs"/>
          <w:rtl/>
        </w:rPr>
        <w:t xml:space="preserve">שמאלה </w:t>
      </w:r>
      <w:bookmarkStart w:id="35314" w:name="_ETM_Q63_328900"/>
      <w:bookmarkEnd w:id="35314"/>
      <w:r>
        <w:rPr>
          <w:rFonts w:hint="cs"/>
          <w:rtl/>
        </w:rPr>
        <w:t xml:space="preserve">שיש, </w:t>
      </w:r>
      <w:bookmarkStart w:id="35315" w:name="_ETM_Q63_331310"/>
      <w:bookmarkEnd w:id="35315"/>
      <w:r>
        <w:rPr>
          <w:rFonts w:hint="cs"/>
          <w:rtl/>
        </w:rPr>
        <w:t xml:space="preserve">עם </w:t>
      </w:r>
      <w:bookmarkStart w:id="35316" w:name="_ETM_Q63_331520"/>
      <w:bookmarkEnd w:id="35316"/>
      <w:r>
        <w:rPr>
          <w:rFonts w:hint="cs"/>
          <w:rtl/>
        </w:rPr>
        <w:t xml:space="preserve">אנשים </w:t>
      </w:r>
      <w:bookmarkStart w:id="35317" w:name="_ETM_Q63_332000"/>
      <w:bookmarkEnd w:id="35317"/>
      <w:r>
        <w:rPr>
          <w:rFonts w:hint="cs"/>
          <w:rtl/>
        </w:rPr>
        <w:t xml:space="preserve">הדורשים </w:t>
      </w:r>
      <w:bookmarkStart w:id="35318" w:name="_ETM_Q63_332600"/>
      <w:bookmarkEnd w:id="35318"/>
      <w:r>
        <w:rPr>
          <w:rFonts w:hint="cs"/>
          <w:rtl/>
        </w:rPr>
        <w:t xml:space="preserve">תיקון </w:t>
      </w:r>
      <w:bookmarkStart w:id="35319" w:name="_ETM_Q63_333080"/>
      <w:bookmarkEnd w:id="35319"/>
      <w:r>
        <w:rPr>
          <w:rFonts w:hint="cs"/>
          <w:rtl/>
        </w:rPr>
        <w:t xml:space="preserve">במערכת </w:t>
      </w:r>
      <w:bookmarkStart w:id="35320" w:name="_ETM_Q63_333740"/>
      <w:bookmarkEnd w:id="35320"/>
      <w:r>
        <w:rPr>
          <w:rFonts w:hint="cs"/>
          <w:rtl/>
        </w:rPr>
        <w:t xml:space="preserve">המשפט </w:t>
      </w:r>
      <w:bookmarkStart w:id="35321" w:name="_ETM_Q63_334870"/>
      <w:bookmarkEnd w:id="35321"/>
      <w:r>
        <w:rPr>
          <w:rFonts w:hint="cs"/>
          <w:rtl/>
        </w:rPr>
        <w:t xml:space="preserve">מן </w:t>
      </w:r>
      <w:bookmarkStart w:id="35322" w:name="_ETM_Q63_335079"/>
      <w:bookmarkEnd w:id="35322"/>
      <w:r>
        <w:rPr>
          <w:rFonts w:hint="cs"/>
          <w:rtl/>
        </w:rPr>
        <w:t xml:space="preserve">הצד </w:t>
      </w:r>
      <w:bookmarkStart w:id="35323" w:name="_ETM_Q63_335379"/>
      <w:bookmarkEnd w:id="35323"/>
      <w:r>
        <w:rPr>
          <w:rFonts w:hint="cs"/>
          <w:rtl/>
        </w:rPr>
        <w:t xml:space="preserve">השני, </w:t>
      </w:r>
      <w:bookmarkStart w:id="35324" w:name="_ETM_Q63_336630"/>
      <w:bookmarkEnd w:id="35324"/>
      <w:r>
        <w:rPr>
          <w:rFonts w:hint="cs"/>
          <w:rtl/>
        </w:rPr>
        <w:t xml:space="preserve">גם </w:t>
      </w:r>
      <w:bookmarkStart w:id="35325" w:name="_ETM_Q63_337020"/>
      <w:bookmarkEnd w:id="35325"/>
      <w:r>
        <w:rPr>
          <w:rFonts w:hint="cs"/>
          <w:rtl/>
        </w:rPr>
        <w:t xml:space="preserve">לוחמים </w:t>
      </w:r>
      <w:bookmarkStart w:id="35326" w:name="_ETM_Q63_337560"/>
      <w:bookmarkEnd w:id="35326"/>
      <w:r>
        <w:rPr>
          <w:rFonts w:hint="cs"/>
          <w:rtl/>
        </w:rPr>
        <w:t xml:space="preserve">שלי, </w:t>
      </w:r>
      <w:bookmarkStart w:id="35327" w:name="_ETM_Q63_338540"/>
      <w:bookmarkEnd w:id="35327"/>
      <w:r>
        <w:rPr>
          <w:rFonts w:hint="cs"/>
          <w:rtl/>
        </w:rPr>
        <w:t xml:space="preserve">גם </w:t>
      </w:r>
      <w:bookmarkStart w:id="35328" w:name="_ETM_Q63_339230"/>
      <w:bookmarkEnd w:id="35328"/>
      <w:r>
        <w:rPr>
          <w:rFonts w:hint="cs"/>
          <w:rtl/>
        </w:rPr>
        <w:t xml:space="preserve">תושבים </w:t>
      </w:r>
      <w:bookmarkStart w:id="35329" w:name="_ETM_Q63_339889"/>
      <w:bookmarkEnd w:id="35329"/>
      <w:r>
        <w:rPr>
          <w:rFonts w:hint="cs"/>
          <w:rtl/>
        </w:rPr>
        <w:t>בירוחם</w:t>
      </w:r>
      <w:bookmarkStart w:id="35330" w:name="_ETM_Q63_341090"/>
      <w:bookmarkStart w:id="35331" w:name="_ETM_Q63_342019"/>
      <w:bookmarkEnd w:id="35330"/>
      <w:bookmarkEnd w:id="35331"/>
      <w:r>
        <w:rPr>
          <w:rFonts w:hint="cs"/>
          <w:rtl/>
        </w:rPr>
        <w:t xml:space="preserve"> </w:t>
      </w:r>
      <w:r w:rsidR="003F0554">
        <w:rPr>
          <w:rFonts w:hint="eastAsia"/>
          <w:rtl/>
        </w:rPr>
        <w:t>–</w:t>
      </w:r>
      <w:r w:rsidR="003F0554">
        <w:rPr>
          <w:rFonts w:hint="cs"/>
          <w:rtl/>
        </w:rPr>
        <w:t xml:space="preserve"> </w:t>
      </w:r>
      <w:r>
        <w:rPr>
          <w:rFonts w:hint="cs"/>
          <w:rtl/>
        </w:rPr>
        <w:t>כ</w:t>
      </w:r>
      <w:bookmarkStart w:id="35332" w:name="_ETM_Q63_342000"/>
      <w:bookmarkEnd w:id="35332"/>
      <w:r>
        <w:rPr>
          <w:rFonts w:hint="cs"/>
          <w:rtl/>
        </w:rPr>
        <w:t>ן, 70%</w:t>
      </w:r>
      <w:r w:rsidR="003F0554">
        <w:rPr>
          <w:rFonts w:hint="eastAsia"/>
          <w:rtl/>
        </w:rPr>
        <w:t>–</w:t>
      </w:r>
      <w:r>
        <w:rPr>
          <w:rFonts w:hint="cs"/>
          <w:rtl/>
        </w:rPr>
        <w:t xml:space="preserve">80% </w:t>
      </w:r>
      <w:bookmarkStart w:id="35333" w:name="_ETM_Q63_342980"/>
      <w:bookmarkEnd w:id="35333"/>
      <w:r>
        <w:rPr>
          <w:rFonts w:hint="cs"/>
          <w:rtl/>
        </w:rPr>
        <w:t xml:space="preserve">מתושבי </w:t>
      </w:r>
      <w:bookmarkStart w:id="35334" w:name="_ETM_Q63_343489"/>
      <w:bookmarkEnd w:id="35334"/>
      <w:r>
        <w:rPr>
          <w:rFonts w:hint="cs"/>
          <w:rtl/>
        </w:rPr>
        <w:t xml:space="preserve">ירוחם </w:t>
      </w:r>
      <w:bookmarkStart w:id="35335" w:name="_ETM_Q63_344389"/>
      <w:bookmarkEnd w:id="35335"/>
      <w:r>
        <w:rPr>
          <w:rFonts w:hint="cs"/>
          <w:rtl/>
        </w:rPr>
        <w:t xml:space="preserve">הצביעו </w:t>
      </w:r>
      <w:bookmarkStart w:id="35336" w:name="_ETM_Q63_344930"/>
      <w:bookmarkEnd w:id="35336"/>
      <w:r>
        <w:rPr>
          <w:rFonts w:hint="cs"/>
          <w:rtl/>
        </w:rPr>
        <w:t xml:space="preserve">למפלגות </w:t>
      </w:r>
      <w:bookmarkStart w:id="35337" w:name="_ETM_Q63_345650"/>
      <w:bookmarkEnd w:id="35337"/>
      <w:r>
        <w:rPr>
          <w:rFonts w:hint="cs"/>
          <w:rtl/>
        </w:rPr>
        <w:t xml:space="preserve">עם </w:t>
      </w:r>
      <w:bookmarkStart w:id="35338" w:name="_ETM_Q63_345769"/>
      <w:bookmarkEnd w:id="35338"/>
      <w:r>
        <w:rPr>
          <w:rFonts w:hint="cs"/>
          <w:rtl/>
        </w:rPr>
        <w:t xml:space="preserve">נטייה </w:t>
      </w:r>
      <w:bookmarkStart w:id="35339" w:name="_ETM_Q63_346160"/>
      <w:bookmarkEnd w:id="35339"/>
      <w:r>
        <w:rPr>
          <w:rFonts w:hint="cs"/>
          <w:rtl/>
        </w:rPr>
        <w:t xml:space="preserve">ימינה, </w:t>
      </w:r>
      <w:bookmarkStart w:id="35340" w:name="_ETM_Q63_347610"/>
      <w:bookmarkEnd w:id="35340"/>
      <w:r>
        <w:rPr>
          <w:rFonts w:hint="cs"/>
          <w:rtl/>
        </w:rPr>
        <w:t xml:space="preserve">אבל </w:t>
      </w:r>
      <w:bookmarkStart w:id="35341" w:name="_ETM_Q63_347970"/>
      <w:bookmarkEnd w:id="35341"/>
      <w:r>
        <w:rPr>
          <w:rFonts w:hint="cs"/>
          <w:rtl/>
        </w:rPr>
        <w:t xml:space="preserve">גם </w:t>
      </w:r>
      <w:bookmarkStart w:id="35342" w:name="_ETM_Q63_348180"/>
      <w:bookmarkEnd w:id="35342"/>
      <w:r>
        <w:rPr>
          <w:rFonts w:hint="cs"/>
          <w:rtl/>
        </w:rPr>
        <w:t xml:space="preserve">הצביעו </w:t>
      </w:r>
      <w:bookmarkStart w:id="35343" w:name="_ETM_Q63_348569"/>
      <w:bookmarkEnd w:id="35343"/>
      <w:r>
        <w:rPr>
          <w:rFonts w:hint="cs"/>
          <w:rtl/>
        </w:rPr>
        <w:t xml:space="preserve">לי </w:t>
      </w:r>
      <w:bookmarkStart w:id="35344" w:name="_ETM_Q63_348689"/>
      <w:bookmarkEnd w:id="35344"/>
      <w:r>
        <w:rPr>
          <w:rFonts w:hint="cs"/>
          <w:rtl/>
        </w:rPr>
        <w:t xml:space="preserve">70%, </w:t>
      </w:r>
      <w:bookmarkStart w:id="35345" w:name="_ETM_Q63_350380"/>
      <w:bookmarkEnd w:id="35345"/>
      <w:r>
        <w:rPr>
          <w:rFonts w:hint="cs"/>
          <w:rtl/>
        </w:rPr>
        <w:t xml:space="preserve">כי </w:t>
      </w:r>
      <w:bookmarkStart w:id="35346" w:name="_ETM_Q63_350740"/>
      <w:bookmarkEnd w:id="35346"/>
      <w:r>
        <w:rPr>
          <w:rFonts w:hint="cs"/>
          <w:rtl/>
        </w:rPr>
        <w:t xml:space="preserve">החיים </w:t>
      </w:r>
      <w:bookmarkStart w:id="35347" w:name="_ETM_Q63_351310"/>
      <w:bookmarkEnd w:id="35347"/>
      <w:r>
        <w:rPr>
          <w:rFonts w:hint="cs"/>
          <w:rtl/>
        </w:rPr>
        <w:t>מורכבים</w:t>
      </w:r>
      <w:r w:rsidR="003F0554">
        <w:rPr>
          <w:rFonts w:hint="cs"/>
          <w:rtl/>
        </w:rPr>
        <w:t>;</w:t>
      </w:r>
      <w:r>
        <w:rPr>
          <w:rFonts w:hint="cs"/>
          <w:rtl/>
        </w:rPr>
        <w:t xml:space="preserve"> </w:t>
      </w:r>
      <w:bookmarkStart w:id="35348" w:name="_ETM_Q63_352800"/>
      <w:bookmarkEnd w:id="35348"/>
      <w:r>
        <w:rPr>
          <w:rFonts w:hint="cs"/>
          <w:rtl/>
        </w:rPr>
        <w:t xml:space="preserve">החיים </w:t>
      </w:r>
      <w:bookmarkStart w:id="35349" w:name="_ETM_Q63_353460"/>
      <w:bookmarkEnd w:id="35349"/>
      <w:r>
        <w:rPr>
          <w:rFonts w:hint="cs"/>
          <w:rtl/>
        </w:rPr>
        <w:t xml:space="preserve">המשותפים </w:t>
      </w:r>
      <w:bookmarkStart w:id="35350" w:name="_ETM_Q63_354300"/>
      <w:bookmarkEnd w:id="35350"/>
      <w:r>
        <w:rPr>
          <w:rFonts w:hint="cs"/>
          <w:rtl/>
        </w:rPr>
        <w:t xml:space="preserve">הם </w:t>
      </w:r>
      <w:bookmarkStart w:id="35351" w:name="_ETM_Q63_354450"/>
      <w:bookmarkEnd w:id="35351"/>
      <w:r>
        <w:rPr>
          <w:rFonts w:hint="cs"/>
          <w:rtl/>
        </w:rPr>
        <w:t xml:space="preserve">הסיפור, </w:t>
      </w:r>
      <w:bookmarkStart w:id="35352" w:name="_ETM_Q63_355849"/>
      <w:bookmarkEnd w:id="35352"/>
      <w:r>
        <w:rPr>
          <w:rFonts w:hint="cs"/>
          <w:rtl/>
        </w:rPr>
        <w:t xml:space="preserve">היכולת </w:t>
      </w:r>
      <w:bookmarkStart w:id="35353" w:name="_ETM_Q63_356449"/>
      <w:bookmarkEnd w:id="35353"/>
      <w:r>
        <w:rPr>
          <w:rFonts w:hint="cs"/>
          <w:rtl/>
        </w:rPr>
        <w:t xml:space="preserve">לקיים </w:t>
      </w:r>
      <w:bookmarkStart w:id="35354" w:name="_ETM_Q63_356959"/>
      <w:bookmarkEnd w:id="35354"/>
      <w:r>
        <w:rPr>
          <w:rFonts w:hint="cs"/>
          <w:rtl/>
        </w:rPr>
        <w:t xml:space="preserve">מדינה </w:t>
      </w:r>
      <w:bookmarkStart w:id="35355" w:name="_ETM_Q63_357559"/>
      <w:bookmarkEnd w:id="35355"/>
      <w:r>
        <w:rPr>
          <w:rFonts w:hint="cs"/>
          <w:rtl/>
        </w:rPr>
        <w:t xml:space="preserve">שיש </w:t>
      </w:r>
      <w:bookmarkStart w:id="35356" w:name="_ETM_Q63_357949"/>
      <w:bookmarkEnd w:id="35356"/>
      <w:r>
        <w:rPr>
          <w:rFonts w:hint="cs"/>
          <w:rtl/>
        </w:rPr>
        <w:t xml:space="preserve">בה </w:t>
      </w:r>
      <w:bookmarkStart w:id="35357" w:name="_ETM_Q63_358099"/>
      <w:bookmarkEnd w:id="35357"/>
      <w:r>
        <w:rPr>
          <w:rFonts w:hint="cs"/>
          <w:rtl/>
        </w:rPr>
        <w:t xml:space="preserve">הבדלים </w:t>
      </w:r>
      <w:bookmarkStart w:id="35358" w:name="_ETM_Q63_358609"/>
      <w:bookmarkEnd w:id="35358"/>
      <w:r>
        <w:rPr>
          <w:rFonts w:hint="cs"/>
          <w:rtl/>
        </w:rPr>
        <w:t xml:space="preserve">של </w:t>
      </w:r>
      <w:bookmarkStart w:id="35359" w:name="_ETM_Q63_358849"/>
      <w:bookmarkEnd w:id="35359"/>
      <w:r>
        <w:rPr>
          <w:rFonts w:hint="cs"/>
          <w:rtl/>
        </w:rPr>
        <w:t xml:space="preserve">דעות </w:t>
      </w:r>
      <w:bookmarkStart w:id="35360" w:name="_ETM_Q63_359299"/>
      <w:bookmarkEnd w:id="35360"/>
      <w:r>
        <w:rPr>
          <w:rFonts w:hint="cs"/>
          <w:rtl/>
        </w:rPr>
        <w:t xml:space="preserve">אבל </w:t>
      </w:r>
      <w:bookmarkStart w:id="35361" w:name="_ETM_Q63_359629"/>
      <w:bookmarkEnd w:id="35361"/>
      <w:r>
        <w:rPr>
          <w:rFonts w:hint="cs"/>
          <w:rtl/>
        </w:rPr>
        <w:t xml:space="preserve">סיפור </w:t>
      </w:r>
      <w:bookmarkStart w:id="35362" w:name="_ETM_Q63_360199"/>
      <w:bookmarkEnd w:id="35362"/>
      <w:r>
        <w:rPr>
          <w:rFonts w:hint="cs"/>
          <w:rtl/>
        </w:rPr>
        <w:t xml:space="preserve">משותף, </w:t>
      </w:r>
      <w:bookmarkStart w:id="35363" w:name="_ETM_Q63_361730"/>
      <w:bookmarkEnd w:id="35363"/>
      <w:r>
        <w:rPr>
          <w:rFonts w:hint="cs"/>
          <w:rtl/>
        </w:rPr>
        <w:t xml:space="preserve">ערכים </w:t>
      </w:r>
      <w:bookmarkStart w:id="35364" w:name="_ETM_Q63_362330"/>
      <w:bookmarkEnd w:id="35364"/>
      <w:r>
        <w:rPr>
          <w:rFonts w:hint="cs"/>
          <w:rtl/>
        </w:rPr>
        <w:t xml:space="preserve">משותפים </w:t>
      </w:r>
      <w:bookmarkStart w:id="35365" w:name="_ETM_Q63_365419"/>
      <w:bookmarkEnd w:id="35365"/>
      <w:r w:rsidR="003F0554">
        <w:rPr>
          <w:rFonts w:hint="eastAsia"/>
          <w:rtl/>
        </w:rPr>
        <w:t>–</w:t>
      </w:r>
      <w:r w:rsidR="003F0554">
        <w:rPr>
          <w:rFonts w:hint="cs"/>
          <w:rtl/>
        </w:rPr>
        <w:t xml:space="preserve"> </w:t>
      </w:r>
      <w:r>
        <w:rPr>
          <w:rFonts w:hint="cs"/>
          <w:rtl/>
        </w:rPr>
        <w:t xml:space="preserve">עם </w:t>
      </w:r>
      <w:bookmarkStart w:id="35366" w:name="_ETM_Q63_365599"/>
      <w:bookmarkEnd w:id="35366"/>
      <w:r>
        <w:rPr>
          <w:rFonts w:hint="cs"/>
          <w:rtl/>
        </w:rPr>
        <w:t xml:space="preserve">אנשים </w:t>
      </w:r>
      <w:bookmarkStart w:id="35367" w:name="_ETM_Q63_366109"/>
      <w:bookmarkEnd w:id="35367"/>
      <w:r>
        <w:rPr>
          <w:rFonts w:hint="cs"/>
          <w:rtl/>
        </w:rPr>
        <w:t xml:space="preserve">הדורשים </w:t>
      </w:r>
      <w:bookmarkStart w:id="35368" w:name="_ETM_Q63_366680"/>
      <w:bookmarkEnd w:id="35368"/>
      <w:r>
        <w:rPr>
          <w:rFonts w:hint="cs"/>
          <w:rtl/>
        </w:rPr>
        <w:t xml:space="preserve">תיקון </w:t>
      </w:r>
      <w:bookmarkStart w:id="35369" w:name="_ETM_Q63_367069"/>
      <w:bookmarkEnd w:id="35369"/>
      <w:r>
        <w:rPr>
          <w:rFonts w:hint="cs"/>
          <w:rtl/>
        </w:rPr>
        <w:t xml:space="preserve">במערכת </w:t>
      </w:r>
      <w:bookmarkStart w:id="35370" w:name="_ETM_Q63_367669"/>
      <w:bookmarkEnd w:id="35370"/>
      <w:r>
        <w:rPr>
          <w:rFonts w:hint="cs"/>
          <w:rtl/>
        </w:rPr>
        <w:t xml:space="preserve">המשפט, </w:t>
      </w:r>
      <w:bookmarkStart w:id="35371" w:name="_ETM_Q63_369240"/>
      <w:bookmarkEnd w:id="35371"/>
      <w:r>
        <w:rPr>
          <w:rFonts w:hint="cs"/>
          <w:rtl/>
        </w:rPr>
        <w:t xml:space="preserve">עם </w:t>
      </w:r>
      <w:bookmarkStart w:id="35372" w:name="_ETM_Q63_369419"/>
      <w:bookmarkEnd w:id="35372"/>
      <w:r>
        <w:rPr>
          <w:rFonts w:hint="cs"/>
          <w:rtl/>
        </w:rPr>
        <w:t xml:space="preserve">הקהילה </w:t>
      </w:r>
      <w:bookmarkStart w:id="35373" w:name="_ETM_Q63_369930"/>
      <w:bookmarkEnd w:id="35373"/>
      <w:r>
        <w:rPr>
          <w:rFonts w:hint="cs"/>
          <w:rtl/>
        </w:rPr>
        <w:t xml:space="preserve">שלי, </w:t>
      </w:r>
      <w:bookmarkStart w:id="35374" w:name="_ETM_Q63_370230"/>
      <w:bookmarkEnd w:id="35374"/>
      <w:r>
        <w:rPr>
          <w:rFonts w:hint="cs"/>
          <w:rtl/>
        </w:rPr>
        <w:t xml:space="preserve">שמזוהה </w:t>
      </w:r>
      <w:bookmarkStart w:id="35375" w:name="_ETM_Q63_370770"/>
      <w:bookmarkEnd w:id="35375"/>
      <w:r>
        <w:rPr>
          <w:rFonts w:hint="cs"/>
          <w:rtl/>
        </w:rPr>
        <w:t xml:space="preserve">עם </w:t>
      </w:r>
      <w:bookmarkStart w:id="35376" w:name="_ETM_Q63_370889"/>
      <w:bookmarkEnd w:id="35376"/>
      <w:r>
        <w:rPr>
          <w:rFonts w:hint="cs"/>
          <w:rtl/>
        </w:rPr>
        <w:t xml:space="preserve">הליכוד, </w:t>
      </w:r>
      <w:bookmarkStart w:id="35377" w:name="_ETM_Q63_371910"/>
      <w:bookmarkEnd w:id="35377"/>
      <w:r>
        <w:rPr>
          <w:rFonts w:hint="cs"/>
          <w:rtl/>
        </w:rPr>
        <w:t xml:space="preserve">עם </w:t>
      </w:r>
      <w:bookmarkStart w:id="35378" w:name="_ETM_Q63_372090"/>
      <w:bookmarkEnd w:id="35378"/>
      <w:r>
        <w:rPr>
          <w:rFonts w:hint="cs"/>
          <w:rtl/>
        </w:rPr>
        <w:t xml:space="preserve">משפחתי </w:t>
      </w:r>
      <w:bookmarkStart w:id="35379" w:name="_ETM_Q63_372600"/>
      <w:bookmarkEnd w:id="35379"/>
      <w:r>
        <w:rPr>
          <w:rFonts w:hint="cs"/>
          <w:rtl/>
        </w:rPr>
        <w:t xml:space="preserve">המצומצמת </w:t>
      </w:r>
      <w:bookmarkStart w:id="35380" w:name="_ETM_Q63_373410"/>
      <w:bookmarkEnd w:id="35380"/>
      <w:r>
        <w:rPr>
          <w:rFonts w:hint="cs"/>
          <w:rtl/>
        </w:rPr>
        <w:t xml:space="preserve">והרחבה. </w:t>
      </w:r>
      <w:bookmarkStart w:id="35381" w:name="_ETM_Q63_374850"/>
      <w:bookmarkEnd w:id="35381"/>
      <w:r>
        <w:rPr>
          <w:rFonts w:hint="cs"/>
          <w:rtl/>
        </w:rPr>
        <w:t>לכל אחד</w:t>
      </w:r>
      <w:bookmarkStart w:id="35382" w:name="_ETM_Q63_375270"/>
      <w:bookmarkEnd w:id="35382"/>
      <w:r>
        <w:rPr>
          <w:rFonts w:hint="cs"/>
          <w:rtl/>
        </w:rPr>
        <w:t xml:space="preserve"> </w:t>
      </w:r>
      <w:bookmarkStart w:id="35383" w:name="_ETM_Q63_375570"/>
      <w:bookmarkEnd w:id="35383"/>
      <w:r>
        <w:rPr>
          <w:rFonts w:hint="cs"/>
          <w:rtl/>
        </w:rPr>
        <w:t xml:space="preserve">מן </w:t>
      </w:r>
      <w:bookmarkStart w:id="35384" w:name="_ETM_Q63_375780"/>
      <w:bookmarkEnd w:id="35384"/>
      <w:r>
        <w:rPr>
          <w:rFonts w:hint="cs"/>
          <w:rtl/>
        </w:rPr>
        <w:t xml:space="preserve">הצדדים </w:t>
      </w:r>
      <w:bookmarkStart w:id="35385" w:name="_ETM_Q63_376350"/>
      <w:bookmarkEnd w:id="35385"/>
      <w:r>
        <w:rPr>
          <w:rFonts w:hint="cs"/>
          <w:rtl/>
        </w:rPr>
        <w:t xml:space="preserve">אני </w:t>
      </w:r>
      <w:bookmarkStart w:id="35386" w:name="_ETM_Q63_376560"/>
      <w:bookmarkEnd w:id="35386"/>
      <w:r>
        <w:rPr>
          <w:rFonts w:hint="cs"/>
          <w:rtl/>
        </w:rPr>
        <w:t xml:space="preserve">מוצא </w:t>
      </w:r>
      <w:bookmarkStart w:id="35387" w:name="_ETM_Q63_376950"/>
      <w:bookmarkEnd w:id="35387"/>
      <w:r>
        <w:rPr>
          <w:rFonts w:hint="cs"/>
          <w:rtl/>
        </w:rPr>
        <w:t xml:space="preserve">את </w:t>
      </w:r>
      <w:bookmarkStart w:id="35388" w:name="_ETM_Q63_377070"/>
      <w:bookmarkEnd w:id="35388"/>
      <w:r>
        <w:rPr>
          <w:rFonts w:hint="cs"/>
          <w:rtl/>
        </w:rPr>
        <w:t xml:space="preserve">עצמי </w:t>
      </w:r>
      <w:bookmarkStart w:id="35389" w:name="_ETM_Q63_377430"/>
      <w:bookmarkEnd w:id="35389"/>
      <w:r>
        <w:rPr>
          <w:rFonts w:hint="cs"/>
          <w:rtl/>
        </w:rPr>
        <w:t xml:space="preserve">שייך. </w:t>
      </w:r>
      <w:bookmarkStart w:id="35390" w:name="_ETM_Q63_379290"/>
      <w:bookmarkEnd w:id="35390"/>
    </w:p>
    <w:p w:rsidR="00BB59CD" w:rsidRDefault="00BB59CD" w:rsidP="00BB59CD">
      <w:pPr>
        <w:rPr>
          <w:rtl/>
        </w:rPr>
      </w:pPr>
    </w:p>
    <w:p w:rsidR="00BB59CD" w:rsidRDefault="00BB59CD" w:rsidP="00BB59CD">
      <w:pPr>
        <w:rPr>
          <w:rtl/>
        </w:rPr>
      </w:pPr>
      <w:r>
        <w:rPr>
          <w:rFonts w:hint="cs"/>
          <w:rtl/>
        </w:rPr>
        <w:t xml:space="preserve">לראשונה </w:t>
      </w:r>
      <w:bookmarkStart w:id="35391" w:name="_ETM_Q63_380219"/>
      <w:bookmarkEnd w:id="35391"/>
      <w:r>
        <w:rPr>
          <w:rFonts w:hint="cs"/>
          <w:rtl/>
        </w:rPr>
        <w:t xml:space="preserve">הגענו </w:t>
      </w:r>
      <w:bookmarkStart w:id="35392" w:name="_ETM_Q63_380579"/>
      <w:bookmarkEnd w:id="35392"/>
      <w:r>
        <w:rPr>
          <w:rFonts w:hint="cs"/>
          <w:rtl/>
        </w:rPr>
        <w:t xml:space="preserve">למצבים </w:t>
      </w:r>
      <w:bookmarkStart w:id="35393" w:name="_ETM_Q63_381120"/>
      <w:bookmarkEnd w:id="35393"/>
      <w:r>
        <w:rPr>
          <w:rFonts w:hint="cs"/>
          <w:rtl/>
        </w:rPr>
        <w:t xml:space="preserve">שבהם </w:t>
      </w:r>
      <w:bookmarkStart w:id="35394" w:name="_ETM_Q63_381599"/>
      <w:bookmarkEnd w:id="35394"/>
      <w:r>
        <w:rPr>
          <w:rFonts w:hint="cs"/>
          <w:rtl/>
        </w:rPr>
        <w:t>ב</w:t>
      </w:r>
      <w:bookmarkStart w:id="35395" w:name="_ETM_Q63_381959"/>
      <w:bookmarkEnd w:id="35395"/>
      <w:r>
        <w:rPr>
          <w:rFonts w:hint="cs"/>
          <w:rtl/>
        </w:rPr>
        <w:t xml:space="preserve">תים מתפרקים, </w:t>
      </w:r>
      <w:bookmarkStart w:id="35396" w:name="_ETM_Q63_383550"/>
      <w:bookmarkEnd w:id="35396"/>
      <w:r>
        <w:rPr>
          <w:rFonts w:hint="cs"/>
          <w:rtl/>
        </w:rPr>
        <w:t xml:space="preserve">ארוחות </w:t>
      </w:r>
      <w:bookmarkStart w:id="35397" w:name="_ETM_Q63_384180"/>
      <w:bookmarkEnd w:id="35397"/>
      <w:r>
        <w:rPr>
          <w:rFonts w:hint="cs"/>
          <w:rtl/>
        </w:rPr>
        <w:t xml:space="preserve">שבת </w:t>
      </w:r>
      <w:bookmarkStart w:id="35398" w:name="_ETM_Q63_384510"/>
      <w:bookmarkEnd w:id="35398"/>
      <w:r>
        <w:rPr>
          <w:rFonts w:hint="cs"/>
          <w:rtl/>
        </w:rPr>
        <w:t xml:space="preserve">נפרמות </w:t>
      </w:r>
      <w:bookmarkStart w:id="35399" w:name="_ETM_Q63_386569"/>
      <w:bookmarkEnd w:id="35399"/>
      <w:r>
        <w:rPr>
          <w:rFonts w:hint="cs"/>
          <w:rtl/>
        </w:rPr>
        <w:t xml:space="preserve">ומסתיימות </w:t>
      </w:r>
      <w:bookmarkStart w:id="35400" w:name="_ETM_Q63_387559"/>
      <w:bookmarkEnd w:id="35400"/>
      <w:r>
        <w:rPr>
          <w:rFonts w:hint="cs"/>
          <w:rtl/>
        </w:rPr>
        <w:t xml:space="preserve">ונמחקות, </w:t>
      </w:r>
      <w:bookmarkStart w:id="35401" w:name="_ETM_Q63_389820"/>
      <w:bookmarkEnd w:id="35401"/>
      <w:r>
        <w:rPr>
          <w:rFonts w:hint="cs"/>
          <w:rtl/>
        </w:rPr>
        <w:t xml:space="preserve">ארוחות </w:t>
      </w:r>
      <w:bookmarkStart w:id="35402" w:name="_ETM_Q63_391459"/>
      <w:bookmarkStart w:id="35403" w:name="_ETM_Q63_391940"/>
      <w:bookmarkEnd w:id="35402"/>
      <w:bookmarkEnd w:id="35403"/>
      <w:r>
        <w:rPr>
          <w:rFonts w:hint="cs"/>
          <w:rtl/>
        </w:rPr>
        <w:t xml:space="preserve">של </w:t>
      </w:r>
      <w:bookmarkStart w:id="35404" w:name="_ETM_Q63_392060"/>
      <w:bookmarkEnd w:id="35404"/>
      <w:r>
        <w:rPr>
          <w:rFonts w:hint="cs"/>
          <w:rtl/>
        </w:rPr>
        <w:t xml:space="preserve">חגים </w:t>
      </w:r>
      <w:bookmarkStart w:id="35405" w:name="_ETM_Q63_392450"/>
      <w:bookmarkEnd w:id="35405"/>
      <w:r>
        <w:rPr>
          <w:rFonts w:hint="cs"/>
          <w:rtl/>
        </w:rPr>
        <w:t xml:space="preserve">כבר </w:t>
      </w:r>
      <w:bookmarkStart w:id="35406" w:name="_ETM_Q63_392659"/>
      <w:bookmarkEnd w:id="35406"/>
      <w:r>
        <w:rPr>
          <w:rFonts w:hint="cs"/>
          <w:rtl/>
        </w:rPr>
        <w:t xml:space="preserve">לא </w:t>
      </w:r>
      <w:bookmarkStart w:id="35407" w:name="_ETM_Q63_392810"/>
      <w:bookmarkEnd w:id="35407"/>
      <w:r>
        <w:rPr>
          <w:rFonts w:hint="cs"/>
          <w:rtl/>
        </w:rPr>
        <w:t xml:space="preserve">מתקיימות, </w:t>
      </w:r>
      <w:bookmarkStart w:id="35408" w:name="_ETM_Q63_394629"/>
      <w:bookmarkEnd w:id="35408"/>
      <w:r>
        <w:rPr>
          <w:rFonts w:hint="cs"/>
          <w:rtl/>
        </w:rPr>
        <w:t xml:space="preserve">המפגשים </w:t>
      </w:r>
      <w:bookmarkStart w:id="35409" w:name="_ETM_Q63_395799"/>
      <w:bookmarkEnd w:id="35409"/>
      <w:r>
        <w:rPr>
          <w:rFonts w:hint="cs"/>
          <w:rtl/>
        </w:rPr>
        <w:t xml:space="preserve">בין </w:t>
      </w:r>
      <w:bookmarkStart w:id="35410" w:name="_ETM_Q63_396010"/>
      <w:bookmarkEnd w:id="35410"/>
      <w:r>
        <w:rPr>
          <w:rFonts w:hint="cs"/>
          <w:rtl/>
        </w:rPr>
        <w:t xml:space="preserve">חברים </w:t>
      </w:r>
      <w:bookmarkStart w:id="35411" w:name="_ETM_Q63_397299"/>
      <w:bookmarkEnd w:id="35411"/>
      <w:r>
        <w:rPr>
          <w:rFonts w:hint="cs"/>
          <w:rtl/>
        </w:rPr>
        <w:t xml:space="preserve">כבר </w:t>
      </w:r>
      <w:bookmarkStart w:id="35412" w:name="_ETM_Q63_397569"/>
      <w:bookmarkEnd w:id="35412"/>
      <w:r>
        <w:rPr>
          <w:rFonts w:hint="cs"/>
          <w:rtl/>
        </w:rPr>
        <w:t xml:space="preserve">לא </w:t>
      </w:r>
      <w:bookmarkStart w:id="35413" w:name="_ETM_Q63_397690"/>
      <w:bookmarkEnd w:id="35413"/>
      <w:r>
        <w:rPr>
          <w:rFonts w:hint="cs"/>
          <w:rtl/>
        </w:rPr>
        <w:t xml:space="preserve">יכולים </w:t>
      </w:r>
      <w:bookmarkStart w:id="35414" w:name="_ETM_Q63_398049"/>
      <w:bookmarkEnd w:id="35414"/>
      <w:r>
        <w:rPr>
          <w:rFonts w:hint="cs"/>
          <w:rtl/>
        </w:rPr>
        <w:t xml:space="preserve">להתקיים, </w:t>
      </w:r>
      <w:bookmarkStart w:id="35415" w:name="_ETM_Q63_399720"/>
      <w:bookmarkEnd w:id="35415"/>
      <w:r>
        <w:rPr>
          <w:rFonts w:hint="cs"/>
          <w:rtl/>
        </w:rPr>
        <w:t xml:space="preserve">כי </w:t>
      </w:r>
      <w:bookmarkStart w:id="35416" w:name="_ETM_Q63_399930"/>
      <w:bookmarkEnd w:id="35416"/>
      <w:r>
        <w:rPr>
          <w:rFonts w:hint="cs"/>
          <w:rtl/>
        </w:rPr>
        <w:t xml:space="preserve">שיחה </w:t>
      </w:r>
      <w:bookmarkStart w:id="35417" w:name="_ETM_Q63_400350"/>
      <w:bookmarkEnd w:id="35417"/>
      <w:r>
        <w:rPr>
          <w:rFonts w:hint="cs"/>
          <w:rtl/>
        </w:rPr>
        <w:t>בעניי</w:t>
      </w:r>
      <w:bookmarkStart w:id="35418" w:name="_ETM_Q63_400860"/>
      <w:bookmarkStart w:id="35419" w:name="_ETM_Q63_401069"/>
      <w:bookmarkEnd w:id="35418"/>
      <w:bookmarkEnd w:id="35419"/>
      <w:r>
        <w:rPr>
          <w:rFonts w:hint="cs"/>
          <w:rtl/>
        </w:rPr>
        <w:t xml:space="preserve">ני דיומא </w:t>
      </w:r>
      <w:bookmarkStart w:id="35420" w:name="_ETM_Q63_401460"/>
      <w:bookmarkEnd w:id="35420"/>
      <w:r>
        <w:rPr>
          <w:rFonts w:hint="cs"/>
          <w:rtl/>
        </w:rPr>
        <w:t xml:space="preserve">היא </w:t>
      </w:r>
      <w:bookmarkStart w:id="35421" w:name="_ETM_Q63_401700"/>
      <w:bookmarkEnd w:id="35421"/>
      <w:r>
        <w:rPr>
          <w:rFonts w:hint="cs"/>
          <w:rtl/>
        </w:rPr>
        <w:t xml:space="preserve">כבר </w:t>
      </w:r>
      <w:bookmarkStart w:id="35422" w:name="_ETM_Q63_401970"/>
      <w:bookmarkEnd w:id="35422"/>
      <w:r>
        <w:rPr>
          <w:rFonts w:hint="cs"/>
          <w:rtl/>
        </w:rPr>
        <w:t xml:space="preserve">טעונה, </w:t>
      </w:r>
      <w:bookmarkStart w:id="35423" w:name="_ETM_Q63_403760"/>
      <w:bookmarkEnd w:id="35423"/>
      <w:r>
        <w:rPr>
          <w:rFonts w:hint="cs"/>
          <w:rtl/>
        </w:rPr>
        <w:t xml:space="preserve">היא </w:t>
      </w:r>
      <w:bookmarkStart w:id="35424" w:name="_ETM_Q63_403999"/>
      <w:bookmarkEnd w:id="35424"/>
      <w:r>
        <w:rPr>
          <w:rFonts w:hint="cs"/>
          <w:rtl/>
        </w:rPr>
        <w:t xml:space="preserve">הופכת </w:t>
      </w:r>
      <w:bookmarkStart w:id="35425" w:name="_ETM_Q63_404359"/>
      <w:bookmarkEnd w:id="35425"/>
      <w:r>
        <w:rPr>
          <w:rFonts w:hint="cs"/>
          <w:rtl/>
        </w:rPr>
        <w:t xml:space="preserve">לשיחה </w:t>
      </w:r>
      <w:bookmarkStart w:id="35426" w:name="_ETM_Q63_404840"/>
      <w:bookmarkEnd w:id="35426"/>
      <w:r>
        <w:rPr>
          <w:rFonts w:hint="cs"/>
          <w:rtl/>
        </w:rPr>
        <w:t xml:space="preserve">בלתי </w:t>
      </w:r>
      <w:bookmarkStart w:id="35427" w:name="_ETM_Q63_405200"/>
      <w:bookmarkEnd w:id="35427"/>
      <w:r>
        <w:rPr>
          <w:rFonts w:hint="cs"/>
          <w:rtl/>
        </w:rPr>
        <w:t xml:space="preserve">אפשרית, </w:t>
      </w:r>
      <w:bookmarkStart w:id="35428" w:name="_ETM_Q63_406569"/>
      <w:bookmarkEnd w:id="35428"/>
      <w:r>
        <w:rPr>
          <w:rFonts w:hint="cs"/>
          <w:rtl/>
        </w:rPr>
        <w:t xml:space="preserve">שיחה </w:t>
      </w:r>
      <w:bookmarkStart w:id="35429" w:name="_ETM_Q63_406989"/>
      <w:bookmarkEnd w:id="35429"/>
      <w:r>
        <w:rPr>
          <w:rFonts w:hint="cs"/>
          <w:rtl/>
        </w:rPr>
        <w:t xml:space="preserve">שמפרקת </w:t>
      </w:r>
      <w:bookmarkStart w:id="35430" w:name="_ETM_Q63_407829"/>
      <w:bookmarkEnd w:id="35430"/>
      <w:r>
        <w:rPr>
          <w:rFonts w:hint="cs"/>
          <w:rtl/>
        </w:rPr>
        <w:t xml:space="preserve">חברות, </w:t>
      </w:r>
      <w:bookmarkStart w:id="35431" w:name="_ETM_Q63_408519"/>
      <w:bookmarkEnd w:id="35431"/>
      <w:r>
        <w:rPr>
          <w:rFonts w:hint="cs"/>
          <w:rtl/>
        </w:rPr>
        <w:t xml:space="preserve">משפחה, </w:t>
      </w:r>
      <w:bookmarkStart w:id="35432" w:name="_ETM_Q63_409180"/>
      <w:bookmarkEnd w:id="35432"/>
      <w:r>
        <w:rPr>
          <w:rFonts w:hint="cs"/>
          <w:rtl/>
        </w:rPr>
        <w:t xml:space="preserve">קהילה, </w:t>
      </w:r>
      <w:bookmarkStart w:id="35433" w:name="_ETM_Q63_410420"/>
      <w:bookmarkEnd w:id="35433"/>
      <w:r>
        <w:rPr>
          <w:rFonts w:hint="cs"/>
          <w:rtl/>
        </w:rPr>
        <w:t xml:space="preserve">מדינה. </w:t>
      </w:r>
      <w:bookmarkStart w:id="35434" w:name="_ETM_Q63_412299"/>
      <w:bookmarkEnd w:id="35434"/>
      <w:r>
        <w:rPr>
          <w:rFonts w:hint="cs"/>
          <w:rtl/>
        </w:rPr>
        <w:t xml:space="preserve">זאת </w:t>
      </w:r>
      <w:bookmarkStart w:id="35435" w:name="_ETM_Q63_412629"/>
      <w:bookmarkEnd w:id="35435"/>
      <w:r>
        <w:rPr>
          <w:rFonts w:hint="cs"/>
          <w:rtl/>
        </w:rPr>
        <w:t xml:space="preserve">המציאות </w:t>
      </w:r>
      <w:bookmarkStart w:id="35436" w:name="_ETM_Q63_413910"/>
      <w:bookmarkEnd w:id="35436"/>
      <w:r>
        <w:rPr>
          <w:rFonts w:hint="cs"/>
          <w:rtl/>
        </w:rPr>
        <w:t xml:space="preserve">שמדינת </w:t>
      </w:r>
      <w:bookmarkStart w:id="35437" w:name="_ETM_Q63_414510"/>
      <w:bookmarkEnd w:id="35437"/>
      <w:r>
        <w:rPr>
          <w:rFonts w:hint="cs"/>
          <w:rtl/>
        </w:rPr>
        <w:t xml:space="preserve">ישראל </w:t>
      </w:r>
      <w:bookmarkStart w:id="35438" w:name="_ETM_Q63_414959"/>
      <w:bookmarkEnd w:id="35438"/>
      <w:r>
        <w:rPr>
          <w:rFonts w:hint="cs"/>
          <w:rtl/>
        </w:rPr>
        <w:t xml:space="preserve">נקלעה </w:t>
      </w:r>
      <w:bookmarkStart w:id="35439" w:name="_ETM_Q63_415410"/>
      <w:bookmarkEnd w:id="35439"/>
      <w:r>
        <w:rPr>
          <w:rFonts w:hint="cs"/>
          <w:rtl/>
        </w:rPr>
        <w:t xml:space="preserve">אליה </w:t>
      </w:r>
      <w:bookmarkStart w:id="35440" w:name="_ETM_Q63_415680"/>
      <w:bookmarkEnd w:id="35440"/>
      <w:r>
        <w:rPr>
          <w:rFonts w:hint="cs"/>
          <w:rtl/>
        </w:rPr>
        <w:t xml:space="preserve">בחצי </w:t>
      </w:r>
      <w:bookmarkStart w:id="35441" w:name="_ETM_Q63_416130"/>
      <w:bookmarkEnd w:id="35441"/>
      <w:r>
        <w:rPr>
          <w:rFonts w:hint="cs"/>
          <w:rtl/>
        </w:rPr>
        <w:t xml:space="preserve">השנה </w:t>
      </w:r>
      <w:bookmarkStart w:id="35442" w:name="_ETM_Q63_416430"/>
      <w:bookmarkEnd w:id="35442"/>
      <w:r>
        <w:rPr>
          <w:rFonts w:hint="cs"/>
          <w:rtl/>
        </w:rPr>
        <w:t xml:space="preserve">האחרונה, </w:t>
      </w:r>
      <w:bookmarkStart w:id="35443" w:name="_ETM_Q63_417639"/>
      <w:bookmarkEnd w:id="35443"/>
      <w:r>
        <w:rPr>
          <w:rFonts w:hint="cs"/>
          <w:rtl/>
        </w:rPr>
        <w:t xml:space="preserve">דברים </w:t>
      </w:r>
      <w:bookmarkStart w:id="35444" w:name="_ETM_Q63_418059"/>
      <w:bookmarkEnd w:id="35444"/>
      <w:r>
        <w:rPr>
          <w:rFonts w:hint="cs"/>
          <w:rtl/>
        </w:rPr>
        <w:t xml:space="preserve">שלא </w:t>
      </w:r>
      <w:bookmarkStart w:id="35445" w:name="_ETM_Q63_418329"/>
      <w:bookmarkEnd w:id="35445"/>
      <w:r>
        <w:rPr>
          <w:rFonts w:hint="cs"/>
          <w:rtl/>
        </w:rPr>
        <w:t xml:space="preserve">ידענו. </w:t>
      </w:r>
      <w:bookmarkStart w:id="35446" w:name="_ETM_Q63_419409"/>
      <w:bookmarkEnd w:id="35446"/>
      <w:r>
        <w:rPr>
          <w:rFonts w:hint="cs"/>
          <w:rtl/>
        </w:rPr>
        <w:t xml:space="preserve">ידענו </w:t>
      </w:r>
      <w:bookmarkStart w:id="35447" w:name="_ETM_Q63_419889"/>
      <w:bookmarkEnd w:id="35447"/>
      <w:r>
        <w:rPr>
          <w:rFonts w:hint="cs"/>
          <w:rtl/>
        </w:rPr>
        <w:t xml:space="preserve">מחלוקת, </w:t>
      </w:r>
      <w:bookmarkStart w:id="35448" w:name="_ETM_Q63_421190"/>
      <w:bookmarkEnd w:id="35448"/>
      <w:r>
        <w:rPr>
          <w:rFonts w:hint="cs"/>
          <w:rtl/>
        </w:rPr>
        <w:t xml:space="preserve">ידענו </w:t>
      </w:r>
      <w:bookmarkStart w:id="35449" w:name="_ETM_Q63_421760"/>
      <w:bookmarkEnd w:id="35449"/>
      <w:r>
        <w:rPr>
          <w:rFonts w:hint="cs"/>
          <w:rtl/>
        </w:rPr>
        <w:t xml:space="preserve">עוצמות, </w:t>
      </w:r>
      <w:bookmarkStart w:id="35450" w:name="_ETM_Q63_422990"/>
      <w:bookmarkEnd w:id="35450"/>
      <w:r>
        <w:rPr>
          <w:rFonts w:hint="cs"/>
          <w:rtl/>
        </w:rPr>
        <w:t xml:space="preserve">אבל </w:t>
      </w:r>
      <w:bookmarkStart w:id="35451" w:name="_ETM_Q63_423440"/>
      <w:bookmarkEnd w:id="35451"/>
      <w:r>
        <w:rPr>
          <w:rFonts w:hint="cs"/>
          <w:rtl/>
        </w:rPr>
        <w:t xml:space="preserve">פירוק </w:t>
      </w:r>
      <w:bookmarkStart w:id="35452" w:name="_ETM_Q63_423950"/>
      <w:bookmarkEnd w:id="35452"/>
      <w:r>
        <w:rPr>
          <w:rFonts w:hint="cs"/>
          <w:rtl/>
        </w:rPr>
        <w:t xml:space="preserve">משפחתי </w:t>
      </w:r>
      <w:bookmarkStart w:id="35453" w:name="_ETM_Q63_424610"/>
      <w:bookmarkEnd w:id="35453"/>
      <w:r>
        <w:rPr>
          <w:rFonts w:hint="cs"/>
          <w:rtl/>
        </w:rPr>
        <w:t xml:space="preserve">על </w:t>
      </w:r>
      <w:bookmarkStart w:id="35454" w:name="_ETM_Q63_424760"/>
      <w:bookmarkEnd w:id="35454"/>
      <w:r>
        <w:rPr>
          <w:rFonts w:hint="cs"/>
          <w:rtl/>
        </w:rPr>
        <w:t xml:space="preserve">בסיס </w:t>
      </w:r>
      <w:bookmarkStart w:id="35455" w:name="_ETM_Q63_425210"/>
      <w:bookmarkEnd w:id="35455"/>
      <w:r>
        <w:rPr>
          <w:rFonts w:hint="cs"/>
          <w:rtl/>
        </w:rPr>
        <w:t xml:space="preserve">שיחה </w:t>
      </w:r>
      <w:bookmarkStart w:id="35456" w:name="_ETM_Q63_425510"/>
      <w:bookmarkEnd w:id="35456"/>
      <w:r>
        <w:rPr>
          <w:rFonts w:hint="cs"/>
          <w:rtl/>
        </w:rPr>
        <w:t xml:space="preserve">פוליטית? </w:t>
      </w:r>
      <w:bookmarkStart w:id="35457" w:name="_ETM_Q63_426870"/>
      <w:bookmarkEnd w:id="35457"/>
      <w:r>
        <w:rPr>
          <w:rFonts w:hint="cs"/>
          <w:rtl/>
        </w:rPr>
        <w:t xml:space="preserve">הדרת </w:t>
      </w:r>
      <w:bookmarkStart w:id="35458" w:name="_ETM_Q63_427890"/>
      <w:bookmarkEnd w:id="35458"/>
      <w:r>
        <w:rPr>
          <w:rFonts w:hint="cs"/>
          <w:rtl/>
        </w:rPr>
        <w:t xml:space="preserve">רגליים </w:t>
      </w:r>
      <w:bookmarkStart w:id="35459" w:name="_ETM_Q63_428519"/>
      <w:bookmarkEnd w:id="35459"/>
      <w:r>
        <w:rPr>
          <w:rFonts w:hint="cs"/>
          <w:rtl/>
        </w:rPr>
        <w:t xml:space="preserve">מבית </w:t>
      </w:r>
      <w:bookmarkStart w:id="35460" w:name="_ETM_Q63_429060"/>
      <w:bookmarkEnd w:id="35460"/>
      <w:r>
        <w:rPr>
          <w:rFonts w:hint="cs"/>
          <w:rtl/>
        </w:rPr>
        <w:t xml:space="preserve">רק </w:t>
      </w:r>
      <w:bookmarkStart w:id="35461" w:name="_ETM_Q63_429269"/>
      <w:bookmarkEnd w:id="35461"/>
      <w:r>
        <w:rPr>
          <w:rFonts w:hint="cs"/>
          <w:rtl/>
        </w:rPr>
        <w:t xml:space="preserve">בגלל </w:t>
      </w:r>
      <w:bookmarkStart w:id="35462" w:name="_ETM_Q63_429510"/>
      <w:bookmarkEnd w:id="35462"/>
      <w:r>
        <w:rPr>
          <w:rFonts w:hint="cs"/>
          <w:rtl/>
        </w:rPr>
        <w:t xml:space="preserve">שאתה </w:t>
      </w:r>
      <w:bookmarkStart w:id="35463" w:name="_ETM_Q63_429840"/>
      <w:bookmarkEnd w:id="35463"/>
      <w:r>
        <w:rPr>
          <w:rFonts w:hint="cs"/>
          <w:rtl/>
        </w:rPr>
        <w:t xml:space="preserve">לא </w:t>
      </w:r>
      <w:bookmarkStart w:id="35464" w:name="_ETM_Q63_429930"/>
      <w:bookmarkEnd w:id="35464"/>
      <w:r>
        <w:rPr>
          <w:rFonts w:hint="cs"/>
          <w:rtl/>
        </w:rPr>
        <w:t xml:space="preserve">יכול </w:t>
      </w:r>
      <w:bookmarkStart w:id="35465" w:name="_ETM_Q63_430170"/>
      <w:bookmarkEnd w:id="35465"/>
      <w:r>
        <w:rPr>
          <w:rFonts w:hint="cs"/>
          <w:rtl/>
        </w:rPr>
        <w:t xml:space="preserve">לשמוע </w:t>
      </w:r>
      <w:bookmarkStart w:id="35466" w:name="_ETM_Q63_430650"/>
      <w:bookmarkEnd w:id="35466"/>
      <w:r>
        <w:rPr>
          <w:rFonts w:hint="cs"/>
          <w:rtl/>
        </w:rPr>
        <w:t xml:space="preserve">דעה </w:t>
      </w:r>
      <w:bookmarkStart w:id="35467" w:name="_ETM_Q63_431460"/>
      <w:bookmarkEnd w:id="35467"/>
      <w:r>
        <w:rPr>
          <w:rFonts w:hint="cs"/>
          <w:rtl/>
        </w:rPr>
        <w:t xml:space="preserve">של </w:t>
      </w:r>
      <w:bookmarkStart w:id="35468" w:name="_ETM_Q63_431670"/>
      <w:bookmarkEnd w:id="35468"/>
      <w:r>
        <w:rPr>
          <w:rFonts w:hint="cs"/>
          <w:rtl/>
        </w:rPr>
        <w:t xml:space="preserve">מישהו </w:t>
      </w:r>
      <w:bookmarkStart w:id="35469" w:name="_ETM_Q63_432000"/>
      <w:bookmarkEnd w:id="35469"/>
      <w:r>
        <w:rPr>
          <w:rFonts w:hint="cs"/>
          <w:rtl/>
        </w:rPr>
        <w:t>אחר?</w:t>
      </w:r>
    </w:p>
    <w:p w:rsidR="00BB59CD" w:rsidRDefault="00BB59CD" w:rsidP="00BB59CD">
      <w:pPr>
        <w:rPr>
          <w:rtl/>
        </w:rPr>
      </w:pPr>
    </w:p>
    <w:p w:rsidR="00BB59CD" w:rsidRDefault="00BB59CD" w:rsidP="00924A5C">
      <w:pPr>
        <w:rPr>
          <w:rtl/>
        </w:rPr>
      </w:pPr>
      <w:bookmarkStart w:id="35470" w:name="_ETM_Q63_434260"/>
      <w:bookmarkEnd w:id="35470"/>
      <w:r>
        <w:rPr>
          <w:rFonts w:hint="cs"/>
          <w:rtl/>
        </w:rPr>
        <w:t xml:space="preserve">מאות </w:t>
      </w:r>
      <w:bookmarkStart w:id="35471" w:name="_ETM_Q63_434620"/>
      <w:bookmarkEnd w:id="35471"/>
      <w:r>
        <w:rPr>
          <w:rFonts w:hint="cs"/>
          <w:rtl/>
        </w:rPr>
        <w:t xml:space="preserve">אלפי </w:t>
      </w:r>
      <w:bookmarkStart w:id="35472" w:name="_ETM_Q63_434950"/>
      <w:bookmarkEnd w:id="35472"/>
      <w:r>
        <w:rPr>
          <w:rFonts w:hint="cs"/>
          <w:rtl/>
        </w:rPr>
        <w:t xml:space="preserve">הצועדים </w:t>
      </w:r>
      <w:bookmarkStart w:id="35473" w:name="_ETM_Q63_435459"/>
      <w:bookmarkEnd w:id="35473"/>
      <w:r>
        <w:rPr>
          <w:rFonts w:hint="cs"/>
          <w:rtl/>
        </w:rPr>
        <w:t xml:space="preserve">לירושלים, </w:t>
      </w:r>
      <w:bookmarkStart w:id="35474" w:name="_ETM_Q63_436630"/>
      <w:bookmarkEnd w:id="35474"/>
      <w:r>
        <w:rPr>
          <w:rFonts w:hint="cs"/>
          <w:rtl/>
        </w:rPr>
        <w:t xml:space="preserve">שהייתי </w:t>
      </w:r>
      <w:bookmarkStart w:id="35475" w:name="_ETM_Q63_437169"/>
      <w:bookmarkEnd w:id="35475"/>
      <w:r>
        <w:rPr>
          <w:rFonts w:hint="cs"/>
          <w:rtl/>
        </w:rPr>
        <w:t xml:space="preserve">איתם </w:t>
      </w:r>
      <w:bookmarkStart w:id="35476" w:name="_ETM_Q63_437440"/>
      <w:bookmarkEnd w:id="35476"/>
      <w:r>
        <w:rPr>
          <w:rFonts w:hint="cs"/>
          <w:rtl/>
        </w:rPr>
        <w:t xml:space="preserve">היום </w:t>
      </w:r>
      <w:bookmarkStart w:id="35477" w:name="_ETM_Q63_437650"/>
      <w:bookmarkEnd w:id="35477"/>
      <w:r>
        <w:rPr>
          <w:rFonts w:hint="cs"/>
          <w:rtl/>
        </w:rPr>
        <w:t xml:space="preserve">בגן </w:t>
      </w:r>
      <w:bookmarkStart w:id="35478" w:name="_ETM_Q63_437949"/>
      <w:bookmarkEnd w:id="35478"/>
      <w:r>
        <w:rPr>
          <w:rFonts w:hint="cs"/>
          <w:rtl/>
        </w:rPr>
        <w:t xml:space="preserve">סאקר, </w:t>
      </w:r>
      <w:bookmarkStart w:id="35479" w:name="_ETM_Q63_439250"/>
      <w:bookmarkEnd w:id="35479"/>
      <w:r>
        <w:rPr>
          <w:rFonts w:hint="cs"/>
          <w:rtl/>
        </w:rPr>
        <w:t xml:space="preserve">צועדים </w:t>
      </w:r>
      <w:bookmarkStart w:id="35480" w:name="_ETM_Q63_439790"/>
      <w:bookmarkEnd w:id="35480"/>
      <w:r>
        <w:rPr>
          <w:rFonts w:hint="cs"/>
          <w:rtl/>
        </w:rPr>
        <w:t xml:space="preserve">ברחובות </w:t>
      </w:r>
      <w:bookmarkStart w:id="35481" w:name="_ETM_Q63_440900"/>
      <w:bookmarkEnd w:id="35481"/>
      <w:r>
        <w:rPr>
          <w:rFonts w:hint="cs"/>
          <w:rtl/>
        </w:rPr>
        <w:t xml:space="preserve">ונאבקים </w:t>
      </w:r>
      <w:bookmarkStart w:id="35482" w:name="_ETM_Q63_441650"/>
      <w:bookmarkEnd w:id="35482"/>
      <w:r>
        <w:rPr>
          <w:rFonts w:hint="cs"/>
          <w:rtl/>
        </w:rPr>
        <w:t xml:space="preserve">חודשים </w:t>
      </w:r>
      <w:bookmarkStart w:id="35483" w:name="_ETM_Q63_442160"/>
      <w:bookmarkEnd w:id="35483"/>
      <w:r>
        <w:rPr>
          <w:rFonts w:hint="cs"/>
          <w:rtl/>
        </w:rPr>
        <w:t xml:space="preserve">רבים, </w:t>
      </w:r>
      <w:bookmarkStart w:id="35484" w:name="_ETM_Q63_443139"/>
      <w:bookmarkEnd w:id="35484"/>
      <w:r>
        <w:rPr>
          <w:rFonts w:hint="cs"/>
          <w:rtl/>
        </w:rPr>
        <w:t xml:space="preserve">שבוע </w:t>
      </w:r>
      <w:bookmarkStart w:id="35485" w:name="_ETM_Q63_443740"/>
      <w:bookmarkEnd w:id="35485"/>
      <w:r>
        <w:rPr>
          <w:rFonts w:hint="cs"/>
          <w:rtl/>
        </w:rPr>
        <w:t xml:space="preserve">אחר </w:t>
      </w:r>
      <w:bookmarkStart w:id="35486" w:name="_ETM_Q63_444009"/>
      <w:bookmarkEnd w:id="35486"/>
      <w:r>
        <w:rPr>
          <w:rFonts w:hint="cs"/>
          <w:rtl/>
        </w:rPr>
        <w:t xml:space="preserve">שבוע, </w:t>
      </w:r>
      <w:bookmarkStart w:id="35487" w:name="_ETM_Q63_445020"/>
      <w:bookmarkEnd w:id="35487"/>
      <w:r>
        <w:rPr>
          <w:rFonts w:hint="cs"/>
          <w:rtl/>
        </w:rPr>
        <w:t xml:space="preserve">יום </w:t>
      </w:r>
      <w:bookmarkStart w:id="35488" w:name="_ETM_Q63_445349"/>
      <w:bookmarkEnd w:id="35488"/>
      <w:r>
        <w:rPr>
          <w:rFonts w:hint="cs"/>
          <w:rtl/>
        </w:rPr>
        <w:t xml:space="preserve">אחר </w:t>
      </w:r>
      <w:bookmarkStart w:id="35489" w:name="_ETM_Q63_445680"/>
      <w:bookmarkEnd w:id="35489"/>
      <w:r>
        <w:rPr>
          <w:rFonts w:hint="cs"/>
          <w:rtl/>
        </w:rPr>
        <w:t xml:space="preserve">יום. </w:t>
      </w:r>
      <w:bookmarkStart w:id="35490" w:name="_ETM_Q63_446589"/>
      <w:bookmarkEnd w:id="35490"/>
      <w:r>
        <w:rPr>
          <w:rFonts w:hint="cs"/>
          <w:rtl/>
        </w:rPr>
        <w:t xml:space="preserve">יש </w:t>
      </w:r>
      <w:bookmarkStart w:id="35491" w:name="_ETM_Q63_446949"/>
      <w:bookmarkEnd w:id="35491"/>
      <w:r>
        <w:rPr>
          <w:rFonts w:hint="cs"/>
          <w:rtl/>
        </w:rPr>
        <w:t xml:space="preserve">בהם </w:t>
      </w:r>
      <w:bookmarkStart w:id="35492" w:name="_ETM_Q63_447370"/>
      <w:bookmarkEnd w:id="35492"/>
      <w:r>
        <w:rPr>
          <w:rFonts w:hint="cs"/>
          <w:rtl/>
        </w:rPr>
        <w:t xml:space="preserve">מלח </w:t>
      </w:r>
      <w:bookmarkStart w:id="35493" w:name="_ETM_Q63_447850"/>
      <w:bookmarkEnd w:id="35493"/>
      <w:r>
        <w:rPr>
          <w:rFonts w:hint="cs"/>
          <w:rtl/>
        </w:rPr>
        <w:t xml:space="preserve">הארץ, </w:t>
      </w:r>
      <w:bookmarkStart w:id="35494" w:name="_ETM_Q63_449060"/>
      <w:bookmarkEnd w:id="35494"/>
      <w:r>
        <w:rPr>
          <w:rFonts w:hint="cs"/>
          <w:rtl/>
        </w:rPr>
        <w:t xml:space="preserve">משפחות </w:t>
      </w:r>
      <w:bookmarkStart w:id="35495" w:name="_ETM_Q63_449719"/>
      <w:bookmarkEnd w:id="35495"/>
      <w:r>
        <w:rPr>
          <w:rFonts w:hint="cs"/>
          <w:rtl/>
        </w:rPr>
        <w:t xml:space="preserve">רבות, </w:t>
      </w:r>
      <w:bookmarkStart w:id="35496" w:name="_ETM_Q63_450529"/>
      <w:bookmarkEnd w:id="35496"/>
      <w:r>
        <w:rPr>
          <w:rFonts w:hint="cs"/>
          <w:rtl/>
        </w:rPr>
        <w:t xml:space="preserve">מבוגרים </w:t>
      </w:r>
      <w:bookmarkStart w:id="35497" w:name="_ETM_Q63_451339"/>
      <w:bookmarkEnd w:id="35497"/>
      <w:r>
        <w:rPr>
          <w:rFonts w:hint="cs"/>
          <w:rtl/>
        </w:rPr>
        <w:t xml:space="preserve">שלחמו </w:t>
      </w:r>
      <w:bookmarkStart w:id="35498" w:name="_ETM_Q63_451879"/>
      <w:bookmarkEnd w:id="35498"/>
      <w:r>
        <w:rPr>
          <w:rFonts w:hint="cs"/>
          <w:rtl/>
        </w:rPr>
        <w:t xml:space="preserve">במלחמות </w:t>
      </w:r>
      <w:bookmarkStart w:id="35499" w:name="_ETM_Q63_452539"/>
      <w:bookmarkEnd w:id="35499"/>
      <w:r>
        <w:rPr>
          <w:rFonts w:hint="cs"/>
          <w:rtl/>
        </w:rPr>
        <w:t xml:space="preserve">ישראל </w:t>
      </w:r>
      <w:bookmarkStart w:id="35500" w:name="_ETM_Q63_453650"/>
      <w:bookmarkEnd w:id="35500"/>
      <w:r>
        <w:rPr>
          <w:rFonts w:hint="cs"/>
          <w:rtl/>
        </w:rPr>
        <w:t xml:space="preserve">וצעירים </w:t>
      </w:r>
      <w:bookmarkStart w:id="35501" w:name="_ETM_Q63_454370"/>
      <w:bookmarkEnd w:id="35501"/>
      <w:r>
        <w:rPr>
          <w:rFonts w:hint="cs"/>
          <w:rtl/>
        </w:rPr>
        <w:t xml:space="preserve">שמשרתים </w:t>
      </w:r>
      <w:bookmarkStart w:id="35502" w:name="_ETM_Q63_455120"/>
      <w:bookmarkEnd w:id="35502"/>
      <w:r>
        <w:rPr>
          <w:rFonts w:hint="cs"/>
          <w:rtl/>
        </w:rPr>
        <w:t xml:space="preserve">את </w:t>
      </w:r>
      <w:bookmarkStart w:id="35503" w:name="_ETM_Q63_455270"/>
      <w:bookmarkEnd w:id="35503"/>
      <w:r>
        <w:rPr>
          <w:rFonts w:hint="cs"/>
          <w:rtl/>
        </w:rPr>
        <w:t xml:space="preserve">מדינתם </w:t>
      </w:r>
      <w:bookmarkStart w:id="35504" w:name="_ETM_Q63_456409"/>
      <w:bookmarkEnd w:id="35504"/>
      <w:r>
        <w:rPr>
          <w:rFonts w:hint="cs"/>
          <w:rtl/>
        </w:rPr>
        <w:t xml:space="preserve">ודואגים </w:t>
      </w:r>
      <w:bookmarkStart w:id="35505" w:name="_ETM_Q63_457039"/>
      <w:bookmarkEnd w:id="35505"/>
      <w:r>
        <w:rPr>
          <w:rFonts w:hint="cs"/>
          <w:rtl/>
        </w:rPr>
        <w:t xml:space="preserve">לעתידה </w:t>
      </w:r>
      <w:bookmarkStart w:id="35506" w:name="_ETM_Q63_457639"/>
      <w:bookmarkEnd w:id="35506"/>
      <w:r>
        <w:rPr>
          <w:rFonts w:hint="cs"/>
          <w:rtl/>
        </w:rPr>
        <w:t xml:space="preserve">של </w:t>
      </w:r>
      <w:bookmarkStart w:id="35507" w:name="_ETM_Q63_457849"/>
      <w:bookmarkEnd w:id="35507"/>
      <w:r>
        <w:rPr>
          <w:rFonts w:hint="cs"/>
          <w:rtl/>
        </w:rPr>
        <w:t>המדינה</w:t>
      </w:r>
      <w:r w:rsidR="003F0554">
        <w:rPr>
          <w:rFonts w:hint="cs"/>
          <w:rtl/>
        </w:rPr>
        <w:t>,</w:t>
      </w:r>
      <w:r>
        <w:rPr>
          <w:rFonts w:hint="cs"/>
          <w:rtl/>
        </w:rPr>
        <w:t xml:space="preserve"> </w:t>
      </w:r>
      <w:bookmarkStart w:id="35508" w:name="_ETM_Q63_458800"/>
      <w:bookmarkEnd w:id="35508"/>
      <w:r>
        <w:rPr>
          <w:rFonts w:hint="cs"/>
          <w:rtl/>
        </w:rPr>
        <w:t xml:space="preserve">ילדים </w:t>
      </w:r>
      <w:bookmarkStart w:id="35509" w:name="_ETM_Q63_460060"/>
      <w:bookmarkEnd w:id="35509"/>
      <w:r>
        <w:rPr>
          <w:rFonts w:hint="cs"/>
          <w:rtl/>
        </w:rPr>
        <w:t xml:space="preserve">ותינוקות. </w:t>
      </w:r>
      <w:bookmarkStart w:id="35510" w:name="_ETM_Q63_461860"/>
      <w:bookmarkEnd w:id="35510"/>
      <w:r>
        <w:rPr>
          <w:rFonts w:hint="cs"/>
          <w:rtl/>
        </w:rPr>
        <w:t xml:space="preserve">הם </w:t>
      </w:r>
      <w:bookmarkStart w:id="35511" w:name="_ETM_Q63_462099"/>
      <w:bookmarkEnd w:id="35511"/>
      <w:r>
        <w:rPr>
          <w:rFonts w:hint="cs"/>
          <w:rtl/>
        </w:rPr>
        <w:t xml:space="preserve">מבטאים </w:t>
      </w:r>
      <w:bookmarkStart w:id="35512" w:name="_ETM_Q63_462580"/>
      <w:bookmarkStart w:id="35513" w:name="_ETM_Q63_462699"/>
      <w:bookmarkEnd w:id="35512"/>
      <w:bookmarkEnd w:id="35513"/>
      <w:r>
        <w:rPr>
          <w:rFonts w:hint="cs"/>
          <w:rtl/>
        </w:rPr>
        <w:t xml:space="preserve">דאגה </w:t>
      </w:r>
      <w:bookmarkStart w:id="35514" w:name="_ETM_Q63_463300"/>
      <w:bookmarkEnd w:id="35514"/>
      <w:r>
        <w:rPr>
          <w:rFonts w:hint="cs"/>
          <w:rtl/>
        </w:rPr>
        <w:t xml:space="preserve">אמיתית, </w:t>
      </w:r>
      <w:bookmarkStart w:id="35515" w:name="_ETM_Q63_464680"/>
      <w:bookmarkEnd w:id="35515"/>
      <w:r>
        <w:rPr>
          <w:rFonts w:hint="cs"/>
          <w:rtl/>
        </w:rPr>
        <w:t xml:space="preserve">חרדה </w:t>
      </w:r>
      <w:bookmarkStart w:id="35516" w:name="_ETM_Q63_465490"/>
      <w:bookmarkEnd w:id="35516"/>
      <w:r>
        <w:rPr>
          <w:rFonts w:hint="cs"/>
          <w:rtl/>
        </w:rPr>
        <w:t xml:space="preserve">לעיתים. </w:t>
      </w:r>
      <w:bookmarkStart w:id="35517" w:name="_ETM_Q63_466630"/>
      <w:bookmarkEnd w:id="35517"/>
      <w:r>
        <w:rPr>
          <w:rFonts w:hint="cs"/>
          <w:rtl/>
        </w:rPr>
        <w:t xml:space="preserve">צריך </w:t>
      </w:r>
      <w:bookmarkStart w:id="35518" w:name="_ETM_Q63_467050"/>
      <w:bookmarkEnd w:id="35518"/>
      <w:r>
        <w:rPr>
          <w:rFonts w:hint="cs"/>
          <w:rtl/>
        </w:rPr>
        <w:t xml:space="preserve">להקשיב </w:t>
      </w:r>
      <w:bookmarkStart w:id="35519" w:name="_ETM_Q63_467620"/>
      <w:bookmarkEnd w:id="35519"/>
      <w:r>
        <w:rPr>
          <w:rFonts w:hint="cs"/>
          <w:rtl/>
        </w:rPr>
        <w:t xml:space="preserve">לכאב </w:t>
      </w:r>
      <w:bookmarkStart w:id="35520" w:name="_ETM_Q63_468130"/>
      <w:bookmarkEnd w:id="35520"/>
      <w:r>
        <w:rPr>
          <w:rFonts w:hint="cs"/>
          <w:rtl/>
        </w:rPr>
        <w:t xml:space="preserve">הזה, </w:t>
      </w:r>
      <w:bookmarkStart w:id="35521" w:name="_ETM_Q63_468910"/>
      <w:bookmarkEnd w:id="35521"/>
      <w:r w:rsidR="003F0554">
        <w:rPr>
          <w:rFonts w:hint="cs"/>
          <w:rtl/>
        </w:rPr>
        <w:t>ל</w:t>
      </w:r>
      <w:r>
        <w:rPr>
          <w:rFonts w:hint="cs"/>
          <w:rtl/>
        </w:rPr>
        <w:t xml:space="preserve">תחושת </w:t>
      </w:r>
      <w:bookmarkStart w:id="35522" w:name="_ETM_Q63_469449"/>
      <w:bookmarkEnd w:id="35522"/>
      <w:r>
        <w:rPr>
          <w:rFonts w:hint="cs"/>
          <w:rtl/>
        </w:rPr>
        <w:t xml:space="preserve">חוסר </w:t>
      </w:r>
      <w:bookmarkStart w:id="35523" w:name="_ETM_Q63_469900"/>
      <w:bookmarkEnd w:id="35523"/>
      <w:r>
        <w:rPr>
          <w:rFonts w:hint="cs"/>
          <w:rtl/>
        </w:rPr>
        <w:t xml:space="preserve">אונים, </w:t>
      </w:r>
      <w:bookmarkStart w:id="35524" w:name="_ETM_Q63_470830"/>
      <w:bookmarkEnd w:id="35524"/>
      <w:r>
        <w:rPr>
          <w:rFonts w:hint="cs"/>
          <w:rtl/>
        </w:rPr>
        <w:t xml:space="preserve">תחושת </w:t>
      </w:r>
      <w:bookmarkStart w:id="35525" w:name="_ETM_Q63_471310"/>
      <w:bookmarkEnd w:id="35525"/>
      <w:r>
        <w:rPr>
          <w:rFonts w:hint="cs"/>
          <w:rtl/>
        </w:rPr>
        <w:t xml:space="preserve">חידלון </w:t>
      </w:r>
      <w:bookmarkStart w:id="35526" w:name="_ETM_Q63_471940"/>
      <w:bookmarkEnd w:id="35526"/>
      <w:r>
        <w:rPr>
          <w:rFonts w:hint="cs"/>
          <w:rtl/>
        </w:rPr>
        <w:t xml:space="preserve">כמעט. </w:t>
      </w:r>
      <w:bookmarkStart w:id="35527" w:name="_ETM_Q63_472870"/>
      <w:bookmarkEnd w:id="35527"/>
      <w:r>
        <w:rPr>
          <w:rFonts w:hint="cs"/>
          <w:rtl/>
        </w:rPr>
        <w:t xml:space="preserve">חלקם </w:t>
      </w:r>
      <w:bookmarkStart w:id="35528" w:name="_ETM_Q63_473410"/>
      <w:bookmarkEnd w:id="35528"/>
      <w:r>
        <w:rPr>
          <w:rFonts w:hint="cs"/>
          <w:rtl/>
        </w:rPr>
        <w:t xml:space="preserve">בתחושת </w:t>
      </w:r>
      <w:bookmarkStart w:id="35529" w:name="_ETM_Q63_474009"/>
      <w:bookmarkEnd w:id="35529"/>
      <w:r>
        <w:rPr>
          <w:rFonts w:hint="cs"/>
          <w:rtl/>
        </w:rPr>
        <w:t xml:space="preserve">ייאוש </w:t>
      </w:r>
      <w:bookmarkStart w:id="35530" w:name="_ETM_Q63_474550"/>
      <w:bookmarkEnd w:id="35530"/>
      <w:r>
        <w:rPr>
          <w:rFonts w:hint="cs"/>
          <w:rtl/>
        </w:rPr>
        <w:t xml:space="preserve">וכאב </w:t>
      </w:r>
      <w:bookmarkStart w:id="35531" w:name="_ETM_Q63_475600"/>
      <w:bookmarkEnd w:id="35531"/>
      <w:r>
        <w:rPr>
          <w:rFonts w:hint="cs"/>
          <w:rtl/>
        </w:rPr>
        <w:t xml:space="preserve">אמיתי, </w:t>
      </w:r>
      <w:bookmarkStart w:id="35532" w:name="_ETM_Q63_476350"/>
      <w:bookmarkEnd w:id="35532"/>
      <w:r>
        <w:rPr>
          <w:rFonts w:hint="cs"/>
          <w:rtl/>
        </w:rPr>
        <w:t xml:space="preserve">כאב </w:t>
      </w:r>
      <w:bookmarkStart w:id="35533" w:name="_ETM_Q63_476800"/>
      <w:bookmarkEnd w:id="35533"/>
      <w:r>
        <w:rPr>
          <w:rFonts w:hint="cs"/>
          <w:rtl/>
        </w:rPr>
        <w:t xml:space="preserve">עמוק </w:t>
      </w:r>
      <w:bookmarkStart w:id="35534" w:name="_ETM_Q63_477279"/>
      <w:bookmarkEnd w:id="35534"/>
      <w:r>
        <w:rPr>
          <w:rFonts w:hint="cs"/>
          <w:rtl/>
        </w:rPr>
        <w:t xml:space="preserve">שאוחז </w:t>
      </w:r>
      <w:bookmarkStart w:id="35535" w:name="_ETM_Q63_477880"/>
      <w:bookmarkEnd w:id="35535"/>
      <w:r>
        <w:rPr>
          <w:rFonts w:hint="cs"/>
          <w:rtl/>
        </w:rPr>
        <w:t xml:space="preserve">בהם. </w:t>
      </w:r>
      <w:bookmarkStart w:id="35536" w:name="_ETM_Q63_479389"/>
      <w:bookmarkEnd w:id="35536"/>
      <w:r>
        <w:rPr>
          <w:rFonts w:hint="cs"/>
          <w:rtl/>
        </w:rPr>
        <w:t xml:space="preserve">מתוך </w:t>
      </w:r>
      <w:bookmarkStart w:id="35537" w:name="_ETM_Q63_479779"/>
      <w:bookmarkEnd w:id="35537"/>
      <w:r>
        <w:rPr>
          <w:rFonts w:hint="cs"/>
          <w:rtl/>
        </w:rPr>
        <w:t xml:space="preserve">הכאב </w:t>
      </w:r>
      <w:bookmarkStart w:id="35538" w:name="_ETM_Q63_480169"/>
      <w:bookmarkEnd w:id="35538"/>
      <w:r>
        <w:rPr>
          <w:rFonts w:hint="cs"/>
          <w:rtl/>
        </w:rPr>
        <w:t xml:space="preserve">הזה </w:t>
      </w:r>
      <w:bookmarkStart w:id="35539" w:name="_ETM_Q63_480410"/>
      <w:bookmarkEnd w:id="35539"/>
      <w:r>
        <w:rPr>
          <w:rFonts w:hint="cs"/>
          <w:rtl/>
        </w:rPr>
        <w:t xml:space="preserve">יוצאים </w:t>
      </w:r>
      <w:bookmarkStart w:id="35540" w:name="_ETM_Q63_481220"/>
      <w:bookmarkEnd w:id="35540"/>
      <w:r>
        <w:rPr>
          <w:rFonts w:hint="cs"/>
          <w:rtl/>
        </w:rPr>
        <w:t xml:space="preserve"> עשרות </w:t>
      </w:r>
      <w:bookmarkStart w:id="35541" w:name="_ETM_Q63_482000"/>
      <w:bookmarkEnd w:id="35541"/>
      <w:r>
        <w:rPr>
          <w:rFonts w:hint="cs"/>
          <w:rtl/>
        </w:rPr>
        <w:t xml:space="preserve">אלפים ומאות </w:t>
      </w:r>
      <w:bookmarkStart w:id="35542" w:name="_ETM_Q63_480000"/>
      <w:bookmarkStart w:id="35543" w:name="_ETM_Q63_480420"/>
      <w:bookmarkStart w:id="35544" w:name="_ETM_Q63_480810"/>
      <w:bookmarkStart w:id="35545" w:name="_ETM_Q63_481020"/>
      <w:bookmarkStart w:id="35546" w:name="_ETM_Q63_481860"/>
      <w:bookmarkStart w:id="35547" w:name="_ETM_Q63_482370"/>
      <w:bookmarkStart w:id="35548" w:name="_ETM_Q63_483189"/>
      <w:bookmarkStart w:id="35549" w:name="_ETM_Q63_483669"/>
      <w:bookmarkEnd w:id="35542"/>
      <w:bookmarkEnd w:id="35543"/>
      <w:bookmarkEnd w:id="35544"/>
      <w:bookmarkEnd w:id="35545"/>
      <w:bookmarkEnd w:id="35546"/>
      <w:bookmarkEnd w:id="35547"/>
      <w:bookmarkEnd w:id="35548"/>
      <w:bookmarkEnd w:id="35549"/>
      <w:r>
        <w:rPr>
          <w:rFonts w:hint="cs"/>
          <w:rtl/>
        </w:rPr>
        <w:t xml:space="preserve">אלפים </w:t>
      </w:r>
      <w:bookmarkStart w:id="35550" w:name="_ETM_Q63_484089"/>
      <w:bookmarkEnd w:id="35550"/>
      <w:r>
        <w:rPr>
          <w:rFonts w:hint="cs"/>
          <w:rtl/>
        </w:rPr>
        <w:t xml:space="preserve">מביתם </w:t>
      </w:r>
      <w:bookmarkStart w:id="35551" w:name="_ETM_Q63_484689"/>
      <w:bookmarkEnd w:id="35551"/>
      <w:r>
        <w:rPr>
          <w:rFonts w:hint="cs"/>
          <w:rtl/>
        </w:rPr>
        <w:t xml:space="preserve">שבוע </w:t>
      </w:r>
      <w:bookmarkStart w:id="35552" w:name="_ETM_Q63_485169"/>
      <w:bookmarkEnd w:id="35552"/>
      <w:r>
        <w:rPr>
          <w:rFonts w:hint="cs"/>
          <w:rtl/>
        </w:rPr>
        <w:t xml:space="preserve">אחרי </w:t>
      </w:r>
      <w:bookmarkStart w:id="35553" w:name="_ETM_Q63_485410"/>
      <w:bookmarkEnd w:id="35553"/>
      <w:r>
        <w:rPr>
          <w:rFonts w:hint="cs"/>
          <w:rtl/>
        </w:rPr>
        <w:t xml:space="preserve">שבוע </w:t>
      </w:r>
      <w:bookmarkStart w:id="35554" w:name="_ETM_Q63_486220"/>
      <w:bookmarkEnd w:id="35554"/>
      <w:r>
        <w:rPr>
          <w:rFonts w:hint="cs"/>
          <w:rtl/>
        </w:rPr>
        <w:t xml:space="preserve">עם </w:t>
      </w:r>
      <w:bookmarkStart w:id="35555" w:name="_ETM_Q63_486430"/>
      <w:bookmarkEnd w:id="35555"/>
      <w:r>
        <w:rPr>
          <w:rFonts w:hint="cs"/>
          <w:rtl/>
        </w:rPr>
        <w:t xml:space="preserve">דגל </w:t>
      </w:r>
      <w:bookmarkStart w:id="35556" w:name="_ETM_Q63_486819"/>
      <w:bookmarkEnd w:id="35556"/>
      <w:r>
        <w:rPr>
          <w:rFonts w:hint="cs"/>
          <w:rtl/>
        </w:rPr>
        <w:t xml:space="preserve">ישראל, </w:t>
      </w:r>
      <w:bookmarkStart w:id="35557" w:name="_ETM_Q63_487829"/>
      <w:bookmarkEnd w:id="35557"/>
      <w:r>
        <w:rPr>
          <w:rFonts w:hint="cs"/>
          <w:rtl/>
        </w:rPr>
        <w:t xml:space="preserve">מבטאים </w:t>
      </w:r>
      <w:bookmarkStart w:id="35558" w:name="_ETM_Q63_488490"/>
      <w:bookmarkEnd w:id="35558"/>
      <w:r>
        <w:rPr>
          <w:rFonts w:hint="cs"/>
          <w:rtl/>
        </w:rPr>
        <w:t xml:space="preserve">את </w:t>
      </w:r>
      <w:bookmarkStart w:id="35559" w:name="_ETM_Q63_488670"/>
      <w:bookmarkEnd w:id="35559"/>
      <w:r>
        <w:rPr>
          <w:rFonts w:hint="cs"/>
          <w:rtl/>
        </w:rPr>
        <w:t xml:space="preserve">אהבתם </w:t>
      </w:r>
      <w:bookmarkStart w:id="35560" w:name="_ETM_Q63_489179"/>
      <w:bookmarkEnd w:id="35560"/>
      <w:r>
        <w:rPr>
          <w:rFonts w:hint="cs"/>
          <w:rtl/>
        </w:rPr>
        <w:t xml:space="preserve">למדינה </w:t>
      </w:r>
      <w:bookmarkStart w:id="35561" w:name="_ETM_Q63_490250"/>
      <w:bookmarkEnd w:id="35561"/>
      <w:r>
        <w:rPr>
          <w:rFonts w:hint="cs"/>
          <w:rtl/>
        </w:rPr>
        <w:t xml:space="preserve">במאות </w:t>
      </w:r>
      <w:bookmarkStart w:id="35562" w:name="_ETM_Q63_490820"/>
      <w:bookmarkEnd w:id="35562"/>
      <w:r>
        <w:rPr>
          <w:rFonts w:hint="cs"/>
          <w:rtl/>
        </w:rPr>
        <w:t xml:space="preserve">מוקדים </w:t>
      </w:r>
      <w:bookmarkStart w:id="35563" w:name="_ETM_Q63_491269"/>
      <w:bookmarkEnd w:id="35563"/>
      <w:r>
        <w:rPr>
          <w:rFonts w:hint="cs"/>
          <w:rtl/>
        </w:rPr>
        <w:t xml:space="preserve">בכל </w:t>
      </w:r>
      <w:bookmarkStart w:id="35564" w:name="_ETM_Q63_491599"/>
      <w:bookmarkEnd w:id="35564"/>
      <w:r>
        <w:rPr>
          <w:rFonts w:hint="cs"/>
          <w:rtl/>
        </w:rPr>
        <w:t xml:space="preserve">רחבי </w:t>
      </w:r>
      <w:bookmarkStart w:id="35565" w:name="_ETM_Q63_491990"/>
      <w:bookmarkEnd w:id="35565"/>
      <w:r>
        <w:rPr>
          <w:rFonts w:hint="cs"/>
          <w:rtl/>
        </w:rPr>
        <w:t xml:space="preserve">הארץ, </w:t>
      </w:r>
      <w:bookmarkStart w:id="35566" w:name="_ETM_Q63_492969"/>
      <w:bookmarkEnd w:id="35566"/>
      <w:r>
        <w:rPr>
          <w:rFonts w:hint="cs"/>
          <w:rtl/>
        </w:rPr>
        <w:t xml:space="preserve">מבטאים </w:t>
      </w:r>
      <w:bookmarkStart w:id="35567" w:name="_ETM_Q63_493480"/>
      <w:bookmarkEnd w:id="35567"/>
      <w:r>
        <w:rPr>
          <w:rFonts w:hint="cs"/>
          <w:rtl/>
        </w:rPr>
        <w:t xml:space="preserve">את </w:t>
      </w:r>
      <w:bookmarkStart w:id="35568" w:name="_ETM_Q63_493630"/>
      <w:bookmarkEnd w:id="35568"/>
      <w:r>
        <w:rPr>
          <w:rFonts w:hint="cs"/>
          <w:rtl/>
        </w:rPr>
        <w:t xml:space="preserve">מחויבותם </w:t>
      </w:r>
      <w:bookmarkStart w:id="35569" w:name="_ETM_Q63_494440"/>
      <w:bookmarkEnd w:id="35569"/>
      <w:r>
        <w:rPr>
          <w:rFonts w:hint="cs"/>
          <w:rtl/>
        </w:rPr>
        <w:t xml:space="preserve">לערכי </w:t>
      </w:r>
      <w:bookmarkStart w:id="35570" w:name="_ETM_Q63_494860"/>
      <w:bookmarkEnd w:id="35570"/>
      <w:r>
        <w:rPr>
          <w:rFonts w:hint="cs"/>
          <w:rtl/>
        </w:rPr>
        <w:t xml:space="preserve">הציונות, </w:t>
      </w:r>
      <w:bookmarkStart w:id="35571" w:name="_ETM_Q63_495990"/>
      <w:bookmarkEnd w:id="35571"/>
      <w:r>
        <w:rPr>
          <w:rFonts w:hint="cs"/>
          <w:rtl/>
        </w:rPr>
        <w:t xml:space="preserve">להמשכיות </w:t>
      </w:r>
      <w:bookmarkStart w:id="35572" w:name="_ETM_Q63_496830"/>
      <w:bookmarkEnd w:id="35572"/>
      <w:r>
        <w:rPr>
          <w:rFonts w:hint="cs"/>
          <w:rtl/>
        </w:rPr>
        <w:t xml:space="preserve">של </w:t>
      </w:r>
      <w:bookmarkStart w:id="35573" w:name="_ETM_Q63_496980"/>
      <w:bookmarkEnd w:id="35573"/>
      <w:r>
        <w:rPr>
          <w:rFonts w:hint="cs"/>
          <w:rtl/>
        </w:rPr>
        <w:t xml:space="preserve">המפעל </w:t>
      </w:r>
      <w:bookmarkStart w:id="35574" w:name="_ETM_Q63_497430"/>
      <w:bookmarkEnd w:id="35574"/>
      <w:r>
        <w:rPr>
          <w:rFonts w:hint="cs"/>
          <w:rtl/>
        </w:rPr>
        <w:t xml:space="preserve">הציוני, </w:t>
      </w:r>
      <w:bookmarkStart w:id="35575" w:name="_ETM_Q63_498390"/>
      <w:bookmarkEnd w:id="35575"/>
      <w:r>
        <w:rPr>
          <w:rFonts w:hint="cs"/>
          <w:rtl/>
        </w:rPr>
        <w:t xml:space="preserve">לבית </w:t>
      </w:r>
      <w:bookmarkStart w:id="35576" w:name="_ETM_Q63_498960"/>
      <w:bookmarkEnd w:id="35576"/>
      <w:r>
        <w:rPr>
          <w:rFonts w:hint="cs"/>
          <w:rtl/>
        </w:rPr>
        <w:t xml:space="preserve">שבנינו </w:t>
      </w:r>
      <w:bookmarkStart w:id="35577" w:name="_ETM_Q63_499500"/>
      <w:bookmarkEnd w:id="35577"/>
      <w:r>
        <w:rPr>
          <w:rFonts w:hint="cs"/>
          <w:rtl/>
        </w:rPr>
        <w:t xml:space="preserve">כאן </w:t>
      </w:r>
      <w:bookmarkStart w:id="35578" w:name="_ETM_Q63_499800"/>
      <w:bookmarkEnd w:id="35578"/>
      <w:r>
        <w:rPr>
          <w:rFonts w:hint="cs"/>
          <w:rtl/>
        </w:rPr>
        <w:t xml:space="preserve">כולנו </w:t>
      </w:r>
      <w:bookmarkStart w:id="35579" w:name="_ETM_Q63_500220"/>
      <w:bookmarkEnd w:id="35579"/>
      <w:r>
        <w:rPr>
          <w:rFonts w:hint="cs"/>
          <w:rtl/>
        </w:rPr>
        <w:t xml:space="preserve">ביחד </w:t>
      </w:r>
      <w:bookmarkStart w:id="35580" w:name="_ETM_Q63_500790"/>
      <w:bookmarkEnd w:id="35580"/>
      <w:r>
        <w:rPr>
          <w:rFonts w:hint="cs"/>
          <w:rtl/>
        </w:rPr>
        <w:t xml:space="preserve">במשך </w:t>
      </w:r>
      <w:bookmarkStart w:id="35581" w:name="_ETM_Q63_501210"/>
      <w:bookmarkEnd w:id="35581"/>
      <w:r>
        <w:rPr>
          <w:rFonts w:hint="cs"/>
          <w:rtl/>
        </w:rPr>
        <w:t xml:space="preserve">עשרות </w:t>
      </w:r>
      <w:bookmarkStart w:id="35582" w:name="_ETM_Q63_501570"/>
      <w:bookmarkEnd w:id="35582"/>
      <w:r>
        <w:rPr>
          <w:rFonts w:hint="cs"/>
          <w:rtl/>
        </w:rPr>
        <w:t xml:space="preserve">שנים. </w:t>
      </w:r>
      <w:bookmarkStart w:id="35583" w:name="_ETM_Q63_502560"/>
      <w:bookmarkEnd w:id="35583"/>
      <w:r>
        <w:rPr>
          <w:rFonts w:hint="cs"/>
          <w:rtl/>
        </w:rPr>
        <w:t xml:space="preserve">ליבי </w:t>
      </w:r>
      <w:bookmarkStart w:id="35584" w:name="_ETM_Q63_502949"/>
      <w:bookmarkEnd w:id="35584"/>
      <w:r>
        <w:rPr>
          <w:rFonts w:hint="cs"/>
          <w:rtl/>
        </w:rPr>
        <w:t xml:space="preserve">ונפשי </w:t>
      </w:r>
      <w:bookmarkStart w:id="35585" w:name="_ETM_Q63_503609"/>
      <w:bookmarkEnd w:id="35585"/>
      <w:r>
        <w:rPr>
          <w:rFonts w:hint="cs"/>
          <w:rtl/>
        </w:rPr>
        <w:t xml:space="preserve">עימם. </w:t>
      </w:r>
      <w:bookmarkStart w:id="35586" w:name="_ETM_Q63_504570"/>
      <w:bookmarkEnd w:id="35586"/>
      <w:r>
        <w:rPr>
          <w:rFonts w:hint="cs"/>
          <w:rtl/>
        </w:rPr>
        <w:t xml:space="preserve">הייתי </w:t>
      </w:r>
      <w:bookmarkStart w:id="35587" w:name="_ETM_Q63_504930"/>
      <w:bookmarkEnd w:id="35587"/>
      <w:r>
        <w:rPr>
          <w:rFonts w:hint="cs"/>
          <w:rtl/>
        </w:rPr>
        <w:t xml:space="preserve">בקרבם </w:t>
      </w:r>
      <w:bookmarkStart w:id="35588" w:name="_ETM_Q63_505650"/>
      <w:bookmarkEnd w:id="35588"/>
      <w:r>
        <w:rPr>
          <w:rFonts w:hint="cs"/>
          <w:rtl/>
        </w:rPr>
        <w:t xml:space="preserve">בהפגנות </w:t>
      </w:r>
      <w:bookmarkStart w:id="35589" w:name="_ETM_Q63_506339"/>
      <w:bookmarkEnd w:id="35589"/>
      <w:r>
        <w:rPr>
          <w:rFonts w:hint="cs"/>
          <w:rtl/>
        </w:rPr>
        <w:t xml:space="preserve">בכיכרות </w:t>
      </w:r>
      <w:bookmarkStart w:id="35590" w:name="_ETM_Q63_507789"/>
      <w:bookmarkEnd w:id="35590"/>
      <w:r>
        <w:rPr>
          <w:rFonts w:hint="cs"/>
          <w:rtl/>
        </w:rPr>
        <w:t xml:space="preserve">ורק הרגע, </w:t>
      </w:r>
      <w:bookmarkStart w:id="35591" w:name="_ETM_Q63_508000"/>
      <w:bookmarkStart w:id="35592" w:name="_ETM_Q63_508119"/>
      <w:bookmarkStart w:id="35593" w:name="_ETM_Q63_508600"/>
      <w:bookmarkEnd w:id="35591"/>
      <w:bookmarkEnd w:id="35592"/>
      <w:bookmarkEnd w:id="35593"/>
      <w:r>
        <w:rPr>
          <w:rFonts w:hint="cs"/>
          <w:rtl/>
        </w:rPr>
        <w:t xml:space="preserve">כמו </w:t>
      </w:r>
      <w:bookmarkStart w:id="35594" w:name="_ETM_Q63_508750"/>
      <w:bookmarkEnd w:id="35594"/>
      <w:r>
        <w:rPr>
          <w:rFonts w:hint="cs"/>
          <w:rtl/>
        </w:rPr>
        <w:t xml:space="preserve">שסיפרתי, </w:t>
      </w:r>
      <w:bookmarkStart w:id="35595" w:name="_ETM_Q63_509439"/>
      <w:bookmarkEnd w:id="35595"/>
      <w:r>
        <w:rPr>
          <w:rFonts w:hint="cs"/>
          <w:rtl/>
        </w:rPr>
        <w:t xml:space="preserve">חזרתי </w:t>
      </w:r>
      <w:bookmarkStart w:id="35596" w:name="_ETM_Q63_509980"/>
      <w:bookmarkEnd w:id="35596"/>
      <w:r>
        <w:rPr>
          <w:rFonts w:hint="cs"/>
          <w:rtl/>
        </w:rPr>
        <w:t xml:space="preserve">מגן </w:t>
      </w:r>
      <w:bookmarkStart w:id="35597" w:name="_ETM_Q63_510430"/>
      <w:bookmarkEnd w:id="35597"/>
      <w:r>
        <w:rPr>
          <w:rFonts w:hint="cs"/>
          <w:rtl/>
        </w:rPr>
        <w:t xml:space="preserve">סאקר. </w:t>
      </w:r>
      <w:bookmarkStart w:id="35598" w:name="_ETM_Q63_511800"/>
      <w:bookmarkEnd w:id="35598"/>
      <w:r>
        <w:rPr>
          <w:rFonts w:hint="cs"/>
          <w:rtl/>
        </w:rPr>
        <w:t xml:space="preserve">אני </w:t>
      </w:r>
      <w:bookmarkStart w:id="35599" w:name="_ETM_Q63_512100"/>
      <w:bookmarkEnd w:id="35599"/>
      <w:r>
        <w:rPr>
          <w:rFonts w:hint="cs"/>
          <w:rtl/>
        </w:rPr>
        <w:t xml:space="preserve">נפעם </w:t>
      </w:r>
      <w:bookmarkStart w:id="35600" w:name="_ETM_Q63_512670"/>
      <w:bookmarkEnd w:id="35600"/>
      <w:r>
        <w:rPr>
          <w:rFonts w:hint="cs"/>
          <w:rtl/>
        </w:rPr>
        <w:t xml:space="preserve">מהרוח, </w:t>
      </w:r>
      <w:bookmarkStart w:id="35601" w:name="_ETM_Q63_513239"/>
      <w:bookmarkEnd w:id="35601"/>
      <w:r>
        <w:rPr>
          <w:rFonts w:hint="cs"/>
          <w:rtl/>
        </w:rPr>
        <w:t xml:space="preserve">מהמחויבות </w:t>
      </w:r>
      <w:bookmarkStart w:id="35602" w:name="_ETM_Q63_514559"/>
      <w:bookmarkEnd w:id="35602"/>
      <w:r>
        <w:rPr>
          <w:rFonts w:hint="cs"/>
          <w:rtl/>
        </w:rPr>
        <w:t xml:space="preserve">ומהדרישה </w:t>
      </w:r>
      <w:bookmarkStart w:id="35603" w:name="_ETM_Q63_515339"/>
      <w:bookmarkEnd w:id="35603"/>
      <w:r>
        <w:rPr>
          <w:rFonts w:hint="cs"/>
          <w:rtl/>
        </w:rPr>
        <w:t xml:space="preserve">הצודקת </w:t>
      </w:r>
      <w:bookmarkStart w:id="35604" w:name="_ETM_Q63_515820"/>
      <w:bookmarkEnd w:id="35604"/>
      <w:r>
        <w:rPr>
          <w:rFonts w:hint="cs"/>
          <w:rtl/>
        </w:rPr>
        <w:t xml:space="preserve">שלהם </w:t>
      </w:r>
      <w:bookmarkStart w:id="35605" w:name="_ETM_Q63_516600"/>
      <w:bookmarkEnd w:id="35605"/>
      <w:r>
        <w:rPr>
          <w:rFonts w:hint="cs"/>
          <w:rtl/>
        </w:rPr>
        <w:t xml:space="preserve">שלא </w:t>
      </w:r>
      <w:bookmarkStart w:id="35606" w:name="_ETM_Q63_516960"/>
      <w:bookmarkEnd w:id="35606"/>
      <w:r>
        <w:rPr>
          <w:rFonts w:hint="cs"/>
          <w:rtl/>
        </w:rPr>
        <w:t xml:space="preserve">לחוקק </w:t>
      </w:r>
      <w:bookmarkStart w:id="35607" w:name="_ETM_Q63_517500"/>
      <w:bookmarkEnd w:id="35607"/>
      <w:r>
        <w:rPr>
          <w:rFonts w:hint="cs"/>
          <w:rtl/>
        </w:rPr>
        <w:t xml:space="preserve">חוקים </w:t>
      </w:r>
      <w:bookmarkStart w:id="35608" w:name="_ETM_Q63_517920"/>
      <w:bookmarkEnd w:id="35608"/>
      <w:r>
        <w:rPr>
          <w:rFonts w:hint="cs"/>
          <w:rtl/>
        </w:rPr>
        <w:t xml:space="preserve">המהווים </w:t>
      </w:r>
      <w:bookmarkStart w:id="35609" w:name="_ETM_Q63_518489"/>
      <w:bookmarkEnd w:id="35609"/>
      <w:r>
        <w:rPr>
          <w:rFonts w:hint="cs"/>
          <w:rtl/>
        </w:rPr>
        <w:t xml:space="preserve">איום </w:t>
      </w:r>
      <w:bookmarkStart w:id="35610" w:name="_ETM_Q63_518879"/>
      <w:bookmarkEnd w:id="35610"/>
      <w:r>
        <w:rPr>
          <w:rFonts w:hint="cs"/>
          <w:rtl/>
        </w:rPr>
        <w:t xml:space="preserve">על </w:t>
      </w:r>
      <w:bookmarkStart w:id="35611" w:name="_ETM_Q63_518969"/>
      <w:bookmarkEnd w:id="35611"/>
      <w:r>
        <w:rPr>
          <w:rFonts w:hint="cs"/>
          <w:rtl/>
        </w:rPr>
        <w:t xml:space="preserve">שופטי </w:t>
      </w:r>
      <w:bookmarkStart w:id="35612" w:name="_ETM_Q63_519360"/>
      <w:bookmarkEnd w:id="35612"/>
      <w:r>
        <w:rPr>
          <w:rFonts w:hint="cs"/>
          <w:rtl/>
        </w:rPr>
        <w:t xml:space="preserve">בג"ץ </w:t>
      </w:r>
      <w:bookmarkStart w:id="35613" w:name="_ETM_Q63_520409"/>
      <w:bookmarkEnd w:id="35613"/>
      <w:r>
        <w:rPr>
          <w:rFonts w:hint="cs"/>
          <w:rtl/>
        </w:rPr>
        <w:t xml:space="preserve">ואיום </w:t>
      </w:r>
      <w:bookmarkStart w:id="35614" w:name="_ETM_Q63_520980"/>
      <w:bookmarkEnd w:id="35614"/>
      <w:r>
        <w:rPr>
          <w:rFonts w:hint="cs"/>
          <w:rtl/>
        </w:rPr>
        <w:t xml:space="preserve">על </w:t>
      </w:r>
      <w:bookmarkStart w:id="35615" w:name="_ETM_Q63_521100"/>
      <w:bookmarkEnd w:id="35615"/>
      <w:r>
        <w:rPr>
          <w:rFonts w:hint="cs"/>
          <w:rtl/>
        </w:rPr>
        <w:t xml:space="preserve">יועצים </w:t>
      </w:r>
      <w:bookmarkStart w:id="35616" w:name="_ETM_Q63_521550"/>
      <w:bookmarkEnd w:id="35616"/>
      <w:r>
        <w:rPr>
          <w:rFonts w:hint="cs"/>
          <w:rtl/>
        </w:rPr>
        <w:t xml:space="preserve">משפטיים, </w:t>
      </w:r>
      <w:bookmarkStart w:id="35617" w:name="_ETM_Q63_522900"/>
      <w:bookmarkEnd w:id="35617"/>
      <w:r>
        <w:rPr>
          <w:rFonts w:hint="cs"/>
          <w:rtl/>
        </w:rPr>
        <w:t xml:space="preserve">חוקים </w:t>
      </w:r>
      <w:bookmarkStart w:id="35618" w:name="_ETM_Q63_523410"/>
      <w:bookmarkEnd w:id="35618"/>
      <w:r>
        <w:rPr>
          <w:rFonts w:hint="cs"/>
          <w:rtl/>
        </w:rPr>
        <w:t>ה</w:t>
      </w:r>
      <w:bookmarkStart w:id="35619" w:name="_ETM_Q63_523529"/>
      <w:bookmarkEnd w:id="35619"/>
      <w:r>
        <w:rPr>
          <w:rFonts w:hint="cs"/>
          <w:rtl/>
        </w:rPr>
        <w:t xml:space="preserve">משנים </w:t>
      </w:r>
      <w:bookmarkStart w:id="35620" w:name="_ETM_Q63_524250"/>
      <w:bookmarkEnd w:id="35620"/>
      <w:r>
        <w:rPr>
          <w:rFonts w:hint="cs"/>
          <w:rtl/>
        </w:rPr>
        <w:t xml:space="preserve">באופן </w:t>
      </w:r>
      <w:bookmarkStart w:id="35621" w:name="_ETM_Q63_524790"/>
      <w:bookmarkEnd w:id="35621"/>
      <w:r>
        <w:rPr>
          <w:rFonts w:hint="cs"/>
          <w:rtl/>
        </w:rPr>
        <w:t>דרמטי</w:t>
      </w:r>
      <w:bookmarkStart w:id="35622" w:name="_ETM_Q63_525930"/>
      <w:bookmarkEnd w:id="35622"/>
      <w:r>
        <w:rPr>
          <w:rFonts w:hint="cs"/>
          <w:rtl/>
        </w:rPr>
        <w:t xml:space="preserve">, מהיר </w:t>
      </w:r>
      <w:bookmarkStart w:id="35623" w:name="_ETM_Q63_526770"/>
      <w:bookmarkEnd w:id="35623"/>
      <w:r>
        <w:rPr>
          <w:rFonts w:hint="cs"/>
          <w:rtl/>
        </w:rPr>
        <w:t xml:space="preserve">ולא </w:t>
      </w:r>
      <w:bookmarkStart w:id="35624" w:name="_ETM_Q63_527190"/>
      <w:bookmarkEnd w:id="35624"/>
      <w:r>
        <w:rPr>
          <w:rFonts w:hint="cs"/>
          <w:rtl/>
        </w:rPr>
        <w:t xml:space="preserve">מידתי </w:t>
      </w:r>
      <w:bookmarkStart w:id="35625" w:name="_ETM_Q63_528190"/>
      <w:bookmarkEnd w:id="35625"/>
      <w:r>
        <w:rPr>
          <w:rFonts w:hint="cs"/>
          <w:rtl/>
        </w:rPr>
        <w:t xml:space="preserve">את </w:t>
      </w:r>
      <w:bookmarkStart w:id="35626" w:name="_ETM_Q63_528519"/>
      <w:bookmarkEnd w:id="35626"/>
      <w:r>
        <w:rPr>
          <w:rFonts w:hint="cs"/>
          <w:rtl/>
        </w:rPr>
        <w:t xml:space="preserve">מעמדו </w:t>
      </w:r>
      <w:bookmarkStart w:id="35627" w:name="_ETM_Q63_529179"/>
      <w:bookmarkEnd w:id="35627"/>
      <w:r>
        <w:rPr>
          <w:rFonts w:hint="cs"/>
          <w:rtl/>
        </w:rPr>
        <w:t xml:space="preserve">של </w:t>
      </w:r>
      <w:bookmarkStart w:id="35628" w:name="_ETM_Q63_529390"/>
      <w:bookmarkEnd w:id="35628"/>
      <w:r>
        <w:rPr>
          <w:rFonts w:hint="cs"/>
          <w:rtl/>
        </w:rPr>
        <w:t xml:space="preserve">השופט </w:t>
      </w:r>
      <w:bookmarkStart w:id="35629" w:name="_ETM_Q63_529989"/>
      <w:bookmarkEnd w:id="35629"/>
      <w:r>
        <w:rPr>
          <w:rFonts w:hint="cs"/>
          <w:rtl/>
        </w:rPr>
        <w:t xml:space="preserve">והיועץ </w:t>
      </w:r>
      <w:bookmarkStart w:id="35630" w:name="_ETM_Q63_530499"/>
      <w:bookmarkEnd w:id="35630"/>
      <w:r>
        <w:rPr>
          <w:rFonts w:hint="cs"/>
          <w:rtl/>
        </w:rPr>
        <w:t xml:space="preserve">המשפטי </w:t>
      </w:r>
      <w:bookmarkStart w:id="35631" w:name="_ETM_Q63_531839"/>
      <w:bookmarkEnd w:id="35631"/>
      <w:r>
        <w:rPr>
          <w:rFonts w:hint="cs"/>
          <w:rtl/>
        </w:rPr>
        <w:t xml:space="preserve">מול </w:t>
      </w:r>
      <w:bookmarkStart w:id="35632" w:name="_ETM_Q63_532079"/>
      <w:bookmarkEnd w:id="35632"/>
      <w:r>
        <w:rPr>
          <w:rFonts w:hint="cs"/>
          <w:rtl/>
        </w:rPr>
        <w:t xml:space="preserve">הפוליטיקה </w:t>
      </w:r>
      <w:bookmarkStart w:id="35633" w:name="_ETM_Q63_532949"/>
      <w:bookmarkEnd w:id="35633"/>
      <w:r>
        <w:rPr>
          <w:rFonts w:hint="cs"/>
          <w:rtl/>
        </w:rPr>
        <w:t xml:space="preserve">והממשלה. </w:t>
      </w:r>
      <w:bookmarkStart w:id="35634" w:name="_ETM_Q63_534890"/>
      <w:bookmarkEnd w:id="35634"/>
      <w:r>
        <w:rPr>
          <w:rFonts w:hint="cs"/>
          <w:rtl/>
        </w:rPr>
        <w:t xml:space="preserve">עבורם </w:t>
      </w:r>
      <w:bookmarkStart w:id="35635" w:name="_ETM_Q63_535520"/>
      <w:bookmarkEnd w:id="35635"/>
      <w:r>
        <w:rPr>
          <w:rFonts w:hint="cs"/>
          <w:rtl/>
        </w:rPr>
        <w:t xml:space="preserve">זכויות </w:t>
      </w:r>
      <w:bookmarkStart w:id="35636" w:name="_ETM_Q63_535940"/>
      <w:bookmarkEnd w:id="35636"/>
      <w:r>
        <w:rPr>
          <w:rFonts w:hint="cs"/>
          <w:rtl/>
        </w:rPr>
        <w:t xml:space="preserve">האזרח, </w:t>
      </w:r>
      <w:bookmarkStart w:id="35637" w:name="_ETM_Q63_537020"/>
      <w:bookmarkEnd w:id="35637"/>
      <w:r>
        <w:rPr>
          <w:rFonts w:hint="cs"/>
          <w:rtl/>
        </w:rPr>
        <w:t>חוקי</w:t>
      </w:r>
      <w:bookmarkStart w:id="35638" w:name="_ETM_Q63_537380"/>
      <w:bookmarkEnd w:id="35638"/>
      <w:r>
        <w:rPr>
          <w:rFonts w:hint="cs"/>
          <w:rtl/>
        </w:rPr>
        <w:t xml:space="preserve">-היסוד, </w:t>
      </w:r>
      <w:bookmarkStart w:id="35639" w:name="_ETM_Q63_538559"/>
      <w:bookmarkEnd w:id="35639"/>
      <w:r>
        <w:rPr>
          <w:rFonts w:hint="cs"/>
          <w:rtl/>
        </w:rPr>
        <w:t xml:space="preserve">הערכים </w:t>
      </w:r>
      <w:bookmarkStart w:id="35640" w:name="_ETM_Q63_539100"/>
      <w:bookmarkEnd w:id="35640"/>
      <w:r>
        <w:rPr>
          <w:rFonts w:hint="cs"/>
          <w:rtl/>
        </w:rPr>
        <w:t xml:space="preserve">הדמוקרטיים, </w:t>
      </w:r>
      <w:bookmarkStart w:id="35641" w:name="_ETM_Q63_540540"/>
      <w:bookmarkEnd w:id="35641"/>
      <w:r>
        <w:rPr>
          <w:rFonts w:hint="cs"/>
          <w:rtl/>
        </w:rPr>
        <w:t xml:space="preserve">הם </w:t>
      </w:r>
      <w:bookmarkStart w:id="35642" w:name="_ETM_Q63_540719"/>
      <w:bookmarkEnd w:id="35642"/>
      <w:r>
        <w:rPr>
          <w:rFonts w:hint="cs"/>
          <w:rtl/>
        </w:rPr>
        <w:t xml:space="preserve">בעלי </w:t>
      </w:r>
      <w:bookmarkStart w:id="35643" w:name="_ETM_Q63_541050"/>
      <w:bookmarkEnd w:id="35643"/>
      <w:r>
        <w:rPr>
          <w:rFonts w:hint="cs"/>
          <w:rtl/>
        </w:rPr>
        <w:t xml:space="preserve">חשיבות </w:t>
      </w:r>
      <w:bookmarkStart w:id="35644" w:name="_ETM_Q63_541589"/>
      <w:bookmarkEnd w:id="35644"/>
      <w:r>
        <w:rPr>
          <w:rFonts w:hint="cs"/>
          <w:rtl/>
        </w:rPr>
        <w:t xml:space="preserve">ערכית </w:t>
      </w:r>
      <w:bookmarkStart w:id="35645" w:name="_ETM_Q63_542129"/>
      <w:bookmarkEnd w:id="35645"/>
      <w:r>
        <w:rPr>
          <w:rFonts w:hint="cs"/>
          <w:rtl/>
        </w:rPr>
        <w:t xml:space="preserve">עליונה </w:t>
      </w:r>
      <w:bookmarkStart w:id="35646" w:name="_ETM_Q63_543370"/>
      <w:bookmarkEnd w:id="35646"/>
      <w:r>
        <w:rPr>
          <w:rFonts w:hint="cs"/>
          <w:rtl/>
        </w:rPr>
        <w:t xml:space="preserve">ולא </w:t>
      </w:r>
      <w:bookmarkStart w:id="35647" w:name="_ETM_Q63_543790"/>
      <w:bookmarkEnd w:id="35647"/>
      <w:r>
        <w:rPr>
          <w:rFonts w:hint="cs"/>
          <w:rtl/>
        </w:rPr>
        <w:t xml:space="preserve">פחותה </w:t>
      </w:r>
      <w:bookmarkStart w:id="35648" w:name="_ETM_Q63_543989"/>
      <w:bookmarkStart w:id="35649" w:name="_ETM_Q63_544290"/>
      <w:bookmarkEnd w:id="35648"/>
      <w:bookmarkEnd w:id="35649"/>
      <w:r>
        <w:rPr>
          <w:rFonts w:hint="cs"/>
          <w:rtl/>
        </w:rPr>
        <w:t xml:space="preserve">מזו </w:t>
      </w:r>
      <w:bookmarkStart w:id="35650" w:name="_ETM_Q63_544740"/>
      <w:bookmarkEnd w:id="35650"/>
      <w:r>
        <w:rPr>
          <w:rFonts w:hint="cs"/>
          <w:rtl/>
        </w:rPr>
        <w:t xml:space="preserve">של </w:t>
      </w:r>
      <w:bookmarkStart w:id="35651" w:name="_ETM_Q63_544950"/>
      <w:bookmarkEnd w:id="35651"/>
      <w:r>
        <w:rPr>
          <w:rFonts w:hint="cs"/>
          <w:rtl/>
        </w:rPr>
        <w:t xml:space="preserve">אדם </w:t>
      </w:r>
      <w:bookmarkStart w:id="35652" w:name="_ETM_Q63_545310"/>
      <w:bookmarkEnd w:id="35652"/>
      <w:r>
        <w:rPr>
          <w:rFonts w:hint="cs"/>
          <w:rtl/>
        </w:rPr>
        <w:t xml:space="preserve">מאמין </w:t>
      </w:r>
      <w:bookmarkStart w:id="35653" w:name="_ETM_Q63_545820"/>
      <w:bookmarkEnd w:id="35653"/>
      <w:r>
        <w:rPr>
          <w:rFonts w:hint="cs"/>
          <w:rtl/>
        </w:rPr>
        <w:t xml:space="preserve">בתפיסתו </w:t>
      </w:r>
      <w:bookmarkStart w:id="35654" w:name="_ETM_Q63_546479"/>
      <w:bookmarkEnd w:id="35654"/>
      <w:r>
        <w:rPr>
          <w:rFonts w:hint="cs"/>
          <w:rtl/>
        </w:rPr>
        <w:t xml:space="preserve">הדתית. </w:t>
      </w:r>
      <w:bookmarkStart w:id="35655" w:name="_ETM_Q63_547779"/>
      <w:bookmarkEnd w:id="35655"/>
      <w:r>
        <w:rPr>
          <w:rFonts w:hint="cs"/>
          <w:rtl/>
        </w:rPr>
        <w:t xml:space="preserve">אם </w:t>
      </w:r>
      <w:bookmarkStart w:id="35656" w:name="_ETM_Q63_547960"/>
      <w:bookmarkEnd w:id="35656"/>
      <w:r>
        <w:rPr>
          <w:rFonts w:hint="cs"/>
          <w:rtl/>
        </w:rPr>
        <w:t xml:space="preserve">אדם </w:t>
      </w:r>
      <w:bookmarkStart w:id="35657" w:name="_ETM_Q63_548350"/>
      <w:bookmarkEnd w:id="35657"/>
      <w:r>
        <w:rPr>
          <w:rFonts w:hint="cs"/>
          <w:rtl/>
        </w:rPr>
        <w:t xml:space="preserve">דתי ואם </w:t>
      </w:r>
      <w:bookmarkStart w:id="35658" w:name="_ETM_Q63_548950"/>
      <w:bookmarkEnd w:id="35658"/>
      <w:r>
        <w:rPr>
          <w:rFonts w:hint="cs"/>
          <w:rtl/>
        </w:rPr>
        <w:t xml:space="preserve">אני </w:t>
      </w:r>
      <w:bookmarkStart w:id="35659" w:name="_ETM_Q63_549159"/>
      <w:bookmarkEnd w:id="35659"/>
      <w:r>
        <w:rPr>
          <w:rFonts w:hint="cs"/>
          <w:rtl/>
        </w:rPr>
        <w:t xml:space="preserve">רוצה </w:t>
      </w:r>
      <w:bookmarkStart w:id="35660" w:name="_ETM_Q63_549549"/>
      <w:bookmarkEnd w:id="35660"/>
      <w:r>
        <w:rPr>
          <w:rFonts w:hint="cs"/>
          <w:rtl/>
        </w:rPr>
        <w:t xml:space="preserve">להבין </w:t>
      </w:r>
      <w:bookmarkStart w:id="35661" w:name="_ETM_Q63_550409"/>
      <w:bookmarkEnd w:id="35661"/>
      <w:r>
        <w:rPr>
          <w:rFonts w:hint="cs"/>
          <w:rtl/>
        </w:rPr>
        <w:t xml:space="preserve">את </w:t>
      </w:r>
      <w:bookmarkStart w:id="35662" w:name="_ETM_Q63_550589"/>
      <w:bookmarkEnd w:id="35662"/>
      <w:r>
        <w:rPr>
          <w:rFonts w:hint="cs"/>
          <w:rtl/>
        </w:rPr>
        <w:t xml:space="preserve">גודל </w:t>
      </w:r>
      <w:bookmarkStart w:id="35663" w:name="_ETM_Q63_551009"/>
      <w:bookmarkEnd w:id="35663"/>
      <w:r>
        <w:rPr>
          <w:rFonts w:hint="cs"/>
          <w:rtl/>
        </w:rPr>
        <w:t xml:space="preserve">השעה, </w:t>
      </w:r>
      <w:bookmarkStart w:id="35664" w:name="_ETM_Q63_551429"/>
      <w:bookmarkEnd w:id="35664"/>
      <w:r>
        <w:rPr>
          <w:rFonts w:hint="cs"/>
          <w:rtl/>
        </w:rPr>
        <w:t xml:space="preserve">מדוע </w:t>
      </w:r>
      <w:bookmarkStart w:id="35665" w:name="_ETM_Q63_551999"/>
      <w:bookmarkEnd w:id="35665"/>
      <w:r>
        <w:rPr>
          <w:rFonts w:hint="cs"/>
          <w:rtl/>
        </w:rPr>
        <w:t xml:space="preserve">האנשים </w:t>
      </w:r>
      <w:bookmarkStart w:id="35666" w:name="_ETM_Q63_552450"/>
      <w:bookmarkEnd w:id="35666"/>
      <w:r>
        <w:rPr>
          <w:rFonts w:hint="cs"/>
          <w:rtl/>
        </w:rPr>
        <w:t xml:space="preserve">יוצאים </w:t>
      </w:r>
      <w:bookmarkStart w:id="35667" w:name="_ETM_Q63_552960"/>
      <w:bookmarkEnd w:id="35667"/>
      <w:r>
        <w:rPr>
          <w:rFonts w:hint="cs"/>
          <w:rtl/>
        </w:rPr>
        <w:t xml:space="preserve">ככה </w:t>
      </w:r>
      <w:bookmarkStart w:id="35668" w:name="_ETM_Q63_553799"/>
      <w:bookmarkEnd w:id="35668"/>
      <w:r>
        <w:rPr>
          <w:rFonts w:hint="cs"/>
          <w:rtl/>
        </w:rPr>
        <w:t xml:space="preserve">יום </w:t>
      </w:r>
      <w:bookmarkStart w:id="35669" w:name="_ETM_Q63_554100"/>
      <w:bookmarkEnd w:id="35669"/>
      <w:r>
        <w:rPr>
          <w:rFonts w:hint="cs"/>
          <w:rtl/>
        </w:rPr>
        <w:t xml:space="preserve">ולילה </w:t>
      </w:r>
      <w:bookmarkStart w:id="35670" w:name="_ETM_Q63_554640"/>
      <w:bookmarkEnd w:id="35670"/>
      <w:r>
        <w:rPr>
          <w:rFonts w:hint="cs"/>
          <w:rtl/>
        </w:rPr>
        <w:t xml:space="preserve">בשקי </w:t>
      </w:r>
      <w:bookmarkStart w:id="35671" w:name="_ETM_Q63_555119"/>
      <w:bookmarkEnd w:id="35671"/>
      <w:r>
        <w:rPr>
          <w:rFonts w:hint="cs"/>
          <w:rtl/>
        </w:rPr>
        <w:t xml:space="preserve">שינה, </w:t>
      </w:r>
      <w:bookmarkStart w:id="35672" w:name="_ETM_Q63_555839"/>
      <w:bookmarkEnd w:id="35672"/>
      <w:r>
        <w:rPr>
          <w:rFonts w:hint="cs"/>
          <w:rtl/>
        </w:rPr>
        <w:t xml:space="preserve">ב-40 </w:t>
      </w:r>
      <w:bookmarkStart w:id="35673" w:name="_ETM_Q63_556499"/>
      <w:bookmarkEnd w:id="35673"/>
      <w:r>
        <w:rPr>
          <w:rFonts w:hint="cs"/>
          <w:rtl/>
        </w:rPr>
        <w:t xml:space="preserve">מעלות </w:t>
      </w:r>
      <w:bookmarkStart w:id="35674" w:name="_ETM_Q63_556890"/>
      <w:bookmarkEnd w:id="35674"/>
      <w:r>
        <w:rPr>
          <w:rFonts w:hint="cs"/>
          <w:rtl/>
        </w:rPr>
        <w:t xml:space="preserve">חום </w:t>
      </w:r>
      <w:bookmarkStart w:id="35675" w:name="_ETM_Q63_557640"/>
      <w:bookmarkEnd w:id="35675"/>
      <w:r>
        <w:rPr>
          <w:rFonts w:hint="cs"/>
          <w:rtl/>
        </w:rPr>
        <w:t xml:space="preserve">– יש </w:t>
      </w:r>
      <w:bookmarkStart w:id="35676" w:name="_ETM_Q63_558029"/>
      <w:bookmarkEnd w:id="35676"/>
      <w:r>
        <w:rPr>
          <w:rFonts w:hint="cs"/>
          <w:rtl/>
        </w:rPr>
        <w:t xml:space="preserve">להם </w:t>
      </w:r>
      <w:bookmarkStart w:id="35677" w:name="_ETM_Q63_558359"/>
      <w:bookmarkEnd w:id="35677"/>
      <w:r>
        <w:rPr>
          <w:rFonts w:hint="cs"/>
          <w:rtl/>
        </w:rPr>
        <w:t xml:space="preserve">אמונה, </w:t>
      </w:r>
      <w:bookmarkStart w:id="35678" w:name="_ETM_Q63_559829"/>
      <w:bookmarkEnd w:id="35678"/>
      <w:r>
        <w:rPr>
          <w:rFonts w:hint="cs"/>
          <w:rtl/>
        </w:rPr>
        <w:t xml:space="preserve">אמונה </w:t>
      </w:r>
      <w:bookmarkStart w:id="35679" w:name="_ETM_Q63_560339"/>
      <w:bookmarkEnd w:id="35679"/>
      <w:r>
        <w:rPr>
          <w:rFonts w:hint="cs"/>
          <w:rtl/>
        </w:rPr>
        <w:t xml:space="preserve">שונה, </w:t>
      </w:r>
      <w:bookmarkStart w:id="35680" w:name="_ETM_Q63_561810"/>
      <w:bookmarkEnd w:id="35680"/>
      <w:r>
        <w:rPr>
          <w:rFonts w:hint="cs"/>
          <w:rtl/>
        </w:rPr>
        <w:t>אב</w:t>
      </w:r>
      <w:bookmarkStart w:id="35681" w:name="_ETM_Q63_562079"/>
      <w:bookmarkEnd w:id="35681"/>
      <w:r>
        <w:rPr>
          <w:rFonts w:hint="cs"/>
          <w:rtl/>
        </w:rPr>
        <w:t xml:space="preserve">ל אמונה </w:t>
      </w:r>
      <w:bookmarkStart w:id="35682" w:name="_ETM_Q63_562529"/>
      <w:bookmarkEnd w:id="35682"/>
      <w:r>
        <w:rPr>
          <w:rFonts w:hint="cs"/>
          <w:rtl/>
        </w:rPr>
        <w:t xml:space="preserve">יוקדת </w:t>
      </w:r>
      <w:bookmarkStart w:id="35683" w:name="_ETM_Q63_563279"/>
      <w:bookmarkEnd w:id="35683"/>
      <w:r>
        <w:rPr>
          <w:rFonts w:hint="cs"/>
          <w:rtl/>
        </w:rPr>
        <w:t xml:space="preserve">ובוערת. </w:t>
      </w:r>
      <w:bookmarkStart w:id="35684" w:name="_ETM_Q63_564710"/>
      <w:bookmarkEnd w:id="35684"/>
      <w:r>
        <w:rPr>
          <w:rFonts w:hint="cs"/>
          <w:rtl/>
        </w:rPr>
        <w:t xml:space="preserve">איש </w:t>
      </w:r>
      <w:bookmarkStart w:id="35685" w:name="_ETM_Q63_565279"/>
      <w:bookmarkEnd w:id="35685"/>
      <w:r>
        <w:rPr>
          <w:rFonts w:hint="cs"/>
          <w:rtl/>
        </w:rPr>
        <w:t xml:space="preserve">באמונתו </w:t>
      </w:r>
      <w:bookmarkStart w:id="35686" w:name="_ETM_Q63_566060"/>
      <w:bookmarkEnd w:id="35686"/>
      <w:r>
        <w:rPr>
          <w:rFonts w:hint="cs"/>
          <w:rtl/>
        </w:rPr>
        <w:t xml:space="preserve">יחיה, </w:t>
      </w:r>
      <w:bookmarkStart w:id="35687" w:name="_ETM_Q63_567279"/>
      <w:bookmarkEnd w:id="35687"/>
      <w:r>
        <w:rPr>
          <w:rFonts w:hint="cs"/>
          <w:rtl/>
        </w:rPr>
        <w:t xml:space="preserve">וצריך </w:t>
      </w:r>
      <w:bookmarkStart w:id="35688" w:name="_ETM_Q63_567820"/>
      <w:bookmarkEnd w:id="35688"/>
      <w:r>
        <w:rPr>
          <w:rFonts w:hint="cs"/>
          <w:rtl/>
        </w:rPr>
        <w:t xml:space="preserve">להכיר </w:t>
      </w:r>
      <w:bookmarkStart w:id="35689" w:name="_ETM_Q63_568450"/>
      <w:bookmarkEnd w:id="35689"/>
      <w:r>
        <w:rPr>
          <w:rFonts w:hint="cs"/>
          <w:rtl/>
        </w:rPr>
        <w:t xml:space="preserve">באמונה </w:t>
      </w:r>
      <w:bookmarkStart w:id="35690" w:name="_ETM_Q63_569110"/>
      <w:bookmarkEnd w:id="35690"/>
      <w:r>
        <w:rPr>
          <w:rFonts w:hint="cs"/>
          <w:rtl/>
        </w:rPr>
        <w:t>הזאת.</w:t>
      </w:r>
    </w:p>
    <w:p w:rsidR="00BB59CD" w:rsidRDefault="00BB59CD" w:rsidP="00BB59CD">
      <w:pPr>
        <w:rPr>
          <w:rtl/>
        </w:rPr>
      </w:pPr>
      <w:bookmarkStart w:id="35691" w:name="_ETM_Q63_572000"/>
      <w:bookmarkEnd w:id="35691"/>
    </w:p>
    <w:p w:rsidR="00BB59CD" w:rsidRDefault="00BB59CD" w:rsidP="00BB59CD">
      <w:pPr>
        <w:rPr>
          <w:rtl/>
        </w:rPr>
      </w:pPr>
      <w:r>
        <w:rPr>
          <w:rFonts w:hint="cs"/>
          <w:rtl/>
        </w:rPr>
        <w:t xml:space="preserve">מנגד, </w:t>
      </w:r>
      <w:bookmarkStart w:id="35692" w:name="_ETM_Q63_571839"/>
      <w:bookmarkEnd w:id="35692"/>
      <w:r>
        <w:rPr>
          <w:rFonts w:hint="cs"/>
          <w:rtl/>
        </w:rPr>
        <w:t xml:space="preserve">אדוני </w:t>
      </w:r>
      <w:bookmarkStart w:id="35693" w:name="_ETM_Q63_572260"/>
      <w:bookmarkEnd w:id="35693"/>
      <w:r>
        <w:rPr>
          <w:rFonts w:hint="cs"/>
          <w:rtl/>
        </w:rPr>
        <w:t xml:space="preserve">היושב-ראש, </w:t>
      </w:r>
      <w:bookmarkStart w:id="35694" w:name="_ETM_Q63_573609"/>
      <w:bookmarkEnd w:id="35694"/>
      <w:r>
        <w:rPr>
          <w:rFonts w:hint="cs"/>
          <w:rtl/>
        </w:rPr>
        <w:t xml:space="preserve">אני </w:t>
      </w:r>
      <w:bookmarkStart w:id="35695" w:name="_ETM_Q63_573999"/>
      <w:bookmarkEnd w:id="35695"/>
      <w:r>
        <w:rPr>
          <w:rFonts w:hint="cs"/>
          <w:rtl/>
        </w:rPr>
        <w:t xml:space="preserve">קשוב, </w:t>
      </w:r>
      <w:bookmarkStart w:id="35696" w:name="_ETM_Q63_574479"/>
      <w:bookmarkEnd w:id="35696"/>
      <w:r>
        <w:rPr>
          <w:rFonts w:hint="cs"/>
          <w:rtl/>
        </w:rPr>
        <w:t xml:space="preserve">ויודע </w:t>
      </w:r>
      <w:bookmarkStart w:id="35697" w:name="_ETM_Q63_575049"/>
      <w:bookmarkEnd w:id="35697"/>
      <w:r>
        <w:rPr>
          <w:rFonts w:hint="cs"/>
          <w:rtl/>
        </w:rPr>
        <w:t xml:space="preserve">שרבים </w:t>
      </w:r>
      <w:bookmarkStart w:id="35698" w:name="_ETM_Q63_576259"/>
      <w:bookmarkEnd w:id="35698"/>
      <w:r>
        <w:rPr>
          <w:rFonts w:hint="cs"/>
          <w:rtl/>
        </w:rPr>
        <w:t xml:space="preserve">חבריי </w:t>
      </w:r>
      <w:bookmarkStart w:id="35699" w:name="_ETM_Q63_576979"/>
      <w:bookmarkEnd w:id="35699"/>
      <w:r>
        <w:rPr>
          <w:rFonts w:hint="cs"/>
          <w:rtl/>
        </w:rPr>
        <w:t xml:space="preserve">בימין </w:t>
      </w:r>
      <w:bookmarkStart w:id="35700" w:name="_ETM_Q63_578029"/>
      <w:bookmarkEnd w:id="35700"/>
      <w:r>
        <w:rPr>
          <w:rFonts w:hint="cs"/>
          <w:rtl/>
        </w:rPr>
        <w:t xml:space="preserve">– </w:t>
      </w:r>
      <w:bookmarkStart w:id="35701" w:name="_ETM_Q63_578027"/>
      <w:bookmarkEnd w:id="35701"/>
      <w:r>
        <w:rPr>
          <w:rFonts w:hint="cs"/>
          <w:rtl/>
        </w:rPr>
        <w:t xml:space="preserve">ויש </w:t>
      </w:r>
      <w:bookmarkStart w:id="35702" w:name="_ETM_Q63_578479"/>
      <w:bookmarkEnd w:id="35702"/>
      <w:r>
        <w:rPr>
          <w:rFonts w:hint="cs"/>
          <w:rtl/>
        </w:rPr>
        <w:t xml:space="preserve">לי </w:t>
      </w:r>
      <w:bookmarkStart w:id="35703" w:name="_ETM_Q63_578600"/>
      <w:bookmarkEnd w:id="35703"/>
      <w:r>
        <w:rPr>
          <w:rFonts w:hint="cs"/>
          <w:rtl/>
        </w:rPr>
        <w:t xml:space="preserve">חברים </w:t>
      </w:r>
      <w:bookmarkStart w:id="35704" w:name="_ETM_Q63_579109"/>
      <w:bookmarkEnd w:id="35704"/>
      <w:r>
        <w:rPr>
          <w:rFonts w:hint="cs"/>
          <w:rtl/>
        </w:rPr>
        <w:t xml:space="preserve">בימין </w:t>
      </w:r>
      <w:bookmarkStart w:id="35705" w:name="_ETM_Q63_580390"/>
      <w:bookmarkEnd w:id="35705"/>
      <w:r>
        <w:rPr>
          <w:rFonts w:hint="cs"/>
          <w:rtl/>
        </w:rPr>
        <w:t>-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אני </w:t>
      </w:r>
      <w:bookmarkStart w:id="35706" w:name="_ETM_Q63_580600"/>
      <w:bookmarkEnd w:id="35706"/>
      <w:r>
        <w:rPr>
          <w:rFonts w:hint="cs"/>
          <w:rtl/>
        </w:rPr>
        <w:t xml:space="preserve">אחד </w:t>
      </w:r>
      <w:bookmarkStart w:id="35707" w:name="_ETM_Q63_580869"/>
      <w:bookmarkEnd w:id="35707"/>
      <w:r>
        <w:rPr>
          <w:rFonts w:hint="cs"/>
          <w:rtl/>
        </w:rPr>
        <w:t>מהם.</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924A5C">
      <w:pPr>
        <w:rPr>
          <w:rtl/>
        </w:rPr>
      </w:pPr>
      <w:bookmarkStart w:id="35708" w:name="_ETM_Q63_581479"/>
      <w:bookmarkEnd w:id="35708"/>
      <w:r>
        <w:rPr>
          <w:rFonts w:hint="cs"/>
          <w:rtl/>
        </w:rPr>
        <w:t xml:space="preserve">נכון. </w:t>
      </w:r>
      <w:bookmarkStart w:id="35709" w:name="_ETM_Q63_583009"/>
      <w:bookmarkEnd w:id="35709"/>
      <w:r>
        <w:rPr>
          <w:rFonts w:hint="cs"/>
          <w:rtl/>
        </w:rPr>
        <w:t xml:space="preserve">יש </w:t>
      </w:r>
      <w:bookmarkStart w:id="35710" w:name="_ETM_Q63_583279"/>
      <w:bookmarkEnd w:id="35710"/>
      <w:r>
        <w:rPr>
          <w:rFonts w:hint="cs"/>
          <w:rtl/>
        </w:rPr>
        <w:t xml:space="preserve">לי </w:t>
      </w:r>
      <w:bookmarkStart w:id="35711" w:name="_ETM_Q63_583369"/>
      <w:bookmarkEnd w:id="35711"/>
      <w:r>
        <w:rPr>
          <w:rFonts w:hint="cs"/>
          <w:rtl/>
        </w:rPr>
        <w:t xml:space="preserve">חברים </w:t>
      </w:r>
      <w:bookmarkStart w:id="35712" w:name="_ETM_Q63_583850"/>
      <w:bookmarkEnd w:id="35712"/>
      <w:r>
        <w:rPr>
          <w:rFonts w:hint="cs"/>
          <w:rtl/>
        </w:rPr>
        <w:t xml:space="preserve">בימין </w:t>
      </w:r>
      <w:bookmarkStart w:id="35713" w:name="_ETM_Q63_584359"/>
      <w:bookmarkEnd w:id="35713"/>
      <w:r>
        <w:rPr>
          <w:rFonts w:hint="cs"/>
          <w:rtl/>
        </w:rPr>
        <w:t xml:space="preserve">ומשפחות. </w:t>
      </w:r>
      <w:bookmarkStart w:id="35714" w:name="_ETM_Q63_585140"/>
      <w:bookmarkEnd w:id="35714"/>
      <w:r>
        <w:rPr>
          <w:rFonts w:hint="cs"/>
          <w:rtl/>
        </w:rPr>
        <w:t xml:space="preserve">אתה </w:t>
      </w:r>
      <w:bookmarkStart w:id="35715" w:name="_ETM_Q63_585259"/>
      <w:bookmarkEnd w:id="35715"/>
      <w:r>
        <w:rPr>
          <w:rFonts w:hint="cs"/>
          <w:rtl/>
        </w:rPr>
        <w:t xml:space="preserve">יודע, </w:t>
      </w:r>
      <w:bookmarkStart w:id="35716" w:name="_ETM_Q63_585560"/>
      <w:bookmarkEnd w:id="35716"/>
      <w:r>
        <w:rPr>
          <w:rFonts w:hint="cs"/>
          <w:rtl/>
        </w:rPr>
        <w:t xml:space="preserve">המשפחה </w:t>
      </w:r>
      <w:bookmarkStart w:id="35717" w:name="_ETM_Q63_586039"/>
      <w:bookmarkEnd w:id="35717"/>
      <w:r>
        <w:rPr>
          <w:rFonts w:hint="cs"/>
          <w:rtl/>
        </w:rPr>
        <w:t xml:space="preserve">שלי </w:t>
      </w:r>
      <w:bookmarkStart w:id="35718" w:name="_ETM_Q63_586339"/>
      <w:bookmarkEnd w:id="35718"/>
      <w:r>
        <w:rPr>
          <w:rFonts w:hint="cs"/>
          <w:rtl/>
        </w:rPr>
        <w:t xml:space="preserve">גם </w:t>
      </w:r>
      <w:bookmarkStart w:id="35719" w:name="_ETM_Q63_586579"/>
      <w:bookmarkEnd w:id="35719"/>
      <w:r>
        <w:rPr>
          <w:rFonts w:hint="cs"/>
          <w:rtl/>
        </w:rPr>
        <w:t xml:space="preserve">בגוש </w:t>
      </w:r>
      <w:bookmarkStart w:id="35720" w:name="_ETM_Q63_586939"/>
      <w:bookmarkEnd w:id="35720"/>
      <w:r>
        <w:rPr>
          <w:rFonts w:hint="cs"/>
          <w:rtl/>
        </w:rPr>
        <w:t xml:space="preserve">קטיף </w:t>
      </w:r>
      <w:bookmarkStart w:id="35721" w:name="_ETM_Q63_587929"/>
      <w:bookmarkEnd w:id="35721"/>
      <w:r>
        <w:rPr>
          <w:rFonts w:hint="cs"/>
          <w:rtl/>
        </w:rPr>
        <w:t xml:space="preserve">וגם </w:t>
      </w:r>
      <w:bookmarkStart w:id="35722" w:name="_ETM_Q63_588350"/>
      <w:bookmarkEnd w:id="35722"/>
      <w:r>
        <w:rPr>
          <w:rFonts w:hint="cs"/>
          <w:rtl/>
        </w:rPr>
        <w:t xml:space="preserve">ביהודה </w:t>
      </w:r>
      <w:bookmarkStart w:id="35723" w:name="_ETM_Q63_588679"/>
      <w:bookmarkEnd w:id="35723"/>
      <w:r>
        <w:rPr>
          <w:rFonts w:hint="cs"/>
          <w:rtl/>
        </w:rPr>
        <w:t xml:space="preserve">ושומרון, </w:t>
      </w:r>
      <w:bookmarkStart w:id="35724" w:name="_ETM_Q63_589100"/>
      <w:bookmarkEnd w:id="35724"/>
      <w:r>
        <w:rPr>
          <w:rFonts w:hint="cs"/>
          <w:rtl/>
        </w:rPr>
        <w:t xml:space="preserve">ממש, </w:t>
      </w:r>
      <w:bookmarkStart w:id="35725" w:name="_ETM_Q63_589549"/>
      <w:bookmarkEnd w:id="35725"/>
      <w:r>
        <w:rPr>
          <w:rFonts w:hint="cs"/>
          <w:rtl/>
        </w:rPr>
        <w:t xml:space="preserve">בני </w:t>
      </w:r>
      <w:bookmarkStart w:id="35726" w:name="_ETM_Q63_589789"/>
      <w:bookmarkEnd w:id="35726"/>
      <w:r>
        <w:rPr>
          <w:rFonts w:hint="cs"/>
          <w:rtl/>
        </w:rPr>
        <w:t xml:space="preserve">דודים </w:t>
      </w:r>
      <w:bookmarkStart w:id="35727" w:name="_ETM_Q63_590240"/>
      <w:bookmarkEnd w:id="35727"/>
      <w:r>
        <w:rPr>
          <w:rFonts w:hint="cs"/>
          <w:rtl/>
        </w:rPr>
        <w:t xml:space="preserve">ואחים, </w:t>
      </w:r>
      <w:bookmarkStart w:id="35728" w:name="_ETM_Q63_592540"/>
      <w:bookmarkEnd w:id="35728"/>
      <w:r>
        <w:rPr>
          <w:rFonts w:hint="cs"/>
          <w:rtl/>
        </w:rPr>
        <w:t xml:space="preserve">וחברי </w:t>
      </w:r>
      <w:bookmarkStart w:id="35729" w:name="_ETM_Q63_593170"/>
      <w:bookmarkEnd w:id="35729"/>
      <w:r>
        <w:rPr>
          <w:rFonts w:hint="cs"/>
          <w:rtl/>
        </w:rPr>
        <w:t xml:space="preserve">נפש </w:t>
      </w:r>
      <w:bookmarkStart w:id="35730" w:name="_ETM_Q63_593619"/>
      <w:bookmarkEnd w:id="35730"/>
      <w:r>
        <w:rPr>
          <w:rFonts w:hint="cs"/>
          <w:rtl/>
        </w:rPr>
        <w:t xml:space="preserve">שהיו </w:t>
      </w:r>
      <w:bookmarkStart w:id="35731" w:name="_ETM_Q63_593860"/>
      <w:bookmarkEnd w:id="35731"/>
      <w:r>
        <w:rPr>
          <w:rFonts w:hint="cs"/>
          <w:rtl/>
        </w:rPr>
        <w:t xml:space="preserve">איתי </w:t>
      </w:r>
      <w:bookmarkStart w:id="35732" w:name="_ETM_Q63_594040"/>
      <w:bookmarkEnd w:id="35732"/>
      <w:r>
        <w:rPr>
          <w:rFonts w:hint="cs"/>
          <w:rtl/>
        </w:rPr>
        <w:t xml:space="preserve">בצבא, </w:t>
      </w:r>
      <w:bookmarkStart w:id="35733" w:name="_ETM_Q63_594580"/>
      <w:bookmarkEnd w:id="35733"/>
      <w:r>
        <w:rPr>
          <w:rFonts w:hint="cs"/>
          <w:rtl/>
        </w:rPr>
        <w:t xml:space="preserve">לוחמים, </w:t>
      </w:r>
      <w:bookmarkStart w:id="35734" w:name="_ETM_Q63_595240"/>
      <w:bookmarkEnd w:id="35734"/>
      <w:r>
        <w:rPr>
          <w:rFonts w:hint="cs"/>
          <w:rtl/>
        </w:rPr>
        <w:t xml:space="preserve">קצינים, </w:t>
      </w:r>
      <w:bookmarkStart w:id="35735" w:name="_ETM_Q63_595779"/>
      <w:bookmarkEnd w:id="35735"/>
      <w:r>
        <w:rPr>
          <w:rFonts w:hint="cs"/>
          <w:rtl/>
        </w:rPr>
        <w:t xml:space="preserve">שביתי </w:t>
      </w:r>
      <w:bookmarkStart w:id="35736" w:name="_ETM_Q63_596560"/>
      <w:bookmarkEnd w:id="35736"/>
      <w:r>
        <w:rPr>
          <w:rFonts w:hint="cs"/>
          <w:rtl/>
        </w:rPr>
        <w:t xml:space="preserve">פתוח </w:t>
      </w:r>
      <w:bookmarkStart w:id="35737" w:name="_ETM_Q63_597100"/>
      <w:bookmarkEnd w:id="35737"/>
      <w:r>
        <w:rPr>
          <w:rFonts w:hint="cs"/>
          <w:rtl/>
        </w:rPr>
        <w:t xml:space="preserve">בפניהם </w:t>
      </w:r>
      <w:bookmarkStart w:id="35738" w:name="_ETM_Q63_597880"/>
      <w:bookmarkEnd w:id="35738"/>
      <w:r>
        <w:rPr>
          <w:rFonts w:hint="cs"/>
          <w:rtl/>
        </w:rPr>
        <w:t xml:space="preserve">ואני </w:t>
      </w:r>
      <w:bookmarkStart w:id="35739" w:name="_ETM_Q63_598270"/>
      <w:bookmarkEnd w:id="35739"/>
      <w:r>
        <w:rPr>
          <w:rFonts w:hint="cs"/>
          <w:rtl/>
        </w:rPr>
        <w:t xml:space="preserve">הייתי </w:t>
      </w:r>
      <w:bookmarkStart w:id="35740" w:name="_ETM_Q63_598659"/>
      <w:bookmarkEnd w:id="35740"/>
      <w:r>
        <w:rPr>
          <w:rFonts w:hint="cs"/>
          <w:rtl/>
        </w:rPr>
        <w:t>אצל</w:t>
      </w:r>
      <w:bookmarkStart w:id="35741" w:name="_ETM_Q63_598930"/>
      <w:bookmarkEnd w:id="35741"/>
      <w:r>
        <w:rPr>
          <w:rFonts w:hint="cs"/>
          <w:rtl/>
        </w:rPr>
        <w:t xml:space="preserve">ם בבית </w:t>
      </w:r>
      <w:bookmarkStart w:id="35742" w:name="_ETM_Q63_599440"/>
      <w:bookmarkEnd w:id="35742"/>
      <w:r>
        <w:rPr>
          <w:rFonts w:hint="cs"/>
          <w:rtl/>
        </w:rPr>
        <w:t xml:space="preserve">בשבתות </w:t>
      </w:r>
      <w:bookmarkStart w:id="35743" w:name="_ETM_Q63_600159"/>
      <w:bookmarkEnd w:id="35743"/>
      <w:r>
        <w:rPr>
          <w:rFonts w:hint="cs"/>
          <w:rtl/>
        </w:rPr>
        <w:t xml:space="preserve">וחגים </w:t>
      </w:r>
      <w:bookmarkStart w:id="35744" w:name="_ETM_Q63_601029"/>
      <w:bookmarkEnd w:id="35744"/>
      <w:r>
        <w:rPr>
          <w:rFonts w:hint="cs"/>
          <w:rtl/>
        </w:rPr>
        <w:t>ו</w:t>
      </w:r>
      <w:bookmarkStart w:id="35745" w:name="_ETM_Q63_602229"/>
      <w:bookmarkEnd w:id="35745"/>
      <w:r>
        <w:rPr>
          <w:rFonts w:hint="cs"/>
          <w:rtl/>
        </w:rPr>
        <w:t xml:space="preserve">משפחותינו </w:t>
      </w:r>
      <w:bookmarkStart w:id="35746" w:name="_ETM_Q63_602860"/>
      <w:bookmarkEnd w:id="35746"/>
      <w:r>
        <w:rPr>
          <w:rFonts w:hint="cs"/>
          <w:rtl/>
        </w:rPr>
        <w:t xml:space="preserve">מחוברות. </w:t>
      </w:r>
      <w:bookmarkStart w:id="35747" w:name="_ETM_Q63_603610"/>
      <w:bookmarkEnd w:id="35747"/>
      <w:r>
        <w:rPr>
          <w:rFonts w:hint="cs"/>
          <w:rtl/>
        </w:rPr>
        <w:t xml:space="preserve">אתה יודע, </w:t>
      </w:r>
      <w:bookmarkStart w:id="35748" w:name="_ETM_Q63_603880"/>
      <w:bookmarkEnd w:id="35748"/>
      <w:r>
        <w:rPr>
          <w:rFonts w:hint="cs"/>
          <w:rtl/>
        </w:rPr>
        <w:t xml:space="preserve">אני </w:t>
      </w:r>
      <w:bookmarkStart w:id="35749" w:name="_ETM_Q63_604390"/>
      <w:bookmarkEnd w:id="35749"/>
      <w:r>
        <w:rPr>
          <w:rFonts w:hint="cs"/>
          <w:rtl/>
        </w:rPr>
        <w:t xml:space="preserve">הייתי </w:t>
      </w:r>
      <w:bookmarkStart w:id="35750" w:name="_ETM_Q63_604720"/>
      <w:bookmarkEnd w:id="35750"/>
      <w:r>
        <w:rPr>
          <w:rFonts w:hint="cs"/>
          <w:rtl/>
        </w:rPr>
        <w:t xml:space="preserve">אצל </w:t>
      </w:r>
      <w:bookmarkStart w:id="35751" w:name="_ETM_Q63_604930"/>
      <w:bookmarkEnd w:id="35751"/>
      <w:r>
        <w:rPr>
          <w:rFonts w:hint="cs"/>
          <w:rtl/>
        </w:rPr>
        <w:t xml:space="preserve">אופיר </w:t>
      </w:r>
      <w:bookmarkStart w:id="35752" w:name="_ETM_Q63_605229"/>
      <w:bookmarkEnd w:id="35752"/>
      <w:r>
        <w:rPr>
          <w:rFonts w:hint="cs"/>
          <w:rtl/>
        </w:rPr>
        <w:t xml:space="preserve">סופר </w:t>
      </w:r>
      <w:bookmarkStart w:id="35753" w:name="_ETM_Q63_605710"/>
      <w:bookmarkEnd w:id="35753"/>
      <w:r w:rsidR="00924A5C">
        <w:rPr>
          <w:rFonts w:hint="cs"/>
          <w:rtl/>
        </w:rPr>
        <w:t>ל</w:t>
      </w:r>
      <w:r>
        <w:rPr>
          <w:rFonts w:hint="cs"/>
          <w:rtl/>
        </w:rPr>
        <w:t xml:space="preserve">שבת, </w:t>
      </w:r>
      <w:bookmarkStart w:id="35754" w:name="_ETM_Q63_606250"/>
      <w:bookmarkEnd w:id="35754"/>
      <w:r>
        <w:rPr>
          <w:rFonts w:hint="cs"/>
          <w:rtl/>
        </w:rPr>
        <w:t xml:space="preserve">הוא </w:t>
      </w:r>
      <w:bookmarkStart w:id="35755" w:name="_ETM_Q63_606339"/>
      <w:bookmarkEnd w:id="35755"/>
      <w:r>
        <w:rPr>
          <w:rFonts w:hint="cs"/>
          <w:rtl/>
        </w:rPr>
        <w:t xml:space="preserve">היה </w:t>
      </w:r>
      <w:bookmarkStart w:id="35756" w:name="_ETM_Q63_606520"/>
      <w:bookmarkEnd w:id="35756"/>
      <w:r>
        <w:rPr>
          <w:rFonts w:hint="cs"/>
          <w:rtl/>
        </w:rPr>
        <w:t xml:space="preserve">אצלי </w:t>
      </w:r>
      <w:bookmarkStart w:id="35757" w:name="_ETM_Q63_606850"/>
      <w:bookmarkEnd w:id="35757"/>
      <w:r w:rsidR="00924A5C">
        <w:rPr>
          <w:rFonts w:hint="cs"/>
          <w:rtl/>
        </w:rPr>
        <w:t>ל</w:t>
      </w:r>
      <w:r>
        <w:rPr>
          <w:rFonts w:hint="cs"/>
          <w:rtl/>
        </w:rPr>
        <w:t xml:space="preserve">שבת. </w:t>
      </w:r>
      <w:bookmarkStart w:id="35758" w:name="_ETM_Q63_607810"/>
      <w:bookmarkEnd w:id="35758"/>
      <w:r>
        <w:rPr>
          <w:rFonts w:hint="cs"/>
          <w:rtl/>
        </w:rPr>
        <w:t xml:space="preserve">הבן </w:t>
      </w:r>
      <w:bookmarkStart w:id="35759" w:name="_ETM_Q63_608170"/>
      <w:bookmarkEnd w:id="35759"/>
      <w:r>
        <w:rPr>
          <w:rFonts w:hint="cs"/>
          <w:rtl/>
        </w:rPr>
        <w:t xml:space="preserve">שלי </w:t>
      </w:r>
      <w:bookmarkStart w:id="35760" w:name="_ETM_Q63_608410"/>
      <w:bookmarkEnd w:id="35760"/>
      <w:r>
        <w:rPr>
          <w:rFonts w:hint="cs"/>
          <w:rtl/>
        </w:rPr>
        <w:t xml:space="preserve">קצין </w:t>
      </w:r>
      <w:bookmarkStart w:id="35761" w:name="_ETM_Q63_608800"/>
      <w:bookmarkEnd w:id="35761"/>
      <w:r>
        <w:rPr>
          <w:rFonts w:hint="cs"/>
          <w:rtl/>
        </w:rPr>
        <w:t xml:space="preserve">בסיירת </w:t>
      </w:r>
      <w:bookmarkStart w:id="35762" w:name="_ETM_Q63_609160"/>
      <w:bookmarkEnd w:id="35762"/>
      <w:r>
        <w:rPr>
          <w:rFonts w:hint="cs"/>
          <w:rtl/>
        </w:rPr>
        <w:t xml:space="preserve">גולני, </w:t>
      </w:r>
      <w:bookmarkStart w:id="35763" w:name="_ETM_Q63_609610"/>
      <w:bookmarkEnd w:id="35763"/>
      <w:r>
        <w:rPr>
          <w:rFonts w:hint="cs"/>
          <w:rtl/>
        </w:rPr>
        <w:t xml:space="preserve">הבן </w:t>
      </w:r>
      <w:bookmarkStart w:id="35764" w:name="_ETM_Q63_609880"/>
      <w:bookmarkEnd w:id="35764"/>
      <w:r>
        <w:rPr>
          <w:rFonts w:hint="cs"/>
          <w:rtl/>
        </w:rPr>
        <w:t xml:space="preserve">שלו </w:t>
      </w:r>
      <w:bookmarkStart w:id="35765" w:name="_ETM_Q63_610120"/>
      <w:bookmarkEnd w:id="35765"/>
      <w:r>
        <w:rPr>
          <w:rFonts w:hint="cs"/>
          <w:rtl/>
        </w:rPr>
        <w:t xml:space="preserve">קצין </w:t>
      </w:r>
      <w:bookmarkStart w:id="35766" w:name="_ETM_Q63_610959"/>
      <w:bookmarkEnd w:id="35766"/>
      <w:r>
        <w:rPr>
          <w:rFonts w:hint="cs"/>
          <w:rtl/>
        </w:rPr>
        <w:t xml:space="preserve">בסיירת </w:t>
      </w:r>
      <w:bookmarkStart w:id="35767" w:name="_ETM_Q63_611470"/>
      <w:bookmarkEnd w:id="35767"/>
      <w:r>
        <w:rPr>
          <w:rFonts w:hint="cs"/>
          <w:rtl/>
        </w:rPr>
        <w:t xml:space="preserve">צנחנים; </w:t>
      </w:r>
      <w:bookmarkStart w:id="35768" w:name="_ETM_Q63_612280"/>
      <w:bookmarkEnd w:id="35768"/>
      <w:r>
        <w:rPr>
          <w:rFonts w:hint="cs"/>
          <w:rtl/>
        </w:rPr>
        <w:t xml:space="preserve">אהבת </w:t>
      </w:r>
      <w:bookmarkStart w:id="35769" w:name="_ETM_Q63_612700"/>
      <w:bookmarkEnd w:id="35769"/>
      <w:r>
        <w:rPr>
          <w:rFonts w:hint="cs"/>
          <w:rtl/>
        </w:rPr>
        <w:t xml:space="preserve">נפש </w:t>
      </w:r>
      <w:bookmarkStart w:id="35770" w:name="_ETM_Q63_613060"/>
      <w:bookmarkEnd w:id="35770"/>
      <w:r>
        <w:rPr>
          <w:rFonts w:hint="cs"/>
          <w:rtl/>
        </w:rPr>
        <w:t xml:space="preserve">בינינו </w:t>
      </w:r>
      <w:bookmarkStart w:id="35771" w:name="_ETM_Q63_613540"/>
      <w:bookmarkEnd w:id="35771"/>
      <w:r>
        <w:rPr>
          <w:rFonts w:hint="cs"/>
          <w:rtl/>
        </w:rPr>
        <w:t xml:space="preserve">ובין </w:t>
      </w:r>
      <w:bookmarkStart w:id="35772" w:name="_ETM_Q63_613900"/>
      <w:bookmarkEnd w:id="35772"/>
      <w:r>
        <w:rPr>
          <w:rFonts w:hint="cs"/>
          <w:rtl/>
        </w:rPr>
        <w:t xml:space="preserve">ילדינו. </w:t>
      </w:r>
      <w:bookmarkStart w:id="35773" w:name="_ETM_Q63_615250"/>
      <w:bookmarkEnd w:id="35773"/>
      <w:r>
        <w:rPr>
          <w:rFonts w:hint="cs"/>
          <w:rtl/>
        </w:rPr>
        <w:t xml:space="preserve">זה </w:t>
      </w:r>
      <w:bookmarkStart w:id="35774" w:name="_ETM_Q63_615489"/>
      <w:bookmarkEnd w:id="35774"/>
      <w:r>
        <w:rPr>
          <w:rFonts w:hint="cs"/>
          <w:rtl/>
        </w:rPr>
        <w:t xml:space="preserve">המצב </w:t>
      </w:r>
      <w:bookmarkStart w:id="35775" w:name="_ETM_Q63_616030"/>
      <w:bookmarkEnd w:id="35775"/>
      <w:r>
        <w:rPr>
          <w:rFonts w:hint="cs"/>
          <w:rtl/>
        </w:rPr>
        <w:t xml:space="preserve">האמיתי, </w:t>
      </w:r>
      <w:bookmarkStart w:id="35776" w:name="_ETM_Q63_617250"/>
      <w:bookmarkEnd w:id="35776"/>
      <w:r>
        <w:rPr>
          <w:rFonts w:hint="cs"/>
          <w:rtl/>
        </w:rPr>
        <w:t xml:space="preserve">המצב </w:t>
      </w:r>
      <w:bookmarkStart w:id="35777" w:name="_ETM_Q63_617760"/>
      <w:bookmarkEnd w:id="35777"/>
      <w:r>
        <w:rPr>
          <w:rFonts w:hint="cs"/>
          <w:rtl/>
        </w:rPr>
        <w:t xml:space="preserve">הראוי. </w:t>
      </w:r>
      <w:bookmarkStart w:id="35778" w:name="_ETM_Q63_618269"/>
      <w:bookmarkEnd w:id="35778"/>
      <w:r>
        <w:rPr>
          <w:rFonts w:hint="cs"/>
          <w:rtl/>
        </w:rPr>
        <w:t xml:space="preserve">המחלוקת </w:t>
      </w:r>
      <w:bookmarkStart w:id="35779" w:name="_ETM_Q63_618959"/>
      <w:bookmarkEnd w:id="35779"/>
      <w:r>
        <w:rPr>
          <w:rFonts w:hint="cs"/>
          <w:rtl/>
        </w:rPr>
        <w:t xml:space="preserve">קיימת. </w:t>
      </w:r>
      <w:bookmarkStart w:id="35780" w:name="_ETM_Q63_620170"/>
      <w:bookmarkEnd w:id="35780"/>
      <w:r>
        <w:rPr>
          <w:rFonts w:hint="cs"/>
          <w:rtl/>
        </w:rPr>
        <w:t xml:space="preserve">נצטרך </w:t>
      </w:r>
      <w:bookmarkStart w:id="35781" w:name="_ETM_Q63_620890"/>
      <w:bookmarkEnd w:id="35781"/>
      <w:r>
        <w:rPr>
          <w:rFonts w:hint="cs"/>
          <w:rtl/>
        </w:rPr>
        <w:t xml:space="preserve">לנהל </w:t>
      </w:r>
      <w:bookmarkStart w:id="35782" w:name="_ETM_Q63_621489"/>
      <w:bookmarkEnd w:id="35782"/>
      <w:r>
        <w:rPr>
          <w:rFonts w:hint="cs"/>
          <w:rtl/>
        </w:rPr>
        <w:t xml:space="preserve">את </w:t>
      </w:r>
      <w:bookmarkStart w:id="35783" w:name="_ETM_Q63_621640"/>
      <w:bookmarkEnd w:id="35783"/>
      <w:r>
        <w:rPr>
          <w:rFonts w:hint="cs"/>
          <w:rtl/>
        </w:rPr>
        <w:t xml:space="preserve">החיים </w:t>
      </w:r>
      <w:bookmarkStart w:id="35784" w:name="_ETM_Q63_621970"/>
      <w:bookmarkEnd w:id="35784"/>
      <w:r>
        <w:rPr>
          <w:rFonts w:hint="cs"/>
          <w:rtl/>
        </w:rPr>
        <w:t>המשותפים.</w:t>
      </w:r>
    </w:p>
    <w:p w:rsidR="00BB59CD" w:rsidRDefault="00BB59CD" w:rsidP="00BB59CD">
      <w:pPr>
        <w:rPr>
          <w:rtl/>
        </w:rPr>
      </w:pPr>
    </w:p>
    <w:p w:rsidR="00BB59CD" w:rsidRDefault="00BB59CD" w:rsidP="00924A5C">
      <w:pPr>
        <w:rPr>
          <w:rtl/>
        </w:rPr>
      </w:pPr>
      <w:bookmarkStart w:id="35785" w:name="_ETM_Q63_625000"/>
      <w:bookmarkStart w:id="35786" w:name="_ETM_Q63_624829"/>
      <w:bookmarkEnd w:id="35785"/>
      <w:bookmarkEnd w:id="35786"/>
      <w:r>
        <w:rPr>
          <w:rFonts w:hint="cs"/>
          <w:rtl/>
        </w:rPr>
        <w:t xml:space="preserve">רבים </w:t>
      </w:r>
      <w:bookmarkStart w:id="35787" w:name="_ETM_Q63_625249"/>
      <w:bookmarkEnd w:id="35787"/>
      <w:r>
        <w:rPr>
          <w:rFonts w:hint="cs"/>
          <w:rtl/>
        </w:rPr>
        <w:t xml:space="preserve">מחבריי </w:t>
      </w:r>
      <w:bookmarkStart w:id="35788" w:name="_ETM_Q63_625819"/>
      <w:bookmarkEnd w:id="35788"/>
      <w:r>
        <w:rPr>
          <w:rFonts w:hint="cs"/>
          <w:rtl/>
        </w:rPr>
        <w:t xml:space="preserve">בימין </w:t>
      </w:r>
      <w:bookmarkStart w:id="35789" w:name="_ETM_Q63_626719"/>
      <w:bookmarkEnd w:id="35789"/>
      <w:r>
        <w:rPr>
          <w:rFonts w:hint="cs"/>
          <w:rtl/>
        </w:rPr>
        <w:t xml:space="preserve">מבקשים </w:t>
      </w:r>
      <w:bookmarkStart w:id="35790" w:name="_ETM_Q63_627190"/>
      <w:bookmarkStart w:id="35791" w:name="_ETM_Q63_627370"/>
      <w:bookmarkEnd w:id="35790"/>
      <w:bookmarkEnd w:id="35791"/>
      <w:r>
        <w:rPr>
          <w:rFonts w:hint="cs"/>
          <w:rtl/>
        </w:rPr>
        <w:t xml:space="preserve">לתקן </w:t>
      </w:r>
      <w:bookmarkStart w:id="35792" w:name="_ETM_Q63_627850"/>
      <w:bookmarkEnd w:id="35792"/>
      <w:r>
        <w:rPr>
          <w:rFonts w:hint="cs"/>
          <w:rtl/>
        </w:rPr>
        <w:t xml:space="preserve">את </w:t>
      </w:r>
      <w:bookmarkStart w:id="35793" w:name="_ETM_Q63_628000"/>
      <w:bookmarkEnd w:id="35793"/>
      <w:r>
        <w:rPr>
          <w:rFonts w:hint="cs"/>
          <w:rtl/>
        </w:rPr>
        <w:t xml:space="preserve">מערכת </w:t>
      </w:r>
      <w:bookmarkStart w:id="35794" w:name="_ETM_Q63_628510"/>
      <w:bookmarkEnd w:id="35794"/>
      <w:r>
        <w:rPr>
          <w:rFonts w:hint="cs"/>
          <w:rtl/>
        </w:rPr>
        <w:t xml:space="preserve">המשפט. </w:t>
      </w:r>
      <w:bookmarkStart w:id="35795" w:name="_ETM_Q63_629910"/>
      <w:bookmarkEnd w:id="35795"/>
      <w:r>
        <w:rPr>
          <w:rFonts w:hint="cs"/>
          <w:rtl/>
        </w:rPr>
        <w:t xml:space="preserve">בלב </w:t>
      </w:r>
      <w:bookmarkStart w:id="35796" w:name="_ETM_Q63_630360"/>
      <w:bookmarkEnd w:id="35796"/>
      <w:r>
        <w:rPr>
          <w:rFonts w:hint="cs"/>
          <w:rtl/>
        </w:rPr>
        <w:t xml:space="preserve">שלם </w:t>
      </w:r>
      <w:bookmarkStart w:id="35797" w:name="_ETM_Q63_630690"/>
      <w:bookmarkEnd w:id="35797"/>
      <w:r>
        <w:rPr>
          <w:rFonts w:hint="cs"/>
          <w:rtl/>
        </w:rPr>
        <w:t xml:space="preserve">הם </w:t>
      </w:r>
      <w:bookmarkStart w:id="35798" w:name="_ETM_Q63_630810"/>
      <w:bookmarkEnd w:id="35798"/>
      <w:r>
        <w:rPr>
          <w:rFonts w:hint="cs"/>
          <w:rtl/>
        </w:rPr>
        <w:t xml:space="preserve">חשים </w:t>
      </w:r>
      <w:bookmarkStart w:id="35799" w:name="_ETM_Q63_631230"/>
      <w:bookmarkEnd w:id="35799"/>
      <w:r>
        <w:rPr>
          <w:rFonts w:hint="cs"/>
          <w:rtl/>
        </w:rPr>
        <w:t xml:space="preserve">כי </w:t>
      </w:r>
      <w:bookmarkStart w:id="35800" w:name="_ETM_Q63_631380"/>
      <w:bookmarkEnd w:id="35800"/>
      <w:r>
        <w:rPr>
          <w:rFonts w:hint="cs"/>
          <w:rtl/>
        </w:rPr>
        <w:t xml:space="preserve">לעיתים </w:t>
      </w:r>
      <w:bookmarkStart w:id="35801" w:name="_ETM_Q63_631800"/>
      <w:bookmarkEnd w:id="35801"/>
      <w:r>
        <w:rPr>
          <w:rFonts w:hint="cs"/>
          <w:rtl/>
        </w:rPr>
        <w:t xml:space="preserve">רבות </w:t>
      </w:r>
      <w:bookmarkStart w:id="35802" w:name="_ETM_Q63_632250"/>
      <w:bookmarkEnd w:id="35802"/>
      <w:r>
        <w:rPr>
          <w:rFonts w:hint="cs"/>
          <w:rtl/>
        </w:rPr>
        <w:t xml:space="preserve">המערכת </w:t>
      </w:r>
      <w:bookmarkStart w:id="35803" w:name="_ETM_Q63_632880"/>
      <w:bookmarkEnd w:id="35803"/>
      <w:r>
        <w:rPr>
          <w:rFonts w:hint="cs"/>
          <w:rtl/>
        </w:rPr>
        <w:t xml:space="preserve">המשפטית </w:t>
      </w:r>
      <w:bookmarkStart w:id="35804" w:name="_ETM_Q63_634150"/>
      <w:bookmarkEnd w:id="35804"/>
      <w:r>
        <w:rPr>
          <w:rFonts w:hint="cs"/>
          <w:rtl/>
        </w:rPr>
        <w:t xml:space="preserve">לא </w:t>
      </w:r>
      <w:bookmarkStart w:id="35805" w:name="_ETM_Q63_634420"/>
      <w:bookmarkStart w:id="35806" w:name="_ETM_Q63_634689"/>
      <w:bookmarkStart w:id="35807" w:name="_ETM_Q63_634989"/>
      <w:bookmarkEnd w:id="35805"/>
      <w:bookmarkEnd w:id="35806"/>
      <w:bookmarkEnd w:id="35807"/>
      <w:r>
        <w:rPr>
          <w:rFonts w:hint="cs"/>
          <w:rtl/>
        </w:rPr>
        <w:t xml:space="preserve">התאמצה להיות </w:t>
      </w:r>
      <w:bookmarkStart w:id="35808" w:name="_ETM_Q63_635379"/>
      <w:bookmarkEnd w:id="35808"/>
      <w:r>
        <w:rPr>
          <w:rFonts w:hint="cs"/>
          <w:rtl/>
        </w:rPr>
        <w:t>קשובה</w:t>
      </w:r>
      <w:bookmarkStart w:id="35809" w:name="_ETM_Q63_635799"/>
      <w:bookmarkStart w:id="35810" w:name="_ETM_Q63_635980"/>
      <w:bookmarkEnd w:id="35809"/>
      <w:bookmarkEnd w:id="35810"/>
      <w:r>
        <w:rPr>
          <w:rFonts w:hint="cs"/>
          <w:rtl/>
        </w:rPr>
        <w:t xml:space="preserve"> </w:t>
      </w:r>
      <w:bookmarkStart w:id="35811" w:name="_ETM_Q63_636000"/>
      <w:bookmarkEnd w:id="35811"/>
      <w:r>
        <w:rPr>
          <w:rFonts w:hint="cs"/>
          <w:rtl/>
        </w:rPr>
        <w:t xml:space="preserve">לצד </w:t>
      </w:r>
      <w:bookmarkStart w:id="35812" w:name="_ETM_Q63_636310"/>
      <w:bookmarkEnd w:id="35812"/>
      <w:r>
        <w:rPr>
          <w:rFonts w:hint="cs"/>
          <w:rtl/>
        </w:rPr>
        <w:t xml:space="preserve">האחר. </w:t>
      </w:r>
      <w:bookmarkStart w:id="35813" w:name="_ETM_Q63_637780"/>
      <w:bookmarkEnd w:id="35813"/>
      <w:r>
        <w:rPr>
          <w:rFonts w:hint="cs"/>
          <w:rtl/>
        </w:rPr>
        <w:t xml:space="preserve">אני </w:t>
      </w:r>
      <w:bookmarkStart w:id="35814" w:name="_ETM_Q63_638080"/>
      <w:bookmarkEnd w:id="35814"/>
      <w:r>
        <w:rPr>
          <w:rFonts w:hint="cs"/>
          <w:rtl/>
        </w:rPr>
        <w:t xml:space="preserve">למשל </w:t>
      </w:r>
      <w:bookmarkStart w:id="35815" w:name="_ETM_Q63_638500"/>
      <w:bookmarkEnd w:id="35815"/>
      <w:r>
        <w:rPr>
          <w:rFonts w:hint="cs"/>
          <w:rtl/>
        </w:rPr>
        <w:t xml:space="preserve">מזדהה </w:t>
      </w:r>
      <w:bookmarkStart w:id="35816" w:name="_ETM_Q63_638950"/>
      <w:bookmarkEnd w:id="35816"/>
      <w:r>
        <w:rPr>
          <w:rFonts w:hint="cs"/>
          <w:rtl/>
        </w:rPr>
        <w:t xml:space="preserve">מאוד </w:t>
      </w:r>
      <w:bookmarkStart w:id="35817" w:name="_ETM_Q63_639220"/>
      <w:bookmarkEnd w:id="35817"/>
      <w:r>
        <w:rPr>
          <w:rFonts w:hint="cs"/>
          <w:rtl/>
        </w:rPr>
        <w:t xml:space="preserve">עם </w:t>
      </w:r>
      <w:bookmarkStart w:id="35818" w:name="_ETM_Q63_639340"/>
      <w:bookmarkEnd w:id="35818"/>
      <w:r>
        <w:rPr>
          <w:rFonts w:hint="cs"/>
          <w:rtl/>
        </w:rPr>
        <w:t xml:space="preserve">הדרישה </w:t>
      </w:r>
      <w:bookmarkStart w:id="35819" w:name="_ETM_Q63_640060"/>
      <w:bookmarkEnd w:id="35819"/>
      <w:r>
        <w:rPr>
          <w:rFonts w:hint="cs"/>
          <w:rtl/>
        </w:rPr>
        <w:t xml:space="preserve">לגבי </w:t>
      </w:r>
      <w:bookmarkStart w:id="35820" w:name="_ETM_Q63_640480"/>
      <w:bookmarkEnd w:id="35820"/>
      <w:r>
        <w:rPr>
          <w:rFonts w:hint="cs"/>
          <w:rtl/>
        </w:rPr>
        <w:t xml:space="preserve">בג"ץ </w:t>
      </w:r>
      <w:bookmarkStart w:id="35821" w:name="_ETM_Q63_641320"/>
      <w:bookmarkEnd w:id="35821"/>
      <w:r>
        <w:rPr>
          <w:rFonts w:hint="cs"/>
          <w:rtl/>
        </w:rPr>
        <w:t xml:space="preserve">שפניו </w:t>
      </w:r>
      <w:bookmarkStart w:id="35822" w:name="_ETM_Q63_641980"/>
      <w:bookmarkEnd w:id="35822"/>
      <w:r>
        <w:rPr>
          <w:rFonts w:hint="cs"/>
          <w:rtl/>
        </w:rPr>
        <w:t xml:space="preserve">יהיו </w:t>
      </w:r>
      <w:bookmarkStart w:id="35823" w:name="_ETM_Q63_642190"/>
      <w:bookmarkEnd w:id="35823"/>
      <w:r>
        <w:rPr>
          <w:rFonts w:hint="cs"/>
          <w:rtl/>
        </w:rPr>
        <w:t xml:space="preserve">כפני </w:t>
      </w:r>
      <w:bookmarkStart w:id="35824" w:name="_ETM_Q63_642610"/>
      <w:bookmarkEnd w:id="35824"/>
      <w:r>
        <w:rPr>
          <w:rFonts w:hint="cs"/>
          <w:rtl/>
        </w:rPr>
        <w:t xml:space="preserve">העם </w:t>
      </w:r>
      <w:bookmarkStart w:id="35825" w:name="_ETM_Q63_643520"/>
      <w:bookmarkEnd w:id="35825"/>
      <w:r>
        <w:rPr>
          <w:rFonts w:hint="cs"/>
          <w:rtl/>
        </w:rPr>
        <w:t xml:space="preserve">ויורכב </w:t>
      </w:r>
      <w:bookmarkStart w:id="35826" w:name="_ETM_Q63_644300"/>
      <w:bookmarkEnd w:id="35826"/>
      <w:r>
        <w:rPr>
          <w:rFonts w:hint="cs"/>
          <w:rtl/>
        </w:rPr>
        <w:t xml:space="preserve">משופטים </w:t>
      </w:r>
      <w:bookmarkStart w:id="35827" w:name="_ETM_Q63_645050"/>
      <w:bookmarkEnd w:id="35827"/>
      <w:r>
        <w:rPr>
          <w:rFonts w:hint="cs"/>
          <w:rtl/>
        </w:rPr>
        <w:t xml:space="preserve">המייצגים </w:t>
      </w:r>
      <w:bookmarkStart w:id="35828" w:name="_ETM_Q63_645620"/>
      <w:bookmarkEnd w:id="35828"/>
      <w:r>
        <w:rPr>
          <w:rFonts w:hint="cs"/>
          <w:rtl/>
        </w:rPr>
        <w:t xml:space="preserve">את </w:t>
      </w:r>
      <w:bookmarkStart w:id="35829" w:name="_ETM_Q63_645740"/>
      <w:bookmarkEnd w:id="35829"/>
      <w:r>
        <w:rPr>
          <w:rFonts w:hint="cs"/>
          <w:rtl/>
        </w:rPr>
        <w:t xml:space="preserve">כל </w:t>
      </w:r>
      <w:bookmarkStart w:id="35830" w:name="_ETM_Q63_646069"/>
      <w:bookmarkEnd w:id="35830"/>
      <w:r>
        <w:rPr>
          <w:rFonts w:hint="cs"/>
          <w:rtl/>
        </w:rPr>
        <w:t xml:space="preserve">הזהויות </w:t>
      </w:r>
      <w:bookmarkStart w:id="35831" w:name="_ETM_Q63_646580"/>
      <w:bookmarkEnd w:id="35831"/>
      <w:r>
        <w:rPr>
          <w:rFonts w:hint="cs"/>
          <w:rtl/>
        </w:rPr>
        <w:t xml:space="preserve">במדינה. </w:t>
      </w:r>
      <w:bookmarkStart w:id="35832" w:name="_ETM_Q63_648219"/>
      <w:bookmarkEnd w:id="35832"/>
      <w:r>
        <w:rPr>
          <w:rFonts w:hint="cs"/>
          <w:rtl/>
        </w:rPr>
        <w:t xml:space="preserve">אני </w:t>
      </w:r>
      <w:bookmarkStart w:id="35833" w:name="_ETM_Q63_648459"/>
      <w:bookmarkEnd w:id="35833"/>
      <w:r>
        <w:rPr>
          <w:rFonts w:hint="cs"/>
          <w:rtl/>
        </w:rPr>
        <w:t xml:space="preserve">כואב </w:t>
      </w:r>
      <w:bookmarkStart w:id="35834" w:name="_ETM_Q63_648879"/>
      <w:bookmarkEnd w:id="35834"/>
      <w:r>
        <w:rPr>
          <w:rFonts w:hint="cs"/>
          <w:rtl/>
        </w:rPr>
        <w:t xml:space="preserve">כאב </w:t>
      </w:r>
      <w:bookmarkStart w:id="35835" w:name="_ETM_Q63_649180"/>
      <w:bookmarkEnd w:id="35835"/>
      <w:r>
        <w:rPr>
          <w:rFonts w:hint="cs"/>
          <w:rtl/>
        </w:rPr>
        <w:t xml:space="preserve">עצום </w:t>
      </w:r>
      <w:bookmarkStart w:id="35836" w:name="_ETM_Q63_649629"/>
      <w:bookmarkEnd w:id="35836"/>
      <w:r>
        <w:rPr>
          <w:rFonts w:hint="cs"/>
          <w:rtl/>
        </w:rPr>
        <w:t xml:space="preserve">את </w:t>
      </w:r>
      <w:bookmarkStart w:id="35837" w:name="_ETM_Q63_649780"/>
      <w:bookmarkEnd w:id="35837"/>
      <w:r>
        <w:rPr>
          <w:rFonts w:hint="cs"/>
          <w:rtl/>
        </w:rPr>
        <w:t xml:space="preserve">הידיעה </w:t>
      </w:r>
      <w:bookmarkStart w:id="35838" w:name="_ETM_Q63_650680"/>
      <w:bookmarkEnd w:id="35838"/>
      <w:r>
        <w:rPr>
          <w:rFonts w:hint="cs"/>
          <w:rtl/>
        </w:rPr>
        <w:t xml:space="preserve">שבקרב </w:t>
      </w:r>
      <w:bookmarkStart w:id="35839" w:name="_ETM_Q63_651249"/>
      <w:bookmarkStart w:id="35840" w:name="_ETM_Q63_651400"/>
      <w:bookmarkEnd w:id="35839"/>
      <w:bookmarkEnd w:id="35840"/>
      <w:r>
        <w:rPr>
          <w:rFonts w:hint="cs"/>
          <w:rtl/>
        </w:rPr>
        <w:t xml:space="preserve">שופטי </w:t>
      </w:r>
      <w:bookmarkStart w:id="35841" w:name="_ETM_Q63_651849"/>
      <w:bookmarkEnd w:id="35841"/>
      <w:r>
        <w:rPr>
          <w:rFonts w:hint="cs"/>
          <w:rtl/>
        </w:rPr>
        <w:t xml:space="preserve">בג"ץ </w:t>
      </w:r>
      <w:bookmarkStart w:id="35842" w:name="_ETM_Q63_652450"/>
      <w:bookmarkEnd w:id="35842"/>
      <w:r>
        <w:rPr>
          <w:rFonts w:hint="cs"/>
          <w:rtl/>
        </w:rPr>
        <w:t xml:space="preserve">בעבר </w:t>
      </w:r>
      <w:bookmarkStart w:id="35843" w:name="_ETM_Q63_653499"/>
      <w:bookmarkEnd w:id="35843"/>
      <w:r>
        <w:rPr>
          <w:rFonts w:hint="cs"/>
          <w:rtl/>
        </w:rPr>
        <w:t xml:space="preserve">בזמנים </w:t>
      </w:r>
      <w:bookmarkStart w:id="35844" w:name="_ETM_Q63_654159"/>
      <w:bookmarkEnd w:id="35844"/>
      <w:r>
        <w:rPr>
          <w:rFonts w:hint="cs"/>
          <w:rtl/>
        </w:rPr>
        <w:t xml:space="preserve">רבים </w:t>
      </w:r>
      <w:bookmarkStart w:id="35845" w:name="_ETM_Q63_654639"/>
      <w:bookmarkEnd w:id="35845"/>
      <w:r>
        <w:rPr>
          <w:rFonts w:hint="cs"/>
          <w:rtl/>
        </w:rPr>
        <w:t xml:space="preserve">התקיים </w:t>
      </w:r>
      <w:bookmarkStart w:id="35846" w:name="_ETM_Q63_655659"/>
      <w:bookmarkEnd w:id="35846"/>
      <w:r>
        <w:rPr>
          <w:rFonts w:hint="cs"/>
          <w:rtl/>
        </w:rPr>
        <w:t xml:space="preserve">נפוטיזם </w:t>
      </w:r>
      <w:bookmarkStart w:id="35847" w:name="_ETM_Q63_656560"/>
      <w:bookmarkEnd w:id="35847"/>
      <w:r>
        <w:rPr>
          <w:rFonts w:hint="cs"/>
          <w:rtl/>
        </w:rPr>
        <w:t xml:space="preserve">של </w:t>
      </w:r>
      <w:bookmarkStart w:id="35848" w:name="_ETM_Q63_656769"/>
      <w:bookmarkEnd w:id="35848"/>
      <w:r>
        <w:rPr>
          <w:rFonts w:hint="cs"/>
          <w:rtl/>
        </w:rPr>
        <w:t xml:space="preserve">חבר </w:t>
      </w:r>
      <w:bookmarkStart w:id="35849" w:name="_ETM_Q63_657219"/>
      <w:bookmarkEnd w:id="35849"/>
      <w:r>
        <w:rPr>
          <w:rFonts w:hint="cs"/>
          <w:rtl/>
        </w:rPr>
        <w:t xml:space="preserve">מביא </w:t>
      </w:r>
      <w:bookmarkStart w:id="35850" w:name="_ETM_Q63_657519"/>
      <w:bookmarkEnd w:id="35850"/>
      <w:r>
        <w:rPr>
          <w:rFonts w:hint="cs"/>
          <w:rtl/>
        </w:rPr>
        <w:t xml:space="preserve">חבר </w:t>
      </w:r>
      <w:bookmarkStart w:id="35851" w:name="_ETM_Q63_658060"/>
      <w:bookmarkEnd w:id="35851"/>
      <w:r>
        <w:rPr>
          <w:rFonts w:hint="cs"/>
          <w:rtl/>
        </w:rPr>
        <w:t xml:space="preserve">או </w:t>
      </w:r>
      <w:bookmarkStart w:id="35852" w:name="_ETM_Q63_658180"/>
      <w:bookmarkEnd w:id="35852"/>
      <w:r>
        <w:rPr>
          <w:rFonts w:hint="cs"/>
          <w:rtl/>
        </w:rPr>
        <w:t xml:space="preserve">חבר </w:t>
      </w:r>
      <w:bookmarkStart w:id="35853" w:name="_ETM_Q63_658599"/>
      <w:bookmarkEnd w:id="35853"/>
      <w:r>
        <w:rPr>
          <w:rFonts w:hint="cs"/>
          <w:rtl/>
        </w:rPr>
        <w:t xml:space="preserve">מביא </w:t>
      </w:r>
      <w:bookmarkStart w:id="35854" w:name="_ETM_Q63_659019"/>
      <w:bookmarkEnd w:id="35854"/>
      <w:r>
        <w:rPr>
          <w:rFonts w:hint="cs"/>
          <w:rtl/>
        </w:rPr>
        <w:t xml:space="preserve">בן </w:t>
      </w:r>
      <w:bookmarkStart w:id="35855" w:name="_ETM_Q63_659260"/>
      <w:bookmarkEnd w:id="35855"/>
      <w:r>
        <w:rPr>
          <w:rFonts w:hint="cs"/>
          <w:rtl/>
        </w:rPr>
        <w:t xml:space="preserve">משפחה. </w:t>
      </w:r>
      <w:bookmarkStart w:id="35856" w:name="_ETM_Q63_660930"/>
      <w:bookmarkEnd w:id="35856"/>
      <w:r>
        <w:rPr>
          <w:rFonts w:hint="cs"/>
          <w:rtl/>
        </w:rPr>
        <w:t xml:space="preserve">הודה </w:t>
      </w:r>
      <w:bookmarkStart w:id="35857" w:name="_ETM_Q63_661349"/>
      <w:bookmarkEnd w:id="35857"/>
      <w:r>
        <w:rPr>
          <w:rFonts w:hint="cs"/>
          <w:rtl/>
        </w:rPr>
        <w:t xml:space="preserve">בזה </w:t>
      </w:r>
      <w:bookmarkStart w:id="35858" w:name="_ETM_Q63_661709"/>
      <w:bookmarkEnd w:id="35858"/>
      <w:r>
        <w:rPr>
          <w:rFonts w:hint="cs"/>
          <w:rtl/>
        </w:rPr>
        <w:t xml:space="preserve">השופט </w:t>
      </w:r>
      <w:bookmarkStart w:id="35859" w:name="_ETM_Q63_662250"/>
      <w:bookmarkEnd w:id="35859"/>
      <w:r>
        <w:rPr>
          <w:rFonts w:hint="cs"/>
          <w:rtl/>
        </w:rPr>
        <w:t xml:space="preserve">ברק </w:t>
      </w:r>
      <w:bookmarkStart w:id="35860" w:name="_ETM_Q63_663480"/>
      <w:bookmarkEnd w:id="35860"/>
      <w:r>
        <w:rPr>
          <w:rFonts w:hint="cs"/>
          <w:rtl/>
        </w:rPr>
        <w:t xml:space="preserve">ואמר: </w:t>
      </w:r>
      <w:bookmarkStart w:id="35861" w:name="_ETM_Q63_663989"/>
      <w:bookmarkEnd w:id="35861"/>
      <w:r>
        <w:rPr>
          <w:rFonts w:hint="cs"/>
          <w:rtl/>
        </w:rPr>
        <w:t xml:space="preserve">טעינו. </w:t>
      </w:r>
      <w:bookmarkStart w:id="35862" w:name="_ETM_Q63_665720"/>
      <w:bookmarkEnd w:id="35862"/>
      <w:r>
        <w:rPr>
          <w:rFonts w:hint="cs"/>
          <w:rtl/>
        </w:rPr>
        <w:t xml:space="preserve">המערכת </w:t>
      </w:r>
      <w:bookmarkStart w:id="35863" w:name="_ETM_Q63_666560"/>
      <w:bookmarkEnd w:id="35863"/>
      <w:r>
        <w:rPr>
          <w:rFonts w:hint="cs"/>
          <w:rtl/>
        </w:rPr>
        <w:t xml:space="preserve">צריכה </w:t>
      </w:r>
      <w:bookmarkStart w:id="35864" w:name="_ETM_Q63_666980"/>
      <w:bookmarkEnd w:id="35864"/>
      <w:r>
        <w:rPr>
          <w:rFonts w:hint="cs"/>
          <w:rtl/>
        </w:rPr>
        <w:t xml:space="preserve">להבין </w:t>
      </w:r>
      <w:bookmarkStart w:id="35865" w:name="_ETM_Q63_667970"/>
      <w:bookmarkEnd w:id="35865"/>
      <w:r>
        <w:rPr>
          <w:rFonts w:hint="cs"/>
          <w:rtl/>
        </w:rPr>
        <w:t xml:space="preserve">שיש </w:t>
      </w:r>
      <w:bookmarkStart w:id="35866" w:name="_ETM_Q63_668790"/>
      <w:bookmarkEnd w:id="35866"/>
      <w:r>
        <w:rPr>
          <w:rFonts w:hint="cs"/>
          <w:rtl/>
        </w:rPr>
        <w:t xml:space="preserve">צורך </w:t>
      </w:r>
      <w:bookmarkStart w:id="35867" w:name="_ETM_Q63_669420"/>
      <w:bookmarkEnd w:id="35867"/>
      <w:r>
        <w:rPr>
          <w:rFonts w:hint="cs"/>
          <w:rtl/>
        </w:rPr>
        <w:t xml:space="preserve">בתיקון </w:t>
      </w:r>
      <w:bookmarkStart w:id="35868" w:name="_ETM_Q63_670230"/>
      <w:bookmarkEnd w:id="35868"/>
      <w:r>
        <w:rPr>
          <w:rFonts w:hint="cs"/>
          <w:rtl/>
        </w:rPr>
        <w:t xml:space="preserve">עמוק </w:t>
      </w:r>
      <w:bookmarkStart w:id="35869" w:name="_ETM_Q63_670650"/>
      <w:bookmarkEnd w:id="35869"/>
      <w:r>
        <w:rPr>
          <w:rFonts w:hint="cs"/>
          <w:rtl/>
        </w:rPr>
        <w:t xml:space="preserve">ואמיתי </w:t>
      </w:r>
      <w:bookmarkStart w:id="35870" w:name="_ETM_Q63_671310"/>
      <w:bookmarkEnd w:id="35870"/>
      <w:r>
        <w:rPr>
          <w:rFonts w:hint="cs"/>
          <w:rtl/>
        </w:rPr>
        <w:t xml:space="preserve">גם </w:t>
      </w:r>
      <w:bookmarkStart w:id="35871" w:name="_ETM_Q63_671640"/>
      <w:bookmarkEnd w:id="35871"/>
      <w:r>
        <w:rPr>
          <w:rFonts w:hint="cs"/>
          <w:rtl/>
        </w:rPr>
        <w:t xml:space="preserve">במערכת </w:t>
      </w:r>
      <w:bookmarkStart w:id="35872" w:name="_ETM_Q63_672299"/>
      <w:bookmarkEnd w:id="35872"/>
      <w:r>
        <w:rPr>
          <w:rFonts w:hint="cs"/>
          <w:rtl/>
        </w:rPr>
        <w:t xml:space="preserve">המשפט. </w:t>
      </w:r>
      <w:bookmarkStart w:id="35873" w:name="_ETM_Q63_673700"/>
      <w:bookmarkEnd w:id="35873"/>
      <w:r>
        <w:rPr>
          <w:rFonts w:hint="cs"/>
          <w:rtl/>
        </w:rPr>
        <w:t xml:space="preserve">רק </w:t>
      </w:r>
      <w:bookmarkStart w:id="35874" w:name="_ETM_Q63_673909"/>
      <w:bookmarkEnd w:id="35874"/>
      <w:r>
        <w:rPr>
          <w:rFonts w:hint="cs"/>
          <w:rtl/>
        </w:rPr>
        <w:t xml:space="preserve">השבוע </w:t>
      </w:r>
      <w:bookmarkStart w:id="35875" w:name="_ETM_Q63_674390"/>
      <w:bookmarkEnd w:id="35875"/>
      <w:r>
        <w:rPr>
          <w:rFonts w:hint="cs"/>
          <w:rtl/>
        </w:rPr>
        <w:t xml:space="preserve">הגשתי </w:t>
      </w:r>
      <w:bookmarkStart w:id="35876" w:name="_ETM_Q63_674840"/>
      <w:bookmarkEnd w:id="35876"/>
      <w:r>
        <w:rPr>
          <w:rFonts w:hint="cs"/>
          <w:rtl/>
        </w:rPr>
        <w:t xml:space="preserve">בג"ץ </w:t>
      </w:r>
      <w:bookmarkStart w:id="35877" w:name="_ETM_Q63_675319"/>
      <w:bookmarkEnd w:id="35877"/>
      <w:r>
        <w:rPr>
          <w:rFonts w:hint="cs"/>
          <w:rtl/>
        </w:rPr>
        <w:t xml:space="preserve">נגד </w:t>
      </w:r>
      <w:bookmarkStart w:id="35878" w:name="_ETM_Q63_675769"/>
      <w:bookmarkEnd w:id="35878"/>
      <w:r>
        <w:rPr>
          <w:rFonts w:hint="cs"/>
          <w:rtl/>
        </w:rPr>
        <w:t xml:space="preserve">משרד </w:t>
      </w:r>
      <w:bookmarkStart w:id="35879" w:name="_ETM_Q63_676129"/>
      <w:bookmarkEnd w:id="35879"/>
      <w:r>
        <w:rPr>
          <w:rFonts w:hint="cs"/>
          <w:rtl/>
        </w:rPr>
        <w:t xml:space="preserve">השיכון </w:t>
      </w:r>
      <w:bookmarkStart w:id="35880" w:name="_ETM_Q63_676940"/>
      <w:bookmarkEnd w:id="35880"/>
      <w:r>
        <w:rPr>
          <w:rFonts w:hint="cs"/>
          <w:rtl/>
        </w:rPr>
        <w:t xml:space="preserve">והחברות </w:t>
      </w:r>
      <w:bookmarkStart w:id="35881" w:name="_ETM_Q63_677629"/>
      <w:bookmarkEnd w:id="35881"/>
      <w:r>
        <w:rPr>
          <w:rFonts w:hint="cs"/>
          <w:rtl/>
        </w:rPr>
        <w:t xml:space="preserve">המשכנות </w:t>
      </w:r>
      <w:bookmarkStart w:id="35882" w:name="_ETM_Q63_678170"/>
      <w:bookmarkEnd w:id="35882"/>
      <w:r>
        <w:rPr>
          <w:rFonts w:hint="cs"/>
          <w:rtl/>
        </w:rPr>
        <w:t xml:space="preserve">בדיור </w:t>
      </w:r>
      <w:bookmarkStart w:id="35883" w:name="_ETM_Q63_678500"/>
      <w:bookmarkEnd w:id="35883"/>
      <w:r>
        <w:rPr>
          <w:rFonts w:hint="cs"/>
          <w:rtl/>
        </w:rPr>
        <w:t xml:space="preserve">הציבורי </w:t>
      </w:r>
      <w:bookmarkStart w:id="35884" w:name="_ETM_Q63_679400"/>
      <w:bookmarkEnd w:id="35884"/>
      <w:r>
        <w:rPr>
          <w:rFonts w:hint="cs"/>
          <w:rtl/>
        </w:rPr>
        <w:t xml:space="preserve">על כך </w:t>
      </w:r>
      <w:bookmarkStart w:id="35885" w:name="_ETM_Q63_679819"/>
      <w:bookmarkEnd w:id="35885"/>
      <w:r>
        <w:rPr>
          <w:rFonts w:hint="cs"/>
          <w:rtl/>
        </w:rPr>
        <w:t xml:space="preserve">שעורכי דין </w:t>
      </w:r>
      <w:bookmarkStart w:id="35886" w:name="_ETM_Q63_680629"/>
      <w:bookmarkEnd w:id="35886"/>
      <w:r>
        <w:rPr>
          <w:rFonts w:hint="cs"/>
          <w:rtl/>
        </w:rPr>
        <w:t xml:space="preserve">פרטיים, </w:t>
      </w:r>
      <w:bookmarkStart w:id="35887" w:name="_ETM_Q63_681560"/>
      <w:bookmarkEnd w:id="35887"/>
      <w:r>
        <w:rPr>
          <w:rFonts w:hint="cs"/>
          <w:rtl/>
        </w:rPr>
        <w:t xml:space="preserve">בשם </w:t>
      </w:r>
      <w:bookmarkStart w:id="35888" w:name="_ETM_Q63_682190"/>
      <w:bookmarkEnd w:id="35888"/>
      <w:r>
        <w:rPr>
          <w:rFonts w:hint="cs"/>
          <w:rtl/>
        </w:rPr>
        <w:t xml:space="preserve">היועצים </w:t>
      </w:r>
      <w:bookmarkStart w:id="35889" w:name="_ETM_Q63_682700"/>
      <w:bookmarkEnd w:id="35889"/>
      <w:r>
        <w:rPr>
          <w:rFonts w:hint="cs"/>
          <w:rtl/>
        </w:rPr>
        <w:t xml:space="preserve">המשפטיים </w:t>
      </w:r>
      <w:bookmarkStart w:id="35890" w:name="_ETM_Q63_683330"/>
      <w:bookmarkEnd w:id="35890"/>
      <w:r>
        <w:rPr>
          <w:rFonts w:hint="cs"/>
          <w:rtl/>
        </w:rPr>
        <w:t xml:space="preserve">של </w:t>
      </w:r>
      <w:bookmarkStart w:id="35891" w:name="_ETM_Q63_683510"/>
      <w:bookmarkEnd w:id="35891"/>
      <w:r>
        <w:rPr>
          <w:rFonts w:hint="cs"/>
          <w:rtl/>
        </w:rPr>
        <w:t xml:space="preserve">אותו </w:t>
      </w:r>
      <w:bookmarkStart w:id="35892" w:name="_ETM_Q63_683750"/>
      <w:bookmarkEnd w:id="35892"/>
      <w:r>
        <w:rPr>
          <w:rFonts w:hint="cs"/>
          <w:rtl/>
        </w:rPr>
        <w:t xml:space="preserve">משרד, </w:t>
      </w:r>
      <w:bookmarkStart w:id="35893" w:name="_ETM_Q63_684200"/>
      <w:bookmarkEnd w:id="35893"/>
      <w:r>
        <w:rPr>
          <w:rFonts w:hint="cs"/>
          <w:rtl/>
        </w:rPr>
        <w:t xml:space="preserve">פועלים </w:t>
      </w:r>
      <w:bookmarkStart w:id="35894" w:name="_ETM_Q63_684590"/>
      <w:bookmarkEnd w:id="35894"/>
      <w:r>
        <w:rPr>
          <w:rFonts w:hint="cs"/>
          <w:rtl/>
        </w:rPr>
        <w:t xml:space="preserve">ללא </w:t>
      </w:r>
      <w:bookmarkStart w:id="35895" w:name="_ETM_Q63_684800"/>
      <w:bookmarkEnd w:id="35895"/>
      <w:r>
        <w:rPr>
          <w:rFonts w:hint="cs"/>
          <w:rtl/>
        </w:rPr>
        <w:t xml:space="preserve">סמכות, </w:t>
      </w:r>
      <w:bookmarkStart w:id="35896" w:name="_ETM_Q63_685790"/>
      <w:bookmarkEnd w:id="35896"/>
      <w:r>
        <w:rPr>
          <w:rFonts w:hint="cs"/>
          <w:rtl/>
        </w:rPr>
        <w:t xml:space="preserve">ללא </w:t>
      </w:r>
      <w:bookmarkStart w:id="35897" w:name="_ETM_Q63_686329"/>
      <w:bookmarkEnd w:id="35897"/>
      <w:r>
        <w:rPr>
          <w:rFonts w:hint="cs"/>
          <w:rtl/>
        </w:rPr>
        <w:t xml:space="preserve">הסמכה </w:t>
      </w:r>
      <w:bookmarkStart w:id="35898" w:name="_ETM_Q63_687019"/>
      <w:bookmarkEnd w:id="35898"/>
      <w:r>
        <w:rPr>
          <w:rFonts w:hint="cs"/>
          <w:rtl/>
        </w:rPr>
        <w:t xml:space="preserve">שהייתה </w:t>
      </w:r>
      <w:bookmarkStart w:id="35899" w:name="_ETM_Q63_687559"/>
      <w:bookmarkEnd w:id="35899"/>
      <w:r>
        <w:rPr>
          <w:rFonts w:hint="cs"/>
          <w:rtl/>
        </w:rPr>
        <w:t xml:space="preserve">להם </w:t>
      </w:r>
      <w:bookmarkStart w:id="35900" w:name="_ETM_Q63_687769"/>
      <w:bookmarkEnd w:id="35900"/>
      <w:r>
        <w:rPr>
          <w:rFonts w:hint="cs"/>
          <w:rtl/>
        </w:rPr>
        <w:t>בחוק של</w:t>
      </w:r>
      <w:bookmarkStart w:id="35901" w:name="_ETM_Q63_688159"/>
      <w:bookmarkEnd w:id="35901"/>
      <w:r>
        <w:rPr>
          <w:rFonts w:hint="cs"/>
          <w:rtl/>
        </w:rPr>
        <w:t xml:space="preserve"> ניגוד </w:t>
      </w:r>
      <w:bookmarkStart w:id="35902" w:name="_ETM_Q63_688609"/>
      <w:bookmarkEnd w:id="35902"/>
      <w:r>
        <w:rPr>
          <w:rFonts w:hint="cs"/>
          <w:rtl/>
        </w:rPr>
        <w:t xml:space="preserve">עניינים, </w:t>
      </w:r>
      <w:bookmarkStart w:id="35903" w:name="_ETM_Q63_689389"/>
      <w:bookmarkEnd w:id="35903"/>
      <w:r>
        <w:rPr>
          <w:rFonts w:hint="cs"/>
          <w:rtl/>
        </w:rPr>
        <w:t xml:space="preserve">ופינו </w:t>
      </w:r>
      <w:bookmarkStart w:id="35904" w:name="_ETM_Q63_689959"/>
      <w:bookmarkEnd w:id="35904"/>
      <w:r>
        <w:rPr>
          <w:rFonts w:hint="cs"/>
          <w:rtl/>
        </w:rPr>
        <w:t xml:space="preserve">אנשים </w:t>
      </w:r>
      <w:bookmarkStart w:id="35905" w:name="_ETM_Q63_690319"/>
      <w:bookmarkEnd w:id="35905"/>
      <w:r>
        <w:rPr>
          <w:rFonts w:hint="cs"/>
          <w:rtl/>
        </w:rPr>
        <w:t xml:space="preserve">מבתיהם </w:t>
      </w:r>
      <w:bookmarkStart w:id="35906" w:name="_ETM_Q63_690949"/>
      <w:bookmarkEnd w:id="35906"/>
      <w:r>
        <w:rPr>
          <w:rFonts w:hint="cs"/>
          <w:rtl/>
        </w:rPr>
        <w:t xml:space="preserve">במהירות </w:t>
      </w:r>
      <w:bookmarkStart w:id="35907" w:name="_ETM_Q63_691639"/>
      <w:bookmarkEnd w:id="35907"/>
      <w:r>
        <w:rPr>
          <w:rFonts w:hint="cs"/>
          <w:rtl/>
        </w:rPr>
        <w:t xml:space="preserve">ובנחישות, </w:t>
      </w:r>
      <w:bookmarkStart w:id="35908" w:name="_ETM_Q63_692929"/>
      <w:bookmarkEnd w:id="35908"/>
      <w:r>
        <w:rPr>
          <w:rFonts w:hint="cs"/>
          <w:rtl/>
        </w:rPr>
        <w:t xml:space="preserve">בלי </w:t>
      </w:r>
      <w:bookmarkStart w:id="35909" w:name="_ETM_Q63_693260"/>
      <w:bookmarkEnd w:id="35909"/>
      <w:r>
        <w:rPr>
          <w:rFonts w:hint="cs"/>
          <w:rtl/>
        </w:rPr>
        <w:t xml:space="preserve">ההסמכה </w:t>
      </w:r>
      <w:bookmarkStart w:id="35910" w:name="_ETM_Q63_693889"/>
      <w:bookmarkEnd w:id="35910"/>
      <w:r>
        <w:rPr>
          <w:rFonts w:hint="cs"/>
          <w:rtl/>
        </w:rPr>
        <w:t xml:space="preserve">הרשמית </w:t>
      </w:r>
      <w:bookmarkStart w:id="35911" w:name="_ETM_Q63_694339"/>
      <w:bookmarkEnd w:id="35911"/>
      <w:r>
        <w:rPr>
          <w:rFonts w:hint="cs"/>
          <w:rtl/>
        </w:rPr>
        <w:t xml:space="preserve">של </w:t>
      </w:r>
      <w:bookmarkStart w:id="35912" w:name="_ETM_Q63_694489"/>
      <w:bookmarkEnd w:id="35912"/>
      <w:r>
        <w:rPr>
          <w:rFonts w:hint="cs"/>
          <w:rtl/>
        </w:rPr>
        <w:t xml:space="preserve">ניגוד </w:t>
      </w:r>
      <w:bookmarkStart w:id="35913" w:name="_ETM_Q63_694819"/>
      <w:bookmarkEnd w:id="35913"/>
      <w:r>
        <w:rPr>
          <w:rFonts w:hint="cs"/>
          <w:rtl/>
        </w:rPr>
        <w:t xml:space="preserve">עניינים. </w:t>
      </w:r>
      <w:bookmarkStart w:id="35914" w:name="_ETM_Q63_695700"/>
      <w:bookmarkEnd w:id="35914"/>
      <w:r>
        <w:rPr>
          <w:rFonts w:hint="cs"/>
          <w:rtl/>
        </w:rPr>
        <w:t xml:space="preserve">יש </w:t>
      </w:r>
      <w:bookmarkStart w:id="35915" w:name="_ETM_Q63_695909"/>
      <w:bookmarkEnd w:id="35915"/>
      <w:r>
        <w:rPr>
          <w:rFonts w:hint="cs"/>
          <w:rtl/>
        </w:rPr>
        <w:t xml:space="preserve">בג"ץ. </w:t>
      </w:r>
      <w:bookmarkStart w:id="35916" w:name="_ETM_Q63_696990"/>
      <w:bookmarkEnd w:id="35916"/>
    </w:p>
    <w:p w:rsidR="00BB59CD" w:rsidRDefault="00BB59CD" w:rsidP="00BB59CD">
      <w:pPr>
        <w:rPr>
          <w:rtl/>
        </w:rPr>
      </w:pPr>
    </w:p>
    <w:p w:rsidR="00BB59CD" w:rsidRDefault="00BB59CD" w:rsidP="00924A5C">
      <w:pPr>
        <w:rPr>
          <w:rtl/>
        </w:rPr>
      </w:pPr>
      <w:r>
        <w:rPr>
          <w:rFonts w:hint="cs"/>
          <w:rtl/>
        </w:rPr>
        <w:t xml:space="preserve">יש </w:t>
      </w:r>
      <w:bookmarkStart w:id="35917" w:name="_ETM_Q63_697290"/>
      <w:bookmarkEnd w:id="35917"/>
      <w:r>
        <w:rPr>
          <w:rFonts w:hint="cs"/>
          <w:rtl/>
        </w:rPr>
        <w:t xml:space="preserve">מה </w:t>
      </w:r>
      <w:bookmarkStart w:id="35918" w:name="_ETM_Q63_697410"/>
      <w:bookmarkEnd w:id="35918"/>
      <w:r>
        <w:rPr>
          <w:rFonts w:hint="cs"/>
          <w:rtl/>
        </w:rPr>
        <w:t xml:space="preserve">לתקן </w:t>
      </w:r>
      <w:bookmarkStart w:id="35919" w:name="_ETM_Q63_698010"/>
      <w:bookmarkEnd w:id="35919"/>
      <w:r>
        <w:rPr>
          <w:rFonts w:hint="cs"/>
          <w:rtl/>
        </w:rPr>
        <w:t xml:space="preserve">במערכת </w:t>
      </w:r>
      <w:bookmarkStart w:id="35920" w:name="_ETM_Q63_698550"/>
      <w:bookmarkEnd w:id="35920"/>
      <w:r>
        <w:rPr>
          <w:rFonts w:hint="cs"/>
          <w:rtl/>
        </w:rPr>
        <w:t xml:space="preserve">המשפט </w:t>
      </w:r>
      <w:bookmarkStart w:id="35921" w:name="_ETM_Q63_699090"/>
      <w:bookmarkEnd w:id="35921"/>
      <w:r>
        <w:rPr>
          <w:rFonts w:hint="cs"/>
          <w:rtl/>
        </w:rPr>
        <w:t xml:space="preserve">וביועצים </w:t>
      </w:r>
      <w:bookmarkStart w:id="35922" w:name="_ETM_Q63_699780"/>
      <w:bookmarkEnd w:id="35922"/>
      <w:r>
        <w:rPr>
          <w:rFonts w:hint="cs"/>
          <w:rtl/>
        </w:rPr>
        <w:t xml:space="preserve">המשפטיים. </w:t>
      </w:r>
      <w:bookmarkStart w:id="35923" w:name="_ETM_Q63_701070"/>
      <w:bookmarkEnd w:id="35923"/>
      <w:r>
        <w:rPr>
          <w:rFonts w:hint="cs"/>
          <w:rtl/>
        </w:rPr>
        <w:t xml:space="preserve">יש </w:t>
      </w:r>
      <w:bookmarkStart w:id="35924" w:name="_ETM_Q63_701400"/>
      <w:bookmarkEnd w:id="35924"/>
      <w:r>
        <w:rPr>
          <w:rFonts w:hint="cs"/>
          <w:rtl/>
        </w:rPr>
        <w:t xml:space="preserve">מה </w:t>
      </w:r>
      <w:bookmarkStart w:id="35925" w:name="_ETM_Q63_701550"/>
      <w:bookmarkEnd w:id="35925"/>
      <w:r>
        <w:rPr>
          <w:rFonts w:hint="cs"/>
          <w:rtl/>
        </w:rPr>
        <w:t xml:space="preserve">לתקן. </w:t>
      </w:r>
      <w:bookmarkStart w:id="35926" w:name="_ETM_Q63_703109"/>
      <w:bookmarkEnd w:id="35926"/>
      <w:r>
        <w:rPr>
          <w:rFonts w:hint="cs"/>
          <w:rtl/>
        </w:rPr>
        <w:t xml:space="preserve">אני </w:t>
      </w:r>
      <w:bookmarkStart w:id="35927" w:name="_ETM_Q63_703349"/>
      <w:bookmarkEnd w:id="35927"/>
      <w:r>
        <w:rPr>
          <w:rFonts w:hint="cs"/>
          <w:rtl/>
        </w:rPr>
        <w:t xml:space="preserve">מבין </w:t>
      </w:r>
      <w:bookmarkStart w:id="35928" w:name="_ETM_Q63_703739"/>
      <w:bookmarkEnd w:id="35928"/>
      <w:r>
        <w:rPr>
          <w:rFonts w:hint="cs"/>
          <w:rtl/>
        </w:rPr>
        <w:t xml:space="preserve">ללב </w:t>
      </w:r>
      <w:bookmarkStart w:id="35929" w:name="_ETM_Q63_704069"/>
      <w:bookmarkEnd w:id="35929"/>
      <w:r>
        <w:rPr>
          <w:rFonts w:hint="cs"/>
          <w:rtl/>
        </w:rPr>
        <w:t xml:space="preserve">הדורשים </w:t>
      </w:r>
      <w:bookmarkStart w:id="35930" w:name="_ETM_Q63_704579"/>
      <w:bookmarkEnd w:id="35930"/>
      <w:r>
        <w:rPr>
          <w:rFonts w:hint="cs"/>
          <w:rtl/>
        </w:rPr>
        <w:t xml:space="preserve">רפורמה </w:t>
      </w:r>
      <w:bookmarkStart w:id="35931" w:name="_ETM_Q63_705059"/>
      <w:bookmarkEnd w:id="35931"/>
      <w:r>
        <w:rPr>
          <w:rFonts w:hint="cs"/>
          <w:rtl/>
        </w:rPr>
        <w:t xml:space="preserve">במשפט, </w:t>
      </w:r>
      <w:bookmarkStart w:id="35932" w:name="_ETM_Q63_706519"/>
      <w:bookmarkEnd w:id="35932"/>
      <w:r>
        <w:rPr>
          <w:rFonts w:hint="cs"/>
          <w:rtl/>
        </w:rPr>
        <w:t xml:space="preserve">כי </w:t>
      </w:r>
      <w:bookmarkStart w:id="35933" w:name="_ETM_Q63_706730"/>
      <w:bookmarkEnd w:id="35933"/>
      <w:r>
        <w:rPr>
          <w:rFonts w:hint="cs"/>
          <w:rtl/>
        </w:rPr>
        <w:t xml:space="preserve">אכן </w:t>
      </w:r>
      <w:bookmarkStart w:id="35934" w:name="_ETM_Q63_707059"/>
      <w:bookmarkEnd w:id="35934"/>
      <w:r>
        <w:rPr>
          <w:rFonts w:hint="cs"/>
          <w:rtl/>
        </w:rPr>
        <w:t xml:space="preserve">היחסים </w:t>
      </w:r>
      <w:bookmarkStart w:id="35935" w:name="_ETM_Q63_707540"/>
      <w:bookmarkEnd w:id="35935"/>
      <w:r>
        <w:rPr>
          <w:rFonts w:hint="cs"/>
          <w:rtl/>
        </w:rPr>
        <w:t xml:space="preserve">בין </w:t>
      </w:r>
      <w:bookmarkStart w:id="35936" w:name="_ETM_Q63_707659"/>
      <w:bookmarkEnd w:id="35936"/>
      <w:r>
        <w:rPr>
          <w:rFonts w:hint="cs"/>
          <w:rtl/>
        </w:rPr>
        <w:t xml:space="preserve">הכנסת </w:t>
      </w:r>
      <w:bookmarkStart w:id="35937" w:name="_ETM_Q63_708170"/>
      <w:bookmarkEnd w:id="35937"/>
      <w:r>
        <w:rPr>
          <w:rFonts w:hint="cs"/>
          <w:rtl/>
        </w:rPr>
        <w:t xml:space="preserve">והממשלה </w:t>
      </w:r>
      <w:bookmarkStart w:id="35938" w:name="_ETM_Q63_709279"/>
      <w:bookmarkEnd w:id="35938"/>
      <w:r>
        <w:rPr>
          <w:rFonts w:hint="cs"/>
          <w:rtl/>
        </w:rPr>
        <w:t xml:space="preserve">ומערכת </w:t>
      </w:r>
      <w:bookmarkStart w:id="35939" w:name="_ETM_Q63_709999"/>
      <w:bookmarkEnd w:id="35939"/>
      <w:r>
        <w:rPr>
          <w:rFonts w:hint="cs"/>
          <w:rtl/>
        </w:rPr>
        <w:t xml:space="preserve">המשפט </w:t>
      </w:r>
      <w:bookmarkStart w:id="35940" w:name="_ETM_Q63_710599"/>
      <w:bookmarkEnd w:id="35940"/>
      <w:r>
        <w:rPr>
          <w:rFonts w:hint="cs"/>
          <w:rtl/>
        </w:rPr>
        <w:t xml:space="preserve">לא </w:t>
      </w:r>
      <w:bookmarkStart w:id="35941" w:name="_ETM_Q63_710719"/>
      <w:bookmarkEnd w:id="35941"/>
      <w:r>
        <w:rPr>
          <w:rFonts w:hint="cs"/>
          <w:rtl/>
        </w:rPr>
        <w:t xml:space="preserve">מוסדרים </w:t>
      </w:r>
      <w:bookmarkStart w:id="35942" w:name="_ETM_Q63_711379"/>
      <w:bookmarkEnd w:id="35942"/>
      <w:r>
        <w:rPr>
          <w:rFonts w:hint="cs"/>
          <w:rtl/>
        </w:rPr>
        <w:t xml:space="preserve">עד תומם </w:t>
      </w:r>
      <w:bookmarkStart w:id="35943" w:name="_ETM_Q63_711829"/>
      <w:bookmarkEnd w:id="35943"/>
      <w:r>
        <w:rPr>
          <w:rFonts w:hint="cs"/>
          <w:rtl/>
        </w:rPr>
        <w:t xml:space="preserve">במדינת </w:t>
      </w:r>
      <w:bookmarkStart w:id="35944" w:name="_ETM_Q63_712370"/>
      <w:bookmarkEnd w:id="35944"/>
      <w:r>
        <w:rPr>
          <w:rFonts w:hint="cs"/>
          <w:rtl/>
        </w:rPr>
        <w:t xml:space="preserve">ישראל, </w:t>
      </w:r>
      <w:bookmarkStart w:id="35945" w:name="_ETM_Q63_713450"/>
      <w:bookmarkEnd w:id="35945"/>
      <w:r>
        <w:rPr>
          <w:rFonts w:hint="cs"/>
          <w:rtl/>
        </w:rPr>
        <w:t xml:space="preserve">שאין </w:t>
      </w:r>
      <w:bookmarkStart w:id="35946" w:name="_ETM_Q63_713779"/>
      <w:bookmarkEnd w:id="35946"/>
      <w:r>
        <w:rPr>
          <w:rFonts w:hint="cs"/>
          <w:rtl/>
        </w:rPr>
        <w:t xml:space="preserve">בה חוקה </w:t>
      </w:r>
      <w:bookmarkStart w:id="35947" w:name="_ETM_Q63_715069"/>
      <w:bookmarkEnd w:id="35947"/>
      <w:r>
        <w:rPr>
          <w:rFonts w:hint="cs"/>
          <w:rtl/>
        </w:rPr>
        <w:t>וש</w:t>
      </w:r>
      <w:bookmarkStart w:id="35948" w:name="_ETM_Q63_715370"/>
      <w:bookmarkEnd w:id="35948"/>
      <w:r>
        <w:rPr>
          <w:rFonts w:hint="cs"/>
          <w:rtl/>
        </w:rPr>
        <w:t>חוקי-</w:t>
      </w:r>
      <w:bookmarkStart w:id="35949" w:name="_ETM_Q63_715669"/>
      <w:bookmarkEnd w:id="35949"/>
      <w:r>
        <w:rPr>
          <w:rFonts w:hint="cs"/>
          <w:rtl/>
        </w:rPr>
        <w:t xml:space="preserve">היסוד </w:t>
      </w:r>
      <w:bookmarkStart w:id="35950" w:name="_ETM_Q63_716179"/>
      <w:bookmarkEnd w:id="35950"/>
      <w:r>
        <w:rPr>
          <w:rFonts w:hint="cs"/>
          <w:rtl/>
        </w:rPr>
        <w:t xml:space="preserve">בה </w:t>
      </w:r>
      <w:bookmarkStart w:id="35951" w:name="_ETM_Q63_716299"/>
      <w:bookmarkEnd w:id="35951"/>
      <w:r>
        <w:rPr>
          <w:rFonts w:hint="cs"/>
          <w:rtl/>
        </w:rPr>
        <w:t xml:space="preserve">לא </w:t>
      </w:r>
      <w:bookmarkStart w:id="35952" w:name="_ETM_Q63_716419"/>
      <w:bookmarkEnd w:id="35952"/>
      <w:r>
        <w:rPr>
          <w:rFonts w:hint="cs"/>
          <w:rtl/>
        </w:rPr>
        <w:t xml:space="preserve">הושלמו </w:t>
      </w:r>
      <w:bookmarkStart w:id="35953" w:name="_ETM_Q63_717439"/>
      <w:bookmarkEnd w:id="35953"/>
      <w:r>
        <w:rPr>
          <w:rFonts w:hint="cs"/>
          <w:rtl/>
        </w:rPr>
        <w:t xml:space="preserve">כפי </w:t>
      </w:r>
      <w:bookmarkStart w:id="35954" w:name="_ETM_Q63_717769"/>
      <w:bookmarkEnd w:id="35954"/>
      <w:r>
        <w:rPr>
          <w:rFonts w:hint="cs"/>
          <w:rtl/>
        </w:rPr>
        <w:t xml:space="preserve">שהתכוון </w:t>
      </w:r>
      <w:bookmarkStart w:id="35955" w:name="_ETM_Q63_718400"/>
      <w:bookmarkEnd w:id="35955"/>
      <w:r>
        <w:rPr>
          <w:rFonts w:hint="cs"/>
          <w:rtl/>
        </w:rPr>
        <w:t xml:space="preserve">המחוקק. </w:t>
      </w:r>
      <w:bookmarkStart w:id="35956" w:name="_ETM_Q63_720040"/>
      <w:bookmarkEnd w:id="35956"/>
      <w:r>
        <w:rPr>
          <w:rFonts w:hint="cs"/>
          <w:rtl/>
        </w:rPr>
        <w:t xml:space="preserve">זהו </w:t>
      </w:r>
      <w:bookmarkStart w:id="35957" w:name="_ETM_Q63_720280"/>
      <w:bookmarkEnd w:id="35957"/>
      <w:r>
        <w:rPr>
          <w:rFonts w:hint="cs"/>
          <w:rtl/>
        </w:rPr>
        <w:t xml:space="preserve">בדיוק </w:t>
      </w:r>
      <w:bookmarkStart w:id="35958" w:name="_ETM_Q63_720730"/>
      <w:bookmarkEnd w:id="35958"/>
      <w:r>
        <w:rPr>
          <w:rFonts w:hint="cs"/>
          <w:rtl/>
        </w:rPr>
        <w:t xml:space="preserve">המקום </w:t>
      </w:r>
      <w:bookmarkStart w:id="35959" w:name="_ETM_Q63_721239"/>
      <w:bookmarkEnd w:id="35959"/>
      <w:r w:rsidR="00924A5C">
        <w:rPr>
          <w:rFonts w:hint="cs"/>
          <w:rtl/>
        </w:rPr>
        <w:t>ש</w:t>
      </w:r>
      <w:r>
        <w:rPr>
          <w:rFonts w:hint="cs"/>
          <w:rtl/>
        </w:rPr>
        <w:t xml:space="preserve">בו </w:t>
      </w:r>
      <w:bookmarkStart w:id="35960" w:name="_ETM_Q63_721329"/>
      <w:bookmarkEnd w:id="35960"/>
      <w:r>
        <w:rPr>
          <w:rFonts w:hint="cs"/>
          <w:rtl/>
        </w:rPr>
        <w:t xml:space="preserve">נוצר </w:t>
      </w:r>
      <w:bookmarkStart w:id="35961" w:name="_ETM_Q63_721719"/>
      <w:bookmarkEnd w:id="35961"/>
      <w:r>
        <w:rPr>
          <w:rFonts w:hint="cs"/>
          <w:rtl/>
        </w:rPr>
        <w:t xml:space="preserve">הווקום </w:t>
      </w:r>
      <w:bookmarkStart w:id="35962" w:name="_ETM_Q63_722019"/>
      <w:bookmarkStart w:id="35963" w:name="_ETM_Q63_722290"/>
      <w:bookmarkEnd w:id="35962"/>
      <w:bookmarkEnd w:id="35963"/>
      <w:r>
        <w:rPr>
          <w:rFonts w:hint="cs"/>
          <w:rtl/>
        </w:rPr>
        <w:t xml:space="preserve">החוקתי, </w:t>
      </w:r>
      <w:bookmarkStart w:id="35964" w:name="_ETM_Q63_723330"/>
      <w:bookmarkEnd w:id="35964"/>
      <w:r>
        <w:rPr>
          <w:rFonts w:hint="cs"/>
          <w:rtl/>
        </w:rPr>
        <w:t xml:space="preserve">שמחייב </w:t>
      </w:r>
      <w:bookmarkStart w:id="35965" w:name="_ETM_Q63_724019"/>
      <w:bookmarkEnd w:id="35965"/>
      <w:r>
        <w:rPr>
          <w:rFonts w:hint="cs"/>
          <w:rtl/>
        </w:rPr>
        <w:t xml:space="preserve">הסדרה </w:t>
      </w:r>
      <w:bookmarkStart w:id="35966" w:name="_ETM_Q63_724530"/>
      <w:bookmarkEnd w:id="35966"/>
      <w:r>
        <w:rPr>
          <w:rFonts w:hint="cs"/>
          <w:rtl/>
        </w:rPr>
        <w:t xml:space="preserve">מחודשת </w:t>
      </w:r>
      <w:bookmarkStart w:id="35967" w:name="_ETM_Q63_725760"/>
      <w:bookmarkEnd w:id="35967"/>
      <w:r>
        <w:rPr>
          <w:rFonts w:hint="cs"/>
          <w:rtl/>
        </w:rPr>
        <w:t xml:space="preserve">ועדכנית </w:t>
      </w:r>
      <w:bookmarkStart w:id="35968" w:name="_ETM_Q63_727110"/>
      <w:bookmarkEnd w:id="35968"/>
      <w:r>
        <w:rPr>
          <w:rFonts w:hint="cs"/>
          <w:rtl/>
        </w:rPr>
        <w:t xml:space="preserve">של </w:t>
      </w:r>
      <w:bookmarkStart w:id="35969" w:name="_ETM_Q63_727319"/>
      <w:bookmarkEnd w:id="35969"/>
      <w:r>
        <w:rPr>
          <w:rFonts w:hint="cs"/>
          <w:rtl/>
        </w:rPr>
        <w:t xml:space="preserve">מערכות </w:t>
      </w:r>
      <w:bookmarkStart w:id="35970" w:name="_ETM_Q63_727890"/>
      <w:bookmarkEnd w:id="35970"/>
      <w:r>
        <w:rPr>
          <w:rFonts w:hint="cs"/>
          <w:rtl/>
        </w:rPr>
        <w:t xml:space="preserve">היחסים </w:t>
      </w:r>
      <w:bookmarkStart w:id="35971" w:name="_ETM_Q63_728459"/>
      <w:bookmarkEnd w:id="35971"/>
      <w:r>
        <w:rPr>
          <w:rFonts w:hint="cs"/>
          <w:rtl/>
        </w:rPr>
        <w:t xml:space="preserve">בין </w:t>
      </w:r>
      <w:bookmarkStart w:id="35972" w:name="_ETM_Q63_728610"/>
      <w:bookmarkEnd w:id="35972"/>
      <w:r>
        <w:rPr>
          <w:rFonts w:hint="cs"/>
          <w:rtl/>
        </w:rPr>
        <w:t xml:space="preserve">הרשויות </w:t>
      </w:r>
      <w:bookmarkStart w:id="35973" w:name="_ETM_Q63_729569"/>
      <w:bookmarkEnd w:id="35973"/>
      <w:r>
        <w:rPr>
          <w:rFonts w:hint="cs"/>
          <w:rtl/>
        </w:rPr>
        <w:t xml:space="preserve">– המבצעת, </w:t>
      </w:r>
      <w:bookmarkStart w:id="35974" w:name="_ETM_Q63_731040"/>
      <w:bookmarkEnd w:id="35974"/>
      <w:r>
        <w:rPr>
          <w:rFonts w:hint="cs"/>
          <w:rtl/>
        </w:rPr>
        <w:t xml:space="preserve">המחוקקת </w:t>
      </w:r>
      <w:bookmarkStart w:id="35975" w:name="_ETM_Q63_732480"/>
      <w:bookmarkEnd w:id="35975"/>
      <w:r>
        <w:rPr>
          <w:rFonts w:hint="cs"/>
          <w:rtl/>
        </w:rPr>
        <w:t xml:space="preserve">והשופטת. </w:t>
      </w:r>
      <w:bookmarkStart w:id="35976" w:name="_ETM_Q63_734620"/>
      <w:bookmarkEnd w:id="35976"/>
      <w:r>
        <w:rPr>
          <w:rFonts w:hint="cs"/>
          <w:rtl/>
        </w:rPr>
        <w:t xml:space="preserve">ישנו </w:t>
      </w:r>
      <w:bookmarkStart w:id="35977" w:name="_ETM_Q63_735040"/>
      <w:bookmarkEnd w:id="35977"/>
      <w:r>
        <w:rPr>
          <w:rFonts w:hint="cs"/>
          <w:rtl/>
        </w:rPr>
        <w:t xml:space="preserve">וקום </w:t>
      </w:r>
      <w:bookmarkStart w:id="35978" w:name="_ETM_Q63_736260"/>
      <w:bookmarkEnd w:id="35978"/>
      <w:r>
        <w:rPr>
          <w:rFonts w:hint="cs"/>
          <w:rtl/>
        </w:rPr>
        <w:t xml:space="preserve">בהגדרות, </w:t>
      </w:r>
      <w:bookmarkStart w:id="35979" w:name="_ETM_Q63_738270"/>
      <w:bookmarkEnd w:id="35979"/>
      <w:r>
        <w:rPr>
          <w:rFonts w:hint="cs"/>
          <w:rtl/>
        </w:rPr>
        <w:t xml:space="preserve">וכל </w:t>
      </w:r>
      <w:bookmarkStart w:id="35980" w:name="_ETM_Q63_738690"/>
      <w:bookmarkEnd w:id="35980"/>
      <w:r>
        <w:rPr>
          <w:rFonts w:hint="cs"/>
          <w:rtl/>
        </w:rPr>
        <w:t xml:space="preserve">אחד </w:t>
      </w:r>
      <w:bookmarkStart w:id="35981" w:name="_ETM_Q63_739050"/>
      <w:bookmarkEnd w:id="35981"/>
      <w:r>
        <w:rPr>
          <w:rFonts w:hint="cs"/>
          <w:rtl/>
        </w:rPr>
        <w:t xml:space="preserve">יכול </w:t>
      </w:r>
      <w:bookmarkStart w:id="35982" w:name="_ETM_Q63_739470"/>
      <w:bookmarkEnd w:id="35982"/>
      <w:r>
        <w:rPr>
          <w:rFonts w:hint="cs"/>
          <w:rtl/>
        </w:rPr>
        <w:t xml:space="preserve">להחליט </w:t>
      </w:r>
      <w:bookmarkStart w:id="35983" w:name="_ETM_Q63_740010"/>
      <w:bookmarkEnd w:id="35983"/>
      <w:r>
        <w:rPr>
          <w:rFonts w:hint="cs"/>
          <w:rtl/>
        </w:rPr>
        <w:t xml:space="preserve">מה </w:t>
      </w:r>
      <w:bookmarkStart w:id="35984" w:name="_ETM_Q63_740190"/>
      <w:bookmarkEnd w:id="35984"/>
      <w:r>
        <w:rPr>
          <w:rFonts w:hint="cs"/>
          <w:rtl/>
        </w:rPr>
        <w:t xml:space="preserve">האקטיביזם </w:t>
      </w:r>
      <w:bookmarkStart w:id="35985" w:name="_ETM_Q63_740970"/>
      <w:bookmarkEnd w:id="35985"/>
      <w:r>
        <w:rPr>
          <w:rFonts w:hint="cs"/>
          <w:rtl/>
        </w:rPr>
        <w:t xml:space="preserve">השיפוטי </w:t>
      </w:r>
      <w:bookmarkStart w:id="35986" w:name="_ETM_Q63_742230"/>
      <w:bookmarkEnd w:id="35986"/>
      <w:r>
        <w:rPr>
          <w:rFonts w:hint="cs"/>
          <w:rtl/>
        </w:rPr>
        <w:t xml:space="preserve">או </w:t>
      </w:r>
      <w:bookmarkStart w:id="35987" w:name="_ETM_Q63_742000"/>
      <w:bookmarkEnd w:id="35987"/>
      <w:r>
        <w:rPr>
          <w:rFonts w:hint="cs"/>
          <w:rtl/>
        </w:rPr>
        <w:t xml:space="preserve">האקטיביזם </w:t>
      </w:r>
      <w:bookmarkStart w:id="35988" w:name="_ETM_Q63_742860"/>
      <w:bookmarkEnd w:id="35988"/>
      <w:r>
        <w:rPr>
          <w:rFonts w:hint="cs"/>
          <w:rtl/>
        </w:rPr>
        <w:t xml:space="preserve">של </w:t>
      </w:r>
      <w:bookmarkStart w:id="35989" w:name="_ETM_Q63_743130"/>
      <w:bookmarkEnd w:id="35989"/>
      <w:r>
        <w:rPr>
          <w:rFonts w:hint="cs"/>
          <w:rtl/>
        </w:rPr>
        <w:t xml:space="preserve">הייעוץ </w:t>
      </w:r>
      <w:bookmarkStart w:id="35990" w:name="_ETM_Q63_743400"/>
      <w:bookmarkEnd w:id="35990"/>
      <w:r>
        <w:rPr>
          <w:rFonts w:hint="cs"/>
          <w:rtl/>
        </w:rPr>
        <w:t xml:space="preserve">המשפטי. </w:t>
      </w:r>
      <w:bookmarkStart w:id="35991" w:name="_ETM_Q63_744510"/>
      <w:bookmarkEnd w:id="35991"/>
      <w:r>
        <w:rPr>
          <w:rFonts w:hint="cs"/>
          <w:rtl/>
        </w:rPr>
        <w:t xml:space="preserve">אבל </w:t>
      </w:r>
      <w:bookmarkStart w:id="35992" w:name="_ETM_Q63_744690"/>
      <w:bookmarkEnd w:id="35992"/>
      <w:r>
        <w:rPr>
          <w:rFonts w:hint="cs"/>
          <w:rtl/>
        </w:rPr>
        <w:t xml:space="preserve">פה </w:t>
      </w:r>
      <w:bookmarkStart w:id="35993" w:name="_ETM_Q63_744870"/>
      <w:bookmarkStart w:id="35994" w:name="_ETM_Q63_745140"/>
      <w:bookmarkEnd w:id="35993"/>
      <w:bookmarkEnd w:id="35994"/>
      <w:r>
        <w:rPr>
          <w:rFonts w:hint="cs"/>
          <w:rtl/>
        </w:rPr>
        <w:t xml:space="preserve">אנחנו </w:t>
      </w:r>
      <w:bookmarkStart w:id="35995" w:name="_ETM_Q63_745440"/>
      <w:bookmarkEnd w:id="35995"/>
      <w:r>
        <w:rPr>
          <w:rFonts w:hint="cs"/>
          <w:rtl/>
        </w:rPr>
        <w:t xml:space="preserve">רואים </w:t>
      </w:r>
      <w:bookmarkStart w:id="35996" w:name="_ETM_Q63_745710"/>
      <w:bookmarkEnd w:id="35996"/>
      <w:r>
        <w:rPr>
          <w:rFonts w:hint="cs"/>
          <w:rtl/>
        </w:rPr>
        <w:t>עכשיו אקטיבי</w:t>
      </w:r>
      <w:r w:rsidR="00924A5C">
        <w:rPr>
          <w:rFonts w:hint="cs"/>
          <w:rtl/>
        </w:rPr>
        <w:t>ז</w:t>
      </w:r>
      <w:r>
        <w:rPr>
          <w:rFonts w:hint="cs"/>
          <w:rtl/>
        </w:rPr>
        <w:t xml:space="preserve">ם </w:t>
      </w:r>
      <w:bookmarkStart w:id="35997" w:name="_ETM_Q63_746550"/>
      <w:bookmarkEnd w:id="35997"/>
      <w:r>
        <w:rPr>
          <w:rFonts w:hint="cs"/>
          <w:rtl/>
        </w:rPr>
        <w:t xml:space="preserve">ממשלתי, ריצה קדימה, ריצת אמוק </w:t>
      </w:r>
      <w:bookmarkStart w:id="35998" w:name="_ETM_Q63_750190"/>
      <w:bookmarkEnd w:id="35998"/>
      <w:r>
        <w:rPr>
          <w:rFonts w:hint="cs"/>
          <w:rtl/>
        </w:rPr>
        <w:t xml:space="preserve">לא </w:t>
      </w:r>
      <w:bookmarkStart w:id="35999" w:name="_ETM_Q63_750520"/>
      <w:bookmarkEnd w:id="35999"/>
      <w:r>
        <w:rPr>
          <w:rFonts w:hint="cs"/>
          <w:rtl/>
        </w:rPr>
        <w:t xml:space="preserve">מידתית </w:t>
      </w:r>
      <w:bookmarkStart w:id="36000" w:name="_ETM_Q63_751510"/>
      <w:bookmarkEnd w:id="36000"/>
      <w:r>
        <w:rPr>
          <w:rFonts w:hint="cs"/>
          <w:rtl/>
        </w:rPr>
        <w:t xml:space="preserve">לשנות </w:t>
      </w:r>
      <w:bookmarkStart w:id="36001" w:name="_ETM_Q63_752170"/>
      <w:bookmarkEnd w:id="36001"/>
      <w:r>
        <w:rPr>
          <w:rFonts w:hint="cs"/>
          <w:rtl/>
        </w:rPr>
        <w:t xml:space="preserve">את </w:t>
      </w:r>
      <w:bookmarkStart w:id="36002" w:name="_ETM_Q63_752290"/>
      <w:bookmarkEnd w:id="36002"/>
      <w:r>
        <w:rPr>
          <w:rFonts w:hint="cs"/>
          <w:rtl/>
        </w:rPr>
        <w:t xml:space="preserve">פניה </w:t>
      </w:r>
      <w:bookmarkStart w:id="36003" w:name="_ETM_Q63_752710"/>
      <w:bookmarkEnd w:id="36003"/>
      <w:r>
        <w:rPr>
          <w:rFonts w:hint="cs"/>
          <w:rtl/>
        </w:rPr>
        <w:t xml:space="preserve">של </w:t>
      </w:r>
      <w:bookmarkStart w:id="36004" w:name="_ETM_Q63_752890"/>
      <w:bookmarkEnd w:id="36004"/>
      <w:r>
        <w:rPr>
          <w:rFonts w:hint="cs"/>
          <w:rtl/>
        </w:rPr>
        <w:t xml:space="preserve">המדינה </w:t>
      </w:r>
      <w:bookmarkStart w:id="36005" w:name="_ETM_Q63_753820"/>
      <w:bookmarkEnd w:id="36005"/>
      <w:r>
        <w:rPr>
          <w:rFonts w:hint="cs"/>
          <w:rtl/>
        </w:rPr>
        <w:t xml:space="preserve">שלא </w:t>
      </w:r>
      <w:bookmarkStart w:id="36006" w:name="_ETM_Q63_754240"/>
      <w:bookmarkEnd w:id="36006"/>
      <w:r>
        <w:rPr>
          <w:rFonts w:hint="cs"/>
          <w:rtl/>
        </w:rPr>
        <w:t xml:space="preserve">בהסכמות </w:t>
      </w:r>
      <w:bookmarkStart w:id="36007" w:name="_ETM_Q63_754960"/>
      <w:bookmarkEnd w:id="36007"/>
      <w:r>
        <w:rPr>
          <w:rFonts w:hint="cs"/>
          <w:rtl/>
        </w:rPr>
        <w:t xml:space="preserve">רחבות. </w:t>
      </w:r>
      <w:bookmarkStart w:id="36008" w:name="_ETM_Q63_757540"/>
      <w:bookmarkEnd w:id="36008"/>
      <w:r>
        <w:rPr>
          <w:rFonts w:hint="cs"/>
          <w:rtl/>
        </w:rPr>
        <w:t xml:space="preserve">ויחד </w:t>
      </w:r>
      <w:bookmarkStart w:id="36009" w:name="_ETM_Q63_758110"/>
      <w:bookmarkEnd w:id="36009"/>
      <w:r>
        <w:rPr>
          <w:rFonts w:hint="cs"/>
          <w:rtl/>
        </w:rPr>
        <w:t xml:space="preserve">עם </w:t>
      </w:r>
      <w:bookmarkStart w:id="36010" w:name="_ETM_Q63_758800"/>
      <w:bookmarkEnd w:id="36010"/>
      <w:r>
        <w:rPr>
          <w:rFonts w:hint="cs"/>
          <w:rtl/>
        </w:rPr>
        <w:t xml:space="preserve">הביקורת </w:t>
      </w:r>
      <w:bookmarkStart w:id="36011" w:name="_ETM_Q63_759400"/>
      <w:bookmarkEnd w:id="36011"/>
      <w:r>
        <w:rPr>
          <w:rFonts w:hint="cs"/>
          <w:rtl/>
        </w:rPr>
        <w:t xml:space="preserve">על </w:t>
      </w:r>
      <w:bookmarkStart w:id="36012" w:name="_ETM_Q63_759520"/>
      <w:bookmarkEnd w:id="36012"/>
      <w:r>
        <w:rPr>
          <w:rFonts w:hint="cs"/>
          <w:rtl/>
        </w:rPr>
        <w:t xml:space="preserve">אקטיביזם </w:t>
      </w:r>
      <w:bookmarkStart w:id="36013" w:name="_ETM_Q63_760090"/>
      <w:bookmarkEnd w:id="36013"/>
      <w:r>
        <w:rPr>
          <w:rFonts w:hint="cs"/>
          <w:rtl/>
        </w:rPr>
        <w:t xml:space="preserve">שיפוטי </w:t>
      </w:r>
      <w:bookmarkStart w:id="36014" w:name="_ETM_Q63_761230"/>
      <w:bookmarkEnd w:id="36014"/>
      <w:r w:rsidR="00924A5C">
        <w:rPr>
          <w:rFonts w:hint="eastAsia"/>
          <w:rtl/>
        </w:rPr>
        <w:t>–</w:t>
      </w:r>
      <w:r w:rsidR="00924A5C">
        <w:rPr>
          <w:rFonts w:hint="cs"/>
          <w:rtl/>
        </w:rPr>
        <w:t xml:space="preserve"> </w:t>
      </w:r>
      <w:r>
        <w:rPr>
          <w:rFonts w:hint="cs"/>
          <w:rtl/>
        </w:rPr>
        <w:t xml:space="preserve">מנגד </w:t>
      </w:r>
      <w:bookmarkStart w:id="36015" w:name="_ETM_Q63_761860"/>
      <w:bookmarkStart w:id="36016" w:name="_ETM_Q63_762639"/>
      <w:bookmarkEnd w:id="36015"/>
      <w:bookmarkEnd w:id="36016"/>
      <w:r>
        <w:rPr>
          <w:rFonts w:hint="cs"/>
          <w:rtl/>
        </w:rPr>
        <w:t xml:space="preserve">– איום על </w:t>
      </w:r>
      <w:bookmarkStart w:id="36017" w:name="_ETM_Q63_762820"/>
      <w:bookmarkEnd w:id="36017"/>
      <w:r>
        <w:rPr>
          <w:rFonts w:hint="cs"/>
          <w:rtl/>
        </w:rPr>
        <w:t xml:space="preserve">בג"ץ </w:t>
      </w:r>
      <w:bookmarkStart w:id="36018" w:name="_ETM_Q63_763780"/>
      <w:bookmarkEnd w:id="36018"/>
      <w:r>
        <w:rPr>
          <w:rFonts w:hint="cs"/>
          <w:rtl/>
        </w:rPr>
        <w:t xml:space="preserve">בפה </w:t>
      </w:r>
      <w:bookmarkStart w:id="36019" w:name="_ETM_Q63_764200"/>
      <w:bookmarkEnd w:id="36019"/>
      <w:r>
        <w:rPr>
          <w:rFonts w:hint="cs"/>
          <w:rtl/>
        </w:rPr>
        <w:t xml:space="preserve">מלא, </w:t>
      </w:r>
      <w:bookmarkStart w:id="36020" w:name="_ETM_Q63_765160"/>
      <w:bookmarkStart w:id="36021" w:name="_ETM_Q63_765429"/>
      <w:bookmarkEnd w:id="36020"/>
      <w:bookmarkEnd w:id="36021"/>
      <w:r>
        <w:rPr>
          <w:rFonts w:hint="cs"/>
          <w:rtl/>
        </w:rPr>
        <w:t xml:space="preserve">אם </w:t>
      </w:r>
      <w:bookmarkStart w:id="36022" w:name="_ETM_Q63_765550"/>
      <w:bookmarkEnd w:id="36022"/>
      <w:r>
        <w:rPr>
          <w:rFonts w:hint="cs"/>
          <w:rtl/>
        </w:rPr>
        <w:t>ב-</w:t>
      </w:r>
      <w:r>
        <w:t>D9</w:t>
      </w:r>
      <w:r>
        <w:rPr>
          <w:rFonts w:hint="cs"/>
          <w:rtl/>
        </w:rPr>
        <w:t xml:space="preserve">, </w:t>
      </w:r>
      <w:bookmarkStart w:id="36023" w:name="_ETM_Q63_768000"/>
      <w:bookmarkEnd w:id="36023"/>
      <w:r>
        <w:rPr>
          <w:rFonts w:hint="cs"/>
          <w:rtl/>
        </w:rPr>
        <w:t xml:space="preserve">אם </w:t>
      </w:r>
      <w:r w:rsidR="00924A5C">
        <w:rPr>
          <w:rFonts w:hint="cs"/>
          <w:rtl/>
        </w:rPr>
        <w:t>"</w:t>
      </w:r>
      <w:r>
        <w:rPr>
          <w:rFonts w:hint="cs"/>
          <w:rtl/>
        </w:rPr>
        <w:t>בר סלטים</w:t>
      </w:r>
      <w:r w:rsidR="00924A5C">
        <w:rPr>
          <w:rFonts w:hint="cs"/>
          <w:rtl/>
        </w:rPr>
        <w:t>"</w:t>
      </w:r>
      <w:r>
        <w:rPr>
          <w:rFonts w:hint="cs"/>
          <w:rtl/>
        </w:rPr>
        <w:t xml:space="preserve">, אם פיטורי יועצים משפטיים, </w:t>
      </w:r>
      <w:bookmarkStart w:id="36024" w:name="_ETM_Q63_769040"/>
      <w:bookmarkEnd w:id="36024"/>
      <w:r>
        <w:rPr>
          <w:rFonts w:hint="cs"/>
          <w:rtl/>
        </w:rPr>
        <w:t xml:space="preserve">אם </w:t>
      </w:r>
      <w:bookmarkStart w:id="36025" w:name="_ETM_Q63_771820"/>
      <w:bookmarkEnd w:id="36025"/>
      <w:r>
        <w:rPr>
          <w:rFonts w:hint="cs"/>
          <w:rtl/>
        </w:rPr>
        <w:t xml:space="preserve">פיטורים </w:t>
      </w:r>
      <w:bookmarkStart w:id="36026" w:name="_ETM_Q63_772450"/>
      <w:bookmarkEnd w:id="36026"/>
      <w:r>
        <w:rPr>
          <w:rFonts w:hint="cs"/>
          <w:rtl/>
        </w:rPr>
        <w:t xml:space="preserve">של </w:t>
      </w:r>
      <w:bookmarkStart w:id="36027" w:name="_ETM_Q63_772690"/>
      <w:bookmarkEnd w:id="36027"/>
      <w:r>
        <w:rPr>
          <w:rFonts w:hint="cs"/>
          <w:rtl/>
        </w:rPr>
        <w:t xml:space="preserve">שופטים </w:t>
      </w:r>
      <w:bookmarkStart w:id="36028" w:name="_ETM_Q63_773679"/>
      <w:bookmarkEnd w:id="36028"/>
      <w:r>
        <w:rPr>
          <w:rFonts w:hint="cs"/>
          <w:rtl/>
        </w:rPr>
        <w:t xml:space="preserve">או </w:t>
      </w:r>
      <w:bookmarkStart w:id="36029" w:name="_ETM_Q63_773860"/>
      <w:bookmarkEnd w:id="36029"/>
      <w:r>
        <w:rPr>
          <w:rFonts w:hint="cs"/>
          <w:rtl/>
        </w:rPr>
        <w:t xml:space="preserve">רמיזות </w:t>
      </w:r>
      <w:bookmarkStart w:id="36030" w:name="_ETM_Q63_774460"/>
      <w:bookmarkEnd w:id="36030"/>
      <w:r>
        <w:rPr>
          <w:rFonts w:hint="cs"/>
          <w:rtl/>
        </w:rPr>
        <w:t xml:space="preserve">שהם </w:t>
      </w:r>
      <w:bookmarkStart w:id="36031" w:name="_ETM_Q63_774670"/>
      <w:bookmarkEnd w:id="36031"/>
      <w:r>
        <w:rPr>
          <w:rFonts w:hint="cs"/>
          <w:rtl/>
        </w:rPr>
        <w:t xml:space="preserve">פוגעים </w:t>
      </w:r>
      <w:bookmarkStart w:id="36032" w:name="_ETM_Q63_775059"/>
      <w:bookmarkEnd w:id="36032"/>
      <w:r>
        <w:rPr>
          <w:rFonts w:hint="cs"/>
          <w:rtl/>
        </w:rPr>
        <w:t xml:space="preserve">בביטחון </w:t>
      </w:r>
      <w:bookmarkStart w:id="36033" w:name="_ETM_Q63_775600"/>
      <w:bookmarkEnd w:id="36033"/>
      <w:r>
        <w:rPr>
          <w:rFonts w:hint="cs"/>
          <w:rtl/>
        </w:rPr>
        <w:t xml:space="preserve">המדינה </w:t>
      </w:r>
      <w:bookmarkStart w:id="36034" w:name="_ETM_Q63_776690"/>
      <w:bookmarkEnd w:id="36034"/>
      <w:r>
        <w:rPr>
          <w:rFonts w:hint="cs"/>
          <w:rtl/>
        </w:rPr>
        <w:t xml:space="preserve">וכן </w:t>
      </w:r>
      <w:bookmarkStart w:id="36035" w:name="_ETM_Q63_777080"/>
      <w:bookmarkEnd w:id="36035"/>
      <w:r>
        <w:rPr>
          <w:rFonts w:hint="cs"/>
          <w:rtl/>
        </w:rPr>
        <w:t xml:space="preserve">על </w:t>
      </w:r>
      <w:bookmarkStart w:id="36036" w:name="_ETM_Q63_777200"/>
      <w:bookmarkEnd w:id="36036"/>
      <w:r>
        <w:rPr>
          <w:rFonts w:hint="cs"/>
          <w:rtl/>
        </w:rPr>
        <w:t xml:space="preserve">זה </w:t>
      </w:r>
      <w:bookmarkStart w:id="36037" w:name="_ETM_Q63_777380"/>
      <w:bookmarkEnd w:id="36037"/>
      <w:r>
        <w:rPr>
          <w:rFonts w:hint="cs"/>
          <w:rtl/>
        </w:rPr>
        <w:t>הדרך.</w:t>
      </w:r>
    </w:p>
    <w:p w:rsidR="00BB59CD" w:rsidRDefault="00BB59CD" w:rsidP="00BB59CD">
      <w:pPr>
        <w:rPr>
          <w:highlight w:val="yellow"/>
          <w:rtl/>
          <w:lang w:eastAsia="he-IL"/>
        </w:rPr>
      </w:pPr>
    </w:p>
    <w:p w:rsidR="00BB59CD" w:rsidRDefault="00BB59CD" w:rsidP="00273C7D">
      <w:pPr>
        <w:rPr>
          <w:rtl/>
        </w:rPr>
      </w:pPr>
      <w:bookmarkStart w:id="36038" w:name="TOR_Q64"/>
      <w:bookmarkEnd w:id="36038"/>
      <w:r>
        <w:rPr>
          <w:rFonts w:hint="cs"/>
          <w:rtl/>
        </w:rPr>
        <w:t xml:space="preserve">החוק מסר לבג"ץ סמכויות רחבות, שבמהותן גם סעד משפטי לאדם או לגוף למען </w:t>
      </w:r>
      <w:bookmarkStart w:id="36039" w:name="_ETM_Q64_189000"/>
      <w:bookmarkEnd w:id="36039"/>
      <w:r>
        <w:rPr>
          <w:rFonts w:hint="cs"/>
          <w:rtl/>
        </w:rPr>
        <w:t xml:space="preserve">צדק. לכל הצדדים הנאבקים יש מידה של צדק. על </w:t>
      </w:r>
      <w:bookmarkStart w:id="36040" w:name="_ETM_Q64_193000"/>
      <w:bookmarkEnd w:id="36040"/>
      <w:r>
        <w:rPr>
          <w:rFonts w:hint="cs"/>
          <w:rtl/>
        </w:rPr>
        <w:t>הצדק הזה אני מוסיף שברפורמה שהוצגה אנחנו עוסקים מעט</w:t>
      </w:r>
      <w:bookmarkStart w:id="36041" w:name="_ETM_Q64_197000"/>
      <w:bookmarkEnd w:id="36041"/>
      <w:r>
        <w:rPr>
          <w:rFonts w:hint="cs"/>
          <w:rtl/>
        </w:rPr>
        <w:t xml:space="preserve"> מאוד במערכת המשפט עצמה בהיבטים האישיים, הפרסונליים, של עוולות היחיד, </w:t>
      </w:r>
      <w:bookmarkStart w:id="36042" w:name="_ETM_Q64_205000"/>
      <w:bookmarkEnd w:id="36042"/>
      <w:r>
        <w:rPr>
          <w:rFonts w:hint="cs"/>
          <w:rtl/>
        </w:rPr>
        <w:t>כמו נושא הגנת החלשים והמוחלשים. הרי כלל ידוע הוא שאדם מבוסס</w:t>
      </w:r>
      <w:r w:rsidR="00273C7D">
        <w:rPr>
          <w:rFonts w:hint="cs"/>
          <w:rtl/>
        </w:rPr>
        <w:t>,</w:t>
      </w:r>
      <w:r>
        <w:rPr>
          <w:rFonts w:hint="cs"/>
          <w:rtl/>
        </w:rPr>
        <w:t xml:space="preserve"> </w:t>
      </w:r>
      <w:bookmarkStart w:id="36043" w:name="_ETM_Q64_210000"/>
      <w:bookmarkEnd w:id="36043"/>
      <w:r>
        <w:rPr>
          <w:rFonts w:hint="cs"/>
          <w:rtl/>
        </w:rPr>
        <w:t>שיעמוד למשפט בישראל עם עורך דין טוב ויקר, יביא לעצמו</w:t>
      </w:r>
      <w:bookmarkStart w:id="36044" w:name="_ETM_Q64_215000"/>
      <w:bookmarkEnd w:id="36044"/>
      <w:r>
        <w:rPr>
          <w:rFonts w:hint="cs"/>
          <w:rtl/>
        </w:rPr>
        <w:t xml:space="preserve"> תוצאה טובה. האם זה צדק? האם נוכל לחיות כל</w:t>
      </w:r>
      <w:bookmarkStart w:id="36045" w:name="_ETM_Q64_220000"/>
      <w:bookmarkEnd w:id="36045"/>
      <w:r>
        <w:rPr>
          <w:rFonts w:hint="cs"/>
          <w:rtl/>
        </w:rPr>
        <w:t xml:space="preserve"> חיינו כשכסף ועורך דין יקר הביאו צדק או הקלה </w:t>
      </w:r>
      <w:bookmarkStart w:id="36046" w:name="_ETM_Q64_224000"/>
      <w:bookmarkEnd w:id="36046"/>
      <w:r>
        <w:rPr>
          <w:rFonts w:hint="cs"/>
          <w:rtl/>
        </w:rPr>
        <w:t>למישהו, מעבירות קלות של תעבורה ועד בתי משפט</w:t>
      </w:r>
      <w:bookmarkStart w:id="36047" w:name="_ETM_Q64_230000"/>
      <w:bookmarkEnd w:id="36047"/>
      <w:r>
        <w:rPr>
          <w:rFonts w:hint="cs"/>
          <w:rtl/>
        </w:rPr>
        <w:t xml:space="preserve"> </w:t>
      </w:r>
      <w:r w:rsidR="00273C7D">
        <w:rPr>
          <w:rFonts w:hint="cs"/>
          <w:rtl/>
        </w:rPr>
        <w:t>ו</w:t>
      </w:r>
      <w:r>
        <w:rPr>
          <w:rFonts w:hint="cs"/>
          <w:rtl/>
        </w:rPr>
        <w:t>זיכוי, בגלל שיש לו עורך דין טוב</w:t>
      </w:r>
      <w:r w:rsidR="00273C7D">
        <w:rPr>
          <w:rFonts w:hint="cs"/>
          <w:rtl/>
        </w:rPr>
        <w:t>,</w:t>
      </w:r>
      <w:r>
        <w:rPr>
          <w:rFonts w:hint="cs"/>
          <w:rtl/>
        </w:rPr>
        <w:t xml:space="preserve"> בגלל כסף? האם</w:t>
      </w:r>
      <w:bookmarkStart w:id="36048" w:name="_ETM_Q64_232000"/>
      <w:bookmarkEnd w:id="36048"/>
      <w:r>
        <w:rPr>
          <w:rFonts w:hint="cs"/>
          <w:rtl/>
        </w:rPr>
        <w:t xml:space="preserve"> זאת היהדות</w:t>
      </w:r>
      <w:r w:rsidR="00273C7D">
        <w:rPr>
          <w:rFonts w:hint="cs"/>
          <w:rtl/>
        </w:rPr>
        <w:t>,</w:t>
      </w:r>
      <w:r>
        <w:rPr>
          <w:rFonts w:hint="cs"/>
          <w:rtl/>
        </w:rPr>
        <w:t xml:space="preserve"> האם זאת התורה שלנו, שכסף קונה צדק? </w:t>
      </w:r>
    </w:p>
    <w:p w:rsidR="00BB59CD" w:rsidRDefault="00BB59CD" w:rsidP="00BB59CD">
      <w:pPr>
        <w:rPr>
          <w:rtl/>
        </w:rPr>
      </w:pPr>
    </w:p>
    <w:p w:rsidR="00BB59CD" w:rsidRDefault="00BB59CD" w:rsidP="00273C7D">
      <w:pPr>
        <w:rPr>
          <w:rtl/>
        </w:rPr>
      </w:pPr>
      <w:r>
        <w:rPr>
          <w:rFonts w:hint="cs"/>
          <w:rtl/>
        </w:rPr>
        <w:t>א</w:t>
      </w:r>
      <w:bookmarkStart w:id="36049" w:name="_ETM_Q64_240000"/>
      <w:bookmarkEnd w:id="36049"/>
      <w:r>
        <w:rPr>
          <w:rFonts w:hint="cs"/>
          <w:rtl/>
        </w:rPr>
        <w:t>בל</w:t>
      </w:r>
      <w:bookmarkStart w:id="36050" w:name="_ETM_Q64_241000"/>
      <w:bookmarkEnd w:id="36050"/>
      <w:r>
        <w:rPr>
          <w:rFonts w:hint="cs"/>
          <w:rtl/>
        </w:rPr>
        <w:t xml:space="preserve"> איך זה יכול להיות שדייר בדיור הציבורי מתקשה תמיד להיות</w:t>
      </w:r>
      <w:bookmarkStart w:id="36051" w:name="_ETM_Q64_245000"/>
      <w:bookmarkEnd w:id="36051"/>
      <w:r>
        <w:rPr>
          <w:rFonts w:hint="cs"/>
          <w:rtl/>
        </w:rPr>
        <w:t xml:space="preserve"> מיוצג כי הסנגוריה הציבורית והסיוע המשפטי של משרד המשפטים </w:t>
      </w:r>
      <w:bookmarkStart w:id="36052" w:name="_ETM_Q64_250000"/>
      <w:bookmarkEnd w:id="36052"/>
      <w:r>
        <w:rPr>
          <w:rFonts w:hint="cs"/>
          <w:rtl/>
        </w:rPr>
        <w:t>לא מסוגלים להעניק את הייעוץ משפטי ואת הליווי הזה לכל אדם</w:t>
      </w:r>
      <w:bookmarkStart w:id="36053" w:name="_ETM_Q64_255000"/>
      <w:bookmarkEnd w:id="36053"/>
      <w:r>
        <w:rPr>
          <w:rFonts w:hint="cs"/>
          <w:rtl/>
        </w:rPr>
        <w:t xml:space="preserve"> שנדרש? לא כל האוכלוסיות המוחלשות מקבלות את הייצוג ואת הליווי</w:t>
      </w:r>
      <w:bookmarkStart w:id="36054" w:name="_ETM_Q64_262000"/>
      <w:bookmarkEnd w:id="36054"/>
      <w:r>
        <w:rPr>
          <w:rFonts w:hint="cs"/>
          <w:rtl/>
        </w:rPr>
        <w:t xml:space="preserve"> המשפטי הראוי. לפעמים אדם עומד עירום ובודד מול</w:t>
      </w:r>
      <w:bookmarkStart w:id="36055" w:name="_ETM_Q64_265000"/>
      <w:bookmarkEnd w:id="36055"/>
      <w:r>
        <w:rPr>
          <w:rFonts w:hint="cs"/>
          <w:rtl/>
        </w:rPr>
        <w:t xml:space="preserve"> מערכת המשפט. </w:t>
      </w:r>
    </w:p>
    <w:p w:rsidR="00BB59CD" w:rsidRDefault="00BB59CD" w:rsidP="00BB59CD">
      <w:pPr>
        <w:rPr>
          <w:rtl/>
        </w:rPr>
      </w:pPr>
    </w:p>
    <w:p w:rsidR="00BB59CD" w:rsidRDefault="00BB59CD" w:rsidP="006132D6">
      <w:pPr>
        <w:rPr>
          <w:rtl/>
        </w:rPr>
      </w:pPr>
      <w:bookmarkStart w:id="36056" w:name="_ETM_Q64_269000"/>
      <w:bookmarkEnd w:id="36056"/>
      <w:r>
        <w:rPr>
          <w:rFonts w:hint="cs"/>
          <w:rtl/>
        </w:rPr>
        <w:t>אימא שלי, עליה השלום, זומנה לבית דין על</w:t>
      </w:r>
      <w:bookmarkStart w:id="36057" w:name="_ETM_Q64_274000"/>
      <w:bookmarkEnd w:id="36057"/>
      <w:r>
        <w:rPr>
          <w:rFonts w:hint="cs"/>
          <w:rtl/>
        </w:rPr>
        <w:t xml:space="preserve"> ידי עמידר ולא היה לה כסף לעורך דין. אמרו</w:t>
      </w:r>
      <w:bookmarkStart w:id="36058" w:name="_ETM_Q64_279000"/>
      <w:bookmarkEnd w:id="36058"/>
      <w:r>
        <w:rPr>
          <w:rFonts w:hint="cs"/>
          <w:rtl/>
        </w:rPr>
        <w:t xml:space="preserve"> לה: אנחנו נתבע אותך, כסף. תדע לך, 16,000 </w:t>
      </w:r>
      <w:r w:rsidR="00273C7D">
        <w:rPr>
          <w:rFonts w:hint="cs"/>
          <w:rtl/>
        </w:rPr>
        <w:t>מה</w:t>
      </w:r>
      <w:r>
        <w:rPr>
          <w:rFonts w:hint="cs"/>
          <w:rtl/>
        </w:rPr>
        <w:t>דיי</w:t>
      </w:r>
      <w:bookmarkStart w:id="36059" w:name="_ETM_Q64_286000"/>
      <w:bookmarkEnd w:id="36059"/>
      <w:r>
        <w:rPr>
          <w:rFonts w:hint="cs"/>
          <w:rtl/>
        </w:rPr>
        <w:t>רים בדיור ציבורי, שזה שליש מהדיור הציבורי, עם חובות, חובות</w:t>
      </w:r>
      <w:bookmarkStart w:id="36060" w:name="_ETM_Q64_291000"/>
      <w:bookmarkEnd w:id="36060"/>
      <w:r>
        <w:rPr>
          <w:rFonts w:hint="cs"/>
          <w:rtl/>
        </w:rPr>
        <w:t xml:space="preserve"> למדינה. תראה כמה אפשר לעשות להם עיקולים, לעניים ביותר </w:t>
      </w:r>
      <w:r w:rsidR="006132D6">
        <w:rPr>
          <w:rFonts w:hint="eastAsia"/>
          <w:rtl/>
        </w:rPr>
        <w:t>–</w:t>
      </w:r>
      <w:r w:rsidR="006132D6">
        <w:rPr>
          <w:rFonts w:hint="cs"/>
          <w:rtl/>
        </w:rPr>
        <w:t xml:space="preserve"> </w:t>
      </w:r>
      <w:r>
        <w:rPr>
          <w:rFonts w:hint="cs"/>
          <w:rtl/>
        </w:rPr>
        <w:t>יש</w:t>
      </w:r>
      <w:bookmarkStart w:id="36061" w:name="_ETM_Q64_298000"/>
      <w:bookmarkEnd w:id="36061"/>
      <w:r>
        <w:rPr>
          <w:rFonts w:hint="cs"/>
          <w:rtl/>
        </w:rPr>
        <w:t xml:space="preserve"> להם חובות</w:t>
      </w:r>
      <w:r w:rsidR="006132D6">
        <w:rPr>
          <w:rFonts w:hint="cs"/>
          <w:rtl/>
        </w:rPr>
        <w:t xml:space="preserve"> </w:t>
      </w:r>
      <w:r w:rsidR="006132D6">
        <w:rPr>
          <w:rFonts w:hint="eastAsia"/>
          <w:rtl/>
        </w:rPr>
        <w:t>–</w:t>
      </w:r>
      <w:r w:rsidR="006132D6">
        <w:rPr>
          <w:rFonts w:hint="cs"/>
          <w:rtl/>
        </w:rPr>
        <w:t xml:space="preserve"> </w:t>
      </w:r>
      <w:r>
        <w:rPr>
          <w:rFonts w:hint="cs"/>
          <w:rtl/>
        </w:rPr>
        <w:t>לפעמים בשרירות לב, לפעמים מייקרים להם את שכר</w:t>
      </w:r>
      <w:bookmarkStart w:id="36062" w:name="_ETM_Q64_301000"/>
      <w:bookmarkEnd w:id="36062"/>
      <w:r>
        <w:rPr>
          <w:rFonts w:hint="cs"/>
          <w:rtl/>
        </w:rPr>
        <w:t xml:space="preserve"> הדירה. אז איימו עליה בשנות השמונים והיא הלכה לבית משפט.</w:t>
      </w:r>
      <w:bookmarkStart w:id="36063" w:name="_ETM_Q64_308000"/>
      <w:bookmarkEnd w:id="36063"/>
      <w:r>
        <w:rPr>
          <w:rFonts w:hint="cs"/>
          <w:rtl/>
        </w:rPr>
        <w:t xml:space="preserve"> היא אמרה לשופט: כבוד השופט,</w:t>
      </w:r>
      <w:r>
        <w:rPr>
          <w:rFonts w:hint="cs"/>
        </w:rPr>
        <w:t xml:space="preserve"> </w:t>
      </w:r>
      <w:r>
        <w:rPr>
          <w:rFonts w:hint="cs"/>
          <w:rtl/>
        </w:rPr>
        <w:t>יש לי תשעה ילדים, גרתי</w:t>
      </w:r>
      <w:bookmarkStart w:id="36064" w:name="_ETM_Q64_312000"/>
      <w:bookmarkEnd w:id="36064"/>
      <w:r>
        <w:rPr>
          <w:rFonts w:hint="cs"/>
          <w:rtl/>
        </w:rPr>
        <w:t xml:space="preserve"> שנתיים במעברה, 15 שנה בדירה של 50 מטר עם תשעה ילדים </w:t>
      </w:r>
      <w:bookmarkStart w:id="36065" w:name="_ETM_Q64_317000"/>
      <w:bookmarkEnd w:id="36065"/>
      <w:r>
        <w:rPr>
          <w:rFonts w:hint="cs"/>
          <w:rtl/>
        </w:rPr>
        <w:t>וסבא, 12 נפשות. העבירו אותי לבית – היו בו שלושה חדרים.</w:t>
      </w:r>
      <w:bookmarkStart w:id="36066" w:name="_ETM_Q64_322000"/>
      <w:bookmarkEnd w:id="36066"/>
      <w:r>
        <w:rPr>
          <w:rFonts w:hint="cs"/>
          <w:rtl/>
        </w:rPr>
        <w:t xml:space="preserve"> העבירו אותי לבית – היו בו שלושה חדרים. נראה לך הגיוני?</w:t>
      </w:r>
      <w:bookmarkStart w:id="36067" w:name="_ETM_Q64_326000"/>
      <w:bookmarkEnd w:id="36067"/>
      <w:r>
        <w:rPr>
          <w:rFonts w:hint="cs"/>
          <w:rtl/>
        </w:rPr>
        <w:t xml:space="preserve"> השופט אמר: חבר'ה, תוסיפו לה שני חדרים. מסעודה</w:t>
      </w:r>
      <w:bookmarkStart w:id="36068" w:name="_ETM_Q64_332000"/>
      <w:bookmarkEnd w:id="36068"/>
      <w:r>
        <w:rPr>
          <w:rFonts w:hint="cs"/>
          <w:rtl/>
        </w:rPr>
        <w:t xml:space="preserve"> ביטון ייצגה את עצמה, אבל זה הצדק בישראל, שאדם ילך </w:t>
      </w:r>
      <w:bookmarkStart w:id="36069" w:name="_ETM_Q64_337000"/>
      <w:bookmarkEnd w:id="36069"/>
      <w:r>
        <w:rPr>
          <w:rFonts w:hint="cs"/>
          <w:rtl/>
        </w:rPr>
        <w:t xml:space="preserve">ויעמוד לבד מול מערכת המשפט? </w:t>
      </w:r>
    </w:p>
    <w:p w:rsidR="00BB59CD" w:rsidRDefault="00BB59CD" w:rsidP="00BB59CD">
      <w:pPr>
        <w:rPr>
          <w:rtl/>
        </w:rPr>
      </w:pPr>
    </w:p>
    <w:p w:rsidR="00BB59CD" w:rsidRDefault="00BB59CD" w:rsidP="006132D6">
      <w:pPr>
        <w:rPr>
          <w:rtl/>
        </w:rPr>
      </w:pPr>
      <w:bookmarkStart w:id="36070" w:name="_ETM_Q64_339000"/>
      <w:bookmarkEnd w:id="36070"/>
      <w:r>
        <w:rPr>
          <w:rFonts w:hint="cs"/>
          <w:rtl/>
        </w:rPr>
        <w:t>מתקיימות עוולות במערכת המשפט הישראלית</w:t>
      </w:r>
      <w:bookmarkStart w:id="36071" w:name="_ETM_Q64_343000"/>
      <w:bookmarkEnd w:id="36071"/>
      <w:r>
        <w:rPr>
          <w:rFonts w:hint="cs"/>
          <w:rtl/>
        </w:rPr>
        <w:t>, ובהן עינויי דין, משך הזמן עד להגשת כתב האישום. משפט</w:t>
      </w:r>
      <w:bookmarkStart w:id="36072" w:name="_ETM_Q64_349000"/>
      <w:bookmarkEnd w:id="36072"/>
      <w:r>
        <w:rPr>
          <w:rFonts w:hint="cs"/>
          <w:rtl/>
        </w:rPr>
        <w:t xml:space="preserve"> יכול להתנהל שנים רבות מדי, ו</w:t>
      </w:r>
      <w:r w:rsidR="006132D6">
        <w:rPr>
          <w:rFonts w:hint="cs"/>
          <w:rtl/>
        </w:rPr>
        <w:t>זה</w:t>
      </w:r>
      <w:r>
        <w:rPr>
          <w:rFonts w:hint="cs"/>
          <w:rtl/>
        </w:rPr>
        <w:t xml:space="preserve"> בוודאי לא ביטוי</w:t>
      </w:r>
      <w:bookmarkStart w:id="36073" w:name="_ETM_Q64_353000"/>
      <w:bookmarkEnd w:id="36073"/>
      <w:r>
        <w:rPr>
          <w:rFonts w:hint="cs"/>
          <w:rtl/>
        </w:rPr>
        <w:t xml:space="preserve"> לצדק יהודי. האם צדק יכול להיות שהכרע</w:t>
      </w:r>
      <w:r w:rsidR="006132D6">
        <w:rPr>
          <w:rFonts w:hint="cs"/>
          <w:rtl/>
        </w:rPr>
        <w:t>ה</w:t>
      </w:r>
      <w:r>
        <w:rPr>
          <w:rFonts w:hint="cs"/>
          <w:rtl/>
        </w:rPr>
        <w:t xml:space="preserve"> </w:t>
      </w:r>
      <w:r w:rsidR="006132D6">
        <w:rPr>
          <w:rFonts w:hint="cs"/>
          <w:rtl/>
        </w:rPr>
        <w:t>ב</w:t>
      </w:r>
      <w:r>
        <w:rPr>
          <w:rFonts w:hint="cs"/>
          <w:rtl/>
        </w:rPr>
        <w:t xml:space="preserve">תביעה </w:t>
      </w:r>
      <w:bookmarkStart w:id="36074" w:name="_ETM_Q64_355000"/>
      <w:bookmarkEnd w:id="36074"/>
      <w:r>
        <w:rPr>
          <w:rFonts w:hint="cs"/>
          <w:rtl/>
        </w:rPr>
        <w:t xml:space="preserve">אזרחית תהיה אחרי 15 שנה, ואותו אדם יכול לקרוס </w:t>
      </w:r>
      <w:bookmarkStart w:id="36075" w:name="_ETM_Q64_360000"/>
      <w:bookmarkEnd w:id="36075"/>
      <w:r>
        <w:rPr>
          <w:rFonts w:hint="cs"/>
          <w:rtl/>
        </w:rPr>
        <w:t>כלכלית 15 שנה בניהול המשפט שלו? יש כל כך</w:t>
      </w:r>
      <w:bookmarkStart w:id="36076" w:name="_ETM_Q64_365000"/>
      <w:bookmarkEnd w:id="36076"/>
      <w:r>
        <w:rPr>
          <w:rFonts w:hint="cs"/>
          <w:rtl/>
        </w:rPr>
        <w:t xml:space="preserve"> הרבה מה לתקן במערכת המשפט, ואנחנו צריכים לתקן, אבל בואו</w:t>
      </w:r>
      <w:bookmarkStart w:id="36077" w:name="_ETM_Q64_374000"/>
      <w:bookmarkEnd w:id="36077"/>
      <w:r>
        <w:rPr>
          <w:rFonts w:hint="cs"/>
          <w:rtl/>
        </w:rPr>
        <w:t xml:space="preserve"> נעשה את זה בהסכמה, בואו נעשה את זה בכבוד. </w:t>
      </w:r>
      <w:bookmarkStart w:id="36078" w:name="_ETM_Q64_379000"/>
      <w:bookmarkEnd w:id="36078"/>
      <w:r>
        <w:rPr>
          <w:rFonts w:hint="cs"/>
          <w:rtl/>
        </w:rPr>
        <w:t>אנחנו מבינים שיש מה לתקן</w:t>
      </w:r>
      <w:r w:rsidR="006132D6">
        <w:rPr>
          <w:rFonts w:hint="cs"/>
          <w:rtl/>
        </w:rPr>
        <w:t>,</w:t>
      </w:r>
      <w:r>
        <w:rPr>
          <w:rFonts w:hint="cs"/>
          <w:rtl/>
        </w:rPr>
        <w:t xml:space="preserve"> אנחנו לא אומרים לכם</w:t>
      </w:r>
      <w:bookmarkStart w:id="36079" w:name="_ETM_Q64_380000"/>
      <w:bookmarkEnd w:id="36079"/>
      <w:r>
        <w:rPr>
          <w:rFonts w:hint="cs"/>
          <w:rtl/>
        </w:rPr>
        <w:t xml:space="preserve"> את זה כמניפולציה. אנחנו אומרים לכם</w:t>
      </w:r>
      <w:r w:rsidR="006132D6">
        <w:rPr>
          <w:rFonts w:hint="cs"/>
          <w:rtl/>
        </w:rPr>
        <w:t>:</w:t>
      </w:r>
      <w:r>
        <w:rPr>
          <w:rFonts w:hint="cs"/>
          <w:rtl/>
        </w:rPr>
        <w:t xml:space="preserve"> יש מה לתקן, בואו </w:t>
      </w:r>
      <w:bookmarkStart w:id="36080" w:name="_ETM_Q64_384000"/>
      <w:bookmarkEnd w:id="36080"/>
      <w:r>
        <w:rPr>
          <w:rFonts w:hint="cs"/>
          <w:rtl/>
        </w:rPr>
        <w:t>נלך ביחד לתיקון הזה. גם בעילת הסבירות – רוצים לנסח דבר</w:t>
      </w:r>
      <w:bookmarkStart w:id="36081" w:name="_ETM_Q64_389000"/>
      <w:bookmarkEnd w:id="36081"/>
      <w:r>
        <w:rPr>
          <w:rFonts w:hint="cs"/>
          <w:rtl/>
        </w:rPr>
        <w:t xml:space="preserve"> מידתי, שלא מבטל את העילה הזאת אבל מתקן אותה </w:t>
      </w:r>
      <w:r w:rsidR="006132D6">
        <w:rPr>
          <w:rFonts w:hint="cs"/>
          <w:rtl/>
        </w:rPr>
        <w:t>ב</w:t>
      </w:r>
      <w:r>
        <w:rPr>
          <w:rFonts w:hint="cs"/>
          <w:rtl/>
        </w:rPr>
        <w:t xml:space="preserve">מידתיות? </w:t>
      </w:r>
      <w:bookmarkStart w:id="36082" w:name="_ETM_Q64_395000"/>
      <w:bookmarkEnd w:id="36082"/>
      <w:r>
        <w:rPr>
          <w:rFonts w:hint="cs"/>
          <w:rtl/>
        </w:rPr>
        <w:t xml:space="preserve">בואו נעשה את זה. </w:t>
      </w:r>
    </w:p>
    <w:p w:rsidR="00BB59CD" w:rsidRDefault="00BB59CD" w:rsidP="00BB59CD">
      <w:pPr>
        <w:rPr>
          <w:rtl/>
        </w:rPr>
      </w:pPr>
    </w:p>
    <w:p w:rsidR="00BB59CD" w:rsidRDefault="00BB59CD" w:rsidP="00BB59CD">
      <w:pPr>
        <w:rPr>
          <w:rtl/>
        </w:rPr>
      </w:pPr>
      <w:bookmarkStart w:id="36083" w:name="_ETM_Q64_398000"/>
      <w:bookmarkEnd w:id="36083"/>
      <w:r>
        <w:rPr>
          <w:rFonts w:hint="cs"/>
          <w:rtl/>
        </w:rPr>
        <w:t>בשעתה הקשה של החברה הישראלית נכון</w:t>
      </w:r>
      <w:bookmarkStart w:id="36084" w:name="_ETM_Q64_403000"/>
      <w:bookmarkEnd w:id="36084"/>
      <w:r>
        <w:rPr>
          <w:rFonts w:hint="cs"/>
          <w:rtl/>
        </w:rPr>
        <w:t xml:space="preserve"> היה להקשיב לקולות, לקולות כל הצדדים, ולעצור. חייבים לבלום את</w:t>
      </w:r>
      <w:bookmarkStart w:id="36085" w:name="_ETM_Q64_410000"/>
      <w:bookmarkEnd w:id="36085"/>
      <w:r>
        <w:rPr>
          <w:rFonts w:hint="cs"/>
          <w:rtl/>
        </w:rPr>
        <w:t xml:space="preserve"> השנאה בעם, את חוסר היכולת להקשיב, את חוסר היכולת להגיע</w:t>
      </w:r>
      <w:bookmarkStart w:id="36086" w:name="_ETM_Q64_418000"/>
      <w:bookmarkEnd w:id="36086"/>
      <w:r>
        <w:rPr>
          <w:rFonts w:hint="cs"/>
          <w:rtl/>
        </w:rPr>
        <w:t xml:space="preserve"> להסכמה – דוידסון, אתה צריך לדבר בלחש. אתה לבד ושומעים אותך. </w:t>
      </w:r>
      <w:bookmarkStart w:id="36087" w:name="_ETM_Q64_424000"/>
      <w:bookmarkEnd w:id="36087"/>
    </w:p>
    <w:p w:rsidR="00BB59CD" w:rsidRDefault="00BB59CD" w:rsidP="00BB59CD">
      <w:pPr>
        <w:rPr>
          <w:rtl/>
        </w:rPr>
      </w:pPr>
      <w:bookmarkStart w:id="36088" w:name="_ETM_Q64_327000"/>
      <w:bookmarkEnd w:id="36088"/>
    </w:p>
    <w:p w:rsidR="00BB59CD" w:rsidRDefault="00BB59CD" w:rsidP="00BB59CD">
      <w:pPr>
        <w:pStyle w:val="af8"/>
        <w:keepNext/>
        <w:rPr>
          <w:rtl/>
        </w:rPr>
      </w:pPr>
      <w:bookmarkStart w:id="36089" w:name="ET_interruption_6255_2"/>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6089"/>
    </w:p>
    <w:p w:rsidR="00BB59CD" w:rsidRDefault="00BB59CD" w:rsidP="00337201">
      <w:pPr>
        <w:rPr>
          <w:rtl/>
        </w:rPr>
      </w:pPr>
    </w:p>
    <w:p w:rsidR="00BB59CD" w:rsidRDefault="00BB59CD" w:rsidP="00BB59CD">
      <w:pPr>
        <w:rPr>
          <w:rtl/>
        </w:rPr>
      </w:pPr>
      <w:bookmarkStart w:id="36090" w:name="_ETM_Q64_174000"/>
      <w:bookmarkEnd w:id="36090"/>
      <w:r>
        <w:rPr>
          <w:rFonts w:hint="cs"/>
          <w:rtl/>
        </w:rPr>
        <w:t>סליחה, מחילה.</w:t>
      </w:r>
    </w:p>
    <w:p w:rsidR="00BB59CD" w:rsidRDefault="00BB59CD" w:rsidP="00BB59CD">
      <w:pPr>
        <w:rPr>
          <w:rtl/>
        </w:rPr>
      </w:pPr>
      <w:bookmarkStart w:id="36091" w:name="_ETM_Q64_429000"/>
      <w:bookmarkEnd w:id="36091"/>
    </w:p>
    <w:p w:rsidR="00BB59CD" w:rsidRDefault="00BB59CD" w:rsidP="00BB59CD">
      <w:pPr>
        <w:pStyle w:val="-"/>
        <w:keepNext/>
        <w:rPr>
          <w:rtl/>
        </w:rPr>
      </w:pPr>
      <w:bookmarkStart w:id="36092" w:name="ET_speakercontinue_5765_3"/>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36092"/>
    </w:p>
    <w:p w:rsidR="00BB59CD" w:rsidRDefault="00BB59CD" w:rsidP="00337201">
      <w:pPr>
        <w:rPr>
          <w:rtl/>
        </w:rPr>
      </w:pPr>
    </w:p>
    <w:p w:rsidR="00BB59CD" w:rsidRDefault="00BB59CD" w:rsidP="00BB59CD">
      <w:pPr>
        <w:rPr>
          <w:rtl/>
        </w:rPr>
      </w:pPr>
      <w:bookmarkStart w:id="36093" w:name="_ETM_Q64_427000"/>
      <w:bookmarkEnd w:id="36093"/>
      <w:r>
        <w:rPr>
          <w:rFonts w:hint="cs"/>
          <w:rtl/>
        </w:rPr>
        <w:t>חייבים לבלום את השנאה בעם, את חוסר היכולת להקשיב,</w:t>
      </w:r>
      <w:bookmarkStart w:id="36094" w:name="_ETM_Q64_435000"/>
      <w:bookmarkEnd w:id="36094"/>
      <w:r>
        <w:rPr>
          <w:rFonts w:hint="cs"/>
          <w:rtl/>
        </w:rPr>
        <w:t xml:space="preserve"> את חוסר היכולת להגיע להסכמה. חייבים להסיר מסדר-היום את הנושא </w:t>
      </w:r>
      <w:bookmarkStart w:id="36095" w:name="_ETM_Q64_439000"/>
      <w:bookmarkEnd w:id="36095"/>
      <w:r>
        <w:rPr>
          <w:rFonts w:hint="cs"/>
          <w:rtl/>
        </w:rPr>
        <w:t>הכל-כך מפלג הזה, נושא שבמידה מסוימת הרס את כל</w:t>
      </w:r>
      <w:bookmarkStart w:id="36096" w:name="_ETM_Q64_443000"/>
      <w:bookmarkEnd w:id="36096"/>
      <w:r>
        <w:rPr>
          <w:rFonts w:hint="cs"/>
          <w:rtl/>
        </w:rPr>
        <w:t xml:space="preserve"> המערכת במדינה בחודשים האחרונים, שקרע בתים, משפחות, יחידות צבאיות - - </w:t>
      </w:r>
    </w:p>
    <w:p w:rsidR="00BB59CD" w:rsidRDefault="00BB59CD" w:rsidP="00BB59CD">
      <w:pPr>
        <w:rPr>
          <w:rtl/>
        </w:rPr>
      </w:pPr>
      <w:bookmarkStart w:id="36097" w:name="_ETM_Q64_452000"/>
      <w:bookmarkEnd w:id="36097"/>
    </w:p>
    <w:p w:rsidR="00BB59CD" w:rsidRDefault="00BB59CD" w:rsidP="00BB59CD">
      <w:pPr>
        <w:pStyle w:val="af8"/>
        <w:keepNext/>
        <w:rPr>
          <w:rtl/>
        </w:rPr>
      </w:pPr>
      <w:bookmarkStart w:id="36098" w:name="ET_interruption_6359_4"/>
      <w:r>
        <w:rPr>
          <w:rStyle w:val="TagStyle"/>
          <w:rFonts w:hint="cs"/>
          <w:rtl/>
        </w:rPr>
        <w:t xml:space="preserve"> &lt;&lt; קריאה &gt;&gt; </w:t>
      </w:r>
      <w:r>
        <w:rPr>
          <w:rFonts w:hint="cs"/>
          <w:rtl/>
        </w:rPr>
        <w:t>מטי צרפתי הרכבי (יש עתיד):</w:t>
      </w:r>
      <w:r>
        <w:rPr>
          <w:rStyle w:val="TagStyle"/>
          <w:rtl/>
        </w:rPr>
        <w:t xml:space="preserve"> &lt;&lt; קריאה &gt;&gt;</w:t>
      </w:r>
      <w:r>
        <w:rPr>
          <w:rFonts w:hint="cs"/>
          <w:rtl/>
        </w:rPr>
        <w:t xml:space="preserve">   </w:t>
      </w:r>
      <w:bookmarkEnd w:id="36098"/>
    </w:p>
    <w:p w:rsidR="00BB59CD" w:rsidRDefault="00BB59CD" w:rsidP="00337201">
      <w:pPr>
        <w:rPr>
          <w:rtl/>
        </w:rPr>
      </w:pPr>
    </w:p>
    <w:p w:rsidR="00BB59CD" w:rsidRDefault="00BB59CD" w:rsidP="00BB59CD">
      <w:pPr>
        <w:rPr>
          <w:rtl/>
        </w:rPr>
      </w:pPr>
      <w:bookmarkStart w:id="36099" w:name="_ETM_Q64_455000"/>
      <w:bookmarkEnd w:id="36099"/>
      <w:r>
        <w:rPr>
          <w:rFonts w:hint="cs"/>
          <w:rtl/>
        </w:rPr>
        <w:t xml:space="preserve">תמתין לשרה, היא לא מכבדת אותך בנוכחותה. אני </w:t>
      </w:r>
      <w:bookmarkStart w:id="36100" w:name="_ETM_Q64_456000"/>
      <w:bookmarkEnd w:id="36100"/>
      <w:r>
        <w:rPr>
          <w:rFonts w:hint="cs"/>
          <w:rtl/>
        </w:rPr>
        <w:t>מקשיבה לך - - -</w:t>
      </w:r>
    </w:p>
    <w:p w:rsidR="00BB59CD" w:rsidRDefault="00BB59CD" w:rsidP="00BB59CD">
      <w:pPr>
        <w:rPr>
          <w:rtl/>
        </w:rPr>
      </w:pPr>
      <w:bookmarkStart w:id="36101" w:name="_ETM_Q64_458000"/>
      <w:bookmarkEnd w:id="36101"/>
    </w:p>
    <w:p w:rsidR="00BB59CD" w:rsidRDefault="00BB59CD" w:rsidP="00BB59CD">
      <w:pPr>
        <w:pStyle w:val="-"/>
        <w:keepNext/>
        <w:rPr>
          <w:rtl/>
        </w:rPr>
      </w:pPr>
      <w:bookmarkStart w:id="36102" w:name="ET_speakercontinue_5765_5"/>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36102"/>
    </w:p>
    <w:p w:rsidR="00BB59CD" w:rsidRDefault="00BB59CD" w:rsidP="00337201">
      <w:pPr>
        <w:rPr>
          <w:rtl/>
        </w:rPr>
      </w:pPr>
    </w:p>
    <w:p w:rsidR="00BB59CD" w:rsidRDefault="00BB59CD" w:rsidP="00BB59CD">
      <w:pPr>
        <w:rPr>
          <w:rtl/>
        </w:rPr>
      </w:pPr>
      <w:r>
        <w:rPr>
          <w:rFonts w:hint="cs"/>
          <w:rtl/>
        </w:rPr>
        <w:t>לי מספיק יושב-ראש הכנסת, אבל הוא</w:t>
      </w:r>
      <w:bookmarkStart w:id="36103" w:name="_ETM_Q64_461000"/>
      <w:bookmarkEnd w:id="36103"/>
      <w:r>
        <w:rPr>
          <w:rFonts w:hint="cs"/>
          <w:rtl/>
        </w:rPr>
        <w:t xml:space="preserve"> יחליט.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bookmarkStart w:id="36104" w:name="_ETM_Q64_459000"/>
      <w:bookmarkEnd w:id="36104"/>
    </w:p>
    <w:p w:rsidR="00BB59CD" w:rsidRDefault="00BB59CD" w:rsidP="00BB59CD">
      <w:pPr>
        <w:rPr>
          <w:rtl/>
          <w:lang w:eastAsia="he-IL"/>
        </w:rPr>
      </w:pPr>
      <w:bookmarkStart w:id="36105" w:name="_ETM_Q64_460000"/>
      <w:bookmarkEnd w:id="36105"/>
      <w:r>
        <w:rPr>
          <w:rFonts w:hint="cs"/>
          <w:rtl/>
          <w:lang w:eastAsia="he-IL"/>
        </w:rPr>
        <w:t xml:space="preserve">נא לקרוא לשרה, בבקשה. </w:t>
      </w:r>
    </w:p>
    <w:p w:rsidR="00BB59CD" w:rsidRDefault="00BB59CD" w:rsidP="00337201">
      <w:pPr>
        <w:rPr>
          <w:rtl/>
        </w:rPr>
      </w:pPr>
    </w:p>
    <w:p w:rsidR="00BB59CD" w:rsidRDefault="00BB59CD" w:rsidP="00BB59CD">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6132D6" w:rsidP="006132D6">
      <w:pPr>
        <w:rPr>
          <w:rtl/>
          <w:lang w:eastAsia="he-IL"/>
        </w:rPr>
      </w:pPr>
      <w:r>
        <w:rPr>
          <w:rFonts w:hint="cs"/>
          <w:rtl/>
          <w:lang w:eastAsia="he-IL"/>
        </w:rPr>
        <w:t>הנ</w:t>
      </w:r>
      <w:r w:rsidR="00BB59CD">
        <w:rPr>
          <w:rFonts w:hint="cs"/>
          <w:rtl/>
          <w:lang w:eastAsia="he-IL"/>
        </w:rPr>
        <w:t xml:space="preserve">ושא </w:t>
      </w:r>
      <w:r>
        <w:rPr>
          <w:rFonts w:hint="cs"/>
          <w:rtl/>
          <w:lang w:eastAsia="he-IL"/>
        </w:rPr>
        <w:t xml:space="preserve">הזה </w:t>
      </w:r>
      <w:r w:rsidR="00BB59CD">
        <w:rPr>
          <w:rFonts w:hint="cs"/>
          <w:rtl/>
          <w:lang w:eastAsia="he-IL"/>
        </w:rPr>
        <w:t>במידה מסוימת הרס</w:t>
      </w:r>
      <w:bookmarkStart w:id="36106" w:name="_ETM_Q64_473000"/>
      <w:bookmarkEnd w:id="36106"/>
      <w:r w:rsidR="00BB59CD">
        <w:rPr>
          <w:rFonts w:hint="cs"/>
          <w:rtl/>
          <w:lang w:eastAsia="he-IL"/>
        </w:rPr>
        <w:t xml:space="preserve"> את כל המערכות במדינה בחודשים האחרונים, קרע בתים,</w:t>
      </w:r>
      <w:bookmarkStart w:id="36107" w:name="_ETM_Q64_491000"/>
      <w:bookmarkEnd w:id="36107"/>
      <w:r w:rsidR="00BB59CD">
        <w:rPr>
          <w:rFonts w:hint="cs"/>
          <w:rtl/>
          <w:lang w:eastAsia="he-IL"/>
        </w:rPr>
        <w:t xml:space="preserve"> משפחות, יחידות, משרדים, חברות. הרפורמה המשפטית האפילה על כל מה </w:t>
      </w:r>
      <w:bookmarkStart w:id="36108" w:name="_ETM_Q64_497000"/>
      <w:bookmarkEnd w:id="36108"/>
      <w:r w:rsidR="00BB59CD">
        <w:rPr>
          <w:rFonts w:hint="cs"/>
          <w:rtl/>
          <w:lang w:eastAsia="he-IL"/>
        </w:rPr>
        <w:t xml:space="preserve">שצריך לטפל בו במדינה – על </w:t>
      </w:r>
      <w:bookmarkStart w:id="36109" w:name="_ETM_Q64_472679"/>
      <w:bookmarkEnd w:id="36109"/>
      <w:r w:rsidR="00BB59CD">
        <w:rPr>
          <w:rFonts w:hint="cs"/>
          <w:rtl/>
          <w:lang w:eastAsia="he-IL"/>
        </w:rPr>
        <w:t>הביטחון וההרתעה מול אויבינו,</w:t>
      </w:r>
      <w:bookmarkStart w:id="36110" w:name="_ETM_Q64_505000"/>
      <w:bookmarkEnd w:id="36110"/>
      <w:r w:rsidR="00BB59CD">
        <w:rPr>
          <w:rFonts w:hint="cs"/>
          <w:rtl/>
          <w:lang w:eastAsia="he-IL"/>
        </w:rPr>
        <w:t xml:space="preserve"> הביטחון האישי, שיש כל כך הרבה מה לעשות בו,</w:t>
      </w:r>
      <w:bookmarkStart w:id="36111" w:name="_ETM_Q64_510000"/>
      <w:bookmarkEnd w:id="36111"/>
      <w:r w:rsidR="00BB59CD">
        <w:rPr>
          <w:rFonts w:hint="cs"/>
          <w:rtl/>
          <w:lang w:eastAsia="he-IL"/>
        </w:rPr>
        <w:t xml:space="preserve"> כולל במרחבי הנגב והגליל, ועל מאבק למען החלשים ביותר</w:t>
      </w:r>
      <w:bookmarkStart w:id="36112" w:name="_ETM_Q64_514000"/>
      <w:bookmarkEnd w:id="36112"/>
      <w:r w:rsidR="00BB59CD">
        <w:rPr>
          <w:rFonts w:hint="cs"/>
          <w:rtl/>
          <w:lang w:eastAsia="he-IL"/>
        </w:rPr>
        <w:t xml:space="preserve"> ומעמד הביניים ביוקר המחיה. </w:t>
      </w:r>
    </w:p>
    <w:p w:rsidR="00BB59CD" w:rsidRDefault="00BB59CD" w:rsidP="00BB59CD">
      <w:pPr>
        <w:rPr>
          <w:rtl/>
          <w:lang w:eastAsia="he-IL"/>
        </w:rPr>
      </w:pPr>
    </w:p>
    <w:p w:rsidR="00BB59CD" w:rsidRDefault="00BB59CD" w:rsidP="00A319DC">
      <w:pPr>
        <w:rPr>
          <w:rtl/>
          <w:lang w:eastAsia="he-IL"/>
        </w:rPr>
      </w:pPr>
      <w:bookmarkStart w:id="36113" w:name="_ETM_Q64_517000"/>
      <w:bookmarkEnd w:id="36113"/>
      <w:r>
        <w:rPr>
          <w:rFonts w:hint="cs"/>
          <w:rtl/>
          <w:lang w:eastAsia="he-IL"/>
        </w:rPr>
        <w:t>חמש המ"מים</w:t>
      </w:r>
      <w:r w:rsidR="006132D6">
        <w:rPr>
          <w:rFonts w:hint="cs"/>
          <w:rtl/>
          <w:lang w:eastAsia="he-IL"/>
        </w:rPr>
        <w:t>,</w:t>
      </w:r>
      <w:r>
        <w:rPr>
          <w:rFonts w:hint="cs"/>
          <w:rtl/>
          <w:lang w:eastAsia="he-IL"/>
        </w:rPr>
        <w:t xml:space="preserve"> מוכר</w:t>
      </w:r>
      <w:bookmarkStart w:id="36114" w:name="_ETM_Q64_522000"/>
      <w:bookmarkEnd w:id="36114"/>
      <w:r>
        <w:rPr>
          <w:rFonts w:hint="cs"/>
          <w:rtl/>
          <w:lang w:eastAsia="he-IL"/>
        </w:rPr>
        <w:t xml:space="preserve"> לכם? אנחנו יכולים רק על הדבר הזה, על מה שאני </w:t>
      </w:r>
      <w:bookmarkStart w:id="36115" w:name="_ETM_Q64_525000"/>
      <w:bookmarkEnd w:id="36115"/>
      <w:r>
        <w:rPr>
          <w:rFonts w:hint="cs"/>
          <w:rtl/>
          <w:lang w:eastAsia="he-IL"/>
        </w:rPr>
        <w:t>הולך להקריא עכשיו</w:t>
      </w:r>
      <w:r w:rsidR="006132D6">
        <w:rPr>
          <w:rFonts w:hint="cs"/>
          <w:rtl/>
          <w:lang w:eastAsia="he-IL"/>
        </w:rPr>
        <w:t>,</w:t>
      </w:r>
      <w:r>
        <w:rPr>
          <w:rFonts w:hint="cs"/>
          <w:rtl/>
          <w:lang w:eastAsia="he-IL"/>
        </w:rPr>
        <w:t xml:space="preserve"> של ז'בוטינסקי, לבנות תוכנית ל-100 שנה למדינה,</w:t>
      </w:r>
      <w:bookmarkStart w:id="36116" w:name="_ETM_Q64_536000"/>
      <w:bookmarkEnd w:id="36116"/>
      <w:r>
        <w:rPr>
          <w:rFonts w:hint="cs"/>
          <w:rtl/>
          <w:lang w:eastAsia="he-IL"/>
        </w:rPr>
        <w:t xml:space="preserve"> חמש המ"מים, ויש מ"ם אחת שהשתלט על הכול. מה אומר</w:t>
      </w:r>
      <w:bookmarkStart w:id="36117" w:name="_ETM_Q64_542000"/>
      <w:bookmarkEnd w:id="36117"/>
      <w:r>
        <w:rPr>
          <w:rFonts w:hint="cs"/>
          <w:rtl/>
          <w:lang w:eastAsia="he-IL"/>
        </w:rPr>
        <w:t xml:space="preserve"> ז'בוטינסקי? "אני מצייר לעצמי שהדבר שאנו מכנים אותו בשם</w:t>
      </w:r>
      <w:bookmarkStart w:id="36118" w:name="_ETM_Q64_548000"/>
      <w:bookmarkEnd w:id="36118"/>
      <w:r>
        <w:rPr>
          <w:rFonts w:hint="cs"/>
          <w:rtl/>
          <w:lang w:eastAsia="he-IL"/>
        </w:rPr>
        <w:t xml:space="preserve"> 'הצרכים האלמנטריים' של אדם רגיל – אותו הדבר, שהיום הוא צריך </w:t>
      </w:r>
      <w:bookmarkStart w:id="36119" w:name="_ETM_Q64_554000"/>
      <w:bookmarkEnd w:id="36119"/>
      <w:r>
        <w:rPr>
          <w:rFonts w:hint="cs"/>
          <w:rtl/>
          <w:lang w:eastAsia="he-IL"/>
        </w:rPr>
        <w:t>להילחם עליו ולבקש פרנסה ולהרעיש עולמות כשאינו מוצא</w:t>
      </w:r>
      <w:bookmarkStart w:id="36120" w:name="_ETM_Q64_563000"/>
      <w:bookmarkEnd w:id="36120"/>
      <w:r>
        <w:rPr>
          <w:rFonts w:hint="cs"/>
          <w:rtl/>
          <w:lang w:eastAsia="he-IL"/>
        </w:rPr>
        <w:t xml:space="preserve"> פרנסה זו – כולל חמישה דברים: אוכל, דירה, בגדים, האפשרות לחנך</w:t>
      </w:r>
      <w:bookmarkStart w:id="36121" w:name="_ETM_Q64_573000"/>
      <w:bookmarkEnd w:id="36121"/>
      <w:r>
        <w:rPr>
          <w:rFonts w:hint="cs"/>
          <w:rtl/>
          <w:lang w:eastAsia="he-IL"/>
        </w:rPr>
        <w:t xml:space="preserve"> את הילדים והאפשרות להתרפא במקרה של מחלה. בעברית אפשר</w:t>
      </w:r>
      <w:bookmarkStart w:id="36122" w:name="_ETM_Q64_580000"/>
      <w:bookmarkEnd w:id="36122"/>
      <w:r>
        <w:rPr>
          <w:rFonts w:hint="cs"/>
          <w:rtl/>
          <w:lang w:eastAsia="he-IL"/>
        </w:rPr>
        <w:t xml:space="preserve"> לסמן דבר זה בקיצור" – נותן בזה סימנים – "מעון-מזון-מלבוש-מורה-מרפא, 'חמש פעמים מ"ם'. ביחד לכל אחד מן</w:t>
      </w:r>
      <w:bookmarkStart w:id="36123" w:name="_ETM_Q64_593000"/>
      <w:bookmarkEnd w:id="36123"/>
      <w:r>
        <w:rPr>
          <w:rFonts w:hint="cs"/>
          <w:rtl/>
          <w:lang w:eastAsia="he-IL"/>
        </w:rPr>
        <w:t xml:space="preserve"> הצרכים הללו קיים בכל מדינה ובכל תקופה מושג</w:t>
      </w:r>
      <w:bookmarkStart w:id="36124" w:name="_ETM_Q64_601000"/>
      <w:bookmarkEnd w:id="36124"/>
      <w:r>
        <w:rPr>
          <w:rFonts w:hint="cs"/>
          <w:rtl/>
          <w:lang w:eastAsia="he-IL"/>
        </w:rPr>
        <w:t xml:space="preserve"> מסוים על מינימום מספיק". הבג"ץ של קיום בכבוד מינימלי, </w:t>
      </w:r>
      <w:bookmarkStart w:id="36125" w:name="_ETM_Q64_609000"/>
      <w:bookmarkEnd w:id="36125"/>
      <w:r>
        <w:rPr>
          <w:rFonts w:hint="cs"/>
          <w:rtl/>
          <w:lang w:eastAsia="he-IL"/>
        </w:rPr>
        <w:t>שבג"ץ עוד לא יודע להשיב – עתירה כאילו של "השמאלנים"</w:t>
      </w:r>
      <w:bookmarkStart w:id="36126" w:name="_ETM_Q64_612000"/>
      <w:bookmarkEnd w:id="36126"/>
      <w:r w:rsidR="00A319DC">
        <w:rPr>
          <w:rFonts w:hint="cs"/>
          <w:rtl/>
          <w:lang w:eastAsia="he-IL"/>
        </w:rPr>
        <w:t>,</w:t>
      </w:r>
      <w:r>
        <w:rPr>
          <w:rFonts w:hint="cs"/>
          <w:rtl/>
          <w:lang w:eastAsia="he-IL"/>
        </w:rPr>
        <w:t xml:space="preserve"> יש עתירה מהו קיום בכבוד לאזרח בישראל. זה קשה</w:t>
      </w:r>
      <w:r w:rsidR="00A319DC">
        <w:rPr>
          <w:rFonts w:hint="cs"/>
          <w:rtl/>
          <w:lang w:eastAsia="he-IL"/>
        </w:rPr>
        <w:t>,</w:t>
      </w:r>
      <w:r>
        <w:rPr>
          <w:rFonts w:hint="cs"/>
          <w:rtl/>
          <w:lang w:eastAsia="he-IL"/>
        </w:rPr>
        <w:t xml:space="preserve"> בגלל</w:t>
      </w:r>
      <w:bookmarkStart w:id="36127" w:name="_ETM_Q64_616000"/>
      <w:bookmarkEnd w:id="36127"/>
      <w:r>
        <w:rPr>
          <w:rFonts w:hint="cs"/>
          <w:rtl/>
          <w:lang w:eastAsia="he-IL"/>
        </w:rPr>
        <w:t xml:space="preserve"> שתקציבים משתנים, אז המינימום לא יכול להיות מספר שלא יכול</w:t>
      </w:r>
      <w:bookmarkStart w:id="36128" w:name="_ETM_Q64_622000"/>
      <w:bookmarkEnd w:id="36128"/>
      <w:r>
        <w:rPr>
          <w:rFonts w:hint="cs"/>
          <w:rtl/>
          <w:lang w:eastAsia="he-IL"/>
        </w:rPr>
        <w:t xml:space="preserve"> להיות מושפע מתקציב המדינה. א</w:t>
      </w:r>
      <w:bookmarkStart w:id="36129" w:name="_ETM_Q64_625000"/>
      <w:bookmarkEnd w:id="36129"/>
      <w:r>
        <w:rPr>
          <w:rFonts w:hint="cs"/>
          <w:rtl/>
          <w:lang w:eastAsia="he-IL"/>
        </w:rPr>
        <w:t>בל מי קבע מינימום בכבוד? מינימום</w:t>
      </w:r>
      <w:bookmarkStart w:id="36130" w:name="_ETM_Q64_629000"/>
      <w:bookmarkEnd w:id="36130"/>
      <w:r>
        <w:rPr>
          <w:rFonts w:hint="cs"/>
          <w:rtl/>
          <w:lang w:eastAsia="he-IL"/>
        </w:rPr>
        <w:t xml:space="preserve"> קיום בכבוד – מושג שטובע אותו ז'בוטינסקי. "ובכל תקופה מושג </w:t>
      </w:r>
      <w:bookmarkStart w:id="36131" w:name="_ETM_Q64_636000"/>
      <w:bookmarkEnd w:id="36131"/>
      <w:r>
        <w:rPr>
          <w:rFonts w:hint="cs"/>
          <w:rtl/>
          <w:lang w:eastAsia="he-IL"/>
        </w:rPr>
        <w:t>מסוים על מינימום מספיק. וחובתה של המדינה, על פי 'תרופתי'" – כך הוא אומר – "צריכה להיות: כל אדם,</w:t>
      </w:r>
      <w:bookmarkStart w:id="36132" w:name="_ETM_Q64_647000"/>
      <w:bookmarkEnd w:id="36132"/>
      <w:r>
        <w:rPr>
          <w:rFonts w:hint="cs"/>
          <w:rtl/>
          <w:lang w:eastAsia="he-IL"/>
        </w:rPr>
        <w:t xml:space="preserve"> המודיע שהוא דורש את 'חמש הממין', צריך לקבל אותם. זה</w:t>
      </w:r>
      <w:bookmarkStart w:id="36133" w:name="_ETM_Q64_655000"/>
      <w:bookmarkEnd w:id="36133"/>
      <w:r>
        <w:rPr>
          <w:rFonts w:hint="cs"/>
          <w:rtl/>
          <w:lang w:eastAsia="he-IL"/>
        </w:rPr>
        <w:t xml:space="preserve"> הראשון משני חוקים 'שלי'. מכאן יש להסיק, שבידי המדינה צריכה להיות תמיד האפשרות לספק את 'חמש הממין'" – </w:t>
      </w:r>
      <w:r w:rsidR="00A319DC">
        <w:rPr>
          <w:rFonts w:hint="cs"/>
          <w:rtl/>
          <w:lang w:eastAsia="he-IL"/>
        </w:rPr>
        <w:t xml:space="preserve">הוא </w:t>
      </w:r>
      <w:r>
        <w:rPr>
          <w:rFonts w:hint="cs"/>
          <w:rtl/>
          <w:lang w:eastAsia="he-IL"/>
        </w:rPr>
        <w:t>כותב בנו"ן</w:t>
      </w:r>
      <w:r w:rsidR="00A319DC">
        <w:rPr>
          <w:rFonts w:hint="cs"/>
          <w:rtl/>
          <w:lang w:eastAsia="he-IL"/>
        </w:rPr>
        <w:t>,</w:t>
      </w:r>
      <w:r>
        <w:rPr>
          <w:rFonts w:hint="cs"/>
          <w:rtl/>
          <w:lang w:eastAsia="he-IL"/>
        </w:rPr>
        <w:t xml:space="preserve"> ממין –</w:t>
      </w:r>
      <w:bookmarkStart w:id="36134" w:name="_ETM_Q64_670000"/>
      <w:bookmarkEnd w:id="36134"/>
      <w:r>
        <w:rPr>
          <w:rFonts w:hint="cs"/>
          <w:rtl/>
          <w:lang w:eastAsia="he-IL"/>
        </w:rPr>
        <w:t xml:space="preserve"> "לכל אותם האזרחים שידרשו אותם". </w:t>
      </w:r>
    </w:p>
    <w:p w:rsidR="00BB59CD" w:rsidRDefault="00BB59CD" w:rsidP="00BB59CD">
      <w:pPr>
        <w:rPr>
          <w:rtl/>
          <w:lang w:eastAsia="he-IL"/>
        </w:rPr>
      </w:pPr>
    </w:p>
    <w:p w:rsidR="00BB59CD" w:rsidRDefault="00BB59CD" w:rsidP="00A319DC">
      <w:pPr>
        <w:rPr>
          <w:rtl/>
          <w:lang w:eastAsia="he-IL"/>
        </w:rPr>
      </w:pPr>
      <w:bookmarkStart w:id="36135" w:name="_ETM_Q64_467000"/>
      <w:bookmarkEnd w:id="36135"/>
      <w:r>
        <w:rPr>
          <w:rFonts w:hint="cs"/>
          <w:rtl/>
          <w:lang w:eastAsia="he-IL"/>
        </w:rPr>
        <w:t>אלה דברים מאוד ברורים של הוגה הדעות של הליכוד. האם שכחתם את חמש המ"מים והמצאתם מ"ם חדשה, קדושה מכולם – מ"ם המשפט? מ"ם המשפט של רוטמן ולוין מחקה את כל המ"מים – את המורה והמלבוש והמרפא והמזון והמחסה. מ"ם אחת של משפט מחקה חמישה מ"מים של קיום בכבוד, כאילו שהמ"ם הזאת של המשפט היא איזה מין פולש, צמח כזה, שמגיע לאיזה מקום והורס כל חלקה טובה</w:t>
      </w:r>
      <w:r w:rsidR="00A319DC">
        <w:rPr>
          <w:rFonts w:hint="cs"/>
          <w:rtl/>
          <w:lang w:eastAsia="he-IL"/>
        </w:rPr>
        <w:t>, ו</w:t>
      </w:r>
      <w:r>
        <w:rPr>
          <w:rFonts w:hint="cs"/>
          <w:rtl/>
          <w:lang w:eastAsia="he-IL"/>
        </w:rPr>
        <w:t xml:space="preserve">זאת </w:t>
      </w:r>
      <w:bookmarkStart w:id="36136" w:name="_ETM_Q64_721000"/>
      <w:bookmarkEnd w:id="36136"/>
      <w:r>
        <w:rPr>
          <w:rFonts w:hint="cs"/>
          <w:rtl/>
          <w:lang w:eastAsia="he-IL"/>
        </w:rPr>
        <w:t>מערכת המשפט</w:t>
      </w:r>
      <w:r w:rsidR="00A319DC">
        <w:rPr>
          <w:rFonts w:hint="cs"/>
          <w:rtl/>
          <w:lang w:eastAsia="he-IL"/>
        </w:rPr>
        <w:t>.</w:t>
      </w:r>
      <w:r>
        <w:rPr>
          <w:rFonts w:hint="cs"/>
          <w:rtl/>
          <w:lang w:eastAsia="he-IL"/>
        </w:rPr>
        <w:t xml:space="preserve"> הרפורמה מחקה את כל המ"מים של ז'בוטינסקי והשאירה מ"ם אחת – משפט. תחזרו למ"מים, תחזרו לבייסיק, תחזרו למנחם בגין של שיקום שכונות, תחזרו לדוד לוי של דיור ציבור ול</w:t>
      </w:r>
      <w:r w:rsidR="00A319DC">
        <w:rPr>
          <w:rFonts w:hint="cs"/>
          <w:rtl/>
          <w:lang w:eastAsia="he-IL"/>
        </w:rPr>
        <w:t>ז</w:t>
      </w:r>
      <w:r>
        <w:rPr>
          <w:rFonts w:hint="cs"/>
          <w:rtl/>
          <w:lang w:eastAsia="he-IL"/>
        </w:rPr>
        <w:t>'קי לוי</w:t>
      </w:r>
      <w:r w:rsidR="00A319DC">
        <w:rPr>
          <w:rFonts w:hint="cs"/>
          <w:rtl/>
          <w:lang w:eastAsia="he-IL"/>
        </w:rPr>
        <w:t>,</w:t>
      </w:r>
      <w:r>
        <w:rPr>
          <w:rFonts w:hint="cs"/>
          <w:rtl/>
          <w:lang w:eastAsia="he-IL"/>
        </w:rPr>
        <w:t xml:space="preserve"> שהמשיך אותו. יש לכם מורשת מפוארת. לאן הלכתם בשם ימין קיצוני? לקחו אתכם פורום קהלת והשאירו אתכם לבד, והתנערו מאחריות. </w:t>
      </w:r>
    </w:p>
    <w:p w:rsidR="00BB59CD" w:rsidRDefault="00BB59CD" w:rsidP="00BB59CD">
      <w:pPr>
        <w:rPr>
          <w:rtl/>
          <w:lang w:eastAsia="he-IL"/>
        </w:rPr>
      </w:pPr>
    </w:p>
    <w:p w:rsidR="00BB59CD" w:rsidRDefault="00BB59CD" w:rsidP="00A319DC">
      <w:pPr>
        <w:rPr>
          <w:rtl/>
        </w:rPr>
      </w:pPr>
      <w:bookmarkStart w:id="36137" w:name="TOR_Q65"/>
      <w:bookmarkStart w:id="36138" w:name="_ETM_Q65_180000"/>
      <w:bookmarkEnd w:id="36137"/>
      <w:bookmarkEnd w:id="36138"/>
      <w:r>
        <w:rPr>
          <w:rFonts w:hint="cs"/>
          <w:rtl/>
        </w:rPr>
        <w:t>הציבור הישראלי מבקש בשורה אמיתית</w:t>
      </w:r>
      <w:r w:rsidR="00A319DC">
        <w:rPr>
          <w:rFonts w:hint="cs"/>
          <w:rtl/>
        </w:rPr>
        <w:t>,</w:t>
      </w:r>
      <w:r>
        <w:rPr>
          <w:rFonts w:hint="cs"/>
          <w:rtl/>
        </w:rPr>
        <w:t xml:space="preserve"> שתאפשר לו חיים של כבוד, ובגלל העיסוק המוחלט ברפורמה הוא ימשיך לחכות. הוא יחכה </w:t>
      </w:r>
      <w:bookmarkStart w:id="36139" w:name="_ETM_Q65_176000"/>
      <w:bookmarkEnd w:id="36139"/>
      <w:r>
        <w:rPr>
          <w:rFonts w:hint="cs"/>
          <w:rtl/>
        </w:rPr>
        <w:t>לדיור בר</w:t>
      </w:r>
      <w:r w:rsidR="00A319DC">
        <w:rPr>
          <w:rFonts w:hint="cs"/>
          <w:rtl/>
        </w:rPr>
        <w:t xml:space="preserve"> </w:t>
      </w:r>
      <w:r>
        <w:rPr>
          <w:rFonts w:hint="cs"/>
          <w:rtl/>
        </w:rPr>
        <w:t xml:space="preserve">השגה שלא מתקדם, הוא יחכה לביסוס </w:t>
      </w:r>
      <w:bookmarkStart w:id="36140" w:name="_ETM_Q65_180810"/>
      <w:bookmarkEnd w:id="36140"/>
      <w:r>
        <w:rPr>
          <w:rFonts w:hint="cs"/>
          <w:rtl/>
        </w:rPr>
        <w:t xml:space="preserve">הדיור </w:t>
      </w:r>
      <w:bookmarkStart w:id="36141" w:name="_ETM_Q65_181410"/>
      <w:bookmarkEnd w:id="36141"/>
      <w:r>
        <w:rPr>
          <w:rFonts w:hint="cs"/>
          <w:rtl/>
        </w:rPr>
        <w:t xml:space="preserve">הציבורי, </w:t>
      </w:r>
      <w:bookmarkStart w:id="36142" w:name="_ETM_Q65_181980"/>
      <w:bookmarkEnd w:id="36142"/>
      <w:r>
        <w:rPr>
          <w:rFonts w:hint="cs"/>
          <w:rtl/>
        </w:rPr>
        <w:t xml:space="preserve">שגוסס </w:t>
      </w:r>
      <w:bookmarkStart w:id="36143" w:name="_ETM_Q65_182820"/>
      <w:bookmarkEnd w:id="36143"/>
      <w:r>
        <w:rPr>
          <w:rFonts w:hint="cs"/>
          <w:rtl/>
        </w:rPr>
        <w:t xml:space="preserve">ומת לאט, הוא </w:t>
      </w:r>
      <w:bookmarkStart w:id="36144" w:name="_ETM_Q65_185000"/>
      <w:bookmarkEnd w:id="36144"/>
      <w:r>
        <w:rPr>
          <w:rFonts w:hint="cs"/>
          <w:rtl/>
        </w:rPr>
        <w:t xml:space="preserve">יחכה </w:t>
      </w:r>
      <w:bookmarkStart w:id="36145" w:name="_ETM_Q65_183360"/>
      <w:bookmarkStart w:id="36146" w:name="_ETM_Q65_184410"/>
      <w:bookmarkStart w:id="36147" w:name="_ETM_Q65_184650"/>
      <w:bookmarkStart w:id="36148" w:name="_ETM_Q65_185100"/>
      <w:bookmarkEnd w:id="36145"/>
      <w:bookmarkEnd w:id="36146"/>
      <w:bookmarkEnd w:id="36147"/>
      <w:bookmarkEnd w:id="36148"/>
      <w:r>
        <w:rPr>
          <w:rFonts w:hint="cs"/>
          <w:rtl/>
        </w:rPr>
        <w:t xml:space="preserve">לחינוך </w:t>
      </w:r>
      <w:bookmarkStart w:id="36149" w:name="_ETM_Q65_185640"/>
      <w:bookmarkEnd w:id="36149"/>
      <w:r>
        <w:rPr>
          <w:rFonts w:hint="cs"/>
          <w:rtl/>
        </w:rPr>
        <w:t xml:space="preserve">חינם. </w:t>
      </w:r>
      <w:bookmarkStart w:id="36150" w:name="_ETM_Q65_186559"/>
      <w:bookmarkEnd w:id="36150"/>
      <w:r>
        <w:rPr>
          <w:rFonts w:hint="cs"/>
          <w:rtl/>
        </w:rPr>
        <w:t xml:space="preserve">מדינת </w:t>
      </w:r>
      <w:bookmarkStart w:id="36151" w:name="_ETM_Q65_187039"/>
      <w:bookmarkEnd w:id="36151"/>
      <w:r>
        <w:rPr>
          <w:rFonts w:hint="cs"/>
          <w:rtl/>
        </w:rPr>
        <w:t xml:space="preserve">ישראל </w:t>
      </w:r>
      <w:bookmarkStart w:id="36152" w:name="_ETM_Q65_187459"/>
      <w:bookmarkEnd w:id="36152"/>
      <w:r>
        <w:rPr>
          <w:rFonts w:hint="cs"/>
          <w:rtl/>
        </w:rPr>
        <w:t xml:space="preserve">אומרת: </w:t>
      </w:r>
      <w:bookmarkStart w:id="36153" w:name="_ETM_Q65_187939"/>
      <w:bookmarkEnd w:id="36153"/>
      <w:r>
        <w:rPr>
          <w:rFonts w:hint="cs"/>
          <w:rtl/>
        </w:rPr>
        <w:t xml:space="preserve">חינוך </w:t>
      </w:r>
      <w:bookmarkStart w:id="36154" w:name="_ETM_Q65_188299"/>
      <w:bookmarkEnd w:id="36154"/>
      <w:r>
        <w:rPr>
          <w:rFonts w:hint="cs"/>
          <w:rtl/>
        </w:rPr>
        <w:t xml:space="preserve">חינם </w:t>
      </w:r>
      <w:bookmarkStart w:id="36155" w:name="_ETM_Q65_188719"/>
      <w:bookmarkEnd w:id="36155"/>
      <w:r w:rsidR="00A319DC">
        <w:rPr>
          <w:rFonts w:hint="eastAsia"/>
          <w:rtl/>
        </w:rPr>
        <w:t>–</w:t>
      </w:r>
      <w:r w:rsidR="00A319DC">
        <w:rPr>
          <w:rFonts w:hint="cs"/>
          <w:rtl/>
        </w:rPr>
        <w:t xml:space="preserve"> </w:t>
      </w:r>
      <w:r>
        <w:rPr>
          <w:rFonts w:hint="cs"/>
          <w:rtl/>
        </w:rPr>
        <w:t xml:space="preserve">ואז </w:t>
      </w:r>
      <w:bookmarkStart w:id="36156" w:name="_ETM_Q65_189019"/>
      <w:bookmarkEnd w:id="36156"/>
      <w:r>
        <w:rPr>
          <w:rFonts w:hint="cs"/>
          <w:rtl/>
        </w:rPr>
        <w:t xml:space="preserve">יש </w:t>
      </w:r>
      <w:bookmarkStart w:id="36157" w:name="_ETM_Q65_189200"/>
      <w:bookmarkEnd w:id="36157"/>
      <w:r>
        <w:rPr>
          <w:rFonts w:hint="cs"/>
          <w:rtl/>
        </w:rPr>
        <w:t xml:space="preserve">תשלומי </w:t>
      </w:r>
      <w:bookmarkStart w:id="36158" w:name="_ETM_Q65_189769"/>
      <w:bookmarkEnd w:id="36158"/>
      <w:r>
        <w:rPr>
          <w:rFonts w:hint="cs"/>
          <w:rtl/>
        </w:rPr>
        <w:t xml:space="preserve">רשות, </w:t>
      </w:r>
      <w:bookmarkStart w:id="36159" w:name="_ETM_Q65_191119"/>
      <w:bookmarkEnd w:id="36159"/>
      <w:r>
        <w:rPr>
          <w:rFonts w:hint="cs"/>
          <w:rtl/>
        </w:rPr>
        <w:t xml:space="preserve">ואז </w:t>
      </w:r>
      <w:bookmarkStart w:id="36160" w:name="_ETM_Q65_191539"/>
      <w:bookmarkEnd w:id="36160"/>
      <w:r>
        <w:rPr>
          <w:rFonts w:hint="cs"/>
          <w:rtl/>
        </w:rPr>
        <w:t xml:space="preserve">יש תל"ן, </w:t>
      </w:r>
      <w:bookmarkStart w:id="36161" w:name="_ETM_Q65_191750"/>
      <w:bookmarkStart w:id="36162" w:name="_ETM_Q65_193759"/>
      <w:bookmarkEnd w:id="36161"/>
      <w:bookmarkEnd w:id="36162"/>
      <w:r>
        <w:rPr>
          <w:rFonts w:hint="cs"/>
          <w:rtl/>
        </w:rPr>
        <w:t xml:space="preserve">ואז </w:t>
      </w:r>
      <w:bookmarkStart w:id="36163" w:name="_ETM_Q65_194150"/>
      <w:bookmarkEnd w:id="36163"/>
      <w:r>
        <w:rPr>
          <w:rFonts w:hint="cs"/>
          <w:rtl/>
        </w:rPr>
        <w:t xml:space="preserve">מוסיפים </w:t>
      </w:r>
      <w:bookmarkStart w:id="36164" w:name="_ETM_Q65_194840"/>
      <w:bookmarkEnd w:id="36164"/>
      <w:r>
        <w:rPr>
          <w:rFonts w:hint="cs"/>
          <w:rtl/>
        </w:rPr>
        <w:t xml:space="preserve">ספרים </w:t>
      </w:r>
      <w:bookmarkStart w:id="36165" w:name="_ETM_Q65_195929"/>
      <w:bookmarkEnd w:id="36165"/>
      <w:r>
        <w:rPr>
          <w:rFonts w:hint="cs"/>
          <w:rtl/>
        </w:rPr>
        <w:t xml:space="preserve">ואוכל, </w:t>
      </w:r>
      <w:bookmarkStart w:id="36166" w:name="_ETM_Q65_197590"/>
      <w:bookmarkEnd w:id="36166"/>
      <w:r>
        <w:rPr>
          <w:rFonts w:hint="cs"/>
          <w:rtl/>
        </w:rPr>
        <w:t xml:space="preserve">ואנחנו </w:t>
      </w:r>
      <w:bookmarkStart w:id="36167" w:name="_ETM_Q65_198100"/>
      <w:bookmarkEnd w:id="36167"/>
      <w:r>
        <w:rPr>
          <w:rFonts w:hint="cs"/>
          <w:rtl/>
        </w:rPr>
        <w:t xml:space="preserve">חינוך </w:t>
      </w:r>
      <w:bookmarkStart w:id="36168" w:name="_ETM_Q65_198520"/>
      <w:bookmarkEnd w:id="36168"/>
      <w:r>
        <w:rPr>
          <w:rFonts w:hint="cs"/>
          <w:rtl/>
        </w:rPr>
        <w:t xml:space="preserve">חינם </w:t>
      </w:r>
      <w:bookmarkStart w:id="36169" w:name="_ETM_Q65_199000"/>
      <w:bookmarkEnd w:id="36169"/>
      <w:r>
        <w:rPr>
          <w:rFonts w:hint="cs"/>
          <w:rtl/>
        </w:rPr>
        <w:t xml:space="preserve">במירכאות. </w:t>
      </w:r>
      <w:bookmarkStart w:id="36170" w:name="_ETM_Q65_199810"/>
      <w:bookmarkEnd w:id="36170"/>
      <w:r>
        <w:rPr>
          <w:rFonts w:hint="cs"/>
          <w:rtl/>
        </w:rPr>
        <w:t xml:space="preserve">וזה </w:t>
      </w:r>
      <w:bookmarkStart w:id="36171" w:name="_ETM_Q65_200050"/>
      <w:bookmarkEnd w:id="36171"/>
      <w:r>
        <w:rPr>
          <w:rFonts w:hint="cs"/>
          <w:rtl/>
        </w:rPr>
        <w:t xml:space="preserve">עוד </w:t>
      </w:r>
      <w:bookmarkStart w:id="36172" w:name="_ETM_Q65_200230"/>
      <w:bookmarkEnd w:id="36172"/>
      <w:r>
        <w:rPr>
          <w:rFonts w:hint="cs"/>
          <w:rtl/>
        </w:rPr>
        <w:t xml:space="preserve">לפני </w:t>
      </w:r>
      <w:bookmarkStart w:id="36173" w:name="_ETM_Q65_201220"/>
      <w:bookmarkEnd w:id="36173"/>
      <w:r>
        <w:rPr>
          <w:rFonts w:hint="cs"/>
          <w:rtl/>
        </w:rPr>
        <w:t xml:space="preserve">שהעשיר </w:t>
      </w:r>
      <w:bookmarkStart w:id="36174" w:name="_ETM_Q65_201880"/>
      <w:bookmarkEnd w:id="36174"/>
      <w:r>
        <w:rPr>
          <w:rFonts w:hint="cs"/>
          <w:rtl/>
        </w:rPr>
        <w:t xml:space="preserve">יכול </w:t>
      </w:r>
      <w:bookmarkStart w:id="36175" w:name="_ETM_Q65_202180"/>
      <w:bookmarkEnd w:id="36175"/>
      <w:r>
        <w:rPr>
          <w:rFonts w:hint="cs"/>
          <w:rtl/>
        </w:rPr>
        <w:t xml:space="preserve">לקנות </w:t>
      </w:r>
      <w:bookmarkStart w:id="36176" w:name="_ETM_Q65_202570"/>
      <w:bookmarkEnd w:id="36176"/>
      <w:r>
        <w:rPr>
          <w:rFonts w:hint="cs"/>
          <w:rtl/>
        </w:rPr>
        <w:t xml:space="preserve">חוגים </w:t>
      </w:r>
      <w:bookmarkStart w:id="36177" w:name="_ETM_Q65_203140"/>
      <w:bookmarkEnd w:id="36177"/>
      <w:r>
        <w:rPr>
          <w:rFonts w:hint="cs"/>
          <w:rtl/>
        </w:rPr>
        <w:t>והעשרות</w:t>
      </w:r>
      <w:r w:rsidR="00A319DC">
        <w:rPr>
          <w:rFonts w:hint="cs"/>
          <w:rtl/>
        </w:rPr>
        <w:t>;</w:t>
      </w:r>
      <w:r>
        <w:rPr>
          <w:rFonts w:hint="cs"/>
          <w:rtl/>
        </w:rPr>
        <w:t xml:space="preserve"> העני</w:t>
      </w:r>
      <w:bookmarkStart w:id="36178" w:name="_ETM_Q65_204430"/>
      <w:bookmarkEnd w:id="36178"/>
      <w:r>
        <w:rPr>
          <w:rFonts w:hint="cs"/>
          <w:rtl/>
        </w:rPr>
        <w:t>, ב-5,000 שקל שכר</w:t>
      </w:r>
      <w:bookmarkStart w:id="36179" w:name="_ETM_Q65_205000"/>
      <w:bookmarkStart w:id="36180" w:name="_ETM_Q65_205510"/>
      <w:bookmarkStart w:id="36181" w:name="_ETM_Q65_205869"/>
      <w:bookmarkStart w:id="36182" w:name="_ETM_Q65_206260"/>
      <w:bookmarkEnd w:id="36179"/>
      <w:bookmarkEnd w:id="36180"/>
      <w:bookmarkEnd w:id="36181"/>
      <w:bookmarkEnd w:id="36182"/>
      <w:r>
        <w:rPr>
          <w:rFonts w:hint="cs"/>
          <w:rtl/>
        </w:rPr>
        <w:t xml:space="preserve"> </w:t>
      </w:r>
      <w:bookmarkStart w:id="36183" w:name="_ETM_Q65_206560"/>
      <w:bookmarkEnd w:id="36183"/>
      <w:r>
        <w:rPr>
          <w:rFonts w:hint="cs"/>
          <w:rtl/>
        </w:rPr>
        <w:t xml:space="preserve">מינימום, </w:t>
      </w:r>
      <w:bookmarkStart w:id="36184" w:name="_ETM_Q65_207310"/>
      <w:bookmarkEnd w:id="36184"/>
      <w:r>
        <w:rPr>
          <w:rFonts w:hint="cs"/>
          <w:rtl/>
        </w:rPr>
        <w:t xml:space="preserve">איך </w:t>
      </w:r>
      <w:bookmarkStart w:id="36185" w:name="_ETM_Q65_207580"/>
      <w:bookmarkEnd w:id="36185"/>
      <w:r>
        <w:rPr>
          <w:rFonts w:hint="cs"/>
          <w:rtl/>
        </w:rPr>
        <w:t xml:space="preserve">יקנה </w:t>
      </w:r>
      <w:bookmarkStart w:id="36186" w:name="_ETM_Q65_208029"/>
      <w:bookmarkEnd w:id="36186"/>
      <w:r>
        <w:rPr>
          <w:rFonts w:hint="cs"/>
          <w:rtl/>
        </w:rPr>
        <w:t xml:space="preserve">חוגים? </w:t>
      </w:r>
      <w:bookmarkStart w:id="36187" w:name="_ETM_Q65_210400"/>
      <w:bookmarkEnd w:id="36187"/>
      <w:r w:rsidR="00A319DC">
        <w:rPr>
          <w:rFonts w:hint="cs"/>
          <w:rtl/>
        </w:rPr>
        <w:t xml:space="preserve">הוא יחכה </w:t>
      </w:r>
      <w:r>
        <w:rPr>
          <w:rFonts w:hint="cs"/>
          <w:rtl/>
        </w:rPr>
        <w:t xml:space="preserve">להוזלת </w:t>
      </w:r>
      <w:bookmarkStart w:id="36188" w:name="_ETM_Q65_211119"/>
      <w:bookmarkEnd w:id="36188"/>
      <w:r>
        <w:rPr>
          <w:rFonts w:hint="cs"/>
          <w:rtl/>
        </w:rPr>
        <w:t xml:space="preserve">הסל </w:t>
      </w:r>
      <w:bookmarkStart w:id="36189" w:name="_ETM_Q65_211480"/>
      <w:bookmarkEnd w:id="36189"/>
      <w:r>
        <w:rPr>
          <w:rFonts w:hint="cs"/>
          <w:rtl/>
        </w:rPr>
        <w:t xml:space="preserve">בסופר </w:t>
      </w:r>
      <w:bookmarkStart w:id="36190" w:name="_ETM_Q65_212710"/>
      <w:bookmarkEnd w:id="36190"/>
      <w:r>
        <w:rPr>
          <w:rFonts w:hint="cs"/>
          <w:rtl/>
        </w:rPr>
        <w:t xml:space="preserve">של </w:t>
      </w:r>
      <w:bookmarkStart w:id="36191" w:name="_ETM_Q65_212949"/>
      <w:bookmarkEnd w:id="36191"/>
      <w:r>
        <w:rPr>
          <w:rFonts w:hint="cs"/>
          <w:rtl/>
        </w:rPr>
        <w:t xml:space="preserve">מעמד </w:t>
      </w:r>
      <w:bookmarkStart w:id="36192" w:name="_ETM_Q65_213399"/>
      <w:bookmarkEnd w:id="36192"/>
      <w:r>
        <w:rPr>
          <w:rFonts w:hint="cs"/>
          <w:rtl/>
        </w:rPr>
        <w:t xml:space="preserve">הביניים </w:t>
      </w:r>
      <w:bookmarkStart w:id="36193" w:name="_ETM_Q65_214000"/>
      <w:bookmarkEnd w:id="36193"/>
      <w:r>
        <w:rPr>
          <w:rFonts w:hint="cs"/>
          <w:rtl/>
        </w:rPr>
        <w:t>הנמוך</w:t>
      </w:r>
      <w:r w:rsidR="00A319DC">
        <w:rPr>
          <w:rFonts w:hint="cs"/>
          <w:rtl/>
        </w:rPr>
        <w:t xml:space="preserve"> </w:t>
      </w:r>
      <w:r w:rsidR="00A319DC">
        <w:rPr>
          <w:rFonts w:hint="eastAsia"/>
          <w:rtl/>
        </w:rPr>
        <w:t>–</w:t>
      </w:r>
      <w:r w:rsidR="00A319DC">
        <w:rPr>
          <w:rFonts w:hint="cs"/>
          <w:rtl/>
        </w:rPr>
        <w:t xml:space="preserve"> ו</w:t>
      </w:r>
      <w:bookmarkStart w:id="36194" w:name="_ETM_Q65_216190"/>
      <w:bookmarkStart w:id="36195" w:name="_ETM_Q65_216430"/>
      <w:bookmarkEnd w:id="36194"/>
      <w:bookmarkEnd w:id="36195"/>
      <w:r>
        <w:rPr>
          <w:rFonts w:hint="cs"/>
          <w:rtl/>
        </w:rPr>
        <w:t xml:space="preserve">כל </w:t>
      </w:r>
      <w:bookmarkStart w:id="36196" w:name="_ETM_Q65_216729"/>
      <w:bookmarkEnd w:id="36196"/>
      <w:r>
        <w:rPr>
          <w:rFonts w:hint="cs"/>
          <w:rtl/>
        </w:rPr>
        <w:t xml:space="preserve">אותם </w:t>
      </w:r>
      <w:bookmarkStart w:id="36197" w:name="_ETM_Q65_217090"/>
      <w:bookmarkEnd w:id="36197"/>
      <w:r w:rsidR="00A319DC">
        <w:rPr>
          <w:rFonts w:hint="cs"/>
          <w:rtl/>
        </w:rPr>
        <w:t>ש</w:t>
      </w:r>
      <w:r>
        <w:rPr>
          <w:rFonts w:hint="cs"/>
          <w:rtl/>
        </w:rPr>
        <w:t xml:space="preserve">אנשים </w:t>
      </w:r>
      <w:bookmarkStart w:id="36198" w:name="_ETM_Q65_217510"/>
      <w:bookmarkEnd w:id="36198"/>
      <w:r>
        <w:rPr>
          <w:rFonts w:hint="cs"/>
          <w:rtl/>
        </w:rPr>
        <w:t xml:space="preserve">מחכים </w:t>
      </w:r>
      <w:bookmarkStart w:id="36199" w:name="_ETM_Q65_218749"/>
      <w:bookmarkEnd w:id="36199"/>
      <w:r>
        <w:rPr>
          <w:rFonts w:hint="cs"/>
          <w:rtl/>
        </w:rPr>
        <w:t xml:space="preserve">בשדרות </w:t>
      </w:r>
      <w:bookmarkStart w:id="36200" w:name="_ETM_Q65_219979"/>
      <w:bookmarkEnd w:id="36200"/>
      <w:r>
        <w:rPr>
          <w:rFonts w:hint="cs"/>
          <w:rtl/>
        </w:rPr>
        <w:t xml:space="preserve">ובעוטף </w:t>
      </w:r>
      <w:bookmarkStart w:id="36201" w:name="_ETM_Q65_220699"/>
      <w:bookmarkEnd w:id="36201"/>
      <w:r>
        <w:rPr>
          <w:rFonts w:hint="cs"/>
          <w:rtl/>
        </w:rPr>
        <w:t xml:space="preserve">עזה, </w:t>
      </w:r>
      <w:bookmarkStart w:id="36202" w:name="_ETM_Q65_221149"/>
      <w:bookmarkEnd w:id="36202"/>
      <w:r>
        <w:rPr>
          <w:rFonts w:hint="cs"/>
          <w:rtl/>
        </w:rPr>
        <w:t xml:space="preserve">ועכשיו </w:t>
      </w:r>
      <w:bookmarkStart w:id="36203" w:name="_ETM_Q65_221659"/>
      <w:bookmarkEnd w:id="36203"/>
      <w:r>
        <w:rPr>
          <w:rFonts w:hint="cs"/>
          <w:rtl/>
        </w:rPr>
        <w:t xml:space="preserve">גם </w:t>
      </w:r>
      <w:bookmarkStart w:id="36204" w:name="_ETM_Q65_221870"/>
      <w:bookmarkEnd w:id="36204"/>
      <w:r>
        <w:rPr>
          <w:rFonts w:hint="cs"/>
          <w:rtl/>
        </w:rPr>
        <w:t xml:space="preserve">בצפון, </w:t>
      </w:r>
      <w:bookmarkStart w:id="36205" w:name="_ETM_Q65_223039"/>
      <w:bookmarkEnd w:id="36205"/>
      <w:r>
        <w:rPr>
          <w:rFonts w:hint="cs"/>
          <w:rtl/>
        </w:rPr>
        <w:t xml:space="preserve">שיפסיקו </w:t>
      </w:r>
      <w:bookmarkStart w:id="36206" w:name="_ETM_Q65_223670"/>
      <w:bookmarkEnd w:id="36206"/>
      <w:r>
        <w:rPr>
          <w:rFonts w:hint="cs"/>
          <w:rtl/>
        </w:rPr>
        <w:t xml:space="preserve">לירות </w:t>
      </w:r>
      <w:bookmarkStart w:id="36207" w:name="_ETM_Q65_224089"/>
      <w:bookmarkEnd w:id="36207"/>
      <w:r>
        <w:rPr>
          <w:rFonts w:hint="cs"/>
          <w:rtl/>
        </w:rPr>
        <w:t xml:space="preserve">עליהם </w:t>
      </w:r>
      <w:bookmarkStart w:id="36208" w:name="_ETM_Q65_224510"/>
      <w:bookmarkEnd w:id="36208"/>
      <w:r>
        <w:rPr>
          <w:rFonts w:hint="cs"/>
          <w:rtl/>
        </w:rPr>
        <w:t xml:space="preserve">טילים, </w:t>
      </w:r>
      <w:bookmarkStart w:id="36209" w:name="_ETM_Q65_225559"/>
      <w:bookmarkEnd w:id="36209"/>
      <w:r>
        <w:rPr>
          <w:rFonts w:hint="cs"/>
          <w:rtl/>
        </w:rPr>
        <w:t xml:space="preserve">וכל </w:t>
      </w:r>
      <w:bookmarkStart w:id="36210" w:name="_ETM_Q65_226010"/>
      <w:bookmarkEnd w:id="36210"/>
      <w:r>
        <w:rPr>
          <w:rFonts w:hint="cs"/>
          <w:rtl/>
        </w:rPr>
        <w:t xml:space="preserve">האנשים </w:t>
      </w:r>
      <w:bookmarkStart w:id="36211" w:name="_ETM_Q65_226399"/>
      <w:bookmarkEnd w:id="36211"/>
      <w:r>
        <w:rPr>
          <w:rFonts w:hint="cs"/>
          <w:rtl/>
        </w:rPr>
        <w:t xml:space="preserve">שמחכים לביטחון אישי </w:t>
      </w:r>
      <w:bookmarkStart w:id="36212" w:name="_ETM_Q65_229000"/>
      <w:bookmarkEnd w:id="36212"/>
      <w:r>
        <w:rPr>
          <w:rFonts w:hint="cs"/>
          <w:rtl/>
        </w:rPr>
        <w:t xml:space="preserve">ומחכים שלא יהיו פיגועים ביהודה ושומרון </w:t>
      </w:r>
      <w:r w:rsidR="00A319DC">
        <w:rPr>
          <w:rFonts w:hint="eastAsia"/>
          <w:rtl/>
        </w:rPr>
        <w:t>–</w:t>
      </w:r>
      <w:r w:rsidR="00A319DC">
        <w:rPr>
          <w:rFonts w:hint="cs"/>
          <w:rtl/>
        </w:rPr>
        <w:t xml:space="preserve"> ו</w:t>
      </w:r>
      <w:r>
        <w:rPr>
          <w:rFonts w:hint="cs"/>
          <w:rtl/>
        </w:rPr>
        <w:t xml:space="preserve">להוזלת המים והחשמל. </w:t>
      </w:r>
    </w:p>
    <w:p w:rsidR="00BB59CD" w:rsidRDefault="00BB59CD" w:rsidP="00BB59CD">
      <w:pPr>
        <w:rPr>
          <w:rtl/>
        </w:rPr>
      </w:pPr>
    </w:p>
    <w:p w:rsidR="00BB59CD" w:rsidRDefault="00BB59CD" w:rsidP="00A319DC">
      <w:pPr>
        <w:rPr>
          <w:rtl/>
        </w:rPr>
      </w:pPr>
      <w:r>
        <w:rPr>
          <w:rFonts w:hint="cs"/>
          <w:rtl/>
        </w:rPr>
        <w:t xml:space="preserve">היה פה חוק – הקבלתי את ניתוקי החשמל למים, והצבעתי כל </w:t>
      </w:r>
      <w:bookmarkStart w:id="36213" w:name="_ETM_Q65_241000"/>
      <w:bookmarkEnd w:id="36213"/>
      <w:r>
        <w:rPr>
          <w:rFonts w:hint="cs"/>
          <w:rtl/>
        </w:rPr>
        <w:t xml:space="preserve">אותו בוקר בעד חוקים אישיים, </w:t>
      </w:r>
      <w:bookmarkStart w:id="36214" w:name="_ETM_Q65_226579"/>
      <w:bookmarkStart w:id="36215" w:name="_ETM_Q65_226969"/>
      <w:bookmarkStart w:id="36216" w:name="_ETM_Q65_227570"/>
      <w:bookmarkStart w:id="36217" w:name="_ETM_Q65_228559"/>
      <w:bookmarkStart w:id="36218" w:name="_ETM_Q65_229249"/>
      <w:bookmarkStart w:id="36219" w:name="_ETM_Q65_229519"/>
      <w:bookmarkStart w:id="36220" w:name="_ETM_Q65_229699"/>
      <w:bookmarkStart w:id="36221" w:name="_ETM_Q65_230239"/>
      <w:bookmarkStart w:id="36222" w:name="_ETM_Q65_230570"/>
      <w:bookmarkStart w:id="36223" w:name="_ETM_Q65_232250"/>
      <w:bookmarkStart w:id="36224" w:name="_ETM_Q65_232940"/>
      <w:bookmarkStart w:id="36225" w:name="_ETM_Q65_233300"/>
      <w:bookmarkStart w:id="36226" w:name="_ETM_Q65_234550"/>
      <w:bookmarkStart w:id="36227" w:name="_ETM_Q65_234820"/>
      <w:bookmarkStart w:id="36228" w:name="_ETM_Q65_235000"/>
      <w:bookmarkStart w:id="36229" w:name="_ETM_Q65_236210"/>
      <w:bookmarkStart w:id="36230" w:name="_ETM_Q65_236989"/>
      <w:bookmarkStart w:id="36231" w:name="_ETM_Q65_237170"/>
      <w:bookmarkStart w:id="36232" w:name="_ETM_Q65_237649"/>
      <w:bookmarkStart w:id="36233" w:name="_ETM_Q65_238160"/>
      <w:bookmarkStart w:id="36234" w:name="_ETM_Q65_239629"/>
      <w:bookmarkStart w:id="36235" w:name="_ETM_Q65_240409"/>
      <w:bookmarkStart w:id="36236" w:name="_ETM_Q65_240620"/>
      <w:bookmarkStart w:id="36237" w:name="_ETM_Q65_240829"/>
      <w:bookmarkStart w:id="36238" w:name="_ETM_Q65_241249"/>
      <w:bookmarkStart w:id="36239" w:name="_ETM_Q65_241579"/>
      <w:bookmarkStart w:id="36240" w:name="_ETM_Q65_242059"/>
      <w:bookmarkStart w:id="36241" w:name="_ETM_Q65_242570"/>
      <w:bookmarkEnd w:id="36214"/>
      <w:bookmarkEnd w:id="36215"/>
      <w:bookmarkEnd w:id="36216"/>
      <w:bookmarkEnd w:id="36217"/>
      <w:bookmarkEnd w:id="36218"/>
      <w:bookmarkEnd w:id="36219"/>
      <w:bookmarkEnd w:id="36220"/>
      <w:bookmarkEnd w:id="36221"/>
      <w:bookmarkEnd w:id="36222"/>
      <w:bookmarkEnd w:id="36223"/>
      <w:bookmarkEnd w:id="36224"/>
      <w:bookmarkEnd w:id="36225"/>
      <w:bookmarkEnd w:id="36226"/>
      <w:bookmarkEnd w:id="36227"/>
      <w:bookmarkEnd w:id="36228"/>
      <w:bookmarkEnd w:id="36229"/>
      <w:bookmarkEnd w:id="36230"/>
      <w:bookmarkEnd w:id="36231"/>
      <w:bookmarkEnd w:id="36232"/>
      <w:bookmarkEnd w:id="36233"/>
      <w:bookmarkEnd w:id="36234"/>
      <w:bookmarkEnd w:id="36235"/>
      <w:bookmarkEnd w:id="36236"/>
      <w:bookmarkEnd w:id="36237"/>
      <w:bookmarkEnd w:id="36238"/>
      <w:bookmarkEnd w:id="36239"/>
      <w:bookmarkEnd w:id="36240"/>
      <w:bookmarkEnd w:id="36241"/>
      <w:r>
        <w:rPr>
          <w:rFonts w:hint="cs"/>
          <w:rtl/>
        </w:rPr>
        <w:t xml:space="preserve">חברתיים, </w:t>
      </w:r>
      <w:bookmarkStart w:id="36242" w:name="_ETM_Q65_243199"/>
      <w:bookmarkEnd w:id="36242"/>
      <w:r>
        <w:rPr>
          <w:rFonts w:hint="cs"/>
          <w:rtl/>
        </w:rPr>
        <w:t xml:space="preserve">של </w:t>
      </w:r>
      <w:bookmarkStart w:id="36243" w:name="_ETM_Q65_243379"/>
      <w:bookmarkEnd w:id="36243"/>
      <w:r>
        <w:rPr>
          <w:rFonts w:hint="cs"/>
          <w:rtl/>
        </w:rPr>
        <w:t xml:space="preserve">הקואליציה. </w:t>
      </w:r>
      <w:bookmarkStart w:id="36244" w:name="_ETM_Q65_244580"/>
      <w:bookmarkEnd w:id="36244"/>
      <w:r>
        <w:rPr>
          <w:rFonts w:hint="cs"/>
          <w:rtl/>
        </w:rPr>
        <w:t xml:space="preserve">באתי </w:t>
      </w:r>
      <w:bookmarkStart w:id="36245" w:name="_ETM_Q65_244909"/>
      <w:bookmarkEnd w:id="36245"/>
      <w:r>
        <w:rPr>
          <w:rFonts w:hint="cs"/>
          <w:rtl/>
        </w:rPr>
        <w:t xml:space="preserve">ואמרתי: </w:t>
      </w:r>
      <w:bookmarkStart w:id="36246" w:name="_ETM_Q65_245360"/>
      <w:bookmarkEnd w:id="36246"/>
      <w:r>
        <w:rPr>
          <w:rFonts w:hint="cs"/>
          <w:rtl/>
        </w:rPr>
        <w:t xml:space="preserve">בואו </w:t>
      </w:r>
      <w:bookmarkStart w:id="36247" w:name="_ETM_Q65_245540"/>
      <w:bookmarkEnd w:id="36247"/>
      <w:r>
        <w:rPr>
          <w:rFonts w:hint="cs"/>
          <w:rtl/>
        </w:rPr>
        <w:t xml:space="preserve">ניקח </w:t>
      </w:r>
      <w:bookmarkStart w:id="36248" w:name="_ETM_Q65_245930"/>
      <w:bookmarkEnd w:id="36248"/>
      <w:r>
        <w:rPr>
          <w:rFonts w:hint="cs"/>
          <w:rtl/>
        </w:rPr>
        <w:t xml:space="preserve">את </w:t>
      </w:r>
      <w:bookmarkStart w:id="36249" w:name="_ETM_Q65_246080"/>
      <w:bookmarkEnd w:id="36249"/>
      <w:r>
        <w:rPr>
          <w:rFonts w:hint="cs"/>
          <w:rtl/>
        </w:rPr>
        <w:t xml:space="preserve">חוק </w:t>
      </w:r>
      <w:bookmarkStart w:id="36250" w:name="_ETM_Q65_246350"/>
      <w:bookmarkEnd w:id="36250"/>
      <w:r>
        <w:rPr>
          <w:rFonts w:hint="cs"/>
          <w:rtl/>
        </w:rPr>
        <w:t xml:space="preserve">החשמל </w:t>
      </w:r>
      <w:bookmarkStart w:id="36251" w:name="_ETM_Q65_246920"/>
      <w:bookmarkEnd w:id="36251"/>
      <w:r>
        <w:rPr>
          <w:rFonts w:hint="cs"/>
          <w:rtl/>
        </w:rPr>
        <w:t xml:space="preserve">– כמו </w:t>
      </w:r>
      <w:bookmarkStart w:id="36252" w:name="_ETM_Q65_247220"/>
      <w:bookmarkEnd w:id="36252"/>
      <w:r>
        <w:rPr>
          <w:rFonts w:hint="cs"/>
          <w:rtl/>
        </w:rPr>
        <w:t xml:space="preserve">מים. </w:t>
      </w:r>
      <w:bookmarkStart w:id="36253" w:name="_ETM_Q65_248090"/>
      <w:bookmarkEnd w:id="36253"/>
      <w:r>
        <w:rPr>
          <w:rFonts w:hint="cs"/>
          <w:rtl/>
        </w:rPr>
        <w:t xml:space="preserve">מים </w:t>
      </w:r>
      <w:bookmarkStart w:id="36254" w:name="_ETM_Q65_248450"/>
      <w:bookmarkEnd w:id="36254"/>
      <w:r w:rsidR="00A319DC">
        <w:rPr>
          <w:rFonts w:hint="cs"/>
          <w:rtl/>
        </w:rPr>
        <w:t xml:space="preserve">הם </w:t>
      </w:r>
      <w:bookmarkStart w:id="36255" w:name="_ETM_Q0_38474119"/>
      <w:bookmarkEnd w:id="36255"/>
      <w:r>
        <w:rPr>
          <w:rFonts w:hint="cs"/>
          <w:rtl/>
        </w:rPr>
        <w:t xml:space="preserve">מוצר </w:t>
      </w:r>
      <w:bookmarkStart w:id="36256" w:name="_ETM_Q65_248810"/>
      <w:bookmarkEnd w:id="36256"/>
      <w:r>
        <w:rPr>
          <w:rFonts w:hint="cs"/>
          <w:rtl/>
        </w:rPr>
        <w:t xml:space="preserve">יסוד, </w:t>
      </w:r>
      <w:bookmarkStart w:id="36257" w:name="_ETM_Q65_249229"/>
      <w:bookmarkEnd w:id="36257"/>
      <w:r>
        <w:rPr>
          <w:rFonts w:hint="cs"/>
          <w:rtl/>
        </w:rPr>
        <w:t xml:space="preserve">חשמל </w:t>
      </w:r>
      <w:bookmarkStart w:id="36258" w:name="_ETM_Q65_249649"/>
      <w:bookmarkEnd w:id="36258"/>
      <w:r w:rsidR="00A319DC">
        <w:rPr>
          <w:rFonts w:hint="cs"/>
          <w:rtl/>
        </w:rPr>
        <w:t xml:space="preserve">הוא </w:t>
      </w:r>
      <w:r>
        <w:rPr>
          <w:rFonts w:hint="cs"/>
          <w:rtl/>
        </w:rPr>
        <w:t xml:space="preserve">מוצר </w:t>
      </w:r>
      <w:bookmarkStart w:id="36259" w:name="_ETM_Q65_250100"/>
      <w:bookmarkEnd w:id="36259"/>
      <w:r>
        <w:rPr>
          <w:rFonts w:hint="cs"/>
          <w:rtl/>
        </w:rPr>
        <w:t xml:space="preserve">יסוד. </w:t>
      </w:r>
      <w:bookmarkStart w:id="36260" w:name="_ETM_Q65_250980"/>
      <w:bookmarkEnd w:id="36260"/>
      <w:r>
        <w:rPr>
          <w:rFonts w:hint="cs"/>
          <w:rtl/>
        </w:rPr>
        <w:t xml:space="preserve">לפי </w:t>
      </w:r>
      <w:bookmarkStart w:id="36261" w:name="_ETM_Q65_251310"/>
      <w:bookmarkEnd w:id="36261"/>
      <w:r>
        <w:rPr>
          <w:rFonts w:hint="cs"/>
          <w:rtl/>
        </w:rPr>
        <w:t xml:space="preserve">חוק </w:t>
      </w:r>
      <w:bookmarkStart w:id="36262" w:name="_ETM_Q65_251610"/>
      <w:bookmarkEnd w:id="36262"/>
      <w:r>
        <w:rPr>
          <w:rFonts w:hint="cs"/>
          <w:rtl/>
        </w:rPr>
        <w:t xml:space="preserve">העיקולים, </w:t>
      </w:r>
      <w:bookmarkStart w:id="36263" w:name="_ETM_Q65_252150"/>
      <w:bookmarkEnd w:id="36263"/>
      <w:r>
        <w:rPr>
          <w:rFonts w:hint="cs"/>
          <w:rtl/>
        </w:rPr>
        <w:t xml:space="preserve">אסור </w:t>
      </w:r>
      <w:bookmarkStart w:id="36264" w:name="_ETM_Q65_252540"/>
      <w:bookmarkEnd w:id="36264"/>
      <w:r>
        <w:rPr>
          <w:rFonts w:hint="cs"/>
          <w:rtl/>
        </w:rPr>
        <w:t xml:space="preserve">לעקל לבן אדם מקרר. היושב-ראש, </w:t>
      </w:r>
      <w:bookmarkStart w:id="36265" w:name="_ETM_Q65_256000"/>
      <w:bookmarkEnd w:id="36265"/>
      <w:r>
        <w:rPr>
          <w:rFonts w:hint="cs"/>
          <w:rtl/>
        </w:rPr>
        <w:t>לא היית כאן</w:t>
      </w:r>
      <w:r w:rsidR="00A319DC">
        <w:rPr>
          <w:rFonts w:hint="cs"/>
          <w:rtl/>
        </w:rPr>
        <w:t>;</w:t>
      </w:r>
      <w:r>
        <w:rPr>
          <w:rFonts w:hint="cs"/>
          <w:rtl/>
        </w:rPr>
        <w:t xml:space="preserve"> </w:t>
      </w:r>
      <w:bookmarkStart w:id="36266" w:name="_ETM_Q65_252690"/>
      <w:bookmarkStart w:id="36267" w:name="_ETM_Q65_252959"/>
      <w:bookmarkStart w:id="36268" w:name="_ETM_Q65_253380"/>
      <w:bookmarkStart w:id="36269" w:name="_ETM_Q65_253890"/>
      <w:bookmarkStart w:id="36270" w:name="_ETM_Q65_254100"/>
      <w:bookmarkStart w:id="36271" w:name="_ETM_Q65_254819"/>
      <w:bookmarkStart w:id="36272" w:name="_ETM_Q65_254970"/>
      <w:bookmarkStart w:id="36273" w:name="_ETM_Q65_255300"/>
      <w:bookmarkStart w:id="36274" w:name="_ETM_Q65_255510"/>
      <w:bookmarkStart w:id="36275" w:name="_ETM_Q65_255840"/>
      <w:bookmarkStart w:id="36276" w:name="_ETM_Q65_256080"/>
      <w:bookmarkStart w:id="36277" w:name="_ETM_Q65_256410"/>
      <w:bookmarkStart w:id="36278" w:name="_ETM_Q65_256800"/>
      <w:bookmarkStart w:id="36279" w:name="_ETM_Q65_257610"/>
      <w:bookmarkStart w:id="36280" w:name="_ETM_Q65_257880"/>
      <w:bookmarkEnd w:id="36266"/>
      <w:bookmarkEnd w:id="36267"/>
      <w:bookmarkEnd w:id="36268"/>
      <w:bookmarkEnd w:id="36269"/>
      <w:bookmarkEnd w:id="36270"/>
      <w:bookmarkEnd w:id="36271"/>
      <w:bookmarkEnd w:id="36272"/>
      <w:bookmarkEnd w:id="36273"/>
      <w:bookmarkEnd w:id="36274"/>
      <w:bookmarkEnd w:id="36275"/>
      <w:bookmarkEnd w:id="36276"/>
      <w:bookmarkEnd w:id="36277"/>
      <w:bookmarkEnd w:id="36278"/>
      <w:bookmarkEnd w:id="36279"/>
      <w:bookmarkEnd w:id="36280"/>
      <w:r>
        <w:rPr>
          <w:rFonts w:hint="cs"/>
          <w:rtl/>
        </w:rPr>
        <w:t xml:space="preserve">לדעתי כבר </w:t>
      </w:r>
      <w:bookmarkStart w:id="36281" w:name="_ETM_Q65_258300"/>
      <w:bookmarkEnd w:id="36281"/>
      <w:r>
        <w:rPr>
          <w:rFonts w:hint="cs"/>
          <w:rtl/>
        </w:rPr>
        <w:t xml:space="preserve">מ-1967 </w:t>
      </w:r>
      <w:bookmarkStart w:id="36282" w:name="_ETM_Q65_259290"/>
      <w:bookmarkEnd w:id="36282"/>
      <w:r w:rsidR="00A319DC">
        <w:rPr>
          <w:rFonts w:hint="cs"/>
          <w:rtl/>
        </w:rPr>
        <w:t xml:space="preserve">אסור לקחת למישהו </w:t>
      </w:r>
      <w:r>
        <w:rPr>
          <w:rFonts w:hint="cs"/>
          <w:rtl/>
        </w:rPr>
        <w:t xml:space="preserve">את המקרר שלו, </w:t>
      </w:r>
      <w:bookmarkStart w:id="36283" w:name="_ETM_Q65_262000"/>
      <w:bookmarkEnd w:id="36283"/>
      <w:r>
        <w:rPr>
          <w:rFonts w:hint="cs"/>
          <w:rtl/>
        </w:rPr>
        <w:t>כי קבעו שזה קיום בכבוד, המקרר. בחוק עיקולים.</w:t>
      </w:r>
    </w:p>
    <w:p w:rsidR="00BB59CD" w:rsidRDefault="00BB59CD" w:rsidP="00BB59CD">
      <w:pPr>
        <w:rPr>
          <w:rtl/>
        </w:rPr>
      </w:pPr>
      <w:bookmarkStart w:id="36284" w:name="_ETM_Q65_265000"/>
      <w:bookmarkEnd w:id="36284"/>
    </w:p>
    <w:p w:rsidR="00BB59CD" w:rsidRDefault="00BB59CD" w:rsidP="00BB59CD">
      <w:pPr>
        <w:pStyle w:val="af9"/>
        <w:keepNext/>
        <w:rPr>
          <w:rtl/>
        </w:rPr>
      </w:pPr>
      <w:bookmarkStart w:id="36285" w:name="ET_yor_6423_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6285"/>
    </w:p>
    <w:p w:rsidR="00BB59CD" w:rsidRDefault="00BB59CD" w:rsidP="00337201">
      <w:pPr>
        <w:rPr>
          <w:rtl/>
        </w:rPr>
      </w:pPr>
    </w:p>
    <w:p w:rsidR="00BB59CD" w:rsidRDefault="00BB59CD" w:rsidP="00BB59CD">
      <w:pPr>
        <w:rPr>
          <w:rtl/>
        </w:rPr>
      </w:pPr>
      <w:bookmarkStart w:id="36286" w:name="_ETM_Q65_264000"/>
      <w:bookmarkEnd w:id="36286"/>
      <w:r>
        <w:rPr>
          <w:rFonts w:hint="cs"/>
          <w:rtl/>
        </w:rPr>
        <w:t xml:space="preserve">ב-1967 הייתי בן </w:t>
      </w:r>
      <w:bookmarkStart w:id="36287" w:name="_ETM_Q65_269000"/>
      <w:bookmarkEnd w:id="36287"/>
      <w:r>
        <w:rPr>
          <w:rFonts w:hint="cs"/>
          <w:rtl/>
        </w:rPr>
        <w:t>מינוס תשע.</w:t>
      </w:r>
    </w:p>
    <w:p w:rsidR="00BB59CD" w:rsidRDefault="00BB59CD" w:rsidP="00BB59CD">
      <w:pPr>
        <w:rPr>
          <w:rtl/>
        </w:rPr>
      </w:pPr>
      <w:bookmarkStart w:id="36288" w:name="_ETM_Q65_270000"/>
      <w:bookmarkEnd w:id="36288"/>
    </w:p>
    <w:p w:rsidR="00BB59CD" w:rsidRDefault="00BB59CD" w:rsidP="00BB59CD">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A319DC">
      <w:pPr>
        <w:rPr>
          <w:rtl/>
        </w:rPr>
      </w:pPr>
      <w:bookmarkStart w:id="36289" w:name="_ETM_Q65_267000"/>
      <w:bookmarkEnd w:id="36289"/>
      <w:r>
        <w:rPr>
          <w:rFonts w:hint="cs"/>
          <w:rtl/>
        </w:rPr>
        <w:t>בסדר. גם אני לא הייתי ב-1967, אני – 1970</w:t>
      </w:r>
      <w:r w:rsidR="00A319DC">
        <w:rPr>
          <w:rFonts w:hint="cs"/>
          <w:rtl/>
        </w:rPr>
        <w:t>.</w:t>
      </w:r>
      <w:r>
        <w:rPr>
          <w:rFonts w:hint="cs"/>
          <w:rtl/>
        </w:rPr>
        <w:t xml:space="preserve"> </w:t>
      </w:r>
      <w:bookmarkStart w:id="36290" w:name="_ETM_Q65_272000"/>
      <w:bookmarkEnd w:id="36290"/>
      <w:r>
        <w:rPr>
          <w:rFonts w:hint="cs"/>
          <w:rtl/>
        </w:rPr>
        <w:t>אז אמרו: אל תיקח</w:t>
      </w:r>
      <w:r w:rsidR="00A319DC">
        <w:rPr>
          <w:rFonts w:hint="cs"/>
          <w:rtl/>
        </w:rPr>
        <w:t>ו</w:t>
      </w:r>
      <w:r>
        <w:rPr>
          <w:rFonts w:hint="cs"/>
          <w:rtl/>
        </w:rPr>
        <w:t xml:space="preserve"> לו מקרר כי זה קיום בכבוד</w:t>
      </w:r>
      <w:r w:rsidR="00A319DC">
        <w:rPr>
          <w:rFonts w:hint="cs"/>
          <w:rtl/>
        </w:rPr>
        <w:t>;</w:t>
      </w:r>
      <w:r>
        <w:rPr>
          <w:rFonts w:hint="cs"/>
          <w:rtl/>
        </w:rPr>
        <w:t xml:space="preserve"> </w:t>
      </w:r>
      <w:bookmarkStart w:id="36291" w:name="_ETM_Q65_275000"/>
      <w:bookmarkEnd w:id="36291"/>
      <w:r>
        <w:rPr>
          <w:rFonts w:hint="cs"/>
          <w:rtl/>
        </w:rPr>
        <w:t xml:space="preserve">אבל מה, אפשר לקחת לו את החשמל. אתה משאיר לו מקרר </w:t>
      </w:r>
      <w:bookmarkStart w:id="36292" w:name="_ETM_Q65_281000"/>
      <w:bookmarkEnd w:id="36292"/>
      <w:r>
        <w:rPr>
          <w:rFonts w:hint="cs"/>
          <w:rtl/>
        </w:rPr>
        <w:t>בלי חשמל? ובמים יש ועדה מייעצת. הבאתי חוק עם ועדה מייעצת.</w:t>
      </w:r>
      <w:r w:rsidR="00A319DC">
        <w:rPr>
          <w:rFonts w:hint="cs"/>
          <w:rtl/>
        </w:rPr>
        <w:t xml:space="preserve"> </w:t>
      </w:r>
      <w:r>
        <w:rPr>
          <w:rFonts w:hint="cs"/>
          <w:rtl/>
        </w:rPr>
        <w:t xml:space="preserve">אני </w:t>
      </w:r>
      <w:bookmarkStart w:id="36293" w:name="_ETM_Q65_285000"/>
      <w:bookmarkEnd w:id="36293"/>
      <w:r>
        <w:rPr>
          <w:rFonts w:hint="cs"/>
          <w:rtl/>
        </w:rPr>
        <w:t xml:space="preserve">אומר לך, חברים שלי, חלקם הצביעו נגד ובאו להתנצל, וחברים, </w:t>
      </w:r>
      <w:bookmarkStart w:id="36294" w:name="_ETM_Q65_292000"/>
      <w:bookmarkEnd w:id="36294"/>
      <w:r>
        <w:rPr>
          <w:rFonts w:hint="cs"/>
          <w:rtl/>
        </w:rPr>
        <w:t xml:space="preserve">מהבושה ברחו מהאולם. למה? יש כבר חוק במים, אותו חוק, </w:t>
      </w:r>
      <w:bookmarkStart w:id="36295" w:name="_ETM_Q65_295000"/>
      <w:bookmarkEnd w:id="36295"/>
      <w:r>
        <w:rPr>
          <w:rFonts w:hint="cs"/>
          <w:rtl/>
        </w:rPr>
        <w:t xml:space="preserve">אני לא אביא שום דבר שונה. מים זה קיום בכבוד, חשמל זה קיום בכבוד. </w:t>
      </w:r>
      <w:bookmarkStart w:id="36296" w:name="_ETM_Q65_301000"/>
      <w:bookmarkEnd w:id="36296"/>
      <w:r>
        <w:rPr>
          <w:rFonts w:hint="cs"/>
          <w:rtl/>
        </w:rPr>
        <w:t>אלה דברים יסודיים.</w:t>
      </w:r>
    </w:p>
    <w:p w:rsidR="00BB59CD" w:rsidRDefault="00BB59CD" w:rsidP="00BB59CD">
      <w:pPr>
        <w:rPr>
          <w:rtl/>
        </w:rPr>
      </w:pPr>
    </w:p>
    <w:p w:rsidR="00BB59CD" w:rsidRDefault="00BB59CD" w:rsidP="00A319DC">
      <w:pPr>
        <w:rPr>
          <w:rtl/>
        </w:rPr>
      </w:pPr>
      <w:bookmarkStart w:id="36297" w:name="_ETM_Q65_307000"/>
      <w:bookmarkEnd w:id="36297"/>
      <w:r>
        <w:rPr>
          <w:rFonts w:hint="cs"/>
          <w:rtl/>
        </w:rPr>
        <w:t xml:space="preserve">אנחנו נחכה לדיור ציבורי, </w:t>
      </w:r>
      <w:bookmarkStart w:id="36298" w:name="_ETM_Q65_310000"/>
      <w:bookmarkEnd w:id="36298"/>
      <w:r>
        <w:rPr>
          <w:rFonts w:hint="cs"/>
          <w:rtl/>
        </w:rPr>
        <w:t xml:space="preserve">להורדת מע"מ, להקפאת ארנונה. אלה </w:t>
      </w:r>
      <w:bookmarkStart w:id="36299" w:name="_ETM_Q65_302030"/>
      <w:bookmarkEnd w:id="36299"/>
      <w:r>
        <w:rPr>
          <w:rFonts w:hint="cs"/>
          <w:rtl/>
        </w:rPr>
        <w:t xml:space="preserve">דברים </w:t>
      </w:r>
      <w:bookmarkStart w:id="36300" w:name="_ETM_Q65_302510"/>
      <w:bookmarkEnd w:id="36300"/>
      <w:r>
        <w:rPr>
          <w:rFonts w:hint="cs"/>
          <w:rtl/>
        </w:rPr>
        <w:t xml:space="preserve">שאפילו לא התחלנו </w:t>
      </w:r>
      <w:bookmarkStart w:id="36301" w:name="_ETM_Q65_307439"/>
      <w:bookmarkStart w:id="36302" w:name="_ETM_Q65_307679"/>
      <w:bookmarkStart w:id="36303" w:name="_ETM_Q65_308069"/>
      <w:bookmarkStart w:id="36304" w:name="_ETM_Q65_308610"/>
      <w:bookmarkStart w:id="36305" w:name="_ETM_Q65_309180"/>
      <w:bookmarkStart w:id="36306" w:name="_ETM_Q65_309780"/>
      <w:bookmarkStart w:id="36307" w:name="_ETM_Q65_310409"/>
      <w:bookmarkStart w:id="36308" w:name="_ETM_Q65_310829"/>
      <w:bookmarkStart w:id="36309" w:name="_ETM_Q65_311430"/>
      <w:bookmarkStart w:id="36310" w:name="_ETM_Q65_312959"/>
      <w:bookmarkStart w:id="36311" w:name="_ETM_Q65_313230"/>
      <w:bookmarkStart w:id="36312" w:name="_ETM_Q65_313620"/>
      <w:bookmarkStart w:id="36313" w:name="_ETM_Q65_314129"/>
      <w:bookmarkStart w:id="36314" w:name="_ETM_Q65_314250"/>
      <w:bookmarkStart w:id="36315" w:name="_ETM_Q65_314639"/>
      <w:bookmarkEnd w:id="36301"/>
      <w:bookmarkEnd w:id="36302"/>
      <w:bookmarkEnd w:id="36303"/>
      <w:bookmarkEnd w:id="36304"/>
      <w:bookmarkEnd w:id="36305"/>
      <w:bookmarkEnd w:id="36306"/>
      <w:bookmarkEnd w:id="36307"/>
      <w:bookmarkEnd w:id="36308"/>
      <w:bookmarkEnd w:id="36309"/>
      <w:bookmarkEnd w:id="36310"/>
      <w:bookmarkEnd w:id="36311"/>
      <w:bookmarkEnd w:id="36312"/>
      <w:bookmarkEnd w:id="36313"/>
      <w:bookmarkEnd w:id="36314"/>
      <w:bookmarkEnd w:id="36315"/>
      <w:r>
        <w:rPr>
          <w:rFonts w:hint="cs"/>
          <w:rtl/>
        </w:rPr>
        <w:t xml:space="preserve">להביא </w:t>
      </w:r>
      <w:bookmarkStart w:id="36316" w:name="_ETM_Q65_315030"/>
      <w:bookmarkEnd w:id="36316"/>
      <w:r>
        <w:rPr>
          <w:rFonts w:hint="cs"/>
          <w:rtl/>
        </w:rPr>
        <w:t xml:space="preserve">בהם </w:t>
      </w:r>
      <w:bookmarkStart w:id="36317" w:name="_ETM_Q65_315269"/>
      <w:bookmarkEnd w:id="36317"/>
      <w:r>
        <w:rPr>
          <w:rFonts w:hint="cs"/>
          <w:rtl/>
        </w:rPr>
        <w:t xml:space="preserve">בשורה, </w:t>
      </w:r>
      <w:bookmarkStart w:id="36318" w:name="_ETM_Q65_316690"/>
      <w:bookmarkEnd w:id="36318"/>
      <w:r>
        <w:rPr>
          <w:rFonts w:hint="cs"/>
          <w:rtl/>
        </w:rPr>
        <w:t xml:space="preserve">לא </w:t>
      </w:r>
      <w:bookmarkStart w:id="36319" w:name="_ETM_Q65_316900"/>
      <w:bookmarkEnd w:id="36319"/>
      <w:r>
        <w:rPr>
          <w:rFonts w:hint="cs"/>
          <w:rtl/>
        </w:rPr>
        <w:t xml:space="preserve">בחינוך, </w:t>
      </w:r>
      <w:bookmarkStart w:id="36320" w:name="_ETM_Q65_317560"/>
      <w:bookmarkEnd w:id="36320"/>
      <w:r>
        <w:rPr>
          <w:rFonts w:hint="cs"/>
          <w:rtl/>
        </w:rPr>
        <w:t xml:space="preserve">לא </w:t>
      </w:r>
      <w:bookmarkStart w:id="36321" w:name="_ETM_Q65_317710"/>
      <w:bookmarkEnd w:id="36321"/>
      <w:r>
        <w:rPr>
          <w:rFonts w:hint="cs"/>
          <w:rtl/>
        </w:rPr>
        <w:t xml:space="preserve">בסופר, </w:t>
      </w:r>
      <w:bookmarkStart w:id="36322" w:name="_ETM_Q65_318400"/>
      <w:bookmarkEnd w:id="36322"/>
      <w:r>
        <w:rPr>
          <w:rFonts w:hint="cs"/>
          <w:rtl/>
        </w:rPr>
        <w:t xml:space="preserve">לא </w:t>
      </w:r>
      <w:bookmarkStart w:id="36323" w:name="_ETM_Q65_318520"/>
      <w:bookmarkEnd w:id="36323"/>
      <w:r>
        <w:rPr>
          <w:rFonts w:hint="cs"/>
          <w:rtl/>
        </w:rPr>
        <w:t xml:space="preserve">בעולמות </w:t>
      </w:r>
      <w:bookmarkStart w:id="36324" w:name="_ETM_Q65_319060"/>
      <w:bookmarkEnd w:id="36324"/>
      <w:r>
        <w:rPr>
          <w:rFonts w:hint="cs"/>
          <w:rtl/>
        </w:rPr>
        <w:t xml:space="preserve">שלמים. </w:t>
      </w:r>
      <w:bookmarkStart w:id="36325" w:name="_ETM_Q65_319930"/>
      <w:bookmarkEnd w:id="36325"/>
      <w:r>
        <w:rPr>
          <w:rFonts w:hint="cs"/>
          <w:rtl/>
        </w:rPr>
        <w:t xml:space="preserve">מדינה </w:t>
      </w:r>
      <w:bookmarkStart w:id="36326" w:name="_ETM_Q65_320470"/>
      <w:bookmarkEnd w:id="36326"/>
      <w:r>
        <w:rPr>
          <w:rFonts w:hint="cs"/>
          <w:rtl/>
        </w:rPr>
        <w:t xml:space="preserve">שלמה </w:t>
      </w:r>
      <w:bookmarkStart w:id="36327" w:name="_ETM_Q65_320889"/>
      <w:bookmarkEnd w:id="36327"/>
      <w:r>
        <w:rPr>
          <w:rFonts w:hint="cs"/>
          <w:rtl/>
        </w:rPr>
        <w:t xml:space="preserve">על </w:t>
      </w:r>
      <w:bookmarkStart w:id="36328" w:name="_ETM_Q65_321010"/>
      <w:bookmarkEnd w:id="36328"/>
      <w:r>
        <w:rPr>
          <w:rFonts w:hint="cs"/>
          <w:rtl/>
        </w:rPr>
        <w:t xml:space="preserve">כל </w:t>
      </w:r>
      <w:bookmarkStart w:id="36329" w:name="_ETM_Q65_321250"/>
      <w:bookmarkEnd w:id="36329"/>
      <w:r>
        <w:rPr>
          <w:rFonts w:hint="cs"/>
          <w:rtl/>
        </w:rPr>
        <w:t>כאב</w:t>
      </w:r>
      <w:bookmarkStart w:id="36330" w:name="_ETM_Q65_321550"/>
      <w:bookmarkEnd w:id="36330"/>
      <w:r>
        <w:rPr>
          <w:rFonts w:hint="cs"/>
          <w:rtl/>
        </w:rPr>
        <w:t>יה</w:t>
      </w:r>
      <w:bookmarkStart w:id="36331" w:name="_ETM_Q65_322210"/>
      <w:bookmarkEnd w:id="36331"/>
      <w:r>
        <w:rPr>
          <w:rFonts w:hint="cs"/>
          <w:rtl/>
        </w:rPr>
        <w:t>, וקשייה נדחק</w:t>
      </w:r>
      <w:r w:rsidR="00A319DC">
        <w:rPr>
          <w:rFonts w:hint="cs"/>
          <w:rtl/>
        </w:rPr>
        <w:t>ה</w:t>
      </w:r>
      <w:r>
        <w:rPr>
          <w:rFonts w:hint="cs"/>
          <w:rtl/>
        </w:rPr>
        <w:t xml:space="preserve"> </w:t>
      </w:r>
      <w:bookmarkStart w:id="36332" w:name="_ETM_Q65_323000"/>
      <w:bookmarkEnd w:id="36332"/>
      <w:r>
        <w:rPr>
          <w:rFonts w:hint="cs"/>
          <w:rtl/>
        </w:rPr>
        <w:t xml:space="preserve">לתחתית </w:t>
      </w:r>
      <w:bookmarkStart w:id="36333" w:name="_ETM_Q65_322660"/>
      <w:bookmarkStart w:id="36334" w:name="_ETM_Q65_323230"/>
      <w:bookmarkStart w:id="36335" w:name="_ETM_Q65_323889"/>
      <w:bookmarkEnd w:id="36333"/>
      <w:bookmarkEnd w:id="36334"/>
      <w:bookmarkEnd w:id="36335"/>
      <w:r>
        <w:rPr>
          <w:rFonts w:hint="cs"/>
          <w:rtl/>
        </w:rPr>
        <w:t xml:space="preserve">הערמה. </w:t>
      </w:r>
      <w:bookmarkStart w:id="36336" w:name="_ETM_Q65_324990"/>
      <w:bookmarkEnd w:id="36336"/>
      <w:r>
        <w:rPr>
          <w:rFonts w:hint="cs"/>
          <w:rtl/>
        </w:rPr>
        <w:t xml:space="preserve">כל </w:t>
      </w:r>
      <w:bookmarkStart w:id="36337" w:name="_ETM_Q65_325260"/>
      <w:bookmarkEnd w:id="36337"/>
      <w:r>
        <w:rPr>
          <w:rFonts w:hint="cs"/>
          <w:rtl/>
        </w:rPr>
        <w:t>ה</w:t>
      </w:r>
      <w:r w:rsidR="00A319DC">
        <w:rPr>
          <w:rFonts w:hint="cs"/>
          <w:rtl/>
        </w:rPr>
        <w:t>קשב</w:t>
      </w:r>
      <w:r>
        <w:rPr>
          <w:rFonts w:hint="cs"/>
          <w:rtl/>
        </w:rPr>
        <w:t xml:space="preserve"> שלנו הלך </w:t>
      </w:r>
      <w:bookmarkStart w:id="36338" w:name="_ETM_Q65_325740"/>
      <w:bookmarkStart w:id="36339" w:name="_ETM_Q65_326100"/>
      <w:bookmarkStart w:id="36340" w:name="_ETM_Q65_326370"/>
      <w:bookmarkEnd w:id="36338"/>
      <w:bookmarkEnd w:id="36339"/>
      <w:bookmarkEnd w:id="36340"/>
      <w:r>
        <w:rPr>
          <w:rFonts w:hint="cs"/>
          <w:rtl/>
        </w:rPr>
        <w:t xml:space="preserve">לרפורמה </w:t>
      </w:r>
      <w:bookmarkStart w:id="36341" w:name="_ETM_Q65_327060"/>
      <w:bookmarkEnd w:id="36341"/>
      <w:r>
        <w:rPr>
          <w:rFonts w:hint="cs"/>
          <w:rtl/>
        </w:rPr>
        <w:t xml:space="preserve">משפטית. </w:t>
      </w:r>
      <w:bookmarkStart w:id="36342" w:name="_ETM_Q65_328360"/>
      <w:bookmarkEnd w:id="36342"/>
      <w:r>
        <w:rPr>
          <w:rFonts w:hint="cs"/>
          <w:rtl/>
        </w:rPr>
        <w:t xml:space="preserve">הפכנו </w:t>
      </w:r>
      <w:bookmarkStart w:id="36343" w:name="_ETM_Q65_328930"/>
      <w:bookmarkEnd w:id="36343"/>
      <w:r>
        <w:rPr>
          <w:rFonts w:hint="cs"/>
          <w:rtl/>
        </w:rPr>
        <w:t xml:space="preserve">לשבויים </w:t>
      </w:r>
      <w:bookmarkStart w:id="36344" w:name="_ETM_Q65_329440"/>
      <w:bookmarkEnd w:id="36344"/>
      <w:r>
        <w:rPr>
          <w:rFonts w:hint="cs"/>
          <w:rtl/>
        </w:rPr>
        <w:t>לנושא אחד, לוועדה אחת, לשר אחד</w:t>
      </w:r>
      <w:bookmarkStart w:id="36345" w:name="_ETM_Q65_334000"/>
      <w:bookmarkEnd w:id="36345"/>
      <w:r>
        <w:rPr>
          <w:rFonts w:hint="cs"/>
          <w:rtl/>
        </w:rPr>
        <w:t xml:space="preserve">. בשביל מה? </w:t>
      </w:r>
      <w:bookmarkStart w:id="36346" w:name="_ETM_Q65_329950"/>
      <w:bookmarkStart w:id="36347" w:name="_ETM_Q65_331060"/>
      <w:bookmarkStart w:id="36348" w:name="_ETM_Q65_331750"/>
      <w:bookmarkStart w:id="36349" w:name="_ETM_Q65_332730"/>
      <w:bookmarkStart w:id="36350" w:name="_ETM_Q65_333299"/>
      <w:bookmarkStart w:id="36351" w:name="_ETM_Q65_334299"/>
      <w:bookmarkStart w:id="36352" w:name="_ETM_Q65_334840"/>
      <w:bookmarkStart w:id="36353" w:name="_ETM_Q65_335919"/>
      <w:bookmarkStart w:id="36354" w:name="_ETM_Q65_336280"/>
      <w:bookmarkEnd w:id="36346"/>
      <w:bookmarkEnd w:id="36347"/>
      <w:bookmarkEnd w:id="36348"/>
      <w:bookmarkEnd w:id="36349"/>
      <w:bookmarkEnd w:id="36350"/>
      <w:bookmarkEnd w:id="36351"/>
      <w:bookmarkEnd w:id="36352"/>
      <w:bookmarkEnd w:id="36353"/>
      <w:bookmarkEnd w:id="36354"/>
      <w:r>
        <w:rPr>
          <w:rFonts w:hint="cs"/>
          <w:rtl/>
        </w:rPr>
        <w:t xml:space="preserve">בשביל קרע שרק הולך ומעמיק ומפרק אותנו. </w:t>
      </w:r>
      <w:bookmarkStart w:id="36355" w:name="_ETM_Q65_342000"/>
      <w:bookmarkEnd w:id="36355"/>
      <w:r>
        <w:rPr>
          <w:rFonts w:hint="cs"/>
          <w:rtl/>
        </w:rPr>
        <w:t xml:space="preserve">אפילו הנושאים </w:t>
      </w:r>
      <w:bookmarkStart w:id="36356" w:name="_ETM_Q65_336760"/>
      <w:bookmarkStart w:id="36357" w:name="_ETM_Q65_337120"/>
      <w:bookmarkStart w:id="36358" w:name="_ETM_Q65_337419"/>
      <w:bookmarkStart w:id="36359" w:name="_ETM_Q65_337569"/>
      <w:bookmarkStart w:id="36360" w:name="_ETM_Q65_337690"/>
      <w:bookmarkStart w:id="36361" w:name="_ETM_Q65_338200"/>
      <w:bookmarkStart w:id="36362" w:name="_ETM_Q65_338860"/>
      <w:bookmarkStart w:id="36363" w:name="_ETM_Q65_340450"/>
      <w:bookmarkStart w:id="36364" w:name="_ETM_Q65_340810"/>
      <w:bookmarkStart w:id="36365" w:name="_ETM_Q65_341260"/>
      <w:bookmarkEnd w:id="36356"/>
      <w:bookmarkEnd w:id="36357"/>
      <w:bookmarkEnd w:id="36358"/>
      <w:bookmarkEnd w:id="36359"/>
      <w:bookmarkEnd w:id="36360"/>
      <w:bookmarkEnd w:id="36361"/>
      <w:bookmarkEnd w:id="36362"/>
      <w:bookmarkEnd w:id="36363"/>
      <w:bookmarkEnd w:id="36364"/>
      <w:bookmarkEnd w:id="36365"/>
      <w:r>
        <w:rPr>
          <w:rFonts w:hint="cs"/>
          <w:rtl/>
        </w:rPr>
        <w:t xml:space="preserve">שאנחנו </w:t>
      </w:r>
      <w:bookmarkStart w:id="36366" w:name="_ETM_Q65_341620"/>
      <w:bookmarkEnd w:id="36366"/>
      <w:r>
        <w:rPr>
          <w:rFonts w:hint="cs"/>
          <w:rtl/>
        </w:rPr>
        <w:t xml:space="preserve">מסכימים </w:t>
      </w:r>
      <w:bookmarkStart w:id="36367" w:name="_ETM_Q65_342250"/>
      <w:bookmarkEnd w:id="36367"/>
      <w:r>
        <w:rPr>
          <w:rFonts w:hint="cs"/>
          <w:rtl/>
        </w:rPr>
        <w:t xml:space="preserve">עליהם, </w:t>
      </w:r>
      <w:bookmarkStart w:id="36368" w:name="_ETM_Q65_343210"/>
      <w:bookmarkEnd w:id="36368"/>
      <w:r>
        <w:rPr>
          <w:rFonts w:hint="cs"/>
          <w:rtl/>
        </w:rPr>
        <w:t xml:space="preserve">שהצלחנו </w:t>
      </w:r>
      <w:bookmarkStart w:id="36369" w:name="_ETM_Q65_343840"/>
      <w:bookmarkEnd w:id="36369"/>
      <w:r>
        <w:rPr>
          <w:rFonts w:hint="cs"/>
          <w:rtl/>
        </w:rPr>
        <w:t xml:space="preserve">להביא </w:t>
      </w:r>
      <w:bookmarkStart w:id="36370" w:name="_ETM_Q65_344139"/>
      <w:bookmarkEnd w:id="36370"/>
      <w:r w:rsidR="00A319DC">
        <w:rPr>
          <w:rFonts w:hint="cs"/>
          <w:rtl/>
        </w:rPr>
        <w:t>ב</w:t>
      </w:r>
      <w:r>
        <w:rPr>
          <w:rFonts w:hint="cs"/>
          <w:rtl/>
        </w:rPr>
        <w:t xml:space="preserve">קריאה </w:t>
      </w:r>
      <w:bookmarkStart w:id="36371" w:name="_ETM_Q65_344560"/>
      <w:bookmarkEnd w:id="36371"/>
      <w:r>
        <w:rPr>
          <w:rFonts w:hint="cs"/>
          <w:rtl/>
        </w:rPr>
        <w:t xml:space="preserve">טרומית </w:t>
      </w:r>
      <w:bookmarkStart w:id="36372" w:name="_ETM_Q65_345160"/>
      <w:bookmarkEnd w:id="36372"/>
      <w:r>
        <w:rPr>
          <w:rFonts w:hint="cs"/>
          <w:rtl/>
        </w:rPr>
        <w:t xml:space="preserve">יחד </w:t>
      </w:r>
      <w:bookmarkStart w:id="36373" w:name="_ETM_Q65_345520"/>
      <w:bookmarkEnd w:id="36373"/>
      <w:r>
        <w:rPr>
          <w:rFonts w:hint="cs"/>
          <w:rtl/>
        </w:rPr>
        <w:t xml:space="preserve">עם </w:t>
      </w:r>
      <w:bookmarkStart w:id="36374" w:name="_ETM_Q65_345639"/>
      <w:bookmarkEnd w:id="36374"/>
      <w:r>
        <w:rPr>
          <w:rFonts w:hint="cs"/>
          <w:rtl/>
        </w:rPr>
        <w:t xml:space="preserve">הקואליציה, </w:t>
      </w:r>
      <w:bookmarkStart w:id="36375" w:name="_ETM_Q65_346950"/>
      <w:bookmarkEnd w:id="36375"/>
      <w:r>
        <w:rPr>
          <w:rFonts w:hint="cs"/>
          <w:rtl/>
        </w:rPr>
        <w:t xml:space="preserve">נדחקו </w:t>
      </w:r>
      <w:bookmarkStart w:id="36376" w:name="_ETM_Q65_347579"/>
      <w:bookmarkEnd w:id="36376"/>
      <w:r>
        <w:rPr>
          <w:rFonts w:hint="cs"/>
          <w:rtl/>
        </w:rPr>
        <w:t xml:space="preserve">לתחתית הערמה. </w:t>
      </w:r>
      <w:bookmarkStart w:id="36377" w:name="_ETM_Q65_348419"/>
      <w:bookmarkStart w:id="36378" w:name="_ETM_Q65_349750"/>
      <w:bookmarkEnd w:id="36377"/>
      <w:bookmarkEnd w:id="36378"/>
      <w:r>
        <w:rPr>
          <w:rFonts w:hint="cs"/>
          <w:rtl/>
        </w:rPr>
        <w:t xml:space="preserve">מדוע </w:t>
      </w:r>
      <w:bookmarkStart w:id="36379" w:name="_ETM_Q65_350200"/>
      <w:bookmarkEnd w:id="36379"/>
      <w:r>
        <w:rPr>
          <w:rFonts w:hint="cs"/>
          <w:rtl/>
        </w:rPr>
        <w:t xml:space="preserve">אנחנו כאן, בשבוע האחרון לפני תום </w:t>
      </w:r>
      <w:bookmarkStart w:id="36380" w:name="_ETM_Q65_354000"/>
      <w:bookmarkEnd w:id="36380"/>
      <w:r>
        <w:rPr>
          <w:rFonts w:hint="cs"/>
          <w:rtl/>
        </w:rPr>
        <w:t xml:space="preserve">מושב הכנסת, עוסקים </w:t>
      </w:r>
      <w:bookmarkStart w:id="36381" w:name="_ETM_Q65_350500"/>
      <w:bookmarkStart w:id="36382" w:name="_ETM_Q65_350740"/>
      <w:bookmarkStart w:id="36383" w:name="_ETM_Q65_351280"/>
      <w:bookmarkStart w:id="36384" w:name="_ETM_Q65_351730"/>
      <w:bookmarkStart w:id="36385" w:name="_ETM_Q65_352060"/>
      <w:bookmarkStart w:id="36386" w:name="_ETM_Q65_352389"/>
      <w:bookmarkStart w:id="36387" w:name="_ETM_Q65_352870"/>
      <w:bookmarkStart w:id="36388" w:name="_ETM_Q65_353919"/>
      <w:bookmarkStart w:id="36389" w:name="_ETM_Q65_354669"/>
      <w:bookmarkEnd w:id="36381"/>
      <w:bookmarkEnd w:id="36382"/>
      <w:bookmarkEnd w:id="36383"/>
      <w:bookmarkEnd w:id="36384"/>
      <w:bookmarkEnd w:id="36385"/>
      <w:bookmarkEnd w:id="36386"/>
      <w:bookmarkEnd w:id="36387"/>
      <w:bookmarkEnd w:id="36388"/>
      <w:bookmarkEnd w:id="36389"/>
      <w:r>
        <w:rPr>
          <w:rFonts w:hint="cs"/>
          <w:rtl/>
        </w:rPr>
        <w:t xml:space="preserve">26 </w:t>
      </w:r>
      <w:bookmarkStart w:id="36390" w:name="_ETM_Q65_355810"/>
      <w:bookmarkEnd w:id="36390"/>
      <w:r>
        <w:rPr>
          <w:rFonts w:hint="cs"/>
          <w:rtl/>
        </w:rPr>
        <w:t xml:space="preserve">שעות </w:t>
      </w:r>
      <w:bookmarkStart w:id="36391" w:name="_ETM_Q65_356200"/>
      <w:bookmarkEnd w:id="36391"/>
      <w:r>
        <w:rPr>
          <w:rFonts w:hint="cs"/>
          <w:rtl/>
        </w:rPr>
        <w:t xml:space="preserve">ברצף </w:t>
      </w:r>
      <w:bookmarkStart w:id="36392" w:name="_ETM_Q65_357889"/>
      <w:bookmarkEnd w:id="36392"/>
      <w:r>
        <w:rPr>
          <w:rFonts w:hint="cs"/>
          <w:rtl/>
        </w:rPr>
        <w:t xml:space="preserve">בדיון על סעיף אחד, על עילת הסבירות, </w:t>
      </w:r>
      <w:bookmarkStart w:id="36393" w:name="_ETM_Q65_363000"/>
      <w:bookmarkEnd w:id="36393"/>
      <w:r>
        <w:rPr>
          <w:rFonts w:hint="cs"/>
          <w:rtl/>
        </w:rPr>
        <w:t>ו</w:t>
      </w:r>
      <w:r w:rsidR="00A319DC">
        <w:rPr>
          <w:rFonts w:hint="cs"/>
          <w:rtl/>
        </w:rPr>
        <w:t xml:space="preserve">יש </w:t>
      </w:r>
      <w:r>
        <w:rPr>
          <w:rFonts w:hint="cs"/>
          <w:rtl/>
        </w:rPr>
        <w:t>עוד מאות שעות בוועדה, אם לא אלפי שעות במצטבר</w:t>
      </w:r>
      <w:r w:rsidR="00A319DC">
        <w:rPr>
          <w:rFonts w:hint="cs"/>
          <w:rtl/>
        </w:rPr>
        <w:t>, על</w:t>
      </w:r>
      <w:r>
        <w:rPr>
          <w:rFonts w:hint="cs"/>
          <w:rtl/>
        </w:rPr>
        <w:t xml:space="preserve"> דיונים </w:t>
      </w:r>
      <w:bookmarkStart w:id="36394" w:name="_ETM_Q65_368000"/>
      <w:bookmarkEnd w:id="36394"/>
      <w:r w:rsidR="00A319DC">
        <w:rPr>
          <w:rFonts w:hint="cs"/>
          <w:rtl/>
        </w:rPr>
        <w:t>ב</w:t>
      </w:r>
      <w:r>
        <w:rPr>
          <w:rFonts w:hint="cs"/>
          <w:rtl/>
        </w:rPr>
        <w:t xml:space="preserve">רפורמת המשפט ולא </w:t>
      </w:r>
      <w:r w:rsidR="00A319DC">
        <w:rPr>
          <w:rFonts w:hint="cs"/>
          <w:rtl/>
        </w:rPr>
        <w:t>ל</w:t>
      </w:r>
      <w:r>
        <w:rPr>
          <w:rFonts w:hint="cs"/>
          <w:rtl/>
        </w:rPr>
        <w:t>קידום חוקים לחיים עצמם?</w:t>
      </w:r>
    </w:p>
    <w:p w:rsidR="00BB59CD" w:rsidRDefault="00BB59CD" w:rsidP="00BB59CD">
      <w:pPr>
        <w:rPr>
          <w:rtl/>
        </w:rPr>
      </w:pPr>
      <w:bookmarkStart w:id="36395" w:name="_ETM_Q65_375000"/>
      <w:bookmarkEnd w:id="36395"/>
    </w:p>
    <w:p w:rsidR="00BB59CD" w:rsidRDefault="00BB59CD" w:rsidP="005C5150">
      <w:pPr>
        <w:rPr>
          <w:rtl/>
        </w:rPr>
      </w:pPr>
      <w:bookmarkStart w:id="36396" w:name="_ETM_Q65_376000"/>
      <w:bookmarkEnd w:id="36396"/>
      <w:r>
        <w:rPr>
          <w:rFonts w:hint="cs"/>
          <w:rtl/>
        </w:rPr>
        <w:t xml:space="preserve">נטפל ברפורמה בהסכמה </w:t>
      </w:r>
      <w:bookmarkStart w:id="36397" w:name="_ETM_Q65_377000"/>
      <w:bookmarkEnd w:id="36397"/>
      <w:r>
        <w:rPr>
          <w:rFonts w:hint="cs"/>
          <w:rtl/>
        </w:rPr>
        <w:t xml:space="preserve">על פני זמן, אבל נתחיל לטפל באזרחים. מדוע אנחנו לא </w:t>
      </w:r>
      <w:bookmarkStart w:id="36398" w:name="_ETM_Q65_383000"/>
      <w:bookmarkEnd w:id="36398"/>
      <w:r>
        <w:rPr>
          <w:rFonts w:hint="cs"/>
          <w:rtl/>
        </w:rPr>
        <w:t xml:space="preserve">עוסקים בחוקים שהגשתי פה? חוק המכר, דיור ציבורי. אדם עני </w:t>
      </w:r>
      <w:bookmarkStart w:id="36399" w:name="_ETM_Q65_388000"/>
      <w:bookmarkEnd w:id="36399"/>
      <w:r>
        <w:rPr>
          <w:rFonts w:hint="cs"/>
          <w:rtl/>
        </w:rPr>
        <w:t xml:space="preserve">שוכר בית, 30 שנה משלם שכירות. רן כהן, הממשלה והכנסת </w:t>
      </w:r>
      <w:bookmarkStart w:id="36400" w:name="_ETM_Q65_395000"/>
      <w:bookmarkEnd w:id="36400"/>
      <w:r>
        <w:rPr>
          <w:rFonts w:hint="cs"/>
          <w:rtl/>
        </w:rPr>
        <w:t>פה אישר</w:t>
      </w:r>
      <w:r w:rsidR="005C5150">
        <w:rPr>
          <w:rFonts w:hint="cs"/>
          <w:rtl/>
        </w:rPr>
        <w:t>ו</w:t>
      </w:r>
      <w:r>
        <w:rPr>
          <w:rFonts w:hint="cs"/>
          <w:rtl/>
        </w:rPr>
        <w:t xml:space="preserve"> לתת לו לקנות את הבית בשמאות והוזלה של </w:t>
      </w:r>
      <w:bookmarkStart w:id="36401" w:name="_ETM_Q65_400000"/>
      <w:bookmarkEnd w:id="36401"/>
      <w:r>
        <w:rPr>
          <w:rFonts w:hint="cs"/>
          <w:rtl/>
        </w:rPr>
        <w:t xml:space="preserve">200,000, 300,000, 400,000 שקל. אנשים נותנים במחיר מטרה, במחיר מופחת, </w:t>
      </w:r>
      <w:bookmarkStart w:id="36402" w:name="_ETM_Q65_404000"/>
      <w:bookmarkEnd w:id="36402"/>
      <w:r>
        <w:rPr>
          <w:rFonts w:hint="cs"/>
          <w:rtl/>
        </w:rPr>
        <w:t>הנחה למקב</w:t>
      </w:r>
      <w:r w:rsidR="005C5150">
        <w:rPr>
          <w:rFonts w:hint="cs"/>
          <w:rtl/>
        </w:rPr>
        <w:t xml:space="preserve">לי שכר של 30,000 ו-40,000 שקל, הם </w:t>
      </w:r>
      <w:r>
        <w:rPr>
          <w:rFonts w:hint="cs"/>
          <w:rtl/>
        </w:rPr>
        <w:t xml:space="preserve">מקבלים שם חצי </w:t>
      </w:r>
      <w:bookmarkStart w:id="36403" w:name="_ETM_Q65_409000"/>
      <w:bookmarkEnd w:id="36403"/>
      <w:r>
        <w:rPr>
          <w:rFonts w:hint="cs"/>
          <w:rtl/>
        </w:rPr>
        <w:t>מיליון עד מיליון שקל הנחה, ואת חוק המכר לא מסיימים</w:t>
      </w:r>
      <w:bookmarkStart w:id="36404" w:name="_ETM_Q65_415000"/>
      <w:bookmarkEnd w:id="36404"/>
      <w:r>
        <w:rPr>
          <w:rFonts w:hint="cs"/>
          <w:rtl/>
        </w:rPr>
        <w:t>.</w:t>
      </w:r>
      <w:r w:rsidR="005C5150">
        <w:rPr>
          <w:rFonts w:hint="cs"/>
          <w:rtl/>
        </w:rPr>
        <w:t xml:space="preserve"> בעצלתיים.</w:t>
      </w:r>
    </w:p>
    <w:p w:rsidR="00BB59CD" w:rsidRDefault="00BB59CD" w:rsidP="00BB59CD">
      <w:pPr>
        <w:rPr>
          <w:rtl/>
        </w:rPr>
      </w:pPr>
    </w:p>
    <w:p w:rsidR="00BB59CD" w:rsidRDefault="00BB59CD" w:rsidP="005C5150">
      <w:pPr>
        <w:rPr>
          <w:rtl/>
        </w:rPr>
      </w:pPr>
      <w:bookmarkStart w:id="36405" w:name="_ETM_Q65_418000"/>
      <w:bookmarkStart w:id="36406" w:name="_ETM_Q65_417450"/>
      <w:bookmarkEnd w:id="36405"/>
      <w:bookmarkEnd w:id="36406"/>
      <w:r>
        <w:rPr>
          <w:rFonts w:hint="cs"/>
          <w:rtl/>
        </w:rPr>
        <w:t xml:space="preserve">למה </w:t>
      </w:r>
      <w:bookmarkStart w:id="36407" w:name="_ETM_Q65_417720"/>
      <w:bookmarkEnd w:id="36407"/>
      <w:r>
        <w:rPr>
          <w:rFonts w:hint="cs"/>
          <w:rtl/>
        </w:rPr>
        <w:t xml:space="preserve">אנחנו </w:t>
      </w:r>
      <w:bookmarkStart w:id="36408" w:name="_ETM_Q65_417930"/>
      <w:bookmarkEnd w:id="36408"/>
      <w:r>
        <w:rPr>
          <w:rFonts w:hint="cs"/>
          <w:rtl/>
        </w:rPr>
        <w:t xml:space="preserve">לא </w:t>
      </w:r>
      <w:bookmarkStart w:id="36409" w:name="_ETM_Q65_418050"/>
      <w:bookmarkEnd w:id="36409"/>
      <w:r>
        <w:rPr>
          <w:rFonts w:hint="cs"/>
          <w:rtl/>
        </w:rPr>
        <w:t xml:space="preserve">עוסקים </w:t>
      </w:r>
      <w:bookmarkStart w:id="36410" w:name="_ETM_Q65_418379"/>
      <w:bookmarkEnd w:id="36410"/>
      <w:r>
        <w:rPr>
          <w:rFonts w:hint="cs"/>
          <w:rtl/>
        </w:rPr>
        <w:t xml:space="preserve">בחוק </w:t>
      </w:r>
      <w:bookmarkStart w:id="36411" w:name="_ETM_Q65_418800"/>
      <w:bookmarkEnd w:id="36411"/>
      <w:r>
        <w:rPr>
          <w:rFonts w:hint="cs"/>
          <w:rtl/>
        </w:rPr>
        <w:t xml:space="preserve">להשלמת </w:t>
      </w:r>
      <w:bookmarkStart w:id="36412" w:name="_ETM_Q65_419849"/>
      <w:bookmarkEnd w:id="36412"/>
      <w:r>
        <w:rPr>
          <w:rFonts w:hint="cs"/>
          <w:rtl/>
        </w:rPr>
        <w:t xml:space="preserve">ממדים </w:t>
      </w:r>
      <w:bookmarkStart w:id="36413" w:name="_ETM_Q65_420269"/>
      <w:bookmarkEnd w:id="36413"/>
      <w:r>
        <w:rPr>
          <w:rFonts w:hint="cs"/>
          <w:rtl/>
        </w:rPr>
        <w:t xml:space="preserve">ללימודים </w:t>
      </w:r>
      <w:bookmarkStart w:id="36414" w:name="_ETM_Q65_420870"/>
      <w:bookmarkEnd w:id="36414"/>
      <w:r>
        <w:rPr>
          <w:rFonts w:hint="cs"/>
          <w:rtl/>
        </w:rPr>
        <w:t xml:space="preserve">ל-100%? </w:t>
      </w:r>
      <w:bookmarkStart w:id="36415" w:name="_ETM_Q65_421680"/>
      <w:bookmarkEnd w:id="36415"/>
      <w:r>
        <w:rPr>
          <w:rFonts w:hint="cs"/>
          <w:rtl/>
        </w:rPr>
        <w:t xml:space="preserve">חוק </w:t>
      </w:r>
      <w:bookmarkStart w:id="36416" w:name="_ETM_Q65_421950"/>
      <w:bookmarkEnd w:id="36416"/>
      <w:r>
        <w:rPr>
          <w:rFonts w:hint="cs"/>
          <w:rtl/>
        </w:rPr>
        <w:t xml:space="preserve">שהגשתי. </w:t>
      </w:r>
      <w:bookmarkStart w:id="36417" w:name="_ETM_Q65_424200"/>
      <w:bookmarkEnd w:id="36417"/>
      <w:r>
        <w:rPr>
          <w:rFonts w:hint="cs"/>
          <w:rtl/>
        </w:rPr>
        <w:t xml:space="preserve">מה </w:t>
      </w:r>
      <w:bookmarkStart w:id="36418" w:name="_ETM_Q65_424439"/>
      <w:bookmarkEnd w:id="36418"/>
      <w:r>
        <w:rPr>
          <w:rFonts w:hint="cs"/>
          <w:rtl/>
        </w:rPr>
        <w:t xml:space="preserve">עם </w:t>
      </w:r>
      <w:bookmarkStart w:id="36419" w:name="_ETM_Q65_424590"/>
      <w:bookmarkEnd w:id="36419"/>
      <w:r>
        <w:rPr>
          <w:rFonts w:hint="cs"/>
          <w:rtl/>
        </w:rPr>
        <w:t xml:space="preserve">החוק </w:t>
      </w:r>
      <w:bookmarkStart w:id="36420" w:name="_ETM_Q65_424980"/>
      <w:bookmarkEnd w:id="36420"/>
      <w:r>
        <w:rPr>
          <w:rFonts w:hint="cs"/>
          <w:rtl/>
        </w:rPr>
        <w:t xml:space="preserve">לסבסוד </w:t>
      </w:r>
      <w:bookmarkStart w:id="36421" w:name="_ETM_Q65_426409"/>
      <w:bookmarkEnd w:id="36421"/>
      <w:r>
        <w:rPr>
          <w:rFonts w:hint="cs"/>
          <w:rtl/>
        </w:rPr>
        <w:t xml:space="preserve">של </w:t>
      </w:r>
      <w:bookmarkStart w:id="36422" w:name="_ETM_Q65_426650"/>
      <w:bookmarkEnd w:id="36422"/>
      <w:r>
        <w:rPr>
          <w:rFonts w:hint="cs"/>
          <w:rtl/>
        </w:rPr>
        <w:t xml:space="preserve">אבחון </w:t>
      </w:r>
      <w:bookmarkStart w:id="36423" w:name="_ETM_Q65_427430"/>
      <w:bookmarkEnd w:id="36423"/>
      <w:r>
        <w:rPr>
          <w:rFonts w:hint="cs"/>
          <w:rtl/>
        </w:rPr>
        <w:t xml:space="preserve">פסיכו-דידקטי? </w:t>
      </w:r>
      <w:bookmarkStart w:id="36424" w:name="_ETM_Q65_428329"/>
      <w:bookmarkEnd w:id="36424"/>
      <w:r>
        <w:rPr>
          <w:rFonts w:hint="cs"/>
          <w:rtl/>
        </w:rPr>
        <w:t xml:space="preserve">אתה </w:t>
      </w:r>
      <w:bookmarkStart w:id="36425" w:name="_ETM_Q65_428569"/>
      <w:bookmarkEnd w:id="36425"/>
      <w:r>
        <w:rPr>
          <w:rFonts w:hint="cs"/>
          <w:rtl/>
        </w:rPr>
        <w:t xml:space="preserve">יודע, </w:t>
      </w:r>
      <w:bookmarkStart w:id="36426" w:name="_ETM_Q65_429750"/>
      <w:bookmarkStart w:id="36427" w:name="_ETM_Q65_430319"/>
      <w:bookmarkEnd w:id="36426"/>
      <w:bookmarkEnd w:id="36427"/>
      <w:r>
        <w:rPr>
          <w:rFonts w:hint="cs"/>
          <w:rtl/>
        </w:rPr>
        <w:t xml:space="preserve">כמו </w:t>
      </w:r>
      <w:bookmarkStart w:id="36428" w:name="_ETM_Q65_430709"/>
      <w:bookmarkEnd w:id="36428"/>
      <w:r>
        <w:rPr>
          <w:rFonts w:hint="cs"/>
          <w:rtl/>
        </w:rPr>
        <w:t xml:space="preserve">בכל </w:t>
      </w:r>
      <w:bookmarkStart w:id="36429" w:name="_ETM_Q65_431010"/>
      <w:bookmarkEnd w:id="36429"/>
      <w:r>
        <w:rPr>
          <w:rFonts w:hint="cs"/>
          <w:rtl/>
        </w:rPr>
        <w:t>דבר</w:t>
      </w:r>
      <w:r w:rsidR="005C5150">
        <w:rPr>
          <w:rFonts w:hint="cs"/>
          <w:rtl/>
        </w:rPr>
        <w:t xml:space="preserve"> יש</w:t>
      </w:r>
      <w:r>
        <w:rPr>
          <w:rFonts w:hint="cs"/>
          <w:rtl/>
        </w:rPr>
        <w:t xml:space="preserve"> </w:t>
      </w:r>
      <w:bookmarkStart w:id="36430" w:name="_ETM_Q65_431250"/>
      <w:bookmarkStart w:id="36431" w:name="_ETM_Q65_431370"/>
      <w:bookmarkEnd w:id="36430"/>
      <w:bookmarkEnd w:id="36431"/>
      <w:r>
        <w:rPr>
          <w:rFonts w:hint="cs"/>
          <w:rtl/>
        </w:rPr>
        <w:t xml:space="preserve">את </w:t>
      </w:r>
      <w:bookmarkStart w:id="36432" w:name="_ETM_Q65_431459"/>
      <w:bookmarkEnd w:id="36432"/>
      <w:r>
        <w:rPr>
          <w:rFonts w:hint="cs"/>
          <w:rtl/>
        </w:rPr>
        <w:t xml:space="preserve">הרוצח </w:t>
      </w:r>
      <w:bookmarkStart w:id="36433" w:name="_ETM_Q65_432000"/>
      <w:bookmarkEnd w:id="36433"/>
      <w:r>
        <w:rPr>
          <w:rFonts w:hint="cs"/>
          <w:rtl/>
        </w:rPr>
        <w:t xml:space="preserve">השקט. </w:t>
      </w:r>
      <w:bookmarkStart w:id="36434" w:name="_ETM_Q65_433000"/>
      <w:bookmarkEnd w:id="36434"/>
      <w:r>
        <w:rPr>
          <w:rFonts w:hint="cs"/>
          <w:rtl/>
        </w:rPr>
        <w:t xml:space="preserve">נגיד </w:t>
      </w:r>
      <w:bookmarkStart w:id="36435" w:name="_ETM_Q65_433390"/>
      <w:bookmarkEnd w:id="36435"/>
      <w:r>
        <w:rPr>
          <w:rFonts w:hint="cs"/>
          <w:rtl/>
        </w:rPr>
        <w:t xml:space="preserve">ברפואה </w:t>
      </w:r>
      <w:bookmarkStart w:id="36436" w:name="_ETM_Q65_434439"/>
      <w:bookmarkEnd w:id="36436"/>
      <w:r>
        <w:rPr>
          <w:rFonts w:hint="cs"/>
          <w:rtl/>
        </w:rPr>
        <w:t xml:space="preserve">הרוצח </w:t>
      </w:r>
      <w:bookmarkStart w:id="36437" w:name="_ETM_Q65_434920"/>
      <w:bookmarkEnd w:id="36437"/>
      <w:r>
        <w:rPr>
          <w:rFonts w:hint="cs"/>
          <w:rtl/>
        </w:rPr>
        <w:t xml:space="preserve">השקט </w:t>
      </w:r>
      <w:bookmarkStart w:id="36438" w:name="_ETM_Q65_435700"/>
      <w:bookmarkEnd w:id="36438"/>
      <w:r>
        <w:rPr>
          <w:rFonts w:hint="cs"/>
          <w:rtl/>
        </w:rPr>
        <w:t xml:space="preserve">הוא </w:t>
      </w:r>
      <w:bookmarkStart w:id="36439" w:name="_ETM_Q65_435790"/>
      <w:bookmarkEnd w:id="36439"/>
      <w:r>
        <w:rPr>
          <w:rFonts w:hint="cs"/>
          <w:rtl/>
        </w:rPr>
        <w:t xml:space="preserve">סוכרת, כי סוכרת מביאה ממש </w:t>
      </w:r>
      <w:bookmarkStart w:id="36440" w:name="_ETM_Q65_437080"/>
      <w:bookmarkStart w:id="36441" w:name="_ETM_Q65_437650"/>
      <w:bookmarkStart w:id="36442" w:name="_ETM_Q65_437770"/>
      <w:bookmarkStart w:id="36443" w:name="_ETM_Q65_438189"/>
      <w:bookmarkStart w:id="36444" w:name="_ETM_Q65_438729"/>
      <w:bookmarkEnd w:id="36440"/>
      <w:bookmarkEnd w:id="36441"/>
      <w:bookmarkEnd w:id="36442"/>
      <w:bookmarkEnd w:id="36443"/>
      <w:bookmarkEnd w:id="36444"/>
      <w:r>
        <w:rPr>
          <w:rFonts w:hint="cs"/>
          <w:rtl/>
        </w:rPr>
        <w:t xml:space="preserve">לתמותה </w:t>
      </w:r>
      <w:bookmarkStart w:id="36445" w:name="_ETM_Q65_439900"/>
      <w:bookmarkEnd w:id="36445"/>
      <w:r>
        <w:rPr>
          <w:rFonts w:hint="cs"/>
          <w:rtl/>
        </w:rPr>
        <w:t xml:space="preserve">אם </w:t>
      </w:r>
      <w:bookmarkStart w:id="36446" w:name="_ETM_Q65_440290"/>
      <w:bookmarkEnd w:id="36446"/>
      <w:r>
        <w:rPr>
          <w:rFonts w:hint="cs"/>
          <w:rtl/>
        </w:rPr>
        <w:t xml:space="preserve">אתה </w:t>
      </w:r>
      <w:bookmarkStart w:id="36447" w:name="_ETM_Q65_440500"/>
      <w:bookmarkEnd w:id="36447"/>
      <w:r>
        <w:rPr>
          <w:rFonts w:hint="cs"/>
          <w:rtl/>
        </w:rPr>
        <w:t xml:space="preserve">לא </w:t>
      </w:r>
      <w:bookmarkStart w:id="36448" w:name="_ETM_Q65_440589"/>
      <w:bookmarkEnd w:id="36448"/>
      <w:r>
        <w:rPr>
          <w:rFonts w:hint="cs"/>
          <w:rtl/>
        </w:rPr>
        <w:t xml:space="preserve">מטפל </w:t>
      </w:r>
      <w:bookmarkStart w:id="36449" w:name="_ETM_Q65_441100"/>
      <w:bookmarkEnd w:id="36449"/>
      <w:r>
        <w:rPr>
          <w:rFonts w:hint="cs"/>
          <w:rtl/>
        </w:rPr>
        <w:t xml:space="preserve">בה, </w:t>
      </w:r>
      <w:bookmarkStart w:id="36450" w:name="_ETM_Q65_441550"/>
      <w:bookmarkEnd w:id="36450"/>
      <w:r>
        <w:rPr>
          <w:rFonts w:hint="cs"/>
          <w:rtl/>
        </w:rPr>
        <w:t xml:space="preserve">אבל </w:t>
      </w:r>
      <w:bookmarkStart w:id="36451" w:name="_ETM_Q65_441820"/>
      <w:bookmarkEnd w:id="36451"/>
      <w:r>
        <w:rPr>
          <w:rFonts w:hint="cs"/>
          <w:rtl/>
        </w:rPr>
        <w:t xml:space="preserve">זה </w:t>
      </w:r>
      <w:bookmarkStart w:id="36452" w:name="_ETM_Q65_441970"/>
      <w:bookmarkEnd w:id="36452"/>
      <w:r>
        <w:rPr>
          <w:rFonts w:hint="cs"/>
          <w:rtl/>
        </w:rPr>
        <w:t xml:space="preserve">לא </w:t>
      </w:r>
      <w:bookmarkStart w:id="36453" w:name="_ETM_Q65_442120"/>
      <w:bookmarkEnd w:id="36453"/>
      <w:r>
        <w:rPr>
          <w:rFonts w:hint="cs"/>
          <w:rtl/>
        </w:rPr>
        <w:t xml:space="preserve">ידוע, </w:t>
      </w:r>
      <w:bookmarkStart w:id="36454" w:name="_ETM_Q65_442750"/>
      <w:bookmarkEnd w:id="36454"/>
      <w:r>
        <w:rPr>
          <w:rFonts w:hint="cs"/>
          <w:rtl/>
        </w:rPr>
        <w:t xml:space="preserve">לא </w:t>
      </w:r>
      <w:bookmarkStart w:id="36455" w:name="_ETM_Q65_443140"/>
      <w:bookmarkEnd w:id="36455"/>
      <w:r>
        <w:rPr>
          <w:rFonts w:hint="cs"/>
          <w:rtl/>
        </w:rPr>
        <w:t xml:space="preserve">מדובר </w:t>
      </w:r>
      <w:bookmarkStart w:id="36456" w:name="_ETM_Q65_443680"/>
      <w:bookmarkEnd w:id="36456"/>
      <w:r>
        <w:rPr>
          <w:rFonts w:hint="cs"/>
          <w:rtl/>
        </w:rPr>
        <w:t xml:space="preserve">מספיק. </w:t>
      </w:r>
      <w:bookmarkStart w:id="36457" w:name="_ETM_Q65_445260"/>
      <w:bookmarkEnd w:id="36457"/>
      <w:r>
        <w:rPr>
          <w:rFonts w:hint="cs"/>
          <w:rtl/>
        </w:rPr>
        <w:t xml:space="preserve">יש </w:t>
      </w:r>
      <w:bookmarkStart w:id="36458" w:name="_ETM_Q65_445500"/>
      <w:bookmarkEnd w:id="36458"/>
      <w:r>
        <w:rPr>
          <w:rFonts w:hint="cs"/>
          <w:rtl/>
        </w:rPr>
        <w:t xml:space="preserve">הרבה </w:t>
      </w:r>
      <w:bookmarkStart w:id="36459" w:name="_ETM_Q65_445860"/>
      <w:bookmarkEnd w:id="36459"/>
      <w:r>
        <w:rPr>
          <w:rFonts w:hint="cs"/>
          <w:rtl/>
        </w:rPr>
        <w:t xml:space="preserve">תמותה </w:t>
      </w:r>
      <w:bookmarkStart w:id="36460" w:name="_ETM_Q65_446220"/>
      <w:bookmarkEnd w:id="36460"/>
      <w:r>
        <w:rPr>
          <w:rFonts w:hint="cs"/>
          <w:rtl/>
        </w:rPr>
        <w:t xml:space="preserve">שנובעת </w:t>
      </w:r>
      <w:bookmarkStart w:id="36461" w:name="_ETM_Q65_446700"/>
      <w:bookmarkEnd w:id="36461"/>
      <w:r>
        <w:rPr>
          <w:rFonts w:hint="cs"/>
          <w:rtl/>
        </w:rPr>
        <w:t xml:space="preserve">ממחלת </w:t>
      </w:r>
      <w:bookmarkStart w:id="36462" w:name="_ETM_Q65_447120"/>
      <w:bookmarkEnd w:id="36462"/>
      <w:r>
        <w:rPr>
          <w:rFonts w:hint="cs"/>
          <w:rtl/>
        </w:rPr>
        <w:t xml:space="preserve">הסוכרת. </w:t>
      </w:r>
      <w:bookmarkStart w:id="36463" w:name="_ETM_Q65_448169"/>
      <w:bookmarkEnd w:id="36463"/>
      <w:r>
        <w:rPr>
          <w:rFonts w:hint="cs"/>
          <w:rtl/>
        </w:rPr>
        <w:t xml:space="preserve">הרוצח </w:t>
      </w:r>
      <w:bookmarkStart w:id="36464" w:name="_ETM_Q65_448740"/>
      <w:bookmarkEnd w:id="36464"/>
      <w:r>
        <w:rPr>
          <w:rFonts w:hint="cs"/>
          <w:rtl/>
        </w:rPr>
        <w:t xml:space="preserve">השקט </w:t>
      </w:r>
      <w:bookmarkStart w:id="36465" w:name="_ETM_Q65_449249"/>
      <w:bookmarkEnd w:id="36465"/>
      <w:r>
        <w:rPr>
          <w:rFonts w:hint="cs"/>
          <w:rtl/>
        </w:rPr>
        <w:t>של ה</w:t>
      </w:r>
      <w:bookmarkStart w:id="36466" w:name="_ETM_Q65_450080"/>
      <w:bookmarkEnd w:id="36466"/>
      <w:r>
        <w:rPr>
          <w:rFonts w:hint="cs"/>
          <w:rtl/>
        </w:rPr>
        <w:t xml:space="preserve">קושי </w:t>
      </w:r>
      <w:bookmarkStart w:id="36467" w:name="_ETM_Q65_450469"/>
      <w:bookmarkEnd w:id="36467"/>
      <w:r>
        <w:rPr>
          <w:rFonts w:hint="cs"/>
          <w:rtl/>
        </w:rPr>
        <w:t xml:space="preserve">ההתפתחותי </w:t>
      </w:r>
      <w:bookmarkStart w:id="36468" w:name="_ETM_Q65_451069"/>
      <w:bookmarkEnd w:id="36468"/>
      <w:r>
        <w:rPr>
          <w:rFonts w:hint="cs"/>
          <w:rtl/>
        </w:rPr>
        <w:t xml:space="preserve">של </w:t>
      </w:r>
      <w:bookmarkStart w:id="36469" w:name="_ETM_Q65_451309"/>
      <w:bookmarkEnd w:id="36469"/>
      <w:r w:rsidR="005C5150">
        <w:rPr>
          <w:rFonts w:hint="cs"/>
          <w:rtl/>
        </w:rPr>
        <w:t>ה</w:t>
      </w:r>
      <w:r>
        <w:rPr>
          <w:rFonts w:hint="cs"/>
          <w:rtl/>
        </w:rPr>
        <w:t xml:space="preserve">ילד, </w:t>
      </w:r>
      <w:bookmarkStart w:id="36470" w:name="_ETM_Q65_451580"/>
      <w:bookmarkEnd w:id="36470"/>
      <w:r w:rsidR="005C5150">
        <w:rPr>
          <w:rFonts w:hint="cs"/>
          <w:rtl/>
        </w:rPr>
        <w:t xml:space="preserve">כדי </w:t>
      </w:r>
      <w:r>
        <w:rPr>
          <w:rFonts w:hint="cs"/>
          <w:rtl/>
        </w:rPr>
        <w:t xml:space="preserve">להעניק </w:t>
      </w:r>
      <w:bookmarkStart w:id="36471" w:name="_ETM_Q65_451999"/>
      <w:bookmarkEnd w:id="36471"/>
      <w:r>
        <w:rPr>
          <w:rFonts w:hint="cs"/>
          <w:rtl/>
        </w:rPr>
        <w:t xml:space="preserve">לו </w:t>
      </w:r>
      <w:bookmarkStart w:id="36472" w:name="_ETM_Q65_452120"/>
      <w:bookmarkEnd w:id="36472"/>
      <w:r>
        <w:rPr>
          <w:rFonts w:hint="cs"/>
          <w:rtl/>
        </w:rPr>
        <w:t xml:space="preserve">מה </w:t>
      </w:r>
      <w:bookmarkStart w:id="36473" w:name="_ETM_Q65_452240"/>
      <w:bookmarkEnd w:id="36473"/>
      <w:r>
        <w:rPr>
          <w:rFonts w:hint="cs"/>
          <w:rtl/>
        </w:rPr>
        <w:t xml:space="preserve">שמגיע </w:t>
      </w:r>
      <w:bookmarkStart w:id="36474" w:name="_ETM_Q65_452689"/>
      <w:bookmarkEnd w:id="36474"/>
      <w:r>
        <w:rPr>
          <w:rFonts w:hint="cs"/>
          <w:rtl/>
        </w:rPr>
        <w:t xml:space="preserve">לו, </w:t>
      </w:r>
      <w:bookmarkStart w:id="36475" w:name="_ETM_Q65_452809"/>
      <w:bookmarkEnd w:id="36475"/>
      <w:r>
        <w:rPr>
          <w:rFonts w:hint="cs"/>
          <w:rtl/>
        </w:rPr>
        <w:t xml:space="preserve">זה </w:t>
      </w:r>
      <w:bookmarkStart w:id="36476" w:name="_ETM_Q65_452930"/>
      <w:bookmarkEnd w:id="36476"/>
      <w:r>
        <w:rPr>
          <w:rFonts w:hint="cs"/>
          <w:rtl/>
        </w:rPr>
        <w:t xml:space="preserve">אבחון </w:t>
      </w:r>
      <w:bookmarkStart w:id="36477" w:name="_ETM_Q65_453259"/>
      <w:bookmarkEnd w:id="36477"/>
      <w:r>
        <w:rPr>
          <w:rFonts w:hint="cs"/>
          <w:rtl/>
        </w:rPr>
        <w:t xml:space="preserve">פסיכו-דידקטי. </w:t>
      </w:r>
      <w:bookmarkStart w:id="36478" w:name="_ETM_Q65_454880"/>
      <w:bookmarkStart w:id="36479" w:name="_ETM_Q65_455120"/>
      <w:bookmarkEnd w:id="36478"/>
      <w:bookmarkEnd w:id="36479"/>
      <w:r>
        <w:rPr>
          <w:rFonts w:hint="cs"/>
          <w:rtl/>
        </w:rPr>
        <w:t xml:space="preserve">אם </w:t>
      </w:r>
      <w:bookmarkStart w:id="36480" w:name="_ETM_Q65_455300"/>
      <w:bookmarkEnd w:id="36480"/>
      <w:r>
        <w:rPr>
          <w:rFonts w:hint="cs"/>
          <w:rtl/>
        </w:rPr>
        <w:t xml:space="preserve">אתה </w:t>
      </w:r>
      <w:bookmarkStart w:id="36481" w:name="_ETM_Q65_455570"/>
      <w:bookmarkEnd w:id="36481"/>
      <w:r>
        <w:rPr>
          <w:rFonts w:hint="cs"/>
          <w:rtl/>
        </w:rPr>
        <w:t xml:space="preserve">בבית </w:t>
      </w:r>
      <w:bookmarkStart w:id="36482" w:name="_ETM_Q65_455870"/>
      <w:bookmarkEnd w:id="36482"/>
      <w:r>
        <w:rPr>
          <w:rFonts w:hint="cs"/>
          <w:rtl/>
        </w:rPr>
        <w:t xml:space="preserve">מבוסס, </w:t>
      </w:r>
      <w:bookmarkStart w:id="36483" w:name="_ETM_Q65_456500"/>
      <w:bookmarkEnd w:id="36483"/>
      <w:r>
        <w:rPr>
          <w:rFonts w:hint="cs"/>
          <w:rtl/>
        </w:rPr>
        <w:t xml:space="preserve">יש </w:t>
      </w:r>
      <w:bookmarkStart w:id="36484" w:name="_ETM_Q65_456710"/>
      <w:bookmarkEnd w:id="36484"/>
      <w:r>
        <w:rPr>
          <w:rFonts w:hint="cs"/>
          <w:rtl/>
        </w:rPr>
        <w:t xml:space="preserve">אבחון </w:t>
      </w:r>
      <w:bookmarkStart w:id="36485" w:name="_ETM_Q65_457130"/>
      <w:bookmarkEnd w:id="36485"/>
      <w:r>
        <w:rPr>
          <w:rFonts w:hint="cs"/>
          <w:rtl/>
        </w:rPr>
        <w:t xml:space="preserve">יתר. </w:t>
      </w:r>
      <w:bookmarkStart w:id="36486" w:name="_ETM_Q65_457880"/>
      <w:bookmarkEnd w:id="36486"/>
      <w:r>
        <w:rPr>
          <w:rFonts w:hint="cs"/>
          <w:rtl/>
        </w:rPr>
        <w:t xml:space="preserve">זה </w:t>
      </w:r>
      <w:bookmarkStart w:id="36487" w:name="_ETM_Q65_458029"/>
      <w:bookmarkEnd w:id="36487"/>
      <w:r>
        <w:rPr>
          <w:rFonts w:hint="cs"/>
          <w:rtl/>
        </w:rPr>
        <w:t xml:space="preserve">עולה </w:t>
      </w:r>
      <w:bookmarkStart w:id="36488" w:name="_ETM_Q65_458210"/>
      <w:bookmarkStart w:id="36489" w:name="_ETM_Q65_458540"/>
      <w:bookmarkStart w:id="36490" w:name="_ETM_Q65_458839"/>
      <w:bookmarkEnd w:id="36488"/>
      <w:bookmarkEnd w:id="36489"/>
      <w:bookmarkEnd w:id="36490"/>
      <w:r w:rsidR="005C5150">
        <w:rPr>
          <w:rFonts w:hint="cs"/>
          <w:rtl/>
        </w:rPr>
        <w:t>2</w:t>
      </w:r>
      <w:r>
        <w:rPr>
          <w:rFonts w:hint="cs"/>
          <w:rtl/>
        </w:rPr>
        <w:t>,000</w:t>
      </w:r>
      <w:r w:rsidR="005C5150">
        <w:rPr>
          <w:rFonts w:hint="eastAsia"/>
          <w:rtl/>
        </w:rPr>
        <w:t>–</w:t>
      </w:r>
      <w:r w:rsidR="005C5150">
        <w:rPr>
          <w:rFonts w:hint="cs"/>
          <w:rtl/>
        </w:rPr>
        <w:t>3</w:t>
      </w:r>
      <w:r>
        <w:rPr>
          <w:rFonts w:hint="cs"/>
          <w:rtl/>
        </w:rPr>
        <w:t>,000 ש</w:t>
      </w:r>
      <w:bookmarkStart w:id="36491" w:name="_ETM_Q65_459140"/>
      <w:bookmarkEnd w:id="36491"/>
      <w:r>
        <w:rPr>
          <w:rFonts w:hint="cs"/>
          <w:rtl/>
        </w:rPr>
        <w:t xml:space="preserve">קל, </w:t>
      </w:r>
      <w:bookmarkStart w:id="36492" w:name="_ETM_Q65_459529"/>
      <w:bookmarkEnd w:id="36492"/>
      <w:r>
        <w:rPr>
          <w:rFonts w:hint="cs"/>
          <w:rtl/>
        </w:rPr>
        <w:t xml:space="preserve">משלמים </w:t>
      </w:r>
      <w:bookmarkStart w:id="36493" w:name="_ETM_Q65_459980"/>
      <w:bookmarkEnd w:id="36493"/>
      <w:r>
        <w:rPr>
          <w:rFonts w:hint="cs"/>
          <w:rtl/>
        </w:rPr>
        <w:t xml:space="preserve">לפסיכולוגית, </w:t>
      </w:r>
      <w:bookmarkStart w:id="36494" w:name="_ETM_Q65_461220"/>
      <w:bookmarkEnd w:id="36494"/>
      <w:r>
        <w:rPr>
          <w:rFonts w:hint="cs"/>
          <w:rtl/>
        </w:rPr>
        <w:t xml:space="preserve">יש </w:t>
      </w:r>
      <w:bookmarkStart w:id="36495" w:name="_ETM_Q65_461460"/>
      <w:bookmarkEnd w:id="36495"/>
      <w:r>
        <w:rPr>
          <w:rFonts w:hint="cs"/>
          <w:rtl/>
        </w:rPr>
        <w:t>הקלות</w:t>
      </w:r>
      <w:r w:rsidR="005C5150">
        <w:rPr>
          <w:rFonts w:hint="cs"/>
          <w:rtl/>
        </w:rPr>
        <w:t>,</w:t>
      </w:r>
      <w:r>
        <w:rPr>
          <w:rFonts w:hint="cs"/>
          <w:rtl/>
        </w:rPr>
        <w:t xml:space="preserve"> </w:t>
      </w:r>
      <w:bookmarkStart w:id="36496" w:name="_ETM_Q65_462419"/>
      <w:bookmarkEnd w:id="36496"/>
      <w:r>
        <w:rPr>
          <w:rFonts w:hint="cs"/>
          <w:rtl/>
        </w:rPr>
        <w:t xml:space="preserve">או </w:t>
      </w:r>
      <w:bookmarkStart w:id="36497" w:name="_ETM_Q65_462540"/>
      <w:bookmarkEnd w:id="36497"/>
      <w:r>
        <w:rPr>
          <w:rFonts w:hint="cs"/>
          <w:rtl/>
        </w:rPr>
        <w:t xml:space="preserve">דרישה </w:t>
      </w:r>
      <w:bookmarkStart w:id="36498" w:name="_ETM_Q65_463020"/>
      <w:bookmarkEnd w:id="36498"/>
      <w:r>
        <w:rPr>
          <w:rFonts w:hint="cs"/>
          <w:rtl/>
        </w:rPr>
        <w:t xml:space="preserve">לפי </w:t>
      </w:r>
      <w:bookmarkStart w:id="36499" w:name="_ETM_Q65_463290"/>
      <w:bookmarkEnd w:id="36499"/>
      <w:r>
        <w:rPr>
          <w:rFonts w:hint="cs"/>
          <w:rtl/>
        </w:rPr>
        <w:t>חוק</w:t>
      </w:r>
      <w:r w:rsidR="005C5150">
        <w:rPr>
          <w:rFonts w:hint="cs"/>
          <w:rtl/>
        </w:rPr>
        <w:t>:</w:t>
      </w:r>
      <w:r>
        <w:rPr>
          <w:rFonts w:hint="cs"/>
          <w:rtl/>
        </w:rPr>
        <w:t xml:space="preserve"> </w:t>
      </w:r>
      <w:bookmarkStart w:id="36500" w:name="_ETM_Q65_463560"/>
      <w:bookmarkEnd w:id="36500"/>
      <w:r>
        <w:rPr>
          <w:rFonts w:hint="cs"/>
          <w:rtl/>
        </w:rPr>
        <w:t>הינה</w:t>
      </w:r>
      <w:r w:rsidR="005C5150">
        <w:rPr>
          <w:rFonts w:hint="cs"/>
          <w:rtl/>
        </w:rPr>
        <w:t>,</w:t>
      </w:r>
      <w:r>
        <w:rPr>
          <w:rFonts w:hint="cs"/>
          <w:rtl/>
        </w:rPr>
        <w:t xml:space="preserve"> </w:t>
      </w:r>
      <w:bookmarkStart w:id="36501" w:name="_ETM_Q65_463800"/>
      <w:bookmarkEnd w:id="36501"/>
      <w:r>
        <w:rPr>
          <w:rFonts w:hint="cs"/>
          <w:rtl/>
        </w:rPr>
        <w:t xml:space="preserve">זה </w:t>
      </w:r>
      <w:bookmarkStart w:id="36502" w:name="_ETM_Q65_463979"/>
      <w:bookmarkEnd w:id="36502"/>
      <w:r>
        <w:rPr>
          <w:rFonts w:hint="cs"/>
          <w:rtl/>
        </w:rPr>
        <w:t xml:space="preserve">האבחון, </w:t>
      </w:r>
      <w:bookmarkStart w:id="36503" w:name="_ETM_Q65_464790"/>
      <w:bookmarkEnd w:id="36503"/>
      <w:r>
        <w:rPr>
          <w:rFonts w:hint="cs"/>
          <w:rtl/>
        </w:rPr>
        <w:t xml:space="preserve">תן </w:t>
      </w:r>
      <w:bookmarkStart w:id="36504" w:name="_ETM_Q65_465060"/>
      <w:bookmarkEnd w:id="36504"/>
      <w:r>
        <w:rPr>
          <w:rFonts w:hint="cs"/>
          <w:rtl/>
        </w:rPr>
        <w:t xml:space="preserve">לו </w:t>
      </w:r>
      <w:bookmarkStart w:id="36505" w:name="_ETM_Q65_465690"/>
      <w:bookmarkEnd w:id="36505"/>
      <w:r>
        <w:rPr>
          <w:rFonts w:hint="cs"/>
          <w:rtl/>
        </w:rPr>
        <w:t xml:space="preserve">הקראה, </w:t>
      </w:r>
      <w:bookmarkStart w:id="36506" w:name="_ETM_Q65_466380"/>
      <w:bookmarkEnd w:id="36506"/>
      <w:r>
        <w:rPr>
          <w:rFonts w:hint="cs"/>
          <w:rtl/>
        </w:rPr>
        <w:t xml:space="preserve">תן </w:t>
      </w:r>
      <w:bookmarkStart w:id="36507" w:name="_ETM_Q65_466710"/>
      <w:bookmarkEnd w:id="36507"/>
      <w:r>
        <w:rPr>
          <w:rFonts w:hint="cs"/>
          <w:rtl/>
        </w:rPr>
        <w:t xml:space="preserve">לו </w:t>
      </w:r>
      <w:bookmarkStart w:id="36508" w:name="_ETM_Q65_466950"/>
      <w:bookmarkEnd w:id="36508"/>
      <w:r>
        <w:rPr>
          <w:rFonts w:hint="cs"/>
          <w:rtl/>
        </w:rPr>
        <w:t xml:space="preserve">שעות </w:t>
      </w:r>
      <w:bookmarkStart w:id="36509" w:name="_ETM_Q65_468000"/>
      <w:bookmarkEnd w:id="36509"/>
      <w:r w:rsidR="005C5150">
        <w:rPr>
          <w:rFonts w:hint="cs"/>
          <w:rtl/>
        </w:rPr>
        <w:t xml:space="preserve">של </w:t>
      </w:r>
      <w:bookmarkStart w:id="36510" w:name="_ETM_Q0_38695676"/>
      <w:bookmarkEnd w:id="36510"/>
      <w:r>
        <w:rPr>
          <w:rFonts w:hint="cs"/>
          <w:rtl/>
        </w:rPr>
        <w:t>קלינאי</w:t>
      </w:r>
      <w:r w:rsidR="005C5150">
        <w:rPr>
          <w:rFonts w:hint="cs"/>
          <w:rtl/>
        </w:rPr>
        <w:t>ת</w:t>
      </w:r>
      <w:r>
        <w:rPr>
          <w:rFonts w:hint="cs"/>
          <w:rtl/>
        </w:rPr>
        <w:t xml:space="preserve"> </w:t>
      </w:r>
      <w:bookmarkStart w:id="36511" w:name="_ETM_Q65_468420"/>
      <w:bookmarkEnd w:id="36511"/>
      <w:r>
        <w:rPr>
          <w:rFonts w:hint="cs"/>
          <w:rtl/>
        </w:rPr>
        <w:t xml:space="preserve">תקשורת, </w:t>
      </w:r>
      <w:bookmarkStart w:id="36512" w:name="_ETM_Q65_469080"/>
      <w:bookmarkEnd w:id="36512"/>
      <w:r>
        <w:rPr>
          <w:rFonts w:hint="cs"/>
          <w:rtl/>
        </w:rPr>
        <w:t xml:space="preserve">כל </w:t>
      </w:r>
      <w:bookmarkStart w:id="36513" w:name="_ETM_Q65_469260"/>
      <w:bookmarkEnd w:id="36513"/>
      <w:r>
        <w:rPr>
          <w:rFonts w:hint="cs"/>
          <w:rtl/>
        </w:rPr>
        <w:t xml:space="preserve">מה </w:t>
      </w:r>
      <w:bookmarkStart w:id="36514" w:name="_ETM_Q65_469380"/>
      <w:bookmarkEnd w:id="36514"/>
      <w:r>
        <w:rPr>
          <w:rFonts w:hint="cs"/>
          <w:rtl/>
        </w:rPr>
        <w:t xml:space="preserve">שהוא </w:t>
      </w:r>
      <w:bookmarkStart w:id="36515" w:name="_ETM_Q65_469529"/>
      <w:bookmarkEnd w:id="36515"/>
      <w:r>
        <w:rPr>
          <w:rFonts w:hint="cs"/>
          <w:rtl/>
        </w:rPr>
        <w:t>זכאי</w:t>
      </w:r>
      <w:r w:rsidR="005C5150">
        <w:rPr>
          <w:rFonts w:hint="cs"/>
          <w:rtl/>
        </w:rPr>
        <w:t xml:space="preserve"> לו</w:t>
      </w:r>
      <w:r>
        <w:rPr>
          <w:rFonts w:hint="cs"/>
          <w:rtl/>
        </w:rPr>
        <w:t xml:space="preserve">. </w:t>
      </w:r>
      <w:bookmarkStart w:id="36516" w:name="_ETM_Q65_470570"/>
      <w:bookmarkStart w:id="36517" w:name="_ETM_Q65_472000"/>
      <w:bookmarkEnd w:id="36516"/>
      <w:bookmarkEnd w:id="36517"/>
      <w:r>
        <w:rPr>
          <w:rFonts w:hint="cs"/>
          <w:rtl/>
        </w:rPr>
        <w:t xml:space="preserve">ההורה </w:t>
      </w:r>
      <w:bookmarkStart w:id="36518" w:name="_ETM_Q65_471260"/>
      <w:bookmarkEnd w:id="36518"/>
      <w:r>
        <w:rPr>
          <w:rFonts w:hint="cs"/>
          <w:rtl/>
        </w:rPr>
        <w:t xml:space="preserve">שאין </w:t>
      </w:r>
      <w:bookmarkStart w:id="36519" w:name="_ETM_Q65_471710"/>
      <w:bookmarkEnd w:id="36519"/>
      <w:r>
        <w:rPr>
          <w:rFonts w:hint="cs"/>
          <w:rtl/>
        </w:rPr>
        <w:t xml:space="preserve">לו </w:t>
      </w:r>
      <w:bookmarkStart w:id="36520" w:name="_ETM_Q65_471800"/>
      <w:bookmarkEnd w:id="36520"/>
      <w:r>
        <w:rPr>
          <w:rFonts w:hint="cs"/>
          <w:rtl/>
        </w:rPr>
        <w:t xml:space="preserve">כסף, </w:t>
      </w:r>
      <w:bookmarkStart w:id="36521" w:name="_ETM_Q65_473009"/>
      <w:bookmarkEnd w:id="36521"/>
      <w:r w:rsidR="005C5150">
        <w:rPr>
          <w:rFonts w:hint="cs"/>
          <w:rtl/>
        </w:rPr>
        <w:t>כש</w:t>
      </w:r>
      <w:r>
        <w:rPr>
          <w:rFonts w:hint="cs"/>
          <w:rtl/>
        </w:rPr>
        <w:t xml:space="preserve">אומרים </w:t>
      </w:r>
      <w:bookmarkStart w:id="36522" w:name="_ETM_Q65_473279"/>
      <w:bookmarkEnd w:id="36522"/>
      <w:r>
        <w:rPr>
          <w:rFonts w:hint="cs"/>
          <w:rtl/>
        </w:rPr>
        <w:t xml:space="preserve">לו: </w:t>
      </w:r>
      <w:bookmarkStart w:id="36523" w:name="_ETM_Q65_473400"/>
      <w:bookmarkEnd w:id="36523"/>
      <w:r>
        <w:rPr>
          <w:rFonts w:hint="cs"/>
          <w:rtl/>
        </w:rPr>
        <w:t xml:space="preserve">חינוך </w:t>
      </w:r>
      <w:bookmarkStart w:id="36524" w:name="_ETM_Q65_473789"/>
      <w:bookmarkEnd w:id="36524"/>
      <w:r>
        <w:rPr>
          <w:rFonts w:hint="cs"/>
          <w:rtl/>
        </w:rPr>
        <w:t xml:space="preserve">חינם, </w:t>
      </w:r>
      <w:r w:rsidR="005C5150">
        <w:rPr>
          <w:rFonts w:hint="cs"/>
          <w:rtl/>
        </w:rPr>
        <w:t>כש</w:t>
      </w:r>
      <w:r>
        <w:rPr>
          <w:rFonts w:hint="cs"/>
          <w:rtl/>
        </w:rPr>
        <w:t xml:space="preserve">אומרים לו: </w:t>
      </w:r>
      <w:bookmarkStart w:id="36525" w:name="_ETM_Q65_474000"/>
      <w:bookmarkStart w:id="36526" w:name="_ETM_Q65_474240"/>
      <w:bookmarkStart w:id="36527" w:name="_ETM_Q65_474300"/>
      <w:bookmarkEnd w:id="36525"/>
      <w:bookmarkEnd w:id="36526"/>
      <w:bookmarkEnd w:id="36527"/>
      <w:r>
        <w:rPr>
          <w:rFonts w:hint="cs"/>
          <w:rtl/>
        </w:rPr>
        <w:t xml:space="preserve">אתה </w:t>
      </w:r>
      <w:bookmarkStart w:id="36528" w:name="_ETM_Q65_474449"/>
      <w:bookmarkEnd w:id="36528"/>
      <w:r>
        <w:rPr>
          <w:rFonts w:hint="cs"/>
          <w:rtl/>
        </w:rPr>
        <w:t xml:space="preserve">צריך </w:t>
      </w:r>
      <w:bookmarkStart w:id="36529" w:name="_ETM_Q65_474779"/>
      <w:bookmarkEnd w:id="36529"/>
      <w:r>
        <w:rPr>
          <w:rFonts w:hint="cs"/>
          <w:rtl/>
        </w:rPr>
        <w:t xml:space="preserve">אבחון </w:t>
      </w:r>
      <w:bookmarkStart w:id="36530" w:name="_ETM_Q65_475080"/>
      <w:bookmarkEnd w:id="36530"/>
      <w:r>
        <w:rPr>
          <w:rFonts w:hint="cs"/>
          <w:rtl/>
        </w:rPr>
        <w:t xml:space="preserve">פסיכו-דידקטי, </w:t>
      </w:r>
      <w:r w:rsidR="005C5150">
        <w:rPr>
          <w:rFonts w:hint="cs"/>
          <w:rtl/>
        </w:rPr>
        <w:t>2</w:t>
      </w:r>
      <w:r>
        <w:rPr>
          <w:rFonts w:hint="cs"/>
          <w:rtl/>
        </w:rPr>
        <w:t>,000</w:t>
      </w:r>
      <w:r w:rsidR="005C5150">
        <w:rPr>
          <w:rFonts w:hint="eastAsia"/>
          <w:rtl/>
        </w:rPr>
        <w:t>–</w:t>
      </w:r>
      <w:r w:rsidR="005C5150">
        <w:rPr>
          <w:rFonts w:hint="cs"/>
          <w:rtl/>
        </w:rPr>
        <w:t>3</w:t>
      </w:r>
      <w:r>
        <w:rPr>
          <w:rFonts w:hint="cs"/>
          <w:rtl/>
        </w:rPr>
        <w:t xml:space="preserve">,000 שקל </w:t>
      </w:r>
      <w:r w:rsidR="005C5150">
        <w:rPr>
          <w:rFonts w:hint="eastAsia"/>
          <w:rtl/>
        </w:rPr>
        <w:t>–</w:t>
      </w:r>
      <w:r w:rsidR="005C5150">
        <w:rPr>
          <w:rFonts w:hint="cs"/>
          <w:rtl/>
        </w:rPr>
        <w:t xml:space="preserve"> </w:t>
      </w:r>
      <w:r>
        <w:rPr>
          <w:rFonts w:hint="cs"/>
          <w:rtl/>
        </w:rPr>
        <w:t xml:space="preserve">אין לו. </w:t>
      </w:r>
      <w:bookmarkStart w:id="36531" w:name="_ETM_Q65_476009"/>
      <w:bookmarkStart w:id="36532" w:name="_ETM_Q65_476460"/>
      <w:bookmarkStart w:id="36533" w:name="_ETM_Q65_476789"/>
      <w:bookmarkStart w:id="36534" w:name="_ETM_Q65_477029"/>
      <w:bookmarkStart w:id="36535" w:name="_ETM_Q65_478800"/>
      <w:bookmarkEnd w:id="36531"/>
      <w:bookmarkEnd w:id="36532"/>
      <w:bookmarkEnd w:id="36533"/>
      <w:bookmarkEnd w:id="36534"/>
      <w:bookmarkEnd w:id="36535"/>
      <w:r>
        <w:rPr>
          <w:rFonts w:hint="cs"/>
          <w:rtl/>
        </w:rPr>
        <w:t xml:space="preserve">באתי </w:t>
      </w:r>
      <w:bookmarkStart w:id="36536" w:name="_ETM_Q65_479279"/>
      <w:bookmarkEnd w:id="36536"/>
      <w:r>
        <w:rPr>
          <w:rFonts w:hint="cs"/>
          <w:rtl/>
        </w:rPr>
        <w:t xml:space="preserve">ואמרתי: </w:t>
      </w:r>
      <w:bookmarkStart w:id="36537" w:name="_ETM_Q65_479730"/>
      <w:bookmarkEnd w:id="36537"/>
      <w:r>
        <w:rPr>
          <w:rFonts w:hint="cs"/>
          <w:rtl/>
        </w:rPr>
        <w:t xml:space="preserve">כמה </w:t>
      </w:r>
      <w:bookmarkStart w:id="36538" w:name="_ETM_Q65_480029"/>
      <w:bookmarkEnd w:id="36538"/>
      <w:r>
        <w:rPr>
          <w:rFonts w:hint="cs"/>
          <w:rtl/>
        </w:rPr>
        <w:t xml:space="preserve">כאלה </w:t>
      </w:r>
      <w:bookmarkStart w:id="36539" w:name="_ETM_Q65_480390"/>
      <w:bookmarkEnd w:id="36539"/>
      <w:r>
        <w:rPr>
          <w:rFonts w:hint="cs"/>
          <w:rtl/>
        </w:rPr>
        <w:t xml:space="preserve">יש? כמה </w:t>
      </w:r>
      <w:bookmarkStart w:id="36540" w:name="_ETM_Q65_482000"/>
      <w:bookmarkEnd w:id="36540"/>
      <w:r>
        <w:rPr>
          <w:rFonts w:hint="cs"/>
          <w:rtl/>
        </w:rPr>
        <w:t xml:space="preserve">אלפי ילדים. למה הם לא יקבלו מהמדינה 80% מימון? ואני </w:t>
      </w:r>
      <w:bookmarkStart w:id="36541" w:name="_ETM_Q65_487000"/>
      <w:bookmarkEnd w:id="36541"/>
      <w:r>
        <w:rPr>
          <w:rFonts w:hint="cs"/>
          <w:rtl/>
        </w:rPr>
        <w:t xml:space="preserve">עשיתי את זה </w:t>
      </w:r>
      <w:bookmarkStart w:id="36542" w:name="_ETM_Q65_481210"/>
      <w:bookmarkStart w:id="36543" w:name="_ETM_Q65_480000"/>
      <w:bookmarkStart w:id="36544" w:name="_ETM_Q65_480779"/>
      <w:bookmarkStart w:id="36545" w:name="_ETM_Q65_481170"/>
      <w:bookmarkStart w:id="36546" w:name="_ETM_Q65_481529"/>
      <w:bookmarkStart w:id="36547" w:name="_ETM_Q65_482699"/>
      <w:bookmarkStart w:id="36548" w:name="_ETM_Q65_483060"/>
      <w:bookmarkStart w:id="36549" w:name="_ETM_Q65_483120"/>
      <w:bookmarkStart w:id="36550" w:name="_ETM_Q65_483210"/>
      <w:bookmarkStart w:id="36551" w:name="_ETM_Q65_483570"/>
      <w:bookmarkStart w:id="36552" w:name="_ETM_Q65_484200"/>
      <w:bookmarkStart w:id="36553" w:name="_ETM_Q65_484979"/>
      <w:bookmarkStart w:id="36554" w:name="_ETM_Q65_485880"/>
      <w:bookmarkStart w:id="36555" w:name="_ETM_Q65_486120"/>
      <w:bookmarkStart w:id="36556" w:name="_ETM_Q65_486509"/>
      <w:bookmarkStart w:id="36557" w:name="_ETM_Q65_486569"/>
      <w:bookmarkStart w:id="36558" w:name="_ETM_Q65_486720"/>
      <w:bookmarkEnd w:id="36542"/>
      <w:bookmarkEnd w:id="36543"/>
      <w:bookmarkEnd w:id="36544"/>
      <w:bookmarkEnd w:id="36545"/>
      <w:bookmarkEnd w:id="36546"/>
      <w:bookmarkEnd w:id="36547"/>
      <w:bookmarkEnd w:id="36548"/>
      <w:bookmarkEnd w:id="36549"/>
      <w:bookmarkEnd w:id="36550"/>
      <w:bookmarkEnd w:id="36551"/>
      <w:bookmarkEnd w:id="36552"/>
      <w:bookmarkEnd w:id="36553"/>
      <w:bookmarkEnd w:id="36554"/>
      <w:bookmarkEnd w:id="36555"/>
      <w:bookmarkEnd w:id="36556"/>
      <w:bookmarkEnd w:id="36557"/>
      <w:bookmarkEnd w:id="36558"/>
      <w:r>
        <w:rPr>
          <w:rFonts w:hint="cs"/>
          <w:rtl/>
        </w:rPr>
        <w:t xml:space="preserve">כראש </w:t>
      </w:r>
      <w:bookmarkStart w:id="36559" w:name="_ETM_Q65_487109"/>
      <w:bookmarkEnd w:id="36559"/>
      <w:r>
        <w:rPr>
          <w:rFonts w:hint="cs"/>
          <w:rtl/>
        </w:rPr>
        <w:t xml:space="preserve">עיר. </w:t>
      </w:r>
      <w:bookmarkStart w:id="36560" w:name="_ETM_Q65_487290"/>
      <w:bookmarkEnd w:id="36560"/>
      <w:r>
        <w:rPr>
          <w:rFonts w:hint="cs"/>
          <w:rtl/>
        </w:rPr>
        <w:t xml:space="preserve">הבאתי </w:t>
      </w:r>
      <w:bookmarkStart w:id="36561" w:name="_ETM_Q65_487620"/>
      <w:bookmarkEnd w:id="36561"/>
      <w:r>
        <w:rPr>
          <w:rFonts w:hint="cs"/>
          <w:rtl/>
        </w:rPr>
        <w:t>מלגות</w:t>
      </w:r>
      <w:r w:rsidR="005C5150">
        <w:rPr>
          <w:rFonts w:hint="cs"/>
          <w:rtl/>
        </w:rPr>
        <w:t>,</w:t>
      </w:r>
      <w:r>
        <w:rPr>
          <w:rFonts w:hint="cs"/>
          <w:rtl/>
        </w:rPr>
        <w:t xml:space="preserve"> </w:t>
      </w:r>
      <w:bookmarkStart w:id="36562" w:name="_ETM_Q65_489320"/>
      <w:bookmarkEnd w:id="36562"/>
      <w:r>
        <w:rPr>
          <w:rFonts w:hint="cs"/>
          <w:rtl/>
        </w:rPr>
        <w:t xml:space="preserve">עכשיו </w:t>
      </w:r>
      <w:bookmarkStart w:id="36563" w:name="_ETM_Q65_489710"/>
      <w:bookmarkEnd w:id="36563"/>
      <w:r>
        <w:rPr>
          <w:rFonts w:hint="cs"/>
          <w:rtl/>
        </w:rPr>
        <w:t xml:space="preserve">אני </w:t>
      </w:r>
      <w:bookmarkStart w:id="36564" w:name="_ETM_Q65_489800"/>
      <w:bookmarkEnd w:id="36564"/>
      <w:r>
        <w:rPr>
          <w:rFonts w:hint="cs"/>
          <w:rtl/>
        </w:rPr>
        <w:t xml:space="preserve">כבר לא </w:t>
      </w:r>
      <w:bookmarkStart w:id="36565" w:name="_ETM_Q65_489890"/>
      <w:bookmarkEnd w:id="36565"/>
      <w:r>
        <w:rPr>
          <w:rFonts w:hint="cs"/>
          <w:rtl/>
        </w:rPr>
        <w:t xml:space="preserve">זוכר </w:t>
      </w:r>
      <w:bookmarkStart w:id="36566" w:name="_ETM_Q65_490279"/>
      <w:bookmarkEnd w:id="36566"/>
      <w:r>
        <w:rPr>
          <w:rFonts w:hint="cs"/>
          <w:rtl/>
        </w:rPr>
        <w:t xml:space="preserve">את </w:t>
      </w:r>
      <w:bookmarkStart w:id="36567" w:name="_ETM_Q65_490370"/>
      <w:bookmarkEnd w:id="36567"/>
      <w:r>
        <w:rPr>
          <w:rFonts w:hint="cs"/>
          <w:rtl/>
        </w:rPr>
        <w:t xml:space="preserve">הקרנות </w:t>
      </w:r>
      <w:bookmarkStart w:id="36568" w:name="_ETM_Q65_490850"/>
      <w:bookmarkEnd w:id="36568"/>
      <w:r>
        <w:rPr>
          <w:rFonts w:hint="cs"/>
          <w:rtl/>
        </w:rPr>
        <w:t xml:space="preserve">שעזרו </w:t>
      </w:r>
      <w:bookmarkStart w:id="36569" w:name="_ETM_Q65_491330"/>
      <w:bookmarkEnd w:id="36569"/>
      <w:r>
        <w:rPr>
          <w:rFonts w:hint="cs"/>
          <w:rtl/>
        </w:rPr>
        <w:t xml:space="preserve">לי – </w:t>
      </w:r>
      <w:bookmarkStart w:id="36570" w:name="_ETM_Q65_491450"/>
      <w:bookmarkEnd w:id="36570"/>
      <w:r>
        <w:rPr>
          <w:rFonts w:hint="cs"/>
          <w:rtl/>
        </w:rPr>
        <w:t xml:space="preserve">אבל </w:t>
      </w:r>
      <w:bookmarkStart w:id="36571" w:name="_ETM_Q65_492759"/>
      <w:bookmarkEnd w:id="36571"/>
      <w:r>
        <w:rPr>
          <w:rFonts w:hint="cs"/>
          <w:rtl/>
        </w:rPr>
        <w:t xml:space="preserve">למה </w:t>
      </w:r>
      <w:bookmarkStart w:id="36572" w:name="_ETM_Q65_493209"/>
      <w:bookmarkEnd w:id="36572"/>
      <w:r>
        <w:rPr>
          <w:rFonts w:hint="cs"/>
          <w:rtl/>
        </w:rPr>
        <w:t xml:space="preserve">המדינה </w:t>
      </w:r>
      <w:bookmarkStart w:id="36573" w:name="_ETM_Q65_493599"/>
      <w:bookmarkEnd w:id="36573"/>
      <w:r>
        <w:rPr>
          <w:rFonts w:hint="cs"/>
          <w:rtl/>
        </w:rPr>
        <w:t xml:space="preserve">לא </w:t>
      </w:r>
      <w:bookmarkStart w:id="36574" w:name="_ETM_Q65_493690"/>
      <w:bookmarkEnd w:id="36574"/>
      <w:r>
        <w:rPr>
          <w:rFonts w:hint="cs"/>
          <w:rtl/>
        </w:rPr>
        <w:t xml:space="preserve">צריכה </w:t>
      </w:r>
      <w:bookmarkStart w:id="36575" w:name="_ETM_Q65_493959"/>
      <w:bookmarkEnd w:id="36575"/>
      <w:r>
        <w:rPr>
          <w:rFonts w:hint="cs"/>
          <w:rtl/>
        </w:rPr>
        <w:t xml:space="preserve">לתת </w:t>
      </w:r>
      <w:bookmarkStart w:id="36576" w:name="_ETM_Q65_494169"/>
      <w:bookmarkEnd w:id="36576"/>
      <w:r>
        <w:rPr>
          <w:rFonts w:hint="cs"/>
          <w:rtl/>
        </w:rPr>
        <w:t xml:space="preserve">אבחון </w:t>
      </w:r>
      <w:bookmarkStart w:id="36577" w:name="_ETM_Q65_494499"/>
      <w:bookmarkEnd w:id="36577"/>
      <w:r>
        <w:rPr>
          <w:rFonts w:hint="cs"/>
          <w:rtl/>
        </w:rPr>
        <w:t>פסיכו-דידקטי?</w:t>
      </w:r>
    </w:p>
    <w:p w:rsidR="00BB59CD" w:rsidRDefault="00BB59CD" w:rsidP="00BB59CD">
      <w:pPr>
        <w:rPr>
          <w:rtl/>
        </w:rPr>
      </w:pPr>
    </w:p>
    <w:p w:rsidR="00BB59CD" w:rsidRDefault="00BB59CD" w:rsidP="00467C2B">
      <w:pPr>
        <w:rPr>
          <w:rtl/>
        </w:rPr>
      </w:pPr>
      <w:bookmarkStart w:id="36578" w:name="_ETM_Q65_498000"/>
      <w:bookmarkStart w:id="36579" w:name="_ETM_Q65_495969"/>
      <w:bookmarkEnd w:id="36578"/>
      <w:bookmarkEnd w:id="36579"/>
      <w:r>
        <w:rPr>
          <w:rFonts w:hint="cs"/>
          <w:rtl/>
        </w:rPr>
        <w:t xml:space="preserve">אלה </w:t>
      </w:r>
      <w:bookmarkStart w:id="36580" w:name="_ETM_Q65_496450"/>
      <w:bookmarkEnd w:id="36580"/>
      <w:r>
        <w:rPr>
          <w:rFonts w:hint="cs"/>
          <w:rtl/>
        </w:rPr>
        <w:t xml:space="preserve">החיים </w:t>
      </w:r>
      <w:bookmarkStart w:id="36581" w:name="_ETM_Q65_496960"/>
      <w:bookmarkEnd w:id="36581"/>
      <w:r>
        <w:rPr>
          <w:rFonts w:hint="cs"/>
          <w:rtl/>
        </w:rPr>
        <w:t xml:space="preserve">עצמם, </w:t>
      </w:r>
      <w:bookmarkStart w:id="36582" w:name="_ETM_Q65_497560"/>
      <w:bookmarkEnd w:id="36582"/>
      <w:r>
        <w:rPr>
          <w:rFonts w:hint="cs"/>
          <w:rtl/>
        </w:rPr>
        <w:t xml:space="preserve">אלה </w:t>
      </w:r>
      <w:bookmarkStart w:id="36583" w:name="_ETM_Q65_497830"/>
      <w:bookmarkEnd w:id="36583"/>
      <w:r>
        <w:rPr>
          <w:rFonts w:hint="cs"/>
          <w:rtl/>
        </w:rPr>
        <w:t xml:space="preserve">הדברים </w:t>
      </w:r>
      <w:bookmarkStart w:id="36584" w:name="_ETM_Q65_498310"/>
      <w:bookmarkEnd w:id="36584"/>
      <w:r>
        <w:rPr>
          <w:rFonts w:hint="cs"/>
          <w:rtl/>
        </w:rPr>
        <w:t xml:space="preserve">היסודיים </w:t>
      </w:r>
      <w:bookmarkStart w:id="36585" w:name="_ETM_Q65_499360"/>
      <w:bookmarkEnd w:id="36585"/>
      <w:r>
        <w:rPr>
          <w:rFonts w:hint="cs"/>
          <w:rtl/>
        </w:rPr>
        <w:t>ש</w:t>
      </w:r>
      <w:r w:rsidR="00467C2B">
        <w:rPr>
          <w:rFonts w:hint="cs"/>
          <w:rtl/>
        </w:rPr>
        <w:t>עליהם</w:t>
      </w:r>
      <w:r>
        <w:rPr>
          <w:rFonts w:hint="cs"/>
          <w:rtl/>
        </w:rPr>
        <w:t xml:space="preserve"> </w:t>
      </w:r>
      <w:bookmarkStart w:id="36586" w:name="_ETM_Q65_499960"/>
      <w:bookmarkStart w:id="36587" w:name="_ETM_Q65_500950"/>
      <w:bookmarkEnd w:id="36586"/>
      <w:bookmarkEnd w:id="36587"/>
      <w:r>
        <w:rPr>
          <w:rFonts w:hint="cs"/>
          <w:rtl/>
        </w:rPr>
        <w:t>אמור</w:t>
      </w:r>
      <w:r w:rsidR="00467C2B">
        <w:rPr>
          <w:rFonts w:hint="cs"/>
          <w:rtl/>
        </w:rPr>
        <w:t>ים</w:t>
      </w:r>
      <w:r>
        <w:rPr>
          <w:rFonts w:hint="cs"/>
          <w:rtl/>
        </w:rPr>
        <w:t xml:space="preserve"> </w:t>
      </w:r>
      <w:bookmarkStart w:id="36588" w:name="_ETM_Q65_501310"/>
      <w:bookmarkEnd w:id="36588"/>
      <w:r>
        <w:rPr>
          <w:rFonts w:hint="cs"/>
          <w:rtl/>
        </w:rPr>
        <w:t xml:space="preserve">להיות </w:t>
      </w:r>
      <w:bookmarkStart w:id="36589" w:name="_ETM_Q65_501550"/>
      <w:bookmarkEnd w:id="36589"/>
      <w:r>
        <w:rPr>
          <w:rFonts w:hint="cs"/>
          <w:rtl/>
        </w:rPr>
        <w:t xml:space="preserve">90% מעבודת </w:t>
      </w:r>
      <w:bookmarkStart w:id="36590" w:name="_ETM_Q65_500440"/>
      <w:bookmarkEnd w:id="36590"/>
      <w:r>
        <w:rPr>
          <w:rFonts w:hint="cs"/>
          <w:rtl/>
        </w:rPr>
        <w:t>הכנסת</w:t>
      </w:r>
      <w:r w:rsidR="00467C2B">
        <w:rPr>
          <w:rFonts w:hint="cs"/>
          <w:rtl/>
        </w:rPr>
        <w:t>;</w:t>
      </w:r>
      <w:r>
        <w:rPr>
          <w:rFonts w:hint="cs"/>
          <w:rtl/>
        </w:rPr>
        <w:t xml:space="preserve"> </w:t>
      </w:r>
      <w:bookmarkStart w:id="36591" w:name="_ETM_Q65_502800"/>
      <w:bookmarkEnd w:id="36591"/>
      <w:r w:rsidR="005C5150">
        <w:rPr>
          <w:rFonts w:hint="cs"/>
          <w:rtl/>
        </w:rPr>
        <w:t>ב-</w:t>
      </w:r>
      <w:r>
        <w:rPr>
          <w:rFonts w:hint="cs"/>
          <w:rtl/>
        </w:rPr>
        <w:t xml:space="preserve">5% </w:t>
      </w:r>
      <w:bookmarkStart w:id="36592" w:name="_ETM_Q65_503789"/>
      <w:bookmarkEnd w:id="36592"/>
      <w:r>
        <w:rPr>
          <w:rFonts w:hint="cs"/>
          <w:rtl/>
        </w:rPr>
        <w:t xml:space="preserve">מזמננו </w:t>
      </w:r>
      <w:bookmarkStart w:id="36593" w:name="_ETM_Q65_504420"/>
      <w:bookmarkEnd w:id="36593"/>
      <w:r>
        <w:rPr>
          <w:rFonts w:hint="cs"/>
          <w:rtl/>
        </w:rPr>
        <w:t xml:space="preserve">בואו </w:t>
      </w:r>
      <w:bookmarkStart w:id="36594" w:name="_ETM_Q65_504600"/>
      <w:bookmarkEnd w:id="36594"/>
      <w:r>
        <w:rPr>
          <w:rFonts w:hint="cs"/>
          <w:rtl/>
        </w:rPr>
        <w:t xml:space="preserve">נתקן </w:t>
      </w:r>
      <w:bookmarkStart w:id="36595" w:name="_ETM_Q65_504990"/>
      <w:bookmarkEnd w:id="36595"/>
      <w:r>
        <w:rPr>
          <w:rFonts w:hint="cs"/>
          <w:rtl/>
        </w:rPr>
        <w:t xml:space="preserve">את </w:t>
      </w:r>
      <w:bookmarkStart w:id="36596" w:name="_ETM_Q65_505110"/>
      <w:bookmarkEnd w:id="36596"/>
      <w:r>
        <w:rPr>
          <w:rFonts w:hint="cs"/>
          <w:rtl/>
        </w:rPr>
        <w:t xml:space="preserve">מערכת </w:t>
      </w:r>
      <w:bookmarkStart w:id="36597" w:name="_ETM_Q65_505589"/>
      <w:bookmarkEnd w:id="36597"/>
      <w:r>
        <w:rPr>
          <w:rFonts w:hint="cs"/>
          <w:rtl/>
        </w:rPr>
        <w:t xml:space="preserve">המשפט. </w:t>
      </w:r>
      <w:bookmarkStart w:id="36598" w:name="_ETM_Q65_506650"/>
      <w:bookmarkEnd w:id="36598"/>
      <w:r>
        <w:rPr>
          <w:rFonts w:hint="cs"/>
          <w:rtl/>
        </w:rPr>
        <w:t xml:space="preserve">איך </w:t>
      </w:r>
      <w:bookmarkStart w:id="36599" w:name="_ETM_Q65_506890"/>
      <w:bookmarkEnd w:id="36599"/>
      <w:r>
        <w:rPr>
          <w:rFonts w:hint="cs"/>
          <w:rtl/>
        </w:rPr>
        <w:t xml:space="preserve">הפכנו </w:t>
      </w:r>
      <w:bookmarkStart w:id="36600" w:name="_ETM_Q65_507310"/>
      <w:bookmarkEnd w:id="36600"/>
      <w:r>
        <w:rPr>
          <w:rFonts w:hint="cs"/>
          <w:rtl/>
        </w:rPr>
        <w:t xml:space="preserve">ל-95% </w:t>
      </w:r>
      <w:bookmarkStart w:id="36601" w:name="_ETM_Q65_508839"/>
      <w:bookmarkEnd w:id="36601"/>
      <w:r>
        <w:rPr>
          <w:rFonts w:hint="cs"/>
          <w:rtl/>
        </w:rPr>
        <w:t xml:space="preserve">ויכוח </w:t>
      </w:r>
      <w:bookmarkStart w:id="36602" w:name="_ETM_Q65_509439"/>
      <w:bookmarkEnd w:id="36602"/>
      <w:r>
        <w:rPr>
          <w:rFonts w:hint="cs"/>
          <w:rtl/>
        </w:rPr>
        <w:t xml:space="preserve">על </w:t>
      </w:r>
      <w:bookmarkStart w:id="36603" w:name="_ETM_Q65_509529"/>
      <w:bookmarkEnd w:id="36603"/>
      <w:r>
        <w:rPr>
          <w:rFonts w:hint="cs"/>
          <w:rtl/>
        </w:rPr>
        <w:t xml:space="preserve">מערכת </w:t>
      </w:r>
      <w:bookmarkStart w:id="36604" w:name="_ETM_Q65_509919"/>
      <w:bookmarkEnd w:id="36604"/>
      <w:r>
        <w:rPr>
          <w:rFonts w:hint="cs"/>
          <w:rtl/>
        </w:rPr>
        <w:t xml:space="preserve">המשפט </w:t>
      </w:r>
      <w:bookmarkStart w:id="36605" w:name="_ETM_Q65_511060"/>
      <w:bookmarkEnd w:id="36605"/>
      <w:r>
        <w:rPr>
          <w:rFonts w:hint="cs"/>
          <w:rtl/>
        </w:rPr>
        <w:t xml:space="preserve">ואפס </w:t>
      </w:r>
      <w:bookmarkStart w:id="36606" w:name="_ETM_Q65_511750"/>
      <w:bookmarkEnd w:id="36606"/>
      <w:r>
        <w:rPr>
          <w:rFonts w:hint="cs"/>
          <w:rtl/>
        </w:rPr>
        <w:t xml:space="preserve">פרומיל </w:t>
      </w:r>
      <w:bookmarkStart w:id="36607" w:name="_ETM_Q65_512380"/>
      <w:bookmarkEnd w:id="36607"/>
      <w:r>
        <w:rPr>
          <w:rFonts w:hint="cs"/>
          <w:rtl/>
        </w:rPr>
        <w:t xml:space="preserve">זמן </w:t>
      </w:r>
      <w:bookmarkStart w:id="36608" w:name="_ETM_Q65_513279"/>
      <w:bookmarkEnd w:id="36608"/>
      <w:r>
        <w:rPr>
          <w:rFonts w:hint="cs"/>
          <w:rtl/>
        </w:rPr>
        <w:t xml:space="preserve">לתיקון </w:t>
      </w:r>
      <w:bookmarkStart w:id="36609" w:name="_ETM_Q65_513880"/>
      <w:bookmarkEnd w:id="36609"/>
      <w:r>
        <w:rPr>
          <w:rFonts w:hint="cs"/>
          <w:rtl/>
        </w:rPr>
        <w:t xml:space="preserve">החברה </w:t>
      </w:r>
      <w:bookmarkStart w:id="36610" w:name="_ETM_Q65_514300"/>
      <w:bookmarkEnd w:id="36610"/>
      <w:r>
        <w:rPr>
          <w:rFonts w:hint="cs"/>
          <w:rtl/>
        </w:rPr>
        <w:t xml:space="preserve">הישראלית? </w:t>
      </w:r>
      <w:bookmarkStart w:id="36611" w:name="_ETM_Q65_516890"/>
      <w:bookmarkStart w:id="36612" w:name="_ETM_Q65_519000"/>
      <w:bookmarkEnd w:id="36611"/>
      <w:bookmarkEnd w:id="36612"/>
      <w:r>
        <w:rPr>
          <w:rFonts w:hint="cs"/>
          <w:rtl/>
        </w:rPr>
        <w:t xml:space="preserve">ועוד </w:t>
      </w:r>
      <w:bookmarkStart w:id="36613" w:name="_ETM_Q65_517460"/>
      <w:bookmarkEnd w:id="36613"/>
      <w:r>
        <w:rPr>
          <w:rFonts w:hint="cs"/>
          <w:rtl/>
        </w:rPr>
        <w:t xml:space="preserve">רבים </w:t>
      </w:r>
      <w:bookmarkStart w:id="36614" w:name="_ETM_Q65_517760"/>
      <w:bookmarkEnd w:id="36614"/>
      <w:r>
        <w:rPr>
          <w:rFonts w:hint="cs"/>
          <w:rtl/>
        </w:rPr>
        <w:t xml:space="preserve">מחברי </w:t>
      </w:r>
      <w:bookmarkStart w:id="36615" w:name="_ETM_Q65_518210"/>
      <w:bookmarkEnd w:id="36615"/>
      <w:r>
        <w:rPr>
          <w:rFonts w:hint="cs"/>
          <w:rtl/>
        </w:rPr>
        <w:t xml:space="preserve">הכנסת </w:t>
      </w:r>
      <w:bookmarkStart w:id="36616" w:name="_ETM_Q65_518390"/>
      <w:bookmarkStart w:id="36617" w:name="_ETM_Q65_518720"/>
      <w:bookmarkEnd w:id="36616"/>
      <w:bookmarkEnd w:id="36617"/>
      <w:r>
        <w:rPr>
          <w:rFonts w:hint="cs"/>
          <w:rtl/>
        </w:rPr>
        <w:t xml:space="preserve">עם </w:t>
      </w:r>
      <w:bookmarkStart w:id="36618" w:name="_ETM_Q65_518870"/>
      <w:bookmarkEnd w:id="36618"/>
      <w:r>
        <w:rPr>
          <w:rFonts w:hint="cs"/>
          <w:rtl/>
        </w:rPr>
        <w:t xml:space="preserve">הצעות </w:t>
      </w:r>
      <w:bookmarkStart w:id="36619" w:name="_ETM_Q65_519290"/>
      <w:bookmarkEnd w:id="36619"/>
      <w:r>
        <w:rPr>
          <w:rFonts w:hint="cs"/>
          <w:rtl/>
        </w:rPr>
        <w:t xml:space="preserve">טובות </w:t>
      </w:r>
      <w:bookmarkStart w:id="36620" w:name="_ETM_Q65_519739"/>
      <w:bookmarkEnd w:id="36620"/>
      <w:r>
        <w:rPr>
          <w:rFonts w:hint="cs"/>
          <w:rtl/>
        </w:rPr>
        <w:t xml:space="preserve">ויוזמות </w:t>
      </w:r>
      <w:bookmarkStart w:id="36621" w:name="_ETM_Q65_520309"/>
      <w:bookmarkEnd w:id="36621"/>
      <w:r>
        <w:rPr>
          <w:rFonts w:hint="cs"/>
          <w:rtl/>
        </w:rPr>
        <w:t xml:space="preserve">טובות. </w:t>
      </w:r>
      <w:bookmarkStart w:id="36622" w:name="_ETM_Q65_522449"/>
      <w:bookmarkEnd w:id="36622"/>
    </w:p>
    <w:p w:rsidR="00BB59CD" w:rsidRDefault="00BB59CD" w:rsidP="00BB59CD">
      <w:pPr>
        <w:rPr>
          <w:rtl/>
        </w:rPr>
      </w:pPr>
    </w:p>
    <w:p w:rsidR="00BB59CD" w:rsidRDefault="00BB59CD" w:rsidP="00467C2B">
      <w:pPr>
        <w:rPr>
          <w:rtl/>
        </w:rPr>
      </w:pPr>
      <w:bookmarkStart w:id="36623" w:name="_ETM_Q65_524000"/>
      <w:bookmarkEnd w:id="36623"/>
      <w:r>
        <w:rPr>
          <w:rFonts w:hint="cs"/>
          <w:rtl/>
        </w:rPr>
        <w:t xml:space="preserve">מתוך </w:t>
      </w:r>
      <w:bookmarkStart w:id="36624" w:name="_ETM_Q65_522899"/>
      <w:bookmarkEnd w:id="36624"/>
      <w:r>
        <w:rPr>
          <w:rFonts w:hint="cs"/>
          <w:rtl/>
        </w:rPr>
        <w:t xml:space="preserve">הדברים </w:t>
      </w:r>
      <w:bookmarkStart w:id="36625" w:name="_ETM_Q65_523350"/>
      <w:bookmarkEnd w:id="36625"/>
      <w:r>
        <w:rPr>
          <w:rFonts w:hint="cs"/>
          <w:rtl/>
        </w:rPr>
        <w:t xml:space="preserve">הללו, </w:t>
      </w:r>
      <w:bookmarkStart w:id="36626" w:name="_ETM_Q65_524039"/>
      <w:bookmarkEnd w:id="36626"/>
      <w:r>
        <w:rPr>
          <w:rFonts w:hint="cs"/>
          <w:rtl/>
        </w:rPr>
        <w:t xml:space="preserve">מתוך </w:t>
      </w:r>
      <w:bookmarkStart w:id="36627" w:name="_ETM_Q65_524460"/>
      <w:bookmarkEnd w:id="36627"/>
      <w:r>
        <w:rPr>
          <w:rFonts w:hint="cs"/>
          <w:rtl/>
        </w:rPr>
        <w:t xml:space="preserve">מבט </w:t>
      </w:r>
      <w:bookmarkStart w:id="36628" w:name="_ETM_Q65_525180"/>
      <w:bookmarkEnd w:id="36628"/>
      <w:r>
        <w:rPr>
          <w:rFonts w:hint="cs"/>
          <w:rtl/>
        </w:rPr>
        <w:t xml:space="preserve">הוגן, </w:t>
      </w:r>
      <w:bookmarkStart w:id="36629" w:name="_ETM_Q65_525690"/>
      <w:bookmarkEnd w:id="36629"/>
      <w:r>
        <w:rPr>
          <w:rFonts w:hint="cs"/>
          <w:rtl/>
        </w:rPr>
        <w:t xml:space="preserve">אני </w:t>
      </w:r>
      <w:bookmarkStart w:id="36630" w:name="_ETM_Q65_525899"/>
      <w:bookmarkEnd w:id="36630"/>
      <w:r>
        <w:rPr>
          <w:rFonts w:hint="cs"/>
          <w:rtl/>
        </w:rPr>
        <w:t xml:space="preserve">קורא </w:t>
      </w:r>
      <w:bookmarkStart w:id="36631" w:name="_ETM_Q65_526260"/>
      <w:bookmarkEnd w:id="36631"/>
      <w:r>
        <w:rPr>
          <w:rFonts w:hint="cs"/>
          <w:rtl/>
        </w:rPr>
        <w:t xml:space="preserve">לעצור. </w:t>
      </w:r>
      <w:bookmarkStart w:id="36632" w:name="_ETM_Q65_527690"/>
      <w:bookmarkEnd w:id="36632"/>
      <w:r>
        <w:rPr>
          <w:rFonts w:hint="cs"/>
          <w:rtl/>
        </w:rPr>
        <w:t xml:space="preserve">אני </w:t>
      </w:r>
      <w:bookmarkStart w:id="36633" w:name="_ETM_Q65_527960"/>
      <w:bookmarkEnd w:id="36633"/>
      <w:r>
        <w:rPr>
          <w:rFonts w:hint="cs"/>
          <w:rtl/>
        </w:rPr>
        <w:t xml:space="preserve">קורא </w:t>
      </w:r>
      <w:bookmarkStart w:id="36634" w:name="_ETM_Q65_528350"/>
      <w:bookmarkEnd w:id="36634"/>
      <w:r>
        <w:rPr>
          <w:rFonts w:hint="cs"/>
          <w:rtl/>
        </w:rPr>
        <w:t xml:space="preserve">לראש </w:t>
      </w:r>
      <w:bookmarkStart w:id="36635" w:name="_ETM_Q65_528739"/>
      <w:bookmarkEnd w:id="36635"/>
      <w:r>
        <w:rPr>
          <w:rFonts w:hint="cs"/>
          <w:rtl/>
        </w:rPr>
        <w:t xml:space="preserve">הממשלה: </w:t>
      </w:r>
      <w:bookmarkStart w:id="36636" w:name="_ETM_Q65_530089"/>
      <w:bookmarkEnd w:id="36636"/>
      <w:r>
        <w:rPr>
          <w:rFonts w:hint="cs"/>
          <w:rtl/>
        </w:rPr>
        <w:t xml:space="preserve">רק </w:t>
      </w:r>
      <w:bookmarkStart w:id="36637" w:name="_ETM_Q65_530600"/>
      <w:bookmarkEnd w:id="36637"/>
      <w:r>
        <w:rPr>
          <w:rFonts w:hint="cs"/>
          <w:rtl/>
        </w:rPr>
        <w:t xml:space="preserve">בידך </w:t>
      </w:r>
      <w:bookmarkStart w:id="36638" w:name="_ETM_Q65_531170"/>
      <w:bookmarkEnd w:id="36638"/>
      <w:r>
        <w:rPr>
          <w:rFonts w:hint="cs"/>
          <w:rtl/>
        </w:rPr>
        <w:t xml:space="preserve">הדבר. אין אף אחד אחר </w:t>
      </w:r>
      <w:bookmarkStart w:id="36639" w:name="_ETM_Q65_532819"/>
      <w:bookmarkStart w:id="36640" w:name="_ETM_Q65_533059"/>
      <w:bookmarkStart w:id="36641" w:name="_ETM_Q65_533210"/>
      <w:bookmarkStart w:id="36642" w:name="_ETM_Q65_533510"/>
      <w:bookmarkStart w:id="36643" w:name="_ETM_Q65_533870"/>
      <w:bookmarkEnd w:id="36639"/>
      <w:bookmarkEnd w:id="36640"/>
      <w:bookmarkEnd w:id="36641"/>
      <w:bookmarkEnd w:id="36642"/>
      <w:bookmarkEnd w:id="36643"/>
      <w:r>
        <w:rPr>
          <w:rFonts w:hint="cs"/>
          <w:rtl/>
        </w:rPr>
        <w:t xml:space="preserve">פה </w:t>
      </w:r>
      <w:bookmarkStart w:id="36644" w:name="_ETM_Q65_534079"/>
      <w:bookmarkEnd w:id="36644"/>
      <w:r>
        <w:rPr>
          <w:rFonts w:hint="cs"/>
          <w:rtl/>
        </w:rPr>
        <w:t xml:space="preserve">במדינה </w:t>
      </w:r>
      <w:bookmarkStart w:id="36645" w:name="_ETM_Q65_534620"/>
      <w:bookmarkEnd w:id="36645"/>
      <w:r>
        <w:rPr>
          <w:rFonts w:hint="cs"/>
          <w:rtl/>
        </w:rPr>
        <w:t xml:space="preserve">עכשיו </w:t>
      </w:r>
      <w:bookmarkStart w:id="36646" w:name="_ETM_Q65_536100"/>
      <w:bookmarkEnd w:id="36646"/>
      <w:r>
        <w:rPr>
          <w:rFonts w:hint="cs"/>
          <w:rtl/>
        </w:rPr>
        <w:t xml:space="preserve">שיכול </w:t>
      </w:r>
      <w:bookmarkStart w:id="36647" w:name="_ETM_Q65_536640"/>
      <w:bookmarkEnd w:id="36647"/>
      <w:r>
        <w:rPr>
          <w:rFonts w:hint="cs"/>
          <w:rtl/>
        </w:rPr>
        <w:t xml:space="preserve">להנמיך </w:t>
      </w:r>
      <w:bookmarkStart w:id="36648" w:name="_ETM_Q65_537150"/>
      <w:bookmarkEnd w:id="36648"/>
      <w:r>
        <w:rPr>
          <w:rFonts w:hint="cs"/>
          <w:rtl/>
        </w:rPr>
        <w:t xml:space="preserve">את </w:t>
      </w:r>
      <w:bookmarkStart w:id="36649" w:name="_ETM_Q65_537270"/>
      <w:bookmarkEnd w:id="36649"/>
      <w:r>
        <w:rPr>
          <w:rFonts w:hint="cs"/>
          <w:rtl/>
        </w:rPr>
        <w:t xml:space="preserve">גובה </w:t>
      </w:r>
      <w:bookmarkStart w:id="36650" w:name="_ETM_Q65_537660"/>
      <w:bookmarkEnd w:id="36650"/>
      <w:r>
        <w:rPr>
          <w:rFonts w:hint="cs"/>
          <w:rtl/>
        </w:rPr>
        <w:t xml:space="preserve">הלהבות. </w:t>
      </w:r>
      <w:bookmarkStart w:id="36651" w:name="_ETM_Q65_539000"/>
      <w:bookmarkEnd w:id="36651"/>
      <w:r>
        <w:rPr>
          <w:rFonts w:hint="cs"/>
          <w:rtl/>
        </w:rPr>
        <w:t xml:space="preserve">ראש הממשלה, האם אתה </w:t>
      </w:r>
      <w:bookmarkStart w:id="36652" w:name="_ETM_Q65_539410"/>
      <w:bookmarkStart w:id="36653" w:name="_ETM_Q65_541420"/>
      <w:bookmarkStart w:id="36654" w:name="_ETM_Q65_541690"/>
      <w:bookmarkStart w:id="36655" w:name="_ETM_Q65_541900"/>
      <w:bookmarkEnd w:id="36652"/>
      <w:bookmarkEnd w:id="36653"/>
      <w:bookmarkEnd w:id="36654"/>
      <w:bookmarkEnd w:id="36655"/>
      <w:r>
        <w:rPr>
          <w:rFonts w:hint="cs"/>
          <w:rtl/>
        </w:rPr>
        <w:t xml:space="preserve">רוצה </w:t>
      </w:r>
      <w:bookmarkStart w:id="36656" w:name="_ETM_Q65_542260"/>
      <w:bookmarkEnd w:id="36656"/>
      <w:r>
        <w:rPr>
          <w:rFonts w:hint="cs"/>
          <w:rtl/>
        </w:rPr>
        <w:t xml:space="preserve">להיזכר </w:t>
      </w:r>
      <w:bookmarkStart w:id="36657" w:name="_ETM_Q65_543690"/>
      <w:bookmarkEnd w:id="36657"/>
      <w:r>
        <w:rPr>
          <w:rFonts w:hint="cs"/>
          <w:rtl/>
        </w:rPr>
        <w:t xml:space="preserve">אחרי </w:t>
      </w:r>
      <w:bookmarkStart w:id="36658" w:name="_ETM_Q65_544080"/>
      <w:bookmarkEnd w:id="36658"/>
      <w:r>
        <w:rPr>
          <w:rFonts w:hint="cs"/>
          <w:rtl/>
        </w:rPr>
        <w:t xml:space="preserve">20 </w:t>
      </w:r>
      <w:bookmarkStart w:id="36659" w:name="_ETM_Q65_544440"/>
      <w:bookmarkEnd w:id="36659"/>
      <w:r>
        <w:rPr>
          <w:rFonts w:hint="cs"/>
          <w:rtl/>
        </w:rPr>
        <w:t xml:space="preserve">שנה </w:t>
      </w:r>
      <w:bookmarkStart w:id="36660" w:name="_ETM_Q65_545429"/>
      <w:bookmarkEnd w:id="36660"/>
      <w:r>
        <w:rPr>
          <w:rFonts w:hint="cs"/>
          <w:rtl/>
        </w:rPr>
        <w:t xml:space="preserve">בראשות </w:t>
      </w:r>
      <w:bookmarkStart w:id="36661" w:name="_ETM_Q65_546089"/>
      <w:bookmarkEnd w:id="36661"/>
      <w:r>
        <w:rPr>
          <w:rFonts w:hint="cs"/>
          <w:rtl/>
        </w:rPr>
        <w:t xml:space="preserve">הממשלה </w:t>
      </w:r>
      <w:bookmarkStart w:id="36662" w:name="_ETM_Q65_546749"/>
      <w:bookmarkEnd w:id="36662"/>
      <w:r>
        <w:rPr>
          <w:rFonts w:hint="cs"/>
          <w:rtl/>
        </w:rPr>
        <w:t xml:space="preserve">כמי </w:t>
      </w:r>
      <w:bookmarkStart w:id="36663" w:name="_ETM_Q65_547049"/>
      <w:bookmarkEnd w:id="36663"/>
      <w:r>
        <w:rPr>
          <w:rFonts w:hint="cs"/>
          <w:rtl/>
        </w:rPr>
        <w:t xml:space="preserve">שהביא </w:t>
      </w:r>
      <w:bookmarkStart w:id="36664" w:name="_ETM_Q65_547439"/>
      <w:bookmarkEnd w:id="36664"/>
      <w:r>
        <w:rPr>
          <w:rFonts w:hint="cs"/>
          <w:rtl/>
        </w:rPr>
        <w:t xml:space="preserve">שנאת </w:t>
      </w:r>
      <w:bookmarkStart w:id="36665" w:name="_ETM_Q65_547890"/>
      <w:bookmarkEnd w:id="36665"/>
      <w:r>
        <w:rPr>
          <w:rFonts w:hint="cs"/>
          <w:rtl/>
        </w:rPr>
        <w:t xml:space="preserve">חינם? </w:t>
      </w:r>
      <w:bookmarkStart w:id="36666" w:name="_ETM_Q65_549119"/>
      <w:bookmarkEnd w:id="36666"/>
      <w:r>
        <w:rPr>
          <w:rFonts w:hint="cs"/>
          <w:rtl/>
        </w:rPr>
        <w:t xml:space="preserve">כמי </w:t>
      </w:r>
      <w:bookmarkStart w:id="36667" w:name="_ETM_Q65_549420"/>
      <w:bookmarkEnd w:id="36667"/>
      <w:r>
        <w:rPr>
          <w:rFonts w:hint="cs"/>
          <w:rtl/>
        </w:rPr>
        <w:t xml:space="preserve">שקירב </w:t>
      </w:r>
      <w:bookmarkStart w:id="36668" w:name="_ETM_Q65_550049"/>
      <w:bookmarkEnd w:id="36668"/>
      <w:r>
        <w:rPr>
          <w:rFonts w:hint="cs"/>
          <w:rtl/>
        </w:rPr>
        <w:t xml:space="preserve">אותנו </w:t>
      </w:r>
      <w:bookmarkStart w:id="36669" w:name="_ETM_Q65_550409"/>
      <w:bookmarkEnd w:id="36669"/>
      <w:r>
        <w:rPr>
          <w:rFonts w:hint="cs"/>
          <w:rtl/>
        </w:rPr>
        <w:t xml:space="preserve">למלחמת </w:t>
      </w:r>
      <w:bookmarkStart w:id="36670" w:name="_ETM_Q65_551130"/>
      <w:bookmarkEnd w:id="36670"/>
      <w:r>
        <w:rPr>
          <w:rFonts w:hint="cs"/>
          <w:rtl/>
        </w:rPr>
        <w:t xml:space="preserve">אחים? </w:t>
      </w:r>
      <w:bookmarkStart w:id="36671" w:name="_ETM_Q65_552119"/>
      <w:bookmarkEnd w:id="36671"/>
      <w:r>
        <w:rPr>
          <w:rFonts w:hint="cs"/>
          <w:rtl/>
        </w:rPr>
        <w:t xml:space="preserve">כמי </w:t>
      </w:r>
      <w:bookmarkStart w:id="36672" w:name="_ETM_Q65_552450"/>
      <w:bookmarkEnd w:id="36672"/>
      <w:r>
        <w:rPr>
          <w:rFonts w:hint="cs"/>
          <w:rtl/>
        </w:rPr>
        <w:t xml:space="preserve">שזרע </w:t>
      </w:r>
      <w:bookmarkStart w:id="36673" w:name="_ETM_Q65_553049"/>
      <w:bookmarkEnd w:id="36673"/>
      <w:r>
        <w:rPr>
          <w:rFonts w:hint="cs"/>
          <w:rtl/>
        </w:rPr>
        <w:t xml:space="preserve">פירוק </w:t>
      </w:r>
      <w:bookmarkStart w:id="36674" w:name="_ETM_Q65_553589"/>
      <w:bookmarkEnd w:id="36674"/>
      <w:r>
        <w:rPr>
          <w:rFonts w:hint="cs"/>
          <w:rtl/>
        </w:rPr>
        <w:t xml:space="preserve">של </w:t>
      </w:r>
      <w:bookmarkStart w:id="36675" w:name="_ETM_Q65_553799"/>
      <w:bookmarkEnd w:id="36675"/>
      <w:r>
        <w:rPr>
          <w:rFonts w:hint="cs"/>
          <w:rtl/>
        </w:rPr>
        <w:t xml:space="preserve">צה"ל? </w:t>
      </w:r>
      <w:bookmarkStart w:id="36676" w:name="_ETM_Q65_554789"/>
      <w:bookmarkEnd w:id="36676"/>
      <w:r>
        <w:rPr>
          <w:rFonts w:hint="cs"/>
          <w:rtl/>
        </w:rPr>
        <w:t xml:space="preserve">כמי </w:t>
      </w:r>
      <w:bookmarkStart w:id="36677" w:name="_ETM_Q65_555089"/>
      <w:bookmarkEnd w:id="36677"/>
      <w:r>
        <w:rPr>
          <w:rFonts w:hint="cs"/>
          <w:rtl/>
        </w:rPr>
        <w:t xml:space="preserve">שפירק </w:t>
      </w:r>
      <w:bookmarkStart w:id="36678" w:name="_ETM_Q65_555960"/>
      <w:bookmarkEnd w:id="36678"/>
      <w:r>
        <w:rPr>
          <w:rFonts w:hint="cs"/>
          <w:rtl/>
        </w:rPr>
        <w:t xml:space="preserve">את </w:t>
      </w:r>
      <w:bookmarkStart w:id="36679" w:name="_ETM_Q65_556140"/>
      <w:bookmarkEnd w:id="36679"/>
      <w:r>
        <w:rPr>
          <w:rFonts w:hint="cs"/>
          <w:rtl/>
        </w:rPr>
        <w:t xml:space="preserve">הלכידות </w:t>
      </w:r>
      <w:bookmarkStart w:id="36680" w:name="_ETM_Q65_556799"/>
      <w:bookmarkEnd w:id="36680"/>
      <w:r>
        <w:rPr>
          <w:rFonts w:hint="cs"/>
          <w:rtl/>
        </w:rPr>
        <w:t xml:space="preserve">והעוצמה </w:t>
      </w:r>
      <w:bookmarkStart w:id="36681" w:name="_ETM_Q65_557820"/>
      <w:bookmarkEnd w:id="36681"/>
      <w:r>
        <w:rPr>
          <w:rFonts w:hint="cs"/>
          <w:rtl/>
        </w:rPr>
        <w:t xml:space="preserve">של </w:t>
      </w:r>
      <w:bookmarkStart w:id="36682" w:name="_ETM_Q65_558060"/>
      <w:bookmarkEnd w:id="36682"/>
      <w:r>
        <w:rPr>
          <w:rFonts w:hint="cs"/>
          <w:rtl/>
        </w:rPr>
        <w:t xml:space="preserve">כוח </w:t>
      </w:r>
      <w:bookmarkStart w:id="36683" w:name="_ETM_Q65_558479"/>
      <w:bookmarkEnd w:id="36683"/>
      <w:r>
        <w:rPr>
          <w:rFonts w:hint="cs"/>
          <w:rtl/>
        </w:rPr>
        <w:t xml:space="preserve">המילואים, </w:t>
      </w:r>
      <w:bookmarkStart w:id="36684" w:name="_ETM_Q65_559140"/>
      <w:bookmarkEnd w:id="36684"/>
      <w:r>
        <w:rPr>
          <w:rFonts w:hint="cs"/>
          <w:rtl/>
        </w:rPr>
        <w:t xml:space="preserve">כוח </w:t>
      </w:r>
      <w:bookmarkStart w:id="36685" w:name="_ETM_Q65_559469"/>
      <w:bookmarkEnd w:id="36685"/>
      <w:r>
        <w:rPr>
          <w:rFonts w:hint="cs"/>
          <w:rtl/>
        </w:rPr>
        <w:t xml:space="preserve">המגן, </w:t>
      </w:r>
      <w:bookmarkStart w:id="36686" w:name="_ETM_Q65_559950"/>
      <w:bookmarkEnd w:id="36686"/>
      <w:r>
        <w:rPr>
          <w:rFonts w:hint="cs"/>
          <w:rtl/>
        </w:rPr>
        <w:t xml:space="preserve">שבלעדיו </w:t>
      </w:r>
      <w:bookmarkStart w:id="36687" w:name="_ETM_Q65_560700"/>
      <w:bookmarkEnd w:id="36687"/>
      <w:r>
        <w:rPr>
          <w:rFonts w:hint="cs"/>
          <w:rtl/>
        </w:rPr>
        <w:t xml:space="preserve">לא </w:t>
      </w:r>
      <w:bookmarkStart w:id="36688" w:name="_ETM_Q65_560880"/>
      <w:bookmarkEnd w:id="36688"/>
      <w:r>
        <w:rPr>
          <w:rFonts w:hint="cs"/>
          <w:rtl/>
        </w:rPr>
        <w:t xml:space="preserve">ננצח </w:t>
      </w:r>
      <w:bookmarkStart w:id="36689" w:name="_ETM_Q65_561450"/>
      <w:bookmarkEnd w:id="36689"/>
      <w:r>
        <w:rPr>
          <w:rFonts w:hint="cs"/>
          <w:rtl/>
        </w:rPr>
        <w:t xml:space="preserve">שום מלחמה? כמי </w:t>
      </w:r>
      <w:bookmarkStart w:id="36690" w:name="_ETM_Q65_561689"/>
      <w:bookmarkStart w:id="36691" w:name="_ETM_Q65_563710"/>
      <w:bookmarkStart w:id="36692" w:name="_ETM_Q65_563890"/>
      <w:bookmarkStart w:id="36693" w:name="_ETM_Q65_564010"/>
      <w:bookmarkEnd w:id="36690"/>
      <w:bookmarkEnd w:id="36691"/>
      <w:bookmarkEnd w:id="36692"/>
      <w:bookmarkEnd w:id="36693"/>
      <w:r>
        <w:rPr>
          <w:rFonts w:hint="cs"/>
          <w:rtl/>
        </w:rPr>
        <w:t xml:space="preserve">שפגע </w:t>
      </w:r>
      <w:bookmarkStart w:id="36694" w:name="_ETM_Q65_564550"/>
      <w:bookmarkEnd w:id="36694"/>
      <w:r>
        <w:rPr>
          <w:rFonts w:hint="cs"/>
          <w:rtl/>
        </w:rPr>
        <w:t xml:space="preserve">בחלקת </w:t>
      </w:r>
      <w:bookmarkStart w:id="36695" w:name="_ETM_Q65_565180"/>
      <w:bookmarkEnd w:id="36695"/>
      <w:r>
        <w:rPr>
          <w:rFonts w:hint="cs"/>
          <w:rtl/>
        </w:rPr>
        <w:t xml:space="preserve">האדמה </w:t>
      </w:r>
      <w:bookmarkStart w:id="36696" w:name="_ETM_Q65_565690"/>
      <w:bookmarkEnd w:id="36696"/>
      <w:r>
        <w:rPr>
          <w:rFonts w:hint="cs"/>
          <w:rtl/>
        </w:rPr>
        <w:t xml:space="preserve">היפה, הנקייה והטהורה </w:t>
      </w:r>
      <w:bookmarkStart w:id="36697" w:name="_ETM_Q65_568000"/>
      <w:bookmarkEnd w:id="36697"/>
      <w:r>
        <w:rPr>
          <w:rFonts w:hint="cs"/>
          <w:rtl/>
        </w:rPr>
        <w:t xml:space="preserve">ביותר של משרתי המילואים? כמי שקרע אותנו זה מזה וקירב </w:t>
      </w:r>
      <w:bookmarkStart w:id="36698" w:name="_ETM_Q65_574000"/>
      <w:bookmarkEnd w:id="36698"/>
      <w:r>
        <w:rPr>
          <w:rFonts w:hint="cs"/>
          <w:rtl/>
        </w:rPr>
        <w:t>אותנו לצערנו לחורבן בית שלישי?</w:t>
      </w:r>
      <w:bookmarkStart w:id="36699" w:name="_ETM_Q65_579000"/>
      <w:bookmarkEnd w:id="36699"/>
      <w:r w:rsidR="00467C2B">
        <w:rPr>
          <w:rFonts w:hint="cs"/>
          <w:rtl/>
        </w:rPr>
        <w:t xml:space="preserve"> </w:t>
      </w:r>
      <w:r>
        <w:rPr>
          <w:rFonts w:hint="cs"/>
          <w:rtl/>
        </w:rPr>
        <w:t xml:space="preserve">ראש הממשלה, האם לא די בכל הסימנים והנורות האדומות שפגשת בימים האחרונים? עשה מעשה. עצור. בואו </w:t>
      </w:r>
      <w:bookmarkStart w:id="36700" w:name="_ETM_Q65_591000"/>
      <w:bookmarkEnd w:id="36700"/>
      <w:r>
        <w:rPr>
          <w:rFonts w:hint="cs"/>
          <w:rtl/>
        </w:rPr>
        <w:t xml:space="preserve">נעביר רפורמה בהסכמה לתיקון מערכת המשפט, לרווחת כלל האזרחים במדינה, </w:t>
      </w:r>
      <w:bookmarkStart w:id="36701" w:name="_ETM_Q65_596000"/>
      <w:bookmarkStart w:id="36702" w:name="_ETM_Q65_566170"/>
      <w:bookmarkStart w:id="36703" w:name="_ETM_Q65_566590"/>
      <w:bookmarkStart w:id="36704" w:name="_ETM_Q65_566860"/>
      <w:bookmarkStart w:id="36705" w:name="_ETM_Q65_567190"/>
      <w:bookmarkStart w:id="36706" w:name="_ETM_Q65_567760"/>
      <w:bookmarkStart w:id="36707" w:name="_ETM_Q65_568210"/>
      <w:bookmarkStart w:id="36708" w:name="_ETM_Q65_568390"/>
      <w:bookmarkStart w:id="36709" w:name="_ETM_Q65_568900"/>
      <w:bookmarkStart w:id="36710" w:name="_ETM_Q65_570240"/>
      <w:bookmarkStart w:id="36711" w:name="_ETM_Q65_570420"/>
      <w:bookmarkStart w:id="36712" w:name="_ETM_Q65_570510"/>
      <w:bookmarkStart w:id="36713" w:name="_ETM_Q65_571110"/>
      <w:bookmarkStart w:id="36714" w:name="_ETM_Q65_571650"/>
      <w:bookmarkStart w:id="36715" w:name="_ETM_Q65_571860"/>
      <w:bookmarkStart w:id="36716" w:name="_ETM_Q65_573009"/>
      <w:bookmarkStart w:id="36717" w:name="_ETM_Q65_573759"/>
      <w:bookmarkStart w:id="36718" w:name="_ETM_Q65_574210"/>
      <w:bookmarkStart w:id="36719" w:name="_ETM_Q65_574929"/>
      <w:bookmarkStart w:id="36720" w:name="_ETM_Q65_575529"/>
      <w:bookmarkStart w:id="36721" w:name="_ETM_Q65_575859"/>
      <w:bookmarkStart w:id="36722" w:name="_ETM_Q65_577210"/>
      <w:bookmarkStart w:id="36723" w:name="_ETM_Q65_579229"/>
      <w:bookmarkStart w:id="36724" w:name="_ETM_Q65_579589"/>
      <w:bookmarkStart w:id="36725" w:name="_ETM_Q65_579799"/>
      <w:bookmarkStart w:id="36726" w:name="_ETM_Q65_580100"/>
      <w:bookmarkStart w:id="36727" w:name="_ETM_Q65_580520"/>
      <w:bookmarkStart w:id="36728" w:name="_ETM_Q65_581270"/>
      <w:bookmarkStart w:id="36729" w:name="_ETM_Q65_581540"/>
      <w:bookmarkStart w:id="36730" w:name="_ETM_Q65_582049"/>
      <w:bookmarkStart w:id="36731" w:name="_ETM_Q65_582529"/>
      <w:bookmarkStart w:id="36732" w:name="_ETM_Q65_583220"/>
      <w:bookmarkStart w:id="36733" w:name="_ETM_Q65_583670"/>
      <w:bookmarkStart w:id="36734" w:name="_ETM_Q65_585540"/>
      <w:bookmarkStart w:id="36735" w:name="_ETM_Q65_585990"/>
      <w:bookmarkStart w:id="36736" w:name="_ETM_Q65_586229"/>
      <w:bookmarkStart w:id="36737" w:name="_ETM_Q65_587409"/>
      <w:bookmarkStart w:id="36738" w:name="_ETM_Q65_589509"/>
      <w:bookmarkStart w:id="36739" w:name="_ETM_Q65_589779"/>
      <w:bookmarkStart w:id="36740" w:name="_ETM_Q65_590289"/>
      <w:bookmarkStart w:id="36741" w:name="_ETM_Q65_590770"/>
      <w:bookmarkStart w:id="36742" w:name="_ETM_Q65_591490"/>
      <w:bookmarkStart w:id="36743" w:name="_ETM_Q65_591999"/>
      <w:bookmarkStart w:id="36744" w:name="_ETM_Q65_592450"/>
      <w:bookmarkStart w:id="36745" w:name="_ETM_Q65_593640"/>
      <w:bookmarkStart w:id="36746" w:name="_ETM_Q65_594359"/>
      <w:bookmarkStart w:id="36747" w:name="_ETM_Q65_594719"/>
      <w:bookmarkStart w:id="36748" w:name="_ETM_Q65_595259"/>
      <w:bookmarkStart w:id="36749" w:name="_ETM_Q65_596339"/>
      <w:bookmarkEnd w:id="36701"/>
      <w:bookmarkEnd w:id="36702"/>
      <w:bookmarkEnd w:id="36703"/>
      <w:bookmarkEnd w:id="36704"/>
      <w:bookmarkEnd w:id="36705"/>
      <w:bookmarkEnd w:id="36706"/>
      <w:bookmarkEnd w:id="36707"/>
      <w:bookmarkEnd w:id="36708"/>
      <w:bookmarkEnd w:id="36709"/>
      <w:bookmarkEnd w:id="36710"/>
      <w:bookmarkEnd w:id="36711"/>
      <w:bookmarkEnd w:id="36712"/>
      <w:bookmarkEnd w:id="36713"/>
      <w:bookmarkEnd w:id="36714"/>
      <w:bookmarkEnd w:id="36715"/>
      <w:bookmarkEnd w:id="36716"/>
      <w:bookmarkEnd w:id="36717"/>
      <w:bookmarkEnd w:id="36718"/>
      <w:bookmarkEnd w:id="36719"/>
      <w:bookmarkEnd w:id="36720"/>
      <w:bookmarkEnd w:id="36721"/>
      <w:bookmarkEnd w:id="36722"/>
      <w:bookmarkEnd w:id="36723"/>
      <w:bookmarkEnd w:id="36724"/>
      <w:bookmarkEnd w:id="36725"/>
      <w:bookmarkEnd w:id="36726"/>
      <w:bookmarkEnd w:id="36727"/>
      <w:bookmarkEnd w:id="36728"/>
      <w:bookmarkEnd w:id="36729"/>
      <w:bookmarkEnd w:id="36730"/>
      <w:bookmarkEnd w:id="36731"/>
      <w:bookmarkEnd w:id="36732"/>
      <w:bookmarkEnd w:id="36733"/>
      <w:bookmarkEnd w:id="36734"/>
      <w:bookmarkEnd w:id="36735"/>
      <w:bookmarkEnd w:id="36736"/>
      <w:bookmarkEnd w:id="36737"/>
      <w:bookmarkEnd w:id="36738"/>
      <w:bookmarkEnd w:id="36739"/>
      <w:bookmarkEnd w:id="36740"/>
      <w:bookmarkEnd w:id="36741"/>
      <w:bookmarkEnd w:id="36742"/>
      <w:bookmarkEnd w:id="36743"/>
      <w:bookmarkEnd w:id="36744"/>
      <w:bookmarkEnd w:id="36745"/>
      <w:bookmarkEnd w:id="36746"/>
      <w:bookmarkEnd w:id="36747"/>
      <w:bookmarkEnd w:id="36748"/>
      <w:bookmarkEnd w:id="36749"/>
      <w:r>
        <w:rPr>
          <w:rFonts w:hint="cs"/>
          <w:rtl/>
        </w:rPr>
        <w:t xml:space="preserve">שתתמקד </w:t>
      </w:r>
      <w:bookmarkStart w:id="36750" w:name="_ETM_Q65_597089"/>
      <w:bookmarkEnd w:id="36750"/>
      <w:r>
        <w:rPr>
          <w:rFonts w:hint="cs"/>
          <w:rtl/>
        </w:rPr>
        <w:t xml:space="preserve">במה </w:t>
      </w:r>
      <w:bookmarkStart w:id="36751" w:name="_ETM_Q65_597359"/>
      <w:bookmarkEnd w:id="36751"/>
      <w:r>
        <w:rPr>
          <w:rFonts w:hint="cs"/>
          <w:rtl/>
        </w:rPr>
        <w:t xml:space="preserve">שחשוב, </w:t>
      </w:r>
      <w:bookmarkStart w:id="36752" w:name="_ETM_Q65_597960"/>
      <w:bookmarkEnd w:id="36752"/>
      <w:r>
        <w:rPr>
          <w:rFonts w:hint="cs"/>
          <w:rtl/>
        </w:rPr>
        <w:t xml:space="preserve">כולל </w:t>
      </w:r>
      <w:bookmarkStart w:id="36753" w:name="_ETM_Q65_598409"/>
      <w:bookmarkEnd w:id="36753"/>
      <w:r>
        <w:rPr>
          <w:rFonts w:hint="cs"/>
          <w:rtl/>
        </w:rPr>
        <w:t xml:space="preserve">תיקון </w:t>
      </w:r>
      <w:bookmarkStart w:id="36754" w:name="_ETM_Q65_598890"/>
      <w:bookmarkEnd w:id="36754"/>
      <w:r>
        <w:rPr>
          <w:rFonts w:hint="cs"/>
          <w:rtl/>
        </w:rPr>
        <w:t xml:space="preserve">העוולות </w:t>
      </w:r>
      <w:bookmarkStart w:id="36755" w:name="_ETM_Q65_599850"/>
      <w:bookmarkEnd w:id="36755"/>
      <w:r>
        <w:rPr>
          <w:rFonts w:hint="cs"/>
          <w:rtl/>
        </w:rPr>
        <w:t xml:space="preserve">במערכת </w:t>
      </w:r>
      <w:bookmarkStart w:id="36756" w:name="_ETM_Q65_600509"/>
      <w:bookmarkEnd w:id="36756"/>
      <w:r>
        <w:rPr>
          <w:rFonts w:hint="cs"/>
          <w:rtl/>
        </w:rPr>
        <w:t xml:space="preserve">המשפט </w:t>
      </w:r>
      <w:bookmarkStart w:id="36757" w:name="_ETM_Q65_600960"/>
      <w:bookmarkEnd w:id="36757"/>
      <w:r>
        <w:rPr>
          <w:rFonts w:hint="cs"/>
          <w:rtl/>
        </w:rPr>
        <w:t xml:space="preserve">לחלשים </w:t>
      </w:r>
      <w:bookmarkStart w:id="36758" w:name="_ETM_Q65_601619"/>
      <w:bookmarkEnd w:id="36758"/>
      <w:r>
        <w:rPr>
          <w:rFonts w:hint="cs"/>
          <w:rtl/>
        </w:rPr>
        <w:t xml:space="preserve">ביותר </w:t>
      </w:r>
      <w:bookmarkStart w:id="36759" w:name="_ETM_Q65_602520"/>
      <w:bookmarkEnd w:id="36759"/>
      <w:r>
        <w:rPr>
          <w:rFonts w:hint="cs"/>
          <w:rtl/>
        </w:rPr>
        <w:t xml:space="preserve">ומשך </w:t>
      </w:r>
      <w:bookmarkStart w:id="36760" w:name="_ETM_Q65_603149"/>
      <w:bookmarkEnd w:id="36760"/>
      <w:r>
        <w:rPr>
          <w:rFonts w:hint="cs"/>
          <w:rtl/>
        </w:rPr>
        <w:t xml:space="preserve">כתבי </w:t>
      </w:r>
      <w:bookmarkStart w:id="36761" w:name="_ETM_Q65_603569"/>
      <w:bookmarkEnd w:id="36761"/>
      <w:r>
        <w:rPr>
          <w:rFonts w:hint="cs"/>
          <w:rtl/>
        </w:rPr>
        <w:t>האישום ו</w:t>
      </w:r>
      <w:bookmarkStart w:id="36762" w:name="_ETM_Q65_604350"/>
      <w:bookmarkEnd w:id="36762"/>
      <w:r>
        <w:rPr>
          <w:rFonts w:hint="cs"/>
          <w:rtl/>
        </w:rPr>
        <w:t xml:space="preserve">משך </w:t>
      </w:r>
      <w:bookmarkStart w:id="36763" w:name="_ETM_Q65_604920"/>
      <w:bookmarkEnd w:id="36763"/>
      <w:r>
        <w:rPr>
          <w:rFonts w:hint="cs"/>
          <w:rtl/>
        </w:rPr>
        <w:t xml:space="preserve">החקירות </w:t>
      </w:r>
      <w:bookmarkStart w:id="36764" w:name="_ETM_Q65_605999"/>
      <w:bookmarkEnd w:id="36764"/>
      <w:r>
        <w:rPr>
          <w:rFonts w:hint="cs"/>
          <w:rtl/>
        </w:rPr>
        <w:t xml:space="preserve">ומשך </w:t>
      </w:r>
      <w:bookmarkStart w:id="36765" w:name="_ETM_Q65_606630"/>
      <w:bookmarkEnd w:id="36765"/>
      <w:r>
        <w:rPr>
          <w:rFonts w:hint="cs"/>
          <w:rtl/>
        </w:rPr>
        <w:t xml:space="preserve">המשפט </w:t>
      </w:r>
      <w:bookmarkStart w:id="36766" w:name="_ETM_Q65_607170"/>
      <w:bookmarkEnd w:id="36766"/>
      <w:r>
        <w:rPr>
          <w:rFonts w:hint="cs"/>
          <w:rtl/>
        </w:rPr>
        <w:t xml:space="preserve">עצמו. </w:t>
      </w:r>
      <w:bookmarkStart w:id="36767" w:name="_ETM_Q65_608040"/>
      <w:bookmarkEnd w:id="36767"/>
      <w:r>
        <w:rPr>
          <w:rFonts w:hint="cs"/>
          <w:rtl/>
        </w:rPr>
        <w:t xml:space="preserve">אבל </w:t>
      </w:r>
      <w:bookmarkStart w:id="36768" w:name="_ETM_Q65_608279"/>
      <w:bookmarkEnd w:id="36768"/>
      <w:r>
        <w:rPr>
          <w:rFonts w:hint="cs"/>
          <w:rtl/>
        </w:rPr>
        <w:t xml:space="preserve">בלי </w:t>
      </w:r>
      <w:bookmarkStart w:id="36769" w:name="_ETM_Q65_608520"/>
      <w:bookmarkEnd w:id="36769"/>
      <w:r>
        <w:rPr>
          <w:rFonts w:hint="cs"/>
          <w:rtl/>
        </w:rPr>
        <w:t xml:space="preserve">שופטים </w:t>
      </w:r>
      <w:bookmarkStart w:id="36770" w:name="_ETM_Q65_608970"/>
      <w:bookmarkEnd w:id="36770"/>
      <w:r>
        <w:rPr>
          <w:rFonts w:hint="cs"/>
          <w:rtl/>
        </w:rPr>
        <w:t>שנמנה</w:t>
      </w:r>
      <w:r w:rsidR="00467C2B">
        <w:rPr>
          <w:rFonts w:hint="cs"/>
          <w:rtl/>
        </w:rPr>
        <w:t>,</w:t>
      </w:r>
      <w:r>
        <w:rPr>
          <w:rFonts w:hint="cs"/>
          <w:rtl/>
        </w:rPr>
        <w:t xml:space="preserve"> </w:t>
      </w:r>
      <w:bookmarkStart w:id="36771" w:name="_ETM_Q65_609900"/>
      <w:bookmarkEnd w:id="36771"/>
      <w:r>
        <w:rPr>
          <w:rFonts w:hint="cs"/>
          <w:rtl/>
        </w:rPr>
        <w:t xml:space="preserve">איך </w:t>
      </w:r>
      <w:bookmarkStart w:id="36772" w:name="_ETM_Q65_610110"/>
      <w:bookmarkEnd w:id="36772"/>
      <w:r>
        <w:rPr>
          <w:rFonts w:hint="cs"/>
          <w:rtl/>
        </w:rPr>
        <w:t xml:space="preserve">נקצר? </w:t>
      </w:r>
      <w:bookmarkStart w:id="36773" w:name="_ETM_Q65_610710"/>
      <w:bookmarkStart w:id="36774" w:name="_ETM_Q65_610800"/>
      <w:bookmarkStart w:id="36775" w:name="_ETM_Q65_611730"/>
      <w:bookmarkEnd w:id="36773"/>
      <w:bookmarkEnd w:id="36774"/>
      <w:bookmarkEnd w:id="36775"/>
      <w:r>
        <w:rPr>
          <w:rFonts w:hint="cs"/>
          <w:rtl/>
        </w:rPr>
        <w:t xml:space="preserve">בלי </w:t>
      </w:r>
      <w:bookmarkStart w:id="36776" w:name="_ETM_Q65_611970"/>
      <w:bookmarkEnd w:id="36776"/>
      <w:r>
        <w:rPr>
          <w:rFonts w:hint="cs"/>
          <w:rtl/>
        </w:rPr>
        <w:t xml:space="preserve">שופטים </w:t>
      </w:r>
      <w:bookmarkStart w:id="36777" w:name="_ETM_Q65_612540"/>
      <w:bookmarkEnd w:id="36777"/>
      <w:r>
        <w:rPr>
          <w:rFonts w:hint="cs"/>
          <w:rtl/>
        </w:rPr>
        <w:t xml:space="preserve">נוספים </w:t>
      </w:r>
      <w:bookmarkStart w:id="36778" w:name="_ETM_Q65_613110"/>
      <w:bookmarkEnd w:id="36778"/>
      <w:r>
        <w:rPr>
          <w:rFonts w:hint="cs"/>
          <w:rtl/>
        </w:rPr>
        <w:t>שנביא</w:t>
      </w:r>
      <w:r w:rsidR="00467C2B">
        <w:rPr>
          <w:rFonts w:hint="cs"/>
          <w:rtl/>
        </w:rPr>
        <w:t>,</w:t>
      </w:r>
      <w:r>
        <w:rPr>
          <w:rFonts w:hint="cs"/>
          <w:rtl/>
        </w:rPr>
        <w:t xml:space="preserve"> </w:t>
      </w:r>
      <w:bookmarkStart w:id="36779" w:name="_ETM_Q65_613950"/>
      <w:bookmarkEnd w:id="36779"/>
      <w:r>
        <w:rPr>
          <w:rFonts w:hint="cs"/>
          <w:rtl/>
        </w:rPr>
        <w:t xml:space="preserve">איך </w:t>
      </w:r>
      <w:bookmarkStart w:id="36780" w:name="_ETM_Q65_614390"/>
      <w:bookmarkEnd w:id="36780"/>
      <w:r>
        <w:rPr>
          <w:rFonts w:hint="cs"/>
          <w:rtl/>
        </w:rPr>
        <w:t>נקצר?</w:t>
      </w:r>
    </w:p>
    <w:p w:rsidR="00BB59CD" w:rsidRDefault="00BB59CD" w:rsidP="00BB59CD">
      <w:pPr>
        <w:rPr>
          <w:rtl/>
        </w:rPr>
      </w:pPr>
    </w:p>
    <w:p w:rsidR="00BB59CD" w:rsidRDefault="00BB59CD" w:rsidP="00BB59CD">
      <w:pPr>
        <w:rPr>
          <w:rtl/>
        </w:rPr>
      </w:pPr>
      <w:bookmarkStart w:id="36781" w:name="_ETM_Q65_616000"/>
      <w:bookmarkStart w:id="36782" w:name="_ETM_Q65_615820"/>
      <w:bookmarkEnd w:id="36781"/>
      <w:bookmarkEnd w:id="36782"/>
      <w:r>
        <w:rPr>
          <w:rFonts w:hint="cs"/>
          <w:rtl/>
        </w:rPr>
        <w:t xml:space="preserve">בואו </w:t>
      </w:r>
      <w:bookmarkStart w:id="36783" w:name="_ETM_Q65_616210"/>
      <w:bookmarkEnd w:id="36783"/>
      <w:r>
        <w:rPr>
          <w:rFonts w:hint="cs"/>
          <w:rtl/>
        </w:rPr>
        <w:t xml:space="preserve">נעצור </w:t>
      </w:r>
      <w:bookmarkStart w:id="36784" w:name="_ETM_Q65_616720"/>
      <w:bookmarkEnd w:id="36784"/>
      <w:r>
        <w:rPr>
          <w:rFonts w:hint="cs"/>
          <w:rtl/>
        </w:rPr>
        <w:t xml:space="preserve">את </w:t>
      </w:r>
      <w:bookmarkStart w:id="36785" w:name="_ETM_Q65_616900"/>
      <w:bookmarkEnd w:id="36785"/>
      <w:r>
        <w:rPr>
          <w:rFonts w:hint="cs"/>
          <w:rtl/>
        </w:rPr>
        <w:t xml:space="preserve">הדהירה </w:t>
      </w:r>
      <w:bookmarkStart w:id="36786" w:name="_ETM_Q65_617410"/>
      <w:bookmarkEnd w:id="36786"/>
      <w:r>
        <w:rPr>
          <w:rFonts w:hint="cs"/>
          <w:rtl/>
        </w:rPr>
        <w:t xml:space="preserve">לתהום, </w:t>
      </w:r>
      <w:bookmarkStart w:id="36787" w:name="_ETM_Q65_618989"/>
      <w:bookmarkEnd w:id="36787"/>
      <w:r>
        <w:rPr>
          <w:rFonts w:hint="cs"/>
          <w:rtl/>
        </w:rPr>
        <w:t xml:space="preserve">בואו </w:t>
      </w:r>
      <w:bookmarkStart w:id="36788" w:name="_ETM_Q65_619290"/>
      <w:bookmarkEnd w:id="36788"/>
      <w:r>
        <w:rPr>
          <w:rFonts w:hint="cs"/>
          <w:rtl/>
        </w:rPr>
        <w:t xml:space="preserve">ננסה </w:t>
      </w:r>
      <w:bookmarkStart w:id="36789" w:name="_ETM_Q65_619769"/>
      <w:bookmarkEnd w:id="36789"/>
      <w:r>
        <w:rPr>
          <w:rFonts w:hint="cs"/>
          <w:rtl/>
        </w:rPr>
        <w:t xml:space="preserve">לבחור </w:t>
      </w:r>
      <w:bookmarkStart w:id="36790" w:name="_ETM_Q65_620280"/>
      <w:bookmarkEnd w:id="36790"/>
      <w:r>
        <w:rPr>
          <w:rFonts w:hint="cs"/>
          <w:rtl/>
        </w:rPr>
        <w:t xml:space="preserve">בעשייה </w:t>
      </w:r>
      <w:bookmarkStart w:id="36791" w:name="_ETM_Q65_620849"/>
      <w:bookmarkEnd w:id="36791"/>
      <w:r>
        <w:rPr>
          <w:rFonts w:hint="cs"/>
          <w:rtl/>
        </w:rPr>
        <w:t xml:space="preserve">שבה </w:t>
      </w:r>
      <w:bookmarkStart w:id="36792" w:name="_ETM_Q65_621209"/>
      <w:bookmarkEnd w:id="36792"/>
      <w:r>
        <w:rPr>
          <w:rFonts w:hint="cs"/>
          <w:rtl/>
        </w:rPr>
        <w:t xml:space="preserve">גם </w:t>
      </w:r>
      <w:bookmarkStart w:id="36793" w:name="_ETM_Q65_621840"/>
      <w:bookmarkEnd w:id="36793"/>
      <w:r>
        <w:rPr>
          <w:rFonts w:hint="cs"/>
          <w:rtl/>
        </w:rPr>
        <w:t xml:space="preserve">האופוזיציה </w:t>
      </w:r>
      <w:bookmarkStart w:id="36794" w:name="_ETM_Q65_622620"/>
      <w:bookmarkEnd w:id="36794"/>
      <w:r>
        <w:rPr>
          <w:rFonts w:hint="cs"/>
          <w:rtl/>
        </w:rPr>
        <w:t xml:space="preserve">תוכל </w:t>
      </w:r>
      <w:bookmarkStart w:id="36795" w:name="_ETM_Q65_623010"/>
      <w:bookmarkEnd w:id="36795"/>
      <w:r>
        <w:rPr>
          <w:rFonts w:hint="cs"/>
          <w:rtl/>
        </w:rPr>
        <w:t xml:space="preserve">לתמוך. </w:t>
      </w:r>
      <w:bookmarkStart w:id="36796" w:name="_ETM_Q65_623459"/>
      <w:bookmarkEnd w:id="36796"/>
      <w:r>
        <w:rPr>
          <w:rFonts w:hint="cs"/>
          <w:rtl/>
        </w:rPr>
        <w:t xml:space="preserve">אנחנו </w:t>
      </w:r>
      <w:bookmarkStart w:id="36797" w:name="_ETM_Q65_623879"/>
      <w:bookmarkEnd w:id="36797"/>
      <w:r>
        <w:rPr>
          <w:rFonts w:hint="cs"/>
          <w:rtl/>
        </w:rPr>
        <w:t xml:space="preserve">הוכחנו </w:t>
      </w:r>
      <w:bookmarkStart w:id="36798" w:name="_ETM_Q65_624420"/>
      <w:bookmarkEnd w:id="36798"/>
      <w:r>
        <w:rPr>
          <w:rFonts w:hint="cs"/>
          <w:rtl/>
        </w:rPr>
        <w:t xml:space="preserve">את </w:t>
      </w:r>
      <w:bookmarkStart w:id="36799" w:name="_ETM_Q65_624540"/>
      <w:bookmarkEnd w:id="36799"/>
      <w:r>
        <w:rPr>
          <w:rFonts w:hint="cs"/>
          <w:rtl/>
        </w:rPr>
        <w:t xml:space="preserve">זה. </w:t>
      </w:r>
      <w:bookmarkStart w:id="36800" w:name="_ETM_Q65_625500"/>
      <w:bookmarkEnd w:id="36800"/>
      <w:r>
        <w:rPr>
          <w:rFonts w:hint="cs"/>
          <w:rtl/>
        </w:rPr>
        <w:t xml:space="preserve">אנחנו </w:t>
      </w:r>
      <w:bookmarkStart w:id="36801" w:name="_ETM_Q65_625890"/>
      <w:bookmarkEnd w:id="36801"/>
      <w:r>
        <w:rPr>
          <w:rFonts w:hint="cs"/>
          <w:rtl/>
        </w:rPr>
        <w:t xml:space="preserve">הצבענו </w:t>
      </w:r>
      <w:bookmarkStart w:id="36802" w:name="_ETM_Q65_626370"/>
      <w:bookmarkEnd w:id="36802"/>
      <w:r>
        <w:rPr>
          <w:rFonts w:hint="cs"/>
          <w:rtl/>
        </w:rPr>
        <w:t xml:space="preserve">פה </w:t>
      </w:r>
      <w:bookmarkStart w:id="36803" w:name="_ETM_Q65_626580"/>
      <w:bookmarkEnd w:id="36803"/>
      <w:r>
        <w:rPr>
          <w:rFonts w:hint="cs"/>
          <w:rtl/>
        </w:rPr>
        <w:t xml:space="preserve">בעד </w:t>
      </w:r>
      <w:bookmarkStart w:id="36804" w:name="_ETM_Q65_626880"/>
      <w:bookmarkEnd w:id="36804"/>
      <w:r>
        <w:rPr>
          <w:rFonts w:hint="cs"/>
          <w:rtl/>
        </w:rPr>
        <w:t xml:space="preserve">חוקים </w:t>
      </w:r>
      <w:bookmarkStart w:id="36805" w:name="_ETM_Q65_627240"/>
      <w:bookmarkEnd w:id="36805"/>
      <w:r w:rsidR="00467C2B">
        <w:rPr>
          <w:rFonts w:hint="cs"/>
          <w:rtl/>
        </w:rPr>
        <w:t>כ</w:t>
      </w:r>
      <w:r>
        <w:rPr>
          <w:rFonts w:hint="cs"/>
          <w:rtl/>
        </w:rPr>
        <w:t xml:space="preserve">שאתם </w:t>
      </w:r>
      <w:bookmarkStart w:id="36806" w:name="_ETM_Q65_627630"/>
      <w:bookmarkEnd w:id="36806"/>
      <w:r>
        <w:rPr>
          <w:rFonts w:hint="cs"/>
          <w:rtl/>
        </w:rPr>
        <w:t xml:space="preserve">הצבעתם </w:t>
      </w:r>
      <w:bookmarkStart w:id="36807" w:name="_ETM_Q65_628170"/>
      <w:bookmarkEnd w:id="36807"/>
      <w:r>
        <w:rPr>
          <w:rFonts w:hint="cs"/>
          <w:rtl/>
        </w:rPr>
        <w:t xml:space="preserve">נגד. על </w:t>
      </w:r>
      <w:bookmarkStart w:id="36808" w:name="_ETM_Q65_629090"/>
      <w:bookmarkEnd w:id="36808"/>
      <w:r>
        <w:rPr>
          <w:rFonts w:hint="cs"/>
          <w:rtl/>
        </w:rPr>
        <w:t xml:space="preserve">הסדרת </w:t>
      </w:r>
      <w:bookmarkStart w:id="36809" w:name="_ETM_Q65_629779"/>
      <w:bookmarkEnd w:id="36809"/>
      <w:r>
        <w:rPr>
          <w:rFonts w:hint="cs"/>
          <w:rtl/>
        </w:rPr>
        <w:t xml:space="preserve">המעמד </w:t>
      </w:r>
      <w:bookmarkStart w:id="36810" w:name="_ETM_Q65_630290"/>
      <w:bookmarkEnd w:id="36810"/>
      <w:r>
        <w:rPr>
          <w:rFonts w:hint="cs"/>
          <w:rtl/>
        </w:rPr>
        <w:t xml:space="preserve">החוקי </w:t>
      </w:r>
      <w:bookmarkStart w:id="36811" w:name="_ETM_Q65_630650"/>
      <w:bookmarkEnd w:id="36811"/>
      <w:r>
        <w:rPr>
          <w:rFonts w:hint="cs"/>
          <w:rtl/>
        </w:rPr>
        <w:t xml:space="preserve">ביהודה </w:t>
      </w:r>
      <w:bookmarkStart w:id="36812" w:name="_ETM_Q65_630950"/>
      <w:bookmarkEnd w:id="36812"/>
      <w:r>
        <w:rPr>
          <w:rFonts w:hint="cs"/>
          <w:rtl/>
        </w:rPr>
        <w:t xml:space="preserve">ושומרון </w:t>
      </w:r>
      <w:bookmarkStart w:id="36813" w:name="_ETM_Q65_631400"/>
      <w:bookmarkEnd w:id="36813"/>
      <w:r>
        <w:rPr>
          <w:rFonts w:hint="cs"/>
          <w:rtl/>
        </w:rPr>
        <w:t xml:space="preserve">הצבענו </w:t>
      </w:r>
      <w:bookmarkStart w:id="36814" w:name="_ETM_Q65_631849"/>
      <w:bookmarkEnd w:id="36814"/>
      <w:r>
        <w:rPr>
          <w:rFonts w:hint="cs"/>
          <w:rtl/>
        </w:rPr>
        <w:t xml:space="preserve">בעד, </w:t>
      </w:r>
      <w:bookmarkStart w:id="36815" w:name="_ETM_Q65_633000"/>
      <w:bookmarkEnd w:id="36815"/>
      <w:r>
        <w:rPr>
          <w:rFonts w:hint="cs"/>
          <w:rtl/>
        </w:rPr>
        <w:t xml:space="preserve">על חוקים </w:t>
      </w:r>
      <w:bookmarkStart w:id="36816" w:name="_ETM_Q65_633420"/>
      <w:bookmarkEnd w:id="36816"/>
      <w:r>
        <w:rPr>
          <w:rFonts w:hint="cs"/>
          <w:rtl/>
        </w:rPr>
        <w:t xml:space="preserve">חברתיים </w:t>
      </w:r>
      <w:bookmarkStart w:id="36817" w:name="_ETM_Q65_634110"/>
      <w:bookmarkStart w:id="36818" w:name="_ETM_Q65_634680"/>
      <w:bookmarkEnd w:id="36817"/>
      <w:bookmarkEnd w:id="36818"/>
      <w:r>
        <w:rPr>
          <w:rFonts w:hint="cs"/>
          <w:rtl/>
        </w:rPr>
        <w:t xml:space="preserve">טובים </w:t>
      </w:r>
      <w:bookmarkStart w:id="36819" w:name="_ETM_Q65_635130"/>
      <w:bookmarkEnd w:id="36819"/>
      <w:r>
        <w:rPr>
          <w:rFonts w:hint="cs"/>
          <w:rtl/>
        </w:rPr>
        <w:t xml:space="preserve">למדינה </w:t>
      </w:r>
      <w:bookmarkStart w:id="36820" w:name="_ETM_Q65_635610"/>
      <w:bookmarkEnd w:id="36820"/>
      <w:r>
        <w:rPr>
          <w:rFonts w:hint="cs"/>
          <w:rtl/>
        </w:rPr>
        <w:t xml:space="preserve">הצבענו </w:t>
      </w:r>
      <w:bookmarkStart w:id="36821" w:name="_ETM_Q65_636060"/>
      <w:bookmarkEnd w:id="36821"/>
      <w:r>
        <w:rPr>
          <w:rFonts w:hint="cs"/>
          <w:rtl/>
        </w:rPr>
        <w:t xml:space="preserve">במליאה בעד, </w:t>
      </w:r>
      <w:bookmarkStart w:id="36822" w:name="_ETM_Q65_637650"/>
      <w:bookmarkEnd w:id="36822"/>
      <w:r>
        <w:rPr>
          <w:rFonts w:hint="cs"/>
          <w:rtl/>
        </w:rPr>
        <w:t xml:space="preserve">כי </w:t>
      </w:r>
      <w:bookmarkStart w:id="36823" w:name="_ETM_Q65_637830"/>
      <w:bookmarkEnd w:id="36823"/>
      <w:r>
        <w:rPr>
          <w:rFonts w:hint="cs"/>
          <w:rtl/>
        </w:rPr>
        <w:t xml:space="preserve">התחייבנו </w:t>
      </w:r>
      <w:bookmarkStart w:id="36824" w:name="_ETM_Q65_638069"/>
      <w:bookmarkStart w:id="36825" w:name="_ETM_Q65_638489"/>
      <w:bookmarkEnd w:id="36824"/>
      <w:bookmarkEnd w:id="36825"/>
      <w:r>
        <w:rPr>
          <w:rFonts w:hint="cs"/>
          <w:rtl/>
        </w:rPr>
        <w:t xml:space="preserve">שכל </w:t>
      </w:r>
      <w:bookmarkStart w:id="36826" w:name="_ETM_Q65_638970"/>
      <w:bookmarkEnd w:id="36826"/>
      <w:r>
        <w:rPr>
          <w:rFonts w:hint="cs"/>
          <w:rtl/>
        </w:rPr>
        <w:t xml:space="preserve">מעשה </w:t>
      </w:r>
      <w:bookmarkStart w:id="36827" w:name="_ETM_Q65_639390"/>
      <w:bookmarkEnd w:id="36827"/>
      <w:r>
        <w:rPr>
          <w:rFonts w:hint="cs"/>
          <w:rtl/>
        </w:rPr>
        <w:t xml:space="preserve">נכון </w:t>
      </w:r>
      <w:bookmarkStart w:id="36828" w:name="_ETM_Q65_639810"/>
      <w:bookmarkEnd w:id="36828"/>
      <w:r>
        <w:rPr>
          <w:rFonts w:hint="cs"/>
          <w:rtl/>
        </w:rPr>
        <w:t xml:space="preserve">וטוב, </w:t>
      </w:r>
      <w:bookmarkStart w:id="36829" w:name="_ETM_Q65_640650"/>
      <w:bookmarkStart w:id="36830" w:name="_ETM_Q65_640800"/>
      <w:bookmarkEnd w:id="36829"/>
      <w:bookmarkEnd w:id="36830"/>
      <w:r>
        <w:rPr>
          <w:rFonts w:hint="cs"/>
          <w:rtl/>
        </w:rPr>
        <w:t xml:space="preserve">נתמוך </w:t>
      </w:r>
      <w:bookmarkStart w:id="36831" w:name="_ETM_Q65_641220"/>
      <w:bookmarkEnd w:id="36831"/>
      <w:r>
        <w:rPr>
          <w:rFonts w:hint="cs"/>
          <w:rtl/>
        </w:rPr>
        <w:t xml:space="preserve">בו. </w:t>
      </w:r>
      <w:bookmarkStart w:id="36832" w:name="_ETM_Q65_642500"/>
      <w:bookmarkEnd w:id="36832"/>
      <w:r>
        <w:rPr>
          <w:rFonts w:hint="cs"/>
          <w:rtl/>
        </w:rPr>
        <w:t xml:space="preserve">בכל </w:t>
      </w:r>
      <w:bookmarkStart w:id="36833" w:name="_ETM_Q65_642770"/>
      <w:bookmarkEnd w:id="36833"/>
      <w:r>
        <w:rPr>
          <w:rFonts w:hint="cs"/>
          <w:rtl/>
        </w:rPr>
        <w:t xml:space="preserve">מעשה </w:t>
      </w:r>
      <w:bookmarkStart w:id="36834" w:name="_ETM_Q65_643250"/>
      <w:bookmarkEnd w:id="36834"/>
      <w:r>
        <w:rPr>
          <w:rFonts w:hint="cs"/>
          <w:rtl/>
        </w:rPr>
        <w:t xml:space="preserve">נכון </w:t>
      </w:r>
      <w:bookmarkStart w:id="36835" w:name="_ETM_Q65_643670"/>
      <w:bookmarkEnd w:id="36835"/>
      <w:r>
        <w:rPr>
          <w:rFonts w:hint="cs"/>
          <w:rtl/>
        </w:rPr>
        <w:t xml:space="preserve">של </w:t>
      </w:r>
      <w:bookmarkStart w:id="36836" w:name="_ETM_Q65_643880"/>
      <w:bookmarkEnd w:id="36836"/>
      <w:r>
        <w:rPr>
          <w:rFonts w:hint="cs"/>
          <w:rtl/>
        </w:rPr>
        <w:t xml:space="preserve">בלימה </w:t>
      </w:r>
      <w:bookmarkStart w:id="36837" w:name="_ETM_Q65_644720"/>
      <w:bookmarkEnd w:id="36837"/>
      <w:r>
        <w:rPr>
          <w:rFonts w:hint="cs"/>
          <w:rtl/>
        </w:rPr>
        <w:t xml:space="preserve">של </w:t>
      </w:r>
      <w:bookmarkStart w:id="36838" w:name="_ETM_Q65_644960"/>
      <w:bookmarkEnd w:id="36838"/>
      <w:r>
        <w:rPr>
          <w:rFonts w:hint="cs"/>
          <w:rtl/>
        </w:rPr>
        <w:t xml:space="preserve">הטירוף </w:t>
      </w:r>
      <w:bookmarkStart w:id="36839" w:name="_ETM_Q65_645470"/>
      <w:bookmarkEnd w:id="36839"/>
      <w:r>
        <w:rPr>
          <w:rFonts w:hint="cs"/>
          <w:rtl/>
        </w:rPr>
        <w:t xml:space="preserve">הזה שראש הממשלה </w:t>
      </w:r>
      <w:bookmarkStart w:id="36840" w:name="_ETM_Q65_646330"/>
      <w:bookmarkStart w:id="36841" w:name="_ETM_Q65_647349"/>
      <w:bookmarkEnd w:id="36840"/>
      <w:bookmarkEnd w:id="36841"/>
      <w:r>
        <w:rPr>
          <w:rFonts w:hint="cs"/>
          <w:rtl/>
        </w:rPr>
        <w:t xml:space="preserve">יבצע, </w:t>
      </w:r>
      <w:bookmarkStart w:id="36842" w:name="_ETM_Q65_648129"/>
      <w:bookmarkEnd w:id="36842"/>
      <w:r>
        <w:rPr>
          <w:rFonts w:hint="cs"/>
          <w:rtl/>
        </w:rPr>
        <w:t xml:space="preserve">אנחנו </w:t>
      </w:r>
      <w:bookmarkStart w:id="36843" w:name="_ETM_Q65_648430"/>
      <w:bookmarkEnd w:id="36843"/>
      <w:r>
        <w:rPr>
          <w:rFonts w:hint="cs"/>
          <w:rtl/>
        </w:rPr>
        <w:t>נתמוך.</w:t>
      </w:r>
    </w:p>
    <w:p w:rsidR="00BB59CD" w:rsidRDefault="00BB59CD" w:rsidP="00BB59CD">
      <w:pPr>
        <w:rPr>
          <w:rtl/>
        </w:rPr>
      </w:pPr>
    </w:p>
    <w:p w:rsidR="00BB59CD" w:rsidRDefault="00BB59CD" w:rsidP="00467C2B">
      <w:pPr>
        <w:rPr>
          <w:rtl/>
        </w:rPr>
      </w:pPr>
      <w:bookmarkStart w:id="36844" w:name="_ETM_Q65_654000"/>
      <w:bookmarkEnd w:id="36844"/>
      <w:r>
        <w:rPr>
          <w:rFonts w:hint="cs"/>
          <w:rtl/>
        </w:rPr>
        <w:t xml:space="preserve">ראש הממשלה, </w:t>
      </w:r>
      <w:bookmarkStart w:id="36845" w:name="_ETM_Q65_650420"/>
      <w:bookmarkStart w:id="36846" w:name="_ETM_Q65_652700"/>
      <w:bookmarkEnd w:id="36845"/>
      <w:bookmarkEnd w:id="36846"/>
      <w:r>
        <w:rPr>
          <w:rFonts w:hint="cs"/>
          <w:rtl/>
        </w:rPr>
        <w:t xml:space="preserve">רק </w:t>
      </w:r>
      <w:bookmarkStart w:id="36847" w:name="_ETM_Q65_652970"/>
      <w:bookmarkEnd w:id="36847"/>
      <w:r>
        <w:rPr>
          <w:rFonts w:hint="cs"/>
          <w:rtl/>
        </w:rPr>
        <w:t xml:space="preserve">אתה </w:t>
      </w:r>
      <w:bookmarkStart w:id="36848" w:name="_ETM_Q65_653240"/>
      <w:bookmarkEnd w:id="36848"/>
      <w:r>
        <w:rPr>
          <w:rFonts w:hint="cs"/>
          <w:rtl/>
        </w:rPr>
        <w:t xml:space="preserve">יכול, </w:t>
      </w:r>
      <w:bookmarkStart w:id="36849" w:name="_ETM_Q65_654630"/>
      <w:bookmarkEnd w:id="36849"/>
      <w:r>
        <w:rPr>
          <w:rFonts w:hint="cs"/>
          <w:rtl/>
        </w:rPr>
        <w:t xml:space="preserve">ורק </w:t>
      </w:r>
      <w:bookmarkStart w:id="36850" w:name="_ETM_Q65_655170"/>
      <w:bookmarkEnd w:id="36850"/>
      <w:r>
        <w:rPr>
          <w:rFonts w:hint="cs"/>
          <w:rtl/>
        </w:rPr>
        <w:t xml:space="preserve">אתה </w:t>
      </w:r>
      <w:bookmarkStart w:id="36851" w:name="_ETM_Q65_655470"/>
      <w:bookmarkEnd w:id="36851"/>
      <w:r>
        <w:rPr>
          <w:rFonts w:hint="cs"/>
          <w:rtl/>
        </w:rPr>
        <w:t xml:space="preserve">אחראי </w:t>
      </w:r>
      <w:bookmarkStart w:id="36852" w:name="_ETM_Q65_655980"/>
      <w:bookmarkEnd w:id="36852"/>
      <w:r>
        <w:rPr>
          <w:rFonts w:hint="cs"/>
          <w:rtl/>
        </w:rPr>
        <w:t xml:space="preserve">למה </w:t>
      </w:r>
      <w:bookmarkStart w:id="36853" w:name="_ETM_Q65_656250"/>
      <w:bookmarkEnd w:id="36853"/>
      <w:r>
        <w:rPr>
          <w:rFonts w:hint="cs"/>
          <w:rtl/>
        </w:rPr>
        <w:t xml:space="preserve">שעתיד </w:t>
      </w:r>
      <w:bookmarkStart w:id="36854" w:name="_ETM_Q65_656760"/>
      <w:bookmarkEnd w:id="36854"/>
      <w:r>
        <w:rPr>
          <w:rFonts w:hint="cs"/>
          <w:rtl/>
        </w:rPr>
        <w:t xml:space="preserve">להתקיים </w:t>
      </w:r>
      <w:bookmarkStart w:id="36855" w:name="_ETM_Q65_657300"/>
      <w:bookmarkEnd w:id="36855"/>
      <w:r>
        <w:rPr>
          <w:rFonts w:hint="cs"/>
          <w:rtl/>
        </w:rPr>
        <w:t xml:space="preserve">פה </w:t>
      </w:r>
      <w:bookmarkStart w:id="36856" w:name="_ETM_Q65_657510"/>
      <w:bookmarkEnd w:id="36856"/>
      <w:r>
        <w:rPr>
          <w:rFonts w:hint="cs"/>
          <w:rtl/>
        </w:rPr>
        <w:t xml:space="preserve">ביממה </w:t>
      </w:r>
      <w:bookmarkStart w:id="36857" w:name="_ETM_Q65_658020"/>
      <w:bookmarkEnd w:id="36857"/>
      <w:r>
        <w:rPr>
          <w:rFonts w:hint="cs"/>
          <w:rtl/>
        </w:rPr>
        <w:t xml:space="preserve">הקרובה. </w:t>
      </w:r>
      <w:bookmarkStart w:id="36858" w:name="_ETM_Q65_659790"/>
      <w:bookmarkEnd w:id="36858"/>
      <w:r>
        <w:rPr>
          <w:rFonts w:hint="cs"/>
          <w:rtl/>
        </w:rPr>
        <w:t xml:space="preserve">יש </w:t>
      </w:r>
      <w:bookmarkStart w:id="36859" w:name="_ETM_Q65_660030"/>
      <w:bookmarkEnd w:id="36859"/>
      <w:r>
        <w:rPr>
          <w:rFonts w:hint="cs"/>
          <w:rtl/>
        </w:rPr>
        <w:t xml:space="preserve">אולי </w:t>
      </w:r>
      <w:bookmarkStart w:id="36860" w:name="_ETM_Q65_660270"/>
      <w:bookmarkEnd w:id="36860"/>
      <w:r>
        <w:rPr>
          <w:rFonts w:hint="cs"/>
          <w:rtl/>
        </w:rPr>
        <w:t xml:space="preserve">12 </w:t>
      </w:r>
      <w:bookmarkStart w:id="36861" w:name="_ETM_Q65_660870"/>
      <w:bookmarkEnd w:id="36861"/>
      <w:r>
        <w:rPr>
          <w:rFonts w:hint="cs"/>
          <w:rtl/>
        </w:rPr>
        <w:t xml:space="preserve">שעות </w:t>
      </w:r>
      <w:bookmarkStart w:id="36862" w:name="_ETM_Q65_661260"/>
      <w:bookmarkEnd w:id="36862"/>
      <w:r>
        <w:rPr>
          <w:rFonts w:hint="cs"/>
          <w:rtl/>
        </w:rPr>
        <w:t xml:space="preserve">להציל </w:t>
      </w:r>
      <w:bookmarkStart w:id="36863" w:name="_ETM_Q65_661650"/>
      <w:bookmarkEnd w:id="36863"/>
      <w:r>
        <w:rPr>
          <w:rFonts w:hint="cs"/>
          <w:rtl/>
        </w:rPr>
        <w:t xml:space="preserve">את </w:t>
      </w:r>
      <w:bookmarkStart w:id="36864" w:name="_ETM_Q65_661740"/>
      <w:bookmarkEnd w:id="36864"/>
      <w:r>
        <w:rPr>
          <w:rFonts w:hint="cs"/>
          <w:rtl/>
        </w:rPr>
        <w:t xml:space="preserve">המדינה, </w:t>
      </w:r>
      <w:bookmarkStart w:id="36865" w:name="_ETM_Q65_663180"/>
      <w:bookmarkEnd w:id="36865"/>
      <w:r>
        <w:rPr>
          <w:rFonts w:hint="cs"/>
          <w:rtl/>
        </w:rPr>
        <w:t xml:space="preserve">למשוך </w:t>
      </w:r>
      <w:bookmarkStart w:id="36866" w:name="_ETM_Q65_663870"/>
      <w:bookmarkEnd w:id="36866"/>
      <w:r>
        <w:rPr>
          <w:rFonts w:hint="cs"/>
          <w:rtl/>
        </w:rPr>
        <w:t xml:space="preserve">את </w:t>
      </w:r>
      <w:bookmarkStart w:id="36867" w:name="_ETM_Q65_664049"/>
      <w:bookmarkEnd w:id="36867"/>
      <w:r>
        <w:rPr>
          <w:rFonts w:hint="cs"/>
          <w:rtl/>
        </w:rPr>
        <w:t xml:space="preserve">ידית </w:t>
      </w:r>
      <w:bookmarkStart w:id="36868" w:name="_ETM_Q65_664620"/>
      <w:bookmarkEnd w:id="36868"/>
      <w:r>
        <w:rPr>
          <w:rFonts w:hint="cs"/>
          <w:rtl/>
        </w:rPr>
        <w:t xml:space="preserve">החירום </w:t>
      </w:r>
      <w:bookmarkStart w:id="36869" w:name="_ETM_Q65_665769"/>
      <w:bookmarkEnd w:id="36869"/>
      <w:r>
        <w:rPr>
          <w:rFonts w:hint="cs"/>
          <w:rtl/>
        </w:rPr>
        <w:t xml:space="preserve">של </w:t>
      </w:r>
      <w:bookmarkStart w:id="36870" w:name="_ETM_Q65_666010"/>
      <w:bookmarkEnd w:id="36870"/>
      <w:r>
        <w:rPr>
          <w:rFonts w:hint="cs"/>
          <w:rtl/>
        </w:rPr>
        <w:t xml:space="preserve">הבלם </w:t>
      </w:r>
      <w:bookmarkStart w:id="36871" w:name="_ETM_Q65_666550"/>
      <w:bookmarkEnd w:id="36871"/>
      <w:r>
        <w:rPr>
          <w:rFonts w:hint="cs"/>
          <w:rtl/>
        </w:rPr>
        <w:t xml:space="preserve">של </w:t>
      </w:r>
      <w:bookmarkStart w:id="36872" w:name="_ETM_Q65_666760"/>
      <w:bookmarkEnd w:id="36872"/>
      <w:r>
        <w:rPr>
          <w:rFonts w:hint="cs"/>
          <w:rtl/>
        </w:rPr>
        <w:t xml:space="preserve">הרכבת </w:t>
      </w:r>
      <w:bookmarkStart w:id="36873" w:name="_ETM_Q65_667420"/>
      <w:bookmarkEnd w:id="36873"/>
      <w:r>
        <w:rPr>
          <w:rFonts w:hint="cs"/>
          <w:rtl/>
        </w:rPr>
        <w:t xml:space="preserve">הדוהרת </w:t>
      </w:r>
      <w:bookmarkStart w:id="36874" w:name="_ETM_Q65_671000"/>
      <w:bookmarkEnd w:id="36874"/>
      <w:r>
        <w:rPr>
          <w:rFonts w:hint="cs"/>
          <w:rtl/>
        </w:rPr>
        <w:t xml:space="preserve">אל התהום, של אונייה שמגיעה למפל מים </w:t>
      </w:r>
      <w:bookmarkStart w:id="36875" w:name="_ETM_Q65_672000"/>
      <w:bookmarkEnd w:id="36875"/>
      <w:r>
        <w:rPr>
          <w:rFonts w:hint="cs"/>
          <w:rtl/>
        </w:rPr>
        <w:t xml:space="preserve">ועומדת להתרסק, </w:t>
      </w:r>
      <w:r w:rsidR="00467C2B">
        <w:rPr>
          <w:rFonts w:hint="cs"/>
          <w:rtl/>
        </w:rPr>
        <w:t>ו</w:t>
      </w:r>
      <w:r>
        <w:rPr>
          <w:rFonts w:hint="cs"/>
          <w:rtl/>
        </w:rPr>
        <w:t xml:space="preserve">היא צריכה לשנות את הנתיב. האונייה זאת מדינת </w:t>
      </w:r>
      <w:bookmarkStart w:id="36876" w:name="_ETM_Q65_682000"/>
      <w:bookmarkEnd w:id="36876"/>
      <w:r>
        <w:rPr>
          <w:rFonts w:hint="cs"/>
          <w:rtl/>
        </w:rPr>
        <w:t xml:space="preserve">ישראל, </w:t>
      </w:r>
      <w:bookmarkStart w:id="36877" w:name="_ETM_Q65_667810"/>
      <w:bookmarkStart w:id="36878" w:name="_ETM_Q65_668050"/>
      <w:bookmarkStart w:id="36879" w:name="_ETM_Q65_668590"/>
      <w:bookmarkStart w:id="36880" w:name="_ETM_Q65_668769"/>
      <w:bookmarkStart w:id="36881" w:name="_ETM_Q65_669010"/>
      <w:bookmarkStart w:id="36882" w:name="_ETM_Q65_670310"/>
      <w:bookmarkStart w:id="36883" w:name="_ETM_Q65_670640"/>
      <w:bookmarkStart w:id="36884" w:name="_ETM_Q65_671599"/>
      <w:bookmarkStart w:id="36885" w:name="_ETM_Q65_672290"/>
      <w:bookmarkStart w:id="36886" w:name="_ETM_Q65_672560"/>
      <w:bookmarkStart w:id="36887" w:name="_ETM_Q65_672769"/>
      <w:bookmarkStart w:id="36888" w:name="_ETM_Q65_673340"/>
      <w:bookmarkStart w:id="36889" w:name="_ETM_Q65_674829"/>
      <w:bookmarkStart w:id="36890" w:name="_ETM_Q65_674980"/>
      <w:bookmarkStart w:id="36891" w:name="_ETM_Q65_675309"/>
      <w:bookmarkStart w:id="36892" w:name="_ETM_Q65_675879"/>
      <w:bookmarkStart w:id="36893" w:name="_ETM_Q65_676029"/>
      <w:bookmarkStart w:id="36894" w:name="_ETM_Q65_677580"/>
      <w:bookmarkStart w:id="36895" w:name="_ETM_Q65_678120"/>
      <w:bookmarkStart w:id="36896" w:name="_ETM_Q65_678360"/>
      <w:bookmarkStart w:id="36897" w:name="_ETM_Q65_678870"/>
      <w:bookmarkStart w:id="36898" w:name="_ETM_Q65_680140"/>
      <w:bookmarkStart w:id="36899" w:name="_ETM_Q65_680950"/>
      <w:bookmarkEnd w:id="36877"/>
      <w:bookmarkEnd w:id="36878"/>
      <w:bookmarkEnd w:id="36879"/>
      <w:bookmarkEnd w:id="36880"/>
      <w:bookmarkEnd w:id="36881"/>
      <w:bookmarkEnd w:id="36882"/>
      <w:bookmarkEnd w:id="36883"/>
      <w:bookmarkEnd w:id="36884"/>
      <w:bookmarkEnd w:id="36885"/>
      <w:bookmarkEnd w:id="36886"/>
      <w:bookmarkEnd w:id="36887"/>
      <w:bookmarkEnd w:id="36888"/>
      <w:bookmarkEnd w:id="36889"/>
      <w:bookmarkEnd w:id="36890"/>
      <w:bookmarkEnd w:id="36891"/>
      <w:bookmarkEnd w:id="36892"/>
      <w:bookmarkEnd w:id="36893"/>
      <w:bookmarkEnd w:id="36894"/>
      <w:bookmarkEnd w:id="36895"/>
      <w:bookmarkEnd w:id="36896"/>
      <w:bookmarkEnd w:id="36897"/>
      <w:bookmarkEnd w:id="36898"/>
      <w:bookmarkEnd w:id="36899"/>
      <w:r>
        <w:rPr>
          <w:rFonts w:hint="cs"/>
          <w:rtl/>
        </w:rPr>
        <w:t xml:space="preserve">גורל </w:t>
      </w:r>
      <w:bookmarkStart w:id="36900" w:name="_ETM_Q65_681280"/>
      <w:bookmarkStart w:id="36901" w:name="_ETM_Q65_681820"/>
      <w:bookmarkEnd w:id="36900"/>
      <w:bookmarkEnd w:id="36901"/>
      <w:r w:rsidR="00467C2B">
        <w:rPr>
          <w:rFonts w:hint="cs"/>
          <w:rtl/>
        </w:rPr>
        <w:t xml:space="preserve">כלל </w:t>
      </w:r>
      <w:r>
        <w:rPr>
          <w:rFonts w:hint="cs"/>
          <w:rtl/>
        </w:rPr>
        <w:t xml:space="preserve">האזרחים </w:t>
      </w:r>
      <w:bookmarkStart w:id="36902" w:name="_ETM_Q65_683640"/>
      <w:bookmarkEnd w:id="36902"/>
      <w:r>
        <w:rPr>
          <w:rFonts w:hint="cs"/>
          <w:rtl/>
        </w:rPr>
        <w:t xml:space="preserve">בידך, </w:t>
      </w:r>
      <w:bookmarkStart w:id="36903" w:name="_ETM_Q65_686050"/>
      <w:bookmarkEnd w:id="36903"/>
      <w:r>
        <w:rPr>
          <w:rFonts w:hint="cs"/>
          <w:rtl/>
        </w:rPr>
        <w:t xml:space="preserve">ואנחנו </w:t>
      </w:r>
      <w:bookmarkStart w:id="36904" w:name="_ETM_Q65_686530"/>
      <w:bookmarkEnd w:id="36904"/>
      <w:r>
        <w:rPr>
          <w:rFonts w:hint="cs"/>
          <w:rtl/>
        </w:rPr>
        <w:t xml:space="preserve">מבקשים </w:t>
      </w:r>
      <w:bookmarkStart w:id="36905" w:name="_ETM_Q65_687100"/>
      <w:bookmarkEnd w:id="36905"/>
      <w:r>
        <w:rPr>
          <w:rFonts w:hint="cs"/>
          <w:rtl/>
        </w:rPr>
        <w:t xml:space="preserve">ממך: </w:t>
      </w:r>
      <w:bookmarkStart w:id="36906" w:name="_ETM_Q65_687430"/>
      <w:bookmarkEnd w:id="36906"/>
      <w:r>
        <w:rPr>
          <w:rFonts w:hint="cs"/>
          <w:rtl/>
        </w:rPr>
        <w:t xml:space="preserve">עשה </w:t>
      </w:r>
      <w:bookmarkStart w:id="36907" w:name="_ETM_Q65_687820"/>
      <w:bookmarkEnd w:id="36907"/>
      <w:r>
        <w:rPr>
          <w:rFonts w:hint="cs"/>
          <w:rtl/>
        </w:rPr>
        <w:t xml:space="preserve">צעד </w:t>
      </w:r>
      <w:bookmarkStart w:id="36908" w:name="_ETM_Q65_688180"/>
      <w:bookmarkEnd w:id="36908"/>
      <w:r>
        <w:rPr>
          <w:rFonts w:hint="cs"/>
          <w:rtl/>
        </w:rPr>
        <w:t xml:space="preserve">מנהיגותי. </w:t>
      </w:r>
      <w:bookmarkStart w:id="36909" w:name="_ETM_Q65_690040"/>
      <w:bookmarkEnd w:id="36909"/>
      <w:r>
        <w:rPr>
          <w:rFonts w:hint="cs"/>
          <w:rtl/>
        </w:rPr>
        <w:t xml:space="preserve">אדוני </w:t>
      </w:r>
      <w:bookmarkStart w:id="36910" w:name="_ETM_Q65_690459"/>
      <w:bookmarkEnd w:id="36910"/>
      <w:r>
        <w:rPr>
          <w:rFonts w:hint="cs"/>
          <w:rtl/>
        </w:rPr>
        <w:t xml:space="preserve">ראש </w:t>
      </w:r>
      <w:bookmarkStart w:id="36911" w:name="_ETM_Q65_690730"/>
      <w:bookmarkEnd w:id="36911"/>
      <w:r>
        <w:rPr>
          <w:rFonts w:hint="cs"/>
          <w:rtl/>
        </w:rPr>
        <w:t xml:space="preserve">הממשלה, תהיה המנהיג שהציל את העם </w:t>
      </w:r>
      <w:bookmarkStart w:id="36912" w:name="_ETM_Q65_691330"/>
      <w:bookmarkStart w:id="36913" w:name="_ETM_Q65_691720"/>
      <w:bookmarkStart w:id="36914" w:name="_ETM_Q65_692679"/>
      <w:bookmarkStart w:id="36915" w:name="_ETM_Q65_693370"/>
      <w:bookmarkStart w:id="36916" w:name="_ETM_Q65_693549"/>
      <w:bookmarkEnd w:id="36912"/>
      <w:bookmarkEnd w:id="36913"/>
      <w:bookmarkEnd w:id="36914"/>
      <w:bookmarkEnd w:id="36915"/>
      <w:bookmarkEnd w:id="36916"/>
      <w:r>
        <w:rPr>
          <w:rFonts w:hint="cs"/>
          <w:rtl/>
        </w:rPr>
        <w:t xml:space="preserve">משנאת </w:t>
      </w:r>
      <w:bookmarkStart w:id="36917" w:name="_ETM_Q65_694390"/>
      <w:bookmarkEnd w:id="36917"/>
      <w:r>
        <w:rPr>
          <w:rFonts w:hint="cs"/>
          <w:rtl/>
        </w:rPr>
        <w:t xml:space="preserve">חינם, </w:t>
      </w:r>
      <w:bookmarkStart w:id="36918" w:name="_ETM_Q65_695569"/>
      <w:bookmarkEnd w:id="36918"/>
      <w:r>
        <w:rPr>
          <w:rFonts w:hint="cs"/>
          <w:rtl/>
        </w:rPr>
        <w:t xml:space="preserve">שהבין </w:t>
      </w:r>
      <w:bookmarkStart w:id="36919" w:name="_ETM_Q65_696199"/>
      <w:bookmarkEnd w:id="36919"/>
      <w:r>
        <w:rPr>
          <w:rFonts w:hint="cs"/>
          <w:rtl/>
        </w:rPr>
        <w:t xml:space="preserve">את </w:t>
      </w:r>
      <w:bookmarkStart w:id="36920" w:name="_ETM_Q65_696349"/>
      <w:bookmarkEnd w:id="36920"/>
      <w:r>
        <w:rPr>
          <w:rFonts w:hint="cs"/>
          <w:rtl/>
        </w:rPr>
        <w:t xml:space="preserve">גודל </w:t>
      </w:r>
      <w:bookmarkStart w:id="36921" w:name="_ETM_Q65_696709"/>
      <w:bookmarkEnd w:id="36921"/>
      <w:r>
        <w:rPr>
          <w:rFonts w:hint="cs"/>
          <w:rtl/>
        </w:rPr>
        <w:t xml:space="preserve">המעמד, </w:t>
      </w:r>
      <w:bookmarkStart w:id="36922" w:name="_ETM_Q65_698739"/>
      <w:bookmarkEnd w:id="36922"/>
      <w:r>
        <w:rPr>
          <w:rFonts w:hint="cs"/>
          <w:rtl/>
        </w:rPr>
        <w:t xml:space="preserve">שנכנס </w:t>
      </w:r>
      <w:bookmarkStart w:id="36923" w:name="_ETM_Q65_699489"/>
      <w:bookmarkEnd w:id="36923"/>
      <w:r>
        <w:rPr>
          <w:rFonts w:hint="cs"/>
          <w:rtl/>
        </w:rPr>
        <w:t xml:space="preserve">לאירוע </w:t>
      </w:r>
      <w:bookmarkStart w:id="36924" w:name="_ETM_Q65_700620"/>
      <w:bookmarkEnd w:id="36924"/>
      <w:r>
        <w:rPr>
          <w:rFonts w:hint="cs"/>
          <w:rtl/>
        </w:rPr>
        <w:t xml:space="preserve">ללא </w:t>
      </w:r>
      <w:bookmarkStart w:id="36925" w:name="_ETM_Q65_701040"/>
      <w:bookmarkEnd w:id="36925"/>
      <w:r>
        <w:rPr>
          <w:rFonts w:hint="cs"/>
          <w:rtl/>
        </w:rPr>
        <w:t xml:space="preserve">פחד, </w:t>
      </w:r>
      <w:bookmarkStart w:id="36926" w:name="_ETM_Q65_702410"/>
      <w:bookmarkEnd w:id="36926"/>
      <w:r>
        <w:rPr>
          <w:rFonts w:hint="cs"/>
          <w:rtl/>
        </w:rPr>
        <w:t xml:space="preserve">ללא </w:t>
      </w:r>
      <w:bookmarkStart w:id="36927" w:name="_ETM_Q65_702770"/>
      <w:bookmarkEnd w:id="36927"/>
      <w:r>
        <w:rPr>
          <w:rFonts w:hint="cs"/>
          <w:rtl/>
        </w:rPr>
        <w:t xml:space="preserve">שיקולים </w:t>
      </w:r>
      <w:bookmarkStart w:id="36928" w:name="_ETM_Q65_703340"/>
      <w:bookmarkEnd w:id="36928"/>
      <w:r>
        <w:rPr>
          <w:rFonts w:hint="cs"/>
          <w:rtl/>
        </w:rPr>
        <w:t xml:space="preserve">זרים, </w:t>
      </w:r>
      <w:bookmarkStart w:id="36929" w:name="_ETM_Q65_704550"/>
      <w:bookmarkEnd w:id="36929"/>
      <w:r>
        <w:rPr>
          <w:rFonts w:hint="cs"/>
          <w:rtl/>
        </w:rPr>
        <w:t xml:space="preserve">ובחר </w:t>
      </w:r>
      <w:bookmarkStart w:id="36930" w:name="_ETM_Q65_705390"/>
      <w:bookmarkEnd w:id="36930"/>
      <w:r>
        <w:rPr>
          <w:rFonts w:hint="cs"/>
          <w:rtl/>
        </w:rPr>
        <w:t xml:space="preserve">לעשות </w:t>
      </w:r>
      <w:bookmarkStart w:id="36931" w:name="_ETM_Q65_705690"/>
      <w:bookmarkEnd w:id="36931"/>
      <w:r>
        <w:rPr>
          <w:rFonts w:hint="cs"/>
          <w:rtl/>
        </w:rPr>
        <w:t xml:space="preserve">את </w:t>
      </w:r>
      <w:bookmarkStart w:id="36932" w:name="_ETM_Q65_705840"/>
      <w:bookmarkEnd w:id="36932"/>
      <w:r>
        <w:rPr>
          <w:rFonts w:hint="cs"/>
          <w:rtl/>
        </w:rPr>
        <w:t xml:space="preserve">המעשה </w:t>
      </w:r>
      <w:bookmarkStart w:id="36933" w:name="_ETM_Q65_706380"/>
      <w:bookmarkEnd w:id="36933"/>
      <w:r>
        <w:rPr>
          <w:rFonts w:hint="cs"/>
          <w:rtl/>
        </w:rPr>
        <w:t xml:space="preserve">הנכון </w:t>
      </w:r>
      <w:bookmarkStart w:id="36934" w:name="_ETM_Q65_707190"/>
      <w:bookmarkEnd w:id="36934"/>
      <w:r>
        <w:rPr>
          <w:rFonts w:hint="cs"/>
          <w:rtl/>
        </w:rPr>
        <w:t>ו</w:t>
      </w:r>
      <w:bookmarkStart w:id="36935" w:name="_ETM_Q65_707700"/>
      <w:bookmarkEnd w:id="36935"/>
      <w:r>
        <w:rPr>
          <w:rFonts w:hint="cs"/>
          <w:rtl/>
        </w:rPr>
        <w:t xml:space="preserve">הטוב </w:t>
      </w:r>
      <w:bookmarkStart w:id="36936" w:name="_ETM_Q65_707970"/>
      <w:bookmarkEnd w:id="36936"/>
      <w:r>
        <w:rPr>
          <w:rFonts w:hint="cs"/>
          <w:rtl/>
        </w:rPr>
        <w:t xml:space="preserve">למען </w:t>
      </w:r>
      <w:bookmarkStart w:id="36937" w:name="_ETM_Q65_708390"/>
      <w:bookmarkEnd w:id="36937"/>
      <w:r>
        <w:rPr>
          <w:rFonts w:hint="cs"/>
          <w:rtl/>
        </w:rPr>
        <w:t xml:space="preserve">כל </w:t>
      </w:r>
      <w:bookmarkStart w:id="36938" w:name="_ETM_Q65_708720"/>
      <w:bookmarkEnd w:id="36938"/>
      <w:r>
        <w:rPr>
          <w:rFonts w:hint="cs"/>
          <w:rtl/>
        </w:rPr>
        <w:t xml:space="preserve">העם </w:t>
      </w:r>
      <w:bookmarkStart w:id="36939" w:name="_ETM_Q65_709050"/>
      <w:bookmarkEnd w:id="36939"/>
      <w:r>
        <w:rPr>
          <w:rFonts w:hint="cs"/>
          <w:rtl/>
        </w:rPr>
        <w:t xml:space="preserve">שאתה </w:t>
      </w:r>
      <w:bookmarkStart w:id="36940" w:name="_ETM_Q65_709470"/>
      <w:bookmarkEnd w:id="36940"/>
      <w:r>
        <w:rPr>
          <w:rFonts w:hint="cs"/>
          <w:rtl/>
        </w:rPr>
        <w:t xml:space="preserve">נבחרת </w:t>
      </w:r>
      <w:bookmarkStart w:id="36941" w:name="_ETM_Q65_710130"/>
      <w:bookmarkEnd w:id="36941"/>
      <w:r>
        <w:rPr>
          <w:rFonts w:hint="cs"/>
          <w:rtl/>
        </w:rPr>
        <w:t xml:space="preserve">לעמוד </w:t>
      </w:r>
      <w:bookmarkStart w:id="36942" w:name="_ETM_Q65_710700"/>
      <w:bookmarkEnd w:id="36942"/>
      <w:r>
        <w:rPr>
          <w:rFonts w:hint="cs"/>
          <w:rtl/>
        </w:rPr>
        <w:t xml:space="preserve">בראשו, </w:t>
      </w:r>
      <w:bookmarkStart w:id="36943" w:name="_ETM_Q65_711900"/>
      <w:bookmarkEnd w:id="36943"/>
      <w:r>
        <w:rPr>
          <w:rFonts w:hint="cs"/>
          <w:rtl/>
        </w:rPr>
        <w:t xml:space="preserve">ולא </w:t>
      </w:r>
      <w:bookmarkStart w:id="36944" w:name="_ETM_Q65_712290"/>
      <w:bookmarkEnd w:id="36944"/>
      <w:r>
        <w:rPr>
          <w:rFonts w:hint="cs"/>
          <w:rtl/>
        </w:rPr>
        <w:t xml:space="preserve">למען </w:t>
      </w:r>
      <w:bookmarkStart w:id="36945" w:name="_ETM_Q65_712830"/>
      <w:bookmarkEnd w:id="36945"/>
      <w:r>
        <w:rPr>
          <w:rFonts w:hint="cs"/>
          <w:rtl/>
        </w:rPr>
        <w:t xml:space="preserve">אף </w:t>
      </w:r>
      <w:bookmarkStart w:id="36946" w:name="_ETM_Q65_713040"/>
      <w:bookmarkEnd w:id="36946"/>
      <w:r>
        <w:rPr>
          <w:rFonts w:hint="cs"/>
          <w:rtl/>
        </w:rPr>
        <w:t xml:space="preserve">אחד </w:t>
      </w:r>
      <w:bookmarkStart w:id="36947" w:name="_ETM_Q65_713370"/>
      <w:bookmarkEnd w:id="36947"/>
      <w:r>
        <w:rPr>
          <w:rFonts w:hint="cs"/>
          <w:rtl/>
        </w:rPr>
        <w:t xml:space="preserve">אחר, </w:t>
      </w:r>
      <w:bookmarkStart w:id="36948" w:name="_ETM_Q65_714450"/>
      <w:bookmarkEnd w:id="36948"/>
      <w:r>
        <w:rPr>
          <w:rFonts w:hint="cs"/>
          <w:rtl/>
        </w:rPr>
        <w:t xml:space="preserve">לא </w:t>
      </w:r>
      <w:bookmarkStart w:id="36949" w:name="_ETM_Q65_714690"/>
      <w:bookmarkEnd w:id="36949"/>
      <w:r>
        <w:rPr>
          <w:rFonts w:hint="cs"/>
          <w:rtl/>
        </w:rPr>
        <w:t xml:space="preserve">למען </w:t>
      </w:r>
      <w:bookmarkStart w:id="36950" w:name="_ETM_Q65_715200"/>
      <w:bookmarkEnd w:id="36950"/>
      <w:r>
        <w:rPr>
          <w:rFonts w:hint="cs"/>
          <w:rtl/>
        </w:rPr>
        <w:t xml:space="preserve">קואליציה, </w:t>
      </w:r>
      <w:bookmarkStart w:id="36951" w:name="_ETM_Q65_716280"/>
      <w:bookmarkEnd w:id="36951"/>
      <w:r>
        <w:rPr>
          <w:rFonts w:hint="cs"/>
          <w:rtl/>
        </w:rPr>
        <w:t xml:space="preserve">לא </w:t>
      </w:r>
      <w:bookmarkStart w:id="36952" w:name="_ETM_Q65_716520"/>
      <w:bookmarkEnd w:id="36952"/>
      <w:r>
        <w:rPr>
          <w:rFonts w:hint="cs"/>
          <w:rtl/>
        </w:rPr>
        <w:t xml:space="preserve">למען </w:t>
      </w:r>
      <w:bookmarkStart w:id="36953" w:name="_ETM_Q65_717000"/>
      <w:bookmarkEnd w:id="36953"/>
      <w:r>
        <w:rPr>
          <w:rFonts w:hint="cs"/>
          <w:rtl/>
        </w:rPr>
        <w:t xml:space="preserve">עצמך. </w:t>
      </w:r>
      <w:bookmarkStart w:id="36954" w:name="_ETM_Q65_718410"/>
      <w:bookmarkEnd w:id="36954"/>
      <w:r>
        <w:rPr>
          <w:rFonts w:hint="cs"/>
          <w:rtl/>
        </w:rPr>
        <w:t xml:space="preserve">אפילו </w:t>
      </w:r>
      <w:bookmarkStart w:id="36955" w:name="_ETM_Q65_718800"/>
      <w:bookmarkEnd w:id="36955"/>
      <w:r>
        <w:rPr>
          <w:rFonts w:hint="cs"/>
          <w:rtl/>
        </w:rPr>
        <w:t xml:space="preserve">הציבור </w:t>
      </w:r>
      <w:bookmarkStart w:id="36956" w:name="_ETM_Q65_719309"/>
      <w:bookmarkEnd w:id="36956"/>
      <w:r>
        <w:rPr>
          <w:rFonts w:hint="cs"/>
          <w:rtl/>
        </w:rPr>
        <w:t xml:space="preserve">שלך יעריך </w:t>
      </w:r>
      <w:bookmarkStart w:id="36957" w:name="_ETM_Q65_722000"/>
      <w:bookmarkEnd w:id="36957"/>
      <w:r>
        <w:rPr>
          <w:rFonts w:hint="cs"/>
          <w:rtl/>
        </w:rPr>
        <w:t xml:space="preserve">החלטה אמיצה שכזאת. </w:t>
      </w:r>
    </w:p>
    <w:p w:rsidR="00BB59CD" w:rsidRDefault="00BB59CD" w:rsidP="00BB59CD">
      <w:pPr>
        <w:rPr>
          <w:rtl/>
        </w:rPr>
      </w:pPr>
      <w:bookmarkStart w:id="36958" w:name="_ETM_Q65_725000"/>
      <w:bookmarkEnd w:id="36958"/>
    </w:p>
    <w:p w:rsidR="00BB59CD" w:rsidRDefault="00BB59CD" w:rsidP="00467C2B">
      <w:pPr>
        <w:rPr>
          <w:rtl/>
        </w:rPr>
      </w:pPr>
      <w:bookmarkStart w:id="36959" w:name="_ETM_Q65_726000"/>
      <w:bookmarkStart w:id="36960" w:name="_ETM_Q65_719790"/>
      <w:bookmarkStart w:id="36961" w:name="_ETM_Q65_720059"/>
      <w:bookmarkStart w:id="36962" w:name="_ETM_Q65_721020"/>
      <w:bookmarkStart w:id="36963" w:name="_ETM_Q65_721590"/>
      <w:bookmarkStart w:id="36964" w:name="_ETM_Q65_722010"/>
      <w:bookmarkStart w:id="36965" w:name="_ETM_Q65_725689"/>
      <w:bookmarkEnd w:id="36959"/>
      <w:bookmarkEnd w:id="36960"/>
      <w:bookmarkEnd w:id="36961"/>
      <w:bookmarkEnd w:id="36962"/>
      <w:bookmarkEnd w:id="36963"/>
      <w:bookmarkEnd w:id="36964"/>
      <w:bookmarkEnd w:id="36965"/>
      <w:r>
        <w:rPr>
          <w:rFonts w:hint="cs"/>
          <w:rtl/>
        </w:rPr>
        <w:t xml:space="preserve">אדוני </w:t>
      </w:r>
      <w:bookmarkStart w:id="36966" w:name="_ETM_Q65_726109"/>
      <w:bookmarkEnd w:id="36966"/>
      <w:r>
        <w:rPr>
          <w:rFonts w:hint="cs"/>
          <w:rtl/>
        </w:rPr>
        <w:t xml:space="preserve">היושב-ראש, </w:t>
      </w:r>
      <w:bookmarkStart w:id="36967" w:name="_ETM_Q65_728879"/>
      <w:bookmarkEnd w:id="36967"/>
      <w:r>
        <w:rPr>
          <w:rFonts w:hint="cs"/>
          <w:rtl/>
        </w:rPr>
        <w:t xml:space="preserve">אני </w:t>
      </w:r>
      <w:bookmarkStart w:id="36968" w:name="_ETM_Q65_729090"/>
      <w:bookmarkEnd w:id="36968"/>
      <w:r>
        <w:rPr>
          <w:rFonts w:hint="cs"/>
          <w:rtl/>
        </w:rPr>
        <w:t xml:space="preserve">רוצה, </w:t>
      </w:r>
      <w:bookmarkStart w:id="36969" w:name="_ETM_Q65_730019"/>
      <w:bookmarkEnd w:id="36969"/>
      <w:r>
        <w:rPr>
          <w:rFonts w:hint="cs"/>
          <w:rtl/>
        </w:rPr>
        <w:t xml:space="preserve">ערב </w:t>
      </w:r>
      <w:bookmarkStart w:id="36970" w:name="_ETM_Q65_730439"/>
      <w:bookmarkEnd w:id="36970"/>
      <w:r>
        <w:rPr>
          <w:rFonts w:hint="cs"/>
          <w:rtl/>
        </w:rPr>
        <w:t xml:space="preserve">תשעה </w:t>
      </w:r>
      <w:bookmarkStart w:id="36971" w:name="_ETM_Q65_730830"/>
      <w:bookmarkEnd w:id="36971"/>
      <w:r>
        <w:rPr>
          <w:rFonts w:hint="cs"/>
          <w:rtl/>
        </w:rPr>
        <w:t xml:space="preserve">באב, </w:t>
      </w:r>
      <w:bookmarkStart w:id="36972" w:name="_ETM_Q65_732099"/>
      <w:bookmarkEnd w:id="36972"/>
      <w:r>
        <w:rPr>
          <w:rFonts w:hint="cs"/>
          <w:rtl/>
        </w:rPr>
        <w:t xml:space="preserve">לחלוק </w:t>
      </w:r>
      <w:bookmarkStart w:id="36973" w:name="_ETM_Q65_732609"/>
      <w:bookmarkEnd w:id="36973"/>
      <w:r>
        <w:rPr>
          <w:rFonts w:hint="cs"/>
          <w:rtl/>
        </w:rPr>
        <w:t xml:space="preserve">איתכם </w:t>
      </w:r>
      <w:bookmarkStart w:id="36974" w:name="_ETM_Q65_732760"/>
      <w:bookmarkStart w:id="36975" w:name="_ETM_Q65_733059"/>
      <w:bookmarkEnd w:id="36974"/>
      <w:bookmarkEnd w:id="36975"/>
      <w:r>
        <w:rPr>
          <w:rFonts w:hint="cs"/>
          <w:rtl/>
        </w:rPr>
        <w:t xml:space="preserve">שני </w:t>
      </w:r>
      <w:bookmarkStart w:id="36976" w:name="_ETM_Q65_733330"/>
      <w:bookmarkEnd w:id="36976"/>
      <w:r>
        <w:rPr>
          <w:rFonts w:hint="cs"/>
          <w:rtl/>
        </w:rPr>
        <w:t xml:space="preserve">דברים, </w:t>
      </w:r>
      <w:bookmarkStart w:id="36977" w:name="_ETM_Q65_735380"/>
      <w:bookmarkEnd w:id="36977"/>
      <w:r>
        <w:rPr>
          <w:rFonts w:hint="cs"/>
          <w:rtl/>
        </w:rPr>
        <w:t xml:space="preserve">שתי </w:t>
      </w:r>
      <w:bookmarkStart w:id="36978" w:name="_ETM_Q65_735709"/>
      <w:bookmarkEnd w:id="36978"/>
      <w:r>
        <w:rPr>
          <w:rFonts w:hint="cs"/>
          <w:rtl/>
        </w:rPr>
        <w:t>נבואות. אחת מהן</w:t>
      </w:r>
      <w:r w:rsidR="00467C2B">
        <w:rPr>
          <w:rFonts w:hint="cs"/>
          <w:rtl/>
        </w:rPr>
        <w:t>,</w:t>
      </w:r>
      <w:r>
        <w:rPr>
          <w:rFonts w:hint="cs"/>
          <w:rtl/>
        </w:rPr>
        <w:t xml:space="preserve"> אני חוזר עליה הרבה, </w:t>
      </w:r>
      <w:bookmarkStart w:id="36979" w:name="_ETM_Q65_743000"/>
      <w:bookmarkEnd w:id="36979"/>
      <w:r>
        <w:rPr>
          <w:rFonts w:hint="cs"/>
          <w:rtl/>
        </w:rPr>
        <w:t xml:space="preserve">ואחת מהן </w:t>
      </w:r>
      <w:bookmarkStart w:id="36980" w:name="_ETM_Q65_739819"/>
      <w:bookmarkStart w:id="36981" w:name="_ETM_Q65_740150"/>
      <w:bookmarkStart w:id="36982" w:name="_ETM_Q65_742120"/>
      <w:bookmarkStart w:id="36983" w:name="_ETM_Q65_742449"/>
      <w:bookmarkStart w:id="36984" w:name="_ETM_Q65_742659"/>
      <w:bookmarkStart w:id="36985" w:name="_ETM_Q65_742809"/>
      <w:bookmarkStart w:id="36986" w:name="_ETM_Q65_743229"/>
      <w:bookmarkStart w:id="36987" w:name="_ETM_Q65_743469"/>
      <w:bookmarkStart w:id="36988" w:name="_ETM_Q65_743740"/>
      <w:bookmarkStart w:id="36989" w:name="_ETM_Q65_744159"/>
      <w:bookmarkStart w:id="36990" w:name="_ETM_Q65_744370"/>
      <w:bookmarkEnd w:id="36980"/>
      <w:bookmarkEnd w:id="36981"/>
      <w:bookmarkEnd w:id="36982"/>
      <w:bookmarkEnd w:id="36983"/>
      <w:bookmarkEnd w:id="36984"/>
      <w:bookmarkEnd w:id="36985"/>
      <w:bookmarkEnd w:id="36986"/>
      <w:bookmarkEnd w:id="36987"/>
      <w:bookmarkEnd w:id="36988"/>
      <w:bookmarkEnd w:id="36989"/>
      <w:bookmarkEnd w:id="36990"/>
      <w:r>
        <w:rPr>
          <w:rFonts w:hint="cs"/>
          <w:rtl/>
        </w:rPr>
        <w:t xml:space="preserve">מוזכרת </w:t>
      </w:r>
      <w:bookmarkStart w:id="36991" w:name="_ETM_Q65_745059"/>
      <w:bookmarkEnd w:id="36991"/>
      <w:r>
        <w:rPr>
          <w:rFonts w:hint="cs"/>
          <w:rtl/>
        </w:rPr>
        <w:t>הרבה, א</w:t>
      </w:r>
      <w:bookmarkStart w:id="36992" w:name="_ETM_Q65_745900"/>
      <w:bookmarkEnd w:id="36992"/>
      <w:r>
        <w:rPr>
          <w:rFonts w:hint="cs"/>
          <w:rtl/>
        </w:rPr>
        <w:t xml:space="preserve">בל </w:t>
      </w:r>
      <w:bookmarkStart w:id="36993" w:name="_ETM_Q65_746139"/>
      <w:bookmarkEnd w:id="36993"/>
      <w:r>
        <w:rPr>
          <w:rFonts w:hint="cs"/>
          <w:rtl/>
        </w:rPr>
        <w:t xml:space="preserve">לא </w:t>
      </w:r>
      <w:bookmarkStart w:id="36994" w:name="_ETM_Q65_746229"/>
      <w:bookmarkEnd w:id="36994"/>
      <w:r>
        <w:rPr>
          <w:rFonts w:hint="cs"/>
          <w:rtl/>
        </w:rPr>
        <w:t xml:space="preserve">מוזכרת </w:t>
      </w:r>
      <w:bookmarkStart w:id="36995" w:name="_ETM_Q65_746979"/>
      <w:bookmarkEnd w:id="36995"/>
      <w:r>
        <w:rPr>
          <w:rFonts w:hint="cs"/>
          <w:rtl/>
        </w:rPr>
        <w:t xml:space="preserve">במידתיות </w:t>
      </w:r>
      <w:bookmarkStart w:id="36996" w:name="_ETM_Q65_747729"/>
      <w:bookmarkEnd w:id="36996"/>
      <w:r>
        <w:rPr>
          <w:rFonts w:hint="cs"/>
          <w:rtl/>
        </w:rPr>
        <w:t xml:space="preserve">הנכונה </w:t>
      </w:r>
      <w:bookmarkStart w:id="36997" w:name="_ETM_Q65_749280"/>
      <w:bookmarkEnd w:id="36997"/>
      <w:r>
        <w:rPr>
          <w:rFonts w:hint="cs"/>
          <w:rtl/>
        </w:rPr>
        <w:t>ובשילוביות.</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36998" w:name="_ETM_Q65_750000"/>
      <w:bookmarkEnd w:id="36998"/>
      <w:r>
        <w:rPr>
          <w:rFonts w:hint="cs"/>
          <w:rtl/>
        </w:rPr>
        <w:t>ובסבירות.</w:t>
      </w:r>
    </w:p>
    <w:p w:rsidR="00BB59CD" w:rsidRDefault="00BB59CD" w:rsidP="00BB59CD">
      <w:pPr>
        <w:rPr>
          <w:rtl/>
        </w:rPr>
      </w:pPr>
      <w:bookmarkStart w:id="36999" w:name="_ETM_Q65_755000"/>
      <w:bookmarkEnd w:id="36999"/>
    </w:p>
    <w:p w:rsidR="00BB59CD" w:rsidRDefault="00BB59CD" w:rsidP="00BB59CD">
      <w:pPr>
        <w:pStyle w:val="-"/>
        <w:keepNext/>
        <w:rPr>
          <w:rtl/>
        </w:rPr>
      </w:pPr>
      <w:r>
        <w:rPr>
          <w:rStyle w:val="TagStyle"/>
          <w:rFonts w:hint="cs"/>
          <w:rtl/>
        </w:rPr>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467C2B">
      <w:pPr>
        <w:rPr>
          <w:rtl/>
        </w:rPr>
      </w:pPr>
      <w:r>
        <w:rPr>
          <w:rFonts w:hint="cs"/>
          <w:rtl/>
        </w:rPr>
        <w:t xml:space="preserve">לכבודו של התנ"ך אני אשים כיפה. הנביא ישעיה, בפרק א' שלו: "חזון ישעיהו בן אמוץ אשר חזה על יהודה וירושלִָם" בבית ראשון, </w:t>
      </w:r>
      <w:r w:rsidR="00467C2B">
        <w:rPr>
          <w:rFonts w:hint="cs"/>
          <w:rtl/>
        </w:rPr>
        <w:t xml:space="preserve">הוא </w:t>
      </w:r>
      <w:r>
        <w:rPr>
          <w:rFonts w:hint="cs"/>
          <w:rtl/>
        </w:rPr>
        <w:t xml:space="preserve">פותח בפרק א' פסוק כ"א ממש פתיח שקרוב לפתיח של איכה, </w:t>
      </w:r>
      <w:r w:rsidR="00467C2B">
        <w:rPr>
          <w:rFonts w:hint="cs"/>
          <w:rtl/>
        </w:rPr>
        <w:t>ו</w:t>
      </w:r>
      <w:r>
        <w:rPr>
          <w:rFonts w:hint="cs"/>
          <w:rtl/>
        </w:rPr>
        <w:t xml:space="preserve">אם יהיה זמן אני אקרא גם מתוך מגילת איכה. אבל תראה איזה תיאור קשה: "איכה היתה לזונה קריה נאמנה; מְלֵאֲתי משפט צדק </w:t>
      </w:r>
      <w:bookmarkStart w:id="37000" w:name="_ETM_Q66_192000"/>
      <w:bookmarkEnd w:id="37000"/>
      <w:r>
        <w:rPr>
          <w:rFonts w:hint="cs"/>
          <w:rtl/>
        </w:rPr>
        <w:t xml:space="preserve">ילין בה ועתה מרצחים. כספך היה לסיגים, סבאך מהול במים. שריִך סוררים וחברי גנבים, כֻלו אֹהב שֹחד ורֹדף שלמֹנים, יתום לא ישפֹטו וריב אלמנה לא יבוא אליהם. לכן נאֻם האדון ה' צבאות אביר ישראל, </w:t>
      </w:r>
      <w:bookmarkStart w:id="37001" w:name="_ETM_Q66_221000"/>
      <w:bookmarkEnd w:id="37001"/>
      <w:r>
        <w:rPr>
          <w:rFonts w:hint="cs"/>
          <w:rtl/>
        </w:rPr>
        <w:t xml:space="preserve">הוי אנחם מצרַי ואִנקמה מאויבָי. ואשיבה ידי עלַיך ואצרֹף </w:t>
      </w:r>
      <w:bookmarkStart w:id="37002" w:name="_ETM_Q66_226000"/>
      <w:bookmarkEnd w:id="37002"/>
      <w:r>
        <w:rPr>
          <w:rFonts w:hint="cs"/>
          <w:rtl/>
        </w:rPr>
        <w:t>כבֹר סיגָיִך ואסירה כל בדילָיך".</w:t>
      </w:r>
    </w:p>
    <w:p w:rsidR="00BB59CD" w:rsidRDefault="00BB59CD" w:rsidP="00BB59CD">
      <w:pPr>
        <w:rPr>
          <w:rtl/>
        </w:rPr>
      </w:pPr>
    </w:p>
    <w:p w:rsidR="00BB59CD" w:rsidRDefault="00BB59CD" w:rsidP="00467C2B">
      <w:pPr>
        <w:rPr>
          <w:rtl/>
        </w:rPr>
      </w:pPr>
      <w:r>
        <w:rPr>
          <w:rFonts w:hint="cs"/>
          <w:rtl/>
        </w:rPr>
        <w:t xml:space="preserve">נבואה של נחמה, אבל על מה הנחמה? על יתום ואלמנה. מה זה יתום ואלמנה? </w:t>
      </w:r>
      <w:bookmarkStart w:id="37003" w:name="_ETM_Q66_245000"/>
      <w:bookmarkEnd w:id="37003"/>
      <w:r>
        <w:rPr>
          <w:rFonts w:hint="cs"/>
          <w:rtl/>
        </w:rPr>
        <w:t xml:space="preserve">אלה החלשים של אותה תקופה, </w:t>
      </w:r>
      <w:r w:rsidR="00467C2B">
        <w:rPr>
          <w:rFonts w:hint="cs"/>
          <w:rtl/>
        </w:rPr>
        <w:t>ב</w:t>
      </w:r>
      <w:r>
        <w:rPr>
          <w:rFonts w:hint="cs"/>
          <w:rtl/>
        </w:rPr>
        <w:t xml:space="preserve">מצב של חידלון תפקודי, לא לטפל בחלשים; גם מצב מוסרי של שוחד ושלמונים, אבל גם בעניין של צדק, הוא אומר שפעם </w:t>
      </w:r>
      <w:r w:rsidR="00467C2B">
        <w:rPr>
          <w:rFonts w:hint="cs"/>
          <w:rtl/>
        </w:rPr>
        <w:t xml:space="preserve">היא </w:t>
      </w:r>
      <w:r>
        <w:rPr>
          <w:rFonts w:hint="cs"/>
          <w:rtl/>
        </w:rPr>
        <w:t xml:space="preserve">הייתה מלאת צדק ועתה מרצחים. ואז הוא אומר "ואשיבה שֹפטַיך כבראשונה". אתה רוצה </w:t>
      </w:r>
      <w:bookmarkStart w:id="37004" w:name="_ETM_Q66_266000"/>
      <w:bookmarkEnd w:id="37004"/>
      <w:r>
        <w:rPr>
          <w:rFonts w:hint="cs"/>
          <w:rtl/>
        </w:rPr>
        <w:t xml:space="preserve">לתקן את מערכת המשפט? תזכור את העניים ואת החלשים. "ויֹעצַיך כבתחִלה, אחרי כן יקָרא לך עיר הצדק, קריה נאמנה". ואז המשפט שאוהב רוטמן, שזה השם של הרפורמה שלו, "ציון במשפט תִפָדה", אבל הוא לא הוסיף "ושבֶיה בצדקה". </w:t>
      </w:r>
      <w:bookmarkStart w:id="37005" w:name="_ETM_Q66_290000"/>
      <w:bookmarkEnd w:id="37005"/>
      <w:r>
        <w:rPr>
          <w:rFonts w:hint="cs"/>
          <w:rtl/>
        </w:rPr>
        <w:t>בכלל, שמתי לב שהציונות הדתית עולה לפה ולא אומרת הרבה את המיל</w:t>
      </w:r>
      <w:r w:rsidR="00467C2B">
        <w:rPr>
          <w:rFonts w:hint="cs"/>
          <w:rtl/>
        </w:rPr>
        <w:t>ים</w:t>
      </w:r>
      <w:r>
        <w:rPr>
          <w:rFonts w:hint="cs"/>
          <w:rtl/>
        </w:rPr>
        <w:t xml:space="preserve"> </w:t>
      </w:r>
      <w:r w:rsidR="00467C2B">
        <w:rPr>
          <w:rFonts w:hint="cs"/>
          <w:rtl/>
        </w:rPr>
        <w:t>"</w:t>
      </w:r>
      <w:r>
        <w:rPr>
          <w:rFonts w:hint="cs"/>
          <w:rtl/>
        </w:rPr>
        <w:t>צדקה</w:t>
      </w:r>
      <w:r w:rsidR="00467C2B">
        <w:rPr>
          <w:rFonts w:hint="cs"/>
          <w:rtl/>
        </w:rPr>
        <w:t>"</w:t>
      </w:r>
      <w:r>
        <w:rPr>
          <w:rFonts w:hint="cs"/>
          <w:rtl/>
        </w:rPr>
        <w:t xml:space="preserve">, </w:t>
      </w:r>
      <w:bookmarkStart w:id="37006" w:name="_ETM_Q66_297000"/>
      <w:bookmarkEnd w:id="37006"/>
      <w:r w:rsidR="00467C2B">
        <w:rPr>
          <w:rFonts w:hint="cs"/>
          <w:rtl/>
        </w:rPr>
        <w:t>"</w:t>
      </w:r>
      <w:r>
        <w:rPr>
          <w:rFonts w:hint="cs"/>
          <w:rtl/>
        </w:rPr>
        <w:t>צדק</w:t>
      </w:r>
      <w:r w:rsidR="00467C2B">
        <w:rPr>
          <w:rFonts w:hint="cs"/>
          <w:rtl/>
        </w:rPr>
        <w:t>"</w:t>
      </w:r>
      <w:r>
        <w:rPr>
          <w:rFonts w:hint="cs"/>
          <w:rtl/>
        </w:rPr>
        <w:t xml:space="preserve">, </w:t>
      </w:r>
      <w:r w:rsidR="00467C2B">
        <w:rPr>
          <w:rFonts w:hint="cs"/>
          <w:rtl/>
        </w:rPr>
        <w:t>"</w:t>
      </w:r>
      <w:r>
        <w:rPr>
          <w:rFonts w:hint="cs"/>
          <w:rtl/>
        </w:rPr>
        <w:t>שלום</w:t>
      </w:r>
      <w:r w:rsidR="00467C2B">
        <w:rPr>
          <w:rFonts w:hint="cs"/>
          <w:rtl/>
        </w:rPr>
        <w:t>"</w:t>
      </w:r>
      <w:r>
        <w:rPr>
          <w:rFonts w:hint="cs"/>
          <w:rtl/>
        </w:rPr>
        <w:t xml:space="preserve"> – המילים הכי נפוצות ליהודי. אדם מתפלל שמונה עשרה – שלוש תפילות ביום, אומר את המילה </w:t>
      </w:r>
      <w:r w:rsidR="00467C2B">
        <w:rPr>
          <w:rFonts w:hint="cs"/>
          <w:rtl/>
        </w:rPr>
        <w:t>"</w:t>
      </w:r>
      <w:r>
        <w:rPr>
          <w:rFonts w:hint="cs"/>
          <w:rtl/>
        </w:rPr>
        <w:t>שלום</w:t>
      </w:r>
      <w:r w:rsidR="00467C2B">
        <w:rPr>
          <w:rFonts w:hint="cs"/>
          <w:rtl/>
        </w:rPr>
        <w:t>"</w:t>
      </w:r>
      <w:r>
        <w:rPr>
          <w:rFonts w:hint="cs"/>
          <w:rtl/>
        </w:rPr>
        <w:t xml:space="preserve"> בלי הפסקה, כולל </w:t>
      </w:r>
      <w:r w:rsidR="00467C2B">
        <w:rPr>
          <w:rFonts w:hint="cs"/>
          <w:rtl/>
        </w:rPr>
        <w:t>ב</w:t>
      </w:r>
      <w:r>
        <w:rPr>
          <w:rFonts w:hint="cs"/>
          <w:rtl/>
        </w:rPr>
        <w:t xml:space="preserve">קדיש, בכלל. תעלו לפה, דברו על צדק, על עניים, על צדקה. </w:t>
      </w:r>
    </w:p>
    <w:p w:rsidR="00BB59CD" w:rsidRDefault="00BB59CD" w:rsidP="00BB59CD">
      <w:pPr>
        <w:rPr>
          <w:rtl/>
        </w:rPr>
      </w:pPr>
    </w:p>
    <w:p w:rsidR="00BB59CD" w:rsidRDefault="00BB59CD" w:rsidP="00467C2B">
      <w:pPr>
        <w:rPr>
          <w:rtl/>
        </w:rPr>
      </w:pPr>
      <w:r>
        <w:rPr>
          <w:rFonts w:hint="cs"/>
          <w:rtl/>
        </w:rPr>
        <w:t xml:space="preserve">אומר לנו הנביא "ציון במשפט תִפָדה ושביה בצדקה". לא יהיה </w:t>
      </w:r>
      <w:bookmarkStart w:id="37007" w:name="_ETM_Q66_322000"/>
      <w:bookmarkEnd w:id="37007"/>
      <w:r>
        <w:rPr>
          <w:rFonts w:hint="cs"/>
          <w:rtl/>
        </w:rPr>
        <w:t xml:space="preserve">פה "אשיבה שפטיך כבראשונה" בלי צדקה, בלי קשב לחלשים, בלי איזון בעיסוקים. הלכתם למ"ם של המשפט ושכחתם את חמש המ"מים של המזון, המחסה, המלבוש, המורה והמרפא. אני כבר יודע את זה בעל פה, אני יכול להיות חניך בית"ר לפי המצב, זאת </w:t>
      </w:r>
      <w:bookmarkStart w:id="37008" w:name="_ETM_Q66_350000"/>
      <w:bookmarkEnd w:id="37008"/>
      <w:r>
        <w:rPr>
          <w:rFonts w:hint="cs"/>
          <w:rtl/>
        </w:rPr>
        <w:t xml:space="preserve">תורה מספקת ל-100 שנה.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37009" w:name="_ETM_Q66_352000"/>
      <w:bookmarkEnd w:id="37009"/>
      <w:r>
        <w:rPr>
          <w:rFonts w:hint="cs"/>
          <w:rtl/>
        </w:rPr>
        <w:t xml:space="preserve">תל חי.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37010" w:name="_ETM_Q66_354000"/>
      <w:bookmarkEnd w:id="37010"/>
      <w:r>
        <w:rPr>
          <w:rFonts w:hint="cs"/>
          <w:rtl/>
        </w:rPr>
        <w:t xml:space="preserve">"תל חי", אתה אומר. </w:t>
      </w:r>
    </w:p>
    <w:p w:rsidR="00BB59CD" w:rsidRDefault="00BB59CD" w:rsidP="00BB59CD">
      <w:pPr>
        <w:rPr>
          <w:rtl/>
        </w:rPr>
      </w:pPr>
    </w:p>
    <w:p w:rsidR="00BB59CD" w:rsidRDefault="00BB59CD" w:rsidP="00467C2B">
      <w:pPr>
        <w:rPr>
          <w:rtl/>
        </w:rPr>
      </w:pPr>
      <w:bookmarkStart w:id="37011" w:name="_ETM_Q66_358000"/>
      <w:bookmarkEnd w:id="37011"/>
      <w:r>
        <w:rPr>
          <w:rFonts w:hint="cs"/>
          <w:rtl/>
        </w:rPr>
        <w:t xml:space="preserve">הדבר השני שאני רוצה להתייחס אליו הוא אותו אבל שמתקרב אלינו. תשעה באב מתקרב ואנחנו אבלים, ויש דיני אבלות של צום, שתייה, נעילת סנדל ותשמיש. יש דיני אבלות. אבל מה אומר הנביא ישעיה? כשהוא רוצה להסביר איך הקדוש ברוך הוא רוצה אותנו, מה הוא מבקש מאיתנו ערב צום? מה הוא יבקש מאיתנו כשהוא רוצה אותנו צדיקים? אומר הנביא ישעיה בפרק נ"ח – הרב רוט, אני שמח שאתה איתי פה, ואני יכול ככה לדבר איתך – "קרא בגרון אל תחשֹך כשופר הרם קולך, והגד לעמי פשעם ולבית יעקב חטֹאתם. </w:t>
      </w:r>
      <w:bookmarkStart w:id="37012" w:name="_ETM_Q66_431000"/>
      <w:bookmarkEnd w:id="37012"/>
      <w:r>
        <w:rPr>
          <w:rFonts w:hint="cs"/>
          <w:rtl/>
        </w:rPr>
        <w:t xml:space="preserve">ואותי יום יום ידרֹשון ודעת דרכי יחפצון, כגוי אשר צדקה עשה ומשפט אלֹהיו לא עזב, ישאלוני משפטי צדק, קרבת אלֹהים יחפצון. </w:t>
      </w:r>
      <w:bookmarkStart w:id="37013" w:name="_ETM_Q66_449000"/>
      <w:bookmarkEnd w:id="37013"/>
      <w:r>
        <w:rPr>
          <w:rFonts w:hint="cs"/>
          <w:rtl/>
        </w:rPr>
        <w:t xml:space="preserve">למה צמנו ולא ראית, עִנינו נפשנו ולא תדע". </w:t>
      </w:r>
      <w:bookmarkStart w:id="37014" w:name="_ETM_Q66_462000"/>
      <w:bookmarkEnd w:id="37014"/>
      <w:r>
        <w:rPr>
          <w:rFonts w:hint="cs"/>
          <w:rtl/>
        </w:rPr>
        <w:t xml:space="preserve">שואלים אותו: צמנו, עשינו את המצוות האלה של צום, של אבל. זהו, עשינו את העבודה. הנביא אומר: זאת לא העבודה. </w:t>
      </w:r>
      <w:bookmarkStart w:id="37015" w:name="_ETM_Q66_472000"/>
      <w:bookmarkEnd w:id="37015"/>
      <w:r>
        <w:rPr>
          <w:rFonts w:hint="cs"/>
          <w:rtl/>
        </w:rPr>
        <w:t xml:space="preserve">תכף הוא יגיד מה זאת העבודה, או לא רק העבודה. </w:t>
      </w:r>
      <w:bookmarkStart w:id="37016" w:name="_ETM_Q66_477000"/>
      <w:bookmarkEnd w:id="37016"/>
      <w:r>
        <w:rPr>
          <w:rFonts w:hint="cs"/>
          <w:rtl/>
        </w:rPr>
        <w:t xml:space="preserve">"עִנינו נפשנו ולא תדע, הן ביום צֹמכם תמצאו חפץ וכל עצביכם תנגֹשו. </w:t>
      </w:r>
      <w:bookmarkStart w:id="37017" w:name="_ETM_Q66_484000"/>
      <w:bookmarkEnd w:id="37017"/>
      <w:r>
        <w:rPr>
          <w:rFonts w:hint="cs"/>
          <w:rtl/>
        </w:rPr>
        <w:t xml:space="preserve">הן לריב ומצה תצומו ולהכות באגרֹף רשע, לא תצומו כיום להשמיע במרום קולכם". ואז – אני חושב שזה המשפט הכי חשוב: </w:t>
      </w:r>
      <w:bookmarkStart w:id="37018" w:name="_ETM_Q66_495000"/>
      <w:bookmarkEnd w:id="37018"/>
      <w:r>
        <w:rPr>
          <w:rFonts w:hint="cs"/>
          <w:rtl/>
        </w:rPr>
        <w:t xml:space="preserve">"הכזה יום צום אבחרהו"? </w:t>
      </w:r>
      <w:bookmarkStart w:id="37019" w:name="_ETM_Q66_503000"/>
      <w:bookmarkEnd w:id="37019"/>
      <w:r>
        <w:rPr>
          <w:rFonts w:hint="cs"/>
          <w:rtl/>
        </w:rPr>
        <w:t>ככה אני רוצה את צום תשעה באב? הכזה? לא, אני לא רוצה כזה. "יום ענות אדם נפשו, הלכֹף כאגמֹן ראשו, ושק ואפר יציע, הלזה תקרא צום ויום רצון"</w:t>
      </w:r>
      <w:bookmarkStart w:id="37020" w:name="_ETM_Q66_518000"/>
      <w:bookmarkEnd w:id="37020"/>
      <w:r>
        <w:rPr>
          <w:rFonts w:hint="cs"/>
          <w:rtl/>
        </w:rPr>
        <w:t xml:space="preserve">. רק לשים שק ואפר ולצום, זה מה שאתם חושבים שאני צריך מכם? "יום רצון לה'". </w:t>
      </w:r>
      <w:bookmarkStart w:id="37021" w:name="_ETM_Q66_528000"/>
      <w:bookmarkEnd w:id="37021"/>
      <w:r>
        <w:rPr>
          <w:rFonts w:hint="cs"/>
          <w:rtl/>
        </w:rPr>
        <w:t xml:space="preserve">הוא אומר: מה אני רוצה מכם? "הלוא זה צום אבחרהו, פתח חרצֻבות רשע, התר אגֻדות מוטה ושלח רצוצים חפשים וכל מוטה תנתקו". תילחמו ברשע. </w:t>
      </w:r>
      <w:bookmarkStart w:id="37022" w:name="_ETM_Q66_550000"/>
      <w:bookmarkEnd w:id="37022"/>
      <w:r>
        <w:rPr>
          <w:rFonts w:hint="cs"/>
          <w:rtl/>
        </w:rPr>
        <w:t xml:space="preserve">מה זה מוטות? מוטה זה העול שיושב על השור בחריש, </w:t>
      </w:r>
      <w:bookmarkStart w:id="37023" w:name="_ETM_Q66_555000"/>
      <w:bookmarkEnd w:id="37023"/>
      <w:r>
        <w:rPr>
          <w:rFonts w:hint="cs"/>
          <w:rtl/>
        </w:rPr>
        <w:t xml:space="preserve">תשחרר לו את העול, את העבדות, את הכאב של האנשים. </w:t>
      </w:r>
    </w:p>
    <w:p w:rsidR="00BB59CD" w:rsidRDefault="00BB59CD" w:rsidP="00BB59CD">
      <w:pPr>
        <w:rPr>
          <w:rtl/>
        </w:rPr>
      </w:pPr>
    </w:p>
    <w:p w:rsidR="00BB59CD" w:rsidRDefault="00BB59CD" w:rsidP="00467C2B">
      <w:pPr>
        <w:rPr>
          <w:rtl/>
        </w:rPr>
      </w:pPr>
      <w:bookmarkStart w:id="37024" w:name="_ETM_Q66_547289"/>
      <w:bookmarkStart w:id="37025" w:name="_ETM_Q66_547473"/>
      <w:bookmarkStart w:id="37026" w:name="_ETM_Q66_561000"/>
      <w:bookmarkEnd w:id="37024"/>
      <w:bookmarkEnd w:id="37025"/>
      <w:bookmarkEnd w:id="37026"/>
      <w:r>
        <w:rPr>
          <w:rFonts w:hint="cs"/>
          <w:rtl/>
        </w:rPr>
        <w:t>והפסוק שבשבילי, אם לא היה ז'בוטינסקי, זה היה הפסוק שלי, אני חי</w:t>
      </w:r>
      <w:bookmarkStart w:id="37027" w:name="_ETM_Q66_564000"/>
      <w:bookmarkEnd w:id="37027"/>
      <w:r>
        <w:rPr>
          <w:rFonts w:hint="cs"/>
          <w:rtl/>
        </w:rPr>
        <w:t xml:space="preserve"> על פי הפסוק הזה: "הלוא פָרֹס לרעב לחמך ועניים מרודים תביא בית, כי תראה עָרם וכִסיתו ומבשרך לא תתעלם". כל פסיק פה </w:t>
      </w:r>
      <w:bookmarkStart w:id="37028" w:name="_ETM_Q66_582000"/>
      <w:bookmarkEnd w:id="37028"/>
      <w:r>
        <w:rPr>
          <w:rFonts w:hint="cs"/>
          <w:rtl/>
        </w:rPr>
        <w:t xml:space="preserve">זאת תוכנית עבודה: "פרס לרעב לחמך" זה המזון; "ועניים מרודים תביא </w:t>
      </w:r>
      <w:bookmarkStart w:id="37029" w:name="_ETM_Q66_590000"/>
      <w:bookmarkEnd w:id="37029"/>
      <w:r>
        <w:rPr>
          <w:rFonts w:hint="cs"/>
          <w:rtl/>
        </w:rPr>
        <w:t xml:space="preserve">בית" זה מחסה; "כי תראה ערֹם וכִסיתו" זה המלבוש; "ומבשרך לא תתעלם" למה הוא </w:t>
      </w:r>
      <w:bookmarkStart w:id="37030" w:name="_ETM_Q66_597000"/>
      <w:bookmarkEnd w:id="37030"/>
      <w:r>
        <w:rPr>
          <w:rFonts w:hint="cs"/>
          <w:rtl/>
        </w:rPr>
        <w:t xml:space="preserve">מוסיף? אם לאדם יש בגד ומזון ולבוש וקורת גג, </w:t>
      </w:r>
      <w:bookmarkStart w:id="37031" w:name="_ETM_Q66_604000"/>
      <w:bookmarkEnd w:id="37031"/>
      <w:r>
        <w:rPr>
          <w:rFonts w:hint="cs"/>
          <w:rtl/>
        </w:rPr>
        <w:t xml:space="preserve">מה הוא צריך יותר? יש כאב לאדם. הבדידות, ההשפלה, הוצאת דיבה </w:t>
      </w:r>
      <w:bookmarkStart w:id="37032" w:name="_ETM_Q66_608000"/>
      <w:bookmarkEnd w:id="37032"/>
      <w:r>
        <w:rPr>
          <w:rFonts w:hint="cs"/>
          <w:rtl/>
        </w:rPr>
        <w:t xml:space="preserve">– אל תתעלם מהכאב של האנשים. "לא תתעלם" זה </w:t>
      </w:r>
      <w:bookmarkStart w:id="37033" w:name="_ETM_Q66_612000"/>
      <w:bookmarkEnd w:id="37033"/>
      <w:r>
        <w:rPr>
          <w:rFonts w:hint="cs"/>
          <w:rtl/>
        </w:rPr>
        <w:t xml:space="preserve">ציווי כללי. כשאתה רואה כאב, אל תתעלם. אל תתעלמו מכאב. </w:t>
      </w:r>
      <w:bookmarkStart w:id="37034" w:name="_ETM_Q66_619000"/>
      <w:bookmarkEnd w:id="37034"/>
      <w:r>
        <w:rPr>
          <w:rFonts w:hint="cs"/>
          <w:rtl/>
        </w:rPr>
        <w:t xml:space="preserve">חצי מהעם כואב עכשיו. אתם רוצים להגיד שזה 48% ולכם </w:t>
      </w:r>
      <w:bookmarkStart w:id="37035" w:name="_ETM_Q66_624000"/>
      <w:bookmarkEnd w:id="37035"/>
      <w:r>
        <w:rPr>
          <w:rFonts w:hint="cs"/>
          <w:rtl/>
        </w:rPr>
        <w:t xml:space="preserve">יש 62%? בסדר, כי למרצ נעלמו שלושה מנדטים, אבל אתם יודעים שזה חמש מערכות בחירות וזה כל פעם חצי, כל פעם לא </w:t>
      </w:r>
      <w:bookmarkStart w:id="37036" w:name="_ETM_Q66_633000"/>
      <w:bookmarkEnd w:id="37036"/>
      <w:r>
        <w:rPr>
          <w:rFonts w:hint="cs"/>
          <w:rtl/>
        </w:rPr>
        <w:t xml:space="preserve">יציב. אז לא נסתכל על הכאב? ואני גם אמרתי, המרכז-שמאל צריך לראות את הכאב של הימין ולתקן בהסכמה את מערכת המשפט. זאת הדרישה ערב תשעה באב. לא צומות ושקים, לא צדקנות וצדיקות שאין בחברה, ואין בה </w:t>
      </w:r>
      <w:bookmarkStart w:id="37037" w:name="_ETM_Q66_656000"/>
      <w:bookmarkEnd w:id="37037"/>
      <w:r>
        <w:rPr>
          <w:rFonts w:hint="cs"/>
          <w:rtl/>
        </w:rPr>
        <w:t xml:space="preserve">צדק וצדקה וחסד ורחמים. ומה שהמדינה צריכה ערב תשעה באב זה המיקוד בבני אדם. </w:t>
      </w:r>
    </w:p>
    <w:p w:rsidR="00BB59CD" w:rsidRDefault="00BB59CD" w:rsidP="00BB59CD">
      <w:pPr>
        <w:rPr>
          <w:rtl/>
        </w:rPr>
      </w:pPr>
    </w:p>
    <w:p w:rsidR="00BB59CD" w:rsidRDefault="00BB59CD" w:rsidP="00467C2B">
      <w:pPr>
        <w:rPr>
          <w:rtl/>
          <w:lang w:eastAsia="he-IL"/>
        </w:rPr>
      </w:pPr>
      <w:r>
        <w:rPr>
          <w:rFonts w:hint="cs"/>
          <w:rtl/>
        </w:rPr>
        <w:t xml:space="preserve">אדוני היושב-ראש, אני רוצה לקרוא את מגילת איכה, כי איכה אומרת לנו מה זה חורבן, והמשפטים הם קשים, ואיכה היא אזהרה. היא אומרת לנו: אם לא נשמור על הבית השלישי, זה התוכן של הדברים שנקרא. ולסיום אני אקרא עוד שני דברים. "איכה ישבה בדד העיר רבתי עם היתה כאלמנה, רבתי בגוים שרתי במדינות היתה למס. בכו תבכה בלילה ודמעתה על לחיה, אין לה מנחם מכל אֹהביה, כל רעיה בגדו בה היו לה לאֹיבים. גלתה יהודה מעֹני ומרֹב עבֹדה, היא ישבה בגוים לא מצאה מנוח, כל רֹדפיה הִשיגוה בין המצרים. דרכי ציון אבלות מבלי באי מועד, כל שעריה שוממין, כהניה נאנחים, בתולתיה נוגות והיא מר לה. היו צריה לראש, אֹיביה שָלוּ, כי ה' הוגה על רֹב פשעיה, עולליה הלכו שבי לפני צר. </w:t>
      </w:r>
      <w:bookmarkStart w:id="37038" w:name="TOR_Q67"/>
      <w:bookmarkEnd w:id="37038"/>
      <w:r>
        <w:rPr>
          <w:rFonts w:hint="cs"/>
          <w:rtl/>
          <w:lang w:eastAsia="he-IL"/>
        </w:rPr>
        <w:t xml:space="preserve">ויצא מבת ציון כל הדרה" – אתה זוכר את ההדר הז'בוטינסקאי? מפה זה </w:t>
      </w:r>
      <w:bookmarkStart w:id="37039" w:name="_ETM_Q67_159509"/>
      <w:bookmarkEnd w:id="37039"/>
      <w:r>
        <w:rPr>
          <w:rFonts w:hint="cs"/>
          <w:rtl/>
          <w:lang w:eastAsia="he-IL"/>
        </w:rPr>
        <w:t xml:space="preserve">בא </w:t>
      </w:r>
      <w:r w:rsidR="00467C2B">
        <w:rPr>
          <w:rFonts w:hint="eastAsia"/>
          <w:rtl/>
          <w:lang w:eastAsia="he-IL"/>
        </w:rPr>
        <w:t>–</w:t>
      </w:r>
      <w:r w:rsidR="00467C2B">
        <w:rPr>
          <w:rFonts w:hint="cs"/>
          <w:rtl/>
          <w:lang w:eastAsia="he-IL"/>
        </w:rPr>
        <w:t xml:space="preserve"> </w:t>
      </w:r>
      <w:r>
        <w:rPr>
          <w:rFonts w:hint="cs"/>
          <w:rtl/>
          <w:lang w:eastAsia="he-IL"/>
        </w:rPr>
        <w:t xml:space="preserve">"ויצא מבת ציון כל הדרה. היו שריה כאילים לא מצאו מרעה, וילכו בלא </w:t>
      </w:r>
      <w:bookmarkStart w:id="37040" w:name="_ETM_Q67_167115"/>
      <w:bookmarkEnd w:id="37040"/>
      <w:r>
        <w:rPr>
          <w:rFonts w:hint="cs"/>
          <w:rtl/>
          <w:lang w:eastAsia="he-IL"/>
        </w:rPr>
        <w:t>כֹח לפני רודף. זכרה ירושלִַם ימי עניה ומרודיה, כל מחמֻדיה אשר היו מימי קדם, בנפֹל עמה ביד צר ואין עוזר לה".</w:t>
      </w:r>
    </w:p>
    <w:p w:rsidR="00BB59CD" w:rsidRDefault="00BB59CD" w:rsidP="00BB59CD">
      <w:pPr>
        <w:rPr>
          <w:rtl/>
          <w:lang w:eastAsia="he-IL"/>
        </w:rPr>
      </w:pPr>
      <w:bookmarkStart w:id="37041" w:name="_ETM_Q67_183293"/>
      <w:bookmarkEnd w:id="37041"/>
    </w:p>
    <w:p w:rsidR="00804E3A" w:rsidRDefault="00BB59CD" w:rsidP="00804E3A">
      <w:pPr>
        <w:rPr>
          <w:rtl/>
          <w:lang w:eastAsia="he-IL"/>
        </w:rPr>
      </w:pPr>
      <w:bookmarkStart w:id="37042" w:name="_ETM_Q67_183407"/>
      <w:bookmarkStart w:id="37043" w:name="_ETM_Q67_183451"/>
      <w:bookmarkStart w:id="37044" w:name="_ETM_Q67_183524"/>
      <w:bookmarkEnd w:id="37042"/>
      <w:bookmarkEnd w:id="37043"/>
      <w:bookmarkEnd w:id="37044"/>
      <w:r>
        <w:rPr>
          <w:rFonts w:hint="cs"/>
          <w:rtl/>
          <w:lang w:eastAsia="he-IL"/>
        </w:rPr>
        <w:t xml:space="preserve">הנבואה הזאת היא כל כך קשה וכל כך כואבת. </w:t>
      </w:r>
      <w:bookmarkStart w:id="37045" w:name="_ETM_Q67_188487"/>
      <w:bookmarkEnd w:id="37045"/>
      <w:r>
        <w:rPr>
          <w:rFonts w:hint="cs"/>
          <w:rtl/>
          <w:lang w:eastAsia="he-IL"/>
        </w:rPr>
        <w:t xml:space="preserve">אבא שלי, עליו השלום, שהיה קורא בבית הכנסת </w:t>
      </w:r>
      <w:bookmarkStart w:id="37046" w:name="_ETM_Q67_193955"/>
      <w:bookmarkEnd w:id="37046"/>
      <w:r>
        <w:rPr>
          <w:rFonts w:hint="cs"/>
          <w:rtl/>
          <w:lang w:eastAsia="he-IL"/>
        </w:rPr>
        <w:t xml:space="preserve">רבי דוד ומשה, הוא היה אדם פשוט. אביו היה רב, </w:t>
      </w:r>
      <w:bookmarkStart w:id="37047" w:name="_ETM_Q67_199637"/>
      <w:bookmarkEnd w:id="37047"/>
      <w:r>
        <w:rPr>
          <w:rFonts w:hint="cs"/>
          <w:rtl/>
          <w:lang w:eastAsia="he-IL"/>
        </w:rPr>
        <w:t xml:space="preserve">לימד אותו קצת הלכה, קצת קריאה בתורה. הוא לא </w:t>
      </w:r>
      <w:bookmarkStart w:id="37048" w:name="_ETM_Q67_207948"/>
      <w:bookmarkEnd w:id="37048"/>
      <w:r>
        <w:rPr>
          <w:rFonts w:hint="cs"/>
          <w:rtl/>
          <w:lang w:eastAsia="he-IL"/>
        </w:rPr>
        <w:t xml:space="preserve">היה פוסק, אבל הוא היה אהוב בבית הכנסת והיה העוזר </w:t>
      </w:r>
      <w:bookmarkStart w:id="37049" w:name="_ETM_Q67_212279"/>
      <w:bookmarkEnd w:id="37049"/>
      <w:r>
        <w:rPr>
          <w:rFonts w:hint="cs"/>
          <w:rtl/>
          <w:lang w:eastAsia="he-IL"/>
        </w:rPr>
        <w:t xml:space="preserve">של הרב. מה המיוחד בשני הרבנים שם? רבי מסעוד דרעי </w:t>
      </w:r>
      <w:bookmarkStart w:id="37050" w:name="_ETM_Q67_216101"/>
      <w:bookmarkEnd w:id="37050"/>
      <w:r>
        <w:rPr>
          <w:rFonts w:hint="cs"/>
          <w:rtl/>
          <w:lang w:eastAsia="he-IL"/>
        </w:rPr>
        <w:t xml:space="preserve">עליו השלום והוא, אליהו ביטון, זכרו לברכה, היו פועלים בכור </w:t>
      </w:r>
      <w:bookmarkStart w:id="37051" w:name="_ETM_Q67_224016"/>
      <w:bookmarkEnd w:id="37051"/>
      <w:r>
        <w:rPr>
          <w:rFonts w:hint="cs"/>
          <w:rtl/>
          <w:lang w:eastAsia="he-IL"/>
        </w:rPr>
        <w:t xml:space="preserve">האטומי. כן, פועלים פשוטים. 06:00 שחרית, </w:t>
      </w:r>
      <w:r w:rsidR="00467C2B">
        <w:rPr>
          <w:rFonts w:hint="cs"/>
          <w:rtl/>
          <w:lang w:eastAsia="he-IL"/>
        </w:rPr>
        <w:t>ו</w:t>
      </w:r>
      <w:r>
        <w:rPr>
          <w:rFonts w:hint="cs"/>
          <w:rtl/>
          <w:lang w:eastAsia="he-IL"/>
        </w:rPr>
        <w:t xml:space="preserve">אם זה סליחות – 03:30–04:00 תיקון חצות, שחרית, </w:t>
      </w:r>
      <w:r w:rsidR="00467C2B">
        <w:rPr>
          <w:rFonts w:hint="cs"/>
          <w:rtl/>
          <w:lang w:eastAsia="he-IL"/>
        </w:rPr>
        <w:t>ו</w:t>
      </w:r>
      <w:r>
        <w:rPr>
          <w:rFonts w:hint="cs"/>
          <w:rtl/>
          <w:lang w:eastAsia="he-IL"/>
        </w:rPr>
        <w:t>הולכים, נוסעים</w:t>
      </w:r>
      <w:bookmarkStart w:id="37052" w:name="_ETM_Q67_238717"/>
      <w:bookmarkEnd w:id="37052"/>
      <w:r>
        <w:rPr>
          <w:rFonts w:hint="cs"/>
          <w:rtl/>
          <w:lang w:eastAsia="he-IL"/>
        </w:rPr>
        <w:t xml:space="preserve">. חוזרים ב-19:00 או 24:00 בלילה כל יום, </w:t>
      </w:r>
      <w:bookmarkStart w:id="37053" w:name="_ETM_Q67_241504"/>
      <w:bookmarkEnd w:id="37053"/>
      <w:r>
        <w:rPr>
          <w:rFonts w:hint="cs"/>
          <w:rtl/>
          <w:lang w:eastAsia="he-IL"/>
        </w:rPr>
        <w:t xml:space="preserve">ראשון עד חמישי. אתה מכיר את זה, גם אבא שלך </w:t>
      </w:r>
      <w:bookmarkStart w:id="37054" w:name="_ETM_Q67_245618"/>
      <w:bookmarkEnd w:id="37054"/>
      <w:r>
        <w:rPr>
          <w:rFonts w:hint="cs"/>
          <w:rtl/>
          <w:lang w:eastAsia="he-IL"/>
        </w:rPr>
        <w:t>עבד שם. בשישי-שבת הם היו אנשי בית הכנסת</w:t>
      </w:r>
      <w:r w:rsidR="00467C2B">
        <w:rPr>
          <w:rFonts w:hint="cs"/>
          <w:rtl/>
          <w:lang w:eastAsia="he-IL"/>
        </w:rPr>
        <w:t>:</w:t>
      </w:r>
      <w:r>
        <w:rPr>
          <w:rFonts w:hint="cs"/>
          <w:rtl/>
          <w:lang w:eastAsia="he-IL"/>
        </w:rPr>
        <w:t xml:space="preserve"> רבי </w:t>
      </w:r>
      <w:bookmarkStart w:id="37055" w:name="_ETM_Q67_249247"/>
      <w:bookmarkEnd w:id="37055"/>
      <w:r>
        <w:rPr>
          <w:rFonts w:hint="cs"/>
          <w:rtl/>
          <w:lang w:eastAsia="he-IL"/>
        </w:rPr>
        <w:t>מסעוד</w:t>
      </w:r>
      <w:r w:rsidR="00467C2B">
        <w:rPr>
          <w:rFonts w:hint="cs"/>
          <w:rtl/>
          <w:lang w:eastAsia="he-IL"/>
        </w:rPr>
        <w:t>,</w:t>
      </w:r>
      <w:r>
        <w:rPr>
          <w:rFonts w:hint="cs"/>
          <w:rtl/>
          <w:lang w:eastAsia="he-IL"/>
        </w:rPr>
        <w:t xml:space="preserve"> רב בית הכנסת, ואבא – עוזר שלו עם משימות מיוחדות. </w:t>
      </w:r>
      <w:bookmarkStart w:id="37056" w:name="_ETM_Q67_254653"/>
      <w:bookmarkEnd w:id="37056"/>
      <w:r>
        <w:rPr>
          <w:rFonts w:hint="cs"/>
          <w:rtl/>
          <w:lang w:eastAsia="he-IL"/>
        </w:rPr>
        <w:t xml:space="preserve">איש שמח, איש יוצר אווירה, מגשר, אבל גם תוקע בשופר, </w:t>
      </w:r>
      <w:bookmarkStart w:id="37057" w:name="_ETM_Q67_261452"/>
      <w:bookmarkEnd w:id="37057"/>
      <w:r>
        <w:rPr>
          <w:rFonts w:hint="cs"/>
          <w:rtl/>
          <w:lang w:eastAsia="he-IL"/>
        </w:rPr>
        <w:t xml:space="preserve">עוזר בקריאה בתורה ומחליף את רבי מסעוד. אבל הייתה לו </w:t>
      </w:r>
      <w:bookmarkStart w:id="37058" w:name="_ETM_Q67_265975"/>
      <w:bookmarkEnd w:id="37058"/>
      <w:r>
        <w:rPr>
          <w:rFonts w:hint="cs"/>
          <w:rtl/>
          <w:lang w:eastAsia="he-IL"/>
        </w:rPr>
        <w:t xml:space="preserve">משימה שאף אחד לא לקח ממנו: קריאת מגילת איכה. בהספדים עליו אמרו האנשים שכשאליהו ביטון זיכרונו לברכה </w:t>
      </w:r>
      <w:bookmarkStart w:id="37059" w:name="_ETM_Q67_275037"/>
      <w:bookmarkEnd w:id="37059"/>
      <w:r>
        <w:rPr>
          <w:rFonts w:hint="cs"/>
          <w:rtl/>
          <w:lang w:eastAsia="he-IL"/>
        </w:rPr>
        <w:t xml:space="preserve">היה קורא איכה, אין עין שלא הייתה דומעת. כי ישבו </w:t>
      </w:r>
      <w:bookmarkStart w:id="37060" w:name="_ETM_Q67_281603"/>
      <w:bookmarkEnd w:id="37060"/>
      <w:r>
        <w:rPr>
          <w:rFonts w:hint="cs"/>
          <w:rtl/>
          <w:lang w:eastAsia="he-IL"/>
        </w:rPr>
        <w:t>על הרצפה, והוא כאב את כאב בניין ירושלים</w:t>
      </w:r>
      <w:r w:rsidR="00804E3A">
        <w:rPr>
          <w:rFonts w:hint="cs"/>
          <w:rtl/>
          <w:lang w:eastAsia="he-IL"/>
        </w:rPr>
        <w:t>.</w:t>
      </w:r>
      <w:r>
        <w:rPr>
          <w:rFonts w:hint="cs"/>
          <w:rtl/>
          <w:lang w:eastAsia="he-IL"/>
        </w:rPr>
        <w:t xml:space="preserve"> </w:t>
      </w:r>
    </w:p>
    <w:p w:rsidR="00804E3A" w:rsidRDefault="00804E3A" w:rsidP="00804E3A">
      <w:pPr>
        <w:rPr>
          <w:rtl/>
          <w:lang w:eastAsia="he-IL"/>
        </w:rPr>
      </w:pPr>
    </w:p>
    <w:p w:rsidR="00BB59CD" w:rsidRDefault="00BB59CD" w:rsidP="001B531C">
      <w:pPr>
        <w:rPr>
          <w:rtl/>
          <w:lang w:eastAsia="he-IL"/>
        </w:rPr>
      </w:pPr>
      <w:r>
        <w:rPr>
          <w:rFonts w:hint="cs"/>
          <w:rtl/>
          <w:lang w:eastAsia="he-IL"/>
        </w:rPr>
        <w:t xml:space="preserve">אנחנו מכירים </w:t>
      </w:r>
      <w:bookmarkStart w:id="37061" w:name="_ETM_Q67_287223"/>
      <w:bookmarkEnd w:id="37061"/>
      <w:r>
        <w:rPr>
          <w:rFonts w:hint="cs"/>
          <w:rtl/>
          <w:lang w:eastAsia="he-IL"/>
        </w:rPr>
        <w:t xml:space="preserve">בזה ששבנו לארצנו אבל לא גמרנו את העבודה. לא </w:t>
      </w:r>
      <w:bookmarkStart w:id="37062" w:name="_ETM_Q67_291425"/>
      <w:bookmarkEnd w:id="37062"/>
      <w:r>
        <w:rPr>
          <w:rFonts w:hint="cs"/>
          <w:rtl/>
          <w:lang w:eastAsia="he-IL"/>
        </w:rPr>
        <w:t xml:space="preserve">נגאלנו גאולה שלמה. יש לעם ישראל עוד אתגרים, אויבים </w:t>
      </w:r>
      <w:bookmarkStart w:id="37063" w:name="_ETM_Q67_295922"/>
      <w:bookmarkEnd w:id="37063"/>
      <w:r>
        <w:rPr>
          <w:rFonts w:hint="cs"/>
          <w:rtl/>
          <w:lang w:eastAsia="he-IL"/>
        </w:rPr>
        <w:t>מכל עבר, יום</w:t>
      </w:r>
      <w:r w:rsidR="008245E9">
        <w:rPr>
          <w:rFonts w:hint="cs"/>
          <w:rtl/>
          <w:lang w:eastAsia="he-IL"/>
        </w:rPr>
        <w:t>-</w:t>
      </w:r>
      <w:r>
        <w:rPr>
          <w:rFonts w:hint="cs"/>
          <w:rtl/>
          <w:lang w:eastAsia="he-IL"/>
        </w:rPr>
        <w:t>יום אתגרים</w:t>
      </w:r>
      <w:r w:rsidR="008245E9">
        <w:rPr>
          <w:rFonts w:hint="cs"/>
          <w:rtl/>
          <w:lang w:eastAsia="he-IL"/>
        </w:rPr>
        <w:t xml:space="preserve"> מבפנים</w:t>
      </w:r>
      <w:r>
        <w:rPr>
          <w:rFonts w:hint="cs"/>
          <w:rtl/>
          <w:lang w:eastAsia="he-IL"/>
        </w:rPr>
        <w:t xml:space="preserve">. והוא היה בוכה עם </w:t>
      </w:r>
      <w:bookmarkStart w:id="37064" w:name="_ETM_Q67_302825"/>
      <w:bookmarkEnd w:id="37064"/>
      <w:r>
        <w:rPr>
          <w:rFonts w:hint="cs"/>
          <w:rtl/>
          <w:lang w:eastAsia="he-IL"/>
        </w:rPr>
        <w:t xml:space="preserve">דמעות שמטפטפות. כשהיה תוקע בשופר, עם הדמעות האלה היה מתעטף </w:t>
      </w:r>
      <w:bookmarkStart w:id="37065" w:name="_ETM_Q67_308903"/>
      <w:bookmarkEnd w:id="37065"/>
      <w:r>
        <w:rPr>
          <w:rFonts w:hint="cs"/>
          <w:rtl/>
          <w:lang w:eastAsia="he-IL"/>
        </w:rPr>
        <w:t xml:space="preserve">בטלית על הראש, אומר תפילת התוקע: יודע אני על </w:t>
      </w:r>
      <w:bookmarkStart w:id="37066" w:name="_ETM_Q67_312246"/>
      <w:bookmarkEnd w:id="37066"/>
      <w:r>
        <w:rPr>
          <w:rFonts w:hint="cs"/>
          <w:rtl/>
          <w:lang w:eastAsia="he-IL"/>
        </w:rPr>
        <w:t xml:space="preserve">עצמי שאיני ראוי לבקש על עצמי וכל שכן על אחרים. </w:t>
      </w:r>
      <w:bookmarkStart w:id="37067" w:name="_ETM_Q67_319309"/>
      <w:bookmarkEnd w:id="37067"/>
      <w:r>
        <w:rPr>
          <w:rFonts w:hint="cs"/>
          <w:rtl/>
          <w:lang w:eastAsia="he-IL"/>
        </w:rPr>
        <w:t xml:space="preserve">וככה היה בוכה קבוע במשפט הזה, ואני מתחתיו, אוסף את </w:t>
      </w:r>
      <w:bookmarkStart w:id="37068" w:name="_ETM_Q67_323556"/>
      <w:bookmarkEnd w:id="37068"/>
      <w:r>
        <w:rPr>
          <w:rFonts w:hint="cs"/>
          <w:rtl/>
          <w:lang w:eastAsia="he-IL"/>
        </w:rPr>
        <w:t xml:space="preserve">הדמעות האלה, דמעות של נצח, של יכולת להזדהות עם כלל </w:t>
      </w:r>
      <w:bookmarkStart w:id="37069" w:name="_ETM_Q67_327274"/>
      <w:bookmarkEnd w:id="37069"/>
      <w:r>
        <w:rPr>
          <w:rFonts w:hint="cs"/>
          <w:rtl/>
          <w:lang w:eastAsia="he-IL"/>
        </w:rPr>
        <w:t>הציבור, לדבר בשם כלל הציבור</w:t>
      </w:r>
      <w:r w:rsidR="001B531C">
        <w:rPr>
          <w:rFonts w:hint="cs"/>
          <w:rtl/>
          <w:lang w:eastAsia="he-IL"/>
        </w:rPr>
        <w:t>,</w:t>
      </w:r>
      <w:r>
        <w:rPr>
          <w:rFonts w:hint="cs"/>
          <w:rtl/>
          <w:lang w:eastAsia="he-IL"/>
        </w:rPr>
        <w:t xml:space="preserve"> ללא פילוג. היכולת של בית </w:t>
      </w:r>
      <w:bookmarkStart w:id="37070" w:name="_ETM_Q67_334623"/>
      <w:bookmarkEnd w:id="37070"/>
      <w:r>
        <w:rPr>
          <w:rFonts w:hint="cs"/>
          <w:rtl/>
          <w:lang w:eastAsia="he-IL"/>
        </w:rPr>
        <w:t>הכנסת</w:t>
      </w:r>
      <w:r w:rsidR="001B531C">
        <w:rPr>
          <w:rFonts w:hint="cs"/>
          <w:rtl/>
          <w:lang w:eastAsia="he-IL"/>
        </w:rPr>
        <w:t>,</w:t>
      </w:r>
      <w:r>
        <w:rPr>
          <w:rFonts w:hint="cs"/>
          <w:rtl/>
          <w:lang w:eastAsia="he-IL"/>
        </w:rPr>
        <w:t xml:space="preserve"> הגישה שלהם הייתה לא לשאול מישהו: אתה דתי</w:t>
      </w:r>
      <w:bookmarkStart w:id="37071" w:name="_ETM_Q67_339192"/>
      <w:bookmarkEnd w:id="37071"/>
      <w:r>
        <w:rPr>
          <w:rFonts w:hint="cs"/>
          <w:rtl/>
          <w:lang w:eastAsia="he-IL"/>
        </w:rPr>
        <w:t xml:space="preserve">? אתה לא דתי? כמה אתה? בוא, בוא למניין, בוא. יהדות </w:t>
      </w:r>
      <w:bookmarkStart w:id="37072" w:name="_ETM_Q67_345669"/>
      <w:bookmarkEnd w:id="37072"/>
      <w:r>
        <w:rPr>
          <w:rFonts w:hint="cs"/>
          <w:rtl/>
          <w:lang w:eastAsia="he-IL"/>
        </w:rPr>
        <w:t>של אהבה.</w:t>
      </w:r>
    </w:p>
    <w:p w:rsidR="00BB59CD" w:rsidRDefault="00BB59CD" w:rsidP="00BB59CD">
      <w:pPr>
        <w:rPr>
          <w:rtl/>
          <w:lang w:eastAsia="he-IL"/>
        </w:rPr>
      </w:pPr>
      <w:bookmarkStart w:id="37073" w:name="_ETM_Q67_347413"/>
      <w:bookmarkStart w:id="37074" w:name="_ETM_Q67_347514"/>
      <w:bookmarkEnd w:id="37073"/>
      <w:bookmarkEnd w:id="37074"/>
    </w:p>
    <w:p w:rsidR="001B531C" w:rsidRDefault="00BB59CD" w:rsidP="001B531C">
      <w:pPr>
        <w:rPr>
          <w:rtl/>
          <w:lang w:eastAsia="he-IL"/>
        </w:rPr>
      </w:pPr>
      <w:bookmarkStart w:id="37075" w:name="_ETM_Q67_347669"/>
      <w:bookmarkStart w:id="37076" w:name="_ETM_Q67_347733"/>
      <w:bookmarkEnd w:id="37075"/>
      <w:bookmarkEnd w:id="37076"/>
      <w:r>
        <w:rPr>
          <w:rFonts w:hint="cs"/>
          <w:rtl/>
          <w:lang w:eastAsia="he-IL"/>
        </w:rPr>
        <w:t>אני רוצה</w:t>
      </w:r>
      <w:bookmarkStart w:id="37077" w:name="_ETM_Q67_350198"/>
      <w:bookmarkStart w:id="37078" w:name="_ETM_Q67_350400"/>
      <w:bookmarkEnd w:id="37077"/>
      <w:bookmarkEnd w:id="37078"/>
      <w:r>
        <w:rPr>
          <w:rFonts w:hint="cs"/>
          <w:rtl/>
          <w:lang w:eastAsia="he-IL"/>
        </w:rPr>
        <w:t xml:space="preserve">, היושב-ראש, להקריא לך – יש לי הרבה דברים </w:t>
      </w:r>
      <w:bookmarkStart w:id="37079" w:name="_ETM_Q67_354321"/>
      <w:bookmarkEnd w:id="37079"/>
      <w:r>
        <w:rPr>
          <w:rFonts w:hint="cs"/>
          <w:rtl/>
          <w:lang w:eastAsia="he-IL"/>
        </w:rPr>
        <w:t xml:space="preserve">אבל בטח לא נספיק הכול. אני רוצה להקריא לך מאמר </w:t>
      </w:r>
      <w:bookmarkStart w:id="37080" w:name="_ETM_Q67_359801"/>
      <w:bookmarkEnd w:id="37080"/>
      <w:r>
        <w:rPr>
          <w:rFonts w:hint="cs"/>
          <w:rtl/>
          <w:lang w:eastAsia="he-IL"/>
        </w:rPr>
        <w:t>חשוב ש</w:t>
      </w:r>
      <w:r w:rsidR="001B531C">
        <w:rPr>
          <w:rFonts w:hint="cs"/>
          <w:rtl/>
          <w:lang w:eastAsia="he-IL"/>
        </w:rPr>
        <w:t xml:space="preserve">כתב אותו </w:t>
      </w:r>
      <w:r>
        <w:rPr>
          <w:rFonts w:hint="cs"/>
          <w:rtl/>
          <w:lang w:eastAsia="he-IL"/>
        </w:rPr>
        <w:t xml:space="preserve">לא אחר מאשר בגין, ראש הממשלה מנחם </w:t>
      </w:r>
      <w:bookmarkStart w:id="37081" w:name="_ETM_Q67_370422"/>
      <w:bookmarkEnd w:id="37081"/>
      <w:r>
        <w:rPr>
          <w:rFonts w:hint="cs"/>
          <w:rtl/>
          <w:lang w:eastAsia="he-IL"/>
        </w:rPr>
        <w:t>בגין. למאמר הזה קוראים "השקפת חיים והשקפה לאומית (קווי</w:t>
      </w:r>
      <w:bookmarkStart w:id="37082" w:name="_ETM_Q67_382779"/>
      <w:bookmarkEnd w:id="37082"/>
      <w:r>
        <w:rPr>
          <w:rFonts w:hint="cs"/>
          <w:rtl/>
          <w:lang w:eastAsia="he-IL"/>
        </w:rPr>
        <w:t xml:space="preserve"> יסוד)", הוצאת "בסער", נציבות בית"ר בארץ ישראל. בספרו של </w:t>
      </w:r>
      <w:bookmarkStart w:id="37083" w:name="_ETM_Q67_389523"/>
      <w:bookmarkEnd w:id="37083"/>
      <w:r>
        <w:rPr>
          <w:rFonts w:hint="cs"/>
          <w:rtl/>
          <w:lang w:eastAsia="he-IL"/>
        </w:rPr>
        <w:t xml:space="preserve">בגין "השקפת חיים והשקפה לאומית" מביא בגין שלושה יסודות של </w:t>
      </w:r>
      <w:bookmarkStart w:id="37084" w:name="_ETM_Q67_398977"/>
      <w:bookmarkEnd w:id="37084"/>
      <w:r>
        <w:rPr>
          <w:rFonts w:hint="cs"/>
          <w:rtl/>
          <w:lang w:eastAsia="he-IL"/>
        </w:rPr>
        <w:t xml:space="preserve">השקפת חיים של תנועת שחרור לאומית, והם, כפי שהוא מביא </w:t>
      </w:r>
      <w:bookmarkStart w:id="37085" w:name="_ETM_Q67_403816"/>
      <w:bookmarkEnd w:id="37085"/>
      <w:r>
        <w:rPr>
          <w:rFonts w:hint="cs"/>
          <w:rtl/>
          <w:lang w:eastAsia="he-IL"/>
        </w:rPr>
        <w:t>ומאמין, חירות היחיד, תיקון החברה ועליונות המשפט. כשבגין לימים אומר</w:t>
      </w:r>
      <w:bookmarkStart w:id="37086" w:name="_ETM_Q67_413337"/>
      <w:bookmarkEnd w:id="37086"/>
      <w:r>
        <w:rPr>
          <w:rFonts w:hint="cs"/>
          <w:rtl/>
          <w:lang w:eastAsia="he-IL"/>
        </w:rPr>
        <w:t xml:space="preserve"> "יש שופטים בירושלים" הוא לא המציא את </w:t>
      </w:r>
      <w:bookmarkStart w:id="37087" w:name="_ETM_Q67_415808"/>
      <w:bookmarkEnd w:id="37087"/>
      <w:r>
        <w:rPr>
          <w:rFonts w:hint="cs"/>
          <w:rtl/>
          <w:lang w:eastAsia="he-IL"/>
        </w:rPr>
        <w:t>זה ב-1977 כשנהיה ראש ממשלה</w:t>
      </w:r>
      <w:r w:rsidR="001B531C">
        <w:rPr>
          <w:rFonts w:hint="cs"/>
          <w:rtl/>
          <w:lang w:eastAsia="he-IL"/>
        </w:rPr>
        <w:t>;</w:t>
      </w:r>
      <w:r>
        <w:rPr>
          <w:rFonts w:hint="cs"/>
          <w:rtl/>
          <w:lang w:eastAsia="he-IL"/>
        </w:rPr>
        <w:t xml:space="preserve"> הוא ינק את זה מהשורש. </w:t>
      </w:r>
      <w:bookmarkStart w:id="37088" w:name="_ETM_Q67_423206"/>
      <w:bookmarkEnd w:id="37088"/>
    </w:p>
    <w:p w:rsidR="001B531C" w:rsidRDefault="001B531C" w:rsidP="001B531C">
      <w:pPr>
        <w:rPr>
          <w:rtl/>
          <w:lang w:eastAsia="he-IL"/>
        </w:rPr>
      </w:pPr>
    </w:p>
    <w:p w:rsidR="001B531C" w:rsidRDefault="00BB59CD" w:rsidP="001B531C">
      <w:pPr>
        <w:rPr>
          <w:rtl/>
          <w:lang w:eastAsia="he-IL"/>
        </w:rPr>
      </w:pPr>
      <w:r>
        <w:rPr>
          <w:rFonts w:hint="cs"/>
          <w:rtl/>
          <w:lang w:eastAsia="he-IL"/>
        </w:rPr>
        <w:t>וכך אומר בגין בספר:</w:t>
      </w:r>
      <w:bookmarkStart w:id="37089" w:name="_ETM_Q67_425342"/>
      <w:bookmarkStart w:id="37090" w:name="_ETM_Q67_425420"/>
      <w:bookmarkStart w:id="37091" w:name="_ETM_Q67_425837"/>
      <w:bookmarkStart w:id="37092" w:name="_ETM_Q67_425933"/>
      <w:bookmarkEnd w:id="37089"/>
      <w:bookmarkEnd w:id="37090"/>
      <w:bookmarkEnd w:id="37091"/>
      <w:bookmarkEnd w:id="37092"/>
      <w:r w:rsidR="001B531C">
        <w:rPr>
          <w:rFonts w:hint="cs"/>
          <w:rtl/>
          <w:lang w:eastAsia="he-IL"/>
        </w:rPr>
        <w:t xml:space="preserve"> </w:t>
      </w:r>
      <w:r>
        <w:rPr>
          <w:rFonts w:hint="cs"/>
          <w:rtl/>
          <w:lang w:eastAsia="he-IL"/>
        </w:rPr>
        <w:t xml:space="preserve">"מעל לשני היסודות האלה" – שזה </w:t>
      </w:r>
      <w:bookmarkStart w:id="37093" w:name="_ETM_Q67_431258"/>
      <w:bookmarkEnd w:id="37093"/>
      <w:r>
        <w:rPr>
          <w:rFonts w:hint="cs"/>
          <w:rtl/>
          <w:lang w:eastAsia="he-IL"/>
        </w:rPr>
        <w:t>חירות היחיד ותיקון החברה – "הריני מציע להעלות את הרעיון</w:t>
      </w:r>
      <w:bookmarkStart w:id="37094" w:name="_ETM_Q67_435917"/>
      <w:bookmarkEnd w:id="37094"/>
      <w:r>
        <w:rPr>
          <w:rFonts w:hint="cs"/>
          <w:rtl/>
          <w:lang w:eastAsia="he-IL"/>
        </w:rPr>
        <w:t xml:space="preserve"> של עליונות המשפט". בגין. יש ערך של חירות היחיד, יש </w:t>
      </w:r>
      <w:bookmarkStart w:id="37095" w:name="_ETM_Q67_444043"/>
      <w:bookmarkEnd w:id="37095"/>
      <w:r>
        <w:rPr>
          <w:rFonts w:hint="cs"/>
          <w:rtl/>
          <w:lang w:eastAsia="he-IL"/>
        </w:rPr>
        <w:t xml:space="preserve">תיקון החברה, דיברנו רבות, ומעל כל זה – עליונות </w:t>
      </w:r>
      <w:bookmarkStart w:id="37096" w:name="_ETM_Q67_450185"/>
      <w:bookmarkEnd w:id="37096"/>
      <w:r>
        <w:rPr>
          <w:rFonts w:hint="cs"/>
          <w:rtl/>
          <w:lang w:eastAsia="he-IL"/>
        </w:rPr>
        <w:t xml:space="preserve">המשפט, לא פחות. הוא בונה משולש </w:t>
      </w:r>
      <w:r w:rsidR="001B531C">
        <w:rPr>
          <w:rFonts w:hint="cs"/>
          <w:rtl/>
          <w:lang w:eastAsia="he-IL"/>
        </w:rPr>
        <w:t>שב</w:t>
      </w:r>
      <w:r>
        <w:rPr>
          <w:rFonts w:hint="cs"/>
          <w:rtl/>
          <w:lang w:eastAsia="he-IL"/>
        </w:rPr>
        <w:t xml:space="preserve">פירמידה, קצה הפירמידה – </w:t>
      </w:r>
      <w:bookmarkStart w:id="37097" w:name="_ETM_Q67_457517"/>
      <w:bookmarkEnd w:id="37097"/>
      <w:r>
        <w:rPr>
          <w:rFonts w:hint="cs"/>
          <w:rtl/>
          <w:lang w:eastAsia="he-IL"/>
        </w:rPr>
        <w:t xml:space="preserve">עליונות המשפט, והוא לא מתבייש לנקוב במושג הזה. האם מישהו </w:t>
      </w:r>
      <w:bookmarkStart w:id="37098" w:name="_ETM_Q67_464796"/>
      <w:bookmarkEnd w:id="37098"/>
      <w:r>
        <w:rPr>
          <w:rFonts w:hint="cs"/>
          <w:rtl/>
          <w:lang w:eastAsia="he-IL"/>
        </w:rPr>
        <w:t xml:space="preserve">פה בליכוד יכול להגיד את זה? עליונות המשפט. יש מה לתקן במערכת המשפט, אבל להמשיך את דרכו של בגין. עליונות המשפט </w:t>
      </w:r>
      <w:bookmarkStart w:id="37099" w:name="_ETM_Q67_476627"/>
      <w:bookmarkEnd w:id="37099"/>
      <w:r>
        <w:rPr>
          <w:rFonts w:hint="cs"/>
          <w:rtl/>
          <w:lang w:eastAsia="he-IL"/>
        </w:rPr>
        <w:t xml:space="preserve">זה מושג שהוא טבע. </w:t>
      </w:r>
      <w:bookmarkStart w:id="37100" w:name="_ETM_Q67_481415"/>
      <w:bookmarkStart w:id="37101" w:name="_ETM_Q67_481516"/>
      <w:bookmarkEnd w:id="37100"/>
      <w:bookmarkEnd w:id="37101"/>
    </w:p>
    <w:p w:rsidR="001B531C" w:rsidRDefault="001B531C" w:rsidP="001B531C">
      <w:pPr>
        <w:rPr>
          <w:rtl/>
          <w:lang w:eastAsia="he-IL"/>
        </w:rPr>
      </w:pPr>
    </w:p>
    <w:p w:rsidR="001B531C" w:rsidRDefault="00BB59CD" w:rsidP="001B531C">
      <w:pPr>
        <w:rPr>
          <w:rtl/>
          <w:lang w:eastAsia="he-IL"/>
        </w:rPr>
      </w:pPr>
      <w:r>
        <w:rPr>
          <w:rFonts w:hint="cs"/>
          <w:rtl/>
          <w:lang w:eastAsia="he-IL"/>
        </w:rPr>
        <w:t xml:space="preserve">"רעיון שהוא חברתי במהותו, אך </w:t>
      </w:r>
      <w:bookmarkStart w:id="37102" w:name="_ETM_Q67_485569"/>
      <w:bookmarkEnd w:id="37102"/>
      <w:r>
        <w:rPr>
          <w:rFonts w:hint="cs"/>
          <w:rtl/>
          <w:lang w:eastAsia="he-IL"/>
        </w:rPr>
        <w:t xml:space="preserve">נוגע במישרין בצורת המשטר המדיני" – כל מה שאני קורא זה </w:t>
      </w:r>
      <w:bookmarkStart w:id="37103" w:name="_ETM_Q67_489995"/>
      <w:bookmarkEnd w:id="37103"/>
      <w:r>
        <w:rPr>
          <w:rFonts w:hint="cs"/>
          <w:rtl/>
          <w:lang w:eastAsia="he-IL"/>
        </w:rPr>
        <w:t xml:space="preserve">דברים שבגין אמר – "להסברת הרעיון הזה עליי להקדים הערה </w:t>
      </w:r>
      <w:bookmarkStart w:id="37104" w:name="_ETM_Q67_494398"/>
      <w:bookmarkEnd w:id="37104"/>
      <w:r>
        <w:rPr>
          <w:rFonts w:hint="cs"/>
          <w:rtl/>
          <w:lang w:eastAsia="he-IL"/>
        </w:rPr>
        <w:t xml:space="preserve">על הבעיה הידועה בתורת המדינה בשם 'הפרדת הרשויות'". אתה היית </w:t>
      </w:r>
      <w:bookmarkStart w:id="37105" w:name="_ETM_Q67_499798"/>
      <w:bookmarkEnd w:id="37105"/>
      <w:r>
        <w:rPr>
          <w:rFonts w:hint="cs"/>
          <w:rtl/>
          <w:lang w:eastAsia="he-IL"/>
        </w:rPr>
        <w:t xml:space="preserve">שר משפטים. אתה מכיר את המאמר הזה, היושב-ראש? "הוגה הדעות הצרפתי מונטסקיה, בהבחינו </w:t>
      </w:r>
      <w:bookmarkStart w:id="37106" w:name="_ETM_Q67_505623"/>
      <w:bookmarkEnd w:id="37106"/>
      <w:r>
        <w:rPr>
          <w:rFonts w:hint="cs"/>
          <w:rtl/>
          <w:lang w:eastAsia="he-IL"/>
        </w:rPr>
        <w:t>בשלוש רשויות או בשלוש סמכויות במדינה,</w:t>
      </w:r>
      <w:bookmarkStart w:id="37107" w:name="_ETM_Q67_513370"/>
      <w:bookmarkEnd w:id="37107"/>
      <w:r>
        <w:rPr>
          <w:rFonts w:hint="cs"/>
          <w:rtl/>
          <w:lang w:eastAsia="he-IL"/>
        </w:rPr>
        <w:t xml:space="preserve"> והן: הרשות המחוקקת, הרשות השופטת והרשות המוציאה אל הפועל</w:t>
      </w:r>
      <w:bookmarkStart w:id="37108" w:name="_ETM_Q67_520054"/>
      <w:bookmarkEnd w:id="37108"/>
      <w:r>
        <w:rPr>
          <w:rFonts w:hint="cs"/>
          <w:rtl/>
          <w:lang w:eastAsia="he-IL"/>
        </w:rPr>
        <w:t xml:space="preserve">" – מה שאנחנו מכנים רשות מבצעת – "העלה את הדרישה להפריד בין הרשויות הללו, בעוד בארצו שלו </w:t>
      </w:r>
      <w:bookmarkStart w:id="37109" w:name="_ETM_Q67_533554"/>
      <w:bookmarkEnd w:id="37109"/>
      <w:r>
        <w:rPr>
          <w:rFonts w:hint="cs"/>
          <w:rtl/>
          <w:lang w:eastAsia="he-IL"/>
        </w:rPr>
        <w:t>שרר המשטר הישן</w:t>
      </w:r>
      <w:r w:rsidR="001B531C">
        <w:rPr>
          <w:rFonts w:hint="cs"/>
          <w:rtl/>
          <w:lang w:eastAsia="he-IL"/>
        </w:rPr>
        <w:t>,</w:t>
      </w:r>
      <w:r>
        <w:rPr>
          <w:rFonts w:hint="cs"/>
          <w:rtl/>
          <w:lang w:eastAsia="he-IL"/>
        </w:rPr>
        <w:t xml:space="preserve"> אשר בו גם הזכות לחוקק חוקים </w:t>
      </w:r>
      <w:bookmarkStart w:id="37110" w:name="_ETM_Q67_542796"/>
      <w:bookmarkEnd w:id="37110"/>
      <w:r>
        <w:rPr>
          <w:rFonts w:hint="cs"/>
          <w:rtl/>
          <w:lang w:eastAsia="he-IL"/>
        </w:rPr>
        <w:t xml:space="preserve">וגם הזכות לחרוץ משפט הייתה בידי השליט. מאז הייתה 'הפרדת </w:t>
      </w:r>
      <w:bookmarkStart w:id="37111" w:name="_ETM_Q67_548954"/>
      <w:bookmarkEnd w:id="37111"/>
      <w:r>
        <w:rPr>
          <w:rFonts w:hint="cs"/>
          <w:rtl/>
          <w:lang w:eastAsia="he-IL"/>
        </w:rPr>
        <w:t xml:space="preserve">הרשויות' לאחת הבעיות המרכזיות בתורת המדינה ונחשבה כערובה מדינית לשמירת </w:t>
      </w:r>
      <w:bookmarkStart w:id="37112" w:name="_ETM_Q67_557705"/>
      <w:bookmarkEnd w:id="37112"/>
      <w:r>
        <w:rPr>
          <w:rFonts w:hint="cs"/>
          <w:rtl/>
          <w:lang w:eastAsia="he-IL"/>
        </w:rPr>
        <w:t xml:space="preserve">זכויותיו של האדם והאזרח, לבל תירמסנה על ידי שלטון </w:t>
      </w:r>
      <w:bookmarkStart w:id="37113" w:name="_ETM_Q67_563161"/>
      <w:bookmarkEnd w:id="37113"/>
      <w:r>
        <w:rPr>
          <w:rFonts w:hint="cs"/>
          <w:rtl/>
          <w:lang w:eastAsia="he-IL"/>
        </w:rPr>
        <w:t xml:space="preserve">כול יכול. </w:t>
      </w:r>
    </w:p>
    <w:p w:rsidR="001B531C" w:rsidRDefault="001B531C" w:rsidP="001B531C">
      <w:pPr>
        <w:rPr>
          <w:rtl/>
          <w:lang w:eastAsia="he-IL"/>
        </w:rPr>
      </w:pPr>
    </w:p>
    <w:p w:rsidR="00BB59CD" w:rsidRDefault="00BB59CD" w:rsidP="001B531C">
      <w:pPr>
        <w:rPr>
          <w:rtl/>
        </w:rPr>
      </w:pPr>
      <w:r>
        <w:rPr>
          <w:rFonts w:hint="cs"/>
          <w:rtl/>
          <w:lang w:eastAsia="he-IL"/>
        </w:rPr>
        <w:t>"אך יש לשאול"</w:t>
      </w:r>
      <w:r w:rsidR="001B531C">
        <w:rPr>
          <w:rFonts w:hint="cs"/>
          <w:rtl/>
          <w:lang w:eastAsia="he-IL"/>
        </w:rPr>
        <w:t>,</w:t>
      </w:r>
      <w:r>
        <w:rPr>
          <w:rFonts w:hint="cs"/>
          <w:rtl/>
          <w:lang w:eastAsia="he-IL"/>
        </w:rPr>
        <w:t xml:space="preserve"> אומר בגין</w:t>
      </w:r>
      <w:r w:rsidR="001B531C">
        <w:rPr>
          <w:rFonts w:hint="cs"/>
          <w:rtl/>
          <w:lang w:eastAsia="he-IL"/>
        </w:rPr>
        <w:t>,</w:t>
      </w:r>
      <w:r>
        <w:rPr>
          <w:rFonts w:hint="cs"/>
          <w:rtl/>
          <w:lang w:eastAsia="he-IL"/>
        </w:rPr>
        <w:t xml:space="preserve"> "הקיימת באמת הפרדת </w:t>
      </w:r>
      <w:bookmarkStart w:id="37114" w:name="_ETM_Q67_567584"/>
      <w:bookmarkEnd w:id="37114"/>
      <w:r>
        <w:rPr>
          <w:rFonts w:hint="cs"/>
          <w:rtl/>
          <w:lang w:eastAsia="he-IL"/>
        </w:rPr>
        <w:t xml:space="preserve">סמכויות? או כלום תיתכן הפרדתן הממשית? </w:t>
      </w:r>
      <w:bookmarkStart w:id="37115" w:name="_ETM_Q67_482039"/>
      <w:bookmarkStart w:id="37116" w:name="_ETM_Q67_482142"/>
      <w:bookmarkEnd w:id="37115"/>
      <w:bookmarkEnd w:id="37116"/>
      <w:r>
        <w:rPr>
          <w:rFonts w:hint="cs"/>
          <w:rtl/>
        </w:rPr>
        <w:t>אין השאלות הללו מכוונות למשטרים טוטליטריים או דיקטטוריים שבהם הרשות המחוקקת את חוקי המדינה – הרשות הקיימת באורח פורמלי בצורת בית הנבחרים – והרשות השופטת אינן אלא זרועות עזר של השלטון המבצע, המצווה" – אלה מדינות שסתם</w:t>
      </w:r>
      <w:r w:rsidR="001B531C">
        <w:rPr>
          <w:rFonts w:hint="cs"/>
          <w:rtl/>
        </w:rPr>
        <w:t>,</w:t>
      </w:r>
      <w:r>
        <w:rPr>
          <w:rFonts w:hint="cs"/>
          <w:rtl/>
        </w:rPr>
        <w:t xml:space="preserve"> יש להן כאילו בית נבחרים, כאילו </w:t>
      </w:r>
      <w:bookmarkStart w:id="37117" w:name="_ETM_Q67_603617"/>
      <w:bookmarkEnd w:id="37117"/>
      <w:r>
        <w:rPr>
          <w:rFonts w:hint="cs"/>
          <w:rtl/>
        </w:rPr>
        <w:t xml:space="preserve">בית משפט. אנחנו מכירים את צפון קוריאה, מכירים את הדוגמאות </w:t>
      </w:r>
      <w:bookmarkStart w:id="37118" w:name="_ETM_Q67_607397"/>
      <w:bookmarkEnd w:id="37118"/>
      <w:r>
        <w:rPr>
          <w:rFonts w:hint="cs"/>
          <w:rtl/>
        </w:rPr>
        <w:t>האלה. במשטר כזה הוא מצווה "לחוקק חוקים כראות עיניו ולהוציא פסקי דין כטוב בעיניו. עובדה היא שגם במשטרים העומדים על בחירה חופשית בין מועמדים שונים, או בין נושאי תוכניות שונות למוסדות המדינה, אין הפרדת סמכויות מלאה. במשטר הקרוי 'פרלמנטרי',</w:t>
      </w:r>
      <w:r>
        <w:rPr>
          <w:rFonts w:hint="cs"/>
        </w:rPr>
        <w:t xml:space="preserve"> </w:t>
      </w:r>
      <w:r>
        <w:rPr>
          <w:rFonts w:hint="cs"/>
          <w:rtl/>
        </w:rPr>
        <w:t>כלומר במשטר שבו הממשלה, הרשות המבצעת, היא מעין 'ועד להוצאה לפועל' הנבחר על ידי בית הנבחרים או המאושר על ידי בית הנבחרים, קיימת תלות מתמדת בין הרשות המחוקקת והרשות המבצעת" – ועד ההוצאה לפועל פה זה הממשלה – "באורח פורמלי" – רק פורמלי – "תלויה הממשלה בבית הנבחרים, אשר רוב חבריו יכול לאלץ אותה לפנות מקומה לממשלה אחרת</w:t>
      </w:r>
      <w:r>
        <w:t>.</w:t>
      </w:r>
      <w:bookmarkStart w:id="37119" w:name="_ETM_Q67_573615"/>
      <w:bookmarkStart w:id="37120" w:name="_ETM_Q67_573686"/>
      <w:bookmarkEnd w:id="37119"/>
      <w:bookmarkEnd w:id="37120"/>
      <w:r>
        <w:rPr>
          <w:rtl/>
        </w:rPr>
        <w:t xml:space="preserve"> </w:t>
      </w:r>
      <w:r>
        <w:rPr>
          <w:rFonts w:hint="cs"/>
          <w:rtl/>
        </w:rPr>
        <w:t>אולם למעשה יחס התלות הוא הפוך. הממשלה, המהווה לפי טבע הדברים את ההנהגה הפוליטית של 'הרוב שלה' בתוך בית הנבחרים, משתמשת באותו רוב כדי להטיל רצונה גם על בית הנבחרים. הממשלה מציעה חוקים ו'הרוב שלה' מעבירם בבית הנבחרים; ואם מתנגדיה מציעים חוקים, שוב דואג 'הרוב שלה' לדחיית ההצעות שאינן נעימות לרשות המבצעת".</w:t>
      </w:r>
      <w:bookmarkStart w:id="37121" w:name="_ETM_Q67_703513"/>
      <w:bookmarkStart w:id="37122" w:name="_ETM_Q67_703650"/>
      <w:bookmarkStart w:id="37123" w:name="_ETM_Q67_701694"/>
      <w:bookmarkEnd w:id="37121"/>
      <w:bookmarkEnd w:id="37122"/>
      <w:bookmarkEnd w:id="37123"/>
      <w:r>
        <w:rPr>
          <w:rFonts w:hint="cs"/>
          <w:rtl/>
        </w:rPr>
        <w:t xml:space="preserve"> תראה איזה תיאור. </w:t>
      </w:r>
      <w:bookmarkStart w:id="37124" w:name="_ETM_Q67_705365"/>
      <w:bookmarkEnd w:id="37124"/>
      <w:r>
        <w:rPr>
          <w:rFonts w:hint="cs"/>
          <w:rtl/>
        </w:rPr>
        <w:t>גאוני ומדויק.</w:t>
      </w:r>
    </w:p>
    <w:p w:rsidR="00BB59CD" w:rsidRDefault="00BB59CD" w:rsidP="00BB59CD">
      <w:pPr>
        <w:rPr>
          <w:rtl/>
        </w:rPr>
      </w:pPr>
    </w:p>
    <w:p w:rsidR="00BB59CD" w:rsidRDefault="00BB59CD" w:rsidP="001B531C">
      <w:pPr>
        <w:rPr>
          <w:rtl/>
        </w:rPr>
      </w:pPr>
      <w:r>
        <w:rPr>
          <w:rFonts w:hint="cs"/>
          <w:rtl/>
        </w:rPr>
        <w:t xml:space="preserve">"כמובן, במשטר הפרלמנטרי יכול העם, מפקידה לפקידה" – מזמן לזמן </w:t>
      </w:r>
      <w:r>
        <w:t>–</w:t>
      </w:r>
      <w:r>
        <w:rPr>
          <w:rtl/>
        </w:rPr>
        <w:t xml:space="preserve"> </w:t>
      </w:r>
      <w:r>
        <w:rPr>
          <w:rFonts w:hint="cs"/>
          <w:rtl/>
        </w:rPr>
        <w:t>"וקביעת עיתים לבחירות כלליות, תכופות באופן יחסי, היא אחת הערובות החשובות לחופש ההכרעה המדינית של עם</w:t>
      </w:r>
      <w:r w:rsidR="001B531C">
        <w:rPr>
          <w:rFonts w:hint="cs"/>
          <w:rtl/>
        </w:rPr>
        <w:t xml:space="preserve"> - - - </w:t>
      </w:r>
      <w:r>
        <w:rPr>
          <w:rFonts w:hint="cs"/>
          <w:rtl/>
        </w:rPr>
        <w:t xml:space="preserve">" – </w:t>
      </w:r>
      <w:bookmarkStart w:id="37125" w:name="_ETM_Q67_725561"/>
      <w:bookmarkStart w:id="37126" w:name="_ETM_Q67_725605"/>
      <w:bookmarkStart w:id="37127" w:name="_ETM_Q67_725753"/>
      <w:bookmarkStart w:id="37128" w:name="_ETM_Q67_725815"/>
      <w:bookmarkEnd w:id="37125"/>
      <w:bookmarkEnd w:id="37126"/>
      <w:bookmarkEnd w:id="37127"/>
      <w:bookmarkEnd w:id="37128"/>
      <w:r>
        <w:rPr>
          <w:rFonts w:hint="cs"/>
          <w:rtl/>
        </w:rPr>
        <w:t xml:space="preserve">איפה ראית, אתה יודע, אני </w:t>
      </w:r>
      <w:bookmarkStart w:id="37129" w:name="_ETM_Q67_727483"/>
      <w:bookmarkEnd w:id="37129"/>
      <w:r>
        <w:rPr>
          <w:rFonts w:hint="cs"/>
          <w:rtl/>
        </w:rPr>
        <w:t xml:space="preserve">כל כך הייתי כָּמֵהַּ רק לשבת פה בבית, לחשוב שמנחם בגין היה פה, בשולחן הזה פה, באופוזיציה פה, </w:t>
      </w:r>
      <w:bookmarkStart w:id="37130" w:name="_ETM_Q67_737959"/>
      <w:bookmarkEnd w:id="37130"/>
      <w:r>
        <w:rPr>
          <w:rFonts w:hint="cs"/>
          <w:rtl/>
        </w:rPr>
        <w:t xml:space="preserve">איפשהו בצד.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ישב ממש שם, איפה - - -</w:t>
      </w:r>
    </w:p>
    <w:p w:rsidR="00BB59CD" w:rsidRDefault="00BB59CD" w:rsidP="00337201">
      <w:pPr>
        <w:rPr>
          <w:rtl/>
        </w:rPr>
      </w:pPr>
    </w:p>
    <w:p w:rsidR="00BB59CD" w:rsidRDefault="00BB59CD" w:rsidP="00BB59CD">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כן, כראש </w:t>
      </w:r>
      <w:bookmarkStart w:id="37131" w:name="_ETM_Q67_739778"/>
      <w:bookmarkEnd w:id="37131"/>
      <w:r>
        <w:rPr>
          <w:rFonts w:hint="cs"/>
          <w:rtl/>
        </w:rPr>
        <w:t>ממשלה.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1B531C">
      <w:pPr>
        <w:rPr>
          <w:rtl/>
        </w:rPr>
      </w:pPr>
      <w:r>
        <w:rPr>
          <w:rFonts w:hint="cs"/>
          <w:rtl/>
        </w:rPr>
        <w:t>לא לא לא, כראש האופוזיציה. איפה שחבר הכנסת עמיחי שיקלי, שם הוא ישב - -</w:t>
      </w:r>
    </w:p>
    <w:p w:rsidR="00BB59CD" w:rsidRDefault="00BB59CD" w:rsidP="00337201">
      <w:pPr>
        <w:rPr>
          <w:rtl/>
        </w:rPr>
      </w:pPr>
    </w:p>
    <w:p w:rsidR="00BB59CD" w:rsidRDefault="00BB59CD" w:rsidP="00BB59CD">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1B531C">
      <w:pPr>
        <w:rPr>
          <w:rtl/>
        </w:rPr>
      </w:pPr>
      <w:r>
        <w:rPr>
          <w:rFonts w:hint="cs"/>
          <w:rtl/>
        </w:rPr>
        <w:t>נכון</w:t>
      </w:r>
      <w:r w:rsidR="001B531C">
        <w:rPr>
          <w:rFonts w:hint="cs"/>
          <w:rtl/>
        </w:rPr>
        <w:t>,</w:t>
      </w:r>
      <w:r>
        <w:rPr>
          <w:rFonts w:hint="cs"/>
          <w:rtl/>
        </w:rPr>
        <w:t xml:space="preserve"> בדר היה יושב, זה שיושב ליד בדר.</w:t>
      </w:r>
    </w:p>
    <w:p w:rsidR="00BB59CD" w:rsidRDefault="00BB59CD" w:rsidP="00BB59CD">
      <w:pPr>
        <w:rPr>
          <w:rtl/>
        </w:rPr>
      </w:pPr>
    </w:p>
    <w:p w:rsidR="00BB59CD" w:rsidRDefault="00BB59CD" w:rsidP="00BB59CD">
      <w:pPr>
        <w:pStyle w:val="af9"/>
        <w:keepNext/>
        <w:rPr>
          <w:rtl/>
        </w:rPr>
      </w:pPr>
      <w:bookmarkStart w:id="37132" w:name="ET_yor_6423_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7132"/>
    </w:p>
    <w:p w:rsidR="00BB59CD" w:rsidRDefault="00BB59CD" w:rsidP="00337201">
      <w:pPr>
        <w:rPr>
          <w:rtl/>
        </w:rPr>
      </w:pPr>
    </w:p>
    <w:p w:rsidR="00BB59CD" w:rsidRDefault="00BB59CD" w:rsidP="00BB59CD">
      <w:pPr>
        <w:rPr>
          <w:rtl/>
        </w:rPr>
      </w:pPr>
      <w:r>
        <w:rPr>
          <w:rFonts w:hint="cs"/>
          <w:rtl/>
        </w:rPr>
        <w:t xml:space="preserve">- - ושני מושבים לידו חבר הכנסת </w:t>
      </w:r>
      <w:bookmarkStart w:id="37133" w:name="_ETM_Q67_750231"/>
      <w:bookmarkEnd w:id="37133"/>
      <w:r>
        <w:rPr>
          <w:rFonts w:hint="cs"/>
          <w:rtl/>
        </w:rPr>
        <w:t>יוחנן בדר.</w:t>
      </w:r>
    </w:p>
    <w:p w:rsidR="00BB59CD" w:rsidRDefault="00BB59CD" w:rsidP="00BB59CD">
      <w:pPr>
        <w:rPr>
          <w:rtl/>
        </w:rPr>
      </w:pPr>
    </w:p>
    <w:p w:rsidR="00BB59CD" w:rsidRDefault="00BB59CD" w:rsidP="00BB59CD">
      <w:pPr>
        <w:pStyle w:val="-"/>
        <w:keepNext/>
        <w:rPr>
          <w:rtl/>
        </w:rPr>
      </w:pPr>
      <w:bookmarkStart w:id="37134" w:name="ET_speakercontinue_5765_10"/>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37134"/>
    </w:p>
    <w:p w:rsidR="00BB59CD" w:rsidRDefault="00BB59CD" w:rsidP="00337201">
      <w:pPr>
        <w:rPr>
          <w:rtl/>
        </w:rPr>
      </w:pPr>
    </w:p>
    <w:p w:rsidR="00BB59CD" w:rsidRDefault="00BB59CD" w:rsidP="00BB59CD">
      <w:pPr>
        <w:rPr>
          <w:rtl/>
        </w:rPr>
      </w:pPr>
      <w:r>
        <w:rPr>
          <w:rFonts w:hint="cs"/>
          <w:rtl/>
        </w:rPr>
        <w:t xml:space="preserve">נכון. הלכת </w:t>
      </w:r>
      <w:bookmarkStart w:id="37135" w:name="_ETM_Q67_752078"/>
      <w:bookmarkEnd w:id="37135"/>
      <w:r>
        <w:rPr>
          <w:rFonts w:hint="cs"/>
          <w:rtl/>
        </w:rPr>
        <w:t xml:space="preserve">בדר. אני אומר, תראה איזה כתיבה, זה כתיבה של שופט </w:t>
      </w:r>
      <w:bookmarkStart w:id="37136" w:name="_ETM_Q67_756412"/>
      <w:bookmarkEnd w:id="37136"/>
      <w:r>
        <w:rPr>
          <w:rFonts w:hint="cs"/>
          <w:rtl/>
        </w:rPr>
        <w:t xml:space="preserve">עליון; זה כתיבה של פרופסור למשפטים. זה, רק להקריא את </w:t>
      </w:r>
      <w:bookmarkStart w:id="37137" w:name="_ETM_Q67_761848"/>
      <w:bookmarkEnd w:id="37137"/>
      <w:r>
        <w:rPr>
          <w:rFonts w:hint="cs"/>
          <w:rtl/>
        </w:rPr>
        <w:t>זה, זה נאום. הייתי רוצה לשמוע אותו פה.</w:t>
      </w:r>
    </w:p>
    <w:p w:rsidR="00BB59CD" w:rsidRDefault="00BB59CD" w:rsidP="00BB59CD">
      <w:pPr>
        <w:rPr>
          <w:rtl/>
          <w:lang w:eastAsia="he-IL"/>
        </w:rPr>
      </w:pPr>
    </w:p>
    <w:p w:rsidR="00BB59CD" w:rsidRDefault="00BB59CD" w:rsidP="00BB59CD">
      <w:pPr>
        <w:pStyle w:val="af9"/>
        <w:rPr>
          <w:b w:val="0"/>
          <w:bCs w:val="0"/>
          <w:sz w:val="20"/>
          <w:szCs w:val="20"/>
          <w:rtl/>
        </w:rPr>
      </w:pPr>
      <w:r>
        <w:rPr>
          <w:rStyle w:val="TagStyle"/>
          <w:rFonts w:hint="cs"/>
          <w:rtl/>
        </w:rPr>
        <w:t xml:space="preserve">&lt;&lt; יור &gt;&gt; </w:t>
      </w:r>
      <w:r>
        <w:rPr>
          <w:rFonts w:hint="cs"/>
          <w:rtl/>
        </w:rPr>
        <w:t>היו"ר אמיר אוחנה:</w:t>
      </w:r>
      <w:r>
        <w:rPr>
          <w:rStyle w:val="TagStyle"/>
          <w:rtl/>
        </w:rPr>
        <w:t xml:space="preserve"> &lt;&lt; יור &gt;&gt;</w:t>
      </w:r>
      <w:r>
        <w:rPr>
          <w:rStyle w:val="TagStyle"/>
          <w:rFonts w:hint="cs"/>
          <w:b w:val="0"/>
          <w:bCs w:val="0"/>
          <w:sz w:val="20"/>
          <w:szCs w:val="20"/>
          <w:rtl/>
        </w:rPr>
        <w:t xml:space="preserve">   </w:t>
      </w:r>
    </w:p>
    <w:p w:rsidR="00BB59CD" w:rsidRDefault="00BB59CD" w:rsidP="00337201">
      <w:pPr>
        <w:rPr>
          <w:rtl/>
          <w:lang w:eastAsia="he-IL"/>
        </w:rPr>
      </w:pPr>
    </w:p>
    <w:p w:rsidR="00BB59CD" w:rsidRDefault="00BB59CD" w:rsidP="00BB59CD">
      <w:pPr>
        <w:rPr>
          <w:rtl/>
          <w:lang w:eastAsia="he-IL"/>
        </w:rPr>
      </w:pPr>
      <w:bookmarkStart w:id="37138" w:name="_ETM_Q68_91174"/>
      <w:bookmarkEnd w:id="37138"/>
      <w:r>
        <w:rPr>
          <w:rFonts w:hint="cs"/>
          <w:rtl/>
          <w:lang w:eastAsia="he-IL"/>
        </w:rPr>
        <w:t xml:space="preserve">אבל אדוני יסכים ודאי שמערכת המשפט בזמנו של בגין </w:t>
      </w:r>
      <w:bookmarkStart w:id="37139" w:name="_ETM_Q68_168187"/>
      <w:bookmarkEnd w:id="37139"/>
      <w:r>
        <w:rPr>
          <w:rFonts w:hint="cs"/>
          <w:rtl/>
          <w:lang w:eastAsia="he-IL"/>
        </w:rPr>
        <w:t>לא התנהגה כפי שמערכת המשפט בימינו.</w:t>
      </w:r>
    </w:p>
    <w:p w:rsidR="00BB59CD" w:rsidRDefault="00BB59CD" w:rsidP="00BB59CD">
      <w:pPr>
        <w:rPr>
          <w:rtl/>
          <w:lang w:eastAsia="he-IL"/>
        </w:rPr>
      </w:pPr>
      <w:bookmarkStart w:id="37140" w:name="_ETM_Q68_94794"/>
      <w:bookmarkStart w:id="37141" w:name="_ETM_Q68_94886"/>
      <w:bookmarkEnd w:id="37140"/>
      <w:bookmarkEnd w:id="37141"/>
    </w:p>
    <w:p w:rsidR="00BB59CD" w:rsidRDefault="00BB59CD" w:rsidP="00BB59CD">
      <w:pPr>
        <w:pStyle w:val="-"/>
        <w:rPr>
          <w:rtl/>
        </w:rPr>
      </w:pPr>
      <w:bookmarkStart w:id="37142" w:name="ET_speakercontinue_5765_2"/>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37142"/>
    </w:p>
    <w:p w:rsidR="00BB59CD" w:rsidRDefault="00BB59CD" w:rsidP="00337201">
      <w:pPr>
        <w:rPr>
          <w:rtl/>
          <w:lang w:eastAsia="he-IL"/>
        </w:rPr>
      </w:pPr>
    </w:p>
    <w:p w:rsidR="00BB59CD" w:rsidRDefault="00BB59CD" w:rsidP="001B531C">
      <w:pPr>
        <w:rPr>
          <w:rtl/>
          <w:lang w:eastAsia="he-IL"/>
        </w:rPr>
      </w:pPr>
      <w:bookmarkStart w:id="37143" w:name="_ETM_Q68_95787"/>
      <w:bookmarkEnd w:id="37143"/>
      <w:r>
        <w:rPr>
          <w:rFonts w:hint="cs"/>
          <w:rtl/>
          <w:lang w:eastAsia="he-IL"/>
        </w:rPr>
        <w:t>אז אמרתי, היושב-ראש</w:t>
      </w:r>
      <w:r w:rsidR="001B531C">
        <w:rPr>
          <w:rFonts w:hint="cs"/>
          <w:rtl/>
          <w:lang w:eastAsia="he-IL"/>
        </w:rPr>
        <w:t>,</w:t>
      </w:r>
      <w:r>
        <w:rPr>
          <w:rFonts w:hint="cs"/>
          <w:rtl/>
          <w:lang w:eastAsia="he-IL"/>
        </w:rPr>
        <w:t xml:space="preserve"> </w:t>
      </w:r>
      <w:bookmarkStart w:id="37144" w:name="_ETM_Q68_169716"/>
      <w:bookmarkEnd w:id="37144"/>
      <w:r>
        <w:rPr>
          <w:rFonts w:hint="cs"/>
          <w:rtl/>
          <w:lang w:eastAsia="he-IL"/>
        </w:rPr>
        <w:t>יש מה לתקן. פתחתי ו</w:t>
      </w:r>
      <w:r w:rsidR="001B531C">
        <w:rPr>
          <w:rFonts w:hint="cs"/>
          <w:rtl/>
          <w:lang w:eastAsia="he-IL"/>
        </w:rPr>
        <w:t>אי</w:t>
      </w:r>
      <w:r>
        <w:rPr>
          <w:rFonts w:hint="cs"/>
          <w:rtl/>
          <w:lang w:eastAsia="he-IL"/>
        </w:rPr>
        <w:t xml:space="preserve">זנתי, אבל איפה השפה </w:t>
      </w:r>
      <w:bookmarkStart w:id="37145" w:name="_ETM_Q68_172660"/>
      <w:bookmarkEnd w:id="37145"/>
      <w:r>
        <w:rPr>
          <w:rFonts w:hint="cs"/>
          <w:rtl/>
          <w:lang w:eastAsia="he-IL"/>
        </w:rPr>
        <w:t>הזאת, הנקייה, הביקורתית פנימה אל עצמנו כממשלה?</w:t>
      </w:r>
      <w:bookmarkStart w:id="37146" w:name="_ETM_Q68_182344"/>
      <w:bookmarkEnd w:id="37146"/>
    </w:p>
    <w:p w:rsidR="00BB59CD" w:rsidRDefault="00BB59CD" w:rsidP="00BB59CD">
      <w:pPr>
        <w:rPr>
          <w:rtl/>
          <w:lang w:eastAsia="he-IL"/>
        </w:rPr>
      </w:pPr>
      <w:bookmarkStart w:id="37147" w:name="_ETM_Q68_182437"/>
      <w:bookmarkEnd w:id="37147"/>
    </w:p>
    <w:p w:rsidR="00BB59CD" w:rsidRDefault="00BB59CD" w:rsidP="001B531C">
      <w:pPr>
        <w:rPr>
          <w:rtl/>
          <w:lang w:eastAsia="he-IL"/>
        </w:rPr>
      </w:pPr>
      <w:bookmarkStart w:id="37148" w:name="_ETM_Q68_182503"/>
      <w:bookmarkStart w:id="37149" w:name="_ETM_Q68_182575"/>
      <w:bookmarkEnd w:id="37148"/>
      <w:bookmarkEnd w:id="37149"/>
      <w:r>
        <w:rPr>
          <w:rFonts w:hint="cs"/>
          <w:rtl/>
          <w:lang w:eastAsia="he-IL"/>
        </w:rPr>
        <w:t xml:space="preserve">מרוב שהוא כותב </w:t>
      </w:r>
      <w:bookmarkStart w:id="37150" w:name="_ETM_Q68_180524"/>
      <w:bookmarkEnd w:id="37150"/>
      <w:r>
        <w:rPr>
          <w:rFonts w:hint="cs"/>
          <w:rtl/>
          <w:lang w:eastAsia="he-IL"/>
        </w:rPr>
        <w:t xml:space="preserve">משפט ארוך אתה צריך לפסק אותו. "אך תהיינה תוצאות </w:t>
      </w:r>
      <w:bookmarkStart w:id="37151" w:name="_ETM_Q68_187396"/>
      <w:bookmarkEnd w:id="37151"/>
      <w:r>
        <w:rPr>
          <w:rFonts w:hint="cs"/>
          <w:rtl/>
          <w:lang w:eastAsia="he-IL"/>
        </w:rPr>
        <w:t xml:space="preserve">הבחירות הכלליות אשר תהיינה, ההבדל בין היחסים הפורמליים ליחסים הממשיים </w:t>
      </w:r>
      <w:bookmarkStart w:id="37152" w:name="_ETM_Q68_195435"/>
      <w:bookmarkEnd w:id="37152"/>
      <w:r>
        <w:rPr>
          <w:rFonts w:hint="cs"/>
          <w:rtl/>
          <w:lang w:eastAsia="he-IL"/>
        </w:rPr>
        <w:t xml:space="preserve">בין הממשלה מצד אחד לבית הנבחרים מצד שני, יהיה שריר </w:t>
      </w:r>
      <w:bookmarkStart w:id="37153" w:name="_ETM_Q68_196170"/>
      <w:bookmarkEnd w:id="37153"/>
      <w:r>
        <w:rPr>
          <w:rFonts w:hint="cs"/>
          <w:rtl/>
          <w:lang w:eastAsia="he-IL"/>
        </w:rPr>
        <w:t>וקיים. לממשה החדשה יהיה 'רוב משלה' והיא 'תדריך' אותו גם</w:t>
      </w:r>
      <w:bookmarkStart w:id="37154" w:name="_ETM_Q68_205633"/>
      <w:bookmarkEnd w:id="37154"/>
      <w:r>
        <w:rPr>
          <w:rFonts w:hint="cs"/>
          <w:rtl/>
          <w:lang w:eastAsia="he-IL"/>
        </w:rPr>
        <w:t xml:space="preserve"> בשטח המדיני וגם בשטיח החקיקה, אם כי לכאורה 'הוא ימשול </w:t>
      </w:r>
      <w:bookmarkStart w:id="37155" w:name="_ETM_Q68_207944"/>
      <w:bookmarkEnd w:id="37155"/>
      <w:r>
        <w:rPr>
          <w:rFonts w:hint="cs"/>
          <w:rtl/>
          <w:lang w:eastAsia="he-IL"/>
        </w:rPr>
        <w:t>בה'</w:t>
      </w:r>
      <w:bookmarkStart w:id="37156" w:name="_ETM_Q68_156956"/>
      <w:bookmarkStart w:id="37157" w:name="_ETM_Q68_157043"/>
      <w:bookmarkStart w:id="37158" w:name="_ETM_Q68_207798"/>
      <w:bookmarkEnd w:id="37156"/>
      <w:bookmarkEnd w:id="37157"/>
      <w:bookmarkEnd w:id="37158"/>
      <w:r>
        <w:rPr>
          <w:rFonts w:hint="cs"/>
          <w:rtl/>
          <w:lang w:eastAsia="he-IL"/>
        </w:rPr>
        <w:t>" – זאת אומרת הרשות המחוקקת</w:t>
      </w:r>
      <w:r w:rsidR="001B531C">
        <w:rPr>
          <w:rFonts w:hint="cs"/>
          <w:rtl/>
          <w:lang w:eastAsia="he-IL"/>
        </w:rPr>
        <w:t>.</w:t>
      </w:r>
      <w:r>
        <w:rPr>
          <w:rFonts w:hint="cs"/>
          <w:rtl/>
          <w:lang w:eastAsia="he-IL"/>
        </w:rPr>
        <w:t xml:space="preserve"> "במילים אחרות, גם </w:t>
      </w:r>
      <w:bookmarkStart w:id="37159" w:name="_ETM_Q68_217043"/>
      <w:bookmarkEnd w:id="37159"/>
      <w:r>
        <w:rPr>
          <w:rFonts w:hint="cs"/>
          <w:rtl/>
          <w:lang w:eastAsia="he-IL"/>
        </w:rPr>
        <w:t xml:space="preserve">המשטר הפרלמנטרי, הממשלה, הרשות המבצעת, ממלאת במידה רבה, ולעיתים במידה </w:t>
      </w:r>
      <w:bookmarkStart w:id="37160" w:name="_ETM_Q68_221071"/>
      <w:bookmarkEnd w:id="37160"/>
      <w:r>
        <w:rPr>
          <w:rFonts w:hint="cs"/>
          <w:rtl/>
          <w:lang w:eastAsia="he-IL"/>
        </w:rPr>
        <w:t xml:space="preserve">מכרעת, את תפקיד המחוקק" – לוקחת את התפקיד – "המצב </w:t>
      </w:r>
      <w:bookmarkStart w:id="37161" w:name="_ETM_Q68_229905"/>
      <w:bookmarkEnd w:id="37161"/>
      <w:r>
        <w:rPr>
          <w:rFonts w:hint="cs"/>
          <w:rtl/>
          <w:lang w:eastAsia="he-IL"/>
        </w:rPr>
        <w:t xml:space="preserve">הוא שונה, אך לא שונה לחלוטין, במשטר 'נשיאותי', שגם הוא </w:t>
      </w:r>
      <w:bookmarkStart w:id="37162" w:name="_ETM_Q68_235587"/>
      <w:bookmarkEnd w:id="37162"/>
      <w:r>
        <w:rPr>
          <w:rFonts w:hint="cs"/>
          <w:rtl/>
          <w:lang w:eastAsia="he-IL"/>
        </w:rPr>
        <w:t xml:space="preserve">במהותו הינו משטר דמוקרטי, כלומר משטר שבו ההכרעה הסופית היא </w:t>
      </w:r>
      <w:bookmarkStart w:id="37163" w:name="_ETM_Q68_239038"/>
      <w:bookmarkEnd w:id="37163"/>
      <w:r>
        <w:rPr>
          <w:rFonts w:hint="cs"/>
          <w:rtl/>
          <w:lang w:eastAsia="he-IL"/>
        </w:rPr>
        <w:t xml:space="preserve">בידי העם הבוחר באורח חופשי בין המועמדים השונים ובין תוכניות </w:t>
      </w:r>
      <w:bookmarkStart w:id="37164" w:name="_ETM_Q68_240541"/>
      <w:bookmarkEnd w:id="37164"/>
      <w:r>
        <w:rPr>
          <w:rFonts w:hint="cs"/>
          <w:rtl/>
          <w:lang w:eastAsia="he-IL"/>
        </w:rPr>
        <w:t xml:space="preserve">שונות. בארצות-הברית, בהן הונהג המשטר 'הנשיאותי', נעשה הניסיון להגשים את תורתו של מונטסקיה במידה הרבה יותר גדולה מאשר בארצו </w:t>
      </w:r>
      <w:bookmarkStart w:id="37165" w:name="_ETM_Q68_253192"/>
      <w:bookmarkEnd w:id="37165"/>
      <w:r>
        <w:rPr>
          <w:rFonts w:hint="cs"/>
          <w:rtl/>
          <w:lang w:eastAsia="he-IL"/>
        </w:rPr>
        <w:t xml:space="preserve">שלו. במדינות אמריקה – רוב הארצות הדרום-אמריקאיות העתיקו את יסודות </w:t>
      </w:r>
      <w:bookmarkStart w:id="37166" w:name="_ETM_Q68_260777"/>
      <w:bookmarkEnd w:id="37166"/>
      <w:r>
        <w:rPr>
          <w:rFonts w:hint="cs"/>
          <w:rtl/>
          <w:lang w:eastAsia="he-IL"/>
        </w:rPr>
        <w:t xml:space="preserve">החוקה של אמריקה הצפונית". </w:t>
      </w:r>
    </w:p>
    <w:p w:rsidR="00BB59CD" w:rsidRDefault="00BB59CD" w:rsidP="00BB59CD">
      <w:pPr>
        <w:rPr>
          <w:rtl/>
          <w:lang w:eastAsia="he-IL"/>
        </w:rPr>
      </w:pPr>
    </w:p>
    <w:p w:rsidR="00BB59CD" w:rsidRDefault="00BB59CD" w:rsidP="001B531C">
      <w:pPr>
        <w:rPr>
          <w:rtl/>
          <w:lang w:eastAsia="he-IL"/>
        </w:rPr>
      </w:pPr>
      <w:r>
        <w:rPr>
          <w:rFonts w:hint="cs"/>
          <w:rtl/>
          <w:lang w:eastAsia="he-IL"/>
        </w:rPr>
        <w:t xml:space="preserve">אני לא רוצה להמשיך בזה, אבל </w:t>
      </w:r>
      <w:bookmarkStart w:id="37167" w:name="_ETM_Q68_263679"/>
      <w:bookmarkEnd w:id="37167"/>
      <w:r>
        <w:rPr>
          <w:rFonts w:hint="cs"/>
          <w:rtl/>
          <w:lang w:eastAsia="he-IL"/>
        </w:rPr>
        <w:t>אני רוצה להגיד לך שאמריקה – מה שאנחנו לא יודעים</w:t>
      </w:r>
      <w:bookmarkStart w:id="37168" w:name="_ETM_Q68_268808"/>
      <w:bookmarkEnd w:id="37168"/>
      <w:r>
        <w:rPr>
          <w:rFonts w:hint="cs"/>
          <w:rtl/>
          <w:lang w:eastAsia="he-IL"/>
        </w:rPr>
        <w:t xml:space="preserve"> לעשות זה אזוריות, כי אנחנו 120 חברי כנסת שנבחרים </w:t>
      </w:r>
      <w:bookmarkStart w:id="37169" w:name="_ETM_Q68_270216"/>
      <w:bookmarkEnd w:id="37169"/>
      <w:r>
        <w:rPr>
          <w:rFonts w:hint="cs"/>
          <w:rtl/>
          <w:lang w:eastAsia="he-IL"/>
        </w:rPr>
        <w:t xml:space="preserve">בבחירות יחסיות ארציות, ובאמריקה כל סנטור נותן דין </w:t>
      </w:r>
      <w:bookmarkStart w:id="37170" w:name="_ETM_Q68_277333"/>
      <w:bookmarkEnd w:id="37170"/>
      <w:r>
        <w:rPr>
          <w:rFonts w:hint="cs"/>
          <w:rtl/>
          <w:lang w:eastAsia="he-IL"/>
        </w:rPr>
        <w:t xml:space="preserve">וחשבון למדינה שלו, וכל חבר קונגרס נבחר במדינה שלו </w:t>
      </w:r>
      <w:bookmarkStart w:id="37171" w:name="_ETM_Q68_283833"/>
      <w:bookmarkEnd w:id="37171"/>
      <w:r>
        <w:rPr>
          <w:rFonts w:hint="cs"/>
          <w:rtl/>
          <w:lang w:eastAsia="he-IL"/>
        </w:rPr>
        <w:t xml:space="preserve">וצריך לעבוד בשבילה. והיה צריך שיהיו לנו 160 </w:t>
      </w:r>
      <w:bookmarkStart w:id="37172" w:name="_ETM_Q68_288241"/>
      <w:bookmarkEnd w:id="37172"/>
      <w:r>
        <w:rPr>
          <w:rFonts w:hint="cs"/>
          <w:rtl/>
          <w:lang w:eastAsia="he-IL"/>
        </w:rPr>
        <w:t xml:space="preserve">או 200 ח"כים ו-30 מהנגב ו-30 מהגליל, ואז הנגב והגליל </w:t>
      </w:r>
      <w:bookmarkStart w:id="37173" w:name="_ETM_Q68_289990"/>
      <w:bookmarkEnd w:id="37173"/>
      <w:r>
        <w:rPr>
          <w:rFonts w:hint="cs"/>
          <w:rtl/>
          <w:lang w:eastAsia="he-IL"/>
        </w:rPr>
        <w:t xml:space="preserve">היו פורחים. אם מאיר יצחק הלוי היה חבר כנסת שנה </w:t>
      </w:r>
      <w:bookmarkStart w:id="37174" w:name="_ETM_Q68_300662"/>
      <w:bookmarkEnd w:id="37174"/>
      <w:r>
        <w:rPr>
          <w:rFonts w:hint="cs"/>
          <w:rtl/>
          <w:lang w:eastAsia="he-IL"/>
        </w:rPr>
        <w:t xml:space="preserve">קודם, שדה דב לא היה נסגר, כי טייקונים של נדל"ן </w:t>
      </w:r>
      <w:bookmarkStart w:id="37175" w:name="_ETM_Q68_301012"/>
      <w:bookmarkEnd w:id="37175"/>
      <w:r>
        <w:rPr>
          <w:rFonts w:hint="cs"/>
          <w:rtl/>
          <w:lang w:eastAsia="he-IL"/>
        </w:rPr>
        <w:t xml:space="preserve">ניצחו את האינטרס של חולי סרטן שטסו 70 שנה </w:t>
      </w:r>
      <w:bookmarkStart w:id="37176" w:name="_ETM_Q68_306935"/>
      <w:bookmarkEnd w:id="37176"/>
      <w:r>
        <w:rPr>
          <w:rFonts w:hint="cs"/>
          <w:rtl/>
          <w:lang w:eastAsia="he-IL"/>
        </w:rPr>
        <w:t xml:space="preserve">מאילת לקבל טיפול רפואי. הייצוגיות האזוריות שאין לנו בכנסת היא </w:t>
      </w:r>
      <w:bookmarkStart w:id="37177" w:name="_ETM_Q68_315283"/>
      <w:bookmarkEnd w:id="37177"/>
      <w:r>
        <w:rPr>
          <w:rFonts w:hint="cs"/>
          <w:rtl/>
          <w:lang w:eastAsia="he-IL"/>
        </w:rPr>
        <w:t xml:space="preserve">כל כך חסרה. פעם הרשו לראש עיר להיות גם חבר </w:t>
      </w:r>
      <w:bookmarkStart w:id="37178" w:name="_ETM_Q68_318769"/>
      <w:bookmarkEnd w:id="37178"/>
      <w:r>
        <w:rPr>
          <w:rFonts w:hint="cs"/>
          <w:rtl/>
          <w:lang w:eastAsia="he-IL"/>
        </w:rPr>
        <w:t xml:space="preserve">כנסת וגם ראש עיר, אז מבחינת היקף התפקיד זה לא </w:t>
      </w:r>
      <w:bookmarkStart w:id="37179" w:name="_ETM_Q68_325056"/>
      <w:bookmarkEnd w:id="37179"/>
      <w:r>
        <w:rPr>
          <w:rFonts w:hint="cs"/>
          <w:rtl/>
          <w:lang w:eastAsia="he-IL"/>
        </w:rPr>
        <w:t>ראוי אבל כשפרוספר אזרן מהצפון או – מי היה מהדרום?</w:t>
      </w:r>
      <w:bookmarkStart w:id="37180" w:name="_ETM_Q68_331921"/>
      <w:bookmarkEnd w:id="37180"/>
      <w:r>
        <w:rPr>
          <w:rFonts w:hint="cs"/>
          <w:rtl/>
          <w:lang w:eastAsia="he-IL"/>
        </w:rPr>
        <w:t xml:space="preserve"> היו כמה.</w:t>
      </w:r>
    </w:p>
    <w:p w:rsidR="00BB59CD" w:rsidRDefault="00BB59CD" w:rsidP="00BB59CD">
      <w:pPr>
        <w:rPr>
          <w:rtl/>
          <w:lang w:eastAsia="he-IL"/>
        </w:rPr>
      </w:pPr>
    </w:p>
    <w:p w:rsidR="00BB59CD" w:rsidRDefault="00BB59CD" w:rsidP="00BB59CD">
      <w:pPr>
        <w:pStyle w:val="af8"/>
        <w:rPr>
          <w:rtl/>
        </w:rPr>
      </w:pPr>
      <w:bookmarkStart w:id="37181" w:name="ET_interruption_6361_4"/>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7181"/>
    </w:p>
    <w:p w:rsidR="00BB59CD" w:rsidRDefault="00BB59CD" w:rsidP="00337201">
      <w:pPr>
        <w:rPr>
          <w:rtl/>
          <w:lang w:eastAsia="he-IL"/>
        </w:rPr>
      </w:pPr>
      <w:bookmarkStart w:id="37182" w:name="_ETM_Q68_332125"/>
      <w:bookmarkEnd w:id="37182"/>
    </w:p>
    <w:p w:rsidR="00BB59CD" w:rsidRDefault="00BB59CD" w:rsidP="00BB59CD">
      <w:pPr>
        <w:rPr>
          <w:rtl/>
          <w:lang w:eastAsia="he-IL"/>
        </w:rPr>
      </w:pPr>
      <w:bookmarkStart w:id="37183" w:name="_ETM_Q68_332215"/>
      <w:bookmarkEnd w:id="37183"/>
      <w:r>
        <w:rPr>
          <w:rFonts w:hint="cs"/>
          <w:rtl/>
          <w:lang w:eastAsia="he-IL"/>
        </w:rPr>
        <w:t>מיכאל ביטון.</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BB59CD" w:rsidRDefault="00BB59CD" w:rsidP="00337201">
      <w:pPr>
        <w:rPr>
          <w:rtl/>
          <w:lang w:eastAsia="he-IL"/>
        </w:rPr>
      </w:pPr>
      <w:bookmarkStart w:id="37184" w:name="_ETM_Q68_335338"/>
      <w:bookmarkEnd w:id="37184"/>
    </w:p>
    <w:p w:rsidR="00BB59CD" w:rsidRDefault="00BB59CD" w:rsidP="001B531C">
      <w:pPr>
        <w:keepNext/>
        <w:rPr>
          <w:rtl/>
          <w:lang w:eastAsia="he-IL"/>
        </w:rPr>
      </w:pPr>
      <w:bookmarkStart w:id="37185" w:name="_ETM_Q68_335429"/>
      <w:bookmarkEnd w:id="37185"/>
      <w:r>
        <w:rPr>
          <w:rFonts w:hint="cs"/>
          <w:rtl/>
          <w:lang w:eastAsia="he-IL"/>
        </w:rPr>
        <w:t>לא</w:t>
      </w:r>
      <w:r w:rsidR="001B531C">
        <w:rPr>
          <w:rFonts w:hint="cs"/>
          <w:rtl/>
          <w:lang w:eastAsia="he-IL"/>
        </w:rPr>
        <w:t>,</w:t>
      </w:r>
      <w:r>
        <w:rPr>
          <w:rFonts w:hint="cs"/>
          <w:rtl/>
          <w:lang w:eastAsia="he-IL"/>
        </w:rPr>
        <w:t xml:space="preserve"> </w:t>
      </w:r>
      <w:r w:rsidR="001B531C">
        <w:rPr>
          <w:rFonts w:hint="cs"/>
          <w:rtl/>
          <w:lang w:eastAsia="he-IL"/>
        </w:rPr>
        <w:t>ש</w:t>
      </w:r>
      <w:r>
        <w:rPr>
          <w:rFonts w:hint="cs"/>
          <w:rtl/>
          <w:lang w:eastAsia="he-IL"/>
        </w:rPr>
        <w:t xml:space="preserve">היו בכנסת גם במקביל להיותם ראשי ערים. </w:t>
      </w:r>
      <w:bookmarkStart w:id="37186" w:name="_ETM_Q68_337879"/>
      <w:bookmarkEnd w:id="37186"/>
      <w:r>
        <w:rPr>
          <w:rFonts w:hint="cs"/>
          <w:rtl/>
          <w:lang w:eastAsia="he-IL"/>
        </w:rPr>
        <w:t>אז כל פעם שמישהו רצה לפגוע בגליל או בנג</w:t>
      </w:r>
      <w:bookmarkStart w:id="37187" w:name="_ETM_Q68_341263"/>
      <w:bookmarkEnd w:id="37187"/>
      <w:r>
        <w:rPr>
          <w:rFonts w:hint="cs"/>
          <w:rtl/>
          <w:lang w:eastAsia="he-IL"/>
        </w:rPr>
        <w:t>ב, היה מישהו שהוא גם חבר כנסת. למשל, בדש היה</w:t>
      </w:r>
      <w:bookmarkStart w:id="37188" w:name="_ETM_Q68_342580"/>
      <w:bookmarkEnd w:id="37188"/>
      <w:r>
        <w:rPr>
          <w:rFonts w:hint="cs"/>
          <w:rtl/>
          <w:lang w:eastAsia="he-IL"/>
        </w:rPr>
        <w:t xml:space="preserve"> גם חבר כנסת וגם ראש מועצה, אז לא התעסקו עם הנגב </w:t>
      </w:r>
      <w:bookmarkStart w:id="37189" w:name="_ETM_Q68_346308"/>
      <w:bookmarkEnd w:id="37189"/>
      <w:r>
        <w:rPr>
          <w:rFonts w:hint="cs"/>
          <w:rtl/>
          <w:lang w:eastAsia="he-IL"/>
        </w:rPr>
        <w:t>והגליל. הוא יכול היה להביא את חוקי ה</w:t>
      </w:r>
      <w:bookmarkStart w:id="37190" w:name="_ETM_Q68_349207"/>
      <w:bookmarkEnd w:id="37190"/>
      <w:r>
        <w:rPr>
          <w:rFonts w:hint="cs"/>
          <w:rtl/>
          <w:lang w:eastAsia="he-IL"/>
        </w:rPr>
        <w:t xml:space="preserve">נגב. כל הדברים האלו קרו אז, עם ההעדפה והמיסוי, כי </w:t>
      </w:r>
      <w:bookmarkStart w:id="37191" w:name="_ETM_Q68_355959"/>
      <w:bookmarkEnd w:id="37191"/>
      <w:r>
        <w:rPr>
          <w:rFonts w:hint="cs"/>
          <w:rtl/>
          <w:lang w:eastAsia="he-IL"/>
        </w:rPr>
        <w:t xml:space="preserve">הייתה פה נציגות. אני מנסה להיות נגב-גליל, אבל </w:t>
      </w:r>
      <w:bookmarkStart w:id="37192" w:name="_ETM_Q68_356879"/>
      <w:bookmarkEnd w:id="37192"/>
      <w:r>
        <w:rPr>
          <w:rFonts w:hint="cs"/>
          <w:rtl/>
          <w:lang w:eastAsia="he-IL"/>
        </w:rPr>
        <w:t>צריך אזוריות.</w:t>
      </w:r>
    </w:p>
    <w:p w:rsidR="00BB59CD" w:rsidRDefault="00BB59CD" w:rsidP="00BB59CD">
      <w:pPr>
        <w:rPr>
          <w:rtl/>
          <w:lang w:eastAsia="he-IL"/>
        </w:rPr>
      </w:pPr>
      <w:bookmarkStart w:id="37193" w:name="_ETM_Q68_358763"/>
      <w:bookmarkEnd w:id="37193"/>
    </w:p>
    <w:p w:rsidR="00BB59CD" w:rsidRDefault="00BB59CD" w:rsidP="001B531C">
      <w:pPr>
        <w:rPr>
          <w:rtl/>
          <w:lang w:eastAsia="he-IL"/>
        </w:rPr>
      </w:pPr>
      <w:bookmarkStart w:id="37194" w:name="_ETM_Q68_358878"/>
      <w:bookmarkStart w:id="37195" w:name="_ETM_Q68_358936"/>
      <w:bookmarkStart w:id="37196" w:name="_ETM_Q68_358984"/>
      <w:bookmarkEnd w:id="37194"/>
      <w:bookmarkEnd w:id="37195"/>
      <w:bookmarkEnd w:id="37196"/>
      <w:r>
        <w:rPr>
          <w:rFonts w:hint="cs"/>
          <w:rtl/>
          <w:lang w:eastAsia="he-IL"/>
        </w:rPr>
        <w:t>לסיום, משהו קצת אופטימי</w:t>
      </w:r>
      <w:r w:rsidR="001B531C">
        <w:rPr>
          <w:rFonts w:hint="cs"/>
          <w:rtl/>
          <w:lang w:eastAsia="he-IL"/>
        </w:rPr>
        <w:t>,</w:t>
      </w:r>
      <w:r>
        <w:rPr>
          <w:rFonts w:hint="cs"/>
          <w:rtl/>
          <w:lang w:eastAsia="he-IL"/>
        </w:rPr>
        <w:t xml:space="preserve"> גם של איש מופת, וז</w:t>
      </w:r>
      <w:bookmarkStart w:id="37197" w:name="_ETM_Q68_368900"/>
      <w:bookmarkEnd w:id="37197"/>
      <w:r>
        <w:rPr>
          <w:rFonts w:hint="cs"/>
          <w:rtl/>
          <w:lang w:eastAsia="he-IL"/>
        </w:rPr>
        <w:t>ה גם סוג של תפילה</w:t>
      </w:r>
      <w:r w:rsidR="001B531C">
        <w:rPr>
          <w:rFonts w:hint="cs"/>
          <w:rtl/>
          <w:lang w:eastAsia="he-IL"/>
        </w:rPr>
        <w:t>,</w:t>
      </w:r>
      <w:r>
        <w:rPr>
          <w:rFonts w:hint="cs"/>
          <w:rtl/>
          <w:lang w:eastAsia="he-IL"/>
        </w:rPr>
        <w:t xml:space="preserve"> ואולי נצליח לאחד ברוח של </w:t>
      </w:r>
      <w:bookmarkStart w:id="37198" w:name="_ETM_Q68_371912"/>
      <w:bookmarkEnd w:id="37198"/>
      <w:r>
        <w:rPr>
          <w:rFonts w:hint="cs"/>
          <w:rtl/>
          <w:lang w:eastAsia="he-IL"/>
        </w:rPr>
        <w:t xml:space="preserve">מה שכתב. הרב בן ציון מאיר חי עוזיאל, רבה של ארץ </w:t>
      </w:r>
      <w:bookmarkStart w:id="37199" w:name="_ETM_Q68_374074"/>
      <w:bookmarkEnd w:id="37199"/>
      <w:r>
        <w:rPr>
          <w:rFonts w:hint="cs"/>
          <w:rtl/>
          <w:lang w:eastAsia="he-IL"/>
        </w:rPr>
        <w:t xml:space="preserve">ישראל, הראשון לציון, רבה השני לאחר קום המדינה, כתב ממש </w:t>
      </w:r>
      <w:bookmarkStart w:id="37200" w:name="_ETM_Q68_380882"/>
      <w:bookmarkEnd w:id="37200"/>
      <w:r>
        <w:rPr>
          <w:rFonts w:hint="cs"/>
          <w:rtl/>
          <w:lang w:eastAsia="he-IL"/>
        </w:rPr>
        <w:t xml:space="preserve">מסמך פרידה מהעם ומהמדינה, כמו איגרת הרמב"ם, אבל </w:t>
      </w:r>
      <w:bookmarkStart w:id="37201" w:name="_ETM_Q68_389478"/>
      <w:bookmarkEnd w:id="37201"/>
      <w:r>
        <w:rPr>
          <w:rFonts w:hint="cs"/>
          <w:rtl/>
          <w:lang w:eastAsia="he-IL"/>
        </w:rPr>
        <w:t>סוג של –שישה סעיפים</w:t>
      </w:r>
      <w:r w:rsidR="001B531C">
        <w:rPr>
          <w:rFonts w:hint="cs"/>
          <w:rtl/>
          <w:lang w:eastAsia="he-IL"/>
        </w:rPr>
        <w:t>.</w:t>
      </w:r>
      <w:r>
        <w:rPr>
          <w:rFonts w:hint="cs"/>
          <w:rtl/>
          <w:lang w:eastAsia="he-IL"/>
        </w:rPr>
        <w:t xml:space="preserve"> אני קורא רק את הסעיף האחרון, </w:t>
      </w:r>
      <w:bookmarkStart w:id="37202" w:name="_ETM_Q68_396352"/>
      <w:bookmarkEnd w:id="37202"/>
      <w:r>
        <w:rPr>
          <w:rFonts w:hint="cs"/>
          <w:rtl/>
          <w:lang w:eastAsia="he-IL"/>
        </w:rPr>
        <w:t>וחובה לקרוא את כל הדבר הזה</w:t>
      </w:r>
      <w:r w:rsidR="001B531C">
        <w:rPr>
          <w:rFonts w:hint="cs"/>
          <w:rtl/>
          <w:lang w:eastAsia="he-IL"/>
        </w:rPr>
        <w:t>.</w:t>
      </w:r>
      <w:r>
        <w:rPr>
          <w:rFonts w:hint="cs"/>
          <w:rtl/>
          <w:lang w:eastAsia="he-IL"/>
        </w:rPr>
        <w:t xml:space="preserve"> </w:t>
      </w:r>
      <w:r w:rsidR="001B531C">
        <w:rPr>
          <w:rFonts w:hint="cs"/>
          <w:rtl/>
          <w:lang w:eastAsia="he-IL"/>
        </w:rPr>
        <w:t>כ</w:t>
      </w:r>
      <w:r>
        <w:rPr>
          <w:rFonts w:hint="cs"/>
          <w:rtl/>
          <w:lang w:eastAsia="he-IL"/>
        </w:rPr>
        <w:t xml:space="preserve">שאדם עוזב את העולם </w:t>
      </w:r>
      <w:bookmarkStart w:id="37203" w:name="_ETM_Q68_397238"/>
      <w:bookmarkEnd w:id="37203"/>
      <w:r>
        <w:rPr>
          <w:rFonts w:hint="cs"/>
          <w:rtl/>
          <w:lang w:eastAsia="he-IL"/>
        </w:rPr>
        <w:t>ואומר: מה חשוב לי? זה דבר גדול. אומר הרב</w:t>
      </w:r>
      <w:bookmarkStart w:id="37204" w:name="_ETM_Q68_403219"/>
      <w:bookmarkEnd w:id="37204"/>
      <w:r>
        <w:rPr>
          <w:rFonts w:hint="cs"/>
          <w:rtl/>
          <w:lang w:eastAsia="he-IL"/>
        </w:rPr>
        <w:t xml:space="preserve"> מאיר חי עוזיאל, הרב של ארץ ישראל, עליו השלום: "ועוד </w:t>
      </w:r>
      <w:bookmarkStart w:id="37205" w:name="_ETM_Q68_410763"/>
      <w:bookmarkEnd w:id="37205"/>
      <w:r>
        <w:rPr>
          <w:rFonts w:hint="cs"/>
          <w:rtl/>
          <w:lang w:eastAsia="he-IL"/>
        </w:rPr>
        <w:t xml:space="preserve">זאת שמרו מכל משמר את שלום העם ושלום המדינה, והאמת </w:t>
      </w:r>
      <w:bookmarkStart w:id="37206" w:name="_ETM_Q68_412217"/>
      <w:bookmarkEnd w:id="37206"/>
      <w:r>
        <w:rPr>
          <w:rFonts w:hint="cs"/>
          <w:rtl/>
          <w:lang w:eastAsia="he-IL"/>
        </w:rPr>
        <w:t xml:space="preserve">והשלום אהבו" – כי יש מי שיגיד שזה אמת </w:t>
      </w:r>
      <w:bookmarkStart w:id="37207" w:name="_ETM_Q68_421869"/>
      <w:bookmarkEnd w:id="37207"/>
      <w:r>
        <w:rPr>
          <w:rFonts w:hint="cs"/>
          <w:rtl/>
          <w:lang w:eastAsia="he-IL"/>
        </w:rPr>
        <w:t xml:space="preserve">לתקן את מערכת המשפט, אבל מישהו אומר לו "שלום", כי </w:t>
      </w:r>
      <w:bookmarkStart w:id="37208" w:name="_ETM_Q68_424383"/>
      <w:bookmarkEnd w:id="37208"/>
      <w:r>
        <w:rPr>
          <w:rFonts w:hint="cs"/>
          <w:rtl/>
          <w:lang w:eastAsia="he-IL"/>
        </w:rPr>
        <w:t>הפסוק הזה הולך ביחד: אמת ושלום</w:t>
      </w:r>
      <w:r w:rsidR="001B531C">
        <w:rPr>
          <w:rFonts w:hint="cs"/>
          <w:rtl/>
          <w:lang w:eastAsia="he-IL"/>
        </w:rPr>
        <w:t>,</w:t>
      </w:r>
      <w:r>
        <w:rPr>
          <w:rFonts w:hint="cs"/>
          <w:rtl/>
          <w:lang w:eastAsia="he-IL"/>
        </w:rPr>
        <w:t xml:space="preserve"> אל תלך רק </w:t>
      </w:r>
      <w:bookmarkStart w:id="37209" w:name="_ETM_Q68_424991"/>
      <w:bookmarkEnd w:id="37209"/>
      <w:r>
        <w:rPr>
          <w:rFonts w:hint="cs"/>
          <w:rtl/>
          <w:lang w:eastAsia="he-IL"/>
        </w:rPr>
        <w:t xml:space="preserve">על האמת. תלך על כל המ"מים. </w:t>
      </w:r>
      <w:bookmarkStart w:id="37210" w:name="_ETM_Q68_431670"/>
      <w:bookmarkEnd w:id="37210"/>
      <w:r>
        <w:rPr>
          <w:rFonts w:hint="cs"/>
          <w:rtl/>
          <w:lang w:eastAsia="he-IL"/>
        </w:rPr>
        <w:t>לא רק האמת של משפט</w:t>
      </w:r>
      <w:r w:rsidR="001B531C">
        <w:rPr>
          <w:rFonts w:hint="cs"/>
          <w:rtl/>
          <w:lang w:eastAsia="he-IL"/>
        </w:rPr>
        <w:t>,</w:t>
      </w:r>
      <w:r>
        <w:rPr>
          <w:rFonts w:hint="cs"/>
          <w:rtl/>
          <w:lang w:eastAsia="he-IL"/>
        </w:rPr>
        <w:t xml:space="preserve"> המ"ם</w:t>
      </w:r>
      <w:r w:rsidR="001B531C">
        <w:rPr>
          <w:rFonts w:hint="cs"/>
          <w:rtl/>
          <w:lang w:eastAsia="he-IL"/>
        </w:rPr>
        <w:t>,</w:t>
      </w:r>
      <w:r>
        <w:rPr>
          <w:rFonts w:hint="cs"/>
          <w:rtl/>
          <w:lang w:eastAsia="he-IL"/>
        </w:rPr>
        <w:t xml:space="preserve"> אלא השלום של הקיום</w:t>
      </w:r>
      <w:bookmarkStart w:id="37211" w:name="_ETM_Q68_438792"/>
      <w:bookmarkEnd w:id="37211"/>
      <w:r>
        <w:rPr>
          <w:rFonts w:hint="cs"/>
          <w:rtl/>
          <w:lang w:eastAsia="he-IL"/>
        </w:rPr>
        <w:t xml:space="preserve"> הבטוח של כל אדם בעולם, שהוא מרגיש שמתייחסים אליו. חמשת </w:t>
      </w:r>
      <w:bookmarkStart w:id="37212" w:name="_ETM_Q68_444728"/>
      <w:bookmarkEnd w:id="37212"/>
      <w:r>
        <w:rPr>
          <w:rFonts w:hint="cs"/>
          <w:rtl/>
          <w:lang w:eastAsia="he-IL"/>
        </w:rPr>
        <w:t>המ"מים שדיברנו עליהם</w:t>
      </w:r>
      <w:r w:rsidR="001B531C">
        <w:rPr>
          <w:rFonts w:hint="cs"/>
          <w:rtl/>
          <w:lang w:eastAsia="he-IL"/>
        </w:rPr>
        <w:t>;</w:t>
      </w:r>
      <w:r>
        <w:rPr>
          <w:rFonts w:hint="cs"/>
          <w:rtl/>
          <w:lang w:eastAsia="he-IL"/>
        </w:rPr>
        <w:t xml:space="preserve"> "פרוש לרעב לחמך" זה ראשית המ"מים של </w:t>
      </w:r>
      <w:bookmarkStart w:id="37213" w:name="_ETM_Q68_449939"/>
      <w:bookmarkEnd w:id="37213"/>
      <w:r>
        <w:rPr>
          <w:rFonts w:hint="cs"/>
          <w:rtl/>
          <w:lang w:eastAsia="he-IL"/>
        </w:rPr>
        <w:t>נבואה. "והאמת והשלום אהבו כי המחלוקת והפירוד הם האויבים היותר</w:t>
      </w:r>
      <w:bookmarkStart w:id="37214" w:name="_ETM_Q68_454859"/>
      <w:bookmarkEnd w:id="37214"/>
      <w:r>
        <w:rPr>
          <w:rFonts w:hint="cs"/>
          <w:rtl/>
          <w:lang w:eastAsia="he-IL"/>
        </w:rPr>
        <w:t xml:space="preserve">-מסוכנים, שהם כעש לבית יעקב וכרקב בעצמותיו. ולהפך, </w:t>
      </w:r>
      <w:bookmarkStart w:id="37215" w:name="_ETM_Q68_463651"/>
      <w:bookmarkEnd w:id="37215"/>
      <w:r>
        <w:rPr>
          <w:rFonts w:hint="cs"/>
          <w:rtl/>
          <w:lang w:eastAsia="he-IL"/>
        </w:rPr>
        <w:t xml:space="preserve">השלום והאחדות הם יסודות הנצח לקיומו הממלכתי של בית ישראל שלא </w:t>
      </w:r>
      <w:bookmarkStart w:id="37216" w:name="_ETM_Q68_465573"/>
      <w:bookmarkEnd w:id="37216"/>
      <w:r>
        <w:rPr>
          <w:rFonts w:hint="cs"/>
          <w:rtl/>
          <w:lang w:eastAsia="he-IL"/>
        </w:rPr>
        <w:t>יימוט לנצח</w:t>
      </w:r>
      <w:r w:rsidR="001B531C">
        <w:rPr>
          <w:rFonts w:hint="cs"/>
          <w:rtl/>
          <w:lang w:eastAsia="he-IL"/>
        </w:rPr>
        <w:t>.</w:t>
      </w:r>
      <w:r>
        <w:rPr>
          <w:rFonts w:hint="cs"/>
          <w:rtl/>
          <w:lang w:eastAsia="he-IL"/>
        </w:rPr>
        <w:t xml:space="preserve"> הם הם העמודים, שבית ישראל נכון </w:t>
      </w:r>
      <w:bookmarkStart w:id="37217" w:name="_ETM_Q68_475004"/>
      <w:bookmarkEnd w:id="37217"/>
      <w:r>
        <w:rPr>
          <w:rFonts w:hint="cs"/>
          <w:rtl/>
          <w:lang w:eastAsia="he-IL"/>
        </w:rPr>
        <w:t xml:space="preserve">עליהם תמיד, והם צינורות הברכה ומקורות השפע, וזרועות העוז והגבורה </w:t>
      </w:r>
      <w:bookmarkStart w:id="37218" w:name="_ETM_Q68_481220"/>
      <w:bookmarkEnd w:id="37218"/>
      <w:r>
        <w:rPr>
          <w:rFonts w:hint="cs"/>
          <w:rtl/>
          <w:lang w:eastAsia="he-IL"/>
        </w:rPr>
        <w:t xml:space="preserve">של עם ישראל" – כשמדברים על צבא, אם יש שלום </w:t>
      </w:r>
      <w:bookmarkStart w:id="37219" w:name="_ETM_Q68_484710"/>
      <w:bookmarkEnd w:id="37219"/>
      <w:r>
        <w:rPr>
          <w:rFonts w:hint="cs"/>
          <w:rtl/>
          <w:lang w:eastAsia="he-IL"/>
        </w:rPr>
        <w:t xml:space="preserve">ואחדות, אנחנו חזקים, ואם יש פירוד, מחלוקת ושנאה, זה מחליש </w:t>
      </w:r>
      <w:bookmarkStart w:id="37220" w:name="_ETM_Q68_490087"/>
      <w:bookmarkEnd w:id="37220"/>
      <w:r>
        <w:rPr>
          <w:rFonts w:hint="cs"/>
          <w:rtl/>
          <w:lang w:eastAsia="he-IL"/>
        </w:rPr>
        <w:t>את הביטחון</w:t>
      </w:r>
      <w:r w:rsidR="001B531C">
        <w:rPr>
          <w:rFonts w:hint="cs"/>
          <w:rtl/>
          <w:lang w:eastAsia="he-IL"/>
        </w:rPr>
        <w:t>.</w:t>
      </w:r>
      <w:r>
        <w:rPr>
          <w:rFonts w:hint="cs"/>
          <w:rtl/>
          <w:lang w:eastAsia="he-IL"/>
        </w:rPr>
        <w:t xml:space="preserve"> "שמרו והחזיקו שני עמודים אלה</w:t>
      </w:r>
      <w:bookmarkStart w:id="37221" w:name="_ETM_Q68_492406"/>
      <w:bookmarkEnd w:id="37221"/>
      <w:r>
        <w:rPr>
          <w:rFonts w:hint="cs"/>
          <w:rtl/>
          <w:lang w:eastAsia="he-IL"/>
        </w:rPr>
        <w:t>"</w:t>
      </w:r>
      <w:r w:rsidR="001B531C">
        <w:rPr>
          <w:rFonts w:hint="cs"/>
          <w:rtl/>
          <w:lang w:eastAsia="he-IL"/>
        </w:rPr>
        <w:t>,</w:t>
      </w:r>
      <w:r>
        <w:rPr>
          <w:rFonts w:hint="cs"/>
          <w:rtl/>
          <w:lang w:eastAsia="he-IL"/>
        </w:rPr>
        <w:t xml:space="preserve"> שלום ואמת</w:t>
      </w:r>
      <w:r w:rsidR="001B531C">
        <w:rPr>
          <w:rFonts w:hint="cs"/>
          <w:rtl/>
          <w:lang w:eastAsia="he-IL"/>
        </w:rPr>
        <w:t>,</w:t>
      </w:r>
      <w:r>
        <w:rPr>
          <w:rFonts w:hint="cs"/>
          <w:rtl/>
          <w:lang w:eastAsia="he-IL"/>
        </w:rPr>
        <w:t xml:space="preserve"> "למען תתחזקו בעוז וגבורה ותהדפו </w:t>
      </w:r>
      <w:bookmarkStart w:id="37222" w:name="_ETM_Q68_499854"/>
      <w:bookmarkEnd w:id="37222"/>
      <w:r>
        <w:rPr>
          <w:rFonts w:hint="cs"/>
          <w:rtl/>
          <w:lang w:eastAsia="he-IL"/>
        </w:rPr>
        <w:t xml:space="preserve">מפניכם כל כוחות ההרס המקיפים אותנו בטבעת חנק" </w:t>
      </w:r>
      <w:bookmarkStart w:id="37223" w:name="_ETM_Q68_503805"/>
      <w:bookmarkEnd w:id="37223"/>
      <w:r w:rsidR="001B531C">
        <w:rPr>
          <w:rFonts w:hint="eastAsia"/>
          <w:rtl/>
          <w:lang w:eastAsia="he-IL"/>
        </w:rPr>
        <w:t>–</w:t>
      </w:r>
      <w:r w:rsidR="001B531C">
        <w:rPr>
          <w:rFonts w:hint="cs"/>
          <w:rtl/>
          <w:lang w:eastAsia="he-IL"/>
        </w:rPr>
        <w:t xml:space="preserve"> </w:t>
      </w:r>
      <w:r>
        <w:rPr>
          <w:rFonts w:hint="cs"/>
          <w:rtl/>
          <w:lang w:eastAsia="he-IL"/>
        </w:rPr>
        <w:t>ניבא ולא ידע מה ניבא</w:t>
      </w:r>
      <w:r w:rsidR="001B531C">
        <w:rPr>
          <w:rFonts w:hint="cs"/>
          <w:rtl/>
          <w:lang w:eastAsia="he-IL"/>
        </w:rPr>
        <w:t xml:space="preserve">; </w:t>
      </w:r>
      <w:r>
        <w:rPr>
          <w:rFonts w:hint="cs"/>
          <w:rtl/>
          <w:lang w:eastAsia="he-IL"/>
        </w:rPr>
        <w:t xml:space="preserve">אז לא היה חיזבאללה ולא </w:t>
      </w:r>
      <w:bookmarkStart w:id="37224" w:name="_ETM_Q68_505355"/>
      <w:bookmarkEnd w:id="37224"/>
      <w:r>
        <w:rPr>
          <w:rFonts w:hint="cs"/>
          <w:rtl/>
          <w:lang w:eastAsia="he-IL"/>
        </w:rPr>
        <w:t xml:space="preserve">היה ג'יהאד אסלאמי כשהוא כתב את זה. ניבא ולא ידע מה ניבא – "להשמידנו ולמחות שם ישראל ותורתו מעל פני </w:t>
      </w:r>
      <w:bookmarkStart w:id="37225" w:name="_ETM_Q68_517854"/>
      <w:bookmarkEnd w:id="37225"/>
      <w:r>
        <w:rPr>
          <w:rFonts w:hint="cs"/>
          <w:rtl/>
          <w:lang w:eastAsia="he-IL"/>
        </w:rPr>
        <w:t xml:space="preserve">האדמה. הסירו כל גורמי הפירוד והמחלוקת ממחננו וממדינתנו, והעמידו </w:t>
      </w:r>
      <w:bookmarkStart w:id="37226" w:name="_ETM_Q68_521114"/>
      <w:bookmarkEnd w:id="37226"/>
      <w:r>
        <w:rPr>
          <w:rFonts w:hint="cs"/>
          <w:rtl/>
          <w:lang w:eastAsia="he-IL"/>
        </w:rPr>
        <w:t>במקומם כל גורמי השלום והאחדות בתוכנו, והיה מחננו טהור ומקודש,</w:t>
      </w:r>
      <w:bookmarkStart w:id="37227" w:name="_ETM_Q68_526113"/>
      <w:bookmarkEnd w:id="37227"/>
      <w:r>
        <w:rPr>
          <w:rFonts w:hint="cs"/>
          <w:rtl/>
          <w:lang w:eastAsia="he-IL"/>
        </w:rPr>
        <w:t xml:space="preserve"> מבוצר ומלוכד, כחומה בצורה שלא תשלוט עליה כל כוח </w:t>
      </w:r>
      <w:bookmarkStart w:id="37228" w:name="_ETM_Q68_528830"/>
      <w:bookmarkEnd w:id="37228"/>
      <w:r>
        <w:rPr>
          <w:rFonts w:hint="cs"/>
          <w:rtl/>
          <w:lang w:eastAsia="he-IL"/>
        </w:rPr>
        <w:t xml:space="preserve">הורס ומתנקם. וה' עושה השלום במרומיו ישפות שלום לנו, </w:t>
      </w:r>
      <w:bookmarkStart w:id="37229" w:name="_ETM_Q68_537759"/>
      <w:bookmarkEnd w:id="37229"/>
      <w:r>
        <w:rPr>
          <w:rFonts w:hint="cs"/>
          <w:rtl/>
          <w:lang w:eastAsia="he-IL"/>
        </w:rPr>
        <w:t xml:space="preserve">ויברך אותנו כדברו מפי משה נביאו: ה' אלוקיכם הרבה אתכם, </w:t>
      </w:r>
      <w:bookmarkStart w:id="37230" w:name="_ETM_Q68_541666"/>
      <w:bookmarkEnd w:id="37230"/>
      <w:r>
        <w:rPr>
          <w:rFonts w:hint="cs"/>
          <w:rtl/>
          <w:lang w:eastAsia="he-IL"/>
        </w:rPr>
        <w:t xml:space="preserve">והינכם היום ככוכבי השמיים לרוב. ה' אלוקי אבותיכם יוסף עליכם </w:t>
      </w:r>
      <w:bookmarkStart w:id="37231" w:name="_ETM_Q68_545851"/>
      <w:bookmarkEnd w:id="37231"/>
      <w:r>
        <w:rPr>
          <w:rFonts w:hint="cs"/>
          <w:rtl/>
          <w:lang w:eastAsia="he-IL"/>
        </w:rPr>
        <w:t>ככם אלף פעמים, ויברך אתכם כאשר דיבר לכם,</w:t>
      </w:r>
      <w:bookmarkStart w:id="37232" w:name="_ETM_Q68_551262"/>
      <w:bookmarkEnd w:id="37232"/>
      <w:r>
        <w:rPr>
          <w:rFonts w:hint="cs"/>
          <w:rtl/>
          <w:lang w:eastAsia="he-IL"/>
        </w:rPr>
        <w:t xml:space="preserve"> ה' עוז לעמו ייתן, ה' יברך את עמו בשלום. וערבה</w:t>
      </w:r>
      <w:bookmarkStart w:id="37233" w:name="_ETM_Q68_554211"/>
      <w:bookmarkEnd w:id="37233"/>
      <w:r>
        <w:rPr>
          <w:rFonts w:hint="cs"/>
          <w:rtl/>
          <w:lang w:eastAsia="he-IL"/>
        </w:rPr>
        <w:t xml:space="preserve"> לה' מנחת יהודה וירושלים כימי עולם וכשנים קדמוניות"</w:t>
      </w:r>
      <w:r w:rsidR="001B531C">
        <w:rPr>
          <w:rFonts w:hint="cs"/>
          <w:rtl/>
          <w:lang w:eastAsia="he-IL"/>
        </w:rPr>
        <w:t>.</w:t>
      </w:r>
      <w:r>
        <w:rPr>
          <w:rFonts w:hint="cs"/>
          <w:rtl/>
          <w:lang w:eastAsia="he-IL"/>
        </w:rPr>
        <w:t xml:space="preserve"> ומשפט הפרידה:</w:t>
      </w:r>
      <w:r>
        <w:rPr>
          <w:rFonts w:hint="cs"/>
          <w:lang w:eastAsia="he-IL"/>
        </w:rPr>
        <w:t xml:space="preserve"> </w:t>
      </w:r>
      <w:bookmarkStart w:id="37234" w:name="_ETM_Q68_563876"/>
      <w:bookmarkEnd w:id="37234"/>
      <w:r>
        <w:rPr>
          <w:rFonts w:hint="cs"/>
          <w:rtl/>
          <w:lang w:eastAsia="he-IL"/>
        </w:rPr>
        <w:t xml:space="preserve">"והינני אחיכם הנפרד מכם לחיי עולם הבא, בברכת שלום וגאולת </w:t>
      </w:r>
      <w:bookmarkStart w:id="37235" w:name="_ETM_Q68_570845"/>
      <w:bookmarkEnd w:id="37235"/>
      <w:r>
        <w:rPr>
          <w:rFonts w:hint="cs"/>
          <w:rtl/>
          <w:lang w:eastAsia="he-IL"/>
        </w:rPr>
        <w:t xml:space="preserve">עולם – בתקומת כיסא מלכות בית דוד ובניין מקדש </w:t>
      </w:r>
      <w:bookmarkStart w:id="37236" w:name="_ETM_Q68_573470"/>
      <w:bookmarkEnd w:id="37236"/>
      <w:r>
        <w:rPr>
          <w:rFonts w:hint="cs"/>
          <w:rtl/>
          <w:lang w:eastAsia="he-IL"/>
        </w:rPr>
        <w:t>ה' בעיר הקודש בירושלים".</w:t>
      </w:r>
    </w:p>
    <w:p w:rsidR="00BB59CD" w:rsidRDefault="00BB59CD" w:rsidP="00BB59CD">
      <w:pPr>
        <w:rPr>
          <w:rtl/>
          <w:lang w:eastAsia="he-IL"/>
        </w:rPr>
      </w:pPr>
      <w:bookmarkStart w:id="37237" w:name="_ETM_Q68_572964"/>
      <w:bookmarkStart w:id="37238" w:name="_ETM_Q68_573088"/>
      <w:bookmarkEnd w:id="37237"/>
      <w:bookmarkEnd w:id="37238"/>
    </w:p>
    <w:p w:rsidR="00BB59CD" w:rsidRDefault="00BB59CD" w:rsidP="00BB59C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37239" w:name="_ETM_Q68_574030"/>
      <w:bookmarkEnd w:id="37239"/>
      <w:r>
        <w:rPr>
          <w:rFonts w:hint="cs"/>
          <w:rtl/>
          <w:lang w:eastAsia="he-IL"/>
        </w:rPr>
        <w:t>אמן.</w:t>
      </w:r>
    </w:p>
    <w:p w:rsidR="00BB59CD" w:rsidRDefault="00BB59CD" w:rsidP="00BB59CD">
      <w:pPr>
        <w:rPr>
          <w:rtl/>
          <w:lang w:eastAsia="he-IL"/>
        </w:rPr>
      </w:pPr>
      <w:bookmarkStart w:id="37240" w:name="_ETM_Q68_573765"/>
      <w:bookmarkStart w:id="37241" w:name="_ETM_Q68_573861"/>
      <w:bookmarkEnd w:id="37240"/>
      <w:bookmarkEnd w:id="37241"/>
    </w:p>
    <w:p w:rsidR="00BB59CD" w:rsidRDefault="00BB59CD" w:rsidP="00BB59CD">
      <w:pPr>
        <w:pStyle w:val="-"/>
        <w:rPr>
          <w:rtl/>
        </w:rPr>
      </w:pPr>
      <w:bookmarkStart w:id="37242" w:name="ET_speakercontinue_5765_7"/>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37242"/>
    </w:p>
    <w:p w:rsidR="00BB59CD" w:rsidRDefault="00BB59CD" w:rsidP="00337201">
      <w:pPr>
        <w:rPr>
          <w:rtl/>
          <w:lang w:eastAsia="he-IL"/>
        </w:rPr>
      </w:pPr>
    </w:p>
    <w:p w:rsidR="00BB59CD" w:rsidRDefault="00BB59CD" w:rsidP="00BB59CD">
      <w:pPr>
        <w:rPr>
          <w:rtl/>
          <w:lang w:eastAsia="he-IL"/>
        </w:rPr>
      </w:pPr>
      <w:bookmarkStart w:id="37243" w:name="_ETM_Q68_574715"/>
      <w:bookmarkEnd w:id="37243"/>
      <w:r>
        <w:rPr>
          <w:rFonts w:hint="cs"/>
          <w:rtl/>
          <w:lang w:eastAsia="he-IL"/>
        </w:rPr>
        <w:t>תודה רבה.</w:t>
      </w:r>
    </w:p>
    <w:p w:rsidR="00BB59CD" w:rsidRDefault="00BB59CD" w:rsidP="00BB59CD">
      <w:pPr>
        <w:rPr>
          <w:rtl/>
          <w:lang w:eastAsia="he-IL"/>
        </w:rPr>
      </w:pPr>
      <w:bookmarkStart w:id="37244" w:name="_ETM_Q68_576100"/>
      <w:bookmarkStart w:id="37245" w:name="_ETM_Q68_576195"/>
      <w:bookmarkEnd w:id="37244"/>
      <w:bookmarkEnd w:id="37245"/>
    </w:p>
    <w:p w:rsidR="00BB59CD" w:rsidRDefault="00BB59CD" w:rsidP="00BB59C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37246" w:name="_ETM_Q68_577079"/>
      <w:bookmarkEnd w:id="37246"/>
      <w:r>
        <w:rPr>
          <w:rFonts w:hint="cs"/>
          <w:rtl/>
          <w:lang w:eastAsia="he-IL"/>
        </w:rPr>
        <w:t xml:space="preserve">תודה רבה לחבר הכנסת ביטון, שהחכים </w:t>
      </w:r>
      <w:bookmarkStart w:id="37247" w:name="_ETM_Q68_581516"/>
      <w:bookmarkEnd w:id="37247"/>
      <w:r>
        <w:rPr>
          <w:rFonts w:hint="cs"/>
          <w:rtl/>
          <w:lang w:eastAsia="he-IL"/>
        </w:rPr>
        <w:t xml:space="preserve">אותנו ב-60 הדקות האחרונות – לרב ביטון, אפשר לומר. כעת </w:t>
      </w:r>
      <w:bookmarkStart w:id="37248" w:name="_ETM_Q68_586577"/>
      <w:bookmarkEnd w:id="37248"/>
      <w:r>
        <w:rPr>
          <w:rFonts w:hint="cs"/>
          <w:rtl/>
          <w:lang w:eastAsia="he-IL"/>
        </w:rPr>
        <w:t xml:space="preserve">תעלה ותבוא חברת הכנסת מטי צרפתי הרכבי למחצית הזמן, </w:t>
      </w:r>
      <w:bookmarkStart w:id="37249" w:name="_ETM_Q68_594835"/>
      <w:bookmarkEnd w:id="37249"/>
      <w:r>
        <w:rPr>
          <w:rFonts w:hint="cs"/>
          <w:rtl/>
          <w:lang w:eastAsia="he-IL"/>
        </w:rPr>
        <w:t>אך תחכים אותנו ודאי גם היא.</w:t>
      </w:r>
    </w:p>
    <w:p w:rsidR="00BB59CD" w:rsidRDefault="00BB59CD" w:rsidP="00BB59CD">
      <w:pPr>
        <w:rPr>
          <w:rtl/>
          <w:lang w:eastAsia="he-IL"/>
        </w:rPr>
      </w:pPr>
      <w:bookmarkStart w:id="37250" w:name="_ETM_Q68_593533"/>
      <w:bookmarkStart w:id="37251" w:name="_ETM_Q68_593646"/>
      <w:bookmarkEnd w:id="37250"/>
      <w:bookmarkEnd w:id="37251"/>
    </w:p>
    <w:p w:rsidR="00BB59CD" w:rsidRDefault="00BB59CD" w:rsidP="00BB59CD">
      <w:pPr>
        <w:pStyle w:val="af8"/>
        <w:rPr>
          <w:rtl/>
        </w:rPr>
      </w:pPr>
      <w:bookmarkStart w:id="37252" w:name="ET_interruption_6359_9"/>
      <w:r>
        <w:rPr>
          <w:rStyle w:val="TagStyle"/>
          <w:rFonts w:hint="cs"/>
          <w:rtl/>
        </w:rPr>
        <w:t xml:space="preserve"> &lt;&lt; קריאה &gt;&gt; </w:t>
      </w:r>
      <w:r>
        <w:rPr>
          <w:rFonts w:hint="cs"/>
          <w:rtl/>
        </w:rPr>
        <w:t>מטי צרפתי הרכבי (יש עתיד):</w:t>
      </w:r>
      <w:r>
        <w:rPr>
          <w:rStyle w:val="TagStyle"/>
          <w:rtl/>
        </w:rPr>
        <w:t xml:space="preserve"> &lt;&lt; קריאה &gt;&gt;</w:t>
      </w:r>
      <w:r>
        <w:rPr>
          <w:rFonts w:hint="cs"/>
          <w:rtl/>
        </w:rPr>
        <w:t xml:space="preserve">   </w:t>
      </w:r>
      <w:bookmarkEnd w:id="37252"/>
    </w:p>
    <w:p w:rsidR="00BB59CD" w:rsidRDefault="00BB59CD" w:rsidP="00337201">
      <w:pPr>
        <w:rPr>
          <w:rtl/>
          <w:lang w:eastAsia="he-IL"/>
        </w:rPr>
      </w:pPr>
    </w:p>
    <w:p w:rsidR="00BB59CD" w:rsidRDefault="00BB59CD" w:rsidP="00BB59CD">
      <w:pPr>
        <w:rPr>
          <w:rtl/>
          <w:lang w:eastAsia="he-IL"/>
        </w:rPr>
      </w:pPr>
      <w:bookmarkStart w:id="37253" w:name="_ETM_Q68_595696"/>
      <w:bookmarkEnd w:id="37253"/>
      <w:r>
        <w:rPr>
          <w:rFonts w:hint="cs"/>
          <w:rtl/>
          <w:lang w:eastAsia="he-IL"/>
        </w:rPr>
        <w:t>אחרי רבי מיכאל ביטון קשה.</w:t>
      </w:r>
    </w:p>
    <w:p w:rsidR="00BB59CD" w:rsidRDefault="00BB59CD" w:rsidP="00BB59CD">
      <w:pPr>
        <w:rPr>
          <w:rtl/>
          <w:lang w:eastAsia="he-IL"/>
        </w:rPr>
      </w:pPr>
      <w:bookmarkStart w:id="37254" w:name="_ETM_Q68_598606"/>
      <w:bookmarkStart w:id="37255" w:name="_ETM_Q68_598715"/>
      <w:bookmarkStart w:id="37256" w:name="_ETM_Q68_595977"/>
      <w:bookmarkStart w:id="37257" w:name="_ETM_Q68_596048"/>
      <w:bookmarkEnd w:id="37254"/>
      <w:bookmarkEnd w:id="37255"/>
      <w:bookmarkEnd w:id="37256"/>
      <w:bookmarkEnd w:id="37257"/>
    </w:p>
    <w:p w:rsidR="00BB59CD" w:rsidRDefault="00BB59CD" w:rsidP="00BB59CD">
      <w:pPr>
        <w:pStyle w:val="af8"/>
        <w:rPr>
          <w:rtl/>
        </w:rPr>
      </w:pPr>
      <w:bookmarkStart w:id="37258" w:name="ET_interruption_קר_אה_14"/>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7258"/>
    </w:p>
    <w:p w:rsidR="00BB59CD" w:rsidRDefault="00BB59CD" w:rsidP="00337201">
      <w:pPr>
        <w:rPr>
          <w:rtl/>
          <w:lang w:eastAsia="he-IL"/>
        </w:rPr>
      </w:pPr>
    </w:p>
    <w:p w:rsidR="00BB59CD" w:rsidRDefault="00BB59CD" w:rsidP="00BB59CD">
      <w:pPr>
        <w:rPr>
          <w:rtl/>
          <w:lang w:eastAsia="he-IL"/>
        </w:rPr>
      </w:pPr>
      <w:bookmarkStart w:id="37259" w:name="_ETM_Q68_597411"/>
      <w:bookmarkStart w:id="37260" w:name="_ETM_Q68_597660"/>
      <w:bookmarkStart w:id="37261" w:name="_ETM_Q68_597740"/>
      <w:bookmarkStart w:id="37262" w:name="_ETM_Q68_597758"/>
      <w:bookmarkStart w:id="37263" w:name="_ETM_Q68_597808"/>
      <w:bookmarkStart w:id="37264" w:name="_ETM_Q68_597827"/>
      <w:bookmarkStart w:id="37265" w:name="_ETM_Q68_597876"/>
      <w:bookmarkEnd w:id="37259"/>
      <w:bookmarkEnd w:id="37260"/>
      <w:bookmarkEnd w:id="37261"/>
      <w:bookmarkEnd w:id="37262"/>
      <w:bookmarkEnd w:id="37263"/>
      <w:bookmarkEnd w:id="37264"/>
      <w:bookmarkEnd w:id="37265"/>
      <w:r>
        <w:rPr>
          <w:rFonts w:hint="cs"/>
          <w:rtl/>
          <w:lang w:eastAsia="he-IL"/>
        </w:rPr>
        <w:t>- - -</w:t>
      </w:r>
    </w:p>
    <w:p w:rsidR="00BB59CD" w:rsidRDefault="00BB59CD" w:rsidP="00BB59CD">
      <w:pPr>
        <w:rPr>
          <w:lang w:eastAsia="he-IL"/>
        </w:rPr>
      </w:pPr>
      <w:bookmarkStart w:id="37266" w:name="_ETM_Q68_599222"/>
      <w:bookmarkStart w:id="37267" w:name="_ETM_Q68_599294"/>
      <w:bookmarkEnd w:id="37266"/>
      <w:bookmarkEnd w:id="37267"/>
    </w:p>
    <w:p w:rsidR="00BB59CD" w:rsidRDefault="00BB59CD" w:rsidP="00BB59CD">
      <w:pPr>
        <w:pStyle w:val="af9"/>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37268" w:name="_ETM_Q68_599592"/>
      <w:bookmarkEnd w:id="37268"/>
      <w:r>
        <w:rPr>
          <w:rFonts w:hint="cs"/>
          <w:rtl/>
          <w:lang w:eastAsia="he-IL"/>
        </w:rPr>
        <w:t xml:space="preserve">אם חברת </w:t>
      </w:r>
      <w:bookmarkStart w:id="37269" w:name="_ETM_Q68_600477"/>
      <w:bookmarkEnd w:id="37269"/>
      <w:r>
        <w:rPr>
          <w:rFonts w:hint="cs"/>
          <w:rtl/>
          <w:lang w:eastAsia="he-IL"/>
        </w:rPr>
        <w:t>הכנסת צרפתי הרכבי תאמר דברי תורה, מבטיח לחזור.</w:t>
      </w:r>
    </w:p>
    <w:p w:rsidR="00BB59CD" w:rsidRDefault="00BB59CD" w:rsidP="00BB59CD">
      <w:pPr>
        <w:rPr>
          <w:rtl/>
          <w:lang w:eastAsia="he-IL"/>
        </w:rPr>
      </w:pPr>
      <w:bookmarkStart w:id="37270" w:name="_ETM_Q68_602486"/>
      <w:bookmarkStart w:id="37271" w:name="_ETM_Q68_602612"/>
      <w:bookmarkEnd w:id="37270"/>
      <w:bookmarkEnd w:id="37271"/>
    </w:p>
    <w:p w:rsidR="00BB59CD" w:rsidRDefault="00BB59CD" w:rsidP="00BB59CD">
      <w:pPr>
        <w:pStyle w:val="af8"/>
        <w:rPr>
          <w:rtl/>
        </w:rPr>
      </w:pPr>
      <w:bookmarkStart w:id="37272" w:name="ET_interruption_6361_15"/>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7272"/>
    </w:p>
    <w:p w:rsidR="00BB59CD" w:rsidRDefault="00BB59CD" w:rsidP="00337201">
      <w:pPr>
        <w:rPr>
          <w:rtl/>
          <w:lang w:eastAsia="he-IL"/>
        </w:rPr>
      </w:pPr>
    </w:p>
    <w:p w:rsidR="00BB59CD" w:rsidRDefault="00BB59CD" w:rsidP="00BB59CD">
      <w:pPr>
        <w:rPr>
          <w:rtl/>
          <w:lang w:eastAsia="he-IL"/>
        </w:rPr>
      </w:pPr>
      <w:bookmarkStart w:id="37273" w:name="_ETM_Q68_601002"/>
      <w:bookmarkEnd w:id="37273"/>
      <w:r>
        <w:rPr>
          <w:rFonts w:hint="cs"/>
          <w:rtl/>
          <w:lang w:eastAsia="he-IL"/>
        </w:rPr>
        <w:t xml:space="preserve">לדעתי צריך - - - בתקנון שאם אומרים דברי תורה - - - </w:t>
      </w:r>
    </w:p>
    <w:p w:rsidR="00BB59CD" w:rsidRDefault="00BB59CD" w:rsidP="00BB59CD">
      <w:pPr>
        <w:rPr>
          <w:rtl/>
          <w:lang w:eastAsia="he-IL"/>
        </w:rPr>
      </w:pPr>
      <w:bookmarkStart w:id="37274" w:name="_ETM_Q68_598958"/>
      <w:bookmarkStart w:id="37275" w:name="_ETM_Q68_599049"/>
      <w:bookmarkEnd w:id="37274"/>
      <w:bookmarkEnd w:id="37275"/>
    </w:p>
    <w:p w:rsidR="00BB59CD" w:rsidRDefault="00BB59CD" w:rsidP="00BB59CD">
      <w:pPr>
        <w:pStyle w:val="a5"/>
        <w:rPr>
          <w:rtl/>
        </w:rPr>
      </w:pPr>
      <w:bookmarkStart w:id="37276" w:name="ET_speaker_6359_11"/>
      <w:r>
        <w:rPr>
          <w:rStyle w:val="TagStyle"/>
          <w:rFonts w:hint="cs"/>
          <w:rtl/>
        </w:rPr>
        <w:t xml:space="preserve"> &lt;&lt; דובר &gt;&gt; </w:t>
      </w:r>
      <w:bookmarkStart w:id="37277" w:name="_Toc141197166"/>
      <w:bookmarkStart w:id="37278" w:name="_Toc141196902"/>
      <w:r>
        <w:rPr>
          <w:rFonts w:hint="cs"/>
          <w:rtl/>
        </w:rPr>
        <w:t>מטי צרפתי הרכבי (יש עתיד):</w:t>
      </w:r>
      <w:bookmarkEnd w:id="37277"/>
      <w:bookmarkEnd w:id="37278"/>
      <w:r>
        <w:rPr>
          <w:rStyle w:val="TagStyle"/>
          <w:rFonts w:hint="cs"/>
          <w:rtl/>
        </w:rPr>
        <w:t xml:space="preserve"> &lt;&lt; דובר &gt;&gt;</w:t>
      </w:r>
      <w:r>
        <w:rPr>
          <w:rFonts w:hint="cs"/>
          <w:rtl/>
        </w:rPr>
        <w:t xml:space="preserve">   </w:t>
      </w:r>
      <w:bookmarkEnd w:id="37276"/>
    </w:p>
    <w:p w:rsidR="00BB59CD" w:rsidRDefault="00BB59CD" w:rsidP="00337201">
      <w:pPr>
        <w:rPr>
          <w:rtl/>
          <w:lang w:eastAsia="he-IL"/>
        </w:rPr>
      </w:pPr>
    </w:p>
    <w:p w:rsidR="00BB59CD" w:rsidRDefault="00BB59CD" w:rsidP="00BB59CD">
      <w:pPr>
        <w:rPr>
          <w:rtl/>
          <w:lang w:eastAsia="he-IL"/>
        </w:rPr>
      </w:pPr>
      <w:bookmarkStart w:id="37279" w:name="_ETM_Q68_603276"/>
      <w:bookmarkStart w:id="37280" w:name="_ETM_Q68_603397"/>
      <w:bookmarkEnd w:id="37279"/>
      <w:bookmarkEnd w:id="37280"/>
      <w:r>
        <w:rPr>
          <w:rFonts w:hint="cs"/>
          <w:rtl/>
          <w:lang w:eastAsia="he-IL"/>
        </w:rPr>
        <w:t xml:space="preserve">יש </w:t>
      </w:r>
      <w:bookmarkStart w:id="37281" w:name="_ETM_Q68_604002"/>
      <w:bookmarkEnd w:id="37281"/>
      <w:r>
        <w:rPr>
          <w:rFonts w:hint="cs"/>
          <w:rtl/>
          <w:lang w:eastAsia="he-IL"/>
        </w:rPr>
        <w:t xml:space="preserve">לי נכד שכששואלים אותו איפה סבתא עובדת, הוא אומר: </w:t>
      </w:r>
      <w:bookmarkStart w:id="37282" w:name="_ETM_Q68_606405"/>
      <w:bookmarkEnd w:id="37282"/>
      <w:r>
        <w:rPr>
          <w:rFonts w:hint="cs"/>
          <w:rtl/>
          <w:lang w:eastAsia="he-IL"/>
        </w:rPr>
        <w:t>בבית הכנסת.</w:t>
      </w:r>
    </w:p>
    <w:p w:rsidR="00BB59CD" w:rsidRDefault="00BB59CD" w:rsidP="00BB59CD">
      <w:pPr>
        <w:rPr>
          <w:rtl/>
          <w:lang w:eastAsia="he-IL"/>
        </w:rPr>
      </w:pPr>
      <w:bookmarkStart w:id="37283" w:name="_ETM_Q68_604723"/>
      <w:bookmarkEnd w:id="37283"/>
    </w:p>
    <w:p w:rsidR="00BB59CD" w:rsidRDefault="00BB59CD" w:rsidP="00BB59CD">
      <w:pPr>
        <w:pStyle w:val="af9"/>
        <w:rPr>
          <w:rtl/>
        </w:rPr>
      </w:pPr>
      <w:bookmarkStart w:id="37284" w:name="ET_yor_6423_1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7284"/>
    </w:p>
    <w:p w:rsidR="00BB59CD" w:rsidRDefault="00BB59CD" w:rsidP="00337201">
      <w:pPr>
        <w:rPr>
          <w:rtl/>
          <w:lang w:eastAsia="he-IL"/>
        </w:rPr>
      </w:pPr>
    </w:p>
    <w:p w:rsidR="00BB59CD" w:rsidRDefault="00BB59CD" w:rsidP="00BB59CD">
      <w:pPr>
        <w:rPr>
          <w:rtl/>
          <w:lang w:eastAsia="he-IL"/>
        </w:rPr>
      </w:pPr>
      <w:bookmarkStart w:id="37285" w:name="_ETM_Q68_609336"/>
      <w:bookmarkEnd w:id="37285"/>
      <w:r>
        <w:rPr>
          <w:rFonts w:hint="cs"/>
          <w:rtl/>
          <w:lang w:eastAsia="he-IL"/>
        </w:rPr>
        <w:t xml:space="preserve">בבית הכנסת, </w:t>
      </w:r>
      <w:bookmarkStart w:id="37286" w:name="_ETM_Q68_611173"/>
      <w:bookmarkEnd w:id="37286"/>
      <w:r>
        <w:rPr>
          <w:rFonts w:hint="cs"/>
          <w:rtl/>
          <w:lang w:eastAsia="he-IL"/>
        </w:rPr>
        <w:t>נכון. זה קורה לילדים. בבקשה, גברתי, עד 30 דקות לרשותך.</w:t>
      </w:r>
    </w:p>
    <w:p w:rsidR="00BB59CD" w:rsidRDefault="00BB59CD" w:rsidP="00BB59CD">
      <w:pPr>
        <w:rPr>
          <w:rtl/>
          <w:lang w:eastAsia="he-IL"/>
        </w:rPr>
      </w:pPr>
      <w:bookmarkStart w:id="37287" w:name="_ETM_Q68_612020"/>
      <w:bookmarkStart w:id="37288" w:name="_ETM_Q68_612132"/>
      <w:bookmarkEnd w:id="37287"/>
      <w:bookmarkEnd w:id="37288"/>
    </w:p>
    <w:p w:rsidR="00BB59CD" w:rsidRDefault="00BB59CD" w:rsidP="00BB59CD">
      <w:pPr>
        <w:pStyle w:val="-"/>
        <w:keepNext/>
        <w:rPr>
          <w:rtl/>
        </w:rPr>
      </w:pPr>
      <w:bookmarkStart w:id="37289" w:name="ET_speakercontinue_6359_13"/>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bookmarkEnd w:id="37289"/>
    </w:p>
    <w:p w:rsidR="00BB59CD" w:rsidRDefault="00BB59CD" w:rsidP="00337201">
      <w:pPr>
        <w:rPr>
          <w:rtl/>
          <w:lang w:eastAsia="he-IL"/>
        </w:rPr>
      </w:pPr>
    </w:p>
    <w:p w:rsidR="00BB59CD" w:rsidRDefault="00BB59CD" w:rsidP="001F4995">
      <w:pPr>
        <w:keepNext/>
        <w:rPr>
          <w:rtl/>
          <w:lang w:eastAsia="he-IL"/>
        </w:rPr>
      </w:pPr>
      <w:bookmarkStart w:id="37290" w:name="_ETM_Q68_612935"/>
      <w:bookmarkEnd w:id="37290"/>
      <w:r>
        <w:rPr>
          <w:rFonts w:hint="cs"/>
          <w:rtl/>
          <w:lang w:eastAsia="he-IL"/>
        </w:rPr>
        <w:t xml:space="preserve">כנסת </w:t>
      </w:r>
      <w:bookmarkStart w:id="37291" w:name="_ETM_Q68_622339"/>
      <w:bookmarkEnd w:id="37291"/>
      <w:r>
        <w:rPr>
          <w:rFonts w:hint="cs"/>
          <w:rtl/>
          <w:lang w:eastAsia="he-IL"/>
        </w:rPr>
        <w:t xml:space="preserve">נכבדה, אדוני היושב-ראש, וגם עם ישראל בערב הזה, מדינת </w:t>
      </w:r>
      <w:bookmarkStart w:id="37292" w:name="_ETM_Q68_630370"/>
      <w:bookmarkEnd w:id="37292"/>
      <w:r>
        <w:rPr>
          <w:rFonts w:hint="cs"/>
          <w:rtl/>
          <w:lang w:eastAsia="he-IL"/>
        </w:rPr>
        <w:t xml:space="preserve">ישראל נמצאת במשבר הגדול ביותר בתולדותיה, משבר גדול </w:t>
      </w:r>
      <w:bookmarkStart w:id="37293" w:name="_ETM_Q68_636922"/>
      <w:bookmarkEnd w:id="37293"/>
      <w:r>
        <w:rPr>
          <w:rFonts w:hint="cs"/>
          <w:rtl/>
          <w:lang w:eastAsia="he-IL"/>
        </w:rPr>
        <w:t xml:space="preserve">אפילו יותר ממלחמות ישראל. הקרע בעם גדול מאי פעם. אמון הציבור </w:t>
      </w:r>
      <w:bookmarkStart w:id="37294" w:name="_ETM_Q68_645609"/>
      <w:bookmarkEnd w:id="37294"/>
      <w:r>
        <w:rPr>
          <w:rFonts w:hint="cs"/>
          <w:rtl/>
          <w:lang w:eastAsia="he-IL"/>
        </w:rPr>
        <w:t xml:space="preserve">בממשלה גם הוא נמצא בשפל חסר תקדים – </w:t>
      </w:r>
      <w:bookmarkStart w:id="37295" w:name="_ETM_Q68_648363"/>
      <w:bookmarkEnd w:id="37295"/>
      <w:r w:rsidR="001F4995">
        <w:rPr>
          <w:rFonts w:hint="cs"/>
          <w:rtl/>
          <w:lang w:eastAsia="he-IL"/>
        </w:rPr>
        <w:t>ב</w:t>
      </w:r>
      <w:r>
        <w:rPr>
          <w:rFonts w:hint="cs"/>
          <w:rtl/>
          <w:lang w:eastAsia="he-IL"/>
        </w:rPr>
        <w:t xml:space="preserve">כל ממשלותיה כולל ממשלות הימין. את חוסר האמון הממשלה </w:t>
      </w:r>
      <w:bookmarkStart w:id="37296" w:name="_ETM_Q68_655294"/>
      <w:bookmarkEnd w:id="37296"/>
      <w:r>
        <w:rPr>
          <w:rFonts w:hint="cs"/>
          <w:rtl/>
          <w:lang w:eastAsia="he-IL"/>
        </w:rPr>
        <w:t>הזו הרוויחה ביושר. מאז שהוקמה הממשלה לא עושה</w:t>
      </w:r>
      <w:bookmarkStart w:id="37297" w:name="_ETM_Q68_657553"/>
      <w:bookmarkEnd w:id="37297"/>
      <w:r>
        <w:rPr>
          <w:rFonts w:hint="cs"/>
          <w:rtl/>
          <w:lang w:eastAsia="he-IL"/>
        </w:rPr>
        <w:t xml:space="preserve"> דבר אחד כדי לקיים את הבטחותיה לציבור. בקווי היסוד של </w:t>
      </w:r>
      <w:bookmarkStart w:id="37298" w:name="_ETM_Q68_667825"/>
      <w:bookmarkEnd w:id="37298"/>
      <w:r>
        <w:rPr>
          <w:rFonts w:hint="cs"/>
          <w:rtl/>
          <w:lang w:eastAsia="he-IL"/>
        </w:rPr>
        <w:t>הממשלה – מבחינתי, בערב הזה, ממשלת חורבן – נכתב בין השאר:</w:t>
      </w:r>
      <w:bookmarkStart w:id="37299" w:name="_ETM_Q68_675777"/>
      <w:bookmarkEnd w:id="37299"/>
      <w:r>
        <w:rPr>
          <w:rFonts w:hint="cs"/>
          <w:rtl/>
          <w:lang w:eastAsia="he-IL"/>
        </w:rPr>
        <w:t xml:space="preserve"> הממשלה </w:t>
      </w:r>
      <w:r w:rsidR="001F4995">
        <w:rPr>
          <w:rFonts w:hint="cs"/>
          <w:rtl/>
          <w:lang w:eastAsia="he-IL"/>
        </w:rPr>
        <w:t>"</w:t>
      </w:r>
      <w:r>
        <w:rPr>
          <w:rFonts w:hint="cs"/>
          <w:rtl/>
          <w:lang w:eastAsia="he-IL"/>
        </w:rPr>
        <w:t xml:space="preserve">תפעל לביצור הביטחון הלאומי ולהקנות ביטחון אישי לאזרחים </w:t>
      </w:r>
      <w:bookmarkStart w:id="37300" w:name="_ETM_Q68_683884"/>
      <w:bookmarkEnd w:id="37300"/>
      <w:r>
        <w:rPr>
          <w:rFonts w:hint="cs"/>
          <w:rtl/>
          <w:lang w:eastAsia="he-IL"/>
        </w:rPr>
        <w:t xml:space="preserve">תוך מאבק נחרץ באלימות ובטרור; תפעל להמשך המאבק הנגד </w:t>
      </w:r>
      <w:bookmarkStart w:id="37301" w:name="_ETM_Q68_691181"/>
      <w:bookmarkEnd w:id="37301"/>
      <w:r>
        <w:rPr>
          <w:rFonts w:hint="cs"/>
          <w:rtl/>
          <w:lang w:eastAsia="he-IL"/>
        </w:rPr>
        <w:t xml:space="preserve">תוכנית הגרעין של איראן, תחזק את מעמד ירושלים ותפעל לקידום </w:t>
      </w:r>
      <w:bookmarkStart w:id="37302" w:name="_ETM_Q68_697833"/>
      <w:bookmarkEnd w:id="37302"/>
      <w:r>
        <w:rPr>
          <w:rFonts w:hint="cs"/>
          <w:rtl/>
          <w:lang w:eastAsia="he-IL"/>
        </w:rPr>
        <w:t xml:space="preserve">השלום עם כל השכנות, תוך שמירת האינטרסים הביטחוניים, ההיסטוריים </w:t>
      </w:r>
      <w:bookmarkStart w:id="37303" w:name="_ETM_Q68_701078"/>
      <w:bookmarkEnd w:id="37303"/>
      <w:r>
        <w:rPr>
          <w:rFonts w:hint="cs"/>
          <w:rtl/>
          <w:lang w:eastAsia="he-IL"/>
        </w:rPr>
        <w:t>והלאומיים של ישראל</w:t>
      </w:r>
      <w:r w:rsidR="001F4995">
        <w:rPr>
          <w:rFonts w:hint="cs"/>
          <w:rtl/>
          <w:lang w:eastAsia="he-IL"/>
        </w:rPr>
        <w:t>"</w:t>
      </w:r>
      <w:r>
        <w:rPr>
          <w:rFonts w:hint="cs"/>
          <w:rtl/>
          <w:lang w:eastAsia="he-IL"/>
        </w:rPr>
        <w:t xml:space="preserve">. כך נכתב בקווי היסוד של הממשלה. אכן, </w:t>
      </w:r>
      <w:bookmarkStart w:id="37304" w:name="_ETM_Q68_711430"/>
      <w:bookmarkEnd w:id="37304"/>
      <w:r>
        <w:rPr>
          <w:rFonts w:hint="cs"/>
          <w:rtl/>
          <w:lang w:eastAsia="he-IL"/>
        </w:rPr>
        <w:t>מטרות חשובות, ראויות ומשמעותיות. אני מניחה שעליהן מן הסתם</w:t>
      </w:r>
      <w:bookmarkStart w:id="37305" w:name="_ETM_Q68_713976"/>
      <w:bookmarkEnd w:id="37305"/>
      <w:r>
        <w:rPr>
          <w:rFonts w:hint="cs"/>
          <w:rtl/>
          <w:lang w:eastAsia="he-IL"/>
        </w:rPr>
        <w:t xml:space="preserve"> תהיה הסכמה רחבה בקרב כל אזרחי המדינה. </w:t>
      </w:r>
    </w:p>
    <w:p w:rsidR="00BB59CD" w:rsidRDefault="00BB59CD" w:rsidP="00BB59CD">
      <w:pPr>
        <w:rPr>
          <w:rtl/>
          <w:lang w:eastAsia="he-IL"/>
        </w:rPr>
      </w:pPr>
      <w:bookmarkStart w:id="37306" w:name="_ETM_Q68_731672"/>
      <w:bookmarkStart w:id="37307" w:name="_ETM_Q68_731730"/>
      <w:bookmarkStart w:id="37308" w:name="_ETM_Q68_731817"/>
      <w:bookmarkEnd w:id="37306"/>
      <w:bookmarkEnd w:id="37307"/>
      <w:bookmarkEnd w:id="37308"/>
    </w:p>
    <w:p w:rsidR="00BB59CD" w:rsidRDefault="00BB59CD" w:rsidP="001F4995">
      <w:pPr>
        <w:rPr>
          <w:rtl/>
        </w:rPr>
      </w:pPr>
      <w:bookmarkStart w:id="37309" w:name="_ETM_Q68_731953"/>
      <w:bookmarkEnd w:id="37309"/>
      <w:r>
        <w:rPr>
          <w:rFonts w:hint="cs"/>
          <w:rtl/>
          <w:lang w:eastAsia="he-IL"/>
        </w:rPr>
        <w:t xml:space="preserve">אבל לצערי קווי </w:t>
      </w:r>
      <w:bookmarkStart w:id="37310" w:name="_ETM_Q68_727031"/>
      <w:bookmarkEnd w:id="37310"/>
      <w:r>
        <w:rPr>
          <w:rFonts w:hint="cs"/>
          <w:rtl/>
          <w:lang w:eastAsia="he-IL"/>
        </w:rPr>
        <w:t xml:space="preserve">יסוד מחד ומציאות מאידך. ביטחון לאומי – אויבינו מחככים </w:t>
      </w:r>
      <w:bookmarkStart w:id="37311" w:name="_ETM_Q68_732734"/>
      <w:bookmarkEnd w:id="37311"/>
      <w:r>
        <w:rPr>
          <w:rFonts w:hint="cs"/>
          <w:rtl/>
          <w:lang w:eastAsia="he-IL"/>
        </w:rPr>
        <w:t xml:space="preserve">ידיים בסיפוק, בצפון חיזבאללה מעז להקים אוהלים ממש בתוך </w:t>
      </w:r>
      <w:bookmarkStart w:id="37312" w:name="_ETM_Q68_747641"/>
      <w:bookmarkEnd w:id="37312"/>
      <w:r>
        <w:rPr>
          <w:rFonts w:hint="cs"/>
          <w:rtl/>
          <w:lang w:eastAsia="he-IL"/>
        </w:rPr>
        <w:t xml:space="preserve">הקו הכחול של מדינת ישראל. ביטחון אישי – אנשים נרצחים </w:t>
      </w:r>
      <w:bookmarkStart w:id="37313" w:name="_ETM_Q68_753989"/>
      <w:bookmarkEnd w:id="37313"/>
      <w:r>
        <w:rPr>
          <w:rFonts w:hint="cs"/>
          <w:rtl/>
          <w:lang w:eastAsia="he-IL"/>
        </w:rPr>
        <w:t xml:space="preserve">מדי יום, ולעיתים יותר מאחד ביום. 128 נרצחים בחברה הערבית, </w:t>
      </w:r>
      <w:bookmarkStart w:id="37314" w:name="_ETM_Q68_761261"/>
      <w:bookmarkEnd w:id="37314"/>
      <w:r>
        <w:rPr>
          <w:rFonts w:hint="cs"/>
          <w:rtl/>
          <w:lang w:eastAsia="he-IL"/>
        </w:rPr>
        <w:t>פרוטקשן משתולל.</w:t>
      </w:r>
      <w:bookmarkStart w:id="37315" w:name="_ETM_Q68_207892"/>
      <w:bookmarkStart w:id="37316" w:name="_ETM_Q68_157979"/>
      <w:bookmarkEnd w:id="37315"/>
      <w:bookmarkEnd w:id="37316"/>
      <w:r>
        <w:rPr>
          <w:rFonts w:hint="cs"/>
          <w:rtl/>
          <w:lang w:eastAsia="he-IL"/>
        </w:rPr>
        <w:t xml:space="preserve"> </w:t>
      </w:r>
      <w:bookmarkStart w:id="37317" w:name="TOR_Q69"/>
      <w:bookmarkEnd w:id="37317"/>
      <w:r>
        <w:rPr>
          <w:rFonts w:hint="cs"/>
          <w:rtl/>
        </w:rPr>
        <w:t xml:space="preserve">מה לגבי מאבק נחרץ באלימות ובטרור? הטרור שוב ושוב מרים ראשו, ולצערי רק מתגבר; מאבק בתוכניות הגרעין של איראן? לא ממש; חיזוק מעמד ירושלים? כן, אבל בלי זו המזרחית; קידום השלום עם השכנות? אז זהו, שלא ממש.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אם גברתי מרשה לי, אין ירושלים המזרחית, יש מזרח ירושלים. </w:t>
      </w:r>
    </w:p>
    <w:p w:rsidR="00BB59CD" w:rsidRDefault="00BB59CD" w:rsidP="00BB59CD">
      <w:pPr>
        <w:rPr>
          <w:rtl/>
          <w:lang w:eastAsia="he-IL"/>
        </w:rPr>
      </w:pPr>
    </w:p>
    <w:p w:rsidR="00BB59CD" w:rsidRDefault="00BB59CD" w:rsidP="00BB59CD">
      <w:pPr>
        <w:pStyle w:val="-"/>
        <w:keepNext/>
        <w:rPr>
          <w:rtl/>
        </w:rPr>
      </w:pPr>
      <w:bookmarkStart w:id="37318" w:name="ET_speakercontinue_6359_4"/>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bookmarkEnd w:id="37318"/>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מזרח ירושלים. זה בסדר. </w:t>
      </w:r>
      <w:bookmarkStart w:id="37319" w:name="_ETM_Q69_194000"/>
      <w:bookmarkEnd w:id="37319"/>
    </w:p>
    <w:p w:rsidR="00BB59CD" w:rsidRDefault="00BB59CD" w:rsidP="00BB59CD">
      <w:pPr>
        <w:rPr>
          <w:rtl/>
          <w:lang w:eastAsia="he-IL"/>
        </w:rPr>
      </w:pPr>
    </w:p>
    <w:p w:rsidR="00BB59CD" w:rsidRDefault="00BB59CD" w:rsidP="00BB59CD">
      <w:pPr>
        <w:rPr>
          <w:rtl/>
          <w:lang w:eastAsia="he-IL"/>
        </w:rPr>
      </w:pPr>
      <w:bookmarkStart w:id="37320" w:name="_ETM_Q69_195000"/>
      <w:bookmarkEnd w:id="37320"/>
      <w:r>
        <w:rPr>
          <w:rFonts w:hint="cs"/>
          <w:rtl/>
          <w:lang w:eastAsia="he-IL"/>
        </w:rPr>
        <w:t xml:space="preserve">קידום השלום עם השכנות – אז זהו, שראש הממשלה לא מוזמן; ואפס עשייה לקידום שלום עם שכנינו. ומה לגבי שמירת האינטרסים של ישראל? גדולים וחכמים ממני במהלך החודשים האחרונים אומרים שהאינטרסים נפגעים ומידרדרים לשפל חסר תקדים.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הלאה, עוד ציטוט: </w:t>
      </w:r>
      <w:bookmarkStart w:id="37321" w:name="_ETM_Q69_223000"/>
      <w:bookmarkEnd w:id="37321"/>
      <w:r>
        <w:rPr>
          <w:rFonts w:hint="cs"/>
          <w:rtl/>
          <w:lang w:eastAsia="he-IL"/>
        </w:rPr>
        <w:t xml:space="preserve">"בארבע השנים הבאות נפעל שישראל תהיה מעצמה עולמית משגשגת וחזקה שקיומה לא מוטל עוד בספק. לשם כך עלינו לבצע שלוש משימות: הראשונה, לסכל את מאמצי </w:t>
      </w:r>
      <w:bookmarkStart w:id="37322" w:name="_ETM_Q69_242000"/>
      <w:bookmarkEnd w:id="37322"/>
      <w:r>
        <w:rPr>
          <w:rFonts w:hint="cs"/>
          <w:rtl/>
          <w:lang w:eastAsia="he-IL"/>
        </w:rPr>
        <w:t xml:space="preserve">איראן לפתח ארסנל של פצצות גרעין שיאיימו עלינו ועל העולם כולו. נבטיח את העליונות הצבאית של ישראל במרחב הסובב אותנו; המשימה השנייה היא לפתח את תשתיות המדינה, כולל לפתח רכבת בזק שתיסע במהירות של מאות קילומטרים בשעה, ותחבר את המדינה מקריית שמונה ועד אילת, ובכך </w:t>
      </w:r>
      <w:bookmarkStart w:id="37323" w:name="_ETM_Q69_270000"/>
      <w:bookmarkEnd w:id="37323"/>
      <w:r>
        <w:rPr>
          <w:rFonts w:hint="cs"/>
          <w:rtl/>
          <w:lang w:eastAsia="he-IL"/>
        </w:rPr>
        <w:t xml:space="preserve">תשלים את מהפכת התחבורה שהתחלנו בעשור הקודם; המשימה השלישית היא להמשיך להרחיב את מעגל השלום עם מדינות ערב במטרה לסיים את </w:t>
      </w:r>
      <w:bookmarkStart w:id="37324" w:name="_ETM_Q69_284000"/>
      <w:bookmarkEnd w:id="37324"/>
      <w:r>
        <w:rPr>
          <w:rFonts w:hint="cs"/>
          <w:rtl/>
          <w:lang w:eastAsia="he-IL"/>
        </w:rPr>
        <w:t xml:space="preserve">הסכסוך הישראלי–ערבי". אז כמובן, את זאת אמר ראש ממשלת ישראל בנימין נתניהו ביום השבעת הכנסת השלושים-ושבע: איראן, תשתיות, הרחבת מעגלי השלום. </w:t>
      </w:r>
    </w:p>
    <w:p w:rsidR="00BB59CD" w:rsidRDefault="00BB59CD" w:rsidP="00BB59CD">
      <w:pPr>
        <w:rPr>
          <w:rtl/>
          <w:lang w:eastAsia="he-IL"/>
        </w:rPr>
      </w:pPr>
    </w:p>
    <w:p w:rsidR="00BB59CD" w:rsidRDefault="00BB59CD" w:rsidP="00BB59CD">
      <w:pPr>
        <w:rPr>
          <w:rtl/>
          <w:lang w:eastAsia="he-IL"/>
        </w:rPr>
      </w:pPr>
      <w:bookmarkStart w:id="37325" w:name="_ETM_Q69_302000"/>
      <w:bookmarkEnd w:id="37325"/>
      <w:r>
        <w:rPr>
          <w:rFonts w:hint="cs"/>
          <w:rtl/>
          <w:lang w:eastAsia="he-IL"/>
        </w:rPr>
        <w:t xml:space="preserve">ברשותכם, עוד ציטוט: "מאז ומעולם עם ישראל ידע להתאחד סביב מלחמות, סביב קושי ואסונות - - - אנחנו מקימים ממשלה שתשרת את כל אזרחי ישראל. העם בישראל חכם ומבין שקמפייני ההפחדה הנבזיים, אין בהם אמת - - - נשרת את כולם באחריות </w:t>
      </w:r>
      <w:bookmarkStart w:id="37326" w:name="_ETM_Q69_326000"/>
      <w:bookmarkEnd w:id="37326"/>
      <w:r>
        <w:rPr>
          <w:rFonts w:hint="cs"/>
          <w:rtl/>
          <w:lang w:eastAsia="he-IL"/>
        </w:rPr>
        <w:t xml:space="preserve">ומתוך תחושת שליחות לכל אחד". נבקש ש"תעשו </w:t>
      </w:r>
      <w:r>
        <w:rPr>
          <w:lang w:eastAsia="he-IL"/>
        </w:rPr>
        <w:t>delete</w:t>
      </w:r>
      <w:r>
        <w:rPr>
          <w:rFonts w:hint="cs"/>
          <w:rtl/>
          <w:lang w:eastAsia="he-IL"/>
        </w:rPr>
        <w:t xml:space="preserve">, תמחקו </w:t>
      </w:r>
      <w:bookmarkStart w:id="37327" w:name="_ETM_Q69_330000"/>
      <w:bookmarkEnd w:id="37327"/>
      <w:r>
        <w:rPr>
          <w:rFonts w:hint="cs"/>
          <w:rtl/>
          <w:lang w:eastAsia="he-IL"/>
        </w:rPr>
        <w:t>את החודשיים האחרונים - - - אנחנו יוצאים לדרך חדשה - - - ומלאת תקווה".</w:t>
      </w:r>
      <w:bookmarkStart w:id="37328" w:name="_ETM_Q69_339000"/>
      <w:bookmarkEnd w:id="37328"/>
      <w:r>
        <w:rPr>
          <w:rFonts w:hint="cs"/>
          <w:rtl/>
          <w:lang w:eastAsia="he-IL"/>
        </w:rPr>
        <w:t xml:space="preserve"> את הדברים האלה אמר בצלאל סמוטריץ' באותו מעמד. ובכן, "נשרת את כולם באחריות", </w:t>
      </w:r>
      <w:bookmarkStart w:id="37329" w:name="_ETM_Q69_347000"/>
      <w:bookmarkEnd w:id="37329"/>
      <w:r>
        <w:rPr>
          <w:rFonts w:hint="cs"/>
          <w:rtl/>
          <w:lang w:eastAsia="he-IL"/>
        </w:rPr>
        <w:t xml:space="preserve">"יוצאים לדרך חדשה, מלאת תקווה" – איפה התקווה? ממש כמו איראן, האחריות והשלום – מילים ריקות. </w:t>
      </w:r>
    </w:p>
    <w:p w:rsidR="00BB59CD" w:rsidRDefault="00BB59CD" w:rsidP="00BB59CD">
      <w:pPr>
        <w:rPr>
          <w:rtl/>
          <w:lang w:eastAsia="he-IL"/>
        </w:rPr>
      </w:pPr>
    </w:p>
    <w:p w:rsidR="00BB59CD" w:rsidRDefault="00BB59CD" w:rsidP="001F4995">
      <w:pPr>
        <w:rPr>
          <w:rtl/>
          <w:lang w:eastAsia="he-IL"/>
        </w:rPr>
      </w:pPr>
      <w:r>
        <w:rPr>
          <w:rFonts w:hint="cs"/>
          <w:rtl/>
          <w:lang w:eastAsia="he-IL"/>
        </w:rPr>
        <w:t xml:space="preserve">ציטוט נוסף: </w:t>
      </w:r>
      <w:r w:rsidR="001F4995">
        <w:rPr>
          <w:rFonts w:hint="cs"/>
          <w:rtl/>
          <w:lang w:eastAsia="he-IL"/>
        </w:rPr>
        <w:t>"</w:t>
      </w:r>
      <w:r>
        <w:rPr>
          <w:rFonts w:hint="cs"/>
          <w:rtl/>
          <w:lang w:eastAsia="he-IL"/>
        </w:rPr>
        <w:t xml:space="preserve">נפעל למען כל </w:t>
      </w:r>
      <w:bookmarkStart w:id="37330" w:name="_ETM_Q69_365000"/>
      <w:bookmarkEnd w:id="37330"/>
      <w:r>
        <w:rPr>
          <w:rFonts w:hint="cs"/>
          <w:rtl/>
          <w:lang w:eastAsia="he-IL"/>
        </w:rPr>
        <w:t>אזרחי ישראל</w:t>
      </w:r>
      <w:r w:rsidR="001F4995">
        <w:rPr>
          <w:rFonts w:hint="cs"/>
          <w:rtl/>
          <w:lang w:eastAsia="he-IL"/>
        </w:rPr>
        <w:t xml:space="preserve">. </w:t>
      </w:r>
      <w:r>
        <w:rPr>
          <w:rFonts w:hint="cs"/>
          <w:rtl/>
          <w:lang w:eastAsia="he-IL"/>
        </w:rPr>
        <w:t>אינני מאמין באפליה</w:t>
      </w:r>
      <w:r w:rsidR="001F4995">
        <w:rPr>
          <w:rFonts w:hint="cs"/>
          <w:rtl/>
          <w:lang w:eastAsia="he-IL"/>
        </w:rPr>
        <w:t xml:space="preserve">. </w:t>
      </w:r>
      <w:r>
        <w:rPr>
          <w:rFonts w:hint="cs"/>
          <w:rtl/>
          <w:lang w:eastAsia="he-IL"/>
        </w:rPr>
        <w:t xml:space="preserve">אני מאמין בסובלנות ובשיתוף פעולה. עיני העולם והדור הצעיר נשואות אלינו. ויכוחים וחילוקי דעות הם לגיטימיים, אך יש דרך מכובדת ומנומסת לנהל </w:t>
      </w:r>
      <w:bookmarkStart w:id="37331" w:name="_ETM_Q69_382000"/>
      <w:bookmarkEnd w:id="37331"/>
      <w:r>
        <w:rPr>
          <w:rFonts w:hint="cs"/>
          <w:rtl/>
          <w:lang w:eastAsia="he-IL"/>
        </w:rPr>
        <w:t xml:space="preserve">אותם. בואו נחיל על עצמנו נורמות של כבוד הדדי. </w:t>
      </w:r>
      <w:bookmarkStart w:id="37332" w:name="_ETM_Q69_389000"/>
      <w:bookmarkEnd w:id="37332"/>
      <w:r>
        <w:rPr>
          <w:rFonts w:hint="cs"/>
          <w:rtl/>
          <w:lang w:eastAsia="he-IL"/>
        </w:rPr>
        <w:t>אני פונה לכל אזרחי ישראל ויושבי הבית החוששים מהממשלה החדשה ומשגר מסר של פיוס, אחווה ורעות. אנחנו מכבדים אתכם</w:t>
      </w:r>
      <w:r w:rsidR="001F4995">
        <w:rPr>
          <w:rFonts w:hint="cs"/>
          <w:rtl/>
          <w:lang w:eastAsia="he-IL"/>
        </w:rPr>
        <w:t>"</w:t>
      </w:r>
      <w:r>
        <w:rPr>
          <w:rFonts w:hint="cs"/>
          <w:rtl/>
          <w:lang w:eastAsia="he-IL"/>
        </w:rPr>
        <w:t xml:space="preserve">. אז את הדברים האלה אמר שר השיכון מר גולדקנופ – מי שטוען </w:t>
      </w:r>
      <w:bookmarkStart w:id="37333" w:name="_ETM_Q69_408000"/>
      <w:bookmarkEnd w:id="37333"/>
      <w:r>
        <w:rPr>
          <w:rFonts w:hint="cs"/>
          <w:rtl/>
          <w:lang w:eastAsia="he-IL"/>
        </w:rPr>
        <w:t xml:space="preserve">שאינו מאמין באפליה אבל הוא עצמו מקדם דיור שתפור בדיוק </w:t>
      </w:r>
      <w:bookmarkStart w:id="37334" w:name="_ETM_Q69_414000"/>
      <w:bookmarkEnd w:id="37334"/>
      <w:r>
        <w:rPr>
          <w:rFonts w:hint="cs"/>
          <w:rtl/>
          <w:lang w:eastAsia="he-IL"/>
        </w:rPr>
        <w:t xml:space="preserve">למידות אוכלוסייה מסוימת אחת; מי שנלחם כדי שאוכלוסייה אחת תמשיך לא ללמוד לימודי ליבה, תמשיך </w:t>
      </w:r>
      <w:bookmarkStart w:id="37335" w:name="_ETM_Q69_424000"/>
      <w:bookmarkEnd w:id="37335"/>
      <w:r>
        <w:rPr>
          <w:rFonts w:hint="cs"/>
          <w:rtl/>
          <w:lang w:eastAsia="he-IL"/>
        </w:rPr>
        <w:t xml:space="preserve">לא לשרת, תמשיך לא לעבוד בזמן שכל השאר נושאים בנטל. פיוס, אחווה ורעות – כל עוד מאפשרים, כמובן, לציבור של גולדקנופ לרכוב על גב הציבור היצרני.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עוד ציטוט: "לא הולך להשתנות דבר" – לא הולך להשתנות דבר. </w:t>
      </w:r>
      <w:bookmarkStart w:id="37336" w:name="_ETM_Q69_448000"/>
      <w:bookmarkEnd w:id="37336"/>
      <w:r>
        <w:rPr>
          <w:rFonts w:hint="cs"/>
          <w:rtl/>
          <w:lang w:eastAsia="he-IL"/>
        </w:rPr>
        <w:t xml:space="preserve">"אנחנו היינו בשלטון הרבה פעמים, אני הייתי בעמדה כלכלית בכירה במדינה – ודאגתי לכולם". "אני מבטיח - - - אני אמשיך להיות יושב-ראש ועדת הכספים - - - לא יהיה שינוי - - - נעבוד בשביל </w:t>
      </w:r>
      <w:bookmarkStart w:id="37337" w:name="_ETM_Q69_462000"/>
      <w:bookmarkEnd w:id="37337"/>
      <w:r>
        <w:rPr>
          <w:rFonts w:hint="cs"/>
          <w:rtl/>
          <w:lang w:eastAsia="he-IL"/>
        </w:rPr>
        <w:t xml:space="preserve">האיש - - - בנהריה - - - בטבריה - - - ובאופקים". אז כמובן, גפני, אין ספק שעבדתם בשביל האיש בטבריה – איש אחד, יחיד ומיוחד </w:t>
      </w:r>
      <w:bookmarkStart w:id="37338" w:name="_ETM_Q69_474000"/>
      <w:bookmarkEnd w:id="37338"/>
      <w:r>
        <w:rPr>
          <w:rFonts w:hint="cs"/>
          <w:rtl/>
          <w:lang w:eastAsia="he-IL"/>
        </w:rPr>
        <w:t xml:space="preserve">שחוקקתם עבורו במיוחד חוק פרסונלי להפליא שתפור בדיוק למידותיו. ושאר האנשים בנהריה, בטבריה ובאופקים? מרוב חוקים פרסונליים, באנשים בנהריה, בטבריה ובאופקים לא היה לכם זמן לטפל. </w:t>
      </w:r>
    </w:p>
    <w:p w:rsidR="00BB59CD" w:rsidRDefault="00BB59CD" w:rsidP="00BB59CD">
      <w:pPr>
        <w:rPr>
          <w:rtl/>
          <w:lang w:eastAsia="he-IL"/>
        </w:rPr>
      </w:pPr>
    </w:p>
    <w:p w:rsidR="00BB59CD" w:rsidRDefault="00BB59CD" w:rsidP="001F4995">
      <w:pPr>
        <w:rPr>
          <w:rtl/>
          <w:lang w:eastAsia="he-IL"/>
        </w:rPr>
      </w:pPr>
      <w:r>
        <w:rPr>
          <w:rFonts w:hint="cs"/>
          <w:rtl/>
          <w:lang w:eastAsia="he-IL"/>
        </w:rPr>
        <w:t xml:space="preserve">אדוני, אני זוכרת היטב את קמפיין הבחירות של מפלגת הליכוד, מפלגתך: משילות ויוקר מחיה, יוקר מחיה ומשילות, שוב ושוב; סרטון בתחנת דלק, סרטון בסופר, סרטון לחינוך חינם מגיל </w:t>
      </w:r>
      <w:bookmarkStart w:id="37339" w:name="_ETM_Q69_519000"/>
      <w:bookmarkEnd w:id="37339"/>
      <w:r>
        <w:rPr>
          <w:rFonts w:hint="cs"/>
          <w:rtl/>
          <w:lang w:eastAsia="he-IL"/>
        </w:rPr>
        <w:t xml:space="preserve">לידה ועוד ועוד. וכמובן שבקמפיין הליכוד דובר מעט מאוד, כמעט לא הוזכר, מה שמכונה במתק שפתיים "רפורמה". ואז הגיעה הצהרתו של יריב לוין ב-4 בינואר, והארץ רעשה. כן, זאת הייתה נקודת המפנה </w:t>
      </w:r>
      <w:bookmarkStart w:id="37340" w:name="_ETM_Q69_548000"/>
      <w:bookmarkEnd w:id="37340"/>
      <w:r>
        <w:rPr>
          <w:rFonts w:hint="cs"/>
          <w:rtl/>
          <w:lang w:eastAsia="he-IL"/>
        </w:rPr>
        <w:t>גם מבחינת המוחים. אז התחילה המחאה, לא קודם, עם כינון הממשלה. האזרחים קיבלו את תוצאות הבחירות וגם את כינון הממשלה</w:t>
      </w:r>
      <w:r w:rsidR="001F4995">
        <w:rPr>
          <w:rFonts w:hint="cs"/>
          <w:rtl/>
          <w:lang w:eastAsia="he-IL"/>
        </w:rPr>
        <w:t>;</w:t>
      </w:r>
      <w:r>
        <w:rPr>
          <w:rFonts w:hint="cs"/>
          <w:rtl/>
          <w:lang w:eastAsia="he-IL"/>
        </w:rPr>
        <w:t xml:space="preserve"> השבר הגדול החל ב-4 </w:t>
      </w:r>
      <w:bookmarkStart w:id="37341" w:name="_ETM_Q69_565000"/>
      <w:bookmarkEnd w:id="37341"/>
      <w:r>
        <w:rPr>
          <w:rFonts w:hint="cs"/>
          <w:rtl/>
          <w:lang w:eastAsia="he-IL"/>
        </w:rPr>
        <w:t>בינואר, עם הצהרתו של יריב לוין במסיבת העיתונאים: "אני משיק היום את השלב הראשון של רפורמת המשילות, שתכליתה חיזוק הדמוקרטיה, שיקום המשילות, השבת האמון במערכת המשפט והשבת האיזון בין שלוש רשויות השלטון. אנו נדון ברפורמה כאן בכנסת, בבית הנבחרים. נדון בהרחבה ובאופן מעמיק. תישמענה דעותיהם של כלל חברי הכנסת מכל הסיעות" – כה אמר – "תישמענה דעותיהם של אנשי מערכת המשפט ושל מומחים מתחומים אחרים.</w:t>
      </w:r>
      <w:r w:rsidR="001F4995">
        <w:rPr>
          <w:rFonts w:hint="cs"/>
          <w:rtl/>
          <w:lang w:eastAsia="he-IL"/>
        </w:rPr>
        <w:t xml:space="preserve"> </w:t>
      </w:r>
      <w:r>
        <w:rPr>
          <w:rFonts w:hint="cs"/>
          <w:rtl/>
          <w:lang w:eastAsia="he-IL"/>
        </w:rPr>
        <w:t>אני מבקש להציג בפניכם את עיקרי השלב הראשון של הרפורמה</w:t>
      </w:r>
      <w:r w:rsidR="001F4995">
        <w:rPr>
          <w:rFonts w:hint="cs"/>
          <w:rtl/>
          <w:lang w:eastAsia="he-IL"/>
        </w:rPr>
        <w:t>,</w:t>
      </w:r>
      <w:r>
        <w:rPr>
          <w:rFonts w:hint="cs"/>
          <w:rtl/>
          <w:lang w:eastAsia="he-IL"/>
        </w:rPr>
        <w:t xml:space="preserve"> שנועדו לטפל בנקודות הדחופות ביותר". 4 בינואר 2023. </w:t>
      </w:r>
      <w:bookmarkStart w:id="37342" w:name="_ETM_Q69_624000"/>
      <w:bookmarkEnd w:id="37342"/>
      <w:r>
        <w:rPr>
          <w:rFonts w:hint="cs"/>
          <w:rtl/>
          <w:lang w:eastAsia="he-IL"/>
        </w:rPr>
        <w:t>ראשית ביקש לוין לשנות את הרכב הוועדה לבחירת שופטים; בשלב השני – פסקת ההתגברות</w:t>
      </w:r>
      <w:bookmarkStart w:id="37343" w:name="_ETM_Q69_636000"/>
      <w:bookmarkEnd w:id="37343"/>
      <w:r>
        <w:rPr>
          <w:rFonts w:hint="cs"/>
          <w:rtl/>
          <w:lang w:eastAsia="he-IL"/>
        </w:rPr>
        <w:t xml:space="preserve"> והגבלת היכולת של בית המשפט לפסול חוקי-יסוד; בשלב השלישי – ביטול עילת הסבירות, הנושא שלשמו, כמובן, התכנסנו כאן היום, מחר, </w:t>
      </w:r>
      <w:bookmarkStart w:id="37344" w:name="_ETM_Q69_647000"/>
      <w:bookmarkEnd w:id="37344"/>
      <w:r>
        <w:rPr>
          <w:rFonts w:hint="cs"/>
          <w:rtl/>
          <w:lang w:eastAsia="he-IL"/>
        </w:rPr>
        <w:t xml:space="preserve">גם הרבה זמן אחורה; בשלב הרביעי – שינוי מעמד היועצים המשפטיים.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הצהרת לוין הכתה רבים </w:t>
      </w:r>
      <w:bookmarkStart w:id="37345" w:name="_ETM_Q69_655000"/>
      <w:bookmarkEnd w:id="37345"/>
      <w:r>
        <w:rPr>
          <w:rFonts w:hint="cs"/>
          <w:rtl/>
          <w:lang w:eastAsia="he-IL"/>
        </w:rPr>
        <w:t>וטובים בתדהמה. נכון שלוין כבר עובד על ההפיכה במערכת המשפט 20 שנים, אבל ב-4 בינוא</w:t>
      </w:r>
      <w:bookmarkStart w:id="37346" w:name="_ETM_Q69_666000"/>
      <w:bookmarkEnd w:id="37346"/>
      <w:r>
        <w:rPr>
          <w:rFonts w:hint="cs"/>
          <w:rtl/>
          <w:lang w:eastAsia="he-IL"/>
        </w:rPr>
        <w:t>ר הגחמה שלו הפכה לנושא האחד והיחיד שבו עסוקה הממשלה – רפורמה וזהו. לזה כמובן אף אחד לא ציפה. לא לזה הצביעו בוחרי הממשלה</w:t>
      </w:r>
      <w:bookmarkStart w:id="37347" w:name="_ETM_Q69_682000"/>
      <w:bookmarkEnd w:id="37347"/>
      <w:r>
        <w:rPr>
          <w:rFonts w:hint="cs"/>
          <w:rtl/>
          <w:lang w:eastAsia="he-IL"/>
        </w:rPr>
        <w:t xml:space="preserve">, לא לזה הצביעו בוחרי הליכוד, ולא משנה כמה תטענו אחרת. </w:t>
      </w:r>
    </w:p>
    <w:p w:rsidR="00BB59CD" w:rsidRDefault="00BB59CD" w:rsidP="00BB59CD">
      <w:pPr>
        <w:rPr>
          <w:rtl/>
          <w:lang w:eastAsia="he-IL"/>
        </w:rPr>
      </w:pPr>
    </w:p>
    <w:p w:rsidR="00BB59CD" w:rsidRDefault="00BB59CD" w:rsidP="00BB59CD">
      <w:pPr>
        <w:rPr>
          <w:rtl/>
          <w:lang w:eastAsia="he-IL"/>
        </w:rPr>
      </w:pPr>
      <w:bookmarkStart w:id="37348" w:name="_ETM_Q69_693000"/>
      <w:bookmarkEnd w:id="37348"/>
      <w:r>
        <w:rPr>
          <w:rFonts w:hint="cs"/>
          <w:rtl/>
          <w:lang w:eastAsia="he-IL"/>
        </w:rPr>
        <w:t>יש אוהבים לחזור כמו מנטרה על הטיעון שממשלה של 64 מנדטים היא ממשלת רוב שיכולה לעשות כרצונה, והציבור יחליט בעוד ארבע שנים. אבל התבלבלתם</w:t>
      </w:r>
      <w:bookmarkStart w:id="37349" w:name="_ETM_Q69_707000"/>
      <w:bookmarkEnd w:id="37349"/>
      <w:r>
        <w:rPr>
          <w:rFonts w:hint="cs"/>
          <w:rtl/>
          <w:lang w:eastAsia="he-IL"/>
        </w:rPr>
        <w:t xml:space="preserve">, עלה לכם קצת לראש. ממשלת רוב אינה ממשלת עריצות הרוב; ממשלת </w:t>
      </w:r>
      <w:bookmarkStart w:id="37350" w:name="_ETM_Q69_716000"/>
      <w:bookmarkEnd w:id="37350"/>
      <w:r>
        <w:rPr>
          <w:rFonts w:hint="cs"/>
          <w:rtl/>
          <w:lang w:eastAsia="he-IL"/>
        </w:rPr>
        <w:t xml:space="preserve">רוב צריכה לדאוג גם למיעוטים; ממשלת רוב, אין לה מנדט להרוס את שיטת הממשל. הממשלה הזאת לא </w:t>
      </w:r>
      <w:bookmarkStart w:id="37351" w:name="_ETM_Q69_724000"/>
      <w:bookmarkEnd w:id="37351"/>
      <w:r>
        <w:rPr>
          <w:rFonts w:hint="cs"/>
          <w:rtl/>
          <w:lang w:eastAsia="he-IL"/>
        </w:rPr>
        <w:t xml:space="preserve">נבחרה כדי לבצע את ההפיכה של לוין. זה לא הקמפיין; </w:t>
      </w:r>
      <w:bookmarkStart w:id="37352" w:name="_ETM_Q69_731000"/>
      <w:bookmarkEnd w:id="37352"/>
      <w:r>
        <w:rPr>
          <w:rFonts w:hint="cs"/>
          <w:rtl/>
          <w:lang w:eastAsia="he-IL"/>
        </w:rPr>
        <w:t xml:space="preserve">זה לא נאמר בהצהרות ראש הממשלה בהשבעה; זה לא נמצא בקווי היסוד של הממשלה. </w:t>
      </w:r>
      <w:bookmarkStart w:id="37353" w:name="_ETM_Q69_739000"/>
      <w:bookmarkEnd w:id="37353"/>
      <w:r>
        <w:rPr>
          <w:rFonts w:hint="cs"/>
          <w:rtl/>
          <w:lang w:eastAsia="he-IL"/>
        </w:rPr>
        <w:t xml:space="preserve">זה נושא שהופיע בשולי הקמיין של סמוטריץ', אחד השותפים בקואליציה. זהו. זה לא היה, ולא תבלבלו אותנו עם העובדות. </w:t>
      </w:r>
    </w:p>
    <w:p w:rsidR="00BB59CD" w:rsidRDefault="00BB59CD" w:rsidP="00BB59CD">
      <w:pPr>
        <w:rPr>
          <w:rtl/>
          <w:lang w:eastAsia="he-IL"/>
        </w:rPr>
      </w:pPr>
    </w:p>
    <w:p w:rsidR="00BB59CD" w:rsidRDefault="00BB59CD" w:rsidP="001F4995">
      <w:pPr>
        <w:rPr>
          <w:rtl/>
        </w:rPr>
      </w:pPr>
      <w:r>
        <w:rPr>
          <w:rFonts w:hint="cs"/>
          <w:rtl/>
          <w:lang w:eastAsia="he-IL"/>
        </w:rPr>
        <w:t>אבל יותר מכול, לכל ממשלה</w:t>
      </w:r>
      <w:bookmarkStart w:id="37354" w:name="_ETM_Q69_755000"/>
      <w:bookmarkEnd w:id="37354"/>
      <w:r>
        <w:rPr>
          <w:rFonts w:hint="cs"/>
          <w:rtl/>
          <w:lang w:eastAsia="he-IL"/>
        </w:rPr>
        <w:t xml:space="preserve"> – לא רק לממשלה הזאת – אין מנדט לשנות את שיטת המשטר</w:t>
      </w:r>
      <w:bookmarkStart w:id="37355" w:name="_ETM_Q69_759000"/>
      <w:bookmarkEnd w:id="37355"/>
      <w:r>
        <w:rPr>
          <w:rFonts w:hint="cs"/>
          <w:rtl/>
          <w:lang w:eastAsia="he-IL"/>
        </w:rPr>
        <w:t xml:space="preserve">, ולא משנה כמה מנדטים יש לה. </w:t>
      </w:r>
      <w:bookmarkStart w:id="37356" w:name="TOR_Q70"/>
      <w:bookmarkStart w:id="37357" w:name="_ETM_Q70_152638"/>
      <w:bookmarkEnd w:id="37356"/>
      <w:bookmarkEnd w:id="37357"/>
      <w:r>
        <w:rPr>
          <w:rFonts w:hint="cs"/>
          <w:rtl/>
          <w:lang w:eastAsia="he-IL"/>
        </w:rPr>
        <w:t xml:space="preserve">וזה בדיוק מה שהממשלה הזו עושה. היא הופכת את </w:t>
      </w:r>
      <w:bookmarkStart w:id="37358" w:name="_ETM_Q70_169776"/>
      <w:bookmarkEnd w:id="37358"/>
      <w:r>
        <w:rPr>
          <w:rFonts w:hint="cs"/>
          <w:rtl/>
          <w:lang w:eastAsia="he-IL"/>
        </w:rPr>
        <w:t>מדינת ישראל ממדינה דמוקרטית למדינה דיקטטורית.</w:t>
      </w:r>
      <w:bookmarkStart w:id="37359" w:name="_ETM_Q70_173431"/>
      <w:bookmarkStart w:id="37360" w:name="_ETM_Q70_180179"/>
      <w:bookmarkStart w:id="37361" w:name="_ETM_Q70_180269"/>
      <w:bookmarkStart w:id="37362" w:name="_ETM_Q70_181339"/>
      <w:bookmarkEnd w:id="37359"/>
      <w:bookmarkEnd w:id="37360"/>
      <w:bookmarkEnd w:id="37361"/>
      <w:bookmarkEnd w:id="37362"/>
      <w:r w:rsidR="001F4995">
        <w:rPr>
          <w:rFonts w:hint="cs"/>
          <w:rtl/>
          <w:lang w:eastAsia="he-IL"/>
        </w:rPr>
        <w:t xml:space="preserve"> </w:t>
      </w:r>
      <w:r>
        <w:rPr>
          <w:rFonts w:hint="cs"/>
          <w:rtl/>
        </w:rPr>
        <w:t xml:space="preserve">שמעתי </w:t>
      </w:r>
      <w:bookmarkStart w:id="37363" w:name="_ETM_Q70_182029"/>
      <w:bookmarkEnd w:id="37363"/>
      <w:r>
        <w:rPr>
          <w:rFonts w:hint="cs"/>
          <w:rtl/>
        </w:rPr>
        <w:t xml:space="preserve">בתקופה </w:t>
      </w:r>
      <w:bookmarkStart w:id="37364" w:name="_ETM_Q70_175081"/>
      <w:bookmarkEnd w:id="37364"/>
      <w:r>
        <w:rPr>
          <w:rFonts w:hint="cs"/>
          <w:rtl/>
        </w:rPr>
        <w:t xml:space="preserve">האחרונה </w:t>
      </w:r>
      <w:bookmarkStart w:id="37365" w:name="_ETM_Q70_172752"/>
      <w:bookmarkEnd w:id="37365"/>
      <w:r>
        <w:rPr>
          <w:rFonts w:hint="cs"/>
          <w:rtl/>
        </w:rPr>
        <w:t xml:space="preserve">כל </w:t>
      </w:r>
      <w:bookmarkStart w:id="37366" w:name="_ETM_Q70_182270"/>
      <w:bookmarkEnd w:id="37366"/>
      <w:r>
        <w:rPr>
          <w:rFonts w:hint="cs"/>
          <w:rtl/>
        </w:rPr>
        <w:t xml:space="preserve">כך </w:t>
      </w:r>
      <w:bookmarkStart w:id="37367" w:name="_ETM_Q70_182480"/>
      <w:bookmarkEnd w:id="37367"/>
      <w:r>
        <w:rPr>
          <w:rFonts w:hint="cs"/>
          <w:rtl/>
        </w:rPr>
        <w:t>הר</w:t>
      </w:r>
      <w:bookmarkStart w:id="37368" w:name="_ETM_Q70_177872"/>
      <w:bookmarkStart w:id="37369" w:name="_ETM_Q70_178066"/>
      <w:bookmarkEnd w:id="37368"/>
      <w:bookmarkEnd w:id="37369"/>
      <w:r>
        <w:rPr>
          <w:rFonts w:hint="cs"/>
          <w:rtl/>
        </w:rPr>
        <w:t xml:space="preserve">בה </w:t>
      </w:r>
      <w:bookmarkStart w:id="37370" w:name="_ETM_Q70_182750"/>
      <w:bookmarkEnd w:id="37370"/>
      <w:r>
        <w:rPr>
          <w:rFonts w:hint="cs"/>
          <w:rtl/>
        </w:rPr>
        <w:t>משפטנ</w:t>
      </w:r>
      <w:bookmarkStart w:id="37371" w:name="_ETM_Q70_176002"/>
      <w:bookmarkEnd w:id="37371"/>
      <w:r>
        <w:rPr>
          <w:rFonts w:hint="cs"/>
          <w:rtl/>
        </w:rPr>
        <w:t xml:space="preserve">ים </w:t>
      </w:r>
      <w:bookmarkStart w:id="37372" w:name="_ETM_Q70_183860"/>
      <w:bookmarkEnd w:id="37372"/>
      <w:r>
        <w:rPr>
          <w:rFonts w:hint="cs"/>
          <w:rtl/>
        </w:rPr>
        <w:t xml:space="preserve">שהסבירו ומבינים </w:t>
      </w:r>
      <w:bookmarkStart w:id="37373" w:name="_ETM_Q70_184549"/>
      <w:bookmarkEnd w:id="37373"/>
      <w:r>
        <w:rPr>
          <w:rFonts w:hint="cs"/>
          <w:rtl/>
        </w:rPr>
        <w:t xml:space="preserve">את </w:t>
      </w:r>
      <w:bookmarkStart w:id="37374" w:name="_ETM_Q70_184640"/>
      <w:bookmarkEnd w:id="37374"/>
      <w:r>
        <w:rPr>
          <w:rFonts w:hint="cs"/>
          <w:rtl/>
        </w:rPr>
        <w:t>ז</w:t>
      </w:r>
      <w:bookmarkStart w:id="37375" w:name="_ETM_Q70_180571"/>
      <w:bookmarkEnd w:id="37375"/>
      <w:r>
        <w:rPr>
          <w:rFonts w:hint="cs"/>
          <w:rtl/>
        </w:rPr>
        <w:t>ה;</w:t>
      </w:r>
      <w:bookmarkStart w:id="37376" w:name="_ETM_Q70_176571"/>
      <w:bookmarkEnd w:id="37376"/>
      <w:r>
        <w:rPr>
          <w:rFonts w:hint="cs"/>
          <w:rtl/>
        </w:rPr>
        <w:t xml:space="preserve"> </w:t>
      </w:r>
      <w:bookmarkStart w:id="37377" w:name="_ETM_Q70_185589"/>
      <w:bookmarkEnd w:id="37377"/>
      <w:r>
        <w:rPr>
          <w:rFonts w:hint="cs"/>
          <w:rtl/>
        </w:rPr>
        <w:t xml:space="preserve">שמעתי כל </w:t>
      </w:r>
      <w:bookmarkStart w:id="37378" w:name="_ETM_Q70_182564"/>
      <w:bookmarkEnd w:id="37378"/>
      <w:r>
        <w:rPr>
          <w:rFonts w:hint="cs"/>
          <w:rtl/>
        </w:rPr>
        <w:t>כך הרבה כלכלנים שמבינים את זה</w:t>
      </w:r>
      <w:bookmarkStart w:id="37379" w:name="_ETM_Q70_184092"/>
      <w:bookmarkEnd w:id="37379"/>
      <w:r>
        <w:rPr>
          <w:rFonts w:hint="cs"/>
          <w:rtl/>
        </w:rPr>
        <w:t xml:space="preserve">; הרופאים </w:t>
      </w:r>
      <w:bookmarkStart w:id="37380" w:name="_ETM_Q70_186950"/>
      <w:bookmarkEnd w:id="37380"/>
      <w:r>
        <w:rPr>
          <w:rFonts w:hint="cs"/>
          <w:rtl/>
        </w:rPr>
        <w:t xml:space="preserve">חרדים </w:t>
      </w:r>
      <w:bookmarkStart w:id="37381" w:name="_ETM_Q70_187579"/>
      <w:bookmarkEnd w:id="37381"/>
      <w:r>
        <w:rPr>
          <w:rFonts w:hint="cs"/>
          <w:rtl/>
        </w:rPr>
        <w:t xml:space="preserve">ומבינים </w:t>
      </w:r>
      <w:bookmarkStart w:id="37382" w:name="_ETM_Q70_188179"/>
      <w:bookmarkEnd w:id="37382"/>
      <w:r>
        <w:rPr>
          <w:rFonts w:hint="cs"/>
          <w:rtl/>
        </w:rPr>
        <w:t xml:space="preserve">את </w:t>
      </w:r>
      <w:bookmarkStart w:id="37383" w:name="_ETM_Q70_188269"/>
      <w:bookmarkEnd w:id="37383"/>
      <w:r>
        <w:rPr>
          <w:rFonts w:hint="cs"/>
          <w:rtl/>
        </w:rPr>
        <w:t xml:space="preserve">זה; </w:t>
      </w:r>
      <w:bookmarkStart w:id="37384" w:name="_ETM_Q70_188900"/>
      <w:bookmarkEnd w:id="37384"/>
      <w:r>
        <w:rPr>
          <w:rFonts w:hint="cs"/>
          <w:rtl/>
        </w:rPr>
        <w:t xml:space="preserve">אנשי </w:t>
      </w:r>
      <w:bookmarkStart w:id="37385" w:name="_ETM_Q70_189260"/>
      <w:bookmarkEnd w:id="37385"/>
      <w:r>
        <w:rPr>
          <w:rFonts w:hint="cs"/>
          <w:rtl/>
        </w:rPr>
        <w:t xml:space="preserve">ההייטק </w:t>
      </w:r>
      <w:bookmarkStart w:id="37386" w:name="_ETM_Q70_190330"/>
      <w:bookmarkEnd w:id="37386"/>
      <w:r>
        <w:rPr>
          <w:rFonts w:hint="cs"/>
          <w:rtl/>
        </w:rPr>
        <w:t xml:space="preserve">היסטריים </w:t>
      </w:r>
      <w:bookmarkStart w:id="37387" w:name="_ETM_Q70_191140"/>
      <w:bookmarkEnd w:id="37387"/>
      <w:r>
        <w:rPr>
          <w:rFonts w:hint="cs"/>
          <w:rtl/>
        </w:rPr>
        <w:t xml:space="preserve">ומבינים </w:t>
      </w:r>
      <w:bookmarkStart w:id="37388" w:name="_ETM_Q70_191800"/>
      <w:bookmarkEnd w:id="37388"/>
      <w:r>
        <w:rPr>
          <w:rFonts w:hint="cs"/>
          <w:rtl/>
        </w:rPr>
        <w:t xml:space="preserve">את </w:t>
      </w:r>
      <w:bookmarkStart w:id="37389" w:name="_ETM_Q70_191890"/>
      <w:bookmarkEnd w:id="37389"/>
      <w:r>
        <w:rPr>
          <w:rFonts w:hint="cs"/>
          <w:rtl/>
        </w:rPr>
        <w:t xml:space="preserve">זה; </w:t>
      </w:r>
      <w:bookmarkStart w:id="37390" w:name="_ETM_Q70_192850"/>
      <w:bookmarkEnd w:id="37390"/>
      <w:r>
        <w:rPr>
          <w:rFonts w:hint="cs"/>
          <w:rtl/>
        </w:rPr>
        <w:t xml:space="preserve">אנשי </w:t>
      </w:r>
      <w:bookmarkStart w:id="37391" w:name="_ETM_Q70_193210"/>
      <w:bookmarkEnd w:id="37391"/>
      <w:r>
        <w:rPr>
          <w:rFonts w:hint="cs"/>
          <w:rtl/>
        </w:rPr>
        <w:t xml:space="preserve">כוחות </w:t>
      </w:r>
      <w:bookmarkStart w:id="37392" w:name="_ETM_Q70_193570"/>
      <w:bookmarkEnd w:id="37392"/>
      <w:r>
        <w:rPr>
          <w:rFonts w:hint="cs"/>
          <w:rtl/>
        </w:rPr>
        <w:t>הביטחון,</w:t>
      </w:r>
      <w:bookmarkStart w:id="37393" w:name="_ETM_Q70_194992"/>
      <w:bookmarkEnd w:id="37393"/>
      <w:r>
        <w:rPr>
          <w:rFonts w:hint="cs"/>
          <w:rtl/>
        </w:rPr>
        <w:t xml:space="preserve"> </w:t>
      </w:r>
      <w:bookmarkStart w:id="37394" w:name="_ETM_Q70_194790"/>
      <w:bookmarkEnd w:id="37394"/>
      <w:r>
        <w:rPr>
          <w:rFonts w:hint="cs"/>
          <w:rtl/>
        </w:rPr>
        <w:t xml:space="preserve">במניפה </w:t>
      </w:r>
      <w:bookmarkStart w:id="37395" w:name="_ETM_Q70_196440"/>
      <w:bookmarkEnd w:id="37395"/>
      <w:r>
        <w:rPr>
          <w:rFonts w:hint="cs"/>
          <w:rtl/>
        </w:rPr>
        <w:t xml:space="preserve">רחבה </w:t>
      </w:r>
      <w:bookmarkStart w:id="37396" w:name="_ETM_Q70_196950"/>
      <w:bookmarkEnd w:id="37396"/>
      <w:r>
        <w:rPr>
          <w:rFonts w:hint="cs"/>
          <w:rtl/>
        </w:rPr>
        <w:t xml:space="preserve">מאוד, </w:t>
      </w:r>
      <w:bookmarkStart w:id="37397" w:name="_ETM_Q70_197939"/>
      <w:bookmarkEnd w:id="37397"/>
      <w:r>
        <w:rPr>
          <w:rFonts w:hint="cs"/>
          <w:rtl/>
        </w:rPr>
        <w:t xml:space="preserve">מבינים </w:t>
      </w:r>
      <w:bookmarkStart w:id="37398" w:name="_ETM_Q70_198539"/>
      <w:bookmarkEnd w:id="37398"/>
      <w:r>
        <w:rPr>
          <w:rFonts w:hint="cs"/>
          <w:rtl/>
        </w:rPr>
        <w:t xml:space="preserve">את </w:t>
      </w:r>
      <w:bookmarkStart w:id="37399" w:name="_ETM_Q70_198630"/>
      <w:bookmarkEnd w:id="37399"/>
      <w:r>
        <w:rPr>
          <w:rFonts w:hint="cs"/>
          <w:rtl/>
        </w:rPr>
        <w:t xml:space="preserve">זה </w:t>
      </w:r>
      <w:bookmarkStart w:id="37400" w:name="_ETM_Q70_198749"/>
      <w:bookmarkEnd w:id="37400"/>
      <w:r>
        <w:rPr>
          <w:rFonts w:hint="cs"/>
          <w:rtl/>
        </w:rPr>
        <w:t xml:space="preserve">היטב; </w:t>
      </w:r>
      <w:bookmarkStart w:id="37401" w:name="_ETM_Q70_200039"/>
      <w:bookmarkEnd w:id="37401"/>
      <w:r>
        <w:rPr>
          <w:rFonts w:hint="cs"/>
          <w:rtl/>
        </w:rPr>
        <w:t xml:space="preserve">הממשל </w:t>
      </w:r>
      <w:bookmarkStart w:id="37402" w:name="_ETM_Q70_200669"/>
      <w:bookmarkEnd w:id="37402"/>
      <w:r>
        <w:rPr>
          <w:rFonts w:hint="cs"/>
          <w:rtl/>
        </w:rPr>
        <w:t xml:space="preserve">האמריקני </w:t>
      </w:r>
      <w:bookmarkStart w:id="37403" w:name="_ETM_Q70_201960"/>
      <w:bookmarkEnd w:id="37403"/>
      <w:r>
        <w:rPr>
          <w:rFonts w:hint="cs"/>
          <w:rtl/>
        </w:rPr>
        <w:t xml:space="preserve">מבין </w:t>
      </w:r>
      <w:bookmarkStart w:id="37404" w:name="_ETM_Q70_202440"/>
      <w:bookmarkEnd w:id="37404"/>
      <w:r>
        <w:rPr>
          <w:rFonts w:hint="cs"/>
          <w:rtl/>
        </w:rPr>
        <w:t xml:space="preserve">את </w:t>
      </w:r>
      <w:bookmarkStart w:id="37405" w:name="_ETM_Q70_202560"/>
      <w:bookmarkEnd w:id="37405"/>
      <w:r>
        <w:rPr>
          <w:rFonts w:hint="cs"/>
          <w:rtl/>
        </w:rPr>
        <w:t xml:space="preserve">זה; </w:t>
      </w:r>
      <w:bookmarkStart w:id="37406" w:name="_ETM_Q70_204510"/>
      <w:bookmarkEnd w:id="37406"/>
      <w:r>
        <w:rPr>
          <w:rFonts w:hint="cs"/>
          <w:rtl/>
        </w:rPr>
        <w:t xml:space="preserve">העולם </w:t>
      </w:r>
      <w:bookmarkStart w:id="37407" w:name="_ETM_Q70_204960"/>
      <w:bookmarkEnd w:id="37407"/>
      <w:r>
        <w:rPr>
          <w:rFonts w:hint="cs"/>
          <w:rtl/>
        </w:rPr>
        <w:t xml:space="preserve">כולו </w:t>
      </w:r>
      <w:bookmarkStart w:id="37408" w:name="_ETM_Q70_205989"/>
      <w:bookmarkEnd w:id="37408"/>
      <w:r>
        <w:rPr>
          <w:rFonts w:hint="cs"/>
          <w:rtl/>
        </w:rPr>
        <w:t xml:space="preserve">מבין </w:t>
      </w:r>
      <w:bookmarkStart w:id="37409" w:name="_ETM_Q70_206500"/>
      <w:bookmarkEnd w:id="37409"/>
      <w:r>
        <w:rPr>
          <w:rFonts w:hint="cs"/>
          <w:rtl/>
        </w:rPr>
        <w:t xml:space="preserve">את </w:t>
      </w:r>
      <w:bookmarkStart w:id="37410" w:name="_ETM_Q70_206620"/>
      <w:bookmarkEnd w:id="37410"/>
      <w:r>
        <w:rPr>
          <w:rFonts w:hint="cs"/>
          <w:rtl/>
        </w:rPr>
        <w:t>זה.</w:t>
      </w:r>
      <w:bookmarkStart w:id="37411" w:name="_ETM_Q70_211319"/>
      <w:bookmarkEnd w:id="37411"/>
    </w:p>
    <w:p w:rsidR="00BB59CD" w:rsidRDefault="00BB59CD" w:rsidP="00BB59CD">
      <w:pPr>
        <w:rPr>
          <w:rtl/>
        </w:rPr>
      </w:pPr>
      <w:bookmarkStart w:id="37412" w:name="_ETM_Q70_210015"/>
      <w:bookmarkStart w:id="37413" w:name="_ETM_Q70_210077"/>
      <w:bookmarkEnd w:id="37412"/>
      <w:bookmarkEnd w:id="37413"/>
    </w:p>
    <w:p w:rsidR="00BB59CD" w:rsidRDefault="00BB59CD" w:rsidP="001F4995">
      <w:pPr>
        <w:rPr>
          <w:rtl/>
        </w:rPr>
      </w:pPr>
      <w:bookmarkStart w:id="37414" w:name="_ETM_Q70_210175"/>
      <w:bookmarkStart w:id="37415" w:name="_ETM_Q70_210233"/>
      <w:bookmarkStart w:id="37416" w:name="_ETM_Q70_206792"/>
      <w:bookmarkEnd w:id="37414"/>
      <w:bookmarkEnd w:id="37415"/>
      <w:bookmarkEnd w:id="37416"/>
      <w:r>
        <w:rPr>
          <w:rFonts w:hint="cs"/>
          <w:rtl/>
        </w:rPr>
        <w:t xml:space="preserve">ממשלת </w:t>
      </w:r>
      <w:bookmarkStart w:id="37417" w:name="_ETM_Q70_211800"/>
      <w:bookmarkEnd w:id="37417"/>
      <w:r>
        <w:rPr>
          <w:rFonts w:hint="cs"/>
          <w:rtl/>
        </w:rPr>
        <w:t xml:space="preserve">השינוי </w:t>
      </w:r>
      <w:bookmarkStart w:id="37418" w:name="_ETM_Q70_213220"/>
      <w:bookmarkEnd w:id="37418"/>
      <w:r>
        <w:rPr>
          <w:rFonts w:hint="cs"/>
          <w:rtl/>
        </w:rPr>
        <w:t>השאיר</w:t>
      </w:r>
      <w:bookmarkStart w:id="37419" w:name="_ETM_Q70_212823"/>
      <w:bookmarkEnd w:id="37419"/>
      <w:r>
        <w:rPr>
          <w:rFonts w:hint="cs"/>
          <w:rtl/>
        </w:rPr>
        <w:t xml:space="preserve">ה </w:t>
      </w:r>
      <w:bookmarkStart w:id="37420" w:name="_ETM_Q70_213670"/>
      <w:bookmarkEnd w:id="37420"/>
      <w:r>
        <w:rPr>
          <w:rFonts w:hint="cs"/>
          <w:rtl/>
        </w:rPr>
        <w:t xml:space="preserve">לנתניהו </w:t>
      </w:r>
      <w:bookmarkStart w:id="37421" w:name="_ETM_Q70_214840"/>
      <w:bookmarkEnd w:id="37421"/>
      <w:r>
        <w:rPr>
          <w:rFonts w:hint="cs"/>
          <w:rtl/>
        </w:rPr>
        <w:t xml:space="preserve">מדינה </w:t>
      </w:r>
      <w:bookmarkStart w:id="37422" w:name="_ETM_Q70_215380"/>
      <w:bookmarkEnd w:id="37422"/>
      <w:r>
        <w:rPr>
          <w:rFonts w:hint="cs"/>
          <w:rtl/>
        </w:rPr>
        <w:t xml:space="preserve">במצב </w:t>
      </w:r>
      <w:bookmarkStart w:id="37423" w:name="_ETM_Q70_215920"/>
      <w:bookmarkEnd w:id="37423"/>
      <w:r>
        <w:rPr>
          <w:rFonts w:hint="cs"/>
          <w:rtl/>
        </w:rPr>
        <w:t xml:space="preserve">טוב. </w:t>
      </w:r>
      <w:bookmarkStart w:id="37424" w:name="_ETM_Q70_217070"/>
      <w:bookmarkEnd w:id="37424"/>
      <w:r>
        <w:rPr>
          <w:rFonts w:hint="cs"/>
          <w:rtl/>
        </w:rPr>
        <w:t xml:space="preserve">ביום </w:t>
      </w:r>
      <w:bookmarkStart w:id="37425" w:name="_ETM_Q70_217430"/>
      <w:bookmarkEnd w:id="37425"/>
      <w:r>
        <w:rPr>
          <w:rFonts w:hint="cs"/>
          <w:rtl/>
        </w:rPr>
        <w:t xml:space="preserve">השבעת </w:t>
      </w:r>
      <w:bookmarkStart w:id="37426" w:name="_ETM_Q70_217820"/>
      <w:bookmarkEnd w:id="37426"/>
      <w:r>
        <w:rPr>
          <w:rFonts w:hint="cs"/>
          <w:rtl/>
        </w:rPr>
        <w:t xml:space="preserve">הממשלה </w:t>
      </w:r>
      <w:bookmarkStart w:id="37427" w:name="_ETM_Q70_219010"/>
      <w:bookmarkEnd w:id="37427"/>
      <w:r>
        <w:rPr>
          <w:rFonts w:hint="cs"/>
          <w:rtl/>
        </w:rPr>
        <w:t xml:space="preserve">ביקש </w:t>
      </w:r>
      <w:bookmarkStart w:id="37428" w:name="_ETM_Q70_220710"/>
      <w:bookmarkEnd w:id="37428"/>
      <w:r>
        <w:rPr>
          <w:rFonts w:hint="cs"/>
          <w:rtl/>
        </w:rPr>
        <w:t xml:space="preserve">ראש </w:t>
      </w:r>
      <w:bookmarkStart w:id="37429" w:name="_ETM_Q70_220950"/>
      <w:bookmarkEnd w:id="37429"/>
      <w:r>
        <w:rPr>
          <w:rFonts w:hint="cs"/>
          <w:rtl/>
        </w:rPr>
        <w:t xml:space="preserve">הממשלה </w:t>
      </w:r>
      <w:bookmarkStart w:id="37430" w:name="_ETM_Q70_221520"/>
      <w:bookmarkEnd w:id="37430"/>
      <w:r>
        <w:rPr>
          <w:rFonts w:hint="cs"/>
          <w:rtl/>
        </w:rPr>
        <w:t>היוצא,</w:t>
      </w:r>
      <w:bookmarkStart w:id="37431" w:name="_ETM_Q70_221233"/>
      <w:bookmarkEnd w:id="37431"/>
      <w:r>
        <w:rPr>
          <w:rFonts w:hint="cs"/>
          <w:rtl/>
        </w:rPr>
        <w:t xml:space="preserve"> </w:t>
      </w:r>
      <w:bookmarkStart w:id="37432" w:name="_ETM_Q70_222059"/>
      <w:bookmarkEnd w:id="37432"/>
      <w:r>
        <w:rPr>
          <w:rFonts w:hint="cs"/>
          <w:rtl/>
        </w:rPr>
        <w:t xml:space="preserve">לפיד, </w:t>
      </w:r>
      <w:bookmarkStart w:id="37433" w:name="_ETM_Q70_222899"/>
      <w:bookmarkEnd w:id="37433"/>
      <w:r>
        <w:rPr>
          <w:rFonts w:hint="cs"/>
          <w:rtl/>
        </w:rPr>
        <w:t xml:space="preserve">מנתניהו, </w:t>
      </w:r>
      <w:bookmarkStart w:id="37434" w:name="_ETM_Q70_224159"/>
      <w:bookmarkEnd w:id="37434"/>
      <w:r>
        <w:rPr>
          <w:rFonts w:hint="cs"/>
          <w:rtl/>
        </w:rPr>
        <w:t xml:space="preserve">לא </w:t>
      </w:r>
      <w:bookmarkStart w:id="37435" w:name="_ETM_Q70_224520"/>
      <w:bookmarkEnd w:id="37435"/>
      <w:r>
        <w:rPr>
          <w:rFonts w:hint="cs"/>
          <w:rtl/>
        </w:rPr>
        <w:t xml:space="preserve">לקלקל </w:t>
      </w:r>
      <w:bookmarkStart w:id="37436" w:name="_ETM_Q70_225210"/>
      <w:bookmarkEnd w:id="37436"/>
      <w:r>
        <w:rPr>
          <w:rFonts w:hint="cs"/>
          <w:rtl/>
        </w:rPr>
        <w:t xml:space="preserve">את </w:t>
      </w:r>
      <w:bookmarkStart w:id="37437" w:name="_ETM_Q70_225360"/>
      <w:bookmarkEnd w:id="37437"/>
      <w:r>
        <w:rPr>
          <w:rFonts w:hint="cs"/>
          <w:rtl/>
        </w:rPr>
        <w:t xml:space="preserve">מה </w:t>
      </w:r>
      <w:bookmarkStart w:id="37438" w:name="_ETM_Q70_225600"/>
      <w:bookmarkEnd w:id="37438"/>
      <w:r>
        <w:rPr>
          <w:rFonts w:hint="cs"/>
          <w:rtl/>
        </w:rPr>
        <w:t xml:space="preserve">שכבר </w:t>
      </w:r>
      <w:bookmarkStart w:id="37439" w:name="_ETM_Q70_226050"/>
      <w:bookmarkEnd w:id="37439"/>
      <w:r>
        <w:rPr>
          <w:rFonts w:hint="cs"/>
          <w:rtl/>
        </w:rPr>
        <w:t xml:space="preserve">תוקן. </w:t>
      </w:r>
      <w:bookmarkStart w:id="37440" w:name="_ETM_Q70_227719"/>
      <w:bookmarkEnd w:id="37440"/>
      <w:r>
        <w:rPr>
          <w:rFonts w:hint="cs"/>
          <w:rtl/>
        </w:rPr>
        <w:t xml:space="preserve">מאז, </w:t>
      </w:r>
      <w:bookmarkStart w:id="37441" w:name="_ETM_Q70_230420"/>
      <w:bookmarkEnd w:id="37441"/>
      <w:r>
        <w:rPr>
          <w:rFonts w:hint="cs"/>
          <w:rtl/>
        </w:rPr>
        <w:t xml:space="preserve">בשם </w:t>
      </w:r>
      <w:bookmarkStart w:id="37442" w:name="_ETM_Q70_231770"/>
      <w:bookmarkEnd w:id="37442"/>
      <w:r>
        <w:rPr>
          <w:rFonts w:hint="cs"/>
          <w:rtl/>
        </w:rPr>
        <w:t xml:space="preserve">גחמת </w:t>
      </w:r>
      <w:bookmarkStart w:id="37443" w:name="_ETM_Q70_232340"/>
      <w:bookmarkEnd w:id="37443"/>
      <w:r>
        <w:rPr>
          <w:rFonts w:hint="cs"/>
          <w:rtl/>
        </w:rPr>
        <w:t xml:space="preserve">ההפיכה </w:t>
      </w:r>
      <w:bookmarkStart w:id="37444" w:name="_ETM_Q70_232790"/>
      <w:bookmarkEnd w:id="37444"/>
      <w:r>
        <w:rPr>
          <w:rFonts w:hint="cs"/>
          <w:rtl/>
        </w:rPr>
        <w:t xml:space="preserve">המשטרית </w:t>
      </w:r>
      <w:bookmarkStart w:id="37445" w:name="_ETM_Q70_233300"/>
      <w:bookmarkEnd w:id="37445"/>
      <w:r>
        <w:rPr>
          <w:rFonts w:hint="cs"/>
          <w:rtl/>
        </w:rPr>
        <w:t xml:space="preserve">של </w:t>
      </w:r>
      <w:bookmarkStart w:id="37446" w:name="_ETM_Q70_233450"/>
      <w:bookmarkEnd w:id="37446"/>
      <w:r>
        <w:rPr>
          <w:rFonts w:hint="cs"/>
          <w:rtl/>
        </w:rPr>
        <w:t>לו</w:t>
      </w:r>
      <w:bookmarkStart w:id="37447" w:name="_ETM_Q70_230622"/>
      <w:bookmarkEnd w:id="37447"/>
      <w:r>
        <w:rPr>
          <w:rFonts w:hint="cs"/>
          <w:rtl/>
        </w:rPr>
        <w:t xml:space="preserve">ין, </w:t>
      </w:r>
      <w:bookmarkStart w:id="37448" w:name="_ETM_Q70_234780"/>
      <w:bookmarkEnd w:id="37448"/>
      <w:r>
        <w:rPr>
          <w:rFonts w:hint="cs"/>
          <w:rtl/>
        </w:rPr>
        <w:t xml:space="preserve">הורסת </w:t>
      </w:r>
      <w:bookmarkStart w:id="37449" w:name="_ETM_Q70_235469"/>
      <w:bookmarkEnd w:id="37449"/>
      <w:r>
        <w:rPr>
          <w:rFonts w:hint="cs"/>
          <w:rtl/>
        </w:rPr>
        <w:t xml:space="preserve">ממשלת </w:t>
      </w:r>
      <w:bookmarkStart w:id="37450" w:name="_ETM_Q70_235979"/>
      <w:bookmarkEnd w:id="37450"/>
      <w:r>
        <w:rPr>
          <w:rFonts w:hint="cs"/>
          <w:rtl/>
        </w:rPr>
        <w:t xml:space="preserve">החורבן </w:t>
      </w:r>
      <w:bookmarkStart w:id="37451" w:name="_ETM_Q70_236609"/>
      <w:bookmarkEnd w:id="37451"/>
      <w:r>
        <w:rPr>
          <w:rFonts w:hint="cs"/>
          <w:rtl/>
        </w:rPr>
        <w:t xml:space="preserve">כל </w:t>
      </w:r>
      <w:bookmarkStart w:id="37452" w:name="_ETM_Q70_236879"/>
      <w:bookmarkEnd w:id="37452"/>
      <w:r>
        <w:rPr>
          <w:rFonts w:hint="cs"/>
          <w:rtl/>
        </w:rPr>
        <w:t xml:space="preserve">חלקה </w:t>
      </w:r>
      <w:bookmarkStart w:id="37453" w:name="_ETM_Q70_237209"/>
      <w:bookmarkEnd w:id="37453"/>
      <w:r>
        <w:rPr>
          <w:rFonts w:hint="cs"/>
          <w:rtl/>
        </w:rPr>
        <w:t xml:space="preserve">טובה </w:t>
      </w:r>
      <w:bookmarkStart w:id="37454" w:name="_ETM_Q70_237510"/>
      <w:bookmarkEnd w:id="37454"/>
      <w:r>
        <w:rPr>
          <w:rFonts w:hint="cs"/>
          <w:rtl/>
        </w:rPr>
        <w:t xml:space="preserve">במדינה. </w:t>
      </w:r>
      <w:bookmarkStart w:id="37455" w:name="_ETM_Q70_240020"/>
      <w:bookmarkEnd w:id="37455"/>
      <w:r>
        <w:rPr>
          <w:rFonts w:hint="cs"/>
          <w:rtl/>
        </w:rPr>
        <w:t xml:space="preserve">יחסי </w:t>
      </w:r>
      <w:bookmarkStart w:id="37456" w:name="_ETM_Q70_240440"/>
      <w:bookmarkEnd w:id="37456"/>
      <w:r>
        <w:rPr>
          <w:rFonts w:hint="cs"/>
          <w:rtl/>
        </w:rPr>
        <w:t xml:space="preserve">החוץ </w:t>
      </w:r>
      <w:bookmarkStart w:id="37457" w:name="_ETM_Q70_240710"/>
      <w:bookmarkEnd w:id="37457"/>
      <w:r>
        <w:rPr>
          <w:rFonts w:hint="cs"/>
          <w:rtl/>
        </w:rPr>
        <w:t xml:space="preserve">שלנו </w:t>
      </w:r>
      <w:bookmarkStart w:id="37458" w:name="_ETM_Q70_241280"/>
      <w:bookmarkEnd w:id="37458"/>
      <w:r>
        <w:rPr>
          <w:rFonts w:hint="cs"/>
          <w:rtl/>
        </w:rPr>
        <w:t xml:space="preserve">בשפל </w:t>
      </w:r>
      <w:bookmarkStart w:id="37459" w:name="_ETM_Q70_241969"/>
      <w:bookmarkEnd w:id="37459"/>
      <w:r>
        <w:rPr>
          <w:rFonts w:hint="cs"/>
          <w:rtl/>
        </w:rPr>
        <w:t xml:space="preserve">חסר </w:t>
      </w:r>
      <w:bookmarkStart w:id="37460" w:name="_ETM_Q70_242390"/>
      <w:bookmarkEnd w:id="37460"/>
      <w:r>
        <w:rPr>
          <w:rFonts w:hint="cs"/>
          <w:rtl/>
        </w:rPr>
        <w:t xml:space="preserve">תקדים. </w:t>
      </w:r>
      <w:bookmarkStart w:id="37461" w:name="_ETM_Q70_243409"/>
      <w:bookmarkEnd w:id="37461"/>
      <w:r>
        <w:rPr>
          <w:rFonts w:hint="cs"/>
          <w:rtl/>
        </w:rPr>
        <w:t>ר</w:t>
      </w:r>
      <w:bookmarkStart w:id="37462" w:name="_ETM_Q70_242253"/>
      <w:bookmarkEnd w:id="37462"/>
      <w:r>
        <w:rPr>
          <w:rFonts w:hint="cs"/>
          <w:rtl/>
        </w:rPr>
        <w:t xml:space="preserve">אש הממשלה </w:t>
      </w:r>
      <w:bookmarkStart w:id="37463" w:name="_ETM_Q70_244130"/>
      <w:bookmarkEnd w:id="37463"/>
      <w:r>
        <w:rPr>
          <w:rFonts w:hint="cs"/>
          <w:rtl/>
        </w:rPr>
        <w:t xml:space="preserve">ככה </w:t>
      </w:r>
      <w:bookmarkStart w:id="37464" w:name="_ETM_Q70_244399"/>
      <w:bookmarkEnd w:id="37464"/>
      <w:r>
        <w:rPr>
          <w:rFonts w:hint="cs"/>
          <w:rtl/>
        </w:rPr>
        <w:t xml:space="preserve">נאלץ </w:t>
      </w:r>
      <w:bookmarkStart w:id="37465" w:name="_ETM_Q70_244759"/>
      <w:bookmarkEnd w:id="37465"/>
      <w:r>
        <w:rPr>
          <w:rFonts w:hint="cs"/>
          <w:rtl/>
        </w:rPr>
        <w:t xml:space="preserve">לנסוע </w:t>
      </w:r>
      <w:bookmarkStart w:id="37466" w:name="_ETM_Q70_245119"/>
      <w:bookmarkEnd w:id="37466"/>
      <w:r>
        <w:rPr>
          <w:rFonts w:hint="cs"/>
          <w:rtl/>
        </w:rPr>
        <w:t xml:space="preserve">לקפריסין, </w:t>
      </w:r>
      <w:bookmarkStart w:id="37467" w:name="_ETM_Q70_246170"/>
      <w:bookmarkEnd w:id="37467"/>
      <w:r>
        <w:rPr>
          <w:rFonts w:hint="cs"/>
          <w:rtl/>
        </w:rPr>
        <w:t xml:space="preserve">כי </w:t>
      </w:r>
      <w:bookmarkStart w:id="37468" w:name="_ETM_Q70_246350"/>
      <w:bookmarkEnd w:id="37468"/>
      <w:r>
        <w:rPr>
          <w:rFonts w:hint="cs"/>
          <w:rtl/>
        </w:rPr>
        <w:t xml:space="preserve">בארצות </w:t>
      </w:r>
      <w:bookmarkStart w:id="37469" w:name="_ETM_Q70_246709"/>
      <w:bookmarkEnd w:id="37469"/>
      <w:r>
        <w:rPr>
          <w:rFonts w:hint="cs"/>
          <w:rtl/>
        </w:rPr>
        <w:t xml:space="preserve">הברית </w:t>
      </w:r>
      <w:bookmarkStart w:id="37470" w:name="_ETM_Q70_247009"/>
      <w:bookmarkEnd w:id="37470"/>
      <w:r>
        <w:rPr>
          <w:rFonts w:hint="cs"/>
          <w:rtl/>
        </w:rPr>
        <w:t xml:space="preserve">לא </w:t>
      </w:r>
      <w:bookmarkStart w:id="37471" w:name="_ETM_Q70_247100"/>
      <w:bookmarkEnd w:id="37471"/>
      <w:r>
        <w:rPr>
          <w:rFonts w:hint="cs"/>
          <w:rtl/>
        </w:rPr>
        <w:t xml:space="preserve">מזמינים </w:t>
      </w:r>
      <w:bookmarkStart w:id="37472" w:name="_ETM_Q70_247520"/>
      <w:bookmarkEnd w:id="37472"/>
      <w:r>
        <w:rPr>
          <w:rFonts w:hint="cs"/>
          <w:rtl/>
        </w:rPr>
        <w:t xml:space="preserve">אותו, </w:t>
      </w:r>
      <w:bookmarkStart w:id="37473" w:name="_ETM_Q70_248030"/>
      <w:bookmarkEnd w:id="37473"/>
      <w:r>
        <w:rPr>
          <w:rFonts w:hint="cs"/>
          <w:rtl/>
        </w:rPr>
        <w:t>ב</w:t>
      </w:r>
      <w:bookmarkStart w:id="37474" w:name="_ETM_Q70_245823"/>
      <w:bookmarkEnd w:id="37474"/>
      <w:r>
        <w:rPr>
          <w:rFonts w:hint="cs"/>
          <w:rtl/>
        </w:rPr>
        <w:t xml:space="preserve">צרפת </w:t>
      </w:r>
      <w:bookmarkStart w:id="37475" w:name="_ETM_Q70_248539"/>
      <w:bookmarkEnd w:id="37475"/>
      <w:r>
        <w:rPr>
          <w:rFonts w:hint="cs"/>
          <w:rtl/>
        </w:rPr>
        <w:t xml:space="preserve">לא </w:t>
      </w:r>
      <w:bookmarkStart w:id="37476" w:name="_ETM_Q70_248600"/>
      <w:bookmarkEnd w:id="37476"/>
      <w:r>
        <w:rPr>
          <w:rFonts w:hint="cs"/>
          <w:rtl/>
        </w:rPr>
        <w:t xml:space="preserve">מזמינים </w:t>
      </w:r>
      <w:bookmarkStart w:id="37477" w:name="_ETM_Q70_249020"/>
      <w:bookmarkEnd w:id="37477"/>
      <w:r>
        <w:rPr>
          <w:rFonts w:hint="cs"/>
          <w:rtl/>
        </w:rPr>
        <w:t xml:space="preserve">אותו, </w:t>
      </w:r>
      <w:bookmarkStart w:id="37478" w:name="_ETM_Q70_249259"/>
      <w:bookmarkEnd w:id="37478"/>
      <w:r>
        <w:rPr>
          <w:rFonts w:hint="cs"/>
          <w:rtl/>
        </w:rPr>
        <w:t xml:space="preserve">במדינות </w:t>
      </w:r>
      <w:bookmarkStart w:id="37479" w:name="_ETM_Q70_249770"/>
      <w:bookmarkEnd w:id="37479"/>
      <w:r>
        <w:rPr>
          <w:rFonts w:hint="cs"/>
          <w:rtl/>
        </w:rPr>
        <w:t xml:space="preserve">אירופה </w:t>
      </w:r>
      <w:bookmarkStart w:id="37480" w:name="_ETM_Q70_250100"/>
      <w:bookmarkEnd w:id="37480"/>
      <w:r>
        <w:rPr>
          <w:rFonts w:hint="cs"/>
          <w:rtl/>
        </w:rPr>
        <w:t xml:space="preserve">לא </w:t>
      </w:r>
      <w:bookmarkStart w:id="37481" w:name="_ETM_Q70_250189"/>
      <w:bookmarkEnd w:id="37481"/>
      <w:r>
        <w:rPr>
          <w:rFonts w:hint="cs"/>
          <w:rtl/>
        </w:rPr>
        <w:t xml:space="preserve">מזמינים </w:t>
      </w:r>
      <w:bookmarkStart w:id="37482" w:name="_ETM_Q70_250640"/>
      <w:bookmarkEnd w:id="37482"/>
      <w:r>
        <w:rPr>
          <w:rFonts w:hint="cs"/>
          <w:rtl/>
        </w:rPr>
        <w:t xml:space="preserve">אותו. </w:t>
      </w:r>
      <w:bookmarkStart w:id="37483" w:name="_ETM_Q70_251240"/>
      <w:bookmarkEnd w:id="37483"/>
      <w:r>
        <w:rPr>
          <w:rFonts w:hint="cs"/>
          <w:rtl/>
        </w:rPr>
        <w:t xml:space="preserve">אז </w:t>
      </w:r>
      <w:bookmarkStart w:id="37484" w:name="_ETM_Q70_251450"/>
      <w:bookmarkEnd w:id="37484"/>
      <w:r>
        <w:rPr>
          <w:rFonts w:hint="cs"/>
          <w:rtl/>
        </w:rPr>
        <w:t xml:space="preserve">קפריסין, </w:t>
      </w:r>
      <w:bookmarkStart w:id="37485" w:name="_ETM_Q70_252049"/>
      <w:bookmarkEnd w:id="37485"/>
      <w:r>
        <w:rPr>
          <w:rFonts w:hint="cs"/>
          <w:rtl/>
        </w:rPr>
        <w:t xml:space="preserve">ונדמה </w:t>
      </w:r>
      <w:bookmarkStart w:id="37486" w:name="_ETM_Q70_252439"/>
      <w:bookmarkEnd w:id="37486"/>
      <w:r>
        <w:rPr>
          <w:rFonts w:hint="cs"/>
          <w:rtl/>
        </w:rPr>
        <w:t>לי</w:t>
      </w:r>
      <w:bookmarkStart w:id="37487" w:name="_ETM_Q70_251823"/>
      <w:bookmarkEnd w:id="37487"/>
      <w:r>
        <w:rPr>
          <w:rFonts w:hint="cs"/>
          <w:rtl/>
        </w:rPr>
        <w:t xml:space="preserve"> </w:t>
      </w:r>
      <w:bookmarkStart w:id="37488" w:name="_ETM_Q70_252530"/>
      <w:bookmarkEnd w:id="37488"/>
      <w:r>
        <w:rPr>
          <w:rFonts w:hint="cs"/>
          <w:rtl/>
        </w:rPr>
        <w:t xml:space="preserve">טורקיה, </w:t>
      </w:r>
      <w:bookmarkStart w:id="37489" w:name="_ETM_Q70_253369"/>
      <w:bookmarkEnd w:id="37489"/>
      <w:r>
        <w:rPr>
          <w:rFonts w:hint="cs"/>
          <w:rtl/>
        </w:rPr>
        <w:t xml:space="preserve">זה </w:t>
      </w:r>
      <w:bookmarkStart w:id="37490" w:name="_ETM_Q70_253610"/>
      <w:bookmarkEnd w:id="37490"/>
      <w:r>
        <w:rPr>
          <w:rFonts w:hint="cs"/>
          <w:rtl/>
        </w:rPr>
        <w:t>מה ש</w:t>
      </w:r>
      <w:bookmarkStart w:id="37491" w:name="_ETM_Q70_254750"/>
      <w:bookmarkEnd w:id="37491"/>
      <w:r>
        <w:rPr>
          <w:rFonts w:hint="cs"/>
          <w:rtl/>
        </w:rPr>
        <w:t>בקנה.</w:t>
      </w:r>
    </w:p>
    <w:p w:rsidR="00BB59CD" w:rsidRDefault="00BB59CD" w:rsidP="00BB59CD">
      <w:pPr>
        <w:rPr>
          <w:rtl/>
        </w:rPr>
      </w:pPr>
      <w:bookmarkStart w:id="37492" w:name="_ETM_Q70_259186"/>
      <w:bookmarkStart w:id="37493" w:name="_ETM_Q70_259282"/>
      <w:bookmarkEnd w:id="37492"/>
      <w:bookmarkEnd w:id="37493"/>
    </w:p>
    <w:p w:rsidR="00BB59CD" w:rsidRDefault="00BB59CD" w:rsidP="001F4995">
      <w:pPr>
        <w:rPr>
          <w:rtl/>
        </w:rPr>
      </w:pPr>
      <w:bookmarkStart w:id="37494" w:name="_ETM_Q70_259379"/>
      <w:bookmarkStart w:id="37495" w:name="_ETM_Q70_259444"/>
      <w:bookmarkStart w:id="37496" w:name="_ETM_Q70_256659"/>
      <w:bookmarkEnd w:id="37494"/>
      <w:bookmarkEnd w:id="37495"/>
      <w:bookmarkEnd w:id="37496"/>
      <w:r>
        <w:rPr>
          <w:rFonts w:hint="cs"/>
          <w:rtl/>
        </w:rPr>
        <w:t xml:space="preserve">ידידתנו </w:t>
      </w:r>
      <w:bookmarkStart w:id="37497" w:name="_ETM_Q70_257380"/>
      <w:bookmarkEnd w:id="37497"/>
      <w:r>
        <w:rPr>
          <w:rFonts w:hint="cs"/>
          <w:rtl/>
        </w:rPr>
        <w:t xml:space="preserve">הגדולה </w:t>
      </w:r>
      <w:bookmarkStart w:id="37498" w:name="_ETM_Q70_257799"/>
      <w:bookmarkEnd w:id="37498"/>
      <w:r>
        <w:rPr>
          <w:rFonts w:hint="cs"/>
          <w:rtl/>
        </w:rPr>
        <w:t>ביותר,</w:t>
      </w:r>
      <w:bookmarkStart w:id="37499" w:name="_ETM_Q70_256892"/>
      <w:bookmarkEnd w:id="37499"/>
      <w:r>
        <w:rPr>
          <w:rFonts w:hint="cs"/>
          <w:rtl/>
        </w:rPr>
        <w:t xml:space="preserve"> </w:t>
      </w:r>
      <w:bookmarkStart w:id="37500" w:name="_ETM_Q70_258310"/>
      <w:bookmarkEnd w:id="37500"/>
      <w:r>
        <w:rPr>
          <w:rFonts w:hint="cs"/>
          <w:rtl/>
        </w:rPr>
        <w:t xml:space="preserve">ארצות </w:t>
      </w:r>
      <w:bookmarkStart w:id="37501" w:name="_ETM_Q70_258670"/>
      <w:bookmarkEnd w:id="37501"/>
      <w:r>
        <w:rPr>
          <w:rFonts w:hint="cs"/>
          <w:rtl/>
        </w:rPr>
        <w:t xml:space="preserve">הברית, </w:t>
      </w:r>
      <w:bookmarkStart w:id="37502" w:name="_ETM_Q70_259509"/>
      <w:bookmarkEnd w:id="37502"/>
      <w:r>
        <w:rPr>
          <w:rFonts w:hint="cs"/>
          <w:rtl/>
        </w:rPr>
        <w:t xml:space="preserve">מזהירה </w:t>
      </w:r>
      <w:bookmarkStart w:id="37503" w:name="_ETM_Q70_259959"/>
      <w:bookmarkEnd w:id="37503"/>
      <w:r>
        <w:rPr>
          <w:rFonts w:hint="cs"/>
          <w:rtl/>
        </w:rPr>
        <w:t xml:space="preserve">שוב </w:t>
      </w:r>
      <w:bookmarkStart w:id="37504" w:name="_ETM_Q70_260350"/>
      <w:bookmarkEnd w:id="37504"/>
      <w:r>
        <w:rPr>
          <w:rFonts w:hint="cs"/>
          <w:rtl/>
        </w:rPr>
        <w:t xml:space="preserve">ושוב </w:t>
      </w:r>
      <w:bookmarkStart w:id="37505" w:name="_ETM_Q70_261069"/>
      <w:bookmarkEnd w:id="37505"/>
      <w:r>
        <w:rPr>
          <w:rFonts w:hint="cs"/>
          <w:rtl/>
        </w:rPr>
        <w:t xml:space="preserve">מהנזק </w:t>
      </w:r>
      <w:bookmarkStart w:id="37506" w:name="_ETM_Q70_261700"/>
      <w:bookmarkEnd w:id="37506"/>
      <w:r>
        <w:rPr>
          <w:rFonts w:hint="cs"/>
          <w:rtl/>
        </w:rPr>
        <w:t xml:space="preserve">שתעשה </w:t>
      </w:r>
      <w:bookmarkStart w:id="37507" w:name="_ETM_Q70_262209"/>
      <w:bookmarkEnd w:id="37507"/>
      <w:r>
        <w:rPr>
          <w:rFonts w:hint="cs"/>
          <w:rtl/>
        </w:rPr>
        <w:t xml:space="preserve">החקיקה </w:t>
      </w:r>
      <w:bookmarkStart w:id="37508" w:name="_ETM_Q70_262719"/>
      <w:bookmarkEnd w:id="37508"/>
      <w:r>
        <w:rPr>
          <w:rFonts w:hint="cs"/>
          <w:rtl/>
        </w:rPr>
        <w:t xml:space="preserve">המסוכנת </w:t>
      </w:r>
      <w:bookmarkStart w:id="37509" w:name="_ETM_Q70_263380"/>
      <w:bookmarkEnd w:id="37509"/>
      <w:r>
        <w:rPr>
          <w:rFonts w:hint="cs"/>
          <w:rtl/>
        </w:rPr>
        <w:t xml:space="preserve">הזאת </w:t>
      </w:r>
      <w:bookmarkStart w:id="37510" w:name="_ETM_Q70_264009"/>
      <w:bookmarkEnd w:id="37510"/>
      <w:r>
        <w:rPr>
          <w:rFonts w:hint="cs"/>
          <w:rtl/>
        </w:rPr>
        <w:t xml:space="preserve">לידידות </w:t>
      </w:r>
      <w:bookmarkStart w:id="37511" w:name="_ETM_Q70_264640"/>
      <w:bookmarkEnd w:id="37511"/>
      <w:r>
        <w:rPr>
          <w:rFonts w:hint="cs"/>
          <w:rtl/>
        </w:rPr>
        <w:t xml:space="preserve">האמיצה </w:t>
      </w:r>
      <w:bookmarkStart w:id="37512" w:name="_ETM_Q70_265179"/>
      <w:bookmarkEnd w:id="37512"/>
      <w:r>
        <w:rPr>
          <w:rFonts w:hint="cs"/>
          <w:rtl/>
        </w:rPr>
        <w:t xml:space="preserve">והקריטית </w:t>
      </w:r>
      <w:bookmarkStart w:id="37513" w:name="_ETM_Q70_266110"/>
      <w:bookmarkEnd w:id="37513"/>
      <w:r>
        <w:rPr>
          <w:rFonts w:hint="cs"/>
          <w:rtl/>
        </w:rPr>
        <w:t xml:space="preserve">בין </w:t>
      </w:r>
      <w:bookmarkStart w:id="37514" w:name="_ETM_Q70_266409"/>
      <w:bookmarkEnd w:id="37514"/>
      <w:r>
        <w:rPr>
          <w:rFonts w:hint="cs"/>
          <w:rtl/>
        </w:rPr>
        <w:t xml:space="preserve">שתי </w:t>
      </w:r>
      <w:bookmarkStart w:id="37515" w:name="_ETM_Q70_266679"/>
      <w:bookmarkEnd w:id="37515"/>
      <w:r>
        <w:rPr>
          <w:rFonts w:hint="cs"/>
          <w:rtl/>
        </w:rPr>
        <w:t xml:space="preserve">המדינות. </w:t>
      </w:r>
      <w:bookmarkStart w:id="37516" w:name="_ETM_Q70_267579"/>
      <w:bookmarkEnd w:id="37516"/>
      <w:r>
        <w:rPr>
          <w:rFonts w:hint="cs"/>
          <w:rtl/>
        </w:rPr>
        <w:t xml:space="preserve">אתמול </w:t>
      </w:r>
      <w:bookmarkStart w:id="37517" w:name="_ETM_Q70_268030"/>
      <w:bookmarkEnd w:id="37517"/>
      <w:r>
        <w:rPr>
          <w:rFonts w:hint="cs"/>
          <w:rtl/>
        </w:rPr>
        <w:t xml:space="preserve">הנשיא </w:t>
      </w:r>
      <w:bookmarkStart w:id="37518" w:name="_ETM_Q70_268390"/>
      <w:bookmarkEnd w:id="37518"/>
      <w:r>
        <w:rPr>
          <w:rFonts w:hint="cs"/>
          <w:rtl/>
        </w:rPr>
        <w:t>בי</w:t>
      </w:r>
      <w:bookmarkStart w:id="37519" w:name="_ETM_Q70_268719"/>
      <w:bookmarkEnd w:id="37519"/>
      <w:r>
        <w:rPr>
          <w:rFonts w:hint="cs"/>
          <w:rtl/>
        </w:rPr>
        <w:t>יד</w:t>
      </w:r>
      <w:bookmarkStart w:id="37520" w:name="_ETM_Q70_264802"/>
      <w:bookmarkEnd w:id="37520"/>
      <w:r>
        <w:rPr>
          <w:rFonts w:hint="cs"/>
          <w:rtl/>
        </w:rPr>
        <w:t xml:space="preserve">ן </w:t>
      </w:r>
      <w:bookmarkStart w:id="37521" w:name="_ETM_Q70_269170"/>
      <w:bookmarkEnd w:id="37521"/>
      <w:r>
        <w:rPr>
          <w:rFonts w:hint="cs"/>
          <w:rtl/>
        </w:rPr>
        <w:t xml:space="preserve">שלח </w:t>
      </w:r>
      <w:bookmarkStart w:id="37522" w:name="_ETM_Q70_269649"/>
      <w:bookmarkEnd w:id="37522"/>
      <w:r>
        <w:rPr>
          <w:rFonts w:hint="cs"/>
          <w:rtl/>
        </w:rPr>
        <w:t xml:space="preserve">שוב </w:t>
      </w:r>
      <w:bookmarkStart w:id="37523" w:name="_ETM_Q70_270780"/>
      <w:bookmarkEnd w:id="37523"/>
      <w:r>
        <w:rPr>
          <w:rFonts w:hint="cs"/>
          <w:rtl/>
        </w:rPr>
        <w:t xml:space="preserve">מסר </w:t>
      </w:r>
      <w:bookmarkStart w:id="37524" w:name="_ETM_Q70_271259"/>
      <w:bookmarkEnd w:id="37524"/>
      <w:r>
        <w:rPr>
          <w:rFonts w:hint="cs"/>
          <w:rtl/>
        </w:rPr>
        <w:t xml:space="preserve">תקיף </w:t>
      </w:r>
      <w:bookmarkStart w:id="37525" w:name="_ETM_Q70_272409"/>
      <w:bookmarkEnd w:id="37525"/>
      <w:r>
        <w:rPr>
          <w:rFonts w:hint="cs"/>
          <w:rtl/>
        </w:rPr>
        <w:t>– ל</w:t>
      </w:r>
      <w:bookmarkStart w:id="37526" w:name="_ETM_Q70_272700"/>
      <w:bookmarkStart w:id="37527" w:name="_ETM_Q70_269931"/>
      <w:bookmarkEnd w:id="37526"/>
      <w:bookmarkEnd w:id="37527"/>
      <w:r>
        <w:rPr>
          <w:rFonts w:hint="cs"/>
          <w:rtl/>
        </w:rPr>
        <w:t xml:space="preserve">עצור </w:t>
      </w:r>
      <w:bookmarkStart w:id="37528" w:name="_ETM_Q70_273600"/>
      <w:bookmarkEnd w:id="37528"/>
      <w:r>
        <w:rPr>
          <w:rFonts w:hint="cs"/>
          <w:rtl/>
        </w:rPr>
        <w:t xml:space="preserve">את </w:t>
      </w:r>
      <w:bookmarkStart w:id="37529" w:name="_ETM_Q70_273780"/>
      <w:bookmarkEnd w:id="37529"/>
      <w:r>
        <w:rPr>
          <w:rFonts w:hint="cs"/>
          <w:rtl/>
        </w:rPr>
        <w:t xml:space="preserve">הטירוף, </w:t>
      </w:r>
      <w:bookmarkStart w:id="37530" w:name="_ETM_Q70_275659"/>
      <w:bookmarkEnd w:id="37530"/>
      <w:r>
        <w:rPr>
          <w:rFonts w:hint="cs"/>
          <w:rtl/>
        </w:rPr>
        <w:t xml:space="preserve">והנשיא </w:t>
      </w:r>
      <w:bookmarkStart w:id="37531" w:name="_ETM_Q70_277099"/>
      <w:bookmarkEnd w:id="37531"/>
      <w:r>
        <w:rPr>
          <w:rFonts w:hint="cs"/>
          <w:rtl/>
        </w:rPr>
        <w:t xml:space="preserve">הרצוג, </w:t>
      </w:r>
      <w:bookmarkStart w:id="37532" w:name="_ETM_Q70_278060"/>
      <w:bookmarkEnd w:id="37532"/>
      <w:r>
        <w:rPr>
          <w:rFonts w:hint="cs"/>
          <w:rtl/>
        </w:rPr>
        <w:t xml:space="preserve">עם </w:t>
      </w:r>
      <w:bookmarkStart w:id="37533" w:name="_ETM_Q70_278240"/>
      <w:bookmarkEnd w:id="37533"/>
      <w:r>
        <w:rPr>
          <w:rFonts w:hint="cs"/>
          <w:rtl/>
        </w:rPr>
        <w:t>נחיתתו,</w:t>
      </w:r>
      <w:bookmarkStart w:id="37534" w:name="_ETM_Q70_278321"/>
      <w:bookmarkEnd w:id="37534"/>
      <w:r>
        <w:rPr>
          <w:rFonts w:hint="cs"/>
          <w:rtl/>
        </w:rPr>
        <w:t xml:space="preserve"> </w:t>
      </w:r>
      <w:bookmarkStart w:id="37535" w:name="_ETM_Q70_279240"/>
      <w:bookmarkEnd w:id="37535"/>
      <w:r>
        <w:rPr>
          <w:rFonts w:hint="cs"/>
          <w:rtl/>
        </w:rPr>
        <w:t xml:space="preserve">נסע </w:t>
      </w:r>
      <w:bookmarkStart w:id="37536" w:name="_ETM_Q70_279569"/>
      <w:bookmarkEnd w:id="37536"/>
      <w:r>
        <w:rPr>
          <w:rFonts w:hint="cs"/>
          <w:rtl/>
        </w:rPr>
        <w:t xml:space="preserve">במהירות </w:t>
      </w:r>
      <w:bookmarkStart w:id="37537" w:name="_ETM_Q70_280350"/>
      <w:bookmarkEnd w:id="37537"/>
      <w:r>
        <w:rPr>
          <w:rFonts w:hint="cs"/>
          <w:rtl/>
        </w:rPr>
        <w:t xml:space="preserve">לבית </w:t>
      </w:r>
      <w:bookmarkStart w:id="37538" w:name="_ETM_Q70_280740"/>
      <w:bookmarkEnd w:id="37538"/>
      <w:r>
        <w:rPr>
          <w:rFonts w:hint="cs"/>
          <w:rtl/>
        </w:rPr>
        <w:t xml:space="preserve">החולים, </w:t>
      </w:r>
      <w:bookmarkStart w:id="37539" w:name="_ETM_Q70_281609"/>
      <w:bookmarkEnd w:id="37539"/>
      <w:r>
        <w:rPr>
          <w:rFonts w:hint="cs"/>
          <w:rtl/>
        </w:rPr>
        <w:t xml:space="preserve">לחדרו </w:t>
      </w:r>
      <w:bookmarkStart w:id="37540" w:name="_ETM_Q70_282240"/>
      <w:bookmarkEnd w:id="37540"/>
      <w:r>
        <w:rPr>
          <w:rFonts w:hint="cs"/>
          <w:rtl/>
        </w:rPr>
        <w:t xml:space="preserve">של </w:t>
      </w:r>
      <w:bookmarkStart w:id="37541" w:name="_ETM_Q70_282420"/>
      <w:bookmarkEnd w:id="37541"/>
      <w:r>
        <w:rPr>
          <w:rFonts w:hint="cs"/>
          <w:rtl/>
        </w:rPr>
        <w:t xml:space="preserve">נתניהו </w:t>
      </w:r>
      <w:bookmarkStart w:id="37542" w:name="_ETM_Q70_282929"/>
      <w:bookmarkEnd w:id="37542"/>
      <w:r>
        <w:rPr>
          <w:rFonts w:hint="cs"/>
          <w:rtl/>
        </w:rPr>
        <w:t xml:space="preserve">בשיבא, </w:t>
      </w:r>
      <w:bookmarkStart w:id="37543" w:name="_ETM_Q70_284640"/>
      <w:bookmarkEnd w:id="37543"/>
      <w:r>
        <w:rPr>
          <w:rFonts w:hint="cs"/>
          <w:rtl/>
        </w:rPr>
        <w:t xml:space="preserve">אני </w:t>
      </w:r>
      <w:bookmarkStart w:id="37544" w:name="_ETM_Q70_284880"/>
      <w:bookmarkEnd w:id="37544"/>
      <w:r>
        <w:rPr>
          <w:rFonts w:hint="cs"/>
          <w:rtl/>
        </w:rPr>
        <w:t xml:space="preserve">מניחה, </w:t>
      </w:r>
      <w:bookmarkStart w:id="37545" w:name="_ETM_Q70_285270"/>
      <w:bookmarkEnd w:id="37545"/>
      <w:r>
        <w:rPr>
          <w:rFonts w:hint="cs"/>
          <w:rtl/>
        </w:rPr>
        <w:t xml:space="preserve">לדווח </w:t>
      </w:r>
      <w:bookmarkStart w:id="37546" w:name="_ETM_Q70_285810"/>
      <w:bookmarkEnd w:id="37546"/>
      <w:r>
        <w:rPr>
          <w:rFonts w:hint="cs"/>
          <w:rtl/>
        </w:rPr>
        <w:t xml:space="preserve">לו </w:t>
      </w:r>
      <w:bookmarkStart w:id="37547" w:name="_ETM_Q70_287340"/>
      <w:bookmarkEnd w:id="37547"/>
      <w:r>
        <w:rPr>
          <w:rFonts w:hint="cs"/>
          <w:rtl/>
        </w:rPr>
        <w:t xml:space="preserve">ממקור </w:t>
      </w:r>
      <w:bookmarkStart w:id="37548" w:name="_ETM_Q70_287820"/>
      <w:bookmarkEnd w:id="37548"/>
      <w:r>
        <w:rPr>
          <w:rFonts w:hint="cs"/>
          <w:rtl/>
        </w:rPr>
        <w:t xml:space="preserve">ראשון. </w:t>
      </w:r>
      <w:bookmarkStart w:id="37549" w:name="_ETM_Q70_288789"/>
      <w:bookmarkEnd w:id="37549"/>
      <w:r>
        <w:rPr>
          <w:rFonts w:hint="cs"/>
          <w:rtl/>
        </w:rPr>
        <w:t xml:space="preserve">אז </w:t>
      </w:r>
      <w:bookmarkStart w:id="37550" w:name="_ETM_Q70_289060"/>
      <w:bookmarkStart w:id="37551" w:name="_ETM_Q70_289210"/>
      <w:bookmarkStart w:id="37552" w:name="_ETM_Q70_287952"/>
      <w:bookmarkEnd w:id="37550"/>
      <w:bookmarkEnd w:id="37551"/>
      <w:bookmarkEnd w:id="37552"/>
      <w:r>
        <w:rPr>
          <w:rFonts w:hint="cs"/>
          <w:rtl/>
        </w:rPr>
        <w:t xml:space="preserve">נאחל </w:t>
      </w:r>
      <w:bookmarkStart w:id="37553" w:name="_ETM_Q70_290140"/>
      <w:bookmarkEnd w:id="37553"/>
      <w:r>
        <w:rPr>
          <w:rFonts w:hint="cs"/>
          <w:rtl/>
        </w:rPr>
        <w:t xml:space="preserve">במעמד </w:t>
      </w:r>
      <w:bookmarkStart w:id="37554" w:name="_ETM_Q70_290829"/>
      <w:bookmarkEnd w:id="37554"/>
      <w:r>
        <w:rPr>
          <w:rFonts w:hint="cs"/>
          <w:rtl/>
        </w:rPr>
        <w:t xml:space="preserve">הזה </w:t>
      </w:r>
      <w:bookmarkStart w:id="37555" w:name="_ETM_Q70_291399"/>
      <w:bookmarkEnd w:id="37555"/>
      <w:r>
        <w:rPr>
          <w:rFonts w:hint="cs"/>
          <w:rtl/>
        </w:rPr>
        <w:t xml:space="preserve">הרבה </w:t>
      </w:r>
      <w:bookmarkStart w:id="37556" w:name="_ETM_Q70_291700"/>
      <w:bookmarkEnd w:id="37556"/>
      <w:r>
        <w:rPr>
          <w:rFonts w:hint="cs"/>
          <w:rtl/>
        </w:rPr>
        <w:t xml:space="preserve">בריאות </w:t>
      </w:r>
      <w:bookmarkStart w:id="37557" w:name="_ETM_Q70_292030"/>
      <w:bookmarkEnd w:id="37557"/>
      <w:r>
        <w:rPr>
          <w:rFonts w:hint="cs"/>
          <w:rtl/>
        </w:rPr>
        <w:t xml:space="preserve">לראש </w:t>
      </w:r>
      <w:bookmarkStart w:id="37558" w:name="_ETM_Q70_292270"/>
      <w:bookmarkEnd w:id="37558"/>
      <w:r>
        <w:rPr>
          <w:rFonts w:hint="cs"/>
          <w:rtl/>
        </w:rPr>
        <w:t xml:space="preserve">הממשלה </w:t>
      </w:r>
      <w:bookmarkStart w:id="37559" w:name="_ETM_Q70_293530"/>
      <w:bookmarkEnd w:id="37559"/>
      <w:r>
        <w:rPr>
          <w:rFonts w:hint="cs"/>
          <w:rtl/>
        </w:rPr>
        <w:t xml:space="preserve">ונקווה </w:t>
      </w:r>
      <w:bookmarkStart w:id="37560" w:name="_ETM_Q70_294740"/>
      <w:bookmarkEnd w:id="37560"/>
      <w:r>
        <w:rPr>
          <w:rFonts w:hint="cs"/>
          <w:rtl/>
        </w:rPr>
        <w:t xml:space="preserve">שמצב </w:t>
      </w:r>
      <w:bookmarkStart w:id="37561" w:name="_ETM_Q70_295399"/>
      <w:bookmarkEnd w:id="37561"/>
      <w:r>
        <w:rPr>
          <w:rFonts w:hint="cs"/>
          <w:rtl/>
        </w:rPr>
        <w:t xml:space="preserve">בריאותו </w:t>
      </w:r>
      <w:bookmarkStart w:id="37562" w:name="_ETM_Q70_297149"/>
      <w:bookmarkEnd w:id="37562"/>
      <w:r>
        <w:rPr>
          <w:rFonts w:hint="cs"/>
          <w:rtl/>
        </w:rPr>
        <w:t xml:space="preserve">ישתפר </w:t>
      </w:r>
      <w:bookmarkStart w:id="37563" w:name="_ETM_Q70_297630"/>
      <w:bookmarkEnd w:id="37563"/>
      <w:r>
        <w:rPr>
          <w:rFonts w:hint="cs"/>
          <w:rtl/>
        </w:rPr>
        <w:t xml:space="preserve">במהרה, </w:t>
      </w:r>
      <w:bookmarkStart w:id="37564" w:name="_ETM_Q70_298710"/>
      <w:bookmarkEnd w:id="37564"/>
      <w:r>
        <w:rPr>
          <w:rFonts w:hint="cs"/>
          <w:rtl/>
        </w:rPr>
        <w:t>וש</w:t>
      </w:r>
      <w:bookmarkStart w:id="37565" w:name="_ETM_Q70_299100"/>
      <w:bookmarkEnd w:id="37565"/>
      <w:r>
        <w:rPr>
          <w:rFonts w:hint="cs"/>
          <w:rtl/>
        </w:rPr>
        <w:t xml:space="preserve">הציבור </w:t>
      </w:r>
      <w:bookmarkStart w:id="37566" w:name="_ETM_Q70_299490"/>
      <w:bookmarkEnd w:id="37566"/>
      <w:r>
        <w:rPr>
          <w:rFonts w:hint="cs"/>
          <w:rtl/>
        </w:rPr>
        <w:t>י</w:t>
      </w:r>
      <w:bookmarkStart w:id="37567" w:name="_ETM_Q70_299202"/>
      <w:bookmarkEnd w:id="37567"/>
      <w:r>
        <w:rPr>
          <w:rFonts w:hint="cs"/>
          <w:rtl/>
        </w:rPr>
        <w:t xml:space="preserve">דע </w:t>
      </w:r>
      <w:bookmarkStart w:id="37568" w:name="_ETM_Q70_300360"/>
      <w:bookmarkEnd w:id="37568"/>
      <w:r>
        <w:rPr>
          <w:rFonts w:hint="cs"/>
          <w:rtl/>
        </w:rPr>
        <w:t xml:space="preserve">על </w:t>
      </w:r>
      <w:bookmarkStart w:id="37569" w:name="_ETM_Q70_300600"/>
      <w:bookmarkEnd w:id="37569"/>
      <w:r>
        <w:rPr>
          <w:rFonts w:hint="cs"/>
          <w:rtl/>
        </w:rPr>
        <w:t xml:space="preserve">מצב </w:t>
      </w:r>
      <w:bookmarkStart w:id="37570" w:name="_ETM_Q70_300930"/>
      <w:bookmarkEnd w:id="37570"/>
      <w:r>
        <w:rPr>
          <w:rFonts w:hint="cs"/>
          <w:rtl/>
        </w:rPr>
        <w:t xml:space="preserve">בריאותו </w:t>
      </w:r>
      <w:bookmarkStart w:id="37571" w:name="_ETM_Q70_301829"/>
      <w:bookmarkEnd w:id="37571"/>
      <w:r>
        <w:rPr>
          <w:rFonts w:hint="cs"/>
          <w:rtl/>
        </w:rPr>
        <w:t xml:space="preserve">בשקיפות </w:t>
      </w:r>
      <w:bookmarkStart w:id="37572" w:name="_ETM_Q70_302729"/>
      <w:bookmarkEnd w:id="37572"/>
      <w:r>
        <w:rPr>
          <w:rFonts w:hint="cs"/>
          <w:rtl/>
        </w:rPr>
        <w:t>ובהגינות.</w:t>
      </w:r>
      <w:bookmarkStart w:id="37573" w:name="_ETM_Q70_304899"/>
      <w:bookmarkEnd w:id="37573"/>
    </w:p>
    <w:p w:rsidR="00BB59CD" w:rsidRDefault="00BB59CD" w:rsidP="00BB59CD">
      <w:pPr>
        <w:rPr>
          <w:rtl/>
        </w:rPr>
      </w:pPr>
      <w:bookmarkStart w:id="37574" w:name="_ETM_Q70_303453"/>
      <w:bookmarkStart w:id="37575" w:name="_ETM_Q70_303516"/>
      <w:bookmarkEnd w:id="37574"/>
      <w:bookmarkEnd w:id="37575"/>
    </w:p>
    <w:p w:rsidR="00BB59CD" w:rsidRDefault="00BB59CD" w:rsidP="00BB59CD">
      <w:pPr>
        <w:rPr>
          <w:rtl/>
        </w:rPr>
      </w:pPr>
      <w:bookmarkStart w:id="37576" w:name="_ETM_Q70_303621"/>
      <w:bookmarkStart w:id="37577" w:name="_ETM_Q70_303667"/>
      <w:bookmarkEnd w:id="37576"/>
      <w:bookmarkEnd w:id="37577"/>
      <w:r>
        <w:rPr>
          <w:rFonts w:hint="cs"/>
          <w:rtl/>
        </w:rPr>
        <w:t xml:space="preserve">אז </w:t>
      </w:r>
      <w:bookmarkStart w:id="37578" w:name="_ETM_Q70_305049"/>
      <w:bookmarkEnd w:id="37578"/>
      <w:r>
        <w:rPr>
          <w:rFonts w:hint="cs"/>
          <w:rtl/>
        </w:rPr>
        <w:t xml:space="preserve">בואו </w:t>
      </w:r>
      <w:bookmarkStart w:id="37579" w:name="_ETM_Q70_305259"/>
      <w:bookmarkEnd w:id="37579"/>
      <w:r>
        <w:rPr>
          <w:rFonts w:hint="cs"/>
          <w:rtl/>
        </w:rPr>
        <w:t xml:space="preserve">נזכור </w:t>
      </w:r>
      <w:bookmarkStart w:id="37580" w:name="_ETM_Q70_307460"/>
      <w:bookmarkEnd w:id="37580"/>
      <w:r>
        <w:rPr>
          <w:rFonts w:hint="cs"/>
          <w:rtl/>
        </w:rPr>
        <w:t>שמע</w:t>
      </w:r>
      <w:bookmarkStart w:id="37581" w:name="_ETM_Q70_308030"/>
      <w:bookmarkStart w:id="37582" w:name="_ETM_Q70_305193"/>
      <w:bookmarkEnd w:id="37581"/>
      <w:bookmarkEnd w:id="37582"/>
      <w:r>
        <w:rPr>
          <w:rFonts w:hint="cs"/>
          <w:rtl/>
        </w:rPr>
        <w:t xml:space="preserve">ט </w:t>
      </w:r>
      <w:bookmarkStart w:id="37583" w:name="_ETM_Q70_305762"/>
      <w:bookmarkEnd w:id="37583"/>
      <w:r>
        <w:rPr>
          <w:rFonts w:hint="cs"/>
          <w:rtl/>
        </w:rPr>
        <w:t xml:space="preserve">ענווה </w:t>
      </w:r>
      <w:bookmarkStart w:id="37584" w:name="_ETM_Q70_308419"/>
      <w:bookmarkEnd w:id="37584"/>
      <w:r>
        <w:rPr>
          <w:rFonts w:hint="cs"/>
          <w:rtl/>
        </w:rPr>
        <w:t xml:space="preserve">לא </w:t>
      </w:r>
      <w:bookmarkStart w:id="37585" w:name="_ETM_Q70_308569"/>
      <w:bookmarkEnd w:id="37585"/>
      <w:r>
        <w:rPr>
          <w:rFonts w:hint="cs"/>
          <w:rtl/>
        </w:rPr>
        <w:t xml:space="preserve">תזיק </w:t>
      </w:r>
      <w:bookmarkStart w:id="37586" w:name="_ETM_Q70_308959"/>
      <w:bookmarkEnd w:id="37586"/>
      <w:r>
        <w:rPr>
          <w:rFonts w:hint="cs"/>
          <w:rtl/>
        </w:rPr>
        <w:t xml:space="preserve">לממשלה </w:t>
      </w:r>
      <w:bookmarkStart w:id="37587" w:name="_ETM_Q70_309590"/>
      <w:bookmarkEnd w:id="37587"/>
      <w:r>
        <w:rPr>
          <w:rFonts w:hint="cs"/>
          <w:rtl/>
        </w:rPr>
        <w:t xml:space="preserve">הזו. </w:t>
      </w:r>
      <w:bookmarkStart w:id="37588" w:name="_ETM_Q70_310600"/>
      <w:bookmarkEnd w:id="37588"/>
      <w:r>
        <w:rPr>
          <w:rFonts w:hint="cs"/>
          <w:rtl/>
        </w:rPr>
        <w:t xml:space="preserve">מעט </w:t>
      </w:r>
      <w:bookmarkStart w:id="37589" w:name="_ETM_Q70_311050"/>
      <w:bookmarkEnd w:id="37589"/>
      <w:r>
        <w:rPr>
          <w:rFonts w:hint="cs"/>
          <w:rtl/>
        </w:rPr>
        <w:t xml:space="preserve">ענווה </w:t>
      </w:r>
      <w:bookmarkStart w:id="37590" w:name="_ETM_Q70_311800"/>
      <w:bookmarkEnd w:id="37590"/>
      <w:r>
        <w:rPr>
          <w:rFonts w:hint="cs"/>
          <w:rtl/>
        </w:rPr>
        <w:t xml:space="preserve">לא </w:t>
      </w:r>
      <w:bookmarkStart w:id="37591" w:name="_ETM_Q70_312070"/>
      <w:bookmarkEnd w:id="37591"/>
      <w:r>
        <w:rPr>
          <w:rFonts w:hint="cs"/>
          <w:rtl/>
        </w:rPr>
        <w:t xml:space="preserve">תזיק </w:t>
      </w:r>
      <w:bookmarkStart w:id="37592" w:name="_ETM_Q70_312850"/>
      <w:bookmarkEnd w:id="37592"/>
      <w:r>
        <w:rPr>
          <w:rFonts w:hint="cs"/>
          <w:rtl/>
        </w:rPr>
        <w:t xml:space="preserve">גם </w:t>
      </w:r>
      <w:bookmarkStart w:id="37593" w:name="_ETM_Q70_313090"/>
      <w:bookmarkEnd w:id="37593"/>
      <w:r>
        <w:rPr>
          <w:rFonts w:hint="cs"/>
          <w:rtl/>
        </w:rPr>
        <w:t xml:space="preserve">לראש </w:t>
      </w:r>
      <w:bookmarkStart w:id="37594" w:name="_ETM_Q70_313389"/>
      <w:bookmarkEnd w:id="37594"/>
      <w:r>
        <w:rPr>
          <w:rFonts w:hint="cs"/>
          <w:rtl/>
        </w:rPr>
        <w:t xml:space="preserve">הממשלה </w:t>
      </w:r>
      <w:bookmarkStart w:id="37595" w:name="_ETM_Q70_313990"/>
      <w:bookmarkEnd w:id="37595"/>
      <w:r>
        <w:rPr>
          <w:rFonts w:hint="cs"/>
          <w:rtl/>
        </w:rPr>
        <w:t xml:space="preserve">הזה. </w:t>
      </w:r>
      <w:bookmarkStart w:id="37596" w:name="_ETM_Q70_315139"/>
      <w:bookmarkEnd w:id="37596"/>
      <w:r>
        <w:rPr>
          <w:rFonts w:hint="cs"/>
          <w:rtl/>
        </w:rPr>
        <w:t>הברי</w:t>
      </w:r>
      <w:bookmarkStart w:id="37597" w:name="_ETM_Q70_313473"/>
      <w:bookmarkEnd w:id="37597"/>
      <w:r>
        <w:rPr>
          <w:rFonts w:hint="cs"/>
          <w:rtl/>
        </w:rPr>
        <w:t>ת עם</w:t>
      </w:r>
      <w:bookmarkStart w:id="37598" w:name="_ETM_Q70_312094"/>
      <w:bookmarkEnd w:id="37598"/>
      <w:r>
        <w:rPr>
          <w:rFonts w:hint="cs"/>
          <w:rtl/>
        </w:rPr>
        <w:t xml:space="preserve"> </w:t>
      </w:r>
      <w:bookmarkStart w:id="37599" w:name="_ETM_Q70_315770"/>
      <w:bookmarkEnd w:id="37599"/>
      <w:r>
        <w:rPr>
          <w:rFonts w:hint="cs"/>
          <w:rtl/>
        </w:rPr>
        <w:t xml:space="preserve">ארצות </w:t>
      </w:r>
      <w:bookmarkStart w:id="37600" w:name="_ETM_Q70_316160"/>
      <w:bookmarkEnd w:id="37600"/>
      <w:r>
        <w:rPr>
          <w:rFonts w:hint="cs"/>
          <w:rtl/>
        </w:rPr>
        <w:t xml:space="preserve">הברית </w:t>
      </w:r>
      <w:bookmarkStart w:id="37601" w:name="_ETM_Q70_317180"/>
      <w:bookmarkEnd w:id="37601"/>
      <w:r>
        <w:rPr>
          <w:rFonts w:hint="cs"/>
          <w:rtl/>
        </w:rPr>
        <w:t xml:space="preserve">אינה </w:t>
      </w:r>
      <w:bookmarkStart w:id="37602" w:name="_ETM_Q70_317600"/>
      <w:bookmarkEnd w:id="37602"/>
      <w:r>
        <w:rPr>
          <w:rFonts w:hint="cs"/>
          <w:rtl/>
        </w:rPr>
        <w:t xml:space="preserve">ברית </w:t>
      </w:r>
      <w:bookmarkStart w:id="37603" w:name="_ETM_Q70_317960"/>
      <w:bookmarkEnd w:id="37603"/>
      <w:r>
        <w:rPr>
          <w:rFonts w:hint="cs"/>
          <w:rtl/>
        </w:rPr>
        <w:t xml:space="preserve">בין </w:t>
      </w:r>
      <w:bookmarkStart w:id="37604" w:name="_ETM_Q70_318230"/>
      <w:bookmarkEnd w:id="37604"/>
      <w:r>
        <w:rPr>
          <w:rFonts w:hint="cs"/>
          <w:rtl/>
        </w:rPr>
        <w:t>שוות</w:t>
      </w:r>
      <w:bookmarkStart w:id="37605" w:name="_ETM_Q70_317313"/>
      <w:bookmarkEnd w:id="37605"/>
      <w:r>
        <w:rPr>
          <w:rFonts w:hint="cs"/>
          <w:rtl/>
        </w:rPr>
        <w:t xml:space="preserve">, </w:t>
      </w:r>
      <w:bookmarkStart w:id="37606" w:name="_ETM_Q70_319780"/>
      <w:bookmarkEnd w:id="37606"/>
      <w:r>
        <w:rPr>
          <w:rFonts w:hint="cs"/>
          <w:rtl/>
        </w:rPr>
        <w:t xml:space="preserve">זו </w:t>
      </w:r>
      <w:bookmarkStart w:id="37607" w:name="_ETM_Q70_320050"/>
      <w:bookmarkEnd w:id="37607"/>
      <w:r>
        <w:rPr>
          <w:rFonts w:hint="cs"/>
          <w:rtl/>
        </w:rPr>
        <w:t xml:space="preserve">ברית </w:t>
      </w:r>
      <w:bookmarkStart w:id="37608" w:name="_ETM_Q70_320720"/>
      <w:bookmarkEnd w:id="37608"/>
      <w:r>
        <w:rPr>
          <w:rFonts w:hint="cs"/>
          <w:rtl/>
        </w:rPr>
        <w:t xml:space="preserve">שאנחנו </w:t>
      </w:r>
      <w:bookmarkStart w:id="37609" w:name="_ETM_Q70_321770"/>
      <w:bookmarkEnd w:id="37609"/>
      <w:r>
        <w:rPr>
          <w:rFonts w:hint="cs"/>
          <w:rtl/>
        </w:rPr>
        <w:t xml:space="preserve">זקוקים </w:t>
      </w:r>
      <w:bookmarkStart w:id="37610" w:name="_ETM_Q70_322430"/>
      <w:bookmarkEnd w:id="37610"/>
      <w:r>
        <w:rPr>
          <w:rFonts w:hint="cs"/>
          <w:rtl/>
        </w:rPr>
        <w:t xml:space="preserve">לה </w:t>
      </w:r>
      <w:bookmarkStart w:id="37611" w:name="_ETM_Q70_322790"/>
      <w:bookmarkEnd w:id="37611"/>
      <w:r>
        <w:rPr>
          <w:rFonts w:hint="cs"/>
          <w:rtl/>
        </w:rPr>
        <w:t xml:space="preserve">הרבה </w:t>
      </w:r>
      <w:bookmarkStart w:id="37612" w:name="_ETM_Q70_323300"/>
      <w:bookmarkEnd w:id="37612"/>
      <w:r>
        <w:rPr>
          <w:rFonts w:hint="cs"/>
          <w:rtl/>
        </w:rPr>
        <w:t xml:space="preserve">יותר </w:t>
      </w:r>
      <w:bookmarkStart w:id="37613" w:name="_ETM_Q70_324139"/>
      <w:bookmarkEnd w:id="37613"/>
      <w:r>
        <w:rPr>
          <w:rFonts w:hint="cs"/>
          <w:rtl/>
        </w:rPr>
        <w:t>מ</w:t>
      </w:r>
      <w:bookmarkStart w:id="37614" w:name="_ETM_Q70_324319"/>
      <w:bookmarkEnd w:id="37614"/>
      <w:r>
        <w:rPr>
          <w:rFonts w:hint="cs"/>
          <w:rtl/>
        </w:rPr>
        <w:t>ש</w:t>
      </w:r>
      <w:bookmarkStart w:id="37615" w:name="_ETM_Q70_324470"/>
      <w:bookmarkEnd w:id="37615"/>
      <w:r>
        <w:rPr>
          <w:rFonts w:hint="cs"/>
          <w:rtl/>
        </w:rPr>
        <w:t xml:space="preserve">זקוקה </w:t>
      </w:r>
      <w:bookmarkStart w:id="37616" w:name="_ETM_Q70_324950"/>
      <w:bookmarkEnd w:id="37616"/>
      <w:r>
        <w:rPr>
          <w:rFonts w:hint="cs"/>
          <w:rtl/>
        </w:rPr>
        <w:t>לנו</w:t>
      </w:r>
      <w:bookmarkStart w:id="37617" w:name="_ETM_Q70_325760"/>
      <w:bookmarkStart w:id="37618" w:name="_ETM_Q70_326180"/>
      <w:bookmarkEnd w:id="37617"/>
      <w:bookmarkEnd w:id="37618"/>
      <w:r>
        <w:rPr>
          <w:rFonts w:hint="cs"/>
          <w:rtl/>
        </w:rPr>
        <w:t xml:space="preserve"> ארצות הברית.</w:t>
      </w:r>
      <w:bookmarkStart w:id="37619" w:name="_ETM_Q70_324753"/>
      <w:bookmarkEnd w:id="37619"/>
      <w:r>
        <w:rPr>
          <w:rFonts w:hint="cs"/>
          <w:rtl/>
        </w:rPr>
        <w:t xml:space="preserve"> </w:t>
      </w:r>
      <w:bookmarkStart w:id="37620" w:name="_ETM_Q70_327629"/>
      <w:bookmarkEnd w:id="37620"/>
      <w:r>
        <w:rPr>
          <w:rFonts w:hint="cs"/>
          <w:rtl/>
        </w:rPr>
        <w:t xml:space="preserve">משחק </w:t>
      </w:r>
      <w:bookmarkStart w:id="37621" w:name="_ETM_Q70_328109"/>
      <w:bookmarkEnd w:id="37621"/>
      <w:r>
        <w:rPr>
          <w:rFonts w:hint="cs"/>
          <w:rtl/>
        </w:rPr>
        <w:t xml:space="preserve">הכוחות </w:t>
      </w:r>
      <w:bookmarkStart w:id="37622" w:name="_ETM_Q70_328829"/>
      <w:bookmarkEnd w:id="37622"/>
      <w:r>
        <w:rPr>
          <w:rFonts w:hint="cs"/>
          <w:rtl/>
        </w:rPr>
        <w:t xml:space="preserve">אינו </w:t>
      </w:r>
      <w:bookmarkStart w:id="37623" w:name="_ETM_Q70_329129"/>
      <w:bookmarkEnd w:id="37623"/>
      <w:r>
        <w:rPr>
          <w:rFonts w:hint="cs"/>
          <w:rtl/>
        </w:rPr>
        <w:t xml:space="preserve">מאוזן. </w:t>
      </w:r>
      <w:bookmarkStart w:id="37624" w:name="_ETM_Q70_331080"/>
      <w:bookmarkEnd w:id="37624"/>
      <w:r>
        <w:rPr>
          <w:rFonts w:hint="cs"/>
          <w:rtl/>
        </w:rPr>
        <w:t xml:space="preserve">ללא </w:t>
      </w:r>
      <w:bookmarkStart w:id="37625" w:name="_ETM_Q70_331590"/>
      <w:bookmarkEnd w:id="37625"/>
      <w:r>
        <w:rPr>
          <w:rFonts w:hint="cs"/>
          <w:rtl/>
        </w:rPr>
        <w:t xml:space="preserve">הברית </w:t>
      </w:r>
      <w:bookmarkStart w:id="37626" w:name="_ETM_Q70_332069"/>
      <w:bookmarkEnd w:id="37626"/>
      <w:r>
        <w:rPr>
          <w:rFonts w:hint="cs"/>
          <w:rtl/>
        </w:rPr>
        <w:t xml:space="preserve">הזאת </w:t>
      </w:r>
      <w:bookmarkStart w:id="37627" w:name="_ETM_Q70_332519"/>
      <w:bookmarkEnd w:id="37627"/>
      <w:r>
        <w:rPr>
          <w:rFonts w:hint="cs"/>
          <w:rtl/>
        </w:rPr>
        <w:t xml:space="preserve">עם </w:t>
      </w:r>
      <w:bookmarkStart w:id="37628" w:name="_ETM_Q70_332730"/>
      <w:bookmarkEnd w:id="37628"/>
      <w:r>
        <w:rPr>
          <w:rFonts w:hint="cs"/>
          <w:rtl/>
        </w:rPr>
        <w:t xml:space="preserve">ארצות </w:t>
      </w:r>
      <w:bookmarkStart w:id="37629" w:name="_ETM_Q70_333120"/>
      <w:bookmarkEnd w:id="37629"/>
      <w:r>
        <w:rPr>
          <w:rFonts w:hint="cs"/>
          <w:rtl/>
        </w:rPr>
        <w:t xml:space="preserve">הברית </w:t>
      </w:r>
      <w:bookmarkStart w:id="37630" w:name="_ETM_Q70_333799"/>
      <w:bookmarkEnd w:id="37630"/>
      <w:r>
        <w:rPr>
          <w:rFonts w:hint="cs"/>
          <w:rtl/>
        </w:rPr>
        <w:t xml:space="preserve">ישראל </w:t>
      </w:r>
      <w:bookmarkStart w:id="37631" w:name="_ETM_Q70_334609"/>
      <w:bookmarkEnd w:id="37631"/>
      <w:r>
        <w:rPr>
          <w:rFonts w:hint="cs"/>
          <w:rtl/>
        </w:rPr>
        <w:t xml:space="preserve">בסכנה </w:t>
      </w:r>
      <w:bookmarkStart w:id="37632" w:name="_ETM_Q70_335269"/>
      <w:bookmarkEnd w:id="37632"/>
      <w:r>
        <w:rPr>
          <w:rFonts w:hint="cs"/>
          <w:rtl/>
        </w:rPr>
        <w:t xml:space="preserve">גדולה </w:t>
      </w:r>
      <w:bookmarkStart w:id="37633" w:name="_ETM_Q70_335719"/>
      <w:bookmarkEnd w:id="37633"/>
      <w:r>
        <w:rPr>
          <w:rFonts w:hint="cs"/>
          <w:rtl/>
        </w:rPr>
        <w:t xml:space="preserve">מאוד. </w:t>
      </w:r>
      <w:bookmarkStart w:id="37634" w:name="_ETM_Q70_336529"/>
      <w:bookmarkEnd w:id="37634"/>
      <w:r>
        <w:rPr>
          <w:rFonts w:hint="cs"/>
          <w:rtl/>
        </w:rPr>
        <w:t xml:space="preserve">אנחנו </w:t>
      </w:r>
      <w:bookmarkStart w:id="37635" w:name="_ETM_Q70_337400"/>
      <w:bookmarkEnd w:id="37635"/>
      <w:r>
        <w:rPr>
          <w:rFonts w:hint="cs"/>
          <w:rtl/>
        </w:rPr>
        <w:t xml:space="preserve">נמצאים </w:t>
      </w:r>
      <w:bookmarkStart w:id="37636" w:name="_ETM_Q70_337969"/>
      <w:bookmarkEnd w:id="37636"/>
      <w:r>
        <w:rPr>
          <w:rFonts w:hint="cs"/>
          <w:rtl/>
        </w:rPr>
        <w:t xml:space="preserve">בשכונה </w:t>
      </w:r>
      <w:bookmarkStart w:id="37637" w:name="_ETM_Q70_338480"/>
      <w:bookmarkEnd w:id="37637"/>
      <w:r>
        <w:rPr>
          <w:rFonts w:hint="cs"/>
          <w:rtl/>
        </w:rPr>
        <w:t>מאוד</w:t>
      </w:r>
      <w:bookmarkStart w:id="37638" w:name="_ETM_Q70_339019"/>
      <w:bookmarkEnd w:id="37638"/>
      <w:r>
        <w:rPr>
          <w:rFonts w:hint="cs"/>
          <w:rtl/>
        </w:rPr>
        <w:t xml:space="preserve"> מאוד </w:t>
      </w:r>
      <w:bookmarkStart w:id="37639" w:name="_ETM_Q70_339409"/>
      <w:bookmarkEnd w:id="37639"/>
      <w:r>
        <w:rPr>
          <w:rFonts w:hint="cs"/>
          <w:rtl/>
        </w:rPr>
        <w:t>מסוכנת,</w:t>
      </w:r>
      <w:bookmarkStart w:id="37640" w:name="_ETM_Q70_339103"/>
      <w:bookmarkEnd w:id="37640"/>
      <w:r>
        <w:rPr>
          <w:rFonts w:hint="cs"/>
          <w:rtl/>
        </w:rPr>
        <w:t xml:space="preserve"> </w:t>
      </w:r>
      <w:bookmarkStart w:id="37641" w:name="_ETM_Q70_340200"/>
      <w:bookmarkEnd w:id="37641"/>
      <w:r>
        <w:rPr>
          <w:rFonts w:hint="cs"/>
          <w:rtl/>
        </w:rPr>
        <w:t xml:space="preserve">ואנחנו </w:t>
      </w:r>
      <w:bookmarkStart w:id="37642" w:name="_ETM_Q70_340950"/>
      <w:bookmarkEnd w:id="37642"/>
      <w:r>
        <w:rPr>
          <w:rFonts w:hint="cs"/>
          <w:rtl/>
        </w:rPr>
        <w:t xml:space="preserve">תלויים, </w:t>
      </w:r>
      <w:bookmarkStart w:id="37643" w:name="_ETM_Q70_341520"/>
      <w:bookmarkEnd w:id="37643"/>
      <w:r>
        <w:rPr>
          <w:rFonts w:hint="cs"/>
          <w:rtl/>
        </w:rPr>
        <w:t xml:space="preserve">ביטחוננו </w:t>
      </w:r>
      <w:bookmarkStart w:id="37644" w:name="_ETM_Q70_342510"/>
      <w:bookmarkEnd w:id="37644"/>
      <w:r>
        <w:rPr>
          <w:rFonts w:hint="cs"/>
          <w:rtl/>
        </w:rPr>
        <w:t xml:space="preserve">תלוי </w:t>
      </w:r>
      <w:bookmarkStart w:id="37645" w:name="_ETM_Q70_343169"/>
      <w:bookmarkEnd w:id="37645"/>
      <w:r>
        <w:rPr>
          <w:rFonts w:hint="cs"/>
          <w:rtl/>
        </w:rPr>
        <w:t xml:space="preserve">בתמיכה </w:t>
      </w:r>
      <w:bookmarkStart w:id="37646" w:name="_ETM_Q70_343800"/>
      <w:bookmarkEnd w:id="37646"/>
      <w:r>
        <w:rPr>
          <w:rFonts w:hint="cs"/>
          <w:rtl/>
        </w:rPr>
        <w:t xml:space="preserve">של </w:t>
      </w:r>
      <w:bookmarkStart w:id="37647" w:name="_ETM_Q70_344010"/>
      <w:bookmarkEnd w:id="37647"/>
      <w:r>
        <w:rPr>
          <w:rFonts w:hint="cs"/>
          <w:rtl/>
        </w:rPr>
        <w:t xml:space="preserve">ארצות </w:t>
      </w:r>
      <w:bookmarkStart w:id="37648" w:name="_ETM_Q70_344310"/>
      <w:bookmarkEnd w:id="37648"/>
      <w:r>
        <w:rPr>
          <w:rFonts w:hint="cs"/>
          <w:rtl/>
        </w:rPr>
        <w:t>הברית.</w:t>
      </w:r>
      <w:bookmarkStart w:id="37649" w:name="_ETM_Q70_352329"/>
      <w:bookmarkEnd w:id="37649"/>
    </w:p>
    <w:p w:rsidR="00BB59CD" w:rsidRDefault="00BB59CD" w:rsidP="00BB59CD">
      <w:pPr>
        <w:rPr>
          <w:rtl/>
        </w:rPr>
      </w:pPr>
      <w:bookmarkStart w:id="37650" w:name="_ETM_Q70_346904"/>
      <w:bookmarkStart w:id="37651" w:name="_ETM_Q70_346988"/>
      <w:bookmarkEnd w:id="37650"/>
      <w:bookmarkEnd w:id="37651"/>
    </w:p>
    <w:p w:rsidR="00BB59CD" w:rsidRDefault="00BB59CD" w:rsidP="001F4995">
      <w:pPr>
        <w:rPr>
          <w:rtl/>
        </w:rPr>
      </w:pPr>
      <w:bookmarkStart w:id="37652" w:name="_ETM_Q70_347063"/>
      <w:bookmarkStart w:id="37653" w:name="_ETM_Q70_347119"/>
      <w:bookmarkEnd w:id="37652"/>
      <w:bookmarkEnd w:id="37653"/>
      <w:r>
        <w:rPr>
          <w:rFonts w:hint="cs"/>
          <w:rtl/>
        </w:rPr>
        <w:t xml:space="preserve">העם </w:t>
      </w:r>
      <w:bookmarkStart w:id="37654" w:name="_ETM_Q70_352629"/>
      <w:bookmarkEnd w:id="37654"/>
      <w:r>
        <w:rPr>
          <w:rFonts w:hint="cs"/>
          <w:rtl/>
        </w:rPr>
        <w:t xml:space="preserve">שלנו </w:t>
      </w:r>
      <w:bookmarkStart w:id="37655" w:name="_ETM_Q70_353610"/>
      <w:bookmarkEnd w:id="37655"/>
      <w:r>
        <w:rPr>
          <w:rFonts w:hint="cs"/>
          <w:rtl/>
        </w:rPr>
        <w:t xml:space="preserve">משוסע </w:t>
      </w:r>
      <w:bookmarkStart w:id="37656" w:name="_ETM_Q70_354419"/>
      <w:bookmarkEnd w:id="37656"/>
      <w:r>
        <w:rPr>
          <w:rFonts w:hint="cs"/>
          <w:rtl/>
        </w:rPr>
        <w:t xml:space="preserve">יותר </w:t>
      </w:r>
      <w:bookmarkStart w:id="37657" w:name="_ETM_Q70_354780"/>
      <w:bookmarkEnd w:id="37657"/>
      <w:r>
        <w:rPr>
          <w:rFonts w:hint="cs"/>
          <w:rtl/>
        </w:rPr>
        <w:t>מ</w:t>
      </w:r>
      <w:bookmarkStart w:id="37658" w:name="_ETM_Q70_354930"/>
      <w:bookmarkEnd w:id="37658"/>
      <w:r>
        <w:rPr>
          <w:rFonts w:hint="cs"/>
          <w:rtl/>
        </w:rPr>
        <w:t xml:space="preserve">תמיד. </w:t>
      </w:r>
      <w:bookmarkStart w:id="37659" w:name="_ETM_Q70_356379"/>
      <w:bookmarkEnd w:id="37659"/>
      <w:r>
        <w:rPr>
          <w:rFonts w:hint="cs"/>
          <w:rtl/>
        </w:rPr>
        <w:t xml:space="preserve">ההסתה </w:t>
      </w:r>
      <w:bookmarkStart w:id="37660" w:name="_ETM_Q70_357430"/>
      <w:bookmarkEnd w:id="37660"/>
      <w:r>
        <w:rPr>
          <w:rFonts w:hint="cs"/>
          <w:rtl/>
        </w:rPr>
        <w:t xml:space="preserve">שהתחילה </w:t>
      </w:r>
      <w:bookmarkStart w:id="37661" w:name="_ETM_Q70_358030"/>
      <w:bookmarkEnd w:id="37661"/>
      <w:r>
        <w:rPr>
          <w:rFonts w:hint="cs"/>
          <w:rtl/>
        </w:rPr>
        <w:t xml:space="preserve">פה, </w:t>
      </w:r>
      <w:bookmarkStart w:id="37662" w:name="_ETM_Q70_358599"/>
      <w:bookmarkEnd w:id="37662"/>
      <w:r>
        <w:rPr>
          <w:rFonts w:hint="cs"/>
          <w:rtl/>
        </w:rPr>
        <w:t xml:space="preserve">בבית </w:t>
      </w:r>
      <w:bookmarkStart w:id="37663" w:name="_ETM_Q70_359079"/>
      <w:bookmarkEnd w:id="37663"/>
      <w:r>
        <w:rPr>
          <w:rFonts w:hint="cs"/>
          <w:rtl/>
        </w:rPr>
        <w:t xml:space="preserve">הזה, </w:t>
      </w:r>
      <w:bookmarkStart w:id="37664" w:name="_ETM_Q70_359709"/>
      <w:bookmarkEnd w:id="37664"/>
      <w:r>
        <w:rPr>
          <w:rFonts w:hint="cs"/>
          <w:rtl/>
        </w:rPr>
        <w:t xml:space="preserve">מעל </w:t>
      </w:r>
      <w:bookmarkStart w:id="37665" w:name="_ETM_Q70_360099"/>
      <w:bookmarkEnd w:id="37665"/>
      <w:r>
        <w:rPr>
          <w:rFonts w:hint="cs"/>
          <w:rtl/>
        </w:rPr>
        <w:t xml:space="preserve">במה </w:t>
      </w:r>
      <w:bookmarkStart w:id="37666" w:name="_ETM_Q70_360430"/>
      <w:bookmarkEnd w:id="37666"/>
      <w:r>
        <w:rPr>
          <w:rFonts w:hint="cs"/>
          <w:rtl/>
        </w:rPr>
        <w:t xml:space="preserve">זו, </w:t>
      </w:r>
      <w:bookmarkStart w:id="37667" w:name="_ETM_Q70_361060"/>
      <w:bookmarkEnd w:id="37667"/>
      <w:r>
        <w:rPr>
          <w:rFonts w:hint="cs"/>
          <w:rtl/>
        </w:rPr>
        <w:t xml:space="preserve">מפי </w:t>
      </w:r>
      <w:bookmarkStart w:id="37668" w:name="_ETM_Q70_361419"/>
      <w:bookmarkEnd w:id="37668"/>
      <w:r>
        <w:rPr>
          <w:rFonts w:hint="cs"/>
          <w:rtl/>
        </w:rPr>
        <w:t xml:space="preserve">נבחרי </w:t>
      </w:r>
      <w:bookmarkStart w:id="37669" w:name="_ETM_Q70_361840"/>
      <w:bookmarkEnd w:id="37669"/>
      <w:r>
        <w:rPr>
          <w:rFonts w:hint="cs"/>
          <w:rtl/>
        </w:rPr>
        <w:t>ציבור</w:t>
      </w:r>
      <w:bookmarkStart w:id="37670" w:name="_ETM_Q70_362073"/>
      <w:bookmarkEnd w:id="37670"/>
      <w:r>
        <w:rPr>
          <w:rFonts w:hint="cs"/>
          <w:rtl/>
        </w:rPr>
        <w:t xml:space="preserve"> </w:t>
      </w:r>
      <w:bookmarkStart w:id="37671" w:name="_ETM_Q70_362860"/>
      <w:bookmarkEnd w:id="37671"/>
      <w:r>
        <w:rPr>
          <w:rFonts w:hint="cs"/>
          <w:rtl/>
        </w:rPr>
        <w:t xml:space="preserve">שיוצאים </w:t>
      </w:r>
      <w:bookmarkStart w:id="37672" w:name="_ETM_Q70_363550"/>
      <w:bookmarkEnd w:id="37672"/>
      <w:r>
        <w:rPr>
          <w:rFonts w:hint="cs"/>
          <w:rtl/>
        </w:rPr>
        <w:t xml:space="preserve">בשצף </w:t>
      </w:r>
      <w:bookmarkStart w:id="37673" w:name="_ETM_Q70_364030"/>
      <w:bookmarkEnd w:id="37673"/>
      <w:r>
        <w:rPr>
          <w:rFonts w:hint="cs"/>
          <w:rtl/>
        </w:rPr>
        <w:t xml:space="preserve">קצף </w:t>
      </w:r>
      <w:bookmarkStart w:id="37674" w:name="_ETM_Q70_364750"/>
      <w:bookmarkEnd w:id="37674"/>
      <w:r>
        <w:rPr>
          <w:rFonts w:hint="cs"/>
          <w:rtl/>
        </w:rPr>
        <w:t xml:space="preserve">של </w:t>
      </w:r>
      <w:bookmarkStart w:id="37675" w:name="_ETM_Q70_365020"/>
      <w:bookmarkEnd w:id="37675"/>
      <w:r>
        <w:rPr>
          <w:rFonts w:hint="cs"/>
          <w:rtl/>
        </w:rPr>
        <w:t xml:space="preserve">רוע </w:t>
      </w:r>
      <w:bookmarkStart w:id="37676" w:name="_ETM_Q70_365800"/>
      <w:bookmarkEnd w:id="37676"/>
      <w:r>
        <w:rPr>
          <w:rFonts w:hint="cs"/>
          <w:rtl/>
        </w:rPr>
        <w:t xml:space="preserve">כלפי </w:t>
      </w:r>
      <w:bookmarkStart w:id="37677" w:name="_ETM_Q70_366190"/>
      <w:bookmarkEnd w:id="37677"/>
      <w:r>
        <w:rPr>
          <w:rFonts w:hint="cs"/>
          <w:rtl/>
        </w:rPr>
        <w:t xml:space="preserve">חלקים </w:t>
      </w:r>
      <w:bookmarkStart w:id="37678" w:name="_ETM_Q70_366760"/>
      <w:bookmarkEnd w:id="37678"/>
      <w:r>
        <w:rPr>
          <w:rFonts w:hint="cs"/>
          <w:rtl/>
        </w:rPr>
        <w:t xml:space="preserve">לא </w:t>
      </w:r>
      <w:bookmarkStart w:id="37679" w:name="_ETM_Q70_366879"/>
      <w:bookmarkEnd w:id="37679"/>
      <w:r>
        <w:rPr>
          <w:rFonts w:hint="cs"/>
          <w:rtl/>
        </w:rPr>
        <w:t xml:space="preserve">מבוטלים </w:t>
      </w:r>
      <w:bookmarkStart w:id="37680" w:name="_ETM_Q70_367480"/>
      <w:bookmarkEnd w:id="37680"/>
      <w:r>
        <w:rPr>
          <w:rFonts w:hint="cs"/>
          <w:rtl/>
        </w:rPr>
        <w:t xml:space="preserve">של </w:t>
      </w:r>
      <w:bookmarkStart w:id="37681" w:name="_ETM_Q70_367660"/>
      <w:bookmarkStart w:id="37682" w:name="_ETM_Q70_360283"/>
      <w:bookmarkEnd w:id="37681"/>
      <w:bookmarkEnd w:id="37682"/>
      <w:r>
        <w:rPr>
          <w:rFonts w:hint="cs"/>
          <w:rtl/>
        </w:rPr>
        <w:t xml:space="preserve">הציבור, </w:t>
      </w:r>
      <w:bookmarkStart w:id="37683" w:name="_ETM_Q70_368379"/>
      <w:bookmarkEnd w:id="37683"/>
      <w:r>
        <w:rPr>
          <w:rFonts w:hint="cs"/>
          <w:rtl/>
        </w:rPr>
        <w:t xml:space="preserve">חלקים </w:t>
      </w:r>
      <w:bookmarkStart w:id="37684" w:name="_ETM_Q70_368889"/>
      <w:bookmarkEnd w:id="37684"/>
      <w:r>
        <w:rPr>
          <w:rFonts w:hint="cs"/>
          <w:rtl/>
        </w:rPr>
        <w:t xml:space="preserve">גדולים </w:t>
      </w:r>
      <w:bookmarkStart w:id="37685" w:name="_ETM_Q70_369340"/>
      <w:bookmarkEnd w:id="37685"/>
      <w:r>
        <w:rPr>
          <w:rFonts w:hint="cs"/>
          <w:rtl/>
        </w:rPr>
        <w:t xml:space="preserve">של </w:t>
      </w:r>
      <w:bookmarkStart w:id="37686" w:name="_ETM_Q70_369519"/>
      <w:bookmarkEnd w:id="37686"/>
      <w:r>
        <w:rPr>
          <w:rFonts w:hint="cs"/>
          <w:rtl/>
        </w:rPr>
        <w:t>הציבור,</w:t>
      </w:r>
      <w:bookmarkStart w:id="37687" w:name="_ETM_Q70_369373"/>
      <w:bookmarkEnd w:id="37687"/>
      <w:r>
        <w:rPr>
          <w:rFonts w:hint="cs"/>
          <w:rtl/>
        </w:rPr>
        <w:t xml:space="preserve"> </w:t>
      </w:r>
      <w:bookmarkStart w:id="37688" w:name="_ETM_Q70_370269"/>
      <w:bookmarkEnd w:id="37688"/>
      <w:r>
        <w:rPr>
          <w:rFonts w:hint="cs"/>
          <w:rtl/>
        </w:rPr>
        <w:t xml:space="preserve">ממשיכה </w:t>
      </w:r>
      <w:bookmarkStart w:id="37689" w:name="_ETM_Q70_371290"/>
      <w:bookmarkEnd w:id="37689"/>
      <w:r>
        <w:rPr>
          <w:rFonts w:hint="cs"/>
          <w:rtl/>
        </w:rPr>
        <w:t xml:space="preserve">ומסלימה </w:t>
      </w:r>
      <w:bookmarkStart w:id="37690" w:name="_ETM_Q70_372310"/>
      <w:bookmarkEnd w:id="37690"/>
      <w:r>
        <w:rPr>
          <w:rFonts w:hint="cs"/>
          <w:rtl/>
        </w:rPr>
        <w:t xml:space="preserve">וזולגת </w:t>
      </w:r>
      <w:bookmarkStart w:id="37691" w:name="_ETM_Q70_373120"/>
      <w:bookmarkEnd w:id="37691"/>
      <w:r>
        <w:rPr>
          <w:rFonts w:hint="cs"/>
          <w:rtl/>
        </w:rPr>
        <w:t xml:space="preserve">לרחובות. </w:t>
      </w:r>
      <w:bookmarkStart w:id="37692" w:name="_ETM_Q70_376319"/>
      <w:bookmarkEnd w:id="37692"/>
      <w:r>
        <w:rPr>
          <w:rFonts w:hint="cs"/>
          <w:rtl/>
        </w:rPr>
        <w:t xml:space="preserve">יש </w:t>
      </w:r>
      <w:bookmarkStart w:id="37693" w:name="_ETM_Q70_376560"/>
      <w:bookmarkEnd w:id="37693"/>
      <w:r>
        <w:rPr>
          <w:rFonts w:hint="cs"/>
          <w:rtl/>
        </w:rPr>
        <w:t xml:space="preserve">כאן </w:t>
      </w:r>
      <w:bookmarkStart w:id="37694" w:name="_ETM_Q70_376739"/>
      <w:bookmarkEnd w:id="37694"/>
      <w:r>
        <w:rPr>
          <w:rFonts w:hint="cs"/>
          <w:rtl/>
        </w:rPr>
        <w:t xml:space="preserve">חברי </w:t>
      </w:r>
      <w:bookmarkStart w:id="37695" w:name="_ETM_Q70_377010"/>
      <w:bookmarkEnd w:id="37695"/>
      <w:r>
        <w:rPr>
          <w:rFonts w:hint="cs"/>
          <w:rtl/>
        </w:rPr>
        <w:t xml:space="preserve">כנסת </w:t>
      </w:r>
      <w:bookmarkStart w:id="37696" w:name="_ETM_Q70_377370"/>
      <w:bookmarkEnd w:id="37696"/>
      <w:r>
        <w:rPr>
          <w:rFonts w:hint="cs"/>
          <w:rtl/>
        </w:rPr>
        <w:t xml:space="preserve">שנואמים </w:t>
      </w:r>
      <w:bookmarkStart w:id="37697" w:name="_ETM_Q70_377819"/>
      <w:bookmarkEnd w:id="37697"/>
      <w:r>
        <w:rPr>
          <w:rFonts w:hint="cs"/>
          <w:rtl/>
        </w:rPr>
        <w:t xml:space="preserve">מעל </w:t>
      </w:r>
      <w:bookmarkStart w:id="37698" w:name="_ETM_Q70_378029"/>
      <w:bookmarkEnd w:id="37698"/>
      <w:r>
        <w:rPr>
          <w:rFonts w:hint="cs"/>
          <w:rtl/>
        </w:rPr>
        <w:t>הבימה</w:t>
      </w:r>
      <w:bookmarkStart w:id="37699" w:name="_ETM_Q70_377523"/>
      <w:bookmarkEnd w:id="37699"/>
      <w:r>
        <w:rPr>
          <w:rFonts w:hint="cs"/>
          <w:rtl/>
        </w:rPr>
        <w:t xml:space="preserve"> </w:t>
      </w:r>
      <w:bookmarkStart w:id="37700" w:name="_ETM_Q70_378329"/>
      <w:bookmarkEnd w:id="37700"/>
      <w:r>
        <w:rPr>
          <w:rFonts w:hint="cs"/>
          <w:rtl/>
        </w:rPr>
        <w:t xml:space="preserve">הזו, </w:t>
      </w:r>
      <w:bookmarkStart w:id="37701" w:name="_ETM_Q70_378840"/>
      <w:bookmarkEnd w:id="37701"/>
      <w:r>
        <w:rPr>
          <w:rFonts w:hint="cs"/>
          <w:rtl/>
        </w:rPr>
        <w:t xml:space="preserve">ואוזניי </w:t>
      </w:r>
      <w:bookmarkStart w:id="37702" w:name="_ETM_Q70_380040"/>
      <w:bookmarkEnd w:id="37702"/>
      <w:r>
        <w:rPr>
          <w:rFonts w:hint="cs"/>
          <w:rtl/>
        </w:rPr>
        <w:t xml:space="preserve">שומעות </w:t>
      </w:r>
      <w:bookmarkStart w:id="37703" w:name="_ETM_Q70_380909"/>
      <w:bookmarkEnd w:id="37703"/>
      <w:r>
        <w:rPr>
          <w:rFonts w:hint="cs"/>
          <w:rtl/>
        </w:rPr>
        <w:t xml:space="preserve">ולא </w:t>
      </w:r>
      <w:bookmarkStart w:id="37704" w:name="_ETM_Q70_381209"/>
      <w:bookmarkEnd w:id="37704"/>
      <w:r>
        <w:rPr>
          <w:rFonts w:hint="cs"/>
          <w:rtl/>
        </w:rPr>
        <w:t>מאמינות</w:t>
      </w:r>
      <w:bookmarkStart w:id="37705" w:name="_ETM_Q70_380733"/>
      <w:bookmarkEnd w:id="37705"/>
      <w:r>
        <w:rPr>
          <w:rFonts w:hint="cs"/>
          <w:rtl/>
        </w:rPr>
        <w:t xml:space="preserve"> – </w:t>
      </w:r>
      <w:bookmarkStart w:id="37706" w:name="_ETM_Q70_382340"/>
      <w:bookmarkEnd w:id="37706"/>
      <w:r>
        <w:rPr>
          <w:rFonts w:hint="cs"/>
          <w:rtl/>
        </w:rPr>
        <w:t>ל</w:t>
      </w:r>
      <w:bookmarkStart w:id="37707" w:name="_ETM_Q70_382519"/>
      <w:bookmarkEnd w:id="37707"/>
      <w:r>
        <w:rPr>
          <w:rFonts w:hint="cs"/>
          <w:rtl/>
        </w:rPr>
        <w:t xml:space="preserve">סגנון, </w:t>
      </w:r>
      <w:bookmarkStart w:id="37708" w:name="_ETM_Q70_383480"/>
      <w:bookmarkStart w:id="37709" w:name="_ETM_Q70_383659"/>
      <w:bookmarkEnd w:id="37708"/>
      <w:bookmarkEnd w:id="37709"/>
      <w:r>
        <w:rPr>
          <w:rFonts w:hint="cs"/>
          <w:rtl/>
        </w:rPr>
        <w:t xml:space="preserve">השפה, </w:t>
      </w:r>
      <w:bookmarkStart w:id="37710" w:name="_ETM_Q70_384590"/>
      <w:bookmarkStart w:id="37711" w:name="_ETM_Q70_384769"/>
      <w:bookmarkEnd w:id="37710"/>
      <w:bookmarkEnd w:id="37711"/>
      <w:r>
        <w:rPr>
          <w:rFonts w:hint="cs"/>
          <w:rtl/>
        </w:rPr>
        <w:t xml:space="preserve">הבריונות, </w:t>
      </w:r>
      <w:bookmarkStart w:id="37712" w:name="_ETM_Q70_386100"/>
      <w:bookmarkStart w:id="37713" w:name="_ETM_Q70_386280"/>
      <w:bookmarkEnd w:id="37712"/>
      <w:bookmarkEnd w:id="37713"/>
      <w:r>
        <w:rPr>
          <w:rFonts w:hint="cs"/>
          <w:rtl/>
        </w:rPr>
        <w:t xml:space="preserve">ההשתלחות, </w:t>
      </w:r>
      <w:bookmarkStart w:id="37714" w:name="_ETM_Q70_387660"/>
      <w:bookmarkStart w:id="37715" w:name="_ETM_Q70_387840"/>
      <w:bookmarkEnd w:id="37714"/>
      <w:bookmarkEnd w:id="37715"/>
      <w:r>
        <w:rPr>
          <w:rFonts w:hint="cs"/>
          <w:rtl/>
        </w:rPr>
        <w:t>העלבונות.</w:t>
      </w:r>
      <w:bookmarkStart w:id="37716" w:name="_ETM_Q70_391870"/>
      <w:bookmarkEnd w:id="37716"/>
      <w:r>
        <w:rPr>
          <w:rFonts w:hint="cs"/>
          <w:rtl/>
        </w:rPr>
        <w:t xml:space="preserve"> </w:t>
      </w:r>
      <w:bookmarkStart w:id="37717" w:name="_ETM_Q70_393696"/>
      <w:bookmarkStart w:id="37718" w:name="_ETM_Q70_393766"/>
      <w:bookmarkStart w:id="37719" w:name="_ETM_Q70_393855"/>
      <w:bookmarkStart w:id="37720" w:name="_ETM_Q70_393899"/>
      <w:bookmarkEnd w:id="37717"/>
      <w:bookmarkEnd w:id="37718"/>
      <w:bookmarkEnd w:id="37719"/>
      <w:bookmarkEnd w:id="37720"/>
      <w:r>
        <w:rPr>
          <w:rFonts w:hint="cs"/>
          <w:rtl/>
        </w:rPr>
        <w:t xml:space="preserve">לא </w:t>
      </w:r>
      <w:bookmarkStart w:id="37721" w:name="_ETM_Q70_392110"/>
      <w:bookmarkStart w:id="37722" w:name="_ETM_Q70_392440"/>
      <w:bookmarkEnd w:id="37721"/>
      <w:bookmarkEnd w:id="37722"/>
      <w:r>
        <w:rPr>
          <w:rFonts w:hint="cs"/>
          <w:rtl/>
        </w:rPr>
        <w:t xml:space="preserve">ירחק היום, </w:t>
      </w:r>
      <w:bookmarkStart w:id="37723" w:name="_ETM_Q70_393130"/>
      <w:bookmarkEnd w:id="37723"/>
      <w:r>
        <w:rPr>
          <w:rFonts w:hint="cs"/>
          <w:rtl/>
        </w:rPr>
        <w:t xml:space="preserve">חלילה </w:t>
      </w:r>
      <w:bookmarkStart w:id="37724" w:name="_ETM_Q70_393669"/>
      <w:bookmarkEnd w:id="37724"/>
      <w:r>
        <w:rPr>
          <w:rFonts w:hint="cs"/>
          <w:rtl/>
        </w:rPr>
        <w:t>וחס,</w:t>
      </w:r>
      <w:bookmarkStart w:id="37725" w:name="_ETM_Q70_390023"/>
      <w:bookmarkStart w:id="37726" w:name="_ETM_Q70_387763"/>
      <w:bookmarkEnd w:id="37725"/>
      <w:bookmarkEnd w:id="37726"/>
      <w:r>
        <w:rPr>
          <w:rFonts w:hint="cs"/>
          <w:rtl/>
        </w:rPr>
        <w:t xml:space="preserve"> </w:t>
      </w:r>
      <w:bookmarkStart w:id="37727" w:name="_ETM_Q70_394740"/>
      <w:bookmarkEnd w:id="37727"/>
      <w:r>
        <w:rPr>
          <w:rFonts w:hint="cs"/>
          <w:rtl/>
        </w:rPr>
        <w:t xml:space="preserve">שיישפך </w:t>
      </w:r>
      <w:bookmarkStart w:id="37728" w:name="_ETM_Q70_395340"/>
      <w:bookmarkEnd w:id="37728"/>
      <w:r>
        <w:rPr>
          <w:rFonts w:hint="cs"/>
          <w:rtl/>
        </w:rPr>
        <w:t xml:space="preserve">דם. </w:t>
      </w:r>
      <w:bookmarkStart w:id="37729" w:name="_ETM_Q70_396530"/>
      <w:bookmarkEnd w:id="37729"/>
      <w:r>
        <w:rPr>
          <w:rFonts w:hint="cs"/>
          <w:rtl/>
        </w:rPr>
        <w:t xml:space="preserve">הכתובת </w:t>
      </w:r>
      <w:bookmarkStart w:id="37730" w:name="_ETM_Q70_397620"/>
      <w:bookmarkEnd w:id="37730"/>
      <w:r>
        <w:rPr>
          <w:rFonts w:hint="cs"/>
          <w:rtl/>
        </w:rPr>
        <w:t xml:space="preserve">כתובה </w:t>
      </w:r>
      <w:bookmarkStart w:id="37731" w:name="_ETM_Q70_398100"/>
      <w:bookmarkEnd w:id="37731"/>
      <w:r>
        <w:rPr>
          <w:rFonts w:hint="cs"/>
          <w:rtl/>
        </w:rPr>
        <w:t xml:space="preserve">פה </w:t>
      </w:r>
      <w:bookmarkStart w:id="37732" w:name="_ETM_Q70_398910"/>
      <w:bookmarkEnd w:id="37732"/>
      <w:r>
        <w:rPr>
          <w:rFonts w:hint="cs"/>
          <w:rtl/>
        </w:rPr>
        <w:t xml:space="preserve">על </w:t>
      </w:r>
      <w:bookmarkStart w:id="37733" w:name="_ETM_Q70_399090"/>
      <w:bookmarkEnd w:id="37733"/>
      <w:r>
        <w:rPr>
          <w:rFonts w:hint="cs"/>
          <w:rtl/>
        </w:rPr>
        <w:t>הקיר,</w:t>
      </w:r>
      <w:bookmarkStart w:id="37734" w:name="_ETM_Q70_400043"/>
      <w:bookmarkEnd w:id="37734"/>
      <w:r>
        <w:rPr>
          <w:rFonts w:hint="cs"/>
          <w:rtl/>
        </w:rPr>
        <w:t xml:space="preserve"> </w:t>
      </w:r>
      <w:bookmarkStart w:id="37735" w:name="_ETM_Q70_401250"/>
      <w:bookmarkEnd w:id="37735"/>
      <w:r>
        <w:rPr>
          <w:rFonts w:hint="cs"/>
          <w:rtl/>
        </w:rPr>
        <w:t xml:space="preserve">ממש </w:t>
      </w:r>
      <w:bookmarkStart w:id="37736" w:name="_ETM_Q70_401700"/>
      <w:bookmarkEnd w:id="37736"/>
      <w:r>
        <w:rPr>
          <w:rFonts w:hint="cs"/>
          <w:rtl/>
        </w:rPr>
        <w:t xml:space="preserve">לידינו, </w:t>
      </w:r>
      <w:bookmarkStart w:id="37737" w:name="_ETM_Q70_402209"/>
      <w:bookmarkEnd w:id="37737"/>
      <w:r>
        <w:rPr>
          <w:rFonts w:hint="cs"/>
          <w:rtl/>
        </w:rPr>
        <w:t xml:space="preserve">מאחורינו. </w:t>
      </w:r>
      <w:bookmarkStart w:id="37738" w:name="_ETM_Q70_404510"/>
      <w:bookmarkEnd w:id="37738"/>
      <w:r>
        <w:rPr>
          <w:rFonts w:hint="cs"/>
          <w:rtl/>
        </w:rPr>
        <w:t xml:space="preserve">שרי </w:t>
      </w:r>
      <w:bookmarkStart w:id="37739" w:name="_ETM_Q70_405020"/>
      <w:bookmarkEnd w:id="37739"/>
      <w:r>
        <w:rPr>
          <w:rFonts w:hint="cs"/>
          <w:rtl/>
        </w:rPr>
        <w:t xml:space="preserve">הממשלה </w:t>
      </w:r>
      <w:bookmarkStart w:id="37740" w:name="_ETM_Q70_406069"/>
      <w:bookmarkEnd w:id="37740"/>
      <w:r>
        <w:rPr>
          <w:rFonts w:hint="cs"/>
          <w:rtl/>
        </w:rPr>
        <w:t xml:space="preserve">ואדוני </w:t>
      </w:r>
      <w:bookmarkStart w:id="37741" w:name="_ETM_Q70_406760"/>
      <w:bookmarkEnd w:id="37741"/>
      <w:r>
        <w:rPr>
          <w:rFonts w:hint="cs"/>
          <w:rtl/>
        </w:rPr>
        <w:t xml:space="preserve">ראש </w:t>
      </w:r>
      <w:bookmarkStart w:id="37742" w:name="_ETM_Q70_407030"/>
      <w:bookmarkEnd w:id="37742"/>
      <w:r>
        <w:rPr>
          <w:rFonts w:hint="cs"/>
          <w:rtl/>
        </w:rPr>
        <w:t xml:space="preserve">הממשלה, </w:t>
      </w:r>
      <w:bookmarkStart w:id="37743" w:name="_ETM_Q70_408390"/>
      <w:bookmarkEnd w:id="37743"/>
      <w:r>
        <w:rPr>
          <w:rFonts w:hint="cs"/>
          <w:rtl/>
        </w:rPr>
        <w:t xml:space="preserve">לכם </w:t>
      </w:r>
      <w:bookmarkStart w:id="37744" w:name="_ETM_Q70_408870"/>
      <w:bookmarkEnd w:id="37744"/>
      <w:r>
        <w:rPr>
          <w:rFonts w:hint="cs"/>
          <w:rtl/>
        </w:rPr>
        <w:t xml:space="preserve">יש </w:t>
      </w:r>
      <w:bookmarkStart w:id="37745" w:name="_ETM_Q70_409080"/>
      <w:bookmarkEnd w:id="37745"/>
      <w:r>
        <w:rPr>
          <w:rFonts w:hint="cs"/>
          <w:rtl/>
        </w:rPr>
        <w:t xml:space="preserve">אחריות </w:t>
      </w:r>
      <w:bookmarkStart w:id="37746" w:name="_ETM_Q70_409830"/>
      <w:bookmarkEnd w:id="37746"/>
      <w:r>
        <w:rPr>
          <w:rFonts w:hint="cs"/>
          <w:rtl/>
        </w:rPr>
        <w:t xml:space="preserve">אישית </w:t>
      </w:r>
      <w:bookmarkStart w:id="37747" w:name="_ETM_Q70_410390"/>
      <w:bookmarkEnd w:id="37747"/>
      <w:r>
        <w:rPr>
          <w:rFonts w:hint="cs"/>
          <w:rtl/>
        </w:rPr>
        <w:t>וישירה.</w:t>
      </w:r>
      <w:bookmarkStart w:id="37748" w:name="_ETM_Q70_413250"/>
      <w:bookmarkEnd w:id="37748"/>
    </w:p>
    <w:p w:rsidR="00BB59CD" w:rsidRDefault="00BB59CD" w:rsidP="00BB59CD">
      <w:pPr>
        <w:rPr>
          <w:rtl/>
        </w:rPr>
      </w:pPr>
    </w:p>
    <w:p w:rsidR="00BB59CD" w:rsidRDefault="00BB59CD" w:rsidP="00BB59CD">
      <w:pPr>
        <w:rPr>
          <w:rtl/>
        </w:rPr>
      </w:pPr>
      <w:r>
        <w:rPr>
          <w:rFonts w:hint="cs"/>
          <w:rtl/>
        </w:rPr>
        <w:t xml:space="preserve">לממשלה </w:t>
      </w:r>
      <w:bookmarkStart w:id="37749" w:name="_ETM_Q70_413850"/>
      <w:bookmarkEnd w:id="37749"/>
      <w:r>
        <w:rPr>
          <w:rFonts w:hint="cs"/>
          <w:rtl/>
        </w:rPr>
        <w:t xml:space="preserve">הזו </w:t>
      </w:r>
      <w:bookmarkStart w:id="37750" w:name="_ETM_Q70_414690"/>
      <w:bookmarkEnd w:id="37750"/>
      <w:r>
        <w:rPr>
          <w:rFonts w:hint="cs"/>
          <w:rtl/>
        </w:rPr>
        <w:t xml:space="preserve">הייתה </w:t>
      </w:r>
      <w:bookmarkStart w:id="37751" w:name="_ETM_Q70_414990"/>
      <w:bookmarkEnd w:id="37751"/>
      <w:r>
        <w:rPr>
          <w:rFonts w:hint="cs"/>
          <w:rtl/>
        </w:rPr>
        <w:t xml:space="preserve">חצי </w:t>
      </w:r>
      <w:bookmarkStart w:id="37752" w:name="_ETM_Q70_415260"/>
      <w:bookmarkEnd w:id="37752"/>
      <w:r>
        <w:rPr>
          <w:rFonts w:hint="cs"/>
          <w:rtl/>
        </w:rPr>
        <w:t xml:space="preserve">שנה </w:t>
      </w:r>
      <w:bookmarkStart w:id="37753" w:name="_ETM_Q70_415560"/>
      <w:bookmarkEnd w:id="37753"/>
      <w:r>
        <w:rPr>
          <w:rFonts w:hint="cs"/>
          <w:rtl/>
        </w:rPr>
        <w:t xml:space="preserve">להוכיח </w:t>
      </w:r>
      <w:bookmarkStart w:id="37754" w:name="_ETM_Q70_415980"/>
      <w:bookmarkEnd w:id="37754"/>
      <w:r>
        <w:rPr>
          <w:rFonts w:hint="cs"/>
          <w:rtl/>
        </w:rPr>
        <w:t xml:space="preserve">לעם </w:t>
      </w:r>
      <w:bookmarkStart w:id="37755" w:name="_ETM_Q70_416250"/>
      <w:bookmarkEnd w:id="37755"/>
      <w:r>
        <w:rPr>
          <w:rFonts w:hint="cs"/>
          <w:rtl/>
        </w:rPr>
        <w:t xml:space="preserve">ישראל </w:t>
      </w:r>
      <w:bookmarkStart w:id="37756" w:name="_ETM_Q70_417269"/>
      <w:bookmarkEnd w:id="37756"/>
      <w:r>
        <w:rPr>
          <w:rFonts w:hint="cs"/>
          <w:rtl/>
        </w:rPr>
        <w:t xml:space="preserve">שדרכיה </w:t>
      </w:r>
      <w:bookmarkStart w:id="37757" w:name="_ETM_Q70_417930"/>
      <w:bookmarkEnd w:id="37757"/>
      <w:r>
        <w:rPr>
          <w:rFonts w:hint="cs"/>
          <w:rtl/>
        </w:rPr>
        <w:t xml:space="preserve">דרכי </w:t>
      </w:r>
      <w:bookmarkStart w:id="37758" w:name="_ETM_Q70_418379"/>
      <w:bookmarkEnd w:id="37758"/>
      <w:r>
        <w:rPr>
          <w:rFonts w:hint="cs"/>
          <w:rtl/>
        </w:rPr>
        <w:t xml:space="preserve">נועם </w:t>
      </w:r>
      <w:bookmarkStart w:id="37759" w:name="_ETM_Q70_418769"/>
      <w:bookmarkEnd w:id="37759"/>
      <w:r>
        <w:rPr>
          <w:rFonts w:hint="cs"/>
          <w:rtl/>
        </w:rPr>
        <w:t xml:space="preserve">וכל </w:t>
      </w:r>
      <w:bookmarkStart w:id="37760" w:name="_ETM_Q70_419129"/>
      <w:bookmarkEnd w:id="37760"/>
      <w:r>
        <w:rPr>
          <w:rFonts w:hint="cs"/>
          <w:rtl/>
        </w:rPr>
        <w:t xml:space="preserve">נתיבותיה </w:t>
      </w:r>
      <w:bookmarkStart w:id="37761" w:name="_ETM_Q70_419699"/>
      <w:bookmarkStart w:id="37762" w:name="_ETM_Q70_411322"/>
      <w:bookmarkEnd w:id="37761"/>
      <w:bookmarkEnd w:id="37762"/>
      <w:r>
        <w:rPr>
          <w:rFonts w:hint="cs"/>
          <w:rtl/>
        </w:rPr>
        <w:t>שלום.</w:t>
      </w:r>
      <w:bookmarkStart w:id="37763" w:name="_ETM_Q70_417473"/>
      <w:bookmarkEnd w:id="37763"/>
      <w:r>
        <w:rPr>
          <w:rFonts w:hint="cs"/>
          <w:rtl/>
        </w:rPr>
        <w:t xml:space="preserve"> </w:t>
      </w:r>
      <w:bookmarkStart w:id="37764" w:name="_ETM_Q70_420680"/>
      <w:bookmarkEnd w:id="37764"/>
      <w:r>
        <w:rPr>
          <w:rFonts w:hint="cs"/>
          <w:rtl/>
        </w:rPr>
        <w:t xml:space="preserve">ואז </w:t>
      </w:r>
      <w:bookmarkStart w:id="37765" w:name="_ETM_Q70_421159"/>
      <w:bookmarkEnd w:id="37765"/>
      <w:r>
        <w:rPr>
          <w:rFonts w:hint="cs"/>
          <w:rtl/>
        </w:rPr>
        <w:t xml:space="preserve">אתה </w:t>
      </w:r>
      <w:bookmarkStart w:id="37766" w:name="_ETM_Q70_421339"/>
      <w:bookmarkEnd w:id="37766"/>
      <w:r>
        <w:rPr>
          <w:rFonts w:hint="cs"/>
          <w:rtl/>
        </w:rPr>
        <w:t xml:space="preserve">אולי </w:t>
      </w:r>
      <w:bookmarkStart w:id="37767" w:name="_ETM_Q70_421579"/>
      <w:bookmarkEnd w:id="37767"/>
      <w:r>
        <w:rPr>
          <w:rFonts w:hint="cs"/>
          <w:rtl/>
        </w:rPr>
        <w:t xml:space="preserve">מאמין. </w:t>
      </w:r>
      <w:bookmarkStart w:id="37768" w:name="_ETM_Q70_423510"/>
      <w:bookmarkEnd w:id="37768"/>
      <w:r>
        <w:rPr>
          <w:rFonts w:hint="cs"/>
          <w:rtl/>
        </w:rPr>
        <w:t xml:space="preserve">ומדוע </w:t>
      </w:r>
      <w:bookmarkStart w:id="37769" w:name="_ETM_Q70_424810"/>
      <w:bookmarkEnd w:id="37769"/>
      <w:r>
        <w:rPr>
          <w:rFonts w:hint="cs"/>
          <w:rtl/>
        </w:rPr>
        <w:t xml:space="preserve">עכשיו </w:t>
      </w:r>
      <w:bookmarkStart w:id="37770" w:name="_ETM_Q70_425200"/>
      <w:bookmarkEnd w:id="37770"/>
      <w:r>
        <w:rPr>
          <w:rFonts w:hint="cs"/>
          <w:rtl/>
        </w:rPr>
        <w:t xml:space="preserve">אנחנו </w:t>
      </w:r>
      <w:bookmarkStart w:id="37771" w:name="_ETM_Q70_425560"/>
      <w:bookmarkEnd w:id="37771"/>
      <w:r>
        <w:rPr>
          <w:rFonts w:hint="cs"/>
          <w:rtl/>
        </w:rPr>
        <w:t xml:space="preserve">כה </w:t>
      </w:r>
      <w:bookmarkStart w:id="37772" w:name="_ETM_Q70_425740"/>
      <w:bookmarkEnd w:id="37772"/>
      <w:r>
        <w:rPr>
          <w:rFonts w:hint="cs"/>
          <w:rtl/>
        </w:rPr>
        <w:t xml:space="preserve">מזדעקים </w:t>
      </w:r>
      <w:bookmarkStart w:id="37773" w:name="_ETM_Q70_426550"/>
      <w:bookmarkEnd w:id="37773"/>
      <w:r>
        <w:rPr>
          <w:rFonts w:hint="cs"/>
          <w:rtl/>
        </w:rPr>
        <w:t xml:space="preserve">על </w:t>
      </w:r>
      <w:bookmarkStart w:id="37774" w:name="_ETM_Q70_426700"/>
      <w:bookmarkEnd w:id="37774"/>
      <w:r>
        <w:rPr>
          <w:rFonts w:hint="cs"/>
          <w:rtl/>
        </w:rPr>
        <w:t xml:space="preserve">ביטול </w:t>
      </w:r>
      <w:bookmarkStart w:id="37775" w:name="_ETM_Q70_427060"/>
      <w:bookmarkEnd w:id="37775"/>
      <w:r>
        <w:rPr>
          <w:rFonts w:hint="cs"/>
          <w:rtl/>
        </w:rPr>
        <w:t xml:space="preserve">עילת </w:t>
      </w:r>
      <w:bookmarkStart w:id="37776" w:name="_ETM_Q70_427330"/>
      <w:bookmarkEnd w:id="37776"/>
      <w:r>
        <w:rPr>
          <w:rFonts w:hint="cs"/>
          <w:rtl/>
        </w:rPr>
        <w:t xml:space="preserve">הסבירות? </w:t>
      </w:r>
      <w:bookmarkStart w:id="37777" w:name="_ETM_Q70_428339"/>
      <w:bookmarkEnd w:id="37777"/>
      <w:r>
        <w:rPr>
          <w:rFonts w:hint="cs"/>
          <w:rtl/>
        </w:rPr>
        <w:t xml:space="preserve">כי </w:t>
      </w:r>
      <w:bookmarkStart w:id="37778" w:name="_ETM_Q70_428609"/>
      <w:bookmarkEnd w:id="37778"/>
      <w:r>
        <w:rPr>
          <w:rFonts w:hint="cs"/>
          <w:rtl/>
        </w:rPr>
        <w:t xml:space="preserve">כבר </w:t>
      </w:r>
      <w:bookmarkStart w:id="37779" w:name="_ETM_Q70_428849"/>
      <w:bookmarkEnd w:id="37779"/>
      <w:r>
        <w:rPr>
          <w:rFonts w:hint="cs"/>
          <w:rtl/>
        </w:rPr>
        <w:t xml:space="preserve">חצי </w:t>
      </w:r>
      <w:bookmarkStart w:id="37780" w:name="_ETM_Q70_429209"/>
      <w:bookmarkEnd w:id="37780"/>
      <w:r>
        <w:rPr>
          <w:rFonts w:hint="cs"/>
          <w:rtl/>
        </w:rPr>
        <w:t>ש</w:t>
      </w:r>
      <w:bookmarkStart w:id="37781" w:name="_ETM_Q70_429923"/>
      <w:bookmarkEnd w:id="37781"/>
      <w:r>
        <w:rPr>
          <w:rFonts w:hint="cs"/>
          <w:rtl/>
        </w:rPr>
        <w:t xml:space="preserve">נה </w:t>
      </w:r>
      <w:bookmarkStart w:id="37782" w:name="_ETM_Q70_430180"/>
      <w:bookmarkEnd w:id="37782"/>
      <w:r>
        <w:rPr>
          <w:rFonts w:hint="cs"/>
          <w:rtl/>
        </w:rPr>
        <w:t xml:space="preserve">שהממשלה </w:t>
      </w:r>
      <w:bookmarkStart w:id="37783" w:name="_ETM_Q70_430870"/>
      <w:bookmarkEnd w:id="37783"/>
      <w:r>
        <w:rPr>
          <w:rFonts w:hint="cs"/>
          <w:rtl/>
        </w:rPr>
        <w:t xml:space="preserve">הזאת </w:t>
      </w:r>
      <w:bookmarkStart w:id="37784" w:name="_ETM_Q70_431109"/>
      <w:bookmarkEnd w:id="37784"/>
      <w:r>
        <w:rPr>
          <w:rFonts w:hint="cs"/>
          <w:rtl/>
        </w:rPr>
        <w:t xml:space="preserve">מוכיחה </w:t>
      </w:r>
      <w:bookmarkStart w:id="37785" w:name="_ETM_Q70_432630"/>
      <w:bookmarkEnd w:id="37785"/>
      <w:r>
        <w:rPr>
          <w:rFonts w:hint="cs"/>
          <w:rtl/>
        </w:rPr>
        <w:t xml:space="preserve">כי </w:t>
      </w:r>
      <w:bookmarkStart w:id="37786" w:name="_ETM_Q70_432959"/>
      <w:bookmarkEnd w:id="37786"/>
      <w:r>
        <w:rPr>
          <w:rFonts w:hint="cs"/>
          <w:rtl/>
        </w:rPr>
        <w:t xml:space="preserve">היא </w:t>
      </w:r>
      <w:bookmarkStart w:id="37787" w:name="_ETM_Q70_432990"/>
      <w:bookmarkEnd w:id="37787"/>
      <w:r>
        <w:rPr>
          <w:rFonts w:hint="cs"/>
          <w:rtl/>
        </w:rPr>
        <w:t>מ</w:t>
      </w:r>
      <w:bookmarkStart w:id="37788" w:name="_ETM_Q70_431062"/>
      <w:bookmarkStart w:id="37789" w:name="_ETM_Q70_429662"/>
      <w:bookmarkEnd w:id="37788"/>
      <w:bookmarkEnd w:id="37789"/>
      <w:r>
        <w:rPr>
          <w:rFonts w:hint="cs"/>
          <w:rtl/>
        </w:rPr>
        <w:t xml:space="preserve">פיחה </w:t>
      </w:r>
      <w:bookmarkStart w:id="37790" w:name="_ETM_Q70_433440"/>
      <w:bookmarkEnd w:id="37790"/>
      <w:r>
        <w:rPr>
          <w:rFonts w:hint="cs"/>
          <w:rtl/>
        </w:rPr>
        <w:t>כזבים</w:t>
      </w:r>
      <w:r w:rsidR="00BF6FBE">
        <w:rPr>
          <w:rFonts w:hint="cs"/>
          <w:rtl/>
        </w:rPr>
        <w:t>,</w:t>
      </w:r>
      <w:r>
        <w:rPr>
          <w:rFonts w:hint="cs"/>
          <w:rtl/>
        </w:rPr>
        <w:t xml:space="preserve"> </w:t>
      </w:r>
      <w:bookmarkStart w:id="37791" w:name="_ETM_Q70_434130"/>
      <w:bookmarkStart w:id="37792" w:name="_ETM_Q70_432612"/>
      <w:bookmarkEnd w:id="37791"/>
      <w:bookmarkEnd w:id="37792"/>
      <w:r>
        <w:rPr>
          <w:rFonts w:hint="cs"/>
          <w:rtl/>
        </w:rPr>
        <w:t xml:space="preserve">עד </w:t>
      </w:r>
      <w:bookmarkStart w:id="37793" w:name="_ETM_Q70_434370"/>
      <w:bookmarkEnd w:id="37793"/>
      <w:r>
        <w:rPr>
          <w:rFonts w:hint="cs"/>
          <w:rtl/>
        </w:rPr>
        <w:t>שקר</w:t>
      </w:r>
      <w:r w:rsidR="00BF6FBE">
        <w:rPr>
          <w:rFonts w:hint="cs"/>
          <w:rtl/>
        </w:rPr>
        <w:t>,</w:t>
      </w:r>
      <w:r>
        <w:rPr>
          <w:rFonts w:hint="cs"/>
          <w:rtl/>
        </w:rPr>
        <w:t xml:space="preserve"> </w:t>
      </w:r>
      <w:bookmarkStart w:id="37794" w:name="_ETM_Q70_435150"/>
      <w:bookmarkEnd w:id="37794"/>
      <w:r>
        <w:rPr>
          <w:rFonts w:hint="cs"/>
          <w:rtl/>
        </w:rPr>
        <w:t xml:space="preserve">ומשלחת </w:t>
      </w:r>
      <w:bookmarkStart w:id="37795" w:name="_ETM_Q70_435900"/>
      <w:bookmarkEnd w:id="37795"/>
      <w:r>
        <w:rPr>
          <w:rFonts w:hint="cs"/>
          <w:rtl/>
        </w:rPr>
        <w:t xml:space="preserve">מדנים </w:t>
      </w:r>
      <w:bookmarkStart w:id="37796" w:name="_ETM_Q70_436380"/>
      <w:bookmarkEnd w:id="37796"/>
      <w:r>
        <w:rPr>
          <w:rFonts w:hint="cs"/>
          <w:rtl/>
        </w:rPr>
        <w:t xml:space="preserve">בין </w:t>
      </w:r>
      <w:bookmarkStart w:id="37797" w:name="_ETM_Q70_436589"/>
      <w:bookmarkEnd w:id="37797"/>
      <w:r>
        <w:rPr>
          <w:rFonts w:hint="cs"/>
          <w:rtl/>
        </w:rPr>
        <w:t>אחים.</w:t>
      </w:r>
      <w:bookmarkStart w:id="37798" w:name="_ETM_Q70_434991"/>
      <w:bookmarkEnd w:id="37798"/>
      <w:r>
        <w:rPr>
          <w:rFonts w:hint="cs"/>
          <w:rtl/>
        </w:rPr>
        <w:t xml:space="preserve"> </w:t>
      </w:r>
      <w:bookmarkStart w:id="37799" w:name="_ETM_Q70_437729"/>
      <w:bookmarkEnd w:id="37799"/>
      <w:r>
        <w:rPr>
          <w:rFonts w:hint="cs"/>
          <w:rtl/>
        </w:rPr>
        <w:t xml:space="preserve">אז </w:t>
      </w:r>
      <w:bookmarkStart w:id="37800" w:name="_ETM_Q70_437999"/>
      <w:bookmarkEnd w:id="37800"/>
      <w:r>
        <w:rPr>
          <w:rFonts w:hint="cs"/>
          <w:rtl/>
        </w:rPr>
        <w:t xml:space="preserve">איך </w:t>
      </w:r>
      <w:bookmarkStart w:id="37801" w:name="_ETM_Q70_438150"/>
      <w:bookmarkEnd w:id="37801"/>
      <w:r>
        <w:rPr>
          <w:rFonts w:hint="cs"/>
          <w:rtl/>
        </w:rPr>
        <w:t>נאמין?</w:t>
      </w:r>
      <w:bookmarkStart w:id="37802" w:name="_ETM_Q70_439900"/>
      <w:bookmarkEnd w:id="37802"/>
    </w:p>
    <w:p w:rsidR="00BB59CD" w:rsidRDefault="00BB59CD" w:rsidP="00BB59CD">
      <w:pPr>
        <w:rPr>
          <w:rtl/>
        </w:rPr>
      </w:pPr>
      <w:bookmarkStart w:id="37803" w:name="_ETM_Q70_440644"/>
      <w:bookmarkStart w:id="37804" w:name="_ETM_Q70_440733"/>
      <w:bookmarkEnd w:id="37803"/>
      <w:bookmarkEnd w:id="37804"/>
    </w:p>
    <w:p w:rsidR="00BB59CD" w:rsidRDefault="00BB59CD" w:rsidP="00BB59CD">
      <w:pPr>
        <w:rPr>
          <w:rtl/>
        </w:rPr>
      </w:pPr>
      <w:bookmarkStart w:id="37805" w:name="_ETM_Q70_440835"/>
      <w:bookmarkStart w:id="37806" w:name="_ETM_Q70_440903"/>
      <w:bookmarkEnd w:id="37805"/>
      <w:bookmarkEnd w:id="37806"/>
      <w:r>
        <w:rPr>
          <w:rFonts w:hint="cs"/>
          <w:rtl/>
        </w:rPr>
        <w:t xml:space="preserve">ממשלה </w:t>
      </w:r>
      <w:bookmarkStart w:id="37807" w:name="_ETM_Q70_440470"/>
      <w:bookmarkEnd w:id="37807"/>
      <w:r>
        <w:rPr>
          <w:rFonts w:hint="cs"/>
          <w:rtl/>
        </w:rPr>
        <w:t xml:space="preserve">זו, </w:t>
      </w:r>
      <w:bookmarkStart w:id="37808" w:name="_ETM_Q70_441279"/>
      <w:bookmarkEnd w:id="37808"/>
      <w:r>
        <w:rPr>
          <w:rFonts w:hint="cs"/>
          <w:rtl/>
        </w:rPr>
        <w:t xml:space="preserve">חצי </w:t>
      </w:r>
      <w:bookmarkStart w:id="37809" w:name="_ETM_Q70_441670"/>
      <w:bookmarkEnd w:id="37809"/>
      <w:r>
        <w:rPr>
          <w:rFonts w:hint="cs"/>
          <w:rtl/>
        </w:rPr>
        <w:t xml:space="preserve">שנה </w:t>
      </w:r>
      <w:bookmarkStart w:id="37810" w:name="_ETM_Q70_442629"/>
      <w:bookmarkEnd w:id="37810"/>
      <w:r>
        <w:rPr>
          <w:rFonts w:hint="cs"/>
          <w:rtl/>
        </w:rPr>
        <w:t xml:space="preserve">מחוקקת </w:t>
      </w:r>
      <w:bookmarkStart w:id="37811" w:name="_ETM_Q70_443379"/>
      <w:bookmarkEnd w:id="37811"/>
      <w:r>
        <w:rPr>
          <w:rFonts w:hint="cs"/>
          <w:rtl/>
        </w:rPr>
        <w:t xml:space="preserve">שורה </w:t>
      </w:r>
      <w:bookmarkStart w:id="37812" w:name="_ETM_Q70_443650"/>
      <w:bookmarkEnd w:id="37812"/>
      <w:r>
        <w:rPr>
          <w:rFonts w:hint="cs"/>
          <w:rtl/>
        </w:rPr>
        <w:t xml:space="preserve">של </w:t>
      </w:r>
      <w:bookmarkStart w:id="37813" w:name="_ETM_Q70_443830"/>
      <w:bookmarkEnd w:id="37813"/>
      <w:r>
        <w:rPr>
          <w:rFonts w:hint="cs"/>
          <w:rtl/>
        </w:rPr>
        <w:t xml:space="preserve">חוקים </w:t>
      </w:r>
      <w:bookmarkStart w:id="37814" w:name="_ETM_Q70_444520"/>
      <w:bookmarkEnd w:id="37814"/>
      <w:r>
        <w:rPr>
          <w:rFonts w:hint="cs"/>
          <w:rtl/>
        </w:rPr>
        <w:t xml:space="preserve">מושחתים </w:t>
      </w:r>
      <w:bookmarkStart w:id="37815" w:name="_ETM_Q70_445980"/>
      <w:bookmarkEnd w:id="37815"/>
      <w:r>
        <w:rPr>
          <w:rFonts w:hint="cs"/>
          <w:rtl/>
        </w:rPr>
        <w:t>ו</w:t>
      </w:r>
      <w:bookmarkStart w:id="37816" w:name="_ETM_Q70_446279"/>
      <w:bookmarkEnd w:id="37816"/>
      <w:r>
        <w:rPr>
          <w:rFonts w:hint="cs"/>
          <w:rtl/>
        </w:rPr>
        <w:t>פרסונליים –</w:t>
      </w:r>
      <w:bookmarkStart w:id="37817" w:name="_ETM_Q70_445301"/>
      <w:bookmarkEnd w:id="37817"/>
      <w:r>
        <w:rPr>
          <w:rFonts w:hint="cs"/>
          <w:rtl/>
        </w:rPr>
        <w:t xml:space="preserve"> </w:t>
      </w:r>
      <w:bookmarkStart w:id="37818" w:name="_ETM_Q70_447930"/>
      <w:bookmarkEnd w:id="37818"/>
      <w:r>
        <w:rPr>
          <w:rFonts w:hint="cs"/>
          <w:rtl/>
        </w:rPr>
        <w:t xml:space="preserve">חוק </w:t>
      </w:r>
      <w:bookmarkStart w:id="37819" w:name="_ETM_Q70_448290"/>
      <w:bookmarkEnd w:id="37819"/>
      <w:r>
        <w:rPr>
          <w:rFonts w:hint="cs"/>
          <w:rtl/>
        </w:rPr>
        <w:t xml:space="preserve">דרעי, </w:t>
      </w:r>
      <w:bookmarkStart w:id="37820" w:name="_ETM_Q70_449300"/>
      <w:bookmarkEnd w:id="37820"/>
      <w:r>
        <w:rPr>
          <w:rFonts w:hint="cs"/>
          <w:rtl/>
        </w:rPr>
        <w:t xml:space="preserve">חוק </w:t>
      </w:r>
      <w:bookmarkStart w:id="37821" w:name="_ETM_Q70_449660"/>
      <w:bookmarkEnd w:id="37821"/>
      <w:r>
        <w:rPr>
          <w:rFonts w:hint="cs"/>
          <w:rtl/>
        </w:rPr>
        <w:t xml:space="preserve">המתנות, </w:t>
      </w:r>
      <w:bookmarkStart w:id="37822" w:name="_ETM_Q70_450890"/>
      <w:bookmarkEnd w:id="37822"/>
      <w:r>
        <w:rPr>
          <w:rFonts w:hint="cs"/>
          <w:rtl/>
        </w:rPr>
        <w:t xml:space="preserve">חוק </w:t>
      </w:r>
      <w:bookmarkStart w:id="37823" w:name="_ETM_Q70_451190"/>
      <w:bookmarkEnd w:id="37823"/>
      <w:r>
        <w:rPr>
          <w:rFonts w:hint="cs"/>
          <w:rtl/>
        </w:rPr>
        <w:t xml:space="preserve">הנבצרות, </w:t>
      </w:r>
      <w:bookmarkStart w:id="37824" w:name="_ETM_Q70_452500"/>
      <w:bookmarkEnd w:id="37824"/>
      <w:r>
        <w:rPr>
          <w:rFonts w:hint="cs"/>
          <w:rtl/>
        </w:rPr>
        <w:t xml:space="preserve">חוק </w:t>
      </w:r>
      <w:bookmarkStart w:id="37825" w:name="_ETM_Q70_452949"/>
      <w:bookmarkEnd w:id="37825"/>
      <w:r>
        <w:rPr>
          <w:rFonts w:hint="cs"/>
          <w:rtl/>
        </w:rPr>
        <w:t xml:space="preserve">טבריה, </w:t>
      </w:r>
      <w:bookmarkStart w:id="37826" w:name="_ETM_Q70_454050"/>
      <w:bookmarkEnd w:id="37826"/>
      <w:r>
        <w:rPr>
          <w:rFonts w:hint="cs"/>
          <w:rtl/>
        </w:rPr>
        <w:t xml:space="preserve">קרן </w:t>
      </w:r>
      <w:bookmarkStart w:id="37827" w:name="_ETM_Q70_454560"/>
      <w:bookmarkEnd w:id="37827"/>
      <w:r>
        <w:rPr>
          <w:rFonts w:hint="cs"/>
          <w:rtl/>
        </w:rPr>
        <w:t>הארנונה,</w:t>
      </w:r>
      <w:bookmarkStart w:id="37828" w:name="_ETM_Q70_454641"/>
      <w:bookmarkEnd w:id="37828"/>
      <w:r>
        <w:rPr>
          <w:rFonts w:hint="cs"/>
          <w:rtl/>
        </w:rPr>
        <w:t xml:space="preserve"> </w:t>
      </w:r>
      <w:bookmarkStart w:id="37829" w:name="_ETM_Q70_455700"/>
      <w:bookmarkEnd w:id="37829"/>
      <w:r>
        <w:rPr>
          <w:rFonts w:hint="cs"/>
          <w:rtl/>
        </w:rPr>
        <w:t xml:space="preserve">חוק </w:t>
      </w:r>
      <w:bookmarkStart w:id="37830" w:name="_ETM_Q70_455970"/>
      <w:bookmarkEnd w:id="37830"/>
      <w:r>
        <w:rPr>
          <w:rFonts w:hint="cs"/>
          <w:rtl/>
        </w:rPr>
        <w:t xml:space="preserve">הרבנים </w:t>
      </w:r>
      <w:bookmarkStart w:id="37831" w:name="_ETM_Q70_456420"/>
      <w:bookmarkEnd w:id="37831"/>
      <w:r>
        <w:rPr>
          <w:rFonts w:hint="cs"/>
          <w:rtl/>
        </w:rPr>
        <w:t xml:space="preserve">הראשיים, </w:t>
      </w:r>
      <w:bookmarkStart w:id="37832" w:name="_ETM_Q70_457380"/>
      <w:bookmarkEnd w:id="37832"/>
      <w:r>
        <w:rPr>
          <w:rFonts w:hint="cs"/>
          <w:rtl/>
        </w:rPr>
        <w:t xml:space="preserve">ועוד </w:t>
      </w:r>
      <w:bookmarkStart w:id="37833" w:name="_ETM_Q70_457860"/>
      <w:bookmarkEnd w:id="37833"/>
      <w:r>
        <w:rPr>
          <w:rFonts w:hint="cs"/>
          <w:rtl/>
        </w:rPr>
        <w:t xml:space="preserve">ועוד, </w:t>
      </w:r>
      <w:bookmarkStart w:id="37834" w:name="_ETM_Q70_458250"/>
      <w:bookmarkEnd w:id="37834"/>
      <w:r>
        <w:rPr>
          <w:rFonts w:hint="cs"/>
          <w:rtl/>
        </w:rPr>
        <w:t xml:space="preserve">ועוד, </w:t>
      </w:r>
      <w:bookmarkStart w:id="37835" w:name="_ETM_Q70_459120"/>
      <w:bookmarkEnd w:id="37835"/>
      <w:r>
        <w:rPr>
          <w:rFonts w:hint="cs"/>
          <w:rtl/>
        </w:rPr>
        <w:t xml:space="preserve">מושחתים </w:t>
      </w:r>
      <w:bookmarkStart w:id="37836" w:name="_ETM_Q70_460050"/>
      <w:bookmarkEnd w:id="37836"/>
      <w:r>
        <w:rPr>
          <w:rFonts w:hint="cs"/>
          <w:rtl/>
        </w:rPr>
        <w:t>ופרסונליים,</w:t>
      </w:r>
      <w:bookmarkStart w:id="37837" w:name="_ETM_Q70_459731"/>
      <w:bookmarkEnd w:id="37837"/>
      <w:r>
        <w:rPr>
          <w:rFonts w:hint="cs"/>
          <w:rtl/>
        </w:rPr>
        <w:t xml:space="preserve"> </w:t>
      </w:r>
      <w:bookmarkStart w:id="37838" w:name="_ETM_Q70_461250"/>
      <w:bookmarkEnd w:id="37838"/>
      <w:r>
        <w:rPr>
          <w:rFonts w:hint="cs"/>
          <w:rtl/>
        </w:rPr>
        <w:t xml:space="preserve">זה </w:t>
      </w:r>
      <w:bookmarkStart w:id="37839" w:name="_ETM_Q70_461700"/>
      <w:bookmarkEnd w:id="37839"/>
      <w:r>
        <w:rPr>
          <w:rFonts w:hint="cs"/>
          <w:rtl/>
        </w:rPr>
        <w:t xml:space="preserve">עיקרי </w:t>
      </w:r>
      <w:bookmarkStart w:id="37840" w:name="_ETM_Q70_462060"/>
      <w:bookmarkEnd w:id="37840"/>
      <w:r>
        <w:rPr>
          <w:rFonts w:hint="cs"/>
          <w:rtl/>
        </w:rPr>
        <w:t>החקיקה.</w:t>
      </w:r>
      <w:bookmarkStart w:id="37841" w:name="_ETM_Q70_464379"/>
      <w:bookmarkEnd w:id="37841"/>
    </w:p>
    <w:p w:rsidR="00BB59CD" w:rsidRDefault="00BB59CD" w:rsidP="00BB59CD">
      <w:pPr>
        <w:rPr>
          <w:rtl/>
        </w:rPr>
      </w:pPr>
      <w:bookmarkStart w:id="37842" w:name="_ETM_Q70_467719"/>
      <w:bookmarkStart w:id="37843" w:name="_ETM_Q70_467800"/>
      <w:bookmarkEnd w:id="37842"/>
      <w:bookmarkEnd w:id="37843"/>
    </w:p>
    <w:p w:rsidR="00BB59CD" w:rsidRDefault="00BB59CD" w:rsidP="00BB59CD">
      <w:pPr>
        <w:rPr>
          <w:rtl/>
        </w:rPr>
      </w:pPr>
      <w:bookmarkStart w:id="37844" w:name="_ETM_Q70_467887"/>
      <w:bookmarkStart w:id="37845" w:name="_ETM_Q70_467940"/>
      <w:bookmarkEnd w:id="37844"/>
      <w:bookmarkEnd w:id="37845"/>
      <w:r>
        <w:rPr>
          <w:rFonts w:hint="cs"/>
          <w:rtl/>
        </w:rPr>
        <w:t xml:space="preserve">הממשלה </w:t>
      </w:r>
      <w:bookmarkStart w:id="37846" w:name="_ETM_Q70_464919"/>
      <w:bookmarkEnd w:id="37846"/>
      <w:r>
        <w:rPr>
          <w:rFonts w:hint="cs"/>
          <w:rtl/>
        </w:rPr>
        <w:t xml:space="preserve">הזו </w:t>
      </w:r>
      <w:bookmarkStart w:id="37847" w:name="_ETM_Q70_465610"/>
      <w:bookmarkEnd w:id="37847"/>
      <w:r>
        <w:rPr>
          <w:rFonts w:hint="cs"/>
          <w:rtl/>
        </w:rPr>
        <w:t xml:space="preserve">כבר </w:t>
      </w:r>
      <w:bookmarkStart w:id="37848" w:name="_ETM_Q70_465849"/>
      <w:bookmarkEnd w:id="37848"/>
      <w:r>
        <w:rPr>
          <w:rFonts w:hint="cs"/>
          <w:rtl/>
        </w:rPr>
        <w:t xml:space="preserve">חצי </w:t>
      </w:r>
      <w:bookmarkStart w:id="37849" w:name="_ETM_Q70_466210"/>
      <w:bookmarkEnd w:id="37849"/>
      <w:r>
        <w:rPr>
          <w:rFonts w:hint="cs"/>
          <w:rtl/>
        </w:rPr>
        <w:t xml:space="preserve">שנה </w:t>
      </w:r>
      <w:bookmarkStart w:id="37850" w:name="_ETM_Q70_467080"/>
      <w:bookmarkEnd w:id="37850"/>
      <w:r>
        <w:rPr>
          <w:rFonts w:hint="cs"/>
          <w:rtl/>
        </w:rPr>
        <w:t xml:space="preserve">מחלישה </w:t>
      </w:r>
      <w:bookmarkStart w:id="37851" w:name="_ETM_Q70_467740"/>
      <w:bookmarkEnd w:id="37851"/>
      <w:r>
        <w:rPr>
          <w:rFonts w:hint="cs"/>
          <w:rtl/>
        </w:rPr>
        <w:t xml:space="preserve">את </w:t>
      </w:r>
      <w:bookmarkStart w:id="37852" w:name="_ETM_Q70_467830"/>
      <w:bookmarkEnd w:id="37852"/>
      <w:r>
        <w:rPr>
          <w:rFonts w:hint="cs"/>
          <w:rtl/>
        </w:rPr>
        <w:t xml:space="preserve">שומרי </w:t>
      </w:r>
      <w:bookmarkStart w:id="37853" w:name="_ETM_Q70_468190"/>
      <w:bookmarkEnd w:id="37853"/>
      <w:r>
        <w:rPr>
          <w:rFonts w:hint="cs"/>
          <w:rtl/>
        </w:rPr>
        <w:t xml:space="preserve">הסף, </w:t>
      </w:r>
      <w:bookmarkStart w:id="37854" w:name="_ETM_Q70_469029"/>
      <w:bookmarkEnd w:id="37854"/>
      <w:r>
        <w:rPr>
          <w:rFonts w:hint="cs"/>
          <w:rtl/>
        </w:rPr>
        <w:t xml:space="preserve">ופועלת </w:t>
      </w:r>
      <w:bookmarkStart w:id="37855" w:name="_ETM_Q70_469630"/>
      <w:bookmarkEnd w:id="37855"/>
      <w:r>
        <w:rPr>
          <w:rFonts w:hint="cs"/>
          <w:rtl/>
        </w:rPr>
        <w:t xml:space="preserve">לכך </w:t>
      </w:r>
      <w:bookmarkStart w:id="37856" w:name="_ETM_Q70_470290"/>
      <w:bookmarkEnd w:id="37856"/>
      <w:r>
        <w:rPr>
          <w:rFonts w:hint="cs"/>
          <w:rtl/>
        </w:rPr>
        <w:t xml:space="preserve">שלא </w:t>
      </w:r>
      <w:bookmarkStart w:id="37857" w:name="_ETM_Q70_470589"/>
      <w:bookmarkEnd w:id="37857"/>
      <w:r>
        <w:rPr>
          <w:rFonts w:hint="cs"/>
          <w:rtl/>
        </w:rPr>
        <w:t xml:space="preserve">תהיה </w:t>
      </w:r>
      <w:bookmarkStart w:id="37858" w:name="_ETM_Q70_470860"/>
      <w:bookmarkEnd w:id="37858"/>
      <w:r>
        <w:rPr>
          <w:rFonts w:hint="cs"/>
          <w:rtl/>
        </w:rPr>
        <w:t xml:space="preserve">הפרדת </w:t>
      </w:r>
      <w:bookmarkStart w:id="37859" w:name="_ETM_Q70_471279"/>
      <w:bookmarkEnd w:id="37859"/>
      <w:r>
        <w:rPr>
          <w:rFonts w:hint="cs"/>
          <w:rtl/>
        </w:rPr>
        <w:t>רשויות</w:t>
      </w:r>
      <w:bookmarkStart w:id="37860" w:name="_ETM_Q70_469871"/>
      <w:bookmarkEnd w:id="37860"/>
      <w:r>
        <w:rPr>
          <w:rFonts w:hint="cs"/>
          <w:rtl/>
        </w:rPr>
        <w:t xml:space="preserve"> </w:t>
      </w:r>
      <w:bookmarkStart w:id="37861" w:name="_ETM_Q70_472210"/>
      <w:bookmarkEnd w:id="37861"/>
      <w:r>
        <w:rPr>
          <w:rFonts w:hint="cs"/>
          <w:rtl/>
        </w:rPr>
        <w:t xml:space="preserve">ושלא </w:t>
      </w:r>
      <w:bookmarkStart w:id="37862" w:name="_ETM_Q70_472720"/>
      <w:bookmarkEnd w:id="37862"/>
      <w:r>
        <w:rPr>
          <w:rFonts w:hint="cs"/>
          <w:rtl/>
        </w:rPr>
        <w:t xml:space="preserve">יהיו </w:t>
      </w:r>
      <w:bookmarkStart w:id="37863" w:name="_ETM_Q70_472960"/>
      <w:bookmarkEnd w:id="37863"/>
      <w:r>
        <w:rPr>
          <w:rFonts w:hint="cs"/>
          <w:rtl/>
        </w:rPr>
        <w:t xml:space="preserve">איזונים </w:t>
      </w:r>
      <w:bookmarkStart w:id="37864" w:name="_ETM_Q70_473380"/>
      <w:bookmarkEnd w:id="37864"/>
      <w:r>
        <w:rPr>
          <w:rFonts w:hint="cs"/>
          <w:rtl/>
        </w:rPr>
        <w:t xml:space="preserve">ובלמים </w:t>
      </w:r>
      <w:bookmarkStart w:id="37865" w:name="_ETM_Q70_473770"/>
      <w:bookmarkEnd w:id="37865"/>
      <w:r>
        <w:rPr>
          <w:rFonts w:hint="cs"/>
          <w:rtl/>
        </w:rPr>
        <w:t xml:space="preserve">לשלטון. </w:t>
      </w:r>
      <w:bookmarkStart w:id="37866" w:name="_ETM_Q70_475040"/>
      <w:bookmarkEnd w:id="37866"/>
      <w:r>
        <w:rPr>
          <w:rFonts w:hint="cs"/>
          <w:rtl/>
        </w:rPr>
        <w:t xml:space="preserve">איזה </w:t>
      </w:r>
      <w:bookmarkStart w:id="37867" w:name="_ETM_Q70_475339"/>
      <w:bookmarkEnd w:id="37867"/>
      <w:r>
        <w:rPr>
          <w:rFonts w:hint="cs"/>
          <w:rtl/>
        </w:rPr>
        <w:t xml:space="preserve">נבחר </w:t>
      </w:r>
      <w:bookmarkStart w:id="37868" w:name="_ETM_Q70_475759"/>
      <w:bookmarkEnd w:id="37868"/>
      <w:r>
        <w:rPr>
          <w:rFonts w:hint="cs"/>
          <w:rtl/>
        </w:rPr>
        <w:t xml:space="preserve">ציבור </w:t>
      </w:r>
      <w:bookmarkStart w:id="37869" w:name="_ETM_Q70_477589"/>
      <w:bookmarkEnd w:id="37869"/>
      <w:r>
        <w:rPr>
          <w:rFonts w:hint="cs"/>
          <w:rtl/>
        </w:rPr>
        <w:t xml:space="preserve">לא </w:t>
      </w:r>
      <w:bookmarkStart w:id="37870" w:name="_ETM_Q70_477770"/>
      <w:bookmarkEnd w:id="37870"/>
      <w:r>
        <w:rPr>
          <w:rFonts w:hint="cs"/>
          <w:rtl/>
        </w:rPr>
        <w:t xml:space="preserve">טועה </w:t>
      </w:r>
      <w:bookmarkStart w:id="37871" w:name="_ETM_Q70_478099"/>
      <w:bookmarkEnd w:id="37871"/>
      <w:r>
        <w:rPr>
          <w:rFonts w:hint="cs"/>
          <w:rtl/>
        </w:rPr>
        <w:t>לפעמים</w:t>
      </w:r>
      <w:bookmarkStart w:id="37872" w:name="_ETM_Q70_477131"/>
      <w:bookmarkEnd w:id="37872"/>
      <w:r>
        <w:rPr>
          <w:rFonts w:hint="cs"/>
          <w:rtl/>
        </w:rPr>
        <w:t xml:space="preserve"> </w:t>
      </w:r>
      <w:bookmarkStart w:id="37873" w:name="_ETM_Q70_478969"/>
      <w:bookmarkEnd w:id="37873"/>
      <w:r>
        <w:rPr>
          <w:rFonts w:hint="cs"/>
          <w:rtl/>
        </w:rPr>
        <w:t xml:space="preserve">ולא </w:t>
      </w:r>
      <w:bookmarkStart w:id="37874" w:name="_ETM_Q70_479330"/>
      <w:bookmarkEnd w:id="37874"/>
      <w:r>
        <w:rPr>
          <w:rFonts w:hint="cs"/>
          <w:rtl/>
        </w:rPr>
        <w:t xml:space="preserve">ראוי </w:t>
      </w:r>
      <w:bookmarkStart w:id="37875" w:name="_ETM_Q70_479719"/>
      <w:bookmarkEnd w:id="37875"/>
      <w:r>
        <w:rPr>
          <w:rFonts w:hint="cs"/>
          <w:rtl/>
        </w:rPr>
        <w:t xml:space="preserve">שיהיו </w:t>
      </w:r>
      <w:bookmarkStart w:id="37876" w:name="_ETM_Q70_480050"/>
      <w:bookmarkEnd w:id="37876"/>
      <w:r>
        <w:rPr>
          <w:rFonts w:hint="cs"/>
          <w:rtl/>
        </w:rPr>
        <w:t xml:space="preserve">עליו </w:t>
      </w:r>
      <w:bookmarkStart w:id="37877" w:name="_ETM_Q70_480319"/>
      <w:bookmarkEnd w:id="37877"/>
      <w:r>
        <w:rPr>
          <w:rFonts w:hint="cs"/>
          <w:rtl/>
        </w:rPr>
        <w:t xml:space="preserve">איזונים </w:t>
      </w:r>
      <w:bookmarkStart w:id="37878" w:name="_ETM_Q70_480710"/>
      <w:bookmarkEnd w:id="37878"/>
      <w:r>
        <w:rPr>
          <w:rFonts w:hint="cs"/>
          <w:rtl/>
        </w:rPr>
        <w:t>ובלמים</w:t>
      </w:r>
      <w:bookmarkStart w:id="37879" w:name="_ETM_Q70_480000"/>
      <w:bookmarkStart w:id="37880" w:name="_ETM_Q70_480329"/>
      <w:bookmarkStart w:id="37881" w:name="_ETM_Q70_479281"/>
      <w:bookmarkEnd w:id="37879"/>
      <w:bookmarkEnd w:id="37880"/>
      <w:bookmarkEnd w:id="37881"/>
      <w:r>
        <w:rPr>
          <w:rFonts w:hint="cs"/>
          <w:rtl/>
        </w:rPr>
        <w:t>,</w:t>
      </w:r>
      <w:bookmarkStart w:id="37882" w:name="_ETM_Q70_485681"/>
      <w:bookmarkEnd w:id="37882"/>
      <w:r>
        <w:rPr>
          <w:rFonts w:hint="cs"/>
          <w:rtl/>
        </w:rPr>
        <w:t xml:space="preserve"> </w:t>
      </w:r>
      <w:bookmarkStart w:id="37883" w:name="_ETM_Q70_481140"/>
      <w:bookmarkEnd w:id="37883"/>
      <w:r>
        <w:rPr>
          <w:rFonts w:hint="cs"/>
          <w:rtl/>
        </w:rPr>
        <w:t xml:space="preserve">שתהיה </w:t>
      </w:r>
      <w:bookmarkStart w:id="37884" w:name="_ETM_Q70_481589"/>
      <w:bookmarkEnd w:id="37884"/>
      <w:r>
        <w:rPr>
          <w:rFonts w:hint="cs"/>
          <w:rtl/>
        </w:rPr>
        <w:t xml:space="preserve">עליו </w:t>
      </w:r>
      <w:bookmarkStart w:id="37885" w:name="_ETM_Q70_481770"/>
      <w:bookmarkEnd w:id="37885"/>
      <w:r>
        <w:rPr>
          <w:rFonts w:hint="cs"/>
          <w:rtl/>
        </w:rPr>
        <w:t xml:space="preserve">ביקורת </w:t>
      </w:r>
      <w:bookmarkStart w:id="37886" w:name="_ETM_Q70_482610"/>
      <w:bookmarkEnd w:id="37886"/>
      <w:r>
        <w:rPr>
          <w:rFonts w:hint="cs"/>
          <w:rtl/>
        </w:rPr>
        <w:t xml:space="preserve">גם </w:t>
      </w:r>
      <w:bookmarkStart w:id="37887" w:name="_ETM_Q70_482939"/>
      <w:bookmarkEnd w:id="37887"/>
      <w:r>
        <w:rPr>
          <w:rFonts w:hint="cs"/>
          <w:rtl/>
        </w:rPr>
        <w:t xml:space="preserve">שיפוטית, </w:t>
      </w:r>
      <w:bookmarkStart w:id="37888" w:name="_ETM_Q70_483899"/>
      <w:bookmarkEnd w:id="37888"/>
      <w:r>
        <w:rPr>
          <w:rFonts w:hint="cs"/>
          <w:rtl/>
        </w:rPr>
        <w:t>ג</w:t>
      </w:r>
      <w:bookmarkStart w:id="37889" w:name="_ETM_Q70_484301"/>
      <w:bookmarkEnd w:id="37889"/>
      <w:r>
        <w:rPr>
          <w:rFonts w:hint="cs"/>
          <w:rtl/>
        </w:rPr>
        <w:t xml:space="preserve">ם </w:t>
      </w:r>
      <w:bookmarkStart w:id="37890" w:name="_ETM_Q70_484200"/>
      <w:bookmarkEnd w:id="37890"/>
      <w:r>
        <w:rPr>
          <w:rFonts w:hint="cs"/>
          <w:rtl/>
        </w:rPr>
        <w:t xml:space="preserve">של </w:t>
      </w:r>
      <w:bookmarkStart w:id="37891" w:name="_ETM_Q70_484380"/>
      <w:bookmarkEnd w:id="37891"/>
      <w:r>
        <w:rPr>
          <w:rFonts w:hint="cs"/>
          <w:rtl/>
        </w:rPr>
        <w:t>יועמ"ש?</w:t>
      </w:r>
      <w:bookmarkStart w:id="37892" w:name="_ETM_Q70_488969"/>
      <w:bookmarkEnd w:id="37892"/>
    </w:p>
    <w:p w:rsidR="00BB59CD" w:rsidRDefault="00BB59CD" w:rsidP="00BB59CD">
      <w:pPr>
        <w:rPr>
          <w:rtl/>
        </w:rPr>
      </w:pPr>
    </w:p>
    <w:p w:rsidR="00BB59CD" w:rsidRDefault="00BB59CD" w:rsidP="00BF6FBE">
      <w:pPr>
        <w:rPr>
          <w:rtl/>
        </w:rPr>
      </w:pPr>
      <w:bookmarkStart w:id="37893" w:name="_ETM_Q70_498172"/>
      <w:bookmarkEnd w:id="37893"/>
      <w:r>
        <w:rPr>
          <w:rFonts w:hint="cs"/>
          <w:rtl/>
        </w:rPr>
        <w:t xml:space="preserve">הממשלה </w:t>
      </w:r>
      <w:bookmarkStart w:id="37894" w:name="_ETM_Q70_489600"/>
      <w:bookmarkEnd w:id="37894"/>
      <w:r>
        <w:rPr>
          <w:rFonts w:hint="cs"/>
          <w:rtl/>
        </w:rPr>
        <w:t xml:space="preserve">הזו </w:t>
      </w:r>
      <w:bookmarkStart w:id="37895" w:name="_ETM_Q70_490350"/>
      <w:bookmarkEnd w:id="37895"/>
      <w:r>
        <w:rPr>
          <w:rFonts w:hint="cs"/>
          <w:rtl/>
        </w:rPr>
        <w:t>משת</w:t>
      </w:r>
      <w:bookmarkStart w:id="37896" w:name="_ETM_Q70_490889"/>
      <w:bookmarkEnd w:id="37896"/>
      <w:r>
        <w:rPr>
          <w:rFonts w:hint="cs"/>
          <w:rtl/>
        </w:rPr>
        <w:t xml:space="preserve">משת </w:t>
      </w:r>
      <w:bookmarkStart w:id="37897" w:name="_ETM_Q70_491519"/>
      <w:bookmarkEnd w:id="37897"/>
      <w:r>
        <w:rPr>
          <w:rFonts w:hint="cs"/>
          <w:rtl/>
        </w:rPr>
        <w:t xml:space="preserve">בקופה </w:t>
      </w:r>
      <w:bookmarkStart w:id="37898" w:name="_ETM_Q70_491940"/>
      <w:bookmarkEnd w:id="37898"/>
      <w:r>
        <w:rPr>
          <w:rFonts w:hint="cs"/>
          <w:rtl/>
        </w:rPr>
        <w:t xml:space="preserve">הציבורית </w:t>
      </w:r>
      <w:bookmarkStart w:id="37899" w:name="_ETM_Q70_492790"/>
      <w:bookmarkEnd w:id="37899"/>
      <w:r>
        <w:rPr>
          <w:rFonts w:hint="cs"/>
          <w:rtl/>
        </w:rPr>
        <w:t xml:space="preserve">כאילו </w:t>
      </w:r>
      <w:bookmarkStart w:id="37900" w:name="_ETM_Q70_493029"/>
      <w:bookmarkEnd w:id="37900"/>
      <w:r>
        <w:rPr>
          <w:rFonts w:hint="cs"/>
          <w:rtl/>
        </w:rPr>
        <w:t xml:space="preserve">הייתה </w:t>
      </w:r>
      <w:bookmarkStart w:id="37901" w:name="_ETM_Q70_493269"/>
      <w:bookmarkEnd w:id="37901"/>
      <w:r>
        <w:rPr>
          <w:rFonts w:hint="cs"/>
          <w:rtl/>
        </w:rPr>
        <w:t xml:space="preserve">פרטית </w:t>
      </w:r>
      <w:bookmarkStart w:id="37902" w:name="_ETM_Q70_493809"/>
      <w:bookmarkEnd w:id="37902"/>
      <w:r>
        <w:rPr>
          <w:rFonts w:hint="cs"/>
          <w:rtl/>
        </w:rPr>
        <w:t>שלה,</w:t>
      </w:r>
      <w:bookmarkStart w:id="37903" w:name="_ETM_Q70_493451"/>
      <w:bookmarkEnd w:id="37903"/>
      <w:r>
        <w:rPr>
          <w:rFonts w:hint="cs"/>
          <w:rtl/>
        </w:rPr>
        <w:t xml:space="preserve"> </w:t>
      </w:r>
      <w:bookmarkStart w:id="37904" w:name="_ETM_Q70_495120"/>
      <w:bookmarkEnd w:id="37904"/>
      <w:r>
        <w:rPr>
          <w:rFonts w:hint="cs"/>
          <w:rtl/>
        </w:rPr>
        <w:t xml:space="preserve">מחלקת </w:t>
      </w:r>
      <w:bookmarkStart w:id="37905" w:name="_ETM_Q70_495690"/>
      <w:bookmarkEnd w:id="37905"/>
      <w:r>
        <w:rPr>
          <w:rFonts w:hint="cs"/>
          <w:rtl/>
        </w:rPr>
        <w:t xml:space="preserve">14 </w:t>
      </w:r>
      <w:bookmarkStart w:id="37906" w:name="_ETM_Q70_496290"/>
      <w:bookmarkEnd w:id="37906"/>
      <w:r>
        <w:rPr>
          <w:rFonts w:hint="cs"/>
          <w:rtl/>
        </w:rPr>
        <w:t xml:space="preserve">מיליארד </w:t>
      </w:r>
      <w:bookmarkStart w:id="37907" w:name="_ETM_Q70_496740"/>
      <w:bookmarkEnd w:id="37907"/>
      <w:r>
        <w:rPr>
          <w:rFonts w:hint="cs"/>
          <w:rtl/>
        </w:rPr>
        <w:t xml:space="preserve">שקלים </w:t>
      </w:r>
      <w:bookmarkStart w:id="37908" w:name="_ETM_Q70_497339"/>
      <w:bookmarkEnd w:id="37908"/>
      <w:r>
        <w:rPr>
          <w:rFonts w:hint="cs"/>
          <w:rtl/>
        </w:rPr>
        <w:t xml:space="preserve">בהסכמים </w:t>
      </w:r>
      <w:bookmarkStart w:id="37909" w:name="_ETM_Q70_497940"/>
      <w:bookmarkEnd w:id="37909"/>
      <w:r>
        <w:rPr>
          <w:rFonts w:hint="cs"/>
          <w:rtl/>
        </w:rPr>
        <w:t xml:space="preserve">קואליציוניים – </w:t>
      </w:r>
      <w:bookmarkStart w:id="37910" w:name="_ETM_Q70_499189"/>
      <w:bookmarkEnd w:id="37910"/>
      <w:r>
        <w:rPr>
          <w:rFonts w:hint="cs"/>
          <w:rtl/>
        </w:rPr>
        <w:t xml:space="preserve">לא </w:t>
      </w:r>
      <w:bookmarkStart w:id="37911" w:name="_ETM_Q70_499429"/>
      <w:bookmarkEnd w:id="37911"/>
      <w:r>
        <w:rPr>
          <w:rFonts w:hint="cs"/>
          <w:rtl/>
        </w:rPr>
        <w:t xml:space="preserve">היה </w:t>
      </w:r>
      <w:bookmarkStart w:id="37912" w:name="_ETM_Q70_499579"/>
      <w:bookmarkEnd w:id="37912"/>
      <w:r>
        <w:rPr>
          <w:rFonts w:hint="cs"/>
          <w:rtl/>
        </w:rPr>
        <w:t xml:space="preserve">כזה </w:t>
      </w:r>
      <w:bookmarkStart w:id="37913" w:name="_ETM_Q70_499820"/>
      <w:bookmarkEnd w:id="37913"/>
      <w:r>
        <w:rPr>
          <w:rFonts w:hint="cs"/>
          <w:rtl/>
        </w:rPr>
        <w:t xml:space="preserve">סכום </w:t>
      </w:r>
      <w:bookmarkStart w:id="37914" w:name="_ETM_Q70_500150"/>
      <w:bookmarkEnd w:id="37914"/>
      <w:r>
        <w:rPr>
          <w:rFonts w:hint="cs"/>
          <w:rtl/>
        </w:rPr>
        <w:t>מעולם</w:t>
      </w:r>
      <w:bookmarkStart w:id="37915" w:name="_ETM_Q70_501111"/>
      <w:bookmarkEnd w:id="37915"/>
      <w:r>
        <w:rPr>
          <w:rFonts w:hint="cs"/>
          <w:rtl/>
        </w:rPr>
        <w:t xml:space="preserve"> – </w:t>
      </w:r>
      <w:bookmarkStart w:id="37916" w:name="_ETM_Q70_501800"/>
      <w:bookmarkEnd w:id="37916"/>
      <w:r w:rsidR="00BF6FBE">
        <w:rPr>
          <w:rFonts w:hint="cs"/>
          <w:rtl/>
        </w:rPr>
        <w:t>מ</w:t>
      </w:r>
      <w:r>
        <w:rPr>
          <w:rFonts w:hint="cs"/>
          <w:rtl/>
        </w:rPr>
        <w:t xml:space="preserve">כספי </w:t>
      </w:r>
      <w:bookmarkStart w:id="37917" w:name="_ETM_Q70_502369"/>
      <w:bookmarkEnd w:id="37917"/>
      <w:r>
        <w:rPr>
          <w:rFonts w:hint="cs"/>
          <w:rtl/>
        </w:rPr>
        <w:t xml:space="preserve">הציבור, </w:t>
      </w:r>
      <w:bookmarkStart w:id="37918" w:name="_ETM_Q70_503390"/>
      <w:bookmarkEnd w:id="37918"/>
      <w:r w:rsidR="00BF6FBE">
        <w:rPr>
          <w:rFonts w:hint="cs"/>
          <w:rtl/>
        </w:rPr>
        <w:t>ה</w:t>
      </w:r>
      <w:r>
        <w:rPr>
          <w:rFonts w:hint="cs"/>
          <w:rtl/>
        </w:rPr>
        <w:t xml:space="preserve">קופה </w:t>
      </w:r>
      <w:bookmarkStart w:id="37919" w:name="_ETM_Q70_504080"/>
      <w:bookmarkEnd w:id="37919"/>
      <w:r>
        <w:rPr>
          <w:rFonts w:hint="cs"/>
          <w:rtl/>
        </w:rPr>
        <w:t xml:space="preserve">המקודשת. </w:t>
      </w:r>
      <w:bookmarkStart w:id="37920" w:name="_ETM_Q70_506449"/>
      <w:bookmarkEnd w:id="37920"/>
      <w:r>
        <w:rPr>
          <w:rFonts w:hint="cs"/>
          <w:rtl/>
        </w:rPr>
        <w:t xml:space="preserve">יוקר </w:t>
      </w:r>
      <w:bookmarkStart w:id="37921" w:name="_ETM_Q70_506839"/>
      <w:bookmarkEnd w:id="37921"/>
      <w:r>
        <w:rPr>
          <w:rFonts w:hint="cs"/>
          <w:rtl/>
        </w:rPr>
        <w:t xml:space="preserve">המחיה </w:t>
      </w:r>
      <w:bookmarkStart w:id="37922" w:name="_ETM_Q70_507439"/>
      <w:bookmarkEnd w:id="37922"/>
      <w:r>
        <w:rPr>
          <w:rFonts w:hint="cs"/>
          <w:rtl/>
        </w:rPr>
        <w:t xml:space="preserve">רק </w:t>
      </w:r>
      <w:bookmarkStart w:id="37923" w:name="_ETM_Q70_507679"/>
      <w:bookmarkEnd w:id="37923"/>
      <w:r>
        <w:rPr>
          <w:rFonts w:hint="cs"/>
          <w:rtl/>
        </w:rPr>
        <w:t xml:space="preserve">עולה </w:t>
      </w:r>
      <w:bookmarkStart w:id="37924" w:name="_ETM_Q70_507949"/>
      <w:bookmarkEnd w:id="37924"/>
      <w:r>
        <w:rPr>
          <w:rFonts w:hint="cs"/>
          <w:rtl/>
        </w:rPr>
        <w:t>ועולה,</w:t>
      </w:r>
      <w:bookmarkStart w:id="37925" w:name="_ETM_Q70_507783"/>
      <w:bookmarkEnd w:id="37925"/>
      <w:r>
        <w:rPr>
          <w:rFonts w:hint="cs"/>
          <w:rtl/>
        </w:rPr>
        <w:t xml:space="preserve"> </w:t>
      </w:r>
      <w:bookmarkStart w:id="37926" w:name="_ETM_Q70_508400"/>
      <w:bookmarkEnd w:id="37926"/>
      <w:r>
        <w:rPr>
          <w:rFonts w:hint="cs"/>
          <w:rtl/>
        </w:rPr>
        <w:t xml:space="preserve">ועולה </w:t>
      </w:r>
      <w:bookmarkStart w:id="37927" w:name="_ETM_Q70_508849"/>
      <w:bookmarkEnd w:id="37927"/>
      <w:r>
        <w:rPr>
          <w:rFonts w:hint="cs"/>
          <w:rtl/>
        </w:rPr>
        <w:t>ועולה.</w:t>
      </w:r>
      <w:bookmarkStart w:id="37928" w:name="_ETM_Q70_514214"/>
      <w:bookmarkEnd w:id="37928"/>
      <w:r>
        <w:rPr>
          <w:rFonts w:hint="cs"/>
          <w:rtl/>
        </w:rPr>
        <w:t xml:space="preserve"> </w:t>
      </w:r>
      <w:bookmarkStart w:id="37929" w:name="_ETM_Q70_510810"/>
      <w:bookmarkEnd w:id="37929"/>
      <w:r>
        <w:rPr>
          <w:rFonts w:hint="cs"/>
          <w:rtl/>
        </w:rPr>
        <w:t xml:space="preserve">הכלכלה </w:t>
      </w:r>
      <w:bookmarkStart w:id="37930" w:name="_ETM_Q70_511560"/>
      <w:bookmarkEnd w:id="37930"/>
      <w:r>
        <w:rPr>
          <w:rFonts w:hint="cs"/>
          <w:rtl/>
        </w:rPr>
        <w:t>מ</w:t>
      </w:r>
      <w:bookmarkStart w:id="37931" w:name="_ETM_Q70_510175"/>
      <w:bookmarkEnd w:id="37931"/>
      <w:r>
        <w:rPr>
          <w:rFonts w:hint="cs"/>
          <w:rtl/>
        </w:rPr>
        <w:t>קרטעת,</w:t>
      </w:r>
      <w:bookmarkStart w:id="37932" w:name="_ETM_Q70_511990"/>
      <w:bookmarkStart w:id="37933" w:name="_ETM_Q70_512050"/>
      <w:bookmarkEnd w:id="37932"/>
      <w:bookmarkEnd w:id="37933"/>
      <w:r>
        <w:rPr>
          <w:rFonts w:hint="cs"/>
          <w:rtl/>
        </w:rPr>
        <w:t xml:space="preserve"> </w:t>
      </w:r>
      <w:bookmarkStart w:id="37934" w:name="_ETM_Q70_512990"/>
      <w:bookmarkEnd w:id="37934"/>
      <w:r>
        <w:rPr>
          <w:rFonts w:hint="cs"/>
          <w:rtl/>
        </w:rPr>
        <w:t xml:space="preserve">ההייטק </w:t>
      </w:r>
      <w:bookmarkStart w:id="37935" w:name="_ETM_Q70_513500"/>
      <w:bookmarkEnd w:id="37935"/>
      <w:r>
        <w:rPr>
          <w:rFonts w:hint="cs"/>
          <w:rtl/>
        </w:rPr>
        <w:t xml:space="preserve">מתרסק, </w:t>
      </w:r>
      <w:bookmarkStart w:id="37936" w:name="_ETM_Q70_516120"/>
      <w:bookmarkEnd w:id="37936"/>
      <w:r>
        <w:rPr>
          <w:rFonts w:hint="cs"/>
          <w:rtl/>
        </w:rPr>
        <w:t xml:space="preserve">הטרור </w:t>
      </w:r>
      <w:bookmarkStart w:id="37937" w:name="_ETM_Q70_516900"/>
      <w:bookmarkEnd w:id="37937"/>
      <w:r>
        <w:rPr>
          <w:rFonts w:hint="cs"/>
          <w:rtl/>
        </w:rPr>
        <w:t xml:space="preserve">מרים </w:t>
      </w:r>
      <w:bookmarkStart w:id="37938" w:name="_ETM_Q70_517410"/>
      <w:bookmarkEnd w:id="37938"/>
      <w:r>
        <w:rPr>
          <w:rFonts w:hint="cs"/>
          <w:rtl/>
        </w:rPr>
        <w:t xml:space="preserve">את </w:t>
      </w:r>
      <w:bookmarkStart w:id="37939" w:name="_ETM_Q70_517560"/>
      <w:bookmarkEnd w:id="37939"/>
      <w:r>
        <w:rPr>
          <w:rFonts w:hint="cs"/>
          <w:rtl/>
        </w:rPr>
        <w:t xml:space="preserve">ראשו </w:t>
      </w:r>
      <w:bookmarkStart w:id="37940" w:name="_ETM_Q70_517950"/>
      <w:bookmarkEnd w:id="37940"/>
      <w:r>
        <w:rPr>
          <w:rFonts w:hint="cs"/>
          <w:rtl/>
        </w:rPr>
        <w:t xml:space="preserve">שוב </w:t>
      </w:r>
      <w:bookmarkStart w:id="37941" w:name="_ETM_Q70_518279"/>
      <w:bookmarkEnd w:id="37941"/>
      <w:r>
        <w:rPr>
          <w:rFonts w:hint="cs"/>
          <w:rtl/>
        </w:rPr>
        <w:t xml:space="preserve">ושוב, </w:t>
      </w:r>
      <w:bookmarkStart w:id="37942" w:name="_ETM_Q70_519150"/>
      <w:bookmarkEnd w:id="37942"/>
      <w:r>
        <w:rPr>
          <w:rFonts w:hint="cs"/>
          <w:rtl/>
        </w:rPr>
        <w:t xml:space="preserve">צובר </w:t>
      </w:r>
      <w:bookmarkStart w:id="37943" w:name="_ETM_Q70_519630"/>
      <w:bookmarkEnd w:id="37943"/>
      <w:r>
        <w:rPr>
          <w:rFonts w:hint="cs"/>
          <w:rtl/>
        </w:rPr>
        <w:t xml:space="preserve">קורבנות </w:t>
      </w:r>
      <w:bookmarkStart w:id="37944" w:name="_ETM_Q70_520170"/>
      <w:bookmarkEnd w:id="37944"/>
      <w:r>
        <w:rPr>
          <w:rFonts w:hint="cs"/>
          <w:rtl/>
        </w:rPr>
        <w:t xml:space="preserve">רבים, </w:t>
      </w:r>
      <w:bookmarkStart w:id="37945" w:name="_ETM_Q70_521310"/>
      <w:bookmarkEnd w:id="37945"/>
      <w:r>
        <w:rPr>
          <w:rFonts w:hint="cs"/>
          <w:rtl/>
        </w:rPr>
        <w:t xml:space="preserve">והלב </w:t>
      </w:r>
      <w:bookmarkStart w:id="37946" w:name="_ETM_Q70_522989"/>
      <w:bookmarkEnd w:id="37946"/>
      <w:r>
        <w:rPr>
          <w:rFonts w:hint="cs"/>
          <w:rtl/>
        </w:rPr>
        <w:t xml:space="preserve">שותק </w:t>
      </w:r>
      <w:bookmarkStart w:id="37947" w:name="_ETM_Q70_523559"/>
      <w:bookmarkEnd w:id="37947"/>
      <w:r>
        <w:rPr>
          <w:rFonts w:hint="cs"/>
          <w:rtl/>
        </w:rPr>
        <w:t xml:space="preserve">מכאב </w:t>
      </w:r>
      <w:bookmarkStart w:id="37948" w:name="_ETM_Q70_524309"/>
      <w:bookmarkEnd w:id="37948"/>
      <w:r>
        <w:rPr>
          <w:rFonts w:hint="cs"/>
          <w:rtl/>
        </w:rPr>
        <w:t xml:space="preserve">על </w:t>
      </w:r>
      <w:bookmarkStart w:id="37949" w:name="_ETM_Q70_524460"/>
      <w:bookmarkEnd w:id="37949"/>
      <w:r>
        <w:rPr>
          <w:rFonts w:hint="cs"/>
          <w:rtl/>
        </w:rPr>
        <w:t xml:space="preserve">קורבנות </w:t>
      </w:r>
      <w:bookmarkStart w:id="37950" w:name="_ETM_Q70_525059"/>
      <w:bookmarkEnd w:id="37950"/>
      <w:r>
        <w:rPr>
          <w:rFonts w:hint="cs"/>
          <w:rtl/>
        </w:rPr>
        <w:t xml:space="preserve">הטרור, </w:t>
      </w:r>
      <w:bookmarkStart w:id="37951" w:name="_ETM_Q70_527699"/>
      <w:bookmarkEnd w:id="37951"/>
      <w:r>
        <w:rPr>
          <w:rFonts w:hint="cs"/>
          <w:rtl/>
        </w:rPr>
        <w:t xml:space="preserve">הכאב </w:t>
      </w:r>
      <w:bookmarkStart w:id="37952" w:name="_ETM_Q70_528179"/>
      <w:bookmarkEnd w:id="37952"/>
      <w:r>
        <w:rPr>
          <w:rFonts w:hint="cs"/>
          <w:rtl/>
        </w:rPr>
        <w:t xml:space="preserve">בלתי </w:t>
      </w:r>
      <w:bookmarkStart w:id="37953" w:name="_ETM_Q70_528479"/>
      <w:bookmarkEnd w:id="37953"/>
      <w:r>
        <w:rPr>
          <w:rFonts w:hint="cs"/>
          <w:rtl/>
        </w:rPr>
        <w:t>פוסק.</w:t>
      </w:r>
      <w:bookmarkStart w:id="37954" w:name="_ETM_Q70_529899"/>
      <w:bookmarkEnd w:id="37954"/>
      <w:r>
        <w:rPr>
          <w:rFonts w:hint="cs"/>
          <w:rtl/>
        </w:rPr>
        <w:t xml:space="preserve"> </w:t>
      </w:r>
      <w:bookmarkStart w:id="37955" w:name="_ETM_Q70_533146"/>
      <w:bookmarkStart w:id="37956" w:name="_ETM_Q70_533214"/>
      <w:bookmarkStart w:id="37957" w:name="_ETM_Q70_533320"/>
      <w:bookmarkStart w:id="37958" w:name="_ETM_Q70_533368"/>
      <w:bookmarkStart w:id="37959" w:name="_ETM_Q70_528512"/>
      <w:bookmarkEnd w:id="37955"/>
      <w:bookmarkEnd w:id="37956"/>
      <w:bookmarkEnd w:id="37957"/>
      <w:bookmarkEnd w:id="37958"/>
      <w:bookmarkEnd w:id="37959"/>
      <w:r>
        <w:rPr>
          <w:rFonts w:hint="cs"/>
          <w:rtl/>
        </w:rPr>
        <w:t xml:space="preserve">ומה </w:t>
      </w:r>
      <w:bookmarkStart w:id="37960" w:name="_ETM_Q70_530320"/>
      <w:bookmarkEnd w:id="37960"/>
      <w:r>
        <w:rPr>
          <w:rFonts w:hint="cs"/>
          <w:rtl/>
        </w:rPr>
        <w:t xml:space="preserve">עם </w:t>
      </w:r>
      <w:bookmarkStart w:id="37961" w:name="_ETM_Q70_530440"/>
      <w:bookmarkEnd w:id="37961"/>
      <w:r>
        <w:rPr>
          <w:rFonts w:hint="cs"/>
          <w:rtl/>
        </w:rPr>
        <w:t xml:space="preserve">משילות? </w:t>
      </w:r>
      <w:bookmarkStart w:id="37962" w:name="_ETM_Q70_531949"/>
      <w:bookmarkEnd w:id="37962"/>
      <w:r>
        <w:rPr>
          <w:rFonts w:hint="cs"/>
          <w:rtl/>
        </w:rPr>
        <w:t xml:space="preserve">כבר </w:t>
      </w:r>
      <w:bookmarkStart w:id="37963" w:name="_ETM_Q70_532249"/>
      <w:bookmarkEnd w:id="37963"/>
      <w:r>
        <w:rPr>
          <w:rFonts w:hint="cs"/>
          <w:rtl/>
        </w:rPr>
        <w:t xml:space="preserve">הזכרתי </w:t>
      </w:r>
      <w:bookmarkStart w:id="37964" w:name="_ETM_Q70_532699"/>
      <w:bookmarkEnd w:id="37964"/>
      <w:r>
        <w:rPr>
          <w:rFonts w:hint="cs"/>
          <w:rtl/>
        </w:rPr>
        <w:t xml:space="preserve">את </w:t>
      </w:r>
      <w:bookmarkStart w:id="37965" w:name="_ETM_Q70_532760"/>
      <w:bookmarkEnd w:id="37965"/>
      <w:r>
        <w:rPr>
          <w:rFonts w:hint="cs"/>
          <w:rtl/>
        </w:rPr>
        <w:t xml:space="preserve">המספר </w:t>
      </w:r>
      <w:bookmarkStart w:id="37966" w:name="_ETM_Q70_533089"/>
      <w:bookmarkEnd w:id="37966"/>
      <w:r>
        <w:rPr>
          <w:rFonts w:hint="cs"/>
          <w:rtl/>
        </w:rPr>
        <w:t>הבלתי</w:t>
      </w:r>
      <w:bookmarkStart w:id="37967" w:name="_ETM_Q70_533390"/>
      <w:bookmarkEnd w:id="37967"/>
      <w:r>
        <w:rPr>
          <w:rFonts w:hint="cs"/>
          <w:rtl/>
        </w:rPr>
        <w:t>-</w:t>
      </w:r>
      <w:bookmarkStart w:id="37968" w:name="_ETM_Q70_531012"/>
      <w:bookmarkEnd w:id="37968"/>
      <w:r>
        <w:rPr>
          <w:rFonts w:hint="cs"/>
          <w:rtl/>
        </w:rPr>
        <w:t xml:space="preserve">נסבל </w:t>
      </w:r>
      <w:bookmarkStart w:id="37969" w:name="_ETM_Q70_533960"/>
      <w:bookmarkEnd w:id="37969"/>
      <w:r>
        <w:rPr>
          <w:rFonts w:hint="cs"/>
          <w:rtl/>
        </w:rPr>
        <w:t xml:space="preserve">של </w:t>
      </w:r>
      <w:bookmarkStart w:id="37970" w:name="_ETM_Q70_534170"/>
      <w:bookmarkEnd w:id="37970"/>
      <w:r>
        <w:rPr>
          <w:rFonts w:hint="cs"/>
          <w:rtl/>
        </w:rPr>
        <w:t xml:space="preserve">מקרי </w:t>
      </w:r>
      <w:bookmarkStart w:id="37971" w:name="_ETM_Q70_534469"/>
      <w:bookmarkEnd w:id="37971"/>
      <w:r>
        <w:rPr>
          <w:rFonts w:hint="cs"/>
          <w:rtl/>
        </w:rPr>
        <w:t xml:space="preserve">הרצח </w:t>
      </w:r>
      <w:bookmarkStart w:id="37972" w:name="_ETM_Q70_534829"/>
      <w:bookmarkEnd w:id="37972"/>
      <w:r>
        <w:rPr>
          <w:rFonts w:hint="cs"/>
          <w:rtl/>
        </w:rPr>
        <w:t xml:space="preserve">בחברה </w:t>
      </w:r>
      <w:bookmarkStart w:id="37973" w:name="_ETM_Q70_535279"/>
      <w:bookmarkStart w:id="37974" w:name="_ETM_Q70_533672"/>
      <w:bookmarkEnd w:id="37973"/>
      <w:bookmarkEnd w:id="37974"/>
      <w:r>
        <w:rPr>
          <w:rFonts w:hint="cs"/>
          <w:rtl/>
        </w:rPr>
        <w:t>הערבית</w:t>
      </w:r>
      <w:bookmarkStart w:id="37975" w:name="_ETM_Q70_535670"/>
      <w:bookmarkStart w:id="37976" w:name="_ETM_Q70_535909"/>
      <w:bookmarkStart w:id="37977" w:name="_ETM_Q70_536300"/>
      <w:bookmarkEnd w:id="37975"/>
      <w:bookmarkEnd w:id="37976"/>
      <w:bookmarkEnd w:id="37977"/>
      <w:r>
        <w:rPr>
          <w:rFonts w:hint="cs"/>
          <w:rtl/>
        </w:rPr>
        <w:t xml:space="preserve"> ואת </w:t>
      </w:r>
      <w:bookmarkStart w:id="37978" w:name="_ETM_Q70_536479"/>
      <w:bookmarkEnd w:id="37978"/>
      <w:r>
        <w:rPr>
          <w:rFonts w:hint="cs"/>
          <w:rtl/>
        </w:rPr>
        <w:t xml:space="preserve">הפרוטקשן </w:t>
      </w:r>
      <w:bookmarkStart w:id="37979" w:name="_ETM_Q70_538670"/>
      <w:bookmarkEnd w:id="37979"/>
      <w:r>
        <w:rPr>
          <w:rFonts w:hint="cs"/>
          <w:rtl/>
        </w:rPr>
        <w:t>המשתולל.</w:t>
      </w:r>
      <w:bookmarkStart w:id="37980" w:name="_ETM_Q70_540552"/>
      <w:bookmarkStart w:id="37981" w:name="_ETM_Q70_540790"/>
      <w:bookmarkEnd w:id="37980"/>
      <w:bookmarkEnd w:id="37981"/>
    </w:p>
    <w:p w:rsidR="00BB59CD" w:rsidRDefault="00BB59CD" w:rsidP="00BB59CD">
      <w:pPr>
        <w:rPr>
          <w:rtl/>
        </w:rPr>
      </w:pPr>
    </w:p>
    <w:p w:rsidR="00BB59CD" w:rsidRDefault="00BB59CD" w:rsidP="00BF6FBE">
      <w:pPr>
        <w:rPr>
          <w:rtl/>
        </w:rPr>
      </w:pPr>
      <w:bookmarkStart w:id="37982" w:name="_ETM_Q70_552403"/>
      <w:bookmarkEnd w:id="37982"/>
      <w:r>
        <w:rPr>
          <w:rFonts w:hint="cs"/>
          <w:rtl/>
        </w:rPr>
        <w:t xml:space="preserve">במערכת </w:t>
      </w:r>
      <w:bookmarkStart w:id="37983" w:name="_ETM_Q70_541600"/>
      <w:bookmarkEnd w:id="37983"/>
      <w:r>
        <w:rPr>
          <w:rFonts w:hint="cs"/>
          <w:rtl/>
        </w:rPr>
        <w:t xml:space="preserve">החינוך, </w:t>
      </w:r>
      <w:bookmarkStart w:id="37984" w:name="_ETM_Q70_543140"/>
      <w:bookmarkEnd w:id="37984"/>
      <w:r>
        <w:rPr>
          <w:rFonts w:hint="cs"/>
          <w:rtl/>
        </w:rPr>
        <w:t xml:space="preserve">תלמידים </w:t>
      </w:r>
      <w:bookmarkStart w:id="37985" w:name="_ETM_Q70_543710"/>
      <w:bookmarkEnd w:id="37985"/>
      <w:r>
        <w:rPr>
          <w:rFonts w:hint="cs"/>
          <w:rtl/>
        </w:rPr>
        <w:t xml:space="preserve">השנה </w:t>
      </w:r>
      <w:bookmarkStart w:id="37986" w:name="_ETM_Q70_544490"/>
      <w:bookmarkEnd w:id="37986"/>
      <w:r>
        <w:rPr>
          <w:rFonts w:hint="cs"/>
          <w:rtl/>
        </w:rPr>
        <w:t xml:space="preserve">ניגשו </w:t>
      </w:r>
      <w:bookmarkStart w:id="37987" w:name="_ETM_Q70_544909"/>
      <w:bookmarkEnd w:id="37987"/>
      <w:r>
        <w:rPr>
          <w:rFonts w:hint="cs"/>
          <w:rtl/>
        </w:rPr>
        <w:t xml:space="preserve">לבגרות </w:t>
      </w:r>
      <w:bookmarkStart w:id="37988" w:name="_ETM_Q70_545390"/>
      <w:bookmarkEnd w:id="37988"/>
      <w:r>
        <w:rPr>
          <w:rFonts w:hint="cs"/>
          <w:rtl/>
        </w:rPr>
        <w:t xml:space="preserve">ללא </w:t>
      </w:r>
      <w:bookmarkStart w:id="37989" w:name="_ETM_Q70_545570"/>
      <w:bookmarkEnd w:id="37989"/>
      <w:r>
        <w:rPr>
          <w:rFonts w:hint="cs"/>
          <w:rtl/>
        </w:rPr>
        <w:t>ציוני</w:t>
      </w:r>
      <w:bookmarkStart w:id="37990" w:name="_ETM_Q70_544423"/>
      <w:bookmarkEnd w:id="37990"/>
      <w:r>
        <w:rPr>
          <w:rFonts w:hint="cs"/>
          <w:rtl/>
        </w:rPr>
        <w:t xml:space="preserve"> </w:t>
      </w:r>
      <w:bookmarkStart w:id="37991" w:name="_ETM_Q70_545930"/>
      <w:bookmarkEnd w:id="37991"/>
      <w:r>
        <w:rPr>
          <w:rFonts w:hint="cs"/>
          <w:rtl/>
        </w:rPr>
        <w:t xml:space="preserve">מגן, </w:t>
      </w:r>
      <w:bookmarkStart w:id="37992" w:name="_ETM_Q70_547009"/>
      <w:bookmarkEnd w:id="37992"/>
      <w:r>
        <w:rPr>
          <w:rFonts w:hint="cs"/>
          <w:rtl/>
        </w:rPr>
        <w:t xml:space="preserve">סיימו </w:t>
      </w:r>
      <w:bookmarkStart w:id="37993" w:name="_ETM_Q70_547399"/>
      <w:bookmarkEnd w:id="37993"/>
      <w:r>
        <w:rPr>
          <w:rFonts w:hint="cs"/>
          <w:rtl/>
        </w:rPr>
        <w:t xml:space="preserve">את </w:t>
      </w:r>
      <w:bookmarkStart w:id="37994" w:name="_ETM_Q70_547490"/>
      <w:bookmarkEnd w:id="37994"/>
      <w:r>
        <w:rPr>
          <w:rFonts w:hint="cs"/>
          <w:rtl/>
        </w:rPr>
        <w:t xml:space="preserve">שנת </w:t>
      </w:r>
      <w:bookmarkStart w:id="37995" w:name="_ETM_Q70_547759"/>
      <w:bookmarkEnd w:id="37995"/>
      <w:r>
        <w:rPr>
          <w:rFonts w:hint="cs"/>
          <w:rtl/>
        </w:rPr>
        <w:t xml:space="preserve">הלימודים </w:t>
      </w:r>
      <w:bookmarkStart w:id="37996" w:name="_ETM_Q70_548659"/>
      <w:bookmarkEnd w:id="37996"/>
      <w:r>
        <w:rPr>
          <w:rFonts w:hint="cs"/>
          <w:rtl/>
        </w:rPr>
        <w:t xml:space="preserve">ללא </w:t>
      </w:r>
      <w:bookmarkStart w:id="37997" w:name="_ETM_Q70_548990"/>
      <w:bookmarkEnd w:id="37997"/>
      <w:r>
        <w:rPr>
          <w:rFonts w:hint="cs"/>
          <w:rtl/>
        </w:rPr>
        <w:t xml:space="preserve">תעודה, </w:t>
      </w:r>
      <w:bookmarkStart w:id="37998" w:name="_ETM_Q70_550210"/>
      <w:bookmarkEnd w:id="37998"/>
      <w:r>
        <w:rPr>
          <w:rFonts w:hint="cs"/>
          <w:rtl/>
        </w:rPr>
        <w:t xml:space="preserve">וגורל </w:t>
      </w:r>
      <w:bookmarkStart w:id="37999" w:name="_ETM_Q70_550990"/>
      <w:bookmarkEnd w:id="37999"/>
      <w:r>
        <w:rPr>
          <w:rFonts w:hint="cs"/>
          <w:rtl/>
        </w:rPr>
        <w:t xml:space="preserve">שנת </w:t>
      </w:r>
      <w:bookmarkStart w:id="38000" w:name="_ETM_Q70_551290"/>
      <w:bookmarkEnd w:id="38000"/>
      <w:r>
        <w:rPr>
          <w:rFonts w:hint="cs"/>
          <w:rtl/>
        </w:rPr>
        <w:t xml:space="preserve">הלימודים </w:t>
      </w:r>
      <w:bookmarkStart w:id="38001" w:name="_ETM_Q70_551740"/>
      <w:bookmarkEnd w:id="38001"/>
      <w:r>
        <w:rPr>
          <w:rFonts w:hint="cs"/>
          <w:rtl/>
        </w:rPr>
        <w:t xml:space="preserve">הבאה </w:t>
      </w:r>
      <w:bookmarkStart w:id="38002" w:name="_ETM_Q70_552550"/>
      <w:bookmarkEnd w:id="38002"/>
      <w:r>
        <w:rPr>
          <w:rFonts w:hint="cs"/>
          <w:rtl/>
        </w:rPr>
        <w:t xml:space="preserve">לוט </w:t>
      </w:r>
      <w:bookmarkStart w:id="38003" w:name="_ETM_Q70_552850"/>
      <w:bookmarkEnd w:id="38003"/>
      <w:r>
        <w:rPr>
          <w:rFonts w:hint="cs"/>
          <w:rtl/>
        </w:rPr>
        <w:t xml:space="preserve">בערפל. </w:t>
      </w:r>
      <w:bookmarkStart w:id="38004" w:name="_ETM_Q70_555130"/>
      <w:bookmarkStart w:id="38005" w:name="_ETM_Q70_555220"/>
      <w:bookmarkStart w:id="38006" w:name="_ETM_Q70_554914"/>
      <w:bookmarkEnd w:id="38004"/>
      <w:bookmarkEnd w:id="38005"/>
      <w:bookmarkEnd w:id="38006"/>
      <w:r>
        <w:rPr>
          <w:rFonts w:hint="cs"/>
          <w:rtl/>
        </w:rPr>
        <w:t xml:space="preserve">ומעל </w:t>
      </w:r>
      <w:bookmarkStart w:id="38007" w:name="_ETM_Q70_555520"/>
      <w:bookmarkEnd w:id="38007"/>
      <w:r>
        <w:rPr>
          <w:rFonts w:hint="cs"/>
          <w:rtl/>
        </w:rPr>
        <w:t xml:space="preserve">ראשם </w:t>
      </w:r>
      <w:bookmarkStart w:id="38008" w:name="_ETM_Q70_556060"/>
      <w:bookmarkEnd w:id="38008"/>
      <w:r>
        <w:rPr>
          <w:rFonts w:hint="cs"/>
          <w:rtl/>
        </w:rPr>
        <w:t xml:space="preserve">של </w:t>
      </w:r>
      <w:bookmarkStart w:id="38009" w:name="_ETM_Q70_556240"/>
      <w:bookmarkEnd w:id="38009"/>
      <w:r>
        <w:rPr>
          <w:rFonts w:hint="cs"/>
          <w:rtl/>
        </w:rPr>
        <w:t xml:space="preserve">התלמידים </w:t>
      </w:r>
      <w:bookmarkStart w:id="38010" w:name="_ETM_Q70_556750"/>
      <w:bookmarkEnd w:id="38010"/>
      <w:r>
        <w:rPr>
          <w:rFonts w:hint="cs"/>
          <w:rtl/>
        </w:rPr>
        <w:t xml:space="preserve">האלה, </w:t>
      </w:r>
      <w:bookmarkStart w:id="38011" w:name="_ETM_Q70_557049"/>
      <w:bookmarkEnd w:id="38011"/>
      <w:r>
        <w:rPr>
          <w:rFonts w:hint="cs"/>
          <w:rtl/>
        </w:rPr>
        <w:t xml:space="preserve">תלמידי </w:t>
      </w:r>
      <w:bookmarkStart w:id="38012" w:name="_ETM_Q70_557470"/>
      <w:bookmarkEnd w:id="38012"/>
      <w:r>
        <w:rPr>
          <w:rFonts w:hint="cs"/>
          <w:rtl/>
        </w:rPr>
        <w:t xml:space="preserve">ישראל, </w:t>
      </w:r>
      <w:bookmarkStart w:id="38013" w:name="_ETM_Q70_557920"/>
      <w:bookmarkEnd w:id="38013"/>
      <w:r>
        <w:rPr>
          <w:rFonts w:hint="cs"/>
          <w:rtl/>
        </w:rPr>
        <w:t xml:space="preserve">מרחפת </w:t>
      </w:r>
      <w:bookmarkStart w:id="38014" w:name="_ETM_Q70_558430"/>
      <w:bookmarkEnd w:id="38014"/>
      <w:r>
        <w:rPr>
          <w:rFonts w:hint="cs"/>
          <w:rtl/>
        </w:rPr>
        <w:t xml:space="preserve">כמובן </w:t>
      </w:r>
      <w:bookmarkStart w:id="38015" w:name="_ETM_Q70_559299"/>
      <w:bookmarkEnd w:id="38015"/>
      <w:r>
        <w:rPr>
          <w:rFonts w:hint="cs"/>
          <w:rtl/>
        </w:rPr>
        <w:t xml:space="preserve">סכנת </w:t>
      </w:r>
      <w:bookmarkStart w:id="38016" w:name="_ETM_Q70_559900"/>
      <w:bookmarkEnd w:id="38016"/>
      <w:r>
        <w:rPr>
          <w:rFonts w:hint="cs"/>
          <w:rtl/>
        </w:rPr>
        <w:t xml:space="preserve">התוכניות </w:t>
      </w:r>
      <w:bookmarkStart w:id="38017" w:name="_ETM_Q70_560589"/>
      <w:bookmarkEnd w:id="38017"/>
      <w:r>
        <w:rPr>
          <w:rFonts w:hint="cs"/>
          <w:rtl/>
        </w:rPr>
        <w:t>ושטיפ</w:t>
      </w:r>
      <w:r w:rsidR="00BF6FBE">
        <w:rPr>
          <w:rFonts w:hint="cs"/>
          <w:rtl/>
        </w:rPr>
        <w:t>ו</w:t>
      </w:r>
      <w:r>
        <w:rPr>
          <w:rFonts w:hint="cs"/>
          <w:rtl/>
        </w:rPr>
        <w:t xml:space="preserve">ת </w:t>
      </w:r>
      <w:bookmarkStart w:id="38018" w:name="_ETM_Q70_561100"/>
      <w:bookmarkEnd w:id="38018"/>
      <w:r>
        <w:rPr>
          <w:rFonts w:hint="cs"/>
          <w:rtl/>
        </w:rPr>
        <w:t xml:space="preserve">המוח </w:t>
      </w:r>
      <w:bookmarkStart w:id="38019" w:name="_ETM_Q70_561790"/>
      <w:bookmarkEnd w:id="38019"/>
      <w:r>
        <w:rPr>
          <w:rFonts w:hint="cs"/>
          <w:rtl/>
        </w:rPr>
        <w:t>האנטי</w:t>
      </w:r>
      <w:bookmarkStart w:id="38020" w:name="_ETM_Q70_562240"/>
      <w:bookmarkStart w:id="38021" w:name="_ETM_Q70_559602"/>
      <w:bookmarkEnd w:id="38020"/>
      <w:bookmarkEnd w:id="38021"/>
      <w:r>
        <w:rPr>
          <w:rFonts w:hint="cs"/>
          <w:rtl/>
        </w:rPr>
        <w:t xml:space="preserve">-להט"ביות </w:t>
      </w:r>
      <w:bookmarkStart w:id="38022" w:name="_ETM_Q70_562630"/>
      <w:bookmarkStart w:id="38023" w:name="_ETM_Q70_562960"/>
      <w:bookmarkEnd w:id="38022"/>
      <w:bookmarkEnd w:id="38023"/>
      <w:r>
        <w:rPr>
          <w:rFonts w:hint="cs"/>
          <w:rtl/>
        </w:rPr>
        <w:t>והמיזוג</w:t>
      </w:r>
      <w:bookmarkStart w:id="38024" w:name="_ETM_Q70_563529"/>
      <w:bookmarkEnd w:id="38024"/>
      <w:r>
        <w:rPr>
          <w:rFonts w:hint="cs"/>
          <w:rtl/>
        </w:rPr>
        <w:t>נ</w:t>
      </w:r>
      <w:bookmarkStart w:id="38025" w:name="_ETM_Q70_562211"/>
      <w:bookmarkEnd w:id="38025"/>
      <w:r>
        <w:rPr>
          <w:rFonts w:hint="cs"/>
          <w:rtl/>
        </w:rPr>
        <w:t xml:space="preserve">יות </w:t>
      </w:r>
      <w:bookmarkStart w:id="38026" w:name="_ETM_Q70_564100"/>
      <w:bookmarkEnd w:id="38026"/>
      <w:r>
        <w:rPr>
          <w:rFonts w:hint="cs"/>
          <w:rtl/>
        </w:rPr>
        <w:t xml:space="preserve">של </w:t>
      </w:r>
      <w:bookmarkStart w:id="38027" w:name="_ETM_Q70_564339"/>
      <w:bookmarkEnd w:id="38027"/>
      <w:r>
        <w:rPr>
          <w:rFonts w:hint="cs"/>
          <w:rtl/>
        </w:rPr>
        <w:t xml:space="preserve">אבי </w:t>
      </w:r>
      <w:bookmarkStart w:id="38028" w:name="_ETM_Q70_564580"/>
      <w:bookmarkEnd w:id="38028"/>
      <w:r>
        <w:rPr>
          <w:rFonts w:hint="cs"/>
          <w:rtl/>
        </w:rPr>
        <w:t xml:space="preserve">מעוז, </w:t>
      </w:r>
      <w:bookmarkStart w:id="38029" w:name="_ETM_Q70_565060"/>
      <w:bookmarkEnd w:id="38029"/>
      <w:r>
        <w:rPr>
          <w:rFonts w:hint="cs"/>
          <w:rtl/>
        </w:rPr>
        <w:t xml:space="preserve">סגן </w:t>
      </w:r>
      <w:bookmarkStart w:id="38030" w:name="_ETM_Q70_565479"/>
      <w:bookmarkEnd w:id="38030"/>
      <w:r>
        <w:rPr>
          <w:rFonts w:hint="cs"/>
          <w:rtl/>
        </w:rPr>
        <w:t xml:space="preserve">שר </w:t>
      </w:r>
      <w:bookmarkStart w:id="38031" w:name="_ETM_Q70_565810"/>
      <w:bookmarkEnd w:id="38031"/>
      <w:r>
        <w:rPr>
          <w:rFonts w:hint="cs"/>
          <w:rtl/>
        </w:rPr>
        <w:t xml:space="preserve">במדינת </w:t>
      </w:r>
      <w:bookmarkStart w:id="38032" w:name="_ETM_Q70_566320"/>
      <w:bookmarkEnd w:id="38032"/>
      <w:r>
        <w:rPr>
          <w:rFonts w:hint="cs"/>
          <w:rtl/>
        </w:rPr>
        <w:t>ישראל</w:t>
      </w:r>
      <w:bookmarkStart w:id="38033" w:name="_ETM_Q70_566081"/>
      <w:bookmarkEnd w:id="38033"/>
      <w:r w:rsidR="00BF6FBE">
        <w:rPr>
          <w:rFonts w:hint="cs"/>
          <w:rtl/>
        </w:rPr>
        <w:t>,</w:t>
      </w:r>
      <w:r>
        <w:rPr>
          <w:rFonts w:hint="cs"/>
          <w:rtl/>
        </w:rPr>
        <w:t xml:space="preserve"> </w:t>
      </w:r>
      <w:bookmarkStart w:id="38034" w:name="_ETM_Q70_567729"/>
      <w:bookmarkEnd w:id="38034"/>
      <w:r>
        <w:rPr>
          <w:rFonts w:hint="cs"/>
          <w:rtl/>
        </w:rPr>
        <w:t xml:space="preserve">איש </w:t>
      </w:r>
      <w:bookmarkStart w:id="38035" w:name="_ETM_Q70_567970"/>
      <w:bookmarkEnd w:id="38035"/>
      <w:r>
        <w:rPr>
          <w:rFonts w:hint="cs"/>
          <w:rtl/>
        </w:rPr>
        <w:t xml:space="preserve">חשוך </w:t>
      </w:r>
      <w:bookmarkStart w:id="38036" w:name="_ETM_Q70_568839"/>
      <w:bookmarkEnd w:id="38036"/>
      <w:r>
        <w:rPr>
          <w:rFonts w:hint="cs"/>
          <w:rtl/>
        </w:rPr>
        <w:t xml:space="preserve">שקיבל </w:t>
      </w:r>
      <w:bookmarkStart w:id="38037" w:name="_ETM_Q70_569450"/>
      <w:bookmarkEnd w:id="38037"/>
      <w:r>
        <w:rPr>
          <w:rFonts w:hint="cs"/>
          <w:rtl/>
        </w:rPr>
        <w:t xml:space="preserve">תקציב </w:t>
      </w:r>
      <w:bookmarkStart w:id="38038" w:name="_ETM_Q70_570140"/>
      <w:bookmarkEnd w:id="38038"/>
      <w:r>
        <w:rPr>
          <w:rFonts w:hint="cs"/>
          <w:rtl/>
        </w:rPr>
        <w:t xml:space="preserve">להשפיע </w:t>
      </w:r>
      <w:bookmarkStart w:id="38039" w:name="_ETM_Q70_570799"/>
      <w:bookmarkEnd w:id="38039"/>
      <w:r>
        <w:rPr>
          <w:rFonts w:hint="cs"/>
          <w:rtl/>
        </w:rPr>
        <w:t xml:space="preserve">על </w:t>
      </w:r>
      <w:bookmarkStart w:id="38040" w:name="_ETM_Q70_570890"/>
      <w:bookmarkEnd w:id="38040"/>
      <w:r>
        <w:rPr>
          <w:rFonts w:hint="cs"/>
          <w:rtl/>
        </w:rPr>
        <w:t xml:space="preserve">חינוך </w:t>
      </w:r>
      <w:bookmarkStart w:id="38041" w:name="_ETM_Q70_571219"/>
      <w:bookmarkEnd w:id="38041"/>
      <w:r>
        <w:rPr>
          <w:rFonts w:hint="cs"/>
          <w:rtl/>
        </w:rPr>
        <w:t xml:space="preserve">הילדים </w:t>
      </w:r>
      <w:bookmarkStart w:id="38042" w:name="_ETM_Q70_571640"/>
      <w:bookmarkEnd w:id="38042"/>
      <w:r>
        <w:rPr>
          <w:rFonts w:hint="cs"/>
          <w:rtl/>
        </w:rPr>
        <w:t xml:space="preserve">שלנו, </w:t>
      </w:r>
      <w:bookmarkStart w:id="38043" w:name="_ETM_Q70_572450"/>
      <w:bookmarkEnd w:id="38043"/>
      <w:r>
        <w:rPr>
          <w:rFonts w:hint="cs"/>
          <w:rtl/>
        </w:rPr>
        <w:t xml:space="preserve">כן, </w:t>
      </w:r>
      <w:bookmarkStart w:id="38044" w:name="_ETM_Q70_572990"/>
      <w:bookmarkEnd w:id="38044"/>
      <w:r>
        <w:rPr>
          <w:rFonts w:hint="cs"/>
          <w:rtl/>
        </w:rPr>
        <w:t xml:space="preserve">הילדים </w:t>
      </w:r>
      <w:bookmarkStart w:id="38045" w:name="_ETM_Q70_573469"/>
      <w:bookmarkEnd w:id="38045"/>
      <w:r>
        <w:rPr>
          <w:rFonts w:hint="cs"/>
          <w:rtl/>
        </w:rPr>
        <w:t>שלנו</w:t>
      </w:r>
      <w:bookmarkStart w:id="38046" w:name="_ETM_Q70_572421"/>
      <w:bookmarkEnd w:id="38046"/>
      <w:r>
        <w:rPr>
          <w:rFonts w:hint="cs"/>
          <w:rtl/>
        </w:rPr>
        <w:t xml:space="preserve">, </w:t>
      </w:r>
      <w:bookmarkStart w:id="38047" w:name="_ETM_Q70_574189"/>
      <w:bookmarkEnd w:id="38047"/>
      <w:r>
        <w:rPr>
          <w:rFonts w:hint="cs"/>
          <w:rtl/>
        </w:rPr>
        <w:t xml:space="preserve">כן, </w:t>
      </w:r>
      <w:bookmarkStart w:id="38048" w:name="_ETM_Q70_574700"/>
      <w:bookmarkEnd w:id="38048"/>
      <w:r>
        <w:rPr>
          <w:rFonts w:hint="cs"/>
          <w:rtl/>
        </w:rPr>
        <w:t xml:space="preserve">גם </w:t>
      </w:r>
      <w:bookmarkStart w:id="38049" w:name="_ETM_Q70_575000"/>
      <w:bookmarkEnd w:id="38049"/>
      <w:r>
        <w:rPr>
          <w:rFonts w:hint="cs"/>
          <w:rtl/>
        </w:rPr>
        <w:t xml:space="preserve">הילדים </w:t>
      </w:r>
      <w:bookmarkStart w:id="38050" w:name="_ETM_Q70_575360"/>
      <w:bookmarkEnd w:id="38050"/>
      <w:r>
        <w:rPr>
          <w:rFonts w:hint="cs"/>
          <w:rtl/>
        </w:rPr>
        <w:t xml:space="preserve">שלך, </w:t>
      </w:r>
      <w:bookmarkStart w:id="38051" w:name="_ETM_Q70_575689"/>
      <w:bookmarkEnd w:id="38051"/>
      <w:r>
        <w:rPr>
          <w:rFonts w:hint="cs"/>
          <w:rtl/>
        </w:rPr>
        <w:t xml:space="preserve">אדוני </w:t>
      </w:r>
      <w:bookmarkStart w:id="38052" w:name="_ETM_Q70_575990"/>
      <w:bookmarkEnd w:id="38052"/>
      <w:r>
        <w:rPr>
          <w:rFonts w:hint="cs"/>
          <w:rtl/>
        </w:rPr>
        <w:t>היושב-ראש.</w:t>
      </w:r>
      <w:bookmarkStart w:id="38053" w:name="_ETM_Q70_579560"/>
      <w:bookmarkEnd w:id="38053"/>
    </w:p>
    <w:p w:rsidR="00BB59CD" w:rsidRDefault="00BB59CD" w:rsidP="00BB59CD">
      <w:pPr>
        <w:rPr>
          <w:rtl/>
        </w:rPr>
      </w:pPr>
    </w:p>
    <w:p w:rsidR="00BB59CD" w:rsidRDefault="00BB59CD" w:rsidP="00BF6FBE">
      <w:pPr>
        <w:rPr>
          <w:rtl/>
        </w:rPr>
      </w:pPr>
      <w:bookmarkStart w:id="38054" w:name="_ETM_Q70_574741"/>
      <w:bookmarkEnd w:id="38054"/>
      <w:r>
        <w:rPr>
          <w:rFonts w:hint="cs"/>
          <w:rtl/>
        </w:rPr>
        <w:t xml:space="preserve">זכויות </w:t>
      </w:r>
      <w:bookmarkStart w:id="38055" w:name="_ETM_Q70_579980"/>
      <w:bookmarkEnd w:id="38055"/>
      <w:r>
        <w:rPr>
          <w:rFonts w:hint="cs"/>
          <w:rtl/>
        </w:rPr>
        <w:t xml:space="preserve">נשים </w:t>
      </w:r>
      <w:bookmarkStart w:id="38056" w:name="_ETM_Q70_580370"/>
      <w:bookmarkEnd w:id="38056"/>
      <w:r>
        <w:rPr>
          <w:rFonts w:hint="cs"/>
          <w:rtl/>
        </w:rPr>
        <w:t xml:space="preserve">נרמסות. </w:t>
      </w:r>
      <w:bookmarkStart w:id="38057" w:name="_ETM_Q70_581439"/>
      <w:bookmarkEnd w:id="38057"/>
      <w:r>
        <w:rPr>
          <w:rFonts w:hint="cs"/>
          <w:rtl/>
        </w:rPr>
        <w:t xml:space="preserve">מפרקים </w:t>
      </w:r>
      <w:bookmarkStart w:id="38058" w:name="_ETM_Q70_581920"/>
      <w:bookmarkEnd w:id="38058"/>
      <w:r>
        <w:rPr>
          <w:rFonts w:hint="cs"/>
          <w:rtl/>
        </w:rPr>
        <w:t xml:space="preserve">את </w:t>
      </w:r>
      <w:bookmarkStart w:id="38059" w:name="_ETM_Q70_582009"/>
      <w:bookmarkEnd w:id="38059"/>
      <w:r>
        <w:rPr>
          <w:rFonts w:hint="cs"/>
          <w:rtl/>
        </w:rPr>
        <w:t xml:space="preserve">הרשות </w:t>
      </w:r>
      <w:bookmarkStart w:id="38060" w:name="_ETM_Q70_582369"/>
      <w:bookmarkEnd w:id="38060"/>
      <w:r>
        <w:rPr>
          <w:rFonts w:hint="cs"/>
          <w:rtl/>
        </w:rPr>
        <w:t xml:space="preserve">לקידום </w:t>
      </w:r>
      <w:bookmarkStart w:id="38061" w:name="_ETM_Q70_582759"/>
      <w:bookmarkEnd w:id="38061"/>
      <w:r>
        <w:rPr>
          <w:rFonts w:hint="cs"/>
          <w:rtl/>
        </w:rPr>
        <w:t xml:space="preserve">מעמד </w:t>
      </w:r>
      <w:bookmarkStart w:id="38062" w:name="_ETM_Q70_583089"/>
      <w:bookmarkEnd w:id="38062"/>
      <w:r>
        <w:rPr>
          <w:rFonts w:hint="cs"/>
          <w:rtl/>
        </w:rPr>
        <w:t>האישה,</w:t>
      </w:r>
      <w:bookmarkStart w:id="38063" w:name="_ETM_Q70_582630"/>
      <w:bookmarkEnd w:id="38063"/>
      <w:r>
        <w:rPr>
          <w:rFonts w:hint="cs"/>
          <w:rtl/>
        </w:rPr>
        <w:t xml:space="preserve"> </w:t>
      </w:r>
      <w:bookmarkStart w:id="38064" w:name="_ETM_Q70_583829"/>
      <w:bookmarkEnd w:id="38064"/>
      <w:r>
        <w:rPr>
          <w:rFonts w:hint="cs"/>
          <w:rtl/>
        </w:rPr>
        <w:t xml:space="preserve">מכפיפים </w:t>
      </w:r>
      <w:bookmarkStart w:id="38065" w:name="_ETM_Q70_584490"/>
      <w:bookmarkEnd w:id="38065"/>
      <w:r>
        <w:rPr>
          <w:rFonts w:hint="cs"/>
          <w:rtl/>
        </w:rPr>
        <w:t xml:space="preserve">אותה </w:t>
      </w:r>
      <w:bookmarkStart w:id="38066" w:name="_ETM_Q70_584729"/>
      <w:bookmarkEnd w:id="38066"/>
      <w:r>
        <w:rPr>
          <w:rFonts w:hint="cs"/>
          <w:rtl/>
        </w:rPr>
        <w:t>לשרה</w:t>
      </w:r>
      <w:bookmarkStart w:id="38067" w:name="_ETM_Q70_585679"/>
      <w:bookmarkStart w:id="38068" w:name="_ETM_Q70_586189"/>
      <w:bookmarkEnd w:id="38067"/>
      <w:bookmarkEnd w:id="38068"/>
      <w:r>
        <w:rPr>
          <w:rFonts w:hint="cs"/>
          <w:rtl/>
        </w:rPr>
        <w:t xml:space="preserve"> שלצערי</w:t>
      </w:r>
      <w:bookmarkStart w:id="38069" w:name="_ETM_Q70_585320"/>
      <w:bookmarkEnd w:id="38069"/>
      <w:r>
        <w:rPr>
          <w:rFonts w:hint="cs"/>
          <w:rtl/>
        </w:rPr>
        <w:t xml:space="preserve"> </w:t>
      </w:r>
      <w:bookmarkStart w:id="38070" w:name="_ETM_Q70_586789"/>
      <w:bookmarkEnd w:id="38070"/>
      <w:r>
        <w:rPr>
          <w:rFonts w:hint="cs"/>
          <w:rtl/>
        </w:rPr>
        <w:t xml:space="preserve">אין </w:t>
      </w:r>
      <w:bookmarkStart w:id="38071" w:name="_ETM_Q70_586999"/>
      <w:bookmarkEnd w:id="38071"/>
      <w:r>
        <w:rPr>
          <w:rFonts w:hint="cs"/>
          <w:rtl/>
        </w:rPr>
        <w:t xml:space="preserve">לה כל </w:t>
      </w:r>
      <w:bookmarkStart w:id="38072" w:name="_ETM_Q70_587210"/>
      <w:bookmarkEnd w:id="38072"/>
      <w:r>
        <w:rPr>
          <w:rFonts w:hint="cs"/>
          <w:rtl/>
        </w:rPr>
        <w:t xml:space="preserve">רצון </w:t>
      </w:r>
      <w:bookmarkStart w:id="38073" w:name="_ETM_Q70_587630"/>
      <w:bookmarkEnd w:id="38073"/>
      <w:r>
        <w:rPr>
          <w:rFonts w:hint="cs"/>
          <w:rtl/>
        </w:rPr>
        <w:t xml:space="preserve">וכוונה </w:t>
      </w:r>
      <w:bookmarkStart w:id="38074" w:name="_ETM_Q70_588200"/>
      <w:bookmarkEnd w:id="38074"/>
      <w:r>
        <w:rPr>
          <w:rFonts w:hint="cs"/>
          <w:rtl/>
        </w:rPr>
        <w:t xml:space="preserve">לקדם </w:t>
      </w:r>
      <w:bookmarkStart w:id="38075" w:name="_ETM_Q70_588710"/>
      <w:bookmarkEnd w:id="38075"/>
      <w:r>
        <w:rPr>
          <w:rFonts w:hint="cs"/>
          <w:rtl/>
        </w:rPr>
        <w:t xml:space="preserve">נשים. </w:t>
      </w:r>
      <w:bookmarkStart w:id="38076" w:name="_ETM_Q70_589759"/>
      <w:bookmarkEnd w:id="38076"/>
      <w:r>
        <w:rPr>
          <w:rFonts w:hint="cs"/>
          <w:rtl/>
        </w:rPr>
        <w:t xml:space="preserve">מעכבים </w:t>
      </w:r>
      <w:bookmarkStart w:id="38077" w:name="_ETM_Q70_590299"/>
      <w:bookmarkEnd w:id="38077"/>
      <w:r>
        <w:rPr>
          <w:rFonts w:hint="cs"/>
          <w:rtl/>
        </w:rPr>
        <w:t xml:space="preserve">ומסרסים </w:t>
      </w:r>
      <w:bookmarkStart w:id="38078" w:name="_ETM_Q70_590929"/>
      <w:bookmarkEnd w:id="38078"/>
      <w:r>
        <w:rPr>
          <w:rFonts w:hint="cs"/>
          <w:rtl/>
        </w:rPr>
        <w:t xml:space="preserve">את </w:t>
      </w:r>
      <w:bookmarkStart w:id="38079" w:name="_ETM_Q70_591049"/>
      <w:bookmarkEnd w:id="38079"/>
      <w:r>
        <w:rPr>
          <w:rFonts w:hint="cs"/>
          <w:rtl/>
        </w:rPr>
        <w:t xml:space="preserve">חוק </w:t>
      </w:r>
      <w:bookmarkStart w:id="38080" w:name="_ETM_Q70_591289"/>
      <w:bookmarkEnd w:id="38080"/>
      <w:r>
        <w:rPr>
          <w:rFonts w:hint="cs"/>
          <w:rtl/>
        </w:rPr>
        <w:t xml:space="preserve">האיזוק </w:t>
      </w:r>
      <w:bookmarkStart w:id="38081" w:name="_ETM_Q70_591679"/>
      <w:bookmarkEnd w:id="38081"/>
      <w:r>
        <w:rPr>
          <w:rFonts w:hint="cs"/>
          <w:rtl/>
        </w:rPr>
        <w:t>האלקטרוני - - -</w:t>
      </w:r>
    </w:p>
    <w:p w:rsidR="00BB59CD" w:rsidRDefault="00BB59CD" w:rsidP="00BB59CD">
      <w:pPr>
        <w:rPr>
          <w:rtl/>
        </w:rPr>
      </w:pPr>
    </w:p>
    <w:p w:rsidR="00BB59CD" w:rsidRDefault="00BB59CD" w:rsidP="00BB59CD">
      <w:pPr>
        <w:pStyle w:val="af8"/>
        <w:keepNext/>
        <w:rPr>
          <w:rtl/>
        </w:rPr>
      </w:pPr>
      <w:bookmarkStart w:id="38082" w:name="ET_interruption_6559_5"/>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38082"/>
    </w:p>
    <w:p w:rsidR="00BB59CD" w:rsidRDefault="00BB59CD" w:rsidP="00337201">
      <w:pPr>
        <w:rPr>
          <w:rtl/>
        </w:rPr>
      </w:pPr>
    </w:p>
    <w:p w:rsidR="00BB59CD" w:rsidRDefault="00BB59CD" w:rsidP="00BB59CD">
      <w:pPr>
        <w:rPr>
          <w:rtl/>
        </w:rPr>
      </w:pPr>
      <w:bookmarkStart w:id="38083" w:name="_ETM_Q70_589600"/>
      <w:bookmarkEnd w:id="38083"/>
      <w:r>
        <w:rPr>
          <w:rFonts w:hint="cs"/>
          <w:rtl/>
        </w:rPr>
        <w:t>או שא</w:t>
      </w:r>
      <w:bookmarkStart w:id="38084" w:name="_ETM_Q70_591836"/>
      <w:bookmarkStart w:id="38085" w:name="_ETM_Q70_590349"/>
      <w:bookmarkEnd w:id="38084"/>
      <w:bookmarkEnd w:id="38085"/>
      <w:r>
        <w:rPr>
          <w:rFonts w:hint="cs"/>
          <w:rtl/>
        </w:rPr>
        <w:t xml:space="preserve">ת החלטת </w:t>
      </w:r>
      <w:bookmarkStart w:id="38086" w:name="_ETM_Q70_590089"/>
      <w:bookmarkEnd w:id="38086"/>
      <w:r>
        <w:rPr>
          <w:rFonts w:hint="cs"/>
          <w:rtl/>
        </w:rPr>
        <w:t>שאני לא יו</w:t>
      </w:r>
      <w:bookmarkStart w:id="38087" w:name="_ETM_Q70_592849"/>
      <w:bookmarkEnd w:id="38087"/>
      <w:r>
        <w:rPr>
          <w:rFonts w:hint="cs"/>
          <w:rtl/>
        </w:rPr>
        <w:t xml:space="preserve">דעת לקדם נשים. מזל שאמרת </w:t>
      </w:r>
      <w:bookmarkStart w:id="38088" w:name="_ETM_Q70_594619"/>
      <w:bookmarkEnd w:id="38088"/>
      <w:r>
        <w:rPr>
          <w:rFonts w:hint="cs"/>
          <w:rtl/>
        </w:rPr>
        <w:t xml:space="preserve">לי </w:t>
      </w:r>
      <w:bookmarkStart w:id="38089" w:name="_ETM_Q70_595355"/>
      <w:bookmarkEnd w:id="38089"/>
      <w:r>
        <w:rPr>
          <w:rFonts w:hint="cs"/>
          <w:rtl/>
        </w:rPr>
        <w:t xml:space="preserve">את זה באמת, אחרת </w:t>
      </w:r>
      <w:bookmarkStart w:id="38090" w:name="_ETM_Q70_595270"/>
      <w:bookmarkEnd w:id="38090"/>
      <w:r>
        <w:rPr>
          <w:rFonts w:hint="cs"/>
          <w:rtl/>
        </w:rPr>
        <w:t>הייתי באמת לא מקדמת נשים לפי מה שאת אומרת.</w:t>
      </w:r>
      <w:bookmarkStart w:id="38091" w:name="_ETM_Q70_596790"/>
      <w:bookmarkEnd w:id="38091"/>
    </w:p>
    <w:p w:rsidR="00BB59CD" w:rsidRDefault="00BB59CD" w:rsidP="00BB59CD">
      <w:pPr>
        <w:rPr>
          <w:rtl/>
        </w:rPr>
      </w:pPr>
      <w:bookmarkStart w:id="38092" w:name="_ETM_Q70_596986"/>
      <w:bookmarkStart w:id="38093" w:name="_ETM_Q70_597072"/>
      <w:bookmarkEnd w:id="38092"/>
      <w:bookmarkEnd w:id="38093"/>
    </w:p>
    <w:p w:rsidR="00BB59CD" w:rsidRDefault="00BB59CD" w:rsidP="00BB59CD">
      <w:pPr>
        <w:pStyle w:val="-"/>
        <w:keepNext/>
        <w:rPr>
          <w:rtl/>
        </w:rPr>
      </w:pPr>
      <w:bookmarkStart w:id="38094" w:name="ET_speakercontinue_6359_6"/>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bookmarkEnd w:id="38094"/>
    </w:p>
    <w:p w:rsidR="00BB59CD" w:rsidRDefault="00BB59CD" w:rsidP="00337201">
      <w:pPr>
        <w:rPr>
          <w:rtl/>
        </w:rPr>
      </w:pPr>
    </w:p>
    <w:p w:rsidR="00BB59CD" w:rsidRDefault="00BB59CD" w:rsidP="00BF6FBE">
      <w:pPr>
        <w:rPr>
          <w:rtl/>
        </w:rPr>
      </w:pPr>
      <w:bookmarkStart w:id="38095" w:name="_ETM_Q70_598777"/>
      <w:bookmarkStart w:id="38096" w:name="_ETM_Q70_597600"/>
      <w:bookmarkStart w:id="38097" w:name="_ETM_Q70_597990"/>
      <w:bookmarkStart w:id="38098" w:name="_ETM_Q70_598110"/>
      <w:bookmarkStart w:id="38099" w:name="_ETM_Q70_598620"/>
      <w:bookmarkStart w:id="38100" w:name="_ETM_Q70_599010"/>
      <w:bookmarkStart w:id="38101" w:name="_ETM_Q70_599790"/>
      <w:bookmarkEnd w:id="38095"/>
      <w:bookmarkEnd w:id="38096"/>
      <w:bookmarkEnd w:id="38097"/>
      <w:bookmarkEnd w:id="38098"/>
      <w:bookmarkEnd w:id="38099"/>
      <w:bookmarkEnd w:id="38100"/>
      <w:bookmarkEnd w:id="38101"/>
      <w:r>
        <w:rPr>
          <w:rFonts w:hint="cs"/>
          <w:rtl/>
        </w:rPr>
        <w:t xml:space="preserve">יש </w:t>
      </w:r>
      <w:bookmarkStart w:id="38102" w:name="_ETM_Q70_599970"/>
      <w:bookmarkEnd w:id="38102"/>
      <w:r>
        <w:rPr>
          <w:rFonts w:hint="cs"/>
          <w:rtl/>
        </w:rPr>
        <w:t xml:space="preserve">כל </w:t>
      </w:r>
      <w:bookmarkStart w:id="38103" w:name="_ETM_Q70_600150"/>
      <w:bookmarkEnd w:id="38103"/>
      <w:r>
        <w:rPr>
          <w:rFonts w:hint="cs"/>
          <w:rtl/>
        </w:rPr>
        <w:t xml:space="preserve">כך </w:t>
      </w:r>
      <w:bookmarkStart w:id="38104" w:name="_ETM_Q70_600390"/>
      <w:bookmarkEnd w:id="38104"/>
      <w:r>
        <w:rPr>
          <w:rFonts w:hint="cs"/>
          <w:rtl/>
        </w:rPr>
        <w:t xml:space="preserve">הרבה </w:t>
      </w:r>
      <w:bookmarkStart w:id="38105" w:name="_ETM_Q70_600660"/>
      <w:bookmarkEnd w:id="38105"/>
      <w:r>
        <w:rPr>
          <w:rFonts w:hint="cs"/>
          <w:rtl/>
        </w:rPr>
        <w:t xml:space="preserve">חוקים </w:t>
      </w:r>
      <w:bookmarkStart w:id="38106" w:name="_ETM_Q70_601020"/>
      <w:bookmarkEnd w:id="38106"/>
      <w:r>
        <w:rPr>
          <w:rFonts w:hint="cs"/>
          <w:rtl/>
        </w:rPr>
        <w:t>בקנה</w:t>
      </w:r>
      <w:bookmarkStart w:id="38107" w:name="_ETM_Q70_599630"/>
      <w:bookmarkEnd w:id="38107"/>
      <w:r>
        <w:rPr>
          <w:rFonts w:hint="cs"/>
          <w:rtl/>
        </w:rPr>
        <w:t xml:space="preserve"> </w:t>
      </w:r>
      <w:bookmarkStart w:id="38108" w:name="_ETM_Q70_601830"/>
      <w:bookmarkEnd w:id="38108"/>
      <w:r>
        <w:rPr>
          <w:rFonts w:hint="cs"/>
          <w:rtl/>
        </w:rPr>
        <w:t xml:space="preserve">שרק </w:t>
      </w:r>
      <w:bookmarkStart w:id="38109" w:name="_ETM_Q70_602160"/>
      <w:bookmarkEnd w:id="38109"/>
      <w:r>
        <w:rPr>
          <w:rFonts w:hint="cs"/>
          <w:rtl/>
        </w:rPr>
        <w:t xml:space="preserve">יכולת </w:t>
      </w:r>
      <w:bookmarkStart w:id="38110" w:name="_ETM_Q70_602550"/>
      <w:bookmarkEnd w:id="38110"/>
      <w:r>
        <w:rPr>
          <w:rFonts w:hint="cs"/>
          <w:rtl/>
        </w:rPr>
        <w:t xml:space="preserve">לקטוף </w:t>
      </w:r>
      <w:bookmarkStart w:id="38111" w:name="_ETM_Q70_602970"/>
      <w:bookmarkEnd w:id="38111"/>
      <w:r>
        <w:rPr>
          <w:rFonts w:hint="cs"/>
          <w:rtl/>
        </w:rPr>
        <w:t xml:space="preserve">אותם </w:t>
      </w:r>
      <w:bookmarkStart w:id="38112" w:name="_ETM_Q70_603300"/>
      <w:bookmarkEnd w:id="38112"/>
      <w:r>
        <w:rPr>
          <w:rFonts w:hint="cs"/>
          <w:rtl/>
        </w:rPr>
        <w:t xml:space="preserve">וליהנות, </w:t>
      </w:r>
      <w:bookmarkStart w:id="38113" w:name="_ETM_Q70_604170"/>
      <w:bookmarkEnd w:id="38113"/>
      <w:r>
        <w:rPr>
          <w:rFonts w:hint="cs"/>
          <w:rtl/>
        </w:rPr>
        <w:t xml:space="preserve">ולזכות </w:t>
      </w:r>
      <w:bookmarkStart w:id="38114" w:name="_ETM_Q70_604770"/>
      <w:bookmarkEnd w:id="38114"/>
      <w:r>
        <w:rPr>
          <w:rFonts w:hint="cs"/>
          <w:rtl/>
        </w:rPr>
        <w:t xml:space="preserve">בהערכה </w:t>
      </w:r>
      <w:bookmarkStart w:id="38115" w:name="_ETM_Q70_605250"/>
      <w:bookmarkEnd w:id="38115"/>
      <w:r>
        <w:rPr>
          <w:rFonts w:hint="cs"/>
          <w:rtl/>
        </w:rPr>
        <w:t>וכבוד.</w:t>
      </w:r>
    </w:p>
    <w:p w:rsidR="00BB59CD" w:rsidRDefault="00BB59CD" w:rsidP="00BB59CD">
      <w:pPr>
        <w:rPr>
          <w:rtl/>
        </w:rPr>
      </w:pPr>
    </w:p>
    <w:p w:rsidR="00BB59CD" w:rsidRDefault="00BB59CD" w:rsidP="00BB59CD">
      <w:pPr>
        <w:pStyle w:val="af8"/>
        <w:keepNext/>
        <w:rPr>
          <w:rtl/>
        </w:rPr>
      </w:pPr>
      <w:bookmarkStart w:id="38116" w:name="ET_interruption_6559_7"/>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38116"/>
    </w:p>
    <w:p w:rsidR="00BB59CD" w:rsidRDefault="00BB59CD" w:rsidP="00337201">
      <w:pPr>
        <w:rPr>
          <w:rtl/>
        </w:rPr>
      </w:pPr>
    </w:p>
    <w:p w:rsidR="00BB59CD" w:rsidRDefault="00BB59CD" w:rsidP="00BB59CD">
      <w:pPr>
        <w:rPr>
          <w:rtl/>
        </w:rPr>
      </w:pPr>
      <w:bookmarkStart w:id="38117" w:name="_ETM_Q70_608065"/>
      <w:bookmarkStart w:id="38118" w:name="_ETM_Q70_603670"/>
      <w:bookmarkStart w:id="38119" w:name="_ETM_Q70_603430"/>
      <w:bookmarkEnd w:id="38117"/>
      <w:bookmarkEnd w:id="38118"/>
      <w:bookmarkEnd w:id="38119"/>
      <w:r>
        <w:rPr>
          <w:rFonts w:hint="cs"/>
          <w:rtl/>
        </w:rPr>
        <w:t xml:space="preserve">מזלי שאני לא שואלת </w:t>
      </w:r>
      <w:bookmarkStart w:id="38120" w:name="_ETM_Q70_604160"/>
      <w:bookmarkEnd w:id="38120"/>
      <w:r>
        <w:rPr>
          <w:rFonts w:hint="cs"/>
          <w:rtl/>
        </w:rPr>
        <w:t>א</w:t>
      </w:r>
      <w:bookmarkStart w:id="38121" w:name="_ETM_Q70_603209"/>
      <w:bookmarkEnd w:id="38121"/>
      <w:r>
        <w:rPr>
          <w:rFonts w:hint="cs"/>
          <w:rtl/>
        </w:rPr>
        <w:t>תכם</w:t>
      </w:r>
      <w:bookmarkStart w:id="38122" w:name="_ETM_Q70_656526"/>
      <w:bookmarkEnd w:id="38122"/>
      <w:r>
        <w:rPr>
          <w:rFonts w:hint="cs"/>
          <w:rtl/>
        </w:rPr>
        <w:t xml:space="preserve"> מה לקטוף </w:t>
      </w:r>
      <w:bookmarkStart w:id="38123" w:name="_ETM_Q70_607237"/>
      <w:bookmarkEnd w:id="38123"/>
      <w:r>
        <w:rPr>
          <w:rFonts w:hint="cs"/>
          <w:rtl/>
        </w:rPr>
        <w:t xml:space="preserve">וממה </w:t>
      </w:r>
      <w:bookmarkStart w:id="38124" w:name="_ETM_Q70_606030"/>
      <w:bookmarkEnd w:id="38124"/>
      <w:r>
        <w:rPr>
          <w:rFonts w:hint="cs"/>
          <w:rtl/>
        </w:rPr>
        <w:t>ליהנות</w:t>
      </w:r>
      <w:bookmarkStart w:id="38125" w:name="_ETM_Q70_604900"/>
      <w:bookmarkEnd w:id="38125"/>
      <w:r>
        <w:rPr>
          <w:rFonts w:hint="cs"/>
          <w:rtl/>
        </w:rPr>
        <w:t>.</w:t>
      </w:r>
      <w:bookmarkStart w:id="38126" w:name="_ETM_Q70_605889"/>
      <w:bookmarkStart w:id="38127" w:name="_ETM_Q70_607371"/>
      <w:bookmarkEnd w:id="38126"/>
      <w:bookmarkEnd w:id="38127"/>
    </w:p>
    <w:p w:rsidR="00BB59CD" w:rsidRDefault="00BB59CD" w:rsidP="00BB59CD">
      <w:pPr>
        <w:rPr>
          <w:rtl/>
        </w:rPr>
      </w:pPr>
      <w:bookmarkStart w:id="38128" w:name="_ETM_Q70_607673"/>
      <w:bookmarkStart w:id="38129" w:name="_ETM_Q70_607758"/>
      <w:bookmarkEnd w:id="38128"/>
      <w:bookmarkEnd w:id="38129"/>
    </w:p>
    <w:p w:rsidR="00BB59CD" w:rsidRDefault="00BB59CD" w:rsidP="00BB59CD">
      <w:pPr>
        <w:pStyle w:val="-"/>
        <w:keepNext/>
        <w:rPr>
          <w:rtl/>
        </w:rPr>
      </w:pPr>
      <w:bookmarkStart w:id="38130" w:name="ET_speakercontinue_6359_8"/>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bookmarkEnd w:id="38130"/>
    </w:p>
    <w:p w:rsidR="00BB59CD" w:rsidRDefault="00BB59CD" w:rsidP="00337201">
      <w:pPr>
        <w:rPr>
          <w:rtl/>
        </w:rPr>
      </w:pPr>
    </w:p>
    <w:p w:rsidR="00BB59CD" w:rsidRDefault="00BB59CD" w:rsidP="00BB59CD">
      <w:pPr>
        <w:rPr>
          <w:rtl/>
        </w:rPr>
      </w:pPr>
      <w:bookmarkStart w:id="38131" w:name="_ETM_Q70_609698"/>
      <w:bookmarkEnd w:id="38131"/>
      <w:r>
        <w:rPr>
          <w:rFonts w:hint="cs"/>
          <w:rtl/>
        </w:rPr>
        <w:t>אז בהצלחה לך, גברתי</w:t>
      </w:r>
      <w:bookmarkStart w:id="38132" w:name="_ETM_Q70_606777"/>
      <w:bookmarkEnd w:id="38132"/>
      <w:r>
        <w:rPr>
          <w:rFonts w:hint="cs"/>
          <w:rtl/>
        </w:rPr>
        <w:t xml:space="preserve"> השרה.</w:t>
      </w:r>
    </w:p>
    <w:p w:rsidR="00BB59CD" w:rsidRDefault="00BB59CD" w:rsidP="00BB59CD">
      <w:pPr>
        <w:rPr>
          <w:rtl/>
        </w:rPr>
      </w:pPr>
      <w:bookmarkStart w:id="38133" w:name="_ETM_Q70_606613"/>
      <w:bookmarkStart w:id="38134" w:name="_ETM_Q70_606720"/>
      <w:bookmarkStart w:id="38135" w:name="_ETM_Q70_606487"/>
      <w:bookmarkEnd w:id="38133"/>
      <w:bookmarkEnd w:id="38134"/>
      <w:bookmarkEnd w:id="38135"/>
    </w:p>
    <w:p w:rsidR="00BB59CD" w:rsidRDefault="00BB59CD" w:rsidP="00BB59CD">
      <w:pPr>
        <w:pStyle w:val="af8"/>
        <w:keepNext/>
        <w:rPr>
          <w:rtl/>
        </w:rPr>
      </w:pPr>
      <w:bookmarkStart w:id="38136" w:name="ET_interruption_6559_9"/>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38136"/>
    </w:p>
    <w:p w:rsidR="00BB59CD" w:rsidRDefault="00BB59CD" w:rsidP="00337201">
      <w:pPr>
        <w:rPr>
          <w:rtl/>
        </w:rPr>
      </w:pPr>
    </w:p>
    <w:p w:rsidR="00BB59CD" w:rsidRDefault="00BB59CD" w:rsidP="00BB59CD">
      <w:pPr>
        <w:rPr>
          <w:rtl/>
        </w:rPr>
      </w:pPr>
      <w:bookmarkStart w:id="38137" w:name="_ETM_Q70_610938"/>
      <w:bookmarkStart w:id="38138" w:name="_ETM_Q70_611283"/>
      <w:bookmarkEnd w:id="38137"/>
      <w:bookmarkEnd w:id="38138"/>
      <w:r>
        <w:rPr>
          <w:rFonts w:hint="cs"/>
          <w:rtl/>
        </w:rPr>
        <w:t xml:space="preserve">תודה רבה. </w:t>
      </w:r>
      <w:bookmarkStart w:id="38139" w:name="_ETM_Q70_610087"/>
      <w:bookmarkEnd w:id="38139"/>
      <w:r>
        <w:rPr>
          <w:rFonts w:hint="cs"/>
          <w:rtl/>
        </w:rPr>
        <w:t>גם לך</w:t>
      </w:r>
      <w:bookmarkStart w:id="38140" w:name="_ETM_Q70_613125"/>
      <w:bookmarkEnd w:id="38140"/>
      <w:r>
        <w:rPr>
          <w:rFonts w:hint="cs"/>
          <w:rtl/>
        </w:rPr>
        <w:t>. תודה</w:t>
      </w:r>
      <w:bookmarkStart w:id="38141" w:name="_ETM_Q70_610197"/>
      <w:bookmarkEnd w:id="38141"/>
      <w:r>
        <w:rPr>
          <w:rFonts w:hint="cs"/>
          <w:rtl/>
        </w:rPr>
        <w:t>.</w:t>
      </w:r>
    </w:p>
    <w:p w:rsidR="00BB59CD" w:rsidRDefault="00BB59CD" w:rsidP="00BB59CD">
      <w:pPr>
        <w:rPr>
          <w:rtl/>
        </w:rPr>
      </w:pPr>
      <w:bookmarkStart w:id="38142" w:name="_ETM_Q70_611593"/>
      <w:bookmarkStart w:id="38143" w:name="_ETM_Q70_611662"/>
      <w:bookmarkEnd w:id="38142"/>
      <w:bookmarkEnd w:id="38143"/>
    </w:p>
    <w:p w:rsidR="00BB59CD" w:rsidRDefault="00BB59CD" w:rsidP="00BB59CD">
      <w:pPr>
        <w:pStyle w:val="-"/>
        <w:keepNext/>
        <w:rPr>
          <w:rtl/>
        </w:rPr>
      </w:pPr>
      <w:bookmarkStart w:id="38144" w:name="ET_speakercontinue_6359_10"/>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bookmarkEnd w:id="38144"/>
    </w:p>
    <w:p w:rsidR="00BB59CD" w:rsidRDefault="00BB59CD" w:rsidP="00337201">
      <w:pPr>
        <w:rPr>
          <w:rtl/>
        </w:rPr>
      </w:pPr>
    </w:p>
    <w:p w:rsidR="00BB59CD" w:rsidRDefault="00BB59CD" w:rsidP="00BF6FBE">
      <w:pPr>
        <w:rPr>
          <w:rtl/>
        </w:rPr>
      </w:pPr>
      <w:bookmarkStart w:id="38145" w:name="_ETM_Q70_612457"/>
      <w:bookmarkStart w:id="38146" w:name="_ETM_Q70_606845"/>
      <w:bookmarkStart w:id="38147" w:name="_ETM_Q70_606923"/>
      <w:bookmarkStart w:id="38148" w:name="_ETM_Q70_602920"/>
      <w:bookmarkStart w:id="38149" w:name="_ETM_Q70_608319"/>
      <w:bookmarkStart w:id="38150" w:name="_ETM_Q70_608860"/>
      <w:bookmarkStart w:id="38151" w:name="_ETM_Q70_609010"/>
      <w:bookmarkStart w:id="38152" w:name="_ETM_Q70_609400"/>
      <w:bookmarkStart w:id="38153" w:name="_ETM_Q70_613120"/>
      <w:bookmarkEnd w:id="38145"/>
      <w:bookmarkEnd w:id="38146"/>
      <w:bookmarkEnd w:id="38147"/>
      <w:bookmarkEnd w:id="38148"/>
      <w:bookmarkEnd w:id="38149"/>
      <w:bookmarkEnd w:id="38150"/>
      <w:bookmarkEnd w:id="38151"/>
      <w:bookmarkEnd w:id="38152"/>
      <w:bookmarkEnd w:id="38153"/>
      <w:r>
        <w:rPr>
          <w:rFonts w:hint="cs"/>
          <w:rtl/>
        </w:rPr>
        <w:t xml:space="preserve">מעכבים </w:t>
      </w:r>
      <w:bookmarkStart w:id="38154" w:name="_ETM_Q70_613689"/>
      <w:bookmarkEnd w:id="38154"/>
      <w:r>
        <w:rPr>
          <w:rFonts w:hint="cs"/>
          <w:rtl/>
        </w:rPr>
        <w:t xml:space="preserve">ומסרסים </w:t>
      </w:r>
      <w:bookmarkStart w:id="38155" w:name="_ETM_Q70_614319"/>
      <w:bookmarkEnd w:id="38155"/>
      <w:r>
        <w:rPr>
          <w:rFonts w:hint="cs"/>
          <w:rtl/>
        </w:rPr>
        <w:t xml:space="preserve">את </w:t>
      </w:r>
      <w:bookmarkStart w:id="38156" w:name="_ETM_Q70_614439"/>
      <w:bookmarkEnd w:id="38156"/>
      <w:r>
        <w:rPr>
          <w:rFonts w:hint="cs"/>
          <w:rtl/>
        </w:rPr>
        <w:t xml:space="preserve">חוק </w:t>
      </w:r>
      <w:bookmarkStart w:id="38157" w:name="_ETM_Q70_614650"/>
      <w:bookmarkEnd w:id="38157"/>
      <w:r>
        <w:rPr>
          <w:rFonts w:hint="cs"/>
          <w:rtl/>
        </w:rPr>
        <w:t xml:space="preserve">האיזוק </w:t>
      </w:r>
      <w:bookmarkStart w:id="38158" w:name="_ETM_Q70_615010"/>
      <w:bookmarkEnd w:id="38158"/>
      <w:r>
        <w:rPr>
          <w:rFonts w:hint="cs"/>
          <w:rtl/>
        </w:rPr>
        <w:t xml:space="preserve">האלקטרוני, </w:t>
      </w:r>
      <w:bookmarkStart w:id="38159" w:name="_ETM_Q70_616290"/>
      <w:bookmarkEnd w:id="38159"/>
      <w:r>
        <w:rPr>
          <w:rFonts w:hint="cs"/>
          <w:rtl/>
        </w:rPr>
        <w:t xml:space="preserve">מרחיבים </w:t>
      </w:r>
      <w:bookmarkStart w:id="38160" w:name="_ETM_Q70_617040"/>
      <w:bookmarkEnd w:id="38160"/>
      <w:r>
        <w:rPr>
          <w:rFonts w:hint="cs"/>
          <w:rtl/>
        </w:rPr>
        <w:t xml:space="preserve">את </w:t>
      </w:r>
      <w:bookmarkStart w:id="38161" w:name="_ETM_Q70_617160"/>
      <w:bookmarkEnd w:id="38161"/>
      <w:r>
        <w:rPr>
          <w:rFonts w:hint="cs"/>
          <w:rtl/>
        </w:rPr>
        <w:t xml:space="preserve">סמכויות </w:t>
      </w:r>
      <w:bookmarkStart w:id="38162" w:name="_ETM_Q70_617760"/>
      <w:bookmarkEnd w:id="38162"/>
      <w:r>
        <w:rPr>
          <w:rFonts w:hint="cs"/>
          <w:rtl/>
        </w:rPr>
        <w:t xml:space="preserve">בתי </w:t>
      </w:r>
      <w:bookmarkStart w:id="38163" w:name="_ETM_Q70_618060"/>
      <w:bookmarkEnd w:id="38163"/>
      <w:r>
        <w:rPr>
          <w:rFonts w:hint="cs"/>
          <w:rtl/>
        </w:rPr>
        <w:t xml:space="preserve">הדין </w:t>
      </w:r>
      <w:bookmarkStart w:id="38164" w:name="_ETM_Q70_618360"/>
      <w:bookmarkEnd w:id="38164"/>
      <w:r>
        <w:rPr>
          <w:rFonts w:hint="cs"/>
          <w:rtl/>
        </w:rPr>
        <w:t xml:space="preserve">הרבניים, </w:t>
      </w:r>
      <w:bookmarkStart w:id="38165" w:name="_ETM_Q70_619890"/>
      <w:bookmarkEnd w:id="38165"/>
      <w:r>
        <w:rPr>
          <w:rFonts w:hint="cs"/>
          <w:rtl/>
        </w:rPr>
        <w:t xml:space="preserve">לא </w:t>
      </w:r>
      <w:bookmarkStart w:id="38166" w:name="_ETM_Q70_620250"/>
      <w:bookmarkEnd w:id="38166"/>
      <w:r>
        <w:rPr>
          <w:rFonts w:hint="cs"/>
          <w:rtl/>
        </w:rPr>
        <w:t xml:space="preserve">מצטרפים </w:t>
      </w:r>
      <w:bookmarkStart w:id="38167" w:name="_ETM_Q70_620970"/>
      <w:bookmarkEnd w:id="38167"/>
      <w:r>
        <w:rPr>
          <w:rFonts w:hint="cs"/>
          <w:rtl/>
        </w:rPr>
        <w:t xml:space="preserve">לאמנת </w:t>
      </w:r>
      <w:bookmarkStart w:id="38168" w:name="_ETM_Q70_621480"/>
      <w:bookmarkEnd w:id="38168"/>
      <w:r>
        <w:rPr>
          <w:rFonts w:hint="cs"/>
          <w:rtl/>
        </w:rPr>
        <w:t xml:space="preserve">איסטנבול, </w:t>
      </w:r>
      <w:bookmarkStart w:id="38169" w:name="_ETM_Q70_623489"/>
      <w:bookmarkEnd w:id="38169"/>
      <w:r>
        <w:rPr>
          <w:rFonts w:hint="cs"/>
          <w:rtl/>
        </w:rPr>
        <w:t xml:space="preserve">גונזים </w:t>
      </w:r>
      <w:bookmarkStart w:id="38170" w:name="_ETM_Q70_624090"/>
      <w:bookmarkEnd w:id="38170"/>
      <w:r>
        <w:rPr>
          <w:rFonts w:hint="cs"/>
          <w:rtl/>
        </w:rPr>
        <w:t xml:space="preserve">קמפיין </w:t>
      </w:r>
      <w:bookmarkStart w:id="38171" w:name="_ETM_Q70_624629"/>
      <w:bookmarkEnd w:id="38171"/>
      <w:r>
        <w:rPr>
          <w:rFonts w:hint="cs"/>
          <w:rtl/>
        </w:rPr>
        <w:t>ל</w:t>
      </w:r>
      <w:bookmarkStart w:id="38172" w:name="_ETM_Q70_625050"/>
      <w:bookmarkStart w:id="38173" w:name="_ETM_Q70_623657"/>
      <w:bookmarkEnd w:id="38172"/>
      <w:bookmarkEnd w:id="38173"/>
      <w:r>
        <w:rPr>
          <w:rFonts w:hint="cs"/>
          <w:rtl/>
        </w:rPr>
        <w:t xml:space="preserve">עידוד </w:t>
      </w:r>
      <w:bookmarkStart w:id="38174" w:name="_ETM_Q70_625500"/>
      <w:bookmarkEnd w:id="38174"/>
      <w:r>
        <w:rPr>
          <w:rFonts w:hint="cs"/>
          <w:rtl/>
        </w:rPr>
        <w:t xml:space="preserve">התמודדות </w:t>
      </w:r>
      <w:bookmarkStart w:id="38175" w:name="_ETM_Q70_626129"/>
      <w:bookmarkEnd w:id="38175"/>
      <w:r>
        <w:rPr>
          <w:rFonts w:hint="cs"/>
          <w:rtl/>
        </w:rPr>
        <w:t xml:space="preserve">נשים </w:t>
      </w:r>
      <w:bookmarkStart w:id="38176" w:name="_ETM_Q70_626400"/>
      <w:bookmarkEnd w:id="38176"/>
      <w:r>
        <w:rPr>
          <w:rFonts w:hint="cs"/>
          <w:rtl/>
        </w:rPr>
        <w:t xml:space="preserve">בבחירות </w:t>
      </w:r>
      <w:bookmarkStart w:id="38177" w:name="_ETM_Q70_626819"/>
      <w:bookmarkEnd w:id="38177"/>
      <w:r>
        <w:rPr>
          <w:rFonts w:hint="cs"/>
          <w:rtl/>
        </w:rPr>
        <w:t xml:space="preserve">המוניציפליות </w:t>
      </w:r>
      <w:bookmarkStart w:id="38178" w:name="_ETM_Q70_627540"/>
      <w:bookmarkEnd w:id="38178"/>
      <w:r>
        <w:rPr>
          <w:rFonts w:hint="cs"/>
          <w:rtl/>
        </w:rPr>
        <w:t xml:space="preserve">שקורות </w:t>
      </w:r>
      <w:bookmarkStart w:id="38179" w:name="_ETM_Q70_627870"/>
      <w:bookmarkEnd w:id="38179"/>
      <w:r>
        <w:rPr>
          <w:rFonts w:hint="cs"/>
          <w:rtl/>
        </w:rPr>
        <w:t xml:space="preserve">ב-31 </w:t>
      </w:r>
      <w:bookmarkStart w:id="38180" w:name="_ETM_Q70_628620"/>
      <w:bookmarkEnd w:id="38180"/>
      <w:r>
        <w:rPr>
          <w:rFonts w:hint="cs"/>
          <w:rtl/>
        </w:rPr>
        <w:t xml:space="preserve">באוקטובר. </w:t>
      </w:r>
      <w:bookmarkStart w:id="38181" w:name="_ETM_Q70_631770"/>
      <w:bookmarkEnd w:id="38181"/>
      <w:r>
        <w:rPr>
          <w:rFonts w:hint="cs"/>
          <w:rtl/>
        </w:rPr>
        <w:t xml:space="preserve">גם </w:t>
      </w:r>
      <w:bookmarkStart w:id="38182" w:name="_ETM_Q70_632070"/>
      <w:bookmarkEnd w:id="38182"/>
      <w:r>
        <w:rPr>
          <w:rFonts w:hint="cs"/>
          <w:rtl/>
        </w:rPr>
        <w:t>חוק</w:t>
      </w:r>
      <w:bookmarkStart w:id="38183" w:name="_ETM_Q70_632340"/>
      <w:bookmarkStart w:id="38184" w:name="_ETM_Q70_631226"/>
      <w:bookmarkEnd w:id="38183"/>
      <w:bookmarkEnd w:id="38184"/>
      <w:r>
        <w:rPr>
          <w:rFonts w:hint="cs"/>
          <w:rtl/>
        </w:rPr>
        <w:t xml:space="preserve">ים </w:t>
      </w:r>
      <w:bookmarkStart w:id="38185" w:name="_ETM_Q70_632640"/>
      <w:bookmarkEnd w:id="38185"/>
      <w:r>
        <w:rPr>
          <w:rFonts w:hint="cs"/>
          <w:rtl/>
        </w:rPr>
        <w:t xml:space="preserve">שניסיתי </w:t>
      </w:r>
      <w:bookmarkStart w:id="38186" w:name="_ETM_Q70_633120"/>
      <w:bookmarkEnd w:id="38186"/>
      <w:r>
        <w:rPr>
          <w:rFonts w:hint="cs"/>
          <w:rtl/>
        </w:rPr>
        <w:t xml:space="preserve">להגיש </w:t>
      </w:r>
      <w:bookmarkStart w:id="38187" w:name="_ETM_Q70_633690"/>
      <w:bookmarkEnd w:id="38187"/>
      <w:r>
        <w:rPr>
          <w:rFonts w:hint="cs"/>
          <w:rtl/>
        </w:rPr>
        <w:t>ל</w:t>
      </w:r>
      <w:bookmarkStart w:id="38188" w:name="_ETM_Q70_634200"/>
      <w:bookmarkEnd w:id="38188"/>
      <w:r>
        <w:rPr>
          <w:rFonts w:hint="cs"/>
          <w:rtl/>
        </w:rPr>
        <w:t xml:space="preserve">עידוד </w:t>
      </w:r>
      <w:bookmarkStart w:id="38189" w:name="_ETM_Q70_634440"/>
      <w:bookmarkEnd w:id="38189"/>
      <w:r>
        <w:rPr>
          <w:rFonts w:hint="cs"/>
          <w:rtl/>
        </w:rPr>
        <w:t>נשים</w:t>
      </w:r>
      <w:bookmarkStart w:id="38190" w:name="_ETM_Q70_632607"/>
      <w:bookmarkEnd w:id="38190"/>
      <w:r>
        <w:rPr>
          <w:rFonts w:hint="cs"/>
          <w:rtl/>
        </w:rPr>
        <w:t xml:space="preserve"> </w:t>
      </w:r>
      <w:bookmarkStart w:id="38191" w:name="_ETM_Q70_635040"/>
      <w:bookmarkEnd w:id="38191"/>
      <w:r>
        <w:rPr>
          <w:rFonts w:hint="cs"/>
          <w:rtl/>
        </w:rPr>
        <w:t xml:space="preserve">לא </w:t>
      </w:r>
      <w:bookmarkStart w:id="38192" w:name="_ETM_Q70_635280"/>
      <w:bookmarkEnd w:id="38192"/>
      <w:r>
        <w:rPr>
          <w:rFonts w:hint="cs"/>
          <w:rtl/>
        </w:rPr>
        <w:t xml:space="preserve">עברו </w:t>
      </w:r>
      <w:bookmarkStart w:id="38193" w:name="_ETM_Q70_635550"/>
      <w:bookmarkEnd w:id="38193"/>
      <w:r>
        <w:rPr>
          <w:rFonts w:hint="cs"/>
          <w:rtl/>
        </w:rPr>
        <w:t xml:space="preserve">את </w:t>
      </w:r>
      <w:bookmarkStart w:id="38194" w:name="_ETM_Q70_635670"/>
      <w:bookmarkEnd w:id="38194"/>
      <w:r>
        <w:rPr>
          <w:rFonts w:hint="cs"/>
          <w:rtl/>
        </w:rPr>
        <w:t xml:space="preserve">הממשלה </w:t>
      </w:r>
      <w:bookmarkStart w:id="38195" w:name="_ETM_Q70_636120"/>
      <w:bookmarkEnd w:id="38195"/>
      <w:r>
        <w:rPr>
          <w:rFonts w:hint="cs"/>
          <w:rtl/>
        </w:rPr>
        <w:t>הזאת.</w:t>
      </w:r>
      <w:bookmarkStart w:id="38196" w:name="_ETM_Q70_637840"/>
      <w:bookmarkEnd w:id="38196"/>
      <w:r>
        <w:rPr>
          <w:rFonts w:hint="cs"/>
          <w:rtl/>
        </w:rPr>
        <w:t xml:space="preserve"> </w:t>
      </w:r>
      <w:bookmarkStart w:id="38197" w:name="_ETM_Q70_636479"/>
      <w:bookmarkStart w:id="38198" w:name="_ETM_Q70_636528"/>
      <w:bookmarkStart w:id="38199" w:name="_ETM_Q70_636648"/>
      <w:bookmarkStart w:id="38200" w:name="_ETM_Q70_636698"/>
      <w:bookmarkStart w:id="38201" w:name="_ETM_Q70_655576"/>
      <w:bookmarkEnd w:id="38197"/>
      <w:bookmarkEnd w:id="38198"/>
      <w:bookmarkEnd w:id="38199"/>
      <w:bookmarkEnd w:id="38200"/>
      <w:bookmarkEnd w:id="38201"/>
      <w:r>
        <w:rPr>
          <w:rFonts w:hint="cs"/>
          <w:rtl/>
        </w:rPr>
        <w:t xml:space="preserve">מבקשים </w:t>
      </w:r>
      <w:bookmarkStart w:id="38202" w:name="_ETM_Q70_638350"/>
      <w:bookmarkEnd w:id="38202"/>
      <w:r>
        <w:rPr>
          <w:rFonts w:hint="cs"/>
          <w:rtl/>
        </w:rPr>
        <w:t xml:space="preserve">לאפשר </w:t>
      </w:r>
      <w:bookmarkStart w:id="38203" w:name="_ETM_Q70_638710"/>
      <w:bookmarkEnd w:id="38203"/>
      <w:r>
        <w:rPr>
          <w:rFonts w:hint="cs"/>
          <w:rtl/>
        </w:rPr>
        <w:t xml:space="preserve">אפליה </w:t>
      </w:r>
      <w:bookmarkStart w:id="38204" w:name="_ETM_Q70_639130"/>
      <w:bookmarkEnd w:id="38204"/>
      <w:r>
        <w:rPr>
          <w:rFonts w:hint="cs"/>
          <w:rtl/>
        </w:rPr>
        <w:t xml:space="preserve">במתן </w:t>
      </w:r>
      <w:bookmarkStart w:id="38205" w:name="_ETM_Q70_639550"/>
      <w:bookmarkEnd w:id="38205"/>
      <w:r>
        <w:rPr>
          <w:rFonts w:hint="cs"/>
          <w:rtl/>
        </w:rPr>
        <w:t xml:space="preserve">שירותים </w:t>
      </w:r>
      <w:bookmarkStart w:id="38206" w:name="_ETM_Q70_640420"/>
      <w:bookmarkEnd w:id="38206"/>
      <w:r>
        <w:rPr>
          <w:rFonts w:hint="cs"/>
          <w:rtl/>
        </w:rPr>
        <w:t xml:space="preserve">והפרדה </w:t>
      </w:r>
      <w:bookmarkStart w:id="38207" w:name="_ETM_Q70_641170"/>
      <w:bookmarkEnd w:id="38207"/>
      <w:r>
        <w:rPr>
          <w:rFonts w:hint="cs"/>
          <w:rtl/>
        </w:rPr>
        <w:t xml:space="preserve">במרחב </w:t>
      </w:r>
      <w:bookmarkStart w:id="38208" w:name="_ETM_Q70_641680"/>
      <w:bookmarkEnd w:id="38208"/>
      <w:r>
        <w:rPr>
          <w:rFonts w:hint="cs"/>
          <w:rtl/>
        </w:rPr>
        <w:t xml:space="preserve">הציבורי, </w:t>
      </w:r>
      <w:bookmarkStart w:id="38209" w:name="_ETM_Q70_643580"/>
      <w:bookmarkEnd w:id="38209"/>
      <w:r>
        <w:rPr>
          <w:rFonts w:hint="cs"/>
          <w:rtl/>
        </w:rPr>
        <w:t xml:space="preserve">מבטלים </w:t>
      </w:r>
      <w:bookmarkStart w:id="38210" w:name="_ETM_Q70_644120"/>
      <w:bookmarkEnd w:id="38210"/>
      <w:r>
        <w:rPr>
          <w:rFonts w:hint="cs"/>
          <w:rtl/>
        </w:rPr>
        <w:t xml:space="preserve">פנייה </w:t>
      </w:r>
      <w:bookmarkStart w:id="38211" w:name="_ETM_Q70_645080"/>
      <w:bookmarkEnd w:id="38211"/>
      <w:r>
        <w:rPr>
          <w:rFonts w:hint="cs"/>
          <w:rtl/>
        </w:rPr>
        <w:t xml:space="preserve">בשפה </w:t>
      </w:r>
      <w:bookmarkStart w:id="38212" w:name="_ETM_Q70_646069"/>
      <w:bookmarkEnd w:id="38212"/>
      <w:r>
        <w:rPr>
          <w:rFonts w:hint="cs"/>
          <w:rtl/>
        </w:rPr>
        <w:t>רב</w:t>
      </w:r>
      <w:bookmarkStart w:id="38213" w:name="_ETM_Q70_646400"/>
      <w:bookmarkEnd w:id="38213"/>
      <w:r>
        <w:rPr>
          <w:rFonts w:hint="cs"/>
          <w:rtl/>
        </w:rPr>
        <w:t xml:space="preserve">-מגדרית </w:t>
      </w:r>
      <w:bookmarkStart w:id="38214" w:name="_ETM_Q70_647719"/>
      <w:bookmarkEnd w:id="38214"/>
      <w:r>
        <w:rPr>
          <w:rFonts w:hint="cs"/>
          <w:rtl/>
        </w:rPr>
        <w:t xml:space="preserve">במכרזים, </w:t>
      </w:r>
      <w:bookmarkStart w:id="38215" w:name="_ETM_Q70_649670"/>
      <w:bookmarkEnd w:id="38215"/>
      <w:r>
        <w:rPr>
          <w:rFonts w:hint="cs"/>
          <w:rtl/>
        </w:rPr>
        <w:t xml:space="preserve">פוגעים </w:t>
      </w:r>
      <w:bookmarkStart w:id="38216" w:name="_ETM_Q70_650300"/>
      <w:bookmarkEnd w:id="38216"/>
      <w:r>
        <w:rPr>
          <w:rFonts w:hint="cs"/>
          <w:rtl/>
        </w:rPr>
        <w:t xml:space="preserve">בייצוג </w:t>
      </w:r>
      <w:bookmarkStart w:id="38217" w:name="_ETM_Q70_650959"/>
      <w:bookmarkStart w:id="38218" w:name="_ETM_Q70_651319"/>
      <w:bookmarkStart w:id="38219" w:name="_ETM_Q70_651680"/>
      <w:bookmarkStart w:id="38220" w:name="_ETM_Q70_650426"/>
      <w:bookmarkEnd w:id="38217"/>
      <w:bookmarkEnd w:id="38218"/>
      <w:bookmarkEnd w:id="38219"/>
      <w:bookmarkEnd w:id="38220"/>
      <w:r>
        <w:rPr>
          <w:rFonts w:hint="cs"/>
          <w:rtl/>
        </w:rPr>
        <w:t xml:space="preserve">הנשי </w:t>
      </w:r>
      <w:bookmarkStart w:id="38221" w:name="_ETM_Q70_652040"/>
      <w:bookmarkEnd w:id="38221"/>
      <w:r>
        <w:rPr>
          <w:rFonts w:hint="cs"/>
          <w:rtl/>
        </w:rPr>
        <w:t xml:space="preserve">לבחירת </w:t>
      </w:r>
      <w:bookmarkStart w:id="38222" w:name="_ETM_Q70_652580"/>
      <w:bookmarkEnd w:id="38222"/>
      <w:r>
        <w:rPr>
          <w:rFonts w:hint="cs"/>
          <w:rtl/>
        </w:rPr>
        <w:t xml:space="preserve">רבני </w:t>
      </w:r>
      <w:bookmarkStart w:id="38223" w:name="_ETM_Q70_652970"/>
      <w:bookmarkEnd w:id="38223"/>
      <w:r>
        <w:rPr>
          <w:rFonts w:hint="cs"/>
          <w:rtl/>
        </w:rPr>
        <w:t xml:space="preserve">ערים </w:t>
      </w:r>
      <w:bookmarkStart w:id="38224" w:name="_ETM_Q70_653630"/>
      <w:bookmarkEnd w:id="38224"/>
      <w:r>
        <w:rPr>
          <w:rFonts w:hint="cs"/>
          <w:rtl/>
        </w:rPr>
        <w:t xml:space="preserve">ועוד </w:t>
      </w:r>
      <w:bookmarkStart w:id="38225" w:name="_ETM_Q70_654590"/>
      <w:bookmarkEnd w:id="38225"/>
      <w:r>
        <w:rPr>
          <w:rFonts w:hint="cs"/>
          <w:rtl/>
        </w:rPr>
        <w:t xml:space="preserve">ועוד </w:t>
      </w:r>
      <w:bookmarkStart w:id="38226" w:name="_ETM_Q70_655370"/>
      <w:bookmarkEnd w:id="38226"/>
      <w:r>
        <w:rPr>
          <w:rFonts w:hint="cs"/>
          <w:rtl/>
        </w:rPr>
        <w:t>ועוד.</w:t>
      </w:r>
      <w:bookmarkStart w:id="38227" w:name="_ETM_Q70_657010"/>
      <w:bookmarkEnd w:id="38227"/>
    </w:p>
    <w:p w:rsidR="00BB59CD" w:rsidRDefault="00BB59CD" w:rsidP="00BB59CD">
      <w:pPr>
        <w:rPr>
          <w:rtl/>
        </w:rPr>
      </w:pPr>
    </w:p>
    <w:p w:rsidR="00BB59CD" w:rsidRDefault="00BB59CD" w:rsidP="00BB59CD">
      <w:pPr>
        <w:rPr>
          <w:rtl/>
        </w:rPr>
      </w:pPr>
      <w:r>
        <w:rPr>
          <w:rFonts w:hint="cs"/>
          <w:rtl/>
        </w:rPr>
        <w:t xml:space="preserve">כמובן </w:t>
      </w:r>
      <w:bookmarkStart w:id="38228" w:name="_ETM_Q70_657460"/>
      <w:bookmarkEnd w:id="38228"/>
      <w:r>
        <w:rPr>
          <w:rFonts w:hint="cs"/>
          <w:rtl/>
        </w:rPr>
        <w:t xml:space="preserve">שמאיימים </w:t>
      </w:r>
      <w:bookmarkStart w:id="38229" w:name="_ETM_Q70_657970"/>
      <w:bookmarkEnd w:id="38229"/>
      <w:r>
        <w:rPr>
          <w:rFonts w:hint="cs"/>
          <w:rtl/>
        </w:rPr>
        <w:t xml:space="preserve">על </w:t>
      </w:r>
      <w:bookmarkStart w:id="38230" w:name="_ETM_Q70_658060"/>
      <w:bookmarkEnd w:id="38230"/>
      <w:r>
        <w:rPr>
          <w:rFonts w:hint="cs"/>
          <w:rtl/>
        </w:rPr>
        <w:t>ע</w:t>
      </w:r>
      <w:bookmarkStart w:id="38231" w:name="_ETM_Q70_656546"/>
      <w:bookmarkEnd w:id="38231"/>
      <w:r>
        <w:rPr>
          <w:rFonts w:hint="cs"/>
          <w:rtl/>
        </w:rPr>
        <w:t xml:space="preserve">רוצי </w:t>
      </w:r>
      <w:bookmarkStart w:id="38232" w:name="_ETM_Q70_658390"/>
      <w:bookmarkEnd w:id="38232"/>
      <w:r>
        <w:rPr>
          <w:rFonts w:hint="cs"/>
          <w:rtl/>
        </w:rPr>
        <w:t xml:space="preserve">התקשורת </w:t>
      </w:r>
      <w:bookmarkStart w:id="38233" w:name="_ETM_Q70_658930"/>
      <w:bookmarkEnd w:id="38233"/>
      <w:r>
        <w:rPr>
          <w:rFonts w:hint="cs"/>
          <w:rtl/>
        </w:rPr>
        <w:t>העצמאיים,</w:t>
      </w:r>
      <w:bookmarkStart w:id="38234" w:name="_ETM_Q70_660318"/>
      <w:bookmarkEnd w:id="38234"/>
      <w:r>
        <w:rPr>
          <w:rFonts w:hint="cs"/>
          <w:rtl/>
        </w:rPr>
        <w:t xml:space="preserve"> </w:t>
      </w:r>
      <w:bookmarkStart w:id="38235" w:name="_ETM_Q70_660040"/>
      <w:bookmarkEnd w:id="38235"/>
      <w:r>
        <w:rPr>
          <w:rFonts w:hint="cs"/>
          <w:rtl/>
        </w:rPr>
        <w:t xml:space="preserve">ומחזקים </w:t>
      </w:r>
      <w:bookmarkStart w:id="38236" w:name="_ETM_Q70_660880"/>
      <w:bookmarkEnd w:id="38236"/>
      <w:r>
        <w:rPr>
          <w:rFonts w:hint="cs"/>
          <w:rtl/>
        </w:rPr>
        <w:t xml:space="preserve">את </w:t>
      </w:r>
      <w:bookmarkStart w:id="38237" w:name="_ETM_Q70_661030"/>
      <w:bookmarkEnd w:id="38237"/>
      <w:r>
        <w:rPr>
          <w:rFonts w:hint="cs"/>
          <w:rtl/>
        </w:rPr>
        <w:t>ה</w:t>
      </w:r>
      <w:bookmarkStart w:id="38238" w:name="_ETM_Q70_659616"/>
      <w:bookmarkEnd w:id="38238"/>
      <w:r>
        <w:rPr>
          <w:rFonts w:hint="cs"/>
          <w:rtl/>
        </w:rPr>
        <w:t xml:space="preserve">שופר </w:t>
      </w:r>
      <w:bookmarkStart w:id="38239" w:name="_ETM_Q70_661540"/>
      <w:bookmarkEnd w:id="38239"/>
      <w:r>
        <w:rPr>
          <w:rFonts w:hint="cs"/>
          <w:rtl/>
        </w:rPr>
        <w:t xml:space="preserve">השלטוני, </w:t>
      </w:r>
      <w:bookmarkStart w:id="38240" w:name="_ETM_Q70_662569"/>
      <w:bookmarkEnd w:id="38240"/>
      <w:r>
        <w:rPr>
          <w:rFonts w:hint="cs"/>
          <w:rtl/>
        </w:rPr>
        <w:t xml:space="preserve">את </w:t>
      </w:r>
      <w:bookmarkStart w:id="38241" w:name="_ETM_Q70_662750"/>
      <w:bookmarkEnd w:id="38241"/>
      <w:r>
        <w:rPr>
          <w:rFonts w:hint="cs"/>
          <w:rtl/>
        </w:rPr>
        <w:t xml:space="preserve">ערוץ </w:t>
      </w:r>
      <w:bookmarkStart w:id="38242" w:name="_ETM_Q70_663080"/>
      <w:bookmarkEnd w:id="38242"/>
      <w:r>
        <w:rPr>
          <w:rFonts w:hint="cs"/>
          <w:rtl/>
        </w:rPr>
        <w:t xml:space="preserve">14. </w:t>
      </w:r>
      <w:bookmarkStart w:id="38243" w:name="_ETM_Q70_665700"/>
      <w:bookmarkEnd w:id="38243"/>
      <w:r>
        <w:rPr>
          <w:rFonts w:hint="cs"/>
          <w:rtl/>
        </w:rPr>
        <w:t xml:space="preserve">מאיימים </w:t>
      </w:r>
      <w:bookmarkStart w:id="38244" w:name="_ETM_Q70_666209"/>
      <w:bookmarkEnd w:id="38244"/>
      <w:r>
        <w:rPr>
          <w:rFonts w:hint="cs"/>
          <w:rtl/>
        </w:rPr>
        <w:t xml:space="preserve">על </w:t>
      </w:r>
      <w:bookmarkStart w:id="38245" w:name="_ETM_Q70_666300"/>
      <w:bookmarkEnd w:id="38245"/>
      <w:r>
        <w:rPr>
          <w:rFonts w:hint="cs"/>
          <w:rtl/>
        </w:rPr>
        <w:t xml:space="preserve">לשכת </w:t>
      </w:r>
      <w:bookmarkStart w:id="38246" w:name="_ETM_Q70_666629"/>
      <w:bookmarkEnd w:id="38246"/>
      <w:r>
        <w:rPr>
          <w:rFonts w:hint="cs"/>
          <w:rtl/>
        </w:rPr>
        <w:t>עורכי</w:t>
      </w:r>
      <w:bookmarkStart w:id="38247" w:name="_ETM_Q70_665788"/>
      <w:bookmarkEnd w:id="38247"/>
      <w:r>
        <w:rPr>
          <w:rFonts w:hint="cs"/>
          <w:rtl/>
        </w:rPr>
        <w:t xml:space="preserve"> הדין </w:t>
      </w:r>
      <w:bookmarkStart w:id="38248" w:name="_ETM_Q70_667680"/>
      <w:bookmarkEnd w:id="38248"/>
      <w:r>
        <w:rPr>
          <w:rFonts w:hint="cs"/>
          <w:rtl/>
        </w:rPr>
        <w:t xml:space="preserve">ומבקשים </w:t>
      </w:r>
      <w:bookmarkStart w:id="38249" w:name="_ETM_Q70_668190"/>
      <w:bookmarkEnd w:id="38249"/>
      <w:r>
        <w:rPr>
          <w:rFonts w:hint="cs"/>
          <w:rtl/>
        </w:rPr>
        <w:t xml:space="preserve">לפרקה, </w:t>
      </w:r>
      <w:bookmarkStart w:id="38250" w:name="_ETM_Q70_669350"/>
      <w:bookmarkEnd w:id="38250"/>
      <w:r>
        <w:rPr>
          <w:rFonts w:hint="cs"/>
          <w:rtl/>
        </w:rPr>
        <w:t xml:space="preserve">כי </w:t>
      </w:r>
      <w:bookmarkStart w:id="38251" w:name="_ETM_Q70_669590"/>
      <w:bookmarkEnd w:id="38251"/>
      <w:r>
        <w:rPr>
          <w:rFonts w:hint="cs"/>
          <w:rtl/>
        </w:rPr>
        <w:t xml:space="preserve">לא </w:t>
      </w:r>
      <w:bookmarkStart w:id="38252" w:name="_ETM_Q70_669740"/>
      <w:bookmarkEnd w:id="38252"/>
      <w:r>
        <w:rPr>
          <w:rFonts w:hint="cs"/>
          <w:rtl/>
        </w:rPr>
        <w:t xml:space="preserve">הצליחו </w:t>
      </w:r>
      <w:bookmarkStart w:id="38253" w:name="_ETM_Q70_670160"/>
      <w:bookmarkEnd w:id="38253"/>
      <w:r>
        <w:rPr>
          <w:rFonts w:hint="cs"/>
          <w:rtl/>
        </w:rPr>
        <w:t xml:space="preserve">להכתיב </w:t>
      </w:r>
      <w:bookmarkStart w:id="38254" w:name="_ETM_Q70_670610"/>
      <w:bookmarkEnd w:id="38254"/>
      <w:r>
        <w:rPr>
          <w:rFonts w:hint="cs"/>
          <w:rtl/>
        </w:rPr>
        <w:t xml:space="preserve">מי </w:t>
      </w:r>
      <w:bookmarkStart w:id="38255" w:name="_ETM_Q70_670790"/>
      <w:bookmarkEnd w:id="38255"/>
      <w:r>
        <w:rPr>
          <w:rFonts w:hint="cs"/>
          <w:rtl/>
        </w:rPr>
        <w:t xml:space="preserve">יעמוד </w:t>
      </w:r>
      <w:bookmarkStart w:id="38256" w:name="_ETM_Q70_671090"/>
      <w:bookmarkEnd w:id="38256"/>
      <w:r>
        <w:rPr>
          <w:rFonts w:hint="cs"/>
          <w:rtl/>
        </w:rPr>
        <w:t xml:space="preserve">בראשה. </w:t>
      </w:r>
      <w:bookmarkStart w:id="38257" w:name="_ETM_Q70_673630"/>
      <w:bookmarkEnd w:id="38257"/>
      <w:r>
        <w:rPr>
          <w:rFonts w:hint="cs"/>
          <w:rtl/>
        </w:rPr>
        <w:t xml:space="preserve">פשוט </w:t>
      </w:r>
      <w:bookmarkStart w:id="38258" w:name="_ETM_Q70_674200"/>
      <w:bookmarkEnd w:id="38258"/>
      <w:r>
        <w:rPr>
          <w:rFonts w:hint="cs"/>
          <w:rtl/>
        </w:rPr>
        <w:t xml:space="preserve">מפרקים </w:t>
      </w:r>
      <w:bookmarkStart w:id="38259" w:name="_ETM_Q70_675040"/>
      <w:bookmarkEnd w:id="38259"/>
      <w:r>
        <w:rPr>
          <w:rFonts w:hint="cs"/>
          <w:rtl/>
        </w:rPr>
        <w:t xml:space="preserve">את </w:t>
      </w:r>
      <w:bookmarkStart w:id="38260" w:name="_ETM_Q70_675220"/>
      <w:bookmarkEnd w:id="38260"/>
      <w:r>
        <w:rPr>
          <w:rFonts w:hint="cs"/>
          <w:rtl/>
        </w:rPr>
        <w:t xml:space="preserve">החברה </w:t>
      </w:r>
      <w:bookmarkStart w:id="38261" w:name="_ETM_Q70_675760"/>
      <w:bookmarkEnd w:id="38261"/>
      <w:r>
        <w:rPr>
          <w:rFonts w:hint="cs"/>
          <w:rtl/>
        </w:rPr>
        <w:t xml:space="preserve">הישראלית </w:t>
      </w:r>
      <w:bookmarkStart w:id="38262" w:name="_ETM_Q70_676960"/>
      <w:bookmarkEnd w:id="38262"/>
      <w:r>
        <w:rPr>
          <w:rFonts w:hint="cs"/>
          <w:rtl/>
        </w:rPr>
        <w:t xml:space="preserve">לחלקים, </w:t>
      </w:r>
      <w:bookmarkStart w:id="38263" w:name="_ETM_Q70_678849"/>
      <w:bookmarkEnd w:id="38263"/>
      <w:r>
        <w:rPr>
          <w:rFonts w:hint="cs"/>
          <w:rtl/>
        </w:rPr>
        <w:t xml:space="preserve">מסיתים, </w:t>
      </w:r>
      <w:bookmarkStart w:id="38264" w:name="_ETM_Q70_680170"/>
      <w:bookmarkEnd w:id="38264"/>
      <w:r>
        <w:rPr>
          <w:rFonts w:hint="cs"/>
          <w:rtl/>
        </w:rPr>
        <w:t>מפלגים,</w:t>
      </w:r>
      <w:bookmarkStart w:id="38265" w:name="_ETM_Q70_680698"/>
      <w:bookmarkEnd w:id="38265"/>
      <w:r>
        <w:rPr>
          <w:rFonts w:hint="cs"/>
          <w:rtl/>
        </w:rPr>
        <w:t xml:space="preserve"> </w:t>
      </w:r>
      <w:bookmarkStart w:id="38266" w:name="_ETM_Q70_681500"/>
      <w:bookmarkEnd w:id="38266"/>
      <w:r>
        <w:rPr>
          <w:rFonts w:hint="cs"/>
          <w:rtl/>
        </w:rPr>
        <w:t xml:space="preserve">משתלחים, </w:t>
      </w:r>
      <w:bookmarkStart w:id="38267" w:name="_ETM_Q70_682900"/>
      <w:bookmarkEnd w:id="38267"/>
      <w:r>
        <w:rPr>
          <w:rFonts w:hint="cs"/>
          <w:rtl/>
        </w:rPr>
        <w:t xml:space="preserve">והרשימה </w:t>
      </w:r>
      <w:bookmarkStart w:id="38268" w:name="_ETM_Q70_683769"/>
      <w:bookmarkEnd w:id="38268"/>
      <w:r>
        <w:rPr>
          <w:rFonts w:hint="cs"/>
          <w:rtl/>
        </w:rPr>
        <w:t xml:space="preserve">עוד </w:t>
      </w:r>
      <w:bookmarkStart w:id="38269" w:name="_ETM_Q70_683949"/>
      <w:bookmarkEnd w:id="38269"/>
      <w:r>
        <w:rPr>
          <w:rFonts w:hint="cs"/>
          <w:rtl/>
        </w:rPr>
        <w:t>ארוכה</w:t>
      </w:r>
      <w:bookmarkStart w:id="38270" w:name="_ETM_Q70_684549"/>
      <w:bookmarkEnd w:id="38270"/>
      <w:r>
        <w:rPr>
          <w:rFonts w:hint="cs"/>
          <w:rtl/>
        </w:rPr>
        <w:t xml:space="preserve"> ארוכה.</w:t>
      </w:r>
      <w:bookmarkStart w:id="38271" w:name="_ETM_Q70_688439"/>
      <w:bookmarkEnd w:id="38271"/>
    </w:p>
    <w:p w:rsidR="00BB59CD" w:rsidRDefault="00BB59CD" w:rsidP="00BB59CD">
      <w:pPr>
        <w:rPr>
          <w:rtl/>
        </w:rPr>
      </w:pPr>
      <w:bookmarkStart w:id="38272" w:name="_ETM_Q70_692436"/>
      <w:bookmarkStart w:id="38273" w:name="_ETM_Q70_692517"/>
      <w:bookmarkEnd w:id="38272"/>
      <w:bookmarkEnd w:id="38273"/>
    </w:p>
    <w:p w:rsidR="00BB59CD" w:rsidRDefault="00BB59CD" w:rsidP="00BF6FBE">
      <w:pPr>
        <w:rPr>
          <w:rtl/>
        </w:rPr>
      </w:pPr>
      <w:bookmarkStart w:id="38274" w:name="_ETM_Q70_692600"/>
      <w:bookmarkStart w:id="38275" w:name="_ETM_Q70_692649"/>
      <w:bookmarkStart w:id="38276" w:name="_ETM_Q70_687918"/>
      <w:bookmarkEnd w:id="38274"/>
      <w:bookmarkEnd w:id="38275"/>
      <w:bookmarkEnd w:id="38276"/>
      <w:r>
        <w:rPr>
          <w:rFonts w:hint="cs"/>
          <w:rtl/>
        </w:rPr>
        <w:t xml:space="preserve">הדבר </w:t>
      </w:r>
      <w:bookmarkStart w:id="38277" w:name="_ETM_Q70_688799"/>
      <w:bookmarkEnd w:id="38277"/>
      <w:r>
        <w:rPr>
          <w:rFonts w:hint="cs"/>
          <w:rtl/>
        </w:rPr>
        <w:t xml:space="preserve">היחיד </w:t>
      </w:r>
      <w:bookmarkStart w:id="38278" w:name="_ETM_Q70_689930"/>
      <w:bookmarkEnd w:id="38278"/>
      <w:r>
        <w:rPr>
          <w:rFonts w:hint="cs"/>
          <w:rtl/>
        </w:rPr>
        <w:t xml:space="preserve">שמאפשר </w:t>
      </w:r>
      <w:bookmarkStart w:id="38279" w:name="_ETM_Q70_690559"/>
      <w:bookmarkEnd w:id="38279"/>
      <w:r>
        <w:rPr>
          <w:rFonts w:hint="cs"/>
          <w:rtl/>
        </w:rPr>
        <w:t xml:space="preserve">לנו </w:t>
      </w:r>
      <w:bookmarkStart w:id="38280" w:name="_ETM_Q70_691040"/>
      <w:bookmarkEnd w:id="38280"/>
      <w:r>
        <w:rPr>
          <w:rFonts w:hint="cs"/>
          <w:rtl/>
        </w:rPr>
        <w:t xml:space="preserve">להרים </w:t>
      </w:r>
      <w:bookmarkStart w:id="38281" w:name="_ETM_Q70_691519"/>
      <w:bookmarkEnd w:id="38281"/>
      <w:r>
        <w:rPr>
          <w:rFonts w:hint="cs"/>
          <w:rtl/>
        </w:rPr>
        <w:t xml:space="preserve">ראש </w:t>
      </w:r>
      <w:bookmarkStart w:id="38282" w:name="_ETM_Q70_691819"/>
      <w:bookmarkEnd w:id="38282"/>
      <w:r>
        <w:rPr>
          <w:rFonts w:hint="cs"/>
          <w:rtl/>
        </w:rPr>
        <w:t xml:space="preserve">בגאווה </w:t>
      </w:r>
      <w:bookmarkStart w:id="38283" w:name="_ETM_Q70_692900"/>
      <w:bookmarkEnd w:id="38283"/>
      <w:r>
        <w:rPr>
          <w:rFonts w:hint="cs"/>
          <w:rtl/>
        </w:rPr>
        <w:t xml:space="preserve">בתקופה </w:t>
      </w:r>
      <w:bookmarkStart w:id="38284" w:name="_ETM_Q70_693469"/>
      <w:bookmarkEnd w:id="38284"/>
      <w:r>
        <w:rPr>
          <w:rFonts w:hint="cs"/>
          <w:rtl/>
        </w:rPr>
        <w:t xml:space="preserve">הקשה </w:t>
      </w:r>
      <w:bookmarkStart w:id="38285" w:name="_ETM_Q70_693889"/>
      <w:bookmarkEnd w:id="38285"/>
      <w:r>
        <w:rPr>
          <w:rFonts w:hint="cs"/>
          <w:rtl/>
        </w:rPr>
        <w:t xml:space="preserve">הזו </w:t>
      </w:r>
      <w:bookmarkStart w:id="38286" w:name="_ETM_Q70_694770"/>
      <w:bookmarkEnd w:id="38286"/>
      <w:r>
        <w:rPr>
          <w:rFonts w:hint="cs"/>
          <w:rtl/>
        </w:rPr>
        <w:t xml:space="preserve">אלה </w:t>
      </w:r>
      <w:bookmarkStart w:id="38287" w:name="_ETM_Q70_695220"/>
      <w:bookmarkEnd w:id="38287"/>
      <w:r>
        <w:rPr>
          <w:rFonts w:hint="cs"/>
          <w:rtl/>
        </w:rPr>
        <w:t xml:space="preserve">אזרחי </w:t>
      </w:r>
      <w:bookmarkStart w:id="38288" w:name="_ETM_Q70_695819"/>
      <w:bookmarkEnd w:id="38288"/>
      <w:r>
        <w:rPr>
          <w:rFonts w:hint="cs"/>
          <w:rtl/>
        </w:rPr>
        <w:t xml:space="preserve">המדינה </w:t>
      </w:r>
      <w:bookmarkStart w:id="38289" w:name="_ETM_Q70_696960"/>
      <w:bookmarkEnd w:id="38289"/>
      <w:r>
        <w:rPr>
          <w:rFonts w:hint="cs"/>
          <w:rtl/>
        </w:rPr>
        <w:t xml:space="preserve">הפטריוטים </w:t>
      </w:r>
      <w:bookmarkStart w:id="38290" w:name="_ETM_Q70_697800"/>
      <w:bookmarkEnd w:id="38290"/>
      <w:r>
        <w:rPr>
          <w:rFonts w:hint="cs"/>
          <w:rtl/>
        </w:rPr>
        <w:t>הנפלאים</w:t>
      </w:r>
      <w:bookmarkStart w:id="38291" w:name="_ETM_Q70_696837"/>
      <w:bookmarkEnd w:id="38291"/>
      <w:r w:rsidR="00BF6FBE">
        <w:rPr>
          <w:rFonts w:hint="cs"/>
          <w:rtl/>
        </w:rPr>
        <w:t>,</w:t>
      </w:r>
      <w:r>
        <w:rPr>
          <w:rFonts w:hint="cs"/>
          <w:rtl/>
        </w:rPr>
        <w:t xml:space="preserve"> </w:t>
      </w:r>
      <w:bookmarkStart w:id="38292" w:name="_ETM_Q70_698730"/>
      <w:bookmarkEnd w:id="38292"/>
      <w:r>
        <w:rPr>
          <w:rFonts w:hint="cs"/>
          <w:rtl/>
        </w:rPr>
        <w:t xml:space="preserve">שלא </w:t>
      </w:r>
      <w:bookmarkStart w:id="38293" w:name="_ETM_Q70_699150"/>
      <w:bookmarkEnd w:id="38293"/>
      <w:r>
        <w:rPr>
          <w:rFonts w:hint="cs"/>
          <w:rtl/>
        </w:rPr>
        <w:t xml:space="preserve">מוכנים </w:t>
      </w:r>
      <w:bookmarkStart w:id="38294" w:name="_ETM_Q70_699930"/>
      <w:bookmarkEnd w:id="38294"/>
      <w:r>
        <w:rPr>
          <w:rFonts w:hint="cs"/>
          <w:rtl/>
        </w:rPr>
        <w:t xml:space="preserve">לוותר </w:t>
      </w:r>
      <w:bookmarkStart w:id="38295" w:name="_ETM_Q70_700530"/>
      <w:bookmarkEnd w:id="38295"/>
      <w:r>
        <w:rPr>
          <w:rFonts w:hint="cs"/>
          <w:rtl/>
        </w:rPr>
        <w:t xml:space="preserve">על </w:t>
      </w:r>
      <w:bookmarkStart w:id="38296" w:name="_ETM_Q70_700620"/>
      <w:bookmarkEnd w:id="38296"/>
      <w:r>
        <w:rPr>
          <w:rFonts w:hint="cs"/>
          <w:rtl/>
        </w:rPr>
        <w:t xml:space="preserve">הדמוקרטיה </w:t>
      </w:r>
      <w:bookmarkStart w:id="38297" w:name="_ETM_Q70_701370"/>
      <w:bookmarkEnd w:id="38297"/>
      <w:r>
        <w:rPr>
          <w:rFonts w:hint="cs"/>
          <w:rtl/>
        </w:rPr>
        <w:t xml:space="preserve">הישראלית. </w:t>
      </w:r>
      <w:bookmarkStart w:id="38298" w:name="_ETM_Q70_703690"/>
      <w:bookmarkEnd w:id="38298"/>
      <w:r>
        <w:rPr>
          <w:rFonts w:hint="cs"/>
          <w:rtl/>
        </w:rPr>
        <w:t xml:space="preserve">מאות </w:t>
      </w:r>
      <w:bookmarkStart w:id="38299" w:name="_ETM_Q70_704050"/>
      <w:bookmarkEnd w:id="38299"/>
      <w:r>
        <w:rPr>
          <w:rFonts w:hint="cs"/>
          <w:rtl/>
        </w:rPr>
        <w:t xml:space="preserve">אלפים </w:t>
      </w:r>
      <w:bookmarkStart w:id="38300" w:name="_ETM_Q70_705129"/>
      <w:bookmarkEnd w:id="38300"/>
      <w:r>
        <w:rPr>
          <w:rFonts w:hint="cs"/>
          <w:rtl/>
        </w:rPr>
        <w:t xml:space="preserve">יוצאים </w:t>
      </w:r>
      <w:bookmarkStart w:id="38301" w:name="_ETM_Q70_705580"/>
      <w:bookmarkEnd w:id="38301"/>
      <w:r>
        <w:rPr>
          <w:rFonts w:hint="cs"/>
          <w:rtl/>
        </w:rPr>
        <w:t xml:space="preserve">מדי </w:t>
      </w:r>
      <w:bookmarkStart w:id="38302" w:name="_ETM_Q70_705879"/>
      <w:bookmarkEnd w:id="38302"/>
      <w:r>
        <w:rPr>
          <w:rFonts w:hint="cs"/>
          <w:rtl/>
        </w:rPr>
        <w:t xml:space="preserve">שבוע, </w:t>
      </w:r>
      <w:bookmarkStart w:id="38303" w:name="_ETM_Q70_707020"/>
      <w:bookmarkEnd w:id="38303"/>
      <w:r>
        <w:rPr>
          <w:rFonts w:hint="cs"/>
          <w:rtl/>
        </w:rPr>
        <w:t xml:space="preserve">כבר </w:t>
      </w:r>
      <w:bookmarkStart w:id="38304" w:name="_ETM_Q70_707290"/>
      <w:bookmarkEnd w:id="38304"/>
      <w:r>
        <w:rPr>
          <w:rFonts w:hint="cs"/>
          <w:rtl/>
        </w:rPr>
        <w:t xml:space="preserve">29 </w:t>
      </w:r>
      <w:bookmarkStart w:id="38305" w:name="_ETM_Q70_708490"/>
      <w:bookmarkEnd w:id="38305"/>
      <w:r>
        <w:rPr>
          <w:rFonts w:hint="cs"/>
          <w:rtl/>
        </w:rPr>
        <w:t xml:space="preserve">שבועות </w:t>
      </w:r>
      <w:bookmarkStart w:id="38306" w:name="_ETM_Q70_709740"/>
      <w:bookmarkEnd w:id="38306"/>
      <w:r>
        <w:rPr>
          <w:rFonts w:hint="cs"/>
          <w:rtl/>
        </w:rPr>
        <w:t xml:space="preserve">ברצף, </w:t>
      </w:r>
      <w:bookmarkStart w:id="38307" w:name="_ETM_Q70_710799"/>
      <w:bookmarkEnd w:id="38307"/>
      <w:r>
        <w:rPr>
          <w:rFonts w:hint="cs"/>
          <w:rtl/>
        </w:rPr>
        <w:t xml:space="preserve">בגשם </w:t>
      </w:r>
      <w:bookmarkStart w:id="38308" w:name="_ETM_Q70_711549"/>
      <w:bookmarkStart w:id="38309" w:name="_ETM_Q70_709937"/>
      <w:bookmarkEnd w:id="38308"/>
      <w:bookmarkEnd w:id="38309"/>
      <w:r>
        <w:rPr>
          <w:rFonts w:hint="cs"/>
          <w:rtl/>
        </w:rPr>
        <w:t xml:space="preserve">השוטף </w:t>
      </w:r>
      <w:bookmarkStart w:id="38310" w:name="_ETM_Q70_711790"/>
      <w:bookmarkStart w:id="38311" w:name="_ETM_Q70_712420"/>
      <w:bookmarkEnd w:id="38310"/>
      <w:bookmarkEnd w:id="38311"/>
      <w:r>
        <w:rPr>
          <w:rFonts w:hint="cs"/>
          <w:rtl/>
        </w:rPr>
        <w:t xml:space="preserve">– בהפגנה </w:t>
      </w:r>
      <w:bookmarkStart w:id="38312" w:name="_ETM_Q70_712959"/>
      <w:bookmarkEnd w:id="38312"/>
      <w:r>
        <w:rPr>
          <w:rFonts w:hint="cs"/>
          <w:rtl/>
        </w:rPr>
        <w:t xml:space="preserve">הראשונה </w:t>
      </w:r>
      <w:bookmarkStart w:id="38313" w:name="_ETM_Q70_713739"/>
      <w:bookmarkEnd w:id="38313"/>
      <w:r>
        <w:rPr>
          <w:rFonts w:hint="cs"/>
          <w:rtl/>
        </w:rPr>
        <w:t xml:space="preserve">היה </w:t>
      </w:r>
      <w:bookmarkStart w:id="38314" w:name="_ETM_Q70_713950"/>
      <w:bookmarkEnd w:id="38314"/>
      <w:r>
        <w:rPr>
          <w:rFonts w:hint="cs"/>
          <w:rtl/>
        </w:rPr>
        <w:t>מב</w:t>
      </w:r>
      <w:bookmarkStart w:id="38315" w:name="_ETM_Q70_712617"/>
      <w:bookmarkEnd w:id="38315"/>
      <w:r>
        <w:rPr>
          <w:rFonts w:hint="cs"/>
          <w:rtl/>
        </w:rPr>
        <w:t xml:space="preserve">ול </w:t>
      </w:r>
      <w:bookmarkStart w:id="38316" w:name="_ETM_Q70_714700"/>
      <w:bookmarkEnd w:id="38316"/>
      <w:r>
        <w:rPr>
          <w:rFonts w:hint="cs"/>
          <w:rtl/>
        </w:rPr>
        <w:t xml:space="preserve">בכיכר </w:t>
      </w:r>
      <w:bookmarkStart w:id="38317" w:name="_ETM_Q70_715209"/>
      <w:bookmarkEnd w:id="38317"/>
      <w:r>
        <w:rPr>
          <w:rFonts w:hint="cs"/>
          <w:rtl/>
        </w:rPr>
        <w:t xml:space="preserve">הבימה, </w:t>
      </w:r>
      <w:bookmarkStart w:id="38318" w:name="_ETM_Q70_715929"/>
      <w:bookmarkEnd w:id="38318"/>
      <w:r>
        <w:rPr>
          <w:rFonts w:hint="cs"/>
          <w:rtl/>
        </w:rPr>
        <w:t xml:space="preserve">נרטבנו </w:t>
      </w:r>
      <w:bookmarkStart w:id="38319" w:name="_ETM_Q70_716530"/>
      <w:bookmarkEnd w:id="38319"/>
      <w:r>
        <w:rPr>
          <w:rFonts w:hint="cs"/>
          <w:rtl/>
        </w:rPr>
        <w:t xml:space="preserve">עד </w:t>
      </w:r>
      <w:bookmarkStart w:id="38320" w:name="_ETM_Q70_716679"/>
      <w:bookmarkEnd w:id="38320"/>
      <w:r>
        <w:rPr>
          <w:rFonts w:hint="cs"/>
          <w:rtl/>
        </w:rPr>
        <w:t xml:space="preserve">לשד </w:t>
      </w:r>
      <w:bookmarkStart w:id="38321" w:name="_ETM_Q70_717010"/>
      <w:bookmarkEnd w:id="38321"/>
      <w:r>
        <w:rPr>
          <w:rFonts w:hint="cs"/>
          <w:rtl/>
        </w:rPr>
        <w:t xml:space="preserve">עצמותינו. </w:t>
      </w:r>
      <w:bookmarkStart w:id="38322" w:name="_ETM_Q70_717920"/>
      <w:bookmarkEnd w:id="38322"/>
      <w:r>
        <w:rPr>
          <w:rFonts w:hint="cs"/>
          <w:rtl/>
        </w:rPr>
        <w:t xml:space="preserve">זאת </w:t>
      </w:r>
      <w:bookmarkStart w:id="38323" w:name="_ETM_Q70_718250"/>
      <w:bookmarkEnd w:id="38323"/>
      <w:r>
        <w:rPr>
          <w:rFonts w:hint="cs"/>
          <w:rtl/>
        </w:rPr>
        <w:t xml:space="preserve">הייתה </w:t>
      </w:r>
      <w:bookmarkStart w:id="38324" w:name="_ETM_Q70_718520"/>
      <w:bookmarkEnd w:id="38324"/>
      <w:r>
        <w:rPr>
          <w:rFonts w:hint="cs"/>
          <w:rtl/>
        </w:rPr>
        <w:t xml:space="preserve">ההפגנה </w:t>
      </w:r>
      <w:bookmarkStart w:id="38325" w:name="_ETM_Q70_719000"/>
      <w:bookmarkEnd w:id="38325"/>
      <w:r>
        <w:rPr>
          <w:rFonts w:hint="cs"/>
          <w:rtl/>
        </w:rPr>
        <w:t>הראשונה,</w:t>
      </w:r>
      <w:bookmarkStart w:id="38326" w:name="_ETM_Q70_717377"/>
      <w:bookmarkEnd w:id="38326"/>
      <w:r>
        <w:rPr>
          <w:rFonts w:hint="cs"/>
          <w:rtl/>
        </w:rPr>
        <w:t xml:space="preserve"> </w:t>
      </w:r>
      <w:bookmarkStart w:id="38327" w:name="_ETM_Q70_719930"/>
      <w:bookmarkEnd w:id="38327"/>
      <w:r>
        <w:rPr>
          <w:rFonts w:hint="cs"/>
          <w:rtl/>
        </w:rPr>
        <w:t xml:space="preserve">עם </w:t>
      </w:r>
      <w:bookmarkStart w:id="38328" w:name="_ETM_Q70_720080"/>
      <w:bookmarkEnd w:id="38328"/>
      <w:r>
        <w:rPr>
          <w:rFonts w:hint="cs"/>
          <w:rtl/>
        </w:rPr>
        <w:t xml:space="preserve">מטריות, </w:t>
      </w:r>
      <w:bookmarkStart w:id="38329" w:name="_ETM_Q70_720530"/>
      <w:bookmarkEnd w:id="38329"/>
      <w:r>
        <w:rPr>
          <w:rFonts w:hint="cs"/>
          <w:rtl/>
        </w:rPr>
        <w:t xml:space="preserve">הפגנת </w:t>
      </w:r>
      <w:bookmarkStart w:id="38330" w:name="_ETM_Q70_721040"/>
      <w:bookmarkEnd w:id="38330"/>
      <w:r>
        <w:rPr>
          <w:rFonts w:hint="cs"/>
          <w:rtl/>
        </w:rPr>
        <w:t xml:space="preserve">המטריות </w:t>
      </w:r>
      <w:bookmarkStart w:id="38331" w:name="_ETM_Q70_721490"/>
      <w:bookmarkEnd w:id="38331"/>
      <w:r>
        <w:rPr>
          <w:rFonts w:hint="cs"/>
          <w:rtl/>
        </w:rPr>
        <w:t>המפורסמת.</w:t>
      </w:r>
      <w:bookmarkStart w:id="38332" w:name="_ETM_Q70_720417"/>
      <w:bookmarkEnd w:id="38332"/>
      <w:r>
        <w:rPr>
          <w:rFonts w:hint="cs"/>
          <w:rtl/>
        </w:rPr>
        <w:t xml:space="preserve"> </w:t>
      </w:r>
      <w:bookmarkStart w:id="38333" w:name="_ETM_Q70_722570"/>
      <w:bookmarkEnd w:id="38333"/>
      <w:r>
        <w:rPr>
          <w:rFonts w:hint="cs"/>
          <w:rtl/>
        </w:rPr>
        <w:t xml:space="preserve">חשבנו </w:t>
      </w:r>
      <w:bookmarkStart w:id="38334" w:name="_ETM_Q70_723110"/>
      <w:bookmarkEnd w:id="38334"/>
      <w:r>
        <w:rPr>
          <w:rFonts w:hint="cs"/>
          <w:rtl/>
        </w:rPr>
        <w:t xml:space="preserve">שזאת </w:t>
      </w:r>
      <w:bookmarkStart w:id="38335" w:name="_ETM_Q70_723320"/>
      <w:bookmarkEnd w:id="38335"/>
      <w:r>
        <w:rPr>
          <w:rFonts w:hint="cs"/>
          <w:rtl/>
        </w:rPr>
        <w:t xml:space="preserve">הפגנה </w:t>
      </w:r>
      <w:bookmarkStart w:id="38336" w:name="_ETM_Q70_723740"/>
      <w:bookmarkEnd w:id="38336"/>
      <w:r>
        <w:rPr>
          <w:rFonts w:hint="cs"/>
          <w:rtl/>
        </w:rPr>
        <w:t xml:space="preserve">יחידה, </w:t>
      </w:r>
      <w:bookmarkStart w:id="38337" w:name="_ETM_Q70_724340"/>
      <w:bookmarkEnd w:id="38337"/>
      <w:r>
        <w:rPr>
          <w:rFonts w:hint="cs"/>
          <w:rtl/>
        </w:rPr>
        <w:t xml:space="preserve">ומאז </w:t>
      </w:r>
      <w:bookmarkStart w:id="38338" w:name="_ETM_Q70_725599"/>
      <w:bookmarkEnd w:id="38338"/>
      <w:r>
        <w:rPr>
          <w:rFonts w:hint="cs"/>
          <w:rtl/>
        </w:rPr>
        <w:t xml:space="preserve">שבוע </w:t>
      </w:r>
      <w:bookmarkStart w:id="38339" w:name="_ETM_Q70_726390"/>
      <w:bookmarkEnd w:id="38339"/>
      <w:r>
        <w:rPr>
          <w:rFonts w:hint="cs"/>
          <w:rtl/>
        </w:rPr>
        <w:t xml:space="preserve">אחרי </w:t>
      </w:r>
      <w:bookmarkStart w:id="38340" w:name="_ETM_Q70_726809"/>
      <w:bookmarkEnd w:id="38340"/>
      <w:r>
        <w:rPr>
          <w:rFonts w:hint="cs"/>
          <w:rtl/>
        </w:rPr>
        <w:t xml:space="preserve">שבוע, </w:t>
      </w:r>
      <w:bookmarkStart w:id="38341" w:name="_ETM_Q70_727740"/>
      <w:bookmarkEnd w:id="38341"/>
      <w:r>
        <w:rPr>
          <w:rFonts w:hint="cs"/>
          <w:rtl/>
        </w:rPr>
        <w:t xml:space="preserve">בחמסין, </w:t>
      </w:r>
      <w:bookmarkStart w:id="38342" w:name="_ETM_Q70_729260"/>
      <w:bookmarkEnd w:id="38342"/>
      <w:r>
        <w:rPr>
          <w:rFonts w:hint="cs"/>
          <w:rtl/>
        </w:rPr>
        <w:t xml:space="preserve">בכל </w:t>
      </w:r>
      <w:bookmarkStart w:id="38343" w:name="_ETM_Q70_729679"/>
      <w:bookmarkEnd w:id="38343"/>
      <w:r>
        <w:rPr>
          <w:rFonts w:hint="cs"/>
          <w:rtl/>
        </w:rPr>
        <w:t>מצב</w:t>
      </w:r>
      <w:bookmarkStart w:id="38344" w:name="_ETM_Q70_731157"/>
      <w:bookmarkEnd w:id="38344"/>
      <w:r>
        <w:rPr>
          <w:rFonts w:hint="cs"/>
          <w:rtl/>
        </w:rPr>
        <w:t xml:space="preserve">, </w:t>
      </w:r>
      <w:bookmarkStart w:id="38345" w:name="_ETM_Q70_733010"/>
      <w:bookmarkEnd w:id="38345"/>
      <w:r>
        <w:rPr>
          <w:rFonts w:hint="cs"/>
          <w:rtl/>
        </w:rPr>
        <w:t>ב</w:t>
      </w:r>
      <w:bookmarkStart w:id="38346" w:name="_ETM_Q70_735947"/>
      <w:bookmarkEnd w:id="38346"/>
      <w:r>
        <w:rPr>
          <w:rFonts w:hint="cs"/>
          <w:rtl/>
        </w:rPr>
        <w:t xml:space="preserve">מאות </w:t>
      </w:r>
      <w:bookmarkStart w:id="38347" w:name="_ETM_Q70_733639"/>
      <w:bookmarkEnd w:id="38347"/>
      <w:r>
        <w:rPr>
          <w:rFonts w:hint="cs"/>
          <w:rtl/>
        </w:rPr>
        <w:t xml:space="preserve">נקודות </w:t>
      </w:r>
      <w:bookmarkStart w:id="38348" w:name="_ETM_Q70_734150"/>
      <w:bookmarkEnd w:id="38348"/>
      <w:r>
        <w:rPr>
          <w:rFonts w:hint="cs"/>
          <w:rtl/>
        </w:rPr>
        <w:t xml:space="preserve">ברחבי </w:t>
      </w:r>
      <w:bookmarkStart w:id="38349" w:name="_ETM_Q70_734689"/>
      <w:bookmarkEnd w:id="38349"/>
      <w:r>
        <w:rPr>
          <w:rFonts w:hint="cs"/>
          <w:rtl/>
        </w:rPr>
        <w:t>הארץ,</w:t>
      </w:r>
      <w:bookmarkStart w:id="38350" w:name="_ETM_Q70_736390"/>
      <w:bookmarkStart w:id="38351" w:name="_ETM_Q70_737140"/>
      <w:bookmarkEnd w:id="38350"/>
      <w:bookmarkEnd w:id="38351"/>
      <w:r>
        <w:rPr>
          <w:rFonts w:hint="cs"/>
          <w:rtl/>
        </w:rPr>
        <w:t xml:space="preserve"> המפגינים </w:t>
      </w:r>
      <w:bookmarkStart w:id="38352" w:name="_ETM_Q70_738070"/>
      <w:bookmarkEnd w:id="38352"/>
      <w:r>
        <w:rPr>
          <w:rFonts w:hint="cs"/>
          <w:rtl/>
        </w:rPr>
        <w:t xml:space="preserve">נלחמים </w:t>
      </w:r>
      <w:bookmarkStart w:id="38353" w:name="_ETM_Q70_738640"/>
      <w:bookmarkEnd w:id="38353"/>
      <w:r>
        <w:rPr>
          <w:rFonts w:hint="cs"/>
          <w:rtl/>
        </w:rPr>
        <w:t xml:space="preserve">על </w:t>
      </w:r>
      <w:bookmarkStart w:id="38354" w:name="_ETM_Q70_738730"/>
      <w:bookmarkEnd w:id="38354"/>
      <w:r>
        <w:rPr>
          <w:rFonts w:hint="cs"/>
          <w:rtl/>
        </w:rPr>
        <w:t xml:space="preserve">הזכות </w:t>
      </w:r>
      <w:bookmarkStart w:id="38355" w:name="_ETM_Q70_739059"/>
      <w:bookmarkEnd w:id="38355"/>
      <w:r>
        <w:rPr>
          <w:rFonts w:hint="cs"/>
          <w:rtl/>
        </w:rPr>
        <w:t xml:space="preserve">הבסיסית </w:t>
      </w:r>
      <w:bookmarkStart w:id="38356" w:name="_ETM_Q70_739510"/>
      <w:bookmarkStart w:id="38357" w:name="_ETM_Q70_740020"/>
      <w:bookmarkEnd w:id="38356"/>
      <w:bookmarkEnd w:id="38357"/>
      <w:r>
        <w:rPr>
          <w:rFonts w:hint="cs"/>
          <w:rtl/>
        </w:rPr>
        <w:t xml:space="preserve">כל </w:t>
      </w:r>
      <w:bookmarkStart w:id="38358" w:name="_ETM_Q70_740230"/>
      <w:bookmarkEnd w:id="38358"/>
      <w:r>
        <w:rPr>
          <w:rFonts w:hint="cs"/>
          <w:rtl/>
        </w:rPr>
        <w:t xml:space="preserve">כך </w:t>
      </w:r>
      <w:bookmarkStart w:id="38359" w:name="_ETM_Q70_740800"/>
      <w:bookmarkEnd w:id="38359"/>
      <w:r>
        <w:rPr>
          <w:rFonts w:hint="cs"/>
          <w:rtl/>
        </w:rPr>
        <w:t xml:space="preserve">לחיות </w:t>
      </w:r>
      <w:bookmarkStart w:id="38360" w:name="_ETM_Q70_741610"/>
      <w:bookmarkEnd w:id="38360"/>
      <w:r>
        <w:rPr>
          <w:rFonts w:hint="cs"/>
          <w:rtl/>
        </w:rPr>
        <w:t xml:space="preserve">במדינה </w:t>
      </w:r>
      <w:bookmarkStart w:id="38361" w:name="_ETM_Q70_742840"/>
      <w:bookmarkEnd w:id="38361"/>
      <w:r>
        <w:rPr>
          <w:rFonts w:hint="cs"/>
          <w:rtl/>
        </w:rPr>
        <w:t>ד</w:t>
      </w:r>
      <w:bookmarkStart w:id="38362" w:name="_ETM_Q70_743530"/>
      <w:bookmarkEnd w:id="38362"/>
      <w:r>
        <w:rPr>
          <w:rFonts w:hint="cs"/>
          <w:rtl/>
        </w:rPr>
        <w:t>-מו-</w:t>
      </w:r>
      <w:bookmarkStart w:id="38363" w:name="_ETM_Q70_741207"/>
      <w:bookmarkEnd w:id="38363"/>
      <w:r>
        <w:rPr>
          <w:rFonts w:hint="cs"/>
          <w:rtl/>
        </w:rPr>
        <w:t>קר-טית.</w:t>
      </w:r>
      <w:bookmarkStart w:id="38364" w:name="_ETM_Q70_746370"/>
      <w:bookmarkEnd w:id="38364"/>
    </w:p>
    <w:p w:rsidR="00BB59CD" w:rsidRDefault="00BB59CD" w:rsidP="00BB59CD">
      <w:pPr>
        <w:rPr>
          <w:rtl/>
        </w:rPr>
      </w:pPr>
      <w:bookmarkStart w:id="38365" w:name="_ETM_Q70_750287"/>
      <w:bookmarkStart w:id="38366" w:name="_ETM_Q70_750346"/>
      <w:bookmarkEnd w:id="38365"/>
      <w:bookmarkEnd w:id="38366"/>
    </w:p>
    <w:p w:rsidR="00BB59CD" w:rsidRDefault="00BB59CD" w:rsidP="00BB59CD">
      <w:pPr>
        <w:rPr>
          <w:rtl/>
        </w:rPr>
      </w:pPr>
      <w:bookmarkStart w:id="38367" w:name="_ETM_Q70_750455"/>
      <w:bookmarkStart w:id="38368" w:name="_ETM_Q70_750499"/>
      <w:bookmarkStart w:id="38369" w:name="_ETM_Q70_745567"/>
      <w:bookmarkEnd w:id="38367"/>
      <w:bookmarkEnd w:id="38368"/>
      <w:bookmarkEnd w:id="38369"/>
      <w:r>
        <w:rPr>
          <w:rFonts w:hint="cs"/>
          <w:rtl/>
        </w:rPr>
        <w:t xml:space="preserve">נשים </w:t>
      </w:r>
      <w:bookmarkStart w:id="38370" w:name="_ETM_Q70_746820"/>
      <w:bookmarkEnd w:id="38370"/>
      <w:r>
        <w:rPr>
          <w:rFonts w:hint="cs"/>
          <w:rtl/>
        </w:rPr>
        <w:t xml:space="preserve">וגברים, </w:t>
      </w:r>
      <w:bookmarkStart w:id="38371" w:name="_ETM_Q70_747540"/>
      <w:bookmarkEnd w:id="38371"/>
      <w:r>
        <w:rPr>
          <w:rFonts w:hint="cs"/>
          <w:rtl/>
        </w:rPr>
        <w:t xml:space="preserve">צעירים </w:t>
      </w:r>
      <w:bookmarkStart w:id="38372" w:name="_ETM_Q70_748139"/>
      <w:bookmarkEnd w:id="38372"/>
      <w:r>
        <w:rPr>
          <w:rFonts w:hint="cs"/>
          <w:rtl/>
        </w:rPr>
        <w:t xml:space="preserve">ומבוגרים, </w:t>
      </w:r>
      <w:bookmarkStart w:id="38373" w:name="_ETM_Q70_749190"/>
      <w:bookmarkEnd w:id="38373"/>
      <w:r>
        <w:rPr>
          <w:rFonts w:hint="cs"/>
          <w:rtl/>
        </w:rPr>
        <w:t xml:space="preserve">ילדים </w:t>
      </w:r>
      <w:bookmarkStart w:id="38374" w:name="_ETM_Q70_750059"/>
      <w:bookmarkEnd w:id="38374"/>
      <w:r>
        <w:rPr>
          <w:rFonts w:hint="cs"/>
          <w:rtl/>
        </w:rPr>
        <w:t xml:space="preserve">וותיקים, </w:t>
      </w:r>
      <w:bookmarkStart w:id="38375" w:name="_ETM_Q70_751429"/>
      <w:bookmarkEnd w:id="38375"/>
      <w:r>
        <w:rPr>
          <w:rFonts w:hint="cs"/>
          <w:rtl/>
        </w:rPr>
        <w:t xml:space="preserve">פטריוטים </w:t>
      </w:r>
      <w:bookmarkStart w:id="38376" w:name="_ETM_Q70_752179"/>
      <w:bookmarkEnd w:id="38376"/>
      <w:r>
        <w:rPr>
          <w:rFonts w:hint="cs"/>
          <w:rtl/>
        </w:rPr>
        <w:t xml:space="preserve">נחושים </w:t>
      </w:r>
      <w:bookmarkStart w:id="38377" w:name="_ETM_Q70_753050"/>
      <w:bookmarkEnd w:id="38377"/>
      <w:r>
        <w:rPr>
          <w:rFonts w:hint="cs"/>
          <w:rtl/>
        </w:rPr>
        <w:t xml:space="preserve">שנלחמים </w:t>
      </w:r>
      <w:bookmarkStart w:id="38378" w:name="_ETM_Q70_753860"/>
      <w:bookmarkEnd w:id="38378"/>
      <w:r>
        <w:rPr>
          <w:rFonts w:hint="cs"/>
          <w:rtl/>
        </w:rPr>
        <w:t xml:space="preserve">עם </w:t>
      </w:r>
      <w:bookmarkStart w:id="38379" w:name="_ETM_Q70_754039"/>
      <w:bookmarkEnd w:id="38379"/>
      <w:r>
        <w:rPr>
          <w:rFonts w:hint="cs"/>
          <w:rtl/>
        </w:rPr>
        <w:t xml:space="preserve">כל </w:t>
      </w:r>
      <w:bookmarkStart w:id="38380" w:name="_ETM_Q70_754340"/>
      <w:bookmarkEnd w:id="38380"/>
      <w:r>
        <w:rPr>
          <w:rFonts w:hint="cs"/>
          <w:rtl/>
        </w:rPr>
        <w:t xml:space="preserve">הלב </w:t>
      </w:r>
      <w:bookmarkStart w:id="38381" w:name="_ETM_Q70_754910"/>
      <w:bookmarkEnd w:id="38381"/>
      <w:r>
        <w:rPr>
          <w:rFonts w:hint="cs"/>
          <w:rtl/>
        </w:rPr>
        <w:t xml:space="preserve">וכל </w:t>
      </w:r>
      <w:bookmarkStart w:id="38382" w:name="_ETM_Q70_755420"/>
      <w:bookmarkEnd w:id="38382"/>
      <w:r>
        <w:rPr>
          <w:rFonts w:hint="cs"/>
          <w:rtl/>
        </w:rPr>
        <w:t>הנשמה.</w:t>
      </w:r>
      <w:bookmarkStart w:id="38383" w:name="_ETM_Q70_759540"/>
      <w:bookmarkStart w:id="38384" w:name="_ETM_Q70_759626"/>
      <w:bookmarkStart w:id="38385" w:name="_ETM_Q70_759700"/>
      <w:bookmarkStart w:id="38386" w:name="_ETM_Q70_759788"/>
      <w:bookmarkStart w:id="38387" w:name="_ETM_Q70_786789"/>
      <w:bookmarkStart w:id="38388" w:name="_ETM_Q70_786861"/>
      <w:bookmarkEnd w:id="38383"/>
      <w:bookmarkEnd w:id="38384"/>
      <w:bookmarkEnd w:id="38385"/>
      <w:bookmarkEnd w:id="38386"/>
      <w:bookmarkEnd w:id="38387"/>
      <w:bookmarkEnd w:id="38388"/>
      <w:r>
        <w:rPr>
          <w:rFonts w:hint="cs"/>
          <w:rtl/>
        </w:rPr>
        <w:t xml:space="preserve"> </w:t>
      </w:r>
      <w:bookmarkStart w:id="38389" w:name="_ETM_Q70_796541"/>
      <w:bookmarkStart w:id="38390" w:name="_ETM_Q70_796613"/>
      <w:bookmarkStart w:id="38391" w:name="TOR_Q71"/>
      <w:bookmarkEnd w:id="38389"/>
      <w:bookmarkEnd w:id="38390"/>
      <w:bookmarkEnd w:id="38391"/>
      <w:r>
        <w:rPr>
          <w:rFonts w:hint="cs"/>
          <w:rtl/>
        </w:rPr>
        <w:t xml:space="preserve">אנחנו שומעים אותם ברגעים אלו ממש עומדים מחוץ לבית הזה, המקום שקם כדי לדאוג להם ולייצג אותם, והם בחוץ זועקים את זעקתם. היום יצאנו בחום הקופח. מגן סאקר הלכנו ברגל עד חזית הכנסת ונטפנו זיעה. המונים, עשרות </w:t>
      </w:r>
      <w:bookmarkStart w:id="38392" w:name="_ETM_Q71_179671"/>
      <w:bookmarkEnd w:id="38392"/>
      <w:r>
        <w:rPr>
          <w:rFonts w:hint="cs"/>
          <w:rtl/>
        </w:rPr>
        <w:t xml:space="preserve">אלפים של אזרחים עם דגלים, צועדים לכנסת לזעוק זעקת אמת, </w:t>
      </w:r>
      <w:bookmarkStart w:id="38393" w:name="_ETM_Q71_186726"/>
      <w:bookmarkEnd w:id="38393"/>
      <w:r>
        <w:rPr>
          <w:rFonts w:hint="cs"/>
          <w:rtl/>
        </w:rPr>
        <w:t xml:space="preserve">זעקת אזרחים שוחרי דמוקרטיה, זעקת ציונים אוהבי ישראל, הורים וסבים החרדים לגורל הדורות הבאים, לגורל הילדים והנכדים שלהם, צעירים שרוצים עתיד במדינה הזאת, במדינה שבה נולדו וגדלו, במדינה שבה הם רוצים להמשיך ולחיות, לעבוד, להקים משפחות. </w:t>
      </w:r>
    </w:p>
    <w:p w:rsidR="00BB59CD" w:rsidRDefault="00BB59CD" w:rsidP="00BB59CD">
      <w:pPr>
        <w:rPr>
          <w:rtl/>
        </w:rPr>
      </w:pPr>
    </w:p>
    <w:p w:rsidR="00BB59CD" w:rsidRDefault="00BB59CD" w:rsidP="00BF6FBE">
      <w:pPr>
        <w:rPr>
          <w:rtl/>
        </w:rPr>
      </w:pPr>
      <w:r>
        <w:rPr>
          <w:rFonts w:hint="cs"/>
          <w:rtl/>
        </w:rPr>
        <w:t xml:space="preserve">בימים האחרונים העם צעד לירושלים בהמוניו, נחיל ארוך ארוך של אנשים שפשוט עזבו הכול והתחילו ללכת. פתאום קם אדם והתחיל ללכת. פתאום </w:t>
      </w:r>
      <w:bookmarkStart w:id="38394" w:name="_ETM_Q71_238941"/>
      <w:bookmarkEnd w:id="38394"/>
      <w:r>
        <w:rPr>
          <w:rFonts w:hint="cs"/>
          <w:rtl/>
        </w:rPr>
        <w:t>קם עם והתחיל ללכת. התחילו ללכת בשמש הקופחת של יולי בתנאים</w:t>
      </w:r>
      <w:r w:rsidR="00BF6FBE">
        <w:rPr>
          <w:rFonts w:hint="cs"/>
          <w:rtl/>
        </w:rPr>
        <w:t xml:space="preserve"> </w:t>
      </w:r>
      <w:r>
        <w:rPr>
          <w:rFonts w:hint="cs"/>
          <w:rtl/>
        </w:rPr>
        <w:t>לא</w:t>
      </w:r>
      <w:r w:rsidR="00BF6FBE">
        <w:rPr>
          <w:rFonts w:hint="cs"/>
          <w:rtl/>
        </w:rPr>
        <w:t xml:space="preserve"> </w:t>
      </w:r>
      <w:r>
        <w:rPr>
          <w:rFonts w:hint="cs"/>
          <w:rtl/>
        </w:rPr>
        <w:t xml:space="preserve">תנאים. בתחילת הדרך הם היו רק כמה מאות. המאות מהר מאוד הפכו לאלפים, האלפים הפכו לעשרות אלפים, ואתמול כבר היו כ-100,000 צועדים בעלייה לירושלים. מי שלא ראה את המחזה הזה לא ראה מחזה מרגש מימיו. הם הגיעו לירושלים והם עדיין כאן, במאהלים, צועדים לפני הכנסת, לפני </w:t>
      </w:r>
      <w:bookmarkStart w:id="38395" w:name="_ETM_Q71_277235"/>
      <w:bookmarkEnd w:id="38395"/>
      <w:r>
        <w:rPr>
          <w:rFonts w:hint="cs"/>
          <w:rtl/>
        </w:rPr>
        <w:t xml:space="preserve">בית המשפט העליון, בכל מקום, כמובן בהרבה מאוד מוקדים בארץ. הם כאן ויישארו כאן וישמיעו את קולם ויזכירו לנו את חובתנו להם כנבחרי ציבור, חובתנו להם כנבחרי </w:t>
      </w:r>
      <w:bookmarkStart w:id="38396" w:name="_ETM_Q71_292482"/>
      <w:bookmarkEnd w:id="38396"/>
      <w:r>
        <w:rPr>
          <w:rFonts w:hint="cs"/>
          <w:rtl/>
        </w:rPr>
        <w:t xml:space="preserve">ציבור לשרת אותם, לדאוג להם, למלא את התפקיד שלשמו נבחרנו בבית הזה. </w:t>
      </w:r>
    </w:p>
    <w:p w:rsidR="00BB59CD" w:rsidRDefault="00BB59CD" w:rsidP="00BB59CD">
      <w:pPr>
        <w:rPr>
          <w:rtl/>
        </w:rPr>
      </w:pPr>
      <w:bookmarkStart w:id="38397" w:name="_ETM_Q71_302898"/>
      <w:bookmarkStart w:id="38398" w:name="_ETM_Q71_302961"/>
      <w:bookmarkEnd w:id="38397"/>
      <w:bookmarkEnd w:id="38398"/>
    </w:p>
    <w:p w:rsidR="00BB59CD" w:rsidRDefault="00BB59CD" w:rsidP="00BF6FBE">
      <w:pPr>
        <w:rPr>
          <w:rtl/>
        </w:rPr>
      </w:pPr>
      <w:bookmarkStart w:id="38399" w:name="_ETM_Q71_303026"/>
      <w:bookmarkStart w:id="38400" w:name="_ETM_Q71_303075"/>
      <w:bookmarkEnd w:id="38399"/>
      <w:bookmarkEnd w:id="38400"/>
      <w:r>
        <w:rPr>
          <w:rFonts w:hint="cs"/>
          <w:rtl/>
        </w:rPr>
        <w:t xml:space="preserve">הם לא אנרכיסטים, הם לא פורעי חוק, הם לא סרבנים, הם לא צפונבונים מפונקים. הם אזרחים שנלחמים על חייהם. הם אזרחים שנלחמים על המדינה שלהם, אנשים שעזבו הכול ופשוט באו, עלו לירושלים; אנשים שעומדים מחוץ לבית הזה תחת השמש הקופחת וזועקים מדם ליבם; אנשים שכל חייהם הם עובדים, הם משלמים מיסים, הם משרתים בצבא, הם מתנדבים למילואים – כן, מתנדבים למילואים, תורמים למדינה; אנשים שמבינים שהמדינה שינתה פניה, שהמדינה הפרה את החוזה שלה מולם ולא מוכנים </w:t>
      </w:r>
      <w:r w:rsidR="00BF6FBE">
        <w:rPr>
          <w:rFonts w:hint="cs"/>
          <w:rtl/>
        </w:rPr>
        <w:t xml:space="preserve">יותר </w:t>
      </w:r>
      <w:r>
        <w:rPr>
          <w:rFonts w:hint="cs"/>
          <w:rtl/>
        </w:rPr>
        <w:t xml:space="preserve">לעבור על כך בשתיקה. אנחנו חייבים לאנשים האלה חוב גדול. בראש ובראשונה אנחנו מחויבים לשמור על צביונה של המדינה בשבילם – מדינה יהודית ודמוקרטית, מדינה שהוקמה על ערכי מגילת העצמאות. </w:t>
      </w:r>
    </w:p>
    <w:p w:rsidR="00BB59CD" w:rsidRDefault="00BB59CD" w:rsidP="00BB59CD">
      <w:pPr>
        <w:rPr>
          <w:rtl/>
        </w:rPr>
      </w:pPr>
      <w:bookmarkStart w:id="38401" w:name="_ETM_Q71_379489"/>
      <w:bookmarkStart w:id="38402" w:name="_ETM_Q71_379535"/>
      <w:bookmarkEnd w:id="38401"/>
      <w:bookmarkEnd w:id="38402"/>
    </w:p>
    <w:p w:rsidR="00BB59CD" w:rsidRDefault="00BB59CD" w:rsidP="00C94ACC">
      <w:pPr>
        <w:rPr>
          <w:rtl/>
        </w:rPr>
      </w:pPr>
      <w:bookmarkStart w:id="38403" w:name="_ETM_Q71_379633"/>
      <w:bookmarkStart w:id="38404" w:name="_ETM_Q71_379687"/>
      <w:bookmarkEnd w:id="38403"/>
      <w:bookmarkEnd w:id="38404"/>
      <w:r>
        <w:rPr>
          <w:rFonts w:hint="cs"/>
          <w:rtl/>
        </w:rPr>
        <w:t xml:space="preserve">כדי להציל את העם הזה, את המדינה הזאת, דרושה </w:t>
      </w:r>
      <w:bookmarkStart w:id="38405" w:name="_ETM_Q71_381175"/>
      <w:bookmarkEnd w:id="38405"/>
      <w:r>
        <w:rPr>
          <w:rFonts w:hint="cs"/>
          <w:rtl/>
        </w:rPr>
        <w:t xml:space="preserve">פשוט מנהיגות. ראש הממשלה שלנו חסר מנהיגות. ראש הממשלה חלש וסחיט מול שותפיו הקואליציוניים וגם מול כוחות מבית. ראש ממשלה כזה הוא לא מנהיג. ראש ממשלה שעומד ומשקר במצח נחושה לעם, אומר לשתות מים </w:t>
      </w:r>
      <w:bookmarkStart w:id="38406" w:name="_ETM_Q71_403852"/>
      <w:bookmarkEnd w:id="38406"/>
      <w:r>
        <w:rPr>
          <w:rFonts w:hint="cs"/>
          <w:rtl/>
        </w:rPr>
        <w:t xml:space="preserve">כשבעצם הוא מסתיר בעיה בריאותית, הוא לא מנהיג. ראש ממשלה שדואג למשפטים שמתנהלים נגדו ומבחינתו שתישרף המדינה, הוא לא מנהיג. בסקר שהיה, נדמה לי, בערוץ 13, רק 28% מהתושבים חושבים שנתניהו דואג לטובת המדינה. 59% חושבים שהוא דואג לגורלו האישי. 59%. אז ראש הממשלה, אם אתה שומע אותי ממיטת חולייך, מה החזון שלך? מה תמונת העתיד שאתה רואה עבורנו, אזרחי </w:t>
      </w:r>
      <w:bookmarkStart w:id="38407" w:name="_ETM_Q71_443882"/>
      <w:bookmarkEnd w:id="38407"/>
      <w:r>
        <w:rPr>
          <w:rFonts w:hint="cs"/>
          <w:rtl/>
        </w:rPr>
        <w:t>ישראל? האם האנשים שקוראים ברחובות</w:t>
      </w:r>
      <w:bookmarkStart w:id="38408" w:name="_ETM_Q71_447581"/>
      <w:bookmarkEnd w:id="38408"/>
      <w:r>
        <w:rPr>
          <w:rFonts w:hint="cs"/>
          <w:rtl/>
        </w:rPr>
        <w:t xml:space="preserve"> </w:t>
      </w:r>
      <w:bookmarkStart w:id="38409" w:name="_ETM_Q71_447713"/>
      <w:bookmarkEnd w:id="38409"/>
      <w:r>
        <w:rPr>
          <w:rFonts w:hint="cs"/>
          <w:rtl/>
        </w:rPr>
        <w:t xml:space="preserve">"רק ביבי" יודעים לאן אתה מוביל אותנו? כי אני לא יודעת. האם אתה, אדוני ראש הממשלה, יודע לאן אתה </w:t>
      </w:r>
      <w:bookmarkStart w:id="38410" w:name="_ETM_Q71_457288"/>
      <w:bookmarkEnd w:id="38410"/>
      <w:r>
        <w:rPr>
          <w:rFonts w:hint="cs"/>
          <w:rtl/>
        </w:rPr>
        <w:t xml:space="preserve">מנווט את הספינה היקרה הזאת, יקרה מפז? </w:t>
      </w:r>
    </w:p>
    <w:p w:rsidR="00BB59CD" w:rsidRDefault="00BB59CD" w:rsidP="00BB59CD">
      <w:pPr>
        <w:rPr>
          <w:rtl/>
        </w:rPr>
      </w:pPr>
    </w:p>
    <w:p w:rsidR="00BB59CD" w:rsidRDefault="00BB59CD" w:rsidP="00BB59CD">
      <w:pPr>
        <w:rPr>
          <w:rtl/>
        </w:rPr>
      </w:pPr>
      <w:r>
        <w:rPr>
          <w:rFonts w:hint="cs"/>
          <w:rtl/>
        </w:rPr>
        <w:t xml:space="preserve">"אני, בנימין נתניהו, מתחייב כראש הממשלה לשמור אמונים למדינת ישראל ולחוקיה, למלא באמונה את תפקידי כראש הממשלה ולקיים את </w:t>
      </w:r>
      <w:bookmarkStart w:id="38411" w:name="_ETM_Q71_475328"/>
      <w:bookmarkEnd w:id="38411"/>
      <w:r>
        <w:rPr>
          <w:rFonts w:hint="cs"/>
          <w:rtl/>
        </w:rPr>
        <w:t xml:space="preserve">החלטות הכנסת", כך אמר. אז אדוני ראש הממשלה, מה קרה לאותה שבועה? איפה האחריות? אדוני, לנו כנבחרי ציבור יש אחריות לעם הזה, לכל העם הזה. נשבענו לשמור אמונים למדינת ישראל. מי שיצביע בעד חוק ביטול עילת הסבירות, חוק שנולד בחטא וקודם בדורסנות ובבריונות, תוך סתימת פיות וללא נכונות להקשיב לצד השני, פוגע פגיעה ישירה בדמוקרטיה, בערכים שבשמם הוקמה המדינה. מי שיצביע בעד חוק ביטול עילת הסבירות </w:t>
      </w:r>
      <w:bookmarkStart w:id="38412" w:name="_ETM_Q71_513191"/>
      <w:bookmarkEnd w:id="38412"/>
      <w:r>
        <w:rPr>
          <w:rFonts w:hint="cs"/>
          <w:rtl/>
        </w:rPr>
        <w:t xml:space="preserve">פוגע באזרחי המדינה ומסכן את המשך קיומה של מדינת ישראל, כן, מסכן את המשך קיומה של מדינת ישראל כדמוקרטיה – השבר בעם, הקיטוב בין המחנות, השיח </w:t>
      </w:r>
      <w:bookmarkStart w:id="38413" w:name="_ETM_Q71_530424"/>
      <w:bookmarkEnd w:id="38413"/>
      <w:r>
        <w:rPr>
          <w:rFonts w:hint="cs"/>
          <w:rtl/>
        </w:rPr>
        <w:t xml:space="preserve">הקשה, הפגיעה בלכידות צה"ל, הפגיעה בכשירות הצבא, חיכוכים במקומות עבודה, ברחובות, בבתי הספר, בתפוצות. </w:t>
      </w:r>
    </w:p>
    <w:p w:rsidR="00BB59CD" w:rsidRDefault="00BB59CD" w:rsidP="00BB59CD">
      <w:pPr>
        <w:rPr>
          <w:rtl/>
        </w:rPr>
      </w:pPr>
      <w:bookmarkStart w:id="38414" w:name="_ETM_Q71_541107"/>
      <w:bookmarkStart w:id="38415" w:name="_ETM_Q71_541161"/>
      <w:bookmarkEnd w:id="38414"/>
      <w:bookmarkEnd w:id="38415"/>
    </w:p>
    <w:p w:rsidR="00BB59CD" w:rsidRDefault="00BB59CD" w:rsidP="00BB59CD">
      <w:pPr>
        <w:rPr>
          <w:rtl/>
        </w:rPr>
      </w:pPr>
      <w:bookmarkStart w:id="38416" w:name="_ETM_Q71_541233"/>
      <w:bookmarkStart w:id="38417" w:name="_ETM_Q71_541280"/>
      <w:bookmarkEnd w:id="38416"/>
      <w:bookmarkEnd w:id="38417"/>
      <w:r>
        <w:rPr>
          <w:rFonts w:hint="cs"/>
          <w:rtl/>
        </w:rPr>
        <w:t xml:space="preserve">חברי הקואליציה, אם אתם שומעים אותי, עוד לא מאוחר לעצור את זה, למנוע את ההרס. איפה האחריות שלכם, חברי הקואליציה? המדינה הזאת ניתנה לכם כפיקדון </w:t>
      </w:r>
      <w:bookmarkStart w:id="38418" w:name="_ETM_Q71_553811"/>
      <w:bookmarkEnd w:id="38418"/>
      <w:r>
        <w:rPr>
          <w:rFonts w:hint="cs"/>
          <w:rtl/>
        </w:rPr>
        <w:t xml:space="preserve">קודש. תנו דעתכם שלא תקלקלו ותחריבו את עולמנו, שאם קלקלתם אין מי שיתקן אחריכם. חברי הקואליציה, דמיינו בליבכם שההצבעה הייתה חשאית ואז הצביעו. אל תיראו ואל תחתו. הצביעו את שאומר ליבכם, צו מצפונכם. </w:t>
      </w:r>
      <w:bookmarkStart w:id="38419" w:name="_ETM_Q71_575591"/>
      <w:bookmarkEnd w:id="38419"/>
      <w:r>
        <w:rPr>
          <w:rFonts w:hint="cs"/>
          <w:rtl/>
        </w:rPr>
        <w:t xml:space="preserve">הצביעו מדם ליבכם. </w:t>
      </w:r>
    </w:p>
    <w:p w:rsidR="00BB59CD" w:rsidRDefault="00BB59CD" w:rsidP="00BB59CD">
      <w:pPr>
        <w:rPr>
          <w:rtl/>
        </w:rPr>
      </w:pPr>
    </w:p>
    <w:p w:rsidR="00BB59CD" w:rsidRDefault="00BB59CD" w:rsidP="00BB59CD">
      <w:pPr>
        <w:rPr>
          <w:rtl/>
        </w:rPr>
      </w:pPr>
      <w:r>
        <w:rPr>
          <w:rFonts w:hint="cs"/>
          <w:rtl/>
        </w:rPr>
        <w:t xml:space="preserve">אני מבקשת לסיים במשהו אישי. לאחרונה, כשאני שבה מאוד עצובה הביתה ומחבקת את בני ביתי, אני רועדת. יש בי מחנק ואני מתקשה למצוא נחמה. אני חרדה לעתיד שלהם בארץ הזאת, בחברה הזאת, בקהילת עם ישראל. אבל בתום הכנס הזה בסוף השבוע הזה, אני עדה שעשיתי כל שביכולתי כדי שיהיה בסדר, כדי שלמדינה שלנו יהיה עתיד טוב יותר. אז משפחתי האהובה, מעל </w:t>
      </w:r>
      <w:bookmarkStart w:id="38420" w:name="_ETM_Q71_614989"/>
      <w:bookmarkEnd w:id="38420"/>
      <w:r>
        <w:rPr>
          <w:rFonts w:hint="cs"/>
          <w:rtl/>
        </w:rPr>
        <w:t xml:space="preserve">הבימה הזאת, ערן בן זוגי, ילדיי תמר, אלון ונעמה וכמובן שני נכדים הרכים בשנים נגב </w:t>
      </w:r>
      <w:bookmarkStart w:id="38421" w:name="_ETM_Q71_618378"/>
      <w:bookmarkEnd w:id="38421"/>
      <w:r>
        <w:rPr>
          <w:rFonts w:hint="cs"/>
          <w:rtl/>
        </w:rPr>
        <w:t xml:space="preserve">ואשל התמימים והמחייכים, בי נשבעתי שאעשה כל שביכולתי כדי שהארץ הזאת, המדינה הזאת, תהיה ראויה לכם.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לחברת הכנסת מטי צרפתי הרכבי. </w:t>
      </w:r>
      <w:bookmarkStart w:id="38422" w:name="_ETM_Q71_630118"/>
      <w:bookmarkStart w:id="38423" w:name="_ETM_Q71_630422"/>
      <w:bookmarkStart w:id="38424" w:name="_ETM_Q71_630474"/>
      <w:bookmarkStart w:id="38425" w:name="_ETM_Q71_630534"/>
      <w:bookmarkStart w:id="38426" w:name="_ETM_Q71_630587"/>
      <w:bookmarkEnd w:id="38422"/>
      <w:bookmarkEnd w:id="38423"/>
      <w:bookmarkEnd w:id="38424"/>
      <w:bookmarkEnd w:id="38425"/>
      <w:bookmarkEnd w:id="38426"/>
      <w:r>
        <w:rPr>
          <w:rFonts w:hint="cs"/>
          <w:rtl/>
          <w:lang w:eastAsia="he-IL"/>
        </w:rPr>
        <w:t xml:space="preserve">יעלה כעת ויבוא חבר הכנסת ולדימיר בליאק, בבקשה. בבקשה, אדוני, עד 40 דקות לרשותך. </w:t>
      </w:r>
    </w:p>
    <w:p w:rsidR="00BB59CD" w:rsidRDefault="00BB59CD" w:rsidP="00BB59CD">
      <w:pPr>
        <w:rPr>
          <w:rtl/>
          <w:lang w:eastAsia="he-IL"/>
        </w:rPr>
      </w:pPr>
    </w:p>
    <w:p w:rsidR="00BB59CD" w:rsidRDefault="00BB59CD" w:rsidP="00BB59CD">
      <w:pPr>
        <w:pStyle w:val="a5"/>
        <w:keepNext/>
        <w:rPr>
          <w:rtl/>
        </w:rPr>
      </w:pPr>
      <w:bookmarkStart w:id="38427" w:name="ET_speaker_6127_2"/>
      <w:r>
        <w:rPr>
          <w:rStyle w:val="TagStyle"/>
          <w:rFonts w:hint="cs"/>
          <w:rtl/>
        </w:rPr>
        <w:t xml:space="preserve"> &lt;&lt; דובר &gt;&gt; </w:t>
      </w:r>
      <w:bookmarkStart w:id="38428" w:name="_Toc141197167"/>
      <w:bookmarkStart w:id="38429" w:name="_Toc141196903"/>
      <w:r>
        <w:rPr>
          <w:rFonts w:hint="cs"/>
          <w:rtl/>
        </w:rPr>
        <w:t>ולדימיר בליאק (יש עתיד):</w:t>
      </w:r>
      <w:bookmarkEnd w:id="38428"/>
      <w:bookmarkEnd w:id="38429"/>
      <w:r>
        <w:rPr>
          <w:rStyle w:val="TagStyle"/>
          <w:rFonts w:hint="cs"/>
          <w:rtl/>
        </w:rPr>
        <w:t xml:space="preserve"> &lt;&lt; דובר &gt;&gt;</w:t>
      </w:r>
      <w:r>
        <w:rPr>
          <w:rFonts w:hint="cs"/>
          <w:rtl/>
        </w:rPr>
        <w:t xml:space="preserve">   </w:t>
      </w:r>
      <w:bookmarkEnd w:id="38427"/>
    </w:p>
    <w:p w:rsidR="00BB59CD" w:rsidRDefault="00BB59CD" w:rsidP="00337201">
      <w:pPr>
        <w:rPr>
          <w:rtl/>
          <w:lang w:eastAsia="he-IL"/>
        </w:rPr>
      </w:pPr>
    </w:p>
    <w:p w:rsidR="00BB59CD" w:rsidRDefault="00BB59CD" w:rsidP="00C94ACC">
      <w:pPr>
        <w:rPr>
          <w:rtl/>
          <w:lang w:eastAsia="he-IL"/>
        </w:rPr>
      </w:pPr>
      <w:r>
        <w:rPr>
          <w:rFonts w:hint="cs"/>
          <w:rtl/>
          <w:lang w:eastAsia="he-IL"/>
        </w:rPr>
        <w:t xml:space="preserve">תודה רבה, אדוני היושב-ראש. חבריי חברי הכנסת, גברתי השרה, אנחנו נמצאים בימים גורליים לעתידה של מדינת ישראל. הבית שלנו מתפרק; הבית שלנו נהרס. החוזה בין הממשלה לאזרחיה הופר. בכל יום שעובר הקרע בינינו מעמיק יותר ויותר. זאת חובתה של ממשלה לקחת אחריות בערב הקשה הזה, אבל לצערי זה לא קורה. להפך. שרי הממשלה חסרי אחריות רק מוסיפים שמן למדורת הפילוג </w:t>
      </w:r>
      <w:bookmarkStart w:id="38430" w:name="_ETM_Q71_704322"/>
      <w:bookmarkEnd w:id="38430"/>
      <w:r>
        <w:rPr>
          <w:rFonts w:hint="cs"/>
          <w:rtl/>
          <w:lang w:eastAsia="he-IL"/>
        </w:rPr>
        <w:t xml:space="preserve">והשנאה. </w:t>
      </w:r>
    </w:p>
    <w:p w:rsidR="00BB59CD" w:rsidRDefault="00BB59CD" w:rsidP="00BB59CD">
      <w:pPr>
        <w:rPr>
          <w:rtl/>
          <w:lang w:eastAsia="he-IL"/>
        </w:rPr>
      </w:pPr>
      <w:bookmarkStart w:id="38431" w:name="_ETM_Q71_675639"/>
      <w:bookmarkStart w:id="38432" w:name="_ETM_Q71_675707"/>
      <w:bookmarkEnd w:id="38431"/>
      <w:bookmarkEnd w:id="38432"/>
    </w:p>
    <w:p w:rsidR="00BB59CD" w:rsidRDefault="00BB59CD" w:rsidP="00BB59CD">
      <w:pPr>
        <w:rPr>
          <w:rtl/>
          <w:lang w:eastAsia="he-IL"/>
        </w:rPr>
      </w:pPr>
      <w:bookmarkStart w:id="38433" w:name="_ETM_Q71_675803"/>
      <w:bookmarkStart w:id="38434" w:name="_ETM_Q71_675855"/>
      <w:bookmarkEnd w:id="38433"/>
      <w:bookmarkEnd w:id="38434"/>
      <w:r>
        <w:rPr>
          <w:rFonts w:hint="cs"/>
          <w:rtl/>
          <w:lang w:eastAsia="he-IL"/>
        </w:rPr>
        <w:t xml:space="preserve">בששת החודשים האחרונים הממשלה הכושלת עשתה הכול, הכול כולל הכול, כדי לפגוע בכלכלה, בביטחון האישי, בחוסן החברתי שלנו, ולצערי גם הצליחה. </w:t>
      </w:r>
      <w:bookmarkStart w:id="38435" w:name="_ETM_Q71_724590"/>
      <w:bookmarkStart w:id="38436" w:name="_ETM_Q71_724642"/>
      <w:bookmarkStart w:id="38437" w:name="_ETM_Q71_724717"/>
      <w:bookmarkStart w:id="38438" w:name="_ETM_Q71_724762"/>
      <w:bookmarkEnd w:id="38435"/>
      <w:bookmarkEnd w:id="38436"/>
      <w:bookmarkEnd w:id="38437"/>
      <w:bookmarkEnd w:id="38438"/>
      <w:r>
        <w:rPr>
          <w:rFonts w:hint="cs"/>
          <w:rtl/>
          <w:lang w:eastAsia="he-IL"/>
        </w:rPr>
        <w:t xml:space="preserve">לא רק שהיא מסרבת לעבוד ולעשות את עבודתה הבסיסית עבור הציבור, היא פוגעת ביודעין בכל אחד ואחת מאיתנו למען האינטרסים הזרים של חבריה. היא לא מנידה עפעף בזמן שהיא פוסעת לעבר הפגיעה בדמוקרטיה, לעבר מדינת הלכה,  למקום שבו למעמד הביניים הישראלי אין מקום, לנשים אין מקום, ללהט"בים אין מקום, לעולים </w:t>
      </w:r>
      <w:bookmarkStart w:id="38439" w:name="_ETM_Q71_757206"/>
      <w:bookmarkEnd w:id="38439"/>
      <w:r>
        <w:rPr>
          <w:rFonts w:hint="cs"/>
          <w:rtl/>
          <w:lang w:eastAsia="he-IL"/>
        </w:rPr>
        <w:t xml:space="preserve">אין מקום, בעצם אין מקום לכל מי שחפץ במדינה יהודית דמוקרטית וליברלית. </w:t>
      </w:r>
    </w:p>
    <w:p w:rsidR="00BB59CD" w:rsidRDefault="00BB59CD" w:rsidP="00BB59CD">
      <w:pPr>
        <w:rPr>
          <w:lang w:eastAsia="he-IL"/>
        </w:rPr>
      </w:pPr>
    </w:p>
    <w:p w:rsidR="00BB59CD" w:rsidRDefault="00BB59CD" w:rsidP="00C94ACC">
      <w:bookmarkStart w:id="38440" w:name="TOR_Q72"/>
      <w:bookmarkStart w:id="38441" w:name="_ETM_Q72_180550"/>
      <w:bookmarkEnd w:id="38440"/>
      <w:bookmarkEnd w:id="38441"/>
      <w:r>
        <w:rPr>
          <w:rFonts w:hint="cs"/>
          <w:rtl/>
        </w:rPr>
        <w:t>הממשלה המנותקת עוסקת בחודשים האחרונים אך ורק בהפיכה המש</w:t>
      </w:r>
      <w:r w:rsidR="00C94ACC">
        <w:rPr>
          <w:rFonts w:hint="cs"/>
          <w:rtl/>
        </w:rPr>
        <w:t>טרית</w:t>
      </w:r>
      <w:r>
        <w:rPr>
          <w:rFonts w:hint="cs"/>
          <w:rtl/>
        </w:rPr>
        <w:t xml:space="preserve">; שום דבר אחר לא מעניין אותה. מאות </w:t>
      </w:r>
      <w:bookmarkStart w:id="38442" w:name="_ETM_Q72_180940"/>
      <w:bookmarkEnd w:id="38442"/>
      <w:r>
        <w:rPr>
          <w:rFonts w:hint="cs"/>
          <w:rtl/>
        </w:rPr>
        <w:t xml:space="preserve">שעות </w:t>
      </w:r>
      <w:bookmarkStart w:id="38443" w:name="_ETM_Q72_181389"/>
      <w:bookmarkEnd w:id="38443"/>
      <w:r>
        <w:rPr>
          <w:rFonts w:hint="cs"/>
          <w:rtl/>
        </w:rPr>
        <w:t xml:space="preserve">של </w:t>
      </w:r>
      <w:bookmarkStart w:id="38444" w:name="_ETM_Q72_181780"/>
      <w:bookmarkEnd w:id="38444"/>
      <w:r>
        <w:rPr>
          <w:rFonts w:hint="cs"/>
          <w:rtl/>
        </w:rPr>
        <w:t xml:space="preserve">דיונים </w:t>
      </w:r>
      <w:bookmarkStart w:id="38445" w:name="_ETM_Q72_182290"/>
      <w:bookmarkEnd w:id="38445"/>
      <w:r>
        <w:rPr>
          <w:rFonts w:hint="cs"/>
          <w:rtl/>
        </w:rPr>
        <w:t xml:space="preserve">בוועדות </w:t>
      </w:r>
      <w:bookmarkStart w:id="38446" w:name="_ETM_Q72_182919"/>
      <w:bookmarkEnd w:id="38446"/>
      <w:r>
        <w:rPr>
          <w:rFonts w:hint="cs"/>
          <w:rtl/>
        </w:rPr>
        <w:t xml:space="preserve">ובמליאה </w:t>
      </w:r>
      <w:bookmarkStart w:id="38447" w:name="_ETM_Q72_183580"/>
      <w:bookmarkEnd w:id="38447"/>
      <w:r>
        <w:rPr>
          <w:rFonts w:hint="cs"/>
          <w:rtl/>
        </w:rPr>
        <w:t xml:space="preserve">הוקדשו </w:t>
      </w:r>
      <w:bookmarkStart w:id="38448" w:name="_ETM_Q72_184509"/>
      <w:bookmarkEnd w:id="38448"/>
      <w:r>
        <w:rPr>
          <w:rFonts w:hint="cs"/>
          <w:rtl/>
        </w:rPr>
        <w:t xml:space="preserve">להפיכה </w:t>
      </w:r>
      <w:bookmarkStart w:id="38449" w:name="_ETM_Q72_185080"/>
      <w:bookmarkEnd w:id="38449"/>
      <w:r w:rsidR="00C94ACC">
        <w:rPr>
          <w:rFonts w:hint="cs"/>
          <w:rtl/>
        </w:rPr>
        <w:t>ה</w:t>
      </w:r>
      <w:r>
        <w:rPr>
          <w:rFonts w:hint="cs"/>
          <w:rtl/>
        </w:rPr>
        <w:t xml:space="preserve">משטרית, </w:t>
      </w:r>
      <w:bookmarkStart w:id="38450" w:name="_ETM_Q72_186370"/>
      <w:bookmarkEnd w:id="38450"/>
      <w:r>
        <w:rPr>
          <w:rFonts w:hint="cs"/>
          <w:rtl/>
        </w:rPr>
        <w:t xml:space="preserve">לחוקים </w:t>
      </w:r>
      <w:bookmarkStart w:id="38451" w:name="_ETM_Q72_187390"/>
      <w:bookmarkEnd w:id="38451"/>
      <w:r>
        <w:rPr>
          <w:rFonts w:hint="cs"/>
          <w:rtl/>
        </w:rPr>
        <w:t xml:space="preserve">פרסונליים </w:t>
      </w:r>
      <w:bookmarkStart w:id="38452" w:name="_ETM_Q72_188080"/>
      <w:bookmarkEnd w:id="38452"/>
      <w:r>
        <w:rPr>
          <w:rFonts w:hint="cs"/>
          <w:rtl/>
        </w:rPr>
        <w:t>ו</w:t>
      </w:r>
      <w:bookmarkStart w:id="38453" w:name="_ETM_Q72_188350"/>
      <w:bookmarkStart w:id="38454" w:name="_ETM_Q72_188559"/>
      <w:bookmarkEnd w:id="38453"/>
      <w:bookmarkEnd w:id="38454"/>
      <w:r>
        <w:rPr>
          <w:rFonts w:hint="cs"/>
          <w:rtl/>
        </w:rPr>
        <w:t xml:space="preserve">רטרואקטיביים, </w:t>
      </w:r>
      <w:bookmarkStart w:id="38455" w:name="_ETM_Q72_190559"/>
      <w:bookmarkEnd w:id="38455"/>
      <w:r>
        <w:rPr>
          <w:rFonts w:hint="cs"/>
          <w:rtl/>
        </w:rPr>
        <w:t xml:space="preserve">להעברת </w:t>
      </w:r>
      <w:bookmarkStart w:id="38456" w:name="_ETM_Q72_191160"/>
      <w:bookmarkEnd w:id="38456"/>
      <w:r>
        <w:rPr>
          <w:rFonts w:hint="cs"/>
          <w:rtl/>
        </w:rPr>
        <w:t xml:space="preserve">סמכויות </w:t>
      </w:r>
      <w:bookmarkStart w:id="38457" w:name="_ETM_Q72_192610"/>
      <w:bookmarkEnd w:id="38457"/>
      <w:r>
        <w:rPr>
          <w:rFonts w:hint="cs"/>
          <w:rtl/>
        </w:rPr>
        <w:t xml:space="preserve">בין </w:t>
      </w:r>
      <w:bookmarkStart w:id="38458" w:name="_ETM_Q72_192909"/>
      <w:bookmarkEnd w:id="38458"/>
      <w:r>
        <w:rPr>
          <w:rFonts w:hint="cs"/>
          <w:rtl/>
        </w:rPr>
        <w:t xml:space="preserve">משרד </w:t>
      </w:r>
      <w:bookmarkStart w:id="38459" w:name="_ETM_Q72_193480"/>
      <w:bookmarkEnd w:id="38459"/>
      <w:r>
        <w:rPr>
          <w:rFonts w:hint="cs"/>
          <w:rtl/>
        </w:rPr>
        <w:t>מיותר אחד</w:t>
      </w:r>
      <w:bookmarkStart w:id="38460" w:name="_ETM_Q72_194230"/>
      <w:bookmarkEnd w:id="38460"/>
      <w:r>
        <w:rPr>
          <w:rFonts w:hint="cs"/>
          <w:rtl/>
        </w:rPr>
        <w:t xml:space="preserve"> </w:t>
      </w:r>
      <w:bookmarkStart w:id="38461" w:name="_ETM_Q72_194709"/>
      <w:bookmarkEnd w:id="38461"/>
      <w:r>
        <w:rPr>
          <w:rFonts w:hint="cs"/>
          <w:rtl/>
        </w:rPr>
        <w:t xml:space="preserve">למשרד </w:t>
      </w:r>
      <w:bookmarkStart w:id="38462" w:name="_ETM_Q72_195160"/>
      <w:bookmarkEnd w:id="38462"/>
      <w:r>
        <w:rPr>
          <w:rFonts w:hint="cs"/>
          <w:rtl/>
        </w:rPr>
        <w:t xml:space="preserve">מיותר </w:t>
      </w:r>
      <w:bookmarkStart w:id="38463" w:name="_ETM_Q72_195549"/>
      <w:bookmarkEnd w:id="38463"/>
      <w:r>
        <w:rPr>
          <w:rFonts w:hint="cs"/>
          <w:rtl/>
        </w:rPr>
        <w:t xml:space="preserve">אחר. </w:t>
      </w:r>
      <w:bookmarkStart w:id="38464" w:name="_ETM_Q72_196900"/>
      <w:bookmarkEnd w:id="38464"/>
      <w:r>
        <w:rPr>
          <w:rFonts w:hint="cs"/>
          <w:rtl/>
        </w:rPr>
        <w:t xml:space="preserve">אלה </w:t>
      </w:r>
      <w:bookmarkStart w:id="38465" w:name="_ETM_Q72_197260"/>
      <w:bookmarkEnd w:id="38465"/>
      <w:r>
        <w:rPr>
          <w:rFonts w:hint="cs"/>
          <w:rtl/>
        </w:rPr>
        <w:t xml:space="preserve">השעות </w:t>
      </w:r>
      <w:bookmarkStart w:id="38466" w:name="_ETM_Q72_198010"/>
      <w:bookmarkEnd w:id="38466"/>
      <w:r>
        <w:rPr>
          <w:rFonts w:hint="cs"/>
          <w:rtl/>
        </w:rPr>
        <w:t xml:space="preserve">שיכלו </w:t>
      </w:r>
      <w:bookmarkStart w:id="38467" w:name="_ETM_Q72_198550"/>
      <w:bookmarkEnd w:id="38467"/>
      <w:r>
        <w:rPr>
          <w:rFonts w:hint="cs"/>
          <w:rtl/>
        </w:rPr>
        <w:t xml:space="preserve">להיות </w:t>
      </w:r>
      <w:bookmarkStart w:id="38468" w:name="_ETM_Q72_199079"/>
      <w:bookmarkEnd w:id="38468"/>
      <w:r>
        <w:rPr>
          <w:rFonts w:hint="cs"/>
          <w:rtl/>
        </w:rPr>
        <w:t xml:space="preserve">מושקעות </w:t>
      </w:r>
      <w:bookmarkStart w:id="38469" w:name="_ETM_Q72_199770"/>
      <w:bookmarkEnd w:id="38469"/>
      <w:r>
        <w:rPr>
          <w:rFonts w:hint="cs"/>
          <w:rtl/>
        </w:rPr>
        <w:t xml:space="preserve">לטובת </w:t>
      </w:r>
      <w:bookmarkStart w:id="38470" w:name="_ETM_Q72_200369"/>
      <w:bookmarkEnd w:id="38470"/>
      <w:r>
        <w:rPr>
          <w:rFonts w:hint="cs"/>
          <w:rtl/>
        </w:rPr>
        <w:t xml:space="preserve">הבעיות </w:t>
      </w:r>
      <w:bookmarkStart w:id="38471" w:name="_ETM_Q72_201329"/>
      <w:bookmarkEnd w:id="38471"/>
      <w:r>
        <w:rPr>
          <w:rFonts w:hint="cs"/>
          <w:rtl/>
        </w:rPr>
        <w:t xml:space="preserve">האמיתיות </w:t>
      </w:r>
      <w:bookmarkStart w:id="38472" w:name="_ETM_Q72_202020"/>
      <w:bookmarkEnd w:id="38472"/>
      <w:r>
        <w:rPr>
          <w:rFonts w:hint="cs"/>
          <w:rtl/>
        </w:rPr>
        <w:t xml:space="preserve">של </w:t>
      </w:r>
      <w:bookmarkStart w:id="38473" w:name="_ETM_Q72_202170"/>
      <w:bookmarkEnd w:id="38473"/>
      <w:r>
        <w:rPr>
          <w:rFonts w:hint="cs"/>
          <w:rtl/>
        </w:rPr>
        <w:t xml:space="preserve">הציבור </w:t>
      </w:r>
      <w:bookmarkStart w:id="38474" w:name="_ETM_Q72_202529"/>
      <w:bookmarkEnd w:id="38474"/>
      <w:r>
        <w:rPr>
          <w:rFonts w:hint="cs"/>
          <w:rtl/>
        </w:rPr>
        <w:t xml:space="preserve">הישראלי, </w:t>
      </w:r>
      <w:bookmarkStart w:id="38475" w:name="_ETM_Q72_203820"/>
      <w:bookmarkEnd w:id="38475"/>
      <w:r>
        <w:rPr>
          <w:rFonts w:hint="cs"/>
          <w:rtl/>
        </w:rPr>
        <w:t xml:space="preserve">לטובת </w:t>
      </w:r>
      <w:bookmarkStart w:id="38476" w:name="_ETM_Q72_204630"/>
      <w:bookmarkEnd w:id="38476"/>
      <w:r>
        <w:rPr>
          <w:rFonts w:hint="cs"/>
          <w:rtl/>
        </w:rPr>
        <w:t xml:space="preserve">טיפול </w:t>
      </w:r>
      <w:bookmarkStart w:id="38477" w:name="_ETM_Q72_205350"/>
      <w:bookmarkEnd w:id="38477"/>
      <w:r>
        <w:rPr>
          <w:rFonts w:hint="cs"/>
          <w:rtl/>
        </w:rPr>
        <w:t xml:space="preserve">חסר </w:t>
      </w:r>
      <w:bookmarkStart w:id="38478" w:name="_ETM_Q72_205800"/>
      <w:bookmarkEnd w:id="38478"/>
      <w:r>
        <w:rPr>
          <w:rFonts w:hint="cs"/>
          <w:rtl/>
        </w:rPr>
        <w:t xml:space="preserve">פשרות </w:t>
      </w:r>
      <w:bookmarkStart w:id="38479" w:name="_ETM_Q72_206899"/>
      <w:bookmarkEnd w:id="38479"/>
      <w:r>
        <w:rPr>
          <w:rFonts w:hint="cs"/>
          <w:rtl/>
        </w:rPr>
        <w:t xml:space="preserve">ביוקר </w:t>
      </w:r>
      <w:bookmarkStart w:id="38480" w:name="_ETM_Q72_207349"/>
      <w:bookmarkEnd w:id="38480"/>
      <w:r>
        <w:rPr>
          <w:rFonts w:hint="cs"/>
          <w:rtl/>
        </w:rPr>
        <w:t xml:space="preserve">המחיה, </w:t>
      </w:r>
      <w:bookmarkStart w:id="38481" w:name="_ETM_Q72_208429"/>
      <w:bookmarkEnd w:id="38481"/>
      <w:r>
        <w:rPr>
          <w:rFonts w:hint="cs"/>
          <w:rtl/>
        </w:rPr>
        <w:t xml:space="preserve">שהפך </w:t>
      </w:r>
      <w:bookmarkStart w:id="38482" w:name="_ETM_Q72_209149"/>
      <w:bookmarkEnd w:id="38482"/>
      <w:r>
        <w:rPr>
          <w:rFonts w:hint="cs"/>
          <w:rtl/>
        </w:rPr>
        <w:t xml:space="preserve">לעול </w:t>
      </w:r>
      <w:bookmarkStart w:id="38483" w:name="_ETM_Q72_209899"/>
      <w:bookmarkEnd w:id="38483"/>
      <w:r>
        <w:rPr>
          <w:rFonts w:hint="cs"/>
          <w:rtl/>
        </w:rPr>
        <w:t xml:space="preserve">כבד </w:t>
      </w:r>
      <w:bookmarkStart w:id="38484" w:name="_ETM_Q72_210890"/>
      <w:bookmarkEnd w:id="38484"/>
      <w:r>
        <w:rPr>
          <w:rFonts w:hint="cs"/>
          <w:rtl/>
        </w:rPr>
        <w:t xml:space="preserve">שכולנו נושאים </w:t>
      </w:r>
      <w:bookmarkStart w:id="38485" w:name="_ETM_Q72_211460"/>
      <w:bookmarkStart w:id="38486" w:name="_ETM_Q72_212550"/>
      <w:bookmarkStart w:id="38487" w:name="_ETM_Q72_212760"/>
      <w:bookmarkEnd w:id="38485"/>
      <w:bookmarkEnd w:id="38486"/>
      <w:bookmarkEnd w:id="38487"/>
      <w:r>
        <w:rPr>
          <w:rFonts w:hint="cs"/>
          <w:rtl/>
        </w:rPr>
        <w:t xml:space="preserve">על </w:t>
      </w:r>
      <w:bookmarkStart w:id="38488" w:name="_ETM_Q72_212850"/>
      <w:bookmarkEnd w:id="38488"/>
      <w:r>
        <w:rPr>
          <w:rFonts w:hint="cs"/>
          <w:rtl/>
        </w:rPr>
        <w:t xml:space="preserve">כתפינו. </w:t>
      </w:r>
    </w:p>
    <w:p w:rsidR="00BB59CD" w:rsidRDefault="00BB59CD" w:rsidP="00BB59CD">
      <w:pPr>
        <w:rPr>
          <w:rtl/>
        </w:rPr>
      </w:pPr>
      <w:bookmarkStart w:id="38489" w:name="_ETM_Q72_215447"/>
      <w:bookmarkStart w:id="38490" w:name="_ETM_Q72_215537"/>
      <w:bookmarkEnd w:id="38489"/>
      <w:bookmarkEnd w:id="38490"/>
    </w:p>
    <w:p w:rsidR="00BB59CD" w:rsidRDefault="00BB59CD" w:rsidP="00BB59CD">
      <w:pPr>
        <w:rPr>
          <w:rtl/>
        </w:rPr>
      </w:pPr>
      <w:bookmarkStart w:id="38491" w:name="_ETM_Q72_215638"/>
      <w:bookmarkStart w:id="38492" w:name="_ETM_Q72_215716"/>
      <w:bookmarkStart w:id="38493" w:name="_ETM_Q72_214449"/>
      <w:bookmarkEnd w:id="38491"/>
      <w:bookmarkEnd w:id="38492"/>
      <w:bookmarkEnd w:id="38493"/>
      <w:r>
        <w:rPr>
          <w:rFonts w:hint="cs"/>
          <w:rtl/>
        </w:rPr>
        <w:t xml:space="preserve">המספרים </w:t>
      </w:r>
      <w:bookmarkStart w:id="38494" w:name="_ETM_Q72_215050"/>
      <w:bookmarkEnd w:id="38494"/>
      <w:r>
        <w:rPr>
          <w:rFonts w:hint="cs"/>
          <w:rtl/>
        </w:rPr>
        <w:t xml:space="preserve">לא </w:t>
      </w:r>
      <w:bookmarkStart w:id="38495" w:name="_ETM_Q72_215170"/>
      <w:bookmarkEnd w:id="38495"/>
      <w:r>
        <w:rPr>
          <w:rFonts w:hint="cs"/>
          <w:rtl/>
        </w:rPr>
        <w:t xml:space="preserve">משקרים. </w:t>
      </w:r>
      <w:bookmarkStart w:id="38496" w:name="_ETM_Q72_216620"/>
      <w:bookmarkEnd w:id="38496"/>
      <w:r>
        <w:rPr>
          <w:rFonts w:hint="cs"/>
          <w:rtl/>
        </w:rPr>
        <w:t xml:space="preserve">36% </w:t>
      </w:r>
      <w:bookmarkStart w:id="38497" w:name="_ETM_Q72_218300"/>
      <w:bookmarkEnd w:id="38497"/>
      <w:r>
        <w:rPr>
          <w:rFonts w:hint="cs"/>
          <w:rtl/>
        </w:rPr>
        <w:t xml:space="preserve">מהציבור </w:t>
      </w:r>
      <w:bookmarkStart w:id="38498" w:name="_ETM_Q72_218839"/>
      <w:bookmarkEnd w:id="38498"/>
      <w:r>
        <w:rPr>
          <w:rFonts w:hint="cs"/>
          <w:rtl/>
        </w:rPr>
        <w:t xml:space="preserve">הישראלי </w:t>
      </w:r>
      <w:bookmarkStart w:id="38499" w:name="_ETM_Q72_219350"/>
      <w:bookmarkEnd w:id="38499"/>
      <w:r>
        <w:rPr>
          <w:rFonts w:hint="cs"/>
          <w:rtl/>
        </w:rPr>
        <w:t xml:space="preserve">חושב </w:t>
      </w:r>
      <w:bookmarkStart w:id="38500" w:name="_ETM_Q72_219800"/>
      <w:bookmarkEnd w:id="38500"/>
      <w:r>
        <w:rPr>
          <w:rFonts w:hint="cs"/>
          <w:rtl/>
        </w:rPr>
        <w:t xml:space="preserve">כי </w:t>
      </w:r>
      <w:bookmarkStart w:id="38501" w:name="_ETM_Q72_219949"/>
      <w:bookmarkEnd w:id="38501"/>
      <w:r>
        <w:rPr>
          <w:rFonts w:hint="cs"/>
          <w:rtl/>
        </w:rPr>
        <w:t xml:space="preserve">הבעיה </w:t>
      </w:r>
      <w:bookmarkStart w:id="38502" w:name="_ETM_Q72_220460"/>
      <w:bookmarkEnd w:id="38502"/>
      <w:r>
        <w:rPr>
          <w:rFonts w:hint="cs"/>
          <w:rtl/>
        </w:rPr>
        <w:t xml:space="preserve">הכי </w:t>
      </w:r>
      <w:bookmarkStart w:id="38503" w:name="_ETM_Q72_220729"/>
      <w:bookmarkStart w:id="38504" w:name="_ETM_Q72_222229"/>
      <w:bookmarkEnd w:id="38503"/>
      <w:bookmarkEnd w:id="38504"/>
      <w:r>
        <w:rPr>
          <w:rFonts w:hint="cs"/>
          <w:rtl/>
        </w:rPr>
        <w:t xml:space="preserve">משמעותית </w:t>
      </w:r>
      <w:bookmarkStart w:id="38505" w:name="_ETM_Q72_222800"/>
      <w:bookmarkEnd w:id="38505"/>
      <w:r>
        <w:rPr>
          <w:rFonts w:hint="cs"/>
          <w:rtl/>
        </w:rPr>
        <w:t xml:space="preserve">במדינת </w:t>
      </w:r>
      <w:bookmarkStart w:id="38506" w:name="_ETM_Q72_223219"/>
      <w:bookmarkEnd w:id="38506"/>
      <w:r>
        <w:rPr>
          <w:rFonts w:hint="cs"/>
          <w:rtl/>
        </w:rPr>
        <w:t xml:space="preserve">ישראל </w:t>
      </w:r>
      <w:bookmarkStart w:id="38507" w:name="_ETM_Q72_223909"/>
      <w:bookmarkEnd w:id="38507"/>
      <w:r>
        <w:rPr>
          <w:rFonts w:hint="cs"/>
          <w:rtl/>
        </w:rPr>
        <w:t xml:space="preserve">היום </w:t>
      </w:r>
      <w:bookmarkStart w:id="38508" w:name="_ETM_Q72_224820"/>
      <w:bookmarkEnd w:id="38508"/>
      <w:r>
        <w:rPr>
          <w:rFonts w:hint="cs"/>
          <w:rtl/>
        </w:rPr>
        <w:t xml:space="preserve">היא יוקר </w:t>
      </w:r>
      <w:bookmarkStart w:id="38509" w:name="_ETM_Q72_225149"/>
      <w:bookmarkEnd w:id="38509"/>
      <w:r>
        <w:rPr>
          <w:rFonts w:hint="cs"/>
          <w:rtl/>
        </w:rPr>
        <w:t xml:space="preserve">המחיה. </w:t>
      </w:r>
      <w:bookmarkStart w:id="38510" w:name="_ETM_Q72_226789"/>
      <w:bookmarkEnd w:id="38510"/>
      <w:r>
        <w:rPr>
          <w:rFonts w:hint="cs"/>
          <w:rtl/>
        </w:rPr>
        <w:t xml:space="preserve">לאחר </w:t>
      </w:r>
      <w:bookmarkStart w:id="38511" w:name="_ETM_Q72_227269"/>
      <w:bookmarkEnd w:id="38511"/>
      <w:r>
        <w:rPr>
          <w:rFonts w:hint="cs"/>
          <w:rtl/>
        </w:rPr>
        <w:t xml:space="preserve">מכן </w:t>
      </w:r>
      <w:bookmarkStart w:id="38512" w:name="_ETM_Q72_227989"/>
      <w:bookmarkEnd w:id="38512"/>
      <w:r>
        <w:rPr>
          <w:rFonts w:hint="cs"/>
          <w:rtl/>
        </w:rPr>
        <w:t xml:space="preserve">כ-21% </w:t>
      </w:r>
      <w:bookmarkStart w:id="38513" w:name="_ETM_Q72_229850"/>
      <w:bookmarkEnd w:id="38513"/>
      <w:r>
        <w:rPr>
          <w:rFonts w:hint="cs"/>
          <w:rtl/>
        </w:rPr>
        <w:t xml:space="preserve">חוששים </w:t>
      </w:r>
      <w:bookmarkStart w:id="38514" w:name="_ETM_Q72_230600"/>
      <w:bookmarkEnd w:id="38514"/>
      <w:r>
        <w:rPr>
          <w:rFonts w:hint="cs"/>
          <w:rtl/>
        </w:rPr>
        <w:t xml:space="preserve">מהפגיעה </w:t>
      </w:r>
      <w:bookmarkStart w:id="38515" w:name="_ETM_Q72_231229"/>
      <w:bookmarkEnd w:id="38515"/>
      <w:r>
        <w:rPr>
          <w:rFonts w:hint="cs"/>
          <w:rtl/>
        </w:rPr>
        <w:t xml:space="preserve">האפשרית </w:t>
      </w:r>
      <w:bookmarkStart w:id="38516" w:name="_ETM_Q72_232769"/>
      <w:bookmarkEnd w:id="38516"/>
      <w:r>
        <w:rPr>
          <w:rFonts w:hint="cs"/>
          <w:rtl/>
        </w:rPr>
        <w:t xml:space="preserve">בדמוקרטיה </w:t>
      </w:r>
      <w:bookmarkStart w:id="38517" w:name="_ETM_Q72_233579"/>
      <w:bookmarkEnd w:id="38517"/>
      <w:r>
        <w:rPr>
          <w:rFonts w:hint="cs"/>
          <w:rtl/>
        </w:rPr>
        <w:t xml:space="preserve">בגלל </w:t>
      </w:r>
      <w:bookmarkStart w:id="38518" w:name="_ETM_Q72_233969"/>
      <w:bookmarkEnd w:id="38518"/>
      <w:r>
        <w:rPr>
          <w:rFonts w:hint="cs"/>
          <w:rtl/>
        </w:rPr>
        <w:t xml:space="preserve">צעדי </w:t>
      </w:r>
      <w:bookmarkStart w:id="38519" w:name="_ETM_Q72_234539"/>
      <w:bookmarkEnd w:id="38519"/>
      <w:r>
        <w:rPr>
          <w:rFonts w:hint="cs"/>
          <w:rtl/>
        </w:rPr>
        <w:t xml:space="preserve">הממשלה. </w:t>
      </w:r>
      <w:bookmarkStart w:id="38520" w:name="_ETM_Q72_235930"/>
      <w:bookmarkEnd w:id="38520"/>
      <w:r>
        <w:rPr>
          <w:rFonts w:hint="cs"/>
          <w:rtl/>
        </w:rPr>
        <w:t xml:space="preserve">התיקונים </w:t>
      </w:r>
      <w:bookmarkStart w:id="38521" w:name="_ETM_Q72_236710"/>
      <w:bookmarkEnd w:id="38521"/>
      <w:r>
        <w:rPr>
          <w:rFonts w:hint="cs"/>
          <w:rtl/>
        </w:rPr>
        <w:t xml:space="preserve">במערכת </w:t>
      </w:r>
      <w:bookmarkStart w:id="38522" w:name="_ETM_Q72_237190"/>
      <w:bookmarkEnd w:id="38522"/>
      <w:r>
        <w:rPr>
          <w:rFonts w:hint="cs"/>
          <w:rtl/>
        </w:rPr>
        <w:t xml:space="preserve">המשפט </w:t>
      </w:r>
      <w:bookmarkStart w:id="38523" w:name="_ETM_Q72_237820"/>
      <w:bookmarkEnd w:id="38523"/>
      <w:r>
        <w:rPr>
          <w:rFonts w:hint="cs"/>
          <w:rtl/>
        </w:rPr>
        <w:t xml:space="preserve">כלל </w:t>
      </w:r>
      <w:bookmarkStart w:id="38524" w:name="_ETM_Q72_239130"/>
      <w:bookmarkEnd w:id="38524"/>
      <w:r>
        <w:rPr>
          <w:rFonts w:hint="cs"/>
          <w:rtl/>
        </w:rPr>
        <w:t xml:space="preserve">לא </w:t>
      </w:r>
      <w:bookmarkStart w:id="38525" w:name="_ETM_Q72_239340"/>
      <w:bookmarkEnd w:id="38525"/>
      <w:r>
        <w:rPr>
          <w:rFonts w:hint="cs"/>
          <w:rtl/>
        </w:rPr>
        <w:t xml:space="preserve">נמצאים </w:t>
      </w:r>
      <w:bookmarkStart w:id="38526" w:name="_ETM_Q72_239850"/>
      <w:bookmarkEnd w:id="38526"/>
      <w:r>
        <w:rPr>
          <w:rFonts w:hint="cs"/>
          <w:rtl/>
        </w:rPr>
        <w:t xml:space="preserve">בסדר </w:t>
      </w:r>
      <w:bookmarkStart w:id="38527" w:name="_ETM_Q72_240300"/>
      <w:bookmarkEnd w:id="38527"/>
      <w:r>
        <w:rPr>
          <w:rFonts w:hint="cs"/>
          <w:rtl/>
        </w:rPr>
        <w:t xml:space="preserve">העדיפויות </w:t>
      </w:r>
      <w:bookmarkStart w:id="38528" w:name="_ETM_Q72_241719"/>
      <w:bookmarkEnd w:id="38528"/>
      <w:r>
        <w:rPr>
          <w:rFonts w:hint="cs"/>
          <w:rtl/>
        </w:rPr>
        <w:t xml:space="preserve">של </w:t>
      </w:r>
      <w:bookmarkStart w:id="38529" w:name="_ETM_Q72_241960"/>
      <w:bookmarkEnd w:id="38529"/>
      <w:r>
        <w:rPr>
          <w:rFonts w:hint="cs"/>
          <w:rtl/>
        </w:rPr>
        <w:t xml:space="preserve">הציבור </w:t>
      </w:r>
      <w:bookmarkStart w:id="38530" w:name="_ETM_Q72_242350"/>
      <w:bookmarkEnd w:id="38530"/>
      <w:r>
        <w:rPr>
          <w:rFonts w:hint="cs"/>
          <w:rtl/>
        </w:rPr>
        <w:t xml:space="preserve">הישראלי. </w:t>
      </w:r>
      <w:bookmarkStart w:id="38531" w:name="_ETM_Q72_243949"/>
      <w:bookmarkEnd w:id="38531"/>
      <w:r>
        <w:rPr>
          <w:rFonts w:hint="cs"/>
          <w:rtl/>
        </w:rPr>
        <w:t xml:space="preserve">יתרה </w:t>
      </w:r>
      <w:bookmarkStart w:id="38532" w:name="_ETM_Q72_244310"/>
      <w:bookmarkEnd w:id="38532"/>
      <w:r>
        <w:rPr>
          <w:rFonts w:hint="cs"/>
          <w:rtl/>
        </w:rPr>
        <w:t xml:space="preserve">מזו, </w:t>
      </w:r>
      <w:bookmarkStart w:id="38533" w:name="_ETM_Q72_245360"/>
      <w:bookmarkEnd w:id="38533"/>
      <w:r>
        <w:rPr>
          <w:rFonts w:hint="cs"/>
          <w:rtl/>
        </w:rPr>
        <w:t xml:space="preserve">בגלל </w:t>
      </w:r>
      <w:bookmarkStart w:id="38534" w:name="_ETM_Q72_245930"/>
      <w:bookmarkEnd w:id="38534"/>
      <w:r>
        <w:rPr>
          <w:rFonts w:hint="cs"/>
          <w:rtl/>
        </w:rPr>
        <w:t xml:space="preserve">צעדיה </w:t>
      </w:r>
      <w:bookmarkStart w:id="38535" w:name="_ETM_Q72_246709"/>
      <w:bookmarkEnd w:id="38535"/>
      <w:r>
        <w:rPr>
          <w:rFonts w:hint="cs"/>
          <w:rtl/>
        </w:rPr>
        <w:t xml:space="preserve">ההרסניים </w:t>
      </w:r>
      <w:bookmarkStart w:id="38536" w:name="_ETM_Q72_247580"/>
      <w:bookmarkEnd w:id="38536"/>
      <w:r>
        <w:rPr>
          <w:rFonts w:hint="cs"/>
          <w:rtl/>
        </w:rPr>
        <w:t xml:space="preserve">של </w:t>
      </w:r>
      <w:bookmarkStart w:id="38537" w:name="_ETM_Q72_247760"/>
      <w:bookmarkEnd w:id="38537"/>
      <w:r>
        <w:rPr>
          <w:rFonts w:hint="cs"/>
          <w:rtl/>
        </w:rPr>
        <w:t xml:space="preserve">הממשלה, </w:t>
      </w:r>
      <w:bookmarkStart w:id="38538" w:name="_ETM_Q72_248300"/>
      <w:bookmarkEnd w:id="38538"/>
      <w:r>
        <w:rPr>
          <w:rFonts w:hint="cs"/>
          <w:rtl/>
        </w:rPr>
        <w:t xml:space="preserve">62% </w:t>
      </w:r>
      <w:bookmarkStart w:id="38539" w:name="_ETM_Q72_249830"/>
      <w:bookmarkEnd w:id="38539"/>
      <w:r>
        <w:rPr>
          <w:rFonts w:hint="cs"/>
          <w:rtl/>
        </w:rPr>
        <w:t xml:space="preserve">מהישראלים </w:t>
      </w:r>
      <w:bookmarkStart w:id="38540" w:name="_ETM_Q72_251120"/>
      <w:bookmarkEnd w:id="38540"/>
      <w:r>
        <w:rPr>
          <w:rFonts w:hint="cs"/>
          <w:rtl/>
        </w:rPr>
        <w:t xml:space="preserve">חוששים </w:t>
      </w:r>
      <w:bookmarkStart w:id="38541" w:name="_ETM_Q72_252780"/>
      <w:bookmarkEnd w:id="38541"/>
      <w:r>
        <w:rPr>
          <w:rFonts w:hint="cs"/>
          <w:rtl/>
        </w:rPr>
        <w:t xml:space="preserve">וחרדים </w:t>
      </w:r>
      <w:bookmarkStart w:id="38542" w:name="_ETM_Q72_254209"/>
      <w:bookmarkEnd w:id="38542"/>
      <w:r>
        <w:rPr>
          <w:rFonts w:hint="cs"/>
          <w:rtl/>
        </w:rPr>
        <w:t xml:space="preserve">לחסכונות </w:t>
      </w:r>
      <w:bookmarkStart w:id="38543" w:name="_ETM_Q72_255569"/>
      <w:bookmarkEnd w:id="38543"/>
      <w:r>
        <w:rPr>
          <w:rFonts w:hint="cs"/>
          <w:rtl/>
        </w:rPr>
        <w:t xml:space="preserve">ולהשקעות </w:t>
      </w:r>
      <w:bookmarkStart w:id="38544" w:name="_ETM_Q72_256770"/>
      <w:bookmarkEnd w:id="38544"/>
      <w:r>
        <w:rPr>
          <w:rFonts w:hint="cs"/>
          <w:rtl/>
        </w:rPr>
        <w:t xml:space="preserve">שלהם. </w:t>
      </w:r>
      <w:bookmarkStart w:id="38545" w:name="_ETM_Q72_258450"/>
      <w:bookmarkEnd w:id="38545"/>
      <w:r>
        <w:rPr>
          <w:rFonts w:hint="cs"/>
          <w:rtl/>
        </w:rPr>
        <w:t xml:space="preserve">ואין </w:t>
      </w:r>
      <w:bookmarkStart w:id="38546" w:name="_ETM_Q72_258749"/>
      <w:bookmarkEnd w:id="38546"/>
      <w:r>
        <w:rPr>
          <w:rFonts w:hint="cs"/>
          <w:rtl/>
        </w:rPr>
        <w:t xml:space="preserve">כאן </w:t>
      </w:r>
      <w:bookmarkStart w:id="38547" w:name="_ETM_Q72_258929"/>
      <w:bookmarkEnd w:id="38547"/>
      <w:r>
        <w:rPr>
          <w:rFonts w:hint="cs"/>
          <w:rtl/>
        </w:rPr>
        <w:t xml:space="preserve">ממשלה </w:t>
      </w:r>
      <w:bookmarkStart w:id="38548" w:name="_ETM_Q72_259439"/>
      <w:bookmarkEnd w:id="38548"/>
      <w:r>
        <w:rPr>
          <w:rFonts w:hint="cs"/>
          <w:rtl/>
        </w:rPr>
        <w:t xml:space="preserve">שתיתן </w:t>
      </w:r>
      <w:bookmarkStart w:id="38549" w:name="_ETM_Q72_259890"/>
      <w:bookmarkEnd w:id="38549"/>
      <w:r>
        <w:rPr>
          <w:rFonts w:hint="cs"/>
          <w:rtl/>
        </w:rPr>
        <w:t xml:space="preserve">להם </w:t>
      </w:r>
      <w:bookmarkStart w:id="38550" w:name="_ETM_Q72_260100"/>
      <w:bookmarkEnd w:id="38550"/>
      <w:r>
        <w:rPr>
          <w:rFonts w:hint="cs"/>
          <w:rtl/>
        </w:rPr>
        <w:t xml:space="preserve">מענה. </w:t>
      </w:r>
      <w:bookmarkStart w:id="38551" w:name="_ETM_Q72_262120"/>
      <w:bookmarkEnd w:id="38551"/>
      <w:r>
        <w:rPr>
          <w:rFonts w:hint="cs"/>
          <w:rtl/>
        </w:rPr>
        <w:t xml:space="preserve">בזמן </w:t>
      </w:r>
      <w:bookmarkStart w:id="38552" w:name="_ETM_Q72_262600"/>
      <w:bookmarkEnd w:id="38552"/>
      <w:r>
        <w:rPr>
          <w:rFonts w:hint="cs"/>
          <w:rtl/>
        </w:rPr>
        <w:t xml:space="preserve">משבר </w:t>
      </w:r>
      <w:bookmarkStart w:id="38553" w:name="_ETM_Q72_263050"/>
      <w:bookmarkEnd w:id="38553"/>
      <w:r>
        <w:rPr>
          <w:rFonts w:hint="cs"/>
          <w:rtl/>
        </w:rPr>
        <w:t xml:space="preserve">כלכלי, </w:t>
      </w:r>
      <w:bookmarkStart w:id="38554" w:name="_ETM_Q72_263620"/>
      <w:bookmarkEnd w:id="38554"/>
      <w:r>
        <w:rPr>
          <w:rFonts w:hint="cs"/>
          <w:rtl/>
        </w:rPr>
        <w:t xml:space="preserve">שר </w:t>
      </w:r>
      <w:bookmarkStart w:id="38555" w:name="_ETM_Q72_263890"/>
      <w:bookmarkEnd w:id="38555"/>
      <w:r>
        <w:rPr>
          <w:rFonts w:hint="cs"/>
          <w:rtl/>
        </w:rPr>
        <w:t xml:space="preserve">האוצר </w:t>
      </w:r>
      <w:bookmarkStart w:id="38556" w:name="_ETM_Q72_264430"/>
      <w:bookmarkEnd w:id="38556"/>
      <w:r>
        <w:rPr>
          <w:rFonts w:hint="cs"/>
          <w:rtl/>
        </w:rPr>
        <w:t xml:space="preserve">הוא </w:t>
      </w:r>
      <w:bookmarkStart w:id="38557" w:name="_ETM_Q72_264520"/>
      <w:bookmarkEnd w:id="38557"/>
      <w:r>
        <w:rPr>
          <w:rFonts w:hint="cs"/>
          <w:rtl/>
        </w:rPr>
        <w:t xml:space="preserve">שותף </w:t>
      </w:r>
      <w:bookmarkStart w:id="38558" w:name="_ETM_Q72_265180"/>
      <w:bookmarkEnd w:id="38558"/>
      <w:r>
        <w:rPr>
          <w:rFonts w:hint="cs"/>
          <w:rtl/>
        </w:rPr>
        <w:t xml:space="preserve">פעיל </w:t>
      </w:r>
      <w:bookmarkStart w:id="38559" w:name="_ETM_Q72_265690"/>
      <w:bookmarkEnd w:id="38559"/>
      <w:r>
        <w:rPr>
          <w:rFonts w:hint="cs"/>
          <w:rtl/>
        </w:rPr>
        <w:t xml:space="preserve">בביצוע </w:t>
      </w:r>
      <w:bookmarkStart w:id="38560" w:name="_ETM_Q72_266319"/>
      <w:bookmarkEnd w:id="38560"/>
      <w:r>
        <w:rPr>
          <w:rFonts w:hint="cs"/>
          <w:rtl/>
        </w:rPr>
        <w:t xml:space="preserve">הפיכה </w:t>
      </w:r>
      <w:bookmarkStart w:id="38561" w:name="_ETM_Q72_267209"/>
      <w:bookmarkEnd w:id="38561"/>
      <w:r>
        <w:rPr>
          <w:rFonts w:hint="cs"/>
          <w:rtl/>
        </w:rPr>
        <w:t xml:space="preserve">על </w:t>
      </w:r>
      <w:bookmarkStart w:id="38562" w:name="_ETM_Q72_267539"/>
      <w:bookmarkEnd w:id="38562"/>
      <w:r>
        <w:rPr>
          <w:rFonts w:hint="cs"/>
          <w:rtl/>
        </w:rPr>
        <w:t xml:space="preserve">מנת </w:t>
      </w:r>
      <w:bookmarkStart w:id="38563" w:name="_ETM_Q72_267869"/>
      <w:bookmarkEnd w:id="38563"/>
      <w:r>
        <w:rPr>
          <w:rFonts w:hint="cs"/>
          <w:rtl/>
        </w:rPr>
        <w:t xml:space="preserve">להגשים </w:t>
      </w:r>
      <w:bookmarkStart w:id="38564" w:name="_ETM_Q72_268259"/>
      <w:bookmarkEnd w:id="38564"/>
      <w:r>
        <w:rPr>
          <w:rFonts w:hint="cs"/>
          <w:rtl/>
        </w:rPr>
        <w:t xml:space="preserve">את </w:t>
      </w:r>
      <w:bookmarkStart w:id="38565" w:name="_ETM_Q72_268380"/>
      <w:bookmarkEnd w:id="38565"/>
      <w:r>
        <w:rPr>
          <w:rFonts w:hint="cs"/>
          <w:rtl/>
        </w:rPr>
        <w:t xml:space="preserve">הפנטזיות </w:t>
      </w:r>
      <w:bookmarkStart w:id="38566" w:name="_ETM_Q72_269130"/>
      <w:bookmarkEnd w:id="38566"/>
      <w:r>
        <w:rPr>
          <w:rFonts w:hint="cs"/>
          <w:rtl/>
        </w:rPr>
        <w:t xml:space="preserve">שלו </w:t>
      </w:r>
      <w:bookmarkStart w:id="38567" w:name="_ETM_Q72_270130"/>
      <w:bookmarkEnd w:id="38567"/>
      <w:r>
        <w:rPr>
          <w:rFonts w:hint="cs"/>
          <w:rtl/>
        </w:rPr>
        <w:t xml:space="preserve">לפטר </w:t>
      </w:r>
      <w:bookmarkStart w:id="38568" w:name="_ETM_Q72_270700"/>
      <w:bookmarkEnd w:id="38568"/>
      <w:r>
        <w:rPr>
          <w:rFonts w:hint="cs"/>
          <w:rtl/>
        </w:rPr>
        <w:t xml:space="preserve">את </w:t>
      </w:r>
      <w:bookmarkStart w:id="38569" w:name="_ETM_Q72_270850"/>
      <w:bookmarkEnd w:id="38569"/>
      <w:r>
        <w:rPr>
          <w:rFonts w:hint="cs"/>
          <w:rtl/>
        </w:rPr>
        <w:t xml:space="preserve">היועצת </w:t>
      </w:r>
      <w:bookmarkStart w:id="38570" w:name="_ETM_Q72_271150"/>
      <w:bookmarkEnd w:id="38570"/>
      <w:r>
        <w:rPr>
          <w:rFonts w:hint="cs"/>
          <w:rtl/>
        </w:rPr>
        <w:t xml:space="preserve">המשפטית </w:t>
      </w:r>
      <w:bookmarkStart w:id="38571" w:name="_ETM_Q72_271569"/>
      <w:bookmarkEnd w:id="38571"/>
      <w:r>
        <w:rPr>
          <w:rFonts w:hint="cs"/>
          <w:rtl/>
        </w:rPr>
        <w:t xml:space="preserve">לממשלה </w:t>
      </w:r>
      <w:bookmarkStart w:id="38572" w:name="_ETM_Q72_272869"/>
      <w:bookmarkEnd w:id="38572"/>
      <w:r>
        <w:rPr>
          <w:rFonts w:hint="cs"/>
          <w:rtl/>
        </w:rPr>
        <w:t xml:space="preserve">ולנטרל </w:t>
      </w:r>
      <w:bookmarkStart w:id="38573" w:name="_ETM_Q72_273500"/>
      <w:bookmarkEnd w:id="38573"/>
      <w:r>
        <w:rPr>
          <w:rFonts w:hint="cs"/>
          <w:rtl/>
        </w:rPr>
        <w:t xml:space="preserve">את </w:t>
      </w:r>
      <w:bookmarkStart w:id="38574" w:name="_ETM_Q72_273619"/>
      <w:bookmarkEnd w:id="38574"/>
      <w:r>
        <w:rPr>
          <w:rFonts w:hint="cs"/>
          <w:rtl/>
        </w:rPr>
        <w:t xml:space="preserve">כוחו </w:t>
      </w:r>
      <w:bookmarkStart w:id="38575" w:name="_ETM_Q72_273979"/>
      <w:bookmarkEnd w:id="38575"/>
      <w:r>
        <w:rPr>
          <w:rFonts w:hint="cs"/>
          <w:rtl/>
        </w:rPr>
        <w:t xml:space="preserve">של </w:t>
      </w:r>
      <w:bookmarkStart w:id="38576" w:name="_ETM_Q72_274189"/>
      <w:bookmarkEnd w:id="38576"/>
      <w:r>
        <w:rPr>
          <w:rFonts w:hint="cs"/>
          <w:rtl/>
        </w:rPr>
        <w:t>בית</w:t>
      </w:r>
      <w:bookmarkStart w:id="38577" w:name="_ETM_Q72_274430"/>
      <w:bookmarkEnd w:id="38577"/>
      <w:r>
        <w:rPr>
          <w:rFonts w:hint="cs"/>
          <w:rtl/>
        </w:rPr>
        <w:t xml:space="preserve"> המשפט </w:t>
      </w:r>
      <w:bookmarkStart w:id="38578" w:name="_ETM_Q72_274819"/>
      <w:bookmarkEnd w:id="38578"/>
      <w:r>
        <w:rPr>
          <w:rFonts w:hint="cs"/>
          <w:rtl/>
        </w:rPr>
        <w:t xml:space="preserve">העליון; </w:t>
      </w:r>
      <w:bookmarkStart w:id="38579" w:name="_ETM_Q72_276600"/>
      <w:bookmarkEnd w:id="38579"/>
      <w:r>
        <w:rPr>
          <w:rFonts w:hint="cs"/>
          <w:rtl/>
        </w:rPr>
        <w:t xml:space="preserve">בזמן </w:t>
      </w:r>
      <w:bookmarkStart w:id="38580" w:name="_ETM_Q72_277079"/>
      <w:bookmarkEnd w:id="38580"/>
      <w:r>
        <w:rPr>
          <w:rFonts w:hint="cs"/>
          <w:rtl/>
        </w:rPr>
        <w:t xml:space="preserve">שהכלכלה </w:t>
      </w:r>
      <w:bookmarkStart w:id="38581" w:name="_ETM_Q72_277709"/>
      <w:bookmarkEnd w:id="38581"/>
      <w:r>
        <w:rPr>
          <w:rFonts w:hint="cs"/>
          <w:rtl/>
        </w:rPr>
        <w:t xml:space="preserve">מתרסקת, </w:t>
      </w:r>
      <w:bookmarkStart w:id="38582" w:name="_ETM_Q72_279380"/>
      <w:bookmarkEnd w:id="38582"/>
      <w:r>
        <w:rPr>
          <w:rFonts w:hint="cs"/>
          <w:rtl/>
        </w:rPr>
        <w:t xml:space="preserve">נער </w:t>
      </w:r>
      <w:bookmarkStart w:id="38583" w:name="_ETM_Q72_279679"/>
      <w:bookmarkEnd w:id="38583"/>
      <w:r>
        <w:rPr>
          <w:rFonts w:hint="cs"/>
          <w:rtl/>
        </w:rPr>
        <w:t xml:space="preserve">הגבעות </w:t>
      </w:r>
      <w:bookmarkStart w:id="38584" w:name="_ETM_Q72_280279"/>
      <w:bookmarkEnd w:id="38584"/>
      <w:r>
        <w:rPr>
          <w:rFonts w:hint="cs"/>
          <w:rtl/>
        </w:rPr>
        <w:t xml:space="preserve">מנסה </w:t>
      </w:r>
      <w:bookmarkStart w:id="38585" w:name="_ETM_Q72_280789"/>
      <w:bookmarkEnd w:id="38585"/>
      <w:r>
        <w:rPr>
          <w:rFonts w:hint="cs"/>
          <w:rtl/>
        </w:rPr>
        <w:t xml:space="preserve">למכור </w:t>
      </w:r>
      <w:bookmarkStart w:id="38586" w:name="_ETM_Q72_281329"/>
      <w:bookmarkEnd w:id="38586"/>
      <w:r>
        <w:rPr>
          <w:rFonts w:hint="cs"/>
          <w:rtl/>
        </w:rPr>
        <w:t xml:space="preserve">לציבור </w:t>
      </w:r>
      <w:bookmarkStart w:id="38587" w:name="_ETM_Q72_282330"/>
      <w:bookmarkEnd w:id="38587"/>
      <w:r>
        <w:rPr>
          <w:rFonts w:hint="cs"/>
          <w:rtl/>
        </w:rPr>
        <w:t xml:space="preserve">שהרפורמה </w:t>
      </w:r>
      <w:bookmarkStart w:id="38588" w:name="_ETM_Q72_283790"/>
      <w:bookmarkEnd w:id="38588"/>
      <w:r>
        <w:rPr>
          <w:rFonts w:hint="cs"/>
          <w:rtl/>
        </w:rPr>
        <w:t xml:space="preserve">טובה </w:t>
      </w:r>
      <w:bookmarkStart w:id="38589" w:name="_ETM_Q72_284150"/>
      <w:bookmarkEnd w:id="38589"/>
      <w:r>
        <w:rPr>
          <w:rFonts w:hint="cs"/>
          <w:rtl/>
        </w:rPr>
        <w:t xml:space="preserve">לכלכלה, </w:t>
      </w:r>
      <w:bookmarkStart w:id="38590" w:name="_ETM_Q72_285140"/>
      <w:bookmarkEnd w:id="38590"/>
      <w:r>
        <w:rPr>
          <w:rFonts w:hint="cs"/>
          <w:rtl/>
        </w:rPr>
        <w:t xml:space="preserve">נקודה, </w:t>
      </w:r>
      <w:bookmarkStart w:id="38591" w:name="_ETM_Q72_287979"/>
      <w:bookmarkEnd w:id="38591"/>
      <w:r>
        <w:rPr>
          <w:rFonts w:hint="cs"/>
          <w:rtl/>
        </w:rPr>
        <w:t xml:space="preserve">וכל </w:t>
      </w:r>
      <w:bookmarkStart w:id="38592" w:name="_ETM_Q72_288990"/>
      <w:bookmarkEnd w:id="38592"/>
      <w:r>
        <w:rPr>
          <w:rFonts w:hint="cs"/>
          <w:rtl/>
        </w:rPr>
        <w:t xml:space="preserve">שאנחנו, </w:t>
      </w:r>
      <w:bookmarkStart w:id="38593" w:name="_ETM_Q72_289710"/>
      <w:bookmarkEnd w:id="38593"/>
      <w:r>
        <w:rPr>
          <w:rFonts w:hint="cs"/>
          <w:rtl/>
        </w:rPr>
        <w:t xml:space="preserve">הציבור </w:t>
      </w:r>
      <w:bookmarkStart w:id="38594" w:name="_ETM_Q72_290100"/>
      <w:bookmarkEnd w:id="38594"/>
      <w:r>
        <w:rPr>
          <w:rFonts w:hint="cs"/>
          <w:rtl/>
        </w:rPr>
        <w:t xml:space="preserve">הישראלי, </w:t>
      </w:r>
      <w:bookmarkStart w:id="38595" w:name="_ETM_Q72_290580"/>
      <w:bookmarkEnd w:id="38595"/>
      <w:r>
        <w:rPr>
          <w:rFonts w:hint="cs"/>
          <w:rtl/>
        </w:rPr>
        <w:t xml:space="preserve">צריך </w:t>
      </w:r>
      <w:bookmarkStart w:id="38596" w:name="_ETM_Q72_290910"/>
      <w:bookmarkEnd w:id="38596"/>
      <w:r>
        <w:rPr>
          <w:rFonts w:hint="cs"/>
          <w:rtl/>
        </w:rPr>
        <w:t xml:space="preserve">לעשות זה </w:t>
      </w:r>
      <w:bookmarkStart w:id="38597" w:name="_ETM_Q72_291540"/>
      <w:bookmarkEnd w:id="38597"/>
      <w:r>
        <w:rPr>
          <w:rFonts w:hint="cs"/>
          <w:rtl/>
        </w:rPr>
        <w:t xml:space="preserve">להאמין </w:t>
      </w:r>
      <w:bookmarkStart w:id="38598" w:name="_ETM_Q72_292170"/>
      <w:bookmarkEnd w:id="38598"/>
      <w:r>
        <w:rPr>
          <w:rFonts w:hint="cs"/>
          <w:rtl/>
        </w:rPr>
        <w:t xml:space="preserve">בכלכלת </w:t>
      </w:r>
      <w:bookmarkStart w:id="38599" w:name="_ETM_Q72_293100"/>
      <w:bookmarkEnd w:id="38599"/>
      <w:r>
        <w:rPr>
          <w:rFonts w:hint="cs"/>
          <w:rtl/>
        </w:rPr>
        <w:t xml:space="preserve">"בעזרת </w:t>
      </w:r>
      <w:bookmarkStart w:id="38600" w:name="_ETM_Q72_293550"/>
      <w:bookmarkEnd w:id="38600"/>
      <w:r>
        <w:rPr>
          <w:rFonts w:hint="cs"/>
          <w:rtl/>
        </w:rPr>
        <w:t xml:space="preserve">השם". </w:t>
      </w:r>
      <w:bookmarkStart w:id="38601" w:name="_ETM_Q72_294780"/>
      <w:bookmarkStart w:id="38602" w:name="_ETM_Q72_293498"/>
      <w:bookmarkStart w:id="38603" w:name="_ETM_Q72_293584"/>
      <w:bookmarkStart w:id="38604" w:name="_ETM_Q72_293691"/>
      <w:bookmarkStart w:id="38605" w:name="_ETM_Q72_293753"/>
      <w:bookmarkEnd w:id="38601"/>
      <w:bookmarkEnd w:id="38602"/>
      <w:bookmarkEnd w:id="38603"/>
      <w:bookmarkEnd w:id="38604"/>
      <w:bookmarkEnd w:id="38605"/>
    </w:p>
    <w:p w:rsidR="00BB59CD" w:rsidRDefault="00BB59CD" w:rsidP="00BB59CD">
      <w:pPr>
        <w:rPr>
          <w:rtl/>
        </w:rPr>
      </w:pPr>
      <w:bookmarkStart w:id="38606" w:name="_ETM_Q72_256786"/>
      <w:bookmarkStart w:id="38607" w:name="_ETM_Q72_256850"/>
      <w:bookmarkEnd w:id="38606"/>
      <w:bookmarkEnd w:id="38607"/>
    </w:p>
    <w:p w:rsidR="00BB59CD" w:rsidRDefault="00BB59CD" w:rsidP="00BB59CD">
      <w:pPr>
        <w:rPr>
          <w:rtl/>
        </w:rPr>
      </w:pPr>
      <w:bookmarkStart w:id="38608" w:name="_ETM_Q72_256976"/>
      <w:bookmarkStart w:id="38609" w:name="_ETM_Q72_257019"/>
      <w:bookmarkEnd w:id="38608"/>
      <w:bookmarkEnd w:id="38609"/>
      <w:r>
        <w:rPr>
          <w:rFonts w:hint="cs"/>
          <w:rtl/>
        </w:rPr>
        <w:t xml:space="preserve">אז </w:t>
      </w:r>
      <w:bookmarkStart w:id="38610" w:name="_ETM_Q72_295049"/>
      <w:bookmarkEnd w:id="38610"/>
      <w:r>
        <w:rPr>
          <w:rFonts w:hint="cs"/>
          <w:rtl/>
        </w:rPr>
        <w:t xml:space="preserve">יש </w:t>
      </w:r>
      <w:bookmarkStart w:id="38611" w:name="_ETM_Q72_295229"/>
      <w:bookmarkEnd w:id="38611"/>
      <w:r>
        <w:rPr>
          <w:rFonts w:hint="cs"/>
          <w:rtl/>
        </w:rPr>
        <w:t xml:space="preserve">לי </w:t>
      </w:r>
      <w:bookmarkStart w:id="38612" w:name="_ETM_Q72_295319"/>
      <w:bookmarkEnd w:id="38612"/>
      <w:r>
        <w:rPr>
          <w:rFonts w:hint="cs"/>
          <w:rtl/>
        </w:rPr>
        <w:t xml:space="preserve">חדשות </w:t>
      </w:r>
      <w:bookmarkStart w:id="38613" w:name="_ETM_Q72_296159"/>
      <w:bookmarkEnd w:id="38613"/>
      <w:r>
        <w:rPr>
          <w:rFonts w:hint="cs"/>
          <w:rtl/>
        </w:rPr>
        <w:t xml:space="preserve">בשביל </w:t>
      </w:r>
      <w:bookmarkStart w:id="38614" w:name="_ETM_Q72_296670"/>
      <w:bookmarkEnd w:id="38614"/>
      <w:r>
        <w:rPr>
          <w:rFonts w:hint="cs"/>
          <w:rtl/>
        </w:rPr>
        <w:t xml:space="preserve">אדוני </w:t>
      </w:r>
      <w:bookmarkStart w:id="38615" w:name="_ETM_Q72_296969"/>
      <w:bookmarkEnd w:id="38615"/>
      <w:r>
        <w:rPr>
          <w:rFonts w:hint="cs"/>
          <w:rtl/>
        </w:rPr>
        <w:t xml:space="preserve">שר </w:t>
      </w:r>
      <w:bookmarkStart w:id="38616" w:name="_ETM_Q72_297270"/>
      <w:bookmarkEnd w:id="38616"/>
      <w:r>
        <w:rPr>
          <w:rFonts w:hint="cs"/>
          <w:rtl/>
        </w:rPr>
        <w:t xml:space="preserve">האוצר: </w:t>
      </w:r>
      <w:bookmarkStart w:id="38617" w:name="_ETM_Q72_298350"/>
      <w:bookmarkEnd w:id="38617"/>
      <w:r>
        <w:rPr>
          <w:rFonts w:hint="cs"/>
          <w:rtl/>
        </w:rPr>
        <w:t xml:space="preserve">אנחנו </w:t>
      </w:r>
      <w:bookmarkStart w:id="38618" w:name="_ETM_Q72_298830"/>
      <w:bookmarkEnd w:id="38618"/>
      <w:r>
        <w:rPr>
          <w:rFonts w:hint="cs"/>
          <w:rtl/>
        </w:rPr>
        <w:t xml:space="preserve">לא </w:t>
      </w:r>
      <w:bookmarkStart w:id="38619" w:name="_ETM_Q72_299090"/>
      <w:bookmarkEnd w:id="38619"/>
      <w:r>
        <w:rPr>
          <w:rFonts w:hint="cs"/>
          <w:rtl/>
        </w:rPr>
        <w:t xml:space="preserve">מטומטמים. </w:t>
      </w:r>
      <w:bookmarkStart w:id="38620" w:name="_ETM_Q72_300909"/>
      <w:bookmarkEnd w:id="38620"/>
      <w:r>
        <w:rPr>
          <w:rFonts w:hint="cs"/>
          <w:rtl/>
        </w:rPr>
        <w:t xml:space="preserve">מה </w:t>
      </w:r>
      <w:bookmarkStart w:id="38621" w:name="_ETM_Q72_301710"/>
      <w:bookmarkEnd w:id="38621"/>
      <w:r>
        <w:rPr>
          <w:rFonts w:hint="cs"/>
          <w:rtl/>
        </w:rPr>
        <w:t xml:space="preserve">יש </w:t>
      </w:r>
      <w:bookmarkStart w:id="38622" w:name="_ETM_Q72_302009"/>
      <w:bookmarkEnd w:id="38622"/>
      <w:r>
        <w:rPr>
          <w:rFonts w:hint="cs"/>
          <w:rtl/>
        </w:rPr>
        <w:t>ל</w:t>
      </w:r>
      <w:bookmarkStart w:id="38623" w:name="_ETM_Q72_302130"/>
      <w:bookmarkEnd w:id="38623"/>
      <w:r>
        <w:rPr>
          <w:rFonts w:hint="cs"/>
          <w:rtl/>
        </w:rPr>
        <w:t xml:space="preserve">שר </w:t>
      </w:r>
      <w:bookmarkStart w:id="38624" w:name="_ETM_Q72_302399"/>
      <w:bookmarkEnd w:id="38624"/>
      <w:r>
        <w:rPr>
          <w:rFonts w:hint="cs"/>
          <w:rtl/>
        </w:rPr>
        <w:t xml:space="preserve">הכלכלה </w:t>
      </w:r>
      <w:bookmarkStart w:id="38625" w:name="_ETM_Q72_302880"/>
      <w:bookmarkEnd w:id="38625"/>
      <w:r>
        <w:rPr>
          <w:rFonts w:hint="cs"/>
          <w:rtl/>
        </w:rPr>
        <w:t xml:space="preserve">לומר </w:t>
      </w:r>
      <w:bookmarkStart w:id="38626" w:name="_ETM_Q72_303240"/>
      <w:bookmarkEnd w:id="38626"/>
      <w:r>
        <w:rPr>
          <w:rFonts w:hint="cs"/>
          <w:rtl/>
        </w:rPr>
        <w:t xml:space="preserve">על </w:t>
      </w:r>
      <w:bookmarkStart w:id="38627" w:name="_ETM_Q72_303390"/>
      <w:bookmarkEnd w:id="38627"/>
      <w:r>
        <w:rPr>
          <w:rFonts w:hint="cs"/>
          <w:rtl/>
        </w:rPr>
        <w:t xml:space="preserve">התהום </w:t>
      </w:r>
      <w:bookmarkStart w:id="38628" w:name="_ETM_Q72_304890"/>
      <w:bookmarkEnd w:id="38628"/>
      <w:r>
        <w:rPr>
          <w:rFonts w:hint="cs"/>
          <w:rtl/>
        </w:rPr>
        <w:t xml:space="preserve">שהוא </w:t>
      </w:r>
      <w:bookmarkStart w:id="38629" w:name="_ETM_Q72_305310"/>
      <w:bookmarkEnd w:id="38629"/>
      <w:r>
        <w:rPr>
          <w:rFonts w:hint="cs"/>
          <w:rtl/>
        </w:rPr>
        <w:t xml:space="preserve">וממשלתו </w:t>
      </w:r>
      <w:bookmarkStart w:id="38630" w:name="_ETM_Q72_306820"/>
      <w:bookmarkEnd w:id="38630"/>
      <w:r>
        <w:rPr>
          <w:rFonts w:hint="cs"/>
          <w:rtl/>
        </w:rPr>
        <w:t xml:space="preserve">מכניסים </w:t>
      </w:r>
      <w:bookmarkStart w:id="38631" w:name="_ETM_Q72_307420"/>
      <w:bookmarkEnd w:id="38631"/>
      <w:r>
        <w:rPr>
          <w:rFonts w:hint="cs"/>
          <w:rtl/>
        </w:rPr>
        <w:t xml:space="preserve">אותנו </w:t>
      </w:r>
      <w:bookmarkStart w:id="38632" w:name="_ETM_Q72_307780"/>
      <w:bookmarkEnd w:id="38632"/>
      <w:r>
        <w:rPr>
          <w:rFonts w:hint="cs"/>
          <w:rtl/>
        </w:rPr>
        <w:t xml:space="preserve">אליו? </w:t>
      </w:r>
      <w:bookmarkStart w:id="38633" w:name="_ETM_Q72_309040"/>
      <w:bookmarkEnd w:id="38633"/>
      <w:r>
        <w:rPr>
          <w:rFonts w:hint="cs"/>
          <w:rtl/>
        </w:rPr>
        <w:t xml:space="preserve">כלום. </w:t>
      </w:r>
      <w:bookmarkStart w:id="38634" w:name="_ETM_Q72_310419"/>
      <w:bookmarkEnd w:id="38634"/>
      <w:r>
        <w:rPr>
          <w:rFonts w:hint="cs"/>
          <w:rtl/>
        </w:rPr>
        <w:t xml:space="preserve">פשוט </w:t>
      </w:r>
      <w:bookmarkStart w:id="38635" w:name="_ETM_Q72_310870"/>
      <w:bookmarkEnd w:id="38635"/>
      <w:r>
        <w:rPr>
          <w:rFonts w:hint="cs"/>
          <w:rtl/>
        </w:rPr>
        <w:t xml:space="preserve">שום </w:t>
      </w:r>
      <w:bookmarkStart w:id="38636" w:name="_ETM_Q72_311080"/>
      <w:bookmarkEnd w:id="38636"/>
      <w:r>
        <w:rPr>
          <w:rFonts w:hint="cs"/>
          <w:rtl/>
        </w:rPr>
        <w:t xml:space="preserve">דבר. </w:t>
      </w:r>
      <w:bookmarkStart w:id="38637" w:name="_ETM_Q72_312600"/>
      <w:bookmarkEnd w:id="38637"/>
      <w:r>
        <w:rPr>
          <w:rFonts w:hint="cs"/>
          <w:rtl/>
        </w:rPr>
        <w:t xml:space="preserve">אין </w:t>
      </w:r>
      <w:bookmarkStart w:id="38638" w:name="_ETM_Q72_312810"/>
      <w:bookmarkEnd w:id="38638"/>
      <w:r>
        <w:rPr>
          <w:rFonts w:hint="cs"/>
          <w:rtl/>
        </w:rPr>
        <w:t xml:space="preserve">פתרונות </w:t>
      </w:r>
      <w:bookmarkStart w:id="38639" w:name="_ETM_Q72_313320"/>
      <w:bookmarkEnd w:id="38639"/>
      <w:r>
        <w:rPr>
          <w:rFonts w:hint="cs"/>
          <w:rtl/>
        </w:rPr>
        <w:t xml:space="preserve">ליוקר </w:t>
      </w:r>
      <w:bookmarkStart w:id="38640" w:name="_ETM_Q72_313680"/>
      <w:bookmarkEnd w:id="38640"/>
      <w:r>
        <w:rPr>
          <w:rFonts w:hint="cs"/>
          <w:rtl/>
        </w:rPr>
        <w:t xml:space="preserve">המחיה, </w:t>
      </w:r>
      <w:bookmarkStart w:id="38641" w:name="_ETM_Q72_314130"/>
      <w:bookmarkEnd w:id="38641"/>
      <w:r>
        <w:rPr>
          <w:rFonts w:hint="cs"/>
          <w:rtl/>
        </w:rPr>
        <w:t xml:space="preserve">וכבר </w:t>
      </w:r>
      <w:bookmarkStart w:id="38642" w:name="_ETM_Q72_314370"/>
      <w:bookmarkEnd w:id="38642"/>
      <w:r>
        <w:rPr>
          <w:rFonts w:hint="cs"/>
          <w:rtl/>
        </w:rPr>
        <w:t xml:space="preserve">אמרתי </w:t>
      </w:r>
      <w:bookmarkStart w:id="38643" w:name="_ETM_Q72_314790"/>
      <w:bookmarkEnd w:id="38643"/>
      <w:r>
        <w:rPr>
          <w:rFonts w:hint="cs"/>
          <w:rtl/>
        </w:rPr>
        <w:t xml:space="preserve">את </w:t>
      </w:r>
      <w:bookmarkStart w:id="38644" w:name="_ETM_Q72_314880"/>
      <w:bookmarkEnd w:id="38644"/>
      <w:r>
        <w:rPr>
          <w:rFonts w:hint="cs"/>
          <w:rtl/>
        </w:rPr>
        <w:t>זה. אפס</w:t>
      </w:r>
      <w:bookmarkStart w:id="38645" w:name="_ETM_Q72_316299"/>
      <w:bookmarkStart w:id="38646" w:name="_ETM_Q72_316719"/>
      <w:bookmarkEnd w:id="38645"/>
      <w:bookmarkEnd w:id="38646"/>
      <w:r>
        <w:rPr>
          <w:rFonts w:hint="cs"/>
          <w:rtl/>
        </w:rPr>
        <w:t xml:space="preserve"> עבודה </w:t>
      </w:r>
      <w:bookmarkStart w:id="38647" w:name="_ETM_Q72_317079"/>
      <w:bookmarkEnd w:id="38647"/>
      <w:r>
        <w:rPr>
          <w:rFonts w:hint="cs"/>
          <w:rtl/>
        </w:rPr>
        <w:t xml:space="preserve">למענכם, </w:t>
      </w:r>
      <w:bookmarkStart w:id="38648" w:name="_ETM_Q72_318510"/>
      <w:bookmarkEnd w:id="38648"/>
      <w:r>
        <w:rPr>
          <w:rFonts w:hint="cs"/>
          <w:rtl/>
        </w:rPr>
        <w:t xml:space="preserve">מעמד </w:t>
      </w:r>
      <w:bookmarkStart w:id="38649" w:name="_ETM_Q72_318900"/>
      <w:bookmarkEnd w:id="38649"/>
      <w:r>
        <w:rPr>
          <w:rFonts w:hint="cs"/>
          <w:rtl/>
        </w:rPr>
        <w:t xml:space="preserve">הביניים </w:t>
      </w:r>
      <w:bookmarkStart w:id="38650" w:name="_ETM_Q72_319349"/>
      <w:bookmarkEnd w:id="38650"/>
      <w:r>
        <w:rPr>
          <w:rFonts w:hint="cs"/>
          <w:rtl/>
        </w:rPr>
        <w:t xml:space="preserve">הישראלי. </w:t>
      </w:r>
      <w:bookmarkStart w:id="38651" w:name="_ETM_Q72_321169"/>
      <w:bookmarkEnd w:id="38651"/>
      <w:r>
        <w:rPr>
          <w:rFonts w:hint="cs"/>
          <w:rtl/>
        </w:rPr>
        <w:t xml:space="preserve">שר </w:t>
      </w:r>
      <w:bookmarkStart w:id="38652" w:name="_ETM_Q72_321410"/>
      <w:bookmarkEnd w:id="38652"/>
      <w:r>
        <w:rPr>
          <w:rFonts w:hint="cs"/>
          <w:rtl/>
        </w:rPr>
        <w:t xml:space="preserve">הכלכלה, </w:t>
      </w:r>
      <w:bookmarkStart w:id="38653" w:name="_ETM_Q72_321950"/>
      <w:bookmarkEnd w:id="38653"/>
      <w:r>
        <w:rPr>
          <w:rFonts w:hint="cs"/>
          <w:rtl/>
        </w:rPr>
        <w:t xml:space="preserve">שהגיע </w:t>
      </w:r>
      <w:bookmarkStart w:id="38654" w:name="_ETM_Q72_322490"/>
      <w:bookmarkEnd w:id="38654"/>
      <w:r>
        <w:rPr>
          <w:rFonts w:hint="cs"/>
          <w:rtl/>
        </w:rPr>
        <w:t xml:space="preserve">מההייטק, </w:t>
      </w:r>
      <w:bookmarkStart w:id="38655" w:name="_ETM_Q72_323210"/>
      <w:bookmarkEnd w:id="38655"/>
      <w:r>
        <w:rPr>
          <w:rFonts w:hint="cs"/>
          <w:rtl/>
        </w:rPr>
        <w:t xml:space="preserve">היה </w:t>
      </w:r>
      <w:bookmarkStart w:id="38656" w:name="_ETM_Q72_323480"/>
      <w:bookmarkEnd w:id="38656"/>
      <w:r>
        <w:rPr>
          <w:rFonts w:hint="cs"/>
          <w:rtl/>
        </w:rPr>
        <w:t xml:space="preserve">אמור </w:t>
      </w:r>
      <w:bookmarkStart w:id="38657" w:name="_ETM_Q72_323720"/>
      <w:bookmarkEnd w:id="38657"/>
      <w:r>
        <w:rPr>
          <w:rFonts w:hint="cs"/>
          <w:rtl/>
        </w:rPr>
        <w:t xml:space="preserve">להיות </w:t>
      </w:r>
      <w:bookmarkStart w:id="38658" w:name="_ETM_Q72_324050"/>
      <w:bookmarkEnd w:id="38658"/>
      <w:r>
        <w:rPr>
          <w:rFonts w:hint="cs"/>
          <w:rtl/>
        </w:rPr>
        <w:t xml:space="preserve">הראשון </w:t>
      </w:r>
      <w:bookmarkStart w:id="38659" w:name="_ETM_Q72_324590"/>
      <w:bookmarkEnd w:id="38659"/>
      <w:r>
        <w:rPr>
          <w:rFonts w:hint="cs"/>
          <w:rtl/>
        </w:rPr>
        <w:t xml:space="preserve">שמרים </w:t>
      </w:r>
      <w:bookmarkStart w:id="38660" w:name="_ETM_Q72_325160"/>
      <w:bookmarkEnd w:id="38660"/>
      <w:r>
        <w:rPr>
          <w:rFonts w:hint="cs"/>
          <w:rtl/>
        </w:rPr>
        <w:t xml:space="preserve">דגל </w:t>
      </w:r>
      <w:bookmarkStart w:id="38661" w:name="_ETM_Q72_325580"/>
      <w:bookmarkEnd w:id="38661"/>
      <w:r>
        <w:rPr>
          <w:rFonts w:hint="cs"/>
          <w:rtl/>
        </w:rPr>
        <w:t xml:space="preserve">אדום </w:t>
      </w:r>
      <w:bookmarkStart w:id="38662" w:name="_ETM_Q72_325970"/>
      <w:bookmarkEnd w:id="38662"/>
      <w:r>
        <w:rPr>
          <w:rFonts w:hint="cs"/>
          <w:rtl/>
        </w:rPr>
        <w:t xml:space="preserve">בפני </w:t>
      </w:r>
      <w:bookmarkStart w:id="38663" w:name="_ETM_Q72_326330"/>
      <w:bookmarkEnd w:id="38663"/>
      <w:r>
        <w:rPr>
          <w:rFonts w:hint="cs"/>
          <w:rtl/>
        </w:rPr>
        <w:t xml:space="preserve">ההפיכה, </w:t>
      </w:r>
      <w:bookmarkStart w:id="38664" w:name="_ETM_Q72_327300"/>
      <w:bookmarkEnd w:id="38664"/>
      <w:r>
        <w:rPr>
          <w:rFonts w:hint="cs"/>
          <w:rtl/>
        </w:rPr>
        <w:t xml:space="preserve">אבל </w:t>
      </w:r>
      <w:bookmarkStart w:id="38665" w:name="_ETM_Q72_327690"/>
      <w:bookmarkEnd w:id="38665"/>
      <w:r>
        <w:rPr>
          <w:rFonts w:hint="cs"/>
          <w:rtl/>
        </w:rPr>
        <w:t xml:space="preserve">הוא </w:t>
      </w:r>
      <w:bookmarkStart w:id="38666" w:name="_ETM_Q72_327780"/>
      <w:bookmarkEnd w:id="38666"/>
      <w:r>
        <w:rPr>
          <w:rFonts w:hint="cs"/>
          <w:rtl/>
        </w:rPr>
        <w:t xml:space="preserve">שותק, </w:t>
      </w:r>
      <w:bookmarkStart w:id="38667" w:name="_ETM_Q72_328950"/>
      <w:bookmarkEnd w:id="38667"/>
      <w:r>
        <w:rPr>
          <w:rFonts w:hint="cs"/>
          <w:rtl/>
        </w:rPr>
        <w:t xml:space="preserve">כי </w:t>
      </w:r>
      <w:bookmarkStart w:id="38668" w:name="_ETM_Q72_329129"/>
      <w:bookmarkEnd w:id="38668"/>
      <w:r>
        <w:rPr>
          <w:rFonts w:hint="cs"/>
          <w:rtl/>
        </w:rPr>
        <w:t xml:space="preserve">נוח </w:t>
      </w:r>
      <w:bookmarkStart w:id="38669" w:name="_ETM_Q72_329400"/>
      <w:bookmarkEnd w:id="38669"/>
      <w:r>
        <w:rPr>
          <w:rFonts w:hint="cs"/>
          <w:rtl/>
        </w:rPr>
        <w:t xml:space="preserve">לו </w:t>
      </w:r>
      <w:bookmarkStart w:id="38670" w:name="_ETM_Q72_329519"/>
      <w:bookmarkEnd w:id="38670"/>
      <w:r>
        <w:rPr>
          <w:rFonts w:hint="cs"/>
          <w:rtl/>
        </w:rPr>
        <w:t xml:space="preserve">לשתוק </w:t>
      </w:r>
      <w:bookmarkStart w:id="38671" w:name="_ETM_Q72_330569"/>
      <w:bookmarkEnd w:id="38671"/>
      <w:r>
        <w:rPr>
          <w:rFonts w:hint="cs"/>
          <w:rtl/>
        </w:rPr>
        <w:t xml:space="preserve">– אולי </w:t>
      </w:r>
      <w:bookmarkStart w:id="38672" w:name="_ETM_Q72_330930"/>
      <w:bookmarkEnd w:id="38672"/>
      <w:r>
        <w:rPr>
          <w:rFonts w:hint="cs"/>
          <w:rtl/>
        </w:rPr>
        <w:t xml:space="preserve">הבייס החרד"לי </w:t>
      </w:r>
      <w:bookmarkStart w:id="38673" w:name="_ETM_Q72_331470"/>
      <w:bookmarkStart w:id="38674" w:name="_ETM_Q72_332610"/>
      <w:bookmarkEnd w:id="38673"/>
      <w:bookmarkEnd w:id="38674"/>
      <w:r>
        <w:rPr>
          <w:rFonts w:hint="cs"/>
          <w:rtl/>
        </w:rPr>
        <w:t xml:space="preserve">שהשתלט </w:t>
      </w:r>
      <w:bookmarkStart w:id="38675" w:name="_ETM_Q72_333269"/>
      <w:bookmarkEnd w:id="38675"/>
      <w:r>
        <w:rPr>
          <w:rFonts w:hint="cs"/>
          <w:rtl/>
        </w:rPr>
        <w:t xml:space="preserve">על </w:t>
      </w:r>
      <w:bookmarkStart w:id="38676" w:name="_ETM_Q72_333360"/>
      <w:bookmarkEnd w:id="38676"/>
      <w:r>
        <w:rPr>
          <w:rFonts w:hint="cs"/>
          <w:rtl/>
        </w:rPr>
        <w:t xml:space="preserve">הליכוד </w:t>
      </w:r>
      <w:bookmarkStart w:id="38677" w:name="_ETM_Q72_334409"/>
      <w:bookmarkEnd w:id="38677"/>
      <w:r>
        <w:rPr>
          <w:rFonts w:hint="cs"/>
          <w:rtl/>
        </w:rPr>
        <w:t xml:space="preserve">ישלם </w:t>
      </w:r>
      <w:bookmarkStart w:id="38678" w:name="_ETM_Q72_334829"/>
      <w:bookmarkEnd w:id="38678"/>
      <w:r>
        <w:rPr>
          <w:rFonts w:hint="cs"/>
          <w:rtl/>
        </w:rPr>
        <w:t xml:space="preserve">לו </w:t>
      </w:r>
      <w:bookmarkStart w:id="38679" w:name="_ETM_Q72_334919"/>
      <w:bookmarkEnd w:id="38679"/>
      <w:r>
        <w:rPr>
          <w:rFonts w:hint="cs"/>
          <w:rtl/>
        </w:rPr>
        <w:t xml:space="preserve">בפריימריז </w:t>
      </w:r>
      <w:bookmarkStart w:id="38680" w:name="_ETM_Q72_335610"/>
      <w:bookmarkEnd w:id="38680"/>
      <w:r>
        <w:rPr>
          <w:rFonts w:hint="cs"/>
          <w:rtl/>
        </w:rPr>
        <w:t xml:space="preserve">הבאים </w:t>
      </w:r>
      <w:bookmarkStart w:id="38681" w:name="_ETM_Q72_336650"/>
      <w:bookmarkEnd w:id="38681"/>
      <w:r>
        <w:rPr>
          <w:rFonts w:hint="cs"/>
          <w:rtl/>
        </w:rPr>
        <w:t xml:space="preserve">על </w:t>
      </w:r>
      <w:bookmarkStart w:id="38682" w:name="_ETM_Q72_337010"/>
      <w:bookmarkEnd w:id="38682"/>
      <w:r>
        <w:rPr>
          <w:rFonts w:hint="cs"/>
          <w:rtl/>
        </w:rPr>
        <w:t xml:space="preserve">הרס </w:t>
      </w:r>
      <w:bookmarkStart w:id="38683" w:name="_ETM_Q72_337310"/>
      <w:bookmarkEnd w:id="38683"/>
      <w:r>
        <w:rPr>
          <w:rFonts w:hint="cs"/>
          <w:rtl/>
        </w:rPr>
        <w:t xml:space="preserve">הדמוקרטיה </w:t>
      </w:r>
      <w:bookmarkStart w:id="38684" w:name="_ETM_Q72_337910"/>
      <w:bookmarkEnd w:id="38684"/>
      <w:r>
        <w:rPr>
          <w:rFonts w:hint="cs"/>
          <w:rtl/>
        </w:rPr>
        <w:t xml:space="preserve">הישראלית. </w:t>
      </w:r>
      <w:bookmarkStart w:id="38685" w:name="_ETM_Q72_339519"/>
      <w:bookmarkEnd w:id="38685"/>
      <w:r>
        <w:rPr>
          <w:rFonts w:hint="cs"/>
          <w:rtl/>
        </w:rPr>
        <w:t xml:space="preserve">ראש הממשלה – </w:t>
      </w:r>
      <w:bookmarkStart w:id="38686" w:name="_ETM_Q72_341680"/>
      <w:bookmarkEnd w:id="38686"/>
      <w:r>
        <w:rPr>
          <w:rFonts w:hint="cs"/>
          <w:rtl/>
        </w:rPr>
        <w:t xml:space="preserve">ממתי </w:t>
      </w:r>
      <w:bookmarkStart w:id="38687" w:name="_ETM_Q72_342250"/>
      <w:bookmarkEnd w:id="38687"/>
      <w:r>
        <w:rPr>
          <w:rFonts w:hint="cs"/>
          <w:rtl/>
        </w:rPr>
        <w:t xml:space="preserve">הציבור </w:t>
      </w:r>
      <w:bookmarkStart w:id="38688" w:name="_ETM_Q72_342639"/>
      <w:bookmarkEnd w:id="38688"/>
      <w:r>
        <w:rPr>
          <w:rFonts w:hint="cs"/>
          <w:rtl/>
        </w:rPr>
        <w:t xml:space="preserve">הישראלי, </w:t>
      </w:r>
      <w:bookmarkStart w:id="38689" w:name="_ETM_Q72_344599"/>
      <w:bookmarkEnd w:id="38689"/>
      <w:r>
        <w:rPr>
          <w:rFonts w:hint="cs"/>
          <w:rtl/>
        </w:rPr>
        <w:t xml:space="preserve">כלכלת </w:t>
      </w:r>
      <w:bookmarkStart w:id="38690" w:name="_ETM_Q72_345200"/>
      <w:bookmarkEnd w:id="38690"/>
      <w:r>
        <w:rPr>
          <w:rFonts w:hint="cs"/>
          <w:rtl/>
        </w:rPr>
        <w:t xml:space="preserve">ישראל, </w:t>
      </w:r>
      <w:bookmarkStart w:id="38691" w:name="_ETM_Q72_345830"/>
      <w:bookmarkEnd w:id="38691"/>
      <w:r>
        <w:rPr>
          <w:rFonts w:hint="cs"/>
          <w:rtl/>
        </w:rPr>
        <w:t xml:space="preserve">עניינו </w:t>
      </w:r>
      <w:bookmarkStart w:id="38692" w:name="_ETM_Q72_346430"/>
      <w:bookmarkEnd w:id="38692"/>
      <w:r>
        <w:rPr>
          <w:rFonts w:hint="cs"/>
          <w:rtl/>
        </w:rPr>
        <w:t xml:space="preserve">אותו? </w:t>
      </w:r>
      <w:bookmarkStart w:id="38693" w:name="_ETM_Q72_347620"/>
      <w:bookmarkEnd w:id="38693"/>
      <w:r>
        <w:rPr>
          <w:rFonts w:hint="cs"/>
          <w:rtl/>
        </w:rPr>
        <w:t xml:space="preserve">אולי </w:t>
      </w:r>
      <w:bookmarkStart w:id="38694" w:name="_ETM_Q72_349243"/>
      <w:bookmarkEnd w:id="38694"/>
      <w:r>
        <w:rPr>
          <w:rFonts w:hint="cs"/>
          <w:rtl/>
        </w:rPr>
        <w:t xml:space="preserve">לפני 20 שנה. </w:t>
      </w:r>
    </w:p>
    <w:p w:rsidR="00BB59CD" w:rsidRDefault="00BB59CD" w:rsidP="00BB59CD">
      <w:pPr>
        <w:rPr>
          <w:rtl/>
        </w:rPr>
      </w:pPr>
    </w:p>
    <w:p w:rsidR="00BB59CD" w:rsidRDefault="00BB59CD" w:rsidP="00BB59CD">
      <w:pPr>
        <w:rPr>
          <w:rtl/>
        </w:rPr>
      </w:pPr>
      <w:r>
        <w:rPr>
          <w:rFonts w:hint="cs"/>
          <w:rtl/>
        </w:rPr>
        <w:t xml:space="preserve">מה כן </w:t>
      </w:r>
      <w:bookmarkStart w:id="38695" w:name="_ETM_Q72_347919"/>
      <w:bookmarkStart w:id="38696" w:name="_ETM_Q72_348220"/>
      <w:bookmarkStart w:id="38697" w:name="_ETM_Q72_348400"/>
      <w:bookmarkStart w:id="38698" w:name="_ETM_Q72_348639"/>
      <w:bookmarkStart w:id="38699" w:name="_ETM_Q72_348970"/>
      <w:bookmarkStart w:id="38700" w:name="_ETM_Q72_349269"/>
      <w:bookmarkStart w:id="38701" w:name="_ETM_Q72_350799"/>
      <w:bookmarkStart w:id="38702" w:name="_ETM_Q72_351069"/>
      <w:bookmarkStart w:id="38703" w:name="_ETM_Q72_351310"/>
      <w:bookmarkEnd w:id="38695"/>
      <w:bookmarkEnd w:id="38696"/>
      <w:bookmarkEnd w:id="38697"/>
      <w:bookmarkEnd w:id="38698"/>
      <w:bookmarkEnd w:id="38699"/>
      <w:bookmarkEnd w:id="38700"/>
      <w:bookmarkEnd w:id="38701"/>
      <w:bookmarkEnd w:id="38702"/>
      <w:bookmarkEnd w:id="38703"/>
      <w:r>
        <w:rPr>
          <w:rFonts w:hint="cs"/>
          <w:rtl/>
        </w:rPr>
        <w:t xml:space="preserve">יש </w:t>
      </w:r>
      <w:bookmarkStart w:id="38704" w:name="_ETM_Q72_351579"/>
      <w:bookmarkEnd w:id="38704"/>
      <w:r>
        <w:rPr>
          <w:rFonts w:hint="cs"/>
          <w:rtl/>
        </w:rPr>
        <w:t xml:space="preserve">לנו? </w:t>
      </w:r>
      <w:bookmarkStart w:id="38705" w:name="_ETM_Q72_352760"/>
      <w:bookmarkEnd w:id="38705"/>
      <w:r>
        <w:rPr>
          <w:rFonts w:hint="cs"/>
          <w:rtl/>
        </w:rPr>
        <w:t xml:space="preserve">עושק </w:t>
      </w:r>
      <w:bookmarkStart w:id="38706" w:name="_ETM_Q72_353419"/>
      <w:bookmarkEnd w:id="38706"/>
      <w:r>
        <w:rPr>
          <w:rFonts w:hint="cs"/>
          <w:rtl/>
        </w:rPr>
        <w:t xml:space="preserve">הקופה </w:t>
      </w:r>
      <w:bookmarkStart w:id="38707" w:name="_ETM_Q72_353900"/>
      <w:bookmarkEnd w:id="38707"/>
      <w:r>
        <w:rPr>
          <w:rFonts w:hint="cs"/>
          <w:rtl/>
        </w:rPr>
        <w:t xml:space="preserve">הציבורית. </w:t>
      </w:r>
      <w:bookmarkStart w:id="38708" w:name="_ETM_Q72_355430"/>
      <w:bookmarkEnd w:id="38708"/>
      <w:r>
        <w:rPr>
          <w:rFonts w:hint="cs"/>
          <w:rtl/>
        </w:rPr>
        <w:t xml:space="preserve">בזמן </w:t>
      </w:r>
      <w:bookmarkStart w:id="38709" w:name="_ETM_Q72_355880"/>
      <w:bookmarkEnd w:id="38709"/>
      <w:r>
        <w:rPr>
          <w:rFonts w:hint="cs"/>
          <w:rtl/>
        </w:rPr>
        <w:t xml:space="preserve">שמעמד </w:t>
      </w:r>
      <w:bookmarkStart w:id="38710" w:name="_ETM_Q72_356330"/>
      <w:bookmarkEnd w:id="38710"/>
      <w:r>
        <w:rPr>
          <w:rFonts w:hint="cs"/>
          <w:rtl/>
        </w:rPr>
        <w:t xml:space="preserve">הביניים </w:t>
      </w:r>
      <w:bookmarkStart w:id="38711" w:name="_ETM_Q72_356810"/>
      <w:bookmarkEnd w:id="38711"/>
      <w:r>
        <w:rPr>
          <w:rFonts w:hint="cs"/>
          <w:rtl/>
        </w:rPr>
        <w:t xml:space="preserve">משרת, </w:t>
      </w:r>
      <w:bookmarkStart w:id="38712" w:name="_ETM_Q72_357410"/>
      <w:bookmarkEnd w:id="38712"/>
      <w:r>
        <w:rPr>
          <w:rFonts w:hint="cs"/>
          <w:rtl/>
        </w:rPr>
        <w:t xml:space="preserve">עובד </w:t>
      </w:r>
      <w:bookmarkStart w:id="38713" w:name="_ETM_Q72_357800"/>
      <w:bookmarkEnd w:id="38713"/>
      <w:r>
        <w:rPr>
          <w:rFonts w:hint="cs"/>
          <w:rtl/>
        </w:rPr>
        <w:t xml:space="preserve">ומשלם </w:t>
      </w:r>
      <w:bookmarkStart w:id="38714" w:name="_ETM_Q72_358220"/>
      <w:bookmarkEnd w:id="38714"/>
      <w:r>
        <w:rPr>
          <w:rFonts w:hint="cs"/>
          <w:rtl/>
        </w:rPr>
        <w:t xml:space="preserve">מיסים, </w:t>
      </w:r>
      <w:bookmarkStart w:id="38715" w:name="_ETM_Q72_359709"/>
      <w:bookmarkEnd w:id="38715"/>
      <w:r>
        <w:rPr>
          <w:rFonts w:hint="cs"/>
          <w:rtl/>
        </w:rPr>
        <w:t xml:space="preserve">העסקונה </w:t>
      </w:r>
      <w:bookmarkStart w:id="38716" w:name="_ETM_Q72_360730"/>
      <w:bookmarkEnd w:id="38716"/>
      <w:r>
        <w:rPr>
          <w:rFonts w:hint="cs"/>
          <w:rtl/>
        </w:rPr>
        <w:t xml:space="preserve">מהממשלה </w:t>
      </w:r>
      <w:bookmarkStart w:id="38717" w:name="_ETM_Q72_362020"/>
      <w:bookmarkEnd w:id="38717"/>
      <w:r>
        <w:rPr>
          <w:rFonts w:hint="cs"/>
          <w:rtl/>
        </w:rPr>
        <w:t xml:space="preserve">תזכה </w:t>
      </w:r>
      <w:bookmarkStart w:id="38718" w:name="_ETM_Q72_362500"/>
      <w:bookmarkEnd w:id="38718"/>
      <w:r>
        <w:rPr>
          <w:rFonts w:hint="cs"/>
          <w:rtl/>
        </w:rPr>
        <w:t xml:space="preserve">לתמיכה, </w:t>
      </w:r>
      <w:bookmarkStart w:id="38719" w:name="_ETM_Q72_363730"/>
      <w:bookmarkEnd w:id="38719"/>
      <w:r>
        <w:rPr>
          <w:rFonts w:hint="cs"/>
          <w:rtl/>
        </w:rPr>
        <w:t xml:space="preserve">תמיכת שיא </w:t>
      </w:r>
      <w:bookmarkStart w:id="38720" w:name="_ETM_Q72_363909"/>
      <w:bookmarkStart w:id="38721" w:name="_ETM_Q72_365349"/>
      <w:bookmarkEnd w:id="38720"/>
      <w:bookmarkEnd w:id="38721"/>
      <w:r>
        <w:rPr>
          <w:rFonts w:hint="cs"/>
          <w:rtl/>
        </w:rPr>
        <w:t xml:space="preserve">של למעלה מ-14 מיליארד שקלים של הכספים הקואליציוניים, סכום </w:t>
      </w:r>
      <w:bookmarkStart w:id="38722" w:name="_ETM_Q72_366010"/>
      <w:bookmarkStart w:id="38723" w:name="_ETM_Q72_361958"/>
      <w:bookmarkStart w:id="38724" w:name="_ETM_Q72_367120"/>
      <w:bookmarkStart w:id="38725" w:name="_ETM_Q72_368340"/>
      <w:bookmarkStart w:id="38726" w:name="_ETM_Q72_368549"/>
      <w:bookmarkStart w:id="38727" w:name="_ETM_Q72_368970"/>
      <w:bookmarkStart w:id="38728" w:name="_ETM_Q72_369720"/>
      <w:bookmarkStart w:id="38729" w:name="_ETM_Q72_370139"/>
      <w:bookmarkEnd w:id="38722"/>
      <w:bookmarkEnd w:id="38723"/>
      <w:bookmarkEnd w:id="38724"/>
      <w:bookmarkEnd w:id="38725"/>
      <w:bookmarkEnd w:id="38726"/>
      <w:bookmarkEnd w:id="38727"/>
      <w:bookmarkEnd w:id="38728"/>
      <w:bookmarkEnd w:id="38729"/>
      <w:r>
        <w:rPr>
          <w:rFonts w:hint="cs"/>
          <w:rtl/>
        </w:rPr>
        <w:t xml:space="preserve">אסטרונומי </w:t>
      </w:r>
      <w:bookmarkStart w:id="38730" w:name="_ETM_Q72_370950"/>
      <w:bookmarkEnd w:id="38730"/>
      <w:r>
        <w:rPr>
          <w:rFonts w:hint="cs"/>
          <w:rtl/>
        </w:rPr>
        <w:t xml:space="preserve">שיתחזק </w:t>
      </w:r>
      <w:bookmarkStart w:id="38731" w:name="_ETM_Q72_372361"/>
      <w:bookmarkStart w:id="38732" w:name="_ETM_Q72_372270"/>
      <w:bookmarkStart w:id="38733" w:name="_ETM_Q72_372870"/>
      <w:bookmarkStart w:id="38734" w:name="_ETM_Q72_373020"/>
      <w:bookmarkStart w:id="38735" w:name="_ETM_Q72_373710"/>
      <w:bookmarkEnd w:id="38731"/>
      <w:bookmarkEnd w:id="38732"/>
      <w:bookmarkEnd w:id="38733"/>
      <w:bookmarkEnd w:id="38734"/>
      <w:bookmarkEnd w:id="38735"/>
      <w:r>
        <w:rPr>
          <w:rFonts w:hint="cs"/>
          <w:rtl/>
        </w:rPr>
        <w:t xml:space="preserve">את </w:t>
      </w:r>
      <w:bookmarkStart w:id="38736" w:name="_ETM_Q72_373919"/>
      <w:bookmarkEnd w:id="38736"/>
      <w:r>
        <w:rPr>
          <w:rFonts w:hint="cs"/>
          <w:rtl/>
        </w:rPr>
        <w:t xml:space="preserve">מעגל </w:t>
      </w:r>
      <w:bookmarkStart w:id="38737" w:name="_ETM_Q72_374340"/>
      <w:bookmarkEnd w:id="38737"/>
      <w:r>
        <w:rPr>
          <w:rFonts w:hint="cs"/>
          <w:rtl/>
        </w:rPr>
        <w:t xml:space="preserve">העוני </w:t>
      </w:r>
      <w:bookmarkStart w:id="38738" w:name="_ETM_Q72_375430"/>
      <w:bookmarkEnd w:id="38738"/>
      <w:r>
        <w:rPr>
          <w:rFonts w:hint="cs"/>
          <w:rtl/>
        </w:rPr>
        <w:t xml:space="preserve">ויעודד </w:t>
      </w:r>
      <w:bookmarkStart w:id="38739" w:name="_ETM_Q72_377020"/>
      <w:bookmarkEnd w:id="38739"/>
      <w:r>
        <w:rPr>
          <w:rFonts w:hint="cs"/>
          <w:rtl/>
        </w:rPr>
        <w:t xml:space="preserve">את מוסדות </w:t>
      </w:r>
      <w:bookmarkStart w:id="38740" w:name="_ETM_Q72_377800"/>
      <w:bookmarkEnd w:id="38740"/>
      <w:r>
        <w:rPr>
          <w:rFonts w:hint="cs"/>
          <w:rtl/>
        </w:rPr>
        <w:t xml:space="preserve">החינוך </w:t>
      </w:r>
      <w:bookmarkStart w:id="38741" w:name="_ETM_Q72_378840"/>
      <w:bookmarkEnd w:id="38741"/>
      <w:r>
        <w:rPr>
          <w:rFonts w:hint="cs"/>
          <w:rtl/>
        </w:rPr>
        <w:t xml:space="preserve">שלא </w:t>
      </w:r>
      <w:bookmarkStart w:id="38742" w:name="_ETM_Q72_379169"/>
      <w:bookmarkEnd w:id="38742"/>
      <w:r>
        <w:rPr>
          <w:rFonts w:hint="cs"/>
          <w:rtl/>
        </w:rPr>
        <w:t xml:space="preserve">מלמדים </w:t>
      </w:r>
      <w:bookmarkStart w:id="38743" w:name="_ETM_Q72_379889"/>
      <w:bookmarkEnd w:id="38743"/>
      <w:r>
        <w:rPr>
          <w:rFonts w:hint="cs"/>
          <w:rtl/>
        </w:rPr>
        <w:t xml:space="preserve">לימודי </w:t>
      </w:r>
      <w:bookmarkStart w:id="38744" w:name="_ETM_Q72_380310"/>
      <w:bookmarkEnd w:id="38744"/>
      <w:r>
        <w:rPr>
          <w:rFonts w:hint="cs"/>
          <w:rtl/>
        </w:rPr>
        <w:t xml:space="preserve">ליבה. </w:t>
      </w:r>
      <w:bookmarkStart w:id="38745" w:name="_ETM_Q72_381450"/>
      <w:bookmarkEnd w:id="38745"/>
      <w:r>
        <w:rPr>
          <w:rFonts w:hint="cs"/>
          <w:rtl/>
        </w:rPr>
        <w:t xml:space="preserve">זה </w:t>
      </w:r>
      <w:bookmarkStart w:id="38746" w:name="_ETM_Q72_381690"/>
      <w:bookmarkEnd w:id="38746"/>
      <w:r>
        <w:rPr>
          <w:rFonts w:hint="cs"/>
          <w:rtl/>
        </w:rPr>
        <w:t xml:space="preserve">פשע, </w:t>
      </w:r>
      <w:bookmarkStart w:id="38747" w:name="_ETM_Q72_383019"/>
      <w:bookmarkEnd w:id="38747"/>
      <w:r>
        <w:rPr>
          <w:rFonts w:hint="cs"/>
          <w:rtl/>
        </w:rPr>
        <w:t xml:space="preserve">פשע </w:t>
      </w:r>
      <w:bookmarkStart w:id="38748" w:name="_ETM_Q72_384040"/>
      <w:bookmarkEnd w:id="38748"/>
      <w:r>
        <w:rPr>
          <w:rFonts w:hint="cs"/>
          <w:rtl/>
        </w:rPr>
        <w:t xml:space="preserve">נגד </w:t>
      </w:r>
      <w:bookmarkStart w:id="38749" w:name="_ETM_Q72_384430"/>
      <w:bookmarkEnd w:id="38749"/>
      <w:r>
        <w:rPr>
          <w:rFonts w:hint="cs"/>
          <w:rtl/>
        </w:rPr>
        <w:t xml:space="preserve">עתיד </w:t>
      </w:r>
      <w:bookmarkStart w:id="38750" w:name="_ETM_Q72_385439"/>
      <w:bookmarkEnd w:id="38750"/>
      <w:r>
        <w:rPr>
          <w:rFonts w:hint="cs"/>
          <w:rtl/>
        </w:rPr>
        <w:t xml:space="preserve">מדינת </w:t>
      </w:r>
      <w:bookmarkStart w:id="38751" w:name="_ETM_Q72_385919"/>
      <w:bookmarkEnd w:id="38751"/>
      <w:r>
        <w:rPr>
          <w:rFonts w:hint="cs"/>
          <w:rtl/>
        </w:rPr>
        <w:t xml:space="preserve">ישראל, </w:t>
      </w:r>
      <w:bookmarkStart w:id="38752" w:name="_ETM_Q72_387030"/>
      <w:bookmarkEnd w:id="38752"/>
      <w:r>
        <w:rPr>
          <w:rFonts w:hint="cs"/>
          <w:rtl/>
        </w:rPr>
        <w:t xml:space="preserve">נגד </w:t>
      </w:r>
      <w:bookmarkStart w:id="38753" w:name="_ETM_Q72_387359"/>
      <w:bookmarkEnd w:id="38753"/>
      <w:r>
        <w:rPr>
          <w:rFonts w:hint="cs"/>
          <w:rtl/>
        </w:rPr>
        <w:t xml:space="preserve">עתיד </w:t>
      </w:r>
      <w:bookmarkStart w:id="38754" w:name="_ETM_Q72_387659"/>
      <w:bookmarkEnd w:id="38754"/>
      <w:r>
        <w:rPr>
          <w:rFonts w:hint="cs"/>
          <w:rtl/>
        </w:rPr>
        <w:t xml:space="preserve">כלכלת </w:t>
      </w:r>
      <w:bookmarkStart w:id="38755" w:name="_ETM_Q72_388109"/>
      <w:bookmarkEnd w:id="38755"/>
      <w:r>
        <w:rPr>
          <w:rFonts w:hint="cs"/>
          <w:rtl/>
        </w:rPr>
        <w:t>ישראל.</w:t>
      </w:r>
    </w:p>
    <w:p w:rsidR="00BB59CD" w:rsidRDefault="00BB59CD" w:rsidP="00BB59CD">
      <w:pPr>
        <w:rPr>
          <w:rtl/>
        </w:rPr>
      </w:pPr>
      <w:bookmarkStart w:id="38756" w:name="_ETM_Q72_387095"/>
      <w:bookmarkStart w:id="38757" w:name="_ETM_Q72_387218"/>
      <w:bookmarkStart w:id="38758" w:name="_ETM_Q72_387287"/>
      <w:bookmarkEnd w:id="38756"/>
      <w:bookmarkEnd w:id="38757"/>
      <w:bookmarkEnd w:id="38758"/>
    </w:p>
    <w:p w:rsidR="00BB59CD" w:rsidRDefault="00BB59CD" w:rsidP="00C94ACC">
      <w:pPr>
        <w:rPr>
          <w:rtl/>
        </w:rPr>
      </w:pPr>
      <w:bookmarkStart w:id="38759" w:name="_ETM_Q72_387388"/>
      <w:bookmarkStart w:id="38760" w:name="_ETM_Q72_390410"/>
      <w:bookmarkEnd w:id="38759"/>
      <w:bookmarkEnd w:id="38760"/>
      <w:r>
        <w:rPr>
          <w:rFonts w:hint="cs"/>
          <w:rtl/>
        </w:rPr>
        <w:t xml:space="preserve">מחר </w:t>
      </w:r>
      <w:bookmarkStart w:id="38761" w:name="_ETM_Q72_390830"/>
      <w:bookmarkEnd w:id="38761"/>
      <w:r>
        <w:rPr>
          <w:rFonts w:hint="cs"/>
          <w:rtl/>
        </w:rPr>
        <w:t xml:space="preserve">צפויה </w:t>
      </w:r>
      <w:bookmarkStart w:id="38762" w:name="_ETM_Q72_391250"/>
      <w:bookmarkEnd w:id="38762"/>
      <w:r>
        <w:rPr>
          <w:rFonts w:hint="cs"/>
          <w:rtl/>
        </w:rPr>
        <w:t xml:space="preserve">לעבור </w:t>
      </w:r>
      <w:bookmarkStart w:id="38763" w:name="_ETM_Q72_392180"/>
      <w:bookmarkEnd w:id="38763"/>
      <w:r>
        <w:rPr>
          <w:rFonts w:hint="cs"/>
          <w:rtl/>
        </w:rPr>
        <w:t xml:space="preserve">החתיכה הראשונה בסלמי של </w:t>
      </w:r>
      <w:bookmarkStart w:id="38764" w:name="_ETM_Q72_392480"/>
      <w:bookmarkStart w:id="38765" w:name="_ETM_Q72_392840"/>
      <w:bookmarkStart w:id="38766" w:name="_ETM_Q72_393380"/>
      <w:bookmarkStart w:id="38767" w:name="_ETM_Q72_394070"/>
      <w:bookmarkStart w:id="38768" w:name="_ETM_Q72_394250"/>
      <w:bookmarkEnd w:id="38764"/>
      <w:bookmarkEnd w:id="38765"/>
      <w:bookmarkEnd w:id="38766"/>
      <w:bookmarkEnd w:id="38767"/>
      <w:bookmarkEnd w:id="38768"/>
      <w:r>
        <w:rPr>
          <w:rFonts w:hint="cs"/>
          <w:rtl/>
        </w:rPr>
        <w:t xml:space="preserve">ההפיכה </w:t>
      </w:r>
      <w:bookmarkStart w:id="38769" w:name="_ETM_Q72_394639"/>
      <w:bookmarkEnd w:id="38769"/>
      <w:r>
        <w:rPr>
          <w:rFonts w:hint="cs"/>
          <w:rtl/>
        </w:rPr>
        <w:t xml:space="preserve">המשטרית, </w:t>
      </w:r>
      <w:bookmarkStart w:id="38770" w:name="_ETM_Q72_395900"/>
      <w:bookmarkEnd w:id="38770"/>
      <w:r>
        <w:rPr>
          <w:rFonts w:hint="cs"/>
          <w:rtl/>
        </w:rPr>
        <w:t xml:space="preserve">ועדיין </w:t>
      </w:r>
      <w:bookmarkStart w:id="38771" w:name="_ETM_Q72_396530"/>
      <w:bookmarkEnd w:id="38771"/>
      <w:r>
        <w:rPr>
          <w:rFonts w:hint="cs"/>
          <w:rtl/>
        </w:rPr>
        <w:t xml:space="preserve">אני </w:t>
      </w:r>
      <w:bookmarkStart w:id="38772" w:name="_ETM_Q72_396740"/>
      <w:bookmarkEnd w:id="38772"/>
      <w:r>
        <w:rPr>
          <w:rFonts w:hint="cs"/>
          <w:rtl/>
        </w:rPr>
        <w:t xml:space="preserve">מאמין </w:t>
      </w:r>
      <w:bookmarkStart w:id="38773" w:name="_ETM_Q72_397160"/>
      <w:bookmarkEnd w:id="38773"/>
      <w:r>
        <w:rPr>
          <w:rFonts w:hint="cs"/>
          <w:rtl/>
        </w:rPr>
        <w:t xml:space="preserve">בכל </w:t>
      </w:r>
      <w:bookmarkStart w:id="38774" w:name="_ETM_Q72_397580"/>
      <w:bookmarkEnd w:id="38774"/>
      <w:r>
        <w:rPr>
          <w:rFonts w:hint="cs"/>
          <w:rtl/>
        </w:rPr>
        <w:t xml:space="preserve">ליבי </w:t>
      </w:r>
      <w:bookmarkStart w:id="38775" w:name="_ETM_Q72_398240"/>
      <w:bookmarkEnd w:id="38775"/>
      <w:r>
        <w:rPr>
          <w:rFonts w:hint="cs"/>
          <w:rtl/>
        </w:rPr>
        <w:t xml:space="preserve">כי </w:t>
      </w:r>
      <w:bookmarkStart w:id="38776" w:name="_ETM_Q72_398420"/>
      <w:bookmarkEnd w:id="38776"/>
      <w:r>
        <w:rPr>
          <w:rFonts w:hint="cs"/>
          <w:rtl/>
        </w:rPr>
        <w:t xml:space="preserve">אפשר </w:t>
      </w:r>
      <w:bookmarkStart w:id="38777" w:name="_ETM_Q72_398690"/>
      <w:bookmarkEnd w:id="38777"/>
      <w:r>
        <w:rPr>
          <w:rFonts w:hint="cs"/>
          <w:rtl/>
        </w:rPr>
        <w:t xml:space="preserve">להגיע </w:t>
      </w:r>
      <w:bookmarkStart w:id="38778" w:name="_ETM_Q72_399050"/>
      <w:bookmarkEnd w:id="38778"/>
      <w:r>
        <w:rPr>
          <w:rFonts w:hint="cs"/>
          <w:rtl/>
        </w:rPr>
        <w:t xml:space="preserve">להסכמות </w:t>
      </w:r>
      <w:bookmarkStart w:id="38779" w:name="_ETM_Q72_399710"/>
      <w:bookmarkEnd w:id="38779"/>
      <w:r>
        <w:rPr>
          <w:rFonts w:hint="cs"/>
          <w:rtl/>
        </w:rPr>
        <w:t xml:space="preserve">לפני </w:t>
      </w:r>
      <w:bookmarkStart w:id="38780" w:name="_ETM_Q72_400130"/>
      <w:bookmarkEnd w:id="38780"/>
      <w:r>
        <w:rPr>
          <w:rFonts w:hint="cs"/>
          <w:rtl/>
        </w:rPr>
        <w:t xml:space="preserve">ביטול </w:t>
      </w:r>
      <w:bookmarkStart w:id="38781" w:name="_ETM_Q72_400900"/>
      <w:bookmarkEnd w:id="38781"/>
      <w:r>
        <w:rPr>
          <w:rFonts w:hint="cs"/>
          <w:rtl/>
        </w:rPr>
        <w:t xml:space="preserve">עילת </w:t>
      </w:r>
      <w:bookmarkStart w:id="38782" w:name="_ETM_Q72_401110"/>
      <w:bookmarkStart w:id="38783" w:name="_ETM_Q72_401200"/>
      <w:bookmarkEnd w:id="38782"/>
      <w:bookmarkEnd w:id="38783"/>
      <w:r>
        <w:rPr>
          <w:rFonts w:hint="cs"/>
          <w:rtl/>
        </w:rPr>
        <w:t xml:space="preserve">הסבירות. </w:t>
      </w:r>
      <w:bookmarkStart w:id="38784" w:name="_ETM_Q72_401740"/>
      <w:bookmarkEnd w:id="38784"/>
      <w:r>
        <w:rPr>
          <w:rFonts w:hint="cs"/>
          <w:rtl/>
        </w:rPr>
        <w:t xml:space="preserve">לפני </w:t>
      </w:r>
      <w:bookmarkStart w:id="38785" w:name="_ETM_Q72_403540"/>
      <w:bookmarkEnd w:id="38785"/>
      <w:r>
        <w:rPr>
          <w:rFonts w:hint="cs"/>
          <w:rtl/>
        </w:rPr>
        <w:t xml:space="preserve">ביטול </w:t>
      </w:r>
      <w:bookmarkStart w:id="38786" w:name="_ETM_Q72_403900"/>
      <w:bookmarkStart w:id="38787" w:name="_ETM_Q72_404079"/>
      <w:bookmarkEnd w:id="38786"/>
      <w:bookmarkEnd w:id="38787"/>
      <w:r>
        <w:rPr>
          <w:rFonts w:hint="cs"/>
          <w:rtl/>
        </w:rPr>
        <w:t xml:space="preserve">חובת </w:t>
      </w:r>
      <w:bookmarkStart w:id="38788" w:name="_ETM_Q72_404530"/>
      <w:bookmarkEnd w:id="38788"/>
      <w:r>
        <w:rPr>
          <w:rFonts w:hint="cs"/>
          <w:rtl/>
        </w:rPr>
        <w:t xml:space="preserve">הסבירות. </w:t>
      </w:r>
      <w:bookmarkStart w:id="38789" w:name="_ETM_Q72_406520"/>
      <w:bookmarkEnd w:id="38789"/>
      <w:r>
        <w:rPr>
          <w:rFonts w:hint="cs"/>
          <w:rtl/>
        </w:rPr>
        <w:t xml:space="preserve">אפשר </w:t>
      </w:r>
      <w:bookmarkStart w:id="38790" w:name="_ETM_Q72_407060"/>
      <w:bookmarkEnd w:id="38790"/>
      <w:r>
        <w:rPr>
          <w:rFonts w:hint="cs"/>
          <w:rtl/>
        </w:rPr>
        <w:t xml:space="preserve">לעצור </w:t>
      </w:r>
      <w:bookmarkStart w:id="38791" w:name="_ETM_Q72_407450"/>
      <w:bookmarkEnd w:id="38791"/>
      <w:r>
        <w:rPr>
          <w:rFonts w:hint="cs"/>
          <w:rtl/>
        </w:rPr>
        <w:t xml:space="preserve">עכשיו. </w:t>
      </w:r>
      <w:bookmarkStart w:id="38792" w:name="_ETM_Q72_408290"/>
      <w:bookmarkStart w:id="38793" w:name="_ETM_Q72_408380"/>
      <w:bookmarkEnd w:id="38792"/>
      <w:bookmarkEnd w:id="38793"/>
      <w:r>
        <w:rPr>
          <w:rFonts w:hint="cs"/>
          <w:rtl/>
        </w:rPr>
        <w:t xml:space="preserve">אפשר </w:t>
      </w:r>
      <w:bookmarkStart w:id="38794" w:name="_ETM_Q72_408680"/>
      <w:bookmarkEnd w:id="38794"/>
      <w:r>
        <w:rPr>
          <w:rFonts w:hint="cs"/>
          <w:rtl/>
        </w:rPr>
        <w:t xml:space="preserve">לדבר </w:t>
      </w:r>
      <w:bookmarkStart w:id="38795" w:name="_ETM_Q72_409099"/>
      <w:bookmarkEnd w:id="38795"/>
      <w:r>
        <w:rPr>
          <w:rFonts w:hint="cs"/>
          <w:rtl/>
        </w:rPr>
        <w:t xml:space="preserve">עכשיו </w:t>
      </w:r>
      <w:bookmarkStart w:id="38796" w:name="_ETM_Q72_409999"/>
      <w:bookmarkEnd w:id="38796"/>
      <w:r>
        <w:rPr>
          <w:rFonts w:hint="cs"/>
          <w:rtl/>
        </w:rPr>
        <w:t xml:space="preserve">ולשים </w:t>
      </w:r>
      <w:bookmarkStart w:id="38797" w:name="_ETM_Q72_410779"/>
      <w:bookmarkEnd w:id="38797"/>
      <w:r>
        <w:rPr>
          <w:rFonts w:hint="cs"/>
          <w:rtl/>
        </w:rPr>
        <w:t xml:space="preserve">סוף </w:t>
      </w:r>
      <w:bookmarkStart w:id="38798" w:name="_ETM_Q72_411139"/>
      <w:bookmarkEnd w:id="38798"/>
      <w:r>
        <w:rPr>
          <w:rFonts w:hint="cs"/>
          <w:rtl/>
        </w:rPr>
        <w:t xml:space="preserve">לכאוס </w:t>
      </w:r>
      <w:bookmarkStart w:id="38799" w:name="_ETM_Q72_412320"/>
      <w:bookmarkStart w:id="38800" w:name="_ETM_Q72_413520"/>
      <w:bookmarkEnd w:id="38799"/>
      <w:bookmarkEnd w:id="38800"/>
      <w:r>
        <w:rPr>
          <w:rFonts w:hint="cs"/>
          <w:rtl/>
        </w:rPr>
        <w:t xml:space="preserve">שהממשלה, </w:t>
      </w:r>
      <w:bookmarkStart w:id="38801" w:name="_ETM_Q72_414750"/>
      <w:bookmarkEnd w:id="38801"/>
      <w:r>
        <w:rPr>
          <w:rFonts w:hint="cs"/>
          <w:rtl/>
        </w:rPr>
        <w:t xml:space="preserve">שהפרה </w:t>
      </w:r>
      <w:bookmarkStart w:id="38802" w:name="_ETM_Q72_415350"/>
      <w:bookmarkEnd w:id="38802"/>
      <w:r>
        <w:rPr>
          <w:rFonts w:hint="cs"/>
          <w:rtl/>
        </w:rPr>
        <w:t xml:space="preserve">את </w:t>
      </w:r>
      <w:bookmarkStart w:id="38803" w:name="_ETM_Q72_415470"/>
      <w:bookmarkEnd w:id="38803"/>
      <w:r>
        <w:rPr>
          <w:rFonts w:hint="cs"/>
          <w:rtl/>
        </w:rPr>
        <w:t xml:space="preserve">הסדר </w:t>
      </w:r>
      <w:bookmarkStart w:id="38804" w:name="_ETM_Q72_415920"/>
      <w:bookmarkEnd w:id="38804"/>
      <w:r>
        <w:rPr>
          <w:rFonts w:hint="cs"/>
          <w:rtl/>
        </w:rPr>
        <w:t xml:space="preserve">הציבורי, </w:t>
      </w:r>
      <w:bookmarkStart w:id="38805" w:name="_ETM_Q72_416799"/>
      <w:bookmarkEnd w:id="38805"/>
      <w:r>
        <w:rPr>
          <w:rFonts w:hint="cs"/>
          <w:rtl/>
        </w:rPr>
        <w:t xml:space="preserve">יצרה. </w:t>
      </w:r>
      <w:bookmarkStart w:id="38806" w:name="_ETM_Q72_418599"/>
      <w:bookmarkEnd w:id="38806"/>
      <w:r>
        <w:rPr>
          <w:rFonts w:hint="cs"/>
          <w:rtl/>
        </w:rPr>
        <w:t xml:space="preserve">להפיכה </w:t>
      </w:r>
      <w:bookmarkStart w:id="38807" w:name="_ETM_Q72_419139"/>
      <w:bookmarkEnd w:id="38807"/>
      <w:r>
        <w:rPr>
          <w:rFonts w:hint="cs"/>
          <w:rtl/>
        </w:rPr>
        <w:t xml:space="preserve">המשטרית </w:t>
      </w:r>
      <w:bookmarkStart w:id="38808" w:name="_ETM_Q72_419739"/>
      <w:bookmarkEnd w:id="38808"/>
      <w:r>
        <w:rPr>
          <w:rFonts w:hint="cs"/>
          <w:rtl/>
        </w:rPr>
        <w:t xml:space="preserve">יש </w:t>
      </w:r>
      <w:bookmarkStart w:id="38809" w:name="_ETM_Q72_419919"/>
      <w:bookmarkEnd w:id="38809"/>
      <w:r>
        <w:rPr>
          <w:rFonts w:hint="cs"/>
          <w:rtl/>
        </w:rPr>
        <w:t xml:space="preserve">השלכות </w:t>
      </w:r>
      <w:bookmarkStart w:id="38810" w:name="_ETM_Q72_420549"/>
      <w:bookmarkEnd w:id="38810"/>
      <w:r>
        <w:rPr>
          <w:rFonts w:hint="cs"/>
          <w:rtl/>
        </w:rPr>
        <w:t xml:space="preserve">על </w:t>
      </w:r>
      <w:bookmarkStart w:id="38811" w:name="_ETM_Q72_420669"/>
      <w:bookmarkEnd w:id="38811"/>
      <w:r>
        <w:rPr>
          <w:rFonts w:hint="cs"/>
          <w:rtl/>
        </w:rPr>
        <w:t xml:space="preserve">החיים </w:t>
      </w:r>
      <w:bookmarkStart w:id="38812" w:name="_ETM_Q72_421089"/>
      <w:bookmarkEnd w:id="38812"/>
      <w:r>
        <w:rPr>
          <w:rFonts w:hint="cs"/>
          <w:rtl/>
        </w:rPr>
        <w:t xml:space="preserve">של </w:t>
      </w:r>
      <w:bookmarkStart w:id="38813" w:name="_ETM_Q72_421299"/>
      <w:bookmarkEnd w:id="38813"/>
      <w:r>
        <w:rPr>
          <w:rFonts w:hint="cs"/>
          <w:rtl/>
        </w:rPr>
        <w:t xml:space="preserve">כולנו, </w:t>
      </w:r>
      <w:bookmarkStart w:id="38814" w:name="_ETM_Q72_421779"/>
      <w:bookmarkEnd w:id="38814"/>
      <w:r>
        <w:rPr>
          <w:rFonts w:hint="cs"/>
          <w:rtl/>
        </w:rPr>
        <w:t xml:space="preserve">על החיים </w:t>
      </w:r>
      <w:bookmarkStart w:id="38815" w:name="_ETM_Q72_422109"/>
      <w:bookmarkEnd w:id="38815"/>
      <w:r>
        <w:rPr>
          <w:rFonts w:hint="cs"/>
          <w:rtl/>
        </w:rPr>
        <w:t xml:space="preserve">של </w:t>
      </w:r>
      <w:bookmarkStart w:id="38816" w:name="_ETM_Q72_422260"/>
      <w:bookmarkEnd w:id="38816"/>
      <w:r>
        <w:rPr>
          <w:rFonts w:hint="cs"/>
          <w:rtl/>
        </w:rPr>
        <w:t xml:space="preserve">ילדינו, </w:t>
      </w:r>
      <w:bookmarkStart w:id="38817" w:name="_ETM_Q72_423530"/>
      <w:bookmarkEnd w:id="38817"/>
      <w:r>
        <w:rPr>
          <w:rFonts w:hint="cs"/>
          <w:rtl/>
        </w:rPr>
        <w:t xml:space="preserve">עוד </w:t>
      </w:r>
      <w:bookmarkStart w:id="38818" w:name="_ETM_Q72_423709"/>
      <w:bookmarkEnd w:id="38818"/>
      <w:r>
        <w:rPr>
          <w:rFonts w:hint="cs"/>
          <w:rtl/>
        </w:rPr>
        <w:t xml:space="preserve">לפני </w:t>
      </w:r>
      <w:bookmarkStart w:id="38819" w:name="_ETM_Q72_424870"/>
      <w:bookmarkEnd w:id="38819"/>
      <w:r>
        <w:rPr>
          <w:rFonts w:hint="cs"/>
          <w:rtl/>
        </w:rPr>
        <w:t xml:space="preserve">העברת </w:t>
      </w:r>
      <w:bookmarkStart w:id="38820" w:name="_ETM_Q72_425349"/>
      <w:bookmarkEnd w:id="38820"/>
      <w:r>
        <w:rPr>
          <w:rFonts w:hint="cs"/>
          <w:rtl/>
        </w:rPr>
        <w:t xml:space="preserve">החוק </w:t>
      </w:r>
      <w:bookmarkStart w:id="38821" w:name="_ETM_Q72_425650"/>
      <w:bookmarkEnd w:id="38821"/>
      <w:r>
        <w:rPr>
          <w:rFonts w:hint="cs"/>
          <w:rtl/>
        </w:rPr>
        <w:t xml:space="preserve">הראשון </w:t>
      </w:r>
      <w:bookmarkStart w:id="38822" w:name="_ETM_Q72_426040"/>
      <w:bookmarkEnd w:id="38822"/>
      <w:r>
        <w:rPr>
          <w:rFonts w:hint="cs"/>
          <w:rtl/>
        </w:rPr>
        <w:t xml:space="preserve">בסלמי. </w:t>
      </w:r>
      <w:bookmarkStart w:id="38823" w:name="_ETM_Q72_427340"/>
      <w:bookmarkEnd w:id="38823"/>
      <w:r>
        <w:rPr>
          <w:rFonts w:hint="cs"/>
          <w:rtl/>
        </w:rPr>
        <w:t xml:space="preserve">הנזקים </w:t>
      </w:r>
      <w:bookmarkStart w:id="38824" w:name="_ETM_Q72_427910"/>
      <w:bookmarkEnd w:id="38824"/>
      <w:r>
        <w:rPr>
          <w:rFonts w:hint="cs"/>
          <w:rtl/>
        </w:rPr>
        <w:t xml:space="preserve">הביטחוניים, </w:t>
      </w:r>
      <w:bookmarkStart w:id="38825" w:name="_ETM_Q72_428540"/>
      <w:bookmarkEnd w:id="38825"/>
      <w:r>
        <w:rPr>
          <w:rFonts w:hint="cs"/>
          <w:rtl/>
        </w:rPr>
        <w:t xml:space="preserve">החברתיים, </w:t>
      </w:r>
      <w:bookmarkStart w:id="38826" w:name="_ETM_Q72_429200"/>
      <w:bookmarkEnd w:id="38826"/>
      <w:r>
        <w:rPr>
          <w:rFonts w:hint="cs"/>
          <w:rtl/>
        </w:rPr>
        <w:t xml:space="preserve">הכלכליים </w:t>
      </w:r>
      <w:bookmarkStart w:id="38827" w:name="_ETM_Q72_429739"/>
      <w:bookmarkEnd w:id="38827"/>
      <w:r>
        <w:rPr>
          <w:rFonts w:hint="cs"/>
          <w:rtl/>
        </w:rPr>
        <w:t xml:space="preserve">של </w:t>
      </w:r>
      <w:bookmarkStart w:id="38828" w:name="_ETM_Q72_429920"/>
      <w:bookmarkEnd w:id="38828"/>
      <w:r>
        <w:rPr>
          <w:rFonts w:hint="cs"/>
          <w:rtl/>
        </w:rPr>
        <w:t xml:space="preserve">ההפיכה </w:t>
      </w:r>
      <w:bookmarkStart w:id="38829" w:name="_ETM_Q72_430340"/>
      <w:bookmarkEnd w:id="38829"/>
      <w:r>
        <w:rPr>
          <w:rFonts w:hint="cs"/>
          <w:rtl/>
        </w:rPr>
        <w:t xml:space="preserve">המשטרית </w:t>
      </w:r>
      <w:bookmarkStart w:id="38830" w:name="_ETM_Q72_431120"/>
      <w:bookmarkEnd w:id="38830"/>
      <w:r>
        <w:rPr>
          <w:rFonts w:hint="cs"/>
          <w:rtl/>
        </w:rPr>
        <w:t xml:space="preserve">כבר </w:t>
      </w:r>
      <w:bookmarkStart w:id="38831" w:name="_ETM_Q72_431390"/>
      <w:bookmarkEnd w:id="38831"/>
      <w:r>
        <w:rPr>
          <w:rFonts w:hint="cs"/>
          <w:rtl/>
        </w:rPr>
        <w:t xml:space="preserve">כאן. </w:t>
      </w:r>
      <w:bookmarkStart w:id="38832" w:name="_ETM_Q72_432799"/>
      <w:bookmarkEnd w:id="38832"/>
      <w:r>
        <w:rPr>
          <w:rFonts w:hint="cs"/>
          <w:rtl/>
        </w:rPr>
        <w:t>כ</w:t>
      </w:r>
      <w:bookmarkStart w:id="38833" w:name="_ETM_Q72_432950"/>
      <w:bookmarkEnd w:id="38833"/>
      <w:r>
        <w:rPr>
          <w:rFonts w:hint="cs"/>
          <w:rtl/>
        </w:rPr>
        <w:t xml:space="preserve">איש </w:t>
      </w:r>
      <w:bookmarkStart w:id="38834" w:name="_ETM_Q72_433069"/>
      <w:bookmarkEnd w:id="38834"/>
      <w:r>
        <w:rPr>
          <w:rFonts w:hint="cs"/>
          <w:rtl/>
        </w:rPr>
        <w:t xml:space="preserve">כלכלה, </w:t>
      </w:r>
      <w:bookmarkStart w:id="38835" w:name="_ETM_Q72_434030"/>
      <w:bookmarkEnd w:id="38835"/>
      <w:r>
        <w:rPr>
          <w:rFonts w:hint="cs"/>
          <w:rtl/>
        </w:rPr>
        <w:t xml:space="preserve">אני </w:t>
      </w:r>
      <w:bookmarkStart w:id="38836" w:name="_ETM_Q72_434269"/>
      <w:bookmarkEnd w:id="38836"/>
      <w:r>
        <w:rPr>
          <w:rFonts w:hint="cs"/>
          <w:rtl/>
        </w:rPr>
        <w:t xml:space="preserve">עוקב </w:t>
      </w:r>
      <w:bookmarkStart w:id="38837" w:name="_ETM_Q72_434659"/>
      <w:bookmarkEnd w:id="38837"/>
      <w:r>
        <w:rPr>
          <w:rFonts w:hint="cs"/>
          <w:rtl/>
        </w:rPr>
        <w:t xml:space="preserve">יום-יום ובוחן </w:t>
      </w:r>
      <w:bookmarkStart w:id="38838" w:name="_ETM_Q72_435200"/>
      <w:bookmarkStart w:id="38839" w:name="_ETM_Q72_435560"/>
      <w:bookmarkStart w:id="38840" w:name="_ETM_Q72_436870"/>
      <w:bookmarkEnd w:id="38838"/>
      <w:bookmarkEnd w:id="38839"/>
      <w:bookmarkEnd w:id="38840"/>
      <w:r>
        <w:rPr>
          <w:rFonts w:hint="cs"/>
          <w:rtl/>
        </w:rPr>
        <w:t>לפרטי</w:t>
      </w:r>
      <w:bookmarkStart w:id="38841" w:name="_ETM_Q72_437440"/>
      <w:bookmarkEnd w:id="38841"/>
      <w:r>
        <w:rPr>
          <w:rFonts w:hint="cs"/>
          <w:rtl/>
        </w:rPr>
        <w:t xml:space="preserve">-פרטים </w:t>
      </w:r>
      <w:bookmarkStart w:id="38842" w:name="_ETM_Q72_438040"/>
      <w:bookmarkEnd w:id="38842"/>
      <w:r>
        <w:rPr>
          <w:rFonts w:hint="cs"/>
          <w:rtl/>
        </w:rPr>
        <w:t xml:space="preserve">כיצד </w:t>
      </w:r>
      <w:bookmarkStart w:id="38843" w:name="_ETM_Q72_438520"/>
      <w:bookmarkEnd w:id="38843"/>
      <w:r>
        <w:rPr>
          <w:rFonts w:hint="cs"/>
          <w:rtl/>
        </w:rPr>
        <w:t xml:space="preserve">הכלכלה </w:t>
      </w:r>
      <w:bookmarkStart w:id="38844" w:name="_ETM_Q72_439029"/>
      <w:bookmarkEnd w:id="38844"/>
      <w:r>
        <w:rPr>
          <w:rFonts w:hint="cs"/>
          <w:rtl/>
        </w:rPr>
        <w:t xml:space="preserve">הישראלית </w:t>
      </w:r>
      <w:bookmarkStart w:id="38845" w:name="_ETM_Q72_439690"/>
      <w:bookmarkEnd w:id="38845"/>
      <w:r>
        <w:rPr>
          <w:rFonts w:hint="cs"/>
          <w:rtl/>
        </w:rPr>
        <w:t xml:space="preserve">היציבה, </w:t>
      </w:r>
      <w:bookmarkStart w:id="38846" w:name="_ETM_Q72_440650"/>
      <w:bookmarkEnd w:id="38846"/>
      <w:r>
        <w:rPr>
          <w:rFonts w:hint="cs"/>
          <w:rtl/>
        </w:rPr>
        <w:t xml:space="preserve">החזקה, </w:t>
      </w:r>
      <w:bookmarkStart w:id="38847" w:name="_ETM_Q72_441610"/>
      <w:bookmarkEnd w:id="38847"/>
      <w:r>
        <w:rPr>
          <w:rFonts w:hint="cs"/>
          <w:rtl/>
        </w:rPr>
        <w:t xml:space="preserve">הולכת </w:t>
      </w:r>
      <w:bookmarkStart w:id="38848" w:name="_ETM_Q72_442430"/>
      <w:bookmarkEnd w:id="38848"/>
      <w:r>
        <w:rPr>
          <w:rFonts w:hint="cs"/>
          <w:rtl/>
        </w:rPr>
        <w:t xml:space="preserve">ונעשית </w:t>
      </w:r>
      <w:bookmarkStart w:id="38849" w:name="_ETM_Q72_443779"/>
      <w:bookmarkEnd w:id="38849"/>
      <w:r>
        <w:rPr>
          <w:rFonts w:hint="cs"/>
          <w:rtl/>
        </w:rPr>
        <w:t xml:space="preserve">לאי </w:t>
      </w:r>
      <w:bookmarkStart w:id="38850" w:name="_ETM_Q72_444230"/>
      <w:bookmarkEnd w:id="38850"/>
      <w:r>
        <w:rPr>
          <w:rFonts w:hint="cs"/>
          <w:rtl/>
        </w:rPr>
        <w:t xml:space="preserve">של </w:t>
      </w:r>
      <w:bookmarkStart w:id="38851" w:name="_ETM_Q72_444470"/>
      <w:bookmarkEnd w:id="38851"/>
      <w:r>
        <w:rPr>
          <w:rFonts w:hint="cs"/>
          <w:rtl/>
        </w:rPr>
        <w:t xml:space="preserve">חוסר </w:t>
      </w:r>
      <w:bookmarkStart w:id="38852" w:name="_ETM_Q72_444800"/>
      <w:bookmarkEnd w:id="38852"/>
      <w:r>
        <w:rPr>
          <w:rFonts w:hint="cs"/>
          <w:rtl/>
        </w:rPr>
        <w:t xml:space="preserve">ודאות. </w:t>
      </w:r>
      <w:bookmarkStart w:id="38853" w:name="_ETM_Q72_446320"/>
      <w:bookmarkEnd w:id="38853"/>
      <w:r>
        <w:rPr>
          <w:rFonts w:hint="cs"/>
          <w:rtl/>
        </w:rPr>
        <w:t xml:space="preserve">בחצי </w:t>
      </w:r>
      <w:bookmarkStart w:id="38854" w:name="_ETM_Q72_446800"/>
      <w:bookmarkEnd w:id="38854"/>
      <w:r>
        <w:rPr>
          <w:rFonts w:hint="cs"/>
          <w:rtl/>
        </w:rPr>
        <w:t xml:space="preserve">השנה </w:t>
      </w:r>
      <w:bookmarkStart w:id="38855" w:name="_ETM_Q72_447160"/>
      <w:bookmarkEnd w:id="38855"/>
      <w:r>
        <w:rPr>
          <w:rFonts w:hint="cs"/>
          <w:rtl/>
        </w:rPr>
        <w:t xml:space="preserve">האחרונה </w:t>
      </w:r>
      <w:bookmarkStart w:id="38856" w:name="_ETM_Q72_447880"/>
      <w:bookmarkEnd w:id="38856"/>
      <w:r>
        <w:rPr>
          <w:rFonts w:hint="cs"/>
          <w:rtl/>
        </w:rPr>
        <w:t xml:space="preserve">השקל </w:t>
      </w:r>
      <w:bookmarkStart w:id="38857" w:name="_ETM_Q72_448360"/>
      <w:bookmarkEnd w:id="38857"/>
      <w:r>
        <w:rPr>
          <w:rFonts w:hint="cs"/>
          <w:rtl/>
        </w:rPr>
        <w:t xml:space="preserve">נחלש. </w:t>
      </w:r>
      <w:bookmarkStart w:id="38858" w:name="_ETM_Q72_448870"/>
      <w:bookmarkEnd w:id="38858"/>
      <w:r>
        <w:rPr>
          <w:rFonts w:hint="cs"/>
          <w:rtl/>
        </w:rPr>
        <w:t xml:space="preserve">האינפלציה </w:t>
      </w:r>
      <w:bookmarkStart w:id="38859" w:name="_ETM_Q72_449680"/>
      <w:bookmarkEnd w:id="38859"/>
      <w:r>
        <w:rPr>
          <w:rFonts w:hint="cs"/>
          <w:rtl/>
        </w:rPr>
        <w:t xml:space="preserve">אומנם </w:t>
      </w:r>
      <w:bookmarkStart w:id="38860" w:name="_ETM_Q72_450310"/>
      <w:bookmarkEnd w:id="38860"/>
      <w:r>
        <w:rPr>
          <w:rFonts w:hint="cs"/>
          <w:rtl/>
        </w:rPr>
        <w:t xml:space="preserve">לכאורה </w:t>
      </w:r>
      <w:bookmarkStart w:id="38861" w:name="_ETM_Q72_451389"/>
      <w:bookmarkEnd w:id="38861"/>
      <w:r>
        <w:rPr>
          <w:rFonts w:hint="cs"/>
          <w:rtl/>
        </w:rPr>
        <w:t xml:space="preserve">יורדת, </w:t>
      </w:r>
      <w:bookmarkStart w:id="38862" w:name="_ETM_Q72_453180"/>
      <w:bookmarkEnd w:id="38862"/>
      <w:r>
        <w:rPr>
          <w:rFonts w:hint="cs"/>
          <w:rtl/>
        </w:rPr>
        <w:t xml:space="preserve">אבל </w:t>
      </w:r>
      <w:bookmarkStart w:id="38863" w:name="_ETM_Q72_453779"/>
      <w:bookmarkEnd w:id="38863"/>
      <w:r>
        <w:rPr>
          <w:rFonts w:hint="cs"/>
          <w:rtl/>
        </w:rPr>
        <w:t xml:space="preserve">לעומת </w:t>
      </w:r>
      <w:bookmarkStart w:id="38864" w:name="_ETM_Q72_454290"/>
      <w:bookmarkEnd w:id="38864"/>
      <w:r>
        <w:rPr>
          <w:rFonts w:hint="cs"/>
          <w:rtl/>
        </w:rPr>
        <w:t xml:space="preserve">השנה </w:t>
      </w:r>
      <w:bookmarkStart w:id="38865" w:name="_ETM_Q72_454650"/>
      <w:bookmarkEnd w:id="38865"/>
      <w:r>
        <w:rPr>
          <w:rFonts w:hint="cs"/>
          <w:rtl/>
        </w:rPr>
        <w:t xml:space="preserve">שעברה, </w:t>
      </w:r>
      <w:bookmarkStart w:id="38866" w:name="_ETM_Q72_455190"/>
      <w:bookmarkEnd w:id="38866"/>
      <w:r>
        <w:rPr>
          <w:rFonts w:hint="cs"/>
          <w:rtl/>
        </w:rPr>
        <w:t>ש</w:t>
      </w:r>
      <w:r w:rsidR="00C94ACC">
        <w:rPr>
          <w:rFonts w:hint="cs"/>
          <w:rtl/>
        </w:rPr>
        <w:t xml:space="preserve">בה </w:t>
      </w:r>
      <w:r>
        <w:rPr>
          <w:rFonts w:hint="cs"/>
          <w:rtl/>
        </w:rPr>
        <w:t xml:space="preserve">היינו </w:t>
      </w:r>
      <w:bookmarkStart w:id="38867" w:name="_ETM_Q72_455910"/>
      <w:bookmarkEnd w:id="38867"/>
      <w:r>
        <w:rPr>
          <w:rFonts w:hint="cs"/>
          <w:rtl/>
        </w:rPr>
        <w:t xml:space="preserve">באינפלציה </w:t>
      </w:r>
      <w:bookmarkStart w:id="38868" w:name="_ETM_Q72_456660"/>
      <w:bookmarkEnd w:id="38868"/>
      <w:r w:rsidR="00C94ACC">
        <w:rPr>
          <w:rFonts w:hint="cs"/>
          <w:rtl/>
        </w:rPr>
        <w:t xml:space="preserve">של </w:t>
      </w:r>
      <w:r>
        <w:rPr>
          <w:rFonts w:hint="cs"/>
          <w:rtl/>
        </w:rPr>
        <w:t xml:space="preserve">חצי </w:t>
      </w:r>
      <w:bookmarkStart w:id="38869" w:name="_ETM_Q72_457050"/>
      <w:bookmarkEnd w:id="38869"/>
      <w:r>
        <w:rPr>
          <w:rFonts w:hint="cs"/>
          <w:rtl/>
        </w:rPr>
        <w:t>מבארצות</w:t>
      </w:r>
      <w:bookmarkStart w:id="38870" w:name="_ETM_Q72_457470"/>
      <w:bookmarkEnd w:id="38870"/>
      <w:r>
        <w:rPr>
          <w:rFonts w:hint="cs"/>
          <w:rtl/>
        </w:rPr>
        <w:t xml:space="preserve"> הברית </w:t>
      </w:r>
      <w:bookmarkStart w:id="38871" w:name="_ETM_Q72_457770"/>
      <w:bookmarkEnd w:id="38871"/>
      <w:r>
        <w:rPr>
          <w:rFonts w:hint="cs"/>
          <w:rtl/>
        </w:rPr>
        <w:t xml:space="preserve">או </w:t>
      </w:r>
      <w:bookmarkStart w:id="38872" w:name="_ETM_Q72_457830"/>
      <w:bookmarkEnd w:id="38872"/>
      <w:r>
        <w:rPr>
          <w:rFonts w:hint="cs"/>
          <w:rtl/>
        </w:rPr>
        <w:t xml:space="preserve">אירופה, </w:t>
      </w:r>
      <w:bookmarkStart w:id="38873" w:name="_ETM_Q72_459000"/>
      <w:bookmarkEnd w:id="38873"/>
      <w:r>
        <w:rPr>
          <w:rFonts w:hint="cs"/>
          <w:rtl/>
        </w:rPr>
        <w:t xml:space="preserve">השנה </w:t>
      </w:r>
      <w:bookmarkStart w:id="38874" w:name="_ETM_Q72_459810"/>
      <w:bookmarkEnd w:id="38874"/>
      <w:r>
        <w:rPr>
          <w:rFonts w:hint="cs"/>
          <w:rtl/>
        </w:rPr>
        <w:t xml:space="preserve">אנחנו </w:t>
      </w:r>
      <w:bookmarkStart w:id="38875" w:name="_ETM_Q72_460650"/>
      <w:bookmarkEnd w:id="38875"/>
      <w:r>
        <w:rPr>
          <w:rFonts w:hint="cs"/>
          <w:rtl/>
        </w:rPr>
        <w:t xml:space="preserve">גבוהים </w:t>
      </w:r>
      <w:bookmarkStart w:id="38876" w:name="_ETM_Q72_461100"/>
      <w:bookmarkEnd w:id="38876"/>
      <w:r>
        <w:rPr>
          <w:rFonts w:hint="cs"/>
          <w:rtl/>
        </w:rPr>
        <w:t xml:space="preserve">יותר </w:t>
      </w:r>
      <w:bookmarkStart w:id="38877" w:name="_ETM_Q72_461460"/>
      <w:bookmarkEnd w:id="38877"/>
      <w:r>
        <w:rPr>
          <w:rFonts w:hint="cs"/>
          <w:rtl/>
        </w:rPr>
        <w:t>מארצות</w:t>
      </w:r>
      <w:bookmarkStart w:id="38878" w:name="_ETM_Q72_461880"/>
      <w:bookmarkEnd w:id="38878"/>
      <w:r>
        <w:rPr>
          <w:rFonts w:hint="cs"/>
          <w:rtl/>
        </w:rPr>
        <w:t xml:space="preserve"> הברית </w:t>
      </w:r>
      <w:bookmarkStart w:id="38879" w:name="_ETM_Q72_462180"/>
      <w:bookmarkEnd w:id="38879"/>
      <w:r>
        <w:rPr>
          <w:rFonts w:hint="cs"/>
          <w:rtl/>
        </w:rPr>
        <w:t xml:space="preserve">או </w:t>
      </w:r>
      <w:bookmarkStart w:id="38880" w:name="_ETM_Q72_462270"/>
      <w:bookmarkEnd w:id="38880"/>
      <w:r>
        <w:rPr>
          <w:rFonts w:hint="cs"/>
          <w:rtl/>
        </w:rPr>
        <w:t xml:space="preserve">מאירופה. </w:t>
      </w:r>
      <w:bookmarkStart w:id="38881" w:name="_ETM_Q72_463949"/>
      <w:bookmarkEnd w:id="38881"/>
      <w:r>
        <w:rPr>
          <w:rFonts w:hint="cs"/>
          <w:rtl/>
        </w:rPr>
        <w:t xml:space="preserve">המשקיעים </w:t>
      </w:r>
      <w:bookmarkStart w:id="38882" w:name="_ETM_Q72_464819"/>
      <w:bookmarkEnd w:id="38882"/>
      <w:r>
        <w:rPr>
          <w:rFonts w:hint="cs"/>
          <w:rtl/>
        </w:rPr>
        <w:t xml:space="preserve">בורחים; </w:t>
      </w:r>
      <w:bookmarkStart w:id="38883" w:name="_ETM_Q72_465960"/>
      <w:bookmarkEnd w:id="38883"/>
      <w:r>
        <w:rPr>
          <w:rFonts w:hint="cs"/>
          <w:rtl/>
        </w:rPr>
        <w:t xml:space="preserve">ההשקעות </w:t>
      </w:r>
      <w:bookmarkStart w:id="38884" w:name="_ETM_Q72_466650"/>
      <w:bookmarkEnd w:id="38884"/>
      <w:r>
        <w:rPr>
          <w:rFonts w:hint="cs"/>
          <w:rtl/>
        </w:rPr>
        <w:t xml:space="preserve">בהייטק </w:t>
      </w:r>
      <w:bookmarkStart w:id="38885" w:name="_ETM_Q72_467129"/>
      <w:bookmarkEnd w:id="38885"/>
      <w:r>
        <w:rPr>
          <w:rFonts w:hint="cs"/>
          <w:rtl/>
        </w:rPr>
        <w:t xml:space="preserve">ירדו </w:t>
      </w:r>
      <w:bookmarkStart w:id="38886" w:name="_ETM_Q72_467699"/>
      <w:bookmarkEnd w:id="38886"/>
      <w:r>
        <w:rPr>
          <w:rFonts w:hint="cs"/>
          <w:rtl/>
        </w:rPr>
        <w:t xml:space="preserve">מ-7 </w:t>
      </w:r>
      <w:bookmarkStart w:id="38887" w:name="_ETM_Q72_468689"/>
      <w:bookmarkStart w:id="38888" w:name="_ETM_Q72_469169"/>
      <w:bookmarkEnd w:id="38887"/>
      <w:bookmarkEnd w:id="38888"/>
      <w:r>
        <w:rPr>
          <w:rFonts w:hint="cs"/>
          <w:rtl/>
        </w:rPr>
        <w:t xml:space="preserve">מיליארד שקלים </w:t>
      </w:r>
      <w:bookmarkStart w:id="38889" w:name="_ETM_Q72_470159"/>
      <w:bookmarkEnd w:id="38889"/>
      <w:r>
        <w:rPr>
          <w:rFonts w:hint="cs"/>
          <w:rtl/>
        </w:rPr>
        <w:t xml:space="preserve">בחצי </w:t>
      </w:r>
      <w:bookmarkStart w:id="38890" w:name="_ETM_Q72_470669"/>
      <w:bookmarkEnd w:id="38890"/>
      <w:r>
        <w:rPr>
          <w:rFonts w:hint="cs"/>
          <w:rtl/>
        </w:rPr>
        <w:t xml:space="preserve">הראשון </w:t>
      </w:r>
      <w:bookmarkStart w:id="38891" w:name="_ETM_Q72_470969"/>
      <w:bookmarkEnd w:id="38891"/>
      <w:r>
        <w:rPr>
          <w:rFonts w:hint="cs"/>
          <w:rtl/>
        </w:rPr>
        <w:t xml:space="preserve">של </w:t>
      </w:r>
      <w:bookmarkStart w:id="38892" w:name="_ETM_Q72_471180"/>
      <w:bookmarkEnd w:id="38892"/>
      <w:r>
        <w:rPr>
          <w:rFonts w:hint="cs"/>
          <w:rtl/>
        </w:rPr>
        <w:t xml:space="preserve">2022 </w:t>
      </w:r>
      <w:bookmarkStart w:id="38893" w:name="_ETM_Q72_472139"/>
      <w:bookmarkEnd w:id="38893"/>
      <w:r>
        <w:rPr>
          <w:rFonts w:hint="cs"/>
          <w:rtl/>
        </w:rPr>
        <w:t xml:space="preserve">ל-1.5 מיליארד </w:t>
      </w:r>
      <w:bookmarkStart w:id="38894" w:name="_ETM_Q72_473189"/>
      <w:bookmarkEnd w:id="38894"/>
      <w:r>
        <w:rPr>
          <w:rFonts w:hint="cs"/>
          <w:rtl/>
        </w:rPr>
        <w:t xml:space="preserve">בלבד </w:t>
      </w:r>
      <w:bookmarkStart w:id="38895" w:name="_ETM_Q72_474740"/>
      <w:bookmarkEnd w:id="38895"/>
      <w:r>
        <w:rPr>
          <w:rFonts w:hint="cs"/>
          <w:rtl/>
        </w:rPr>
        <w:t xml:space="preserve">השנה. </w:t>
      </w:r>
      <w:bookmarkStart w:id="38896" w:name="_ETM_Q72_476380"/>
      <w:bookmarkEnd w:id="38896"/>
      <w:r>
        <w:rPr>
          <w:rFonts w:hint="cs"/>
          <w:rtl/>
        </w:rPr>
        <w:t xml:space="preserve">ישנה </w:t>
      </w:r>
      <w:bookmarkStart w:id="38897" w:name="_ETM_Q72_476800"/>
      <w:bookmarkEnd w:id="38897"/>
      <w:r>
        <w:rPr>
          <w:rFonts w:hint="cs"/>
          <w:rtl/>
        </w:rPr>
        <w:t xml:space="preserve">גם </w:t>
      </w:r>
      <w:bookmarkStart w:id="38898" w:name="_ETM_Q72_477100"/>
      <w:bookmarkEnd w:id="38898"/>
      <w:r>
        <w:rPr>
          <w:rFonts w:hint="cs"/>
          <w:rtl/>
        </w:rPr>
        <w:t xml:space="preserve">ירידה </w:t>
      </w:r>
      <w:bookmarkStart w:id="38899" w:name="_ETM_Q72_477600"/>
      <w:bookmarkEnd w:id="38899"/>
      <w:r>
        <w:rPr>
          <w:rFonts w:hint="cs"/>
          <w:rtl/>
        </w:rPr>
        <w:t xml:space="preserve">דרסטית </w:t>
      </w:r>
      <w:bookmarkStart w:id="38900" w:name="_ETM_Q72_478320"/>
      <w:bookmarkStart w:id="38901" w:name="_ETM_Q72_478589"/>
      <w:bookmarkEnd w:id="38900"/>
      <w:bookmarkEnd w:id="38901"/>
      <w:r>
        <w:rPr>
          <w:rFonts w:hint="cs"/>
          <w:rtl/>
        </w:rPr>
        <w:t xml:space="preserve">במספר </w:t>
      </w:r>
      <w:bookmarkStart w:id="38902" w:name="_ETM_Q72_479070"/>
      <w:bookmarkEnd w:id="38902"/>
      <w:r>
        <w:rPr>
          <w:rFonts w:hint="cs"/>
          <w:rtl/>
        </w:rPr>
        <w:t xml:space="preserve">הסטרטאפים </w:t>
      </w:r>
      <w:bookmarkStart w:id="38903" w:name="_ETM_Q72_479700"/>
      <w:bookmarkEnd w:id="38903"/>
      <w:r>
        <w:rPr>
          <w:rFonts w:hint="cs"/>
          <w:rtl/>
        </w:rPr>
        <w:t xml:space="preserve">החדשים. </w:t>
      </w:r>
      <w:bookmarkStart w:id="38904" w:name="_ETM_Q72_480639"/>
      <w:bookmarkEnd w:id="38904"/>
      <w:r>
        <w:rPr>
          <w:rFonts w:hint="cs"/>
          <w:rtl/>
        </w:rPr>
        <w:t xml:space="preserve">יתרה </w:t>
      </w:r>
      <w:bookmarkStart w:id="38905" w:name="_ETM_Q72_481120"/>
      <w:bookmarkEnd w:id="38905"/>
      <w:r>
        <w:rPr>
          <w:rFonts w:hint="cs"/>
          <w:rtl/>
        </w:rPr>
        <w:t xml:space="preserve">מזו, </w:t>
      </w:r>
      <w:bookmarkStart w:id="38906" w:name="_ETM_Q72_480410"/>
      <w:bookmarkStart w:id="38907" w:name="_ETM_Q72_480770"/>
      <w:bookmarkStart w:id="38908" w:name="_ETM_Q72_482139"/>
      <w:bookmarkEnd w:id="38906"/>
      <w:bookmarkEnd w:id="38907"/>
      <w:bookmarkEnd w:id="38908"/>
      <w:r>
        <w:rPr>
          <w:rFonts w:hint="cs"/>
          <w:rtl/>
        </w:rPr>
        <w:t xml:space="preserve">68% </w:t>
      </w:r>
      <w:bookmarkStart w:id="38909" w:name="_ETM_Q72_483490"/>
      <w:bookmarkEnd w:id="38909"/>
      <w:r>
        <w:rPr>
          <w:rFonts w:hint="cs"/>
          <w:rtl/>
        </w:rPr>
        <w:t xml:space="preserve">מהסטרטאפים </w:t>
      </w:r>
      <w:bookmarkStart w:id="38910" w:name="_ETM_Q72_484240"/>
      <w:bookmarkEnd w:id="38910"/>
      <w:r>
        <w:rPr>
          <w:rFonts w:hint="cs"/>
          <w:rtl/>
        </w:rPr>
        <w:t xml:space="preserve">הקיימים </w:t>
      </w:r>
      <w:bookmarkStart w:id="38911" w:name="_ETM_Q72_484779"/>
      <w:bookmarkEnd w:id="38911"/>
      <w:r>
        <w:rPr>
          <w:rFonts w:hint="cs"/>
          <w:rtl/>
        </w:rPr>
        <w:t xml:space="preserve">החלו </w:t>
      </w:r>
      <w:bookmarkStart w:id="38912" w:name="_ETM_Q72_485109"/>
      <w:bookmarkEnd w:id="38912"/>
      <w:r>
        <w:rPr>
          <w:rFonts w:hint="cs"/>
          <w:rtl/>
        </w:rPr>
        <w:t xml:space="preserve">להוציא </w:t>
      </w:r>
      <w:bookmarkStart w:id="38913" w:name="_ETM_Q72_485890"/>
      <w:bookmarkEnd w:id="38913"/>
      <w:r>
        <w:rPr>
          <w:rFonts w:hint="cs"/>
          <w:rtl/>
        </w:rPr>
        <w:t xml:space="preserve">כספים </w:t>
      </w:r>
      <w:bookmarkStart w:id="38914" w:name="_ETM_Q72_486399"/>
      <w:bookmarkEnd w:id="38914"/>
      <w:r>
        <w:rPr>
          <w:rFonts w:hint="cs"/>
          <w:rtl/>
        </w:rPr>
        <w:t xml:space="preserve">ממדינת </w:t>
      </w:r>
      <w:bookmarkStart w:id="38915" w:name="_ETM_Q72_486879"/>
      <w:bookmarkEnd w:id="38915"/>
      <w:r>
        <w:rPr>
          <w:rFonts w:hint="cs"/>
          <w:rtl/>
        </w:rPr>
        <w:t xml:space="preserve">ישראל </w:t>
      </w:r>
      <w:bookmarkStart w:id="38916" w:name="_ETM_Q72_488129"/>
      <w:bookmarkEnd w:id="38916"/>
      <w:r>
        <w:rPr>
          <w:rFonts w:hint="cs"/>
          <w:rtl/>
        </w:rPr>
        <w:t xml:space="preserve">ולהעביר </w:t>
      </w:r>
      <w:bookmarkStart w:id="38917" w:name="_ETM_Q72_488519"/>
      <w:bookmarkEnd w:id="38917"/>
      <w:r>
        <w:rPr>
          <w:rFonts w:hint="cs"/>
          <w:rtl/>
        </w:rPr>
        <w:t xml:space="preserve">אותם </w:t>
      </w:r>
      <w:bookmarkStart w:id="38918" w:name="_ETM_Q72_489150"/>
      <w:bookmarkEnd w:id="38918"/>
      <w:r>
        <w:rPr>
          <w:rFonts w:hint="cs"/>
          <w:rtl/>
        </w:rPr>
        <w:t xml:space="preserve">למדינות </w:t>
      </w:r>
      <w:bookmarkStart w:id="38919" w:name="_ETM_Q72_489599"/>
      <w:bookmarkEnd w:id="38919"/>
      <w:r>
        <w:rPr>
          <w:rFonts w:hint="cs"/>
          <w:rtl/>
        </w:rPr>
        <w:t xml:space="preserve">אחרות, </w:t>
      </w:r>
      <w:bookmarkStart w:id="38920" w:name="_ETM_Q72_490769"/>
      <w:bookmarkEnd w:id="38920"/>
      <w:r>
        <w:rPr>
          <w:rFonts w:hint="cs"/>
          <w:rtl/>
        </w:rPr>
        <w:t xml:space="preserve">וכך </w:t>
      </w:r>
      <w:bookmarkStart w:id="38921" w:name="_ETM_Q72_491219"/>
      <w:bookmarkEnd w:id="38921"/>
      <w:r>
        <w:rPr>
          <w:rFonts w:hint="cs"/>
          <w:rtl/>
        </w:rPr>
        <w:t xml:space="preserve">גם </w:t>
      </w:r>
      <w:bookmarkStart w:id="38922" w:name="_ETM_Q72_491940"/>
      <w:bookmarkEnd w:id="38922"/>
      <w:r>
        <w:rPr>
          <w:rFonts w:hint="cs"/>
          <w:rtl/>
        </w:rPr>
        <w:t xml:space="preserve">יש </w:t>
      </w:r>
      <w:bookmarkStart w:id="38923" w:name="_ETM_Q72_493059"/>
      <w:bookmarkEnd w:id="38923"/>
      <w:r>
        <w:rPr>
          <w:rFonts w:hint="cs"/>
          <w:rtl/>
        </w:rPr>
        <w:t xml:space="preserve">חשש </w:t>
      </w:r>
      <w:bookmarkStart w:id="38924" w:name="_ETM_Q72_494190"/>
      <w:bookmarkEnd w:id="38924"/>
      <w:r>
        <w:rPr>
          <w:rFonts w:hint="cs"/>
          <w:rtl/>
        </w:rPr>
        <w:t xml:space="preserve">ממשי </w:t>
      </w:r>
      <w:bookmarkStart w:id="38925" w:name="_ETM_Q72_494880"/>
      <w:bookmarkEnd w:id="38925"/>
      <w:r>
        <w:rPr>
          <w:rFonts w:hint="cs"/>
          <w:rtl/>
        </w:rPr>
        <w:t xml:space="preserve">מפיטורי </w:t>
      </w:r>
      <w:bookmarkStart w:id="38926" w:name="_ETM_Q72_495330"/>
      <w:bookmarkEnd w:id="38926"/>
      <w:r>
        <w:rPr>
          <w:rFonts w:hint="cs"/>
          <w:rtl/>
        </w:rPr>
        <w:t>עובדים.</w:t>
      </w:r>
    </w:p>
    <w:p w:rsidR="00BB59CD" w:rsidRDefault="00BB59CD" w:rsidP="00BB59CD">
      <w:pPr>
        <w:rPr>
          <w:rtl/>
        </w:rPr>
      </w:pPr>
      <w:bookmarkStart w:id="38927" w:name="_ETM_Q72_493055"/>
      <w:bookmarkEnd w:id="38927"/>
    </w:p>
    <w:p w:rsidR="00BB59CD" w:rsidRDefault="00BB59CD" w:rsidP="00C94ACC">
      <w:pPr>
        <w:rPr>
          <w:rtl/>
        </w:rPr>
      </w:pPr>
      <w:bookmarkStart w:id="38928" w:name="_ETM_Q72_493219"/>
      <w:bookmarkStart w:id="38929" w:name="_ETM_Q72_493285"/>
      <w:bookmarkStart w:id="38930" w:name="_ETM_Q72_493357"/>
      <w:bookmarkStart w:id="38931" w:name="_ETM_Q72_496750"/>
      <w:bookmarkEnd w:id="38928"/>
      <w:bookmarkEnd w:id="38929"/>
      <w:bookmarkEnd w:id="38930"/>
      <w:bookmarkEnd w:id="38931"/>
      <w:r>
        <w:rPr>
          <w:rFonts w:hint="cs"/>
          <w:rtl/>
        </w:rPr>
        <w:t xml:space="preserve">ההפסד </w:t>
      </w:r>
      <w:bookmarkStart w:id="38932" w:name="_ETM_Q72_497290"/>
      <w:bookmarkEnd w:id="38932"/>
      <w:r>
        <w:rPr>
          <w:rFonts w:hint="cs"/>
          <w:rtl/>
        </w:rPr>
        <w:t xml:space="preserve">שנגרם </w:t>
      </w:r>
      <w:bookmarkStart w:id="38933" w:name="_ETM_Q72_497920"/>
      <w:bookmarkEnd w:id="38933"/>
      <w:r>
        <w:rPr>
          <w:rFonts w:hint="cs"/>
          <w:rtl/>
        </w:rPr>
        <w:t xml:space="preserve">לכלכלת </w:t>
      </w:r>
      <w:bookmarkStart w:id="38934" w:name="_ETM_Q72_498490"/>
      <w:bookmarkEnd w:id="38934"/>
      <w:r>
        <w:rPr>
          <w:rFonts w:hint="cs"/>
          <w:rtl/>
        </w:rPr>
        <w:t>ישראל</w:t>
      </w:r>
      <w:r w:rsidR="00C94ACC">
        <w:rPr>
          <w:rFonts w:hint="cs"/>
          <w:rtl/>
        </w:rPr>
        <w:t>,</w:t>
      </w:r>
      <w:r>
        <w:rPr>
          <w:rFonts w:hint="cs"/>
          <w:rtl/>
        </w:rPr>
        <w:t xml:space="preserve"> </w:t>
      </w:r>
      <w:bookmarkStart w:id="38935" w:name="_ETM_Q72_498970"/>
      <w:bookmarkEnd w:id="38935"/>
      <w:r>
        <w:rPr>
          <w:rFonts w:hint="cs"/>
          <w:rtl/>
        </w:rPr>
        <w:t xml:space="preserve">לפי </w:t>
      </w:r>
      <w:bookmarkStart w:id="38936" w:name="_ETM_Q72_499210"/>
      <w:bookmarkEnd w:id="38936"/>
      <w:r>
        <w:rPr>
          <w:rFonts w:hint="cs"/>
          <w:rtl/>
        </w:rPr>
        <w:t>הערכות</w:t>
      </w:r>
      <w:r w:rsidR="00C94ACC">
        <w:rPr>
          <w:rFonts w:hint="cs"/>
          <w:rtl/>
        </w:rPr>
        <w:t>,</w:t>
      </w:r>
      <w:r>
        <w:rPr>
          <w:rFonts w:hint="cs"/>
          <w:rtl/>
        </w:rPr>
        <w:t xml:space="preserve"> </w:t>
      </w:r>
      <w:bookmarkStart w:id="38937" w:name="_ETM_Q72_499750"/>
      <w:bookmarkEnd w:id="38937"/>
      <w:r>
        <w:rPr>
          <w:rFonts w:hint="cs"/>
          <w:rtl/>
        </w:rPr>
        <w:t xml:space="preserve">מאז </w:t>
      </w:r>
      <w:bookmarkStart w:id="38938" w:name="_ETM_Q72_500050"/>
      <w:bookmarkEnd w:id="38938"/>
      <w:r>
        <w:rPr>
          <w:rFonts w:hint="cs"/>
          <w:rtl/>
        </w:rPr>
        <w:t xml:space="preserve">הוצגה </w:t>
      </w:r>
      <w:bookmarkStart w:id="38939" w:name="_ETM_Q72_500500"/>
      <w:bookmarkEnd w:id="38939"/>
      <w:r>
        <w:rPr>
          <w:rFonts w:hint="cs"/>
          <w:rtl/>
        </w:rPr>
        <w:t xml:space="preserve">התוכנית </w:t>
      </w:r>
      <w:bookmarkStart w:id="38940" w:name="_ETM_Q72_502199"/>
      <w:bookmarkEnd w:id="38940"/>
      <w:r>
        <w:rPr>
          <w:rFonts w:hint="cs"/>
          <w:rtl/>
        </w:rPr>
        <w:t xml:space="preserve">של </w:t>
      </w:r>
      <w:bookmarkStart w:id="38941" w:name="_ETM_Q72_502710"/>
      <w:bookmarkEnd w:id="38941"/>
      <w:r>
        <w:rPr>
          <w:rFonts w:hint="cs"/>
          <w:rtl/>
        </w:rPr>
        <w:t xml:space="preserve">שר </w:t>
      </w:r>
      <w:bookmarkStart w:id="38942" w:name="_ETM_Q72_503009"/>
      <w:bookmarkEnd w:id="38942"/>
      <w:r>
        <w:rPr>
          <w:rFonts w:hint="cs"/>
          <w:rtl/>
        </w:rPr>
        <w:t xml:space="preserve">המשפטים </w:t>
      </w:r>
      <w:bookmarkStart w:id="38943" w:name="_ETM_Q72_503519"/>
      <w:bookmarkEnd w:id="38943"/>
      <w:r>
        <w:rPr>
          <w:rFonts w:hint="cs"/>
          <w:rtl/>
        </w:rPr>
        <w:t xml:space="preserve">ב-4 </w:t>
      </w:r>
      <w:bookmarkStart w:id="38944" w:name="_ETM_Q72_504149"/>
      <w:bookmarkEnd w:id="38944"/>
      <w:r>
        <w:rPr>
          <w:rFonts w:hint="cs"/>
          <w:rtl/>
        </w:rPr>
        <w:t xml:space="preserve">בינואר </w:t>
      </w:r>
      <w:bookmarkStart w:id="38945" w:name="_ETM_Q72_504779"/>
      <w:bookmarkEnd w:id="38945"/>
      <w:r>
        <w:rPr>
          <w:rFonts w:hint="cs"/>
          <w:rtl/>
        </w:rPr>
        <w:t xml:space="preserve">השנה </w:t>
      </w:r>
      <w:bookmarkStart w:id="38946" w:name="_ETM_Q72_505869"/>
      <w:bookmarkEnd w:id="38946"/>
      <w:r>
        <w:rPr>
          <w:rFonts w:hint="cs"/>
          <w:rtl/>
        </w:rPr>
        <w:t xml:space="preserve">חצה </w:t>
      </w:r>
      <w:bookmarkStart w:id="38947" w:name="_ETM_Q72_506470"/>
      <w:bookmarkEnd w:id="38947"/>
      <w:r>
        <w:rPr>
          <w:rFonts w:hint="cs"/>
          <w:rtl/>
        </w:rPr>
        <w:t>את ה-</w:t>
      </w:r>
      <w:bookmarkStart w:id="38948" w:name="_ETM_Q72_506830"/>
      <w:bookmarkEnd w:id="38948"/>
      <w:r>
        <w:rPr>
          <w:rFonts w:hint="cs"/>
          <w:rtl/>
        </w:rPr>
        <w:t xml:space="preserve">150 </w:t>
      </w:r>
      <w:bookmarkStart w:id="38949" w:name="_ETM_Q72_508089"/>
      <w:bookmarkEnd w:id="38949"/>
      <w:r>
        <w:rPr>
          <w:rFonts w:hint="cs"/>
          <w:rtl/>
        </w:rPr>
        <w:t xml:space="preserve">מיליארד </w:t>
      </w:r>
      <w:bookmarkStart w:id="38950" w:name="_ETM_Q72_508570"/>
      <w:bookmarkEnd w:id="38950"/>
      <w:r>
        <w:rPr>
          <w:rFonts w:hint="cs"/>
          <w:rtl/>
        </w:rPr>
        <w:t xml:space="preserve">שקלים, </w:t>
      </w:r>
      <w:bookmarkStart w:id="38951" w:name="_ETM_Q72_510169"/>
      <w:bookmarkEnd w:id="38951"/>
      <w:r>
        <w:rPr>
          <w:rFonts w:hint="cs"/>
          <w:rtl/>
        </w:rPr>
        <w:t xml:space="preserve">והפגיעה </w:t>
      </w:r>
      <w:bookmarkStart w:id="38952" w:name="_ETM_Q72_510800"/>
      <w:bookmarkEnd w:id="38952"/>
      <w:r>
        <w:rPr>
          <w:rFonts w:hint="cs"/>
          <w:rtl/>
        </w:rPr>
        <w:t xml:space="preserve">ברמת </w:t>
      </w:r>
      <w:bookmarkStart w:id="38953" w:name="_ETM_Q72_511189"/>
      <w:bookmarkEnd w:id="38953"/>
      <w:r>
        <w:rPr>
          <w:rFonts w:hint="cs"/>
          <w:rtl/>
        </w:rPr>
        <w:t xml:space="preserve">החיים </w:t>
      </w:r>
      <w:bookmarkStart w:id="38954" w:name="_ETM_Q72_511550"/>
      <w:bookmarkEnd w:id="38954"/>
      <w:r>
        <w:rPr>
          <w:rFonts w:hint="cs"/>
          <w:rtl/>
        </w:rPr>
        <w:t xml:space="preserve">של </w:t>
      </w:r>
      <w:bookmarkStart w:id="38955" w:name="_ETM_Q72_511699"/>
      <w:bookmarkEnd w:id="38955"/>
      <w:r>
        <w:rPr>
          <w:rFonts w:hint="cs"/>
          <w:rtl/>
        </w:rPr>
        <w:t xml:space="preserve">אזרחי </w:t>
      </w:r>
      <w:bookmarkStart w:id="38956" w:name="_ETM_Q72_512149"/>
      <w:bookmarkEnd w:id="38956"/>
      <w:r>
        <w:rPr>
          <w:rFonts w:hint="cs"/>
          <w:rtl/>
        </w:rPr>
        <w:t xml:space="preserve">ישראל </w:t>
      </w:r>
      <w:bookmarkStart w:id="38957" w:name="_ETM_Q72_512750"/>
      <w:bookmarkEnd w:id="38957"/>
      <w:r>
        <w:rPr>
          <w:rFonts w:hint="cs"/>
          <w:rtl/>
        </w:rPr>
        <w:t xml:space="preserve">רק </w:t>
      </w:r>
      <w:bookmarkStart w:id="38958" w:name="_ETM_Q72_512989"/>
      <w:bookmarkEnd w:id="38958"/>
      <w:r>
        <w:rPr>
          <w:rFonts w:hint="cs"/>
          <w:rtl/>
        </w:rPr>
        <w:t xml:space="preserve">תחמיר </w:t>
      </w:r>
      <w:bookmarkStart w:id="38959" w:name="_ETM_Q72_514039"/>
      <w:bookmarkEnd w:id="38959"/>
      <w:r>
        <w:rPr>
          <w:rFonts w:hint="cs"/>
          <w:rtl/>
        </w:rPr>
        <w:t xml:space="preserve">ככל </w:t>
      </w:r>
      <w:bookmarkStart w:id="38960" w:name="_ETM_Q72_514399"/>
      <w:bookmarkEnd w:id="38960"/>
      <w:r>
        <w:rPr>
          <w:rFonts w:hint="cs"/>
          <w:rtl/>
        </w:rPr>
        <w:t xml:space="preserve">שתושלם </w:t>
      </w:r>
      <w:bookmarkStart w:id="38961" w:name="_ETM_Q72_516880"/>
      <w:bookmarkStart w:id="38962" w:name="_ETM_Q72_517150"/>
      <w:bookmarkEnd w:id="38961"/>
      <w:bookmarkEnd w:id="38962"/>
      <w:r>
        <w:rPr>
          <w:rFonts w:hint="cs"/>
          <w:rtl/>
        </w:rPr>
        <w:t xml:space="preserve">חקיקת </w:t>
      </w:r>
      <w:bookmarkStart w:id="38963" w:name="_ETM_Q72_517870"/>
      <w:bookmarkEnd w:id="38963"/>
      <w:r>
        <w:rPr>
          <w:rFonts w:hint="cs"/>
          <w:rtl/>
        </w:rPr>
        <w:t xml:space="preserve">ההפיכה. </w:t>
      </w:r>
      <w:bookmarkStart w:id="38964" w:name="_ETM_Q72_520890"/>
      <w:bookmarkStart w:id="38965" w:name="_ETM_Q72_521339"/>
      <w:bookmarkStart w:id="38966" w:name="_ETM_Q72_521940"/>
      <w:bookmarkStart w:id="38967" w:name="_ETM_Q72_522210"/>
      <w:bookmarkStart w:id="38968" w:name="_ETM_Q72_523109"/>
      <w:bookmarkEnd w:id="38964"/>
      <w:bookmarkEnd w:id="38965"/>
      <w:bookmarkEnd w:id="38966"/>
      <w:bookmarkEnd w:id="38967"/>
      <w:bookmarkEnd w:id="38968"/>
      <w:r>
        <w:rPr>
          <w:rFonts w:hint="cs"/>
          <w:rtl/>
        </w:rPr>
        <w:t xml:space="preserve">העלייה </w:t>
      </w:r>
      <w:bookmarkStart w:id="38969" w:name="_ETM_Q72_523769"/>
      <w:bookmarkEnd w:id="38969"/>
      <w:r>
        <w:rPr>
          <w:rFonts w:hint="cs"/>
          <w:rtl/>
        </w:rPr>
        <w:t xml:space="preserve">הגדולה </w:t>
      </w:r>
      <w:bookmarkStart w:id="38970" w:name="_ETM_Q72_526190"/>
      <w:bookmarkEnd w:id="38970"/>
      <w:r>
        <w:rPr>
          <w:rFonts w:hint="cs"/>
          <w:rtl/>
        </w:rPr>
        <w:t xml:space="preserve">במחירים </w:t>
      </w:r>
      <w:bookmarkStart w:id="38971" w:name="_ETM_Q72_527359"/>
      <w:bookmarkEnd w:id="38971"/>
      <w:r>
        <w:rPr>
          <w:rFonts w:hint="cs"/>
          <w:rtl/>
        </w:rPr>
        <w:t xml:space="preserve">עוד </w:t>
      </w:r>
      <w:bookmarkStart w:id="38972" w:name="_ETM_Q72_527539"/>
      <w:bookmarkEnd w:id="38972"/>
      <w:r>
        <w:rPr>
          <w:rFonts w:hint="cs"/>
          <w:rtl/>
        </w:rPr>
        <w:t xml:space="preserve">לפנינו. </w:t>
      </w:r>
      <w:bookmarkStart w:id="38973" w:name="_ETM_Q72_529260"/>
      <w:bookmarkEnd w:id="38973"/>
      <w:r>
        <w:rPr>
          <w:rFonts w:hint="cs"/>
          <w:rtl/>
        </w:rPr>
        <w:t xml:space="preserve">בנק </w:t>
      </w:r>
      <w:bookmarkStart w:id="38974" w:name="_ETM_Q72_529770"/>
      <w:bookmarkEnd w:id="38974"/>
      <w:r>
        <w:rPr>
          <w:rFonts w:hint="cs"/>
          <w:rtl/>
        </w:rPr>
        <w:t xml:space="preserve">ההשקעות </w:t>
      </w:r>
      <w:bookmarkStart w:id="38975" w:name="_ETM_Q72_530700"/>
      <w:bookmarkEnd w:id="38975"/>
      <w:r>
        <w:rPr>
          <w:rFonts w:hint="cs"/>
          <w:rtl/>
        </w:rPr>
        <w:t xml:space="preserve">מורגן </w:t>
      </w:r>
      <w:bookmarkStart w:id="38976" w:name="_ETM_Q72_531059"/>
      <w:bookmarkEnd w:id="38976"/>
      <w:r>
        <w:rPr>
          <w:rFonts w:hint="cs"/>
          <w:rtl/>
        </w:rPr>
        <w:t xml:space="preserve">סטנלי, </w:t>
      </w:r>
      <w:bookmarkStart w:id="38977" w:name="_ETM_Q72_531720"/>
      <w:bookmarkEnd w:id="38977"/>
      <w:r>
        <w:rPr>
          <w:rFonts w:hint="cs"/>
          <w:rtl/>
        </w:rPr>
        <w:t xml:space="preserve">מהגדולים </w:t>
      </w:r>
      <w:bookmarkStart w:id="38978" w:name="_ETM_Q72_532260"/>
      <w:bookmarkEnd w:id="38978"/>
      <w:r>
        <w:rPr>
          <w:rFonts w:hint="cs"/>
          <w:rtl/>
        </w:rPr>
        <w:t xml:space="preserve">בעולם, </w:t>
      </w:r>
      <w:bookmarkStart w:id="38979" w:name="_ETM_Q72_533430"/>
      <w:bookmarkEnd w:id="38979"/>
      <w:r>
        <w:rPr>
          <w:rFonts w:hint="cs"/>
          <w:rtl/>
        </w:rPr>
        <w:t xml:space="preserve">קבע </w:t>
      </w:r>
      <w:bookmarkStart w:id="38980" w:name="_ETM_Q72_533820"/>
      <w:bookmarkEnd w:id="38980"/>
      <w:r>
        <w:rPr>
          <w:rFonts w:hint="cs"/>
          <w:rtl/>
        </w:rPr>
        <w:t xml:space="preserve">כי </w:t>
      </w:r>
      <w:bookmarkStart w:id="38981" w:name="_ETM_Q72_533940"/>
      <w:bookmarkEnd w:id="38981"/>
      <w:r>
        <w:rPr>
          <w:rFonts w:hint="cs"/>
          <w:rtl/>
        </w:rPr>
        <w:t xml:space="preserve">בטווח </w:t>
      </w:r>
      <w:bookmarkStart w:id="38982" w:name="_ETM_Q72_534329"/>
      <w:bookmarkEnd w:id="38982"/>
      <w:r>
        <w:rPr>
          <w:rFonts w:hint="cs"/>
          <w:rtl/>
        </w:rPr>
        <w:t xml:space="preserve">הבינוני </w:t>
      </w:r>
      <w:bookmarkStart w:id="38983" w:name="_ETM_Q72_534870"/>
      <w:bookmarkEnd w:id="38983"/>
      <w:r>
        <w:rPr>
          <w:rFonts w:hint="cs"/>
          <w:rtl/>
        </w:rPr>
        <w:t xml:space="preserve">ההשלכות </w:t>
      </w:r>
      <w:bookmarkStart w:id="38984" w:name="_ETM_Q72_535529"/>
      <w:bookmarkEnd w:id="38984"/>
      <w:r>
        <w:rPr>
          <w:rFonts w:hint="cs"/>
          <w:rtl/>
        </w:rPr>
        <w:t xml:space="preserve">של </w:t>
      </w:r>
      <w:bookmarkStart w:id="38985" w:name="_ETM_Q72_535680"/>
      <w:bookmarkEnd w:id="38985"/>
      <w:r>
        <w:rPr>
          <w:rFonts w:hint="cs"/>
          <w:rtl/>
        </w:rPr>
        <w:t xml:space="preserve">המשך </w:t>
      </w:r>
      <w:bookmarkStart w:id="38986" w:name="_ETM_Q72_536450"/>
      <w:bookmarkEnd w:id="38986"/>
      <w:r>
        <w:rPr>
          <w:rFonts w:hint="cs"/>
          <w:rtl/>
        </w:rPr>
        <w:t xml:space="preserve">מימוש </w:t>
      </w:r>
      <w:bookmarkStart w:id="38987" w:name="_ETM_Q72_537779"/>
      <w:bookmarkEnd w:id="38987"/>
      <w:r>
        <w:rPr>
          <w:rFonts w:hint="cs"/>
          <w:rtl/>
        </w:rPr>
        <w:t xml:space="preserve">צעדי </w:t>
      </w:r>
      <w:bookmarkStart w:id="38988" w:name="_ETM_Q72_538199"/>
      <w:bookmarkEnd w:id="38988"/>
      <w:r>
        <w:rPr>
          <w:rFonts w:hint="cs"/>
          <w:rtl/>
        </w:rPr>
        <w:t xml:space="preserve">ההפיכה </w:t>
      </w:r>
      <w:bookmarkStart w:id="38989" w:name="_ETM_Q72_538559"/>
      <w:bookmarkEnd w:id="38989"/>
      <w:r>
        <w:rPr>
          <w:rFonts w:hint="cs"/>
          <w:rtl/>
        </w:rPr>
        <w:t xml:space="preserve">המשטרית </w:t>
      </w:r>
      <w:bookmarkStart w:id="38990" w:name="_ETM_Q72_539894"/>
      <w:bookmarkEnd w:id="38990"/>
      <w:r>
        <w:rPr>
          <w:rFonts w:hint="cs"/>
          <w:rtl/>
        </w:rPr>
        <w:t xml:space="preserve">יהיו </w:t>
      </w:r>
      <w:bookmarkStart w:id="38991" w:name="_ETM_Q72_540289"/>
      <w:bookmarkStart w:id="38992" w:name="_ETM_Q72_540620"/>
      <w:bookmarkEnd w:id="38991"/>
      <w:bookmarkEnd w:id="38992"/>
      <w:r>
        <w:rPr>
          <w:rFonts w:hint="cs"/>
          <w:rtl/>
        </w:rPr>
        <w:t xml:space="preserve">צמיחה </w:t>
      </w:r>
      <w:bookmarkStart w:id="38993" w:name="_ETM_Q72_540979"/>
      <w:bookmarkEnd w:id="38993"/>
      <w:r>
        <w:rPr>
          <w:rFonts w:hint="cs"/>
          <w:rtl/>
        </w:rPr>
        <w:t xml:space="preserve">חלשה </w:t>
      </w:r>
      <w:bookmarkStart w:id="38994" w:name="_ETM_Q72_541460"/>
      <w:bookmarkEnd w:id="38994"/>
      <w:r>
        <w:rPr>
          <w:rFonts w:hint="cs"/>
          <w:rtl/>
        </w:rPr>
        <w:t xml:space="preserve">יותר </w:t>
      </w:r>
      <w:bookmarkStart w:id="38995" w:name="_ETM_Q72_542469"/>
      <w:bookmarkEnd w:id="38995"/>
      <w:r>
        <w:rPr>
          <w:rFonts w:hint="cs"/>
          <w:rtl/>
        </w:rPr>
        <w:t xml:space="preserve">ופגיעה </w:t>
      </w:r>
      <w:bookmarkStart w:id="38996" w:name="_ETM_Q72_543279"/>
      <w:bookmarkEnd w:id="38996"/>
      <w:r>
        <w:rPr>
          <w:rFonts w:hint="cs"/>
          <w:rtl/>
        </w:rPr>
        <w:t xml:space="preserve">בענף </w:t>
      </w:r>
      <w:bookmarkStart w:id="38997" w:name="_ETM_Q72_543730"/>
      <w:bookmarkEnd w:id="38997"/>
      <w:r>
        <w:rPr>
          <w:rFonts w:hint="cs"/>
          <w:rtl/>
        </w:rPr>
        <w:t xml:space="preserve">ההייטק; </w:t>
      </w:r>
      <w:bookmarkStart w:id="38998" w:name="_ETM_Q72_544350"/>
      <w:bookmarkEnd w:id="38998"/>
      <w:r>
        <w:rPr>
          <w:rFonts w:hint="cs"/>
          <w:rtl/>
        </w:rPr>
        <w:t xml:space="preserve">אנחנו </w:t>
      </w:r>
      <w:bookmarkStart w:id="38999" w:name="_ETM_Q72_544620"/>
      <w:bookmarkEnd w:id="38999"/>
      <w:r>
        <w:rPr>
          <w:rFonts w:hint="cs"/>
          <w:rtl/>
        </w:rPr>
        <w:t xml:space="preserve">רואים </w:t>
      </w:r>
      <w:bookmarkStart w:id="39000" w:name="_ETM_Q72_544890"/>
      <w:bookmarkEnd w:id="39000"/>
      <w:r>
        <w:rPr>
          <w:rFonts w:hint="cs"/>
          <w:rtl/>
        </w:rPr>
        <w:t xml:space="preserve">את </w:t>
      </w:r>
      <w:bookmarkStart w:id="39001" w:name="_ETM_Q72_544980"/>
      <w:bookmarkEnd w:id="39001"/>
      <w:r>
        <w:rPr>
          <w:rFonts w:hint="cs"/>
          <w:rtl/>
        </w:rPr>
        <w:t xml:space="preserve">זה. </w:t>
      </w:r>
      <w:bookmarkStart w:id="39002" w:name="_ETM_Q72_546279"/>
      <w:bookmarkEnd w:id="39002"/>
      <w:r>
        <w:rPr>
          <w:rFonts w:hint="cs"/>
          <w:rtl/>
        </w:rPr>
        <w:t xml:space="preserve">פגיעה </w:t>
      </w:r>
      <w:bookmarkStart w:id="39003" w:name="_ETM_Q72_546640"/>
      <w:bookmarkEnd w:id="39003"/>
      <w:r>
        <w:rPr>
          <w:rFonts w:hint="cs"/>
          <w:rtl/>
        </w:rPr>
        <w:t xml:space="preserve">בהייטק </w:t>
      </w:r>
      <w:bookmarkStart w:id="39004" w:name="_ETM_Q72_547390"/>
      <w:bookmarkEnd w:id="39004"/>
      <w:r>
        <w:rPr>
          <w:rFonts w:hint="cs"/>
          <w:rtl/>
        </w:rPr>
        <w:t xml:space="preserve">משמעותה </w:t>
      </w:r>
      <w:bookmarkStart w:id="39005" w:name="_ETM_Q72_548170"/>
      <w:bookmarkEnd w:id="39005"/>
      <w:r>
        <w:rPr>
          <w:rFonts w:hint="cs"/>
          <w:rtl/>
        </w:rPr>
        <w:t xml:space="preserve">פגיעה </w:t>
      </w:r>
      <w:bookmarkStart w:id="39006" w:name="_ETM_Q72_548770"/>
      <w:bookmarkEnd w:id="39006"/>
      <w:r>
        <w:rPr>
          <w:rFonts w:hint="cs"/>
          <w:rtl/>
        </w:rPr>
        <w:t xml:space="preserve">באיכות </w:t>
      </w:r>
      <w:bookmarkStart w:id="39007" w:name="_ETM_Q72_549220"/>
      <w:bookmarkEnd w:id="39007"/>
      <w:r>
        <w:rPr>
          <w:rFonts w:hint="cs"/>
          <w:rtl/>
        </w:rPr>
        <w:t xml:space="preserve">החיים </w:t>
      </w:r>
      <w:bookmarkStart w:id="39008" w:name="_ETM_Q72_549580"/>
      <w:bookmarkEnd w:id="39008"/>
      <w:r>
        <w:rPr>
          <w:rFonts w:hint="cs"/>
          <w:rtl/>
        </w:rPr>
        <w:t xml:space="preserve">של </w:t>
      </w:r>
      <w:bookmarkStart w:id="39009" w:name="_ETM_Q72_549730"/>
      <w:bookmarkEnd w:id="39009"/>
      <w:r>
        <w:rPr>
          <w:rFonts w:hint="cs"/>
          <w:rtl/>
        </w:rPr>
        <w:t xml:space="preserve">כולנו, </w:t>
      </w:r>
      <w:bookmarkStart w:id="39010" w:name="_ETM_Q72_550540"/>
      <w:bookmarkEnd w:id="39010"/>
      <w:r>
        <w:rPr>
          <w:rFonts w:hint="cs"/>
          <w:rtl/>
        </w:rPr>
        <w:t xml:space="preserve">כי </w:t>
      </w:r>
      <w:bookmarkStart w:id="39011" w:name="_ETM_Q72_550630"/>
      <w:bookmarkEnd w:id="39011"/>
      <w:r>
        <w:rPr>
          <w:rFonts w:hint="cs"/>
          <w:rtl/>
        </w:rPr>
        <w:t xml:space="preserve">מדובר </w:t>
      </w:r>
      <w:bookmarkStart w:id="39012" w:name="_ETM_Q72_551080"/>
      <w:bookmarkEnd w:id="39012"/>
      <w:r>
        <w:rPr>
          <w:rFonts w:hint="cs"/>
          <w:rtl/>
        </w:rPr>
        <w:t xml:space="preserve">בקטר </w:t>
      </w:r>
      <w:bookmarkStart w:id="39013" w:name="_ETM_Q72_552589"/>
      <w:bookmarkEnd w:id="39013"/>
      <w:r>
        <w:rPr>
          <w:rFonts w:hint="cs"/>
          <w:rtl/>
        </w:rPr>
        <w:t xml:space="preserve">של </w:t>
      </w:r>
      <w:bookmarkStart w:id="39014" w:name="_ETM_Q72_552830"/>
      <w:bookmarkEnd w:id="39014"/>
      <w:r>
        <w:rPr>
          <w:rFonts w:hint="cs"/>
          <w:rtl/>
        </w:rPr>
        <w:t xml:space="preserve">מדינת </w:t>
      </w:r>
      <w:bookmarkStart w:id="39015" w:name="_ETM_Q72_553220"/>
      <w:bookmarkEnd w:id="39015"/>
      <w:r>
        <w:rPr>
          <w:rFonts w:hint="cs"/>
          <w:rtl/>
        </w:rPr>
        <w:t xml:space="preserve">ישראל, </w:t>
      </w:r>
      <w:bookmarkStart w:id="39016" w:name="_ETM_Q72_553799"/>
      <w:bookmarkEnd w:id="39016"/>
      <w:r>
        <w:rPr>
          <w:rFonts w:hint="cs"/>
          <w:rtl/>
        </w:rPr>
        <w:t xml:space="preserve">בקטר </w:t>
      </w:r>
      <w:bookmarkStart w:id="39017" w:name="_ETM_Q72_554820"/>
      <w:bookmarkEnd w:id="39017"/>
      <w:r>
        <w:rPr>
          <w:rFonts w:hint="cs"/>
          <w:rtl/>
        </w:rPr>
        <w:t xml:space="preserve">של כלכלת ישראל. </w:t>
      </w:r>
      <w:bookmarkStart w:id="39018" w:name="_ETM_Q72_556460"/>
      <w:bookmarkEnd w:id="39018"/>
      <w:r>
        <w:rPr>
          <w:rFonts w:hint="cs"/>
          <w:rtl/>
        </w:rPr>
        <w:t xml:space="preserve">הכול </w:t>
      </w:r>
      <w:bookmarkStart w:id="39019" w:name="_ETM_Q72_556909"/>
      <w:bookmarkEnd w:id="39019"/>
      <w:r>
        <w:rPr>
          <w:rFonts w:hint="cs"/>
          <w:rtl/>
        </w:rPr>
        <w:t xml:space="preserve">יהיה </w:t>
      </w:r>
      <w:bookmarkStart w:id="39020" w:name="_ETM_Q72_557089"/>
      <w:bookmarkEnd w:id="39020"/>
      <w:r>
        <w:rPr>
          <w:rFonts w:hint="cs"/>
          <w:rtl/>
        </w:rPr>
        <w:t xml:space="preserve">יקר </w:t>
      </w:r>
      <w:bookmarkStart w:id="39021" w:name="_ETM_Q72_557450"/>
      <w:bookmarkEnd w:id="39021"/>
      <w:r>
        <w:rPr>
          <w:rFonts w:hint="cs"/>
          <w:rtl/>
        </w:rPr>
        <w:t xml:space="preserve">יותר, </w:t>
      </w:r>
      <w:bookmarkStart w:id="39022" w:name="_ETM_Q72_557810"/>
      <w:bookmarkEnd w:id="39022"/>
      <w:r>
        <w:rPr>
          <w:rFonts w:hint="cs"/>
          <w:rtl/>
        </w:rPr>
        <w:t xml:space="preserve">ומי </w:t>
      </w:r>
      <w:bookmarkStart w:id="39023" w:name="_ETM_Q72_558049"/>
      <w:bookmarkEnd w:id="39023"/>
      <w:r>
        <w:rPr>
          <w:rFonts w:hint="cs"/>
          <w:rtl/>
        </w:rPr>
        <w:t xml:space="preserve">שייפגע </w:t>
      </w:r>
      <w:bookmarkStart w:id="39024" w:name="_ETM_Q72_558619"/>
      <w:bookmarkEnd w:id="39024"/>
      <w:r>
        <w:rPr>
          <w:rFonts w:hint="cs"/>
          <w:rtl/>
        </w:rPr>
        <w:t xml:space="preserve">ראשון </w:t>
      </w:r>
      <w:bookmarkStart w:id="39025" w:name="_ETM_Q72_559040"/>
      <w:bookmarkEnd w:id="39025"/>
      <w:r>
        <w:rPr>
          <w:rFonts w:hint="cs"/>
          <w:rtl/>
        </w:rPr>
        <w:t xml:space="preserve">יהיה </w:t>
      </w:r>
      <w:bookmarkStart w:id="39026" w:name="_ETM_Q72_559760"/>
      <w:bookmarkEnd w:id="39026"/>
      <w:r>
        <w:rPr>
          <w:rFonts w:hint="cs"/>
          <w:rtl/>
        </w:rPr>
        <w:t xml:space="preserve">השכבות </w:t>
      </w:r>
      <w:bookmarkStart w:id="39027" w:name="_ETM_Q72_560270"/>
      <w:bookmarkEnd w:id="39027"/>
      <w:r>
        <w:rPr>
          <w:rFonts w:hint="cs"/>
          <w:rtl/>
        </w:rPr>
        <w:t xml:space="preserve">החלשות, </w:t>
      </w:r>
      <w:bookmarkStart w:id="39028" w:name="_ETM_Q72_561380"/>
      <w:bookmarkEnd w:id="39028"/>
      <w:r>
        <w:rPr>
          <w:rFonts w:hint="cs"/>
          <w:rtl/>
        </w:rPr>
        <w:t xml:space="preserve">אך </w:t>
      </w:r>
      <w:bookmarkStart w:id="39029" w:name="_ETM_Q72_561589"/>
      <w:bookmarkEnd w:id="39029"/>
      <w:r>
        <w:rPr>
          <w:rFonts w:hint="cs"/>
          <w:rtl/>
        </w:rPr>
        <w:t xml:space="preserve">לא </w:t>
      </w:r>
      <w:bookmarkStart w:id="39030" w:name="_ETM_Q72_561770"/>
      <w:bookmarkEnd w:id="39030"/>
      <w:r>
        <w:rPr>
          <w:rFonts w:hint="cs"/>
          <w:rtl/>
        </w:rPr>
        <w:t xml:space="preserve">רק </w:t>
      </w:r>
      <w:bookmarkStart w:id="39031" w:name="_ETM_Q72_561950"/>
      <w:bookmarkEnd w:id="39031"/>
      <w:r>
        <w:rPr>
          <w:rFonts w:hint="cs"/>
          <w:rtl/>
        </w:rPr>
        <w:t>ה</w:t>
      </w:r>
      <w:r w:rsidR="00C94ACC">
        <w:rPr>
          <w:rFonts w:hint="cs"/>
          <w:rtl/>
        </w:rPr>
        <w:t>ן</w:t>
      </w:r>
      <w:r>
        <w:rPr>
          <w:rFonts w:hint="cs"/>
          <w:rtl/>
        </w:rPr>
        <w:t xml:space="preserve">. </w:t>
      </w:r>
      <w:bookmarkStart w:id="39032" w:name="_ETM_Q72_563429"/>
      <w:bookmarkEnd w:id="39032"/>
      <w:r>
        <w:rPr>
          <w:rFonts w:hint="cs"/>
          <w:rtl/>
        </w:rPr>
        <w:t xml:space="preserve">כל </w:t>
      </w:r>
      <w:bookmarkStart w:id="39033" w:name="_ETM_Q72_563670"/>
      <w:bookmarkEnd w:id="39033"/>
      <w:r>
        <w:rPr>
          <w:rFonts w:hint="cs"/>
          <w:rtl/>
        </w:rPr>
        <w:t xml:space="preserve">שכבות </w:t>
      </w:r>
      <w:bookmarkStart w:id="39034" w:name="_ETM_Q72_564089"/>
      <w:bookmarkEnd w:id="39034"/>
      <w:r>
        <w:rPr>
          <w:rFonts w:hint="cs"/>
          <w:rtl/>
        </w:rPr>
        <w:t xml:space="preserve">האוכלוסייה </w:t>
      </w:r>
      <w:bookmarkStart w:id="39035" w:name="_ETM_Q72_565370"/>
      <w:bookmarkEnd w:id="39035"/>
      <w:r>
        <w:rPr>
          <w:rFonts w:hint="cs"/>
          <w:rtl/>
        </w:rPr>
        <w:t xml:space="preserve">ירגישו </w:t>
      </w:r>
      <w:bookmarkStart w:id="39036" w:name="_ETM_Q72_565940"/>
      <w:bookmarkEnd w:id="39036"/>
      <w:r>
        <w:rPr>
          <w:rFonts w:hint="cs"/>
          <w:rtl/>
        </w:rPr>
        <w:t xml:space="preserve">את </w:t>
      </w:r>
      <w:bookmarkStart w:id="39037" w:name="_ETM_Q72_566060"/>
      <w:bookmarkEnd w:id="39037"/>
      <w:r>
        <w:rPr>
          <w:rFonts w:hint="cs"/>
          <w:rtl/>
        </w:rPr>
        <w:t>זה,</w:t>
      </w:r>
      <w:bookmarkStart w:id="39038" w:name="_ETM_Q72_566479"/>
      <w:bookmarkEnd w:id="39038"/>
      <w:r>
        <w:rPr>
          <w:rFonts w:hint="cs"/>
          <w:rtl/>
        </w:rPr>
        <w:t xml:space="preserve"> ימנים </w:t>
      </w:r>
      <w:bookmarkStart w:id="39039" w:name="_ETM_Q72_566990"/>
      <w:bookmarkEnd w:id="39039"/>
      <w:r>
        <w:rPr>
          <w:rFonts w:hint="cs"/>
          <w:rtl/>
        </w:rPr>
        <w:t xml:space="preserve">ושמאלנים </w:t>
      </w:r>
      <w:bookmarkStart w:id="39040" w:name="_ETM_Q72_567681"/>
      <w:bookmarkEnd w:id="39040"/>
      <w:r>
        <w:rPr>
          <w:rFonts w:hint="cs"/>
          <w:rtl/>
        </w:rPr>
        <w:t xml:space="preserve">כאחד, </w:t>
      </w:r>
      <w:bookmarkStart w:id="39041" w:name="_ETM_Q72_567680"/>
      <w:bookmarkStart w:id="39042" w:name="_ETM_Q72_568600"/>
      <w:bookmarkEnd w:id="39041"/>
      <w:bookmarkEnd w:id="39042"/>
      <w:r>
        <w:rPr>
          <w:rFonts w:hint="cs"/>
          <w:rtl/>
        </w:rPr>
        <w:t xml:space="preserve">מתנגדים </w:t>
      </w:r>
      <w:bookmarkStart w:id="39043" w:name="_ETM_Q72_569740"/>
      <w:bookmarkEnd w:id="39043"/>
      <w:r>
        <w:rPr>
          <w:rFonts w:hint="cs"/>
          <w:rtl/>
        </w:rPr>
        <w:t xml:space="preserve">ותומכי </w:t>
      </w:r>
      <w:bookmarkStart w:id="39044" w:name="_ETM_Q72_570490"/>
      <w:bookmarkEnd w:id="39044"/>
      <w:r>
        <w:rPr>
          <w:rFonts w:hint="cs"/>
          <w:rtl/>
        </w:rPr>
        <w:t xml:space="preserve">הרפורמה </w:t>
      </w:r>
      <w:bookmarkStart w:id="39045" w:name="_ETM_Q72_571520"/>
      <w:bookmarkEnd w:id="39045"/>
      <w:r>
        <w:rPr>
          <w:rFonts w:hint="cs"/>
          <w:rtl/>
        </w:rPr>
        <w:t>ביחד.</w:t>
      </w:r>
    </w:p>
    <w:p w:rsidR="00BB59CD" w:rsidRDefault="00BB59CD" w:rsidP="00BB59CD">
      <w:pPr>
        <w:rPr>
          <w:rtl/>
        </w:rPr>
      </w:pPr>
      <w:bookmarkStart w:id="39046" w:name="_ETM_Q72_574179"/>
      <w:bookmarkStart w:id="39047" w:name="_ETM_Q72_574306"/>
      <w:bookmarkEnd w:id="39046"/>
      <w:bookmarkEnd w:id="39047"/>
    </w:p>
    <w:p w:rsidR="00BB59CD" w:rsidRDefault="00BB59CD" w:rsidP="00BB59CD">
      <w:pPr>
        <w:rPr>
          <w:rtl/>
        </w:rPr>
      </w:pPr>
      <w:bookmarkStart w:id="39048" w:name="_ETM_Q72_574371"/>
      <w:bookmarkStart w:id="39049" w:name="_ETM_Q72_574487"/>
      <w:bookmarkStart w:id="39050" w:name="_ETM_Q72_573610"/>
      <w:bookmarkEnd w:id="39048"/>
      <w:bookmarkEnd w:id="39049"/>
      <w:bookmarkEnd w:id="39050"/>
      <w:r>
        <w:rPr>
          <w:rFonts w:hint="cs"/>
          <w:rtl/>
        </w:rPr>
        <w:t xml:space="preserve">ממשלת </w:t>
      </w:r>
      <w:bookmarkStart w:id="39051" w:name="_ETM_Q72_574089"/>
      <w:bookmarkEnd w:id="39051"/>
      <w:r>
        <w:rPr>
          <w:rFonts w:hint="cs"/>
          <w:rtl/>
        </w:rPr>
        <w:t xml:space="preserve">הכישלון </w:t>
      </w:r>
      <w:bookmarkStart w:id="39052" w:name="_ETM_Q72_574720"/>
      <w:bookmarkEnd w:id="39052"/>
      <w:r>
        <w:rPr>
          <w:rFonts w:hint="cs"/>
          <w:rtl/>
        </w:rPr>
        <w:t xml:space="preserve">מסרבת </w:t>
      </w:r>
      <w:bookmarkStart w:id="39053" w:name="_ETM_Q72_575380"/>
      <w:bookmarkEnd w:id="39053"/>
      <w:r>
        <w:rPr>
          <w:rFonts w:hint="cs"/>
          <w:rtl/>
        </w:rPr>
        <w:t xml:space="preserve">להקשיב </w:t>
      </w:r>
      <w:bookmarkStart w:id="39054" w:name="_ETM_Q72_576010"/>
      <w:bookmarkEnd w:id="39054"/>
      <w:r>
        <w:rPr>
          <w:rFonts w:hint="cs"/>
          <w:rtl/>
        </w:rPr>
        <w:t xml:space="preserve">פעם </w:t>
      </w:r>
      <w:bookmarkStart w:id="39055" w:name="_ETM_Q72_576370"/>
      <w:bookmarkEnd w:id="39055"/>
      <w:r>
        <w:rPr>
          <w:rFonts w:hint="cs"/>
          <w:rtl/>
        </w:rPr>
        <w:t xml:space="preserve">אחר </w:t>
      </w:r>
      <w:bookmarkStart w:id="39056" w:name="_ETM_Q72_576640"/>
      <w:bookmarkEnd w:id="39056"/>
      <w:r>
        <w:rPr>
          <w:rFonts w:hint="cs"/>
          <w:rtl/>
        </w:rPr>
        <w:t xml:space="preserve">פעם </w:t>
      </w:r>
      <w:bookmarkStart w:id="39057" w:name="_ETM_Q72_577300"/>
      <w:bookmarkEnd w:id="39057"/>
      <w:r>
        <w:rPr>
          <w:rFonts w:hint="cs"/>
          <w:rtl/>
        </w:rPr>
        <w:t xml:space="preserve">לאזהרות </w:t>
      </w:r>
      <w:bookmarkStart w:id="39058" w:name="_ETM_Q72_578080"/>
      <w:bookmarkEnd w:id="39058"/>
      <w:r>
        <w:rPr>
          <w:rFonts w:hint="cs"/>
          <w:rtl/>
        </w:rPr>
        <w:t xml:space="preserve">של </w:t>
      </w:r>
      <w:bookmarkStart w:id="39059" w:name="_ETM_Q72_578320"/>
      <w:bookmarkEnd w:id="39059"/>
      <w:r>
        <w:rPr>
          <w:rFonts w:hint="cs"/>
          <w:rtl/>
        </w:rPr>
        <w:t xml:space="preserve">אלפי </w:t>
      </w:r>
      <w:bookmarkStart w:id="39060" w:name="_ETM_Q72_579100"/>
      <w:bookmarkEnd w:id="39060"/>
      <w:r>
        <w:rPr>
          <w:rFonts w:hint="cs"/>
          <w:rtl/>
        </w:rPr>
        <w:t xml:space="preserve">כלכלנים </w:t>
      </w:r>
      <w:bookmarkStart w:id="39061" w:name="_ETM_Q72_579820"/>
      <w:bookmarkEnd w:id="39061"/>
      <w:r>
        <w:rPr>
          <w:rFonts w:hint="cs"/>
          <w:rtl/>
        </w:rPr>
        <w:t xml:space="preserve">בכירים </w:t>
      </w:r>
      <w:bookmarkStart w:id="39062" w:name="_ETM_Q72_580720"/>
      <w:bookmarkEnd w:id="39062"/>
      <w:r>
        <w:rPr>
          <w:rFonts w:hint="cs"/>
          <w:rtl/>
        </w:rPr>
        <w:t xml:space="preserve">בארץ </w:t>
      </w:r>
      <w:bookmarkStart w:id="39063" w:name="_ETM_Q72_581350"/>
      <w:bookmarkEnd w:id="39063"/>
      <w:r>
        <w:rPr>
          <w:rFonts w:hint="cs"/>
          <w:rtl/>
        </w:rPr>
        <w:t>ובעולם, ל</w:t>
      </w:r>
      <w:bookmarkStart w:id="39064" w:name="_ETM_Q72_582560"/>
      <w:bookmarkEnd w:id="39064"/>
      <w:r>
        <w:rPr>
          <w:rFonts w:hint="cs"/>
          <w:rtl/>
        </w:rPr>
        <w:t xml:space="preserve">תחזיות </w:t>
      </w:r>
      <w:bookmarkStart w:id="39065" w:name="_ETM_Q72_583310"/>
      <w:bookmarkEnd w:id="39065"/>
      <w:r>
        <w:rPr>
          <w:rFonts w:hint="cs"/>
          <w:rtl/>
        </w:rPr>
        <w:t xml:space="preserve">הכלכליות </w:t>
      </w:r>
      <w:bookmarkStart w:id="39066" w:name="_ETM_Q72_584390"/>
      <w:bookmarkEnd w:id="39066"/>
      <w:r>
        <w:rPr>
          <w:rFonts w:hint="cs"/>
          <w:rtl/>
        </w:rPr>
        <w:t xml:space="preserve">הקודרות </w:t>
      </w:r>
      <w:bookmarkStart w:id="39067" w:name="_ETM_Q72_585479"/>
      <w:bookmarkEnd w:id="39067"/>
      <w:r>
        <w:rPr>
          <w:rFonts w:hint="cs"/>
          <w:rtl/>
        </w:rPr>
        <w:t xml:space="preserve">על </w:t>
      </w:r>
      <w:bookmarkStart w:id="39068" w:name="_ETM_Q72_585869"/>
      <w:bookmarkStart w:id="39069" w:name="_ETM_Q72_586080"/>
      <w:bookmarkEnd w:id="39068"/>
      <w:bookmarkEnd w:id="39069"/>
      <w:r>
        <w:rPr>
          <w:rFonts w:hint="cs"/>
          <w:rtl/>
        </w:rPr>
        <w:t xml:space="preserve">ההפיכה המשטרית, </w:t>
      </w:r>
      <w:bookmarkStart w:id="39070" w:name="_ETM_Q72_587580"/>
      <w:bookmarkEnd w:id="39070"/>
      <w:r>
        <w:rPr>
          <w:rFonts w:hint="cs"/>
          <w:rtl/>
        </w:rPr>
        <w:t xml:space="preserve">ולדעת </w:t>
      </w:r>
      <w:bookmarkStart w:id="39071" w:name="_ETM_Q72_588240"/>
      <w:bookmarkEnd w:id="39071"/>
      <w:r>
        <w:rPr>
          <w:rFonts w:hint="cs"/>
          <w:rtl/>
        </w:rPr>
        <w:t xml:space="preserve">כל </w:t>
      </w:r>
      <w:bookmarkStart w:id="39072" w:name="_ETM_Q72_588720"/>
      <w:bookmarkEnd w:id="39072"/>
      <w:r>
        <w:rPr>
          <w:rFonts w:hint="cs"/>
          <w:rtl/>
        </w:rPr>
        <w:t xml:space="preserve">מומחה </w:t>
      </w:r>
      <w:bookmarkStart w:id="39073" w:name="_ETM_Q72_589200"/>
      <w:bookmarkEnd w:id="39073"/>
      <w:r>
        <w:rPr>
          <w:rFonts w:hint="cs"/>
          <w:rtl/>
        </w:rPr>
        <w:t xml:space="preserve">כלכלי </w:t>
      </w:r>
      <w:bookmarkStart w:id="39074" w:name="_ETM_Q72_589770"/>
      <w:bookmarkEnd w:id="39074"/>
      <w:r>
        <w:rPr>
          <w:rFonts w:hint="cs"/>
          <w:rtl/>
        </w:rPr>
        <w:t xml:space="preserve">בארץ </w:t>
      </w:r>
      <w:bookmarkStart w:id="39075" w:name="_ETM_Q72_590220"/>
      <w:bookmarkEnd w:id="39075"/>
      <w:r>
        <w:rPr>
          <w:rFonts w:hint="cs"/>
          <w:rtl/>
        </w:rPr>
        <w:t xml:space="preserve">ובעולם שמכבד את עצמו. </w:t>
      </w:r>
      <w:bookmarkStart w:id="39076" w:name="_ETM_Q72_591570"/>
      <w:bookmarkStart w:id="39077" w:name="_ETM_Q72_592000"/>
      <w:bookmarkStart w:id="39078" w:name="_ETM_Q72_592240"/>
      <w:bookmarkStart w:id="39079" w:name="_ETM_Q72_593779"/>
      <w:bookmarkEnd w:id="39076"/>
      <w:bookmarkEnd w:id="39077"/>
      <w:bookmarkEnd w:id="39078"/>
      <w:bookmarkEnd w:id="39079"/>
      <w:r>
        <w:rPr>
          <w:rFonts w:hint="cs"/>
          <w:rtl/>
        </w:rPr>
        <w:t xml:space="preserve">באפריל </w:t>
      </w:r>
      <w:bookmarkStart w:id="39080" w:name="_ETM_Q72_595320"/>
      <w:bookmarkEnd w:id="39080"/>
      <w:r>
        <w:rPr>
          <w:rFonts w:hint="cs"/>
          <w:rtl/>
        </w:rPr>
        <w:t xml:space="preserve">השנה </w:t>
      </w:r>
      <w:bookmarkStart w:id="39081" w:name="_ETM_Q72_596729"/>
      <w:bookmarkEnd w:id="39081"/>
      <w:r>
        <w:rPr>
          <w:rFonts w:hint="cs"/>
          <w:rtl/>
        </w:rPr>
        <w:t xml:space="preserve">סוכנות </w:t>
      </w:r>
      <w:bookmarkStart w:id="39082" w:name="_ETM_Q72_597270"/>
      <w:bookmarkEnd w:id="39082"/>
      <w:r>
        <w:rPr>
          <w:rFonts w:hint="cs"/>
          <w:rtl/>
        </w:rPr>
        <w:t xml:space="preserve">הדירוג </w:t>
      </w:r>
      <w:bookmarkStart w:id="39083" w:name="_ETM_Q72_598159"/>
      <w:bookmarkEnd w:id="39083"/>
      <w:r>
        <w:rPr>
          <w:rFonts w:hint="cs"/>
          <w:rtl/>
        </w:rPr>
        <w:t xml:space="preserve">מודי'ס </w:t>
      </w:r>
      <w:bookmarkStart w:id="39084" w:name="_ETM_Q72_598759"/>
      <w:bookmarkEnd w:id="39084"/>
      <w:r>
        <w:rPr>
          <w:rFonts w:hint="cs"/>
          <w:rtl/>
        </w:rPr>
        <w:t xml:space="preserve">הורידה </w:t>
      </w:r>
      <w:bookmarkStart w:id="39085" w:name="_ETM_Q72_599150"/>
      <w:bookmarkEnd w:id="39085"/>
      <w:r>
        <w:rPr>
          <w:rFonts w:hint="cs"/>
          <w:rtl/>
        </w:rPr>
        <w:t xml:space="preserve">את </w:t>
      </w:r>
      <w:bookmarkStart w:id="39086" w:name="_ETM_Q72_599299"/>
      <w:bookmarkEnd w:id="39086"/>
      <w:r>
        <w:rPr>
          <w:rFonts w:hint="cs"/>
          <w:rtl/>
        </w:rPr>
        <w:t xml:space="preserve">תחזית </w:t>
      </w:r>
      <w:bookmarkStart w:id="39087" w:name="_ETM_Q72_600200"/>
      <w:bookmarkEnd w:id="39087"/>
      <w:r>
        <w:rPr>
          <w:rFonts w:hint="cs"/>
          <w:rtl/>
        </w:rPr>
        <w:t xml:space="preserve">דירוג </w:t>
      </w:r>
      <w:bookmarkStart w:id="39088" w:name="_ETM_Q72_600589"/>
      <w:bookmarkEnd w:id="39088"/>
      <w:r>
        <w:rPr>
          <w:rFonts w:hint="cs"/>
          <w:rtl/>
        </w:rPr>
        <w:t xml:space="preserve">האשראי </w:t>
      </w:r>
      <w:bookmarkStart w:id="39089" w:name="_ETM_Q72_601599"/>
      <w:bookmarkEnd w:id="39089"/>
      <w:r>
        <w:rPr>
          <w:rFonts w:hint="cs"/>
          <w:rtl/>
        </w:rPr>
        <w:t xml:space="preserve">של </w:t>
      </w:r>
      <w:bookmarkStart w:id="39090" w:name="_ETM_Q72_601899"/>
      <w:bookmarkEnd w:id="39090"/>
      <w:r>
        <w:rPr>
          <w:rFonts w:hint="cs"/>
          <w:rtl/>
        </w:rPr>
        <w:t xml:space="preserve">מדינת </w:t>
      </w:r>
      <w:bookmarkStart w:id="39091" w:name="_ETM_Q72_602229"/>
      <w:bookmarkEnd w:id="39091"/>
      <w:r>
        <w:rPr>
          <w:rFonts w:hint="cs"/>
          <w:rtl/>
        </w:rPr>
        <w:t xml:space="preserve">ישראל </w:t>
      </w:r>
      <w:bookmarkStart w:id="39092" w:name="_ETM_Q72_603310"/>
      <w:bookmarkEnd w:id="39092"/>
      <w:r>
        <w:rPr>
          <w:rFonts w:hint="cs"/>
          <w:rtl/>
        </w:rPr>
        <w:t xml:space="preserve">מחיובי </w:t>
      </w:r>
      <w:bookmarkStart w:id="39093" w:name="_ETM_Q72_604420"/>
      <w:bookmarkEnd w:id="39093"/>
      <w:r>
        <w:rPr>
          <w:rFonts w:hint="cs"/>
          <w:rtl/>
        </w:rPr>
        <w:t xml:space="preserve">ליציב. </w:t>
      </w:r>
      <w:bookmarkStart w:id="39094" w:name="_ETM_Q72_605230"/>
      <w:bookmarkEnd w:id="39094"/>
      <w:r>
        <w:rPr>
          <w:rFonts w:hint="cs"/>
          <w:rtl/>
        </w:rPr>
        <w:t xml:space="preserve">היא פרסמה </w:t>
      </w:r>
      <w:bookmarkStart w:id="39095" w:name="_ETM_Q72_605710"/>
      <w:bookmarkEnd w:id="39095"/>
      <w:r>
        <w:rPr>
          <w:rFonts w:hint="cs"/>
          <w:rtl/>
        </w:rPr>
        <w:t xml:space="preserve">דוח </w:t>
      </w:r>
      <w:bookmarkStart w:id="39096" w:name="_ETM_Q72_606520"/>
      <w:bookmarkEnd w:id="39096"/>
      <w:r>
        <w:rPr>
          <w:rFonts w:hint="cs"/>
          <w:rtl/>
        </w:rPr>
        <w:t xml:space="preserve">חריף </w:t>
      </w:r>
      <w:bookmarkStart w:id="39097" w:name="_ETM_Q72_607000"/>
      <w:bookmarkEnd w:id="39097"/>
      <w:r>
        <w:rPr>
          <w:rFonts w:hint="cs"/>
          <w:rtl/>
        </w:rPr>
        <w:t xml:space="preserve">מאוד </w:t>
      </w:r>
      <w:bookmarkStart w:id="39098" w:name="_ETM_Q72_607920"/>
      <w:bookmarkEnd w:id="39098"/>
      <w:r>
        <w:rPr>
          <w:rFonts w:hint="cs"/>
          <w:rtl/>
        </w:rPr>
        <w:t xml:space="preserve">על </w:t>
      </w:r>
      <w:bookmarkStart w:id="39099" w:name="_ETM_Q72_608160"/>
      <w:bookmarkEnd w:id="39099"/>
      <w:r>
        <w:rPr>
          <w:rFonts w:hint="cs"/>
          <w:rtl/>
        </w:rPr>
        <w:t xml:space="preserve">ההתפתחויות </w:t>
      </w:r>
      <w:bookmarkStart w:id="39100" w:name="_ETM_Q72_608910"/>
      <w:bookmarkEnd w:id="39100"/>
      <w:r>
        <w:rPr>
          <w:rFonts w:hint="cs"/>
          <w:rtl/>
        </w:rPr>
        <w:t xml:space="preserve">הפוליטיות, </w:t>
      </w:r>
      <w:bookmarkStart w:id="39101" w:name="_ETM_Q72_609510"/>
      <w:bookmarkEnd w:id="39101"/>
      <w:r>
        <w:rPr>
          <w:rFonts w:hint="cs"/>
          <w:rtl/>
        </w:rPr>
        <w:t xml:space="preserve">החברתיות </w:t>
      </w:r>
      <w:bookmarkStart w:id="39102" w:name="_ETM_Q72_610140"/>
      <w:bookmarkEnd w:id="39102"/>
      <w:r>
        <w:rPr>
          <w:rFonts w:hint="cs"/>
          <w:rtl/>
        </w:rPr>
        <w:t xml:space="preserve">והכלכליות </w:t>
      </w:r>
      <w:bookmarkStart w:id="39103" w:name="_ETM_Q72_610860"/>
      <w:bookmarkEnd w:id="39103"/>
      <w:r>
        <w:rPr>
          <w:rFonts w:hint="cs"/>
          <w:rtl/>
        </w:rPr>
        <w:t xml:space="preserve">בישראל </w:t>
      </w:r>
      <w:bookmarkStart w:id="39104" w:name="_ETM_Q72_611970"/>
      <w:bookmarkEnd w:id="39104"/>
      <w:r>
        <w:rPr>
          <w:rFonts w:hint="cs"/>
          <w:rtl/>
        </w:rPr>
        <w:t xml:space="preserve">בחודשים </w:t>
      </w:r>
      <w:bookmarkStart w:id="39105" w:name="_ETM_Q72_612540"/>
      <w:bookmarkEnd w:id="39105"/>
      <w:r>
        <w:rPr>
          <w:rFonts w:hint="cs"/>
          <w:rtl/>
        </w:rPr>
        <w:t xml:space="preserve">האחרונים. </w:t>
      </w:r>
      <w:bookmarkStart w:id="39106" w:name="_ETM_Q72_613890"/>
      <w:bookmarkEnd w:id="39106"/>
      <w:r>
        <w:rPr>
          <w:rFonts w:hint="cs"/>
          <w:rtl/>
        </w:rPr>
        <w:t xml:space="preserve">היא </w:t>
      </w:r>
      <w:bookmarkStart w:id="39107" w:name="_ETM_Q72_614040"/>
      <w:bookmarkEnd w:id="39107"/>
      <w:r>
        <w:rPr>
          <w:rFonts w:hint="cs"/>
          <w:rtl/>
        </w:rPr>
        <w:t xml:space="preserve">קבעה </w:t>
      </w:r>
      <w:bookmarkStart w:id="39108" w:name="_ETM_Q72_616579"/>
      <w:bookmarkEnd w:id="39108"/>
      <w:r>
        <w:rPr>
          <w:rFonts w:hint="cs"/>
          <w:rtl/>
        </w:rPr>
        <w:t xml:space="preserve">כי </w:t>
      </w:r>
      <w:bookmarkStart w:id="39109" w:name="_ETM_Q72_616760"/>
      <w:bookmarkEnd w:id="39109"/>
      <w:r>
        <w:rPr>
          <w:rFonts w:hint="cs"/>
          <w:rtl/>
        </w:rPr>
        <w:t xml:space="preserve">ממשלת </w:t>
      </w:r>
      <w:bookmarkStart w:id="39110" w:name="_ETM_Q72_617209"/>
      <w:bookmarkEnd w:id="39110"/>
      <w:r>
        <w:rPr>
          <w:rFonts w:hint="cs"/>
          <w:rtl/>
        </w:rPr>
        <w:t xml:space="preserve">נתניהו </w:t>
      </w:r>
      <w:bookmarkStart w:id="39111" w:name="_ETM_Q72_617780"/>
      <w:bookmarkEnd w:id="39111"/>
      <w:r>
        <w:rPr>
          <w:rFonts w:hint="cs"/>
          <w:rtl/>
        </w:rPr>
        <w:t xml:space="preserve">פוגעת </w:t>
      </w:r>
      <w:bookmarkStart w:id="39112" w:name="_ETM_Q72_618439"/>
      <w:bookmarkEnd w:id="39112"/>
      <w:r>
        <w:rPr>
          <w:rFonts w:hint="cs"/>
          <w:rtl/>
        </w:rPr>
        <w:t xml:space="preserve">בצעדיה החד-צדדיים בכלכלה </w:t>
      </w:r>
      <w:bookmarkStart w:id="39113" w:name="_ETM_Q72_619220"/>
      <w:bookmarkStart w:id="39114" w:name="_ETM_Q72_620390"/>
      <w:bookmarkStart w:id="39115" w:name="_ETM_Q72_620870"/>
      <w:bookmarkStart w:id="39116" w:name="_ETM_Q72_621950"/>
      <w:bookmarkEnd w:id="39113"/>
      <w:bookmarkEnd w:id="39114"/>
      <w:bookmarkEnd w:id="39115"/>
      <w:bookmarkEnd w:id="39116"/>
      <w:r>
        <w:rPr>
          <w:rFonts w:hint="cs"/>
          <w:rtl/>
        </w:rPr>
        <w:t xml:space="preserve">ובמדינה. במאי השנה </w:t>
      </w:r>
      <w:bookmarkStart w:id="39117" w:name="_ETM_Q72_623579"/>
      <w:bookmarkStart w:id="39118" w:name="_ETM_Q72_624060"/>
      <w:bookmarkStart w:id="39119" w:name="_ETM_Q72_624959"/>
      <w:bookmarkEnd w:id="39117"/>
      <w:bookmarkEnd w:id="39118"/>
      <w:bookmarkEnd w:id="39119"/>
      <w:r>
        <w:rPr>
          <w:rFonts w:hint="cs"/>
          <w:rtl/>
        </w:rPr>
        <w:t xml:space="preserve">חברת </w:t>
      </w:r>
      <w:bookmarkStart w:id="39120" w:name="_ETM_Q72_625560"/>
      <w:bookmarkEnd w:id="39120"/>
      <w:r>
        <w:rPr>
          <w:rFonts w:hint="cs"/>
          <w:rtl/>
        </w:rPr>
        <w:t xml:space="preserve">הדירוג </w:t>
      </w:r>
      <w:bookmarkStart w:id="39121" w:name="_ETM_Q72_626280"/>
      <w:bookmarkStart w:id="39122" w:name="_ETM_Q72_627129"/>
      <w:bookmarkEnd w:id="39121"/>
      <w:bookmarkEnd w:id="39122"/>
      <w:r>
        <w:t>S&amp;P</w:t>
      </w:r>
      <w:r>
        <w:rPr>
          <w:rtl/>
        </w:rPr>
        <w:t xml:space="preserve"> </w:t>
      </w:r>
      <w:r>
        <w:rPr>
          <w:rFonts w:hint="cs"/>
          <w:rtl/>
        </w:rPr>
        <w:t xml:space="preserve">פרסמה </w:t>
      </w:r>
      <w:bookmarkStart w:id="39123" w:name="_ETM_Q72_628560"/>
      <w:bookmarkEnd w:id="39123"/>
      <w:r>
        <w:rPr>
          <w:rFonts w:hint="cs"/>
          <w:rtl/>
        </w:rPr>
        <w:t xml:space="preserve">כי צפויה </w:t>
      </w:r>
      <w:bookmarkStart w:id="39124" w:name="_ETM_Q72_629340"/>
      <w:bookmarkEnd w:id="39124"/>
      <w:r>
        <w:rPr>
          <w:rFonts w:hint="cs"/>
          <w:rtl/>
        </w:rPr>
        <w:t xml:space="preserve">צמיחה </w:t>
      </w:r>
      <w:bookmarkStart w:id="39125" w:name="_ETM_Q72_629790"/>
      <w:bookmarkEnd w:id="39125"/>
      <w:r>
        <w:rPr>
          <w:rFonts w:hint="cs"/>
          <w:rtl/>
        </w:rPr>
        <w:t xml:space="preserve">שלילית </w:t>
      </w:r>
      <w:bookmarkStart w:id="39126" w:name="_ETM_Q72_630390"/>
      <w:bookmarkEnd w:id="39126"/>
      <w:r>
        <w:rPr>
          <w:rFonts w:hint="cs"/>
          <w:rtl/>
        </w:rPr>
        <w:t xml:space="preserve">לנפש </w:t>
      </w:r>
      <w:bookmarkStart w:id="39127" w:name="_ETM_Q72_631560"/>
      <w:bookmarkEnd w:id="39127"/>
      <w:r>
        <w:rPr>
          <w:rFonts w:hint="cs"/>
          <w:rtl/>
        </w:rPr>
        <w:t xml:space="preserve">וירידה </w:t>
      </w:r>
      <w:bookmarkStart w:id="39128" w:name="_ETM_Q72_632670"/>
      <w:bookmarkEnd w:id="39128"/>
      <w:r>
        <w:rPr>
          <w:rFonts w:hint="cs"/>
          <w:rtl/>
        </w:rPr>
        <w:t xml:space="preserve">דרמטית </w:t>
      </w:r>
      <w:bookmarkStart w:id="39129" w:name="_ETM_Q72_633959"/>
      <w:bookmarkEnd w:id="39129"/>
      <w:r>
        <w:rPr>
          <w:rFonts w:hint="cs"/>
          <w:rtl/>
        </w:rPr>
        <w:t xml:space="preserve">בהשקעות </w:t>
      </w:r>
      <w:bookmarkStart w:id="39130" w:name="_ETM_Q72_634860"/>
      <w:bookmarkEnd w:id="39130"/>
      <w:r>
        <w:rPr>
          <w:rFonts w:hint="cs"/>
          <w:rtl/>
        </w:rPr>
        <w:t xml:space="preserve">בישראל </w:t>
      </w:r>
      <w:bookmarkStart w:id="39131" w:name="_ETM_Q72_636370"/>
      <w:bookmarkEnd w:id="39131"/>
      <w:r>
        <w:rPr>
          <w:rFonts w:hint="cs"/>
          <w:rtl/>
        </w:rPr>
        <w:t xml:space="preserve">בעקבות ההפיכה המשפטית. </w:t>
      </w:r>
      <w:bookmarkStart w:id="39132" w:name="_ETM_Q72_636939"/>
      <w:bookmarkStart w:id="39133" w:name="_ETM_Q72_637120"/>
      <w:bookmarkStart w:id="39134" w:name="_ETM_Q72_637480"/>
      <w:bookmarkStart w:id="39135" w:name="_ETM_Q72_637629"/>
      <w:bookmarkStart w:id="39136" w:name="_ETM_Q72_639599"/>
      <w:bookmarkEnd w:id="39132"/>
      <w:bookmarkEnd w:id="39133"/>
      <w:bookmarkEnd w:id="39134"/>
      <w:bookmarkEnd w:id="39135"/>
      <w:bookmarkEnd w:id="39136"/>
      <w:r>
        <w:rPr>
          <w:rFonts w:hint="cs"/>
          <w:rtl/>
        </w:rPr>
        <w:t xml:space="preserve">אנחנו </w:t>
      </w:r>
      <w:bookmarkStart w:id="39137" w:name="_ETM_Q72_639959"/>
      <w:bookmarkEnd w:id="39137"/>
      <w:r>
        <w:rPr>
          <w:rFonts w:hint="cs"/>
          <w:rtl/>
        </w:rPr>
        <w:t xml:space="preserve">רואים </w:t>
      </w:r>
      <w:bookmarkStart w:id="39138" w:name="_ETM_Q72_640230"/>
      <w:bookmarkEnd w:id="39138"/>
      <w:r>
        <w:rPr>
          <w:rFonts w:hint="cs"/>
          <w:rtl/>
        </w:rPr>
        <w:t xml:space="preserve">את </w:t>
      </w:r>
      <w:bookmarkStart w:id="39139" w:name="_ETM_Q72_640319"/>
      <w:bookmarkEnd w:id="39139"/>
      <w:r>
        <w:rPr>
          <w:rFonts w:hint="cs"/>
          <w:rtl/>
        </w:rPr>
        <w:t xml:space="preserve">זה. </w:t>
      </w:r>
      <w:bookmarkStart w:id="39140" w:name="_ETM_Q72_641160"/>
      <w:bookmarkEnd w:id="39140"/>
      <w:r>
        <w:rPr>
          <w:rFonts w:hint="cs"/>
          <w:rtl/>
        </w:rPr>
        <w:t xml:space="preserve">אגב, </w:t>
      </w:r>
      <w:bookmarkStart w:id="39141" w:name="_ETM_Q72_641460"/>
      <w:bookmarkEnd w:id="39141"/>
      <w:r>
        <w:rPr>
          <w:rFonts w:hint="cs"/>
          <w:rtl/>
        </w:rPr>
        <w:t xml:space="preserve">יש </w:t>
      </w:r>
      <w:bookmarkStart w:id="39142" w:name="_ETM_Q72_642300"/>
      <w:bookmarkEnd w:id="39142"/>
      <w:r>
        <w:rPr>
          <w:rFonts w:hint="cs"/>
          <w:rtl/>
        </w:rPr>
        <w:t xml:space="preserve">טענה </w:t>
      </w:r>
      <w:bookmarkStart w:id="39143" w:name="_ETM_Q72_642720"/>
      <w:bookmarkEnd w:id="39143"/>
      <w:r>
        <w:rPr>
          <w:rFonts w:hint="cs"/>
          <w:rtl/>
        </w:rPr>
        <w:t xml:space="preserve">שבעצם </w:t>
      </w:r>
      <w:bookmarkStart w:id="39144" w:name="_ETM_Q72_643290"/>
      <w:bookmarkEnd w:id="39144"/>
      <w:r>
        <w:rPr>
          <w:rFonts w:hint="cs"/>
          <w:rtl/>
        </w:rPr>
        <w:t xml:space="preserve">הפגיעה </w:t>
      </w:r>
      <w:bookmarkStart w:id="39145" w:name="_ETM_Q72_644280"/>
      <w:bookmarkEnd w:id="39145"/>
      <w:r>
        <w:rPr>
          <w:rFonts w:hint="cs"/>
          <w:rtl/>
        </w:rPr>
        <w:t xml:space="preserve">בהייטק, או הירידה </w:t>
      </w:r>
      <w:bookmarkStart w:id="39146" w:name="_ETM_Q72_644760"/>
      <w:bookmarkStart w:id="39147" w:name="_ETM_Q72_645060"/>
      <w:bookmarkStart w:id="39148" w:name="_ETM_Q72_645390"/>
      <w:bookmarkEnd w:id="39146"/>
      <w:bookmarkEnd w:id="39147"/>
      <w:bookmarkEnd w:id="39148"/>
      <w:r>
        <w:rPr>
          <w:rFonts w:hint="cs"/>
          <w:rtl/>
        </w:rPr>
        <w:t xml:space="preserve">בהשקעות, </w:t>
      </w:r>
      <w:bookmarkStart w:id="39149" w:name="_ETM_Q72_646460"/>
      <w:bookmarkEnd w:id="39149"/>
      <w:r>
        <w:rPr>
          <w:rFonts w:hint="cs"/>
          <w:rtl/>
        </w:rPr>
        <w:t xml:space="preserve">החלה </w:t>
      </w:r>
      <w:bookmarkStart w:id="39150" w:name="_ETM_Q72_646850"/>
      <w:bookmarkEnd w:id="39150"/>
      <w:r>
        <w:rPr>
          <w:rFonts w:hint="cs"/>
          <w:rtl/>
        </w:rPr>
        <w:t xml:space="preserve">עוד </w:t>
      </w:r>
      <w:bookmarkStart w:id="39151" w:name="_ETM_Q72_647360"/>
      <w:bookmarkEnd w:id="39151"/>
      <w:r>
        <w:rPr>
          <w:rFonts w:hint="cs"/>
          <w:rtl/>
        </w:rPr>
        <w:t xml:space="preserve">ב-2022, </w:t>
      </w:r>
      <w:bookmarkStart w:id="39152" w:name="_ETM_Q72_649160"/>
      <w:bookmarkEnd w:id="39152"/>
      <w:r>
        <w:rPr>
          <w:rFonts w:hint="cs"/>
          <w:rtl/>
        </w:rPr>
        <w:t xml:space="preserve">וזה </w:t>
      </w:r>
      <w:bookmarkStart w:id="39153" w:name="_ETM_Q72_649370"/>
      <w:bookmarkEnd w:id="39153"/>
      <w:r>
        <w:rPr>
          <w:rFonts w:hint="cs"/>
          <w:rtl/>
        </w:rPr>
        <w:t xml:space="preserve">נכון, </w:t>
      </w:r>
      <w:bookmarkStart w:id="39154" w:name="_ETM_Q72_651400"/>
      <w:bookmarkEnd w:id="39154"/>
      <w:r>
        <w:rPr>
          <w:rFonts w:hint="cs"/>
          <w:rtl/>
        </w:rPr>
        <w:t xml:space="preserve">רק </w:t>
      </w:r>
      <w:bookmarkStart w:id="39155" w:name="_ETM_Q72_651760"/>
      <w:bookmarkEnd w:id="39155"/>
      <w:r>
        <w:rPr>
          <w:rFonts w:hint="cs"/>
          <w:rtl/>
        </w:rPr>
        <w:t xml:space="preserve">שבזמן </w:t>
      </w:r>
      <w:bookmarkStart w:id="39156" w:name="_ETM_Q72_652359"/>
      <w:bookmarkEnd w:id="39156"/>
      <w:r>
        <w:rPr>
          <w:rFonts w:hint="cs"/>
          <w:rtl/>
        </w:rPr>
        <w:t xml:space="preserve">שבעולם </w:t>
      </w:r>
      <w:bookmarkStart w:id="39157" w:name="_ETM_Q72_653480"/>
      <w:bookmarkEnd w:id="39157"/>
      <w:r>
        <w:rPr>
          <w:rFonts w:hint="cs"/>
          <w:rtl/>
        </w:rPr>
        <w:t xml:space="preserve">ההשקעות </w:t>
      </w:r>
      <w:bookmarkStart w:id="39158" w:name="_ETM_Q72_654319"/>
      <w:bookmarkEnd w:id="39158"/>
      <w:r>
        <w:rPr>
          <w:rFonts w:hint="cs"/>
          <w:rtl/>
        </w:rPr>
        <w:t xml:space="preserve">מתאוששות </w:t>
      </w:r>
      <w:bookmarkStart w:id="39159" w:name="_ETM_Q72_655219"/>
      <w:bookmarkEnd w:id="39159"/>
      <w:r>
        <w:rPr>
          <w:rFonts w:hint="cs"/>
          <w:rtl/>
        </w:rPr>
        <w:t xml:space="preserve">כבר </w:t>
      </w:r>
      <w:bookmarkStart w:id="39160" w:name="_ETM_Q72_655730"/>
      <w:bookmarkEnd w:id="39160"/>
      <w:r>
        <w:rPr>
          <w:rFonts w:hint="cs"/>
          <w:rtl/>
        </w:rPr>
        <w:t xml:space="preserve">ברבעון </w:t>
      </w:r>
      <w:bookmarkStart w:id="39161" w:name="_ETM_Q72_656150"/>
      <w:bookmarkEnd w:id="39161"/>
      <w:r>
        <w:rPr>
          <w:rFonts w:hint="cs"/>
          <w:rtl/>
        </w:rPr>
        <w:t xml:space="preserve">השני </w:t>
      </w:r>
      <w:bookmarkStart w:id="39162" w:name="_ETM_Q72_656540"/>
      <w:bookmarkEnd w:id="39162"/>
      <w:r>
        <w:rPr>
          <w:rFonts w:hint="cs"/>
          <w:rtl/>
        </w:rPr>
        <w:t xml:space="preserve">של </w:t>
      </w:r>
      <w:bookmarkStart w:id="39163" w:name="_ETM_Q72_657109"/>
      <w:bookmarkEnd w:id="39163"/>
      <w:r>
        <w:rPr>
          <w:rFonts w:hint="cs"/>
          <w:rtl/>
        </w:rPr>
        <w:t xml:space="preserve">השנה, </w:t>
      </w:r>
      <w:bookmarkStart w:id="39164" w:name="_ETM_Q72_657469"/>
      <w:bookmarkEnd w:id="39164"/>
      <w:r>
        <w:rPr>
          <w:rFonts w:hint="cs"/>
          <w:rtl/>
        </w:rPr>
        <w:t xml:space="preserve">בישראל </w:t>
      </w:r>
      <w:bookmarkStart w:id="39165" w:name="_ETM_Q72_659600"/>
      <w:bookmarkEnd w:id="39165"/>
      <w:r>
        <w:rPr>
          <w:rFonts w:hint="cs"/>
          <w:rtl/>
        </w:rPr>
        <w:t xml:space="preserve">הן ממשיכות </w:t>
      </w:r>
      <w:bookmarkStart w:id="39166" w:name="_ETM_Q72_660140"/>
      <w:bookmarkEnd w:id="39166"/>
      <w:r>
        <w:rPr>
          <w:rFonts w:hint="cs"/>
          <w:rtl/>
        </w:rPr>
        <w:t xml:space="preserve">לרדת, </w:t>
      </w:r>
      <w:bookmarkStart w:id="39167" w:name="_ETM_Q72_661739"/>
      <w:bookmarkEnd w:id="39167"/>
      <w:r>
        <w:rPr>
          <w:rFonts w:hint="cs"/>
          <w:rtl/>
        </w:rPr>
        <w:t xml:space="preserve">והסיבה </w:t>
      </w:r>
      <w:bookmarkStart w:id="39168" w:name="_ETM_Q72_662280"/>
      <w:bookmarkEnd w:id="39168"/>
      <w:r>
        <w:rPr>
          <w:rFonts w:hint="cs"/>
          <w:rtl/>
        </w:rPr>
        <w:t xml:space="preserve">לכך </w:t>
      </w:r>
      <w:bookmarkStart w:id="39169" w:name="_ETM_Q72_662670"/>
      <w:bookmarkEnd w:id="39169"/>
      <w:r>
        <w:rPr>
          <w:rFonts w:hint="cs"/>
          <w:rtl/>
        </w:rPr>
        <w:t xml:space="preserve">היא </w:t>
      </w:r>
      <w:bookmarkStart w:id="39170" w:name="_ETM_Q72_662730"/>
      <w:bookmarkEnd w:id="39170"/>
      <w:r>
        <w:rPr>
          <w:rFonts w:hint="cs"/>
          <w:rtl/>
        </w:rPr>
        <w:t xml:space="preserve">יחידה </w:t>
      </w:r>
      <w:bookmarkStart w:id="39171" w:name="_ETM_Q72_663920"/>
      <w:bookmarkEnd w:id="39171"/>
      <w:r>
        <w:rPr>
          <w:rFonts w:hint="cs"/>
          <w:rtl/>
        </w:rPr>
        <w:t xml:space="preserve">– </w:t>
      </w:r>
      <w:bookmarkStart w:id="39172" w:name="_ETM_Q72_664249"/>
      <w:bookmarkEnd w:id="39172"/>
      <w:r>
        <w:rPr>
          <w:rFonts w:hint="cs"/>
          <w:rtl/>
        </w:rPr>
        <w:t xml:space="preserve">המשך </w:t>
      </w:r>
      <w:bookmarkStart w:id="39173" w:name="_ETM_Q72_665370"/>
      <w:bookmarkStart w:id="39174" w:name="_ETM_Q72_665609"/>
      <w:bookmarkEnd w:id="39173"/>
      <w:bookmarkEnd w:id="39174"/>
      <w:r>
        <w:rPr>
          <w:rFonts w:hint="cs"/>
          <w:rtl/>
        </w:rPr>
        <w:t xml:space="preserve">הניסיון </w:t>
      </w:r>
      <w:bookmarkStart w:id="39175" w:name="_ETM_Q72_666450"/>
      <w:bookmarkEnd w:id="39175"/>
      <w:r>
        <w:rPr>
          <w:rFonts w:hint="cs"/>
          <w:rtl/>
        </w:rPr>
        <w:t xml:space="preserve">של </w:t>
      </w:r>
      <w:bookmarkStart w:id="39176" w:name="_ETM_Q72_666689"/>
      <w:bookmarkEnd w:id="39176"/>
      <w:r>
        <w:rPr>
          <w:rFonts w:hint="cs"/>
          <w:rtl/>
        </w:rPr>
        <w:t xml:space="preserve">הממשלה </w:t>
      </w:r>
      <w:bookmarkStart w:id="39177" w:name="_ETM_Q72_667620"/>
      <w:bookmarkEnd w:id="39177"/>
      <w:r>
        <w:rPr>
          <w:rFonts w:hint="cs"/>
          <w:rtl/>
        </w:rPr>
        <w:t xml:space="preserve">לבצע </w:t>
      </w:r>
      <w:bookmarkStart w:id="39178" w:name="_ETM_Q72_668430"/>
      <w:bookmarkEnd w:id="39178"/>
      <w:r>
        <w:rPr>
          <w:rFonts w:hint="cs"/>
          <w:rtl/>
        </w:rPr>
        <w:t xml:space="preserve">הפיכה </w:t>
      </w:r>
      <w:bookmarkStart w:id="39179" w:name="_ETM_Q72_669120"/>
      <w:bookmarkEnd w:id="39179"/>
      <w:r>
        <w:rPr>
          <w:rFonts w:hint="cs"/>
          <w:rtl/>
        </w:rPr>
        <w:t>משטרית.</w:t>
      </w:r>
    </w:p>
    <w:p w:rsidR="00BB59CD" w:rsidRDefault="00BB59CD" w:rsidP="00BB59CD">
      <w:pPr>
        <w:rPr>
          <w:rtl/>
        </w:rPr>
      </w:pPr>
      <w:bookmarkStart w:id="39180" w:name="_ETM_Q72_673818"/>
      <w:bookmarkStart w:id="39181" w:name="_ETM_Q72_673943"/>
      <w:bookmarkEnd w:id="39180"/>
      <w:bookmarkEnd w:id="39181"/>
    </w:p>
    <w:p w:rsidR="00BB59CD" w:rsidRDefault="00BB59CD" w:rsidP="00BB59CD">
      <w:pPr>
        <w:rPr>
          <w:rtl/>
        </w:rPr>
      </w:pPr>
      <w:bookmarkStart w:id="39182" w:name="_ETM_Q72_671330"/>
      <w:bookmarkEnd w:id="39182"/>
      <w:r>
        <w:rPr>
          <w:rFonts w:hint="cs"/>
          <w:rtl/>
        </w:rPr>
        <w:t xml:space="preserve">כל </w:t>
      </w:r>
      <w:bookmarkStart w:id="39183" w:name="_ETM_Q72_671630"/>
      <w:bookmarkEnd w:id="39183"/>
      <w:r>
        <w:rPr>
          <w:rFonts w:hint="cs"/>
          <w:rtl/>
        </w:rPr>
        <w:t xml:space="preserve">זה </w:t>
      </w:r>
      <w:bookmarkStart w:id="39184" w:name="_ETM_Q72_672110"/>
      <w:bookmarkEnd w:id="39184"/>
      <w:r>
        <w:rPr>
          <w:rFonts w:hint="cs"/>
          <w:rtl/>
        </w:rPr>
        <w:t xml:space="preserve">לא </w:t>
      </w:r>
      <w:bookmarkStart w:id="39185" w:name="_ETM_Q72_672350"/>
      <w:bookmarkEnd w:id="39185"/>
      <w:r>
        <w:rPr>
          <w:rFonts w:hint="cs"/>
          <w:rtl/>
        </w:rPr>
        <w:t xml:space="preserve">מספיק </w:t>
      </w:r>
      <w:bookmarkStart w:id="39186" w:name="_ETM_Q72_672890"/>
      <w:bookmarkEnd w:id="39186"/>
      <w:r>
        <w:rPr>
          <w:rFonts w:hint="cs"/>
          <w:rtl/>
        </w:rPr>
        <w:t xml:space="preserve">לממשלה </w:t>
      </w:r>
      <w:bookmarkStart w:id="39187" w:name="_ETM_Q72_673400"/>
      <w:bookmarkEnd w:id="39187"/>
      <w:r>
        <w:rPr>
          <w:rFonts w:hint="cs"/>
          <w:rtl/>
        </w:rPr>
        <w:t xml:space="preserve">כדי </w:t>
      </w:r>
      <w:bookmarkStart w:id="39188" w:name="_ETM_Q72_673730"/>
      <w:bookmarkEnd w:id="39188"/>
      <w:r>
        <w:rPr>
          <w:rFonts w:hint="cs"/>
          <w:rtl/>
        </w:rPr>
        <w:t xml:space="preserve">לעצור </w:t>
      </w:r>
      <w:bookmarkStart w:id="39189" w:name="_ETM_Q72_675070"/>
      <w:bookmarkEnd w:id="39189"/>
      <w:r>
        <w:rPr>
          <w:rFonts w:hint="cs"/>
          <w:rtl/>
        </w:rPr>
        <w:t xml:space="preserve">את </w:t>
      </w:r>
      <w:bookmarkStart w:id="39190" w:name="_ETM_Q72_675580"/>
      <w:bookmarkEnd w:id="39190"/>
      <w:r>
        <w:rPr>
          <w:rFonts w:hint="cs"/>
          <w:rtl/>
        </w:rPr>
        <w:t xml:space="preserve">התהליך </w:t>
      </w:r>
      <w:bookmarkStart w:id="39191" w:name="_ETM_Q72_675970"/>
      <w:bookmarkEnd w:id="39191"/>
      <w:r>
        <w:rPr>
          <w:rFonts w:hint="cs"/>
          <w:rtl/>
        </w:rPr>
        <w:t xml:space="preserve">המסוכן. </w:t>
      </w:r>
      <w:bookmarkStart w:id="39192" w:name="_ETM_Q72_677669"/>
      <w:bookmarkEnd w:id="39192"/>
      <w:r>
        <w:rPr>
          <w:rFonts w:hint="cs"/>
          <w:rtl/>
        </w:rPr>
        <w:t xml:space="preserve">גם </w:t>
      </w:r>
      <w:bookmarkStart w:id="39193" w:name="_ETM_Q72_677999"/>
      <w:bookmarkEnd w:id="39193"/>
      <w:r>
        <w:rPr>
          <w:rFonts w:hint="cs"/>
          <w:rtl/>
        </w:rPr>
        <w:t xml:space="preserve">כשניסיתי </w:t>
      </w:r>
      <w:bookmarkStart w:id="39194" w:name="_ETM_Q72_678569"/>
      <w:bookmarkEnd w:id="39194"/>
      <w:r>
        <w:rPr>
          <w:rFonts w:hint="cs"/>
          <w:rtl/>
        </w:rPr>
        <w:t xml:space="preserve">כמרכז </w:t>
      </w:r>
      <w:bookmarkStart w:id="39195" w:name="_ETM_Q72_679169"/>
      <w:bookmarkEnd w:id="39195"/>
      <w:r>
        <w:rPr>
          <w:rFonts w:hint="cs"/>
          <w:rtl/>
        </w:rPr>
        <w:t xml:space="preserve">האופוזיציה </w:t>
      </w:r>
      <w:bookmarkStart w:id="39196" w:name="_ETM_Q72_679829"/>
      <w:bookmarkEnd w:id="39196"/>
      <w:r>
        <w:rPr>
          <w:rFonts w:hint="cs"/>
          <w:rtl/>
        </w:rPr>
        <w:t xml:space="preserve">בוועדת </w:t>
      </w:r>
      <w:bookmarkStart w:id="39197" w:name="_ETM_Q72_680219"/>
      <w:bookmarkEnd w:id="39197"/>
      <w:r>
        <w:rPr>
          <w:rFonts w:hint="cs"/>
          <w:rtl/>
        </w:rPr>
        <w:t xml:space="preserve">הכספים </w:t>
      </w:r>
      <w:bookmarkStart w:id="39198" w:name="_ETM_Q72_680669"/>
      <w:bookmarkEnd w:id="39198"/>
      <w:r>
        <w:rPr>
          <w:rFonts w:hint="cs"/>
          <w:rtl/>
        </w:rPr>
        <w:t xml:space="preserve">לקיים </w:t>
      </w:r>
      <w:bookmarkStart w:id="39199" w:name="_ETM_Q72_681180"/>
      <w:bookmarkEnd w:id="39199"/>
      <w:r>
        <w:rPr>
          <w:rFonts w:hint="cs"/>
          <w:rtl/>
        </w:rPr>
        <w:t xml:space="preserve">דיון </w:t>
      </w:r>
      <w:bookmarkStart w:id="39200" w:name="_ETM_Q72_681779"/>
      <w:bookmarkEnd w:id="39200"/>
      <w:r>
        <w:rPr>
          <w:rFonts w:hint="cs"/>
          <w:rtl/>
        </w:rPr>
        <w:t xml:space="preserve">מהותי </w:t>
      </w:r>
      <w:bookmarkStart w:id="39201" w:name="_ETM_Q72_682260"/>
      <w:bookmarkEnd w:id="39201"/>
      <w:r>
        <w:rPr>
          <w:rFonts w:hint="cs"/>
          <w:rtl/>
        </w:rPr>
        <w:t xml:space="preserve">ומקצועי </w:t>
      </w:r>
      <w:bookmarkStart w:id="39202" w:name="_ETM_Q72_682919"/>
      <w:bookmarkEnd w:id="39202"/>
      <w:r>
        <w:rPr>
          <w:rFonts w:hint="cs"/>
          <w:rtl/>
        </w:rPr>
        <w:t xml:space="preserve">על </w:t>
      </w:r>
      <w:bookmarkStart w:id="39203" w:name="_ETM_Q72_683040"/>
      <w:bookmarkEnd w:id="39203"/>
      <w:r>
        <w:rPr>
          <w:rFonts w:hint="cs"/>
          <w:rtl/>
        </w:rPr>
        <w:t xml:space="preserve">ההשלכות </w:t>
      </w:r>
      <w:bookmarkStart w:id="39204" w:name="_ETM_Q72_683489"/>
      <w:bookmarkEnd w:id="39204"/>
      <w:r>
        <w:rPr>
          <w:rFonts w:hint="cs"/>
          <w:rtl/>
        </w:rPr>
        <w:t xml:space="preserve">הצפויות </w:t>
      </w:r>
      <w:bookmarkStart w:id="39205" w:name="_ETM_Q72_684750"/>
      <w:bookmarkEnd w:id="39205"/>
      <w:r>
        <w:rPr>
          <w:rFonts w:hint="cs"/>
          <w:rtl/>
        </w:rPr>
        <w:t xml:space="preserve">של </w:t>
      </w:r>
      <w:bookmarkStart w:id="39206" w:name="_ETM_Q72_685170"/>
      <w:bookmarkEnd w:id="39206"/>
      <w:r>
        <w:rPr>
          <w:rFonts w:hint="cs"/>
          <w:rtl/>
        </w:rPr>
        <w:t xml:space="preserve">ההפיכה </w:t>
      </w:r>
      <w:bookmarkStart w:id="39207" w:name="_ETM_Q72_685590"/>
      <w:bookmarkEnd w:id="39207"/>
      <w:r>
        <w:rPr>
          <w:rFonts w:hint="cs"/>
          <w:rtl/>
        </w:rPr>
        <w:t xml:space="preserve">המשטרית, </w:t>
      </w:r>
      <w:bookmarkStart w:id="39208" w:name="_ETM_Q72_686849"/>
      <w:bookmarkEnd w:id="39208"/>
      <w:r>
        <w:rPr>
          <w:rFonts w:hint="cs"/>
          <w:rtl/>
        </w:rPr>
        <w:t xml:space="preserve">לא </w:t>
      </w:r>
      <w:bookmarkStart w:id="39209" w:name="_ETM_Q72_687239"/>
      <w:bookmarkEnd w:id="39209"/>
      <w:r>
        <w:rPr>
          <w:rFonts w:hint="cs"/>
          <w:rtl/>
        </w:rPr>
        <w:t xml:space="preserve">הגיעו </w:t>
      </w:r>
      <w:bookmarkStart w:id="39210" w:name="_ETM_Q72_687629"/>
      <w:bookmarkEnd w:id="39210"/>
      <w:r>
        <w:rPr>
          <w:rFonts w:hint="cs"/>
          <w:rtl/>
        </w:rPr>
        <w:t xml:space="preserve">נציגים </w:t>
      </w:r>
      <w:bookmarkStart w:id="39211" w:name="_ETM_Q72_688110"/>
      <w:bookmarkEnd w:id="39211"/>
      <w:r>
        <w:rPr>
          <w:rFonts w:hint="cs"/>
          <w:rtl/>
        </w:rPr>
        <w:t xml:space="preserve">של </w:t>
      </w:r>
      <w:bookmarkStart w:id="39212" w:name="_ETM_Q72_688379"/>
      <w:bookmarkEnd w:id="39212"/>
      <w:r>
        <w:rPr>
          <w:rFonts w:hint="cs"/>
          <w:rtl/>
        </w:rPr>
        <w:t xml:space="preserve">משרדי </w:t>
      </w:r>
      <w:bookmarkStart w:id="39213" w:name="_ETM_Q72_689220"/>
      <w:bookmarkStart w:id="39214" w:name="_ETM_Q72_689640"/>
      <w:bookmarkEnd w:id="39213"/>
      <w:bookmarkEnd w:id="39214"/>
      <w:r>
        <w:rPr>
          <w:rFonts w:hint="cs"/>
          <w:rtl/>
        </w:rPr>
        <w:t xml:space="preserve">ממשלה </w:t>
      </w:r>
      <w:bookmarkStart w:id="39215" w:name="_ETM_Q72_690390"/>
      <w:bookmarkEnd w:id="39215"/>
      <w:r>
        <w:rPr>
          <w:rFonts w:hint="cs"/>
          <w:rtl/>
        </w:rPr>
        <w:t xml:space="preserve">– לא משרד </w:t>
      </w:r>
      <w:bookmarkStart w:id="39216" w:name="_ETM_Q72_690900"/>
      <w:bookmarkEnd w:id="39216"/>
      <w:r>
        <w:rPr>
          <w:rFonts w:hint="cs"/>
          <w:rtl/>
        </w:rPr>
        <w:t xml:space="preserve">האוצר, </w:t>
      </w:r>
      <w:bookmarkStart w:id="39217" w:name="_ETM_Q72_691709"/>
      <w:bookmarkEnd w:id="39217"/>
      <w:r>
        <w:rPr>
          <w:rFonts w:hint="cs"/>
          <w:rtl/>
        </w:rPr>
        <w:t xml:space="preserve">לא משרד </w:t>
      </w:r>
      <w:bookmarkStart w:id="39218" w:name="_ETM_Q72_692189"/>
      <w:bookmarkEnd w:id="39218"/>
      <w:r>
        <w:rPr>
          <w:rFonts w:hint="cs"/>
          <w:rtl/>
        </w:rPr>
        <w:t xml:space="preserve">הכלכלה, </w:t>
      </w:r>
      <w:bookmarkStart w:id="39219" w:name="_ETM_Q72_692670"/>
      <w:bookmarkEnd w:id="39219"/>
      <w:r>
        <w:rPr>
          <w:rFonts w:hint="cs"/>
          <w:rtl/>
        </w:rPr>
        <w:t xml:space="preserve">לא משרד </w:t>
      </w:r>
      <w:bookmarkStart w:id="39220" w:name="_ETM_Q72_693120"/>
      <w:bookmarkEnd w:id="39220"/>
      <w:r>
        <w:rPr>
          <w:rFonts w:hint="cs"/>
          <w:rtl/>
        </w:rPr>
        <w:t xml:space="preserve">המשפטים – </w:t>
      </w:r>
      <w:bookmarkStart w:id="39221" w:name="_ETM_Q72_694069"/>
      <w:bookmarkEnd w:id="39221"/>
      <w:r>
        <w:rPr>
          <w:rFonts w:hint="cs"/>
          <w:rtl/>
        </w:rPr>
        <w:t xml:space="preserve">ולא </w:t>
      </w:r>
      <w:bookmarkStart w:id="39222" w:name="_ETM_Q72_694580"/>
      <w:bookmarkEnd w:id="39222"/>
      <w:r>
        <w:rPr>
          <w:rFonts w:hint="cs"/>
          <w:rtl/>
        </w:rPr>
        <w:t xml:space="preserve">התקיים </w:t>
      </w:r>
      <w:bookmarkStart w:id="39223" w:name="_ETM_Q72_695890"/>
      <w:bookmarkEnd w:id="39223"/>
      <w:r>
        <w:rPr>
          <w:rFonts w:hint="cs"/>
          <w:rtl/>
        </w:rPr>
        <w:t xml:space="preserve">דיון </w:t>
      </w:r>
      <w:bookmarkStart w:id="39224" w:name="_ETM_Q72_696459"/>
      <w:bookmarkEnd w:id="39224"/>
      <w:r>
        <w:rPr>
          <w:rFonts w:hint="cs"/>
          <w:rtl/>
        </w:rPr>
        <w:t xml:space="preserve">הולם </w:t>
      </w:r>
      <w:bookmarkStart w:id="39225" w:name="_ETM_Q72_697779"/>
      <w:bookmarkEnd w:id="39225"/>
      <w:r>
        <w:rPr>
          <w:rFonts w:hint="cs"/>
          <w:rtl/>
        </w:rPr>
        <w:t xml:space="preserve">כפי </w:t>
      </w:r>
      <w:bookmarkStart w:id="39226" w:name="_ETM_Q72_697959"/>
      <w:bookmarkEnd w:id="39226"/>
      <w:r>
        <w:rPr>
          <w:rFonts w:hint="cs"/>
          <w:rtl/>
        </w:rPr>
        <w:t xml:space="preserve">שמגיע </w:t>
      </w:r>
      <w:bookmarkStart w:id="39227" w:name="_ETM_Q72_698469"/>
      <w:bookmarkEnd w:id="39227"/>
      <w:r>
        <w:rPr>
          <w:rFonts w:hint="cs"/>
          <w:rtl/>
        </w:rPr>
        <w:t xml:space="preserve">לוועדת </w:t>
      </w:r>
      <w:bookmarkStart w:id="39228" w:name="_ETM_Q72_698769"/>
      <w:bookmarkEnd w:id="39228"/>
      <w:r>
        <w:rPr>
          <w:rFonts w:hint="cs"/>
          <w:rtl/>
        </w:rPr>
        <w:t xml:space="preserve">הכספים </w:t>
      </w:r>
      <w:bookmarkStart w:id="39229" w:name="_ETM_Q72_699159"/>
      <w:bookmarkEnd w:id="39229"/>
      <w:r>
        <w:rPr>
          <w:rFonts w:hint="cs"/>
          <w:rtl/>
        </w:rPr>
        <w:t xml:space="preserve">של </w:t>
      </w:r>
      <w:bookmarkStart w:id="39230" w:name="_ETM_Q72_699279"/>
      <w:bookmarkEnd w:id="39230"/>
      <w:r>
        <w:rPr>
          <w:rFonts w:hint="cs"/>
          <w:rtl/>
        </w:rPr>
        <w:t xml:space="preserve">הכנסת. </w:t>
      </w:r>
      <w:bookmarkStart w:id="39231" w:name="_ETM_Q72_700089"/>
      <w:bookmarkStart w:id="39232" w:name="_ETM_Q72_703438"/>
      <w:bookmarkStart w:id="39233" w:name="_ETM_Q72_703505"/>
      <w:bookmarkStart w:id="39234" w:name="_ETM_Q72_703580"/>
      <w:bookmarkStart w:id="39235" w:name="_ETM_Q72_703661"/>
      <w:bookmarkEnd w:id="39231"/>
      <w:bookmarkEnd w:id="39232"/>
      <w:bookmarkEnd w:id="39233"/>
      <w:bookmarkEnd w:id="39234"/>
      <w:bookmarkEnd w:id="39235"/>
      <w:r>
        <w:rPr>
          <w:rFonts w:hint="cs"/>
          <w:rtl/>
        </w:rPr>
        <w:t xml:space="preserve">מה </w:t>
      </w:r>
      <w:bookmarkStart w:id="39236" w:name="_ETM_Q72_700329"/>
      <w:bookmarkEnd w:id="39236"/>
      <w:r>
        <w:rPr>
          <w:rFonts w:hint="cs"/>
          <w:rtl/>
        </w:rPr>
        <w:t xml:space="preserve">כן? </w:t>
      </w:r>
      <w:bookmarkStart w:id="39237" w:name="_ETM_Q72_702170"/>
      <w:bookmarkEnd w:id="39237"/>
      <w:r>
        <w:rPr>
          <w:rFonts w:hint="cs"/>
          <w:rtl/>
        </w:rPr>
        <w:t xml:space="preserve">עכשיו </w:t>
      </w:r>
      <w:bookmarkStart w:id="39238" w:name="_ETM_Q72_703130"/>
      <w:bookmarkEnd w:id="39238"/>
      <w:r>
        <w:rPr>
          <w:rFonts w:hint="cs"/>
          <w:rtl/>
        </w:rPr>
        <w:t xml:space="preserve">אתם </w:t>
      </w:r>
      <w:bookmarkStart w:id="39239" w:name="_ETM_Q72_703309"/>
      <w:bookmarkEnd w:id="39239"/>
      <w:r>
        <w:rPr>
          <w:rFonts w:hint="cs"/>
          <w:rtl/>
        </w:rPr>
        <w:t xml:space="preserve">חייבים </w:t>
      </w:r>
      <w:bookmarkStart w:id="39240" w:name="_ETM_Q72_703610"/>
      <w:bookmarkStart w:id="39241" w:name="_ETM_Q72_704300"/>
      <w:bookmarkEnd w:id="39240"/>
      <w:bookmarkEnd w:id="39241"/>
      <w:r>
        <w:rPr>
          <w:rFonts w:hint="cs"/>
          <w:rtl/>
        </w:rPr>
        <w:t xml:space="preserve">להקשיב </w:t>
      </w:r>
      <w:bookmarkStart w:id="39242" w:name="_ETM_Q72_704990"/>
      <w:bookmarkEnd w:id="39242"/>
      <w:r>
        <w:rPr>
          <w:rFonts w:hint="cs"/>
          <w:rtl/>
        </w:rPr>
        <w:t xml:space="preserve">לרמת </w:t>
      </w:r>
      <w:bookmarkStart w:id="39243" w:name="_ETM_Q72_705470"/>
      <w:bookmarkEnd w:id="39243"/>
      <w:r>
        <w:rPr>
          <w:rFonts w:hint="cs"/>
          <w:rtl/>
        </w:rPr>
        <w:t xml:space="preserve">הניתוק </w:t>
      </w:r>
      <w:bookmarkStart w:id="39244" w:name="_ETM_Q72_705950"/>
      <w:bookmarkEnd w:id="39244"/>
      <w:r>
        <w:rPr>
          <w:rFonts w:hint="cs"/>
          <w:rtl/>
        </w:rPr>
        <w:t xml:space="preserve">והטרלול: </w:t>
      </w:r>
      <w:bookmarkStart w:id="39245" w:name="_ETM_Q72_707564"/>
      <w:bookmarkStart w:id="39246" w:name="_ETM_Q72_707697"/>
      <w:bookmarkStart w:id="39247" w:name="_ETM_Q72_707741"/>
      <w:bookmarkStart w:id="39248" w:name="_ETM_Q72_707829"/>
      <w:bookmarkEnd w:id="39245"/>
      <w:bookmarkEnd w:id="39246"/>
      <w:bookmarkEnd w:id="39247"/>
      <w:bookmarkEnd w:id="39248"/>
      <w:r>
        <w:rPr>
          <w:rFonts w:hint="cs"/>
          <w:rtl/>
        </w:rPr>
        <w:t xml:space="preserve">יו"ר </w:t>
      </w:r>
      <w:bookmarkStart w:id="39249" w:name="_ETM_Q72_706784"/>
      <w:bookmarkEnd w:id="39249"/>
      <w:r>
        <w:rPr>
          <w:rFonts w:hint="cs"/>
          <w:rtl/>
        </w:rPr>
        <w:t xml:space="preserve">הוועדה </w:t>
      </w:r>
      <w:bookmarkStart w:id="39250" w:name="_ETM_Q72_707200"/>
      <w:bookmarkStart w:id="39251" w:name="_ETM_Q72_707590"/>
      <w:bookmarkStart w:id="39252" w:name="_ETM_Q72_708500"/>
      <w:bookmarkStart w:id="39253" w:name="_ETM_Q72_708920"/>
      <w:bookmarkStart w:id="39254" w:name="_ETM_Q72_709700"/>
      <w:bookmarkStart w:id="39255" w:name="_ETM_Q72_709909"/>
      <w:bookmarkEnd w:id="39250"/>
      <w:bookmarkEnd w:id="39251"/>
      <w:bookmarkEnd w:id="39252"/>
      <w:bookmarkEnd w:id="39253"/>
      <w:bookmarkEnd w:id="39254"/>
      <w:bookmarkEnd w:id="39255"/>
      <w:r>
        <w:rPr>
          <w:rFonts w:hint="cs"/>
          <w:rtl/>
        </w:rPr>
        <w:t xml:space="preserve">מיהר לפסוק כי אין </w:t>
      </w:r>
      <w:bookmarkStart w:id="39256" w:name="_ETM_Q72_710179"/>
      <w:bookmarkEnd w:id="39256"/>
      <w:r>
        <w:rPr>
          <w:rFonts w:hint="cs"/>
          <w:rtl/>
        </w:rPr>
        <w:t xml:space="preserve">כל </w:t>
      </w:r>
      <w:bookmarkStart w:id="39257" w:name="_ETM_Q72_710390"/>
      <w:bookmarkEnd w:id="39257"/>
      <w:r>
        <w:rPr>
          <w:rFonts w:hint="cs"/>
          <w:rtl/>
        </w:rPr>
        <w:t xml:space="preserve">קשר </w:t>
      </w:r>
      <w:bookmarkStart w:id="39258" w:name="_ETM_Q72_711390"/>
      <w:bookmarkEnd w:id="39258"/>
      <w:r>
        <w:rPr>
          <w:rFonts w:hint="cs"/>
          <w:rtl/>
        </w:rPr>
        <w:t xml:space="preserve">בין </w:t>
      </w:r>
      <w:bookmarkStart w:id="39259" w:name="_ETM_Q72_711659"/>
      <w:bookmarkEnd w:id="39259"/>
      <w:r>
        <w:rPr>
          <w:rFonts w:hint="cs"/>
          <w:rtl/>
        </w:rPr>
        <w:t xml:space="preserve">הרפורמה </w:t>
      </w:r>
      <w:bookmarkStart w:id="39260" w:name="_ETM_Q72_712200"/>
      <w:bookmarkEnd w:id="39260"/>
      <w:r>
        <w:rPr>
          <w:rFonts w:hint="cs"/>
          <w:rtl/>
        </w:rPr>
        <w:t xml:space="preserve">במערכת </w:t>
      </w:r>
      <w:bookmarkStart w:id="39261" w:name="_ETM_Q72_712739"/>
      <w:bookmarkEnd w:id="39261"/>
      <w:r>
        <w:rPr>
          <w:rFonts w:hint="cs"/>
          <w:rtl/>
        </w:rPr>
        <w:t xml:space="preserve">המשפט </w:t>
      </w:r>
      <w:bookmarkStart w:id="39262" w:name="_ETM_Q72_713860"/>
      <w:bookmarkEnd w:id="39262"/>
      <w:r>
        <w:rPr>
          <w:rFonts w:hint="cs"/>
          <w:rtl/>
        </w:rPr>
        <w:t xml:space="preserve">לפגיעה </w:t>
      </w:r>
      <w:bookmarkStart w:id="39263" w:name="_ETM_Q72_714670"/>
      <w:bookmarkEnd w:id="39263"/>
      <w:r>
        <w:rPr>
          <w:rFonts w:hint="cs"/>
          <w:rtl/>
        </w:rPr>
        <w:t xml:space="preserve">בכלכלת </w:t>
      </w:r>
      <w:bookmarkStart w:id="39264" w:name="_ETM_Q72_715209"/>
      <w:bookmarkEnd w:id="39264"/>
      <w:r>
        <w:rPr>
          <w:rFonts w:hint="cs"/>
          <w:rtl/>
        </w:rPr>
        <w:t xml:space="preserve">ישראל, </w:t>
      </w:r>
      <w:bookmarkStart w:id="39265" w:name="_ETM_Q72_715929"/>
      <w:bookmarkStart w:id="39266" w:name="_ETM_Q72_716470"/>
      <w:bookmarkEnd w:id="39265"/>
      <w:bookmarkEnd w:id="39266"/>
      <w:r>
        <w:rPr>
          <w:rFonts w:hint="cs"/>
          <w:rtl/>
        </w:rPr>
        <w:t xml:space="preserve">וכך </w:t>
      </w:r>
      <w:bookmarkStart w:id="39267" w:name="_ETM_Q72_716830"/>
      <w:bookmarkEnd w:id="39267"/>
      <w:r>
        <w:rPr>
          <w:rFonts w:hint="cs"/>
          <w:rtl/>
        </w:rPr>
        <w:t xml:space="preserve">גם </w:t>
      </w:r>
      <w:bookmarkStart w:id="39268" w:name="_ETM_Q72_717010"/>
      <w:bookmarkEnd w:id="39268"/>
      <w:r>
        <w:rPr>
          <w:rFonts w:hint="cs"/>
          <w:rtl/>
        </w:rPr>
        <w:t xml:space="preserve">הצביע; </w:t>
      </w:r>
      <w:bookmarkStart w:id="39269" w:name="_ETM_Q72_718190"/>
      <w:bookmarkEnd w:id="39269"/>
      <w:r>
        <w:rPr>
          <w:rFonts w:hint="cs"/>
          <w:rtl/>
        </w:rPr>
        <w:t xml:space="preserve">עשה </w:t>
      </w:r>
      <w:bookmarkStart w:id="39270" w:name="_ETM_Q72_718490"/>
      <w:bookmarkEnd w:id="39270"/>
      <w:r>
        <w:rPr>
          <w:rFonts w:hint="cs"/>
          <w:rtl/>
        </w:rPr>
        <w:t xml:space="preserve">גיוס </w:t>
      </w:r>
      <w:bookmarkStart w:id="39271" w:name="_ETM_Q72_719750"/>
      <w:bookmarkStart w:id="39272" w:name="_ETM_Q72_720110"/>
      <w:bookmarkStart w:id="39273" w:name="_ETM_Q72_720650"/>
      <w:bookmarkEnd w:id="39271"/>
      <w:bookmarkEnd w:id="39272"/>
      <w:bookmarkEnd w:id="39273"/>
      <w:r>
        <w:rPr>
          <w:rFonts w:hint="cs"/>
          <w:rtl/>
        </w:rPr>
        <w:t xml:space="preserve">של </w:t>
      </w:r>
      <w:bookmarkStart w:id="39274" w:name="_ETM_Q72_721159"/>
      <w:bookmarkEnd w:id="39274"/>
      <w:r>
        <w:rPr>
          <w:rFonts w:hint="cs"/>
          <w:rtl/>
        </w:rPr>
        <w:t xml:space="preserve">חברי </w:t>
      </w:r>
      <w:bookmarkStart w:id="39275" w:name="_ETM_Q72_721549"/>
      <w:bookmarkEnd w:id="39275"/>
      <w:r>
        <w:rPr>
          <w:rFonts w:hint="cs"/>
          <w:rtl/>
        </w:rPr>
        <w:t xml:space="preserve">הקואליציה, </w:t>
      </w:r>
      <w:bookmarkStart w:id="39276" w:name="_ETM_Q72_722209"/>
      <w:bookmarkEnd w:id="39276"/>
      <w:r>
        <w:rPr>
          <w:rFonts w:hint="cs"/>
          <w:rtl/>
        </w:rPr>
        <w:t xml:space="preserve">והם באו </w:t>
      </w:r>
      <w:bookmarkStart w:id="39277" w:name="_ETM_Q72_723019"/>
      <w:bookmarkEnd w:id="39277"/>
      <w:r>
        <w:rPr>
          <w:rFonts w:hint="cs"/>
          <w:rtl/>
        </w:rPr>
        <w:t xml:space="preserve">להרים </w:t>
      </w:r>
      <w:bookmarkStart w:id="39278" w:name="_ETM_Q72_723559"/>
      <w:bookmarkEnd w:id="39278"/>
      <w:r>
        <w:rPr>
          <w:rFonts w:hint="cs"/>
          <w:rtl/>
        </w:rPr>
        <w:t xml:space="preserve">יד </w:t>
      </w:r>
      <w:bookmarkStart w:id="39279" w:name="_ETM_Q72_723920"/>
      <w:bookmarkEnd w:id="39279"/>
      <w:r>
        <w:rPr>
          <w:rFonts w:hint="cs"/>
          <w:rtl/>
        </w:rPr>
        <w:t xml:space="preserve">על </w:t>
      </w:r>
      <w:bookmarkStart w:id="39280" w:name="_ETM_Q72_724069"/>
      <w:bookmarkEnd w:id="39280"/>
      <w:r>
        <w:rPr>
          <w:rFonts w:hint="cs"/>
          <w:rtl/>
        </w:rPr>
        <w:t xml:space="preserve">משהו </w:t>
      </w:r>
      <w:bookmarkStart w:id="39281" w:name="_ETM_Q72_725209"/>
      <w:bookmarkEnd w:id="39281"/>
      <w:r>
        <w:rPr>
          <w:rFonts w:hint="cs"/>
          <w:rtl/>
        </w:rPr>
        <w:t xml:space="preserve">שאין </w:t>
      </w:r>
      <w:bookmarkStart w:id="39282" w:name="_ETM_Q72_725450"/>
      <w:bookmarkEnd w:id="39282"/>
      <w:r>
        <w:rPr>
          <w:rFonts w:hint="cs"/>
          <w:rtl/>
        </w:rPr>
        <w:t xml:space="preserve">להם </w:t>
      </w:r>
      <w:bookmarkStart w:id="39283" w:name="_ETM_Q72_725629"/>
      <w:bookmarkEnd w:id="39283"/>
      <w:r>
        <w:rPr>
          <w:rFonts w:hint="cs"/>
          <w:rtl/>
        </w:rPr>
        <w:t xml:space="preserve">שמץ </w:t>
      </w:r>
      <w:bookmarkStart w:id="39284" w:name="_ETM_Q72_726320"/>
      <w:bookmarkEnd w:id="39284"/>
      <w:r>
        <w:rPr>
          <w:rFonts w:hint="cs"/>
          <w:rtl/>
        </w:rPr>
        <w:t xml:space="preserve">של </w:t>
      </w:r>
      <w:bookmarkStart w:id="39285" w:name="_ETM_Q72_726590"/>
      <w:bookmarkEnd w:id="39285"/>
      <w:r>
        <w:rPr>
          <w:rFonts w:hint="cs"/>
          <w:rtl/>
        </w:rPr>
        <w:t xml:space="preserve">מושג </w:t>
      </w:r>
      <w:bookmarkStart w:id="39286" w:name="_ETM_Q72_728189"/>
      <w:bookmarkEnd w:id="39286"/>
      <w:r>
        <w:rPr>
          <w:rFonts w:hint="cs"/>
          <w:rtl/>
        </w:rPr>
        <w:t xml:space="preserve">בו. פשוט </w:t>
      </w:r>
      <w:bookmarkStart w:id="39287" w:name="_ETM_Q72_728670"/>
      <w:bookmarkEnd w:id="39287"/>
      <w:r>
        <w:rPr>
          <w:rFonts w:hint="cs"/>
          <w:rtl/>
        </w:rPr>
        <w:t xml:space="preserve">חרפה </w:t>
      </w:r>
      <w:bookmarkStart w:id="39288" w:name="_ETM_Q72_729239"/>
      <w:bookmarkEnd w:id="39288"/>
      <w:r>
        <w:rPr>
          <w:rFonts w:hint="cs"/>
          <w:rtl/>
        </w:rPr>
        <w:t xml:space="preserve">לוועדה. </w:t>
      </w:r>
      <w:bookmarkStart w:id="39289" w:name="_ETM_Q72_731870"/>
      <w:bookmarkEnd w:id="39289"/>
      <w:r>
        <w:rPr>
          <w:rFonts w:hint="cs"/>
          <w:rtl/>
        </w:rPr>
        <w:t xml:space="preserve">איפה </w:t>
      </w:r>
      <w:bookmarkStart w:id="39290" w:name="_ETM_Q72_732200"/>
      <w:bookmarkEnd w:id="39290"/>
      <w:r>
        <w:rPr>
          <w:rFonts w:hint="cs"/>
          <w:rtl/>
        </w:rPr>
        <w:t xml:space="preserve">כן </w:t>
      </w:r>
      <w:bookmarkStart w:id="39291" w:name="_ETM_Q72_732469"/>
      <w:bookmarkEnd w:id="39291"/>
      <w:r>
        <w:rPr>
          <w:rFonts w:hint="cs"/>
          <w:rtl/>
        </w:rPr>
        <w:t xml:space="preserve">הקואליציה </w:t>
      </w:r>
      <w:bookmarkStart w:id="39292" w:name="_ETM_Q72_733010"/>
      <w:bookmarkEnd w:id="39292"/>
      <w:r>
        <w:rPr>
          <w:rFonts w:hint="cs"/>
          <w:rtl/>
        </w:rPr>
        <w:t xml:space="preserve">התגייסה? </w:t>
      </w:r>
      <w:bookmarkStart w:id="39293" w:name="_ETM_Q72_734559"/>
      <w:bookmarkEnd w:id="39293"/>
      <w:r>
        <w:rPr>
          <w:rFonts w:hint="cs"/>
          <w:rtl/>
        </w:rPr>
        <w:t xml:space="preserve">בדיון </w:t>
      </w:r>
      <w:bookmarkStart w:id="39294" w:name="_ETM_Q72_735070"/>
      <w:bookmarkEnd w:id="39294"/>
      <w:r>
        <w:rPr>
          <w:rFonts w:hint="cs"/>
          <w:rtl/>
        </w:rPr>
        <w:t xml:space="preserve">המפורסם </w:t>
      </w:r>
      <w:bookmarkStart w:id="39295" w:name="_ETM_Q72_735730"/>
      <w:bookmarkEnd w:id="39295"/>
      <w:r>
        <w:rPr>
          <w:rFonts w:hint="cs"/>
          <w:rtl/>
        </w:rPr>
        <w:t xml:space="preserve">על </w:t>
      </w:r>
      <w:bookmarkStart w:id="39296" w:name="_ETM_Q72_735850"/>
      <w:bookmarkEnd w:id="39296"/>
      <w:r>
        <w:rPr>
          <w:rFonts w:hint="cs"/>
          <w:rtl/>
        </w:rPr>
        <w:t xml:space="preserve">מימון </w:t>
      </w:r>
      <w:bookmarkStart w:id="39297" w:name="_ETM_Q72_736300"/>
      <w:bookmarkEnd w:id="39297"/>
      <w:r>
        <w:rPr>
          <w:rFonts w:hint="cs"/>
          <w:rtl/>
        </w:rPr>
        <w:t xml:space="preserve">הבתים </w:t>
      </w:r>
      <w:bookmarkStart w:id="39298" w:name="_ETM_Q72_737260"/>
      <w:bookmarkEnd w:id="39298"/>
      <w:r>
        <w:rPr>
          <w:rFonts w:hint="cs"/>
          <w:rtl/>
        </w:rPr>
        <w:t xml:space="preserve">של </w:t>
      </w:r>
      <w:bookmarkStart w:id="39299" w:name="_ETM_Q72_737470"/>
      <w:bookmarkEnd w:id="39299"/>
      <w:r>
        <w:rPr>
          <w:rFonts w:hint="cs"/>
          <w:rtl/>
        </w:rPr>
        <w:t xml:space="preserve">ראש </w:t>
      </w:r>
      <w:bookmarkStart w:id="39300" w:name="_ETM_Q72_737679"/>
      <w:bookmarkEnd w:id="39300"/>
      <w:r>
        <w:rPr>
          <w:rFonts w:hint="cs"/>
          <w:rtl/>
        </w:rPr>
        <w:t xml:space="preserve">הממשלה. </w:t>
      </w:r>
      <w:bookmarkStart w:id="39301" w:name="_ETM_Q72_738650"/>
      <w:bookmarkEnd w:id="39301"/>
      <w:r>
        <w:rPr>
          <w:rFonts w:hint="cs"/>
          <w:rtl/>
        </w:rPr>
        <w:t xml:space="preserve">לא </w:t>
      </w:r>
      <w:bookmarkStart w:id="39302" w:name="_ETM_Q72_738800"/>
      <w:bookmarkEnd w:id="39302"/>
      <w:r>
        <w:rPr>
          <w:rFonts w:hint="cs"/>
          <w:rtl/>
        </w:rPr>
        <w:t xml:space="preserve">פחות </w:t>
      </w:r>
      <w:bookmarkStart w:id="39303" w:name="_ETM_Q72_739190"/>
      <w:bookmarkEnd w:id="39303"/>
      <w:r>
        <w:rPr>
          <w:rFonts w:hint="cs"/>
          <w:rtl/>
        </w:rPr>
        <w:t xml:space="preserve">מ-13 </w:t>
      </w:r>
      <w:bookmarkStart w:id="39304" w:name="_ETM_Q72_740030"/>
      <w:bookmarkEnd w:id="39304"/>
      <w:r>
        <w:rPr>
          <w:rFonts w:hint="cs"/>
          <w:rtl/>
        </w:rPr>
        <w:t xml:space="preserve">חברי </w:t>
      </w:r>
      <w:bookmarkStart w:id="39305" w:name="_ETM_Q72_740390"/>
      <w:bookmarkEnd w:id="39305"/>
      <w:r>
        <w:rPr>
          <w:rFonts w:hint="cs"/>
          <w:rtl/>
        </w:rPr>
        <w:t xml:space="preserve">הליכוד </w:t>
      </w:r>
      <w:bookmarkStart w:id="39306" w:name="_ETM_Q72_741490"/>
      <w:bookmarkEnd w:id="39306"/>
      <w:r>
        <w:rPr>
          <w:rFonts w:hint="cs"/>
          <w:rtl/>
        </w:rPr>
        <w:t xml:space="preserve">באו </w:t>
      </w:r>
      <w:bookmarkStart w:id="39307" w:name="_ETM_Q72_596304"/>
      <w:bookmarkEnd w:id="39307"/>
      <w:r>
        <w:rPr>
          <w:rFonts w:hint="cs"/>
          <w:rtl/>
        </w:rPr>
        <w:t xml:space="preserve">לדיון, </w:t>
      </w:r>
      <w:bookmarkStart w:id="39308" w:name="_ETM_Q72_742059"/>
      <w:bookmarkEnd w:id="39308"/>
      <w:r>
        <w:rPr>
          <w:rFonts w:hint="cs"/>
          <w:rtl/>
        </w:rPr>
        <w:t xml:space="preserve">באופן </w:t>
      </w:r>
      <w:bookmarkStart w:id="39309" w:name="_ETM_Q72_742780"/>
      <w:bookmarkEnd w:id="39309"/>
      <w:r>
        <w:rPr>
          <w:rFonts w:hint="cs"/>
          <w:rtl/>
        </w:rPr>
        <w:t xml:space="preserve">לא </w:t>
      </w:r>
      <w:bookmarkStart w:id="39310" w:name="_ETM_Q72_742990"/>
      <w:bookmarkEnd w:id="39310"/>
      <w:r>
        <w:rPr>
          <w:rFonts w:hint="cs"/>
          <w:rtl/>
        </w:rPr>
        <w:t xml:space="preserve">מפתיע. </w:t>
      </w:r>
      <w:bookmarkStart w:id="39311" w:name="_ETM_Q72_746590"/>
      <w:bookmarkEnd w:id="39311"/>
      <w:r>
        <w:rPr>
          <w:rFonts w:hint="cs"/>
          <w:rtl/>
        </w:rPr>
        <w:t xml:space="preserve">אתם </w:t>
      </w:r>
      <w:bookmarkStart w:id="39312" w:name="_ETM_Q72_746980"/>
      <w:bookmarkEnd w:id="39312"/>
      <w:r>
        <w:rPr>
          <w:rFonts w:hint="cs"/>
          <w:rtl/>
        </w:rPr>
        <w:t xml:space="preserve">מבינים </w:t>
      </w:r>
      <w:bookmarkStart w:id="39313" w:name="_ETM_Q72_747370"/>
      <w:bookmarkEnd w:id="39313"/>
      <w:r>
        <w:rPr>
          <w:rFonts w:hint="cs"/>
          <w:rtl/>
        </w:rPr>
        <w:t xml:space="preserve">איך </w:t>
      </w:r>
      <w:bookmarkStart w:id="39314" w:name="_ETM_Q72_747460"/>
      <w:bookmarkEnd w:id="39314"/>
      <w:r>
        <w:rPr>
          <w:rFonts w:hint="cs"/>
          <w:rtl/>
        </w:rPr>
        <w:t xml:space="preserve">זה </w:t>
      </w:r>
      <w:bookmarkStart w:id="39315" w:name="_ETM_Q72_747610"/>
      <w:bookmarkEnd w:id="39315"/>
      <w:r>
        <w:rPr>
          <w:rFonts w:hint="cs"/>
          <w:rtl/>
        </w:rPr>
        <w:t xml:space="preserve">נראה? </w:t>
      </w:r>
      <w:bookmarkStart w:id="39316" w:name="_ETM_Q72_748789"/>
      <w:bookmarkEnd w:id="39316"/>
      <w:r>
        <w:rPr>
          <w:rFonts w:hint="cs"/>
          <w:rtl/>
        </w:rPr>
        <w:t xml:space="preserve">איזה בדיחה </w:t>
      </w:r>
      <w:bookmarkStart w:id="39317" w:name="_ETM_Q72_750997"/>
      <w:bookmarkEnd w:id="39317"/>
      <w:r>
        <w:rPr>
          <w:rFonts w:hint="cs"/>
          <w:rtl/>
        </w:rPr>
        <w:t xml:space="preserve">זה? </w:t>
      </w:r>
      <w:bookmarkStart w:id="39318" w:name="_ETM_Q72_749029"/>
      <w:bookmarkStart w:id="39319" w:name="_ETM_Q72_749509"/>
      <w:bookmarkStart w:id="39320" w:name="_ETM_Q72_751620"/>
      <w:bookmarkEnd w:id="39318"/>
      <w:bookmarkEnd w:id="39319"/>
      <w:bookmarkEnd w:id="39320"/>
    </w:p>
    <w:p w:rsidR="00BB59CD" w:rsidRDefault="00BB59CD" w:rsidP="00BB59CD">
      <w:pPr>
        <w:rPr>
          <w:rtl/>
        </w:rPr>
      </w:pPr>
      <w:bookmarkStart w:id="39321" w:name="_ETM_Q72_753704"/>
      <w:bookmarkStart w:id="39322" w:name="_ETM_Q72_753786"/>
      <w:bookmarkEnd w:id="39321"/>
      <w:bookmarkEnd w:id="39322"/>
    </w:p>
    <w:p w:rsidR="00BB59CD" w:rsidRDefault="00BB59CD" w:rsidP="00C94ACC">
      <w:pPr>
        <w:rPr>
          <w:rtl/>
        </w:rPr>
      </w:pPr>
      <w:bookmarkStart w:id="39323" w:name="_ETM_Q72_753894"/>
      <w:bookmarkStart w:id="39324" w:name="_ETM_Q72_753979"/>
      <w:bookmarkEnd w:id="39323"/>
      <w:bookmarkEnd w:id="39324"/>
      <w:r>
        <w:rPr>
          <w:rFonts w:hint="cs"/>
          <w:rtl/>
        </w:rPr>
        <w:t xml:space="preserve">נוסף </w:t>
      </w:r>
      <w:bookmarkStart w:id="39325" w:name="_ETM_Q72_752220"/>
      <w:bookmarkEnd w:id="39325"/>
      <w:r>
        <w:rPr>
          <w:rFonts w:hint="cs"/>
          <w:rtl/>
        </w:rPr>
        <w:t xml:space="preserve">לניסיון </w:t>
      </w:r>
      <w:bookmarkStart w:id="39326" w:name="_ETM_Q72_752910"/>
      <w:bookmarkEnd w:id="39326"/>
      <w:r>
        <w:rPr>
          <w:rFonts w:hint="cs"/>
          <w:rtl/>
        </w:rPr>
        <w:t xml:space="preserve">של הקואליציה </w:t>
      </w:r>
      <w:bookmarkStart w:id="39327" w:name="_ETM_Q72_753600"/>
      <w:bookmarkEnd w:id="39327"/>
      <w:r>
        <w:rPr>
          <w:rFonts w:hint="cs"/>
          <w:rtl/>
        </w:rPr>
        <w:t xml:space="preserve">לייצר </w:t>
      </w:r>
      <w:bookmarkStart w:id="39328" w:name="_ETM_Q72_754290"/>
      <w:bookmarkEnd w:id="39328"/>
      <w:r>
        <w:rPr>
          <w:rFonts w:hint="cs"/>
          <w:rtl/>
        </w:rPr>
        <w:t xml:space="preserve">מצג </w:t>
      </w:r>
      <w:bookmarkStart w:id="39329" w:name="_ETM_Q72_754800"/>
      <w:bookmarkEnd w:id="39329"/>
      <w:r>
        <w:rPr>
          <w:rFonts w:hint="cs"/>
          <w:rtl/>
        </w:rPr>
        <w:t xml:space="preserve">שווא </w:t>
      </w:r>
      <w:bookmarkStart w:id="39330" w:name="_ETM_Q72_755400"/>
      <w:bookmarkEnd w:id="39330"/>
      <w:r>
        <w:rPr>
          <w:rFonts w:hint="cs"/>
          <w:rtl/>
        </w:rPr>
        <w:t xml:space="preserve">עבור </w:t>
      </w:r>
      <w:bookmarkStart w:id="39331" w:name="_ETM_Q72_755730"/>
      <w:bookmarkEnd w:id="39331"/>
      <w:r>
        <w:rPr>
          <w:rFonts w:hint="cs"/>
          <w:rtl/>
        </w:rPr>
        <w:t xml:space="preserve">הציבור </w:t>
      </w:r>
      <w:bookmarkStart w:id="39332" w:name="_ETM_Q72_756650"/>
      <w:bookmarkEnd w:id="39332"/>
      <w:r>
        <w:rPr>
          <w:rFonts w:hint="cs"/>
          <w:rtl/>
        </w:rPr>
        <w:t xml:space="preserve">כדי </w:t>
      </w:r>
      <w:bookmarkStart w:id="39333" w:name="_ETM_Q72_756920"/>
      <w:bookmarkEnd w:id="39333"/>
      <w:r>
        <w:rPr>
          <w:rFonts w:hint="cs"/>
          <w:rtl/>
        </w:rPr>
        <w:t xml:space="preserve">שאולי </w:t>
      </w:r>
      <w:bookmarkStart w:id="39334" w:name="_ETM_Q72_757370"/>
      <w:bookmarkEnd w:id="39334"/>
      <w:r>
        <w:rPr>
          <w:rFonts w:hint="cs"/>
          <w:rtl/>
        </w:rPr>
        <w:t xml:space="preserve">ישכח </w:t>
      </w:r>
      <w:bookmarkStart w:id="39335" w:name="_ETM_Q72_758120"/>
      <w:bookmarkEnd w:id="39335"/>
      <w:r>
        <w:rPr>
          <w:rFonts w:hint="cs"/>
          <w:rtl/>
        </w:rPr>
        <w:t xml:space="preserve">מהנזקים </w:t>
      </w:r>
      <w:bookmarkStart w:id="39336" w:name="_ETM_Q72_758840"/>
      <w:bookmarkEnd w:id="39336"/>
      <w:r>
        <w:rPr>
          <w:rFonts w:hint="cs"/>
          <w:rtl/>
        </w:rPr>
        <w:t xml:space="preserve">האדירים </w:t>
      </w:r>
      <w:bookmarkStart w:id="39337" w:name="_ETM_Q72_759800"/>
      <w:bookmarkEnd w:id="39337"/>
      <w:r>
        <w:rPr>
          <w:rFonts w:hint="cs"/>
          <w:rtl/>
        </w:rPr>
        <w:t xml:space="preserve">לכלכלה </w:t>
      </w:r>
      <w:bookmarkStart w:id="39338" w:name="_ETM_Q72_760820"/>
      <w:bookmarkEnd w:id="39338"/>
      <w:r>
        <w:rPr>
          <w:rFonts w:hint="cs"/>
          <w:rtl/>
        </w:rPr>
        <w:t xml:space="preserve">ולמדינה, </w:t>
      </w:r>
      <w:bookmarkStart w:id="39339" w:name="_ETM_Q72_762670"/>
      <w:bookmarkEnd w:id="39339"/>
      <w:r>
        <w:rPr>
          <w:rFonts w:hint="cs"/>
          <w:rtl/>
        </w:rPr>
        <w:t xml:space="preserve">הקואליציה </w:t>
      </w:r>
      <w:bookmarkStart w:id="39340" w:name="_ETM_Q72_763480"/>
      <w:bookmarkEnd w:id="39340"/>
      <w:r>
        <w:rPr>
          <w:rFonts w:hint="cs"/>
          <w:rtl/>
        </w:rPr>
        <w:t xml:space="preserve">מאשימה </w:t>
      </w:r>
      <w:bookmarkStart w:id="39341" w:name="_ETM_Q72_764660"/>
      <w:bookmarkEnd w:id="39341"/>
      <w:r>
        <w:rPr>
          <w:rFonts w:hint="cs"/>
          <w:rtl/>
        </w:rPr>
        <w:t xml:space="preserve">את </w:t>
      </w:r>
      <w:bookmarkStart w:id="39342" w:name="_ETM_Q72_764780"/>
      <w:bookmarkEnd w:id="39342"/>
      <w:r>
        <w:rPr>
          <w:rFonts w:hint="cs"/>
          <w:rtl/>
        </w:rPr>
        <w:t xml:space="preserve">שומרי </w:t>
      </w:r>
      <w:bookmarkStart w:id="39343" w:name="_ETM_Q72_765170"/>
      <w:bookmarkEnd w:id="39343"/>
      <w:r>
        <w:rPr>
          <w:rFonts w:hint="cs"/>
          <w:rtl/>
        </w:rPr>
        <w:t xml:space="preserve">הסף </w:t>
      </w:r>
      <w:bookmarkStart w:id="39344" w:name="_ETM_Q72_766300"/>
      <w:bookmarkEnd w:id="39344"/>
      <w:r>
        <w:rPr>
          <w:rFonts w:hint="cs"/>
          <w:rtl/>
        </w:rPr>
        <w:t xml:space="preserve">ואת </w:t>
      </w:r>
      <w:bookmarkStart w:id="39345" w:name="_ETM_Q72_766570"/>
      <w:bookmarkEnd w:id="39345"/>
      <w:r>
        <w:rPr>
          <w:rFonts w:hint="cs"/>
          <w:rtl/>
        </w:rPr>
        <w:t xml:space="preserve">אופוזיציה </w:t>
      </w:r>
      <w:bookmarkStart w:id="39346" w:name="_ETM_Q72_767200"/>
      <w:bookmarkEnd w:id="39346"/>
      <w:r>
        <w:rPr>
          <w:rFonts w:hint="cs"/>
          <w:rtl/>
        </w:rPr>
        <w:t xml:space="preserve">במשבר </w:t>
      </w:r>
      <w:bookmarkStart w:id="39347" w:name="_ETM_Q72_767679"/>
      <w:bookmarkEnd w:id="39347"/>
      <w:r>
        <w:rPr>
          <w:rFonts w:hint="cs"/>
          <w:rtl/>
        </w:rPr>
        <w:t xml:space="preserve">הכלכלי </w:t>
      </w:r>
      <w:bookmarkStart w:id="39348" w:name="_ETM_Q72_768309"/>
      <w:bookmarkEnd w:id="39348"/>
      <w:r>
        <w:rPr>
          <w:rFonts w:hint="cs"/>
          <w:rtl/>
        </w:rPr>
        <w:t xml:space="preserve">ובחוסר </w:t>
      </w:r>
      <w:bookmarkStart w:id="39349" w:name="_ETM_Q72_769600"/>
      <w:bookmarkEnd w:id="39349"/>
      <w:r>
        <w:rPr>
          <w:rFonts w:hint="cs"/>
          <w:rtl/>
        </w:rPr>
        <w:t xml:space="preserve">טיפול </w:t>
      </w:r>
      <w:bookmarkStart w:id="39350" w:name="_ETM_Q72_769850"/>
      <w:bookmarkEnd w:id="39350"/>
      <w:r>
        <w:rPr>
          <w:rFonts w:hint="cs"/>
          <w:rtl/>
        </w:rPr>
        <w:t>בו.</w:t>
      </w:r>
      <w:bookmarkStart w:id="39351" w:name="TOR_Q73"/>
      <w:bookmarkEnd w:id="39351"/>
      <w:r w:rsidR="00C94ACC">
        <w:rPr>
          <w:rFonts w:hint="cs"/>
          <w:rtl/>
        </w:rPr>
        <w:t xml:space="preserve"> </w:t>
      </w:r>
      <w:r>
        <w:rPr>
          <w:rFonts w:hint="cs"/>
          <w:rtl/>
        </w:rPr>
        <w:t xml:space="preserve">השכם והערב הקואליציה דואגת לתקוף את אנשי המקצוע רק בגלל שהנתונים </w:t>
      </w:r>
      <w:bookmarkStart w:id="39352" w:name="_ETM_Q73_178000"/>
      <w:bookmarkEnd w:id="39352"/>
      <w:r>
        <w:rPr>
          <w:rFonts w:hint="cs"/>
          <w:rtl/>
        </w:rPr>
        <w:t xml:space="preserve">הכלכליים אינם תואמים את רצון השרים. בשביל מה יש </w:t>
      </w:r>
      <w:bookmarkStart w:id="39353" w:name="_ETM_Q73_185000"/>
      <w:bookmarkEnd w:id="39353"/>
      <w:r>
        <w:rPr>
          <w:rFonts w:hint="cs"/>
          <w:rtl/>
        </w:rPr>
        <w:t xml:space="preserve">אנשי מקצוע אם אי-אפשר לשלוט בהם? בכל פעם </w:t>
      </w:r>
      <w:bookmarkStart w:id="39354" w:name="_ETM_Q73_189000"/>
      <w:bookmarkEnd w:id="39354"/>
      <w:r>
        <w:rPr>
          <w:rFonts w:hint="cs"/>
          <w:rtl/>
        </w:rPr>
        <w:t xml:space="preserve">שר אחר, שר תורן, בא למלא את תפקידו במכונת </w:t>
      </w:r>
      <w:bookmarkStart w:id="39355" w:name="_ETM_Q73_194000"/>
      <w:bookmarkEnd w:id="39355"/>
      <w:r>
        <w:rPr>
          <w:rFonts w:hint="cs"/>
          <w:rtl/>
        </w:rPr>
        <w:t xml:space="preserve">הרעל והסתה, אבל מי שמנצח על התזמורת הזאת הוא ראש </w:t>
      </w:r>
      <w:bookmarkStart w:id="39356" w:name="_ETM_Q73_205000"/>
      <w:bookmarkEnd w:id="39356"/>
      <w:r>
        <w:rPr>
          <w:rFonts w:hint="cs"/>
          <w:rtl/>
        </w:rPr>
        <w:t xml:space="preserve">הממשלה בכבודו ובעצמו – שאנחנו כמובן מאחלים לו רפואה שלמה. כך </w:t>
      </w:r>
      <w:bookmarkStart w:id="39357" w:name="_ETM_Q73_209000"/>
      <w:bookmarkEnd w:id="39357"/>
      <w:r>
        <w:rPr>
          <w:rFonts w:hint="cs"/>
          <w:rtl/>
        </w:rPr>
        <w:t xml:space="preserve">למשל הוא רצה למנות את מקורבו לממלא </w:t>
      </w:r>
      <w:bookmarkStart w:id="39358" w:name="_ETM_Q73_213000"/>
      <w:bookmarkEnd w:id="39358"/>
      <w:r>
        <w:rPr>
          <w:rFonts w:hint="cs"/>
          <w:rtl/>
        </w:rPr>
        <w:t xml:space="preserve">מקום של הסטטיסטיקאי הראשי, ולאחר לחץ ציבורי נאלץ </w:t>
      </w:r>
      <w:bookmarkStart w:id="39359" w:name="_ETM_Q73_221000"/>
      <w:bookmarkEnd w:id="39359"/>
      <w:r>
        <w:rPr>
          <w:rFonts w:hint="cs"/>
          <w:rtl/>
        </w:rPr>
        <w:t xml:space="preserve">לחזור בו. נתניהו מעדיף להמציא נתונים ולעצב את המציאות מאשר </w:t>
      </w:r>
      <w:bookmarkStart w:id="39360" w:name="_ETM_Q73_227000"/>
      <w:bookmarkEnd w:id="39360"/>
      <w:r>
        <w:rPr>
          <w:rFonts w:hint="cs"/>
          <w:rtl/>
        </w:rPr>
        <w:t xml:space="preserve">להתמודד עם הנזק שהוא וממשלתו גורמים לכלכלת ישראל. </w:t>
      </w:r>
    </w:p>
    <w:p w:rsidR="00BB59CD" w:rsidRDefault="00BB59CD" w:rsidP="00BB59CD">
      <w:pPr>
        <w:rPr>
          <w:rtl/>
        </w:rPr>
      </w:pPr>
    </w:p>
    <w:p w:rsidR="00BB59CD" w:rsidRDefault="00BB59CD" w:rsidP="00BB59CD">
      <w:pPr>
        <w:rPr>
          <w:rtl/>
        </w:rPr>
      </w:pPr>
      <w:r>
        <w:rPr>
          <w:rFonts w:hint="cs"/>
          <w:rtl/>
        </w:rPr>
        <w:t xml:space="preserve">התהליכים </w:t>
      </w:r>
      <w:bookmarkStart w:id="39361" w:name="_ETM_Q73_234000"/>
      <w:bookmarkEnd w:id="39361"/>
      <w:r>
        <w:rPr>
          <w:rFonts w:hint="cs"/>
          <w:rtl/>
        </w:rPr>
        <w:t xml:space="preserve">הכמעט ביזאריים שקורים כאן בחודשים האחרונים אינם רעיונות חדשים </w:t>
      </w:r>
      <w:bookmarkStart w:id="39362" w:name="_ETM_Q73_242000"/>
      <w:bookmarkEnd w:id="39362"/>
      <w:r>
        <w:rPr>
          <w:rFonts w:hint="cs"/>
          <w:rtl/>
        </w:rPr>
        <w:t xml:space="preserve">ומהפכניים אלא תרגום של השיטות שכבר נוסו במדינות אחרות. הכול </w:t>
      </w:r>
      <w:bookmarkStart w:id="39363" w:name="_ETM_Q73_252000"/>
      <w:bookmarkEnd w:id="39363"/>
      <w:r>
        <w:rPr>
          <w:rFonts w:hint="cs"/>
          <w:rtl/>
        </w:rPr>
        <w:t xml:space="preserve">כבר קרה. אם נסתכל לרגע מה המשותף להונגריה, לטורקיה ולפולין </w:t>
      </w:r>
      <w:bookmarkStart w:id="39364" w:name="_ETM_Q73_260000"/>
      <w:bookmarkEnd w:id="39364"/>
      <w:r>
        <w:rPr>
          <w:rFonts w:hint="cs"/>
          <w:rtl/>
        </w:rPr>
        <w:t xml:space="preserve">וגם למדינה שאני נולדתי בה – בכל המדינות הללו חברות דירוג </w:t>
      </w:r>
      <w:bookmarkStart w:id="39365" w:name="_ETM_Q73_268000"/>
      <w:bookmarkEnd w:id="39365"/>
      <w:r>
        <w:rPr>
          <w:rFonts w:hint="cs"/>
          <w:rtl/>
        </w:rPr>
        <w:t xml:space="preserve">האשראי מציינות את הפגיעה בביקורת השיפוטית על ידי רמיסת האיזונים </w:t>
      </w:r>
      <w:bookmarkStart w:id="39366" w:name="_ETM_Q73_273000"/>
      <w:bookmarkEnd w:id="39366"/>
      <w:r>
        <w:rPr>
          <w:rFonts w:hint="cs"/>
          <w:rtl/>
        </w:rPr>
        <w:t xml:space="preserve">והבלמים בין הרשויות כגורם שלילי ומרכזי בקביעת הדירוג, כי </w:t>
      </w:r>
      <w:bookmarkStart w:id="39367" w:name="_ETM_Q73_281000"/>
      <w:bookmarkEnd w:id="39367"/>
      <w:r>
        <w:rPr>
          <w:rFonts w:hint="cs"/>
          <w:rtl/>
        </w:rPr>
        <w:t xml:space="preserve">על הכלכלה אי-אפשר לעבוד. הנתונים אומרים שחור על גבי </w:t>
      </w:r>
      <w:bookmarkStart w:id="39368" w:name="_ETM_Q73_288000"/>
      <w:bookmarkEnd w:id="39368"/>
      <w:r>
        <w:rPr>
          <w:rFonts w:hint="cs"/>
          <w:rtl/>
        </w:rPr>
        <w:t>לבן: דמוקרטיה חלולה היא קרקע חרוכה עבור כל כלכלה אשר</w:t>
      </w:r>
      <w:bookmarkStart w:id="39369" w:name="_ETM_Q73_296000"/>
      <w:bookmarkEnd w:id="39369"/>
      <w:r>
        <w:rPr>
          <w:rFonts w:hint="cs"/>
          <w:rtl/>
        </w:rPr>
        <w:t xml:space="preserve"> תהיה. </w:t>
      </w:r>
    </w:p>
    <w:p w:rsidR="00BB59CD" w:rsidRDefault="00BB59CD" w:rsidP="00BB59CD">
      <w:pPr>
        <w:rPr>
          <w:rtl/>
        </w:rPr>
      </w:pPr>
    </w:p>
    <w:p w:rsidR="00BB59CD" w:rsidRDefault="00BB59CD" w:rsidP="00C94ACC">
      <w:pPr>
        <w:rPr>
          <w:rtl/>
        </w:rPr>
      </w:pPr>
      <w:bookmarkStart w:id="39370" w:name="_ETM_Q73_298000"/>
      <w:bookmarkEnd w:id="39370"/>
      <w:r>
        <w:rPr>
          <w:rFonts w:hint="cs"/>
          <w:rtl/>
        </w:rPr>
        <w:t xml:space="preserve">עכשיו על ביטול עילת הסבירות. אני מוצא לנכון לציין, אדוני היושב-ראש, </w:t>
      </w:r>
      <w:bookmarkStart w:id="39371" w:name="_ETM_Q73_309000"/>
      <w:bookmarkEnd w:id="39371"/>
      <w:r>
        <w:rPr>
          <w:rFonts w:hint="cs"/>
          <w:rtl/>
        </w:rPr>
        <w:t xml:space="preserve">שיש יתרון גדול בלדבר על ביטול עילת הסבירות כאן במליאה </w:t>
      </w:r>
      <w:bookmarkStart w:id="39372" w:name="_ETM_Q73_310000"/>
      <w:bookmarkEnd w:id="39372"/>
      <w:r>
        <w:rPr>
          <w:rFonts w:hint="cs"/>
          <w:rtl/>
        </w:rPr>
        <w:t xml:space="preserve">ולא בוועדת חוקה, שבה היושב-ראש שיכור כוח, זורק את </w:t>
      </w:r>
      <w:bookmarkStart w:id="39373" w:name="_ETM_Q73_318000"/>
      <w:bookmarkEnd w:id="39373"/>
      <w:r>
        <w:rPr>
          <w:rFonts w:hint="cs"/>
          <w:rtl/>
        </w:rPr>
        <w:t xml:space="preserve">חברי האופוזיציה מאולם הוועדה תוך רמיסת תקנון הכנסת ובחוצפה שהכנסת </w:t>
      </w:r>
      <w:bookmarkStart w:id="39374" w:name="_ETM_Q73_327000"/>
      <w:bookmarkEnd w:id="39374"/>
      <w:r>
        <w:rPr>
          <w:rFonts w:hint="cs"/>
          <w:rtl/>
        </w:rPr>
        <w:t xml:space="preserve">טרם ראתה. אני רוצה כאן להביע מחאה על לוח הזמנים הצפוף והבלתי-אפשרי שבו קודמה הצעת החוק בוועדה. </w:t>
      </w:r>
      <w:bookmarkStart w:id="39375" w:name="_ETM_Q73_336000"/>
      <w:bookmarkEnd w:id="39375"/>
      <w:r>
        <w:rPr>
          <w:rFonts w:hint="cs"/>
          <w:rtl/>
        </w:rPr>
        <w:t>מדובר בשינוי חוק-יסוד</w:t>
      </w:r>
      <w:r w:rsidR="00C94ACC">
        <w:rPr>
          <w:rFonts w:hint="cs"/>
          <w:rtl/>
        </w:rPr>
        <w:t>,</w:t>
      </w:r>
      <w:r>
        <w:rPr>
          <w:rFonts w:hint="cs"/>
          <w:rtl/>
        </w:rPr>
        <w:t xml:space="preserve"> במובן מסוים הוא שינוי מרכיב </w:t>
      </w:r>
      <w:bookmarkStart w:id="39376" w:name="_ETM_Q73_344000"/>
      <w:bookmarkEnd w:id="39376"/>
      <w:r>
        <w:rPr>
          <w:rFonts w:hint="cs"/>
          <w:rtl/>
        </w:rPr>
        <w:t xml:space="preserve">משמעותי באופן שבו מתנהלים מנגנוני השלטון במדינת ישראל. לא מדובר בתזכיר חוק ממשלתי אלא הלכה למעשה בהצעת חוק פרטית של יו"ר הוועדה, שלא </w:t>
      </w:r>
      <w:bookmarkStart w:id="39377" w:name="_ETM_Q73_358000"/>
      <w:bookmarkEnd w:id="39377"/>
      <w:r>
        <w:rPr>
          <w:rFonts w:hint="cs"/>
          <w:rtl/>
        </w:rPr>
        <w:t xml:space="preserve">ניתנה לציבור הרחב הזדמנות הולמת להביע את דעתו </w:t>
      </w:r>
      <w:bookmarkStart w:id="39378" w:name="_ETM_Q73_363000"/>
      <w:bookmarkEnd w:id="39378"/>
      <w:r>
        <w:rPr>
          <w:rFonts w:hint="cs"/>
          <w:rtl/>
        </w:rPr>
        <w:t xml:space="preserve">עליה. ההליך הזה הוא פסול ולא חוקתי. יושב-ראש הוועדה </w:t>
      </w:r>
      <w:bookmarkStart w:id="39379" w:name="_ETM_Q73_372000"/>
      <w:bookmarkEnd w:id="39379"/>
      <w:r>
        <w:rPr>
          <w:rFonts w:hint="cs"/>
          <w:rtl/>
        </w:rPr>
        <w:t xml:space="preserve">לא היה קשוב להערות מרבית המומחים, לא ניהל כלל </w:t>
      </w:r>
      <w:bookmarkStart w:id="39380" w:name="_ETM_Q73_375000"/>
      <w:bookmarkEnd w:id="39380"/>
      <w:r>
        <w:rPr>
          <w:rFonts w:hint="cs"/>
          <w:rtl/>
        </w:rPr>
        <w:t xml:space="preserve">שיג ושיח עם נציגי האופוזיציה, לא אפשר לכמה נציגי </w:t>
      </w:r>
      <w:bookmarkStart w:id="39381" w:name="_ETM_Q73_381000"/>
      <w:bookmarkEnd w:id="39381"/>
      <w:r>
        <w:rPr>
          <w:rFonts w:hint="cs"/>
          <w:rtl/>
        </w:rPr>
        <w:t xml:space="preserve">משרדי הממשלה להביע עמדה, התעלם מההסתייגויות הכמעט-גורפות של הייעוץ </w:t>
      </w:r>
      <w:bookmarkStart w:id="39382" w:name="_ETM_Q73_388000"/>
      <w:bookmarkEnd w:id="39382"/>
      <w:r>
        <w:rPr>
          <w:rFonts w:hint="cs"/>
          <w:rtl/>
        </w:rPr>
        <w:t xml:space="preserve">המשפטי לממשלה ושל היועץ המשפטי של ועדת החוקה. זה בלתי </w:t>
      </w:r>
      <w:bookmarkStart w:id="39383" w:name="_ETM_Q73_396000"/>
      <w:bookmarkEnd w:id="39383"/>
      <w:r>
        <w:rPr>
          <w:rFonts w:hint="cs"/>
          <w:rtl/>
        </w:rPr>
        <w:t>מתקבל על הדעת ובלתי נסבל.</w:t>
      </w:r>
    </w:p>
    <w:p w:rsidR="00BB59CD" w:rsidRDefault="00BB59CD" w:rsidP="00BB59CD">
      <w:pPr>
        <w:rPr>
          <w:rtl/>
        </w:rPr>
      </w:pPr>
    </w:p>
    <w:p w:rsidR="00BB59CD" w:rsidRDefault="00BB59CD" w:rsidP="008E2003">
      <w:pPr>
        <w:rPr>
          <w:rtl/>
        </w:rPr>
      </w:pPr>
      <w:bookmarkStart w:id="39384" w:name="_ETM_Q73_402000"/>
      <w:bookmarkEnd w:id="39384"/>
      <w:r>
        <w:rPr>
          <w:rFonts w:hint="cs"/>
          <w:rtl/>
        </w:rPr>
        <w:t xml:space="preserve">לפני עשרה ימים, אחרי בחירת נציג הקואליציה בוועדה לבחירת שופטים, ראש האופוזיציה חבר </w:t>
      </w:r>
      <w:bookmarkStart w:id="39385" w:name="_ETM_Q73_406000"/>
      <w:bookmarkEnd w:id="39385"/>
      <w:r>
        <w:rPr>
          <w:rFonts w:hint="cs"/>
          <w:rtl/>
        </w:rPr>
        <w:t xml:space="preserve">הכנסת יאיר לפיד הודיע כי אם הוועדה לא תכונס, מפלגת יש עתיד מתכוונת לעתור </w:t>
      </w:r>
      <w:bookmarkStart w:id="39386" w:name="_ETM_Q73_412000"/>
      <w:bookmarkEnd w:id="39386"/>
      <w:r>
        <w:rPr>
          <w:rFonts w:hint="cs"/>
          <w:rtl/>
        </w:rPr>
        <w:t xml:space="preserve">לבג"ץ. בעוד שעות מספר, באישון לילה, באופן פתאומי, יופץ תיקון </w:t>
      </w:r>
      <w:bookmarkStart w:id="39387" w:name="_ETM_Q73_420000"/>
      <w:bookmarkEnd w:id="39387"/>
      <w:r>
        <w:rPr>
          <w:rFonts w:hint="cs"/>
          <w:rtl/>
        </w:rPr>
        <w:t>להצעת החוק אשר הלכה למעשה מונע את הגשת העתירה כאמור</w:t>
      </w:r>
      <w:bookmarkStart w:id="39388" w:name="_ETM_Q73_426000"/>
      <w:bookmarkEnd w:id="39388"/>
      <w:r>
        <w:rPr>
          <w:rFonts w:hint="cs"/>
          <w:rtl/>
        </w:rPr>
        <w:t>. מה זה</w:t>
      </w:r>
      <w:r w:rsidR="008E2003">
        <w:rPr>
          <w:rFonts w:hint="cs"/>
          <w:rtl/>
        </w:rPr>
        <w:t>,</w:t>
      </w:r>
      <w:r>
        <w:rPr>
          <w:rFonts w:hint="cs"/>
          <w:rtl/>
        </w:rPr>
        <w:t xml:space="preserve"> אם לא שיטה מושחתת ומאפיוז</w:t>
      </w:r>
      <w:bookmarkStart w:id="39389" w:name="_ETM_Q73_432000"/>
      <w:bookmarkEnd w:id="39389"/>
      <w:r>
        <w:rPr>
          <w:rFonts w:hint="cs"/>
          <w:rtl/>
        </w:rPr>
        <w:t xml:space="preserve">ית? כיצד זה משרת את האינטרס הציבורי? </w:t>
      </w:r>
      <w:bookmarkStart w:id="39390" w:name="_ETM_Q73_438000"/>
      <w:bookmarkEnd w:id="39390"/>
      <w:r>
        <w:rPr>
          <w:rFonts w:hint="cs"/>
          <w:rtl/>
        </w:rPr>
        <w:t>האם כך מחוקקים חוקי-יסוד במדינה מתוקנת?</w:t>
      </w:r>
      <w:r>
        <w:rPr>
          <w:rFonts w:hint="cs"/>
        </w:rPr>
        <w:t xml:space="preserve"> </w:t>
      </w:r>
      <w:r>
        <w:rPr>
          <w:rFonts w:hint="cs"/>
          <w:rtl/>
        </w:rPr>
        <w:t xml:space="preserve">לאן מיהרת, </w:t>
      </w:r>
      <w:bookmarkStart w:id="39391" w:name="_ETM_Q73_448000"/>
      <w:bookmarkEnd w:id="39391"/>
      <w:r>
        <w:rPr>
          <w:rFonts w:hint="cs"/>
          <w:rtl/>
        </w:rPr>
        <w:t>שמחה רוטמן? מי מחלק לך הוראות</w:t>
      </w:r>
      <w:r>
        <w:rPr>
          <w:rFonts w:hint="cs"/>
        </w:rPr>
        <w:t xml:space="preserve"> </w:t>
      </w:r>
      <w:r w:rsidR="008E2003">
        <w:rPr>
          <w:rFonts w:hint="eastAsia"/>
          <w:rtl/>
        </w:rPr>
        <w:t>–</w:t>
      </w:r>
      <w:r w:rsidR="008E2003">
        <w:rPr>
          <w:rFonts w:hint="cs"/>
          <w:rtl/>
        </w:rPr>
        <w:t xml:space="preserve"> מ</w:t>
      </w:r>
      <w:r>
        <w:rPr>
          <w:rFonts w:hint="cs"/>
          <w:rtl/>
        </w:rPr>
        <w:t>ה אתה חושב</w:t>
      </w:r>
      <w:bookmarkStart w:id="39392" w:name="_ETM_Q73_457000"/>
      <w:bookmarkEnd w:id="39392"/>
      <w:r>
        <w:rPr>
          <w:rFonts w:hint="cs"/>
          <w:rtl/>
        </w:rPr>
        <w:t>, חבר הכנסת קריב?</w:t>
      </w:r>
      <w:r>
        <w:rPr>
          <w:rFonts w:hint="cs"/>
        </w:rPr>
        <w:t xml:space="preserve"> </w:t>
      </w:r>
      <w:r>
        <w:rPr>
          <w:rFonts w:hint="cs"/>
          <w:rtl/>
        </w:rPr>
        <w:t xml:space="preserve">בשירות מי אתה עובד, אתה </w:t>
      </w:r>
      <w:bookmarkStart w:id="39393" w:name="_ETM_Q73_462000"/>
      <w:bookmarkEnd w:id="39393"/>
      <w:r>
        <w:rPr>
          <w:rFonts w:hint="cs"/>
          <w:rtl/>
        </w:rPr>
        <w:t>פועל</w:t>
      </w:r>
      <w:r w:rsidR="008E2003">
        <w:rPr>
          <w:rFonts w:hint="cs"/>
          <w:rtl/>
        </w:rPr>
        <w:t>?</w:t>
      </w:r>
      <w:r>
        <w:rPr>
          <w:rFonts w:hint="cs"/>
          <w:rtl/>
        </w:rPr>
        <w:t xml:space="preserve"> אני חייב לומר לך, חבר הכנסת רוטמן, האופן </w:t>
      </w:r>
      <w:bookmarkStart w:id="39394" w:name="_ETM_Q73_471000"/>
      <w:bookmarkEnd w:id="39394"/>
      <w:r>
        <w:rPr>
          <w:rFonts w:hint="cs"/>
          <w:rtl/>
        </w:rPr>
        <w:t xml:space="preserve">שבו מתנהלים הדיונים, התנהלו הדיונים בוועדת החוקה בכנסת העשרים-וחמש, </w:t>
      </w:r>
      <w:bookmarkStart w:id="39395" w:name="_ETM_Q73_481000"/>
      <w:bookmarkEnd w:id="39395"/>
      <w:r>
        <w:rPr>
          <w:rFonts w:hint="cs"/>
          <w:rtl/>
        </w:rPr>
        <w:t>וביתר שאת בחוק לביטול עילת הסבירות, הוא חרפה להליכים</w:t>
      </w:r>
      <w:bookmarkStart w:id="39396" w:name="_ETM_Q73_485000"/>
      <w:bookmarkEnd w:id="39396"/>
      <w:r>
        <w:rPr>
          <w:rFonts w:hint="cs"/>
          <w:rtl/>
        </w:rPr>
        <w:t xml:space="preserve"> פרלמנטריים מתוקנים, וצריך לומר את זה. זו חרפה להליכים פרלמנטריים </w:t>
      </w:r>
      <w:bookmarkStart w:id="39397" w:name="_ETM_Q73_495000"/>
      <w:bookmarkEnd w:id="39397"/>
      <w:r>
        <w:rPr>
          <w:rFonts w:hint="cs"/>
          <w:rtl/>
        </w:rPr>
        <w:t xml:space="preserve">מתוקנים ולכנסת העשרים-וחמש, ואתה, יושב-ראש הוועדה, חבר הכנסת שמחה </w:t>
      </w:r>
      <w:bookmarkStart w:id="39398" w:name="_ETM_Q73_502000"/>
      <w:bookmarkEnd w:id="39398"/>
      <w:r>
        <w:rPr>
          <w:rFonts w:hint="cs"/>
          <w:rtl/>
        </w:rPr>
        <w:t>רוטמן, אחראי לכך באופן ישיר בהתנהלותך הדורסנית, הבריונית</w:t>
      </w:r>
      <w:bookmarkStart w:id="39399" w:name="_ETM_Q73_509000"/>
      <w:bookmarkEnd w:id="39399"/>
      <w:r>
        <w:rPr>
          <w:rFonts w:hint="cs"/>
          <w:rtl/>
        </w:rPr>
        <w:t xml:space="preserve"> והלא-מקצועית. </w:t>
      </w:r>
    </w:p>
    <w:p w:rsidR="00BB59CD" w:rsidRDefault="00BB59CD" w:rsidP="00BB59CD">
      <w:pPr>
        <w:rPr>
          <w:rtl/>
        </w:rPr>
      </w:pPr>
    </w:p>
    <w:p w:rsidR="00BB59CD" w:rsidRDefault="00BB59CD" w:rsidP="008E2003">
      <w:pPr>
        <w:rPr>
          <w:rtl/>
        </w:rPr>
      </w:pPr>
      <w:bookmarkStart w:id="39400" w:name="_ETM_Q73_519000"/>
      <w:bookmarkEnd w:id="39400"/>
      <w:r>
        <w:rPr>
          <w:rFonts w:hint="cs"/>
          <w:rtl/>
        </w:rPr>
        <w:t xml:space="preserve">עכשיו אני רוצה, חבריי חברי הכנסת, לדבר </w:t>
      </w:r>
      <w:bookmarkStart w:id="39401" w:name="_ETM_Q73_520000"/>
      <w:bookmarkEnd w:id="39401"/>
      <w:r>
        <w:rPr>
          <w:rFonts w:hint="cs"/>
          <w:rtl/>
        </w:rPr>
        <w:t xml:space="preserve">על הסכנה לישראל יהודית, דמוקרטית וליברלית אשר נשקפת מהצעת </w:t>
      </w:r>
      <w:bookmarkStart w:id="39402" w:name="_ETM_Q73_528000"/>
      <w:bookmarkEnd w:id="39402"/>
      <w:r>
        <w:rPr>
          <w:rFonts w:hint="cs"/>
          <w:rtl/>
        </w:rPr>
        <w:t xml:space="preserve">החוק לביטול עילת הסבירות. ברור לכולם כי לא </w:t>
      </w:r>
      <w:bookmarkStart w:id="39403" w:name="_ETM_Q73_538000"/>
      <w:bookmarkEnd w:id="39403"/>
      <w:r>
        <w:rPr>
          <w:rFonts w:hint="cs"/>
          <w:rtl/>
        </w:rPr>
        <w:t xml:space="preserve">מדובר בדבר כביכול קטן ולא משמעותי, כפי שמנסים לטעון פעם </w:t>
      </w:r>
      <w:bookmarkStart w:id="39404" w:name="_ETM_Q73_543000"/>
      <w:bookmarkEnd w:id="39404"/>
      <w:r>
        <w:rPr>
          <w:rFonts w:hint="cs"/>
          <w:rtl/>
        </w:rPr>
        <w:t xml:space="preserve">אחר פעם בכירי הקואליציה. בשביל דבר כביכול קטן ולא </w:t>
      </w:r>
      <w:bookmarkStart w:id="39405" w:name="_ETM_Q73_553000"/>
      <w:bookmarkEnd w:id="39405"/>
      <w:r>
        <w:rPr>
          <w:rFonts w:hint="cs"/>
          <w:rtl/>
        </w:rPr>
        <w:t xml:space="preserve">משמעותי לא הופכים את כל סדר-יומה של הכנסת, לא </w:t>
      </w:r>
      <w:bookmarkStart w:id="39406" w:name="_ETM_Q73_559000"/>
      <w:bookmarkEnd w:id="39406"/>
      <w:r>
        <w:rPr>
          <w:rFonts w:hint="cs"/>
          <w:rtl/>
        </w:rPr>
        <w:t xml:space="preserve">דוחים חקיקה ממשלתית, לא מנהלים ועדה במקביל למליאה – לא עושים </w:t>
      </w:r>
      <w:bookmarkStart w:id="39407" w:name="_ETM_Q73_564000"/>
      <w:bookmarkEnd w:id="39407"/>
      <w:r>
        <w:rPr>
          <w:rFonts w:hint="cs"/>
          <w:rtl/>
        </w:rPr>
        <w:t xml:space="preserve">את כל מה שקורה פה בשבועות האחרונים, באמת, אני </w:t>
      </w:r>
      <w:bookmarkStart w:id="39408" w:name="_ETM_Q73_571000"/>
      <w:bookmarkEnd w:id="39408"/>
      <w:r>
        <w:rPr>
          <w:rFonts w:hint="cs"/>
          <w:rtl/>
        </w:rPr>
        <w:t>חושב שבאופן די תקדימי. מדובר בצעד מסוכן לביצוע ההפיכה המשפטית ש</w:t>
      </w:r>
      <w:bookmarkStart w:id="39409" w:name="_ETM_Q73_583000"/>
      <w:bookmarkEnd w:id="39409"/>
      <w:r>
        <w:rPr>
          <w:rFonts w:hint="cs"/>
          <w:rtl/>
        </w:rPr>
        <w:t xml:space="preserve">עליה הכריז שר המשפטים ב-4 בינואר 2023. עכשיו, לא </w:t>
      </w:r>
      <w:bookmarkStart w:id="39410" w:name="_ETM_Q73_591000"/>
      <w:bookmarkEnd w:id="39410"/>
      <w:r>
        <w:rPr>
          <w:rFonts w:hint="cs"/>
          <w:rtl/>
        </w:rPr>
        <w:t xml:space="preserve">במקרה הקואליציה בחרה בביטול עילת הסבירות. ואני שוב אומר, זה </w:t>
      </w:r>
      <w:bookmarkStart w:id="39411" w:name="_ETM_Q73_595000"/>
      <w:bookmarkEnd w:id="39411"/>
      <w:r>
        <w:rPr>
          <w:rFonts w:hint="cs"/>
          <w:rtl/>
        </w:rPr>
        <w:t xml:space="preserve">לא צמצום עילת הסבירות, זה ביטול עילת הסבירות. יתרה מזו, זה ביטול </w:t>
      </w:r>
      <w:bookmarkStart w:id="39412" w:name="_ETM_Q73_605000"/>
      <w:bookmarkEnd w:id="39412"/>
      <w:r>
        <w:rPr>
          <w:rFonts w:hint="cs"/>
          <w:rtl/>
        </w:rPr>
        <w:t>חובת הסבירות. לא במקרה הם בחרו בחוק הזה, כי החוק הזה בונה את המסגרת הנורמטיבית להמשך ביצוע ההפיכה המשפטית. לא מדובר רק בביטול גורף של עילת הסבירות אלא בביטול חובת הסבירות</w:t>
      </w:r>
      <w:r w:rsidR="008E2003">
        <w:rPr>
          <w:rFonts w:hint="cs"/>
          <w:rtl/>
        </w:rPr>
        <w:t>,</w:t>
      </w:r>
      <w:r>
        <w:rPr>
          <w:rFonts w:hint="cs"/>
          <w:rtl/>
        </w:rPr>
        <w:t xml:space="preserve"> שישאיר חורים שחורים משמעותיים ביכולת של מערכת המשפט לבקר את הרשות המבצעת. </w:t>
      </w:r>
    </w:p>
    <w:p w:rsidR="00BB59CD" w:rsidRDefault="00BB59CD" w:rsidP="00BB59CD">
      <w:pPr>
        <w:rPr>
          <w:rtl/>
        </w:rPr>
      </w:pPr>
    </w:p>
    <w:p w:rsidR="00BB59CD" w:rsidRDefault="00BB59CD" w:rsidP="008E2003">
      <w:pPr>
        <w:rPr>
          <w:rtl/>
        </w:rPr>
      </w:pPr>
      <w:r>
        <w:rPr>
          <w:rFonts w:hint="cs"/>
          <w:rtl/>
        </w:rPr>
        <w:t xml:space="preserve">מדוע זה כל כך בעייתי בעיניי? אם הממשלה בסופו של דבר תצליח להדיח את היועצת המשפטית לממשלה, את פרקליט המדינה, ותסרס את הביקורת השיפוטית האמיתית, ישראל עלולה להפוך לדמוקרטיה חלולה, או בסבירות אפילו גבוהה יותר, למדינה לא דמוקרטית; אני אפילו לא מדבר על ליברליות. </w:t>
      </w:r>
      <w:bookmarkStart w:id="39413" w:name="_ETM_Q73_673000"/>
      <w:bookmarkEnd w:id="39413"/>
      <w:r>
        <w:rPr>
          <w:rFonts w:hint="cs"/>
          <w:rtl/>
        </w:rPr>
        <w:t xml:space="preserve">אנחנו עלולים להפוך למדינה לא דמוקרטית, ללא מערכת משפט עצמאית. ולכן, זו לא רפורמה, </w:t>
      </w:r>
      <w:bookmarkStart w:id="39414" w:name="_ETM_Q73_684000"/>
      <w:bookmarkEnd w:id="39414"/>
      <w:r>
        <w:rPr>
          <w:rFonts w:hint="cs"/>
          <w:rtl/>
        </w:rPr>
        <w:t xml:space="preserve">ולכן הטענה שלנו כי מדובר בהפיכה, בשינוי משטרי </w:t>
      </w:r>
      <w:bookmarkStart w:id="39415" w:name="_ETM_Q73_691000"/>
      <w:bookmarkEnd w:id="39415"/>
      <w:r>
        <w:rPr>
          <w:rFonts w:hint="cs"/>
          <w:rtl/>
        </w:rPr>
        <w:t xml:space="preserve">מאוד חד, חזק וחריף, חתירה פושעת תחת עקרונות מגילת </w:t>
      </w:r>
      <w:bookmarkStart w:id="39416" w:name="_ETM_Q73_700000"/>
      <w:bookmarkEnd w:id="39416"/>
      <w:r>
        <w:rPr>
          <w:rFonts w:hint="cs"/>
          <w:rtl/>
        </w:rPr>
        <w:t xml:space="preserve">העצמאות וערכי היסוד של מדינת ישראל כמדינה יהודית ודמוקרטית. </w:t>
      </w:r>
      <w:bookmarkStart w:id="39417" w:name="_ETM_Q73_701000"/>
      <w:bookmarkEnd w:id="39417"/>
      <w:r>
        <w:rPr>
          <w:rFonts w:hint="cs"/>
          <w:rtl/>
        </w:rPr>
        <w:t xml:space="preserve">אני קובע כאן כי אין עוד דמוקרטיה בעולם </w:t>
      </w:r>
      <w:bookmarkStart w:id="39418" w:name="_ETM_Q73_713000"/>
      <w:bookmarkEnd w:id="39418"/>
      <w:r>
        <w:rPr>
          <w:rFonts w:hint="cs"/>
          <w:rtl/>
        </w:rPr>
        <w:t>– למרות הטענות של בכירי הקואליציה ושרי הממשלה – אין עוד דמוקרטיה</w:t>
      </w:r>
      <w:bookmarkStart w:id="39419" w:name="_ETM_Q73_718000"/>
      <w:bookmarkEnd w:id="39419"/>
      <w:r>
        <w:rPr>
          <w:rFonts w:hint="cs"/>
          <w:rtl/>
        </w:rPr>
        <w:t xml:space="preserve"> בעולם שבה קיימים השינויים שהציגה הקואליציה בחודש ינואר השנה. אני </w:t>
      </w:r>
      <w:bookmarkStart w:id="39420" w:name="_ETM_Q73_727000"/>
      <w:bookmarkEnd w:id="39420"/>
      <w:r>
        <w:rPr>
          <w:rFonts w:hint="cs"/>
          <w:rtl/>
        </w:rPr>
        <w:t xml:space="preserve">רק רוצה להזכיר את הגרסה הראשונה של ההפיכה כפי שהוצגה </w:t>
      </w:r>
      <w:bookmarkStart w:id="39421" w:name="_ETM_Q73_733000"/>
      <w:bookmarkEnd w:id="39421"/>
      <w:r>
        <w:rPr>
          <w:rFonts w:hint="cs"/>
          <w:rtl/>
        </w:rPr>
        <w:t xml:space="preserve">בוועדת החוקה, שבעצם הפכה לוועדת ההפיכה. דיברנו על ועדה </w:t>
      </w:r>
      <w:bookmarkStart w:id="39422" w:name="_ETM_Q73_740000"/>
      <w:bookmarkEnd w:id="39422"/>
      <w:r>
        <w:rPr>
          <w:rFonts w:hint="cs"/>
          <w:rtl/>
        </w:rPr>
        <w:t xml:space="preserve">לבחירת שופטים עם רוב של </w:t>
      </w:r>
      <w:r>
        <w:t>1:8</w:t>
      </w:r>
      <w:r>
        <w:rPr>
          <w:rFonts w:hint="cs"/>
          <w:rtl/>
        </w:rPr>
        <w:t xml:space="preserve"> לקואליציה, 1:8, לא </w:t>
      </w:r>
      <w:bookmarkStart w:id="39423" w:name="_ETM_Q73_746000"/>
      <w:bookmarkEnd w:id="39423"/>
      <w:r>
        <w:rPr>
          <w:rFonts w:hint="cs"/>
          <w:rtl/>
        </w:rPr>
        <w:t xml:space="preserve">פחות; דיברנו כמובן על פסקת התגברות גורפת של 61; </w:t>
      </w:r>
      <w:bookmarkStart w:id="39424" w:name="_ETM_Q73_754000"/>
      <w:bookmarkEnd w:id="39424"/>
      <w:r>
        <w:rPr>
          <w:rFonts w:hint="cs"/>
          <w:rtl/>
        </w:rPr>
        <w:t xml:space="preserve">דיברנו הלכה למעשה על ביטול המעמד של היועצים </w:t>
      </w:r>
      <w:bookmarkStart w:id="39425" w:name="_ETM_Q73_760000"/>
      <w:bookmarkEnd w:id="39425"/>
      <w:r>
        <w:rPr>
          <w:rFonts w:hint="cs"/>
          <w:rtl/>
        </w:rPr>
        <w:t>המשפטיים</w:t>
      </w:r>
      <w:r w:rsidR="008E2003">
        <w:rPr>
          <w:rFonts w:hint="cs"/>
          <w:rtl/>
        </w:rPr>
        <w:t>,</w:t>
      </w:r>
      <w:r>
        <w:rPr>
          <w:rFonts w:hint="cs"/>
          <w:rtl/>
        </w:rPr>
        <w:t xml:space="preserve"> </w:t>
      </w:r>
      <w:bookmarkStart w:id="39426" w:name="_ETM_Q73_767000"/>
      <w:bookmarkStart w:id="39427" w:name="_ETM_Q73_768000"/>
      <w:bookmarkStart w:id="39428" w:name="TOR_Q74"/>
      <w:bookmarkStart w:id="39429" w:name="_ETM_Q74_180000"/>
      <w:bookmarkEnd w:id="39426"/>
      <w:bookmarkEnd w:id="39427"/>
      <w:bookmarkEnd w:id="39428"/>
      <w:bookmarkEnd w:id="39429"/>
      <w:r w:rsidR="008E2003">
        <w:rPr>
          <w:rFonts w:hint="cs"/>
          <w:rtl/>
        </w:rPr>
        <w:t xml:space="preserve"> </w:t>
      </w:r>
      <w:r>
        <w:rPr>
          <w:rFonts w:hint="cs"/>
          <w:rtl/>
        </w:rPr>
        <w:t xml:space="preserve">ודיברנו על מתן אפשרות לבג"ץ לבטל את חוקי הכנסת </w:t>
      </w:r>
      <w:bookmarkStart w:id="39430" w:name="_ETM_Q74_169000"/>
      <w:bookmarkEnd w:id="39430"/>
      <w:r>
        <w:rPr>
          <w:rFonts w:hint="cs"/>
          <w:rtl/>
        </w:rPr>
        <w:t xml:space="preserve">ברוב של, שימו לב, 0:15. 0:15. אני </w:t>
      </w:r>
      <w:bookmarkStart w:id="39431" w:name="_ETM_Q74_171000"/>
      <w:bookmarkEnd w:id="39431"/>
      <w:r>
        <w:rPr>
          <w:rFonts w:hint="cs"/>
          <w:rtl/>
        </w:rPr>
        <w:t xml:space="preserve">זוכר שהיועץ המשפטי של הוועדה ציין בדבריו שרוב שדומה ל-0:15, קיים רק </w:t>
      </w:r>
      <w:bookmarkStart w:id="39432" w:name="_ETM_Q74_180269"/>
      <w:bookmarkStart w:id="39433" w:name="_ETM_Q74_180599"/>
      <w:bookmarkStart w:id="39434" w:name="_ETM_Q74_180659"/>
      <w:bookmarkStart w:id="39435" w:name="_ETM_Q74_180989"/>
      <w:bookmarkStart w:id="39436" w:name="_ETM_Q74_181170"/>
      <w:bookmarkEnd w:id="39432"/>
      <w:bookmarkEnd w:id="39433"/>
      <w:bookmarkEnd w:id="39434"/>
      <w:bookmarkEnd w:id="39435"/>
      <w:bookmarkEnd w:id="39436"/>
      <w:r>
        <w:rPr>
          <w:rFonts w:hint="cs"/>
          <w:rtl/>
        </w:rPr>
        <w:t xml:space="preserve">במדינה </w:t>
      </w:r>
      <w:bookmarkStart w:id="39437" w:name="_ETM_Q74_182919"/>
      <w:bookmarkStart w:id="39438" w:name="_ETM_Q74_183370"/>
      <w:bookmarkEnd w:id="39437"/>
      <w:bookmarkEnd w:id="39438"/>
      <w:r>
        <w:rPr>
          <w:rFonts w:hint="cs"/>
          <w:rtl/>
        </w:rPr>
        <w:t xml:space="preserve">אחת בעולם, </w:t>
      </w:r>
      <w:bookmarkStart w:id="39439" w:name="_ETM_Q74_185559"/>
      <w:bookmarkEnd w:id="39439"/>
      <w:r>
        <w:rPr>
          <w:rFonts w:hint="cs"/>
          <w:rtl/>
        </w:rPr>
        <w:t xml:space="preserve">במדינה </w:t>
      </w:r>
      <w:bookmarkStart w:id="39440" w:name="_ETM_Q74_186189"/>
      <w:bookmarkEnd w:id="39440"/>
      <w:r>
        <w:rPr>
          <w:rFonts w:hint="cs"/>
          <w:rtl/>
        </w:rPr>
        <w:t xml:space="preserve">שהשם </w:t>
      </w:r>
      <w:bookmarkStart w:id="39441" w:name="_ETM_Q74_186609"/>
      <w:bookmarkEnd w:id="39441"/>
      <w:r>
        <w:rPr>
          <w:rFonts w:hint="cs"/>
          <w:rtl/>
        </w:rPr>
        <w:t xml:space="preserve">שלה </w:t>
      </w:r>
      <w:bookmarkStart w:id="39442" w:name="_ETM_Q74_187540"/>
      <w:bookmarkEnd w:id="39442"/>
      <w:r>
        <w:rPr>
          <w:rFonts w:hint="cs"/>
          <w:rtl/>
        </w:rPr>
        <w:t xml:space="preserve">הוא </w:t>
      </w:r>
      <w:bookmarkStart w:id="39443" w:name="_ETM_Q74_187630"/>
      <w:bookmarkEnd w:id="39443"/>
      <w:r>
        <w:rPr>
          <w:rFonts w:hint="cs"/>
          <w:rtl/>
        </w:rPr>
        <w:t xml:space="preserve">סלוודור, </w:t>
      </w:r>
      <w:bookmarkStart w:id="39444" w:name="_ETM_Q74_189289"/>
      <w:bookmarkEnd w:id="39444"/>
      <w:r>
        <w:rPr>
          <w:rFonts w:hint="cs"/>
          <w:rtl/>
        </w:rPr>
        <w:t xml:space="preserve">מדינה </w:t>
      </w:r>
      <w:bookmarkStart w:id="39445" w:name="_ETM_Q74_189830"/>
      <w:bookmarkEnd w:id="39445"/>
      <w:r>
        <w:rPr>
          <w:rFonts w:hint="cs"/>
          <w:rtl/>
        </w:rPr>
        <w:t xml:space="preserve">עם </w:t>
      </w:r>
      <w:bookmarkStart w:id="39446" w:name="_ETM_Q74_190280"/>
      <w:bookmarkEnd w:id="39446"/>
      <w:r>
        <w:rPr>
          <w:rFonts w:hint="cs"/>
          <w:rtl/>
        </w:rPr>
        <w:t xml:space="preserve">מספר </w:t>
      </w:r>
      <w:bookmarkStart w:id="39447" w:name="_ETM_Q74_190789"/>
      <w:bookmarkEnd w:id="39447"/>
      <w:r>
        <w:rPr>
          <w:rFonts w:hint="cs"/>
          <w:rtl/>
        </w:rPr>
        <w:t xml:space="preserve">הרציחות </w:t>
      </w:r>
      <w:bookmarkStart w:id="39448" w:name="_ETM_Q74_192690"/>
      <w:bookmarkEnd w:id="39448"/>
      <w:r>
        <w:rPr>
          <w:rFonts w:hint="cs"/>
          <w:rtl/>
        </w:rPr>
        <w:t xml:space="preserve">לנפש </w:t>
      </w:r>
      <w:bookmarkStart w:id="39449" w:name="_ETM_Q74_194119"/>
      <w:bookmarkEnd w:id="39449"/>
      <w:r>
        <w:rPr>
          <w:rFonts w:hint="cs"/>
          <w:rtl/>
        </w:rPr>
        <w:t xml:space="preserve">הגבוה </w:t>
      </w:r>
      <w:bookmarkStart w:id="39450" w:name="_ETM_Q74_194779"/>
      <w:bookmarkEnd w:id="39450"/>
      <w:r>
        <w:rPr>
          <w:rFonts w:hint="cs"/>
          <w:rtl/>
        </w:rPr>
        <w:t xml:space="preserve">בתבל. </w:t>
      </w:r>
      <w:bookmarkStart w:id="39451" w:name="_ETM_Q74_196360"/>
      <w:bookmarkEnd w:id="39451"/>
    </w:p>
    <w:p w:rsidR="00BB59CD" w:rsidRDefault="00BB59CD" w:rsidP="00BB59CD">
      <w:pPr>
        <w:rPr>
          <w:rtl/>
        </w:rPr>
      </w:pPr>
    </w:p>
    <w:p w:rsidR="00BB59CD" w:rsidRDefault="00BB59CD" w:rsidP="00BB59CD">
      <w:pPr>
        <w:rPr>
          <w:rtl/>
        </w:rPr>
      </w:pPr>
      <w:r>
        <w:rPr>
          <w:rFonts w:hint="cs"/>
          <w:rtl/>
        </w:rPr>
        <w:t xml:space="preserve">זאת </w:t>
      </w:r>
      <w:bookmarkStart w:id="39452" w:name="_ETM_Q74_196810"/>
      <w:bookmarkEnd w:id="39452"/>
      <w:r>
        <w:rPr>
          <w:rFonts w:hint="cs"/>
          <w:rtl/>
        </w:rPr>
        <w:t xml:space="preserve">הייתה </w:t>
      </w:r>
      <w:bookmarkStart w:id="39453" w:name="_ETM_Q74_197380"/>
      <w:bookmarkEnd w:id="39453"/>
      <w:r>
        <w:rPr>
          <w:rFonts w:hint="cs"/>
          <w:rtl/>
        </w:rPr>
        <w:t xml:space="preserve">הגרסה </w:t>
      </w:r>
      <w:bookmarkStart w:id="39454" w:name="_ETM_Q74_198100"/>
      <w:bookmarkEnd w:id="39454"/>
      <w:r>
        <w:rPr>
          <w:rFonts w:hint="cs"/>
          <w:rtl/>
        </w:rPr>
        <w:t xml:space="preserve">הראשונה </w:t>
      </w:r>
      <w:bookmarkStart w:id="39455" w:name="_ETM_Q74_198670"/>
      <w:bookmarkEnd w:id="39455"/>
      <w:r>
        <w:rPr>
          <w:rFonts w:hint="cs"/>
          <w:rtl/>
        </w:rPr>
        <w:t xml:space="preserve">של </w:t>
      </w:r>
      <w:bookmarkStart w:id="39456" w:name="_ETM_Q74_198850"/>
      <w:bookmarkEnd w:id="39456"/>
      <w:r>
        <w:rPr>
          <w:rFonts w:hint="cs"/>
          <w:rtl/>
        </w:rPr>
        <w:t xml:space="preserve">ההפיכה </w:t>
      </w:r>
      <w:bookmarkStart w:id="39457" w:name="_ETM_Q74_199239"/>
      <w:bookmarkEnd w:id="39457"/>
      <w:r>
        <w:rPr>
          <w:rFonts w:hint="cs"/>
          <w:rtl/>
        </w:rPr>
        <w:t xml:space="preserve">המשפטית, </w:t>
      </w:r>
      <w:bookmarkStart w:id="39458" w:name="_ETM_Q74_199779"/>
      <w:bookmarkEnd w:id="39458"/>
      <w:r>
        <w:rPr>
          <w:rFonts w:hint="cs"/>
          <w:rtl/>
        </w:rPr>
        <w:t xml:space="preserve">כפי </w:t>
      </w:r>
      <w:bookmarkStart w:id="39459" w:name="_ETM_Q74_199960"/>
      <w:bookmarkEnd w:id="39459"/>
      <w:r>
        <w:rPr>
          <w:rFonts w:hint="cs"/>
          <w:rtl/>
        </w:rPr>
        <w:t xml:space="preserve">שהוצגה </w:t>
      </w:r>
      <w:bookmarkStart w:id="39460" w:name="_ETM_Q74_201090"/>
      <w:bookmarkEnd w:id="39460"/>
      <w:r>
        <w:rPr>
          <w:rFonts w:hint="cs"/>
          <w:rtl/>
        </w:rPr>
        <w:t xml:space="preserve">על ידי </w:t>
      </w:r>
      <w:bookmarkStart w:id="39461" w:name="_ETM_Q74_201510"/>
      <w:bookmarkEnd w:id="39461"/>
      <w:r>
        <w:rPr>
          <w:rFonts w:hint="cs"/>
          <w:rtl/>
        </w:rPr>
        <w:t xml:space="preserve">שמחה </w:t>
      </w:r>
      <w:bookmarkStart w:id="39462" w:name="_ETM_Q74_201900"/>
      <w:bookmarkEnd w:id="39462"/>
      <w:r>
        <w:rPr>
          <w:rFonts w:hint="cs"/>
          <w:rtl/>
        </w:rPr>
        <w:t xml:space="preserve">רוטמן </w:t>
      </w:r>
      <w:bookmarkStart w:id="39463" w:name="_ETM_Q74_202260"/>
      <w:bookmarkEnd w:id="39463"/>
      <w:r>
        <w:rPr>
          <w:rFonts w:hint="cs"/>
          <w:rtl/>
        </w:rPr>
        <w:t xml:space="preserve">בתחילת </w:t>
      </w:r>
      <w:bookmarkStart w:id="39464" w:name="_ETM_Q74_202800"/>
      <w:bookmarkEnd w:id="39464"/>
      <w:r>
        <w:rPr>
          <w:rFonts w:hint="cs"/>
          <w:rtl/>
        </w:rPr>
        <w:t xml:space="preserve">האירוע. </w:t>
      </w:r>
      <w:bookmarkStart w:id="39465" w:name="_ETM_Q74_204050"/>
      <w:bookmarkEnd w:id="39465"/>
      <w:r>
        <w:rPr>
          <w:rFonts w:hint="cs"/>
          <w:rtl/>
        </w:rPr>
        <w:t xml:space="preserve">אגב, </w:t>
      </w:r>
      <w:bookmarkStart w:id="39466" w:name="_ETM_Q74_205390"/>
      <w:bookmarkEnd w:id="39466"/>
      <w:r>
        <w:rPr>
          <w:rFonts w:hint="cs"/>
          <w:rtl/>
        </w:rPr>
        <w:t xml:space="preserve">אין </w:t>
      </w:r>
      <w:bookmarkStart w:id="39467" w:name="_ETM_Q74_205540"/>
      <w:bookmarkEnd w:id="39467"/>
      <w:r>
        <w:rPr>
          <w:rFonts w:hint="cs"/>
          <w:rtl/>
        </w:rPr>
        <w:t xml:space="preserve">לי </w:t>
      </w:r>
      <w:bookmarkStart w:id="39468" w:name="_ETM_Q74_205600"/>
      <w:bookmarkEnd w:id="39468"/>
      <w:r>
        <w:rPr>
          <w:rFonts w:hint="cs"/>
          <w:rtl/>
        </w:rPr>
        <w:t xml:space="preserve">ספק </w:t>
      </w:r>
      <w:bookmarkStart w:id="39469" w:name="_ETM_Q74_205989"/>
      <w:bookmarkEnd w:id="39469"/>
      <w:r>
        <w:rPr>
          <w:rFonts w:hint="cs"/>
          <w:rtl/>
        </w:rPr>
        <w:t xml:space="preserve">שהם </w:t>
      </w:r>
      <w:bookmarkStart w:id="39470" w:name="_ETM_Q74_206230"/>
      <w:bookmarkEnd w:id="39470"/>
      <w:r>
        <w:rPr>
          <w:rFonts w:hint="cs"/>
          <w:rtl/>
        </w:rPr>
        <w:t xml:space="preserve">היו </w:t>
      </w:r>
      <w:bookmarkStart w:id="39471" w:name="_ETM_Q74_206410"/>
      <w:bookmarkEnd w:id="39471"/>
      <w:r>
        <w:rPr>
          <w:rFonts w:hint="cs"/>
          <w:rtl/>
        </w:rPr>
        <w:t xml:space="preserve">בטוחים </w:t>
      </w:r>
      <w:bookmarkStart w:id="39472" w:name="_ETM_Q74_206920"/>
      <w:bookmarkEnd w:id="39472"/>
      <w:r>
        <w:rPr>
          <w:rFonts w:hint="cs"/>
          <w:rtl/>
        </w:rPr>
        <w:t xml:space="preserve">שעד </w:t>
      </w:r>
      <w:bookmarkStart w:id="39473" w:name="_ETM_Q74_208310"/>
      <w:bookmarkEnd w:id="39473"/>
      <w:r>
        <w:rPr>
          <w:rFonts w:hint="cs"/>
          <w:rtl/>
        </w:rPr>
        <w:t xml:space="preserve">תחילת </w:t>
      </w:r>
      <w:bookmarkStart w:id="39474" w:name="_ETM_Q74_209500"/>
      <w:bookmarkEnd w:id="39474"/>
      <w:r>
        <w:rPr>
          <w:rFonts w:hint="cs"/>
          <w:rtl/>
        </w:rPr>
        <w:t>מרץ</w:t>
      </w:r>
      <w:bookmarkStart w:id="39475" w:name="_ETM_Q74_210070"/>
      <w:bookmarkEnd w:id="39475"/>
      <w:r>
        <w:rPr>
          <w:rFonts w:hint="cs"/>
          <w:rtl/>
        </w:rPr>
        <w:t xml:space="preserve">, אמצע </w:t>
      </w:r>
      <w:bookmarkStart w:id="39476" w:name="_ETM_Q74_210429"/>
      <w:bookmarkEnd w:id="39476"/>
      <w:r>
        <w:rPr>
          <w:rFonts w:hint="cs"/>
          <w:rtl/>
        </w:rPr>
        <w:t xml:space="preserve">מרץ, הם </w:t>
      </w:r>
      <w:bookmarkStart w:id="39477" w:name="_ETM_Q74_210730"/>
      <w:bookmarkStart w:id="39478" w:name="_ETM_Q74_211330"/>
      <w:bookmarkStart w:id="39479" w:name="_ETM_Q74_211449"/>
      <w:bookmarkEnd w:id="39477"/>
      <w:bookmarkEnd w:id="39478"/>
      <w:bookmarkEnd w:id="39479"/>
      <w:r>
        <w:rPr>
          <w:rFonts w:hint="cs"/>
          <w:rtl/>
        </w:rPr>
        <w:t xml:space="preserve">מעבירים </w:t>
      </w:r>
      <w:bookmarkStart w:id="39480" w:name="_ETM_Q74_211840"/>
      <w:bookmarkEnd w:id="39480"/>
      <w:r>
        <w:rPr>
          <w:rFonts w:hint="cs"/>
          <w:rtl/>
        </w:rPr>
        <w:t xml:space="preserve">את </w:t>
      </w:r>
      <w:bookmarkStart w:id="39481" w:name="_ETM_Q74_211929"/>
      <w:bookmarkEnd w:id="39481"/>
      <w:r>
        <w:rPr>
          <w:rFonts w:hint="cs"/>
          <w:rtl/>
        </w:rPr>
        <w:t xml:space="preserve">הכול. </w:t>
      </w:r>
      <w:bookmarkStart w:id="39482" w:name="_ETM_Q74_213250"/>
      <w:bookmarkEnd w:id="39482"/>
      <w:r>
        <w:rPr>
          <w:rFonts w:hint="cs"/>
          <w:rtl/>
        </w:rPr>
        <w:t xml:space="preserve">רק </w:t>
      </w:r>
      <w:bookmarkStart w:id="39483" w:name="_ETM_Q74_213490"/>
      <w:bookmarkEnd w:id="39483"/>
      <w:r>
        <w:rPr>
          <w:rFonts w:hint="cs"/>
          <w:rtl/>
        </w:rPr>
        <w:t xml:space="preserve">שהם </w:t>
      </w:r>
      <w:bookmarkStart w:id="39484" w:name="_ETM_Q74_213909"/>
      <w:bookmarkEnd w:id="39484"/>
      <w:r>
        <w:rPr>
          <w:rFonts w:hint="cs"/>
          <w:rtl/>
        </w:rPr>
        <w:t xml:space="preserve">נתקעו </w:t>
      </w:r>
      <w:bookmarkStart w:id="39485" w:name="_ETM_Q74_214390"/>
      <w:bookmarkEnd w:id="39485"/>
      <w:r>
        <w:rPr>
          <w:rFonts w:hint="cs"/>
          <w:rtl/>
        </w:rPr>
        <w:t xml:space="preserve">בהתנגדות </w:t>
      </w:r>
      <w:bookmarkStart w:id="39486" w:name="_ETM_Q74_216370"/>
      <w:bookmarkEnd w:id="39486"/>
      <w:r>
        <w:rPr>
          <w:rFonts w:hint="cs"/>
          <w:rtl/>
        </w:rPr>
        <w:t xml:space="preserve">מאוד </w:t>
      </w:r>
      <w:bookmarkStart w:id="39487" w:name="_ETM_Q74_216670"/>
      <w:bookmarkEnd w:id="39487"/>
      <w:r>
        <w:rPr>
          <w:rFonts w:hint="cs"/>
          <w:rtl/>
        </w:rPr>
        <w:t xml:space="preserve">מאוד </w:t>
      </w:r>
      <w:bookmarkStart w:id="39488" w:name="_ETM_Q74_217090"/>
      <w:bookmarkEnd w:id="39488"/>
      <w:r>
        <w:rPr>
          <w:rFonts w:hint="cs"/>
          <w:rtl/>
        </w:rPr>
        <w:t xml:space="preserve">חזקה </w:t>
      </w:r>
      <w:bookmarkStart w:id="39489" w:name="_ETM_Q74_217979"/>
      <w:bookmarkEnd w:id="39489"/>
      <w:r>
        <w:rPr>
          <w:rFonts w:hint="cs"/>
          <w:rtl/>
        </w:rPr>
        <w:t xml:space="preserve">גם </w:t>
      </w:r>
      <w:bookmarkStart w:id="39490" w:name="_ETM_Q74_218399"/>
      <w:bookmarkEnd w:id="39490"/>
      <w:r>
        <w:rPr>
          <w:rFonts w:hint="cs"/>
          <w:rtl/>
        </w:rPr>
        <w:t xml:space="preserve">בכנסת </w:t>
      </w:r>
      <w:bookmarkStart w:id="39491" w:name="_ETM_Q74_218969"/>
      <w:bookmarkEnd w:id="39491"/>
      <w:r>
        <w:rPr>
          <w:rFonts w:hint="cs"/>
          <w:rtl/>
        </w:rPr>
        <w:t xml:space="preserve">וגם </w:t>
      </w:r>
      <w:bookmarkStart w:id="39492" w:name="_ETM_Q74_219270"/>
      <w:bookmarkEnd w:id="39492"/>
      <w:r>
        <w:rPr>
          <w:rFonts w:hint="cs"/>
          <w:rtl/>
        </w:rPr>
        <w:t xml:space="preserve">מחוץ </w:t>
      </w:r>
      <w:bookmarkStart w:id="39493" w:name="_ETM_Q74_219539"/>
      <w:bookmarkEnd w:id="39493"/>
      <w:r>
        <w:rPr>
          <w:rFonts w:hint="cs"/>
          <w:rtl/>
        </w:rPr>
        <w:t xml:space="preserve">לכנסת, </w:t>
      </w:r>
      <w:bookmarkStart w:id="39494" w:name="_ETM_Q74_220110"/>
      <w:bookmarkEnd w:id="39494"/>
      <w:r>
        <w:rPr>
          <w:rFonts w:hint="cs"/>
          <w:rtl/>
        </w:rPr>
        <w:t xml:space="preserve">ואם </w:t>
      </w:r>
      <w:bookmarkStart w:id="39495" w:name="_ETM_Q74_220440"/>
      <w:bookmarkEnd w:id="39495"/>
      <w:r>
        <w:rPr>
          <w:rFonts w:hint="cs"/>
          <w:rtl/>
        </w:rPr>
        <w:t xml:space="preserve">יישאר </w:t>
      </w:r>
      <w:bookmarkStart w:id="39496" w:name="_ETM_Q74_220739"/>
      <w:bookmarkEnd w:id="39496"/>
      <w:r>
        <w:rPr>
          <w:rFonts w:hint="cs"/>
          <w:rtl/>
        </w:rPr>
        <w:t xml:space="preserve">לי </w:t>
      </w:r>
      <w:bookmarkStart w:id="39497" w:name="_ETM_Q74_220829"/>
      <w:bookmarkEnd w:id="39497"/>
      <w:r>
        <w:rPr>
          <w:rFonts w:hint="cs"/>
          <w:rtl/>
        </w:rPr>
        <w:t xml:space="preserve">זמן </w:t>
      </w:r>
      <w:bookmarkStart w:id="39498" w:name="_ETM_Q74_221129"/>
      <w:bookmarkEnd w:id="39498"/>
      <w:r>
        <w:rPr>
          <w:rFonts w:hint="cs"/>
          <w:rtl/>
        </w:rPr>
        <w:t xml:space="preserve">אני עוד </w:t>
      </w:r>
      <w:bookmarkStart w:id="39499" w:name="_ETM_Q74_221280"/>
      <w:bookmarkEnd w:id="39499"/>
      <w:r>
        <w:rPr>
          <w:rFonts w:hint="cs"/>
          <w:rtl/>
        </w:rPr>
        <w:t xml:space="preserve">אדבר </w:t>
      </w:r>
      <w:bookmarkStart w:id="39500" w:name="_ETM_Q74_220000"/>
      <w:bookmarkEnd w:id="39500"/>
      <w:r>
        <w:rPr>
          <w:rFonts w:hint="cs"/>
          <w:rtl/>
        </w:rPr>
        <w:t xml:space="preserve">על כך. </w:t>
      </w:r>
    </w:p>
    <w:p w:rsidR="00BB59CD" w:rsidRDefault="00BB59CD" w:rsidP="00BB59CD">
      <w:pPr>
        <w:rPr>
          <w:rtl/>
        </w:rPr>
      </w:pPr>
    </w:p>
    <w:p w:rsidR="00BB59CD" w:rsidRDefault="00BB59CD" w:rsidP="008E2003">
      <w:pPr>
        <w:rPr>
          <w:rtl/>
        </w:rPr>
      </w:pPr>
      <w:bookmarkStart w:id="39501" w:name="_ETM_Q74_223000"/>
      <w:bookmarkStart w:id="39502" w:name="_ETM_Q74_221399"/>
      <w:bookmarkStart w:id="39503" w:name="_ETM_Q74_221760"/>
      <w:bookmarkStart w:id="39504" w:name="_ETM_Q74_223449"/>
      <w:bookmarkEnd w:id="39501"/>
      <w:bookmarkEnd w:id="39502"/>
      <w:bookmarkEnd w:id="39503"/>
      <w:bookmarkEnd w:id="39504"/>
      <w:r>
        <w:rPr>
          <w:rFonts w:hint="cs"/>
          <w:rtl/>
        </w:rPr>
        <w:t xml:space="preserve">אז </w:t>
      </w:r>
      <w:bookmarkStart w:id="39505" w:name="_ETM_Q74_223719"/>
      <w:bookmarkEnd w:id="39505"/>
      <w:r>
        <w:rPr>
          <w:rFonts w:hint="cs"/>
          <w:rtl/>
        </w:rPr>
        <w:t xml:space="preserve">כל </w:t>
      </w:r>
      <w:bookmarkStart w:id="39506" w:name="_ETM_Q74_223929"/>
      <w:bookmarkEnd w:id="39506"/>
      <w:r>
        <w:rPr>
          <w:rFonts w:hint="cs"/>
          <w:rtl/>
        </w:rPr>
        <w:t xml:space="preserve">החוקים </w:t>
      </w:r>
      <w:bookmarkStart w:id="39507" w:name="_ETM_Q74_224379"/>
      <w:bookmarkEnd w:id="39507"/>
      <w:r>
        <w:rPr>
          <w:rFonts w:hint="cs"/>
          <w:rtl/>
        </w:rPr>
        <w:t xml:space="preserve">האלה, </w:t>
      </w:r>
      <w:bookmarkStart w:id="39508" w:name="_ETM_Q74_224949"/>
      <w:bookmarkEnd w:id="39508"/>
      <w:r>
        <w:rPr>
          <w:rFonts w:hint="cs"/>
          <w:rtl/>
        </w:rPr>
        <w:t xml:space="preserve">כפי </w:t>
      </w:r>
      <w:bookmarkStart w:id="39509" w:name="_ETM_Q74_225190"/>
      <w:bookmarkEnd w:id="39509"/>
      <w:r>
        <w:rPr>
          <w:rFonts w:hint="cs"/>
          <w:rtl/>
        </w:rPr>
        <w:t xml:space="preserve">שהגדיר </w:t>
      </w:r>
      <w:bookmarkStart w:id="39510" w:name="_ETM_Q74_225909"/>
      <w:bookmarkEnd w:id="39510"/>
      <w:r>
        <w:rPr>
          <w:rFonts w:hint="cs"/>
          <w:rtl/>
        </w:rPr>
        <w:t xml:space="preserve">אותם </w:t>
      </w:r>
      <w:bookmarkStart w:id="39511" w:name="_ETM_Q74_226239"/>
      <w:bookmarkEnd w:id="39511"/>
      <w:r>
        <w:rPr>
          <w:rFonts w:hint="cs"/>
          <w:rtl/>
        </w:rPr>
        <w:t xml:space="preserve">נכון </w:t>
      </w:r>
      <w:bookmarkStart w:id="39512" w:name="_ETM_Q74_227860"/>
      <w:bookmarkEnd w:id="39512"/>
      <w:r>
        <w:rPr>
          <w:rFonts w:hint="cs"/>
          <w:rtl/>
        </w:rPr>
        <w:t xml:space="preserve">ידידי </w:t>
      </w:r>
      <w:bookmarkStart w:id="39513" w:name="_ETM_Q74_230280"/>
      <w:bookmarkEnd w:id="39513"/>
      <w:r>
        <w:rPr>
          <w:rFonts w:hint="cs"/>
          <w:rtl/>
        </w:rPr>
        <w:t xml:space="preserve">שר </w:t>
      </w:r>
      <w:bookmarkStart w:id="39514" w:name="_ETM_Q74_230640"/>
      <w:bookmarkEnd w:id="39514"/>
      <w:r>
        <w:rPr>
          <w:rFonts w:hint="cs"/>
          <w:rtl/>
        </w:rPr>
        <w:t xml:space="preserve">המשפטים </w:t>
      </w:r>
      <w:bookmarkStart w:id="39515" w:name="_ETM_Q74_231329"/>
      <w:bookmarkEnd w:id="39515"/>
      <w:r>
        <w:rPr>
          <w:rFonts w:hint="cs"/>
          <w:rtl/>
        </w:rPr>
        <w:t xml:space="preserve">חבר </w:t>
      </w:r>
      <w:bookmarkStart w:id="39516" w:name="_ETM_Q74_231570"/>
      <w:bookmarkEnd w:id="39516"/>
      <w:r>
        <w:rPr>
          <w:rFonts w:hint="cs"/>
          <w:rtl/>
        </w:rPr>
        <w:t xml:space="preserve">הכנסת </w:t>
      </w:r>
      <w:bookmarkStart w:id="39517" w:name="_ETM_Q74_231960"/>
      <w:bookmarkEnd w:id="39517"/>
      <w:r>
        <w:rPr>
          <w:rFonts w:hint="cs"/>
          <w:rtl/>
        </w:rPr>
        <w:t xml:space="preserve">יריב </w:t>
      </w:r>
      <w:bookmarkStart w:id="39518" w:name="_ETM_Q74_232290"/>
      <w:bookmarkEnd w:id="39518"/>
      <w:r>
        <w:rPr>
          <w:rFonts w:hint="cs"/>
          <w:rtl/>
        </w:rPr>
        <w:t xml:space="preserve">לוין, </w:t>
      </w:r>
      <w:bookmarkStart w:id="39519" w:name="_ETM_Q74_233250"/>
      <w:bookmarkEnd w:id="39519"/>
      <w:r>
        <w:rPr>
          <w:rFonts w:hint="cs"/>
          <w:rtl/>
        </w:rPr>
        <w:t xml:space="preserve">החוקים </w:t>
      </w:r>
      <w:bookmarkStart w:id="39520" w:name="_ETM_Q74_233910"/>
      <w:bookmarkEnd w:id="39520"/>
      <w:r>
        <w:rPr>
          <w:rFonts w:hint="cs"/>
          <w:rtl/>
        </w:rPr>
        <w:t xml:space="preserve">האלה </w:t>
      </w:r>
      <w:bookmarkStart w:id="39521" w:name="_ETM_Q74_234210"/>
      <w:bookmarkStart w:id="39522" w:name="_ETM_Q74_234420"/>
      <w:bookmarkStart w:id="39523" w:name="_ETM_Q74_237809"/>
      <w:bookmarkEnd w:id="39521"/>
      <w:bookmarkEnd w:id="39522"/>
      <w:bookmarkEnd w:id="39523"/>
      <w:r>
        <w:rPr>
          <w:rFonts w:hint="cs"/>
          <w:rtl/>
        </w:rPr>
        <w:t xml:space="preserve">לא </w:t>
      </w:r>
      <w:bookmarkStart w:id="39524" w:name="_ETM_Q74_238050"/>
      <w:bookmarkEnd w:id="39524"/>
      <w:r>
        <w:rPr>
          <w:rFonts w:hint="cs"/>
          <w:rtl/>
        </w:rPr>
        <w:t xml:space="preserve">יכולים </w:t>
      </w:r>
      <w:bookmarkStart w:id="39525" w:name="_ETM_Q74_238410"/>
      <w:bookmarkEnd w:id="39525"/>
      <w:r>
        <w:rPr>
          <w:rFonts w:hint="cs"/>
          <w:rtl/>
        </w:rPr>
        <w:t xml:space="preserve">להתקיים </w:t>
      </w:r>
      <w:bookmarkStart w:id="39526" w:name="_ETM_Q74_238920"/>
      <w:bookmarkEnd w:id="39526"/>
      <w:r>
        <w:rPr>
          <w:rFonts w:hint="cs"/>
          <w:rtl/>
        </w:rPr>
        <w:t xml:space="preserve">במדינה </w:t>
      </w:r>
      <w:bookmarkStart w:id="39527" w:name="_ETM_Q74_239399"/>
      <w:bookmarkEnd w:id="39527"/>
      <w:r>
        <w:rPr>
          <w:rFonts w:hint="cs"/>
          <w:rtl/>
        </w:rPr>
        <w:t xml:space="preserve">דמוקרטית. </w:t>
      </w:r>
      <w:bookmarkStart w:id="39528" w:name="_ETM_Q74_241409"/>
      <w:bookmarkStart w:id="39529" w:name="_ETM_Q74_247000"/>
      <w:bookmarkEnd w:id="39528"/>
      <w:bookmarkEnd w:id="39529"/>
      <w:r>
        <w:rPr>
          <w:rFonts w:hint="cs"/>
          <w:rtl/>
        </w:rPr>
        <w:t xml:space="preserve">בעידן </w:t>
      </w:r>
      <w:bookmarkStart w:id="39530" w:name="_ETM_Q74_241859"/>
      <w:bookmarkEnd w:id="39530"/>
      <w:r>
        <w:rPr>
          <w:rFonts w:hint="cs"/>
          <w:rtl/>
        </w:rPr>
        <w:t xml:space="preserve">המודרני, </w:t>
      </w:r>
      <w:bookmarkStart w:id="39531" w:name="_ETM_Q74_242639"/>
      <w:bookmarkEnd w:id="39531"/>
      <w:r>
        <w:rPr>
          <w:rFonts w:hint="cs"/>
          <w:rtl/>
        </w:rPr>
        <w:t xml:space="preserve">חבריי, </w:t>
      </w:r>
      <w:bookmarkStart w:id="39532" w:name="_ETM_Q74_243479"/>
      <w:bookmarkEnd w:id="39532"/>
      <w:r>
        <w:rPr>
          <w:rFonts w:hint="cs"/>
          <w:rtl/>
        </w:rPr>
        <w:t xml:space="preserve">הדמוקרטיות </w:t>
      </w:r>
      <w:bookmarkStart w:id="39533" w:name="_ETM_Q74_244590"/>
      <w:bookmarkEnd w:id="39533"/>
      <w:r>
        <w:rPr>
          <w:rFonts w:hint="cs"/>
          <w:rtl/>
        </w:rPr>
        <w:t xml:space="preserve">לא </w:t>
      </w:r>
      <w:bookmarkStart w:id="39534" w:name="_ETM_Q74_244770"/>
      <w:bookmarkEnd w:id="39534"/>
      <w:r>
        <w:rPr>
          <w:rFonts w:hint="cs"/>
          <w:rtl/>
        </w:rPr>
        <w:t xml:space="preserve">נופלות </w:t>
      </w:r>
      <w:bookmarkStart w:id="39535" w:name="_ETM_Q74_245819"/>
      <w:bookmarkEnd w:id="39535"/>
      <w:r>
        <w:rPr>
          <w:rFonts w:hint="cs"/>
          <w:rtl/>
        </w:rPr>
        <w:t xml:space="preserve">בִּן </w:t>
      </w:r>
      <w:bookmarkStart w:id="39536" w:name="_ETM_Q74_246090"/>
      <w:bookmarkEnd w:id="39536"/>
      <w:r>
        <w:rPr>
          <w:rFonts w:hint="cs"/>
          <w:rtl/>
        </w:rPr>
        <w:t xml:space="preserve">לילה. </w:t>
      </w:r>
      <w:bookmarkStart w:id="39537" w:name="_ETM_Q74_247530"/>
      <w:bookmarkEnd w:id="39537"/>
      <w:r>
        <w:rPr>
          <w:rFonts w:hint="cs"/>
          <w:rtl/>
        </w:rPr>
        <w:t xml:space="preserve">פרופ' </w:t>
      </w:r>
      <w:bookmarkStart w:id="39538" w:name="_ETM_Q74_248100"/>
      <w:bookmarkEnd w:id="39538"/>
      <w:r>
        <w:rPr>
          <w:rFonts w:hint="cs"/>
          <w:rtl/>
        </w:rPr>
        <w:t>וויצ'ך</w:t>
      </w:r>
      <w:bookmarkStart w:id="39539" w:name="_ETM_Q74_249149"/>
      <w:bookmarkStart w:id="39540" w:name="_ETM_Q74_249329"/>
      <w:bookmarkEnd w:id="39539"/>
      <w:bookmarkEnd w:id="39540"/>
      <w:r>
        <w:rPr>
          <w:rFonts w:hint="cs"/>
          <w:rtl/>
        </w:rPr>
        <w:t xml:space="preserve"> </w:t>
      </w:r>
      <w:bookmarkStart w:id="39541" w:name="_ETM_Q74_249569"/>
      <w:bookmarkEnd w:id="39541"/>
      <w:r>
        <w:rPr>
          <w:rFonts w:hint="cs"/>
          <w:rtl/>
        </w:rPr>
        <w:t xml:space="preserve">סדורסקי </w:t>
      </w:r>
      <w:bookmarkStart w:id="39542" w:name="_ETM_Q74_251500"/>
      <w:bookmarkEnd w:id="39542"/>
      <w:r>
        <w:rPr>
          <w:rFonts w:hint="cs"/>
          <w:rtl/>
        </w:rPr>
        <w:t xml:space="preserve">כתב </w:t>
      </w:r>
      <w:bookmarkStart w:id="39543" w:name="_ETM_Q74_251890"/>
      <w:bookmarkEnd w:id="39543"/>
      <w:r>
        <w:rPr>
          <w:rFonts w:hint="cs"/>
          <w:rtl/>
        </w:rPr>
        <w:t xml:space="preserve">בספרו </w:t>
      </w:r>
      <w:bookmarkStart w:id="39544" w:name="_ETM_Q74_253619"/>
      <w:bookmarkEnd w:id="39544"/>
      <w:r>
        <w:rPr>
          <w:rFonts w:hint="cs"/>
          <w:rtl/>
        </w:rPr>
        <w:t xml:space="preserve">כיצד </w:t>
      </w:r>
      <w:bookmarkStart w:id="39545" w:name="_ETM_Q74_254100"/>
      <w:bookmarkEnd w:id="39545"/>
      <w:r>
        <w:rPr>
          <w:rFonts w:hint="cs"/>
          <w:rtl/>
        </w:rPr>
        <w:t xml:space="preserve">קרסה </w:t>
      </w:r>
      <w:bookmarkStart w:id="39546" w:name="_ETM_Q74_254640"/>
      <w:bookmarkEnd w:id="39546"/>
      <w:r>
        <w:rPr>
          <w:rFonts w:hint="cs"/>
          <w:rtl/>
        </w:rPr>
        <w:t xml:space="preserve">הדמוקרטיה </w:t>
      </w:r>
      <w:bookmarkStart w:id="39547" w:name="_ETM_Q74_255299"/>
      <w:bookmarkEnd w:id="39547"/>
      <w:r>
        <w:rPr>
          <w:rFonts w:hint="cs"/>
          <w:rtl/>
        </w:rPr>
        <w:t>בפולין</w:t>
      </w:r>
      <w:bookmarkStart w:id="39548" w:name="_ETM_Q74_256630"/>
      <w:bookmarkEnd w:id="39548"/>
      <w:r>
        <w:rPr>
          <w:rFonts w:hint="cs"/>
          <w:rtl/>
        </w:rPr>
        <w:t xml:space="preserve">. הוא </w:t>
      </w:r>
      <w:bookmarkStart w:id="39549" w:name="_ETM_Q74_256779"/>
      <w:bookmarkEnd w:id="39549"/>
      <w:r>
        <w:rPr>
          <w:rFonts w:hint="cs"/>
          <w:rtl/>
        </w:rPr>
        <w:t xml:space="preserve">כתב </w:t>
      </w:r>
      <w:bookmarkStart w:id="39550" w:name="_ETM_Q74_257170"/>
      <w:bookmarkEnd w:id="39550"/>
      <w:r>
        <w:rPr>
          <w:rFonts w:hint="cs"/>
          <w:rtl/>
        </w:rPr>
        <w:t xml:space="preserve">כי </w:t>
      </w:r>
      <w:bookmarkStart w:id="39551" w:name="_ETM_Q74_257319"/>
      <w:bookmarkEnd w:id="39551"/>
      <w:r>
        <w:rPr>
          <w:rFonts w:hint="cs"/>
          <w:rtl/>
        </w:rPr>
        <w:t xml:space="preserve">קשה </w:t>
      </w:r>
      <w:bookmarkStart w:id="39552" w:name="_ETM_Q74_257679"/>
      <w:bookmarkEnd w:id="39552"/>
      <w:r>
        <w:rPr>
          <w:rFonts w:hint="cs"/>
          <w:rtl/>
        </w:rPr>
        <w:t xml:space="preserve">לשים </w:t>
      </w:r>
      <w:bookmarkStart w:id="39553" w:name="_ETM_Q74_258069"/>
      <w:bookmarkEnd w:id="39553"/>
      <w:r>
        <w:rPr>
          <w:rFonts w:hint="cs"/>
          <w:rtl/>
        </w:rPr>
        <w:t xml:space="preserve">את </w:t>
      </w:r>
      <w:bookmarkStart w:id="39554" w:name="_ETM_Q74_258249"/>
      <w:bookmarkEnd w:id="39554"/>
      <w:r>
        <w:rPr>
          <w:rFonts w:hint="cs"/>
          <w:rtl/>
        </w:rPr>
        <w:t xml:space="preserve">האצבע </w:t>
      </w:r>
      <w:bookmarkStart w:id="39555" w:name="_ETM_Q74_258969"/>
      <w:bookmarkEnd w:id="39555"/>
      <w:r>
        <w:rPr>
          <w:rFonts w:hint="cs"/>
          <w:rtl/>
        </w:rPr>
        <w:t xml:space="preserve">על </w:t>
      </w:r>
      <w:bookmarkStart w:id="39556" w:name="_ETM_Q74_259179"/>
      <w:bookmarkEnd w:id="39556"/>
      <w:r>
        <w:rPr>
          <w:rFonts w:hint="cs"/>
          <w:rtl/>
        </w:rPr>
        <w:t xml:space="preserve">האירוע </w:t>
      </w:r>
      <w:bookmarkStart w:id="39557" w:name="_ETM_Q74_259569"/>
      <w:bookmarkEnd w:id="39557"/>
      <w:r>
        <w:rPr>
          <w:rFonts w:hint="cs"/>
          <w:rtl/>
        </w:rPr>
        <w:t xml:space="preserve">שהיווה </w:t>
      </w:r>
      <w:bookmarkStart w:id="39558" w:name="_ETM_Q74_260349"/>
      <w:bookmarkStart w:id="39559" w:name="_ETM_Q74_260889"/>
      <w:bookmarkEnd w:id="39558"/>
      <w:bookmarkEnd w:id="39559"/>
      <w:r>
        <w:rPr>
          <w:rFonts w:hint="cs"/>
          <w:rtl/>
        </w:rPr>
        <w:t xml:space="preserve">את </w:t>
      </w:r>
      <w:bookmarkStart w:id="39560" w:name="_ETM_Q74_261099"/>
      <w:bookmarkEnd w:id="39560"/>
      <w:r>
        <w:rPr>
          <w:rFonts w:hint="cs"/>
          <w:rtl/>
        </w:rPr>
        <w:t xml:space="preserve">נקודת </w:t>
      </w:r>
      <w:bookmarkStart w:id="39561" w:name="_ETM_Q74_261549"/>
      <w:bookmarkEnd w:id="39561"/>
      <w:r>
        <w:rPr>
          <w:rFonts w:hint="cs"/>
          <w:rtl/>
        </w:rPr>
        <w:t xml:space="preserve">המפנה: </w:t>
      </w:r>
      <w:bookmarkStart w:id="39562" w:name="_ETM_Q74_262659"/>
      <w:bookmarkEnd w:id="39562"/>
      <w:r>
        <w:rPr>
          <w:rFonts w:hint="cs"/>
          <w:rtl/>
        </w:rPr>
        <w:t xml:space="preserve">אף </w:t>
      </w:r>
      <w:bookmarkStart w:id="39563" w:name="_ETM_Q74_262899"/>
      <w:bookmarkEnd w:id="39563"/>
      <w:r>
        <w:rPr>
          <w:rFonts w:hint="cs"/>
          <w:rtl/>
        </w:rPr>
        <w:t xml:space="preserve">חוק </w:t>
      </w:r>
      <w:bookmarkStart w:id="39564" w:name="_ETM_Q74_263229"/>
      <w:bookmarkEnd w:id="39564"/>
      <w:r>
        <w:rPr>
          <w:rFonts w:hint="cs"/>
          <w:rtl/>
        </w:rPr>
        <w:t xml:space="preserve">חדש, </w:t>
      </w:r>
      <w:bookmarkStart w:id="39565" w:name="_ETM_Q74_264130"/>
      <w:bookmarkEnd w:id="39565"/>
      <w:r>
        <w:rPr>
          <w:rFonts w:hint="cs"/>
          <w:rtl/>
        </w:rPr>
        <w:t xml:space="preserve">החלטה </w:t>
      </w:r>
      <w:bookmarkStart w:id="39566" w:name="_ETM_Q74_265520"/>
      <w:bookmarkEnd w:id="39566"/>
      <w:r>
        <w:rPr>
          <w:rFonts w:hint="cs"/>
          <w:rtl/>
        </w:rPr>
        <w:t xml:space="preserve">או </w:t>
      </w:r>
      <w:bookmarkStart w:id="39567" w:name="_ETM_Q74_265670"/>
      <w:bookmarkEnd w:id="39567"/>
      <w:r>
        <w:rPr>
          <w:rFonts w:hint="cs"/>
          <w:rtl/>
        </w:rPr>
        <w:t xml:space="preserve">שינוי </w:t>
      </w:r>
      <w:bookmarkStart w:id="39568" w:name="_ETM_Q74_267459"/>
      <w:bookmarkEnd w:id="39568"/>
      <w:r>
        <w:rPr>
          <w:rFonts w:hint="cs"/>
          <w:rtl/>
        </w:rPr>
        <w:t xml:space="preserve">לא </w:t>
      </w:r>
      <w:bookmarkStart w:id="39569" w:name="_ETM_Q74_267640"/>
      <w:bookmarkEnd w:id="39569"/>
      <w:r>
        <w:rPr>
          <w:rFonts w:hint="cs"/>
          <w:rtl/>
        </w:rPr>
        <w:t xml:space="preserve">נראו </w:t>
      </w:r>
      <w:bookmarkStart w:id="39570" w:name="_ETM_Q74_267909"/>
      <w:bookmarkEnd w:id="39570"/>
      <w:r>
        <w:rPr>
          <w:rFonts w:hint="cs"/>
          <w:rtl/>
        </w:rPr>
        <w:t xml:space="preserve">מספיק </w:t>
      </w:r>
      <w:bookmarkStart w:id="39571" w:name="_ETM_Q74_269150"/>
      <w:bookmarkEnd w:id="39571"/>
      <w:r>
        <w:rPr>
          <w:rFonts w:hint="cs"/>
          <w:rtl/>
        </w:rPr>
        <w:t>ל</w:t>
      </w:r>
      <w:bookmarkStart w:id="39572" w:name="_ETM_Q74_269299"/>
      <w:bookmarkEnd w:id="39572"/>
      <w:r>
        <w:rPr>
          <w:rFonts w:hint="cs"/>
          <w:rtl/>
        </w:rPr>
        <w:t xml:space="preserve">זעקות </w:t>
      </w:r>
      <w:bookmarkStart w:id="39573" w:name="_ETM_Q74_269750"/>
      <w:bookmarkEnd w:id="39573"/>
      <w:r>
        <w:rPr>
          <w:rFonts w:hint="cs"/>
          <w:rtl/>
        </w:rPr>
        <w:t xml:space="preserve">שבר. </w:t>
      </w:r>
      <w:bookmarkStart w:id="39574" w:name="_ETM_Q74_271280"/>
      <w:bookmarkEnd w:id="39574"/>
      <w:r>
        <w:rPr>
          <w:rFonts w:hint="cs"/>
          <w:rtl/>
        </w:rPr>
        <w:t xml:space="preserve">אלא </w:t>
      </w:r>
      <w:bookmarkStart w:id="39575" w:name="_ETM_Q74_271549"/>
      <w:bookmarkEnd w:id="39575"/>
      <w:r>
        <w:rPr>
          <w:rFonts w:hint="cs"/>
          <w:rtl/>
        </w:rPr>
        <w:t xml:space="preserve">שבבחינה </w:t>
      </w:r>
      <w:bookmarkStart w:id="39576" w:name="_ETM_Q74_272330"/>
      <w:bookmarkEnd w:id="39576"/>
      <w:r>
        <w:rPr>
          <w:rFonts w:hint="cs"/>
          <w:rtl/>
        </w:rPr>
        <w:t xml:space="preserve">בדיעבד </w:t>
      </w:r>
      <w:bookmarkStart w:id="39577" w:name="_ETM_Q74_273319"/>
      <w:bookmarkEnd w:id="39577"/>
      <w:r>
        <w:rPr>
          <w:rFonts w:hint="cs"/>
          <w:rtl/>
        </w:rPr>
        <w:t xml:space="preserve">הבינו </w:t>
      </w:r>
      <w:bookmarkStart w:id="39578" w:name="_ETM_Q74_273799"/>
      <w:bookmarkEnd w:id="39578"/>
      <w:r>
        <w:rPr>
          <w:rFonts w:hint="cs"/>
          <w:rtl/>
        </w:rPr>
        <w:t xml:space="preserve">הפולנים </w:t>
      </w:r>
      <w:bookmarkStart w:id="39579" w:name="_ETM_Q74_274819"/>
      <w:bookmarkEnd w:id="39579"/>
      <w:r>
        <w:rPr>
          <w:rFonts w:hint="cs"/>
          <w:rtl/>
        </w:rPr>
        <w:t xml:space="preserve">שהקו </w:t>
      </w:r>
      <w:bookmarkStart w:id="39580" w:name="_ETM_Q74_275420"/>
      <w:bookmarkEnd w:id="39580"/>
      <w:r>
        <w:rPr>
          <w:rFonts w:hint="cs"/>
          <w:rtl/>
        </w:rPr>
        <w:t xml:space="preserve">המפריד </w:t>
      </w:r>
      <w:bookmarkStart w:id="39581" w:name="_ETM_Q74_276290"/>
      <w:bookmarkEnd w:id="39581"/>
      <w:r>
        <w:rPr>
          <w:rFonts w:hint="cs"/>
          <w:rtl/>
        </w:rPr>
        <w:t xml:space="preserve">בין </w:t>
      </w:r>
      <w:bookmarkStart w:id="39582" w:name="_ETM_Q74_276530"/>
      <w:bookmarkEnd w:id="39582"/>
      <w:r>
        <w:rPr>
          <w:rFonts w:hint="cs"/>
          <w:rtl/>
        </w:rPr>
        <w:t xml:space="preserve">דמוקרטיה </w:t>
      </w:r>
      <w:bookmarkStart w:id="39583" w:name="_ETM_Q74_277340"/>
      <w:bookmarkEnd w:id="39583"/>
      <w:r>
        <w:rPr>
          <w:rFonts w:hint="cs"/>
          <w:rtl/>
        </w:rPr>
        <w:t xml:space="preserve">ליברלית </w:t>
      </w:r>
      <w:bookmarkStart w:id="39584" w:name="_ETM_Q74_278209"/>
      <w:bookmarkEnd w:id="39584"/>
      <w:r>
        <w:rPr>
          <w:rFonts w:hint="cs"/>
          <w:rtl/>
        </w:rPr>
        <w:t>לדמוקרטיה</w:t>
      </w:r>
      <w:bookmarkStart w:id="39585" w:name="_ETM_Q74_279530"/>
      <w:bookmarkEnd w:id="39585"/>
      <w:r>
        <w:rPr>
          <w:rFonts w:hint="cs"/>
          <w:rtl/>
        </w:rPr>
        <w:t xml:space="preserve"> </w:t>
      </w:r>
      <w:bookmarkStart w:id="39586" w:name="_ETM_Q74_279890"/>
      <w:bookmarkEnd w:id="39586"/>
      <w:r>
        <w:rPr>
          <w:rFonts w:hint="cs"/>
          <w:rtl/>
        </w:rPr>
        <w:t>מזויפת</w:t>
      </w:r>
      <w:bookmarkStart w:id="39587" w:name="_ETM_Q74_281350"/>
      <w:bookmarkEnd w:id="39587"/>
      <w:r>
        <w:rPr>
          <w:rFonts w:hint="cs"/>
          <w:rtl/>
        </w:rPr>
        <w:t xml:space="preserve"> </w:t>
      </w:r>
      <w:bookmarkStart w:id="39588" w:name="_ETM_Q74_281409"/>
      <w:bookmarkEnd w:id="39588"/>
      <w:r>
        <w:rPr>
          <w:rFonts w:hint="cs"/>
          <w:rtl/>
        </w:rPr>
        <w:t xml:space="preserve">כבר נחצה. </w:t>
      </w:r>
      <w:bookmarkStart w:id="39589" w:name="_ETM_Q74_281700"/>
      <w:bookmarkStart w:id="39590" w:name="_ETM_Q74_283289"/>
      <w:bookmarkEnd w:id="39589"/>
      <w:bookmarkEnd w:id="39590"/>
      <w:r>
        <w:rPr>
          <w:rFonts w:hint="cs"/>
          <w:rtl/>
        </w:rPr>
        <w:t xml:space="preserve">גם </w:t>
      </w:r>
      <w:bookmarkStart w:id="39591" w:name="_ETM_Q74_283590"/>
      <w:bookmarkEnd w:id="39591"/>
      <w:r>
        <w:rPr>
          <w:rFonts w:hint="cs"/>
          <w:rtl/>
        </w:rPr>
        <w:t xml:space="preserve">פרופ' </w:t>
      </w:r>
      <w:bookmarkStart w:id="39592" w:name="_ETM_Q74_284130"/>
      <w:bookmarkEnd w:id="39592"/>
      <w:r>
        <w:rPr>
          <w:rFonts w:hint="cs"/>
          <w:rtl/>
        </w:rPr>
        <w:t xml:space="preserve">גינסבורג </w:t>
      </w:r>
      <w:bookmarkStart w:id="39593" w:name="_ETM_Q74_284819"/>
      <w:bookmarkStart w:id="39594" w:name="_ETM_Q74_285270"/>
      <w:bookmarkEnd w:id="39593"/>
      <w:bookmarkEnd w:id="39594"/>
      <w:r>
        <w:rPr>
          <w:rFonts w:hint="cs"/>
          <w:rtl/>
        </w:rPr>
        <w:t xml:space="preserve">ופרופ' </w:t>
      </w:r>
      <w:bookmarkStart w:id="39595" w:name="_ETM_Q74_285959"/>
      <w:bookmarkEnd w:id="39595"/>
      <w:r>
        <w:rPr>
          <w:rFonts w:hint="cs"/>
          <w:rtl/>
        </w:rPr>
        <w:t xml:space="preserve">עזיז </w:t>
      </w:r>
      <w:bookmarkStart w:id="39596" w:name="_ETM_Q74_286909"/>
      <w:bookmarkEnd w:id="39596"/>
      <w:r>
        <w:rPr>
          <w:rFonts w:hint="cs"/>
          <w:rtl/>
        </w:rPr>
        <w:t xml:space="preserve">מראים </w:t>
      </w:r>
      <w:bookmarkStart w:id="39597" w:name="_ETM_Q74_287299"/>
      <w:bookmarkEnd w:id="39597"/>
      <w:r>
        <w:rPr>
          <w:rFonts w:hint="cs"/>
          <w:rtl/>
        </w:rPr>
        <w:t xml:space="preserve">בספרם </w:t>
      </w:r>
      <w:bookmarkStart w:id="39598" w:name="_ETM_Q74_288979"/>
      <w:bookmarkEnd w:id="39598"/>
      <w:r>
        <w:rPr>
          <w:rFonts w:hint="cs"/>
          <w:rtl/>
        </w:rPr>
        <w:t xml:space="preserve">כי </w:t>
      </w:r>
      <w:bookmarkStart w:id="39599" w:name="_ETM_Q74_289159"/>
      <w:bookmarkEnd w:id="39599"/>
      <w:r>
        <w:rPr>
          <w:rFonts w:hint="cs"/>
          <w:rtl/>
        </w:rPr>
        <w:t xml:space="preserve">המרכיב </w:t>
      </w:r>
      <w:bookmarkStart w:id="39600" w:name="_ETM_Q74_289610"/>
      <w:bookmarkEnd w:id="39600"/>
      <w:r>
        <w:rPr>
          <w:rFonts w:hint="cs"/>
          <w:rtl/>
        </w:rPr>
        <w:t xml:space="preserve">המרכזי </w:t>
      </w:r>
      <w:bookmarkStart w:id="39601" w:name="_ETM_Q74_290270"/>
      <w:bookmarkEnd w:id="39601"/>
      <w:r>
        <w:rPr>
          <w:rFonts w:hint="cs"/>
          <w:rtl/>
        </w:rPr>
        <w:t xml:space="preserve">בשחיקה </w:t>
      </w:r>
      <w:bookmarkStart w:id="39602" w:name="_ETM_Q74_291789"/>
      <w:bookmarkEnd w:id="39602"/>
      <w:r>
        <w:rPr>
          <w:rFonts w:hint="cs"/>
          <w:rtl/>
        </w:rPr>
        <w:t xml:space="preserve">של </w:t>
      </w:r>
      <w:bookmarkStart w:id="39603" w:name="_ETM_Q74_292029"/>
      <w:bookmarkEnd w:id="39603"/>
      <w:r>
        <w:rPr>
          <w:rFonts w:hint="cs"/>
          <w:rtl/>
        </w:rPr>
        <w:t>הדמוקרטיה הוא,</w:t>
      </w:r>
      <w:bookmarkStart w:id="39604" w:name="_ETM_Q74_293499"/>
      <w:bookmarkEnd w:id="39604"/>
      <w:r>
        <w:rPr>
          <w:rFonts w:hint="cs"/>
          <w:rtl/>
        </w:rPr>
        <w:t xml:space="preserve"> </w:t>
      </w:r>
      <w:bookmarkStart w:id="39605" w:name="_ETM_Q74_289000"/>
      <w:bookmarkEnd w:id="39605"/>
      <w:r>
        <w:rPr>
          <w:rFonts w:hint="cs"/>
          <w:rtl/>
        </w:rPr>
        <w:t xml:space="preserve">שימו </w:t>
      </w:r>
      <w:bookmarkStart w:id="39606" w:name="_ETM_Q74_294710"/>
      <w:bookmarkEnd w:id="39606"/>
      <w:r>
        <w:rPr>
          <w:rFonts w:hint="cs"/>
          <w:rtl/>
        </w:rPr>
        <w:t>לב</w:t>
      </w:r>
      <w:bookmarkStart w:id="39607" w:name="_ETM_Q74_295399"/>
      <w:bookmarkEnd w:id="39607"/>
      <w:r>
        <w:rPr>
          <w:rFonts w:hint="cs"/>
          <w:rtl/>
        </w:rPr>
        <w:t xml:space="preserve">, הדרגתיות, </w:t>
      </w:r>
      <w:bookmarkStart w:id="39608" w:name="_ETM_Q74_296869"/>
      <w:bookmarkEnd w:id="39608"/>
      <w:r>
        <w:rPr>
          <w:rFonts w:hint="cs"/>
          <w:rtl/>
        </w:rPr>
        <w:t xml:space="preserve">שמורכבת </w:t>
      </w:r>
      <w:bookmarkStart w:id="39609" w:name="_ETM_Q74_297590"/>
      <w:bookmarkEnd w:id="39609"/>
      <w:r>
        <w:rPr>
          <w:rFonts w:hint="cs"/>
          <w:rtl/>
        </w:rPr>
        <w:t xml:space="preserve">מצעדים </w:t>
      </w:r>
      <w:bookmarkStart w:id="39610" w:name="_ETM_Q74_298130"/>
      <w:bookmarkEnd w:id="39610"/>
      <w:r>
        <w:rPr>
          <w:rFonts w:hint="cs"/>
          <w:rtl/>
        </w:rPr>
        <w:t>קטנים, או</w:t>
      </w:r>
      <w:bookmarkStart w:id="39611" w:name="_ETM_Q74_299539"/>
      <w:bookmarkEnd w:id="39611"/>
      <w:r>
        <w:rPr>
          <w:rFonts w:hint="cs"/>
          <w:rtl/>
        </w:rPr>
        <w:t xml:space="preserve"> </w:t>
      </w:r>
      <w:bookmarkStart w:id="39612" w:name="_ETM_Q74_300350"/>
      <w:bookmarkEnd w:id="39612"/>
      <w:r>
        <w:rPr>
          <w:rFonts w:hint="cs"/>
          <w:rtl/>
        </w:rPr>
        <w:t xml:space="preserve">במילים </w:t>
      </w:r>
      <w:bookmarkStart w:id="39613" w:name="_ETM_Q74_301500"/>
      <w:bookmarkEnd w:id="39613"/>
      <w:r>
        <w:rPr>
          <w:rFonts w:hint="cs"/>
          <w:rtl/>
        </w:rPr>
        <w:t xml:space="preserve">של </w:t>
      </w:r>
      <w:bookmarkStart w:id="39614" w:name="_ETM_Q74_302430"/>
      <w:bookmarkEnd w:id="39614"/>
      <w:r>
        <w:rPr>
          <w:rFonts w:hint="cs"/>
          <w:rtl/>
        </w:rPr>
        <w:t xml:space="preserve">הקואליציה </w:t>
      </w:r>
      <w:bookmarkStart w:id="39615" w:name="_ETM_Q74_303270"/>
      <w:bookmarkEnd w:id="39615"/>
      <w:r>
        <w:rPr>
          <w:rFonts w:hint="cs"/>
          <w:rtl/>
        </w:rPr>
        <w:t xml:space="preserve">שלנו, </w:t>
      </w:r>
      <w:bookmarkStart w:id="39616" w:name="_ETM_Q74_303810"/>
      <w:bookmarkEnd w:id="39616"/>
      <w:r>
        <w:rPr>
          <w:rFonts w:hint="cs"/>
          <w:rtl/>
        </w:rPr>
        <w:t xml:space="preserve">שיטת </w:t>
      </w:r>
      <w:bookmarkStart w:id="39617" w:name="_ETM_Q74_304290"/>
      <w:bookmarkEnd w:id="39617"/>
      <w:r>
        <w:rPr>
          <w:rFonts w:hint="cs"/>
          <w:rtl/>
        </w:rPr>
        <w:t xml:space="preserve">הסלמי. </w:t>
      </w:r>
      <w:bookmarkStart w:id="39618" w:name="_ETM_Q74_308200"/>
      <w:bookmarkEnd w:id="39618"/>
      <w:r>
        <w:rPr>
          <w:rFonts w:hint="cs"/>
          <w:rtl/>
        </w:rPr>
        <w:t xml:space="preserve">כשכל </w:t>
      </w:r>
      <w:bookmarkStart w:id="39619" w:name="_ETM_Q74_308650"/>
      <w:bookmarkStart w:id="39620" w:name="_ETM_Q74_309250"/>
      <w:bookmarkEnd w:id="39619"/>
      <w:bookmarkEnd w:id="39620"/>
      <w:r>
        <w:rPr>
          <w:rFonts w:hint="cs"/>
          <w:rtl/>
        </w:rPr>
        <w:t xml:space="preserve">אחד מהצעדים, </w:t>
      </w:r>
      <w:bookmarkStart w:id="39621" w:name="_ETM_Q74_310270"/>
      <w:bookmarkEnd w:id="39621"/>
      <w:r>
        <w:rPr>
          <w:rFonts w:hint="cs"/>
          <w:rtl/>
        </w:rPr>
        <w:t xml:space="preserve">שחלקם </w:t>
      </w:r>
      <w:bookmarkStart w:id="39622" w:name="_ETM_Q74_311430"/>
      <w:bookmarkEnd w:id="39622"/>
      <w:r>
        <w:rPr>
          <w:rFonts w:hint="cs"/>
          <w:rtl/>
        </w:rPr>
        <w:t xml:space="preserve">אף </w:t>
      </w:r>
      <w:bookmarkStart w:id="39623" w:name="_ETM_Q74_311730"/>
      <w:bookmarkEnd w:id="39623"/>
      <w:r>
        <w:rPr>
          <w:rFonts w:hint="cs"/>
          <w:rtl/>
        </w:rPr>
        <w:t xml:space="preserve">לגיטימיים </w:t>
      </w:r>
      <w:bookmarkStart w:id="39624" w:name="_ETM_Q74_312870"/>
      <w:bookmarkEnd w:id="39624"/>
      <w:r>
        <w:rPr>
          <w:rFonts w:hint="cs"/>
          <w:rtl/>
        </w:rPr>
        <w:t xml:space="preserve">במידה </w:t>
      </w:r>
      <w:bookmarkStart w:id="39625" w:name="_ETM_Q74_313350"/>
      <w:bookmarkEnd w:id="39625"/>
      <w:r>
        <w:rPr>
          <w:rFonts w:hint="cs"/>
          <w:rtl/>
        </w:rPr>
        <w:t xml:space="preserve">כזו </w:t>
      </w:r>
      <w:bookmarkStart w:id="39626" w:name="_ETM_Q74_313740"/>
      <w:bookmarkEnd w:id="39626"/>
      <w:r>
        <w:rPr>
          <w:rFonts w:hint="cs"/>
          <w:rtl/>
        </w:rPr>
        <w:t xml:space="preserve">או </w:t>
      </w:r>
      <w:bookmarkStart w:id="39627" w:name="_ETM_Q74_313770"/>
      <w:bookmarkEnd w:id="39627"/>
      <w:r>
        <w:rPr>
          <w:rFonts w:hint="cs"/>
          <w:rtl/>
        </w:rPr>
        <w:t xml:space="preserve">אחרת, </w:t>
      </w:r>
      <w:bookmarkStart w:id="39628" w:name="_ETM_Q74_315579"/>
      <w:bookmarkEnd w:id="39628"/>
      <w:r>
        <w:rPr>
          <w:rFonts w:hint="cs"/>
          <w:rtl/>
        </w:rPr>
        <w:t xml:space="preserve">נבחן </w:t>
      </w:r>
      <w:bookmarkStart w:id="39629" w:name="_ETM_Q74_316030"/>
      <w:bookmarkEnd w:id="39629"/>
      <w:r>
        <w:rPr>
          <w:rFonts w:hint="cs"/>
          <w:rtl/>
        </w:rPr>
        <w:t xml:space="preserve">בפני </w:t>
      </w:r>
      <w:bookmarkStart w:id="39630" w:name="_ETM_Q74_316329"/>
      <w:bookmarkEnd w:id="39630"/>
      <w:r>
        <w:rPr>
          <w:rFonts w:hint="cs"/>
          <w:rtl/>
        </w:rPr>
        <w:t xml:space="preserve">עצמו, </w:t>
      </w:r>
      <w:bookmarkStart w:id="39631" w:name="_ETM_Q74_316900"/>
      <w:bookmarkEnd w:id="39631"/>
      <w:r>
        <w:rPr>
          <w:rFonts w:hint="cs"/>
          <w:rtl/>
        </w:rPr>
        <w:t xml:space="preserve">קשה </w:t>
      </w:r>
      <w:bookmarkStart w:id="39632" w:name="_ETM_Q74_317349"/>
      <w:bookmarkEnd w:id="39632"/>
      <w:r>
        <w:rPr>
          <w:rFonts w:hint="cs"/>
          <w:rtl/>
        </w:rPr>
        <w:t xml:space="preserve">לומר </w:t>
      </w:r>
      <w:bookmarkStart w:id="39633" w:name="_ETM_Q74_318010"/>
      <w:bookmarkEnd w:id="39633"/>
      <w:r>
        <w:rPr>
          <w:rFonts w:hint="cs"/>
          <w:rtl/>
        </w:rPr>
        <w:t xml:space="preserve">שמדובר </w:t>
      </w:r>
      <w:bookmarkStart w:id="39634" w:name="_ETM_Q74_318819"/>
      <w:bookmarkEnd w:id="39634"/>
      <w:r>
        <w:rPr>
          <w:rFonts w:hint="cs"/>
          <w:rtl/>
        </w:rPr>
        <w:t>ב</w:t>
      </w:r>
      <w:bookmarkStart w:id="39635" w:name="_ETM_Q74_319060"/>
      <w:bookmarkEnd w:id="39635"/>
      <w:r>
        <w:rPr>
          <w:rFonts w:hint="cs"/>
          <w:rtl/>
        </w:rPr>
        <w:t xml:space="preserve">הרס </w:t>
      </w:r>
      <w:bookmarkStart w:id="39636" w:name="_ETM_Q74_319480"/>
      <w:bookmarkEnd w:id="39636"/>
      <w:r>
        <w:rPr>
          <w:rFonts w:hint="cs"/>
          <w:rtl/>
        </w:rPr>
        <w:t xml:space="preserve">הדמוקרטיה. </w:t>
      </w:r>
      <w:bookmarkStart w:id="39637" w:name="_ETM_Q74_321309"/>
      <w:bookmarkEnd w:id="39637"/>
      <w:r>
        <w:rPr>
          <w:rFonts w:hint="cs"/>
          <w:rtl/>
        </w:rPr>
        <w:t xml:space="preserve">אך </w:t>
      </w:r>
      <w:bookmarkStart w:id="39638" w:name="_ETM_Q74_321519"/>
      <w:bookmarkEnd w:id="39638"/>
      <w:r>
        <w:rPr>
          <w:rFonts w:hint="cs"/>
          <w:rtl/>
        </w:rPr>
        <w:t xml:space="preserve">כאשר </w:t>
      </w:r>
      <w:bookmarkStart w:id="39639" w:name="_ETM_Q74_323090"/>
      <w:bookmarkEnd w:id="39639"/>
      <w:r>
        <w:rPr>
          <w:rFonts w:hint="cs"/>
          <w:rtl/>
        </w:rPr>
        <w:t xml:space="preserve">הם </w:t>
      </w:r>
      <w:bookmarkStart w:id="39640" w:name="_ETM_Q74_323270"/>
      <w:bookmarkEnd w:id="39640"/>
      <w:r>
        <w:rPr>
          <w:rFonts w:hint="cs"/>
          <w:rtl/>
        </w:rPr>
        <w:t xml:space="preserve">נבחנים </w:t>
      </w:r>
      <w:bookmarkStart w:id="39641" w:name="_ETM_Q74_323900"/>
      <w:bookmarkEnd w:id="39641"/>
      <w:r>
        <w:rPr>
          <w:rFonts w:hint="cs"/>
          <w:rtl/>
        </w:rPr>
        <w:t xml:space="preserve">יחד </w:t>
      </w:r>
      <w:bookmarkStart w:id="39642" w:name="_ETM_Q74_324530"/>
      <w:bookmarkEnd w:id="39642"/>
      <w:r>
        <w:rPr>
          <w:rFonts w:hint="cs"/>
          <w:rtl/>
        </w:rPr>
        <w:t xml:space="preserve">באופן </w:t>
      </w:r>
      <w:bookmarkStart w:id="39643" w:name="_ETM_Q74_324919"/>
      <w:bookmarkEnd w:id="39643"/>
      <w:r>
        <w:rPr>
          <w:rFonts w:hint="cs"/>
          <w:rtl/>
        </w:rPr>
        <w:t>מצטבר, ה</w:t>
      </w:r>
      <w:bookmarkStart w:id="39644" w:name="_ETM_Q74_326459"/>
      <w:bookmarkEnd w:id="39644"/>
      <w:r>
        <w:rPr>
          <w:rFonts w:hint="cs"/>
          <w:rtl/>
        </w:rPr>
        <w:t xml:space="preserve">שלם, </w:t>
      </w:r>
      <w:bookmarkStart w:id="39645" w:name="_ETM_Q74_327580"/>
      <w:bookmarkEnd w:id="39645"/>
      <w:r>
        <w:rPr>
          <w:rFonts w:hint="cs"/>
          <w:rtl/>
        </w:rPr>
        <w:t xml:space="preserve">מסתבר, </w:t>
      </w:r>
      <w:bookmarkStart w:id="39646" w:name="_ETM_Q74_328629"/>
      <w:bookmarkEnd w:id="39646"/>
      <w:r>
        <w:rPr>
          <w:rFonts w:hint="cs"/>
          <w:rtl/>
        </w:rPr>
        <w:t xml:space="preserve">הוא </w:t>
      </w:r>
      <w:bookmarkStart w:id="39647" w:name="_ETM_Q74_328720"/>
      <w:bookmarkEnd w:id="39647"/>
      <w:r>
        <w:rPr>
          <w:rFonts w:hint="cs"/>
          <w:rtl/>
        </w:rPr>
        <w:t xml:space="preserve">גדול </w:t>
      </w:r>
      <w:bookmarkStart w:id="39648" w:name="_ETM_Q74_329139"/>
      <w:bookmarkEnd w:id="39648"/>
      <w:r>
        <w:rPr>
          <w:rFonts w:hint="cs"/>
          <w:rtl/>
        </w:rPr>
        <w:t xml:space="preserve">מסך </w:t>
      </w:r>
      <w:bookmarkStart w:id="39649" w:name="_ETM_Q74_329530"/>
      <w:bookmarkEnd w:id="39649"/>
      <w:r>
        <w:rPr>
          <w:rFonts w:hint="cs"/>
          <w:rtl/>
        </w:rPr>
        <w:t xml:space="preserve">חלקיו. </w:t>
      </w:r>
      <w:bookmarkStart w:id="39650" w:name="_ETM_Q74_331430"/>
      <w:bookmarkEnd w:id="39650"/>
      <w:r>
        <w:rPr>
          <w:rFonts w:hint="cs"/>
          <w:rtl/>
        </w:rPr>
        <w:t xml:space="preserve">כך </w:t>
      </w:r>
      <w:bookmarkStart w:id="39651" w:name="_ETM_Q74_331790"/>
      <w:bookmarkEnd w:id="39651"/>
      <w:r>
        <w:rPr>
          <w:rFonts w:hint="cs"/>
          <w:rtl/>
        </w:rPr>
        <w:t xml:space="preserve">בדיוק </w:t>
      </w:r>
      <w:bookmarkStart w:id="39652" w:name="_ETM_Q74_333000"/>
      <w:bookmarkEnd w:id="39652"/>
      <w:r>
        <w:rPr>
          <w:rFonts w:hint="cs"/>
          <w:rtl/>
        </w:rPr>
        <w:t xml:space="preserve">עם </w:t>
      </w:r>
      <w:bookmarkStart w:id="39653" w:name="_ETM_Q74_333210"/>
      <w:bookmarkEnd w:id="39653"/>
      <w:r>
        <w:rPr>
          <w:rFonts w:hint="cs"/>
          <w:rtl/>
        </w:rPr>
        <w:t xml:space="preserve">ביטול </w:t>
      </w:r>
      <w:bookmarkStart w:id="39654" w:name="_ETM_Q74_333889"/>
      <w:bookmarkEnd w:id="39654"/>
      <w:r>
        <w:rPr>
          <w:rFonts w:hint="cs"/>
          <w:rtl/>
        </w:rPr>
        <w:t xml:space="preserve">חובת </w:t>
      </w:r>
      <w:bookmarkStart w:id="39655" w:name="_ETM_Q74_334340"/>
      <w:bookmarkEnd w:id="39655"/>
      <w:r>
        <w:rPr>
          <w:rFonts w:hint="cs"/>
          <w:rtl/>
        </w:rPr>
        <w:t>הסבירות.</w:t>
      </w:r>
      <w:bookmarkStart w:id="39656" w:name="_ETM_Q74_336870"/>
      <w:bookmarkEnd w:id="39656"/>
    </w:p>
    <w:p w:rsidR="00BB59CD" w:rsidRDefault="00BB59CD" w:rsidP="00BB59CD">
      <w:pPr>
        <w:rPr>
          <w:rtl/>
        </w:rPr>
      </w:pPr>
    </w:p>
    <w:p w:rsidR="00BB59CD" w:rsidRDefault="00BB59CD" w:rsidP="008E2003">
      <w:pPr>
        <w:rPr>
          <w:rtl/>
        </w:rPr>
      </w:pPr>
      <w:bookmarkStart w:id="39657" w:name="_ETM_Q74_336000"/>
      <w:bookmarkEnd w:id="39657"/>
      <w:r>
        <w:rPr>
          <w:rFonts w:hint="cs"/>
          <w:rtl/>
        </w:rPr>
        <w:t xml:space="preserve">הקואליציה </w:t>
      </w:r>
      <w:bookmarkStart w:id="39658" w:name="_ETM_Q74_337410"/>
      <w:bookmarkEnd w:id="39658"/>
      <w:r>
        <w:rPr>
          <w:rFonts w:hint="cs"/>
          <w:rtl/>
        </w:rPr>
        <w:t xml:space="preserve">ניסתה </w:t>
      </w:r>
      <w:bookmarkStart w:id="39659" w:name="_ETM_Q74_337950"/>
      <w:bookmarkEnd w:id="39659"/>
      <w:r>
        <w:rPr>
          <w:rFonts w:hint="cs"/>
          <w:rtl/>
        </w:rPr>
        <w:t xml:space="preserve">במהלך </w:t>
      </w:r>
      <w:bookmarkStart w:id="39660" w:name="_ETM_Q74_338400"/>
      <w:bookmarkEnd w:id="39660"/>
      <w:r>
        <w:rPr>
          <w:rFonts w:hint="cs"/>
          <w:rtl/>
        </w:rPr>
        <w:t xml:space="preserve">הדיונים, </w:t>
      </w:r>
      <w:bookmarkStart w:id="39661" w:name="_ETM_Q74_339849"/>
      <w:bookmarkEnd w:id="39661"/>
      <w:r>
        <w:rPr>
          <w:rFonts w:hint="cs"/>
          <w:rtl/>
        </w:rPr>
        <w:t xml:space="preserve">בפרסומים </w:t>
      </w:r>
      <w:bookmarkStart w:id="39662" w:name="_ETM_Q74_340779"/>
      <w:bookmarkEnd w:id="39662"/>
      <w:r>
        <w:rPr>
          <w:rFonts w:hint="cs"/>
          <w:rtl/>
        </w:rPr>
        <w:t xml:space="preserve">שלה, </w:t>
      </w:r>
      <w:bookmarkStart w:id="39663" w:name="_ETM_Q74_341319"/>
      <w:bookmarkEnd w:id="39663"/>
      <w:r>
        <w:rPr>
          <w:rFonts w:hint="cs"/>
          <w:rtl/>
        </w:rPr>
        <w:t xml:space="preserve">לגייס </w:t>
      </w:r>
      <w:bookmarkStart w:id="39664" w:name="_ETM_Q74_342630"/>
      <w:bookmarkEnd w:id="39664"/>
      <w:r>
        <w:rPr>
          <w:rFonts w:hint="cs"/>
          <w:rtl/>
        </w:rPr>
        <w:t xml:space="preserve">לתמיכה </w:t>
      </w:r>
      <w:bookmarkStart w:id="39665" w:name="_ETM_Q74_343200"/>
      <w:bookmarkEnd w:id="39665"/>
      <w:r>
        <w:rPr>
          <w:rFonts w:hint="cs"/>
          <w:rtl/>
        </w:rPr>
        <w:t xml:space="preserve">בהצעת </w:t>
      </w:r>
      <w:bookmarkStart w:id="39666" w:name="_ETM_Q74_343680"/>
      <w:bookmarkEnd w:id="39666"/>
      <w:r>
        <w:rPr>
          <w:rFonts w:hint="cs"/>
          <w:rtl/>
        </w:rPr>
        <w:t>החוק</w:t>
      </w:r>
      <w:bookmarkStart w:id="39667" w:name="_ETM_Q74_344730"/>
      <w:bookmarkEnd w:id="39667"/>
      <w:r>
        <w:rPr>
          <w:rFonts w:hint="cs"/>
          <w:rtl/>
        </w:rPr>
        <w:t xml:space="preserve"> למשל </w:t>
      </w:r>
      <w:bookmarkStart w:id="39668" w:name="_ETM_Q74_345239"/>
      <w:bookmarkEnd w:id="39668"/>
      <w:r>
        <w:rPr>
          <w:rFonts w:hint="cs"/>
          <w:rtl/>
        </w:rPr>
        <w:t xml:space="preserve">את </w:t>
      </w:r>
      <w:bookmarkStart w:id="39669" w:name="_ETM_Q74_345330"/>
      <w:bookmarkEnd w:id="39669"/>
      <w:r>
        <w:rPr>
          <w:rFonts w:hint="cs"/>
          <w:rtl/>
        </w:rPr>
        <w:t xml:space="preserve">פרופ' יואב דותן, </w:t>
      </w:r>
      <w:bookmarkStart w:id="39670" w:name="_ETM_Q74_344000"/>
      <w:bookmarkStart w:id="39671" w:name="_ETM_Q74_345930"/>
      <w:bookmarkStart w:id="39672" w:name="_ETM_Q74_347500"/>
      <w:bookmarkEnd w:id="39670"/>
      <w:bookmarkEnd w:id="39671"/>
      <w:bookmarkEnd w:id="39672"/>
      <w:r>
        <w:rPr>
          <w:rFonts w:hint="cs"/>
          <w:rtl/>
        </w:rPr>
        <w:t xml:space="preserve">שהוא </w:t>
      </w:r>
      <w:bookmarkStart w:id="39673" w:name="_ETM_Q74_347860"/>
      <w:bookmarkEnd w:id="39673"/>
      <w:r>
        <w:rPr>
          <w:rFonts w:hint="cs"/>
          <w:rtl/>
        </w:rPr>
        <w:t xml:space="preserve">מבקר </w:t>
      </w:r>
      <w:bookmarkStart w:id="39674" w:name="_ETM_Q74_348310"/>
      <w:bookmarkEnd w:id="39674"/>
      <w:r>
        <w:rPr>
          <w:rFonts w:hint="cs"/>
          <w:rtl/>
        </w:rPr>
        <w:t xml:space="preserve">ידוע </w:t>
      </w:r>
      <w:bookmarkStart w:id="39675" w:name="_ETM_Q74_348700"/>
      <w:bookmarkEnd w:id="39675"/>
      <w:r>
        <w:rPr>
          <w:rFonts w:hint="cs"/>
          <w:rtl/>
        </w:rPr>
        <w:t xml:space="preserve">של </w:t>
      </w:r>
      <w:bookmarkStart w:id="39676" w:name="_ETM_Q74_348940"/>
      <w:bookmarkEnd w:id="39676"/>
      <w:r>
        <w:rPr>
          <w:rFonts w:hint="cs"/>
          <w:rtl/>
        </w:rPr>
        <w:t xml:space="preserve">עילת </w:t>
      </w:r>
      <w:bookmarkStart w:id="39677" w:name="_ETM_Q74_349239"/>
      <w:bookmarkEnd w:id="39677"/>
      <w:r>
        <w:rPr>
          <w:rFonts w:hint="cs"/>
          <w:rtl/>
        </w:rPr>
        <w:t xml:space="preserve">הסבירות. </w:t>
      </w:r>
      <w:bookmarkStart w:id="39678" w:name="_ETM_Q74_350669"/>
      <w:bookmarkEnd w:id="39678"/>
      <w:r>
        <w:rPr>
          <w:rFonts w:hint="cs"/>
          <w:rtl/>
        </w:rPr>
        <w:t xml:space="preserve">אלא </w:t>
      </w:r>
      <w:bookmarkStart w:id="39679" w:name="_ETM_Q74_350909"/>
      <w:bookmarkEnd w:id="39679"/>
      <w:r>
        <w:rPr>
          <w:rFonts w:hint="cs"/>
          <w:rtl/>
        </w:rPr>
        <w:t xml:space="preserve">שפרופ' </w:t>
      </w:r>
      <w:bookmarkStart w:id="39680" w:name="_ETM_Q74_351599"/>
      <w:bookmarkEnd w:id="39680"/>
      <w:r>
        <w:rPr>
          <w:rFonts w:hint="cs"/>
          <w:rtl/>
        </w:rPr>
        <w:t>דותן, אחד</w:t>
      </w:r>
      <w:bookmarkStart w:id="39681" w:name="_ETM_Q74_352610"/>
      <w:bookmarkStart w:id="39682" w:name="_ETM_Q74_352970"/>
      <w:bookmarkEnd w:id="39681"/>
      <w:bookmarkEnd w:id="39682"/>
      <w:r>
        <w:rPr>
          <w:rFonts w:hint="cs"/>
          <w:rtl/>
        </w:rPr>
        <w:t xml:space="preserve"> המומחים </w:t>
      </w:r>
      <w:bookmarkStart w:id="39683" w:name="_ETM_Q74_353569"/>
      <w:bookmarkEnd w:id="39683"/>
      <w:r>
        <w:rPr>
          <w:rFonts w:hint="cs"/>
          <w:rtl/>
        </w:rPr>
        <w:t xml:space="preserve">הגדולים </w:t>
      </w:r>
      <w:bookmarkStart w:id="39684" w:name="_ETM_Q74_354260"/>
      <w:bookmarkEnd w:id="39684"/>
      <w:r>
        <w:rPr>
          <w:rFonts w:hint="cs"/>
          <w:rtl/>
        </w:rPr>
        <w:t xml:space="preserve">בתחום </w:t>
      </w:r>
      <w:bookmarkStart w:id="39685" w:name="_ETM_Q74_354770"/>
      <w:bookmarkEnd w:id="39685"/>
      <w:r>
        <w:rPr>
          <w:rFonts w:hint="cs"/>
          <w:rtl/>
        </w:rPr>
        <w:t xml:space="preserve">במדינת </w:t>
      </w:r>
      <w:bookmarkStart w:id="39686" w:name="_ETM_Q74_355220"/>
      <w:bookmarkEnd w:id="39686"/>
      <w:r>
        <w:rPr>
          <w:rFonts w:hint="cs"/>
          <w:rtl/>
        </w:rPr>
        <w:t xml:space="preserve">ישראל, </w:t>
      </w:r>
      <w:bookmarkStart w:id="39687" w:name="_ETM_Q74_356090"/>
      <w:bookmarkEnd w:id="39687"/>
      <w:r>
        <w:rPr>
          <w:rFonts w:hint="cs"/>
          <w:rtl/>
        </w:rPr>
        <w:t xml:space="preserve">הסתייג </w:t>
      </w:r>
      <w:bookmarkStart w:id="39688" w:name="_ETM_Q74_356900"/>
      <w:bookmarkEnd w:id="39688"/>
      <w:r>
        <w:rPr>
          <w:rFonts w:hint="cs"/>
          <w:rtl/>
        </w:rPr>
        <w:t xml:space="preserve">באופן </w:t>
      </w:r>
      <w:bookmarkStart w:id="39689" w:name="_ETM_Q74_357680"/>
      <w:bookmarkEnd w:id="39689"/>
      <w:r>
        <w:rPr>
          <w:rFonts w:hint="cs"/>
          <w:rtl/>
        </w:rPr>
        <w:t xml:space="preserve">חד </w:t>
      </w:r>
      <w:bookmarkStart w:id="39690" w:name="_ETM_Q74_358250"/>
      <w:bookmarkEnd w:id="39690"/>
      <w:r>
        <w:rPr>
          <w:rFonts w:hint="cs"/>
          <w:rtl/>
        </w:rPr>
        <w:t xml:space="preserve">וברור </w:t>
      </w:r>
      <w:bookmarkStart w:id="39691" w:name="_ETM_Q74_359250"/>
      <w:bookmarkEnd w:id="39691"/>
      <w:r>
        <w:rPr>
          <w:rFonts w:hint="cs"/>
          <w:rtl/>
        </w:rPr>
        <w:t xml:space="preserve">מהצעת החוק. </w:t>
      </w:r>
      <w:bookmarkStart w:id="39692" w:name="_ETM_Q74_363230"/>
      <w:bookmarkEnd w:id="39692"/>
      <w:r>
        <w:rPr>
          <w:rFonts w:hint="cs"/>
          <w:rtl/>
        </w:rPr>
        <w:t xml:space="preserve">גם </w:t>
      </w:r>
      <w:bookmarkStart w:id="39693" w:name="_ETM_Q74_363590"/>
      <w:bookmarkEnd w:id="39693"/>
      <w:r>
        <w:rPr>
          <w:rFonts w:hint="cs"/>
          <w:rtl/>
        </w:rPr>
        <w:t xml:space="preserve">לפני </w:t>
      </w:r>
      <w:bookmarkStart w:id="39694" w:name="_ETM_Q74_363919"/>
      <w:bookmarkEnd w:id="39694"/>
      <w:r>
        <w:rPr>
          <w:rFonts w:hint="cs"/>
          <w:rtl/>
        </w:rPr>
        <w:t xml:space="preserve">כן, </w:t>
      </w:r>
      <w:bookmarkStart w:id="39695" w:name="_ETM_Q74_365090"/>
      <w:bookmarkEnd w:id="39695"/>
      <w:r>
        <w:rPr>
          <w:rFonts w:hint="cs"/>
          <w:rtl/>
        </w:rPr>
        <w:t xml:space="preserve">כאשר </w:t>
      </w:r>
      <w:bookmarkStart w:id="39696" w:name="_ETM_Q74_365419"/>
      <w:bookmarkEnd w:id="39696"/>
      <w:r>
        <w:rPr>
          <w:rFonts w:hint="cs"/>
          <w:rtl/>
        </w:rPr>
        <w:t xml:space="preserve">הוא </w:t>
      </w:r>
      <w:bookmarkStart w:id="39697" w:name="_ETM_Q74_365510"/>
      <w:bookmarkEnd w:id="39697"/>
      <w:r>
        <w:rPr>
          <w:rFonts w:hint="cs"/>
          <w:rtl/>
        </w:rPr>
        <w:t xml:space="preserve">דיבר </w:t>
      </w:r>
      <w:bookmarkStart w:id="39698" w:name="_ETM_Q74_366319"/>
      <w:bookmarkEnd w:id="39698"/>
      <w:r>
        <w:rPr>
          <w:rFonts w:hint="cs"/>
          <w:rtl/>
        </w:rPr>
        <w:t xml:space="preserve">באופן </w:t>
      </w:r>
      <w:bookmarkStart w:id="39699" w:name="_ETM_Q74_367370"/>
      <w:bookmarkEnd w:id="39699"/>
      <w:r>
        <w:rPr>
          <w:rFonts w:hint="cs"/>
          <w:rtl/>
        </w:rPr>
        <w:t xml:space="preserve">תיאורטי </w:t>
      </w:r>
      <w:bookmarkStart w:id="39700" w:name="_ETM_Q74_367819"/>
      <w:bookmarkEnd w:id="39700"/>
      <w:r>
        <w:rPr>
          <w:rFonts w:hint="cs"/>
          <w:rtl/>
        </w:rPr>
        <w:t xml:space="preserve">בלבד </w:t>
      </w:r>
      <w:bookmarkStart w:id="39701" w:name="_ETM_Q74_368620"/>
      <w:bookmarkEnd w:id="39701"/>
      <w:r>
        <w:rPr>
          <w:rFonts w:hint="cs"/>
          <w:rtl/>
        </w:rPr>
        <w:t xml:space="preserve">על </w:t>
      </w:r>
      <w:bookmarkStart w:id="39702" w:name="_ETM_Q74_368950"/>
      <w:bookmarkEnd w:id="39702"/>
      <w:r>
        <w:rPr>
          <w:rFonts w:hint="cs"/>
          <w:rtl/>
        </w:rPr>
        <w:t xml:space="preserve">צמצום – </w:t>
      </w:r>
      <w:bookmarkStart w:id="39703" w:name="_ETM_Q74_369819"/>
      <w:bookmarkEnd w:id="39703"/>
      <w:r>
        <w:rPr>
          <w:rFonts w:hint="cs"/>
          <w:rtl/>
        </w:rPr>
        <w:t xml:space="preserve">לא </w:t>
      </w:r>
      <w:bookmarkStart w:id="39704" w:name="_ETM_Q74_370030"/>
      <w:bookmarkEnd w:id="39704"/>
      <w:r>
        <w:rPr>
          <w:rFonts w:hint="cs"/>
          <w:rtl/>
        </w:rPr>
        <w:t xml:space="preserve">ביטול </w:t>
      </w:r>
      <w:bookmarkStart w:id="39705" w:name="_ETM_Q74_371129"/>
      <w:bookmarkEnd w:id="39705"/>
      <w:r>
        <w:rPr>
          <w:rFonts w:hint="cs"/>
          <w:rtl/>
        </w:rPr>
        <w:t xml:space="preserve">– על </w:t>
      </w:r>
      <w:bookmarkStart w:id="39706" w:name="_ETM_Q74_371340"/>
      <w:bookmarkEnd w:id="39706"/>
      <w:r>
        <w:rPr>
          <w:rFonts w:hint="cs"/>
          <w:rtl/>
        </w:rPr>
        <w:t xml:space="preserve">צמצום </w:t>
      </w:r>
      <w:bookmarkStart w:id="39707" w:name="_ETM_Q74_371849"/>
      <w:bookmarkEnd w:id="39707"/>
      <w:r>
        <w:rPr>
          <w:rFonts w:hint="cs"/>
          <w:rtl/>
        </w:rPr>
        <w:t xml:space="preserve">עילת </w:t>
      </w:r>
      <w:bookmarkStart w:id="39708" w:name="_ETM_Q74_372150"/>
      <w:bookmarkEnd w:id="39708"/>
      <w:r>
        <w:rPr>
          <w:rFonts w:hint="cs"/>
          <w:rtl/>
        </w:rPr>
        <w:t xml:space="preserve">הסבירות, </w:t>
      </w:r>
      <w:bookmarkStart w:id="39709" w:name="_ETM_Q74_373520"/>
      <w:bookmarkEnd w:id="39709"/>
      <w:r>
        <w:rPr>
          <w:rFonts w:hint="cs"/>
          <w:rtl/>
        </w:rPr>
        <w:t xml:space="preserve">הוא </w:t>
      </w:r>
      <w:bookmarkStart w:id="39710" w:name="_ETM_Q74_373760"/>
      <w:bookmarkEnd w:id="39710"/>
      <w:r>
        <w:rPr>
          <w:rFonts w:hint="cs"/>
          <w:rtl/>
        </w:rPr>
        <w:t xml:space="preserve">כתב </w:t>
      </w:r>
      <w:bookmarkStart w:id="39711" w:name="_ETM_Q74_374300"/>
      <w:bookmarkEnd w:id="39711"/>
      <w:r>
        <w:rPr>
          <w:rFonts w:hint="cs"/>
          <w:rtl/>
        </w:rPr>
        <w:t xml:space="preserve">על </w:t>
      </w:r>
      <w:bookmarkStart w:id="39712" w:name="_ETM_Q74_374480"/>
      <w:bookmarkEnd w:id="39712"/>
      <w:r>
        <w:rPr>
          <w:rFonts w:hint="cs"/>
          <w:rtl/>
        </w:rPr>
        <w:t xml:space="preserve">הצורך </w:t>
      </w:r>
      <w:bookmarkStart w:id="39713" w:name="_ETM_Q74_375139"/>
      <w:bookmarkEnd w:id="39713"/>
      <w:r>
        <w:rPr>
          <w:rFonts w:hint="cs"/>
          <w:rtl/>
        </w:rPr>
        <w:t xml:space="preserve">החיוני </w:t>
      </w:r>
      <w:bookmarkStart w:id="39714" w:name="_ETM_Q74_376519"/>
      <w:bookmarkEnd w:id="39714"/>
      <w:r>
        <w:rPr>
          <w:rFonts w:hint="cs"/>
          <w:rtl/>
        </w:rPr>
        <w:t xml:space="preserve">בקיום, </w:t>
      </w:r>
      <w:bookmarkStart w:id="39715" w:name="_ETM_Q74_378000"/>
      <w:bookmarkEnd w:id="39715"/>
      <w:r>
        <w:rPr>
          <w:rFonts w:hint="cs"/>
          <w:rtl/>
        </w:rPr>
        <w:t xml:space="preserve">שימו </w:t>
      </w:r>
      <w:bookmarkStart w:id="39716" w:name="_ETM_Q74_378360"/>
      <w:bookmarkEnd w:id="39716"/>
      <w:r>
        <w:rPr>
          <w:rFonts w:hint="cs"/>
          <w:rtl/>
        </w:rPr>
        <w:t xml:space="preserve">לב, </w:t>
      </w:r>
      <w:bookmarkStart w:id="39717" w:name="_ETM_Q74_378780"/>
      <w:bookmarkEnd w:id="39717"/>
      <w:r>
        <w:rPr>
          <w:rFonts w:hint="cs"/>
          <w:rtl/>
        </w:rPr>
        <w:t xml:space="preserve">מנגנונים </w:t>
      </w:r>
      <w:bookmarkStart w:id="39718" w:name="_ETM_Q74_379650"/>
      <w:bookmarkEnd w:id="39718"/>
      <w:r>
        <w:rPr>
          <w:rFonts w:hint="cs"/>
          <w:rtl/>
        </w:rPr>
        <w:t xml:space="preserve">משלימים </w:t>
      </w:r>
      <w:bookmarkStart w:id="39719" w:name="_ETM_Q74_380790"/>
      <w:bookmarkEnd w:id="39719"/>
      <w:r>
        <w:rPr>
          <w:rFonts w:hint="cs"/>
          <w:rtl/>
        </w:rPr>
        <w:t xml:space="preserve">אשר </w:t>
      </w:r>
      <w:bookmarkStart w:id="39720" w:name="_ETM_Q74_381150"/>
      <w:bookmarkEnd w:id="39720"/>
      <w:r>
        <w:rPr>
          <w:rFonts w:hint="cs"/>
          <w:rtl/>
        </w:rPr>
        <w:t xml:space="preserve">יבטיחו </w:t>
      </w:r>
      <w:bookmarkStart w:id="39721" w:name="_ETM_Q74_381750"/>
      <w:bookmarkEnd w:id="39721"/>
      <w:r>
        <w:rPr>
          <w:rFonts w:hint="cs"/>
          <w:rtl/>
        </w:rPr>
        <w:t xml:space="preserve">את </w:t>
      </w:r>
      <w:bookmarkStart w:id="39722" w:name="_ETM_Q74_381870"/>
      <w:bookmarkEnd w:id="39722"/>
      <w:r>
        <w:rPr>
          <w:rFonts w:hint="cs"/>
          <w:rtl/>
        </w:rPr>
        <w:t xml:space="preserve">המשך </w:t>
      </w:r>
      <w:bookmarkStart w:id="39723" w:name="_ETM_Q74_382290"/>
      <w:bookmarkEnd w:id="39723"/>
      <w:r>
        <w:rPr>
          <w:rFonts w:hint="cs"/>
          <w:rtl/>
        </w:rPr>
        <w:t xml:space="preserve">הביקורת </w:t>
      </w:r>
      <w:bookmarkStart w:id="39724" w:name="_ETM_Q74_382800"/>
      <w:bookmarkEnd w:id="39724"/>
      <w:r>
        <w:rPr>
          <w:rFonts w:hint="cs"/>
          <w:rtl/>
        </w:rPr>
        <w:t xml:space="preserve">השיפוטית </w:t>
      </w:r>
      <w:bookmarkStart w:id="39725" w:name="_ETM_Q74_383849"/>
      <w:bookmarkEnd w:id="39725"/>
      <w:r>
        <w:rPr>
          <w:rFonts w:hint="cs"/>
          <w:rtl/>
        </w:rPr>
        <w:t xml:space="preserve">לאחר </w:t>
      </w:r>
      <w:bookmarkStart w:id="39726" w:name="_ETM_Q74_384580"/>
      <w:bookmarkEnd w:id="39726"/>
      <w:r>
        <w:rPr>
          <w:rFonts w:hint="cs"/>
          <w:rtl/>
        </w:rPr>
        <w:t xml:space="preserve">החלטות </w:t>
      </w:r>
      <w:bookmarkStart w:id="39727" w:name="_ETM_Q74_386250"/>
      <w:bookmarkEnd w:id="39727"/>
      <w:r>
        <w:rPr>
          <w:rFonts w:hint="cs"/>
          <w:rtl/>
        </w:rPr>
        <w:t xml:space="preserve">של </w:t>
      </w:r>
      <w:bookmarkStart w:id="39728" w:name="_ETM_Q74_386490"/>
      <w:bookmarkEnd w:id="39728"/>
      <w:r>
        <w:rPr>
          <w:rFonts w:hint="cs"/>
          <w:rtl/>
        </w:rPr>
        <w:t xml:space="preserve">נבחרי </w:t>
      </w:r>
      <w:bookmarkStart w:id="39729" w:name="_ETM_Q74_386910"/>
      <w:bookmarkEnd w:id="39729"/>
      <w:r>
        <w:rPr>
          <w:rFonts w:hint="cs"/>
          <w:rtl/>
        </w:rPr>
        <w:t>ציבור.</w:t>
      </w:r>
      <w:bookmarkStart w:id="39730" w:name="_ETM_Q74_390000"/>
      <w:bookmarkStart w:id="39731" w:name="_ETM_Q74_391400"/>
      <w:bookmarkEnd w:id="39730"/>
      <w:bookmarkEnd w:id="39731"/>
      <w:r w:rsidR="008E2003">
        <w:rPr>
          <w:rFonts w:hint="cs"/>
          <w:rtl/>
        </w:rPr>
        <w:t xml:space="preserve"> </w:t>
      </w:r>
      <w:r>
        <w:rPr>
          <w:rFonts w:hint="cs"/>
          <w:rtl/>
        </w:rPr>
        <w:t xml:space="preserve">לצערי </w:t>
      </w:r>
      <w:bookmarkStart w:id="39732" w:name="_ETM_Q74_391820"/>
      <w:bookmarkEnd w:id="39732"/>
      <w:r>
        <w:rPr>
          <w:rFonts w:hint="cs"/>
          <w:rtl/>
        </w:rPr>
        <w:t xml:space="preserve">הרב, </w:t>
      </w:r>
      <w:bookmarkStart w:id="39733" w:name="_ETM_Q74_393469"/>
      <w:bookmarkEnd w:id="39733"/>
      <w:r>
        <w:rPr>
          <w:rFonts w:hint="cs"/>
          <w:rtl/>
        </w:rPr>
        <w:t xml:space="preserve">אחרי </w:t>
      </w:r>
      <w:bookmarkStart w:id="39734" w:name="_ETM_Q74_394290"/>
      <w:bookmarkEnd w:id="39734"/>
      <w:r>
        <w:rPr>
          <w:rFonts w:hint="cs"/>
          <w:rtl/>
        </w:rPr>
        <w:t xml:space="preserve">אישור </w:t>
      </w:r>
      <w:bookmarkStart w:id="39735" w:name="_ETM_Q74_395100"/>
      <w:bookmarkEnd w:id="39735"/>
      <w:r>
        <w:rPr>
          <w:rFonts w:hint="cs"/>
          <w:rtl/>
        </w:rPr>
        <w:t xml:space="preserve">הצעת </w:t>
      </w:r>
      <w:bookmarkStart w:id="39736" w:name="_ETM_Q74_395550"/>
      <w:bookmarkEnd w:id="39736"/>
      <w:r>
        <w:rPr>
          <w:rFonts w:hint="cs"/>
          <w:rtl/>
        </w:rPr>
        <w:t xml:space="preserve">החוק </w:t>
      </w:r>
      <w:bookmarkStart w:id="39737" w:name="_ETM_Q74_397650"/>
      <w:bookmarkEnd w:id="39737"/>
      <w:r>
        <w:rPr>
          <w:rFonts w:hint="cs"/>
          <w:rtl/>
        </w:rPr>
        <w:t xml:space="preserve">מחר, </w:t>
      </w:r>
      <w:bookmarkStart w:id="39738" w:name="_ETM_Q74_398610"/>
      <w:bookmarkEnd w:id="39738"/>
      <w:r>
        <w:rPr>
          <w:rFonts w:hint="cs"/>
          <w:rtl/>
        </w:rPr>
        <w:t xml:space="preserve">אם </w:t>
      </w:r>
      <w:bookmarkStart w:id="39739" w:name="_ETM_Q74_398790"/>
      <w:bookmarkEnd w:id="39739"/>
      <w:r>
        <w:rPr>
          <w:rFonts w:hint="cs"/>
          <w:rtl/>
        </w:rPr>
        <w:t xml:space="preserve">וכאשר </w:t>
      </w:r>
      <w:bookmarkStart w:id="39740" w:name="_ETM_Q74_399269"/>
      <w:bookmarkEnd w:id="39740"/>
      <w:r>
        <w:rPr>
          <w:rFonts w:hint="cs"/>
          <w:rtl/>
        </w:rPr>
        <w:t xml:space="preserve">זה </w:t>
      </w:r>
      <w:bookmarkStart w:id="39741" w:name="_ETM_Q74_399450"/>
      <w:bookmarkEnd w:id="39741"/>
      <w:r>
        <w:rPr>
          <w:rFonts w:hint="cs"/>
          <w:rtl/>
        </w:rPr>
        <w:t xml:space="preserve">יקרה, </w:t>
      </w:r>
      <w:bookmarkStart w:id="39742" w:name="_ETM_Q74_399750"/>
      <w:bookmarkEnd w:id="39742"/>
      <w:r>
        <w:rPr>
          <w:rFonts w:hint="cs"/>
          <w:rtl/>
        </w:rPr>
        <w:t xml:space="preserve">אני </w:t>
      </w:r>
      <w:bookmarkStart w:id="39743" w:name="_ETM_Q74_399900"/>
      <w:bookmarkEnd w:id="39743"/>
      <w:r>
        <w:rPr>
          <w:rFonts w:hint="cs"/>
          <w:rtl/>
        </w:rPr>
        <w:t xml:space="preserve">מקווה </w:t>
      </w:r>
      <w:bookmarkStart w:id="39744" w:name="_ETM_Q74_400200"/>
      <w:bookmarkEnd w:id="39744"/>
      <w:r>
        <w:rPr>
          <w:rFonts w:hint="cs"/>
          <w:rtl/>
        </w:rPr>
        <w:t xml:space="preserve">שלא, </w:t>
      </w:r>
      <w:bookmarkStart w:id="39745" w:name="_ETM_Q74_401730"/>
      <w:bookmarkEnd w:id="39745"/>
      <w:r>
        <w:rPr>
          <w:rFonts w:hint="cs"/>
          <w:rtl/>
        </w:rPr>
        <w:t xml:space="preserve">אבל </w:t>
      </w:r>
      <w:bookmarkStart w:id="39746" w:name="_ETM_Q74_402300"/>
      <w:bookmarkEnd w:id="39746"/>
      <w:r>
        <w:rPr>
          <w:rFonts w:hint="cs"/>
          <w:rtl/>
        </w:rPr>
        <w:t xml:space="preserve">אם </w:t>
      </w:r>
      <w:bookmarkStart w:id="39747" w:name="_ETM_Q74_402540"/>
      <w:bookmarkEnd w:id="39747"/>
      <w:r>
        <w:rPr>
          <w:rFonts w:hint="cs"/>
          <w:rtl/>
        </w:rPr>
        <w:t xml:space="preserve">הצעת </w:t>
      </w:r>
      <w:bookmarkStart w:id="39748" w:name="_ETM_Q74_402870"/>
      <w:bookmarkEnd w:id="39748"/>
      <w:r>
        <w:rPr>
          <w:rFonts w:hint="cs"/>
          <w:rtl/>
        </w:rPr>
        <w:t xml:space="preserve">החוק </w:t>
      </w:r>
      <w:bookmarkStart w:id="39749" w:name="_ETM_Q74_403230"/>
      <w:bookmarkEnd w:id="39749"/>
      <w:r>
        <w:rPr>
          <w:rFonts w:hint="cs"/>
          <w:rtl/>
        </w:rPr>
        <w:t xml:space="preserve">תאושר </w:t>
      </w:r>
      <w:bookmarkStart w:id="39750" w:name="_ETM_Q74_403740"/>
      <w:bookmarkEnd w:id="39750"/>
      <w:r>
        <w:rPr>
          <w:rFonts w:hint="cs"/>
          <w:rtl/>
        </w:rPr>
        <w:t xml:space="preserve">בקריאה </w:t>
      </w:r>
      <w:bookmarkStart w:id="39751" w:name="_ETM_Q74_404160"/>
      <w:bookmarkEnd w:id="39751"/>
      <w:r>
        <w:rPr>
          <w:rFonts w:hint="cs"/>
          <w:rtl/>
        </w:rPr>
        <w:t xml:space="preserve">שנייה </w:t>
      </w:r>
      <w:bookmarkStart w:id="39752" w:name="_ETM_Q74_404550"/>
      <w:bookmarkEnd w:id="39752"/>
      <w:r>
        <w:rPr>
          <w:rFonts w:hint="cs"/>
          <w:rtl/>
        </w:rPr>
        <w:t xml:space="preserve">ושלישית, </w:t>
      </w:r>
      <w:bookmarkStart w:id="39753" w:name="_ETM_Q74_406469"/>
      <w:bookmarkEnd w:id="39753"/>
      <w:r>
        <w:rPr>
          <w:rFonts w:hint="cs"/>
          <w:rtl/>
        </w:rPr>
        <w:t xml:space="preserve">לא </w:t>
      </w:r>
      <w:bookmarkStart w:id="39754" w:name="_ETM_Q74_406829"/>
      <w:bookmarkEnd w:id="39754"/>
      <w:r>
        <w:rPr>
          <w:rFonts w:hint="cs"/>
          <w:rtl/>
        </w:rPr>
        <w:t xml:space="preserve">יישארו </w:t>
      </w:r>
      <w:bookmarkStart w:id="39755" w:name="_ETM_Q74_407400"/>
      <w:bookmarkEnd w:id="39755"/>
      <w:r>
        <w:rPr>
          <w:rFonts w:hint="cs"/>
          <w:rtl/>
        </w:rPr>
        <w:t xml:space="preserve">מנגנונים </w:t>
      </w:r>
      <w:bookmarkStart w:id="39756" w:name="_ETM_Q74_408450"/>
      <w:bookmarkEnd w:id="39756"/>
      <w:r>
        <w:rPr>
          <w:rFonts w:hint="cs"/>
          <w:rtl/>
        </w:rPr>
        <w:t xml:space="preserve">כאלה, </w:t>
      </w:r>
      <w:bookmarkStart w:id="39757" w:name="_ETM_Q74_408780"/>
      <w:bookmarkEnd w:id="39757"/>
      <w:r>
        <w:rPr>
          <w:rFonts w:hint="cs"/>
          <w:rtl/>
        </w:rPr>
        <w:t xml:space="preserve">מנגנונים </w:t>
      </w:r>
      <w:bookmarkStart w:id="39758" w:name="_ETM_Q74_409530"/>
      <w:bookmarkEnd w:id="39758"/>
      <w:r>
        <w:rPr>
          <w:rFonts w:hint="cs"/>
          <w:rtl/>
        </w:rPr>
        <w:t xml:space="preserve">משלימים, </w:t>
      </w:r>
      <w:bookmarkStart w:id="39759" w:name="_ETM_Q74_411390"/>
      <w:bookmarkEnd w:id="39759"/>
      <w:r>
        <w:rPr>
          <w:rFonts w:hint="cs"/>
          <w:rtl/>
        </w:rPr>
        <w:t xml:space="preserve">מה </w:t>
      </w:r>
      <w:bookmarkStart w:id="39760" w:name="_ETM_Q74_411720"/>
      <w:bookmarkEnd w:id="39760"/>
      <w:r>
        <w:rPr>
          <w:rFonts w:hint="cs"/>
          <w:rtl/>
        </w:rPr>
        <w:t xml:space="preserve">שבעצם </w:t>
      </w:r>
      <w:bookmarkStart w:id="39761" w:name="_ETM_Q74_414129"/>
      <w:bookmarkEnd w:id="39761"/>
      <w:r>
        <w:rPr>
          <w:rFonts w:hint="cs"/>
          <w:rtl/>
        </w:rPr>
        <w:t xml:space="preserve">אישר </w:t>
      </w:r>
      <w:bookmarkStart w:id="39762" w:name="_ETM_Q74_415110"/>
      <w:bookmarkStart w:id="39763" w:name="_ETM_Q74_415409"/>
      <w:bookmarkEnd w:id="39762"/>
      <w:bookmarkEnd w:id="39763"/>
      <w:r>
        <w:rPr>
          <w:rFonts w:hint="cs"/>
          <w:rtl/>
        </w:rPr>
        <w:t xml:space="preserve">בוועדה </w:t>
      </w:r>
      <w:bookmarkStart w:id="39764" w:name="_ETM_Q74_416890"/>
      <w:bookmarkEnd w:id="39764"/>
      <w:r w:rsidR="008E2003">
        <w:rPr>
          <w:rFonts w:hint="cs"/>
          <w:rtl/>
        </w:rPr>
        <w:t xml:space="preserve">גם </w:t>
      </w:r>
      <w:r>
        <w:rPr>
          <w:rFonts w:hint="cs"/>
          <w:rtl/>
        </w:rPr>
        <w:t xml:space="preserve">המשנה </w:t>
      </w:r>
      <w:bookmarkStart w:id="39765" w:name="_ETM_Q74_417880"/>
      <w:bookmarkStart w:id="39766" w:name="_ETM_Q74_418180"/>
      <w:bookmarkEnd w:id="39765"/>
      <w:bookmarkEnd w:id="39766"/>
      <w:r>
        <w:rPr>
          <w:rFonts w:hint="cs"/>
          <w:rtl/>
        </w:rPr>
        <w:t xml:space="preserve">ליועצת </w:t>
      </w:r>
      <w:bookmarkStart w:id="39767" w:name="_ETM_Q74_419000"/>
      <w:bookmarkEnd w:id="39767"/>
      <w:r>
        <w:rPr>
          <w:rFonts w:hint="cs"/>
          <w:rtl/>
        </w:rPr>
        <w:t xml:space="preserve">המשפטית </w:t>
      </w:r>
      <w:bookmarkStart w:id="39768" w:name="_ETM_Q74_418600"/>
      <w:bookmarkEnd w:id="39768"/>
      <w:r>
        <w:rPr>
          <w:rFonts w:hint="cs"/>
          <w:rtl/>
        </w:rPr>
        <w:t xml:space="preserve">לממשלה, ד"ר גיל לימון. </w:t>
      </w:r>
      <w:bookmarkStart w:id="39769" w:name="_ETM_Q74_419110"/>
      <w:bookmarkStart w:id="39770" w:name="_ETM_Q74_419320"/>
      <w:bookmarkStart w:id="39771" w:name="_ETM_Q74_419740"/>
      <w:bookmarkStart w:id="39772" w:name="_ETM_Q74_421550"/>
      <w:bookmarkEnd w:id="39769"/>
      <w:bookmarkEnd w:id="39770"/>
      <w:bookmarkEnd w:id="39771"/>
      <w:bookmarkEnd w:id="39772"/>
      <w:r>
        <w:rPr>
          <w:rFonts w:hint="cs"/>
          <w:rtl/>
        </w:rPr>
        <w:t>אגב, אני</w:t>
      </w:r>
      <w:bookmarkStart w:id="39773" w:name="_ETM_Q74_421760"/>
      <w:bookmarkEnd w:id="39773"/>
      <w:r>
        <w:rPr>
          <w:rFonts w:hint="cs"/>
          <w:rtl/>
        </w:rPr>
        <w:t xml:space="preserve"> </w:t>
      </w:r>
      <w:bookmarkStart w:id="39774" w:name="_ETM_Q74_421970"/>
      <w:bookmarkEnd w:id="39774"/>
      <w:r>
        <w:rPr>
          <w:rFonts w:hint="cs"/>
          <w:rtl/>
        </w:rPr>
        <w:t xml:space="preserve">שאלתי </w:t>
      </w:r>
      <w:bookmarkStart w:id="39775" w:name="_ETM_Q74_422300"/>
      <w:bookmarkEnd w:id="39775"/>
      <w:r>
        <w:rPr>
          <w:rFonts w:hint="cs"/>
          <w:rtl/>
        </w:rPr>
        <w:t xml:space="preserve">אותו </w:t>
      </w:r>
      <w:bookmarkStart w:id="39776" w:name="_ETM_Q74_424260"/>
      <w:bookmarkEnd w:id="39776"/>
      <w:r>
        <w:rPr>
          <w:rFonts w:hint="cs"/>
          <w:rtl/>
        </w:rPr>
        <w:t xml:space="preserve">בנושא </w:t>
      </w:r>
      <w:bookmarkStart w:id="39777" w:name="_ETM_Q74_424709"/>
      <w:bookmarkEnd w:id="39777"/>
      <w:r>
        <w:rPr>
          <w:rFonts w:hint="cs"/>
          <w:rtl/>
        </w:rPr>
        <w:t>הזה</w:t>
      </w:r>
      <w:bookmarkStart w:id="39778" w:name="_ETM_Q74_426960"/>
      <w:bookmarkEnd w:id="39778"/>
      <w:r>
        <w:rPr>
          <w:rFonts w:hint="cs"/>
          <w:rtl/>
        </w:rPr>
        <w:t xml:space="preserve">, והוא </w:t>
      </w:r>
      <w:bookmarkStart w:id="39779" w:name="_ETM_Q74_427170"/>
      <w:bookmarkEnd w:id="39779"/>
      <w:r>
        <w:rPr>
          <w:rFonts w:hint="cs"/>
          <w:rtl/>
        </w:rPr>
        <w:t xml:space="preserve">דיבר </w:t>
      </w:r>
      <w:bookmarkStart w:id="39780" w:name="_ETM_Q74_427590"/>
      <w:bookmarkEnd w:id="39780"/>
      <w:r>
        <w:rPr>
          <w:rFonts w:hint="cs"/>
          <w:rtl/>
        </w:rPr>
        <w:t xml:space="preserve">על </w:t>
      </w:r>
      <w:bookmarkStart w:id="39781" w:name="_ETM_Q74_428040"/>
      <w:bookmarkEnd w:id="39781"/>
      <w:r>
        <w:rPr>
          <w:rFonts w:hint="cs"/>
          <w:rtl/>
        </w:rPr>
        <w:t xml:space="preserve">חורים </w:t>
      </w:r>
      <w:bookmarkStart w:id="39782" w:name="_ETM_Q74_428460"/>
      <w:bookmarkEnd w:id="39782"/>
      <w:r>
        <w:rPr>
          <w:rFonts w:hint="cs"/>
          <w:rtl/>
        </w:rPr>
        <w:t xml:space="preserve">שחורים </w:t>
      </w:r>
      <w:bookmarkStart w:id="39783" w:name="_ETM_Q74_429030"/>
      <w:bookmarkEnd w:id="39783"/>
      <w:r>
        <w:rPr>
          <w:rFonts w:hint="cs"/>
          <w:rtl/>
        </w:rPr>
        <w:t xml:space="preserve">שייווצרו </w:t>
      </w:r>
      <w:bookmarkStart w:id="39784" w:name="_ETM_Q74_430900"/>
      <w:bookmarkEnd w:id="39784"/>
      <w:r>
        <w:rPr>
          <w:rFonts w:hint="cs"/>
          <w:rtl/>
        </w:rPr>
        <w:t xml:space="preserve">באפשרות </w:t>
      </w:r>
      <w:bookmarkStart w:id="39785" w:name="_ETM_Q74_433030"/>
      <w:bookmarkEnd w:id="39785"/>
      <w:r>
        <w:rPr>
          <w:rFonts w:hint="cs"/>
          <w:rtl/>
        </w:rPr>
        <w:t xml:space="preserve">של </w:t>
      </w:r>
      <w:bookmarkStart w:id="39786" w:name="_ETM_Q74_433239"/>
      <w:bookmarkEnd w:id="39786"/>
      <w:r>
        <w:rPr>
          <w:rFonts w:hint="cs"/>
          <w:rtl/>
        </w:rPr>
        <w:t xml:space="preserve">מערכת </w:t>
      </w:r>
      <w:bookmarkStart w:id="39787" w:name="_ETM_Q74_433599"/>
      <w:bookmarkEnd w:id="39787"/>
      <w:r>
        <w:rPr>
          <w:rFonts w:hint="cs"/>
          <w:rtl/>
        </w:rPr>
        <w:t xml:space="preserve">המשפט </w:t>
      </w:r>
      <w:bookmarkStart w:id="39788" w:name="_ETM_Q74_435290"/>
      <w:bookmarkEnd w:id="39788"/>
      <w:r>
        <w:rPr>
          <w:rFonts w:hint="cs"/>
          <w:rtl/>
        </w:rPr>
        <w:t xml:space="preserve">לבצע </w:t>
      </w:r>
      <w:bookmarkStart w:id="39789" w:name="_ETM_Q74_436070"/>
      <w:bookmarkEnd w:id="39789"/>
      <w:r>
        <w:rPr>
          <w:rFonts w:hint="cs"/>
          <w:rtl/>
        </w:rPr>
        <w:t xml:space="preserve">ביקורת </w:t>
      </w:r>
      <w:bookmarkStart w:id="39790" w:name="_ETM_Q74_436820"/>
      <w:bookmarkEnd w:id="39790"/>
      <w:r>
        <w:rPr>
          <w:rFonts w:hint="cs"/>
          <w:rtl/>
        </w:rPr>
        <w:t xml:space="preserve">אפקטיבית </w:t>
      </w:r>
      <w:bookmarkStart w:id="39791" w:name="_ETM_Q74_438460"/>
      <w:bookmarkEnd w:id="39791"/>
      <w:r>
        <w:rPr>
          <w:rFonts w:hint="cs"/>
          <w:rtl/>
        </w:rPr>
        <w:t xml:space="preserve">אחרי </w:t>
      </w:r>
      <w:bookmarkStart w:id="39792" w:name="_ETM_Q74_438820"/>
      <w:bookmarkEnd w:id="39792"/>
      <w:r>
        <w:rPr>
          <w:rFonts w:hint="cs"/>
          <w:rtl/>
        </w:rPr>
        <w:t xml:space="preserve">החלטות </w:t>
      </w:r>
      <w:bookmarkStart w:id="39793" w:name="_ETM_Q74_439240"/>
      <w:bookmarkEnd w:id="39793"/>
      <w:r>
        <w:rPr>
          <w:rFonts w:hint="cs"/>
          <w:rtl/>
        </w:rPr>
        <w:t xml:space="preserve">של </w:t>
      </w:r>
      <w:bookmarkStart w:id="39794" w:name="_ETM_Q74_439390"/>
      <w:bookmarkEnd w:id="39794"/>
      <w:r>
        <w:rPr>
          <w:rFonts w:hint="cs"/>
          <w:rtl/>
        </w:rPr>
        <w:t xml:space="preserve">נבחרי </w:t>
      </w:r>
      <w:bookmarkStart w:id="39795" w:name="_ETM_Q74_439779"/>
      <w:bookmarkEnd w:id="39795"/>
      <w:r>
        <w:rPr>
          <w:rFonts w:hint="cs"/>
          <w:rtl/>
        </w:rPr>
        <w:t xml:space="preserve">ציבור. </w:t>
      </w:r>
      <w:bookmarkStart w:id="39796" w:name="_ETM_Q74_440380"/>
      <w:bookmarkEnd w:id="39796"/>
      <w:r>
        <w:rPr>
          <w:rFonts w:hint="cs"/>
          <w:rtl/>
        </w:rPr>
        <w:t xml:space="preserve">חורים </w:t>
      </w:r>
      <w:bookmarkStart w:id="39797" w:name="_ETM_Q74_441520"/>
      <w:bookmarkEnd w:id="39797"/>
      <w:r>
        <w:rPr>
          <w:rFonts w:hint="cs"/>
          <w:rtl/>
        </w:rPr>
        <w:t xml:space="preserve">שחורים. </w:t>
      </w:r>
      <w:bookmarkStart w:id="39798" w:name="_ETM_Q74_443710"/>
      <w:bookmarkEnd w:id="39798"/>
      <w:r>
        <w:rPr>
          <w:rFonts w:hint="cs"/>
          <w:rtl/>
        </w:rPr>
        <w:t xml:space="preserve">זה </w:t>
      </w:r>
      <w:bookmarkStart w:id="39799" w:name="_ETM_Q74_444010"/>
      <w:bookmarkEnd w:id="39799"/>
      <w:r>
        <w:rPr>
          <w:rFonts w:hint="cs"/>
          <w:rtl/>
        </w:rPr>
        <w:t xml:space="preserve">המקום </w:t>
      </w:r>
      <w:bookmarkStart w:id="39800" w:name="_ETM_Q74_445260"/>
      <w:bookmarkEnd w:id="39800"/>
      <w:r>
        <w:rPr>
          <w:rFonts w:hint="cs"/>
          <w:rtl/>
        </w:rPr>
        <w:t xml:space="preserve">שבו </w:t>
      </w:r>
      <w:bookmarkStart w:id="39801" w:name="_ETM_Q74_445860"/>
      <w:bookmarkStart w:id="39802" w:name="_ETM_Q74_446720"/>
      <w:bookmarkEnd w:id="39801"/>
      <w:bookmarkEnd w:id="39802"/>
      <w:r>
        <w:rPr>
          <w:rFonts w:hint="cs"/>
          <w:rtl/>
        </w:rPr>
        <w:t xml:space="preserve">החוק </w:t>
      </w:r>
      <w:bookmarkStart w:id="39803" w:name="_ETM_Q74_447229"/>
      <w:bookmarkEnd w:id="39803"/>
      <w:r>
        <w:rPr>
          <w:rFonts w:hint="cs"/>
          <w:rtl/>
        </w:rPr>
        <w:t xml:space="preserve">הזה, </w:t>
      </w:r>
      <w:bookmarkStart w:id="39804" w:name="_ETM_Q74_448120"/>
      <w:bookmarkEnd w:id="39804"/>
      <w:r>
        <w:rPr>
          <w:rFonts w:hint="cs"/>
          <w:rtl/>
        </w:rPr>
        <w:t xml:space="preserve">חוק </w:t>
      </w:r>
      <w:bookmarkStart w:id="39805" w:name="_ETM_Q74_448810"/>
      <w:bookmarkEnd w:id="39805"/>
      <w:r>
        <w:rPr>
          <w:rFonts w:hint="cs"/>
          <w:rtl/>
        </w:rPr>
        <w:t xml:space="preserve">שהוא </w:t>
      </w:r>
      <w:bookmarkStart w:id="39806" w:name="_ETM_Q74_449349"/>
      <w:bookmarkEnd w:id="39806"/>
      <w:r>
        <w:rPr>
          <w:rFonts w:hint="cs"/>
          <w:rtl/>
        </w:rPr>
        <w:t xml:space="preserve">בעייתי </w:t>
      </w:r>
      <w:bookmarkStart w:id="39807" w:name="_ETM_Q74_449979"/>
      <w:bookmarkEnd w:id="39807"/>
      <w:r>
        <w:rPr>
          <w:rFonts w:hint="cs"/>
          <w:rtl/>
        </w:rPr>
        <w:t xml:space="preserve">ואנטי-דמוקרטי, </w:t>
      </w:r>
      <w:bookmarkStart w:id="39808" w:name="_ETM_Q74_450909"/>
      <w:bookmarkEnd w:id="39808"/>
      <w:r>
        <w:rPr>
          <w:rFonts w:hint="cs"/>
          <w:rtl/>
        </w:rPr>
        <w:t xml:space="preserve">מוביל </w:t>
      </w:r>
      <w:bookmarkStart w:id="39809" w:name="_ETM_Q74_451150"/>
      <w:bookmarkEnd w:id="39809"/>
      <w:r>
        <w:rPr>
          <w:rFonts w:hint="cs"/>
          <w:rtl/>
        </w:rPr>
        <w:t>אותנו</w:t>
      </w:r>
      <w:r w:rsidR="008E2003">
        <w:rPr>
          <w:rFonts w:hint="cs"/>
          <w:rtl/>
        </w:rPr>
        <w:t xml:space="preserve"> אליו</w:t>
      </w:r>
      <w:r>
        <w:rPr>
          <w:rFonts w:hint="cs"/>
          <w:rtl/>
        </w:rPr>
        <w:t>.</w:t>
      </w:r>
    </w:p>
    <w:p w:rsidR="00BB59CD" w:rsidRDefault="00BB59CD" w:rsidP="00BB59CD">
      <w:pPr>
        <w:rPr>
          <w:rtl/>
        </w:rPr>
      </w:pPr>
    </w:p>
    <w:p w:rsidR="00BB59CD" w:rsidRDefault="00BB59CD" w:rsidP="008E2003">
      <w:pPr>
        <w:rPr>
          <w:rtl/>
        </w:rPr>
      </w:pPr>
      <w:bookmarkStart w:id="39810" w:name="_ETM_Q74_453000"/>
      <w:bookmarkStart w:id="39811" w:name="_ETM_Q74_452940"/>
      <w:bookmarkEnd w:id="39810"/>
      <w:bookmarkEnd w:id="39811"/>
      <w:r>
        <w:rPr>
          <w:rFonts w:hint="cs"/>
          <w:rtl/>
        </w:rPr>
        <w:t xml:space="preserve">בהמשך, </w:t>
      </w:r>
      <w:bookmarkStart w:id="39812" w:name="_ETM_Q74_454250"/>
      <w:bookmarkEnd w:id="39812"/>
      <w:r>
        <w:rPr>
          <w:rFonts w:hint="cs"/>
          <w:rtl/>
        </w:rPr>
        <w:t xml:space="preserve">או במקביל, </w:t>
      </w:r>
      <w:bookmarkStart w:id="39813" w:name="_ETM_Q74_455120"/>
      <w:bookmarkEnd w:id="39813"/>
      <w:r>
        <w:rPr>
          <w:rFonts w:hint="cs"/>
          <w:rtl/>
        </w:rPr>
        <w:t xml:space="preserve">הקואליציה </w:t>
      </w:r>
      <w:bookmarkStart w:id="39814" w:name="_ETM_Q74_455870"/>
      <w:bookmarkEnd w:id="39814"/>
      <w:r>
        <w:rPr>
          <w:rFonts w:hint="cs"/>
          <w:rtl/>
        </w:rPr>
        <w:t xml:space="preserve">ניסתה </w:t>
      </w:r>
      <w:bookmarkStart w:id="39815" w:name="_ETM_Q74_456260"/>
      <w:bookmarkStart w:id="39816" w:name="_ETM_Q74_456470"/>
      <w:bookmarkEnd w:id="39815"/>
      <w:bookmarkEnd w:id="39816"/>
      <w:r>
        <w:rPr>
          <w:rFonts w:hint="cs"/>
          <w:rtl/>
        </w:rPr>
        <w:t xml:space="preserve">לגייס </w:t>
      </w:r>
      <w:bookmarkStart w:id="39817" w:name="_ETM_Q74_457190"/>
      <w:bookmarkEnd w:id="39817"/>
      <w:r>
        <w:rPr>
          <w:rFonts w:hint="cs"/>
          <w:rtl/>
        </w:rPr>
        <w:t xml:space="preserve">גם את </w:t>
      </w:r>
      <w:bookmarkStart w:id="39818" w:name="_ETM_Q74_457310"/>
      <w:bookmarkEnd w:id="39818"/>
      <w:r>
        <w:rPr>
          <w:rFonts w:hint="cs"/>
          <w:rtl/>
        </w:rPr>
        <w:t xml:space="preserve">פרופ' </w:t>
      </w:r>
      <w:bookmarkStart w:id="39819" w:name="_ETM_Q74_458150"/>
      <w:bookmarkEnd w:id="39819"/>
      <w:r>
        <w:rPr>
          <w:rFonts w:hint="cs"/>
          <w:rtl/>
        </w:rPr>
        <w:t xml:space="preserve">רייכמן. </w:t>
      </w:r>
      <w:bookmarkStart w:id="39820" w:name="_ETM_Q74_460020"/>
      <w:bookmarkEnd w:id="39820"/>
      <w:r>
        <w:rPr>
          <w:rFonts w:hint="cs"/>
          <w:rtl/>
        </w:rPr>
        <w:t xml:space="preserve">טענו </w:t>
      </w:r>
      <w:bookmarkStart w:id="39821" w:name="_ETM_Q74_460680"/>
      <w:bookmarkEnd w:id="39821"/>
      <w:r>
        <w:rPr>
          <w:rFonts w:hint="cs"/>
          <w:rtl/>
        </w:rPr>
        <w:t xml:space="preserve">שהוא </w:t>
      </w:r>
      <w:bookmarkStart w:id="39822" w:name="_ETM_Q74_460920"/>
      <w:bookmarkEnd w:id="39822"/>
      <w:r>
        <w:rPr>
          <w:rFonts w:hint="cs"/>
          <w:rtl/>
        </w:rPr>
        <w:t xml:space="preserve">תומך </w:t>
      </w:r>
      <w:bookmarkStart w:id="39823" w:name="_ETM_Q74_461279"/>
      <w:bookmarkEnd w:id="39823"/>
      <w:r>
        <w:rPr>
          <w:rFonts w:hint="cs"/>
          <w:rtl/>
        </w:rPr>
        <w:t xml:space="preserve">בחקיקה. </w:t>
      </w:r>
      <w:bookmarkStart w:id="39824" w:name="_ETM_Q74_463360"/>
      <w:bookmarkEnd w:id="39824"/>
      <w:r>
        <w:rPr>
          <w:rFonts w:hint="cs"/>
          <w:rtl/>
        </w:rPr>
        <w:t xml:space="preserve">אלא </w:t>
      </w:r>
      <w:bookmarkStart w:id="39825" w:name="_ETM_Q74_463630"/>
      <w:bookmarkStart w:id="39826" w:name="_ETM_Q74_463990"/>
      <w:bookmarkEnd w:id="39825"/>
      <w:bookmarkEnd w:id="39826"/>
      <w:r>
        <w:rPr>
          <w:rFonts w:hint="cs"/>
          <w:rtl/>
        </w:rPr>
        <w:t xml:space="preserve">שכבר </w:t>
      </w:r>
      <w:bookmarkStart w:id="39827" w:name="_ETM_Q74_464440"/>
      <w:bookmarkEnd w:id="39827"/>
      <w:r>
        <w:rPr>
          <w:rFonts w:hint="cs"/>
          <w:rtl/>
        </w:rPr>
        <w:t xml:space="preserve">בפברואר </w:t>
      </w:r>
      <w:bookmarkStart w:id="39828" w:name="_ETM_Q74_462000"/>
      <w:bookmarkStart w:id="39829" w:name="_ETM_Q74_464790"/>
      <w:bookmarkStart w:id="39830" w:name="_ETM_Q74_464910"/>
      <w:bookmarkStart w:id="39831" w:name="_ETM_Q74_465180"/>
      <w:bookmarkEnd w:id="39828"/>
      <w:bookmarkEnd w:id="39829"/>
      <w:bookmarkEnd w:id="39830"/>
      <w:bookmarkEnd w:id="39831"/>
      <w:r>
        <w:rPr>
          <w:rFonts w:hint="cs"/>
          <w:rtl/>
        </w:rPr>
        <w:t xml:space="preserve">השנה </w:t>
      </w:r>
      <w:bookmarkStart w:id="39832" w:name="_ETM_Q74_467100"/>
      <w:bookmarkEnd w:id="39832"/>
      <w:r>
        <w:rPr>
          <w:rFonts w:hint="cs"/>
          <w:rtl/>
        </w:rPr>
        <w:t xml:space="preserve">פרופ' </w:t>
      </w:r>
      <w:bookmarkStart w:id="39833" w:name="_ETM_Q74_467610"/>
      <w:bookmarkEnd w:id="39833"/>
      <w:r>
        <w:rPr>
          <w:rFonts w:hint="cs"/>
          <w:rtl/>
        </w:rPr>
        <w:t xml:space="preserve">רייכמן </w:t>
      </w:r>
      <w:bookmarkStart w:id="39834" w:name="_ETM_Q74_469070"/>
      <w:bookmarkEnd w:id="39834"/>
      <w:r>
        <w:rPr>
          <w:rFonts w:hint="cs"/>
          <w:rtl/>
        </w:rPr>
        <w:t xml:space="preserve">אמר </w:t>
      </w:r>
      <w:bookmarkStart w:id="39835" w:name="_ETM_Q74_469490"/>
      <w:bookmarkEnd w:id="39835"/>
      <w:r>
        <w:rPr>
          <w:rFonts w:hint="cs"/>
          <w:rtl/>
        </w:rPr>
        <w:t xml:space="preserve">את </w:t>
      </w:r>
      <w:bookmarkStart w:id="39836" w:name="_ETM_Q74_469550"/>
      <w:bookmarkEnd w:id="39836"/>
      <w:r>
        <w:rPr>
          <w:rFonts w:hint="cs"/>
          <w:rtl/>
        </w:rPr>
        <w:t xml:space="preserve">הדברים </w:t>
      </w:r>
      <w:bookmarkStart w:id="39837" w:name="_ETM_Q74_469910"/>
      <w:bookmarkEnd w:id="39837"/>
      <w:r>
        <w:rPr>
          <w:rFonts w:hint="cs"/>
          <w:rtl/>
        </w:rPr>
        <w:t xml:space="preserve">הבאים, </w:t>
      </w:r>
      <w:bookmarkStart w:id="39838" w:name="_ETM_Q74_470270"/>
      <w:bookmarkEnd w:id="39838"/>
      <w:r>
        <w:rPr>
          <w:rFonts w:hint="cs"/>
          <w:rtl/>
        </w:rPr>
        <w:t xml:space="preserve">שימו </w:t>
      </w:r>
      <w:bookmarkStart w:id="39839" w:name="_ETM_Q74_470600"/>
      <w:bookmarkEnd w:id="39839"/>
      <w:r>
        <w:rPr>
          <w:rFonts w:hint="cs"/>
          <w:rtl/>
        </w:rPr>
        <w:t xml:space="preserve">לב: </w:t>
      </w:r>
      <w:bookmarkStart w:id="39840" w:name="_ETM_Q74_471920"/>
      <w:bookmarkEnd w:id="39840"/>
      <w:r>
        <w:rPr>
          <w:rFonts w:hint="cs"/>
          <w:rtl/>
        </w:rPr>
        <w:t xml:space="preserve">האיון </w:t>
      </w:r>
      <w:bookmarkStart w:id="39841" w:name="_ETM_Q74_472670"/>
      <w:bookmarkEnd w:id="39841"/>
      <w:r>
        <w:rPr>
          <w:rFonts w:hint="cs"/>
          <w:rtl/>
        </w:rPr>
        <w:t xml:space="preserve">של </w:t>
      </w:r>
      <w:bookmarkStart w:id="39842" w:name="_ETM_Q74_472880"/>
      <w:bookmarkEnd w:id="39842"/>
      <w:r>
        <w:rPr>
          <w:rFonts w:hint="cs"/>
          <w:rtl/>
        </w:rPr>
        <w:t xml:space="preserve">יכולתו </w:t>
      </w:r>
      <w:bookmarkStart w:id="39843" w:name="_ETM_Q74_473960"/>
      <w:bookmarkEnd w:id="39843"/>
      <w:r>
        <w:rPr>
          <w:rFonts w:hint="cs"/>
          <w:rtl/>
        </w:rPr>
        <w:t xml:space="preserve">של </w:t>
      </w:r>
      <w:bookmarkStart w:id="39844" w:name="_ETM_Q74_474230"/>
      <w:bookmarkEnd w:id="39844"/>
      <w:r>
        <w:rPr>
          <w:rFonts w:hint="cs"/>
          <w:rtl/>
        </w:rPr>
        <w:t xml:space="preserve">בית </w:t>
      </w:r>
      <w:bookmarkStart w:id="39845" w:name="_ETM_Q74_474500"/>
      <w:bookmarkEnd w:id="39845"/>
      <w:r>
        <w:rPr>
          <w:rFonts w:hint="cs"/>
          <w:rtl/>
        </w:rPr>
        <w:t xml:space="preserve">המשפט </w:t>
      </w:r>
      <w:bookmarkStart w:id="39846" w:name="_ETM_Q74_475010"/>
      <w:bookmarkEnd w:id="39846"/>
      <w:r>
        <w:rPr>
          <w:rFonts w:hint="cs"/>
          <w:rtl/>
        </w:rPr>
        <w:t xml:space="preserve">העליון </w:t>
      </w:r>
      <w:bookmarkStart w:id="39847" w:name="_ETM_Q74_475520"/>
      <w:bookmarkEnd w:id="39847"/>
      <w:r>
        <w:rPr>
          <w:rFonts w:hint="cs"/>
          <w:rtl/>
        </w:rPr>
        <w:t xml:space="preserve">לבטל </w:t>
      </w:r>
      <w:bookmarkStart w:id="39848" w:name="_ETM_Q74_476540"/>
      <w:bookmarkEnd w:id="39848"/>
      <w:r>
        <w:rPr>
          <w:rFonts w:hint="cs"/>
          <w:rtl/>
        </w:rPr>
        <w:t xml:space="preserve">חוקים </w:t>
      </w:r>
      <w:bookmarkStart w:id="39849" w:name="_ETM_Q74_477200"/>
      <w:bookmarkEnd w:id="39849"/>
      <w:r>
        <w:rPr>
          <w:rFonts w:hint="cs"/>
          <w:rtl/>
        </w:rPr>
        <w:t xml:space="preserve">הפוגעים </w:t>
      </w:r>
      <w:bookmarkStart w:id="39850" w:name="_ETM_Q74_478479"/>
      <w:bookmarkEnd w:id="39850"/>
      <w:r>
        <w:rPr>
          <w:rFonts w:hint="cs"/>
          <w:rtl/>
        </w:rPr>
        <w:t xml:space="preserve">בחירויות </w:t>
      </w:r>
      <w:bookmarkStart w:id="39851" w:name="_ETM_Q74_479380"/>
      <w:bookmarkEnd w:id="39851"/>
      <w:r>
        <w:rPr>
          <w:rFonts w:hint="cs"/>
          <w:rtl/>
        </w:rPr>
        <w:t xml:space="preserve">היסוד </w:t>
      </w:r>
      <w:bookmarkStart w:id="39852" w:name="_ETM_Q74_479949"/>
      <w:bookmarkEnd w:id="39852"/>
      <w:r>
        <w:rPr>
          <w:rFonts w:hint="cs"/>
          <w:rtl/>
        </w:rPr>
        <w:t xml:space="preserve">של </w:t>
      </w:r>
      <w:bookmarkStart w:id="39853" w:name="_ETM_Q74_480130"/>
      <w:bookmarkEnd w:id="39853"/>
      <w:r>
        <w:rPr>
          <w:rFonts w:hint="cs"/>
          <w:rtl/>
        </w:rPr>
        <w:t>האזרחים</w:t>
      </w:r>
      <w:bookmarkStart w:id="39854" w:name="_ETM_Q74_480000"/>
      <w:bookmarkEnd w:id="39854"/>
      <w:r>
        <w:rPr>
          <w:rFonts w:hint="cs"/>
          <w:rtl/>
        </w:rPr>
        <w:t xml:space="preserve"> </w:t>
      </w:r>
      <w:bookmarkStart w:id="39855" w:name="_ETM_Q74_481160"/>
      <w:bookmarkEnd w:id="39855"/>
      <w:r>
        <w:rPr>
          <w:rFonts w:hint="cs"/>
          <w:rtl/>
        </w:rPr>
        <w:t xml:space="preserve">יצר </w:t>
      </w:r>
      <w:bookmarkStart w:id="39856" w:name="_ETM_Q74_481790"/>
      <w:bookmarkEnd w:id="39856"/>
      <w:r>
        <w:rPr>
          <w:rFonts w:hint="cs"/>
          <w:rtl/>
        </w:rPr>
        <w:t xml:space="preserve">עולם </w:t>
      </w:r>
      <w:bookmarkStart w:id="39857" w:name="_ETM_Q74_483759"/>
      <w:bookmarkEnd w:id="39857"/>
      <w:r>
        <w:rPr>
          <w:rFonts w:hint="cs"/>
          <w:rtl/>
        </w:rPr>
        <w:t xml:space="preserve">של </w:t>
      </w:r>
      <w:bookmarkStart w:id="39858" w:name="_ETM_Q74_484060"/>
      <w:bookmarkEnd w:id="39858"/>
      <w:r>
        <w:rPr>
          <w:rFonts w:hint="cs"/>
          <w:rtl/>
        </w:rPr>
        <w:t xml:space="preserve">ניכור </w:t>
      </w:r>
      <w:bookmarkStart w:id="39859" w:name="_ETM_Q74_485109"/>
      <w:bookmarkEnd w:id="39859"/>
      <w:r>
        <w:rPr>
          <w:rFonts w:hint="cs"/>
          <w:rtl/>
        </w:rPr>
        <w:t xml:space="preserve">בין </w:t>
      </w:r>
      <w:bookmarkStart w:id="39860" w:name="_ETM_Q74_485439"/>
      <w:bookmarkEnd w:id="39860"/>
      <w:r>
        <w:rPr>
          <w:rFonts w:hint="cs"/>
          <w:rtl/>
        </w:rPr>
        <w:t xml:space="preserve">השלטון </w:t>
      </w:r>
      <w:bookmarkStart w:id="39861" w:name="_ETM_Q74_486250"/>
      <w:bookmarkEnd w:id="39861"/>
      <w:r>
        <w:rPr>
          <w:rFonts w:hint="cs"/>
          <w:rtl/>
        </w:rPr>
        <w:t xml:space="preserve">לבין </w:t>
      </w:r>
      <w:bookmarkStart w:id="39862" w:name="_ETM_Q74_486639"/>
      <w:bookmarkEnd w:id="39862"/>
      <w:r>
        <w:rPr>
          <w:rFonts w:hint="cs"/>
          <w:rtl/>
        </w:rPr>
        <w:t xml:space="preserve">האזרחים. </w:t>
      </w:r>
      <w:bookmarkStart w:id="39863" w:name="_ETM_Q74_488160"/>
      <w:bookmarkEnd w:id="39863"/>
      <w:r>
        <w:rPr>
          <w:rFonts w:hint="cs"/>
          <w:rtl/>
        </w:rPr>
        <w:t xml:space="preserve">שלטון </w:t>
      </w:r>
      <w:bookmarkStart w:id="39864" w:name="_ETM_Q74_488700"/>
      <w:bookmarkEnd w:id="39864"/>
      <w:r>
        <w:rPr>
          <w:rFonts w:hint="cs"/>
          <w:rtl/>
        </w:rPr>
        <w:t xml:space="preserve">הרוב </w:t>
      </w:r>
      <w:bookmarkStart w:id="39865" w:name="_ETM_Q74_490390"/>
      <w:bookmarkEnd w:id="39865"/>
      <w:r>
        <w:rPr>
          <w:rFonts w:hint="cs"/>
          <w:rtl/>
        </w:rPr>
        <w:t xml:space="preserve">שחסר </w:t>
      </w:r>
      <w:bookmarkStart w:id="39866" w:name="_ETM_Q74_491470"/>
      <w:bookmarkEnd w:id="39866"/>
      <w:r>
        <w:rPr>
          <w:rFonts w:hint="cs"/>
          <w:rtl/>
        </w:rPr>
        <w:t xml:space="preserve">ריסונים </w:t>
      </w:r>
      <w:bookmarkStart w:id="39867" w:name="_ETM_Q74_492610"/>
      <w:bookmarkEnd w:id="39867"/>
      <w:r>
        <w:rPr>
          <w:rFonts w:hint="cs"/>
          <w:rtl/>
        </w:rPr>
        <w:t xml:space="preserve">הופך </w:t>
      </w:r>
      <w:bookmarkStart w:id="39868" w:name="_ETM_Q74_493059"/>
      <w:bookmarkEnd w:id="39868"/>
      <w:r>
        <w:rPr>
          <w:rFonts w:hint="cs"/>
          <w:rtl/>
        </w:rPr>
        <w:t xml:space="preserve">את </w:t>
      </w:r>
      <w:bookmarkStart w:id="39869" w:name="_ETM_Q74_493180"/>
      <w:bookmarkEnd w:id="39869"/>
      <w:r>
        <w:rPr>
          <w:rFonts w:hint="cs"/>
          <w:rtl/>
        </w:rPr>
        <w:t xml:space="preserve">כולנו </w:t>
      </w:r>
      <w:bookmarkStart w:id="39870" w:name="_ETM_Q74_494380"/>
      <w:bookmarkEnd w:id="39870"/>
      <w:r>
        <w:rPr>
          <w:rFonts w:hint="cs"/>
          <w:rtl/>
        </w:rPr>
        <w:t xml:space="preserve">מאזרחים </w:t>
      </w:r>
      <w:bookmarkStart w:id="39871" w:name="_ETM_Q74_496230"/>
      <w:bookmarkEnd w:id="39871"/>
      <w:r>
        <w:rPr>
          <w:rFonts w:hint="cs"/>
          <w:rtl/>
        </w:rPr>
        <w:t xml:space="preserve">לנתינים. </w:t>
      </w:r>
      <w:bookmarkStart w:id="39872" w:name="_ETM_Q74_497699"/>
      <w:bookmarkEnd w:id="39872"/>
      <w:r>
        <w:rPr>
          <w:rFonts w:hint="cs"/>
          <w:rtl/>
        </w:rPr>
        <w:t xml:space="preserve">אלה </w:t>
      </w:r>
      <w:bookmarkStart w:id="39873" w:name="_ETM_Q74_498510"/>
      <w:bookmarkEnd w:id="39873"/>
      <w:r>
        <w:rPr>
          <w:rFonts w:hint="cs"/>
          <w:rtl/>
        </w:rPr>
        <w:t xml:space="preserve">המילים </w:t>
      </w:r>
      <w:bookmarkStart w:id="39874" w:name="_ETM_Q74_498960"/>
      <w:bookmarkEnd w:id="39874"/>
      <w:r>
        <w:rPr>
          <w:rFonts w:hint="cs"/>
          <w:rtl/>
        </w:rPr>
        <w:t xml:space="preserve">של </w:t>
      </w:r>
      <w:bookmarkStart w:id="39875" w:name="_ETM_Q74_499140"/>
      <w:bookmarkEnd w:id="39875"/>
      <w:r>
        <w:rPr>
          <w:rFonts w:hint="cs"/>
          <w:rtl/>
        </w:rPr>
        <w:t xml:space="preserve">פרופ' </w:t>
      </w:r>
      <w:bookmarkStart w:id="39876" w:name="_ETM_Q74_499619"/>
      <w:bookmarkEnd w:id="39876"/>
      <w:r>
        <w:rPr>
          <w:rFonts w:hint="cs"/>
          <w:rtl/>
        </w:rPr>
        <w:t xml:space="preserve">רייכמן. </w:t>
      </w:r>
      <w:bookmarkStart w:id="39877" w:name="_ETM_Q74_500830"/>
      <w:bookmarkEnd w:id="39877"/>
      <w:r>
        <w:rPr>
          <w:rFonts w:hint="cs"/>
          <w:rtl/>
        </w:rPr>
        <w:t xml:space="preserve">אני </w:t>
      </w:r>
      <w:bookmarkStart w:id="39878" w:name="_ETM_Q74_501339"/>
      <w:bookmarkEnd w:id="39878"/>
      <w:r>
        <w:rPr>
          <w:rFonts w:hint="cs"/>
          <w:rtl/>
        </w:rPr>
        <w:t xml:space="preserve">לא </w:t>
      </w:r>
      <w:bookmarkStart w:id="39879" w:name="_ETM_Q74_501460"/>
      <w:bookmarkEnd w:id="39879"/>
      <w:r>
        <w:rPr>
          <w:rFonts w:hint="cs"/>
          <w:rtl/>
        </w:rPr>
        <w:t xml:space="preserve">חושב </w:t>
      </w:r>
      <w:bookmarkStart w:id="39880" w:name="_ETM_Q74_501700"/>
      <w:bookmarkEnd w:id="39880"/>
      <w:r>
        <w:rPr>
          <w:rFonts w:hint="cs"/>
          <w:rtl/>
        </w:rPr>
        <w:t xml:space="preserve">שלמישהו </w:t>
      </w:r>
      <w:bookmarkStart w:id="39881" w:name="_ETM_Q74_502180"/>
      <w:bookmarkEnd w:id="39881"/>
      <w:r>
        <w:rPr>
          <w:rFonts w:hint="cs"/>
          <w:rtl/>
        </w:rPr>
        <w:t xml:space="preserve">יש </w:t>
      </w:r>
      <w:bookmarkStart w:id="39882" w:name="_ETM_Q74_502690"/>
      <w:bookmarkEnd w:id="39882"/>
      <w:r>
        <w:rPr>
          <w:rFonts w:hint="cs"/>
          <w:rtl/>
        </w:rPr>
        <w:t xml:space="preserve">ספק </w:t>
      </w:r>
      <w:bookmarkStart w:id="39883" w:name="_ETM_Q74_503290"/>
      <w:bookmarkEnd w:id="39883"/>
      <w:r>
        <w:rPr>
          <w:rFonts w:hint="cs"/>
          <w:rtl/>
        </w:rPr>
        <w:t xml:space="preserve">אם </w:t>
      </w:r>
      <w:bookmarkStart w:id="39884" w:name="_ETM_Q74_503560"/>
      <w:bookmarkEnd w:id="39884"/>
      <w:r>
        <w:rPr>
          <w:rFonts w:hint="cs"/>
          <w:rtl/>
        </w:rPr>
        <w:t xml:space="preserve">הוא </w:t>
      </w:r>
      <w:bookmarkStart w:id="39885" w:name="_ETM_Q74_503650"/>
      <w:bookmarkEnd w:id="39885"/>
      <w:r>
        <w:rPr>
          <w:rFonts w:hint="cs"/>
          <w:rtl/>
        </w:rPr>
        <w:t xml:space="preserve">תומך </w:t>
      </w:r>
      <w:bookmarkStart w:id="39886" w:name="_ETM_Q74_504490"/>
      <w:bookmarkEnd w:id="39886"/>
      <w:r>
        <w:rPr>
          <w:rFonts w:hint="cs"/>
          <w:rtl/>
        </w:rPr>
        <w:t xml:space="preserve">בהפיכה </w:t>
      </w:r>
      <w:bookmarkStart w:id="39887" w:name="_ETM_Q74_505000"/>
      <w:bookmarkEnd w:id="39887"/>
      <w:r>
        <w:rPr>
          <w:rFonts w:hint="cs"/>
          <w:rtl/>
        </w:rPr>
        <w:t xml:space="preserve">המשפטית </w:t>
      </w:r>
      <w:bookmarkStart w:id="39888" w:name="_ETM_Q74_505779"/>
      <w:bookmarkEnd w:id="39888"/>
      <w:r>
        <w:rPr>
          <w:rFonts w:hint="cs"/>
          <w:rtl/>
        </w:rPr>
        <w:t xml:space="preserve">או </w:t>
      </w:r>
      <w:bookmarkStart w:id="39889" w:name="_ETM_Q74_505930"/>
      <w:bookmarkEnd w:id="39889"/>
      <w:r>
        <w:rPr>
          <w:rFonts w:hint="cs"/>
          <w:rtl/>
        </w:rPr>
        <w:t xml:space="preserve">לא. </w:t>
      </w:r>
      <w:bookmarkStart w:id="39890" w:name="_ETM_Q74_507520"/>
      <w:bookmarkEnd w:id="39890"/>
      <w:r>
        <w:rPr>
          <w:rFonts w:hint="cs"/>
          <w:rtl/>
        </w:rPr>
        <w:t xml:space="preserve">אז </w:t>
      </w:r>
      <w:bookmarkStart w:id="39891" w:name="_ETM_Q74_507700"/>
      <w:bookmarkEnd w:id="39891"/>
      <w:r>
        <w:rPr>
          <w:rFonts w:hint="cs"/>
          <w:rtl/>
        </w:rPr>
        <w:t xml:space="preserve">גם </w:t>
      </w:r>
      <w:bookmarkStart w:id="39892" w:name="_ETM_Q74_507940"/>
      <w:bookmarkEnd w:id="39892"/>
      <w:r>
        <w:rPr>
          <w:rFonts w:hint="cs"/>
          <w:rtl/>
        </w:rPr>
        <w:t xml:space="preserve">כאן </w:t>
      </w:r>
      <w:bookmarkStart w:id="39893" w:name="_ETM_Q74_508240"/>
      <w:bookmarkEnd w:id="39893"/>
      <w:r>
        <w:rPr>
          <w:rFonts w:hint="cs"/>
          <w:rtl/>
        </w:rPr>
        <w:t xml:space="preserve">הקואליציה, </w:t>
      </w:r>
      <w:bookmarkStart w:id="39894" w:name="_ETM_Q74_509199"/>
      <w:bookmarkEnd w:id="39894"/>
      <w:r>
        <w:rPr>
          <w:rFonts w:hint="cs"/>
          <w:rtl/>
        </w:rPr>
        <w:t xml:space="preserve">מה </w:t>
      </w:r>
      <w:bookmarkStart w:id="39895" w:name="_ETM_Q74_509529"/>
      <w:bookmarkEnd w:id="39895"/>
      <w:r>
        <w:rPr>
          <w:rFonts w:hint="cs"/>
          <w:rtl/>
        </w:rPr>
        <w:t xml:space="preserve">לעשות, </w:t>
      </w:r>
      <w:bookmarkStart w:id="39896" w:name="_ETM_Q74_510429"/>
      <w:bookmarkEnd w:id="39896"/>
      <w:r>
        <w:rPr>
          <w:rFonts w:hint="cs"/>
          <w:rtl/>
        </w:rPr>
        <w:t>שיקרה.</w:t>
      </w:r>
    </w:p>
    <w:p w:rsidR="00BB59CD" w:rsidRDefault="00BB59CD" w:rsidP="00BB59CD">
      <w:pPr>
        <w:rPr>
          <w:color w:val="0F2D96"/>
          <w:sz w:val="30"/>
          <w:szCs w:val="30"/>
          <w:shd w:val="clear" w:color="auto" w:fill="F4F3F3"/>
          <w:rtl/>
        </w:rPr>
      </w:pPr>
      <w:bookmarkStart w:id="39897" w:name="_ETM_Q74_513000"/>
      <w:bookmarkStart w:id="39898" w:name="_ETM_Q74_513829"/>
      <w:bookmarkEnd w:id="39897"/>
      <w:bookmarkEnd w:id="39898"/>
    </w:p>
    <w:p w:rsidR="00BB59CD" w:rsidRDefault="00BB59CD" w:rsidP="008E2003">
      <w:pPr>
        <w:rPr>
          <w:rtl/>
        </w:rPr>
      </w:pPr>
      <w:r>
        <w:rPr>
          <w:rFonts w:hint="cs"/>
          <w:rtl/>
        </w:rPr>
        <w:t xml:space="preserve">עכשיו, </w:t>
      </w:r>
      <w:bookmarkStart w:id="39899" w:name="_ETM_Q74_514070"/>
      <w:bookmarkEnd w:id="39899"/>
      <w:r>
        <w:rPr>
          <w:rFonts w:hint="cs"/>
          <w:rtl/>
        </w:rPr>
        <w:t xml:space="preserve">בהמשך </w:t>
      </w:r>
      <w:bookmarkStart w:id="39900" w:name="_ETM_Q74_514950"/>
      <w:bookmarkEnd w:id="39900"/>
      <w:r>
        <w:rPr>
          <w:rFonts w:hint="cs"/>
          <w:rtl/>
        </w:rPr>
        <w:t xml:space="preserve">או </w:t>
      </w:r>
      <w:bookmarkStart w:id="39901" w:name="_ETM_Q74_515220"/>
      <w:bookmarkEnd w:id="39901"/>
      <w:r>
        <w:rPr>
          <w:rFonts w:hint="cs"/>
          <w:rtl/>
        </w:rPr>
        <w:t xml:space="preserve">במקביל, </w:t>
      </w:r>
      <w:bookmarkStart w:id="39902" w:name="_ETM_Q74_515940"/>
      <w:bookmarkEnd w:id="39902"/>
      <w:r>
        <w:rPr>
          <w:rFonts w:hint="cs"/>
          <w:rtl/>
        </w:rPr>
        <w:t xml:space="preserve">הקואליציה, </w:t>
      </w:r>
      <w:bookmarkStart w:id="39903" w:name="_ETM_Q74_516540"/>
      <w:bookmarkEnd w:id="39903"/>
      <w:r>
        <w:rPr>
          <w:rFonts w:hint="cs"/>
          <w:rtl/>
        </w:rPr>
        <w:t xml:space="preserve">כמובן, </w:t>
      </w:r>
      <w:bookmarkStart w:id="39904" w:name="_ETM_Q74_516900"/>
      <w:bookmarkEnd w:id="39904"/>
      <w:r>
        <w:rPr>
          <w:rFonts w:hint="cs"/>
          <w:rtl/>
        </w:rPr>
        <w:t xml:space="preserve">לאורך </w:t>
      </w:r>
      <w:bookmarkStart w:id="39905" w:name="_ETM_Q74_517230"/>
      <w:bookmarkEnd w:id="39905"/>
      <w:r>
        <w:rPr>
          <w:rFonts w:hint="cs"/>
          <w:rtl/>
        </w:rPr>
        <w:t xml:space="preserve">כל </w:t>
      </w:r>
      <w:bookmarkStart w:id="39906" w:name="_ETM_Q74_517470"/>
      <w:bookmarkEnd w:id="39906"/>
      <w:r>
        <w:rPr>
          <w:rFonts w:hint="cs"/>
          <w:rtl/>
        </w:rPr>
        <w:t xml:space="preserve">הדרך </w:t>
      </w:r>
      <w:bookmarkStart w:id="39907" w:name="_ETM_Q74_518560"/>
      <w:bookmarkEnd w:id="39907"/>
      <w:r>
        <w:rPr>
          <w:rFonts w:hint="cs"/>
          <w:rtl/>
        </w:rPr>
        <w:t xml:space="preserve">טענה </w:t>
      </w:r>
      <w:bookmarkStart w:id="39908" w:name="_ETM_Q74_519659"/>
      <w:bookmarkEnd w:id="39908"/>
      <w:r>
        <w:rPr>
          <w:rFonts w:hint="cs"/>
          <w:rtl/>
        </w:rPr>
        <w:t xml:space="preserve">כי </w:t>
      </w:r>
      <w:bookmarkStart w:id="39909" w:name="_ETM_Q74_519809"/>
      <w:bookmarkEnd w:id="39909"/>
      <w:r>
        <w:rPr>
          <w:rFonts w:hint="cs"/>
          <w:rtl/>
        </w:rPr>
        <w:t xml:space="preserve">הצעת </w:t>
      </w:r>
      <w:bookmarkStart w:id="39910" w:name="_ETM_Q74_520260"/>
      <w:bookmarkEnd w:id="39910"/>
      <w:r>
        <w:rPr>
          <w:rFonts w:hint="cs"/>
          <w:rtl/>
        </w:rPr>
        <w:t xml:space="preserve">החוק </w:t>
      </w:r>
      <w:bookmarkStart w:id="39911" w:name="_ETM_Q74_520649"/>
      <w:bookmarkEnd w:id="39911"/>
      <w:r>
        <w:rPr>
          <w:rFonts w:hint="cs"/>
          <w:rtl/>
        </w:rPr>
        <w:t xml:space="preserve">לביטול </w:t>
      </w:r>
      <w:bookmarkStart w:id="39912" w:name="_ETM_Q74_521370"/>
      <w:bookmarkEnd w:id="39912"/>
      <w:r>
        <w:rPr>
          <w:rFonts w:hint="cs"/>
          <w:rtl/>
        </w:rPr>
        <w:t xml:space="preserve">עילת </w:t>
      </w:r>
      <w:bookmarkStart w:id="39913" w:name="_ETM_Q74_521699"/>
      <w:bookmarkEnd w:id="39913"/>
      <w:r>
        <w:rPr>
          <w:rFonts w:hint="cs"/>
          <w:rtl/>
        </w:rPr>
        <w:t xml:space="preserve">הסבירות, </w:t>
      </w:r>
      <w:bookmarkStart w:id="39914" w:name="_ETM_Q74_522210"/>
      <w:bookmarkEnd w:id="39914"/>
      <w:r>
        <w:rPr>
          <w:rFonts w:hint="cs"/>
          <w:rtl/>
        </w:rPr>
        <w:t xml:space="preserve">ביטול </w:t>
      </w:r>
      <w:bookmarkStart w:id="39915" w:name="_ETM_Q74_522600"/>
      <w:bookmarkEnd w:id="39915"/>
      <w:r>
        <w:rPr>
          <w:rFonts w:hint="cs"/>
          <w:rtl/>
        </w:rPr>
        <w:t xml:space="preserve">חובת </w:t>
      </w:r>
      <w:bookmarkStart w:id="39916" w:name="_ETM_Q74_522929"/>
      <w:bookmarkEnd w:id="39916"/>
      <w:r>
        <w:rPr>
          <w:rFonts w:hint="cs"/>
          <w:rtl/>
        </w:rPr>
        <w:t xml:space="preserve">הסבירות, </w:t>
      </w:r>
      <w:bookmarkStart w:id="39917" w:name="_ETM_Q74_523559"/>
      <w:bookmarkEnd w:id="39917"/>
      <w:r>
        <w:rPr>
          <w:rFonts w:hint="cs"/>
          <w:rtl/>
        </w:rPr>
        <w:t xml:space="preserve">ביטול </w:t>
      </w:r>
      <w:bookmarkStart w:id="39918" w:name="_ETM_Q74_523979"/>
      <w:bookmarkEnd w:id="39918"/>
      <w:r>
        <w:rPr>
          <w:rFonts w:hint="cs"/>
          <w:rtl/>
        </w:rPr>
        <w:t xml:space="preserve">הסבירות, </w:t>
      </w:r>
      <w:bookmarkStart w:id="39919" w:name="_ETM_Q74_525250"/>
      <w:bookmarkEnd w:id="39919"/>
      <w:r>
        <w:rPr>
          <w:rFonts w:hint="cs"/>
          <w:rtl/>
        </w:rPr>
        <w:t xml:space="preserve">היא </w:t>
      </w:r>
      <w:bookmarkStart w:id="39920" w:name="_ETM_Q74_525370"/>
      <w:bookmarkEnd w:id="39920"/>
      <w:r>
        <w:rPr>
          <w:rFonts w:hint="cs"/>
          <w:rtl/>
        </w:rPr>
        <w:t xml:space="preserve">בעצם </w:t>
      </w:r>
      <w:bookmarkStart w:id="39921" w:name="_ETM_Q74_525820"/>
      <w:bookmarkEnd w:id="39921"/>
      <w:r>
        <w:rPr>
          <w:rFonts w:hint="cs"/>
          <w:rtl/>
        </w:rPr>
        <w:t xml:space="preserve">חוק </w:t>
      </w:r>
      <w:bookmarkStart w:id="39922" w:name="_ETM_Q74_526120"/>
      <w:bookmarkEnd w:id="39922"/>
      <w:r>
        <w:rPr>
          <w:rFonts w:hint="cs"/>
          <w:rtl/>
        </w:rPr>
        <w:t xml:space="preserve">סולברג, </w:t>
      </w:r>
      <w:bookmarkStart w:id="39923" w:name="_ETM_Q74_528230"/>
      <w:bookmarkEnd w:id="39923"/>
      <w:r>
        <w:rPr>
          <w:rFonts w:hint="cs"/>
          <w:rtl/>
        </w:rPr>
        <w:t xml:space="preserve">חוק </w:t>
      </w:r>
      <w:bookmarkStart w:id="39924" w:name="_ETM_Q74_529100"/>
      <w:bookmarkEnd w:id="39924"/>
      <w:r>
        <w:rPr>
          <w:rFonts w:hint="cs"/>
          <w:rtl/>
        </w:rPr>
        <w:t xml:space="preserve">שאת </w:t>
      </w:r>
      <w:bookmarkStart w:id="39925" w:name="_ETM_Q74_529550"/>
      <w:bookmarkEnd w:id="39925"/>
      <w:r>
        <w:rPr>
          <w:rFonts w:hint="cs"/>
          <w:rtl/>
        </w:rPr>
        <w:t xml:space="preserve">העקרונות </w:t>
      </w:r>
      <w:bookmarkStart w:id="39926" w:name="_ETM_Q74_530149"/>
      <w:bookmarkEnd w:id="39926"/>
      <w:r>
        <w:rPr>
          <w:rFonts w:hint="cs"/>
          <w:rtl/>
        </w:rPr>
        <w:t xml:space="preserve">שלו </w:t>
      </w:r>
      <w:bookmarkStart w:id="39927" w:name="_ETM_Q74_530989"/>
      <w:bookmarkEnd w:id="39927"/>
      <w:r>
        <w:rPr>
          <w:rFonts w:hint="cs"/>
          <w:rtl/>
        </w:rPr>
        <w:t xml:space="preserve">השופט, </w:t>
      </w:r>
      <w:bookmarkStart w:id="39928" w:name="_ETM_Q74_531859"/>
      <w:bookmarkEnd w:id="39928"/>
      <w:r>
        <w:rPr>
          <w:rFonts w:hint="cs"/>
          <w:rtl/>
        </w:rPr>
        <w:t xml:space="preserve">כבוד </w:t>
      </w:r>
      <w:bookmarkStart w:id="39929" w:name="_ETM_Q74_532100"/>
      <w:bookmarkEnd w:id="39929"/>
      <w:r>
        <w:rPr>
          <w:rFonts w:hint="cs"/>
          <w:rtl/>
        </w:rPr>
        <w:t xml:space="preserve">השופט </w:t>
      </w:r>
      <w:bookmarkStart w:id="39930" w:name="_ETM_Q74_533149"/>
      <w:bookmarkEnd w:id="39930"/>
      <w:r>
        <w:rPr>
          <w:rFonts w:hint="cs"/>
          <w:rtl/>
        </w:rPr>
        <w:t xml:space="preserve">פרופ' </w:t>
      </w:r>
      <w:bookmarkStart w:id="39931" w:name="_ETM_Q74_533600"/>
      <w:bookmarkEnd w:id="39931"/>
      <w:r>
        <w:rPr>
          <w:rFonts w:hint="cs"/>
          <w:rtl/>
        </w:rPr>
        <w:t xml:space="preserve">נעם </w:t>
      </w:r>
      <w:bookmarkStart w:id="39932" w:name="_ETM_Q74_534550"/>
      <w:bookmarkEnd w:id="39932"/>
      <w:r>
        <w:rPr>
          <w:rFonts w:hint="cs"/>
          <w:rtl/>
        </w:rPr>
        <w:t xml:space="preserve">סולברג </w:t>
      </w:r>
      <w:bookmarkStart w:id="39933" w:name="_ETM_Q74_535889"/>
      <w:bookmarkEnd w:id="39933"/>
      <w:r>
        <w:rPr>
          <w:rFonts w:hint="cs"/>
          <w:rtl/>
        </w:rPr>
        <w:t xml:space="preserve">הגדיר </w:t>
      </w:r>
      <w:bookmarkStart w:id="39934" w:name="_ETM_Q74_536429"/>
      <w:bookmarkEnd w:id="39934"/>
      <w:r>
        <w:rPr>
          <w:rFonts w:hint="cs"/>
          <w:rtl/>
        </w:rPr>
        <w:t xml:space="preserve">במאמרו </w:t>
      </w:r>
      <w:bookmarkStart w:id="39935" w:name="_ETM_Q74_539039"/>
      <w:bookmarkEnd w:id="39935"/>
      <w:r>
        <w:rPr>
          <w:rFonts w:hint="cs"/>
          <w:rtl/>
        </w:rPr>
        <w:t>ב-2019</w:t>
      </w:r>
      <w:bookmarkStart w:id="39936" w:name="_ETM_Q74_542019"/>
      <w:bookmarkEnd w:id="39936"/>
      <w:r>
        <w:rPr>
          <w:rFonts w:hint="cs"/>
          <w:rtl/>
        </w:rPr>
        <w:t>. אלא</w:t>
      </w:r>
      <w:bookmarkStart w:id="39937" w:name="_ETM_Q74_542289"/>
      <w:bookmarkStart w:id="39938" w:name="_ETM_Q74_542859"/>
      <w:bookmarkEnd w:id="39937"/>
      <w:bookmarkEnd w:id="39938"/>
      <w:r>
        <w:rPr>
          <w:rFonts w:hint="cs"/>
          <w:rtl/>
        </w:rPr>
        <w:t xml:space="preserve"> שכבוד </w:t>
      </w:r>
      <w:bookmarkStart w:id="39939" w:name="_ETM_Q74_543190"/>
      <w:bookmarkEnd w:id="39939"/>
      <w:r>
        <w:rPr>
          <w:rFonts w:hint="cs"/>
          <w:rtl/>
        </w:rPr>
        <w:t xml:space="preserve">השופט </w:t>
      </w:r>
      <w:bookmarkStart w:id="39940" w:name="_ETM_Q74_543639"/>
      <w:bookmarkEnd w:id="39940"/>
      <w:r>
        <w:rPr>
          <w:rFonts w:hint="cs"/>
          <w:rtl/>
        </w:rPr>
        <w:t xml:space="preserve">סולברג </w:t>
      </w:r>
      <w:bookmarkStart w:id="39941" w:name="_ETM_Q74_544539"/>
      <w:bookmarkEnd w:id="39941"/>
      <w:r>
        <w:rPr>
          <w:rFonts w:hint="cs"/>
          <w:rtl/>
        </w:rPr>
        <w:t xml:space="preserve">בעצמו </w:t>
      </w:r>
      <w:bookmarkStart w:id="39942" w:name="_ETM_Q74_545740"/>
      <w:bookmarkEnd w:id="39942"/>
      <w:r>
        <w:rPr>
          <w:rFonts w:hint="cs"/>
          <w:rtl/>
        </w:rPr>
        <w:t xml:space="preserve">שופט </w:t>
      </w:r>
      <w:bookmarkStart w:id="39943" w:name="_ETM_Q74_546700"/>
      <w:bookmarkEnd w:id="39943"/>
      <w:r>
        <w:rPr>
          <w:rFonts w:hint="cs"/>
          <w:rtl/>
        </w:rPr>
        <w:t xml:space="preserve">שמרן, </w:t>
      </w:r>
      <w:bookmarkStart w:id="39944" w:name="_ETM_Q74_547970"/>
      <w:bookmarkStart w:id="39945" w:name="_ETM_Q74_549510"/>
      <w:bookmarkEnd w:id="39944"/>
      <w:bookmarkEnd w:id="39945"/>
      <w:r w:rsidR="008E2003">
        <w:rPr>
          <w:rFonts w:hint="cs"/>
          <w:rtl/>
        </w:rPr>
        <w:t>ו</w:t>
      </w:r>
      <w:r>
        <w:rPr>
          <w:rFonts w:hint="cs"/>
          <w:rtl/>
        </w:rPr>
        <w:t>באמת לא תמיד</w:t>
      </w:r>
      <w:bookmarkStart w:id="39946" w:name="_ETM_Q74_550050"/>
      <w:bookmarkStart w:id="39947" w:name="_ETM_Q74_550170"/>
      <w:bookmarkStart w:id="39948" w:name="_ETM_Q74_550350"/>
      <w:bookmarkEnd w:id="39946"/>
      <w:bookmarkEnd w:id="39947"/>
      <w:bookmarkEnd w:id="39948"/>
      <w:r>
        <w:rPr>
          <w:rFonts w:hint="cs"/>
          <w:rtl/>
        </w:rPr>
        <w:t xml:space="preserve"> אני </w:t>
      </w:r>
      <w:bookmarkStart w:id="39949" w:name="_ETM_Q74_551100"/>
      <w:bookmarkEnd w:id="39949"/>
      <w:r>
        <w:rPr>
          <w:rFonts w:hint="cs"/>
          <w:rtl/>
        </w:rPr>
        <w:t xml:space="preserve">מסכים </w:t>
      </w:r>
      <w:bookmarkStart w:id="39950" w:name="_ETM_Q74_551700"/>
      <w:bookmarkEnd w:id="39950"/>
      <w:r>
        <w:rPr>
          <w:rFonts w:hint="cs"/>
          <w:rtl/>
        </w:rPr>
        <w:t xml:space="preserve">עם </w:t>
      </w:r>
      <w:bookmarkStart w:id="39951" w:name="_ETM_Q74_551820"/>
      <w:bookmarkEnd w:id="39951"/>
      <w:r>
        <w:rPr>
          <w:rFonts w:hint="cs"/>
          <w:rtl/>
        </w:rPr>
        <w:t xml:space="preserve">הפסיקה </w:t>
      </w:r>
      <w:bookmarkStart w:id="39952" w:name="_ETM_Q74_552240"/>
      <w:bookmarkEnd w:id="39952"/>
      <w:r>
        <w:rPr>
          <w:rFonts w:hint="cs"/>
          <w:rtl/>
        </w:rPr>
        <w:t xml:space="preserve">שלו, </w:t>
      </w:r>
      <w:bookmarkStart w:id="39953" w:name="_ETM_Q74_552539"/>
      <w:bookmarkEnd w:id="39953"/>
      <w:r>
        <w:rPr>
          <w:rFonts w:hint="cs"/>
          <w:rtl/>
        </w:rPr>
        <w:t xml:space="preserve">אבל </w:t>
      </w:r>
      <w:bookmarkStart w:id="39954" w:name="_ETM_Q74_552839"/>
      <w:bookmarkEnd w:id="39954"/>
      <w:r>
        <w:rPr>
          <w:rFonts w:hint="cs"/>
          <w:rtl/>
        </w:rPr>
        <w:t xml:space="preserve">אין </w:t>
      </w:r>
      <w:bookmarkStart w:id="39955" w:name="_ETM_Q74_552960"/>
      <w:bookmarkEnd w:id="39955"/>
      <w:r>
        <w:rPr>
          <w:rFonts w:hint="cs"/>
          <w:rtl/>
        </w:rPr>
        <w:t xml:space="preserve">ספק </w:t>
      </w:r>
      <w:bookmarkStart w:id="39956" w:name="_ETM_Q74_553229"/>
      <w:bookmarkEnd w:id="39956"/>
      <w:r>
        <w:rPr>
          <w:rFonts w:hint="cs"/>
          <w:rtl/>
        </w:rPr>
        <w:t xml:space="preserve">שמדובר </w:t>
      </w:r>
      <w:bookmarkStart w:id="39957" w:name="_ETM_Q74_553770"/>
      <w:bookmarkEnd w:id="39957"/>
      <w:r>
        <w:rPr>
          <w:rFonts w:hint="cs"/>
          <w:rtl/>
        </w:rPr>
        <w:t xml:space="preserve">בשופט </w:t>
      </w:r>
      <w:bookmarkStart w:id="39958" w:name="_ETM_Q74_556710"/>
      <w:bookmarkEnd w:id="39958"/>
      <w:r>
        <w:rPr>
          <w:rFonts w:hint="cs"/>
          <w:rtl/>
        </w:rPr>
        <w:t>מבריק</w:t>
      </w:r>
      <w:bookmarkStart w:id="39959" w:name="_ETM_Q74_557340"/>
      <w:bookmarkEnd w:id="39959"/>
      <w:r>
        <w:rPr>
          <w:rFonts w:hint="cs"/>
          <w:rtl/>
        </w:rPr>
        <w:t xml:space="preserve"> – </w:t>
      </w:r>
      <w:bookmarkStart w:id="39960" w:name="_ETM_Q74_559900"/>
      <w:bookmarkEnd w:id="39960"/>
      <w:r>
        <w:rPr>
          <w:rFonts w:hint="cs"/>
          <w:rtl/>
        </w:rPr>
        <w:t xml:space="preserve">יש </w:t>
      </w:r>
      <w:bookmarkStart w:id="39961" w:name="_ETM_Q74_560080"/>
      <w:bookmarkEnd w:id="39961"/>
      <w:r>
        <w:rPr>
          <w:rFonts w:hint="cs"/>
          <w:rtl/>
        </w:rPr>
        <w:t xml:space="preserve">לי </w:t>
      </w:r>
      <w:bookmarkStart w:id="39962" w:name="_ETM_Q74_560200"/>
      <w:bookmarkEnd w:id="39962"/>
      <w:r>
        <w:rPr>
          <w:rFonts w:hint="cs"/>
          <w:rtl/>
        </w:rPr>
        <w:t xml:space="preserve">את </w:t>
      </w:r>
      <w:bookmarkStart w:id="39963" w:name="_ETM_Q74_560320"/>
      <w:bookmarkEnd w:id="39963"/>
      <w:r>
        <w:rPr>
          <w:rFonts w:hint="cs"/>
          <w:rtl/>
        </w:rPr>
        <w:t xml:space="preserve">הזכות </w:t>
      </w:r>
      <w:bookmarkStart w:id="39964" w:name="_ETM_Q74_560770"/>
      <w:bookmarkEnd w:id="39964"/>
      <w:r>
        <w:rPr>
          <w:rFonts w:hint="cs"/>
          <w:rtl/>
        </w:rPr>
        <w:t xml:space="preserve">עכשיו </w:t>
      </w:r>
      <w:bookmarkStart w:id="39965" w:name="_ETM_Q74_561880"/>
      <w:bookmarkEnd w:id="39965"/>
      <w:r>
        <w:rPr>
          <w:rFonts w:hint="cs"/>
          <w:rtl/>
        </w:rPr>
        <w:t xml:space="preserve">לשמש </w:t>
      </w:r>
      <w:bookmarkStart w:id="39966" w:name="_ETM_Q74_563299"/>
      <w:bookmarkEnd w:id="39966"/>
      <w:r>
        <w:rPr>
          <w:rFonts w:hint="cs"/>
          <w:rtl/>
        </w:rPr>
        <w:t xml:space="preserve">סגנו </w:t>
      </w:r>
      <w:bookmarkStart w:id="39967" w:name="_ETM_Q74_563930"/>
      <w:bookmarkEnd w:id="39967"/>
      <w:r>
        <w:rPr>
          <w:rFonts w:hint="cs"/>
          <w:rtl/>
        </w:rPr>
        <w:t xml:space="preserve">בוועדת </w:t>
      </w:r>
      <w:bookmarkStart w:id="39968" w:name="_ETM_Q74_565040"/>
      <w:bookmarkEnd w:id="39968"/>
      <w:r>
        <w:rPr>
          <w:rFonts w:hint="cs"/>
          <w:rtl/>
        </w:rPr>
        <w:t xml:space="preserve">הבחירות </w:t>
      </w:r>
      <w:bookmarkStart w:id="39969" w:name="_ETM_Q74_565790"/>
      <w:bookmarkEnd w:id="39969"/>
      <w:r>
        <w:rPr>
          <w:rFonts w:hint="cs"/>
          <w:rtl/>
        </w:rPr>
        <w:t xml:space="preserve">המרכזית </w:t>
      </w:r>
      <w:bookmarkStart w:id="39970" w:name="_ETM_Q74_566659"/>
      <w:bookmarkEnd w:id="39970"/>
      <w:r>
        <w:rPr>
          <w:rFonts w:hint="cs"/>
          <w:rtl/>
        </w:rPr>
        <w:t xml:space="preserve">כאשר </w:t>
      </w:r>
      <w:bookmarkStart w:id="39971" w:name="_ETM_Q74_567140"/>
      <w:bookmarkEnd w:id="39971"/>
      <w:r>
        <w:rPr>
          <w:rFonts w:hint="cs"/>
          <w:rtl/>
        </w:rPr>
        <w:t xml:space="preserve">בקדנציה </w:t>
      </w:r>
      <w:bookmarkStart w:id="39972" w:name="_ETM_Q74_567770"/>
      <w:bookmarkEnd w:id="39972"/>
      <w:r>
        <w:rPr>
          <w:rFonts w:hint="cs"/>
          <w:rtl/>
        </w:rPr>
        <w:t xml:space="preserve">הזאת </w:t>
      </w:r>
      <w:bookmarkStart w:id="39973" w:name="_ETM_Q74_568070"/>
      <w:bookmarkEnd w:id="39973"/>
      <w:r>
        <w:rPr>
          <w:rFonts w:hint="cs"/>
          <w:rtl/>
        </w:rPr>
        <w:t xml:space="preserve">הוא </w:t>
      </w:r>
      <w:bookmarkStart w:id="39974" w:name="_ETM_Q74_568130"/>
      <w:bookmarkEnd w:id="39974"/>
      <w:r>
        <w:rPr>
          <w:rFonts w:hint="cs"/>
          <w:rtl/>
        </w:rPr>
        <w:t xml:space="preserve">החליף </w:t>
      </w:r>
      <w:bookmarkStart w:id="39975" w:name="_ETM_Q74_569339"/>
      <w:bookmarkEnd w:id="39975"/>
      <w:r>
        <w:rPr>
          <w:rFonts w:hint="cs"/>
          <w:rtl/>
        </w:rPr>
        <w:t xml:space="preserve">את </w:t>
      </w:r>
      <w:bookmarkStart w:id="39976" w:name="_ETM_Q74_569520"/>
      <w:bookmarkEnd w:id="39976"/>
      <w:r>
        <w:rPr>
          <w:rFonts w:hint="cs"/>
          <w:rtl/>
        </w:rPr>
        <w:t xml:space="preserve">כבוד </w:t>
      </w:r>
      <w:bookmarkStart w:id="39977" w:name="_ETM_Q74_569789"/>
      <w:bookmarkEnd w:id="39977"/>
      <w:r>
        <w:rPr>
          <w:rFonts w:hint="cs"/>
          <w:rtl/>
        </w:rPr>
        <w:t xml:space="preserve">השופט </w:t>
      </w:r>
      <w:bookmarkStart w:id="39978" w:name="_ETM_Q74_570509"/>
      <w:bookmarkEnd w:id="39978"/>
      <w:r>
        <w:rPr>
          <w:rFonts w:hint="cs"/>
          <w:rtl/>
        </w:rPr>
        <w:t>עמית</w:t>
      </w:r>
      <w:r w:rsidR="008E2003">
        <w:rPr>
          <w:rFonts w:hint="cs"/>
          <w:rtl/>
        </w:rPr>
        <w:t>;</w:t>
      </w:r>
      <w:r>
        <w:rPr>
          <w:rFonts w:hint="cs"/>
          <w:rtl/>
        </w:rPr>
        <w:t xml:space="preserve"> </w:t>
      </w:r>
      <w:bookmarkStart w:id="39979" w:name="_ETM_Q74_572540"/>
      <w:bookmarkEnd w:id="39979"/>
      <w:r>
        <w:rPr>
          <w:rFonts w:hint="cs"/>
          <w:rtl/>
        </w:rPr>
        <w:t xml:space="preserve">ותענוג </w:t>
      </w:r>
      <w:bookmarkStart w:id="39980" w:name="_ETM_Q74_573229"/>
      <w:bookmarkEnd w:id="39980"/>
      <w:r>
        <w:rPr>
          <w:rFonts w:hint="cs"/>
          <w:rtl/>
        </w:rPr>
        <w:t xml:space="preserve">לעבוד </w:t>
      </w:r>
      <w:bookmarkStart w:id="39981" w:name="_ETM_Q74_573529"/>
      <w:bookmarkEnd w:id="39981"/>
      <w:r>
        <w:rPr>
          <w:rFonts w:hint="cs"/>
          <w:rtl/>
        </w:rPr>
        <w:t xml:space="preserve">איתו </w:t>
      </w:r>
      <w:bookmarkStart w:id="39982" w:name="_ETM_Q74_573740"/>
      <w:bookmarkEnd w:id="39982"/>
      <w:r>
        <w:rPr>
          <w:rFonts w:hint="cs"/>
          <w:rtl/>
        </w:rPr>
        <w:t xml:space="preserve">יחד, </w:t>
      </w:r>
      <w:bookmarkStart w:id="39983" w:name="_ETM_Q74_574250"/>
      <w:bookmarkEnd w:id="39983"/>
      <w:r>
        <w:rPr>
          <w:rFonts w:hint="cs"/>
          <w:rtl/>
        </w:rPr>
        <w:t xml:space="preserve">למרות </w:t>
      </w:r>
      <w:bookmarkStart w:id="39984" w:name="_ETM_Q74_574610"/>
      <w:bookmarkEnd w:id="39984"/>
      <w:r>
        <w:rPr>
          <w:rFonts w:hint="cs"/>
          <w:rtl/>
        </w:rPr>
        <w:t xml:space="preserve">שהיו </w:t>
      </w:r>
      <w:bookmarkStart w:id="39985" w:name="_ETM_Q74_574880"/>
      <w:bookmarkEnd w:id="39985"/>
      <w:r>
        <w:rPr>
          <w:rFonts w:hint="cs"/>
          <w:rtl/>
        </w:rPr>
        <w:t xml:space="preserve">לנו </w:t>
      </w:r>
      <w:bookmarkStart w:id="39986" w:name="_ETM_Q74_575670"/>
      <w:bookmarkEnd w:id="39986"/>
      <w:r>
        <w:rPr>
          <w:rFonts w:hint="cs"/>
          <w:rtl/>
        </w:rPr>
        <w:t xml:space="preserve">עד </w:t>
      </w:r>
      <w:bookmarkStart w:id="39987" w:name="_ETM_Q74_575969"/>
      <w:bookmarkEnd w:id="39987"/>
      <w:r>
        <w:rPr>
          <w:rFonts w:hint="cs"/>
          <w:rtl/>
        </w:rPr>
        <w:t xml:space="preserve">עכשיו, </w:t>
      </w:r>
      <w:bookmarkStart w:id="39988" w:name="_ETM_Q74_576450"/>
      <w:bookmarkEnd w:id="39988"/>
      <w:r>
        <w:rPr>
          <w:rFonts w:hint="cs"/>
          <w:rtl/>
        </w:rPr>
        <w:t xml:space="preserve">בקדנציה </w:t>
      </w:r>
      <w:bookmarkStart w:id="39989" w:name="_ETM_Q74_576960"/>
      <w:bookmarkEnd w:id="39989"/>
      <w:r>
        <w:rPr>
          <w:rFonts w:hint="cs"/>
          <w:rtl/>
        </w:rPr>
        <w:t>החדשה, לדעתי,</w:t>
      </w:r>
      <w:bookmarkStart w:id="39990" w:name="_ETM_Q74_577409"/>
      <w:bookmarkEnd w:id="39990"/>
      <w:r>
        <w:rPr>
          <w:rFonts w:hint="cs"/>
          <w:rtl/>
        </w:rPr>
        <w:t xml:space="preserve"> </w:t>
      </w:r>
      <w:bookmarkStart w:id="39991" w:name="_ETM_Q74_577859"/>
      <w:bookmarkEnd w:id="39991"/>
      <w:r>
        <w:rPr>
          <w:rFonts w:hint="cs"/>
          <w:rtl/>
        </w:rPr>
        <w:t xml:space="preserve">רק </w:t>
      </w:r>
      <w:bookmarkStart w:id="39992" w:name="_ETM_Q74_578039"/>
      <w:bookmarkEnd w:id="39992"/>
      <w:r>
        <w:rPr>
          <w:rFonts w:hint="cs"/>
          <w:rtl/>
        </w:rPr>
        <w:t xml:space="preserve">שתי </w:t>
      </w:r>
      <w:bookmarkStart w:id="39993" w:name="_ETM_Q74_578310"/>
      <w:bookmarkEnd w:id="39993"/>
      <w:r>
        <w:rPr>
          <w:rFonts w:hint="cs"/>
          <w:rtl/>
        </w:rPr>
        <w:t xml:space="preserve">ישיבות. </w:t>
      </w:r>
      <w:bookmarkStart w:id="39994" w:name="_ETM_Q74_578789"/>
      <w:bookmarkStart w:id="39995" w:name="_ETM_Q74_579029"/>
      <w:bookmarkEnd w:id="39994"/>
      <w:bookmarkEnd w:id="39995"/>
      <w:r w:rsidR="008E2003">
        <w:rPr>
          <w:rFonts w:hint="cs"/>
          <w:rtl/>
        </w:rPr>
        <w:t>ב</w:t>
      </w:r>
      <w:r>
        <w:rPr>
          <w:rFonts w:hint="cs"/>
          <w:rtl/>
        </w:rPr>
        <w:t xml:space="preserve">אמת </w:t>
      </w:r>
      <w:bookmarkStart w:id="39996" w:name="_ETM_Q74_579420"/>
      <w:bookmarkEnd w:id="39996"/>
      <w:r>
        <w:rPr>
          <w:rFonts w:hint="cs"/>
          <w:rtl/>
        </w:rPr>
        <w:t xml:space="preserve">מדובר </w:t>
      </w:r>
      <w:bookmarkStart w:id="39997" w:name="_ETM_Q74_579839"/>
      <w:bookmarkEnd w:id="39997"/>
      <w:r>
        <w:rPr>
          <w:rFonts w:hint="cs"/>
          <w:rtl/>
        </w:rPr>
        <w:t xml:space="preserve">באדם </w:t>
      </w:r>
      <w:bookmarkStart w:id="39998" w:name="_ETM_Q74_581729"/>
      <w:bookmarkEnd w:id="39998"/>
      <w:r>
        <w:rPr>
          <w:rFonts w:hint="cs"/>
          <w:rtl/>
        </w:rPr>
        <w:t xml:space="preserve">משכמו </w:t>
      </w:r>
      <w:bookmarkStart w:id="39999" w:name="_ETM_Q74_582240"/>
      <w:bookmarkEnd w:id="39999"/>
      <w:r>
        <w:rPr>
          <w:rFonts w:hint="cs"/>
          <w:rtl/>
        </w:rPr>
        <w:t xml:space="preserve">ומעלה. </w:t>
      </w:r>
      <w:bookmarkStart w:id="40000" w:name="_ETM_Q74_583689"/>
      <w:bookmarkEnd w:id="40000"/>
      <w:r>
        <w:rPr>
          <w:rFonts w:hint="cs"/>
          <w:rtl/>
        </w:rPr>
        <w:t xml:space="preserve">אז </w:t>
      </w:r>
      <w:bookmarkStart w:id="40001" w:name="_ETM_Q74_583899"/>
      <w:bookmarkEnd w:id="40001"/>
      <w:r>
        <w:rPr>
          <w:rFonts w:hint="cs"/>
          <w:rtl/>
        </w:rPr>
        <w:t xml:space="preserve">כבוד </w:t>
      </w:r>
      <w:bookmarkStart w:id="40002" w:name="_ETM_Q74_584170"/>
      <w:bookmarkEnd w:id="40002"/>
      <w:r>
        <w:rPr>
          <w:rFonts w:hint="cs"/>
          <w:rtl/>
        </w:rPr>
        <w:t xml:space="preserve">השופט </w:t>
      </w:r>
      <w:bookmarkStart w:id="40003" w:name="_ETM_Q74_584979"/>
      <w:bookmarkEnd w:id="40003"/>
      <w:r>
        <w:rPr>
          <w:rFonts w:hint="cs"/>
          <w:rtl/>
        </w:rPr>
        <w:t xml:space="preserve">סולברג </w:t>
      </w:r>
      <w:bookmarkStart w:id="40004" w:name="_ETM_Q74_586560"/>
      <w:bookmarkEnd w:id="40004"/>
      <w:r>
        <w:rPr>
          <w:rFonts w:hint="cs"/>
          <w:rtl/>
        </w:rPr>
        <w:t xml:space="preserve">בכבודו </w:t>
      </w:r>
      <w:bookmarkStart w:id="40005" w:name="_ETM_Q74_587130"/>
      <w:bookmarkEnd w:id="40005"/>
      <w:r>
        <w:rPr>
          <w:rFonts w:hint="cs"/>
          <w:rtl/>
        </w:rPr>
        <w:t>ובעצמו</w:t>
      </w:r>
      <w:bookmarkStart w:id="40006" w:name="_ETM_Q74_588600"/>
      <w:bookmarkEnd w:id="40006"/>
      <w:r>
        <w:rPr>
          <w:rFonts w:hint="cs"/>
          <w:rtl/>
        </w:rPr>
        <w:t xml:space="preserve">, </w:t>
      </w:r>
      <w:bookmarkStart w:id="40007" w:name="_ETM_Q74_591000"/>
      <w:bookmarkEnd w:id="40007"/>
      <w:r>
        <w:rPr>
          <w:rFonts w:hint="cs"/>
          <w:rtl/>
        </w:rPr>
        <w:t xml:space="preserve">במסגרת </w:t>
      </w:r>
      <w:bookmarkStart w:id="40008" w:name="_ETM_Q74_589439"/>
      <w:bookmarkEnd w:id="40008"/>
      <w:r>
        <w:rPr>
          <w:rFonts w:hint="cs"/>
          <w:rtl/>
        </w:rPr>
        <w:t xml:space="preserve">מגבלותיו </w:t>
      </w:r>
      <w:bookmarkStart w:id="40009" w:name="_ETM_Q74_590279"/>
      <w:bookmarkEnd w:id="40009"/>
      <w:r>
        <w:rPr>
          <w:rFonts w:hint="cs"/>
          <w:rtl/>
        </w:rPr>
        <w:t xml:space="preserve">כשופט </w:t>
      </w:r>
      <w:bookmarkStart w:id="40010" w:name="_ETM_Q74_591119"/>
      <w:bookmarkEnd w:id="40010"/>
      <w:r>
        <w:rPr>
          <w:rFonts w:hint="cs"/>
          <w:rtl/>
        </w:rPr>
        <w:t xml:space="preserve">מכהן </w:t>
      </w:r>
      <w:bookmarkStart w:id="40011" w:name="_ETM_Q74_591659"/>
      <w:bookmarkEnd w:id="40011"/>
      <w:r>
        <w:rPr>
          <w:rFonts w:hint="cs"/>
          <w:rtl/>
        </w:rPr>
        <w:t xml:space="preserve">בבית </w:t>
      </w:r>
      <w:bookmarkStart w:id="40012" w:name="_ETM_Q74_591930"/>
      <w:bookmarkEnd w:id="40012"/>
      <w:r>
        <w:rPr>
          <w:rFonts w:hint="cs"/>
          <w:rtl/>
        </w:rPr>
        <w:t xml:space="preserve">המשפט </w:t>
      </w:r>
      <w:bookmarkStart w:id="40013" w:name="_ETM_Q74_592350"/>
      <w:bookmarkEnd w:id="40013"/>
      <w:r>
        <w:rPr>
          <w:rFonts w:hint="cs"/>
          <w:rtl/>
        </w:rPr>
        <w:t xml:space="preserve">העליון, </w:t>
      </w:r>
      <w:bookmarkStart w:id="40014" w:name="_ETM_Q74_592890"/>
      <w:bookmarkEnd w:id="40014"/>
      <w:r>
        <w:rPr>
          <w:rFonts w:hint="cs"/>
          <w:rtl/>
        </w:rPr>
        <w:t xml:space="preserve">בעצם </w:t>
      </w:r>
      <w:bookmarkStart w:id="40015" w:name="_ETM_Q74_593729"/>
      <w:bookmarkEnd w:id="40015"/>
      <w:r>
        <w:rPr>
          <w:rFonts w:hint="cs"/>
          <w:rtl/>
        </w:rPr>
        <w:t xml:space="preserve">סתר </w:t>
      </w:r>
      <w:bookmarkStart w:id="40016" w:name="_ETM_Q74_594720"/>
      <w:bookmarkEnd w:id="40016"/>
      <w:r>
        <w:rPr>
          <w:rFonts w:hint="cs"/>
          <w:rtl/>
        </w:rPr>
        <w:t xml:space="preserve">באופן </w:t>
      </w:r>
      <w:bookmarkStart w:id="40017" w:name="_ETM_Q74_595110"/>
      <w:bookmarkEnd w:id="40017"/>
      <w:r>
        <w:rPr>
          <w:rFonts w:hint="cs"/>
          <w:rtl/>
        </w:rPr>
        <w:t xml:space="preserve">מוחלט </w:t>
      </w:r>
      <w:bookmarkStart w:id="40018" w:name="_ETM_Q74_596279"/>
      <w:bookmarkEnd w:id="40018"/>
      <w:r>
        <w:rPr>
          <w:rFonts w:hint="cs"/>
          <w:rtl/>
        </w:rPr>
        <w:t xml:space="preserve">את </w:t>
      </w:r>
      <w:bookmarkStart w:id="40019" w:name="_ETM_Q74_596460"/>
      <w:bookmarkEnd w:id="40019"/>
      <w:r>
        <w:rPr>
          <w:rFonts w:hint="cs"/>
          <w:rtl/>
        </w:rPr>
        <w:t xml:space="preserve">הטענות </w:t>
      </w:r>
      <w:bookmarkStart w:id="40020" w:name="_ETM_Q74_596880"/>
      <w:bookmarkEnd w:id="40020"/>
      <w:r>
        <w:rPr>
          <w:rFonts w:hint="cs"/>
          <w:rtl/>
        </w:rPr>
        <w:t>של</w:t>
      </w:r>
      <w:bookmarkStart w:id="40021" w:name="_ETM_Q74_597089"/>
      <w:bookmarkEnd w:id="40021"/>
      <w:r>
        <w:rPr>
          <w:rFonts w:hint="cs"/>
          <w:rtl/>
        </w:rPr>
        <w:t xml:space="preserve"> קברניטי ההפיכה. </w:t>
      </w:r>
      <w:bookmarkStart w:id="40022" w:name="_ETM_Q74_596000"/>
      <w:bookmarkStart w:id="40023" w:name="_ETM_Q74_597299"/>
      <w:bookmarkStart w:id="40024" w:name="_ETM_Q74_597630"/>
      <w:bookmarkStart w:id="40025" w:name="_ETM_Q74_600110"/>
      <w:bookmarkEnd w:id="40022"/>
      <w:bookmarkEnd w:id="40023"/>
      <w:bookmarkEnd w:id="40024"/>
      <w:bookmarkEnd w:id="40025"/>
      <w:r>
        <w:rPr>
          <w:rFonts w:hint="cs"/>
          <w:rtl/>
        </w:rPr>
        <w:t xml:space="preserve">אפילו </w:t>
      </w:r>
      <w:bookmarkStart w:id="40026" w:name="_ETM_Q74_600560"/>
      <w:bookmarkEnd w:id="40026"/>
      <w:r>
        <w:rPr>
          <w:rFonts w:hint="cs"/>
          <w:rtl/>
        </w:rPr>
        <w:t xml:space="preserve">עמדתו </w:t>
      </w:r>
      <w:bookmarkStart w:id="40027" w:name="_ETM_Q74_601329"/>
      <w:bookmarkEnd w:id="40027"/>
      <w:r>
        <w:rPr>
          <w:rFonts w:hint="cs"/>
          <w:rtl/>
        </w:rPr>
        <w:t xml:space="preserve">המצמצמת </w:t>
      </w:r>
      <w:bookmarkStart w:id="40028" w:name="_ETM_Q74_602409"/>
      <w:bookmarkEnd w:id="40028"/>
      <w:r>
        <w:rPr>
          <w:rFonts w:hint="cs"/>
          <w:rtl/>
        </w:rPr>
        <w:t xml:space="preserve">מאוד </w:t>
      </w:r>
      <w:bookmarkStart w:id="40029" w:name="_ETM_Q74_605150"/>
      <w:bookmarkEnd w:id="40029"/>
      <w:r>
        <w:rPr>
          <w:rFonts w:hint="cs"/>
          <w:rtl/>
        </w:rPr>
        <w:t xml:space="preserve">של </w:t>
      </w:r>
      <w:bookmarkStart w:id="40030" w:name="_ETM_Q74_605360"/>
      <w:bookmarkEnd w:id="40030"/>
      <w:r>
        <w:rPr>
          <w:rFonts w:hint="cs"/>
          <w:rtl/>
        </w:rPr>
        <w:t xml:space="preserve">השופט </w:t>
      </w:r>
      <w:bookmarkStart w:id="40031" w:name="_ETM_Q74_605960"/>
      <w:bookmarkEnd w:id="40031"/>
      <w:r>
        <w:rPr>
          <w:rFonts w:hint="cs"/>
          <w:rtl/>
        </w:rPr>
        <w:t xml:space="preserve">סולברג </w:t>
      </w:r>
      <w:bookmarkStart w:id="40032" w:name="_ETM_Q74_606979"/>
      <w:bookmarkEnd w:id="40032"/>
      <w:r>
        <w:rPr>
          <w:rFonts w:hint="cs"/>
          <w:rtl/>
        </w:rPr>
        <w:t>במאמרו</w:t>
      </w:r>
      <w:bookmarkStart w:id="40033" w:name="_ETM_Q74_608049"/>
      <w:bookmarkEnd w:id="40033"/>
      <w:r>
        <w:rPr>
          <w:rFonts w:hint="cs"/>
          <w:rtl/>
        </w:rPr>
        <w:t xml:space="preserve">, באותו </w:t>
      </w:r>
      <w:bookmarkStart w:id="40034" w:name="_ETM_Q74_608739"/>
      <w:bookmarkEnd w:id="40034"/>
      <w:r>
        <w:rPr>
          <w:rFonts w:hint="cs"/>
          <w:rtl/>
        </w:rPr>
        <w:t xml:space="preserve">מאמר </w:t>
      </w:r>
      <w:bookmarkStart w:id="40035" w:name="_ETM_Q74_609250"/>
      <w:bookmarkEnd w:id="40035"/>
      <w:r>
        <w:rPr>
          <w:rFonts w:hint="cs"/>
          <w:rtl/>
        </w:rPr>
        <w:t>מ-2019</w:t>
      </w:r>
      <w:bookmarkStart w:id="40036" w:name="_ETM_Q74_612400"/>
      <w:bookmarkEnd w:id="40036"/>
      <w:r>
        <w:rPr>
          <w:rFonts w:hint="cs"/>
          <w:rtl/>
        </w:rPr>
        <w:t xml:space="preserve">, אינה </w:t>
      </w:r>
      <w:bookmarkStart w:id="40037" w:name="_ETM_Q74_612790"/>
      <w:bookmarkEnd w:id="40037"/>
      <w:r>
        <w:rPr>
          <w:rFonts w:hint="cs"/>
          <w:rtl/>
        </w:rPr>
        <w:t xml:space="preserve">מצדיקה </w:t>
      </w:r>
      <w:bookmarkStart w:id="40038" w:name="_ETM_Q74_613600"/>
      <w:bookmarkEnd w:id="40038"/>
      <w:r>
        <w:rPr>
          <w:rFonts w:hint="cs"/>
          <w:rtl/>
        </w:rPr>
        <w:t xml:space="preserve">את </w:t>
      </w:r>
      <w:bookmarkStart w:id="40039" w:name="_ETM_Q74_613870"/>
      <w:bookmarkEnd w:id="40039"/>
      <w:r>
        <w:rPr>
          <w:rFonts w:hint="cs"/>
          <w:rtl/>
        </w:rPr>
        <w:t xml:space="preserve">אימוץ </w:t>
      </w:r>
      <w:bookmarkStart w:id="40040" w:name="_ETM_Q74_614600"/>
      <w:bookmarkEnd w:id="40040"/>
      <w:r>
        <w:rPr>
          <w:rFonts w:hint="cs"/>
          <w:rtl/>
        </w:rPr>
        <w:t xml:space="preserve">הצעת </w:t>
      </w:r>
      <w:bookmarkStart w:id="40041" w:name="_ETM_Q74_615080"/>
      <w:bookmarkEnd w:id="40041"/>
      <w:r>
        <w:rPr>
          <w:rFonts w:hint="cs"/>
          <w:rtl/>
        </w:rPr>
        <w:t xml:space="preserve">החוק </w:t>
      </w:r>
      <w:bookmarkStart w:id="40042" w:name="_ETM_Q74_616150"/>
      <w:bookmarkEnd w:id="40042"/>
      <w:r>
        <w:rPr>
          <w:rFonts w:hint="cs"/>
          <w:rtl/>
        </w:rPr>
        <w:t xml:space="preserve">של </w:t>
      </w:r>
      <w:bookmarkStart w:id="40043" w:name="_ETM_Q74_616450"/>
      <w:bookmarkEnd w:id="40043"/>
      <w:r>
        <w:rPr>
          <w:rFonts w:hint="cs"/>
          <w:rtl/>
        </w:rPr>
        <w:t xml:space="preserve">יושב-ראש </w:t>
      </w:r>
      <w:bookmarkStart w:id="40044" w:name="_ETM_Q74_617019"/>
      <w:bookmarkEnd w:id="40044"/>
      <w:r>
        <w:rPr>
          <w:rFonts w:hint="cs"/>
          <w:rtl/>
        </w:rPr>
        <w:t xml:space="preserve">הוועדה </w:t>
      </w:r>
      <w:bookmarkStart w:id="40045" w:name="_ETM_Q74_617409"/>
      <w:bookmarkEnd w:id="40045"/>
      <w:r>
        <w:rPr>
          <w:rFonts w:hint="cs"/>
          <w:rtl/>
        </w:rPr>
        <w:t xml:space="preserve">חבר </w:t>
      </w:r>
      <w:bookmarkStart w:id="40046" w:name="_ETM_Q74_617620"/>
      <w:bookmarkEnd w:id="40046"/>
      <w:r>
        <w:rPr>
          <w:rFonts w:hint="cs"/>
          <w:rtl/>
        </w:rPr>
        <w:t xml:space="preserve">הכנסת </w:t>
      </w:r>
      <w:bookmarkStart w:id="40047" w:name="_ETM_Q74_618310"/>
      <w:bookmarkEnd w:id="40047"/>
      <w:r>
        <w:rPr>
          <w:rFonts w:hint="cs"/>
          <w:rtl/>
        </w:rPr>
        <w:t xml:space="preserve">שמחה </w:t>
      </w:r>
      <w:bookmarkStart w:id="40048" w:name="_ETM_Q74_618700"/>
      <w:bookmarkEnd w:id="40048"/>
      <w:r>
        <w:rPr>
          <w:rFonts w:hint="cs"/>
          <w:rtl/>
        </w:rPr>
        <w:t xml:space="preserve">רוטמן. </w:t>
      </w:r>
      <w:bookmarkStart w:id="40049" w:name="_ETM_Q74_620120"/>
      <w:bookmarkEnd w:id="40049"/>
      <w:r>
        <w:rPr>
          <w:rFonts w:hint="cs"/>
          <w:rtl/>
        </w:rPr>
        <w:t xml:space="preserve">הצעתו </w:t>
      </w:r>
      <w:bookmarkStart w:id="40050" w:name="_ETM_Q74_620720"/>
      <w:bookmarkEnd w:id="40050"/>
      <w:r>
        <w:rPr>
          <w:rFonts w:hint="cs"/>
          <w:rtl/>
        </w:rPr>
        <w:t xml:space="preserve">של </w:t>
      </w:r>
      <w:bookmarkStart w:id="40051" w:name="_ETM_Q74_620990"/>
      <w:bookmarkEnd w:id="40051"/>
      <w:r>
        <w:rPr>
          <w:rFonts w:hint="cs"/>
          <w:rtl/>
        </w:rPr>
        <w:t xml:space="preserve">השופט </w:t>
      </w:r>
      <w:bookmarkStart w:id="40052" w:name="_ETM_Q74_621560"/>
      <w:bookmarkEnd w:id="40052"/>
      <w:r>
        <w:rPr>
          <w:rFonts w:hint="cs"/>
          <w:rtl/>
        </w:rPr>
        <w:t xml:space="preserve">סולברג </w:t>
      </w:r>
      <w:bookmarkStart w:id="40053" w:name="_ETM_Q74_622819"/>
      <w:bookmarkEnd w:id="40053"/>
      <w:r>
        <w:rPr>
          <w:rFonts w:hint="cs"/>
          <w:rtl/>
        </w:rPr>
        <w:t xml:space="preserve">היא </w:t>
      </w:r>
      <w:bookmarkStart w:id="40054" w:name="_ETM_Q74_622939"/>
      <w:bookmarkEnd w:id="40054"/>
      <w:r>
        <w:rPr>
          <w:rFonts w:hint="cs"/>
          <w:rtl/>
        </w:rPr>
        <w:t xml:space="preserve">לגבי </w:t>
      </w:r>
      <w:bookmarkStart w:id="40055" w:name="_ETM_Q74_623510"/>
      <w:bookmarkEnd w:id="40055"/>
      <w:r>
        <w:rPr>
          <w:rFonts w:hint="cs"/>
          <w:rtl/>
        </w:rPr>
        <w:t xml:space="preserve">אופן </w:t>
      </w:r>
      <w:bookmarkStart w:id="40056" w:name="_ETM_Q74_623989"/>
      <w:bookmarkEnd w:id="40056"/>
      <w:r>
        <w:rPr>
          <w:rFonts w:hint="cs"/>
          <w:rtl/>
        </w:rPr>
        <w:t xml:space="preserve">הפעלת </w:t>
      </w:r>
      <w:bookmarkStart w:id="40057" w:name="_ETM_Q74_624529"/>
      <w:bookmarkEnd w:id="40057"/>
      <w:r>
        <w:rPr>
          <w:rFonts w:hint="cs"/>
          <w:rtl/>
        </w:rPr>
        <w:t xml:space="preserve">שיקול </w:t>
      </w:r>
      <w:bookmarkStart w:id="40058" w:name="_ETM_Q74_625040"/>
      <w:bookmarkEnd w:id="40058"/>
      <w:r>
        <w:rPr>
          <w:rFonts w:hint="cs"/>
          <w:rtl/>
        </w:rPr>
        <w:t xml:space="preserve">הדעת </w:t>
      </w:r>
      <w:bookmarkStart w:id="40059" w:name="_ETM_Q74_625459"/>
      <w:bookmarkEnd w:id="40059"/>
      <w:r>
        <w:rPr>
          <w:rFonts w:hint="cs"/>
          <w:rtl/>
        </w:rPr>
        <w:t xml:space="preserve">השיפוטי. </w:t>
      </w:r>
      <w:bookmarkStart w:id="40060" w:name="_ETM_Q74_626740"/>
      <w:bookmarkEnd w:id="40060"/>
      <w:r>
        <w:rPr>
          <w:rFonts w:hint="cs"/>
          <w:rtl/>
        </w:rPr>
        <w:t xml:space="preserve">אין </w:t>
      </w:r>
      <w:bookmarkStart w:id="40061" w:name="_ETM_Q74_627010"/>
      <w:bookmarkEnd w:id="40061"/>
      <w:r>
        <w:rPr>
          <w:rFonts w:hint="cs"/>
          <w:rtl/>
        </w:rPr>
        <w:t>בדבר</w:t>
      </w:r>
      <w:bookmarkStart w:id="40062" w:name="_ETM_Q74_627340"/>
      <w:bookmarkStart w:id="40063" w:name="_ETM_Q74_628220"/>
      <w:bookmarkEnd w:id="40062"/>
      <w:bookmarkEnd w:id="40063"/>
      <w:r>
        <w:rPr>
          <w:rFonts w:hint="cs"/>
          <w:rtl/>
        </w:rPr>
        <w:t xml:space="preserve">יו דבר </w:t>
      </w:r>
      <w:bookmarkStart w:id="40064" w:name="_ETM_Q74_628880"/>
      <w:bookmarkEnd w:id="40064"/>
      <w:r>
        <w:rPr>
          <w:rFonts w:hint="cs"/>
          <w:rtl/>
        </w:rPr>
        <w:t xml:space="preserve">לגבי </w:t>
      </w:r>
      <w:bookmarkStart w:id="40065" w:name="_ETM_Q74_629360"/>
      <w:bookmarkEnd w:id="40065"/>
      <w:r>
        <w:rPr>
          <w:rFonts w:hint="cs"/>
          <w:rtl/>
        </w:rPr>
        <w:t xml:space="preserve">אפשרות </w:t>
      </w:r>
      <w:bookmarkStart w:id="40066" w:name="_ETM_Q74_630800"/>
      <w:bookmarkEnd w:id="40066"/>
      <w:r>
        <w:rPr>
          <w:rFonts w:hint="cs"/>
          <w:rtl/>
        </w:rPr>
        <w:t xml:space="preserve">שבית </w:t>
      </w:r>
      <w:bookmarkStart w:id="40067" w:name="_ETM_Q74_631340"/>
      <w:bookmarkEnd w:id="40067"/>
      <w:r>
        <w:rPr>
          <w:rFonts w:hint="cs"/>
          <w:rtl/>
        </w:rPr>
        <w:t xml:space="preserve">המשפט </w:t>
      </w:r>
      <w:bookmarkStart w:id="40068" w:name="_ETM_Q74_631940"/>
      <w:bookmarkEnd w:id="40068"/>
      <w:r>
        <w:rPr>
          <w:rFonts w:hint="cs"/>
          <w:rtl/>
        </w:rPr>
        <w:t xml:space="preserve">יוגבל </w:t>
      </w:r>
      <w:bookmarkStart w:id="40069" w:name="_ETM_Q74_632540"/>
      <w:bookmarkEnd w:id="40069"/>
      <w:r>
        <w:rPr>
          <w:rFonts w:hint="cs"/>
          <w:rtl/>
        </w:rPr>
        <w:t xml:space="preserve">בחקיקה, </w:t>
      </w:r>
      <w:bookmarkStart w:id="40070" w:name="_ETM_Q74_633800"/>
      <w:bookmarkEnd w:id="40070"/>
      <w:r>
        <w:rPr>
          <w:rFonts w:hint="cs"/>
          <w:rtl/>
        </w:rPr>
        <w:t xml:space="preserve">ועוד </w:t>
      </w:r>
      <w:bookmarkStart w:id="40071" w:name="_ETM_Q74_634129"/>
      <w:bookmarkEnd w:id="40071"/>
      <w:r>
        <w:rPr>
          <w:rFonts w:hint="cs"/>
          <w:rtl/>
        </w:rPr>
        <w:t xml:space="preserve">בחקיקת </w:t>
      </w:r>
      <w:bookmarkStart w:id="40072" w:name="_ETM_Q74_634730"/>
      <w:bookmarkEnd w:id="40072"/>
      <w:r>
        <w:rPr>
          <w:rFonts w:hint="cs"/>
          <w:rtl/>
        </w:rPr>
        <w:t xml:space="preserve">יסוד, </w:t>
      </w:r>
      <w:bookmarkStart w:id="40073" w:name="_ETM_Q74_635750"/>
      <w:bookmarkEnd w:id="40073"/>
      <w:r>
        <w:rPr>
          <w:rFonts w:hint="cs"/>
          <w:rtl/>
        </w:rPr>
        <w:t xml:space="preserve">על </w:t>
      </w:r>
      <w:bookmarkStart w:id="40074" w:name="_ETM_Q74_635989"/>
      <w:bookmarkEnd w:id="40074"/>
      <w:r>
        <w:rPr>
          <w:rFonts w:hint="cs"/>
          <w:rtl/>
        </w:rPr>
        <w:t xml:space="preserve">אופן </w:t>
      </w:r>
      <w:bookmarkStart w:id="40075" w:name="_ETM_Q74_636610"/>
      <w:bookmarkEnd w:id="40075"/>
      <w:r>
        <w:rPr>
          <w:rFonts w:hint="cs"/>
          <w:rtl/>
        </w:rPr>
        <w:t xml:space="preserve">הפעלת </w:t>
      </w:r>
      <w:bookmarkStart w:id="40076" w:name="_ETM_Q74_637570"/>
      <w:bookmarkEnd w:id="40076"/>
      <w:r>
        <w:rPr>
          <w:rFonts w:hint="cs"/>
          <w:rtl/>
        </w:rPr>
        <w:t xml:space="preserve">שיקול </w:t>
      </w:r>
      <w:bookmarkStart w:id="40077" w:name="_ETM_Q74_638080"/>
      <w:bookmarkEnd w:id="40077"/>
      <w:r>
        <w:rPr>
          <w:rFonts w:hint="cs"/>
          <w:rtl/>
        </w:rPr>
        <w:t xml:space="preserve">הדעת </w:t>
      </w:r>
      <w:bookmarkStart w:id="40078" w:name="_ETM_Q74_639000"/>
      <w:bookmarkEnd w:id="40078"/>
      <w:r>
        <w:rPr>
          <w:rFonts w:hint="cs"/>
          <w:rtl/>
        </w:rPr>
        <w:t>שלו</w:t>
      </w:r>
      <w:bookmarkStart w:id="40079" w:name="_ETM_Q74_640980"/>
      <w:bookmarkEnd w:id="40079"/>
      <w:r>
        <w:rPr>
          <w:rFonts w:hint="cs"/>
          <w:rtl/>
        </w:rPr>
        <w:t xml:space="preserve">. הוא </w:t>
      </w:r>
      <w:bookmarkStart w:id="40080" w:name="_ETM_Q74_641129"/>
      <w:bookmarkEnd w:id="40080"/>
      <w:r>
        <w:rPr>
          <w:rFonts w:hint="cs"/>
          <w:rtl/>
        </w:rPr>
        <w:t xml:space="preserve">גם </w:t>
      </w:r>
      <w:bookmarkStart w:id="40081" w:name="_ETM_Q74_641310"/>
      <w:bookmarkEnd w:id="40081"/>
      <w:r>
        <w:rPr>
          <w:rFonts w:hint="cs"/>
          <w:rtl/>
        </w:rPr>
        <w:t xml:space="preserve">אישר </w:t>
      </w:r>
      <w:bookmarkStart w:id="40082" w:name="_ETM_Q74_641579"/>
      <w:bookmarkEnd w:id="40082"/>
      <w:r>
        <w:rPr>
          <w:rFonts w:hint="cs"/>
          <w:rtl/>
        </w:rPr>
        <w:t xml:space="preserve">את </w:t>
      </w:r>
      <w:bookmarkStart w:id="40083" w:name="_ETM_Q74_641700"/>
      <w:bookmarkEnd w:id="40083"/>
      <w:r>
        <w:rPr>
          <w:rFonts w:hint="cs"/>
          <w:rtl/>
        </w:rPr>
        <w:t xml:space="preserve">זה. </w:t>
      </w:r>
      <w:bookmarkStart w:id="40084" w:name="_ETM_Q74_642060"/>
      <w:bookmarkEnd w:id="40084"/>
      <w:r>
        <w:rPr>
          <w:rFonts w:hint="cs"/>
          <w:rtl/>
        </w:rPr>
        <w:t xml:space="preserve">הוא </w:t>
      </w:r>
      <w:bookmarkStart w:id="40085" w:name="_ETM_Q74_642150"/>
      <w:bookmarkEnd w:id="40085"/>
      <w:r>
        <w:rPr>
          <w:rFonts w:hint="cs"/>
          <w:rtl/>
        </w:rPr>
        <w:t xml:space="preserve">גם </w:t>
      </w:r>
      <w:bookmarkStart w:id="40086" w:name="_ETM_Q74_642329"/>
      <w:bookmarkEnd w:id="40086"/>
      <w:r>
        <w:rPr>
          <w:rFonts w:hint="cs"/>
          <w:rtl/>
        </w:rPr>
        <w:t xml:space="preserve">אישר </w:t>
      </w:r>
      <w:bookmarkStart w:id="40087" w:name="_ETM_Q74_642629"/>
      <w:bookmarkEnd w:id="40087"/>
      <w:r>
        <w:rPr>
          <w:rFonts w:hint="cs"/>
          <w:rtl/>
        </w:rPr>
        <w:t xml:space="preserve">את </w:t>
      </w:r>
      <w:bookmarkStart w:id="40088" w:name="_ETM_Q74_642719"/>
      <w:bookmarkEnd w:id="40088"/>
      <w:r>
        <w:rPr>
          <w:rFonts w:hint="cs"/>
          <w:rtl/>
        </w:rPr>
        <w:t xml:space="preserve">זה </w:t>
      </w:r>
      <w:bookmarkStart w:id="40089" w:name="_ETM_Q74_642870"/>
      <w:bookmarkEnd w:id="40089"/>
      <w:r>
        <w:rPr>
          <w:rFonts w:hint="cs"/>
          <w:rtl/>
        </w:rPr>
        <w:t>ב</w:t>
      </w:r>
      <w:bookmarkStart w:id="40090" w:name="_ETM_Q74_643230"/>
      <w:bookmarkStart w:id="40091" w:name="_ETM_Q74_643560"/>
      <w:bookmarkEnd w:id="40090"/>
      <w:bookmarkEnd w:id="40091"/>
      <w:r>
        <w:rPr>
          <w:rFonts w:hint="cs"/>
          <w:rtl/>
        </w:rPr>
        <w:t xml:space="preserve">הודעתו </w:t>
      </w:r>
      <w:bookmarkStart w:id="40092" w:name="_ETM_Q74_644099"/>
      <w:bookmarkEnd w:id="40092"/>
      <w:r>
        <w:rPr>
          <w:rFonts w:hint="cs"/>
          <w:rtl/>
        </w:rPr>
        <w:t>הדי</w:t>
      </w:r>
      <w:bookmarkStart w:id="40093" w:name="_ETM_Q74_644999"/>
      <w:bookmarkEnd w:id="40093"/>
      <w:r>
        <w:rPr>
          <w:rFonts w:hint="cs"/>
          <w:rtl/>
        </w:rPr>
        <w:t xml:space="preserve">-חריגה </w:t>
      </w:r>
      <w:bookmarkStart w:id="40094" w:name="_ETM_Q74_646380"/>
      <w:bookmarkEnd w:id="40094"/>
      <w:r>
        <w:rPr>
          <w:rFonts w:hint="cs"/>
          <w:rtl/>
        </w:rPr>
        <w:t xml:space="preserve">לפני </w:t>
      </w:r>
      <w:bookmarkStart w:id="40095" w:name="_ETM_Q74_646830"/>
      <w:bookmarkEnd w:id="40095"/>
      <w:r>
        <w:rPr>
          <w:rFonts w:hint="cs"/>
          <w:rtl/>
        </w:rPr>
        <w:t xml:space="preserve">כמה </w:t>
      </w:r>
      <w:bookmarkStart w:id="40096" w:name="_ETM_Q74_647250"/>
      <w:bookmarkEnd w:id="40096"/>
      <w:r>
        <w:rPr>
          <w:rFonts w:hint="cs"/>
          <w:rtl/>
        </w:rPr>
        <w:t>ימים.</w:t>
      </w:r>
    </w:p>
    <w:p w:rsidR="00BB59CD" w:rsidRDefault="00BB59CD" w:rsidP="00BB59CD">
      <w:pPr>
        <w:rPr>
          <w:rtl/>
        </w:rPr>
      </w:pPr>
      <w:bookmarkStart w:id="40097" w:name="_ETM_Q74_648000"/>
      <w:bookmarkEnd w:id="40097"/>
    </w:p>
    <w:p w:rsidR="00BB59CD" w:rsidRDefault="00BB59CD" w:rsidP="008E2003">
      <w:pPr>
        <w:rPr>
          <w:rtl/>
        </w:rPr>
      </w:pPr>
      <w:bookmarkStart w:id="40098" w:name="_ETM_Q74_649000"/>
      <w:bookmarkStart w:id="40099" w:name="_ETM_Q74_649070"/>
      <w:bookmarkEnd w:id="40098"/>
      <w:bookmarkEnd w:id="40099"/>
      <w:r>
        <w:rPr>
          <w:rFonts w:hint="cs"/>
          <w:rtl/>
        </w:rPr>
        <w:t xml:space="preserve">עכשיו, </w:t>
      </w:r>
      <w:bookmarkStart w:id="40100" w:name="_ETM_Q74_649310"/>
      <w:bookmarkEnd w:id="40100"/>
      <w:r>
        <w:rPr>
          <w:rFonts w:hint="cs"/>
          <w:rtl/>
        </w:rPr>
        <w:t xml:space="preserve">ניסו </w:t>
      </w:r>
      <w:bookmarkStart w:id="40101" w:name="_ETM_Q74_649610"/>
      <w:bookmarkEnd w:id="40101"/>
      <w:r>
        <w:rPr>
          <w:rFonts w:hint="cs"/>
          <w:rtl/>
        </w:rPr>
        <w:t xml:space="preserve">לטעון </w:t>
      </w:r>
      <w:bookmarkStart w:id="40102" w:name="_ETM_Q74_650060"/>
      <w:bookmarkEnd w:id="40102"/>
      <w:r>
        <w:rPr>
          <w:rFonts w:hint="cs"/>
          <w:rtl/>
        </w:rPr>
        <w:t xml:space="preserve">שהוא </w:t>
      </w:r>
      <w:bookmarkStart w:id="40103" w:name="_ETM_Q74_650450"/>
      <w:bookmarkEnd w:id="40103"/>
      <w:r>
        <w:rPr>
          <w:rFonts w:hint="cs"/>
          <w:rtl/>
        </w:rPr>
        <w:t xml:space="preserve">התכוון </w:t>
      </w:r>
      <w:bookmarkStart w:id="40104" w:name="_ETM_Q74_650810"/>
      <w:bookmarkEnd w:id="40104"/>
      <w:r>
        <w:rPr>
          <w:rFonts w:hint="cs"/>
          <w:rtl/>
        </w:rPr>
        <w:t xml:space="preserve">למשהו </w:t>
      </w:r>
      <w:bookmarkStart w:id="40105" w:name="_ETM_Q74_651260"/>
      <w:bookmarkEnd w:id="40105"/>
      <w:r>
        <w:rPr>
          <w:rFonts w:hint="cs"/>
          <w:rtl/>
        </w:rPr>
        <w:t xml:space="preserve">אחר. </w:t>
      </w:r>
      <w:bookmarkStart w:id="40106" w:name="_ETM_Q74_651620"/>
      <w:bookmarkEnd w:id="40106"/>
      <w:r>
        <w:rPr>
          <w:rFonts w:hint="cs"/>
          <w:rtl/>
        </w:rPr>
        <w:t xml:space="preserve">הוא </w:t>
      </w:r>
      <w:bookmarkStart w:id="40107" w:name="_ETM_Q74_651710"/>
      <w:bookmarkEnd w:id="40107"/>
      <w:r>
        <w:rPr>
          <w:rFonts w:hint="cs"/>
          <w:rtl/>
        </w:rPr>
        <w:t xml:space="preserve">התכוון </w:t>
      </w:r>
      <w:bookmarkStart w:id="40108" w:name="_ETM_Q74_652460"/>
      <w:bookmarkEnd w:id="40108"/>
      <w:r>
        <w:rPr>
          <w:rFonts w:hint="cs"/>
          <w:rtl/>
        </w:rPr>
        <w:t xml:space="preserve">לדבר </w:t>
      </w:r>
      <w:bookmarkStart w:id="40109" w:name="_ETM_Q74_652850"/>
      <w:bookmarkEnd w:id="40109"/>
      <w:r>
        <w:rPr>
          <w:rFonts w:hint="cs"/>
          <w:rtl/>
        </w:rPr>
        <w:t xml:space="preserve">מאוד </w:t>
      </w:r>
      <w:bookmarkStart w:id="40110" w:name="_ETM_Q74_653090"/>
      <w:bookmarkEnd w:id="40110"/>
      <w:r>
        <w:rPr>
          <w:rFonts w:hint="cs"/>
          <w:rtl/>
        </w:rPr>
        <w:t xml:space="preserve">מאוד </w:t>
      </w:r>
      <w:bookmarkStart w:id="40111" w:name="_ETM_Q74_653390"/>
      <w:bookmarkEnd w:id="40111"/>
      <w:r>
        <w:rPr>
          <w:rFonts w:hint="cs"/>
          <w:rtl/>
        </w:rPr>
        <w:t xml:space="preserve">ברור. </w:t>
      </w:r>
      <w:bookmarkStart w:id="40112" w:name="_ETM_Q74_653720"/>
      <w:bookmarkEnd w:id="40112"/>
      <w:r>
        <w:rPr>
          <w:rFonts w:hint="cs"/>
          <w:rtl/>
        </w:rPr>
        <w:t xml:space="preserve">מי </w:t>
      </w:r>
      <w:bookmarkStart w:id="40113" w:name="_ETM_Q74_653870"/>
      <w:bookmarkEnd w:id="40113"/>
      <w:r>
        <w:rPr>
          <w:rFonts w:hint="cs"/>
          <w:rtl/>
        </w:rPr>
        <w:t>ש</w:t>
      </w:r>
      <w:bookmarkStart w:id="40114" w:name="_ETM_Q74_654980"/>
      <w:bookmarkEnd w:id="40114"/>
      <w:r>
        <w:rPr>
          <w:rFonts w:hint="cs"/>
          <w:rtl/>
        </w:rPr>
        <w:t xml:space="preserve">גם </w:t>
      </w:r>
      <w:bookmarkStart w:id="40115" w:name="_ETM_Q74_655250"/>
      <w:bookmarkEnd w:id="40115"/>
      <w:r>
        <w:rPr>
          <w:rFonts w:hint="cs"/>
          <w:rtl/>
        </w:rPr>
        <w:t xml:space="preserve">מבין </w:t>
      </w:r>
      <w:bookmarkStart w:id="40116" w:name="_ETM_Q74_655519"/>
      <w:bookmarkEnd w:id="40116"/>
      <w:r>
        <w:rPr>
          <w:rFonts w:hint="cs"/>
          <w:rtl/>
        </w:rPr>
        <w:t xml:space="preserve">את </w:t>
      </w:r>
      <w:bookmarkStart w:id="40117" w:name="_ETM_Q74_655610"/>
      <w:bookmarkEnd w:id="40117"/>
      <w:r>
        <w:rPr>
          <w:rFonts w:hint="cs"/>
          <w:rtl/>
        </w:rPr>
        <w:t xml:space="preserve">המגבלות </w:t>
      </w:r>
      <w:bookmarkStart w:id="40118" w:name="_ETM_Q74_656120"/>
      <w:bookmarkEnd w:id="40118"/>
      <w:r>
        <w:rPr>
          <w:rFonts w:hint="cs"/>
          <w:rtl/>
        </w:rPr>
        <w:t xml:space="preserve">שלו </w:t>
      </w:r>
      <w:r>
        <w:t>–</w:t>
      </w:r>
      <w:r>
        <w:rPr>
          <w:rFonts w:hint="cs"/>
          <w:rtl/>
        </w:rPr>
        <w:t xml:space="preserve"> </w:t>
      </w:r>
      <w:bookmarkStart w:id="40119" w:name="_ETM_Q74_656000"/>
      <w:bookmarkEnd w:id="40119"/>
      <w:r>
        <w:rPr>
          <w:rFonts w:hint="cs"/>
          <w:rtl/>
        </w:rPr>
        <w:t xml:space="preserve">אם הוא לא </w:t>
      </w:r>
      <w:bookmarkStart w:id="40120" w:name="_ETM_Q74_656390"/>
      <w:bookmarkStart w:id="40121" w:name="_ETM_Q74_657230"/>
      <w:bookmarkEnd w:id="40120"/>
      <w:bookmarkEnd w:id="40121"/>
      <w:r>
        <w:rPr>
          <w:rFonts w:hint="cs"/>
          <w:rtl/>
        </w:rPr>
        <w:t>היה</w:t>
      </w:r>
      <w:bookmarkStart w:id="40122" w:name="_ETM_Q74_657470"/>
      <w:bookmarkEnd w:id="40122"/>
      <w:r>
        <w:rPr>
          <w:rFonts w:hint="cs"/>
          <w:rtl/>
        </w:rPr>
        <w:t xml:space="preserve"> שופט </w:t>
      </w:r>
      <w:bookmarkStart w:id="40123" w:name="_ETM_Q74_658310"/>
      <w:bookmarkEnd w:id="40123"/>
      <w:r>
        <w:rPr>
          <w:rFonts w:hint="cs"/>
          <w:rtl/>
        </w:rPr>
        <w:t xml:space="preserve">מכהן </w:t>
      </w:r>
      <w:bookmarkStart w:id="40124" w:name="_ETM_Q74_658940"/>
      <w:bookmarkEnd w:id="40124"/>
      <w:r>
        <w:rPr>
          <w:rFonts w:hint="cs"/>
          <w:rtl/>
        </w:rPr>
        <w:t xml:space="preserve">אז </w:t>
      </w:r>
      <w:bookmarkStart w:id="40125" w:name="_ETM_Q74_659060"/>
      <w:bookmarkEnd w:id="40125"/>
      <w:r>
        <w:rPr>
          <w:rFonts w:hint="cs"/>
          <w:rtl/>
        </w:rPr>
        <w:t xml:space="preserve">אני </w:t>
      </w:r>
      <w:bookmarkStart w:id="40126" w:name="_ETM_Q74_659180"/>
      <w:bookmarkEnd w:id="40126"/>
      <w:r>
        <w:rPr>
          <w:rFonts w:hint="cs"/>
          <w:rtl/>
        </w:rPr>
        <w:t xml:space="preserve">בטוח </w:t>
      </w:r>
      <w:bookmarkStart w:id="40127" w:name="_ETM_Q74_659540"/>
      <w:bookmarkEnd w:id="40127"/>
      <w:r>
        <w:rPr>
          <w:rFonts w:hint="cs"/>
          <w:rtl/>
        </w:rPr>
        <w:t xml:space="preserve">שהוא </w:t>
      </w:r>
      <w:bookmarkStart w:id="40128" w:name="_ETM_Q74_659780"/>
      <w:bookmarkEnd w:id="40128"/>
      <w:r>
        <w:rPr>
          <w:rFonts w:hint="cs"/>
          <w:rtl/>
        </w:rPr>
        <w:t xml:space="preserve">היה </w:t>
      </w:r>
      <w:bookmarkStart w:id="40129" w:name="_ETM_Q74_660569"/>
      <w:bookmarkEnd w:id="40129"/>
      <w:r>
        <w:rPr>
          <w:rFonts w:hint="cs"/>
          <w:rtl/>
        </w:rPr>
        <w:t xml:space="preserve">מתבטא </w:t>
      </w:r>
      <w:bookmarkStart w:id="40130" w:name="_ETM_Q74_661230"/>
      <w:bookmarkEnd w:id="40130"/>
      <w:r>
        <w:rPr>
          <w:rFonts w:hint="cs"/>
          <w:rtl/>
        </w:rPr>
        <w:t xml:space="preserve">בצורה </w:t>
      </w:r>
      <w:bookmarkStart w:id="40131" w:name="_ETM_Q74_661680"/>
      <w:bookmarkEnd w:id="40131"/>
      <w:r>
        <w:rPr>
          <w:rFonts w:hint="cs"/>
          <w:rtl/>
        </w:rPr>
        <w:t xml:space="preserve">הרבה </w:t>
      </w:r>
      <w:bookmarkStart w:id="40132" w:name="_ETM_Q74_662010"/>
      <w:bookmarkEnd w:id="40132"/>
      <w:r>
        <w:rPr>
          <w:rFonts w:hint="cs"/>
          <w:rtl/>
        </w:rPr>
        <w:t xml:space="preserve">יותר </w:t>
      </w:r>
      <w:bookmarkStart w:id="40133" w:name="_ETM_Q74_662600"/>
      <w:bookmarkEnd w:id="40133"/>
      <w:r>
        <w:rPr>
          <w:rFonts w:hint="cs"/>
          <w:rtl/>
        </w:rPr>
        <w:t xml:space="preserve">נחרצת, </w:t>
      </w:r>
      <w:bookmarkStart w:id="40134" w:name="_ETM_Q74_663819"/>
      <w:bookmarkEnd w:id="40134"/>
      <w:r>
        <w:rPr>
          <w:rFonts w:hint="cs"/>
          <w:rtl/>
        </w:rPr>
        <w:t xml:space="preserve">בדומה </w:t>
      </w:r>
      <w:bookmarkStart w:id="40135" w:name="_ETM_Q74_664449"/>
      <w:bookmarkEnd w:id="40135"/>
      <w:r>
        <w:rPr>
          <w:rFonts w:hint="cs"/>
          <w:rtl/>
        </w:rPr>
        <w:t xml:space="preserve">להודעה </w:t>
      </w:r>
      <w:bookmarkStart w:id="40136" w:name="_ETM_Q74_666520"/>
      <w:bookmarkEnd w:id="40136"/>
      <w:r>
        <w:rPr>
          <w:rFonts w:hint="cs"/>
          <w:rtl/>
        </w:rPr>
        <w:t xml:space="preserve">מהבוקר </w:t>
      </w:r>
      <w:bookmarkStart w:id="40137" w:name="_ETM_Q74_667120"/>
      <w:bookmarkEnd w:id="40137"/>
      <w:r>
        <w:rPr>
          <w:rFonts w:hint="cs"/>
          <w:rtl/>
        </w:rPr>
        <w:t xml:space="preserve">של </w:t>
      </w:r>
      <w:bookmarkStart w:id="40138" w:name="_ETM_Q74_667630"/>
      <w:bookmarkEnd w:id="40138"/>
      <w:r>
        <w:rPr>
          <w:rFonts w:hint="cs"/>
          <w:rtl/>
        </w:rPr>
        <w:t xml:space="preserve">כבוד </w:t>
      </w:r>
      <w:bookmarkStart w:id="40139" w:name="_ETM_Q74_667870"/>
      <w:bookmarkEnd w:id="40139"/>
      <w:r>
        <w:rPr>
          <w:rFonts w:hint="cs"/>
          <w:rtl/>
        </w:rPr>
        <w:t xml:space="preserve">השופט </w:t>
      </w:r>
      <w:bookmarkStart w:id="40140" w:name="_ETM_Q74_668920"/>
      <w:bookmarkEnd w:id="40140"/>
      <w:r>
        <w:rPr>
          <w:rFonts w:hint="cs"/>
          <w:rtl/>
        </w:rPr>
        <w:t xml:space="preserve">בדימוס </w:t>
      </w:r>
      <w:bookmarkStart w:id="40141" w:name="_ETM_Q74_669400"/>
      <w:bookmarkEnd w:id="40141"/>
      <w:r>
        <w:rPr>
          <w:rFonts w:hint="cs"/>
          <w:rtl/>
        </w:rPr>
        <w:t xml:space="preserve">אהרן </w:t>
      </w:r>
      <w:bookmarkStart w:id="40142" w:name="_ETM_Q74_669700"/>
      <w:bookmarkEnd w:id="40142"/>
      <w:r>
        <w:rPr>
          <w:rFonts w:hint="cs"/>
          <w:rtl/>
        </w:rPr>
        <w:t xml:space="preserve">ברק, </w:t>
      </w:r>
      <w:bookmarkStart w:id="40143" w:name="_ETM_Q74_670239"/>
      <w:bookmarkEnd w:id="40143"/>
      <w:r>
        <w:rPr>
          <w:rFonts w:hint="cs"/>
          <w:rtl/>
        </w:rPr>
        <w:t xml:space="preserve">שגם </w:t>
      </w:r>
      <w:bookmarkStart w:id="40144" w:name="_ETM_Q74_670660"/>
      <w:bookmarkEnd w:id="40144"/>
      <w:r>
        <w:rPr>
          <w:rFonts w:hint="cs"/>
          <w:rtl/>
        </w:rPr>
        <w:t xml:space="preserve">היה </w:t>
      </w:r>
      <w:bookmarkStart w:id="40145" w:name="_ETM_Q74_670840"/>
      <w:bookmarkEnd w:id="40145"/>
      <w:r>
        <w:rPr>
          <w:rFonts w:hint="cs"/>
          <w:rtl/>
        </w:rPr>
        <w:t xml:space="preserve">מאוד </w:t>
      </w:r>
      <w:bookmarkStart w:id="40146" w:name="_ETM_Q74_671050"/>
      <w:bookmarkEnd w:id="40146"/>
      <w:r>
        <w:rPr>
          <w:rFonts w:hint="cs"/>
          <w:rtl/>
        </w:rPr>
        <w:t xml:space="preserve">מאוד </w:t>
      </w:r>
      <w:bookmarkStart w:id="40147" w:name="_ETM_Q74_671530"/>
      <w:bookmarkEnd w:id="40147"/>
      <w:r>
        <w:rPr>
          <w:rFonts w:hint="cs"/>
          <w:rtl/>
        </w:rPr>
        <w:t xml:space="preserve">נחרץ, </w:t>
      </w:r>
      <w:bookmarkStart w:id="40148" w:name="_ETM_Q74_673070"/>
      <w:bookmarkEnd w:id="40148"/>
      <w:r w:rsidR="008E2003">
        <w:rPr>
          <w:rFonts w:hint="cs"/>
          <w:rtl/>
        </w:rPr>
        <w:t xml:space="preserve">אומנם </w:t>
      </w:r>
      <w:r>
        <w:rPr>
          <w:rFonts w:hint="cs"/>
          <w:rtl/>
        </w:rPr>
        <w:t xml:space="preserve">באופן </w:t>
      </w:r>
      <w:bookmarkStart w:id="40149" w:name="_ETM_Q74_674240"/>
      <w:bookmarkStart w:id="40150" w:name="_ETM_Q74_674630"/>
      <w:bookmarkEnd w:id="40149"/>
      <w:bookmarkEnd w:id="40150"/>
      <w:r>
        <w:rPr>
          <w:rFonts w:hint="cs"/>
          <w:rtl/>
        </w:rPr>
        <w:t xml:space="preserve">לא </w:t>
      </w:r>
      <w:bookmarkStart w:id="40151" w:name="_ETM_Q74_674750"/>
      <w:bookmarkEnd w:id="40151"/>
      <w:r>
        <w:rPr>
          <w:rFonts w:hint="cs"/>
          <w:rtl/>
        </w:rPr>
        <w:t xml:space="preserve">מפתיע, </w:t>
      </w:r>
      <w:bookmarkStart w:id="40152" w:name="_ETM_Q74_676640"/>
      <w:bookmarkEnd w:id="40152"/>
      <w:r w:rsidR="008E2003">
        <w:rPr>
          <w:rFonts w:hint="cs"/>
          <w:rtl/>
        </w:rPr>
        <w:t>בה</w:t>
      </w:r>
      <w:r>
        <w:rPr>
          <w:rFonts w:hint="cs"/>
          <w:rtl/>
        </w:rPr>
        <w:t xml:space="preserve">צעה </w:t>
      </w:r>
      <w:bookmarkStart w:id="40153" w:name="_ETM_Q74_677570"/>
      <w:bookmarkEnd w:id="40153"/>
      <w:r>
        <w:rPr>
          <w:rFonts w:hint="cs"/>
          <w:rtl/>
        </w:rPr>
        <w:t xml:space="preserve">לבטל </w:t>
      </w:r>
      <w:bookmarkStart w:id="40154" w:name="_ETM_Q74_679030"/>
      <w:bookmarkEnd w:id="40154"/>
      <w:r>
        <w:rPr>
          <w:rFonts w:hint="cs"/>
          <w:rtl/>
        </w:rPr>
        <w:t xml:space="preserve">את </w:t>
      </w:r>
      <w:bookmarkStart w:id="40155" w:name="_ETM_Q74_679240"/>
      <w:bookmarkEnd w:id="40155"/>
      <w:r>
        <w:rPr>
          <w:rFonts w:hint="cs"/>
          <w:rtl/>
        </w:rPr>
        <w:t xml:space="preserve">עילת </w:t>
      </w:r>
      <w:bookmarkStart w:id="40156" w:name="_ETM_Q74_679659"/>
      <w:bookmarkEnd w:id="40156"/>
      <w:r>
        <w:rPr>
          <w:rFonts w:hint="cs"/>
          <w:rtl/>
        </w:rPr>
        <w:t>הסבירות.</w:t>
      </w:r>
      <w:bookmarkStart w:id="40157" w:name="_ETM_Q74_680000"/>
      <w:bookmarkStart w:id="40158" w:name="_ETM_Q74_681000"/>
      <w:bookmarkStart w:id="40159" w:name="_ETM_Q74_681079"/>
      <w:bookmarkStart w:id="40160" w:name="_ETM_Q74_681260"/>
      <w:bookmarkEnd w:id="40157"/>
      <w:bookmarkEnd w:id="40158"/>
      <w:bookmarkEnd w:id="40159"/>
      <w:bookmarkEnd w:id="40160"/>
      <w:r>
        <w:rPr>
          <w:rFonts w:hint="cs"/>
          <w:rtl/>
        </w:rPr>
        <w:t xml:space="preserve"> וזה</w:t>
      </w:r>
      <w:bookmarkStart w:id="40161" w:name="_ETM_Q74_681739"/>
      <w:bookmarkEnd w:id="40161"/>
      <w:r>
        <w:rPr>
          <w:rFonts w:hint="cs"/>
          <w:rtl/>
        </w:rPr>
        <w:t>, חבר</w:t>
      </w:r>
      <w:bookmarkStart w:id="40162" w:name="_ETM_Q74_682219"/>
      <w:bookmarkEnd w:id="40162"/>
      <w:r>
        <w:rPr>
          <w:rFonts w:hint="cs"/>
          <w:rtl/>
        </w:rPr>
        <w:t xml:space="preserve">יי, לא </w:t>
      </w:r>
      <w:bookmarkStart w:id="40163" w:name="_ETM_Q74_682459"/>
      <w:bookmarkEnd w:id="40163"/>
      <w:r>
        <w:rPr>
          <w:rFonts w:hint="cs"/>
          <w:rtl/>
        </w:rPr>
        <w:t xml:space="preserve">הבדל </w:t>
      </w:r>
      <w:bookmarkStart w:id="40164" w:name="_ETM_Q74_683150"/>
      <w:bookmarkEnd w:id="40164"/>
      <w:r>
        <w:rPr>
          <w:rFonts w:hint="cs"/>
          <w:rtl/>
        </w:rPr>
        <w:t>כמותי אלא</w:t>
      </w:r>
      <w:bookmarkStart w:id="40165" w:name="_ETM_Q74_684469"/>
      <w:bookmarkEnd w:id="40165"/>
      <w:r>
        <w:rPr>
          <w:rFonts w:hint="cs"/>
          <w:rtl/>
        </w:rPr>
        <w:t xml:space="preserve"> </w:t>
      </w:r>
      <w:bookmarkStart w:id="40166" w:name="_ETM_Q74_684709"/>
      <w:bookmarkEnd w:id="40166"/>
      <w:r>
        <w:rPr>
          <w:rFonts w:hint="cs"/>
          <w:rtl/>
        </w:rPr>
        <w:t xml:space="preserve">איכותי. </w:t>
      </w:r>
      <w:bookmarkStart w:id="40167" w:name="_ETM_Q74_685639"/>
      <w:bookmarkEnd w:id="40167"/>
      <w:r>
        <w:rPr>
          <w:rFonts w:hint="cs"/>
          <w:rtl/>
        </w:rPr>
        <w:t xml:space="preserve">יש </w:t>
      </w:r>
      <w:bookmarkStart w:id="40168" w:name="_ETM_Q74_685969"/>
      <w:bookmarkEnd w:id="40168"/>
      <w:r>
        <w:rPr>
          <w:rFonts w:hint="cs"/>
          <w:rtl/>
        </w:rPr>
        <w:t xml:space="preserve">הבדל </w:t>
      </w:r>
      <w:bookmarkStart w:id="40169" w:name="_ETM_Q74_686809"/>
      <w:bookmarkEnd w:id="40169"/>
      <w:r>
        <w:rPr>
          <w:rFonts w:hint="cs"/>
          <w:rtl/>
        </w:rPr>
        <w:t xml:space="preserve">שהוא </w:t>
      </w:r>
      <w:bookmarkStart w:id="40170" w:name="_ETM_Q74_687049"/>
      <w:bookmarkEnd w:id="40170"/>
      <w:r>
        <w:rPr>
          <w:rFonts w:hint="cs"/>
          <w:rtl/>
        </w:rPr>
        <w:t xml:space="preserve">גדול </w:t>
      </w:r>
      <w:bookmarkStart w:id="40171" w:name="_ETM_Q74_687499"/>
      <w:bookmarkEnd w:id="40171"/>
      <w:r>
        <w:rPr>
          <w:rFonts w:hint="cs"/>
          <w:rtl/>
        </w:rPr>
        <w:t xml:space="preserve">מאוד </w:t>
      </w:r>
      <w:bookmarkStart w:id="40172" w:name="_ETM_Q74_687919"/>
      <w:bookmarkEnd w:id="40172"/>
      <w:r>
        <w:rPr>
          <w:rFonts w:hint="cs"/>
          <w:rtl/>
        </w:rPr>
        <w:t xml:space="preserve">בין </w:t>
      </w:r>
      <w:bookmarkStart w:id="40173" w:name="_ETM_Q74_688099"/>
      <w:bookmarkEnd w:id="40173"/>
      <w:r>
        <w:rPr>
          <w:rFonts w:hint="cs"/>
          <w:rtl/>
        </w:rPr>
        <w:t xml:space="preserve">התמיכה </w:t>
      </w:r>
      <w:bookmarkStart w:id="40174" w:name="_ETM_Q74_689089"/>
      <w:bookmarkEnd w:id="40174"/>
      <w:r>
        <w:rPr>
          <w:rFonts w:hint="cs"/>
          <w:rtl/>
        </w:rPr>
        <w:t xml:space="preserve">בשינוי </w:t>
      </w:r>
      <w:bookmarkStart w:id="40175" w:name="_ETM_Q74_690019"/>
      <w:bookmarkEnd w:id="40175"/>
      <w:r>
        <w:rPr>
          <w:rFonts w:hint="cs"/>
          <w:rtl/>
        </w:rPr>
        <w:t>החקיקה</w:t>
      </w:r>
      <w:bookmarkStart w:id="40176" w:name="_ETM_Q74_690799"/>
      <w:bookmarkEnd w:id="40176"/>
      <w:r>
        <w:rPr>
          <w:rFonts w:hint="cs"/>
          <w:rtl/>
        </w:rPr>
        <w:t>,</w:t>
      </w:r>
      <w:bookmarkStart w:id="40177" w:name="_ETM_Q74_688000"/>
      <w:bookmarkEnd w:id="40177"/>
      <w:r>
        <w:rPr>
          <w:rFonts w:hint="cs"/>
          <w:rtl/>
        </w:rPr>
        <w:t xml:space="preserve"> שמגביל </w:t>
      </w:r>
      <w:bookmarkStart w:id="40178" w:name="_ETM_Q74_691489"/>
      <w:bookmarkEnd w:id="40178"/>
      <w:r>
        <w:rPr>
          <w:rFonts w:hint="cs"/>
          <w:rtl/>
        </w:rPr>
        <w:t xml:space="preserve">את </w:t>
      </w:r>
      <w:bookmarkStart w:id="40179" w:name="_ETM_Q74_691609"/>
      <w:bookmarkEnd w:id="40179"/>
      <w:r>
        <w:rPr>
          <w:rFonts w:hint="cs"/>
          <w:rtl/>
        </w:rPr>
        <w:t xml:space="preserve">הכוח </w:t>
      </w:r>
      <w:bookmarkStart w:id="40180" w:name="_ETM_Q74_691999"/>
      <w:bookmarkEnd w:id="40180"/>
      <w:r>
        <w:rPr>
          <w:rFonts w:hint="cs"/>
          <w:rtl/>
        </w:rPr>
        <w:t xml:space="preserve">השיפוטי, </w:t>
      </w:r>
      <w:bookmarkStart w:id="40181" w:name="_ETM_Q74_693139"/>
      <w:bookmarkEnd w:id="40181"/>
      <w:r>
        <w:rPr>
          <w:rFonts w:hint="cs"/>
          <w:rtl/>
        </w:rPr>
        <w:t xml:space="preserve">לבין </w:t>
      </w:r>
      <w:bookmarkStart w:id="40182" w:name="_ETM_Q74_693709"/>
      <w:bookmarkEnd w:id="40182"/>
      <w:r>
        <w:rPr>
          <w:rFonts w:hint="cs"/>
          <w:rtl/>
        </w:rPr>
        <w:t xml:space="preserve">הצעה </w:t>
      </w:r>
      <w:bookmarkStart w:id="40183" w:name="_ETM_Q74_694159"/>
      <w:bookmarkEnd w:id="40183"/>
      <w:r>
        <w:rPr>
          <w:rFonts w:hint="cs"/>
          <w:rtl/>
        </w:rPr>
        <w:t xml:space="preserve">לפתח </w:t>
      </w:r>
      <w:bookmarkStart w:id="40184" w:name="_ETM_Q74_694879"/>
      <w:bookmarkEnd w:id="40184"/>
      <w:r>
        <w:rPr>
          <w:rFonts w:hint="cs"/>
          <w:rtl/>
        </w:rPr>
        <w:t xml:space="preserve">ממקרה </w:t>
      </w:r>
      <w:bookmarkStart w:id="40185" w:name="_ETM_Q74_695389"/>
      <w:bookmarkEnd w:id="40185"/>
      <w:r>
        <w:rPr>
          <w:rFonts w:hint="cs"/>
          <w:rtl/>
        </w:rPr>
        <w:t xml:space="preserve">למקרה </w:t>
      </w:r>
      <w:bookmarkStart w:id="40186" w:name="_ETM_Q74_696319"/>
      <w:bookmarkEnd w:id="40186"/>
      <w:r>
        <w:rPr>
          <w:rFonts w:hint="cs"/>
          <w:rtl/>
        </w:rPr>
        <w:t xml:space="preserve">את </w:t>
      </w:r>
      <w:bookmarkStart w:id="40187" w:name="_ETM_Q74_696499"/>
      <w:bookmarkEnd w:id="40187"/>
      <w:r>
        <w:rPr>
          <w:rFonts w:hint="cs"/>
          <w:rtl/>
        </w:rPr>
        <w:t xml:space="preserve">עילת </w:t>
      </w:r>
      <w:bookmarkStart w:id="40188" w:name="_ETM_Q74_696799"/>
      <w:bookmarkEnd w:id="40188"/>
      <w:r>
        <w:rPr>
          <w:rFonts w:hint="cs"/>
          <w:rtl/>
        </w:rPr>
        <w:t xml:space="preserve">הסבירות </w:t>
      </w:r>
      <w:bookmarkStart w:id="40189" w:name="_ETM_Q74_697400"/>
      <w:bookmarkEnd w:id="40189"/>
      <w:r>
        <w:rPr>
          <w:rFonts w:hint="cs"/>
          <w:rtl/>
        </w:rPr>
        <w:t xml:space="preserve">באופן </w:t>
      </w:r>
      <w:bookmarkStart w:id="40190" w:name="_ETM_Q74_698299"/>
      <w:bookmarkEnd w:id="40190"/>
      <w:r>
        <w:rPr>
          <w:rFonts w:hint="cs"/>
          <w:rtl/>
        </w:rPr>
        <w:t xml:space="preserve">שהוא </w:t>
      </w:r>
      <w:bookmarkStart w:id="40191" w:name="_ETM_Q74_698510"/>
      <w:bookmarkEnd w:id="40191"/>
      <w:r>
        <w:rPr>
          <w:rFonts w:hint="cs"/>
          <w:rtl/>
        </w:rPr>
        <w:t xml:space="preserve">זהיר </w:t>
      </w:r>
      <w:bookmarkStart w:id="40192" w:name="_ETM_Q74_698870"/>
      <w:bookmarkEnd w:id="40192"/>
      <w:r>
        <w:rPr>
          <w:rFonts w:hint="cs"/>
          <w:rtl/>
        </w:rPr>
        <w:t xml:space="preserve">יותר. </w:t>
      </w:r>
      <w:bookmarkStart w:id="40193" w:name="_ETM_Q74_700030"/>
      <w:bookmarkEnd w:id="40193"/>
      <w:r>
        <w:rPr>
          <w:rFonts w:hint="cs"/>
          <w:rtl/>
        </w:rPr>
        <w:t xml:space="preserve">זה </w:t>
      </w:r>
      <w:bookmarkStart w:id="40194" w:name="_ETM_Q74_700300"/>
      <w:bookmarkEnd w:id="40194"/>
      <w:r>
        <w:rPr>
          <w:rFonts w:hint="cs"/>
          <w:rtl/>
        </w:rPr>
        <w:t xml:space="preserve">לא </w:t>
      </w:r>
      <w:bookmarkStart w:id="40195" w:name="_ETM_Q74_700570"/>
      <w:bookmarkEnd w:id="40195"/>
      <w:r>
        <w:rPr>
          <w:rFonts w:hint="cs"/>
          <w:rtl/>
        </w:rPr>
        <w:t xml:space="preserve">עניין </w:t>
      </w:r>
      <w:bookmarkStart w:id="40196" w:name="_ETM_Q74_701110"/>
      <w:bookmarkEnd w:id="40196"/>
      <w:r>
        <w:rPr>
          <w:rFonts w:hint="cs"/>
          <w:rtl/>
        </w:rPr>
        <w:t xml:space="preserve">שולי </w:t>
      </w:r>
      <w:bookmarkStart w:id="40197" w:name="_ETM_Q74_702440"/>
      <w:bookmarkEnd w:id="40197"/>
      <w:r>
        <w:rPr>
          <w:rFonts w:hint="cs"/>
          <w:rtl/>
        </w:rPr>
        <w:t xml:space="preserve">אלא </w:t>
      </w:r>
      <w:bookmarkStart w:id="40198" w:name="_ETM_Q74_702709"/>
      <w:bookmarkEnd w:id="40198"/>
      <w:r>
        <w:rPr>
          <w:rFonts w:hint="cs"/>
          <w:rtl/>
        </w:rPr>
        <w:t>מרכזי</w:t>
      </w:r>
      <w:bookmarkStart w:id="40199" w:name="_ETM_Q74_704950"/>
      <w:bookmarkEnd w:id="40199"/>
      <w:r>
        <w:rPr>
          <w:rFonts w:hint="cs"/>
          <w:rtl/>
        </w:rPr>
        <w:t xml:space="preserve">. </w:t>
      </w:r>
    </w:p>
    <w:p w:rsidR="00BB59CD" w:rsidRDefault="00BB59CD" w:rsidP="00BB59CD">
      <w:pPr>
        <w:rPr>
          <w:rtl/>
        </w:rPr>
      </w:pPr>
      <w:bookmarkStart w:id="40200" w:name="_ETM_Q74_733000"/>
      <w:bookmarkEnd w:id="40200"/>
    </w:p>
    <w:p w:rsidR="00BB59CD" w:rsidRDefault="00BB59CD" w:rsidP="008E2003">
      <w:pPr>
        <w:rPr>
          <w:rtl/>
        </w:rPr>
      </w:pPr>
      <w:bookmarkStart w:id="40201" w:name="_ETM_Q74_734000"/>
      <w:bookmarkEnd w:id="40201"/>
      <w:r>
        <w:rPr>
          <w:rFonts w:hint="cs"/>
          <w:rtl/>
        </w:rPr>
        <w:t xml:space="preserve">גם </w:t>
      </w:r>
      <w:bookmarkStart w:id="40202" w:name="_ETM_Q74_705189"/>
      <w:bookmarkEnd w:id="40202"/>
      <w:r>
        <w:rPr>
          <w:rFonts w:hint="cs"/>
          <w:rtl/>
        </w:rPr>
        <w:t xml:space="preserve">פרופ' </w:t>
      </w:r>
      <w:bookmarkStart w:id="40203" w:name="_ETM_Q74_705670"/>
      <w:bookmarkEnd w:id="40203"/>
      <w:r>
        <w:rPr>
          <w:rFonts w:hint="cs"/>
          <w:rtl/>
        </w:rPr>
        <w:t xml:space="preserve">אלבשן, </w:t>
      </w:r>
      <w:bookmarkStart w:id="40204" w:name="_ETM_Q74_706269"/>
      <w:bookmarkEnd w:id="40204"/>
      <w:r>
        <w:rPr>
          <w:rFonts w:hint="cs"/>
          <w:rtl/>
        </w:rPr>
        <w:t>ש</w:t>
      </w:r>
      <w:bookmarkStart w:id="40205" w:name="_ETM_Q74_707099"/>
      <w:bookmarkEnd w:id="40205"/>
      <w:r>
        <w:rPr>
          <w:rFonts w:hint="cs"/>
          <w:rtl/>
        </w:rPr>
        <w:t xml:space="preserve">לא </w:t>
      </w:r>
      <w:bookmarkStart w:id="40206" w:name="_ETM_Q74_707459"/>
      <w:bookmarkEnd w:id="40206"/>
      <w:r>
        <w:rPr>
          <w:rFonts w:hint="cs"/>
          <w:rtl/>
        </w:rPr>
        <w:t xml:space="preserve">בדיוק </w:t>
      </w:r>
      <w:bookmarkStart w:id="40207" w:name="_ETM_Q74_707879"/>
      <w:bookmarkStart w:id="40208" w:name="_ETM_Q74_708179"/>
      <w:bookmarkEnd w:id="40207"/>
      <w:bookmarkEnd w:id="40208"/>
      <w:r>
        <w:rPr>
          <w:rFonts w:hint="cs"/>
          <w:rtl/>
        </w:rPr>
        <w:t xml:space="preserve">נמצא </w:t>
      </w:r>
      <w:bookmarkStart w:id="40209" w:name="_ETM_Q74_709450"/>
      <w:bookmarkEnd w:id="40209"/>
      <w:r>
        <w:rPr>
          <w:rFonts w:hint="cs"/>
          <w:rtl/>
        </w:rPr>
        <w:t xml:space="preserve">היום בצד </w:t>
      </w:r>
      <w:bookmarkStart w:id="40210" w:name="_ETM_Q74_711079"/>
      <w:bookmarkEnd w:id="40210"/>
      <w:r>
        <w:rPr>
          <w:rFonts w:hint="cs"/>
          <w:rtl/>
        </w:rPr>
        <w:t xml:space="preserve">של </w:t>
      </w:r>
      <w:bookmarkStart w:id="40211" w:name="_ETM_Q74_711439"/>
      <w:bookmarkEnd w:id="40211"/>
      <w:r>
        <w:rPr>
          <w:rFonts w:hint="cs"/>
          <w:rtl/>
        </w:rPr>
        <w:t xml:space="preserve">האקטיביזם </w:t>
      </w:r>
      <w:bookmarkStart w:id="40212" w:name="_ETM_Q74_712099"/>
      <w:bookmarkEnd w:id="40212"/>
      <w:r>
        <w:rPr>
          <w:rFonts w:hint="cs"/>
          <w:rtl/>
        </w:rPr>
        <w:t xml:space="preserve">השיפוטי, </w:t>
      </w:r>
      <w:bookmarkStart w:id="40213" w:name="_ETM_Q74_713579"/>
      <w:bookmarkEnd w:id="40213"/>
      <w:r>
        <w:rPr>
          <w:rFonts w:hint="cs"/>
          <w:rtl/>
        </w:rPr>
        <w:t xml:space="preserve">התבטא </w:t>
      </w:r>
      <w:bookmarkStart w:id="40214" w:name="_ETM_Q74_714150"/>
      <w:bookmarkEnd w:id="40214"/>
      <w:r>
        <w:rPr>
          <w:rFonts w:hint="cs"/>
          <w:rtl/>
        </w:rPr>
        <w:t xml:space="preserve">בדיון </w:t>
      </w:r>
      <w:bookmarkStart w:id="40215" w:name="_ETM_Q74_715500"/>
      <w:bookmarkEnd w:id="40215"/>
      <w:r>
        <w:rPr>
          <w:rFonts w:hint="cs"/>
          <w:rtl/>
        </w:rPr>
        <w:t xml:space="preserve">בוועדה </w:t>
      </w:r>
      <w:bookmarkStart w:id="40216" w:name="_ETM_Q74_716130"/>
      <w:bookmarkEnd w:id="40216"/>
      <w:r>
        <w:rPr>
          <w:rFonts w:hint="cs"/>
          <w:rtl/>
        </w:rPr>
        <w:t xml:space="preserve">באופן </w:t>
      </w:r>
      <w:bookmarkStart w:id="40217" w:name="_ETM_Q74_716610"/>
      <w:bookmarkEnd w:id="40217"/>
      <w:r>
        <w:rPr>
          <w:rFonts w:hint="cs"/>
          <w:rtl/>
        </w:rPr>
        <w:t xml:space="preserve">מאוד </w:t>
      </w:r>
      <w:bookmarkStart w:id="40218" w:name="_ETM_Q74_717000"/>
      <w:bookmarkEnd w:id="40218"/>
      <w:r>
        <w:rPr>
          <w:rFonts w:hint="cs"/>
          <w:rtl/>
        </w:rPr>
        <w:t xml:space="preserve">חד </w:t>
      </w:r>
      <w:bookmarkStart w:id="40219" w:name="_ETM_Q74_717300"/>
      <w:bookmarkEnd w:id="40219"/>
      <w:r>
        <w:rPr>
          <w:rFonts w:hint="cs"/>
          <w:rtl/>
        </w:rPr>
        <w:t xml:space="preserve">וברור. </w:t>
      </w:r>
      <w:bookmarkStart w:id="40220" w:name="_ETM_Q74_719470"/>
      <w:bookmarkEnd w:id="40220"/>
      <w:r>
        <w:rPr>
          <w:rFonts w:hint="cs"/>
          <w:rtl/>
        </w:rPr>
        <w:t xml:space="preserve">שאלנו </w:t>
      </w:r>
      <w:bookmarkStart w:id="40221" w:name="_ETM_Q74_719890"/>
      <w:bookmarkEnd w:id="40221"/>
      <w:r>
        <w:rPr>
          <w:rFonts w:hint="cs"/>
          <w:rtl/>
        </w:rPr>
        <w:t xml:space="preserve">אותו </w:t>
      </w:r>
      <w:bookmarkStart w:id="40222" w:name="_ETM_Q74_720100"/>
      <w:bookmarkEnd w:id="40222"/>
      <w:r>
        <w:rPr>
          <w:rFonts w:hint="cs"/>
          <w:rtl/>
        </w:rPr>
        <w:t xml:space="preserve">מה </w:t>
      </w:r>
      <w:bookmarkStart w:id="40223" w:name="_ETM_Q74_720370"/>
      <w:bookmarkEnd w:id="40223"/>
      <w:r>
        <w:rPr>
          <w:rFonts w:hint="cs"/>
          <w:rtl/>
        </w:rPr>
        <w:t xml:space="preserve">הוא </w:t>
      </w:r>
      <w:bookmarkStart w:id="40224" w:name="_ETM_Q74_720429"/>
      <w:bookmarkEnd w:id="40224"/>
      <w:r>
        <w:rPr>
          <w:rFonts w:hint="cs"/>
          <w:rtl/>
        </w:rPr>
        <w:t xml:space="preserve">חושב </w:t>
      </w:r>
      <w:bookmarkStart w:id="40225" w:name="_ETM_Q74_720760"/>
      <w:bookmarkEnd w:id="40225"/>
      <w:r>
        <w:rPr>
          <w:rFonts w:hint="cs"/>
          <w:rtl/>
        </w:rPr>
        <w:t xml:space="preserve">על </w:t>
      </w:r>
      <w:bookmarkStart w:id="40226" w:name="_ETM_Q74_720880"/>
      <w:bookmarkEnd w:id="40226"/>
      <w:r>
        <w:rPr>
          <w:rFonts w:hint="cs"/>
          <w:rtl/>
        </w:rPr>
        <w:t xml:space="preserve">החוק. </w:t>
      </w:r>
      <w:bookmarkStart w:id="40227" w:name="_ETM_Q74_721209"/>
      <w:bookmarkEnd w:id="40227"/>
      <w:r>
        <w:rPr>
          <w:rFonts w:hint="cs"/>
          <w:rtl/>
        </w:rPr>
        <w:t xml:space="preserve">לדעתי, </w:t>
      </w:r>
      <w:bookmarkStart w:id="40228" w:name="_ETM_Q74_721630"/>
      <w:bookmarkEnd w:id="40228"/>
      <w:r>
        <w:rPr>
          <w:rFonts w:hint="cs"/>
          <w:rtl/>
        </w:rPr>
        <w:t xml:space="preserve">חבר </w:t>
      </w:r>
      <w:bookmarkStart w:id="40229" w:name="_ETM_Q74_721840"/>
      <w:bookmarkEnd w:id="40229"/>
      <w:r>
        <w:rPr>
          <w:rFonts w:hint="cs"/>
          <w:rtl/>
        </w:rPr>
        <w:t xml:space="preserve">כנסת </w:t>
      </w:r>
      <w:bookmarkStart w:id="40230" w:name="_ETM_Q74_723120"/>
      <w:bookmarkEnd w:id="40230"/>
      <w:r>
        <w:rPr>
          <w:rFonts w:hint="cs"/>
          <w:rtl/>
        </w:rPr>
        <w:t xml:space="preserve">יואב </w:t>
      </w:r>
      <w:bookmarkStart w:id="40231" w:name="_ETM_Q74_723419"/>
      <w:bookmarkEnd w:id="40231"/>
      <w:r>
        <w:rPr>
          <w:rFonts w:hint="cs"/>
          <w:rtl/>
        </w:rPr>
        <w:t xml:space="preserve">סגלוביץ' </w:t>
      </w:r>
      <w:bookmarkStart w:id="40232" w:name="_ETM_Q74_724049"/>
      <w:bookmarkEnd w:id="40232"/>
      <w:r>
        <w:rPr>
          <w:rFonts w:hint="cs"/>
          <w:rtl/>
        </w:rPr>
        <w:t xml:space="preserve">שאל </w:t>
      </w:r>
      <w:bookmarkStart w:id="40233" w:name="_ETM_Q74_724260"/>
      <w:bookmarkEnd w:id="40233"/>
      <w:r>
        <w:rPr>
          <w:rFonts w:hint="cs"/>
          <w:rtl/>
        </w:rPr>
        <w:t xml:space="preserve">אותו </w:t>
      </w:r>
      <w:bookmarkStart w:id="40234" w:name="_ETM_Q74_724769"/>
      <w:bookmarkEnd w:id="40234"/>
      <w:r>
        <w:rPr>
          <w:rFonts w:hint="cs"/>
          <w:rtl/>
        </w:rPr>
        <w:t xml:space="preserve">מה </w:t>
      </w:r>
      <w:bookmarkStart w:id="40235" w:name="_ETM_Q74_725010"/>
      <w:bookmarkEnd w:id="40235"/>
      <w:r>
        <w:rPr>
          <w:rFonts w:hint="cs"/>
          <w:rtl/>
        </w:rPr>
        <w:t xml:space="preserve">הוא </w:t>
      </w:r>
      <w:bookmarkStart w:id="40236" w:name="_ETM_Q74_725040"/>
      <w:bookmarkEnd w:id="40236"/>
      <w:r>
        <w:rPr>
          <w:rFonts w:hint="cs"/>
          <w:rtl/>
        </w:rPr>
        <w:t xml:space="preserve">חושב </w:t>
      </w:r>
      <w:bookmarkStart w:id="40237" w:name="_ETM_Q74_725429"/>
      <w:bookmarkEnd w:id="40237"/>
      <w:r>
        <w:rPr>
          <w:rFonts w:hint="cs"/>
          <w:rtl/>
        </w:rPr>
        <w:t xml:space="preserve">על </w:t>
      </w:r>
      <w:bookmarkStart w:id="40238" w:name="_ETM_Q74_725519"/>
      <w:bookmarkEnd w:id="40238"/>
      <w:r>
        <w:rPr>
          <w:rFonts w:hint="cs"/>
          <w:rtl/>
        </w:rPr>
        <w:t xml:space="preserve">הצעת </w:t>
      </w:r>
      <w:bookmarkStart w:id="40239" w:name="_ETM_Q74_725819"/>
      <w:bookmarkEnd w:id="40239"/>
      <w:r>
        <w:rPr>
          <w:rFonts w:hint="cs"/>
          <w:rtl/>
        </w:rPr>
        <w:t xml:space="preserve">החוק. </w:t>
      </w:r>
      <w:bookmarkStart w:id="40240" w:name="_ETM_Q74_727069"/>
      <w:bookmarkEnd w:id="40240"/>
      <w:r>
        <w:rPr>
          <w:rFonts w:hint="cs"/>
          <w:rtl/>
        </w:rPr>
        <w:t xml:space="preserve">פרופ' </w:t>
      </w:r>
      <w:bookmarkStart w:id="40241" w:name="_ETM_Q74_727670"/>
      <w:bookmarkEnd w:id="40241"/>
      <w:r>
        <w:rPr>
          <w:rFonts w:hint="cs"/>
          <w:rtl/>
        </w:rPr>
        <w:t xml:space="preserve">אלבשן </w:t>
      </w:r>
      <w:bookmarkStart w:id="40242" w:name="_ETM_Q74_728480"/>
      <w:bookmarkEnd w:id="40242"/>
      <w:r>
        <w:rPr>
          <w:rFonts w:hint="cs"/>
          <w:rtl/>
        </w:rPr>
        <w:t xml:space="preserve">אמר </w:t>
      </w:r>
      <w:bookmarkStart w:id="40243" w:name="_ETM_Q74_728959"/>
      <w:bookmarkEnd w:id="40243"/>
      <w:r>
        <w:rPr>
          <w:rFonts w:hint="cs"/>
          <w:rtl/>
        </w:rPr>
        <w:t xml:space="preserve">ביושר </w:t>
      </w:r>
      <w:bookmarkStart w:id="40244" w:name="_ETM_Q74_729590"/>
      <w:bookmarkEnd w:id="40244"/>
      <w:r>
        <w:rPr>
          <w:rFonts w:hint="cs"/>
          <w:rtl/>
        </w:rPr>
        <w:t xml:space="preserve">כי </w:t>
      </w:r>
      <w:bookmarkStart w:id="40245" w:name="_ETM_Q74_729739"/>
      <w:bookmarkEnd w:id="40245"/>
      <w:r>
        <w:rPr>
          <w:rFonts w:hint="cs"/>
          <w:rtl/>
        </w:rPr>
        <w:t xml:space="preserve">מדובר </w:t>
      </w:r>
      <w:bookmarkStart w:id="40246" w:name="_ETM_Q74_730189"/>
      <w:bookmarkEnd w:id="40246"/>
      <w:r>
        <w:rPr>
          <w:rFonts w:hint="cs"/>
          <w:rtl/>
        </w:rPr>
        <w:t xml:space="preserve">בחוק </w:t>
      </w:r>
      <w:bookmarkStart w:id="40247" w:name="_ETM_Q74_731030"/>
      <w:bookmarkEnd w:id="40247"/>
      <w:r>
        <w:rPr>
          <w:rFonts w:hint="cs"/>
          <w:rtl/>
        </w:rPr>
        <w:t xml:space="preserve">לא </w:t>
      </w:r>
      <w:bookmarkStart w:id="40248" w:name="_ETM_Q74_731450"/>
      <w:bookmarkEnd w:id="40248"/>
      <w:r>
        <w:rPr>
          <w:rFonts w:hint="cs"/>
          <w:rtl/>
        </w:rPr>
        <w:t xml:space="preserve">ראוי </w:t>
      </w:r>
      <w:bookmarkStart w:id="40249" w:name="_ETM_Q74_733610"/>
      <w:bookmarkEnd w:id="40249"/>
      <w:r>
        <w:rPr>
          <w:rFonts w:hint="cs"/>
          <w:rtl/>
        </w:rPr>
        <w:t xml:space="preserve">מאוד, </w:t>
      </w:r>
      <w:bookmarkStart w:id="40250" w:name="_ETM_Q74_734239"/>
      <w:bookmarkEnd w:id="40250"/>
      <w:r>
        <w:rPr>
          <w:rFonts w:hint="cs"/>
          <w:rtl/>
        </w:rPr>
        <w:t xml:space="preserve">חד </w:t>
      </w:r>
      <w:bookmarkStart w:id="40251" w:name="_ETM_Q74_734659"/>
      <w:bookmarkEnd w:id="40251"/>
      <w:r>
        <w:rPr>
          <w:rFonts w:hint="cs"/>
          <w:rtl/>
        </w:rPr>
        <w:t xml:space="preserve">וברור. </w:t>
      </w:r>
      <w:bookmarkStart w:id="40252" w:name="_ETM_Q74_735290"/>
      <w:bookmarkEnd w:id="40252"/>
      <w:r>
        <w:rPr>
          <w:rFonts w:hint="cs"/>
          <w:rtl/>
        </w:rPr>
        <w:t xml:space="preserve">זה </w:t>
      </w:r>
      <w:bookmarkStart w:id="40253" w:name="_ETM_Q74_735650"/>
      <w:bookmarkEnd w:id="40253"/>
      <w:r>
        <w:rPr>
          <w:rFonts w:hint="cs"/>
          <w:rtl/>
        </w:rPr>
        <w:t xml:space="preserve">חוק </w:t>
      </w:r>
      <w:bookmarkStart w:id="40254" w:name="_ETM_Q74_736200"/>
      <w:bookmarkEnd w:id="40254"/>
      <w:r>
        <w:rPr>
          <w:rFonts w:hint="cs"/>
          <w:rtl/>
        </w:rPr>
        <w:t xml:space="preserve">לא </w:t>
      </w:r>
      <w:bookmarkStart w:id="40255" w:name="_ETM_Q74_736740"/>
      <w:bookmarkEnd w:id="40255"/>
      <w:r>
        <w:rPr>
          <w:rFonts w:hint="cs"/>
          <w:rtl/>
        </w:rPr>
        <w:t xml:space="preserve">ראוי. </w:t>
      </w:r>
      <w:bookmarkStart w:id="40256" w:name="_ETM_Q74_737700"/>
      <w:bookmarkEnd w:id="40256"/>
      <w:r>
        <w:rPr>
          <w:rFonts w:hint="cs"/>
          <w:rtl/>
        </w:rPr>
        <w:t xml:space="preserve">ואני </w:t>
      </w:r>
      <w:bookmarkStart w:id="40257" w:name="_ETM_Q74_738030"/>
      <w:bookmarkEnd w:id="40257"/>
      <w:r>
        <w:rPr>
          <w:rFonts w:hint="cs"/>
          <w:rtl/>
        </w:rPr>
        <w:t xml:space="preserve">מוסיף: </w:t>
      </w:r>
      <w:bookmarkStart w:id="40258" w:name="_ETM_Q74_738540"/>
      <w:bookmarkEnd w:id="40258"/>
      <w:r>
        <w:rPr>
          <w:rFonts w:hint="cs"/>
          <w:rtl/>
        </w:rPr>
        <w:t xml:space="preserve">הוא </w:t>
      </w:r>
      <w:bookmarkStart w:id="40259" w:name="_ETM_Q74_738600"/>
      <w:bookmarkEnd w:id="40259"/>
      <w:r>
        <w:rPr>
          <w:rFonts w:hint="cs"/>
          <w:rtl/>
        </w:rPr>
        <w:t xml:space="preserve">גם </w:t>
      </w:r>
      <w:bookmarkStart w:id="40260" w:name="_ETM_Q74_739570"/>
      <w:bookmarkEnd w:id="40260"/>
      <w:r>
        <w:rPr>
          <w:rFonts w:hint="cs"/>
          <w:rtl/>
        </w:rPr>
        <w:t xml:space="preserve">אנטי-דמוקרטי </w:t>
      </w:r>
      <w:bookmarkStart w:id="40261" w:name="_ETM_Q74_741400"/>
      <w:bookmarkEnd w:id="40261"/>
      <w:r>
        <w:rPr>
          <w:rFonts w:hint="cs"/>
          <w:rtl/>
        </w:rPr>
        <w:t xml:space="preserve">באופן </w:t>
      </w:r>
      <w:bookmarkStart w:id="40262" w:name="_ETM_Q74_742030"/>
      <w:bookmarkEnd w:id="40262"/>
      <w:r>
        <w:rPr>
          <w:rFonts w:hint="cs"/>
          <w:rtl/>
        </w:rPr>
        <w:t xml:space="preserve">מאוד </w:t>
      </w:r>
      <w:bookmarkStart w:id="40263" w:name="_ETM_Q74_742630"/>
      <w:bookmarkEnd w:id="40263"/>
      <w:r>
        <w:rPr>
          <w:rFonts w:hint="cs"/>
          <w:rtl/>
        </w:rPr>
        <w:t>ברור.</w:t>
      </w:r>
      <w:bookmarkStart w:id="40264" w:name="_ETM_Q74_744250"/>
      <w:bookmarkEnd w:id="40264"/>
    </w:p>
    <w:p w:rsidR="00BB59CD" w:rsidRDefault="00BB59CD" w:rsidP="00BB59CD">
      <w:pPr>
        <w:rPr>
          <w:rtl/>
        </w:rPr>
      </w:pPr>
      <w:bookmarkStart w:id="40265" w:name="_ETM_Q74_747000"/>
      <w:bookmarkEnd w:id="40265"/>
    </w:p>
    <w:p w:rsidR="00BB59CD" w:rsidRDefault="00BB59CD" w:rsidP="00BB59CD">
      <w:pPr>
        <w:rPr>
          <w:rtl/>
        </w:rPr>
      </w:pPr>
      <w:r>
        <w:rPr>
          <w:rFonts w:hint="cs"/>
          <w:rtl/>
        </w:rPr>
        <w:t xml:space="preserve">אישור </w:t>
      </w:r>
      <w:bookmarkStart w:id="40266" w:name="_ETM_Q74_744730"/>
      <w:bookmarkEnd w:id="40266"/>
      <w:r>
        <w:rPr>
          <w:rFonts w:hint="cs"/>
          <w:rtl/>
        </w:rPr>
        <w:t xml:space="preserve">הצעת </w:t>
      </w:r>
      <w:bookmarkStart w:id="40267" w:name="_ETM_Q74_745120"/>
      <w:bookmarkEnd w:id="40267"/>
      <w:r>
        <w:rPr>
          <w:rFonts w:hint="cs"/>
          <w:rtl/>
        </w:rPr>
        <w:t xml:space="preserve">החוק </w:t>
      </w:r>
      <w:bookmarkStart w:id="40268" w:name="_ETM_Q74_746100"/>
      <w:bookmarkEnd w:id="40268"/>
      <w:r>
        <w:rPr>
          <w:rFonts w:hint="cs"/>
          <w:rtl/>
        </w:rPr>
        <w:t xml:space="preserve">עלול </w:t>
      </w:r>
      <w:bookmarkStart w:id="40269" w:name="_ETM_Q74_746490"/>
      <w:bookmarkEnd w:id="40269"/>
      <w:r>
        <w:rPr>
          <w:rFonts w:hint="cs"/>
          <w:rtl/>
        </w:rPr>
        <w:t xml:space="preserve">לגרום </w:t>
      </w:r>
      <w:bookmarkStart w:id="40270" w:name="_ETM_Q74_747120"/>
      <w:bookmarkEnd w:id="40270"/>
      <w:r>
        <w:rPr>
          <w:rFonts w:hint="cs"/>
          <w:rtl/>
        </w:rPr>
        <w:t xml:space="preserve">לפגיעה </w:t>
      </w:r>
      <w:bookmarkStart w:id="40271" w:name="_ETM_Q74_747690"/>
      <w:bookmarkEnd w:id="40271"/>
      <w:r>
        <w:rPr>
          <w:rFonts w:hint="cs"/>
          <w:rtl/>
        </w:rPr>
        <w:t xml:space="preserve">חמורה </w:t>
      </w:r>
      <w:bookmarkStart w:id="40272" w:name="_ETM_Q74_748590"/>
      <w:bookmarkEnd w:id="40272"/>
      <w:r>
        <w:rPr>
          <w:rFonts w:hint="cs"/>
          <w:rtl/>
        </w:rPr>
        <w:t xml:space="preserve">באינטרס </w:t>
      </w:r>
      <w:bookmarkStart w:id="40273" w:name="_ETM_Q74_749160"/>
      <w:bookmarkEnd w:id="40273"/>
      <w:r>
        <w:rPr>
          <w:rFonts w:hint="cs"/>
          <w:rtl/>
        </w:rPr>
        <w:t xml:space="preserve">הציבורי. </w:t>
      </w:r>
      <w:bookmarkStart w:id="40274" w:name="_ETM_Q74_750120"/>
      <w:bookmarkEnd w:id="40274"/>
      <w:r>
        <w:rPr>
          <w:rFonts w:hint="cs"/>
          <w:rtl/>
        </w:rPr>
        <w:t xml:space="preserve">בין </w:t>
      </w:r>
      <w:bookmarkStart w:id="40275" w:name="_ETM_Q74_750540"/>
      <w:bookmarkEnd w:id="40275"/>
      <w:r>
        <w:rPr>
          <w:rFonts w:hint="cs"/>
          <w:rtl/>
        </w:rPr>
        <w:t xml:space="preserve">היתר, </w:t>
      </w:r>
      <w:bookmarkStart w:id="40276" w:name="_ETM_Q74_751870"/>
      <w:bookmarkEnd w:id="40276"/>
      <w:r>
        <w:rPr>
          <w:rFonts w:hint="cs"/>
          <w:rtl/>
        </w:rPr>
        <w:t xml:space="preserve">הצעת </w:t>
      </w:r>
      <w:bookmarkStart w:id="40277" w:name="_ETM_Q74_752259"/>
      <w:bookmarkEnd w:id="40277"/>
      <w:r>
        <w:rPr>
          <w:rFonts w:hint="cs"/>
          <w:rtl/>
        </w:rPr>
        <w:t xml:space="preserve">החוק </w:t>
      </w:r>
      <w:bookmarkStart w:id="40278" w:name="_ETM_Q74_752770"/>
      <w:bookmarkEnd w:id="40278"/>
      <w:r>
        <w:rPr>
          <w:rFonts w:hint="cs"/>
          <w:rtl/>
        </w:rPr>
        <w:t xml:space="preserve">עלולה </w:t>
      </w:r>
      <w:bookmarkStart w:id="40279" w:name="_ETM_Q74_753189"/>
      <w:bookmarkEnd w:id="40279"/>
      <w:r>
        <w:rPr>
          <w:rFonts w:hint="cs"/>
          <w:rtl/>
        </w:rPr>
        <w:t xml:space="preserve">למנוע </w:t>
      </w:r>
      <w:bookmarkStart w:id="40280" w:name="_ETM_Q74_753639"/>
      <w:bookmarkEnd w:id="40280"/>
      <w:r>
        <w:rPr>
          <w:rFonts w:hint="cs"/>
          <w:rtl/>
        </w:rPr>
        <w:t xml:space="preserve">את </w:t>
      </w:r>
      <w:bookmarkStart w:id="40281" w:name="_ETM_Q74_753759"/>
      <w:bookmarkEnd w:id="40281"/>
      <w:r>
        <w:rPr>
          <w:rFonts w:hint="cs"/>
          <w:rtl/>
        </w:rPr>
        <w:t xml:space="preserve">החלת </w:t>
      </w:r>
      <w:bookmarkStart w:id="40282" w:name="_ETM_Q74_754150"/>
      <w:bookmarkEnd w:id="40282"/>
      <w:r>
        <w:rPr>
          <w:rFonts w:hint="cs"/>
          <w:rtl/>
        </w:rPr>
        <w:t xml:space="preserve">הביקורת </w:t>
      </w:r>
      <w:bookmarkStart w:id="40283" w:name="_ETM_Q74_754569"/>
      <w:bookmarkEnd w:id="40283"/>
      <w:r>
        <w:rPr>
          <w:rFonts w:hint="cs"/>
          <w:rtl/>
        </w:rPr>
        <w:t xml:space="preserve">השיפוטית </w:t>
      </w:r>
      <w:bookmarkStart w:id="40284" w:name="_ETM_Q74_756039"/>
      <w:bookmarkEnd w:id="40284"/>
      <w:r>
        <w:rPr>
          <w:rFonts w:hint="cs"/>
          <w:rtl/>
        </w:rPr>
        <w:t xml:space="preserve">במקרים </w:t>
      </w:r>
      <w:bookmarkStart w:id="40285" w:name="_ETM_Q74_756610"/>
      <w:bookmarkEnd w:id="40285"/>
      <w:r>
        <w:rPr>
          <w:rFonts w:hint="cs"/>
          <w:rtl/>
        </w:rPr>
        <w:t xml:space="preserve">של </w:t>
      </w:r>
      <w:bookmarkStart w:id="40286" w:name="_ETM_Q74_756879"/>
      <w:bookmarkEnd w:id="40286"/>
      <w:r>
        <w:rPr>
          <w:rFonts w:hint="cs"/>
          <w:rtl/>
        </w:rPr>
        <w:t xml:space="preserve">סטייה </w:t>
      </w:r>
      <w:bookmarkStart w:id="40287" w:name="_ETM_Q74_758099"/>
      <w:bookmarkEnd w:id="40287"/>
      <w:r>
        <w:rPr>
          <w:rFonts w:hint="cs"/>
          <w:rtl/>
        </w:rPr>
        <w:t xml:space="preserve">של </w:t>
      </w:r>
      <w:bookmarkStart w:id="40288" w:name="_ETM_Q74_758309"/>
      <w:bookmarkEnd w:id="40288"/>
      <w:r>
        <w:rPr>
          <w:rFonts w:hint="cs"/>
          <w:rtl/>
        </w:rPr>
        <w:t xml:space="preserve">הממשלה </w:t>
      </w:r>
      <w:bookmarkStart w:id="40289" w:name="_ETM_Q74_758789"/>
      <w:bookmarkEnd w:id="40289"/>
      <w:r>
        <w:rPr>
          <w:rFonts w:hint="cs"/>
          <w:rtl/>
        </w:rPr>
        <w:t xml:space="preserve">מהמדיניות </w:t>
      </w:r>
      <w:bookmarkStart w:id="40290" w:name="_ETM_Q74_759690"/>
      <w:bookmarkEnd w:id="40290"/>
      <w:r>
        <w:rPr>
          <w:rFonts w:hint="cs"/>
          <w:rtl/>
        </w:rPr>
        <w:t xml:space="preserve">שהיא </w:t>
      </w:r>
      <w:bookmarkStart w:id="40291" w:name="_ETM_Q74_759900"/>
      <w:bookmarkEnd w:id="40291"/>
      <w:r>
        <w:rPr>
          <w:rFonts w:hint="cs"/>
          <w:rtl/>
        </w:rPr>
        <w:t xml:space="preserve">עצמה </w:t>
      </w:r>
      <w:bookmarkStart w:id="40292" w:name="_ETM_Q74_760229"/>
      <w:bookmarkEnd w:id="40292"/>
      <w:r>
        <w:rPr>
          <w:rFonts w:hint="cs"/>
          <w:rtl/>
        </w:rPr>
        <w:t xml:space="preserve">קבעה, </w:t>
      </w:r>
      <w:bookmarkStart w:id="40293" w:name="_ETM_Q74_761449"/>
      <w:bookmarkEnd w:id="40293"/>
      <w:r>
        <w:rPr>
          <w:rFonts w:hint="cs"/>
          <w:rtl/>
        </w:rPr>
        <w:t xml:space="preserve">או </w:t>
      </w:r>
      <w:bookmarkStart w:id="40294" w:name="_ETM_Q74_761630"/>
      <w:bookmarkEnd w:id="40294"/>
      <w:r>
        <w:rPr>
          <w:rFonts w:hint="cs"/>
          <w:rtl/>
        </w:rPr>
        <w:t xml:space="preserve">ממדיניותו </w:t>
      </w:r>
      <w:bookmarkStart w:id="40295" w:name="_ETM_Q74_762260"/>
      <w:bookmarkEnd w:id="40295"/>
      <w:r>
        <w:rPr>
          <w:rFonts w:hint="cs"/>
          <w:rtl/>
        </w:rPr>
        <w:t xml:space="preserve">של </w:t>
      </w:r>
      <w:bookmarkStart w:id="40296" w:name="_ETM_Q74_762500"/>
      <w:bookmarkEnd w:id="40296"/>
      <w:r>
        <w:rPr>
          <w:rFonts w:hint="cs"/>
          <w:rtl/>
        </w:rPr>
        <w:t xml:space="preserve">השר </w:t>
      </w:r>
      <w:bookmarkStart w:id="40297" w:name="_ETM_Q74_762830"/>
      <w:bookmarkEnd w:id="40297"/>
      <w:r>
        <w:rPr>
          <w:rFonts w:hint="cs"/>
          <w:rtl/>
        </w:rPr>
        <w:t>בממשלה.</w:t>
      </w:r>
      <w:bookmarkStart w:id="40298" w:name="TOR_Q75"/>
      <w:bookmarkEnd w:id="40298"/>
      <w:r>
        <w:rPr>
          <w:rFonts w:hint="cs"/>
          <w:rtl/>
        </w:rPr>
        <w:t xml:space="preserve"> הצעת החוק עלולה למנוע את האפשרות לדרוש מהממשלה להצדיק את החלטתה על יסוד </w:t>
      </w:r>
      <w:bookmarkStart w:id="40299" w:name="_ETM_Q75_172087"/>
      <w:bookmarkEnd w:id="40299"/>
      <w:r>
        <w:rPr>
          <w:rFonts w:hint="cs"/>
          <w:rtl/>
        </w:rPr>
        <w:t xml:space="preserve">שיקולים ענייניים במצב שבו מתעורר חשד כבד להפרה של </w:t>
      </w:r>
      <w:bookmarkStart w:id="40300" w:name="_ETM_Q75_182319"/>
      <w:bookmarkEnd w:id="40300"/>
      <w:r>
        <w:rPr>
          <w:rFonts w:hint="cs"/>
          <w:rtl/>
        </w:rPr>
        <w:t xml:space="preserve">הכללים המקובלים. </w:t>
      </w:r>
      <w:bookmarkStart w:id="40301" w:name="_ETM_Q75_184504"/>
      <w:bookmarkStart w:id="40302" w:name="_ETM_Q75_184610"/>
      <w:bookmarkStart w:id="40303" w:name="_ETM_Q75_184648"/>
      <w:bookmarkStart w:id="40304" w:name="_ETM_Q75_184735"/>
      <w:bookmarkEnd w:id="40301"/>
      <w:bookmarkEnd w:id="40302"/>
      <w:bookmarkEnd w:id="40303"/>
      <w:bookmarkEnd w:id="40304"/>
      <w:r>
        <w:rPr>
          <w:rFonts w:hint="cs"/>
          <w:rtl/>
        </w:rPr>
        <w:t xml:space="preserve">בנסיבות שנוצרו, חקיקה חפוזה של הכנסת </w:t>
      </w:r>
      <w:bookmarkStart w:id="40305" w:name="_ETM_Q75_186728"/>
      <w:bookmarkEnd w:id="40305"/>
      <w:r>
        <w:rPr>
          <w:rFonts w:hint="cs"/>
          <w:rtl/>
        </w:rPr>
        <w:t xml:space="preserve">שמעניקה פטור לממשלה ולשרים מעילת הסבירות מעוררת חשש ממשי כי </w:t>
      </w:r>
      <w:bookmarkStart w:id="40306" w:name="_ETM_Q75_195679"/>
      <w:bookmarkEnd w:id="40306"/>
      <w:r>
        <w:rPr>
          <w:rFonts w:hint="cs"/>
          <w:rtl/>
        </w:rPr>
        <w:t xml:space="preserve">תכליתה לחלוטין פסולה: מתן פטור לממשלה מביקורת שיפוטית. </w:t>
      </w:r>
      <w:bookmarkStart w:id="40307" w:name="_ETM_Q75_203029"/>
      <w:bookmarkEnd w:id="40307"/>
      <w:r>
        <w:rPr>
          <w:rFonts w:hint="cs"/>
          <w:rtl/>
        </w:rPr>
        <w:t xml:space="preserve">אני לא חושב שצריך להרחיב על הסכנות של המהלך הזה. </w:t>
      </w:r>
      <w:bookmarkStart w:id="40308" w:name="_ETM_Q75_208789"/>
      <w:bookmarkEnd w:id="40308"/>
    </w:p>
    <w:p w:rsidR="00BB59CD" w:rsidRDefault="00BB59CD" w:rsidP="00BB59CD">
      <w:pPr>
        <w:rPr>
          <w:rtl/>
        </w:rPr>
      </w:pPr>
      <w:bookmarkStart w:id="40309" w:name="_ETM_Q75_209053"/>
      <w:bookmarkStart w:id="40310" w:name="_ETM_Q75_209134"/>
      <w:bookmarkEnd w:id="40309"/>
      <w:bookmarkEnd w:id="40310"/>
    </w:p>
    <w:p w:rsidR="00BB59CD" w:rsidRDefault="00BB59CD" w:rsidP="00BB59CD">
      <w:pPr>
        <w:rPr>
          <w:rtl/>
        </w:rPr>
      </w:pPr>
      <w:bookmarkStart w:id="40311" w:name="_ETM_Q75_209245"/>
      <w:bookmarkStart w:id="40312" w:name="_ETM_Q75_209328"/>
      <w:bookmarkEnd w:id="40311"/>
      <w:bookmarkEnd w:id="40312"/>
      <w:r>
        <w:rPr>
          <w:rFonts w:hint="cs"/>
          <w:rtl/>
        </w:rPr>
        <w:t xml:space="preserve">עוד נקודה מרכזית שאני רוצה לציין: מבחינה פרקטית </w:t>
      </w:r>
      <w:bookmarkStart w:id="40313" w:name="_ETM_Q75_214898"/>
      <w:bookmarkEnd w:id="40313"/>
      <w:r>
        <w:rPr>
          <w:rFonts w:hint="cs"/>
          <w:rtl/>
        </w:rPr>
        <w:t xml:space="preserve">ההבחנה בין הדרג המקצועי לבין הממשלה והשרים היא מאוד </w:t>
      </w:r>
      <w:bookmarkStart w:id="40314" w:name="_ETM_Q75_222530"/>
      <w:bookmarkEnd w:id="40314"/>
      <w:r>
        <w:rPr>
          <w:rFonts w:hint="cs"/>
          <w:rtl/>
        </w:rPr>
        <w:t xml:space="preserve">בעייתית בעיניי. מעשית, הממשלה יכולה לחסן את ההחלטות </w:t>
      </w:r>
      <w:bookmarkStart w:id="40315" w:name="_ETM_Q75_227648"/>
      <w:bookmarkEnd w:id="40315"/>
      <w:r>
        <w:rPr>
          <w:rFonts w:hint="cs"/>
          <w:rtl/>
        </w:rPr>
        <w:t xml:space="preserve">של הדרג המקצועי מפני הביקורת השיפוטית על בסיס עילת האי-סבירות </w:t>
      </w:r>
      <w:bookmarkStart w:id="40316" w:name="_ETM_Q75_233255"/>
      <w:bookmarkEnd w:id="40316"/>
      <w:r>
        <w:rPr>
          <w:rFonts w:hint="cs"/>
          <w:rtl/>
        </w:rPr>
        <w:t xml:space="preserve">על ידי אישור – שימו לב – של כל החלטה </w:t>
      </w:r>
      <w:bookmarkStart w:id="40317" w:name="_ETM_Q75_235818"/>
      <w:bookmarkEnd w:id="40317"/>
      <w:r>
        <w:rPr>
          <w:rFonts w:hint="cs"/>
          <w:rtl/>
        </w:rPr>
        <w:t xml:space="preserve">מקצועית על ידי גוף נבחר, כמו שר </w:t>
      </w:r>
      <w:bookmarkStart w:id="40318" w:name="_ETM_Q75_239215"/>
      <w:bookmarkEnd w:id="40318"/>
      <w:r>
        <w:rPr>
          <w:rFonts w:hint="cs"/>
          <w:rtl/>
        </w:rPr>
        <w:t xml:space="preserve">או הממשלה עצמה. </w:t>
      </w:r>
      <w:bookmarkStart w:id="40319" w:name="_ETM_Q75_242407"/>
      <w:bookmarkStart w:id="40320" w:name="_ETM_Q75_242471"/>
      <w:bookmarkStart w:id="40321" w:name="_ETM_Q75_242575"/>
      <w:bookmarkStart w:id="40322" w:name="_ETM_Q75_242651"/>
      <w:bookmarkEnd w:id="40319"/>
      <w:bookmarkEnd w:id="40320"/>
      <w:bookmarkEnd w:id="40321"/>
      <w:bookmarkEnd w:id="40322"/>
      <w:r>
        <w:rPr>
          <w:rFonts w:hint="cs"/>
          <w:rtl/>
        </w:rPr>
        <w:t xml:space="preserve">זה עלול להביא להחלשה נוספת של הביקורת </w:t>
      </w:r>
      <w:bookmarkStart w:id="40323" w:name="_ETM_Q75_244216"/>
      <w:bookmarkEnd w:id="40323"/>
      <w:r>
        <w:rPr>
          <w:rFonts w:hint="cs"/>
          <w:rtl/>
        </w:rPr>
        <w:t xml:space="preserve">השיפוטית על כלל רשויות המינהל. </w:t>
      </w:r>
    </w:p>
    <w:p w:rsidR="00BB59CD" w:rsidRDefault="00BB59CD" w:rsidP="00BB59CD">
      <w:pPr>
        <w:rPr>
          <w:rtl/>
        </w:rPr>
      </w:pPr>
      <w:bookmarkStart w:id="40324" w:name="_ETM_Q75_251367"/>
      <w:bookmarkStart w:id="40325" w:name="_ETM_Q75_251439"/>
      <w:bookmarkEnd w:id="40324"/>
      <w:bookmarkEnd w:id="40325"/>
    </w:p>
    <w:p w:rsidR="00BB59CD" w:rsidRDefault="00BB59CD" w:rsidP="008E2003">
      <w:pPr>
        <w:rPr>
          <w:rtl/>
        </w:rPr>
      </w:pPr>
      <w:bookmarkStart w:id="40326" w:name="_ETM_Q75_251512"/>
      <w:bookmarkStart w:id="40327" w:name="_ETM_Q75_251591"/>
      <w:bookmarkEnd w:id="40326"/>
      <w:bookmarkEnd w:id="40327"/>
      <w:r>
        <w:rPr>
          <w:rFonts w:hint="cs"/>
          <w:rtl/>
        </w:rPr>
        <w:t xml:space="preserve">והנקודה האחרונה שאני רוצה </w:t>
      </w:r>
      <w:bookmarkStart w:id="40328" w:name="_ETM_Q75_249100"/>
      <w:bookmarkEnd w:id="40328"/>
      <w:r>
        <w:rPr>
          <w:rFonts w:hint="cs"/>
          <w:rtl/>
        </w:rPr>
        <w:t xml:space="preserve">לציין בהקשר הזה: אישור חוק ביטל </w:t>
      </w:r>
      <w:bookmarkStart w:id="40329" w:name="_ETM_Q75_255267"/>
      <w:bookmarkEnd w:id="40329"/>
      <w:r>
        <w:rPr>
          <w:rFonts w:hint="cs"/>
          <w:rtl/>
        </w:rPr>
        <w:t xml:space="preserve">עילת הסבירות בקולות הקואליציה בלבד על רקע קיומה של מחלוקת ציבורית רחבה, מבלי שהתקיימו הליכים מקצועיים לבירור הצורך </w:t>
      </w:r>
      <w:bookmarkStart w:id="40330" w:name="_ETM_Q75_264443"/>
      <w:bookmarkEnd w:id="40330"/>
      <w:r>
        <w:rPr>
          <w:rFonts w:hint="cs"/>
          <w:rtl/>
        </w:rPr>
        <w:t xml:space="preserve">בחקיקה והאופן שבו יש להסדיר את הפעלת שיקול הדעת המינהלי </w:t>
      </w:r>
      <w:bookmarkStart w:id="40331" w:name="_ETM_Q75_273907"/>
      <w:bookmarkEnd w:id="40331"/>
      <w:r>
        <w:rPr>
          <w:rFonts w:hint="cs"/>
          <w:rtl/>
        </w:rPr>
        <w:t xml:space="preserve">והביקורת השיפוטית עליו, מבסס חשד שכל תכליתו של החוק הוא לתת לממשלה ולשרים להחליט באופן חופשי </w:t>
      </w:r>
      <w:bookmarkStart w:id="40332" w:name="_ETM_Q75_286299"/>
      <w:bookmarkEnd w:id="40332"/>
      <w:r>
        <w:rPr>
          <w:rFonts w:hint="cs"/>
          <w:rtl/>
        </w:rPr>
        <w:t>החלטות שמתעלמות מן האינטרס הציבורי ומקדמות אינטרסים זרים, פסולים ואף מ</w:t>
      </w:r>
      <w:bookmarkStart w:id="40333" w:name="_ETM_Q75_293330"/>
      <w:bookmarkEnd w:id="40333"/>
      <w:r>
        <w:rPr>
          <w:rFonts w:hint="cs"/>
          <w:rtl/>
        </w:rPr>
        <w:t xml:space="preserve">ושחתים. </w:t>
      </w:r>
    </w:p>
    <w:p w:rsidR="00BB59CD" w:rsidRDefault="00BB59CD" w:rsidP="00BB59CD">
      <w:pPr>
        <w:rPr>
          <w:rtl/>
        </w:rPr>
      </w:pPr>
      <w:bookmarkStart w:id="40334" w:name="_ETM_Q75_295685"/>
      <w:bookmarkStart w:id="40335" w:name="_ETM_Q75_295766"/>
      <w:bookmarkEnd w:id="40334"/>
      <w:bookmarkEnd w:id="40335"/>
    </w:p>
    <w:p w:rsidR="00BB59CD" w:rsidRDefault="00BB59CD" w:rsidP="00BB59CD">
      <w:pPr>
        <w:rPr>
          <w:rtl/>
        </w:rPr>
      </w:pPr>
      <w:bookmarkStart w:id="40336" w:name="_ETM_Q75_295876"/>
      <w:bookmarkStart w:id="40337" w:name="_ETM_Q75_295959"/>
      <w:bookmarkEnd w:id="40336"/>
      <w:bookmarkEnd w:id="40337"/>
      <w:r>
        <w:rPr>
          <w:rFonts w:hint="cs"/>
          <w:rtl/>
        </w:rPr>
        <w:t xml:space="preserve">המאבק הבאמת-הירואי שאנו רואים כאן </w:t>
      </w:r>
      <w:bookmarkStart w:id="40338" w:name="_ETM_Q75_303786"/>
      <w:bookmarkEnd w:id="40338"/>
      <w:r>
        <w:rPr>
          <w:rFonts w:hint="cs"/>
          <w:rtl/>
        </w:rPr>
        <w:t xml:space="preserve">כמעט ב-30 השבועות האחרונים – מאות אלפי אנשים – ללא ספק יירשם בספרי ההיסטוריה. אני חיפשתי לאחרונה אם יש תקדים </w:t>
      </w:r>
      <w:bookmarkStart w:id="40339" w:name="_ETM_Q75_319536"/>
      <w:bookmarkEnd w:id="40339"/>
      <w:r>
        <w:rPr>
          <w:rFonts w:hint="cs"/>
          <w:rtl/>
        </w:rPr>
        <w:t xml:space="preserve">עולמי, אם אנחנו לוקחים באופן משולב את כל מרכיבי המחאה. </w:t>
      </w:r>
      <w:bookmarkStart w:id="40340" w:name="_ETM_Q75_323317"/>
      <w:bookmarkEnd w:id="40340"/>
      <w:r>
        <w:rPr>
          <w:rFonts w:hint="cs"/>
          <w:rtl/>
        </w:rPr>
        <w:t xml:space="preserve">אני לא חושב שהיה תקדים עולמי לדבר הזה, בטח </w:t>
      </w:r>
      <w:bookmarkStart w:id="40341" w:name="_ETM_Q75_329172"/>
      <w:bookmarkEnd w:id="40341"/>
      <w:r>
        <w:rPr>
          <w:rFonts w:hint="cs"/>
          <w:rtl/>
        </w:rPr>
        <w:t xml:space="preserve">מבחינת אורך הזמן והעוצמה והחלק היחסי מהאוכלוסייה </w:t>
      </w:r>
      <w:bookmarkStart w:id="40342" w:name="_ETM_Q75_338365"/>
      <w:bookmarkEnd w:id="40342"/>
      <w:r>
        <w:rPr>
          <w:rFonts w:hint="cs"/>
          <w:rtl/>
        </w:rPr>
        <w:t xml:space="preserve">שיוצא לרחובות שבוע אחרי שבוע בכל מזג אוויר. </w:t>
      </w:r>
      <w:bookmarkStart w:id="40343" w:name="_ETM_Q75_344478"/>
      <w:bookmarkStart w:id="40344" w:name="_ETM_Q75_344571"/>
      <w:bookmarkStart w:id="40345" w:name="_ETM_Q75_344623"/>
      <w:bookmarkStart w:id="40346" w:name="_ETM_Q75_344706"/>
      <w:bookmarkEnd w:id="40343"/>
      <w:bookmarkEnd w:id="40344"/>
      <w:bookmarkEnd w:id="40345"/>
      <w:bookmarkEnd w:id="40346"/>
      <w:r>
        <w:rPr>
          <w:rFonts w:hint="cs"/>
          <w:rtl/>
        </w:rPr>
        <w:t>ישראלים פטריוטים בכל הגילים, מכל רחבי הארץ, מכל העדות, יוצאים לרחובות</w:t>
      </w:r>
      <w:bookmarkStart w:id="40347" w:name="_ETM_Q75_351446"/>
      <w:bookmarkEnd w:id="40347"/>
      <w:r>
        <w:rPr>
          <w:rFonts w:hint="cs"/>
          <w:rtl/>
        </w:rPr>
        <w:t xml:space="preserve">, לצמתים, לכיכרות, ומניפים בגאווה את דגל ישראל. רבים </w:t>
      </w:r>
      <w:bookmarkStart w:id="40348" w:name="_ETM_Q75_361864"/>
      <w:bookmarkEnd w:id="40348"/>
      <w:r>
        <w:rPr>
          <w:rFonts w:hint="cs"/>
          <w:rtl/>
        </w:rPr>
        <w:t xml:space="preserve">מהם השאירו מאחור את עבודתם, את המשפחות, את עיסוקם, והתמסרו למען הצלת הדמוקרטיה הישראלית. </w:t>
      </w:r>
    </w:p>
    <w:p w:rsidR="00BB59CD" w:rsidRDefault="00BB59CD" w:rsidP="00BB59CD">
      <w:pPr>
        <w:rPr>
          <w:rtl/>
        </w:rPr>
      </w:pPr>
      <w:bookmarkStart w:id="40349" w:name="_ETM_Q75_377113"/>
      <w:bookmarkStart w:id="40350" w:name="_ETM_Q75_377188"/>
      <w:bookmarkEnd w:id="40349"/>
      <w:bookmarkEnd w:id="40350"/>
    </w:p>
    <w:p w:rsidR="00BB59CD" w:rsidRDefault="00BB59CD" w:rsidP="00BB59CD">
      <w:pPr>
        <w:rPr>
          <w:rtl/>
        </w:rPr>
      </w:pPr>
      <w:bookmarkStart w:id="40351" w:name="_ETM_Q75_377257"/>
      <w:bookmarkStart w:id="40352" w:name="_ETM_Q75_377364"/>
      <w:bookmarkEnd w:id="40351"/>
      <w:bookmarkEnd w:id="40352"/>
      <w:r>
        <w:rPr>
          <w:rFonts w:hint="cs"/>
          <w:rtl/>
        </w:rPr>
        <w:t xml:space="preserve">אני הייתי איתם במהלך </w:t>
      </w:r>
      <w:bookmarkStart w:id="40353" w:name="_ETM_Q75_380930"/>
      <w:bookmarkEnd w:id="40353"/>
      <w:r>
        <w:rPr>
          <w:rFonts w:hint="cs"/>
          <w:rtl/>
        </w:rPr>
        <w:t xml:space="preserve">סוף השבוע האחרון, גם הגעתי לשורש. לקח לי ביום </w:t>
      </w:r>
      <w:bookmarkStart w:id="40354" w:name="_ETM_Q75_388586"/>
      <w:bookmarkEnd w:id="40354"/>
      <w:r>
        <w:rPr>
          <w:rFonts w:hint="cs"/>
          <w:rtl/>
        </w:rPr>
        <w:t xml:space="preserve">שישי להגיע ממודיעין לחניון שורש, 23 ק"מ, שעתיים וחצי, </w:t>
      </w:r>
      <w:bookmarkStart w:id="40355" w:name="_ETM_Q75_393892"/>
      <w:bookmarkEnd w:id="40355"/>
      <w:r>
        <w:rPr>
          <w:rFonts w:hint="cs"/>
          <w:rtl/>
        </w:rPr>
        <w:t>כולל קטע של הליכה. שעתיים וחצי. והגעתי לקבלת שבת חגיגית</w:t>
      </w:r>
      <w:bookmarkStart w:id="40356" w:name="_ETM_Q75_403035"/>
      <w:bookmarkEnd w:id="40356"/>
      <w:r>
        <w:rPr>
          <w:rFonts w:hint="cs"/>
          <w:rtl/>
        </w:rPr>
        <w:t>, עם כמויות אדירות של אנשים. בתוך כל הימים המטורפים האלה בכנסת ומחוץ לכנסת, זה היה רגע של תקוו</w:t>
      </w:r>
      <w:bookmarkStart w:id="40357" w:name="_ETM_Q75_413610"/>
      <w:bookmarkEnd w:id="40357"/>
      <w:r>
        <w:rPr>
          <w:rFonts w:hint="cs"/>
          <w:rtl/>
        </w:rPr>
        <w:t xml:space="preserve">ה, של אופטימיות, של באמת גאווה אמיתית שאני חלק מהעם הזה. </w:t>
      </w:r>
      <w:bookmarkStart w:id="40358" w:name="_ETM_Q75_420770"/>
      <w:bookmarkStart w:id="40359" w:name="_ETM_Q75_420856"/>
      <w:bookmarkStart w:id="40360" w:name="_ETM_Q75_421010"/>
      <w:bookmarkStart w:id="40361" w:name="_ETM_Q75_421087"/>
      <w:bookmarkEnd w:id="40358"/>
      <w:bookmarkEnd w:id="40359"/>
      <w:bookmarkEnd w:id="40360"/>
      <w:bookmarkEnd w:id="40361"/>
      <w:r>
        <w:rPr>
          <w:rFonts w:hint="cs"/>
          <w:rtl/>
        </w:rPr>
        <w:t xml:space="preserve">האמיצים והאמיצות הללו לאחר מכן, אתמול, המשיכו </w:t>
      </w:r>
      <w:bookmarkStart w:id="40362" w:name="_ETM_Q75_430270"/>
      <w:bookmarkEnd w:id="40362"/>
      <w:r>
        <w:rPr>
          <w:rFonts w:hint="cs"/>
          <w:rtl/>
        </w:rPr>
        <w:t xml:space="preserve">בחום של 40 מעלות כמעט, עם תרמילים על הגב, את </w:t>
      </w:r>
      <w:bookmarkStart w:id="40363" w:name="_ETM_Q75_434662"/>
      <w:bookmarkEnd w:id="40363"/>
      <w:r>
        <w:rPr>
          <w:rFonts w:hint="cs"/>
          <w:rtl/>
        </w:rPr>
        <w:t xml:space="preserve">כל הדרך לירושלים, לכנסת. זו מדינת ישראל היפה, הציונית, הפטריוטית, ואנחנו נעשה הכול כדי שישראל היהודית, </w:t>
      </w:r>
      <w:bookmarkStart w:id="40364" w:name="_ETM_Q75_451911"/>
      <w:bookmarkEnd w:id="40364"/>
      <w:r>
        <w:rPr>
          <w:rFonts w:hint="cs"/>
          <w:rtl/>
        </w:rPr>
        <w:t xml:space="preserve">הדמוקרטית והליברלית תנצח, ואנחנו לא נוותר לעולם. </w:t>
      </w:r>
    </w:p>
    <w:p w:rsidR="00BB59CD" w:rsidRDefault="00BB59CD" w:rsidP="00BB59CD">
      <w:pPr>
        <w:rPr>
          <w:rtl/>
        </w:rPr>
      </w:pPr>
      <w:bookmarkStart w:id="40365" w:name="_ETM_Q75_458419"/>
      <w:bookmarkStart w:id="40366" w:name="_ETM_Q75_458517"/>
      <w:bookmarkEnd w:id="40365"/>
      <w:bookmarkEnd w:id="40366"/>
    </w:p>
    <w:p w:rsidR="00BB59CD" w:rsidRDefault="00BB59CD" w:rsidP="008E2003">
      <w:pPr>
        <w:rPr>
          <w:rtl/>
        </w:rPr>
      </w:pPr>
      <w:bookmarkStart w:id="40367" w:name="_ETM_Q75_458564"/>
      <w:bookmarkEnd w:id="40367"/>
      <w:r>
        <w:rPr>
          <w:rFonts w:hint="cs"/>
          <w:rtl/>
        </w:rPr>
        <w:t>א</w:t>
      </w:r>
      <w:bookmarkStart w:id="40368" w:name="_ETM_Q75_458700"/>
      <w:bookmarkEnd w:id="40368"/>
      <w:r>
        <w:rPr>
          <w:rFonts w:hint="cs"/>
          <w:rtl/>
        </w:rPr>
        <w:t xml:space="preserve">ז במקום </w:t>
      </w:r>
      <w:bookmarkStart w:id="40369" w:name="_ETM_Q75_459739"/>
      <w:bookmarkEnd w:id="40369"/>
      <w:r>
        <w:rPr>
          <w:rFonts w:hint="cs"/>
          <w:rtl/>
        </w:rPr>
        <w:t xml:space="preserve">לזלזל בהם, במקום לקלל אותם, להכפיש אותם, במקום להפוך את הטייסים, אנשי 8200, אמ"ן, רופאים, עורכי דין, </w:t>
      </w:r>
      <w:bookmarkStart w:id="40370" w:name="_ETM_Q75_466760"/>
      <w:bookmarkEnd w:id="40370"/>
      <w:r>
        <w:rPr>
          <w:rFonts w:hint="cs"/>
          <w:rtl/>
        </w:rPr>
        <w:t xml:space="preserve">רואי חשבון, אנשי עסקים, עצמאים, את כל עם ישראל על כל רבדיו לאויבים, במקום להקטין אותם ולספר סיפורים הזויים על </w:t>
      </w:r>
      <w:bookmarkStart w:id="40371" w:name="_ETM_Q75_478991"/>
      <w:bookmarkEnd w:id="40371"/>
      <w:r>
        <w:rPr>
          <w:rFonts w:hint="cs"/>
          <w:rtl/>
        </w:rPr>
        <w:t>אהוד ברק ועוד כל מיני תיאוריות קונספירציה</w:t>
      </w:r>
      <w:r w:rsidR="008E2003">
        <w:rPr>
          <w:rFonts w:hint="cs"/>
          <w:rtl/>
        </w:rPr>
        <w:t>,</w:t>
      </w:r>
      <w:r>
        <w:rPr>
          <w:rFonts w:hint="cs"/>
          <w:rtl/>
        </w:rPr>
        <w:t xml:space="preserve"> שבאמת </w:t>
      </w:r>
      <w:bookmarkStart w:id="40372" w:name="_ETM_Q75_485627"/>
      <w:bookmarkEnd w:id="40372"/>
      <w:r>
        <w:rPr>
          <w:rFonts w:hint="cs"/>
          <w:rtl/>
        </w:rPr>
        <w:t>אני לא יודע מאיפה הם לוקחים אות</w:t>
      </w:r>
      <w:r w:rsidR="008E2003">
        <w:rPr>
          <w:rFonts w:hint="cs"/>
          <w:rtl/>
        </w:rPr>
        <w:t>ן</w:t>
      </w:r>
      <w:r>
        <w:rPr>
          <w:rFonts w:hint="cs"/>
          <w:rtl/>
        </w:rPr>
        <w:t xml:space="preserve"> – אתם, </w:t>
      </w:r>
      <w:bookmarkStart w:id="40373" w:name="_ETM_Q75_488400"/>
      <w:bookmarkEnd w:id="40373"/>
      <w:r>
        <w:rPr>
          <w:rFonts w:hint="cs"/>
          <w:rtl/>
        </w:rPr>
        <w:t>כל אחד מכם בקואליציה, צריך להביט לאנשים האלה בעיניים</w:t>
      </w:r>
      <w:bookmarkStart w:id="40374" w:name="_ETM_Q75_495400"/>
      <w:bookmarkEnd w:id="40374"/>
      <w:r>
        <w:rPr>
          <w:rFonts w:hint="cs"/>
          <w:rtl/>
        </w:rPr>
        <w:t xml:space="preserve">, למשפחות שלהם, לילדים שלהם. להבין את גודל השעה ואת </w:t>
      </w:r>
      <w:bookmarkStart w:id="40375" w:name="_ETM_Q75_500524"/>
      <w:bookmarkEnd w:id="40375"/>
      <w:r>
        <w:rPr>
          <w:rFonts w:hint="cs"/>
          <w:rtl/>
        </w:rPr>
        <w:t>הסכנה הלאומית שניצב</w:t>
      </w:r>
      <w:r w:rsidR="008E2003">
        <w:rPr>
          <w:rFonts w:hint="cs"/>
          <w:rtl/>
        </w:rPr>
        <w:t>ים</w:t>
      </w:r>
      <w:r>
        <w:rPr>
          <w:rFonts w:hint="cs"/>
          <w:rtl/>
        </w:rPr>
        <w:t xml:space="preserve"> מול</w:t>
      </w:r>
      <w:bookmarkStart w:id="40376" w:name="_ETM_Q75_502615"/>
      <w:bookmarkStart w:id="40377" w:name="_ETM_Q75_502706"/>
      <w:bookmarkEnd w:id="40376"/>
      <w:bookmarkEnd w:id="40377"/>
      <w:r>
        <w:rPr>
          <w:rFonts w:hint="cs"/>
          <w:rtl/>
        </w:rPr>
        <w:t xml:space="preserve">נו. </w:t>
      </w:r>
    </w:p>
    <w:p w:rsidR="00BB59CD" w:rsidRDefault="00BB59CD" w:rsidP="00BB59CD">
      <w:pPr>
        <w:rPr>
          <w:rtl/>
        </w:rPr>
      </w:pPr>
      <w:bookmarkStart w:id="40378" w:name="_ETM_Q75_504847"/>
      <w:bookmarkStart w:id="40379" w:name="_ETM_Q75_504931"/>
      <w:bookmarkEnd w:id="40378"/>
      <w:bookmarkEnd w:id="40379"/>
    </w:p>
    <w:p w:rsidR="00BB59CD" w:rsidRDefault="00BB59CD" w:rsidP="00BB59CD">
      <w:pPr>
        <w:rPr>
          <w:rtl/>
        </w:rPr>
      </w:pPr>
      <w:r>
        <w:rPr>
          <w:rFonts w:hint="cs"/>
          <w:rtl/>
        </w:rPr>
        <w:t xml:space="preserve">נשארו לי שתיים וחצי דקות ואני רוצה לומר גם משהו אישי. אני עליתי לישראל </w:t>
      </w:r>
      <w:bookmarkStart w:id="40380" w:name="_ETM_Q75_513616"/>
      <w:bookmarkEnd w:id="40380"/>
      <w:r>
        <w:rPr>
          <w:rFonts w:hint="cs"/>
          <w:rtl/>
        </w:rPr>
        <w:t>ב-16 בדצמבר 1998. אימי יהודייה, אבי לא. קוראים לי ולדימיר, ומכיוון שעליתי לארץ בגיל יחסית מבוגר, בגיל 25</w:t>
      </w:r>
      <w:bookmarkStart w:id="40381" w:name="_ETM_Q75_532321"/>
      <w:bookmarkEnd w:id="40381"/>
      <w:r>
        <w:rPr>
          <w:rFonts w:hint="cs"/>
          <w:rtl/>
        </w:rPr>
        <w:t xml:space="preserve"> וחצי, יש לי מבטא. הוא גם יישאר איתי, אני מניח. </w:t>
      </w:r>
      <w:bookmarkStart w:id="40382" w:name="_ETM_Q75_538411"/>
      <w:bookmarkEnd w:id="40382"/>
      <w:r>
        <w:rPr>
          <w:rFonts w:hint="cs"/>
          <w:rtl/>
        </w:rPr>
        <w:t xml:space="preserve">אני נולדתי וגדלתי במדינה שאיננה מדינה דמוקרטית, ללא </w:t>
      </w:r>
      <w:bookmarkStart w:id="40383" w:name="_ETM_Q75_542222"/>
      <w:bookmarkEnd w:id="40383"/>
      <w:r>
        <w:rPr>
          <w:rFonts w:hint="cs"/>
          <w:rtl/>
        </w:rPr>
        <w:t>מערכת משפט עצמאית, ללא חופש ביטוי. ולכן זה לא סוד</w:t>
      </w:r>
      <w:bookmarkStart w:id="40384" w:name="_ETM_Q75_549710"/>
      <w:bookmarkEnd w:id="40384"/>
      <w:r>
        <w:rPr>
          <w:rFonts w:hint="cs"/>
          <w:rtl/>
        </w:rPr>
        <w:t xml:space="preserve"> כי עבור חלקים מסוימים בקואליציה הנוכחית אני גוי, </w:t>
      </w:r>
      <w:bookmarkStart w:id="40385" w:name="_ETM_Q75_557458"/>
      <w:bookmarkEnd w:id="40385"/>
      <w:r>
        <w:rPr>
          <w:rFonts w:hint="cs"/>
          <w:rtl/>
        </w:rPr>
        <w:t xml:space="preserve">בולשביק, בוריס, אלכס, ישראל ביתנו, וודקה וודקה. כי בממשלה </w:t>
      </w:r>
      <w:bookmarkStart w:id="40386" w:name="_ETM_Q75_566439"/>
      <w:bookmarkEnd w:id="40386"/>
      <w:r>
        <w:rPr>
          <w:rFonts w:hint="cs"/>
          <w:rtl/>
        </w:rPr>
        <w:t xml:space="preserve">הזאת </w:t>
      </w:r>
      <w:r>
        <w:t>–</w:t>
      </w:r>
      <w:r>
        <w:rPr>
          <w:rFonts w:hint="cs"/>
          <w:rtl/>
        </w:rPr>
        <w:t xml:space="preserve"> ואני אומר את זה בצער רב – </w:t>
      </w:r>
      <w:bookmarkStart w:id="40387" w:name="_ETM_Q75_569142"/>
      <w:bookmarkEnd w:id="40387"/>
      <w:r>
        <w:rPr>
          <w:rFonts w:hint="cs"/>
          <w:rtl/>
        </w:rPr>
        <w:t xml:space="preserve">בממשלה הזאת יש שרים וחברי כנסת גזענים ששונאים עולים. הם </w:t>
      </w:r>
      <w:bookmarkStart w:id="40388" w:name="_ETM_Q75_576584"/>
      <w:bookmarkEnd w:id="40388"/>
      <w:r>
        <w:rPr>
          <w:rFonts w:hint="cs"/>
          <w:rtl/>
        </w:rPr>
        <w:t xml:space="preserve">עוד מתאפקים בדרך כלל, אבל התומכים שלהם, בעיקר ברשתות החברתיות, ממש לא. ולכן שולחים אותי לרוסיה, לפוטין, לסיביר. </w:t>
      </w:r>
      <w:bookmarkStart w:id="40389" w:name="_ETM_Q75_589817"/>
      <w:bookmarkEnd w:id="40389"/>
      <w:r>
        <w:rPr>
          <w:rFonts w:hint="cs"/>
          <w:rtl/>
        </w:rPr>
        <w:t>כי למה בעצם שגוי כמוני יחיה כאן וגם יביע את דעתו.</w:t>
      </w:r>
    </w:p>
    <w:p w:rsidR="00BB59CD" w:rsidRDefault="00BB59CD" w:rsidP="00BB59CD">
      <w:pPr>
        <w:rPr>
          <w:rtl/>
        </w:rPr>
      </w:pPr>
      <w:bookmarkStart w:id="40390" w:name="_ETM_Q75_594053"/>
      <w:bookmarkStart w:id="40391" w:name="_ETM_Q75_594152"/>
      <w:bookmarkEnd w:id="40390"/>
      <w:bookmarkEnd w:id="40391"/>
    </w:p>
    <w:p w:rsidR="00BB59CD" w:rsidRDefault="00BB59CD" w:rsidP="00BB59CD">
      <w:pPr>
        <w:rPr>
          <w:rtl/>
        </w:rPr>
      </w:pPr>
      <w:bookmarkStart w:id="40392" w:name="_ETM_Q75_594197"/>
      <w:bookmarkStart w:id="40393" w:name="_ETM_Q75_594278"/>
      <w:bookmarkEnd w:id="40392"/>
      <w:bookmarkEnd w:id="40393"/>
      <w:r>
        <w:rPr>
          <w:rFonts w:hint="cs"/>
          <w:rtl/>
        </w:rPr>
        <w:t xml:space="preserve">אז יש לי חדשות בשביל כל הגזענים האלה. אני </w:t>
      </w:r>
      <w:bookmarkStart w:id="40394" w:name="_ETM_Q75_598243"/>
      <w:bookmarkEnd w:id="40394"/>
      <w:r>
        <w:rPr>
          <w:rFonts w:hint="cs"/>
          <w:rtl/>
        </w:rPr>
        <w:t xml:space="preserve">נשאר כאן, אני ישראלי ויהודי לא פחות מכם. אתם יודעים </w:t>
      </w:r>
      <w:bookmarkStart w:id="40395" w:name="_ETM_Q75_603860"/>
      <w:bookmarkEnd w:id="40395"/>
      <w:r>
        <w:rPr>
          <w:rFonts w:hint="cs"/>
          <w:rtl/>
        </w:rPr>
        <w:t>מה? יותר מכם. כי היהדות שלי לא משניאה ולא מרחיק</w:t>
      </w:r>
      <w:bookmarkStart w:id="40396" w:name="_ETM_Q75_610343"/>
      <w:bookmarkEnd w:id="40396"/>
      <w:r>
        <w:rPr>
          <w:rFonts w:hint="cs"/>
          <w:rtl/>
        </w:rPr>
        <w:t xml:space="preserve">ה; היהדות שלי מקרבת ומסבירת פנים. אני לא חוזר </w:t>
      </w:r>
      <w:bookmarkStart w:id="40397" w:name="_ETM_Q75_617273"/>
      <w:bookmarkEnd w:id="40397"/>
      <w:r>
        <w:rPr>
          <w:rFonts w:hint="cs"/>
          <w:rtl/>
        </w:rPr>
        <w:t xml:space="preserve">לרוסיה ולא חוזר לפוטין, ולידיעתכם, עזבתי את רוסיה לפני שפוטין הפך לנשיא, אז אין לי מה לחזור </w:t>
      </w:r>
      <w:bookmarkStart w:id="40398" w:name="_ETM_Q75_628177"/>
      <w:bookmarkEnd w:id="40398"/>
      <w:r>
        <w:rPr>
          <w:rFonts w:hint="cs"/>
          <w:rtl/>
        </w:rPr>
        <w:t xml:space="preserve">לפוטין. קצת ידע בהיסטוריה. </w:t>
      </w:r>
      <w:bookmarkStart w:id="40399" w:name="_ETM_Q75_630593"/>
      <w:bookmarkStart w:id="40400" w:name="_ETM_Q75_630688"/>
      <w:bookmarkStart w:id="40401" w:name="_ETM_Q75_630761"/>
      <w:bookmarkStart w:id="40402" w:name="_ETM_Q75_630857"/>
      <w:bookmarkEnd w:id="40399"/>
      <w:bookmarkEnd w:id="40400"/>
      <w:bookmarkEnd w:id="40401"/>
      <w:bookmarkEnd w:id="40402"/>
      <w:r>
        <w:rPr>
          <w:rFonts w:hint="cs"/>
          <w:rtl/>
        </w:rPr>
        <w:t>אני נשאר כאן והילדות שלי</w:t>
      </w:r>
      <w:bookmarkStart w:id="40403" w:name="_ETM_Q75_636474"/>
      <w:bookmarkEnd w:id="40403"/>
      <w:r>
        <w:rPr>
          <w:rFonts w:hint="cs"/>
          <w:rtl/>
        </w:rPr>
        <w:t xml:space="preserve"> יגדלו כאן וישרתו את המדינה שלי, שאנחנו מאוד </w:t>
      </w:r>
      <w:bookmarkStart w:id="40404" w:name="_ETM_Q75_639838"/>
      <w:bookmarkEnd w:id="40404"/>
      <w:r>
        <w:rPr>
          <w:rFonts w:hint="cs"/>
          <w:rtl/>
        </w:rPr>
        <w:t xml:space="preserve">מאוד אוהבים אותה. עליתי לפני 24 וחצי שנים לישראל יהודית, </w:t>
      </w:r>
      <w:bookmarkStart w:id="40405" w:name="_ETM_Q75_645361"/>
      <w:bookmarkEnd w:id="40405"/>
      <w:r>
        <w:rPr>
          <w:rFonts w:hint="cs"/>
          <w:rtl/>
        </w:rPr>
        <w:t>דמוקרטית וליברלית, מדינת חוק, מדינה שיכולה להתגאות במערכת המשפט המפו</w:t>
      </w:r>
      <w:bookmarkStart w:id="40406" w:name="_ETM_Q75_652219"/>
      <w:bookmarkEnd w:id="40406"/>
      <w:r>
        <w:rPr>
          <w:rFonts w:hint="cs"/>
          <w:rtl/>
        </w:rPr>
        <w:t xml:space="preserve">ארת שלה, ואני אעשה הכול ואמשיך להיאבק בכל כוחי </w:t>
      </w:r>
      <w:bookmarkStart w:id="40407" w:name="_ETM_Q75_656541"/>
      <w:bookmarkEnd w:id="40407"/>
      <w:r>
        <w:rPr>
          <w:rFonts w:hint="cs"/>
          <w:rtl/>
        </w:rPr>
        <w:t xml:space="preserve">למען המדינה שלי – ישראל יהודית, דמוקרטית וליברלית. תודה </w:t>
      </w:r>
      <w:bookmarkStart w:id="40408" w:name="_ETM_Q75_662267"/>
      <w:bookmarkEnd w:id="40408"/>
      <w:r>
        <w:rPr>
          <w:rFonts w:hint="cs"/>
          <w:rtl/>
        </w:rPr>
        <w:t xml:space="preserve">רבה. </w:t>
      </w:r>
    </w:p>
    <w:p w:rsidR="00BB59CD" w:rsidRDefault="00BB59CD" w:rsidP="00BB59CD">
      <w:pPr>
        <w:rPr>
          <w:rtl/>
        </w:rPr>
      </w:pPr>
      <w:bookmarkStart w:id="40409" w:name="_ETM_Q75_663012"/>
      <w:bookmarkStart w:id="40410" w:name="_ETM_Q75_663096"/>
      <w:bookmarkEnd w:id="40409"/>
      <w:bookmarkEnd w:id="40410"/>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תודה רבה לחבר הכנסת בליאק. אגב, בערך למחצית מראשי </w:t>
      </w:r>
      <w:bookmarkStart w:id="40411" w:name="_ETM_Q75_665825"/>
      <w:bookmarkEnd w:id="40411"/>
      <w:r>
        <w:rPr>
          <w:rFonts w:hint="cs"/>
          <w:rtl/>
        </w:rPr>
        <w:t xml:space="preserve">הממשלה של ישראל היה מבטא, אז יש עוד לאן לשאוף. </w:t>
      </w:r>
    </w:p>
    <w:p w:rsidR="00BB59CD" w:rsidRDefault="00BB59CD" w:rsidP="00BB59CD">
      <w:pPr>
        <w:rPr>
          <w:rtl/>
        </w:rPr>
      </w:pPr>
      <w:bookmarkStart w:id="40412" w:name="_ETM_Q75_669394"/>
      <w:bookmarkStart w:id="40413" w:name="_ETM_Q75_669474"/>
      <w:bookmarkStart w:id="40414" w:name="_ETM_Q75_671986"/>
      <w:bookmarkStart w:id="40415" w:name="_ETM_Q75_672067"/>
      <w:bookmarkEnd w:id="40412"/>
      <w:bookmarkEnd w:id="40413"/>
      <w:bookmarkEnd w:id="40414"/>
      <w:bookmarkEnd w:id="40415"/>
    </w:p>
    <w:p w:rsidR="00BB59CD" w:rsidRDefault="00BB59CD" w:rsidP="00BB59CD">
      <w:pPr>
        <w:pStyle w:val="-"/>
        <w:keepNext/>
        <w:rPr>
          <w:rtl/>
        </w:rPr>
      </w:pPr>
      <w:bookmarkStart w:id="40416" w:name="ET_speakercontinue_6127_3"/>
      <w:r>
        <w:rPr>
          <w:rStyle w:val="TagStyle"/>
          <w:rFonts w:hint="cs"/>
          <w:rtl/>
        </w:rPr>
        <w:t xml:space="preserve"> &lt;&lt; דובר_המשך &gt;&gt; </w:t>
      </w:r>
      <w:r>
        <w:rPr>
          <w:rFonts w:hint="cs"/>
          <w:rtl/>
        </w:rPr>
        <w:t>ולדימיר בליאק (יש עתיד):</w:t>
      </w:r>
      <w:r>
        <w:rPr>
          <w:rStyle w:val="TagStyle"/>
          <w:rtl/>
        </w:rPr>
        <w:t xml:space="preserve"> &lt;&lt; דובר_המשך &gt;&gt;</w:t>
      </w:r>
      <w:r>
        <w:rPr>
          <w:rFonts w:hint="cs"/>
          <w:rtl/>
        </w:rPr>
        <w:t xml:space="preserve">   </w:t>
      </w:r>
      <w:bookmarkEnd w:id="40416"/>
    </w:p>
    <w:p w:rsidR="00BB59CD" w:rsidRDefault="00BB59CD" w:rsidP="00337201">
      <w:pPr>
        <w:rPr>
          <w:rtl/>
        </w:rPr>
      </w:pPr>
    </w:p>
    <w:p w:rsidR="00BB59CD" w:rsidRDefault="00BB59CD" w:rsidP="00BB59CD">
      <w:pPr>
        <w:rPr>
          <w:rtl/>
        </w:rPr>
      </w:pPr>
      <w:r>
        <w:rPr>
          <w:rFonts w:hint="cs"/>
          <w:rtl/>
        </w:rPr>
        <w:t xml:space="preserve">תודה רבה. </w:t>
      </w:r>
    </w:p>
    <w:p w:rsidR="00BB59CD" w:rsidRDefault="00BB59CD" w:rsidP="00BB59CD">
      <w:pPr>
        <w:rPr>
          <w:rtl/>
        </w:rPr>
      </w:pPr>
      <w:bookmarkStart w:id="40417" w:name="_ETM_Q75_672132"/>
      <w:bookmarkStart w:id="40418" w:name="_ETM_Q75_672219"/>
      <w:bookmarkEnd w:id="40417"/>
      <w:bookmarkEnd w:id="40418"/>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40419" w:name="_ETM_Q75_673082"/>
      <w:bookmarkEnd w:id="40419"/>
      <w:r>
        <w:rPr>
          <w:rFonts w:hint="cs"/>
          <w:rtl/>
        </w:rPr>
        <w:t xml:space="preserve">וכעת יעלה ויבוא חבר הכנסת </w:t>
      </w:r>
      <w:bookmarkStart w:id="40420" w:name="_ETM_Q75_676307"/>
      <w:bookmarkEnd w:id="40420"/>
      <w:r>
        <w:rPr>
          <w:rFonts w:hint="cs"/>
          <w:rtl/>
        </w:rPr>
        <w:t xml:space="preserve">גלעד קריב. אחריו – חבר הכנסת חילי טרופר. </w:t>
      </w:r>
      <w:bookmarkStart w:id="40421" w:name="_ETM_Q75_687059"/>
      <w:bookmarkEnd w:id="40421"/>
      <w:r>
        <w:rPr>
          <w:rFonts w:hint="cs"/>
          <w:rtl/>
        </w:rPr>
        <w:t>בבקשה, אדוני, עד עשר דקות לרשותך.</w:t>
      </w:r>
    </w:p>
    <w:p w:rsidR="00BB59CD" w:rsidRDefault="00BB59CD" w:rsidP="00BB59CD">
      <w:pPr>
        <w:rPr>
          <w:rtl/>
        </w:rPr>
      </w:pPr>
      <w:bookmarkStart w:id="40422" w:name="_ETM_Q75_687132"/>
      <w:bookmarkStart w:id="40423" w:name="_ETM_Q75_688332"/>
      <w:bookmarkEnd w:id="40422"/>
      <w:bookmarkEnd w:id="40423"/>
    </w:p>
    <w:p w:rsidR="00BB59CD" w:rsidRDefault="00BB59CD" w:rsidP="00BB59CD">
      <w:pPr>
        <w:pStyle w:val="a5"/>
        <w:keepNext/>
        <w:rPr>
          <w:rtl/>
        </w:rPr>
      </w:pPr>
      <w:bookmarkStart w:id="40424" w:name="ET_speaker_6156_5"/>
      <w:r>
        <w:rPr>
          <w:rStyle w:val="TagStyle"/>
          <w:rFonts w:hint="cs"/>
          <w:rtl/>
        </w:rPr>
        <w:t xml:space="preserve"> &lt;&lt; דובר &gt;&gt; </w:t>
      </w:r>
      <w:bookmarkStart w:id="40425" w:name="_Toc141197168"/>
      <w:bookmarkStart w:id="40426" w:name="_Toc141196904"/>
      <w:r>
        <w:rPr>
          <w:rFonts w:hint="cs"/>
          <w:rtl/>
        </w:rPr>
        <w:t>גלעד קריב (העבודה):</w:t>
      </w:r>
      <w:bookmarkEnd w:id="40425"/>
      <w:bookmarkEnd w:id="40426"/>
      <w:r>
        <w:rPr>
          <w:rStyle w:val="TagStyle"/>
          <w:rFonts w:hint="cs"/>
          <w:rtl/>
        </w:rPr>
        <w:t xml:space="preserve"> &lt;&lt; דובר &gt;&gt;</w:t>
      </w:r>
      <w:r>
        <w:rPr>
          <w:rFonts w:hint="cs"/>
          <w:rtl/>
        </w:rPr>
        <w:t xml:space="preserve">   </w:t>
      </w:r>
      <w:bookmarkEnd w:id="40424"/>
    </w:p>
    <w:p w:rsidR="00BB59CD" w:rsidRDefault="00BB59CD" w:rsidP="00337201">
      <w:pPr>
        <w:rPr>
          <w:rtl/>
        </w:rPr>
      </w:pPr>
    </w:p>
    <w:p w:rsidR="00BB59CD" w:rsidRDefault="00BB59CD" w:rsidP="00063B7A">
      <w:pPr>
        <w:rPr>
          <w:rtl/>
        </w:rPr>
      </w:pPr>
      <w:bookmarkStart w:id="40427" w:name="_ETM_Q75_689023"/>
      <w:bookmarkStart w:id="40428" w:name="_ETM_Q75_689086"/>
      <w:bookmarkEnd w:id="40427"/>
      <w:bookmarkEnd w:id="40428"/>
      <w:r>
        <w:rPr>
          <w:rFonts w:hint="cs"/>
          <w:rtl/>
        </w:rPr>
        <w:t xml:space="preserve"> אדוני היושב-ראש, כנסת נכבדה, מכובדי השר, </w:t>
      </w:r>
      <w:bookmarkStart w:id="40429" w:name="_ETM_Q75_701233"/>
      <w:bookmarkEnd w:id="40429"/>
      <w:r>
        <w:rPr>
          <w:rFonts w:hint="cs"/>
          <w:rtl/>
        </w:rPr>
        <w:t xml:space="preserve">האמת היא שכבר עמדתי כאן על הדוכן היום ודיברתי </w:t>
      </w:r>
      <w:bookmarkStart w:id="40430" w:name="_ETM_Q75_705773"/>
      <w:bookmarkEnd w:id="40430"/>
      <w:r>
        <w:rPr>
          <w:rFonts w:hint="cs"/>
          <w:rtl/>
        </w:rPr>
        <w:t xml:space="preserve">על החקיקה במשך חצי שעה, ואני רוצה להודות לחבריי וחברותיי באופוזיציה שהסכימו להעניק לי עוד עשר דקות </w:t>
      </w:r>
      <w:bookmarkStart w:id="40431" w:name="_ETM_Q75_718263"/>
      <w:bookmarkEnd w:id="40431"/>
      <w:r>
        <w:rPr>
          <w:rFonts w:hint="cs"/>
          <w:rtl/>
        </w:rPr>
        <w:t xml:space="preserve">של דיבור, לאחר שביקשתי זאת בשעות אחר הצוהריים, משתי </w:t>
      </w:r>
      <w:bookmarkStart w:id="40432" w:name="_ETM_Q75_721828"/>
      <w:bookmarkEnd w:id="40432"/>
      <w:r>
        <w:rPr>
          <w:rFonts w:hint="cs"/>
          <w:rtl/>
        </w:rPr>
        <w:t xml:space="preserve">סיבות. </w:t>
      </w:r>
      <w:bookmarkStart w:id="40433" w:name="_ETM_Q75_723173"/>
      <w:bookmarkStart w:id="40434" w:name="_ETM_Q75_723287"/>
      <w:bookmarkStart w:id="40435" w:name="_ETM_Q75_723316"/>
      <w:bookmarkStart w:id="40436" w:name="_ETM_Q75_723405"/>
      <w:bookmarkEnd w:id="40433"/>
      <w:bookmarkEnd w:id="40434"/>
      <w:bookmarkEnd w:id="40435"/>
      <w:bookmarkEnd w:id="40436"/>
      <w:r w:rsidR="00063B7A">
        <w:rPr>
          <w:rFonts w:hint="cs"/>
          <w:rtl/>
        </w:rPr>
        <w:t xml:space="preserve"> </w:t>
      </w:r>
      <w:r>
        <w:rPr>
          <w:rFonts w:hint="cs"/>
          <w:rtl/>
        </w:rPr>
        <w:t xml:space="preserve">האחת קשורה בעובדה שאת שעות אחר הצוהריים ביליתי </w:t>
      </w:r>
      <w:bookmarkStart w:id="40437" w:name="_ETM_Q75_730876"/>
      <w:bookmarkEnd w:id="40437"/>
      <w:r>
        <w:rPr>
          <w:rFonts w:hint="cs"/>
          <w:rtl/>
        </w:rPr>
        <w:t>מחוץ למשכן, בקרב רבבות המפגינים והמפגינות שהתאספו כאן מסביב</w:t>
      </w:r>
      <w:bookmarkStart w:id="40438" w:name="_ETM_Q75_736913"/>
      <w:bookmarkEnd w:id="40438"/>
      <w:r>
        <w:rPr>
          <w:rFonts w:hint="cs"/>
          <w:rtl/>
        </w:rPr>
        <w:t xml:space="preserve"> לבניין. רבים מהם שאלו אותי במהלך השיטוט בין הרבבות אם </w:t>
      </w:r>
      <w:bookmarkStart w:id="40439" w:name="_ETM_Q75_746514"/>
      <w:bookmarkEnd w:id="40439"/>
      <w:r>
        <w:rPr>
          <w:rFonts w:hint="cs"/>
          <w:rtl/>
        </w:rPr>
        <w:t xml:space="preserve">שומעים את קול הזעקה כאן בבניין. ואני ביקשתי </w:t>
      </w:r>
      <w:bookmarkStart w:id="40440" w:name="_ETM_Q75_752838"/>
      <w:bookmarkEnd w:id="40440"/>
      <w:r>
        <w:rPr>
          <w:rFonts w:hint="cs"/>
          <w:rtl/>
        </w:rPr>
        <w:t>לעלות לכאן לדוכן בשנית על מנת לומר</w:t>
      </w:r>
      <w:bookmarkStart w:id="40441" w:name="_ETM_Q75_756519"/>
      <w:bookmarkEnd w:id="40441"/>
      <w:r>
        <w:rPr>
          <w:rFonts w:hint="cs"/>
          <w:rtl/>
        </w:rPr>
        <w:t xml:space="preserve"> לרבבות האחים והאחיות שנמצאים גם עכשיו מחוץ למשכן </w:t>
      </w:r>
      <w:bookmarkStart w:id="40442" w:name="_ETM_Q75_763405"/>
      <w:bookmarkEnd w:id="40442"/>
      <w:r>
        <w:rPr>
          <w:rFonts w:hint="cs"/>
          <w:rtl/>
        </w:rPr>
        <w:t xml:space="preserve">הכנסת, ויהיו כאן כל הלילה וגם מחר: אנחנו שומעים אתכם, </w:t>
      </w:r>
      <w:bookmarkStart w:id="40443" w:name="_ETM_Q75_771973"/>
      <w:bookmarkEnd w:id="40443"/>
      <w:r>
        <w:rPr>
          <w:rFonts w:hint="cs"/>
          <w:rtl/>
        </w:rPr>
        <w:t>אנחנו רואים אתכם. אנחנו, חברי האופוזיציה, זוכרים שבמערכ</w:t>
      </w:r>
      <w:bookmarkStart w:id="40444" w:name="_ETM_Q75_778705"/>
      <w:bookmarkEnd w:id="40444"/>
      <w:r>
        <w:rPr>
          <w:rFonts w:hint="cs"/>
          <w:rtl/>
        </w:rPr>
        <w:t>ה הגדולה הזו אנחנו רק תומכי הלחימה</w:t>
      </w:r>
      <w:bookmarkStart w:id="40445" w:name="_ETM_Q75_782359"/>
      <w:bookmarkEnd w:id="40445"/>
      <w:r>
        <w:rPr>
          <w:rFonts w:hint="cs"/>
          <w:rtl/>
        </w:rPr>
        <w:t xml:space="preserve">, ואתם, הישראלים והישראליות שעליהם דיבר חברי חבר הכנסת </w:t>
      </w:r>
      <w:bookmarkStart w:id="40446" w:name="_ETM_Q75_785471"/>
      <w:bookmarkEnd w:id="40446"/>
      <w:r>
        <w:rPr>
          <w:rFonts w:hint="cs"/>
          <w:rtl/>
        </w:rPr>
        <w:t xml:space="preserve">בליאק, אתם אלו שנמצאים בחזית שבה תוכרע המערכה. </w:t>
      </w:r>
    </w:p>
    <w:p w:rsidR="00BB59CD" w:rsidRDefault="00BB59CD" w:rsidP="00BB59CD">
      <w:pPr>
        <w:ind w:firstLine="0"/>
        <w:rPr>
          <w:rtl/>
        </w:rPr>
      </w:pPr>
      <w:bookmarkStart w:id="40447" w:name="_ETM_Q75_776041"/>
      <w:bookmarkStart w:id="40448" w:name="_ETM_Q75_776110"/>
      <w:bookmarkEnd w:id="40447"/>
      <w:bookmarkEnd w:id="40448"/>
    </w:p>
    <w:p w:rsidR="00BB59CD" w:rsidRDefault="00BB59CD" w:rsidP="00063B7A">
      <w:pPr>
        <w:rPr>
          <w:rtl/>
        </w:rPr>
      </w:pPr>
      <w:bookmarkStart w:id="40449" w:name="_ETM_Q76_207000"/>
      <w:bookmarkEnd w:id="40449"/>
      <w:r>
        <w:rPr>
          <w:rFonts w:hint="cs"/>
          <w:rtl/>
        </w:rPr>
        <w:t xml:space="preserve">ולא רק אנחנו רואים אתכם ושומעים אתכם, גם חברי הקואליציה </w:t>
      </w:r>
      <w:bookmarkStart w:id="40450" w:name="_ETM_Q76_200000"/>
      <w:bookmarkEnd w:id="40450"/>
      <w:r>
        <w:rPr>
          <w:rFonts w:hint="cs"/>
          <w:rtl/>
        </w:rPr>
        <w:t xml:space="preserve">ושרי הממשלה. חלקם יודעים להעריך את עוצמת המחאה הדמוקרטית המפוארת </w:t>
      </w:r>
      <w:bookmarkStart w:id="40451" w:name="_ETM_Q76_203000"/>
      <w:bookmarkEnd w:id="40451"/>
      <w:r>
        <w:rPr>
          <w:rFonts w:hint="cs"/>
          <w:rtl/>
        </w:rPr>
        <w:t>הזאת אבל לא מעטים מהם מפוחדים עד לשד עצמות</w:t>
      </w:r>
      <w:r w:rsidR="00063B7A">
        <w:rPr>
          <w:rFonts w:hint="cs"/>
          <w:rtl/>
        </w:rPr>
        <w:t>יה</w:t>
      </w:r>
      <w:r>
        <w:rPr>
          <w:rFonts w:hint="cs"/>
          <w:rtl/>
        </w:rPr>
        <w:t xml:space="preserve">ם. שנים </w:t>
      </w:r>
      <w:bookmarkStart w:id="40452" w:name="_ETM_Q76_210000"/>
      <w:bookmarkEnd w:id="40452"/>
      <w:r>
        <w:rPr>
          <w:rFonts w:hint="cs"/>
          <w:rtl/>
        </w:rPr>
        <w:t xml:space="preserve">הם מספרים לעצמם שהם המחנה הלאומי והפטריוטי. שנים הם </w:t>
      </w:r>
      <w:bookmarkStart w:id="40453" w:name="_ETM_Q76_220000"/>
      <w:bookmarkEnd w:id="40453"/>
      <w:r>
        <w:rPr>
          <w:rFonts w:hint="cs"/>
          <w:rtl/>
        </w:rPr>
        <w:t xml:space="preserve">מספרים לעצמים שהציבור הליברלי עסוק כל איש בעצמו ובענייניו. שנים הם מציגים את עצמם כיורשים הבלעדיים של החלוצים, כשומרי החותם של הזהות היהודית של המדינה, כציונים האמיתיים. כבעלים היחידים של דגלי הכחול-לבן. </w:t>
      </w:r>
      <w:bookmarkStart w:id="40454" w:name="_ETM_Q76_244000"/>
      <w:bookmarkEnd w:id="40454"/>
      <w:r>
        <w:rPr>
          <w:rFonts w:hint="cs"/>
          <w:rtl/>
        </w:rPr>
        <w:t xml:space="preserve">והינה, פתאום, קמים מאות אלפים בבוקר, בלילה, ומרגישים שהם עם ומתחילים שוב ללכת; מזכירים מיהם נושאי הדגל </w:t>
      </w:r>
      <w:bookmarkStart w:id="40455" w:name="_ETM_Q76_257000"/>
      <w:bookmarkEnd w:id="40455"/>
      <w:r>
        <w:rPr>
          <w:rFonts w:hint="cs"/>
          <w:rtl/>
        </w:rPr>
        <w:t xml:space="preserve">האמיתיים של המדינה היהודית והדמוקרטית, הדמוקרטית והיהודית. ואין דבר </w:t>
      </w:r>
      <w:bookmarkStart w:id="40456" w:name="_ETM_Q76_265000"/>
      <w:bookmarkEnd w:id="40456"/>
      <w:r>
        <w:rPr>
          <w:rFonts w:hint="cs"/>
          <w:rtl/>
        </w:rPr>
        <w:t xml:space="preserve">שמפחיד יותר, חבריי וחברותיי הניצבים מחוץ למשכן הכנסת, </w:t>
      </w:r>
      <w:bookmarkStart w:id="40457" w:name="_ETM_Q76_271000"/>
      <w:bookmarkEnd w:id="40457"/>
      <w:r>
        <w:rPr>
          <w:rFonts w:hint="cs"/>
          <w:rtl/>
        </w:rPr>
        <w:t xml:space="preserve">אין דבר שמפחיד יותר את חבורת המסיתים ומפיצי השנאה מאשר </w:t>
      </w:r>
      <w:bookmarkStart w:id="40458" w:name="_ETM_Q76_276000"/>
      <w:bookmarkEnd w:id="40458"/>
      <w:r>
        <w:rPr>
          <w:rFonts w:hint="cs"/>
          <w:rtl/>
        </w:rPr>
        <w:t xml:space="preserve">אובדן המונופול. וזוהי הסיבה למסע ההסתה הנורא שחלק מהם מנהלים </w:t>
      </w:r>
      <w:bookmarkStart w:id="40459" w:name="_ETM_Q76_285000"/>
      <w:bookmarkEnd w:id="40459"/>
      <w:r>
        <w:rPr>
          <w:rFonts w:hint="cs"/>
          <w:rtl/>
        </w:rPr>
        <w:t xml:space="preserve">בחודשים האחרונים – משרת התחבורה, שקראה הערב בתל אביב להכניס לכלא אנשים </w:t>
      </w:r>
      <w:bookmarkStart w:id="40460" w:name="_ETM_Q76_294000"/>
      <w:bookmarkEnd w:id="40460"/>
      <w:r>
        <w:rPr>
          <w:rFonts w:hint="cs"/>
          <w:rtl/>
        </w:rPr>
        <w:t>שמודיעים, אחרי מאות ימי התנדבות למילואים מעבר לנדרש</w:t>
      </w:r>
      <w:r w:rsidR="00063B7A">
        <w:rPr>
          <w:rFonts w:hint="cs"/>
          <w:rtl/>
        </w:rPr>
        <w:t>,</w:t>
      </w:r>
      <w:r>
        <w:rPr>
          <w:rFonts w:hint="cs"/>
          <w:rtl/>
        </w:rPr>
        <w:t xml:space="preserve"> אם </w:t>
      </w:r>
      <w:bookmarkStart w:id="40461" w:name="_ETM_Q76_301000"/>
      <w:bookmarkEnd w:id="40461"/>
      <w:r>
        <w:rPr>
          <w:rFonts w:hint="cs"/>
          <w:rtl/>
        </w:rPr>
        <w:t>הם יפסיקו את התנדבותם, המצאה חדשה בחוק הישראלי</w:t>
      </w:r>
      <w:r w:rsidR="00063B7A">
        <w:rPr>
          <w:rFonts w:hint="cs"/>
          <w:rtl/>
        </w:rPr>
        <w:t>,</w:t>
      </w:r>
      <w:r>
        <w:rPr>
          <w:rFonts w:hint="cs"/>
          <w:rtl/>
        </w:rPr>
        <w:t xml:space="preserve"> ועד למוזמן </w:t>
      </w:r>
      <w:bookmarkStart w:id="40462" w:name="_ETM_Q76_308000"/>
      <w:bookmarkEnd w:id="40462"/>
      <w:r>
        <w:rPr>
          <w:rFonts w:hint="cs"/>
          <w:rtl/>
        </w:rPr>
        <w:t xml:space="preserve">הקבוע של אחד מסגניך, אדוני היושב-ראש, לכאן, לבניין </w:t>
      </w:r>
      <w:bookmarkStart w:id="40463" w:name="_ETM_Q76_312000"/>
      <w:bookmarkEnd w:id="40463"/>
      <w:r>
        <w:rPr>
          <w:rFonts w:hint="cs"/>
          <w:rtl/>
        </w:rPr>
        <w:t xml:space="preserve">הזה, </w:t>
      </w:r>
      <w:r w:rsidR="00063B7A">
        <w:rPr>
          <w:rFonts w:hint="cs"/>
          <w:rtl/>
        </w:rPr>
        <w:t xml:space="preserve">של </w:t>
      </w:r>
      <w:r>
        <w:rPr>
          <w:rFonts w:hint="cs"/>
          <w:rtl/>
        </w:rPr>
        <w:t xml:space="preserve">מוביל קמפיין "שמאלנים בוגדים". </w:t>
      </w:r>
      <w:bookmarkStart w:id="40464" w:name="_ETM_Q76_317000"/>
      <w:bookmarkEnd w:id="40464"/>
      <w:r>
        <w:rPr>
          <w:rFonts w:hint="cs"/>
          <w:rtl/>
        </w:rPr>
        <w:t xml:space="preserve">הם מפחדים ולכן הם מסיתים. </w:t>
      </w:r>
      <w:bookmarkStart w:id="40465" w:name="_ETM_Q76_320000"/>
      <w:bookmarkEnd w:id="40465"/>
      <w:r>
        <w:rPr>
          <w:rFonts w:hint="cs"/>
          <w:rtl/>
        </w:rPr>
        <w:t>אבל אנחנו לא נירתע, לא נתכופף ובטח לא נתמלא י</w:t>
      </w:r>
      <w:bookmarkStart w:id="40466" w:name="_ETM_Q76_329000"/>
      <w:bookmarkEnd w:id="40466"/>
      <w:r>
        <w:rPr>
          <w:rFonts w:hint="cs"/>
          <w:rtl/>
        </w:rPr>
        <w:t xml:space="preserve">יאוש. </w:t>
      </w:r>
    </w:p>
    <w:p w:rsidR="00BB59CD" w:rsidRDefault="00BB59CD" w:rsidP="00BB59CD">
      <w:pPr>
        <w:rPr>
          <w:rtl/>
        </w:rPr>
      </w:pPr>
    </w:p>
    <w:p w:rsidR="00BB59CD" w:rsidRDefault="00BB59CD" w:rsidP="00A220F3">
      <w:pPr>
        <w:rPr>
          <w:rtl/>
        </w:rPr>
      </w:pPr>
      <w:bookmarkStart w:id="40467" w:name="_ETM_Q76_331000"/>
      <w:bookmarkEnd w:id="40467"/>
      <w:r>
        <w:rPr>
          <w:rFonts w:hint="cs"/>
          <w:rtl/>
        </w:rPr>
        <w:t xml:space="preserve">והערב הזה, חברים וחברות, אני מבקש לומר לכם: </w:t>
      </w:r>
      <w:bookmarkStart w:id="40468" w:name="_ETM_Q76_334000"/>
      <w:bookmarkEnd w:id="40468"/>
      <w:r>
        <w:rPr>
          <w:rFonts w:hint="cs"/>
          <w:rtl/>
        </w:rPr>
        <w:t xml:space="preserve">איננו יודעים מה יקרה כאן ביממה הקרובה. כוחות גדולים מאוד </w:t>
      </w:r>
      <w:bookmarkStart w:id="40469" w:name="_ETM_Q76_341000"/>
      <w:bookmarkEnd w:id="40469"/>
      <w:r>
        <w:rPr>
          <w:rFonts w:hint="cs"/>
          <w:rtl/>
        </w:rPr>
        <w:t>מתגוששים בזירה</w:t>
      </w:r>
      <w:r w:rsidR="00063B7A">
        <w:rPr>
          <w:rFonts w:hint="cs"/>
          <w:rtl/>
        </w:rPr>
        <w:t>,</w:t>
      </w:r>
      <w:r>
        <w:rPr>
          <w:rFonts w:hint="cs"/>
          <w:rtl/>
        </w:rPr>
        <w:t xml:space="preserve"> ובסוף, כתמיד, הזירה המרכזית היא בראשו של ראש </w:t>
      </w:r>
      <w:bookmarkStart w:id="40470" w:name="_ETM_Q76_345000"/>
      <w:bookmarkEnd w:id="40470"/>
      <w:r>
        <w:rPr>
          <w:rFonts w:hint="cs"/>
          <w:rtl/>
        </w:rPr>
        <w:t xml:space="preserve">הממשלה נתניהו. אבל דבר אחד אנחנו כן יודעים: </w:t>
      </w:r>
      <w:bookmarkStart w:id="40471" w:name="_ETM_Q76_350000"/>
      <w:bookmarkEnd w:id="40471"/>
      <w:r>
        <w:rPr>
          <w:rFonts w:hint="cs"/>
          <w:rtl/>
        </w:rPr>
        <w:t xml:space="preserve">הקרב על הדמוקרטיה הישראלית לא יוכרע מחר, תהא התוצאה </w:t>
      </w:r>
      <w:bookmarkStart w:id="40472" w:name="_ETM_Q76_353000"/>
      <w:bookmarkEnd w:id="40472"/>
      <w:r>
        <w:rPr>
          <w:rFonts w:hint="cs"/>
          <w:rtl/>
        </w:rPr>
        <w:t xml:space="preserve">אשר תהא. המערכה מתנהלת בזירות רבות, וכן, היא תימשך חודשים </w:t>
      </w:r>
      <w:bookmarkStart w:id="40473" w:name="_ETM_Q76_364000"/>
      <w:bookmarkEnd w:id="40473"/>
      <w:r>
        <w:rPr>
          <w:rFonts w:hint="cs"/>
          <w:rtl/>
        </w:rPr>
        <w:t xml:space="preserve">רבים. </w:t>
      </w:r>
      <w:bookmarkStart w:id="40474" w:name="_ETM_Q76_366000"/>
      <w:bookmarkEnd w:id="40474"/>
      <w:r>
        <w:rPr>
          <w:rFonts w:hint="cs"/>
          <w:rtl/>
        </w:rPr>
        <w:t xml:space="preserve">אנחנו נעשה הכול כדי לבלום את החקיקה המסוכנת שמונחת </w:t>
      </w:r>
      <w:bookmarkStart w:id="40475" w:name="_ETM_Q76_367000"/>
      <w:bookmarkEnd w:id="40475"/>
      <w:r>
        <w:rPr>
          <w:rFonts w:hint="cs"/>
          <w:rtl/>
        </w:rPr>
        <w:t xml:space="preserve">היום על השולחן, אבל לא נתייאש מתוצאה מאכזבת כמו שלא </w:t>
      </w:r>
      <w:bookmarkStart w:id="40476" w:name="_ETM_Q76_375000"/>
      <w:bookmarkEnd w:id="40476"/>
      <w:r>
        <w:rPr>
          <w:rFonts w:hint="cs"/>
          <w:rtl/>
        </w:rPr>
        <w:t xml:space="preserve">ננוח על זרי הדפנה במקרה שהתוצאה תהיה חיובית. אנחנו נמשיך </w:t>
      </w:r>
      <w:bookmarkStart w:id="40477" w:name="_ETM_Q76_383000"/>
      <w:bookmarkEnd w:id="40477"/>
      <w:r>
        <w:rPr>
          <w:rFonts w:hint="cs"/>
          <w:rtl/>
        </w:rPr>
        <w:t xml:space="preserve">במלוא הכוח להגן על הדמוקרטיה ועל הציונות, ולעולם לעולם </w:t>
      </w:r>
      <w:bookmarkStart w:id="40478" w:name="_ETM_Q76_388000"/>
      <w:bookmarkEnd w:id="40478"/>
      <w:r>
        <w:rPr>
          <w:rFonts w:hint="cs"/>
          <w:rtl/>
        </w:rPr>
        <w:t xml:space="preserve">לא נאבד את התקווה ואת הנחישות. הייאוש ורפיון הידיים </w:t>
      </w:r>
      <w:r w:rsidR="00A220F3">
        <w:rPr>
          <w:rFonts w:hint="eastAsia"/>
          <w:rtl/>
        </w:rPr>
        <w:t>–</w:t>
      </w:r>
      <w:r w:rsidR="00A220F3">
        <w:rPr>
          <w:rFonts w:hint="cs"/>
          <w:rtl/>
        </w:rPr>
        <w:t xml:space="preserve"> </w:t>
      </w:r>
      <w:r>
        <w:rPr>
          <w:rFonts w:hint="cs"/>
          <w:rtl/>
        </w:rPr>
        <w:t xml:space="preserve">שלנו </w:t>
      </w:r>
      <w:bookmarkStart w:id="40479" w:name="_ETM_Q76_398000"/>
      <w:bookmarkEnd w:id="40479"/>
      <w:r>
        <w:rPr>
          <w:rFonts w:hint="cs"/>
          <w:rtl/>
        </w:rPr>
        <w:t xml:space="preserve">כאן, בבית הזה, ובמיוחד של מאות האלפים והמיליונים, בעצם, שיוצאים </w:t>
      </w:r>
      <w:bookmarkStart w:id="40480" w:name="_ETM_Q76_406000"/>
      <w:bookmarkEnd w:id="40480"/>
      <w:r>
        <w:rPr>
          <w:rFonts w:hint="cs"/>
          <w:rtl/>
        </w:rPr>
        <w:t xml:space="preserve">לרחובות – הייאוש ורפיון הידיים פשוט אינם אופציה מבחינתנו, לא </w:t>
      </w:r>
      <w:bookmarkStart w:id="40481" w:name="_ETM_Q76_411000"/>
      <w:bookmarkEnd w:id="40481"/>
      <w:r>
        <w:rPr>
          <w:rFonts w:hint="cs"/>
          <w:rtl/>
        </w:rPr>
        <w:t>ביממה הקרובה ולא בחודשים הקרובים.</w:t>
      </w:r>
    </w:p>
    <w:p w:rsidR="00BB59CD" w:rsidRDefault="00BB59CD" w:rsidP="00BB59CD">
      <w:pPr>
        <w:rPr>
          <w:rtl/>
        </w:rPr>
      </w:pPr>
    </w:p>
    <w:p w:rsidR="00BB59CD" w:rsidRDefault="00BB59CD" w:rsidP="00E367B5">
      <w:pPr>
        <w:rPr>
          <w:rtl/>
        </w:rPr>
      </w:pPr>
      <w:bookmarkStart w:id="40482" w:name="_ETM_Q76_413000"/>
      <w:bookmarkEnd w:id="40482"/>
      <w:r>
        <w:rPr>
          <w:rFonts w:hint="cs"/>
          <w:rtl/>
        </w:rPr>
        <w:t xml:space="preserve">וישנה עוד סיבה, אדוני היושב-ראש, </w:t>
      </w:r>
      <w:bookmarkStart w:id="40483" w:name="_ETM_Q76_419000"/>
      <w:bookmarkEnd w:id="40483"/>
      <w:r>
        <w:rPr>
          <w:rFonts w:hint="cs"/>
          <w:rtl/>
        </w:rPr>
        <w:t>מדוע ביקשתי לעלות לכאן. היום נתקלתי בדבריו של אחד מסגנ</w:t>
      </w:r>
      <w:bookmarkStart w:id="40484" w:name="_ETM_Q76_426000"/>
      <w:bookmarkEnd w:id="40484"/>
      <w:r>
        <w:rPr>
          <w:rFonts w:hint="cs"/>
          <w:rtl/>
        </w:rPr>
        <w:t xml:space="preserve">יך, אדוני היושב-ראש, ואני מצטט: </w:t>
      </w:r>
      <w:r w:rsidR="00E367B5">
        <w:rPr>
          <w:rFonts w:hint="cs"/>
          <w:rtl/>
        </w:rPr>
        <w:t>"</w:t>
      </w:r>
      <w:r>
        <w:rPr>
          <w:rFonts w:hint="cs"/>
          <w:rtl/>
        </w:rPr>
        <w:t xml:space="preserve">האנרכיה מאורגנת בידי המתבוללים הרפורמים </w:t>
      </w:r>
      <w:bookmarkStart w:id="40485" w:name="_ETM_Q76_436000"/>
      <w:bookmarkEnd w:id="40485"/>
      <w:r w:rsidR="00E367B5">
        <w:rPr>
          <w:rFonts w:hint="cs"/>
          <w:rtl/>
        </w:rPr>
        <w:t xml:space="preserve">- - - </w:t>
      </w:r>
      <w:r>
        <w:rPr>
          <w:rFonts w:hint="cs"/>
          <w:rtl/>
        </w:rPr>
        <w:t>גנרלים סוחרי נשק מאיימים בהצפת גופות יהודים בירקון</w:t>
      </w:r>
      <w:r w:rsidR="00E367B5">
        <w:rPr>
          <w:rFonts w:hint="cs"/>
          <w:rtl/>
        </w:rPr>
        <w:t>";</w:t>
      </w:r>
      <w:r>
        <w:rPr>
          <w:rFonts w:hint="cs"/>
          <w:rtl/>
        </w:rPr>
        <w:t xml:space="preserve"> </w:t>
      </w:r>
      <w:r w:rsidR="00E367B5">
        <w:rPr>
          <w:rFonts w:hint="cs"/>
          <w:rtl/>
        </w:rPr>
        <w:t>"</w:t>
      </w:r>
      <w:r>
        <w:rPr>
          <w:rFonts w:hint="cs"/>
          <w:rtl/>
        </w:rPr>
        <w:t xml:space="preserve">כמו המרד הערבי, אין כאן מאבק לאומי או מעמדי בלבד, זו </w:t>
      </w:r>
      <w:bookmarkStart w:id="40486" w:name="_ETM_Q76_446000"/>
      <w:bookmarkEnd w:id="40486"/>
      <w:r>
        <w:rPr>
          <w:rFonts w:hint="cs"/>
          <w:rtl/>
        </w:rPr>
        <w:t xml:space="preserve">מלחמה של התרבות הרעה נגד קיומה של המדינה היהודית. הרפורמים </w:t>
      </w:r>
      <w:bookmarkStart w:id="40487" w:name="_ETM_Q76_452000"/>
      <w:bookmarkEnd w:id="40487"/>
      <w:r>
        <w:rPr>
          <w:rFonts w:hint="cs"/>
          <w:rtl/>
        </w:rPr>
        <w:t>מנסים להפוך אותה למדינה אנטי-יהודית ואנטי-דמוקרטית</w:t>
      </w:r>
      <w:r w:rsidR="00E367B5">
        <w:rPr>
          <w:rFonts w:hint="cs"/>
          <w:rtl/>
        </w:rPr>
        <w:t>"</w:t>
      </w:r>
      <w:r>
        <w:rPr>
          <w:rFonts w:hint="cs"/>
          <w:rtl/>
        </w:rPr>
        <w:t>.</w:t>
      </w:r>
      <w:r w:rsidR="00E367B5">
        <w:rPr>
          <w:rFonts w:hint="cs"/>
          <w:rtl/>
        </w:rPr>
        <w:t xml:space="preserve"> </w:t>
      </w:r>
      <w:r>
        <w:rPr>
          <w:rFonts w:hint="cs"/>
          <w:rtl/>
        </w:rPr>
        <w:t xml:space="preserve">אותו סגן יושב-ראש מתהלך כאן </w:t>
      </w:r>
      <w:bookmarkStart w:id="40488" w:name="_ETM_Q76_460000"/>
      <w:bookmarkEnd w:id="40488"/>
      <w:r>
        <w:rPr>
          <w:rFonts w:hint="cs"/>
          <w:rtl/>
        </w:rPr>
        <w:t xml:space="preserve">בימים האחרונים בבגדים לא מכובסים. בעוד שלושה ימים </w:t>
      </w:r>
      <w:bookmarkStart w:id="40489" w:name="_ETM_Q76_467000"/>
      <w:bookmarkEnd w:id="40489"/>
      <w:r>
        <w:rPr>
          <w:rFonts w:hint="cs"/>
          <w:rtl/>
        </w:rPr>
        <w:t>הוא ישב על הרצפה, יקרא קינות ואת מגילת איכה</w:t>
      </w:r>
      <w:r w:rsidR="00E367B5">
        <w:rPr>
          <w:rFonts w:hint="cs"/>
          <w:rtl/>
        </w:rPr>
        <w:t>,</w:t>
      </w:r>
      <w:r>
        <w:rPr>
          <w:rFonts w:hint="cs"/>
          <w:rtl/>
        </w:rPr>
        <w:t xml:space="preserve"> </w:t>
      </w:r>
      <w:bookmarkStart w:id="40490" w:name="_ETM_Q76_470000"/>
      <w:bookmarkEnd w:id="40490"/>
      <w:r>
        <w:rPr>
          <w:rFonts w:hint="cs"/>
          <w:rtl/>
        </w:rPr>
        <w:t xml:space="preserve">אבל ימים אחדים לפני צום תשעה באב, האיש הזה מרשה </w:t>
      </w:r>
      <w:bookmarkStart w:id="40491" w:name="_ETM_Q76_478000"/>
      <w:bookmarkEnd w:id="40491"/>
      <w:r>
        <w:rPr>
          <w:rFonts w:hint="cs"/>
          <w:rtl/>
        </w:rPr>
        <w:t xml:space="preserve">לעצמו לומר את הדברים שציטטתי. </w:t>
      </w:r>
    </w:p>
    <w:p w:rsidR="00BB59CD" w:rsidRDefault="00BB59CD" w:rsidP="00BB59CD">
      <w:pPr>
        <w:rPr>
          <w:rtl/>
        </w:rPr>
      </w:pPr>
    </w:p>
    <w:p w:rsidR="00BB59CD" w:rsidRDefault="00BB59CD" w:rsidP="00E367B5">
      <w:pPr>
        <w:rPr>
          <w:rtl/>
        </w:rPr>
      </w:pPr>
      <w:bookmarkStart w:id="40492" w:name="_ETM_Q76_490000"/>
      <w:bookmarkEnd w:id="40492"/>
      <w:r>
        <w:rPr>
          <w:rFonts w:hint="cs"/>
          <w:rtl/>
        </w:rPr>
        <w:t xml:space="preserve">וכשקראתי את הדברים </w:t>
      </w:r>
      <w:bookmarkStart w:id="40493" w:name="_ETM_Q76_486000"/>
      <w:bookmarkEnd w:id="40493"/>
      <w:r>
        <w:rPr>
          <w:rFonts w:hint="cs"/>
          <w:rtl/>
        </w:rPr>
        <w:t>האלה, אדוני היושב-ראש, אני חשבתי על יונתן בוידן, שבעוד יממה,</w:t>
      </w:r>
      <w:bookmarkStart w:id="40494" w:name="_ETM_Q76_491000"/>
      <w:bookmarkEnd w:id="40494"/>
      <w:r>
        <w:rPr>
          <w:rFonts w:hint="cs"/>
          <w:rtl/>
        </w:rPr>
        <w:t xml:space="preserve"> כשאנחנו נערוך כאן את ההצבעות, ימלאו 30 שנים לנפילתו בקרב </w:t>
      </w:r>
      <w:bookmarkStart w:id="40495" w:name="_ETM_Q76_499000"/>
      <w:bookmarkEnd w:id="40495"/>
      <w:r>
        <w:rPr>
          <w:rFonts w:hint="cs"/>
          <w:rtl/>
        </w:rPr>
        <w:t xml:space="preserve">בלבנון, בסוג'וד. יונתן הוא בנו של אחד הרבנים הרפורמים הוותיקים </w:t>
      </w:r>
      <w:bookmarkStart w:id="40496" w:name="_ETM_Q76_505000"/>
      <w:bookmarkEnd w:id="40496"/>
      <w:r>
        <w:rPr>
          <w:rFonts w:hint="cs"/>
          <w:rtl/>
        </w:rPr>
        <w:t xml:space="preserve">בישראל, הרב מיכאל בוידן. הוא נולד במנצ'סטר שבאנגליה ועלה לכאן </w:t>
      </w:r>
      <w:bookmarkStart w:id="40497" w:name="_ETM_Q76_514000"/>
      <w:bookmarkEnd w:id="40497"/>
      <w:r>
        <w:rPr>
          <w:rFonts w:hint="cs"/>
          <w:rtl/>
        </w:rPr>
        <w:t xml:space="preserve">עם אביו ועם אימו ואחותו הבכורה בהיותו ילד. כדי שהוא </w:t>
      </w:r>
      <w:bookmarkStart w:id="40498" w:name="_ETM_Q76_521000"/>
      <w:bookmarkEnd w:id="40498"/>
      <w:r>
        <w:rPr>
          <w:rFonts w:hint="cs"/>
          <w:rtl/>
        </w:rPr>
        <w:t xml:space="preserve">ירגיש, הוא ואחותו, את טעמה של העלייה, ההורים </w:t>
      </w:r>
      <w:bookmarkStart w:id="40499" w:name="_ETM_Q76_525000"/>
      <w:bookmarkEnd w:id="40499"/>
      <w:r>
        <w:rPr>
          <w:rFonts w:hint="cs"/>
          <w:rtl/>
        </w:rPr>
        <w:t xml:space="preserve">החליטו לא לטוס במטוס אלא הפליגו בסירה שהייתה בבעלותם דרך </w:t>
      </w:r>
      <w:bookmarkStart w:id="40500" w:name="_ETM_Q76_534000"/>
      <w:bookmarkEnd w:id="40500"/>
      <w:r w:rsidR="00E367B5">
        <w:rPr>
          <w:rFonts w:hint="cs"/>
          <w:rtl/>
        </w:rPr>
        <w:t>מ</w:t>
      </w:r>
      <w:r>
        <w:rPr>
          <w:rFonts w:hint="cs"/>
          <w:rtl/>
        </w:rPr>
        <w:t xml:space="preserve">צרי גיברלטר לאורך הים התיכון כולו, כדי לתת לילדים את </w:t>
      </w:r>
      <w:bookmarkStart w:id="40501" w:name="_ETM_Q76_543000"/>
      <w:bookmarkEnd w:id="40501"/>
      <w:r>
        <w:rPr>
          <w:rFonts w:hint="cs"/>
          <w:rtl/>
        </w:rPr>
        <w:t>התחושה הזאת של אקסודוס, של מסע העלייה.</w:t>
      </w:r>
      <w:bookmarkStart w:id="40502" w:name="_ETM_Q76_546000"/>
      <w:bookmarkEnd w:id="40502"/>
      <w:r w:rsidR="00E367B5">
        <w:rPr>
          <w:rFonts w:hint="cs"/>
          <w:rtl/>
        </w:rPr>
        <w:t xml:space="preserve"> </w:t>
      </w:r>
      <w:r>
        <w:rPr>
          <w:rFonts w:hint="cs"/>
          <w:rtl/>
        </w:rPr>
        <w:t xml:space="preserve">יונתן נפצע קשות בראשו </w:t>
      </w:r>
      <w:bookmarkStart w:id="40503" w:name="_ETM_Q76_550000"/>
      <w:bookmarkEnd w:id="40503"/>
      <w:r>
        <w:rPr>
          <w:rFonts w:hint="cs"/>
          <w:rtl/>
        </w:rPr>
        <w:t>בשעה שהוא יצא בנגמ"ש חילוץ כדי לחלץ את חבריו</w:t>
      </w:r>
      <w:bookmarkStart w:id="40504" w:name="_ETM_Q76_554000"/>
      <w:bookmarkEnd w:id="40504"/>
      <w:r>
        <w:rPr>
          <w:rFonts w:hint="cs"/>
          <w:rtl/>
        </w:rPr>
        <w:t xml:space="preserve">, שלושה שבועות בלבד לאחר שהוא הציל בעצמו חבר </w:t>
      </w:r>
      <w:bookmarkStart w:id="40505" w:name="_ETM_Q76_560000"/>
      <w:bookmarkEnd w:id="40505"/>
      <w:r>
        <w:rPr>
          <w:rFonts w:hint="cs"/>
          <w:rtl/>
        </w:rPr>
        <w:t xml:space="preserve">אחר מן הפלוגה שנפצע ממארב של חיזבאללה. כעבור ימים אחדים </w:t>
      </w:r>
      <w:bookmarkStart w:id="40506" w:name="_ETM_Q76_568000"/>
      <w:bookmarkEnd w:id="40506"/>
      <w:r>
        <w:rPr>
          <w:rFonts w:hint="cs"/>
          <w:rtl/>
        </w:rPr>
        <w:t xml:space="preserve">בבית החולים הוא נפטר מפגיעת הראש הקשה. המ"פ של יונתן </w:t>
      </w:r>
      <w:bookmarkStart w:id="40507" w:name="_ETM_Q76_573000"/>
      <w:bookmarkEnd w:id="40507"/>
      <w:r>
        <w:rPr>
          <w:rFonts w:hint="cs"/>
          <w:rtl/>
        </w:rPr>
        <w:t xml:space="preserve">בוידן, בנו של אותו רב רפורמי שהוא אחד ממוריי ורבותיי, </w:t>
      </w:r>
      <w:bookmarkStart w:id="40508" w:name="_ETM_Q76_581000"/>
      <w:bookmarkEnd w:id="40508"/>
      <w:r>
        <w:rPr>
          <w:rFonts w:hint="cs"/>
          <w:rtl/>
        </w:rPr>
        <w:t>הוא לא אחר מאשר הרמטכ"ל הרצי הלוי.</w:t>
      </w:r>
    </w:p>
    <w:p w:rsidR="00BB59CD" w:rsidRDefault="00BB59CD" w:rsidP="00BB59CD">
      <w:pPr>
        <w:rPr>
          <w:rtl/>
        </w:rPr>
      </w:pPr>
    </w:p>
    <w:p w:rsidR="00BB59CD" w:rsidRDefault="00BB59CD" w:rsidP="00E367B5">
      <w:pPr>
        <w:rPr>
          <w:rtl/>
        </w:rPr>
      </w:pPr>
      <w:bookmarkStart w:id="40509" w:name="_ETM_Q76_586000"/>
      <w:bookmarkEnd w:id="40509"/>
      <w:r>
        <w:rPr>
          <w:rFonts w:hint="cs"/>
          <w:rtl/>
        </w:rPr>
        <w:t xml:space="preserve">ואני חושב על יונתן </w:t>
      </w:r>
      <w:bookmarkStart w:id="40510" w:name="_ETM_Q76_589000"/>
      <w:bookmarkEnd w:id="40510"/>
      <w:r>
        <w:rPr>
          <w:rFonts w:hint="cs"/>
          <w:rtl/>
        </w:rPr>
        <w:t xml:space="preserve">בוידן, שמחר בערב ימלאו 30 שנים לנפילתו בקרב, אני חושב </w:t>
      </w:r>
      <w:bookmarkStart w:id="40511" w:name="_ETM_Q76_597000"/>
      <w:bookmarkEnd w:id="40511"/>
      <w:r>
        <w:rPr>
          <w:rFonts w:hint="cs"/>
          <w:rtl/>
        </w:rPr>
        <w:t xml:space="preserve">על אביו, הרב מיכאל בוידן, שהקים בהוד השרון קהילה רפורמית </w:t>
      </w:r>
      <w:bookmarkStart w:id="40512" w:name="_ETM_Q76_599000"/>
      <w:bookmarkEnd w:id="40512"/>
      <w:r>
        <w:rPr>
          <w:rFonts w:hint="cs"/>
          <w:rtl/>
        </w:rPr>
        <w:t xml:space="preserve">שוויונית הנושאת את שמו של הבן. אני חושב על אימו, </w:t>
      </w:r>
      <w:bookmarkStart w:id="40513" w:name="_ETM_Q76_605000"/>
      <w:bookmarkEnd w:id="40513"/>
      <w:r>
        <w:rPr>
          <w:rFonts w:hint="cs"/>
          <w:rtl/>
        </w:rPr>
        <w:t xml:space="preserve">שהקדישה את חייה לרכיבה טיפולית ומטפלת במאות אם לא באלפי </w:t>
      </w:r>
      <w:bookmarkStart w:id="40514" w:name="_ETM_Q76_613000"/>
      <w:bookmarkEnd w:id="40514"/>
      <w:r>
        <w:rPr>
          <w:rFonts w:hint="cs"/>
          <w:rtl/>
        </w:rPr>
        <w:t xml:space="preserve">ילדים עם מוגבלויות. וכן, אני חושב גם </w:t>
      </w:r>
      <w:bookmarkStart w:id="40515" w:name="_ETM_Q76_619000"/>
      <w:bookmarkEnd w:id="40515"/>
      <w:r>
        <w:rPr>
          <w:rFonts w:hint="cs"/>
          <w:rtl/>
        </w:rPr>
        <w:t xml:space="preserve">על אחד מסגניך, אדוני היושב-ראש, שימים אחדים לפני תשעה באב, </w:t>
      </w:r>
      <w:bookmarkStart w:id="40516" w:name="_ETM_Q76_623000"/>
      <w:bookmarkEnd w:id="40516"/>
      <w:r>
        <w:rPr>
          <w:rFonts w:hint="cs"/>
          <w:rtl/>
        </w:rPr>
        <w:t xml:space="preserve">בחסות מסע ההסתה הנורא ושנאת החינם, שהיא חלק כל כך </w:t>
      </w:r>
      <w:bookmarkStart w:id="40517" w:name="_ETM_Q76_633000"/>
      <w:bookmarkEnd w:id="40517"/>
      <w:r>
        <w:rPr>
          <w:rFonts w:hint="cs"/>
          <w:rtl/>
        </w:rPr>
        <w:t xml:space="preserve">יסודי ומרכזי בתפיסת עולמו היהודית, מרשה לעצמו להתראיין ולומר את </w:t>
      </w:r>
      <w:bookmarkStart w:id="40518" w:name="_ETM_Q76_639000"/>
      <w:bookmarkEnd w:id="40518"/>
      <w:r>
        <w:rPr>
          <w:rFonts w:hint="cs"/>
          <w:rtl/>
        </w:rPr>
        <w:t>הדברים האלה.</w:t>
      </w:r>
      <w:bookmarkStart w:id="40519" w:name="_ETM_Q76_641000"/>
      <w:bookmarkEnd w:id="40519"/>
      <w:r w:rsidR="00E367B5">
        <w:rPr>
          <w:rFonts w:hint="cs"/>
          <w:rtl/>
        </w:rPr>
        <w:t xml:space="preserve"> </w:t>
      </w:r>
      <w:r>
        <w:rPr>
          <w:rFonts w:hint="cs"/>
          <w:rtl/>
        </w:rPr>
        <w:t>ואני מודיע כאן לסגן יושב-ראש הכנסת חבר הכנסת אייכלר</w:t>
      </w:r>
      <w:bookmarkStart w:id="40520" w:name="_ETM_Q76_642000"/>
      <w:bookmarkEnd w:id="40520"/>
      <w:r>
        <w:rPr>
          <w:rFonts w:hint="cs"/>
          <w:rtl/>
        </w:rPr>
        <w:t xml:space="preserve"> – אנחנו בזים לשנאת החינם שלך. רוב הציבור היהודי </w:t>
      </w:r>
      <w:bookmarkStart w:id="40521" w:name="_ETM_Q76_651000"/>
      <w:bookmarkEnd w:id="40521"/>
      <w:r>
        <w:rPr>
          <w:rFonts w:hint="cs"/>
          <w:rtl/>
        </w:rPr>
        <w:t xml:space="preserve">לא מוכן לקבל את ההסתה שלך ושל חבריך. רוב הציבור </w:t>
      </w:r>
      <w:bookmarkStart w:id="40522" w:name="_ETM_Q76_657000"/>
      <w:bookmarkEnd w:id="40522"/>
      <w:r>
        <w:rPr>
          <w:rFonts w:hint="cs"/>
          <w:rtl/>
        </w:rPr>
        <w:t xml:space="preserve">היהודי ורוב הציבור הישראלי ירכין את ראשו לזכרם של </w:t>
      </w:r>
      <w:bookmarkStart w:id="40523" w:name="_ETM_Q76_664000"/>
      <w:bookmarkEnd w:id="40523"/>
      <w:r>
        <w:rPr>
          <w:rFonts w:hint="cs"/>
          <w:rtl/>
        </w:rPr>
        <w:t xml:space="preserve">חללי צה"ל, בין אם מדובר בבני הציונות הדתית או בנים </w:t>
      </w:r>
      <w:bookmarkStart w:id="40524" w:name="_ETM_Q76_668000"/>
      <w:bookmarkEnd w:id="40524"/>
      <w:r>
        <w:rPr>
          <w:rFonts w:hint="cs"/>
          <w:rtl/>
        </w:rPr>
        <w:t xml:space="preserve">למשפחות חילוניות מובהקות, בין אם מדובר בחללים שהיו יהודים מסורתיים </w:t>
      </w:r>
      <w:bookmarkStart w:id="40525" w:name="_ETM_Q76_676000"/>
      <w:bookmarkEnd w:id="40525"/>
      <w:r>
        <w:rPr>
          <w:rFonts w:hint="cs"/>
          <w:rtl/>
        </w:rPr>
        <w:t xml:space="preserve">בחייהם, ובין אם מדובר בחללים דרוזים או נוצרים, ובין אם </w:t>
      </w:r>
      <w:bookmarkStart w:id="40526" w:name="_ETM_Q76_683000"/>
      <w:bookmarkEnd w:id="40526"/>
      <w:r>
        <w:rPr>
          <w:rFonts w:hint="cs"/>
          <w:rtl/>
        </w:rPr>
        <w:t xml:space="preserve">מדובר בילדים של רבנים רפורמים. </w:t>
      </w:r>
      <w:bookmarkStart w:id="40527" w:name="_ETM_Q76_688000"/>
      <w:bookmarkEnd w:id="40527"/>
      <w:r>
        <w:rPr>
          <w:rFonts w:hint="cs"/>
          <w:rtl/>
        </w:rPr>
        <w:t xml:space="preserve">אתם לא תנצחו אותנו עם </w:t>
      </w:r>
      <w:bookmarkStart w:id="40528" w:name="_ETM_Q76_690000"/>
      <w:bookmarkEnd w:id="40528"/>
      <w:r>
        <w:rPr>
          <w:rFonts w:hint="cs"/>
          <w:rtl/>
        </w:rPr>
        <w:t>שנאת החינם שלכם. תודה, אדוני.</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lang w:eastAsia="he-IL"/>
        </w:rPr>
      </w:pPr>
      <w:bookmarkStart w:id="40529" w:name="_ETM_Q76_691000"/>
      <w:bookmarkEnd w:id="40529"/>
      <w:r>
        <w:rPr>
          <w:rFonts w:hint="cs"/>
          <w:rtl/>
        </w:rPr>
        <w:t xml:space="preserve">תודה לחבר הכנסת קריב. וכעת יעלה </w:t>
      </w:r>
      <w:bookmarkStart w:id="40530" w:name="_ETM_Q76_693000"/>
      <w:bookmarkEnd w:id="40530"/>
      <w:r>
        <w:rPr>
          <w:rFonts w:hint="cs"/>
          <w:rtl/>
        </w:rPr>
        <w:t xml:space="preserve">ויבוא חבר הכנסת חילי טרופר. </w:t>
      </w:r>
      <w:bookmarkStart w:id="40531" w:name="_ETM_Q76_564000"/>
      <w:bookmarkEnd w:id="40531"/>
      <w:r>
        <w:rPr>
          <w:rFonts w:hint="cs"/>
          <w:rtl/>
          <w:lang w:eastAsia="he-IL"/>
        </w:rPr>
        <w:t>עד 20 דקות, אדוני, לרשותך. בבקשה.</w:t>
      </w:r>
    </w:p>
    <w:p w:rsidR="00BB59CD" w:rsidRDefault="00BB59CD" w:rsidP="00BB59CD">
      <w:pPr>
        <w:rPr>
          <w:rtl/>
          <w:lang w:eastAsia="he-IL"/>
        </w:rPr>
      </w:pPr>
    </w:p>
    <w:p w:rsidR="00BB59CD" w:rsidRDefault="00BB59CD" w:rsidP="00BB59CD">
      <w:pPr>
        <w:pStyle w:val="a5"/>
        <w:keepNext/>
        <w:rPr>
          <w:rtl/>
        </w:rPr>
      </w:pPr>
      <w:bookmarkStart w:id="40532" w:name="ET_speaker_6143_3"/>
      <w:r>
        <w:rPr>
          <w:rStyle w:val="TagStyle"/>
          <w:rFonts w:hint="cs"/>
          <w:rtl/>
        </w:rPr>
        <w:t xml:space="preserve"> &lt;&lt; דובר &gt;&gt; </w:t>
      </w:r>
      <w:bookmarkStart w:id="40533" w:name="_Toc141197169"/>
      <w:bookmarkStart w:id="40534" w:name="_Toc141196905"/>
      <w:r>
        <w:rPr>
          <w:rFonts w:hint="cs"/>
          <w:rtl/>
        </w:rPr>
        <w:t>חילי טרופר (המחנה הממלכתי):</w:t>
      </w:r>
      <w:bookmarkEnd w:id="40533"/>
      <w:bookmarkEnd w:id="40534"/>
      <w:r>
        <w:rPr>
          <w:rStyle w:val="TagStyle"/>
          <w:rFonts w:hint="cs"/>
          <w:rtl/>
        </w:rPr>
        <w:t xml:space="preserve"> &lt;&lt; דובר &gt;&gt;</w:t>
      </w:r>
      <w:r>
        <w:rPr>
          <w:rFonts w:hint="cs"/>
          <w:rtl/>
        </w:rPr>
        <w:t xml:space="preserve">   </w:t>
      </w:r>
      <w:bookmarkEnd w:id="40532"/>
    </w:p>
    <w:p w:rsidR="00BB59CD" w:rsidRDefault="00BB59CD" w:rsidP="00337201">
      <w:pPr>
        <w:rPr>
          <w:rtl/>
          <w:lang w:eastAsia="he-IL"/>
        </w:rPr>
      </w:pPr>
    </w:p>
    <w:p w:rsidR="00BB59CD" w:rsidRDefault="00BB59CD" w:rsidP="00E367B5">
      <w:pPr>
        <w:rPr>
          <w:rtl/>
        </w:rPr>
      </w:pPr>
      <w:r>
        <w:rPr>
          <w:rFonts w:hint="cs"/>
          <w:rtl/>
          <w:lang w:eastAsia="he-IL"/>
        </w:rPr>
        <w:t xml:space="preserve">שלום, שלום. אדוני היושב-ראש, כנסת נכבדה, אני דווקא </w:t>
      </w:r>
      <w:bookmarkStart w:id="40535" w:name="_ETM_Q76_722000"/>
      <w:bookmarkEnd w:id="40535"/>
      <w:r>
        <w:rPr>
          <w:rFonts w:hint="cs"/>
          <w:rtl/>
          <w:lang w:eastAsia="he-IL"/>
        </w:rPr>
        <w:t xml:space="preserve">רוצה לפנות לאחיי ולאחיותיי התומכים בשינויים במערכת המשפט – חלקם, אגב, </w:t>
      </w:r>
      <w:bookmarkStart w:id="40536" w:name="_ETM_Q76_728000"/>
      <w:bookmarkEnd w:id="40536"/>
      <w:r>
        <w:rPr>
          <w:rFonts w:hint="cs"/>
          <w:rtl/>
          <w:lang w:eastAsia="he-IL"/>
        </w:rPr>
        <w:t xml:space="preserve">ממש אחים, בדם – אלה שרוצים בשינוי ביחסים בין הרשויות </w:t>
      </w:r>
      <w:bookmarkStart w:id="40537" w:name="_ETM_Q76_736000"/>
      <w:bookmarkEnd w:id="40537"/>
      <w:r>
        <w:rPr>
          <w:rFonts w:hint="cs"/>
          <w:rtl/>
          <w:lang w:eastAsia="he-IL"/>
        </w:rPr>
        <w:t xml:space="preserve">אבל רוצים למנוע קרע בעם; אלה שאין בהם שמחה לאיד, </w:t>
      </w:r>
      <w:bookmarkStart w:id="40538" w:name="_ETM_Q76_740000"/>
      <w:bookmarkEnd w:id="40538"/>
      <w:r>
        <w:rPr>
          <w:rFonts w:hint="cs"/>
          <w:rtl/>
          <w:lang w:eastAsia="he-IL"/>
        </w:rPr>
        <w:t xml:space="preserve">אלה שלא פותחים בר סלטים כי מבינים שכאשר מדובר בחיי </w:t>
      </w:r>
      <w:bookmarkStart w:id="40539" w:name="_ETM_Q76_744000"/>
      <w:bookmarkEnd w:id="40539"/>
      <w:r>
        <w:rPr>
          <w:rFonts w:hint="cs"/>
          <w:rtl/>
          <w:lang w:eastAsia="he-IL"/>
        </w:rPr>
        <w:t xml:space="preserve">אדם ובחייה של אומה, אין מקום לשנינויות סרות טעם; </w:t>
      </w:r>
      <w:bookmarkStart w:id="40540" w:name="_ETM_Q76_746000"/>
      <w:bookmarkEnd w:id="40540"/>
      <w:r>
        <w:rPr>
          <w:rFonts w:hint="cs"/>
          <w:rtl/>
          <w:lang w:eastAsia="he-IL"/>
        </w:rPr>
        <w:t xml:space="preserve">אלה שלא רוצים להכניס אצבע בעין ליריבים שלהם, כי זוכרים </w:t>
      </w:r>
      <w:bookmarkStart w:id="40541" w:name="_ETM_Q76_753000"/>
      <w:bookmarkEnd w:id="40541"/>
      <w:r>
        <w:rPr>
          <w:rFonts w:hint="cs"/>
          <w:rtl/>
          <w:lang w:eastAsia="he-IL"/>
        </w:rPr>
        <w:t>שבאחיהם מדובר</w:t>
      </w:r>
      <w:r w:rsidR="00E367B5">
        <w:rPr>
          <w:rFonts w:hint="cs"/>
          <w:rtl/>
          <w:lang w:eastAsia="he-IL"/>
        </w:rPr>
        <w:t>;</w:t>
      </w:r>
      <w:r>
        <w:rPr>
          <w:rFonts w:hint="cs"/>
          <w:rtl/>
          <w:lang w:eastAsia="he-IL"/>
        </w:rPr>
        <w:t xml:space="preserve"> אלה שמתנגדים לאי-התייצבות לשירות צבאי אך לא מבזים </w:t>
      </w:r>
      <w:bookmarkStart w:id="40542" w:name="_ETM_Q76_759000"/>
      <w:bookmarkEnd w:id="40542"/>
      <w:r>
        <w:rPr>
          <w:rFonts w:hint="cs"/>
          <w:rtl/>
          <w:lang w:eastAsia="he-IL"/>
        </w:rPr>
        <w:t xml:space="preserve">ולועגים למי שנתנו את מיטב חייהם בהגנה על המולדת; </w:t>
      </w:r>
      <w:bookmarkStart w:id="40543" w:name="_ETM_Q76_763000"/>
      <w:bookmarkStart w:id="40544" w:name="_ETM_Q76_765000"/>
      <w:bookmarkStart w:id="40545" w:name="TOR_Q77"/>
      <w:bookmarkStart w:id="40546" w:name="_ETM_Q77_180000"/>
      <w:bookmarkEnd w:id="40543"/>
      <w:bookmarkEnd w:id="40544"/>
      <w:bookmarkEnd w:id="40545"/>
      <w:bookmarkEnd w:id="40546"/>
      <w:r>
        <w:rPr>
          <w:rFonts w:hint="cs"/>
          <w:rtl/>
        </w:rPr>
        <w:t xml:space="preserve">אלה שלא מונעים ממוטיבציות של נקמה, של </w:t>
      </w:r>
      <w:r w:rsidR="00E367B5">
        <w:rPr>
          <w:rFonts w:hint="cs"/>
          <w:rtl/>
        </w:rPr>
        <w:t>"</w:t>
      </w:r>
      <w:r>
        <w:rPr>
          <w:rFonts w:hint="cs"/>
          <w:rtl/>
        </w:rPr>
        <w:t>להחזיר להם</w:t>
      </w:r>
      <w:r w:rsidR="00E367B5">
        <w:rPr>
          <w:rFonts w:hint="cs"/>
          <w:rtl/>
        </w:rPr>
        <w:t>"</w:t>
      </w:r>
      <w:r>
        <w:rPr>
          <w:rFonts w:hint="cs"/>
          <w:rtl/>
        </w:rPr>
        <w:t xml:space="preserve"> ושל </w:t>
      </w:r>
      <w:bookmarkStart w:id="40547" w:name="_ETM_Q77_168000"/>
      <w:bookmarkEnd w:id="40547"/>
      <w:r>
        <w:rPr>
          <w:rFonts w:hint="cs"/>
          <w:rtl/>
        </w:rPr>
        <w:t xml:space="preserve">שנאה כלפי אחיהם; אלה שרוצים להישאר כאן ביחד גם מחר </w:t>
      </w:r>
      <w:bookmarkStart w:id="40548" w:name="_ETM_Q77_172000"/>
      <w:bookmarkEnd w:id="40548"/>
      <w:r>
        <w:rPr>
          <w:rFonts w:hint="cs"/>
          <w:rtl/>
        </w:rPr>
        <w:t xml:space="preserve">אחר הצוהריים. האם כל מה שקורה עכשיו שווה את המחיר? </w:t>
      </w:r>
      <w:bookmarkStart w:id="40549" w:name="_ETM_Q77_176000"/>
      <w:bookmarkEnd w:id="40549"/>
      <w:r>
        <w:rPr>
          <w:rFonts w:hint="cs"/>
          <w:rtl/>
        </w:rPr>
        <w:t xml:space="preserve">האם זה שווה את השבר העמוק בעם, את הפגיעה הקשה ביחסים </w:t>
      </w:r>
      <w:bookmarkStart w:id="40550" w:name="_ETM_Q77_180420"/>
      <w:bookmarkEnd w:id="40550"/>
      <w:r>
        <w:rPr>
          <w:rFonts w:hint="cs"/>
          <w:rtl/>
        </w:rPr>
        <w:t xml:space="preserve">המדיניים </w:t>
      </w:r>
      <w:bookmarkStart w:id="40551" w:name="_ETM_Q77_180989"/>
      <w:bookmarkEnd w:id="40551"/>
      <w:r>
        <w:rPr>
          <w:rFonts w:hint="cs"/>
          <w:rtl/>
        </w:rPr>
        <w:t xml:space="preserve">עם </w:t>
      </w:r>
      <w:bookmarkStart w:id="40552" w:name="_ETM_Q77_181139"/>
      <w:bookmarkEnd w:id="40552"/>
      <w:r>
        <w:rPr>
          <w:rFonts w:hint="cs"/>
          <w:rtl/>
        </w:rPr>
        <w:t xml:space="preserve">השותפה </w:t>
      </w:r>
      <w:bookmarkStart w:id="40553" w:name="_ETM_Q77_181829"/>
      <w:bookmarkEnd w:id="40553"/>
      <w:r>
        <w:rPr>
          <w:rFonts w:hint="cs"/>
          <w:rtl/>
        </w:rPr>
        <w:t xml:space="preserve">האסטרטגית </w:t>
      </w:r>
      <w:bookmarkStart w:id="40554" w:name="_ETM_Q77_182460"/>
      <w:bookmarkEnd w:id="40554"/>
      <w:r>
        <w:rPr>
          <w:rFonts w:hint="cs"/>
          <w:rtl/>
        </w:rPr>
        <w:t xml:space="preserve">של </w:t>
      </w:r>
      <w:bookmarkStart w:id="40555" w:name="_ETM_Q77_182610"/>
      <w:bookmarkEnd w:id="40555"/>
      <w:r>
        <w:rPr>
          <w:rFonts w:hint="cs"/>
          <w:rtl/>
        </w:rPr>
        <w:t xml:space="preserve">ישראל, </w:t>
      </w:r>
      <w:bookmarkStart w:id="40556" w:name="_ETM_Q77_183499"/>
      <w:bookmarkEnd w:id="40556"/>
      <w:r>
        <w:rPr>
          <w:rFonts w:hint="cs"/>
          <w:rtl/>
        </w:rPr>
        <w:t xml:space="preserve">את הפגיעה </w:t>
      </w:r>
      <w:bookmarkStart w:id="40557" w:name="_ETM_Q77_183919"/>
      <w:bookmarkEnd w:id="40557"/>
      <w:r>
        <w:rPr>
          <w:rFonts w:hint="cs"/>
          <w:rtl/>
        </w:rPr>
        <w:t xml:space="preserve">המשמעותית </w:t>
      </w:r>
      <w:bookmarkStart w:id="40558" w:name="_ETM_Q77_184549"/>
      <w:bookmarkEnd w:id="40558"/>
      <w:r>
        <w:rPr>
          <w:rFonts w:hint="cs"/>
          <w:rtl/>
        </w:rPr>
        <w:t xml:space="preserve">בכלכלה </w:t>
      </w:r>
      <w:bookmarkStart w:id="40559" w:name="_ETM_Q77_186069"/>
      <w:bookmarkEnd w:id="40559"/>
      <w:r>
        <w:rPr>
          <w:rFonts w:hint="cs"/>
          <w:rtl/>
        </w:rPr>
        <w:t xml:space="preserve">והקרע </w:t>
      </w:r>
      <w:bookmarkStart w:id="40560" w:name="_ETM_Q77_186939"/>
      <w:bookmarkEnd w:id="40560"/>
      <w:r>
        <w:rPr>
          <w:rFonts w:hint="cs"/>
          <w:rtl/>
        </w:rPr>
        <w:t xml:space="preserve">בתוך </w:t>
      </w:r>
      <w:bookmarkStart w:id="40561" w:name="_ETM_Q77_187420"/>
      <w:bookmarkEnd w:id="40561"/>
      <w:r>
        <w:rPr>
          <w:rFonts w:hint="cs"/>
          <w:rtl/>
        </w:rPr>
        <w:t xml:space="preserve">צבא </w:t>
      </w:r>
      <w:bookmarkStart w:id="40562" w:name="_ETM_Q77_187689"/>
      <w:bookmarkEnd w:id="40562"/>
      <w:r>
        <w:rPr>
          <w:rFonts w:hint="cs"/>
          <w:rtl/>
        </w:rPr>
        <w:t xml:space="preserve">ההגנה </w:t>
      </w:r>
      <w:bookmarkStart w:id="40563" w:name="_ETM_Q77_188019"/>
      <w:bookmarkEnd w:id="40563"/>
      <w:r>
        <w:rPr>
          <w:rFonts w:hint="cs"/>
          <w:rtl/>
        </w:rPr>
        <w:t xml:space="preserve">לישראל, </w:t>
      </w:r>
      <w:bookmarkStart w:id="40564" w:name="_ETM_Q77_188619"/>
      <w:bookmarkEnd w:id="40564"/>
      <w:r>
        <w:rPr>
          <w:rFonts w:hint="cs"/>
          <w:rtl/>
        </w:rPr>
        <w:t xml:space="preserve">תסריט </w:t>
      </w:r>
      <w:bookmarkStart w:id="40565" w:name="_ETM_Q77_189099"/>
      <w:bookmarkEnd w:id="40565"/>
      <w:r>
        <w:rPr>
          <w:rFonts w:hint="cs"/>
          <w:rtl/>
        </w:rPr>
        <w:t xml:space="preserve">דמיוני </w:t>
      </w:r>
      <w:bookmarkStart w:id="40566" w:name="_ETM_Q77_189549"/>
      <w:bookmarkEnd w:id="40566"/>
      <w:r>
        <w:rPr>
          <w:rFonts w:hint="cs"/>
          <w:rtl/>
        </w:rPr>
        <w:t xml:space="preserve">עד </w:t>
      </w:r>
      <w:bookmarkStart w:id="40567" w:name="_ETM_Q77_189700"/>
      <w:bookmarkEnd w:id="40567"/>
      <w:r>
        <w:rPr>
          <w:rFonts w:hint="cs"/>
          <w:rtl/>
        </w:rPr>
        <w:t xml:space="preserve">לא </w:t>
      </w:r>
      <w:bookmarkStart w:id="40568" w:name="_ETM_Q77_189789"/>
      <w:bookmarkEnd w:id="40568"/>
      <w:r>
        <w:rPr>
          <w:rFonts w:hint="cs"/>
          <w:rtl/>
        </w:rPr>
        <w:t xml:space="preserve">מזמן? </w:t>
      </w:r>
      <w:bookmarkStart w:id="40569" w:name="_ETM_Q77_190869"/>
      <w:bookmarkEnd w:id="40569"/>
      <w:r>
        <w:rPr>
          <w:rFonts w:hint="cs"/>
          <w:rtl/>
        </w:rPr>
        <w:t xml:space="preserve">זה </w:t>
      </w:r>
      <w:bookmarkStart w:id="40570" w:name="_ETM_Q77_191049"/>
      <w:bookmarkEnd w:id="40570"/>
      <w:r>
        <w:rPr>
          <w:rFonts w:hint="cs"/>
          <w:rtl/>
        </w:rPr>
        <w:t xml:space="preserve">באמת </w:t>
      </w:r>
      <w:bookmarkStart w:id="40571" w:name="_ETM_Q77_191349"/>
      <w:bookmarkEnd w:id="40571"/>
      <w:r>
        <w:rPr>
          <w:rFonts w:hint="cs"/>
          <w:rtl/>
        </w:rPr>
        <w:t xml:space="preserve">שווה </w:t>
      </w:r>
      <w:bookmarkStart w:id="40572" w:name="_ETM_Q77_191709"/>
      <w:bookmarkEnd w:id="40572"/>
      <w:r>
        <w:rPr>
          <w:rFonts w:hint="cs"/>
          <w:rtl/>
        </w:rPr>
        <w:t xml:space="preserve">את </w:t>
      </w:r>
      <w:bookmarkStart w:id="40573" w:name="_ETM_Q77_191769"/>
      <w:bookmarkEnd w:id="40573"/>
      <w:r>
        <w:rPr>
          <w:rFonts w:hint="cs"/>
          <w:rtl/>
        </w:rPr>
        <w:t>זה?</w:t>
      </w:r>
    </w:p>
    <w:p w:rsidR="00BB59CD" w:rsidRDefault="00BB59CD" w:rsidP="00BB59CD">
      <w:pPr>
        <w:ind w:firstLine="0"/>
        <w:rPr>
          <w:rtl/>
        </w:rPr>
      </w:pPr>
    </w:p>
    <w:p w:rsidR="00BB59CD" w:rsidRDefault="00BB59CD" w:rsidP="00E367B5">
      <w:pPr>
        <w:rPr>
          <w:rtl/>
        </w:rPr>
      </w:pPr>
      <w:bookmarkStart w:id="40574" w:name="_ETM_Q77_193019"/>
      <w:bookmarkEnd w:id="40574"/>
      <w:r>
        <w:rPr>
          <w:rFonts w:hint="cs"/>
          <w:rtl/>
        </w:rPr>
        <w:t xml:space="preserve">האם </w:t>
      </w:r>
      <w:bookmarkStart w:id="40575" w:name="_ETM_Q77_193230"/>
      <w:bookmarkEnd w:id="40575"/>
      <w:r>
        <w:rPr>
          <w:rFonts w:hint="cs"/>
          <w:rtl/>
        </w:rPr>
        <w:t xml:space="preserve">כאשר </w:t>
      </w:r>
      <w:bookmarkStart w:id="40576" w:name="_ETM_Q77_193589"/>
      <w:bookmarkEnd w:id="40576"/>
      <w:r>
        <w:rPr>
          <w:rFonts w:hint="cs"/>
          <w:rtl/>
        </w:rPr>
        <w:t xml:space="preserve">אתם </w:t>
      </w:r>
      <w:bookmarkStart w:id="40577" w:name="_ETM_Q77_193769"/>
      <w:bookmarkEnd w:id="40577"/>
      <w:r>
        <w:rPr>
          <w:rFonts w:hint="cs"/>
          <w:rtl/>
        </w:rPr>
        <w:t xml:space="preserve">מביטים </w:t>
      </w:r>
      <w:bookmarkStart w:id="40578" w:name="_ETM_Q77_194249"/>
      <w:bookmarkEnd w:id="40578"/>
      <w:r>
        <w:rPr>
          <w:rFonts w:hint="cs"/>
          <w:rtl/>
        </w:rPr>
        <w:t xml:space="preserve">על </w:t>
      </w:r>
      <w:bookmarkStart w:id="40579" w:name="_ETM_Q77_194369"/>
      <w:bookmarkEnd w:id="40579"/>
      <w:r>
        <w:rPr>
          <w:rFonts w:hint="cs"/>
          <w:rtl/>
        </w:rPr>
        <w:t xml:space="preserve">המקום </w:t>
      </w:r>
      <w:bookmarkStart w:id="40580" w:name="_ETM_Q77_194759"/>
      <w:bookmarkEnd w:id="40580"/>
      <w:r>
        <w:rPr>
          <w:rFonts w:hint="cs"/>
          <w:rtl/>
        </w:rPr>
        <w:t xml:space="preserve">השבור </w:t>
      </w:r>
      <w:bookmarkStart w:id="40581" w:name="_ETM_Q77_195419"/>
      <w:bookmarkEnd w:id="40581"/>
      <w:r>
        <w:rPr>
          <w:rFonts w:hint="cs"/>
          <w:rtl/>
        </w:rPr>
        <w:t xml:space="preserve">ומלא </w:t>
      </w:r>
      <w:bookmarkStart w:id="40582" w:name="_ETM_Q77_195690"/>
      <w:bookmarkEnd w:id="40582"/>
      <w:r>
        <w:rPr>
          <w:rFonts w:hint="cs"/>
          <w:rtl/>
        </w:rPr>
        <w:t xml:space="preserve">הצער </w:t>
      </w:r>
      <w:bookmarkStart w:id="40583" w:name="_ETM_Q77_196320"/>
      <w:bookmarkEnd w:id="40583"/>
      <w:r>
        <w:rPr>
          <w:rFonts w:hint="cs"/>
          <w:rtl/>
        </w:rPr>
        <w:t xml:space="preserve">שמדינת </w:t>
      </w:r>
      <w:bookmarkStart w:id="40584" w:name="_ETM_Q77_196949"/>
      <w:bookmarkEnd w:id="40584"/>
      <w:r>
        <w:rPr>
          <w:rFonts w:hint="cs"/>
          <w:rtl/>
        </w:rPr>
        <w:t xml:space="preserve">ישראל </w:t>
      </w:r>
      <w:bookmarkStart w:id="40585" w:name="_ETM_Q77_197279"/>
      <w:bookmarkEnd w:id="40585"/>
      <w:r>
        <w:rPr>
          <w:rFonts w:hint="cs"/>
          <w:rtl/>
        </w:rPr>
        <w:t xml:space="preserve">נמצאת </w:t>
      </w:r>
      <w:bookmarkStart w:id="40586" w:name="_ETM_Q77_197669"/>
      <w:bookmarkEnd w:id="40586"/>
      <w:r>
        <w:rPr>
          <w:rFonts w:hint="cs"/>
          <w:rtl/>
        </w:rPr>
        <w:t xml:space="preserve">בו, </w:t>
      </w:r>
      <w:bookmarkStart w:id="40587" w:name="_ETM_Q77_198290"/>
      <w:bookmarkEnd w:id="40587"/>
      <w:r>
        <w:rPr>
          <w:rFonts w:hint="cs"/>
          <w:rtl/>
        </w:rPr>
        <w:t xml:space="preserve">אתם </w:t>
      </w:r>
      <w:bookmarkStart w:id="40588" w:name="_ETM_Q77_198590"/>
      <w:bookmarkEnd w:id="40588"/>
      <w:r>
        <w:rPr>
          <w:rFonts w:hint="cs"/>
          <w:rtl/>
        </w:rPr>
        <w:t xml:space="preserve">שלמים </w:t>
      </w:r>
      <w:bookmarkStart w:id="40589" w:name="_ETM_Q77_199010"/>
      <w:bookmarkEnd w:id="40589"/>
      <w:r>
        <w:rPr>
          <w:rFonts w:hint="cs"/>
          <w:rtl/>
        </w:rPr>
        <w:t xml:space="preserve">עם </w:t>
      </w:r>
      <w:bookmarkStart w:id="40590" w:name="_ETM_Q77_199130"/>
      <w:bookmarkEnd w:id="40590"/>
      <w:r>
        <w:rPr>
          <w:rFonts w:hint="cs"/>
          <w:rtl/>
        </w:rPr>
        <w:t xml:space="preserve">הדרך, </w:t>
      </w:r>
      <w:bookmarkStart w:id="40591" w:name="_ETM_Q77_199940"/>
      <w:bookmarkEnd w:id="40591"/>
      <w:r>
        <w:rPr>
          <w:rFonts w:hint="cs"/>
          <w:rtl/>
        </w:rPr>
        <w:t xml:space="preserve">עם </w:t>
      </w:r>
      <w:bookmarkStart w:id="40592" w:name="_ETM_Q77_200090"/>
      <w:bookmarkEnd w:id="40592"/>
      <w:r>
        <w:rPr>
          <w:rFonts w:hint="cs"/>
          <w:rtl/>
        </w:rPr>
        <w:t xml:space="preserve">כך </w:t>
      </w:r>
      <w:bookmarkStart w:id="40593" w:name="_ETM_Q77_200300"/>
      <w:bookmarkEnd w:id="40593"/>
      <w:r>
        <w:rPr>
          <w:rFonts w:hint="cs"/>
          <w:rtl/>
        </w:rPr>
        <w:t xml:space="preserve">שנכון </w:t>
      </w:r>
      <w:bookmarkStart w:id="40594" w:name="_ETM_Q77_200750"/>
      <w:bookmarkEnd w:id="40594"/>
      <w:r>
        <w:rPr>
          <w:rFonts w:hint="cs"/>
          <w:rtl/>
        </w:rPr>
        <w:t xml:space="preserve">להמשיך </w:t>
      </w:r>
      <w:bookmarkStart w:id="40595" w:name="_ETM_Q77_201110"/>
      <w:bookmarkEnd w:id="40595"/>
      <w:r>
        <w:rPr>
          <w:rFonts w:hint="cs"/>
          <w:rtl/>
        </w:rPr>
        <w:t xml:space="preserve">בדרך </w:t>
      </w:r>
      <w:bookmarkStart w:id="40596" w:name="_ETM_Q77_201560"/>
      <w:bookmarkEnd w:id="40596"/>
      <w:r>
        <w:rPr>
          <w:rFonts w:hint="cs"/>
          <w:rtl/>
        </w:rPr>
        <w:t xml:space="preserve">הזו? </w:t>
      </w:r>
      <w:bookmarkStart w:id="40597" w:name="_ETM_Q77_203000"/>
      <w:bookmarkStart w:id="40598" w:name="_ETM_Q77_202280"/>
      <w:bookmarkEnd w:id="40597"/>
      <w:bookmarkEnd w:id="40598"/>
      <w:r>
        <w:rPr>
          <w:rFonts w:hint="cs"/>
          <w:rtl/>
        </w:rPr>
        <w:t xml:space="preserve">נכון, </w:t>
      </w:r>
      <w:bookmarkStart w:id="40599" w:name="_ETM_Q77_203420"/>
      <w:bookmarkEnd w:id="40599"/>
      <w:r>
        <w:rPr>
          <w:rFonts w:hint="cs"/>
          <w:rtl/>
        </w:rPr>
        <w:t xml:space="preserve">צריך </w:t>
      </w:r>
      <w:bookmarkStart w:id="40600" w:name="_ETM_Q77_203600"/>
      <w:bookmarkEnd w:id="40600"/>
      <w:r>
        <w:rPr>
          <w:rFonts w:hint="cs"/>
          <w:rtl/>
        </w:rPr>
        <w:t xml:space="preserve">להגיד </w:t>
      </w:r>
      <w:bookmarkStart w:id="40601" w:name="_ETM_Q77_203870"/>
      <w:bookmarkEnd w:id="40601"/>
      <w:r>
        <w:rPr>
          <w:rFonts w:hint="cs"/>
          <w:rtl/>
        </w:rPr>
        <w:t xml:space="preserve">בכנות: </w:t>
      </w:r>
      <w:bookmarkStart w:id="40602" w:name="_ETM_Q77_204680"/>
      <w:bookmarkEnd w:id="40602"/>
      <w:r>
        <w:rPr>
          <w:rFonts w:hint="cs"/>
          <w:rtl/>
        </w:rPr>
        <w:t xml:space="preserve">לכולם </w:t>
      </w:r>
      <w:bookmarkStart w:id="40603" w:name="_ETM_Q77_205220"/>
      <w:bookmarkEnd w:id="40603"/>
      <w:r>
        <w:rPr>
          <w:rFonts w:hint="cs"/>
          <w:rtl/>
        </w:rPr>
        <w:t xml:space="preserve">יש </w:t>
      </w:r>
      <w:bookmarkStart w:id="40604" w:name="_ETM_Q77_205400"/>
      <w:bookmarkEnd w:id="40604"/>
      <w:r>
        <w:rPr>
          <w:rFonts w:hint="cs"/>
          <w:rtl/>
        </w:rPr>
        <w:t xml:space="preserve">אחריות </w:t>
      </w:r>
      <w:bookmarkStart w:id="40605" w:name="_ETM_Q77_205820"/>
      <w:bookmarkEnd w:id="40605"/>
      <w:r>
        <w:rPr>
          <w:rFonts w:hint="cs"/>
          <w:rtl/>
        </w:rPr>
        <w:t>ל</w:t>
      </w:r>
      <w:bookmarkStart w:id="40606" w:name="_ETM_Q77_205910"/>
      <w:bookmarkEnd w:id="40606"/>
      <w:r>
        <w:rPr>
          <w:rFonts w:hint="cs"/>
          <w:rtl/>
        </w:rPr>
        <w:t xml:space="preserve">מצב </w:t>
      </w:r>
      <w:bookmarkStart w:id="40607" w:name="_ETM_Q77_206819"/>
      <w:bookmarkEnd w:id="40607"/>
      <w:r>
        <w:rPr>
          <w:rFonts w:hint="cs"/>
          <w:rtl/>
        </w:rPr>
        <w:t xml:space="preserve">וכולנו </w:t>
      </w:r>
      <w:bookmarkStart w:id="40608" w:name="_ETM_Q77_207359"/>
      <w:bookmarkEnd w:id="40608"/>
      <w:r>
        <w:rPr>
          <w:rFonts w:hint="cs"/>
          <w:rtl/>
        </w:rPr>
        <w:t xml:space="preserve">צריכים </w:t>
      </w:r>
      <w:bookmarkStart w:id="40609" w:name="_ETM_Q77_207749"/>
      <w:bookmarkEnd w:id="40609"/>
      <w:r>
        <w:rPr>
          <w:rFonts w:hint="cs"/>
          <w:rtl/>
        </w:rPr>
        <w:t xml:space="preserve">לבדוק </w:t>
      </w:r>
      <w:bookmarkStart w:id="40610" w:name="_ETM_Q77_208079"/>
      <w:bookmarkEnd w:id="40610"/>
      <w:r>
        <w:rPr>
          <w:rFonts w:hint="cs"/>
          <w:rtl/>
        </w:rPr>
        <w:t xml:space="preserve">את </w:t>
      </w:r>
      <w:bookmarkStart w:id="40611" w:name="_ETM_Q77_208169"/>
      <w:bookmarkEnd w:id="40611"/>
      <w:r>
        <w:rPr>
          <w:rFonts w:hint="cs"/>
          <w:rtl/>
        </w:rPr>
        <w:t xml:space="preserve">עצמנו, </w:t>
      </w:r>
      <w:bookmarkStart w:id="40612" w:name="_ETM_Q77_209010"/>
      <w:bookmarkEnd w:id="40612"/>
      <w:r>
        <w:rPr>
          <w:rFonts w:hint="cs"/>
          <w:rtl/>
        </w:rPr>
        <w:t xml:space="preserve">ובוודאי </w:t>
      </w:r>
      <w:bookmarkStart w:id="40613" w:name="_ETM_Q77_209580"/>
      <w:bookmarkEnd w:id="40613"/>
      <w:r>
        <w:rPr>
          <w:rFonts w:hint="cs"/>
          <w:rtl/>
        </w:rPr>
        <w:t xml:space="preserve">שגם </w:t>
      </w:r>
      <w:bookmarkStart w:id="40614" w:name="_ETM_Q77_209910"/>
      <w:bookmarkEnd w:id="40614"/>
      <w:r>
        <w:rPr>
          <w:rFonts w:hint="cs"/>
          <w:rtl/>
        </w:rPr>
        <w:t xml:space="preserve">אנחנו </w:t>
      </w:r>
      <w:bookmarkStart w:id="40615" w:name="_ETM_Q77_210510"/>
      <w:bookmarkEnd w:id="40615"/>
      <w:r>
        <w:rPr>
          <w:rFonts w:hint="cs"/>
          <w:rtl/>
        </w:rPr>
        <w:t xml:space="preserve">עשינו </w:t>
      </w:r>
      <w:bookmarkStart w:id="40616" w:name="_ETM_Q77_210870"/>
      <w:bookmarkEnd w:id="40616"/>
      <w:r>
        <w:rPr>
          <w:rFonts w:hint="cs"/>
          <w:rtl/>
        </w:rPr>
        <w:t xml:space="preserve">טעויות </w:t>
      </w:r>
      <w:bookmarkStart w:id="40617" w:name="_ETM_Q77_211230"/>
      <w:bookmarkEnd w:id="40617"/>
      <w:r>
        <w:rPr>
          <w:rFonts w:hint="cs"/>
          <w:rtl/>
        </w:rPr>
        <w:t>בדרך</w:t>
      </w:r>
      <w:r w:rsidR="00E367B5">
        <w:rPr>
          <w:rFonts w:hint="cs"/>
          <w:rtl/>
        </w:rPr>
        <w:t>,</w:t>
      </w:r>
      <w:r>
        <w:rPr>
          <w:rFonts w:hint="cs"/>
          <w:rtl/>
        </w:rPr>
        <w:t xml:space="preserve"> </w:t>
      </w:r>
      <w:bookmarkStart w:id="40618" w:name="_ETM_Q77_212210"/>
      <w:bookmarkEnd w:id="40618"/>
      <w:r>
        <w:rPr>
          <w:rFonts w:hint="cs"/>
          <w:rtl/>
        </w:rPr>
        <w:t xml:space="preserve">אבל </w:t>
      </w:r>
      <w:bookmarkStart w:id="40619" w:name="_ETM_Q77_212479"/>
      <w:bookmarkEnd w:id="40619"/>
      <w:r>
        <w:rPr>
          <w:rFonts w:hint="cs"/>
          <w:rtl/>
        </w:rPr>
        <w:t xml:space="preserve">האחריות </w:t>
      </w:r>
      <w:bookmarkStart w:id="40620" w:name="_ETM_Q77_212989"/>
      <w:bookmarkEnd w:id="40620"/>
      <w:r>
        <w:rPr>
          <w:rFonts w:hint="cs"/>
          <w:rtl/>
        </w:rPr>
        <w:t xml:space="preserve">העליונה </w:t>
      </w:r>
      <w:bookmarkStart w:id="40621" w:name="_ETM_Q77_213739"/>
      <w:bookmarkEnd w:id="40621"/>
      <w:r>
        <w:rPr>
          <w:rFonts w:hint="cs"/>
          <w:rtl/>
        </w:rPr>
        <w:t xml:space="preserve">יושבת </w:t>
      </w:r>
      <w:bookmarkStart w:id="40622" w:name="_ETM_Q77_214399"/>
      <w:bookmarkEnd w:id="40622"/>
      <w:r>
        <w:rPr>
          <w:rFonts w:hint="cs"/>
          <w:rtl/>
        </w:rPr>
        <w:t xml:space="preserve">על </w:t>
      </w:r>
      <w:bookmarkStart w:id="40623" w:name="_ETM_Q77_214520"/>
      <w:bookmarkEnd w:id="40623"/>
      <w:r>
        <w:rPr>
          <w:rFonts w:hint="cs"/>
          <w:rtl/>
        </w:rPr>
        <w:t xml:space="preserve">ראש </w:t>
      </w:r>
      <w:bookmarkStart w:id="40624" w:name="_ETM_Q77_214820"/>
      <w:bookmarkEnd w:id="40624"/>
      <w:r>
        <w:rPr>
          <w:rFonts w:hint="cs"/>
          <w:rtl/>
        </w:rPr>
        <w:t xml:space="preserve">הממשלה </w:t>
      </w:r>
      <w:bookmarkStart w:id="40625" w:name="_ETM_Q77_215479"/>
      <w:bookmarkEnd w:id="40625"/>
      <w:r>
        <w:rPr>
          <w:rFonts w:hint="cs"/>
          <w:rtl/>
        </w:rPr>
        <w:t xml:space="preserve">וחברי </w:t>
      </w:r>
      <w:bookmarkStart w:id="40626" w:name="_ETM_Q77_215930"/>
      <w:bookmarkEnd w:id="40626"/>
      <w:r>
        <w:rPr>
          <w:rFonts w:hint="cs"/>
          <w:rtl/>
        </w:rPr>
        <w:t xml:space="preserve">ממשלתו. </w:t>
      </w:r>
      <w:bookmarkStart w:id="40627" w:name="_ETM_Q77_217040"/>
      <w:bookmarkEnd w:id="40627"/>
      <w:r>
        <w:rPr>
          <w:rFonts w:hint="cs"/>
          <w:rtl/>
        </w:rPr>
        <w:t xml:space="preserve">ייתכן </w:t>
      </w:r>
      <w:bookmarkStart w:id="40628" w:name="_ETM_Q77_217550"/>
      <w:bookmarkEnd w:id="40628"/>
      <w:r>
        <w:rPr>
          <w:rFonts w:hint="cs"/>
          <w:rtl/>
        </w:rPr>
        <w:t xml:space="preserve">שיש </w:t>
      </w:r>
      <w:bookmarkStart w:id="40629" w:name="_ETM_Q77_217820"/>
      <w:bookmarkEnd w:id="40629"/>
      <w:r>
        <w:rPr>
          <w:rFonts w:hint="cs"/>
          <w:rtl/>
        </w:rPr>
        <w:t xml:space="preserve">שותפים </w:t>
      </w:r>
      <w:bookmarkStart w:id="40630" w:name="_ETM_Q77_218300"/>
      <w:bookmarkEnd w:id="40630"/>
      <w:r>
        <w:rPr>
          <w:rFonts w:hint="cs"/>
          <w:rtl/>
        </w:rPr>
        <w:t xml:space="preserve">נוספים </w:t>
      </w:r>
      <w:bookmarkStart w:id="40631" w:name="_ETM_Q77_218809"/>
      <w:bookmarkEnd w:id="40631"/>
      <w:r>
        <w:rPr>
          <w:rFonts w:hint="cs"/>
          <w:rtl/>
        </w:rPr>
        <w:t xml:space="preserve">לאחריות </w:t>
      </w:r>
      <w:bookmarkStart w:id="40632" w:name="_ETM_Q77_219260"/>
      <w:bookmarkEnd w:id="40632"/>
      <w:r>
        <w:rPr>
          <w:rFonts w:hint="cs"/>
          <w:rtl/>
        </w:rPr>
        <w:t>ל</w:t>
      </w:r>
      <w:bookmarkStart w:id="40633" w:name="_ETM_Q77_219379"/>
      <w:bookmarkEnd w:id="40633"/>
      <w:r>
        <w:rPr>
          <w:rFonts w:hint="cs"/>
          <w:rtl/>
        </w:rPr>
        <w:t xml:space="preserve">מצב </w:t>
      </w:r>
      <w:bookmarkStart w:id="40634" w:name="_ETM_Q77_219739"/>
      <w:bookmarkEnd w:id="40634"/>
      <w:r>
        <w:rPr>
          <w:rFonts w:hint="cs"/>
          <w:rtl/>
        </w:rPr>
        <w:t xml:space="preserve">הקשה, </w:t>
      </w:r>
      <w:bookmarkStart w:id="40635" w:name="_ETM_Q77_220720"/>
      <w:bookmarkEnd w:id="40635"/>
      <w:r>
        <w:rPr>
          <w:rFonts w:hint="cs"/>
          <w:rtl/>
        </w:rPr>
        <w:t xml:space="preserve">סביר </w:t>
      </w:r>
      <w:bookmarkStart w:id="40636" w:name="_ETM_Q77_221170"/>
      <w:bookmarkEnd w:id="40636"/>
      <w:r>
        <w:rPr>
          <w:rFonts w:hint="cs"/>
          <w:rtl/>
        </w:rPr>
        <w:t>להניח</w:t>
      </w:r>
      <w:r w:rsidR="00E367B5">
        <w:rPr>
          <w:rFonts w:hint="cs"/>
          <w:rtl/>
        </w:rPr>
        <w:t>,</w:t>
      </w:r>
      <w:r>
        <w:rPr>
          <w:rFonts w:hint="cs"/>
          <w:rtl/>
        </w:rPr>
        <w:t xml:space="preserve"> </w:t>
      </w:r>
      <w:bookmarkStart w:id="40637" w:name="_ETM_Q77_221770"/>
      <w:bookmarkEnd w:id="40637"/>
      <w:r>
        <w:rPr>
          <w:rFonts w:hint="cs"/>
          <w:rtl/>
        </w:rPr>
        <w:t xml:space="preserve">אבל </w:t>
      </w:r>
      <w:bookmarkStart w:id="40638" w:name="_ETM_Q77_222040"/>
      <w:bookmarkEnd w:id="40638"/>
      <w:r>
        <w:rPr>
          <w:rFonts w:hint="cs"/>
          <w:rtl/>
        </w:rPr>
        <w:t xml:space="preserve">בסופו </w:t>
      </w:r>
      <w:bookmarkStart w:id="40639" w:name="_ETM_Q77_222550"/>
      <w:bookmarkEnd w:id="40639"/>
      <w:r>
        <w:rPr>
          <w:rFonts w:hint="cs"/>
          <w:rtl/>
        </w:rPr>
        <w:t xml:space="preserve">של </w:t>
      </w:r>
      <w:bookmarkStart w:id="40640" w:name="_ETM_Q77_222729"/>
      <w:bookmarkEnd w:id="40640"/>
      <w:r>
        <w:rPr>
          <w:rFonts w:hint="cs"/>
          <w:rtl/>
        </w:rPr>
        <w:t xml:space="preserve">יום </w:t>
      </w:r>
      <w:bookmarkStart w:id="40641" w:name="_ETM_Q77_223420"/>
      <w:bookmarkEnd w:id="40641"/>
      <w:r>
        <w:rPr>
          <w:rFonts w:hint="cs"/>
          <w:rtl/>
        </w:rPr>
        <w:t xml:space="preserve">יש </w:t>
      </w:r>
      <w:bookmarkStart w:id="40642" w:name="_ETM_Q77_223659"/>
      <w:bookmarkEnd w:id="40642"/>
      <w:r>
        <w:rPr>
          <w:rFonts w:hint="cs"/>
          <w:rtl/>
        </w:rPr>
        <w:t xml:space="preserve">ראש </w:t>
      </w:r>
      <w:bookmarkStart w:id="40643" w:name="_ETM_Q77_223900"/>
      <w:bookmarkEnd w:id="40643"/>
      <w:r>
        <w:rPr>
          <w:rFonts w:hint="cs"/>
          <w:rtl/>
        </w:rPr>
        <w:t xml:space="preserve">ממשלה </w:t>
      </w:r>
      <w:bookmarkStart w:id="40644" w:name="_ETM_Q77_224350"/>
      <w:bookmarkEnd w:id="40644"/>
      <w:r>
        <w:rPr>
          <w:rFonts w:hint="cs"/>
          <w:rtl/>
        </w:rPr>
        <w:t xml:space="preserve">בישראל </w:t>
      </w:r>
      <w:bookmarkStart w:id="40645" w:name="_ETM_Q77_225489"/>
      <w:bookmarkEnd w:id="40645"/>
      <w:r>
        <w:rPr>
          <w:rFonts w:hint="cs"/>
          <w:rtl/>
        </w:rPr>
        <w:t xml:space="preserve">וכשישראל </w:t>
      </w:r>
      <w:bookmarkStart w:id="40646" w:name="_ETM_Q77_226180"/>
      <w:bookmarkEnd w:id="40646"/>
      <w:r>
        <w:rPr>
          <w:rFonts w:hint="cs"/>
          <w:rtl/>
        </w:rPr>
        <w:t xml:space="preserve">במצב </w:t>
      </w:r>
      <w:bookmarkStart w:id="40647" w:name="_ETM_Q77_226629"/>
      <w:bookmarkEnd w:id="40647"/>
      <w:r>
        <w:rPr>
          <w:rFonts w:hint="cs"/>
          <w:rtl/>
        </w:rPr>
        <w:t xml:space="preserve">כה קשה </w:t>
      </w:r>
      <w:bookmarkStart w:id="40648" w:name="_ETM_Q77_227649"/>
      <w:bookmarkEnd w:id="40648"/>
      <w:r>
        <w:rPr>
          <w:rFonts w:hint="cs"/>
          <w:rtl/>
        </w:rPr>
        <w:t xml:space="preserve">יש </w:t>
      </w:r>
      <w:bookmarkStart w:id="40649" w:name="_ETM_Q77_227859"/>
      <w:bookmarkEnd w:id="40649"/>
      <w:r>
        <w:rPr>
          <w:rFonts w:hint="cs"/>
          <w:rtl/>
        </w:rPr>
        <w:t xml:space="preserve">לו </w:t>
      </w:r>
      <w:bookmarkStart w:id="40650" w:name="_ETM_Q77_227979"/>
      <w:bookmarkEnd w:id="40650"/>
      <w:r>
        <w:rPr>
          <w:rFonts w:hint="cs"/>
          <w:rtl/>
        </w:rPr>
        <w:t xml:space="preserve">אחריות </w:t>
      </w:r>
      <w:bookmarkStart w:id="40651" w:name="_ETM_Q77_228430"/>
      <w:bookmarkEnd w:id="40651"/>
      <w:r>
        <w:rPr>
          <w:rFonts w:hint="cs"/>
          <w:rtl/>
        </w:rPr>
        <w:t xml:space="preserve">עליונה, </w:t>
      </w:r>
      <w:bookmarkStart w:id="40652" w:name="_ETM_Q77_229120"/>
      <w:bookmarkEnd w:id="40652"/>
      <w:r>
        <w:rPr>
          <w:rFonts w:hint="cs"/>
          <w:rtl/>
        </w:rPr>
        <w:t xml:space="preserve">ובעיקר </w:t>
      </w:r>
      <w:bookmarkStart w:id="40653" w:name="_ETM_Q77_229539"/>
      <w:bookmarkEnd w:id="40653"/>
      <w:r>
        <w:rPr>
          <w:rFonts w:hint="cs"/>
          <w:rtl/>
        </w:rPr>
        <w:t xml:space="preserve">מחויבות </w:t>
      </w:r>
      <w:bookmarkStart w:id="40654" w:name="_ETM_Q77_230199"/>
      <w:bookmarkEnd w:id="40654"/>
      <w:r>
        <w:rPr>
          <w:rFonts w:hint="cs"/>
          <w:rtl/>
        </w:rPr>
        <w:t xml:space="preserve">עליונה, </w:t>
      </w:r>
      <w:bookmarkStart w:id="40655" w:name="_ETM_Q77_231050"/>
      <w:bookmarkEnd w:id="40655"/>
      <w:r>
        <w:rPr>
          <w:rFonts w:hint="cs"/>
          <w:rtl/>
        </w:rPr>
        <w:t xml:space="preserve">לחלץ </w:t>
      </w:r>
      <w:bookmarkStart w:id="40656" w:name="_ETM_Q77_231649"/>
      <w:bookmarkEnd w:id="40656"/>
      <w:r>
        <w:rPr>
          <w:rFonts w:hint="cs"/>
          <w:rtl/>
        </w:rPr>
        <w:t xml:space="preserve">אותנו </w:t>
      </w:r>
      <w:bookmarkStart w:id="40657" w:name="_ETM_Q77_232070"/>
      <w:bookmarkEnd w:id="40657"/>
      <w:r>
        <w:rPr>
          <w:rFonts w:hint="cs"/>
          <w:rtl/>
        </w:rPr>
        <w:t xml:space="preserve">מהבור </w:t>
      </w:r>
      <w:bookmarkStart w:id="40658" w:name="_ETM_Q77_232610"/>
      <w:bookmarkEnd w:id="40658"/>
      <w:r>
        <w:rPr>
          <w:rFonts w:hint="cs"/>
          <w:rtl/>
        </w:rPr>
        <w:t xml:space="preserve">החשוך </w:t>
      </w:r>
      <w:bookmarkStart w:id="40659" w:name="_ETM_Q77_233059"/>
      <w:bookmarkEnd w:id="40659"/>
      <w:r>
        <w:rPr>
          <w:rFonts w:hint="cs"/>
          <w:rtl/>
        </w:rPr>
        <w:t>הזה.</w:t>
      </w:r>
    </w:p>
    <w:p w:rsidR="00BB59CD" w:rsidRDefault="00BB59CD" w:rsidP="00BB59CD">
      <w:pPr>
        <w:rPr>
          <w:rtl/>
        </w:rPr>
      </w:pPr>
    </w:p>
    <w:p w:rsidR="00BB59CD" w:rsidRDefault="00BB59CD" w:rsidP="00E367B5">
      <w:pPr>
        <w:rPr>
          <w:rtl/>
        </w:rPr>
      </w:pPr>
      <w:bookmarkStart w:id="40660" w:name="_ETM_Q77_236000"/>
      <w:bookmarkStart w:id="40661" w:name="_ETM_Q77_234760"/>
      <w:bookmarkEnd w:id="40660"/>
      <w:bookmarkEnd w:id="40661"/>
      <w:r>
        <w:rPr>
          <w:rFonts w:hint="cs"/>
          <w:rtl/>
        </w:rPr>
        <w:t xml:space="preserve">אני </w:t>
      </w:r>
      <w:bookmarkStart w:id="40662" w:name="_ETM_Q77_235030"/>
      <w:bookmarkEnd w:id="40662"/>
      <w:r>
        <w:rPr>
          <w:rFonts w:hint="cs"/>
          <w:rtl/>
        </w:rPr>
        <w:t xml:space="preserve">אוהב </w:t>
      </w:r>
      <w:bookmarkStart w:id="40663" w:name="_ETM_Q77_235270"/>
      <w:bookmarkStart w:id="40664" w:name="_ETM_Q77_235390"/>
      <w:bookmarkStart w:id="40665" w:name="_ETM_Q77_235810"/>
      <w:bookmarkEnd w:id="40663"/>
      <w:bookmarkEnd w:id="40664"/>
      <w:bookmarkEnd w:id="40665"/>
      <w:r>
        <w:rPr>
          <w:rFonts w:hint="cs"/>
          <w:rtl/>
        </w:rPr>
        <w:t xml:space="preserve">עד כלות את </w:t>
      </w:r>
      <w:bookmarkStart w:id="40666" w:name="_ETM_Q77_235930"/>
      <w:bookmarkEnd w:id="40666"/>
      <w:r>
        <w:rPr>
          <w:rFonts w:hint="cs"/>
          <w:rtl/>
        </w:rPr>
        <w:t xml:space="preserve">הארץ </w:t>
      </w:r>
      <w:bookmarkStart w:id="40667" w:name="_ETM_Q77_236290"/>
      <w:bookmarkEnd w:id="40667"/>
      <w:r>
        <w:rPr>
          <w:rFonts w:hint="cs"/>
          <w:rtl/>
        </w:rPr>
        <w:t xml:space="preserve">הזו </w:t>
      </w:r>
      <w:bookmarkStart w:id="40668" w:name="_ETM_Q77_236960"/>
      <w:bookmarkEnd w:id="40668"/>
      <w:r>
        <w:rPr>
          <w:rFonts w:hint="cs"/>
          <w:rtl/>
        </w:rPr>
        <w:t xml:space="preserve">ואת </w:t>
      </w:r>
      <w:bookmarkStart w:id="40669" w:name="_ETM_Q77_237320"/>
      <w:bookmarkEnd w:id="40669"/>
      <w:r>
        <w:rPr>
          <w:rFonts w:hint="cs"/>
          <w:rtl/>
        </w:rPr>
        <w:t xml:space="preserve">העם </w:t>
      </w:r>
      <w:bookmarkStart w:id="40670" w:name="_ETM_Q77_237620"/>
      <w:bookmarkEnd w:id="40670"/>
      <w:r>
        <w:rPr>
          <w:rFonts w:hint="cs"/>
          <w:rtl/>
        </w:rPr>
        <w:t xml:space="preserve">הזה. </w:t>
      </w:r>
      <w:bookmarkStart w:id="40671" w:name="_ETM_Q77_238460"/>
      <w:bookmarkEnd w:id="40671"/>
      <w:r>
        <w:rPr>
          <w:rFonts w:hint="cs"/>
          <w:rtl/>
        </w:rPr>
        <w:t xml:space="preserve">הארץ </w:t>
      </w:r>
      <w:bookmarkStart w:id="40672" w:name="_ETM_Q77_238969"/>
      <w:bookmarkEnd w:id="40672"/>
      <w:r>
        <w:rPr>
          <w:rFonts w:hint="cs"/>
          <w:rtl/>
        </w:rPr>
        <w:t xml:space="preserve">היא </w:t>
      </w:r>
      <w:bookmarkStart w:id="40673" w:name="_ETM_Q77_239030"/>
      <w:bookmarkEnd w:id="40673"/>
      <w:r>
        <w:rPr>
          <w:rFonts w:hint="cs"/>
          <w:rtl/>
        </w:rPr>
        <w:t xml:space="preserve">לא </w:t>
      </w:r>
      <w:bookmarkStart w:id="40674" w:name="_ETM_Q77_239179"/>
      <w:bookmarkEnd w:id="40674"/>
      <w:r>
        <w:rPr>
          <w:rFonts w:hint="cs"/>
          <w:rtl/>
        </w:rPr>
        <w:t>רעה</w:t>
      </w:r>
      <w:r w:rsidR="00E367B5">
        <w:rPr>
          <w:rFonts w:hint="cs"/>
          <w:rtl/>
        </w:rPr>
        <w:t>,</w:t>
      </w:r>
      <w:r>
        <w:rPr>
          <w:rFonts w:hint="cs"/>
          <w:rtl/>
        </w:rPr>
        <w:t xml:space="preserve"> </w:t>
      </w:r>
      <w:bookmarkStart w:id="40675" w:name="_ETM_Q77_239479"/>
      <w:bookmarkEnd w:id="40675"/>
      <w:r>
        <w:rPr>
          <w:rFonts w:hint="cs"/>
          <w:rtl/>
        </w:rPr>
        <w:t>חלילה</w:t>
      </w:r>
      <w:r w:rsidR="00E367B5">
        <w:rPr>
          <w:rFonts w:hint="cs"/>
          <w:rtl/>
        </w:rPr>
        <w:t>,</w:t>
      </w:r>
      <w:r>
        <w:rPr>
          <w:rFonts w:hint="cs"/>
          <w:rtl/>
        </w:rPr>
        <w:t xml:space="preserve"> </w:t>
      </w:r>
      <w:bookmarkStart w:id="40676" w:name="_ETM_Q77_240199"/>
      <w:bookmarkEnd w:id="40676"/>
      <w:r>
        <w:rPr>
          <w:rFonts w:hint="cs"/>
          <w:rtl/>
        </w:rPr>
        <w:t xml:space="preserve">ובני </w:t>
      </w:r>
      <w:bookmarkStart w:id="40677" w:name="_ETM_Q77_240589"/>
      <w:bookmarkEnd w:id="40677"/>
      <w:r>
        <w:rPr>
          <w:rFonts w:hint="cs"/>
          <w:rtl/>
        </w:rPr>
        <w:t xml:space="preserve">ובנות </w:t>
      </w:r>
      <w:bookmarkStart w:id="40678" w:name="_ETM_Q77_240979"/>
      <w:bookmarkEnd w:id="40678"/>
      <w:r>
        <w:rPr>
          <w:rFonts w:hint="cs"/>
          <w:rtl/>
        </w:rPr>
        <w:t xml:space="preserve">העם </w:t>
      </w:r>
      <w:bookmarkStart w:id="40679" w:name="_ETM_Q77_241670"/>
      <w:bookmarkEnd w:id="40679"/>
      <w:r>
        <w:rPr>
          <w:rFonts w:hint="cs"/>
          <w:rtl/>
        </w:rPr>
        <w:t xml:space="preserve">כולם </w:t>
      </w:r>
      <w:bookmarkStart w:id="40680" w:name="_ETM_Q77_242179"/>
      <w:bookmarkEnd w:id="40680"/>
      <w:r>
        <w:rPr>
          <w:rFonts w:hint="cs"/>
          <w:rtl/>
        </w:rPr>
        <w:t xml:space="preserve">יקרים </w:t>
      </w:r>
      <w:bookmarkStart w:id="40681" w:name="_ETM_Q77_242690"/>
      <w:bookmarkEnd w:id="40681"/>
      <w:r>
        <w:rPr>
          <w:rFonts w:hint="cs"/>
          <w:rtl/>
        </w:rPr>
        <w:t xml:space="preserve">וטובים. </w:t>
      </w:r>
      <w:bookmarkStart w:id="40682" w:name="_ETM_Q77_243720"/>
      <w:bookmarkEnd w:id="40682"/>
      <w:r>
        <w:rPr>
          <w:rFonts w:hint="cs"/>
          <w:rtl/>
        </w:rPr>
        <w:t xml:space="preserve">אבל </w:t>
      </w:r>
      <w:bookmarkStart w:id="40683" w:name="_ETM_Q77_243990"/>
      <w:bookmarkEnd w:id="40683"/>
      <w:r>
        <w:rPr>
          <w:rFonts w:hint="cs"/>
          <w:rtl/>
        </w:rPr>
        <w:t>רע</w:t>
      </w:r>
      <w:bookmarkStart w:id="40684" w:name="_ETM_Q77_244230"/>
      <w:bookmarkEnd w:id="40684"/>
      <w:r>
        <w:rPr>
          <w:rFonts w:hint="cs"/>
          <w:rtl/>
        </w:rPr>
        <w:t xml:space="preserve"> מאוד </w:t>
      </w:r>
      <w:bookmarkStart w:id="40685" w:name="_ETM_Q77_244650"/>
      <w:bookmarkEnd w:id="40685"/>
      <w:r>
        <w:rPr>
          <w:rFonts w:hint="cs"/>
          <w:rtl/>
        </w:rPr>
        <w:t xml:space="preserve">בארץ </w:t>
      </w:r>
      <w:bookmarkStart w:id="40686" w:name="_ETM_Q77_245100"/>
      <w:bookmarkEnd w:id="40686"/>
      <w:r>
        <w:rPr>
          <w:rFonts w:hint="cs"/>
          <w:rtl/>
        </w:rPr>
        <w:t xml:space="preserve">היום </w:t>
      </w:r>
      <w:bookmarkStart w:id="40687" w:name="_ETM_Q77_245670"/>
      <w:bookmarkEnd w:id="40687"/>
      <w:r>
        <w:rPr>
          <w:rFonts w:hint="cs"/>
          <w:rtl/>
        </w:rPr>
        <w:t xml:space="preserve">ורע </w:t>
      </w:r>
      <w:bookmarkStart w:id="40688" w:name="_ETM_Q77_246030"/>
      <w:bookmarkEnd w:id="40688"/>
      <w:r>
        <w:rPr>
          <w:rFonts w:hint="cs"/>
          <w:rtl/>
        </w:rPr>
        <w:t xml:space="preserve">מאוד </w:t>
      </w:r>
      <w:bookmarkStart w:id="40689" w:name="_ETM_Q77_246390"/>
      <w:bookmarkEnd w:id="40689"/>
      <w:r>
        <w:rPr>
          <w:rFonts w:hint="cs"/>
          <w:rtl/>
        </w:rPr>
        <w:t xml:space="preserve">לעם </w:t>
      </w:r>
      <w:bookmarkStart w:id="40690" w:name="_ETM_Q77_246630"/>
      <w:bookmarkEnd w:id="40690"/>
      <w:r>
        <w:rPr>
          <w:rFonts w:hint="cs"/>
          <w:rtl/>
        </w:rPr>
        <w:t xml:space="preserve">הזה. </w:t>
      </w:r>
      <w:bookmarkStart w:id="40691" w:name="_ETM_Q77_247479"/>
      <w:bookmarkEnd w:id="40691"/>
      <w:r>
        <w:rPr>
          <w:rFonts w:hint="cs"/>
          <w:rtl/>
        </w:rPr>
        <w:t xml:space="preserve">בעיניים </w:t>
      </w:r>
      <w:bookmarkStart w:id="40692" w:name="_ETM_Q77_248020"/>
      <w:bookmarkEnd w:id="40692"/>
      <w:r>
        <w:rPr>
          <w:rFonts w:hint="cs"/>
          <w:rtl/>
        </w:rPr>
        <w:t xml:space="preserve">עצובות </w:t>
      </w:r>
      <w:bookmarkStart w:id="40693" w:name="_ETM_Q77_248799"/>
      <w:bookmarkEnd w:id="40693"/>
      <w:r>
        <w:rPr>
          <w:rFonts w:hint="cs"/>
          <w:rtl/>
        </w:rPr>
        <w:t xml:space="preserve">ובלב </w:t>
      </w:r>
      <w:bookmarkStart w:id="40694" w:name="_ETM_Q77_249189"/>
      <w:bookmarkEnd w:id="40694"/>
      <w:r>
        <w:rPr>
          <w:rFonts w:hint="cs"/>
          <w:rtl/>
        </w:rPr>
        <w:t xml:space="preserve">שבור </w:t>
      </w:r>
      <w:bookmarkStart w:id="40695" w:name="_ETM_Q77_250209"/>
      <w:bookmarkEnd w:id="40695"/>
      <w:r>
        <w:rPr>
          <w:rFonts w:hint="cs"/>
          <w:rtl/>
        </w:rPr>
        <w:t xml:space="preserve">אני </w:t>
      </w:r>
      <w:bookmarkStart w:id="40696" w:name="_ETM_Q77_250420"/>
      <w:bookmarkEnd w:id="40696"/>
      <w:r>
        <w:rPr>
          <w:rFonts w:hint="cs"/>
          <w:rtl/>
        </w:rPr>
        <w:t xml:space="preserve">מביט </w:t>
      </w:r>
      <w:bookmarkStart w:id="40697" w:name="_ETM_Q77_250840"/>
      <w:bookmarkEnd w:id="40697"/>
      <w:r>
        <w:rPr>
          <w:rFonts w:hint="cs"/>
          <w:rtl/>
        </w:rPr>
        <w:t xml:space="preserve">על </w:t>
      </w:r>
      <w:bookmarkStart w:id="40698" w:name="_ETM_Q77_250959"/>
      <w:bookmarkEnd w:id="40698"/>
      <w:r>
        <w:rPr>
          <w:rFonts w:hint="cs"/>
          <w:rtl/>
        </w:rPr>
        <w:t xml:space="preserve">המקום </w:t>
      </w:r>
      <w:bookmarkStart w:id="40699" w:name="_ETM_Q77_251350"/>
      <w:bookmarkEnd w:id="40699"/>
      <w:r>
        <w:rPr>
          <w:rFonts w:hint="cs"/>
          <w:rtl/>
        </w:rPr>
        <w:t xml:space="preserve">הקרוע </w:t>
      </w:r>
      <w:bookmarkStart w:id="40700" w:name="_ETM_Q77_252189"/>
      <w:bookmarkEnd w:id="40700"/>
      <w:r>
        <w:rPr>
          <w:rFonts w:hint="cs"/>
          <w:rtl/>
        </w:rPr>
        <w:t xml:space="preserve">והמפולג </w:t>
      </w:r>
      <w:bookmarkStart w:id="40701" w:name="_ETM_Q77_253180"/>
      <w:bookmarkEnd w:id="40701"/>
      <w:r>
        <w:rPr>
          <w:rFonts w:hint="cs"/>
          <w:rtl/>
        </w:rPr>
        <w:t xml:space="preserve">שבו </w:t>
      </w:r>
      <w:bookmarkStart w:id="40702" w:name="_ETM_Q77_253540"/>
      <w:bookmarkEnd w:id="40702"/>
      <w:r>
        <w:rPr>
          <w:rFonts w:hint="cs"/>
          <w:rtl/>
        </w:rPr>
        <w:t xml:space="preserve">מצויה </w:t>
      </w:r>
      <w:bookmarkStart w:id="40703" w:name="_ETM_Q77_254020"/>
      <w:bookmarkEnd w:id="40703"/>
      <w:r>
        <w:rPr>
          <w:rFonts w:hint="cs"/>
          <w:rtl/>
        </w:rPr>
        <w:t xml:space="preserve">ישראל. </w:t>
      </w:r>
      <w:bookmarkStart w:id="40704" w:name="_ETM_Q77_255340"/>
      <w:bookmarkEnd w:id="40704"/>
      <w:r>
        <w:rPr>
          <w:rFonts w:hint="cs"/>
          <w:rtl/>
        </w:rPr>
        <w:t xml:space="preserve">ברגע </w:t>
      </w:r>
      <w:bookmarkStart w:id="40705" w:name="_ETM_Q77_255819"/>
      <w:bookmarkEnd w:id="40705"/>
      <w:r>
        <w:rPr>
          <w:rFonts w:hint="cs"/>
          <w:rtl/>
        </w:rPr>
        <w:t xml:space="preserve">כזה </w:t>
      </w:r>
      <w:bookmarkStart w:id="40706" w:name="_ETM_Q77_256730"/>
      <w:bookmarkEnd w:id="40706"/>
      <w:r>
        <w:rPr>
          <w:rFonts w:hint="cs"/>
          <w:rtl/>
        </w:rPr>
        <w:t xml:space="preserve">כולנו </w:t>
      </w:r>
      <w:bookmarkStart w:id="40707" w:name="_ETM_Q77_257150"/>
      <w:bookmarkEnd w:id="40707"/>
      <w:r>
        <w:rPr>
          <w:rFonts w:hint="cs"/>
          <w:rtl/>
        </w:rPr>
        <w:t xml:space="preserve">צריכים </w:t>
      </w:r>
      <w:bookmarkStart w:id="40708" w:name="_ETM_Q77_257540"/>
      <w:bookmarkEnd w:id="40708"/>
      <w:r>
        <w:rPr>
          <w:rFonts w:hint="cs"/>
          <w:rtl/>
        </w:rPr>
        <w:t xml:space="preserve">להתעלות </w:t>
      </w:r>
      <w:bookmarkStart w:id="40709" w:name="_ETM_Q77_258350"/>
      <w:bookmarkEnd w:id="40709"/>
      <w:r>
        <w:rPr>
          <w:rFonts w:hint="cs"/>
          <w:rtl/>
        </w:rPr>
        <w:t xml:space="preserve">על </w:t>
      </w:r>
      <w:bookmarkStart w:id="40710" w:name="_ETM_Q77_258500"/>
      <w:bookmarkEnd w:id="40710"/>
      <w:r>
        <w:rPr>
          <w:rFonts w:hint="cs"/>
          <w:rtl/>
        </w:rPr>
        <w:t xml:space="preserve">מנת </w:t>
      </w:r>
      <w:bookmarkStart w:id="40711" w:name="_ETM_Q77_258800"/>
      <w:bookmarkEnd w:id="40711"/>
      <w:r>
        <w:rPr>
          <w:rFonts w:hint="cs"/>
          <w:rtl/>
        </w:rPr>
        <w:t xml:space="preserve">למנוע </w:t>
      </w:r>
      <w:bookmarkStart w:id="40712" w:name="_ETM_Q77_259819"/>
      <w:bookmarkEnd w:id="40712"/>
      <w:r>
        <w:rPr>
          <w:rFonts w:hint="cs"/>
          <w:rtl/>
        </w:rPr>
        <w:t xml:space="preserve">את </w:t>
      </w:r>
      <w:bookmarkStart w:id="40713" w:name="_ETM_Q77_259970"/>
      <w:bookmarkEnd w:id="40713"/>
      <w:r>
        <w:rPr>
          <w:rFonts w:hint="cs"/>
          <w:rtl/>
        </w:rPr>
        <w:t xml:space="preserve">נפילתה </w:t>
      </w:r>
      <w:bookmarkStart w:id="40714" w:name="_ETM_Q77_260660"/>
      <w:bookmarkEnd w:id="40714"/>
      <w:r>
        <w:rPr>
          <w:rFonts w:hint="cs"/>
          <w:rtl/>
        </w:rPr>
        <w:t xml:space="preserve">של </w:t>
      </w:r>
      <w:bookmarkStart w:id="40715" w:name="_ETM_Q77_260840"/>
      <w:bookmarkEnd w:id="40715"/>
      <w:r>
        <w:rPr>
          <w:rFonts w:hint="cs"/>
          <w:rtl/>
        </w:rPr>
        <w:t xml:space="preserve">ישראל </w:t>
      </w:r>
      <w:bookmarkStart w:id="40716" w:name="_ETM_Q77_261260"/>
      <w:bookmarkEnd w:id="40716"/>
      <w:r>
        <w:rPr>
          <w:rFonts w:hint="cs"/>
          <w:rtl/>
        </w:rPr>
        <w:t xml:space="preserve">לתהום, </w:t>
      </w:r>
      <w:bookmarkStart w:id="40717" w:name="_ETM_Q77_262130"/>
      <w:bookmarkEnd w:id="40717"/>
      <w:r>
        <w:rPr>
          <w:rFonts w:hint="cs"/>
          <w:rtl/>
        </w:rPr>
        <w:t xml:space="preserve">אבל </w:t>
      </w:r>
      <w:bookmarkStart w:id="40718" w:name="_ETM_Q77_262430"/>
      <w:bookmarkEnd w:id="40718"/>
      <w:r>
        <w:rPr>
          <w:rFonts w:hint="cs"/>
          <w:rtl/>
        </w:rPr>
        <w:t xml:space="preserve">לצורך </w:t>
      </w:r>
      <w:bookmarkStart w:id="40719" w:name="_ETM_Q77_262880"/>
      <w:bookmarkEnd w:id="40719"/>
      <w:r>
        <w:rPr>
          <w:rFonts w:hint="cs"/>
          <w:rtl/>
        </w:rPr>
        <w:t xml:space="preserve">כך </w:t>
      </w:r>
      <w:bookmarkStart w:id="40720" w:name="_ETM_Q77_263420"/>
      <w:bookmarkEnd w:id="40720"/>
      <w:r>
        <w:rPr>
          <w:rFonts w:hint="cs"/>
          <w:rtl/>
        </w:rPr>
        <w:t xml:space="preserve">צריך </w:t>
      </w:r>
      <w:bookmarkStart w:id="40721" w:name="_ETM_Q77_263660"/>
      <w:bookmarkEnd w:id="40721"/>
      <w:r>
        <w:rPr>
          <w:rFonts w:hint="cs"/>
          <w:rtl/>
        </w:rPr>
        <w:t xml:space="preserve">ליטול </w:t>
      </w:r>
      <w:bookmarkStart w:id="40722" w:name="_ETM_Q77_263990"/>
      <w:bookmarkEnd w:id="40722"/>
      <w:r>
        <w:rPr>
          <w:rFonts w:hint="cs"/>
          <w:rtl/>
        </w:rPr>
        <w:t xml:space="preserve">אחריות </w:t>
      </w:r>
      <w:bookmarkStart w:id="40723" w:name="_ETM_Q77_264770"/>
      <w:bookmarkEnd w:id="40723"/>
      <w:r>
        <w:rPr>
          <w:rFonts w:hint="cs"/>
          <w:rtl/>
        </w:rPr>
        <w:t xml:space="preserve">ולהוביל. </w:t>
      </w:r>
      <w:bookmarkStart w:id="40724" w:name="_ETM_Q77_266690"/>
      <w:bookmarkEnd w:id="40724"/>
      <w:r>
        <w:rPr>
          <w:rFonts w:hint="cs"/>
          <w:rtl/>
        </w:rPr>
        <w:t xml:space="preserve">ראש </w:t>
      </w:r>
      <w:bookmarkStart w:id="40725" w:name="_ETM_Q77_266959"/>
      <w:bookmarkEnd w:id="40725"/>
      <w:r>
        <w:rPr>
          <w:rFonts w:hint="cs"/>
          <w:rtl/>
        </w:rPr>
        <w:t xml:space="preserve">ממשלה </w:t>
      </w:r>
      <w:bookmarkStart w:id="40726" w:name="_ETM_Q77_267680"/>
      <w:bookmarkEnd w:id="40726"/>
      <w:r>
        <w:rPr>
          <w:rFonts w:hint="cs"/>
          <w:rtl/>
        </w:rPr>
        <w:t xml:space="preserve">וחברי </w:t>
      </w:r>
      <w:bookmarkStart w:id="40727" w:name="_ETM_Q77_268160"/>
      <w:bookmarkEnd w:id="40727"/>
      <w:r>
        <w:rPr>
          <w:rFonts w:hint="cs"/>
          <w:rtl/>
        </w:rPr>
        <w:t xml:space="preserve">קואליציה </w:t>
      </w:r>
      <w:bookmarkStart w:id="40728" w:name="_ETM_Q77_269060"/>
      <w:bookmarkEnd w:id="40728"/>
      <w:r>
        <w:rPr>
          <w:rFonts w:hint="cs"/>
          <w:rtl/>
        </w:rPr>
        <w:t xml:space="preserve">מאשימים </w:t>
      </w:r>
      <w:bookmarkStart w:id="40729" w:name="_ETM_Q77_269690"/>
      <w:bookmarkEnd w:id="40729"/>
      <w:r>
        <w:rPr>
          <w:rFonts w:hint="cs"/>
          <w:rtl/>
        </w:rPr>
        <w:t xml:space="preserve">מדי </w:t>
      </w:r>
      <w:bookmarkStart w:id="40730" w:name="_ETM_Q77_269990"/>
      <w:bookmarkEnd w:id="40730"/>
      <w:r>
        <w:rPr>
          <w:rFonts w:hint="cs"/>
          <w:rtl/>
        </w:rPr>
        <w:t xml:space="preserve">יום </w:t>
      </w:r>
      <w:bookmarkStart w:id="40731" w:name="_ETM_Q77_270440"/>
      <w:bookmarkEnd w:id="40731"/>
      <w:r>
        <w:rPr>
          <w:rFonts w:hint="cs"/>
          <w:rtl/>
        </w:rPr>
        <w:t xml:space="preserve">את </w:t>
      </w:r>
      <w:bookmarkStart w:id="40732" w:name="_ETM_Q77_270590"/>
      <w:bookmarkEnd w:id="40732"/>
      <w:r>
        <w:rPr>
          <w:rFonts w:hint="cs"/>
          <w:rtl/>
        </w:rPr>
        <w:t xml:space="preserve">כל </w:t>
      </w:r>
      <w:bookmarkStart w:id="40733" w:name="_ETM_Q77_270860"/>
      <w:bookmarkEnd w:id="40733"/>
      <w:r>
        <w:rPr>
          <w:rFonts w:hint="cs"/>
          <w:rtl/>
        </w:rPr>
        <w:t xml:space="preserve">העולם </w:t>
      </w:r>
      <w:bookmarkStart w:id="40734" w:name="_ETM_Q77_271400"/>
      <w:bookmarkEnd w:id="40734"/>
      <w:r>
        <w:rPr>
          <w:rFonts w:hint="cs"/>
          <w:rtl/>
        </w:rPr>
        <w:t xml:space="preserve">במצב </w:t>
      </w:r>
      <w:bookmarkStart w:id="40735" w:name="_ETM_Q77_271880"/>
      <w:bookmarkEnd w:id="40735"/>
      <w:r>
        <w:rPr>
          <w:rFonts w:hint="cs"/>
          <w:rtl/>
        </w:rPr>
        <w:t xml:space="preserve">הקשה </w:t>
      </w:r>
      <w:bookmarkStart w:id="40736" w:name="_ETM_Q77_272270"/>
      <w:bookmarkEnd w:id="40736"/>
      <w:r>
        <w:rPr>
          <w:rFonts w:hint="cs"/>
          <w:rtl/>
        </w:rPr>
        <w:t xml:space="preserve">שאליו </w:t>
      </w:r>
      <w:bookmarkStart w:id="40737" w:name="_ETM_Q77_272510"/>
      <w:bookmarkEnd w:id="40737"/>
      <w:r>
        <w:rPr>
          <w:rFonts w:hint="cs"/>
          <w:rtl/>
        </w:rPr>
        <w:t xml:space="preserve">נקלענו. </w:t>
      </w:r>
      <w:bookmarkStart w:id="40738" w:name="_ETM_Q77_273569"/>
      <w:bookmarkEnd w:id="40738"/>
      <w:r>
        <w:rPr>
          <w:rFonts w:hint="cs"/>
          <w:rtl/>
        </w:rPr>
        <w:t xml:space="preserve">שוב, </w:t>
      </w:r>
      <w:bookmarkStart w:id="40739" w:name="_ETM_Q77_274229"/>
      <w:bookmarkEnd w:id="40739"/>
      <w:r>
        <w:rPr>
          <w:rFonts w:hint="cs"/>
          <w:rtl/>
        </w:rPr>
        <w:t xml:space="preserve">גם </w:t>
      </w:r>
      <w:bookmarkStart w:id="40740" w:name="_ETM_Q77_274439"/>
      <w:bookmarkEnd w:id="40740"/>
      <w:r>
        <w:rPr>
          <w:rFonts w:hint="cs"/>
          <w:rtl/>
        </w:rPr>
        <w:t xml:space="preserve">לי </w:t>
      </w:r>
      <w:bookmarkStart w:id="40741" w:name="_ETM_Q77_274560"/>
      <w:bookmarkEnd w:id="40741"/>
      <w:r>
        <w:rPr>
          <w:rFonts w:hint="cs"/>
          <w:rtl/>
        </w:rPr>
        <w:t xml:space="preserve">יש </w:t>
      </w:r>
      <w:bookmarkStart w:id="40742" w:name="_ETM_Q77_274709"/>
      <w:bookmarkEnd w:id="40742"/>
      <w:r>
        <w:rPr>
          <w:rFonts w:hint="cs"/>
          <w:rtl/>
        </w:rPr>
        <w:t xml:space="preserve">מחלוקת </w:t>
      </w:r>
      <w:bookmarkStart w:id="40743" w:name="_ETM_Q77_275250"/>
      <w:bookmarkEnd w:id="40743"/>
      <w:r>
        <w:rPr>
          <w:rFonts w:hint="cs"/>
          <w:rtl/>
        </w:rPr>
        <w:t xml:space="preserve">עמוקה </w:t>
      </w:r>
      <w:bookmarkStart w:id="40744" w:name="_ETM_Q77_275990"/>
      <w:bookmarkEnd w:id="40744"/>
      <w:r>
        <w:rPr>
          <w:rFonts w:hint="cs"/>
          <w:rtl/>
        </w:rPr>
        <w:t xml:space="preserve">עם </w:t>
      </w:r>
      <w:bookmarkStart w:id="40745" w:name="_ETM_Q77_276229"/>
      <w:bookmarkEnd w:id="40745"/>
      <w:r>
        <w:rPr>
          <w:rFonts w:hint="cs"/>
          <w:rtl/>
        </w:rPr>
        <w:t xml:space="preserve">חלק </w:t>
      </w:r>
      <w:bookmarkStart w:id="40746" w:name="_ETM_Q77_276560"/>
      <w:bookmarkEnd w:id="40746"/>
      <w:r>
        <w:rPr>
          <w:rFonts w:hint="cs"/>
          <w:rtl/>
        </w:rPr>
        <w:t xml:space="preserve">מהפעולות </w:t>
      </w:r>
      <w:bookmarkStart w:id="40747" w:name="_ETM_Q77_277159"/>
      <w:bookmarkEnd w:id="40747"/>
      <w:r>
        <w:rPr>
          <w:rFonts w:hint="cs"/>
          <w:rtl/>
        </w:rPr>
        <w:t xml:space="preserve">וחלק </w:t>
      </w:r>
      <w:bookmarkStart w:id="40748" w:name="_ETM_Q77_277549"/>
      <w:bookmarkEnd w:id="40748"/>
      <w:r>
        <w:rPr>
          <w:rFonts w:hint="cs"/>
          <w:rtl/>
        </w:rPr>
        <w:t xml:space="preserve">מהדרכים, </w:t>
      </w:r>
      <w:bookmarkStart w:id="40749" w:name="_ETM_Q77_278569"/>
      <w:bookmarkEnd w:id="40749"/>
      <w:r>
        <w:rPr>
          <w:rFonts w:hint="cs"/>
          <w:rtl/>
        </w:rPr>
        <w:t xml:space="preserve">אבל </w:t>
      </w:r>
      <w:bookmarkStart w:id="40750" w:name="_ETM_Q77_278840"/>
      <w:bookmarkEnd w:id="40750"/>
      <w:r>
        <w:rPr>
          <w:rFonts w:hint="cs"/>
          <w:rtl/>
        </w:rPr>
        <w:t xml:space="preserve">מנהיגות </w:t>
      </w:r>
      <w:bookmarkStart w:id="40751" w:name="_ETM_Q77_279380"/>
      <w:bookmarkEnd w:id="40751"/>
      <w:r>
        <w:rPr>
          <w:rFonts w:hint="cs"/>
          <w:rtl/>
        </w:rPr>
        <w:t>משמע</w:t>
      </w:r>
      <w:bookmarkStart w:id="40752" w:name="_ETM_Q77_279860"/>
      <w:bookmarkEnd w:id="40752"/>
      <w:r>
        <w:rPr>
          <w:rFonts w:hint="cs"/>
          <w:rtl/>
        </w:rPr>
        <w:t xml:space="preserve">ה אחריות. </w:t>
      </w:r>
      <w:bookmarkStart w:id="40753" w:name="_ETM_Q77_281069"/>
      <w:bookmarkEnd w:id="40753"/>
      <w:r>
        <w:rPr>
          <w:rFonts w:hint="cs"/>
          <w:rtl/>
        </w:rPr>
        <w:t xml:space="preserve">מי </w:t>
      </w:r>
      <w:bookmarkStart w:id="40754" w:name="_ETM_Q77_281280"/>
      <w:bookmarkEnd w:id="40754"/>
      <w:r>
        <w:rPr>
          <w:rFonts w:hint="cs"/>
          <w:rtl/>
        </w:rPr>
        <w:t xml:space="preserve">שמבקש </w:t>
      </w:r>
      <w:bookmarkStart w:id="40755" w:name="_ETM_Q77_282119"/>
      <w:bookmarkEnd w:id="40755"/>
      <w:r>
        <w:rPr>
          <w:rFonts w:hint="cs"/>
          <w:rtl/>
        </w:rPr>
        <w:t xml:space="preserve">להנהיג </w:t>
      </w:r>
      <w:bookmarkStart w:id="40756" w:name="_ETM_Q77_282869"/>
      <w:bookmarkEnd w:id="40756"/>
      <w:r>
        <w:rPr>
          <w:rFonts w:hint="cs"/>
          <w:rtl/>
        </w:rPr>
        <w:t xml:space="preserve">לא </w:t>
      </w:r>
      <w:bookmarkStart w:id="40757" w:name="_ETM_Q77_283020"/>
      <w:bookmarkEnd w:id="40757"/>
      <w:r>
        <w:rPr>
          <w:rFonts w:hint="cs"/>
          <w:rtl/>
        </w:rPr>
        <w:t xml:space="preserve">מגלגל </w:t>
      </w:r>
      <w:bookmarkStart w:id="40758" w:name="_ETM_Q77_283470"/>
      <w:bookmarkEnd w:id="40758"/>
      <w:r>
        <w:rPr>
          <w:rFonts w:hint="cs"/>
          <w:rtl/>
        </w:rPr>
        <w:t xml:space="preserve">אחריות </w:t>
      </w:r>
      <w:bookmarkStart w:id="40759" w:name="_ETM_Q77_283860"/>
      <w:bookmarkEnd w:id="40759"/>
      <w:r>
        <w:rPr>
          <w:rFonts w:hint="cs"/>
          <w:rtl/>
        </w:rPr>
        <w:t xml:space="preserve">על </w:t>
      </w:r>
      <w:bookmarkStart w:id="40760" w:name="_ETM_Q77_283950"/>
      <w:bookmarkEnd w:id="40760"/>
      <w:r>
        <w:rPr>
          <w:rFonts w:hint="cs"/>
          <w:rtl/>
        </w:rPr>
        <w:t xml:space="preserve">אחרים. </w:t>
      </w:r>
      <w:bookmarkStart w:id="40761" w:name="_ETM_Q77_285069"/>
      <w:bookmarkEnd w:id="40761"/>
      <w:r>
        <w:rPr>
          <w:rFonts w:hint="cs"/>
          <w:rtl/>
        </w:rPr>
        <w:t xml:space="preserve">בשיעור </w:t>
      </w:r>
      <w:bookmarkStart w:id="40762" w:name="_ETM_Q77_285490"/>
      <w:bookmarkEnd w:id="40762"/>
      <w:r>
        <w:rPr>
          <w:rFonts w:hint="cs"/>
          <w:rtl/>
        </w:rPr>
        <w:t xml:space="preserve">הראשון </w:t>
      </w:r>
      <w:bookmarkStart w:id="40763" w:name="_ETM_Q77_286090"/>
      <w:bookmarkEnd w:id="40763"/>
      <w:r>
        <w:rPr>
          <w:rFonts w:hint="cs"/>
          <w:rtl/>
        </w:rPr>
        <w:t xml:space="preserve">בכל </w:t>
      </w:r>
      <w:bookmarkStart w:id="40764" w:name="_ETM_Q77_286450"/>
      <w:bookmarkEnd w:id="40764"/>
      <w:r>
        <w:rPr>
          <w:rFonts w:hint="cs"/>
          <w:rtl/>
        </w:rPr>
        <w:t xml:space="preserve">קורס </w:t>
      </w:r>
      <w:bookmarkStart w:id="40765" w:name="_ETM_Q77_286750"/>
      <w:bookmarkEnd w:id="40765"/>
      <w:r>
        <w:rPr>
          <w:rFonts w:hint="cs"/>
          <w:rtl/>
        </w:rPr>
        <w:t xml:space="preserve">פיקודי </w:t>
      </w:r>
      <w:bookmarkStart w:id="40766" w:name="_ETM_Q77_287290"/>
      <w:bookmarkEnd w:id="40766"/>
      <w:r>
        <w:rPr>
          <w:rFonts w:hint="cs"/>
          <w:rtl/>
        </w:rPr>
        <w:t xml:space="preserve">בצבא </w:t>
      </w:r>
      <w:bookmarkStart w:id="40767" w:name="_ETM_Q77_287829"/>
      <w:bookmarkEnd w:id="40767"/>
      <w:r>
        <w:rPr>
          <w:rFonts w:hint="cs"/>
          <w:rtl/>
        </w:rPr>
        <w:t xml:space="preserve">מלמדים </w:t>
      </w:r>
      <w:bookmarkStart w:id="40768" w:name="_ETM_Q77_288520"/>
      <w:bookmarkEnd w:id="40768"/>
      <w:r>
        <w:rPr>
          <w:rFonts w:hint="cs"/>
          <w:rtl/>
        </w:rPr>
        <w:t xml:space="preserve">שברגע </w:t>
      </w:r>
      <w:bookmarkStart w:id="40769" w:name="_ETM_Q77_289180"/>
      <w:bookmarkEnd w:id="40769"/>
      <w:r>
        <w:rPr>
          <w:rFonts w:hint="cs"/>
          <w:rtl/>
        </w:rPr>
        <w:t xml:space="preserve">קשה </w:t>
      </w:r>
      <w:bookmarkStart w:id="40770" w:name="_ETM_Q77_290070"/>
      <w:bookmarkEnd w:id="40770"/>
      <w:r>
        <w:rPr>
          <w:rFonts w:hint="cs"/>
          <w:rtl/>
        </w:rPr>
        <w:t xml:space="preserve">מפקד </w:t>
      </w:r>
      <w:bookmarkStart w:id="40771" w:name="_ETM_Q77_290580"/>
      <w:bookmarkEnd w:id="40771"/>
      <w:r>
        <w:rPr>
          <w:rFonts w:hint="cs"/>
          <w:rtl/>
        </w:rPr>
        <w:t xml:space="preserve">טוב </w:t>
      </w:r>
      <w:bookmarkStart w:id="40772" w:name="_ETM_Q77_290730"/>
      <w:bookmarkEnd w:id="40772"/>
      <w:r>
        <w:rPr>
          <w:rFonts w:hint="cs"/>
          <w:rtl/>
        </w:rPr>
        <w:t xml:space="preserve">לוקח </w:t>
      </w:r>
      <w:bookmarkStart w:id="40773" w:name="_ETM_Q77_291150"/>
      <w:bookmarkEnd w:id="40773"/>
      <w:r>
        <w:rPr>
          <w:rFonts w:hint="cs"/>
          <w:rtl/>
        </w:rPr>
        <w:t xml:space="preserve">אחריות </w:t>
      </w:r>
      <w:bookmarkStart w:id="40774" w:name="_ETM_Q77_292060"/>
      <w:bookmarkEnd w:id="40774"/>
      <w:r>
        <w:rPr>
          <w:rFonts w:hint="cs"/>
          <w:rtl/>
        </w:rPr>
        <w:t xml:space="preserve">ולא </w:t>
      </w:r>
      <w:bookmarkStart w:id="40775" w:name="_ETM_Q77_292329"/>
      <w:bookmarkEnd w:id="40775"/>
      <w:r>
        <w:rPr>
          <w:rFonts w:hint="cs"/>
          <w:rtl/>
        </w:rPr>
        <w:t xml:space="preserve">מאשים </w:t>
      </w:r>
      <w:bookmarkStart w:id="40776" w:name="_ETM_Q77_292749"/>
      <w:bookmarkEnd w:id="40776"/>
      <w:r>
        <w:rPr>
          <w:rFonts w:hint="cs"/>
          <w:rtl/>
        </w:rPr>
        <w:t xml:space="preserve">את </w:t>
      </w:r>
      <w:bookmarkStart w:id="40777" w:name="_ETM_Q77_292840"/>
      <w:bookmarkEnd w:id="40777"/>
      <w:r>
        <w:rPr>
          <w:rFonts w:hint="cs"/>
          <w:rtl/>
        </w:rPr>
        <w:t xml:space="preserve">חייליו. </w:t>
      </w:r>
      <w:bookmarkStart w:id="40778" w:name="_ETM_Q77_293990"/>
      <w:bookmarkEnd w:id="40778"/>
      <w:r>
        <w:rPr>
          <w:rFonts w:hint="cs"/>
          <w:rtl/>
        </w:rPr>
        <w:t xml:space="preserve">בשיעור </w:t>
      </w:r>
      <w:bookmarkStart w:id="40779" w:name="_ETM_Q77_294439"/>
      <w:bookmarkEnd w:id="40779"/>
      <w:r>
        <w:rPr>
          <w:rFonts w:hint="cs"/>
          <w:rtl/>
        </w:rPr>
        <w:t xml:space="preserve">הראשון </w:t>
      </w:r>
      <w:bookmarkStart w:id="40780" w:name="_ETM_Q77_294920"/>
      <w:bookmarkEnd w:id="40780"/>
      <w:r>
        <w:rPr>
          <w:rFonts w:hint="cs"/>
          <w:rtl/>
        </w:rPr>
        <w:t xml:space="preserve">בלימודי </w:t>
      </w:r>
      <w:bookmarkStart w:id="40781" w:name="_ETM_Q77_295369"/>
      <w:bookmarkEnd w:id="40781"/>
      <w:r>
        <w:rPr>
          <w:rFonts w:hint="cs"/>
          <w:rtl/>
        </w:rPr>
        <w:t xml:space="preserve">ההוראה </w:t>
      </w:r>
      <w:bookmarkStart w:id="40782" w:name="_ETM_Q77_296180"/>
      <w:bookmarkEnd w:id="40782"/>
      <w:r>
        <w:rPr>
          <w:rFonts w:hint="cs"/>
          <w:rtl/>
        </w:rPr>
        <w:t xml:space="preserve">כל </w:t>
      </w:r>
      <w:bookmarkStart w:id="40783" w:name="_ETM_Q77_296450"/>
      <w:bookmarkEnd w:id="40783"/>
      <w:r>
        <w:rPr>
          <w:rFonts w:hint="cs"/>
          <w:rtl/>
        </w:rPr>
        <w:t xml:space="preserve">מורה </w:t>
      </w:r>
      <w:bookmarkStart w:id="40784" w:name="_ETM_Q77_296720"/>
      <w:bookmarkStart w:id="40785" w:name="_ETM_Q77_296780"/>
      <w:bookmarkEnd w:id="40784"/>
      <w:bookmarkEnd w:id="40785"/>
      <w:r>
        <w:rPr>
          <w:rFonts w:hint="cs"/>
          <w:rtl/>
        </w:rPr>
        <w:t xml:space="preserve">ומנהל </w:t>
      </w:r>
      <w:bookmarkStart w:id="40786" w:name="_ETM_Q77_297110"/>
      <w:bookmarkEnd w:id="40786"/>
      <w:r>
        <w:rPr>
          <w:rFonts w:hint="cs"/>
          <w:rtl/>
        </w:rPr>
        <w:t xml:space="preserve">בית </w:t>
      </w:r>
      <w:bookmarkStart w:id="40787" w:name="_ETM_Q77_297259"/>
      <w:bookmarkEnd w:id="40787"/>
      <w:r>
        <w:rPr>
          <w:rFonts w:hint="cs"/>
          <w:rtl/>
        </w:rPr>
        <w:t xml:space="preserve">ספר </w:t>
      </w:r>
      <w:bookmarkStart w:id="40788" w:name="_ETM_Q77_297740"/>
      <w:bookmarkEnd w:id="40788"/>
      <w:r>
        <w:rPr>
          <w:rFonts w:hint="cs"/>
          <w:rtl/>
        </w:rPr>
        <w:t xml:space="preserve">לומדים </w:t>
      </w:r>
      <w:bookmarkStart w:id="40789" w:name="_ETM_Q77_298689"/>
      <w:bookmarkEnd w:id="40789"/>
      <w:r>
        <w:rPr>
          <w:rFonts w:hint="cs"/>
          <w:rtl/>
        </w:rPr>
        <w:t xml:space="preserve">שמורה </w:t>
      </w:r>
      <w:bookmarkStart w:id="40790" w:name="_ETM_Q77_299229"/>
      <w:bookmarkEnd w:id="40790"/>
      <w:r>
        <w:rPr>
          <w:rFonts w:hint="cs"/>
          <w:rtl/>
        </w:rPr>
        <w:t xml:space="preserve">טוב </w:t>
      </w:r>
      <w:bookmarkStart w:id="40791" w:name="_ETM_Q77_299709"/>
      <w:bookmarkEnd w:id="40791"/>
      <w:r>
        <w:rPr>
          <w:rFonts w:hint="cs"/>
          <w:rtl/>
        </w:rPr>
        <w:t xml:space="preserve">לא </w:t>
      </w:r>
      <w:bookmarkStart w:id="40792" w:name="_ETM_Q77_299889"/>
      <w:bookmarkEnd w:id="40792"/>
      <w:r>
        <w:rPr>
          <w:rFonts w:hint="cs"/>
          <w:rtl/>
        </w:rPr>
        <w:t xml:space="preserve">מאשים </w:t>
      </w:r>
      <w:bookmarkStart w:id="40793" w:name="_ETM_Q77_300280"/>
      <w:bookmarkEnd w:id="40793"/>
      <w:r>
        <w:rPr>
          <w:rFonts w:hint="cs"/>
          <w:rtl/>
        </w:rPr>
        <w:t xml:space="preserve">את </w:t>
      </w:r>
      <w:bookmarkStart w:id="40794" w:name="_ETM_Q77_300399"/>
      <w:bookmarkEnd w:id="40794"/>
      <w:r>
        <w:rPr>
          <w:rFonts w:hint="cs"/>
          <w:rtl/>
        </w:rPr>
        <w:t xml:space="preserve">תלמידיו </w:t>
      </w:r>
      <w:bookmarkStart w:id="40795" w:name="_ETM_Q77_300939"/>
      <w:bookmarkEnd w:id="40795"/>
      <w:r>
        <w:rPr>
          <w:rFonts w:hint="cs"/>
          <w:rtl/>
        </w:rPr>
        <w:t xml:space="preserve">במקרה </w:t>
      </w:r>
      <w:bookmarkStart w:id="40796" w:name="_ETM_Q77_301329"/>
      <w:bookmarkEnd w:id="40796"/>
      <w:r>
        <w:rPr>
          <w:rFonts w:hint="cs"/>
          <w:rtl/>
        </w:rPr>
        <w:t xml:space="preserve">של </w:t>
      </w:r>
      <w:bookmarkStart w:id="40797" w:name="_ETM_Q77_301479"/>
      <w:bookmarkEnd w:id="40797"/>
      <w:r>
        <w:rPr>
          <w:rFonts w:hint="cs"/>
          <w:rtl/>
        </w:rPr>
        <w:t xml:space="preserve">כישלון </w:t>
      </w:r>
      <w:bookmarkStart w:id="40798" w:name="_ETM_Q77_302560"/>
      <w:bookmarkEnd w:id="40798"/>
      <w:r>
        <w:rPr>
          <w:rFonts w:hint="cs"/>
          <w:rtl/>
        </w:rPr>
        <w:t xml:space="preserve">אלא </w:t>
      </w:r>
      <w:bookmarkStart w:id="40799" w:name="_ETM_Q77_302770"/>
      <w:bookmarkEnd w:id="40799"/>
      <w:r>
        <w:rPr>
          <w:rFonts w:hint="cs"/>
          <w:rtl/>
        </w:rPr>
        <w:t xml:space="preserve">בודק </w:t>
      </w:r>
      <w:bookmarkStart w:id="40800" w:name="_ETM_Q77_303100"/>
      <w:bookmarkEnd w:id="40800"/>
      <w:r>
        <w:rPr>
          <w:rFonts w:hint="cs"/>
          <w:rtl/>
        </w:rPr>
        <w:t xml:space="preserve">את </w:t>
      </w:r>
      <w:bookmarkStart w:id="40801" w:name="_ETM_Q77_303250"/>
      <w:bookmarkEnd w:id="40801"/>
      <w:r>
        <w:rPr>
          <w:rFonts w:hint="cs"/>
          <w:rtl/>
        </w:rPr>
        <w:t xml:space="preserve">עצמו. </w:t>
      </w:r>
      <w:bookmarkStart w:id="40802" w:name="_ETM_Q77_304460"/>
      <w:bookmarkEnd w:id="40802"/>
      <w:r>
        <w:rPr>
          <w:rFonts w:hint="cs"/>
          <w:rtl/>
        </w:rPr>
        <w:t xml:space="preserve">בעולם </w:t>
      </w:r>
      <w:bookmarkStart w:id="40803" w:name="_ETM_Q77_304909"/>
      <w:bookmarkEnd w:id="40803"/>
      <w:r>
        <w:rPr>
          <w:rFonts w:hint="cs"/>
          <w:rtl/>
        </w:rPr>
        <w:t xml:space="preserve">העסקי </w:t>
      </w:r>
      <w:bookmarkStart w:id="40804" w:name="_ETM_Q77_305600"/>
      <w:bookmarkEnd w:id="40804"/>
      <w:r>
        <w:rPr>
          <w:rFonts w:hint="cs"/>
          <w:rtl/>
        </w:rPr>
        <w:t xml:space="preserve">יודע </w:t>
      </w:r>
      <w:bookmarkStart w:id="40805" w:name="_ETM_Q77_305960"/>
      <w:bookmarkEnd w:id="40805"/>
      <w:r>
        <w:rPr>
          <w:rFonts w:hint="cs"/>
          <w:rtl/>
        </w:rPr>
        <w:t xml:space="preserve">כל </w:t>
      </w:r>
      <w:bookmarkStart w:id="40806" w:name="_ETM_Q77_306200"/>
      <w:bookmarkEnd w:id="40806"/>
      <w:r>
        <w:rPr>
          <w:rFonts w:hint="cs"/>
          <w:rtl/>
        </w:rPr>
        <w:t xml:space="preserve">מנכ"ל </w:t>
      </w:r>
      <w:bookmarkStart w:id="40807" w:name="_ETM_Q77_306590"/>
      <w:bookmarkEnd w:id="40807"/>
      <w:r>
        <w:rPr>
          <w:rFonts w:hint="cs"/>
          <w:rtl/>
        </w:rPr>
        <w:t xml:space="preserve">חברה </w:t>
      </w:r>
      <w:bookmarkStart w:id="40808" w:name="_ETM_Q77_307190"/>
      <w:bookmarkEnd w:id="40808"/>
      <w:r>
        <w:rPr>
          <w:rFonts w:hint="cs"/>
          <w:rtl/>
        </w:rPr>
        <w:t xml:space="preserve">שאם </w:t>
      </w:r>
      <w:bookmarkStart w:id="40809" w:name="_ETM_Q77_307430"/>
      <w:bookmarkEnd w:id="40809"/>
      <w:r>
        <w:rPr>
          <w:rFonts w:hint="cs"/>
          <w:rtl/>
        </w:rPr>
        <w:t xml:space="preserve">החברה </w:t>
      </w:r>
      <w:bookmarkStart w:id="40810" w:name="_ETM_Q77_307760"/>
      <w:bookmarkEnd w:id="40810"/>
      <w:r>
        <w:rPr>
          <w:rFonts w:hint="cs"/>
          <w:rtl/>
        </w:rPr>
        <w:t xml:space="preserve">נכשלת, </w:t>
      </w:r>
      <w:bookmarkStart w:id="40811" w:name="_ETM_Q77_308690"/>
      <w:bookmarkEnd w:id="40811"/>
      <w:r>
        <w:rPr>
          <w:rFonts w:hint="cs"/>
          <w:rtl/>
        </w:rPr>
        <w:t xml:space="preserve">הוא </w:t>
      </w:r>
      <w:bookmarkStart w:id="40812" w:name="_ETM_Q77_308870"/>
      <w:bookmarkEnd w:id="40812"/>
      <w:r>
        <w:rPr>
          <w:rFonts w:hint="cs"/>
          <w:rtl/>
        </w:rPr>
        <w:t xml:space="preserve">אחראי </w:t>
      </w:r>
      <w:bookmarkStart w:id="40813" w:name="_ETM_Q77_309620"/>
      <w:bookmarkEnd w:id="40813"/>
      <w:r>
        <w:rPr>
          <w:rFonts w:hint="cs"/>
          <w:rtl/>
        </w:rPr>
        <w:t xml:space="preserve">ולא </w:t>
      </w:r>
      <w:bookmarkStart w:id="40814" w:name="_ETM_Q77_309919"/>
      <w:bookmarkEnd w:id="40814"/>
      <w:r>
        <w:rPr>
          <w:rFonts w:hint="cs"/>
          <w:rtl/>
        </w:rPr>
        <w:t xml:space="preserve">עובדיו. </w:t>
      </w:r>
      <w:bookmarkStart w:id="40815" w:name="_ETM_Q77_311139"/>
      <w:bookmarkEnd w:id="40815"/>
      <w:r>
        <w:rPr>
          <w:rFonts w:hint="cs"/>
          <w:rtl/>
        </w:rPr>
        <w:t xml:space="preserve">איזה </w:t>
      </w:r>
      <w:bookmarkStart w:id="40816" w:name="_ETM_Q77_311440"/>
      <w:bookmarkEnd w:id="40816"/>
      <w:r>
        <w:rPr>
          <w:rFonts w:hint="cs"/>
          <w:rtl/>
        </w:rPr>
        <w:t xml:space="preserve">מין </w:t>
      </w:r>
      <w:bookmarkStart w:id="40817" w:name="_ETM_Q77_311650"/>
      <w:bookmarkEnd w:id="40817"/>
      <w:r>
        <w:rPr>
          <w:rFonts w:hint="cs"/>
          <w:rtl/>
        </w:rPr>
        <w:t xml:space="preserve">מנהיג </w:t>
      </w:r>
      <w:bookmarkStart w:id="40818" w:name="_ETM_Q77_312220"/>
      <w:bookmarkEnd w:id="40818"/>
      <w:r>
        <w:rPr>
          <w:rFonts w:hint="cs"/>
          <w:rtl/>
        </w:rPr>
        <w:t xml:space="preserve">מאשים </w:t>
      </w:r>
      <w:bookmarkStart w:id="40819" w:name="_ETM_Q77_312610"/>
      <w:bookmarkEnd w:id="40819"/>
      <w:r>
        <w:rPr>
          <w:rFonts w:hint="cs"/>
          <w:rtl/>
        </w:rPr>
        <w:t xml:space="preserve">את </w:t>
      </w:r>
      <w:bookmarkStart w:id="40820" w:name="_ETM_Q77_312730"/>
      <w:bookmarkEnd w:id="40820"/>
      <w:r>
        <w:rPr>
          <w:rFonts w:hint="cs"/>
          <w:rtl/>
        </w:rPr>
        <w:t xml:space="preserve">אזרחיו? </w:t>
      </w:r>
      <w:bookmarkStart w:id="40821" w:name="_ETM_Q77_313970"/>
      <w:bookmarkEnd w:id="40821"/>
      <w:r>
        <w:rPr>
          <w:rFonts w:hint="cs"/>
          <w:rtl/>
        </w:rPr>
        <w:t xml:space="preserve">איזה </w:t>
      </w:r>
      <w:bookmarkStart w:id="40822" w:name="_ETM_Q77_314240"/>
      <w:bookmarkEnd w:id="40822"/>
      <w:r>
        <w:rPr>
          <w:rFonts w:hint="cs"/>
          <w:rtl/>
        </w:rPr>
        <w:t xml:space="preserve">מנהיג </w:t>
      </w:r>
      <w:bookmarkStart w:id="40823" w:name="_ETM_Q77_314720"/>
      <w:bookmarkEnd w:id="40823"/>
      <w:r>
        <w:rPr>
          <w:rFonts w:hint="cs"/>
          <w:rtl/>
        </w:rPr>
        <w:t xml:space="preserve">מתנער </w:t>
      </w:r>
      <w:bookmarkStart w:id="40824" w:name="_ETM_Q77_315110"/>
      <w:bookmarkEnd w:id="40824"/>
      <w:r>
        <w:rPr>
          <w:rFonts w:hint="cs"/>
          <w:rtl/>
        </w:rPr>
        <w:t xml:space="preserve">מאחריות </w:t>
      </w:r>
      <w:bookmarkStart w:id="40825" w:name="_ETM_Q77_315830"/>
      <w:bookmarkEnd w:id="40825"/>
      <w:r>
        <w:rPr>
          <w:rFonts w:hint="cs"/>
          <w:rtl/>
        </w:rPr>
        <w:t xml:space="preserve">ומאשים </w:t>
      </w:r>
      <w:bookmarkStart w:id="40826" w:name="_ETM_Q77_316280"/>
      <w:bookmarkEnd w:id="40826"/>
      <w:r>
        <w:rPr>
          <w:rFonts w:hint="cs"/>
          <w:rtl/>
        </w:rPr>
        <w:t xml:space="preserve">את </w:t>
      </w:r>
      <w:bookmarkStart w:id="40827" w:name="_ETM_Q77_316400"/>
      <w:bookmarkEnd w:id="40827"/>
      <w:r>
        <w:rPr>
          <w:rFonts w:hint="cs"/>
          <w:rtl/>
        </w:rPr>
        <w:t xml:space="preserve">כל </w:t>
      </w:r>
      <w:bookmarkStart w:id="40828" w:name="_ETM_Q77_316700"/>
      <w:bookmarkEnd w:id="40828"/>
      <w:r>
        <w:rPr>
          <w:rFonts w:hint="cs"/>
          <w:rtl/>
        </w:rPr>
        <w:t xml:space="preserve">העולם </w:t>
      </w:r>
      <w:bookmarkStart w:id="40829" w:name="_ETM_Q77_317030"/>
      <w:bookmarkEnd w:id="40829"/>
      <w:r>
        <w:rPr>
          <w:rFonts w:hint="cs"/>
          <w:rtl/>
        </w:rPr>
        <w:t xml:space="preserve">בכישלון? </w:t>
      </w:r>
      <w:bookmarkStart w:id="40830" w:name="_ETM_Q77_318419"/>
      <w:bookmarkEnd w:id="40830"/>
    </w:p>
    <w:p w:rsidR="00BB59CD" w:rsidRDefault="00BB59CD" w:rsidP="00BB59CD">
      <w:pPr>
        <w:rPr>
          <w:rtl/>
        </w:rPr>
      </w:pPr>
    </w:p>
    <w:p w:rsidR="00BB59CD" w:rsidRDefault="00BB59CD" w:rsidP="00E367B5">
      <w:pPr>
        <w:rPr>
          <w:rtl/>
        </w:rPr>
      </w:pPr>
      <w:r>
        <w:rPr>
          <w:rFonts w:hint="cs"/>
          <w:rtl/>
        </w:rPr>
        <w:t xml:space="preserve">אחד </w:t>
      </w:r>
      <w:bookmarkStart w:id="40831" w:name="_ETM_Q77_318689"/>
      <w:bookmarkEnd w:id="40831"/>
      <w:r>
        <w:rPr>
          <w:rFonts w:hint="cs"/>
          <w:rtl/>
        </w:rPr>
        <w:t xml:space="preserve">מראשי </w:t>
      </w:r>
      <w:bookmarkStart w:id="40832" w:name="_ETM_Q77_319139"/>
      <w:bookmarkEnd w:id="40832"/>
      <w:r>
        <w:rPr>
          <w:rFonts w:hint="cs"/>
          <w:rtl/>
        </w:rPr>
        <w:t xml:space="preserve">הקואליציה </w:t>
      </w:r>
      <w:bookmarkStart w:id="40833" w:name="_ETM_Q77_320159"/>
      <w:bookmarkEnd w:id="40833"/>
      <w:r>
        <w:rPr>
          <w:rFonts w:hint="cs"/>
          <w:rtl/>
        </w:rPr>
        <w:t xml:space="preserve">אמר </w:t>
      </w:r>
      <w:bookmarkStart w:id="40834" w:name="_ETM_Q77_320459"/>
      <w:bookmarkEnd w:id="40834"/>
      <w:r>
        <w:rPr>
          <w:rFonts w:hint="cs"/>
          <w:rtl/>
        </w:rPr>
        <w:t xml:space="preserve">לי </w:t>
      </w:r>
      <w:bookmarkStart w:id="40835" w:name="_ETM_Q77_320579"/>
      <w:bookmarkEnd w:id="40835"/>
      <w:r>
        <w:rPr>
          <w:rFonts w:hint="cs"/>
          <w:rtl/>
        </w:rPr>
        <w:t xml:space="preserve">לפני </w:t>
      </w:r>
      <w:bookmarkStart w:id="40836" w:name="_ETM_Q77_320879"/>
      <w:bookmarkEnd w:id="40836"/>
      <w:r>
        <w:rPr>
          <w:rFonts w:hint="cs"/>
          <w:rtl/>
        </w:rPr>
        <w:t xml:space="preserve">זמן </w:t>
      </w:r>
      <w:bookmarkStart w:id="40837" w:name="_ETM_Q77_321150"/>
      <w:bookmarkEnd w:id="40837"/>
      <w:r>
        <w:rPr>
          <w:rFonts w:hint="cs"/>
          <w:rtl/>
        </w:rPr>
        <w:t xml:space="preserve">מה: </w:t>
      </w:r>
      <w:bookmarkStart w:id="40838" w:name="_ETM_Q77_322030"/>
      <w:bookmarkEnd w:id="40838"/>
      <w:r>
        <w:rPr>
          <w:rFonts w:hint="cs"/>
          <w:rtl/>
        </w:rPr>
        <w:t xml:space="preserve">הבעיה </w:t>
      </w:r>
      <w:bookmarkStart w:id="40839" w:name="_ETM_Q77_322600"/>
      <w:bookmarkEnd w:id="40839"/>
      <w:r>
        <w:rPr>
          <w:rFonts w:hint="cs"/>
          <w:rtl/>
        </w:rPr>
        <w:t xml:space="preserve">היא </w:t>
      </w:r>
      <w:bookmarkStart w:id="40840" w:name="_ETM_Q77_323050"/>
      <w:bookmarkEnd w:id="40840"/>
      <w:r>
        <w:rPr>
          <w:rFonts w:hint="cs"/>
          <w:rtl/>
        </w:rPr>
        <w:t xml:space="preserve">ששתי </w:t>
      </w:r>
      <w:bookmarkStart w:id="40841" w:name="_ETM_Q77_323440"/>
      <w:bookmarkEnd w:id="40841"/>
      <w:r>
        <w:rPr>
          <w:rFonts w:hint="cs"/>
          <w:rtl/>
        </w:rPr>
        <w:t xml:space="preserve">האפשרויות </w:t>
      </w:r>
      <w:bookmarkStart w:id="40842" w:name="_ETM_Q77_324010"/>
      <w:bookmarkEnd w:id="40842"/>
      <w:r>
        <w:rPr>
          <w:rFonts w:hint="cs"/>
          <w:rtl/>
        </w:rPr>
        <w:t>ר</w:t>
      </w:r>
      <w:bookmarkStart w:id="40843" w:name="_ETM_Q77_325180"/>
      <w:bookmarkEnd w:id="40843"/>
      <w:r>
        <w:rPr>
          <w:rFonts w:hint="cs"/>
          <w:rtl/>
        </w:rPr>
        <w:t xml:space="preserve">עות. להמשיך </w:t>
      </w:r>
      <w:bookmarkStart w:id="40844" w:name="_ETM_Q77_325660"/>
      <w:bookmarkEnd w:id="40844"/>
      <w:r>
        <w:rPr>
          <w:rFonts w:hint="cs"/>
          <w:rtl/>
        </w:rPr>
        <w:t xml:space="preserve">בחקיקה </w:t>
      </w:r>
      <w:bookmarkStart w:id="40845" w:name="_ETM_Q77_326350"/>
      <w:bookmarkEnd w:id="40845"/>
      <w:r>
        <w:rPr>
          <w:rFonts w:hint="cs"/>
          <w:rtl/>
        </w:rPr>
        <w:t xml:space="preserve">יביא </w:t>
      </w:r>
      <w:bookmarkStart w:id="40846" w:name="_ETM_Q77_326650"/>
      <w:bookmarkEnd w:id="40846"/>
      <w:r>
        <w:rPr>
          <w:rFonts w:hint="cs"/>
          <w:rtl/>
        </w:rPr>
        <w:t xml:space="preserve">לפגיעה </w:t>
      </w:r>
      <w:bookmarkStart w:id="40847" w:name="_ETM_Q77_327040"/>
      <w:bookmarkEnd w:id="40847"/>
      <w:r>
        <w:rPr>
          <w:rFonts w:hint="cs"/>
          <w:rtl/>
        </w:rPr>
        <w:t xml:space="preserve">משמעותית </w:t>
      </w:r>
      <w:bookmarkStart w:id="40848" w:name="_ETM_Q77_327580"/>
      <w:bookmarkEnd w:id="40848"/>
      <w:r>
        <w:rPr>
          <w:rFonts w:hint="cs"/>
          <w:rtl/>
        </w:rPr>
        <w:t xml:space="preserve">בצה"ל </w:t>
      </w:r>
      <w:bookmarkStart w:id="40849" w:name="_ETM_Q77_327970"/>
      <w:bookmarkEnd w:id="40849"/>
      <w:r>
        <w:rPr>
          <w:rFonts w:hint="cs"/>
          <w:rtl/>
        </w:rPr>
        <w:t xml:space="preserve">ובביטחון </w:t>
      </w:r>
      <w:bookmarkStart w:id="40850" w:name="_ETM_Q77_328480"/>
      <w:bookmarkEnd w:id="40850"/>
      <w:r>
        <w:rPr>
          <w:rFonts w:hint="cs"/>
          <w:rtl/>
        </w:rPr>
        <w:t>ישראל</w:t>
      </w:r>
      <w:r w:rsidR="00E367B5">
        <w:rPr>
          <w:rFonts w:hint="cs"/>
          <w:rtl/>
        </w:rPr>
        <w:t>;</w:t>
      </w:r>
      <w:r>
        <w:rPr>
          <w:rFonts w:hint="cs"/>
          <w:rtl/>
        </w:rPr>
        <w:t xml:space="preserve"> </w:t>
      </w:r>
      <w:bookmarkStart w:id="40851" w:name="_ETM_Q77_329320"/>
      <w:bookmarkEnd w:id="40851"/>
      <w:r>
        <w:rPr>
          <w:rFonts w:hint="cs"/>
          <w:rtl/>
        </w:rPr>
        <w:t xml:space="preserve">להפסיק </w:t>
      </w:r>
      <w:bookmarkStart w:id="40852" w:name="_ETM_Q77_329770"/>
      <w:bookmarkEnd w:id="40852"/>
      <w:r>
        <w:rPr>
          <w:rFonts w:hint="cs"/>
          <w:rtl/>
        </w:rPr>
        <w:t xml:space="preserve">את </w:t>
      </w:r>
      <w:bookmarkStart w:id="40853" w:name="_ETM_Q77_329830"/>
      <w:bookmarkEnd w:id="40853"/>
      <w:r>
        <w:rPr>
          <w:rFonts w:hint="cs"/>
          <w:rtl/>
        </w:rPr>
        <w:t xml:space="preserve">החקיקה </w:t>
      </w:r>
      <w:bookmarkStart w:id="40854" w:name="_ETM_Q77_330840"/>
      <w:bookmarkEnd w:id="40854"/>
      <w:r>
        <w:rPr>
          <w:rFonts w:hint="cs"/>
          <w:rtl/>
        </w:rPr>
        <w:t xml:space="preserve">יגרום </w:t>
      </w:r>
      <w:bookmarkStart w:id="40855" w:name="_ETM_Q77_331169"/>
      <w:bookmarkEnd w:id="40855"/>
      <w:r>
        <w:rPr>
          <w:rFonts w:hint="cs"/>
          <w:rtl/>
        </w:rPr>
        <w:t xml:space="preserve">לכך </w:t>
      </w:r>
      <w:bookmarkStart w:id="40856" w:name="_ETM_Q77_331530"/>
      <w:bookmarkEnd w:id="40856"/>
      <w:r>
        <w:rPr>
          <w:rFonts w:hint="cs"/>
          <w:rtl/>
        </w:rPr>
        <w:t xml:space="preserve">שהממשלה </w:t>
      </w:r>
      <w:bookmarkStart w:id="40857" w:name="_ETM_Q77_332159"/>
      <w:bookmarkEnd w:id="40857"/>
      <w:r>
        <w:rPr>
          <w:rFonts w:hint="cs"/>
          <w:rtl/>
        </w:rPr>
        <w:t xml:space="preserve">תיכנע </w:t>
      </w:r>
      <w:bookmarkStart w:id="40858" w:name="_ETM_Q77_332639"/>
      <w:bookmarkEnd w:id="40858"/>
      <w:r>
        <w:rPr>
          <w:rFonts w:hint="cs"/>
          <w:rtl/>
        </w:rPr>
        <w:t xml:space="preserve">לאיומי </w:t>
      </w:r>
      <w:bookmarkStart w:id="40859" w:name="_ETM_Q77_333090"/>
      <w:bookmarkStart w:id="40860" w:name="_ETM_Q77_334200"/>
      <w:bookmarkEnd w:id="40859"/>
      <w:bookmarkEnd w:id="40860"/>
      <w:r>
        <w:rPr>
          <w:rFonts w:hint="cs"/>
          <w:rtl/>
        </w:rPr>
        <w:t xml:space="preserve">אי-התייצבות. אמרתי </w:t>
      </w:r>
      <w:bookmarkStart w:id="40861" w:name="_ETM_Q77_334769"/>
      <w:bookmarkEnd w:id="40861"/>
      <w:r>
        <w:rPr>
          <w:rFonts w:hint="cs"/>
          <w:rtl/>
        </w:rPr>
        <w:t xml:space="preserve">לו: </w:t>
      </w:r>
      <w:bookmarkStart w:id="40862" w:name="_ETM_Q77_335560"/>
      <w:bookmarkEnd w:id="40862"/>
      <w:r>
        <w:rPr>
          <w:rFonts w:hint="cs"/>
          <w:rtl/>
        </w:rPr>
        <w:t xml:space="preserve">כרגיל, </w:t>
      </w:r>
      <w:bookmarkStart w:id="40863" w:name="_ETM_Q77_336519"/>
      <w:bookmarkEnd w:id="40863"/>
      <w:r>
        <w:rPr>
          <w:rFonts w:hint="cs"/>
          <w:rtl/>
        </w:rPr>
        <w:t xml:space="preserve">הבעיה </w:t>
      </w:r>
      <w:bookmarkStart w:id="40864" w:name="_ETM_Q77_336939"/>
      <w:bookmarkEnd w:id="40864"/>
      <w:r>
        <w:rPr>
          <w:rFonts w:hint="cs"/>
          <w:rtl/>
        </w:rPr>
        <w:t xml:space="preserve">אצלכם </w:t>
      </w:r>
      <w:bookmarkStart w:id="40865" w:name="_ETM_Q77_337450"/>
      <w:bookmarkStart w:id="40866" w:name="_ETM_Q77_337659"/>
      <w:bookmarkEnd w:id="40865"/>
      <w:bookmarkEnd w:id="40866"/>
      <w:r>
        <w:rPr>
          <w:rFonts w:hint="cs"/>
          <w:rtl/>
        </w:rPr>
        <w:t xml:space="preserve">היא שאתם </w:t>
      </w:r>
      <w:bookmarkStart w:id="40867" w:name="_ETM_Q77_338049"/>
      <w:bookmarkEnd w:id="40867"/>
      <w:r>
        <w:rPr>
          <w:rFonts w:hint="cs"/>
          <w:rtl/>
        </w:rPr>
        <w:t xml:space="preserve">נכנסים </w:t>
      </w:r>
      <w:bookmarkStart w:id="40868" w:name="_ETM_Q77_338650"/>
      <w:bookmarkEnd w:id="40868"/>
      <w:r>
        <w:rPr>
          <w:rFonts w:hint="cs"/>
          <w:rtl/>
        </w:rPr>
        <w:t xml:space="preserve">מראש </w:t>
      </w:r>
      <w:bookmarkStart w:id="40869" w:name="_ETM_Q77_339159"/>
      <w:bookmarkEnd w:id="40869"/>
      <w:r>
        <w:rPr>
          <w:rFonts w:hint="cs"/>
          <w:rtl/>
        </w:rPr>
        <w:t xml:space="preserve">לסיטואציה </w:t>
      </w:r>
      <w:bookmarkStart w:id="40870" w:name="_ETM_Q77_339879"/>
      <w:bookmarkEnd w:id="40870"/>
      <w:r>
        <w:rPr>
          <w:rFonts w:hint="cs"/>
          <w:rtl/>
        </w:rPr>
        <w:t xml:space="preserve">הבעייתית </w:t>
      </w:r>
      <w:bookmarkStart w:id="40871" w:name="_ETM_Q77_340389"/>
      <w:bookmarkEnd w:id="40871"/>
      <w:r>
        <w:rPr>
          <w:rFonts w:hint="cs"/>
          <w:rtl/>
        </w:rPr>
        <w:t xml:space="preserve">הזו. </w:t>
      </w:r>
      <w:bookmarkStart w:id="40872" w:name="_ETM_Q77_341169"/>
      <w:bookmarkEnd w:id="40872"/>
      <w:r>
        <w:rPr>
          <w:rFonts w:hint="cs"/>
          <w:rtl/>
        </w:rPr>
        <w:t xml:space="preserve">שוב </w:t>
      </w:r>
      <w:bookmarkStart w:id="40873" w:name="_ETM_Q77_341499"/>
      <w:bookmarkEnd w:id="40873"/>
      <w:r>
        <w:rPr>
          <w:rFonts w:hint="cs"/>
          <w:rtl/>
        </w:rPr>
        <w:t xml:space="preserve">ושוב </w:t>
      </w:r>
      <w:bookmarkStart w:id="40874" w:name="_ETM_Q77_341799"/>
      <w:bookmarkEnd w:id="40874"/>
      <w:r>
        <w:rPr>
          <w:rFonts w:hint="cs"/>
          <w:rtl/>
        </w:rPr>
        <w:t xml:space="preserve">אתם </w:t>
      </w:r>
      <w:bookmarkStart w:id="40875" w:name="_ETM_Q77_342010"/>
      <w:bookmarkEnd w:id="40875"/>
      <w:r>
        <w:rPr>
          <w:rFonts w:hint="cs"/>
          <w:rtl/>
        </w:rPr>
        <w:t xml:space="preserve">דוהרים </w:t>
      </w:r>
      <w:bookmarkStart w:id="40876" w:name="_ETM_Q77_342819"/>
      <w:bookmarkEnd w:id="40876"/>
      <w:r>
        <w:rPr>
          <w:rFonts w:hint="cs"/>
          <w:rtl/>
        </w:rPr>
        <w:t xml:space="preserve">למקום </w:t>
      </w:r>
      <w:bookmarkStart w:id="40877" w:name="_ETM_Q77_343269"/>
      <w:bookmarkEnd w:id="40877"/>
      <w:r>
        <w:rPr>
          <w:rFonts w:hint="cs"/>
          <w:rtl/>
        </w:rPr>
        <w:t xml:space="preserve">שבו </w:t>
      </w:r>
      <w:bookmarkStart w:id="40878" w:name="_ETM_Q77_343780"/>
      <w:bookmarkEnd w:id="40878"/>
      <w:r>
        <w:rPr>
          <w:rFonts w:hint="cs"/>
          <w:rtl/>
        </w:rPr>
        <w:t xml:space="preserve">כל </w:t>
      </w:r>
      <w:bookmarkStart w:id="40879" w:name="_ETM_Q77_344019"/>
      <w:bookmarkEnd w:id="40879"/>
      <w:r>
        <w:rPr>
          <w:rFonts w:hint="cs"/>
          <w:rtl/>
        </w:rPr>
        <w:t xml:space="preserve">האפשרויות </w:t>
      </w:r>
      <w:bookmarkStart w:id="40880" w:name="_ETM_Q77_344590"/>
      <w:bookmarkEnd w:id="40880"/>
      <w:r>
        <w:rPr>
          <w:rFonts w:hint="cs"/>
          <w:rtl/>
        </w:rPr>
        <w:t xml:space="preserve">גרועות, </w:t>
      </w:r>
      <w:bookmarkStart w:id="40881" w:name="_ETM_Q77_345940"/>
      <w:bookmarkEnd w:id="40881"/>
      <w:r>
        <w:rPr>
          <w:rFonts w:hint="cs"/>
          <w:rtl/>
        </w:rPr>
        <w:t xml:space="preserve">כאילו </w:t>
      </w:r>
      <w:bookmarkStart w:id="40882" w:name="_ETM_Q77_346419"/>
      <w:bookmarkEnd w:id="40882"/>
      <w:r>
        <w:rPr>
          <w:rFonts w:hint="cs"/>
          <w:rtl/>
        </w:rPr>
        <w:t xml:space="preserve">לא </w:t>
      </w:r>
      <w:bookmarkStart w:id="40883" w:name="_ETM_Q77_346540"/>
      <w:bookmarkEnd w:id="40883"/>
      <w:r>
        <w:rPr>
          <w:rFonts w:hint="cs"/>
          <w:rtl/>
        </w:rPr>
        <w:t xml:space="preserve">למדתם </w:t>
      </w:r>
      <w:bookmarkStart w:id="40884" w:name="_ETM_Q77_346990"/>
      <w:bookmarkEnd w:id="40884"/>
      <w:r>
        <w:rPr>
          <w:rFonts w:hint="cs"/>
          <w:rtl/>
        </w:rPr>
        <w:t xml:space="preserve">לקח </w:t>
      </w:r>
      <w:bookmarkStart w:id="40885" w:name="_ETM_Q77_347500"/>
      <w:bookmarkEnd w:id="40885"/>
      <w:r>
        <w:rPr>
          <w:rFonts w:hint="cs"/>
          <w:rtl/>
        </w:rPr>
        <w:t xml:space="preserve">מהפעם </w:t>
      </w:r>
      <w:bookmarkStart w:id="40886" w:name="_ETM_Q77_347950"/>
      <w:bookmarkEnd w:id="40886"/>
      <w:r>
        <w:rPr>
          <w:rFonts w:hint="cs"/>
          <w:rtl/>
        </w:rPr>
        <w:t xml:space="preserve">הקודמת. </w:t>
      </w:r>
      <w:bookmarkStart w:id="40887" w:name="_ETM_Q77_348730"/>
      <w:bookmarkEnd w:id="40887"/>
      <w:r>
        <w:rPr>
          <w:rFonts w:hint="cs"/>
          <w:rtl/>
        </w:rPr>
        <w:t xml:space="preserve">שוב </w:t>
      </w:r>
      <w:bookmarkStart w:id="40888" w:name="_ETM_Q77_349090"/>
      <w:bookmarkEnd w:id="40888"/>
      <w:r>
        <w:rPr>
          <w:rFonts w:hint="cs"/>
          <w:rtl/>
        </w:rPr>
        <w:t xml:space="preserve">ניסיתם </w:t>
      </w:r>
      <w:bookmarkStart w:id="40889" w:name="_ETM_Q77_349750"/>
      <w:bookmarkEnd w:id="40889"/>
      <w:r>
        <w:rPr>
          <w:rFonts w:hint="cs"/>
          <w:rtl/>
        </w:rPr>
        <w:t xml:space="preserve">בשחצנות </w:t>
      </w:r>
      <w:bookmarkStart w:id="40890" w:name="_ETM_Q77_350980"/>
      <w:bookmarkEnd w:id="40890"/>
      <w:r>
        <w:rPr>
          <w:rFonts w:hint="cs"/>
          <w:rtl/>
        </w:rPr>
        <w:t xml:space="preserve">לחוקק </w:t>
      </w:r>
      <w:bookmarkStart w:id="40891" w:name="_ETM_Q77_351490"/>
      <w:bookmarkEnd w:id="40891"/>
      <w:r>
        <w:rPr>
          <w:rFonts w:hint="cs"/>
          <w:rtl/>
        </w:rPr>
        <w:t xml:space="preserve">באופן </w:t>
      </w:r>
      <w:bookmarkStart w:id="40892" w:name="_ETM_Q77_351850"/>
      <w:bookmarkEnd w:id="40892"/>
      <w:r>
        <w:rPr>
          <w:rFonts w:hint="cs"/>
          <w:rtl/>
        </w:rPr>
        <w:t xml:space="preserve">חד-צדדי. </w:t>
      </w:r>
      <w:bookmarkStart w:id="40893" w:name="_ETM_Q77_353370"/>
      <w:bookmarkEnd w:id="40893"/>
      <w:r>
        <w:rPr>
          <w:rFonts w:hint="cs"/>
          <w:rtl/>
        </w:rPr>
        <w:t xml:space="preserve">יש </w:t>
      </w:r>
      <w:bookmarkStart w:id="40894" w:name="_ETM_Q77_353639"/>
      <w:bookmarkEnd w:id="40894"/>
      <w:r>
        <w:rPr>
          <w:rFonts w:hint="cs"/>
          <w:rtl/>
        </w:rPr>
        <w:t xml:space="preserve">לכם </w:t>
      </w:r>
      <w:bookmarkStart w:id="40895" w:name="_ETM_Q77_353910"/>
      <w:bookmarkEnd w:id="40895"/>
      <w:r>
        <w:rPr>
          <w:rFonts w:hint="cs"/>
          <w:rtl/>
        </w:rPr>
        <w:t xml:space="preserve">מספיק </w:t>
      </w:r>
      <w:bookmarkStart w:id="40896" w:name="_ETM_Q77_354270"/>
      <w:bookmarkEnd w:id="40896"/>
      <w:r>
        <w:rPr>
          <w:rFonts w:hint="cs"/>
          <w:rtl/>
        </w:rPr>
        <w:t xml:space="preserve">אצבעות </w:t>
      </w:r>
      <w:bookmarkStart w:id="40897" w:name="_ETM_Q77_354840"/>
      <w:bookmarkEnd w:id="40897"/>
      <w:r>
        <w:rPr>
          <w:rFonts w:hint="cs"/>
          <w:rtl/>
        </w:rPr>
        <w:t xml:space="preserve">לחוקק </w:t>
      </w:r>
      <w:bookmarkStart w:id="40898" w:name="_ETM_Q77_355319"/>
      <w:bookmarkEnd w:id="40898"/>
      <w:r>
        <w:rPr>
          <w:rFonts w:hint="cs"/>
          <w:rtl/>
        </w:rPr>
        <w:t xml:space="preserve">מחר </w:t>
      </w:r>
      <w:bookmarkStart w:id="40899" w:name="_ETM_Q77_355680"/>
      <w:bookmarkEnd w:id="40899"/>
      <w:r>
        <w:rPr>
          <w:rFonts w:hint="cs"/>
          <w:rtl/>
        </w:rPr>
        <w:t xml:space="preserve">באופן </w:t>
      </w:r>
      <w:bookmarkStart w:id="40900" w:name="_ETM_Q77_356010"/>
      <w:bookmarkEnd w:id="40900"/>
      <w:r>
        <w:rPr>
          <w:rFonts w:hint="cs"/>
          <w:rtl/>
        </w:rPr>
        <w:t xml:space="preserve">חד-צדדי. </w:t>
      </w:r>
      <w:bookmarkStart w:id="40901" w:name="_ETM_Q77_357150"/>
      <w:bookmarkEnd w:id="40901"/>
      <w:r>
        <w:rPr>
          <w:rFonts w:hint="cs"/>
          <w:rtl/>
        </w:rPr>
        <w:t xml:space="preserve">אם </w:t>
      </w:r>
      <w:bookmarkStart w:id="40902" w:name="_ETM_Q77_357300"/>
      <w:bookmarkEnd w:id="40902"/>
      <w:r>
        <w:rPr>
          <w:rFonts w:hint="cs"/>
          <w:rtl/>
        </w:rPr>
        <w:t xml:space="preserve">תחליטו, </w:t>
      </w:r>
      <w:bookmarkStart w:id="40903" w:name="_ETM_Q77_358169"/>
      <w:bookmarkEnd w:id="40903"/>
      <w:r>
        <w:rPr>
          <w:rFonts w:hint="cs"/>
          <w:rtl/>
        </w:rPr>
        <w:t xml:space="preserve">יהיו </w:t>
      </w:r>
      <w:bookmarkStart w:id="40904" w:name="_ETM_Q77_358410"/>
      <w:bookmarkEnd w:id="40904"/>
      <w:r>
        <w:rPr>
          <w:rFonts w:hint="cs"/>
          <w:rtl/>
        </w:rPr>
        <w:t xml:space="preserve">לכם </w:t>
      </w:r>
      <w:bookmarkStart w:id="40905" w:name="_ETM_Q77_358680"/>
      <w:bookmarkEnd w:id="40905"/>
      <w:r>
        <w:rPr>
          <w:rFonts w:hint="cs"/>
          <w:rtl/>
        </w:rPr>
        <w:t xml:space="preserve">מחר </w:t>
      </w:r>
      <w:bookmarkStart w:id="40906" w:name="_ETM_Q77_358980"/>
      <w:bookmarkEnd w:id="40906"/>
      <w:r>
        <w:rPr>
          <w:rFonts w:hint="cs"/>
          <w:rtl/>
        </w:rPr>
        <w:t xml:space="preserve">64 </w:t>
      </w:r>
      <w:bookmarkStart w:id="40907" w:name="_ETM_Q77_359910"/>
      <w:bookmarkEnd w:id="40907"/>
      <w:r>
        <w:rPr>
          <w:rFonts w:hint="cs"/>
          <w:rtl/>
        </w:rPr>
        <w:t xml:space="preserve">אצבעות </w:t>
      </w:r>
      <w:bookmarkStart w:id="40908" w:name="_ETM_Q77_361020"/>
      <w:bookmarkEnd w:id="40908"/>
      <w:r>
        <w:rPr>
          <w:rFonts w:hint="cs"/>
          <w:rtl/>
        </w:rPr>
        <w:t xml:space="preserve">שיונפו </w:t>
      </w:r>
      <w:bookmarkStart w:id="40909" w:name="_ETM_Q77_361620"/>
      <w:bookmarkEnd w:id="40909"/>
      <w:r>
        <w:rPr>
          <w:rFonts w:hint="cs"/>
          <w:rtl/>
        </w:rPr>
        <w:t xml:space="preserve">בעד </w:t>
      </w:r>
      <w:bookmarkStart w:id="40910" w:name="_ETM_Q77_361980"/>
      <w:bookmarkEnd w:id="40910"/>
      <w:r>
        <w:rPr>
          <w:rFonts w:hint="cs"/>
          <w:rtl/>
        </w:rPr>
        <w:t xml:space="preserve">ביטול </w:t>
      </w:r>
      <w:bookmarkStart w:id="40911" w:name="_ETM_Q77_362340"/>
      <w:bookmarkEnd w:id="40911"/>
      <w:r>
        <w:rPr>
          <w:rFonts w:hint="cs"/>
          <w:rtl/>
        </w:rPr>
        <w:t xml:space="preserve">עילת </w:t>
      </w:r>
      <w:bookmarkStart w:id="40912" w:name="_ETM_Q77_362610"/>
      <w:bookmarkEnd w:id="40912"/>
      <w:r>
        <w:rPr>
          <w:rFonts w:hint="cs"/>
          <w:rtl/>
        </w:rPr>
        <w:t xml:space="preserve">הסבירות, </w:t>
      </w:r>
      <w:bookmarkStart w:id="40913" w:name="_ETM_Q77_363519"/>
      <w:bookmarkEnd w:id="40913"/>
      <w:r>
        <w:rPr>
          <w:rFonts w:hint="cs"/>
          <w:rtl/>
        </w:rPr>
        <w:t xml:space="preserve">אבל </w:t>
      </w:r>
      <w:bookmarkStart w:id="40914" w:name="_ETM_Q77_363969"/>
      <w:bookmarkEnd w:id="40914"/>
      <w:r>
        <w:rPr>
          <w:rFonts w:hint="cs"/>
          <w:rtl/>
        </w:rPr>
        <w:t xml:space="preserve">המחיר </w:t>
      </w:r>
      <w:bookmarkStart w:id="40915" w:name="_ETM_Q77_364450"/>
      <w:bookmarkEnd w:id="40915"/>
      <w:r>
        <w:rPr>
          <w:rFonts w:hint="cs"/>
          <w:rtl/>
        </w:rPr>
        <w:t xml:space="preserve">הוא </w:t>
      </w:r>
      <w:bookmarkStart w:id="40916" w:name="_ETM_Q77_364840"/>
      <w:bookmarkEnd w:id="40916"/>
      <w:r>
        <w:rPr>
          <w:rFonts w:hint="cs"/>
          <w:rtl/>
        </w:rPr>
        <w:t xml:space="preserve">פירוק </w:t>
      </w:r>
      <w:bookmarkStart w:id="40917" w:name="_ETM_Q77_365230"/>
      <w:bookmarkEnd w:id="40917"/>
      <w:r>
        <w:rPr>
          <w:rFonts w:hint="cs"/>
          <w:rtl/>
        </w:rPr>
        <w:t xml:space="preserve">החברה. </w:t>
      </w:r>
      <w:bookmarkStart w:id="40918" w:name="_ETM_Q77_366419"/>
      <w:bookmarkEnd w:id="40918"/>
      <w:r>
        <w:rPr>
          <w:rFonts w:hint="cs"/>
          <w:rtl/>
        </w:rPr>
        <w:t xml:space="preserve">המחיר </w:t>
      </w:r>
      <w:bookmarkStart w:id="40919" w:name="_ETM_Q77_366959"/>
      <w:bookmarkEnd w:id="40919"/>
      <w:r>
        <w:rPr>
          <w:rFonts w:hint="cs"/>
          <w:rtl/>
        </w:rPr>
        <w:t xml:space="preserve">של </w:t>
      </w:r>
      <w:bookmarkStart w:id="40920" w:name="_ETM_Q77_367139"/>
      <w:bookmarkEnd w:id="40920"/>
      <w:r>
        <w:rPr>
          <w:rFonts w:hint="cs"/>
          <w:rtl/>
        </w:rPr>
        <w:t xml:space="preserve">מהלכים </w:t>
      </w:r>
      <w:bookmarkStart w:id="40921" w:name="_ETM_Q77_367650"/>
      <w:bookmarkEnd w:id="40921"/>
      <w:r>
        <w:rPr>
          <w:rFonts w:hint="cs"/>
          <w:rtl/>
        </w:rPr>
        <w:t xml:space="preserve">חד-צדדיים </w:t>
      </w:r>
      <w:bookmarkStart w:id="40922" w:name="_ETM_Q77_368400"/>
      <w:bookmarkEnd w:id="40922"/>
      <w:r>
        <w:rPr>
          <w:rFonts w:hint="cs"/>
          <w:rtl/>
        </w:rPr>
        <w:t xml:space="preserve">בנושאים </w:t>
      </w:r>
      <w:bookmarkStart w:id="40923" w:name="_ETM_Q77_368909"/>
      <w:bookmarkEnd w:id="40923"/>
      <w:r>
        <w:rPr>
          <w:rFonts w:hint="cs"/>
          <w:rtl/>
        </w:rPr>
        <w:t xml:space="preserve">כה </w:t>
      </w:r>
      <w:bookmarkStart w:id="40924" w:name="_ETM_Q77_369209"/>
      <w:bookmarkEnd w:id="40924"/>
      <w:r>
        <w:rPr>
          <w:rFonts w:hint="cs"/>
          <w:rtl/>
        </w:rPr>
        <w:t xml:space="preserve">רגישים </w:t>
      </w:r>
      <w:bookmarkStart w:id="40925" w:name="_ETM_Q77_369629"/>
      <w:bookmarkEnd w:id="40925"/>
      <w:r>
        <w:rPr>
          <w:rFonts w:hint="cs"/>
          <w:rtl/>
        </w:rPr>
        <w:t xml:space="preserve">ונפיצים </w:t>
      </w:r>
      <w:bookmarkStart w:id="40926" w:name="_ETM_Q77_370639"/>
      <w:bookmarkEnd w:id="40926"/>
      <w:r>
        <w:rPr>
          <w:rFonts w:hint="cs"/>
          <w:rtl/>
        </w:rPr>
        <w:t xml:space="preserve">הוא </w:t>
      </w:r>
      <w:bookmarkStart w:id="40927" w:name="_ETM_Q77_370730"/>
      <w:bookmarkEnd w:id="40927"/>
      <w:r>
        <w:rPr>
          <w:rFonts w:hint="cs"/>
          <w:rtl/>
        </w:rPr>
        <w:t xml:space="preserve">קרע </w:t>
      </w:r>
      <w:bookmarkStart w:id="40928" w:name="_ETM_Q77_371060"/>
      <w:bookmarkEnd w:id="40928"/>
      <w:r>
        <w:rPr>
          <w:rFonts w:hint="cs"/>
          <w:rtl/>
        </w:rPr>
        <w:t xml:space="preserve">פנימי. </w:t>
      </w:r>
      <w:bookmarkStart w:id="40929" w:name="_ETM_Q77_372760"/>
      <w:bookmarkEnd w:id="40929"/>
      <w:r>
        <w:rPr>
          <w:rFonts w:hint="cs"/>
          <w:rtl/>
        </w:rPr>
        <w:t xml:space="preserve">כאמור, </w:t>
      </w:r>
      <w:bookmarkStart w:id="40930" w:name="_ETM_Q77_373450"/>
      <w:bookmarkEnd w:id="40930"/>
      <w:r>
        <w:rPr>
          <w:rFonts w:hint="cs"/>
          <w:rtl/>
        </w:rPr>
        <w:t xml:space="preserve">האם </w:t>
      </w:r>
      <w:bookmarkStart w:id="40931" w:name="_ETM_Q77_373720"/>
      <w:bookmarkEnd w:id="40931"/>
      <w:r>
        <w:rPr>
          <w:rFonts w:hint="cs"/>
          <w:rtl/>
        </w:rPr>
        <w:t xml:space="preserve">כל </w:t>
      </w:r>
      <w:bookmarkStart w:id="40932" w:name="_ETM_Q77_374080"/>
      <w:bookmarkEnd w:id="40932"/>
      <w:r>
        <w:rPr>
          <w:rFonts w:hint="cs"/>
          <w:rtl/>
        </w:rPr>
        <w:t xml:space="preserve">זה </w:t>
      </w:r>
      <w:bookmarkStart w:id="40933" w:name="_ETM_Q77_374470"/>
      <w:bookmarkEnd w:id="40933"/>
      <w:r>
        <w:rPr>
          <w:rFonts w:hint="cs"/>
          <w:rtl/>
        </w:rPr>
        <w:t xml:space="preserve">שווה? </w:t>
      </w:r>
      <w:bookmarkStart w:id="40934" w:name="_ETM_Q77_375190"/>
      <w:bookmarkEnd w:id="40934"/>
      <w:r>
        <w:rPr>
          <w:rFonts w:hint="cs"/>
          <w:rtl/>
        </w:rPr>
        <w:t xml:space="preserve">האם </w:t>
      </w:r>
      <w:bookmarkStart w:id="40935" w:name="_ETM_Q77_375490"/>
      <w:bookmarkEnd w:id="40935"/>
      <w:r>
        <w:rPr>
          <w:rFonts w:hint="cs"/>
          <w:rtl/>
        </w:rPr>
        <w:t xml:space="preserve">המחיר </w:t>
      </w:r>
      <w:bookmarkStart w:id="40936" w:name="_ETM_Q77_375940"/>
      <w:bookmarkEnd w:id="40936"/>
      <w:r>
        <w:rPr>
          <w:rFonts w:hint="cs"/>
          <w:rtl/>
        </w:rPr>
        <w:t xml:space="preserve">שווה </w:t>
      </w:r>
      <w:bookmarkStart w:id="40937" w:name="_ETM_Q77_376240"/>
      <w:bookmarkEnd w:id="40937"/>
      <w:r>
        <w:rPr>
          <w:rFonts w:hint="cs"/>
          <w:rtl/>
        </w:rPr>
        <w:t xml:space="preserve">לכם, </w:t>
      </w:r>
      <w:bookmarkStart w:id="40938" w:name="_ETM_Q77_376810"/>
      <w:bookmarkEnd w:id="40938"/>
      <w:r>
        <w:rPr>
          <w:rFonts w:hint="cs"/>
          <w:rtl/>
        </w:rPr>
        <w:t xml:space="preserve">לנו, </w:t>
      </w:r>
      <w:bookmarkStart w:id="40939" w:name="_ETM_Q77_377320"/>
      <w:bookmarkEnd w:id="40939"/>
      <w:r>
        <w:rPr>
          <w:rFonts w:hint="cs"/>
          <w:rtl/>
        </w:rPr>
        <w:t>לכולנו</w:t>
      </w:r>
      <w:bookmarkStart w:id="40940" w:name="_ETM_Q77_378989"/>
      <w:bookmarkEnd w:id="40940"/>
      <w:r>
        <w:rPr>
          <w:rFonts w:hint="cs"/>
          <w:rtl/>
        </w:rPr>
        <w:t xml:space="preserve">? </w:t>
      </w:r>
      <w:bookmarkStart w:id="40941" w:name="_ETM_Q77_380000"/>
      <w:bookmarkEnd w:id="40941"/>
      <w:r>
        <w:rPr>
          <w:rFonts w:hint="cs"/>
          <w:rtl/>
        </w:rPr>
        <w:t xml:space="preserve">מדוע </w:t>
      </w:r>
      <w:bookmarkStart w:id="40942" w:name="_ETM_Q77_379379"/>
      <w:bookmarkEnd w:id="40942"/>
      <w:r>
        <w:rPr>
          <w:rFonts w:hint="cs"/>
          <w:rtl/>
        </w:rPr>
        <w:t xml:space="preserve">החלטתם </w:t>
      </w:r>
      <w:bookmarkStart w:id="40943" w:name="_ETM_Q77_379919"/>
      <w:bookmarkEnd w:id="40943"/>
      <w:r>
        <w:rPr>
          <w:rFonts w:hint="cs"/>
          <w:rtl/>
        </w:rPr>
        <w:t xml:space="preserve">לפני </w:t>
      </w:r>
      <w:bookmarkStart w:id="40944" w:name="_ETM_Q77_380219"/>
      <w:bookmarkEnd w:id="40944"/>
      <w:r>
        <w:rPr>
          <w:rFonts w:hint="cs"/>
          <w:rtl/>
        </w:rPr>
        <w:t xml:space="preserve">כמה </w:t>
      </w:r>
      <w:bookmarkStart w:id="40945" w:name="_ETM_Q77_380519"/>
      <w:bookmarkEnd w:id="40945"/>
      <w:r>
        <w:rPr>
          <w:rFonts w:hint="cs"/>
          <w:rtl/>
        </w:rPr>
        <w:t xml:space="preserve">שבועות </w:t>
      </w:r>
      <w:bookmarkStart w:id="40946" w:name="_ETM_Q77_381419"/>
      <w:bookmarkEnd w:id="40946"/>
      <w:r>
        <w:rPr>
          <w:rFonts w:hint="cs"/>
          <w:rtl/>
        </w:rPr>
        <w:t xml:space="preserve">ללכת </w:t>
      </w:r>
      <w:bookmarkStart w:id="40947" w:name="_ETM_Q77_381959"/>
      <w:bookmarkEnd w:id="40947"/>
      <w:r>
        <w:rPr>
          <w:rFonts w:hint="cs"/>
          <w:rtl/>
        </w:rPr>
        <w:t xml:space="preserve">על </w:t>
      </w:r>
      <w:bookmarkStart w:id="40948" w:name="_ETM_Q77_382049"/>
      <w:bookmarkEnd w:id="40948"/>
      <w:r>
        <w:rPr>
          <w:rFonts w:hint="cs"/>
          <w:rtl/>
        </w:rPr>
        <w:t xml:space="preserve">מהלך </w:t>
      </w:r>
      <w:bookmarkStart w:id="40949" w:name="_ETM_Q77_382529"/>
      <w:bookmarkEnd w:id="40949"/>
      <w:r>
        <w:rPr>
          <w:rFonts w:hint="cs"/>
          <w:rtl/>
        </w:rPr>
        <w:t xml:space="preserve">חד-צדדי </w:t>
      </w:r>
      <w:bookmarkStart w:id="40950" w:name="_ETM_Q77_383459"/>
      <w:bookmarkEnd w:id="40950"/>
      <w:r>
        <w:rPr>
          <w:rFonts w:hint="cs"/>
          <w:rtl/>
        </w:rPr>
        <w:t xml:space="preserve">ובנוסח </w:t>
      </w:r>
      <w:bookmarkStart w:id="40951" w:name="_ETM_Q77_384239"/>
      <w:bookmarkEnd w:id="40951"/>
      <w:r>
        <w:rPr>
          <w:rFonts w:hint="cs"/>
          <w:rtl/>
        </w:rPr>
        <w:t xml:space="preserve">הכי </w:t>
      </w:r>
      <w:bookmarkStart w:id="40952" w:name="_ETM_Q77_384540"/>
      <w:bookmarkEnd w:id="40952"/>
      <w:r>
        <w:rPr>
          <w:rFonts w:hint="cs"/>
          <w:rtl/>
        </w:rPr>
        <w:t xml:space="preserve">קיצוני </w:t>
      </w:r>
      <w:bookmarkStart w:id="40953" w:name="_ETM_Q77_384930"/>
      <w:bookmarkEnd w:id="40953"/>
      <w:r>
        <w:rPr>
          <w:rFonts w:hint="cs"/>
          <w:rtl/>
        </w:rPr>
        <w:t xml:space="preserve">שיש? </w:t>
      </w:r>
      <w:bookmarkStart w:id="40954" w:name="_ETM_Q77_385980"/>
      <w:bookmarkEnd w:id="40954"/>
      <w:r>
        <w:rPr>
          <w:rFonts w:hint="cs"/>
          <w:rtl/>
        </w:rPr>
        <w:t>ומ</w:t>
      </w:r>
      <w:bookmarkStart w:id="40955" w:name="_ETM_Q77_386189"/>
      <w:bookmarkEnd w:id="40955"/>
      <w:r>
        <w:rPr>
          <w:rFonts w:hint="cs"/>
          <w:rtl/>
        </w:rPr>
        <w:t xml:space="preserve">שהלכתם </w:t>
      </w:r>
      <w:bookmarkStart w:id="40956" w:name="_ETM_Q77_386790"/>
      <w:bookmarkEnd w:id="40956"/>
      <w:r>
        <w:rPr>
          <w:rFonts w:hint="cs"/>
          <w:rtl/>
        </w:rPr>
        <w:t xml:space="preserve">לשם, </w:t>
      </w:r>
      <w:bookmarkStart w:id="40957" w:name="_ETM_Q77_387510"/>
      <w:bookmarkEnd w:id="40957"/>
      <w:r>
        <w:rPr>
          <w:rFonts w:hint="cs"/>
          <w:rtl/>
        </w:rPr>
        <w:t xml:space="preserve">מדוע </w:t>
      </w:r>
      <w:bookmarkStart w:id="40958" w:name="_ETM_Q77_387930"/>
      <w:bookmarkEnd w:id="40958"/>
      <w:r>
        <w:rPr>
          <w:rFonts w:hint="cs"/>
          <w:rtl/>
        </w:rPr>
        <w:t xml:space="preserve">שוב </w:t>
      </w:r>
      <w:bookmarkStart w:id="40959" w:name="_ETM_Q77_388409"/>
      <w:bookmarkEnd w:id="40959"/>
      <w:r>
        <w:rPr>
          <w:rFonts w:hint="cs"/>
          <w:rtl/>
        </w:rPr>
        <w:t xml:space="preserve">חיכיתם </w:t>
      </w:r>
      <w:bookmarkStart w:id="40960" w:name="_ETM_Q77_388889"/>
      <w:bookmarkEnd w:id="40960"/>
      <w:r>
        <w:rPr>
          <w:rFonts w:hint="cs"/>
          <w:rtl/>
        </w:rPr>
        <w:t xml:space="preserve">לרגע </w:t>
      </w:r>
      <w:bookmarkStart w:id="40961" w:name="_ETM_Q77_389340"/>
      <w:bookmarkEnd w:id="40961"/>
      <w:r>
        <w:rPr>
          <w:rFonts w:hint="cs"/>
          <w:rtl/>
        </w:rPr>
        <w:t xml:space="preserve">האחרון </w:t>
      </w:r>
      <w:bookmarkStart w:id="40962" w:name="_ETM_Q77_389879"/>
      <w:bookmarkEnd w:id="40962"/>
      <w:r>
        <w:rPr>
          <w:rFonts w:hint="cs"/>
          <w:rtl/>
        </w:rPr>
        <w:t xml:space="preserve">לנסות </w:t>
      </w:r>
      <w:bookmarkStart w:id="40963" w:name="_ETM_Q77_390299"/>
      <w:bookmarkEnd w:id="40963"/>
      <w:r>
        <w:rPr>
          <w:rFonts w:hint="cs"/>
          <w:rtl/>
        </w:rPr>
        <w:t xml:space="preserve">להשיג </w:t>
      </w:r>
      <w:bookmarkStart w:id="40964" w:name="_ETM_Q77_390870"/>
      <w:bookmarkEnd w:id="40964"/>
      <w:r>
        <w:rPr>
          <w:rFonts w:hint="cs"/>
          <w:rtl/>
        </w:rPr>
        <w:t xml:space="preserve">איזושהי </w:t>
      </w:r>
      <w:bookmarkStart w:id="40965" w:name="_ETM_Q77_391349"/>
      <w:bookmarkEnd w:id="40965"/>
      <w:r>
        <w:rPr>
          <w:rFonts w:hint="cs"/>
          <w:rtl/>
        </w:rPr>
        <w:t xml:space="preserve">פשרה, </w:t>
      </w:r>
      <w:bookmarkStart w:id="40966" w:name="_ETM_Q77_392189"/>
      <w:bookmarkEnd w:id="40966"/>
      <w:r>
        <w:rPr>
          <w:rFonts w:hint="cs"/>
          <w:rtl/>
        </w:rPr>
        <w:t xml:space="preserve">וגם </w:t>
      </w:r>
      <w:bookmarkStart w:id="40967" w:name="_ETM_Q77_392549"/>
      <w:bookmarkEnd w:id="40967"/>
      <w:r>
        <w:rPr>
          <w:rFonts w:hint="cs"/>
          <w:rtl/>
        </w:rPr>
        <w:t xml:space="preserve">עכשיו, </w:t>
      </w:r>
      <w:bookmarkStart w:id="40968" w:name="_ETM_Q77_393029"/>
      <w:bookmarkEnd w:id="40968"/>
      <w:r>
        <w:rPr>
          <w:rFonts w:hint="cs"/>
          <w:rtl/>
        </w:rPr>
        <w:t xml:space="preserve">בדרך </w:t>
      </w:r>
      <w:bookmarkStart w:id="40969" w:name="_ETM_Q77_393389"/>
      <w:bookmarkEnd w:id="40969"/>
      <w:r>
        <w:rPr>
          <w:rFonts w:hint="cs"/>
          <w:rtl/>
        </w:rPr>
        <w:t xml:space="preserve">מאוד </w:t>
      </w:r>
      <w:bookmarkStart w:id="40970" w:name="_ETM_Q77_393659"/>
      <w:bookmarkEnd w:id="40970"/>
      <w:r>
        <w:rPr>
          <w:rFonts w:hint="cs"/>
          <w:rtl/>
        </w:rPr>
        <w:t xml:space="preserve">עקלקלה? </w:t>
      </w:r>
      <w:bookmarkStart w:id="40971" w:name="_ETM_Q77_394560"/>
      <w:bookmarkEnd w:id="40971"/>
      <w:r>
        <w:rPr>
          <w:rFonts w:hint="cs"/>
          <w:rtl/>
        </w:rPr>
        <w:t xml:space="preserve">למה </w:t>
      </w:r>
      <w:bookmarkStart w:id="40972" w:name="_ETM_Q77_395010"/>
      <w:bookmarkEnd w:id="40972"/>
      <w:r>
        <w:rPr>
          <w:rFonts w:hint="cs"/>
          <w:rtl/>
        </w:rPr>
        <w:t xml:space="preserve">לא </w:t>
      </w:r>
      <w:bookmarkStart w:id="40973" w:name="_ETM_Q77_395130"/>
      <w:bookmarkEnd w:id="40973"/>
      <w:r>
        <w:rPr>
          <w:rFonts w:hint="cs"/>
          <w:rtl/>
        </w:rPr>
        <w:t xml:space="preserve">לעבוד </w:t>
      </w:r>
      <w:bookmarkStart w:id="40974" w:name="_ETM_Q77_395730"/>
      <w:bookmarkEnd w:id="40974"/>
      <w:r>
        <w:rPr>
          <w:rFonts w:hint="cs"/>
          <w:rtl/>
        </w:rPr>
        <w:t xml:space="preserve">ישר? </w:t>
      </w:r>
      <w:bookmarkStart w:id="40975" w:name="_ETM_Q77_397380"/>
      <w:bookmarkEnd w:id="40975"/>
    </w:p>
    <w:p w:rsidR="00BB59CD" w:rsidRDefault="00BB59CD" w:rsidP="00BB59CD">
      <w:pPr>
        <w:rPr>
          <w:rtl/>
        </w:rPr>
      </w:pPr>
    </w:p>
    <w:p w:rsidR="00BB59CD" w:rsidRDefault="00BB59CD" w:rsidP="00BB59CD">
      <w:pPr>
        <w:rPr>
          <w:rtl/>
        </w:rPr>
      </w:pPr>
      <w:r>
        <w:rPr>
          <w:rFonts w:hint="cs"/>
          <w:rtl/>
        </w:rPr>
        <w:t xml:space="preserve">הרבה </w:t>
      </w:r>
      <w:bookmarkStart w:id="40976" w:name="_ETM_Q77_397710"/>
      <w:bookmarkEnd w:id="40976"/>
      <w:r>
        <w:rPr>
          <w:rFonts w:hint="cs"/>
          <w:rtl/>
        </w:rPr>
        <w:t xml:space="preserve">ספינים </w:t>
      </w:r>
      <w:bookmarkStart w:id="40977" w:name="_ETM_Q77_398190"/>
      <w:bookmarkEnd w:id="40977"/>
      <w:r>
        <w:rPr>
          <w:rFonts w:hint="cs"/>
          <w:rtl/>
        </w:rPr>
        <w:t xml:space="preserve">מופרחים </w:t>
      </w:r>
      <w:bookmarkStart w:id="40978" w:name="_ETM_Q77_398700"/>
      <w:bookmarkEnd w:id="40978"/>
      <w:r>
        <w:rPr>
          <w:rFonts w:hint="cs"/>
          <w:rtl/>
        </w:rPr>
        <w:t xml:space="preserve">לאוויר. </w:t>
      </w:r>
      <w:bookmarkStart w:id="40979" w:name="_ETM_Q77_399300"/>
      <w:bookmarkEnd w:id="40979"/>
      <w:r>
        <w:rPr>
          <w:rFonts w:hint="cs"/>
          <w:rtl/>
        </w:rPr>
        <w:t xml:space="preserve">ביושר </w:t>
      </w:r>
      <w:bookmarkStart w:id="40980" w:name="_ETM_Q77_399930"/>
      <w:bookmarkEnd w:id="40980"/>
      <w:r>
        <w:rPr>
          <w:rFonts w:hint="cs"/>
          <w:rtl/>
        </w:rPr>
        <w:t xml:space="preserve">אני </w:t>
      </w:r>
      <w:bookmarkStart w:id="40981" w:name="_ETM_Q77_400080"/>
      <w:bookmarkEnd w:id="40981"/>
      <w:r>
        <w:rPr>
          <w:rFonts w:hint="cs"/>
          <w:rtl/>
        </w:rPr>
        <w:t xml:space="preserve">אומר: </w:t>
      </w:r>
      <w:bookmarkStart w:id="40982" w:name="_ETM_Q77_400960"/>
      <w:bookmarkEnd w:id="40982"/>
      <w:r>
        <w:rPr>
          <w:rFonts w:hint="cs"/>
          <w:rtl/>
        </w:rPr>
        <w:t xml:space="preserve">אנחנו </w:t>
      </w:r>
      <w:bookmarkStart w:id="40983" w:name="_ETM_Q77_401800"/>
      <w:bookmarkEnd w:id="40983"/>
      <w:r>
        <w:rPr>
          <w:rFonts w:hint="cs"/>
          <w:rtl/>
        </w:rPr>
        <w:t xml:space="preserve">מחפשים </w:t>
      </w:r>
      <w:bookmarkStart w:id="40984" w:name="_ETM_Q77_402430"/>
      <w:bookmarkEnd w:id="40984"/>
      <w:r>
        <w:rPr>
          <w:rFonts w:hint="cs"/>
          <w:rtl/>
        </w:rPr>
        <w:t xml:space="preserve">הסכמה </w:t>
      </w:r>
      <w:bookmarkStart w:id="40985" w:name="_ETM_Q77_402940"/>
      <w:bookmarkEnd w:id="40985"/>
      <w:r>
        <w:rPr>
          <w:rFonts w:hint="cs"/>
          <w:rtl/>
        </w:rPr>
        <w:t xml:space="preserve">רחבה, </w:t>
      </w:r>
      <w:bookmarkStart w:id="40986" w:name="_ETM_Q77_404090"/>
      <w:bookmarkEnd w:id="40986"/>
      <w:r>
        <w:rPr>
          <w:rFonts w:hint="cs"/>
          <w:rtl/>
        </w:rPr>
        <w:t xml:space="preserve">כזו </w:t>
      </w:r>
      <w:bookmarkStart w:id="40987" w:name="_ETM_Q77_404810"/>
      <w:bookmarkEnd w:id="40987"/>
      <w:r>
        <w:rPr>
          <w:rFonts w:hint="cs"/>
          <w:rtl/>
        </w:rPr>
        <w:t xml:space="preserve">שלא </w:t>
      </w:r>
      <w:bookmarkStart w:id="40988" w:name="_ETM_Q77_405139"/>
      <w:bookmarkEnd w:id="40988"/>
      <w:r>
        <w:rPr>
          <w:rFonts w:hint="cs"/>
          <w:rtl/>
        </w:rPr>
        <w:t xml:space="preserve">תגרום </w:t>
      </w:r>
      <w:bookmarkStart w:id="40989" w:name="_ETM_Q77_405799"/>
      <w:bookmarkEnd w:id="40989"/>
      <w:r>
        <w:rPr>
          <w:rFonts w:hint="cs"/>
          <w:rtl/>
        </w:rPr>
        <w:t xml:space="preserve">לקבוצות </w:t>
      </w:r>
      <w:bookmarkStart w:id="40990" w:name="_ETM_Q77_406489"/>
      <w:bookmarkEnd w:id="40990"/>
      <w:r>
        <w:rPr>
          <w:rFonts w:hint="cs"/>
          <w:rtl/>
        </w:rPr>
        <w:t xml:space="preserve">בחברה </w:t>
      </w:r>
      <w:bookmarkStart w:id="40991" w:name="_ETM_Q77_407480"/>
      <w:bookmarkEnd w:id="40991"/>
      <w:r>
        <w:rPr>
          <w:rFonts w:hint="cs"/>
          <w:rtl/>
        </w:rPr>
        <w:t xml:space="preserve">להרגיש </w:t>
      </w:r>
      <w:bookmarkStart w:id="40992" w:name="_ETM_Q77_408139"/>
      <w:bookmarkEnd w:id="40992"/>
      <w:r>
        <w:rPr>
          <w:rFonts w:hint="cs"/>
          <w:rtl/>
        </w:rPr>
        <w:t xml:space="preserve">שהן הוכנעו </w:t>
      </w:r>
      <w:bookmarkStart w:id="40993" w:name="_ETM_Q77_409040"/>
      <w:bookmarkEnd w:id="40993"/>
      <w:r>
        <w:rPr>
          <w:rFonts w:hint="cs"/>
          <w:rtl/>
        </w:rPr>
        <w:t xml:space="preserve">או הושפלו. </w:t>
      </w:r>
      <w:bookmarkStart w:id="40994" w:name="_ETM_Q77_410700"/>
      <w:bookmarkEnd w:id="40994"/>
      <w:r>
        <w:rPr>
          <w:rFonts w:hint="cs"/>
          <w:rtl/>
        </w:rPr>
        <w:t xml:space="preserve">שוב </w:t>
      </w:r>
      <w:bookmarkStart w:id="40995" w:name="_ETM_Q77_411060"/>
      <w:bookmarkEnd w:id="40995"/>
      <w:r>
        <w:rPr>
          <w:rFonts w:hint="cs"/>
          <w:rtl/>
        </w:rPr>
        <w:t xml:space="preserve">ושוב </w:t>
      </w:r>
      <w:bookmarkStart w:id="40996" w:name="_ETM_Q77_411450"/>
      <w:bookmarkEnd w:id="40996"/>
      <w:r>
        <w:rPr>
          <w:rFonts w:hint="cs"/>
          <w:rtl/>
        </w:rPr>
        <w:t xml:space="preserve">הצגנו </w:t>
      </w:r>
      <w:bookmarkStart w:id="40997" w:name="_ETM_Q77_411900"/>
      <w:bookmarkEnd w:id="40997"/>
      <w:r>
        <w:rPr>
          <w:rFonts w:hint="cs"/>
          <w:rtl/>
        </w:rPr>
        <w:t xml:space="preserve">את </w:t>
      </w:r>
      <w:bookmarkStart w:id="40998" w:name="_ETM_Q77_411990"/>
      <w:bookmarkEnd w:id="40998"/>
      <w:r>
        <w:rPr>
          <w:rFonts w:hint="cs"/>
          <w:rtl/>
        </w:rPr>
        <w:t>עקרון-</w:t>
      </w:r>
      <w:bookmarkStart w:id="40999" w:name="_ETM_Q77_412410"/>
      <w:bookmarkEnd w:id="40999"/>
      <w:r>
        <w:rPr>
          <w:rFonts w:hint="cs"/>
          <w:rtl/>
        </w:rPr>
        <w:t xml:space="preserve">העל </w:t>
      </w:r>
      <w:bookmarkStart w:id="41000" w:name="_ETM_Q77_412620"/>
      <w:bookmarkEnd w:id="41000"/>
      <w:r>
        <w:rPr>
          <w:rFonts w:hint="cs"/>
          <w:rtl/>
        </w:rPr>
        <w:t xml:space="preserve">שלנו. </w:t>
      </w:r>
      <w:bookmarkStart w:id="41001" w:name="_ETM_Q77_414560"/>
      <w:bookmarkEnd w:id="41001"/>
      <w:r>
        <w:rPr>
          <w:rFonts w:hint="cs"/>
          <w:rtl/>
        </w:rPr>
        <w:t xml:space="preserve">הוא </w:t>
      </w:r>
      <w:bookmarkStart w:id="41002" w:name="_ETM_Q77_414680"/>
      <w:bookmarkEnd w:id="41002"/>
      <w:r>
        <w:rPr>
          <w:rFonts w:hint="cs"/>
          <w:rtl/>
        </w:rPr>
        <w:t xml:space="preserve">לא </w:t>
      </w:r>
      <w:bookmarkStart w:id="41003" w:name="_ETM_Q77_414829"/>
      <w:bookmarkEnd w:id="41003"/>
      <w:r>
        <w:rPr>
          <w:rFonts w:hint="cs"/>
          <w:rtl/>
        </w:rPr>
        <w:t xml:space="preserve">תוצר </w:t>
      </w:r>
      <w:bookmarkStart w:id="41004" w:name="_ETM_Q77_415220"/>
      <w:bookmarkEnd w:id="41004"/>
      <w:r>
        <w:rPr>
          <w:rFonts w:hint="cs"/>
          <w:rtl/>
        </w:rPr>
        <w:t xml:space="preserve">של </w:t>
      </w:r>
      <w:bookmarkStart w:id="41005" w:name="_ETM_Q77_415400"/>
      <w:bookmarkEnd w:id="41005"/>
      <w:r>
        <w:rPr>
          <w:rFonts w:hint="cs"/>
          <w:rtl/>
        </w:rPr>
        <w:t xml:space="preserve">שיקול </w:t>
      </w:r>
      <w:bookmarkStart w:id="41006" w:name="_ETM_Q77_415700"/>
      <w:bookmarkEnd w:id="41006"/>
      <w:r>
        <w:rPr>
          <w:rFonts w:hint="cs"/>
          <w:rtl/>
        </w:rPr>
        <w:t xml:space="preserve">פוליטי, </w:t>
      </w:r>
      <w:bookmarkStart w:id="41007" w:name="_ETM_Q77_417450"/>
      <w:bookmarkEnd w:id="41007"/>
      <w:r>
        <w:rPr>
          <w:rFonts w:hint="cs"/>
          <w:rtl/>
        </w:rPr>
        <w:t xml:space="preserve">הוא </w:t>
      </w:r>
      <w:bookmarkStart w:id="41008" w:name="_ETM_Q77_417719"/>
      <w:bookmarkEnd w:id="41008"/>
      <w:r>
        <w:rPr>
          <w:rFonts w:hint="cs"/>
          <w:rtl/>
        </w:rPr>
        <w:t xml:space="preserve">אמונה </w:t>
      </w:r>
      <w:bookmarkStart w:id="41009" w:name="_ETM_Q77_418170"/>
      <w:bookmarkEnd w:id="41009"/>
      <w:r>
        <w:rPr>
          <w:rFonts w:hint="cs"/>
          <w:rtl/>
        </w:rPr>
        <w:t xml:space="preserve">עמוקה </w:t>
      </w:r>
      <w:bookmarkStart w:id="41010" w:name="_ETM_Q77_419099"/>
      <w:bookmarkEnd w:id="41010"/>
      <w:r>
        <w:rPr>
          <w:rFonts w:hint="cs"/>
          <w:rtl/>
        </w:rPr>
        <w:t xml:space="preserve">שהדבר </w:t>
      </w:r>
      <w:bookmarkStart w:id="41011" w:name="_ETM_Q77_419790"/>
      <w:bookmarkEnd w:id="41011"/>
      <w:r>
        <w:rPr>
          <w:rFonts w:hint="cs"/>
          <w:rtl/>
        </w:rPr>
        <w:t xml:space="preserve">היחיד </w:t>
      </w:r>
      <w:bookmarkStart w:id="41012" w:name="_ETM_Q77_420299"/>
      <w:bookmarkEnd w:id="41012"/>
      <w:r>
        <w:rPr>
          <w:rFonts w:hint="cs"/>
          <w:rtl/>
        </w:rPr>
        <w:t xml:space="preserve">שיכול </w:t>
      </w:r>
      <w:bookmarkStart w:id="41013" w:name="_ETM_Q77_420750"/>
      <w:bookmarkEnd w:id="41013"/>
      <w:r>
        <w:rPr>
          <w:rFonts w:hint="cs"/>
          <w:rtl/>
        </w:rPr>
        <w:t xml:space="preserve">להציל </w:t>
      </w:r>
      <w:bookmarkStart w:id="41014" w:name="_ETM_Q77_421109"/>
      <w:bookmarkEnd w:id="41014"/>
      <w:r>
        <w:rPr>
          <w:rFonts w:hint="cs"/>
          <w:rtl/>
        </w:rPr>
        <w:t xml:space="preserve">את </w:t>
      </w:r>
      <w:bookmarkStart w:id="41015" w:name="_ETM_Q77_421200"/>
      <w:bookmarkEnd w:id="41015"/>
      <w:r>
        <w:rPr>
          <w:rFonts w:hint="cs"/>
          <w:rtl/>
        </w:rPr>
        <w:t xml:space="preserve">ישראל </w:t>
      </w:r>
      <w:bookmarkStart w:id="41016" w:name="_ETM_Q77_422049"/>
      <w:bookmarkEnd w:id="41016"/>
      <w:r>
        <w:rPr>
          <w:rFonts w:hint="cs"/>
          <w:rtl/>
        </w:rPr>
        <w:t xml:space="preserve">הוא </w:t>
      </w:r>
      <w:bookmarkStart w:id="41017" w:name="_ETM_Q77_422319"/>
      <w:bookmarkEnd w:id="41017"/>
      <w:r>
        <w:rPr>
          <w:rFonts w:hint="cs"/>
          <w:rtl/>
        </w:rPr>
        <w:t xml:space="preserve">יציבות </w:t>
      </w:r>
      <w:bookmarkStart w:id="41018" w:name="_ETM_Q77_423080"/>
      <w:bookmarkEnd w:id="41018"/>
      <w:r>
        <w:rPr>
          <w:rFonts w:hint="cs"/>
          <w:rtl/>
        </w:rPr>
        <w:t xml:space="preserve">והסכמה </w:t>
      </w:r>
      <w:bookmarkStart w:id="41019" w:name="_ETM_Q77_423830"/>
      <w:bookmarkEnd w:id="41019"/>
      <w:r>
        <w:rPr>
          <w:rFonts w:hint="cs"/>
          <w:rtl/>
        </w:rPr>
        <w:t xml:space="preserve">רחבה </w:t>
      </w:r>
      <w:bookmarkStart w:id="41020" w:name="_ETM_Q77_424520"/>
      <w:bookmarkEnd w:id="41020"/>
      <w:r>
        <w:rPr>
          <w:rFonts w:hint="cs"/>
          <w:rtl/>
        </w:rPr>
        <w:t xml:space="preserve">לטווח </w:t>
      </w:r>
      <w:bookmarkStart w:id="41021" w:name="_ETM_Q77_425000"/>
      <w:bookmarkEnd w:id="41021"/>
      <w:r>
        <w:rPr>
          <w:rFonts w:hint="cs"/>
          <w:rtl/>
        </w:rPr>
        <w:t xml:space="preserve">ארוך. </w:t>
      </w:r>
      <w:bookmarkStart w:id="41022" w:name="_ETM_Q77_426180"/>
      <w:bookmarkEnd w:id="41022"/>
      <w:r>
        <w:rPr>
          <w:rFonts w:hint="cs"/>
          <w:rtl/>
        </w:rPr>
        <w:t xml:space="preserve">אם </w:t>
      </w:r>
      <w:bookmarkStart w:id="41023" w:name="_ETM_Q77_426360"/>
      <w:bookmarkEnd w:id="41023"/>
      <w:r>
        <w:rPr>
          <w:rFonts w:hint="cs"/>
          <w:rtl/>
        </w:rPr>
        <w:t xml:space="preserve">נתעסק </w:t>
      </w:r>
      <w:bookmarkStart w:id="41024" w:name="_ETM_Q77_426870"/>
      <w:bookmarkEnd w:id="41024"/>
      <w:r>
        <w:rPr>
          <w:rFonts w:hint="cs"/>
          <w:rtl/>
        </w:rPr>
        <w:t xml:space="preserve">רק </w:t>
      </w:r>
      <w:bookmarkStart w:id="41025" w:name="_ETM_Q77_427170"/>
      <w:bookmarkEnd w:id="41025"/>
      <w:r>
        <w:rPr>
          <w:rFonts w:hint="cs"/>
          <w:rtl/>
        </w:rPr>
        <w:t xml:space="preserve">בפתרון </w:t>
      </w:r>
      <w:bookmarkStart w:id="41026" w:name="_ETM_Q77_427800"/>
      <w:bookmarkEnd w:id="41026"/>
      <w:r>
        <w:rPr>
          <w:rFonts w:hint="cs"/>
          <w:rtl/>
        </w:rPr>
        <w:t xml:space="preserve">המקומי </w:t>
      </w:r>
      <w:bookmarkStart w:id="41027" w:name="_ETM_Q77_428280"/>
      <w:bookmarkEnd w:id="41027"/>
      <w:r>
        <w:rPr>
          <w:rFonts w:hint="cs"/>
          <w:rtl/>
        </w:rPr>
        <w:t xml:space="preserve">של </w:t>
      </w:r>
      <w:bookmarkStart w:id="41028" w:name="_ETM_Q77_428459"/>
      <w:bookmarkEnd w:id="41028"/>
      <w:r>
        <w:rPr>
          <w:rFonts w:hint="cs"/>
          <w:rtl/>
        </w:rPr>
        <w:t xml:space="preserve">עילת </w:t>
      </w:r>
      <w:bookmarkStart w:id="41029" w:name="_ETM_Q77_428760"/>
      <w:bookmarkEnd w:id="41029"/>
      <w:r>
        <w:rPr>
          <w:rFonts w:hint="cs"/>
          <w:rtl/>
        </w:rPr>
        <w:t xml:space="preserve">הסבירות, </w:t>
      </w:r>
      <w:bookmarkStart w:id="41030" w:name="_ETM_Q77_429730"/>
      <w:bookmarkEnd w:id="41030"/>
      <w:r>
        <w:rPr>
          <w:rFonts w:hint="cs"/>
          <w:rtl/>
        </w:rPr>
        <w:t xml:space="preserve">אנחנו </w:t>
      </w:r>
      <w:bookmarkStart w:id="41031" w:name="_ETM_Q77_430090"/>
      <w:bookmarkEnd w:id="41031"/>
      <w:r>
        <w:rPr>
          <w:rFonts w:hint="cs"/>
          <w:rtl/>
        </w:rPr>
        <w:t xml:space="preserve">כמו </w:t>
      </w:r>
      <w:bookmarkStart w:id="41032" w:name="_ETM_Q77_430299"/>
      <w:bookmarkEnd w:id="41032"/>
      <w:r>
        <w:rPr>
          <w:rFonts w:hint="cs"/>
          <w:rtl/>
        </w:rPr>
        <w:t xml:space="preserve">דנים </w:t>
      </w:r>
      <w:bookmarkStart w:id="41033" w:name="_ETM_Q77_430749"/>
      <w:bookmarkEnd w:id="41033"/>
      <w:r>
        <w:rPr>
          <w:rFonts w:hint="cs"/>
          <w:rtl/>
        </w:rPr>
        <w:t xml:space="preserve">את </w:t>
      </w:r>
      <w:bookmarkStart w:id="41034" w:name="_ETM_Q77_430840"/>
      <w:bookmarkEnd w:id="41034"/>
      <w:r>
        <w:rPr>
          <w:rFonts w:hint="cs"/>
          <w:rtl/>
        </w:rPr>
        <w:t xml:space="preserve">ישראל </w:t>
      </w:r>
      <w:bookmarkStart w:id="41035" w:name="_ETM_Q77_431349"/>
      <w:bookmarkEnd w:id="41035"/>
      <w:r>
        <w:rPr>
          <w:rFonts w:hint="cs"/>
          <w:rtl/>
        </w:rPr>
        <w:t xml:space="preserve">למעגלים </w:t>
      </w:r>
      <w:bookmarkStart w:id="41036" w:name="_ETM_Q77_431859"/>
      <w:bookmarkEnd w:id="41036"/>
      <w:r>
        <w:rPr>
          <w:rFonts w:hint="cs"/>
          <w:rtl/>
        </w:rPr>
        <w:t xml:space="preserve">של אי-יציבות. </w:t>
      </w:r>
      <w:bookmarkStart w:id="41037" w:name="_ETM_Q77_432989"/>
      <w:bookmarkEnd w:id="41037"/>
      <w:r>
        <w:rPr>
          <w:rFonts w:hint="cs"/>
          <w:rtl/>
        </w:rPr>
        <w:t xml:space="preserve">בעיניים </w:t>
      </w:r>
      <w:bookmarkStart w:id="41038" w:name="_ETM_Q77_433530"/>
      <w:bookmarkEnd w:id="41038"/>
      <w:r>
        <w:rPr>
          <w:rFonts w:hint="cs"/>
          <w:rtl/>
        </w:rPr>
        <w:t xml:space="preserve">פקוחות </w:t>
      </w:r>
      <w:bookmarkStart w:id="41039" w:name="_ETM_Q77_434010"/>
      <w:bookmarkEnd w:id="41039"/>
      <w:r>
        <w:rPr>
          <w:rFonts w:hint="cs"/>
          <w:rtl/>
        </w:rPr>
        <w:t xml:space="preserve">נביא </w:t>
      </w:r>
      <w:bookmarkStart w:id="41040" w:name="_ETM_Q77_434280"/>
      <w:bookmarkEnd w:id="41040"/>
      <w:r>
        <w:rPr>
          <w:rFonts w:hint="cs"/>
          <w:rtl/>
        </w:rPr>
        <w:t xml:space="preserve">את </w:t>
      </w:r>
      <w:bookmarkStart w:id="41041" w:name="_ETM_Q77_434340"/>
      <w:bookmarkEnd w:id="41041"/>
      <w:r>
        <w:rPr>
          <w:rFonts w:hint="cs"/>
          <w:rtl/>
        </w:rPr>
        <w:t xml:space="preserve">ישראל </w:t>
      </w:r>
      <w:bookmarkStart w:id="41042" w:name="_ETM_Q77_435180"/>
      <w:bookmarkStart w:id="41043" w:name="_ETM_Q77_436050"/>
      <w:bookmarkEnd w:id="41042"/>
      <w:bookmarkEnd w:id="41043"/>
      <w:r>
        <w:rPr>
          <w:rFonts w:hint="cs"/>
          <w:rtl/>
        </w:rPr>
        <w:t xml:space="preserve">לפי תהום כל </w:t>
      </w:r>
      <w:bookmarkStart w:id="41044" w:name="_ETM_Q77_436289"/>
      <w:bookmarkEnd w:id="41044"/>
      <w:r>
        <w:rPr>
          <w:rFonts w:hint="cs"/>
          <w:rtl/>
        </w:rPr>
        <w:t xml:space="preserve">שלושה </w:t>
      </w:r>
      <w:bookmarkStart w:id="41045" w:name="_ETM_Q77_436650"/>
      <w:bookmarkEnd w:id="41045"/>
      <w:r>
        <w:rPr>
          <w:rFonts w:hint="cs"/>
          <w:rtl/>
        </w:rPr>
        <w:t xml:space="preserve">חודשים </w:t>
      </w:r>
      <w:bookmarkStart w:id="41046" w:name="_ETM_Q77_437100"/>
      <w:bookmarkEnd w:id="41046"/>
      <w:r>
        <w:rPr>
          <w:rFonts w:hint="cs"/>
          <w:rtl/>
        </w:rPr>
        <w:t xml:space="preserve">מחדש, </w:t>
      </w:r>
      <w:bookmarkStart w:id="41047" w:name="_ETM_Q77_438180"/>
      <w:bookmarkEnd w:id="41047"/>
      <w:r>
        <w:rPr>
          <w:rFonts w:hint="cs"/>
          <w:rtl/>
        </w:rPr>
        <w:t xml:space="preserve">בכל </w:t>
      </w:r>
      <w:bookmarkStart w:id="41048" w:name="_ETM_Q77_438509"/>
      <w:bookmarkEnd w:id="41048"/>
      <w:r>
        <w:rPr>
          <w:rFonts w:hint="cs"/>
          <w:rtl/>
        </w:rPr>
        <w:t xml:space="preserve">פרק </w:t>
      </w:r>
      <w:bookmarkStart w:id="41049" w:name="_ETM_Q77_438900"/>
      <w:bookmarkEnd w:id="41049"/>
      <w:r>
        <w:rPr>
          <w:rFonts w:hint="cs"/>
          <w:rtl/>
        </w:rPr>
        <w:t xml:space="preserve">במהפכה </w:t>
      </w:r>
      <w:bookmarkStart w:id="41050" w:name="_ETM_Q77_439500"/>
      <w:bookmarkEnd w:id="41050"/>
      <w:r>
        <w:rPr>
          <w:rFonts w:hint="cs"/>
          <w:rtl/>
        </w:rPr>
        <w:t xml:space="preserve">המשפטית </w:t>
      </w:r>
      <w:bookmarkStart w:id="41051" w:name="_ETM_Q77_440400"/>
      <w:bookmarkEnd w:id="41051"/>
      <w:r>
        <w:rPr>
          <w:rFonts w:hint="cs"/>
          <w:rtl/>
        </w:rPr>
        <w:t xml:space="preserve">שעליו </w:t>
      </w:r>
      <w:bookmarkStart w:id="41052" w:name="_ETM_Q77_441570"/>
      <w:bookmarkEnd w:id="41052"/>
      <w:r>
        <w:rPr>
          <w:rFonts w:hint="cs"/>
          <w:rtl/>
        </w:rPr>
        <w:t xml:space="preserve">תחליט </w:t>
      </w:r>
      <w:bookmarkStart w:id="41053" w:name="_ETM_Q77_441960"/>
      <w:bookmarkEnd w:id="41053"/>
      <w:r>
        <w:rPr>
          <w:rFonts w:hint="cs"/>
          <w:rtl/>
        </w:rPr>
        <w:t xml:space="preserve">הממשלה. </w:t>
      </w:r>
      <w:bookmarkStart w:id="41054" w:name="_ETM_Q77_443370"/>
      <w:bookmarkEnd w:id="41054"/>
      <w:r>
        <w:rPr>
          <w:rFonts w:hint="cs"/>
          <w:rtl/>
        </w:rPr>
        <w:t xml:space="preserve">ההתעקשות </w:t>
      </w:r>
      <w:bookmarkStart w:id="41055" w:name="_ETM_Q77_444029"/>
      <w:bookmarkEnd w:id="41055"/>
      <w:r>
        <w:rPr>
          <w:rFonts w:hint="cs"/>
          <w:rtl/>
        </w:rPr>
        <w:t xml:space="preserve">שלנו </w:t>
      </w:r>
      <w:bookmarkStart w:id="41056" w:name="_ETM_Q77_444960"/>
      <w:bookmarkEnd w:id="41056"/>
      <w:r>
        <w:rPr>
          <w:rFonts w:hint="cs"/>
          <w:rtl/>
        </w:rPr>
        <w:t xml:space="preserve">לסכם </w:t>
      </w:r>
      <w:bookmarkStart w:id="41057" w:name="_ETM_Q77_445560"/>
      <w:bookmarkEnd w:id="41057"/>
      <w:r>
        <w:rPr>
          <w:rFonts w:hint="cs"/>
          <w:rtl/>
        </w:rPr>
        <w:t xml:space="preserve">על </w:t>
      </w:r>
      <w:bookmarkStart w:id="41058" w:name="_ETM_Q77_445650"/>
      <w:bookmarkEnd w:id="41058"/>
      <w:r>
        <w:rPr>
          <w:rFonts w:hint="cs"/>
          <w:rtl/>
        </w:rPr>
        <w:t xml:space="preserve">העיקרון </w:t>
      </w:r>
      <w:bookmarkStart w:id="41059" w:name="_ETM_Q77_446430"/>
      <w:bookmarkEnd w:id="41059"/>
      <w:r>
        <w:rPr>
          <w:rFonts w:hint="cs"/>
          <w:rtl/>
        </w:rPr>
        <w:t xml:space="preserve">של </w:t>
      </w:r>
      <w:bookmarkStart w:id="41060" w:name="_ETM_Q77_446699"/>
      <w:bookmarkEnd w:id="41060"/>
      <w:r>
        <w:rPr>
          <w:rFonts w:hint="cs"/>
          <w:rtl/>
        </w:rPr>
        <w:t xml:space="preserve">הסכמה </w:t>
      </w:r>
      <w:bookmarkStart w:id="41061" w:name="_ETM_Q77_447150"/>
      <w:bookmarkEnd w:id="41061"/>
      <w:r>
        <w:rPr>
          <w:rFonts w:hint="cs"/>
          <w:rtl/>
        </w:rPr>
        <w:t xml:space="preserve">רחבה </w:t>
      </w:r>
      <w:bookmarkStart w:id="41062" w:name="_ETM_Q77_447659"/>
      <w:bookmarkEnd w:id="41062"/>
      <w:r>
        <w:rPr>
          <w:rFonts w:hint="cs"/>
          <w:rtl/>
        </w:rPr>
        <w:t xml:space="preserve">לטווח </w:t>
      </w:r>
      <w:bookmarkStart w:id="41063" w:name="_ETM_Q77_448080"/>
      <w:bookmarkEnd w:id="41063"/>
      <w:r>
        <w:rPr>
          <w:rFonts w:hint="cs"/>
          <w:rtl/>
        </w:rPr>
        <w:t xml:space="preserve">ארוך </w:t>
      </w:r>
      <w:bookmarkStart w:id="41064" w:name="_ETM_Q77_448870"/>
      <w:bookmarkEnd w:id="41064"/>
      <w:r>
        <w:rPr>
          <w:rFonts w:hint="cs"/>
          <w:rtl/>
        </w:rPr>
        <w:t xml:space="preserve">הוא </w:t>
      </w:r>
      <w:bookmarkStart w:id="41065" w:name="_ETM_Q77_449020"/>
      <w:bookmarkEnd w:id="41065"/>
      <w:r>
        <w:rPr>
          <w:rFonts w:hint="cs"/>
          <w:rtl/>
        </w:rPr>
        <w:t xml:space="preserve">לא </w:t>
      </w:r>
      <w:bookmarkStart w:id="41066" w:name="_ETM_Q77_449140"/>
      <w:bookmarkEnd w:id="41066"/>
      <w:r>
        <w:rPr>
          <w:rFonts w:hint="cs"/>
          <w:rtl/>
        </w:rPr>
        <w:t xml:space="preserve">ניסיון </w:t>
      </w:r>
      <w:bookmarkStart w:id="41067" w:name="_ETM_Q77_449589"/>
      <w:bookmarkEnd w:id="41067"/>
      <w:r>
        <w:rPr>
          <w:rFonts w:hint="cs"/>
          <w:rtl/>
        </w:rPr>
        <w:t xml:space="preserve">להכניע, </w:t>
      </w:r>
      <w:bookmarkStart w:id="41068" w:name="_ETM_Q77_450610"/>
      <w:bookmarkEnd w:id="41068"/>
      <w:r>
        <w:rPr>
          <w:rFonts w:hint="cs"/>
          <w:rtl/>
        </w:rPr>
        <w:t xml:space="preserve">הוא </w:t>
      </w:r>
      <w:bookmarkStart w:id="41069" w:name="_ETM_Q77_450790"/>
      <w:bookmarkEnd w:id="41069"/>
      <w:r>
        <w:rPr>
          <w:rFonts w:hint="cs"/>
          <w:rtl/>
        </w:rPr>
        <w:t xml:space="preserve">לא </w:t>
      </w:r>
      <w:bookmarkStart w:id="41070" w:name="_ETM_Q77_450910"/>
      <w:bookmarkEnd w:id="41070"/>
      <w:r>
        <w:rPr>
          <w:rFonts w:hint="cs"/>
          <w:rtl/>
        </w:rPr>
        <w:t xml:space="preserve">פוליטיקה </w:t>
      </w:r>
      <w:bookmarkStart w:id="41071" w:name="_ETM_Q77_451570"/>
      <w:bookmarkEnd w:id="41071"/>
      <w:r>
        <w:rPr>
          <w:rFonts w:hint="cs"/>
          <w:rtl/>
        </w:rPr>
        <w:t xml:space="preserve">קטנה, </w:t>
      </w:r>
      <w:bookmarkStart w:id="41072" w:name="_ETM_Q77_452260"/>
      <w:bookmarkEnd w:id="41072"/>
      <w:r>
        <w:rPr>
          <w:rFonts w:hint="cs"/>
          <w:rtl/>
        </w:rPr>
        <w:t xml:space="preserve">הוא </w:t>
      </w:r>
      <w:bookmarkStart w:id="41073" w:name="_ETM_Q77_452440"/>
      <w:bookmarkEnd w:id="41073"/>
      <w:r>
        <w:rPr>
          <w:rFonts w:hint="cs"/>
          <w:rtl/>
        </w:rPr>
        <w:t xml:space="preserve">אמת </w:t>
      </w:r>
      <w:bookmarkStart w:id="41074" w:name="_ETM_Q77_452890"/>
      <w:bookmarkEnd w:id="41074"/>
      <w:r>
        <w:rPr>
          <w:rFonts w:hint="cs"/>
          <w:rtl/>
        </w:rPr>
        <w:t>פשוטה</w:t>
      </w:r>
      <w:bookmarkStart w:id="41075" w:name="_ETM_Q77_453950"/>
      <w:bookmarkEnd w:id="41075"/>
      <w:r>
        <w:rPr>
          <w:rFonts w:hint="cs"/>
          <w:rtl/>
        </w:rPr>
        <w:t xml:space="preserve">. רק </w:t>
      </w:r>
      <w:bookmarkStart w:id="41076" w:name="_ETM_Q77_454490"/>
      <w:bookmarkEnd w:id="41076"/>
      <w:r>
        <w:rPr>
          <w:rFonts w:hint="cs"/>
          <w:rtl/>
        </w:rPr>
        <w:t xml:space="preserve">הסכמות </w:t>
      </w:r>
      <w:bookmarkStart w:id="41077" w:name="_ETM_Q77_455180"/>
      <w:bookmarkEnd w:id="41077"/>
      <w:r>
        <w:rPr>
          <w:rFonts w:hint="cs"/>
          <w:rtl/>
        </w:rPr>
        <w:t xml:space="preserve">רחבות </w:t>
      </w:r>
      <w:bookmarkStart w:id="41078" w:name="_ETM_Q77_455839"/>
      <w:bookmarkEnd w:id="41078"/>
      <w:r>
        <w:rPr>
          <w:rFonts w:hint="cs"/>
          <w:rtl/>
        </w:rPr>
        <w:t xml:space="preserve">ימנעו </w:t>
      </w:r>
      <w:bookmarkStart w:id="41079" w:name="_ETM_Q77_456290"/>
      <w:bookmarkEnd w:id="41079"/>
      <w:r>
        <w:rPr>
          <w:rFonts w:hint="cs"/>
          <w:rtl/>
        </w:rPr>
        <w:t xml:space="preserve">קרע </w:t>
      </w:r>
      <w:bookmarkStart w:id="41080" w:name="_ETM_Q77_456830"/>
      <w:bookmarkEnd w:id="41080"/>
      <w:r>
        <w:rPr>
          <w:rFonts w:hint="cs"/>
          <w:rtl/>
        </w:rPr>
        <w:t>בעם.</w:t>
      </w:r>
    </w:p>
    <w:p w:rsidR="00BB59CD" w:rsidRDefault="00BB59CD" w:rsidP="00BB59CD">
      <w:pPr>
        <w:rPr>
          <w:rtl/>
        </w:rPr>
      </w:pPr>
    </w:p>
    <w:p w:rsidR="00BB59CD" w:rsidRDefault="00BB59CD" w:rsidP="00E367B5">
      <w:pPr>
        <w:rPr>
          <w:rtl/>
        </w:rPr>
      </w:pPr>
      <w:bookmarkStart w:id="41081" w:name="_ETM_Q77_458379"/>
      <w:bookmarkEnd w:id="41081"/>
      <w:r>
        <w:rPr>
          <w:rFonts w:hint="cs"/>
          <w:rtl/>
        </w:rPr>
        <w:t xml:space="preserve">אני </w:t>
      </w:r>
      <w:bookmarkStart w:id="41082" w:name="_ETM_Q77_458589"/>
      <w:bookmarkEnd w:id="41082"/>
      <w:r>
        <w:rPr>
          <w:rFonts w:hint="cs"/>
          <w:rtl/>
        </w:rPr>
        <w:t xml:space="preserve">מקבל </w:t>
      </w:r>
      <w:bookmarkStart w:id="41083" w:name="_ETM_Q77_459069"/>
      <w:bookmarkEnd w:id="41083"/>
      <w:r>
        <w:rPr>
          <w:rFonts w:hint="cs"/>
          <w:rtl/>
        </w:rPr>
        <w:t xml:space="preserve">את </w:t>
      </w:r>
      <w:bookmarkStart w:id="41084" w:name="_ETM_Q77_459129"/>
      <w:bookmarkEnd w:id="41084"/>
      <w:r>
        <w:rPr>
          <w:rFonts w:hint="cs"/>
          <w:rtl/>
        </w:rPr>
        <w:t xml:space="preserve">ההכרעה </w:t>
      </w:r>
      <w:bookmarkStart w:id="41085" w:name="_ETM_Q77_459490"/>
      <w:bookmarkEnd w:id="41085"/>
      <w:r>
        <w:rPr>
          <w:rFonts w:hint="cs"/>
          <w:rtl/>
        </w:rPr>
        <w:t>הדמוקרטית</w:t>
      </w:r>
      <w:r w:rsidR="00E367B5">
        <w:rPr>
          <w:rFonts w:hint="cs"/>
          <w:rtl/>
        </w:rPr>
        <w:t>,</w:t>
      </w:r>
      <w:r>
        <w:rPr>
          <w:rFonts w:hint="cs"/>
          <w:rtl/>
        </w:rPr>
        <w:t xml:space="preserve"> </w:t>
      </w:r>
      <w:bookmarkStart w:id="41086" w:name="_ETM_Q77_460180"/>
      <w:bookmarkEnd w:id="41086"/>
      <w:r>
        <w:rPr>
          <w:rFonts w:hint="cs"/>
          <w:rtl/>
        </w:rPr>
        <w:t xml:space="preserve">כמובן. </w:t>
      </w:r>
      <w:bookmarkStart w:id="41087" w:name="_ETM_Q77_460839"/>
      <w:bookmarkEnd w:id="41087"/>
      <w:r>
        <w:rPr>
          <w:rFonts w:hint="cs"/>
          <w:rtl/>
        </w:rPr>
        <w:t xml:space="preserve">הממשלה </w:t>
      </w:r>
      <w:bookmarkStart w:id="41088" w:name="_ETM_Q77_461319"/>
      <w:bookmarkEnd w:id="41088"/>
      <w:r>
        <w:rPr>
          <w:rFonts w:hint="cs"/>
          <w:rtl/>
        </w:rPr>
        <w:t xml:space="preserve">נבחרה </w:t>
      </w:r>
      <w:bookmarkStart w:id="41089" w:name="_ETM_Q77_461949"/>
      <w:bookmarkEnd w:id="41089"/>
      <w:r>
        <w:rPr>
          <w:rFonts w:hint="cs"/>
          <w:rtl/>
        </w:rPr>
        <w:t xml:space="preserve">בבחירות </w:t>
      </w:r>
      <w:bookmarkStart w:id="41090" w:name="_ETM_Q77_462460"/>
      <w:bookmarkEnd w:id="41090"/>
      <w:r>
        <w:rPr>
          <w:rFonts w:hint="cs"/>
          <w:rtl/>
        </w:rPr>
        <w:t xml:space="preserve">חופשיות </w:t>
      </w:r>
      <w:bookmarkStart w:id="41091" w:name="_ETM_Q77_463520"/>
      <w:bookmarkEnd w:id="41091"/>
      <w:r>
        <w:rPr>
          <w:rFonts w:hint="cs"/>
          <w:rtl/>
        </w:rPr>
        <w:t xml:space="preserve">ויש </w:t>
      </w:r>
      <w:bookmarkStart w:id="41092" w:name="_ETM_Q77_463789"/>
      <w:bookmarkEnd w:id="41092"/>
      <w:r>
        <w:rPr>
          <w:rFonts w:hint="cs"/>
          <w:rtl/>
        </w:rPr>
        <w:t xml:space="preserve">לה רוב </w:t>
      </w:r>
      <w:bookmarkStart w:id="41093" w:name="_ETM_Q77_464449"/>
      <w:bookmarkEnd w:id="41093"/>
      <w:r>
        <w:rPr>
          <w:rFonts w:hint="cs"/>
          <w:rtl/>
        </w:rPr>
        <w:t xml:space="preserve">ו-64 </w:t>
      </w:r>
      <w:bookmarkStart w:id="41094" w:name="_ETM_Q77_465319"/>
      <w:bookmarkEnd w:id="41094"/>
      <w:r>
        <w:rPr>
          <w:rFonts w:hint="cs"/>
          <w:rtl/>
        </w:rPr>
        <w:t xml:space="preserve">מנדטים </w:t>
      </w:r>
      <w:bookmarkStart w:id="41095" w:name="_ETM_Q77_465889"/>
      <w:bookmarkEnd w:id="41095"/>
      <w:r>
        <w:rPr>
          <w:rFonts w:hint="cs"/>
          <w:rtl/>
        </w:rPr>
        <w:t xml:space="preserve">פה </w:t>
      </w:r>
      <w:bookmarkStart w:id="41096" w:name="_ETM_Q77_466069"/>
      <w:bookmarkEnd w:id="41096"/>
      <w:r>
        <w:rPr>
          <w:rFonts w:hint="cs"/>
          <w:rtl/>
        </w:rPr>
        <w:t xml:space="preserve">בבית </w:t>
      </w:r>
      <w:bookmarkStart w:id="41097" w:name="_ETM_Q77_466490"/>
      <w:bookmarkEnd w:id="41097"/>
      <w:r>
        <w:rPr>
          <w:rFonts w:hint="cs"/>
          <w:rtl/>
        </w:rPr>
        <w:t xml:space="preserve">הזה. </w:t>
      </w:r>
      <w:bookmarkStart w:id="41098" w:name="_ETM_Q77_467410"/>
      <w:bookmarkEnd w:id="41098"/>
      <w:r>
        <w:rPr>
          <w:rFonts w:hint="cs"/>
          <w:rtl/>
        </w:rPr>
        <w:t xml:space="preserve">מדי </w:t>
      </w:r>
      <w:bookmarkStart w:id="41099" w:name="_ETM_Q77_467710"/>
      <w:bookmarkEnd w:id="41099"/>
      <w:r>
        <w:rPr>
          <w:rFonts w:hint="cs"/>
          <w:rtl/>
        </w:rPr>
        <w:t xml:space="preserve">שבוע </w:t>
      </w:r>
      <w:bookmarkStart w:id="41100" w:name="_ETM_Q77_468100"/>
      <w:bookmarkEnd w:id="41100"/>
      <w:r>
        <w:rPr>
          <w:rFonts w:hint="cs"/>
          <w:rtl/>
        </w:rPr>
        <w:t xml:space="preserve">אנחנו </w:t>
      </w:r>
      <w:bookmarkStart w:id="41101" w:name="_ETM_Q77_468310"/>
      <w:bookmarkEnd w:id="41101"/>
      <w:r>
        <w:rPr>
          <w:rFonts w:hint="cs"/>
          <w:rtl/>
        </w:rPr>
        <w:t xml:space="preserve">מתכנסים </w:t>
      </w:r>
      <w:bookmarkStart w:id="41102" w:name="_ETM_Q77_468789"/>
      <w:bookmarkEnd w:id="41102"/>
      <w:r>
        <w:rPr>
          <w:rFonts w:hint="cs"/>
          <w:rtl/>
        </w:rPr>
        <w:t xml:space="preserve">כאן </w:t>
      </w:r>
      <w:bookmarkStart w:id="41103" w:name="_ETM_Q77_468970"/>
      <w:bookmarkEnd w:id="41103"/>
      <w:r>
        <w:rPr>
          <w:rFonts w:hint="cs"/>
          <w:rtl/>
        </w:rPr>
        <w:t xml:space="preserve">במליאה </w:t>
      </w:r>
      <w:bookmarkStart w:id="41104" w:name="_ETM_Q77_470180"/>
      <w:bookmarkEnd w:id="41104"/>
      <w:r>
        <w:rPr>
          <w:rFonts w:hint="cs"/>
          <w:rtl/>
        </w:rPr>
        <w:t xml:space="preserve">ומפסידים </w:t>
      </w:r>
      <w:bookmarkStart w:id="41105" w:name="_ETM_Q77_470750"/>
      <w:bookmarkEnd w:id="41105"/>
      <w:r>
        <w:rPr>
          <w:rFonts w:hint="cs"/>
          <w:rtl/>
        </w:rPr>
        <w:t xml:space="preserve">בהצבעות. </w:t>
      </w:r>
      <w:bookmarkStart w:id="41106" w:name="_ETM_Q77_472580"/>
      <w:bookmarkEnd w:id="41106"/>
      <w:r>
        <w:rPr>
          <w:rFonts w:hint="cs"/>
          <w:rtl/>
        </w:rPr>
        <w:t xml:space="preserve">אתם </w:t>
      </w:r>
      <w:bookmarkStart w:id="41107" w:name="_ETM_Q77_472879"/>
      <w:bookmarkEnd w:id="41107"/>
      <w:r>
        <w:rPr>
          <w:rFonts w:hint="cs"/>
          <w:rtl/>
        </w:rPr>
        <w:t xml:space="preserve">הרוב. </w:t>
      </w:r>
      <w:bookmarkStart w:id="41108" w:name="_ETM_Q77_474080"/>
      <w:bookmarkEnd w:id="41108"/>
      <w:r>
        <w:rPr>
          <w:rFonts w:hint="cs"/>
          <w:rtl/>
        </w:rPr>
        <w:t xml:space="preserve">גם </w:t>
      </w:r>
      <w:bookmarkStart w:id="41109" w:name="_ETM_Q77_474379"/>
      <w:bookmarkEnd w:id="41109"/>
      <w:r>
        <w:rPr>
          <w:rFonts w:hint="cs"/>
          <w:rtl/>
        </w:rPr>
        <w:t xml:space="preserve">בחוקים </w:t>
      </w:r>
      <w:bookmarkStart w:id="41110" w:name="_ETM_Q77_474889"/>
      <w:bookmarkEnd w:id="41110"/>
      <w:r>
        <w:rPr>
          <w:rFonts w:hint="cs"/>
          <w:rtl/>
        </w:rPr>
        <w:t xml:space="preserve">בעייתיים </w:t>
      </w:r>
      <w:bookmarkStart w:id="41111" w:name="_ETM_Q77_475339"/>
      <w:bookmarkEnd w:id="41111"/>
      <w:r>
        <w:rPr>
          <w:rFonts w:hint="cs"/>
          <w:rtl/>
        </w:rPr>
        <w:t xml:space="preserve">כמו </w:t>
      </w:r>
      <w:bookmarkStart w:id="41112" w:name="_ETM_Q77_475580"/>
      <w:bookmarkEnd w:id="41112"/>
      <w:r>
        <w:rPr>
          <w:rFonts w:hint="cs"/>
          <w:rtl/>
        </w:rPr>
        <w:t xml:space="preserve">טבריה </w:t>
      </w:r>
      <w:bookmarkStart w:id="41113" w:name="_ETM_Q77_476270"/>
      <w:bookmarkEnd w:id="41113"/>
      <w:r>
        <w:rPr>
          <w:rFonts w:hint="cs"/>
          <w:rtl/>
        </w:rPr>
        <w:t xml:space="preserve">או </w:t>
      </w:r>
      <w:bookmarkStart w:id="41114" w:name="_ETM_Q77_476419"/>
      <w:bookmarkEnd w:id="41114"/>
      <w:r>
        <w:rPr>
          <w:rFonts w:hint="cs"/>
          <w:rtl/>
        </w:rPr>
        <w:t xml:space="preserve">הרבנות </w:t>
      </w:r>
      <w:bookmarkStart w:id="41115" w:name="_ETM_Q77_476900"/>
      <w:bookmarkEnd w:id="41115"/>
      <w:r>
        <w:rPr>
          <w:rFonts w:hint="cs"/>
          <w:rtl/>
        </w:rPr>
        <w:t xml:space="preserve">הראשית </w:t>
      </w:r>
      <w:bookmarkStart w:id="41116" w:name="_ETM_Q77_477529"/>
      <w:bookmarkEnd w:id="41116"/>
      <w:r>
        <w:rPr>
          <w:rFonts w:hint="cs"/>
          <w:rtl/>
        </w:rPr>
        <w:t xml:space="preserve">אנחנו </w:t>
      </w:r>
      <w:bookmarkStart w:id="41117" w:name="_ETM_Q77_477860"/>
      <w:bookmarkEnd w:id="41117"/>
      <w:r>
        <w:rPr>
          <w:rFonts w:hint="cs"/>
          <w:rtl/>
        </w:rPr>
        <w:t xml:space="preserve">מפסידים. </w:t>
      </w:r>
      <w:bookmarkStart w:id="41118" w:name="_ETM_Q77_478960"/>
      <w:bookmarkEnd w:id="41118"/>
      <w:r>
        <w:rPr>
          <w:rFonts w:hint="cs"/>
          <w:rtl/>
        </w:rPr>
        <w:t xml:space="preserve">לא </w:t>
      </w:r>
      <w:bookmarkStart w:id="41119" w:name="_ETM_Q77_479110"/>
      <w:bookmarkEnd w:id="41119"/>
      <w:r>
        <w:rPr>
          <w:rFonts w:hint="cs"/>
          <w:rtl/>
        </w:rPr>
        <w:t xml:space="preserve">מבקשים </w:t>
      </w:r>
      <w:bookmarkStart w:id="41120" w:name="_ETM_Q77_479560"/>
      <w:bookmarkEnd w:id="41120"/>
      <w:r>
        <w:rPr>
          <w:rFonts w:hint="cs"/>
          <w:rtl/>
        </w:rPr>
        <w:t xml:space="preserve">הסכמות </w:t>
      </w:r>
      <w:bookmarkStart w:id="41121" w:name="_ETM_Q77_480009"/>
      <w:bookmarkEnd w:id="41121"/>
      <w:r>
        <w:rPr>
          <w:rFonts w:hint="cs"/>
          <w:rtl/>
        </w:rPr>
        <w:t xml:space="preserve">רחבות. </w:t>
      </w:r>
      <w:bookmarkStart w:id="41122" w:name="_ETM_Q77_480000"/>
      <w:bookmarkStart w:id="41123" w:name="_ETM_Q77_480420"/>
      <w:bookmarkStart w:id="41124" w:name="_ETM_Q77_480839"/>
      <w:bookmarkStart w:id="41125" w:name="_ETM_Q77_481859"/>
      <w:bookmarkEnd w:id="41122"/>
      <w:bookmarkEnd w:id="41123"/>
      <w:bookmarkEnd w:id="41124"/>
      <w:bookmarkEnd w:id="41125"/>
      <w:r>
        <w:rPr>
          <w:rFonts w:hint="cs"/>
          <w:rtl/>
        </w:rPr>
        <w:t xml:space="preserve">גם </w:t>
      </w:r>
      <w:bookmarkStart w:id="41126" w:name="_ETM_Q77_482100"/>
      <w:bookmarkEnd w:id="41126"/>
      <w:r>
        <w:rPr>
          <w:rFonts w:hint="cs"/>
          <w:rtl/>
        </w:rPr>
        <w:t>כש</w:t>
      </w:r>
      <w:bookmarkStart w:id="41127" w:name="_ETM_Q77_482370"/>
      <w:bookmarkEnd w:id="41127"/>
      <w:r>
        <w:rPr>
          <w:rFonts w:hint="cs"/>
          <w:rtl/>
        </w:rPr>
        <w:t xml:space="preserve">החלטתם </w:t>
      </w:r>
      <w:bookmarkStart w:id="41128" w:name="_ETM_Q77_482879"/>
      <w:bookmarkEnd w:id="41128"/>
      <w:r>
        <w:rPr>
          <w:rFonts w:hint="cs"/>
          <w:rtl/>
        </w:rPr>
        <w:t xml:space="preserve">לשנות </w:t>
      </w:r>
      <w:bookmarkStart w:id="41129" w:name="_ETM_Q77_483239"/>
      <w:bookmarkEnd w:id="41129"/>
      <w:r>
        <w:rPr>
          <w:rFonts w:hint="cs"/>
          <w:rtl/>
        </w:rPr>
        <w:t xml:space="preserve">כללי </w:t>
      </w:r>
      <w:bookmarkStart w:id="41130" w:name="_ETM_Q77_483449"/>
      <w:bookmarkEnd w:id="41130"/>
      <w:r>
        <w:rPr>
          <w:rFonts w:hint="cs"/>
          <w:rtl/>
        </w:rPr>
        <w:t xml:space="preserve">משחק </w:t>
      </w:r>
      <w:bookmarkStart w:id="41131" w:name="_ETM_Q77_483959"/>
      <w:bookmarkEnd w:id="41131"/>
      <w:r>
        <w:rPr>
          <w:rFonts w:hint="cs"/>
          <w:rtl/>
        </w:rPr>
        <w:t xml:space="preserve">על </w:t>
      </w:r>
      <w:bookmarkStart w:id="41132" w:name="_ETM_Q77_485410"/>
      <w:bookmarkEnd w:id="41132"/>
      <w:r>
        <w:rPr>
          <w:rFonts w:hint="cs"/>
          <w:rtl/>
        </w:rPr>
        <w:t xml:space="preserve">טבריה </w:t>
      </w:r>
      <w:bookmarkStart w:id="41133" w:name="_ETM_Q77_485859"/>
      <w:bookmarkEnd w:id="41133"/>
      <w:r>
        <w:rPr>
          <w:rFonts w:hint="cs"/>
          <w:rtl/>
        </w:rPr>
        <w:t xml:space="preserve">ולהגיד </w:t>
      </w:r>
      <w:bookmarkStart w:id="41134" w:name="_ETM_Q77_486310"/>
      <w:bookmarkEnd w:id="41134"/>
      <w:r>
        <w:rPr>
          <w:rFonts w:hint="cs"/>
          <w:rtl/>
        </w:rPr>
        <w:t xml:space="preserve">שאפשר </w:t>
      </w:r>
      <w:bookmarkStart w:id="41135" w:name="_ETM_Q77_487959"/>
      <w:bookmarkEnd w:id="41135"/>
      <w:r>
        <w:rPr>
          <w:rFonts w:hint="cs"/>
          <w:rtl/>
        </w:rPr>
        <w:t xml:space="preserve">שמישהו </w:t>
      </w:r>
      <w:bookmarkStart w:id="41136" w:name="_ETM_Q77_488559"/>
      <w:bookmarkEnd w:id="41136"/>
      <w:r>
        <w:rPr>
          <w:rFonts w:hint="cs"/>
          <w:rtl/>
        </w:rPr>
        <w:t xml:space="preserve">שמונה </w:t>
      </w:r>
      <w:bookmarkStart w:id="41137" w:name="_ETM_Q77_489429"/>
      <w:bookmarkEnd w:id="41137"/>
      <w:r>
        <w:rPr>
          <w:rFonts w:hint="cs"/>
          <w:rtl/>
        </w:rPr>
        <w:t xml:space="preserve">בוועדה </w:t>
      </w:r>
      <w:bookmarkStart w:id="41138" w:name="_ETM_Q77_489820"/>
      <w:bookmarkEnd w:id="41138"/>
      <w:r>
        <w:rPr>
          <w:rFonts w:hint="cs"/>
          <w:rtl/>
        </w:rPr>
        <w:t xml:space="preserve">קרואה </w:t>
      </w:r>
      <w:bookmarkStart w:id="41139" w:name="_ETM_Q77_490150"/>
      <w:bookmarkEnd w:id="41139"/>
      <w:r>
        <w:rPr>
          <w:rFonts w:hint="cs"/>
          <w:rtl/>
        </w:rPr>
        <w:t xml:space="preserve">יהיה ראש עיר, </w:t>
      </w:r>
      <w:bookmarkStart w:id="41140" w:name="_ETM_Q77_490480"/>
      <w:bookmarkStart w:id="41141" w:name="_ETM_Q77_490690"/>
      <w:bookmarkEnd w:id="41140"/>
      <w:bookmarkEnd w:id="41141"/>
      <w:r>
        <w:rPr>
          <w:rFonts w:hint="cs"/>
          <w:rtl/>
        </w:rPr>
        <w:t xml:space="preserve">גם </w:t>
      </w:r>
      <w:bookmarkStart w:id="41142" w:name="_ETM_Q77_490900"/>
      <w:bookmarkEnd w:id="41142"/>
      <w:r>
        <w:rPr>
          <w:rFonts w:hint="cs"/>
          <w:rtl/>
        </w:rPr>
        <w:t>כשבחרת</w:t>
      </w:r>
      <w:bookmarkStart w:id="41143" w:name="_ETM_Q77_491349"/>
      <w:bookmarkEnd w:id="41143"/>
      <w:r>
        <w:rPr>
          <w:rFonts w:hint="cs"/>
          <w:rtl/>
        </w:rPr>
        <w:t xml:space="preserve">ם </w:t>
      </w:r>
      <w:bookmarkStart w:id="41144" w:name="_ETM_Q77_491440"/>
      <w:bookmarkEnd w:id="41144"/>
      <w:r>
        <w:rPr>
          <w:rFonts w:hint="cs"/>
          <w:rtl/>
        </w:rPr>
        <w:t xml:space="preserve">לדחות </w:t>
      </w:r>
      <w:bookmarkStart w:id="41145" w:name="_ETM_Q77_491799"/>
      <w:bookmarkEnd w:id="41145"/>
      <w:r>
        <w:rPr>
          <w:rFonts w:hint="cs"/>
          <w:rtl/>
        </w:rPr>
        <w:t xml:space="preserve">את </w:t>
      </w:r>
      <w:bookmarkStart w:id="41146" w:name="_ETM_Q77_492250"/>
      <w:bookmarkEnd w:id="41146"/>
      <w:r>
        <w:rPr>
          <w:rFonts w:hint="cs"/>
          <w:rtl/>
        </w:rPr>
        <w:t xml:space="preserve">הבחירות </w:t>
      </w:r>
      <w:bookmarkStart w:id="41147" w:name="_ETM_Q77_492610"/>
      <w:bookmarkEnd w:id="41147"/>
      <w:r>
        <w:rPr>
          <w:rFonts w:hint="cs"/>
          <w:rtl/>
        </w:rPr>
        <w:t xml:space="preserve">לרבנות </w:t>
      </w:r>
      <w:bookmarkStart w:id="41148" w:name="_ETM_Q77_493119"/>
      <w:bookmarkEnd w:id="41148"/>
      <w:r>
        <w:rPr>
          <w:rFonts w:hint="cs"/>
          <w:rtl/>
        </w:rPr>
        <w:t>הראשית</w:t>
      </w:r>
      <w:bookmarkStart w:id="41149" w:name="_ETM_Q77_494589"/>
      <w:bookmarkEnd w:id="41149"/>
      <w:r>
        <w:rPr>
          <w:rFonts w:hint="cs"/>
          <w:rtl/>
        </w:rPr>
        <w:t xml:space="preserve">, הצבענו </w:t>
      </w:r>
      <w:bookmarkStart w:id="41150" w:name="_ETM_Q77_495009"/>
      <w:bookmarkEnd w:id="41150"/>
      <w:r>
        <w:rPr>
          <w:rFonts w:hint="cs"/>
          <w:rtl/>
        </w:rPr>
        <w:t>נגד</w:t>
      </w:r>
      <w:bookmarkStart w:id="41151" w:name="_ETM_Q77_495579"/>
      <w:bookmarkEnd w:id="41151"/>
      <w:r>
        <w:rPr>
          <w:rFonts w:hint="cs"/>
          <w:rtl/>
        </w:rPr>
        <w:t xml:space="preserve">. חשבנו </w:t>
      </w:r>
      <w:bookmarkStart w:id="41152" w:name="_ETM_Q77_496029"/>
      <w:bookmarkEnd w:id="41152"/>
      <w:r>
        <w:rPr>
          <w:rFonts w:hint="cs"/>
          <w:rtl/>
        </w:rPr>
        <w:t xml:space="preserve">שזה </w:t>
      </w:r>
      <w:bookmarkStart w:id="41153" w:name="_ETM_Q77_496269"/>
      <w:bookmarkEnd w:id="41153"/>
      <w:r>
        <w:rPr>
          <w:rFonts w:hint="cs"/>
          <w:rtl/>
        </w:rPr>
        <w:t xml:space="preserve">לא </w:t>
      </w:r>
      <w:bookmarkStart w:id="41154" w:name="_ETM_Q77_496390"/>
      <w:bookmarkEnd w:id="41154"/>
      <w:r>
        <w:rPr>
          <w:rFonts w:hint="cs"/>
          <w:rtl/>
        </w:rPr>
        <w:t xml:space="preserve">ראוי, </w:t>
      </w:r>
      <w:bookmarkStart w:id="41155" w:name="_ETM_Q77_496930"/>
      <w:bookmarkEnd w:id="41155"/>
      <w:r>
        <w:rPr>
          <w:rFonts w:hint="cs"/>
          <w:rtl/>
        </w:rPr>
        <w:t xml:space="preserve">אבל </w:t>
      </w:r>
      <w:bookmarkStart w:id="41156" w:name="_ETM_Q77_497169"/>
      <w:bookmarkEnd w:id="41156"/>
      <w:r>
        <w:rPr>
          <w:rFonts w:hint="cs"/>
          <w:rtl/>
        </w:rPr>
        <w:t xml:space="preserve">אלה </w:t>
      </w:r>
      <w:bookmarkStart w:id="41157" w:name="_ETM_Q77_497380"/>
      <w:bookmarkEnd w:id="41157"/>
      <w:r>
        <w:rPr>
          <w:rFonts w:hint="cs"/>
          <w:rtl/>
        </w:rPr>
        <w:t xml:space="preserve">כללי </w:t>
      </w:r>
      <w:bookmarkStart w:id="41158" w:name="_ETM_Q77_497679"/>
      <w:bookmarkEnd w:id="41158"/>
      <w:r>
        <w:rPr>
          <w:rFonts w:hint="cs"/>
          <w:rtl/>
        </w:rPr>
        <w:t xml:space="preserve">המשחק. </w:t>
      </w:r>
      <w:bookmarkStart w:id="41159" w:name="_ETM_Q77_499010"/>
      <w:bookmarkEnd w:id="41159"/>
      <w:r>
        <w:rPr>
          <w:rFonts w:hint="cs"/>
          <w:rtl/>
        </w:rPr>
        <w:t xml:space="preserve">וגם </w:t>
      </w:r>
      <w:bookmarkStart w:id="41160" w:name="_ETM_Q77_499339"/>
      <w:bookmarkEnd w:id="41160"/>
      <w:r w:rsidR="00E367B5">
        <w:rPr>
          <w:rFonts w:hint="cs"/>
          <w:rtl/>
        </w:rPr>
        <w:t xml:space="preserve">את </w:t>
      </w:r>
      <w:r>
        <w:rPr>
          <w:rFonts w:hint="cs"/>
          <w:rtl/>
        </w:rPr>
        <w:t xml:space="preserve">עניין </w:t>
      </w:r>
      <w:bookmarkStart w:id="41161" w:name="_ETM_Q77_499670"/>
      <w:bookmarkEnd w:id="41161"/>
      <w:r>
        <w:rPr>
          <w:rFonts w:hint="cs"/>
          <w:rtl/>
        </w:rPr>
        <w:t>ה</w:t>
      </w:r>
      <w:bookmarkStart w:id="41162" w:name="_ETM_Q77_500510"/>
      <w:bookmarkEnd w:id="41162"/>
      <w:r>
        <w:rPr>
          <w:rFonts w:hint="cs"/>
          <w:rtl/>
        </w:rPr>
        <w:t xml:space="preserve">סבירות אתם </w:t>
      </w:r>
      <w:bookmarkStart w:id="41163" w:name="_ETM_Q77_500750"/>
      <w:bookmarkEnd w:id="41163"/>
      <w:r>
        <w:rPr>
          <w:rFonts w:hint="cs"/>
          <w:rtl/>
        </w:rPr>
        <w:t xml:space="preserve">יכולים </w:t>
      </w:r>
      <w:bookmarkStart w:id="41164" w:name="_ETM_Q77_501140"/>
      <w:bookmarkEnd w:id="41164"/>
      <w:r>
        <w:rPr>
          <w:rFonts w:hint="cs"/>
          <w:rtl/>
        </w:rPr>
        <w:t xml:space="preserve">להעביר </w:t>
      </w:r>
      <w:bookmarkStart w:id="41165" w:name="_ETM_Q77_501470"/>
      <w:bookmarkStart w:id="41166" w:name="_ETM_Q77_501650"/>
      <w:bookmarkEnd w:id="41165"/>
      <w:bookmarkEnd w:id="41166"/>
      <w:r>
        <w:rPr>
          <w:rFonts w:hint="cs"/>
          <w:rtl/>
        </w:rPr>
        <w:t xml:space="preserve">בלעדינו, </w:t>
      </w:r>
      <w:bookmarkStart w:id="41167" w:name="_ETM_Q77_502769"/>
      <w:bookmarkEnd w:id="41167"/>
      <w:r>
        <w:rPr>
          <w:rFonts w:hint="cs"/>
          <w:rtl/>
        </w:rPr>
        <w:t xml:space="preserve">אבל </w:t>
      </w:r>
      <w:bookmarkStart w:id="41168" w:name="_ETM_Q77_503009"/>
      <w:bookmarkEnd w:id="41168"/>
      <w:r>
        <w:rPr>
          <w:rFonts w:hint="cs"/>
          <w:rtl/>
        </w:rPr>
        <w:t xml:space="preserve">לממשלה </w:t>
      </w:r>
      <w:bookmarkStart w:id="41169" w:name="_ETM_Q77_503669"/>
      <w:bookmarkEnd w:id="41169"/>
      <w:r>
        <w:rPr>
          <w:rFonts w:hint="cs"/>
          <w:rtl/>
        </w:rPr>
        <w:t xml:space="preserve">יש </w:t>
      </w:r>
      <w:bookmarkStart w:id="41170" w:name="_ETM_Q77_503880"/>
      <w:bookmarkEnd w:id="41170"/>
      <w:r>
        <w:rPr>
          <w:rFonts w:hint="cs"/>
          <w:rtl/>
        </w:rPr>
        <w:t xml:space="preserve">אחריות </w:t>
      </w:r>
      <w:bookmarkStart w:id="41171" w:name="_ETM_Q77_504329"/>
      <w:bookmarkEnd w:id="41171"/>
      <w:r>
        <w:rPr>
          <w:rFonts w:hint="cs"/>
          <w:rtl/>
        </w:rPr>
        <w:t xml:space="preserve">רחבה </w:t>
      </w:r>
      <w:bookmarkStart w:id="41172" w:name="_ETM_Q77_504749"/>
      <w:bookmarkEnd w:id="41172"/>
      <w:r>
        <w:rPr>
          <w:rFonts w:hint="cs"/>
          <w:rtl/>
        </w:rPr>
        <w:t xml:space="preserve">יותר: </w:t>
      </w:r>
      <w:bookmarkStart w:id="41173" w:name="_ETM_Q77_505630"/>
      <w:bookmarkEnd w:id="41173"/>
      <w:r>
        <w:rPr>
          <w:rFonts w:hint="cs"/>
          <w:rtl/>
        </w:rPr>
        <w:t xml:space="preserve">להשאיר </w:t>
      </w:r>
      <w:bookmarkStart w:id="41174" w:name="_ETM_Q77_506260"/>
      <w:bookmarkEnd w:id="41174"/>
      <w:r>
        <w:rPr>
          <w:rFonts w:hint="cs"/>
          <w:rtl/>
        </w:rPr>
        <w:t xml:space="preserve">את </w:t>
      </w:r>
      <w:bookmarkStart w:id="41175" w:name="_ETM_Q77_506410"/>
      <w:bookmarkEnd w:id="41175"/>
      <w:r>
        <w:rPr>
          <w:rFonts w:hint="cs"/>
          <w:rtl/>
        </w:rPr>
        <w:t xml:space="preserve">העם </w:t>
      </w:r>
      <w:bookmarkStart w:id="41176" w:name="_ETM_Q77_506619"/>
      <w:bookmarkEnd w:id="41176"/>
      <w:r>
        <w:rPr>
          <w:rFonts w:hint="cs"/>
          <w:rtl/>
        </w:rPr>
        <w:t xml:space="preserve">הזה </w:t>
      </w:r>
      <w:bookmarkStart w:id="41177" w:name="_ETM_Q77_506800"/>
      <w:bookmarkEnd w:id="41177"/>
      <w:r>
        <w:rPr>
          <w:rFonts w:hint="cs"/>
          <w:rtl/>
        </w:rPr>
        <w:t xml:space="preserve">ביחד, </w:t>
      </w:r>
      <w:bookmarkStart w:id="41178" w:name="_ETM_Q77_507779"/>
      <w:bookmarkEnd w:id="41178"/>
      <w:r>
        <w:rPr>
          <w:rFonts w:hint="cs"/>
          <w:rtl/>
        </w:rPr>
        <w:t xml:space="preserve">לייצב </w:t>
      </w:r>
      <w:bookmarkStart w:id="41179" w:name="_ETM_Q77_508289"/>
      <w:bookmarkEnd w:id="41179"/>
      <w:r>
        <w:rPr>
          <w:rFonts w:hint="cs"/>
          <w:rtl/>
        </w:rPr>
        <w:t xml:space="preserve">את </w:t>
      </w:r>
      <w:bookmarkStart w:id="41180" w:name="_ETM_Q77_508409"/>
      <w:bookmarkEnd w:id="41180"/>
      <w:r>
        <w:rPr>
          <w:rFonts w:hint="cs"/>
          <w:rtl/>
        </w:rPr>
        <w:t xml:space="preserve">הכלכלה, </w:t>
      </w:r>
      <w:bookmarkStart w:id="41181" w:name="_ETM_Q77_509400"/>
      <w:bookmarkEnd w:id="41181"/>
      <w:r>
        <w:rPr>
          <w:rFonts w:hint="cs"/>
          <w:rtl/>
        </w:rPr>
        <w:t xml:space="preserve">לשמור </w:t>
      </w:r>
      <w:bookmarkStart w:id="41182" w:name="_ETM_Q77_509820"/>
      <w:bookmarkEnd w:id="41182"/>
      <w:r>
        <w:rPr>
          <w:rFonts w:hint="cs"/>
          <w:rtl/>
        </w:rPr>
        <w:t xml:space="preserve">על </w:t>
      </w:r>
      <w:bookmarkStart w:id="41183" w:name="_ETM_Q77_509910"/>
      <w:bookmarkEnd w:id="41183"/>
      <w:r>
        <w:rPr>
          <w:rFonts w:hint="cs"/>
          <w:rtl/>
        </w:rPr>
        <w:t xml:space="preserve">היחסים </w:t>
      </w:r>
      <w:bookmarkStart w:id="41184" w:name="_ETM_Q77_510419"/>
      <w:bookmarkEnd w:id="41184"/>
      <w:r>
        <w:rPr>
          <w:rFonts w:hint="cs"/>
          <w:rtl/>
        </w:rPr>
        <w:t xml:space="preserve">האסטרטגיים </w:t>
      </w:r>
      <w:bookmarkStart w:id="41185" w:name="_ETM_Q77_511380"/>
      <w:bookmarkEnd w:id="41185"/>
      <w:r>
        <w:rPr>
          <w:rFonts w:hint="cs"/>
          <w:rtl/>
        </w:rPr>
        <w:t xml:space="preserve">עם </w:t>
      </w:r>
      <w:bookmarkStart w:id="41186" w:name="_ETM_Q77_511499"/>
      <w:bookmarkEnd w:id="41186"/>
      <w:r>
        <w:rPr>
          <w:rFonts w:hint="cs"/>
          <w:rtl/>
        </w:rPr>
        <w:t xml:space="preserve">ארצות </w:t>
      </w:r>
      <w:bookmarkStart w:id="41187" w:name="_ETM_Q77_511829"/>
      <w:bookmarkEnd w:id="41187"/>
      <w:r>
        <w:rPr>
          <w:rFonts w:hint="cs"/>
          <w:rtl/>
        </w:rPr>
        <w:t xml:space="preserve">הברית </w:t>
      </w:r>
      <w:bookmarkStart w:id="41188" w:name="_ETM_Q77_512649"/>
      <w:bookmarkEnd w:id="41188"/>
      <w:r>
        <w:rPr>
          <w:rFonts w:hint="cs"/>
          <w:rtl/>
        </w:rPr>
        <w:t xml:space="preserve">ולהשאיר </w:t>
      </w:r>
      <w:bookmarkStart w:id="41189" w:name="_ETM_Q77_513219"/>
      <w:bookmarkEnd w:id="41189"/>
      <w:r>
        <w:rPr>
          <w:rFonts w:hint="cs"/>
          <w:rtl/>
        </w:rPr>
        <w:t xml:space="preserve">את </w:t>
      </w:r>
      <w:bookmarkStart w:id="41190" w:name="_ETM_Q77_513309"/>
      <w:bookmarkEnd w:id="41190"/>
      <w:r>
        <w:rPr>
          <w:rFonts w:hint="cs"/>
          <w:rtl/>
        </w:rPr>
        <w:t xml:space="preserve">צה"ל – </w:t>
      </w:r>
      <w:bookmarkStart w:id="41191" w:name="_ETM_Q77_514260"/>
      <w:bookmarkEnd w:id="41191"/>
      <w:r>
        <w:rPr>
          <w:rFonts w:hint="cs"/>
          <w:rtl/>
        </w:rPr>
        <w:t xml:space="preserve">וכאן </w:t>
      </w:r>
      <w:bookmarkStart w:id="41192" w:name="_ETM_Q77_514650"/>
      <w:bookmarkEnd w:id="41192"/>
      <w:r>
        <w:rPr>
          <w:rFonts w:hint="cs"/>
          <w:rtl/>
        </w:rPr>
        <w:t xml:space="preserve">אין </w:t>
      </w:r>
      <w:bookmarkStart w:id="41193" w:name="_ETM_Q77_514800"/>
      <w:bookmarkEnd w:id="41193"/>
      <w:r>
        <w:rPr>
          <w:rFonts w:hint="cs"/>
          <w:rtl/>
        </w:rPr>
        <w:t xml:space="preserve">פתרון </w:t>
      </w:r>
      <w:bookmarkStart w:id="41194" w:name="_ETM_Q77_515400"/>
      <w:bookmarkEnd w:id="41194"/>
      <w:r>
        <w:rPr>
          <w:rFonts w:hint="cs"/>
          <w:rtl/>
        </w:rPr>
        <w:t>קסם</w:t>
      </w:r>
      <w:bookmarkStart w:id="41195" w:name="_ETM_Q77_516500"/>
      <w:bookmarkEnd w:id="41195"/>
      <w:r>
        <w:rPr>
          <w:rFonts w:hint="cs"/>
          <w:rtl/>
        </w:rPr>
        <w:t xml:space="preserve">, רק </w:t>
      </w:r>
      <w:bookmarkStart w:id="41196" w:name="_ETM_Q77_516829"/>
      <w:bookmarkEnd w:id="41196"/>
      <w:r>
        <w:rPr>
          <w:rFonts w:hint="cs"/>
          <w:rtl/>
        </w:rPr>
        <w:t xml:space="preserve">אפשרות </w:t>
      </w:r>
      <w:bookmarkStart w:id="41197" w:name="_ETM_Q77_517279"/>
      <w:bookmarkEnd w:id="41197"/>
      <w:r>
        <w:rPr>
          <w:rFonts w:hint="cs"/>
          <w:rtl/>
        </w:rPr>
        <w:t xml:space="preserve">אחת – </w:t>
      </w:r>
      <w:bookmarkStart w:id="41198" w:name="_ETM_Q77_518089"/>
      <w:bookmarkEnd w:id="41198"/>
      <w:r>
        <w:rPr>
          <w:rFonts w:hint="cs"/>
          <w:rtl/>
        </w:rPr>
        <w:t xml:space="preserve">להשאיר </w:t>
      </w:r>
      <w:bookmarkStart w:id="41199" w:name="_ETM_Q77_518510"/>
      <w:bookmarkEnd w:id="41199"/>
      <w:r>
        <w:rPr>
          <w:rFonts w:hint="cs"/>
          <w:rtl/>
        </w:rPr>
        <w:t xml:space="preserve">את </w:t>
      </w:r>
      <w:bookmarkStart w:id="41200" w:name="_ETM_Q77_518600"/>
      <w:bookmarkEnd w:id="41200"/>
      <w:r>
        <w:rPr>
          <w:rFonts w:hint="cs"/>
          <w:rtl/>
        </w:rPr>
        <w:t xml:space="preserve">צה"ל </w:t>
      </w:r>
      <w:bookmarkStart w:id="41201" w:name="_ETM_Q77_518870"/>
      <w:bookmarkEnd w:id="41201"/>
      <w:r>
        <w:rPr>
          <w:rFonts w:hint="cs"/>
          <w:rtl/>
        </w:rPr>
        <w:t xml:space="preserve">ביחד, </w:t>
      </w:r>
      <w:bookmarkStart w:id="41202" w:name="_ETM_Q77_519710"/>
      <w:bookmarkEnd w:id="41202"/>
      <w:r>
        <w:rPr>
          <w:rFonts w:hint="cs"/>
          <w:rtl/>
        </w:rPr>
        <w:t xml:space="preserve">ושבכל </w:t>
      </w:r>
      <w:bookmarkStart w:id="41203" w:name="_ETM_Q77_519860"/>
      <w:bookmarkStart w:id="41204" w:name="_ETM_Q77_520279"/>
      <w:bookmarkStart w:id="41205" w:name="_ETM_Q77_520460"/>
      <w:bookmarkEnd w:id="41203"/>
      <w:bookmarkEnd w:id="41204"/>
      <w:bookmarkEnd w:id="41205"/>
      <w:r>
        <w:rPr>
          <w:rFonts w:hint="cs"/>
          <w:rtl/>
        </w:rPr>
        <w:t xml:space="preserve">הסוגיות </w:t>
      </w:r>
      <w:bookmarkStart w:id="41206" w:name="_ETM_Q77_520940"/>
      <w:bookmarkEnd w:id="41206"/>
      <w:r>
        <w:rPr>
          <w:rFonts w:hint="cs"/>
          <w:rtl/>
        </w:rPr>
        <w:t xml:space="preserve">המשפטיות </w:t>
      </w:r>
      <w:bookmarkStart w:id="41207" w:name="_ETM_Q77_522070"/>
      <w:bookmarkEnd w:id="41207"/>
      <w:r>
        <w:rPr>
          <w:rFonts w:hint="cs"/>
          <w:rtl/>
        </w:rPr>
        <w:t xml:space="preserve">תידרש </w:t>
      </w:r>
      <w:bookmarkStart w:id="41208" w:name="_ETM_Q77_522579"/>
      <w:bookmarkEnd w:id="41208"/>
      <w:r>
        <w:rPr>
          <w:rFonts w:hint="cs"/>
          <w:rtl/>
        </w:rPr>
        <w:t xml:space="preserve">הסכמה </w:t>
      </w:r>
      <w:bookmarkStart w:id="41209" w:name="_ETM_Q77_523000"/>
      <w:bookmarkEnd w:id="41209"/>
      <w:r>
        <w:rPr>
          <w:rFonts w:hint="cs"/>
          <w:rtl/>
        </w:rPr>
        <w:t xml:space="preserve">רחבה. </w:t>
      </w:r>
      <w:bookmarkStart w:id="41210" w:name="_ETM_Q77_524120"/>
      <w:bookmarkEnd w:id="41210"/>
      <w:r>
        <w:rPr>
          <w:rFonts w:hint="cs"/>
          <w:rtl/>
        </w:rPr>
        <w:t xml:space="preserve">בלי </w:t>
      </w:r>
      <w:bookmarkStart w:id="41211" w:name="_ETM_Q77_524420"/>
      <w:bookmarkEnd w:id="41211"/>
      <w:r>
        <w:rPr>
          <w:rFonts w:hint="cs"/>
          <w:rtl/>
        </w:rPr>
        <w:t xml:space="preserve">זה </w:t>
      </w:r>
      <w:bookmarkStart w:id="41212" w:name="_ETM_Q77_525210"/>
      <w:bookmarkEnd w:id="41212"/>
      <w:r>
        <w:rPr>
          <w:rFonts w:hint="cs"/>
          <w:rtl/>
        </w:rPr>
        <w:t xml:space="preserve">ישראל </w:t>
      </w:r>
      <w:bookmarkStart w:id="41213" w:name="_ETM_Q77_525600"/>
      <w:bookmarkEnd w:id="41213"/>
      <w:r>
        <w:rPr>
          <w:rFonts w:hint="cs"/>
          <w:rtl/>
        </w:rPr>
        <w:t xml:space="preserve">תמשיך </w:t>
      </w:r>
      <w:bookmarkStart w:id="41214" w:name="_ETM_Q77_526140"/>
      <w:bookmarkEnd w:id="41214"/>
      <w:r>
        <w:rPr>
          <w:rFonts w:hint="cs"/>
          <w:rtl/>
        </w:rPr>
        <w:t xml:space="preserve">בסחרור </w:t>
      </w:r>
      <w:bookmarkStart w:id="41215" w:name="_ETM_Q77_526710"/>
      <w:bookmarkEnd w:id="41215"/>
      <w:r>
        <w:rPr>
          <w:rFonts w:hint="cs"/>
          <w:rtl/>
        </w:rPr>
        <w:t xml:space="preserve">המסוכן, </w:t>
      </w:r>
      <w:bookmarkStart w:id="41216" w:name="_ETM_Q77_527760"/>
      <w:bookmarkEnd w:id="41216"/>
      <w:r>
        <w:rPr>
          <w:rFonts w:hint="cs"/>
          <w:rtl/>
        </w:rPr>
        <w:t xml:space="preserve">תיקרע </w:t>
      </w:r>
      <w:bookmarkStart w:id="41217" w:name="_ETM_Q77_528239"/>
      <w:bookmarkEnd w:id="41217"/>
      <w:r>
        <w:rPr>
          <w:rFonts w:hint="cs"/>
          <w:rtl/>
        </w:rPr>
        <w:t xml:space="preserve">מבפנים </w:t>
      </w:r>
      <w:bookmarkStart w:id="41218" w:name="_ETM_Q77_528960"/>
      <w:bookmarkEnd w:id="41218"/>
      <w:r>
        <w:rPr>
          <w:rFonts w:hint="cs"/>
          <w:rtl/>
        </w:rPr>
        <w:t xml:space="preserve">ותתגלגל </w:t>
      </w:r>
      <w:bookmarkStart w:id="41219" w:name="_ETM_Q77_529800"/>
      <w:bookmarkEnd w:id="41219"/>
      <w:r>
        <w:rPr>
          <w:rFonts w:hint="cs"/>
          <w:rtl/>
        </w:rPr>
        <w:t xml:space="preserve">אל </w:t>
      </w:r>
      <w:bookmarkStart w:id="41220" w:name="_ETM_Q77_529890"/>
      <w:bookmarkEnd w:id="41220"/>
      <w:r>
        <w:rPr>
          <w:rFonts w:hint="cs"/>
          <w:rtl/>
        </w:rPr>
        <w:t xml:space="preserve">סף </w:t>
      </w:r>
      <w:bookmarkStart w:id="41221" w:name="_ETM_Q77_530220"/>
      <w:bookmarkEnd w:id="41221"/>
      <w:r>
        <w:rPr>
          <w:rFonts w:hint="cs"/>
          <w:rtl/>
        </w:rPr>
        <w:t xml:space="preserve">חורבן. </w:t>
      </w:r>
      <w:bookmarkStart w:id="41222" w:name="_ETM_Q77_531219"/>
      <w:bookmarkEnd w:id="41222"/>
      <w:r>
        <w:rPr>
          <w:rFonts w:hint="cs"/>
          <w:rtl/>
        </w:rPr>
        <w:t xml:space="preserve">אפילו </w:t>
      </w:r>
      <w:bookmarkStart w:id="41223" w:name="_ETM_Q77_531640"/>
      <w:bookmarkEnd w:id="41223"/>
      <w:r>
        <w:rPr>
          <w:rFonts w:hint="cs"/>
          <w:rtl/>
        </w:rPr>
        <w:t xml:space="preserve">צה"ל, האי </w:t>
      </w:r>
      <w:bookmarkStart w:id="41224" w:name="_ETM_Q77_533140"/>
      <w:bookmarkEnd w:id="41224"/>
      <w:r>
        <w:rPr>
          <w:rFonts w:hint="cs"/>
          <w:rtl/>
        </w:rPr>
        <w:t xml:space="preserve">הגדול </w:t>
      </w:r>
      <w:bookmarkStart w:id="41225" w:name="_ETM_Q77_533649"/>
      <w:bookmarkEnd w:id="41225"/>
      <w:r>
        <w:rPr>
          <w:rFonts w:hint="cs"/>
          <w:rtl/>
        </w:rPr>
        <w:t xml:space="preserve">של </w:t>
      </w:r>
      <w:bookmarkStart w:id="41226" w:name="_ETM_Q77_533859"/>
      <w:bookmarkEnd w:id="41226"/>
      <w:r>
        <w:rPr>
          <w:rFonts w:hint="cs"/>
          <w:rtl/>
        </w:rPr>
        <w:t xml:space="preserve">השותפות </w:t>
      </w:r>
      <w:bookmarkStart w:id="41227" w:name="_ETM_Q77_534519"/>
      <w:bookmarkEnd w:id="41227"/>
      <w:r>
        <w:rPr>
          <w:rFonts w:hint="cs"/>
          <w:rtl/>
        </w:rPr>
        <w:t xml:space="preserve">הישראלית, </w:t>
      </w:r>
      <w:bookmarkStart w:id="41228" w:name="_ETM_Q77_535480"/>
      <w:bookmarkEnd w:id="41228"/>
      <w:r>
        <w:rPr>
          <w:rFonts w:hint="cs"/>
          <w:rtl/>
        </w:rPr>
        <w:t xml:space="preserve">נקרע </w:t>
      </w:r>
      <w:bookmarkStart w:id="41229" w:name="_ETM_Q77_535839"/>
      <w:bookmarkEnd w:id="41229"/>
      <w:r>
        <w:rPr>
          <w:rFonts w:hint="cs"/>
          <w:rtl/>
        </w:rPr>
        <w:t xml:space="preserve">מבפנים. </w:t>
      </w:r>
      <w:bookmarkStart w:id="41230" w:name="_ETM_Q77_537069"/>
      <w:bookmarkEnd w:id="41230"/>
    </w:p>
    <w:p w:rsidR="00BB59CD" w:rsidRDefault="00BB59CD" w:rsidP="00BB59CD">
      <w:pPr>
        <w:rPr>
          <w:rtl/>
        </w:rPr>
      </w:pPr>
    </w:p>
    <w:p w:rsidR="00BB59CD" w:rsidRDefault="00BB59CD" w:rsidP="00E367B5">
      <w:pPr>
        <w:rPr>
          <w:rtl/>
        </w:rPr>
      </w:pPr>
      <w:r>
        <w:rPr>
          <w:rFonts w:hint="cs"/>
          <w:rtl/>
        </w:rPr>
        <w:t xml:space="preserve">וחשוב </w:t>
      </w:r>
      <w:bookmarkStart w:id="41231" w:name="_ETM_Q77_537519"/>
      <w:bookmarkEnd w:id="41231"/>
      <w:r>
        <w:rPr>
          <w:rFonts w:hint="cs"/>
          <w:rtl/>
        </w:rPr>
        <w:t xml:space="preserve">לי </w:t>
      </w:r>
      <w:bookmarkStart w:id="41232" w:name="_ETM_Q77_537609"/>
      <w:bookmarkEnd w:id="41232"/>
      <w:r>
        <w:rPr>
          <w:rFonts w:hint="cs"/>
          <w:rtl/>
        </w:rPr>
        <w:t xml:space="preserve">להדגיש </w:t>
      </w:r>
      <w:bookmarkStart w:id="41233" w:name="_ETM_Q77_537969"/>
      <w:bookmarkEnd w:id="41233"/>
      <w:r>
        <w:rPr>
          <w:rFonts w:hint="cs"/>
          <w:rtl/>
        </w:rPr>
        <w:t xml:space="preserve">כאן </w:t>
      </w:r>
      <w:bookmarkStart w:id="41234" w:name="_ETM_Q77_538120"/>
      <w:bookmarkEnd w:id="41234"/>
      <w:r>
        <w:rPr>
          <w:rFonts w:hint="cs"/>
          <w:rtl/>
        </w:rPr>
        <w:t xml:space="preserve">שוב: </w:t>
      </w:r>
      <w:bookmarkStart w:id="41235" w:name="_ETM_Q77_538870"/>
      <w:bookmarkEnd w:id="41235"/>
      <w:r>
        <w:rPr>
          <w:rFonts w:hint="cs"/>
          <w:rtl/>
        </w:rPr>
        <w:t xml:space="preserve">אני </w:t>
      </w:r>
      <w:bookmarkStart w:id="41236" w:name="_ETM_Q77_539140"/>
      <w:bookmarkEnd w:id="41236"/>
      <w:r>
        <w:rPr>
          <w:rFonts w:hint="cs"/>
          <w:rtl/>
        </w:rPr>
        <w:t xml:space="preserve">מאמין </w:t>
      </w:r>
      <w:bookmarkStart w:id="41237" w:name="_ETM_Q77_539529"/>
      <w:bookmarkEnd w:id="41237"/>
      <w:r>
        <w:rPr>
          <w:rFonts w:hint="cs"/>
          <w:rtl/>
        </w:rPr>
        <w:t xml:space="preserve">שכאשר </w:t>
      </w:r>
      <w:bookmarkStart w:id="41238" w:name="_ETM_Q77_540039"/>
      <w:bookmarkEnd w:id="41238"/>
      <w:r>
        <w:rPr>
          <w:rFonts w:hint="cs"/>
          <w:rtl/>
        </w:rPr>
        <w:t xml:space="preserve">צה"ל </w:t>
      </w:r>
      <w:bookmarkStart w:id="41239" w:name="_ETM_Q77_540370"/>
      <w:bookmarkEnd w:id="41239"/>
      <w:r>
        <w:rPr>
          <w:rFonts w:hint="cs"/>
          <w:rtl/>
        </w:rPr>
        <w:t xml:space="preserve">קורא – </w:t>
      </w:r>
      <w:bookmarkStart w:id="41240" w:name="_ETM_Q77_541200"/>
      <w:bookmarkEnd w:id="41240"/>
      <w:r>
        <w:rPr>
          <w:rFonts w:hint="cs"/>
          <w:rtl/>
        </w:rPr>
        <w:t xml:space="preserve">באים. </w:t>
      </w:r>
      <w:bookmarkStart w:id="41241" w:name="_ETM_Q77_542760"/>
      <w:bookmarkEnd w:id="41241"/>
      <w:r>
        <w:rPr>
          <w:rFonts w:hint="cs"/>
          <w:rtl/>
        </w:rPr>
        <w:t xml:space="preserve">אבל </w:t>
      </w:r>
      <w:bookmarkStart w:id="41242" w:name="_ETM_Q77_543029"/>
      <w:bookmarkEnd w:id="41242"/>
      <w:r>
        <w:rPr>
          <w:rFonts w:hint="cs"/>
          <w:rtl/>
        </w:rPr>
        <w:t xml:space="preserve">הסערה </w:t>
      </w:r>
      <w:bookmarkStart w:id="41243" w:name="_ETM_Q77_543510"/>
      <w:bookmarkEnd w:id="41243"/>
      <w:r>
        <w:rPr>
          <w:rFonts w:hint="cs"/>
          <w:rtl/>
        </w:rPr>
        <w:t xml:space="preserve">סביב </w:t>
      </w:r>
      <w:bookmarkStart w:id="41244" w:name="_ETM_Q77_543809"/>
      <w:bookmarkEnd w:id="41244"/>
      <w:r>
        <w:rPr>
          <w:rFonts w:hint="cs"/>
          <w:rtl/>
        </w:rPr>
        <w:t>החלט</w:t>
      </w:r>
      <w:bookmarkStart w:id="41245" w:name="_ETM_Q77_544260"/>
      <w:bookmarkStart w:id="41246" w:name="_ETM_Q77_544740"/>
      <w:bookmarkEnd w:id="41245"/>
      <w:bookmarkEnd w:id="41246"/>
      <w:r>
        <w:rPr>
          <w:rFonts w:hint="cs"/>
          <w:rtl/>
        </w:rPr>
        <w:t xml:space="preserve">ת המוני המילואימניקים </w:t>
      </w:r>
      <w:bookmarkStart w:id="41247" w:name="_ETM_Q77_545430"/>
      <w:bookmarkEnd w:id="41247"/>
      <w:r>
        <w:rPr>
          <w:rFonts w:hint="cs"/>
          <w:rtl/>
        </w:rPr>
        <w:t xml:space="preserve">שלא </w:t>
      </w:r>
      <w:bookmarkStart w:id="41248" w:name="_ETM_Q77_545760"/>
      <w:bookmarkEnd w:id="41248"/>
      <w:r>
        <w:rPr>
          <w:rFonts w:hint="cs"/>
          <w:rtl/>
        </w:rPr>
        <w:t xml:space="preserve">להתייצב </w:t>
      </w:r>
      <w:bookmarkStart w:id="41249" w:name="_ETM_Q77_546880"/>
      <w:bookmarkEnd w:id="41249"/>
      <w:r>
        <w:rPr>
          <w:rFonts w:hint="cs"/>
          <w:rtl/>
        </w:rPr>
        <w:t xml:space="preserve">אם </w:t>
      </w:r>
      <w:bookmarkStart w:id="41250" w:name="_ETM_Q77_547060"/>
      <w:bookmarkEnd w:id="41250"/>
      <w:r>
        <w:rPr>
          <w:rFonts w:hint="cs"/>
          <w:rtl/>
        </w:rPr>
        <w:t xml:space="preserve">החקיקה </w:t>
      </w:r>
      <w:bookmarkStart w:id="41251" w:name="_ETM_Q77_547600"/>
      <w:bookmarkEnd w:id="41251"/>
      <w:r>
        <w:rPr>
          <w:rFonts w:hint="cs"/>
          <w:rtl/>
        </w:rPr>
        <w:t xml:space="preserve">תעבור </w:t>
      </w:r>
      <w:bookmarkStart w:id="41252" w:name="_ETM_Q77_548520"/>
      <w:bookmarkEnd w:id="41252"/>
      <w:r>
        <w:rPr>
          <w:rFonts w:hint="cs"/>
          <w:rtl/>
        </w:rPr>
        <w:t xml:space="preserve">משקפת </w:t>
      </w:r>
      <w:bookmarkStart w:id="41253" w:name="_ETM_Q77_549360"/>
      <w:bookmarkEnd w:id="41253"/>
      <w:r>
        <w:rPr>
          <w:rFonts w:hint="cs"/>
          <w:rtl/>
        </w:rPr>
        <w:t xml:space="preserve">את </w:t>
      </w:r>
      <w:bookmarkStart w:id="41254" w:name="_ETM_Q77_549540"/>
      <w:bookmarkStart w:id="41255" w:name="_ETM_Q77_549719"/>
      <w:bookmarkStart w:id="41256" w:name="_ETM_Q77_550960"/>
      <w:bookmarkEnd w:id="41254"/>
      <w:bookmarkEnd w:id="41255"/>
      <w:bookmarkEnd w:id="41256"/>
      <w:r>
        <w:rPr>
          <w:rFonts w:hint="cs"/>
          <w:rtl/>
        </w:rPr>
        <w:t xml:space="preserve">עומק </w:t>
      </w:r>
      <w:bookmarkStart w:id="41257" w:name="_ETM_Q77_551500"/>
      <w:bookmarkEnd w:id="41257"/>
      <w:r>
        <w:rPr>
          <w:rFonts w:hint="cs"/>
          <w:rtl/>
        </w:rPr>
        <w:t xml:space="preserve">השבר ועומק הניתוק </w:t>
      </w:r>
      <w:bookmarkStart w:id="41258" w:name="_ETM_Q77_552190"/>
      <w:bookmarkEnd w:id="41258"/>
      <w:r>
        <w:rPr>
          <w:rFonts w:hint="cs"/>
          <w:rtl/>
        </w:rPr>
        <w:t xml:space="preserve">של </w:t>
      </w:r>
      <w:bookmarkStart w:id="41259" w:name="_ETM_Q77_552430"/>
      <w:bookmarkEnd w:id="41259"/>
      <w:r>
        <w:rPr>
          <w:rFonts w:hint="cs"/>
          <w:rtl/>
        </w:rPr>
        <w:t xml:space="preserve">חלק </w:t>
      </w:r>
      <w:bookmarkStart w:id="41260" w:name="_ETM_Q77_552970"/>
      <w:bookmarkEnd w:id="41260"/>
      <w:r>
        <w:rPr>
          <w:rFonts w:hint="cs"/>
          <w:rtl/>
        </w:rPr>
        <w:t xml:space="preserve">מאנשי </w:t>
      </w:r>
      <w:bookmarkStart w:id="41261" w:name="_ETM_Q77_553420"/>
      <w:bookmarkEnd w:id="41261"/>
      <w:r>
        <w:rPr>
          <w:rFonts w:hint="cs"/>
          <w:rtl/>
        </w:rPr>
        <w:t xml:space="preserve">הממשלה </w:t>
      </w:r>
      <w:bookmarkStart w:id="41262" w:name="_ETM_Q77_553870"/>
      <w:bookmarkEnd w:id="41262"/>
      <w:r>
        <w:rPr>
          <w:rFonts w:hint="cs"/>
          <w:rtl/>
        </w:rPr>
        <w:t xml:space="preserve">והקואליציה. </w:t>
      </w:r>
      <w:bookmarkStart w:id="41263" w:name="_ETM_Q77_555029"/>
      <w:bookmarkEnd w:id="41263"/>
      <w:r>
        <w:rPr>
          <w:rFonts w:hint="cs"/>
          <w:rtl/>
        </w:rPr>
        <w:t xml:space="preserve">מה </w:t>
      </w:r>
      <w:bookmarkStart w:id="41264" w:name="_ETM_Q77_555390"/>
      <w:bookmarkEnd w:id="41264"/>
      <w:r>
        <w:rPr>
          <w:rFonts w:hint="cs"/>
          <w:rtl/>
        </w:rPr>
        <w:t xml:space="preserve">לעשות, </w:t>
      </w:r>
      <w:bookmarkStart w:id="41265" w:name="_ETM_Q77_556380"/>
      <w:bookmarkEnd w:id="41265"/>
      <w:r>
        <w:rPr>
          <w:rFonts w:hint="cs"/>
          <w:rtl/>
        </w:rPr>
        <w:t xml:space="preserve">שרים </w:t>
      </w:r>
      <w:bookmarkStart w:id="41266" w:name="_ETM_Q77_556800"/>
      <w:bookmarkEnd w:id="41266"/>
      <w:r>
        <w:rPr>
          <w:rFonts w:hint="cs"/>
          <w:rtl/>
        </w:rPr>
        <w:t xml:space="preserve">וחברי </w:t>
      </w:r>
      <w:bookmarkStart w:id="41267" w:name="_ETM_Q77_557160"/>
      <w:bookmarkEnd w:id="41267"/>
      <w:r>
        <w:rPr>
          <w:rFonts w:hint="cs"/>
          <w:rtl/>
        </w:rPr>
        <w:t xml:space="preserve">כנסת </w:t>
      </w:r>
      <w:bookmarkStart w:id="41268" w:name="_ETM_Q77_557580"/>
      <w:bookmarkEnd w:id="41268"/>
      <w:r>
        <w:rPr>
          <w:rFonts w:hint="cs"/>
          <w:rtl/>
        </w:rPr>
        <w:t xml:space="preserve">שלא </w:t>
      </w:r>
      <w:bookmarkStart w:id="41269" w:name="_ETM_Q77_557790"/>
      <w:bookmarkEnd w:id="41269"/>
      <w:r>
        <w:rPr>
          <w:rFonts w:hint="cs"/>
          <w:rtl/>
        </w:rPr>
        <w:t xml:space="preserve">שירתו </w:t>
      </w:r>
      <w:bookmarkStart w:id="41270" w:name="_ETM_Q77_558210"/>
      <w:bookmarkEnd w:id="41270"/>
      <w:r>
        <w:rPr>
          <w:rFonts w:hint="cs"/>
          <w:rtl/>
        </w:rPr>
        <w:t xml:space="preserve">יום </w:t>
      </w:r>
      <w:bookmarkStart w:id="41271" w:name="_ETM_Q77_558420"/>
      <w:bookmarkEnd w:id="41271"/>
      <w:r>
        <w:rPr>
          <w:rFonts w:hint="cs"/>
          <w:rtl/>
        </w:rPr>
        <w:t xml:space="preserve">אחד </w:t>
      </w:r>
      <w:bookmarkStart w:id="41272" w:name="_ETM_Q77_559310"/>
      <w:bookmarkEnd w:id="41272"/>
      <w:r>
        <w:rPr>
          <w:rFonts w:hint="cs"/>
          <w:rtl/>
        </w:rPr>
        <w:t xml:space="preserve">לא </w:t>
      </w:r>
      <w:bookmarkStart w:id="41273" w:name="_ETM_Q77_559490"/>
      <w:bookmarkEnd w:id="41273"/>
      <w:r>
        <w:rPr>
          <w:rFonts w:hint="cs"/>
          <w:rtl/>
        </w:rPr>
        <w:t xml:space="preserve">יכולים </w:t>
      </w:r>
      <w:bookmarkStart w:id="41274" w:name="_ETM_Q77_559970"/>
      <w:bookmarkEnd w:id="41274"/>
      <w:r>
        <w:rPr>
          <w:rFonts w:hint="cs"/>
          <w:rtl/>
        </w:rPr>
        <w:t xml:space="preserve">להטיף </w:t>
      </w:r>
      <w:bookmarkStart w:id="41275" w:name="_ETM_Q77_560420"/>
      <w:bookmarkEnd w:id="41275"/>
      <w:r>
        <w:rPr>
          <w:rFonts w:hint="cs"/>
          <w:rtl/>
        </w:rPr>
        <w:t xml:space="preserve">לאחרים </w:t>
      </w:r>
      <w:bookmarkStart w:id="41276" w:name="_ETM_Q77_560960"/>
      <w:bookmarkEnd w:id="41276"/>
      <w:r>
        <w:rPr>
          <w:rFonts w:hint="cs"/>
          <w:rtl/>
        </w:rPr>
        <w:t xml:space="preserve">על </w:t>
      </w:r>
      <w:bookmarkStart w:id="41277" w:name="_ETM_Q77_561049"/>
      <w:bookmarkEnd w:id="41277"/>
      <w:r>
        <w:rPr>
          <w:rFonts w:hint="cs"/>
          <w:rtl/>
        </w:rPr>
        <w:t xml:space="preserve">שירות; </w:t>
      </w:r>
      <w:bookmarkStart w:id="41278" w:name="_ETM_Q77_562180"/>
      <w:bookmarkEnd w:id="41278"/>
      <w:r>
        <w:rPr>
          <w:rFonts w:hint="cs"/>
          <w:rtl/>
        </w:rPr>
        <w:t xml:space="preserve">שר </w:t>
      </w:r>
      <w:bookmarkStart w:id="41279" w:name="_ETM_Q77_562570"/>
      <w:bookmarkEnd w:id="41279"/>
      <w:r>
        <w:rPr>
          <w:rFonts w:hint="cs"/>
          <w:rtl/>
        </w:rPr>
        <w:t xml:space="preserve">בכיר </w:t>
      </w:r>
      <w:bookmarkStart w:id="41280" w:name="_ETM_Q77_563610"/>
      <w:bookmarkEnd w:id="41280"/>
      <w:r>
        <w:rPr>
          <w:rFonts w:hint="cs"/>
          <w:rtl/>
        </w:rPr>
        <w:t xml:space="preserve">שקרא </w:t>
      </w:r>
      <w:bookmarkStart w:id="41281" w:name="_ETM_Q77_564120"/>
      <w:bookmarkEnd w:id="41281"/>
      <w:r>
        <w:rPr>
          <w:rFonts w:hint="cs"/>
          <w:rtl/>
        </w:rPr>
        <w:t xml:space="preserve">בעבר </w:t>
      </w:r>
      <w:bookmarkStart w:id="41282" w:name="_ETM_Q77_564570"/>
      <w:bookmarkEnd w:id="41282"/>
      <w:r>
        <w:rPr>
          <w:rFonts w:hint="cs"/>
          <w:rtl/>
        </w:rPr>
        <w:t xml:space="preserve">למגזר </w:t>
      </w:r>
      <w:bookmarkStart w:id="41283" w:name="_ETM_Q77_565080"/>
      <w:bookmarkEnd w:id="41283"/>
      <w:r>
        <w:rPr>
          <w:rFonts w:hint="cs"/>
          <w:rtl/>
        </w:rPr>
        <w:t xml:space="preserve">שלו </w:t>
      </w:r>
      <w:bookmarkStart w:id="41284" w:name="_ETM_Q77_565440"/>
      <w:bookmarkEnd w:id="41284"/>
      <w:r>
        <w:rPr>
          <w:rFonts w:hint="cs"/>
          <w:rtl/>
        </w:rPr>
        <w:t xml:space="preserve">שלא </w:t>
      </w:r>
      <w:bookmarkStart w:id="41285" w:name="_ETM_Q77_565830"/>
      <w:bookmarkEnd w:id="41285"/>
      <w:r>
        <w:rPr>
          <w:rFonts w:hint="cs"/>
          <w:rtl/>
        </w:rPr>
        <w:t xml:space="preserve">להתגייס </w:t>
      </w:r>
      <w:bookmarkStart w:id="41286" w:name="_ETM_Q77_566279"/>
      <w:bookmarkEnd w:id="41286"/>
      <w:r>
        <w:rPr>
          <w:rFonts w:hint="cs"/>
          <w:rtl/>
        </w:rPr>
        <w:t xml:space="preserve">לשרת </w:t>
      </w:r>
      <w:bookmarkStart w:id="41287" w:name="_ETM_Q77_566730"/>
      <w:bookmarkEnd w:id="41287"/>
      <w:r>
        <w:rPr>
          <w:rFonts w:hint="cs"/>
          <w:rtl/>
        </w:rPr>
        <w:t xml:space="preserve">בצה"ל </w:t>
      </w:r>
      <w:bookmarkStart w:id="41288" w:name="_ETM_Q77_567680"/>
      <w:bookmarkEnd w:id="41288"/>
      <w:r>
        <w:rPr>
          <w:rFonts w:hint="cs"/>
          <w:rtl/>
        </w:rPr>
        <w:t xml:space="preserve">בשל </w:t>
      </w:r>
      <w:bookmarkStart w:id="41289" w:name="_ETM_Q77_568010"/>
      <w:bookmarkEnd w:id="41289"/>
      <w:r>
        <w:rPr>
          <w:rFonts w:hint="cs"/>
          <w:rtl/>
        </w:rPr>
        <w:t xml:space="preserve">שירות </w:t>
      </w:r>
      <w:bookmarkStart w:id="41290" w:name="_ETM_Q77_568400"/>
      <w:bookmarkEnd w:id="41290"/>
      <w:r>
        <w:rPr>
          <w:rFonts w:hint="cs"/>
          <w:rtl/>
        </w:rPr>
        <w:t xml:space="preserve">מעורב </w:t>
      </w:r>
      <w:bookmarkStart w:id="41291" w:name="_ETM_Q77_568790"/>
      <w:bookmarkEnd w:id="41291"/>
      <w:r>
        <w:rPr>
          <w:rFonts w:hint="cs"/>
          <w:rtl/>
        </w:rPr>
        <w:t xml:space="preserve">של </w:t>
      </w:r>
      <w:bookmarkStart w:id="41292" w:name="_ETM_Q77_569000"/>
      <w:bookmarkEnd w:id="41292"/>
      <w:r>
        <w:rPr>
          <w:rFonts w:hint="cs"/>
          <w:rtl/>
        </w:rPr>
        <w:t xml:space="preserve">נשים </w:t>
      </w:r>
      <w:bookmarkStart w:id="41293" w:name="_ETM_Q77_569240"/>
      <w:bookmarkEnd w:id="41293"/>
      <w:r>
        <w:rPr>
          <w:rFonts w:hint="cs"/>
          <w:rtl/>
        </w:rPr>
        <w:t xml:space="preserve">וגברים, </w:t>
      </w:r>
      <w:bookmarkStart w:id="41294" w:name="_ETM_Q77_570310"/>
      <w:bookmarkEnd w:id="41294"/>
      <w:r>
        <w:rPr>
          <w:rFonts w:hint="cs"/>
          <w:rtl/>
        </w:rPr>
        <w:t xml:space="preserve">לא </w:t>
      </w:r>
      <w:bookmarkStart w:id="41295" w:name="_ETM_Q77_570520"/>
      <w:bookmarkEnd w:id="41295"/>
      <w:r>
        <w:rPr>
          <w:rFonts w:hint="cs"/>
          <w:rtl/>
        </w:rPr>
        <w:t xml:space="preserve">יכול </w:t>
      </w:r>
      <w:bookmarkStart w:id="41296" w:name="_ETM_Q77_570910"/>
      <w:bookmarkEnd w:id="41296"/>
      <w:r>
        <w:rPr>
          <w:rFonts w:hint="cs"/>
          <w:rtl/>
        </w:rPr>
        <w:t xml:space="preserve">לתקוף </w:t>
      </w:r>
      <w:bookmarkStart w:id="41297" w:name="_ETM_Q77_571330"/>
      <w:bookmarkEnd w:id="41297"/>
      <w:r>
        <w:rPr>
          <w:rFonts w:hint="cs"/>
          <w:rtl/>
        </w:rPr>
        <w:t xml:space="preserve">את </w:t>
      </w:r>
      <w:bookmarkStart w:id="41298" w:name="_ETM_Q77_571480"/>
      <w:bookmarkEnd w:id="41298"/>
      <w:r>
        <w:rPr>
          <w:rFonts w:hint="cs"/>
          <w:rtl/>
        </w:rPr>
        <w:t xml:space="preserve">מי </w:t>
      </w:r>
      <w:bookmarkStart w:id="41299" w:name="_ETM_Q77_571600"/>
      <w:bookmarkEnd w:id="41299"/>
      <w:r>
        <w:rPr>
          <w:rFonts w:hint="cs"/>
          <w:rtl/>
        </w:rPr>
        <w:t xml:space="preserve">שלא </w:t>
      </w:r>
      <w:bookmarkStart w:id="41300" w:name="_ETM_Q77_571840"/>
      <w:bookmarkEnd w:id="41300"/>
      <w:r>
        <w:rPr>
          <w:rFonts w:hint="cs"/>
          <w:rtl/>
        </w:rPr>
        <w:t xml:space="preserve">מתייצב; </w:t>
      </w:r>
      <w:bookmarkStart w:id="41301" w:name="_ETM_Q77_573150"/>
      <w:bookmarkEnd w:id="41301"/>
      <w:r>
        <w:rPr>
          <w:rFonts w:hint="cs"/>
          <w:rtl/>
        </w:rPr>
        <w:t xml:space="preserve">קואליציה </w:t>
      </w:r>
      <w:bookmarkStart w:id="41302" w:name="_ETM_Q77_574080"/>
      <w:bookmarkEnd w:id="41302"/>
      <w:r>
        <w:rPr>
          <w:rFonts w:hint="cs"/>
          <w:rtl/>
        </w:rPr>
        <w:t xml:space="preserve">שהתחייבה </w:t>
      </w:r>
      <w:bookmarkStart w:id="41303" w:name="_ETM_Q77_574890"/>
      <w:bookmarkEnd w:id="41303"/>
      <w:r>
        <w:rPr>
          <w:rFonts w:hint="cs"/>
          <w:rtl/>
        </w:rPr>
        <w:t xml:space="preserve">בהסכמים </w:t>
      </w:r>
      <w:bookmarkStart w:id="41304" w:name="_ETM_Q77_575430"/>
      <w:bookmarkEnd w:id="41304"/>
      <w:r>
        <w:rPr>
          <w:rFonts w:hint="cs"/>
          <w:rtl/>
        </w:rPr>
        <w:t xml:space="preserve">קואליציוניים </w:t>
      </w:r>
      <w:bookmarkStart w:id="41305" w:name="_ETM_Q77_576600"/>
      <w:bookmarkEnd w:id="41305"/>
      <w:r>
        <w:rPr>
          <w:rFonts w:hint="cs"/>
          <w:rtl/>
        </w:rPr>
        <w:t xml:space="preserve">לפטור </w:t>
      </w:r>
      <w:bookmarkStart w:id="41306" w:name="_ETM_Q77_577020"/>
      <w:bookmarkEnd w:id="41306"/>
      <w:r>
        <w:rPr>
          <w:rFonts w:hint="cs"/>
          <w:rtl/>
        </w:rPr>
        <w:t xml:space="preserve">בחוק </w:t>
      </w:r>
      <w:bookmarkStart w:id="41307" w:name="_ETM_Q77_577890"/>
      <w:bookmarkEnd w:id="41307"/>
      <w:r>
        <w:rPr>
          <w:rFonts w:hint="cs"/>
          <w:rtl/>
        </w:rPr>
        <w:t xml:space="preserve">מגזרים </w:t>
      </w:r>
      <w:bookmarkStart w:id="41308" w:name="_ETM_Q77_578520"/>
      <w:bookmarkEnd w:id="41308"/>
      <w:r>
        <w:rPr>
          <w:rFonts w:hint="cs"/>
          <w:rtl/>
        </w:rPr>
        <w:t xml:space="preserve">שלמים </w:t>
      </w:r>
      <w:bookmarkStart w:id="41309" w:name="_ETM_Q77_578940"/>
      <w:bookmarkEnd w:id="41309"/>
      <w:r>
        <w:rPr>
          <w:rFonts w:hint="cs"/>
          <w:rtl/>
        </w:rPr>
        <w:t xml:space="preserve">מכל </w:t>
      </w:r>
      <w:bookmarkStart w:id="41310" w:name="_ETM_Q77_579300"/>
      <w:bookmarkEnd w:id="41310"/>
      <w:r>
        <w:rPr>
          <w:rFonts w:hint="cs"/>
          <w:rtl/>
        </w:rPr>
        <w:t xml:space="preserve">שירות </w:t>
      </w:r>
      <w:bookmarkStart w:id="41311" w:name="_ETM_Q77_579750"/>
      <w:bookmarkEnd w:id="41311"/>
      <w:r>
        <w:rPr>
          <w:rFonts w:hint="cs"/>
          <w:rtl/>
        </w:rPr>
        <w:t xml:space="preserve">למען </w:t>
      </w:r>
      <w:bookmarkStart w:id="41312" w:name="_ETM_Q77_580080"/>
      <w:bookmarkEnd w:id="41312"/>
      <w:r>
        <w:rPr>
          <w:rFonts w:hint="cs"/>
          <w:rtl/>
        </w:rPr>
        <w:t xml:space="preserve">המדינה </w:t>
      </w:r>
      <w:bookmarkStart w:id="41313" w:name="_ETM_Q77_580890"/>
      <w:bookmarkEnd w:id="41313"/>
      <w:r>
        <w:rPr>
          <w:rFonts w:hint="cs"/>
          <w:rtl/>
        </w:rPr>
        <w:t xml:space="preserve">לא </w:t>
      </w:r>
      <w:bookmarkStart w:id="41314" w:name="_ETM_Q77_581070"/>
      <w:bookmarkEnd w:id="41314"/>
      <w:r>
        <w:rPr>
          <w:rFonts w:hint="cs"/>
          <w:rtl/>
        </w:rPr>
        <w:t xml:space="preserve">יכולה </w:t>
      </w:r>
      <w:bookmarkStart w:id="41315" w:name="_ETM_Q77_581520"/>
      <w:bookmarkEnd w:id="41315"/>
      <w:r>
        <w:rPr>
          <w:rFonts w:hint="cs"/>
          <w:rtl/>
        </w:rPr>
        <w:t xml:space="preserve">להגיד </w:t>
      </w:r>
      <w:bookmarkStart w:id="41316" w:name="_ETM_Q77_581880"/>
      <w:bookmarkEnd w:id="41316"/>
      <w:r>
        <w:rPr>
          <w:rFonts w:hint="cs"/>
          <w:rtl/>
        </w:rPr>
        <w:t xml:space="preserve">משהו </w:t>
      </w:r>
      <w:bookmarkStart w:id="41317" w:name="_ETM_Q77_582690"/>
      <w:bookmarkEnd w:id="41317"/>
      <w:r>
        <w:rPr>
          <w:rFonts w:hint="cs"/>
          <w:rtl/>
        </w:rPr>
        <w:t xml:space="preserve">על </w:t>
      </w:r>
      <w:bookmarkStart w:id="41318" w:name="_ETM_Q77_582840"/>
      <w:bookmarkEnd w:id="41318"/>
      <w:r>
        <w:rPr>
          <w:rFonts w:hint="cs"/>
          <w:rtl/>
        </w:rPr>
        <w:t xml:space="preserve">מי </w:t>
      </w:r>
      <w:bookmarkStart w:id="41319" w:name="_ETM_Q77_582960"/>
      <w:bookmarkEnd w:id="41319"/>
      <w:r>
        <w:rPr>
          <w:rFonts w:hint="cs"/>
          <w:rtl/>
        </w:rPr>
        <w:t xml:space="preserve">שאחרי </w:t>
      </w:r>
      <w:bookmarkStart w:id="41320" w:name="_ETM_Q77_583320"/>
      <w:bookmarkEnd w:id="41320"/>
      <w:r>
        <w:rPr>
          <w:rFonts w:hint="cs"/>
          <w:rtl/>
        </w:rPr>
        <w:t xml:space="preserve">עשרות </w:t>
      </w:r>
      <w:bookmarkStart w:id="41321" w:name="_ETM_Q77_583770"/>
      <w:bookmarkEnd w:id="41321"/>
      <w:r>
        <w:rPr>
          <w:rFonts w:hint="cs"/>
          <w:rtl/>
        </w:rPr>
        <w:t xml:space="preserve">שנים </w:t>
      </w:r>
      <w:bookmarkStart w:id="41322" w:name="_ETM_Q77_584130"/>
      <w:bookmarkEnd w:id="41322"/>
      <w:r>
        <w:rPr>
          <w:rFonts w:hint="cs"/>
          <w:rtl/>
        </w:rPr>
        <w:t xml:space="preserve">של </w:t>
      </w:r>
      <w:bookmarkStart w:id="41323" w:name="_ETM_Q77_584340"/>
      <w:bookmarkEnd w:id="41323"/>
      <w:r>
        <w:rPr>
          <w:rFonts w:hint="cs"/>
          <w:rtl/>
        </w:rPr>
        <w:t xml:space="preserve">שירות </w:t>
      </w:r>
      <w:bookmarkStart w:id="41324" w:name="_ETM_Q77_585060"/>
      <w:bookmarkEnd w:id="41324"/>
      <w:r>
        <w:rPr>
          <w:rFonts w:hint="cs"/>
          <w:rtl/>
        </w:rPr>
        <w:t xml:space="preserve">מפסיק </w:t>
      </w:r>
      <w:bookmarkStart w:id="41325" w:name="_ETM_Q77_585600"/>
      <w:bookmarkEnd w:id="41325"/>
      <w:r>
        <w:rPr>
          <w:rFonts w:hint="cs"/>
          <w:rtl/>
        </w:rPr>
        <w:t xml:space="preserve">להתייצב. </w:t>
      </w:r>
      <w:bookmarkStart w:id="41326" w:name="_ETM_Q77_587130"/>
      <w:bookmarkEnd w:id="41326"/>
      <w:r>
        <w:rPr>
          <w:rFonts w:hint="cs"/>
          <w:rtl/>
        </w:rPr>
        <w:t xml:space="preserve">אבל </w:t>
      </w:r>
      <w:bookmarkStart w:id="41327" w:name="_ETM_Q77_587339"/>
      <w:bookmarkEnd w:id="41327"/>
      <w:r>
        <w:rPr>
          <w:rFonts w:hint="cs"/>
          <w:rtl/>
        </w:rPr>
        <w:t xml:space="preserve">מתברר </w:t>
      </w:r>
      <w:bookmarkStart w:id="41328" w:name="_ETM_Q77_587880"/>
      <w:bookmarkEnd w:id="41328"/>
      <w:r>
        <w:rPr>
          <w:rFonts w:hint="cs"/>
          <w:rtl/>
        </w:rPr>
        <w:t xml:space="preserve">שמבחינתם </w:t>
      </w:r>
      <w:bookmarkStart w:id="41329" w:name="_ETM_Q77_588570"/>
      <w:bookmarkEnd w:id="41329"/>
      <w:r>
        <w:rPr>
          <w:rFonts w:hint="cs"/>
          <w:rtl/>
        </w:rPr>
        <w:t xml:space="preserve">הם </w:t>
      </w:r>
      <w:bookmarkStart w:id="41330" w:name="_ETM_Q77_588630"/>
      <w:bookmarkEnd w:id="41330"/>
      <w:r>
        <w:rPr>
          <w:rFonts w:hint="cs"/>
          <w:rtl/>
        </w:rPr>
        <w:t xml:space="preserve">יכולים </w:t>
      </w:r>
      <w:bookmarkStart w:id="41331" w:name="_ETM_Q77_589020"/>
      <w:bookmarkEnd w:id="41331"/>
      <w:r>
        <w:rPr>
          <w:rFonts w:hint="cs"/>
          <w:rtl/>
        </w:rPr>
        <w:t xml:space="preserve">להטיף </w:t>
      </w:r>
      <w:bookmarkStart w:id="41332" w:name="_ETM_Q77_589529"/>
      <w:bookmarkEnd w:id="41332"/>
      <w:r>
        <w:rPr>
          <w:rFonts w:hint="cs"/>
          <w:rtl/>
        </w:rPr>
        <w:t>ולתקוף</w:t>
      </w:r>
      <w:bookmarkStart w:id="41333" w:name="_ETM_Q77_590740"/>
      <w:bookmarkEnd w:id="41333"/>
      <w:r>
        <w:rPr>
          <w:rFonts w:hint="cs"/>
          <w:rtl/>
        </w:rPr>
        <w:t xml:space="preserve">, אבל </w:t>
      </w:r>
      <w:bookmarkStart w:id="41334" w:name="_ETM_Q77_591159"/>
      <w:bookmarkEnd w:id="41334"/>
      <w:r>
        <w:rPr>
          <w:rFonts w:hint="cs"/>
          <w:rtl/>
        </w:rPr>
        <w:t>אי</w:t>
      </w:r>
      <w:bookmarkStart w:id="41335" w:name="_ETM_Q77_591250"/>
      <w:bookmarkEnd w:id="41335"/>
      <w:r>
        <w:rPr>
          <w:rFonts w:hint="cs"/>
          <w:rtl/>
        </w:rPr>
        <w:t xml:space="preserve">-אפשר </w:t>
      </w:r>
      <w:bookmarkStart w:id="41336" w:name="_ETM_Q77_591490"/>
      <w:bookmarkEnd w:id="41336"/>
      <w:r>
        <w:rPr>
          <w:rFonts w:hint="cs"/>
          <w:rtl/>
        </w:rPr>
        <w:t xml:space="preserve">להאמין </w:t>
      </w:r>
      <w:bookmarkStart w:id="41337" w:name="_ETM_Q77_591850"/>
      <w:bookmarkEnd w:id="41337"/>
      <w:r>
        <w:rPr>
          <w:rFonts w:hint="cs"/>
          <w:rtl/>
        </w:rPr>
        <w:t>להם. אין</w:t>
      </w:r>
      <w:bookmarkStart w:id="41338" w:name="_ETM_Q77_592770"/>
      <w:bookmarkEnd w:id="41338"/>
      <w:r>
        <w:rPr>
          <w:rFonts w:hint="cs"/>
          <w:rtl/>
        </w:rPr>
        <w:t xml:space="preserve"> </w:t>
      </w:r>
      <w:bookmarkStart w:id="41339" w:name="_ETM_Q77_593010"/>
      <w:bookmarkEnd w:id="41339"/>
      <w:r>
        <w:rPr>
          <w:rFonts w:hint="cs"/>
          <w:rtl/>
        </w:rPr>
        <w:t xml:space="preserve">למילים </w:t>
      </w:r>
      <w:bookmarkStart w:id="41340" w:name="_ETM_Q77_593370"/>
      <w:bookmarkEnd w:id="41340"/>
      <w:r>
        <w:rPr>
          <w:rFonts w:hint="cs"/>
          <w:rtl/>
        </w:rPr>
        <w:t xml:space="preserve">שלכם </w:t>
      </w:r>
      <w:bookmarkStart w:id="41341" w:name="_ETM_Q77_593940"/>
      <w:bookmarkEnd w:id="41341"/>
      <w:r>
        <w:rPr>
          <w:rFonts w:hint="cs"/>
          <w:rtl/>
        </w:rPr>
        <w:t xml:space="preserve">שום </w:t>
      </w:r>
      <w:bookmarkStart w:id="41342" w:name="_ETM_Q77_594420"/>
      <w:bookmarkEnd w:id="41342"/>
      <w:r>
        <w:rPr>
          <w:rFonts w:hint="cs"/>
          <w:rtl/>
        </w:rPr>
        <w:t xml:space="preserve">תשתית </w:t>
      </w:r>
      <w:bookmarkStart w:id="41343" w:name="_ETM_Q77_594930"/>
      <w:bookmarkEnd w:id="41343"/>
      <w:r>
        <w:rPr>
          <w:rFonts w:hint="cs"/>
          <w:rtl/>
        </w:rPr>
        <w:t xml:space="preserve">ערכית. </w:t>
      </w:r>
      <w:bookmarkStart w:id="41344" w:name="_ETM_Q77_596029"/>
      <w:bookmarkEnd w:id="41344"/>
      <w:r>
        <w:rPr>
          <w:rFonts w:hint="cs"/>
          <w:rtl/>
        </w:rPr>
        <w:t xml:space="preserve">שכן </w:t>
      </w:r>
      <w:bookmarkStart w:id="41345" w:name="_ETM_Q77_596450"/>
      <w:bookmarkEnd w:id="41345"/>
      <w:r>
        <w:rPr>
          <w:rFonts w:hint="cs"/>
          <w:rtl/>
        </w:rPr>
        <w:t xml:space="preserve">שלי </w:t>
      </w:r>
      <w:bookmarkStart w:id="41346" w:name="_ETM_Q77_597329"/>
      <w:bookmarkEnd w:id="41346"/>
      <w:r>
        <w:rPr>
          <w:rFonts w:hint="cs"/>
          <w:rtl/>
        </w:rPr>
        <w:t xml:space="preserve">נושק </w:t>
      </w:r>
      <w:bookmarkStart w:id="41347" w:name="_ETM_Q77_597719"/>
      <w:bookmarkEnd w:id="41347"/>
      <w:r>
        <w:rPr>
          <w:rFonts w:hint="cs"/>
          <w:rtl/>
        </w:rPr>
        <w:t xml:space="preserve">לגיל </w:t>
      </w:r>
      <w:bookmarkStart w:id="41348" w:name="_ETM_Q77_598020"/>
      <w:bookmarkEnd w:id="41348"/>
      <w:r>
        <w:rPr>
          <w:rFonts w:hint="cs"/>
          <w:rtl/>
        </w:rPr>
        <w:t xml:space="preserve">50, </w:t>
      </w:r>
      <w:bookmarkStart w:id="41349" w:name="_ETM_Q77_598950"/>
      <w:bookmarkEnd w:id="41349"/>
      <w:r w:rsidR="00E367B5">
        <w:rPr>
          <w:rFonts w:hint="cs"/>
          <w:rtl/>
        </w:rPr>
        <w:t>ו</w:t>
      </w:r>
      <w:r>
        <w:rPr>
          <w:rFonts w:hint="cs"/>
          <w:rtl/>
        </w:rPr>
        <w:t xml:space="preserve">אחרי </w:t>
      </w:r>
      <w:bookmarkStart w:id="41350" w:name="_ETM_Q77_599219"/>
      <w:bookmarkEnd w:id="41350"/>
      <w:r>
        <w:rPr>
          <w:rFonts w:hint="cs"/>
          <w:rtl/>
        </w:rPr>
        <w:t xml:space="preserve">עשרות </w:t>
      </w:r>
      <w:bookmarkStart w:id="41351" w:name="_ETM_Q77_599670"/>
      <w:bookmarkEnd w:id="41351"/>
      <w:r>
        <w:rPr>
          <w:rFonts w:hint="cs"/>
          <w:rtl/>
        </w:rPr>
        <w:t xml:space="preserve">שנים </w:t>
      </w:r>
      <w:bookmarkStart w:id="41352" w:name="_ETM_Q77_600390"/>
      <w:bookmarkEnd w:id="41352"/>
      <w:r>
        <w:rPr>
          <w:rFonts w:hint="cs"/>
          <w:rtl/>
        </w:rPr>
        <w:t xml:space="preserve">של </w:t>
      </w:r>
      <w:bookmarkStart w:id="41353" w:name="_ETM_Q77_600600"/>
      <w:bookmarkEnd w:id="41353"/>
      <w:r>
        <w:rPr>
          <w:rFonts w:hint="cs"/>
          <w:rtl/>
        </w:rPr>
        <w:t xml:space="preserve">שירות </w:t>
      </w:r>
      <w:bookmarkStart w:id="41354" w:name="_ETM_Q77_600930"/>
      <w:bookmarkEnd w:id="41354"/>
      <w:r>
        <w:rPr>
          <w:rFonts w:hint="cs"/>
          <w:rtl/>
        </w:rPr>
        <w:t xml:space="preserve">בסדיר </w:t>
      </w:r>
      <w:bookmarkStart w:id="41355" w:name="_ETM_Q77_601469"/>
      <w:bookmarkEnd w:id="41355"/>
      <w:r>
        <w:rPr>
          <w:rFonts w:hint="cs"/>
          <w:rtl/>
        </w:rPr>
        <w:t xml:space="preserve">ובמילואים </w:t>
      </w:r>
      <w:bookmarkStart w:id="41356" w:name="_ETM_Q77_602009"/>
      <w:bookmarkEnd w:id="41356"/>
      <w:r>
        <w:rPr>
          <w:rFonts w:hint="cs"/>
          <w:rtl/>
        </w:rPr>
        <w:t xml:space="preserve">בשייטת </w:t>
      </w:r>
      <w:bookmarkStart w:id="41357" w:name="_ETM_Q77_602490"/>
      <w:bookmarkEnd w:id="41357"/>
      <w:r>
        <w:rPr>
          <w:rFonts w:hint="cs"/>
          <w:rtl/>
        </w:rPr>
        <w:t xml:space="preserve">13 </w:t>
      </w:r>
      <w:bookmarkStart w:id="41358" w:name="_ETM_Q77_603540"/>
      <w:bookmarkEnd w:id="41358"/>
      <w:r>
        <w:rPr>
          <w:rFonts w:hint="cs"/>
          <w:rtl/>
        </w:rPr>
        <w:t xml:space="preserve">הודיע </w:t>
      </w:r>
      <w:bookmarkStart w:id="41359" w:name="_ETM_Q77_604080"/>
      <w:bookmarkEnd w:id="41359"/>
      <w:r>
        <w:rPr>
          <w:rFonts w:hint="cs"/>
          <w:rtl/>
        </w:rPr>
        <w:t xml:space="preserve">לי </w:t>
      </w:r>
      <w:bookmarkStart w:id="41360" w:name="_ETM_Q77_604819"/>
      <w:bookmarkEnd w:id="41360"/>
      <w:r>
        <w:rPr>
          <w:rFonts w:hint="cs"/>
          <w:rtl/>
        </w:rPr>
        <w:t xml:space="preserve">שבוע </w:t>
      </w:r>
      <w:bookmarkStart w:id="41361" w:name="_ETM_Q77_605179"/>
      <w:bookmarkEnd w:id="41361"/>
      <w:r>
        <w:rPr>
          <w:rFonts w:hint="cs"/>
          <w:rtl/>
        </w:rPr>
        <w:t xml:space="preserve">שעבר </w:t>
      </w:r>
      <w:bookmarkStart w:id="41362" w:name="_ETM_Q77_605630"/>
      <w:bookmarkEnd w:id="41362"/>
      <w:r>
        <w:rPr>
          <w:rFonts w:hint="cs"/>
          <w:rtl/>
        </w:rPr>
        <w:t xml:space="preserve">שהוא </w:t>
      </w:r>
      <w:bookmarkStart w:id="41363" w:name="_ETM_Q77_605779"/>
      <w:bookmarkEnd w:id="41363"/>
      <w:r>
        <w:rPr>
          <w:rFonts w:hint="cs"/>
          <w:rtl/>
        </w:rPr>
        <w:t xml:space="preserve">מפסיק </w:t>
      </w:r>
      <w:bookmarkStart w:id="41364" w:name="_ETM_Q77_606109"/>
      <w:bookmarkEnd w:id="41364"/>
      <w:r>
        <w:rPr>
          <w:rFonts w:hint="cs"/>
          <w:rtl/>
        </w:rPr>
        <w:t xml:space="preserve">להתייצב. </w:t>
      </w:r>
      <w:bookmarkStart w:id="41365" w:name="_ETM_Q77_607690"/>
      <w:bookmarkEnd w:id="41365"/>
      <w:r>
        <w:rPr>
          <w:rFonts w:hint="cs"/>
          <w:rtl/>
        </w:rPr>
        <w:t xml:space="preserve">היו </w:t>
      </w:r>
      <w:bookmarkStart w:id="41366" w:name="_ETM_Q77_607930"/>
      <w:bookmarkEnd w:id="41366"/>
      <w:r>
        <w:rPr>
          <w:rFonts w:hint="cs"/>
          <w:rtl/>
        </w:rPr>
        <w:t xml:space="preserve">אפילו </w:t>
      </w:r>
      <w:bookmarkStart w:id="41367" w:name="_ETM_Q77_608200"/>
      <w:bookmarkEnd w:id="41367"/>
      <w:r>
        <w:rPr>
          <w:rFonts w:hint="cs"/>
          <w:rtl/>
        </w:rPr>
        <w:t xml:space="preserve">כמה </w:t>
      </w:r>
      <w:bookmarkStart w:id="41368" w:name="_ETM_Q77_608440"/>
      <w:bookmarkEnd w:id="41368"/>
      <w:r>
        <w:rPr>
          <w:rFonts w:hint="cs"/>
          <w:rtl/>
        </w:rPr>
        <w:t xml:space="preserve">שנים </w:t>
      </w:r>
      <w:bookmarkStart w:id="41369" w:name="_ETM_Q77_609360"/>
      <w:bookmarkEnd w:id="41369"/>
      <w:r>
        <w:rPr>
          <w:rFonts w:hint="cs"/>
          <w:rtl/>
        </w:rPr>
        <w:t xml:space="preserve">שהשכן </w:t>
      </w:r>
      <w:bookmarkStart w:id="41370" w:name="_ETM_Q77_609930"/>
      <w:bookmarkEnd w:id="41370"/>
      <w:r>
        <w:rPr>
          <w:rFonts w:hint="cs"/>
          <w:rtl/>
        </w:rPr>
        <w:t xml:space="preserve">שלי </w:t>
      </w:r>
      <w:bookmarkStart w:id="41371" w:name="_ETM_Q77_610110"/>
      <w:bookmarkEnd w:id="41371"/>
      <w:r>
        <w:rPr>
          <w:rFonts w:hint="cs"/>
          <w:rtl/>
        </w:rPr>
        <w:t xml:space="preserve">ואני </w:t>
      </w:r>
      <w:bookmarkStart w:id="41372" w:name="_ETM_Q77_610380"/>
      <w:bookmarkEnd w:id="41372"/>
      <w:r>
        <w:rPr>
          <w:rFonts w:hint="cs"/>
          <w:rtl/>
        </w:rPr>
        <w:t xml:space="preserve">עשינו </w:t>
      </w:r>
      <w:bookmarkStart w:id="41373" w:name="_ETM_Q77_610680"/>
      <w:bookmarkEnd w:id="41373"/>
      <w:r>
        <w:rPr>
          <w:rFonts w:hint="cs"/>
          <w:rtl/>
        </w:rPr>
        <w:t xml:space="preserve">מילואים </w:t>
      </w:r>
      <w:bookmarkStart w:id="41374" w:name="_ETM_Q77_611250"/>
      <w:bookmarkEnd w:id="41374"/>
      <w:r>
        <w:rPr>
          <w:rFonts w:hint="cs"/>
          <w:rtl/>
        </w:rPr>
        <w:t xml:space="preserve">ביחד </w:t>
      </w:r>
      <w:bookmarkStart w:id="41375" w:name="_ETM_Q77_611700"/>
      <w:bookmarkEnd w:id="41375"/>
      <w:r>
        <w:rPr>
          <w:rFonts w:hint="cs"/>
          <w:rtl/>
        </w:rPr>
        <w:t xml:space="preserve">באיזו </w:t>
      </w:r>
      <w:bookmarkStart w:id="41376" w:name="_ETM_Q77_611970"/>
      <w:bookmarkEnd w:id="41376"/>
      <w:r>
        <w:rPr>
          <w:rFonts w:hint="cs"/>
          <w:rtl/>
        </w:rPr>
        <w:t xml:space="preserve">יחידה. </w:t>
      </w:r>
      <w:bookmarkStart w:id="41377" w:name="_ETM_Q77_612980"/>
      <w:bookmarkEnd w:id="41377"/>
      <w:r>
        <w:rPr>
          <w:rFonts w:hint="cs"/>
          <w:rtl/>
        </w:rPr>
        <w:t xml:space="preserve">אני </w:t>
      </w:r>
      <w:bookmarkStart w:id="41378" w:name="_ETM_Q77_613190"/>
      <w:bookmarkEnd w:id="41378"/>
      <w:r>
        <w:rPr>
          <w:rFonts w:hint="cs"/>
          <w:rtl/>
        </w:rPr>
        <w:t xml:space="preserve">מתווכח </w:t>
      </w:r>
      <w:bookmarkStart w:id="41379" w:name="_ETM_Q77_613760"/>
      <w:bookmarkEnd w:id="41379"/>
      <w:r>
        <w:rPr>
          <w:rFonts w:hint="cs"/>
          <w:rtl/>
        </w:rPr>
        <w:t xml:space="preserve">איתו </w:t>
      </w:r>
      <w:bookmarkStart w:id="41380" w:name="_ETM_Q77_614240"/>
      <w:bookmarkEnd w:id="41380"/>
      <w:r>
        <w:rPr>
          <w:rFonts w:hint="cs"/>
          <w:rtl/>
        </w:rPr>
        <w:t xml:space="preserve">ועם </w:t>
      </w:r>
      <w:bookmarkStart w:id="41381" w:name="_ETM_Q77_614480"/>
      <w:bookmarkEnd w:id="41381"/>
      <w:r>
        <w:rPr>
          <w:rFonts w:hint="cs"/>
          <w:rtl/>
        </w:rPr>
        <w:t xml:space="preserve">חברים </w:t>
      </w:r>
      <w:bookmarkStart w:id="41382" w:name="_ETM_Q77_614900"/>
      <w:bookmarkEnd w:id="41382"/>
      <w:r>
        <w:rPr>
          <w:rFonts w:hint="cs"/>
          <w:rtl/>
        </w:rPr>
        <w:t xml:space="preserve">יקרים </w:t>
      </w:r>
      <w:bookmarkStart w:id="41383" w:name="_ETM_Q77_615320"/>
      <w:bookmarkEnd w:id="41383"/>
      <w:r>
        <w:rPr>
          <w:rFonts w:hint="cs"/>
          <w:rtl/>
        </w:rPr>
        <w:t xml:space="preserve">אחרים </w:t>
      </w:r>
      <w:bookmarkStart w:id="41384" w:name="_ETM_Q77_616380"/>
      <w:bookmarkEnd w:id="41384"/>
      <w:r>
        <w:rPr>
          <w:rFonts w:hint="cs"/>
          <w:rtl/>
        </w:rPr>
        <w:t xml:space="preserve">שהחליטו </w:t>
      </w:r>
      <w:bookmarkStart w:id="41385" w:name="_ETM_Q77_616920"/>
      <w:bookmarkEnd w:id="41385"/>
      <w:r>
        <w:rPr>
          <w:rFonts w:hint="cs"/>
          <w:rtl/>
        </w:rPr>
        <w:t xml:space="preserve">שלא </w:t>
      </w:r>
      <w:bookmarkStart w:id="41386" w:name="_ETM_Q77_617190"/>
      <w:bookmarkEnd w:id="41386"/>
      <w:r>
        <w:rPr>
          <w:rFonts w:hint="cs"/>
          <w:rtl/>
        </w:rPr>
        <w:t xml:space="preserve">להתייצב. </w:t>
      </w:r>
      <w:bookmarkStart w:id="41387" w:name="_ETM_Q77_618370"/>
      <w:bookmarkEnd w:id="41387"/>
      <w:r>
        <w:rPr>
          <w:rFonts w:hint="cs"/>
          <w:rtl/>
        </w:rPr>
        <w:t xml:space="preserve">הוויכוח </w:t>
      </w:r>
      <w:bookmarkStart w:id="41388" w:name="_ETM_Q77_619000"/>
      <w:bookmarkEnd w:id="41388"/>
      <w:r>
        <w:rPr>
          <w:rFonts w:hint="cs"/>
          <w:rtl/>
        </w:rPr>
        <w:t xml:space="preserve">הוא </w:t>
      </w:r>
      <w:bookmarkStart w:id="41389" w:name="_ETM_Q77_619060"/>
      <w:bookmarkEnd w:id="41389"/>
      <w:r>
        <w:rPr>
          <w:rFonts w:hint="cs"/>
          <w:rtl/>
        </w:rPr>
        <w:t xml:space="preserve">בין </w:t>
      </w:r>
      <w:bookmarkStart w:id="41390" w:name="_ETM_Q77_619239"/>
      <w:bookmarkEnd w:id="41390"/>
      <w:r>
        <w:rPr>
          <w:rFonts w:hint="cs"/>
          <w:rtl/>
        </w:rPr>
        <w:t xml:space="preserve">חברים </w:t>
      </w:r>
      <w:bookmarkStart w:id="41391" w:name="_ETM_Q77_620140"/>
      <w:bookmarkEnd w:id="41391"/>
      <w:r>
        <w:rPr>
          <w:rFonts w:hint="cs"/>
          <w:rtl/>
        </w:rPr>
        <w:t xml:space="preserve">ואולי </w:t>
      </w:r>
      <w:bookmarkStart w:id="41392" w:name="_ETM_Q77_620530"/>
      <w:bookmarkEnd w:id="41392"/>
      <w:r>
        <w:rPr>
          <w:rFonts w:hint="cs"/>
          <w:rtl/>
        </w:rPr>
        <w:t xml:space="preserve">כואב </w:t>
      </w:r>
      <w:bookmarkStart w:id="41393" w:name="_ETM_Q77_620980"/>
      <w:bookmarkEnd w:id="41393"/>
      <w:r>
        <w:rPr>
          <w:rFonts w:hint="cs"/>
          <w:rtl/>
        </w:rPr>
        <w:t xml:space="preserve">ורגיש </w:t>
      </w:r>
      <w:bookmarkStart w:id="41394" w:name="_ETM_Q77_621489"/>
      <w:bookmarkEnd w:id="41394"/>
      <w:r>
        <w:rPr>
          <w:rFonts w:hint="cs"/>
          <w:rtl/>
        </w:rPr>
        <w:t xml:space="preserve">יותר, </w:t>
      </w:r>
      <w:bookmarkStart w:id="41395" w:name="_ETM_Q77_622209"/>
      <w:bookmarkEnd w:id="41395"/>
      <w:r>
        <w:rPr>
          <w:rFonts w:hint="cs"/>
          <w:rtl/>
        </w:rPr>
        <w:t xml:space="preserve">אבל </w:t>
      </w:r>
      <w:bookmarkStart w:id="41396" w:name="_ETM_Q77_622450"/>
      <w:bookmarkEnd w:id="41396"/>
      <w:r>
        <w:rPr>
          <w:rFonts w:hint="cs"/>
          <w:rtl/>
        </w:rPr>
        <w:t xml:space="preserve">הוא </w:t>
      </w:r>
      <w:bookmarkStart w:id="41397" w:name="_ETM_Q77_622540"/>
      <w:bookmarkEnd w:id="41397"/>
      <w:r>
        <w:rPr>
          <w:rFonts w:hint="cs"/>
          <w:rtl/>
        </w:rPr>
        <w:t xml:space="preserve">לפחות </w:t>
      </w:r>
      <w:bookmarkStart w:id="41398" w:name="_ETM_Q77_622989"/>
      <w:bookmarkEnd w:id="41398"/>
      <w:r>
        <w:rPr>
          <w:rFonts w:hint="cs"/>
          <w:rtl/>
        </w:rPr>
        <w:t xml:space="preserve">מתנהל </w:t>
      </w:r>
      <w:bookmarkStart w:id="41399" w:name="_ETM_Q77_624020"/>
      <w:bookmarkEnd w:id="41399"/>
      <w:r>
        <w:rPr>
          <w:rFonts w:hint="cs"/>
          <w:rtl/>
        </w:rPr>
        <w:t xml:space="preserve">בין </w:t>
      </w:r>
      <w:bookmarkStart w:id="41400" w:name="_ETM_Q77_624260"/>
      <w:bookmarkEnd w:id="41400"/>
      <w:r>
        <w:rPr>
          <w:rFonts w:hint="cs"/>
          <w:rtl/>
        </w:rPr>
        <w:t xml:space="preserve">מי </w:t>
      </w:r>
      <w:bookmarkStart w:id="41401" w:name="_ETM_Q77_624380"/>
      <w:bookmarkEnd w:id="41401"/>
      <w:r>
        <w:rPr>
          <w:rFonts w:hint="cs"/>
          <w:rtl/>
        </w:rPr>
        <w:t xml:space="preserve">שבחרו </w:t>
      </w:r>
      <w:bookmarkStart w:id="41402" w:name="_ETM_Q77_624830"/>
      <w:bookmarkEnd w:id="41402"/>
      <w:r>
        <w:rPr>
          <w:rFonts w:hint="cs"/>
          <w:rtl/>
        </w:rPr>
        <w:t xml:space="preserve">בחיים </w:t>
      </w:r>
      <w:bookmarkStart w:id="41403" w:name="_ETM_Q77_625730"/>
      <w:bookmarkEnd w:id="41403"/>
      <w:r>
        <w:rPr>
          <w:rFonts w:hint="cs"/>
          <w:rtl/>
        </w:rPr>
        <w:t xml:space="preserve">של </w:t>
      </w:r>
      <w:bookmarkStart w:id="41404" w:name="_ETM_Q77_625970"/>
      <w:bookmarkEnd w:id="41404"/>
      <w:r>
        <w:rPr>
          <w:rFonts w:hint="cs"/>
          <w:rtl/>
        </w:rPr>
        <w:t xml:space="preserve">שירות </w:t>
      </w:r>
      <w:bookmarkStart w:id="41405" w:name="_ETM_Q77_626390"/>
      <w:bookmarkEnd w:id="41405"/>
      <w:r>
        <w:rPr>
          <w:rFonts w:hint="cs"/>
          <w:rtl/>
        </w:rPr>
        <w:t xml:space="preserve">בסדיר </w:t>
      </w:r>
      <w:bookmarkStart w:id="41406" w:name="_ETM_Q77_626990"/>
      <w:bookmarkEnd w:id="41406"/>
      <w:r>
        <w:rPr>
          <w:rFonts w:hint="cs"/>
          <w:rtl/>
        </w:rPr>
        <w:t xml:space="preserve">ובמילואים </w:t>
      </w:r>
      <w:bookmarkStart w:id="41407" w:name="_ETM_Q77_627680"/>
      <w:bookmarkEnd w:id="41407"/>
      <w:r>
        <w:rPr>
          <w:rFonts w:hint="cs"/>
          <w:rtl/>
        </w:rPr>
        <w:t xml:space="preserve">למען </w:t>
      </w:r>
      <w:bookmarkStart w:id="41408" w:name="_ETM_Q77_628040"/>
      <w:bookmarkEnd w:id="41408"/>
      <w:r>
        <w:rPr>
          <w:rFonts w:hint="cs"/>
          <w:rtl/>
        </w:rPr>
        <w:t xml:space="preserve">הגנת </w:t>
      </w:r>
      <w:bookmarkStart w:id="41409" w:name="_ETM_Q77_628430"/>
      <w:bookmarkEnd w:id="41409"/>
      <w:r>
        <w:rPr>
          <w:rFonts w:hint="cs"/>
          <w:rtl/>
        </w:rPr>
        <w:t xml:space="preserve">המולדת. </w:t>
      </w:r>
      <w:bookmarkStart w:id="41410" w:name="_ETM_Q77_629540"/>
      <w:bookmarkEnd w:id="41410"/>
      <w:r>
        <w:rPr>
          <w:rFonts w:hint="cs"/>
          <w:rtl/>
        </w:rPr>
        <w:t xml:space="preserve">אבל </w:t>
      </w:r>
      <w:bookmarkStart w:id="41411" w:name="_ETM_Q77_629780"/>
      <w:bookmarkEnd w:id="41411"/>
      <w:r>
        <w:rPr>
          <w:rFonts w:hint="cs"/>
          <w:rtl/>
        </w:rPr>
        <w:t xml:space="preserve">באמת, </w:t>
      </w:r>
      <w:bookmarkStart w:id="41412" w:name="_ETM_Q77_630599"/>
      <w:bookmarkEnd w:id="41412"/>
      <w:r>
        <w:rPr>
          <w:rFonts w:hint="cs"/>
          <w:rtl/>
        </w:rPr>
        <w:t xml:space="preserve">מי </w:t>
      </w:r>
      <w:bookmarkStart w:id="41413" w:name="_ETM_Q77_630900"/>
      <w:bookmarkEnd w:id="41413"/>
      <w:r>
        <w:rPr>
          <w:rFonts w:hint="cs"/>
          <w:rtl/>
        </w:rPr>
        <w:t xml:space="preserve">שלא </w:t>
      </w:r>
      <w:bookmarkStart w:id="41414" w:name="_ETM_Q77_631140"/>
      <w:bookmarkEnd w:id="41414"/>
      <w:r>
        <w:rPr>
          <w:rFonts w:hint="cs"/>
          <w:rtl/>
        </w:rPr>
        <w:t xml:space="preserve">שירת, </w:t>
      </w:r>
      <w:bookmarkStart w:id="41415" w:name="_ETM_Q77_632220"/>
      <w:bookmarkEnd w:id="41415"/>
      <w:r>
        <w:rPr>
          <w:rFonts w:hint="cs"/>
          <w:rtl/>
        </w:rPr>
        <w:t xml:space="preserve">מי </w:t>
      </w:r>
      <w:bookmarkStart w:id="41416" w:name="_ETM_Q77_632400"/>
      <w:bookmarkEnd w:id="41416"/>
      <w:r>
        <w:rPr>
          <w:rFonts w:hint="cs"/>
          <w:rtl/>
        </w:rPr>
        <w:t xml:space="preserve">שלא </w:t>
      </w:r>
      <w:bookmarkStart w:id="41417" w:name="_ETM_Q77_632640"/>
      <w:bookmarkEnd w:id="41417"/>
      <w:r>
        <w:rPr>
          <w:rFonts w:hint="cs"/>
          <w:rtl/>
        </w:rPr>
        <w:t xml:space="preserve">עשה </w:t>
      </w:r>
      <w:bookmarkStart w:id="41418" w:name="_ETM_Q77_632909"/>
      <w:bookmarkEnd w:id="41418"/>
      <w:r>
        <w:rPr>
          <w:rFonts w:hint="cs"/>
          <w:rtl/>
        </w:rPr>
        <w:t xml:space="preserve">מילואים, </w:t>
      </w:r>
      <w:bookmarkStart w:id="41419" w:name="_ETM_Q77_633920"/>
      <w:bookmarkEnd w:id="41419"/>
      <w:r>
        <w:rPr>
          <w:rFonts w:hint="cs"/>
          <w:rtl/>
        </w:rPr>
        <w:t xml:space="preserve">שמכשיר </w:t>
      </w:r>
      <w:bookmarkStart w:id="41420" w:name="_ETM_Q77_634519"/>
      <w:bookmarkEnd w:id="41420"/>
      <w:r>
        <w:rPr>
          <w:rFonts w:hint="cs"/>
          <w:rtl/>
        </w:rPr>
        <w:t xml:space="preserve">השתמטות </w:t>
      </w:r>
      <w:bookmarkStart w:id="41421" w:name="_ETM_Q77_635090"/>
      <w:bookmarkEnd w:id="41421"/>
      <w:r>
        <w:rPr>
          <w:rFonts w:hint="cs"/>
          <w:rtl/>
        </w:rPr>
        <w:t xml:space="preserve">המונית </w:t>
      </w:r>
      <w:bookmarkStart w:id="41422" w:name="_ETM_Q77_635510"/>
      <w:bookmarkEnd w:id="41422"/>
      <w:r>
        <w:rPr>
          <w:rFonts w:hint="cs"/>
          <w:rtl/>
        </w:rPr>
        <w:t xml:space="preserve">בחוק, </w:t>
      </w:r>
      <w:bookmarkStart w:id="41423" w:name="_ETM_Q77_636490"/>
      <w:bookmarkEnd w:id="41423"/>
      <w:r>
        <w:rPr>
          <w:rFonts w:hint="cs"/>
          <w:rtl/>
        </w:rPr>
        <w:t xml:space="preserve">שלפחות </w:t>
      </w:r>
      <w:bookmarkStart w:id="41424" w:name="_ETM_Q77_637180"/>
      <w:bookmarkEnd w:id="41424"/>
      <w:r>
        <w:rPr>
          <w:rFonts w:hint="cs"/>
          <w:rtl/>
        </w:rPr>
        <w:t xml:space="preserve">בימים </w:t>
      </w:r>
      <w:bookmarkStart w:id="41425" w:name="_ETM_Q77_637570"/>
      <w:bookmarkEnd w:id="41425"/>
      <w:r>
        <w:rPr>
          <w:rFonts w:hint="cs"/>
          <w:rtl/>
        </w:rPr>
        <w:t xml:space="preserve">האלה </w:t>
      </w:r>
      <w:bookmarkStart w:id="41426" w:name="_ETM_Q77_638440"/>
      <w:bookmarkEnd w:id="41426"/>
      <w:r>
        <w:rPr>
          <w:rFonts w:hint="cs"/>
          <w:rtl/>
        </w:rPr>
        <w:t xml:space="preserve">יזוז </w:t>
      </w:r>
      <w:bookmarkStart w:id="41427" w:name="_ETM_Q77_638890"/>
      <w:bookmarkEnd w:id="41427"/>
      <w:r>
        <w:rPr>
          <w:rFonts w:hint="cs"/>
          <w:rtl/>
        </w:rPr>
        <w:t xml:space="preserve">מעט הצידה, יסכור </w:t>
      </w:r>
      <w:bookmarkStart w:id="41428" w:name="_ETM_Q77_640650"/>
      <w:bookmarkEnd w:id="41428"/>
      <w:r>
        <w:rPr>
          <w:rFonts w:hint="cs"/>
          <w:rtl/>
        </w:rPr>
        <w:t xml:space="preserve">את </w:t>
      </w:r>
      <w:bookmarkStart w:id="41429" w:name="_ETM_Q77_640769"/>
      <w:bookmarkEnd w:id="41429"/>
      <w:r>
        <w:rPr>
          <w:rFonts w:hint="cs"/>
          <w:rtl/>
        </w:rPr>
        <w:t xml:space="preserve">פיו, </w:t>
      </w:r>
      <w:bookmarkStart w:id="41430" w:name="_ETM_Q77_641870"/>
      <w:bookmarkEnd w:id="41430"/>
      <w:r>
        <w:rPr>
          <w:rFonts w:hint="cs"/>
          <w:rtl/>
        </w:rPr>
        <w:t xml:space="preserve">מעט </w:t>
      </w:r>
      <w:bookmarkStart w:id="41431" w:name="_ETM_Q77_642170"/>
      <w:bookmarkEnd w:id="41431"/>
      <w:r>
        <w:rPr>
          <w:rFonts w:hint="cs"/>
          <w:rtl/>
        </w:rPr>
        <w:t xml:space="preserve">צניעות </w:t>
      </w:r>
      <w:bookmarkStart w:id="41432" w:name="_ETM_Q77_643069"/>
      <w:bookmarkEnd w:id="41432"/>
      <w:r>
        <w:rPr>
          <w:rFonts w:hint="cs"/>
          <w:rtl/>
        </w:rPr>
        <w:t xml:space="preserve">לא </w:t>
      </w:r>
      <w:bookmarkStart w:id="41433" w:name="_ETM_Q77_643249"/>
      <w:bookmarkEnd w:id="41433"/>
      <w:r>
        <w:rPr>
          <w:rFonts w:hint="cs"/>
          <w:rtl/>
        </w:rPr>
        <w:t xml:space="preserve">תזיק </w:t>
      </w:r>
      <w:bookmarkStart w:id="41434" w:name="_ETM_Q77_643609"/>
      <w:bookmarkEnd w:id="41434"/>
      <w:r>
        <w:rPr>
          <w:rFonts w:hint="cs"/>
          <w:rtl/>
        </w:rPr>
        <w:t>להם.</w:t>
      </w:r>
    </w:p>
    <w:p w:rsidR="00BB59CD" w:rsidRDefault="00BB59CD" w:rsidP="00BB59CD">
      <w:pPr>
        <w:rPr>
          <w:rtl/>
        </w:rPr>
      </w:pPr>
      <w:bookmarkStart w:id="41435" w:name="_ETM_Q77_646000"/>
      <w:bookmarkEnd w:id="41435"/>
    </w:p>
    <w:p w:rsidR="00BB59CD" w:rsidRDefault="00BB59CD" w:rsidP="00E367B5">
      <w:pPr>
        <w:rPr>
          <w:rtl/>
        </w:rPr>
      </w:pPr>
      <w:r>
        <w:rPr>
          <w:rFonts w:hint="cs"/>
          <w:rtl/>
        </w:rPr>
        <w:t xml:space="preserve"> </w:t>
      </w:r>
      <w:bookmarkStart w:id="41436" w:name="_ETM_Q77_644680"/>
      <w:bookmarkEnd w:id="41436"/>
      <w:r>
        <w:rPr>
          <w:rFonts w:hint="cs"/>
          <w:rtl/>
        </w:rPr>
        <w:t xml:space="preserve">ואחרי </w:t>
      </w:r>
      <w:bookmarkStart w:id="41437" w:name="_ETM_Q77_645190"/>
      <w:bookmarkEnd w:id="41437"/>
      <w:r>
        <w:rPr>
          <w:rFonts w:hint="cs"/>
          <w:rtl/>
        </w:rPr>
        <w:t xml:space="preserve">כל </w:t>
      </w:r>
      <w:bookmarkStart w:id="41438" w:name="_ETM_Q77_645400"/>
      <w:bookmarkEnd w:id="41438"/>
      <w:r>
        <w:rPr>
          <w:rFonts w:hint="cs"/>
          <w:rtl/>
        </w:rPr>
        <w:t xml:space="preserve">זה, </w:t>
      </w:r>
      <w:bookmarkStart w:id="41439" w:name="_ETM_Q77_645819"/>
      <w:bookmarkEnd w:id="41439"/>
      <w:r>
        <w:rPr>
          <w:rFonts w:hint="cs"/>
          <w:rtl/>
        </w:rPr>
        <w:t xml:space="preserve">ואחרי </w:t>
      </w:r>
      <w:bookmarkStart w:id="41440" w:name="_ETM_Q77_646360"/>
      <w:bookmarkEnd w:id="41440"/>
      <w:r>
        <w:rPr>
          <w:rFonts w:hint="cs"/>
          <w:rtl/>
        </w:rPr>
        <w:t xml:space="preserve">כל </w:t>
      </w:r>
      <w:bookmarkStart w:id="41441" w:name="_ETM_Q77_646599"/>
      <w:bookmarkEnd w:id="41441"/>
      <w:r>
        <w:rPr>
          <w:rFonts w:hint="cs"/>
          <w:rtl/>
        </w:rPr>
        <w:t xml:space="preserve">הערכתי </w:t>
      </w:r>
      <w:bookmarkStart w:id="41442" w:name="_ETM_Q77_647409"/>
      <w:bookmarkEnd w:id="41442"/>
      <w:r>
        <w:rPr>
          <w:rFonts w:hint="cs"/>
          <w:rtl/>
        </w:rPr>
        <w:t xml:space="preserve">ואהבתי </w:t>
      </w:r>
      <w:bookmarkStart w:id="41443" w:name="_ETM_Q77_648489"/>
      <w:bookmarkEnd w:id="41443"/>
      <w:r>
        <w:rPr>
          <w:rFonts w:hint="cs"/>
          <w:rtl/>
        </w:rPr>
        <w:t xml:space="preserve">לאחיי </w:t>
      </w:r>
      <w:bookmarkStart w:id="41444" w:name="_ETM_Q77_649060"/>
      <w:bookmarkEnd w:id="41444"/>
      <w:r>
        <w:rPr>
          <w:rFonts w:hint="cs"/>
          <w:rtl/>
        </w:rPr>
        <w:t xml:space="preserve">שהודיעו </w:t>
      </w:r>
      <w:bookmarkStart w:id="41445" w:name="_ETM_Q77_649450"/>
      <w:bookmarkEnd w:id="41445"/>
      <w:r>
        <w:rPr>
          <w:rFonts w:hint="cs"/>
          <w:rtl/>
        </w:rPr>
        <w:t xml:space="preserve">שלא </w:t>
      </w:r>
      <w:bookmarkStart w:id="41446" w:name="_ETM_Q77_649690"/>
      <w:bookmarkEnd w:id="41446"/>
      <w:r>
        <w:rPr>
          <w:rFonts w:hint="cs"/>
          <w:rtl/>
        </w:rPr>
        <w:t xml:space="preserve">יתייצבו, </w:t>
      </w:r>
      <w:bookmarkStart w:id="41447" w:name="_ETM_Q77_650590"/>
      <w:bookmarkEnd w:id="41447"/>
      <w:r>
        <w:rPr>
          <w:rFonts w:hint="cs"/>
          <w:rtl/>
        </w:rPr>
        <w:t xml:space="preserve">אני </w:t>
      </w:r>
      <w:bookmarkStart w:id="41448" w:name="_ETM_Q77_650860"/>
      <w:bookmarkEnd w:id="41448"/>
      <w:r>
        <w:rPr>
          <w:rFonts w:hint="cs"/>
          <w:rtl/>
        </w:rPr>
        <w:t xml:space="preserve">חולק </w:t>
      </w:r>
      <w:bookmarkStart w:id="41449" w:name="_ETM_Q77_651250"/>
      <w:bookmarkEnd w:id="41449"/>
      <w:r>
        <w:rPr>
          <w:rFonts w:hint="cs"/>
          <w:rtl/>
        </w:rPr>
        <w:t xml:space="preserve">עליהם. </w:t>
      </w:r>
      <w:bookmarkStart w:id="41450" w:name="_ETM_Q77_652000"/>
      <w:bookmarkEnd w:id="41450"/>
      <w:r>
        <w:rPr>
          <w:rFonts w:hint="cs"/>
          <w:rtl/>
        </w:rPr>
        <w:t xml:space="preserve">כולם </w:t>
      </w:r>
      <w:bookmarkStart w:id="41451" w:name="_ETM_Q77_652540"/>
      <w:bookmarkEnd w:id="41451"/>
      <w:r>
        <w:rPr>
          <w:rFonts w:hint="cs"/>
          <w:rtl/>
        </w:rPr>
        <w:t xml:space="preserve">צריכים </w:t>
      </w:r>
      <w:bookmarkStart w:id="41452" w:name="_ETM_Q77_652989"/>
      <w:bookmarkEnd w:id="41452"/>
      <w:r>
        <w:rPr>
          <w:rFonts w:hint="cs"/>
          <w:rtl/>
        </w:rPr>
        <w:t xml:space="preserve">לשרת </w:t>
      </w:r>
      <w:bookmarkStart w:id="41453" w:name="_ETM_Q77_653860"/>
      <w:bookmarkEnd w:id="41453"/>
      <w:r>
        <w:rPr>
          <w:rFonts w:hint="cs"/>
          <w:rtl/>
        </w:rPr>
        <w:t xml:space="preserve">וכולם </w:t>
      </w:r>
      <w:bookmarkStart w:id="41454" w:name="_ETM_Q77_654459"/>
      <w:bookmarkEnd w:id="41454"/>
      <w:r>
        <w:rPr>
          <w:rFonts w:hint="cs"/>
          <w:rtl/>
        </w:rPr>
        <w:t xml:space="preserve">צריכים </w:t>
      </w:r>
      <w:bookmarkStart w:id="41455" w:name="_ETM_Q77_654790"/>
      <w:bookmarkEnd w:id="41455"/>
      <w:r>
        <w:rPr>
          <w:rFonts w:hint="cs"/>
          <w:rtl/>
        </w:rPr>
        <w:t xml:space="preserve">להתייצב </w:t>
      </w:r>
      <w:bookmarkStart w:id="41456" w:name="_ETM_Q77_655510"/>
      <w:bookmarkEnd w:id="41456"/>
      <w:r>
        <w:rPr>
          <w:rFonts w:hint="cs"/>
          <w:rtl/>
        </w:rPr>
        <w:t xml:space="preserve">כשצה"ל </w:t>
      </w:r>
      <w:bookmarkStart w:id="41457" w:name="_ETM_Q77_656049"/>
      <w:bookmarkEnd w:id="41457"/>
      <w:r>
        <w:rPr>
          <w:rFonts w:hint="cs"/>
          <w:rtl/>
        </w:rPr>
        <w:t xml:space="preserve">קורא </w:t>
      </w:r>
      <w:bookmarkStart w:id="41458" w:name="_ETM_Q77_656290"/>
      <w:bookmarkEnd w:id="41458"/>
      <w:r>
        <w:rPr>
          <w:rFonts w:hint="cs"/>
          <w:rtl/>
        </w:rPr>
        <w:t xml:space="preserve">להם. </w:t>
      </w:r>
      <w:bookmarkStart w:id="41459" w:name="_ETM_Q77_657000"/>
      <w:bookmarkEnd w:id="41459"/>
      <w:r>
        <w:rPr>
          <w:rFonts w:hint="cs"/>
          <w:rtl/>
        </w:rPr>
        <w:t xml:space="preserve">את </w:t>
      </w:r>
      <w:bookmarkStart w:id="41460" w:name="_ETM_Q77_657180"/>
      <w:bookmarkEnd w:id="41460"/>
      <w:r>
        <w:rPr>
          <w:rFonts w:hint="cs"/>
          <w:rtl/>
        </w:rPr>
        <w:t xml:space="preserve">הצבא </w:t>
      </w:r>
      <w:bookmarkStart w:id="41461" w:name="_ETM_Q77_657900"/>
      <w:bookmarkEnd w:id="41461"/>
      <w:r>
        <w:rPr>
          <w:rFonts w:hint="cs"/>
          <w:rtl/>
        </w:rPr>
        <w:t xml:space="preserve">אנחנו </w:t>
      </w:r>
      <w:bookmarkStart w:id="41462" w:name="_ETM_Q77_658290"/>
      <w:bookmarkEnd w:id="41462"/>
      <w:r>
        <w:rPr>
          <w:rFonts w:hint="cs"/>
          <w:rtl/>
        </w:rPr>
        <w:t xml:space="preserve">חייבים </w:t>
      </w:r>
      <w:bookmarkStart w:id="41463" w:name="_ETM_Q77_658980"/>
      <w:bookmarkEnd w:id="41463"/>
      <w:r>
        <w:rPr>
          <w:rFonts w:hint="cs"/>
          <w:rtl/>
        </w:rPr>
        <w:t xml:space="preserve">להותיר </w:t>
      </w:r>
      <w:bookmarkStart w:id="41464" w:name="_ETM_Q77_659490"/>
      <w:bookmarkEnd w:id="41464"/>
      <w:r>
        <w:rPr>
          <w:rFonts w:hint="cs"/>
          <w:rtl/>
        </w:rPr>
        <w:t xml:space="preserve">מחוץ </w:t>
      </w:r>
      <w:bookmarkStart w:id="41465" w:name="_ETM_Q77_659880"/>
      <w:bookmarkEnd w:id="41465"/>
      <w:r>
        <w:rPr>
          <w:rFonts w:hint="cs"/>
          <w:rtl/>
        </w:rPr>
        <w:t xml:space="preserve">לוויכוח. </w:t>
      </w:r>
      <w:bookmarkStart w:id="41466" w:name="_ETM_Q77_661109"/>
      <w:bookmarkEnd w:id="41466"/>
      <w:r>
        <w:rPr>
          <w:rFonts w:hint="cs"/>
          <w:rtl/>
        </w:rPr>
        <w:t xml:space="preserve">יש </w:t>
      </w:r>
      <w:bookmarkStart w:id="41467" w:name="_ETM_Q77_661319"/>
      <w:bookmarkEnd w:id="41467"/>
      <w:r>
        <w:rPr>
          <w:rFonts w:hint="cs"/>
          <w:rtl/>
        </w:rPr>
        <w:t xml:space="preserve">בי </w:t>
      </w:r>
      <w:bookmarkStart w:id="41468" w:name="_ETM_Q77_661500"/>
      <w:bookmarkEnd w:id="41468"/>
      <w:r>
        <w:rPr>
          <w:rFonts w:hint="cs"/>
          <w:rtl/>
        </w:rPr>
        <w:t xml:space="preserve">עצב </w:t>
      </w:r>
      <w:bookmarkStart w:id="41469" w:name="_ETM_Q77_661799"/>
      <w:bookmarkEnd w:id="41469"/>
      <w:r>
        <w:rPr>
          <w:rFonts w:hint="cs"/>
          <w:rtl/>
        </w:rPr>
        <w:t xml:space="preserve">עמוק </w:t>
      </w:r>
      <w:bookmarkStart w:id="41470" w:name="_ETM_Q77_662560"/>
      <w:bookmarkEnd w:id="41470"/>
      <w:r>
        <w:rPr>
          <w:rFonts w:hint="cs"/>
          <w:rtl/>
        </w:rPr>
        <w:t xml:space="preserve">על </w:t>
      </w:r>
      <w:bookmarkStart w:id="41471" w:name="_ETM_Q77_662739"/>
      <w:bookmarkEnd w:id="41471"/>
      <w:r>
        <w:rPr>
          <w:rFonts w:hint="cs"/>
          <w:rtl/>
        </w:rPr>
        <w:t xml:space="preserve">השבר </w:t>
      </w:r>
      <w:bookmarkStart w:id="41472" w:name="_ETM_Q77_663279"/>
      <w:bookmarkEnd w:id="41472"/>
      <w:r>
        <w:rPr>
          <w:rFonts w:hint="cs"/>
          <w:rtl/>
        </w:rPr>
        <w:t xml:space="preserve">העמוק </w:t>
      </w:r>
      <w:bookmarkStart w:id="41473" w:name="_ETM_Q77_664090"/>
      <w:bookmarkEnd w:id="41473"/>
      <w:r>
        <w:rPr>
          <w:rFonts w:hint="cs"/>
          <w:rtl/>
        </w:rPr>
        <w:t xml:space="preserve">והפגיעה </w:t>
      </w:r>
      <w:bookmarkStart w:id="41474" w:name="_ETM_Q77_664659"/>
      <w:bookmarkEnd w:id="41474"/>
      <w:r>
        <w:rPr>
          <w:rFonts w:hint="cs"/>
          <w:rtl/>
        </w:rPr>
        <w:t xml:space="preserve">בביטחון </w:t>
      </w:r>
      <w:bookmarkStart w:id="41475" w:name="_ETM_Q77_665139"/>
      <w:bookmarkEnd w:id="41475"/>
      <w:r>
        <w:rPr>
          <w:rFonts w:hint="cs"/>
          <w:rtl/>
        </w:rPr>
        <w:t xml:space="preserve">המדינה, </w:t>
      </w:r>
      <w:bookmarkStart w:id="41476" w:name="_ETM_Q77_666049"/>
      <w:bookmarkEnd w:id="41476"/>
      <w:r>
        <w:rPr>
          <w:rFonts w:hint="cs"/>
          <w:rtl/>
        </w:rPr>
        <w:t xml:space="preserve">אך </w:t>
      </w:r>
      <w:bookmarkStart w:id="41477" w:name="_ETM_Q77_666230"/>
      <w:bookmarkEnd w:id="41477"/>
      <w:r>
        <w:rPr>
          <w:rFonts w:hint="cs"/>
          <w:rtl/>
        </w:rPr>
        <w:t xml:space="preserve">לרגע </w:t>
      </w:r>
      <w:bookmarkStart w:id="41478" w:name="_ETM_Q77_666709"/>
      <w:bookmarkEnd w:id="41478"/>
      <w:r>
        <w:rPr>
          <w:rFonts w:hint="cs"/>
          <w:rtl/>
        </w:rPr>
        <w:t xml:space="preserve">אני </w:t>
      </w:r>
      <w:bookmarkStart w:id="41479" w:name="_ETM_Q77_666859"/>
      <w:bookmarkEnd w:id="41479"/>
      <w:r>
        <w:rPr>
          <w:rFonts w:hint="cs"/>
          <w:rtl/>
        </w:rPr>
        <w:t xml:space="preserve">לא </w:t>
      </w:r>
      <w:bookmarkStart w:id="41480" w:name="_ETM_Q77_666980"/>
      <w:bookmarkEnd w:id="41480"/>
      <w:r>
        <w:rPr>
          <w:rFonts w:hint="cs"/>
          <w:rtl/>
        </w:rPr>
        <w:t xml:space="preserve">שוכח </w:t>
      </w:r>
      <w:bookmarkStart w:id="41481" w:name="_ETM_Q77_667999"/>
      <w:bookmarkEnd w:id="41481"/>
      <w:r>
        <w:rPr>
          <w:rFonts w:hint="cs"/>
          <w:rtl/>
        </w:rPr>
        <w:t xml:space="preserve">שהאחראי </w:t>
      </w:r>
      <w:bookmarkStart w:id="41482" w:name="_ETM_Q77_668659"/>
      <w:bookmarkEnd w:id="41482"/>
      <w:r>
        <w:rPr>
          <w:rFonts w:hint="cs"/>
          <w:rtl/>
        </w:rPr>
        <w:t xml:space="preserve">העליון </w:t>
      </w:r>
      <w:bookmarkStart w:id="41483" w:name="_ETM_Q77_669469"/>
      <w:bookmarkEnd w:id="41483"/>
      <w:r>
        <w:rPr>
          <w:rFonts w:hint="cs"/>
          <w:rtl/>
        </w:rPr>
        <w:t xml:space="preserve">הוא </w:t>
      </w:r>
      <w:bookmarkStart w:id="41484" w:name="_ETM_Q77_669560"/>
      <w:bookmarkEnd w:id="41484"/>
      <w:r>
        <w:rPr>
          <w:rFonts w:hint="cs"/>
          <w:rtl/>
        </w:rPr>
        <w:t xml:space="preserve">נתניהו. </w:t>
      </w:r>
      <w:bookmarkStart w:id="41485" w:name="_ETM_Q77_670739"/>
      <w:bookmarkEnd w:id="41485"/>
      <w:r>
        <w:rPr>
          <w:rFonts w:hint="cs"/>
          <w:rtl/>
        </w:rPr>
        <w:t xml:space="preserve">הוא </w:t>
      </w:r>
      <w:bookmarkStart w:id="41486" w:name="_ETM_Q77_670889"/>
      <w:bookmarkEnd w:id="41486"/>
      <w:r>
        <w:rPr>
          <w:rFonts w:hint="cs"/>
          <w:rtl/>
        </w:rPr>
        <w:t xml:space="preserve">עומד </w:t>
      </w:r>
      <w:bookmarkStart w:id="41487" w:name="_ETM_Q77_671129"/>
      <w:bookmarkEnd w:id="41487"/>
      <w:r>
        <w:rPr>
          <w:rFonts w:hint="cs"/>
          <w:rtl/>
        </w:rPr>
        <w:t xml:space="preserve">בראש </w:t>
      </w:r>
      <w:bookmarkStart w:id="41488" w:name="_ETM_Q77_671459"/>
      <w:bookmarkEnd w:id="41488"/>
      <w:r>
        <w:rPr>
          <w:rFonts w:hint="cs"/>
          <w:rtl/>
        </w:rPr>
        <w:t xml:space="preserve">המדינה, </w:t>
      </w:r>
      <w:bookmarkStart w:id="41489" w:name="_ETM_Q77_672120"/>
      <w:bookmarkEnd w:id="41489"/>
      <w:r>
        <w:rPr>
          <w:rFonts w:hint="cs"/>
          <w:rtl/>
        </w:rPr>
        <w:t>ו</w:t>
      </w:r>
      <w:bookmarkStart w:id="41490" w:name="_ETM_Q77_672299"/>
      <w:bookmarkEnd w:id="41490"/>
      <w:r>
        <w:rPr>
          <w:rFonts w:hint="cs"/>
          <w:rtl/>
        </w:rPr>
        <w:t xml:space="preserve">משכך </w:t>
      </w:r>
      <w:bookmarkStart w:id="41491" w:name="_ETM_Q77_673219"/>
      <w:bookmarkEnd w:id="41491"/>
      <w:r>
        <w:rPr>
          <w:rFonts w:hint="cs"/>
          <w:rtl/>
        </w:rPr>
        <w:t xml:space="preserve">האחריות </w:t>
      </w:r>
      <w:bookmarkStart w:id="41492" w:name="_ETM_Q77_673849"/>
      <w:bookmarkEnd w:id="41492"/>
      <w:r>
        <w:rPr>
          <w:rFonts w:hint="cs"/>
          <w:rtl/>
        </w:rPr>
        <w:t xml:space="preserve">העליונה </w:t>
      </w:r>
      <w:bookmarkStart w:id="41493" w:name="_ETM_Q77_674419"/>
      <w:bookmarkEnd w:id="41493"/>
      <w:r>
        <w:rPr>
          <w:rFonts w:hint="cs"/>
          <w:rtl/>
        </w:rPr>
        <w:t xml:space="preserve">מוטלת </w:t>
      </w:r>
      <w:bookmarkStart w:id="41494" w:name="_ETM_Q77_674959"/>
      <w:bookmarkEnd w:id="41494"/>
      <w:r>
        <w:rPr>
          <w:rFonts w:hint="cs"/>
          <w:rtl/>
        </w:rPr>
        <w:t xml:space="preserve">עליו. </w:t>
      </w:r>
      <w:bookmarkStart w:id="41495" w:name="_ETM_Q77_675840"/>
      <w:bookmarkEnd w:id="41495"/>
      <w:r>
        <w:rPr>
          <w:rFonts w:hint="cs"/>
          <w:rtl/>
        </w:rPr>
        <w:t xml:space="preserve">רק </w:t>
      </w:r>
      <w:bookmarkStart w:id="41496" w:name="_ETM_Q77_676230"/>
      <w:bookmarkEnd w:id="41496"/>
      <w:r>
        <w:rPr>
          <w:rFonts w:hint="cs"/>
          <w:rtl/>
        </w:rPr>
        <w:t xml:space="preserve">הוא </w:t>
      </w:r>
      <w:bookmarkStart w:id="41497" w:name="_ETM_Q77_676680"/>
      <w:bookmarkEnd w:id="41497"/>
      <w:r>
        <w:rPr>
          <w:rFonts w:hint="cs"/>
          <w:rtl/>
        </w:rPr>
        <w:t xml:space="preserve">יודע </w:t>
      </w:r>
      <w:bookmarkStart w:id="41498" w:name="_ETM_Q77_677370"/>
      <w:bookmarkEnd w:id="41498"/>
      <w:r>
        <w:rPr>
          <w:rFonts w:hint="cs"/>
          <w:rtl/>
        </w:rPr>
        <w:t xml:space="preserve">מדוע </w:t>
      </w:r>
      <w:bookmarkStart w:id="41499" w:name="_ETM_Q77_677730"/>
      <w:bookmarkEnd w:id="41499"/>
      <w:r>
        <w:rPr>
          <w:rFonts w:hint="cs"/>
          <w:rtl/>
        </w:rPr>
        <w:t xml:space="preserve">שוב </w:t>
      </w:r>
      <w:bookmarkStart w:id="41500" w:name="_ETM_Q77_678120"/>
      <w:bookmarkEnd w:id="41500"/>
      <w:r>
        <w:rPr>
          <w:rFonts w:hint="cs"/>
          <w:rtl/>
        </w:rPr>
        <w:t xml:space="preserve">הוא </w:t>
      </w:r>
      <w:bookmarkStart w:id="41501" w:name="_ETM_Q77_678180"/>
      <w:bookmarkEnd w:id="41501"/>
      <w:r>
        <w:rPr>
          <w:rFonts w:hint="cs"/>
          <w:rtl/>
        </w:rPr>
        <w:t xml:space="preserve">בחר </w:t>
      </w:r>
      <w:bookmarkStart w:id="41502" w:name="_ETM_Q77_678540"/>
      <w:bookmarkEnd w:id="41502"/>
      <w:r>
        <w:rPr>
          <w:rFonts w:hint="cs"/>
          <w:rtl/>
        </w:rPr>
        <w:t xml:space="preserve">בחקיקה </w:t>
      </w:r>
      <w:bookmarkStart w:id="41503" w:name="_ETM_Q77_679050"/>
      <w:bookmarkEnd w:id="41503"/>
      <w:r>
        <w:rPr>
          <w:rFonts w:hint="cs"/>
          <w:rtl/>
        </w:rPr>
        <w:t>חד</w:t>
      </w:r>
      <w:bookmarkStart w:id="41504" w:name="_ETM_Q77_679290"/>
      <w:bookmarkEnd w:id="41504"/>
      <w:r>
        <w:rPr>
          <w:rFonts w:hint="cs"/>
          <w:rtl/>
        </w:rPr>
        <w:t xml:space="preserve">-צדדית, </w:t>
      </w:r>
      <w:bookmarkStart w:id="41505" w:name="_ETM_Q77_680160"/>
      <w:bookmarkEnd w:id="41505"/>
      <w:r>
        <w:rPr>
          <w:rFonts w:hint="cs"/>
          <w:rtl/>
        </w:rPr>
        <w:t xml:space="preserve">כאילו </w:t>
      </w:r>
      <w:bookmarkStart w:id="41506" w:name="_ETM_Q77_680519"/>
      <w:bookmarkEnd w:id="41506"/>
      <w:r>
        <w:rPr>
          <w:rFonts w:hint="cs"/>
          <w:rtl/>
        </w:rPr>
        <w:t>לפני</w:t>
      </w:r>
      <w:bookmarkStart w:id="41507" w:name="_ETM_Q77_680879"/>
      <w:bookmarkEnd w:id="41507"/>
      <w:r>
        <w:rPr>
          <w:rFonts w:hint="cs"/>
          <w:rtl/>
        </w:rPr>
        <w:t xml:space="preserve"> שלושה </w:t>
      </w:r>
      <w:bookmarkStart w:id="41508" w:name="_ETM_Q77_681239"/>
      <w:bookmarkEnd w:id="41508"/>
      <w:r>
        <w:rPr>
          <w:rFonts w:hint="cs"/>
          <w:rtl/>
        </w:rPr>
        <w:t xml:space="preserve">חודשים </w:t>
      </w:r>
      <w:bookmarkStart w:id="41509" w:name="_ETM_Q77_682140"/>
      <w:bookmarkEnd w:id="41509"/>
      <w:r>
        <w:rPr>
          <w:rFonts w:hint="cs"/>
          <w:rtl/>
        </w:rPr>
        <w:t xml:space="preserve">לא </w:t>
      </w:r>
      <w:bookmarkStart w:id="41510" w:name="_ETM_Q77_682319"/>
      <w:bookmarkEnd w:id="41510"/>
      <w:r>
        <w:rPr>
          <w:rFonts w:hint="cs"/>
          <w:rtl/>
        </w:rPr>
        <w:t xml:space="preserve">נתקלנו </w:t>
      </w:r>
      <w:bookmarkStart w:id="41511" w:name="_ETM_Q77_682769"/>
      <w:bookmarkEnd w:id="41511"/>
      <w:r>
        <w:rPr>
          <w:rFonts w:hint="cs"/>
          <w:rtl/>
        </w:rPr>
        <w:t xml:space="preserve">באותו </w:t>
      </w:r>
      <w:bookmarkStart w:id="41512" w:name="_ETM_Q77_683099"/>
      <w:bookmarkEnd w:id="41512"/>
      <w:r>
        <w:rPr>
          <w:rFonts w:hint="cs"/>
          <w:rtl/>
        </w:rPr>
        <w:t xml:space="preserve">קיר. </w:t>
      </w:r>
      <w:bookmarkStart w:id="41513" w:name="_ETM_Q77_683859"/>
      <w:bookmarkEnd w:id="41513"/>
      <w:r>
        <w:rPr>
          <w:rFonts w:hint="cs"/>
          <w:rtl/>
        </w:rPr>
        <w:t xml:space="preserve">רק </w:t>
      </w:r>
      <w:bookmarkStart w:id="41514" w:name="_ETM_Q77_684129"/>
      <w:bookmarkEnd w:id="41514"/>
      <w:r>
        <w:rPr>
          <w:rFonts w:hint="cs"/>
          <w:rtl/>
        </w:rPr>
        <w:t xml:space="preserve">הוא </w:t>
      </w:r>
      <w:bookmarkStart w:id="41515" w:name="_ETM_Q77_684219"/>
      <w:bookmarkEnd w:id="41515"/>
      <w:r>
        <w:rPr>
          <w:rFonts w:hint="cs"/>
          <w:rtl/>
        </w:rPr>
        <w:t xml:space="preserve">מבין </w:t>
      </w:r>
      <w:bookmarkStart w:id="41516" w:name="_ETM_Q77_684609"/>
      <w:bookmarkEnd w:id="41516"/>
      <w:r>
        <w:rPr>
          <w:rFonts w:hint="cs"/>
          <w:rtl/>
        </w:rPr>
        <w:t xml:space="preserve">מדוע </w:t>
      </w:r>
      <w:bookmarkStart w:id="41517" w:name="_ETM_Q77_684969"/>
      <w:bookmarkEnd w:id="41517"/>
      <w:r>
        <w:rPr>
          <w:rFonts w:hint="cs"/>
          <w:rtl/>
        </w:rPr>
        <w:t xml:space="preserve">הוא </w:t>
      </w:r>
      <w:bookmarkStart w:id="41518" w:name="_ETM_Q77_685089"/>
      <w:bookmarkEnd w:id="41518"/>
      <w:r>
        <w:rPr>
          <w:rFonts w:hint="cs"/>
          <w:rtl/>
        </w:rPr>
        <w:t xml:space="preserve">אפשר </w:t>
      </w:r>
      <w:bookmarkStart w:id="41519" w:name="_ETM_Q77_685449"/>
      <w:bookmarkEnd w:id="41519"/>
      <w:r>
        <w:rPr>
          <w:rFonts w:hint="cs"/>
          <w:rtl/>
        </w:rPr>
        <w:t xml:space="preserve">לשמחה </w:t>
      </w:r>
      <w:bookmarkStart w:id="41520" w:name="_ETM_Q77_685930"/>
      <w:bookmarkEnd w:id="41520"/>
      <w:r>
        <w:rPr>
          <w:rFonts w:hint="cs"/>
          <w:rtl/>
        </w:rPr>
        <w:t xml:space="preserve">רוטמן </w:t>
      </w:r>
      <w:bookmarkStart w:id="41521" w:name="_ETM_Q77_686799"/>
      <w:bookmarkEnd w:id="41521"/>
      <w:r>
        <w:rPr>
          <w:rFonts w:hint="cs"/>
          <w:rtl/>
        </w:rPr>
        <w:t xml:space="preserve">להוביל </w:t>
      </w:r>
      <w:bookmarkStart w:id="41522" w:name="_ETM_Q77_687219"/>
      <w:bookmarkEnd w:id="41522"/>
      <w:r>
        <w:rPr>
          <w:rFonts w:hint="cs"/>
          <w:rtl/>
        </w:rPr>
        <w:t xml:space="preserve">את </w:t>
      </w:r>
      <w:bookmarkStart w:id="41523" w:name="_ETM_Q77_687339"/>
      <w:bookmarkEnd w:id="41523"/>
      <w:r>
        <w:rPr>
          <w:rFonts w:hint="cs"/>
          <w:rtl/>
        </w:rPr>
        <w:t xml:space="preserve">הנוסח </w:t>
      </w:r>
      <w:bookmarkStart w:id="41524" w:name="_ETM_Q77_687760"/>
      <w:bookmarkEnd w:id="41524"/>
      <w:r>
        <w:rPr>
          <w:rFonts w:hint="cs"/>
          <w:rtl/>
        </w:rPr>
        <w:t xml:space="preserve">הקיצוני </w:t>
      </w:r>
      <w:bookmarkStart w:id="41525" w:name="_ETM_Q77_688359"/>
      <w:bookmarkEnd w:id="41525"/>
      <w:r>
        <w:rPr>
          <w:rFonts w:hint="cs"/>
          <w:rtl/>
        </w:rPr>
        <w:t xml:space="preserve">ביותר </w:t>
      </w:r>
      <w:bookmarkStart w:id="41526" w:name="_ETM_Q77_688719"/>
      <w:bookmarkEnd w:id="41526"/>
      <w:r>
        <w:rPr>
          <w:rFonts w:hint="cs"/>
          <w:rtl/>
        </w:rPr>
        <w:t xml:space="preserve">שיש, </w:t>
      </w:r>
      <w:bookmarkStart w:id="41527" w:name="_ETM_Q77_689439"/>
      <w:bookmarkEnd w:id="41527"/>
      <w:r w:rsidR="00E367B5">
        <w:rPr>
          <w:rFonts w:hint="cs"/>
          <w:rtl/>
        </w:rPr>
        <w:t>זה</w:t>
      </w:r>
      <w:r>
        <w:rPr>
          <w:rFonts w:hint="cs"/>
          <w:rtl/>
        </w:rPr>
        <w:t xml:space="preserve"> </w:t>
      </w:r>
      <w:bookmarkStart w:id="41528" w:name="_ETM_Q77_689799"/>
      <w:bookmarkEnd w:id="41528"/>
      <w:r>
        <w:rPr>
          <w:rFonts w:hint="cs"/>
          <w:rtl/>
        </w:rPr>
        <w:t xml:space="preserve">שגם </w:t>
      </w:r>
      <w:bookmarkStart w:id="41529" w:name="_ETM_Q77_690129"/>
      <w:bookmarkEnd w:id="41529"/>
      <w:r>
        <w:rPr>
          <w:rFonts w:hint="cs"/>
          <w:rtl/>
        </w:rPr>
        <w:t xml:space="preserve">מבקרים </w:t>
      </w:r>
      <w:bookmarkStart w:id="41530" w:name="_ETM_Q77_690639"/>
      <w:bookmarkEnd w:id="41530"/>
      <w:r>
        <w:rPr>
          <w:rFonts w:hint="cs"/>
          <w:rtl/>
        </w:rPr>
        <w:t xml:space="preserve">גדולים </w:t>
      </w:r>
      <w:bookmarkStart w:id="41531" w:name="_ETM_Q77_690999"/>
      <w:bookmarkEnd w:id="41531"/>
      <w:r>
        <w:rPr>
          <w:rFonts w:hint="cs"/>
          <w:rtl/>
        </w:rPr>
        <w:t xml:space="preserve">ביותר </w:t>
      </w:r>
      <w:bookmarkStart w:id="41532" w:name="_ETM_Q77_691269"/>
      <w:bookmarkEnd w:id="41532"/>
      <w:r>
        <w:rPr>
          <w:rFonts w:hint="cs"/>
          <w:rtl/>
        </w:rPr>
        <w:t xml:space="preserve">של </w:t>
      </w:r>
      <w:bookmarkStart w:id="41533" w:name="_ETM_Q77_691419"/>
      <w:bookmarkEnd w:id="41533"/>
      <w:r>
        <w:rPr>
          <w:rFonts w:hint="cs"/>
          <w:rtl/>
        </w:rPr>
        <w:t xml:space="preserve">בית </w:t>
      </w:r>
      <w:bookmarkStart w:id="41534" w:name="_ETM_Q77_691599"/>
      <w:bookmarkEnd w:id="41534"/>
      <w:r>
        <w:rPr>
          <w:rFonts w:hint="cs"/>
          <w:rtl/>
        </w:rPr>
        <w:t xml:space="preserve">המשפט </w:t>
      </w:r>
      <w:bookmarkStart w:id="41535" w:name="_ETM_Q77_692529"/>
      <w:bookmarkEnd w:id="41535"/>
      <w:r>
        <w:rPr>
          <w:rFonts w:hint="cs"/>
          <w:rtl/>
        </w:rPr>
        <w:t xml:space="preserve">מהאגף </w:t>
      </w:r>
      <w:bookmarkStart w:id="41536" w:name="_ETM_Q77_692949"/>
      <w:bookmarkEnd w:id="41536"/>
      <w:r>
        <w:rPr>
          <w:rFonts w:hint="cs"/>
          <w:rtl/>
        </w:rPr>
        <w:t xml:space="preserve">השמרני </w:t>
      </w:r>
      <w:bookmarkStart w:id="41537" w:name="_ETM_Q77_693609"/>
      <w:bookmarkEnd w:id="41537"/>
      <w:r>
        <w:rPr>
          <w:rFonts w:hint="cs"/>
          <w:rtl/>
        </w:rPr>
        <w:t xml:space="preserve">מתנגדים </w:t>
      </w:r>
      <w:bookmarkStart w:id="41538" w:name="_ETM_Q77_694089"/>
      <w:bookmarkEnd w:id="41538"/>
      <w:r>
        <w:rPr>
          <w:rFonts w:hint="cs"/>
          <w:rtl/>
        </w:rPr>
        <w:t xml:space="preserve">לו. </w:t>
      </w:r>
      <w:bookmarkStart w:id="41539" w:name="_ETM_Q77_694679"/>
      <w:bookmarkEnd w:id="41539"/>
      <w:r>
        <w:rPr>
          <w:rFonts w:hint="cs"/>
          <w:rtl/>
        </w:rPr>
        <w:t xml:space="preserve">ורק </w:t>
      </w:r>
      <w:bookmarkStart w:id="41540" w:name="_ETM_Q77_695099"/>
      <w:bookmarkEnd w:id="41540"/>
      <w:r>
        <w:rPr>
          <w:rFonts w:hint="cs"/>
          <w:rtl/>
        </w:rPr>
        <w:t xml:space="preserve">הוא </w:t>
      </w:r>
      <w:bookmarkStart w:id="41541" w:name="_ETM_Q77_695249"/>
      <w:bookmarkEnd w:id="41541"/>
      <w:r>
        <w:rPr>
          <w:rFonts w:hint="cs"/>
          <w:rtl/>
        </w:rPr>
        <w:t xml:space="preserve">אולי </w:t>
      </w:r>
      <w:bookmarkStart w:id="41542" w:name="_ETM_Q77_695519"/>
      <w:bookmarkEnd w:id="41542"/>
      <w:r>
        <w:rPr>
          <w:rFonts w:hint="cs"/>
          <w:rtl/>
        </w:rPr>
        <w:t xml:space="preserve">יודע </w:t>
      </w:r>
      <w:bookmarkStart w:id="41543" w:name="_ETM_Q77_695790"/>
      <w:bookmarkEnd w:id="41543"/>
      <w:r>
        <w:rPr>
          <w:rFonts w:hint="cs"/>
          <w:rtl/>
        </w:rPr>
        <w:t xml:space="preserve">להסביר </w:t>
      </w:r>
      <w:bookmarkStart w:id="41544" w:name="_ETM_Q77_696599"/>
      <w:bookmarkEnd w:id="41544"/>
      <w:r>
        <w:rPr>
          <w:rFonts w:hint="cs"/>
          <w:rtl/>
        </w:rPr>
        <w:t xml:space="preserve">כיצד </w:t>
      </w:r>
      <w:bookmarkStart w:id="41545" w:name="_ETM_Q77_696989"/>
      <w:bookmarkEnd w:id="41545"/>
      <w:r>
        <w:rPr>
          <w:rFonts w:hint="cs"/>
          <w:rtl/>
        </w:rPr>
        <w:t xml:space="preserve">בתוך </w:t>
      </w:r>
      <w:bookmarkStart w:id="41546" w:name="_ETM_Q77_697379"/>
      <w:bookmarkEnd w:id="41546"/>
      <w:r>
        <w:rPr>
          <w:rFonts w:hint="cs"/>
          <w:rtl/>
        </w:rPr>
        <w:t xml:space="preserve">חצי </w:t>
      </w:r>
      <w:bookmarkStart w:id="41547" w:name="_ETM_Q77_697679"/>
      <w:bookmarkEnd w:id="41547"/>
      <w:r>
        <w:rPr>
          <w:rFonts w:hint="cs"/>
          <w:rtl/>
        </w:rPr>
        <w:t xml:space="preserve">שנה </w:t>
      </w:r>
      <w:bookmarkStart w:id="41548" w:name="_ETM_Q77_698429"/>
      <w:bookmarkEnd w:id="41548"/>
      <w:r>
        <w:rPr>
          <w:rFonts w:hint="cs"/>
          <w:rtl/>
        </w:rPr>
        <w:t xml:space="preserve">של </w:t>
      </w:r>
      <w:bookmarkStart w:id="41549" w:name="_ETM_Q77_698669"/>
      <w:bookmarkEnd w:id="41549"/>
      <w:r>
        <w:rPr>
          <w:rFonts w:hint="cs"/>
          <w:rtl/>
        </w:rPr>
        <w:t xml:space="preserve">ממשלה </w:t>
      </w:r>
      <w:bookmarkStart w:id="41550" w:name="_ETM_Q77_699540"/>
      <w:bookmarkEnd w:id="41550"/>
      <w:r>
        <w:rPr>
          <w:rFonts w:hint="cs"/>
          <w:rtl/>
        </w:rPr>
        <w:t xml:space="preserve">הגיעה </w:t>
      </w:r>
      <w:bookmarkStart w:id="41551" w:name="_ETM_Q77_699959"/>
      <w:bookmarkEnd w:id="41551"/>
      <w:r>
        <w:rPr>
          <w:rFonts w:hint="cs"/>
          <w:rtl/>
        </w:rPr>
        <w:t xml:space="preserve">המדינה </w:t>
      </w:r>
      <w:bookmarkStart w:id="41552" w:name="_ETM_Q77_700439"/>
      <w:bookmarkEnd w:id="41552"/>
      <w:r>
        <w:rPr>
          <w:rFonts w:hint="cs"/>
          <w:rtl/>
        </w:rPr>
        <w:t xml:space="preserve">לנקודה </w:t>
      </w:r>
      <w:bookmarkStart w:id="41553" w:name="_ETM_Q77_701099"/>
      <w:bookmarkEnd w:id="41553"/>
      <w:r>
        <w:rPr>
          <w:rFonts w:hint="cs"/>
          <w:rtl/>
        </w:rPr>
        <w:t xml:space="preserve">כה עצובה, </w:t>
      </w:r>
      <w:bookmarkStart w:id="41554" w:name="_ETM_Q77_702209"/>
      <w:bookmarkEnd w:id="41554"/>
      <w:r>
        <w:rPr>
          <w:rFonts w:hint="cs"/>
          <w:rtl/>
        </w:rPr>
        <w:t xml:space="preserve">קרועה </w:t>
      </w:r>
      <w:bookmarkStart w:id="41555" w:name="_ETM_Q77_702989"/>
      <w:bookmarkEnd w:id="41555"/>
      <w:r>
        <w:rPr>
          <w:rFonts w:hint="cs"/>
          <w:rtl/>
        </w:rPr>
        <w:t>ומלא</w:t>
      </w:r>
      <w:bookmarkStart w:id="41556" w:name="_ETM_Q77_703439"/>
      <w:bookmarkEnd w:id="41556"/>
      <w:r>
        <w:rPr>
          <w:rFonts w:hint="cs"/>
          <w:rtl/>
        </w:rPr>
        <w:t xml:space="preserve">ת צער. </w:t>
      </w:r>
      <w:bookmarkStart w:id="41557" w:name="_ETM_Q77_704579"/>
      <w:bookmarkEnd w:id="41557"/>
    </w:p>
    <w:p w:rsidR="00BB59CD" w:rsidRDefault="00BB59CD" w:rsidP="00BB59CD">
      <w:pPr>
        <w:rPr>
          <w:rtl/>
        </w:rPr>
      </w:pPr>
    </w:p>
    <w:p w:rsidR="00BB59CD" w:rsidRDefault="00BB59CD" w:rsidP="00BB59CD">
      <w:pPr>
        <w:rPr>
          <w:rtl/>
        </w:rPr>
      </w:pPr>
      <w:bookmarkStart w:id="41558" w:name="_ETM_Q77_706000"/>
      <w:bookmarkEnd w:id="41558"/>
      <w:r>
        <w:rPr>
          <w:rFonts w:hint="cs"/>
          <w:rtl/>
        </w:rPr>
        <w:t xml:space="preserve">וגם </w:t>
      </w:r>
      <w:bookmarkStart w:id="41559" w:name="_ETM_Q77_704909"/>
      <w:bookmarkEnd w:id="41559"/>
      <w:r>
        <w:rPr>
          <w:rFonts w:hint="cs"/>
          <w:rtl/>
        </w:rPr>
        <w:t xml:space="preserve">בשעה </w:t>
      </w:r>
      <w:bookmarkStart w:id="41560" w:name="_ETM_Q77_705269"/>
      <w:bookmarkEnd w:id="41560"/>
      <w:r>
        <w:rPr>
          <w:rFonts w:hint="cs"/>
          <w:rtl/>
        </w:rPr>
        <w:t xml:space="preserve">הזו, </w:t>
      </w:r>
      <w:bookmarkStart w:id="41561" w:name="_ETM_Q77_706180"/>
      <w:bookmarkEnd w:id="41561"/>
      <w:r>
        <w:rPr>
          <w:rFonts w:hint="cs"/>
          <w:rtl/>
        </w:rPr>
        <w:t>כש</w:t>
      </w:r>
      <w:bookmarkStart w:id="41562" w:name="_ETM_Q77_706360"/>
      <w:bookmarkEnd w:id="41562"/>
      <w:r>
        <w:rPr>
          <w:rFonts w:hint="cs"/>
          <w:rtl/>
        </w:rPr>
        <w:t xml:space="preserve">מועד </w:t>
      </w:r>
      <w:bookmarkStart w:id="41563" w:name="_ETM_Q77_706600"/>
      <w:bookmarkEnd w:id="41563"/>
      <w:r>
        <w:rPr>
          <w:rFonts w:hint="cs"/>
          <w:rtl/>
        </w:rPr>
        <w:t xml:space="preserve">ההצבעה </w:t>
      </w:r>
      <w:bookmarkStart w:id="41564" w:name="_ETM_Q77_707190"/>
      <w:bookmarkStart w:id="41565" w:name="_ETM_Q77_707700"/>
      <w:bookmarkEnd w:id="41564"/>
      <w:bookmarkEnd w:id="41565"/>
      <w:r>
        <w:rPr>
          <w:rFonts w:hint="cs"/>
          <w:rtl/>
        </w:rPr>
        <w:t xml:space="preserve">מתקרב, עוד </w:t>
      </w:r>
      <w:bookmarkStart w:id="41566" w:name="_ETM_Q77_707910"/>
      <w:bookmarkEnd w:id="41566"/>
      <w:r>
        <w:rPr>
          <w:rFonts w:hint="cs"/>
          <w:rtl/>
        </w:rPr>
        <w:t xml:space="preserve">לא </w:t>
      </w:r>
      <w:bookmarkStart w:id="41567" w:name="_ETM_Q77_708000"/>
      <w:bookmarkEnd w:id="41567"/>
      <w:r>
        <w:rPr>
          <w:rFonts w:hint="cs"/>
          <w:rtl/>
        </w:rPr>
        <w:t xml:space="preserve">מאוחר </w:t>
      </w:r>
      <w:bookmarkStart w:id="41568" w:name="_ETM_Q77_708420"/>
      <w:bookmarkEnd w:id="41568"/>
      <w:r>
        <w:rPr>
          <w:rFonts w:hint="cs"/>
          <w:rtl/>
        </w:rPr>
        <w:t xml:space="preserve">מדי. </w:t>
      </w:r>
      <w:bookmarkStart w:id="41569" w:name="_ETM_Q77_709170"/>
      <w:bookmarkEnd w:id="41569"/>
      <w:r>
        <w:rPr>
          <w:rFonts w:hint="cs"/>
          <w:rtl/>
        </w:rPr>
        <w:t xml:space="preserve">זה </w:t>
      </w:r>
      <w:bookmarkStart w:id="41570" w:name="_ETM_Q77_709380"/>
      <w:bookmarkEnd w:id="41570"/>
      <w:r>
        <w:rPr>
          <w:rFonts w:hint="cs"/>
          <w:rtl/>
        </w:rPr>
        <w:t xml:space="preserve">הזמן </w:t>
      </w:r>
      <w:bookmarkStart w:id="41571" w:name="_ETM_Q77_709770"/>
      <w:bookmarkEnd w:id="41571"/>
      <w:r>
        <w:rPr>
          <w:rFonts w:hint="cs"/>
          <w:rtl/>
        </w:rPr>
        <w:t xml:space="preserve">להתעשת, </w:t>
      </w:r>
      <w:bookmarkStart w:id="41572" w:name="_ETM_Q77_710790"/>
      <w:bookmarkEnd w:id="41572"/>
      <w:r>
        <w:rPr>
          <w:rFonts w:hint="cs"/>
          <w:rtl/>
        </w:rPr>
        <w:t xml:space="preserve">כולנו, </w:t>
      </w:r>
      <w:bookmarkStart w:id="41573" w:name="_ETM_Q77_712090"/>
      <w:bookmarkEnd w:id="41573"/>
      <w:r>
        <w:rPr>
          <w:rFonts w:hint="cs"/>
          <w:rtl/>
        </w:rPr>
        <w:t xml:space="preserve">אבל </w:t>
      </w:r>
      <w:bookmarkStart w:id="41574" w:name="_ETM_Q77_712330"/>
      <w:bookmarkEnd w:id="41574"/>
      <w:r>
        <w:rPr>
          <w:rFonts w:hint="cs"/>
          <w:rtl/>
        </w:rPr>
        <w:t xml:space="preserve">בראש </w:t>
      </w:r>
      <w:bookmarkStart w:id="41575" w:name="_ETM_Q77_712720"/>
      <w:bookmarkEnd w:id="41575"/>
      <w:r>
        <w:rPr>
          <w:rFonts w:hint="cs"/>
          <w:rtl/>
        </w:rPr>
        <w:t xml:space="preserve">ובראשונה </w:t>
      </w:r>
      <w:bookmarkStart w:id="41576" w:name="_ETM_Q77_713590"/>
      <w:bookmarkEnd w:id="41576"/>
      <w:r>
        <w:rPr>
          <w:rFonts w:hint="cs"/>
          <w:rtl/>
        </w:rPr>
        <w:t xml:space="preserve">ראש הממשלה – </w:t>
      </w:r>
      <w:bookmarkStart w:id="41577" w:name="_ETM_Q77_714610"/>
      <w:bookmarkEnd w:id="41577"/>
      <w:r>
        <w:rPr>
          <w:rFonts w:hint="cs"/>
          <w:rtl/>
        </w:rPr>
        <w:t xml:space="preserve">שאני </w:t>
      </w:r>
      <w:bookmarkStart w:id="41578" w:name="_ETM_Q77_714910"/>
      <w:bookmarkEnd w:id="41578"/>
      <w:r>
        <w:rPr>
          <w:rFonts w:hint="cs"/>
          <w:rtl/>
        </w:rPr>
        <w:t xml:space="preserve">מאחל </w:t>
      </w:r>
      <w:bookmarkStart w:id="41579" w:name="_ETM_Q77_715209"/>
      <w:bookmarkEnd w:id="41579"/>
      <w:r>
        <w:rPr>
          <w:rFonts w:hint="cs"/>
          <w:rtl/>
        </w:rPr>
        <w:t xml:space="preserve">לו </w:t>
      </w:r>
      <w:bookmarkStart w:id="41580" w:name="_ETM_Q77_715300"/>
      <w:bookmarkEnd w:id="41580"/>
      <w:r>
        <w:rPr>
          <w:rFonts w:hint="cs"/>
          <w:rtl/>
        </w:rPr>
        <w:t xml:space="preserve">בריאות </w:t>
      </w:r>
      <w:bookmarkStart w:id="41581" w:name="_ETM_Q77_715809"/>
      <w:bookmarkEnd w:id="41581"/>
      <w:r>
        <w:rPr>
          <w:rFonts w:hint="cs"/>
          <w:rtl/>
        </w:rPr>
        <w:t xml:space="preserve">שלמה </w:t>
      </w:r>
      <w:bookmarkStart w:id="41582" w:name="_ETM_Q77_716260"/>
      <w:bookmarkEnd w:id="41582"/>
      <w:r>
        <w:rPr>
          <w:rFonts w:hint="cs"/>
          <w:rtl/>
        </w:rPr>
        <w:t xml:space="preserve">ומהירה – </w:t>
      </w:r>
      <w:bookmarkStart w:id="41583" w:name="_ETM_Q77_717949"/>
      <w:bookmarkEnd w:id="41583"/>
      <w:r w:rsidR="00E367B5">
        <w:rPr>
          <w:rFonts w:hint="cs"/>
          <w:rtl/>
        </w:rPr>
        <w:t>ו</w:t>
      </w:r>
      <w:r>
        <w:rPr>
          <w:rFonts w:hint="cs"/>
          <w:rtl/>
        </w:rPr>
        <w:t xml:space="preserve">לעצור </w:t>
      </w:r>
      <w:bookmarkStart w:id="41584" w:name="_ETM_Q77_718429"/>
      <w:bookmarkEnd w:id="41584"/>
      <w:r>
        <w:rPr>
          <w:rFonts w:hint="cs"/>
          <w:rtl/>
        </w:rPr>
        <w:t xml:space="preserve">את </w:t>
      </w:r>
      <w:bookmarkStart w:id="41585" w:name="_ETM_Q77_718549"/>
      <w:bookmarkEnd w:id="41585"/>
      <w:r>
        <w:rPr>
          <w:rFonts w:hint="cs"/>
          <w:rtl/>
        </w:rPr>
        <w:t xml:space="preserve">החוק </w:t>
      </w:r>
      <w:bookmarkStart w:id="41586" w:name="_ETM_Q77_718999"/>
      <w:bookmarkEnd w:id="41586"/>
      <w:r>
        <w:rPr>
          <w:rFonts w:hint="cs"/>
          <w:rtl/>
        </w:rPr>
        <w:t xml:space="preserve">בצורתו </w:t>
      </w:r>
      <w:bookmarkStart w:id="41587" w:name="_ETM_Q77_719989"/>
      <w:bookmarkEnd w:id="41587"/>
      <w:r>
        <w:rPr>
          <w:rFonts w:hint="cs"/>
          <w:rtl/>
        </w:rPr>
        <w:t>הנוכחית</w:t>
      </w:r>
      <w:bookmarkStart w:id="41588" w:name="_ETM_Q77_720949"/>
      <w:bookmarkEnd w:id="41588"/>
      <w:r>
        <w:rPr>
          <w:rFonts w:hint="cs"/>
          <w:rtl/>
        </w:rPr>
        <w:t xml:space="preserve">, לסכם </w:t>
      </w:r>
      <w:bookmarkStart w:id="41589" w:name="_ETM_Q77_721489"/>
      <w:bookmarkEnd w:id="41589"/>
      <w:r>
        <w:rPr>
          <w:rFonts w:hint="cs"/>
          <w:rtl/>
        </w:rPr>
        <w:t xml:space="preserve">על </w:t>
      </w:r>
      <w:bookmarkStart w:id="41590" w:name="_ETM_Q77_721609"/>
      <w:bookmarkEnd w:id="41590"/>
      <w:r>
        <w:rPr>
          <w:rFonts w:hint="cs"/>
          <w:rtl/>
        </w:rPr>
        <w:t xml:space="preserve">נוסח </w:t>
      </w:r>
      <w:bookmarkStart w:id="41591" w:name="_ETM_Q77_721939"/>
      <w:bookmarkEnd w:id="41591"/>
      <w:r>
        <w:rPr>
          <w:rFonts w:hint="cs"/>
          <w:rtl/>
        </w:rPr>
        <w:t xml:space="preserve">מוסכם, </w:t>
      </w:r>
      <w:bookmarkStart w:id="41592" w:name="_ETM_Q77_722929"/>
      <w:bookmarkEnd w:id="41592"/>
      <w:r>
        <w:rPr>
          <w:rFonts w:hint="cs"/>
          <w:rtl/>
        </w:rPr>
        <w:t xml:space="preserve">ובעיקר </w:t>
      </w:r>
      <w:bookmarkStart w:id="41593" w:name="_ETM_Q77_723439"/>
      <w:bookmarkEnd w:id="41593"/>
      <w:r>
        <w:rPr>
          <w:rFonts w:hint="cs"/>
          <w:rtl/>
        </w:rPr>
        <w:t xml:space="preserve">להתחייב </w:t>
      </w:r>
      <w:bookmarkStart w:id="41594" w:name="_ETM_Q77_723889"/>
      <w:bookmarkEnd w:id="41594"/>
      <w:r>
        <w:rPr>
          <w:rFonts w:hint="cs"/>
          <w:rtl/>
        </w:rPr>
        <w:t xml:space="preserve">לכך </w:t>
      </w:r>
      <w:bookmarkStart w:id="41595" w:name="_ETM_Q77_724729"/>
      <w:bookmarkEnd w:id="41595"/>
      <w:r>
        <w:rPr>
          <w:rFonts w:hint="cs"/>
          <w:rtl/>
        </w:rPr>
        <w:t xml:space="preserve">שכל </w:t>
      </w:r>
      <w:bookmarkStart w:id="41596" w:name="_ETM_Q77_725239"/>
      <w:bookmarkEnd w:id="41596"/>
      <w:r>
        <w:rPr>
          <w:rFonts w:hint="cs"/>
          <w:rtl/>
        </w:rPr>
        <w:t xml:space="preserve">פרק </w:t>
      </w:r>
      <w:bookmarkStart w:id="41597" w:name="_ETM_Q77_725659"/>
      <w:bookmarkEnd w:id="41597"/>
      <w:r>
        <w:rPr>
          <w:rFonts w:hint="cs"/>
          <w:rtl/>
        </w:rPr>
        <w:t xml:space="preserve">בעניין </w:t>
      </w:r>
      <w:bookmarkStart w:id="41598" w:name="_ETM_Q77_726109"/>
      <w:bookmarkEnd w:id="41598"/>
      <w:r>
        <w:rPr>
          <w:rFonts w:hint="cs"/>
          <w:rtl/>
        </w:rPr>
        <w:t xml:space="preserve">המשפטי </w:t>
      </w:r>
      <w:bookmarkStart w:id="41599" w:name="_ETM_Q77_726889"/>
      <w:bookmarkEnd w:id="41599"/>
      <w:r>
        <w:rPr>
          <w:rFonts w:hint="cs"/>
          <w:rtl/>
        </w:rPr>
        <w:t xml:space="preserve">יעבור </w:t>
      </w:r>
      <w:bookmarkStart w:id="41600" w:name="_ETM_Q77_727459"/>
      <w:bookmarkEnd w:id="41600"/>
      <w:r>
        <w:rPr>
          <w:rFonts w:hint="cs"/>
          <w:rtl/>
        </w:rPr>
        <w:t xml:space="preserve">רק </w:t>
      </w:r>
      <w:bookmarkStart w:id="41601" w:name="_ETM_Q77_727819"/>
      <w:bookmarkEnd w:id="41601"/>
      <w:r>
        <w:rPr>
          <w:rFonts w:hint="cs"/>
          <w:rtl/>
        </w:rPr>
        <w:t xml:space="preserve">בהסכמה. </w:t>
      </w:r>
      <w:bookmarkStart w:id="41602" w:name="_ETM_Q77_729099"/>
      <w:bookmarkEnd w:id="41602"/>
      <w:r>
        <w:rPr>
          <w:rFonts w:hint="cs"/>
          <w:rtl/>
        </w:rPr>
        <w:t xml:space="preserve">זה </w:t>
      </w:r>
      <w:bookmarkStart w:id="41603" w:name="_ETM_Q77_729280"/>
      <w:bookmarkEnd w:id="41603"/>
      <w:r>
        <w:rPr>
          <w:rFonts w:hint="cs"/>
          <w:rtl/>
        </w:rPr>
        <w:t xml:space="preserve">לא </w:t>
      </w:r>
      <w:bookmarkStart w:id="41604" w:name="_ETM_Q77_729400"/>
      <w:bookmarkEnd w:id="41604"/>
      <w:r>
        <w:rPr>
          <w:rFonts w:hint="cs"/>
          <w:rtl/>
        </w:rPr>
        <w:t xml:space="preserve">עניין </w:t>
      </w:r>
      <w:bookmarkStart w:id="41605" w:name="_ETM_Q77_729640"/>
      <w:bookmarkEnd w:id="41605"/>
      <w:r>
        <w:rPr>
          <w:rFonts w:hint="cs"/>
          <w:rtl/>
        </w:rPr>
        <w:t xml:space="preserve">של </w:t>
      </w:r>
      <w:bookmarkStart w:id="41606" w:name="_ETM_Q77_729849"/>
      <w:bookmarkEnd w:id="41606"/>
      <w:r>
        <w:rPr>
          <w:rFonts w:hint="cs"/>
          <w:rtl/>
        </w:rPr>
        <w:t xml:space="preserve">וטו, </w:t>
      </w:r>
      <w:bookmarkStart w:id="41607" w:name="_ETM_Q77_730420"/>
      <w:bookmarkEnd w:id="41607"/>
      <w:r>
        <w:rPr>
          <w:rFonts w:hint="cs"/>
          <w:rtl/>
        </w:rPr>
        <w:t xml:space="preserve">זה </w:t>
      </w:r>
      <w:bookmarkStart w:id="41608" w:name="_ETM_Q77_730660"/>
      <w:bookmarkEnd w:id="41608"/>
      <w:r>
        <w:rPr>
          <w:rFonts w:hint="cs"/>
          <w:rtl/>
        </w:rPr>
        <w:t xml:space="preserve">לא </w:t>
      </w:r>
      <w:bookmarkStart w:id="41609" w:name="_ETM_Q77_730750"/>
      <w:bookmarkEnd w:id="41609"/>
      <w:r>
        <w:rPr>
          <w:rFonts w:hint="cs"/>
          <w:rtl/>
        </w:rPr>
        <w:t xml:space="preserve">עניין </w:t>
      </w:r>
      <w:bookmarkStart w:id="41610" w:name="_ETM_Q77_730989"/>
      <w:bookmarkEnd w:id="41610"/>
      <w:r>
        <w:rPr>
          <w:rFonts w:hint="cs"/>
          <w:rtl/>
        </w:rPr>
        <w:t xml:space="preserve">של </w:t>
      </w:r>
      <w:bookmarkStart w:id="41611" w:name="_ETM_Q77_731140"/>
      <w:bookmarkEnd w:id="41611"/>
      <w:r>
        <w:rPr>
          <w:rFonts w:hint="cs"/>
          <w:rtl/>
        </w:rPr>
        <w:t xml:space="preserve">פוליטיקה, </w:t>
      </w:r>
      <w:bookmarkStart w:id="41612" w:name="_ETM_Q77_731890"/>
      <w:bookmarkEnd w:id="41612"/>
      <w:r>
        <w:rPr>
          <w:rFonts w:hint="cs"/>
          <w:rtl/>
        </w:rPr>
        <w:t xml:space="preserve">זה </w:t>
      </w:r>
      <w:bookmarkStart w:id="41613" w:name="_ETM_Q77_732040"/>
      <w:bookmarkEnd w:id="41613"/>
      <w:r>
        <w:rPr>
          <w:rFonts w:hint="cs"/>
          <w:rtl/>
        </w:rPr>
        <w:t xml:space="preserve">פשוט </w:t>
      </w:r>
      <w:bookmarkStart w:id="41614" w:name="_ETM_Q77_732400"/>
      <w:bookmarkEnd w:id="41614"/>
      <w:r>
        <w:rPr>
          <w:rFonts w:hint="cs"/>
          <w:rtl/>
        </w:rPr>
        <w:t xml:space="preserve">הדבר </w:t>
      </w:r>
      <w:bookmarkStart w:id="41615" w:name="_ETM_Q77_732790"/>
      <w:bookmarkEnd w:id="41615"/>
      <w:r>
        <w:rPr>
          <w:rFonts w:hint="cs"/>
          <w:rtl/>
        </w:rPr>
        <w:t xml:space="preserve">היחיד </w:t>
      </w:r>
      <w:bookmarkStart w:id="41616" w:name="_ETM_Q77_733120"/>
      <w:bookmarkEnd w:id="41616"/>
      <w:r>
        <w:rPr>
          <w:rFonts w:hint="cs"/>
          <w:rtl/>
        </w:rPr>
        <w:t xml:space="preserve">שיציל </w:t>
      </w:r>
      <w:bookmarkStart w:id="41617" w:name="_ETM_Q77_733480"/>
      <w:bookmarkEnd w:id="41617"/>
      <w:r>
        <w:rPr>
          <w:rFonts w:hint="cs"/>
          <w:rtl/>
        </w:rPr>
        <w:t xml:space="preserve">את </w:t>
      </w:r>
      <w:bookmarkStart w:id="41618" w:name="_ETM_Q77_733569"/>
      <w:bookmarkEnd w:id="41618"/>
      <w:r>
        <w:rPr>
          <w:rFonts w:hint="cs"/>
          <w:rtl/>
        </w:rPr>
        <w:t xml:space="preserve">ישראל. </w:t>
      </w:r>
      <w:bookmarkStart w:id="41619" w:name="_ETM_Q77_734730"/>
      <w:bookmarkEnd w:id="41619"/>
      <w:r>
        <w:rPr>
          <w:rFonts w:hint="cs"/>
          <w:rtl/>
        </w:rPr>
        <w:t xml:space="preserve">רק </w:t>
      </w:r>
      <w:bookmarkStart w:id="41620" w:name="_ETM_Q77_735090"/>
      <w:bookmarkEnd w:id="41620"/>
      <w:r>
        <w:rPr>
          <w:rFonts w:hint="cs"/>
          <w:rtl/>
        </w:rPr>
        <w:t xml:space="preserve">ככה </w:t>
      </w:r>
      <w:bookmarkStart w:id="41621" w:name="_ETM_Q77_735569"/>
      <w:bookmarkEnd w:id="41621"/>
      <w:r>
        <w:rPr>
          <w:rFonts w:hint="cs"/>
          <w:rtl/>
        </w:rPr>
        <w:t xml:space="preserve">נביא </w:t>
      </w:r>
      <w:bookmarkStart w:id="41622" w:name="_ETM_Q77_735870"/>
      <w:bookmarkStart w:id="41623" w:name="_ETM_Q77_735950"/>
      <w:bookmarkEnd w:id="41622"/>
      <w:bookmarkEnd w:id="41623"/>
      <w:r>
        <w:rPr>
          <w:rFonts w:hint="cs"/>
          <w:rtl/>
        </w:rPr>
        <w:t xml:space="preserve">יציבות </w:t>
      </w:r>
      <w:bookmarkStart w:id="41624" w:name="_ETM_Q77_736340"/>
      <w:bookmarkEnd w:id="41624"/>
      <w:r>
        <w:rPr>
          <w:rFonts w:hint="cs"/>
          <w:rtl/>
        </w:rPr>
        <w:t xml:space="preserve">לישראל, </w:t>
      </w:r>
      <w:bookmarkStart w:id="41625" w:name="_ETM_Q77_737150"/>
      <w:bookmarkEnd w:id="41625"/>
      <w:r>
        <w:rPr>
          <w:rFonts w:hint="cs"/>
          <w:rtl/>
        </w:rPr>
        <w:t xml:space="preserve">רק </w:t>
      </w:r>
      <w:bookmarkStart w:id="41626" w:name="_ETM_Q77_737480"/>
      <w:bookmarkEnd w:id="41626"/>
      <w:r>
        <w:rPr>
          <w:rFonts w:hint="cs"/>
          <w:rtl/>
        </w:rPr>
        <w:t xml:space="preserve">ככה </w:t>
      </w:r>
      <w:bookmarkStart w:id="41627" w:name="_ETM_Q77_737870"/>
      <w:bookmarkEnd w:id="41627"/>
      <w:r>
        <w:rPr>
          <w:rFonts w:hint="cs"/>
          <w:rtl/>
        </w:rPr>
        <w:t xml:space="preserve">נוכל </w:t>
      </w:r>
      <w:bookmarkStart w:id="41628" w:name="_ETM_Q77_738320"/>
      <w:bookmarkEnd w:id="41628"/>
      <w:r>
        <w:rPr>
          <w:rFonts w:hint="cs"/>
          <w:rtl/>
        </w:rPr>
        <w:t xml:space="preserve">להתחיל </w:t>
      </w:r>
      <w:bookmarkStart w:id="41629" w:name="_ETM_Q77_738710"/>
      <w:bookmarkEnd w:id="41629"/>
      <w:r>
        <w:rPr>
          <w:rFonts w:hint="cs"/>
          <w:rtl/>
        </w:rPr>
        <w:t xml:space="preserve">לחבוש </w:t>
      </w:r>
      <w:bookmarkStart w:id="41630" w:name="_ETM_Q77_739520"/>
      <w:bookmarkEnd w:id="41630"/>
      <w:r>
        <w:rPr>
          <w:rFonts w:hint="cs"/>
          <w:rtl/>
        </w:rPr>
        <w:t xml:space="preserve">את </w:t>
      </w:r>
      <w:bookmarkStart w:id="41631" w:name="_ETM_Q77_739700"/>
      <w:bookmarkEnd w:id="41631"/>
      <w:r>
        <w:rPr>
          <w:rFonts w:hint="cs"/>
          <w:rtl/>
        </w:rPr>
        <w:t xml:space="preserve">הפצעים </w:t>
      </w:r>
      <w:bookmarkStart w:id="41632" w:name="_ETM_Q77_740270"/>
      <w:bookmarkEnd w:id="41632"/>
      <w:r>
        <w:rPr>
          <w:rFonts w:hint="cs"/>
          <w:rtl/>
        </w:rPr>
        <w:t xml:space="preserve">של </w:t>
      </w:r>
      <w:bookmarkStart w:id="41633" w:name="_ETM_Q77_740510"/>
      <w:bookmarkEnd w:id="41633"/>
      <w:r>
        <w:rPr>
          <w:rFonts w:hint="cs"/>
          <w:rtl/>
        </w:rPr>
        <w:t>כולנו.</w:t>
      </w:r>
    </w:p>
    <w:p w:rsidR="00BB59CD" w:rsidRDefault="00BB59CD" w:rsidP="00BB59CD">
      <w:pPr>
        <w:rPr>
          <w:rtl/>
        </w:rPr>
      </w:pPr>
    </w:p>
    <w:p w:rsidR="00BB59CD" w:rsidRDefault="00BB59CD" w:rsidP="00E367B5">
      <w:pPr>
        <w:rPr>
          <w:rtl/>
        </w:rPr>
      </w:pPr>
      <w:bookmarkStart w:id="41634" w:name="_ETM_Q77_742210"/>
      <w:bookmarkEnd w:id="41634"/>
      <w:r>
        <w:rPr>
          <w:rFonts w:hint="cs"/>
          <w:rtl/>
        </w:rPr>
        <w:t xml:space="preserve">נראה </w:t>
      </w:r>
      <w:bookmarkStart w:id="41635" w:name="_ETM_Q77_742360"/>
      <w:bookmarkEnd w:id="41635"/>
      <w:r>
        <w:rPr>
          <w:rFonts w:hint="cs"/>
          <w:rtl/>
        </w:rPr>
        <w:t xml:space="preserve">לי </w:t>
      </w:r>
      <w:bookmarkStart w:id="41636" w:name="_ETM_Q77_742539"/>
      <w:bookmarkEnd w:id="41636"/>
      <w:r>
        <w:rPr>
          <w:rFonts w:hint="cs"/>
          <w:rtl/>
        </w:rPr>
        <w:t>שמתאים</w:t>
      </w:r>
      <w:r w:rsidR="00E367B5">
        <w:rPr>
          <w:rFonts w:hint="cs"/>
          <w:rtl/>
        </w:rPr>
        <w:t>,</w:t>
      </w:r>
      <w:r>
        <w:rPr>
          <w:rFonts w:hint="cs"/>
          <w:rtl/>
        </w:rPr>
        <w:t xml:space="preserve"> </w:t>
      </w:r>
      <w:bookmarkStart w:id="41637" w:name="_ETM_Q77_743080"/>
      <w:bookmarkEnd w:id="41637"/>
      <w:r>
        <w:rPr>
          <w:rFonts w:hint="cs"/>
          <w:rtl/>
        </w:rPr>
        <w:t xml:space="preserve">גם </w:t>
      </w:r>
      <w:bookmarkStart w:id="41638" w:name="_ETM_Q77_743289"/>
      <w:bookmarkEnd w:id="41638"/>
      <w:r>
        <w:rPr>
          <w:rFonts w:hint="cs"/>
          <w:rtl/>
        </w:rPr>
        <w:t xml:space="preserve">מבחינת </w:t>
      </w:r>
      <w:bookmarkStart w:id="41639" w:name="_ETM_Q77_743710"/>
      <w:bookmarkEnd w:id="41639"/>
      <w:r>
        <w:rPr>
          <w:rFonts w:hint="cs"/>
          <w:rtl/>
        </w:rPr>
        <w:t xml:space="preserve">המועד </w:t>
      </w:r>
      <w:bookmarkStart w:id="41640" w:name="_ETM_Q77_744099"/>
      <w:bookmarkEnd w:id="41640"/>
      <w:r>
        <w:rPr>
          <w:rFonts w:hint="cs"/>
          <w:rtl/>
        </w:rPr>
        <w:t xml:space="preserve">בלוח </w:t>
      </w:r>
      <w:bookmarkStart w:id="41641" w:name="_ETM_Q77_744429"/>
      <w:bookmarkEnd w:id="41641"/>
      <w:r>
        <w:rPr>
          <w:rFonts w:hint="cs"/>
          <w:rtl/>
        </w:rPr>
        <w:t xml:space="preserve">השנה </w:t>
      </w:r>
      <w:bookmarkStart w:id="41642" w:name="_ETM_Q77_745389"/>
      <w:bookmarkEnd w:id="41642"/>
      <w:r>
        <w:rPr>
          <w:rFonts w:hint="cs"/>
          <w:rtl/>
        </w:rPr>
        <w:t xml:space="preserve">וגם </w:t>
      </w:r>
      <w:bookmarkStart w:id="41643" w:name="_ETM_Q77_745720"/>
      <w:bookmarkEnd w:id="41643"/>
      <w:r>
        <w:rPr>
          <w:rFonts w:hint="cs"/>
          <w:rtl/>
        </w:rPr>
        <w:t xml:space="preserve">בשל </w:t>
      </w:r>
      <w:bookmarkStart w:id="41644" w:name="_ETM_Q77_746020"/>
      <w:bookmarkEnd w:id="41644"/>
      <w:r>
        <w:rPr>
          <w:rFonts w:hint="cs"/>
          <w:rtl/>
        </w:rPr>
        <w:t xml:space="preserve">אדי </w:t>
      </w:r>
      <w:bookmarkStart w:id="41645" w:name="_ETM_Q77_746289"/>
      <w:bookmarkEnd w:id="41645"/>
      <w:r>
        <w:rPr>
          <w:rFonts w:hint="cs"/>
          <w:rtl/>
        </w:rPr>
        <w:t xml:space="preserve">הדלק </w:t>
      </w:r>
      <w:bookmarkStart w:id="41646" w:name="_ETM_Q77_746710"/>
      <w:bookmarkEnd w:id="41646"/>
      <w:r>
        <w:rPr>
          <w:rFonts w:hint="cs"/>
          <w:rtl/>
        </w:rPr>
        <w:t xml:space="preserve">שממלאים </w:t>
      </w:r>
      <w:bookmarkStart w:id="41647" w:name="_ETM_Q77_747280"/>
      <w:bookmarkEnd w:id="41647"/>
      <w:r>
        <w:rPr>
          <w:rFonts w:hint="cs"/>
          <w:rtl/>
        </w:rPr>
        <w:t xml:space="preserve">את </w:t>
      </w:r>
      <w:bookmarkStart w:id="41648" w:name="_ETM_Q77_747400"/>
      <w:bookmarkEnd w:id="41648"/>
      <w:r>
        <w:rPr>
          <w:rFonts w:hint="cs"/>
          <w:rtl/>
        </w:rPr>
        <w:t xml:space="preserve">האוויר </w:t>
      </w:r>
      <w:bookmarkStart w:id="41649" w:name="_ETM_Q77_748270"/>
      <w:bookmarkEnd w:id="41649"/>
      <w:r>
        <w:rPr>
          <w:rFonts w:hint="cs"/>
          <w:rtl/>
        </w:rPr>
        <w:t xml:space="preserve">והסכנה </w:t>
      </w:r>
      <w:bookmarkStart w:id="41650" w:name="_ETM_Q77_748990"/>
      <w:bookmarkEnd w:id="41650"/>
      <w:r>
        <w:rPr>
          <w:rFonts w:hint="cs"/>
          <w:rtl/>
        </w:rPr>
        <w:t xml:space="preserve">שמרחפת </w:t>
      </w:r>
      <w:bookmarkStart w:id="41651" w:name="_ETM_Q77_749860"/>
      <w:bookmarkEnd w:id="41651"/>
      <w:r>
        <w:rPr>
          <w:rFonts w:hint="cs"/>
          <w:rtl/>
        </w:rPr>
        <w:t xml:space="preserve">מעל </w:t>
      </w:r>
      <w:bookmarkStart w:id="41652" w:name="_ETM_Q77_750100"/>
      <w:bookmarkEnd w:id="41652"/>
      <w:r>
        <w:rPr>
          <w:rFonts w:hint="cs"/>
          <w:rtl/>
        </w:rPr>
        <w:t>ישראל</w:t>
      </w:r>
      <w:r w:rsidR="00E367B5">
        <w:rPr>
          <w:rFonts w:hint="cs"/>
          <w:rtl/>
        </w:rPr>
        <w:t>,</w:t>
      </w:r>
      <w:r>
        <w:rPr>
          <w:rFonts w:hint="cs"/>
          <w:rtl/>
        </w:rPr>
        <w:t xml:space="preserve"> </w:t>
      </w:r>
      <w:bookmarkStart w:id="41653" w:name="_ETM_Q77_751000"/>
      <w:bookmarkEnd w:id="41653"/>
      <w:r>
        <w:rPr>
          <w:rFonts w:hint="cs"/>
          <w:rtl/>
        </w:rPr>
        <w:t xml:space="preserve">לדרוש </w:t>
      </w:r>
      <w:bookmarkStart w:id="41654" w:name="_ETM_Q77_751480"/>
      <w:bookmarkEnd w:id="41654"/>
      <w:r>
        <w:rPr>
          <w:rFonts w:hint="cs"/>
          <w:rtl/>
        </w:rPr>
        <w:t xml:space="preserve">הערב </w:t>
      </w:r>
      <w:bookmarkStart w:id="41655" w:name="_ETM_Q77_751780"/>
      <w:bookmarkEnd w:id="41655"/>
      <w:r>
        <w:rPr>
          <w:rFonts w:hint="cs"/>
          <w:rtl/>
        </w:rPr>
        <w:t xml:space="preserve">גם </w:t>
      </w:r>
      <w:bookmarkStart w:id="41656" w:name="_ETM_Q77_751960"/>
      <w:bookmarkEnd w:id="41656"/>
      <w:r>
        <w:rPr>
          <w:rFonts w:hint="cs"/>
          <w:rtl/>
        </w:rPr>
        <w:t xml:space="preserve">באגדת </w:t>
      </w:r>
      <w:bookmarkStart w:id="41657" w:name="_ETM_Q77_752470"/>
      <w:bookmarkEnd w:id="41657"/>
      <w:r>
        <w:rPr>
          <w:rFonts w:hint="cs"/>
          <w:rtl/>
        </w:rPr>
        <w:t xml:space="preserve">החורבן </w:t>
      </w:r>
      <w:bookmarkStart w:id="41658" w:name="_ETM_Q77_753429"/>
      <w:bookmarkEnd w:id="41658"/>
      <w:r>
        <w:rPr>
          <w:rFonts w:hint="cs"/>
          <w:rtl/>
        </w:rPr>
        <w:t xml:space="preserve">המפורסמת </w:t>
      </w:r>
      <w:bookmarkStart w:id="41659" w:name="_ETM_Q77_754360"/>
      <w:bookmarkEnd w:id="41659"/>
      <w:r>
        <w:rPr>
          <w:rFonts w:hint="cs"/>
          <w:rtl/>
        </w:rPr>
        <w:t xml:space="preserve">ביותר. </w:t>
      </w:r>
      <w:bookmarkStart w:id="41660" w:name="_ETM_Q77_755080"/>
      <w:bookmarkStart w:id="41661" w:name="TOR_Q78"/>
      <w:bookmarkEnd w:id="41660"/>
      <w:bookmarkEnd w:id="41661"/>
      <w:r>
        <w:rPr>
          <w:rFonts w:hint="cs"/>
          <w:rtl/>
        </w:rPr>
        <w:t xml:space="preserve">לקחתי את דבריו של הרב יוני לוין, שמביא את הגמרא ממסכת גיטין על קמצא ובר-קמצא וההסבר </w:t>
      </w:r>
      <w:bookmarkStart w:id="41662" w:name="_ETM_Q78_165000"/>
      <w:bookmarkEnd w:id="41662"/>
      <w:r>
        <w:rPr>
          <w:rFonts w:hint="cs"/>
          <w:rtl/>
        </w:rPr>
        <w:t xml:space="preserve">למה חרבה ירושלים. הסיפור בתרגום מארמית: היה אדם </w:t>
      </w:r>
      <w:bookmarkStart w:id="41663" w:name="_ETM_Q78_168000"/>
      <w:bookmarkEnd w:id="41663"/>
      <w:r>
        <w:rPr>
          <w:rFonts w:hint="cs"/>
          <w:rtl/>
        </w:rPr>
        <w:t>אחד שאהב את קמצא ושנא את בר-קמצא. היו להם</w:t>
      </w:r>
      <w:bookmarkStart w:id="41664" w:name="_ETM_Q78_173000"/>
      <w:bookmarkEnd w:id="41664"/>
      <w:r>
        <w:rPr>
          <w:rFonts w:hint="cs"/>
          <w:rtl/>
        </w:rPr>
        <w:t xml:space="preserve"> שמות דומים. עשה אותו אדם סעודה גדולה, אמר לשמשו:</w:t>
      </w:r>
      <w:bookmarkStart w:id="41665" w:name="_ETM_Q78_178000"/>
      <w:bookmarkEnd w:id="41665"/>
      <w:r>
        <w:rPr>
          <w:rFonts w:hint="cs"/>
          <w:rtl/>
        </w:rPr>
        <w:t xml:space="preserve"> לך והזמן לסעודה את קמצא, שאותו אני נורא אוהב. </w:t>
      </w:r>
      <w:bookmarkStart w:id="41666" w:name="_ETM_Q78_180000"/>
      <w:bookmarkEnd w:id="41666"/>
      <w:r>
        <w:rPr>
          <w:rFonts w:hint="cs"/>
          <w:rtl/>
        </w:rPr>
        <w:t>הלך השמש והביא בטעות את בר-קמצא, אותו אדם שנוא. מצא</w:t>
      </w:r>
      <w:bookmarkStart w:id="41667" w:name="_ETM_Q78_186000"/>
      <w:bookmarkEnd w:id="41667"/>
      <w:r>
        <w:rPr>
          <w:rFonts w:hint="cs"/>
          <w:rtl/>
        </w:rPr>
        <w:t xml:space="preserve"> בעל הבית את בר-קמצא יושב ליד השולחן. אמר:</w:t>
      </w:r>
      <w:bookmarkStart w:id="41668" w:name="_ETM_Q78_191000"/>
      <w:bookmarkEnd w:id="41668"/>
      <w:r>
        <w:rPr>
          <w:rFonts w:hint="cs"/>
          <w:rtl/>
        </w:rPr>
        <w:t xml:space="preserve"> הרי אותו איש שונא אותי. מה אתה עושה כאן? השיב </w:t>
      </w:r>
      <w:bookmarkStart w:id="41669" w:name="_ETM_Q78_195000"/>
      <w:bookmarkEnd w:id="41669"/>
      <w:r>
        <w:rPr>
          <w:rFonts w:hint="cs"/>
          <w:rtl/>
        </w:rPr>
        <w:t xml:space="preserve">בר-קמצא: הואיל וכבר באתי, תניח לי. אני אתן לך </w:t>
      </w:r>
      <w:bookmarkStart w:id="41670" w:name="_ETM_Q78_199000"/>
      <w:bookmarkEnd w:id="41670"/>
      <w:r>
        <w:rPr>
          <w:rFonts w:hint="cs"/>
          <w:rtl/>
        </w:rPr>
        <w:t>את דמי האכילה והשתייה שלי. אמר לו בעל הבית: לא,</w:t>
      </w:r>
      <w:bookmarkStart w:id="41671" w:name="_ETM_Q78_201000"/>
      <w:bookmarkEnd w:id="41671"/>
      <w:r>
        <w:rPr>
          <w:rFonts w:hint="cs"/>
          <w:rtl/>
        </w:rPr>
        <w:t xml:space="preserve"> תצא מכאן. התחנן אותו אדם, אותו בר-קמצא: את</w:t>
      </w:r>
      <w:bookmarkStart w:id="41672" w:name="_ETM_Q78_208000"/>
      <w:bookmarkEnd w:id="41672"/>
      <w:r>
        <w:rPr>
          <w:rFonts w:hint="cs"/>
          <w:rtl/>
        </w:rPr>
        <w:t>ן לך חצי כל סעודה שלך. אמר לו אותו בעל</w:t>
      </w:r>
      <w:bookmarkStart w:id="41673" w:name="_ETM_Q78_211000"/>
      <w:bookmarkEnd w:id="41673"/>
      <w:r>
        <w:rPr>
          <w:rFonts w:hint="cs"/>
          <w:rtl/>
        </w:rPr>
        <w:t xml:space="preserve"> הבית: לא, צא החוצה. הציע לו בר-קמצא </w:t>
      </w:r>
      <w:bookmarkStart w:id="41674" w:name="_ETM_Q78_216000"/>
      <w:bookmarkEnd w:id="41674"/>
      <w:r>
        <w:rPr>
          <w:rFonts w:hint="cs"/>
          <w:rtl/>
        </w:rPr>
        <w:t>לשלם את כל מחיר הארוחה. התעקש אותו בעל הבית ושלח</w:t>
      </w:r>
      <w:bookmarkStart w:id="41675" w:name="_ETM_Q78_219000"/>
      <w:bookmarkEnd w:id="41675"/>
      <w:r>
        <w:rPr>
          <w:rFonts w:hint="cs"/>
          <w:rtl/>
        </w:rPr>
        <w:t xml:space="preserve"> אותו החוצה. ממש נטל אותו בידו, וליד כולם הוציא אותו</w:t>
      </w:r>
      <w:bookmarkStart w:id="41676" w:name="_ETM_Q78_225000"/>
      <w:bookmarkEnd w:id="41676"/>
      <w:r>
        <w:rPr>
          <w:rFonts w:hint="cs"/>
          <w:rtl/>
        </w:rPr>
        <w:t xml:space="preserve"> החוצה. אמר בר-קמצא, אותו אדם שבוזה עכשיו והוצא</w:t>
      </w:r>
      <w:bookmarkStart w:id="41677" w:name="_ETM_Q78_228000"/>
      <w:bookmarkEnd w:id="41677"/>
      <w:r>
        <w:rPr>
          <w:rFonts w:hint="cs"/>
          <w:rtl/>
        </w:rPr>
        <w:t xml:space="preserve"> החוצה ליד כולם: הואיל וישבו שם חכמים ולא מיחו, ולא</w:t>
      </w:r>
      <w:bookmarkStart w:id="41678" w:name="_ETM_Q78_232000"/>
      <w:bookmarkEnd w:id="41678"/>
      <w:r>
        <w:rPr>
          <w:rFonts w:hint="cs"/>
          <w:rtl/>
        </w:rPr>
        <w:t xml:space="preserve"> עצרו את אותו בעל הבית, כנראה שנוח להם בזה. שתיקה</w:t>
      </w:r>
      <w:bookmarkStart w:id="41679" w:name="_ETM_Q78_236000"/>
      <w:bookmarkEnd w:id="41679"/>
      <w:r>
        <w:rPr>
          <w:rFonts w:hint="cs"/>
          <w:rtl/>
        </w:rPr>
        <w:t xml:space="preserve"> כהודאה. </w:t>
      </w:r>
    </w:p>
    <w:p w:rsidR="00BB59CD" w:rsidRDefault="00BB59CD" w:rsidP="00BB59CD">
      <w:pPr>
        <w:rPr>
          <w:rtl/>
        </w:rPr>
      </w:pPr>
    </w:p>
    <w:p w:rsidR="00BB59CD" w:rsidRDefault="00BB59CD" w:rsidP="0066352C">
      <w:pPr>
        <w:rPr>
          <w:rtl/>
        </w:rPr>
      </w:pPr>
      <w:r>
        <w:rPr>
          <w:rFonts w:hint="cs"/>
          <w:rtl/>
        </w:rPr>
        <w:t xml:space="preserve">מרגש נקמה, הלך והלשין עליהם בפני המלך. הלך לאותו קיסר ואמר לו: מרדו בך </w:t>
      </w:r>
      <w:bookmarkStart w:id="41680" w:name="_ETM_Q78_246000"/>
      <w:bookmarkEnd w:id="41680"/>
      <w:r>
        <w:rPr>
          <w:rFonts w:hint="cs"/>
          <w:rtl/>
        </w:rPr>
        <w:t>היהודים. אמר לו הקיסר: מאיפה אתה יודע את זה</w:t>
      </w:r>
      <w:bookmarkStart w:id="41681" w:name="_ETM_Q78_248000"/>
      <w:bookmarkEnd w:id="41681"/>
      <w:r>
        <w:rPr>
          <w:rFonts w:hint="cs"/>
          <w:rtl/>
        </w:rPr>
        <w:t>? אמר לו: שלח להם קורבן, ותראה שלא יקריבו אותו.</w:t>
      </w:r>
      <w:bookmarkStart w:id="41682" w:name="_ETM_Q78_255000"/>
      <w:bookmarkEnd w:id="41682"/>
      <w:r>
        <w:rPr>
          <w:rFonts w:hint="cs"/>
          <w:rtl/>
        </w:rPr>
        <w:t xml:space="preserve"> שלח בידיו עגל, ואותו אדם שבא להקריב, הטיל בו מום</w:t>
      </w:r>
      <w:bookmarkStart w:id="41683" w:name="_ETM_Q78_259000"/>
      <w:bookmarkEnd w:id="41683"/>
      <w:r>
        <w:rPr>
          <w:rFonts w:hint="cs"/>
          <w:rtl/>
        </w:rPr>
        <w:t xml:space="preserve"> בשפתיים, ויש אומרים בעין, במקום שעבורנו, היהודים, זה נחשב למום.</w:t>
      </w:r>
      <w:bookmarkStart w:id="41684" w:name="_ETM_Q78_265000"/>
      <w:bookmarkEnd w:id="41684"/>
      <w:r>
        <w:rPr>
          <w:rFonts w:hint="cs"/>
          <w:rtl/>
        </w:rPr>
        <w:t xml:space="preserve"> חשבו רבנן להקריבו משום שלום מלכות, אמרו: הגיע מהקיסר, </w:t>
      </w:r>
      <w:bookmarkStart w:id="41685" w:name="_ETM_Q78_270000"/>
      <w:bookmarkEnd w:id="41685"/>
      <w:r>
        <w:rPr>
          <w:rFonts w:hint="cs"/>
          <w:rtl/>
        </w:rPr>
        <w:t>נכבד אותו, נקריב, למרות שיש בו מום. אמר להם</w:t>
      </w:r>
      <w:bookmarkStart w:id="41686" w:name="_ETM_Q78_274000"/>
      <w:bookmarkEnd w:id="41686"/>
      <w:r>
        <w:rPr>
          <w:rFonts w:hint="cs"/>
          <w:rtl/>
        </w:rPr>
        <w:t xml:space="preserve"> רבי זכריה בן אבקולס: </w:t>
      </w:r>
      <w:r w:rsidR="0066352C">
        <w:rPr>
          <w:rFonts w:hint="cs"/>
          <w:rtl/>
        </w:rPr>
        <w:t>"</w:t>
      </w:r>
      <w:r>
        <w:rPr>
          <w:rFonts w:hint="cs"/>
          <w:rtl/>
        </w:rPr>
        <w:t>יאמרו בעלי מומין קרבין על המזבח</w:t>
      </w:r>
      <w:r w:rsidR="0066352C">
        <w:rPr>
          <w:rFonts w:hint="cs"/>
          <w:rtl/>
        </w:rPr>
        <w:t>"</w:t>
      </w:r>
      <w:r>
        <w:rPr>
          <w:rFonts w:hint="cs"/>
          <w:rtl/>
        </w:rPr>
        <w:t xml:space="preserve">. אמר להם אותו זכריה: למרות שלום מלכות, </w:t>
      </w:r>
      <w:r w:rsidR="0066352C">
        <w:rPr>
          <w:rFonts w:hint="cs"/>
          <w:rtl/>
        </w:rPr>
        <w:t xml:space="preserve">זה </w:t>
      </w:r>
      <w:r>
        <w:rPr>
          <w:rFonts w:hint="cs"/>
          <w:rtl/>
        </w:rPr>
        <w:t xml:space="preserve">לא </w:t>
      </w:r>
      <w:bookmarkStart w:id="41687" w:name="_ETM_Q78_280000"/>
      <w:bookmarkEnd w:id="41687"/>
      <w:r>
        <w:rPr>
          <w:rFonts w:hint="cs"/>
          <w:rtl/>
        </w:rPr>
        <w:t>שווה את זה, כי מישהו יראה ויחשוב שאפשר להקריב בעלי</w:t>
      </w:r>
      <w:bookmarkStart w:id="41688" w:name="_ETM_Q78_284000"/>
      <w:bookmarkEnd w:id="41688"/>
      <w:r>
        <w:rPr>
          <w:rFonts w:hint="cs"/>
          <w:rtl/>
        </w:rPr>
        <w:t xml:space="preserve"> מומים. חשבו להרוג את בר-קמצא, שלא ילך וילשין לקיסר.</w:t>
      </w:r>
      <w:bookmarkStart w:id="41689" w:name="_ETM_Q78_287000"/>
      <w:bookmarkEnd w:id="41689"/>
      <w:r>
        <w:rPr>
          <w:rFonts w:hint="cs"/>
          <w:rtl/>
        </w:rPr>
        <w:t xml:space="preserve"> אמר להם שוב אותו רבי זכריה: </w:t>
      </w:r>
      <w:r w:rsidR="0066352C">
        <w:rPr>
          <w:rFonts w:hint="cs"/>
          <w:rtl/>
        </w:rPr>
        <w:t>"</w:t>
      </w:r>
      <w:r>
        <w:rPr>
          <w:rFonts w:hint="cs"/>
          <w:rtl/>
        </w:rPr>
        <w:t xml:space="preserve">יאמרו, מטיל מום </w:t>
      </w:r>
      <w:bookmarkStart w:id="41690" w:name="_ETM_Q78_290000"/>
      <w:bookmarkEnd w:id="41690"/>
      <w:r>
        <w:rPr>
          <w:rFonts w:hint="cs"/>
          <w:rtl/>
        </w:rPr>
        <w:t>בקדושים ייהרג</w:t>
      </w:r>
      <w:r w:rsidR="0066352C">
        <w:rPr>
          <w:rFonts w:hint="cs"/>
          <w:rtl/>
        </w:rPr>
        <w:t>"</w:t>
      </w:r>
      <w:r>
        <w:rPr>
          <w:rFonts w:hint="cs"/>
          <w:rtl/>
        </w:rPr>
        <w:t xml:space="preserve">. </w:t>
      </w:r>
      <w:bookmarkStart w:id="41691" w:name="_ETM_Q78_294000"/>
      <w:bookmarkEnd w:id="41691"/>
      <w:r>
        <w:rPr>
          <w:rFonts w:hint="cs"/>
          <w:rtl/>
        </w:rPr>
        <w:t xml:space="preserve">אמר רבי יוחנן: "ענוותנותו של רבי זכריה בן </w:t>
      </w:r>
      <w:bookmarkStart w:id="41692" w:name="_ETM_Q78_296000"/>
      <w:bookmarkEnd w:id="41692"/>
      <w:r>
        <w:rPr>
          <w:rFonts w:hint="cs"/>
          <w:rtl/>
        </w:rPr>
        <w:t xml:space="preserve">אבקולס החריבה את ביתנו ושרפה את היכלנו, והגליתנו מארצנו". </w:t>
      </w:r>
    </w:p>
    <w:p w:rsidR="00BB59CD" w:rsidRDefault="00BB59CD" w:rsidP="00BB59CD">
      <w:pPr>
        <w:rPr>
          <w:rtl/>
        </w:rPr>
      </w:pPr>
    </w:p>
    <w:p w:rsidR="0066352C" w:rsidRDefault="00BB59CD" w:rsidP="0066352C">
      <w:pPr>
        <w:rPr>
          <w:rtl/>
        </w:rPr>
      </w:pPr>
      <w:r>
        <w:rPr>
          <w:rFonts w:hint="cs"/>
          <w:rtl/>
        </w:rPr>
        <w:t>אם היו שואלים מי האשמים במה שקרה בסעודה, מן הסתם הרוב</w:t>
      </w:r>
      <w:bookmarkStart w:id="41693" w:name="_ETM_Q78_307000"/>
      <w:bookmarkEnd w:id="41693"/>
      <w:r>
        <w:rPr>
          <w:rFonts w:hint="cs"/>
          <w:rtl/>
        </w:rPr>
        <w:t xml:space="preserve"> היו מציינים את בעל הבית, על שבייש יהודי ברבים, את</w:t>
      </w:r>
      <w:bookmarkStart w:id="41694" w:name="_ETM_Q78_314000"/>
      <w:bookmarkEnd w:id="41694"/>
      <w:r>
        <w:rPr>
          <w:rFonts w:hint="cs"/>
          <w:rtl/>
        </w:rPr>
        <w:t xml:space="preserve"> אותו בר-קמצא, שאולי הוא האשם</w:t>
      </w:r>
      <w:r w:rsidR="0066352C">
        <w:rPr>
          <w:rFonts w:hint="cs"/>
          <w:rtl/>
        </w:rPr>
        <w:t>,</w:t>
      </w:r>
      <w:r>
        <w:rPr>
          <w:rFonts w:hint="cs"/>
          <w:rtl/>
        </w:rPr>
        <w:t xml:space="preserve"> שהלך ושכנע את הקיסר שהיהודים מרדו בו, ואולי גם היינו מטילים אחריות על </w:t>
      </w:r>
      <w:bookmarkStart w:id="41695" w:name="_ETM_Q78_322000"/>
      <w:bookmarkEnd w:id="41695"/>
      <w:r>
        <w:rPr>
          <w:rFonts w:hint="cs"/>
          <w:rtl/>
        </w:rPr>
        <w:t>החכמים שלא ניסו להתערב ולהרגיע את הרוחות. אבל כמו תמיד,</w:t>
      </w:r>
      <w:bookmarkStart w:id="41696" w:name="_ETM_Q78_327000"/>
      <w:bookmarkEnd w:id="41696"/>
      <w:r>
        <w:rPr>
          <w:rFonts w:hint="cs"/>
          <w:rtl/>
        </w:rPr>
        <w:t xml:space="preserve"> במקרה של כישלון גדול, האחריות מוטלת על כולם והיא</w:t>
      </w:r>
      <w:bookmarkStart w:id="41697" w:name="_ETM_Q78_330000"/>
      <w:bookmarkEnd w:id="41697"/>
      <w:r>
        <w:rPr>
          <w:rFonts w:hint="cs"/>
          <w:rtl/>
        </w:rPr>
        <w:t xml:space="preserve"> רחבה הרבה יותר. </w:t>
      </w:r>
    </w:p>
    <w:p w:rsidR="0066352C" w:rsidRDefault="0066352C" w:rsidP="0066352C">
      <w:pPr>
        <w:rPr>
          <w:rtl/>
        </w:rPr>
      </w:pPr>
    </w:p>
    <w:p w:rsidR="00BB59CD" w:rsidRDefault="00BB59CD" w:rsidP="0066352C">
      <w:pPr>
        <w:rPr>
          <w:rtl/>
        </w:rPr>
      </w:pPr>
      <w:r>
        <w:rPr>
          <w:rFonts w:hint="cs"/>
          <w:rtl/>
        </w:rPr>
        <w:t>קודם כול, דווקא השמש, אומר הרב</w:t>
      </w:r>
      <w:bookmarkStart w:id="41698" w:name="_ETM_Q78_333000"/>
      <w:bookmarkEnd w:id="41698"/>
      <w:r>
        <w:rPr>
          <w:rFonts w:hint="cs"/>
          <w:rtl/>
        </w:rPr>
        <w:t xml:space="preserve"> יוני לוין. איך קורית לך טעות איומה כזאת? הרי אתה </w:t>
      </w:r>
      <w:bookmarkStart w:id="41699" w:name="_ETM_Q78_339000"/>
      <w:bookmarkEnd w:id="41699"/>
      <w:r>
        <w:rPr>
          <w:rFonts w:hint="cs"/>
          <w:rtl/>
        </w:rPr>
        <w:t>עובד אצל אותו בעל הבית באופן קבוע, אתה מכיר את</w:t>
      </w:r>
      <w:bookmarkStart w:id="41700" w:name="_ETM_Q78_342000"/>
      <w:bookmarkEnd w:id="41700"/>
      <w:r>
        <w:rPr>
          <w:rFonts w:hint="cs"/>
          <w:rtl/>
        </w:rPr>
        <w:t xml:space="preserve"> מי הוא אוהב, את מי </w:t>
      </w:r>
      <w:r w:rsidR="0066352C">
        <w:rPr>
          <w:rFonts w:hint="cs"/>
          <w:rtl/>
        </w:rPr>
        <w:t>הוא</w:t>
      </w:r>
      <w:r>
        <w:rPr>
          <w:rFonts w:hint="cs"/>
          <w:rtl/>
        </w:rPr>
        <w:t xml:space="preserve"> שונא. תיזהר יותר. אתה חייב לדקדק ולבצע את השליחות שלך כמו שצריך.</w:t>
      </w:r>
      <w:bookmarkStart w:id="41701" w:name="_ETM_Q78_348000"/>
      <w:bookmarkStart w:id="41702" w:name="_ETM_Q78_349000"/>
      <w:bookmarkEnd w:id="41701"/>
      <w:bookmarkEnd w:id="41702"/>
      <w:r w:rsidR="0066352C">
        <w:rPr>
          <w:rFonts w:hint="cs"/>
          <w:rtl/>
        </w:rPr>
        <w:t xml:space="preserve"> ו</w:t>
      </w:r>
      <w:r>
        <w:rPr>
          <w:rFonts w:hint="cs"/>
          <w:rtl/>
        </w:rPr>
        <w:t>בר-קמצא, למה</w:t>
      </w:r>
      <w:bookmarkStart w:id="41703" w:name="_ETM_Q78_352000"/>
      <w:bookmarkEnd w:id="41703"/>
      <w:r>
        <w:rPr>
          <w:rFonts w:hint="cs"/>
          <w:rtl/>
        </w:rPr>
        <w:t xml:space="preserve"> הוא הגיע לסעודה של האויב הגדול שלו? הרי הוא</w:t>
      </w:r>
      <w:bookmarkStart w:id="41704" w:name="_ETM_Q78_355000"/>
      <w:bookmarkEnd w:id="41704"/>
      <w:r>
        <w:rPr>
          <w:rFonts w:hint="cs"/>
          <w:rtl/>
        </w:rPr>
        <w:t xml:space="preserve"> יודע שהוא שונא אותו. ואם אתה רוצה להגיע בכל זאת,</w:t>
      </w:r>
      <w:bookmarkStart w:id="41705" w:name="_ETM_Q78_359000"/>
      <w:bookmarkEnd w:id="41705"/>
      <w:r>
        <w:rPr>
          <w:rFonts w:hint="cs"/>
          <w:rtl/>
        </w:rPr>
        <w:t xml:space="preserve"> תיכנס, תיגש אליו, תגיד שלום, תלחץ את היד. תשלימו. הרי </w:t>
      </w:r>
      <w:bookmarkStart w:id="41706" w:name="_ETM_Q78_362000"/>
      <w:bookmarkEnd w:id="41706"/>
      <w:r>
        <w:rPr>
          <w:rFonts w:hint="cs"/>
          <w:rtl/>
        </w:rPr>
        <w:t>מריבה של 20 שנה לא תימחה ברגע. ומה</w:t>
      </w:r>
      <w:bookmarkStart w:id="41707" w:name="_ETM_Q78_367000"/>
      <w:bookmarkEnd w:id="41707"/>
      <w:r>
        <w:rPr>
          <w:rFonts w:hint="cs"/>
          <w:rtl/>
        </w:rPr>
        <w:t xml:space="preserve"> קורה בפועל? אותו בר-קמצא מגיע אבל במקום לעשות מה</w:t>
      </w:r>
      <w:bookmarkStart w:id="41708" w:name="_ETM_Q78_368000"/>
      <w:bookmarkEnd w:id="41708"/>
      <w:r>
        <w:rPr>
          <w:rFonts w:hint="cs"/>
          <w:rtl/>
        </w:rPr>
        <w:t xml:space="preserve"> שהוא צריך, הוא הולך, מתיישב על האוכל, מתחיל לאכול, וממילא,</w:t>
      </w:r>
      <w:bookmarkStart w:id="41709" w:name="_ETM_Q78_373000"/>
      <w:bookmarkEnd w:id="41709"/>
      <w:r>
        <w:rPr>
          <w:rFonts w:hint="cs"/>
          <w:rtl/>
        </w:rPr>
        <w:t xml:space="preserve"> כעבור חמש דקות, כשבעל הבית משוטט בין האורחים, הוא מופתע</w:t>
      </w:r>
      <w:bookmarkStart w:id="41710" w:name="_ETM_Q78_379000"/>
      <w:bookmarkEnd w:id="41710"/>
      <w:r>
        <w:rPr>
          <w:rFonts w:hint="cs"/>
          <w:rtl/>
        </w:rPr>
        <w:t xml:space="preserve"> לגלות את שונאו יושב שם. בעל הבית כמובן הוא אחד </w:t>
      </w:r>
      <w:bookmarkStart w:id="41711" w:name="_ETM_Q78_382000"/>
      <w:bookmarkEnd w:id="41711"/>
      <w:r>
        <w:rPr>
          <w:rFonts w:hint="cs"/>
          <w:rtl/>
        </w:rPr>
        <w:t xml:space="preserve">האשמים. הוא גם פונה לבר-קמצא בגוף שלישי, לא מרוב </w:t>
      </w:r>
      <w:bookmarkStart w:id="41712" w:name="_ETM_Q78_388000"/>
      <w:bookmarkEnd w:id="41712"/>
      <w:r>
        <w:rPr>
          <w:rFonts w:hint="cs"/>
          <w:rtl/>
        </w:rPr>
        <w:t>כבוד, להפך, והשנאה רבת השנים, אנחנו מגלים מהר מאוד, לא</w:t>
      </w:r>
      <w:bookmarkStart w:id="41713" w:name="_ETM_Q78_393000"/>
      <w:bookmarkEnd w:id="41713"/>
      <w:r>
        <w:rPr>
          <w:rFonts w:hint="cs"/>
          <w:rtl/>
        </w:rPr>
        <w:t xml:space="preserve"> נעלמה לשום מקום. </w:t>
      </w:r>
      <w:bookmarkStart w:id="41714" w:name="_ETM_Q78_395000"/>
      <w:bookmarkEnd w:id="41714"/>
      <w:r>
        <w:rPr>
          <w:rFonts w:hint="cs"/>
          <w:rtl/>
        </w:rPr>
        <w:t xml:space="preserve">אתה לא חייב לארח את מי </w:t>
      </w:r>
      <w:bookmarkStart w:id="41715" w:name="_ETM_Q78_396000"/>
      <w:bookmarkEnd w:id="41715"/>
      <w:r>
        <w:rPr>
          <w:rFonts w:hint="cs"/>
          <w:rtl/>
        </w:rPr>
        <w:t>שאתה לא רוצה, נכון, אבל אתה גם לא חייב להשפיל,</w:t>
      </w:r>
      <w:bookmarkStart w:id="41716" w:name="_ETM_Q78_398000"/>
      <w:bookmarkEnd w:id="41716"/>
      <w:r>
        <w:rPr>
          <w:rFonts w:hint="cs"/>
          <w:rtl/>
        </w:rPr>
        <w:t xml:space="preserve"> או אסור לך להלבין פניו של אדם או לבייש אותו </w:t>
      </w:r>
      <w:bookmarkStart w:id="41717" w:name="_ETM_Q78_402000"/>
      <w:bookmarkEnd w:id="41717"/>
      <w:r>
        <w:rPr>
          <w:rFonts w:hint="cs"/>
          <w:rtl/>
        </w:rPr>
        <w:t>לפני אולם שלם. כמובן שהחכמים שיושבים בסעודה, עליהם יש</w:t>
      </w:r>
      <w:bookmarkStart w:id="41718" w:name="_ETM_Q78_406000"/>
      <w:bookmarkEnd w:id="41718"/>
      <w:r>
        <w:rPr>
          <w:rFonts w:hint="cs"/>
          <w:rtl/>
        </w:rPr>
        <w:t xml:space="preserve"> אחריות כבדה. הרי למה הם לא מתערבים? יכול </w:t>
      </w:r>
      <w:bookmarkStart w:id="41719" w:name="_ETM_Q78_412000"/>
      <w:bookmarkEnd w:id="41719"/>
      <w:r>
        <w:rPr>
          <w:rFonts w:hint="cs"/>
          <w:rtl/>
        </w:rPr>
        <w:t xml:space="preserve">להיות שהם חששו שההתערבות רק תלבה את הרוחות, </w:t>
      </w:r>
      <w:bookmarkStart w:id="41720" w:name="_ETM_Q78_415000"/>
      <w:bookmarkEnd w:id="41720"/>
      <w:r>
        <w:rPr>
          <w:rFonts w:hint="cs"/>
          <w:rtl/>
        </w:rPr>
        <w:t>אולי פחדו שבעל הבית יזרוק גם אותם, לא ברור, אבל</w:t>
      </w:r>
      <w:bookmarkStart w:id="41721" w:name="_ETM_Q78_419000"/>
      <w:bookmarkEnd w:id="41721"/>
      <w:r>
        <w:rPr>
          <w:rFonts w:hint="cs"/>
          <w:rtl/>
        </w:rPr>
        <w:t xml:space="preserve"> מכל מקום, היה מצופה שהם לא ישבו בחיבוק ידיים אלא ינסו להרגיע, לנסות לפשר. ואפילו קמצא אשם, כי אם</w:t>
      </w:r>
      <w:bookmarkStart w:id="41722" w:name="_ETM_Q78_428000"/>
      <w:bookmarkEnd w:id="41722"/>
      <w:r>
        <w:rPr>
          <w:rFonts w:hint="cs"/>
          <w:rtl/>
        </w:rPr>
        <w:t xml:space="preserve"> חשבתם שלפחות הוא נקי יוצא מהעניין – לא בטוח. אומנם הוא לא נטל חלק פעיל בכל ההתרחשות, אבל אולי זאת</w:t>
      </w:r>
      <w:bookmarkStart w:id="41723" w:name="_ETM_Q78_434000"/>
      <w:bookmarkEnd w:id="41723"/>
      <w:r>
        <w:rPr>
          <w:rFonts w:hint="cs"/>
          <w:rtl/>
        </w:rPr>
        <w:t xml:space="preserve"> בדיוק הבעיה. נניח שאתה יודע שהחבר הכי טוב שלך עושה</w:t>
      </w:r>
      <w:bookmarkStart w:id="41724" w:name="_ETM_Q78_439000"/>
      <w:bookmarkEnd w:id="41724"/>
      <w:r>
        <w:rPr>
          <w:rFonts w:hint="cs"/>
          <w:rtl/>
        </w:rPr>
        <w:t xml:space="preserve"> אירוע גדול ולא קיבלת הזמנה – לך תברר, אולי הייתה </w:t>
      </w:r>
      <w:bookmarkStart w:id="41725" w:name="_ETM_Q78_442000"/>
      <w:bookmarkEnd w:id="41725"/>
      <w:r>
        <w:rPr>
          <w:rFonts w:hint="cs"/>
          <w:rtl/>
        </w:rPr>
        <w:t>איזו תקלה. לא נעים לך? תבדוק דרך מישהו אחר. אבל</w:t>
      </w:r>
      <w:bookmarkStart w:id="41726" w:name="_ETM_Q78_449000"/>
      <w:bookmarkEnd w:id="41726"/>
      <w:r>
        <w:rPr>
          <w:rFonts w:hint="cs"/>
          <w:rtl/>
        </w:rPr>
        <w:t xml:space="preserve"> משהו כנראה מעיד פה שהחברות לא הייתה כזאת קרובה. </w:t>
      </w:r>
    </w:p>
    <w:p w:rsidR="00BB59CD" w:rsidRDefault="00BB59CD" w:rsidP="00BB59CD">
      <w:pPr>
        <w:rPr>
          <w:rtl/>
        </w:rPr>
      </w:pPr>
    </w:p>
    <w:p w:rsidR="00BB59CD" w:rsidRDefault="00BB59CD" w:rsidP="000B58A5">
      <w:pPr>
        <w:rPr>
          <w:rtl/>
        </w:rPr>
      </w:pPr>
      <w:bookmarkStart w:id="41727" w:name="_ETM_Q78_450000"/>
      <w:bookmarkEnd w:id="41727"/>
      <w:r>
        <w:rPr>
          <w:rFonts w:hint="cs"/>
          <w:rtl/>
        </w:rPr>
        <w:t>ומכל</w:t>
      </w:r>
      <w:bookmarkStart w:id="41728" w:name="_ETM_Q78_452000"/>
      <w:bookmarkEnd w:id="41728"/>
      <w:r>
        <w:rPr>
          <w:rFonts w:hint="cs"/>
          <w:rtl/>
        </w:rPr>
        <w:t xml:space="preserve"> מה שלמדנו עולה תשובה על התמיהה הגדולה שפתחנו בה: מה,</w:t>
      </w:r>
      <w:bookmarkStart w:id="41729" w:name="_ETM_Q78_457000"/>
      <w:bookmarkEnd w:id="41729"/>
      <w:r>
        <w:rPr>
          <w:rFonts w:hint="cs"/>
          <w:rtl/>
        </w:rPr>
        <w:t xml:space="preserve"> על קמצא ובר-קמצא חרבה ירושלים? איפה הגמרא </w:t>
      </w:r>
      <w:r w:rsidR="000B58A5">
        <w:rPr>
          <w:rFonts w:hint="eastAsia"/>
          <w:rtl/>
        </w:rPr>
        <w:t>–</w:t>
      </w:r>
      <w:r w:rsidR="000B58A5">
        <w:rPr>
          <w:rFonts w:hint="cs"/>
          <w:rtl/>
        </w:rPr>
        <w:t xml:space="preserve"> </w:t>
      </w:r>
      <w:r>
        <w:rPr>
          <w:rFonts w:hint="cs"/>
          <w:rtl/>
        </w:rPr>
        <w:t>מהסיפור הקשה</w:t>
      </w:r>
      <w:bookmarkStart w:id="41730" w:name="_ETM_Q78_461000"/>
      <w:bookmarkEnd w:id="41730"/>
      <w:r>
        <w:rPr>
          <w:rFonts w:hint="cs"/>
          <w:rtl/>
        </w:rPr>
        <w:t xml:space="preserve"> הזה, שראינו כמה אשמים יש בו </w:t>
      </w:r>
      <w:r w:rsidR="000B58A5">
        <w:rPr>
          <w:rFonts w:hint="eastAsia"/>
          <w:rtl/>
        </w:rPr>
        <w:t>–</w:t>
      </w:r>
      <w:r w:rsidR="000B58A5">
        <w:rPr>
          <w:rFonts w:hint="cs"/>
          <w:rtl/>
        </w:rPr>
        <w:t xml:space="preserve"> </w:t>
      </w:r>
      <w:r>
        <w:rPr>
          <w:rFonts w:hint="cs"/>
          <w:rtl/>
        </w:rPr>
        <w:t xml:space="preserve">איך מפה זה הגיע </w:t>
      </w:r>
      <w:bookmarkStart w:id="41731" w:name="_ETM_Q78_465000"/>
      <w:bookmarkEnd w:id="41731"/>
      <w:r>
        <w:rPr>
          <w:rFonts w:hint="cs"/>
          <w:rtl/>
        </w:rPr>
        <w:t xml:space="preserve">עד למצב שחרבה ירושלים? והמהר"ל מפראג באמת אומר: לא </w:t>
      </w:r>
      <w:bookmarkStart w:id="41732" w:name="_ETM_Q78_468000"/>
      <w:bookmarkEnd w:id="41732"/>
      <w:r>
        <w:rPr>
          <w:rFonts w:hint="cs"/>
          <w:rtl/>
        </w:rPr>
        <w:t>ייתכן שדבר גדול כמו חורבן בית המקדש יתנהל רק בגלל</w:t>
      </w:r>
      <w:bookmarkStart w:id="41733" w:name="_ETM_Q78_472000"/>
      <w:bookmarkEnd w:id="41733"/>
      <w:r>
        <w:rPr>
          <w:rFonts w:hint="cs"/>
          <w:rtl/>
        </w:rPr>
        <w:t xml:space="preserve"> מריבה קטנה בין שני אנשים. אבל כנראה שחז"ל, בדברים שלהם, </w:t>
      </w:r>
      <w:bookmarkStart w:id="41734" w:name="_ETM_Q78_478000"/>
      <w:bookmarkEnd w:id="41734"/>
      <w:r>
        <w:rPr>
          <w:rFonts w:hint="cs"/>
          <w:rtl/>
        </w:rPr>
        <w:t>באו להצביע על מציאות מקולקלת הרבה יותר שהייתה קיימת בירושלים,</w:t>
      </w:r>
      <w:bookmarkStart w:id="41735" w:name="_ETM_Q78_485000"/>
      <w:bookmarkEnd w:id="41735"/>
      <w:r>
        <w:rPr>
          <w:rFonts w:hint="cs"/>
          <w:rtl/>
        </w:rPr>
        <w:t xml:space="preserve"> וזאת רק דוגמה, והיא זאת שגלגלה לחורבן. </w:t>
      </w:r>
    </w:p>
    <w:p w:rsidR="00BB59CD" w:rsidRDefault="00BB59CD" w:rsidP="00BB59CD">
      <w:pPr>
        <w:rPr>
          <w:rtl/>
        </w:rPr>
      </w:pPr>
    </w:p>
    <w:p w:rsidR="00BB59CD" w:rsidRDefault="00BB59CD" w:rsidP="00BB59CD">
      <w:pPr>
        <w:rPr>
          <w:rtl/>
        </w:rPr>
      </w:pPr>
      <w:r>
        <w:rPr>
          <w:rFonts w:hint="cs"/>
          <w:rtl/>
        </w:rPr>
        <w:t>במילים המדויקות שלהם</w:t>
      </w:r>
      <w:bookmarkStart w:id="41736" w:name="_ETM_Q78_489000"/>
      <w:bookmarkEnd w:id="41736"/>
      <w:r>
        <w:rPr>
          <w:rFonts w:hint="cs"/>
          <w:rtl/>
        </w:rPr>
        <w:t xml:space="preserve">, הם הגדירו בקצרה ובחדות את הבעיה: </w:t>
      </w:r>
      <w:r w:rsidR="000B58A5">
        <w:rPr>
          <w:rFonts w:hint="cs"/>
          <w:rtl/>
        </w:rPr>
        <w:t>"</w:t>
      </w:r>
      <w:r>
        <w:rPr>
          <w:rFonts w:hint="cs"/>
          <w:rtl/>
        </w:rPr>
        <w:t>על</w:t>
      </w:r>
      <w:bookmarkStart w:id="41737" w:name="_ETM_Q78_493000"/>
      <w:bookmarkEnd w:id="41737"/>
      <w:r>
        <w:rPr>
          <w:rFonts w:hint="cs"/>
          <w:rtl/>
        </w:rPr>
        <w:t xml:space="preserve"> קמצא ובר-קמצא חרבה ירושלים</w:t>
      </w:r>
      <w:r w:rsidR="000B58A5">
        <w:rPr>
          <w:rFonts w:hint="cs"/>
          <w:rtl/>
        </w:rPr>
        <w:t>"</w:t>
      </w:r>
      <w:r>
        <w:rPr>
          <w:rFonts w:hint="cs"/>
          <w:rtl/>
        </w:rPr>
        <w:t xml:space="preserve">, אבל כנראה </w:t>
      </w:r>
      <w:bookmarkStart w:id="41738" w:name="_ETM_Q78_497000"/>
      <w:bookmarkEnd w:id="41738"/>
      <w:r>
        <w:rPr>
          <w:rFonts w:hint="cs"/>
          <w:rtl/>
        </w:rPr>
        <w:t xml:space="preserve">הם ניסו להגיד שבגלל התופעה השלילית, שלכל אדם יש מין </w:t>
      </w:r>
      <w:bookmarkStart w:id="41739" w:name="_ETM_Q78_501000"/>
      <w:bookmarkEnd w:id="41739"/>
      <w:r>
        <w:rPr>
          <w:rFonts w:hint="cs"/>
          <w:rtl/>
        </w:rPr>
        <w:t>קמצא כזה או מין בר-קמצא כזה משלו,</w:t>
      </w:r>
      <w:bookmarkStart w:id="41740" w:name="_ETM_Q78_504000"/>
      <w:bookmarkEnd w:id="41740"/>
      <w:r>
        <w:rPr>
          <w:rFonts w:hint="cs"/>
          <w:rtl/>
        </w:rPr>
        <w:t xml:space="preserve"> מישהו שהוא שונא, מישהו שהוא מתעב, מישהו שהוא</w:t>
      </w:r>
      <w:bookmarkStart w:id="41741" w:name="_ETM_Q78_507000"/>
      <w:bookmarkEnd w:id="41741"/>
      <w:r>
        <w:rPr>
          <w:rFonts w:hint="cs"/>
          <w:rtl/>
        </w:rPr>
        <w:t xml:space="preserve"> מוכן לעשות הכול כדי לפגוע בו ולהרע לו ומישהו שהוא</w:t>
      </w:r>
      <w:bookmarkStart w:id="41742" w:name="_ETM_Q78_511000"/>
      <w:bookmarkEnd w:id="41742"/>
      <w:r>
        <w:rPr>
          <w:rFonts w:hint="cs"/>
          <w:rtl/>
        </w:rPr>
        <w:t xml:space="preserve"> אוהב ואיתו כורת ברית. </w:t>
      </w:r>
      <w:bookmarkStart w:id="41743" w:name="_ETM_Q78_517000"/>
      <w:bookmarkEnd w:id="41743"/>
      <w:r>
        <w:rPr>
          <w:rFonts w:hint="cs"/>
          <w:rtl/>
        </w:rPr>
        <w:t xml:space="preserve">אבל לא בטוח שיש הבדל גדול כזה בין אוהב לשונא. זה לא מנע מהמחלוקת והסכסוך והעוינות </w:t>
      </w:r>
      <w:bookmarkStart w:id="41744" w:name="_ETM_Q78_521000"/>
      <w:bookmarkEnd w:id="41744"/>
      <w:r>
        <w:rPr>
          <w:rFonts w:hint="cs"/>
          <w:rtl/>
        </w:rPr>
        <w:t xml:space="preserve">להרקיע שחקים. </w:t>
      </w:r>
    </w:p>
    <w:p w:rsidR="00BB59CD" w:rsidRDefault="00BB59CD" w:rsidP="00BB59CD">
      <w:pPr>
        <w:rPr>
          <w:rtl/>
        </w:rPr>
      </w:pPr>
    </w:p>
    <w:p w:rsidR="00BB59CD" w:rsidRDefault="00BB59CD" w:rsidP="000B58A5">
      <w:pPr>
        <w:rPr>
          <w:rtl/>
        </w:rPr>
      </w:pPr>
      <w:r>
        <w:rPr>
          <w:rFonts w:hint="cs"/>
          <w:rtl/>
        </w:rPr>
        <w:t>רק כדי להמחיש את המציאות הקשה בירושלים</w:t>
      </w:r>
      <w:bookmarkStart w:id="41745" w:name="_ETM_Q78_525000"/>
      <w:bookmarkEnd w:id="41745"/>
      <w:r>
        <w:rPr>
          <w:rFonts w:hint="cs"/>
          <w:rtl/>
        </w:rPr>
        <w:t xml:space="preserve"> באותן שנים – אנחנו מדברים על אלפי שנים אחורה, שלא</w:t>
      </w:r>
      <w:bookmarkStart w:id="41746" w:name="_ETM_Q78_528000"/>
      <w:bookmarkEnd w:id="41746"/>
      <w:r>
        <w:rPr>
          <w:rFonts w:hint="cs"/>
          <w:rtl/>
        </w:rPr>
        <w:t xml:space="preserve"> נדע את זה בימינו – חז"ל מספרים שבזמן המלחמה על</w:t>
      </w:r>
      <w:bookmarkStart w:id="41747" w:name="_ETM_Q78_533000"/>
      <w:bookmarkEnd w:id="41747"/>
      <w:r>
        <w:rPr>
          <w:rFonts w:hint="cs"/>
          <w:rtl/>
        </w:rPr>
        <w:t xml:space="preserve"> ירושלים היה בתוכה את כל הדרוש כדי להחזיק מעמד</w:t>
      </w:r>
      <w:bookmarkStart w:id="41748" w:name="_ETM_Q78_537000"/>
      <w:bookmarkEnd w:id="41748"/>
      <w:r>
        <w:rPr>
          <w:rFonts w:hint="cs"/>
          <w:rtl/>
        </w:rPr>
        <w:t xml:space="preserve"> אל מול האויב גם במצור ממושך. רק לשלושת עשירי</w:t>
      </w:r>
      <w:bookmarkStart w:id="41749" w:name="_ETM_Q78_542000"/>
      <w:bookmarkEnd w:id="41749"/>
      <w:r>
        <w:rPr>
          <w:rFonts w:hint="cs"/>
          <w:rtl/>
        </w:rPr>
        <w:t xml:space="preserve"> העיר היו מחסני מזון וציוד ענקיים שהיו יכולים להספיק ל-21 </w:t>
      </w:r>
      <w:bookmarkStart w:id="41750" w:name="_ETM_Q78_547000"/>
      <w:bookmarkEnd w:id="41750"/>
      <w:r>
        <w:rPr>
          <w:rFonts w:hint="cs"/>
          <w:rtl/>
        </w:rPr>
        <w:t>שנה של עמידה במצור. בזמן כה ממושך סביר להניח שהאויב</w:t>
      </w:r>
      <w:bookmarkStart w:id="41751" w:name="_ETM_Q78_551000"/>
      <w:bookmarkEnd w:id="41751"/>
      <w:r>
        <w:rPr>
          <w:rFonts w:hint="cs"/>
          <w:rtl/>
        </w:rPr>
        <w:t xml:space="preserve"> היה כבר מתייאש והולך. </w:t>
      </w:r>
      <w:bookmarkStart w:id="41752" w:name="_ETM_Q78_554000"/>
      <w:bookmarkEnd w:id="41752"/>
      <w:r>
        <w:rPr>
          <w:rFonts w:hint="cs"/>
          <w:rtl/>
        </w:rPr>
        <w:t xml:space="preserve">מה קרה בפועל? הכול עלה באש. המחסנים נשרפו בכוונה בתוך המריבות הפנימיות שהיו בתוך ירושלים. התוצאה </w:t>
      </w:r>
      <w:bookmarkStart w:id="41753" w:name="_ETM_Q78_562000"/>
      <w:bookmarkEnd w:id="41753"/>
      <w:r>
        <w:rPr>
          <w:rFonts w:hint="cs"/>
          <w:rtl/>
        </w:rPr>
        <w:t>– ירושלים נפלה במצור בגלל הרעב והחולשה, בגלל המריבות</w:t>
      </w:r>
      <w:bookmarkStart w:id="41754" w:name="_ETM_Q78_568000"/>
      <w:bookmarkEnd w:id="41754"/>
      <w:r>
        <w:rPr>
          <w:rFonts w:hint="cs"/>
          <w:rtl/>
        </w:rPr>
        <w:t xml:space="preserve"> הפנימיות. משם בא המושג "שורפי אסמים".</w:t>
      </w:r>
    </w:p>
    <w:p w:rsidR="00BB59CD" w:rsidRDefault="00BB59CD" w:rsidP="00BB59CD">
      <w:pPr>
        <w:rPr>
          <w:rtl/>
        </w:rPr>
      </w:pPr>
      <w:r>
        <w:rPr>
          <w:rFonts w:hint="cs"/>
          <w:rtl/>
        </w:rPr>
        <w:t xml:space="preserve"> </w:t>
      </w:r>
    </w:p>
    <w:p w:rsidR="00BB59CD" w:rsidRDefault="00BB59CD" w:rsidP="000B58A5">
      <w:pPr>
        <w:rPr>
          <w:rtl/>
        </w:rPr>
      </w:pPr>
      <w:bookmarkStart w:id="41755" w:name="_ETM_Q78_570000"/>
      <w:bookmarkEnd w:id="41755"/>
      <w:r>
        <w:rPr>
          <w:rFonts w:hint="cs"/>
          <w:rtl/>
        </w:rPr>
        <w:t>ואולי יש פה עוד</w:t>
      </w:r>
      <w:bookmarkStart w:id="41756" w:name="_ETM_Q78_569000"/>
      <w:bookmarkEnd w:id="41756"/>
      <w:r>
        <w:rPr>
          <w:rFonts w:hint="cs"/>
          <w:rtl/>
        </w:rPr>
        <w:t xml:space="preserve"> הערה חשובה: כשיש תופעה של מריבות, סכסוכים וב</w:t>
      </w:r>
      <w:r w:rsidR="000B58A5">
        <w:rPr>
          <w:rFonts w:hint="cs"/>
          <w:rtl/>
        </w:rPr>
        <w:t>ר</w:t>
      </w:r>
      <w:r>
        <w:rPr>
          <w:rFonts w:hint="cs"/>
          <w:rtl/>
        </w:rPr>
        <w:t>י</w:t>
      </w:r>
      <w:r w:rsidR="000B58A5">
        <w:rPr>
          <w:rFonts w:hint="cs"/>
          <w:rtl/>
        </w:rPr>
        <w:t>ת</w:t>
      </w:r>
      <w:r>
        <w:rPr>
          <w:rFonts w:hint="cs"/>
          <w:rtl/>
        </w:rPr>
        <w:t>ות הגנה,</w:t>
      </w:r>
      <w:bookmarkStart w:id="41757" w:name="_ETM_Q78_576000"/>
      <w:bookmarkEnd w:id="41757"/>
      <w:r>
        <w:rPr>
          <w:rFonts w:hint="cs"/>
          <w:rtl/>
        </w:rPr>
        <w:t xml:space="preserve"> מה שחז"ל קוראים, יש פה אולי אהבה אינטרסנטית, אהבה </w:t>
      </w:r>
      <w:bookmarkStart w:id="41758" w:name="_ETM_Q78_583000"/>
      <w:bookmarkEnd w:id="41758"/>
      <w:r>
        <w:rPr>
          <w:rFonts w:hint="cs"/>
          <w:rtl/>
        </w:rPr>
        <w:t>שתלויה בדבר. המטרה שלה אולי להתאחד יחד נגד צד אחר,</w:t>
      </w:r>
      <w:bookmarkStart w:id="41759" w:name="_ETM_Q78_585000"/>
      <w:bookmarkEnd w:id="41759"/>
      <w:r>
        <w:rPr>
          <w:rFonts w:hint="cs"/>
          <w:rtl/>
        </w:rPr>
        <w:t xml:space="preserve"> אבל כשזה לא משתלם מול האויב החיצוני, זה פשוט מתפרק</w:t>
      </w:r>
      <w:bookmarkStart w:id="41760" w:name="_ETM_Q78_591000"/>
      <w:bookmarkEnd w:id="41760"/>
      <w:r>
        <w:rPr>
          <w:rFonts w:hint="cs"/>
          <w:rtl/>
        </w:rPr>
        <w:t xml:space="preserve"> מבפנים. </w:t>
      </w:r>
    </w:p>
    <w:p w:rsidR="00BB59CD" w:rsidRDefault="00BB59CD" w:rsidP="00BB59CD">
      <w:pPr>
        <w:rPr>
          <w:rtl/>
        </w:rPr>
      </w:pPr>
    </w:p>
    <w:p w:rsidR="00BB59CD" w:rsidRDefault="00BB59CD" w:rsidP="000B58A5">
      <w:pPr>
        <w:rPr>
          <w:rtl/>
        </w:rPr>
      </w:pPr>
      <w:bookmarkStart w:id="41761" w:name="_ETM_Q78_592000"/>
      <w:bookmarkEnd w:id="41761"/>
      <w:r>
        <w:rPr>
          <w:rFonts w:hint="cs"/>
          <w:rtl/>
        </w:rPr>
        <w:t>וגם בחלק השני של הסיפור, כשבר-קמצא הולך לקיסר, מלשין</w:t>
      </w:r>
      <w:bookmarkStart w:id="41762" w:name="_ETM_Q78_600000"/>
      <w:bookmarkEnd w:id="41762"/>
      <w:r>
        <w:rPr>
          <w:rFonts w:hint="cs"/>
          <w:rtl/>
        </w:rPr>
        <w:t xml:space="preserve"> ומדליק אותו, ואומר: מרדו בך היהודים, והוא שואל </w:t>
      </w:r>
      <w:bookmarkStart w:id="41763" w:name="_ETM_Q78_602000"/>
      <w:bookmarkEnd w:id="41763"/>
      <w:r>
        <w:rPr>
          <w:rFonts w:hint="cs"/>
          <w:rtl/>
        </w:rPr>
        <w:t>אותו: מנין ל</w:t>
      </w:r>
      <w:r w:rsidR="000B58A5">
        <w:rPr>
          <w:rFonts w:hint="cs"/>
          <w:rtl/>
        </w:rPr>
        <w:t>ך</w:t>
      </w:r>
      <w:r>
        <w:rPr>
          <w:rFonts w:hint="cs"/>
          <w:rtl/>
        </w:rPr>
        <w:t>? והוא אומר לו: שלח להם קורבן ותראה,</w:t>
      </w:r>
      <w:bookmarkStart w:id="41764" w:name="_ETM_Q78_606000"/>
      <w:bookmarkEnd w:id="41764"/>
      <w:r>
        <w:rPr>
          <w:rFonts w:hint="cs"/>
          <w:rtl/>
        </w:rPr>
        <w:t xml:space="preserve"> ואז מחבל באותו עגל </w:t>
      </w:r>
      <w:r w:rsidR="000B58A5">
        <w:rPr>
          <w:rFonts w:hint="eastAsia"/>
          <w:rtl/>
        </w:rPr>
        <w:t>–</w:t>
      </w:r>
      <w:r w:rsidR="000B58A5">
        <w:rPr>
          <w:rFonts w:hint="cs"/>
          <w:rtl/>
        </w:rPr>
        <w:t xml:space="preserve"> </w:t>
      </w:r>
      <w:r>
        <w:rPr>
          <w:rFonts w:hint="cs"/>
          <w:rtl/>
        </w:rPr>
        <w:t>קודם כול, יכול להיות שיש משמעות</w:t>
      </w:r>
      <w:bookmarkStart w:id="41765" w:name="_ETM_Q78_609000"/>
      <w:bookmarkEnd w:id="41765"/>
      <w:r>
        <w:rPr>
          <w:rFonts w:hint="cs"/>
          <w:rtl/>
        </w:rPr>
        <w:t xml:space="preserve"> גם לזה שהוא פוגע דווקא בשפתיים ובעין; אולי עניין של</w:t>
      </w:r>
      <w:bookmarkStart w:id="41766" w:name="_ETM_Q78_612000"/>
      <w:bookmarkEnd w:id="41766"/>
      <w:r>
        <w:rPr>
          <w:rFonts w:hint="cs"/>
          <w:rtl/>
        </w:rPr>
        <w:t xml:space="preserve"> עין טובה, אולי הדברים שאנחנו מעלים על לשוננו. אבל הרבנים</w:t>
      </w:r>
      <w:bookmarkStart w:id="41767" w:name="_ETM_Q78_620000"/>
      <w:bookmarkEnd w:id="41767"/>
      <w:r>
        <w:rPr>
          <w:rFonts w:hint="cs"/>
          <w:rtl/>
        </w:rPr>
        <w:t xml:space="preserve"> שם מבינים שאולי משלום מלכות שווה לעשות</w:t>
      </w:r>
      <w:bookmarkStart w:id="41768" w:name="_ETM_Q78_622000"/>
      <w:bookmarkEnd w:id="41768"/>
      <w:r>
        <w:rPr>
          <w:rFonts w:hint="cs"/>
          <w:rtl/>
        </w:rPr>
        <w:t xml:space="preserve"> את זה, אבל אז רבי זכריה בן אבקולס מתחיל לדקדק</w:t>
      </w:r>
      <w:bookmarkStart w:id="41769" w:name="_ETM_Q78_625000"/>
      <w:bookmarkEnd w:id="41769"/>
      <w:r>
        <w:rPr>
          <w:rFonts w:hint="cs"/>
          <w:rtl/>
        </w:rPr>
        <w:t xml:space="preserve">, ולפעמים </w:t>
      </w:r>
      <w:r>
        <w:t>over</w:t>
      </w:r>
      <w:r>
        <w:rPr>
          <w:rFonts w:hint="cs"/>
          <w:rtl/>
        </w:rPr>
        <w:t xml:space="preserve"> דקדוקים יכולים להביא אותנו עד</w:t>
      </w:r>
      <w:bookmarkStart w:id="41770" w:name="_ETM_Q78_631000"/>
      <w:bookmarkEnd w:id="41770"/>
      <w:r>
        <w:rPr>
          <w:rFonts w:hint="cs"/>
          <w:rtl/>
        </w:rPr>
        <w:t xml:space="preserve"> חורבן; לפעמים ענוותנות מוגזמת, הקפדה על דיני תורה, גם היא </w:t>
      </w:r>
      <w:bookmarkStart w:id="41771" w:name="_ETM_Q78_636000"/>
      <w:bookmarkEnd w:id="41771"/>
      <w:r>
        <w:rPr>
          <w:rFonts w:hint="cs"/>
          <w:rtl/>
        </w:rPr>
        <w:t>מסוכנת. באמת, אחת הפרשנויות לחורבן בית המקדש היא שאומרים שה</w:t>
      </w:r>
      <w:bookmarkStart w:id="41772" w:name="_ETM_Q78_640000"/>
      <w:bookmarkEnd w:id="41772"/>
      <w:r>
        <w:rPr>
          <w:rFonts w:hint="cs"/>
          <w:rtl/>
        </w:rPr>
        <w:t xml:space="preserve">וא חרב על שדנו בו דין תורה. אתה יכול להגיד: </w:t>
      </w:r>
      <w:bookmarkStart w:id="41773" w:name="_ETM_Q78_644000"/>
      <w:bookmarkEnd w:id="41773"/>
      <w:r>
        <w:rPr>
          <w:rFonts w:hint="cs"/>
          <w:rtl/>
        </w:rPr>
        <w:t>להפך, על דין תורה צריך לבנות מקדש. אומרים: לא,</w:t>
      </w:r>
      <w:bookmarkStart w:id="41774" w:name="_ETM_Q78_647000"/>
      <w:bookmarkEnd w:id="41774"/>
      <w:r>
        <w:rPr>
          <w:rFonts w:hint="cs"/>
          <w:rtl/>
        </w:rPr>
        <w:t xml:space="preserve"> להפך</w:t>
      </w:r>
      <w:r w:rsidR="000B58A5">
        <w:rPr>
          <w:rFonts w:hint="cs"/>
          <w:rtl/>
        </w:rPr>
        <w:t>,</w:t>
      </w:r>
      <w:r>
        <w:rPr>
          <w:rFonts w:hint="cs"/>
          <w:rtl/>
        </w:rPr>
        <w:t xml:space="preserve"> כשיותר מדי מקפידים, כשאין לפנים משורת הדין, גם זאת</w:t>
      </w:r>
      <w:bookmarkStart w:id="41775" w:name="_ETM_Q78_652000"/>
      <w:bookmarkEnd w:id="41775"/>
      <w:r>
        <w:rPr>
          <w:rFonts w:hint="cs"/>
          <w:rtl/>
        </w:rPr>
        <w:t xml:space="preserve"> סכנה גדולה. </w:t>
      </w:r>
    </w:p>
    <w:p w:rsidR="00BB59CD" w:rsidRDefault="00BB59CD" w:rsidP="00BB59CD">
      <w:pPr>
        <w:rPr>
          <w:rtl/>
        </w:rPr>
      </w:pPr>
      <w:bookmarkStart w:id="41776" w:name="_ETM_Q78_654000"/>
      <w:bookmarkEnd w:id="41776"/>
    </w:p>
    <w:p w:rsidR="00BB59CD" w:rsidRDefault="00BB59CD" w:rsidP="000B58A5">
      <w:pPr>
        <w:rPr>
          <w:rtl/>
        </w:rPr>
      </w:pPr>
      <w:bookmarkStart w:id="41777" w:name="_ETM_Q78_655000"/>
      <w:bookmarkEnd w:id="41777"/>
      <w:r>
        <w:rPr>
          <w:rFonts w:hint="cs"/>
          <w:rtl/>
        </w:rPr>
        <w:t xml:space="preserve">קמצא ובר-קמצא, אלפיים שנה אחרי. עצם </w:t>
      </w:r>
      <w:bookmarkStart w:id="41778" w:name="_ETM_Q78_664000"/>
      <w:bookmarkEnd w:id="41778"/>
      <w:r>
        <w:rPr>
          <w:rFonts w:hint="cs"/>
          <w:rtl/>
        </w:rPr>
        <w:t>זה שאנחנו בכלל מרגישים באוויר שיש איזשהו דמיון לסיפורים היסטוריים</w:t>
      </w:r>
      <w:bookmarkStart w:id="41779" w:name="_ETM_Q78_670000"/>
      <w:bookmarkEnd w:id="41779"/>
      <w:r>
        <w:rPr>
          <w:rFonts w:hint="cs"/>
          <w:rtl/>
        </w:rPr>
        <w:t xml:space="preserve"> שעד לפני שנים, אני מניח, לכולנו היו נראים כמו עבר</w:t>
      </w:r>
      <w:bookmarkStart w:id="41780" w:name="_ETM_Q78_672000"/>
      <w:bookmarkEnd w:id="41780"/>
      <w:r>
        <w:rPr>
          <w:rFonts w:hint="cs"/>
          <w:rtl/>
        </w:rPr>
        <w:t xml:space="preserve"> רחוק – לא הצלחנו להבין איך יכול להיות שיהודים נלחמו בתוך</w:t>
      </w:r>
      <w:bookmarkStart w:id="41781" w:name="_ETM_Q78_677000"/>
      <w:bookmarkEnd w:id="41781"/>
      <w:r>
        <w:rPr>
          <w:rFonts w:hint="cs"/>
          <w:rtl/>
        </w:rPr>
        <w:t xml:space="preserve"> עצמם</w:t>
      </w:r>
      <w:r w:rsidR="000B58A5">
        <w:rPr>
          <w:rFonts w:hint="cs"/>
          <w:rtl/>
        </w:rPr>
        <w:t>;</w:t>
      </w:r>
      <w:r>
        <w:rPr>
          <w:rFonts w:hint="cs"/>
          <w:rtl/>
        </w:rPr>
        <w:t xml:space="preserve"> כל זה היה תמיד, לי זה הרגיש לפחות</w:t>
      </w:r>
      <w:bookmarkStart w:id="41782" w:name="_ETM_Q78_680000"/>
      <w:bookmarkEnd w:id="41782"/>
      <w:r>
        <w:rPr>
          <w:rFonts w:hint="cs"/>
          <w:rtl/>
        </w:rPr>
        <w:t>, כמו שיעור היסטוריה רחוק,</w:t>
      </w:r>
      <w:r>
        <w:rPr>
          <w:rFonts w:hint="cs"/>
        </w:rPr>
        <w:t xml:space="preserve"> </w:t>
      </w:r>
      <w:r>
        <w:rPr>
          <w:rFonts w:hint="cs"/>
          <w:rtl/>
        </w:rPr>
        <w:t>משהו שצריך לזכור</w:t>
      </w:r>
      <w:r w:rsidR="000B58A5">
        <w:rPr>
          <w:rFonts w:hint="cs"/>
          <w:rtl/>
        </w:rPr>
        <w:t>, ו</w:t>
      </w:r>
      <w:r>
        <w:rPr>
          <w:rFonts w:hint="cs"/>
          <w:rtl/>
        </w:rPr>
        <w:t>לא האמנתי שיכו</w:t>
      </w:r>
      <w:bookmarkStart w:id="41783" w:name="_ETM_Q78_684000"/>
      <w:bookmarkEnd w:id="41783"/>
      <w:r>
        <w:rPr>
          <w:rFonts w:hint="cs"/>
          <w:rtl/>
        </w:rPr>
        <w:t xml:space="preserve">ל להיות שנגיע למקום הזה. </w:t>
      </w:r>
      <w:bookmarkStart w:id="41784" w:name="_ETM_Q78_685000"/>
      <w:bookmarkEnd w:id="41784"/>
      <w:r>
        <w:rPr>
          <w:rFonts w:hint="cs"/>
          <w:rtl/>
        </w:rPr>
        <w:t>אני רוצה לקוות שהדבר הזה</w:t>
      </w:r>
      <w:bookmarkStart w:id="41785" w:name="_ETM_Q78_688000"/>
      <w:bookmarkEnd w:id="41785"/>
      <w:r>
        <w:rPr>
          <w:rFonts w:hint="cs"/>
          <w:rtl/>
        </w:rPr>
        <w:t xml:space="preserve"> יישאר רחוק בתוך הימים הדליקים האלה, כשאדי דלק באוויר; שלא</w:t>
      </w:r>
      <w:bookmarkStart w:id="41786" w:name="_ETM_Q78_693000"/>
      <w:bookmarkEnd w:id="41786"/>
      <w:r>
        <w:rPr>
          <w:rFonts w:hint="cs"/>
          <w:rtl/>
        </w:rPr>
        <w:t xml:space="preserve"> נזרוק גפרורים פנימה אלא להפך. אומרים שכל עוד הנר</w:t>
      </w:r>
      <w:bookmarkStart w:id="41787" w:name="_ETM_Q78_696000"/>
      <w:bookmarkEnd w:id="41787"/>
      <w:r>
        <w:rPr>
          <w:rFonts w:hint="cs"/>
          <w:rtl/>
        </w:rPr>
        <w:t xml:space="preserve"> דולק, אפשר לתקן, אז בואו לא נכבה כל אחד את </w:t>
      </w:r>
      <w:bookmarkStart w:id="41788" w:name="_ETM_Q78_700000"/>
      <w:bookmarkEnd w:id="41788"/>
      <w:r>
        <w:rPr>
          <w:rFonts w:hint="cs"/>
          <w:rtl/>
        </w:rPr>
        <w:t>הנר. נשמור עליו דולק. לא נדליק פה שרפה גדולה ולא</w:t>
      </w:r>
      <w:bookmarkStart w:id="41789" w:name="_ETM_Q78_702000"/>
      <w:bookmarkEnd w:id="41789"/>
      <w:r>
        <w:rPr>
          <w:rFonts w:hint="cs"/>
          <w:rtl/>
        </w:rPr>
        <w:t xml:space="preserve"> נביא לחורבן שלישי, אלא רגע לפני שיהיה מאוחר</w:t>
      </w:r>
      <w:bookmarkStart w:id="41790" w:name="_ETM_Q78_706000"/>
      <w:bookmarkEnd w:id="41790"/>
      <w:r>
        <w:rPr>
          <w:rFonts w:hint="cs"/>
          <w:rtl/>
        </w:rPr>
        <w:t xml:space="preserve"> מדי נתעשת כולנו וניחלץ ביחד מהרגע האיום הזה. תודה</w:t>
      </w:r>
      <w:bookmarkStart w:id="41791" w:name="_ETM_Q78_710000"/>
      <w:bookmarkEnd w:id="41791"/>
      <w:r>
        <w:rPr>
          <w:rFonts w:hint="cs"/>
          <w:rtl/>
        </w:rPr>
        <w:t xml:space="preserve"> רבה. </w:t>
      </w:r>
    </w:p>
    <w:p w:rsidR="00BB59CD" w:rsidRDefault="00BB59CD" w:rsidP="00BB59CD">
      <w:pPr>
        <w:rPr>
          <w:rtl/>
        </w:rPr>
      </w:pPr>
    </w:p>
    <w:p w:rsidR="00BB59CD" w:rsidRDefault="00BB59CD" w:rsidP="00BB59CD">
      <w:pPr>
        <w:pStyle w:val="af9"/>
        <w:keepNext/>
        <w:rPr>
          <w:rtl/>
        </w:rPr>
      </w:pPr>
      <w:bookmarkStart w:id="41792" w:name="_ETM_Q78_366000"/>
      <w:bookmarkEnd w:id="41792"/>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אמן. תודה רבה לחבר הכנסת טרופר, וכעת אני מתכבד </w:t>
      </w:r>
      <w:bookmarkStart w:id="41793" w:name="_ETM_Q78_714000"/>
      <w:bookmarkEnd w:id="41793"/>
      <w:r>
        <w:rPr>
          <w:rFonts w:hint="cs"/>
          <w:rtl/>
          <w:lang w:eastAsia="he-IL"/>
        </w:rPr>
        <w:t xml:space="preserve">להזמין את חברת הכנסת יפעת שאשא ביטון. עד 40 דקות לרשותך, גברתי. </w:t>
      </w:r>
    </w:p>
    <w:p w:rsidR="00BB59CD" w:rsidRDefault="00BB59CD" w:rsidP="00BB59CD">
      <w:pPr>
        <w:rPr>
          <w:rtl/>
          <w:lang w:eastAsia="he-IL"/>
        </w:rPr>
      </w:pPr>
    </w:p>
    <w:p w:rsidR="00BB59CD" w:rsidRDefault="00BB59CD" w:rsidP="00BB59CD">
      <w:pPr>
        <w:pStyle w:val="a5"/>
        <w:keepNext/>
        <w:rPr>
          <w:rtl/>
        </w:rPr>
      </w:pPr>
      <w:bookmarkStart w:id="41794" w:name="TOR_Q79"/>
      <w:bookmarkStart w:id="41795" w:name="_ETM_Q79_180000"/>
      <w:bookmarkStart w:id="41796" w:name="ET_speaker_5307_1"/>
      <w:bookmarkEnd w:id="41794"/>
      <w:bookmarkEnd w:id="41795"/>
      <w:r>
        <w:rPr>
          <w:rStyle w:val="TagStyle"/>
          <w:rFonts w:hint="cs"/>
          <w:rtl/>
        </w:rPr>
        <w:t xml:space="preserve"> &lt;&lt; דובר &gt;&gt; </w:t>
      </w:r>
      <w:bookmarkStart w:id="41797" w:name="_Toc141197170"/>
      <w:bookmarkStart w:id="41798" w:name="_Toc141196906"/>
      <w:r>
        <w:rPr>
          <w:rFonts w:hint="cs"/>
          <w:rtl/>
        </w:rPr>
        <w:t>יפעת שאשא ביטון (המחנה הממלכתי):</w:t>
      </w:r>
      <w:bookmarkEnd w:id="41797"/>
      <w:bookmarkEnd w:id="41798"/>
      <w:r>
        <w:rPr>
          <w:rStyle w:val="TagStyle"/>
          <w:rFonts w:hint="cs"/>
          <w:rtl/>
        </w:rPr>
        <w:t xml:space="preserve"> &lt;&lt; דובר &gt;&gt;</w:t>
      </w:r>
      <w:r>
        <w:rPr>
          <w:rFonts w:hint="cs"/>
          <w:rtl/>
        </w:rPr>
        <w:t xml:space="preserve">   </w:t>
      </w:r>
      <w:bookmarkEnd w:id="41796"/>
    </w:p>
    <w:p w:rsidR="00BB59CD" w:rsidRDefault="00BB59CD" w:rsidP="00337201">
      <w:pPr>
        <w:rPr>
          <w:rtl/>
        </w:rPr>
      </w:pPr>
    </w:p>
    <w:p w:rsidR="00BB59CD" w:rsidRDefault="00BB59CD" w:rsidP="00BB59CD">
      <w:pPr>
        <w:rPr>
          <w:rtl/>
        </w:rPr>
      </w:pPr>
      <w:r>
        <w:rPr>
          <w:rFonts w:hint="cs"/>
          <w:rtl/>
        </w:rPr>
        <w:t xml:space="preserve">תודה רבה, אדוני היושב-ראש. כנסת נכבדה, אנחנו נמצאים בימים </w:t>
      </w:r>
      <w:bookmarkStart w:id="41799" w:name="_ETM_Q79_154000"/>
      <w:bookmarkEnd w:id="41799"/>
      <w:r>
        <w:rPr>
          <w:rFonts w:hint="cs"/>
          <w:rtl/>
        </w:rPr>
        <w:t>לא פשוטים במדינת ישראל, בשעות לא פשוטות במדינת</w:t>
      </w:r>
      <w:bookmarkStart w:id="41800" w:name="_ETM_Q79_157000"/>
      <w:bookmarkEnd w:id="41800"/>
      <w:r>
        <w:rPr>
          <w:rFonts w:hint="cs"/>
          <w:rtl/>
        </w:rPr>
        <w:t xml:space="preserve"> ישראל. היה נדמה לפני כמה חודשים, כשקמה ממשלה חדשה – לא שתלינו בה תקוות רבות, אבל לפחות על בסיס הקמפיין הער </w:t>
      </w:r>
      <w:bookmarkStart w:id="41801" w:name="_ETM_Q79_171000"/>
      <w:bookmarkEnd w:id="41801"/>
      <w:r>
        <w:rPr>
          <w:rFonts w:hint="cs"/>
          <w:rtl/>
        </w:rPr>
        <w:t xml:space="preserve">שהם ניהלו במשך חודשים ארוכים, עוד לפני שיצאנו לבחירות, היה </w:t>
      </w:r>
      <w:bookmarkStart w:id="41802" w:name="_ETM_Q79_175000"/>
      <w:bookmarkEnd w:id="41802"/>
      <w:r>
        <w:rPr>
          <w:rFonts w:hint="cs"/>
          <w:rtl/>
        </w:rPr>
        <w:t xml:space="preserve">נדמה שהכנסת הזאת והממשלה הזאת יעסקו יותר </w:t>
      </w:r>
      <w:bookmarkStart w:id="41803" w:name="_ETM_Q79_181010"/>
      <w:bookmarkEnd w:id="41803"/>
      <w:r>
        <w:rPr>
          <w:rFonts w:hint="cs"/>
          <w:rtl/>
        </w:rPr>
        <w:t xml:space="preserve">בדברים </w:t>
      </w:r>
      <w:bookmarkStart w:id="41804" w:name="_ETM_Q79_181610"/>
      <w:bookmarkEnd w:id="41804"/>
      <w:r>
        <w:rPr>
          <w:rFonts w:hint="cs"/>
          <w:rtl/>
        </w:rPr>
        <w:t xml:space="preserve">שקשורים </w:t>
      </w:r>
      <w:bookmarkStart w:id="41805" w:name="_ETM_Q79_182210"/>
      <w:bookmarkEnd w:id="41805"/>
      <w:r>
        <w:rPr>
          <w:rFonts w:hint="cs"/>
          <w:rtl/>
        </w:rPr>
        <w:t xml:space="preserve">בחיי </w:t>
      </w:r>
      <w:bookmarkStart w:id="41806" w:name="_ETM_Q79_182719"/>
      <w:bookmarkEnd w:id="41806"/>
      <w:r>
        <w:rPr>
          <w:rFonts w:hint="cs"/>
          <w:rtl/>
        </w:rPr>
        <w:t xml:space="preserve">האזרחים, </w:t>
      </w:r>
      <w:bookmarkStart w:id="41807" w:name="_ETM_Q79_183590"/>
      <w:bookmarkEnd w:id="41807"/>
      <w:r>
        <w:rPr>
          <w:rFonts w:hint="cs"/>
          <w:rtl/>
        </w:rPr>
        <w:t xml:space="preserve">בחיי </w:t>
      </w:r>
      <w:bookmarkStart w:id="41808" w:name="_ETM_Q79_184160"/>
      <w:bookmarkEnd w:id="41808"/>
      <w:r>
        <w:rPr>
          <w:rFonts w:hint="cs"/>
          <w:rtl/>
        </w:rPr>
        <w:t xml:space="preserve">היום-יום </w:t>
      </w:r>
      <w:bookmarkStart w:id="41809" w:name="_ETM_Q79_184670"/>
      <w:bookmarkEnd w:id="41809"/>
      <w:r>
        <w:rPr>
          <w:rFonts w:hint="cs"/>
          <w:rtl/>
        </w:rPr>
        <w:t>שלהם.</w:t>
      </w:r>
    </w:p>
    <w:p w:rsidR="00BB59CD" w:rsidRDefault="00BB59CD" w:rsidP="00BB59CD">
      <w:pPr>
        <w:rPr>
          <w:rtl/>
        </w:rPr>
      </w:pPr>
    </w:p>
    <w:p w:rsidR="00BB59CD" w:rsidRDefault="00BB59CD" w:rsidP="000B58A5">
      <w:pPr>
        <w:rPr>
          <w:rtl/>
        </w:rPr>
      </w:pPr>
      <w:bookmarkStart w:id="41810" w:name="_ETM_Q79_181000"/>
      <w:bookmarkStart w:id="41811" w:name="_ETM_Q79_185799"/>
      <w:bookmarkEnd w:id="41810"/>
      <w:bookmarkEnd w:id="41811"/>
      <w:r>
        <w:rPr>
          <w:rFonts w:hint="cs"/>
          <w:rtl/>
        </w:rPr>
        <w:t xml:space="preserve">אתן </w:t>
      </w:r>
      <w:bookmarkStart w:id="41812" w:name="_ETM_Q79_185979"/>
      <w:bookmarkEnd w:id="41812"/>
      <w:r>
        <w:rPr>
          <w:rFonts w:hint="cs"/>
          <w:rtl/>
        </w:rPr>
        <w:t xml:space="preserve">לכם </w:t>
      </w:r>
      <w:bookmarkStart w:id="41813" w:name="_ETM_Q79_186220"/>
      <w:bookmarkEnd w:id="41813"/>
      <w:r>
        <w:rPr>
          <w:rFonts w:hint="cs"/>
          <w:rtl/>
        </w:rPr>
        <w:t xml:space="preserve">רק </w:t>
      </w:r>
      <w:bookmarkStart w:id="41814" w:name="_ETM_Q79_186399"/>
      <w:bookmarkEnd w:id="41814"/>
      <w:r>
        <w:rPr>
          <w:rFonts w:hint="cs"/>
          <w:rtl/>
        </w:rPr>
        <w:t xml:space="preserve">דוגמה </w:t>
      </w:r>
      <w:bookmarkStart w:id="41815" w:name="_ETM_Q79_186759"/>
      <w:bookmarkEnd w:id="41815"/>
      <w:r>
        <w:rPr>
          <w:rFonts w:hint="cs"/>
          <w:rtl/>
        </w:rPr>
        <w:t xml:space="preserve">קטנה </w:t>
      </w:r>
      <w:bookmarkStart w:id="41816" w:name="_ETM_Q79_187899"/>
      <w:bookmarkEnd w:id="41816"/>
      <w:r>
        <w:rPr>
          <w:rFonts w:hint="cs"/>
          <w:rtl/>
        </w:rPr>
        <w:t xml:space="preserve">על </w:t>
      </w:r>
      <w:bookmarkStart w:id="41817" w:name="_ETM_Q79_188139"/>
      <w:bookmarkEnd w:id="41817"/>
      <w:r>
        <w:rPr>
          <w:rFonts w:hint="cs"/>
          <w:rtl/>
        </w:rPr>
        <w:t xml:space="preserve">ידיעה </w:t>
      </w:r>
      <w:bookmarkStart w:id="41818" w:name="_ETM_Q79_188709"/>
      <w:bookmarkEnd w:id="41818"/>
      <w:r>
        <w:rPr>
          <w:rFonts w:hint="cs"/>
          <w:rtl/>
        </w:rPr>
        <w:t xml:space="preserve">שהתפרסמה </w:t>
      </w:r>
      <w:bookmarkStart w:id="41819" w:name="_ETM_Q79_189699"/>
      <w:bookmarkEnd w:id="41819"/>
      <w:r>
        <w:rPr>
          <w:rFonts w:hint="cs"/>
          <w:rtl/>
        </w:rPr>
        <w:t xml:space="preserve">היום, </w:t>
      </w:r>
      <w:bookmarkStart w:id="41820" w:name="_ETM_Q79_190179"/>
      <w:bookmarkEnd w:id="41820"/>
      <w:r>
        <w:rPr>
          <w:rFonts w:hint="cs"/>
          <w:rtl/>
        </w:rPr>
        <w:t xml:space="preserve">שבשבוע </w:t>
      </w:r>
      <w:bookmarkStart w:id="41821" w:name="_ETM_Q79_190900"/>
      <w:bookmarkEnd w:id="41821"/>
      <w:r>
        <w:rPr>
          <w:rFonts w:hint="cs"/>
          <w:rtl/>
        </w:rPr>
        <w:t xml:space="preserve">הבא </w:t>
      </w:r>
      <w:bookmarkStart w:id="41822" w:name="_ETM_Q79_191110"/>
      <w:bookmarkEnd w:id="41822"/>
      <w:r>
        <w:rPr>
          <w:rFonts w:hint="cs"/>
          <w:rtl/>
        </w:rPr>
        <w:t xml:space="preserve">צפוי </w:t>
      </w:r>
      <w:bookmarkStart w:id="41823" w:name="_ETM_Q79_191769"/>
      <w:bookmarkEnd w:id="41823"/>
      <w:r>
        <w:rPr>
          <w:rFonts w:hint="cs"/>
          <w:rtl/>
        </w:rPr>
        <w:t xml:space="preserve">לזנק </w:t>
      </w:r>
      <w:bookmarkStart w:id="41824" w:name="_ETM_Q79_192490"/>
      <w:bookmarkEnd w:id="41824"/>
      <w:r>
        <w:rPr>
          <w:rFonts w:hint="cs"/>
          <w:rtl/>
        </w:rPr>
        <w:t xml:space="preserve">מחיר </w:t>
      </w:r>
      <w:bookmarkStart w:id="41825" w:name="_ETM_Q79_192879"/>
      <w:bookmarkEnd w:id="41825"/>
      <w:r>
        <w:rPr>
          <w:rFonts w:hint="cs"/>
          <w:rtl/>
        </w:rPr>
        <w:t xml:space="preserve">הדלק </w:t>
      </w:r>
      <w:bookmarkStart w:id="41826" w:name="_ETM_Q79_193419"/>
      <w:bookmarkEnd w:id="41826"/>
      <w:r>
        <w:rPr>
          <w:rFonts w:hint="cs"/>
          <w:rtl/>
        </w:rPr>
        <w:t xml:space="preserve">ביותר </w:t>
      </w:r>
      <w:bookmarkStart w:id="41827" w:name="_ETM_Q79_194169"/>
      <w:bookmarkEnd w:id="41827"/>
      <w:r>
        <w:rPr>
          <w:rFonts w:hint="cs"/>
          <w:rtl/>
        </w:rPr>
        <w:t xml:space="preserve">מ-30 </w:t>
      </w:r>
      <w:bookmarkStart w:id="41828" w:name="_ETM_Q79_194860"/>
      <w:bookmarkEnd w:id="41828"/>
      <w:r>
        <w:rPr>
          <w:rFonts w:hint="cs"/>
          <w:rtl/>
        </w:rPr>
        <w:t>אגורות</w:t>
      </w:r>
      <w:bookmarkStart w:id="41829" w:name="_ETM_Q79_195980"/>
      <w:bookmarkEnd w:id="41829"/>
      <w:r>
        <w:rPr>
          <w:rFonts w:hint="cs"/>
          <w:rtl/>
        </w:rPr>
        <w:t xml:space="preserve">. זו </w:t>
      </w:r>
      <w:bookmarkStart w:id="41830" w:name="_ETM_Q79_196400"/>
      <w:bookmarkEnd w:id="41830"/>
      <w:r>
        <w:rPr>
          <w:rFonts w:hint="cs"/>
          <w:rtl/>
        </w:rPr>
        <w:t xml:space="preserve">רק </w:t>
      </w:r>
      <w:bookmarkStart w:id="41831" w:name="_ETM_Q79_196670"/>
      <w:bookmarkEnd w:id="41831"/>
      <w:r>
        <w:rPr>
          <w:rFonts w:hint="cs"/>
          <w:rtl/>
        </w:rPr>
        <w:t xml:space="preserve">עוד </w:t>
      </w:r>
      <w:bookmarkStart w:id="41832" w:name="_ETM_Q79_196820"/>
      <w:bookmarkEnd w:id="41832"/>
      <w:r>
        <w:rPr>
          <w:rFonts w:hint="cs"/>
          <w:rtl/>
        </w:rPr>
        <w:t xml:space="preserve">נקודה </w:t>
      </w:r>
      <w:bookmarkStart w:id="41833" w:name="_ETM_Q79_197390"/>
      <w:bookmarkEnd w:id="41833"/>
      <w:r>
        <w:rPr>
          <w:rFonts w:hint="cs"/>
          <w:rtl/>
        </w:rPr>
        <w:t xml:space="preserve">אחת </w:t>
      </w:r>
      <w:bookmarkStart w:id="41834" w:name="_ETM_Q79_197869"/>
      <w:bookmarkEnd w:id="41834"/>
      <w:r>
        <w:rPr>
          <w:rFonts w:hint="cs"/>
          <w:rtl/>
        </w:rPr>
        <w:t xml:space="preserve">שמתווספת </w:t>
      </w:r>
      <w:bookmarkStart w:id="41835" w:name="_ETM_Q79_198650"/>
      <w:bookmarkEnd w:id="41835"/>
      <w:r>
        <w:rPr>
          <w:rFonts w:hint="cs"/>
          <w:rtl/>
        </w:rPr>
        <w:t xml:space="preserve">להרבה </w:t>
      </w:r>
      <w:bookmarkStart w:id="41836" w:name="_ETM_Q79_199100"/>
      <w:bookmarkEnd w:id="41836"/>
      <w:r>
        <w:rPr>
          <w:rFonts w:hint="cs"/>
          <w:rtl/>
        </w:rPr>
        <w:t xml:space="preserve">מאוד </w:t>
      </w:r>
      <w:bookmarkStart w:id="41837" w:name="_ETM_Q79_199400"/>
      <w:bookmarkEnd w:id="41837"/>
      <w:r>
        <w:rPr>
          <w:rFonts w:hint="cs"/>
          <w:rtl/>
        </w:rPr>
        <w:t xml:space="preserve">נקודות </w:t>
      </w:r>
      <w:bookmarkStart w:id="41838" w:name="_ETM_Q79_200499"/>
      <w:bookmarkEnd w:id="41838"/>
      <w:r>
        <w:rPr>
          <w:rFonts w:hint="cs"/>
          <w:rtl/>
        </w:rPr>
        <w:t xml:space="preserve">של </w:t>
      </w:r>
      <w:bookmarkStart w:id="41839" w:name="_ETM_Q79_200800"/>
      <w:bookmarkEnd w:id="41839"/>
      <w:r>
        <w:rPr>
          <w:rFonts w:hint="cs"/>
          <w:rtl/>
        </w:rPr>
        <w:t xml:space="preserve">יוקר </w:t>
      </w:r>
      <w:bookmarkStart w:id="41840" w:name="_ETM_Q79_201220"/>
      <w:bookmarkEnd w:id="41840"/>
      <w:r>
        <w:rPr>
          <w:rFonts w:hint="cs"/>
          <w:rtl/>
        </w:rPr>
        <w:t xml:space="preserve">המחיה, </w:t>
      </w:r>
      <w:bookmarkStart w:id="41841" w:name="_ETM_Q79_201970"/>
      <w:bookmarkEnd w:id="41841"/>
      <w:r>
        <w:rPr>
          <w:rFonts w:hint="cs"/>
          <w:rtl/>
        </w:rPr>
        <w:t xml:space="preserve">של </w:t>
      </w:r>
      <w:bookmarkStart w:id="41842" w:name="_ETM_Q79_202449"/>
      <w:bookmarkEnd w:id="41842"/>
      <w:r>
        <w:rPr>
          <w:rFonts w:hint="cs"/>
          <w:rtl/>
        </w:rPr>
        <w:t xml:space="preserve">הנטל </w:t>
      </w:r>
      <w:bookmarkStart w:id="41843" w:name="_ETM_Q79_203230"/>
      <w:bookmarkEnd w:id="41843"/>
      <w:r>
        <w:rPr>
          <w:rFonts w:hint="cs"/>
          <w:rtl/>
        </w:rPr>
        <w:t xml:space="preserve">שהאזרחים </w:t>
      </w:r>
      <w:bookmarkStart w:id="41844" w:name="_ETM_Q79_204339"/>
      <w:bookmarkEnd w:id="41844"/>
      <w:r>
        <w:rPr>
          <w:rFonts w:hint="cs"/>
          <w:rtl/>
        </w:rPr>
        <w:t xml:space="preserve">מתמודדים </w:t>
      </w:r>
      <w:bookmarkStart w:id="41845" w:name="_ETM_Q79_204970"/>
      <w:bookmarkEnd w:id="41845"/>
      <w:r>
        <w:rPr>
          <w:rFonts w:hint="cs"/>
          <w:rtl/>
        </w:rPr>
        <w:t xml:space="preserve">איתו </w:t>
      </w:r>
      <w:bookmarkStart w:id="41846" w:name="_ETM_Q79_205210"/>
      <w:bookmarkEnd w:id="41846"/>
      <w:r>
        <w:rPr>
          <w:rFonts w:hint="cs"/>
          <w:rtl/>
        </w:rPr>
        <w:t xml:space="preserve">כאן. </w:t>
      </w:r>
      <w:bookmarkStart w:id="41847" w:name="_ETM_Q79_206640"/>
      <w:bookmarkEnd w:id="41847"/>
      <w:r>
        <w:rPr>
          <w:rFonts w:hint="cs"/>
          <w:rtl/>
        </w:rPr>
        <w:t xml:space="preserve">אבל </w:t>
      </w:r>
      <w:bookmarkStart w:id="41848" w:name="_ETM_Q79_206970"/>
      <w:bookmarkEnd w:id="41848"/>
      <w:r>
        <w:rPr>
          <w:rFonts w:hint="cs"/>
          <w:rtl/>
        </w:rPr>
        <w:t xml:space="preserve">הממשלה </w:t>
      </w:r>
      <w:bookmarkStart w:id="41849" w:name="_ETM_Q79_207659"/>
      <w:bookmarkEnd w:id="41849"/>
      <w:r>
        <w:rPr>
          <w:rFonts w:hint="cs"/>
          <w:rtl/>
        </w:rPr>
        <w:t xml:space="preserve">הזו </w:t>
      </w:r>
      <w:bookmarkStart w:id="41850" w:name="_ETM_Q79_208849"/>
      <w:bookmarkEnd w:id="41850"/>
      <w:r>
        <w:rPr>
          <w:rFonts w:hint="cs"/>
          <w:rtl/>
        </w:rPr>
        <w:t xml:space="preserve">מנותקת, </w:t>
      </w:r>
      <w:bookmarkStart w:id="41851" w:name="_ETM_Q79_210290"/>
      <w:bookmarkEnd w:id="41851"/>
      <w:r>
        <w:rPr>
          <w:rFonts w:hint="cs"/>
          <w:rtl/>
        </w:rPr>
        <w:t xml:space="preserve">נמצאת </w:t>
      </w:r>
      <w:bookmarkStart w:id="41852" w:name="_ETM_Q79_210680"/>
      <w:bookmarkEnd w:id="41852"/>
      <w:r>
        <w:rPr>
          <w:rFonts w:hint="cs"/>
          <w:rtl/>
        </w:rPr>
        <w:t xml:space="preserve">במקום </w:t>
      </w:r>
      <w:bookmarkStart w:id="41853" w:name="_ETM_Q79_211130"/>
      <w:bookmarkEnd w:id="41853"/>
      <w:r>
        <w:rPr>
          <w:rFonts w:hint="cs"/>
          <w:rtl/>
        </w:rPr>
        <w:t xml:space="preserve">אחר </w:t>
      </w:r>
      <w:bookmarkStart w:id="41854" w:name="_ETM_Q79_211490"/>
      <w:bookmarkEnd w:id="41854"/>
      <w:r>
        <w:rPr>
          <w:rFonts w:hint="cs"/>
          <w:rtl/>
        </w:rPr>
        <w:t xml:space="preserve">לגמרי –  </w:t>
      </w:r>
      <w:bookmarkStart w:id="41855" w:name="_ETM_Q79_212649"/>
      <w:bookmarkEnd w:id="41855"/>
      <w:r>
        <w:rPr>
          <w:rFonts w:hint="cs"/>
          <w:rtl/>
        </w:rPr>
        <w:t xml:space="preserve">לא </w:t>
      </w:r>
      <w:bookmarkStart w:id="41856" w:name="_ETM_Q79_213010"/>
      <w:bookmarkEnd w:id="41856"/>
      <w:r>
        <w:rPr>
          <w:rFonts w:hint="cs"/>
          <w:rtl/>
        </w:rPr>
        <w:t xml:space="preserve">יוקר </w:t>
      </w:r>
      <w:bookmarkStart w:id="41857" w:name="_ETM_Q79_213399"/>
      <w:bookmarkEnd w:id="41857"/>
      <w:r>
        <w:rPr>
          <w:rFonts w:hint="cs"/>
          <w:rtl/>
        </w:rPr>
        <w:t>המחיה</w:t>
      </w:r>
      <w:r w:rsidR="000B58A5">
        <w:rPr>
          <w:rFonts w:hint="cs"/>
          <w:rtl/>
        </w:rPr>
        <w:t>,</w:t>
      </w:r>
      <w:r>
        <w:rPr>
          <w:rFonts w:hint="cs"/>
          <w:rtl/>
        </w:rPr>
        <w:t xml:space="preserve"> </w:t>
      </w:r>
      <w:bookmarkStart w:id="41858" w:name="_ETM_Q79_213879"/>
      <w:bookmarkEnd w:id="41858"/>
      <w:r>
        <w:rPr>
          <w:rFonts w:hint="cs"/>
          <w:rtl/>
        </w:rPr>
        <w:t xml:space="preserve">שדיברו </w:t>
      </w:r>
      <w:bookmarkStart w:id="41859" w:name="_ETM_Q79_214420"/>
      <w:bookmarkEnd w:id="41859"/>
      <w:r>
        <w:rPr>
          <w:rFonts w:hint="cs"/>
          <w:rtl/>
        </w:rPr>
        <w:t xml:space="preserve">עליו, </w:t>
      </w:r>
      <w:bookmarkStart w:id="41860" w:name="_ETM_Q79_215320"/>
      <w:bookmarkEnd w:id="41860"/>
      <w:r>
        <w:rPr>
          <w:rFonts w:hint="cs"/>
          <w:rtl/>
        </w:rPr>
        <w:t xml:space="preserve">לא </w:t>
      </w:r>
      <w:bookmarkStart w:id="41861" w:name="_ETM_Q79_215710"/>
      <w:bookmarkEnd w:id="41861"/>
      <w:r>
        <w:rPr>
          <w:rFonts w:hint="cs"/>
          <w:rtl/>
        </w:rPr>
        <w:t xml:space="preserve">הפערים </w:t>
      </w:r>
      <w:bookmarkStart w:id="41862" w:name="_ETM_Q79_216190"/>
      <w:bookmarkEnd w:id="41862"/>
      <w:r>
        <w:rPr>
          <w:rFonts w:hint="cs"/>
          <w:rtl/>
        </w:rPr>
        <w:t xml:space="preserve">בבריאות, </w:t>
      </w:r>
      <w:bookmarkStart w:id="41863" w:name="_ETM_Q79_217300"/>
      <w:bookmarkEnd w:id="41863"/>
      <w:r>
        <w:rPr>
          <w:rFonts w:hint="cs"/>
          <w:rtl/>
        </w:rPr>
        <w:t xml:space="preserve">לא </w:t>
      </w:r>
      <w:bookmarkStart w:id="41864" w:name="_ETM_Q79_217600"/>
      <w:bookmarkEnd w:id="41864"/>
      <w:r>
        <w:rPr>
          <w:rFonts w:hint="cs"/>
          <w:rtl/>
        </w:rPr>
        <w:t xml:space="preserve">מערכת </w:t>
      </w:r>
      <w:bookmarkStart w:id="41865" w:name="_ETM_Q79_218140"/>
      <w:bookmarkEnd w:id="41865"/>
      <w:r>
        <w:rPr>
          <w:rFonts w:hint="cs"/>
          <w:rtl/>
        </w:rPr>
        <w:t xml:space="preserve">החינוך </w:t>
      </w:r>
      <w:bookmarkStart w:id="41866" w:name="_ETM_Q79_218620"/>
      <w:bookmarkEnd w:id="41866"/>
      <w:r>
        <w:rPr>
          <w:rFonts w:hint="cs"/>
          <w:rtl/>
        </w:rPr>
        <w:t xml:space="preserve">הקורסת, </w:t>
      </w:r>
      <w:bookmarkStart w:id="41867" w:name="_ETM_Q79_220010"/>
      <w:bookmarkEnd w:id="41867"/>
      <w:r>
        <w:rPr>
          <w:rFonts w:hint="cs"/>
          <w:rtl/>
        </w:rPr>
        <w:t xml:space="preserve">גם </w:t>
      </w:r>
      <w:bookmarkStart w:id="41868" w:name="_ETM_Q79_220249"/>
      <w:bookmarkEnd w:id="41868"/>
      <w:r>
        <w:rPr>
          <w:rFonts w:hint="cs"/>
          <w:rtl/>
        </w:rPr>
        <w:t xml:space="preserve">לא </w:t>
      </w:r>
      <w:bookmarkStart w:id="41869" w:name="_ETM_Q79_220399"/>
      <w:bookmarkEnd w:id="41869"/>
      <w:r>
        <w:rPr>
          <w:rFonts w:hint="cs"/>
          <w:rtl/>
        </w:rPr>
        <w:t xml:space="preserve">הביטחון </w:t>
      </w:r>
      <w:bookmarkStart w:id="41870" w:name="_ETM_Q79_221030"/>
      <w:bookmarkEnd w:id="41870"/>
      <w:r>
        <w:rPr>
          <w:rFonts w:hint="cs"/>
          <w:rtl/>
        </w:rPr>
        <w:t xml:space="preserve">האישי, </w:t>
      </w:r>
      <w:bookmarkStart w:id="41871" w:name="_ETM_Q79_222269"/>
      <w:bookmarkEnd w:id="41871"/>
      <w:r>
        <w:rPr>
          <w:rFonts w:hint="cs"/>
          <w:rtl/>
        </w:rPr>
        <w:t xml:space="preserve">שהשר </w:t>
      </w:r>
      <w:bookmarkStart w:id="41872" w:name="_ETM_Q79_223050"/>
      <w:bookmarkEnd w:id="41872"/>
      <w:r>
        <w:rPr>
          <w:rFonts w:hint="cs"/>
          <w:rtl/>
        </w:rPr>
        <w:t xml:space="preserve">לאסון </w:t>
      </w:r>
      <w:bookmarkStart w:id="41873" w:name="_ETM_Q79_223710"/>
      <w:bookmarkEnd w:id="41873"/>
      <w:r>
        <w:rPr>
          <w:rFonts w:hint="cs"/>
          <w:rtl/>
        </w:rPr>
        <w:t xml:space="preserve">לאומי </w:t>
      </w:r>
      <w:bookmarkStart w:id="41874" w:name="_ETM_Q79_225030"/>
      <w:bookmarkEnd w:id="41874"/>
      <w:r>
        <w:rPr>
          <w:rFonts w:hint="cs"/>
          <w:rtl/>
        </w:rPr>
        <w:t xml:space="preserve">אמר </w:t>
      </w:r>
      <w:bookmarkStart w:id="41875" w:name="_ETM_Q79_225479"/>
      <w:bookmarkEnd w:id="41875"/>
      <w:r>
        <w:rPr>
          <w:rFonts w:hint="cs"/>
          <w:rtl/>
        </w:rPr>
        <w:t xml:space="preserve">שהוא </w:t>
      </w:r>
      <w:bookmarkStart w:id="41876" w:name="_ETM_Q79_225780"/>
      <w:bookmarkEnd w:id="41876"/>
      <w:r>
        <w:rPr>
          <w:rFonts w:hint="cs"/>
          <w:rtl/>
        </w:rPr>
        <w:t xml:space="preserve">יטפל </w:t>
      </w:r>
      <w:bookmarkStart w:id="41877" w:name="_ETM_Q79_226470"/>
      <w:bookmarkEnd w:id="41877"/>
      <w:r>
        <w:rPr>
          <w:rFonts w:hint="cs"/>
          <w:rtl/>
        </w:rPr>
        <w:t xml:space="preserve">בו </w:t>
      </w:r>
      <w:bookmarkStart w:id="41878" w:name="_ETM_Q79_226950"/>
      <w:bookmarkEnd w:id="41878"/>
      <w:r>
        <w:rPr>
          <w:rFonts w:hint="cs"/>
          <w:rtl/>
        </w:rPr>
        <w:t xml:space="preserve">ועשה </w:t>
      </w:r>
      <w:bookmarkStart w:id="41879" w:name="_ETM_Q79_227370"/>
      <w:bookmarkEnd w:id="41879"/>
      <w:r>
        <w:rPr>
          <w:rFonts w:hint="cs"/>
          <w:rtl/>
        </w:rPr>
        <w:t xml:space="preserve">הרבה </w:t>
      </w:r>
      <w:bookmarkStart w:id="41880" w:name="_ETM_Q79_227700"/>
      <w:bookmarkEnd w:id="41880"/>
      <w:r>
        <w:rPr>
          <w:rFonts w:hint="cs"/>
          <w:rtl/>
        </w:rPr>
        <w:t xml:space="preserve">מאוד </w:t>
      </w:r>
      <w:bookmarkStart w:id="41881" w:name="_ETM_Q79_228030"/>
      <w:bookmarkEnd w:id="41881"/>
      <w:r>
        <w:rPr>
          <w:rFonts w:hint="cs"/>
          <w:rtl/>
        </w:rPr>
        <w:t xml:space="preserve">הצגות; </w:t>
      </w:r>
      <w:bookmarkStart w:id="41882" w:name="_ETM_Q79_228570"/>
      <w:bookmarkEnd w:id="41882"/>
      <w:r>
        <w:rPr>
          <w:rFonts w:hint="cs"/>
          <w:rtl/>
        </w:rPr>
        <w:t xml:space="preserve">הוא </w:t>
      </w:r>
      <w:bookmarkStart w:id="41883" w:name="_ETM_Q79_228659"/>
      <w:bookmarkEnd w:id="41883"/>
      <w:r>
        <w:rPr>
          <w:rFonts w:hint="cs"/>
          <w:rtl/>
        </w:rPr>
        <w:t xml:space="preserve">חשב </w:t>
      </w:r>
      <w:bookmarkStart w:id="41884" w:name="_ETM_Q79_229020"/>
      <w:bookmarkEnd w:id="41884"/>
      <w:r>
        <w:rPr>
          <w:rFonts w:hint="cs"/>
          <w:rtl/>
        </w:rPr>
        <w:t xml:space="preserve">שמטפלים </w:t>
      </w:r>
      <w:bookmarkStart w:id="41885" w:name="_ETM_Q79_229830"/>
      <w:bookmarkStart w:id="41886" w:name="_ETM_Q79_230700"/>
      <w:bookmarkEnd w:id="41885"/>
      <w:bookmarkEnd w:id="41886"/>
      <w:r>
        <w:rPr>
          <w:rFonts w:hint="cs"/>
          <w:rtl/>
        </w:rPr>
        <w:t xml:space="preserve">בביטחון </w:t>
      </w:r>
      <w:bookmarkStart w:id="41887" w:name="_ETM_Q79_231540"/>
      <w:bookmarkEnd w:id="41887"/>
      <w:r>
        <w:rPr>
          <w:rFonts w:hint="cs"/>
          <w:rtl/>
        </w:rPr>
        <w:t xml:space="preserve">האישי </w:t>
      </w:r>
      <w:bookmarkStart w:id="41888" w:name="_ETM_Q79_231870"/>
      <w:bookmarkEnd w:id="41888"/>
      <w:r>
        <w:rPr>
          <w:rFonts w:hint="cs"/>
          <w:rtl/>
        </w:rPr>
        <w:t xml:space="preserve">דרך </w:t>
      </w:r>
      <w:bookmarkStart w:id="41889" w:name="_ETM_Q79_232229"/>
      <w:bookmarkEnd w:id="41889"/>
      <w:r>
        <w:rPr>
          <w:rFonts w:hint="cs"/>
          <w:rtl/>
        </w:rPr>
        <w:t>הט</w:t>
      </w:r>
      <w:r w:rsidR="000B58A5">
        <w:rPr>
          <w:rFonts w:hint="cs"/>
          <w:rtl/>
        </w:rPr>
        <w:t>י</w:t>
      </w:r>
      <w:r>
        <w:rPr>
          <w:rFonts w:hint="cs"/>
          <w:rtl/>
        </w:rPr>
        <w:t xml:space="preserve">קטוק </w:t>
      </w:r>
      <w:bookmarkStart w:id="41890" w:name="_ETM_Q79_232920"/>
      <w:bookmarkEnd w:id="41890"/>
      <w:r>
        <w:rPr>
          <w:rFonts w:hint="cs"/>
          <w:rtl/>
        </w:rPr>
        <w:t xml:space="preserve">ודרך </w:t>
      </w:r>
      <w:bookmarkStart w:id="41891" w:name="_ETM_Q79_233340"/>
      <w:bookmarkEnd w:id="41891"/>
      <w:r>
        <w:rPr>
          <w:rFonts w:hint="cs"/>
          <w:rtl/>
        </w:rPr>
        <w:t xml:space="preserve">כל </w:t>
      </w:r>
      <w:bookmarkStart w:id="41892" w:name="_ETM_Q79_233580"/>
      <w:bookmarkEnd w:id="41892"/>
      <w:r>
        <w:rPr>
          <w:rFonts w:hint="cs"/>
          <w:rtl/>
        </w:rPr>
        <w:t xml:space="preserve">מיני </w:t>
      </w:r>
      <w:bookmarkStart w:id="41893" w:name="_ETM_Q79_234770"/>
      <w:bookmarkEnd w:id="41893"/>
      <w:r>
        <w:rPr>
          <w:rFonts w:hint="cs"/>
          <w:rtl/>
        </w:rPr>
        <w:t xml:space="preserve">גימיקים </w:t>
      </w:r>
      <w:bookmarkStart w:id="41894" w:name="_ETM_Q79_235370"/>
      <w:bookmarkEnd w:id="41894"/>
      <w:r>
        <w:rPr>
          <w:rFonts w:hint="cs"/>
          <w:rtl/>
        </w:rPr>
        <w:t xml:space="preserve">אחרים, </w:t>
      </w:r>
      <w:bookmarkStart w:id="41895" w:name="_ETM_Q79_235910"/>
      <w:bookmarkEnd w:id="41895"/>
      <w:r>
        <w:rPr>
          <w:rFonts w:hint="cs"/>
          <w:rtl/>
        </w:rPr>
        <w:t xml:space="preserve">אבל </w:t>
      </w:r>
      <w:bookmarkStart w:id="41896" w:name="_ETM_Q79_236210"/>
      <w:bookmarkEnd w:id="41896"/>
      <w:r>
        <w:rPr>
          <w:rFonts w:hint="cs"/>
          <w:rtl/>
        </w:rPr>
        <w:t xml:space="preserve">לא, </w:t>
      </w:r>
      <w:bookmarkStart w:id="41897" w:name="_ETM_Q79_237030"/>
      <w:bookmarkEnd w:id="41897"/>
      <w:r>
        <w:rPr>
          <w:rFonts w:hint="cs"/>
          <w:rtl/>
        </w:rPr>
        <w:t xml:space="preserve">לנהל </w:t>
      </w:r>
      <w:bookmarkStart w:id="41898" w:name="_ETM_Q79_237629"/>
      <w:bookmarkEnd w:id="41898"/>
      <w:r>
        <w:rPr>
          <w:rFonts w:hint="cs"/>
          <w:rtl/>
        </w:rPr>
        <w:t xml:space="preserve">משרד </w:t>
      </w:r>
      <w:bookmarkStart w:id="41899" w:name="_ETM_Q79_238140"/>
      <w:bookmarkEnd w:id="41899"/>
      <w:r>
        <w:rPr>
          <w:rFonts w:hint="cs"/>
          <w:rtl/>
        </w:rPr>
        <w:t xml:space="preserve">ממשלתי </w:t>
      </w:r>
      <w:bookmarkStart w:id="41900" w:name="_ETM_Q79_238829"/>
      <w:bookmarkEnd w:id="41900"/>
      <w:r>
        <w:rPr>
          <w:rFonts w:hint="cs"/>
          <w:rtl/>
        </w:rPr>
        <w:t xml:space="preserve">ולנהל </w:t>
      </w:r>
      <w:bookmarkStart w:id="41901" w:name="_ETM_Q79_239370"/>
      <w:bookmarkEnd w:id="41901"/>
      <w:r>
        <w:rPr>
          <w:rFonts w:hint="cs"/>
          <w:rtl/>
        </w:rPr>
        <w:t xml:space="preserve">ממשלה </w:t>
      </w:r>
      <w:bookmarkStart w:id="41902" w:name="_ETM_Q79_240270"/>
      <w:bookmarkEnd w:id="41902"/>
      <w:r>
        <w:rPr>
          <w:rFonts w:hint="cs"/>
          <w:rtl/>
        </w:rPr>
        <w:t xml:space="preserve">זה </w:t>
      </w:r>
      <w:bookmarkStart w:id="41903" w:name="_ETM_Q79_240539"/>
      <w:bookmarkEnd w:id="41903"/>
      <w:r>
        <w:rPr>
          <w:rFonts w:hint="cs"/>
          <w:rtl/>
        </w:rPr>
        <w:t xml:space="preserve">עסק </w:t>
      </w:r>
      <w:bookmarkStart w:id="41904" w:name="_ETM_Q79_240840"/>
      <w:bookmarkEnd w:id="41904"/>
      <w:r>
        <w:rPr>
          <w:rFonts w:hint="cs"/>
          <w:rtl/>
        </w:rPr>
        <w:t xml:space="preserve">הרבה </w:t>
      </w:r>
      <w:bookmarkStart w:id="41905" w:name="_ETM_Q79_241199"/>
      <w:bookmarkEnd w:id="41905"/>
      <w:r>
        <w:rPr>
          <w:rFonts w:hint="cs"/>
          <w:rtl/>
        </w:rPr>
        <w:t xml:space="preserve">יותר </w:t>
      </w:r>
      <w:bookmarkStart w:id="41906" w:name="_ETM_Q79_241559"/>
      <w:bookmarkEnd w:id="41906"/>
      <w:r>
        <w:rPr>
          <w:rFonts w:hint="cs"/>
          <w:rtl/>
        </w:rPr>
        <w:t xml:space="preserve">רציני </w:t>
      </w:r>
      <w:bookmarkStart w:id="41907" w:name="_ETM_Q79_241980"/>
      <w:bookmarkEnd w:id="41907"/>
      <w:r>
        <w:rPr>
          <w:rFonts w:hint="cs"/>
          <w:rtl/>
        </w:rPr>
        <w:t xml:space="preserve">ומורכב. </w:t>
      </w:r>
      <w:bookmarkStart w:id="41908" w:name="_ETM_Q79_244000"/>
      <w:bookmarkStart w:id="41909" w:name="_ETM_Q79_243290"/>
      <w:bookmarkEnd w:id="41908"/>
      <w:bookmarkEnd w:id="41909"/>
      <w:r>
        <w:rPr>
          <w:rFonts w:hint="cs"/>
          <w:rtl/>
        </w:rPr>
        <w:t xml:space="preserve">גם </w:t>
      </w:r>
      <w:bookmarkStart w:id="41910" w:name="_ETM_Q79_243530"/>
      <w:bookmarkEnd w:id="41910"/>
      <w:r>
        <w:rPr>
          <w:rFonts w:hint="cs"/>
          <w:rtl/>
        </w:rPr>
        <w:t xml:space="preserve">לא </w:t>
      </w:r>
      <w:bookmarkStart w:id="41911" w:name="_ETM_Q79_243680"/>
      <w:bookmarkEnd w:id="41911"/>
      <w:r>
        <w:rPr>
          <w:rFonts w:hint="cs"/>
          <w:rtl/>
        </w:rPr>
        <w:t xml:space="preserve">האיום </w:t>
      </w:r>
      <w:bookmarkStart w:id="41912" w:name="_ETM_Q79_243980"/>
      <w:bookmarkEnd w:id="41912"/>
      <w:r>
        <w:rPr>
          <w:rFonts w:hint="cs"/>
          <w:rtl/>
        </w:rPr>
        <w:t xml:space="preserve">הביטחוני </w:t>
      </w:r>
      <w:bookmarkStart w:id="41913" w:name="_ETM_Q79_244490"/>
      <w:bookmarkEnd w:id="41913"/>
      <w:r>
        <w:rPr>
          <w:rFonts w:hint="cs"/>
          <w:rtl/>
        </w:rPr>
        <w:t xml:space="preserve">הגדול </w:t>
      </w:r>
      <w:bookmarkStart w:id="41914" w:name="_ETM_Q79_245119"/>
      <w:bookmarkEnd w:id="41914"/>
      <w:r>
        <w:rPr>
          <w:rFonts w:hint="cs"/>
          <w:rtl/>
        </w:rPr>
        <w:t xml:space="preserve">הוא </w:t>
      </w:r>
      <w:bookmarkStart w:id="41915" w:name="_ETM_Q79_245180"/>
      <w:bookmarkStart w:id="41916" w:name="_ETM_Q79_245360"/>
      <w:bookmarkEnd w:id="41915"/>
      <w:bookmarkEnd w:id="41916"/>
      <w:r>
        <w:rPr>
          <w:rFonts w:hint="cs"/>
          <w:rtl/>
        </w:rPr>
        <w:t xml:space="preserve">שמעסיק </w:t>
      </w:r>
      <w:bookmarkStart w:id="41917" w:name="_ETM_Q79_246740"/>
      <w:bookmarkEnd w:id="41917"/>
      <w:r>
        <w:rPr>
          <w:rFonts w:hint="cs"/>
          <w:rtl/>
        </w:rPr>
        <w:t xml:space="preserve">את </w:t>
      </w:r>
      <w:bookmarkStart w:id="41918" w:name="_ETM_Q79_246950"/>
      <w:bookmarkEnd w:id="41918"/>
      <w:r>
        <w:rPr>
          <w:rFonts w:hint="cs"/>
          <w:rtl/>
        </w:rPr>
        <w:t xml:space="preserve">הממשלה </w:t>
      </w:r>
      <w:bookmarkStart w:id="41919" w:name="_ETM_Q79_247520"/>
      <w:bookmarkEnd w:id="41919"/>
      <w:r>
        <w:rPr>
          <w:rFonts w:hint="cs"/>
          <w:rtl/>
        </w:rPr>
        <w:t xml:space="preserve">בישראל. </w:t>
      </w:r>
      <w:bookmarkStart w:id="41920" w:name="_ETM_Q79_248760"/>
      <w:bookmarkEnd w:id="41920"/>
      <w:r>
        <w:rPr>
          <w:rFonts w:hint="cs"/>
          <w:rtl/>
        </w:rPr>
        <w:t xml:space="preserve">מה </w:t>
      </w:r>
      <w:bookmarkStart w:id="41921" w:name="_ETM_Q79_249030"/>
      <w:bookmarkEnd w:id="41921"/>
      <w:r>
        <w:rPr>
          <w:rFonts w:hint="cs"/>
          <w:rtl/>
        </w:rPr>
        <w:t xml:space="preserve">שמעסיק </w:t>
      </w:r>
      <w:bookmarkStart w:id="41922" w:name="_ETM_Q79_249690"/>
      <w:bookmarkEnd w:id="41922"/>
      <w:r>
        <w:rPr>
          <w:rFonts w:hint="cs"/>
          <w:rtl/>
        </w:rPr>
        <w:t>את ה</w:t>
      </w:r>
      <w:bookmarkStart w:id="41923" w:name="_ETM_Q79_249870"/>
      <w:bookmarkEnd w:id="41923"/>
      <w:r>
        <w:rPr>
          <w:rFonts w:hint="cs"/>
          <w:rtl/>
        </w:rPr>
        <w:t xml:space="preserve">ממשלה </w:t>
      </w:r>
      <w:bookmarkStart w:id="41924" w:name="_ETM_Q79_250410"/>
      <w:bookmarkEnd w:id="41924"/>
      <w:r>
        <w:rPr>
          <w:rFonts w:hint="cs"/>
          <w:rtl/>
        </w:rPr>
        <w:t xml:space="preserve">במדינת </w:t>
      </w:r>
      <w:bookmarkStart w:id="41925" w:name="_ETM_Q79_251010"/>
      <w:bookmarkEnd w:id="41925"/>
      <w:r>
        <w:rPr>
          <w:rFonts w:hint="cs"/>
          <w:rtl/>
        </w:rPr>
        <w:t xml:space="preserve">ישראל </w:t>
      </w:r>
      <w:bookmarkStart w:id="41926" w:name="_ETM_Q79_252139"/>
      <w:bookmarkEnd w:id="41926"/>
      <w:r>
        <w:rPr>
          <w:rFonts w:hint="cs"/>
          <w:rtl/>
        </w:rPr>
        <w:t xml:space="preserve">זה </w:t>
      </w:r>
      <w:bookmarkStart w:id="41927" w:name="_ETM_Q79_252679"/>
      <w:bookmarkEnd w:id="41927"/>
      <w:r>
        <w:rPr>
          <w:rFonts w:hint="cs"/>
          <w:rtl/>
        </w:rPr>
        <w:t xml:space="preserve">ההפיכה </w:t>
      </w:r>
      <w:bookmarkStart w:id="41928" w:name="_ETM_Q79_253770"/>
      <w:bookmarkEnd w:id="41928"/>
      <w:r>
        <w:rPr>
          <w:rFonts w:hint="cs"/>
          <w:rtl/>
        </w:rPr>
        <w:t xml:space="preserve">המשטרית, </w:t>
      </w:r>
      <w:bookmarkStart w:id="41929" w:name="_ETM_Q79_255179"/>
      <w:bookmarkEnd w:id="41929"/>
      <w:r>
        <w:rPr>
          <w:rFonts w:hint="cs"/>
          <w:rtl/>
        </w:rPr>
        <w:t xml:space="preserve">שינוי </w:t>
      </w:r>
      <w:bookmarkStart w:id="41930" w:name="_ETM_Q79_255780"/>
      <w:bookmarkEnd w:id="41930"/>
      <w:r>
        <w:rPr>
          <w:rFonts w:hint="cs"/>
          <w:rtl/>
        </w:rPr>
        <w:t xml:space="preserve">המשטר </w:t>
      </w:r>
      <w:bookmarkStart w:id="41931" w:name="_ETM_Q79_256850"/>
      <w:bookmarkEnd w:id="41931"/>
      <w:r>
        <w:rPr>
          <w:rFonts w:hint="cs"/>
          <w:rtl/>
        </w:rPr>
        <w:t>מ</w:t>
      </w:r>
      <w:bookmarkStart w:id="41932" w:name="_ETM_Q79_257119"/>
      <w:bookmarkEnd w:id="41932"/>
      <w:r>
        <w:rPr>
          <w:rFonts w:hint="cs"/>
          <w:rtl/>
        </w:rPr>
        <w:t xml:space="preserve">דמוקרטיה </w:t>
      </w:r>
      <w:bookmarkStart w:id="41933" w:name="_ETM_Q79_258289"/>
      <w:bookmarkEnd w:id="41933"/>
      <w:r>
        <w:rPr>
          <w:rFonts w:hint="cs"/>
          <w:rtl/>
        </w:rPr>
        <w:t xml:space="preserve">לדיקטטורה, </w:t>
      </w:r>
      <w:bookmarkStart w:id="41934" w:name="_ETM_Q79_260780"/>
      <w:bookmarkEnd w:id="41934"/>
      <w:r>
        <w:rPr>
          <w:rFonts w:hint="cs"/>
          <w:rtl/>
        </w:rPr>
        <w:t xml:space="preserve">כך </w:t>
      </w:r>
      <w:bookmarkStart w:id="41935" w:name="_ETM_Q79_261200"/>
      <w:bookmarkEnd w:id="41935"/>
      <w:r>
        <w:rPr>
          <w:rFonts w:hint="cs"/>
          <w:rtl/>
        </w:rPr>
        <w:t xml:space="preserve">פשוט. </w:t>
      </w:r>
      <w:bookmarkStart w:id="41936" w:name="_ETM_Q79_263040"/>
      <w:bookmarkEnd w:id="41936"/>
    </w:p>
    <w:p w:rsidR="00BB59CD" w:rsidRDefault="00BB59CD" w:rsidP="00BB59CD">
      <w:pPr>
        <w:rPr>
          <w:rtl/>
        </w:rPr>
      </w:pPr>
    </w:p>
    <w:p w:rsidR="00BB59CD" w:rsidRDefault="00BB59CD" w:rsidP="000B58A5">
      <w:pPr>
        <w:rPr>
          <w:rtl/>
        </w:rPr>
      </w:pPr>
      <w:r>
        <w:rPr>
          <w:rFonts w:hint="cs"/>
          <w:rtl/>
        </w:rPr>
        <w:t xml:space="preserve">למרות </w:t>
      </w:r>
      <w:bookmarkStart w:id="41937" w:name="_ETM_Q79_263400"/>
      <w:bookmarkEnd w:id="41937"/>
      <w:r>
        <w:rPr>
          <w:rFonts w:hint="cs"/>
          <w:rtl/>
        </w:rPr>
        <w:t xml:space="preserve">שהם </w:t>
      </w:r>
      <w:bookmarkStart w:id="41938" w:name="_ETM_Q79_263550"/>
      <w:bookmarkEnd w:id="41938"/>
      <w:r>
        <w:rPr>
          <w:rFonts w:hint="cs"/>
          <w:rtl/>
        </w:rPr>
        <w:t xml:space="preserve">מנסים </w:t>
      </w:r>
      <w:bookmarkStart w:id="41939" w:name="_ETM_Q79_264000"/>
      <w:bookmarkEnd w:id="41939"/>
      <w:r>
        <w:rPr>
          <w:rFonts w:hint="cs"/>
          <w:rtl/>
        </w:rPr>
        <w:t xml:space="preserve">לומר: </w:t>
      </w:r>
      <w:bookmarkStart w:id="41940" w:name="_ETM_Q79_264660"/>
      <w:bookmarkEnd w:id="41940"/>
      <w:r>
        <w:rPr>
          <w:rFonts w:hint="cs"/>
          <w:rtl/>
        </w:rPr>
        <w:t xml:space="preserve">זו </w:t>
      </w:r>
      <w:bookmarkStart w:id="41941" w:name="_ETM_Q79_264900"/>
      <w:bookmarkEnd w:id="41941"/>
      <w:r>
        <w:rPr>
          <w:rFonts w:hint="cs"/>
          <w:rtl/>
        </w:rPr>
        <w:t xml:space="preserve">לא </w:t>
      </w:r>
      <w:bookmarkStart w:id="41942" w:name="_ETM_Q79_265050"/>
      <w:bookmarkEnd w:id="41942"/>
      <w:r>
        <w:rPr>
          <w:rFonts w:hint="cs"/>
          <w:rtl/>
        </w:rPr>
        <w:t xml:space="preserve">דיקטטורה, </w:t>
      </w:r>
      <w:bookmarkStart w:id="41943" w:name="_ETM_Q79_266459"/>
      <w:bookmarkEnd w:id="41943"/>
      <w:r>
        <w:rPr>
          <w:rFonts w:hint="cs"/>
          <w:rtl/>
        </w:rPr>
        <w:t xml:space="preserve">אתם </w:t>
      </w:r>
      <w:bookmarkStart w:id="41944" w:name="_ETM_Q79_266759"/>
      <w:bookmarkEnd w:id="41944"/>
      <w:r>
        <w:rPr>
          <w:rFonts w:hint="cs"/>
          <w:rtl/>
        </w:rPr>
        <w:t>מגזימים</w:t>
      </w:r>
      <w:bookmarkStart w:id="41945" w:name="_ETM_Q79_267990"/>
      <w:bookmarkEnd w:id="41945"/>
      <w:r w:rsidR="000B58A5">
        <w:rPr>
          <w:rFonts w:hint="cs"/>
          <w:rtl/>
        </w:rPr>
        <w:t>,</w:t>
      </w:r>
      <w:r>
        <w:rPr>
          <w:rFonts w:hint="cs"/>
          <w:rtl/>
        </w:rPr>
        <w:t xml:space="preserve"> אז </w:t>
      </w:r>
      <w:bookmarkStart w:id="41946" w:name="_ETM_Q79_268140"/>
      <w:bookmarkEnd w:id="41946"/>
      <w:r>
        <w:rPr>
          <w:rFonts w:hint="cs"/>
          <w:rtl/>
        </w:rPr>
        <w:t xml:space="preserve">בואו </w:t>
      </w:r>
      <w:bookmarkStart w:id="41947" w:name="_ETM_Q79_268350"/>
      <w:bookmarkEnd w:id="41947"/>
      <w:r>
        <w:rPr>
          <w:rFonts w:hint="cs"/>
          <w:rtl/>
        </w:rPr>
        <w:t xml:space="preserve">נפרוט </w:t>
      </w:r>
      <w:bookmarkStart w:id="41948" w:name="_ETM_Q79_268770"/>
      <w:bookmarkEnd w:id="41948"/>
      <w:r>
        <w:rPr>
          <w:rFonts w:hint="cs"/>
          <w:rtl/>
        </w:rPr>
        <w:t xml:space="preserve">את </w:t>
      </w:r>
      <w:bookmarkStart w:id="41949" w:name="_ETM_Q79_268890"/>
      <w:bookmarkEnd w:id="41949"/>
      <w:r>
        <w:rPr>
          <w:rFonts w:hint="cs"/>
          <w:rtl/>
        </w:rPr>
        <w:t xml:space="preserve">זה </w:t>
      </w:r>
      <w:bookmarkStart w:id="41950" w:name="_ETM_Q79_269009"/>
      <w:bookmarkEnd w:id="41950"/>
      <w:r>
        <w:rPr>
          <w:rFonts w:hint="cs"/>
          <w:rtl/>
        </w:rPr>
        <w:t xml:space="preserve">לפרוטות. </w:t>
      </w:r>
      <w:bookmarkStart w:id="41951" w:name="_ETM_Q79_270200"/>
      <w:bookmarkEnd w:id="41951"/>
      <w:r>
        <w:rPr>
          <w:rFonts w:hint="cs"/>
          <w:rtl/>
        </w:rPr>
        <w:t xml:space="preserve">לאן </w:t>
      </w:r>
      <w:bookmarkStart w:id="41952" w:name="_ETM_Q79_270920"/>
      <w:bookmarkEnd w:id="41952"/>
      <w:r>
        <w:rPr>
          <w:rFonts w:hint="cs"/>
          <w:rtl/>
        </w:rPr>
        <w:t xml:space="preserve">אתם </w:t>
      </w:r>
      <w:bookmarkStart w:id="41953" w:name="_ETM_Q79_271490"/>
      <w:bookmarkEnd w:id="41953"/>
      <w:r>
        <w:rPr>
          <w:rFonts w:hint="cs"/>
          <w:rtl/>
        </w:rPr>
        <w:t xml:space="preserve">מכוונים </w:t>
      </w:r>
      <w:bookmarkStart w:id="41954" w:name="_ETM_Q79_272780"/>
      <w:bookmarkEnd w:id="41954"/>
      <w:r>
        <w:rPr>
          <w:rFonts w:hint="cs"/>
          <w:rtl/>
        </w:rPr>
        <w:t xml:space="preserve">את </w:t>
      </w:r>
      <w:bookmarkStart w:id="41955" w:name="_ETM_Q79_272959"/>
      <w:bookmarkEnd w:id="41955"/>
      <w:r>
        <w:rPr>
          <w:rFonts w:hint="cs"/>
          <w:rtl/>
        </w:rPr>
        <w:t xml:space="preserve">המדינה </w:t>
      </w:r>
      <w:bookmarkStart w:id="41956" w:name="_ETM_Q79_273469"/>
      <w:bookmarkEnd w:id="41956"/>
      <w:r>
        <w:rPr>
          <w:rFonts w:hint="cs"/>
          <w:rtl/>
        </w:rPr>
        <w:t xml:space="preserve">היקרה </w:t>
      </w:r>
      <w:bookmarkStart w:id="41957" w:name="_ETM_Q79_273950"/>
      <w:bookmarkEnd w:id="41957"/>
      <w:r>
        <w:rPr>
          <w:rFonts w:hint="cs"/>
          <w:rtl/>
        </w:rPr>
        <w:t xml:space="preserve">שלנו? </w:t>
      </w:r>
      <w:bookmarkStart w:id="41958" w:name="_ETM_Q79_275180"/>
      <w:bookmarkStart w:id="41959" w:name="_ETM_Q79_277000"/>
      <w:bookmarkEnd w:id="41958"/>
      <w:bookmarkEnd w:id="41959"/>
      <w:r>
        <w:rPr>
          <w:rFonts w:hint="cs"/>
          <w:rtl/>
        </w:rPr>
        <w:t xml:space="preserve">הגעתם </w:t>
      </w:r>
      <w:bookmarkStart w:id="41960" w:name="_ETM_Q79_275780"/>
      <w:bookmarkEnd w:id="41960"/>
      <w:r>
        <w:rPr>
          <w:rFonts w:hint="cs"/>
          <w:rtl/>
        </w:rPr>
        <w:t xml:space="preserve">הנה </w:t>
      </w:r>
      <w:bookmarkStart w:id="41961" w:name="_ETM_Q79_276939"/>
      <w:bookmarkEnd w:id="41961"/>
      <w:r>
        <w:rPr>
          <w:rFonts w:hint="cs"/>
          <w:rtl/>
        </w:rPr>
        <w:t xml:space="preserve">אחוזי </w:t>
      </w:r>
      <w:bookmarkStart w:id="41962" w:name="_ETM_Q79_277539"/>
      <w:bookmarkEnd w:id="41962"/>
      <w:r>
        <w:rPr>
          <w:rFonts w:hint="cs"/>
          <w:rtl/>
        </w:rPr>
        <w:t xml:space="preserve">טירוף, </w:t>
      </w:r>
      <w:bookmarkStart w:id="41963" w:name="_ETM_Q79_279149"/>
      <w:bookmarkEnd w:id="41963"/>
      <w:r>
        <w:rPr>
          <w:rFonts w:hint="cs"/>
          <w:rtl/>
        </w:rPr>
        <w:t xml:space="preserve">בריצת </w:t>
      </w:r>
      <w:bookmarkStart w:id="41964" w:name="_ETM_Q79_279990"/>
      <w:bookmarkEnd w:id="41964"/>
      <w:r>
        <w:rPr>
          <w:rFonts w:hint="cs"/>
          <w:rtl/>
        </w:rPr>
        <w:t xml:space="preserve">אמוק, </w:t>
      </w:r>
      <w:bookmarkStart w:id="41965" w:name="_ETM_Q79_281579"/>
      <w:bookmarkEnd w:id="41965"/>
      <w:r>
        <w:rPr>
          <w:rFonts w:hint="cs"/>
          <w:rtl/>
        </w:rPr>
        <w:t>לה</w:t>
      </w:r>
      <w:bookmarkStart w:id="41966" w:name="_ETM_Q79_282220"/>
      <w:bookmarkEnd w:id="41966"/>
      <w:r>
        <w:rPr>
          <w:rFonts w:hint="cs"/>
          <w:rtl/>
        </w:rPr>
        <w:t xml:space="preserve">תנגשות </w:t>
      </w:r>
      <w:bookmarkStart w:id="41967" w:name="_ETM_Q79_282880"/>
      <w:bookmarkEnd w:id="41967"/>
      <w:r>
        <w:rPr>
          <w:rFonts w:hint="cs"/>
          <w:rtl/>
        </w:rPr>
        <w:t xml:space="preserve">חזיתית </w:t>
      </w:r>
      <w:bookmarkStart w:id="41968" w:name="_ETM_Q79_283930"/>
      <w:bookmarkEnd w:id="41968"/>
      <w:r>
        <w:rPr>
          <w:rFonts w:hint="cs"/>
          <w:rtl/>
        </w:rPr>
        <w:t xml:space="preserve">במשטר </w:t>
      </w:r>
      <w:bookmarkStart w:id="41969" w:name="_ETM_Q79_284650"/>
      <w:bookmarkEnd w:id="41969"/>
      <w:r>
        <w:rPr>
          <w:rFonts w:hint="cs"/>
          <w:rtl/>
        </w:rPr>
        <w:t xml:space="preserve">של </w:t>
      </w:r>
      <w:bookmarkStart w:id="41970" w:name="_ETM_Q79_284830"/>
      <w:bookmarkEnd w:id="41970"/>
      <w:r>
        <w:rPr>
          <w:rFonts w:hint="cs"/>
          <w:rtl/>
        </w:rPr>
        <w:t xml:space="preserve">מדינת </w:t>
      </w:r>
      <w:bookmarkStart w:id="41971" w:name="_ETM_Q79_285310"/>
      <w:bookmarkEnd w:id="41971"/>
      <w:r>
        <w:rPr>
          <w:rFonts w:hint="cs"/>
          <w:rtl/>
        </w:rPr>
        <w:t xml:space="preserve">ישראל. </w:t>
      </w:r>
      <w:bookmarkStart w:id="41972" w:name="_ETM_Q79_286880"/>
      <w:bookmarkEnd w:id="41972"/>
      <w:r>
        <w:rPr>
          <w:rFonts w:hint="cs"/>
          <w:rtl/>
        </w:rPr>
        <w:t>כש</w:t>
      </w:r>
      <w:bookmarkStart w:id="41973" w:name="_ETM_Q79_287180"/>
      <w:bookmarkEnd w:id="41973"/>
      <w:r>
        <w:rPr>
          <w:rFonts w:hint="cs"/>
          <w:rtl/>
        </w:rPr>
        <w:t xml:space="preserve">אמרנו </w:t>
      </w:r>
      <w:bookmarkStart w:id="41974" w:name="_ETM_Q79_287510"/>
      <w:bookmarkEnd w:id="41974"/>
      <w:r>
        <w:rPr>
          <w:rFonts w:hint="cs"/>
          <w:rtl/>
        </w:rPr>
        <w:t xml:space="preserve">בחודשים </w:t>
      </w:r>
      <w:bookmarkStart w:id="41975" w:name="_ETM_Q79_288110"/>
      <w:bookmarkStart w:id="41976" w:name="_ETM_Q79_288560"/>
      <w:bookmarkStart w:id="41977" w:name="_ETM_Q79_289340"/>
      <w:bookmarkEnd w:id="41975"/>
      <w:bookmarkEnd w:id="41976"/>
      <w:bookmarkEnd w:id="41977"/>
      <w:r>
        <w:rPr>
          <w:rFonts w:hint="cs"/>
          <w:rtl/>
        </w:rPr>
        <w:t xml:space="preserve">הראשונים </w:t>
      </w:r>
      <w:bookmarkStart w:id="41978" w:name="_ETM_Q79_290570"/>
      <w:bookmarkEnd w:id="41978"/>
      <w:r>
        <w:rPr>
          <w:rFonts w:hint="cs"/>
          <w:rtl/>
        </w:rPr>
        <w:t>ש</w:t>
      </w:r>
      <w:bookmarkStart w:id="41979" w:name="_ETM_Q79_290810"/>
      <w:bookmarkEnd w:id="41979"/>
      <w:r>
        <w:rPr>
          <w:rFonts w:hint="cs"/>
          <w:rtl/>
        </w:rPr>
        <w:t xml:space="preserve">מבחינתכם </w:t>
      </w:r>
      <w:bookmarkStart w:id="41980" w:name="_ETM_Q79_291380"/>
      <w:bookmarkEnd w:id="41980"/>
      <w:r>
        <w:rPr>
          <w:rFonts w:hint="cs"/>
          <w:rtl/>
        </w:rPr>
        <w:t xml:space="preserve">תישרף </w:t>
      </w:r>
      <w:bookmarkStart w:id="41981" w:name="_ETM_Q79_291920"/>
      <w:bookmarkEnd w:id="41981"/>
      <w:r>
        <w:rPr>
          <w:rFonts w:hint="cs"/>
          <w:rtl/>
        </w:rPr>
        <w:t xml:space="preserve">המדינה, </w:t>
      </w:r>
      <w:bookmarkStart w:id="41982" w:name="_ETM_Q79_292520"/>
      <w:bookmarkEnd w:id="41982"/>
      <w:r>
        <w:rPr>
          <w:rFonts w:hint="cs"/>
          <w:rtl/>
        </w:rPr>
        <w:t xml:space="preserve">זה </w:t>
      </w:r>
      <w:bookmarkStart w:id="41983" w:name="_ETM_Q79_292700"/>
      <w:bookmarkEnd w:id="41983"/>
      <w:r>
        <w:rPr>
          <w:rFonts w:hint="cs"/>
          <w:rtl/>
        </w:rPr>
        <w:t xml:space="preserve">היה </w:t>
      </w:r>
      <w:bookmarkStart w:id="41984" w:name="_ETM_Q79_292909"/>
      <w:bookmarkStart w:id="41985" w:name="_ETM_Q79_293750"/>
      <w:bookmarkEnd w:id="41984"/>
      <w:bookmarkEnd w:id="41985"/>
      <w:r>
        <w:rPr>
          <w:rFonts w:hint="cs"/>
          <w:rtl/>
        </w:rPr>
        <w:t xml:space="preserve">– אני </w:t>
      </w:r>
      <w:bookmarkStart w:id="41986" w:name="_ETM_Q79_293990"/>
      <w:bookmarkEnd w:id="41986"/>
      <w:r>
        <w:rPr>
          <w:rFonts w:hint="cs"/>
          <w:rtl/>
        </w:rPr>
        <w:t xml:space="preserve">מודה, </w:t>
      </w:r>
      <w:bookmarkStart w:id="41987" w:name="_ETM_Q79_294619"/>
      <w:bookmarkEnd w:id="41987"/>
      <w:r>
        <w:rPr>
          <w:rFonts w:hint="cs"/>
          <w:rtl/>
        </w:rPr>
        <w:t xml:space="preserve">אני </w:t>
      </w:r>
      <w:bookmarkStart w:id="41988" w:name="_ETM_Q79_294920"/>
      <w:bookmarkEnd w:id="41988"/>
      <w:r>
        <w:rPr>
          <w:rFonts w:hint="cs"/>
          <w:rtl/>
        </w:rPr>
        <w:t xml:space="preserve">השתמשתי </w:t>
      </w:r>
      <w:bookmarkStart w:id="41989" w:name="_ETM_Q79_295520"/>
      <w:bookmarkEnd w:id="41989"/>
      <w:r>
        <w:rPr>
          <w:rFonts w:hint="cs"/>
          <w:rtl/>
        </w:rPr>
        <w:t xml:space="preserve">בזה </w:t>
      </w:r>
      <w:bookmarkStart w:id="41990" w:name="_ETM_Q79_295790"/>
      <w:bookmarkEnd w:id="41990"/>
      <w:r>
        <w:rPr>
          <w:rFonts w:hint="cs"/>
          <w:rtl/>
        </w:rPr>
        <w:t xml:space="preserve">לא </w:t>
      </w:r>
      <w:bookmarkStart w:id="41991" w:name="_ETM_Q79_295940"/>
      <w:bookmarkEnd w:id="41991"/>
      <w:r>
        <w:rPr>
          <w:rFonts w:hint="cs"/>
          <w:rtl/>
        </w:rPr>
        <w:t xml:space="preserve">פעם </w:t>
      </w:r>
      <w:bookmarkStart w:id="41992" w:name="_ETM_Q79_296360"/>
      <w:bookmarkEnd w:id="41992"/>
      <w:r>
        <w:rPr>
          <w:rFonts w:hint="cs"/>
          <w:rtl/>
        </w:rPr>
        <w:t xml:space="preserve">ואמרתי </w:t>
      </w:r>
      <w:bookmarkStart w:id="41993" w:name="_ETM_Q79_297500"/>
      <w:bookmarkEnd w:id="41993"/>
      <w:r>
        <w:rPr>
          <w:rFonts w:hint="cs"/>
          <w:rtl/>
        </w:rPr>
        <w:t xml:space="preserve">שאתם </w:t>
      </w:r>
      <w:bookmarkStart w:id="41994" w:name="_ETM_Q79_297920"/>
      <w:bookmarkEnd w:id="41994"/>
      <w:r>
        <w:rPr>
          <w:rFonts w:hint="cs"/>
          <w:rtl/>
        </w:rPr>
        <w:t xml:space="preserve">רצים </w:t>
      </w:r>
      <w:bookmarkStart w:id="41995" w:name="_ETM_Q79_298390"/>
      <w:bookmarkEnd w:id="41995"/>
      <w:r w:rsidR="000B58A5">
        <w:rPr>
          <w:rFonts w:hint="cs"/>
          <w:rtl/>
        </w:rPr>
        <w:t>ב</w:t>
      </w:r>
      <w:r>
        <w:rPr>
          <w:rFonts w:hint="cs"/>
          <w:rtl/>
        </w:rPr>
        <w:t xml:space="preserve">ריצת </w:t>
      </w:r>
      <w:bookmarkStart w:id="41996" w:name="_ETM_Q79_298810"/>
      <w:bookmarkEnd w:id="41996"/>
      <w:r>
        <w:rPr>
          <w:rFonts w:hint="cs"/>
          <w:rtl/>
        </w:rPr>
        <w:t xml:space="preserve">אמוק </w:t>
      </w:r>
      <w:bookmarkStart w:id="41997" w:name="_ETM_Q79_299500"/>
      <w:bookmarkEnd w:id="41997"/>
      <w:r>
        <w:rPr>
          <w:rFonts w:hint="cs"/>
          <w:rtl/>
        </w:rPr>
        <w:t>ו</w:t>
      </w:r>
      <w:r w:rsidR="000B58A5">
        <w:rPr>
          <w:rFonts w:hint="cs"/>
          <w:rtl/>
        </w:rPr>
        <w:t>ש</w:t>
      </w:r>
      <w:r>
        <w:rPr>
          <w:rFonts w:hint="cs"/>
          <w:rtl/>
        </w:rPr>
        <w:t xml:space="preserve">תישרף </w:t>
      </w:r>
      <w:bookmarkStart w:id="41998" w:name="_ETM_Q79_300190"/>
      <w:bookmarkEnd w:id="41998"/>
      <w:r>
        <w:rPr>
          <w:rFonts w:hint="cs"/>
          <w:rtl/>
        </w:rPr>
        <w:t>המדינה</w:t>
      </w:r>
      <w:r w:rsidR="000B58A5">
        <w:rPr>
          <w:rFonts w:hint="cs"/>
          <w:rtl/>
        </w:rPr>
        <w:t>;</w:t>
      </w:r>
      <w:r>
        <w:rPr>
          <w:rFonts w:hint="cs"/>
          <w:rtl/>
        </w:rPr>
        <w:t xml:space="preserve"> </w:t>
      </w:r>
      <w:bookmarkStart w:id="41999" w:name="_ETM_Q79_301590"/>
      <w:bookmarkEnd w:id="41999"/>
      <w:r>
        <w:rPr>
          <w:rFonts w:hint="cs"/>
          <w:rtl/>
        </w:rPr>
        <w:t xml:space="preserve">לא </w:t>
      </w:r>
      <w:bookmarkStart w:id="42000" w:name="_ETM_Q79_301979"/>
      <w:bookmarkEnd w:id="42000"/>
      <w:r>
        <w:rPr>
          <w:rFonts w:hint="cs"/>
          <w:rtl/>
        </w:rPr>
        <w:t xml:space="preserve">תיארתי </w:t>
      </w:r>
      <w:bookmarkStart w:id="42001" w:name="_ETM_Q79_302759"/>
      <w:bookmarkEnd w:id="42001"/>
      <w:r>
        <w:rPr>
          <w:rFonts w:hint="cs"/>
          <w:rtl/>
        </w:rPr>
        <w:t xml:space="preserve">לעצמי </w:t>
      </w:r>
      <w:bookmarkStart w:id="42002" w:name="_ETM_Q79_304119"/>
      <w:bookmarkEnd w:id="42002"/>
      <w:r>
        <w:rPr>
          <w:rFonts w:hint="cs"/>
          <w:rtl/>
        </w:rPr>
        <w:t xml:space="preserve">שאנחנו </w:t>
      </w:r>
      <w:bookmarkStart w:id="42003" w:name="_ETM_Q79_304569"/>
      <w:bookmarkEnd w:id="42003"/>
      <w:r>
        <w:rPr>
          <w:rFonts w:hint="cs"/>
          <w:rtl/>
        </w:rPr>
        <w:t xml:space="preserve">נמצא </w:t>
      </w:r>
      <w:bookmarkStart w:id="42004" w:name="_ETM_Q79_305170"/>
      <w:bookmarkEnd w:id="42004"/>
      <w:r>
        <w:rPr>
          <w:rFonts w:hint="cs"/>
          <w:rtl/>
        </w:rPr>
        <w:t xml:space="preserve">את </w:t>
      </w:r>
      <w:bookmarkStart w:id="42005" w:name="_ETM_Q79_305319"/>
      <w:bookmarkEnd w:id="42005"/>
      <w:r>
        <w:rPr>
          <w:rFonts w:hint="cs"/>
          <w:rtl/>
        </w:rPr>
        <w:t xml:space="preserve">מדינת </w:t>
      </w:r>
      <w:bookmarkStart w:id="42006" w:name="_ETM_Q79_305979"/>
      <w:bookmarkEnd w:id="42006"/>
      <w:r>
        <w:rPr>
          <w:rFonts w:hint="cs"/>
          <w:rtl/>
        </w:rPr>
        <w:t xml:space="preserve">ישראל </w:t>
      </w:r>
      <w:bookmarkStart w:id="42007" w:name="_ETM_Q79_306909"/>
      <w:bookmarkEnd w:id="42007"/>
      <w:r>
        <w:rPr>
          <w:rFonts w:hint="cs"/>
          <w:rtl/>
        </w:rPr>
        <w:t xml:space="preserve">בוערת. </w:t>
      </w:r>
      <w:bookmarkStart w:id="42008" w:name="_ETM_Q79_308470"/>
      <w:bookmarkEnd w:id="42008"/>
      <w:r>
        <w:rPr>
          <w:rFonts w:hint="cs"/>
          <w:rtl/>
        </w:rPr>
        <w:t xml:space="preserve">ומדינת </w:t>
      </w:r>
      <w:bookmarkStart w:id="42009" w:name="_ETM_Q79_309160"/>
      <w:bookmarkEnd w:id="42009"/>
      <w:r>
        <w:rPr>
          <w:rFonts w:hint="cs"/>
          <w:rtl/>
        </w:rPr>
        <w:t xml:space="preserve">ישראל </w:t>
      </w:r>
      <w:bookmarkStart w:id="42010" w:name="_ETM_Q79_309940"/>
      <w:bookmarkEnd w:id="42010"/>
      <w:r>
        <w:rPr>
          <w:rFonts w:hint="cs"/>
          <w:rtl/>
        </w:rPr>
        <w:t xml:space="preserve">בוערת. </w:t>
      </w:r>
      <w:bookmarkStart w:id="42011" w:name="_ETM_Q79_311870"/>
      <w:bookmarkEnd w:id="42011"/>
    </w:p>
    <w:p w:rsidR="00BB59CD" w:rsidRDefault="00BB59CD" w:rsidP="00BB59CD">
      <w:pPr>
        <w:rPr>
          <w:rtl/>
          <w:lang w:eastAsia="he-IL"/>
        </w:rPr>
      </w:pPr>
    </w:p>
    <w:p w:rsidR="00BB59CD" w:rsidRDefault="00BB59CD" w:rsidP="000B58A5">
      <w:pPr>
        <w:rPr>
          <w:rtl/>
        </w:rPr>
      </w:pPr>
      <w:bookmarkStart w:id="42012" w:name="_ETM_Q79_311000"/>
      <w:bookmarkEnd w:id="42012"/>
      <w:r>
        <w:rPr>
          <w:rFonts w:hint="cs"/>
          <w:rtl/>
        </w:rPr>
        <w:t xml:space="preserve">אני </w:t>
      </w:r>
      <w:bookmarkStart w:id="42013" w:name="_ETM_Q79_312080"/>
      <w:bookmarkEnd w:id="42013"/>
      <w:r>
        <w:rPr>
          <w:rFonts w:hint="cs"/>
          <w:rtl/>
        </w:rPr>
        <w:t xml:space="preserve">מגיעה </w:t>
      </w:r>
      <w:bookmarkStart w:id="42014" w:name="_ETM_Q79_312590"/>
      <w:bookmarkEnd w:id="42014"/>
      <w:r>
        <w:rPr>
          <w:rFonts w:hint="cs"/>
          <w:rtl/>
        </w:rPr>
        <w:t xml:space="preserve">מההפגנה. </w:t>
      </w:r>
      <w:bookmarkStart w:id="42015" w:name="_ETM_Q79_313580"/>
      <w:bookmarkEnd w:id="42015"/>
      <w:r>
        <w:rPr>
          <w:rFonts w:hint="cs"/>
          <w:rtl/>
        </w:rPr>
        <w:t xml:space="preserve">פגשתי </w:t>
      </w:r>
      <w:bookmarkStart w:id="42016" w:name="_ETM_Q79_314180"/>
      <w:bookmarkEnd w:id="42016"/>
      <w:r>
        <w:rPr>
          <w:rFonts w:hint="cs"/>
          <w:rtl/>
        </w:rPr>
        <w:t xml:space="preserve">את </w:t>
      </w:r>
      <w:bookmarkStart w:id="42017" w:name="_ETM_Q79_314360"/>
      <w:bookmarkEnd w:id="42017"/>
      <w:r>
        <w:rPr>
          <w:rFonts w:hint="cs"/>
          <w:rtl/>
        </w:rPr>
        <w:t xml:space="preserve">המפגינים </w:t>
      </w:r>
      <w:r>
        <w:t>–</w:t>
      </w:r>
      <w:r>
        <w:rPr>
          <w:rFonts w:hint="cs"/>
          <w:rtl/>
        </w:rPr>
        <w:t xml:space="preserve"> </w:t>
      </w:r>
      <w:bookmarkStart w:id="42018" w:name="_ETM_Q79_314990"/>
      <w:bookmarkEnd w:id="42018"/>
      <w:r>
        <w:rPr>
          <w:rFonts w:hint="cs"/>
          <w:rtl/>
        </w:rPr>
        <w:t xml:space="preserve">שלום, </w:t>
      </w:r>
      <w:bookmarkStart w:id="42019" w:name="_ETM_Q79_315620"/>
      <w:bookmarkEnd w:id="42019"/>
      <w:r>
        <w:rPr>
          <w:rFonts w:hint="cs"/>
          <w:rtl/>
        </w:rPr>
        <w:t xml:space="preserve">כבוד </w:t>
      </w:r>
      <w:bookmarkStart w:id="42020" w:name="_ETM_Q79_315950"/>
      <w:bookmarkEnd w:id="42020"/>
      <w:r>
        <w:rPr>
          <w:rFonts w:hint="cs"/>
          <w:rtl/>
        </w:rPr>
        <w:t xml:space="preserve">היושב-ראש – </w:t>
      </w:r>
      <w:bookmarkStart w:id="42021" w:name="_ETM_Q79_318159"/>
      <w:bookmarkEnd w:id="42021"/>
      <w:r>
        <w:rPr>
          <w:rFonts w:hint="cs"/>
          <w:rtl/>
        </w:rPr>
        <w:t xml:space="preserve">פגשתי </w:t>
      </w:r>
      <w:bookmarkStart w:id="42022" w:name="_ETM_Q79_318730"/>
      <w:bookmarkEnd w:id="42022"/>
      <w:r>
        <w:rPr>
          <w:rFonts w:hint="cs"/>
          <w:rtl/>
        </w:rPr>
        <w:t xml:space="preserve">את </w:t>
      </w:r>
      <w:bookmarkStart w:id="42023" w:name="_ETM_Q79_318849"/>
      <w:bookmarkStart w:id="42024" w:name="_ETM_Q79_320510"/>
      <w:bookmarkEnd w:id="42023"/>
      <w:bookmarkEnd w:id="42024"/>
      <w:r>
        <w:rPr>
          <w:rFonts w:hint="cs"/>
          <w:rtl/>
        </w:rPr>
        <w:t>המפגינים</w:t>
      </w:r>
      <w:r w:rsidR="000B58A5">
        <w:rPr>
          <w:rFonts w:hint="cs"/>
          <w:rtl/>
        </w:rPr>
        <w:t>.</w:t>
      </w:r>
      <w:r>
        <w:rPr>
          <w:rFonts w:hint="cs"/>
          <w:rtl/>
        </w:rPr>
        <w:t xml:space="preserve"> באמת, </w:t>
      </w:r>
      <w:bookmarkStart w:id="42025" w:name="_ETM_Q79_322299"/>
      <w:bookmarkEnd w:id="42025"/>
      <w:r>
        <w:rPr>
          <w:rFonts w:hint="cs"/>
          <w:rtl/>
        </w:rPr>
        <w:t xml:space="preserve">כאלה </w:t>
      </w:r>
      <w:bookmarkStart w:id="42026" w:name="_ETM_Q79_322930"/>
      <w:bookmarkEnd w:id="42026"/>
      <w:r>
        <w:rPr>
          <w:rFonts w:hint="cs"/>
          <w:rtl/>
        </w:rPr>
        <w:t>עוצמות</w:t>
      </w:r>
      <w:r w:rsidR="000B58A5">
        <w:rPr>
          <w:rFonts w:hint="cs"/>
          <w:rtl/>
        </w:rPr>
        <w:t>,</w:t>
      </w:r>
      <w:r>
        <w:rPr>
          <w:rFonts w:hint="cs"/>
          <w:rtl/>
        </w:rPr>
        <w:t xml:space="preserve"> </w:t>
      </w:r>
      <w:bookmarkStart w:id="42027" w:name="_ETM_Q79_324859"/>
      <w:bookmarkEnd w:id="42027"/>
      <w:r>
        <w:rPr>
          <w:rFonts w:hint="cs"/>
          <w:rtl/>
        </w:rPr>
        <w:t xml:space="preserve">אין </w:t>
      </w:r>
      <w:bookmarkStart w:id="42028" w:name="_ETM_Q79_325370"/>
      <w:bookmarkEnd w:id="42028"/>
      <w:r>
        <w:rPr>
          <w:rFonts w:hint="cs"/>
          <w:rtl/>
        </w:rPr>
        <w:t xml:space="preserve">מילים </w:t>
      </w:r>
      <w:bookmarkStart w:id="42029" w:name="_ETM_Q79_325969"/>
      <w:bookmarkEnd w:id="42029"/>
      <w:r>
        <w:rPr>
          <w:rFonts w:hint="cs"/>
          <w:rtl/>
        </w:rPr>
        <w:t xml:space="preserve">לתאר </w:t>
      </w:r>
      <w:bookmarkStart w:id="42030" w:name="_ETM_Q79_326480"/>
      <w:bookmarkEnd w:id="42030"/>
      <w:r>
        <w:rPr>
          <w:rFonts w:hint="cs"/>
          <w:rtl/>
        </w:rPr>
        <w:t xml:space="preserve">את </w:t>
      </w:r>
      <w:bookmarkStart w:id="42031" w:name="_ETM_Q79_326629"/>
      <w:bookmarkEnd w:id="42031"/>
      <w:r>
        <w:rPr>
          <w:rFonts w:hint="cs"/>
          <w:rtl/>
        </w:rPr>
        <w:t xml:space="preserve">ההתרגשות </w:t>
      </w:r>
      <w:bookmarkStart w:id="42032" w:name="_ETM_Q79_327190"/>
      <w:bookmarkStart w:id="42033" w:name="_ETM_Q79_327610"/>
      <w:bookmarkEnd w:id="42032"/>
      <w:bookmarkEnd w:id="42033"/>
      <w:r>
        <w:rPr>
          <w:rFonts w:hint="cs"/>
          <w:rtl/>
        </w:rPr>
        <w:t xml:space="preserve">כשרואים </w:t>
      </w:r>
      <w:bookmarkStart w:id="42034" w:name="_ETM_Q79_328540"/>
      <w:bookmarkEnd w:id="42034"/>
      <w:r>
        <w:rPr>
          <w:rFonts w:hint="cs"/>
          <w:rtl/>
        </w:rPr>
        <w:t xml:space="preserve">את </w:t>
      </w:r>
      <w:bookmarkStart w:id="42035" w:name="_ETM_Q79_328810"/>
      <w:bookmarkEnd w:id="42035"/>
      <w:r>
        <w:rPr>
          <w:rFonts w:hint="cs"/>
          <w:rtl/>
        </w:rPr>
        <w:t xml:space="preserve">ההמון </w:t>
      </w:r>
      <w:bookmarkStart w:id="42036" w:name="_ETM_Q79_330050"/>
      <w:bookmarkEnd w:id="42036"/>
      <w:r>
        <w:rPr>
          <w:rFonts w:hint="cs"/>
          <w:rtl/>
        </w:rPr>
        <w:t xml:space="preserve">פשוט </w:t>
      </w:r>
      <w:bookmarkStart w:id="42037" w:name="_ETM_Q79_330650"/>
      <w:bookmarkEnd w:id="42037"/>
      <w:r>
        <w:rPr>
          <w:rFonts w:hint="cs"/>
          <w:rtl/>
        </w:rPr>
        <w:t xml:space="preserve">עולה </w:t>
      </w:r>
      <w:bookmarkStart w:id="42038" w:name="_ETM_Q79_331010"/>
      <w:bookmarkEnd w:id="42038"/>
      <w:r>
        <w:rPr>
          <w:rFonts w:hint="cs"/>
          <w:rtl/>
        </w:rPr>
        <w:t xml:space="preserve">לירושלים </w:t>
      </w:r>
      <w:bookmarkStart w:id="42039" w:name="_ETM_Q79_332780"/>
      <w:bookmarkEnd w:id="42039"/>
      <w:r>
        <w:rPr>
          <w:rFonts w:hint="cs"/>
          <w:rtl/>
        </w:rPr>
        <w:t xml:space="preserve">כדי </w:t>
      </w:r>
      <w:bookmarkStart w:id="42040" w:name="_ETM_Q79_333169"/>
      <w:bookmarkEnd w:id="42040"/>
      <w:r>
        <w:rPr>
          <w:rFonts w:hint="cs"/>
          <w:rtl/>
        </w:rPr>
        <w:t xml:space="preserve">להציל </w:t>
      </w:r>
      <w:bookmarkStart w:id="42041" w:name="_ETM_Q79_334480"/>
      <w:bookmarkEnd w:id="42041"/>
      <w:r>
        <w:rPr>
          <w:rFonts w:hint="cs"/>
          <w:rtl/>
        </w:rPr>
        <w:t xml:space="preserve">את </w:t>
      </w:r>
      <w:bookmarkStart w:id="42042" w:name="_ETM_Q79_334659"/>
      <w:bookmarkEnd w:id="42042"/>
      <w:r>
        <w:rPr>
          <w:rFonts w:hint="cs"/>
          <w:rtl/>
        </w:rPr>
        <w:t xml:space="preserve">המשטר </w:t>
      </w:r>
      <w:bookmarkStart w:id="42043" w:name="_ETM_Q79_335079"/>
      <w:bookmarkEnd w:id="42043"/>
      <w:r>
        <w:rPr>
          <w:rFonts w:hint="cs"/>
          <w:rtl/>
        </w:rPr>
        <w:t xml:space="preserve">במדינת </w:t>
      </w:r>
      <w:bookmarkStart w:id="42044" w:name="_ETM_Q79_335590"/>
      <w:bookmarkEnd w:id="42044"/>
      <w:r>
        <w:rPr>
          <w:rFonts w:hint="cs"/>
          <w:rtl/>
        </w:rPr>
        <w:t>ישראל</w:t>
      </w:r>
      <w:r w:rsidR="000B58A5">
        <w:rPr>
          <w:rFonts w:hint="cs"/>
          <w:rtl/>
        </w:rPr>
        <w:t>.</w:t>
      </w:r>
      <w:r>
        <w:rPr>
          <w:rFonts w:hint="cs"/>
          <w:rtl/>
        </w:rPr>
        <w:t xml:space="preserve"> </w:t>
      </w:r>
      <w:bookmarkStart w:id="42045" w:name="_ETM_Q79_336549"/>
      <w:bookmarkEnd w:id="42045"/>
      <w:r>
        <w:rPr>
          <w:rFonts w:hint="cs"/>
          <w:rtl/>
        </w:rPr>
        <w:t xml:space="preserve">אנשים </w:t>
      </w:r>
      <w:bookmarkStart w:id="42046" w:name="_ETM_Q79_337000"/>
      <w:bookmarkEnd w:id="42046"/>
      <w:r>
        <w:rPr>
          <w:rFonts w:hint="cs"/>
          <w:rtl/>
        </w:rPr>
        <w:t xml:space="preserve">שחשובה </w:t>
      </w:r>
      <w:bookmarkStart w:id="42047" w:name="_ETM_Q79_337840"/>
      <w:bookmarkEnd w:id="42047"/>
      <w:r>
        <w:rPr>
          <w:rFonts w:hint="cs"/>
          <w:rtl/>
        </w:rPr>
        <w:t xml:space="preserve">להם </w:t>
      </w:r>
      <w:bookmarkStart w:id="42048" w:name="_ETM_Q79_338110"/>
      <w:bookmarkEnd w:id="42048"/>
      <w:r>
        <w:rPr>
          <w:rFonts w:hint="cs"/>
          <w:rtl/>
        </w:rPr>
        <w:t xml:space="preserve">המדינה, </w:t>
      </w:r>
      <w:bookmarkStart w:id="42049" w:name="_ETM_Q79_339370"/>
      <w:bookmarkEnd w:id="42049"/>
      <w:r>
        <w:rPr>
          <w:rFonts w:hint="cs"/>
          <w:rtl/>
        </w:rPr>
        <w:t xml:space="preserve">יחד </w:t>
      </w:r>
      <w:bookmarkStart w:id="42050" w:name="_ETM_Q79_339790"/>
      <w:bookmarkEnd w:id="42050"/>
      <w:r>
        <w:rPr>
          <w:rFonts w:hint="cs"/>
          <w:rtl/>
        </w:rPr>
        <w:t xml:space="preserve">עם </w:t>
      </w:r>
      <w:bookmarkStart w:id="42051" w:name="_ETM_Q79_339909"/>
      <w:bookmarkEnd w:id="42051"/>
      <w:r>
        <w:rPr>
          <w:rFonts w:hint="cs"/>
          <w:rtl/>
        </w:rPr>
        <w:t xml:space="preserve">הנשים </w:t>
      </w:r>
      <w:bookmarkStart w:id="42052" w:name="_ETM_Q79_340419"/>
      <w:bookmarkEnd w:id="42052"/>
      <w:r>
        <w:rPr>
          <w:rFonts w:hint="cs"/>
          <w:rtl/>
        </w:rPr>
        <w:t xml:space="preserve">שלהם </w:t>
      </w:r>
      <w:bookmarkStart w:id="42053" w:name="_ETM_Q79_340959"/>
      <w:bookmarkEnd w:id="42053"/>
      <w:r>
        <w:rPr>
          <w:rFonts w:hint="cs"/>
          <w:rtl/>
        </w:rPr>
        <w:t xml:space="preserve">ועם </w:t>
      </w:r>
      <w:bookmarkStart w:id="42054" w:name="_ETM_Q79_341200"/>
      <w:bookmarkEnd w:id="42054"/>
      <w:r>
        <w:rPr>
          <w:rFonts w:hint="cs"/>
          <w:rtl/>
        </w:rPr>
        <w:t xml:space="preserve">הילדים </w:t>
      </w:r>
      <w:bookmarkStart w:id="42055" w:name="_ETM_Q79_341739"/>
      <w:bookmarkEnd w:id="42055"/>
      <w:r>
        <w:rPr>
          <w:rFonts w:hint="cs"/>
          <w:rtl/>
        </w:rPr>
        <w:t xml:space="preserve">שלהם, </w:t>
      </w:r>
      <w:bookmarkStart w:id="42056" w:name="_ETM_Q79_342870"/>
      <w:bookmarkEnd w:id="42056"/>
      <w:r>
        <w:rPr>
          <w:rFonts w:hint="cs"/>
          <w:rtl/>
        </w:rPr>
        <w:t xml:space="preserve">כולם </w:t>
      </w:r>
      <w:bookmarkStart w:id="42057" w:name="_ETM_Q79_343560"/>
      <w:bookmarkEnd w:id="42057"/>
      <w:r>
        <w:rPr>
          <w:rFonts w:hint="cs"/>
          <w:rtl/>
        </w:rPr>
        <w:t xml:space="preserve">מבקשים </w:t>
      </w:r>
      <w:bookmarkStart w:id="42058" w:name="_ETM_Q79_344040"/>
      <w:bookmarkEnd w:id="42058"/>
      <w:r>
        <w:rPr>
          <w:rFonts w:hint="cs"/>
          <w:rtl/>
        </w:rPr>
        <w:t xml:space="preserve">רק </w:t>
      </w:r>
      <w:bookmarkStart w:id="42059" w:name="_ETM_Q79_344370"/>
      <w:bookmarkEnd w:id="42059"/>
      <w:r>
        <w:rPr>
          <w:rFonts w:hint="cs"/>
          <w:rtl/>
        </w:rPr>
        <w:t xml:space="preserve">דבר </w:t>
      </w:r>
      <w:bookmarkStart w:id="42060" w:name="_ETM_Q79_344790"/>
      <w:bookmarkEnd w:id="42060"/>
      <w:r>
        <w:rPr>
          <w:rFonts w:hint="cs"/>
          <w:rtl/>
        </w:rPr>
        <w:t xml:space="preserve">אחד: </w:t>
      </w:r>
      <w:bookmarkStart w:id="42061" w:name="_ETM_Q79_346280"/>
      <w:bookmarkEnd w:id="42061"/>
      <w:r>
        <w:rPr>
          <w:rFonts w:hint="cs"/>
          <w:rtl/>
        </w:rPr>
        <w:t xml:space="preserve">תעצרו, </w:t>
      </w:r>
      <w:bookmarkStart w:id="42062" w:name="_ETM_Q79_348349"/>
      <w:bookmarkEnd w:id="42062"/>
      <w:r>
        <w:rPr>
          <w:rFonts w:hint="cs"/>
          <w:rtl/>
        </w:rPr>
        <w:t xml:space="preserve">תעצרו </w:t>
      </w:r>
      <w:bookmarkStart w:id="42063" w:name="_ETM_Q79_349099"/>
      <w:bookmarkEnd w:id="42063"/>
      <w:r>
        <w:rPr>
          <w:rFonts w:hint="cs"/>
          <w:rtl/>
        </w:rPr>
        <w:t xml:space="preserve">את </w:t>
      </w:r>
      <w:bookmarkStart w:id="42064" w:name="_ETM_Q79_349330"/>
      <w:bookmarkEnd w:id="42064"/>
      <w:r>
        <w:rPr>
          <w:rFonts w:hint="cs"/>
          <w:rtl/>
        </w:rPr>
        <w:t xml:space="preserve">הנפילה </w:t>
      </w:r>
      <w:bookmarkStart w:id="42065" w:name="_ETM_Q79_350020"/>
      <w:bookmarkEnd w:id="42065"/>
      <w:r>
        <w:rPr>
          <w:rFonts w:hint="cs"/>
          <w:rtl/>
        </w:rPr>
        <w:t xml:space="preserve">הזאת. </w:t>
      </w:r>
      <w:bookmarkStart w:id="42066" w:name="_ETM_Q79_351559"/>
      <w:bookmarkEnd w:id="42066"/>
      <w:r>
        <w:rPr>
          <w:rFonts w:hint="cs"/>
          <w:rtl/>
        </w:rPr>
        <w:t xml:space="preserve">אנחנו </w:t>
      </w:r>
      <w:bookmarkStart w:id="42067" w:name="_ETM_Q79_351870"/>
      <w:bookmarkEnd w:id="42067"/>
      <w:r>
        <w:rPr>
          <w:rFonts w:hint="cs"/>
          <w:rtl/>
        </w:rPr>
        <w:t xml:space="preserve">לא </w:t>
      </w:r>
      <w:bookmarkStart w:id="42068" w:name="_ETM_Q79_352200"/>
      <w:bookmarkEnd w:id="42068"/>
      <w:r>
        <w:rPr>
          <w:rFonts w:hint="cs"/>
          <w:rtl/>
        </w:rPr>
        <w:t xml:space="preserve">על </w:t>
      </w:r>
      <w:bookmarkStart w:id="42069" w:name="_ETM_Q79_352349"/>
      <w:bookmarkEnd w:id="42069"/>
      <w:r>
        <w:rPr>
          <w:rFonts w:hint="cs"/>
          <w:rtl/>
        </w:rPr>
        <w:t xml:space="preserve">פי תהום, </w:t>
      </w:r>
      <w:bookmarkStart w:id="42070" w:name="_ETM_Q79_352800"/>
      <w:bookmarkStart w:id="42071" w:name="_ETM_Q79_352950"/>
      <w:bookmarkEnd w:id="42070"/>
      <w:bookmarkEnd w:id="42071"/>
      <w:r>
        <w:rPr>
          <w:rFonts w:hint="cs"/>
          <w:rtl/>
        </w:rPr>
        <w:t xml:space="preserve">אנחנו </w:t>
      </w:r>
      <w:bookmarkStart w:id="42072" w:name="_ETM_Q79_353310"/>
      <w:bookmarkEnd w:id="42072"/>
      <w:r>
        <w:rPr>
          <w:rFonts w:hint="cs"/>
          <w:rtl/>
        </w:rPr>
        <w:t xml:space="preserve">כבר </w:t>
      </w:r>
      <w:bookmarkStart w:id="42073" w:name="_ETM_Q79_353610"/>
      <w:bookmarkEnd w:id="42073"/>
      <w:r w:rsidR="000B58A5">
        <w:rPr>
          <w:rFonts w:hint="cs"/>
          <w:rtl/>
        </w:rPr>
        <w:t>מי</w:t>
      </w:r>
      <w:r>
        <w:rPr>
          <w:rFonts w:hint="cs"/>
          <w:rtl/>
        </w:rPr>
        <w:t xml:space="preserve">דרדרים </w:t>
      </w:r>
      <w:bookmarkStart w:id="42074" w:name="_ETM_Q79_354099"/>
      <w:bookmarkStart w:id="42075" w:name="_ETM_Q79_354400"/>
      <w:bookmarkEnd w:id="42074"/>
      <w:bookmarkEnd w:id="42075"/>
      <w:r>
        <w:rPr>
          <w:rFonts w:hint="cs"/>
          <w:rtl/>
        </w:rPr>
        <w:t xml:space="preserve">לתוך </w:t>
      </w:r>
      <w:bookmarkStart w:id="42076" w:name="_ETM_Q79_354790"/>
      <w:bookmarkEnd w:id="42076"/>
      <w:r>
        <w:rPr>
          <w:rFonts w:hint="cs"/>
          <w:rtl/>
        </w:rPr>
        <w:t xml:space="preserve">התהום. </w:t>
      </w:r>
      <w:bookmarkStart w:id="42077" w:name="_ETM_Q79_355209"/>
      <w:bookmarkEnd w:id="42077"/>
      <w:r>
        <w:rPr>
          <w:rFonts w:hint="cs"/>
          <w:rtl/>
        </w:rPr>
        <w:t xml:space="preserve">תמנעו </w:t>
      </w:r>
      <w:bookmarkStart w:id="42078" w:name="_ETM_Q79_355719"/>
      <w:bookmarkEnd w:id="42078"/>
      <w:r>
        <w:rPr>
          <w:rFonts w:hint="cs"/>
          <w:rtl/>
        </w:rPr>
        <w:t xml:space="preserve">את </w:t>
      </w:r>
      <w:bookmarkStart w:id="42079" w:name="_ETM_Q79_355810"/>
      <w:bookmarkEnd w:id="42079"/>
      <w:r>
        <w:rPr>
          <w:rFonts w:hint="cs"/>
          <w:rtl/>
        </w:rPr>
        <w:t xml:space="preserve">ההתרסקות </w:t>
      </w:r>
      <w:bookmarkStart w:id="42080" w:name="_ETM_Q79_356499"/>
      <w:bookmarkEnd w:id="42080"/>
      <w:r>
        <w:rPr>
          <w:rFonts w:hint="cs"/>
          <w:rtl/>
        </w:rPr>
        <w:t xml:space="preserve">הזאת. </w:t>
      </w:r>
      <w:bookmarkStart w:id="42081" w:name="_ETM_Q79_357610"/>
      <w:bookmarkEnd w:id="42081"/>
      <w:r>
        <w:rPr>
          <w:rFonts w:hint="cs"/>
          <w:rtl/>
        </w:rPr>
        <w:t xml:space="preserve">תצילו </w:t>
      </w:r>
      <w:bookmarkStart w:id="42082" w:name="_ETM_Q79_358120"/>
      <w:bookmarkEnd w:id="42082"/>
      <w:r>
        <w:rPr>
          <w:rFonts w:hint="cs"/>
          <w:rtl/>
        </w:rPr>
        <w:t xml:space="preserve">את </w:t>
      </w:r>
      <w:bookmarkStart w:id="42083" w:name="_ETM_Q79_358209"/>
      <w:bookmarkEnd w:id="42083"/>
      <w:r>
        <w:rPr>
          <w:rFonts w:hint="cs"/>
          <w:rtl/>
        </w:rPr>
        <w:t xml:space="preserve">המדינה. </w:t>
      </w:r>
      <w:bookmarkStart w:id="42084" w:name="_ETM_Q79_359430"/>
      <w:bookmarkEnd w:id="42084"/>
      <w:r>
        <w:rPr>
          <w:rFonts w:hint="cs"/>
          <w:rtl/>
        </w:rPr>
        <w:t xml:space="preserve">תגיעו </w:t>
      </w:r>
      <w:bookmarkStart w:id="42085" w:name="_ETM_Q79_359819"/>
      <w:bookmarkEnd w:id="42085"/>
      <w:r>
        <w:rPr>
          <w:rFonts w:hint="cs"/>
          <w:rtl/>
        </w:rPr>
        <w:t xml:space="preserve">להסכמות </w:t>
      </w:r>
      <w:bookmarkStart w:id="42086" w:name="_ETM_Q79_360449"/>
      <w:bookmarkEnd w:id="42086"/>
      <w:r>
        <w:rPr>
          <w:rFonts w:hint="cs"/>
          <w:rtl/>
        </w:rPr>
        <w:t>רחבות.</w:t>
      </w:r>
    </w:p>
    <w:p w:rsidR="00BB59CD" w:rsidRDefault="00BB59CD" w:rsidP="00BB59CD">
      <w:pPr>
        <w:rPr>
          <w:rtl/>
        </w:rPr>
      </w:pPr>
    </w:p>
    <w:p w:rsidR="00BB59CD" w:rsidRDefault="00BB59CD" w:rsidP="000B58A5">
      <w:pPr>
        <w:rPr>
          <w:rtl/>
        </w:rPr>
      </w:pPr>
      <w:bookmarkStart w:id="42087" w:name="_ETM_Q79_365000"/>
      <w:bookmarkStart w:id="42088" w:name="_ETM_Q79_363380"/>
      <w:bookmarkEnd w:id="42087"/>
      <w:bookmarkEnd w:id="42088"/>
      <w:r>
        <w:rPr>
          <w:rFonts w:hint="cs"/>
          <w:rtl/>
        </w:rPr>
        <w:t xml:space="preserve">אבל </w:t>
      </w:r>
      <w:bookmarkStart w:id="42089" w:name="_ETM_Q79_363590"/>
      <w:bookmarkEnd w:id="42089"/>
      <w:r>
        <w:rPr>
          <w:rFonts w:hint="cs"/>
          <w:rtl/>
        </w:rPr>
        <w:t xml:space="preserve">אתם </w:t>
      </w:r>
      <w:bookmarkStart w:id="42090" w:name="_ETM_Q79_363830"/>
      <w:bookmarkEnd w:id="42090"/>
      <w:r>
        <w:rPr>
          <w:rFonts w:hint="cs"/>
          <w:rtl/>
        </w:rPr>
        <w:t xml:space="preserve">יודעים, </w:t>
      </w:r>
      <w:bookmarkStart w:id="42091" w:name="_ETM_Q79_364580"/>
      <w:bookmarkEnd w:id="42091"/>
      <w:r>
        <w:rPr>
          <w:rFonts w:hint="cs"/>
          <w:rtl/>
        </w:rPr>
        <w:t xml:space="preserve">אני, </w:t>
      </w:r>
      <w:bookmarkStart w:id="42092" w:name="_ETM_Q79_365360"/>
      <w:bookmarkEnd w:id="42092"/>
      <w:r>
        <w:rPr>
          <w:rFonts w:hint="cs"/>
          <w:rtl/>
        </w:rPr>
        <w:t xml:space="preserve">כשחשבתי </w:t>
      </w:r>
      <w:bookmarkStart w:id="42093" w:name="_ETM_Q79_365840"/>
      <w:bookmarkEnd w:id="42093"/>
      <w:r>
        <w:rPr>
          <w:rFonts w:hint="cs"/>
          <w:rtl/>
        </w:rPr>
        <w:t xml:space="preserve">על </w:t>
      </w:r>
      <w:bookmarkStart w:id="42094" w:name="_ETM_Q79_365930"/>
      <w:bookmarkEnd w:id="42094"/>
      <w:r>
        <w:rPr>
          <w:rFonts w:hint="cs"/>
          <w:rtl/>
        </w:rPr>
        <w:t xml:space="preserve">הדברים </w:t>
      </w:r>
      <w:bookmarkStart w:id="42095" w:name="_ETM_Q79_366290"/>
      <w:bookmarkEnd w:id="42095"/>
      <w:r>
        <w:rPr>
          <w:rFonts w:hint="cs"/>
          <w:rtl/>
        </w:rPr>
        <w:t xml:space="preserve">שאני </w:t>
      </w:r>
      <w:bookmarkStart w:id="42096" w:name="_ETM_Q79_366590"/>
      <w:bookmarkEnd w:id="42096"/>
      <w:r>
        <w:rPr>
          <w:rFonts w:hint="cs"/>
          <w:rtl/>
        </w:rPr>
        <w:t xml:space="preserve">אומר </w:t>
      </w:r>
      <w:bookmarkStart w:id="42097" w:name="_ETM_Q79_366919"/>
      <w:bookmarkEnd w:id="42097"/>
      <w:r>
        <w:rPr>
          <w:rFonts w:hint="cs"/>
          <w:rtl/>
        </w:rPr>
        <w:t xml:space="preserve">כאן </w:t>
      </w:r>
      <w:bookmarkStart w:id="42098" w:name="_ETM_Q79_367160"/>
      <w:bookmarkEnd w:id="42098"/>
      <w:r>
        <w:rPr>
          <w:rFonts w:hint="cs"/>
          <w:rtl/>
        </w:rPr>
        <w:t xml:space="preserve">היום, </w:t>
      </w:r>
      <w:bookmarkStart w:id="42099" w:name="_ETM_Q79_368159"/>
      <w:bookmarkEnd w:id="42099"/>
      <w:r>
        <w:rPr>
          <w:rFonts w:hint="cs"/>
          <w:rtl/>
        </w:rPr>
        <w:t xml:space="preserve">עלה </w:t>
      </w:r>
      <w:bookmarkStart w:id="42100" w:name="_ETM_Q79_368549"/>
      <w:bookmarkEnd w:id="42100"/>
      <w:r>
        <w:rPr>
          <w:rFonts w:hint="cs"/>
          <w:rtl/>
        </w:rPr>
        <w:t xml:space="preserve">לי </w:t>
      </w:r>
      <w:bookmarkStart w:id="42101" w:name="_ETM_Q79_368669"/>
      <w:bookmarkEnd w:id="42101"/>
      <w:r>
        <w:rPr>
          <w:rFonts w:hint="cs"/>
          <w:rtl/>
        </w:rPr>
        <w:t xml:space="preserve">תמיד </w:t>
      </w:r>
      <w:bookmarkStart w:id="42102" w:name="_ETM_Q79_368970"/>
      <w:bookmarkEnd w:id="42102"/>
      <w:r>
        <w:rPr>
          <w:rFonts w:hint="cs"/>
          <w:rtl/>
        </w:rPr>
        <w:t xml:space="preserve">המשפט </w:t>
      </w:r>
      <w:bookmarkStart w:id="42103" w:name="_ETM_Q79_369689"/>
      <w:bookmarkEnd w:id="42103"/>
      <w:r>
        <w:rPr>
          <w:rFonts w:hint="cs"/>
          <w:rtl/>
        </w:rPr>
        <w:t xml:space="preserve">ככה </w:t>
      </w:r>
      <w:bookmarkStart w:id="42104" w:name="_ETM_Q79_370110"/>
      <w:bookmarkEnd w:id="42104"/>
      <w:r>
        <w:rPr>
          <w:rFonts w:hint="cs"/>
          <w:rtl/>
        </w:rPr>
        <w:t xml:space="preserve">בראש: </w:t>
      </w:r>
      <w:bookmarkStart w:id="42105" w:name="_ETM_Q79_371580"/>
      <w:bookmarkEnd w:id="42105"/>
      <w:r>
        <w:rPr>
          <w:rFonts w:hint="cs"/>
          <w:rtl/>
        </w:rPr>
        <w:t xml:space="preserve">נאטם </w:t>
      </w:r>
      <w:bookmarkStart w:id="42106" w:name="_ETM_Q79_372209"/>
      <w:bookmarkEnd w:id="42106"/>
      <w:r>
        <w:rPr>
          <w:rFonts w:hint="cs"/>
          <w:rtl/>
        </w:rPr>
        <w:t xml:space="preserve">ליבו </w:t>
      </w:r>
      <w:bookmarkStart w:id="42107" w:name="_ETM_Q79_372959"/>
      <w:bookmarkEnd w:id="42107"/>
      <w:r>
        <w:rPr>
          <w:rFonts w:hint="cs"/>
          <w:rtl/>
        </w:rPr>
        <w:t xml:space="preserve">של </w:t>
      </w:r>
      <w:bookmarkStart w:id="42108" w:name="_ETM_Q79_373200"/>
      <w:bookmarkEnd w:id="42108"/>
      <w:r>
        <w:rPr>
          <w:rFonts w:hint="cs"/>
          <w:rtl/>
        </w:rPr>
        <w:t xml:space="preserve">ראש הממשלה. </w:t>
      </w:r>
      <w:bookmarkStart w:id="42109" w:name="_ETM_Q79_374159"/>
      <w:bookmarkEnd w:id="42109"/>
      <w:r>
        <w:rPr>
          <w:rFonts w:hint="cs"/>
          <w:rtl/>
        </w:rPr>
        <w:t xml:space="preserve">היום </w:t>
      </w:r>
      <w:bookmarkStart w:id="42110" w:name="_ETM_Q79_374400"/>
      <w:bookmarkEnd w:id="42110"/>
      <w:r>
        <w:rPr>
          <w:rFonts w:hint="cs"/>
          <w:rtl/>
        </w:rPr>
        <w:t xml:space="preserve">זה </w:t>
      </w:r>
      <w:bookmarkStart w:id="42111" w:name="_ETM_Q79_374489"/>
      <w:bookmarkEnd w:id="42111"/>
      <w:r>
        <w:rPr>
          <w:rFonts w:hint="cs"/>
          <w:rtl/>
        </w:rPr>
        <w:t xml:space="preserve">קצת </w:t>
      </w:r>
      <w:bookmarkStart w:id="42112" w:name="_ETM_Q79_374730"/>
      <w:bookmarkEnd w:id="42112"/>
      <w:r>
        <w:rPr>
          <w:rFonts w:hint="cs"/>
          <w:rtl/>
        </w:rPr>
        <w:t xml:space="preserve">יום </w:t>
      </w:r>
      <w:bookmarkStart w:id="42113" w:name="_ETM_Q79_374939"/>
      <w:bookmarkEnd w:id="42113"/>
      <w:r>
        <w:rPr>
          <w:rFonts w:hint="cs"/>
          <w:rtl/>
        </w:rPr>
        <w:t xml:space="preserve">מורכב </w:t>
      </w:r>
      <w:bookmarkStart w:id="42114" w:name="_ETM_Q79_375190"/>
      <w:bookmarkStart w:id="42115" w:name="_ETM_Q79_375400"/>
      <w:bookmarkEnd w:id="42114"/>
      <w:bookmarkEnd w:id="42115"/>
      <w:r>
        <w:rPr>
          <w:rFonts w:hint="cs"/>
          <w:rtl/>
        </w:rPr>
        <w:t xml:space="preserve">להגיד </w:t>
      </w:r>
      <w:bookmarkStart w:id="42116" w:name="_ETM_Q79_375790"/>
      <w:bookmarkEnd w:id="42116"/>
      <w:r>
        <w:rPr>
          <w:rFonts w:hint="cs"/>
          <w:rtl/>
        </w:rPr>
        <w:t xml:space="preserve">משפט </w:t>
      </w:r>
      <w:bookmarkStart w:id="42117" w:name="_ETM_Q79_376210"/>
      <w:bookmarkEnd w:id="42117"/>
      <w:r>
        <w:rPr>
          <w:rFonts w:hint="cs"/>
          <w:rtl/>
        </w:rPr>
        <w:t xml:space="preserve">כזה, </w:t>
      </w:r>
      <w:bookmarkStart w:id="42118" w:name="_ETM_Q79_377950"/>
      <w:bookmarkEnd w:id="42118"/>
      <w:r>
        <w:rPr>
          <w:rFonts w:hint="cs"/>
          <w:rtl/>
        </w:rPr>
        <w:t xml:space="preserve">אבל </w:t>
      </w:r>
      <w:bookmarkStart w:id="42119" w:name="_ETM_Q79_378219"/>
      <w:bookmarkEnd w:id="42119"/>
      <w:r>
        <w:rPr>
          <w:rFonts w:hint="cs"/>
          <w:rtl/>
        </w:rPr>
        <w:t xml:space="preserve">זו </w:t>
      </w:r>
      <w:bookmarkStart w:id="42120" w:name="_ETM_Q79_378400"/>
      <w:bookmarkEnd w:id="42120"/>
      <w:r>
        <w:rPr>
          <w:rFonts w:hint="cs"/>
          <w:rtl/>
        </w:rPr>
        <w:t>התחושה</w:t>
      </w:r>
      <w:r w:rsidR="000B58A5">
        <w:rPr>
          <w:rFonts w:hint="cs"/>
          <w:rtl/>
        </w:rPr>
        <w:t>,</w:t>
      </w:r>
      <w:r>
        <w:rPr>
          <w:rFonts w:hint="cs"/>
          <w:rtl/>
        </w:rPr>
        <w:t xml:space="preserve"> </w:t>
      </w:r>
      <w:bookmarkStart w:id="42121" w:name="_ETM_Q79_379209"/>
      <w:bookmarkEnd w:id="42121"/>
      <w:r>
        <w:rPr>
          <w:rFonts w:hint="cs"/>
          <w:rtl/>
        </w:rPr>
        <w:t xml:space="preserve">שפשוט </w:t>
      </w:r>
      <w:bookmarkStart w:id="42122" w:name="_ETM_Q79_379779"/>
      <w:bookmarkEnd w:id="42122"/>
      <w:r>
        <w:rPr>
          <w:rFonts w:hint="cs"/>
          <w:rtl/>
        </w:rPr>
        <w:t xml:space="preserve">נאטם </w:t>
      </w:r>
      <w:bookmarkStart w:id="42123" w:name="_ETM_Q79_380200"/>
      <w:bookmarkEnd w:id="42123"/>
      <w:r>
        <w:rPr>
          <w:rFonts w:hint="cs"/>
          <w:rtl/>
        </w:rPr>
        <w:t>הלב</w:t>
      </w:r>
      <w:r w:rsidR="000B58A5">
        <w:rPr>
          <w:rFonts w:hint="cs"/>
          <w:rtl/>
        </w:rPr>
        <w:t>,</w:t>
      </w:r>
      <w:r>
        <w:rPr>
          <w:rFonts w:hint="cs"/>
          <w:rtl/>
        </w:rPr>
        <w:t xml:space="preserve"> </w:t>
      </w:r>
      <w:bookmarkStart w:id="42124" w:name="_ETM_Q79_382269"/>
      <w:bookmarkEnd w:id="42124"/>
      <w:r>
        <w:rPr>
          <w:rFonts w:hint="cs"/>
          <w:rtl/>
        </w:rPr>
        <w:t xml:space="preserve">והוא </w:t>
      </w:r>
      <w:bookmarkStart w:id="42125" w:name="_ETM_Q79_382629"/>
      <w:bookmarkEnd w:id="42125"/>
      <w:r>
        <w:rPr>
          <w:rFonts w:hint="cs"/>
          <w:rtl/>
        </w:rPr>
        <w:t xml:space="preserve">לא </w:t>
      </w:r>
      <w:bookmarkStart w:id="42126" w:name="_ETM_Q79_382780"/>
      <w:bookmarkEnd w:id="42126"/>
      <w:r>
        <w:rPr>
          <w:rFonts w:hint="cs"/>
          <w:rtl/>
        </w:rPr>
        <w:t xml:space="preserve">רואה, </w:t>
      </w:r>
      <w:bookmarkStart w:id="42127" w:name="_ETM_Q79_383710"/>
      <w:bookmarkEnd w:id="42127"/>
      <w:r>
        <w:rPr>
          <w:rFonts w:hint="cs"/>
          <w:rtl/>
        </w:rPr>
        <w:t xml:space="preserve">הוא </w:t>
      </w:r>
      <w:bookmarkStart w:id="42128" w:name="_ETM_Q79_383860"/>
      <w:bookmarkEnd w:id="42128"/>
      <w:r>
        <w:rPr>
          <w:rFonts w:hint="cs"/>
          <w:rtl/>
        </w:rPr>
        <w:t xml:space="preserve">לא </w:t>
      </w:r>
      <w:bookmarkStart w:id="42129" w:name="_ETM_Q79_384550"/>
      <w:bookmarkEnd w:id="42129"/>
      <w:r>
        <w:rPr>
          <w:rFonts w:hint="cs"/>
          <w:rtl/>
        </w:rPr>
        <w:t xml:space="preserve">רואה </w:t>
      </w:r>
      <w:bookmarkStart w:id="42130" w:name="_ETM_Q79_385480"/>
      <w:bookmarkEnd w:id="42130"/>
      <w:r>
        <w:rPr>
          <w:rFonts w:hint="cs"/>
          <w:rtl/>
        </w:rPr>
        <w:t xml:space="preserve">את </w:t>
      </w:r>
      <w:bookmarkStart w:id="42131" w:name="_ETM_Q79_385690"/>
      <w:bookmarkEnd w:id="42131"/>
      <w:r>
        <w:rPr>
          <w:rFonts w:hint="cs"/>
          <w:rtl/>
        </w:rPr>
        <w:t xml:space="preserve">האזרחים </w:t>
      </w:r>
      <w:bookmarkStart w:id="42132" w:name="_ETM_Q79_386290"/>
      <w:bookmarkEnd w:id="42132"/>
      <w:r>
        <w:rPr>
          <w:rFonts w:hint="cs"/>
          <w:rtl/>
        </w:rPr>
        <w:t xml:space="preserve">שלו. </w:t>
      </w:r>
      <w:bookmarkStart w:id="42133" w:name="_ETM_Q79_388150"/>
      <w:bookmarkEnd w:id="42133"/>
    </w:p>
    <w:p w:rsidR="00BB59CD" w:rsidRDefault="00BB59CD" w:rsidP="00BB59CD">
      <w:pPr>
        <w:rPr>
          <w:rtl/>
        </w:rPr>
      </w:pPr>
    </w:p>
    <w:p w:rsidR="00BB59CD" w:rsidRDefault="00BB59CD" w:rsidP="000B58A5">
      <w:pPr>
        <w:rPr>
          <w:rtl/>
        </w:rPr>
      </w:pPr>
      <w:bookmarkStart w:id="42134" w:name="_ETM_Q79_388000"/>
      <w:bookmarkEnd w:id="42134"/>
      <w:r>
        <w:rPr>
          <w:rFonts w:hint="cs"/>
          <w:rtl/>
        </w:rPr>
        <w:t xml:space="preserve">אז </w:t>
      </w:r>
      <w:bookmarkStart w:id="42135" w:name="_ETM_Q79_388359"/>
      <w:bookmarkEnd w:id="42135"/>
      <w:r>
        <w:rPr>
          <w:rFonts w:hint="cs"/>
          <w:rtl/>
        </w:rPr>
        <w:t xml:space="preserve">מה </w:t>
      </w:r>
      <w:bookmarkStart w:id="42136" w:name="_ETM_Q79_388510"/>
      <w:bookmarkEnd w:id="42136"/>
      <w:r>
        <w:rPr>
          <w:rFonts w:hint="cs"/>
          <w:rtl/>
        </w:rPr>
        <w:t xml:space="preserve">זו </w:t>
      </w:r>
      <w:bookmarkStart w:id="42137" w:name="_ETM_Q79_388689"/>
      <w:bookmarkEnd w:id="42137"/>
      <w:r>
        <w:rPr>
          <w:rFonts w:hint="cs"/>
          <w:rtl/>
        </w:rPr>
        <w:t xml:space="preserve">עילת </w:t>
      </w:r>
      <w:bookmarkStart w:id="42138" w:name="_ETM_Q79_388989"/>
      <w:bookmarkEnd w:id="42138"/>
      <w:r>
        <w:rPr>
          <w:rFonts w:hint="cs"/>
          <w:rtl/>
        </w:rPr>
        <w:t xml:space="preserve">הסבירות, </w:t>
      </w:r>
      <w:bookmarkStart w:id="42139" w:name="_ETM_Q79_390110"/>
      <w:bookmarkEnd w:id="42139"/>
      <w:r>
        <w:rPr>
          <w:rFonts w:hint="cs"/>
          <w:rtl/>
        </w:rPr>
        <w:t xml:space="preserve">שאני </w:t>
      </w:r>
      <w:bookmarkStart w:id="42140" w:name="_ETM_Q79_390410"/>
      <w:bookmarkEnd w:id="42140"/>
      <w:r>
        <w:rPr>
          <w:rFonts w:hint="cs"/>
          <w:rtl/>
        </w:rPr>
        <w:t xml:space="preserve">שומעת </w:t>
      </w:r>
      <w:bookmarkStart w:id="42141" w:name="_ETM_Q79_391400"/>
      <w:bookmarkEnd w:id="42141"/>
      <w:r w:rsidR="000B58A5">
        <w:rPr>
          <w:rFonts w:hint="cs"/>
          <w:rtl/>
        </w:rPr>
        <w:t xml:space="preserve">את </w:t>
      </w:r>
      <w:r>
        <w:rPr>
          <w:rFonts w:hint="cs"/>
          <w:rtl/>
        </w:rPr>
        <w:t xml:space="preserve">יושב-ראש </w:t>
      </w:r>
      <w:bookmarkStart w:id="42142" w:name="_ETM_Q79_391910"/>
      <w:bookmarkEnd w:id="42142"/>
      <w:r>
        <w:rPr>
          <w:rFonts w:hint="cs"/>
          <w:rtl/>
        </w:rPr>
        <w:t xml:space="preserve">ועדת </w:t>
      </w:r>
      <w:bookmarkStart w:id="42143" w:name="_ETM_Q79_392300"/>
      <w:bookmarkEnd w:id="42143"/>
      <w:r>
        <w:rPr>
          <w:rFonts w:hint="cs"/>
          <w:rtl/>
        </w:rPr>
        <w:t xml:space="preserve">החוקה </w:t>
      </w:r>
      <w:bookmarkStart w:id="42144" w:name="_ETM_Q79_393020"/>
      <w:bookmarkEnd w:id="42144"/>
      <w:r>
        <w:rPr>
          <w:rFonts w:hint="cs"/>
          <w:rtl/>
        </w:rPr>
        <w:t xml:space="preserve">וכל </w:t>
      </w:r>
      <w:bookmarkStart w:id="42145" w:name="_ETM_Q79_393590"/>
      <w:bookmarkEnd w:id="42145"/>
      <w:r>
        <w:rPr>
          <w:rFonts w:hint="cs"/>
          <w:rtl/>
        </w:rPr>
        <w:t xml:space="preserve">חבר </w:t>
      </w:r>
      <w:bookmarkStart w:id="42146" w:name="_ETM_Q79_393950"/>
      <w:bookmarkEnd w:id="42146"/>
      <w:r>
        <w:rPr>
          <w:rFonts w:hint="cs"/>
          <w:rtl/>
        </w:rPr>
        <w:t xml:space="preserve">מרעיו </w:t>
      </w:r>
      <w:bookmarkStart w:id="42147" w:name="_ETM_Q79_394519"/>
      <w:bookmarkEnd w:id="42147"/>
      <w:r>
        <w:rPr>
          <w:rFonts w:hint="cs"/>
          <w:rtl/>
        </w:rPr>
        <w:t xml:space="preserve">אומרים: </w:t>
      </w:r>
      <w:bookmarkStart w:id="42148" w:name="_ETM_Q79_395840"/>
      <w:bookmarkEnd w:id="42148"/>
      <w:r>
        <w:rPr>
          <w:rFonts w:hint="cs"/>
          <w:rtl/>
        </w:rPr>
        <w:t xml:space="preserve">זה </w:t>
      </w:r>
      <w:bookmarkStart w:id="42149" w:name="_ETM_Q79_396049"/>
      <w:bookmarkEnd w:id="42149"/>
      <w:r>
        <w:rPr>
          <w:rFonts w:hint="cs"/>
          <w:rtl/>
        </w:rPr>
        <w:t xml:space="preserve">לא </w:t>
      </w:r>
      <w:bookmarkStart w:id="42150" w:name="_ETM_Q79_396200"/>
      <w:bookmarkEnd w:id="42150"/>
      <w:r>
        <w:rPr>
          <w:rFonts w:hint="cs"/>
          <w:rtl/>
        </w:rPr>
        <w:t xml:space="preserve">כזה </w:t>
      </w:r>
      <w:bookmarkStart w:id="42151" w:name="_ETM_Q79_396530"/>
      <w:bookmarkEnd w:id="42151"/>
      <w:r>
        <w:rPr>
          <w:rFonts w:hint="cs"/>
          <w:rtl/>
        </w:rPr>
        <w:t xml:space="preserve">סיפור </w:t>
      </w:r>
      <w:bookmarkStart w:id="42152" w:name="_ETM_Q79_397200"/>
      <w:bookmarkEnd w:id="42152"/>
      <w:r>
        <w:rPr>
          <w:rFonts w:hint="cs"/>
          <w:rtl/>
        </w:rPr>
        <w:t xml:space="preserve">גדול, </w:t>
      </w:r>
      <w:bookmarkStart w:id="42153" w:name="_ETM_Q79_397860"/>
      <w:bookmarkEnd w:id="42153"/>
      <w:r>
        <w:rPr>
          <w:rFonts w:hint="cs"/>
          <w:rtl/>
        </w:rPr>
        <w:t xml:space="preserve">זה </w:t>
      </w:r>
      <w:bookmarkStart w:id="42154" w:name="_ETM_Q79_398010"/>
      <w:bookmarkEnd w:id="42154"/>
      <w:r>
        <w:rPr>
          <w:rFonts w:hint="cs"/>
          <w:rtl/>
        </w:rPr>
        <w:t xml:space="preserve">בסך </w:t>
      </w:r>
      <w:bookmarkStart w:id="42155" w:name="_ETM_Q79_398370"/>
      <w:bookmarkEnd w:id="42155"/>
      <w:r>
        <w:rPr>
          <w:rFonts w:hint="cs"/>
          <w:rtl/>
        </w:rPr>
        <w:t xml:space="preserve">הכול </w:t>
      </w:r>
      <w:bookmarkStart w:id="42156" w:name="_ETM_Q79_398700"/>
      <w:bookmarkEnd w:id="42156"/>
      <w:r>
        <w:rPr>
          <w:rFonts w:hint="cs"/>
          <w:rtl/>
        </w:rPr>
        <w:t xml:space="preserve">משהו </w:t>
      </w:r>
      <w:bookmarkStart w:id="42157" w:name="_ETM_Q79_399060"/>
      <w:bookmarkEnd w:id="42157"/>
      <w:r>
        <w:rPr>
          <w:rFonts w:hint="cs"/>
          <w:rtl/>
        </w:rPr>
        <w:t xml:space="preserve">קטן? </w:t>
      </w:r>
      <w:bookmarkStart w:id="42158" w:name="_ETM_Q79_399769"/>
      <w:bookmarkEnd w:id="42158"/>
      <w:r>
        <w:rPr>
          <w:rFonts w:hint="cs"/>
          <w:rtl/>
        </w:rPr>
        <w:t xml:space="preserve">קודם </w:t>
      </w:r>
      <w:bookmarkStart w:id="42159" w:name="_ETM_Q79_400010"/>
      <w:bookmarkEnd w:id="42159"/>
      <w:r>
        <w:rPr>
          <w:rFonts w:hint="cs"/>
          <w:rtl/>
        </w:rPr>
        <w:t xml:space="preserve">כול </w:t>
      </w:r>
      <w:bookmarkStart w:id="42160" w:name="_ETM_Q79_400189"/>
      <w:bookmarkEnd w:id="42160"/>
      <w:r>
        <w:rPr>
          <w:rFonts w:hint="cs"/>
          <w:rtl/>
        </w:rPr>
        <w:t xml:space="preserve">יש </w:t>
      </w:r>
      <w:bookmarkStart w:id="42161" w:name="_ETM_Q79_400370"/>
      <w:bookmarkEnd w:id="42161"/>
      <w:r>
        <w:rPr>
          <w:rFonts w:hint="cs"/>
          <w:rtl/>
        </w:rPr>
        <w:t xml:space="preserve">לי </w:t>
      </w:r>
      <w:bookmarkStart w:id="42162" w:name="_ETM_Q79_400489"/>
      <w:bookmarkEnd w:id="42162"/>
      <w:r>
        <w:rPr>
          <w:rFonts w:hint="cs"/>
          <w:rtl/>
        </w:rPr>
        <w:t xml:space="preserve">שאלה: </w:t>
      </w:r>
      <w:bookmarkStart w:id="42163" w:name="_ETM_Q79_401650"/>
      <w:bookmarkEnd w:id="42163"/>
      <w:r>
        <w:rPr>
          <w:rFonts w:hint="cs"/>
          <w:rtl/>
        </w:rPr>
        <w:t xml:space="preserve">אם </w:t>
      </w:r>
      <w:bookmarkStart w:id="42164" w:name="_ETM_Q79_401859"/>
      <w:bookmarkEnd w:id="42164"/>
      <w:r>
        <w:rPr>
          <w:rFonts w:hint="cs"/>
          <w:rtl/>
        </w:rPr>
        <w:t xml:space="preserve">זה </w:t>
      </w:r>
      <w:bookmarkStart w:id="42165" w:name="_ETM_Q79_402040"/>
      <w:bookmarkEnd w:id="42165"/>
      <w:r>
        <w:rPr>
          <w:rFonts w:hint="cs"/>
          <w:rtl/>
        </w:rPr>
        <w:t xml:space="preserve">משהו </w:t>
      </w:r>
      <w:bookmarkStart w:id="42166" w:name="_ETM_Q79_402340"/>
      <w:bookmarkEnd w:id="42166"/>
      <w:r>
        <w:rPr>
          <w:rFonts w:hint="cs"/>
          <w:rtl/>
        </w:rPr>
        <w:t xml:space="preserve">קטן </w:t>
      </w:r>
      <w:bookmarkStart w:id="42167" w:name="_ETM_Q79_402939"/>
      <w:bookmarkEnd w:id="42167"/>
      <w:r>
        <w:rPr>
          <w:rFonts w:hint="cs"/>
          <w:rtl/>
        </w:rPr>
        <w:t xml:space="preserve">וזה </w:t>
      </w:r>
      <w:bookmarkStart w:id="42168" w:name="_ETM_Q79_403299"/>
      <w:bookmarkEnd w:id="42168"/>
      <w:r>
        <w:rPr>
          <w:rFonts w:hint="cs"/>
          <w:rtl/>
        </w:rPr>
        <w:t xml:space="preserve">באמת </w:t>
      </w:r>
      <w:bookmarkStart w:id="42169" w:name="_ETM_Q79_403749"/>
      <w:bookmarkEnd w:id="42169"/>
      <w:r>
        <w:rPr>
          <w:rFonts w:hint="cs"/>
          <w:rtl/>
        </w:rPr>
        <w:t xml:space="preserve">לא </w:t>
      </w:r>
      <w:bookmarkStart w:id="42170" w:name="_ETM_Q79_403900"/>
      <w:bookmarkEnd w:id="42170"/>
      <w:r>
        <w:rPr>
          <w:rFonts w:hint="cs"/>
          <w:rtl/>
        </w:rPr>
        <w:t xml:space="preserve">סיפור </w:t>
      </w:r>
      <w:bookmarkStart w:id="42171" w:name="_ETM_Q79_404349"/>
      <w:bookmarkEnd w:id="42171"/>
      <w:r>
        <w:rPr>
          <w:rFonts w:hint="cs"/>
          <w:rtl/>
        </w:rPr>
        <w:t xml:space="preserve">כזה </w:t>
      </w:r>
      <w:bookmarkStart w:id="42172" w:name="_ETM_Q79_404620"/>
      <w:bookmarkEnd w:id="42172"/>
      <w:r>
        <w:rPr>
          <w:rFonts w:hint="cs"/>
          <w:rtl/>
        </w:rPr>
        <w:t xml:space="preserve">גדול, </w:t>
      </w:r>
      <w:bookmarkStart w:id="42173" w:name="_ETM_Q79_405640"/>
      <w:bookmarkStart w:id="42174" w:name="_ETM_Q79_405849"/>
      <w:bookmarkEnd w:id="42173"/>
      <w:bookmarkEnd w:id="42174"/>
      <w:r>
        <w:rPr>
          <w:rFonts w:hint="cs"/>
          <w:rtl/>
        </w:rPr>
        <w:t xml:space="preserve">על </w:t>
      </w:r>
      <w:bookmarkStart w:id="42175" w:name="_ETM_Q79_405970"/>
      <w:bookmarkEnd w:id="42175"/>
      <w:r>
        <w:rPr>
          <w:rFonts w:hint="cs"/>
          <w:rtl/>
        </w:rPr>
        <w:t xml:space="preserve">מה </w:t>
      </w:r>
      <w:bookmarkStart w:id="42176" w:name="_ETM_Q79_406250"/>
      <w:bookmarkStart w:id="42177" w:name="_ETM_Q79_406400"/>
      <w:bookmarkStart w:id="42178" w:name="_ETM_Q79_406580"/>
      <w:bookmarkStart w:id="42179" w:name="_ETM_Q79_408720"/>
      <w:bookmarkStart w:id="42180" w:name="_ETM_Q79_408990"/>
      <w:bookmarkStart w:id="42181" w:name="_ETM_Q79_409330"/>
      <w:bookmarkEnd w:id="42176"/>
      <w:bookmarkEnd w:id="42177"/>
      <w:bookmarkEnd w:id="42178"/>
      <w:bookmarkEnd w:id="42179"/>
      <w:bookmarkEnd w:id="42180"/>
      <w:bookmarkEnd w:id="42181"/>
      <w:r>
        <w:rPr>
          <w:rFonts w:hint="cs"/>
          <w:rtl/>
        </w:rPr>
        <w:t xml:space="preserve">הבהילות? </w:t>
      </w:r>
      <w:bookmarkStart w:id="42182" w:name="_ETM_Q79_410320"/>
      <w:bookmarkEnd w:id="42182"/>
      <w:r>
        <w:rPr>
          <w:rFonts w:hint="cs"/>
          <w:rtl/>
        </w:rPr>
        <w:t>על מה הבהילות</w:t>
      </w:r>
      <w:r w:rsidR="000B58A5">
        <w:rPr>
          <w:rFonts w:hint="cs"/>
          <w:rtl/>
        </w:rPr>
        <w:t>,</w:t>
      </w:r>
      <w:r>
        <w:rPr>
          <w:rFonts w:hint="cs"/>
          <w:rtl/>
        </w:rPr>
        <w:t xml:space="preserve"> לאן </w:t>
      </w:r>
      <w:bookmarkStart w:id="42183" w:name="_ETM_Q79_410000"/>
      <w:bookmarkEnd w:id="42183"/>
      <w:r>
        <w:rPr>
          <w:rFonts w:hint="cs"/>
          <w:rtl/>
        </w:rPr>
        <w:t xml:space="preserve">אתם </w:t>
      </w:r>
      <w:bookmarkStart w:id="42184" w:name="_ETM_Q79_410980"/>
      <w:bookmarkEnd w:id="42184"/>
      <w:r>
        <w:rPr>
          <w:rFonts w:hint="cs"/>
          <w:rtl/>
        </w:rPr>
        <w:t xml:space="preserve">ממהרים? </w:t>
      </w:r>
      <w:bookmarkStart w:id="42185" w:name="_ETM_Q79_412240"/>
      <w:bookmarkEnd w:id="42185"/>
      <w:r>
        <w:rPr>
          <w:rFonts w:hint="cs"/>
          <w:rtl/>
        </w:rPr>
        <w:t xml:space="preserve">אמרתם </w:t>
      </w:r>
      <w:bookmarkStart w:id="42186" w:name="_ETM_Q79_412750"/>
      <w:bookmarkEnd w:id="42186"/>
      <w:r>
        <w:rPr>
          <w:rFonts w:hint="cs"/>
          <w:rtl/>
        </w:rPr>
        <w:t xml:space="preserve">שאתם </w:t>
      </w:r>
      <w:bookmarkStart w:id="42187" w:name="_ETM_Q79_413080"/>
      <w:bookmarkEnd w:id="42187"/>
      <w:r>
        <w:rPr>
          <w:rFonts w:hint="cs"/>
          <w:rtl/>
        </w:rPr>
        <w:t xml:space="preserve">באים </w:t>
      </w:r>
      <w:bookmarkStart w:id="42188" w:name="_ETM_Q79_413350"/>
      <w:bookmarkEnd w:id="42188"/>
      <w:r>
        <w:rPr>
          <w:rFonts w:hint="cs"/>
          <w:rtl/>
        </w:rPr>
        <w:t xml:space="preserve">לכאן </w:t>
      </w:r>
      <w:bookmarkStart w:id="42189" w:name="_ETM_Q79_413590"/>
      <w:bookmarkEnd w:id="42189"/>
      <w:r>
        <w:rPr>
          <w:rFonts w:hint="cs"/>
          <w:rtl/>
        </w:rPr>
        <w:t xml:space="preserve">לארבע </w:t>
      </w:r>
      <w:bookmarkStart w:id="42190" w:name="_ETM_Q79_414160"/>
      <w:bookmarkEnd w:id="42190"/>
      <w:r>
        <w:rPr>
          <w:rFonts w:hint="cs"/>
          <w:rtl/>
        </w:rPr>
        <w:t xml:space="preserve">שנים. </w:t>
      </w:r>
      <w:bookmarkStart w:id="42191" w:name="_ETM_Q79_415010"/>
      <w:bookmarkEnd w:id="42191"/>
      <w:r>
        <w:rPr>
          <w:rFonts w:hint="cs"/>
          <w:rtl/>
        </w:rPr>
        <w:t xml:space="preserve">יש </w:t>
      </w:r>
      <w:bookmarkStart w:id="42192" w:name="_ETM_Q79_415220"/>
      <w:bookmarkEnd w:id="42192"/>
      <w:r>
        <w:rPr>
          <w:rFonts w:hint="cs"/>
          <w:rtl/>
        </w:rPr>
        <w:t xml:space="preserve">לכם </w:t>
      </w:r>
      <w:bookmarkStart w:id="42193" w:name="_ETM_Q79_415490"/>
      <w:bookmarkEnd w:id="42193"/>
      <w:r>
        <w:rPr>
          <w:rFonts w:hint="cs"/>
          <w:rtl/>
        </w:rPr>
        <w:t xml:space="preserve">עוד </w:t>
      </w:r>
      <w:bookmarkStart w:id="42194" w:name="_ETM_Q79_415640"/>
      <w:bookmarkEnd w:id="42194"/>
      <w:r>
        <w:rPr>
          <w:rFonts w:hint="cs"/>
          <w:rtl/>
        </w:rPr>
        <w:t xml:space="preserve">מספיק </w:t>
      </w:r>
      <w:bookmarkStart w:id="42195" w:name="_ETM_Q79_416210"/>
      <w:bookmarkEnd w:id="42195"/>
      <w:r>
        <w:rPr>
          <w:rFonts w:hint="cs"/>
          <w:rtl/>
        </w:rPr>
        <w:t xml:space="preserve">זמן </w:t>
      </w:r>
      <w:bookmarkStart w:id="42196" w:name="_ETM_Q79_416660"/>
      <w:bookmarkEnd w:id="42196"/>
      <w:r>
        <w:rPr>
          <w:rFonts w:hint="cs"/>
          <w:rtl/>
        </w:rPr>
        <w:t xml:space="preserve">כדי </w:t>
      </w:r>
      <w:bookmarkStart w:id="42197" w:name="_ETM_Q79_416960"/>
      <w:bookmarkEnd w:id="42197"/>
      <w:r>
        <w:rPr>
          <w:rFonts w:hint="cs"/>
          <w:rtl/>
        </w:rPr>
        <w:t xml:space="preserve">לעשות </w:t>
      </w:r>
      <w:bookmarkStart w:id="42198" w:name="_ETM_Q79_417440"/>
      <w:bookmarkEnd w:id="42198"/>
      <w:r>
        <w:rPr>
          <w:rFonts w:hint="cs"/>
          <w:rtl/>
        </w:rPr>
        <w:t xml:space="preserve">את </w:t>
      </w:r>
      <w:bookmarkStart w:id="42199" w:name="_ETM_Q79_417560"/>
      <w:bookmarkEnd w:id="42199"/>
      <w:r>
        <w:rPr>
          <w:rFonts w:hint="cs"/>
          <w:rtl/>
        </w:rPr>
        <w:t xml:space="preserve">זה </w:t>
      </w:r>
      <w:bookmarkStart w:id="42200" w:name="_ETM_Q79_417800"/>
      <w:bookmarkEnd w:id="42200"/>
      <w:r>
        <w:rPr>
          <w:rFonts w:hint="cs"/>
          <w:rtl/>
        </w:rPr>
        <w:t xml:space="preserve">בצורה </w:t>
      </w:r>
      <w:bookmarkStart w:id="42201" w:name="_ETM_Q79_418250"/>
      <w:bookmarkEnd w:id="42201"/>
      <w:r>
        <w:rPr>
          <w:rFonts w:hint="cs"/>
          <w:rtl/>
        </w:rPr>
        <w:t xml:space="preserve">מושכלת, </w:t>
      </w:r>
      <w:bookmarkStart w:id="42202" w:name="_ETM_Q79_419880"/>
      <w:bookmarkStart w:id="42203" w:name="_ETM_Q79_420000"/>
      <w:bookmarkEnd w:id="42202"/>
      <w:bookmarkEnd w:id="42203"/>
      <w:r>
        <w:rPr>
          <w:rFonts w:hint="cs"/>
          <w:rtl/>
        </w:rPr>
        <w:t xml:space="preserve">בצורה </w:t>
      </w:r>
      <w:bookmarkStart w:id="42204" w:name="_ETM_Q79_420420"/>
      <w:bookmarkEnd w:id="42204"/>
      <w:r>
        <w:rPr>
          <w:rFonts w:hint="cs"/>
          <w:rtl/>
        </w:rPr>
        <w:t xml:space="preserve">אלגנטית, </w:t>
      </w:r>
      <w:bookmarkStart w:id="42205" w:name="_ETM_Q79_421950"/>
      <w:bookmarkEnd w:id="42205"/>
      <w:r>
        <w:rPr>
          <w:rFonts w:hint="cs"/>
          <w:rtl/>
        </w:rPr>
        <w:t>בהסכמה</w:t>
      </w:r>
      <w:r w:rsidR="000B58A5">
        <w:rPr>
          <w:rFonts w:hint="cs"/>
          <w:rtl/>
        </w:rPr>
        <w:t>,</w:t>
      </w:r>
      <w:r>
        <w:rPr>
          <w:rFonts w:hint="cs"/>
          <w:rtl/>
        </w:rPr>
        <w:t xml:space="preserve"> </w:t>
      </w:r>
      <w:bookmarkStart w:id="42206" w:name="_ETM_Q79_423420"/>
      <w:bookmarkEnd w:id="42206"/>
      <w:r>
        <w:rPr>
          <w:rFonts w:hint="cs"/>
          <w:rtl/>
        </w:rPr>
        <w:t xml:space="preserve">ולהביא </w:t>
      </w:r>
      <w:bookmarkStart w:id="42207" w:name="_ETM_Q79_424500"/>
      <w:bookmarkEnd w:id="42207"/>
      <w:r>
        <w:rPr>
          <w:rFonts w:hint="cs"/>
          <w:rtl/>
        </w:rPr>
        <w:t xml:space="preserve">את </w:t>
      </w:r>
      <w:bookmarkStart w:id="42208" w:name="_ETM_Q79_424710"/>
      <w:bookmarkEnd w:id="42208"/>
      <w:r>
        <w:rPr>
          <w:rFonts w:hint="cs"/>
          <w:rtl/>
        </w:rPr>
        <w:t xml:space="preserve">השינויים </w:t>
      </w:r>
      <w:bookmarkStart w:id="42209" w:name="_ETM_Q79_425310"/>
      <w:bookmarkEnd w:id="42209"/>
      <w:r>
        <w:rPr>
          <w:rFonts w:hint="cs"/>
          <w:rtl/>
        </w:rPr>
        <w:t xml:space="preserve">שנדרשים, </w:t>
      </w:r>
      <w:bookmarkStart w:id="42210" w:name="_ETM_Q79_426400"/>
      <w:bookmarkStart w:id="42211" w:name="_ETM_Q79_427629"/>
      <w:bookmarkStart w:id="42212" w:name="_ETM_Q79_423000"/>
      <w:bookmarkEnd w:id="42210"/>
      <w:bookmarkEnd w:id="42211"/>
      <w:bookmarkEnd w:id="42212"/>
      <w:r>
        <w:rPr>
          <w:rFonts w:hint="cs"/>
          <w:rtl/>
        </w:rPr>
        <w:t xml:space="preserve">אבל לא, אתם </w:t>
      </w:r>
      <w:bookmarkStart w:id="42213" w:name="_ETM_Q79_427840"/>
      <w:bookmarkEnd w:id="42213"/>
      <w:r>
        <w:rPr>
          <w:rFonts w:hint="cs"/>
          <w:rtl/>
        </w:rPr>
        <w:t xml:space="preserve">כל </w:t>
      </w:r>
      <w:bookmarkStart w:id="42214" w:name="_ETM_Q79_428079"/>
      <w:bookmarkEnd w:id="42214"/>
      <w:r>
        <w:rPr>
          <w:rFonts w:hint="cs"/>
          <w:rtl/>
        </w:rPr>
        <w:t xml:space="preserve">כך </w:t>
      </w:r>
      <w:bookmarkStart w:id="42215" w:name="_ETM_Q79_428439"/>
      <w:bookmarkEnd w:id="42215"/>
      <w:r>
        <w:rPr>
          <w:rFonts w:hint="cs"/>
          <w:rtl/>
        </w:rPr>
        <w:t xml:space="preserve">ממהרים, </w:t>
      </w:r>
      <w:bookmarkStart w:id="42216" w:name="_ETM_Q79_429069"/>
      <w:bookmarkStart w:id="42217" w:name="_ETM_Q79_429189"/>
      <w:bookmarkStart w:id="42218" w:name="_ETM_Q79_429400"/>
      <w:bookmarkEnd w:id="42216"/>
      <w:bookmarkEnd w:id="42217"/>
      <w:bookmarkEnd w:id="42218"/>
      <w:r>
        <w:rPr>
          <w:rFonts w:hint="cs"/>
          <w:rtl/>
        </w:rPr>
        <w:t xml:space="preserve">אצה לכם </w:t>
      </w:r>
      <w:bookmarkStart w:id="42219" w:name="_ETM_Q79_429730"/>
      <w:bookmarkEnd w:id="42219"/>
      <w:r>
        <w:rPr>
          <w:rFonts w:hint="cs"/>
          <w:rtl/>
        </w:rPr>
        <w:t xml:space="preserve">הדרך. </w:t>
      </w:r>
    </w:p>
    <w:p w:rsidR="00BB59CD" w:rsidRDefault="00BB59CD" w:rsidP="00BB59CD">
      <w:pPr>
        <w:rPr>
          <w:rtl/>
        </w:rPr>
      </w:pPr>
    </w:p>
    <w:p w:rsidR="00BB59CD" w:rsidRDefault="00BB59CD" w:rsidP="000B58A5">
      <w:pPr>
        <w:rPr>
          <w:rtl/>
        </w:rPr>
      </w:pPr>
      <w:r>
        <w:rPr>
          <w:rFonts w:hint="cs"/>
          <w:rtl/>
        </w:rPr>
        <w:t>כן, אמרנו</w:t>
      </w:r>
      <w:bookmarkStart w:id="42220" w:name="_ETM_Q79_431319"/>
      <w:bookmarkEnd w:id="42220"/>
      <w:r>
        <w:rPr>
          <w:rFonts w:hint="cs"/>
          <w:rtl/>
        </w:rPr>
        <w:t xml:space="preserve"> </w:t>
      </w:r>
      <w:bookmarkStart w:id="42221" w:name="_ETM_Q79_432579"/>
      <w:bookmarkEnd w:id="42221"/>
      <w:r>
        <w:rPr>
          <w:rFonts w:hint="cs"/>
          <w:rtl/>
        </w:rPr>
        <w:t xml:space="preserve">ואני </w:t>
      </w:r>
      <w:bookmarkStart w:id="42222" w:name="_ETM_Q79_432819"/>
      <w:bookmarkEnd w:id="42222"/>
      <w:r>
        <w:rPr>
          <w:rFonts w:hint="cs"/>
          <w:rtl/>
        </w:rPr>
        <w:t xml:space="preserve">אומר </w:t>
      </w:r>
      <w:bookmarkStart w:id="42223" w:name="_ETM_Q79_433090"/>
      <w:bookmarkEnd w:id="42223"/>
      <w:r>
        <w:rPr>
          <w:rFonts w:hint="cs"/>
          <w:rtl/>
        </w:rPr>
        <w:t xml:space="preserve">גם </w:t>
      </w:r>
      <w:bookmarkStart w:id="42224" w:name="_ETM_Q79_433359"/>
      <w:bookmarkEnd w:id="42224"/>
      <w:r>
        <w:rPr>
          <w:rFonts w:hint="cs"/>
          <w:rtl/>
        </w:rPr>
        <w:t xml:space="preserve">כאן, </w:t>
      </w:r>
      <w:bookmarkStart w:id="42225" w:name="_ETM_Q79_433749"/>
      <w:bookmarkEnd w:id="42225"/>
      <w:r>
        <w:rPr>
          <w:rFonts w:hint="cs"/>
          <w:rtl/>
        </w:rPr>
        <w:t xml:space="preserve">אפילו </w:t>
      </w:r>
      <w:bookmarkStart w:id="42226" w:name="_ETM_Q79_434139"/>
      <w:bookmarkEnd w:id="42226"/>
      <w:r>
        <w:rPr>
          <w:rFonts w:hint="cs"/>
          <w:rtl/>
        </w:rPr>
        <w:t xml:space="preserve">לא </w:t>
      </w:r>
      <w:bookmarkStart w:id="42227" w:name="_ETM_Q79_434260"/>
      <w:bookmarkEnd w:id="42227"/>
      <w:r>
        <w:rPr>
          <w:rFonts w:hint="cs"/>
          <w:rtl/>
        </w:rPr>
        <w:t xml:space="preserve">במאמר </w:t>
      </w:r>
      <w:bookmarkStart w:id="42228" w:name="_ETM_Q79_434769"/>
      <w:bookmarkEnd w:id="42228"/>
      <w:r>
        <w:rPr>
          <w:rFonts w:hint="cs"/>
          <w:rtl/>
        </w:rPr>
        <w:t xml:space="preserve">מוסגר: </w:t>
      </w:r>
      <w:bookmarkStart w:id="42229" w:name="_ETM_Q79_436420"/>
      <w:bookmarkEnd w:id="42229"/>
      <w:r>
        <w:rPr>
          <w:rFonts w:hint="cs"/>
          <w:rtl/>
        </w:rPr>
        <w:t xml:space="preserve">שינויים </w:t>
      </w:r>
      <w:bookmarkStart w:id="42230" w:name="_ETM_Q79_436930"/>
      <w:bookmarkEnd w:id="42230"/>
      <w:r>
        <w:rPr>
          <w:rFonts w:hint="cs"/>
          <w:rtl/>
        </w:rPr>
        <w:t xml:space="preserve">במערכת </w:t>
      </w:r>
      <w:bookmarkStart w:id="42231" w:name="_ETM_Q79_437440"/>
      <w:bookmarkEnd w:id="42231"/>
      <w:r>
        <w:rPr>
          <w:rFonts w:hint="cs"/>
          <w:rtl/>
        </w:rPr>
        <w:t xml:space="preserve">המשפט </w:t>
      </w:r>
      <w:bookmarkStart w:id="42232" w:name="_ETM_Q79_437950"/>
      <w:bookmarkEnd w:id="42232"/>
      <w:r>
        <w:rPr>
          <w:rFonts w:hint="cs"/>
          <w:rtl/>
        </w:rPr>
        <w:t xml:space="preserve">נחוצים, </w:t>
      </w:r>
      <w:bookmarkStart w:id="42233" w:name="_ETM_Q79_439029"/>
      <w:bookmarkEnd w:id="42233"/>
      <w:r>
        <w:rPr>
          <w:rFonts w:hint="cs"/>
          <w:rtl/>
        </w:rPr>
        <w:t xml:space="preserve">צריך </w:t>
      </w:r>
      <w:bookmarkStart w:id="42234" w:name="_ETM_Q79_439390"/>
      <w:bookmarkEnd w:id="42234"/>
      <w:r>
        <w:rPr>
          <w:rFonts w:hint="cs"/>
          <w:rtl/>
        </w:rPr>
        <w:t xml:space="preserve">לעשות </w:t>
      </w:r>
      <w:bookmarkStart w:id="42235" w:name="_ETM_Q79_439810"/>
      <w:bookmarkEnd w:id="42235"/>
      <w:r>
        <w:rPr>
          <w:rFonts w:hint="cs"/>
          <w:rtl/>
        </w:rPr>
        <w:t xml:space="preserve">התאמות </w:t>
      </w:r>
      <w:bookmarkStart w:id="42236" w:name="_ETM_Q79_440470"/>
      <w:bookmarkEnd w:id="42236"/>
      <w:r>
        <w:rPr>
          <w:rFonts w:hint="cs"/>
          <w:rtl/>
        </w:rPr>
        <w:t xml:space="preserve">במערכת </w:t>
      </w:r>
      <w:bookmarkStart w:id="42237" w:name="_ETM_Q79_441010"/>
      <w:bookmarkEnd w:id="42237"/>
      <w:r>
        <w:rPr>
          <w:rFonts w:hint="cs"/>
          <w:rtl/>
        </w:rPr>
        <w:t xml:space="preserve">המשפט </w:t>
      </w:r>
      <w:bookmarkStart w:id="42238" w:name="_ETM_Q79_441610"/>
      <w:bookmarkEnd w:id="42238"/>
      <w:r>
        <w:rPr>
          <w:rFonts w:hint="cs"/>
          <w:rtl/>
        </w:rPr>
        <w:t xml:space="preserve">אחרי </w:t>
      </w:r>
      <w:bookmarkStart w:id="42239" w:name="_ETM_Q79_441820"/>
      <w:bookmarkEnd w:id="42239"/>
      <w:r>
        <w:rPr>
          <w:rFonts w:hint="cs"/>
          <w:rtl/>
        </w:rPr>
        <w:t xml:space="preserve">כל </w:t>
      </w:r>
      <w:bookmarkStart w:id="42240" w:name="_ETM_Q79_442029"/>
      <w:bookmarkEnd w:id="42240"/>
      <w:r>
        <w:rPr>
          <w:rFonts w:hint="cs"/>
          <w:rtl/>
        </w:rPr>
        <w:t xml:space="preserve">כך </w:t>
      </w:r>
      <w:bookmarkStart w:id="42241" w:name="_ETM_Q79_442360"/>
      <w:bookmarkEnd w:id="42241"/>
      <w:r>
        <w:rPr>
          <w:rFonts w:hint="cs"/>
          <w:rtl/>
        </w:rPr>
        <w:t xml:space="preserve">הרבה </w:t>
      </w:r>
      <w:bookmarkStart w:id="42242" w:name="_ETM_Q79_442660"/>
      <w:bookmarkEnd w:id="42242"/>
      <w:r>
        <w:rPr>
          <w:rFonts w:hint="cs"/>
          <w:rtl/>
        </w:rPr>
        <w:t xml:space="preserve">שנים, </w:t>
      </w:r>
      <w:bookmarkStart w:id="42243" w:name="_ETM_Q79_445529"/>
      <w:bookmarkEnd w:id="42243"/>
      <w:r>
        <w:rPr>
          <w:rFonts w:hint="cs"/>
          <w:rtl/>
        </w:rPr>
        <w:t xml:space="preserve">אבל </w:t>
      </w:r>
      <w:bookmarkStart w:id="42244" w:name="_ETM_Q79_445800"/>
      <w:bookmarkEnd w:id="42244"/>
      <w:r>
        <w:rPr>
          <w:rFonts w:hint="cs"/>
          <w:rtl/>
        </w:rPr>
        <w:t xml:space="preserve">שינויים </w:t>
      </w:r>
      <w:bookmarkStart w:id="42245" w:name="_ETM_Q79_446310"/>
      <w:bookmarkEnd w:id="42245"/>
      <w:r>
        <w:rPr>
          <w:rFonts w:hint="cs"/>
          <w:rtl/>
        </w:rPr>
        <w:t xml:space="preserve">כן </w:t>
      </w:r>
      <w:bookmarkStart w:id="42246" w:name="_ETM_Q79_447439"/>
      <w:bookmarkEnd w:id="42246"/>
      <w:r>
        <w:rPr>
          <w:rFonts w:hint="cs"/>
          <w:rtl/>
        </w:rPr>
        <w:t xml:space="preserve">– הפיכה </w:t>
      </w:r>
      <w:bookmarkStart w:id="42247" w:name="_ETM_Q79_448310"/>
      <w:bookmarkEnd w:id="42247"/>
      <w:r>
        <w:rPr>
          <w:rFonts w:hint="cs"/>
          <w:rtl/>
        </w:rPr>
        <w:t xml:space="preserve">משטרתית </w:t>
      </w:r>
      <w:bookmarkStart w:id="42248" w:name="_ETM_Q79_449419"/>
      <w:bookmarkEnd w:id="42248"/>
      <w:r>
        <w:rPr>
          <w:rFonts w:hint="cs"/>
          <w:rtl/>
        </w:rPr>
        <w:t xml:space="preserve">לא. </w:t>
      </w:r>
      <w:bookmarkStart w:id="42249" w:name="_ETM_Q79_450490"/>
      <w:bookmarkEnd w:id="42249"/>
      <w:r>
        <w:rPr>
          <w:rFonts w:hint="cs"/>
          <w:rtl/>
        </w:rPr>
        <w:t xml:space="preserve">מה </w:t>
      </w:r>
      <w:bookmarkStart w:id="42250" w:name="_ETM_Q79_450910"/>
      <w:bookmarkEnd w:id="42250"/>
      <w:r>
        <w:rPr>
          <w:rFonts w:hint="cs"/>
          <w:rtl/>
        </w:rPr>
        <w:t xml:space="preserve">שהוצע </w:t>
      </w:r>
      <w:bookmarkStart w:id="42251" w:name="_ETM_Q79_451509"/>
      <w:bookmarkEnd w:id="42251"/>
      <w:r>
        <w:rPr>
          <w:rFonts w:hint="cs"/>
          <w:rtl/>
        </w:rPr>
        <w:t xml:space="preserve">כאן </w:t>
      </w:r>
      <w:bookmarkStart w:id="42252" w:name="_ETM_Q79_451779"/>
      <w:bookmarkEnd w:id="42252"/>
      <w:r>
        <w:rPr>
          <w:rFonts w:hint="cs"/>
          <w:rtl/>
        </w:rPr>
        <w:t xml:space="preserve">על ידי </w:t>
      </w:r>
      <w:bookmarkStart w:id="42253" w:name="_ETM_Q79_452110"/>
      <w:bookmarkEnd w:id="42253"/>
      <w:r>
        <w:rPr>
          <w:rFonts w:hint="cs"/>
          <w:rtl/>
        </w:rPr>
        <w:t xml:space="preserve">הממשלה </w:t>
      </w:r>
      <w:bookmarkStart w:id="42254" w:name="_ETM_Q79_453160"/>
      <w:bookmarkEnd w:id="42254"/>
      <w:r>
        <w:rPr>
          <w:rFonts w:hint="cs"/>
          <w:rtl/>
        </w:rPr>
        <w:t xml:space="preserve">בראשית </w:t>
      </w:r>
      <w:bookmarkStart w:id="42255" w:name="_ETM_Q79_453699"/>
      <w:bookmarkEnd w:id="42255"/>
      <w:r>
        <w:rPr>
          <w:rFonts w:hint="cs"/>
          <w:rtl/>
        </w:rPr>
        <w:t xml:space="preserve">הדרך </w:t>
      </w:r>
      <w:bookmarkStart w:id="42256" w:name="_ETM_Q79_454240"/>
      <w:bookmarkEnd w:id="42256"/>
      <w:r>
        <w:rPr>
          <w:rFonts w:hint="cs"/>
          <w:rtl/>
        </w:rPr>
        <w:t xml:space="preserve">היה </w:t>
      </w:r>
      <w:bookmarkStart w:id="42257" w:name="_ETM_Q79_454479"/>
      <w:bookmarkEnd w:id="42257"/>
      <w:r>
        <w:rPr>
          <w:rFonts w:hint="cs"/>
          <w:rtl/>
        </w:rPr>
        <w:t xml:space="preserve">קיצוני </w:t>
      </w:r>
      <w:bookmarkStart w:id="42258" w:name="_ETM_Q79_455139"/>
      <w:bookmarkEnd w:id="42258"/>
      <w:r>
        <w:rPr>
          <w:rFonts w:hint="cs"/>
          <w:rtl/>
        </w:rPr>
        <w:t xml:space="preserve">מאוד, </w:t>
      </w:r>
      <w:bookmarkStart w:id="42259" w:name="_ETM_Q79_456220"/>
      <w:bookmarkEnd w:id="42259"/>
      <w:r>
        <w:rPr>
          <w:rFonts w:hint="cs"/>
          <w:rtl/>
        </w:rPr>
        <w:t xml:space="preserve">וגם </w:t>
      </w:r>
      <w:bookmarkStart w:id="42260" w:name="_ETM_Q79_456669"/>
      <w:bookmarkEnd w:id="42260"/>
      <w:r>
        <w:rPr>
          <w:rFonts w:hint="cs"/>
          <w:rtl/>
        </w:rPr>
        <w:t xml:space="preserve">עילת </w:t>
      </w:r>
      <w:bookmarkStart w:id="42261" w:name="_ETM_Q79_457150"/>
      <w:bookmarkEnd w:id="42261"/>
      <w:r>
        <w:rPr>
          <w:rFonts w:hint="cs"/>
          <w:rtl/>
        </w:rPr>
        <w:t xml:space="preserve">הסבירות </w:t>
      </w:r>
      <w:bookmarkStart w:id="42262" w:name="_ETM_Q79_457660"/>
      <w:bookmarkEnd w:id="42262"/>
      <w:r>
        <w:rPr>
          <w:rFonts w:hint="cs"/>
          <w:rtl/>
        </w:rPr>
        <w:t xml:space="preserve">שמובאת </w:t>
      </w:r>
      <w:bookmarkStart w:id="42263" w:name="_ETM_Q79_458320"/>
      <w:bookmarkEnd w:id="42263"/>
      <w:r>
        <w:rPr>
          <w:rFonts w:hint="cs"/>
          <w:rtl/>
        </w:rPr>
        <w:t xml:space="preserve">כאן </w:t>
      </w:r>
      <w:bookmarkStart w:id="42264" w:name="_ETM_Q79_458650"/>
      <w:bookmarkEnd w:id="42264"/>
      <w:r>
        <w:rPr>
          <w:rFonts w:hint="cs"/>
          <w:rtl/>
        </w:rPr>
        <w:t xml:space="preserve">היום </w:t>
      </w:r>
      <w:bookmarkStart w:id="42265" w:name="_ETM_Q79_459339"/>
      <w:bookmarkEnd w:id="42265"/>
      <w:r>
        <w:rPr>
          <w:rFonts w:hint="cs"/>
          <w:rtl/>
        </w:rPr>
        <w:t xml:space="preserve">לדיון </w:t>
      </w:r>
      <w:bookmarkStart w:id="42266" w:name="_ETM_Q79_462270"/>
      <w:bookmarkEnd w:id="42266"/>
      <w:r w:rsidR="000B58A5">
        <w:rPr>
          <w:rFonts w:hint="cs"/>
          <w:rtl/>
        </w:rPr>
        <w:t>זה</w:t>
      </w:r>
      <w:r>
        <w:rPr>
          <w:rFonts w:hint="cs"/>
          <w:rtl/>
        </w:rPr>
        <w:t xml:space="preserve"> </w:t>
      </w:r>
      <w:bookmarkStart w:id="42267" w:name="_ETM_Q79_462539"/>
      <w:bookmarkEnd w:id="42267"/>
      <w:r>
        <w:rPr>
          <w:rFonts w:hint="cs"/>
          <w:rtl/>
        </w:rPr>
        <w:t xml:space="preserve">חוק </w:t>
      </w:r>
      <w:bookmarkStart w:id="42268" w:name="_ETM_Q79_462960"/>
      <w:bookmarkEnd w:id="42268"/>
      <w:r>
        <w:rPr>
          <w:rFonts w:hint="cs"/>
          <w:rtl/>
        </w:rPr>
        <w:t xml:space="preserve">קיצוני. </w:t>
      </w:r>
      <w:bookmarkStart w:id="42269" w:name="_ETM_Q79_464580"/>
      <w:bookmarkEnd w:id="42269"/>
      <w:r>
        <w:rPr>
          <w:rFonts w:hint="cs"/>
          <w:rtl/>
        </w:rPr>
        <w:t>אמרו</w:t>
      </w:r>
      <w:r w:rsidR="000B58A5">
        <w:rPr>
          <w:rFonts w:hint="cs"/>
          <w:rtl/>
        </w:rPr>
        <w:t>:</w:t>
      </w:r>
      <w:r>
        <w:rPr>
          <w:rFonts w:hint="cs"/>
          <w:rtl/>
        </w:rPr>
        <w:t xml:space="preserve"> </w:t>
      </w:r>
      <w:bookmarkStart w:id="42270" w:name="_ETM_Q79_464910"/>
      <w:bookmarkEnd w:id="42270"/>
      <w:r>
        <w:rPr>
          <w:rFonts w:hint="cs"/>
          <w:rtl/>
        </w:rPr>
        <w:t xml:space="preserve">ירככו </w:t>
      </w:r>
      <w:bookmarkStart w:id="42271" w:name="_ETM_Q79_465420"/>
      <w:bookmarkEnd w:id="42271"/>
      <w:r>
        <w:rPr>
          <w:rFonts w:hint="cs"/>
          <w:rtl/>
        </w:rPr>
        <w:t xml:space="preserve">אותו </w:t>
      </w:r>
      <w:bookmarkStart w:id="42272" w:name="_ETM_Q79_466200"/>
      <w:bookmarkEnd w:id="42272"/>
      <w:r>
        <w:rPr>
          <w:rFonts w:hint="cs"/>
          <w:rtl/>
        </w:rPr>
        <w:t xml:space="preserve">– אז </w:t>
      </w:r>
      <w:bookmarkStart w:id="42273" w:name="_ETM_Q79_466410"/>
      <w:bookmarkEnd w:id="42273"/>
      <w:r>
        <w:rPr>
          <w:rFonts w:hint="cs"/>
          <w:rtl/>
        </w:rPr>
        <w:t xml:space="preserve">הקשיחו </w:t>
      </w:r>
      <w:bookmarkStart w:id="42274" w:name="_ETM_Q79_466950"/>
      <w:bookmarkEnd w:id="42274"/>
      <w:r>
        <w:rPr>
          <w:rFonts w:hint="cs"/>
          <w:rtl/>
        </w:rPr>
        <w:t xml:space="preserve">אותו, </w:t>
      </w:r>
      <w:bookmarkStart w:id="42275" w:name="_ETM_Q79_468229"/>
      <w:bookmarkEnd w:id="42275"/>
      <w:r>
        <w:rPr>
          <w:rFonts w:hint="cs"/>
          <w:rtl/>
        </w:rPr>
        <w:t xml:space="preserve">ואני </w:t>
      </w:r>
      <w:bookmarkStart w:id="42276" w:name="_ETM_Q79_468680"/>
      <w:bookmarkStart w:id="42277" w:name="_ETM_Q79_468889"/>
      <w:bookmarkEnd w:id="42276"/>
      <w:bookmarkEnd w:id="42277"/>
      <w:r>
        <w:rPr>
          <w:rFonts w:hint="cs"/>
          <w:rtl/>
        </w:rPr>
        <w:t xml:space="preserve">חוזרת </w:t>
      </w:r>
      <w:bookmarkStart w:id="42278" w:name="_ETM_Q79_469370"/>
      <w:bookmarkEnd w:id="42278"/>
      <w:r>
        <w:rPr>
          <w:rFonts w:hint="cs"/>
          <w:rtl/>
        </w:rPr>
        <w:t>ושואלת</w:t>
      </w:r>
      <w:r w:rsidR="000B58A5">
        <w:rPr>
          <w:rFonts w:hint="cs"/>
          <w:rtl/>
        </w:rPr>
        <w:t>:</w:t>
      </w:r>
      <w:r>
        <w:rPr>
          <w:rFonts w:hint="cs"/>
          <w:rtl/>
        </w:rPr>
        <w:t xml:space="preserve"> </w:t>
      </w:r>
      <w:bookmarkStart w:id="42279" w:name="_ETM_Q79_470660"/>
      <w:bookmarkEnd w:id="42279"/>
      <w:r>
        <w:rPr>
          <w:rFonts w:hint="cs"/>
          <w:rtl/>
        </w:rPr>
        <w:t xml:space="preserve">על </w:t>
      </w:r>
      <w:bookmarkStart w:id="42280" w:name="_ETM_Q79_470930"/>
      <w:bookmarkEnd w:id="42280"/>
      <w:r>
        <w:rPr>
          <w:rFonts w:hint="cs"/>
          <w:rtl/>
        </w:rPr>
        <w:t xml:space="preserve">מה </w:t>
      </w:r>
      <w:bookmarkStart w:id="42281" w:name="_ETM_Q79_471400"/>
      <w:bookmarkEnd w:id="42281"/>
      <w:r>
        <w:rPr>
          <w:rFonts w:hint="cs"/>
          <w:rtl/>
        </w:rPr>
        <w:t xml:space="preserve">הבהילות </w:t>
      </w:r>
      <w:bookmarkStart w:id="42282" w:name="_ETM_Q79_472790"/>
      <w:bookmarkEnd w:id="42282"/>
      <w:r>
        <w:rPr>
          <w:rFonts w:hint="cs"/>
          <w:rtl/>
        </w:rPr>
        <w:t xml:space="preserve">כשהמדינה </w:t>
      </w:r>
      <w:bookmarkStart w:id="42283" w:name="_ETM_Q79_474020"/>
      <w:bookmarkEnd w:id="42283"/>
      <w:r>
        <w:rPr>
          <w:rFonts w:hint="cs"/>
          <w:rtl/>
        </w:rPr>
        <w:t xml:space="preserve">בחוץ </w:t>
      </w:r>
      <w:bookmarkStart w:id="42284" w:name="_ETM_Q79_474920"/>
      <w:bookmarkEnd w:id="42284"/>
      <w:r>
        <w:rPr>
          <w:rFonts w:hint="cs"/>
          <w:rtl/>
        </w:rPr>
        <w:t xml:space="preserve">בוערת? </w:t>
      </w:r>
      <w:bookmarkStart w:id="42285" w:name="_ETM_Q79_476320"/>
      <w:bookmarkEnd w:id="42285"/>
      <w:r>
        <w:rPr>
          <w:rFonts w:hint="cs"/>
          <w:rtl/>
        </w:rPr>
        <w:t xml:space="preserve">פשוט </w:t>
      </w:r>
      <w:bookmarkStart w:id="42286" w:name="_ETM_Q79_476770"/>
      <w:bookmarkEnd w:id="42286"/>
      <w:r>
        <w:rPr>
          <w:rFonts w:hint="cs"/>
          <w:rtl/>
        </w:rPr>
        <w:t>בוערת.</w:t>
      </w:r>
    </w:p>
    <w:p w:rsidR="00BB59CD" w:rsidRDefault="00BB59CD" w:rsidP="00BB59CD">
      <w:pPr>
        <w:rPr>
          <w:rtl/>
        </w:rPr>
      </w:pPr>
    </w:p>
    <w:p w:rsidR="00BB59CD" w:rsidRDefault="00BB59CD" w:rsidP="000B58A5">
      <w:pPr>
        <w:rPr>
          <w:rtl/>
        </w:rPr>
      </w:pPr>
      <w:bookmarkStart w:id="42287" w:name="_ETM_Q79_478000"/>
      <w:bookmarkStart w:id="42288" w:name="_ETM_Q79_478760"/>
      <w:bookmarkEnd w:id="42287"/>
      <w:bookmarkEnd w:id="42288"/>
      <w:r>
        <w:rPr>
          <w:rFonts w:hint="cs"/>
          <w:rtl/>
        </w:rPr>
        <w:t xml:space="preserve">אבל </w:t>
      </w:r>
      <w:bookmarkStart w:id="42289" w:name="_ETM_Q79_479000"/>
      <w:bookmarkEnd w:id="42289"/>
      <w:r>
        <w:rPr>
          <w:rFonts w:hint="cs"/>
          <w:rtl/>
        </w:rPr>
        <w:t xml:space="preserve">עילת </w:t>
      </w:r>
      <w:bookmarkStart w:id="42290" w:name="_ETM_Q79_479270"/>
      <w:bookmarkEnd w:id="42290"/>
      <w:r>
        <w:rPr>
          <w:rFonts w:hint="cs"/>
          <w:rtl/>
        </w:rPr>
        <w:t xml:space="preserve">הסבירות </w:t>
      </w:r>
      <w:bookmarkStart w:id="42291" w:name="_ETM_Q79_479690"/>
      <w:bookmarkEnd w:id="42291"/>
      <w:r>
        <w:rPr>
          <w:rFonts w:hint="cs"/>
          <w:rtl/>
        </w:rPr>
        <w:t xml:space="preserve">זה </w:t>
      </w:r>
      <w:bookmarkStart w:id="42292" w:name="_ETM_Q79_479870"/>
      <w:bookmarkEnd w:id="42292"/>
      <w:r>
        <w:rPr>
          <w:rFonts w:hint="cs"/>
          <w:rtl/>
        </w:rPr>
        <w:t xml:space="preserve">לא </w:t>
      </w:r>
      <w:bookmarkStart w:id="42293" w:name="_ETM_Q79_480110"/>
      <w:bookmarkEnd w:id="42293"/>
      <w:r>
        <w:rPr>
          <w:rFonts w:hint="cs"/>
          <w:rtl/>
        </w:rPr>
        <w:t xml:space="preserve">סיפור </w:t>
      </w:r>
      <w:bookmarkStart w:id="42294" w:name="_ETM_Q79_480589"/>
      <w:bookmarkEnd w:id="42294"/>
      <w:r>
        <w:rPr>
          <w:rFonts w:hint="cs"/>
          <w:rtl/>
        </w:rPr>
        <w:t xml:space="preserve">כזה </w:t>
      </w:r>
      <w:bookmarkStart w:id="42295" w:name="_ETM_Q79_480890"/>
      <w:bookmarkEnd w:id="42295"/>
      <w:r>
        <w:rPr>
          <w:rFonts w:hint="cs"/>
          <w:rtl/>
        </w:rPr>
        <w:t>קטן</w:t>
      </w:r>
      <w:r w:rsidR="000B58A5">
        <w:rPr>
          <w:rFonts w:hint="cs"/>
          <w:rtl/>
        </w:rPr>
        <w:t>,</w:t>
      </w:r>
      <w:r>
        <w:rPr>
          <w:rFonts w:hint="cs"/>
          <w:rtl/>
        </w:rPr>
        <w:t xml:space="preserve"> </w:t>
      </w:r>
      <w:bookmarkStart w:id="42296" w:name="_ETM_Q79_480000"/>
      <w:bookmarkStart w:id="42297" w:name="_ETM_Q79_480269"/>
      <w:bookmarkStart w:id="42298" w:name="_ETM_Q79_480570"/>
      <w:bookmarkStart w:id="42299" w:name="_ETM_Q79_481439"/>
      <w:bookmarkEnd w:id="42296"/>
      <w:bookmarkEnd w:id="42297"/>
      <w:bookmarkEnd w:id="42298"/>
      <w:bookmarkEnd w:id="42299"/>
      <w:r>
        <w:rPr>
          <w:rFonts w:hint="cs"/>
          <w:rtl/>
        </w:rPr>
        <w:t xml:space="preserve">וכן, </w:t>
      </w:r>
      <w:bookmarkStart w:id="42300" w:name="_ETM_Q79_481920"/>
      <w:bookmarkEnd w:id="42300"/>
      <w:r>
        <w:rPr>
          <w:rFonts w:hint="cs"/>
          <w:rtl/>
        </w:rPr>
        <w:t xml:space="preserve">אני </w:t>
      </w:r>
      <w:bookmarkStart w:id="42301" w:name="_ETM_Q79_482100"/>
      <w:bookmarkEnd w:id="42301"/>
      <w:r>
        <w:rPr>
          <w:rFonts w:hint="cs"/>
          <w:rtl/>
        </w:rPr>
        <w:t xml:space="preserve">אומר, </w:t>
      </w:r>
      <w:bookmarkStart w:id="42302" w:name="_ETM_Q79_482520"/>
      <w:bookmarkEnd w:id="42302"/>
      <w:r>
        <w:rPr>
          <w:rFonts w:hint="cs"/>
          <w:rtl/>
        </w:rPr>
        <w:t xml:space="preserve">זה </w:t>
      </w:r>
      <w:bookmarkStart w:id="42303" w:name="_ETM_Q79_482970"/>
      <w:bookmarkEnd w:id="42303"/>
      <w:r>
        <w:rPr>
          <w:rFonts w:hint="cs"/>
          <w:rtl/>
        </w:rPr>
        <w:t xml:space="preserve">לא </w:t>
      </w:r>
      <w:bookmarkStart w:id="42304" w:name="_ETM_Q79_483480"/>
      <w:bookmarkEnd w:id="42304"/>
      <w:r>
        <w:rPr>
          <w:rFonts w:hint="cs"/>
          <w:rtl/>
        </w:rPr>
        <w:t xml:space="preserve">מה </w:t>
      </w:r>
      <w:bookmarkStart w:id="42305" w:name="_ETM_Q79_483720"/>
      <w:bookmarkEnd w:id="42305"/>
      <w:r>
        <w:rPr>
          <w:rFonts w:hint="cs"/>
          <w:rtl/>
        </w:rPr>
        <w:t xml:space="preserve">שישנה </w:t>
      </w:r>
      <w:bookmarkStart w:id="42306" w:name="_ETM_Q79_484410"/>
      <w:bookmarkEnd w:id="42306"/>
      <w:r>
        <w:rPr>
          <w:rFonts w:hint="cs"/>
          <w:rtl/>
        </w:rPr>
        <w:t xml:space="preserve">לבדו </w:t>
      </w:r>
      <w:bookmarkStart w:id="42307" w:name="_ETM_Q79_484830"/>
      <w:bookmarkEnd w:id="42307"/>
      <w:r>
        <w:rPr>
          <w:rFonts w:hint="cs"/>
          <w:rtl/>
        </w:rPr>
        <w:t xml:space="preserve">את </w:t>
      </w:r>
      <w:bookmarkStart w:id="42308" w:name="_ETM_Q79_484950"/>
      <w:bookmarkEnd w:id="42308"/>
      <w:r>
        <w:rPr>
          <w:rFonts w:hint="cs"/>
          <w:rtl/>
        </w:rPr>
        <w:t xml:space="preserve">המשטר </w:t>
      </w:r>
      <w:bookmarkStart w:id="42309" w:name="_ETM_Q79_485370"/>
      <w:bookmarkEnd w:id="42309"/>
      <w:r>
        <w:rPr>
          <w:rFonts w:hint="cs"/>
          <w:rtl/>
        </w:rPr>
        <w:t xml:space="preserve">במדינת </w:t>
      </w:r>
      <w:bookmarkStart w:id="42310" w:name="_ETM_Q79_485879"/>
      <w:bookmarkEnd w:id="42310"/>
      <w:r>
        <w:rPr>
          <w:rFonts w:hint="cs"/>
          <w:rtl/>
        </w:rPr>
        <w:t xml:space="preserve">ישראל </w:t>
      </w:r>
      <w:bookmarkStart w:id="42311" w:name="_ETM_Q79_487740"/>
      <w:bookmarkEnd w:id="42311"/>
      <w:r>
        <w:rPr>
          <w:rFonts w:hint="cs"/>
          <w:rtl/>
        </w:rPr>
        <w:t xml:space="preserve">אבל </w:t>
      </w:r>
      <w:bookmarkStart w:id="42312" w:name="_ETM_Q79_488010"/>
      <w:bookmarkEnd w:id="42312"/>
      <w:r>
        <w:rPr>
          <w:rFonts w:hint="cs"/>
          <w:rtl/>
        </w:rPr>
        <w:t xml:space="preserve">זו </w:t>
      </w:r>
      <w:bookmarkStart w:id="42313" w:name="_ETM_Q79_488160"/>
      <w:bookmarkEnd w:id="42313"/>
      <w:r>
        <w:rPr>
          <w:rFonts w:hint="cs"/>
          <w:rtl/>
        </w:rPr>
        <w:t xml:space="preserve">בהחלט </w:t>
      </w:r>
      <w:bookmarkStart w:id="42314" w:name="_ETM_Q79_488639"/>
      <w:bookmarkEnd w:id="42314"/>
      <w:r>
        <w:rPr>
          <w:rFonts w:hint="cs"/>
          <w:rtl/>
        </w:rPr>
        <w:t xml:space="preserve">ראשית </w:t>
      </w:r>
      <w:bookmarkStart w:id="42315" w:name="_ETM_Q79_489029"/>
      <w:bookmarkEnd w:id="42315"/>
      <w:r>
        <w:rPr>
          <w:rFonts w:hint="cs"/>
          <w:rtl/>
        </w:rPr>
        <w:t xml:space="preserve">הדרך, </w:t>
      </w:r>
      <w:bookmarkStart w:id="42316" w:name="_ETM_Q79_489809"/>
      <w:bookmarkEnd w:id="42316"/>
      <w:r>
        <w:rPr>
          <w:rFonts w:hint="cs"/>
          <w:rtl/>
        </w:rPr>
        <w:t xml:space="preserve">ואנחנו </w:t>
      </w:r>
      <w:bookmarkStart w:id="42317" w:name="_ETM_Q79_490349"/>
      <w:bookmarkEnd w:id="42317"/>
      <w:r>
        <w:rPr>
          <w:rFonts w:hint="cs"/>
          <w:rtl/>
        </w:rPr>
        <w:t xml:space="preserve">יודעים </w:t>
      </w:r>
      <w:bookmarkStart w:id="42318" w:name="_ETM_Q79_490740"/>
      <w:bookmarkEnd w:id="42318"/>
      <w:r>
        <w:rPr>
          <w:rFonts w:hint="cs"/>
          <w:rtl/>
        </w:rPr>
        <w:t xml:space="preserve">מה </w:t>
      </w:r>
      <w:bookmarkStart w:id="42319" w:name="_ETM_Q79_490920"/>
      <w:bookmarkEnd w:id="42319"/>
      <w:r>
        <w:rPr>
          <w:rFonts w:hint="cs"/>
          <w:rtl/>
        </w:rPr>
        <w:t xml:space="preserve">כוונותיה </w:t>
      </w:r>
      <w:bookmarkStart w:id="42320" w:name="_ETM_Q79_491549"/>
      <w:bookmarkEnd w:id="42320"/>
      <w:r>
        <w:rPr>
          <w:rFonts w:hint="cs"/>
          <w:rtl/>
        </w:rPr>
        <w:t xml:space="preserve">של </w:t>
      </w:r>
      <w:bookmarkStart w:id="42321" w:name="_ETM_Q79_491760"/>
      <w:bookmarkEnd w:id="42321"/>
      <w:r>
        <w:rPr>
          <w:rFonts w:hint="cs"/>
          <w:rtl/>
        </w:rPr>
        <w:t xml:space="preserve">הממשלה </w:t>
      </w:r>
      <w:bookmarkStart w:id="42322" w:name="_ETM_Q79_492360"/>
      <w:bookmarkEnd w:id="42322"/>
      <w:r>
        <w:rPr>
          <w:rFonts w:hint="cs"/>
          <w:rtl/>
        </w:rPr>
        <w:t xml:space="preserve">הזאת. </w:t>
      </w:r>
      <w:bookmarkStart w:id="42323" w:name="_ETM_Q79_493800"/>
      <w:bookmarkEnd w:id="42323"/>
      <w:r>
        <w:rPr>
          <w:rFonts w:hint="cs"/>
          <w:rtl/>
        </w:rPr>
        <w:t xml:space="preserve">עילת </w:t>
      </w:r>
      <w:bookmarkStart w:id="42324" w:name="_ETM_Q79_494220"/>
      <w:bookmarkEnd w:id="42324"/>
      <w:r>
        <w:rPr>
          <w:rFonts w:hint="cs"/>
          <w:rtl/>
        </w:rPr>
        <w:t xml:space="preserve">הסבירות </w:t>
      </w:r>
      <w:bookmarkStart w:id="42325" w:name="_ETM_Q79_495499"/>
      <w:bookmarkEnd w:id="42325"/>
      <w:r>
        <w:rPr>
          <w:rFonts w:hint="cs"/>
          <w:rtl/>
        </w:rPr>
        <w:t xml:space="preserve">היא </w:t>
      </w:r>
      <w:bookmarkStart w:id="42326" w:name="_ETM_Q79_495650"/>
      <w:bookmarkEnd w:id="42326"/>
      <w:r>
        <w:rPr>
          <w:rFonts w:hint="cs"/>
          <w:rtl/>
        </w:rPr>
        <w:t xml:space="preserve">לחלוטין </w:t>
      </w:r>
      <w:bookmarkStart w:id="42327" w:name="_ETM_Q79_496640"/>
      <w:bookmarkEnd w:id="42327"/>
      <w:r>
        <w:rPr>
          <w:rFonts w:hint="cs"/>
          <w:rtl/>
        </w:rPr>
        <w:t xml:space="preserve">עילת </w:t>
      </w:r>
      <w:bookmarkStart w:id="42328" w:name="_ETM_Q79_497029"/>
      <w:bookmarkEnd w:id="42328"/>
      <w:r>
        <w:rPr>
          <w:rFonts w:hint="cs"/>
          <w:rtl/>
        </w:rPr>
        <w:t xml:space="preserve">השחיתות. </w:t>
      </w:r>
      <w:bookmarkStart w:id="42329" w:name="_ETM_Q79_498290"/>
      <w:bookmarkEnd w:id="42329"/>
      <w:r>
        <w:rPr>
          <w:rFonts w:hint="cs"/>
          <w:rtl/>
        </w:rPr>
        <w:t xml:space="preserve">לא </w:t>
      </w:r>
      <w:bookmarkStart w:id="42330" w:name="_ETM_Q79_498470"/>
      <w:bookmarkEnd w:id="42330"/>
      <w:r>
        <w:rPr>
          <w:rFonts w:hint="cs"/>
          <w:rtl/>
        </w:rPr>
        <w:t>שחסר</w:t>
      </w:r>
      <w:bookmarkStart w:id="42331" w:name="_ETM_Q79_498950"/>
      <w:bookmarkEnd w:id="42331"/>
      <w:r>
        <w:rPr>
          <w:rFonts w:hint="cs"/>
          <w:rtl/>
        </w:rPr>
        <w:t xml:space="preserve">ה שחיתות </w:t>
      </w:r>
      <w:bookmarkStart w:id="42332" w:name="_ETM_Q79_499500"/>
      <w:bookmarkStart w:id="42333" w:name="_ETM_Q79_499920"/>
      <w:bookmarkEnd w:id="42332"/>
      <w:bookmarkEnd w:id="42333"/>
      <w:r>
        <w:rPr>
          <w:rFonts w:hint="cs"/>
          <w:rtl/>
        </w:rPr>
        <w:t xml:space="preserve">בממשלה </w:t>
      </w:r>
      <w:bookmarkStart w:id="42334" w:name="_ETM_Q79_500640"/>
      <w:bookmarkEnd w:id="42334"/>
      <w:r>
        <w:rPr>
          <w:rFonts w:hint="cs"/>
          <w:rtl/>
        </w:rPr>
        <w:t xml:space="preserve">הזו, </w:t>
      </w:r>
      <w:bookmarkStart w:id="42335" w:name="_ETM_Q79_502480"/>
      <w:bookmarkEnd w:id="42335"/>
      <w:r>
        <w:rPr>
          <w:rFonts w:hint="cs"/>
          <w:rtl/>
        </w:rPr>
        <w:t xml:space="preserve">אבל </w:t>
      </w:r>
      <w:bookmarkStart w:id="42336" w:name="_ETM_Q79_502870"/>
      <w:bookmarkEnd w:id="42336"/>
      <w:r>
        <w:rPr>
          <w:rFonts w:hint="cs"/>
          <w:rtl/>
        </w:rPr>
        <w:t xml:space="preserve">למה </w:t>
      </w:r>
      <w:bookmarkStart w:id="42337" w:name="_ETM_Q79_503140"/>
      <w:bookmarkEnd w:id="42337"/>
      <w:r>
        <w:rPr>
          <w:rFonts w:hint="cs"/>
          <w:rtl/>
        </w:rPr>
        <w:t xml:space="preserve">לא </w:t>
      </w:r>
      <w:bookmarkStart w:id="42338" w:name="_ETM_Q79_503260"/>
      <w:bookmarkEnd w:id="42338"/>
      <w:r>
        <w:rPr>
          <w:rFonts w:hint="cs"/>
          <w:rtl/>
        </w:rPr>
        <w:t xml:space="preserve">להמשיך </w:t>
      </w:r>
      <w:bookmarkStart w:id="42339" w:name="_ETM_Q79_503740"/>
      <w:bookmarkEnd w:id="42339"/>
      <w:r>
        <w:rPr>
          <w:rFonts w:hint="cs"/>
          <w:rtl/>
        </w:rPr>
        <w:t xml:space="preserve">אותה </w:t>
      </w:r>
      <w:bookmarkStart w:id="42340" w:name="_ETM_Q79_504040"/>
      <w:bookmarkEnd w:id="42340"/>
      <w:r>
        <w:rPr>
          <w:rFonts w:hint="cs"/>
          <w:rtl/>
        </w:rPr>
        <w:t xml:space="preserve">ולעגן </w:t>
      </w:r>
      <w:bookmarkStart w:id="42341" w:name="_ETM_Q79_504610"/>
      <w:bookmarkEnd w:id="42341"/>
      <w:r>
        <w:rPr>
          <w:rFonts w:hint="cs"/>
          <w:rtl/>
        </w:rPr>
        <w:t xml:space="preserve">אותה </w:t>
      </w:r>
      <w:bookmarkStart w:id="42342" w:name="_ETM_Q79_504820"/>
      <w:bookmarkEnd w:id="42342"/>
      <w:r>
        <w:rPr>
          <w:rFonts w:hint="cs"/>
          <w:rtl/>
        </w:rPr>
        <w:t>בחוק</w:t>
      </w:r>
      <w:r w:rsidR="000B58A5">
        <w:rPr>
          <w:rFonts w:hint="cs"/>
          <w:rtl/>
        </w:rPr>
        <w:t>,</w:t>
      </w:r>
      <w:r>
        <w:rPr>
          <w:rFonts w:hint="cs"/>
          <w:rtl/>
        </w:rPr>
        <w:t xml:space="preserve"> </w:t>
      </w:r>
      <w:bookmarkStart w:id="42343" w:name="_ETM_Q79_505860"/>
      <w:bookmarkEnd w:id="42343"/>
      <w:r>
        <w:rPr>
          <w:rFonts w:hint="cs"/>
          <w:rtl/>
        </w:rPr>
        <w:t xml:space="preserve">אם </w:t>
      </w:r>
      <w:bookmarkStart w:id="42344" w:name="_ETM_Q79_506160"/>
      <w:bookmarkEnd w:id="42344"/>
      <w:r>
        <w:rPr>
          <w:rFonts w:hint="cs"/>
          <w:rtl/>
        </w:rPr>
        <w:t>אפשר</w:t>
      </w:r>
      <w:r w:rsidR="000B58A5">
        <w:rPr>
          <w:rFonts w:hint="cs"/>
          <w:rtl/>
        </w:rPr>
        <w:t>,</w:t>
      </w:r>
      <w:r>
        <w:rPr>
          <w:rFonts w:hint="cs"/>
          <w:rtl/>
        </w:rPr>
        <w:t xml:space="preserve"> </w:t>
      </w:r>
      <w:bookmarkStart w:id="42345" w:name="_ETM_Q79_506520"/>
      <w:bookmarkEnd w:id="42345"/>
      <w:r>
        <w:rPr>
          <w:rFonts w:hint="cs"/>
          <w:rtl/>
        </w:rPr>
        <w:t xml:space="preserve">להפוך </w:t>
      </w:r>
      <w:bookmarkStart w:id="42346" w:name="_ETM_Q79_507150"/>
      <w:bookmarkEnd w:id="42346"/>
      <w:r>
        <w:rPr>
          <w:rFonts w:hint="cs"/>
          <w:rtl/>
        </w:rPr>
        <w:t xml:space="preserve">אותה </w:t>
      </w:r>
      <w:bookmarkStart w:id="42347" w:name="_ETM_Q79_508020"/>
      <w:bookmarkEnd w:id="42347"/>
      <w:r>
        <w:rPr>
          <w:rFonts w:hint="cs"/>
          <w:rtl/>
        </w:rPr>
        <w:t xml:space="preserve">ל"שחיתות </w:t>
      </w:r>
      <w:bookmarkStart w:id="42348" w:name="_ETM_Q79_508970"/>
      <w:bookmarkEnd w:id="42348"/>
      <w:r>
        <w:rPr>
          <w:rFonts w:hint="cs"/>
          <w:rtl/>
        </w:rPr>
        <w:t xml:space="preserve">חוקית". </w:t>
      </w:r>
      <w:bookmarkStart w:id="42349" w:name="_ETM_Q79_509869"/>
      <w:bookmarkStart w:id="42350" w:name="_ETM_Q79_511940"/>
      <w:bookmarkStart w:id="42351" w:name="_ETM_Q79_507000"/>
      <w:bookmarkStart w:id="42352" w:name="_ETM_Q79_508000"/>
      <w:bookmarkEnd w:id="42349"/>
      <w:bookmarkEnd w:id="42350"/>
      <w:bookmarkEnd w:id="42351"/>
      <w:bookmarkEnd w:id="42352"/>
      <w:r>
        <w:rPr>
          <w:rFonts w:hint="cs"/>
          <w:rtl/>
        </w:rPr>
        <w:t xml:space="preserve">הרי </w:t>
      </w:r>
      <w:bookmarkStart w:id="42353" w:name="_ETM_Q79_512180"/>
      <w:bookmarkEnd w:id="42353"/>
      <w:r>
        <w:rPr>
          <w:rFonts w:hint="cs"/>
          <w:rtl/>
        </w:rPr>
        <w:t xml:space="preserve">זה </w:t>
      </w:r>
      <w:bookmarkStart w:id="42354" w:name="_ETM_Q79_512330"/>
      <w:bookmarkEnd w:id="42354"/>
      <w:r>
        <w:rPr>
          <w:rFonts w:hint="cs"/>
          <w:rtl/>
        </w:rPr>
        <w:t xml:space="preserve">הסיפור </w:t>
      </w:r>
      <w:bookmarkStart w:id="42355" w:name="_ETM_Q79_512779"/>
      <w:bookmarkEnd w:id="42355"/>
      <w:r>
        <w:rPr>
          <w:rFonts w:hint="cs"/>
          <w:rtl/>
        </w:rPr>
        <w:t xml:space="preserve">הגדול. </w:t>
      </w:r>
      <w:bookmarkStart w:id="42356" w:name="_ETM_Q79_513650"/>
      <w:bookmarkEnd w:id="42356"/>
      <w:r>
        <w:rPr>
          <w:rFonts w:hint="cs"/>
          <w:rtl/>
        </w:rPr>
        <w:t xml:space="preserve">כל </w:t>
      </w:r>
      <w:bookmarkStart w:id="42357" w:name="_ETM_Q79_514130"/>
      <w:bookmarkEnd w:id="42357"/>
      <w:r>
        <w:rPr>
          <w:rFonts w:hint="cs"/>
          <w:rtl/>
        </w:rPr>
        <w:t xml:space="preserve">מה </w:t>
      </w:r>
      <w:bookmarkStart w:id="42358" w:name="_ETM_Q79_514310"/>
      <w:bookmarkEnd w:id="42358"/>
      <w:r>
        <w:rPr>
          <w:rFonts w:hint="cs"/>
          <w:rtl/>
        </w:rPr>
        <w:t xml:space="preserve">שמעניין </w:t>
      </w:r>
      <w:bookmarkStart w:id="42359" w:name="_ETM_Q79_514910"/>
      <w:bookmarkEnd w:id="42359"/>
      <w:r>
        <w:rPr>
          <w:rFonts w:hint="cs"/>
          <w:rtl/>
        </w:rPr>
        <w:t xml:space="preserve">אותם </w:t>
      </w:r>
      <w:bookmarkStart w:id="42360" w:name="_ETM_Q79_515660"/>
      <w:bookmarkEnd w:id="42360"/>
      <w:r>
        <w:rPr>
          <w:rFonts w:hint="cs"/>
          <w:rtl/>
        </w:rPr>
        <w:t xml:space="preserve">זה </w:t>
      </w:r>
      <w:bookmarkStart w:id="42361" w:name="_ETM_Q79_515839"/>
      <w:bookmarkEnd w:id="42361"/>
      <w:r>
        <w:rPr>
          <w:rFonts w:hint="cs"/>
          <w:rtl/>
        </w:rPr>
        <w:t xml:space="preserve">הנושא </w:t>
      </w:r>
      <w:bookmarkStart w:id="42362" w:name="_ETM_Q79_516170"/>
      <w:bookmarkEnd w:id="42362"/>
      <w:r>
        <w:rPr>
          <w:rFonts w:hint="cs"/>
          <w:rtl/>
        </w:rPr>
        <w:t xml:space="preserve">של </w:t>
      </w:r>
      <w:bookmarkStart w:id="42363" w:name="_ETM_Q79_516410"/>
      <w:bookmarkEnd w:id="42363"/>
      <w:r>
        <w:rPr>
          <w:rFonts w:hint="cs"/>
          <w:rtl/>
        </w:rPr>
        <w:t xml:space="preserve">המינויים. </w:t>
      </w:r>
      <w:bookmarkStart w:id="42364" w:name="_ETM_Q79_517730"/>
      <w:bookmarkStart w:id="42365" w:name="_ETM_Q79_517880"/>
      <w:bookmarkEnd w:id="42364"/>
      <w:bookmarkEnd w:id="42365"/>
      <w:r>
        <w:rPr>
          <w:rFonts w:hint="cs"/>
          <w:rtl/>
        </w:rPr>
        <w:t xml:space="preserve">ואני </w:t>
      </w:r>
      <w:bookmarkStart w:id="42366" w:name="_ETM_Q79_518000"/>
      <w:bookmarkEnd w:id="42366"/>
      <w:r>
        <w:rPr>
          <w:rFonts w:hint="cs"/>
          <w:rtl/>
        </w:rPr>
        <w:t xml:space="preserve">באמת </w:t>
      </w:r>
      <w:bookmarkStart w:id="42367" w:name="_ETM_Q79_518390"/>
      <w:bookmarkEnd w:id="42367"/>
      <w:r>
        <w:rPr>
          <w:rFonts w:hint="cs"/>
          <w:rtl/>
        </w:rPr>
        <w:t xml:space="preserve">שואלת: </w:t>
      </w:r>
      <w:bookmarkStart w:id="42368" w:name="_ETM_Q79_519770"/>
      <w:bookmarkEnd w:id="42368"/>
      <w:r>
        <w:rPr>
          <w:rFonts w:hint="cs"/>
          <w:rtl/>
        </w:rPr>
        <w:t xml:space="preserve">אם </w:t>
      </w:r>
      <w:bookmarkStart w:id="42369" w:name="_ETM_Q79_519950"/>
      <w:bookmarkEnd w:id="42369"/>
      <w:r>
        <w:rPr>
          <w:rFonts w:hint="cs"/>
          <w:rtl/>
        </w:rPr>
        <w:t xml:space="preserve">לא </w:t>
      </w:r>
      <w:bookmarkStart w:id="42370" w:name="_ETM_Q79_520100"/>
      <w:bookmarkEnd w:id="42370"/>
      <w:r>
        <w:rPr>
          <w:rFonts w:hint="cs"/>
          <w:rtl/>
        </w:rPr>
        <w:t xml:space="preserve">היו </w:t>
      </w:r>
      <w:bookmarkStart w:id="42371" w:name="_ETM_Q79_520370"/>
      <w:bookmarkEnd w:id="42371"/>
      <w:r>
        <w:rPr>
          <w:rFonts w:hint="cs"/>
          <w:rtl/>
        </w:rPr>
        <w:t xml:space="preserve">להם </w:t>
      </w:r>
      <w:bookmarkStart w:id="42372" w:name="_ETM_Q79_520579"/>
      <w:bookmarkEnd w:id="42372"/>
      <w:r>
        <w:rPr>
          <w:rFonts w:hint="cs"/>
          <w:rtl/>
        </w:rPr>
        <w:t xml:space="preserve">כל </w:t>
      </w:r>
      <w:bookmarkStart w:id="42373" w:name="_ETM_Q79_520760"/>
      <w:bookmarkEnd w:id="42373"/>
      <w:r>
        <w:rPr>
          <w:rFonts w:hint="cs"/>
          <w:rtl/>
        </w:rPr>
        <w:t xml:space="preserve">כך </w:t>
      </w:r>
      <w:bookmarkStart w:id="42374" w:name="_ETM_Q79_521060"/>
      <w:bookmarkEnd w:id="42374"/>
      <w:r>
        <w:rPr>
          <w:rFonts w:hint="cs"/>
          <w:rtl/>
        </w:rPr>
        <w:t xml:space="preserve">הרבה </w:t>
      </w:r>
      <w:bookmarkStart w:id="42375" w:name="_ETM_Q79_521329"/>
      <w:bookmarkEnd w:id="42375"/>
      <w:r>
        <w:rPr>
          <w:rFonts w:hint="cs"/>
          <w:rtl/>
        </w:rPr>
        <w:t xml:space="preserve">מינויים </w:t>
      </w:r>
      <w:bookmarkStart w:id="42376" w:name="_ETM_Q79_521930"/>
      <w:bookmarkEnd w:id="42376"/>
      <w:r>
        <w:rPr>
          <w:rFonts w:hint="cs"/>
          <w:rtl/>
        </w:rPr>
        <w:t xml:space="preserve">לא </w:t>
      </w:r>
      <w:bookmarkStart w:id="42377" w:name="_ETM_Q79_522200"/>
      <w:bookmarkEnd w:id="42377"/>
      <w:r>
        <w:rPr>
          <w:rFonts w:hint="cs"/>
          <w:rtl/>
        </w:rPr>
        <w:t xml:space="preserve">סבירים </w:t>
      </w:r>
      <w:bookmarkStart w:id="42378" w:name="_ETM_Q79_523010"/>
      <w:bookmarkEnd w:id="42378"/>
      <w:r>
        <w:rPr>
          <w:rFonts w:hint="cs"/>
          <w:rtl/>
        </w:rPr>
        <w:t xml:space="preserve">וכל </w:t>
      </w:r>
      <w:bookmarkStart w:id="42379" w:name="_ETM_Q79_523370"/>
      <w:bookmarkEnd w:id="42379"/>
      <w:r>
        <w:rPr>
          <w:rFonts w:hint="cs"/>
          <w:rtl/>
        </w:rPr>
        <w:t xml:space="preserve">כך </w:t>
      </w:r>
      <w:bookmarkStart w:id="42380" w:name="_ETM_Q79_523640"/>
      <w:bookmarkEnd w:id="42380"/>
      <w:r>
        <w:rPr>
          <w:rFonts w:hint="cs"/>
          <w:rtl/>
        </w:rPr>
        <w:t xml:space="preserve">הרבה </w:t>
      </w:r>
      <w:bookmarkStart w:id="42381" w:name="_ETM_Q79_523910"/>
      <w:bookmarkEnd w:id="42381"/>
      <w:r>
        <w:rPr>
          <w:rFonts w:hint="cs"/>
          <w:rtl/>
        </w:rPr>
        <w:t xml:space="preserve">פעולות </w:t>
      </w:r>
      <w:bookmarkStart w:id="42382" w:name="_ETM_Q79_524540"/>
      <w:bookmarkEnd w:id="42382"/>
      <w:r>
        <w:rPr>
          <w:rFonts w:hint="cs"/>
          <w:rtl/>
        </w:rPr>
        <w:t xml:space="preserve">לא </w:t>
      </w:r>
      <w:bookmarkStart w:id="42383" w:name="_ETM_Q79_524720"/>
      <w:bookmarkEnd w:id="42383"/>
      <w:r>
        <w:rPr>
          <w:rFonts w:hint="cs"/>
          <w:rtl/>
        </w:rPr>
        <w:t xml:space="preserve">סבירות, </w:t>
      </w:r>
      <w:bookmarkStart w:id="42384" w:name="_ETM_Q79_526190"/>
      <w:bookmarkEnd w:id="42384"/>
      <w:r>
        <w:rPr>
          <w:rFonts w:hint="cs"/>
          <w:rtl/>
        </w:rPr>
        <w:t xml:space="preserve">אז </w:t>
      </w:r>
      <w:bookmarkStart w:id="42385" w:name="_ETM_Q79_526399"/>
      <w:bookmarkEnd w:id="42385"/>
      <w:r>
        <w:rPr>
          <w:rFonts w:hint="cs"/>
          <w:rtl/>
        </w:rPr>
        <w:t xml:space="preserve">למה </w:t>
      </w:r>
      <w:bookmarkStart w:id="42386" w:name="_ETM_Q79_526639"/>
      <w:bookmarkEnd w:id="42386"/>
      <w:r>
        <w:rPr>
          <w:rFonts w:hint="cs"/>
          <w:rtl/>
        </w:rPr>
        <w:t xml:space="preserve">הם </w:t>
      </w:r>
      <w:bookmarkStart w:id="42387" w:name="_ETM_Q79_526729"/>
      <w:bookmarkEnd w:id="42387"/>
      <w:r>
        <w:rPr>
          <w:rFonts w:hint="cs"/>
          <w:rtl/>
        </w:rPr>
        <w:t xml:space="preserve">היו </w:t>
      </w:r>
      <w:bookmarkStart w:id="42388" w:name="_ETM_Q79_526879"/>
      <w:bookmarkEnd w:id="42388"/>
      <w:r>
        <w:rPr>
          <w:rFonts w:hint="cs"/>
          <w:rtl/>
        </w:rPr>
        <w:t xml:space="preserve">צריכים </w:t>
      </w:r>
      <w:bookmarkStart w:id="42389" w:name="_ETM_Q79_527299"/>
      <w:bookmarkStart w:id="42390" w:name="_ETM_Q79_527510"/>
      <w:bookmarkStart w:id="42391" w:name="_ETM_Q79_527600"/>
      <w:bookmarkEnd w:id="42389"/>
      <w:bookmarkEnd w:id="42390"/>
      <w:bookmarkEnd w:id="42391"/>
      <w:r>
        <w:rPr>
          <w:rFonts w:hint="cs"/>
          <w:rtl/>
        </w:rPr>
        <w:t xml:space="preserve">את </w:t>
      </w:r>
      <w:bookmarkStart w:id="42392" w:name="_ETM_Q79_527690"/>
      <w:bookmarkEnd w:id="42392"/>
      <w:r>
        <w:rPr>
          <w:rFonts w:hint="cs"/>
          <w:rtl/>
        </w:rPr>
        <w:t xml:space="preserve">עילת הסבירות? </w:t>
      </w:r>
      <w:bookmarkStart w:id="42393" w:name="_ETM_Q79_529260"/>
      <w:bookmarkEnd w:id="42393"/>
      <w:r>
        <w:rPr>
          <w:rFonts w:hint="cs"/>
          <w:rtl/>
        </w:rPr>
        <w:t xml:space="preserve">אבל </w:t>
      </w:r>
      <w:bookmarkStart w:id="42394" w:name="_ETM_Q79_529529"/>
      <w:bookmarkEnd w:id="42394"/>
      <w:r>
        <w:rPr>
          <w:rFonts w:hint="cs"/>
          <w:rtl/>
        </w:rPr>
        <w:t xml:space="preserve">בממשלה </w:t>
      </w:r>
      <w:bookmarkStart w:id="42395" w:name="_ETM_Q79_530190"/>
      <w:bookmarkEnd w:id="42395"/>
      <w:r>
        <w:rPr>
          <w:rFonts w:hint="cs"/>
          <w:rtl/>
        </w:rPr>
        <w:t xml:space="preserve">שכמעט </w:t>
      </w:r>
      <w:bookmarkStart w:id="42396" w:name="_ETM_Q79_530670"/>
      <w:bookmarkEnd w:id="42396"/>
      <w:r>
        <w:rPr>
          <w:rFonts w:hint="cs"/>
          <w:rtl/>
        </w:rPr>
        <w:t xml:space="preserve">כל </w:t>
      </w:r>
      <w:bookmarkStart w:id="42397" w:name="_ETM_Q79_530940"/>
      <w:bookmarkEnd w:id="42397"/>
      <w:r>
        <w:rPr>
          <w:rFonts w:hint="cs"/>
          <w:rtl/>
        </w:rPr>
        <w:t xml:space="preserve">צעד </w:t>
      </w:r>
      <w:bookmarkStart w:id="42398" w:name="_ETM_Q79_531390"/>
      <w:bookmarkEnd w:id="42398"/>
      <w:r>
        <w:rPr>
          <w:rFonts w:hint="cs"/>
          <w:rtl/>
        </w:rPr>
        <w:t xml:space="preserve">ושעל </w:t>
      </w:r>
      <w:bookmarkStart w:id="42399" w:name="_ETM_Q79_531930"/>
      <w:bookmarkEnd w:id="42399"/>
      <w:r>
        <w:rPr>
          <w:rFonts w:hint="cs"/>
          <w:rtl/>
        </w:rPr>
        <w:t xml:space="preserve">שלה </w:t>
      </w:r>
      <w:bookmarkStart w:id="42400" w:name="_ETM_Q79_532559"/>
      <w:bookmarkEnd w:id="42400"/>
      <w:r>
        <w:rPr>
          <w:rFonts w:hint="cs"/>
          <w:rtl/>
        </w:rPr>
        <w:t xml:space="preserve">הוא </w:t>
      </w:r>
      <w:bookmarkStart w:id="42401" w:name="_ETM_Q79_532710"/>
      <w:bookmarkEnd w:id="42401"/>
      <w:r>
        <w:rPr>
          <w:rFonts w:hint="cs"/>
          <w:rtl/>
        </w:rPr>
        <w:t xml:space="preserve">בלתי </w:t>
      </w:r>
      <w:bookmarkStart w:id="42402" w:name="_ETM_Q79_533160"/>
      <w:bookmarkEnd w:id="42402"/>
      <w:r>
        <w:rPr>
          <w:rFonts w:hint="cs"/>
          <w:rtl/>
        </w:rPr>
        <w:t xml:space="preserve">סביר </w:t>
      </w:r>
      <w:bookmarkStart w:id="42403" w:name="_ETM_Q79_533640"/>
      <w:bookmarkEnd w:id="42403"/>
      <w:r>
        <w:rPr>
          <w:rFonts w:hint="cs"/>
          <w:rtl/>
        </w:rPr>
        <w:t xml:space="preserve">בעליל, </w:t>
      </w:r>
      <w:bookmarkStart w:id="42404" w:name="_ETM_Q79_534739"/>
      <w:bookmarkEnd w:id="42404"/>
      <w:r>
        <w:rPr>
          <w:rFonts w:hint="cs"/>
          <w:rtl/>
        </w:rPr>
        <w:t xml:space="preserve">בוודאי </w:t>
      </w:r>
      <w:bookmarkStart w:id="42405" w:name="_ETM_Q79_535579"/>
      <w:bookmarkEnd w:id="42405"/>
      <w:r>
        <w:rPr>
          <w:rFonts w:hint="cs"/>
          <w:rtl/>
        </w:rPr>
        <w:t xml:space="preserve">שיבער </w:t>
      </w:r>
      <w:bookmarkStart w:id="42406" w:name="_ETM_Q79_536210"/>
      <w:bookmarkEnd w:id="42406"/>
      <w:r>
        <w:rPr>
          <w:rFonts w:hint="cs"/>
          <w:rtl/>
        </w:rPr>
        <w:t xml:space="preserve">להם </w:t>
      </w:r>
      <w:bookmarkStart w:id="42407" w:name="_ETM_Q79_537069"/>
      <w:bookmarkEnd w:id="42407"/>
      <w:r>
        <w:rPr>
          <w:rFonts w:hint="cs"/>
          <w:rtl/>
        </w:rPr>
        <w:t xml:space="preserve">לבטל </w:t>
      </w:r>
      <w:bookmarkStart w:id="42408" w:name="_ETM_Q79_537789"/>
      <w:bookmarkEnd w:id="42408"/>
      <w:r>
        <w:rPr>
          <w:rFonts w:hint="cs"/>
          <w:rtl/>
        </w:rPr>
        <w:t xml:space="preserve">את </w:t>
      </w:r>
      <w:bookmarkStart w:id="42409" w:name="_ETM_Q79_537000"/>
      <w:bookmarkEnd w:id="42409"/>
      <w:r>
        <w:rPr>
          <w:rFonts w:hint="cs"/>
          <w:rtl/>
        </w:rPr>
        <w:t xml:space="preserve">עילת </w:t>
      </w:r>
      <w:bookmarkStart w:id="42410" w:name="_ETM_Q79_538329"/>
      <w:bookmarkEnd w:id="42410"/>
      <w:r>
        <w:rPr>
          <w:rFonts w:hint="cs"/>
          <w:rtl/>
        </w:rPr>
        <w:t>הסבירות.</w:t>
      </w:r>
    </w:p>
    <w:p w:rsidR="00BB59CD" w:rsidRDefault="00BB59CD" w:rsidP="00BB59CD">
      <w:pPr>
        <w:rPr>
          <w:rtl/>
        </w:rPr>
      </w:pPr>
    </w:p>
    <w:p w:rsidR="00BB59CD" w:rsidRDefault="00BB59CD" w:rsidP="000B58A5">
      <w:pPr>
        <w:rPr>
          <w:rtl/>
        </w:rPr>
      </w:pPr>
      <w:bookmarkStart w:id="42411" w:name="_ETM_Q79_541000"/>
      <w:bookmarkStart w:id="42412" w:name="_ETM_Q79_540339"/>
      <w:bookmarkEnd w:id="42411"/>
      <w:bookmarkEnd w:id="42412"/>
      <w:r>
        <w:rPr>
          <w:rFonts w:hint="cs"/>
          <w:rtl/>
        </w:rPr>
        <w:t xml:space="preserve">ואז </w:t>
      </w:r>
      <w:bookmarkStart w:id="42413" w:name="_ETM_Q79_540609"/>
      <w:bookmarkStart w:id="42414" w:name="_ETM_Q79_540760"/>
      <w:bookmarkEnd w:id="42413"/>
      <w:bookmarkEnd w:id="42414"/>
      <w:r>
        <w:rPr>
          <w:rFonts w:hint="cs"/>
          <w:rtl/>
        </w:rPr>
        <w:t xml:space="preserve">אומר </w:t>
      </w:r>
      <w:bookmarkStart w:id="42415" w:name="_ETM_Q79_541299"/>
      <w:bookmarkEnd w:id="42415"/>
      <w:r>
        <w:rPr>
          <w:rFonts w:hint="cs"/>
          <w:rtl/>
        </w:rPr>
        <w:t xml:space="preserve">חבר </w:t>
      </w:r>
      <w:bookmarkStart w:id="42416" w:name="_ETM_Q79_541629"/>
      <w:bookmarkEnd w:id="42416"/>
      <w:r>
        <w:rPr>
          <w:rFonts w:hint="cs"/>
          <w:rtl/>
        </w:rPr>
        <w:t xml:space="preserve">הכנסת </w:t>
      </w:r>
      <w:bookmarkStart w:id="42417" w:name="_ETM_Q79_542019"/>
      <w:bookmarkEnd w:id="42417"/>
      <w:r>
        <w:rPr>
          <w:rFonts w:hint="cs"/>
          <w:rtl/>
        </w:rPr>
        <w:t xml:space="preserve">רוטמן </w:t>
      </w:r>
      <w:bookmarkStart w:id="42418" w:name="_ETM_Q79_542920"/>
      <w:bookmarkEnd w:id="42418"/>
      <w:r>
        <w:rPr>
          <w:rFonts w:hint="cs"/>
          <w:rtl/>
        </w:rPr>
        <w:t xml:space="preserve">בדיוני </w:t>
      </w:r>
      <w:bookmarkStart w:id="42419" w:name="_ETM_Q79_543489"/>
      <w:bookmarkEnd w:id="42419"/>
      <w:r>
        <w:rPr>
          <w:rFonts w:hint="cs"/>
          <w:rtl/>
        </w:rPr>
        <w:t xml:space="preserve">הוועדה: </w:t>
      </w:r>
      <w:bookmarkStart w:id="42420" w:name="_ETM_Q79_545450"/>
      <w:bookmarkEnd w:id="42420"/>
      <w:r>
        <w:rPr>
          <w:rFonts w:hint="cs"/>
          <w:rtl/>
        </w:rPr>
        <w:t xml:space="preserve">אני </w:t>
      </w:r>
      <w:bookmarkStart w:id="42421" w:name="_ETM_Q79_545659"/>
      <w:bookmarkEnd w:id="42421"/>
      <w:r>
        <w:rPr>
          <w:rFonts w:hint="cs"/>
          <w:rtl/>
        </w:rPr>
        <w:t xml:space="preserve">לא </w:t>
      </w:r>
      <w:bookmarkStart w:id="42422" w:name="_ETM_Q79_545750"/>
      <w:bookmarkStart w:id="42423" w:name="_ETM_Q79_545839"/>
      <w:bookmarkEnd w:id="42422"/>
      <w:bookmarkEnd w:id="42423"/>
      <w:r>
        <w:rPr>
          <w:rFonts w:hint="cs"/>
          <w:rtl/>
        </w:rPr>
        <w:t xml:space="preserve">מבין, </w:t>
      </w:r>
      <w:bookmarkStart w:id="42424" w:name="_ETM_Q79_546140"/>
      <w:bookmarkEnd w:id="42424"/>
      <w:r>
        <w:rPr>
          <w:rFonts w:hint="cs"/>
          <w:rtl/>
        </w:rPr>
        <w:t xml:space="preserve">זה </w:t>
      </w:r>
      <w:bookmarkStart w:id="42425" w:name="_ETM_Q79_546260"/>
      <w:bookmarkEnd w:id="42425"/>
      <w:r>
        <w:rPr>
          <w:rFonts w:hint="cs"/>
          <w:rtl/>
        </w:rPr>
        <w:t xml:space="preserve">רק </w:t>
      </w:r>
      <w:bookmarkStart w:id="42426" w:name="_ETM_Q79_546470"/>
      <w:bookmarkEnd w:id="42426"/>
      <w:r>
        <w:rPr>
          <w:rFonts w:hint="cs"/>
          <w:rtl/>
        </w:rPr>
        <w:t xml:space="preserve">דבר </w:t>
      </w:r>
      <w:bookmarkStart w:id="42427" w:name="_ETM_Q79_546860"/>
      <w:bookmarkEnd w:id="42427"/>
      <w:r>
        <w:rPr>
          <w:rFonts w:hint="cs"/>
          <w:rtl/>
        </w:rPr>
        <w:t xml:space="preserve">אחד </w:t>
      </w:r>
      <w:bookmarkStart w:id="42428" w:name="_ETM_Q79_547330"/>
      <w:bookmarkEnd w:id="42428"/>
      <w:r>
        <w:rPr>
          <w:rFonts w:hint="cs"/>
          <w:rtl/>
        </w:rPr>
        <w:t xml:space="preserve">שמבטלים, </w:t>
      </w:r>
      <w:bookmarkStart w:id="42429" w:name="_ETM_Q79_548050"/>
      <w:bookmarkEnd w:id="42429"/>
      <w:r>
        <w:rPr>
          <w:rFonts w:hint="cs"/>
          <w:rtl/>
        </w:rPr>
        <w:t xml:space="preserve">יהיו </w:t>
      </w:r>
      <w:bookmarkStart w:id="42430" w:name="_ETM_Q79_548230"/>
      <w:bookmarkStart w:id="42431" w:name="_ETM_Q79_548430"/>
      <w:bookmarkEnd w:id="42430"/>
      <w:bookmarkEnd w:id="42431"/>
      <w:r>
        <w:rPr>
          <w:rFonts w:hint="cs"/>
          <w:rtl/>
        </w:rPr>
        <w:t>כל</w:t>
      </w:r>
      <w:bookmarkStart w:id="42432" w:name="_ETM_Q79_548520"/>
      <w:bookmarkEnd w:id="42432"/>
      <w:r>
        <w:rPr>
          <w:rFonts w:hint="cs"/>
          <w:rtl/>
        </w:rPr>
        <w:t xml:space="preserve"> כך </w:t>
      </w:r>
      <w:bookmarkStart w:id="42433" w:name="_ETM_Q79_548730"/>
      <w:bookmarkEnd w:id="42433"/>
      <w:r>
        <w:rPr>
          <w:rFonts w:hint="cs"/>
          <w:rtl/>
        </w:rPr>
        <w:t xml:space="preserve">הרבה </w:t>
      </w:r>
      <w:bookmarkStart w:id="42434" w:name="_ETM_Q79_548970"/>
      <w:bookmarkEnd w:id="42434"/>
      <w:r>
        <w:rPr>
          <w:rFonts w:hint="cs"/>
          <w:rtl/>
        </w:rPr>
        <w:t xml:space="preserve">חוקים </w:t>
      </w:r>
      <w:bookmarkStart w:id="42435" w:name="_ETM_Q79_549360"/>
      <w:bookmarkEnd w:id="42435"/>
      <w:r>
        <w:rPr>
          <w:rFonts w:hint="cs"/>
          <w:rtl/>
        </w:rPr>
        <w:t xml:space="preserve">מסביב </w:t>
      </w:r>
      <w:bookmarkStart w:id="42436" w:name="_ETM_Q79_550279"/>
      <w:bookmarkEnd w:id="42436"/>
      <w:r>
        <w:rPr>
          <w:rFonts w:hint="cs"/>
          <w:rtl/>
        </w:rPr>
        <w:t xml:space="preserve">שיגנו </w:t>
      </w:r>
      <w:bookmarkStart w:id="42437" w:name="_ETM_Q79_550970"/>
      <w:bookmarkEnd w:id="42437"/>
      <w:r>
        <w:rPr>
          <w:rFonts w:hint="cs"/>
          <w:rtl/>
        </w:rPr>
        <w:t xml:space="preserve">על </w:t>
      </w:r>
      <w:bookmarkStart w:id="42438" w:name="_ETM_Q79_551089"/>
      <w:bookmarkEnd w:id="42438"/>
      <w:r>
        <w:rPr>
          <w:rFonts w:hint="cs"/>
          <w:rtl/>
        </w:rPr>
        <w:t xml:space="preserve">האינטרס </w:t>
      </w:r>
      <w:bookmarkStart w:id="42439" w:name="_ETM_Q79_551540"/>
      <w:bookmarkEnd w:id="42439"/>
      <w:r>
        <w:rPr>
          <w:rFonts w:hint="cs"/>
          <w:rtl/>
        </w:rPr>
        <w:t xml:space="preserve">הציבורי </w:t>
      </w:r>
      <w:bookmarkStart w:id="42440" w:name="_ETM_Q79_552049"/>
      <w:bookmarkEnd w:id="42440"/>
      <w:r>
        <w:rPr>
          <w:rFonts w:hint="cs"/>
          <w:rtl/>
        </w:rPr>
        <w:t xml:space="preserve">במדינת </w:t>
      </w:r>
      <w:bookmarkStart w:id="42441" w:name="_ETM_Q79_552589"/>
      <w:bookmarkEnd w:id="42441"/>
      <w:r>
        <w:rPr>
          <w:rFonts w:hint="cs"/>
          <w:rtl/>
        </w:rPr>
        <w:t xml:space="preserve">ישראל. </w:t>
      </w:r>
      <w:bookmarkStart w:id="42442" w:name="_ETM_Q79_553640"/>
      <w:bookmarkEnd w:id="42442"/>
      <w:r>
        <w:rPr>
          <w:rFonts w:hint="cs"/>
          <w:rtl/>
        </w:rPr>
        <w:t xml:space="preserve">הוא </w:t>
      </w:r>
      <w:bookmarkStart w:id="42443" w:name="_ETM_Q79_553790"/>
      <w:bookmarkEnd w:id="42443"/>
      <w:r>
        <w:rPr>
          <w:rFonts w:hint="cs"/>
          <w:rtl/>
        </w:rPr>
        <w:t xml:space="preserve">רק </w:t>
      </w:r>
      <w:bookmarkStart w:id="42444" w:name="_ETM_Q79_553970"/>
      <w:bookmarkEnd w:id="42444"/>
      <w:r>
        <w:rPr>
          <w:rFonts w:hint="cs"/>
          <w:rtl/>
        </w:rPr>
        <w:t xml:space="preserve">שכח </w:t>
      </w:r>
      <w:bookmarkStart w:id="42445" w:name="_ETM_Q79_554260"/>
      <w:bookmarkStart w:id="42446" w:name="_ETM_Q79_554440"/>
      <w:bookmarkEnd w:id="42445"/>
      <w:bookmarkEnd w:id="42446"/>
      <w:r>
        <w:rPr>
          <w:rFonts w:hint="cs"/>
          <w:rtl/>
        </w:rPr>
        <w:t xml:space="preserve">לספר </w:t>
      </w:r>
      <w:bookmarkStart w:id="42447" w:name="_ETM_Q79_555460"/>
      <w:bookmarkEnd w:id="42447"/>
      <w:r>
        <w:rPr>
          <w:rFonts w:hint="cs"/>
          <w:rtl/>
        </w:rPr>
        <w:t xml:space="preserve">שכל </w:t>
      </w:r>
      <w:bookmarkStart w:id="42448" w:name="_ETM_Q79_556210"/>
      <w:bookmarkEnd w:id="42448"/>
      <w:r>
        <w:rPr>
          <w:rFonts w:hint="cs"/>
          <w:rtl/>
        </w:rPr>
        <w:t xml:space="preserve">חוק </w:t>
      </w:r>
      <w:bookmarkStart w:id="42449" w:name="_ETM_Q79_556630"/>
      <w:bookmarkEnd w:id="42449"/>
      <w:r>
        <w:rPr>
          <w:rFonts w:hint="cs"/>
          <w:rtl/>
        </w:rPr>
        <w:t xml:space="preserve">שעומד </w:t>
      </w:r>
      <w:bookmarkStart w:id="42450" w:name="_ETM_Q79_557170"/>
      <w:bookmarkEnd w:id="42450"/>
      <w:r>
        <w:rPr>
          <w:rFonts w:hint="cs"/>
          <w:rtl/>
        </w:rPr>
        <w:t xml:space="preserve">בדרכם, </w:t>
      </w:r>
      <w:bookmarkStart w:id="42451" w:name="_ETM_Q79_558229"/>
      <w:bookmarkEnd w:id="42451"/>
      <w:r>
        <w:rPr>
          <w:rFonts w:hint="cs"/>
          <w:rtl/>
        </w:rPr>
        <w:t xml:space="preserve">הם </w:t>
      </w:r>
      <w:bookmarkStart w:id="42452" w:name="_ETM_Q79_558500"/>
      <w:bookmarkEnd w:id="42452"/>
      <w:r>
        <w:rPr>
          <w:rFonts w:hint="cs"/>
          <w:rtl/>
        </w:rPr>
        <w:t xml:space="preserve">פשוט </w:t>
      </w:r>
      <w:bookmarkStart w:id="42453" w:name="_ETM_Q79_558830"/>
      <w:bookmarkEnd w:id="42453"/>
      <w:r>
        <w:rPr>
          <w:rFonts w:hint="cs"/>
          <w:rtl/>
        </w:rPr>
        <w:t xml:space="preserve">מבטלים </w:t>
      </w:r>
      <w:bookmarkStart w:id="42454" w:name="_ETM_Q79_559339"/>
      <w:bookmarkEnd w:id="42454"/>
      <w:r>
        <w:rPr>
          <w:rFonts w:hint="cs"/>
          <w:rtl/>
        </w:rPr>
        <w:t xml:space="preserve">אותו. </w:t>
      </w:r>
      <w:bookmarkStart w:id="42455" w:name="_ETM_Q79_560390"/>
      <w:bookmarkEnd w:id="42455"/>
      <w:r>
        <w:rPr>
          <w:rFonts w:hint="cs"/>
          <w:rtl/>
        </w:rPr>
        <w:t xml:space="preserve">ראו </w:t>
      </w:r>
      <w:bookmarkStart w:id="42456" w:name="_ETM_Q79_560839"/>
      <w:bookmarkEnd w:id="42456"/>
      <w:r>
        <w:rPr>
          <w:rFonts w:hint="cs"/>
          <w:rtl/>
        </w:rPr>
        <w:t xml:space="preserve">ערך </w:t>
      </w:r>
      <w:bookmarkStart w:id="42457" w:name="_ETM_Q79_561170"/>
      <w:bookmarkEnd w:id="42457"/>
      <w:r>
        <w:rPr>
          <w:rFonts w:hint="cs"/>
          <w:rtl/>
        </w:rPr>
        <w:t xml:space="preserve">לשכת </w:t>
      </w:r>
      <w:bookmarkStart w:id="42458" w:name="_ETM_Q79_561589"/>
      <w:bookmarkEnd w:id="42458"/>
      <w:r>
        <w:rPr>
          <w:rFonts w:hint="cs"/>
          <w:rtl/>
        </w:rPr>
        <w:t xml:space="preserve">עורכי הדין: לא </w:t>
      </w:r>
      <w:bookmarkStart w:id="42459" w:name="_ETM_Q79_562430"/>
      <w:bookmarkEnd w:id="42459"/>
      <w:r>
        <w:rPr>
          <w:rFonts w:hint="cs"/>
          <w:rtl/>
        </w:rPr>
        <w:t xml:space="preserve">מצאו </w:t>
      </w:r>
      <w:bookmarkStart w:id="42460" w:name="_ETM_Q79_562760"/>
      <w:bookmarkEnd w:id="42460"/>
      <w:r>
        <w:rPr>
          <w:rFonts w:hint="cs"/>
          <w:rtl/>
        </w:rPr>
        <w:t xml:space="preserve">חן </w:t>
      </w:r>
      <w:bookmarkStart w:id="42461" w:name="_ETM_Q79_563029"/>
      <w:bookmarkEnd w:id="42461"/>
      <w:r>
        <w:rPr>
          <w:rFonts w:hint="cs"/>
          <w:rtl/>
        </w:rPr>
        <w:t xml:space="preserve">בעיניהם </w:t>
      </w:r>
      <w:bookmarkStart w:id="42462" w:name="_ETM_Q79_563390"/>
      <w:bookmarkEnd w:id="42462"/>
      <w:r>
        <w:rPr>
          <w:rFonts w:hint="cs"/>
          <w:rtl/>
        </w:rPr>
        <w:t xml:space="preserve">תוצאות </w:t>
      </w:r>
      <w:bookmarkStart w:id="42463" w:name="_ETM_Q79_563750"/>
      <w:bookmarkEnd w:id="42463"/>
      <w:r>
        <w:rPr>
          <w:rFonts w:hint="cs"/>
          <w:rtl/>
        </w:rPr>
        <w:t xml:space="preserve">הבחירות </w:t>
      </w:r>
      <w:bookmarkStart w:id="42464" w:name="_ETM_Q79_564529"/>
      <w:bookmarkEnd w:id="42464"/>
      <w:r>
        <w:rPr>
          <w:rFonts w:hint="cs"/>
          <w:rtl/>
        </w:rPr>
        <w:t xml:space="preserve">– הינה, </w:t>
      </w:r>
      <w:bookmarkStart w:id="42465" w:name="_ETM_Q79_564799"/>
      <w:bookmarkEnd w:id="42465"/>
      <w:r>
        <w:rPr>
          <w:rFonts w:hint="cs"/>
          <w:rtl/>
        </w:rPr>
        <w:t xml:space="preserve">בואו </w:t>
      </w:r>
      <w:bookmarkStart w:id="42466" w:name="_ETM_Q79_565010"/>
      <w:bookmarkEnd w:id="42466"/>
      <w:r>
        <w:rPr>
          <w:rFonts w:hint="cs"/>
          <w:rtl/>
        </w:rPr>
        <w:t xml:space="preserve">נשנה </w:t>
      </w:r>
      <w:bookmarkStart w:id="42467" w:name="_ETM_Q79_565460"/>
      <w:bookmarkEnd w:id="42467"/>
      <w:r>
        <w:rPr>
          <w:rFonts w:hint="cs"/>
          <w:rtl/>
        </w:rPr>
        <w:t xml:space="preserve">את </w:t>
      </w:r>
      <w:bookmarkStart w:id="42468" w:name="_ETM_Q79_565580"/>
      <w:bookmarkEnd w:id="42468"/>
      <w:r>
        <w:rPr>
          <w:rFonts w:hint="cs"/>
          <w:rtl/>
        </w:rPr>
        <w:t xml:space="preserve">החוק, </w:t>
      </w:r>
      <w:bookmarkStart w:id="42469" w:name="_ETM_Q79_565909"/>
      <w:bookmarkEnd w:id="42469"/>
      <w:r>
        <w:rPr>
          <w:rFonts w:hint="cs"/>
          <w:rtl/>
        </w:rPr>
        <w:t xml:space="preserve">נבטל, </w:t>
      </w:r>
      <w:bookmarkStart w:id="42470" w:name="_ETM_Q79_566600"/>
      <w:bookmarkEnd w:id="42470"/>
      <w:r>
        <w:rPr>
          <w:rFonts w:hint="cs"/>
          <w:rtl/>
        </w:rPr>
        <w:t xml:space="preserve">נפרק </w:t>
      </w:r>
      <w:bookmarkStart w:id="42471" w:name="_ETM_Q79_567140"/>
      <w:bookmarkEnd w:id="42471"/>
      <w:r>
        <w:rPr>
          <w:rFonts w:hint="cs"/>
          <w:rtl/>
        </w:rPr>
        <w:t xml:space="preserve">את </w:t>
      </w:r>
      <w:bookmarkStart w:id="42472" w:name="_ETM_Q79_567259"/>
      <w:bookmarkEnd w:id="42472"/>
      <w:r>
        <w:rPr>
          <w:rFonts w:hint="cs"/>
          <w:rtl/>
        </w:rPr>
        <w:t xml:space="preserve">לשכת </w:t>
      </w:r>
      <w:bookmarkStart w:id="42473" w:name="_ETM_Q79_567650"/>
      <w:bookmarkEnd w:id="42473"/>
      <w:r>
        <w:rPr>
          <w:rFonts w:hint="cs"/>
          <w:rtl/>
        </w:rPr>
        <w:t xml:space="preserve">עורכי הדין; </w:t>
      </w:r>
      <w:bookmarkStart w:id="42474" w:name="_ETM_Q79_569339"/>
      <w:bookmarkEnd w:id="42474"/>
      <w:r>
        <w:rPr>
          <w:rFonts w:hint="cs"/>
          <w:rtl/>
        </w:rPr>
        <w:t xml:space="preserve">לא </w:t>
      </w:r>
      <w:bookmarkStart w:id="42475" w:name="_ETM_Q79_569610"/>
      <w:bookmarkEnd w:id="42475"/>
      <w:r>
        <w:rPr>
          <w:rFonts w:hint="cs"/>
          <w:rtl/>
        </w:rPr>
        <w:t xml:space="preserve">הספיקו </w:t>
      </w:r>
      <w:bookmarkStart w:id="42476" w:name="_ETM_Q79_570089"/>
      <w:bookmarkEnd w:id="42476"/>
      <w:r>
        <w:rPr>
          <w:rFonts w:hint="cs"/>
          <w:rtl/>
        </w:rPr>
        <w:t xml:space="preserve">לסיים </w:t>
      </w:r>
      <w:bookmarkStart w:id="42477" w:name="_ETM_Q79_570570"/>
      <w:bookmarkEnd w:id="42477"/>
      <w:r>
        <w:rPr>
          <w:rFonts w:hint="cs"/>
          <w:rtl/>
        </w:rPr>
        <w:t xml:space="preserve">את </w:t>
      </w:r>
      <w:bookmarkStart w:id="42478" w:name="_ETM_Q79_570689"/>
      <w:bookmarkEnd w:id="42478"/>
      <w:r>
        <w:rPr>
          <w:rFonts w:hint="cs"/>
          <w:rtl/>
        </w:rPr>
        <w:t xml:space="preserve">הקומבינה </w:t>
      </w:r>
      <w:bookmarkStart w:id="42479" w:name="_ETM_Q79_571290"/>
      <w:bookmarkEnd w:id="42479"/>
      <w:r>
        <w:rPr>
          <w:rFonts w:hint="cs"/>
          <w:rtl/>
        </w:rPr>
        <w:t xml:space="preserve">הפוליטית </w:t>
      </w:r>
      <w:bookmarkStart w:id="42480" w:name="_ETM_Q79_571860"/>
      <w:bookmarkEnd w:id="42480"/>
      <w:r>
        <w:rPr>
          <w:rFonts w:hint="cs"/>
          <w:rtl/>
        </w:rPr>
        <w:t xml:space="preserve">על </w:t>
      </w:r>
      <w:bookmarkStart w:id="42481" w:name="_ETM_Q79_572009"/>
      <w:bookmarkEnd w:id="42481"/>
      <w:r>
        <w:rPr>
          <w:rFonts w:hint="cs"/>
          <w:rtl/>
        </w:rPr>
        <w:t xml:space="preserve">מינוי </w:t>
      </w:r>
      <w:bookmarkStart w:id="42482" w:name="_ETM_Q79_572339"/>
      <w:bookmarkEnd w:id="42482"/>
      <w:r>
        <w:rPr>
          <w:rFonts w:hint="cs"/>
          <w:rtl/>
        </w:rPr>
        <w:t xml:space="preserve">הרבנים </w:t>
      </w:r>
      <w:bookmarkStart w:id="42483" w:name="_ETM_Q79_573089"/>
      <w:bookmarkEnd w:id="42483"/>
      <w:r>
        <w:rPr>
          <w:rFonts w:hint="cs"/>
          <w:rtl/>
        </w:rPr>
        <w:t xml:space="preserve">– בואו </w:t>
      </w:r>
      <w:bookmarkStart w:id="42484" w:name="_ETM_Q79_573479"/>
      <w:bookmarkEnd w:id="42484"/>
      <w:r>
        <w:rPr>
          <w:rFonts w:hint="cs"/>
          <w:rtl/>
        </w:rPr>
        <w:t xml:space="preserve">נדחה </w:t>
      </w:r>
      <w:bookmarkStart w:id="42485" w:name="_ETM_Q79_574619"/>
      <w:bookmarkEnd w:id="42485"/>
      <w:r>
        <w:rPr>
          <w:rFonts w:hint="cs"/>
          <w:rtl/>
        </w:rPr>
        <w:t xml:space="preserve">את </w:t>
      </w:r>
      <w:bookmarkStart w:id="42486" w:name="_ETM_Q79_574829"/>
      <w:bookmarkEnd w:id="42486"/>
      <w:r>
        <w:rPr>
          <w:rFonts w:hint="cs"/>
          <w:rtl/>
        </w:rPr>
        <w:t xml:space="preserve">הבחירות </w:t>
      </w:r>
      <w:bookmarkStart w:id="42487" w:name="_ETM_Q79_575310"/>
      <w:bookmarkEnd w:id="42487"/>
      <w:r>
        <w:rPr>
          <w:rFonts w:hint="cs"/>
          <w:rtl/>
        </w:rPr>
        <w:t>לרבנות;</w:t>
      </w:r>
      <w:bookmarkStart w:id="42488" w:name="_ETM_Q79_579000"/>
      <w:bookmarkStart w:id="42489" w:name="_ETM_Q79_578010"/>
      <w:bookmarkEnd w:id="42488"/>
      <w:bookmarkEnd w:id="42489"/>
      <w:r>
        <w:rPr>
          <w:rFonts w:hint="cs"/>
          <w:rtl/>
        </w:rPr>
        <w:t xml:space="preserve"> יריב </w:t>
      </w:r>
      <w:bookmarkStart w:id="42490" w:name="_ETM_Q79_578400"/>
      <w:bookmarkEnd w:id="42490"/>
      <w:r>
        <w:rPr>
          <w:rFonts w:hint="cs"/>
          <w:rtl/>
        </w:rPr>
        <w:t xml:space="preserve">לוין, </w:t>
      </w:r>
      <w:bookmarkStart w:id="42491" w:name="_ETM_Q79_578880"/>
      <w:bookmarkEnd w:id="42491"/>
      <w:r>
        <w:rPr>
          <w:rFonts w:hint="cs"/>
          <w:rtl/>
        </w:rPr>
        <w:t xml:space="preserve">אמרו </w:t>
      </w:r>
      <w:bookmarkStart w:id="42492" w:name="_ETM_Q79_579120"/>
      <w:bookmarkEnd w:id="42492"/>
      <w:r>
        <w:rPr>
          <w:rFonts w:hint="cs"/>
          <w:rtl/>
        </w:rPr>
        <w:t xml:space="preserve">שיעתרו </w:t>
      </w:r>
      <w:bookmarkStart w:id="42493" w:name="_ETM_Q79_579960"/>
      <w:bookmarkEnd w:id="42493"/>
      <w:r>
        <w:rPr>
          <w:rFonts w:hint="cs"/>
          <w:rtl/>
        </w:rPr>
        <w:t xml:space="preserve">נגדו </w:t>
      </w:r>
      <w:bookmarkStart w:id="42494" w:name="_ETM_Q79_581420"/>
      <w:bookmarkEnd w:id="42494"/>
      <w:r>
        <w:rPr>
          <w:rFonts w:hint="cs"/>
          <w:rtl/>
        </w:rPr>
        <w:t xml:space="preserve">בגלל </w:t>
      </w:r>
      <w:bookmarkStart w:id="42495" w:name="_ETM_Q79_581869"/>
      <w:bookmarkEnd w:id="42495"/>
      <w:r>
        <w:rPr>
          <w:rFonts w:hint="cs"/>
          <w:rtl/>
        </w:rPr>
        <w:t xml:space="preserve">שהוא </w:t>
      </w:r>
      <w:bookmarkStart w:id="42496" w:name="_ETM_Q79_582049"/>
      <w:bookmarkEnd w:id="42496"/>
      <w:r>
        <w:rPr>
          <w:rFonts w:hint="cs"/>
          <w:rtl/>
        </w:rPr>
        <w:t xml:space="preserve">לא </w:t>
      </w:r>
      <w:bookmarkStart w:id="42497" w:name="_ETM_Q79_582170"/>
      <w:bookmarkEnd w:id="42497"/>
      <w:r>
        <w:rPr>
          <w:rFonts w:hint="cs"/>
          <w:rtl/>
        </w:rPr>
        <w:t xml:space="preserve">מוכן </w:t>
      </w:r>
      <w:bookmarkStart w:id="42498" w:name="_ETM_Q79_582499"/>
      <w:bookmarkEnd w:id="42498"/>
      <w:r>
        <w:rPr>
          <w:rFonts w:hint="cs"/>
          <w:rtl/>
        </w:rPr>
        <w:t xml:space="preserve">לכנס </w:t>
      </w:r>
      <w:bookmarkStart w:id="42499" w:name="_ETM_Q79_582920"/>
      <w:bookmarkEnd w:id="42499"/>
      <w:r>
        <w:rPr>
          <w:rFonts w:hint="cs"/>
          <w:rtl/>
        </w:rPr>
        <w:t xml:space="preserve">את </w:t>
      </w:r>
      <w:bookmarkStart w:id="42500" w:name="_ETM_Q79_583069"/>
      <w:bookmarkEnd w:id="42500"/>
      <w:r>
        <w:rPr>
          <w:rFonts w:hint="cs"/>
          <w:rtl/>
        </w:rPr>
        <w:t xml:space="preserve">הוועדה, אז הינה, </w:t>
      </w:r>
      <w:bookmarkStart w:id="42501" w:name="_ETM_Q79_583759"/>
      <w:bookmarkStart w:id="42502" w:name="_ETM_Q79_584259"/>
      <w:bookmarkEnd w:id="42501"/>
      <w:bookmarkEnd w:id="42502"/>
      <w:r>
        <w:rPr>
          <w:rFonts w:hint="cs"/>
          <w:rtl/>
        </w:rPr>
        <w:t xml:space="preserve">כבר </w:t>
      </w:r>
      <w:bookmarkStart w:id="42503" w:name="_ETM_Q79_584499"/>
      <w:bookmarkEnd w:id="42503"/>
      <w:r>
        <w:rPr>
          <w:rFonts w:hint="cs"/>
          <w:rtl/>
        </w:rPr>
        <w:t xml:space="preserve">בתוך </w:t>
      </w:r>
      <w:bookmarkStart w:id="42504" w:name="_ETM_Q79_584829"/>
      <w:bookmarkEnd w:id="42504"/>
      <w:r>
        <w:rPr>
          <w:rFonts w:hint="cs"/>
          <w:rtl/>
        </w:rPr>
        <w:t xml:space="preserve">עילת </w:t>
      </w:r>
      <w:bookmarkStart w:id="42505" w:name="_ETM_Q79_585009"/>
      <w:bookmarkStart w:id="42506" w:name="_ETM_Q79_585099"/>
      <w:bookmarkEnd w:id="42505"/>
      <w:bookmarkEnd w:id="42506"/>
      <w:r>
        <w:rPr>
          <w:rFonts w:hint="cs"/>
          <w:rtl/>
        </w:rPr>
        <w:t xml:space="preserve">הסבירות </w:t>
      </w:r>
      <w:bookmarkStart w:id="42507" w:name="_ETM_Q79_585549"/>
      <w:bookmarkEnd w:id="42507"/>
      <w:r>
        <w:rPr>
          <w:rFonts w:hint="cs"/>
          <w:rtl/>
        </w:rPr>
        <w:t xml:space="preserve">הכניסו </w:t>
      </w:r>
      <w:bookmarkStart w:id="42508" w:name="_ETM_Q79_585999"/>
      <w:bookmarkEnd w:id="42508"/>
      <w:r>
        <w:rPr>
          <w:rFonts w:hint="cs"/>
          <w:rtl/>
        </w:rPr>
        <w:t xml:space="preserve">סעיף </w:t>
      </w:r>
      <w:bookmarkStart w:id="42509" w:name="_ETM_Q79_586450"/>
      <w:bookmarkEnd w:id="42509"/>
      <w:r>
        <w:rPr>
          <w:rFonts w:hint="cs"/>
          <w:rtl/>
        </w:rPr>
        <w:t xml:space="preserve">שלא </w:t>
      </w:r>
      <w:bookmarkStart w:id="42510" w:name="_ETM_Q79_586869"/>
      <w:bookmarkEnd w:id="42510"/>
      <w:r>
        <w:rPr>
          <w:rFonts w:hint="cs"/>
          <w:rtl/>
        </w:rPr>
        <w:t xml:space="preserve">יאפשר </w:t>
      </w:r>
      <w:bookmarkStart w:id="42511" w:name="_ETM_Q79_587469"/>
      <w:bookmarkEnd w:id="42511"/>
      <w:r>
        <w:rPr>
          <w:rFonts w:hint="cs"/>
          <w:rtl/>
        </w:rPr>
        <w:t xml:space="preserve">לעתור </w:t>
      </w:r>
      <w:bookmarkStart w:id="42512" w:name="_ETM_Q79_589579"/>
      <w:bookmarkEnd w:id="42512"/>
      <w:r>
        <w:rPr>
          <w:rFonts w:hint="cs"/>
          <w:rtl/>
        </w:rPr>
        <w:t xml:space="preserve">על </w:t>
      </w:r>
      <w:bookmarkStart w:id="42513" w:name="_ETM_Q79_589969"/>
      <w:bookmarkEnd w:id="42513"/>
      <w:r>
        <w:rPr>
          <w:rFonts w:hint="cs"/>
          <w:rtl/>
        </w:rPr>
        <w:t xml:space="preserve">שר </w:t>
      </w:r>
      <w:bookmarkStart w:id="42514" w:name="_ETM_Q79_590450"/>
      <w:bookmarkEnd w:id="42514"/>
      <w:r>
        <w:rPr>
          <w:rFonts w:hint="cs"/>
          <w:rtl/>
        </w:rPr>
        <w:t xml:space="preserve">שלא </w:t>
      </w:r>
      <w:bookmarkStart w:id="42515" w:name="_ETM_Q79_590839"/>
      <w:bookmarkEnd w:id="42515"/>
      <w:r>
        <w:rPr>
          <w:rFonts w:hint="cs"/>
          <w:rtl/>
        </w:rPr>
        <w:t xml:space="preserve">מקיים </w:t>
      </w:r>
      <w:bookmarkStart w:id="42516" w:name="_ETM_Q79_591350"/>
      <w:bookmarkEnd w:id="42516"/>
      <w:r>
        <w:rPr>
          <w:rFonts w:hint="cs"/>
          <w:rtl/>
        </w:rPr>
        <w:t xml:space="preserve">את </w:t>
      </w:r>
      <w:bookmarkStart w:id="42517" w:name="_ETM_Q79_591439"/>
      <w:bookmarkEnd w:id="42517"/>
      <w:r>
        <w:rPr>
          <w:rFonts w:hint="cs"/>
          <w:rtl/>
        </w:rPr>
        <w:t xml:space="preserve">סמכותו; </w:t>
      </w:r>
      <w:bookmarkStart w:id="42518" w:name="_ETM_Q79_594139"/>
      <w:bookmarkEnd w:id="42518"/>
      <w:r>
        <w:rPr>
          <w:rFonts w:hint="cs"/>
          <w:rtl/>
        </w:rPr>
        <w:t xml:space="preserve">ועדה </w:t>
      </w:r>
      <w:bookmarkStart w:id="42519" w:name="_ETM_Q79_594619"/>
      <w:bookmarkEnd w:id="42519"/>
      <w:r>
        <w:rPr>
          <w:rFonts w:hint="cs"/>
          <w:rtl/>
        </w:rPr>
        <w:t xml:space="preserve">קרואה, </w:t>
      </w:r>
      <w:bookmarkStart w:id="42520" w:name="_ETM_Q79_595880"/>
      <w:bookmarkEnd w:id="42520"/>
      <w:r>
        <w:rPr>
          <w:rFonts w:hint="cs"/>
          <w:rtl/>
        </w:rPr>
        <w:t xml:space="preserve">מי </w:t>
      </w:r>
      <w:bookmarkStart w:id="42521" w:name="_ETM_Q79_596089"/>
      <w:bookmarkEnd w:id="42521"/>
      <w:r>
        <w:rPr>
          <w:rFonts w:hint="cs"/>
          <w:rtl/>
        </w:rPr>
        <w:t xml:space="preserve">שעומד </w:t>
      </w:r>
      <w:bookmarkStart w:id="42522" w:name="_ETM_Q79_596480"/>
      <w:bookmarkEnd w:id="42522"/>
      <w:r>
        <w:rPr>
          <w:rFonts w:hint="cs"/>
          <w:rtl/>
        </w:rPr>
        <w:t xml:space="preserve">בראשה </w:t>
      </w:r>
      <w:bookmarkStart w:id="42523" w:name="_ETM_Q79_596870"/>
      <w:bookmarkEnd w:id="42523"/>
      <w:r>
        <w:rPr>
          <w:rFonts w:hint="cs"/>
          <w:rtl/>
        </w:rPr>
        <w:t xml:space="preserve">לא </w:t>
      </w:r>
      <w:bookmarkStart w:id="42524" w:name="_ETM_Q79_596990"/>
      <w:bookmarkEnd w:id="42524"/>
      <w:r>
        <w:rPr>
          <w:rFonts w:hint="cs"/>
          <w:rtl/>
        </w:rPr>
        <w:t xml:space="preserve">יכול </w:t>
      </w:r>
      <w:bookmarkStart w:id="42525" w:name="_ETM_Q79_597290"/>
      <w:bookmarkEnd w:id="42525"/>
      <w:r>
        <w:rPr>
          <w:rFonts w:hint="cs"/>
          <w:rtl/>
        </w:rPr>
        <w:t xml:space="preserve">להתמודד </w:t>
      </w:r>
      <w:bookmarkStart w:id="42526" w:name="_ETM_Q79_597770"/>
      <w:bookmarkEnd w:id="42526"/>
      <w:r>
        <w:rPr>
          <w:rFonts w:hint="cs"/>
          <w:rtl/>
        </w:rPr>
        <w:t xml:space="preserve">לראשות </w:t>
      </w:r>
      <w:bookmarkStart w:id="42527" w:name="_ETM_Q79_598250"/>
      <w:bookmarkEnd w:id="42527"/>
      <w:r>
        <w:rPr>
          <w:rFonts w:hint="cs"/>
          <w:rtl/>
        </w:rPr>
        <w:t xml:space="preserve">עיר </w:t>
      </w:r>
      <w:bookmarkStart w:id="42528" w:name="_ETM_Q79_598460"/>
      <w:bookmarkEnd w:id="42528"/>
      <w:r>
        <w:rPr>
          <w:rFonts w:hint="cs"/>
          <w:rtl/>
        </w:rPr>
        <w:t xml:space="preserve">אבל </w:t>
      </w:r>
      <w:bookmarkStart w:id="42529" w:name="_ETM_Q79_598670"/>
      <w:bookmarkEnd w:id="42529"/>
      <w:r>
        <w:rPr>
          <w:rFonts w:hint="cs"/>
          <w:rtl/>
        </w:rPr>
        <w:t xml:space="preserve">רוצים </w:t>
      </w:r>
      <w:bookmarkStart w:id="42530" w:name="_ETM_Q79_599089"/>
      <w:bookmarkEnd w:id="42530"/>
      <w:r>
        <w:rPr>
          <w:rFonts w:hint="cs"/>
          <w:rtl/>
        </w:rPr>
        <w:t xml:space="preserve">אותו </w:t>
      </w:r>
      <w:bookmarkStart w:id="42531" w:name="_ETM_Q79_599330"/>
      <w:bookmarkEnd w:id="42531"/>
      <w:r>
        <w:rPr>
          <w:rFonts w:hint="cs"/>
          <w:rtl/>
        </w:rPr>
        <w:t xml:space="preserve">עכשיו </w:t>
      </w:r>
      <w:bookmarkStart w:id="42532" w:name="_ETM_Q79_599720"/>
      <w:bookmarkEnd w:id="42532"/>
      <w:r>
        <w:rPr>
          <w:rFonts w:hint="cs"/>
          <w:rtl/>
        </w:rPr>
        <w:t xml:space="preserve">ממש </w:t>
      </w:r>
      <w:bookmarkStart w:id="42533" w:name="_ETM_Q79_600050"/>
      <w:bookmarkEnd w:id="42533"/>
      <w:r>
        <w:rPr>
          <w:rFonts w:hint="cs"/>
          <w:rtl/>
        </w:rPr>
        <w:t xml:space="preserve">בבחירות, </w:t>
      </w:r>
      <w:bookmarkStart w:id="42534" w:name="_ETM_Q79_601450"/>
      <w:bookmarkEnd w:id="42534"/>
      <w:r>
        <w:rPr>
          <w:rFonts w:hint="cs"/>
          <w:rtl/>
        </w:rPr>
        <w:t xml:space="preserve">אז </w:t>
      </w:r>
      <w:bookmarkStart w:id="42535" w:name="_ETM_Q79_601630"/>
      <w:bookmarkEnd w:id="42535"/>
      <w:r>
        <w:rPr>
          <w:rFonts w:hint="cs"/>
          <w:rtl/>
        </w:rPr>
        <w:t xml:space="preserve">יאללה, </w:t>
      </w:r>
      <w:bookmarkStart w:id="42536" w:name="_ETM_Q79_601929"/>
      <w:bookmarkEnd w:id="42536"/>
      <w:r>
        <w:rPr>
          <w:rFonts w:hint="cs"/>
          <w:rtl/>
        </w:rPr>
        <w:t xml:space="preserve">בואו </w:t>
      </w:r>
      <w:bookmarkStart w:id="42537" w:name="_ETM_Q79_602200"/>
      <w:bookmarkEnd w:id="42537"/>
      <w:r>
        <w:rPr>
          <w:rFonts w:hint="cs"/>
          <w:rtl/>
        </w:rPr>
        <w:t xml:space="preserve">נשנה </w:t>
      </w:r>
      <w:bookmarkStart w:id="42538" w:name="_ETM_Q79_602619"/>
      <w:bookmarkEnd w:id="42538"/>
      <w:r>
        <w:rPr>
          <w:rFonts w:hint="cs"/>
          <w:rtl/>
        </w:rPr>
        <w:t xml:space="preserve">את </w:t>
      </w:r>
      <w:bookmarkStart w:id="42539" w:name="_ETM_Q79_602740"/>
      <w:bookmarkEnd w:id="42539"/>
      <w:r>
        <w:rPr>
          <w:rFonts w:hint="cs"/>
          <w:rtl/>
        </w:rPr>
        <w:t xml:space="preserve">החוק </w:t>
      </w:r>
      <w:bookmarkStart w:id="42540" w:name="_ETM_Q79_603039"/>
      <w:bookmarkEnd w:id="42540"/>
      <w:r>
        <w:rPr>
          <w:rFonts w:hint="cs"/>
          <w:rtl/>
        </w:rPr>
        <w:t xml:space="preserve">כדי </w:t>
      </w:r>
      <w:bookmarkStart w:id="42541" w:name="_ETM_Q79_603249"/>
      <w:bookmarkEnd w:id="42541"/>
      <w:r>
        <w:rPr>
          <w:rFonts w:hint="cs"/>
          <w:rtl/>
        </w:rPr>
        <w:t xml:space="preserve">שגם </w:t>
      </w:r>
      <w:bookmarkStart w:id="42542" w:name="_ETM_Q79_603549"/>
      <w:bookmarkEnd w:id="42542"/>
      <w:r>
        <w:rPr>
          <w:rFonts w:hint="cs"/>
          <w:rtl/>
        </w:rPr>
        <w:t xml:space="preserve">זה </w:t>
      </w:r>
      <w:bookmarkStart w:id="42543" w:name="_ETM_Q79_603729"/>
      <w:bookmarkEnd w:id="42543"/>
      <w:r>
        <w:rPr>
          <w:rFonts w:hint="cs"/>
          <w:rtl/>
        </w:rPr>
        <w:t xml:space="preserve">יוכל </w:t>
      </w:r>
      <w:bookmarkStart w:id="42544" w:name="_ETM_Q79_604089"/>
      <w:bookmarkEnd w:id="42544"/>
      <w:r>
        <w:rPr>
          <w:rFonts w:hint="cs"/>
          <w:rtl/>
        </w:rPr>
        <w:t>לקרות.</w:t>
      </w:r>
    </w:p>
    <w:p w:rsidR="00BB59CD" w:rsidRDefault="00BB59CD" w:rsidP="00BB59CD">
      <w:pPr>
        <w:rPr>
          <w:rtl/>
        </w:rPr>
      </w:pPr>
      <w:bookmarkStart w:id="42545" w:name="_ETM_Q79_605975"/>
      <w:bookmarkStart w:id="42546" w:name="_ETM_Q79_606048"/>
      <w:bookmarkEnd w:id="42545"/>
      <w:bookmarkEnd w:id="42546"/>
    </w:p>
    <w:p w:rsidR="00BB59CD" w:rsidRDefault="00BB59CD" w:rsidP="000B58A5">
      <w:pPr>
        <w:rPr>
          <w:rtl/>
        </w:rPr>
      </w:pPr>
      <w:bookmarkStart w:id="42547" w:name="_ETM_Q79_605000"/>
      <w:bookmarkStart w:id="42548" w:name="_ETM_Q79_605329"/>
      <w:bookmarkEnd w:id="42547"/>
      <w:bookmarkEnd w:id="42548"/>
      <w:r>
        <w:rPr>
          <w:rFonts w:hint="cs"/>
          <w:rtl/>
        </w:rPr>
        <w:t xml:space="preserve">בקיצור, </w:t>
      </w:r>
      <w:bookmarkStart w:id="42549" w:name="_ETM_Q79_605640"/>
      <w:bookmarkStart w:id="42550" w:name="_ETM_Q79_605729"/>
      <w:bookmarkStart w:id="42551" w:name="_ETM_Q79_605880"/>
      <w:bookmarkEnd w:id="42549"/>
      <w:bookmarkEnd w:id="42550"/>
      <w:bookmarkEnd w:id="42551"/>
      <w:r>
        <w:rPr>
          <w:rFonts w:hint="cs"/>
          <w:rtl/>
        </w:rPr>
        <w:t xml:space="preserve">אין </w:t>
      </w:r>
      <w:bookmarkStart w:id="42552" w:name="_ETM_Q79_605970"/>
      <w:bookmarkEnd w:id="42552"/>
      <w:r>
        <w:rPr>
          <w:rFonts w:hint="cs"/>
          <w:rtl/>
        </w:rPr>
        <w:t xml:space="preserve">ערובה </w:t>
      </w:r>
      <w:bookmarkStart w:id="42553" w:name="_ETM_Q79_606300"/>
      <w:bookmarkEnd w:id="42553"/>
      <w:r>
        <w:rPr>
          <w:rFonts w:hint="cs"/>
          <w:rtl/>
        </w:rPr>
        <w:t xml:space="preserve">לכלום </w:t>
      </w:r>
      <w:bookmarkStart w:id="42554" w:name="_ETM_Q79_607140"/>
      <w:bookmarkEnd w:id="42554"/>
      <w:r>
        <w:rPr>
          <w:rFonts w:hint="cs"/>
          <w:rtl/>
        </w:rPr>
        <w:t xml:space="preserve">במדינת </w:t>
      </w:r>
      <w:bookmarkStart w:id="42555" w:name="_ETM_Q79_607770"/>
      <w:bookmarkEnd w:id="42555"/>
      <w:r>
        <w:rPr>
          <w:rFonts w:hint="cs"/>
          <w:rtl/>
        </w:rPr>
        <w:t xml:space="preserve">ישראל, </w:t>
      </w:r>
      <w:bookmarkStart w:id="42556" w:name="_ETM_Q79_608160"/>
      <w:bookmarkEnd w:id="42556"/>
      <w:r>
        <w:rPr>
          <w:rFonts w:hint="cs"/>
          <w:rtl/>
        </w:rPr>
        <w:t xml:space="preserve">ומנסים </w:t>
      </w:r>
      <w:bookmarkStart w:id="42557" w:name="_ETM_Q79_608640"/>
      <w:bookmarkStart w:id="42558" w:name="_ETM_Q79_608920"/>
      <w:bookmarkStart w:id="42559" w:name="_ETM_Q79_609400"/>
      <w:bookmarkEnd w:id="42557"/>
      <w:bookmarkEnd w:id="42558"/>
      <w:bookmarkEnd w:id="42559"/>
      <w:r>
        <w:rPr>
          <w:rFonts w:hint="cs"/>
          <w:rtl/>
        </w:rPr>
        <w:t xml:space="preserve">לספר לנו </w:t>
      </w:r>
      <w:bookmarkStart w:id="42560" w:name="_ETM_Q79_609730"/>
      <w:bookmarkEnd w:id="42560"/>
      <w:r w:rsidR="000B58A5">
        <w:rPr>
          <w:rFonts w:hint="eastAsia"/>
          <w:rtl/>
        </w:rPr>
        <w:t>–</w:t>
      </w:r>
      <w:r w:rsidR="000B58A5">
        <w:rPr>
          <w:rFonts w:hint="cs"/>
          <w:rtl/>
        </w:rPr>
        <w:t xml:space="preserve"> </w:t>
      </w:r>
      <w:r>
        <w:rPr>
          <w:rFonts w:hint="cs"/>
          <w:rtl/>
        </w:rPr>
        <w:t xml:space="preserve">איזשהו </w:t>
      </w:r>
      <w:bookmarkStart w:id="42561" w:name="_ETM_Q79_610240"/>
      <w:bookmarkEnd w:id="42561"/>
      <w:r>
        <w:rPr>
          <w:rFonts w:hint="cs"/>
          <w:rtl/>
        </w:rPr>
        <w:t xml:space="preserve">מסך </w:t>
      </w:r>
      <w:bookmarkStart w:id="42562" w:name="_ETM_Q79_610569"/>
      <w:bookmarkEnd w:id="42562"/>
      <w:r>
        <w:rPr>
          <w:rFonts w:hint="cs"/>
          <w:rtl/>
        </w:rPr>
        <w:t xml:space="preserve">עשן: </w:t>
      </w:r>
      <w:bookmarkStart w:id="42563" w:name="_ETM_Q79_611810"/>
      <w:bookmarkEnd w:id="42563"/>
      <w:r>
        <w:rPr>
          <w:rFonts w:hint="cs"/>
          <w:rtl/>
        </w:rPr>
        <w:t xml:space="preserve">אל </w:t>
      </w:r>
      <w:bookmarkStart w:id="42564" w:name="_ETM_Q79_612290"/>
      <w:bookmarkEnd w:id="42564"/>
      <w:r>
        <w:rPr>
          <w:rFonts w:hint="cs"/>
          <w:rtl/>
        </w:rPr>
        <w:t xml:space="preserve">תדאגו, </w:t>
      </w:r>
      <w:bookmarkStart w:id="42565" w:name="_ETM_Q79_610000"/>
      <w:bookmarkEnd w:id="42565"/>
      <w:r>
        <w:rPr>
          <w:rFonts w:hint="cs"/>
          <w:rtl/>
        </w:rPr>
        <w:t xml:space="preserve">זו </w:t>
      </w:r>
      <w:bookmarkStart w:id="42566" w:name="_ETM_Q79_612860"/>
      <w:bookmarkStart w:id="42567" w:name="_ETM_Q79_613220"/>
      <w:bookmarkEnd w:id="42566"/>
      <w:bookmarkEnd w:id="42567"/>
      <w:r>
        <w:rPr>
          <w:rFonts w:hint="cs"/>
          <w:rtl/>
        </w:rPr>
        <w:t xml:space="preserve">רק עילת </w:t>
      </w:r>
      <w:bookmarkStart w:id="42568" w:name="_ETM_Q79_613610"/>
      <w:bookmarkEnd w:id="42568"/>
      <w:r>
        <w:rPr>
          <w:rFonts w:hint="cs"/>
          <w:rtl/>
        </w:rPr>
        <w:t xml:space="preserve">הסבירות, זה </w:t>
      </w:r>
      <w:bookmarkStart w:id="42569" w:name="_ETM_Q79_614569"/>
      <w:bookmarkEnd w:id="42569"/>
      <w:r>
        <w:rPr>
          <w:rFonts w:hint="cs"/>
          <w:rtl/>
        </w:rPr>
        <w:t xml:space="preserve">רק </w:t>
      </w:r>
      <w:bookmarkStart w:id="42570" w:name="_ETM_Q79_615050"/>
      <w:bookmarkEnd w:id="42570"/>
      <w:r>
        <w:rPr>
          <w:rFonts w:hint="cs"/>
          <w:rtl/>
        </w:rPr>
        <w:t xml:space="preserve">בשביל </w:t>
      </w:r>
      <w:bookmarkStart w:id="42571" w:name="_ETM_Q79_615440"/>
      <w:bookmarkEnd w:id="42571"/>
      <w:r>
        <w:rPr>
          <w:rFonts w:hint="cs"/>
          <w:rtl/>
        </w:rPr>
        <w:t>הבי</w:t>
      </w:r>
      <w:bookmarkStart w:id="42572" w:name="_ETM_Q79_615980"/>
      <w:bookmarkEnd w:id="42572"/>
      <w:r>
        <w:rPr>
          <w:rFonts w:hint="cs"/>
          <w:rtl/>
        </w:rPr>
        <w:t xml:space="preserve">יס שלנו, </w:t>
      </w:r>
      <w:bookmarkStart w:id="42573" w:name="_ETM_Q79_616430"/>
      <w:bookmarkEnd w:id="42573"/>
      <w:r>
        <w:rPr>
          <w:rFonts w:hint="cs"/>
          <w:rtl/>
        </w:rPr>
        <w:t xml:space="preserve">שיראו </w:t>
      </w:r>
      <w:bookmarkStart w:id="42574" w:name="_ETM_Q79_616790"/>
      <w:bookmarkEnd w:id="42574"/>
      <w:r>
        <w:rPr>
          <w:rFonts w:hint="cs"/>
          <w:rtl/>
        </w:rPr>
        <w:t xml:space="preserve">שאנחנו </w:t>
      </w:r>
      <w:bookmarkStart w:id="42575" w:name="_ETM_Q79_617330"/>
      <w:bookmarkEnd w:id="42575"/>
      <w:r>
        <w:rPr>
          <w:rFonts w:hint="cs"/>
          <w:rtl/>
        </w:rPr>
        <w:t xml:space="preserve">מסוגלים </w:t>
      </w:r>
      <w:bookmarkStart w:id="42576" w:name="_ETM_Q79_617990"/>
      <w:bookmarkEnd w:id="42576"/>
      <w:r>
        <w:rPr>
          <w:rFonts w:hint="cs"/>
          <w:rtl/>
        </w:rPr>
        <w:t xml:space="preserve">למשול, </w:t>
      </w:r>
      <w:bookmarkStart w:id="42577" w:name="_ETM_Q79_619220"/>
      <w:bookmarkEnd w:id="42577"/>
      <w:r>
        <w:rPr>
          <w:rFonts w:hint="cs"/>
          <w:rtl/>
        </w:rPr>
        <w:t xml:space="preserve">מעין </w:t>
      </w:r>
      <w:bookmarkStart w:id="42578" w:name="_ETM_Q79_619520"/>
      <w:bookmarkEnd w:id="42578"/>
      <w:r>
        <w:rPr>
          <w:rFonts w:hint="cs"/>
          <w:rtl/>
        </w:rPr>
        <w:t xml:space="preserve">שיגעון </w:t>
      </w:r>
      <w:bookmarkStart w:id="42579" w:name="_ETM_Q79_620060"/>
      <w:bookmarkEnd w:id="42579"/>
      <w:r>
        <w:rPr>
          <w:rFonts w:hint="cs"/>
          <w:rtl/>
        </w:rPr>
        <w:t xml:space="preserve">גדלות </w:t>
      </w:r>
      <w:bookmarkStart w:id="42580" w:name="_ETM_Q79_620690"/>
      <w:bookmarkEnd w:id="42580"/>
      <w:r>
        <w:rPr>
          <w:rFonts w:hint="cs"/>
          <w:rtl/>
        </w:rPr>
        <w:t xml:space="preserve">כזה, </w:t>
      </w:r>
      <w:bookmarkStart w:id="42581" w:name="_ETM_Q79_621440"/>
      <w:bookmarkEnd w:id="42581"/>
      <w:r>
        <w:rPr>
          <w:rFonts w:hint="cs"/>
          <w:rtl/>
        </w:rPr>
        <w:t xml:space="preserve">תראו </w:t>
      </w:r>
      <w:bookmarkStart w:id="42582" w:name="_ETM_Q79_621800"/>
      <w:bookmarkEnd w:id="42582"/>
      <w:r>
        <w:rPr>
          <w:rFonts w:hint="cs"/>
          <w:rtl/>
        </w:rPr>
        <w:t xml:space="preserve">כמה </w:t>
      </w:r>
      <w:bookmarkStart w:id="42583" w:name="_ETM_Q79_622130"/>
      <w:bookmarkEnd w:id="42583"/>
      <w:r>
        <w:rPr>
          <w:rFonts w:hint="cs"/>
          <w:rtl/>
        </w:rPr>
        <w:t xml:space="preserve">אנחנו </w:t>
      </w:r>
      <w:bookmarkStart w:id="42584" w:name="_ETM_Q79_622459"/>
      <w:bookmarkEnd w:id="42584"/>
      <w:r>
        <w:rPr>
          <w:rFonts w:hint="cs"/>
          <w:rtl/>
        </w:rPr>
        <w:t xml:space="preserve">חזקים. </w:t>
      </w:r>
      <w:bookmarkStart w:id="42585" w:name="_ETM_Q79_624340"/>
      <w:bookmarkEnd w:id="42585"/>
      <w:r>
        <w:rPr>
          <w:rFonts w:hint="cs"/>
          <w:rtl/>
        </w:rPr>
        <w:t xml:space="preserve">בשביל הבייס </w:t>
      </w:r>
      <w:bookmarkStart w:id="42586" w:name="_ETM_Q79_625330"/>
      <w:bookmarkEnd w:id="42586"/>
      <w:r>
        <w:rPr>
          <w:rFonts w:hint="cs"/>
          <w:rtl/>
        </w:rPr>
        <w:t xml:space="preserve">שלהם </w:t>
      </w:r>
      <w:bookmarkStart w:id="42587" w:name="_ETM_Q79_625870"/>
      <w:bookmarkEnd w:id="42587"/>
      <w:r>
        <w:rPr>
          <w:rFonts w:hint="cs"/>
          <w:rtl/>
        </w:rPr>
        <w:t xml:space="preserve">הם </w:t>
      </w:r>
      <w:bookmarkStart w:id="42588" w:name="_ETM_Q79_625990"/>
      <w:bookmarkEnd w:id="42588"/>
      <w:r>
        <w:rPr>
          <w:rFonts w:hint="cs"/>
          <w:rtl/>
        </w:rPr>
        <w:t xml:space="preserve">מוכנים </w:t>
      </w:r>
      <w:bookmarkStart w:id="42589" w:name="_ETM_Q79_626380"/>
      <w:bookmarkEnd w:id="42589"/>
      <w:r>
        <w:rPr>
          <w:rFonts w:hint="cs"/>
          <w:rtl/>
        </w:rPr>
        <w:t xml:space="preserve">לשרוף </w:t>
      </w:r>
      <w:bookmarkStart w:id="42590" w:name="_ETM_Q79_626950"/>
      <w:bookmarkEnd w:id="42590"/>
      <w:r>
        <w:rPr>
          <w:rFonts w:hint="cs"/>
          <w:rtl/>
        </w:rPr>
        <w:t xml:space="preserve">מדינה </w:t>
      </w:r>
      <w:bookmarkStart w:id="42591" w:name="_ETM_Q79_628250"/>
      <w:bookmarkEnd w:id="42591"/>
      <w:r>
        <w:rPr>
          <w:rFonts w:hint="cs"/>
          <w:rtl/>
        </w:rPr>
        <w:t xml:space="preserve">כשהם </w:t>
      </w:r>
      <w:bookmarkStart w:id="42592" w:name="_ETM_Q79_628580"/>
      <w:bookmarkEnd w:id="42592"/>
      <w:r>
        <w:rPr>
          <w:rFonts w:hint="cs"/>
          <w:rtl/>
        </w:rPr>
        <w:t xml:space="preserve">יודעים </w:t>
      </w:r>
      <w:bookmarkStart w:id="42593" w:name="_ETM_Q79_628970"/>
      <w:bookmarkEnd w:id="42593"/>
      <w:r>
        <w:rPr>
          <w:rFonts w:hint="cs"/>
          <w:rtl/>
        </w:rPr>
        <w:t xml:space="preserve">טוב </w:t>
      </w:r>
      <w:bookmarkStart w:id="42594" w:name="_ETM_Q79_629420"/>
      <w:bookmarkEnd w:id="42594"/>
      <w:r>
        <w:rPr>
          <w:rFonts w:hint="cs"/>
          <w:rtl/>
        </w:rPr>
        <w:t xml:space="preserve">מאוד </w:t>
      </w:r>
      <w:bookmarkStart w:id="42595" w:name="_ETM_Q79_630520"/>
      <w:bookmarkEnd w:id="42595"/>
      <w:r>
        <w:rPr>
          <w:rFonts w:hint="cs"/>
          <w:rtl/>
        </w:rPr>
        <w:t xml:space="preserve">שאין </w:t>
      </w:r>
      <w:bookmarkStart w:id="42596" w:name="_ETM_Q79_630910"/>
      <w:bookmarkEnd w:id="42596"/>
      <w:r>
        <w:rPr>
          <w:rFonts w:hint="cs"/>
          <w:rtl/>
        </w:rPr>
        <w:t xml:space="preserve">שום </w:t>
      </w:r>
      <w:bookmarkStart w:id="42597" w:name="_ETM_Q79_631390"/>
      <w:bookmarkEnd w:id="42597"/>
      <w:r>
        <w:rPr>
          <w:rFonts w:hint="cs"/>
          <w:rtl/>
        </w:rPr>
        <w:t xml:space="preserve">דבר </w:t>
      </w:r>
      <w:bookmarkStart w:id="42598" w:name="_ETM_Q79_632230"/>
      <w:bookmarkEnd w:id="42598"/>
      <w:r>
        <w:rPr>
          <w:rFonts w:hint="cs"/>
          <w:rtl/>
        </w:rPr>
        <w:t xml:space="preserve">שמצדיק </w:t>
      </w:r>
      <w:bookmarkStart w:id="42599" w:name="_ETM_Q79_633930"/>
      <w:bookmarkEnd w:id="42599"/>
      <w:r>
        <w:rPr>
          <w:rFonts w:hint="cs"/>
          <w:rtl/>
        </w:rPr>
        <w:t xml:space="preserve">את </w:t>
      </w:r>
      <w:bookmarkStart w:id="42600" w:name="_ETM_Q79_634139"/>
      <w:bookmarkEnd w:id="42600"/>
      <w:r>
        <w:rPr>
          <w:rFonts w:hint="cs"/>
          <w:rtl/>
        </w:rPr>
        <w:t xml:space="preserve">הדהירה </w:t>
      </w:r>
      <w:bookmarkStart w:id="42601" w:name="_ETM_Q79_634650"/>
      <w:bookmarkEnd w:id="42601"/>
      <w:r>
        <w:rPr>
          <w:rFonts w:hint="cs"/>
          <w:rtl/>
        </w:rPr>
        <w:t xml:space="preserve">שלהם </w:t>
      </w:r>
      <w:bookmarkStart w:id="42602" w:name="_ETM_Q79_635099"/>
      <w:bookmarkEnd w:id="42602"/>
      <w:r>
        <w:rPr>
          <w:rFonts w:hint="cs"/>
          <w:rtl/>
        </w:rPr>
        <w:t xml:space="preserve">לתהום, </w:t>
      </w:r>
      <w:bookmarkStart w:id="42603" w:name="_ETM_Q79_636090"/>
      <w:bookmarkEnd w:id="42603"/>
      <w:r>
        <w:rPr>
          <w:rFonts w:hint="cs"/>
          <w:rtl/>
        </w:rPr>
        <w:t xml:space="preserve">שום </w:t>
      </w:r>
      <w:bookmarkStart w:id="42604" w:name="_ETM_Q79_636510"/>
      <w:bookmarkEnd w:id="42604"/>
      <w:r>
        <w:rPr>
          <w:rFonts w:hint="cs"/>
          <w:rtl/>
        </w:rPr>
        <w:t xml:space="preserve">דבר </w:t>
      </w:r>
      <w:bookmarkStart w:id="42605" w:name="_ETM_Q79_636900"/>
      <w:bookmarkEnd w:id="42605"/>
      <w:r>
        <w:rPr>
          <w:rFonts w:hint="cs"/>
          <w:rtl/>
        </w:rPr>
        <w:t xml:space="preserve">בעולם, </w:t>
      </w:r>
      <w:bookmarkStart w:id="42606" w:name="_ETM_Q79_637900"/>
      <w:bookmarkEnd w:id="42606"/>
      <w:r>
        <w:rPr>
          <w:rFonts w:hint="cs"/>
          <w:rtl/>
        </w:rPr>
        <w:t xml:space="preserve">בטח </w:t>
      </w:r>
      <w:bookmarkStart w:id="42607" w:name="_ETM_Q79_638380"/>
      <w:bookmarkEnd w:id="42607"/>
      <w:r>
        <w:rPr>
          <w:rFonts w:hint="cs"/>
          <w:rtl/>
        </w:rPr>
        <w:t xml:space="preserve">לא </w:t>
      </w:r>
      <w:bookmarkStart w:id="42608" w:name="_ETM_Q79_638560"/>
      <w:bookmarkEnd w:id="42608"/>
      <w:r>
        <w:rPr>
          <w:rFonts w:hint="cs"/>
          <w:rtl/>
        </w:rPr>
        <w:t xml:space="preserve">פירוק </w:t>
      </w:r>
      <w:bookmarkStart w:id="42609" w:name="_ETM_Q79_638920"/>
      <w:bookmarkEnd w:id="42609"/>
      <w:r>
        <w:rPr>
          <w:rFonts w:hint="cs"/>
          <w:rtl/>
        </w:rPr>
        <w:t xml:space="preserve">של </w:t>
      </w:r>
      <w:bookmarkStart w:id="42610" w:name="_ETM_Q79_639070"/>
      <w:bookmarkEnd w:id="42610"/>
      <w:r>
        <w:rPr>
          <w:rFonts w:hint="cs"/>
          <w:rtl/>
        </w:rPr>
        <w:t xml:space="preserve">מדינה </w:t>
      </w:r>
      <w:bookmarkStart w:id="42611" w:name="_ETM_Q79_639490"/>
      <w:bookmarkEnd w:id="42611"/>
      <w:r>
        <w:rPr>
          <w:rFonts w:hint="cs"/>
          <w:rtl/>
        </w:rPr>
        <w:t xml:space="preserve">שלמה, </w:t>
      </w:r>
      <w:bookmarkStart w:id="42612" w:name="_ETM_Q79_640440"/>
      <w:bookmarkEnd w:id="42612"/>
      <w:r>
        <w:rPr>
          <w:rFonts w:hint="cs"/>
          <w:rtl/>
        </w:rPr>
        <w:t xml:space="preserve">קרע </w:t>
      </w:r>
      <w:bookmarkStart w:id="42613" w:name="_ETM_Q79_640830"/>
      <w:bookmarkEnd w:id="42613"/>
      <w:r>
        <w:rPr>
          <w:rFonts w:hint="cs"/>
          <w:rtl/>
        </w:rPr>
        <w:t xml:space="preserve">של </w:t>
      </w:r>
      <w:bookmarkStart w:id="42614" w:name="_ETM_Q79_641070"/>
      <w:bookmarkEnd w:id="42614"/>
      <w:r>
        <w:rPr>
          <w:rFonts w:hint="cs"/>
          <w:rtl/>
        </w:rPr>
        <w:t xml:space="preserve">החברה </w:t>
      </w:r>
      <w:bookmarkStart w:id="42615" w:name="_ETM_Q79_641520"/>
      <w:bookmarkEnd w:id="42615"/>
      <w:r>
        <w:rPr>
          <w:rFonts w:hint="cs"/>
          <w:rtl/>
        </w:rPr>
        <w:t xml:space="preserve">כמו </w:t>
      </w:r>
      <w:bookmarkStart w:id="42616" w:name="_ETM_Q79_641700"/>
      <w:bookmarkEnd w:id="42616"/>
      <w:r>
        <w:rPr>
          <w:rFonts w:hint="cs"/>
          <w:rtl/>
        </w:rPr>
        <w:t xml:space="preserve">שאנחנו </w:t>
      </w:r>
      <w:bookmarkStart w:id="42617" w:name="_ETM_Q79_642180"/>
      <w:bookmarkEnd w:id="42617"/>
      <w:r>
        <w:rPr>
          <w:rFonts w:hint="cs"/>
          <w:rtl/>
        </w:rPr>
        <w:t xml:space="preserve">נמצאים </w:t>
      </w:r>
      <w:bookmarkStart w:id="42618" w:name="_ETM_Q79_642810"/>
      <w:bookmarkEnd w:id="42618"/>
      <w:r>
        <w:rPr>
          <w:rFonts w:hint="cs"/>
          <w:rtl/>
        </w:rPr>
        <w:t xml:space="preserve">בו. </w:t>
      </w:r>
      <w:bookmarkStart w:id="42619" w:name="_ETM_Q79_643390"/>
      <w:bookmarkStart w:id="42620" w:name="_ETM_Q79_646000"/>
      <w:bookmarkEnd w:id="42619"/>
      <w:bookmarkEnd w:id="42620"/>
      <w:r>
        <w:rPr>
          <w:rFonts w:hint="cs"/>
          <w:rtl/>
        </w:rPr>
        <w:t xml:space="preserve">מדברים </w:t>
      </w:r>
      <w:bookmarkStart w:id="42621" w:name="_ETM_Q79_643990"/>
      <w:bookmarkEnd w:id="42621"/>
      <w:r>
        <w:rPr>
          <w:rFonts w:hint="cs"/>
          <w:rtl/>
        </w:rPr>
        <w:t xml:space="preserve">על </w:t>
      </w:r>
      <w:bookmarkStart w:id="42622" w:name="_ETM_Q79_644110"/>
      <w:bookmarkEnd w:id="42622"/>
      <w:r>
        <w:rPr>
          <w:rFonts w:hint="cs"/>
          <w:rtl/>
        </w:rPr>
        <w:t xml:space="preserve">מלחמת </w:t>
      </w:r>
      <w:bookmarkStart w:id="42623" w:name="_ETM_Q79_644590"/>
      <w:bookmarkEnd w:id="42623"/>
      <w:r>
        <w:rPr>
          <w:rFonts w:hint="cs"/>
          <w:rtl/>
        </w:rPr>
        <w:t xml:space="preserve">אחים. </w:t>
      </w:r>
      <w:bookmarkStart w:id="42624" w:name="_ETM_Q79_644920"/>
      <w:bookmarkEnd w:id="42624"/>
      <w:r>
        <w:rPr>
          <w:rFonts w:hint="cs"/>
          <w:rtl/>
        </w:rPr>
        <w:t xml:space="preserve">חברים, </w:t>
      </w:r>
      <w:bookmarkStart w:id="42625" w:name="_ETM_Q79_645340"/>
      <w:bookmarkEnd w:id="42625"/>
      <w:r>
        <w:rPr>
          <w:rFonts w:hint="cs"/>
          <w:rtl/>
        </w:rPr>
        <w:t xml:space="preserve">אנחנו </w:t>
      </w:r>
      <w:bookmarkStart w:id="42626" w:name="_ETM_Q79_645730"/>
      <w:bookmarkEnd w:id="42626"/>
      <w:r>
        <w:rPr>
          <w:rFonts w:hint="cs"/>
          <w:rtl/>
        </w:rPr>
        <w:t xml:space="preserve">במלחמת </w:t>
      </w:r>
      <w:bookmarkStart w:id="42627" w:name="_ETM_Q79_646760"/>
      <w:bookmarkEnd w:id="42627"/>
      <w:r>
        <w:rPr>
          <w:rFonts w:hint="cs"/>
          <w:rtl/>
        </w:rPr>
        <w:t xml:space="preserve">אחים. </w:t>
      </w:r>
      <w:bookmarkStart w:id="42628" w:name="_ETM_Q79_647959"/>
      <w:bookmarkEnd w:id="42628"/>
      <w:r>
        <w:rPr>
          <w:rFonts w:hint="cs"/>
          <w:rtl/>
        </w:rPr>
        <w:t xml:space="preserve">תראו </w:t>
      </w:r>
      <w:bookmarkStart w:id="42629" w:name="_ETM_Q79_648380"/>
      <w:bookmarkEnd w:id="42629"/>
      <w:r>
        <w:rPr>
          <w:rFonts w:hint="cs"/>
          <w:rtl/>
        </w:rPr>
        <w:t xml:space="preserve">מה </w:t>
      </w:r>
      <w:bookmarkStart w:id="42630" w:name="_ETM_Q79_648500"/>
      <w:bookmarkEnd w:id="42630"/>
      <w:r>
        <w:rPr>
          <w:rFonts w:hint="cs"/>
          <w:rtl/>
        </w:rPr>
        <w:t xml:space="preserve">קורה </w:t>
      </w:r>
      <w:bookmarkStart w:id="42631" w:name="_ETM_Q79_648800"/>
      <w:bookmarkEnd w:id="42631"/>
      <w:r>
        <w:rPr>
          <w:rFonts w:hint="cs"/>
          <w:rtl/>
        </w:rPr>
        <w:t xml:space="preserve">היום, </w:t>
      </w:r>
      <w:bookmarkStart w:id="42632" w:name="_ETM_Q79_649250"/>
      <w:bookmarkEnd w:id="42632"/>
      <w:r>
        <w:rPr>
          <w:rFonts w:hint="cs"/>
          <w:rtl/>
        </w:rPr>
        <w:t xml:space="preserve">בשעות </w:t>
      </w:r>
      <w:bookmarkStart w:id="42633" w:name="_ETM_Q79_649700"/>
      <w:bookmarkEnd w:id="42633"/>
      <w:r>
        <w:rPr>
          <w:rFonts w:hint="cs"/>
          <w:rtl/>
        </w:rPr>
        <w:t xml:space="preserve">האלה, </w:t>
      </w:r>
      <w:bookmarkStart w:id="42634" w:name="_ETM_Q79_650000"/>
      <w:bookmarkEnd w:id="42634"/>
      <w:r>
        <w:rPr>
          <w:rFonts w:hint="cs"/>
          <w:rtl/>
        </w:rPr>
        <w:t>ברחובות</w:t>
      </w:r>
      <w:r w:rsidR="000B58A5">
        <w:rPr>
          <w:rFonts w:hint="cs"/>
          <w:rtl/>
        </w:rPr>
        <w:t>.</w:t>
      </w:r>
      <w:r>
        <w:rPr>
          <w:rFonts w:hint="cs"/>
          <w:rtl/>
        </w:rPr>
        <w:t xml:space="preserve"> </w:t>
      </w:r>
      <w:bookmarkStart w:id="42635" w:name="_ETM_Q79_651380"/>
      <w:bookmarkEnd w:id="42635"/>
      <w:r>
        <w:rPr>
          <w:rFonts w:hint="cs"/>
          <w:rtl/>
        </w:rPr>
        <w:t xml:space="preserve">משפחות </w:t>
      </w:r>
      <w:bookmarkStart w:id="42636" w:name="_ETM_Q79_652280"/>
      <w:bookmarkEnd w:id="42636"/>
      <w:r>
        <w:rPr>
          <w:rFonts w:hint="cs"/>
          <w:rtl/>
        </w:rPr>
        <w:t xml:space="preserve">שנקרעות, </w:t>
      </w:r>
      <w:bookmarkStart w:id="42637" w:name="_ETM_Q79_654450"/>
      <w:bookmarkEnd w:id="42637"/>
      <w:r>
        <w:rPr>
          <w:rFonts w:hint="cs"/>
          <w:rtl/>
        </w:rPr>
        <w:t xml:space="preserve">קבוצת </w:t>
      </w:r>
      <w:bookmarkStart w:id="42638" w:name="_ETM_Q79_654960"/>
      <w:bookmarkEnd w:id="42638"/>
      <w:r>
        <w:rPr>
          <w:rFonts w:hint="cs"/>
          <w:rtl/>
        </w:rPr>
        <w:t xml:space="preserve">חברים </w:t>
      </w:r>
      <w:bookmarkStart w:id="42639" w:name="_ETM_Q79_655530"/>
      <w:bookmarkEnd w:id="42639"/>
      <w:r>
        <w:rPr>
          <w:rFonts w:hint="cs"/>
          <w:rtl/>
        </w:rPr>
        <w:t xml:space="preserve">שנקרעות, </w:t>
      </w:r>
      <w:bookmarkStart w:id="42640" w:name="_ETM_Q79_657190"/>
      <w:bookmarkEnd w:id="42640"/>
      <w:r>
        <w:rPr>
          <w:rFonts w:hint="cs"/>
          <w:rtl/>
        </w:rPr>
        <w:t xml:space="preserve">שכנים </w:t>
      </w:r>
      <w:bookmarkStart w:id="42641" w:name="_ETM_Q79_657970"/>
      <w:bookmarkEnd w:id="42641"/>
      <w:r>
        <w:rPr>
          <w:rFonts w:hint="cs"/>
          <w:rtl/>
        </w:rPr>
        <w:t>ש</w:t>
      </w:r>
      <w:bookmarkStart w:id="42642" w:name="_ETM_Q79_658180"/>
      <w:bookmarkEnd w:id="42642"/>
      <w:r>
        <w:rPr>
          <w:rFonts w:hint="cs"/>
          <w:rtl/>
        </w:rPr>
        <w:t xml:space="preserve">לא </w:t>
      </w:r>
      <w:bookmarkStart w:id="42643" w:name="_ETM_Q79_658270"/>
      <w:bookmarkEnd w:id="42643"/>
      <w:r>
        <w:rPr>
          <w:rFonts w:hint="cs"/>
          <w:rtl/>
        </w:rPr>
        <w:t>מדברים</w:t>
      </w:r>
      <w:bookmarkStart w:id="42644" w:name="_ETM_Q79_658720"/>
      <w:bookmarkEnd w:id="42644"/>
      <w:r>
        <w:rPr>
          <w:rFonts w:hint="cs"/>
          <w:rtl/>
        </w:rPr>
        <w:t xml:space="preserve"> אחד </w:t>
      </w:r>
      <w:bookmarkStart w:id="42645" w:name="_ETM_Q79_658990"/>
      <w:bookmarkEnd w:id="42645"/>
      <w:r>
        <w:rPr>
          <w:rFonts w:hint="cs"/>
          <w:rtl/>
        </w:rPr>
        <w:t xml:space="preserve">עם </w:t>
      </w:r>
      <w:bookmarkStart w:id="42646" w:name="_ETM_Q79_659140"/>
      <w:bookmarkEnd w:id="42646"/>
      <w:r>
        <w:rPr>
          <w:rFonts w:hint="cs"/>
          <w:rtl/>
        </w:rPr>
        <w:t xml:space="preserve">השני, </w:t>
      </w:r>
      <w:bookmarkStart w:id="42647" w:name="_ETM_Q79_661819"/>
      <w:bookmarkEnd w:id="42647"/>
      <w:r>
        <w:rPr>
          <w:rFonts w:hint="cs"/>
          <w:rtl/>
        </w:rPr>
        <w:t xml:space="preserve">ואתם </w:t>
      </w:r>
      <w:bookmarkStart w:id="42648" w:name="_ETM_Q79_662250"/>
      <w:bookmarkStart w:id="42649" w:name="_ETM_Q79_662790"/>
      <w:bookmarkEnd w:id="42648"/>
      <w:bookmarkEnd w:id="42649"/>
      <w:r>
        <w:rPr>
          <w:rFonts w:hint="cs"/>
          <w:rtl/>
        </w:rPr>
        <w:t xml:space="preserve">רצים </w:t>
      </w:r>
      <w:bookmarkStart w:id="42650" w:name="_ETM_Q79_663330"/>
      <w:bookmarkEnd w:id="42650"/>
      <w:r>
        <w:rPr>
          <w:rFonts w:hint="cs"/>
          <w:rtl/>
        </w:rPr>
        <w:t xml:space="preserve">אחוזי </w:t>
      </w:r>
      <w:bookmarkStart w:id="42651" w:name="_ETM_Q79_663870"/>
      <w:bookmarkEnd w:id="42651"/>
      <w:r>
        <w:rPr>
          <w:rFonts w:hint="cs"/>
          <w:rtl/>
        </w:rPr>
        <w:t xml:space="preserve">דיבוק, </w:t>
      </w:r>
      <w:bookmarkStart w:id="42652" w:name="_ETM_Q79_665540"/>
      <w:bookmarkEnd w:id="42652"/>
      <w:r>
        <w:rPr>
          <w:rFonts w:hint="cs"/>
          <w:rtl/>
        </w:rPr>
        <w:t xml:space="preserve">כאילו </w:t>
      </w:r>
      <w:bookmarkStart w:id="42653" w:name="_ETM_Q79_665930"/>
      <w:bookmarkEnd w:id="42653"/>
      <w:r>
        <w:rPr>
          <w:rFonts w:hint="cs"/>
          <w:rtl/>
        </w:rPr>
        <w:t xml:space="preserve">שד </w:t>
      </w:r>
      <w:bookmarkStart w:id="42654" w:name="_ETM_Q79_666810"/>
      <w:bookmarkEnd w:id="42654"/>
      <w:r>
        <w:rPr>
          <w:rFonts w:hint="cs"/>
          <w:rtl/>
        </w:rPr>
        <w:t xml:space="preserve">נכנס </w:t>
      </w:r>
      <w:bookmarkStart w:id="42655" w:name="_ETM_Q79_667349"/>
      <w:bookmarkEnd w:id="42655"/>
      <w:r>
        <w:rPr>
          <w:rFonts w:hint="cs"/>
          <w:rtl/>
        </w:rPr>
        <w:t xml:space="preserve">בכם, </w:t>
      </w:r>
      <w:bookmarkStart w:id="42656" w:name="_ETM_Q79_668439"/>
      <w:bookmarkEnd w:id="42656"/>
      <w:r>
        <w:rPr>
          <w:rFonts w:hint="cs"/>
          <w:rtl/>
        </w:rPr>
        <w:t xml:space="preserve">לא </w:t>
      </w:r>
      <w:bookmarkStart w:id="42657" w:name="_ETM_Q79_668650"/>
      <w:bookmarkEnd w:id="42657"/>
      <w:r>
        <w:rPr>
          <w:rFonts w:hint="cs"/>
          <w:rtl/>
        </w:rPr>
        <w:t xml:space="preserve">עוצרים, </w:t>
      </w:r>
      <w:bookmarkStart w:id="42658" w:name="_ETM_Q79_669989"/>
      <w:bookmarkEnd w:id="42658"/>
      <w:r>
        <w:rPr>
          <w:rFonts w:hint="cs"/>
          <w:rtl/>
        </w:rPr>
        <w:t xml:space="preserve">פשוט </w:t>
      </w:r>
      <w:bookmarkStart w:id="42659" w:name="_ETM_Q79_670409"/>
      <w:bookmarkEnd w:id="42659"/>
      <w:r>
        <w:rPr>
          <w:rFonts w:hint="cs"/>
          <w:rtl/>
        </w:rPr>
        <w:t xml:space="preserve">לא </w:t>
      </w:r>
      <w:bookmarkStart w:id="42660" w:name="_ETM_Q79_670559"/>
      <w:bookmarkEnd w:id="42660"/>
      <w:r>
        <w:rPr>
          <w:rFonts w:hint="cs"/>
          <w:rtl/>
        </w:rPr>
        <w:t>עוצרים.</w:t>
      </w:r>
    </w:p>
    <w:p w:rsidR="00BB59CD" w:rsidRDefault="00BB59CD" w:rsidP="00BB59CD">
      <w:pPr>
        <w:rPr>
          <w:rtl/>
        </w:rPr>
      </w:pPr>
    </w:p>
    <w:p w:rsidR="00BB59CD" w:rsidRDefault="00BB59CD" w:rsidP="00DD4727">
      <w:pPr>
        <w:rPr>
          <w:rtl/>
        </w:rPr>
      </w:pPr>
      <w:bookmarkStart w:id="42661" w:name="_ETM_Q79_675000"/>
      <w:bookmarkStart w:id="42662" w:name="_ETM_Q79_676050"/>
      <w:bookmarkEnd w:id="42661"/>
      <w:bookmarkEnd w:id="42662"/>
      <w:r>
        <w:rPr>
          <w:rFonts w:hint="cs"/>
          <w:rtl/>
        </w:rPr>
        <w:t xml:space="preserve">אבל </w:t>
      </w:r>
      <w:bookmarkStart w:id="42663" w:name="_ETM_Q79_676380"/>
      <w:bookmarkEnd w:id="42663"/>
      <w:r>
        <w:rPr>
          <w:rFonts w:hint="cs"/>
          <w:rtl/>
        </w:rPr>
        <w:t xml:space="preserve">בתוך </w:t>
      </w:r>
      <w:bookmarkStart w:id="42664" w:name="_ETM_Q79_676710"/>
      <w:bookmarkEnd w:id="42664"/>
      <w:r>
        <w:rPr>
          <w:rFonts w:hint="cs"/>
          <w:rtl/>
        </w:rPr>
        <w:t xml:space="preserve">כל </w:t>
      </w:r>
      <w:bookmarkStart w:id="42665" w:name="_ETM_Q79_676950"/>
      <w:bookmarkEnd w:id="42665"/>
      <w:r>
        <w:rPr>
          <w:rFonts w:hint="cs"/>
          <w:rtl/>
        </w:rPr>
        <w:t xml:space="preserve">הדבר </w:t>
      </w:r>
      <w:bookmarkStart w:id="42666" w:name="_ETM_Q79_677340"/>
      <w:bookmarkEnd w:id="42666"/>
      <w:r>
        <w:rPr>
          <w:rFonts w:hint="cs"/>
          <w:rtl/>
        </w:rPr>
        <w:t xml:space="preserve">הזה, </w:t>
      </w:r>
      <w:bookmarkStart w:id="42667" w:name="_ETM_Q79_677580"/>
      <w:bookmarkEnd w:id="42667"/>
      <w:r>
        <w:rPr>
          <w:rFonts w:hint="cs"/>
          <w:rtl/>
        </w:rPr>
        <w:t xml:space="preserve">אני </w:t>
      </w:r>
      <w:bookmarkStart w:id="42668" w:name="_ETM_Q79_677700"/>
      <w:bookmarkEnd w:id="42668"/>
      <w:r>
        <w:rPr>
          <w:rFonts w:hint="cs"/>
          <w:rtl/>
        </w:rPr>
        <w:t xml:space="preserve">חושבת </w:t>
      </w:r>
      <w:bookmarkStart w:id="42669" w:name="_ETM_Q79_678510"/>
      <w:bookmarkEnd w:id="42669"/>
      <w:r>
        <w:rPr>
          <w:rFonts w:hint="cs"/>
          <w:rtl/>
        </w:rPr>
        <w:t xml:space="preserve">שמה </w:t>
      </w:r>
      <w:bookmarkStart w:id="42670" w:name="_ETM_Q79_678780"/>
      <w:bookmarkEnd w:id="42670"/>
      <w:r>
        <w:rPr>
          <w:rFonts w:hint="cs"/>
          <w:rtl/>
        </w:rPr>
        <w:t xml:space="preserve">שבעיקר </w:t>
      </w:r>
      <w:bookmarkStart w:id="42671" w:name="_ETM_Q79_679440"/>
      <w:bookmarkEnd w:id="42671"/>
      <w:r>
        <w:rPr>
          <w:rFonts w:hint="cs"/>
          <w:rtl/>
        </w:rPr>
        <w:t xml:space="preserve">כואב, </w:t>
      </w:r>
      <w:bookmarkStart w:id="42672" w:name="_ETM_Q79_679860"/>
      <w:bookmarkEnd w:id="42672"/>
      <w:r>
        <w:rPr>
          <w:rFonts w:hint="cs"/>
          <w:rtl/>
        </w:rPr>
        <w:t xml:space="preserve">אדוני </w:t>
      </w:r>
      <w:bookmarkStart w:id="42673" w:name="_ETM_Q79_680160"/>
      <w:bookmarkEnd w:id="42673"/>
      <w:r>
        <w:rPr>
          <w:rFonts w:hint="cs"/>
          <w:rtl/>
        </w:rPr>
        <w:t xml:space="preserve">היושב-ראש, </w:t>
      </w:r>
      <w:bookmarkStart w:id="42674" w:name="_ETM_Q79_682299"/>
      <w:bookmarkEnd w:id="42674"/>
      <w:r>
        <w:rPr>
          <w:rFonts w:hint="cs"/>
          <w:rtl/>
        </w:rPr>
        <w:t xml:space="preserve">זה </w:t>
      </w:r>
      <w:bookmarkStart w:id="42675" w:name="_ETM_Q79_682480"/>
      <w:bookmarkEnd w:id="42675"/>
      <w:r>
        <w:rPr>
          <w:rFonts w:hint="cs"/>
          <w:rtl/>
        </w:rPr>
        <w:t xml:space="preserve">הדה-לגיטימציה </w:t>
      </w:r>
      <w:bookmarkStart w:id="42676" w:name="_ETM_Q79_683439"/>
      <w:bookmarkEnd w:id="42676"/>
      <w:r>
        <w:rPr>
          <w:rFonts w:hint="cs"/>
          <w:rtl/>
        </w:rPr>
        <w:t xml:space="preserve">שעושים </w:t>
      </w:r>
      <w:bookmarkStart w:id="42677" w:name="_ETM_Q79_684370"/>
      <w:bookmarkEnd w:id="42677"/>
      <w:r>
        <w:rPr>
          <w:rFonts w:hint="cs"/>
          <w:rtl/>
        </w:rPr>
        <w:t xml:space="preserve">למפגינים. </w:t>
      </w:r>
      <w:bookmarkStart w:id="42678" w:name="_ETM_Q79_686999"/>
      <w:bookmarkEnd w:id="42678"/>
      <w:r>
        <w:rPr>
          <w:rFonts w:hint="cs"/>
          <w:rtl/>
        </w:rPr>
        <w:t xml:space="preserve">אני </w:t>
      </w:r>
      <w:bookmarkStart w:id="42679" w:name="_ETM_Q79_687209"/>
      <w:bookmarkEnd w:id="42679"/>
      <w:r>
        <w:rPr>
          <w:rFonts w:hint="cs"/>
          <w:rtl/>
        </w:rPr>
        <w:t xml:space="preserve">חייבת </w:t>
      </w:r>
      <w:bookmarkStart w:id="42680" w:name="_ETM_Q79_687569"/>
      <w:bookmarkEnd w:id="42680"/>
      <w:r>
        <w:rPr>
          <w:rFonts w:hint="cs"/>
          <w:rtl/>
        </w:rPr>
        <w:t xml:space="preserve">לומר </w:t>
      </w:r>
      <w:bookmarkStart w:id="42681" w:name="_ETM_Q79_687839"/>
      <w:bookmarkEnd w:id="42681"/>
      <w:r>
        <w:rPr>
          <w:rFonts w:hint="cs"/>
          <w:rtl/>
        </w:rPr>
        <w:t xml:space="preserve">לך, </w:t>
      </w:r>
      <w:bookmarkStart w:id="42682" w:name="_ETM_Q79_688079"/>
      <w:bookmarkEnd w:id="42682"/>
      <w:r>
        <w:rPr>
          <w:rFonts w:hint="cs"/>
          <w:rtl/>
        </w:rPr>
        <w:t xml:space="preserve">היום </w:t>
      </w:r>
      <w:bookmarkStart w:id="42683" w:name="_ETM_Q79_688319"/>
      <w:bookmarkEnd w:id="42683"/>
      <w:r>
        <w:rPr>
          <w:rFonts w:hint="cs"/>
          <w:rtl/>
        </w:rPr>
        <w:t xml:space="preserve">יצאו </w:t>
      </w:r>
      <w:bookmarkStart w:id="42684" w:name="_ETM_Q79_688620"/>
      <w:bookmarkEnd w:id="42684"/>
      <w:r>
        <w:rPr>
          <w:rFonts w:hint="cs"/>
          <w:rtl/>
        </w:rPr>
        <w:t xml:space="preserve">המפגינים </w:t>
      </w:r>
      <w:bookmarkStart w:id="42685" w:name="_ETM_Q79_689129"/>
      <w:bookmarkEnd w:id="42685"/>
      <w:r>
        <w:rPr>
          <w:rFonts w:hint="cs"/>
          <w:rtl/>
        </w:rPr>
        <w:t xml:space="preserve">שתומכים </w:t>
      </w:r>
      <w:bookmarkStart w:id="42686" w:name="_ETM_Q79_689699"/>
      <w:bookmarkEnd w:id="42686"/>
      <w:r>
        <w:rPr>
          <w:rFonts w:hint="cs"/>
          <w:rtl/>
        </w:rPr>
        <w:t xml:space="preserve">במחאה; </w:t>
      </w:r>
      <w:bookmarkStart w:id="42687" w:name="_ETM_Q79_691870"/>
      <w:bookmarkEnd w:id="42687"/>
      <w:r>
        <w:rPr>
          <w:rFonts w:hint="cs"/>
          <w:rtl/>
        </w:rPr>
        <w:t xml:space="preserve">מבינה </w:t>
      </w:r>
      <w:bookmarkStart w:id="42688" w:name="_ETM_Q79_692380"/>
      <w:bookmarkEnd w:id="42688"/>
      <w:r>
        <w:rPr>
          <w:rFonts w:hint="cs"/>
          <w:rtl/>
        </w:rPr>
        <w:t xml:space="preserve">אותם, </w:t>
      </w:r>
      <w:bookmarkStart w:id="42689" w:name="_ETM_Q79_693679"/>
      <w:bookmarkEnd w:id="42689"/>
      <w:r>
        <w:rPr>
          <w:rFonts w:hint="cs"/>
          <w:rtl/>
        </w:rPr>
        <w:t xml:space="preserve">באמת </w:t>
      </w:r>
      <w:bookmarkStart w:id="42690" w:name="_ETM_Q79_694040"/>
      <w:bookmarkEnd w:id="42690"/>
      <w:r>
        <w:rPr>
          <w:rFonts w:hint="cs"/>
          <w:rtl/>
        </w:rPr>
        <w:t xml:space="preserve">אני </w:t>
      </w:r>
      <w:bookmarkStart w:id="42691" w:name="_ETM_Q79_694219"/>
      <w:bookmarkEnd w:id="42691"/>
      <w:r>
        <w:rPr>
          <w:rFonts w:hint="cs"/>
          <w:rtl/>
        </w:rPr>
        <w:t xml:space="preserve">אומרת, </w:t>
      </w:r>
      <w:bookmarkStart w:id="42692" w:name="_ETM_Q79_694299"/>
      <w:bookmarkStart w:id="42693" w:name="_ETM_Q79_694389"/>
      <w:bookmarkStart w:id="42694" w:name="_ETM_Q79_695510"/>
      <w:bookmarkEnd w:id="42692"/>
      <w:bookmarkEnd w:id="42693"/>
      <w:bookmarkEnd w:id="42694"/>
      <w:r>
        <w:rPr>
          <w:rFonts w:hint="cs"/>
          <w:rtl/>
        </w:rPr>
        <w:t xml:space="preserve">אני </w:t>
      </w:r>
      <w:bookmarkStart w:id="42695" w:name="_ETM_Q79_695750"/>
      <w:bookmarkEnd w:id="42695"/>
      <w:r>
        <w:rPr>
          <w:rFonts w:hint="cs"/>
          <w:rtl/>
        </w:rPr>
        <w:t xml:space="preserve">יכולה </w:t>
      </w:r>
      <w:bookmarkStart w:id="42696" w:name="_ETM_Q79_696080"/>
      <w:bookmarkEnd w:id="42696"/>
      <w:r>
        <w:rPr>
          <w:rFonts w:hint="cs"/>
          <w:rtl/>
        </w:rPr>
        <w:t xml:space="preserve">להבין </w:t>
      </w:r>
      <w:bookmarkStart w:id="42697" w:name="_ETM_Q79_696440"/>
      <w:bookmarkEnd w:id="42697"/>
      <w:r>
        <w:rPr>
          <w:rFonts w:hint="cs"/>
          <w:rtl/>
        </w:rPr>
        <w:t xml:space="preserve">את </w:t>
      </w:r>
      <w:bookmarkStart w:id="42698" w:name="_ETM_Q79_696559"/>
      <w:bookmarkEnd w:id="42698"/>
      <w:r>
        <w:rPr>
          <w:rFonts w:hint="cs"/>
          <w:rtl/>
        </w:rPr>
        <w:t xml:space="preserve">האנשים </w:t>
      </w:r>
      <w:bookmarkStart w:id="42699" w:name="_ETM_Q79_697099"/>
      <w:bookmarkEnd w:id="42699"/>
      <w:r>
        <w:rPr>
          <w:rFonts w:hint="cs"/>
          <w:rtl/>
        </w:rPr>
        <w:t xml:space="preserve">האלה, </w:t>
      </w:r>
      <w:bookmarkStart w:id="42700" w:name="_ETM_Q79_697400"/>
      <w:bookmarkEnd w:id="42700"/>
      <w:r>
        <w:rPr>
          <w:rFonts w:hint="cs"/>
          <w:rtl/>
        </w:rPr>
        <w:t xml:space="preserve">שסיפרו </w:t>
      </w:r>
      <w:bookmarkStart w:id="42701" w:name="_ETM_Q79_697879"/>
      <w:bookmarkEnd w:id="42701"/>
      <w:r>
        <w:rPr>
          <w:rFonts w:hint="cs"/>
          <w:rtl/>
        </w:rPr>
        <w:t xml:space="preserve">להם </w:t>
      </w:r>
      <w:bookmarkStart w:id="42702" w:name="_ETM_Q79_698059"/>
      <w:bookmarkEnd w:id="42702"/>
      <w:r>
        <w:rPr>
          <w:rFonts w:hint="cs"/>
          <w:rtl/>
        </w:rPr>
        <w:t xml:space="preserve">במשך </w:t>
      </w:r>
      <w:bookmarkStart w:id="42703" w:name="_ETM_Q79_698480"/>
      <w:bookmarkEnd w:id="42703"/>
      <w:r>
        <w:rPr>
          <w:rFonts w:hint="cs"/>
          <w:rtl/>
        </w:rPr>
        <w:t xml:space="preserve">הרבה </w:t>
      </w:r>
      <w:bookmarkStart w:id="42704" w:name="_ETM_Q79_698750"/>
      <w:bookmarkEnd w:id="42704"/>
      <w:r>
        <w:rPr>
          <w:rFonts w:hint="cs"/>
          <w:rtl/>
        </w:rPr>
        <w:t xml:space="preserve">מאוד </w:t>
      </w:r>
      <w:bookmarkStart w:id="42705" w:name="_ETM_Q79_699050"/>
      <w:bookmarkEnd w:id="42705"/>
      <w:r>
        <w:rPr>
          <w:rFonts w:hint="cs"/>
          <w:rtl/>
        </w:rPr>
        <w:t xml:space="preserve">זמן </w:t>
      </w:r>
      <w:bookmarkStart w:id="42706" w:name="_ETM_Q79_699739"/>
      <w:bookmarkEnd w:id="42706"/>
      <w:r>
        <w:rPr>
          <w:rFonts w:hint="cs"/>
          <w:rtl/>
        </w:rPr>
        <w:t xml:space="preserve">שכל </w:t>
      </w:r>
      <w:bookmarkStart w:id="42707" w:name="_ETM_Q79_700429"/>
      <w:bookmarkEnd w:id="42707"/>
      <w:r>
        <w:rPr>
          <w:rFonts w:hint="cs"/>
          <w:rtl/>
        </w:rPr>
        <w:t xml:space="preserve">מה </w:t>
      </w:r>
      <w:bookmarkStart w:id="42708" w:name="_ETM_Q79_700610"/>
      <w:bookmarkEnd w:id="42708"/>
      <w:r>
        <w:rPr>
          <w:rFonts w:hint="cs"/>
          <w:rtl/>
        </w:rPr>
        <w:t xml:space="preserve">שנעשה </w:t>
      </w:r>
      <w:bookmarkStart w:id="42709" w:name="_ETM_Q79_701330"/>
      <w:bookmarkEnd w:id="42709"/>
      <w:r>
        <w:rPr>
          <w:rFonts w:hint="cs"/>
          <w:rtl/>
        </w:rPr>
        <w:t xml:space="preserve">כאן </w:t>
      </w:r>
      <w:bookmarkStart w:id="42710" w:name="_ETM_Q79_702120"/>
      <w:bookmarkEnd w:id="42710"/>
      <w:r>
        <w:rPr>
          <w:rFonts w:hint="cs"/>
          <w:rtl/>
        </w:rPr>
        <w:t xml:space="preserve">הוא </w:t>
      </w:r>
      <w:bookmarkStart w:id="42711" w:name="_ETM_Q79_702360"/>
      <w:bookmarkEnd w:id="42711"/>
      <w:r>
        <w:rPr>
          <w:rFonts w:hint="cs"/>
          <w:rtl/>
        </w:rPr>
        <w:t xml:space="preserve">בשבילם </w:t>
      </w:r>
      <w:bookmarkStart w:id="42712" w:name="_ETM_Q79_704800"/>
      <w:bookmarkEnd w:id="42712"/>
      <w:r>
        <w:rPr>
          <w:rFonts w:hint="cs"/>
          <w:rtl/>
        </w:rPr>
        <w:t xml:space="preserve">– הוא </w:t>
      </w:r>
      <w:bookmarkStart w:id="42713" w:name="_ETM_Q79_704890"/>
      <w:bookmarkEnd w:id="42713"/>
      <w:r>
        <w:rPr>
          <w:rFonts w:hint="cs"/>
          <w:rtl/>
        </w:rPr>
        <w:t xml:space="preserve">בשביל </w:t>
      </w:r>
      <w:bookmarkStart w:id="42714" w:name="_ETM_Q79_705250"/>
      <w:bookmarkEnd w:id="42714"/>
      <w:r>
        <w:rPr>
          <w:rFonts w:hint="cs"/>
          <w:rtl/>
        </w:rPr>
        <w:t xml:space="preserve">המזרחים, </w:t>
      </w:r>
      <w:bookmarkStart w:id="42715" w:name="_ETM_Q79_707150"/>
      <w:bookmarkEnd w:id="42715"/>
      <w:r>
        <w:rPr>
          <w:rFonts w:hint="cs"/>
          <w:rtl/>
        </w:rPr>
        <w:t xml:space="preserve">הוא </w:t>
      </w:r>
      <w:bookmarkStart w:id="42716" w:name="_ETM_Q79_707239"/>
      <w:bookmarkEnd w:id="42716"/>
      <w:r>
        <w:rPr>
          <w:rFonts w:hint="cs"/>
          <w:rtl/>
        </w:rPr>
        <w:t xml:space="preserve">בשביל </w:t>
      </w:r>
      <w:bookmarkStart w:id="42717" w:name="_ETM_Q79_707629"/>
      <w:bookmarkEnd w:id="42717"/>
      <w:r>
        <w:rPr>
          <w:rFonts w:hint="cs"/>
          <w:rtl/>
        </w:rPr>
        <w:t xml:space="preserve">הפריפריה, </w:t>
      </w:r>
      <w:bookmarkStart w:id="42718" w:name="_ETM_Q79_711040"/>
      <w:bookmarkEnd w:id="42718"/>
      <w:r>
        <w:rPr>
          <w:rFonts w:hint="cs"/>
          <w:rtl/>
        </w:rPr>
        <w:t xml:space="preserve">הוא </w:t>
      </w:r>
      <w:bookmarkStart w:id="42719" w:name="_ETM_Q79_711159"/>
      <w:bookmarkEnd w:id="42719"/>
      <w:r>
        <w:rPr>
          <w:rFonts w:hint="cs"/>
          <w:rtl/>
        </w:rPr>
        <w:t xml:space="preserve">בשביל </w:t>
      </w:r>
      <w:bookmarkStart w:id="42720" w:name="_ETM_Q79_711489"/>
      <w:bookmarkEnd w:id="42720"/>
      <w:r>
        <w:rPr>
          <w:rFonts w:hint="cs"/>
          <w:rtl/>
        </w:rPr>
        <w:t xml:space="preserve">שבית </w:t>
      </w:r>
      <w:bookmarkStart w:id="42721" w:name="_ETM_Q79_711819"/>
      <w:bookmarkEnd w:id="42721"/>
      <w:r>
        <w:rPr>
          <w:rFonts w:hint="cs"/>
          <w:rtl/>
        </w:rPr>
        <w:t xml:space="preserve">משפט </w:t>
      </w:r>
      <w:bookmarkStart w:id="42722" w:name="_ETM_Q79_712840"/>
      <w:bookmarkEnd w:id="42722"/>
      <w:r>
        <w:rPr>
          <w:rFonts w:hint="cs"/>
          <w:rtl/>
        </w:rPr>
        <w:t xml:space="preserve">יהיה </w:t>
      </w:r>
      <w:bookmarkStart w:id="42723" w:name="_ETM_Q79_713439"/>
      <w:bookmarkEnd w:id="42723"/>
      <w:r>
        <w:rPr>
          <w:rFonts w:hint="cs"/>
          <w:rtl/>
        </w:rPr>
        <w:t xml:space="preserve">מגוון. </w:t>
      </w:r>
      <w:bookmarkStart w:id="42724" w:name="_ETM_Q79_715519"/>
      <w:bookmarkEnd w:id="42724"/>
      <w:r>
        <w:rPr>
          <w:rFonts w:hint="cs"/>
          <w:rtl/>
        </w:rPr>
        <w:t xml:space="preserve">אני </w:t>
      </w:r>
      <w:bookmarkStart w:id="42725" w:name="_ETM_Q79_715849"/>
      <w:bookmarkStart w:id="42726" w:name="_ETM_Q79_715929"/>
      <w:bookmarkEnd w:id="42725"/>
      <w:bookmarkEnd w:id="42726"/>
      <w:r>
        <w:rPr>
          <w:rFonts w:hint="cs"/>
          <w:rtl/>
        </w:rPr>
        <w:t xml:space="preserve">רוצה </w:t>
      </w:r>
      <w:bookmarkStart w:id="42727" w:name="_ETM_Q79_716170"/>
      <w:bookmarkEnd w:id="42727"/>
      <w:r>
        <w:rPr>
          <w:rFonts w:hint="cs"/>
          <w:rtl/>
        </w:rPr>
        <w:t xml:space="preserve">לומר </w:t>
      </w:r>
      <w:bookmarkStart w:id="42728" w:name="_ETM_Q79_716469"/>
      <w:bookmarkEnd w:id="42728"/>
      <w:r>
        <w:rPr>
          <w:rFonts w:hint="cs"/>
          <w:rtl/>
        </w:rPr>
        <w:t xml:space="preserve">לך </w:t>
      </w:r>
      <w:bookmarkStart w:id="42729" w:name="_ETM_Q79_716790"/>
      <w:bookmarkEnd w:id="42729"/>
      <w:r>
        <w:rPr>
          <w:rFonts w:hint="cs"/>
          <w:rtl/>
        </w:rPr>
        <w:t xml:space="preserve">ולהם: </w:t>
      </w:r>
      <w:bookmarkStart w:id="42730" w:name="_ETM_Q79_719250"/>
      <w:bookmarkEnd w:id="42730"/>
      <w:r>
        <w:rPr>
          <w:rFonts w:hint="cs"/>
          <w:rtl/>
        </w:rPr>
        <w:t xml:space="preserve">אפשר </w:t>
      </w:r>
      <w:bookmarkStart w:id="42731" w:name="_ETM_Q79_719970"/>
      <w:bookmarkEnd w:id="42731"/>
      <w:r>
        <w:rPr>
          <w:rFonts w:hint="cs"/>
          <w:rtl/>
        </w:rPr>
        <w:t xml:space="preserve">שבית </w:t>
      </w:r>
      <w:bookmarkStart w:id="42732" w:name="_ETM_Q79_720480"/>
      <w:bookmarkEnd w:id="42732"/>
      <w:r>
        <w:rPr>
          <w:rFonts w:hint="cs"/>
          <w:rtl/>
        </w:rPr>
        <w:t xml:space="preserve">המשפט </w:t>
      </w:r>
      <w:bookmarkStart w:id="42733" w:name="_ETM_Q79_720930"/>
      <w:bookmarkEnd w:id="42733"/>
      <w:r>
        <w:rPr>
          <w:rFonts w:hint="cs"/>
          <w:rtl/>
        </w:rPr>
        <w:t xml:space="preserve">יהיה </w:t>
      </w:r>
      <w:bookmarkStart w:id="42734" w:name="_ETM_Q79_721080"/>
      <w:bookmarkEnd w:id="42734"/>
      <w:r>
        <w:rPr>
          <w:rFonts w:hint="cs"/>
          <w:rtl/>
        </w:rPr>
        <w:t>מגוון</w:t>
      </w:r>
      <w:r w:rsidR="00DD4727">
        <w:rPr>
          <w:rFonts w:hint="cs"/>
          <w:rtl/>
        </w:rPr>
        <w:t>,</w:t>
      </w:r>
      <w:r>
        <w:rPr>
          <w:rFonts w:hint="cs"/>
          <w:rtl/>
        </w:rPr>
        <w:t xml:space="preserve"> </w:t>
      </w:r>
      <w:bookmarkStart w:id="42735" w:name="_ETM_Q79_722090"/>
      <w:bookmarkEnd w:id="42735"/>
      <w:r>
        <w:rPr>
          <w:rFonts w:hint="cs"/>
          <w:rtl/>
        </w:rPr>
        <w:t xml:space="preserve">בית </w:t>
      </w:r>
      <w:bookmarkStart w:id="42736" w:name="_ETM_Q79_722329"/>
      <w:bookmarkEnd w:id="42736"/>
      <w:r>
        <w:rPr>
          <w:rFonts w:hint="cs"/>
          <w:rtl/>
        </w:rPr>
        <w:t xml:space="preserve">המשפט </w:t>
      </w:r>
      <w:bookmarkStart w:id="42737" w:name="_ETM_Q79_722809"/>
      <w:bookmarkEnd w:id="42737"/>
      <w:r>
        <w:rPr>
          <w:rFonts w:hint="cs"/>
          <w:rtl/>
        </w:rPr>
        <w:t xml:space="preserve">כבר </w:t>
      </w:r>
      <w:bookmarkStart w:id="42738" w:name="_ETM_Q79_723200"/>
      <w:bookmarkStart w:id="42739" w:name="_ETM_Q79_723620"/>
      <w:bookmarkEnd w:id="42738"/>
      <w:bookmarkEnd w:id="42739"/>
      <w:r>
        <w:rPr>
          <w:rFonts w:hint="cs"/>
          <w:rtl/>
        </w:rPr>
        <w:t xml:space="preserve">מגוון, </w:t>
      </w:r>
      <w:bookmarkStart w:id="42740" w:name="_ETM_Q79_725529"/>
      <w:bookmarkEnd w:id="42740"/>
      <w:r>
        <w:rPr>
          <w:rFonts w:hint="cs"/>
          <w:rtl/>
        </w:rPr>
        <w:t xml:space="preserve">צריך </w:t>
      </w:r>
      <w:bookmarkStart w:id="42741" w:name="_ETM_Q79_725949"/>
      <w:bookmarkEnd w:id="42741"/>
      <w:r>
        <w:rPr>
          <w:rFonts w:hint="cs"/>
          <w:rtl/>
        </w:rPr>
        <w:t xml:space="preserve">רק </w:t>
      </w:r>
      <w:bookmarkStart w:id="42742" w:name="_ETM_Q79_726279"/>
      <w:bookmarkEnd w:id="42742"/>
      <w:r>
        <w:rPr>
          <w:rFonts w:hint="cs"/>
          <w:rtl/>
        </w:rPr>
        <w:t xml:space="preserve">לעשות. </w:t>
      </w:r>
      <w:bookmarkStart w:id="42743" w:name="_ETM_Q79_725000"/>
      <w:bookmarkStart w:id="42744" w:name="_ETM_Q79_726000"/>
      <w:bookmarkEnd w:id="42743"/>
      <w:bookmarkEnd w:id="42744"/>
      <w:r>
        <w:rPr>
          <w:rFonts w:hint="cs"/>
          <w:rtl/>
        </w:rPr>
        <w:t>כ</w:t>
      </w:r>
      <w:bookmarkStart w:id="42745" w:name="_ETM_Q79_728540"/>
      <w:bookmarkEnd w:id="42745"/>
      <w:r>
        <w:rPr>
          <w:rFonts w:hint="cs"/>
          <w:rtl/>
        </w:rPr>
        <w:t xml:space="preserve">שגדעון </w:t>
      </w:r>
      <w:bookmarkStart w:id="42746" w:name="_ETM_Q79_729110"/>
      <w:bookmarkEnd w:id="42746"/>
      <w:r>
        <w:rPr>
          <w:rFonts w:hint="cs"/>
          <w:rtl/>
        </w:rPr>
        <w:t xml:space="preserve">סער </w:t>
      </w:r>
      <w:bookmarkStart w:id="42747" w:name="_ETM_Q79_729530"/>
      <w:bookmarkEnd w:id="42747"/>
      <w:r>
        <w:rPr>
          <w:rFonts w:hint="cs"/>
          <w:rtl/>
        </w:rPr>
        <w:t xml:space="preserve">רצה </w:t>
      </w:r>
      <w:bookmarkStart w:id="42748" w:name="_ETM_Q79_729860"/>
      <w:bookmarkEnd w:id="42748"/>
      <w:r>
        <w:rPr>
          <w:rFonts w:hint="cs"/>
          <w:rtl/>
        </w:rPr>
        <w:t xml:space="preserve">לעשות </w:t>
      </w:r>
      <w:bookmarkStart w:id="42749" w:name="_ETM_Q79_730280"/>
      <w:bookmarkEnd w:id="42749"/>
      <w:r>
        <w:rPr>
          <w:rFonts w:hint="cs"/>
          <w:rtl/>
        </w:rPr>
        <w:t xml:space="preserve">שינוי </w:t>
      </w:r>
      <w:bookmarkStart w:id="42750" w:name="_ETM_Q79_730670"/>
      <w:bookmarkEnd w:id="42750"/>
      <w:r>
        <w:rPr>
          <w:rFonts w:hint="cs"/>
          <w:rtl/>
        </w:rPr>
        <w:t xml:space="preserve">במערכת </w:t>
      </w:r>
      <w:bookmarkStart w:id="42751" w:name="_ETM_Q79_731209"/>
      <w:bookmarkEnd w:id="42751"/>
      <w:r>
        <w:rPr>
          <w:rFonts w:hint="cs"/>
          <w:rtl/>
        </w:rPr>
        <w:t xml:space="preserve">המשפט </w:t>
      </w:r>
      <w:bookmarkStart w:id="42752" w:name="_ETM_Q79_732290"/>
      <w:bookmarkEnd w:id="42752"/>
      <w:r>
        <w:rPr>
          <w:rFonts w:hint="cs"/>
          <w:rtl/>
        </w:rPr>
        <w:t xml:space="preserve">– </w:t>
      </w:r>
      <w:bookmarkStart w:id="42753" w:name="_ETM_Q79_736070"/>
      <w:bookmarkEnd w:id="42753"/>
      <w:r>
        <w:rPr>
          <w:rFonts w:hint="cs"/>
          <w:rtl/>
        </w:rPr>
        <w:t xml:space="preserve">שימוע </w:t>
      </w:r>
      <w:bookmarkStart w:id="42754" w:name="_ETM_Q79_732739"/>
      <w:bookmarkEnd w:id="42754"/>
      <w:r>
        <w:rPr>
          <w:rFonts w:hint="cs"/>
          <w:rtl/>
        </w:rPr>
        <w:t xml:space="preserve">פומבי </w:t>
      </w:r>
      <w:bookmarkStart w:id="42755" w:name="_ETM_Q79_733069"/>
      <w:bookmarkEnd w:id="42755"/>
      <w:r>
        <w:rPr>
          <w:rFonts w:hint="cs"/>
          <w:rtl/>
        </w:rPr>
        <w:t xml:space="preserve">לשופטים, </w:t>
      </w:r>
      <w:bookmarkStart w:id="42756" w:name="_ETM_Q79_734269"/>
      <w:bookmarkEnd w:id="42756"/>
      <w:r>
        <w:rPr>
          <w:rFonts w:hint="cs"/>
          <w:rtl/>
        </w:rPr>
        <w:t xml:space="preserve">כניסה </w:t>
      </w:r>
      <w:bookmarkStart w:id="42757" w:name="_ETM_Q79_734750"/>
      <w:bookmarkEnd w:id="42757"/>
      <w:r>
        <w:rPr>
          <w:rFonts w:hint="cs"/>
          <w:rtl/>
        </w:rPr>
        <w:t xml:space="preserve">של </w:t>
      </w:r>
      <w:bookmarkStart w:id="42758" w:name="_ETM_Q79_734989"/>
      <w:bookmarkEnd w:id="42758"/>
      <w:r>
        <w:rPr>
          <w:rFonts w:hint="cs"/>
          <w:rtl/>
        </w:rPr>
        <w:t>שופטים</w:t>
      </w:r>
      <w:r w:rsidR="00DD4727">
        <w:rPr>
          <w:rFonts w:hint="cs"/>
          <w:rtl/>
        </w:rPr>
        <w:t>,</w:t>
      </w:r>
      <w:r>
        <w:rPr>
          <w:rFonts w:hint="cs"/>
          <w:rtl/>
        </w:rPr>
        <w:t xml:space="preserve"> </w:t>
      </w:r>
      <w:bookmarkStart w:id="42759" w:name="_ETM_Q79_735799"/>
      <w:bookmarkEnd w:id="42759"/>
      <w:r>
        <w:rPr>
          <w:rFonts w:hint="cs"/>
          <w:rtl/>
        </w:rPr>
        <w:t xml:space="preserve">גם </w:t>
      </w:r>
      <w:bookmarkStart w:id="42760" w:name="_ETM_Q79_736280"/>
      <w:bookmarkEnd w:id="42760"/>
      <w:r>
        <w:rPr>
          <w:rFonts w:hint="cs"/>
          <w:rtl/>
        </w:rPr>
        <w:t xml:space="preserve">מזרחים, </w:t>
      </w:r>
      <w:bookmarkStart w:id="42761" w:name="_ETM_Q79_737510"/>
      <w:bookmarkEnd w:id="42761"/>
      <w:r>
        <w:rPr>
          <w:rFonts w:hint="cs"/>
          <w:rtl/>
        </w:rPr>
        <w:t xml:space="preserve">גם </w:t>
      </w:r>
      <w:bookmarkStart w:id="42762" w:name="_ETM_Q79_738020"/>
      <w:bookmarkEnd w:id="42762"/>
      <w:r>
        <w:rPr>
          <w:rFonts w:hint="cs"/>
          <w:rtl/>
        </w:rPr>
        <w:t xml:space="preserve">נשים, </w:t>
      </w:r>
      <w:bookmarkStart w:id="42763" w:name="_ETM_Q79_738919"/>
      <w:bookmarkEnd w:id="42763"/>
      <w:r>
        <w:rPr>
          <w:rFonts w:hint="cs"/>
          <w:rtl/>
        </w:rPr>
        <w:t xml:space="preserve">שופטים </w:t>
      </w:r>
      <w:bookmarkStart w:id="42764" w:name="_ETM_Q79_739520"/>
      <w:bookmarkEnd w:id="42764"/>
      <w:r>
        <w:rPr>
          <w:rFonts w:hint="cs"/>
          <w:rtl/>
        </w:rPr>
        <w:t xml:space="preserve">שמרנים </w:t>
      </w:r>
      <w:bookmarkStart w:id="42765" w:name="_ETM_Q79_740719"/>
      <w:bookmarkEnd w:id="42765"/>
      <w:r>
        <w:rPr>
          <w:rFonts w:hint="cs"/>
          <w:rtl/>
        </w:rPr>
        <w:t xml:space="preserve">– הוא </w:t>
      </w:r>
      <w:bookmarkStart w:id="42766" w:name="_ETM_Q79_740839"/>
      <w:bookmarkEnd w:id="42766"/>
      <w:r>
        <w:rPr>
          <w:rFonts w:hint="cs"/>
          <w:rtl/>
        </w:rPr>
        <w:t xml:space="preserve">פשוט </w:t>
      </w:r>
      <w:bookmarkStart w:id="42767" w:name="_ETM_Q79_741229"/>
      <w:bookmarkEnd w:id="42767"/>
      <w:r>
        <w:rPr>
          <w:rFonts w:hint="cs"/>
          <w:rtl/>
        </w:rPr>
        <w:t xml:space="preserve">עשה. </w:t>
      </w:r>
      <w:bookmarkStart w:id="42768" w:name="_ETM_Q79_742339"/>
      <w:bookmarkEnd w:id="42768"/>
      <w:r>
        <w:rPr>
          <w:rFonts w:hint="cs"/>
          <w:rtl/>
        </w:rPr>
        <w:t xml:space="preserve">הוא </w:t>
      </w:r>
      <w:bookmarkStart w:id="42769" w:name="_ETM_Q79_742490"/>
      <w:bookmarkEnd w:id="42769"/>
      <w:r>
        <w:rPr>
          <w:rFonts w:hint="cs"/>
          <w:rtl/>
        </w:rPr>
        <w:t xml:space="preserve">לא </w:t>
      </w:r>
      <w:bookmarkStart w:id="42770" w:name="_ETM_Q79_742639"/>
      <w:bookmarkEnd w:id="42770"/>
      <w:r>
        <w:rPr>
          <w:rFonts w:hint="cs"/>
          <w:rtl/>
        </w:rPr>
        <w:t xml:space="preserve">שרף </w:t>
      </w:r>
      <w:bookmarkStart w:id="42771" w:name="_ETM_Q79_743089"/>
      <w:bookmarkEnd w:id="42771"/>
      <w:r>
        <w:rPr>
          <w:rFonts w:hint="cs"/>
          <w:rtl/>
        </w:rPr>
        <w:t xml:space="preserve">את </w:t>
      </w:r>
      <w:bookmarkStart w:id="42772" w:name="_ETM_Q79_743150"/>
      <w:bookmarkEnd w:id="42772"/>
      <w:r>
        <w:rPr>
          <w:rFonts w:hint="cs"/>
          <w:rtl/>
        </w:rPr>
        <w:t xml:space="preserve">המדינה, </w:t>
      </w:r>
      <w:bookmarkStart w:id="42773" w:name="_ETM_Q79_744429"/>
      <w:bookmarkEnd w:id="42773"/>
      <w:r>
        <w:rPr>
          <w:rFonts w:hint="cs"/>
          <w:rtl/>
        </w:rPr>
        <w:t xml:space="preserve">הוא </w:t>
      </w:r>
      <w:bookmarkStart w:id="42774" w:name="_ETM_Q79_744610"/>
      <w:bookmarkEnd w:id="42774"/>
      <w:r>
        <w:rPr>
          <w:rFonts w:hint="cs"/>
          <w:rtl/>
        </w:rPr>
        <w:t xml:space="preserve">לא </w:t>
      </w:r>
      <w:bookmarkStart w:id="42775" w:name="_ETM_Q79_744759"/>
      <w:bookmarkEnd w:id="42775"/>
      <w:r>
        <w:rPr>
          <w:rFonts w:hint="cs"/>
          <w:rtl/>
        </w:rPr>
        <w:t xml:space="preserve">הפך </w:t>
      </w:r>
      <w:bookmarkStart w:id="42776" w:name="_ETM_Q79_745240"/>
      <w:bookmarkEnd w:id="42776"/>
      <w:r>
        <w:rPr>
          <w:rFonts w:hint="cs"/>
          <w:rtl/>
        </w:rPr>
        <w:t xml:space="preserve">אותה. </w:t>
      </w:r>
      <w:bookmarkStart w:id="42777" w:name="_ETM_Q79_746199"/>
      <w:bookmarkEnd w:id="42777"/>
      <w:r>
        <w:rPr>
          <w:rFonts w:hint="cs"/>
          <w:rtl/>
        </w:rPr>
        <w:t xml:space="preserve">הוא </w:t>
      </w:r>
      <w:bookmarkStart w:id="42778" w:name="_ETM_Q79_746349"/>
      <w:bookmarkEnd w:id="42778"/>
      <w:r>
        <w:rPr>
          <w:rFonts w:hint="cs"/>
          <w:rtl/>
        </w:rPr>
        <w:t xml:space="preserve">פשוט </w:t>
      </w:r>
      <w:bookmarkStart w:id="42779" w:name="_ETM_Q79_747200"/>
      <w:bookmarkEnd w:id="42779"/>
      <w:r>
        <w:rPr>
          <w:rFonts w:hint="cs"/>
          <w:rtl/>
        </w:rPr>
        <w:t xml:space="preserve">עשה. </w:t>
      </w:r>
      <w:bookmarkStart w:id="42780" w:name="_ETM_Q79_748350"/>
      <w:bookmarkEnd w:id="42780"/>
      <w:r>
        <w:rPr>
          <w:rFonts w:hint="cs"/>
          <w:rtl/>
        </w:rPr>
        <w:t xml:space="preserve">אותו </w:t>
      </w:r>
      <w:bookmarkStart w:id="42781" w:name="_ETM_Q79_748740"/>
      <w:bookmarkEnd w:id="42781"/>
      <w:r>
        <w:rPr>
          <w:rFonts w:hint="cs"/>
          <w:rtl/>
        </w:rPr>
        <w:t xml:space="preserve">דבר </w:t>
      </w:r>
      <w:bookmarkStart w:id="42782" w:name="_ETM_Q79_749040"/>
      <w:bookmarkEnd w:id="42782"/>
      <w:r>
        <w:rPr>
          <w:rFonts w:hint="cs"/>
          <w:rtl/>
        </w:rPr>
        <w:t xml:space="preserve">גם </w:t>
      </w:r>
      <w:bookmarkStart w:id="42783" w:name="_ETM_Q79_749280"/>
      <w:bookmarkEnd w:id="42783"/>
      <w:r>
        <w:rPr>
          <w:rFonts w:hint="cs"/>
          <w:rtl/>
        </w:rPr>
        <w:t xml:space="preserve">אילת </w:t>
      </w:r>
      <w:bookmarkStart w:id="42784" w:name="_ETM_Q79_749610"/>
      <w:bookmarkEnd w:id="42784"/>
      <w:r>
        <w:rPr>
          <w:rFonts w:hint="cs"/>
          <w:rtl/>
        </w:rPr>
        <w:t xml:space="preserve">שקד. הרי </w:t>
      </w:r>
      <w:bookmarkStart w:id="42785" w:name="_ETM_Q79_750690"/>
      <w:bookmarkStart w:id="42786" w:name="_ETM_Q79_750960"/>
      <w:bookmarkStart w:id="42787" w:name="_ETM_Q79_751290"/>
      <w:bookmarkStart w:id="42788" w:name="_ETM_Q79_751770"/>
      <w:bookmarkEnd w:id="42785"/>
      <w:bookmarkEnd w:id="42786"/>
      <w:bookmarkEnd w:id="42787"/>
      <w:bookmarkEnd w:id="42788"/>
      <w:r>
        <w:rPr>
          <w:rFonts w:hint="cs"/>
          <w:rtl/>
        </w:rPr>
        <w:t xml:space="preserve">אילת שקד </w:t>
      </w:r>
      <w:bookmarkStart w:id="42789" w:name="_ETM_Q79_751920"/>
      <w:bookmarkEnd w:id="42789"/>
      <w:r>
        <w:rPr>
          <w:rFonts w:hint="cs"/>
          <w:rtl/>
        </w:rPr>
        <w:t xml:space="preserve">– זה היה </w:t>
      </w:r>
      <w:bookmarkStart w:id="42790" w:name="_ETM_Q79_752250"/>
      <w:bookmarkEnd w:id="42790"/>
      <w:r>
        <w:rPr>
          <w:rFonts w:hint="cs"/>
          <w:rtl/>
        </w:rPr>
        <w:t xml:space="preserve">קמפיין </w:t>
      </w:r>
      <w:bookmarkStart w:id="42791" w:name="_ETM_Q79_752790"/>
      <w:bookmarkEnd w:id="42791"/>
      <w:r>
        <w:rPr>
          <w:rFonts w:hint="cs"/>
          <w:rtl/>
        </w:rPr>
        <w:t>שלהם</w:t>
      </w:r>
      <w:r w:rsidR="00DD4727">
        <w:rPr>
          <w:rFonts w:hint="cs"/>
          <w:rtl/>
        </w:rPr>
        <w:t>,</w:t>
      </w:r>
      <w:r>
        <w:rPr>
          <w:rFonts w:hint="cs"/>
          <w:rtl/>
        </w:rPr>
        <w:t xml:space="preserve"> </w:t>
      </w:r>
      <w:bookmarkStart w:id="42792" w:name="_ETM_Q79_753929"/>
      <w:bookmarkEnd w:id="42792"/>
      <w:r>
        <w:rPr>
          <w:rFonts w:hint="cs"/>
          <w:rtl/>
        </w:rPr>
        <w:t xml:space="preserve">שופטים </w:t>
      </w:r>
      <w:bookmarkStart w:id="42793" w:name="_ETM_Q79_754530"/>
      <w:bookmarkEnd w:id="42793"/>
      <w:r>
        <w:rPr>
          <w:rFonts w:hint="cs"/>
          <w:rtl/>
        </w:rPr>
        <w:t xml:space="preserve">שמרנים. </w:t>
      </w:r>
      <w:bookmarkStart w:id="42794" w:name="_ETM_Q79_755100"/>
      <w:bookmarkStart w:id="42795" w:name="_ETM_Q79_754000"/>
      <w:bookmarkStart w:id="42796" w:name="_ETM_Q79_755000"/>
      <w:bookmarkEnd w:id="42794"/>
      <w:bookmarkEnd w:id="42795"/>
      <w:bookmarkEnd w:id="42796"/>
      <w:r>
        <w:rPr>
          <w:rFonts w:hint="cs"/>
          <w:rtl/>
        </w:rPr>
        <w:t xml:space="preserve">למרות </w:t>
      </w:r>
      <w:bookmarkStart w:id="42797" w:name="_ETM_Q79_755340"/>
      <w:bookmarkEnd w:id="42797"/>
      <w:r>
        <w:rPr>
          <w:rFonts w:hint="cs"/>
          <w:rtl/>
        </w:rPr>
        <w:t xml:space="preserve">שאני </w:t>
      </w:r>
      <w:bookmarkStart w:id="42798" w:name="_ETM_Q79_755550"/>
      <w:bookmarkEnd w:id="42798"/>
      <w:r>
        <w:rPr>
          <w:rFonts w:hint="cs"/>
          <w:rtl/>
        </w:rPr>
        <w:t xml:space="preserve">מוכרחה </w:t>
      </w:r>
      <w:bookmarkStart w:id="42799" w:name="_ETM_Q79_755880"/>
      <w:bookmarkEnd w:id="42799"/>
      <w:r>
        <w:rPr>
          <w:rFonts w:hint="cs"/>
          <w:rtl/>
        </w:rPr>
        <w:t xml:space="preserve">להגיד </w:t>
      </w:r>
      <w:bookmarkStart w:id="42800" w:name="_ETM_Q79_756150"/>
      <w:bookmarkEnd w:id="42800"/>
      <w:r>
        <w:rPr>
          <w:rFonts w:hint="cs"/>
          <w:rtl/>
        </w:rPr>
        <w:t xml:space="preserve">לכם, </w:t>
      </w:r>
      <w:bookmarkStart w:id="42801" w:name="_ETM_Q79_756420"/>
      <w:bookmarkEnd w:id="42801"/>
      <w:r>
        <w:rPr>
          <w:rFonts w:hint="cs"/>
          <w:rtl/>
        </w:rPr>
        <w:t xml:space="preserve">אני </w:t>
      </w:r>
      <w:bookmarkStart w:id="42802" w:name="_ETM_Q79_756600"/>
      <w:bookmarkEnd w:id="42802"/>
      <w:r>
        <w:rPr>
          <w:rFonts w:hint="cs"/>
          <w:rtl/>
        </w:rPr>
        <w:t xml:space="preserve">לא </w:t>
      </w:r>
      <w:bookmarkStart w:id="42803" w:name="_ETM_Q79_756720"/>
      <w:bookmarkEnd w:id="42803"/>
      <w:r>
        <w:rPr>
          <w:rFonts w:hint="cs"/>
          <w:rtl/>
        </w:rPr>
        <w:t xml:space="preserve">עד </w:t>
      </w:r>
      <w:bookmarkStart w:id="42804" w:name="_ETM_Q79_756840"/>
      <w:bookmarkEnd w:id="42804"/>
      <w:r>
        <w:rPr>
          <w:rFonts w:hint="cs"/>
          <w:rtl/>
        </w:rPr>
        <w:t xml:space="preserve">הסוף </w:t>
      </w:r>
      <w:bookmarkStart w:id="42805" w:name="_ETM_Q79_757080"/>
      <w:bookmarkEnd w:id="42805"/>
      <w:r>
        <w:rPr>
          <w:rFonts w:hint="cs"/>
          <w:rtl/>
        </w:rPr>
        <w:t xml:space="preserve">מבינה </w:t>
      </w:r>
      <w:bookmarkStart w:id="42806" w:name="_ETM_Q79_757530"/>
      <w:bookmarkEnd w:id="42806"/>
      <w:r>
        <w:rPr>
          <w:rFonts w:hint="cs"/>
          <w:rtl/>
        </w:rPr>
        <w:t xml:space="preserve">את </w:t>
      </w:r>
      <w:bookmarkStart w:id="42807" w:name="_ETM_Q79_757620"/>
      <w:bookmarkEnd w:id="42807"/>
      <w:r>
        <w:rPr>
          <w:rFonts w:hint="cs"/>
          <w:rtl/>
        </w:rPr>
        <w:t xml:space="preserve">כל </w:t>
      </w:r>
      <w:bookmarkStart w:id="42808" w:name="_ETM_Q79_757830"/>
      <w:bookmarkEnd w:id="42808"/>
      <w:r>
        <w:rPr>
          <w:rFonts w:hint="cs"/>
          <w:rtl/>
        </w:rPr>
        <w:t xml:space="preserve">ההגדרות </w:t>
      </w:r>
      <w:bookmarkStart w:id="42809" w:name="_ETM_Q79_758370"/>
      <w:bookmarkEnd w:id="42809"/>
      <w:r>
        <w:rPr>
          <w:rFonts w:hint="cs"/>
          <w:rtl/>
        </w:rPr>
        <w:t xml:space="preserve">האלה </w:t>
      </w:r>
      <w:bookmarkStart w:id="42810" w:name="_ETM_Q79_758640"/>
      <w:bookmarkEnd w:id="42810"/>
      <w:r>
        <w:rPr>
          <w:rFonts w:hint="cs"/>
          <w:rtl/>
        </w:rPr>
        <w:t xml:space="preserve">של </w:t>
      </w:r>
      <w:bookmarkStart w:id="42811" w:name="_ETM_Q79_758790"/>
      <w:bookmarkEnd w:id="42811"/>
      <w:r>
        <w:rPr>
          <w:rFonts w:hint="cs"/>
          <w:rtl/>
        </w:rPr>
        <w:t xml:space="preserve">שופטים </w:t>
      </w:r>
      <w:bookmarkStart w:id="42812" w:name="_ETM_Q79_759179"/>
      <w:bookmarkEnd w:id="42812"/>
      <w:r>
        <w:rPr>
          <w:rFonts w:hint="cs"/>
          <w:rtl/>
        </w:rPr>
        <w:t xml:space="preserve">שמרנים. </w:t>
      </w:r>
      <w:bookmarkStart w:id="42813" w:name="_ETM_Q79_759690"/>
      <w:bookmarkEnd w:id="42813"/>
      <w:r>
        <w:rPr>
          <w:rFonts w:hint="cs"/>
          <w:rtl/>
        </w:rPr>
        <w:t xml:space="preserve">אני </w:t>
      </w:r>
      <w:bookmarkStart w:id="42814" w:name="_ETM_Q79_759809"/>
      <w:bookmarkEnd w:id="42814"/>
      <w:r>
        <w:rPr>
          <w:rFonts w:hint="cs"/>
          <w:rtl/>
        </w:rPr>
        <w:t xml:space="preserve">לא </w:t>
      </w:r>
      <w:bookmarkStart w:id="42815" w:name="_ETM_Q79_759900"/>
      <w:bookmarkEnd w:id="42815"/>
      <w:r>
        <w:rPr>
          <w:rFonts w:hint="cs"/>
          <w:rtl/>
        </w:rPr>
        <w:t xml:space="preserve">זוכרת </w:t>
      </w:r>
      <w:bookmarkStart w:id="42816" w:name="_ETM_Q79_760230"/>
      <w:bookmarkEnd w:id="42816"/>
      <w:r>
        <w:rPr>
          <w:rFonts w:hint="cs"/>
          <w:rtl/>
        </w:rPr>
        <w:t xml:space="preserve">שכשבא </w:t>
      </w:r>
      <w:bookmarkStart w:id="42817" w:name="_ETM_Q79_760679"/>
      <w:bookmarkEnd w:id="42817"/>
      <w:r>
        <w:rPr>
          <w:rFonts w:hint="cs"/>
          <w:rtl/>
        </w:rPr>
        <w:t xml:space="preserve">לטפל </w:t>
      </w:r>
      <w:bookmarkStart w:id="42818" w:name="_ETM_Q79_761040"/>
      <w:bookmarkEnd w:id="42818"/>
      <w:r>
        <w:rPr>
          <w:rFonts w:hint="cs"/>
          <w:rtl/>
        </w:rPr>
        <w:t xml:space="preserve">בנו </w:t>
      </w:r>
      <w:bookmarkStart w:id="42819" w:name="_ETM_Q79_761280"/>
      <w:bookmarkEnd w:id="42819"/>
      <w:r>
        <w:rPr>
          <w:rFonts w:hint="cs"/>
          <w:rtl/>
        </w:rPr>
        <w:t xml:space="preserve">רופא, </w:t>
      </w:r>
      <w:bookmarkStart w:id="42820" w:name="_ETM_Q79_762100"/>
      <w:bookmarkEnd w:id="42820"/>
      <w:r>
        <w:rPr>
          <w:rFonts w:hint="cs"/>
          <w:rtl/>
        </w:rPr>
        <w:t xml:space="preserve">אנחנו </w:t>
      </w:r>
      <w:bookmarkStart w:id="42821" w:name="_ETM_Q79_762550"/>
      <w:bookmarkEnd w:id="42821"/>
      <w:r>
        <w:rPr>
          <w:rFonts w:hint="cs"/>
          <w:rtl/>
        </w:rPr>
        <w:t xml:space="preserve">שואלים </w:t>
      </w:r>
      <w:bookmarkStart w:id="42822" w:name="_ETM_Q79_763000"/>
      <w:bookmarkEnd w:id="42822"/>
      <w:r>
        <w:rPr>
          <w:rFonts w:hint="cs"/>
          <w:rtl/>
        </w:rPr>
        <w:t xml:space="preserve">אותו </w:t>
      </w:r>
      <w:bookmarkStart w:id="42823" w:name="_ETM_Q79_763360"/>
      <w:bookmarkEnd w:id="42823"/>
      <w:r>
        <w:rPr>
          <w:rFonts w:hint="cs"/>
          <w:rtl/>
        </w:rPr>
        <w:t xml:space="preserve">אם </w:t>
      </w:r>
      <w:bookmarkStart w:id="42824" w:name="_ETM_Q79_763479"/>
      <w:bookmarkEnd w:id="42824"/>
      <w:r>
        <w:rPr>
          <w:rFonts w:hint="cs"/>
          <w:rtl/>
        </w:rPr>
        <w:t xml:space="preserve">הוא </w:t>
      </w:r>
      <w:bookmarkStart w:id="42825" w:name="_ETM_Q79_763540"/>
      <w:bookmarkEnd w:id="42825"/>
      <w:r>
        <w:rPr>
          <w:rFonts w:hint="cs"/>
          <w:rtl/>
        </w:rPr>
        <w:t xml:space="preserve">שמרן </w:t>
      </w:r>
      <w:bookmarkStart w:id="42826" w:name="_ETM_Q79_764259"/>
      <w:bookmarkEnd w:id="42826"/>
      <w:r>
        <w:rPr>
          <w:rFonts w:hint="cs"/>
          <w:rtl/>
        </w:rPr>
        <w:t xml:space="preserve">או </w:t>
      </w:r>
      <w:bookmarkStart w:id="42827" w:name="_ETM_Q79_764440"/>
      <w:bookmarkEnd w:id="42827"/>
      <w:r>
        <w:rPr>
          <w:rFonts w:hint="cs"/>
          <w:rtl/>
        </w:rPr>
        <w:t xml:space="preserve">ליברל, </w:t>
      </w:r>
      <w:bookmarkStart w:id="42828" w:name="_ETM_Q79_765160"/>
      <w:bookmarkStart w:id="42829" w:name="_ETM_Q79_765699"/>
      <w:bookmarkStart w:id="42830" w:name="_ETM_Q79_765880"/>
      <w:bookmarkEnd w:id="42828"/>
      <w:bookmarkEnd w:id="42829"/>
      <w:bookmarkEnd w:id="42830"/>
      <w:r>
        <w:rPr>
          <w:rFonts w:hint="cs"/>
          <w:rtl/>
        </w:rPr>
        <w:t xml:space="preserve">אם הוא </w:t>
      </w:r>
      <w:bookmarkStart w:id="42831" w:name="_ETM_Q79_765970"/>
      <w:bookmarkEnd w:id="42831"/>
      <w:r>
        <w:rPr>
          <w:rFonts w:hint="cs"/>
          <w:rtl/>
        </w:rPr>
        <w:t xml:space="preserve">ימני </w:t>
      </w:r>
      <w:bookmarkStart w:id="42832" w:name="_ETM_Q79_766540"/>
      <w:bookmarkEnd w:id="42832"/>
      <w:r>
        <w:rPr>
          <w:rFonts w:hint="cs"/>
          <w:rtl/>
        </w:rPr>
        <w:t xml:space="preserve">או </w:t>
      </w:r>
      <w:bookmarkStart w:id="42833" w:name="_ETM_Q79_766630"/>
      <w:bookmarkEnd w:id="42833"/>
      <w:r>
        <w:rPr>
          <w:rFonts w:hint="cs"/>
          <w:rtl/>
        </w:rPr>
        <w:t xml:space="preserve">שמאלני, </w:t>
      </w:r>
      <w:bookmarkStart w:id="42834" w:name="_ETM_Q79_767080"/>
      <w:bookmarkStart w:id="42835" w:name="_ETM_Q79_767559"/>
      <w:bookmarkEnd w:id="42834"/>
      <w:bookmarkEnd w:id="42835"/>
      <w:r>
        <w:rPr>
          <w:rFonts w:hint="cs"/>
          <w:rtl/>
        </w:rPr>
        <w:t xml:space="preserve">יהודי, </w:t>
      </w:r>
      <w:bookmarkStart w:id="42836" w:name="_ETM_Q79_768190"/>
      <w:bookmarkEnd w:id="42836"/>
      <w:r>
        <w:rPr>
          <w:rFonts w:hint="cs"/>
          <w:rtl/>
        </w:rPr>
        <w:t xml:space="preserve">ערבי. </w:t>
      </w:r>
      <w:bookmarkStart w:id="42837" w:name="_ETM_Q79_769159"/>
      <w:bookmarkStart w:id="42838" w:name="_ETM_Q79_769370"/>
      <w:bookmarkStart w:id="42839" w:name="TOR_Q80"/>
      <w:bookmarkEnd w:id="42837"/>
      <w:bookmarkEnd w:id="42838"/>
      <w:bookmarkEnd w:id="42839"/>
      <w:r>
        <w:rPr>
          <w:rFonts w:hint="cs"/>
          <w:rtl/>
        </w:rPr>
        <w:t>לא, לא מכירה את הדבר הזה, אבל לא משנה, נלך א</w:t>
      </w:r>
      <w:r w:rsidR="00DD4727">
        <w:rPr>
          <w:rFonts w:hint="cs"/>
          <w:rtl/>
        </w:rPr>
        <w:t>י</w:t>
      </w:r>
      <w:r>
        <w:rPr>
          <w:rFonts w:hint="cs"/>
          <w:rtl/>
        </w:rPr>
        <w:t xml:space="preserve">תכם. רוצים שופטים שמרנים, אז תמנו, פשוט </w:t>
      </w:r>
      <w:bookmarkStart w:id="42840" w:name="_ETM_Q80_178000"/>
      <w:bookmarkEnd w:id="42840"/>
      <w:r>
        <w:rPr>
          <w:rFonts w:hint="cs"/>
          <w:rtl/>
        </w:rPr>
        <w:t xml:space="preserve">תמנו. תעשו את העבודה שלכם. </w:t>
      </w:r>
    </w:p>
    <w:p w:rsidR="00BB59CD" w:rsidRDefault="00BB59CD" w:rsidP="00BB59CD">
      <w:pPr>
        <w:ind w:firstLine="0"/>
        <w:rPr>
          <w:rtl/>
        </w:rPr>
      </w:pPr>
    </w:p>
    <w:p w:rsidR="00BB59CD" w:rsidRDefault="00BB59CD" w:rsidP="00DD4727">
      <w:pPr>
        <w:rPr>
          <w:rtl/>
        </w:rPr>
      </w:pPr>
      <w:r>
        <w:rPr>
          <w:rFonts w:hint="cs"/>
          <w:rtl/>
        </w:rPr>
        <w:t xml:space="preserve">אבל לא, לא זה באמת </w:t>
      </w:r>
      <w:bookmarkStart w:id="42841" w:name="_ETM_Q80_184000"/>
      <w:bookmarkEnd w:id="42841"/>
      <w:r>
        <w:rPr>
          <w:rFonts w:hint="cs"/>
          <w:rtl/>
        </w:rPr>
        <w:t xml:space="preserve">הסיפור של הממשלה הזאת, לייצר איזונים בבית המשפט. הסיפור הגדול </w:t>
      </w:r>
      <w:bookmarkStart w:id="42842" w:name="_ETM_Q80_193000"/>
      <w:bookmarkEnd w:id="42842"/>
      <w:r>
        <w:rPr>
          <w:rFonts w:hint="cs"/>
          <w:rtl/>
        </w:rPr>
        <w:t xml:space="preserve">כאן זאת השתלטות על המערכת המשפטית ושינוי המשטר במדינת ישראל; </w:t>
      </w:r>
      <w:bookmarkStart w:id="42843" w:name="_ETM_Q80_199000"/>
      <w:bookmarkEnd w:id="42843"/>
      <w:r>
        <w:rPr>
          <w:rFonts w:hint="cs"/>
          <w:rtl/>
        </w:rPr>
        <w:t xml:space="preserve">זה מה שהיא מבקשת לעשות. אז איך נשכנע את ההמון </w:t>
      </w:r>
      <w:bookmarkStart w:id="42844" w:name="_ETM_Q80_207000"/>
      <w:bookmarkEnd w:id="42844"/>
      <w:r w:rsidR="00DD4727">
        <w:rPr>
          <w:rFonts w:hint="eastAsia"/>
          <w:rtl/>
        </w:rPr>
        <w:t>–</w:t>
      </w:r>
      <w:r w:rsidR="00DD4727">
        <w:rPr>
          <w:rFonts w:hint="cs"/>
          <w:rtl/>
        </w:rPr>
        <w:t xml:space="preserve"> </w:t>
      </w:r>
      <w:r>
        <w:rPr>
          <w:rFonts w:hint="cs"/>
          <w:rtl/>
        </w:rPr>
        <w:t xml:space="preserve">שהבטחנו לו יוקר מחיה וביטחון אישי ועוד כל כך </w:t>
      </w:r>
      <w:bookmarkStart w:id="42845" w:name="_ETM_Q80_210000"/>
      <w:bookmarkEnd w:id="42845"/>
      <w:r>
        <w:rPr>
          <w:rFonts w:hint="cs"/>
          <w:rtl/>
        </w:rPr>
        <w:t xml:space="preserve">הרבה דברים אחרים שלא קשורים בכלל לרפורמה המשפטית שהם מדברים </w:t>
      </w:r>
      <w:bookmarkStart w:id="42846" w:name="_ETM_Q80_216000"/>
      <w:bookmarkEnd w:id="42846"/>
      <w:r>
        <w:rPr>
          <w:rFonts w:hint="cs"/>
          <w:rtl/>
        </w:rPr>
        <w:t>עליה – איך נשכנע אות</w:t>
      </w:r>
      <w:r w:rsidR="00DD4727">
        <w:rPr>
          <w:rFonts w:hint="cs"/>
          <w:rtl/>
        </w:rPr>
        <w:t>ו</w:t>
      </w:r>
      <w:r>
        <w:rPr>
          <w:rFonts w:hint="cs"/>
          <w:rtl/>
        </w:rPr>
        <w:t xml:space="preserve"> שזה הדבר הנכון לעשות? קדימה. </w:t>
      </w:r>
      <w:bookmarkStart w:id="42847" w:name="_ETM_Q80_220000"/>
      <w:bookmarkEnd w:id="42847"/>
      <w:r>
        <w:rPr>
          <w:rFonts w:hint="cs"/>
          <w:rtl/>
        </w:rPr>
        <w:t xml:space="preserve">דיברנו על שד שנכנס בהם, אז בואו נוציא את השד </w:t>
      </w:r>
      <w:bookmarkStart w:id="42848" w:name="_ETM_Q80_227000"/>
      <w:bookmarkEnd w:id="42848"/>
      <w:r>
        <w:rPr>
          <w:rFonts w:hint="cs"/>
          <w:rtl/>
        </w:rPr>
        <w:t>העדתי, ישר לבטן הרכה.</w:t>
      </w:r>
    </w:p>
    <w:p w:rsidR="00BB59CD" w:rsidRDefault="00BB59CD" w:rsidP="00BB59CD">
      <w:pPr>
        <w:rPr>
          <w:rtl/>
        </w:rPr>
      </w:pPr>
    </w:p>
    <w:p w:rsidR="00BB59CD" w:rsidRDefault="00BB59CD" w:rsidP="00BB59CD">
      <w:pPr>
        <w:rPr>
          <w:rtl/>
        </w:rPr>
      </w:pPr>
      <w:bookmarkStart w:id="42849" w:name="_ETM_Q80_230000"/>
      <w:bookmarkEnd w:id="42849"/>
      <w:r>
        <w:rPr>
          <w:rFonts w:hint="cs"/>
          <w:rtl/>
        </w:rPr>
        <w:t xml:space="preserve">אבל אני רוצה לומר לכם, התחלתי בנושא </w:t>
      </w:r>
      <w:bookmarkStart w:id="42850" w:name="_ETM_Q80_236000"/>
      <w:bookmarkEnd w:id="42850"/>
      <w:r>
        <w:rPr>
          <w:rFonts w:hint="cs"/>
          <w:rtl/>
        </w:rPr>
        <w:t xml:space="preserve">של הדה-לגיטימציה למפגינים שמתנגדים לרפורמה, שמתנגדים לשינוי הצביון של המשטר </w:t>
      </w:r>
      <w:bookmarkStart w:id="42851" w:name="_ETM_Q80_243000"/>
      <w:bookmarkEnd w:id="42851"/>
      <w:r>
        <w:rPr>
          <w:rFonts w:hint="cs"/>
          <w:rtl/>
        </w:rPr>
        <w:t>במדינת ישראל. הם לא ימין ושמאל; הם לא רק אשכנזים פריבילגים, אליטיסטים, כמו שמנסים להציג אותם. יש בהם ימנים, ויש בהם שמאלנים, ויש בהם מזרחים ואשכנזים, וכאלה שבאים מהפריפריה, וכאלה שבאים מהמרכז – יש בהם את ארץ ישראל היפה, כל ארץ ישראל. הם באים מכל הקשת. אלה אנשים שמכאן יוצאים לרחובות, מהמקום הכי עמוק שיכול להיות, אנשים שבחום הכבד, בשבת, על חשבון הזמן שלהם, במשך כל כך הרבה זמן, שבועות ארוכים, יוצאים לרחובות</w:t>
      </w:r>
      <w:r w:rsidR="00DD4727">
        <w:rPr>
          <w:rFonts w:hint="cs"/>
          <w:rtl/>
        </w:rPr>
        <w:t>,</w:t>
      </w:r>
      <w:r>
        <w:rPr>
          <w:rFonts w:hint="cs"/>
          <w:rtl/>
        </w:rPr>
        <w:t xml:space="preserve"> כי הם לא מוכנים לוותר על המדינה שלהם, הם לא מוכנים לוותר על המדינה שלנו, של כולנו, של מי שמתנגד להפיכה המשטרית ושל מי שתומך בשינויים שמוכרים להם כאן בממשלה.</w:t>
      </w:r>
    </w:p>
    <w:p w:rsidR="00BB59CD" w:rsidRDefault="00BB59CD" w:rsidP="00BB59CD">
      <w:pPr>
        <w:rPr>
          <w:rtl/>
        </w:rPr>
      </w:pPr>
    </w:p>
    <w:p w:rsidR="00BB59CD" w:rsidRDefault="00BB59CD" w:rsidP="00DD4727">
      <w:pPr>
        <w:rPr>
          <w:rtl/>
        </w:rPr>
      </w:pPr>
      <w:r>
        <w:rPr>
          <w:rFonts w:hint="cs"/>
          <w:rtl/>
        </w:rPr>
        <w:t xml:space="preserve">אבל אתם יודעים מה טרגי? שכל אלה שהגיעו היום לקפלן, או לפחות חלקם הגדול, שבאו בשם העדתיות, </w:t>
      </w:r>
      <w:bookmarkStart w:id="42852" w:name="_ETM_Q80_335000"/>
      <w:bookmarkEnd w:id="42852"/>
      <w:r>
        <w:rPr>
          <w:rFonts w:hint="cs"/>
          <w:rtl/>
        </w:rPr>
        <w:t xml:space="preserve">הפערים בין פריפריה למרכז, חלקם גם באים משכבות סוציו-אקונומיות נמוכות, הם אלה שצריכים יותר מכול את בית המשפט. האנשים האלה, שאני רואה אותם ושומעת אותם זועקים כמה צריך לתת לממשלה שלהם למשול, כמה צריך לדרוס את בית המשפט, כמה השופטים לא בסדר, כולם נגד היועצת המשפטית, שמו להם מטרה – הם </w:t>
      </w:r>
      <w:bookmarkStart w:id="42853" w:name="_ETM_Q80_374000"/>
      <w:bookmarkEnd w:id="42853"/>
      <w:r>
        <w:rPr>
          <w:rFonts w:hint="cs"/>
          <w:rtl/>
        </w:rPr>
        <w:t>אלה שצריכים הכי הרבה את בית המשפט. אבל לא בטוח</w:t>
      </w:r>
      <w:r w:rsidR="00DD4727">
        <w:rPr>
          <w:rFonts w:hint="cs"/>
          <w:rtl/>
        </w:rPr>
        <w:t>,</w:t>
      </w:r>
      <w:r>
        <w:rPr>
          <w:rFonts w:hint="cs"/>
          <w:rtl/>
        </w:rPr>
        <w:t xml:space="preserve"> אם חלילה החקיקה תושלם</w:t>
      </w:r>
      <w:r w:rsidR="00DD4727">
        <w:rPr>
          <w:rFonts w:hint="cs"/>
          <w:rtl/>
        </w:rPr>
        <w:t>,</w:t>
      </w:r>
      <w:r>
        <w:rPr>
          <w:rFonts w:hint="cs"/>
          <w:rtl/>
        </w:rPr>
        <w:t xml:space="preserve"> שבית המשפט באמת יוכל לעמוד לעזר</w:t>
      </w:r>
      <w:r w:rsidR="00DD4727">
        <w:rPr>
          <w:rFonts w:hint="cs"/>
          <w:rtl/>
        </w:rPr>
        <w:t>ת</w:t>
      </w:r>
      <w:r>
        <w:rPr>
          <w:rFonts w:hint="cs"/>
          <w:rtl/>
        </w:rPr>
        <w:t>ם – לא לעזרתן של הנשים שרצו מקווה והיישוב שלה</w:t>
      </w:r>
      <w:r w:rsidR="00DD4727">
        <w:rPr>
          <w:rFonts w:hint="cs"/>
          <w:rtl/>
        </w:rPr>
        <w:t>ן</w:t>
      </w:r>
      <w:r>
        <w:rPr>
          <w:rFonts w:hint="cs"/>
          <w:rtl/>
        </w:rPr>
        <w:t xml:space="preserve"> התנגד אבל בזכות בית המשפט נבנה להם מקווה; לא </w:t>
      </w:r>
      <w:r w:rsidR="00DD4727">
        <w:rPr>
          <w:rFonts w:hint="cs"/>
          <w:rtl/>
        </w:rPr>
        <w:t xml:space="preserve">לעזרת </w:t>
      </w:r>
      <w:r>
        <w:rPr>
          <w:rFonts w:hint="cs"/>
          <w:rtl/>
        </w:rPr>
        <w:t xml:space="preserve">אותם ילדים שהפלו אותם בגלל המוצא שלהם אבל בית המשפט חייב לעשות את הצדק איתם, הילדים של החינוך המיוחד; אפילו המפונים של גוש קטיף, אותם מפונים בהתנתקות, שהמדינה לא רצתה לתת להם סעד ולא רצתה לתת להם פיצוי, בית המשפט הכריע בעניין הפיצויים </w:t>
      </w:r>
      <w:bookmarkStart w:id="42854" w:name="_ETM_Q80_433000"/>
      <w:bookmarkEnd w:id="42854"/>
      <w:r>
        <w:rPr>
          <w:rFonts w:hint="cs"/>
          <w:rtl/>
        </w:rPr>
        <w:t>שלהם. ואני יכולה לתת פה עוד שורה ארוכה של דוגמאות.</w:t>
      </w:r>
    </w:p>
    <w:p w:rsidR="00BB59CD" w:rsidRDefault="00BB59CD" w:rsidP="00BB59CD">
      <w:pPr>
        <w:rPr>
          <w:rtl/>
        </w:rPr>
      </w:pPr>
    </w:p>
    <w:p w:rsidR="00BB59CD" w:rsidRDefault="00BB59CD" w:rsidP="00DD4727">
      <w:pPr>
        <w:rPr>
          <w:rtl/>
        </w:rPr>
      </w:pPr>
      <w:r>
        <w:rPr>
          <w:rFonts w:hint="cs"/>
          <w:rtl/>
        </w:rPr>
        <w:t xml:space="preserve">וכאן אני רוצה לדבר על האנשים היקרים, רבבות, שיוצאים כבר במשך 30 שבועות, אנשים שיש בהם לוחמים, טייסים, אנשי כלכלה, אנשי חינוך, אנשי בריאות – כמו שאמרתי קודם, ארץ ישראל היפה </w:t>
      </w:r>
      <w:r w:rsidR="00DD4727">
        <w:rPr>
          <w:rFonts w:hint="eastAsia"/>
          <w:rtl/>
        </w:rPr>
        <w:t>–</w:t>
      </w:r>
      <w:r w:rsidR="00DD4727">
        <w:rPr>
          <w:rFonts w:hint="cs"/>
          <w:rtl/>
        </w:rPr>
        <w:t xml:space="preserve"> </w:t>
      </w:r>
      <w:r>
        <w:rPr>
          <w:rFonts w:hint="cs"/>
          <w:rtl/>
        </w:rPr>
        <w:t>אבל יש מי שבבית הזה בוחר לקחת את המצוקה הקשה שהם מפגינים מהמקום הכי עמוק וכואב שלהם ולגנות אותם בצורה הכי בוטה, הכי ארסית, הכי נבזית, ואני ארשה לעצמי ביום הקשה הזה גם לומר מילה קצת יותר קשה</w:t>
      </w:r>
      <w:r w:rsidR="00DD4727">
        <w:rPr>
          <w:rFonts w:hint="cs"/>
          <w:rtl/>
        </w:rPr>
        <w:t>:</w:t>
      </w:r>
      <w:r>
        <w:rPr>
          <w:rFonts w:hint="cs"/>
          <w:rtl/>
        </w:rPr>
        <w:t xml:space="preserve"> בצורה הכי מטונפת שיכולה להיות. </w:t>
      </w:r>
      <w:bookmarkStart w:id="42855" w:name="_ETM_Q80_500000"/>
      <w:bookmarkStart w:id="42856" w:name="_ETM_Q80_501000"/>
      <w:bookmarkEnd w:id="42855"/>
      <w:bookmarkEnd w:id="42856"/>
      <w:r>
        <w:rPr>
          <w:rFonts w:hint="cs"/>
          <w:rtl/>
        </w:rPr>
        <w:t xml:space="preserve">הסרט שאנחנו ראינו על הטייסים ששרים במדינת ישראל מעלים לרשת החברתית, ויוצרים את הקרע במקום הכי קדוש לחברה הישראלית, בצבא ההגנה לישראל – אין דבר יותר מטונף מזה, אין דבר יותר נבזי מזה, להראות חייל ישראלי, טייס ישראלי, שכביכול לא מוכן לעזור לחייל ישראלי. </w:t>
      </w:r>
    </w:p>
    <w:p w:rsidR="00BB59CD" w:rsidRDefault="00BB59CD" w:rsidP="00BB59CD">
      <w:pPr>
        <w:rPr>
          <w:rtl/>
        </w:rPr>
      </w:pPr>
    </w:p>
    <w:p w:rsidR="00BB59CD" w:rsidRDefault="00BB59CD" w:rsidP="00DD4727">
      <w:pPr>
        <w:rPr>
          <w:rtl/>
        </w:rPr>
      </w:pPr>
      <w:bookmarkStart w:id="42857" w:name="_ETM_Q80_538000"/>
      <w:bookmarkEnd w:id="42857"/>
      <w:r>
        <w:rPr>
          <w:rFonts w:hint="cs"/>
          <w:rtl/>
        </w:rPr>
        <w:t>ואני שואלת: לשפל הזה הגענו? איך אמר קרעי? הוא אמר: אנחנו לא צריכים אותם, שילכו לעזאזל. לעת הזאת למלכות הגענו</w:t>
      </w:r>
      <w:r w:rsidR="00DD4727">
        <w:rPr>
          <w:rFonts w:hint="cs"/>
          <w:rtl/>
        </w:rPr>
        <w:t>,</w:t>
      </w:r>
      <w:r>
        <w:rPr>
          <w:rFonts w:hint="cs"/>
          <w:rtl/>
        </w:rPr>
        <w:t xml:space="preserve"> באמת? לעת הזאת? זו המלכות שאתם מביאים למדינת </w:t>
      </w:r>
      <w:bookmarkStart w:id="42858" w:name="_ETM_Q80_560000"/>
      <w:bookmarkEnd w:id="42858"/>
      <w:r>
        <w:rPr>
          <w:rFonts w:hint="cs"/>
          <w:rtl/>
        </w:rPr>
        <w:t>ישראל</w:t>
      </w:r>
      <w:r w:rsidR="00DD4727">
        <w:rPr>
          <w:rFonts w:hint="cs"/>
          <w:rtl/>
        </w:rPr>
        <w:t>,</w:t>
      </w:r>
      <w:r>
        <w:rPr>
          <w:rFonts w:hint="cs"/>
          <w:rtl/>
        </w:rPr>
        <w:t xml:space="preserve"> רמת שפל שכזאת? וזה מצטרף לאמירות נבזיות נוספות, אם זה של גלית דיסטל, שאמרה שהיא בזה </w:t>
      </w:r>
      <w:bookmarkStart w:id="42859" w:name="_ETM_Q80_569000"/>
      <w:bookmarkEnd w:id="42859"/>
      <w:r>
        <w:rPr>
          <w:rFonts w:hint="cs"/>
          <w:rtl/>
        </w:rPr>
        <w:t xml:space="preserve">להם, וטלי גוטליב, מאור הדור, שמדברת על כך שכל חייל יכול להיות טייס. אתה מבין, חבר הכנסת דוידסון? זה פשוט, ככה, כל אחד יכול להיות טייס. והיא מגדילה </w:t>
      </w:r>
      <w:r w:rsidR="00DD4727">
        <w:rPr>
          <w:rFonts w:hint="cs"/>
          <w:rtl/>
        </w:rPr>
        <w:t>ואומרת</w:t>
      </w:r>
      <w:r>
        <w:rPr>
          <w:rFonts w:hint="cs"/>
          <w:rtl/>
        </w:rPr>
        <w:t xml:space="preserve"> שלא צריך אותם, לא צריך אותם, וגם שלכל אחד יש מחליף. איך היא אמרה? רק לשם הציטוט המדויק, כדי שאני לא אעשה לה עוול, </w:t>
      </w:r>
      <w:bookmarkStart w:id="42860" w:name="_ETM_Q80_600000"/>
      <w:bookmarkEnd w:id="42860"/>
      <w:r>
        <w:rPr>
          <w:rFonts w:hint="cs"/>
          <w:rtl/>
        </w:rPr>
        <w:t>להגיגים, לפנינים שיוצאות לה מהפה: "מה נדמה לכם</w:t>
      </w:r>
      <w:r w:rsidR="00DD4727">
        <w:rPr>
          <w:rFonts w:hint="cs"/>
          <w:rtl/>
        </w:rPr>
        <w:t>,</w:t>
      </w:r>
      <w:r>
        <w:rPr>
          <w:rFonts w:hint="cs"/>
          <w:rtl/>
        </w:rPr>
        <w:t xml:space="preserve"> אנשי חיל האוויר</w:t>
      </w:r>
      <w:r w:rsidR="00DD4727">
        <w:rPr>
          <w:rFonts w:hint="cs"/>
          <w:rtl/>
        </w:rPr>
        <w:t>,</w:t>
      </w:r>
      <w:r>
        <w:rPr>
          <w:rFonts w:hint="cs"/>
          <w:rtl/>
        </w:rPr>
        <w:t xml:space="preserve"> שאין לכם תחליף? יש גם יש!"</w:t>
      </w:r>
      <w:bookmarkStart w:id="42861" w:name="_ETM_Q80_615000"/>
      <w:bookmarkEnd w:id="42861"/>
      <w:r>
        <w:rPr>
          <w:rFonts w:hint="cs"/>
          <w:rtl/>
        </w:rPr>
        <w:t xml:space="preserve"> </w:t>
      </w:r>
    </w:p>
    <w:p w:rsidR="00BB59CD" w:rsidRDefault="00BB59CD" w:rsidP="00BB59CD">
      <w:pPr>
        <w:rPr>
          <w:rtl/>
        </w:rPr>
      </w:pPr>
    </w:p>
    <w:p w:rsidR="00BB59CD" w:rsidRDefault="00BB59CD" w:rsidP="00DD4727">
      <w:pPr>
        <w:rPr>
          <w:rtl/>
        </w:rPr>
      </w:pPr>
      <w:r>
        <w:rPr>
          <w:rFonts w:hint="cs"/>
          <w:rtl/>
        </w:rPr>
        <w:t xml:space="preserve">אז טלי גוטליב וקרעי ודיסטל, ואפילו מירי רגב, שהחליטה שצריך פשוט להכניס </w:t>
      </w:r>
      <w:bookmarkStart w:id="42862" w:name="_ETM_Q80_622000"/>
      <w:bookmarkEnd w:id="42862"/>
      <w:r>
        <w:rPr>
          <w:rFonts w:hint="cs"/>
          <w:rtl/>
        </w:rPr>
        <w:t>אותם לכלא</w:t>
      </w:r>
      <w:r w:rsidR="00DD4727">
        <w:rPr>
          <w:rFonts w:hint="cs"/>
          <w:rtl/>
        </w:rPr>
        <w:t xml:space="preserve"> </w:t>
      </w:r>
      <w:r>
        <w:rPr>
          <w:rFonts w:hint="cs"/>
          <w:rtl/>
        </w:rPr>
        <w:t xml:space="preserve"> </w:t>
      </w:r>
      <w:r w:rsidR="00DD4727">
        <w:rPr>
          <w:rFonts w:hint="eastAsia"/>
          <w:rtl/>
        </w:rPr>
        <w:t>–</w:t>
      </w:r>
      <w:r w:rsidR="00DD4727">
        <w:rPr>
          <w:rFonts w:hint="cs"/>
          <w:rtl/>
        </w:rPr>
        <w:t xml:space="preserve"> </w:t>
      </w:r>
      <w:bookmarkStart w:id="42863" w:name="_ETM_Q0_47857279"/>
      <w:bookmarkEnd w:id="42863"/>
      <w:r>
        <w:rPr>
          <w:rFonts w:hint="cs"/>
          <w:rtl/>
        </w:rPr>
        <w:t xml:space="preserve">חברים, האנשים האלה, אם הם לא עולים לאוויר כדי להגן עלינו, אף אחד מאיתנו לא יכול לעמוד כאן ולדבר היום. אף אחד מאיתנו. אני רוצה לראות שכאשר האויב שלנו יעמוד על הקווים ואנחנו נצטרך לשגר פקודה כדי שהם יעלו לאוויר </w:t>
      </w:r>
      <w:bookmarkStart w:id="42864" w:name="_ETM_Q80_646000"/>
      <w:bookmarkEnd w:id="42864"/>
      <w:r>
        <w:rPr>
          <w:rFonts w:hint="cs"/>
          <w:rtl/>
        </w:rPr>
        <w:t>ויגנו על מדינת ישראל – מה שהם עשו כל הזמן והם ממשיכים לעשות, בניגוד למה שנאמר עליהם – שיקום איזה גאון בצד הזה ויגיד: אנחנו לא צריכים אותם. בדם של מי הם משחקים, השרים המהוללים שיושבים כאן</w:t>
      </w:r>
      <w:r w:rsidR="00DD4727">
        <w:rPr>
          <w:rFonts w:hint="cs"/>
          <w:rtl/>
        </w:rPr>
        <w:t>,</w:t>
      </w:r>
      <w:r>
        <w:rPr>
          <w:rFonts w:hint="cs"/>
          <w:rtl/>
        </w:rPr>
        <w:t xml:space="preserve"> של מי? </w:t>
      </w:r>
    </w:p>
    <w:p w:rsidR="00BB59CD" w:rsidRDefault="00BB59CD" w:rsidP="00BB59CD">
      <w:pPr>
        <w:rPr>
          <w:rtl/>
        </w:rPr>
      </w:pPr>
    </w:p>
    <w:p w:rsidR="00BB59CD" w:rsidRDefault="00BB59CD" w:rsidP="00BB59CD">
      <w:pPr>
        <w:rPr>
          <w:rtl/>
        </w:rPr>
      </w:pPr>
      <w:r>
        <w:rPr>
          <w:rFonts w:hint="cs"/>
          <w:rtl/>
        </w:rPr>
        <w:t xml:space="preserve">כל הפארסה הזאת היא על הגב של אזרחי מדינת ישראל, על הביטחון שלנו, על ההגנה שלנו. אני יכולה לספר לכם שאני, כמי שגדלה בקריית שמונה, כשהיה אירוע ביטחוני, כשהיה מתוח, כשנפלו טילים, היה צליל אחד שידענו </w:t>
      </w:r>
      <w:bookmarkStart w:id="42865" w:name="_ETM_Q80_701000"/>
      <w:bookmarkEnd w:id="42865"/>
      <w:r>
        <w:rPr>
          <w:rFonts w:hint="cs"/>
          <w:rtl/>
        </w:rPr>
        <w:t xml:space="preserve">שעכשיו זה בשליטה – כששמענו את הצליל של המטוס, את רעש </w:t>
      </w:r>
      <w:bookmarkStart w:id="42866" w:name="_ETM_Q80_707000"/>
      <w:bookmarkEnd w:id="42866"/>
      <w:r>
        <w:rPr>
          <w:rFonts w:hint="cs"/>
          <w:rtl/>
        </w:rPr>
        <w:t xml:space="preserve">המטוסים </w:t>
      </w:r>
      <w:r w:rsidR="00DD4727">
        <w:rPr>
          <w:rFonts w:hint="cs"/>
          <w:rtl/>
        </w:rPr>
        <w:t>ש</w:t>
      </w:r>
      <w:r>
        <w:rPr>
          <w:rFonts w:hint="cs"/>
          <w:rtl/>
        </w:rPr>
        <w:t xml:space="preserve">עובר מעלינו, ידענו שצה"ל כאן ויש מי ששומר עלינו. </w:t>
      </w:r>
    </w:p>
    <w:p w:rsidR="00BB59CD" w:rsidRDefault="00BB59CD" w:rsidP="00BB59CD">
      <w:pPr>
        <w:rPr>
          <w:rtl/>
        </w:rPr>
      </w:pPr>
    </w:p>
    <w:p w:rsidR="00BB59CD" w:rsidRDefault="00BB59CD" w:rsidP="00DD4727">
      <w:pPr>
        <w:rPr>
          <w:rtl/>
        </w:rPr>
      </w:pPr>
      <w:bookmarkStart w:id="42867" w:name="_ETM_Q80_716000"/>
      <w:bookmarkEnd w:id="42867"/>
      <w:r>
        <w:rPr>
          <w:rFonts w:hint="cs"/>
          <w:rtl/>
        </w:rPr>
        <w:t>אבל בצד הזה יושבת חבורה של הזויים, פשוט הזויים, עם שיגעון גדלות, אחוזי טירוף, שמוכנים לפגוע בדבר הכי קדוש במדינת ישראל. הם לא ישאלו את עצמם</w:t>
      </w:r>
      <w:r w:rsidR="00DD4727">
        <w:rPr>
          <w:rFonts w:hint="cs"/>
          <w:rtl/>
        </w:rPr>
        <w:t>:</w:t>
      </w:r>
      <w:r>
        <w:rPr>
          <w:rFonts w:hint="cs"/>
          <w:rtl/>
        </w:rPr>
        <w:t xml:space="preserve"> איך הגענו למצב הזה של מצוקה כל כך גדולה, של אנשים שנתנו את כל החיים שלהם, וצריכים להגיד: סליחה, אנחנו לא נוכל לעשות את זה עוד</w:t>
      </w:r>
      <w:r w:rsidR="00DD4727">
        <w:rPr>
          <w:rFonts w:hint="cs"/>
          <w:rtl/>
        </w:rPr>
        <w:t>;</w:t>
      </w:r>
      <w:r>
        <w:rPr>
          <w:rFonts w:hint="cs"/>
          <w:rtl/>
        </w:rPr>
        <w:t xml:space="preserve"> הם עוד לא סירבו, אגב, הם גם לא סרבנים. זה חלק מהפייק הגדול, כמו </w:t>
      </w:r>
      <w:bookmarkStart w:id="42868" w:name="_ETM_Q80_755000"/>
      <w:bookmarkEnd w:id="42868"/>
      <w:r>
        <w:rPr>
          <w:rFonts w:hint="cs"/>
          <w:rtl/>
        </w:rPr>
        <w:t>עוד הרבה מאוד פייק שמסתובב פה בממשלה הזאת.</w:t>
      </w:r>
      <w:bookmarkStart w:id="42869" w:name="TOR_Q81"/>
      <w:bookmarkEnd w:id="42869"/>
      <w:r w:rsidR="00DD4727">
        <w:rPr>
          <w:rFonts w:hint="cs"/>
          <w:rtl/>
        </w:rPr>
        <w:t xml:space="preserve"> </w:t>
      </w:r>
      <w:r>
        <w:rPr>
          <w:rFonts w:hint="cs"/>
          <w:rtl/>
        </w:rPr>
        <w:t>הם אמרו: אנחנו מתנדבים עוד הרבה מעל לגיל</w:t>
      </w:r>
      <w:r w:rsidR="00DD4727">
        <w:rPr>
          <w:rFonts w:hint="cs"/>
          <w:rtl/>
        </w:rPr>
        <w:t>,</w:t>
      </w:r>
      <w:r>
        <w:rPr>
          <w:rFonts w:hint="cs"/>
          <w:rtl/>
        </w:rPr>
        <w:t xml:space="preserve"> לא נוכל עוד. ואני בטוחה שהם לא אומרים את זה כי הם לא רוצים להיות שם; הם אומרים את זה כי הם רוצים שמישהו כאן ישמע, שמישהו כאן יפתח את ליבו ויבין שהמדינה שלנו מדממת, פשוט מדממת. אבל איש לא שומע. הלבבות כאן אטומים, והם ממשיכים אחוזי טירוף בריצת האמוק שלהם להתנגשות חזיתית – בדמוקרטיה, במדינה, בחברה בישראל. </w:t>
      </w:r>
    </w:p>
    <w:p w:rsidR="00BB59CD" w:rsidRDefault="00BB59CD" w:rsidP="00BB59CD">
      <w:pPr>
        <w:rPr>
          <w:rtl/>
        </w:rPr>
      </w:pPr>
    </w:p>
    <w:p w:rsidR="00BB59CD" w:rsidRDefault="00BB59CD" w:rsidP="00DD4727">
      <w:pPr>
        <w:rPr>
          <w:rtl/>
        </w:rPr>
      </w:pPr>
      <w:r>
        <w:rPr>
          <w:rFonts w:hint="cs"/>
          <w:rtl/>
        </w:rPr>
        <w:t xml:space="preserve">אחד משרי החינוך, יואב קיש, הוא לא עסוק במה שקורה עם המערכת </w:t>
      </w:r>
      <w:bookmarkStart w:id="42870" w:name="_ETM_Q81_224000"/>
      <w:bookmarkEnd w:id="42870"/>
      <w:r>
        <w:rPr>
          <w:rFonts w:hint="cs"/>
          <w:rtl/>
        </w:rPr>
        <w:t>שהולכת ומתרסקת – אגב, זה הצבא העתידי שלנו – גם לא בפתיחת שנת הלימודים, שלא ברור אם היא תיפתח בתיכונים</w:t>
      </w:r>
      <w:r w:rsidR="00DD4727">
        <w:rPr>
          <w:rFonts w:hint="cs"/>
          <w:rtl/>
        </w:rPr>
        <w:t>;</w:t>
      </w:r>
      <w:r>
        <w:rPr>
          <w:rFonts w:hint="cs"/>
          <w:rtl/>
        </w:rPr>
        <w:t xml:space="preserve"> אגב, </w:t>
      </w:r>
      <w:bookmarkStart w:id="42871" w:name="_ETM_Q81_233000"/>
      <w:bookmarkEnd w:id="42871"/>
      <w:r>
        <w:rPr>
          <w:rFonts w:hint="cs"/>
          <w:rtl/>
        </w:rPr>
        <w:t xml:space="preserve">הוא לא עסק בזה גם לפני כן. השר קיש עסוק בלהיות עבד נרצע של הממשלה הזו, וכשהוא עולה להתראיין היום, הוא אומר שהסרבנות היא כרסום יסוד הדמוקרטיה. </w:t>
      </w:r>
      <w:bookmarkStart w:id="42872" w:name="_ETM_Q81_250000"/>
      <w:bookmarkEnd w:id="42872"/>
      <w:r>
        <w:rPr>
          <w:rFonts w:hint="cs"/>
          <w:rtl/>
        </w:rPr>
        <w:t>ואללה, לא האלימות של הממשלה הזו היא כרסום ביסוד הדמוקרטיה, הדורסנות שלה, ההתלהמות שלה, הבריונות שלה; החקיקה הזו</w:t>
      </w:r>
      <w:r w:rsidR="00DD4727">
        <w:rPr>
          <w:rFonts w:hint="cs"/>
          <w:rtl/>
        </w:rPr>
        <w:t>,</w:t>
      </w:r>
      <w:r>
        <w:rPr>
          <w:rFonts w:hint="cs"/>
          <w:rtl/>
        </w:rPr>
        <w:t xml:space="preserve"> שמביאה לשינוי המשטר בישראל, לא היא כרסום יסוד הדמוקרטיה. אתם יודעים מה? הוא באמת צודק, זה לא כרסום </w:t>
      </w:r>
      <w:bookmarkStart w:id="42873" w:name="_ETM_Q81_274000"/>
      <w:bookmarkEnd w:id="42873"/>
      <w:r>
        <w:rPr>
          <w:rFonts w:hint="cs"/>
          <w:rtl/>
        </w:rPr>
        <w:t xml:space="preserve">יסוד הדמוקרטיה, זה חיסול הדמוקרטיה במדינת ישראל – זה מה שעושה הממשלה הזו בלי להניד עפעף, והכול, כמו שאמרתי ואני אומר שוב, מתוך שיגעון גדלות בלתי נתפס. </w:t>
      </w:r>
    </w:p>
    <w:p w:rsidR="00BB59CD" w:rsidRDefault="00BB59CD" w:rsidP="00BB59CD">
      <w:pPr>
        <w:rPr>
          <w:rtl/>
        </w:rPr>
      </w:pPr>
    </w:p>
    <w:p w:rsidR="00BB59CD" w:rsidRDefault="00BB59CD" w:rsidP="00DD4727">
      <w:pPr>
        <w:rPr>
          <w:rtl/>
        </w:rPr>
      </w:pPr>
      <w:r>
        <w:rPr>
          <w:rFonts w:hint="cs"/>
          <w:rtl/>
        </w:rPr>
        <w:t xml:space="preserve">ואיך אני יודעת שזה שיגעון גדלות? איך אני יודעת שזה טירוף שאחז בהם? כי המנטרה שלהם מהרגע הראשון שהם ישבו כאן </w:t>
      </w:r>
      <w:bookmarkStart w:id="42874" w:name="_ETM_Q81_306000"/>
      <w:bookmarkEnd w:id="42874"/>
      <w:r>
        <w:rPr>
          <w:rFonts w:hint="cs"/>
          <w:rtl/>
        </w:rPr>
        <w:t xml:space="preserve">היא: באנו למשול. אז תמשלו, מי מפריע לכם? כשאנחנו היינו כאן בממשלת השינוי, משלנו. מה שרצינו להעביר, העברנו. כשרצינו לעשות שינויים במערכת החינוך, עשינו; למנות שופטים אחרים, מינינו. מי מפריע לכם? תתחילו לעבוד. אבל לא. הם ימשיכו לומר: באנו למשול, בחרו בנו. נכון, בחרו בכם, מכבדת את הבחירה. בחרו בכם על יוקר המחיה, בחרו בכם על כל הפרופגנדות שעשיתם על הביטחון האישי, שאנחנו רואים מה קורה </w:t>
      </w:r>
      <w:bookmarkStart w:id="42875" w:name="_ETM_Q81_354000"/>
      <w:bookmarkEnd w:id="42875"/>
      <w:r>
        <w:rPr>
          <w:rFonts w:hint="cs"/>
          <w:rtl/>
        </w:rPr>
        <w:t xml:space="preserve">לו בחודשים שאתם נמצאים כאן בשלטון – אנשים פשוט נעלמים ככה, אנשים נרצחים פה בכל רגע נתון בהיקפים שאנחנו בכלל לא הכרנו. אבל השר לאסון לאומי, זה באמת מה שמעניין </w:t>
      </w:r>
      <w:bookmarkStart w:id="42876" w:name="_ETM_Q81_371000"/>
      <w:bookmarkEnd w:id="42876"/>
      <w:r>
        <w:rPr>
          <w:rFonts w:hint="cs"/>
          <w:rtl/>
        </w:rPr>
        <w:t xml:space="preserve">אותו, הביטחון האישי של התושבים? הצחקתם אותו. הוא עסוק עכשיו. אם הוא התעסק עם הפיתות, אז הגיע הזמן לעבור לסלטים, </w:t>
      </w:r>
      <w:bookmarkStart w:id="42877" w:name="_ETM_Q81_382000"/>
      <w:bookmarkEnd w:id="42877"/>
      <w:r>
        <w:rPr>
          <w:rFonts w:hint="cs"/>
          <w:rtl/>
        </w:rPr>
        <w:t xml:space="preserve">כי צריך למלא את הפיתות במשהו, אז הוא פותח בר סלטים. המדינה בוערת. אנחנו מנסים לראות איך אנחנו מורידים רגע את הלהבות, כי בסוף המדינה היא באמת מעל לכול והחברה הישראלית היא באמת מעל לכול, אבל השר לאסון לאומי, הפירומן הזה, אם אפשר להבעיר עוד קצת, אז יאללה, בלגן. הוא הבעיר </w:t>
      </w:r>
      <w:bookmarkStart w:id="42878" w:name="_ETM_Q81_409000"/>
      <w:bookmarkEnd w:id="42878"/>
      <w:r>
        <w:rPr>
          <w:rFonts w:hint="cs"/>
          <w:rtl/>
        </w:rPr>
        <w:t xml:space="preserve">את המדינה כשהיה נער גבעות, והוא באיזשהו מקום חושב שהוא עדיין נמצא על הגבעה. הוא לא עשה את הסוויץ' שהוא עומד בראש משרד ממשלתי </w:t>
      </w:r>
      <w:bookmarkStart w:id="42879" w:name="_ETM_Q81_421000"/>
      <w:bookmarkEnd w:id="42879"/>
      <w:r>
        <w:rPr>
          <w:rFonts w:hint="cs"/>
          <w:rtl/>
        </w:rPr>
        <w:t xml:space="preserve">בממשלת ישראל, משרד חשוב מאוד, אבל אתם יודעים, זה כנראה פחות חשוב. </w:t>
      </w:r>
    </w:p>
    <w:p w:rsidR="00BB59CD" w:rsidRDefault="00BB59CD" w:rsidP="00BB59CD">
      <w:pPr>
        <w:rPr>
          <w:rtl/>
        </w:rPr>
      </w:pPr>
    </w:p>
    <w:p w:rsidR="00BB59CD" w:rsidRDefault="00BB59CD" w:rsidP="00C376D4">
      <w:pPr>
        <w:rPr>
          <w:rtl/>
        </w:rPr>
      </w:pPr>
      <w:r>
        <w:rPr>
          <w:rFonts w:hint="cs"/>
          <w:rtl/>
        </w:rPr>
        <w:t>יש לי כל כך הרבה מה להגיד, אדוני היושב-ראש, על כל ההתנהלות שהייתה פה בחודשים האחרונים, ואני עדיין רוצה לומר, עם כל מה שאמרתי, ש</w:t>
      </w:r>
      <w:r w:rsidR="00C376D4">
        <w:rPr>
          <w:rFonts w:hint="cs"/>
          <w:rtl/>
        </w:rPr>
        <w:t>זה</w:t>
      </w:r>
      <w:r>
        <w:rPr>
          <w:rFonts w:hint="cs"/>
          <w:rtl/>
        </w:rPr>
        <w:t xml:space="preserve"> קצה-קצהו של מה שאני חושבת ומרגישה על הממשלה הזו, ואמרתי את זה גם בדיונים הרבים. אבל אני קראתי השבוע מכתב שכתב נעם חורב, ואני חוששת שהזמן לא יספיק לי כדי להקריא אותו, אז אני פשוט אתחיל, ואני אקדים את המאוחר ואומר: עדיין לא מאוחר לעצור את הקטסטרופה שבפניה אנחנו עומדים</w:t>
      </w:r>
      <w:r w:rsidR="00C376D4">
        <w:rPr>
          <w:rFonts w:hint="cs"/>
          <w:rtl/>
        </w:rPr>
        <w:t>,</w:t>
      </w:r>
      <w:r>
        <w:rPr>
          <w:rFonts w:hint="cs"/>
          <w:rtl/>
        </w:rPr>
        <w:t xml:space="preserve"> עדיין הצד הזה מוכן לבוא, לדבר ולהגיע לרפורמה שתהיה בהסכמות רחבות. כן, אני מכירה את הקולות שאומרים: מה אתם מאמינים לו? מה אתם מאמינים להם? אל תהיו סמרטוטים שלהם. ואני רוצה לומר לך שלהציל את מדינת ישראל זה לא כניעה כמו שחושבים מי שיושבים בצד הזה, זאת גדולה. מבחינתי למצות כל סיכוי כדי להביא להסכמה רחבה כדי להוריד את הלהבות בעם, כדי לתת פה קצת שקט לאנשים שכל מה שהם רוצים זה בסך הכול לחיות את חייהם במדינה שהם אוהבים, במדינה שהם נלחמו בשבילה, במדינה שהיא נס שקרה כאן ב-75 שנים </w:t>
      </w:r>
      <w:bookmarkStart w:id="42880" w:name="_ETM_Q81_558000"/>
      <w:bookmarkEnd w:id="42880"/>
      <w:r>
        <w:rPr>
          <w:rFonts w:hint="cs"/>
          <w:rtl/>
        </w:rPr>
        <w:t>האחרונות</w:t>
      </w:r>
      <w:r w:rsidR="00C376D4">
        <w:rPr>
          <w:rFonts w:hint="cs"/>
          <w:rtl/>
        </w:rPr>
        <w:t>;</w:t>
      </w:r>
      <w:r>
        <w:rPr>
          <w:rFonts w:hint="cs"/>
          <w:rtl/>
        </w:rPr>
        <w:t xml:space="preserve"> לגדל את המשפחה שלהם, לצאת בבוקר לעבוד, ליזום, ליצור, לחזור הביתה, להיות עם המשפחה, את השישי-שבת לבלות בחיק המשפחה, בחיק הטבע, לא בצעדות להצלת המדינה – זה מה שהם רוצים, ובשביל זה, כן, אנחנו מוכנים לתת עוד ועוד ועוד סיכוי, כדי שנאפשר להם את זה, כדי שנוכל להביא להסכמה רחבה. </w:t>
      </w:r>
    </w:p>
    <w:p w:rsidR="00BB59CD" w:rsidRDefault="00BB59CD" w:rsidP="00BB59CD">
      <w:pPr>
        <w:rPr>
          <w:rtl/>
        </w:rPr>
      </w:pPr>
    </w:p>
    <w:p w:rsidR="00C376D4" w:rsidRDefault="00BB59CD" w:rsidP="00C376D4">
      <w:pPr>
        <w:rPr>
          <w:rtl/>
        </w:rPr>
      </w:pPr>
      <w:r>
        <w:rPr>
          <w:rFonts w:hint="cs"/>
          <w:rtl/>
        </w:rPr>
        <w:t xml:space="preserve">אבל לצערי הרב, גם עכשיו, גם היום, כמו כל התקופה האחרונה, יד מושטת לא פוגשת יד אחות. להפך, </w:t>
      </w:r>
      <w:r w:rsidR="00C376D4">
        <w:rPr>
          <w:rFonts w:hint="cs"/>
          <w:rtl/>
        </w:rPr>
        <w:t xml:space="preserve">היא </w:t>
      </w:r>
      <w:r>
        <w:rPr>
          <w:rFonts w:hint="cs"/>
          <w:rtl/>
        </w:rPr>
        <w:t xml:space="preserve">פוגשת חומה בצורה של אטימות, של נבזיות, </w:t>
      </w:r>
      <w:bookmarkStart w:id="42881" w:name="_ETM_Q81_620000"/>
      <w:bookmarkEnd w:id="42881"/>
      <w:r>
        <w:rPr>
          <w:rFonts w:hint="cs"/>
          <w:rtl/>
        </w:rPr>
        <w:t>של אמירות שלא נכון שיהיו כאן במדינת ישראל, ואני אומרת את זה בלשון עדינה. אני רוצה רגע להקריא, ברשותך, כמה שאני אספיק, מהמכתב הפתוח שכתב נעם חורב</w:t>
      </w:r>
      <w:r w:rsidR="00C376D4">
        <w:rPr>
          <w:rFonts w:hint="cs"/>
          <w:rtl/>
        </w:rPr>
        <w:t>,</w:t>
      </w:r>
      <w:r>
        <w:rPr>
          <w:rFonts w:hint="cs"/>
          <w:rtl/>
        </w:rPr>
        <w:t xml:space="preserve"> ואני חושבת שמסכם את הדברים שאני אמרתי – אני מקווה שיסלח לי נעם חורב על חוסר הצניעות, אבל </w:t>
      </w:r>
      <w:bookmarkStart w:id="42882" w:name="_ETM_Q81_650000"/>
      <w:bookmarkEnd w:id="42882"/>
      <w:r>
        <w:rPr>
          <w:rFonts w:hint="cs"/>
          <w:rtl/>
        </w:rPr>
        <w:t>דברים שבאמת נאמרו פה, אם במליאה ואם בוועדות השונות, גם על ידי וגם על ידי חבריי לאופוזיציה</w:t>
      </w:r>
      <w:r w:rsidR="00C376D4">
        <w:rPr>
          <w:rFonts w:hint="cs"/>
          <w:rtl/>
        </w:rPr>
        <w:t>.</w:t>
      </w:r>
      <w:r>
        <w:rPr>
          <w:rFonts w:hint="cs"/>
          <w:rtl/>
        </w:rPr>
        <w:t xml:space="preserve"> </w:t>
      </w:r>
      <w:bookmarkStart w:id="42883" w:name="_ETM_Q81_661000"/>
      <w:bookmarkEnd w:id="42883"/>
    </w:p>
    <w:p w:rsidR="00C376D4" w:rsidRDefault="00C376D4" w:rsidP="00C376D4">
      <w:pPr>
        <w:rPr>
          <w:rtl/>
        </w:rPr>
      </w:pPr>
    </w:p>
    <w:p w:rsidR="00BB59CD" w:rsidRDefault="00BB59CD" w:rsidP="00C376D4">
      <w:pPr>
        <w:rPr>
          <w:rtl/>
        </w:rPr>
      </w:pPr>
      <w:r>
        <w:rPr>
          <w:rFonts w:hint="cs"/>
          <w:rtl/>
        </w:rPr>
        <w:t xml:space="preserve">אלו הם דבריו – הוא כותב את המכתב הזה לאישה שביקשה לבטל את הכרטיסים להופעה שלו, אתה יודע למה? כי הוא כתב את דעותיו, והן לא כדעותיה, וכך </w:t>
      </w:r>
      <w:bookmarkStart w:id="42884" w:name="_ETM_Q81_672000"/>
      <w:bookmarkEnd w:id="42884"/>
      <w:r>
        <w:rPr>
          <w:rFonts w:hint="cs"/>
          <w:rtl/>
        </w:rPr>
        <w:t xml:space="preserve">הוא כותב: "ההודעה ששלחת לי בפייבסוק תפסה אותי בדרך להופעה בצפון. בדיוק עמדתי בפקקים המטורפים של היציאה מתל אביב. על גשר רוקח עוד נשארו טלאי-שלטים מההפגנות של מוצ"ש. הקריין ברדיו מסר דיווחים והמשיך להבעיר את השרפה הגדולה שמתחוללת במדינה, כאילו לא מספיק חם בחוץ". אני רק אוסיף על הדברים האלה – זה הקריין, </w:t>
      </w:r>
      <w:bookmarkStart w:id="42885" w:name="_ETM_Q81_698000"/>
      <w:bookmarkEnd w:id="42885"/>
      <w:r>
        <w:rPr>
          <w:rFonts w:hint="cs"/>
          <w:rtl/>
        </w:rPr>
        <w:t xml:space="preserve">אלה השרים שעולים, אלה חברי הכנסת של הקואליציה. כל אחד </w:t>
      </w:r>
      <w:bookmarkStart w:id="42886" w:name="_ETM_Q81_705000"/>
      <w:bookmarkEnd w:id="42886"/>
      <w:r>
        <w:rPr>
          <w:rFonts w:hint="cs"/>
          <w:rtl/>
        </w:rPr>
        <w:t xml:space="preserve">מטפטף בשם הבריונות עוד כמה טיפות של שמן למדורה. "בערב לפני כן פרסמתי ברשתות </w:t>
      </w:r>
      <w:bookmarkStart w:id="42887" w:name="_ETM_Q81_714000"/>
      <w:bookmarkEnd w:id="42887"/>
      <w:r>
        <w:rPr>
          <w:rFonts w:hint="cs"/>
          <w:rtl/>
        </w:rPr>
        <w:t>החברתיות שיר שנקרא 'זה תמיד מטפטף מלמעלה'. טענתי שם שהשיסוי, הפילוג, הקרע העמוק בעם</w:t>
      </w:r>
      <w:r w:rsidR="00C376D4">
        <w:rPr>
          <w:rFonts w:hint="cs"/>
          <w:rtl/>
        </w:rPr>
        <w:t>,</w:t>
      </w:r>
      <w:r>
        <w:rPr>
          <w:rFonts w:hint="cs"/>
          <w:rtl/>
        </w:rPr>
        <w:t xml:space="preserve"> כל אלה מתחילים מלמעלה. מנבחרי הציבור שלנו. מההנהגה. מהממשלה. דיברתי שם על אינטרסים. על </w:t>
      </w:r>
      <w:bookmarkStart w:id="42888" w:name="_ETM_Q81_730000"/>
      <w:bookmarkEnd w:id="42888"/>
      <w:r>
        <w:rPr>
          <w:rFonts w:hint="cs"/>
          <w:rtl/>
        </w:rPr>
        <w:t xml:space="preserve">הרצון החזירי לצבור הון פוליטי. על רמת השיח בכנסת. על הפחד מהשונה. על חוסר היכולת של המנהיגים שלנו להגיע להבנות ולהסכמות. ואיך כל אלה מחלחלים בסוף אל הרחוב הישראלי. </w:t>
      </w:r>
      <w:bookmarkStart w:id="42889" w:name="_ETM_Q81_748000"/>
      <w:bookmarkEnd w:id="42889"/>
      <w:r>
        <w:rPr>
          <w:rFonts w:hint="cs"/>
          <w:rtl/>
        </w:rPr>
        <w:t>אל הטוקבקים. אל הכביש. אל הבין</w:t>
      </w:r>
      <w:r w:rsidR="00C376D4">
        <w:rPr>
          <w:rFonts w:hint="cs"/>
          <w:rtl/>
        </w:rPr>
        <w:t xml:space="preserve"> </w:t>
      </w:r>
      <w:r>
        <w:rPr>
          <w:rFonts w:hint="cs"/>
          <w:rtl/>
        </w:rPr>
        <w:t>אדם</w:t>
      </w:r>
      <w:r w:rsidR="00C376D4">
        <w:rPr>
          <w:rFonts w:hint="cs"/>
          <w:rtl/>
        </w:rPr>
        <w:t xml:space="preserve"> </w:t>
      </w:r>
      <w:r>
        <w:rPr>
          <w:rFonts w:hint="cs"/>
          <w:rtl/>
        </w:rPr>
        <w:t xml:space="preserve">לחברו. השיר הזה נכתב במכה אחת אחרי תקופה ארוכה </w:t>
      </w:r>
      <w:r w:rsidR="00C376D4">
        <w:rPr>
          <w:rFonts w:hint="cs"/>
          <w:rtl/>
        </w:rPr>
        <w:t>ש</w:t>
      </w:r>
      <w:r>
        <w:rPr>
          <w:rFonts w:hint="cs"/>
          <w:rtl/>
        </w:rPr>
        <w:t xml:space="preserve">בה אני לא ישן טוב בלילה. כמו הרבה ישראלים, גם אני אוהב את המדינה הזאת וחרד מהעתיד שלה. </w:t>
      </w:r>
    </w:p>
    <w:p w:rsidR="00BB59CD" w:rsidRDefault="00BB59CD" w:rsidP="00BB59CD">
      <w:pPr>
        <w:rPr>
          <w:rtl/>
        </w:rPr>
      </w:pPr>
    </w:p>
    <w:p w:rsidR="00BB59CD" w:rsidRDefault="00C376D4" w:rsidP="000145FA">
      <w:pPr>
        <w:rPr>
          <w:rtl/>
        </w:rPr>
      </w:pPr>
      <w:bookmarkStart w:id="42890" w:name="TOR_Q82"/>
      <w:bookmarkStart w:id="42891" w:name="_ETM_Q82_13224"/>
      <w:bookmarkStart w:id="42892" w:name="_ETM_Q82_13329"/>
      <w:bookmarkStart w:id="42893" w:name="_ETM_Q82_180000"/>
      <w:bookmarkEnd w:id="42890"/>
      <w:bookmarkEnd w:id="42891"/>
      <w:bookmarkEnd w:id="42892"/>
      <w:bookmarkEnd w:id="42893"/>
      <w:r>
        <w:rPr>
          <w:rFonts w:hint="cs"/>
          <w:rtl/>
        </w:rPr>
        <w:t>"</w:t>
      </w:r>
      <w:r w:rsidR="00BB59CD">
        <w:rPr>
          <w:rFonts w:hint="cs"/>
          <w:rtl/>
        </w:rPr>
        <w:t>גם אני מרגיש שתסריט הבלהות של מלחמת אזרחים כבר</w:t>
      </w:r>
      <w:bookmarkStart w:id="42894" w:name="_ETM_Q82_81492"/>
      <w:bookmarkEnd w:id="42894"/>
      <w:r w:rsidR="00BB59CD">
        <w:rPr>
          <w:rFonts w:hint="cs"/>
          <w:rtl/>
        </w:rPr>
        <w:t xml:space="preserve"> לא כזה מופרך. גם אני נחרד מההתבטאויות של נבחרי ציבור </w:t>
      </w:r>
      <w:bookmarkStart w:id="42895" w:name="_ETM_Q82_169359"/>
      <w:bookmarkEnd w:id="42895"/>
      <w:r w:rsidR="00BB59CD">
        <w:rPr>
          <w:rFonts w:hint="cs"/>
          <w:rtl/>
        </w:rPr>
        <w:t>בכירים כמו חבר הכנסת דוד אמסלם</w:t>
      </w:r>
      <w:r>
        <w:rPr>
          <w:rFonts w:hint="cs"/>
          <w:rtl/>
        </w:rPr>
        <w:t>,</w:t>
      </w:r>
      <w:r w:rsidR="00BB59CD">
        <w:rPr>
          <w:rFonts w:hint="cs"/>
          <w:rtl/>
        </w:rPr>
        <w:t xml:space="preserve"> שכינה את הטייס שנפצע ממכת"זית 'צפונבון שנ</w:t>
      </w:r>
      <w:r w:rsidR="000145FA">
        <w:rPr>
          <w:rFonts w:hint="cs"/>
          <w:rtl/>
        </w:rPr>
        <w:t>ס</w:t>
      </w:r>
      <w:r w:rsidR="00BB59CD">
        <w:rPr>
          <w:rFonts w:hint="cs"/>
          <w:rtl/>
        </w:rPr>
        <w:t>רט ליד העין', או חבר הכנסת פינדרוס</w:t>
      </w:r>
      <w:r>
        <w:rPr>
          <w:rFonts w:hint="cs"/>
          <w:rtl/>
        </w:rPr>
        <w:t>,</w:t>
      </w:r>
      <w:r w:rsidR="00BB59CD">
        <w:rPr>
          <w:rFonts w:hint="cs"/>
          <w:rtl/>
        </w:rPr>
        <w:t xml:space="preserve"> שטען </w:t>
      </w:r>
      <w:bookmarkStart w:id="42896" w:name="_ETM_Q82_179821"/>
      <w:bookmarkEnd w:id="42896"/>
      <w:r w:rsidR="00BB59CD">
        <w:rPr>
          <w:rFonts w:hint="cs"/>
          <w:rtl/>
        </w:rPr>
        <w:t>שהקהילה הגאה מסוכנת יותר מדאעש,</w:t>
      </w:r>
      <w:bookmarkStart w:id="42897" w:name="_ETM_Q82_75516"/>
      <w:bookmarkStart w:id="42898" w:name="_ETM_Q82_75619"/>
      <w:bookmarkStart w:id="42899" w:name="_ETM_Q82_181319"/>
      <w:bookmarkEnd w:id="42897"/>
      <w:bookmarkEnd w:id="42898"/>
      <w:bookmarkEnd w:id="42899"/>
      <w:r w:rsidR="00BB59CD">
        <w:rPr>
          <w:rFonts w:hint="cs"/>
          <w:rtl/>
        </w:rPr>
        <w:t xml:space="preserve"> חיזבאללה </w:t>
      </w:r>
      <w:bookmarkStart w:id="42900" w:name="_ETM_Q82_182429"/>
      <w:bookmarkEnd w:id="42900"/>
      <w:r w:rsidR="00BB59CD">
        <w:rPr>
          <w:rFonts w:hint="cs"/>
          <w:rtl/>
        </w:rPr>
        <w:t xml:space="preserve">וחמאס. </w:t>
      </w:r>
      <w:bookmarkStart w:id="42901" w:name="_ETM_Q82_183969"/>
      <w:bookmarkEnd w:id="42901"/>
      <w:r w:rsidR="00BB59CD">
        <w:rPr>
          <w:rFonts w:hint="cs"/>
          <w:rtl/>
        </w:rPr>
        <w:t xml:space="preserve">תגידי, </w:t>
      </w:r>
      <w:bookmarkStart w:id="42902" w:name="_ETM_Q82_185190"/>
      <w:bookmarkEnd w:id="42902"/>
      <w:r w:rsidR="00BB59CD">
        <w:rPr>
          <w:rFonts w:hint="cs"/>
          <w:rtl/>
        </w:rPr>
        <w:t xml:space="preserve">אם </w:t>
      </w:r>
      <w:bookmarkStart w:id="42903" w:name="_ETM_Q82_185340"/>
      <w:bookmarkEnd w:id="42903"/>
      <w:r w:rsidR="00BB59CD">
        <w:rPr>
          <w:rFonts w:hint="cs"/>
          <w:rtl/>
        </w:rPr>
        <w:t xml:space="preserve">מישהו </w:t>
      </w:r>
      <w:bookmarkStart w:id="42904" w:name="_ETM_Q82_185640"/>
      <w:bookmarkEnd w:id="42904"/>
      <w:r w:rsidR="00BB59CD">
        <w:rPr>
          <w:rFonts w:hint="cs"/>
          <w:rtl/>
        </w:rPr>
        <w:t xml:space="preserve">היה </w:t>
      </w:r>
      <w:bookmarkStart w:id="42905" w:name="_ETM_Q82_185850"/>
      <w:bookmarkEnd w:id="42905"/>
      <w:r w:rsidR="00BB59CD">
        <w:rPr>
          <w:rFonts w:hint="cs"/>
          <w:rtl/>
        </w:rPr>
        <w:t xml:space="preserve">מדבר </w:t>
      </w:r>
      <w:bookmarkStart w:id="42906" w:name="_ETM_Q82_186269"/>
      <w:bookmarkEnd w:id="42906"/>
      <w:r w:rsidR="00BB59CD">
        <w:rPr>
          <w:rFonts w:hint="cs"/>
          <w:rtl/>
        </w:rPr>
        <w:t xml:space="preserve">ככה </w:t>
      </w:r>
      <w:bookmarkStart w:id="42907" w:name="_ETM_Q82_186660"/>
      <w:bookmarkEnd w:id="42907"/>
      <w:r w:rsidR="00BB59CD">
        <w:rPr>
          <w:rFonts w:hint="cs"/>
          <w:rtl/>
        </w:rPr>
        <w:t xml:space="preserve">אלייך </w:t>
      </w:r>
      <w:bookmarkStart w:id="42908" w:name="_ETM_Q82_187439"/>
      <w:bookmarkEnd w:id="42908"/>
      <w:r w:rsidR="00BB59CD">
        <w:rPr>
          <w:rFonts w:hint="cs"/>
          <w:rtl/>
        </w:rPr>
        <w:t xml:space="preserve">או </w:t>
      </w:r>
      <w:bookmarkStart w:id="42909" w:name="_ETM_Q82_187560"/>
      <w:bookmarkEnd w:id="42909"/>
      <w:r w:rsidR="00BB59CD">
        <w:rPr>
          <w:rFonts w:hint="cs"/>
          <w:rtl/>
        </w:rPr>
        <w:t xml:space="preserve">לילד </w:t>
      </w:r>
      <w:bookmarkStart w:id="42910" w:name="_ETM_Q82_187979"/>
      <w:bookmarkEnd w:id="42910"/>
      <w:r w:rsidR="00BB59CD">
        <w:rPr>
          <w:rFonts w:hint="cs"/>
          <w:rtl/>
        </w:rPr>
        <w:t xml:space="preserve">שלך, </w:t>
      </w:r>
      <w:bookmarkStart w:id="42911" w:name="_ETM_Q82_188869"/>
      <w:bookmarkEnd w:id="42911"/>
      <w:r w:rsidR="00BB59CD">
        <w:rPr>
          <w:rFonts w:hint="cs"/>
          <w:rtl/>
        </w:rPr>
        <w:t xml:space="preserve">לא </w:t>
      </w:r>
      <w:bookmarkStart w:id="42912" w:name="_ETM_Q82_189230"/>
      <w:bookmarkEnd w:id="42912"/>
      <w:r w:rsidR="00BB59CD">
        <w:rPr>
          <w:rFonts w:hint="cs"/>
          <w:rtl/>
        </w:rPr>
        <w:t xml:space="preserve">היית </w:t>
      </w:r>
      <w:bookmarkStart w:id="42913" w:name="_ETM_Q82_189410"/>
      <w:bookmarkEnd w:id="42913"/>
      <w:r w:rsidR="00BB59CD">
        <w:rPr>
          <w:rFonts w:hint="cs"/>
          <w:rtl/>
        </w:rPr>
        <w:t xml:space="preserve">קמה </w:t>
      </w:r>
      <w:bookmarkStart w:id="42914" w:name="_ETM_Q82_189800"/>
      <w:bookmarkEnd w:id="42914"/>
      <w:r w:rsidR="00BB59CD">
        <w:rPr>
          <w:rFonts w:hint="cs"/>
          <w:rtl/>
        </w:rPr>
        <w:t xml:space="preserve">עליו? </w:t>
      </w:r>
      <w:bookmarkStart w:id="42915" w:name="_ETM_Q82_191970"/>
      <w:bookmarkEnd w:id="42915"/>
      <w:r w:rsidR="00BB59CD">
        <w:rPr>
          <w:rFonts w:hint="cs"/>
          <w:rtl/>
        </w:rPr>
        <w:t xml:space="preserve">ואז </w:t>
      </w:r>
      <w:bookmarkStart w:id="42916" w:name="_ETM_Q82_192300"/>
      <w:bookmarkEnd w:id="42916"/>
      <w:r w:rsidR="00BB59CD">
        <w:rPr>
          <w:rFonts w:hint="cs"/>
          <w:rtl/>
        </w:rPr>
        <w:t xml:space="preserve">הגיעה </w:t>
      </w:r>
      <w:bookmarkStart w:id="42917" w:name="_ETM_Q82_192630"/>
      <w:bookmarkEnd w:id="42917"/>
      <w:r w:rsidR="00BB59CD">
        <w:rPr>
          <w:rFonts w:hint="cs"/>
          <w:rtl/>
        </w:rPr>
        <w:t xml:space="preserve">ההודעה </w:t>
      </w:r>
      <w:bookmarkStart w:id="42918" w:name="_ETM_Q82_193020"/>
      <w:bookmarkEnd w:id="42918"/>
      <w:r w:rsidR="00BB59CD">
        <w:rPr>
          <w:rFonts w:hint="cs"/>
          <w:rtl/>
        </w:rPr>
        <w:t xml:space="preserve">שלך, </w:t>
      </w:r>
      <w:bookmarkStart w:id="42919" w:name="_ETM_Q82_193620"/>
      <w:bookmarkEnd w:id="42919"/>
      <w:r>
        <w:rPr>
          <w:rFonts w:hint="cs"/>
          <w:rtl/>
        </w:rPr>
        <w:t>ש</w:t>
      </w:r>
      <w:r w:rsidR="00BB59CD">
        <w:rPr>
          <w:rFonts w:hint="cs"/>
          <w:rtl/>
        </w:rPr>
        <w:t xml:space="preserve">בה סיפרת </w:t>
      </w:r>
      <w:bookmarkStart w:id="42920" w:name="_ETM_Q82_194250"/>
      <w:bookmarkEnd w:id="42920"/>
      <w:r w:rsidR="00BB59CD">
        <w:rPr>
          <w:rFonts w:hint="cs"/>
          <w:rtl/>
        </w:rPr>
        <w:t xml:space="preserve">לי </w:t>
      </w:r>
      <w:bookmarkStart w:id="42921" w:name="_ETM_Q82_194340"/>
      <w:bookmarkEnd w:id="42921"/>
      <w:r w:rsidR="00BB59CD">
        <w:rPr>
          <w:rFonts w:hint="cs"/>
          <w:rtl/>
        </w:rPr>
        <w:t xml:space="preserve">שאת </w:t>
      </w:r>
      <w:bookmarkStart w:id="42922" w:name="_ETM_Q82_194549"/>
      <w:bookmarkEnd w:id="42922"/>
      <w:r w:rsidR="00BB59CD">
        <w:rPr>
          <w:rFonts w:hint="cs"/>
          <w:rtl/>
        </w:rPr>
        <w:t xml:space="preserve">עוקבת </w:t>
      </w:r>
      <w:bookmarkStart w:id="42923" w:name="_ETM_Q82_194940"/>
      <w:bookmarkEnd w:id="42923"/>
      <w:r w:rsidR="00BB59CD">
        <w:rPr>
          <w:rFonts w:hint="cs"/>
          <w:rtl/>
        </w:rPr>
        <w:t xml:space="preserve">אחריי </w:t>
      </w:r>
      <w:bookmarkStart w:id="42924" w:name="_ETM_Q82_195270"/>
      <w:bookmarkEnd w:id="42924"/>
      <w:r w:rsidR="00BB59CD">
        <w:rPr>
          <w:rFonts w:hint="cs"/>
          <w:rtl/>
        </w:rPr>
        <w:t xml:space="preserve">באדיקות </w:t>
      </w:r>
      <w:bookmarkStart w:id="42925" w:name="_ETM_Q82_195750"/>
      <w:bookmarkEnd w:id="42925"/>
      <w:r w:rsidR="00BB59CD">
        <w:rPr>
          <w:rFonts w:hint="cs"/>
          <w:rtl/>
        </w:rPr>
        <w:t xml:space="preserve">כבר </w:t>
      </w:r>
      <w:bookmarkStart w:id="42926" w:name="_ETM_Q82_195960"/>
      <w:bookmarkEnd w:id="42926"/>
      <w:r w:rsidR="00BB59CD">
        <w:rPr>
          <w:rFonts w:hint="cs"/>
          <w:rtl/>
        </w:rPr>
        <w:t xml:space="preserve">שנים, </w:t>
      </w:r>
      <w:bookmarkStart w:id="42927" w:name="_ETM_Q82_196909"/>
      <w:bookmarkEnd w:id="42927"/>
      <w:r w:rsidR="00BB59CD">
        <w:rPr>
          <w:rFonts w:hint="cs"/>
          <w:rtl/>
        </w:rPr>
        <w:t xml:space="preserve">אבל </w:t>
      </w:r>
      <w:bookmarkStart w:id="42928" w:name="_ETM_Q82_197149"/>
      <w:bookmarkEnd w:id="42928"/>
      <w:r w:rsidR="00BB59CD">
        <w:rPr>
          <w:rFonts w:hint="cs"/>
          <w:rtl/>
        </w:rPr>
        <w:t xml:space="preserve">אחרי </w:t>
      </w:r>
      <w:bookmarkStart w:id="42929" w:name="_ETM_Q82_197359"/>
      <w:bookmarkEnd w:id="42929"/>
      <w:r w:rsidR="00BB59CD">
        <w:rPr>
          <w:rFonts w:hint="cs"/>
          <w:rtl/>
        </w:rPr>
        <w:t xml:space="preserve">השיר </w:t>
      </w:r>
      <w:bookmarkStart w:id="42930" w:name="_ETM_Q82_197569"/>
      <w:bookmarkEnd w:id="42930"/>
      <w:r w:rsidR="00BB59CD">
        <w:rPr>
          <w:rFonts w:hint="cs"/>
          <w:rtl/>
        </w:rPr>
        <w:t xml:space="preserve">שפרסמתי </w:t>
      </w:r>
      <w:bookmarkStart w:id="42931" w:name="_ETM_Q82_198259"/>
      <w:bookmarkEnd w:id="42931"/>
      <w:r w:rsidR="00BB59CD">
        <w:rPr>
          <w:rFonts w:hint="cs"/>
          <w:rtl/>
        </w:rPr>
        <w:t xml:space="preserve">את </w:t>
      </w:r>
      <w:bookmarkStart w:id="42932" w:name="_ETM_Q82_198349"/>
      <w:bookmarkEnd w:id="42932"/>
      <w:r w:rsidR="00BB59CD">
        <w:rPr>
          <w:rFonts w:hint="cs"/>
          <w:rtl/>
        </w:rPr>
        <w:t xml:space="preserve">מעוניינת </w:t>
      </w:r>
      <w:bookmarkStart w:id="42933" w:name="_ETM_Q82_198769"/>
      <w:bookmarkEnd w:id="42933"/>
      <w:r w:rsidR="00BB59CD">
        <w:rPr>
          <w:rFonts w:hint="cs"/>
          <w:rtl/>
        </w:rPr>
        <w:t xml:space="preserve">לבטל </w:t>
      </w:r>
      <w:bookmarkStart w:id="42934" w:name="_ETM_Q82_199130"/>
      <w:bookmarkEnd w:id="42934"/>
      <w:r w:rsidR="00BB59CD">
        <w:rPr>
          <w:rFonts w:hint="cs"/>
          <w:rtl/>
        </w:rPr>
        <w:t xml:space="preserve">את </w:t>
      </w:r>
      <w:bookmarkStart w:id="42935" w:name="_ETM_Q82_199249"/>
      <w:bookmarkEnd w:id="42935"/>
      <w:r w:rsidR="00BB59CD">
        <w:rPr>
          <w:rFonts w:hint="cs"/>
          <w:rtl/>
        </w:rPr>
        <w:t xml:space="preserve">הכרטיסים </w:t>
      </w:r>
      <w:bookmarkStart w:id="42936" w:name="_ETM_Q82_199759"/>
      <w:bookmarkEnd w:id="42936"/>
      <w:r w:rsidR="00BB59CD">
        <w:rPr>
          <w:rFonts w:hint="cs"/>
          <w:rtl/>
        </w:rPr>
        <w:t xml:space="preserve">שרכשת </w:t>
      </w:r>
      <w:bookmarkStart w:id="42937" w:name="_ETM_Q82_200239"/>
      <w:bookmarkEnd w:id="42937"/>
      <w:r w:rsidR="00BB59CD">
        <w:rPr>
          <w:rFonts w:hint="cs"/>
          <w:rtl/>
        </w:rPr>
        <w:t xml:space="preserve">להופעה </w:t>
      </w:r>
      <w:bookmarkStart w:id="42938" w:name="_ETM_Q82_200720"/>
      <w:bookmarkEnd w:id="42938"/>
      <w:r w:rsidR="00BB59CD">
        <w:rPr>
          <w:rFonts w:hint="cs"/>
          <w:rtl/>
        </w:rPr>
        <w:t xml:space="preserve">שלי. </w:t>
      </w:r>
      <w:bookmarkStart w:id="42939" w:name="_ETM_Q82_201769"/>
      <w:bookmarkEnd w:id="42939"/>
      <w:r w:rsidR="00BB59CD">
        <w:rPr>
          <w:rFonts w:hint="cs"/>
          <w:rtl/>
        </w:rPr>
        <w:t xml:space="preserve">הייתי </w:t>
      </w:r>
      <w:bookmarkStart w:id="42940" w:name="_ETM_Q82_202069"/>
      <w:bookmarkEnd w:id="42940"/>
      <w:r w:rsidR="00BB59CD">
        <w:rPr>
          <w:rFonts w:hint="cs"/>
          <w:rtl/>
        </w:rPr>
        <w:t xml:space="preserve">רוצה </w:t>
      </w:r>
      <w:bookmarkStart w:id="42941" w:name="_ETM_Q82_202339"/>
      <w:bookmarkEnd w:id="42941"/>
      <w:r w:rsidR="00BB59CD">
        <w:rPr>
          <w:rFonts w:hint="cs"/>
          <w:rtl/>
        </w:rPr>
        <w:t xml:space="preserve">לספר </w:t>
      </w:r>
      <w:bookmarkStart w:id="42942" w:name="_ETM_Q82_202880"/>
      <w:bookmarkEnd w:id="42942"/>
      <w:r w:rsidR="00BB59CD">
        <w:rPr>
          <w:rFonts w:hint="cs"/>
          <w:rtl/>
        </w:rPr>
        <w:t xml:space="preserve">לך </w:t>
      </w:r>
      <w:bookmarkStart w:id="42943" w:name="_ETM_Q82_203480"/>
      <w:bookmarkEnd w:id="42943"/>
      <w:r w:rsidR="00BB59CD">
        <w:rPr>
          <w:rFonts w:hint="cs"/>
          <w:rtl/>
        </w:rPr>
        <w:t xml:space="preserve">שזה </w:t>
      </w:r>
      <w:bookmarkStart w:id="42944" w:name="_ETM_Q82_203869"/>
      <w:bookmarkEnd w:id="42944"/>
      <w:r w:rsidR="00BB59CD">
        <w:rPr>
          <w:rFonts w:hint="cs"/>
          <w:rtl/>
        </w:rPr>
        <w:t xml:space="preserve">לא </w:t>
      </w:r>
      <w:bookmarkStart w:id="42945" w:name="_ETM_Q82_203989"/>
      <w:bookmarkEnd w:id="42945"/>
      <w:r w:rsidR="00BB59CD">
        <w:rPr>
          <w:rFonts w:hint="cs"/>
          <w:rtl/>
        </w:rPr>
        <w:t xml:space="preserve">הזיז </w:t>
      </w:r>
      <w:bookmarkStart w:id="42946" w:name="_ETM_Q82_204380"/>
      <w:bookmarkEnd w:id="42946"/>
      <w:r w:rsidR="00BB59CD">
        <w:rPr>
          <w:rFonts w:hint="cs"/>
          <w:rtl/>
        </w:rPr>
        <w:t xml:space="preserve">לי. </w:t>
      </w:r>
      <w:bookmarkStart w:id="42947" w:name="_ETM_Q82_204980"/>
      <w:bookmarkEnd w:id="42947"/>
      <w:r w:rsidR="00BB59CD">
        <w:rPr>
          <w:rFonts w:hint="cs"/>
          <w:rtl/>
        </w:rPr>
        <w:t xml:space="preserve">שאני </w:t>
      </w:r>
      <w:bookmarkStart w:id="42948" w:name="_ETM_Q82_205309"/>
      <w:bookmarkEnd w:id="42948"/>
      <w:r w:rsidR="00BB59CD">
        <w:rPr>
          <w:rFonts w:hint="cs"/>
          <w:rtl/>
        </w:rPr>
        <w:t xml:space="preserve">יותר </w:t>
      </w:r>
      <w:bookmarkStart w:id="42949" w:name="_ETM_Q82_205609"/>
      <w:bookmarkEnd w:id="42949"/>
      <w:r w:rsidR="00BB59CD">
        <w:rPr>
          <w:rFonts w:hint="cs"/>
          <w:rtl/>
        </w:rPr>
        <w:t xml:space="preserve">גדול </w:t>
      </w:r>
      <w:bookmarkStart w:id="42950" w:name="_ETM_Q82_205999"/>
      <w:bookmarkEnd w:id="42950"/>
      <w:r w:rsidR="00BB59CD">
        <w:rPr>
          <w:rFonts w:hint="cs"/>
          <w:rtl/>
        </w:rPr>
        <w:t xml:space="preserve">מזה. </w:t>
      </w:r>
      <w:bookmarkStart w:id="42951" w:name="_ETM_Q82_206719"/>
      <w:bookmarkEnd w:id="42951"/>
      <w:r w:rsidR="00BB59CD">
        <w:rPr>
          <w:rFonts w:hint="cs"/>
          <w:rtl/>
        </w:rPr>
        <w:t xml:space="preserve">שזה </w:t>
      </w:r>
      <w:bookmarkStart w:id="42952" w:name="_ETM_Q82_207079"/>
      <w:bookmarkEnd w:id="42952"/>
      <w:r w:rsidR="00BB59CD">
        <w:rPr>
          <w:rFonts w:hint="cs"/>
          <w:rtl/>
        </w:rPr>
        <w:t xml:space="preserve">עבר </w:t>
      </w:r>
      <w:bookmarkStart w:id="42953" w:name="_ETM_Q82_207380"/>
      <w:bookmarkEnd w:id="42953"/>
      <w:r w:rsidR="00BB59CD">
        <w:rPr>
          <w:rFonts w:hint="cs"/>
          <w:rtl/>
        </w:rPr>
        <w:t>לידי</w:t>
      </w:r>
      <w:bookmarkStart w:id="42954" w:name="_ETM_Q82_208550"/>
      <w:bookmarkEnd w:id="42954"/>
      <w:r w:rsidR="00BB59CD">
        <w:rPr>
          <w:rFonts w:hint="cs"/>
          <w:rtl/>
        </w:rPr>
        <w:t xml:space="preserve">. אבל </w:t>
      </w:r>
      <w:bookmarkStart w:id="42955" w:name="_ETM_Q82_208880"/>
      <w:bookmarkEnd w:id="42955"/>
      <w:r w:rsidR="00BB59CD">
        <w:rPr>
          <w:rFonts w:hint="cs"/>
          <w:rtl/>
        </w:rPr>
        <w:t xml:space="preserve">זה </w:t>
      </w:r>
      <w:bookmarkStart w:id="42956" w:name="_ETM_Q82_208999"/>
      <w:bookmarkEnd w:id="42956"/>
      <w:r w:rsidR="00BB59CD">
        <w:rPr>
          <w:rFonts w:hint="cs"/>
          <w:rtl/>
        </w:rPr>
        <w:t xml:space="preserve">צבט, </w:t>
      </w:r>
      <w:bookmarkStart w:id="42957" w:name="_ETM_Q82_209960"/>
      <w:bookmarkEnd w:id="42957"/>
      <w:r w:rsidR="00BB59CD">
        <w:rPr>
          <w:rFonts w:hint="cs"/>
          <w:rtl/>
        </w:rPr>
        <w:t xml:space="preserve">אני </w:t>
      </w:r>
      <w:bookmarkStart w:id="42958" w:name="_ETM_Q82_210349"/>
      <w:bookmarkEnd w:id="42958"/>
      <w:r w:rsidR="00BB59CD">
        <w:rPr>
          <w:rFonts w:hint="cs"/>
          <w:rtl/>
        </w:rPr>
        <w:t xml:space="preserve">מודה. </w:t>
      </w:r>
      <w:bookmarkStart w:id="42959" w:name="_ETM_Q82_211619"/>
      <w:bookmarkEnd w:id="42959"/>
      <w:r w:rsidR="00BB59CD">
        <w:rPr>
          <w:rFonts w:hint="cs"/>
          <w:rtl/>
        </w:rPr>
        <w:t xml:space="preserve">כל </w:t>
      </w:r>
      <w:bookmarkStart w:id="42960" w:name="_ETM_Q82_211800"/>
      <w:bookmarkEnd w:id="42960"/>
      <w:r w:rsidR="00BB59CD">
        <w:rPr>
          <w:rFonts w:hint="cs"/>
          <w:rtl/>
        </w:rPr>
        <w:t xml:space="preserve">כך </w:t>
      </w:r>
      <w:bookmarkStart w:id="42961" w:name="_ETM_Q82_212010"/>
      <w:bookmarkEnd w:id="42961"/>
      <w:r w:rsidR="00BB59CD">
        <w:rPr>
          <w:rFonts w:hint="cs"/>
          <w:rtl/>
        </w:rPr>
        <w:t xml:space="preserve">הרבה </w:t>
      </w:r>
      <w:bookmarkStart w:id="42962" w:name="_ETM_Q82_212250"/>
      <w:bookmarkEnd w:id="42962"/>
      <w:r w:rsidR="00BB59CD">
        <w:rPr>
          <w:rFonts w:hint="cs"/>
          <w:rtl/>
        </w:rPr>
        <w:t xml:space="preserve">מחשבות </w:t>
      </w:r>
      <w:bookmarkStart w:id="42963" w:name="_ETM_Q82_212790"/>
      <w:bookmarkEnd w:id="42963"/>
      <w:r w:rsidR="00BB59CD">
        <w:rPr>
          <w:rFonts w:hint="cs"/>
          <w:rtl/>
        </w:rPr>
        <w:t xml:space="preserve">טסו </w:t>
      </w:r>
      <w:bookmarkStart w:id="42964" w:name="_ETM_Q82_213150"/>
      <w:bookmarkEnd w:id="42964"/>
      <w:r w:rsidR="00BB59CD">
        <w:rPr>
          <w:rFonts w:hint="cs"/>
          <w:rtl/>
        </w:rPr>
        <w:t xml:space="preserve">לי </w:t>
      </w:r>
      <w:bookmarkStart w:id="42965" w:name="_ETM_Q82_213270"/>
      <w:bookmarkEnd w:id="42965"/>
      <w:r w:rsidR="00BB59CD">
        <w:rPr>
          <w:rFonts w:hint="cs"/>
          <w:rtl/>
        </w:rPr>
        <w:t xml:space="preserve">בראש </w:t>
      </w:r>
      <w:bookmarkStart w:id="42966" w:name="_ETM_Q82_213659"/>
      <w:bookmarkEnd w:id="42966"/>
      <w:r w:rsidR="00BB59CD">
        <w:rPr>
          <w:rFonts w:hint="cs"/>
          <w:rtl/>
        </w:rPr>
        <w:t xml:space="preserve">וכולן </w:t>
      </w:r>
      <w:bookmarkStart w:id="42967" w:name="_ETM_Q82_214560"/>
      <w:bookmarkEnd w:id="42967"/>
      <w:r w:rsidR="00BB59CD">
        <w:rPr>
          <w:rFonts w:hint="cs"/>
          <w:rtl/>
        </w:rPr>
        <w:t xml:space="preserve">בסוף </w:t>
      </w:r>
      <w:bookmarkStart w:id="42968" w:name="_ETM_Q82_215010"/>
      <w:bookmarkEnd w:id="42968"/>
      <w:r w:rsidR="00BB59CD">
        <w:rPr>
          <w:rFonts w:hint="cs"/>
          <w:rtl/>
        </w:rPr>
        <w:t xml:space="preserve">התנקזו </w:t>
      </w:r>
      <w:bookmarkStart w:id="42969" w:name="_ETM_Q82_215489"/>
      <w:bookmarkEnd w:id="42969"/>
      <w:r w:rsidR="00BB59CD">
        <w:rPr>
          <w:rFonts w:hint="cs"/>
          <w:rtl/>
        </w:rPr>
        <w:t xml:space="preserve">לרגע </w:t>
      </w:r>
      <w:bookmarkStart w:id="42970" w:name="_ETM_Q82_215909"/>
      <w:bookmarkEnd w:id="42970"/>
      <w:r w:rsidR="00BB59CD">
        <w:rPr>
          <w:rFonts w:hint="cs"/>
          <w:rtl/>
        </w:rPr>
        <w:t xml:space="preserve">אחד </w:t>
      </w:r>
      <w:bookmarkStart w:id="42971" w:name="_ETM_Q82_216210"/>
      <w:bookmarkEnd w:id="42971"/>
      <w:r w:rsidR="00BB59CD">
        <w:rPr>
          <w:rFonts w:hint="cs"/>
          <w:rtl/>
        </w:rPr>
        <w:t xml:space="preserve">מפעם </w:t>
      </w:r>
      <w:bookmarkStart w:id="42972" w:name="_ETM_Q82_217229"/>
      <w:bookmarkEnd w:id="42972"/>
      <w:r w:rsidR="00BB59CD">
        <w:rPr>
          <w:rFonts w:hint="cs"/>
          <w:rtl/>
        </w:rPr>
        <w:t xml:space="preserve">שננעץ לי </w:t>
      </w:r>
      <w:bookmarkStart w:id="42973" w:name="_ETM_Q82_217770"/>
      <w:bookmarkStart w:id="42974" w:name="_ETM_Q82_218010"/>
      <w:bookmarkEnd w:id="42973"/>
      <w:bookmarkEnd w:id="42974"/>
      <w:r w:rsidR="00BB59CD">
        <w:rPr>
          <w:rFonts w:hint="cs"/>
          <w:rtl/>
        </w:rPr>
        <w:t>בזיכרון</w:t>
      </w:r>
      <w:r>
        <w:rPr>
          <w:rFonts w:hint="cs"/>
          <w:rtl/>
        </w:rPr>
        <w:t>.</w:t>
      </w:r>
    </w:p>
    <w:p w:rsidR="00BB59CD" w:rsidRDefault="00BB59CD" w:rsidP="00BB59CD">
      <w:pPr>
        <w:rPr>
          <w:rtl/>
        </w:rPr>
      </w:pPr>
      <w:bookmarkStart w:id="42975" w:name="_ETM_Q82_220238"/>
      <w:bookmarkStart w:id="42976" w:name="_ETM_Q82_220378"/>
      <w:bookmarkEnd w:id="42975"/>
      <w:bookmarkEnd w:id="42976"/>
    </w:p>
    <w:p w:rsidR="00BB59CD" w:rsidRDefault="00BB59CD" w:rsidP="00C376D4">
      <w:pPr>
        <w:rPr>
          <w:rtl/>
        </w:rPr>
      </w:pPr>
      <w:bookmarkStart w:id="42977" w:name="_ETM_Q82_220461"/>
      <w:bookmarkStart w:id="42978" w:name="_ETM_Q82_220544"/>
      <w:bookmarkStart w:id="42979" w:name="_ETM_Q82_219820"/>
      <w:bookmarkEnd w:id="42977"/>
      <w:bookmarkEnd w:id="42978"/>
      <w:bookmarkEnd w:id="42979"/>
      <w:r>
        <w:rPr>
          <w:rFonts w:hint="cs"/>
          <w:rtl/>
        </w:rPr>
        <w:t xml:space="preserve">"בכיתה </w:t>
      </w:r>
      <w:bookmarkStart w:id="42980" w:name="_ETM_Q82_220300"/>
      <w:bookmarkEnd w:id="42980"/>
      <w:r>
        <w:rPr>
          <w:rFonts w:hint="cs"/>
          <w:rtl/>
        </w:rPr>
        <w:t xml:space="preserve">י"א </w:t>
      </w:r>
      <w:bookmarkStart w:id="42981" w:name="_ETM_Q82_221079"/>
      <w:bookmarkEnd w:id="42981"/>
      <w:r>
        <w:rPr>
          <w:rFonts w:hint="cs"/>
          <w:rtl/>
        </w:rPr>
        <w:t xml:space="preserve">שלחו </w:t>
      </w:r>
      <w:bookmarkStart w:id="42982" w:name="_ETM_Q82_221559"/>
      <w:bookmarkEnd w:id="42982"/>
      <w:r>
        <w:rPr>
          <w:rFonts w:hint="cs"/>
          <w:rtl/>
        </w:rPr>
        <w:t xml:space="preserve">אותי </w:t>
      </w:r>
      <w:bookmarkStart w:id="42983" w:name="_ETM_Q82_221739"/>
      <w:bookmarkEnd w:id="42983"/>
      <w:r>
        <w:rPr>
          <w:rFonts w:hint="cs"/>
          <w:rtl/>
        </w:rPr>
        <w:t xml:space="preserve">למחנה </w:t>
      </w:r>
      <w:bookmarkStart w:id="42984" w:name="_ETM_Q82_222190"/>
      <w:bookmarkEnd w:id="42984"/>
      <w:r>
        <w:rPr>
          <w:rFonts w:hint="cs"/>
          <w:rtl/>
        </w:rPr>
        <w:t xml:space="preserve">מנהיגות </w:t>
      </w:r>
      <w:bookmarkStart w:id="42985" w:name="_ETM_Q82_222579"/>
      <w:bookmarkEnd w:id="42985"/>
      <w:r>
        <w:rPr>
          <w:rFonts w:hint="cs"/>
          <w:rtl/>
        </w:rPr>
        <w:t xml:space="preserve">של </w:t>
      </w:r>
      <w:bookmarkStart w:id="42986" w:name="_ETM_Q82_222699"/>
      <w:bookmarkEnd w:id="42986"/>
      <w:r>
        <w:rPr>
          <w:rFonts w:hint="cs"/>
          <w:rtl/>
        </w:rPr>
        <w:t xml:space="preserve">מחוז </w:t>
      </w:r>
      <w:bookmarkStart w:id="42987" w:name="_ETM_Q82_223089"/>
      <w:bookmarkEnd w:id="42987"/>
      <w:r>
        <w:rPr>
          <w:rFonts w:hint="cs"/>
          <w:rtl/>
        </w:rPr>
        <w:t xml:space="preserve">צפון </w:t>
      </w:r>
      <w:bookmarkStart w:id="42988" w:name="_ETM_Q82_224170"/>
      <w:bookmarkEnd w:id="42988"/>
      <w:r>
        <w:rPr>
          <w:rFonts w:hint="cs"/>
          <w:rtl/>
        </w:rPr>
        <w:t xml:space="preserve">– כמה </w:t>
      </w:r>
      <w:bookmarkStart w:id="42989" w:name="_ETM_Q82_224500"/>
      <w:bookmarkEnd w:id="42989"/>
      <w:r>
        <w:rPr>
          <w:rFonts w:hint="cs"/>
          <w:rtl/>
        </w:rPr>
        <w:t xml:space="preserve">ימים </w:t>
      </w:r>
      <w:bookmarkStart w:id="42990" w:name="_ETM_Q82_224739"/>
      <w:bookmarkEnd w:id="42990"/>
      <w:r>
        <w:rPr>
          <w:rFonts w:hint="cs"/>
          <w:rtl/>
        </w:rPr>
        <w:t xml:space="preserve">אינטנסיביים </w:t>
      </w:r>
      <w:bookmarkStart w:id="42991" w:name="_ETM_Q82_225460"/>
      <w:bookmarkEnd w:id="42991"/>
      <w:r>
        <w:rPr>
          <w:rFonts w:hint="cs"/>
          <w:rtl/>
        </w:rPr>
        <w:t xml:space="preserve">של </w:t>
      </w:r>
      <w:bookmarkStart w:id="42992" w:name="_ETM_Q82_225609"/>
      <w:bookmarkEnd w:id="42992"/>
      <w:r>
        <w:rPr>
          <w:rFonts w:hint="cs"/>
          <w:rtl/>
        </w:rPr>
        <w:t xml:space="preserve">סדנאות, </w:t>
      </w:r>
      <w:bookmarkStart w:id="42993" w:name="_ETM_Q82_226149"/>
      <w:bookmarkEnd w:id="42993"/>
      <w:r>
        <w:rPr>
          <w:rFonts w:hint="cs"/>
          <w:rtl/>
        </w:rPr>
        <w:t xml:space="preserve">הרצאות </w:t>
      </w:r>
      <w:bookmarkStart w:id="42994" w:name="_ETM_Q82_226600"/>
      <w:bookmarkEnd w:id="42994"/>
      <w:r>
        <w:rPr>
          <w:rFonts w:hint="cs"/>
          <w:rtl/>
        </w:rPr>
        <w:t xml:space="preserve">ופעילויות </w:t>
      </w:r>
      <w:bookmarkStart w:id="42995" w:name="_ETM_Q82_227140"/>
      <w:bookmarkEnd w:id="42995"/>
      <w:r>
        <w:rPr>
          <w:rFonts w:hint="cs"/>
          <w:rtl/>
        </w:rPr>
        <w:t xml:space="preserve">שקשורות </w:t>
      </w:r>
      <w:bookmarkStart w:id="42996" w:name="_ETM_Q82_227679"/>
      <w:bookmarkEnd w:id="42996"/>
      <w:r>
        <w:rPr>
          <w:rFonts w:hint="cs"/>
          <w:rtl/>
        </w:rPr>
        <w:t xml:space="preserve">למנהיגות </w:t>
      </w:r>
      <w:bookmarkStart w:id="42997" w:name="_ETM_Q82_228190"/>
      <w:bookmarkEnd w:id="42997"/>
      <w:r>
        <w:rPr>
          <w:rFonts w:hint="cs"/>
          <w:rtl/>
        </w:rPr>
        <w:t xml:space="preserve">צעירה. </w:t>
      </w:r>
      <w:bookmarkStart w:id="42998" w:name="_ETM_Q82_229120"/>
      <w:bookmarkEnd w:id="42998"/>
      <w:r>
        <w:rPr>
          <w:rFonts w:hint="cs"/>
          <w:rtl/>
        </w:rPr>
        <w:t xml:space="preserve">היו </w:t>
      </w:r>
      <w:bookmarkStart w:id="42999" w:name="_ETM_Q82_229510"/>
      <w:bookmarkEnd w:id="42999"/>
      <w:r>
        <w:rPr>
          <w:rFonts w:hint="cs"/>
          <w:rtl/>
        </w:rPr>
        <w:t xml:space="preserve">שם </w:t>
      </w:r>
      <w:bookmarkStart w:id="43000" w:name="_ETM_Q82_229690"/>
      <w:bookmarkEnd w:id="43000"/>
      <w:r>
        <w:rPr>
          <w:rFonts w:hint="cs"/>
          <w:rtl/>
        </w:rPr>
        <w:t xml:space="preserve">חבר'ה </w:t>
      </w:r>
      <w:bookmarkStart w:id="43001" w:name="_ETM_Q82_230079"/>
      <w:bookmarkEnd w:id="43001"/>
      <w:r>
        <w:rPr>
          <w:rFonts w:hint="cs"/>
          <w:rtl/>
        </w:rPr>
        <w:t xml:space="preserve">טובים. </w:t>
      </w:r>
      <w:bookmarkStart w:id="43002" w:name="_ETM_Q82_230589"/>
      <w:bookmarkEnd w:id="43002"/>
      <w:r>
        <w:rPr>
          <w:rFonts w:hint="cs"/>
          <w:rtl/>
        </w:rPr>
        <w:t xml:space="preserve">כאלה </w:t>
      </w:r>
      <w:bookmarkStart w:id="43003" w:name="_ETM_Q82_230949"/>
      <w:bookmarkEnd w:id="43003"/>
      <w:r>
        <w:rPr>
          <w:rFonts w:hint="cs"/>
          <w:rtl/>
        </w:rPr>
        <w:t xml:space="preserve">עם </w:t>
      </w:r>
      <w:bookmarkStart w:id="43004" w:name="_ETM_Q82_231010"/>
      <w:bookmarkEnd w:id="43004"/>
      <w:r>
        <w:rPr>
          <w:rFonts w:hint="cs"/>
          <w:rtl/>
        </w:rPr>
        <w:t xml:space="preserve">מודעות </w:t>
      </w:r>
      <w:bookmarkStart w:id="43005" w:name="_ETM_Q82_231399"/>
      <w:bookmarkEnd w:id="43005"/>
      <w:r>
        <w:rPr>
          <w:rFonts w:hint="cs"/>
          <w:rtl/>
        </w:rPr>
        <w:t xml:space="preserve">חברתית </w:t>
      </w:r>
      <w:bookmarkStart w:id="43006" w:name="_ETM_Q82_231879"/>
      <w:bookmarkEnd w:id="43006"/>
      <w:r>
        <w:rPr>
          <w:rFonts w:hint="cs"/>
          <w:rtl/>
        </w:rPr>
        <w:t xml:space="preserve">גבוהה. </w:t>
      </w:r>
      <w:bookmarkStart w:id="43007" w:name="_ETM_Q82_232600"/>
      <w:bookmarkEnd w:id="43007"/>
      <w:r>
        <w:rPr>
          <w:rFonts w:hint="cs"/>
          <w:rtl/>
        </w:rPr>
        <w:t xml:space="preserve">עם </w:t>
      </w:r>
      <w:bookmarkStart w:id="43008" w:name="_ETM_Q82_232780"/>
      <w:bookmarkEnd w:id="43008"/>
      <w:r>
        <w:rPr>
          <w:rFonts w:hint="cs"/>
          <w:rtl/>
        </w:rPr>
        <w:t xml:space="preserve">דעות </w:t>
      </w:r>
      <w:bookmarkStart w:id="43009" w:name="_ETM_Q82_233109"/>
      <w:bookmarkEnd w:id="43009"/>
      <w:r>
        <w:rPr>
          <w:rFonts w:hint="cs"/>
          <w:rtl/>
        </w:rPr>
        <w:t xml:space="preserve">מוצקות, </w:t>
      </w:r>
      <w:bookmarkStart w:id="43010" w:name="_ETM_Q82_233949"/>
      <w:bookmarkEnd w:id="43010"/>
      <w:r>
        <w:rPr>
          <w:rFonts w:hint="cs"/>
          <w:rtl/>
        </w:rPr>
        <w:t xml:space="preserve">עם </w:t>
      </w:r>
      <w:bookmarkStart w:id="43011" w:name="_ETM_Q82_234070"/>
      <w:bookmarkEnd w:id="43011"/>
      <w:r>
        <w:rPr>
          <w:rFonts w:hint="cs"/>
          <w:rtl/>
        </w:rPr>
        <w:t xml:space="preserve">השקפות </w:t>
      </w:r>
      <w:bookmarkStart w:id="43012" w:name="_ETM_Q82_234600"/>
      <w:bookmarkEnd w:id="43012"/>
      <w:r>
        <w:rPr>
          <w:rFonts w:hint="cs"/>
          <w:rtl/>
        </w:rPr>
        <w:t xml:space="preserve">מגובשות. </w:t>
      </w:r>
      <w:bookmarkStart w:id="43013" w:name="_ETM_Q82_235860"/>
      <w:bookmarkEnd w:id="43013"/>
      <w:r>
        <w:rPr>
          <w:rFonts w:hint="cs"/>
          <w:rtl/>
        </w:rPr>
        <w:t xml:space="preserve">כן, </w:t>
      </w:r>
      <w:bookmarkStart w:id="43014" w:name="_ETM_Q82_236859"/>
      <w:bookmarkEnd w:id="43014"/>
      <w:r>
        <w:rPr>
          <w:rFonts w:hint="cs"/>
          <w:rtl/>
        </w:rPr>
        <w:t xml:space="preserve">הם </w:t>
      </w:r>
      <w:bookmarkStart w:id="43015" w:name="_ETM_Q82_237070"/>
      <w:bookmarkEnd w:id="43015"/>
      <w:r>
        <w:rPr>
          <w:rFonts w:hint="cs"/>
          <w:rtl/>
        </w:rPr>
        <w:t xml:space="preserve">היו </w:t>
      </w:r>
      <w:bookmarkStart w:id="43016" w:name="_ETM_Q82_237280"/>
      <w:bookmarkEnd w:id="43016"/>
      <w:r>
        <w:rPr>
          <w:rFonts w:hint="cs"/>
          <w:rtl/>
        </w:rPr>
        <w:t xml:space="preserve">חבר'ה </w:t>
      </w:r>
      <w:bookmarkStart w:id="43017" w:name="_ETM_Q82_237699"/>
      <w:bookmarkEnd w:id="43017"/>
      <w:r>
        <w:rPr>
          <w:rFonts w:hint="cs"/>
          <w:rtl/>
        </w:rPr>
        <w:t xml:space="preserve">טובים... </w:t>
      </w:r>
      <w:bookmarkStart w:id="43018" w:name="_ETM_Q82_239050"/>
      <w:bookmarkEnd w:id="43018"/>
      <w:r>
        <w:rPr>
          <w:rFonts w:hint="cs"/>
          <w:rtl/>
        </w:rPr>
        <w:t xml:space="preserve">עד </w:t>
      </w:r>
      <w:bookmarkStart w:id="43019" w:name="_ETM_Q82_239650"/>
      <w:bookmarkEnd w:id="43019"/>
      <w:r>
        <w:rPr>
          <w:rFonts w:hint="cs"/>
          <w:rtl/>
        </w:rPr>
        <w:t xml:space="preserve">שהגיע </w:t>
      </w:r>
      <w:bookmarkStart w:id="43020" w:name="_ETM_Q82_240310"/>
      <w:bookmarkEnd w:id="43020"/>
      <w:r>
        <w:rPr>
          <w:rFonts w:hint="cs"/>
          <w:rtl/>
        </w:rPr>
        <w:t xml:space="preserve">הלילה. </w:t>
      </w:r>
      <w:bookmarkStart w:id="43021" w:name="_ETM_Q82_241760"/>
      <w:bookmarkEnd w:id="43021"/>
      <w:r>
        <w:rPr>
          <w:rFonts w:hint="cs"/>
          <w:rtl/>
        </w:rPr>
        <w:t xml:space="preserve">כי </w:t>
      </w:r>
      <w:bookmarkStart w:id="43022" w:name="_ETM_Q82_241940"/>
      <w:bookmarkEnd w:id="43022"/>
      <w:r>
        <w:rPr>
          <w:rFonts w:hint="cs"/>
          <w:rtl/>
        </w:rPr>
        <w:t xml:space="preserve">בלילה, </w:t>
      </w:r>
      <w:bookmarkStart w:id="43023" w:name="_ETM_Q82_242690"/>
      <w:bookmarkEnd w:id="43023"/>
      <w:r>
        <w:rPr>
          <w:rFonts w:hint="cs"/>
          <w:rtl/>
        </w:rPr>
        <w:t xml:space="preserve">אחרי </w:t>
      </w:r>
      <w:bookmarkStart w:id="43024" w:name="_ETM_Q82_242989"/>
      <w:bookmarkEnd w:id="43024"/>
      <w:r>
        <w:rPr>
          <w:rFonts w:hint="cs"/>
          <w:rtl/>
        </w:rPr>
        <w:t xml:space="preserve">שהפעילות </w:t>
      </w:r>
      <w:bookmarkStart w:id="43025" w:name="_ETM_Q82_243620"/>
      <w:bookmarkEnd w:id="43025"/>
      <w:r>
        <w:rPr>
          <w:rFonts w:hint="cs"/>
          <w:rtl/>
        </w:rPr>
        <w:t xml:space="preserve">הפורמלית </w:t>
      </w:r>
      <w:bookmarkStart w:id="43026" w:name="_ETM_Q82_244190"/>
      <w:bookmarkEnd w:id="43026"/>
      <w:r>
        <w:rPr>
          <w:rFonts w:hint="cs"/>
          <w:rtl/>
        </w:rPr>
        <w:t xml:space="preserve">הסתיימה, </w:t>
      </w:r>
      <w:bookmarkStart w:id="43027" w:name="_ETM_Q82_245060"/>
      <w:bookmarkEnd w:id="43027"/>
      <w:r>
        <w:rPr>
          <w:rFonts w:hint="cs"/>
          <w:rtl/>
        </w:rPr>
        <w:t xml:space="preserve">רבים </w:t>
      </w:r>
      <w:bookmarkStart w:id="43028" w:name="_ETM_Q82_245510"/>
      <w:bookmarkEnd w:id="43028"/>
      <w:r>
        <w:rPr>
          <w:rFonts w:hint="cs"/>
          <w:rtl/>
        </w:rPr>
        <w:t xml:space="preserve">מהם </w:t>
      </w:r>
      <w:bookmarkStart w:id="43029" w:name="_ETM_Q82_245690"/>
      <w:bookmarkEnd w:id="43029"/>
      <w:r>
        <w:rPr>
          <w:rFonts w:hint="cs"/>
          <w:rtl/>
        </w:rPr>
        <w:t xml:space="preserve">פשטו </w:t>
      </w:r>
      <w:bookmarkStart w:id="43030" w:name="_ETM_Q82_246110"/>
      <w:bookmarkEnd w:id="43030"/>
      <w:r>
        <w:rPr>
          <w:rFonts w:hint="cs"/>
          <w:rtl/>
        </w:rPr>
        <w:t xml:space="preserve">את </w:t>
      </w:r>
      <w:bookmarkStart w:id="43031" w:name="_ETM_Q82_246229"/>
      <w:bookmarkEnd w:id="43031"/>
      <w:r>
        <w:rPr>
          <w:rFonts w:hint="cs"/>
          <w:rtl/>
        </w:rPr>
        <w:t xml:space="preserve">מלבוש </w:t>
      </w:r>
      <w:bookmarkStart w:id="43032" w:name="_ETM_Q82_247040"/>
      <w:bookmarkEnd w:id="43032"/>
      <w:r>
        <w:rPr>
          <w:rFonts w:hint="cs"/>
          <w:rtl/>
        </w:rPr>
        <w:t xml:space="preserve">האידיאליזם, </w:t>
      </w:r>
      <w:bookmarkStart w:id="43033" w:name="_ETM_Q82_248270"/>
      <w:bookmarkEnd w:id="43033"/>
      <w:r>
        <w:rPr>
          <w:rFonts w:hint="cs"/>
          <w:rtl/>
        </w:rPr>
        <w:t xml:space="preserve">וחזרו </w:t>
      </w:r>
      <w:bookmarkStart w:id="43034" w:name="_ETM_Q82_248900"/>
      <w:bookmarkEnd w:id="43034"/>
      <w:r>
        <w:rPr>
          <w:rFonts w:hint="cs"/>
          <w:rtl/>
        </w:rPr>
        <w:t xml:space="preserve">להיות... </w:t>
      </w:r>
      <w:bookmarkStart w:id="43035" w:name="_ETM_Q82_249800"/>
      <w:bookmarkEnd w:id="43035"/>
      <w:r>
        <w:rPr>
          <w:rFonts w:hint="cs"/>
          <w:rtl/>
        </w:rPr>
        <w:t xml:space="preserve">בני </w:t>
      </w:r>
      <w:bookmarkStart w:id="43036" w:name="_ETM_Q82_250159"/>
      <w:bookmarkEnd w:id="43036"/>
      <w:r>
        <w:rPr>
          <w:rFonts w:hint="cs"/>
          <w:rtl/>
        </w:rPr>
        <w:t xml:space="preserve">נוער. </w:t>
      </w:r>
      <w:bookmarkStart w:id="43037" w:name="_ETM_Q82_251350"/>
      <w:bookmarkEnd w:id="43037"/>
      <w:r>
        <w:rPr>
          <w:rFonts w:hint="cs"/>
          <w:rtl/>
        </w:rPr>
        <w:t xml:space="preserve">וכמעט </w:t>
      </w:r>
      <w:bookmarkStart w:id="43038" w:name="_ETM_Q82_252430"/>
      <w:bookmarkEnd w:id="43038"/>
      <w:r>
        <w:rPr>
          <w:rFonts w:hint="cs"/>
          <w:rtl/>
        </w:rPr>
        <w:t xml:space="preserve">כמו </w:t>
      </w:r>
      <w:bookmarkStart w:id="43039" w:name="_ETM_Q82_252670"/>
      <w:bookmarkEnd w:id="43039"/>
      <w:r>
        <w:rPr>
          <w:rFonts w:hint="cs"/>
          <w:rtl/>
        </w:rPr>
        <w:t xml:space="preserve">בכל </w:t>
      </w:r>
      <w:bookmarkStart w:id="43040" w:name="_ETM_Q82_253000"/>
      <w:bookmarkEnd w:id="43040"/>
      <w:r>
        <w:rPr>
          <w:rFonts w:hint="cs"/>
          <w:rtl/>
        </w:rPr>
        <w:t xml:space="preserve">חבורת </w:t>
      </w:r>
      <w:bookmarkStart w:id="43041" w:name="_ETM_Q82_253569"/>
      <w:bookmarkEnd w:id="43041"/>
      <w:r>
        <w:rPr>
          <w:rFonts w:hint="cs"/>
          <w:rtl/>
        </w:rPr>
        <w:t xml:space="preserve">בני </w:t>
      </w:r>
      <w:bookmarkStart w:id="43042" w:name="_ETM_Q82_253899"/>
      <w:bookmarkEnd w:id="43042"/>
      <w:r>
        <w:rPr>
          <w:rFonts w:hint="cs"/>
          <w:rtl/>
        </w:rPr>
        <w:t xml:space="preserve">נוער </w:t>
      </w:r>
      <w:bookmarkStart w:id="43043" w:name="_ETM_Q82_254319"/>
      <w:bookmarkEnd w:id="43043"/>
      <w:r>
        <w:rPr>
          <w:rFonts w:hint="cs"/>
          <w:rtl/>
        </w:rPr>
        <w:t xml:space="preserve">נוצרו </w:t>
      </w:r>
      <w:bookmarkStart w:id="43044" w:name="_ETM_Q82_254770"/>
      <w:bookmarkEnd w:id="43044"/>
      <w:r>
        <w:rPr>
          <w:rFonts w:hint="cs"/>
          <w:rtl/>
        </w:rPr>
        <w:t xml:space="preserve">מעמדות </w:t>
      </w:r>
      <w:bookmarkStart w:id="43045" w:name="_ETM_Q82_255310"/>
      <w:bookmarkEnd w:id="43045"/>
      <w:r>
        <w:rPr>
          <w:rFonts w:hint="cs"/>
          <w:rtl/>
        </w:rPr>
        <w:t xml:space="preserve">חברתיים. </w:t>
      </w:r>
      <w:bookmarkStart w:id="43046" w:name="_ETM_Q82_256360"/>
      <w:bookmarkEnd w:id="43046"/>
      <w:r>
        <w:rPr>
          <w:rFonts w:hint="cs"/>
          <w:rtl/>
        </w:rPr>
        <w:t xml:space="preserve">מקובלים </w:t>
      </w:r>
      <w:bookmarkStart w:id="43047" w:name="_ETM_Q82_257079"/>
      <w:bookmarkEnd w:id="43047"/>
      <w:r>
        <w:rPr>
          <w:rFonts w:hint="cs"/>
          <w:rtl/>
        </w:rPr>
        <w:t xml:space="preserve">ולא </w:t>
      </w:r>
      <w:bookmarkStart w:id="43048" w:name="_ETM_Q82_257350"/>
      <w:bookmarkEnd w:id="43048"/>
      <w:r>
        <w:rPr>
          <w:rFonts w:hint="cs"/>
          <w:rtl/>
        </w:rPr>
        <w:t xml:space="preserve">מקובלים. </w:t>
      </w:r>
      <w:bookmarkStart w:id="43049" w:name="_ETM_Q82_258219"/>
      <w:bookmarkEnd w:id="43049"/>
      <w:r>
        <w:rPr>
          <w:rFonts w:hint="cs"/>
          <w:rtl/>
        </w:rPr>
        <w:t xml:space="preserve">סיפורי </w:t>
      </w:r>
      <w:bookmarkStart w:id="43050" w:name="_ETM_Q82_258789"/>
      <w:bookmarkEnd w:id="43050"/>
      <w:r>
        <w:rPr>
          <w:rFonts w:hint="cs"/>
          <w:rtl/>
        </w:rPr>
        <w:t xml:space="preserve">אהבה </w:t>
      </w:r>
      <w:bookmarkStart w:id="43051" w:name="_ETM_Q82_259240"/>
      <w:bookmarkEnd w:id="43051"/>
      <w:r>
        <w:rPr>
          <w:rFonts w:hint="cs"/>
          <w:rtl/>
        </w:rPr>
        <w:t xml:space="preserve">ושנאה </w:t>
      </w:r>
      <w:bookmarkStart w:id="43052" w:name="_ETM_Q82_259840"/>
      <w:bookmarkEnd w:id="43052"/>
      <w:r>
        <w:rPr>
          <w:rFonts w:hint="cs"/>
          <w:rtl/>
        </w:rPr>
        <w:t xml:space="preserve">וקנאה. </w:t>
      </w:r>
      <w:bookmarkStart w:id="43053" w:name="_ETM_Q82_259649"/>
      <w:bookmarkEnd w:id="43053"/>
      <w:r>
        <w:rPr>
          <w:rFonts w:hint="cs"/>
          <w:rtl/>
        </w:rPr>
        <w:t xml:space="preserve">נו, </w:t>
      </w:r>
      <w:bookmarkStart w:id="43054" w:name="_ETM_Q82_260709"/>
      <w:bookmarkStart w:id="43055" w:name="_ETM_Q82_261340"/>
      <w:bookmarkEnd w:id="43054"/>
      <w:bookmarkEnd w:id="43055"/>
      <w:r>
        <w:rPr>
          <w:rFonts w:hint="cs"/>
          <w:rtl/>
        </w:rPr>
        <w:t xml:space="preserve">כרוניקת </w:t>
      </w:r>
      <w:bookmarkStart w:id="43056" w:name="_ETM_Q82_261880"/>
      <w:bookmarkEnd w:id="43056"/>
      <w:r>
        <w:rPr>
          <w:rFonts w:hint="cs"/>
          <w:rtl/>
        </w:rPr>
        <w:t xml:space="preserve">התיכון </w:t>
      </w:r>
      <w:bookmarkStart w:id="43057" w:name="_ETM_Q82_262390"/>
      <w:bookmarkEnd w:id="43057"/>
      <w:r>
        <w:rPr>
          <w:rFonts w:hint="cs"/>
          <w:rtl/>
        </w:rPr>
        <w:t xml:space="preserve">המוכרת. </w:t>
      </w:r>
      <w:bookmarkStart w:id="43058" w:name="_ETM_Q82_263770"/>
      <w:bookmarkEnd w:id="43058"/>
      <w:r>
        <w:rPr>
          <w:rFonts w:hint="cs"/>
          <w:rtl/>
        </w:rPr>
        <w:t xml:space="preserve">כל </w:t>
      </w:r>
      <w:bookmarkStart w:id="43059" w:name="_ETM_Q82_264039"/>
      <w:bookmarkEnd w:id="43059"/>
      <w:r>
        <w:rPr>
          <w:rFonts w:hint="cs"/>
          <w:rtl/>
        </w:rPr>
        <w:t xml:space="preserve">זה </w:t>
      </w:r>
      <w:bookmarkStart w:id="43060" w:name="_ETM_Q82_264189"/>
      <w:bookmarkEnd w:id="43060"/>
      <w:r>
        <w:rPr>
          <w:rFonts w:hint="cs"/>
          <w:rtl/>
        </w:rPr>
        <w:t xml:space="preserve">היה </w:t>
      </w:r>
      <w:bookmarkStart w:id="43061" w:name="_ETM_Q82_264399"/>
      <w:bookmarkEnd w:id="43061"/>
      <w:r>
        <w:rPr>
          <w:rFonts w:hint="cs"/>
          <w:rtl/>
        </w:rPr>
        <w:t xml:space="preserve">סביר </w:t>
      </w:r>
      <w:bookmarkStart w:id="43062" w:name="_ETM_Q82_264789"/>
      <w:bookmarkEnd w:id="43062"/>
      <w:r>
        <w:rPr>
          <w:rFonts w:hint="cs"/>
          <w:rtl/>
        </w:rPr>
        <w:t xml:space="preserve">יחסית, </w:t>
      </w:r>
      <w:bookmarkStart w:id="43063" w:name="_ETM_Q82_265779"/>
      <w:bookmarkEnd w:id="43063"/>
      <w:r>
        <w:rPr>
          <w:rFonts w:hint="cs"/>
          <w:rtl/>
        </w:rPr>
        <w:t xml:space="preserve">חוץ </w:t>
      </w:r>
      <w:bookmarkStart w:id="43064" w:name="_ETM_Q82_266109"/>
      <w:bookmarkEnd w:id="43064"/>
      <w:r>
        <w:rPr>
          <w:rFonts w:hint="cs"/>
          <w:rtl/>
        </w:rPr>
        <w:t xml:space="preserve">מהתנכלות </w:t>
      </w:r>
      <w:bookmarkStart w:id="43065" w:name="_ETM_Q82_266679"/>
      <w:bookmarkEnd w:id="43065"/>
      <w:r>
        <w:rPr>
          <w:rFonts w:hint="cs"/>
          <w:rtl/>
        </w:rPr>
        <w:t xml:space="preserve">ספציפית </w:t>
      </w:r>
      <w:bookmarkStart w:id="43066" w:name="_ETM_Q82_267310"/>
      <w:bookmarkEnd w:id="43066"/>
      <w:r>
        <w:rPr>
          <w:rFonts w:hint="cs"/>
          <w:rtl/>
        </w:rPr>
        <w:t xml:space="preserve">לילד </w:t>
      </w:r>
      <w:bookmarkStart w:id="43067" w:name="_ETM_Q82_267729"/>
      <w:bookmarkEnd w:id="43067"/>
      <w:r>
        <w:rPr>
          <w:rFonts w:hint="cs"/>
          <w:rtl/>
        </w:rPr>
        <w:t xml:space="preserve">ספציפי </w:t>
      </w:r>
      <w:bookmarkStart w:id="43068" w:name="_ETM_Q82_268719"/>
      <w:bookmarkEnd w:id="43068"/>
      <w:r>
        <w:rPr>
          <w:rFonts w:hint="cs"/>
          <w:rtl/>
        </w:rPr>
        <w:t xml:space="preserve">שישן </w:t>
      </w:r>
      <w:bookmarkStart w:id="43069" w:name="_ETM_Q82_269349"/>
      <w:bookmarkEnd w:id="43069"/>
      <w:r>
        <w:rPr>
          <w:rFonts w:hint="cs"/>
          <w:rtl/>
        </w:rPr>
        <w:t xml:space="preserve">בחדר </w:t>
      </w:r>
      <w:bookmarkStart w:id="43070" w:name="_ETM_Q82_269799"/>
      <w:bookmarkEnd w:id="43070"/>
      <w:r>
        <w:rPr>
          <w:rFonts w:hint="cs"/>
          <w:rtl/>
        </w:rPr>
        <w:t xml:space="preserve">לידי. </w:t>
      </w:r>
      <w:bookmarkStart w:id="43071" w:name="_ETM_Q82_271060"/>
      <w:bookmarkEnd w:id="43071"/>
      <w:r>
        <w:rPr>
          <w:rFonts w:hint="cs"/>
          <w:rtl/>
        </w:rPr>
        <w:t xml:space="preserve">הוא </w:t>
      </w:r>
      <w:bookmarkStart w:id="43072" w:name="_ETM_Q82_271180"/>
      <w:bookmarkEnd w:id="43072"/>
      <w:r>
        <w:rPr>
          <w:rFonts w:hint="cs"/>
          <w:rtl/>
        </w:rPr>
        <w:t xml:space="preserve">לא </w:t>
      </w:r>
      <w:bookmarkStart w:id="43073" w:name="_ETM_Q82_271270"/>
      <w:bookmarkEnd w:id="43073"/>
      <w:r>
        <w:rPr>
          <w:rFonts w:hint="cs"/>
          <w:rtl/>
        </w:rPr>
        <w:t xml:space="preserve">כל </w:t>
      </w:r>
      <w:bookmarkStart w:id="43074" w:name="_ETM_Q82_271420"/>
      <w:bookmarkEnd w:id="43074"/>
      <w:r>
        <w:rPr>
          <w:rFonts w:hint="cs"/>
          <w:rtl/>
        </w:rPr>
        <w:t xml:space="preserve">כך </w:t>
      </w:r>
      <w:bookmarkStart w:id="43075" w:name="_ETM_Q82_271630"/>
      <w:bookmarkEnd w:id="43075"/>
      <w:r>
        <w:rPr>
          <w:rFonts w:hint="cs"/>
          <w:rtl/>
        </w:rPr>
        <w:t xml:space="preserve">תאם </w:t>
      </w:r>
      <w:bookmarkStart w:id="43076" w:name="_ETM_Q82_271899"/>
      <w:bookmarkEnd w:id="43076"/>
      <w:r>
        <w:rPr>
          <w:rFonts w:hint="cs"/>
          <w:rtl/>
        </w:rPr>
        <w:t xml:space="preserve">את </w:t>
      </w:r>
      <w:bookmarkStart w:id="43077" w:name="_ETM_Q82_272020"/>
      <w:bookmarkEnd w:id="43077"/>
      <w:r>
        <w:rPr>
          <w:rFonts w:hint="cs"/>
          <w:rtl/>
        </w:rPr>
        <w:t xml:space="preserve">הפרופיל </w:t>
      </w:r>
      <w:bookmarkStart w:id="43078" w:name="_ETM_Q82_272380"/>
      <w:bookmarkEnd w:id="43078"/>
      <w:r>
        <w:rPr>
          <w:rFonts w:hint="cs"/>
          <w:rtl/>
        </w:rPr>
        <w:t xml:space="preserve">של </w:t>
      </w:r>
      <w:bookmarkStart w:id="43079" w:name="_ETM_Q82_272530"/>
      <w:bookmarkEnd w:id="43079"/>
      <w:r>
        <w:rPr>
          <w:rFonts w:hint="cs"/>
          <w:rtl/>
        </w:rPr>
        <w:t xml:space="preserve">בני </w:t>
      </w:r>
      <w:bookmarkStart w:id="43080" w:name="_ETM_Q82_272770"/>
      <w:bookmarkEnd w:id="43080"/>
      <w:r>
        <w:rPr>
          <w:rFonts w:hint="cs"/>
          <w:rtl/>
        </w:rPr>
        <w:t xml:space="preserve">הנוער </w:t>
      </w:r>
      <w:bookmarkStart w:id="43081" w:name="_ETM_Q82_273009"/>
      <w:bookmarkEnd w:id="43081"/>
      <w:r>
        <w:rPr>
          <w:rFonts w:hint="cs"/>
          <w:rtl/>
        </w:rPr>
        <w:t xml:space="preserve">שהגיעו </w:t>
      </w:r>
      <w:bookmarkStart w:id="43082" w:name="_ETM_Q82_273459"/>
      <w:bookmarkEnd w:id="43082"/>
      <w:r>
        <w:rPr>
          <w:rFonts w:hint="cs"/>
          <w:rtl/>
        </w:rPr>
        <w:t xml:space="preserve">בדרך </w:t>
      </w:r>
      <w:bookmarkStart w:id="43083" w:name="_ETM_Q82_273850"/>
      <w:bookmarkEnd w:id="43083"/>
      <w:r>
        <w:rPr>
          <w:rFonts w:hint="cs"/>
          <w:rtl/>
        </w:rPr>
        <w:t xml:space="preserve">כלל </w:t>
      </w:r>
      <w:bookmarkStart w:id="43084" w:name="_ETM_Q82_274060"/>
      <w:bookmarkEnd w:id="43084"/>
      <w:r>
        <w:rPr>
          <w:rFonts w:hint="cs"/>
          <w:rtl/>
        </w:rPr>
        <w:t xml:space="preserve">למחנות </w:t>
      </w:r>
      <w:bookmarkStart w:id="43085" w:name="_ETM_Q82_274569"/>
      <w:bookmarkEnd w:id="43085"/>
      <w:r>
        <w:rPr>
          <w:rFonts w:hint="cs"/>
          <w:rtl/>
        </w:rPr>
        <w:t xml:space="preserve">האלה. </w:t>
      </w:r>
      <w:bookmarkStart w:id="43086" w:name="_ETM_Q82_275319"/>
      <w:bookmarkEnd w:id="43086"/>
      <w:r>
        <w:rPr>
          <w:rFonts w:hint="cs"/>
          <w:rtl/>
        </w:rPr>
        <w:t xml:space="preserve">הוא </w:t>
      </w:r>
      <w:bookmarkStart w:id="43087" w:name="_ETM_Q82_275470"/>
      <w:bookmarkEnd w:id="43087"/>
      <w:r>
        <w:rPr>
          <w:rFonts w:hint="cs"/>
          <w:rtl/>
        </w:rPr>
        <w:t xml:space="preserve">היה </w:t>
      </w:r>
      <w:bookmarkStart w:id="43088" w:name="_ETM_Q82_275680"/>
      <w:bookmarkEnd w:id="43088"/>
      <w:r>
        <w:rPr>
          <w:rFonts w:hint="cs"/>
          <w:rtl/>
        </w:rPr>
        <w:t xml:space="preserve">ביישן. </w:t>
      </w:r>
      <w:bookmarkStart w:id="43089" w:name="_ETM_Q82_276340"/>
      <w:bookmarkEnd w:id="43089"/>
      <w:r>
        <w:rPr>
          <w:rFonts w:hint="cs"/>
          <w:rtl/>
        </w:rPr>
        <w:t xml:space="preserve">כחוש. </w:t>
      </w:r>
      <w:bookmarkStart w:id="43090" w:name="_ETM_Q82_276940"/>
      <w:bookmarkEnd w:id="43090"/>
      <w:r>
        <w:rPr>
          <w:rFonts w:hint="cs"/>
          <w:rtl/>
        </w:rPr>
        <w:t xml:space="preserve">לא </w:t>
      </w:r>
      <w:bookmarkStart w:id="43091" w:name="_ETM_Q82_277060"/>
      <w:bookmarkEnd w:id="43091"/>
      <w:r>
        <w:rPr>
          <w:rFonts w:hint="cs"/>
          <w:rtl/>
        </w:rPr>
        <w:t xml:space="preserve">מאוד </w:t>
      </w:r>
      <w:bookmarkStart w:id="43092" w:name="_ETM_Q82_277360"/>
      <w:bookmarkEnd w:id="43092"/>
      <w:r>
        <w:rPr>
          <w:rFonts w:hint="cs"/>
          <w:rtl/>
        </w:rPr>
        <w:t xml:space="preserve">רהוט. </w:t>
      </w:r>
      <w:bookmarkStart w:id="43093" w:name="_ETM_Q82_277840"/>
      <w:bookmarkEnd w:id="43093"/>
      <w:r>
        <w:rPr>
          <w:rFonts w:hint="cs"/>
          <w:rtl/>
        </w:rPr>
        <w:t xml:space="preserve">בקיצור </w:t>
      </w:r>
      <w:r>
        <w:t>–</w:t>
      </w:r>
      <w:r>
        <w:rPr>
          <w:rtl/>
        </w:rPr>
        <w:t xml:space="preserve"> </w:t>
      </w:r>
      <w:bookmarkStart w:id="43094" w:name="_ETM_Q82_278650"/>
      <w:bookmarkEnd w:id="43094"/>
      <w:r>
        <w:rPr>
          <w:rFonts w:hint="cs"/>
          <w:rtl/>
        </w:rPr>
        <w:t xml:space="preserve">טרף קל. </w:t>
      </w:r>
      <w:bookmarkStart w:id="43095" w:name="_ETM_Q82_280140"/>
      <w:bookmarkEnd w:id="43095"/>
      <w:r>
        <w:rPr>
          <w:rFonts w:hint="cs"/>
          <w:rtl/>
        </w:rPr>
        <w:t xml:space="preserve">החבר'ה </w:t>
      </w:r>
      <w:bookmarkStart w:id="43096" w:name="_ETM_Q82_280590"/>
      <w:bookmarkEnd w:id="43096"/>
      <w:r>
        <w:rPr>
          <w:rFonts w:hint="cs"/>
          <w:rtl/>
        </w:rPr>
        <w:t xml:space="preserve">הטובים </w:t>
      </w:r>
      <w:bookmarkStart w:id="43097" w:name="_ETM_Q82_280980"/>
      <w:bookmarkEnd w:id="43097"/>
      <w:r>
        <w:rPr>
          <w:rFonts w:hint="cs"/>
          <w:rtl/>
        </w:rPr>
        <w:t xml:space="preserve">האלה </w:t>
      </w:r>
      <w:bookmarkStart w:id="43098" w:name="_ETM_Q82_281250"/>
      <w:bookmarkEnd w:id="43098"/>
      <w:r>
        <w:rPr>
          <w:rFonts w:hint="cs"/>
          <w:rtl/>
        </w:rPr>
        <w:t xml:space="preserve">זיהו </w:t>
      </w:r>
      <w:bookmarkStart w:id="43099" w:name="_ETM_Q82_281550"/>
      <w:bookmarkEnd w:id="43099"/>
      <w:r>
        <w:rPr>
          <w:rFonts w:hint="cs"/>
          <w:rtl/>
        </w:rPr>
        <w:t>תיק</w:t>
      </w:r>
      <w:bookmarkStart w:id="43100" w:name="_ETM_Q82_281850"/>
      <w:bookmarkEnd w:id="43100"/>
      <w:r>
        <w:rPr>
          <w:rFonts w:hint="cs"/>
          <w:rtl/>
        </w:rPr>
        <w:t xml:space="preserve">-תק </w:t>
      </w:r>
      <w:bookmarkStart w:id="43101" w:name="_ETM_Q82_282090"/>
      <w:bookmarkEnd w:id="43101"/>
      <w:r>
        <w:rPr>
          <w:rFonts w:hint="cs"/>
          <w:rtl/>
        </w:rPr>
        <w:t xml:space="preserve">את </w:t>
      </w:r>
      <w:bookmarkStart w:id="43102" w:name="_ETM_Q82_282240"/>
      <w:bookmarkEnd w:id="43102"/>
      <w:r>
        <w:rPr>
          <w:rFonts w:hint="cs"/>
          <w:rtl/>
        </w:rPr>
        <w:t xml:space="preserve">הפוטנציאל, </w:t>
      </w:r>
      <w:bookmarkStart w:id="43103" w:name="_ETM_Q82_282840"/>
      <w:bookmarkEnd w:id="43103"/>
      <w:r>
        <w:rPr>
          <w:rFonts w:hint="cs"/>
          <w:rtl/>
        </w:rPr>
        <w:t xml:space="preserve">ועשו </w:t>
      </w:r>
      <w:bookmarkStart w:id="43104" w:name="_ETM_Q82_283230"/>
      <w:bookmarkEnd w:id="43104"/>
      <w:r>
        <w:rPr>
          <w:rFonts w:hint="cs"/>
          <w:rtl/>
        </w:rPr>
        <w:t xml:space="preserve">לו </w:t>
      </w:r>
      <w:bookmarkStart w:id="43105" w:name="_ETM_Q82_283350"/>
      <w:bookmarkEnd w:id="43105"/>
      <w:r>
        <w:rPr>
          <w:rFonts w:hint="cs"/>
          <w:rtl/>
        </w:rPr>
        <w:t xml:space="preserve">את </w:t>
      </w:r>
      <w:bookmarkStart w:id="43106" w:name="_ETM_Q82_283470"/>
      <w:bookmarkEnd w:id="43106"/>
      <w:r>
        <w:rPr>
          <w:rFonts w:hint="cs"/>
          <w:rtl/>
        </w:rPr>
        <w:t xml:space="preserve">המוות. </w:t>
      </w:r>
      <w:bookmarkStart w:id="43107" w:name="_ETM_Q82_284459"/>
      <w:bookmarkEnd w:id="43107"/>
      <w:r>
        <w:rPr>
          <w:rFonts w:hint="cs"/>
          <w:rtl/>
        </w:rPr>
        <w:t xml:space="preserve">הם </w:t>
      </w:r>
      <w:bookmarkStart w:id="43108" w:name="_ETM_Q82_284640"/>
      <w:bookmarkEnd w:id="43108"/>
      <w:r>
        <w:rPr>
          <w:rFonts w:hint="cs"/>
          <w:rtl/>
        </w:rPr>
        <w:t xml:space="preserve">לא </w:t>
      </w:r>
      <w:bookmarkStart w:id="43109" w:name="_ETM_Q82_284760"/>
      <w:bookmarkEnd w:id="43109"/>
      <w:r>
        <w:rPr>
          <w:rFonts w:hint="cs"/>
          <w:rtl/>
        </w:rPr>
        <w:t xml:space="preserve">היו </w:t>
      </w:r>
      <w:bookmarkStart w:id="43110" w:name="_ETM_Q82_284940"/>
      <w:bookmarkEnd w:id="43110"/>
      <w:r>
        <w:rPr>
          <w:rFonts w:hint="cs"/>
          <w:rtl/>
        </w:rPr>
        <w:t xml:space="preserve">צריכים </w:t>
      </w:r>
      <w:bookmarkStart w:id="43111" w:name="_ETM_Q82_285360"/>
      <w:bookmarkEnd w:id="43111"/>
      <w:r>
        <w:rPr>
          <w:rFonts w:hint="cs"/>
          <w:rtl/>
        </w:rPr>
        <w:t xml:space="preserve">אלימות </w:t>
      </w:r>
      <w:bookmarkStart w:id="43112" w:name="_ETM_Q82_285750"/>
      <w:bookmarkEnd w:id="43112"/>
      <w:r>
        <w:rPr>
          <w:rFonts w:hint="cs"/>
          <w:rtl/>
        </w:rPr>
        <w:t xml:space="preserve">פיזית </w:t>
      </w:r>
      <w:bookmarkStart w:id="43113" w:name="_ETM_Q82_286560"/>
      <w:bookmarkEnd w:id="43113"/>
      <w:r>
        <w:rPr>
          <w:rFonts w:hint="cs"/>
          <w:rtl/>
        </w:rPr>
        <w:t xml:space="preserve">כי </w:t>
      </w:r>
      <w:bookmarkStart w:id="43114" w:name="_ETM_Q82_286740"/>
      <w:bookmarkEnd w:id="43114"/>
      <w:r>
        <w:rPr>
          <w:rFonts w:hint="cs"/>
          <w:rtl/>
        </w:rPr>
        <w:t xml:space="preserve">הם </w:t>
      </w:r>
      <w:bookmarkStart w:id="43115" w:name="_ETM_Q82_286860"/>
      <w:bookmarkEnd w:id="43115"/>
      <w:r>
        <w:rPr>
          <w:rFonts w:hint="cs"/>
          <w:rtl/>
        </w:rPr>
        <w:t xml:space="preserve">היו </w:t>
      </w:r>
      <w:bookmarkStart w:id="43116" w:name="_ETM_Q82_287010"/>
      <w:bookmarkEnd w:id="43116"/>
      <w:r>
        <w:rPr>
          <w:rFonts w:hint="cs"/>
          <w:rtl/>
        </w:rPr>
        <w:t xml:space="preserve">מספיק </w:t>
      </w:r>
      <w:bookmarkStart w:id="43117" w:name="_ETM_Q82_287490"/>
      <w:bookmarkEnd w:id="43117"/>
      <w:r>
        <w:rPr>
          <w:rFonts w:hint="cs"/>
          <w:rtl/>
        </w:rPr>
        <w:t xml:space="preserve">חריפים </w:t>
      </w:r>
      <w:bookmarkStart w:id="43118" w:name="_ETM_Q82_288030"/>
      <w:bookmarkEnd w:id="43118"/>
      <w:r>
        <w:rPr>
          <w:rFonts w:hint="cs"/>
          <w:rtl/>
        </w:rPr>
        <w:t xml:space="preserve">במילים. </w:t>
      </w:r>
      <w:bookmarkStart w:id="43119" w:name="_ETM_Q82_288720"/>
      <w:bookmarkEnd w:id="43119"/>
      <w:r>
        <w:rPr>
          <w:rFonts w:hint="cs"/>
          <w:rtl/>
        </w:rPr>
        <w:t xml:space="preserve">עקיצות. </w:t>
      </w:r>
      <w:bookmarkStart w:id="43120" w:name="_ETM_Q82_289530"/>
      <w:bookmarkEnd w:id="43120"/>
      <w:r>
        <w:rPr>
          <w:rFonts w:hint="cs"/>
          <w:rtl/>
        </w:rPr>
        <w:t xml:space="preserve">גיחוכים. </w:t>
      </w:r>
      <w:bookmarkStart w:id="43121" w:name="_ETM_Q82_290160"/>
      <w:bookmarkEnd w:id="43121"/>
      <w:r>
        <w:rPr>
          <w:rFonts w:hint="cs"/>
          <w:rtl/>
        </w:rPr>
        <w:t xml:space="preserve">השפלות. </w:t>
      </w:r>
      <w:bookmarkStart w:id="43122" w:name="_ETM_Q82_291159"/>
      <w:bookmarkEnd w:id="43122"/>
      <w:r>
        <w:rPr>
          <w:rFonts w:hint="cs"/>
          <w:rtl/>
        </w:rPr>
        <w:t xml:space="preserve">זה הפך </w:t>
      </w:r>
      <w:bookmarkStart w:id="43123" w:name="_ETM_Q82_291790"/>
      <w:bookmarkEnd w:id="43123"/>
      <w:r>
        <w:rPr>
          <w:rFonts w:hint="cs"/>
          <w:rtl/>
        </w:rPr>
        <w:t xml:space="preserve">להיות </w:t>
      </w:r>
      <w:bookmarkStart w:id="43124" w:name="_ETM_Q82_292120"/>
      <w:bookmarkEnd w:id="43124"/>
      <w:r>
        <w:rPr>
          <w:rFonts w:hint="cs"/>
          <w:rtl/>
        </w:rPr>
        <w:t xml:space="preserve">קטע. </w:t>
      </w:r>
      <w:bookmarkStart w:id="43125" w:name="_ETM_Q82_293510"/>
      <w:bookmarkEnd w:id="43125"/>
      <w:r>
        <w:rPr>
          <w:rFonts w:hint="cs"/>
          <w:rtl/>
        </w:rPr>
        <w:t xml:space="preserve">בערב </w:t>
      </w:r>
      <w:bookmarkStart w:id="43126" w:name="_ETM_Q82_294140"/>
      <w:bookmarkEnd w:id="43126"/>
      <w:r>
        <w:rPr>
          <w:rFonts w:hint="cs"/>
          <w:rtl/>
        </w:rPr>
        <w:t xml:space="preserve">המדריכים </w:t>
      </w:r>
      <w:bookmarkStart w:id="43127" w:name="_ETM_Q82_294650"/>
      <w:bookmarkEnd w:id="43127"/>
      <w:r>
        <w:rPr>
          <w:rFonts w:hint="cs"/>
          <w:rtl/>
        </w:rPr>
        <w:t xml:space="preserve">היו </w:t>
      </w:r>
      <w:bookmarkStart w:id="43128" w:name="_ETM_Q82_294830"/>
      <w:bookmarkEnd w:id="43128"/>
      <w:r>
        <w:rPr>
          <w:rFonts w:hint="cs"/>
          <w:rtl/>
        </w:rPr>
        <w:t xml:space="preserve">פורשים </w:t>
      </w:r>
      <w:bookmarkStart w:id="43129" w:name="_ETM_Q82_295370"/>
      <w:bookmarkEnd w:id="43129"/>
      <w:r>
        <w:rPr>
          <w:rFonts w:hint="cs"/>
          <w:rtl/>
        </w:rPr>
        <w:t xml:space="preserve">לחדרים </w:t>
      </w:r>
      <w:bookmarkStart w:id="43130" w:name="_ETM_Q82_295880"/>
      <w:bookmarkEnd w:id="43130"/>
      <w:r>
        <w:rPr>
          <w:rFonts w:hint="cs"/>
          <w:rtl/>
        </w:rPr>
        <w:t xml:space="preserve">שלהם, </w:t>
      </w:r>
      <w:bookmarkStart w:id="43131" w:name="_ETM_Q82_296360"/>
      <w:bookmarkEnd w:id="43131"/>
      <w:r>
        <w:rPr>
          <w:rFonts w:hint="cs"/>
          <w:rtl/>
        </w:rPr>
        <w:t xml:space="preserve">ואז </w:t>
      </w:r>
      <w:bookmarkStart w:id="43132" w:name="_ETM_Q82_296750"/>
      <w:bookmarkEnd w:id="43132"/>
      <w:r>
        <w:rPr>
          <w:rFonts w:hint="cs"/>
          <w:rtl/>
        </w:rPr>
        <w:t xml:space="preserve">היה </w:t>
      </w:r>
      <w:bookmarkStart w:id="43133" w:name="_ETM_Q82_296960"/>
      <w:bookmarkEnd w:id="43133"/>
      <w:r>
        <w:rPr>
          <w:rFonts w:hint="cs"/>
          <w:rtl/>
        </w:rPr>
        <w:t xml:space="preserve">מתחיל </w:t>
      </w:r>
      <w:bookmarkStart w:id="43134" w:name="_ETM_Q82_297290"/>
      <w:bookmarkEnd w:id="43134"/>
      <w:r>
        <w:rPr>
          <w:rFonts w:hint="cs"/>
          <w:rtl/>
        </w:rPr>
        <w:t xml:space="preserve">הטבח. </w:t>
      </w:r>
      <w:bookmarkStart w:id="43135" w:name="_ETM_Q82_298530"/>
      <w:bookmarkEnd w:id="43135"/>
      <w:r>
        <w:rPr>
          <w:rFonts w:hint="cs"/>
          <w:rtl/>
        </w:rPr>
        <w:t xml:space="preserve">הסתכלתי </w:t>
      </w:r>
      <w:bookmarkStart w:id="43136" w:name="_ETM_Q82_299189"/>
      <w:bookmarkEnd w:id="43136"/>
      <w:r>
        <w:rPr>
          <w:rFonts w:hint="cs"/>
          <w:rtl/>
        </w:rPr>
        <w:t xml:space="preserve">מהצד </w:t>
      </w:r>
      <w:bookmarkStart w:id="43137" w:name="_ETM_Q82_299640"/>
      <w:bookmarkEnd w:id="43137"/>
      <w:r>
        <w:rPr>
          <w:rFonts w:hint="cs"/>
          <w:rtl/>
        </w:rPr>
        <w:t xml:space="preserve">בבטן </w:t>
      </w:r>
      <w:bookmarkStart w:id="43138" w:name="_ETM_Q82_300060"/>
      <w:bookmarkEnd w:id="43138"/>
      <w:r>
        <w:rPr>
          <w:rFonts w:hint="cs"/>
          <w:rtl/>
        </w:rPr>
        <w:t xml:space="preserve">מכווצת </w:t>
      </w:r>
      <w:bookmarkStart w:id="43139" w:name="_ETM_Q82_301079"/>
      <w:bookmarkEnd w:id="43139"/>
      <w:r>
        <w:rPr>
          <w:rFonts w:hint="cs"/>
          <w:rtl/>
        </w:rPr>
        <w:t xml:space="preserve">– כל </w:t>
      </w:r>
      <w:bookmarkStart w:id="43140" w:name="_ETM_Q82_301319"/>
      <w:bookmarkEnd w:id="43140"/>
      <w:r>
        <w:rPr>
          <w:rFonts w:hint="cs"/>
          <w:rtl/>
        </w:rPr>
        <w:t xml:space="preserve">כך </w:t>
      </w:r>
      <w:bookmarkStart w:id="43141" w:name="_ETM_Q82_301560"/>
      <w:bookmarkEnd w:id="43141"/>
      <w:r>
        <w:rPr>
          <w:rFonts w:hint="cs"/>
          <w:rtl/>
        </w:rPr>
        <w:t xml:space="preserve">רציתי </w:t>
      </w:r>
      <w:bookmarkStart w:id="43142" w:name="_ETM_Q82_302009"/>
      <w:bookmarkEnd w:id="43142"/>
      <w:r>
        <w:rPr>
          <w:rFonts w:hint="cs"/>
          <w:rtl/>
        </w:rPr>
        <w:t xml:space="preserve">לעמוד </w:t>
      </w:r>
      <w:bookmarkStart w:id="43143" w:name="_ETM_Q82_302429"/>
      <w:bookmarkEnd w:id="43143"/>
      <w:r>
        <w:rPr>
          <w:rFonts w:hint="cs"/>
          <w:rtl/>
        </w:rPr>
        <w:t>מול</w:t>
      </w:r>
      <w:bookmarkStart w:id="43144" w:name="_ETM_Q82_302670"/>
      <w:bookmarkEnd w:id="43144"/>
      <w:r>
        <w:rPr>
          <w:rFonts w:hint="cs"/>
          <w:rtl/>
        </w:rPr>
        <w:t xml:space="preserve">ם </w:t>
      </w:r>
      <w:bookmarkStart w:id="43145" w:name="_ETM_Q82_302880"/>
      <w:bookmarkEnd w:id="43145"/>
      <w:r>
        <w:rPr>
          <w:rFonts w:hint="cs"/>
          <w:rtl/>
        </w:rPr>
        <w:t xml:space="preserve">ולשחרר </w:t>
      </w:r>
      <w:bookmarkStart w:id="43146" w:name="_ETM_Q82_303569"/>
      <w:bookmarkEnd w:id="43146"/>
      <w:r>
        <w:rPr>
          <w:rFonts w:hint="cs"/>
          <w:rtl/>
        </w:rPr>
        <w:t xml:space="preserve">אותו </w:t>
      </w:r>
      <w:bookmarkStart w:id="43147" w:name="_ETM_Q82_303869"/>
      <w:bookmarkEnd w:id="43147"/>
      <w:r>
        <w:rPr>
          <w:rFonts w:hint="cs"/>
          <w:rtl/>
        </w:rPr>
        <w:t xml:space="preserve">מהציפורניים </w:t>
      </w:r>
      <w:bookmarkStart w:id="43148" w:name="_ETM_Q82_304649"/>
      <w:bookmarkEnd w:id="43148"/>
      <w:r>
        <w:rPr>
          <w:rFonts w:hint="cs"/>
          <w:rtl/>
        </w:rPr>
        <w:t xml:space="preserve">שלהם, </w:t>
      </w:r>
      <w:bookmarkStart w:id="43149" w:name="_ETM_Q82_305609"/>
      <w:bookmarkEnd w:id="43149"/>
      <w:r>
        <w:rPr>
          <w:rFonts w:hint="cs"/>
          <w:rtl/>
        </w:rPr>
        <w:t xml:space="preserve">אבל </w:t>
      </w:r>
      <w:bookmarkStart w:id="43150" w:name="_ETM_Q82_305999"/>
      <w:bookmarkEnd w:id="43150"/>
      <w:r>
        <w:rPr>
          <w:rFonts w:hint="cs"/>
          <w:rtl/>
        </w:rPr>
        <w:t xml:space="preserve">באותה </w:t>
      </w:r>
      <w:bookmarkStart w:id="43151" w:name="_ETM_Q82_306359"/>
      <w:bookmarkEnd w:id="43151"/>
      <w:r>
        <w:rPr>
          <w:rFonts w:hint="cs"/>
          <w:rtl/>
        </w:rPr>
        <w:t xml:space="preserve">נשימה </w:t>
      </w:r>
      <w:bookmarkStart w:id="43152" w:name="_ETM_Q82_307439"/>
      <w:bookmarkEnd w:id="43152"/>
      <w:r>
        <w:rPr>
          <w:rFonts w:hint="cs"/>
          <w:rtl/>
        </w:rPr>
        <w:t xml:space="preserve">גם </w:t>
      </w:r>
      <w:bookmarkStart w:id="43153" w:name="_ETM_Q82_307679"/>
      <w:bookmarkEnd w:id="43153"/>
      <w:r>
        <w:rPr>
          <w:rFonts w:hint="cs"/>
          <w:rtl/>
        </w:rPr>
        <w:t xml:space="preserve">רציתי </w:t>
      </w:r>
      <w:bookmarkStart w:id="43154" w:name="_ETM_Q82_308129"/>
      <w:bookmarkEnd w:id="43154"/>
      <w:r>
        <w:rPr>
          <w:rFonts w:hint="cs"/>
          <w:rtl/>
        </w:rPr>
        <w:t xml:space="preserve">להיות </w:t>
      </w:r>
      <w:bookmarkStart w:id="43155" w:name="_ETM_Q82_308400"/>
      <w:bookmarkEnd w:id="43155"/>
      <w:r>
        <w:rPr>
          <w:rFonts w:hint="cs"/>
          <w:rtl/>
        </w:rPr>
        <w:t xml:space="preserve">חלק </w:t>
      </w:r>
      <w:bookmarkStart w:id="43156" w:name="_ETM_Q82_308730"/>
      <w:bookmarkEnd w:id="43156"/>
      <w:r>
        <w:rPr>
          <w:rFonts w:hint="cs"/>
          <w:rtl/>
        </w:rPr>
        <w:t xml:space="preserve">מהחבר'ה. </w:t>
      </w:r>
      <w:bookmarkStart w:id="43157" w:name="_ETM_Q82_309950"/>
      <w:bookmarkEnd w:id="43157"/>
      <w:r>
        <w:rPr>
          <w:rFonts w:hint="cs"/>
          <w:rtl/>
        </w:rPr>
        <w:t xml:space="preserve">אז </w:t>
      </w:r>
      <w:bookmarkStart w:id="43158" w:name="_ETM_Q82_310129"/>
      <w:bookmarkEnd w:id="43158"/>
      <w:r>
        <w:rPr>
          <w:rFonts w:hint="cs"/>
          <w:rtl/>
        </w:rPr>
        <w:t xml:space="preserve">שתקתי. </w:t>
      </w:r>
      <w:bookmarkStart w:id="43159" w:name="_ETM_Q82_311569"/>
      <w:bookmarkEnd w:id="43159"/>
    </w:p>
    <w:p w:rsidR="00BB59CD" w:rsidRDefault="00BB59CD" w:rsidP="00BB59CD">
      <w:pPr>
        <w:rPr>
          <w:rtl/>
        </w:rPr>
      </w:pPr>
    </w:p>
    <w:p w:rsidR="00BB59CD" w:rsidRDefault="00BB59CD" w:rsidP="00727E6B">
      <w:pPr>
        <w:rPr>
          <w:rtl/>
        </w:rPr>
      </w:pPr>
      <w:bookmarkStart w:id="43160" w:name="_ETM_Q82_310739"/>
      <w:bookmarkStart w:id="43161" w:name="_ETM_Q82_310792"/>
      <w:bookmarkEnd w:id="43160"/>
      <w:bookmarkEnd w:id="43161"/>
      <w:r>
        <w:rPr>
          <w:rFonts w:hint="cs"/>
          <w:rtl/>
        </w:rPr>
        <w:t xml:space="preserve">"בסוף </w:t>
      </w:r>
      <w:bookmarkStart w:id="43162" w:name="_ETM_Q82_311959"/>
      <w:bookmarkEnd w:id="43162"/>
      <w:r>
        <w:rPr>
          <w:rFonts w:hint="cs"/>
          <w:rtl/>
        </w:rPr>
        <w:t xml:space="preserve">כל </w:t>
      </w:r>
      <w:bookmarkStart w:id="43163" w:name="_ETM_Q82_312139"/>
      <w:bookmarkEnd w:id="43163"/>
      <w:r>
        <w:rPr>
          <w:rFonts w:hint="cs"/>
          <w:rtl/>
        </w:rPr>
        <w:t xml:space="preserve">יום, </w:t>
      </w:r>
      <w:bookmarkStart w:id="43164" w:name="_ETM_Q82_312319"/>
      <w:bookmarkEnd w:id="43164"/>
      <w:r>
        <w:rPr>
          <w:rFonts w:hint="cs"/>
          <w:rtl/>
        </w:rPr>
        <w:t xml:space="preserve">המדריכים </w:t>
      </w:r>
      <w:bookmarkStart w:id="43165" w:name="_ETM_Q82_312799"/>
      <w:bookmarkEnd w:id="43165"/>
      <w:r>
        <w:rPr>
          <w:rFonts w:hint="cs"/>
          <w:rtl/>
        </w:rPr>
        <w:t xml:space="preserve">היו </w:t>
      </w:r>
      <w:bookmarkStart w:id="43166" w:name="_ETM_Q82_312950"/>
      <w:bookmarkEnd w:id="43166"/>
      <w:r>
        <w:rPr>
          <w:rFonts w:hint="cs"/>
          <w:rtl/>
        </w:rPr>
        <w:t xml:space="preserve">מושיבים </w:t>
      </w:r>
      <w:bookmarkStart w:id="43167" w:name="_ETM_Q82_313370"/>
      <w:bookmarkEnd w:id="43167"/>
      <w:r>
        <w:rPr>
          <w:rFonts w:hint="cs"/>
          <w:rtl/>
        </w:rPr>
        <w:t xml:space="preserve">אותנו </w:t>
      </w:r>
      <w:bookmarkStart w:id="43168" w:name="_ETM_Q82_314030"/>
      <w:bookmarkEnd w:id="43168"/>
      <w:r>
        <w:rPr>
          <w:rFonts w:hint="cs"/>
          <w:rtl/>
        </w:rPr>
        <w:t xml:space="preserve">במעגל </w:t>
      </w:r>
      <w:bookmarkStart w:id="43169" w:name="_ETM_Q82_314629"/>
      <w:bookmarkEnd w:id="43169"/>
      <w:r>
        <w:rPr>
          <w:rFonts w:hint="cs"/>
          <w:rtl/>
        </w:rPr>
        <w:t xml:space="preserve">לשיחות </w:t>
      </w:r>
      <w:bookmarkStart w:id="43170" w:name="_ETM_Q82_315110"/>
      <w:bookmarkEnd w:id="43170"/>
      <w:r>
        <w:rPr>
          <w:rFonts w:hint="cs"/>
          <w:rtl/>
        </w:rPr>
        <w:t xml:space="preserve">משוב </w:t>
      </w:r>
      <w:bookmarkStart w:id="43171" w:name="_ETM_Q82_315590"/>
      <w:bookmarkEnd w:id="43171"/>
      <w:r>
        <w:rPr>
          <w:rFonts w:hint="cs"/>
          <w:rtl/>
        </w:rPr>
        <w:t xml:space="preserve">על </w:t>
      </w:r>
      <w:bookmarkStart w:id="43172" w:name="_ETM_Q82_315709"/>
      <w:bookmarkEnd w:id="43172"/>
      <w:r>
        <w:rPr>
          <w:rFonts w:hint="cs"/>
          <w:rtl/>
        </w:rPr>
        <w:t xml:space="preserve">היום </w:t>
      </w:r>
      <w:bookmarkStart w:id="43173" w:name="_ETM_Q82_315950"/>
      <w:bookmarkEnd w:id="43173"/>
      <w:r>
        <w:rPr>
          <w:rFonts w:hint="cs"/>
          <w:rtl/>
        </w:rPr>
        <w:t xml:space="preserve">שהיה. </w:t>
      </w:r>
      <w:bookmarkStart w:id="43174" w:name="_ETM_Q82_316849"/>
      <w:bookmarkEnd w:id="43174"/>
      <w:r>
        <w:rPr>
          <w:rFonts w:hint="cs"/>
          <w:rtl/>
        </w:rPr>
        <w:t xml:space="preserve">הם </w:t>
      </w:r>
      <w:bookmarkStart w:id="43175" w:name="_ETM_Q82_317000"/>
      <w:bookmarkEnd w:id="43175"/>
      <w:r>
        <w:rPr>
          <w:rFonts w:hint="cs"/>
          <w:rtl/>
        </w:rPr>
        <w:t xml:space="preserve">ביקשו </w:t>
      </w:r>
      <w:bookmarkStart w:id="43176" w:name="_ETM_Q82_317239"/>
      <w:bookmarkEnd w:id="43176"/>
      <w:r>
        <w:rPr>
          <w:rFonts w:hint="cs"/>
          <w:rtl/>
        </w:rPr>
        <w:t xml:space="preserve">שנציף </w:t>
      </w:r>
      <w:bookmarkStart w:id="43177" w:name="_ETM_Q82_317769"/>
      <w:bookmarkEnd w:id="43177"/>
      <w:r>
        <w:rPr>
          <w:rFonts w:hint="cs"/>
          <w:rtl/>
        </w:rPr>
        <w:t xml:space="preserve">מסקנות, </w:t>
      </w:r>
      <w:bookmarkStart w:id="43178" w:name="_ETM_Q82_318310"/>
      <w:bookmarkEnd w:id="43178"/>
      <w:r>
        <w:rPr>
          <w:rFonts w:hint="cs"/>
          <w:rtl/>
        </w:rPr>
        <w:t xml:space="preserve">תובנות, </w:t>
      </w:r>
      <w:bookmarkStart w:id="43179" w:name="_ETM_Q82_318730"/>
      <w:bookmarkEnd w:id="43179"/>
      <w:r>
        <w:rPr>
          <w:rFonts w:hint="cs"/>
          <w:rtl/>
        </w:rPr>
        <w:t xml:space="preserve">נקודות </w:t>
      </w:r>
      <w:bookmarkStart w:id="43180" w:name="_ETM_Q82_319150"/>
      <w:bookmarkEnd w:id="43180"/>
      <w:r>
        <w:rPr>
          <w:rFonts w:hint="cs"/>
          <w:rtl/>
        </w:rPr>
        <w:t xml:space="preserve">חולשה </w:t>
      </w:r>
      <w:bookmarkStart w:id="43181" w:name="_ETM_Q82_319480"/>
      <w:bookmarkEnd w:id="43181"/>
      <w:r>
        <w:rPr>
          <w:rFonts w:hint="cs"/>
          <w:rtl/>
        </w:rPr>
        <w:t xml:space="preserve">וחוזקה, </w:t>
      </w:r>
      <w:bookmarkStart w:id="43182" w:name="_ETM_Q82_320019"/>
      <w:bookmarkEnd w:id="43182"/>
      <w:r>
        <w:rPr>
          <w:rFonts w:hint="cs"/>
          <w:rtl/>
        </w:rPr>
        <w:t xml:space="preserve">הצעות </w:t>
      </w:r>
      <w:bookmarkStart w:id="43183" w:name="_ETM_Q82_320410"/>
      <w:bookmarkEnd w:id="43183"/>
      <w:r>
        <w:rPr>
          <w:rFonts w:hint="cs"/>
          <w:rtl/>
        </w:rPr>
        <w:t xml:space="preserve">ייעול </w:t>
      </w:r>
      <w:bookmarkStart w:id="43184" w:name="_ETM_Q82_320680"/>
      <w:bookmarkEnd w:id="43184"/>
      <w:r>
        <w:rPr>
          <w:rFonts w:hint="cs"/>
          <w:rtl/>
        </w:rPr>
        <w:t xml:space="preserve">ושיפור </w:t>
      </w:r>
      <w:bookmarkStart w:id="43185" w:name="_ETM_Q82_321129"/>
      <w:bookmarkEnd w:id="43185"/>
      <w:r>
        <w:rPr>
          <w:rFonts w:hint="cs"/>
          <w:rtl/>
        </w:rPr>
        <w:t>וכדו</w:t>
      </w:r>
      <w:r w:rsidR="00727E6B">
        <w:rPr>
          <w:rFonts w:hint="cs"/>
          <w:rtl/>
        </w:rPr>
        <w:t>מה</w:t>
      </w:r>
      <w:r>
        <w:rPr>
          <w:rFonts w:hint="cs"/>
          <w:rtl/>
        </w:rPr>
        <w:t xml:space="preserve"> (</w:t>
      </w:r>
      <w:bookmarkStart w:id="43186" w:name="_ETM_Q82_322150"/>
      <w:bookmarkEnd w:id="43186"/>
      <w:r>
        <w:rPr>
          <w:rFonts w:hint="cs"/>
          <w:rtl/>
        </w:rPr>
        <w:t xml:space="preserve">איך </w:t>
      </w:r>
      <w:bookmarkStart w:id="43187" w:name="_ETM_Q82_322419"/>
      <w:bookmarkEnd w:id="43187"/>
      <w:r>
        <w:rPr>
          <w:rFonts w:hint="cs"/>
          <w:rtl/>
        </w:rPr>
        <w:t xml:space="preserve">הם </w:t>
      </w:r>
      <w:bookmarkStart w:id="43188" w:name="_ETM_Q82_322599"/>
      <w:bookmarkEnd w:id="43188"/>
      <w:r>
        <w:rPr>
          <w:rFonts w:hint="cs"/>
          <w:rtl/>
        </w:rPr>
        <w:t xml:space="preserve">מתים </w:t>
      </w:r>
      <w:bookmarkStart w:id="43189" w:name="_ETM_Q82_323110"/>
      <w:bookmarkEnd w:id="43189"/>
      <w:r>
        <w:rPr>
          <w:rFonts w:hint="cs"/>
          <w:rtl/>
        </w:rPr>
        <w:t xml:space="preserve">על </w:t>
      </w:r>
      <w:bookmarkStart w:id="43190" w:name="_ETM_Q82_323230"/>
      <w:bookmarkEnd w:id="43190"/>
      <w:r>
        <w:rPr>
          <w:rFonts w:hint="cs"/>
          <w:rtl/>
        </w:rPr>
        <w:t xml:space="preserve">השיחות </w:t>
      </w:r>
      <w:bookmarkStart w:id="43191" w:name="_ETM_Q82_323739"/>
      <w:bookmarkEnd w:id="43191"/>
      <w:r>
        <w:rPr>
          <w:rFonts w:hint="cs"/>
          <w:rtl/>
        </w:rPr>
        <w:t xml:space="preserve">האלה...) </w:t>
      </w:r>
      <w:bookmarkStart w:id="43192" w:name="_ETM_Q82_324770"/>
      <w:bookmarkEnd w:id="43192"/>
      <w:r>
        <w:rPr>
          <w:rFonts w:hint="cs"/>
          <w:rtl/>
        </w:rPr>
        <w:t xml:space="preserve">אנשים </w:t>
      </w:r>
      <w:bookmarkStart w:id="43193" w:name="_ETM_Q82_325190"/>
      <w:bookmarkEnd w:id="43193"/>
      <w:r>
        <w:rPr>
          <w:rFonts w:hint="cs"/>
          <w:rtl/>
        </w:rPr>
        <w:t xml:space="preserve">הצביעו </w:t>
      </w:r>
      <w:bookmarkStart w:id="43194" w:name="_ETM_Q82_325610"/>
      <w:bookmarkEnd w:id="43194"/>
      <w:r>
        <w:rPr>
          <w:rFonts w:hint="cs"/>
          <w:rtl/>
        </w:rPr>
        <w:t xml:space="preserve">ודיברו. </w:t>
      </w:r>
      <w:bookmarkStart w:id="43195" w:name="_ETM_Q82_326060"/>
      <w:bookmarkEnd w:id="43195"/>
      <w:r>
        <w:rPr>
          <w:rFonts w:hint="cs"/>
          <w:rtl/>
        </w:rPr>
        <w:t xml:space="preserve">ודיברו. </w:t>
      </w:r>
      <w:bookmarkStart w:id="43196" w:name="_ETM_Q82_326419"/>
      <w:bookmarkEnd w:id="43196"/>
      <w:r>
        <w:rPr>
          <w:rFonts w:hint="cs"/>
          <w:rtl/>
        </w:rPr>
        <w:t xml:space="preserve">ודיברו. </w:t>
      </w:r>
      <w:bookmarkStart w:id="43197" w:name="_ETM_Q82_327230"/>
      <w:bookmarkEnd w:id="43197"/>
      <w:r>
        <w:rPr>
          <w:rFonts w:hint="cs"/>
          <w:rtl/>
        </w:rPr>
        <w:t xml:space="preserve">על </w:t>
      </w:r>
      <w:bookmarkStart w:id="43198" w:name="_ETM_Q82_327410"/>
      <w:bookmarkEnd w:id="43198"/>
      <w:r>
        <w:rPr>
          <w:rFonts w:hint="cs"/>
          <w:rtl/>
        </w:rPr>
        <w:t xml:space="preserve">התכנים. </w:t>
      </w:r>
      <w:bookmarkStart w:id="43199" w:name="_ETM_Q82_327950"/>
      <w:bookmarkEnd w:id="43199"/>
      <w:r>
        <w:rPr>
          <w:rFonts w:hint="cs"/>
          <w:rtl/>
        </w:rPr>
        <w:t xml:space="preserve">על </w:t>
      </w:r>
      <w:bookmarkStart w:id="43200" w:name="_ETM_Q82_328100"/>
      <w:bookmarkEnd w:id="43200"/>
      <w:r>
        <w:rPr>
          <w:rFonts w:hint="cs"/>
          <w:rtl/>
        </w:rPr>
        <w:t xml:space="preserve">האוכל. </w:t>
      </w:r>
      <w:bookmarkStart w:id="43201" w:name="_ETM_Q82_328550"/>
      <w:bookmarkEnd w:id="43201"/>
      <w:r>
        <w:rPr>
          <w:rFonts w:hint="cs"/>
          <w:rtl/>
        </w:rPr>
        <w:t xml:space="preserve">על </w:t>
      </w:r>
      <w:bookmarkStart w:id="43202" w:name="_ETM_Q82_328669"/>
      <w:bookmarkEnd w:id="43202"/>
      <w:r>
        <w:rPr>
          <w:rFonts w:hint="cs"/>
          <w:rtl/>
        </w:rPr>
        <w:t xml:space="preserve">תנאי </w:t>
      </w:r>
      <w:bookmarkStart w:id="43203" w:name="_ETM_Q82_328910"/>
      <w:bookmarkEnd w:id="43203"/>
      <w:r>
        <w:rPr>
          <w:rFonts w:hint="cs"/>
          <w:rtl/>
        </w:rPr>
        <w:t xml:space="preserve">המגורים. </w:t>
      </w:r>
      <w:bookmarkStart w:id="43204" w:name="_ETM_Q82_329810"/>
      <w:bookmarkEnd w:id="43204"/>
      <w:r>
        <w:rPr>
          <w:rFonts w:hint="cs"/>
          <w:rtl/>
        </w:rPr>
        <w:t xml:space="preserve">על </w:t>
      </w:r>
      <w:bookmarkStart w:id="43205" w:name="_ETM_Q82_329960"/>
      <w:bookmarkEnd w:id="43205"/>
      <w:r>
        <w:rPr>
          <w:rFonts w:hint="cs"/>
          <w:rtl/>
        </w:rPr>
        <w:t xml:space="preserve">זה </w:t>
      </w:r>
      <w:bookmarkStart w:id="43206" w:name="_ETM_Q82_330139"/>
      <w:bookmarkEnd w:id="43206"/>
      <w:r>
        <w:rPr>
          <w:rFonts w:hint="cs"/>
          <w:rtl/>
        </w:rPr>
        <w:t xml:space="preserve">שהלוואי </w:t>
      </w:r>
      <w:bookmarkStart w:id="43207" w:name="_ETM_Q82_330800"/>
      <w:bookmarkEnd w:id="43207"/>
      <w:r>
        <w:rPr>
          <w:rFonts w:hint="cs"/>
          <w:rtl/>
        </w:rPr>
        <w:t xml:space="preserve">והיו </w:t>
      </w:r>
      <w:bookmarkStart w:id="43208" w:name="_ETM_Q82_331100"/>
      <w:bookmarkEnd w:id="43208"/>
      <w:r>
        <w:rPr>
          <w:rFonts w:hint="cs"/>
          <w:rtl/>
        </w:rPr>
        <w:t xml:space="preserve">יותר </w:t>
      </w:r>
      <w:bookmarkStart w:id="43209" w:name="_ETM_Q82_331490"/>
      <w:bookmarkEnd w:id="43209"/>
      <w:r>
        <w:rPr>
          <w:rFonts w:hint="cs"/>
          <w:rtl/>
        </w:rPr>
        <w:t xml:space="preserve">שעות </w:t>
      </w:r>
      <w:bookmarkStart w:id="43210" w:name="_ETM_Q82_331820"/>
      <w:bookmarkEnd w:id="43210"/>
      <w:r>
        <w:rPr>
          <w:rFonts w:hint="cs"/>
          <w:rtl/>
        </w:rPr>
        <w:t xml:space="preserve">שינה. </w:t>
      </w:r>
      <w:bookmarkStart w:id="43211" w:name="_ETM_Q82_332880"/>
      <w:bookmarkEnd w:id="43211"/>
      <w:r>
        <w:rPr>
          <w:rFonts w:hint="cs"/>
          <w:rtl/>
        </w:rPr>
        <w:t xml:space="preserve">רק </w:t>
      </w:r>
      <w:bookmarkStart w:id="43212" w:name="_ETM_Q82_334110"/>
      <w:bookmarkEnd w:id="43212"/>
      <w:r>
        <w:rPr>
          <w:rFonts w:hint="cs"/>
          <w:rtl/>
        </w:rPr>
        <w:t xml:space="preserve">לא </w:t>
      </w:r>
      <w:bookmarkStart w:id="43213" w:name="_ETM_Q82_334320"/>
      <w:bookmarkEnd w:id="43213"/>
      <w:r>
        <w:rPr>
          <w:rFonts w:hint="cs"/>
          <w:rtl/>
        </w:rPr>
        <w:t xml:space="preserve">על </w:t>
      </w:r>
      <w:bookmarkStart w:id="43214" w:name="_ETM_Q82_334440"/>
      <w:bookmarkEnd w:id="43214"/>
      <w:r>
        <w:rPr>
          <w:rFonts w:hint="cs"/>
          <w:rtl/>
        </w:rPr>
        <w:t xml:space="preserve">הדברים </w:t>
      </w:r>
      <w:bookmarkStart w:id="43215" w:name="_ETM_Q82_334830"/>
      <w:bookmarkEnd w:id="43215"/>
      <w:r>
        <w:rPr>
          <w:rFonts w:hint="cs"/>
          <w:rtl/>
        </w:rPr>
        <w:t xml:space="preserve">החשובים </w:t>
      </w:r>
      <w:bookmarkStart w:id="43216" w:name="_ETM_Q82_335370"/>
      <w:bookmarkEnd w:id="43216"/>
      <w:r>
        <w:rPr>
          <w:rFonts w:hint="cs"/>
          <w:rtl/>
        </w:rPr>
        <w:t xml:space="preserve">באמת. </w:t>
      </w:r>
      <w:bookmarkStart w:id="43217" w:name="_ETM_Q82_337139"/>
      <w:bookmarkEnd w:id="43217"/>
      <w:r>
        <w:rPr>
          <w:rFonts w:hint="cs"/>
          <w:rtl/>
        </w:rPr>
        <w:t xml:space="preserve">בסוף </w:t>
      </w:r>
      <w:bookmarkStart w:id="43218" w:name="_ETM_Q82_337650"/>
      <w:bookmarkStart w:id="43219" w:name="_ETM_Q82_338069"/>
      <w:bookmarkEnd w:id="43218"/>
      <w:bookmarkEnd w:id="43219"/>
      <w:r>
        <w:rPr>
          <w:rFonts w:hint="cs"/>
          <w:rtl/>
        </w:rPr>
        <w:t xml:space="preserve">כל </w:t>
      </w:r>
      <w:bookmarkStart w:id="43220" w:name="_ETM_Q82_338249"/>
      <w:bookmarkEnd w:id="43220"/>
      <w:r>
        <w:rPr>
          <w:rFonts w:hint="cs"/>
          <w:rtl/>
        </w:rPr>
        <w:t xml:space="preserve">יום </w:t>
      </w:r>
      <w:bookmarkStart w:id="43221" w:name="_ETM_Q82_338909"/>
      <w:bookmarkEnd w:id="43221"/>
      <w:r>
        <w:rPr>
          <w:rFonts w:hint="cs"/>
          <w:rtl/>
        </w:rPr>
        <w:t xml:space="preserve">ישבתי </w:t>
      </w:r>
      <w:bookmarkStart w:id="43222" w:name="_ETM_Q82_339419"/>
      <w:bookmarkEnd w:id="43222"/>
      <w:r>
        <w:rPr>
          <w:rFonts w:hint="cs"/>
          <w:rtl/>
        </w:rPr>
        <w:t xml:space="preserve">שם, </w:t>
      </w:r>
      <w:bookmarkStart w:id="43223" w:name="_ETM_Q82_339659"/>
      <w:bookmarkEnd w:id="43223"/>
      <w:r>
        <w:rPr>
          <w:rFonts w:hint="cs"/>
          <w:rtl/>
        </w:rPr>
        <w:t xml:space="preserve">במעגל </w:t>
      </w:r>
      <w:bookmarkStart w:id="43224" w:name="_ETM_Q82_340200"/>
      <w:bookmarkEnd w:id="43224"/>
      <w:r>
        <w:rPr>
          <w:rFonts w:hint="cs"/>
          <w:rtl/>
        </w:rPr>
        <w:t xml:space="preserve">הזה, </w:t>
      </w:r>
      <w:bookmarkStart w:id="43225" w:name="_ETM_Q82_340499"/>
      <w:bookmarkEnd w:id="43225"/>
      <w:r>
        <w:rPr>
          <w:rFonts w:hint="cs"/>
          <w:rtl/>
        </w:rPr>
        <w:t xml:space="preserve">מת </w:t>
      </w:r>
      <w:bookmarkStart w:id="43226" w:name="_ETM_Q82_341500"/>
      <w:bookmarkEnd w:id="43226"/>
      <w:r>
        <w:rPr>
          <w:rFonts w:hint="cs"/>
          <w:rtl/>
        </w:rPr>
        <w:t xml:space="preserve">להצביע </w:t>
      </w:r>
      <w:bookmarkStart w:id="43227" w:name="_ETM_Q82_342160"/>
      <w:bookmarkEnd w:id="43227"/>
      <w:r>
        <w:rPr>
          <w:rFonts w:hint="cs"/>
          <w:rtl/>
        </w:rPr>
        <w:t xml:space="preserve">ולהציף </w:t>
      </w:r>
      <w:bookmarkStart w:id="43228" w:name="_ETM_Q82_342669"/>
      <w:bookmarkEnd w:id="43228"/>
      <w:r>
        <w:rPr>
          <w:rFonts w:hint="cs"/>
          <w:rtl/>
        </w:rPr>
        <w:t xml:space="preserve">את </w:t>
      </w:r>
      <w:bookmarkStart w:id="43229" w:name="_ETM_Q82_342819"/>
      <w:bookmarkEnd w:id="43229"/>
      <w:r>
        <w:rPr>
          <w:rFonts w:hint="cs"/>
          <w:rtl/>
        </w:rPr>
        <w:t xml:space="preserve">הבעיה </w:t>
      </w:r>
      <w:bookmarkStart w:id="43230" w:name="_ETM_Q82_343270"/>
      <w:bookmarkEnd w:id="43230"/>
      <w:r>
        <w:rPr>
          <w:rFonts w:hint="cs"/>
          <w:rtl/>
        </w:rPr>
        <w:t xml:space="preserve">האמיתית. </w:t>
      </w:r>
      <w:bookmarkStart w:id="43231" w:name="_ETM_Q82_344349"/>
      <w:bookmarkEnd w:id="43231"/>
      <w:r>
        <w:rPr>
          <w:rFonts w:hint="cs"/>
          <w:rtl/>
        </w:rPr>
        <w:t xml:space="preserve">מת </w:t>
      </w:r>
      <w:bookmarkStart w:id="43232" w:name="_ETM_Q82_344770"/>
      <w:bookmarkEnd w:id="43232"/>
      <w:r>
        <w:rPr>
          <w:rFonts w:hint="cs"/>
          <w:rtl/>
        </w:rPr>
        <w:t xml:space="preserve">לדבר </w:t>
      </w:r>
      <w:bookmarkStart w:id="43233" w:name="_ETM_Q82_345220"/>
      <w:bookmarkEnd w:id="43233"/>
      <w:r>
        <w:rPr>
          <w:rFonts w:hint="cs"/>
          <w:rtl/>
        </w:rPr>
        <w:t xml:space="preserve">על </w:t>
      </w:r>
      <w:bookmarkStart w:id="43234" w:name="_ETM_Q82_345340"/>
      <w:bookmarkEnd w:id="43234"/>
      <w:r>
        <w:rPr>
          <w:rFonts w:hint="cs"/>
          <w:rtl/>
        </w:rPr>
        <w:t xml:space="preserve">הפיל </w:t>
      </w:r>
      <w:bookmarkStart w:id="43235" w:name="_ETM_Q82_345610"/>
      <w:bookmarkEnd w:id="43235"/>
      <w:r>
        <w:rPr>
          <w:rFonts w:hint="cs"/>
          <w:rtl/>
        </w:rPr>
        <w:t xml:space="preserve">הביישן, </w:t>
      </w:r>
      <w:bookmarkStart w:id="43236" w:name="_ETM_Q82_346300"/>
      <w:bookmarkEnd w:id="43236"/>
      <w:r>
        <w:rPr>
          <w:rFonts w:hint="cs"/>
          <w:rtl/>
        </w:rPr>
        <w:t xml:space="preserve">הכחוש </w:t>
      </w:r>
      <w:bookmarkStart w:id="43237" w:name="_ETM_Q82_346810"/>
      <w:bookmarkEnd w:id="43237"/>
      <w:r>
        <w:rPr>
          <w:rFonts w:hint="cs"/>
          <w:rtl/>
        </w:rPr>
        <w:t>והלא</w:t>
      </w:r>
      <w:bookmarkStart w:id="43238" w:name="_ETM_Q82_347110"/>
      <w:bookmarkEnd w:id="43238"/>
      <w:r w:rsidR="00727E6B">
        <w:rPr>
          <w:rFonts w:hint="cs"/>
          <w:rtl/>
        </w:rPr>
        <w:t>-</w:t>
      </w:r>
      <w:r>
        <w:rPr>
          <w:rFonts w:hint="cs"/>
          <w:rtl/>
        </w:rPr>
        <w:t xml:space="preserve">מאוד </w:t>
      </w:r>
      <w:bookmarkStart w:id="43239" w:name="_ETM_Q82_347349"/>
      <w:bookmarkEnd w:id="43239"/>
      <w:r>
        <w:rPr>
          <w:rFonts w:hint="cs"/>
          <w:rtl/>
        </w:rPr>
        <w:t xml:space="preserve">רהוט </w:t>
      </w:r>
      <w:bookmarkStart w:id="43240" w:name="_ETM_Q82_347620"/>
      <w:bookmarkEnd w:id="43240"/>
      <w:r>
        <w:rPr>
          <w:rFonts w:hint="cs"/>
          <w:rtl/>
        </w:rPr>
        <w:t xml:space="preserve">שבחדר, </w:t>
      </w:r>
      <w:bookmarkStart w:id="43241" w:name="_ETM_Q82_348760"/>
      <w:bookmarkEnd w:id="43241"/>
      <w:r>
        <w:rPr>
          <w:rFonts w:hint="cs"/>
          <w:rtl/>
        </w:rPr>
        <w:t xml:space="preserve">אבל </w:t>
      </w:r>
      <w:bookmarkStart w:id="43242" w:name="_ETM_Q82_349150"/>
      <w:bookmarkEnd w:id="43242"/>
      <w:r>
        <w:rPr>
          <w:rFonts w:hint="cs"/>
          <w:rtl/>
        </w:rPr>
        <w:t xml:space="preserve">פשוט </w:t>
      </w:r>
      <w:bookmarkStart w:id="43243" w:name="_ETM_Q82_350040"/>
      <w:bookmarkEnd w:id="43243"/>
      <w:r>
        <w:rPr>
          <w:rFonts w:hint="cs"/>
          <w:rtl/>
        </w:rPr>
        <w:t xml:space="preserve">לא </w:t>
      </w:r>
      <w:bookmarkStart w:id="43244" w:name="_ETM_Q82_350219"/>
      <w:bookmarkEnd w:id="43244"/>
      <w:r>
        <w:rPr>
          <w:rFonts w:hint="cs"/>
          <w:rtl/>
        </w:rPr>
        <w:t xml:space="preserve">מסוגל. </w:t>
      </w:r>
      <w:bookmarkStart w:id="43245" w:name="_ETM_Q82_351470"/>
      <w:bookmarkEnd w:id="43245"/>
      <w:r>
        <w:rPr>
          <w:rFonts w:hint="cs"/>
          <w:rtl/>
        </w:rPr>
        <w:t xml:space="preserve">הידיים </w:t>
      </w:r>
      <w:bookmarkStart w:id="43246" w:name="_ETM_Q82_351980"/>
      <w:bookmarkEnd w:id="43246"/>
      <w:r>
        <w:rPr>
          <w:rFonts w:hint="cs"/>
          <w:rtl/>
        </w:rPr>
        <w:t xml:space="preserve">שלי </w:t>
      </w:r>
      <w:bookmarkStart w:id="43247" w:name="_ETM_Q82_352280"/>
      <w:bookmarkEnd w:id="43247"/>
      <w:r>
        <w:rPr>
          <w:rFonts w:hint="cs"/>
          <w:rtl/>
        </w:rPr>
        <w:t xml:space="preserve">היו </w:t>
      </w:r>
      <w:bookmarkStart w:id="43248" w:name="_ETM_Q82_352460"/>
      <w:bookmarkEnd w:id="43248"/>
      <w:r>
        <w:rPr>
          <w:rFonts w:hint="cs"/>
          <w:rtl/>
        </w:rPr>
        <w:t xml:space="preserve">כבולות </w:t>
      </w:r>
      <w:bookmarkStart w:id="43249" w:name="_ETM_Q82_352880"/>
      <w:bookmarkEnd w:id="43249"/>
      <w:r>
        <w:rPr>
          <w:rFonts w:hint="cs"/>
          <w:rtl/>
        </w:rPr>
        <w:t xml:space="preserve">לכיסא. </w:t>
      </w:r>
      <w:bookmarkStart w:id="43250" w:name="_ETM_Q82_354180"/>
      <w:bookmarkEnd w:id="43250"/>
      <w:r>
        <w:rPr>
          <w:rFonts w:hint="cs"/>
          <w:rtl/>
        </w:rPr>
        <w:t xml:space="preserve">באחת </w:t>
      </w:r>
      <w:bookmarkStart w:id="43251" w:name="_ETM_Q82_354630"/>
      <w:bookmarkEnd w:id="43251"/>
      <w:r>
        <w:rPr>
          <w:rFonts w:hint="cs"/>
          <w:rtl/>
        </w:rPr>
        <w:t xml:space="preserve">משיחות </w:t>
      </w:r>
      <w:bookmarkStart w:id="43252" w:name="_ETM_Q82_355050"/>
      <w:bookmarkEnd w:id="43252"/>
      <w:r>
        <w:rPr>
          <w:rFonts w:hint="cs"/>
          <w:rtl/>
        </w:rPr>
        <w:t xml:space="preserve">המשוב, </w:t>
      </w:r>
      <w:bookmarkStart w:id="43253" w:name="_ETM_Q82_355470"/>
      <w:bookmarkEnd w:id="43253"/>
      <w:r>
        <w:rPr>
          <w:rFonts w:hint="cs"/>
          <w:rtl/>
        </w:rPr>
        <w:t xml:space="preserve">המדריכה </w:t>
      </w:r>
      <w:bookmarkStart w:id="43254" w:name="_ETM_Q82_355980"/>
      <w:bookmarkEnd w:id="43254"/>
      <w:r>
        <w:rPr>
          <w:rFonts w:hint="cs"/>
          <w:rtl/>
        </w:rPr>
        <w:t xml:space="preserve">הבחינה </w:t>
      </w:r>
      <w:bookmarkStart w:id="43255" w:name="_ETM_Q82_356460"/>
      <w:bookmarkEnd w:id="43255"/>
      <w:r>
        <w:rPr>
          <w:rFonts w:hint="cs"/>
          <w:rtl/>
        </w:rPr>
        <w:t xml:space="preserve">שאני </w:t>
      </w:r>
      <w:bookmarkStart w:id="43256" w:name="_ETM_Q82_356730"/>
      <w:bookmarkEnd w:id="43256"/>
      <w:r>
        <w:rPr>
          <w:rFonts w:hint="cs"/>
          <w:rtl/>
        </w:rPr>
        <w:t xml:space="preserve">מתפתל </w:t>
      </w:r>
      <w:bookmarkStart w:id="43257" w:name="_ETM_Q82_357300"/>
      <w:bookmarkEnd w:id="43257"/>
      <w:r>
        <w:rPr>
          <w:rFonts w:hint="cs"/>
          <w:rtl/>
        </w:rPr>
        <w:t xml:space="preserve">ופנתה </w:t>
      </w:r>
      <w:bookmarkStart w:id="43258" w:name="_ETM_Q82_357840"/>
      <w:bookmarkEnd w:id="43258"/>
      <w:r>
        <w:rPr>
          <w:rFonts w:hint="cs"/>
          <w:rtl/>
        </w:rPr>
        <w:t xml:space="preserve">אליי: </w:t>
      </w:r>
      <w:bookmarkStart w:id="43259" w:name="_ETM_Q82_358680"/>
      <w:bookmarkEnd w:id="43259"/>
      <w:r>
        <w:rPr>
          <w:rFonts w:hint="cs"/>
          <w:rtl/>
        </w:rPr>
        <w:t xml:space="preserve">'נעם, </w:t>
      </w:r>
      <w:bookmarkStart w:id="43260" w:name="_ETM_Q82_359660"/>
      <w:bookmarkEnd w:id="43260"/>
      <w:r>
        <w:rPr>
          <w:rFonts w:hint="cs"/>
          <w:rtl/>
        </w:rPr>
        <w:t xml:space="preserve">יש </w:t>
      </w:r>
      <w:bookmarkStart w:id="43261" w:name="_ETM_Q82_359870"/>
      <w:bookmarkEnd w:id="43261"/>
      <w:r>
        <w:rPr>
          <w:rFonts w:hint="cs"/>
          <w:rtl/>
        </w:rPr>
        <w:t xml:space="preserve">לך </w:t>
      </w:r>
      <w:bookmarkStart w:id="43262" w:name="_ETM_Q82_360110"/>
      <w:bookmarkEnd w:id="43262"/>
      <w:r>
        <w:rPr>
          <w:rFonts w:hint="cs"/>
          <w:rtl/>
        </w:rPr>
        <w:t xml:space="preserve">משהו </w:t>
      </w:r>
      <w:bookmarkStart w:id="43263" w:name="_ETM_Q82_360380"/>
      <w:bookmarkEnd w:id="43263"/>
      <w:r>
        <w:rPr>
          <w:rFonts w:hint="cs"/>
          <w:rtl/>
        </w:rPr>
        <w:t xml:space="preserve">להגיד?' </w:t>
      </w:r>
      <w:bookmarkStart w:id="43264" w:name="_ETM_Q82_361889"/>
      <w:bookmarkEnd w:id="43264"/>
      <w:r>
        <w:rPr>
          <w:rFonts w:hint="cs"/>
          <w:rtl/>
        </w:rPr>
        <w:t xml:space="preserve">הרגשתי </w:t>
      </w:r>
      <w:bookmarkStart w:id="43265" w:name="_ETM_Q82_362430"/>
      <w:bookmarkEnd w:id="43265"/>
      <w:r>
        <w:rPr>
          <w:rFonts w:hint="cs"/>
          <w:rtl/>
        </w:rPr>
        <w:t xml:space="preserve">איך </w:t>
      </w:r>
      <w:bookmarkStart w:id="43266" w:name="_ETM_Q82_362580"/>
      <w:bookmarkEnd w:id="43266"/>
      <w:r>
        <w:rPr>
          <w:rFonts w:hint="cs"/>
          <w:rtl/>
        </w:rPr>
        <w:t xml:space="preserve">העיניים </w:t>
      </w:r>
      <w:bookmarkStart w:id="43267" w:name="_ETM_Q82_363000"/>
      <w:bookmarkEnd w:id="43267"/>
      <w:r>
        <w:rPr>
          <w:rFonts w:hint="cs"/>
          <w:rtl/>
        </w:rPr>
        <w:t xml:space="preserve">של </w:t>
      </w:r>
      <w:bookmarkStart w:id="43268" w:name="_ETM_Q82_363210"/>
      <w:bookmarkEnd w:id="43268"/>
      <w:r>
        <w:rPr>
          <w:rFonts w:hint="cs"/>
          <w:rtl/>
        </w:rPr>
        <w:t xml:space="preserve">הנער </w:t>
      </w:r>
      <w:bookmarkStart w:id="43269" w:name="_ETM_Q82_363540"/>
      <w:bookmarkEnd w:id="43269"/>
      <w:r>
        <w:rPr>
          <w:rFonts w:hint="cs"/>
          <w:rtl/>
        </w:rPr>
        <w:t xml:space="preserve">ננעצות </w:t>
      </w:r>
      <w:bookmarkStart w:id="43270" w:name="_ETM_Q82_364290"/>
      <w:bookmarkEnd w:id="43270"/>
      <w:r>
        <w:rPr>
          <w:rFonts w:hint="cs"/>
          <w:rtl/>
        </w:rPr>
        <w:t xml:space="preserve">בי </w:t>
      </w:r>
      <w:bookmarkStart w:id="43271" w:name="_ETM_Q82_364440"/>
      <w:bookmarkEnd w:id="43271"/>
      <w:r>
        <w:rPr>
          <w:rFonts w:hint="cs"/>
          <w:rtl/>
        </w:rPr>
        <w:t xml:space="preserve">כדי </w:t>
      </w:r>
      <w:bookmarkStart w:id="43272" w:name="_ETM_Q82_364710"/>
      <w:bookmarkEnd w:id="43272"/>
      <w:r>
        <w:rPr>
          <w:rFonts w:hint="cs"/>
          <w:rtl/>
        </w:rPr>
        <w:t xml:space="preserve">שאציל </w:t>
      </w:r>
      <w:bookmarkStart w:id="43273" w:name="_ETM_Q82_365220"/>
      <w:bookmarkEnd w:id="43273"/>
      <w:r>
        <w:rPr>
          <w:rFonts w:hint="cs"/>
          <w:rtl/>
        </w:rPr>
        <w:t xml:space="preserve">אותו </w:t>
      </w:r>
      <w:bookmarkStart w:id="43274" w:name="_ETM_Q82_365820"/>
      <w:bookmarkEnd w:id="43274"/>
      <w:r>
        <w:rPr>
          <w:rFonts w:hint="cs"/>
          <w:rtl/>
        </w:rPr>
        <w:t xml:space="preserve">ואגיד </w:t>
      </w:r>
      <w:bookmarkStart w:id="43275" w:name="_ETM_Q82_366510"/>
      <w:bookmarkEnd w:id="43275"/>
      <w:r>
        <w:rPr>
          <w:rFonts w:hint="cs"/>
          <w:rtl/>
        </w:rPr>
        <w:t xml:space="preserve">משהו. </w:t>
      </w:r>
      <w:bookmarkStart w:id="43276" w:name="_ETM_Q82_368040"/>
      <w:bookmarkEnd w:id="43276"/>
      <w:r>
        <w:rPr>
          <w:rFonts w:hint="cs"/>
          <w:rtl/>
        </w:rPr>
        <w:t xml:space="preserve">המילים </w:t>
      </w:r>
      <w:bookmarkStart w:id="43277" w:name="_ETM_Q82_368520"/>
      <w:bookmarkEnd w:id="43277"/>
      <w:r>
        <w:rPr>
          <w:rFonts w:hint="cs"/>
          <w:rtl/>
        </w:rPr>
        <w:t xml:space="preserve">התחילו </w:t>
      </w:r>
      <w:bookmarkStart w:id="43278" w:name="_ETM_Q82_368910"/>
      <w:bookmarkEnd w:id="43278"/>
      <w:r>
        <w:rPr>
          <w:rFonts w:hint="cs"/>
          <w:rtl/>
        </w:rPr>
        <w:t xml:space="preserve">לבעבע </w:t>
      </w:r>
      <w:bookmarkStart w:id="43279" w:name="_ETM_Q82_369510"/>
      <w:bookmarkEnd w:id="43279"/>
      <w:r>
        <w:rPr>
          <w:rFonts w:hint="cs"/>
          <w:rtl/>
        </w:rPr>
        <w:t xml:space="preserve">לי </w:t>
      </w:r>
      <w:bookmarkStart w:id="43280" w:name="_ETM_Q82_369630"/>
      <w:bookmarkEnd w:id="43280"/>
      <w:r>
        <w:rPr>
          <w:rFonts w:hint="cs"/>
          <w:rtl/>
        </w:rPr>
        <w:t xml:space="preserve">בפה, </w:t>
      </w:r>
      <w:bookmarkStart w:id="43281" w:name="_ETM_Q82_370319"/>
      <w:bookmarkEnd w:id="43281"/>
      <w:r>
        <w:rPr>
          <w:rFonts w:hint="cs"/>
          <w:rtl/>
        </w:rPr>
        <w:t xml:space="preserve">ותכננתי </w:t>
      </w:r>
      <w:bookmarkStart w:id="43282" w:name="_ETM_Q82_371069"/>
      <w:bookmarkEnd w:id="43282"/>
      <w:r>
        <w:rPr>
          <w:rFonts w:hint="cs"/>
          <w:rtl/>
        </w:rPr>
        <w:t xml:space="preserve">בדיוק </w:t>
      </w:r>
      <w:bookmarkStart w:id="43283" w:name="_ETM_Q82_371700"/>
      <w:bookmarkEnd w:id="43283"/>
      <w:r>
        <w:rPr>
          <w:rFonts w:hint="cs"/>
          <w:rtl/>
        </w:rPr>
        <w:t xml:space="preserve">מה </w:t>
      </w:r>
      <w:bookmarkStart w:id="43284" w:name="_ETM_Q82_371910"/>
      <w:bookmarkEnd w:id="43284"/>
      <w:r>
        <w:rPr>
          <w:rFonts w:hint="cs"/>
          <w:rtl/>
        </w:rPr>
        <w:t xml:space="preserve">אגיד, </w:t>
      </w:r>
      <w:bookmarkStart w:id="43285" w:name="_ETM_Q82_372330"/>
      <w:bookmarkEnd w:id="43285"/>
      <w:r>
        <w:rPr>
          <w:rFonts w:hint="cs"/>
          <w:rtl/>
        </w:rPr>
        <w:t xml:space="preserve">ואיך </w:t>
      </w:r>
      <w:bookmarkStart w:id="43286" w:name="_ETM_Q82_372720"/>
      <w:bookmarkEnd w:id="43286"/>
      <w:r>
        <w:rPr>
          <w:rFonts w:hint="cs"/>
          <w:rtl/>
        </w:rPr>
        <w:t xml:space="preserve">אגיד, </w:t>
      </w:r>
      <w:bookmarkStart w:id="43287" w:name="_ETM_Q82_373050"/>
      <w:bookmarkEnd w:id="43287"/>
      <w:r>
        <w:rPr>
          <w:rFonts w:hint="cs"/>
          <w:rtl/>
        </w:rPr>
        <w:t xml:space="preserve">ובאיזו </w:t>
      </w:r>
      <w:bookmarkStart w:id="43288" w:name="_ETM_Q82_373620"/>
      <w:bookmarkEnd w:id="43288"/>
      <w:r>
        <w:rPr>
          <w:rFonts w:hint="cs"/>
          <w:rtl/>
        </w:rPr>
        <w:t xml:space="preserve">אינטונציה, </w:t>
      </w:r>
      <w:bookmarkStart w:id="43289" w:name="_ETM_Q82_375560"/>
      <w:bookmarkEnd w:id="43289"/>
      <w:r>
        <w:rPr>
          <w:rFonts w:hint="cs"/>
          <w:rtl/>
        </w:rPr>
        <w:t xml:space="preserve">אבל </w:t>
      </w:r>
      <w:bookmarkStart w:id="43290" w:name="_ETM_Q82_375830"/>
      <w:bookmarkEnd w:id="43290"/>
      <w:r>
        <w:rPr>
          <w:rFonts w:hint="cs"/>
          <w:rtl/>
        </w:rPr>
        <w:t xml:space="preserve">בסוף </w:t>
      </w:r>
      <w:bookmarkStart w:id="43291" w:name="_ETM_Q82_376250"/>
      <w:bookmarkEnd w:id="43291"/>
      <w:r>
        <w:rPr>
          <w:rFonts w:hint="cs"/>
          <w:rtl/>
        </w:rPr>
        <w:t xml:space="preserve">לא </w:t>
      </w:r>
      <w:bookmarkStart w:id="43292" w:name="_ETM_Q82_376400"/>
      <w:bookmarkEnd w:id="43292"/>
      <w:r>
        <w:rPr>
          <w:rFonts w:hint="cs"/>
          <w:rtl/>
        </w:rPr>
        <w:t>אמרתי</w:t>
      </w:r>
      <w:bookmarkStart w:id="43293" w:name="_ETM_Q82_377919"/>
      <w:bookmarkEnd w:id="43293"/>
      <w:r>
        <w:rPr>
          <w:rFonts w:hint="cs"/>
          <w:rtl/>
        </w:rPr>
        <w:t xml:space="preserve">. הפחד </w:t>
      </w:r>
      <w:bookmarkStart w:id="43294" w:name="_ETM_Q82_379120"/>
      <w:bookmarkEnd w:id="43294"/>
      <w:r>
        <w:rPr>
          <w:rFonts w:hint="cs"/>
          <w:rtl/>
        </w:rPr>
        <w:t xml:space="preserve">שיתק </w:t>
      </w:r>
      <w:bookmarkStart w:id="43295" w:name="_ETM_Q82_379629"/>
      <w:bookmarkEnd w:id="43295"/>
      <w:r>
        <w:rPr>
          <w:rFonts w:hint="cs"/>
          <w:rtl/>
        </w:rPr>
        <w:t xml:space="preserve">אותי. </w:t>
      </w:r>
      <w:bookmarkStart w:id="43296" w:name="_ETM_Q82_381419"/>
      <w:bookmarkStart w:id="43297" w:name="_ETM_Q82_382334"/>
      <w:bookmarkStart w:id="43298" w:name="_ETM_Q82_382393"/>
      <w:bookmarkEnd w:id="43296"/>
      <w:bookmarkEnd w:id="43297"/>
      <w:bookmarkEnd w:id="43298"/>
      <w:r>
        <w:rPr>
          <w:rFonts w:hint="cs"/>
          <w:rtl/>
        </w:rPr>
        <w:t xml:space="preserve">הרצון </w:t>
      </w:r>
      <w:bookmarkStart w:id="43299" w:name="_ETM_Q82_381900"/>
      <w:bookmarkEnd w:id="43299"/>
      <w:r>
        <w:rPr>
          <w:rFonts w:hint="cs"/>
          <w:rtl/>
        </w:rPr>
        <w:t xml:space="preserve">העקשן </w:t>
      </w:r>
      <w:bookmarkStart w:id="43300" w:name="_ETM_Q82_382500"/>
      <w:bookmarkEnd w:id="43300"/>
      <w:r>
        <w:rPr>
          <w:rFonts w:hint="cs"/>
          <w:rtl/>
        </w:rPr>
        <w:t xml:space="preserve">הזה </w:t>
      </w:r>
      <w:bookmarkStart w:id="43301" w:name="_ETM_Q82_382710"/>
      <w:bookmarkEnd w:id="43301"/>
      <w:r>
        <w:rPr>
          <w:rFonts w:hint="cs"/>
          <w:rtl/>
        </w:rPr>
        <w:t xml:space="preserve">שיאהבו </w:t>
      </w:r>
      <w:bookmarkStart w:id="43302" w:name="_ETM_Q82_383430"/>
      <w:bookmarkEnd w:id="43302"/>
      <w:r>
        <w:rPr>
          <w:rFonts w:hint="cs"/>
          <w:rtl/>
        </w:rPr>
        <w:t xml:space="preserve">אותי, </w:t>
      </w:r>
      <w:bookmarkStart w:id="43303" w:name="_ETM_Q82_383970"/>
      <w:bookmarkEnd w:id="43303"/>
      <w:r>
        <w:rPr>
          <w:rFonts w:hint="cs"/>
          <w:rtl/>
        </w:rPr>
        <w:t xml:space="preserve">הצורך </w:t>
      </w:r>
      <w:bookmarkStart w:id="43304" w:name="_ETM_Q82_384480"/>
      <w:bookmarkEnd w:id="43304"/>
      <w:r>
        <w:rPr>
          <w:rFonts w:hint="cs"/>
          <w:rtl/>
        </w:rPr>
        <w:t xml:space="preserve">להרגיש </w:t>
      </w:r>
      <w:bookmarkStart w:id="43305" w:name="_ETM_Q82_384990"/>
      <w:bookmarkEnd w:id="43305"/>
      <w:r>
        <w:rPr>
          <w:rFonts w:hint="cs"/>
          <w:rtl/>
        </w:rPr>
        <w:t xml:space="preserve">שייך, </w:t>
      </w:r>
      <w:bookmarkStart w:id="43306" w:name="_ETM_Q82_385609"/>
      <w:bookmarkEnd w:id="43306"/>
      <w:r>
        <w:rPr>
          <w:rFonts w:hint="cs"/>
          <w:rtl/>
        </w:rPr>
        <w:t>הב</w:t>
      </w:r>
      <w:bookmarkStart w:id="43307" w:name="_ETM_Q82_386329"/>
      <w:bookmarkEnd w:id="43307"/>
      <w:r>
        <w:rPr>
          <w:rFonts w:hint="cs"/>
          <w:rtl/>
        </w:rPr>
        <w:t xml:space="preserve">הלה </w:t>
      </w:r>
      <w:bookmarkStart w:id="43308" w:name="_ETM_Q82_386419"/>
      <w:bookmarkEnd w:id="43308"/>
      <w:r>
        <w:rPr>
          <w:rFonts w:hint="cs"/>
          <w:rtl/>
        </w:rPr>
        <w:t xml:space="preserve">ממה </w:t>
      </w:r>
      <w:bookmarkStart w:id="43309" w:name="_ETM_Q82_386569"/>
      <w:bookmarkEnd w:id="43309"/>
      <w:r>
        <w:rPr>
          <w:rFonts w:hint="cs"/>
          <w:rtl/>
        </w:rPr>
        <w:t xml:space="preserve">יקרה </w:t>
      </w:r>
      <w:bookmarkStart w:id="43310" w:name="_ETM_Q82_386959"/>
      <w:bookmarkEnd w:id="43310"/>
      <w:r>
        <w:rPr>
          <w:rFonts w:hint="cs"/>
          <w:rtl/>
        </w:rPr>
        <w:t xml:space="preserve">אם </w:t>
      </w:r>
      <w:bookmarkStart w:id="43311" w:name="_ETM_Q82_387049"/>
      <w:bookmarkEnd w:id="43311"/>
      <w:r>
        <w:rPr>
          <w:rFonts w:hint="cs"/>
          <w:rtl/>
        </w:rPr>
        <w:t xml:space="preserve">אפתח </w:t>
      </w:r>
      <w:bookmarkStart w:id="43312" w:name="_ETM_Q82_387409"/>
      <w:bookmarkEnd w:id="43312"/>
      <w:r>
        <w:rPr>
          <w:rFonts w:hint="cs"/>
          <w:rtl/>
        </w:rPr>
        <w:t xml:space="preserve">את </w:t>
      </w:r>
      <w:bookmarkStart w:id="43313" w:name="_ETM_Q82_387559"/>
      <w:bookmarkEnd w:id="43313"/>
      <w:r>
        <w:rPr>
          <w:rFonts w:hint="cs"/>
          <w:rtl/>
        </w:rPr>
        <w:t xml:space="preserve">הפה </w:t>
      </w:r>
      <w:bookmarkStart w:id="43314" w:name="_ETM_Q82_388569"/>
      <w:bookmarkEnd w:id="43314"/>
      <w:r>
        <w:rPr>
          <w:rFonts w:hint="cs"/>
          <w:rtl/>
        </w:rPr>
        <w:t xml:space="preserve">– כל </w:t>
      </w:r>
      <w:bookmarkStart w:id="43315" w:name="_ETM_Q82_389019"/>
      <w:bookmarkEnd w:id="43315"/>
      <w:r>
        <w:rPr>
          <w:rFonts w:hint="cs"/>
          <w:rtl/>
        </w:rPr>
        <w:t xml:space="preserve">אלה </w:t>
      </w:r>
      <w:bookmarkStart w:id="43316" w:name="_ETM_Q82_389319"/>
      <w:bookmarkEnd w:id="43316"/>
      <w:r>
        <w:rPr>
          <w:rFonts w:hint="cs"/>
          <w:rtl/>
        </w:rPr>
        <w:t xml:space="preserve">ניצחו </w:t>
      </w:r>
      <w:bookmarkStart w:id="43317" w:name="_ETM_Q82_389739"/>
      <w:bookmarkEnd w:id="43317"/>
      <w:r>
        <w:rPr>
          <w:rFonts w:hint="cs"/>
          <w:rtl/>
        </w:rPr>
        <w:t xml:space="preserve">בנוק-אאוט, </w:t>
      </w:r>
      <w:bookmarkStart w:id="43318" w:name="_ETM_Q82_391590"/>
      <w:bookmarkEnd w:id="43318"/>
      <w:r>
        <w:rPr>
          <w:rFonts w:hint="cs"/>
          <w:rtl/>
        </w:rPr>
        <w:t xml:space="preserve">אז בלעתי </w:t>
      </w:r>
      <w:bookmarkStart w:id="43319" w:name="_ETM_Q82_392190"/>
      <w:bookmarkEnd w:id="43319"/>
      <w:r>
        <w:rPr>
          <w:rFonts w:hint="cs"/>
          <w:rtl/>
        </w:rPr>
        <w:t xml:space="preserve">את </w:t>
      </w:r>
      <w:bookmarkStart w:id="43320" w:name="_ETM_Q82_392310"/>
      <w:bookmarkEnd w:id="43320"/>
      <w:r>
        <w:rPr>
          <w:rFonts w:hint="cs"/>
          <w:rtl/>
        </w:rPr>
        <w:t xml:space="preserve">הרוק </w:t>
      </w:r>
      <w:bookmarkStart w:id="43321" w:name="_ETM_Q82_392580"/>
      <w:bookmarkEnd w:id="43321"/>
      <w:r>
        <w:rPr>
          <w:rFonts w:hint="cs"/>
          <w:rtl/>
        </w:rPr>
        <w:t xml:space="preserve">ואמרתי </w:t>
      </w:r>
      <w:bookmarkStart w:id="43322" w:name="_ETM_Q82_393060"/>
      <w:bookmarkEnd w:id="43322"/>
      <w:r>
        <w:rPr>
          <w:rFonts w:hint="cs"/>
          <w:rtl/>
        </w:rPr>
        <w:t xml:space="preserve">בחיוך </w:t>
      </w:r>
      <w:bookmarkStart w:id="43323" w:name="_ETM_Q82_393570"/>
      <w:bookmarkEnd w:id="43323"/>
      <w:r>
        <w:rPr>
          <w:rFonts w:hint="cs"/>
          <w:rtl/>
        </w:rPr>
        <w:t xml:space="preserve">אידיוטי: </w:t>
      </w:r>
      <w:bookmarkStart w:id="43324" w:name="_ETM_Q82_394990"/>
      <w:bookmarkEnd w:id="43324"/>
      <w:r>
        <w:rPr>
          <w:rFonts w:hint="cs"/>
          <w:rtl/>
        </w:rPr>
        <w:t xml:space="preserve">'הכול </w:t>
      </w:r>
      <w:bookmarkStart w:id="43325" w:name="_ETM_Q82_395440"/>
      <w:bookmarkEnd w:id="43325"/>
      <w:r>
        <w:rPr>
          <w:rFonts w:hint="cs"/>
          <w:rtl/>
        </w:rPr>
        <w:t xml:space="preserve">סבבה. </w:t>
      </w:r>
      <w:bookmarkStart w:id="43326" w:name="_ETM_Q82_395800"/>
      <w:bookmarkStart w:id="43327" w:name="_ETM_Q82_396879"/>
      <w:bookmarkEnd w:id="43326"/>
      <w:bookmarkEnd w:id="43327"/>
      <w:r>
        <w:rPr>
          <w:rFonts w:hint="cs"/>
          <w:rtl/>
        </w:rPr>
        <w:t xml:space="preserve">אולי </w:t>
      </w:r>
      <w:bookmarkStart w:id="43328" w:name="_ETM_Q82_397180"/>
      <w:bookmarkEnd w:id="43328"/>
      <w:r>
        <w:rPr>
          <w:rFonts w:hint="cs"/>
          <w:rtl/>
        </w:rPr>
        <w:t xml:space="preserve">אפשר </w:t>
      </w:r>
      <w:bookmarkStart w:id="43329" w:name="_ETM_Q82_397450"/>
      <w:bookmarkEnd w:id="43329"/>
      <w:r>
        <w:rPr>
          <w:rFonts w:hint="cs"/>
          <w:rtl/>
        </w:rPr>
        <w:t xml:space="preserve">שיהיו </w:t>
      </w:r>
      <w:bookmarkStart w:id="43330" w:name="_ETM_Q82_397749"/>
      <w:bookmarkEnd w:id="43330"/>
      <w:r>
        <w:rPr>
          <w:rFonts w:hint="cs"/>
          <w:rtl/>
        </w:rPr>
        <w:t xml:space="preserve">עוד </w:t>
      </w:r>
      <w:bookmarkStart w:id="43331" w:name="_ETM_Q82_397930"/>
      <w:bookmarkEnd w:id="43331"/>
      <w:r>
        <w:rPr>
          <w:rFonts w:hint="cs"/>
          <w:rtl/>
        </w:rPr>
        <w:t xml:space="preserve">אופציות </w:t>
      </w:r>
      <w:bookmarkStart w:id="43332" w:name="_ETM_Q82_398379"/>
      <w:bookmarkEnd w:id="43332"/>
      <w:r>
        <w:rPr>
          <w:rFonts w:hint="cs"/>
          <w:rtl/>
        </w:rPr>
        <w:t xml:space="preserve">צמחוניות </w:t>
      </w:r>
      <w:bookmarkStart w:id="43333" w:name="_ETM_Q82_399040"/>
      <w:bookmarkEnd w:id="43333"/>
      <w:r>
        <w:rPr>
          <w:rFonts w:hint="cs"/>
          <w:rtl/>
        </w:rPr>
        <w:t xml:space="preserve">בארוחת </w:t>
      </w:r>
      <w:bookmarkStart w:id="43334" w:name="_ETM_Q82_399519"/>
      <w:bookmarkEnd w:id="43334"/>
      <w:r>
        <w:rPr>
          <w:rFonts w:hint="cs"/>
          <w:rtl/>
        </w:rPr>
        <w:t xml:space="preserve">הצוהריים?' </w:t>
      </w:r>
      <w:bookmarkStart w:id="43335" w:name="_ETM_Q82_401760"/>
      <w:bookmarkEnd w:id="43335"/>
    </w:p>
    <w:p w:rsidR="00BB59CD" w:rsidRDefault="00BB59CD" w:rsidP="00BB59CD">
      <w:pPr>
        <w:rPr>
          <w:rtl/>
        </w:rPr>
      </w:pPr>
    </w:p>
    <w:p w:rsidR="00BB59CD" w:rsidRDefault="00BB59CD" w:rsidP="00BB59CD">
      <w:pPr>
        <w:rPr>
          <w:rtl/>
        </w:rPr>
      </w:pPr>
      <w:r>
        <w:rPr>
          <w:rFonts w:hint="cs"/>
          <w:rtl/>
        </w:rPr>
        <w:t xml:space="preserve">"את מבינה </w:t>
      </w:r>
      <w:bookmarkStart w:id="43336" w:name="_ETM_Q82_402180"/>
      <w:bookmarkEnd w:id="43336"/>
      <w:r>
        <w:rPr>
          <w:rFonts w:hint="cs"/>
          <w:rtl/>
        </w:rPr>
        <w:t xml:space="preserve">את </w:t>
      </w:r>
      <w:bookmarkStart w:id="43337" w:name="_ETM_Q82_402299"/>
      <w:bookmarkEnd w:id="43337"/>
      <w:r>
        <w:rPr>
          <w:rFonts w:hint="cs"/>
          <w:rtl/>
        </w:rPr>
        <w:t xml:space="preserve">האבסורד? </w:t>
      </w:r>
      <w:bookmarkStart w:id="43338" w:name="_ETM_Q82_403420"/>
      <w:bookmarkEnd w:id="43338"/>
      <w:r>
        <w:rPr>
          <w:rFonts w:hint="cs"/>
          <w:rtl/>
        </w:rPr>
        <w:t xml:space="preserve">מגיע </w:t>
      </w:r>
      <w:bookmarkStart w:id="43339" w:name="_ETM_Q82_403840"/>
      <w:bookmarkEnd w:id="43339"/>
      <w:r>
        <w:rPr>
          <w:rFonts w:hint="cs"/>
          <w:rtl/>
        </w:rPr>
        <w:t xml:space="preserve">הנער </w:t>
      </w:r>
      <w:bookmarkStart w:id="43340" w:name="_ETM_Q82_404200"/>
      <w:bookmarkEnd w:id="43340"/>
      <w:r>
        <w:rPr>
          <w:rFonts w:hint="cs"/>
          <w:rtl/>
        </w:rPr>
        <w:t xml:space="preserve">לקורס </w:t>
      </w:r>
      <w:bookmarkStart w:id="43341" w:name="_ETM_Q82_404680"/>
      <w:bookmarkEnd w:id="43341"/>
      <w:r>
        <w:rPr>
          <w:rFonts w:hint="cs"/>
          <w:rtl/>
        </w:rPr>
        <w:t xml:space="preserve">מנהיגות </w:t>
      </w:r>
      <w:bookmarkStart w:id="43342" w:name="_ETM_Q82_405160"/>
      <w:bookmarkEnd w:id="43342"/>
      <w:r>
        <w:rPr>
          <w:rFonts w:hint="cs"/>
          <w:rtl/>
        </w:rPr>
        <w:t xml:space="preserve">שאמור </w:t>
      </w:r>
      <w:bookmarkStart w:id="43343" w:name="_ETM_Q82_405580"/>
      <w:bookmarkEnd w:id="43343"/>
      <w:r>
        <w:rPr>
          <w:rFonts w:hint="cs"/>
          <w:rtl/>
        </w:rPr>
        <w:t xml:space="preserve">לדחוף </w:t>
      </w:r>
      <w:bookmarkStart w:id="43344" w:name="_ETM_Q82_406209"/>
      <w:bookmarkEnd w:id="43344"/>
      <w:r>
        <w:rPr>
          <w:rFonts w:hint="cs"/>
          <w:rtl/>
        </w:rPr>
        <w:t xml:space="preserve">אותו </w:t>
      </w:r>
      <w:bookmarkStart w:id="43345" w:name="_ETM_Q82_406510"/>
      <w:bookmarkEnd w:id="43345"/>
      <w:r>
        <w:rPr>
          <w:rFonts w:hint="cs"/>
          <w:rtl/>
        </w:rPr>
        <w:t xml:space="preserve">להוביל, </w:t>
      </w:r>
      <w:bookmarkStart w:id="43346" w:name="_ETM_Q82_407200"/>
      <w:bookmarkEnd w:id="43346"/>
      <w:r>
        <w:rPr>
          <w:rFonts w:hint="cs"/>
          <w:rtl/>
        </w:rPr>
        <w:t xml:space="preserve">להשמיע </w:t>
      </w:r>
      <w:bookmarkStart w:id="43347" w:name="_ETM_Q82_407680"/>
      <w:bookmarkEnd w:id="43347"/>
      <w:r>
        <w:rPr>
          <w:rFonts w:hint="cs"/>
          <w:rtl/>
        </w:rPr>
        <w:t xml:space="preserve">את </w:t>
      </w:r>
      <w:bookmarkStart w:id="43348" w:name="_ETM_Q82_407769"/>
      <w:bookmarkEnd w:id="43348"/>
      <w:r>
        <w:rPr>
          <w:rFonts w:hint="cs"/>
          <w:rtl/>
        </w:rPr>
        <w:t>דעתו</w:t>
      </w:r>
      <w:bookmarkStart w:id="43349" w:name="_ETM_Q82_408310"/>
      <w:bookmarkEnd w:id="43349"/>
      <w:r>
        <w:rPr>
          <w:rFonts w:hint="cs"/>
          <w:rtl/>
        </w:rPr>
        <w:t xml:space="preserve">, להיות </w:t>
      </w:r>
      <w:bookmarkStart w:id="43350" w:name="_ETM_Q82_408670"/>
      <w:bookmarkEnd w:id="43350"/>
      <w:r>
        <w:rPr>
          <w:rFonts w:hint="cs"/>
          <w:rtl/>
        </w:rPr>
        <w:t xml:space="preserve">אמיץ, </w:t>
      </w:r>
      <w:bookmarkStart w:id="43351" w:name="_ETM_Q82_409800"/>
      <w:bookmarkEnd w:id="43351"/>
      <w:r>
        <w:rPr>
          <w:rFonts w:hint="cs"/>
          <w:rtl/>
        </w:rPr>
        <w:t xml:space="preserve">אבל </w:t>
      </w:r>
      <w:bookmarkStart w:id="43352" w:name="_ETM_Q82_410100"/>
      <w:bookmarkEnd w:id="43352"/>
      <w:r>
        <w:rPr>
          <w:rFonts w:hint="cs"/>
          <w:rtl/>
        </w:rPr>
        <w:t xml:space="preserve">הוא </w:t>
      </w:r>
      <w:bookmarkStart w:id="43353" w:name="_ETM_Q82_410160"/>
      <w:bookmarkEnd w:id="43353"/>
      <w:r>
        <w:rPr>
          <w:rFonts w:hint="cs"/>
          <w:rtl/>
        </w:rPr>
        <w:t xml:space="preserve">יושב </w:t>
      </w:r>
      <w:bookmarkStart w:id="43354" w:name="_ETM_Q82_410700"/>
      <w:bookmarkEnd w:id="43354"/>
      <w:r>
        <w:rPr>
          <w:rFonts w:hint="cs"/>
          <w:rtl/>
        </w:rPr>
        <w:t xml:space="preserve">שם, </w:t>
      </w:r>
      <w:bookmarkStart w:id="43355" w:name="_ETM_Q82_411210"/>
      <w:bookmarkEnd w:id="43355"/>
      <w:r>
        <w:rPr>
          <w:rFonts w:hint="cs"/>
          <w:rtl/>
        </w:rPr>
        <w:t xml:space="preserve">קובר </w:t>
      </w:r>
      <w:bookmarkStart w:id="43356" w:name="_ETM_Q82_411660"/>
      <w:bookmarkEnd w:id="43356"/>
      <w:r>
        <w:rPr>
          <w:rFonts w:hint="cs"/>
          <w:rtl/>
        </w:rPr>
        <w:t xml:space="preserve">את </w:t>
      </w:r>
      <w:bookmarkStart w:id="43357" w:name="_ETM_Q82_411780"/>
      <w:bookmarkEnd w:id="43357"/>
      <w:r>
        <w:rPr>
          <w:rFonts w:hint="cs"/>
          <w:rtl/>
        </w:rPr>
        <w:t xml:space="preserve">המילים </w:t>
      </w:r>
      <w:bookmarkStart w:id="43358" w:name="_ETM_Q82_412110"/>
      <w:bookmarkEnd w:id="43358"/>
      <w:r>
        <w:rPr>
          <w:rFonts w:hint="cs"/>
          <w:rtl/>
        </w:rPr>
        <w:t xml:space="preserve">שלו </w:t>
      </w:r>
      <w:bookmarkStart w:id="43359" w:name="_ETM_Q82_412380"/>
      <w:bookmarkEnd w:id="43359"/>
      <w:r>
        <w:rPr>
          <w:rFonts w:hint="cs"/>
          <w:rtl/>
        </w:rPr>
        <w:t xml:space="preserve">עמוק </w:t>
      </w:r>
      <w:bookmarkStart w:id="43360" w:name="_ETM_Q82_412650"/>
      <w:bookmarkEnd w:id="43360"/>
      <w:r>
        <w:rPr>
          <w:rFonts w:hint="cs"/>
          <w:rtl/>
        </w:rPr>
        <w:t>באדמה ו</w:t>
      </w:r>
      <w:bookmarkStart w:id="43361" w:name="_ETM_Q82_413639"/>
      <w:bookmarkStart w:id="43362" w:name="_ETM_Q82_413790"/>
      <w:bookmarkEnd w:id="43361"/>
      <w:bookmarkEnd w:id="43362"/>
      <w:r>
        <w:rPr>
          <w:rFonts w:hint="cs"/>
          <w:rtl/>
        </w:rPr>
        <w:t xml:space="preserve">מגמגם </w:t>
      </w:r>
      <w:bookmarkStart w:id="43363" w:name="_ETM_Q82_414480"/>
      <w:bookmarkEnd w:id="43363"/>
      <w:r>
        <w:rPr>
          <w:rFonts w:hint="cs"/>
          <w:rtl/>
        </w:rPr>
        <w:t xml:space="preserve">כמו </w:t>
      </w:r>
      <w:bookmarkStart w:id="43364" w:name="_ETM_Q82_414749"/>
      <w:bookmarkEnd w:id="43364"/>
      <w:r>
        <w:rPr>
          <w:rFonts w:hint="cs"/>
          <w:rtl/>
        </w:rPr>
        <w:t xml:space="preserve">טמבל. </w:t>
      </w:r>
      <w:bookmarkStart w:id="43365" w:name="_ETM_Q82_416090"/>
      <w:bookmarkEnd w:id="43365"/>
      <w:r>
        <w:rPr>
          <w:rFonts w:hint="cs"/>
          <w:rtl/>
        </w:rPr>
        <w:t xml:space="preserve">כל </w:t>
      </w:r>
      <w:bookmarkStart w:id="43366" w:name="_ETM_Q82_416420"/>
      <w:bookmarkEnd w:id="43366"/>
      <w:r>
        <w:rPr>
          <w:rFonts w:hint="cs"/>
          <w:rtl/>
        </w:rPr>
        <w:t xml:space="preserve">הלילה </w:t>
      </w:r>
      <w:bookmarkStart w:id="43367" w:name="_ETM_Q82_417450"/>
      <w:bookmarkEnd w:id="43367"/>
      <w:r>
        <w:rPr>
          <w:rFonts w:hint="cs"/>
          <w:rtl/>
        </w:rPr>
        <w:t xml:space="preserve">לא </w:t>
      </w:r>
      <w:bookmarkStart w:id="43368" w:name="_ETM_Q82_417689"/>
      <w:bookmarkEnd w:id="43368"/>
      <w:r>
        <w:rPr>
          <w:rFonts w:hint="cs"/>
          <w:rtl/>
        </w:rPr>
        <w:t xml:space="preserve">נרדמתי. </w:t>
      </w:r>
      <w:bookmarkStart w:id="43369" w:name="_ETM_Q82_419359"/>
      <w:bookmarkEnd w:id="43369"/>
      <w:r>
        <w:rPr>
          <w:rFonts w:hint="cs"/>
          <w:rtl/>
        </w:rPr>
        <w:t xml:space="preserve">הרגשתי </w:t>
      </w:r>
      <w:bookmarkStart w:id="43370" w:name="_ETM_Q82_419989"/>
      <w:bookmarkEnd w:id="43370"/>
      <w:r>
        <w:rPr>
          <w:rFonts w:hint="cs"/>
          <w:rtl/>
        </w:rPr>
        <w:t xml:space="preserve">כזה </w:t>
      </w:r>
      <w:bookmarkStart w:id="43371" w:name="_ETM_Q82_420620"/>
      <w:bookmarkStart w:id="43372" w:name="_ETM_Q82_421840"/>
      <w:bookmarkEnd w:id="43371"/>
      <w:bookmarkEnd w:id="43372"/>
      <w:r>
        <w:rPr>
          <w:rFonts w:hint="cs"/>
          <w:rtl/>
        </w:rPr>
        <w:t>אפס. ילד</w:t>
      </w:r>
      <w:bookmarkStart w:id="43373" w:name="_ETM_Q82_422230"/>
      <w:bookmarkEnd w:id="43373"/>
      <w:r>
        <w:rPr>
          <w:rFonts w:hint="cs"/>
          <w:rtl/>
        </w:rPr>
        <w:t xml:space="preserve">-נמושה. </w:t>
      </w:r>
      <w:bookmarkStart w:id="43374" w:name="_ETM_Q82_423459"/>
      <w:bookmarkEnd w:id="43374"/>
      <w:r>
        <w:rPr>
          <w:rFonts w:hint="cs"/>
          <w:rtl/>
        </w:rPr>
        <w:t xml:space="preserve">והמבט </w:t>
      </w:r>
      <w:bookmarkStart w:id="43375" w:name="_ETM_Q82_424150"/>
      <w:bookmarkEnd w:id="43375"/>
      <w:r>
        <w:rPr>
          <w:rFonts w:hint="cs"/>
          <w:rtl/>
        </w:rPr>
        <w:t xml:space="preserve">שהיה </w:t>
      </w:r>
      <w:bookmarkStart w:id="43376" w:name="_ETM_Q82_424510"/>
      <w:bookmarkEnd w:id="43376"/>
      <w:r>
        <w:rPr>
          <w:rFonts w:hint="cs"/>
          <w:rtl/>
        </w:rPr>
        <w:t xml:space="preserve">לו </w:t>
      </w:r>
      <w:bookmarkStart w:id="43377" w:name="_ETM_Q82_424630"/>
      <w:bookmarkEnd w:id="43377"/>
      <w:r>
        <w:rPr>
          <w:rFonts w:hint="cs"/>
          <w:rtl/>
        </w:rPr>
        <w:t xml:space="preserve">בעיניים </w:t>
      </w:r>
      <w:bookmarkStart w:id="43378" w:name="_ETM_Q82_425590"/>
      <w:bookmarkEnd w:id="43378"/>
      <w:r>
        <w:rPr>
          <w:rFonts w:hint="cs"/>
          <w:rtl/>
        </w:rPr>
        <w:t xml:space="preserve">לא </w:t>
      </w:r>
      <w:bookmarkStart w:id="43379" w:name="_ETM_Q82_425800"/>
      <w:bookmarkEnd w:id="43379"/>
      <w:r>
        <w:rPr>
          <w:rFonts w:hint="cs"/>
          <w:rtl/>
        </w:rPr>
        <w:t xml:space="preserve">שיחרר </w:t>
      </w:r>
      <w:bookmarkStart w:id="43380" w:name="_ETM_Q82_426370"/>
      <w:bookmarkEnd w:id="43380"/>
      <w:r>
        <w:rPr>
          <w:rFonts w:hint="cs"/>
          <w:rtl/>
        </w:rPr>
        <w:t xml:space="preserve">ממני. </w:t>
      </w:r>
      <w:bookmarkStart w:id="43381" w:name="_ETM_Q82_427989"/>
      <w:bookmarkEnd w:id="43381"/>
      <w:r>
        <w:rPr>
          <w:rFonts w:hint="cs"/>
          <w:rtl/>
        </w:rPr>
        <w:t xml:space="preserve">המחנה </w:t>
      </w:r>
      <w:bookmarkStart w:id="43382" w:name="_ETM_Q82_428500"/>
      <w:bookmarkEnd w:id="43382"/>
      <w:r>
        <w:rPr>
          <w:rFonts w:hint="cs"/>
          <w:rtl/>
        </w:rPr>
        <w:t xml:space="preserve">נגמר. </w:t>
      </w:r>
      <w:bookmarkStart w:id="43383" w:name="_ETM_Q82_429650"/>
      <w:bookmarkEnd w:id="43383"/>
      <w:r>
        <w:rPr>
          <w:rFonts w:hint="cs"/>
          <w:rtl/>
        </w:rPr>
        <w:t xml:space="preserve">הבריונים </w:t>
      </w:r>
      <w:bookmarkStart w:id="43384" w:name="_ETM_Q82_430279"/>
      <w:bookmarkEnd w:id="43384"/>
      <w:r>
        <w:rPr>
          <w:rFonts w:hint="cs"/>
          <w:rtl/>
        </w:rPr>
        <w:t xml:space="preserve">נשארו </w:t>
      </w:r>
      <w:bookmarkStart w:id="43385" w:name="_ETM_Q82_430669"/>
      <w:bookmarkEnd w:id="43385"/>
      <w:r>
        <w:rPr>
          <w:rFonts w:hint="cs"/>
          <w:rtl/>
        </w:rPr>
        <w:t>בריונים.</w:t>
      </w:r>
      <w:bookmarkStart w:id="43386" w:name="_ETM_Q82_431719"/>
      <w:bookmarkEnd w:id="43386"/>
      <w:r>
        <w:rPr>
          <w:rFonts w:hint="cs"/>
          <w:rtl/>
        </w:rPr>
        <w:t xml:space="preserve"> החלשים </w:t>
      </w:r>
      <w:bookmarkStart w:id="43387" w:name="_ETM_Q82_432319"/>
      <w:bookmarkEnd w:id="43387"/>
      <w:r>
        <w:rPr>
          <w:rFonts w:hint="cs"/>
          <w:rtl/>
        </w:rPr>
        <w:t xml:space="preserve">נשארו </w:t>
      </w:r>
      <w:bookmarkStart w:id="43388" w:name="_ETM_Q82_432709"/>
      <w:bookmarkEnd w:id="43388"/>
      <w:r>
        <w:rPr>
          <w:rFonts w:hint="cs"/>
          <w:rtl/>
        </w:rPr>
        <w:t xml:space="preserve">חלשים. </w:t>
      </w:r>
      <w:bookmarkStart w:id="43389" w:name="_ETM_Q82_433909"/>
      <w:bookmarkEnd w:id="43389"/>
      <w:r>
        <w:rPr>
          <w:rFonts w:hint="cs"/>
          <w:rtl/>
        </w:rPr>
        <w:t xml:space="preserve">המדריכים </w:t>
      </w:r>
      <w:bookmarkStart w:id="43390" w:name="_ETM_Q82_434629"/>
      <w:bookmarkEnd w:id="43390"/>
      <w:r>
        <w:rPr>
          <w:rFonts w:hint="cs"/>
          <w:rtl/>
        </w:rPr>
        <w:t xml:space="preserve">נשארו </w:t>
      </w:r>
      <w:bookmarkStart w:id="43391" w:name="_ETM_Q82_435109"/>
      <w:bookmarkEnd w:id="43391"/>
      <w:r>
        <w:rPr>
          <w:rFonts w:hint="cs"/>
          <w:rtl/>
        </w:rPr>
        <w:t xml:space="preserve">בעלטה. </w:t>
      </w:r>
      <w:bookmarkStart w:id="43392" w:name="_ETM_Q82_436690"/>
      <w:bookmarkEnd w:id="43392"/>
      <w:r>
        <w:rPr>
          <w:rFonts w:hint="cs"/>
          <w:rtl/>
        </w:rPr>
        <w:t xml:space="preserve">אבל </w:t>
      </w:r>
      <w:bookmarkStart w:id="43393" w:name="_ETM_Q82_436960"/>
      <w:bookmarkEnd w:id="43393"/>
      <w:r>
        <w:rPr>
          <w:rFonts w:hint="cs"/>
          <w:rtl/>
        </w:rPr>
        <w:t xml:space="preserve">דבר </w:t>
      </w:r>
      <w:bookmarkStart w:id="43394" w:name="_ETM_Q82_437380"/>
      <w:bookmarkEnd w:id="43394"/>
      <w:r>
        <w:rPr>
          <w:rFonts w:hint="cs"/>
          <w:rtl/>
        </w:rPr>
        <w:t xml:space="preserve">אחד </w:t>
      </w:r>
      <w:bookmarkStart w:id="43395" w:name="_ETM_Q82_437710"/>
      <w:bookmarkEnd w:id="43395"/>
      <w:r>
        <w:rPr>
          <w:rFonts w:hint="cs"/>
          <w:rtl/>
        </w:rPr>
        <w:t xml:space="preserve">השתנה: </w:t>
      </w:r>
      <w:bookmarkStart w:id="43396" w:name="_ETM_Q82_439009"/>
      <w:bookmarkEnd w:id="43396"/>
      <w:r>
        <w:rPr>
          <w:rFonts w:hint="cs"/>
          <w:rtl/>
        </w:rPr>
        <w:t xml:space="preserve">אני. </w:t>
      </w:r>
      <w:bookmarkStart w:id="43397" w:name="_ETM_Q82_440410"/>
      <w:bookmarkEnd w:id="43397"/>
      <w:r>
        <w:rPr>
          <w:rFonts w:hint="cs"/>
          <w:rtl/>
        </w:rPr>
        <w:t xml:space="preserve">התגבשה </w:t>
      </w:r>
      <w:bookmarkStart w:id="43398" w:name="_ETM_Q82_440950"/>
      <w:bookmarkEnd w:id="43398"/>
      <w:r>
        <w:rPr>
          <w:rFonts w:hint="cs"/>
          <w:rtl/>
        </w:rPr>
        <w:t xml:space="preserve">בי </w:t>
      </w:r>
      <w:bookmarkStart w:id="43399" w:name="_ETM_Q82_441100"/>
      <w:bookmarkEnd w:id="43399"/>
      <w:r>
        <w:rPr>
          <w:rFonts w:hint="cs"/>
          <w:rtl/>
        </w:rPr>
        <w:t xml:space="preserve">ההחלטה </w:t>
      </w:r>
      <w:bookmarkStart w:id="43400" w:name="_ETM_Q82_442029"/>
      <w:bookmarkEnd w:id="43400"/>
      <w:r>
        <w:rPr>
          <w:rFonts w:hint="cs"/>
          <w:rtl/>
        </w:rPr>
        <w:t xml:space="preserve">לא </w:t>
      </w:r>
      <w:bookmarkStart w:id="43401" w:name="_ETM_Q82_442210"/>
      <w:bookmarkEnd w:id="43401"/>
      <w:r>
        <w:rPr>
          <w:rFonts w:hint="cs"/>
          <w:rtl/>
        </w:rPr>
        <w:t xml:space="preserve">לשתוק </w:t>
      </w:r>
      <w:bookmarkStart w:id="43402" w:name="_ETM_Q82_442690"/>
      <w:bookmarkEnd w:id="43402"/>
      <w:r>
        <w:rPr>
          <w:rFonts w:hint="cs"/>
          <w:rtl/>
        </w:rPr>
        <w:t xml:space="preserve">יותר. </w:t>
      </w:r>
      <w:bookmarkStart w:id="43403" w:name="_ETM_Q82_443820"/>
      <w:bookmarkEnd w:id="43403"/>
      <w:r>
        <w:rPr>
          <w:rFonts w:hint="cs"/>
          <w:rtl/>
        </w:rPr>
        <w:t xml:space="preserve">אם </w:t>
      </w:r>
      <w:bookmarkStart w:id="43404" w:name="_ETM_Q82_444000"/>
      <w:bookmarkEnd w:id="43404"/>
      <w:r>
        <w:rPr>
          <w:rFonts w:hint="cs"/>
          <w:rtl/>
        </w:rPr>
        <w:t xml:space="preserve">אני </w:t>
      </w:r>
      <w:bookmarkStart w:id="43405" w:name="_ETM_Q82_444180"/>
      <w:bookmarkEnd w:id="43405"/>
      <w:r>
        <w:rPr>
          <w:rFonts w:hint="cs"/>
          <w:rtl/>
        </w:rPr>
        <w:t xml:space="preserve">מרגיש </w:t>
      </w:r>
      <w:bookmarkStart w:id="43406" w:name="_ETM_Q82_444660"/>
      <w:bookmarkEnd w:id="43406"/>
      <w:r>
        <w:rPr>
          <w:rFonts w:hint="cs"/>
          <w:rtl/>
        </w:rPr>
        <w:t xml:space="preserve">משהו, </w:t>
      </w:r>
      <w:bookmarkStart w:id="43407" w:name="_ETM_Q82_445440"/>
      <w:bookmarkEnd w:id="43407"/>
      <w:r>
        <w:rPr>
          <w:rFonts w:hint="cs"/>
          <w:rtl/>
        </w:rPr>
        <w:t xml:space="preserve">אם </w:t>
      </w:r>
      <w:bookmarkStart w:id="43408" w:name="_ETM_Q82_445620"/>
      <w:bookmarkEnd w:id="43408"/>
      <w:r>
        <w:rPr>
          <w:rFonts w:hint="cs"/>
          <w:rtl/>
        </w:rPr>
        <w:t xml:space="preserve">אני </w:t>
      </w:r>
      <w:bookmarkStart w:id="43409" w:name="_ETM_Q82_445830"/>
      <w:bookmarkEnd w:id="43409"/>
      <w:r>
        <w:rPr>
          <w:rFonts w:hint="cs"/>
          <w:rtl/>
        </w:rPr>
        <w:t xml:space="preserve">חושב </w:t>
      </w:r>
      <w:bookmarkStart w:id="43410" w:name="_ETM_Q82_446339"/>
      <w:bookmarkEnd w:id="43410"/>
      <w:r>
        <w:rPr>
          <w:rFonts w:hint="cs"/>
          <w:rtl/>
        </w:rPr>
        <w:t xml:space="preserve">משהו, </w:t>
      </w:r>
      <w:bookmarkStart w:id="43411" w:name="_ETM_Q82_447220"/>
      <w:bookmarkEnd w:id="43411"/>
      <w:r>
        <w:rPr>
          <w:rFonts w:hint="cs"/>
          <w:rtl/>
        </w:rPr>
        <w:t xml:space="preserve">אם </w:t>
      </w:r>
      <w:bookmarkStart w:id="43412" w:name="_ETM_Q82_447400"/>
      <w:bookmarkEnd w:id="43412"/>
      <w:r>
        <w:rPr>
          <w:rFonts w:hint="cs"/>
          <w:rtl/>
        </w:rPr>
        <w:t xml:space="preserve">יש </w:t>
      </w:r>
      <w:bookmarkStart w:id="43413" w:name="_ETM_Q82_447639"/>
      <w:bookmarkEnd w:id="43413"/>
      <w:r>
        <w:rPr>
          <w:rFonts w:hint="cs"/>
          <w:rtl/>
        </w:rPr>
        <w:t xml:space="preserve">לי </w:t>
      </w:r>
      <w:bookmarkStart w:id="43414" w:name="_ETM_Q82_447819"/>
      <w:bookmarkEnd w:id="43414"/>
      <w:r>
        <w:rPr>
          <w:rFonts w:hint="cs"/>
          <w:rtl/>
        </w:rPr>
        <w:t xml:space="preserve">עמדה, </w:t>
      </w:r>
      <w:bookmarkStart w:id="43415" w:name="_ETM_Q82_448300"/>
      <w:bookmarkEnd w:id="43415"/>
      <w:r>
        <w:rPr>
          <w:rFonts w:hint="cs"/>
          <w:rtl/>
        </w:rPr>
        <w:t xml:space="preserve">דעה, </w:t>
      </w:r>
      <w:bookmarkStart w:id="43416" w:name="_ETM_Q82_448750"/>
      <w:bookmarkEnd w:id="43416"/>
      <w:r>
        <w:rPr>
          <w:rFonts w:hint="cs"/>
          <w:rtl/>
        </w:rPr>
        <w:t xml:space="preserve">השקפה </w:t>
      </w:r>
      <w:bookmarkStart w:id="43417" w:name="_ETM_Q82_449760"/>
      <w:bookmarkEnd w:id="43417"/>
      <w:r>
        <w:rPr>
          <w:rFonts w:hint="cs"/>
          <w:rtl/>
        </w:rPr>
        <w:t xml:space="preserve">– אני </w:t>
      </w:r>
      <w:bookmarkStart w:id="43418" w:name="_ETM_Q82_450150"/>
      <w:bookmarkEnd w:id="43418"/>
      <w:r>
        <w:rPr>
          <w:rFonts w:hint="cs"/>
          <w:rtl/>
        </w:rPr>
        <w:t xml:space="preserve">אמצא </w:t>
      </w:r>
      <w:bookmarkStart w:id="43419" w:name="_ETM_Q82_450480"/>
      <w:bookmarkEnd w:id="43419"/>
      <w:r>
        <w:rPr>
          <w:rFonts w:hint="cs"/>
          <w:rtl/>
        </w:rPr>
        <w:t xml:space="preserve">את </w:t>
      </w:r>
      <w:bookmarkStart w:id="43420" w:name="_ETM_Q82_450600"/>
      <w:bookmarkEnd w:id="43420"/>
      <w:r>
        <w:rPr>
          <w:rFonts w:hint="cs"/>
          <w:rtl/>
        </w:rPr>
        <w:t xml:space="preserve">הדרך </w:t>
      </w:r>
      <w:bookmarkStart w:id="43421" w:name="_ETM_Q82_450930"/>
      <w:bookmarkEnd w:id="43421"/>
      <w:r>
        <w:rPr>
          <w:rFonts w:hint="cs"/>
          <w:rtl/>
        </w:rPr>
        <w:t xml:space="preserve">שלי </w:t>
      </w:r>
      <w:bookmarkStart w:id="43422" w:name="_ETM_Q82_451200"/>
      <w:bookmarkEnd w:id="43422"/>
      <w:r>
        <w:rPr>
          <w:rFonts w:hint="cs"/>
          <w:rtl/>
        </w:rPr>
        <w:t xml:space="preserve">לבטא </w:t>
      </w:r>
      <w:bookmarkStart w:id="43423" w:name="_ETM_Q82_451680"/>
      <w:bookmarkEnd w:id="43423"/>
      <w:r>
        <w:rPr>
          <w:rFonts w:hint="cs"/>
          <w:rtl/>
        </w:rPr>
        <w:t xml:space="preserve">אותן. </w:t>
      </w:r>
      <w:bookmarkStart w:id="43424" w:name="_ETM_Q82_452550"/>
      <w:bookmarkEnd w:id="43424"/>
      <w:r>
        <w:rPr>
          <w:rFonts w:hint="cs"/>
          <w:rtl/>
        </w:rPr>
        <w:t xml:space="preserve">גם </w:t>
      </w:r>
      <w:bookmarkStart w:id="43425" w:name="_ETM_Q82_452910"/>
      <w:bookmarkEnd w:id="43425"/>
      <w:r>
        <w:rPr>
          <w:rFonts w:hint="cs"/>
          <w:rtl/>
        </w:rPr>
        <w:t xml:space="preserve">במחיר </w:t>
      </w:r>
      <w:bookmarkStart w:id="43426" w:name="_ETM_Q82_453990"/>
      <w:bookmarkEnd w:id="43426"/>
      <w:r>
        <w:rPr>
          <w:rFonts w:hint="cs"/>
          <w:rtl/>
        </w:rPr>
        <w:t xml:space="preserve">של </w:t>
      </w:r>
      <w:bookmarkStart w:id="43427" w:name="_ETM_Q82_454380"/>
      <w:bookmarkEnd w:id="43427"/>
      <w:r>
        <w:rPr>
          <w:rFonts w:hint="cs"/>
          <w:rtl/>
        </w:rPr>
        <w:t xml:space="preserve">לא </w:t>
      </w:r>
      <w:bookmarkStart w:id="43428" w:name="_ETM_Q82_454920"/>
      <w:bookmarkEnd w:id="43428"/>
      <w:r>
        <w:rPr>
          <w:rFonts w:hint="cs"/>
          <w:rtl/>
        </w:rPr>
        <w:t xml:space="preserve">להיות </w:t>
      </w:r>
      <w:bookmarkStart w:id="43429" w:name="_ETM_Q82_455490"/>
      <w:bookmarkEnd w:id="43429"/>
      <w:r>
        <w:rPr>
          <w:rFonts w:hint="cs"/>
          <w:rtl/>
        </w:rPr>
        <w:t xml:space="preserve">פופולרי. </w:t>
      </w:r>
      <w:bookmarkStart w:id="43430" w:name="_ETM_Q82_457910"/>
      <w:bookmarkEnd w:id="43430"/>
    </w:p>
    <w:p w:rsidR="00BB59CD" w:rsidRDefault="00BB59CD" w:rsidP="00BB59CD">
      <w:pPr>
        <w:rPr>
          <w:rtl/>
        </w:rPr>
      </w:pPr>
    </w:p>
    <w:p w:rsidR="00BB59CD" w:rsidRDefault="00BB59CD" w:rsidP="00BB59CD">
      <w:pPr>
        <w:rPr>
          <w:rtl/>
        </w:rPr>
      </w:pPr>
      <w:bookmarkStart w:id="43431" w:name="_ETM_Q82_454651"/>
      <w:bookmarkEnd w:id="43431"/>
      <w:r>
        <w:rPr>
          <w:rFonts w:hint="cs"/>
          <w:rtl/>
        </w:rPr>
        <w:t xml:space="preserve">"השנים </w:t>
      </w:r>
      <w:bookmarkStart w:id="43432" w:name="_ETM_Q82_458389"/>
      <w:bookmarkEnd w:id="43432"/>
      <w:r>
        <w:rPr>
          <w:rFonts w:hint="cs"/>
          <w:rtl/>
        </w:rPr>
        <w:t xml:space="preserve">חלפו, </w:t>
      </w:r>
      <w:bookmarkStart w:id="43433" w:name="_ETM_Q82_458839"/>
      <w:bookmarkEnd w:id="43433"/>
      <w:r>
        <w:rPr>
          <w:rFonts w:hint="cs"/>
          <w:rtl/>
        </w:rPr>
        <w:t xml:space="preserve">והבמה </w:t>
      </w:r>
      <w:bookmarkStart w:id="43434" w:name="_ETM_Q82_459289"/>
      <w:bookmarkEnd w:id="43434"/>
      <w:r>
        <w:rPr>
          <w:rFonts w:hint="cs"/>
          <w:rtl/>
        </w:rPr>
        <w:t xml:space="preserve">שקיבלתי </w:t>
      </w:r>
      <w:bookmarkStart w:id="43435" w:name="_ETM_Q82_459800"/>
      <w:bookmarkEnd w:id="43435"/>
      <w:r>
        <w:rPr>
          <w:rFonts w:hint="cs"/>
          <w:rtl/>
        </w:rPr>
        <w:t xml:space="preserve">כדי </w:t>
      </w:r>
      <w:bookmarkStart w:id="43436" w:name="_ETM_Q82_460069"/>
      <w:bookmarkEnd w:id="43436"/>
      <w:r>
        <w:rPr>
          <w:rFonts w:hint="cs"/>
          <w:rtl/>
        </w:rPr>
        <w:t xml:space="preserve">להשמיע </w:t>
      </w:r>
      <w:bookmarkStart w:id="43437" w:name="_ETM_Q82_460460"/>
      <w:bookmarkEnd w:id="43437"/>
      <w:r>
        <w:rPr>
          <w:rFonts w:hint="cs"/>
          <w:rtl/>
        </w:rPr>
        <w:t xml:space="preserve">את </w:t>
      </w:r>
      <w:bookmarkStart w:id="43438" w:name="_ETM_Q82_460550"/>
      <w:bookmarkEnd w:id="43438"/>
      <w:r>
        <w:rPr>
          <w:rFonts w:hint="cs"/>
          <w:rtl/>
        </w:rPr>
        <w:t xml:space="preserve">דעותיי </w:t>
      </w:r>
      <w:bookmarkStart w:id="43439" w:name="_ETM_Q82_461120"/>
      <w:bookmarkEnd w:id="43439"/>
      <w:r>
        <w:rPr>
          <w:rFonts w:hint="cs"/>
          <w:rtl/>
        </w:rPr>
        <w:t xml:space="preserve">הלכה </w:t>
      </w:r>
      <w:bookmarkStart w:id="43440" w:name="_ETM_Q82_461569"/>
      <w:bookmarkEnd w:id="43440"/>
      <w:r>
        <w:rPr>
          <w:rFonts w:hint="cs"/>
          <w:rtl/>
        </w:rPr>
        <w:t xml:space="preserve">וגדלה. </w:t>
      </w:r>
      <w:bookmarkStart w:id="43441" w:name="_ETM_Q82_462940"/>
      <w:bookmarkEnd w:id="43441"/>
      <w:r>
        <w:rPr>
          <w:rFonts w:hint="cs"/>
          <w:rtl/>
        </w:rPr>
        <w:t xml:space="preserve">עובדה </w:t>
      </w:r>
      <w:bookmarkStart w:id="43442" w:name="_ETM_Q82_463300"/>
      <w:bookmarkEnd w:id="43442"/>
      <w:r>
        <w:rPr>
          <w:rFonts w:hint="cs"/>
          <w:rtl/>
        </w:rPr>
        <w:t xml:space="preserve">שרק </w:t>
      </w:r>
      <w:bookmarkStart w:id="43443" w:name="_ETM_Q82_463660"/>
      <w:bookmarkEnd w:id="43443"/>
      <w:r>
        <w:rPr>
          <w:rFonts w:hint="cs"/>
          <w:rtl/>
        </w:rPr>
        <w:t xml:space="preserve">חיזקה </w:t>
      </w:r>
      <w:bookmarkStart w:id="43444" w:name="_ETM_Q82_464169"/>
      <w:bookmarkEnd w:id="43444"/>
      <w:r>
        <w:rPr>
          <w:rFonts w:hint="cs"/>
          <w:rtl/>
        </w:rPr>
        <w:t xml:space="preserve">את </w:t>
      </w:r>
      <w:bookmarkStart w:id="43445" w:name="_ETM_Q82_464319"/>
      <w:bookmarkEnd w:id="43445"/>
      <w:r>
        <w:rPr>
          <w:rFonts w:hint="cs"/>
          <w:rtl/>
        </w:rPr>
        <w:t xml:space="preserve">ההסכם </w:t>
      </w:r>
      <w:bookmarkStart w:id="43446" w:name="_ETM_Q82_464680"/>
      <w:bookmarkEnd w:id="43446"/>
      <w:r>
        <w:rPr>
          <w:rFonts w:hint="cs"/>
          <w:rtl/>
        </w:rPr>
        <w:t xml:space="preserve">שחתמתי </w:t>
      </w:r>
      <w:bookmarkStart w:id="43447" w:name="_ETM_Q82_465279"/>
      <w:bookmarkEnd w:id="43447"/>
      <w:r>
        <w:rPr>
          <w:rFonts w:hint="cs"/>
          <w:rtl/>
        </w:rPr>
        <w:t xml:space="preserve">עם </w:t>
      </w:r>
      <w:bookmarkStart w:id="43448" w:name="_ETM_Q82_465370"/>
      <w:bookmarkEnd w:id="43448"/>
      <w:r>
        <w:rPr>
          <w:rFonts w:hint="cs"/>
          <w:rtl/>
        </w:rPr>
        <w:t xml:space="preserve">עצמי </w:t>
      </w:r>
      <w:bookmarkStart w:id="43449" w:name="_ETM_Q82_465669"/>
      <w:bookmarkEnd w:id="43449"/>
      <w:r>
        <w:rPr>
          <w:rFonts w:hint="cs"/>
          <w:rtl/>
        </w:rPr>
        <w:t xml:space="preserve">במחנה </w:t>
      </w:r>
      <w:bookmarkStart w:id="43450" w:name="_ETM_Q82_466180"/>
      <w:bookmarkEnd w:id="43450"/>
      <w:r>
        <w:rPr>
          <w:rFonts w:hint="cs"/>
          <w:rtl/>
        </w:rPr>
        <w:t xml:space="preserve">הקיץ </w:t>
      </w:r>
      <w:bookmarkStart w:id="43451" w:name="_ETM_Q82_466630"/>
      <w:bookmarkEnd w:id="43451"/>
      <w:r>
        <w:rPr>
          <w:rFonts w:hint="cs"/>
          <w:rtl/>
        </w:rPr>
        <w:t xml:space="preserve">ההוא </w:t>
      </w:r>
      <w:bookmarkStart w:id="43452" w:name="_ETM_Q82_466810"/>
      <w:bookmarkEnd w:id="43452"/>
      <w:r>
        <w:rPr>
          <w:rFonts w:hint="cs"/>
          <w:rtl/>
        </w:rPr>
        <w:t xml:space="preserve">של </w:t>
      </w:r>
      <w:bookmarkStart w:id="43453" w:name="_ETM_Q82_467020"/>
      <w:bookmarkEnd w:id="43453"/>
      <w:r>
        <w:rPr>
          <w:rFonts w:hint="cs"/>
          <w:rtl/>
        </w:rPr>
        <w:t xml:space="preserve">מחוז </w:t>
      </w:r>
      <w:bookmarkStart w:id="43454" w:name="_ETM_Q82_467410"/>
      <w:bookmarkEnd w:id="43454"/>
      <w:r>
        <w:rPr>
          <w:rFonts w:hint="cs"/>
          <w:rtl/>
        </w:rPr>
        <w:t xml:space="preserve">צפון. </w:t>
      </w:r>
      <w:bookmarkStart w:id="43455" w:name="_ETM_Q82_468500"/>
      <w:bookmarkEnd w:id="43455"/>
      <w:r>
        <w:rPr>
          <w:rFonts w:hint="cs"/>
          <w:rtl/>
        </w:rPr>
        <w:t xml:space="preserve">שילמתי </w:t>
      </w:r>
      <w:bookmarkStart w:id="43456" w:name="_ETM_Q82_469100"/>
      <w:bookmarkEnd w:id="43456"/>
      <w:r>
        <w:rPr>
          <w:rFonts w:hint="cs"/>
          <w:rtl/>
        </w:rPr>
        <w:t xml:space="preserve">עליה </w:t>
      </w:r>
      <w:bookmarkStart w:id="43457" w:name="_ETM_Q82_469400"/>
      <w:bookmarkEnd w:id="43457"/>
      <w:r>
        <w:rPr>
          <w:rFonts w:hint="cs"/>
          <w:rtl/>
        </w:rPr>
        <w:t xml:space="preserve">מחיר, </w:t>
      </w:r>
      <w:bookmarkStart w:id="43458" w:name="_ETM_Q82_470370"/>
      <w:bookmarkEnd w:id="43458"/>
      <w:r>
        <w:rPr>
          <w:rFonts w:hint="cs"/>
          <w:rtl/>
        </w:rPr>
        <w:t xml:space="preserve">על </w:t>
      </w:r>
      <w:bookmarkStart w:id="43459" w:name="_ETM_Q82_470580"/>
      <w:bookmarkEnd w:id="43459"/>
      <w:r>
        <w:rPr>
          <w:rFonts w:hint="cs"/>
          <w:rtl/>
        </w:rPr>
        <w:t xml:space="preserve">ההחלטה </w:t>
      </w:r>
      <w:bookmarkStart w:id="43460" w:name="_ETM_Q82_471089"/>
      <w:bookmarkEnd w:id="43460"/>
      <w:r>
        <w:rPr>
          <w:rFonts w:hint="cs"/>
          <w:rtl/>
        </w:rPr>
        <w:t xml:space="preserve">הזאת. </w:t>
      </w:r>
      <w:bookmarkStart w:id="43461" w:name="_ETM_Q82_472249"/>
      <w:bookmarkEnd w:id="43461"/>
      <w:r>
        <w:rPr>
          <w:rFonts w:hint="cs"/>
          <w:rtl/>
        </w:rPr>
        <w:t xml:space="preserve">הסרות </w:t>
      </w:r>
      <w:bookmarkStart w:id="43462" w:name="_ETM_Q82_472699"/>
      <w:bookmarkEnd w:id="43462"/>
      <w:r>
        <w:rPr>
          <w:rFonts w:hint="cs"/>
          <w:rtl/>
        </w:rPr>
        <w:t xml:space="preserve">של </w:t>
      </w:r>
      <w:bookmarkStart w:id="43463" w:name="_ETM_Q82_472849"/>
      <w:bookmarkEnd w:id="43463"/>
      <w:r>
        <w:rPr>
          <w:rFonts w:hint="cs"/>
          <w:rtl/>
        </w:rPr>
        <w:t xml:space="preserve">עוקב </w:t>
      </w:r>
      <w:bookmarkStart w:id="43464" w:name="_ETM_Q82_473419"/>
      <w:bookmarkEnd w:id="43464"/>
      <w:r>
        <w:rPr>
          <w:rFonts w:hint="cs"/>
          <w:rtl/>
        </w:rPr>
        <w:t xml:space="preserve">חוזרות </w:t>
      </w:r>
      <w:bookmarkStart w:id="43465" w:name="_ETM_Q82_473809"/>
      <w:bookmarkEnd w:id="43465"/>
      <w:r>
        <w:rPr>
          <w:rFonts w:hint="cs"/>
          <w:rtl/>
        </w:rPr>
        <w:t xml:space="preserve">ונשנות. </w:t>
      </w:r>
      <w:bookmarkStart w:id="43466" w:name="_ETM_Q82_474499"/>
      <w:bookmarkEnd w:id="43466"/>
      <w:r>
        <w:rPr>
          <w:rFonts w:hint="cs"/>
          <w:rtl/>
        </w:rPr>
        <w:t xml:space="preserve">הודעות </w:t>
      </w:r>
      <w:bookmarkStart w:id="43467" w:name="_ETM_Q82_474919"/>
      <w:bookmarkEnd w:id="43467"/>
      <w:r>
        <w:rPr>
          <w:rFonts w:hint="cs"/>
          <w:rtl/>
        </w:rPr>
        <w:t xml:space="preserve">נאצה. </w:t>
      </w:r>
      <w:bookmarkStart w:id="43468" w:name="_ETM_Q82_475610"/>
      <w:bookmarkEnd w:id="43468"/>
      <w:r>
        <w:rPr>
          <w:rFonts w:hint="cs"/>
          <w:rtl/>
        </w:rPr>
        <w:t xml:space="preserve">פה </w:t>
      </w:r>
      <w:bookmarkStart w:id="43469" w:name="_ETM_Q82_475819"/>
      <w:bookmarkEnd w:id="43469"/>
      <w:r>
        <w:rPr>
          <w:rFonts w:hint="cs"/>
          <w:rtl/>
        </w:rPr>
        <w:t xml:space="preserve">ושם </w:t>
      </w:r>
      <w:bookmarkStart w:id="43470" w:name="_ETM_Q82_476180"/>
      <w:bookmarkEnd w:id="43470"/>
      <w:r>
        <w:rPr>
          <w:rFonts w:hint="cs"/>
          <w:rtl/>
        </w:rPr>
        <w:t xml:space="preserve">קללות. </w:t>
      </w:r>
      <w:bookmarkStart w:id="43471" w:name="_ETM_Q82_476960"/>
      <w:bookmarkEnd w:id="43471"/>
      <w:r>
        <w:rPr>
          <w:rFonts w:hint="cs"/>
          <w:rtl/>
        </w:rPr>
        <w:t xml:space="preserve">לפעמים </w:t>
      </w:r>
      <w:bookmarkStart w:id="43472" w:name="_ETM_Q82_477620"/>
      <w:bookmarkEnd w:id="43472"/>
      <w:r>
        <w:rPr>
          <w:rFonts w:hint="cs"/>
          <w:rtl/>
        </w:rPr>
        <w:t xml:space="preserve">גם </w:t>
      </w:r>
      <w:bookmarkStart w:id="43473" w:name="_ETM_Q82_477800"/>
      <w:bookmarkEnd w:id="43473"/>
      <w:r>
        <w:rPr>
          <w:rFonts w:hint="cs"/>
          <w:rtl/>
        </w:rPr>
        <w:t xml:space="preserve">איומי </w:t>
      </w:r>
      <w:bookmarkStart w:id="43474" w:name="_ETM_Q82_478129"/>
      <w:bookmarkEnd w:id="43474"/>
      <w:r>
        <w:rPr>
          <w:rFonts w:hint="cs"/>
          <w:rtl/>
        </w:rPr>
        <w:t xml:space="preserve">סרק. </w:t>
      </w:r>
      <w:bookmarkStart w:id="43475" w:name="_ETM_Q82_479160"/>
      <w:bookmarkEnd w:id="43475"/>
      <w:r>
        <w:rPr>
          <w:rFonts w:hint="cs"/>
          <w:rtl/>
        </w:rPr>
        <w:t xml:space="preserve">מחיר </w:t>
      </w:r>
      <w:bookmarkStart w:id="43476" w:name="_ETM_Q82_479520"/>
      <w:bookmarkEnd w:id="43476"/>
      <w:r>
        <w:rPr>
          <w:rFonts w:hint="cs"/>
          <w:rtl/>
        </w:rPr>
        <w:t xml:space="preserve">סביר </w:t>
      </w:r>
      <w:bookmarkStart w:id="43477" w:name="_ETM_Q82_479970"/>
      <w:bookmarkEnd w:id="43477"/>
      <w:r>
        <w:rPr>
          <w:rFonts w:hint="cs"/>
          <w:rtl/>
        </w:rPr>
        <w:t xml:space="preserve">בעיניי, </w:t>
      </w:r>
      <w:bookmarkStart w:id="43478" w:name="_ETM_Q82_480000"/>
      <w:bookmarkStart w:id="43479" w:name="_ETM_Q82_481900"/>
      <w:bookmarkEnd w:id="43478"/>
      <w:bookmarkEnd w:id="43479"/>
      <w:r>
        <w:rPr>
          <w:rFonts w:hint="cs"/>
          <w:rtl/>
        </w:rPr>
        <w:t xml:space="preserve">אז </w:t>
      </w:r>
      <w:bookmarkStart w:id="43480" w:name="_ETM_Q82_482110"/>
      <w:bookmarkEnd w:id="43480"/>
      <w:r>
        <w:rPr>
          <w:rFonts w:hint="cs"/>
          <w:rtl/>
        </w:rPr>
        <w:t xml:space="preserve">חייתי </w:t>
      </w:r>
      <w:bookmarkStart w:id="43481" w:name="_ETM_Q82_482590"/>
      <w:bookmarkEnd w:id="43481"/>
      <w:r>
        <w:rPr>
          <w:rFonts w:hint="cs"/>
          <w:rtl/>
        </w:rPr>
        <w:t xml:space="preserve">איתו </w:t>
      </w:r>
      <w:bookmarkStart w:id="43482" w:name="_ETM_Q82_482770"/>
      <w:bookmarkEnd w:id="43482"/>
      <w:r>
        <w:rPr>
          <w:rFonts w:hint="cs"/>
          <w:rtl/>
        </w:rPr>
        <w:t xml:space="preserve">בשלום. </w:t>
      </w:r>
      <w:bookmarkStart w:id="43483" w:name="_ETM_Q82_484640"/>
      <w:bookmarkEnd w:id="43483"/>
      <w:r>
        <w:rPr>
          <w:rFonts w:hint="cs"/>
          <w:rtl/>
        </w:rPr>
        <w:t xml:space="preserve">אני </w:t>
      </w:r>
      <w:bookmarkStart w:id="43484" w:name="_ETM_Q82_484879"/>
      <w:bookmarkEnd w:id="43484"/>
      <w:r>
        <w:rPr>
          <w:rFonts w:hint="cs"/>
          <w:rtl/>
        </w:rPr>
        <w:t xml:space="preserve">שואל </w:t>
      </w:r>
      <w:bookmarkStart w:id="43485" w:name="_ETM_Q82_485210"/>
      <w:bookmarkEnd w:id="43485"/>
      <w:r>
        <w:rPr>
          <w:rFonts w:hint="cs"/>
          <w:rtl/>
        </w:rPr>
        <w:t xml:space="preserve">את </w:t>
      </w:r>
      <w:bookmarkStart w:id="43486" w:name="_ETM_Q82_485330"/>
      <w:bookmarkEnd w:id="43486"/>
      <w:r>
        <w:rPr>
          <w:rFonts w:hint="cs"/>
          <w:rtl/>
        </w:rPr>
        <w:t xml:space="preserve">עצמי </w:t>
      </w:r>
      <w:bookmarkStart w:id="43487" w:name="_ETM_Q82_485899"/>
      <w:bookmarkEnd w:id="43487"/>
      <w:r>
        <w:rPr>
          <w:rFonts w:hint="cs"/>
          <w:rtl/>
        </w:rPr>
        <w:t xml:space="preserve">(ואותך) </w:t>
      </w:r>
      <w:bookmarkStart w:id="43488" w:name="_ETM_Q82_486680"/>
      <w:bookmarkEnd w:id="43488"/>
      <w:r>
        <w:rPr>
          <w:rFonts w:hint="cs"/>
          <w:rtl/>
        </w:rPr>
        <w:t xml:space="preserve">בכנות </w:t>
      </w:r>
      <w:bookmarkStart w:id="43489" w:name="_ETM_Q82_487220"/>
      <w:bookmarkEnd w:id="43489"/>
      <w:r>
        <w:rPr>
          <w:rFonts w:hint="cs"/>
          <w:rtl/>
        </w:rPr>
        <w:t xml:space="preserve">גמורה: </w:t>
      </w:r>
      <w:bookmarkStart w:id="43490" w:name="_ETM_Q82_488370"/>
      <w:bookmarkEnd w:id="43490"/>
      <w:r>
        <w:rPr>
          <w:rFonts w:hint="cs"/>
          <w:rtl/>
        </w:rPr>
        <w:t xml:space="preserve">האם </w:t>
      </w:r>
      <w:bookmarkStart w:id="43491" w:name="_ETM_Q82_488790"/>
      <w:bookmarkEnd w:id="43491"/>
      <w:r>
        <w:rPr>
          <w:rFonts w:hint="cs"/>
          <w:rtl/>
        </w:rPr>
        <w:t xml:space="preserve">האומנים </w:t>
      </w:r>
      <w:bookmarkStart w:id="43492" w:name="_ETM_Q82_489240"/>
      <w:bookmarkEnd w:id="43492"/>
      <w:r>
        <w:rPr>
          <w:rFonts w:hint="cs"/>
          <w:rtl/>
        </w:rPr>
        <w:t xml:space="preserve">והיוצרים </w:t>
      </w:r>
      <w:bookmarkStart w:id="43493" w:name="_ETM_Q82_489779"/>
      <w:bookmarkEnd w:id="43493"/>
      <w:r>
        <w:rPr>
          <w:rFonts w:hint="cs"/>
          <w:rtl/>
        </w:rPr>
        <w:t xml:space="preserve">שאנחנו </w:t>
      </w:r>
      <w:bookmarkStart w:id="43494" w:name="_ETM_Q82_490259"/>
      <w:bookmarkEnd w:id="43494"/>
      <w:r>
        <w:rPr>
          <w:rFonts w:hint="cs"/>
          <w:rtl/>
        </w:rPr>
        <w:t xml:space="preserve">מעריכים </w:t>
      </w:r>
      <w:bookmarkStart w:id="43495" w:name="_ETM_Q82_491459"/>
      <w:bookmarkEnd w:id="43495"/>
      <w:r>
        <w:rPr>
          <w:rFonts w:hint="cs"/>
          <w:rtl/>
        </w:rPr>
        <w:t xml:space="preserve">חייבים </w:t>
      </w:r>
      <w:bookmarkStart w:id="43496" w:name="_ETM_Q82_492119"/>
      <w:bookmarkEnd w:id="43496"/>
      <w:r>
        <w:rPr>
          <w:rFonts w:hint="cs"/>
          <w:rtl/>
        </w:rPr>
        <w:t xml:space="preserve">להחזיק </w:t>
      </w:r>
      <w:bookmarkStart w:id="43497" w:name="_ETM_Q82_492599"/>
      <w:bookmarkEnd w:id="43497"/>
      <w:r>
        <w:rPr>
          <w:rFonts w:hint="cs"/>
          <w:rtl/>
        </w:rPr>
        <w:t xml:space="preserve">באותה </w:t>
      </w:r>
      <w:bookmarkStart w:id="43498" w:name="_ETM_Q82_492990"/>
      <w:bookmarkEnd w:id="43498"/>
      <w:r>
        <w:rPr>
          <w:rFonts w:hint="cs"/>
          <w:rtl/>
        </w:rPr>
        <w:t xml:space="preserve">עמדה </w:t>
      </w:r>
      <w:bookmarkStart w:id="43499" w:name="_ETM_Q82_493259"/>
      <w:bookmarkEnd w:id="43499"/>
      <w:r>
        <w:rPr>
          <w:rFonts w:hint="cs"/>
          <w:rtl/>
        </w:rPr>
        <w:t xml:space="preserve">כמו </w:t>
      </w:r>
      <w:bookmarkStart w:id="43500" w:name="_ETM_Q82_493529"/>
      <w:bookmarkEnd w:id="43500"/>
      <w:r>
        <w:rPr>
          <w:rFonts w:hint="cs"/>
          <w:rtl/>
        </w:rPr>
        <w:t>שלנו</w:t>
      </w:r>
      <w:bookmarkStart w:id="43501" w:name="_ETM_Q82_494860"/>
      <w:bookmarkEnd w:id="43501"/>
      <w:r>
        <w:rPr>
          <w:rFonts w:hint="cs"/>
          <w:rtl/>
        </w:rPr>
        <w:t xml:space="preserve">? באותן </w:t>
      </w:r>
      <w:bookmarkStart w:id="43502" w:name="_ETM_Q82_495400"/>
      <w:bookmarkEnd w:id="43502"/>
      <w:r>
        <w:rPr>
          <w:rFonts w:hint="cs"/>
          <w:rtl/>
        </w:rPr>
        <w:t xml:space="preserve">דעות? </w:t>
      </w:r>
      <w:bookmarkStart w:id="43503" w:name="_ETM_Q82_496380"/>
      <w:bookmarkEnd w:id="43503"/>
      <w:r>
        <w:rPr>
          <w:rFonts w:hint="cs"/>
          <w:rtl/>
        </w:rPr>
        <w:t xml:space="preserve">באותה </w:t>
      </w:r>
      <w:bookmarkStart w:id="43504" w:name="_ETM_Q82_496860"/>
      <w:bookmarkEnd w:id="43504"/>
      <w:r>
        <w:rPr>
          <w:rFonts w:hint="cs"/>
          <w:rtl/>
        </w:rPr>
        <w:t xml:space="preserve">השקפת </w:t>
      </w:r>
      <w:bookmarkStart w:id="43505" w:name="_ETM_Q82_497400"/>
      <w:bookmarkEnd w:id="43505"/>
      <w:r>
        <w:rPr>
          <w:rFonts w:hint="cs"/>
          <w:rtl/>
        </w:rPr>
        <w:t xml:space="preserve">עולם? </w:t>
      </w:r>
      <w:bookmarkStart w:id="43506" w:name="_ETM_Q82_498900"/>
      <w:bookmarkEnd w:id="43506"/>
      <w:r>
        <w:rPr>
          <w:rFonts w:hint="cs"/>
          <w:rtl/>
        </w:rPr>
        <w:t xml:space="preserve">איזה </w:t>
      </w:r>
      <w:bookmarkStart w:id="43507" w:name="_ETM_Q82_499289"/>
      <w:bookmarkEnd w:id="43507"/>
      <w:r>
        <w:rPr>
          <w:rFonts w:hint="cs"/>
          <w:rtl/>
        </w:rPr>
        <w:t xml:space="preserve">שעמום, </w:t>
      </w:r>
      <w:bookmarkStart w:id="43508" w:name="_ETM_Q82_499919"/>
      <w:bookmarkEnd w:id="43508"/>
      <w:r>
        <w:rPr>
          <w:rFonts w:hint="cs"/>
          <w:rtl/>
        </w:rPr>
        <w:t xml:space="preserve">יא </w:t>
      </w:r>
      <w:bookmarkStart w:id="43509" w:name="_ETM_Q82_500249"/>
      <w:bookmarkEnd w:id="43509"/>
      <w:r>
        <w:rPr>
          <w:rFonts w:hint="cs"/>
          <w:rtl/>
        </w:rPr>
        <w:t xml:space="preserve">ראבי. </w:t>
      </w:r>
      <w:bookmarkStart w:id="43510" w:name="_ETM_Q82_501980"/>
      <w:bookmarkEnd w:id="43510"/>
      <w:r>
        <w:rPr>
          <w:rFonts w:hint="cs"/>
          <w:rtl/>
        </w:rPr>
        <w:t xml:space="preserve">תמיד </w:t>
      </w:r>
      <w:bookmarkStart w:id="43511" w:name="_ETM_Q82_502310"/>
      <w:bookmarkEnd w:id="43511"/>
      <w:r>
        <w:rPr>
          <w:rFonts w:hint="cs"/>
          <w:rtl/>
        </w:rPr>
        <w:t xml:space="preserve">האמנתי </w:t>
      </w:r>
      <w:bookmarkStart w:id="43512" w:name="_ETM_Q82_503029"/>
      <w:bookmarkEnd w:id="43512"/>
      <w:r>
        <w:rPr>
          <w:rFonts w:hint="cs"/>
          <w:rtl/>
        </w:rPr>
        <w:t xml:space="preserve">שחלק </w:t>
      </w:r>
      <w:bookmarkStart w:id="43513" w:name="_ETM_Q82_503510"/>
      <w:bookmarkEnd w:id="43513"/>
      <w:r>
        <w:rPr>
          <w:rFonts w:hint="cs"/>
          <w:rtl/>
        </w:rPr>
        <w:t xml:space="preserve">מהותי </w:t>
      </w:r>
      <w:bookmarkStart w:id="43514" w:name="_ETM_Q82_503960"/>
      <w:bookmarkEnd w:id="43514"/>
      <w:r>
        <w:rPr>
          <w:rFonts w:hint="cs"/>
          <w:rtl/>
        </w:rPr>
        <w:t xml:space="preserve">מהתפקיד </w:t>
      </w:r>
      <w:bookmarkStart w:id="43515" w:name="_ETM_Q82_504529"/>
      <w:bookmarkStart w:id="43516" w:name="_ETM_Q82_504589"/>
      <w:bookmarkEnd w:id="43515"/>
      <w:bookmarkEnd w:id="43516"/>
      <w:r>
        <w:rPr>
          <w:rFonts w:hint="cs"/>
          <w:rtl/>
        </w:rPr>
        <w:t xml:space="preserve">ומהאחריות </w:t>
      </w:r>
      <w:bookmarkStart w:id="43517" w:name="_ETM_Q82_505130"/>
      <w:bookmarkEnd w:id="43517"/>
      <w:r>
        <w:rPr>
          <w:rFonts w:hint="cs"/>
          <w:rtl/>
        </w:rPr>
        <w:t xml:space="preserve">של </w:t>
      </w:r>
      <w:bookmarkStart w:id="43518" w:name="_ETM_Q82_505310"/>
      <w:bookmarkEnd w:id="43518"/>
      <w:r>
        <w:rPr>
          <w:rFonts w:hint="cs"/>
          <w:rtl/>
        </w:rPr>
        <w:t xml:space="preserve">אומן </w:t>
      </w:r>
      <w:bookmarkStart w:id="43519" w:name="_ETM_Q82_505670"/>
      <w:bookmarkEnd w:id="43519"/>
      <w:r>
        <w:rPr>
          <w:rFonts w:hint="cs"/>
          <w:rtl/>
        </w:rPr>
        <w:t xml:space="preserve">הוא </w:t>
      </w:r>
      <w:bookmarkStart w:id="43520" w:name="_ETM_Q82_506809"/>
      <w:bookmarkEnd w:id="43520"/>
      <w:r>
        <w:rPr>
          <w:rFonts w:hint="cs"/>
          <w:rtl/>
        </w:rPr>
        <w:t xml:space="preserve">להציב </w:t>
      </w:r>
      <w:bookmarkStart w:id="43521" w:name="_ETM_Q82_506210"/>
      <w:bookmarkEnd w:id="43521"/>
      <w:r>
        <w:rPr>
          <w:rFonts w:hint="cs"/>
          <w:rtl/>
        </w:rPr>
        <w:t xml:space="preserve">מראה. </w:t>
      </w:r>
      <w:bookmarkStart w:id="43522" w:name="_ETM_Q82_506689"/>
      <w:bookmarkEnd w:id="43522"/>
      <w:r>
        <w:rPr>
          <w:rFonts w:hint="cs"/>
          <w:rtl/>
        </w:rPr>
        <w:t xml:space="preserve">לאתגר. </w:t>
      </w:r>
      <w:bookmarkStart w:id="43523" w:name="_ETM_Q82_507439"/>
      <w:bookmarkEnd w:id="43523"/>
      <w:r>
        <w:rPr>
          <w:rFonts w:hint="cs"/>
          <w:rtl/>
        </w:rPr>
        <w:t xml:space="preserve">לייצר </w:t>
      </w:r>
      <w:bookmarkStart w:id="43524" w:name="_ETM_Q82_507859"/>
      <w:bookmarkEnd w:id="43524"/>
      <w:r>
        <w:rPr>
          <w:rFonts w:hint="cs"/>
          <w:rtl/>
        </w:rPr>
        <w:t xml:space="preserve">שיח. </w:t>
      </w:r>
      <w:bookmarkStart w:id="43525" w:name="_ETM_Q82_508310"/>
      <w:bookmarkEnd w:id="43525"/>
      <w:r>
        <w:rPr>
          <w:rFonts w:hint="cs"/>
          <w:rtl/>
        </w:rPr>
        <w:t xml:space="preserve">לתת </w:t>
      </w:r>
      <w:bookmarkStart w:id="43526" w:name="_ETM_Q82_508550"/>
      <w:bookmarkEnd w:id="43526"/>
      <w:r>
        <w:rPr>
          <w:rFonts w:hint="cs"/>
          <w:rtl/>
        </w:rPr>
        <w:t xml:space="preserve">פרספקטיבה </w:t>
      </w:r>
      <w:bookmarkStart w:id="43527" w:name="_ETM_Q82_509300"/>
      <w:bookmarkEnd w:id="43527"/>
      <w:r>
        <w:rPr>
          <w:rFonts w:hint="cs"/>
          <w:rtl/>
        </w:rPr>
        <w:t xml:space="preserve">אחרת. </w:t>
      </w:r>
      <w:bookmarkStart w:id="43528" w:name="_ETM_Q82_510080"/>
      <w:bookmarkEnd w:id="43528"/>
      <w:r>
        <w:rPr>
          <w:rFonts w:hint="cs"/>
          <w:rtl/>
        </w:rPr>
        <w:t xml:space="preserve">להגיד </w:t>
      </w:r>
      <w:bookmarkStart w:id="43529" w:name="_ETM_Q82_510529"/>
      <w:bookmarkEnd w:id="43529"/>
      <w:r>
        <w:rPr>
          <w:rFonts w:hint="cs"/>
          <w:rtl/>
        </w:rPr>
        <w:t xml:space="preserve">את </w:t>
      </w:r>
      <w:bookmarkStart w:id="43530" w:name="_ETM_Q82_510680"/>
      <w:bookmarkEnd w:id="43530"/>
      <w:r>
        <w:rPr>
          <w:rFonts w:hint="cs"/>
          <w:rtl/>
        </w:rPr>
        <w:t xml:space="preserve">האמת </w:t>
      </w:r>
      <w:bookmarkStart w:id="43531" w:name="_ETM_Q82_511130"/>
      <w:bookmarkEnd w:id="43531"/>
      <w:r>
        <w:rPr>
          <w:rFonts w:hint="cs"/>
          <w:rtl/>
        </w:rPr>
        <w:t xml:space="preserve">שלו, </w:t>
      </w:r>
      <w:bookmarkStart w:id="43532" w:name="_ETM_Q82_511929"/>
      <w:bookmarkEnd w:id="43532"/>
      <w:r>
        <w:rPr>
          <w:rFonts w:hint="cs"/>
          <w:rtl/>
        </w:rPr>
        <w:t xml:space="preserve">גם </w:t>
      </w:r>
      <w:bookmarkStart w:id="43533" w:name="_ETM_Q82_512200"/>
      <w:bookmarkEnd w:id="43533"/>
      <w:r>
        <w:rPr>
          <w:rFonts w:hint="cs"/>
          <w:rtl/>
        </w:rPr>
        <w:t xml:space="preserve">אם </w:t>
      </w:r>
      <w:bookmarkStart w:id="43534" w:name="_ETM_Q82_512320"/>
      <w:bookmarkEnd w:id="43534"/>
      <w:r>
        <w:rPr>
          <w:rFonts w:hint="cs"/>
          <w:rtl/>
        </w:rPr>
        <w:t xml:space="preserve">היא </w:t>
      </w:r>
      <w:bookmarkStart w:id="43535" w:name="_ETM_Q82_512410"/>
      <w:bookmarkEnd w:id="43535"/>
      <w:r>
        <w:rPr>
          <w:rFonts w:hint="cs"/>
          <w:rtl/>
        </w:rPr>
        <w:t xml:space="preserve">לא </w:t>
      </w:r>
      <w:bookmarkStart w:id="43536" w:name="_ETM_Q82_512529"/>
      <w:bookmarkEnd w:id="43536"/>
      <w:r>
        <w:rPr>
          <w:rFonts w:hint="cs"/>
          <w:rtl/>
        </w:rPr>
        <w:t xml:space="preserve">נוחה. </w:t>
      </w:r>
      <w:bookmarkStart w:id="43537" w:name="_ETM_Q82_513960"/>
      <w:bookmarkEnd w:id="43537"/>
    </w:p>
    <w:p w:rsidR="00BB59CD" w:rsidRDefault="00BB59CD" w:rsidP="00BB59CD">
      <w:pPr>
        <w:rPr>
          <w:rtl/>
        </w:rPr>
      </w:pPr>
    </w:p>
    <w:p w:rsidR="00BB59CD" w:rsidRDefault="00BB59CD" w:rsidP="00727E6B">
      <w:pPr>
        <w:rPr>
          <w:rtl/>
        </w:rPr>
      </w:pPr>
      <w:r>
        <w:rPr>
          <w:rFonts w:hint="cs"/>
          <w:rtl/>
        </w:rPr>
        <w:t xml:space="preserve">"אני </w:t>
      </w:r>
      <w:bookmarkStart w:id="43538" w:name="_ETM_Q82_514170"/>
      <w:bookmarkEnd w:id="43538"/>
      <w:r>
        <w:rPr>
          <w:rFonts w:hint="cs"/>
          <w:rtl/>
        </w:rPr>
        <w:t xml:space="preserve">מודאג </w:t>
      </w:r>
      <w:bookmarkStart w:id="43539" w:name="_ETM_Q82_514650"/>
      <w:bookmarkEnd w:id="43539"/>
      <w:r>
        <w:rPr>
          <w:rFonts w:hint="cs"/>
          <w:rtl/>
        </w:rPr>
        <w:t xml:space="preserve">מהמצב </w:t>
      </w:r>
      <w:bookmarkStart w:id="43540" w:name="_ETM_Q82_515160"/>
      <w:bookmarkEnd w:id="43540"/>
      <w:r>
        <w:rPr>
          <w:rFonts w:hint="cs"/>
          <w:rtl/>
        </w:rPr>
        <w:t xml:space="preserve">במדינה. </w:t>
      </w:r>
      <w:bookmarkStart w:id="43541" w:name="_ETM_Q82_516249"/>
      <w:bookmarkEnd w:id="43541"/>
      <w:r>
        <w:rPr>
          <w:rFonts w:hint="cs"/>
          <w:rtl/>
        </w:rPr>
        <w:t xml:space="preserve">אני </w:t>
      </w:r>
      <w:bookmarkStart w:id="43542" w:name="_ETM_Q82_516489"/>
      <w:bookmarkEnd w:id="43542"/>
      <w:r>
        <w:rPr>
          <w:rFonts w:hint="cs"/>
          <w:rtl/>
        </w:rPr>
        <w:t xml:space="preserve">מרגיש </w:t>
      </w:r>
      <w:bookmarkStart w:id="43543" w:name="_ETM_Q82_516969"/>
      <w:bookmarkEnd w:id="43543"/>
      <w:r>
        <w:rPr>
          <w:rFonts w:hint="cs"/>
          <w:rtl/>
        </w:rPr>
        <w:t xml:space="preserve">את </w:t>
      </w:r>
      <w:bookmarkStart w:id="43544" w:name="_ETM_Q82_517089"/>
      <w:bookmarkEnd w:id="43544"/>
      <w:r>
        <w:rPr>
          <w:rFonts w:hint="cs"/>
          <w:rtl/>
        </w:rPr>
        <w:t xml:space="preserve">הנפיצות </w:t>
      </w:r>
      <w:bookmarkStart w:id="43545" w:name="_ETM_Q82_517719"/>
      <w:bookmarkEnd w:id="43545"/>
      <w:r>
        <w:rPr>
          <w:rFonts w:hint="cs"/>
          <w:rtl/>
        </w:rPr>
        <w:t xml:space="preserve">באוויר. </w:t>
      </w:r>
      <w:bookmarkStart w:id="43546" w:name="_ETM_Q82_518589"/>
      <w:bookmarkEnd w:id="43546"/>
      <w:r>
        <w:rPr>
          <w:rFonts w:hint="cs"/>
          <w:rtl/>
        </w:rPr>
        <w:t xml:space="preserve">אני </w:t>
      </w:r>
      <w:bookmarkStart w:id="43547" w:name="_ETM_Q82_518829"/>
      <w:bookmarkEnd w:id="43547"/>
      <w:r>
        <w:rPr>
          <w:rFonts w:hint="cs"/>
          <w:rtl/>
        </w:rPr>
        <w:t xml:space="preserve">שותף </w:t>
      </w:r>
      <w:bookmarkStart w:id="43548" w:name="_ETM_Q82_519279"/>
      <w:bookmarkStart w:id="43549" w:name="_ETM_Q82_519819"/>
      <w:bookmarkEnd w:id="43548"/>
      <w:bookmarkEnd w:id="43549"/>
      <w:r>
        <w:rPr>
          <w:rFonts w:hint="cs"/>
          <w:rtl/>
        </w:rPr>
        <w:t xml:space="preserve">למועקה </w:t>
      </w:r>
      <w:bookmarkStart w:id="43550" w:name="_ETM_Q82_520420"/>
      <w:bookmarkEnd w:id="43550"/>
      <w:r>
        <w:rPr>
          <w:rFonts w:hint="cs"/>
          <w:rtl/>
        </w:rPr>
        <w:t xml:space="preserve">שכל </w:t>
      </w:r>
      <w:bookmarkStart w:id="43551" w:name="_ETM_Q82_520809"/>
      <w:bookmarkEnd w:id="43551"/>
      <w:r>
        <w:rPr>
          <w:rFonts w:hint="cs"/>
          <w:rtl/>
        </w:rPr>
        <w:t xml:space="preserve">כך </w:t>
      </w:r>
      <w:bookmarkStart w:id="43552" w:name="_ETM_Q82_521260"/>
      <w:bookmarkEnd w:id="43552"/>
      <w:r>
        <w:rPr>
          <w:rFonts w:hint="cs"/>
          <w:rtl/>
        </w:rPr>
        <w:t xml:space="preserve">הרבה </w:t>
      </w:r>
      <w:bookmarkStart w:id="43553" w:name="_ETM_Q82_521559"/>
      <w:bookmarkEnd w:id="43553"/>
      <w:r>
        <w:rPr>
          <w:rFonts w:hint="cs"/>
          <w:rtl/>
        </w:rPr>
        <w:t xml:space="preserve">ישראלים </w:t>
      </w:r>
      <w:bookmarkStart w:id="43554" w:name="_ETM_Q82_522100"/>
      <w:bookmarkEnd w:id="43554"/>
      <w:r>
        <w:rPr>
          <w:rFonts w:hint="cs"/>
          <w:rtl/>
        </w:rPr>
        <w:t xml:space="preserve">סוחבים </w:t>
      </w:r>
      <w:bookmarkStart w:id="43555" w:name="_ETM_Q82_522549"/>
      <w:bookmarkEnd w:id="43555"/>
      <w:r>
        <w:rPr>
          <w:rFonts w:hint="cs"/>
          <w:rtl/>
        </w:rPr>
        <w:t xml:space="preserve">בבטן. </w:t>
      </w:r>
      <w:bookmarkStart w:id="43556" w:name="_ETM_Q82_523929"/>
      <w:bookmarkEnd w:id="43556"/>
      <w:r>
        <w:rPr>
          <w:rFonts w:hint="cs"/>
          <w:rtl/>
        </w:rPr>
        <w:t xml:space="preserve">אני </w:t>
      </w:r>
      <w:bookmarkStart w:id="43557" w:name="_ETM_Q82_524170"/>
      <w:bookmarkEnd w:id="43557"/>
      <w:r>
        <w:rPr>
          <w:rFonts w:hint="cs"/>
          <w:rtl/>
        </w:rPr>
        <w:t xml:space="preserve">בחור </w:t>
      </w:r>
      <w:bookmarkStart w:id="43558" w:name="_ETM_Q82_524559"/>
      <w:bookmarkEnd w:id="43558"/>
      <w:r>
        <w:rPr>
          <w:rFonts w:hint="cs"/>
          <w:rtl/>
        </w:rPr>
        <w:t xml:space="preserve">גיי </w:t>
      </w:r>
      <w:bookmarkStart w:id="43559" w:name="_ETM_Q82_525100"/>
      <w:bookmarkEnd w:id="43559"/>
      <w:r>
        <w:rPr>
          <w:rFonts w:hint="cs"/>
          <w:rtl/>
        </w:rPr>
        <w:t xml:space="preserve">שמפחד </w:t>
      </w:r>
      <w:bookmarkStart w:id="43560" w:name="_ETM_Q82_525789"/>
      <w:bookmarkEnd w:id="43560"/>
      <w:r>
        <w:rPr>
          <w:rFonts w:hint="cs"/>
          <w:rtl/>
        </w:rPr>
        <w:t xml:space="preserve">מהעתיד </w:t>
      </w:r>
      <w:bookmarkStart w:id="43561" w:name="_ETM_Q82_526210"/>
      <w:bookmarkEnd w:id="43561"/>
      <w:r>
        <w:rPr>
          <w:rFonts w:hint="cs"/>
          <w:rtl/>
        </w:rPr>
        <w:t xml:space="preserve">שמחכה </w:t>
      </w:r>
      <w:bookmarkStart w:id="43562" w:name="_ETM_Q82_526749"/>
      <w:bookmarkEnd w:id="43562"/>
      <w:r>
        <w:rPr>
          <w:rFonts w:hint="cs"/>
          <w:rtl/>
        </w:rPr>
        <w:t xml:space="preserve">לו </w:t>
      </w:r>
      <w:bookmarkStart w:id="43563" w:name="_ETM_Q82_526870"/>
      <w:bookmarkEnd w:id="43563"/>
      <w:r>
        <w:rPr>
          <w:rFonts w:hint="cs"/>
          <w:rtl/>
        </w:rPr>
        <w:t xml:space="preserve">כאן. </w:t>
      </w:r>
      <w:bookmarkStart w:id="43564" w:name="_ETM_Q82_527499"/>
      <w:bookmarkEnd w:id="43564"/>
      <w:r>
        <w:rPr>
          <w:rFonts w:hint="cs"/>
          <w:rtl/>
        </w:rPr>
        <w:t xml:space="preserve">מהעתיד </w:t>
      </w:r>
      <w:bookmarkStart w:id="43565" w:name="_ETM_Q82_527979"/>
      <w:bookmarkEnd w:id="43565"/>
      <w:r>
        <w:rPr>
          <w:rFonts w:hint="cs"/>
          <w:rtl/>
        </w:rPr>
        <w:t xml:space="preserve">שמחכה </w:t>
      </w:r>
      <w:bookmarkStart w:id="43566" w:name="_ETM_Q82_528489"/>
      <w:bookmarkEnd w:id="43566"/>
      <w:r>
        <w:rPr>
          <w:rFonts w:hint="cs"/>
          <w:rtl/>
        </w:rPr>
        <w:t xml:space="preserve">לילדים </w:t>
      </w:r>
      <w:bookmarkStart w:id="43567" w:name="_ETM_Q82_528969"/>
      <w:bookmarkEnd w:id="43567"/>
      <w:r>
        <w:rPr>
          <w:rFonts w:hint="cs"/>
          <w:rtl/>
        </w:rPr>
        <w:t xml:space="preserve">שלו </w:t>
      </w:r>
      <w:bookmarkStart w:id="43568" w:name="_ETM_Q82_529269"/>
      <w:bookmarkEnd w:id="43568"/>
      <w:r>
        <w:rPr>
          <w:rFonts w:hint="cs"/>
          <w:rtl/>
        </w:rPr>
        <w:t xml:space="preserve">כאן. </w:t>
      </w:r>
      <w:bookmarkStart w:id="43569" w:name="_ETM_Q82_530019"/>
      <w:bookmarkEnd w:id="43569"/>
      <w:r>
        <w:rPr>
          <w:rFonts w:hint="cs"/>
          <w:rtl/>
        </w:rPr>
        <w:t xml:space="preserve">המינימום </w:t>
      </w:r>
      <w:bookmarkStart w:id="43570" w:name="_ETM_Q82_530739"/>
      <w:bookmarkEnd w:id="43570"/>
      <w:r>
        <w:rPr>
          <w:rFonts w:hint="cs"/>
          <w:rtl/>
        </w:rPr>
        <w:t xml:space="preserve">שאני </w:t>
      </w:r>
      <w:bookmarkStart w:id="43571" w:name="_ETM_Q82_531010"/>
      <w:bookmarkEnd w:id="43571"/>
      <w:r>
        <w:rPr>
          <w:rFonts w:hint="cs"/>
          <w:rtl/>
        </w:rPr>
        <w:t xml:space="preserve">יכול </w:t>
      </w:r>
      <w:bookmarkStart w:id="43572" w:name="_ETM_Q82_531309"/>
      <w:bookmarkEnd w:id="43572"/>
      <w:r>
        <w:rPr>
          <w:rFonts w:hint="cs"/>
          <w:rtl/>
        </w:rPr>
        <w:t xml:space="preserve">לעשות </w:t>
      </w:r>
      <w:bookmarkStart w:id="43573" w:name="_ETM_Q82_532299"/>
      <w:bookmarkEnd w:id="43573"/>
      <w:r>
        <w:rPr>
          <w:rFonts w:hint="cs"/>
          <w:rtl/>
        </w:rPr>
        <w:t xml:space="preserve">זה </w:t>
      </w:r>
      <w:bookmarkStart w:id="43574" w:name="_ETM_Q82_532539"/>
      <w:bookmarkEnd w:id="43574"/>
      <w:r>
        <w:rPr>
          <w:rFonts w:hint="cs"/>
          <w:rtl/>
        </w:rPr>
        <w:t xml:space="preserve">להציף </w:t>
      </w:r>
      <w:bookmarkStart w:id="43575" w:name="_ETM_Q82_533049"/>
      <w:bookmarkEnd w:id="43575"/>
      <w:r>
        <w:rPr>
          <w:rFonts w:hint="cs"/>
          <w:rtl/>
        </w:rPr>
        <w:t xml:space="preserve">את </w:t>
      </w:r>
      <w:bookmarkStart w:id="43576" w:name="_ETM_Q82_533170"/>
      <w:bookmarkEnd w:id="43576"/>
      <w:r>
        <w:rPr>
          <w:rFonts w:hint="cs"/>
          <w:rtl/>
        </w:rPr>
        <w:t xml:space="preserve">זה, </w:t>
      </w:r>
      <w:bookmarkStart w:id="43577" w:name="_ETM_Q82_533800"/>
      <w:bookmarkEnd w:id="43577"/>
      <w:r>
        <w:rPr>
          <w:rFonts w:hint="cs"/>
          <w:rtl/>
        </w:rPr>
        <w:t xml:space="preserve">גם </w:t>
      </w:r>
      <w:bookmarkStart w:id="43578" w:name="_ETM_Q82_534039"/>
      <w:bookmarkEnd w:id="43578"/>
      <w:r>
        <w:rPr>
          <w:rFonts w:hint="cs"/>
          <w:rtl/>
        </w:rPr>
        <w:t xml:space="preserve">אם </w:t>
      </w:r>
      <w:bookmarkStart w:id="43579" w:name="_ETM_Q82_534129"/>
      <w:bookmarkEnd w:id="43579"/>
      <w:r>
        <w:rPr>
          <w:rFonts w:hint="cs"/>
          <w:rtl/>
        </w:rPr>
        <w:t xml:space="preserve">זה </w:t>
      </w:r>
      <w:bookmarkStart w:id="43580" w:name="_ETM_Q82_534250"/>
      <w:bookmarkStart w:id="43581" w:name="_ETM_Q82_534399"/>
      <w:bookmarkEnd w:id="43580"/>
      <w:bookmarkEnd w:id="43581"/>
      <w:r>
        <w:rPr>
          <w:rFonts w:hint="cs"/>
          <w:rtl/>
        </w:rPr>
        <w:t xml:space="preserve">יעצבן </w:t>
      </w:r>
      <w:bookmarkStart w:id="43582" w:name="_ETM_Q82_534820"/>
      <w:bookmarkEnd w:id="43582"/>
      <w:r>
        <w:rPr>
          <w:rFonts w:hint="cs"/>
          <w:rtl/>
        </w:rPr>
        <w:t xml:space="preserve">לא </w:t>
      </w:r>
      <w:bookmarkStart w:id="43583" w:name="_ETM_Q82_534940"/>
      <w:bookmarkEnd w:id="43583"/>
      <w:r>
        <w:rPr>
          <w:rFonts w:hint="cs"/>
          <w:rtl/>
        </w:rPr>
        <w:t xml:space="preserve">מעט </w:t>
      </w:r>
      <w:bookmarkStart w:id="43584" w:name="_ETM_Q82_535270"/>
      <w:bookmarkEnd w:id="43584"/>
      <w:r>
        <w:rPr>
          <w:rFonts w:hint="cs"/>
          <w:rtl/>
        </w:rPr>
        <w:t xml:space="preserve">אנשים. </w:t>
      </w:r>
      <w:bookmarkStart w:id="43585" w:name="_ETM_Q82_536350"/>
      <w:bookmarkEnd w:id="43585"/>
      <w:r>
        <w:rPr>
          <w:rFonts w:hint="cs"/>
          <w:rtl/>
        </w:rPr>
        <w:t xml:space="preserve">זכותך </w:t>
      </w:r>
      <w:bookmarkStart w:id="43586" w:name="_ETM_Q82_537440"/>
      <w:bookmarkEnd w:id="43586"/>
      <w:r>
        <w:rPr>
          <w:rFonts w:hint="cs"/>
          <w:rtl/>
        </w:rPr>
        <w:t xml:space="preserve">לבטל </w:t>
      </w:r>
      <w:bookmarkStart w:id="43587" w:name="_ETM_Q82_537950"/>
      <w:bookmarkEnd w:id="43587"/>
      <w:r>
        <w:rPr>
          <w:rFonts w:hint="cs"/>
          <w:rtl/>
        </w:rPr>
        <w:t xml:space="preserve">את </w:t>
      </w:r>
      <w:bookmarkStart w:id="43588" w:name="_ETM_Q82_538070"/>
      <w:bookmarkEnd w:id="43588"/>
      <w:r>
        <w:rPr>
          <w:rFonts w:hint="cs"/>
          <w:rtl/>
        </w:rPr>
        <w:t xml:space="preserve">הכרטיסים </w:t>
      </w:r>
      <w:bookmarkStart w:id="43589" w:name="_ETM_Q82_538670"/>
      <w:bookmarkEnd w:id="43589"/>
      <w:r>
        <w:rPr>
          <w:rFonts w:hint="cs"/>
          <w:rtl/>
        </w:rPr>
        <w:t xml:space="preserve">להופעה </w:t>
      </w:r>
      <w:bookmarkStart w:id="43590" w:name="_ETM_Q82_539149"/>
      <w:bookmarkEnd w:id="43590"/>
      <w:r>
        <w:rPr>
          <w:rFonts w:hint="cs"/>
          <w:rtl/>
        </w:rPr>
        <w:t xml:space="preserve">שלי. </w:t>
      </w:r>
      <w:bookmarkStart w:id="43591" w:name="_ETM_Q82_541449"/>
      <w:bookmarkEnd w:id="43591"/>
      <w:r>
        <w:rPr>
          <w:rFonts w:hint="cs"/>
          <w:rtl/>
        </w:rPr>
        <w:t xml:space="preserve">עצוב </w:t>
      </w:r>
      <w:bookmarkStart w:id="43592" w:name="_ETM_Q82_541779"/>
      <w:bookmarkEnd w:id="43592"/>
      <w:r>
        <w:rPr>
          <w:rFonts w:hint="cs"/>
          <w:rtl/>
        </w:rPr>
        <w:t xml:space="preserve">לי </w:t>
      </w:r>
      <w:bookmarkStart w:id="43593" w:name="_ETM_Q82_541870"/>
      <w:bookmarkEnd w:id="43593"/>
      <w:r>
        <w:rPr>
          <w:rFonts w:hint="cs"/>
          <w:rtl/>
        </w:rPr>
        <w:t xml:space="preserve">שככה </w:t>
      </w:r>
      <w:bookmarkStart w:id="43594" w:name="_ETM_Q82_542320"/>
      <w:bookmarkEnd w:id="43594"/>
      <w:r>
        <w:rPr>
          <w:rFonts w:hint="cs"/>
          <w:rtl/>
        </w:rPr>
        <w:t xml:space="preserve">את </w:t>
      </w:r>
      <w:bookmarkStart w:id="43595" w:name="_ETM_Q82_542410"/>
      <w:bookmarkEnd w:id="43595"/>
      <w:r>
        <w:rPr>
          <w:rFonts w:hint="cs"/>
          <w:rtl/>
        </w:rPr>
        <w:t xml:space="preserve">מעדיפה </w:t>
      </w:r>
      <w:bookmarkStart w:id="43596" w:name="_ETM_Q82_542859"/>
      <w:bookmarkEnd w:id="43596"/>
      <w:r>
        <w:rPr>
          <w:rFonts w:hint="cs"/>
          <w:rtl/>
        </w:rPr>
        <w:t xml:space="preserve">את </w:t>
      </w:r>
      <w:bookmarkStart w:id="43597" w:name="_ETM_Q82_542980"/>
      <w:bookmarkEnd w:id="43597"/>
      <w:r>
        <w:rPr>
          <w:rFonts w:hint="cs"/>
          <w:rtl/>
        </w:rPr>
        <w:t xml:space="preserve">האומנים </w:t>
      </w:r>
      <w:bookmarkStart w:id="43598" w:name="_ETM_Q82_543399"/>
      <w:bookmarkEnd w:id="43598"/>
      <w:r>
        <w:rPr>
          <w:rFonts w:hint="cs"/>
          <w:rtl/>
        </w:rPr>
        <w:t xml:space="preserve">שלך </w:t>
      </w:r>
      <w:r>
        <w:t>–</w:t>
      </w:r>
      <w:r>
        <w:rPr>
          <w:rFonts w:hint="cs"/>
          <w:rtl/>
        </w:rPr>
        <w:t xml:space="preserve"> </w:t>
      </w:r>
      <w:bookmarkStart w:id="43599" w:name="_ETM_Q82_544140"/>
      <w:bookmarkEnd w:id="43599"/>
      <w:r>
        <w:rPr>
          <w:rFonts w:hint="cs"/>
          <w:rtl/>
        </w:rPr>
        <w:t xml:space="preserve">שותקים. </w:t>
      </w:r>
      <w:bookmarkStart w:id="43600" w:name="_ETM_Q82_545400"/>
      <w:bookmarkEnd w:id="43600"/>
      <w:r>
        <w:rPr>
          <w:rFonts w:hint="cs"/>
          <w:rtl/>
        </w:rPr>
        <w:t xml:space="preserve">מהלכים </w:t>
      </w:r>
      <w:bookmarkStart w:id="43601" w:name="_ETM_Q82_546000"/>
      <w:bookmarkEnd w:id="43601"/>
      <w:r>
        <w:rPr>
          <w:rFonts w:hint="cs"/>
          <w:rtl/>
        </w:rPr>
        <w:t xml:space="preserve">בין </w:t>
      </w:r>
      <w:bookmarkStart w:id="43602" w:name="_ETM_Q82_546149"/>
      <w:bookmarkEnd w:id="43602"/>
      <w:r>
        <w:rPr>
          <w:rFonts w:hint="cs"/>
          <w:rtl/>
        </w:rPr>
        <w:t xml:space="preserve">הטיפות. </w:t>
      </w:r>
      <w:bookmarkStart w:id="43603" w:name="_ETM_Q82_546970"/>
      <w:bookmarkEnd w:id="43603"/>
      <w:r>
        <w:rPr>
          <w:rFonts w:hint="cs"/>
          <w:rtl/>
        </w:rPr>
        <w:t xml:space="preserve">חסרי </w:t>
      </w:r>
      <w:bookmarkStart w:id="43604" w:name="_ETM_Q82_547570"/>
      <w:bookmarkEnd w:id="43604"/>
      <w:r>
        <w:rPr>
          <w:rFonts w:hint="cs"/>
          <w:rtl/>
        </w:rPr>
        <w:t xml:space="preserve">דעה </w:t>
      </w:r>
      <w:bookmarkStart w:id="43605" w:name="_ETM_Q82_547870"/>
      <w:bookmarkEnd w:id="43605"/>
      <w:r>
        <w:rPr>
          <w:rFonts w:hint="cs"/>
          <w:rtl/>
        </w:rPr>
        <w:t xml:space="preserve">או </w:t>
      </w:r>
      <w:bookmarkStart w:id="43606" w:name="_ETM_Q82_547960"/>
      <w:bookmarkEnd w:id="43606"/>
      <w:r>
        <w:rPr>
          <w:rFonts w:hint="cs"/>
          <w:rtl/>
        </w:rPr>
        <w:t xml:space="preserve">עמדה </w:t>
      </w:r>
      <w:bookmarkStart w:id="43607" w:name="_ETM_Q82_548440"/>
      <w:bookmarkEnd w:id="43607"/>
      <w:r>
        <w:rPr>
          <w:rFonts w:hint="cs"/>
          <w:rtl/>
        </w:rPr>
        <w:t xml:space="preserve">או חוש </w:t>
      </w:r>
      <w:bookmarkStart w:id="43608" w:name="_ETM_Q82_548710"/>
      <w:bookmarkEnd w:id="43608"/>
      <w:r>
        <w:rPr>
          <w:rFonts w:hint="cs"/>
          <w:rtl/>
        </w:rPr>
        <w:t xml:space="preserve">ביקורת. </w:t>
      </w:r>
      <w:bookmarkStart w:id="43609" w:name="_ETM_Q82_549670"/>
      <w:bookmarkEnd w:id="43609"/>
      <w:r>
        <w:rPr>
          <w:rFonts w:hint="cs"/>
          <w:rtl/>
        </w:rPr>
        <w:t xml:space="preserve">פלקט. </w:t>
      </w:r>
      <w:bookmarkStart w:id="43610" w:name="_ETM_Q82_551299"/>
      <w:bookmarkEnd w:id="43610"/>
    </w:p>
    <w:p w:rsidR="00BB59CD" w:rsidRDefault="00BB59CD" w:rsidP="00BB59CD">
      <w:pPr>
        <w:rPr>
          <w:rtl/>
        </w:rPr>
      </w:pPr>
    </w:p>
    <w:p w:rsidR="00BB59CD" w:rsidRDefault="00BB59CD" w:rsidP="00BB59CD">
      <w:pPr>
        <w:rPr>
          <w:rtl/>
        </w:rPr>
      </w:pPr>
      <w:r>
        <w:rPr>
          <w:rFonts w:hint="cs"/>
          <w:rtl/>
        </w:rPr>
        <w:t xml:space="preserve">"הפקק </w:t>
      </w:r>
      <w:bookmarkStart w:id="43611" w:name="_ETM_Q82_551839"/>
      <w:bookmarkEnd w:id="43611"/>
      <w:r>
        <w:rPr>
          <w:rFonts w:hint="cs"/>
          <w:rtl/>
        </w:rPr>
        <w:t xml:space="preserve">מתחת </w:t>
      </w:r>
      <w:bookmarkStart w:id="43612" w:name="_ETM_Q82_552289"/>
      <w:bookmarkEnd w:id="43612"/>
      <w:r>
        <w:rPr>
          <w:rFonts w:hint="cs"/>
          <w:rtl/>
        </w:rPr>
        <w:t xml:space="preserve">לגשר </w:t>
      </w:r>
      <w:bookmarkStart w:id="43613" w:name="_ETM_Q82_552770"/>
      <w:bookmarkEnd w:id="43613"/>
      <w:r>
        <w:rPr>
          <w:rFonts w:hint="cs"/>
          <w:rtl/>
        </w:rPr>
        <w:t xml:space="preserve">רוקח </w:t>
      </w:r>
      <w:bookmarkStart w:id="43614" w:name="_ETM_Q82_553069"/>
      <w:bookmarkEnd w:id="43614"/>
      <w:r>
        <w:rPr>
          <w:rFonts w:hint="cs"/>
          <w:rtl/>
        </w:rPr>
        <w:t xml:space="preserve">השתחרר </w:t>
      </w:r>
      <w:bookmarkStart w:id="43615" w:name="_ETM_Q82_553639"/>
      <w:bookmarkEnd w:id="43615"/>
      <w:r>
        <w:rPr>
          <w:rFonts w:hint="cs"/>
          <w:rtl/>
        </w:rPr>
        <w:t xml:space="preserve">והתנועה </w:t>
      </w:r>
      <w:bookmarkStart w:id="43616" w:name="_ETM_Q82_554149"/>
      <w:bookmarkEnd w:id="43616"/>
      <w:r>
        <w:rPr>
          <w:rFonts w:hint="cs"/>
          <w:rtl/>
        </w:rPr>
        <w:t xml:space="preserve">החלה </w:t>
      </w:r>
      <w:bookmarkStart w:id="43617" w:name="_ETM_Q82_554509"/>
      <w:bookmarkEnd w:id="43617"/>
      <w:r>
        <w:rPr>
          <w:rFonts w:hint="cs"/>
          <w:rtl/>
        </w:rPr>
        <w:t xml:space="preserve">לזרום. </w:t>
      </w:r>
      <w:bookmarkStart w:id="43618" w:name="_ETM_Q82_555109"/>
      <w:bookmarkEnd w:id="43618"/>
      <w:r>
        <w:rPr>
          <w:rFonts w:hint="cs"/>
          <w:rtl/>
        </w:rPr>
        <w:t xml:space="preserve">שקעתי </w:t>
      </w:r>
      <w:bookmarkStart w:id="43619" w:name="_ETM_Q82_555679"/>
      <w:bookmarkEnd w:id="43619"/>
      <w:r>
        <w:rPr>
          <w:rFonts w:hint="cs"/>
          <w:rtl/>
        </w:rPr>
        <w:t xml:space="preserve">במסך, </w:t>
      </w:r>
      <w:bookmarkStart w:id="43620" w:name="_ETM_Q82_556339"/>
      <w:bookmarkEnd w:id="43620"/>
      <w:r>
        <w:rPr>
          <w:rFonts w:hint="cs"/>
          <w:rtl/>
        </w:rPr>
        <w:t xml:space="preserve">ולבסוף </w:t>
      </w:r>
      <w:bookmarkStart w:id="43621" w:name="_ETM_Q82_556909"/>
      <w:bookmarkEnd w:id="43621"/>
      <w:r>
        <w:rPr>
          <w:rFonts w:hint="cs"/>
          <w:rtl/>
        </w:rPr>
        <w:t xml:space="preserve">החזרתי </w:t>
      </w:r>
      <w:bookmarkStart w:id="43622" w:name="_ETM_Q82_557450"/>
      <w:bookmarkEnd w:id="43622"/>
      <w:r>
        <w:rPr>
          <w:rFonts w:hint="cs"/>
          <w:rtl/>
        </w:rPr>
        <w:t xml:space="preserve">לך </w:t>
      </w:r>
      <w:bookmarkStart w:id="43623" w:name="_ETM_Q82_557659"/>
      <w:bookmarkEnd w:id="43623"/>
      <w:r>
        <w:rPr>
          <w:rFonts w:hint="cs"/>
          <w:rtl/>
        </w:rPr>
        <w:t xml:space="preserve">הודעה: </w:t>
      </w:r>
      <w:bookmarkStart w:id="43624" w:name="_ETM_Q82_558779"/>
      <w:bookmarkEnd w:id="43624"/>
      <w:r>
        <w:rPr>
          <w:rFonts w:hint="cs"/>
          <w:rtl/>
        </w:rPr>
        <w:t xml:space="preserve">'יקירתי, </w:t>
      </w:r>
      <w:bookmarkStart w:id="43625" w:name="_ETM_Q82_559869"/>
      <w:bookmarkEnd w:id="43625"/>
      <w:r>
        <w:rPr>
          <w:rFonts w:hint="cs"/>
          <w:rtl/>
        </w:rPr>
        <w:t xml:space="preserve">תשאירי </w:t>
      </w:r>
      <w:bookmarkStart w:id="43626" w:name="_ETM_Q82_560350"/>
      <w:bookmarkEnd w:id="43626"/>
      <w:r>
        <w:rPr>
          <w:rFonts w:hint="cs"/>
          <w:rtl/>
        </w:rPr>
        <w:t xml:space="preserve">לי </w:t>
      </w:r>
      <w:bookmarkStart w:id="43627" w:name="_ETM_Q82_560469"/>
      <w:bookmarkEnd w:id="43627"/>
      <w:r>
        <w:rPr>
          <w:rFonts w:hint="cs"/>
          <w:rtl/>
        </w:rPr>
        <w:t xml:space="preserve">טלפון </w:t>
      </w:r>
      <w:bookmarkStart w:id="43628" w:name="_ETM_Q82_560920"/>
      <w:bookmarkEnd w:id="43628"/>
      <w:r>
        <w:rPr>
          <w:rFonts w:hint="cs"/>
          <w:rtl/>
        </w:rPr>
        <w:t xml:space="preserve">ואדאג </w:t>
      </w:r>
      <w:bookmarkStart w:id="43629" w:name="_ETM_Q82_561279"/>
      <w:bookmarkEnd w:id="43629"/>
      <w:r>
        <w:rPr>
          <w:rFonts w:hint="cs"/>
          <w:rtl/>
        </w:rPr>
        <w:t xml:space="preserve">שיבטלו </w:t>
      </w:r>
      <w:bookmarkStart w:id="43630" w:name="_ETM_Q82_561729"/>
      <w:bookmarkEnd w:id="43630"/>
      <w:r>
        <w:rPr>
          <w:rFonts w:hint="cs"/>
          <w:rtl/>
        </w:rPr>
        <w:t xml:space="preserve">לך </w:t>
      </w:r>
      <w:bookmarkStart w:id="43631" w:name="_ETM_Q82_561880"/>
      <w:bookmarkEnd w:id="43631"/>
      <w:r>
        <w:rPr>
          <w:rFonts w:hint="cs"/>
          <w:rtl/>
        </w:rPr>
        <w:t xml:space="preserve">את </w:t>
      </w:r>
      <w:bookmarkStart w:id="43632" w:name="_ETM_Q82_561999"/>
      <w:bookmarkEnd w:id="43632"/>
      <w:r>
        <w:rPr>
          <w:rFonts w:hint="cs"/>
          <w:rtl/>
        </w:rPr>
        <w:t xml:space="preserve">הכרטיסים'. </w:t>
      </w:r>
      <w:bookmarkStart w:id="43633" w:name="_ETM_Q82_563779"/>
      <w:bookmarkEnd w:id="43633"/>
      <w:r>
        <w:rPr>
          <w:rFonts w:hint="cs"/>
          <w:rtl/>
        </w:rPr>
        <w:t xml:space="preserve">באותו </w:t>
      </w:r>
      <w:bookmarkStart w:id="43634" w:name="_ETM_Q82_564380"/>
      <w:bookmarkEnd w:id="43634"/>
      <w:r>
        <w:rPr>
          <w:rFonts w:hint="cs"/>
          <w:rtl/>
        </w:rPr>
        <w:t xml:space="preserve">ערב </w:t>
      </w:r>
      <w:bookmarkStart w:id="43635" w:name="_ETM_Q82_565010"/>
      <w:bookmarkEnd w:id="43635"/>
      <w:r>
        <w:rPr>
          <w:rFonts w:hint="cs"/>
          <w:rtl/>
        </w:rPr>
        <w:t xml:space="preserve">הופעתי </w:t>
      </w:r>
      <w:bookmarkStart w:id="43636" w:name="_ETM_Q82_565460"/>
      <w:bookmarkEnd w:id="43636"/>
      <w:r>
        <w:rPr>
          <w:rFonts w:hint="cs"/>
          <w:rtl/>
        </w:rPr>
        <w:t xml:space="preserve">בקריית </w:t>
      </w:r>
      <w:bookmarkStart w:id="43637" w:name="_ETM_Q82_565970"/>
      <w:bookmarkEnd w:id="43637"/>
      <w:r>
        <w:rPr>
          <w:rFonts w:hint="cs"/>
          <w:rtl/>
        </w:rPr>
        <w:t xml:space="preserve">מוצקין </w:t>
      </w:r>
      <w:bookmarkStart w:id="43638" w:name="_ETM_Q82_566690"/>
      <w:bookmarkEnd w:id="43638"/>
      <w:r>
        <w:rPr>
          <w:rFonts w:hint="cs"/>
          <w:rtl/>
        </w:rPr>
        <w:t xml:space="preserve">מול </w:t>
      </w:r>
      <w:bookmarkStart w:id="43639" w:name="_ETM_Q82_566930"/>
      <w:bookmarkEnd w:id="43639"/>
      <w:r>
        <w:rPr>
          <w:rFonts w:hint="cs"/>
          <w:rtl/>
        </w:rPr>
        <w:t xml:space="preserve">900 </w:t>
      </w:r>
      <w:bookmarkStart w:id="43640" w:name="_ETM_Q82_567500"/>
      <w:bookmarkEnd w:id="43640"/>
      <w:r>
        <w:rPr>
          <w:rFonts w:hint="cs"/>
          <w:rtl/>
        </w:rPr>
        <w:t xml:space="preserve">איש. </w:t>
      </w:r>
      <w:bookmarkStart w:id="43641" w:name="_ETM_Q82_568940"/>
      <w:bookmarkEnd w:id="43641"/>
      <w:r>
        <w:rPr>
          <w:rFonts w:hint="cs"/>
          <w:rtl/>
        </w:rPr>
        <w:t xml:space="preserve">900 </w:t>
      </w:r>
      <w:bookmarkStart w:id="43642" w:name="_ETM_Q82_569690"/>
      <w:bookmarkEnd w:id="43642"/>
      <w:r>
        <w:rPr>
          <w:rFonts w:hint="cs"/>
          <w:rtl/>
        </w:rPr>
        <w:t xml:space="preserve">איש </w:t>
      </w:r>
      <w:bookmarkStart w:id="43643" w:name="_ETM_Q82_570140"/>
      <w:bookmarkEnd w:id="43643"/>
      <w:r>
        <w:rPr>
          <w:rFonts w:hint="cs"/>
          <w:rtl/>
        </w:rPr>
        <w:t xml:space="preserve">שרבים </w:t>
      </w:r>
      <w:bookmarkStart w:id="43644" w:name="_ETM_Q82_570830"/>
      <w:bookmarkEnd w:id="43644"/>
      <w:r>
        <w:rPr>
          <w:rFonts w:hint="cs"/>
          <w:rtl/>
        </w:rPr>
        <w:t xml:space="preserve">מהם, </w:t>
      </w:r>
      <w:bookmarkStart w:id="43645" w:name="_ETM_Q82_571400"/>
      <w:bookmarkEnd w:id="43645"/>
      <w:r>
        <w:rPr>
          <w:rFonts w:hint="cs"/>
          <w:rtl/>
        </w:rPr>
        <w:t xml:space="preserve">אני </w:t>
      </w:r>
      <w:bookmarkStart w:id="43646" w:name="_ETM_Q82_571610"/>
      <w:bookmarkEnd w:id="43646"/>
      <w:r>
        <w:rPr>
          <w:rFonts w:hint="cs"/>
          <w:rtl/>
        </w:rPr>
        <w:t xml:space="preserve">יכול </w:t>
      </w:r>
      <w:bookmarkStart w:id="43647" w:name="_ETM_Q82_572000"/>
      <w:bookmarkEnd w:id="43647"/>
      <w:r>
        <w:rPr>
          <w:rFonts w:hint="cs"/>
          <w:rtl/>
        </w:rPr>
        <w:t xml:space="preserve">להבטיח </w:t>
      </w:r>
      <w:bookmarkStart w:id="43648" w:name="_ETM_Q82_572600"/>
      <w:bookmarkEnd w:id="43648"/>
      <w:r>
        <w:rPr>
          <w:rFonts w:hint="cs"/>
          <w:rtl/>
        </w:rPr>
        <w:t xml:space="preserve">לך, </w:t>
      </w:r>
      <w:bookmarkStart w:id="43649" w:name="_ETM_Q82_573050"/>
      <w:bookmarkEnd w:id="43649"/>
      <w:r>
        <w:rPr>
          <w:rFonts w:hint="cs"/>
          <w:rtl/>
        </w:rPr>
        <w:t xml:space="preserve">מחזיקים </w:t>
      </w:r>
      <w:bookmarkStart w:id="43650" w:name="_ETM_Q82_573950"/>
      <w:bookmarkEnd w:id="43650"/>
      <w:r>
        <w:rPr>
          <w:rFonts w:hint="cs"/>
          <w:rtl/>
        </w:rPr>
        <w:t xml:space="preserve">בדעה </w:t>
      </w:r>
      <w:bookmarkStart w:id="43651" w:name="_ETM_Q82_574670"/>
      <w:bookmarkEnd w:id="43651"/>
      <w:r>
        <w:rPr>
          <w:rFonts w:hint="cs"/>
          <w:rtl/>
        </w:rPr>
        <w:t xml:space="preserve">שונה </w:t>
      </w:r>
      <w:bookmarkStart w:id="43652" w:name="_ETM_Q82_575300"/>
      <w:bookmarkEnd w:id="43652"/>
      <w:r>
        <w:rPr>
          <w:rFonts w:hint="cs"/>
          <w:rtl/>
        </w:rPr>
        <w:t xml:space="preserve">משלי. </w:t>
      </w:r>
      <w:bookmarkStart w:id="43653" w:name="_ETM_Q82_576200"/>
      <w:bookmarkEnd w:id="43653"/>
      <w:r>
        <w:rPr>
          <w:rFonts w:hint="cs"/>
          <w:rtl/>
        </w:rPr>
        <w:t xml:space="preserve">באורח </w:t>
      </w:r>
      <w:bookmarkStart w:id="43654" w:name="_ETM_Q82_576860"/>
      <w:bookmarkEnd w:id="43654"/>
      <w:r>
        <w:rPr>
          <w:rFonts w:hint="cs"/>
          <w:rtl/>
        </w:rPr>
        <w:t xml:space="preserve">חיים </w:t>
      </w:r>
      <w:bookmarkStart w:id="43655" w:name="_ETM_Q82_577100"/>
      <w:bookmarkEnd w:id="43655"/>
      <w:r>
        <w:rPr>
          <w:rFonts w:hint="cs"/>
          <w:rtl/>
        </w:rPr>
        <w:t xml:space="preserve">שונה. </w:t>
      </w:r>
      <w:bookmarkStart w:id="43656" w:name="_ETM_Q82_577730"/>
      <w:bookmarkEnd w:id="43656"/>
      <w:r>
        <w:rPr>
          <w:rFonts w:hint="cs"/>
          <w:rtl/>
        </w:rPr>
        <w:t xml:space="preserve">בעמדה </w:t>
      </w:r>
      <w:bookmarkStart w:id="43657" w:name="_ETM_Q82_578210"/>
      <w:bookmarkEnd w:id="43657"/>
      <w:r>
        <w:rPr>
          <w:rFonts w:hint="cs"/>
          <w:rtl/>
        </w:rPr>
        <w:t xml:space="preserve">פוליטית </w:t>
      </w:r>
      <w:bookmarkStart w:id="43658" w:name="_ETM_Q82_578750"/>
      <w:bookmarkEnd w:id="43658"/>
      <w:r>
        <w:rPr>
          <w:rFonts w:hint="cs"/>
          <w:rtl/>
        </w:rPr>
        <w:t xml:space="preserve">שונה. </w:t>
      </w:r>
      <w:bookmarkStart w:id="43659" w:name="_ETM_Q82_579440"/>
      <w:bookmarkEnd w:id="43659"/>
      <w:r>
        <w:rPr>
          <w:rFonts w:hint="cs"/>
          <w:rtl/>
        </w:rPr>
        <w:t xml:space="preserve">בהשקפות, </w:t>
      </w:r>
      <w:bookmarkStart w:id="43660" w:name="_ETM_Q82_580370"/>
      <w:bookmarkEnd w:id="43660"/>
      <w:r>
        <w:rPr>
          <w:rFonts w:hint="cs"/>
          <w:rtl/>
        </w:rPr>
        <w:t xml:space="preserve">בערכים, </w:t>
      </w:r>
      <w:bookmarkStart w:id="43661" w:name="_ETM_Q82_581089"/>
      <w:bookmarkEnd w:id="43661"/>
      <w:r>
        <w:rPr>
          <w:rFonts w:hint="cs"/>
          <w:rtl/>
        </w:rPr>
        <w:t xml:space="preserve">באמונות </w:t>
      </w:r>
      <w:bookmarkStart w:id="43662" w:name="_ETM_Q82_581630"/>
      <w:bookmarkEnd w:id="43662"/>
      <w:r>
        <w:rPr>
          <w:rFonts w:hint="cs"/>
          <w:rtl/>
        </w:rPr>
        <w:t xml:space="preserve">שונות. </w:t>
      </w:r>
      <w:bookmarkStart w:id="43663" w:name="_ETM_Q82_582529"/>
      <w:bookmarkEnd w:id="43663"/>
      <w:r>
        <w:rPr>
          <w:rFonts w:hint="cs"/>
          <w:rtl/>
        </w:rPr>
        <w:t xml:space="preserve">ולמרות </w:t>
      </w:r>
      <w:bookmarkStart w:id="43664" w:name="_ETM_Q82_583009"/>
      <w:bookmarkEnd w:id="43664"/>
      <w:r>
        <w:rPr>
          <w:rFonts w:hint="cs"/>
          <w:rtl/>
        </w:rPr>
        <w:t xml:space="preserve">שלא </w:t>
      </w:r>
      <w:bookmarkStart w:id="43665" w:name="_ETM_Q82_583339"/>
      <w:bookmarkEnd w:id="43665"/>
      <w:r>
        <w:rPr>
          <w:rFonts w:hint="cs"/>
          <w:rtl/>
        </w:rPr>
        <w:t xml:space="preserve">מעט </w:t>
      </w:r>
      <w:bookmarkStart w:id="43666" w:name="_ETM_Q82_583670"/>
      <w:bookmarkEnd w:id="43666"/>
      <w:r>
        <w:rPr>
          <w:rFonts w:hint="cs"/>
          <w:rtl/>
        </w:rPr>
        <w:t xml:space="preserve">אנשים </w:t>
      </w:r>
      <w:bookmarkStart w:id="43667" w:name="_ETM_Q82_584119"/>
      <w:bookmarkEnd w:id="43667"/>
      <w:r>
        <w:rPr>
          <w:rFonts w:hint="cs"/>
          <w:rtl/>
        </w:rPr>
        <w:t xml:space="preserve">למעלה </w:t>
      </w:r>
      <w:bookmarkStart w:id="43668" w:name="_ETM_Q82_584599"/>
      <w:bookmarkEnd w:id="43668"/>
      <w:r>
        <w:rPr>
          <w:rFonts w:hint="cs"/>
          <w:rtl/>
        </w:rPr>
        <w:t xml:space="preserve">מנסים </w:t>
      </w:r>
      <w:bookmarkStart w:id="43669" w:name="_ETM_Q82_585020"/>
      <w:bookmarkEnd w:id="43669"/>
      <w:r>
        <w:rPr>
          <w:rFonts w:hint="cs"/>
          <w:rtl/>
        </w:rPr>
        <w:t xml:space="preserve">להפריד </w:t>
      </w:r>
      <w:bookmarkStart w:id="43670" w:name="_ETM_Q82_585529"/>
      <w:bookmarkEnd w:id="43670"/>
      <w:r>
        <w:rPr>
          <w:rFonts w:hint="cs"/>
          <w:rtl/>
        </w:rPr>
        <w:t xml:space="preserve">בינינו, </w:t>
      </w:r>
      <w:bookmarkStart w:id="43671" w:name="_ETM_Q82_586339"/>
      <w:bookmarkEnd w:id="43671"/>
      <w:r>
        <w:rPr>
          <w:rFonts w:hint="cs"/>
          <w:rtl/>
        </w:rPr>
        <w:t xml:space="preserve">הצלחנו </w:t>
      </w:r>
      <w:bookmarkStart w:id="43672" w:name="_ETM_Q82_587060"/>
      <w:bookmarkEnd w:id="43672"/>
      <w:r>
        <w:rPr>
          <w:rFonts w:hint="cs"/>
          <w:rtl/>
        </w:rPr>
        <w:t xml:space="preserve">להתקבץ </w:t>
      </w:r>
      <w:bookmarkStart w:id="43673" w:name="_ETM_Q82_587719"/>
      <w:bookmarkEnd w:id="43673"/>
      <w:r>
        <w:rPr>
          <w:rFonts w:hint="cs"/>
          <w:rtl/>
        </w:rPr>
        <w:t xml:space="preserve">באולם </w:t>
      </w:r>
      <w:bookmarkStart w:id="43674" w:name="_ETM_Q82_588170"/>
      <w:bookmarkEnd w:id="43674"/>
      <w:r>
        <w:rPr>
          <w:rFonts w:hint="cs"/>
          <w:rtl/>
        </w:rPr>
        <w:t xml:space="preserve">אחד </w:t>
      </w:r>
      <w:bookmarkStart w:id="43675" w:name="_ETM_Q82_588970"/>
      <w:bookmarkEnd w:id="43675"/>
      <w:r>
        <w:rPr>
          <w:rFonts w:hint="cs"/>
          <w:rtl/>
        </w:rPr>
        <w:t xml:space="preserve">ולהעביר </w:t>
      </w:r>
      <w:bookmarkStart w:id="43676" w:name="_ETM_Q82_589840"/>
      <w:bookmarkEnd w:id="43676"/>
      <w:r>
        <w:rPr>
          <w:rFonts w:hint="cs"/>
          <w:rtl/>
        </w:rPr>
        <w:t xml:space="preserve">אחלה </w:t>
      </w:r>
      <w:bookmarkStart w:id="43677" w:name="_ETM_Q82_590140"/>
      <w:bookmarkEnd w:id="43677"/>
      <w:r>
        <w:rPr>
          <w:rFonts w:hint="cs"/>
          <w:rtl/>
        </w:rPr>
        <w:t xml:space="preserve">ערב </w:t>
      </w:r>
      <w:bookmarkStart w:id="43678" w:name="_ETM_Q82_590830"/>
      <w:bookmarkEnd w:id="43678"/>
      <w:r>
        <w:rPr>
          <w:rFonts w:hint="cs"/>
          <w:rtl/>
        </w:rPr>
        <w:t>ביחד.</w:t>
      </w:r>
    </w:p>
    <w:p w:rsidR="00BB59CD" w:rsidRDefault="00BB59CD" w:rsidP="00BB59CD">
      <w:pPr>
        <w:rPr>
          <w:rtl/>
        </w:rPr>
      </w:pPr>
      <w:bookmarkStart w:id="43679" w:name="_ETM_Q82_591628"/>
      <w:bookmarkStart w:id="43680" w:name="_ETM_Q82_591717"/>
      <w:bookmarkEnd w:id="43679"/>
      <w:bookmarkEnd w:id="43680"/>
    </w:p>
    <w:p w:rsidR="00BB59CD" w:rsidRDefault="00BB59CD" w:rsidP="00BB59CD">
      <w:pPr>
        <w:rPr>
          <w:rtl/>
        </w:rPr>
      </w:pPr>
      <w:bookmarkStart w:id="43681" w:name="_ETM_Q82_591853"/>
      <w:bookmarkStart w:id="43682" w:name="_ETM_Q82_591919"/>
      <w:bookmarkStart w:id="43683" w:name="_ETM_Q82_592670"/>
      <w:bookmarkEnd w:id="43681"/>
      <w:bookmarkEnd w:id="43682"/>
      <w:bookmarkEnd w:id="43683"/>
      <w:r>
        <w:rPr>
          <w:rFonts w:hint="cs"/>
          <w:rtl/>
        </w:rPr>
        <w:t xml:space="preserve">"נ.ב. </w:t>
      </w:r>
      <w:bookmarkStart w:id="43684" w:name="_ETM_Q82_593750"/>
      <w:bookmarkEnd w:id="43684"/>
      <w:r>
        <w:rPr>
          <w:rFonts w:hint="cs"/>
          <w:rtl/>
        </w:rPr>
        <w:t xml:space="preserve">– את </w:t>
      </w:r>
      <w:bookmarkStart w:id="43685" w:name="_ETM_Q82_593930"/>
      <w:bookmarkEnd w:id="43685"/>
      <w:r>
        <w:rPr>
          <w:rFonts w:hint="cs"/>
          <w:rtl/>
        </w:rPr>
        <w:t xml:space="preserve">מוזמנת </w:t>
      </w:r>
      <w:bookmarkStart w:id="43686" w:name="_ETM_Q82_594439"/>
      <w:bookmarkEnd w:id="43686"/>
      <w:r>
        <w:rPr>
          <w:rFonts w:hint="cs"/>
          <w:rtl/>
        </w:rPr>
        <w:t xml:space="preserve">להופעה </w:t>
      </w:r>
      <w:bookmarkStart w:id="43687" w:name="_ETM_Q82_594890"/>
      <w:bookmarkEnd w:id="43687"/>
      <w:r>
        <w:rPr>
          <w:rFonts w:hint="cs"/>
          <w:rtl/>
        </w:rPr>
        <w:t>שלי".</w:t>
      </w:r>
    </w:p>
    <w:p w:rsidR="00BB59CD" w:rsidRDefault="00BB59CD" w:rsidP="00BB59CD">
      <w:pPr>
        <w:rPr>
          <w:rtl/>
        </w:rPr>
      </w:pPr>
    </w:p>
    <w:p w:rsidR="00BB59CD" w:rsidRDefault="00BB59CD" w:rsidP="00727E6B">
      <w:pPr>
        <w:rPr>
          <w:rtl/>
        </w:rPr>
      </w:pPr>
      <w:bookmarkStart w:id="43688" w:name="_ETM_Q82_593801"/>
      <w:bookmarkStart w:id="43689" w:name="_ETM_Q82_593861"/>
      <w:bookmarkStart w:id="43690" w:name="_ETM_Q82_596439"/>
      <w:bookmarkEnd w:id="43688"/>
      <w:bookmarkEnd w:id="43689"/>
      <w:bookmarkEnd w:id="43690"/>
      <w:r>
        <w:rPr>
          <w:rFonts w:hint="cs"/>
          <w:rtl/>
        </w:rPr>
        <w:t xml:space="preserve">אדוני </w:t>
      </w:r>
      <w:bookmarkStart w:id="43691" w:name="_ETM_Q82_596770"/>
      <w:bookmarkEnd w:id="43691"/>
      <w:r>
        <w:rPr>
          <w:rFonts w:hint="cs"/>
          <w:rtl/>
        </w:rPr>
        <w:t xml:space="preserve">היושב-ראש, </w:t>
      </w:r>
      <w:bookmarkStart w:id="43692" w:name="_ETM_Q82_599290"/>
      <w:bookmarkEnd w:id="43692"/>
      <w:r>
        <w:rPr>
          <w:rFonts w:hint="cs"/>
          <w:rtl/>
        </w:rPr>
        <w:t xml:space="preserve">אני </w:t>
      </w:r>
      <w:bookmarkStart w:id="43693" w:name="_ETM_Q82_599500"/>
      <w:bookmarkEnd w:id="43693"/>
      <w:r>
        <w:rPr>
          <w:rFonts w:hint="cs"/>
          <w:rtl/>
        </w:rPr>
        <w:t xml:space="preserve">חותמת </w:t>
      </w:r>
      <w:bookmarkStart w:id="43694" w:name="_ETM_Q82_601029"/>
      <w:bookmarkEnd w:id="43694"/>
      <w:r>
        <w:rPr>
          <w:rFonts w:hint="cs"/>
          <w:rtl/>
        </w:rPr>
        <w:t xml:space="preserve">על </w:t>
      </w:r>
      <w:bookmarkStart w:id="43695" w:name="_ETM_Q82_601239"/>
      <w:bookmarkEnd w:id="43695"/>
      <w:r>
        <w:rPr>
          <w:rFonts w:hint="cs"/>
          <w:rtl/>
        </w:rPr>
        <w:t xml:space="preserve">כל </w:t>
      </w:r>
      <w:bookmarkStart w:id="43696" w:name="_ETM_Q82_601539"/>
      <w:bookmarkEnd w:id="43696"/>
      <w:r>
        <w:rPr>
          <w:rFonts w:hint="cs"/>
          <w:rtl/>
        </w:rPr>
        <w:t xml:space="preserve">מילה </w:t>
      </w:r>
      <w:bookmarkStart w:id="43697" w:name="_ETM_Q82_601839"/>
      <w:bookmarkEnd w:id="43697"/>
      <w:r>
        <w:rPr>
          <w:rFonts w:hint="cs"/>
          <w:rtl/>
        </w:rPr>
        <w:t xml:space="preserve">שכתובה </w:t>
      </w:r>
      <w:bookmarkStart w:id="43698" w:name="_ETM_Q82_602349"/>
      <w:bookmarkEnd w:id="43698"/>
      <w:r>
        <w:rPr>
          <w:rFonts w:hint="cs"/>
          <w:rtl/>
        </w:rPr>
        <w:t xml:space="preserve">כאן. </w:t>
      </w:r>
      <w:bookmarkStart w:id="43699" w:name="_ETM_Q82_603029"/>
      <w:bookmarkEnd w:id="43699"/>
      <w:r>
        <w:rPr>
          <w:rFonts w:hint="cs"/>
          <w:rtl/>
        </w:rPr>
        <w:t xml:space="preserve">על </w:t>
      </w:r>
      <w:bookmarkStart w:id="43700" w:name="_ETM_Q82_603329"/>
      <w:bookmarkEnd w:id="43700"/>
      <w:r>
        <w:rPr>
          <w:rFonts w:hint="cs"/>
          <w:rtl/>
        </w:rPr>
        <w:t xml:space="preserve">כל </w:t>
      </w:r>
      <w:bookmarkStart w:id="43701" w:name="_ETM_Q82_603630"/>
      <w:bookmarkEnd w:id="43701"/>
      <w:r>
        <w:rPr>
          <w:rFonts w:hint="cs"/>
          <w:rtl/>
        </w:rPr>
        <w:t xml:space="preserve">מילה. </w:t>
      </w:r>
      <w:bookmarkStart w:id="43702" w:name="_ETM_Q82_604650"/>
      <w:bookmarkEnd w:id="43702"/>
      <w:r>
        <w:rPr>
          <w:rFonts w:hint="cs"/>
          <w:rtl/>
        </w:rPr>
        <w:t xml:space="preserve">רבים </w:t>
      </w:r>
      <w:bookmarkStart w:id="43703" w:name="_ETM_Q82_605100"/>
      <w:bookmarkEnd w:id="43703"/>
      <w:r>
        <w:rPr>
          <w:rFonts w:hint="cs"/>
          <w:rtl/>
        </w:rPr>
        <w:t xml:space="preserve">מהדברים </w:t>
      </w:r>
      <w:bookmarkStart w:id="43704" w:name="_ETM_Q82_605640"/>
      <w:bookmarkEnd w:id="43704"/>
      <w:r>
        <w:rPr>
          <w:rFonts w:hint="cs"/>
          <w:rtl/>
        </w:rPr>
        <w:t xml:space="preserve">שנאמרו </w:t>
      </w:r>
      <w:bookmarkStart w:id="43705" w:name="_ETM_Q82_606300"/>
      <w:bookmarkEnd w:id="43705"/>
      <w:r>
        <w:rPr>
          <w:rFonts w:hint="cs"/>
          <w:rtl/>
        </w:rPr>
        <w:t xml:space="preserve">כאן </w:t>
      </w:r>
      <w:bookmarkStart w:id="43706" w:name="_ETM_Q82_606900"/>
      <w:bookmarkEnd w:id="43706"/>
      <w:r>
        <w:rPr>
          <w:rFonts w:hint="cs"/>
          <w:rtl/>
        </w:rPr>
        <w:t xml:space="preserve">– שהכול </w:t>
      </w:r>
      <w:bookmarkStart w:id="43707" w:name="_ETM_Q82_607650"/>
      <w:bookmarkEnd w:id="43707"/>
      <w:r>
        <w:rPr>
          <w:rFonts w:hint="cs"/>
          <w:rtl/>
        </w:rPr>
        <w:t xml:space="preserve">מתחיל </w:t>
      </w:r>
      <w:bookmarkStart w:id="43708" w:name="_ETM_Q82_608100"/>
      <w:bookmarkEnd w:id="43708"/>
      <w:r>
        <w:rPr>
          <w:rFonts w:hint="cs"/>
          <w:rtl/>
        </w:rPr>
        <w:t xml:space="preserve">מלמעלה </w:t>
      </w:r>
      <w:bookmarkStart w:id="43709" w:name="_ETM_Q82_609500"/>
      <w:bookmarkEnd w:id="43709"/>
      <w:r>
        <w:rPr>
          <w:rFonts w:hint="cs"/>
          <w:rtl/>
        </w:rPr>
        <w:t>–</w:t>
      </w:r>
      <w:bookmarkStart w:id="43710" w:name="_ETM_Q82_609620"/>
      <w:bookmarkEnd w:id="43710"/>
      <w:r w:rsidR="00727E6B">
        <w:rPr>
          <w:rFonts w:hint="cs"/>
          <w:rtl/>
        </w:rPr>
        <w:t xml:space="preserve"> גם </w:t>
      </w:r>
      <w:r>
        <w:rPr>
          <w:rFonts w:hint="cs"/>
          <w:rtl/>
        </w:rPr>
        <w:t xml:space="preserve">שמעת </w:t>
      </w:r>
      <w:bookmarkStart w:id="43711" w:name="_ETM_Q82_610069"/>
      <w:bookmarkEnd w:id="43711"/>
      <w:r>
        <w:rPr>
          <w:rFonts w:hint="cs"/>
          <w:rtl/>
        </w:rPr>
        <w:t xml:space="preserve">אותי </w:t>
      </w:r>
      <w:bookmarkStart w:id="43712" w:name="_ETM_Q82_610280"/>
      <w:bookmarkStart w:id="43713" w:name="_ETM_Q82_610490"/>
      <w:bookmarkEnd w:id="43712"/>
      <w:bookmarkEnd w:id="43713"/>
      <w:r>
        <w:rPr>
          <w:rFonts w:hint="cs"/>
          <w:rtl/>
        </w:rPr>
        <w:t xml:space="preserve">אומרת </w:t>
      </w:r>
      <w:bookmarkStart w:id="43714" w:name="_ETM_Q82_610880"/>
      <w:bookmarkEnd w:id="43714"/>
      <w:r>
        <w:rPr>
          <w:rFonts w:hint="cs"/>
          <w:rtl/>
        </w:rPr>
        <w:t xml:space="preserve">לא </w:t>
      </w:r>
      <w:bookmarkStart w:id="43715" w:name="_ETM_Q82_611060"/>
      <w:bookmarkEnd w:id="43715"/>
      <w:r>
        <w:rPr>
          <w:rFonts w:hint="cs"/>
          <w:rtl/>
        </w:rPr>
        <w:t xml:space="preserve">פעם </w:t>
      </w:r>
      <w:bookmarkStart w:id="43716" w:name="_ETM_Q82_611390"/>
      <w:bookmarkEnd w:id="43716"/>
      <w:r>
        <w:rPr>
          <w:rFonts w:hint="cs"/>
          <w:rtl/>
        </w:rPr>
        <w:t xml:space="preserve">כאן </w:t>
      </w:r>
      <w:bookmarkStart w:id="43717" w:name="_ETM_Q82_611630"/>
      <w:bookmarkEnd w:id="43717"/>
      <w:r>
        <w:rPr>
          <w:rFonts w:hint="cs"/>
          <w:rtl/>
        </w:rPr>
        <w:t xml:space="preserve">במליאה. </w:t>
      </w:r>
      <w:bookmarkStart w:id="43718" w:name="_ETM_Q82_612840"/>
      <w:bookmarkEnd w:id="43718"/>
      <w:r>
        <w:rPr>
          <w:rFonts w:hint="cs"/>
          <w:rtl/>
        </w:rPr>
        <w:t xml:space="preserve">הדוגמה </w:t>
      </w:r>
      <w:bookmarkStart w:id="43719" w:name="_ETM_Q82_613290"/>
      <w:bookmarkEnd w:id="43719"/>
      <w:r>
        <w:rPr>
          <w:rFonts w:hint="cs"/>
          <w:rtl/>
        </w:rPr>
        <w:t xml:space="preserve">האישית </w:t>
      </w:r>
      <w:bookmarkStart w:id="43720" w:name="_ETM_Q82_613680"/>
      <w:bookmarkEnd w:id="43720"/>
      <w:r>
        <w:rPr>
          <w:rFonts w:hint="cs"/>
          <w:rtl/>
        </w:rPr>
        <w:t xml:space="preserve">שלנו, </w:t>
      </w:r>
      <w:bookmarkStart w:id="43721" w:name="_ETM_Q82_614559"/>
      <w:bookmarkEnd w:id="43721"/>
      <w:r>
        <w:rPr>
          <w:rFonts w:hint="cs"/>
          <w:rtl/>
        </w:rPr>
        <w:t xml:space="preserve">השיח, </w:t>
      </w:r>
      <w:bookmarkStart w:id="43722" w:name="_ETM_Q82_615790"/>
      <w:bookmarkEnd w:id="43722"/>
      <w:r>
        <w:rPr>
          <w:rFonts w:hint="cs"/>
          <w:rtl/>
        </w:rPr>
        <w:t xml:space="preserve">כל </w:t>
      </w:r>
      <w:bookmarkStart w:id="43723" w:name="_ETM_Q82_616060"/>
      <w:bookmarkEnd w:id="43723"/>
      <w:r>
        <w:rPr>
          <w:rFonts w:hint="cs"/>
          <w:rtl/>
        </w:rPr>
        <w:t xml:space="preserve">מה </w:t>
      </w:r>
      <w:bookmarkStart w:id="43724" w:name="_ETM_Q82_616180"/>
      <w:bookmarkEnd w:id="43724"/>
      <w:r>
        <w:rPr>
          <w:rFonts w:hint="cs"/>
          <w:rtl/>
        </w:rPr>
        <w:t xml:space="preserve">שקורה </w:t>
      </w:r>
      <w:bookmarkStart w:id="43725" w:name="_ETM_Q82_616690"/>
      <w:bookmarkEnd w:id="43725"/>
      <w:r>
        <w:rPr>
          <w:rFonts w:hint="cs"/>
          <w:rtl/>
        </w:rPr>
        <w:t xml:space="preserve">כאן, </w:t>
      </w:r>
      <w:bookmarkStart w:id="43726" w:name="_ETM_Q82_617480"/>
      <w:bookmarkEnd w:id="43726"/>
      <w:r>
        <w:rPr>
          <w:rFonts w:hint="cs"/>
          <w:rtl/>
        </w:rPr>
        <w:t xml:space="preserve">מקרין </w:t>
      </w:r>
      <w:bookmarkStart w:id="43727" w:name="_ETM_Q82_618200"/>
      <w:bookmarkEnd w:id="43727"/>
      <w:r>
        <w:rPr>
          <w:rFonts w:hint="cs"/>
          <w:rtl/>
        </w:rPr>
        <w:t xml:space="preserve">למטה </w:t>
      </w:r>
      <w:bookmarkStart w:id="43728" w:name="_ETM_Q82_618739"/>
      <w:bookmarkEnd w:id="43728"/>
      <w:r>
        <w:rPr>
          <w:rFonts w:hint="cs"/>
          <w:rtl/>
        </w:rPr>
        <w:t xml:space="preserve">לחברה. </w:t>
      </w:r>
      <w:bookmarkStart w:id="43729" w:name="_ETM_Q82_619920"/>
      <w:bookmarkEnd w:id="43729"/>
      <w:r>
        <w:rPr>
          <w:rFonts w:hint="cs"/>
          <w:rtl/>
        </w:rPr>
        <w:t xml:space="preserve">והחברה </w:t>
      </w:r>
      <w:bookmarkStart w:id="43730" w:name="_ETM_Q82_620550"/>
      <w:bookmarkEnd w:id="43730"/>
      <w:r>
        <w:rPr>
          <w:rFonts w:hint="cs"/>
          <w:rtl/>
        </w:rPr>
        <w:t xml:space="preserve">שלנו </w:t>
      </w:r>
      <w:bookmarkStart w:id="43731" w:name="_ETM_Q82_621239"/>
      <w:bookmarkEnd w:id="43731"/>
      <w:r>
        <w:rPr>
          <w:rFonts w:hint="cs"/>
          <w:rtl/>
        </w:rPr>
        <w:t xml:space="preserve">קרועה, </w:t>
      </w:r>
      <w:bookmarkStart w:id="43732" w:name="_ETM_Q82_622330"/>
      <w:bookmarkEnd w:id="43732"/>
      <w:r>
        <w:rPr>
          <w:rFonts w:hint="cs"/>
          <w:rtl/>
        </w:rPr>
        <w:t xml:space="preserve">שסועה, </w:t>
      </w:r>
      <w:bookmarkStart w:id="43733" w:name="_ETM_Q82_623880"/>
      <w:bookmarkEnd w:id="43733"/>
      <w:r>
        <w:rPr>
          <w:rFonts w:hint="cs"/>
          <w:rtl/>
        </w:rPr>
        <w:t xml:space="preserve">מדממת. </w:t>
      </w:r>
      <w:bookmarkStart w:id="43734" w:name="_ETM_Q82_625810"/>
      <w:bookmarkEnd w:id="43734"/>
      <w:r>
        <w:rPr>
          <w:rFonts w:hint="cs"/>
          <w:rtl/>
        </w:rPr>
        <w:t xml:space="preserve">אני </w:t>
      </w:r>
      <w:bookmarkStart w:id="43735" w:name="_ETM_Q82_626170"/>
      <w:bookmarkEnd w:id="43735"/>
      <w:r>
        <w:rPr>
          <w:rFonts w:hint="cs"/>
          <w:rtl/>
        </w:rPr>
        <w:t xml:space="preserve">רוצה </w:t>
      </w:r>
      <w:bookmarkStart w:id="43736" w:name="_ETM_Q82_626500"/>
      <w:bookmarkEnd w:id="43736"/>
      <w:r>
        <w:rPr>
          <w:rFonts w:hint="cs"/>
          <w:rtl/>
        </w:rPr>
        <w:t xml:space="preserve">לאחל </w:t>
      </w:r>
      <w:bookmarkStart w:id="43737" w:name="_ETM_Q82_626950"/>
      <w:bookmarkEnd w:id="43737"/>
      <w:r>
        <w:rPr>
          <w:rFonts w:hint="cs"/>
          <w:rtl/>
        </w:rPr>
        <w:t xml:space="preserve">לנו </w:t>
      </w:r>
      <w:bookmarkStart w:id="43738" w:name="_ETM_Q82_627550"/>
      <w:bookmarkEnd w:id="43738"/>
      <w:r>
        <w:rPr>
          <w:rFonts w:hint="cs"/>
          <w:rtl/>
        </w:rPr>
        <w:t xml:space="preserve">באמת </w:t>
      </w:r>
      <w:bookmarkStart w:id="43739" w:name="_ETM_Q82_628750"/>
      <w:bookmarkEnd w:id="43739"/>
      <w:r>
        <w:rPr>
          <w:rFonts w:hint="cs"/>
          <w:rtl/>
        </w:rPr>
        <w:t xml:space="preserve">שאנחנו </w:t>
      </w:r>
      <w:bookmarkStart w:id="43740" w:name="_ETM_Q82_629319"/>
      <w:bookmarkEnd w:id="43740"/>
      <w:r>
        <w:rPr>
          <w:rFonts w:hint="cs"/>
          <w:rtl/>
        </w:rPr>
        <w:t xml:space="preserve">נמצא </w:t>
      </w:r>
      <w:bookmarkStart w:id="43741" w:name="_ETM_Q82_629680"/>
      <w:bookmarkEnd w:id="43741"/>
      <w:r>
        <w:rPr>
          <w:rFonts w:hint="cs"/>
          <w:rtl/>
        </w:rPr>
        <w:t xml:space="preserve">את </w:t>
      </w:r>
      <w:bookmarkStart w:id="43742" w:name="_ETM_Q82_629830"/>
      <w:bookmarkEnd w:id="43742"/>
      <w:r>
        <w:rPr>
          <w:rFonts w:hint="cs"/>
          <w:rtl/>
        </w:rPr>
        <w:t xml:space="preserve">הדרך </w:t>
      </w:r>
      <w:bookmarkStart w:id="43743" w:name="_ETM_Q82_631040"/>
      <w:bookmarkEnd w:id="43743"/>
      <w:r>
        <w:rPr>
          <w:rFonts w:hint="cs"/>
          <w:rtl/>
        </w:rPr>
        <w:t xml:space="preserve">להיות </w:t>
      </w:r>
      <w:bookmarkStart w:id="43744" w:name="_ETM_Q82_631400"/>
      <w:bookmarkEnd w:id="43744"/>
      <w:r>
        <w:rPr>
          <w:rFonts w:hint="cs"/>
          <w:rtl/>
        </w:rPr>
        <w:t xml:space="preserve">כמו </w:t>
      </w:r>
      <w:bookmarkStart w:id="43745" w:name="_ETM_Q82_631670"/>
      <w:bookmarkEnd w:id="43745"/>
      <w:r>
        <w:rPr>
          <w:rFonts w:hint="cs"/>
          <w:rtl/>
        </w:rPr>
        <w:t xml:space="preserve">באותה </w:t>
      </w:r>
      <w:bookmarkStart w:id="43746" w:name="_ETM_Q82_632030"/>
      <w:bookmarkEnd w:id="43746"/>
      <w:r>
        <w:rPr>
          <w:rFonts w:hint="cs"/>
          <w:rtl/>
        </w:rPr>
        <w:t xml:space="preserve">הופעה </w:t>
      </w:r>
      <w:bookmarkStart w:id="43747" w:name="_ETM_Q82_633090"/>
      <w:bookmarkEnd w:id="43747"/>
      <w:r>
        <w:rPr>
          <w:rFonts w:hint="cs"/>
          <w:rtl/>
        </w:rPr>
        <w:t xml:space="preserve">שסוגרת </w:t>
      </w:r>
      <w:bookmarkStart w:id="43748" w:name="_ETM_Q82_634140"/>
      <w:bookmarkEnd w:id="43748"/>
      <w:r>
        <w:rPr>
          <w:rFonts w:hint="cs"/>
          <w:rtl/>
        </w:rPr>
        <w:t xml:space="preserve">את </w:t>
      </w:r>
      <w:bookmarkStart w:id="43749" w:name="_ETM_Q82_634349"/>
      <w:bookmarkEnd w:id="43749"/>
      <w:r>
        <w:rPr>
          <w:rFonts w:hint="cs"/>
          <w:rtl/>
        </w:rPr>
        <w:t xml:space="preserve">דבריו </w:t>
      </w:r>
      <w:bookmarkStart w:id="43750" w:name="_ETM_Q82_634739"/>
      <w:bookmarkEnd w:id="43750"/>
      <w:r>
        <w:rPr>
          <w:rFonts w:hint="cs"/>
          <w:rtl/>
        </w:rPr>
        <w:t xml:space="preserve">של </w:t>
      </w:r>
      <w:bookmarkStart w:id="43751" w:name="_ETM_Q82_634920"/>
      <w:bookmarkEnd w:id="43751"/>
      <w:r>
        <w:rPr>
          <w:rFonts w:hint="cs"/>
          <w:rtl/>
        </w:rPr>
        <w:t xml:space="preserve">נעם </w:t>
      </w:r>
      <w:bookmarkStart w:id="43752" w:name="_ETM_Q82_635159"/>
      <w:bookmarkEnd w:id="43752"/>
      <w:r>
        <w:rPr>
          <w:rFonts w:hint="cs"/>
          <w:rtl/>
        </w:rPr>
        <w:t xml:space="preserve">חורב, </w:t>
      </w:r>
      <w:bookmarkStart w:id="43753" w:name="_ETM_Q82_637810"/>
      <w:bookmarkEnd w:id="43753"/>
      <w:r>
        <w:rPr>
          <w:rFonts w:hint="cs"/>
          <w:rtl/>
        </w:rPr>
        <w:t xml:space="preserve">של </w:t>
      </w:r>
      <w:bookmarkStart w:id="43754" w:name="_ETM_Q82_638050"/>
      <w:bookmarkEnd w:id="43754"/>
      <w:r>
        <w:rPr>
          <w:rFonts w:hint="cs"/>
          <w:rtl/>
        </w:rPr>
        <w:t xml:space="preserve">הרבה </w:t>
      </w:r>
      <w:bookmarkStart w:id="43755" w:name="_ETM_Q82_638350"/>
      <w:bookmarkEnd w:id="43755"/>
      <w:r>
        <w:rPr>
          <w:rFonts w:hint="cs"/>
          <w:rtl/>
        </w:rPr>
        <w:t xml:space="preserve">מאוד </w:t>
      </w:r>
      <w:bookmarkStart w:id="43756" w:name="_ETM_Q82_638650"/>
      <w:bookmarkEnd w:id="43756"/>
      <w:r>
        <w:rPr>
          <w:rFonts w:hint="cs"/>
          <w:rtl/>
        </w:rPr>
        <w:t xml:space="preserve">אנשים </w:t>
      </w:r>
      <w:bookmarkStart w:id="43757" w:name="_ETM_Q82_640080"/>
      <w:bookmarkEnd w:id="43757"/>
      <w:r>
        <w:rPr>
          <w:rFonts w:hint="cs"/>
          <w:rtl/>
        </w:rPr>
        <w:t xml:space="preserve">עם </w:t>
      </w:r>
      <w:bookmarkStart w:id="43758" w:name="_ETM_Q82_640260"/>
      <w:bookmarkEnd w:id="43758"/>
      <w:r>
        <w:rPr>
          <w:rFonts w:hint="cs"/>
          <w:rtl/>
        </w:rPr>
        <w:t xml:space="preserve">דעות </w:t>
      </w:r>
      <w:bookmarkStart w:id="43759" w:name="_ETM_Q82_640620"/>
      <w:bookmarkEnd w:id="43759"/>
      <w:r>
        <w:rPr>
          <w:rFonts w:hint="cs"/>
          <w:rtl/>
        </w:rPr>
        <w:t xml:space="preserve">שונות, </w:t>
      </w:r>
      <w:bookmarkStart w:id="43760" w:name="_ETM_Q82_641630"/>
      <w:bookmarkEnd w:id="43760"/>
      <w:r>
        <w:rPr>
          <w:rFonts w:hint="cs"/>
          <w:rtl/>
        </w:rPr>
        <w:t xml:space="preserve">עם </w:t>
      </w:r>
      <w:bookmarkStart w:id="43761" w:name="_ETM_Q82_641780"/>
      <w:bookmarkEnd w:id="43761"/>
      <w:r>
        <w:rPr>
          <w:rFonts w:hint="cs"/>
          <w:rtl/>
        </w:rPr>
        <w:t xml:space="preserve">תפיסות </w:t>
      </w:r>
      <w:bookmarkStart w:id="43762" w:name="_ETM_Q82_642290"/>
      <w:bookmarkEnd w:id="43762"/>
      <w:r>
        <w:rPr>
          <w:rFonts w:hint="cs"/>
          <w:rtl/>
        </w:rPr>
        <w:t xml:space="preserve">שונות, </w:t>
      </w:r>
      <w:bookmarkStart w:id="43763" w:name="_ETM_Q82_643190"/>
      <w:bookmarkEnd w:id="43763"/>
      <w:r>
        <w:rPr>
          <w:rFonts w:hint="cs"/>
          <w:rtl/>
        </w:rPr>
        <w:t xml:space="preserve">עם </w:t>
      </w:r>
      <w:bookmarkStart w:id="43764" w:name="_ETM_Q82_643370"/>
      <w:bookmarkEnd w:id="43764"/>
      <w:r>
        <w:rPr>
          <w:rFonts w:hint="cs"/>
          <w:rtl/>
        </w:rPr>
        <w:t xml:space="preserve">אורח </w:t>
      </w:r>
      <w:bookmarkStart w:id="43765" w:name="_ETM_Q82_643670"/>
      <w:bookmarkEnd w:id="43765"/>
      <w:r>
        <w:rPr>
          <w:rFonts w:hint="cs"/>
          <w:rtl/>
        </w:rPr>
        <w:t xml:space="preserve">חיים </w:t>
      </w:r>
      <w:bookmarkStart w:id="43766" w:name="_ETM_Q82_643970"/>
      <w:bookmarkEnd w:id="43766"/>
      <w:r>
        <w:rPr>
          <w:rFonts w:hint="cs"/>
          <w:rtl/>
        </w:rPr>
        <w:t xml:space="preserve">שונה, </w:t>
      </w:r>
      <w:bookmarkStart w:id="43767" w:name="_ETM_Q82_645040"/>
      <w:bookmarkEnd w:id="43767"/>
      <w:r>
        <w:rPr>
          <w:rFonts w:hint="cs"/>
          <w:rtl/>
        </w:rPr>
        <w:t xml:space="preserve">אבל </w:t>
      </w:r>
      <w:bookmarkStart w:id="43768" w:name="_ETM_Q82_645310"/>
      <w:bookmarkEnd w:id="43768"/>
      <w:r>
        <w:rPr>
          <w:rFonts w:hint="cs"/>
          <w:rtl/>
        </w:rPr>
        <w:t xml:space="preserve">כאלה </w:t>
      </w:r>
      <w:bookmarkStart w:id="43769" w:name="_ETM_Q82_645640"/>
      <w:bookmarkEnd w:id="43769"/>
      <w:r>
        <w:rPr>
          <w:rFonts w:hint="cs"/>
          <w:rtl/>
        </w:rPr>
        <w:t xml:space="preserve">שמסוגלים </w:t>
      </w:r>
      <w:bookmarkStart w:id="43770" w:name="_ETM_Q82_646359"/>
      <w:bookmarkEnd w:id="43770"/>
      <w:r>
        <w:rPr>
          <w:rFonts w:hint="cs"/>
          <w:rtl/>
        </w:rPr>
        <w:t xml:space="preserve">להיות </w:t>
      </w:r>
      <w:bookmarkStart w:id="43771" w:name="_ETM_Q82_646750"/>
      <w:bookmarkEnd w:id="43771"/>
      <w:r>
        <w:rPr>
          <w:rFonts w:hint="cs"/>
          <w:rtl/>
        </w:rPr>
        <w:t xml:space="preserve">ביחד </w:t>
      </w:r>
      <w:bookmarkStart w:id="43772" w:name="_ETM_Q82_648040"/>
      <w:bookmarkEnd w:id="43772"/>
      <w:r>
        <w:rPr>
          <w:rFonts w:hint="cs"/>
          <w:rtl/>
        </w:rPr>
        <w:t xml:space="preserve">וליהנות </w:t>
      </w:r>
      <w:bookmarkStart w:id="43773" w:name="_ETM_Q82_648879"/>
      <w:bookmarkEnd w:id="43773"/>
      <w:r>
        <w:rPr>
          <w:rFonts w:hint="cs"/>
          <w:rtl/>
        </w:rPr>
        <w:t xml:space="preserve">יחד </w:t>
      </w:r>
      <w:bookmarkStart w:id="43774" w:name="_ETM_Q82_650000"/>
      <w:bookmarkEnd w:id="43774"/>
      <w:r>
        <w:rPr>
          <w:rFonts w:hint="cs"/>
          <w:rtl/>
        </w:rPr>
        <w:t xml:space="preserve">מערב </w:t>
      </w:r>
      <w:bookmarkStart w:id="43775" w:name="_ETM_Q82_650510"/>
      <w:bookmarkEnd w:id="43775"/>
      <w:r>
        <w:rPr>
          <w:rFonts w:hint="cs"/>
          <w:rtl/>
        </w:rPr>
        <w:t xml:space="preserve">בהופעה או </w:t>
      </w:r>
      <w:bookmarkStart w:id="43776" w:name="_ETM_Q82_651860"/>
      <w:bookmarkEnd w:id="43776"/>
      <w:r>
        <w:rPr>
          <w:rFonts w:hint="cs"/>
          <w:rtl/>
        </w:rPr>
        <w:t xml:space="preserve">מחיים </w:t>
      </w:r>
      <w:bookmarkStart w:id="43777" w:name="_ETM_Q82_652769"/>
      <w:bookmarkEnd w:id="43777"/>
      <w:r>
        <w:rPr>
          <w:rFonts w:hint="cs"/>
          <w:rtl/>
        </w:rPr>
        <w:t xml:space="preserve">משותפים </w:t>
      </w:r>
      <w:bookmarkStart w:id="43778" w:name="_ETM_Q82_653819"/>
      <w:bookmarkEnd w:id="43778"/>
      <w:r>
        <w:rPr>
          <w:rFonts w:hint="cs"/>
          <w:rtl/>
        </w:rPr>
        <w:t xml:space="preserve">במדינה </w:t>
      </w:r>
      <w:bookmarkStart w:id="43779" w:name="_ETM_Q82_655090"/>
      <w:bookmarkEnd w:id="43779"/>
      <w:r>
        <w:rPr>
          <w:rFonts w:hint="cs"/>
          <w:rtl/>
        </w:rPr>
        <w:t xml:space="preserve">שאני </w:t>
      </w:r>
      <w:bookmarkStart w:id="43780" w:name="_ETM_Q82_655510"/>
      <w:bookmarkEnd w:id="43780"/>
      <w:r>
        <w:rPr>
          <w:rFonts w:hint="cs"/>
          <w:rtl/>
        </w:rPr>
        <w:t xml:space="preserve">יודעת </w:t>
      </w:r>
      <w:bookmarkStart w:id="43781" w:name="_ETM_Q82_657080"/>
      <w:bookmarkEnd w:id="43781"/>
      <w:r>
        <w:rPr>
          <w:rFonts w:hint="cs"/>
          <w:rtl/>
        </w:rPr>
        <w:t xml:space="preserve">שכולנו </w:t>
      </w:r>
      <w:bookmarkStart w:id="43782" w:name="_ETM_Q82_658010"/>
      <w:bookmarkEnd w:id="43782"/>
      <w:r>
        <w:rPr>
          <w:rFonts w:hint="cs"/>
          <w:rtl/>
        </w:rPr>
        <w:t xml:space="preserve">אוהבים. </w:t>
      </w:r>
      <w:bookmarkStart w:id="43783" w:name="_ETM_Q82_658810"/>
      <w:bookmarkEnd w:id="43783"/>
      <w:r>
        <w:rPr>
          <w:rFonts w:hint="cs"/>
          <w:rtl/>
        </w:rPr>
        <w:t xml:space="preserve">כן, </w:t>
      </w:r>
      <w:bookmarkStart w:id="43784" w:name="_ETM_Q82_659840"/>
      <w:bookmarkEnd w:id="43784"/>
      <w:r>
        <w:rPr>
          <w:rFonts w:hint="cs"/>
          <w:rtl/>
        </w:rPr>
        <w:t xml:space="preserve">כולנו </w:t>
      </w:r>
      <w:bookmarkStart w:id="43785" w:name="_ETM_Q82_660500"/>
      <w:bookmarkEnd w:id="43785"/>
      <w:r>
        <w:rPr>
          <w:rFonts w:hint="cs"/>
          <w:rtl/>
        </w:rPr>
        <w:t xml:space="preserve">אוהבים </w:t>
      </w:r>
      <w:bookmarkStart w:id="43786" w:name="_ETM_Q82_660800"/>
      <w:bookmarkEnd w:id="43786"/>
      <w:r>
        <w:rPr>
          <w:rFonts w:hint="cs"/>
          <w:rtl/>
        </w:rPr>
        <w:t xml:space="preserve">את </w:t>
      </w:r>
      <w:bookmarkStart w:id="43787" w:name="_ETM_Q82_660920"/>
      <w:bookmarkEnd w:id="43787"/>
      <w:r>
        <w:rPr>
          <w:rFonts w:hint="cs"/>
          <w:rtl/>
        </w:rPr>
        <w:t xml:space="preserve">המדינה </w:t>
      </w:r>
      <w:bookmarkStart w:id="43788" w:name="_ETM_Q82_661370"/>
      <w:bookmarkEnd w:id="43788"/>
      <w:r>
        <w:rPr>
          <w:rFonts w:hint="cs"/>
          <w:rtl/>
        </w:rPr>
        <w:t xml:space="preserve">שלנו, </w:t>
      </w:r>
      <w:bookmarkStart w:id="43789" w:name="_ETM_Q82_662980"/>
      <w:bookmarkEnd w:id="43789"/>
      <w:r>
        <w:rPr>
          <w:rFonts w:hint="cs"/>
          <w:rtl/>
        </w:rPr>
        <w:t xml:space="preserve">וככל </w:t>
      </w:r>
      <w:bookmarkStart w:id="43790" w:name="_ETM_Q82_663550"/>
      <w:bookmarkEnd w:id="43790"/>
      <w:r>
        <w:rPr>
          <w:rFonts w:hint="cs"/>
          <w:rtl/>
        </w:rPr>
        <w:t xml:space="preserve">שאנחנו </w:t>
      </w:r>
      <w:bookmarkStart w:id="43791" w:name="_ETM_Q82_664030"/>
      <w:bookmarkEnd w:id="43791"/>
      <w:r>
        <w:rPr>
          <w:rFonts w:hint="cs"/>
          <w:rtl/>
        </w:rPr>
        <w:t xml:space="preserve">נייצר </w:t>
      </w:r>
      <w:bookmarkStart w:id="43792" w:name="_ETM_Q82_664569"/>
      <w:bookmarkEnd w:id="43792"/>
      <w:r>
        <w:rPr>
          <w:rFonts w:hint="cs"/>
          <w:rtl/>
        </w:rPr>
        <w:t xml:space="preserve">פחות </w:t>
      </w:r>
      <w:bookmarkStart w:id="43793" w:name="_ETM_Q82_664959"/>
      <w:bookmarkEnd w:id="43793"/>
      <w:r>
        <w:rPr>
          <w:rFonts w:hint="cs"/>
          <w:rtl/>
        </w:rPr>
        <w:t xml:space="preserve">שנאה </w:t>
      </w:r>
      <w:bookmarkStart w:id="43794" w:name="_ETM_Q82_665900"/>
      <w:bookmarkEnd w:id="43794"/>
      <w:r>
        <w:rPr>
          <w:rFonts w:hint="cs"/>
          <w:rtl/>
        </w:rPr>
        <w:t xml:space="preserve">– שמגיעה </w:t>
      </w:r>
      <w:bookmarkStart w:id="43795" w:name="_ETM_Q82_666499"/>
      <w:bookmarkEnd w:id="43795"/>
      <w:r>
        <w:rPr>
          <w:rFonts w:hint="cs"/>
          <w:rtl/>
        </w:rPr>
        <w:t xml:space="preserve">בעיקר </w:t>
      </w:r>
      <w:bookmarkStart w:id="43796" w:name="_ETM_Q82_667099"/>
      <w:bookmarkEnd w:id="43796"/>
      <w:r>
        <w:rPr>
          <w:rFonts w:hint="cs"/>
          <w:rtl/>
        </w:rPr>
        <w:t xml:space="preserve">מהמקום </w:t>
      </w:r>
      <w:bookmarkStart w:id="43797" w:name="_ETM_Q82_667670"/>
      <w:bookmarkEnd w:id="43797"/>
      <w:r>
        <w:rPr>
          <w:rFonts w:hint="cs"/>
          <w:rtl/>
        </w:rPr>
        <w:t xml:space="preserve">הזה </w:t>
      </w:r>
      <w:bookmarkStart w:id="43798" w:name="_ETM_Q82_668870"/>
      <w:bookmarkEnd w:id="43798"/>
      <w:r>
        <w:rPr>
          <w:rFonts w:hint="cs"/>
          <w:rtl/>
        </w:rPr>
        <w:t xml:space="preserve">– אולי </w:t>
      </w:r>
      <w:bookmarkStart w:id="43799" w:name="_ETM_Q82_669290"/>
      <w:bookmarkEnd w:id="43799"/>
      <w:r>
        <w:rPr>
          <w:rFonts w:hint="cs"/>
          <w:rtl/>
        </w:rPr>
        <w:t xml:space="preserve">נצליח </w:t>
      </w:r>
      <w:bookmarkStart w:id="43800" w:name="_ETM_Q82_669739"/>
      <w:bookmarkEnd w:id="43800"/>
      <w:r>
        <w:rPr>
          <w:rFonts w:hint="cs"/>
          <w:rtl/>
        </w:rPr>
        <w:t xml:space="preserve">לרפא </w:t>
      </w:r>
      <w:bookmarkStart w:id="43801" w:name="_ETM_Q82_670159"/>
      <w:bookmarkEnd w:id="43801"/>
      <w:r>
        <w:rPr>
          <w:rFonts w:hint="cs"/>
          <w:rtl/>
        </w:rPr>
        <w:t xml:space="preserve">את </w:t>
      </w:r>
      <w:bookmarkStart w:id="43802" w:name="_ETM_Q82_670249"/>
      <w:bookmarkEnd w:id="43802"/>
      <w:r>
        <w:rPr>
          <w:rFonts w:hint="cs"/>
          <w:rtl/>
        </w:rPr>
        <w:t xml:space="preserve">החברה </w:t>
      </w:r>
      <w:bookmarkStart w:id="43803" w:name="_ETM_Q82_670700"/>
      <w:bookmarkEnd w:id="43803"/>
      <w:r>
        <w:rPr>
          <w:rFonts w:hint="cs"/>
          <w:rtl/>
        </w:rPr>
        <w:t xml:space="preserve">שלנו. </w:t>
      </w:r>
      <w:bookmarkStart w:id="43804" w:name="_ETM_Q82_672389"/>
      <w:bookmarkEnd w:id="43804"/>
    </w:p>
    <w:p w:rsidR="00BB59CD" w:rsidRDefault="00BB59CD" w:rsidP="00BB59CD">
      <w:pPr>
        <w:rPr>
          <w:rtl/>
        </w:rPr>
      </w:pPr>
    </w:p>
    <w:p w:rsidR="00BB59CD" w:rsidRDefault="00BB59CD" w:rsidP="00BB59CD">
      <w:pPr>
        <w:rPr>
          <w:rtl/>
        </w:rPr>
      </w:pPr>
      <w:r>
        <w:rPr>
          <w:rFonts w:hint="cs"/>
          <w:rtl/>
        </w:rPr>
        <w:t xml:space="preserve">אבל </w:t>
      </w:r>
      <w:bookmarkStart w:id="43805" w:name="_ETM_Q82_672659"/>
      <w:bookmarkEnd w:id="43805"/>
      <w:r>
        <w:rPr>
          <w:rFonts w:hint="cs"/>
          <w:rtl/>
        </w:rPr>
        <w:t xml:space="preserve">כל </w:t>
      </w:r>
      <w:bookmarkStart w:id="43806" w:name="_ETM_Q82_672959"/>
      <w:bookmarkEnd w:id="43806"/>
      <w:r>
        <w:rPr>
          <w:rFonts w:hint="cs"/>
          <w:rtl/>
        </w:rPr>
        <w:t xml:space="preserve">זה </w:t>
      </w:r>
      <w:bookmarkStart w:id="43807" w:name="_ETM_Q82_673200"/>
      <w:bookmarkEnd w:id="43807"/>
      <w:r>
        <w:rPr>
          <w:rFonts w:hint="cs"/>
          <w:rtl/>
        </w:rPr>
        <w:t xml:space="preserve">לא </w:t>
      </w:r>
      <w:bookmarkStart w:id="43808" w:name="_ETM_Q82_673349"/>
      <w:bookmarkEnd w:id="43808"/>
      <w:r>
        <w:rPr>
          <w:rFonts w:hint="cs"/>
          <w:rtl/>
        </w:rPr>
        <w:t xml:space="preserve">יוכל </w:t>
      </w:r>
      <w:bookmarkStart w:id="43809" w:name="_ETM_Q82_673680"/>
      <w:bookmarkEnd w:id="43809"/>
      <w:r>
        <w:rPr>
          <w:rFonts w:hint="cs"/>
          <w:rtl/>
        </w:rPr>
        <w:t xml:space="preserve">לקרות </w:t>
      </w:r>
      <w:bookmarkStart w:id="43810" w:name="_ETM_Q82_675489"/>
      <w:bookmarkEnd w:id="43810"/>
      <w:r>
        <w:rPr>
          <w:rFonts w:hint="cs"/>
          <w:rtl/>
        </w:rPr>
        <w:t xml:space="preserve">בלי </w:t>
      </w:r>
      <w:bookmarkStart w:id="43811" w:name="_ETM_Q82_675730"/>
      <w:bookmarkEnd w:id="43811"/>
      <w:r>
        <w:rPr>
          <w:rFonts w:hint="cs"/>
          <w:rtl/>
        </w:rPr>
        <w:t xml:space="preserve">שנעצור </w:t>
      </w:r>
      <w:bookmarkStart w:id="43812" w:name="_ETM_Q82_676299"/>
      <w:bookmarkEnd w:id="43812"/>
      <w:r>
        <w:rPr>
          <w:rFonts w:hint="cs"/>
          <w:rtl/>
        </w:rPr>
        <w:t xml:space="preserve">את </w:t>
      </w:r>
      <w:bookmarkStart w:id="43813" w:name="_ETM_Q82_676420"/>
      <w:bookmarkEnd w:id="43813"/>
      <w:r>
        <w:rPr>
          <w:rFonts w:hint="cs"/>
          <w:rtl/>
        </w:rPr>
        <w:t xml:space="preserve">הטירוף </w:t>
      </w:r>
      <w:bookmarkStart w:id="43814" w:name="_ETM_Q82_677439"/>
      <w:bookmarkEnd w:id="43814"/>
      <w:r>
        <w:rPr>
          <w:rFonts w:hint="cs"/>
          <w:rtl/>
        </w:rPr>
        <w:t xml:space="preserve">עכשיו. </w:t>
      </w:r>
      <w:bookmarkStart w:id="43815" w:name="_ETM_Q82_678970"/>
      <w:bookmarkEnd w:id="43815"/>
      <w:r>
        <w:rPr>
          <w:rFonts w:hint="cs"/>
          <w:rtl/>
        </w:rPr>
        <w:t xml:space="preserve">עדיין </w:t>
      </w:r>
      <w:bookmarkStart w:id="43816" w:name="_ETM_Q82_679540"/>
      <w:bookmarkEnd w:id="43816"/>
      <w:r>
        <w:rPr>
          <w:rFonts w:hint="cs"/>
          <w:rtl/>
        </w:rPr>
        <w:t xml:space="preserve">לא </w:t>
      </w:r>
      <w:bookmarkStart w:id="43817" w:name="_ETM_Q82_679660"/>
      <w:bookmarkEnd w:id="43817"/>
      <w:r>
        <w:rPr>
          <w:rFonts w:hint="cs"/>
          <w:rtl/>
        </w:rPr>
        <w:t xml:space="preserve">מאוחר. </w:t>
      </w:r>
      <w:bookmarkStart w:id="43818" w:name="_ETM_Q82_681880"/>
      <w:bookmarkEnd w:id="43818"/>
      <w:r>
        <w:rPr>
          <w:rFonts w:hint="cs"/>
          <w:rtl/>
        </w:rPr>
        <w:t xml:space="preserve">עדיין </w:t>
      </w:r>
      <w:bookmarkStart w:id="43819" w:name="_ETM_Q82_682270"/>
      <w:bookmarkEnd w:id="43819"/>
      <w:r>
        <w:rPr>
          <w:rFonts w:hint="cs"/>
          <w:rtl/>
        </w:rPr>
        <w:t xml:space="preserve">לא </w:t>
      </w:r>
      <w:bookmarkStart w:id="43820" w:name="_ETM_Q82_682360"/>
      <w:bookmarkEnd w:id="43820"/>
      <w:r>
        <w:rPr>
          <w:rFonts w:hint="cs"/>
          <w:rtl/>
        </w:rPr>
        <w:t xml:space="preserve">מאוחר </w:t>
      </w:r>
      <w:bookmarkStart w:id="43821" w:name="_ETM_Q82_683849"/>
      <w:bookmarkEnd w:id="43821"/>
      <w:r>
        <w:rPr>
          <w:rFonts w:hint="cs"/>
          <w:rtl/>
        </w:rPr>
        <w:t xml:space="preserve">עד </w:t>
      </w:r>
      <w:bookmarkStart w:id="43822" w:name="_ETM_Q82_684090"/>
      <w:bookmarkEnd w:id="43822"/>
      <w:r>
        <w:rPr>
          <w:rFonts w:hint="cs"/>
          <w:rtl/>
        </w:rPr>
        <w:t xml:space="preserve">מחר </w:t>
      </w:r>
      <w:bookmarkStart w:id="43823" w:name="_ETM_Q82_684419"/>
      <w:bookmarkEnd w:id="43823"/>
      <w:r>
        <w:rPr>
          <w:rFonts w:hint="cs"/>
          <w:rtl/>
        </w:rPr>
        <w:t xml:space="preserve">ב-12:00. </w:t>
      </w:r>
      <w:bookmarkStart w:id="43824" w:name="_ETM_Q82_686410"/>
      <w:bookmarkEnd w:id="43824"/>
      <w:r>
        <w:rPr>
          <w:rFonts w:hint="cs"/>
          <w:rtl/>
        </w:rPr>
        <w:t xml:space="preserve">עדיין </w:t>
      </w:r>
      <w:bookmarkStart w:id="43825" w:name="_ETM_Q82_686920"/>
      <w:bookmarkEnd w:id="43825"/>
      <w:r>
        <w:rPr>
          <w:rFonts w:hint="cs"/>
          <w:rtl/>
        </w:rPr>
        <w:t xml:space="preserve">לא </w:t>
      </w:r>
      <w:bookmarkStart w:id="43826" w:name="_ETM_Q82_687040"/>
      <w:bookmarkEnd w:id="43826"/>
      <w:r>
        <w:rPr>
          <w:rFonts w:hint="cs"/>
          <w:rtl/>
        </w:rPr>
        <w:t xml:space="preserve">מאוחר. </w:t>
      </w:r>
      <w:bookmarkStart w:id="43827" w:name="_ETM_Q82_688790"/>
      <w:bookmarkEnd w:id="43827"/>
      <w:r>
        <w:rPr>
          <w:rFonts w:hint="cs"/>
          <w:rtl/>
        </w:rPr>
        <w:t xml:space="preserve">מי </w:t>
      </w:r>
      <w:bookmarkStart w:id="43828" w:name="_ETM_Q82_689000"/>
      <w:bookmarkEnd w:id="43828"/>
      <w:r>
        <w:rPr>
          <w:rFonts w:hint="cs"/>
          <w:rtl/>
        </w:rPr>
        <w:t xml:space="preserve">שמדינת </w:t>
      </w:r>
      <w:bookmarkStart w:id="43829" w:name="_ETM_Q82_689569"/>
      <w:bookmarkEnd w:id="43829"/>
      <w:r>
        <w:rPr>
          <w:rFonts w:hint="cs"/>
          <w:rtl/>
        </w:rPr>
        <w:t xml:space="preserve">ישראל </w:t>
      </w:r>
      <w:bookmarkStart w:id="43830" w:name="_ETM_Q82_689989"/>
      <w:bookmarkEnd w:id="43830"/>
      <w:r>
        <w:rPr>
          <w:rFonts w:hint="cs"/>
          <w:rtl/>
        </w:rPr>
        <w:t xml:space="preserve">חשובה </w:t>
      </w:r>
      <w:bookmarkStart w:id="43831" w:name="_ETM_Q82_690739"/>
      <w:bookmarkEnd w:id="43831"/>
      <w:r>
        <w:rPr>
          <w:rFonts w:hint="cs"/>
          <w:rtl/>
        </w:rPr>
        <w:t xml:space="preserve">לו, </w:t>
      </w:r>
      <w:bookmarkStart w:id="43832" w:name="_ETM_Q82_691600"/>
      <w:bookmarkEnd w:id="43832"/>
      <w:r>
        <w:rPr>
          <w:rFonts w:hint="cs"/>
          <w:rtl/>
        </w:rPr>
        <w:t xml:space="preserve">מי </w:t>
      </w:r>
      <w:bookmarkStart w:id="43833" w:name="_ETM_Q82_691810"/>
      <w:bookmarkEnd w:id="43833"/>
      <w:r>
        <w:rPr>
          <w:rFonts w:hint="cs"/>
          <w:rtl/>
        </w:rPr>
        <w:t xml:space="preserve">שאזרחי </w:t>
      </w:r>
      <w:bookmarkStart w:id="43834" w:name="_ETM_Q82_692350"/>
      <w:bookmarkEnd w:id="43834"/>
      <w:r>
        <w:rPr>
          <w:rFonts w:hint="cs"/>
          <w:rtl/>
        </w:rPr>
        <w:t xml:space="preserve">מדינת </w:t>
      </w:r>
      <w:bookmarkStart w:id="43835" w:name="_ETM_Q82_692740"/>
      <w:bookmarkEnd w:id="43835"/>
      <w:r>
        <w:rPr>
          <w:rFonts w:hint="cs"/>
          <w:rtl/>
        </w:rPr>
        <w:t xml:space="preserve">ישראל </w:t>
      </w:r>
      <w:bookmarkStart w:id="43836" w:name="_ETM_Q82_693130"/>
      <w:bookmarkEnd w:id="43836"/>
      <w:r>
        <w:rPr>
          <w:rFonts w:hint="cs"/>
          <w:rtl/>
        </w:rPr>
        <w:t xml:space="preserve">חשובים </w:t>
      </w:r>
      <w:bookmarkStart w:id="43837" w:name="_ETM_Q82_693790"/>
      <w:bookmarkEnd w:id="43837"/>
      <w:r>
        <w:rPr>
          <w:rFonts w:hint="cs"/>
          <w:rtl/>
        </w:rPr>
        <w:t xml:space="preserve">לו, </w:t>
      </w:r>
      <w:bookmarkStart w:id="43838" w:name="_ETM_Q82_694920"/>
      <w:bookmarkEnd w:id="43838"/>
      <w:r>
        <w:rPr>
          <w:rFonts w:hint="cs"/>
          <w:rtl/>
        </w:rPr>
        <w:t xml:space="preserve">מי </w:t>
      </w:r>
      <w:bookmarkStart w:id="43839" w:name="_ETM_Q82_695100"/>
      <w:bookmarkEnd w:id="43839"/>
      <w:r>
        <w:rPr>
          <w:rFonts w:hint="cs"/>
          <w:rtl/>
        </w:rPr>
        <w:t xml:space="preserve">שהחברה </w:t>
      </w:r>
      <w:bookmarkStart w:id="43840" w:name="_ETM_Q82_695820"/>
      <w:bookmarkEnd w:id="43840"/>
      <w:r>
        <w:rPr>
          <w:rFonts w:hint="cs"/>
          <w:rtl/>
        </w:rPr>
        <w:t xml:space="preserve">בישראל </w:t>
      </w:r>
      <w:bookmarkStart w:id="43841" w:name="_ETM_Q82_696360"/>
      <w:bookmarkEnd w:id="43841"/>
      <w:r>
        <w:rPr>
          <w:rFonts w:hint="cs"/>
          <w:rtl/>
        </w:rPr>
        <w:t xml:space="preserve">חשובה </w:t>
      </w:r>
      <w:bookmarkStart w:id="43842" w:name="_ETM_Q82_696900"/>
      <w:bookmarkEnd w:id="43842"/>
      <w:r>
        <w:rPr>
          <w:rFonts w:hint="cs"/>
          <w:rtl/>
        </w:rPr>
        <w:t xml:space="preserve">לו, </w:t>
      </w:r>
      <w:bookmarkStart w:id="43843" w:name="_ETM_Q82_699049"/>
      <w:bookmarkEnd w:id="43843"/>
      <w:r>
        <w:rPr>
          <w:rFonts w:hint="cs"/>
          <w:rtl/>
        </w:rPr>
        <w:t xml:space="preserve">יעצור. </w:t>
      </w:r>
      <w:bookmarkStart w:id="43844" w:name="_ETM_Q82_700709"/>
      <w:bookmarkEnd w:id="43844"/>
      <w:r>
        <w:rPr>
          <w:rFonts w:hint="cs"/>
          <w:rtl/>
        </w:rPr>
        <w:t xml:space="preserve">זאת </w:t>
      </w:r>
      <w:bookmarkStart w:id="43845" w:name="_ETM_Q82_700950"/>
      <w:bookmarkEnd w:id="43845"/>
      <w:r>
        <w:rPr>
          <w:rFonts w:hint="cs"/>
          <w:rtl/>
        </w:rPr>
        <w:t xml:space="preserve">לא </w:t>
      </w:r>
      <w:bookmarkStart w:id="43846" w:name="_ETM_Q82_701099"/>
      <w:bookmarkEnd w:id="43846"/>
      <w:r>
        <w:rPr>
          <w:rFonts w:hint="cs"/>
          <w:rtl/>
        </w:rPr>
        <w:t xml:space="preserve">כניעה. </w:t>
      </w:r>
      <w:bookmarkStart w:id="43847" w:name="_ETM_Q82_701999"/>
      <w:bookmarkEnd w:id="43847"/>
      <w:r>
        <w:rPr>
          <w:rFonts w:hint="cs"/>
          <w:rtl/>
        </w:rPr>
        <w:t xml:space="preserve">אני </w:t>
      </w:r>
      <w:bookmarkStart w:id="43848" w:name="_ETM_Q82_702179"/>
      <w:bookmarkEnd w:id="43848"/>
      <w:r>
        <w:rPr>
          <w:rFonts w:hint="cs"/>
          <w:rtl/>
        </w:rPr>
        <w:t xml:space="preserve">שומעת </w:t>
      </w:r>
      <w:bookmarkStart w:id="43849" w:name="_ETM_Q82_702569"/>
      <w:bookmarkEnd w:id="43849"/>
      <w:r>
        <w:rPr>
          <w:rFonts w:hint="cs"/>
          <w:rtl/>
        </w:rPr>
        <w:t xml:space="preserve">אותם </w:t>
      </w:r>
      <w:bookmarkStart w:id="43850" w:name="_ETM_Q82_702809"/>
      <w:bookmarkEnd w:id="43850"/>
      <w:r>
        <w:rPr>
          <w:rFonts w:hint="cs"/>
          <w:rtl/>
        </w:rPr>
        <w:t xml:space="preserve">אומרים, </w:t>
      </w:r>
      <w:bookmarkStart w:id="43851" w:name="_ETM_Q82_703109"/>
      <w:bookmarkEnd w:id="43851"/>
      <w:r>
        <w:rPr>
          <w:rFonts w:hint="cs"/>
          <w:rtl/>
        </w:rPr>
        <w:t xml:space="preserve">חבר </w:t>
      </w:r>
      <w:bookmarkStart w:id="43852" w:name="_ETM_Q82_703379"/>
      <w:bookmarkEnd w:id="43852"/>
      <w:r>
        <w:rPr>
          <w:rFonts w:hint="cs"/>
          <w:rtl/>
        </w:rPr>
        <w:t xml:space="preserve">הכנסת </w:t>
      </w:r>
      <w:bookmarkStart w:id="43853" w:name="_ETM_Q82_703829"/>
      <w:bookmarkEnd w:id="43853"/>
      <w:r>
        <w:rPr>
          <w:rFonts w:hint="cs"/>
          <w:rtl/>
        </w:rPr>
        <w:t xml:space="preserve">דוידסון: </w:t>
      </w:r>
      <w:bookmarkStart w:id="43854" w:name="_ETM_Q82_704280"/>
      <w:bookmarkEnd w:id="43854"/>
      <w:r>
        <w:rPr>
          <w:rFonts w:hint="cs"/>
          <w:rtl/>
        </w:rPr>
        <w:t xml:space="preserve">אנחנו </w:t>
      </w:r>
      <w:bookmarkStart w:id="43855" w:name="_ETM_Q82_704639"/>
      <w:bookmarkEnd w:id="43855"/>
      <w:r>
        <w:rPr>
          <w:rFonts w:hint="cs"/>
          <w:rtl/>
        </w:rPr>
        <w:t xml:space="preserve">לא </w:t>
      </w:r>
      <w:bookmarkStart w:id="43856" w:name="_ETM_Q82_704760"/>
      <w:bookmarkEnd w:id="43856"/>
      <w:r>
        <w:rPr>
          <w:rFonts w:hint="cs"/>
          <w:rtl/>
        </w:rPr>
        <w:t>נ</w:t>
      </w:r>
      <w:r w:rsidR="00727E6B">
        <w:rPr>
          <w:rFonts w:hint="cs"/>
          <w:rtl/>
        </w:rPr>
        <w:t>י</w:t>
      </w:r>
      <w:r>
        <w:rPr>
          <w:rFonts w:hint="cs"/>
          <w:rtl/>
        </w:rPr>
        <w:t xml:space="preserve">כנע. </w:t>
      </w:r>
      <w:bookmarkStart w:id="43857" w:name="_ETM_Q82_706150"/>
      <w:bookmarkEnd w:id="43857"/>
      <w:r>
        <w:rPr>
          <w:rFonts w:hint="cs"/>
          <w:rtl/>
        </w:rPr>
        <w:t xml:space="preserve">זאת </w:t>
      </w:r>
      <w:bookmarkStart w:id="43858" w:name="_ETM_Q82_706420"/>
      <w:bookmarkEnd w:id="43858"/>
      <w:r>
        <w:rPr>
          <w:rFonts w:hint="cs"/>
          <w:rtl/>
        </w:rPr>
        <w:t xml:space="preserve">לא </w:t>
      </w:r>
      <w:bookmarkStart w:id="43859" w:name="_ETM_Q82_706540"/>
      <w:bookmarkEnd w:id="43859"/>
      <w:r>
        <w:rPr>
          <w:rFonts w:hint="cs"/>
          <w:rtl/>
        </w:rPr>
        <w:t xml:space="preserve">כניעה. </w:t>
      </w:r>
      <w:bookmarkStart w:id="43860" w:name="_ETM_Q82_706900"/>
      <w:bookmarkEnd w:id="43860"/>
      <w:r>
        <w:rPr>
          <w:rFonts w:hint="cs"/>
          <w:rtl/>
        </w:rPr>
        <w:t xml:space="preserve">אנחנו </w:t>
      </w:r>
      <w:bookmarkStart w:id="43861" w:name="_ETM_Q82_707090"/>
      <w:bookmarkStart w:id="43862" w:name="_ETM_Q82_707269"/>
      <w:bookmarkEnd w:id="43861"/>
      <w:bookmarkEnd w:id="43862"/>
      <w:r>
        <w:rPr>
          <w:rFonts w:hint="cs"/>
          <w:rtl/>
        </w:rPr>
        <w:t xml:space="preserve">לא </w:t>
      </w:r>
      <w:bookmarkStart w:id="43863" w:name="_ETM_Q82_707390"/>
      <w:bookmarkEnd w:id="43863"/>
      <w:r>
        <w:rPr>
          <w:rFonts w:hint="cs"/>
          <w:rtl/>
        </w:rPr>
        <w:t xml:space="preserve">אויבים. </w:t>
      </w:r>
      <w:bookmarkStart w:id="43864" w:name="_ETM_Q82_709360"/>
      <w:bookmarkEnd w:id="43864"/>
      <w:r>
        <w:rPr>
          <w:rFonts w:hint="cs"/>
          <w:rtl/>
        </w:rPr>
        <w:t xml:space="preserve">לעצור </w:t>
      </w:r>
      <w:bookmarkStart w:id="43865" w:name="_ETM_Q82_709959"/>
      <w:bookmarkEnd w:id="43865"/>
      <w:r>
        <w:rPr>
          <w:rFonts w:hint="cs"/>
          <w:rtl/>
        </w:rPr>
        <w:t xml:space="preserve">עכשיו </w:t>
      </w:r>
      <w:bookmarkStart w:id="43866" w:name="_ETM_Q82_710870"/>
      <w:bookmarkEnd w:id="43866"/>
      <w:r>
        <w:rPr>
          <w:rFonts w:hint="cs"/>
          <w:rtl/>
        </w:rPr>
        <w:t xml:space="preserve">ולהגיד </w:t>
      </w:r>
      <w:bookmarkStart w:id="43867" w:name="_ETM_Q82_711920"/>
      <w:bookmarkEnd w:id="43867"/>
      <w:r>
        <w:rPr>
          <w:rFonts w:hint="cs"/>
          <w:rtl/>
        </w:rPr>
        <w:t xml:space="preserve">שמדינת </w:t>
      </w:r>
      <w:bookmarkStart w:id="43868" w:name="_ETM_Q82_712579"/>
      <w:bookmarkEnd w:id="43868"/>
      <w:r>
        <w:rPr>
          <w:rFonts w:hint="cs"/>
          <w:rtl/>
        </w:rPr>
        <w:t xml:space="preserve">ישראל </w:t>
      </w:r>
      <w:bookmarkStart w:id="43869" w:name="_ETM_Q82_713030"/>
      <w:bookmarkEnd w:id="43869"/>
      <w:r>
        <w:rPr>
          <w:rFonts w:hint="cs"/>
          <w:rtl/>
        </w:rPr>
        <w:t xml:space="preserve">מעל </w:t>
      </w:r>
      <w:bookmarkStart w:id="43870" w:name="_ETM_Q82_713360"/>
      <w:bookmarkEnd w:id="43870"/>
      <w:r>
        <w:rPr>
          <w:rFonts w:hint="cs"/>
          <w:rtl/>
        </w:rPr>
        <w:t xml:space="preserve">הכול, </w:t>
      </w:r>
      <w:bookmarkStart w:id="43871" w:name="_ETM_Q82_714530"/>
      <w:bookmarkEnd w:id="43871"/>
      <w:r>
        <w:rPr>
          <w:rFonts w:hint="cs"/>
          <w:rtl/>
        </w:rPr>
        <w:t xml:space="preserve">שאנחנו </w:t>
      </w:r>
      <w:bookmarkStart w:id="43872" w:name="_ETM_Q82_714920"/>
      <w:bookmarkEnd w:id="43872"/>
      <w:r>
        <w:rPr>
          <w:rFonts w:hint="cs"/>
          <w:rtl/>
        </w:rPr>
        <w:t xml:space="preserve">רוצים </w:t>
      </w:r>
      <w:bookmarkStart w:id="43873" w:name="_ETM_Q82_715189"/>
      <w:bookmarkEnd w:id="43873"/>
      <w:r>
        <w:rPr>
          <w:rFonts w:hint="cs"/>
          <w:rtl/>
        </w:rPr>
        <w:t xml:space="preserve">להפסיק </w:t>
      </w:r>
      <w:bookmarkStart w:id="43874" w:name="_ETM_Q82_715429"/>
      <w:bookmarkStart w:id="43875" w:name="_ETM_Q82_715790"/>
      <w:bookmarkEnd w:id="43874"/>
      <w:bookmarkEnd w:id="43875"/>
      <w:r>
        <w:rPr>
          <w:rFonts w:hint="cs"/>
          <w:rtl/>
        </w:rPr>
        <w:t xml:space="preserve">את </w:t>
      </w:r>
      <w:bookmarkStart w:id="43876" w:name="_ETM_Q82_715909"/>
      <w:bookmarkEnd w:id="43876"/>
      <w:r>
        <w:rPr>
          <w:rFonts w:hint="cs"/>
          <w:rtl/>
        </w:rPr>
        <w:t xml:space="preserve">הדימום </w:t>
      </w:r>
      <w:bookmarkStart w:id="43877" w:name="_ETM_Q82_716299"/>
      <w:bookmarkEnd w:id="43877"/>
      <w:r>
        <w:rPr>
          <w:rFonts w:hint="cs"/>
          <w:rtl/>
        </w:rPr>
        <w:t xml:space="preserve">הזה </w:t>
      </w:r>
      <w:bookmarkStart w:id="43878" w:name="_ETM_Q82_716510"/>
      <w:bookmarkEnd w:id="43878"/>
      <w:r>
        <w:rPr>
          <w:rFonts w:hint="cs"/>
          <w:rtl/>
        </w:rPr>
        <w:t xml:space="preserve">ברחובות, </w:t>
      </w:r>
      <w:bookmarkStart w:id="43879" w:name="_ETM_Q82_718559"/>
      <w:bookmarkEnd w:id="43879"/>
      <w:r>
        <w:rPr>
          <w:rFonts w:hint="cs"/>
          <w:rtl/>
        </w:rPr>
        <w:t xml:space="preserve">זאת </w:t>
      </w:r>
      <w:bookmarkStart w:id="43880" w:name="_ETM_Q82_718919"/>
      <w:bookmarkEnd w:id="43880"/>
      <w:r>
        <w:rPr>
          <w:rFonts w:hint="cs"/>
          <w:rtl/>
        </w:rPr>
        <w:t xml:space="preserve">גדולה. </w:t>
      </w:r>
      <w:bookmarkStart w:id="43881" w:name="_ETM_Q82_720709"/>
      <w:bookmarkEnd w:id="43881"/>
      <w:r>
        <w:rPr>
          <w:rFonts w:hint="cs"/>
          <w:rtl/>
        </w:rPr>
        <w:t xml:space="preserve">זאת </w:t>
      </w:r>
      <w:bookmarkStart w:id="43882" w:name="_ETM_Q82_721190"/>
      <w:bookmarkEnd w:id="43882"/>
      <w:r>
        <w:rPr>
          <w:rFonts w:hint="cs"/>
          <w:rtl/>
        </w:rPr>
        <w:t xml:space="preserve">גדולה. </w:t>
      </w:r>
      <w:bookmarkStart w:id="43883" w:name="_ETM_Q82_722709"/>
      <w:bookmarkEnd w:id="43883"/>
      <w:r>
        <w:rPr>
          <w:rFonts w:hint="cs"/>
          <w:rtl/>
        </w:rPr>
        <w:t xml:space="preserve">בזה </w:t>
      </w:r>
      <w:bookmarkStart w:id="43884" w:name="_ETM_Q82_723189"/>
      <w:bookmarkStart w:id="43885" w:name="_ETM_Q82_723369"/>
      <w:bookmarkEnd w:id="43884"/>
      <w:bookmarkEnd w:id="43885"/>
      <w:r>
        <w:rPr>
          <w:rFonts w:hint="cs"/>
          <w:rtl/>
        </w:rPr>
        <w:t xml:space="preserve">נמדדת </w:t>
      </w:r>
      <w:bookmarkStart w:id="43886" w:name="_ETM_Q82_723819"/>
      <w:bookmarkEnd w:id="43886"/>
      <w:r>
        <w:rPr>
          <w:rFonts w:hint="cs"/>
          <w:rtl/>
        </w:rPr>
        <w:t xml:space="preserve">מנהיגות. </w:t>
      </w:r>
      <w:bookmarkStart w:id="43887" w:name="_ETM_Q82_725700"/>
      <w:bookmarkEnd w:id="43887"/>
    </w:p>
    <w:p w:rsidR="00BB59CD" w:rsidRDefault="00BB59CD" w:rsidP="00BB59CD">
      <w:pPr>
        <w:rPr>
          <w:rtl/>
        </w:rPr>
      </w:pPr>
    </w:p>
    <w:p w:rsidR="00BB59CD" w:rsidRDefault="00BB59CD" w:rsidP="00727E6B">
      <w:pPr>
        <w:rPr>
          <w:rtl/>
        </w:rPr>
      </w:pPr>
      <w:r>
        <w:rPr>
          <w:rFonts w:hint="cs"/>
          <w:rtl/>
        </w:rPr>
        <w:t xml:space="preserve">ומכאן </w:t>
      </w:r>
      <w:bookmarkStart w:id="43888" w:name="_ETM_Q82_726239"/>
      <w:bookmarkEnd w:id="43888"/>
      <w:r>
        <w:rPr>
          <w:rFonts w:hint="cs"/>
          <w:rtl/>
        </w:rPr>
        <w:t xml:space="preserve">אני </w:t>
      </w:r>
      <w:bookmarkStart w:id="43889" w:name="_ETM_Q82_726390"/>
      <w:bookmarkEnd w:id="43889"/>
      <w:r>
        <w:rPr>
          <w:rFonts w:hint="cs"/>
          <w:rtl/>
        </w:rPr>
        <w:t xml:space="preserve">רוצה </w:t>
      </w:r>
      <w:bookmarkStart w:id="43890" w:name="_ETM_Q82_726719"/>
      <w:bookmarkEnd w:id="43890"/>
      <w:r>
        <w:rPr>
          <w:rFonts w:hint="cs"/>
          <w:rtl/>
        </w:rPr>
        <w:t xml:space="preserve">לקרוא </w:t>
      </w:r>
      <w:bookmarkStart w:id="43891" w:name="_ETM_Q82_727730"/>
      <w:bookmarkEnd w:id="43891"/>
      <w:r>
        <w:rPr>
          <w:rFonts w:hint="cs"/>
          <w:rtl/>
        </w:rPr>
        <w:t xml:space="preserve">לראש </w:t>
      </w:r>
      <w:bookmarkStart w:id="43892" w:name="_ETM_Q82_728120"/>
      <w:bookmarkEnd w:id="43892"/>
      <w:r>
        <w:rPr>
          <w:rFonts w:hint="cs"/>
          <w:rtl/>
        </w:rPr>
        <w:t xml:space="preserve">הממשלה </w:t>
      </w:r>
      <w:bookmarkStart w:id="43893" w:name="_ETM_Q82_729939"/>
      <w:bookmarkEnd w:id="43893"/>
      <w:r>
        <w:rPr>
          <w:rFonts w:hint="cs"/>
          <w:rtl/>
        </w:rPr>
        <w:t xml:space="preserve">ולאנשים </w:t>
      </w:r>
      <w:bookmarkStart w:id="43894" w:name="_ETM_Q82_730719"/>
      <w:bookmarkEnd w:id="43894"/>
      <w:r>
        <w:rPr>
          <w:rFonts w:hint="cs"/>
          <w:rtl/>
        </w:rPr>
        <w:t xml:space="preserve">השפויים </w:t>
      </w:r>
      <w:bookmarkStart w:id="43895" w:name="_ETM_Q82_731739"/>
      <w:bookmarkEnd w:id="43895"/>
      <w:r>
        <w:rPr>
          <w:rFonts w:hint="cs"/>
          <w:rtl/>
        </w:rPr>
        <w:t xml:space="preserve">שעוד </w:t>
      </w:r>
      <w:bookmarkStart w:id="43896" w:name="_ETM_Q82_732040"/>
      <w:bookmarkEnd w:id="43896"/>
      <w:r>
        <w:rPr>
          <w:rFonts w:hint="cs"/>
          <w:rtl/>
        </w:rPr>
        <w:t xml:space="preserve">נשארו </w:t>
      </w:r>
      <w:bookmarkStart w:id="43897" w:name="_ETM_Q82_732459"/>
      <w:bookmarkEnd w:id="43897"/>
      <w:r>
        <w:rPr>
          <w:rFonts w:hint="cs"/>
          <w:rtl/>
        </w:rPr>
        <w:t xml:space="preserve">בליכוד: </w:t>
      </w:r>
      <w:bookmarkStart w:id="43898" w:name="_ETM_Q82_734419"/>
      <w:bookmarkEnd w:id="43898"/>
      <w:r>
        <w:rPr>
          <w:rFonts w:hint="cs"/>
          <w:rtl/>
        </w:rPr>
        <w:t xml:space="preserve">תעצרו. </w:t>
      </w:r>
      <w:bookmarkStart w:id="43899" w:name="_ETM_Q82_736590"/>
      <w:bookmarkEnd w:id="43899"/>
      <w:r>
        <w:rPr>
          <w:rFonts w:hint="cs"/>
          <w:rtl/>
        </w:rPr>
        <w:t xml:space="preserve">בואו </w:t>
      </w:r>
      <w:bookmarkStart w:id="43900" w:name="_ETM_Q82_736889"/>
      <w:bookmarkEnd w:id="43900"/>
      <w:r>
        <w:rPr>
          <w:rFonts w:hint="cs"/>
          <w:rtl/>
        </w:rPr>
        <w:t xml:space="preserve">נשב, </w:t>
      </w:r>
      <w:bookmarkStart w:id="43901" w:name="_ETM_Q82_737910"/>
      <w:bookmarkEnd w:id="43901"/>
      <w:r>
        <w:rPr>
          <w:rFonts w:hint="cs"/>
          <w:rtl/>
        </w:rPr>
        <w:t xml:space="preserve">נדבר. </w:t>
      </w:r>
      <w:bookmarkStart w:id="43902" w:name="_ETM_Q82_739230"/>
      <w:bookmarkEnd w:id="43902"/>
      <w:r>
        <w:rPr>
          <w:rFonts w:hint="cs"/>
          <w:rtl/>
        </w:rPr>
        <w:t xml:space="preserve">אז </w:t>
      </w:r>
      <w:bookmarkStart w:id="43903" w:name="_ETM_Q82_739440"/>
      <w:bookmarkEnd w:id="43903"/>
      <w:r>
        <w:rPr>
          <w:rFonts w:hint="cs"/>
          <w:rtl/>
        </w:rPr>
        <w:t xml:space="preserve">זה </w:t>
      </w:r>
      <w:bookmarkStart w:id="43904" w:name="_ETM_Q82_739590"/>
      <w:bookmarkEnd w:id="43904"/>
      <w:r>
        <w:rPr>
          <w:rFonts w:hint="cs"/>
          <w:rtl/>
        </w:rPr>
        <w:t xml:space="preserve">לא </w:t>
      </w:r>
      <w:bookmarkStart w:id="43905" w:name="_ETM_Q82_739710"/>
      <w:bookmarkEnd w:id="43905"/>
      <w:r>
        <w:rPr>
          <w:rFonts w:hint="cs"/>
          <w:rtl/>
        </w:rPr>
        <w:t xml:space="preserve">יקרה </w:t>
      </w:r>
      <w:bookmarkStart w:id="43906" w:name="_ETM_Q82_740010"/>
      <w:bookmarkEnd w:id="43906"/>
      <w:r>
        <w:rPr>
          <w:rFonts w:hint="cs"/>
          <w:rtl/>
        </w:rPr>
        <w:t xml:space="preserve">מחר, </w:t>
      </w:r>
      <w:bookmarkStart w:id="43907" w:name="_ETM_Q82_741610"/>
      <w:bookmarkEnd w:id="43907"/>
      <w:r>
        <w:rPr>
          <w:rFonts w:hint="cs"/>
          <w:rtl/>
        </w:rPr>
        <w:t xml:space="preserve">אז </w:t>
      </w:r>
      <w:bookmarkStart w:id="43908" w:name="_ETM_Q82_741819"/>
      <w:bookmarkEnd w:id="43908"/>
      <w:r>
        <w:rPr>
          <w:rFonts w:hint="cs"/>
          <w:rtl/>
        </w:rPr>
        <w:t xml:space="preserve">זה </w:t>
      </w:r>
      <w:bookmarkStart w:id="43909" w:name="_ETM_Q82_741880"/>
      <w:bookmarkEnd w:id="43909"/>
      <w:r>
        <w:rPr>
          <w:rFonts w:hint="cs"/>
          <w:rtl/>
        </w:rPr>
        <w:t xml:space="preserve">יקרה </w:t>
      </w:r>
      <w:bookmarkStart w:id="43910" w:name="_ETM_Q82_742179"/>
      <w:bookmarkEnd w:id="43910"/>
      <w:r>
        <w:rPr>
          <w:rFonts w:hint="cs"/>
          <w:rtl/>
        </w:rPr>
        <w:t xml:space="preserve">בעוד </w:t>
      </w:r>
      <w:bookmarkStart w:id="43911" w:name="_ETM_Q82_742539"/>
      <w:bookmarkEnd w:id="43911"/>
      <w:r>
        <w:rPr>
          <w:rFonts w:hint="cs"/>
          <w:rtl/>
        </w:rPr>
        <w:t xml:space="preserve">כמה </w:t>
      </w:r>
      <w:bookmarkStart w:id="43912" w:name="_ETM_Q82_742870"/>
      <w:bookmarkEnd w:id="43912"/>
      <w:r>
        <w:rPr>
          <w:rFonts w:hint="cs"/>
          <w:rtl/>
        </w:rPr>
        <w:t xml:space="preserve">חודשים, </w:t>
      </w:r>
      <w:bookmarkStart w:id="43913" w:name="_ETM_Q82_743800"/>
      <w:bookmarkEnd w:id="43913"/>
      <w:r>
        <w:rPr>
          <w:rFonts w:hint="cs"/>
          <w:rtl/>
        </w:rPr>
        <w:t xml:space="preserve">בעוד </w:t>
      </w:r>
      <w:bookmarkStart w:id="43914" w:name="_ETM_Q82_744250"/>
      <w:bookmarkEnd w:id="43914"/>
      <w:r>
        <w:rPr>
          <w:rFonts w:hint="cs"/>
          <w:rtl/>
        </w:rPr>
        <w:t xml:space="preserve">שנה, </w:t>
      </w:r>
      <w:bookmarkStart w:id="43915" w:name="_ETM_Q82_745510"/>
      <w:bookmarkEnd w:id="43915"/>
      <w:r>
        <w:rPr>
          <w:rFonts w:hint="cs"/>
          <w:rtl/>
        </w:rPr>
        <w:t xml:space="preserve">בעוד </w:t>
      </w:r>
      <w:bookmarkStart w:id="43916" w:name="_ETM_Q82_745840"/>
      <w:bookmarkEnd w:id="43916"/>
      <w:r>
        <w:rPr>
          <w:rFonts w:hint="cs"/>
          <w:rtl/>
        </w:rPr>
        <w:t xml:space="preserve">מספיק </w:t>
      </w:r>
      <w:bookmarkStart w:id="43917" w:name="_ETM_Q82_746350"/>
      <w:bookmarkEnd w:id="43917"/>
      <w:r>
        <w:rPr>
          <w:rFonts w:hint="cs"/>
          <w:rtl/>
        </w:rPr>
        <w:t xml:space="preserve">זמן, </w:t>
      </w:r>
      <w:bookmarkStart w:id="43918" w:name="_ETM_Q82_746740"/>
      <w:bookmarkEnd w:id="43918"/>
      <w:r>
        <w:rPr>
          <w:rFonts w:hint="cs"/>
          <w:rtl/>
        </w:rPr>
        <w:t xml:space="preserve">שאנחנו </w:t>
      </w:r>
      <w:bookmarkStart w:id="43919" w:name="_ETM_Q82_747190"/>
      <w:bookmarkEnd w:id="43919"/>
      <w:r>
        <w:rPr>
          <w:rFonts w:hint="cs"/>
          <w:rtl/>
        </w:rPr>
        <w:t xml:space="preserve">כולנו </w:t>
      </w:r>
      <w:bookmarkStart w:id="43920" w:name="_ETM_Q82_747730"/>
      <w:bookmarkEnd w:id="43920"/>
      <w:r>
        <w:rPr>
          <w:rFonts w:hint="cs"/>
          <w:rtl/>
        </w:rPr>
        <w:t xml:space="preserve">ביחד </w:t>
      </w:r>
      <w:bookmarkStart w:id="43921" w:name="_ETM_Q82_748870"/>
      <w:bookmarkEnd w:id="43921"/>
      <w:r>
        <w:rPr>
          <w:rFonts w:hint="cs"/>
          <w:rtl/>
        </w:rPr>
        <w:t xml:space="preserve">נגבש </w:t>
      </w:r>
      <w:bookmarkStart w:id="43922" w:name="_ETM_Q82_750750"/>
      <w:bookmarkEnd w:id="43922"/>
      <w:r>
        <w:rPr>
          <w:rFonts w:hint="cs"/>
          <w:rtl/>
        </w:rPr>
        <w:t xml:space="preserve">שינויים </w:t>
      </w:r>
      <w:bookmarkStart w:id="43923" w:name="_ETM_Q82_751530"/>
      <w:bookmarkEnd w:id="43923"/>
      <w:r>
        <w:rPr>
          <w:rFonts w:hint="cs"/>
          <w:rtl/>
        </w:rPr>
        <w:t xml:space="preserve">במערכת </w:t>
      </w:r>
      <w:bookmarkStart w:id="43924" w:name="_ETM_Q82_752189"/>
      <w:bookmarkEnd w:id="43924"/>
      <w:r>
        <w:rPr>
          <w:rFonts w:hint="cs"/>
          <w:rtl/>
        </w:rPr>
        <w:t xml:space="preserve">המשפט </w:t>
      </w:r>
      <w:bookmarkStart w:id="43925" w:name="_ETM_Q82_753120"/>
      <w:bookmarkEnd w:id="43925"/>
      <w:r>
        <w:rPr>
          <w:rFonts w:hint="cs"/>
          <w:rtl/>
        </w:rPr>
        <w:t xml:space="preserve">בהסכמה </w:t>
      </w:r>
      <w:bookmarkStart w:id="43926" w:name="_ETM_Q82_754050"/>
      <w:bookmarkEnd w:id="43926"/>
      <w:r>
        <w:rPr>
          <w:rFonts w:hint="cs"/>
          <w:rtl/>
        </w:rPr>
        <w:t xml:space="preserve">רחבה, </w:t>
      </w:r>
      <w:bookmarkStart w:id="43927" w:name="_ETM_Q82_755230"/>
      <w:bookmarkEnd w:id="43927"/>
      <w:r>
        <w:rPr>
          <w:rFonts w:hint="cs"/>
          <w:rtl/>
        </w:rPr>
        <w:t xml:space="preserve">בלי </w:t>
      </w:r>
      <w:bookmarkStart w:id="43928" w:name="_ETM_Q82_756220"/>
      <w:bookmarkEnd w:id="43928"/>
      <w:r>
        <w:rPr>
          <w:rFonts w:hint="cs"/>
          <w:rtl/>
        </w:rPr>
        <w:t xml:space="preserve">לפגוע </w:t>
      </w:r>
      <w:bookmarkStart w:id="43929" w:name="_ETM_Q82_757090"/>
      <w:bookmarkEnd w:id="43929"/>
      <w:r>
        <w:rPr>
          <w:rFonts w:hint="cs"/>
          <w:rtl/>
        </w:rPr>
        <w:t xml:space="preserve">במשטר </w:t>
      </w:r>
      <w:bookmarkStart w:id="43930" w:name="_ETM_Q82_757960"/>
      <w:bookmarkEnd w:id="43930"/>
      <w:r>
        <w:rPr>
          <w:rFonts w:hint="cs"/>
          <w:rtl/>
        </w:rPr>
        <w:t xml:space="preserve">במדינת </w:t>
      </w:r>
      <w:bookmarkStart w:id="43931" w:name="_ETM_Q82_758620"/>
      <w:bookmarkEnd w:id="43931"/>
      <w:r>
        <w:rPr>
          <w:rFonts w:hint="cs"/>
          <w:rtl/>
        </w:rPr>
        <w:t xml:space="preserve">ישראל. </w:t>
      </w:r>
      <w:bookmarkStart w:id="43932" w:name="_ETM_Q82_759700"/>
      <w:bookmarkEnd w:id="43932"/>
      <w:r>
        <w:rPr>
          <w:rFonts w:hint="cs"/>
          <w:rtl/>
        </w:rPr>
        <w:t xml:space="preserve">תודה </w:t>
      </w:r>
      <w:bookmarkStart w:id="43933" w:name="_ETM_Q82_760000"/>
      <w:bookmarkEnd w:id="43933"/>
      <w:r>
        <w:rPr>
          <w:rFonts w:hint="cs"/>
          <w:rtl/>
        </w:rPr>
        <w:t>רבה.</w:t>
      </w:r>
    </w:p>
    <w:p w:rsidR="00BB59CD" w:rsidRDefault="00BB59CD" w:rsidP="00BB59CD">
      <w:pPr>
        <w:ind w:firstLine="0"/>
        <w:rPr>
          <w:rtl/>
          <w:lang w:eastAsia="he-IL"/>
        </w:rPr>
      </w:pPr>
      <w:bookmarkStart w:id="43934" w:name="_ETM_Q82_761195"/>
      <w:bookmarkStart w:id="43935" w:name="_ETM_Q82_761308"/>
      <w:bookmarkStart w:id="43936" w:name="_ETM_Q82_4281"/>
      <w:bookmarkStart w:id="43937" w:name="_ETM_Q82_4369"/>
      <w:bookmarkEnd w:id="43934"/>
      <w:bookmarkEnd w:id="43935"/>
      <w:bookmarkEnd w:id="43936"/>
      <w:bookmarkEnd w:id="43937"/>
    </w:p>
    <w:p w:rsidR="00BB59CD" w:rsidRDefault="00BB59CD" w:rsidP="00BB59CD">
      <w:pPr>
        <w:pStyle w:val="af9"/>
        <w:rPr>
          <w:rtl/>
        </w:rPr>
      </w:pPr>
      <w:bookmarkStart w:id="43938" w:name="ET_yor_6129_3"/>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bookmarkEnd w:id="43938"/>
    </w:p>
    <w:p w:rsidR="00BB59CD" w:rsidRDefault="00BB59CD" w:rsidP="00337201">
      <w:pPr>
        <w:rPr>
          <w:rtl/>
          <w:lang w:eastAsia="he-IL"/>
        </w:rPr>
      </w:pPr>
    </w:p>
    <w:p w:rsidR="00BB59CD" w:rsidRDefault="00BB59CD" w:rsidP="00BB59CD">
      <w:pPr>
        <w:rPr>
          <w:rtl/>
        </w:rPr>
      </w:pPr>
      <w:bookmarkStart w:id="43939" w:name="_ETM_Q83_20332"/>
      <w:bookmarkStart w:id="43940" w:name="_ETM_Q83_13183"/>
      <w:bookmarkStart w:id="43941" w:name="_ETM_Q83_13267"/>
      <w:bookmarkEnd w:id="43939"/>
      <w:bookmarkEnd w:id="43940"/>
      <w:bookmarkEnd w:id="43941"/>
      <w:r>
        <w:rPr>
          <w:rFonts w:hint="cs"/>
          <w:rtl/>
        </w:rPr>
        <w:t>תודה רבה. חבר הכנסת סימון דוידסון.</w:t>
      </w:r>
    </w:p>
    <w:p w:rsidR="00BB59CD" w:rsidRDefault="00BB59CD" w:rsidP="00BB59CD">
      <w:pPr>
        <w:rPr>
          <w:rtl/>
        </w:rPr>
      </w:pPr>
      <w:bookmarkStart w:id="43942" w:name="_ETM_Q83_13309"/>
      <w:bookmarkStart w:id="43943" w:name="_ETM_Q83_13390"/>
      <w:bookmarkEnd w:id="43942"/>
      <w:bookmarkEnd w:id="43943"/>
    </w:p>
    <w:p w:rsidR="00BB59CD" w:rsidRDefault="00BB59CD" w:rsidP="00BB59CD">
      <w:pPr>
        <w:pStyle w:val="af8"/>
        <w:rPr>
          <w:rtl/>
        </w:rPr>
      </w:pPr>
      <w:bookmarkStart w:id="43944" w:name="ET_interruption_6255_4"/>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3944"/>
    </w:p>
    <w:p w:rsidR="00BB59CD" w:rsidRDefault="00BB59CD" w:rsidP="00337201">
      <w:pPr>
        <w:rPr>
          <w:rtl/>
          <w:lang w:eastAsia="he-IL"/>
        </w:rPr>
      </w:pPr>
    </w:p>
    <w:p w:rsidR="00BB59CD" w:rsidRDefault="00BB59CD" w:rsidP="00BB59CD">
      <w:pPr>
        <w:rPr>
          <w:rtl/>
          <w:lang w:eastAsia="he-IL"/>
        </w:rPr>
      </w:pPr>
      <w:bookmarkStart w:id="43945" w:name="_ETM_Q83_166114"/>
      <w:bookmarkStart w:id="43946" w:name="_ETM_Q83_166357"/>
      <w:bookmarkStart w:id="43947" w:name="_ETM_Q83_166438"/>
      <w:bookmarkEnd w:id="43945"/>
      <w:bookmarkEnd w:id="43946"/>
      <w:bookmarkEnd w:id="43947"/>
      <w:r>
        <w:rPr>
          <w:rFonts w:hint="cs"/>
          <w:rtl/>
          <w:lang w:eastAsia="he-IL"/>
        </w:rPr>
        <w:t>משפט יפה מאוד. ריגשת אותי.</w:t>
      </w:r>
    </w:p>
    <w:p w:rsidR="00BB59CD" w:rsidRDefault="00BB59CD" w:rsidP="00BB59CD">
      <w:pPr>
        <w:rPr>
          <w:rtl/>
          <w:lang w:eastAsia="he-IL"/>
        </w:rPr>
      </w:pPr>
      <w:bookmarkStart w:id="43948" w:name="_ETM_Q83_173556"/>
      <w:bookmarkStart w:id="43949" w:name="_ETM_Q83_173642"/>
      <w:bookmarkEnd w:id="43948"/>
      <w:bookmarkEnd w:id="43949"/>
    </w:p>
    <w:p w:rsidR="00BB59CD" w:rsidRDefault="00BB59CD" w:rsidP="00BB59CD">
      <w:pPr>
        <w:pStyle w:val="af8"/>
        <w:rPr>
          <w:rtl/>
        </w:rPr>
      </w:pPr>
      <w:bookmarkStart w:id="43950" w:name="ET_interruption_5307_5"/>
      <w:r>
        <w:rPr>
          <w:rStyle w:val="TagStyle"/>
          <w:rFonts w:hint="cs"/>
          <w:rtl/>
        </w:rPr>
        <w:t xml:space="preserve"> &lt;&lt; קריאה &gt;&gt; </w:t>
      </w:r>
      <w:r>
        <w:rPr>
          <w:rFonts w:hint="cs"/>
          <w:rtl/>
        </w:rPr>
        <w:t>יפעת שאשא ביטון (המחנה הממלכתי):</w:t>
      </w:r>
      <w:r>
        <w:rPr>
          <w:rStyle w:val="TagStyle"/>
          <w:rtl/>
        </w:rPr>
        <w:t xml:space="preserve"> &lt;&lt; קריאה &gt;&gt;</w:t>
      </w:r>
      <w:r>
        <w:rPr>
          <w:rFonts w:hint="cs"/>
          <w:rtl/>
        </w:rPr>
        <w:t xml:space="preserve">   </w:t>
      </w:r>
      <w:bookmarkEnd w:id="43950"/>
    </w:p>
    <w:p w:rsidR="00BB59CD" w:rsidRDefault="00BB59CD" w:rsidP="00337201">
      <w:pPr>
        <w:rPr>
          <w:rtl/>
          <w:lang w:eastAsia="he-IL"/>
        </w:rPr>
      </w:pPr>
    </w:p>
    <w:p w:rsidR="00BB59CD" w:rsidRDefault="00BB59CD" w:rsidP="00BB59CD">
      <w:pPr>
        <w:rPr>
          <w:rtl/>
          <w:lang w:eastAsia="he-IL"/>
        </w:rPr>
      </w:pPr>
      <w:bookmarkStart w:id="43951" w:name="_ETM_Q83_172039"/>
      <w:bookmarkStart w:id="43952" w:name="_ETM_Q83_172288"/>
      <w:bookmarkStart w:id="43953" w:name="_ETM_Q83_172360"/>
      <w:bookmarkStart w:id="43954" w:name="_ETM_Q83_172755"/>
      <w:bookmarkEnd w:id="43951"/>
      <w:bookmarkEnd w:id="43952"/>
      <w:bookmarkEnd w:id="43953"/>
      <w:bookmarkEnd w:id="43954"/>
      <w:r>
        <w:rPr>
          <w:rFonts w:hint="cs"/>
          <w:rtl/>
          <w:lang w:eastAsia="he-IL"/>
        </w:rPr>
        <w:t>- - -</w:t>
      </w:r>
    </w:p>
    <w:p w:rsidR="00BB59CD" w:rsidRDefault="00BB59CD" w:rsidP="00BB59CD">
      <w:pPr>
        <w:rPr>
          <w:rtl/>
          <w:lang w:eastAsia="he-IL"/>
        </w:rPr>
      </w:pPr>
      <w:bookmarkStart w:id="43955" w:name="_ETM_Q83_175715"/>
      <w:bookmarkStart w:id="43956" w:name="_ETM_Q83_175796"/>
      <w:bookmarkEnd w:id="43955"/>
      <w:bookmarkEnd w:id="43956"/>
    </w:p>
    <w:p w:rsidR="00BB59CD" w:rsidRDefault="00BB59CD" w:rsidP="00BB59CD">
      <w:pPr>
        <w:pStyle w:val="a5"/>
        <w:rPr>
          <w:rtl/>
        </w:rPr>
      </w:pPr>
      <w:bookmarkStart w:id="43957" w:name="ET_speaker_6255_2"/>
      <w:r>
        <w:rPr>
          <w:rStyle w:val="TagStyle"/>
          <w:rFonts w:hint="cs"/>
          <w:rtl/>
        </w:rPr>
        <w:t xml:space="preserve"> &lt;&lt; דובר &gt;&gt; </w:t>
      </w:r>
      <w:bookmarkStart w:id="43958" w:name="_Toc141197171"/>
      <w:bookmarkStart w:id="43959" w:name="_Toc141196907"/>
      <w:r>
        <w:rPr>
          <w:rFonts w:hint="cs"/>
          <w:rtl/>
        </w:rPr>
        <w:t>סימון דוידסון (יש עתיד):</w:t>
      </w:r>
      <w:bookmarkEnd w:id="43958"/>
      <w:bookmarkEnd w:id="43959"/>
      <w:r>
        <w:rPr>
          <w:rStyle w:val="TagStyle"/>
          <w:rFonts w:hint="cs"/>
          <w:rtl/>
        </w:rPr>
        <w:t xml:space="preserve"> &lt;&lt; דובר &gt;&gt;</w:t>
      </w:r>
      <w:r>
        <w:rPr>
          <w:rFonts w:hint="cs"/>
          <w:rtl/>
        </w:rPr>
        <w:t xml:space="preserve">   </w:t>
      </w:r>
      <w:bookmarkEnd w:id="43957"/>
    </w:p>
    <w:p w:rsidR="00BB59CD" w:rsidRDefault="00BB59CD" w:rsidP="00337201">
      <w:pPr>
        <w:rPr>
          <w:rtl/>
          <w:lang w:eastAsia="he-IL"/>
        </w:rPr>
      </w:pPr>
    </w:p>
    <w:p w:rsidR="00BB59CD" w:rsidRDefault="00BB59CD" w:rsidP="00727E6B">
      <w:pPr>
        <w:rPr>
          <w:rtl/>
          <w:lang w:eastAsia="he-IL"/>
        </w:rPr>
      </w:pPr>
      <w:bookmarkStart w:id="43960" w:name="_ETM_Q83_17423"/>
      <w:bookmarkEnd w:id="43960"/>
      <w:r>
        <w:rPr>
          <w:rFonts w:hint="cs"/>
          <w:rtl/>
          <w:lang w:eastAsia="he-IL"/>
        </w:rPr>
        <w:t xml:space="preserve">אדוני היושב-ראש, אדוני השר מרגי, כל חברי הכנסת </w:t>
      </w:r>
      <w:bookmarkStart w:id="43961" w:name="_ETM_Q83_189849"/>
      <w:bookmarkEnd w:id="43961"/>
      <w:r>
        <w:rPr>
          <w:rFonts w:hint="cs"/>
          <w:rtl/>
          <w:lang w:eastAsia="he-IL"/>
        </w:rPr>
        <w:t>במליאה, ערב טוב. אוי אוי אוי, איזה לילה יש לנו פה היום</w:t>
      </w:r>
      <w:bookmarkStart w:id="43962" w:name="_ETM_Q83_198176"/>
      <w:bookmarkEnd w:id="43962"/>
      <w:r>
        <w:rPr>
          <w:rFonts w:hint="cs"/>
          <w:rtl/>
          <w:lang w:eastAsia="he-IL"/>
        </w:rPr>
        <w:t xml:space="preserve"> – אתה צריך לשים לי זמן. הפעם </w:t>
      </w:r>
      <w:bookmarkStart w:id="43963" w:name="_ETM_Q83_201582"/>
      <w:bookmarkEnd w:id="43963"/>
      <w:r>
        <w:rPr>
          <w:rFonts w:hint="cs"/>
          <w:rtl/>
          <w:lang w:eastAsia="he-IL"/>
        </w:rPr>
        <w:t xml:space="preserve">אפילו הכנתי הכול מראש. בדרך כלל אני נואם מליבי, אבל </w:t>
      </w:r>
      <w:bookmarkStart w:id="43964" w:name="_ETM_Q83_206898"/>
      <w:bookmarkEnd w:id="43964"/>
      <w:r>
        <w:rPr>
          <w:rFonts w:hint="cs"/>
          <w:rtl/>
          <w:lang w:eastAsia="he-IL"/>
        </w:rPr>
        <w:t>הפעם הכנתי, כדי להיות מסודר, כי יש לי הרבה מאוד</w:t>
      </w:r>
      <w:bookmarkStart w:id="43965" w:name="_ETM_Q83_205105"/>
      <w:bookmarkEnd w:id="43965"/>
      <w:r>
        <w:rPr>
          <w:rFonts w:hint="cs"/>
          <w:rtl/>
          <w:lang w:eastAsia="he-IL"/>
        </w:rPr>
        <w:t xml:space="preserve"> דברים להעביר. חברים יקרים, ההצבעה על ביטול עילת הסבירות היא </w:t>
      </w:r>
      <w:bookmarkStart w:id="43966" w:name="_ETM_Q83_216419"/>
      <w:bookmarkEnd w:id="43966"/>
      <w:r>
        <w:rPr>
          <w:rFonts w:hint="cs"/>
          <w:rtl/>
          <w:lang w:eastAsia="he-IL"/>
        </w:rPr>
        <w:t xml:space="preserve">סיום עצוב מאוד למושב קטסטרופלי ולממשלה שהיא טרגדיה למדינת ישראל. </w:t>
      </w:r>
      <w:bookmarkStart w:id="43967" w:name="_ETM_Q83_227402"/>
      <w:bookmarkEnd w:id="43967"/>
      <w:r>
        <w:rPr>
          <w:rFonts w:hint="cs"/>
          <w:rtl/>
          <w:lang w:eastAsia="he-IL"/>
        </w:rPr>
        <w:t xml:space="preserve">כנס הקיץ יסתיים עם ממשלה שלמה שחטפה מכת שמש; לא </w:t>
      </w:r>
      <w:bookmarkStart w:id="43968" w:name="_ETM_Q83_230940"/>
      <w:bookmarkEnd w:id="43968"/>
      <w:r>
        <w:rPr>
          <w:rFonts w:hint="cs"/>
          <w:rtl/>
          <w:lang w:eastAsia="he-IL"/>
        </w:rPr>
        <w:t>רק ביבי</w:t>
      </w:r>
      <w:r w:rsidR="00727E6B">
        <w:rPr>
          <w:rFonts w:hint="cs"/>
          <w:rtl/>
          <w:lang w:eastAsia="he-IL"/>
        </w:rPr>
        <w:t xml:space="preserve">, </w:t>
      </w:r>
      <w:r>
        <w:rPr>
          <w:rFonts w:hint="cs"/>
          <w:rtl/>
          <w:lang w:eastAsia="he-IL"/>
        </w:rPr>
        <w:t xml:space="preserve">כולם, חטפתם מכת שמש. אין הסבר אחר </w:t>
      </w:r>
      <w:bookmarkStart w:id="43969" w:name="_ETM_Q83_239595"/>
      <w:bookmarkEnd w:id="43969"/>
      <w:r>
        <w:rPr>
          <w:rFonts w:hint="cs"/>
          <w:rtl/>
          <w:lang w:eastAsia="he-IL"/>
        </w:rPr>
        <w:t xml:space="preserve">לממשלה שפועלת נגד העם וקורעת אותו מבפנים – העם שלה, העם </w:t>
      </w:r>
      <w:bookmarkStart w:id="43970" w:name="_ETM_Q83_246582"/>
      <w:bookmarkEnd w:id="43970"/>
      <w:r>
        <w:rPr>
          <w:rFonts w:hint="cs"/>
          <w:rtl/>
          <w:lang w:eastAsia="he-IL"/>
        </w:rPr>
        <w:t xml:space="preserve">של כל הממשלה. אין הסבר אחר לממשלה שצעד </w:t>
      </w:r>
      <w:bookmarkStart w:id="43971" w:name="_ETM_Q83_250995"/>
      <w:bookmarkEnd w:id="43971"/>
      <w:r>
        <w:rPr>
          <w:rFonts w:hint="cs"/>
          <w:rtl/>
          <w:lang w:eastAsia="he-IL"/>
        </w:rPr>
        <w:t>אחרי צעד מפרקת מדינה מוצלחת ומלאת הישגים והופכת אותה לכישלון.</w:t>
      </w:r>
    </w:p>
    <w:p w:rsidR="00BB59CD" w:rsidRDefault="00BB59CD" w:rsidP="00BB59CD">
      <w:pPr>
        <w:rPr>
          <w:rtl/>
          <w:lang w:eastAsia="he-IL"/>
        </w:rPr>
      </w:pPr>
    </w:p>
    <w:p w:rsidR="00BB59CD" w:rsidRDefault="00BB59CD" w:rsidP="00727E6B">
      <w:pPr>
        <w:rPr>
          <w:rtl/>
          <w:lang w:eastAsia="he-IL"/>
        </w:rPr>
      </w:pPr>
      <w:r>
        <w:rPr>
          <w:rFonts w:hint="cs"/>
          <w:rtl/>
          <w:lang w:eastAsia="he-IL"/>
        </w:rPr>
        <w:t xml:space="preserve">למזלנו, </w:t>
      </w:r>
      <w:bookmarkStart w:id="43972" w:name="_ETM_Q83_258163"/>
      <w:bookmarkEnd w:id="43972"/>
      <w:r>
        <w:rPr>
          <w:rFonts w:hint="cs"/>
          <w:rtl/>
          <w:lang w:eastAsia="he-IL"/>
        </w:rPr>
        <w:t xml:space="preserve">דווקא כשהממשלה חולה, העם מגלה כמה הוא בריא. אני באמת </w:t>
      </w:r>
      <w:bookmarkStart w:id="43973" w:name="_ETM_Q83_267379"/>
      <w:bookmarkEnd w:id="43973"/>
      <w:r>
        <w:rPr>
          <w:rFonts w:hint="cs"/>
          <w:rtl/>
          <w:lang w:eastAsia="he-IL"/>
        </w:rPr>
        <w:t xml:space="preserve">מציע לכם לצאת החוצה ולראות כמה העם שלנו בריא. כל </w:t>
      </w:r>
      <w:bookmarkStart w:id="43974" w:name="_ETM_Q83_273060"/>
      <w:bookmarkEnd w:id="43974"/>
      <w:r>
        <w:rPr>
          <w:rFonts w:hint="cs"/>
          <w:rtl/>
          <w:lang w:eastAsia="he-IL"/>
        </w:rPr>
        <w:t xml:space="preserve">אותם עשרות אלפי המפגינים, עשרות אלפי האנשים המדהימים, שצעדו לירושלים </w:t>
      </w:r>
      <w:bookmarkStart w:id="43975" w:name="_ETM_Q83_280820"/>
      <w:bookmarkEnd w:id="43975"/>
      <w:r>
        <w:rPr>
          <w:rFonts w:hint="cs"/>
          <w:rtl/>
          <w:lang w:eastAsia="he-IL"/>
        </w:rPr>
        <w:t>עם הילדים שלהם, אנשים מבוגרים וצעירים ונשים – פ</w:t>
      </w:r>
      <w:bookmarkStart w:id="43976" w:name="_ETM_Q83_283259"/>
      <w:bookmarkEnd w:id="43976"/>
      <w:r>
        <w:rPr>
          <w:rFonts w:hint="cs"/>
          <w:rtl/>
          <w:lang w:eastAsia="he-IL"/>
        </w:rPr>
        <w:t>שוט מרגש ומחמם את הלב. הדנ"א הישראל</w:t>
      </w:r>
      <w:bookmarkStart w:id="43977" w:name="_ETM_Q83_292152"/>
      <w:bookmarkEnd w:id="43977"/>
      <w:r>
        <w:rPr>
          <w:rFonts w:hint="cs"/>
          <w:rtl/>
          <w:lang w:eastAsia="he-IL"/>
        </w:rPr>
        <w:t>י לא מוכן להיכנע בפני מי שרוצים להגביל</w:t>
      </w:r>
      <w:bookmarkStart w:id="43978" w:name="_ETM_Q83_296016"/>
      <w:bookmarkEnd w:id="43978"/>
      <w:r>
        <w:rPr>
          <w:rFonts w:hint="cs"/>
          <w:rtl/>
          <w:lang w:eastAsia="he-IL"/>
        </w:rPr>
        <w:t xml:space="preserve"> לו את החופש. עם של בני חורין</w:t>
      </w:r>
      <w:bookmarkStart w:id="43979" w:name="_ETM_Q83_298086"/>
      <w:bookmarkEnd w:id="43979"/>
      <w:r>
        <w:rPr>
          <w:rFonts w:hint="cs"/>
          <w:rtl/>
          <w:lang w:eastAsia="he-IL"/>
        </w:rPr>
        <w:t xml:space="preserve"> שמוכן להילחם על חירותו, ציבור של פטריוטים ואוהבי הארץ </w:t>
      </w:r>
      <w:bookmarkStart w:id="43980" w:name="_ETM_Q83_304605"/>
      <w:bookmarkEnd w:id="43980"/>
      <w:r>
        <w:rPr>
          <w:rFonts w:hint="cs"/>
          <w:rtl/>
          <w:lang w:eastAsia="he-IL"/>
        </w:rPr>
        <w:t xml:space="preserve">שהחליטו לצעוד למען עתידם – לצעוד למען עתיד יהודי ודמוקרטי; </w:t>
      </w:r>
      <w:bookmarkStart w:id="43981" w:name="_ETM_Q83_311869"/>
      <w:bookmarkEnd w:id="43981"/>
      <w:r>
        <w:rPr>
          <w:rFonts w:hint="cs"/>
          <w:rtl/>
          <w:lang w:eastAsia="he-IL"/>
        </w:rPr>
        <w:t xml:space="preserve">לצעוד כדי לחבר את תל אביב לישראל; לצעוד בִּשביל ובַּשביל של </w:t>
      </w:r>
      <w:bookmarkStart w:id="43982" w:name="_ETM_Q83_320622"/>
      <w:bookmarkEnd w:id="43982"/>
      <w:r>
        <w:rPr>
          <w:rFonts w:hint="cs"/>
          <w:rtl/>
          <w:lang w:eastAsia="he-IL"/>
        </w:rPr>
        <w:t>מגילת העצמאות. 40 שנה נצעד</w:t>
      </w:r>
      <w:r w:rsidR="00727E6B">
        <w:rPr>
          <w:rFonts w:hint="cs"/>
          <w:rtl/>
          <w:lang w:eastAsia="he-IL"/>
        </w:rPr>
        <w:t>,</w:t>
      </w:r>
      <w:r>
        <w:rPr>
          <w:rFonts w:hint="cs"/>
          <w:rtl/>
          <w:lang w:eastAsia="he-IL"/>
        </w:rPr>
        <w:t xml:space="preserve"> אם צריך – הכול </w:t>
      </w:r>
      <w:bookmarkStart w:id="43983" w:name="_ETM_Q83_323099"/>
      <w:bookmarkEnd w:id="43983"/>
      <w:r>
        <w:rPr>
          <w:rFonts w:hint="cs"/>
          <w:rtl/>
          <w:lang w:eastAsia="he-IL"/>
        </w:rPr>
        <w:t xml:space="preserve">כדי להיות עם חופשי בארצנו. עם הנצח לא מפחד </w:t>
      </w:r>
      <w:bookmarkStart w:id="43984" w:name="_ETM_Q83_327098"/>
      <w:bookmarkEnd w:id="43984"/>
      <w:r>
        <w:rPr>
          <w:rFonts w:hint="cs"/>
          <w:rtl/>
          <w:lang w:eastAsia="he-IL"/>
        </w:rPr>
        <w:t>מדרך ארוכה.</w:t>
      </w:r>
      <w:bookmarkStart w:id="43985" w:name="_ETM_Q83_332266"/>
      <w:bookmarkStart w:id="43986" w:name="_ETM_Q83_332346"/>
      <w:bookmarkStart w:id="43987" w:name="_ETM_Q83_332410"/>
      <w:bookmarkStart w:id="43988" w:name="_ETM_Q83_332496"/>
      <w:bookmarkEnd w:id="43985"/>
      <w:bookmarkEnd w:id="43986"/>
      <w:bookmarkEnd w:id="43987"/>
      <w:bookmarkEnd w:id="43988"/>
      <w:r w:rsidR="00727E6B">
        <w:rPr>
          <w:rFonts w:hint="cs"/>
          <w:rtl/>
          <w:lang w:eastAsia="he-IL"/>
        </w:rPr>
        <w:t xml:space="preserve"> </w:t>
      </w:r>
      <w:r>
        <w:rPr>
          <w:rFonts w:hint="cs"/>
          <w:rtl/>
          <w:lang w:eastAsia="he-IL"/>
        </w:rPr>
        <w:t>ומנגד עומדת לה ממשלה מנותקת והרסנית, ממשלה של סחטנים</w:t>
      </w:r>
      <w:bookmarkStart w:id="43989" w:name="_ETM_Q83_336890"/>
      <w:bookmarkEnd w:id="43989"/>
      <w:r>
        <w:rPr>
          <w:rFonts w:hint="cs"/>
          <w:rtl/>
          <w:lang w:eastAsia="he-IL"/>
        </w:rPr>
        <w:t xml:space="preserve"> חסרי מעצורים שבראשם עומד אדם חלש וסחיט. מי האמין </w:t>
      </w:r>
      <w:bookmarkStart w:id="43990" w:name="_ETM_Q83_343283"/>
      <w:bookmarkEnd w:id="43990"/>
      <w:r>
        <w:rPr>
          <w:rFonts w:hint="cs"/>
          <w:rtl/>
          <w:lang w:eastAsia="he-IL"/>
        </w:rPr>
        <w:t xml:space="preserve">ש-28 שבועות אנשים יצאו כל מוצאי שבת ובאמצע השבוע </w:t>
      </w:r>
      <w:bookmarkStart w:id="43991" w:name="_ETM_Q83_354494"/>
      <w:bookmarkEnd w:id="43991"/>
      <w:r>
        <w:rPr>
          <w:rFonts w:hint="cs"/>
          <w:rtl/>
          <w:lang w:eastAsia="he-IL"/>
        </w:rPr>
        <w:t xml:space="preserve">מהבתים שלהם בימים, בלילות, בחום ובגשם, עם דגלים </w:t>
      </w:r>
      <w:bookmarkStart w:id="43992" w:name="_ETM_Q83_358930"/>
      <w:bookmarkEnd w:id="43992"/>
      <w:r>
        <w:rPr>
          <w:rFonts w:hint="cs"/>
          <w:rtl/>
          <w:lang w:eastAsia="he-IL"/>
        </w:rPr>
        <w:t xml:space="preserve">של מדינת ישראל – 28 שבועות של מחאה אמיתית מהדם, </w:t>
      </w:r>
      <w:bookmarkStart w:id="43993" w:name="_ETM_Q83_369458"/>
      <w:bookmarkEnd w:id="43993"/>
      <w:r>
        <w:rPr>
          <w:rFonts w:hint="cs"/>
          <w:rtl/>
          <w:lang w:eastAsia="he-IL"/>
        </w:rPr>
        <w:t xml:space="preserve">מהלב, מהנשמה של האנשים? אני לא האמנתי. אף אחד לא </w:t>
      </w:r>
      <w:bookmarkStart w:id="43994" w:name="_ETM_Q83_376609"/>
      <w:bookmarkEnd w:id="43994"/>
      <w:r>
        <w:rPr>
          <w:rFonts w:hint="cs"/>
          <w:rtl/>
          <w:lang w:eastAsia="he-IL"/>
        </w:rPr>
        <w:t xml:space="preserve">האמין. בטוח שגם ראש הממשלה. אבל זה קורה, זה </w:t>
      </w:r>
      <w:bookmarkStart w:id="43995" w:name="_ETM_Q83_377030"/>
      <w:bookmarkEnd w:id="43995"/>
      <w:r>
        <w:rPr>
          <w:rFonts w:hint="cs"/>
          <w:rtl/>
          <w:lang w:eastAsia="he-IL"/>
        </w:rPr>
        <w:t>קרה וזה יכול לקרות עוד 28 שבועות.</w:t>
      </w:r>
    </w:p>
    <w:p w:rsidR="00BB59CD" w:rsidRDefault="00BB59CD" w:rsidP="00BB59CD">
      <w:pPr>
        <w:rPr>
          <w:rtl/>
          <w:lang w:eastAsia="he-IL"/>
        </w:rPr>
      </w:pPr>
      <w:bookmarkStart w:id="43996" w:name="_ETM_Q83_386166"/>
      <w:bookmarkStart w:id="43997" w:name="_ETM_Q83_386254"/>
      <w:bookmarkEnd w:id="43996"/>
      <w:bookmarkEnd w:id="43997"/>
    </w:p>
    <w:p w:rsidR="00BB59CD" w:rsidRDefault="00BB59CD" w:rsidP="00BB59CD">
      <w:pPr>
        <w:rPr>
          <w:rtl/>
          <w:lang w:eastAsia="he-IL"/>
        </w:rPr>
      </w:pPr>
      <w:bookmarkStart w:id="43998" w:name="_ETM_Q83_386293"/>
      <w:bookmarkStart w:id="43999" w:name="_ETM_Q83_386380"/>
      <w:bookmarkEnd w:id="43998"/>
      <w:bookmarkEnd w:id="43999"/>
      <w:r>
        <w:rPr>
          <w:rFonts w:hint="cs"/>
          <w:rtl/>
          <w:lang w:eastAsia="he-IL"/>
        </w:rPr>
        <w:t xml:space="preserve">אדוני היושב-ראש, לפני </w:t>
      </w:r>
      <w:bookmarkStart w:id="44000" w:name="_ETM_Q83_385722"/>
      <w:bookmarkEnd w:id="44000"/>
      <w:r>
        <w:rPr>
          <w:rFonts w:hint="cs"/>
          <w:rtl/>
          <w:lang w:eastAsia="he-IL"/>
        </w:rPr>
        <w:t xml:space="preserve">28 שבועות אני יחד עם שני חברים יקרים, דודו </w:t>
      </w:r>
      <w:bookmarkStart w:id="44001" w:name="_ETM_Q83_392689"/>
      <w:bookmarkEnd w:id="44001"/>
      <w:r>
        <w:rPr>
          <w:rFonts w:hint="cs"/>
          <w:rtl/>
          <w:lang w:eastAsia="he-IL"/>
        </w:rPr>
        <w:t xml:space="preserve">סלמה ורון פרי, עם בידורית קטנה, יצאנו להפגנה </w:t>
      </w:r>
      <w:bookmarkStart w:id="44002" w:name="_ETM_Q83_395268"/>
      <w:bookmarkEnd w:id="44002"/>
      <w:r>
        <w:rPr>
          <w:rFonts w:hint="cs"/>
          <w:rtl/>
          <w:lang w:eastAsia="he-IL"/>
        </w:rPr>
        <w:t xml:space="preserve">קטנה בנתניה, עיר של המעוז הליכודי. </w:t>
      </w:r>
      <w:bookmarkStart w:id="44003" w:name="_ETM_Q83_404117"/>
      <w:bookmarkEnd w:id="44003"/>
      <w:r>
        <w:rPr>
          <w:rFonts w:hint="cs"/>
          <w:rtl/>
          <w:lang w:eastAsia="he-IL"/>
        </w:rPr>
        <w:t xml:space="preserve">במוצאי השבת האחרונה מעל 30,000 איש היו שם. </w:t>
      </w:r>
      <w:bookmarkStart w:id="44004" w:name="_ETM_Q83_408113"/>
      <w:bookmarkEnd w:id="44004"/>
      <w:r>
        <w:rPr>
          <w:rFonts w:hint="cs"/>
          <w:rtl/>
          <w:lang w:eastAsia="he-IL"/>
        </w:rPr>
        <w:t>אז אי-אפשר לעצום את העיניים; אי-אפשר לסגור את</w:t>
      </w:r>
      <w:bookmarkStart w:id="44005" w:name="_ETM_Q83_414817"/>
      <w:bookmarkEnd w:id="44005"/>
      <w:r>
        <w:rPr>
          <w:rFonts w:hint="cs"/>
          <w:rtl/>
          <w:lang w:eastAsia="he-IL"/>
        </w:rPr>
        <w:t xml:space="preserve"> האוזניים. אם זה קורה בנתניה, באור עקיבא, באור יהודה</w:t>
      </w:r>
      <w:bookmarkStart w:id="44006" w:name="_ETM_Q83_419534"/>
      <w:bookmarkEnd w:id="44006"/>
      <w:r>
        <w:rPr>
          <w:rFonts w:hint="cs"/>
          <w:rtl/>
          <w:lang w:eastAsia="he-IL"/>
        </w:rPr>
        <w:t xml:space="preserve"> ובעוד הרבה מאוד מקומות של המעוז הליכודי הימני, אז </w:t>
      </w:r>
      <w:bookmarkStart w:id="44007" w:name="_ETM_Q83_426620"/>
      <w:bookmarkEnd w:id="44007"/>
      <w:r>
        <w:rPr>
          <w:rFonts w:hint="cs"/>
          <w:rtl/>
          <w:lang w:eastAsia="he-IL"/>
        </w:rPr>
        <w:t xml:space="preserve">צריכים פשוט להגיד: משהו מטורף קורה במדינה הזאת. </w:t>
      </w:r>
      <w:bookmarkStart w:id="44008" w:name="_ETM_Q83_428310"/>
      <w:bookmarkEnd w:id="44008"/>
    </w:p>
    <w:p w:rsidR="00BB59CD" w:rsidRDefault="00BB59CD" w:rsidP="00BB59CD">
      <w:pPr>
        <w:rPr>
          <w:rtl/>
          <w:lang w:eastAsia="he-IL"/>
        </w:rPr>
      </w:pPr>
      <w:bookmarkStart w:id="44009" w:name="_ETM_Q83_438164"/>
      <w:bookmarkStart w:id="44010" w:name="_ETM_Q83_438217"/>
      <w:bookmarkEnd w:id="44009"/>
      <w:bookmarkEnd w:id="44010"/>
    </w:p>
    <w:p w:rsidR="00BB59CD" w:rsidRDefault="00BB59CD" w:rsidP="00BB59CD">
      <w:pPr>
        <w:rPr>
          <w:rtl/>
        </w:rPr>
      </w:pPr>
      <w:bookmarkStart w:id="44011" w:name="_ETM_Q83_438292"/>
      <w:bookmarkStart w:id="44012" w:name="_ETM_Q83_438374"/>
      <w:bookmarkEnd w:id="44011"/>
      <w:bookmarkEnd w:id="44012"/>
      <w:r>
        <w:rPr>
          <w:rFonts w:hint="cs"/>
          <w:rtl/>
          <w:lang w:eastAsia="he-IL"/>
        </w:rPr>
        <w:t xml:space="preserve">בתוך חצי שנה, שיא גינס, הצלחתם להרוס מדינה שלמה. בכל חלקה </w:t>
      </w:r>
      <w:bookmarkStart w:id="44013" w:name="_ETM_Q83_323395"/>
      <w:bookmarkStart w:id="44014" w:name="_ETM_Q83_323507"/>
      <w:bookmarkStart w:id="44015" w:name="_ETM_Q83_323538"/>
      <w:bookmarkStart w:id="44016" w:name="_ETM_Q83_323609"/>
      <w:bookmarkStart w:id="44017" w:name="_ETM_Q83_6935"/>
      <w:bookmarkStart w:id="44018" w:name="_ETM_Q83_434631"/>
      <w:bookmarkEnd w:id="44013"/>
      <w:bookmarkEnd w:id="44014"/>
      <w:bookmarkEnd w:id="44015"/>
      <w:bookmarkEnd w:id="44016"/>
      <w:bookmarkEnd w:id="44017"/>
      <w:bookmarkEnd w:id="44018"/>
      <w:r>
        <w:rPr>
          <w:rFonts w:hint="cs"/>
          <w:rtl/>
        </w:rPr>
        <w:t xml:space="preserve">טובה פגעתם, וכל זה בשביל </w:t>
      </w:r>
      <w:bookmarkStart w:id="44019" w:name="_ETM_Q83_443779"/>
      <w:bookmarkEnd w:id="44019"/>
      <w:r>
        <w:rPr>
          <w:rFonts w:hint="cs"/>
          <w:rtl/>
        </w:rPr>
        <w:t>הרפורמה. השתגעתם לגמרי. הרסתם מדינה שלמה בגלל אדם מגלומן עם</w:t>
      </w:r>
      <w:bookmarkStart w:id="44020" w:name="_ETM_Q83_454948"/>
      <w:bookmarkEnd w:id="44020"/>
      <w:r>
        <w:rPr>
          <w:rFonts w:hint="cs"/>
          <w:rtl/>
        </w:rPr>
        <w:t xml:space="preserve"> טירוף שעמד לפני עם ישראל לפני יותר מחצי שנה</w:t>
      </w:r>
      <w:bookmarkStart w:id="44021" w:name="_ETM_Q83_459858"/>
      <w:bookmarkEnd w:id="44021"/>
      <w:r>
        <w:rPr>
          <w:rFonts w:hint="cs"/>
          <w:rtl/>
        </w:rPr>
        <w:t xml:space="preserve">, בלי מחשבה לאן זה מוביל, ובטירוף מול כל עם </w:t>
      </w:r>
      <w:bookmarkStart w:id="44022" w:name="_ETM_Q83_464930"/>
      <w:bookmarkEnd w:id="44022"/>
      <w:r>
        <w:rPr>
          <w:rFonts w:hint="cs"/>
          <w:rtl/>
        </w:rPr>
        <w:t xml:space="preserve">ישראל: אני הולך לשנות את כל מערכת המשפט, אני הולך </w:t>
      </w:r>
      <w:bookmarkStart w:id="44023" w:name="_ETM_Q83_466412"/>
      <w:bookmarkEnd w:id="44023"/>
      <w:r>
        <w:rPr>
          <w:rFonts w:hint="cs"/>
          <w:rtl/>
        </w:rPr>
        <w:t xml:space="preserve">לשנות את הצביון הישראלי – בשחצנות, ביהירות. כן, </w:t>
      </w:r>
      <w:bookmarkStart w:id="44024" w:name="_ETM_Q83_479220"/>
      <w:bookmarkEnd w:id="44024"/>
      <w:r>
        <w:rPr>
          <w:rFonts w:hint="cs"/>
          <w:rtl/>
        </w:rPr>
        <w:t xml:space="preserve">זה היה שר המשפטים מר לוין. פגעתם בביטחון, בכלכלה, ביחסי </w:t>
      </w:r>
      <w:bookmarkStart w:id="44025" w:name="_ETM_Q83_487476"/>
      <w:bookmarkEnd w:id="44025"/>
      <w:r>
        <w:rPr>
          <w:rFonts w:hint="cs"/>
          <w:rtl/>
        </w:rPr>
        <w:t xml:space="preserve">החוץ, במשילות, ובעיקר – פירקתם את האחדות של העם שלנו, את </w:t>
      </w:r>
      <w:bookmarkStart w:id="44026" w:name="_ETM_Q83_489592"/>
      <w:bookmarkEnd w:id="44026"/>
      <w:r>
        <w:rPr>
          <w:rFonts w:hint="cs"/>
          <w:rtl/>
        </w:rPr>
        <w:t xml:space="preserve">האחדות של עם ישראל, שבזה היינו החזקים ביותר. </w:t>
      </w:r>
      <w:bookmarkStart w:id="44027" w:name="_ETM_Q83_502315"/>
      <w:bookmarkStart w:id="44028" w:name="_ETM_Q83_502419"/>
      <w:bookmarkStart w:id="44029" w:name="_ETM_Q83_502444"/>
      <w:bookmarkStart w:id="44030" w:name="_ETM_Q83_502544"/>
      <w:bookmarkEnd w:id="44027"/>
      <w:bookmarkEnd w:id="44028"/>
      <w:bookmarkEnd w:id="44029"/>
      <w:bookmarkEnd w:id="44030"/>
      <w:r>
        <w:rPr>
          <w:rFonts w:hint="cs"/>
          <w:rtl/>
        </w:rPr>
        <w:t xml:space="preserve">ממשלה מופקרת, חסרת </w:t>
      </w:r>
      <w:bookmarkStart w:id="44031" w:name="_ETM_Q83_505258"/>
      <w:bookmarkEnd w:id="44031"/>
      <w:r>
        <w:rPr>
          <w:rFonts w:hint="cs"/>
          <w:rtl/>
        </w:rPr>
        <w:t xml:space="preserve">אחריות. ואתם לא תירגעו עד שתגמרו לגמרי </w:t>
      </w:r>
      <w:bookmarkStart w:id="44032" w:name="_ETM_Q83_505291"/>
      <w:bookmarkEnd w:id="44032"/>
      <w:r>
        <w:rPr>
          <w:rFonts w:hint="cs"/>
          <w:rtl/>
        </w:rPr>
        <w:t xml:space="preserve">את המדינה. לא תעצרו על הבלמים. </w:t>
      </w:r>
    </w:p>
    <w:p w:rsidR="00BB59CD" w:rsidRDefault="00BB59CD" w:rsidP="00BB59CD">
      <w:pPr>
        <w:rPr>
          <w:rtl/>
        </w:rPr>
      </w:pPr>
      <w:bookmarkStart w:id="44033" w:name="_ETM_Q83_520117"/>
      <w:bookmarkStart w:id="44034" w:name="_ETM_Q83_520167"/>
      <w:bookmarkStart w:id="44035" w:name="_ETM_Q83_520244"/>
      <w:bookmarkEnd w:id="44033"/>
      <w:bookmarkEnd w:id="44034"/>
      <w:bookmarkEnd w:id="44035"/>
    </w:p>
    <w:p w:rsidR="00BB59CD" w:rsidRDefault="00BB59CD" w:rsidP="00727E6B">
      <w:pPr>
        <w:rPr>
          <w:rtl/>
        </w:rPr>
      </w:pPr>
      <w:bookmarkStart w:id="44036" w:name="_ETM_Q83_520310"/>
      <w:bookmarkEnd w:id="44036"/>
      <w:r>
        <w:rPr>
          <w:rFonts w:hint="cs"/>
          <w:rtl/>
        </w:rPr>
        <w:t xml:space="preserve">אחרי כל הארס </w:t>
      </w:r>
      <w:bookmarkStart w:id="44037" w:name="_ETM_Q83_509220"/>
      <w:bookmarkEnd w:id="44037"/>
      <w:r>
        <w:rPr>
          <w:rFonts w:hint="cs"/>
          <w:rtl/>
        </w:rPr>
        <w:t xml:space="preserve">שאתם מפזרים, אתם עוד מנסים לספר לסיפור שאתם ממשלה טובה. </w:t>
      </w:r>
      <w:bookmarkStart w:id="44038" w:name="_ETM_Q83_520772"/>
      <w:bookmarkEnd w:id="44038"/>
      <w:r>
        <w:rPr>
          <w:rFonts w:hint="cs"/>
          <w:rtl/>
        </w:rPr>
        <w:t xml:space="preserve">כל היום מדברים על הנדסת תודעה, ובפועל אתם </w:t>
      </w:r>
      <w:bookmarkStart w:id="44039" w:name="_ETM_Q83_525780"/>
      <w:bookmarkEnd w:id="44039"/>
      <w:r>
        <w:rPr>
          <w:rFonts w:hint="cs"/>
          <w:rtl/>
        </w:rPr>
        <w:t xml:space="preserve">לא מפסיקים לרמות את הציבור, לא מפסיקים לרמות את האנשים </w:t>
      </w:r>
      <w:bookmarkStart w:id="44040" w:name="_ETM_Q83_528880"/>
      <w:bookmarkEnd w:id="44040"/>
      <w:r>
        <w:rPr>
          <w:rFonts w:hint="cs"/>
          <w:rtl/>
        </w:rPr>
        <w:t xml:space="preserve">שבחרו בכם. איך אני יודע את זה? כי אני נמצא </w:t>
      </w:r>
      <w:bookmarkStart w:id="44041" w:name="_ETM_Q83_538895"/>
      <w:bookmarkEnd w:id="44041"/>
      <w:r>
        <w:rPr>
          <w:rFonts w:hint="cs"/>
          <w:rtl/>
        </w:rPr>
        <w:t>איתם ברחובות, עם אנשי הימין שלא מאמינים למה שקורה. אבל</w:t>
      </w:r>
      <w:bookmarkStart w:id="44042" w:name="_ETM_Q83_546415"/>
      <w:bookmarkEnd w:id="44042"/>
      <w:r>
        <w:rPr>
          <w:rFonts w:hint="cs"/>
          <w:rtl/>
        </w:rPr>
        <w:t xml:space="preserve"> אתם אומרים: לא, אין שם אנשי ימין. עדיף לכם</w:t>
      </w:r>
      <w:bookmarkStart w:id="44043" w:name="_ETM_Q83_548885"/>
      <w:bookmarkEnd w:id="44043"/>
      <w:r>
        <w:rPr>
          <w:rFonts w:hint="cs"/>
          <w:rtl/>
        </w:rPr>
        <w:t xml:space="preserve"> לאטום את העיניים. אז, אני מזמין אתכם לפגוש אנשים</w:t>
      </w:r>
      <w:bookmarkStart w:id="44044" w:name="_ETM_Q83_553944"/>
      <w:bookmarkEnd w:id="44044"/>
      <w:r>
        <w:rPr>
          <w:rFonts w:hint="cs"/>
          <w:rtl/>
        </w:rPr>
        <w:t xml:space="preserve"> – כן, גם בנתניה – עם כיפות, אנשים</w:t>
      </w:r>
      <w:bookmarkStart w:id="44045" w:name="_ETM_Q83_557049"/>
      <w:bookmarkEnd w:id="44045"/>
      <w:r>
        <w:rPr>
          <w:rFonts w:hint="cs"/>
          <w:rtl/>
        </w:rPr>
        <w:t xml:space="preserve"> מבוגרים שבאים ומוחים על הטירוף הזה שאתם עושים. הם לא </w:t>
      </w:r>
      <w:bookmarkStart w:id="44046" w:name="_ETM_Q83_559369"/>
      <w:bookmarkEnd w:id="44046"/>
      <w:r>
        <w:rPr>
          <w:rFonts w:hint="cs"/>
          <w:rtl/>
        </w:rPr>
        <w:t xml:space="preserve">האמינו שהפתק שלהם בקלפי יהיה למטרה הזאת, למטרה של פירוק </w:t>
      </w:r>
      <w:bookmarkStart w:id="44047" w:name="_ETM_Q83_564171"/>
      <w:bookmarkEnd w:id="44047"/>
      <w:r>
        <w:rPr>
          <w:rFonts w:hint="cs"/>
          <w:rtl/>
        </w:rPr>
        <w:t xml:space="preserve">המדינה. </w:t>
      </w:r>
    </w:p>
    <w:p w:rsidR="00BB59CD" w:rsidRDefault="00BB59CD" w:rsidP="00BB59CD">
      <w:pPr>
        <w:rPr>
          <w:rtl/>
        </w:rPr>
      </w:pPr>
    </w:p>
    <w:p w:rsidR="00BB59CD" w:rsidRDefault="00BB59CD" w:rsidP="00BB59CD">
      <w:pPr>
        <w:rPr>
          <w:rtl/>
        </w:rPr>
      </w:pPr>
      <w:r>
        <w:rPr>
          <w:rFonts w:hint="cs"/>
          <w:rtl/>
        </w:rPr>
        <w:t xml:space="preserve">אתם לא מפסיקים למכור שקרים. כל מה שאתם </w:t>
      </w:r>
      <w:bookmarkStart w:id="44048" w:name="_ETM_Q83_569943"/>
      <w:bookmarkEnd w:id="44048"/>
      <w:r>
        <w:rPr>
          <w:rFonts w:hint="cs"/>
          <w:rtl/>
        </w:rPr>
        <w:t xml:space="preserve">אומרים זה 180 מעלות ההפך מהאמת, ויש לי אין-ספור דוגמאות </w:t>
      </w:r>
      <w:bookmarkStart w:id="44049" w:name="_ETM_Q83_575712"/>
      <w:bookmarkEnd w:id="44049"/>
      <w:r>
        <w:rPr>
          <w:rFonts w:hint="cs"/>
          <w:rtl/>
        </w:rPr>
        <w:t xml:space="preserve">לכך, ואלה לא המצאות, ואני אתן לכם כמה. אתם </w:t>
      </w:r>
      <w:bookmarkStart w:id="44050" w:name="_ETM_Q83_586864"/>
      <w:bookmarkEnd w:id="44050"/>
      <w:r>
        <w:rPr>
          <w:rFonts w:hint="cs"/>
          <w:rtl/>
        </w:rPr>
        <w:t xml:space="preserve">טוענים ואומרים ומדברים על משתמטים ועל סרבנות. ממשלה של משתמטים </w:t>
      </w:r>
      <w:bookmarkStart w:id="44051" w:name="_ETM_Q83_597723"/>
      <w:bookmarkEnd w:id="44051"/>
      <w:r>
        <w:rPr>
          <w:rFonts w:hint="cs"/>
          <w:rtl/>
        </w:rPr>
        <w:t>היא בעצם הממשלה הזו. ממשלת משתמטים מדברת</w:t>
      </w:r>
      <w:bookmarkStart w:id="44052" w:name="_ETM_Q83_599943"/>
      <w:bookmarkEnd w:id="44052"/>
      <w:r>
        <w:rPr>
          <w:rFonts w:hint="cs"/>
          <w:rtl/>
        </w:rPr>
        <w:t xml:space="preserve"> על סרבנות, מעיזה לקרוא לטייסים שלה ללכת לעזאזל. אז בואו, </w:t>
      </w:r>
      <w:bookmarkStart w:id="44053" w:name="_ETM_Q83_604256"/>
      <w:bookmarkEnd w:id="44053"/>
      <w:r>
        <w:rPr>
          <w:rFonts w:hint="cs"/>
          <w:rtl/>
        </w:rPr>
        <w:t xml:space="preserve">אתם רוצים לדבר על סרבנות? בואו נדבר על שתי מפלגות </w:t>
      </w:r>
      <w:bookmarkStart w:id="44054" w:name="_ETM_Q83_610306"/>
      <w:bookmarkEnd w:id="44054"/>
      <w:r>
        <w:rPr>
          <w:rFonts w:hint="cs"/>
          <w:rtl/>
        </w:rPr>
        <w:t xml:space="preserve">שלמות בקואליציה שאצלן סירוב להתגייס זה מדיניות, זה המדיניות שלהן, </w:t>
      </w:r>
      <w:bookmarkStart w:id="44055" w:name="_ETM_Q83_614350"/>
      <w:bookmarkEnd w:id="44055"/>
      <w:r>
        <w:rPr>
          <w:rFonts w:hint="cs"/>
          <w:rtl/>
        </w:rPr>
        <w:t xml:space="preserve">מה לעשות, זו האמת; בואו נדבר על שר אוצר </w:t>
      </w:r>
      <w:bookmarkStart w:id="44056" w:name="_ETM_Q83_617410"/>
      <w:bookmarkEnd w:id="44056"/>
      <w:r>
        <w:rPr>
          <w:rFonts w:hint="cs"/>
          <w:rtl/>
        </w:rPr>
        <w:t xml:space="preserve">שהוא גם שר במשרד הביטחון שעשה 11 חודשים צבא; בואו </w:t>
      </w:r>
      <w:bookmarkStart w:id="44057" w:name="_ETM_Q83_630274"/>
      <w:bookmarkEnd w:id="44057"/>
      <w:r>
        <w:rPr>
          <w:rFonts w:hint="cs"/>
          <w:rtl/>
        </w:rPr>
        <w:t xml:space="preserve">נדבר על מאי גולן, השרה לקידום מעמד האישה, שהצהירה שהיא </w:t>
      </w:r>
      <w:bookmarkStart w:id="44058" w:name="_ETM_Q83_631755"/>
      <w:bookmarkEnd w:id="44058"/>
      <w:r>
        <w:rPr>
          <w:rFonts w:hint="cs"/>
          <w:rtl/>
        </w:rPr>
        <w:t xml:space="preserve">דתייה בזמן שעשתה אודישנים כמנחה בערוץ הילדים. עכשיו, סיפרתי </w:t>
      </w:r>
      <w:bookmarkStart w:id="44059" w:name="_ETM_Q83_638978"/>
      <w:bookmarkEnd w:id="44059"/>
      <w:r>
        <w:rPr>
          <w:rFonts w:hint="cs"/>
          <w:rtl/>
        </w:rPr>
        <w:t xml:space="preserve">לך, אדוני חבר הכנסת אלעזר שטרן, על הבת שלי, שהשתחררה </w:t>
      </w:r>
      <w:bookmarkStart w:id="44060" w:name="_ETM_Q83_644215"/>
      <w:bookmarkEnd w:id="44060"/>
      <w:r>
        <w:rPr>
          <w:rFonts w:hint="cs"/>
          <w:rtl/>
        </w:rPr>
        <w:t xml:space="preserve">השבוע אחרי שש שנים בצבא, סרן, שש שנים </w:t>
      </w:r>
      <w:bookmarkStart w:id="44061" w:name="_ETM_Q83_648416"/>
      <w:bookmarkEnd w:id="44061"/>
      <w:r>
        <w:rPr>
          <w:rFonts w:hint="cs"/>
          <w:rtl/>
        </w:rPr>
        <w:t xml:space="preserve">נתנה למדינה; והיא מספרת לי פה </w:t>
      </w:r>
      <w:bookmarkStart w:id="44062" w:name="_ETM_Q83_648425"/>
      <w:bookmarkEnd w:id="44062"/>
      <w:r>
        <w:rPr>
          <w:rFonts w:hint="cs"/>
          <w:rtl/>
        </w:rPr>
        <w:t xml:space="preserve">סיפורים, גב' מאי גולן, שלא היה לה נוח, שהיה לה </w:t>
      </w:r>
      <w:bookmarkStart w:id="44063" w:name="_ETM_Q83_657705"/>
      <w:bookmarkEnd w:id="44063"/>
      <w:r>
        <w:rPr>
          <w:rFonts w:hint="cs"/>
          <w:rtl/>
        </w:rPr>
        <w:t xml:space="preserve">קשה. בלבולי מוח. איפה היית כשכל החברות שלך עשו </w:t>
      </w:r>
      <w:bookmarkStart w:id="44064" w:name="_ETM_Q83_663396"/>
      <w:bookmarkEnd w:id="44064"/>
      <w:r>
        <w:rPr>
          <w:rFonts w:hint="cs"/>
          <w:rtl/>
        </w:rPr>
        <w:t xml:space="preserve">צבא, כשנתנו למדינה? בואו נדבר על בן גביר, שר לביטחון </w:t>
      </w:r>
      <w:bookmarkStart w:id="44065" w:name="_ETM_Q83_670072"/>
      <w:bookmarkEnd w:id="44065"/>
      <w:r>
        <w:rPr>
          <w:rFonts w:hint="cs"/>
          <w:rtl/>
        </w:rPr>
        <w:t xml:space="preserve">לאומי לא פחות ולא יותר, שהיה כל כך שקוע </w:t>
      </w:r>
      <w:bookmarkStart w:id="44066" w:name="_ETM_Q83_673722"/>
      <w:bookmarkEnd w:id="44066"/>
      <w:r>
        <w:rPr>
          <w:rFonts w:hint="cs"/>
          <w:rtl/>
        </w:rPr>
        <w:t xml:space="preserve">בכהניזם שלו עד גיל 18 שהצבא הוקיע אותו ולא גייס </w:t>
      </w:r>
      <w:bookmarkStart w:id="44067" w:name="_ETM_Q83_679115"/>
      <w:bookmarkEnd w:id="44067"/>
      <w:r>
        <w:rPr>
          <w:rFonts w:hint="cs"/>
          <w:rtl/>
        </w:rPr>
        <w:t xml:space="preserve">אותו בכלל. אז מי הסרבנים? ממשלה של סרבנים שמעיזה </w:t>
      </w:r>
      <w:bookmarkStart w:id="44068" w:name="_ETM_Q83_684848"/>
      <w:bookmarkEnd w:id="44068"/>
      <w:r>
        <w:rPr>
          <w:rFonts w:hint="cs"/>
          <w:rtl/>
        </w:rPr>
        <w:t>לדבר על סרבנות.</w:t>
      </w:r>
    </w:p>
    <w:p w:rsidR="00BB59CD" w:rsidRDefault="00BB59CD" w:rsidP="00BB59CD">
      <w:pPr>
        <w:rPr>
          <w:rtl/>
        </w:rPr>
      </w:pPr>
      <w:bookmarkStart w:id="44069" w:name="_ETM_Q83_689552"/>
      <w:bookmarkStart w:id="44070" w:name="_ETM_Q83_689686"/>
      <w:bookmarkEnd w:id="44069"/>
      <w:bookmarkEnd w:id="44070"/>
    </w:p>
    <w:p w:rsidR="00BB59CD" w:rsidRDefault="00BB59CD" w:rsidP="00727E6B">
      <w:pPr>
        <w:rPr>
          <w:rtl/>
        </w:rPr>
      </w:pPr>
      <w:bookmarkStart w:id="44071" w:name="_ETM_Q83_689777"/>
      <w:bookmarkStart w:id="44072" w:name="_ETM_Q83_689858"/>
      <w:bookmarkEnd w:id="44071"/>
      <w:bookmarkEnd w:id="44072"/>
      <w:r>
        <w:rPr>
          <w:rFonts w:hint="cs"/>
          <w:rtl/>
        </w:rPr>
        <w:t xml:space="preserve">אתם רוצים שאני אתן לכם עוד כמה דוגמאות </w:t>
      </w:r>
      <w:bookmarkStart w:id="44073" w:name="_ETM_Q83_691187"/>
      <w:bookmarkEnd w:id="44073"/>
      <w:r>
        <w:rPr>
          <w:rFonts w:hint="cs"/>
          <w:rtl/>
        </w:rPr>
        <w:t xml:space="preserve">לצביעות של הממשלה הזאת? בואו, אני אתן לכם. הממשלה </w:t>
      </w:r>
      <w:bookmarkStart w:id="44074" w:name="_ETM_Q83_694805"/>
      <w:bookmarkEnd w:id="44074"/>
      <w:r>
        <w:rPr>
          <w:rFonts w:hint="cs"/>
          <w:rtl/>
        </w:rPr>
        <w:t>הזאת טוענת שהיא ימין מלא על מלא, ימין מלא</w:t>
      </w:r>
      <w:bookmarkStart w:id="44075" w:name="_ETM_Q83_694925"/>
      <w:bookmarkEnd w:id="44075"/>
      <w:r>
        <w:rPr>
          <w:rFonts w:hint="cs"/>
          <w:rtl/>
        </w:rPr>
        <w:t xml:space="preserve"> על מלא, אבל במשמרת שלה</w:t>
      </w:r>
      <w:bookmarkStart w:id="44076" w:name="_ETM_Q83_701693"/>
      <w:bookmarkEnd w:id="44076"/>
      <w:r>
        <w:rPr>
          <w:rFonts w:hint="cs"/>
          <w:rtl/>
        </w:rPr>
        <w:t xml:space="preserve"> – כמה זה</w:t>
      </w:r>
      <w:r w:rsidR="00727E6B">
        <w:rPr>
          <w:rFonts w:hint="cs"/>
          <w:rtl/>
        </w:rPr>
        <w:t>,</w:t>
      </w:r>
      <w:r>
        <w:rPr>
          <w:rFonts w:hint="cs"/>
          <w:rtl/>
        </w:rPr>
        <w:t xml:space="preserve"> שבעה חודשים? נורו לעבר ישראל </w:t>
      </w:r>
      <w:bookmarkStart w:id="44077" w:name="_ETM_Q83_706030"/>
      <w:bookmarkEnd w:id="44077"/>
      <w:r>
        <w:rPr>
          <w:rFonts w:hint="cs"/>
          <w:rtl/>
        </w:rPr>
        <w:t xml:space="preserve">1,496 פצמ"רים ורקטות. בואו ואדבר איתכם על ממשלת השינוי. העפיפון </w:t>
      </w:r>
      <w:bookmarkStart w:id="44078" w:name="_ETM_Q83_718474"/>
      <w:bookmarkEnd w:id="44078"/>
      <w:r>
        <w:rPr>
          <w:rFonts w:hint="cs"/>
          <w:rtl/>
        </w:rPr>
        <w:t>הראשון, הבלון הראשון שעף באוויר לכיוון מדינת ישראל</w:t>
      </w:r>
      <w:bookmarkStart w:id="44079" w:name="_ETM_Q83_722750"/>
      <w:bookmarkEnd w:id="44079"/>
      <w:r>
        <w:rPr>
          <w:rFonts w:hint="cs"/>
          <w:rtl/>
        </w:rPr>
        <w:t xml:space="preserve"> – הצבא נכנס בכל הכוח והפסיק את הנושא הזה </w:t>
      </w:r>
      <w:bookmarkStart w:id="44080" w:name="_ETM_Q83_722198"/>
      <w:bookmarkEnd w:id="44080"/>
      <w:r>
        <w:rPr>
          <w:rFonts w:hint="cs"/>
          <w:rtl/>
        </w:rPr>
        <w:t>של הבלונים. אתם זוכרים</w:t>
      </w:r>
      <w:r w:rsidR="00727E6B">
        <w:rPr>
          <w:rFonts w:hint="cs"/>
          <w:rtl/>
        </w:rPr>
        <w:t>,</w:t>
      </w:r>
      <w:r>
        <w:rPr>
          <w:rFonts w:hint="cs"/>
          <w:rtl/>
        </w:rPr>
        <w:t xml:space="preserve"> נשרפו עשרות דונמים חקלאיים של </w:t>
      </w:r>
      <w:bookmarkStart w:id="44081" w:name="_ETM_Q83_729561"/>
      <w:bookmarkEnd w:id="44081"/>
      <w:r>
        <w:rPr>
          <w:rFonts w:hint="cs"/>
          <w:rtl/>
        </w:rPr>
        <w:t xml:space="preserve">אנשים יקרים שעובדים קשה כדי לגדל את החקלאות שלהם, והממשלה </w:t>
      </w:r>
      <w:bookmarkStart w:id="44082" w:name="_ETM_Q83_734102"/>
      <w:bookmarkEnd w:id="44082"/>
      <w:r>
        <w:rPr>
          <w:rFonts w:hint="cs"/>
          <w:rtl/>
        </w:rPr>
        <w:t xml:space="preserve">הזאת הפסיקה את זה. השקט שהיה בדרום לא היה שנים </w:t>
      </w:r>
      <w:bookmarkStart w:id="44083" w:name="_ETM_Q83_744305"/>
      <w:bookmarkEnd w:id="44083"/>
      <w:r>
        <w:rPr>
          <w:rFonts w:hint="cs"/>
          <w:rtl/>
        </w:rPr>
        <w:t xml:space="preserve">רבות. אז כשאתם מדברים על ממשלה ימין על ימין, תלמדו מה עשתה הממשלה הקודמת. היא באמת הייתה ימין </w:t>
      </w:r>
      <w:bookmarkStart w:id="44084" w:name="_ETM_Q83_753326"/>
      <w:bookmarkEnd w:id="44084"/>
      <w:r>
        <w:rPr>
          <w:rFonts w:hint="cs"/>
          <w:rtl/>
        </w:rPr>
        <w:t>מלא, ולא כמו סיפורי הסבתא שלכם.</w:t>
      </w:r>
    </w:p>
    <w:p w:rsidR="00BB59CD" w:rsidRDefault="00BB59CD" w:rsidP="00BB59CD">
      <w:pPr>
        <w:rPr>
          <w:rtl/>
        </w:rPr>
      </w:pPr>
      <w:bookmarkStart w:id="44085" w:name="_ETM_Q83_758090"/>
      <w:bookmarkStart w:id="44086" w:name="_ETM_Q83_758198"/>
      <w:bookmarkEnd w:id="44085"/>
      <w:bookmarkEnd w:id="44086"/>
    </w:p>
    <w:p w:rsidR="00BB59CD" w:rsidRDefault="00BB59CD" w:rsidP="00727E6B">
      <w:pPr>
        <w:rPr>
          <w:rtl/>
        </w:rPr>
      </w:pPr>
      <w:bookmarkStart w:id="44087" w:name="_ETM_Q83_758234"/>
      <w:bookmarkStart w:id="44088" w:name="_ETM_Q83_758320"/>
      <w:bookmarkEnd w:id="44087"/>
      <w:bookmarkEnd w:id="44088"/>
      <w:r>
        <w:rPr>
          <w:rFonts w:hint="cs"/>
          <w:rtl/>
        </w:rPr>
        <w:t xml:space="preserve">ממשלה שעשתה קמפיין שלם </w:t>
      </w:r>
      <w:bookmarkStart w:id="44089" w:name="_ETM_Q83_757773"/>
      <w:bookmarkEnd w:id="44089"/>
      <w:r>
        <w:rPr>
          <w:rFonts w:hint="cs"/>
          <w:rtl/>
        </w:rPr>
        <w:t>על יוקר המחיה.</w:t>
      </w:r>
      <w:bookmarkStart w:id="44090" w:name="TOR_Q84"/>
      <w:bookmarkStart w:id="44091" w:name="_ETM_Q84_180000"/>
      <w:bookmarkEnd w:id="44090"/>
      <w:bookmarkEnd w:id="44091"/>
      <w:r>
        <w:rPr>
          <w:rFonts w:hint="cs"/>
          <w:rtl/>
        </w:rPr>
        <w:t xml:space="preserve"> אתם זוכרים את ביבי מתדלק, הולך לסופר, מבטיח הבטחות: אצלנו הדלק יהיה </w:t>
      </w:r>
      <w:bookmarkStart w:id="44092" w:name="_ETM_Q84_167000"/>
      <w:bookmarkEnd w:id="44092"/>
      <w:r>
        <w:rPr>
          <w:rFonts w:hint="cs"/>
          <w:rtl/>
        </w:rPr>
        <w:t xml:space="preserve">יותר זול, והחלב יותר זול, והביצים יותר </w:t>
      </w:r>
      <w:r w:rsidR="00727E6B">
        <w:rPr>
          <w:rFonts w:hint="cs"/>
          <w:rtl/>
        </w:rPr>
        <w:t>ב</w:t>
      </w:r>
      <w:r>
        <w:rPr>
          <w:rFonts w:hint="cs"/>
          <w:rtl/>
        </w:rPr>
        <w:t xml:space="preserve">זול. מפלגת </w:t>
      </w:r>
      <w:bookmarkStart w:id="44093" w:name="_ETM_Q84_173000"/>
      <w:bookmarkEnd w:id="44093"/>
      <w:r>
        <w:rPr>
          <w:rFonts w:hint="cs"/>
          <w:rtl/>
        </w:rPr>
        <w:t xml:space="preserve">ש"ס סיפרו על עוף שיהיה בזול וכל מיני סיפורים. לא </w:t>
      </w:r>
      <w:bookmarkStart w:id="44094" w:name="_ETM_Q84_178000"/>
      <w:bookmarkEnd w:id="44094"/>
      <w:r>
        <w:rPr>
          <w:rFonts w:hint="cs"/>
          <w:rtl/>
        </w:rPr>
        <w:t xml:space="preserve">ביצים ולא נעליים. שקרנים. </w:t>
      </w:r>
      <w:bookmarkStart w:id="44095" w:name="_ETM_Q84_181280"/>
      <w:bookmarkStart w:id="44096" w:name="_ETM_Q84_181700"/>
      <w:bookmarkStart w:id="44097" w:name="_ETM_Q84_183730"/>
      <w:bookmarkEnd w:id="44095"/>
      <w:bookmarkEnd w:id="44096"/>
      <w:bookmarkEnd w:id="44097"/>
      <w:r>
        <w:rPr>
          <w:rFonts w:hint="cs"/>
          <w:rtl/>
        </w:rPr>
        <w:t xml:space="preserve">אנשים </w:t>
      </w:r>
      <w:bookmarkStart w:id="44098" w:name="_ETM_Q84_184180"/>
      <w:bookmarkEnd w:id="44098"/>
      <w:r>
        <w:rPr>
          <w:rFonts w:hint="cs"/>
          <w:rtl/>
        </w:rPr>
        <w:t xml:space="preserve">לא </w:t>
      </w:r>
      <w:bookmarkStart w:id="44099" w:name="_ETM_Q84_184269"/>
      <w:bookmarkEnd w:id="44099"/>
      <w:r>
        <w:rPr>
          <w:rFonts w:hint="cs"/>
          <w:rtl/>
        </w:rPr>
        <w:t xml:space="preserve">יכולים </w:t>
      </w:r>
      <w:bookmarkStart w:id="44100" w:name="_ETM_Q84_184630"/>
      <w:bookmarkEnd w:id="44100"/>
      <w:r>
        <w:rPr>
          <w:rFonts w:hint="cs"/>
          <w:rtl/>
        </w:rPr>
        <w:t xml:space="preserve">לגמור </w:t>
      </w:r>
      <w:bookmarkStart w:id="44101" w:name="_ETM_Q84_184899"/>
      <w:bookmarkEnd w:id="44101"/>
      <w:r>
        <w:rPr>
          <w:rFonts w:hint="cs"/>
          <w:rtl/>
        </w:rPr>
        <w:t xml:space="preserve">את </w:t>
      </w:r>
      <w:bookmarkStart w:id="44102" w:name="_ETM_Q84_184990"/>
      <w:bookmarkEnd w:id="44102"/>
      <w:r>
        <w:rPr>
          <w:rFonts w:hint="cs"/>
          <w:rtl/>
        </w:rPr>
        <w:t xml:space="preserve">החודש, </w:t>
      </w:r>
      <w:bookmarkStart w:id="44103" w:name="_ETM_Q84_186629"/>
      <w:bookmarkEnd w:id="44103"/>
      <w:r>
        <w:rPr>
          <w:rFonts w:hint="cs"/>
          <w:rtl/>
        </w:rPr>
        <w:t xml:space="preserve">אנשים </w:t>
      </w:r>
      <w:bookmarkStart w:id="44104" w:name="_ETM_Q84_187049"/>
      <w:bookmarkEnd w:id="44104"/>
      <w:r>
        <w:rPr>
          <w:rFonts w:hint="cs"/>
          <w:rtl/>
        </w:rPr>
        <w:t>ש</w:t>
      </w:r>
      <w:bookmarkStart w:id="44105" w:name="_ETM_Q84_187200"/>
      <w:bookmarkEnd w:id="44105"/>
      <w:r>
        <w:rPr>
          <w:rFonts w:hint="cs"/>
          <w:rtl/>
        </w:rPr>
        <w:t xml:space="preserve">מרוויחים </w:t>
      </w:r>
      <w:bookmarkStart w:id="44106" w:name="_ETM_Q84_187679"/>
      <w:bookmarkEnd w:id="44106"/>
      <w:r>
        <w:rPr>
          <w:rFonts w:hint="cs"/>
          <w:rtl/>
        </w:rPr>
        <w:t xml:space="preserve">טוב </w:t>
      </w:r>
      <w:bookmarkStart w:id="44107" w:name="_ETM_Q84_189139"/>
      <w:bookmarkEnd w:id="44107"/>
      <w:r>
        <w:rPr>
          <w:rFonts w:hint="cs"/>
          <w:rtl/>
        </w:rPr>
        <w:t xml:space="preserve">לא </w:t>
      </w:r>
      <w:bookmarkStart w:id="44108" w:name="_ETM_Q84_189320"/>
      <w:bookmarkEnd w:id="44108"/>
      <w:r>
        <w:rPr>
          <w:rFonts w:hint="cs"/>
          <w:rtl/>
        </w:rPr>
        <w:t xml:space="preserve">יושבים </w:t>
      </w:r>
      <w:bookmarkStart w:id="44109" w:name="_ETM_Q84_189710"/>
      <w:bookmarkEnd w:id="44109"/>
      <w:r>
        <w:rPr>
          <w:rFonts w:hint="cs"/>
          <w:rtl/>
        </w:rPr>
        <w:t xml:space="preserve">בבית; </w:t>
      </w:r>
      <w:bookmarkStart w:id="44110" w:name="_ETM_Q84_190919"/>
      <w:bookmarkEnd w:id="44110"/>
      <w:r>
        <w:rPr>
          <w:rFonts w:hint="cs"/>
          <w:rtl/>
        </w:rPr>
        <w:t xml:space="preserve">מעמד </w:t>
      </w:r>
      <w:bookmarkStart w:id="44111" w:name="_ETM_Q84_191490"/>
      <w:bookmarkEnd w:id="44111"/>
      <w:r>
        <w:rPr>
          <w:rFonts w:hint="cs"/>
          <w:rtl/>
        </w:rPr>
        <w:t xml:space="preserve">הביניים </w:t>
      </w:r>
      <w:bookmarkStart w:id="44112" w:name="_ETM_Q84_192000"/>
      <w:bookmarkEnd w:id="44112"/>
      <w:r>
        <w:rPr>
          <w:rFonts w:hint="cs"/>
          <w:rtl/>
        </w:rPr>
        <w:t xml:space="preserve">לא </w:t>
      </w:r>
      <w:bookmarkStart w:id="44113" w:name="_ETM_Q84_192089"/>
      <w:bookmarkEnd w:id="44113"/>
      <w:r>
        <w:rPr>
          <w:rFonts w:hint="cs"/>
          <w:rtl/>
        </w:rPr>
        <w:t xml:space="preserve">מצליח </w:t>
      </w:r>
      <w:bookmarkStart w:id="44114" w:name="_ETM_Q84_192419"/>
      <w:bookmarkEnd w:id="44114"/>
      <w:r>
        <w:rPr>
          <w:rFonts w:hint="cs"/>
          <w:rtl/>
        </w:rPr>
        <w:t xml:space="preserve">לגמור </w:t>
      </w:r>
      <w:bookmarkStart w:id="44115" w:name="_ETM_Q84_192719"/>
      <w:bookmarkEnd w:id="44115"/>
      <w:r>
        <w:rPr>
          <w:rFonts w:hint="cs"/>
          <w:rtl/>
        </w:rPr>
        <w:t xml:space="preserve">את </w:t>
      </w:r>
      <w:bookmarkStart w:id="44116" w:name="_ETM_Q84_192780"/>
      <w:bookmarkEnd w:id="44116"/>
      <w:r>
        <w:rPr>
          <w:rFonts w:hint="cs"/>
          <w:rtl/>
        </w:rPr>
        <w:t xml:space="preserve">החודש. </w:t>
      </w:r>
      <w:bookmarkStart w:id="44117" w:name="_ETM_Q84_194760"/>
      <w:bookmarkEnd w:id="44117"/>
      <w:r>
        <w:rPr>
          <w:rFonts w:hint="cs"/>
          <w:rtl/>
        </w:rPr>
        <w:t xml:space="preserve">אז </w:t>
      </w:r>
      <w:bookmarkStart w:id="44118" w:name="_ETM_Q84_194969"/>
      <w:bookmarkEnd w:id="44118"/>
      <w:r>
        <w:rPr>
          <w:rFonts w:hint="cs"/>
          <w:rtl/>
        </w:rPr>
        <w:t xml:space="preserve">איך </w:t>
      </w:r>
      <w:bookmarkStart w:id="44119" w:name="_ETM_Q84_195120"/>
      <w:bookmarkEnd w:id="44119"/>
      <w:r>
        <w:rPr>
          <w:rFonts w:hint="cs"/>
          <w:rtl/>
        </w:rPr>
        <w:t xml:space="preserve">אתם </w:t>
      </w:r>
      <w:bookmarkStart w:id="44120" w:name="_ETM_Q84_195330"/>
      <w:bookmarkEnd w:id="44120"/>
      <w:r>
        <w:rPr>
          <w:rFonts w:hint="cs"/>
          <w:rtl/>
        </w:rPr>
        <w:t xml:space="preserve">יכולים </w:t>
      </w:r>
      <w:bookmarkStart w:id="44121" w:name="_ETM_Q84_195660"/>
      <w:bookmarkEnd w:id="44121"/>
      <w:r>
        <w:rPr>
          <w:rFonts w:hint="cs"/>
          <w:rtl/>
        </w:rPr>
        <w:t xml:space="preserve">להסתכל </w:t>
      </w:r>
      <w:bookmarkStart w:id="44122" w:name="_ETM_Q84_196230"/>
      <w:bookmarkEnd w:id="44122"/>
      <w:r>
        <w:rPr>
          <w:rFonts w:hint="cs"/>
          <w:rtl/>
        </w:rPr>
        <w:t xml:space="preserve">בעיניים </w:t>
      </w:r>
      <w:bookmarkStart w:id="44123" w:name="_ETM_Q84_196739"/>
      <w:bookmarkEnd w:id="44123"/>
      <w:r>
        <w:rPr>
          <w:rFonts w:hint="cs"/>
          <w:rtl/>
        </w:rPr>
        <w:t xml:space="preserve">של </w:t>
      </w:r>
      <w:bookmarkStart w:id="44124" w:name="_ETM_Q84_196920"/>
      <w:bookmarkEnd w:id="44124"/>
      <w:r>
        <w:rPr>
          <w:rFonts w:hint="cs"/>
          <w:rtl/>
        </w:rPr>
        <w:t xml:space="preserve">האזרחים </w:t>
      </w:r>
      <w:bookmarkStart w:id="44125" w:name="_ETM_Q84_197760"/>
      <w:bookmarkEnd w:id="44125"/>
      <w:r>
        <w:rPr>
          <w:rFonts w:hint="cs"/>
          <w:rtl/>
        </w:rPr>
        <w:t xml:space="preserve">וגם </w:t>
      </w:r>
      <w:bookmarkStart w:id="44126" w:name="_ETM_Q84_198150"/>
      <w:bookmarkEnd w:id="44126"/>
      <w:r>
        <w:rPr>
          <w:rFonts w:hint="cs"/>
          <w:rtl/>
        </w:rPr>
        <w:t xml:space="preserve">באלה </w:t>
      </w:r>
      <w:bookmarkStart w:id="44127" w:name="_ETM_Q84_198420"/>
      <w:bookmarkEnd w:id="44127"/>
      <w:r>
        <w:rPr>
          <w:rFonts w:hint="cs"/>
          <w:rtl/>
        </w:rPr>
        <w:t xml:space="preserve">שבחרו </w:t>
      </w:r>
      <w:bookmarkStart w:id="44128" w:name="_ETM_Q84_198989"/>
      <w:bookmarkEnd w:id="44128"/>
      <w:r>
        <w:rPr>
          <w:rFonts w:hint="cs"/>
          <w:rtl/>
        </w:rPr>
        <w:t xml:space="preserve">אתכם? </w:t>
      </w:r>
      <w:bookmarkStart w:id="44129" w:name="_ETM_Q84_201770"/>
      <w:bookmarkEnd w:id="44129"/>
      <w:r>
        <w:rPr>
          <w:rFonts w:hint="cs"/>
          <w:rtl/>
        </w:rPr>
        <w:t xml:space="preserve">אז </w:t>
      </w:r>
      <w:bookmarkStart w:id="44130" w:name="_ETM_Q84_202040"/>
      <w:bookmarkEnd w:id="44130"/>
      <w:r>
        <w:rPr>
          <w:rFonts w:hint="cs"/>
          <w:rtl/>
        </w:rPr>
        <w:t xml:space="preserve">עוד </w:t>
      </w:r>
      <w:bookmarkStart w:id="44131" w:name="_ETM_Q84_202190"/>
      <w:bookmarkEnd w:id="44131"/>
      <w:r>
        <w:rPr>
          <w:rFonts w:hint="cs"/>
          <w:rtl/>
        </w:rPr>
        <w:t xml:space="preserve">שקר </w:t>
      </w:r>
      <w:bookmarkStart w:id="44132" w:name="_ETM_Q84_202730"/>
      <w:bookmarkEnd w:id="44132"/>
      <w:r>
        <w:rPr>
          <w:rFonts w:hint="cs"/>
          <w:rtl/>
        </w:rPr>
        <w:t xml:space="preserve">ועוד </w:t>
      </w:r>
      <w:bookmarkStart w:id="44133" w:name="_ETM_Q84_203119"/>
      <w:bookmarkEnd w:id="44133"/>
      <w:r>
        <w:rPr>
          <w:rFonts w:hint="cs"/>
          <w:rtl/>
        </w:rPr>
        <w:t xml:space="preserve">שקר </w:t>
      </w:r>
      <w:bookmarkStart w:id="44134" w:name="_ETM_Q84_203600"/>
      <w:bookmarkEnd w:id="44134"/>
      <w:r>
        <w:rPr>
          <w:rFonts w:hint="cs"/>
          <w:rtl/>
        </w:rPr>
        <w:t xml:space="preserve">ועוד </w:t>
      </w:r>
      <w:bookmarkStart w:id="44135" w:name="_ETM_Q84_203960"/>
      <w:bookmarkEnd w:id="44135"/>
      <w:r>
        <w:rPr>
          <w:rFonts w:hint="cs"/>
          <w:rtl/>
        </w:rPr>
        <w:t xml:space="preserve">שקר. </w:t>
      </w:r>
      <w:bookmarkStart w:id="44136" w:name="_ETM_Q84_206829"/>
      <w:bookmarkEnd w:id="44136"/>
      <w:r>
        <w:rPr>
          <w:rFonts w:hint="cs"/>
          <w:rtl/>
        </w:rPr>
        <w:t xml:space="preserve">אוי, </w:t>
      </w:r>
      <w:bookmarkStart w:id="44137" w:name="_ETM_Q84_207220"/>
      <w:bookmarkEnd w:id="44137"/>
      <w:r>
        <w:rPr>
          <w:rFonts w:hint="cs"/>
          <w:rtl/>
        </w:rPr>
        <w:t xml:space="preserve">אלוהים, </w:t>
      </w:r>
      <w:bookmarkStart w:id="44138" w:name="_ETM_Q84_210810"/>
      <w:bookmarkEnd w:id="44138"/>
      <w:r>
        <w:rPr>
          <w:rFonts w:hint="cs"/>
          <w:rtl/>
        </w:rPr>
        <w:t xml:space="preserve">אתם </w:t>
      </w:r>
      <w:bookmarkStart w:id="44139" w:name="_ETM_Q84_211109"/>
      <w:bookmarkEnd w:id="44139"/>
      <w:r>
        <w:rPr>
          <w:rFonts w:hint="cs"/>
          <w:rtl/>
        </w:rPr>
        <w:t xml:space="preserve">מספרים </w:t>
      </w:r>
      <w:bookmarkStart w:id="44140" w:name="_ETM_Q84_211529"/>
      <w:bookmarkEnd w:id="44140"/>
      <w:r>
        <w:rPr>
          <w:rFonts w:hint="cs"/>
          <w:rtl/>
        </w:rPr>
        <w:t xml:space="preserve">סיפורים, </w:t>
      </w:r>
      <w:bookmarkStart w:id="44141" w:name="_ETM_Q84_213500"/>
      <w:bookmarkEnd w:id="44141"/>
      <w:r>
        <w:rPr>
          <w:rFonts w:hint="cs"/>
          <w:rtl/>
        </w:rPr>
        <w:t xml:space="preserve">והממשלה </w:t>
      </w:r>
      <w:bookmarkStart w:id="44142" w:name="_ETM_Q84_214219"/>
      <w:bookmarkEnd w:id="44142"/>
      <w:r>
        <w:rPr>
          <w:rFonts w:hint="cs"/>
          <w:rtl/>
        </w:rPr>
        <w:t xml:space="preserve">הזאת, </w:t>
      </w:r>
      <w:bookmarkStart w:id="44143" w:name="_ETM_Q84_214430"/>
      <w:bookmarkEnd w:id="44143"/>
      <w:r>
        <w:rPr>
          <w:rFonts w:hint="cs"/>
          <w:rtl/>
        </w:rPr>
        <w:t xml:space="preserve">שמדברת </w:t>
      </w:r>
      <w:bookmarkStart w:id="44144" w:name="_ETM_Q84_215030"/>
      <w:bookmarkEnd w:id="44144"/>
      <w:r>
        <w:rPr>
          <w:rFonts w:hint="cs"/>
          <w:rtl/>
        </w:rPr>
        <w:t xml:space="preserve">על </w:t>
      </w:r>
      <w:bookmarkStart w:id="44145" w:name="_ETM_Q84_215180"/>
      <w:bookmarkEnd w:id="44145"/>
      <w:r>
        <w:rPr>
          <w:rFonts w:hint="cs"/>
          <w:rtl/>
        </w:rPr>
        <w:t xml:space="preserve">אחדות </w:t>
      </w:r>
      <w:bookmarkStart w:id="44146" w:name="_ETM_Q84_215840"/>
      <w:bookmarkEnd w:id="44146"/>
      <w:r>
        <w:rPr>
          <w:rFonts w:hint="cs"/>
          <w:rtl/>
        </w:rPr>
        <w:t xml:space="preserve">אבל </w:t>
      </w:r>
      <w:bookmarkStart w:id="44147" w:name="_ETM_Q84_216140"/>
      <w:bookmarkEnd w:id="44147"/>
      <w:r>
        <w:rPr>
          <w:rFonts w:hint="cs"/>
          <w:rtl/>
        </w:rPr>
        <w:t xml:space="preserve">בפועל </w:t>
      </w:r>
      <w:bookmarkStart w:id="44148" w:name="_ETM_Q84_216590"/>
      <w:bookmarkEnd w:id="44148"/>
      <w:r>
        <w:rPr>
          <w:rFonts w:hint="cs"/>
          <w:rtl/>
        </w:rPr>
        <w:t xml:space="preserve">משסה </w:t>
      </w:r>
      <w:bookmarkStart w:id="44149" w:name="_ETM_Q84_216739"/>
      <w:bookmarkStart w:id="44150" w:name="_ETM_Q84_217220"/>
      <w:bookmarkEnd w:id="44149"/>
      <w:bookmarkEnd w:id="44150"/>
      <w:r>
        <w:rPr>
          <w:rFonts w:hint="cs"/>
          <w:rtl/>
        </w:rPr>
        <w:t xml:space="preserve">איש </w:t>
      </w:r>
      <w:bookmarkStart w:id="44151" w:name="_ETM_Q84_217489"/>
      <w:bookmarkEnd w:id="44151"/>
      <w:r>
        <w:rPr>
          <w:rFonts w:hint="cs"/>
          <w:rtl/>
        </w:rPr>
        <w:t xml:space="preserve">באחיו, </w:t>
      </w:r>
      <w:bookmarkStart w:id="44152" w:name="_ETM_Q84_218530"/>
      <w:bookmarkEnd w:id="44152"/>
      <w:r>
        <w:rPr>
          <w:rFonts w:hint="cs"/>
          <w:rtl/>
        </w:rPr>
        <w:t xml:space="preserve">קוראת </w:t>
      </w:r>
      <w:bookmarkStart w:id="44153" w:name="_ETM_Q84_218920"/>
      <w:bookmarkEnd w:id="44153"/>
      <w:r>
        <w:rPr>
          <w:rFonts w:hint="cs"/>
          <w:rtl/>
        </w:rPr>
        <w:t xml:space="preserve">לציבורים </w:t>
      </w:r>
      <w:bookmarkStart w:id="44154" w:name="_ETM_Q84_219430"/>
      <w:bookmarkEnd w:id="44154"/>
      <w:r>
        <w:rPr>
          <w:rFonts w:hint="cs"/>
          <w:rtl/>
        </w:rPr>
        <w:t xml:space="preserve">שלמים </w:t>
      </w:r>
      <w:bookmarkStart w:id="44155" w:name="_ETM_Q84_219790"/>
      <w:bookmarkEnd w:id="44155"/>
      <w:r>
        <w:rPr>
          <w:rFonts w:hint="cs"/>
          <w:rtl/>
        </w:rPr>
        <w:t xml:space="preserve">"אנרכיסטים", </w:t>
      </w:r>
      <w:bookmarkStart w:id="44156" w:name="_ETM_Q84_220720"/>
      <w:bookmarkEnd w:id="44156"/>
      <w:r>
        <w:rPr>
          <w:rFonts w:hint="cs"/>
          <w:rtl/>
        </w:rPr>
        <w:t xml:space="preserve">"פריבילגים", </w:t>
      </w:r>
      <w:bookmarkStart w:id="44157" w:name="_ETM_Q84_221560"/>
      <w:bookmarkEnd w:id="44157"/>
      <w:r>
        <w:rPr>
          <w:rFonts w:hint="cs"/>
          <w:rtl/>
        </w:rPr>
        <w:t xml:space="preserve">"בוגדים", </w:t>
      </w:r>
      <w:bookmarkStart w:id="44158" w:name="_ETM_Q84_222460"/>
      <w:bookmarkEnd w:id="44158"/>
      <w:r>
        <w:rPr>
          <w:rFonts w:hint="cs"/>
          <w:rtl/>
        </w:rPr>
        <w:t>"אויבים"</w:t>
      </w:r>
      <w:r w:rsidR="00727E6B">
        <w:rPr>
          <w:rFonts w:hint="cs"/>
          <w:rtl/>
        </w:rPr>
        <w:t>;</w:t>
      </w:r>
      <w:r>
        <w:rPr>
          <w:rFonts w:hint="cs"/>
          <w:rtl/>
        </w:rPr>
        <w:t xml:space="preserve"> </w:t>
      </w:r>
      <w:bookmarkStart w:id="44159" w:name="_ETM_Q84_223909"/>
      <w:bookmarkEnd w:id="44159"/>
      <w:r>
        <w:rPr>
          <w:rFonts w:hint="cs"/>
          <w:rtl/>
        </w:rPr>
        <w:t xml:space="preserve">ממשלה </w:t>
      </w:r>
      <w:bookmarkStart w:id="44160" w:name="_ETM_Q84_224450"/>
      <w:bookmarkEnd w:id="44160"/>
      <w:r>
        <w:rPr>
          <w:rFonts w:hint="cs"/>
          <w:rtl/>
        </w:rPr>
        <w:t xml:space="preserve">שטוענת </w:t>
      </w:r>
      <w:bookmarkStart w:id="44161" w:name="_ETM_Q84_225350"/>
      <w:bookmarkEnd w:id="44161"/>
      <w:r>
        <w:rPr>
          <w:rFonts w:hint="cs"/>
          <w:rtl/>
        </w:rPr>
        <w:t xml:space="preserve">שהאזרחים </w:t>
      </w:r>
      <w:bookmarkStart w:id="44162" w:name="_ETM_Q84_226430"/>
      <w:bookmarkEnd w:id="44162"/>
      <w:r>
        <w:rPr>
          <w:rFonts w:hint="cs"/>
          <w:rtl/>
        </w:rPr>
        <w:t xml:space="preserve">הפטריוטים </w:t>
      </w:r>
      <w:bookmarkStart w:id="44163" w:name="_ETM_Q84_227840"/>
      <w:bookmarkEnd w:id="44163"/>
      <w:r>
        <w:rPr>
          <w:rFonts w:hint="cs"/>
          <w:rtl/>
        </w:rPr>
        <w:t xml:space="preserve">שמפגינים </w:t>
      </w:r>
      <w:bookmarkStart w:id="44164" w:name="_ETM_Q84_228560"/>
      <w:bookmarkEnd w:id="44164"/>
      <w:r>
        <w:rPr>
          <w:rFonts w:hint="cs"/>
          <w:rtl/>
        </w:rPr>
        <w:t xml:space="preserve">ויוצאים </w:t>
      </w:r>
      <w:bookmarkStart w:id="44165" w:name="_ETM_Q84_229040"/>
      <w:bookmarkEnd w:id="44165"/>
      <w:r>
        <w:rPr>
          <w:rFonts w:hint="cs"/>
          <w:rtl/>
        </w:rPr>
        <w:t>להפגין</w:t>
      </w:r>
      <w:bookmarkStart w:id="44166" w:name="_ETM_Q84_230460"/>
      <w:bookmarkEnd w:id="44166"/>
      <w:r>
        <w:rPr>
          <w:rFonts w:hint="cs"/>
          <w:rtl/>
        </w:rPr>
        <w:t xml:space="preserve"> ממומנים, </w:t>
      </w:r>
      <w:bookmarkStart w:id="44167" w:name="_ETM_Q84_230670"/>
      <w:bookmarkStart w:id="44168" w:name="_ETM_Q84_230789"/>
      <w:bookmarkStart w:id="44169" w:name="_ETM_Q84_231900"/>
      <w:bookmarkEnd w:id="44167"/>
      <w:bookmarkEnd w:id="44168"/>
      <w:bookmarkEnd w:id="44169"/>
      <w:r>
        <w:rPr>
          <w:rFonts w:hint="cs"/>
          <w:rtl/>
        </w:rPr>
        <w:t xml:space="preserve">בעוד </w:t>
      </w:r>
      <w:bookmarkStart w:id="44170" w:name="_ETM_Q84_232470"/>
      <w:bookmarkEnd w:id="44170"/>
      <w:r>
        <w:rPr>
          <w:rFonts w:hint="cs"/>
          <w:rtl/>
        </w:rPr>
        <w:t xml:space="preserve">השרים </w:t>
      </w:r>
      <w:bookmarkStart w:id="44171" w:name="_ETM_Q84_233070"/>
      <w:bookmarkEnd w:id="44171"/>
      <w:r>
        <w:rPr>
          <w:rFonts w:hint="cs"/>
          <w:rtl/>
        </w:rPr>
        <w:t xml:space="preserve">שלהם </w:t>
      </w:r>
      <w:bookmarkStart w:id="44172" w:name="_ETM_Q84_233910"/>
      <w:bookmarkEnd w:id="44172"/>
      <w:r>
        <w:rPr>
          <w:rFonts w:hint="cs"/>
          <w:rtl/>
        </w:rPr>
        <w:t xml:space="preserve">בעצמם </w:t>
      </w:r>
      <w:bookmarkStart w:id="44173" w:name="_ETM_Q84_234570"/>
      <w:bookmarkEnd w:id="44173"/>
      <w:r>
        <w:rPr>
          <w:rFonts w:hint="cs"/>
          <w:rtl/>
        </w:rPr>
        <w:t xml:space="preserve">מפרסמים </w:t>
      </w:r>
      <w:bookmarkStart w:id="44174" w:name="_ETM_Q84_235200"/>
      <w:bookmarkEnd w:id="44174"/>
      <w:r>
        <w:rPr>
          <w:rFonts w:hint="cs"/>
          <w:rtl/>
        </w:rPr>
        <w:t xml:space="preserve">לו"ז </w:t>
      </w:r>
      <w:bookmarkStart w:id="44175" w:name="_ETM_Q84_235710"/>
      <w:bookmarkEnd w:id="44175"/>
      <w:r>
        <w:rPr>
          <w:rFonts w:hint="cs"/>
          <w:rtl/>
        </w:rPr>
        <w:t xml:space="preserve">הסעות </w:t>
      </w:r>
      <w:bookmarkStart w:id="44176" w:name="_ETM_Q84_236640"/>
      <w:bookmarkEnd w:id="44176"/>
      <w:r>
        <w:rPr>
          <w:rFonts w:hint="cs"/>
          <w:rtl/>
        </w:rPr>
        <w:t xml:space="preserve">ומתגברים </w:t>
      </w:r>
      <w:bookmarkStart w:id="44177" w:name="_ETM_Q84_237450"/>
      <w:bookmarkEnd w:id="44177"/>
      <w:r>
        <w:rPr>
          <w:rFonts w:hint="cs"/>
          <w:rtl/>
        </w:rPr>
        <w:t xml:space="preserve">רכבות </w:t>
      </w:r>
      <w:bookmarkStart w:id="44178" w:name="_ETM_Q84_238080"/>
      <w:bookmarkEnd w:id="44178"/>
      <w:r>
        <w:rPr>
          <w:rFonts w:hint="cs"/>
          <w:rtl/>
        </w:rPr>
        <w:t xml:space="preserve">להפגנות </w:t>
      </w:r>
      <w:bookmarkStart w:id="44179" w:name="_ETM_Q84_238950"/>
      <w:bookmarkEnd w:id="44179"/>
      <w:r>
        <w:rPr>
          <w:rFonts w:hint="cs"/>
          <w:rtl/>
        </w:rPr>
        <w:t xml:space="preserve">בעד </w:t>
      </w:r>
      <w:bookmarkStart w:id="44180" w:name="_ETM_Q84_239820"/>
      <w:bookmarkEnd w:id="44180"/>
      <w:r>
        <w:rPr>
          <w:rFonts w:hint="cs"/>
          <w:rtl/>
        </w:rPr>
        <w:t xml:space="preserve">ההפיכה. </w:t>
      </w:r>
      <w:bookmarkStart w:id="44181" w:name="_ETM_Q84_240510"/>
      <w:bookmarkEnd w:id="44181"/>
      <w:r>
        <w:rPr>
          <w:rFonts w:hint="cs"/>
          <w:rtl/>
        </w:rPr>
        <w:t xml:space="preserve">כן, </w:t>
      </w:r>
      <w:bookmarkStart w:id="44182" w:name="_ETM_Q84_240929"/>
      <w:bookmarkEnd w:id="44182"/>
      <w:r>
        <w:rPr>
          <w:rFonts w:hint="cs"/>
          <w:rtl/>
        </w:rPr>
        <w:t xml:space="preserve">גם </w:t>
      </w:r>
      <w:bookmarkStart w:id="44183" w:name="_ETM_Q84_241170"/>
      <w:bookmarkEnd w:id="44183"/>
      <w:r>
        <w:rPr>
          <w:rFonts w:hint="cs"/>
          <w:rtl/>
        </w:rPr>
        <w:t xml:space="preserve">היום. </w:t>
      </w:r>
      <w:bookmarkStart w:id="44184" w:name="_ETM_Q84_242129"/>
      <w:bookmarkEnd w:id="44184"/>
      <w:r>
        <w:rPr>
          <w:rFonts w:hint="cs"/>
          <w:rtl/>
        </w:rPr>
        <w:t xml:space="preserve">מי </w:t>
      </w:r>
      <w:bookmarkStart w:id="44185" w:name="_ETM_Q84_242399"/>
      <w:bookmarkEnd w:id="44185"/>
      <w:r>
        <w:rPr>
          <w:rFonts w:hint="cs"/>
          <w:rtl/>
        </w:rPr>
        <w:t xml:space="preserve">אתם </w:t>
      </w:r>
      <w:bookmarkStart w:id="44186" w:name="_ETM_Q84_242609"/>
      <w:bookmarkEnd w:id="44186"/>
      <w:r>
        <w:rPr>
          <w:rFonts w:hint="cs"/>
          <w:rtl/>
        </w:rPr>
        <w:t xml:space="preserve">חושבים </w:t>
      </w:r>
      <w:bookmarkStart w:id="44187" w:name="_ETM_Q84_242969"/>
      <w:bookmarkEnd w:id="44187"/>
      <w:r>
        <w:rPr>
          <w:rFonts w:hint="cs"/>
          <w:rtl/>
        </w:rPr>
        <w:t xml:space="preserve">כל </w:t>
      </w:r>
      <w:bookmarkStart w:id="44188" w:name="_ETM_Q84_243299"/>
      <w:bookmarkEnd w:id="44188"/>
      <w:r>
        <w:rPr>
          <w:rFonts w:hint="cs"/>
          <w:rtl/>
        </w:rPr>
        <w:t xml:space="preserve">האנשים </w:t>
      </w:r>
      <w:bookmarkStart w:id="44189" w:name="_ETM_Q84_243659"/>
      <w:bookmarkEnd w:id="44189"/>
      <w:r>
        <w:rPr>
          <w:rFonts w:hint="cs"/>
          <w:rtl/>
        </w:rPr>
        <w:t xml:space="preserve">שהגיעו </w:t>
      </w:r>
      <w:bookmarkStart w:id="44190" w:name="_ETM_Q84_243989"/>
      <w:bookmarkEnd w:id="44190"/>
      <w:r>
        <w:rPr>
          <w:rFonts w:hint="cs"/>
          <w:rtl/>
        </w:rPr>
        <w:t xml:space="preserve">לתל </w:t>
      </w:r>
      <w:bookmarkStart w:id="44191" w:name="_ETM_Q84_244229"/>
      <w:bookmarkEnd w:id="44191"/>
      <w:r>
        <w:rPr>
          <w:rFonts w:hint="cs"/>
          <w:rtl/>
        </w:rPr>
        <w:t xml:space="preserve">אביב? </w:t>
      </w:r>
      <w:bookmarkStart w:id="44192" w:name="_ETM_Q84_244860"/>
      <w:bookmarkEnd w:id="44192"/>
      <w:r>
        <w:rPr>
          <w:rFonts w:hint="cs"/>
          <w:rtl/>
        </w:rPr>
        <w:t xml:space="preserve">איך </w:t>
      </w:r>
      <w:bookmarkStart w:id="44193" w:name="_ETM_Q84_245100"/>
      <w:bookmarkEnd w:id="44193"/>
      <w:r>
        <w:rPr>
          <w:rFonts w:hint="cs"/>
          <w:rtl/>
        </w:rPr>
        <w:t xml:space="preserve">הם </w:t>
      </w:r>
      <w:bookmarkStart w:id="44194" w:name="_ETM_Q84_245220"/>
      <w:bookmarkEnd w:id="44194"/>
      <w:r>
        <w:rPr>
          <w:rFonts w:hint="cs"/>
          <w:rtl/>
        </w:rPr>
        <w:t xml:space="preserve">הגיעו? </w:t>
      </w:r>
      <w:bookmarkStart w:id="44195" w:name="_ETM_Q84_246430"/>
      <w:bookmarkEnd w:id="44195"/>
      <w:r>
        <w:rPr>
          <w:rFonts w:hint="cs"/>
          <w:rtl/>
        </w:rPr>
        <w:t xml:space="preserve">אוטובוסים </w:t>
      </w:r>
      <w:bookmarkStart w:id="44196" w:name="_ETM_Q84_247240"/>
      <w:bookmarkEnd w:id="44196"/>
      <w:r>
        <w:rPr>
          <w:rFonts w:hint="cs"/>
          <w:rtl/>
        </w:rPr>
        <w:t xml:space="preserve">ממומנים, </w:t>
      </w:r>
      <w:bookmarkStart w:id="44197" w:name="_ETM_Q84_247360"/>
      <w:bookmarkStart w:id="44198" w:name="_ETM_Q84_248230"/>
      <w:bookmarkEnd w:id="44197"/>
      <w:bookmarkEnd w:id="44198"/>
      <w:r>
        <w:rPr>
          <w:rFonts w:hint="cs"/>
          <w:rtl/>
        </w:rPr>
        <w:t xml:space="preserve">רכבות, </w:t>
      </w:r>
      <w:bookmarkStart w:id="44199" w:name="_ETM_Q84_249640"/>
      <w:bookmarkEnd w:id="44199"/>
      <w:r>
        <w:rPr>
          <w:rFonts w:hint="cs"/>
          <w:rtl/>
        </w:rPr>
        <w:t xml:space="preserve">הכול </w:t>
      </w:r>
      <w:bookmarkStart w:id="44200" w:name="_ETM_Q84_250060"/>
      <w:bookmarkEnd w:id="44200"/>
      <w:r>
        <w:rPr>
          <w:rFonts w:hint="cs"/>
          <w:rtl/>
        </w:rPr>
        <w:t xml:space="preserve">כדי </w:t>
      </w:r>
      <w:bookmarkStart w:id="44201" w:name="_ETM_Q84_250300"/>
      <w:bookmarkEnd w:id="44201"/>
      <w:r>
        <w:rPr>
          <w:rFonts w:hint="cs"/>
          <w:rtl/>
        </w:rPr>
        <w:t xml:space="preserve">להביא </w:t>
      </w:r>
      <w:bookmarkStart w:id="44202" w:name="_ETM_Q84_250630"/>
      <w:bookmarkEnd w:id="44202"/>
      <w:r>
        <w:rPr>
          <w:rFonts w:hint="cs"/>
          <w:rtl/>
        </w:rPr>
        <w:t xml:space="preserve">אותם. </w:t>
      </w:r>
      <w:bookmarkStart w:id="44203" w:name="_ETM_Q84_251520"/>
      <w:bookmarkEnd w:id="44203"/>
    </w:p>
    <w:p w:rsidR="00BB59CD" w:rsidRDefault="00BB59CD" w:rsidP="00BB59CD">
      <w:pPr>
        <w:rPr>
          <w:rtl/>
        </w:rPr>
      </w:pPr>
    </w:p>
    <w:p w:rsidR="00BB59CD" w:rsidRDefault="00BB59CD" w:rsidP="00727E6B">
      <w:pPr>
        <w:rPr>
          <w:rtl/>
        </w:rPr>
      </w:pPr>
      <w:r>
        <w:rPr>
          <w:rFonts w:hint="cs"/>
          <w:rtl/>
        </w:rPr>
        <w:t xml:space="preserve">אבל </w:t>
      </w:r>
      <w:bookmarkStart w:id="44204" w:name="_ETM_Q84_251909"/>
      <w:bookmarkEnd w:id="44204"/>
      <w:r>
        <w:rPr>
          <w:rFonts w:hint="cs"/>
          <w:rtl/>
        </w:rPr>
        <w:t xml:space="preserve">אין </w:t>
      </w:r>
      <w:bookmarkStart w:id="44205" w:name="_ETM_Q84_252030"/>
      <w:bookmarkEnd w:id="44205"/>
      <w:r>
        <w:rPr>
          <w:rFonts w:hint="cs"/>
          <w:rtl/>
        </w:rPr>
        <w:t xml:space="preserve">פה </w:t>
      </w:r>
      <w:bookmarkStart w:id="44206" w:name="_ETM_Q84_252150"/>
      <w:bookmarkEnd w:id="44206"/>
      <w:r>
        <w:rPr>
          <w:rFonts w:hint="cs"/>
          <w:rtl/>
        </w:rPr>
        <w:t xml:space="preserve">תחרות </w:t>
      </w:r>
      <w:bookmarkStart w:id="44207" w:name="_ETM_Q84_252720"/>
      <w:bookmarkEnd w:id="44207"/>
      <w:r>
        <w:rPr>
          <w:rFonts w:hint="cs"/>
          <w:rtl/>
        </w:rPr>
        <w:t xml:space="preserve">איזה </w:t>
      </w:r>
      <w:bookmarkStart w:id="44208" w:name="_ETM_Q84_252959"/>
      <w:bookmarkEnd w:id="44208"/>
      <w:r>
        <w:rPr>
          <w:rFonts w:hint="cs"/>
          <w:rtl/>
        </w:rPr>
        <w:t xml:space="preserve">צד </w:t>
      </w:r>
      <w:bookmarkStart w:id="44209" w:name="_ETM_Q84_253170"/>
      <w:bookmarkEnd w:id="44209"/>
      <w:r>
        <w:rPr>
          <w:rFonts w:hint="cs"/>
          <w:rtl/>
        </w:rPr>
        <w:t xml:space="preserve">יותר </w:t>
      </w:r>
      <w:bookmarkStart w:id="44210" w:name="_ETM_Q84_253380"/>
      <w:bookmarkEnd w:id="44210"/>
      <w:r>
        <w:rPr>
          <w:rFonts w:hint="cs"/>
          <w:rtl/>
        </w:rPr>
        <w:t xml:space="preserve">חזק. </w:t>
      </w:r>
      <w:bookmarkStart w:id="44211" w:name="_ETM_Q84_254940"/>
      <w:bookmarkEnd w:id="44211"/>
      <w:r>
        <w:rPr>
          <w:rFonts w:hint="cs"/>
          <w:rtl/>
        </w:rPr>
        <w:t xml:space="preserve">יש </w:t>
      </w:r>
      <w:bookmarkStart w:id="44212" w:name="_ETM_Q84_255150"/>
      <w:bookmarkEnd w:id="44212"/>
      <w:r>
        <w:rPr>
          <w:rFonts w:hint="cs"/>
          <w:rtl/>
        </w:rPr>
        <w:t xml:space="preserve">פה </w:t>
      </w:r>
      <w:bookmarkStart w:id="44213" w:name="_ETM_Q84_255300"/>
      <w:bookmarkEnd w:id="44213"/>
      <w:r>
        <w:rPr>
          <w:rFonts w:hint="cs"/>
          <w:rtl/>
        </w:rPr>
        <w:t xml:space="preserve">את </w:t>
      </w:r>
      <w:bookmarkStart w:id="44214" w:name="_ETM_Q84_255390"/>
      <w:bookmarkEnd w:id="44214"/>
      <w:r>
        <w:rPr>
          <w:rFonts w:hint="cs"/>
          <w:rtl/>
        </w:rPr>
        <w:t xml:space="preserve">האמת, </w:t>
      </w:r>
      <w:bookmarkStart w:id="44215" w:name="_ETM_Q84_257170"/>
      <w:bookmarkEnd w:id="44215"/>
      <w:r>
        <w:rPr>
          <w:rFonts w:hint="cs"/>
          <w:rtl/>
        </w:rPr>
        <w:t xml:space="preserve">ואת </w:t>
      </w:r>
      <w:bookmarkStart w:id="44216" w:name="_ETM_Q84_257500"/>
      <w:bookmarkEnd w:id="44216"/>
      <w:r>
        <w:rPr>
          <w:rFonts w:hint="cs"/>
          <w:rtl/>
        </w:rPr>
        <w:t xml:space="preserve">האמת </w:t>
      </w:r>
      <w:bookmarkStart w:id="44217" w:name="_ETM_Q84_257799"/>
      <w:bookmarkEnd w:id="44217"/>
      <w:r>
        <w:rPr>
          <w:rFonts w:hint="cs"/>
          <w:rtl/>
        </w:rPr>
        <w:t xml:space="preserve">אני </w:t>
      </w:r>
      <w:bookmarkStart w:id="44218" w:name="_ETM_Q84_257950"/>
      <w:bookmarkEnd w:id="44218"/>
      <w:r>
        <w:rPr>
          <w:rFonts w:hint="cs"/>
          <w:rtl/>
        </w:rPr>
        <w:t xml:space="preserve">שם </w:t>
      </w:r>
      <w:bookmarkStart w:id="44219" w:name="_ETM_Q84_258159"/>
      <w:bookmarkEnd w:id="44219"/>
      <w:r>
        <w:rPr>
          <w:rFonts w:hint="cs"/>
          <w:rtl/>
        </w:rPr>
        <w:t xml:space="preserve">פה </w:t>
      </w:r>
      <w:bookmarkStart w:id="44220" w:name="_ETM_Q84_258280"/>
      <w:bookmarkEnd w:id="44220"/>
      <w:r>
        <w:rPr>
          <w:rFonts w:hint="cs"/>
          <w:rtl/>
        </w:rPr>
        <w:t xml:space="preserve">על </w:t>
      </w:r>
      <w:bookmarkStart w:id="44221" w:name="_ETM_Q84_258340"/>
      <w:bookmarkEnd w:id="44221"/>
      <w:r>
        <w:rPr>
          <w:rFonts w:hint="cs"/>
          <w:rtl/>
        </w:rPr>
        <w:t xml:space="preserve">השולחן. </w:t>
      </w:r>
      <w:bookmarkStart w:id="44222" w:name="_ETM_Q84_260750"/>
      <w:bookmarkEnd w:id="44222"/>
      <w:r>
        <w:rPr>
          <w:rFonts w:hint="cs"/>
          <w:rtl/>
        </w:rPr>
        <w:t xml:space="preserve">ממשלה </w:t>
      </w:r>
      <w:bookmarkStart w:id="44223" w:name="_ETM_Q84_261620"/>
      <w:bookmarkEnd w:id="44223"/>
      <w:r>
        <w:rPr>
          <w:rFonts w:hint="cs"/>
          <w:rtl/>
        </w:rPr>
        <w:t xml:space="preserve">שמצהירה </w:t>
      </w:r>
      <w:bookmarkStart w:id="44224" w:name="_ETM_Q84_262490"/>
      <w:bookmarkEnd w:id="44224"/>
      <w:r>
        <w:rPr>
          <w:rFonts w:hint="cs"/>
          <w:rtl/>
        </w:rPr>
        <w:t xml:space="preserve">שתגן </w:t>
      </w:r>
      <w:bookmarkStart w:id="44225" w:name="_ETM_Q84_263030"/>
      <w:bookmarkEnd w:id="44225"/>
      <w:r>
        <w:rPr>
          <w:rFonts w:hint="cs"/>
          <w:rtl/>
        </w:rPr>
        <w:t xml:space="preserve">על </w:t>
      </w:r>
      <w:bookmarkStart w:id="44226" w:name="_ETM_Q84_263120"/>
      <w:bookmarkEnd w:id="44226"/>
      <w:r>
        <w:rPr>
          <w:rFonts w:hint="cs"/>
          <w:rtl/>
        </w:rPr>
        <w:t xml:space="preserve">הקהילה </w:t>
      </w:r>
      <w:bookmarkStart w:id="44227" w:name="_ETM_Q84_263510"/>
      <w:bookmarkEnd w:id="44227"/>
      <w:r>
        <w:rPr>
          <w:rFonts w:hint="cs"/>
          <w:rtl/>
        </w:rPr>
        <w:t xml:space="preserve">הגאה, </w:t>
      </w:r>
      <w:bookmarkStart w:id="44228" w:name="_ETM_Q84_265130"/>
      <w:bookmarkEnd w:id="44228"/>
      <w:r>
        <w:rPr>
          <w:rFonts w:hint="cs"/>
          <w:rtl/>
        </w:rPr>
        <w:t xml:space="preserve">אבל </w:t>
      </w:r>
      <w:bookmarkStart w:id="44229" w:name="_ETM_Q84_265399"/>
      <w:bookmarkEnd w:id="44229"/>
      <w:r>
        <w:rPr>
          <w:rFonts w:hint="cs"/>
          <w:rtl/>
        </w:rPr>
        <w:t xml:space="preserve">בזמן </w:t>
      </w:r>
      <w:bookmarkStart w:id="44230" w:name="_ETM_Q84_265880"/>
      <w:bookmarkEnd w:id="44230"/>
      <w:r>
        <w:rPr>
          <w:rFonts w:hint="cs"/>
          <w:rtl/>
        </w:rPr>
        <w:t xml:space="preserve">שהיא </w:t>
      </w:r>
      <w:bookmarkStart w:id="44231" w:name="_ETM_Q84_266060"/>
      <w:bookmarkEnd w:id="44231"/>
      <w:r>
        <w:rPr>
          <w:rFonts w:hint="cs"/>
          <w:rtl/>
        </w:rPr>
        <w:t xml:space="preserve">אומרת </w:t>
      </w:r>
      <w:bookmarkStart w:id="44232" w:name="_ETM_Q84_266479"/>
      <w:bookmarkEnd w:id="44232"/>
      <w:r>
        <w:rPr>
          <w:rFonts w:hint="cs"/>
          <w:rtl/>
        </w:rPr>
        <w:t xml:space="preserve">שהיא </w:t>
      </w:r>
      <w:bookmarkStart w:id="44233" w:name="_ETM_Q84_266600"/>
      <w:bookmarkEnd w:id="44233"/>
      <w:r>
        <w:rPr>
          <w:rFonts w:hint="cs"/>
          <w:rtl/>
        </w:rPr>
        <w:t xml:space="preserve">תגן </w:t>
      </w:r>
      <w:bookmarkStart w:id="44234" w:name="_ETM_Q84_266959"/>
      <w:bookmarkEnd w:id="44234"/>
      <w:r>
        <w:rPr>
          <w:rFonts w:hint="cs"/>
          <w:rtl/>
        </w:rPr>
        <w:t xml:space="preserve">על </w:t>
      </w:r>
      <w:bookmarkStart w:id="44235" w:name="_ETM_Q84_267079"/>
      <w:bookmarkEnd w:id="44235"/>
      <w:r>
        <w:rPr>
          <w:rFonts w:hint="cs"/>
          <w:rtl/>
        </w:rPr>
        <w:t xml:space="preserve">הקהילה </w:t>
      </w:r>
      <w:bookmarkStart w:id="44236" w:name="_ETM_Q84_267469"/>
      <w:bookmarkEnd w:id="44236"/>
      <w:r>
        <w:rPr>
          <w:rFonts w:hint="cs"/>
          <w:rtl/>
        </w:rPr>
        <w:t xml:space="preserve">הגאה </w:t>
      </w:r>
      <w:bookmarkStart w:id="44237" w:name="_ETM_Q84_268600"/>
      <w:bookmarkEnd w:id="44237"/>
      <w:r>
        <w:rPr>
          <w:rFonts w:hint="cs"/>
          <w:rtl/>
        </w:rPr>
        <w:t xml:space="preserve">עומד </w:t>
      </w:r>
      <w:bookmarkStart w:id="44238" w:name="_ETM_Q84_269080"/>
      <w:bookmarkEnd w:id="44238"/>
      <w:r>
        <w:rPr>
          <w:rFonts w:hint="cs"/>
          <w:rtl/>
        </w:rPr>
        <w:t xml:space="preserve">חבר </w:t>
      </w:r>
      <w:bookmarkStart w:id="44239" w:name="_ETM_Q84_269500"/>
      <w:bookmarkEnd w:id="44239"/>
      <w:r>
        <w:rPr>
          <w:rFonts w:hint="cs"/>
          <w:rtl/>
        </w:rPr>
        <w:t xml:space="preserve">כנסת </w:t>
      </w:r>
      <w:bookmarkStart w:id="44240" w:name="_ETM_Q84_270660"/>
      <w:bookmarkEnd w:id="44240"/>
      <w:r>
        <w:rPr>
          <w:rFonts w:hint="cs"/>
          <w:rtl/>
        </w:rPr>
        <w:t xml:space="preserve">מהקואליציה, </w:t>
      </w:r>
      <w:bookmarkStart w:id="44241" w:name="_ETM_Q84_272500"/>
      <w:bookmarkEnd w:id="44241"/>
      <w:r>
        <w:rPr>
          <w:rFonts w:hint="cs"/>
          <w:rtl/>
        </w:rPr>
        <w:t xml:space="preserve">חבר </w:t>
      </w:r>
      <w:bookmarkStart w:id="44242" w:name="_ETM_Q84_272979"/>
      <w:bookmarkEnd w:id="44242"/>
      <w:r>
        <w:rPr>
          <w:rFonts w:hint="cs"/>
          <w:rtl/>
        </w:rPr>
        <w:t xml:space="preserve">כנסת, </w:t>
      </w:r>
      <w:bookmarkStart w:id="44243" w:name="_ETM_Q84_273610"/>
      <w:bookmarkEnd w:id="44243"/>
      <w:r>
        <w:rPr>
          <w:rFonts w:hint="cs"/>
          <w:rtl/>
        </w:rPr>
        <w:t xml:space="preserve">כן, </w:t>
      </w:r>
      <w:bookmarkStart w:id="44244" w:name="_ETM_Q84_273880"/>
      <w:bookmarkEnd w:id="44244"/>
      <w:r>
        <w:rPr>
          <w:rFonts w:hint="cs"/>
          <w:rtl/>
        </w:rPr>
        <w:t xml:space="preserve">שמו </w:t>
      </w:r>
      <w:bookmarkStart w:id="44245" w:name="_ETM_Q84_274150"/>
      <w:bookmarkEnd w:id="44245"/>
      <w:r>
        <w:rPr>
          <w:rFonts w:hint="cs"/>
          <w:rtl/>
        </w:rPr>
        <w:t xml:space="preserve">פינדרוס, </w:t>
      </w:r>
      <w:bookmarkStart w:id="44246" w:name="_ETM_Q84_275560"/>
      <w:bookmarkEnd w:id="44246"/>
      <w:r>
        <w:rPr>
          <w:rFonts w:hint="cs"/>
          <w:rtl/>
        </w:rPr>
        <w:t xml:space="preserve">וטוען </w:t>
      </w:r>
      <w:bookmarkStart w:id="44247" w:name="_ETM_Q84_276069"/>
      <w:bookmarkEnd w:id="44247"/>
      <w:r>
        <w:rPr>
          <w:rFonts w:hint="cs"/>
          <w:rtl/>
        </w:rPr>
        <w:t xml:space="preserve">שקהילת </w:t>
      </w:r>
      <w:bookmarkStart w:id="44248" w:name="_ETM_Q84_276670"/>
      <w:bookmarkEnd w:id="44248"/>
      <w:r>
        <w:rPr>
          <w:rFonts w:hint="cs"/>
          <w:rtl/>
        </w:rPr>
        <w:t xml:space="preserve">הלהט"ב </w:t>
      </w:r>
      <w:bookmarkStart w:id="44249" w:name="_ETM_Q84_277390"/>
      <w:bookmarkEnd w:id="44249"/>
      <w:r>
        <w:rPr>
          <w:rFonts w:hint="cs"/>
          <w:rtl/>
        </w:rPr>
        <w:t xml:space="preserve">יותר </w:t>
      </w:r>
      <w:bookmarkStart w:id="44250" w:name="_ETM_Q84_278380"/>
      <w:bookmarkEnd w:id="44250"/>
      <w:r>
        <w:rPr>
          <w:rFonts w:hint="cs"/>
          <w:rtl/>
        </w:rPr>
        <w:t xml:space="preserve">מסוכנת </w:t>
      </w:r>
      <w:bookmarkStart w:id="44251" w:name="_ETM_Q84_279340"/>
      <w:bookmarkEnd w:id="44251"/>
      <w:r>
        <w:rPr>
          <w:rFonts w:hint="cs"/>
          <w:rtl/>
        </w:rPr>
        <w:t xml:space="preserve">מדאעש </w:t>
      </w:r>
      <w:bookmarkStart w:id="44252" w:name="_ETM_Q84_279850"/>
      <w:bookmarkEnd w:id="44252"/>
      <w:r>
        <w:rPr>
          <w:rFonts w:hint="cs"/>
          <w:rtl/>
        </w:rPr>
        <w:t xml:space="preserve">וחיזבאללה. </w:t>
      </w:r>
      <w:bookmarkStart w:id="44253" w:name="_ETM_Q84_281610"/>
      <w:bookmarkStart w:id="44254" w:name="_ETM_Q84_282060"/>
      <w:bookmarkEnd w:id="44253"/>
      <w:bookmarkEnd w:id="44254"/>
      <w:r>
        <w:rPr>
          <w:rFonts w:hint="cs"/>
          <w:rtl/>
        </w:rPr>
        <w:t xml:space="preserve">אלה </w:t>
      </w:r>
      <w:bookmarkStart w:id="44255" w:name="_ETM_Q84_282329"/>
      <w:bookmarkEnd w:id="44255"/>
      <w:r>
        <w:rPr>
          <w:rFonts w:hint="cs"/>
          <w:rtl/>
        </w:rPr>
        <w:t xml:space="preserve">המילים </w:t>
      </w:r>
      <w:bookmarkStart w:id="44256" w:name="_ETM_Q84_282720"/>
      <w:bookmarkEnd w:id="44256"/>
      <w:r>
        <w:rPr>
          <w:rFonts w:hint="cs"/>
          <w:rtl/>
        </w:rPr>
        <w:t xml:space="preserve">שפינדרוס </w:t>
      </w:r>
      <w:bookmarkStart w:id="44257" w:name="_ETM_Q84_283229"/>
      <w:bookmarkEnd w:id="44257"/>
      <w:r>
        <w:rPr>
          <w:rFonts w:hint="cs"/>
          <w:rtl/>
        </w:rPr>
        <w:t xml:space="preserve">הוציא </w:t>
      </w:r>
      <w:bookmarkStart w:id="44258" w:name="_ETM_Q84_283470"/>
      <w:bookmarkEnd w:id="44258"/>
      <w:r>
        <w:rPr>
          <w:rFonts w:hint="cs"/>
          <w:rtl/>
        </w:rPr>
        <w:t xml:space="preserve">מהפה </w:t>
      </w:r>
      <w:bookmarkStart w:id="44259" w:name="_ETM_Q84_283770"/>
      <w:bookmarkEnd w:id="44259"/>
      <w:r>
        <w:rPr>
          <w:rFonts w:hint="cs"/>
          <w:rtl/>
        </w:rPr>
        <w:t xml:space="preserve">שלו: </w:t>
      </w:r>
      <w:bookmarkStart w:id="44260" w:name="_ETM_Q84_287330"/>
      <w:bookmarkEnd w:id="44260"/>
      <w:r>
        <w:rPr>
          <w:rFonts w:hint="cs"/>
          <w:rtl/>
        </w:rPr>
        <w:t xml:space="preserve">יותר </w:t>
      </w:r>
      <w:bookmarkStart w:id="44261" w:name="_ETM_Q84_287630"/>
      <w:bookmarkEnd w:id="44261"/>
      <w:r>
        <w:rPr>
          <w:rFonts w:hint="cs"/>
          <w:rtl/>
        </w:rPr>
        <w:t xml:space="preserve">מסוכנים </w:t>
      </w:r>
      <w:bookmarkStart w:id="44262" w:name="_ETM_Q84_288230"/>
      <w:bookmarkEnd w:id="44262"/>
      <w:r>
        <w:rPr>
          <w:rFonts w:hint="cs"/>
          <w:rtl/>
        </w:rPr>
        <w:t xml:space="preserve">מחיזבאללה, </w:t>
      </w:r>
      <w:bookmarkStart w:id="44263" w:name="_ETM_Q84_289780"/>
      <w:bookmarkEnd w:id="44263"/>
      <w:r>
        <w:rPr>
          <w:rFonts w:hint="cs"/>
          <w:rtl/>
        </w:rPr>
        <w:t xml:space="preserve">והבן אדם </w:t>
      </w:r>
      <w:bookmarkStart w:id="44264" w:name="_ETM_Q84_290409"/>
      <w:bookmarkEnd w:id="44264"/>
      <w:r>
        <w:rPr>
          <w:rFonts w:hint="cs"/>
          <w:rtl/>
        </w:rPr>
        <w:t xml:space="preserve">הזה </w:t>
      </w:r>
      <w:bookmarkStart w:id="44265" w:name="_ETM_Q84_290649"/>
      <w:bookmarkEnd w:id="44265"/>
      <w:r>
        <w:rPr>
          <w:rFonts w:hint="cs"/>
          <w:rtl/>
        </w:rPr>
        <w:t xml:space="preserve">עדיין </w:t>
      </w:r>
      <w:bookmarkStart w:id="44266" w:name="_ETM_Q84_290950"/>
      <w:bookmarkEnd w:id="44266"/>
      <w:r>
        <w:rPr>
          <w:rFonts w:hint="cs"/>
          <w:rtl/>
        </w:rPr>
        <w:t xml:space="preserve">מסתובב </w:t>
      </w:r>
      <w:bookmarkStart w:id="44267" w:name="_ETM_Q84_291340"/>
      <w:bookmarkEnd w:id="44267"/>
      <w:r>
        <w:rPr>
          <w:rFonts w:hint="cs"/>
          <w:rtl/>
        </w:rPr>
        <w:t xml:space="preserve">פה </w:t>
      </w:r>
      <w:bookmarkStart w:id="44268" w:name="_ETM_Q84_291459"/>
      <w:bookmarkEnd w:id="44268"/>
      <w:r>
        <w:rPr>
          <w:rFonts w:hint="cs"/>
          <w:rtl/>
        </w:rPr>
        <w:t xml:space="preserve">בכנסת </w:t>
      </w:r>
      <w:bookmarkStart w:id="44269" w:name="_ETM_Q84_292440"/>
      <w:bookmarkEnd w:id="44269"/>
      <w:r>
        <w:rPr>
          <w:rFonts w:hint="cs"/>
          <w:rtl/>
        </w:rPr>
        <w:t xml:space="preserve">והוא </w:t>
      </w:r>
      <w:bookmarkStart w:id="44270" w:name="_ETM_Q84_292620"/>
      <w:bookmarkEnd w:id="44270"/>
      <w:r>
        <w:rPr>
          <w:rFonts w:hint="cs"/>
          <w:rtl/>
        </w:rPr>
        <w:t xml:space="preserve">עדיין </w:t>
      </w:r>
      <w:bookmarkStart w:id="44271" w:name="_ETM_Q84_292950"/>
      <w:bookmarkEnd w:id="44271"/>
      <w:r>
        <w:rPr>
          <w:rFonts w:hint="cs"/>
          <w:rtl/>
        </w:rPr>
        <w:t xml:space="preserve">חבר </w:t>
      </w:r>
      <w:bookmarkStart w:id="44272" w:name="_ETM_Q84_293250"/>
      <w:bookmarkEnd w:id="44272"/>
      <w:r>
        <w:rPr>
          <w:rFonts w:hint="cs"/>
          <w:rtl/>
        </w:rPr>
        <w:t xml:space="preserve">כנסת </w:t>
      </w:r>
      <w:bookmarkStart w:id="44273" w:name="_ETM_Q84_294359"/>
      <w:bookmarkEnd w:id="44273"/>
      <w:r>
        <w:rPr>
          <w:rFonts w:hint="cs"/>
          <w:rtl/>
        </w:rPr>
        <w:t xml:space="preserve">אחרי </w:t>
      </w:r>
      <w:bookmarkStart w:id="44274" w:name="_ETM_Q84_294659"/>
      <w:bookmarkEnd w:id="44274"/>
      <w:r>
        <w:rPr>
          <w:rFonts w:hint="cs"/>
          <w:rtl/>
        </w:rPr>
        <w:t xml:space="preserve">המילים </w:t>
      </w:r>
      <w:bookmarkStart w:id="44275" w:name="_ETM_Q84_295020"/>
      <w:bookmarkEnd w:id="44275"/>
      <w:r>
        <w:rPr>
          <w:rFonts w:hint="cs"/>
          <w:rtl/>
        </w:rPr>
        <w:t xml:space="preserve">שיצאו </w:t>
      </w:r>
      <w:bookmarkStart w:id="44276" w:name="_ETM_Q84_295319"/>
      <w:bookmarkEnd w:id="44276"/>
      <w:r>
        <w:rPr>
          <w:rFonts w:hint="cs"/>
          <w:rtl/>
        </w:rPr>
        <w:t xml:space="preserve">לו </w:t>
      </w:r>
      <w:bookmarkStart w:id="44277" w:name="_ETM_Q84_295439"/>
      <w:bookmarkEnd w:id="44277"/>
      <w:r>
        <w:rPr>
          <w:rFonts w:hint="cs"/>
          <w:rtl/>
        </w:rPr>
        <w:t xml:space="preserve">מהפה. </w:t>
      </w:r>
      <w:bookmarkStart w:id="44278" w:name="_ETM_Q84_297020"/>
      <w:bookmarkEnd w:id="44278"/>
      <w:r>
        <w:rPr>
          <w:rFonts w:hint="cs"/>
          <w:rtl/>
        </w:rPr>
        <w:t xml:space="preserve">זה </w:t>
      </w:r>
      <w:bookmarkStart w:id="44279" w:name="_ETM_Q84_297259"/>
      <w:bookmarkEnd w:id="44279"/>
      <w:r>
        <w:rPr>
          <w:rFonts w:hint="cs"/>
          <w:rtl/>
        </w:rPr>
        <w:t xml:space="preserve">פשוט </w:t>
      </w:r>
      <w:bookmarkStart w:id="44280" w:name="_ETM_Q84_297619"/>
      <w:bookmarkEnd w:id="44280"/>
      <w:r>
        <w:rPr>
          <w:rFonts w:hint="cs"/>
          <w:rtl/>
        </w:rPr>
        <w:t xml:space="preserve">לא </w:t>
      </w:r>
      <w:bookmarkStart w:id="44281" w:name="_ETM_Q84_297709"/>
      <w:bookmarkEnd w:id="44281"/>
      <w:r>
        <w:rPr>
          <w:rFonts w:hint="cs"/>
          <w:rtl/>
        </w:rPr>
        <w:t>י</w:t>
      </w:r>
      <w:r w:rsidR="00727E6B">
        <w:rPr>
          <w:rFonts w:hint="cs"/>
          <w:rtl/>
        </w:rPr>
        <w:t>י</w:t>
      </w:r>
      <w:r>
        <w:rPr>
          <w:rFonts w:hint="cs"/>
          <w:rtl/>
        </w:rPr>
        <w:t xml:space="preserve">אמן. </w:t>
      </w:r>
      <w:bookmarkStart w:id="44282" w:name="_ETM_Q84_298779"/>
      <w:bookmarkEnd w:id="44282"/>
      <w:r>
        <w:rPr>
          <w:rFonts w:hint="cs"/>
          <w:rtl/>
        </w:rPr>
        <w:t xml:space="preserve">יושבים </w:t>
      </w:r>
      <w:bookmarkStart w:id="44283" w:name="_ETM_Q84_299229"/>
      <w:bookmarkEnd w:id="44283"/>
      <w:r>
        <w:rPr>
          <w:rFonts w:hint="cs"/>
          <w:rtl/>
        </w:rPr>
        <w:t xml:space="preserve">אנשים, </w:t>
      </w:r>
      <w:bookmarkStart w:id="44284" w:name="_ETM_Q84_300409"/>
      <w:bookmarkEnd w:id="44284"/>
      <w:r>
        <w:rPr>
          <w:rFonts w:hint="cs"/>
          <w:rtl/>
        </w:rPr>
        <w:t xml:space="preserve">כן, </w:t>
      </w:r>
      <w:bookmarkStart w:id="44285" w:name="_ETM_Q84_300829"/>
      <w:bookmarkEnd w:id="44285"/>
      <w:r>
        <w:rPr>
          <w:rFonts w:hint="cs"/>
          <w:rtl/>
        </w:rPr>
        <w:t xml:space="preserve">חלק </w:t>
      </w:r>
      <w:bookmarkStart w:id="44286" w:name="_ETM_Q84_301159"/>
      <w:bookmarkEnd w:id="44286"/>
      <w:r>
        <w:rPr>
          <w:rFonts w:hint="cs"/>
          <w:rtl/>
        </w:rPr>
        <w:t xml:space="preserve">מהקהילה </w:t>
      </w:r>
      <w:bookmarkStart w:id="44287" w:name="_ETM_Q84_301579"/>
      <w:bookmarkEnd w:id="44287"/>
      <w:r>
        <w:rPr>
          <w:rFonts w:hint="cs"/>
          <w:rtl/>
        </w:rPr>
        <w:t xml:space="preserve">הגאה, </w:t>
      </w:r>
      <w:bookmarkStart w:id="44288" w:name="_ETM_Q84_302479"/>
      <w:bookmarkEnd w:id="44288"/>
      <w:r>
        <w:rPr>
          <w:rFonts w:hint="cs"/>
          <w:rtl/>
        </w:rPr>
        <w:t xml:space="preserve">גם </w:t>
      </w:r>
      <w:bookmarkStart w:id="44289" w:name="_ETM_Q84_302780"/>
      <w:bookmarkEnd w:id="44289"/>
      <w:r>
        <w:rPr>
          <w:rFonts w:hint="cs"/>
          <w:rtl/>
        </w:rPr>
        <w:t xml:space="preserve">אנשים </w:t>
      </w:r>
      <w:bookmarkStart w:id="44290" w:name="_ETM_Q84_303140"/>
      <w:bookmarkEnd w:id="44290"/>
      <w:r>
        <w:rPr>
          <w:rFonts w:hint="cs"/>
          <w:rtl/>
        </w:rPr>
        <w:t xml:space="preserve">צעירים </w:t>
      </w:r>
      <w:bookmarkStart w:id="44291" w:name="_ETM_Q84_304010"/>
      <w:bookmarkEnd w:id="44291"/>
      <w:r>
        <w:rPr>
          <w:rFonts w:hint="cs"/>
          <w:rtl/>
        </w:rPr>
        <w:t xml:space="preserve">שלא </w:t>
      </w:r>
      <w:bookmarkStart w:id="44292" w:name="_ETM_Q84_304310"/>
      <w:bookmarkEnd w:id="44292"/>
      <w:r>
        <w:rPr>
          <w:rFonts w:hint="cs"/>
          <w:rtl/>
        </w:rPr>
        <w:t xml:space="preserve">יצאו </w:t>
      </w:r>
      <w:bookmarkStart w:id="44293" w:name="_ETM_Q84_304610"/>
      <w:bookmarkEnd w:id="44293"/>
      <w:r>
        <w:rPr>
          <w:rFonts w:hint="cs"/>
          <w:rtl/>
        </w:rPr>
        <w:t xml:space="preserve">עדיין </w:t>
      </w:r>
      <w:bookmarkStart w:id="44294" w:name="_ETM_Q84_304940"/>
      <w:bookmarkEnd w:id="44294"/>
      <w:r>
        <w:rPr>
          <w:rFonts w:hint="cs"/>
          <w:rtl/>
        </w:rPr>
        <w:t xml:space="preserve">מהארון, </w:t>
      </w:r>
      <w:bookmarkStart w:id="44295" w:name="_ETM_Q84_305630"/>
      <w:bookmarkEnd w:id="44295"/>
      <w:r>
        <w:rPr>
          <w:rFonts w:hint="cs"/>
          <w:rtl/>
        </w:rPr>
        <w:t xml:space="preserve">ושומעים </w:t>
      </w:r>
      <w:bookmarkStart w:id="44296" w:name="_ETM_Q84_306080"/>
      <w:bookmarkEnd w:id="44296"/>
      <w:r>
        <w:rPr>
          <w:rFonts w:hint="cs"/>
          <w:rtl/>
        </w:rPr>
        <w:t xml:space="preserve">את </w:t>
      </w:r>
      <w:bookmarkStart w:id="44297" w:name="_ETM_Q84_306170"/>
      <w:bookmarkEnd w:id="44297"/>
      <w:r>
        <w:rPr>
          <w:rFonts w:hint="cs"/>
          <w:rtl/>
        </w:rPr>
        <w:t xml:space="preserve">הדברים </w:t>
      </w:r>
      <w:bookmarkStart w:id="44298" w:name="_ETM_Q84_306560"/>
      <w:bookmarkEnd w:id="44298"/>
      <w:r>
        <w:rPr>
          <w:rFonts w:hint="cs"/>
          <w:rtl/>
        </w:rPr>
        <w:t xml:space="preserve">האלה. </w:t>
      </w:r>
      <w:bookmarkStart w:id="44299" w:name="_ETM_Q84_307300"/>
      <w:bookmarkEnd w:id="44299"/>
      <w:r>
        <w:rPr>
          <w:rFonts w:hint="cs"/>
          <w:rtl/>
        </w:rPr>
        <w:t xml:space="preserve">איך </w:t>
      </w:r>
      <w:bookmarkStart w:id="44300" w:name="_ETM_Q84_307630"/>
      <w:bookmarkEnd w:id="44300"/>
      <w:r>
        <w:rPr>
          <w:rFonts w:hint="cs"/>
          <w:rtl/>
        </w:rPr>
        <w:t xml:space="preserve">ילד </w:t>
      </w:r>
      <w:bookmarkStart w:id="44301" w:name="_ETM_Q84_309550"/>
      <w:bookmarkEnd w:id="44301"/>
      <w:r>
        <w:rPr>
          <w:rFonts w:hint="cs"/>
          <w:rtl/>
        </w:rPr>
        <w:t xml:space="preserve">בן </w:t>
      </w:r>
      <w:bookmarkStart w:id="44302" w:name="_ETM_Q84_309790"/>
      <w:bookmarkEnd w:id="44302"/>
      <w:r>
        <w:rPr>
          <w:rFonts w:hint="cs"/>
          <w:rtl/>
        </w:rPr>
        <w:t xml:space="preserve">16 </w:t>
      </w:r>
      <w:bookmarkStart w:id="44303" w:name="_ETM_Q84_311590"/>
      <w:bookmarkEnd w:id="44303"/>
      <w:r>
        <w:rPr>
          <w:rFonts w:hint="cs"/>
          <w:rtl/>
        </w:rPr>
        <w:t xml:space="preserve">שהוא </w:t>
      </w:r>
      <w:bookmarkStart w:id="44304" w:name="_ETM_Q84_311800"/>
      <w:bookmarkEnd w:id="44304"/>
      <w:r>
        <w:rPr>
          <w:rFonts w:hint="cs"/>
          <w:rtl/>
        </w:rPr>
        <w:t xml:space="preserve">מהקהילה </w:t>
      </w:r>
      <w:bookmarkStart w:id="44305" w:name="_ETM_Q84_312280"/>
      <w:bookmarkEnd w:id="44305"/>
      <w:r>
        <w:rPr>
          <w:rFonts w:hint="cs"/>
          <w:rtl/>
        </w:rPr>
        <w:t xml:space="preserve">הגאה </w:t>
      </w:r>
      <w:bookmarkStart w:id="44306" w:name="_ETM_Q84_313400"/>
      <w:bookmarkEnd w:id="44306"/>
      <w:r>
        <w:rPr>
          <w:rFonts w:hint="cs"/>
          <w:rtl/>
        </w:rPr>
        <w:t xml:space="preserve">יכול </w:t>
      </w:r>
      <w:bookmarkStart w:id="44307" w:name="_ETM_Q84_313730"/>
      <w:bookmarkEnd w:id="44307"/>
      <w:r>
        <w:rPr>
          <w:rFonts w:hint="cs"/>
          <w:rtl/>
        </w:rPr>
        <w:t xml:space="preserve">להרגיש </w:t>
      </w:r>
      <w:bookmarkStart w:id="44308" w:name="_ETM_Q84_314569"/>
      <w:bookmarkEnd w:id="44308"/>
      <w:r>
        <w:rPr>
          <w:rFonts w:hint="cs"/>
          <w:rtl/>
        </w:rPr>
        <w:t xml:space="preserve">כשמדברים </w:t>
      </w:r>
      <w:bookmarkStart w:id="44309" w:name="_ETM_Q84_315139"/>
      <w:bookmarkEnd w:id="44309"/>
      <w:r>
        <w:rPr>
          <w:rFonts w:hint="cs"/>
          <w:rtl/>
        </w:rPr>
        <w:t xml:space="preserve">אליו </w:t>
      </w:r>
      <w:bookmarkStart w:id="44310" w:name="_ETM_Q84_315319"/>
      <w:bookmarkEnd w:id="44310"/>
      <w:r>
        <w:rPr>
          <w:rFonts w:hint="cs"/>
          <w:rtl/>
        </w:rPr>
        <w:t xml:space="preserve">בצורה </w:t>
      </w:r>
      <w:bookmarkStart w:id="44311" w:name="_ETM_Q84_315680"/>
      <w:bookmarkEnd w:id="44311"/>
      <w:r>
        <w:rPr>
          <w:rFonts w:hint="cs"/>
          <w:rtl/>
        </w:rPr>
        <w:t xml:space="preserve">כזאת </w:t>
      </w:r>
      <w:bookmarkStart w:id="44312" w:name="_ETM_Q84_316370"/>
      <w:bookmarkEnd w:id="44312"/>
      <w:r>
        <w:rPr>
          <w:rFonts w:hint="cs"/>
          <w:rtl/>
        </w:rPr>
        <w:t xml:space="preserve">בבית </w:t>
      </w:r>
      <w:bookmarkStart w:id="44313" w:name="_ETM_Q84_316819"/>
      <w:bookmarkEnd w:id="44313"/>
      <w:r>
        <w:rPr>
          <w:rFonts w:hint="cs"/>
          <w:rtl/>
        </w:rPr>
        <w:t xml:space="preserve">המחוקקים </w:t>
      </w:r>
      <w:bookmarkStart w:id="44314" w:name="_ETM_Q84_317480"/>
      <w:bookmarkEnd w:id="44314"/>
      <w:r>
        <w:rPr>
          <w:rFonts w:hint="cs"/>
          <w:rtl/>
        </w:rPr>
        <w:t xml:space="preserve">של </w:t>
      </w:r>
      <w:bookmarkStart w:id="44315" w:name="_ETM_Q84_317629"/>
      <w:bookmarkEnd w:id="44315"/>
      <w:r>
        <w:rPr>
          <w:rFonts w:hint="cs"/>
          <w:rtl/>
        </w:rPr>
        <w:t xml:space="preserve">מדינת </w:t>
      </w:r>
      <w:bookmarkStart w:id="44316" w:name="_ETM_Q84_317989"/>
      <w:bookmarkEnd w:id="44316"/>
      <w:r>
        <w:rPr>
          <w:rFonts w:hint="cs"/>
          <w:rtl/>
        </w:rPr>
        <w:t xml:space="preserve">ישראל? </w:t>
      </w:r>
      <w:bookmarkStart w:id="44317" w:name="_ETM_Q84_319300"/>
      <w:bookmarkEnd w:id="44317"/>
    </w:p>
    <w:p w:rsidR="00BB59CD" w:rsidRDefault="00BB59CD" w:rsidP="00BB59CD">
      <w:pPr>
        <w:rPr>
          <w:rtl/>
        </w:rPr>
      </w:pPr>
    </w:p>
    <w:p w:rsidR="00BB59CD" w:rsidRDefault="00BB59CD" w:rsidP="00727E6B">
      <w:pPr>
        <w:rPr>
          <w:rtl/>
        </w:rPr>
      </w:pPr>
      <w:r>
        <w:rPr>
          <w:rFonts w:hint="cs"/>
          <w:rtl/>
        </w:rPr>
        <w:t xml:space="preserve">ממשלה </w:t>
      </w:r>
      <w:bookmarkStart w:id="44318" w:name="_ETM_Q84_319960"/>
      <w:bookmarkEnd w:id="44318"/>
      <w:r>
        <w:rPr>
          <w:rFonts w:hint="cs"/>
          <w:rtl/>
        </w:rPr>
        <w:t xml:space="preserve">שמדברת </w:t>
      </w:r>
      <w:bookmarkStart w:id="44319" w:name="_ETM_Q84_320710"/>
      <w:bookmarkEnd w:id="44319"/>
      <w:r>
        <w:rPr>
          <w:rFonts w:hint="cs"/>
          <w:rtl/>
        </w:rPr>
        <w:t xml:space="preserve">על כך </w:t>
      </w:r>
      <w:bookmarkStart w:id="44320" w:name="_ETM_Q84_321100"/>
      <w:bookmarkEnd w:id="44320"/>
      <w:r>
        <w:rPr>
          <w:rFonts w:hint="cs"/>
          <w:rtl/>
        </w:rPr>
        <w:t xml:space="preserve">שהמפגינים </w:t>
      </w:r>
      <w:bookmarkStart w:id="44321" w:name="_ETM_Q84_322180"/>
      <w:bookmarkEnd w:id="44321"/>
      <w:r>
        <w:rPr>
          <w:rFonts w:hint="cs"/>
          <w:rtl/>
        </w:rPr>
        <w:t xml:space="preserve">פוגעים </w:t>
      </w:r>
      <w:bookmarkStart w:id="44322" w:name="_ETM_Q84_322630"/>
      <w:bookmarkEnd w:id="44322"/>
      <w:r>
        <w:rPr>
          <w:rFonts w:hint="cs"/>
          <w:rtl/>
        </w:rPr>
        <w:t xml:space="preserve">בחופש </w:t>
      </w:r>
      <w:bookmarkStart w:id="44323" w:name="_ETM_Q84_323080"/>
      <w:bookmarkEnd w:id="44323"/>
      <w:r>
        <w:rPr>
          <w:rFonts w:hint="cs"/>
          <w:rtl/>
        </w:rPr>
        <w:t xml:space="preserve">התנועה, </w:t>
      </w:r>
      <w:bookmarkStart w:id="44324" w:name="_ETM_Q84_324780"/>
      <w:bookmarkEnd w:id="44324"/>
      <w:r>
        <w:rPr>
          <w:rFonts w:hint="cs"/>
          <w:rtl/>
        </w:rPr>
        <w:t xml:space="preserve">אבל </w:t>
      </w:r>
      <w:bookmarkStart w:id="44325" w:name="_ETM_Q84_325169"/>
      <w:bookmarkEnd w:id="44325"/>
      <w:r>
        <w:rPr>
          <w:rFonts w:hint="cs"/>
          <w:rtl/>
        </w:rPr>
        <w:t xml:space="preserve">התנועה </w:t>
      </w:r>
      <w:bookmarkStart w:id="44326" w:name="_ETM_Q84_326240"/>
      <w:bookmarkEnd w:id="44326"/>
      <w:r>
        <w:rPr>
          <w:rFonts w:hint="cs"/>
          <w:rtl/>
        </w:rPr>
        <w:t xml:space="preserve">נעצרת </w:t>
      </w:r>
      <w:bookmarkStart w:id="44327" w:name="_ETM_Q84_327880"/>
      <w:bookmarkEnd w:id="44327"/>
      <w:r>
        <w:rPr>
          <w:rFonts w:hint="cs"/>
          <w:rtl/>
        </w:rPr>
        <w:t xml:space="preserve">בשבתות, </w:t>
      </w:r>
      <w:bookmarkStart w:id="44328" w:name="_ETM_Q84_329180"/>
      <w:bookmarkEnd w:id="44328"/>
      <w:r>
        <w:rPr>
          <w:rFonts w:hint="cs"/>
          <w:rtl/>
        </w:rPr>
        <w:t xml:space="preserve">גם </w:t>
      </w:r>
      <w:bookmarkStart w:id="44329" w:name="_ETM_Q84_329510"/>
      <w:bookmarkEnd w:id="44329"/>
      <w:r>
        <w:rPr>
          <w:rFonts w:hint="cs"/>
          <w:rtl/>
        </w:rPr>
        <w:t xml:space="preserve">במקומות </w:t>
      </w:r>
      <w:bookmarkStart w:id="44330" w:name="_ETM_Q84_329990"/>
      <w:bookmarkEnd w:id="44330"/>
      <w:r>
        <w:rPr>
          <w:rFonts w:hint="cs"/>
          <w:rtl/>
        </w:rPr>
        <w:t xml:space="preserve">חילוניים </w:t>
      </w:r>
      <w:bookmarkStart w:id="44331" w:name="_ETM_Q84_330950"/>
      <w:bookmarkEnd w:id="44331"/>
      <w:r>
        <w:rPr>
          <w:rFonts w:hint="cs"/>
          <w:rtl/>
        </w:rPr>
        <w:t xml:space="preserve">לא </w:t>
      </w:r>
      <w:bookmarkStart w:id="44332" w:name="_ETM_Q84_331160"/>
      <w:bookmarkEnd w:id="44332"/>
      <w:r>
        <w:rPr>
          <w:rFonts w:hint="cs"/>
          <w:rtl/>
        </w:rPr>
        <w:t xml:space="preserve">מאפשרים </w:t>
      </w:r>
      <w:bookmarkStart w:id="44333" w:name="_ETM_Q84_331760"/>
      <w:bookmarkEnd w:id="44333"/>
      <w:r>
        <w:rPr>
          <w:rFonts w:hint="cs"/>
          <w:rtl/>
        </w:rPr>
        <w:t xml:space="preserve">לאנשים </w:t>
      </w:r>
      <w:bookmarkStart w:id="44334" w:name="_ETM_Q84_332120"/>
      <w:bookmarkEnd w:id="44334"/>
      <w:r>
        <w:rPr>
          <w:rFonts w:hint="cs"/>
          <w:rtl/>
        </w:rPr>
        <w:t xml:space="preserve">לנסוע. </w:t>
      </w:r>
      <w:bookmarkStart w:id="44335" w:name="_ETM_Q84_334120"/>
      <w:bookmarkEnd w:id="44335"/>
      <w:r>
        <w:rPr>
          <w:rFonts w:hint="cs"/>
          <w:rtl/>
        </w:rPr>
        <w:t xml:space="preserve">עכשיו </w:t>
      </w:r>
      <w:bookmarkStart w:id="44336" w:name="_ETM_Q84_334389"/>
      <w:bookmarkEnd w:id="44336"/>
      <w:r>
        <w:rPr>
          <w:rFonts w:hint="cs"/>
          <w:rtl/>
        </w:rPr>
        <w:t xml:space="preserve">מדברים </w:t>
      </w:r>
      <w:bookmarkStart w:id="44337" w:name="_ETM_Q84_334780"/>
      <w:bookmarkEnd w:id="44337"/>
      <w:r>
        <w:rPr>
          <w:rFonts w:hint="cs"/>
          <w:rtl/>
        </w:rPr>
        <w:t xml:space="preserve">על </w:t>
      </w:r>
      <w:bookmarkStart w:id="44338" w:name="_ETM_Q84_334870"/>
      <w:bookmarkEnd w:id="44338"/>
      <w:r>
        <w:rPr>
          <w:rFonts w:hint="cs"/>
          <w:rtl/>
        </w:rPr>
        <w:t xml:space="preserve">חופש </w:t>
      </w:r>
      <w:bookmarkStart w:id="44339" w:name="_ETM_Q84_335169"/>
      <w:bookmarkEnd w:id="44339"/>
      <w:r>
        <w:rPr>
          <w:rFonts w:hint="cs"/>
          <w:rtl/>
        </w:rPr>
        <w:t xml:space="preserve">התנועה? </w:t>
      </w:r>
      <w:bookmarkStart w:id="44340" w:name="_ETM_Q84_335620"/>
      <w:bookmarkEnd w:id="44340"/>
      <w:r>
        <w:rPr>
          <w:rFonts w:hint="cs"/>
          <w:rtl/>
        </w:rPr>
        <w:t xml:space="preserve">הוא </w:t>
      </w:r>
      <w:bookmarkStart w:id="44341" w:name="_ETM_Q84_335739"/>
      <w:bookmarkEnd w:id="44341"/>
      <w:r>
        <w:rPr>
          <w:rFonts w:hint="cs"/>
          <w:rtl/>
        </w:rPr>
        <w:t xml:space="preserve">צריך </w:t>
      </w:r>
      <w:bookmarkStart w:id="44342" w:name="_ETM_Q84_336010"/>
      <w:bookmarkEnd w:id="44342"/>
      <w:r>
        <w:rPr>
          <w:rFonts w:hint="cs"/>
          <w:rtl/>
        </w:rPr>
        <w:t xml:space="preserve">להיות בשני </w:t>
      </w:r>
      <w:bookmarkStart w:id="44343" w:name="_ETM_Q84_336280"/>
      <w:bookmarkEnd w:id="44343"/>
      <w:r>
        <w:rPr>
          <w:rFonts w:hint="cs"/>
          <w:rtl/>
        </w:rPr>
        <w:t>הכיוונים</w:t>
      </w:r>
      <w:r w:rsidR="00727E6B">
        <w:rPr>
          <w:rFonts w:hint="cs"/>
          <w:rtl/>
        </w:rPr>
        <w:t>;</w:t>
      </w:r>
      <w:r>
        <w:rPr>
          <w:rFonts w:hint="cs"/>
          <w:rtl/>
        </w:rPr>
        <w:t xml:space="preserve"> </w:t>
      </w:r>
      <w:bookmarkStart w:id="44344" w:name="_ETM_Q84_338010"/>
      <w:bookmarkEnd w:id="44344"/>
      <w:r>
        <w:rPr>
          <w:rFonts w:hint="cs"/>
          <w:rtl/>
        </w:rPr>
        <w:t xml:space="preserve">ממשלה </w:t>
      </w:r>
      <w:bookmarkStart w:id="44345" w:name="_ETM_Q84_338580"/>
      <w:bookmarkEnd w:id="44345"/>
      <w:r>
        <w:rPr>
          <w:rFonts w:hint="cs"/>
          <w:rtl/>
        </w:rPr>
        <w:t xml:space="preserve">שמגבה </w:t>
      </w:r>
      <w:bookmarkStart w:id="44346" w:name="_ETM_Q84_339150"/>
      <w:bookmarkEnd w:id="44346"/>
      <w:r>
        <w:rPr>
          <w:rFonts w:hint="cs"/>
          <w:rtl/>
        </w:rPr>
        <w:t xml:space="preserve">שורפי </w:t>
      </w:r>
      <w:bookmarkStart w:id="44347" w:name="_ETM_Q84_339600"/>
      <w:bookmarkEnd w:id="44347"/>
      <w:r>
        <w:rPr>
          <w:rFonts w:hint="cs"/>
          <w:rtl/>
        </w:rPr>
        <w:t xml:space="preserve">בתים </w:t>
      </w:r>
      <w:bookmarkStart w:id="44348" w:name="_ETM_Q84_339960"/>
      <w:bookmarkEnd w:id="44348"/>
      <w:r>
        <w:rPr>
          <w:rFonts w:hint="cs"/>
          <w:rtl/>
        </w:rPr>
        <w:t xml:space="preserve">על </w:t>
      </w:r>
      <w:bookmarkStart w:id="44349" w:name="_ETM_Q84_340050"/>
      <w:bookmarkEnd w:id="44349"/>
      <w:r>
        <w:rPr>
          <w:rFonts w:hint="cs"/>
          <w:rtl/>
        </w:rPr>
        <w:t xml:space="preserve">יושביהם </w:t>
      </w:r>
      <w:bookmarkStart w:id="44350" w:name="_ETM_Q84_341470"/>
      <w:bookmarkStart w:id="44351" w:name="_ETM_Q84_341590"/>
      <w:bookmarkEnd w:id="44350"/>
      <w:bookmarkEnd w:id="44351"/>
      <w:r>
        <w:rPr>
          <w:rFonts w:hint="cs"/>
          <w:rtl/>
        </w:rPr>
        <w:t xml:space="preserve">ומרשה </w:t>
      </w:r>
      <w:bookmarkStart w:id="44352" w:name="_ETM_Q84_341980"/>
      <w:bookmarkEnd w:id="44352"/>
      <w:r>
        <w:rPr>
          <w:rFonts w:hint="cs"/>
          <w:rtl/>
        </w:rPr>
        <w:t xml:space="preserve">לעצמה </w:t>
      </w:r>
      <w:bookmarkStart w:id="44353" w:name="_ETM_Q84_342430"/>
      <w:bookmarkEnd w:id="44353"/>
      <w:r>
        <w:rPr>
          <w:rFonts w:hint="cs"/>
          <w:rtl/>
        </w:rPr>
        <w:t xml:space="preserve">להלין </w:t>
      </w:r>
      <w:bookmarkStart w:id="44354" w:name="_ETM_Q84_342970"/>
      <w:bookmarkEnd w:id="44354"/>
      <w:r>
        <w:rPr>
          <w:rFonts w:hint="cs"/>
          <w:rtl/>
        </w:rPr>
        <w:t xml:space="preserve">על </w:t>
      </w:r>
      <w:bookmarkStart w:id="44355" w:name="_ETM_Q84_343090"/>
      <w:bookmarkEnd w:id="44355"/>
      <w:r>
        <w:rPr>
          <w:rFonts w:hint="cs"/>
          <w:rtl/>
        </w:rPr>
        <w:t xml:space="preserve">הפרת </w:t>
      </w:r>
      <w:bookmarkStart w:id="44356" w:name="_ETM_Q84_343540"/>
      <w:bookmarkEnd w:id="44356"/>
      <w:r>
        <w:rPr>
          <w:rFonts w:hint="cs"/>
          <w:rtl/>
        </w:rPr>
        <w:t xml:space="preserve">הסדר </w:t>
      </w:r>
      <w:bookmarkStart w:id="44357" w:name="_ETM_Q84_343959"/>
      <w:bookmarkEnd w:id="44357"/>
      <w:r>
        <w:rPr>
          <w:rFonts w:hint="cs"/>
          <w:rtl/>
        </w:rPr>
        <w:t>הציבורי</w:t>
      </w:r>
      <w:r w:rsidR="00727E6B">
        <w:rPr>
          <w:rFonts w:hint="cs"/>
          <w:rtl/>
        </w:rPr>
        <w:t>;</w:t>
      </w:r>
      <w:r>
        <w:rPr>
          <w:rFonts w:hint="cs"/>
          <w:rtl/>
        </w:rPr>
        <w:t xml:space="preserve"> </w:t>
      </w:r>
      <w:bookmarkStart w:id="44358" w:name="_ETM_Q84_345209"/>
      <w:bookmarkEnd w:id="44358"/>
      <w:r>
        <w:rPr>
          <w:rFonts w:hint="cs"/>
          <w:rtl/>
        </w:rPr>
        <w:t xml:space="preserve">ממשלה </w:t>
      </w:r>
      <w:bookmarkStart w:id="44359" w:name="_ETM_Q84_345870"/>
      <w:bookmarkStart w:id="44360" w:name="_ETM_Q84_346079"/>
      <w:bookmarkEnd w:id="44359"/>
      <w:bookmarkEnd w:id="44360"/>
      <w:r>
        <w:rPr>
          <w:rFonts w:hint="cs"/>
          <w:rtl/>
        </w:rPr>
        <w:t xml:space="preserve">שהבטיחה </w:t>
      </w:r>
      <w:bookmarkStart w:id="44361" w:name="_ETM_Q84_347099"/>
      <w:bookmarkEnd w:id="44361"/>
      <w:r>
        <w:rPr>
          <w:rFonts w:hint="cs"/>
          <w:rtl/>
        </w:rPr>
        <w:t xml:space="preserve">משילות </w:t>
      </w:r>
      <w:bookmarkStart w:id="44362" w:name="_ETM_Q84_347879"/>
      <w:bookmarkEnd w:id="44362"/>
      <w:r>
        <w:rPr>
          <w:rFonts w:hint="cs"/>
          <w:rtl/>
        </w:rPr>
        <w:t xml:space="preserve">וביטחון </w:t>
      </w:r>
      <w:bookmarkStart w:id="44363" w:name="_ETM_Q84_348450"/>
      <w:bookmarkEnd w:id="44363"/>
      <w:r>
        <w:rPr>
          <w:rFonts w:hint="cs"/>
          <w:rtl/>
        </w:rPr>
        <w:t xml:space="preserve">אישי </w:t>
      </w:r>
      <w:bookmarkStart w:id="44364" w:name="_ETM_Q84_349370"/>
      <w:bookmarkEnd w:id="44364"/>
      <w:r>
        <w:rPr>
          <w:rFonts w:hint="cs"/>
          <w:rtl/>
        </w:rPr>
        <w:t xml:space="preserve">ומתנהלת </w:t>
      </w:r>
      <w:bookmarkStart w:id="44365" w:name="_ETM_Q84_350060"/>
      <w:bookmarkEnd w:id="44365"/>
      <w:r>
        <w:rPr>
          <w:rFonts w:hint="cs"/>
          <w:rtl/>
        </w:rPr>
        <w:t xml:space="preserve">באוזלת </w:t>
      </w:r>
      <w:bookmarkStart w:id="44366" w:name="_ETM_Q84_350599"/>
      <w:bookmarkEnd w:id="44366"/>
      <w:r>
        <w:rPr>
          <w:rFonts w:hint="cs"/>
          <w:rtl/>
        </w:rPr>
        <w:t xml:space="preserve">יד </w:t>
      </w:r>
      <w:bookmarkStart w:id="44367" w:name="_ETM_Q84_350959"/>
      <w:bookmarkEnd w:id="44367"/>
      <w:r>
        <w:rPr>
          <w:rFonts w:hint="cs"/>
          <w:rtl/>
        </w:rPr>
        <w:t xml:space="preserve">למול </w:t>
      </w:r>
      <w:bookmarkStart w:id="44368" w:name="_ETM_Q84_351349"/>
      <w:bookmarkEnd w:id="44368"/>
      <w:r>
        <w:rPr>
          <w:rFonts w:hint="cs"/>
          <w:rtl/>
        </w:rPr>
        <w:t xml:space="preserve">הרצח </w:t>
      </w:r>
      <w:bookmarkStart w:id="44369" w:name="_ETM_Q84_351709"/>
      <w:bookmarkEnd w:id="44369"/>
      <w:r>
        <w:rPr>
          <w:rFonts w:hint="cs"/>
          <w:rtl/>
        </w:rPr>
        <w:t xml:space="preserve">בחברה </w:t>
      </w:r>
      <w:bookmarkStart w:id="44370" w:name="_ETM_Q84_352129"/>
      <w:bookmarkEnd w:id="44370"/>
      <w:r>
        <w:rPr>
          <w:rFonts w:hint="cs"/>
          <w:rtl/>
        </w:rPr>
        <w:t xml:space="preserve">הערבית. </w:t>
      </w:r>
      <w:bookmarkStart w:id="44371" w:name="_ETM_Q84_353010"/>
      <w:bookmarkEnd w:id="44371"/>
      <w:r>
        <w:rPr>
          <w:rFonts w:hint="cs"/>
          <w:rtl/>
        </w:rPr>
        <w:t xml:space="preserve">חברים </w:t>
      </w:r>
      <w:bookmarkStart w:id="44372" w:name="_ETM_Q84_353580"/>
      <w:bookmarkEnd w:id="44372"/>
      <w:r>
        <w:rPr>
          <w:rFonts w:hint="cs"/>
          <w:rtl/>
        </w:rPr>
        <w:t xml:space="preserve">יקרים, </w:t>
      </w:r>
      <w:bookmarkStart w:id="44373" w:name="_ETM_Q84_354450"/>
      <w:bookmarkEnd w:id="44373"/>
      <w:r>
        <w:rPr>
          <w:rFonts w:hint="cs"/>
          <w:rtl/>
        </w:rPr>
        <w:t xml:space="preserve">129 </w:t>
      </w:r>
      <w:bookmarkStart w:id="44374" w:name="_ETM_Q84_357919"/>
      <w:bookmarkEnd w:id="44374"/>
      <w:r>
        <w:rPr>
          <w:rFonts w:hint="cs"/>
          <w:rtl/>
        </w:rPr>
        <w:t xml:space="preserve">אזרחים </w:t>
      </w:r>
      <w:bookmarkStart w:id="44375" w:name="_ETM_Q84_358609"/>
      <w:bookmarkEnd w:id="44375"/>
      <w:r>
        <w:rPr>
          <w:rFonts w:hint="cs"/>
          <w:rtl/>
        </w:rPr>
        <w:t xml:space="preserve">מהחברה </w:t>
      </w:r>
      <w:bookmarkStart w:id="44376" w:name="_ETM_Q84_359180"/>
      <w:bookmarkEnd w:id="44376"/>
      <w:r>
        <w:rPr>
          <w:rFonts w:hint="cs"/>
          <w:rtl/>
        </w:rPr>
        <w:t xml:space="preserve">הערבית </w:t>
      </w:r>
      <w:bookmarkStart w:id="44377" w:name="_ETM_Q84_359629"/>
      <w:bookmarkEnd w:id="44377"/>
      <w:r>
        <w:rPr>
          <w:rFonts w:hint="cs"/>
          <w:rtl/>
        </w:rPr>
        <w:t xml:space="preserve">נרצחו </w:t>
      </w:r>
      <w:bookmarkStart w:id="44378" w:name="_ETM_Q84_360230"/>
      <w:bookmarkEnd w:id="44378"/>
      <w:r>
        <w:rPr>
          <w:rFonts w:hint="cs"/>
          <w:rtl/>
        </w:rPr>
        <w:t xml:space="preserve">מתחילת </w:t>
      </w:r>
      <w:bookmarkStart w:id="44379" w:name="_ETM_Q84_360620"/>
      <w:bookmarkEnd w:id="44379"/>
      <w:r>
        <w:rPr>
          <w:rFonts w:hint="cs"/>
          <w:rtl/>
        </w:rPr>
        <w:t xml:space="preserve">השנה. </w:t>
      </w:r>
      <w:bookmarkStart w:id="44380" w:name="_ETM_Q84_362400"/>
      <w:bookmarkEnd w:id="44380"/>
      <w:r>
        <w:rPr>
          <w:rFonts w:hint="cs"/>
          <w:rtl/>
        </w:rPr>
        <w:t xml:space="preserve">אנחנו </w:t>
      </w:r>
      <w:bookmarkStart w:id="44381" w:name="_ETM_Q84_362700"/>
      <w:bookmarkEnd w:id="44381"/>
      <w:r>
        <w:rPr>
          <w:rFonts w:hint="cs"/>
          <w:rtl/>
        </w:rPr>
        <w:t xml:space="preserve">בחודש </w:t>
      </w:r>
      <w:bookmarkStart w:id="44382" w:name="_ETM_Q84_363180"/>
      <w:bookmarkEnd w:id="44382"/>
      <w:r>
        <w:rPr>
          <w:rFonts w:hint="cs"/>
          <w:rtl/>
        </w:rPr>
        <w:t>יולי</w:t>
      </w:r>
      <w:bookmarkStart w:id="44383" w:name="_ETM_Q84_364269"/>
      <w:bookmarkEnd w:id="44383"/>
      <w:r>
        <w:rPr>
          <w:rFonts w:hint="cs"/>
          <w:rtl/>
        </w:rPr>
        <w:t xml:space="preserve">, 129 </w:t>
      </w:r>
      <w:bookmarkStart w:id="44384" w:name="_ETM_Q84_366189"/>
      <w:bookmarkEnd w:id="44384"/>
      <w:r>
        <w:rPr>
          <w:rFonts w:hint="cs"/>
          <w:rtl/>
        </w:rPr>
        <w:t xml:space="preserve">אזרחים </w:t>
      </w:r>
      <w:bookmarkStart w:id="44385" w:name="_ETM_Q84_366730"/>
      <w:bookmarkEnd w:id="44385"/>
      <w:r>
        <w:rPr>
          <w:rFonts w:hint="cs"/>
          <w:rtl/>
        </w:rPr>
        <w:t xml:space="preserve">נרצחו, </w:t>
      </w:r>
      <w:bookmarkStart w:id="44386" w:name="_ETM_Q84_369860"/>
      <w:bookmarkEnd w:id="44386"/>
      <w:r>
        <w:rPr>
          <w:rFonts w:hint="cs"/>
          <w:rtl/>
        </w:rPr>
        <w:t xml:space="preserve">ואיפה </w:t>
      </w:r>
      <w:bookmarkStart w:id="44387" w:name="_ETM_Q84_370310"/>
      <w:bookmarkStart w:id="44388" w:name="_ETM_Q84_370340"/>
      <w:bookmarkEnd w:id="44387"/>
      <w:bookmarkEnd w:id="44388"/>
      <w:r>
        <w:rPr>
          <w:rFonts w:hint="cs"/>
          <w:rtl/>
        </w:rPr>
        <w:t xml:space="preserve">נמצא </w:t>
      </w:r>
      <w:bookmarkStart w:id="44389" w:name="_ETM_Q84_370639"/>
      <w:bookmarkEnd w:id="44389"/>
      <w:r>
        <w:rPr>
          <w:rFonts w:hint="cs"/>
          <w:rtl/>
        </w:rPr>
        <w:t xml:space="preserve">שר </w:t>
      </w:r>
      <w:bookmarkStart w:id="44390" w:name="_ETM_Q84_370879"/>
      <w:bookmarkEnd w:id="44390"/>
      <w:r>
        <w:rPr>
          <w:rFonts w:hint="cs"/>
          <w:rtl/>
        </w:rPr>
        <w:t>הטיק</w:t>
      </w:r>
      <w:bookmarkStart w:id="44391" w:name="_ETM_Q84_371180"/>
      <w:bookmarkEnd w:id="44391"/>
      <w:r>
        <w:rPr>
          <w:rFonts w:hint="cs"/>
          <w:rtl/>
        </w:rPr>
        <w:t xml:space="preserve">טוק? </w:t>
      </w:r>
      <w:bookmarkStart w:id="44392" w:name="_ETM_Q84_372370"/>
      <w:bookmarkEnd w:id="44392"/>
      <w:r>
        <w:rPr>
          <w:rFonts w:hint="cs"/>
          <w:rtl/>
        </w:rPr>
        <w:t xml:space="preserve">איפה </w:t>
      </w:r>
      <w:bookmarkStart w:id="44393" w:name="_ETM_Q84_372700"/>
      <w:bookmarkEnd w:id="44393"/>
      <w:r>
        <w:rPr>
          <w:rFonts w:hint="cs"/>
          <w:rtl/>
        </w:rPr>
        <w:t xml:space="preserve">נמצא </w:t>
      </w:r>
      <w:bookmarkStart w:id="44394" w:name="_ETM_Q84_373150"/>
      <w:bookmarkEnd w:id="44394"/>
      <w:r>
        <w:rPr>
          <w:rFonts w:hint="cs"/>
          <w:rtl/>
        </w:rPr>
        <w:t xml:space="preserve">האדם </w:t>
      </w:r>
      <w:bookmarkStart w:id="44395" w:name="_ETM_Q84_373569"/>
      <w:bookmarkEnd w:id="44395"/>
      <w:r>
        <w:rPr>
          <w:rFonts w:hint="cs"/>
          <w:rtl/>
        </w:rPr>
        <w:t xml:space="preserve">שרץ </w:t>
      </w:r>
      <w:bookmarkStart w:id="44396" w:name="_ETM_Q84_374049"/>
      <w:bookmarkEnd w:id="44396"/>
      <w:r>
        <w:rPr>
          <w:rFonts w:hint="cs"/>
          <w:rtl/>
        </w:rPr>
        <w:t xml:space="preserve">לכל </w:t>
      </w:r>
      <w:bookmarkStart w:id="44397" w:name="_ETM_Q84_374590"/>
      <w:bookmarkEnd w:id="44397"/>
      <w:r>
        <w:rPr>
          <w:rFonts w:hint="cs"/>
          <w:rtl/>
        </w:rPr>
        <w:t xml:space="preserve">אירוע, </w:t>
      </w:r>
      <w:bookmarkStart w:id="44398" w:name="_ETM_Q84_375549"/>
      <w:bookmarkEnd w:id="44398"/>
      <w:r>
        <w:rPr>
          <w:rFonts w:hint="cs"/>
          <w:rtl/>
        </w:rPr>
        <w:t xml:space="preserve">פתח </w:t>
      </w:r>
      <w:bookmarkStart w:id="44399" w:name="_ETM_Q84_376030"/>
      <w:bookmarkEnd w:id="44399"/>
      <w:r>
        <w:rPr>
          <w:rFonts w:hint="cs"/>
          <w:rtl/>
        </w:rPr>
        <w:t xml:space="preserve">לשכות </w:t>
      </w:r>
      <w:bookmarkStart w:id="44400" w:name="_ETM_Q84_376599"/>
      <w:bookmarkEnd w:id="44400"/>
      <w:r>
        <w:rPr>
          <w:rFonts w:hint="cs"/>
          <w:rtl/>
        </w:rPr>
        <w:t xml:space="preserve">בכל </w:t>
      </w:r>
      <w:bookmarkStart w:id="44401" w:name="_ETM_Q84_376900"/>
      <w:bookmarkEnd w:id="44401"/>
      <w:r>
        <w:rPr>
          <w:rFonts w:hint="cs"/>
          <w:rtl/>
        </w:rPr>
        <w:t xml:space="preserve">מיני </w:t>
      </w:r>
      <w:bookmarkStart w:id="44402" w:name="_ETM_Q84_377049"/>
      <w:bookmarkEnd w:id="44402"/>
      <w:r>
        <w:rPr>
          <w:rFonts w:hint="cs"/>
          <w:rtl/>
        </w:rPr>
        <w:t xml:space="preserve">מקומות, </w:t>
      </w:r>
      <w:bookmarkStart w:id="44403" w:name="_ETM_Q84_379060"/>
      <w:bookmarkEnd w:id="44403"/>
      <w:r>
        <w:rPr>
          <w:rFonts w:hint="cs"/>
          <w:rtl/>
        </w:rPr>
        <w:t xml:space="preserve">הוציא </w:t>
      </w:r>
      <w:bookmarkStart w:id="44404" w:name="_ETM_Q84_379419"/>
      <w:bookmarkEnd w:id="44404"/>
      <w:r>
        <w:rPr>
          <w:rFonts w:hint="cs"/>
          <w:rtl/>
        </w:rPr>
        <w:t xml:space="preserve">את </w:t>
      </w:r>
      <w:bookmarkStart w:id="44405" w:name="_ETM_Q84_379510"/>
      <w:bookmarkEnd w:id="44405"/>
      <w:r>
        <w:rPr>
          <w:rFonts w:hint="cs"/>
          <w:rtl/>
        </w:rPr>
        <w:t xml:space="preserve">האקדח </w:t>
      </w:r>
      <w:bookmarkStart w:id="44406" w:name="_ETM_Q84_380019"/>
      <w:bookmarkEnd w:id="44406"/>
      <w:r>
        <w:rPr>
          <w:rFonts w:hint="cs"/>
          <w:rtl/>
        </w:rPr>
        <w:t xml:space="preserve">שלו </w:t>
      </w:r>
      <w:bookmarkStart w:id="44407" w:name="_ETM_Q84_380230"/>
      <w:bookmarkEnd w:id="44407"/>
      <w:r>
        <w:rPr>
          <w:rFonts w:hint="cs"/>
          <w:rtl/>
        </w:rPr>
        <w:t xml:space="preserve">ונפנף </w:t>
      </w:r>
      <w:bookmarkStart w:id="44408" w:name="_ETM_Q84_380799"/>
      <w:bookmarkEnd w:id="44408"/>
      <w:r>
        <w:rPr>
          <w:rFonts w:hint="cs"/>
          <w:rtl/>
        </w:rPr>
        <w:t xml:space="preserve">כמו </w:t>
      </w:r>
      <w:bookmarkStart w:id="44409" w:name="_ETM_Q84_381010"/>
      <w:bookmarkEnd w:id="44409"/>
      <w:r>
        <w:rPr>
          <w:rFonts w:hint="cs"/>
          <w:rtl/>
        </w:rPr>
        <w:t xml:space="preserve">איזה </w:t>
      </w:r>
      <w:bookmarkStart w:id="44410" w:name="_ETM_Q84_381189"/>
      <w:bookmarkEnd w:id="44410"/>
      <w:r>
        <w:rPr>
          <w:rFonts w:hint="cs"/>
          <w:rtl/>
        </w:rPr>
        <w:t xml:space="preserve">קאובוי? </w:t>
      </w:r>
      <w:bookmarkStart w:id="44411" w:name="_ETM_Q84_382560"/>
      <w:bookmarkEnd w:id="44411"/>
      <w:r>
        <w:rPr>
          <w:rFonts w:hint="cs"/>
          <w:rtl/>
        </w:rPr>
        <w:t xml:space="preserve">איפה </w:t>
      </w:r>
      <w:bookmarkStart w:id="44412" w:name="_ETM_Q84_382919"/>
      <w:bookmarkEnd w:id="44412"/>
      <w:r>
        <w:rPr>
          <w:rFonts w:hint="cs"/>
          <w:rtl/>
        </w:rPr>
        <w:t xml:space="preserve">הוא? </w:t>
      </w:r>
      <w:bookmarkStart w:id="44413" w:name="_ETM_Q84_384090"/>
      <w:bookmarkEnd w:id="44413"/>
      <w:r>
        <w:rPr>
          <w:rFonts w:hint="cs"/>
          <w:rtl/>
        </w:rPr>
        <w:t xml:space="preserve">איפה </w:t>
      </w:r>
      <w:bookmarkStart w:id="44414" w:name="_ETM_Q84_384419"/>
      <w:bookmarkEnd w:id="44414"/>
      <w:r>
        <w:rPr>
          <w:rFonts w:hint="cs"/>
          <w:rtl/>
        </w:rPr>
        <w:t xml:space="preserve">נמצא </w:t>
      </w:r>
      <w:bookmarkStart w:id="44415" w:name="_ETM_Q84_384750"/>
      <w:bookmarkEnd w:id="44415"/>
      <w:r>
        <w:rPr>
          <w:rFonts w:hint="cs"/>
          <w:rtl/>
        </w:rPr>
        <w:t xml:space="preserve">בן </w:t>
      </w:r>
      <w:bookmarkStart w:id="44416" w:name="_ETM_Q84_384960"/>
      <w:bookmarkEnd w:id="44416"/>
      <w:r>
        <w:rPr>
          <w:rFonts w:hint="cs"/>
          <w:rtl/>
        </w:rPr>
        <w:t xml:space="preserve">גביר? </w:t>
      </w:r>
      <w:bookmarkStart w:id="44417" w:name="_ETM_Q84_387010"/>
      <w:bookmarkEnd w:id="44417"/>
    </w:p>
    <w:p w:rsidR="00BB59CD" w:rsidRDefault="00BB59CD" w:rsidP="00BB59CD">
      <w:pPr>
        <w:rPr>
          <w:rtl/>
        </w:rPr>
      </w:pPr>
    </w:p>
    <w:p w:rsidR="00BB59CD" w:rsidRDefault="00BB59CD" w:rsidP="00727E6B">
      <w:pPr>
        <w:rPr>
          <w:rtl/>
        </w:rPr>
      </w:pPr>
      <w:r>
        <w:rPr>
          <w:rFonts w:hint="cs"/>
          <w:rtl/>
        </w:rPr>
        <w:t xml:space="preserve">ואני </w:t>
      </w:r>
      <w:bookmarkStart w:id="44418" w:name="_ETM_Q84_387339"/>
      <w:bookmarkEnd w:id="44418"/>
      <w:r>
        <w:rPr>
          <w:rFonts w:hint="cs"/>
          <w:rtl/>
        </w:rPr>
        <w:t>שואל</w:t>
      </w:r>
      <w:r w:rsidR="00727E6B">
        <w:rPr>
          <w:rFonts w:hint="cs"/>
          <w:rtl/>
        </w:rPr>
        <w:t>,</w:t>
      </w:r>
      <w:r>
        <w:rPr>
          <w:rFonts w:hint="cs"/>
          <w:rtl/>
        </w:rPr>
        <w:t xml:space="preserve"> </w:t>
      </w:r>
      <w:bookmarkStart w:id="44419" w:name="_ETM_Q84_387730"/>
      <w:bookmarkEnd w:id="44419"/>
      <w:r>
        <w:rPr>
          <w:rFonts w:hint="cs"/>
          <w:rtl/>
        </w:rPr>
        <w:t xml:space="preserve">ביבי: </w:t>
      </w:r>
      <w:bookmarkStart w:id="44420" w:name="_ETM_Q84_388180"/>
      <w:bookmarkEnd w:id="44420"/>
      <w:r>
        <w:rPr>
          <w:rFonts w:hint="cs"/>
          <w:rtl/>
        </w:rPr>
        <w:t xml:space="preserve">איך </w:t>
      </w:r>
      <w:bookmarkStart w:id="44421" w:name="_ETM_Q84_388839"/>
      <w:bookmarkEnd w:id="44421"/>
      <w:r>
        <w:rPr>
          <w:rFonts w:hint="cs"/>
          <w:rtl/>
        </w:rPr>
        <w:t xml:space="preserve">שמת </w:t>
      </w:r>
      <w:bookmarkStart w:id="44422" w:name="_ETM_Q84_389979"/>
      <w:bookmarkEnd w:id="44422"/>
      <w:r>
        <w:rPr>
          <w:rFonts w:hint="cs"/>
          <w:rtl/>
        </w:rPr>
        <w:t xml:space="preserve">אדם </w:t>
      </w:r>
      <w:bookmarkStart w:id="44423" w:name="_ETM_Q84_390579"/>
      <w:bookmarkEnd w:id="44423"/>
      <w:r>
        <w:rPr>
          <w:rFonts w:hint="cs"/>
          <w:rtl/>
        </w:rPr>
        <w:t>כזה</w:t>
      </w:r>
      <w:bookmarkStart w:id="44424" w:name="_ETM_Q84_391449"/>
      <w:bookmarkEnd w:id="44424"/>
      <w:r>
        <w:rPr>
          <w:rFonts w:hint="cs"/>
          <w:rtl/>
        </w:rPr>
        <w:t xml:space="preserve">, אדם </w:t>
      </w:r>
      <w:bookmarkStart w:id="44425" w:name="_ETM_Q84_392580"/>
      <w:bookmarkEnd w:id="44425"/>
      <w:r>
        <w:rPr>
          <w:rFonts w:hint="cs"/>
          <w:rtl/>
        </w:rPr>
        <w:t xml:space="preserve">עם </w:t>
      </w:r>
      <w:bookmarkStart w:id="44426" w:name="_ETM_Q84_392730"/>
      <w:bookmarkEnd w:id="44426"/>
      <w:r>
        <w:rPr>
          <w:rFonts w:hint="cs"/>
          <w:rtl/>
        </w:rPr>
        <w:t xml:space="preserve">כתבי </w:t>
      </w:r>
      <w:bookmarkStart w:id="44427" w:name="_ETM_Q84_393150"/>
      <w:bookmarkEnd w:id="44427"/>
      <w:r>
        <w:rPr>
          <w:rFonts w:hint="cs"/>
          <w:rtl/>
        </w:rPr>
        <w:t xml:space="preserve">אישום, </w:t>
      </w:r>
      <w:bookmarkStart w:id="44428" w:name="_ETM_Q84_393750"/>
      <w:bookmarkEnd w:id="44428"/>
      <w:r>
        <w:rPr>
          <w:rFonts w:hint="cs"/>
          <w:rtl/>
        </w:rPr>
        <w:t xml:space="preserve">אדם </w:t>
      </w:r>
      <w:bookmarkStart w:id="44429" w:name="_ETM_Q84_394139"/>
      <w:bookmarkEnd w:id="44429"/>
      <w:r>
        <w:rPr>
          <w:rFonts w:hint="cs"/>
          <w:rtl/>
        </w:rPr>
        <w:t xml:space="preserve">שהורשע, </w:t>
      </w:r>
      <w:bookmarkStart w:id="44430" w:name="_ETM_Q84_395560"/>
      <w:bookmarkEnd w:id="44430"/>
      <w:r>
        <w:rPr>
          <w:rFonts w:hint="cs"/>
          <w:rtl/>
        </w:rPr>
        <w:t xml:space="preserve">איך </w:t>
      </w:r>
      <w:bookmarkStart w:id="44431" w:name="_ETM_Q84_395920"/>
      <w:bookmarkEnd w:id="44431"/>
      <w:r>
        <w:rPr>
          <w:rFonts w:hint="cs"/>
          <w:rtl/>
        </w:rPr>
        <w:t xml:space="preserve">שמת </w:t>
      </w:r>
      <w:bookmarkStart w:id="44432" w:name="_ETM_Q84_396370"/>
      <w:bookmarkEnd w:id="44432"/>
      <w:r>
        <w:rPr>
          <w:rFonts w:hint="cs"/>
          <w:rtl/>
        </w:rPr>
        <w:t xml:space="preserve">אותו </w:t>
      </w:r>
      <w:bookmarkStart w:id="44433" w:name="_ETM_Q84_396580"/>
      <w:bookmarkEnd w:id="44433"/>
      <w:r>
        <w:rPr>
          <w:rFonts w:hint="cs"/>
          <w:rtl/>
        </w:rPr>
        <w:t xml:space="preserve">להיות </w:t>
      </w:r>
      <w:bookmarkStart w:id="44434" w:name="_ETM_Q84_397650"/>
      <w:bookmarkEnd w:id="44434"/>
      <w:r>
        <w:rPr>
          <w:rFonts w:hint="cs"/>
          <w:rtl/>
        </w:rPr>
        <w:t xml:space="preserve">שר </w:t>
      </w:r>
      <w:bookmarkStart w:id="44435" w:name="_ETM_Q84_398069"/>
      <w:bookmarkEnd w:id="44435"/>
      <w:r>
        <w:rPr>
          <w:rFonts w:hint="cs"/>
          <w:rtl/>
        </w:rPr>
        <w:t xml:space="preserve">המשטרה, </w:t>
      </w:r>
      <w:bookmarkStart w:id="44436" w:name="_ETM_Q84_398670"/>
      <w:bookmarkEnd w:id="44436"/>
      <w:r>
        <w:rPr>
          <w:rFonts w:hint="cs"/>
          <w:rtl/>
        </w:rPr>
        <w:t xml:space="preserve">השר </w:t>
      </w:r>
      <w:bookmarkStart w:id="44437" w:name="_ETM_Q84_398939"/>
      <w:bookmarkEnd w:id="44437"/>
      <w:r>
        <w:rPr>
          <w:rFonts w:hint="cs"/>
          <w:rtl/>
        </w:rPr>
        <w:t xml:space="preserve">לביטחון </w:t>
      </w:r>
      <w:bookmarkStart w:id="44438" w:name="_ETM_Q84_399389"/>
      <w:bookmarkEnd w:id="44438"/>
      <w:r>
        <w:rPr>
          <w:rFonts w:hint="cs"/>
          <w:rtl/>
        </w:rPr>
        <w:t xml:space="preserve">לאומי? </w:t>
      </w:r>
      <w:bookmarkStart w:id="44439" w:name="_ETM_Q84_401440"/>
      <w:bookmarkEnd w:id="44439"/>
      <w:r>
        <w:rPr>
          <w:rFonts w:hint="cs"/>
          <w:rtl/>
        </w:rPr>
        <w:t xml:space="preserve">זה </w:t>
      </w:r>
      <w:bookmarkStart w:id="44440" w:name="_ETM_Q84_401620"/>
      <w:bookmarkEnd w:id="44440"/>
      <w:r>
        <w:rPr>
          <w:rFonts w:hint="cs"/>
          <w:rtl/>
        </w:rPr>
        <w:t xml:space="preserve">פשוט </w:t>
      </w:r>
      <w:bookmarkStart w:id="44441" w:name="_ETM_Q84_402040"/>
      <w:bookmarkEnd w:id="44441"/>
      <w:r>
        <w:rPr>
          <w:rFonts w:hint="cs"/>
          <w:rtl/>
        </w:rPr>
        <w:t xml:space="preserve">לא </w:t>
      </w:r>
      <w:bookmarkStart w:id="44442" w:name="_ETM_Q84_402160"/>
      <w:bookmarkEnd w:id="44442"/>
      <w:r>
        <w:rPr>
          <w:rFonts w:hint="cs"/>
          <w:rtl/>
        </w:rPr>
        <w:t>י</w:t>
      </w:r>
      <w:r w:rsidR="00727E6B">
        <w:rPr>
          <w:rFonts w:hint="cs"/>
          <w:rtl/>
        </w:rPr>
        <w:t>י</w:t>
      </w:r>
      <w:r>
        <w:rPr>
          <w:rFonts w:hint="cs"/>
          <w:rtl/>
        </w:rPr>
        <w:t>אמן</w:t>
      </w:r>
      <w:bookmarkStart w:id="44443" w:name="_ETM_Q84_403030"/>
      <w:bookmarkEnd w:id="44443"/>
      <w:r>
        <w:rPr>
          <w:rFonts w:hint="cs"/>
          <w:rtl/>
        </w:rPr>
        <w:t xml:space="preserve">. אתה </w:t>
      </w:r>
      <w:bookmarkStart w:id="44444" w:name="_ETM_Q84_403300"/>
      <w:bookmarkEnd w:id="44444"/>
      <w:r>
        <w:rPr>
          <w:rFonts w:hint="cs"/>
          <w:rtl/>
        </w:rPr>
        <w:t xml:space="preserve">לא </w:t>
      </w:r>
      <w:bookmarkStart w:id="44445" w:name="_ETM_Q84_403420"/>
      <w:bookmarkEnd w:id="44445"/>
      <w:r>
        <w:rPr>
          <w:rFonts w:hint="cs"/>
          <w:rtl/>
        </w:rPr>
        <w:t xml:space="preserve">רואה </w:t>
      </w:r>
      <w:bookmarkStart w:id="44446" w:name="_ETM_Q84_403630"/>
      <w:bookmarkEnd w:id="44446"/>
      <w:r>
        <w:rPr>
          <w:rFonts w:hint="cs"/>
          <w:rtl/>
        </w:rPr>
        <w:t xml:space="preserve">מה </w:t>
      </w:r>
      <w:bookmarkStart w:id="44447" w:name="_ETM_Q84_403750"/>
      <w:bookmarkEnd w:id="44447"/>
      <w:r>
        <w:rPr>
          <w:rFonts w:hint="cs"/>
          <w:rtl/>
        </w:rPr>
        <w:t xml:space="preserve">קורה? </w:t>
      </w:r>
      <w:bookmarkStart w:id="44448" w:name="_ETM_Q84_405680"/>
      <w:bookmarkEnd w:id="44448"/>
      <w:r>
        <w:rPr>
          <w:rFonts w:hint="cs"/>
          <w:rtl/>
        </w:rPr>
        <w:t xml:space="preserve">אנשים </w:t>
      </w:r>
      <w:bookmarkStart w:id="44449" w:name="_ETM_Q84_406489"/>
      <w:bookmarkEnd w:id="44449"/>
      <w:r>
        <w:rPr>
          <w:rFonts w:hint="cs"/>
          <w:rtl/>
        </w:rPr>
        <w:t xml:space="preserve">בחברה </w:t>
      </w:r>
      <w:bookmarkStart w:id="44450" w:name="_ETM_Q84_407029"/>
      <w:bookmarkEnd w:id="44450"/>
      <w:r>
        <w:rPr>
          <w:rFonts w:hint="cs"/>
          <w:rtl/>
        </w:rPr>
        <w:t xml:space="preserve">הערבית </w:t>
      </w:r>
      <w:bookmarkStart w:id="44451" w:name="_ETM_Q84_407599"/>
      <w:bookmarkEnd w:id="44451"/>
      <w:r>
        <w:rPr>
          <w:rFonts w:hint="cs"/>
          <w:rtl/>
        </w:rPr>
        <w:t xml:space="preserve">מפחדים </w:t>
      </w:r>
      <w:bookmarkStart w:id="44452" w:name="_ETM_Q84_408109"/>
      <w:bookmarkEnd w:id="44452"/>
      <w:r>
        <w:rPr>
          <w:rFonts w:hint="cs"/>
          <w:rtl/>
        </w:rPr>
        <w:t xml:space="preserve">שהילדים </w:t>
      </w:r>
      <w:bookmarkStart w:id="44453" w:name="_ETM_Q84_408559"/>
      <w:bookmarkEnd w:id="44453"/>
      <w:r>
        <w:rPr>
          <w:rFonts w:hint="cs"/>
          <w:rtl/>
        </w:rPr>
        <w:t xml:space="preserve">שלהם </w:t>
      </w:r>
      <w:bookmarkStart w:id="44454" w:name="_ETM_Q84_408769"/>
      <w:bookmarkEnd w:id="44454"/>
      <w:r>
        <w:rPr>
          <w:rFonts w:hint="cs"/>
          <w:rtl/>
        </w:rPr>
        <w:t xml:space="preserve">יצאו </w:t>
      </w:r>
      <w:bookmarkStart w:id="44455" w:name="_ETM_Q84_409010"/>
      <w:bookmarkEnd w:id="44455"/>
      <w:r>
        <w:rPr>
          <w:rFonts w:hint="cs"/>
          <w:rtl/>
        </w:rPr>
        <w:t xml:space="preserve">מהבית, </w:t>
      </w:r>
      <w:bookmarkStart w:id="44456" w:name="_ETM_Q84_411470"/>
      <w:bookmarkEnd w:id="44456"/>
      <w:r>
        <w:rPr>
          <w:rFonts w:hint="cs"/>
          <w:rtl/>
        </w:rPr>
        <w:t xml:space="preserve">אנשים </w:t>
      </w:r>
      <w:bookmarkStart w:id="44457" w:name="_ETM_Q84_412069"/>
      <w:bookmarkEnd w:id="44457"/>
      <w:r>
        <w:rPr>
          <w:rFonts w:hint="cs"/>
          <w:rtl/>
        </w:rPr>
        <w:t xml:space="preserve">נרצחים </w:t>
      </w:r>
      <w:bookmarkStart w:id="44458" w:name="_ETM_Q84_413300"/>
      <w:bookmarkEnd w:id="44458"/>
      <w:r>
        <w:rPr>
          <w:rFonts w:hint="cs"/>
          <w:rtl/>
        </w:rPr>
        <w:t xml:space="preserve">יום </w:t>
      </w:r>
      <w:bookmarkStart w:id="44459" w:name="_ETM_Q84_413660"/>
      <w:bookmarkEnd w:id="44459"/>
      <w:r>
        <w:rPr>
          <w:rFonts w:hint="cs"/>
          <w:rtl/>
        </w:rPr>
        <w:t xml:space="preserve">אחרי </w:t>
      </w:r>
      <w:bookmarkStart w:id="44460" w:name="_ETM_Q84_413959"/>
      <w:bookmarkEnd w:id="44460"/>
      <w:r>
        <w:rPr>
          <w:rFonts w:hint="cs"/>
          <w:rtl/>
        </w:rPr>
        <w:t xml:space="preserve">יום, </w:t>
      </w:r>
      <w:bookmarkStart w:id="44461" w:name="_ETM_Q84_415669"/>
      <w:bookmarkEnd w:id="44461"/>
      <w:r>
        <w:rPr>
          <w:rFonts w:hint="cs"/>
          <w:rtl/>
        </w:rPr>
        <w:t xml:space="preserve">ומה </w:t>
      </w:r>
      <w:bookmarkStart w:id="44462" w:name="_ETM_Q84_416150"/>
      <w:bookmarkEnd w:id="44462"/>
      <w:r>
        <w:rPr>
          <w:rFonts w:hint="cs"/>
          <w:rtl/>
        </w:rPr>
        <w:t xml:space="preserve">עושה </w:t>
      </w:r>
      <w:bookmarkStart w:id="44463" w:name="_ETM_Q84_416480"/>
      <w:bookmarkEnd w:id="44463"/>
      <w:r>
        <w:rPr>
          <w:rFonts w:hint="cs"/>
          <w:rtl/>
        </w:rPr>
        <w:t xml:space="preserve">שר </w:t>
      </w:r>
      <w:bookmarkStart w:id="44464" w:name="_ETM_Q84_416779"/>
      <w:bookmarkEnd w:id="44464"/>
      <w:r>
        <w:rPr>
          <w:rFonts w:hint="cs"/>
          <w:rtl/>
        </w:rPr>
        <w:t>הטיק</w:t>
      </w:r>
      <w:bookmarkStart w:id="44465" w:name="_ETM_Q84_417079"/>
      <w:bookmarkEnd w:id="44465"/>
      <w:r>
        <w:rPr>
          <w:rFonts w:hint="cs"/>
          <w:rtl/>
        </w:rPr>
        <w:t xml:space="preserve">טוק? </w:t>
      </w:r>
      <w:bookmarkStart w:id="44466" w:name="_ETM_Q84_418360"/>
      <w:bookmarkEnd w:id="44466"/>
      <w:r>
        <w:rPr>
          <w:rFonts w:hint="cs"/>
          <w:rtl/>
        </w:rPr>
        <w:t xml:space="preserve">רק </w:t>
      </w:r>
      <w:bookmarkStart w:id="44467" w:name="_ETM_Q84_418750"/>
      <w:bookmarkEnd w:id="44467"/>
      <w:r>
        <w:rPr>
          <w:rFonts w:hint="cs"/>
          <w:rtl/>
        </w:rPr>
        <w:t xml:space="preserve">רץ </w:t>
      </w:r>
      <w:bookmarkStart w:id="44468" w:name="_ETM_Q84_419890"/>
      <w:bookmarkEnd w:id="44468"/>
      <w:r>
        <w:rPr>
          <w:rFonts w:hint="cs"/>
          <w:rtl/>
        </w:rPr>
        <w:t xml:space="preserve">לתקשורת, </w:t>
      </w:r>
      <w:bookmarkStart w:id="44469" w:name="_ETM_Q84_421180"/>
      <w:bookmarkEnd w:id="44469"/>
      <w:r>
        <w:rPr>
          <w:rFonts w:hint="cs"/>
          <w:rtl/>
        </w:rPr>
        <w:t xml:space="preserve">רק </w:t>
      </w:r>
      <w:bookmarkStart w:id="44470" w:name="_ETM_Q84_421480"/>
      <w:bookmarkEnd w:id="44470"/>
      <w:r>
        <w:rPr>
          <w:rFonts w:hint="cs"/>
          <w:rtl/>
        </w:rPr>
        <w:t xml:space="preserve">רץ </w:t>
      </w:r>
      <w:bookmarkStart w:id="44471" w:name="_ETM_Q84_421780"/>
      <w:bookmarkEnd w:id="44471"/>
      <w:r>
        <w:rPr>
          <w:rFonts w:hint="cs"/>
          <w:rtl/>
        </w:rPr>
        <w:t xml:space="preserve">ומספר </w:t>
      </w:r>
      <w:bookmarkStart w:id="44472" w:name="_ETM_Q84_422230"/>
      <w:bookmarkEnd w:id="44472"/>
      <w:r>
        <w:rPr>
          <w:rFonts w:hint="cs"/>
          <w:rtl/>
        </w:rPr>
        <w:t xml:space="preserve">סיפורים. </w:t>
      </w:r>
      <w:bookmarkStart w:id="44473" w:name="_ETM_Q84_423100"/>
      <w:bookmarkEnd w:id="44473"/>
      <w:r>
        <w:rPr>
          <w:rFonts w:hint="cs"/>
          <w:rtl/>
        </w:rPr>
        <w:t xml:space="preserve">הייתה </w:t>
      </w:r>
      <w:bookmarkStart w:id="44474" w:name="_ETM_Q84_423550"/>
      <w:bookmarkEnd w:id="44474"/>
      <w:r>
        <w:rPr>
          <w:rFonts w:hint="cs"/>
          <w:rtl/>
        </w:rPr>
        <w:t xml:space="preserve">תוכנית </w:t>
      </w:r>
      <w:bookmarkStart w:id="44475" w:name="_ETM_Q84_424000"/>
      <w:bookmarkEnd w:id="44475"/>
      <w:r>
        <w:rPr>
          <w:rFonts w:hint="cs"/>
          <w:rtl/>
        </w:rPr>
        <w:t xml:space="preserve">שלמה </w:t>
      </w:r>
      <w:bookmarkStart w:id="44476" w:name="_ETM_Q84_424840"/>
      <w:bookmarkEnd w:id="44476"/>
      <w:r>
        <w:rPr>
          <w:rFonts w:hint="cs"/>
          <w:rtl/>
        </w:rPr>
        <w:t xml:space="preserve">של סגן </w:t>
      </w:r>
      <w:bookmarkStart w:id="44477" w:name="_ETM_Q84_425350"/>
      <w:bookmarkEnd w:id="44477"/>
      <w:r>
        <w:rPr>
          <w:rFonts w:hint="cs"/>
          <w:rtl/>
        </w:rPr>
        <w:t xml:space="preserve">השר </w:t>
      </w:r>
      <w:bookmarkStart w:id="44478" w:name="_ETM_Q84_425680"/>
      <w:bookmarkEnd w:id="44478"/>
      <w:r>
        <w:rPr>
          <w:rFonts w:hint="cs"/>
          <w:rtl/>
        </w:rPr>
        <w:t xml:space="preserve">סגלוביץ', </w:t>
      </w:r>
      <w:bookmarkStart w:id="44479" w:name="_ETM_Q84_427010"/>
      <w:bookmarkEnd w:id="44479"/>
      <w:r>
        <w:rPr>
          <w:rFonts w:hint="cs"/>
          <w:rtl/>
        </w:rPr>
        <w:t xml:space="preserve">ניצב </w:t>
      </w:r>
      <w:bookmarkStart w:id="44480" w:name="_ETM_Q84_427640"/>
      <w:bookmarkEnd w:id="44480"/>
      <w:r>
        <w:rPr>
          <w:rFonts w:hint="cs"/>
          <w:rtl/>
        </w:rPr>
        <w:t xml:space="preserve">בדימוס </w:t>
      </w:r>
      <w:bookmarkStart w:id="44481" w:name="_ETM_Q84_428390"/>
      <w:bookmarkEnd w:id="44481"/>
      <w:r>
        <w:rPr>
          <w:rFonts w:hint="cs"/>
          <w:rtl/>
        </w:rPr>
        <w:t xml:space="preserve">סגלוביץ', </w:t>
      </w:r>
      <w:bookmarkStart w:id="44482" w:name="_ETM_Q84_429760"/>
      <w:bookmarkEnd w:id="44482"/>
      <w:r>
        <w:rPr>
          <w:rFonts w:hint="cs"/>
          <w:rtl/>
        </w:rPr>
        <w:t xml:space="preserve">תוכנית </w:t>
      </w:r>
      <w:bookmarkStart w:id="44483" w:name="_ETM_Q84_430180"/>
      <w:bookmarkEnd w:id="44483"/>
      <w:r>
        <w:rPr>
          <w:rFonts w:hint="cs"/>
          <w:rtl/>
        </w:rPr>
        <w:t xml:space="preserve">שעבדה, </w:t>
      </w:r>
      <w:bookmarkStart w:id="44484" w:name="_ETM_Q84_431680"/>
      <w:bookmarkEnd w:id="44484"/>
      <w:r>
        <w:rPr>
          <w:rFonts w:hint="cs"/>
          <w:rtl/>
        </w:rPr>
        <w:t xml:space="preserve">סדורה, </w:t>
      </w:r>
      <w:bookmarkStart w:id="44485" w:name="_ETM_Q84_432890"/>
      <w:bookmarkEnd w:id="44485"/>
      <w:r>
        <w:rPr>
          <w:rFonts w:hint="cs"/>
          <w:rtl/>
        </w:rPr>
        <w:t xml:space="preserve">עם </w:t>
      </w:r>
      <w:bookmarkStart w:id="44486" w:name="_ETM_Q84_433129"/>
      <w:bookmarkStart w:id="44487" w:name="_ETM_Q84_433280"/>
      <w:bookmarkEnd w:id="44486"/>
      <w:bookmarkEnd w:id="44487"/>
      <w:r>
        <w:rPr>
          <w:rFonts w:hint="cs"/>
          <w:rtl/>
        </w:rPr>
        <w:t xml:space="preserve">פגישות </w:t>
      </w:r>
      <w:bookmarkStart w:id="44488" w:name="_ETM_Q84_433879"/>
      <w:bookmarkEnd w:id="44488"/>
      <w:r>
        <w:rPr>
          <w:rFonts w:hint="cs"/>
          <w:rtl/>
        </w:rPr>
        <w:t xml:space="preserve">שבועיות, </w:t>
      </w:r>
      <w:bookmarkStart w:id="44489" w:name="_ETM_Q84_435260"/>
      <w:bookmarkEnd w:id="44489"/>
      <w:r>
        <w:rPr>
          <w:rFonts w:hint="cs"/>
          <w:rtl/>
        </w:rPr>
        <w:t xml:space="preserve">שמאחדת </w:t>
      </w:r>
      <w:bookmarkStart w:id="44490" w:name="_ETM_Q84_435860"/>
      <w:bookmarkEnd w:id="44490"/>
      <w:r>
        <w:rPr>
          <w:rFonts w:hint="cs"/>
          <w:rtl/>
        </w:rPr>
        <w:t xml:space="preserve">את </w:t>
      </w:r>
      <w:bookmarkStart w:id="44491" w:name="_ETM_Q84_436040"/>
      <w:bookmarkEnd w:id="44491"/>
      <w:r>
        <w:rPr>
          <w:rFonts w:hint="cs"/>
          <w:rtl/>
        </w:rPr>
        <w:t xml:space="preserve">כל </w:t>
      </w:r>
      <w:bookmarkStart w:id="44492" w:name="_ETM_Q84_436220"/>
      <w:bookmarkEnd w:id="44492"/>
      <w:r>
        <w:rPr>
          <w:rFonts w:hint="cs"/>
          <w:rtl/>
        </w:rPr>
        <w:t xml:space="preserve">המשרדים, </w:t>
      </w:r>
      <w:bookmarkStart w:id="44493" w:name="_ETM_Q84_437379"/>
      <w:bookmarkEnd w:id="44493"/>
      <w:r>
        <w:rPr>
          <w:rFonts w:hint="cs"/>
          <w:rtl/>
        </w:rPr>
        <w:t xml:space="preserve">תוכנית </w:t>
      </w:r>
      <w:bookmarkStart w:id="44494" w:name="_ETM_Q84_437889"/>
      <w:bookmarkEnd w:id="44494"/>
      <w:r>
        <w:rPr>
          <w:rFonts w:hint="cs"/>
          <w:rtl/>
        </w:rPr>
        <w:t xml:space="preserve">שכבר הורידה, </w:t>
      </w:r>
      <w:bookmarkStart w:id="44495" w:name="_ETM_Q84_438939"/>
      <w:bookmarkEnd w:id="44495"/>
      <w:r>
        <w:rPr>
          <w:rFonts w:hint="cs"/>
          <w:rtl/>
        </w:rPr>
        <w:t xml:space="preserve">הוכיחה </w:t>
      </w:r>
      <w:bookmarkStart w:id="44496" w:name="_ETM_Q84_439389"/>
      <w:bookmarkEnd w:id="44496"/>
      <w:r>
        <w:rPr>
          <w:rFonts w:hint="cs"/>
          <w:rtl/>
        </w:rPr>
        <w:t xml:space="preserve">את </w:t>
      </w:r>
      <w:bookmarkStart w:id="44497" w:name="_ETM_Q84_439509"/>
      <w:bookmarkEnd w:id="44497"/>
      <w:r>
        <w:rPr>
          <w:rFonts w:hint="cs"/>
          <w:rtl/>
        </w:rPr>
        <w:t xml:space="preserve">עצמה. </w:t>
      </w:r>
      <w:bookmarkStart w:id="44498" w:name="_ETM_Q84_441529"/>
      <w:bookmarkEnd w:id="44498"/>
      <w:r>
        <w:rPr>
          <w:rFonts w:hint="cs"/>
          <w:rtl/>
        </w:rPr>
        <w:t xml:space="preserve">מה </w:t>
      </w:r>
      <w:bookmarkStart w:id="44499" w:name="_ETM_Q84_441740"/>
      <w:bookmarkEnd w:id="44499"/>
      <w:r>
        <w:rPr>
          <w:rFonts w:hint="cs"/>
          <w:rtl/>
        </w:rPr>
        <w:t xml:space="preserve">הוא </w:t>
      </w:r>
      <w:bookmarkStart w:id="44500" w:name="_ETM_Q84_441860"/>
      <w:bookmarkEnd w:id="44500"/>
      <w:r>
        <w:rPr>
          <w:rFonts w:hint="cs"/>
          <w:rtl/>
        </w:rPr>
        <w:t xml:space="preserve">עשה </w:t>
      </w:r>
      <w:bookmarkStart w:id="44501" w:name="_ETM_Q84_442160"/>
      <w:bookmarkEnd w:id="44501"/>
      <w:r>
        <w:rPr>
          <w:rFonts w:hint="cs"/>
          <w:rtl/>
        </w:rPr>
        <w:t xml:space="preserve">כשנכנס </w:t>
      </w:r>
      <w:bookmarkStart w:id="44502" w:name="_ETM_Q84_442760"/>
      <w:bookmarkEnd w:id="44502"/>
      <w:r>
        <w:rPr>
          <w:rFonts w:hint="cs"/>
          <w:rtl/>
        </w:rPr>
        <w:t xml:space="preserve">למשרד, </w:t>
      </w:r>
      <w:bookmarkStart w:id="44503" w:name="_ETM_Q84_443240"/>
      <w:bookmarkEnd w:id="44503"/>
      <w:r>
        <w:rPr>
          <w:rFonts w:hint="cs"/>
          <w:rtl/>
        </w:rPr>
        <w:t xml:space="preserve">בן </w:t>
      </w:r>
      <w:bookmarkStart w:id="44504" w:name="_ETM_Q84_443389"/>
      <w:bookmarkEnd w:id="44504"/>
      <w:r>
        <w:rPr>
          <w:rFonts w:hint="cs"/>
          <w:rtl/>
        </w:rPr>
        <w:t xml:space="preserve">גביר? </w:t>
      </w:r>
      <w:bookmarkStart w:id="44505" w:name="_ETM_Q84_443930"/>
      <w:bookmarkEnd w:id="44505"/>
      <w:r>
        <w:rPr>
          <w:rFonts w:hint="cs"/>
          <w:rtl/>
        </w:rPr>
        <w:t xml:space="preserve">קודם </w:t>
      </w:r>
      <w:bookmarkStart w:id="44506" w:name="_ETM_Q84_444199"/>
      <w:bookmarkEnd w:id="44506"/>
      <w:r>
        <w:rPr>
          <w:rFonts w:hint="cs"/>
          <w:rtl/>
        </w:rPr>
        <w:t xml:space="preserve">כול </w:t>
      </w:r>
      <w:bookmarkStart w:id="44507" w:name="_ETM_Q84_444350"/>
      <w:bookmarkEnd w:id="44507"/>
      <w:r>
        <w:rPr>
          <w:rFonts w:hint="cs"/>
          <w:rtl/>
        </w:rPr>
        <w:t xml:space="preserve">עצר </w:t>
      </w:r>
      <w:bookmarkStart w:id="44508" w:name="_ETM_Q84_444589"/>
      <w:bookmarkEnd w:id="44508"/>
      <w:r>
        <w:rPr>
          <w:rFonts w:hint="cs"/>
          <w:rtl/>
        </w:rPr>
        <w:t xml:space="preserve">את </w:t>
      </w:r>
      <w:bookmarkStart w:id="44509" w:name="_ETM_Q84_444680"/>
      <w:bookmarkEnd w:id="44509"/>
      <w:r>
        <w:rPr>
          <w:rFonts w:hint="cs"/>
          <w:rtl/>
        </w:rPr>
        <w:t xml:space="preserve">התוכנית. </w:t>
      </w:r>
      <w:bookmarkStart w:id="44510" w:name="_ETM_Q84_445870"/>
      <w:bookmarkEnd w:id="44510"/>
      <w:r>
        <w:rPr>
          <w:rFonts w:hint="cs"/>
          <w:rtl/>
        </w:rPr>
        <w:t xml:space="preserve">הדבר </w:t>
      </w:r>
      <w:bookmarkStart w:id="44511" w:name="_ETM_Q84_446259"/>
      <w:bookmarkEnd w:id="44511"/>
      <w:r>
        <w:rPr>
          <w:rFonts w:hint="cs"/>
          <w:rtl/>
        </w:rPr>
        <w:t xml:space="preserve">היחידי </w:t>
      </w:r>
      <w:bookmarkStart w:id="44512" w:name="_ETM_Q84_446620"/>
      <w:bookmarkEnd w:id="44512"/>
      <w:r>
        <w:rPr>
          <w:rFonts w:hint="cs"/>
          <w:rtl/>
        </w:rPr>
        <w:t xml:space="preserve">שעבד </w:t>
      </w:r>
      <w:bookmarkStart w:id="44513" w:name="_ETM_Q84_447039"/>
      <w:bookmarkEnd w:id="44513"/>
      <w:r>
        <w:rPr>
          <w:rFonts w:hint="cs"/>
          <w:rtl/>
        </w:rPr>
        <w:t xml:space="preserve">במשרד </w:t>
      </w:r>
      <w:bookmarkStart w:id="44514" w:name="_ETM_Q84_447430"/>
      <w:bookmarkEnd w:id="44514"/>
      <w:r>
        <w:rPr>
          <w:rFonts w:hint="cs"/>
          <w:rtl/>
        </w:rPr>
        <w:t xml:space="preserve">לביטחון לאומי – עצר אותו. </w:t>
      </w:r>
      <w:bookmarkStart w:id="44515" w:name="_ETM_Q84_448410"/>
      <w:bookmarkStart w:id="44516" w:name="_ETM_Q84_448680"/>
      <w:bookmarkStart w:id="44517" w:name="_ETM_Q84_449779"/>
      <w:bookmarkEnd w:id="44515"/>
      <w:bookmarkEnd w:id="44516"/>
      <w:bookmarkEnd w:id="44517"/>
      <w:r>
        <w:rPr>
          <w:rFonts w:hint="cs"/>
          <w:rtl/>
        </w:rPr>
        <w:t xml:space="preserve">למה? </w:t>
      </w:r>
      <w:bookmarkStart w:id="44518" w:name="_ETM_Q84_450440"/>
      <w:bookmarkEnd w:id="44518"/>
      <w:r>
        <w:rPr>
          <w:rFonts w:hint="cs"/>
          <w:rtl/>
        </w:rPr>
        <w:t xml:space="preserve">כי </w:t>
      </w:r>
      <w:bookmarkStart w:id="44519" w:name="_ETM_Q84_450589"/>
      <w:bookmarkEnd w:id="44519"/>
      <w:r>
        <w:rPr>
          <w:rFonts w:hint="cs"/>
          <w:rtl/>
        </w:rPr>
        <w:t xml:space="preserve">זה </w:t>
      </w:r>
      <w:bookmarkStart w:id="44520" w:name="_ETM_Q84_450710"/>
      <w:bookmarkEnd w:id="44520"/>
      <w:r>
        <w:rPr>
          <w:rFonts w:hint="cs"/>
          <w:rtl/>
        </w:rPr>
        <w:t xml:space="preserve">לא </w:t>
      </w:r>
      <w:bookmarkStart w:id="44521" w:name="_ETM_Q84_450800"/>
      <w:bookmarkEnd w:id="44521"/>
      <w:r>
        <w:rPr>
          <w:rFonts w:hint="cs"/>
          <w:rtl/>
        </w:rPr>
        <w:t xml:space="preserve">טוב </w:t>
      </w:r>
      <w:bookmarkStart w:id="44522" w:name="_ETM_Q84_450979"/>
      <w:bookmarkEnd w:id="44522"/>
      <w:r>
        <w:rPr>
          <w:rFonts w:hint="cs"/>
          <w:rtl/>
        </w:rPr>
        <w:t xml:space="preserve">לאגו </w:t>
      </w:r>
      <w:bookmarkStart w:id="44523" w:name="_ETM_Q84_451310"/>
      <w:bookmarkEnd w:id="44523"/>
      <w:r>
        <w:rPr>
          <w:rFonts w:hint="cs"/>
          <w:rtl/>
        </w:rPr>
        <w:t xml:space="preserve">שלו. </w:t>
      </w:r>
      <w:bookmarkStart w:id="44524" w:name="_ETM_Q84_453730"/>
      <w:bookmarkEnd w:id="44524"/>
      <w:r>
        <w:rPr>
          <w:rFonts w:hint="cs"/>
          <w:rtl/>
        </w:rPr>
        <w:t xml:space="preserve">הוא </w:t>
      </w:r>
      <w:bookmarkStart w:id="44525" w:name="_ETM_Q84_453850"/>
      <w:bookmarkEnd w:id="44525"/>
      <w:r>
        <w:rPr>
          <w:rFonts w:hint="cs"/>
          <w:rtl/>
        </w:rPr>
        <w:t xml:space="preserve">לא </w:t>
      </w:r>
      <w:bookmarkStart w:id="44526" w:name="_ETM_Q84_454000"/>
      <w:bookmarkEnd w:id="44526"/>
      <w:r>
        <w:rPr>
          <w:rFonts w:hint="cs"/>
          <w:rtl/>
        </w:rPr>
        <w:t xml:space="preserve">חושב </w:t>
      </w:r>
      <w:bookmarkStart w:id="44527" w:name="_ETM_Q84_454480"/>
      <w:bookmarkEnd w:id="44527"/>
      <w:r>
        <w:rPr>
          <w:rFonts w:hint="cs"/>
          <w:rtl/>
        </w:rPr>
        <w:t xml:space="preserve">על </w:t>
      </w:r>
      <w:bookmarkStart w:id="44528" w:name="_ETM_Q84_454570"/>
      <w:bookmarkEnd w:id="44528"/>
      <w:r>
        <w:rPr>
          <w:rFonts w:hint="cs"/>
          <w:rtl/>
        </w:rPr>
        <w:t xml:space="preserve">החברה </w:t>
      </w:r>
      <w:bookmarkStart w:id="44529" w:name="_ETM_Q84_454930"/>
      <w:bookmarkEnd w:id="44529"/>
      <w:r>
        <w:rPr>
          <w:rFonts w:hint="cs"/>
          <w:rtl/>
        </w:rPr>
        <w:t xml:space="preserve">הערבית, </w:t>
      </w:r>
      <w:bookmarkStart w:id="44530" w:name="_ETM_Q84_455680"/>
      <w:bookmarkEnd w:id="44530"/>
      <w:r>
        <w:rPr>
          <w:rFonts w:hint="cs"/>
          <w:rtl/>
        </w:rPr>
        <w:t xml:space="preserve">הוא </w:t>
      </w:r>
      <w:bookmarkStart w:id="44531" w:name="_ETM_Q84_455800"/>
      <w:bookmarkEnd w:id="44531"/>
      <w:r>
        <w:rPr>
          <w:rFonts w:hint="cs"/>
          <w:rtl/>
        </w:rPr>
        <w:t xml:space="preserve">לא </w:t>
      </w:r>
      <w:bookmarkStart w:id="44532" w:name="_ETM_Q84_455950"/>
      <w:bookmarkEnd w:id="44532"/>
      <w:r>
        <w:rPr>
          <w:rFonts w:hint="cs"/>
          <w:rtl/>
        </w:rPr>
        <w:t xml:space="preserve">חושב </w:t>
      </w:r>
      <w:bookmarkStart w:id="44533" w:name="_ETM_Q84_456339"/>
      <w:bookmarkEnd w:id="44533"/>
      <w:r>
        <w:rPr>
          <w:rFonts w:hint="cs"/>
          <w:rtl/>
        </w:rPr>
        <w:t xml:space="preserve">על </w:t>
      </w:r>
      <w:bookmarkStart w:id="44534" w:name="_ETM_Q84_456460"/>
      <w:bookmarkEnd w:id="44534"/>
      <w:r>
        <w:rPr>
          <w:rFonts w:hint="cs"/>
          <w:rtl/>
        </w:rPr>
        <w:t xml:space="preserve">האזרחים; </w:t>
      </w:r>
      <w:bookmarkStart w:id="44535" w:name="_ETM_Q84_457300"/>
      <w:bookmarkEnd w:id="44535"/>
      <w:r>
        <w:rPr>
          <w:rFonts w:hint="cs"/>
          <w:rtl/>
        </w:rPr>
        <w:t xml:space="preserve">הוא </w:t>
      </w:r>
      <w:bookmarkStart w:id="44536" w:name="_ETM_Q84_457450"/>
      <w:bookmarkEnd w:id="44536"/>
      <w:r>
        <w:rPr>
          <w:rFonts w:hint="cs"/>
          <w:rtl/>
        </w:rPr>
        <w:t xml:space="preserve">חושב </w:t>
      </w:r>
      <w:bookmarkStart w:id="44537" w:name="_ETM_Q84_457810"/>
      <w:bookmarkEnd w:id="44537"/>
      <w:r>
        <w:rPr>
          <w:rFonts w:hint="cs"/>
          <w:rtl/>
        </w:rPr>
        <w:t xml:space="preserve">על </w:t>
      </w:r>
      <w:bookmarkStart w:id="44538" w:name="_ETM_Q84_457900"/>
      <w:bookmarkEnd w:id="44538"/>
      <w:r>
        <w:rPr>
          <w:rFonts w:hint="cs"/>
          <w:rtl/>
        </w:rPr>
        <w:t xml:space="preserve">עצמו, </w:t>
      </w:r>
      <w:bookmarkStart w:id="44539" w:name="_ETM_Q84_458600"/>
      <w:bookmarkEnd w:id="44539"/>
      <w:r>
        <w:rPr>
          <w:rFonts w:hint="cs"/>
          <w:rtl/>
        </w:rPr>
        <w:t xml:space="preserve">על </w:t>
      </w:r>
      <w:bookmarkStart w:id="44540" w:name="_ETM_Q84_458900"/>
      <w:bookmarkEnd w:id="44540"/>
      <w:r>
        <w:rPr>
          <w:rFonts w:hint="cs"/>
          <w:rtl/>
        </w:rPr>
        <w:t xml:space="preserve">בן </w:t>
      </w:r>
      <w:bookmarkStart w:id="44541" w:name="_ETM_Q84_459139"/>
      <w:bookmarkEnd w:id="44541"/>
      <w:r>
        <w:rPr>
          <w:rFonts w:hint="cs"/>
          <w:rtl/>
        </w:rPr>
        <w:t xml:space="preserve">גביר. </w:t>
      </w:r>
      <w:bookmarkStart w:id="44542" w:name="_ETM_Q84_460580"/>
      <w:bookmarkEnd w:id="44542"/>
      <w:r>
        <w:rPr>
          <w:rFonts w:hint="cs"/>
          <w:rtl/>
        </w:rPr>
        <w:t xml:space="preserve">זה </w:t>
      </w:r>
      <w:bookmarkStart w:id="44543" w:name="_ETM_Q84_460820"/>
      <w:bookmarkEnd w:id="44543"/>
      <w:r>
        <w:rPr>
          <w:rFonts w:hint="cs"/>
          <w:rtl/>
        </w:rPr>
        <w:t xml:space="preserve">הדבר </w:t>
      </w:r>
      <w:bookmarkStart w:id="44544" w:name="_ETM_Q84_461120"/>
      <w:bookmarkEnd w:id="44544"/>
      <w:r>
        <w:rPr>
          <w:rFonts w:hint="cs"/>
          <w:rtl/>
        </w:rPr>
        <w:t xml:space="preserve">הכי </w:t>
      </w:r>
      <w:bookmarkStart w:id="44545" w:name="_ETM_Q84_461360"/>
      <w:bookmarkEnd w:id="44545"/>
      <w:r>
        <w:rPr>
          <w:rFonts w:hint="cs"/>
          <w:rtl/>
        </w:rPr>
        <w:t xml:space="preserve">מסוכן </w:t>
      </w:r>
      <w:bookmarkStart w:id="44546" w:name="_ETM_Q84_462440"/>
      <w:bookmarkEnd w:id="44546"/>
      <w:r>
        <w:rPr>
          <w:rFonts w:hint="cs"/>
          <w:rtl/>
        </w:rPr>
        <w:t xml:space="preserve">לנו </w:t>
      </w:r>
      <w:bookmarkStart w:id="44547" w:name="_ETM_Q84_462860"/>
      <w:bookmarkEnd w:id="44547"/>
      <w:r>
        <w:rPr>
          <w:rFonts w:hint="cs"/>
          <w:rtl/>
        </w:rPr>
        <w:t xml:space="preserve">כחברה, </w:t>
      </w:r>
      <w:bookmarkStart w:id="44548" w:name="_ETM_Q84_463900"/>
      <w:bookmarkEnd w:id="44548"/>
      <w:r>
        <w:rPr>
          <w:rFonts w:hint="cs"/>
          <w:rtl/>
        </w:rPr>
        <w:t xml:space="preserve">ומי </w:t>
      </w:r>
      <w:bookmarkStart w:id="44549" w:name="_ETM_Q84_464259"/>
      <w:bookmarkEnd w:id="44549"/>
      <w:r>
        <w:rPr>
          <w:rFonts w:hint="cs"/>
          <w:rtl/>
        </w:rPr>
        <w:t xml:space="preserve">שחושב </w:t>
      </w:r>
      <w:bookmarkStart w:id="44550" w:name="_ETM_Q84_465180"/>
      <w:bookmarkEnd w:id="44550"/>
      <w:r>
        <w:rPr>
          <w:rFonts w:hint="cs"/>
          <w:rtl/>
        </w:rPr>
        <w:t xml:space="preserve">שהרציחות </w:t>
      </w:r>
      <w:bookmarkStart w:id="44551" w:name="_ETM_Q84_466020"/>
      <w:bookmarkEnd w:id="44551"/>
      <w:r>
        <w:rPr>
          <w:rFonts w:hint="cs"/>
          <w:rtl/>
        </w:rPr>
        <w:t xml:space="preserve">בחברה </w:t>
      </w:r>
      <w:bookmarkStart w:id="44552" w:name="_ETM_Q84_466440"/>
      <w:bookmarkEnd w:id="44552"/>
      <w:r>
        <w:rPr>
          <w:rFonts w:hint="cs"/>
          <w:rtl/>
        </w:rPr>
        <w:t xml:space="preserve">הערבית </w:t>
      </w:r>
      <w:bookmarkStart w:id="44553" w:name="_ETM_Q84_467129"/>
      <w:bookmarkEnd w:id="44553"/>
      <w:r>
        <w:rPr>
          <w:rFonts w:hint="cs"/>
          <w:rtl/>
        </w:rPr>
        <w:t xml:space="preserve">לא </w:t>
      </w:r>
      <w:bookmarkStart w:id="44554" w:name="_ETM_Q84_467370"/>
      <w:bookmarkEnd w:id="44554"/>
      <w:r>
        <w:rPr>
          <w:rFonts w:hint="cs"/>
          <w:rtl/>
        </w:rPr>
        <w:t xml:space="preserve">יזלגו </w:t>
      </w:r>
      <w:bookmarkStart w:id="44555" w:name="_ETM_Q84_469100"/>
      <w:bookmarkEnd w:id="44555"/>
      <w:r>
        <w:rPr>
          <w:rFonts w:hint="cs"/>
          <w:rtl/>
        </w:rPr>
        <w:t xml:space="preserve">אלינו, </w:t>
      </w:r>
      <w:bookmarkStart w:id="44556" w:name="_ETM_Q84_469850"/>
      <w:bookmarkEnd w:id="44556"/>
      <w:r>
        <w:rPr>
          <w:rFonts w:hint="cs"/>
          <w:rtl/>
        </w:rPr>
        <w:t xml:space="preserve">ליישובים </w:t>
      </w:r>
      <w:bookmarkStart w:id="44557" w:name="_ETM_Q84_470510"/>
      <w:bookmarkEnd w:id="44557"/>
      <w:r>
        <w:rPr>
          <w:rFonts w:hint="cs"/>
          <w:rtl/>
        </w:rPr>
        <w:t xml:space="preserve">היהודיים, </w:t>
      </w:r>
      <w:bookmarkStart w:id="44558" w:name="_ETM_Q84_471430"/>
      <w:bookmarkEnd w:id="44558"/>
      <w:r>
        <w:rPr>
          <w:rFonts w:hint="cs"/>
          <w:rtl/>
        </w:rPr>
        <w:t xml:space="preserve">טועה </w:t>
      </w:r>
      <w:bookmarkStart w:id="44559" w:name="_ETM_Q84_471730"/>
      <w:bookmarkEnd w:id="44559"/>
      <w:r>
        <w:rPr>
          <w:rFonts w:hint="cs"/>
          <w:rtl/>
        </w:rPr>
        <w:t xml:space="preserve">טעות </w:t>
      </w:r>
      <w:bookmarkStart w:id="44560" w:name="_ETM_Q84_472060"/>
      <w:bookmarkEnd w:id="44560"/>
      <w:r>
        <w:rPr>
          <w:rFonts w:hint="cs"/>
          <w:rtl/>
        </w:rPr>
        <w:t xml:space="preserve">מרה. </w:t>
      </w:r>
      <w:bookmarkStart w:id="44561" w:name="_ETM_Q84_473839"/>
      <w:bookmarkEnd w:id="44561"/>
      <w:r>
        <w:rPr>
          <w:rFonts w:hint="cs"/>
          <w:rtl/>
        </w:rPr>
        <w:t xml:space="preserve">אם </w:t>
      </w:r>
      <w:bookmarkStart w:id="44562" w:name="_ETM_Q84_474080"/>
      <w:bookmarkEnd w:id="44562"/>
      <w:r>
        <w:rPr>
          <w:rFonts w:hint="cs"/>
          <w:rtl/>
        </w:rPr>
        <w:t xml:space="preserve">לא </w:t>
      </w:r>
      <w:bookmarkStart w:id="44563" w:name="_ETM_Q84_474230"/>
      <w:bookmarkEnd w:id="44563"/>
      <w:r>
        <w:rPr>
          <w:rFonts w:hint="cs"/>
          <w:rtl/>
        </w:rPr>
        <w:t xml:space="preserve">נעצור </w:t>
      </w:r>
      <w:bookmarkStart w:id="44564" w:name="_ETM_Q84_474680"/>
      <w:bookmarkEnd w:id="44564"/>
      <w:r>
        <w:rPr>
          <w:rFonts w:hint="cs"/>
          <w:rtl/>
        </w:rPr>
        <w:t xml:space="preserve">את </w:t>
      </w:r>
      <w:bookmarkStart w:id="44565" w:name="_ETM_Q84_474770"/>
      <w:bookmarkEnd w:id="44565"/>
      <w:r>
        <w:rPr>
          <w:rFonts w:hint="cs"/>
          <w:rtl/>
        </w:rPr>
        <w:t xml:space="preserve">זה </w:t>
      </w:r>
      <w:bookmarkStart w:id="44566" w:name="_ETM_Q84_474890"/>
      <w:bookmarkEnd w:id="44566"/>
      <w:r>
        <w:rPr>
          <w:rFonts w:hint="cs"/>
          <w:rtl/>
        </w:rPr>
        <w:t xml:space="preserve">עכשיו, </w:t>
      </w:r>
      <w:bookmarkStart w:id="44567" w:name="_ETM_Q84_476029"/>
      <w:bookmarkEnd w:id="44567"/>
      <w:r>
        <w:rPr>
          <w:rFonts w:hint="cs"/>
          <w:rtl/>
        </w:rPr>
        <w:t xml:space="preserve">זו </w:t>
      </w:r>
      <w:bookmarkStart w:id="44568" w:name="_ETM_Q84_476510"/>
      <w:bookmarkEnd w:id="44568"/>
      <w:r>
        <w:rPr>
          <w:rFonts w:hint="cs"/>
          <w:rtl/>
        </w:rPr>
        <w:t xml:space="preserve">סכנה </w:t>
      </w:r>
      <w:bookmarkStart w:id="44569" w:name="_ETM_Q84_477080"/>
      <w:bookmarkEnd w:id="44569"/>
      <w:r>
        <w:rPr>
          <w:rFonts w:hint="cs"/>
          <w:rtl/>
        </w:rPr>
        <w:t xml:space="preserve">אמיתית </w:t>
      </w:r>
      <w:bookmarkStart w:id="44570" w:name="_ETM_Q84_478550"/>
      <w:bookmarkEnd w:id="44570"/>
      <w:r>
        <w:rPr>
          <w:rFonts w:hint="cs"/>
          <w:rtl/>
        </w:rPr>
        <w:t xml:space="preserve">לחברה </w:t>
      </w:r>
      <w:bookmarkStart w:id="44571" w:name="_ETM_Q84_479029"/>
      <w:bookmarkEnd w:id="44571"/>
      <w:r>
        <w:rPr>
          <w:rFonts w:hint="cs"/>
          <w:rtl/>
        </w:rPr>
        <w:t xml:space="preserve">הישראלית, </w:t>
      </w:r>
      <w:bookmarkStart w:id="44572" w:name="_ETM_Q84_480250"/>
      <w:bookmarkEnd w:id="44572"/>
      <w:r>
        <w:rPr>
          <w:rFonts w:hint="cs"/>
          <w:rtl/>
        </w:rPr>
        <w:t xml:space="preserve">לחיים </w:t>
      </w:r>
      <w:bookmarkStart w:id="44573" w:name="_ETM_Q84_480820"/>
      <w:bookmarkEnd w:id="44573"/>
      <w:r>
        <w:rPr>
          <w:rFonts w:hint="cs"/>
          <w:rtl/>
        </w:rPr>
        <w:t xml:space="preserve">בחברה </w:t>
      </w:r>
      <w:bookmarkStart w:id="44574" w:name="_ETM_Q84_480839"/>
      <w:bookmarkStart w:id="44575" w:name="_ETM_Q84_481829"/>
      <w:bookmarkEnd w:id="44574"/>
      <w:bookmarkEnd w:id="44575"/>
      <w:r>
        <w:rPr>
          <w:rFonts w:hint="cs"/>
          <w:rtl/>
        </w:rPr>
        <w:t xml:space="preserve">הישראלית. </w:t>
      </w:r>
      <w:bookmarkStart w:id="44576" w:name="_ETM_Q84_484950"/>
      <w:bookmarkEnd w:id="44576"/>
    </w:p>
    <w:p w:rsidR="00BB59CD" w:rsidRDefault="00BB59CD" w:rsidP="00BB59CD">
      <w:pPr>
        <w:rPr>
          <w:rtl/>
        </w:rPr>
      </w:pPr>
    </w:p>
    <w:p w:rsidR="00BB59CD" w:rsidRDefault="00BB59CD" w:rsidP="00436D0D">
      <w:pPr>
        <w:rPr>
          <w:rtl/>
        </w:rPr>
      </w:pPr>
      <w:r>
        <w:rPr>
          <w:rFonts w:hint="cs"/>
          <w:rtl/>
        </w:rPr>
        <w:t xml:space="preserve">ממשלה </w:t>
      </w:r>
      <w:bookmarkStart w:id="44577" w:name="_ETM_Q84_485609"/>
      <w:bookmarkEnd w:id="44577"/>
      <w:r>
        <w:rPr>
          <w:rFonts w:hint="cs"/>
          <w:rtl/>
        </w:rPr>
        <w:t>ש</w:t>
      </w:r>
      <w:r w:rsidR="00436D0D">
        <w:rPr>
          <w:rFonts w:hint="cs"/>
          <w:rtl/>
        </w:rPr>
        <w:t xml:space="preserve">בה </w:t>
      </w:r>
      <w:r>
        <w:rPr>
          <w:rFonts w:hint="cs"/>
          <w:rtl/>
        </w:rPr>
        <w:t xml:space="preserve">הדבר </w:t>
      </w:r>
      <w:bookmarkStart w:id="44578" w:name="_ETM_Q84_486120"/>
      <w:bookmarkEnd w:id="44578"/>
      <w:r>
        <w:rPr>
          <w:rFonts w:hint="cs"/>
          <w:rtl/>
        </w:rPr>
        <w:t xml:space="preserve">הראשון </w:t>
      </w:r>
      <w:bookmarkStart w:id="44579" w:name="_ETM_Q84_486600"/>
      <w:bookmarkEnd w:id="44579"/>
      <w:r>
        <w:rPr>
          <w:rFonts w:hint="cs"/>
          <w:rtl/>
        </w:rPr>
        <w:t xml:space="preserve">שעשה </w:t>
      </w:r>
      <w:bookmarkStart w:id="44580" w:name="_ETM_Q84_486990"/>
      <w:bookmarkEnd w:id="44580"/>
      <w:r>
        <w:rPr>
          <w:rFonts w:hint="cs"/>
          <w:rtl/>
        </w:rPr>
        <w:t xml:space="preserve">שר </w:t>
      </w:r>
      <w:bookmarkStart w:id="44581" w:name="_ETM_Q84_487260"/>
      <w:bookmarkEnd w:id="44581"/>
      <w:r>
        <w:rPr>
          <w:rFonts w:hint="cs"/>
          <w:rtl/>
        </w:rPr>
        <w:t>האוצר, מיסטר גרנדמייזר</w:t>
      </w:r>
      <w:bookmarkStart w:id="44582" w:name="_ETM_Q84_488640"/>
      <w:bookmarkStart w:id="44583" w:name="_ETM_Q84_488940"/>
      <w:bookmarkStart w:id="44584" w:name="_ETM_Q84_489180"/>
      <w:bookmarkEnd w:id="44582"/>
      <w:bookmarkEnd w:id="44583"/>
      <w:bookmarkEnd w:id="44584"/>
      <w:r>
        <w:rPr>
          <w:rFonts w:hint="cs"/>
          <w:rtl/>
        </w:rPr>
        <w:t xml:space="preserve"> </w:t>
      </w:r>
      <w:r w:rsidR="00436D0D">
        <w:rPr>
          <w:rtl/>
        </w:rPr>
        <w:t>–</w:t>
      </w:r>
      <w:r w:rsidR="00436D0D">
        <w:rPr>
          <w:rFonts w:hint="cs"/>
          <w:rtl/>
        </w:rPr>
        <w:t xml:space="preserve"> </w:t>
      </w:r>
      <w:r>
        <w:rPr>
          <w:rFonts w:hint="cs"/>
          <w:rtl/>
        </w:rPr>
        <w:t>הדבר הראשון שהוא עשה</w:t>
      </w:r>
      <w:r w:rsidR="00436D0D">
        <w:rPr>
          <w:rFonts w:hint="cs"/>
          <w:rtl/>
        </w:rPr>
        <w:t>,</w:t>
      </w:r>
      <w:r>
        <w:rPr>
          <w:rFonts w:hint="cs"/>
          <w:rtl/>
        </w:rPr>
        <w:t xml:space="preserve"> </w:t>
      </w:r>
      <w:bookmarkStart w:id="44585" w:name="_ETM_Q84_490269"/>
      <w:bookmarkStart w:id="44586" w:name="_ETM_Q84_490690"/>
      <w:bookmarkStart w:id="44587" w:name="_ETM_Q84_491139"/>
      <w:bookmarkStart w:id="44588" w:name="_ETM_Q84_491289"/>
      <w:bookmarkStart w:id="44589" w:name="_ETM_Q84_492559"/>
      <w:bookmarkEnd w:id="44585"/>
      <w:bookmarkEnd w:id="44586"/>
      <w:bookmarkEnd w:id="44587"/>
      <w:bookmarkEnd w:id="44588"/>
      <w:bookmarkEnd w:id="44589"/>
      <w:r>
        <w:rPr>
          <w:rFonts w:hint="cs"/>
          <w:rtl/>
        </w:rPr>
        <w:t xml:space="preserve">הוא </w:t>
      </w:r>
      <w:bookmarkStart w:id="44590" w:name="_ETM_Q84_492709"/>
      <w:bookmarkEnd w:id="44590"/>
      <w:r>
        <w:rPr>
          <w:rFonts w:hint="cs"/>
          <w:rtl/>
        </w:rPr>
        <w:t xml:space="preserve">ביטל </w:t>
      </w:r>
      <w:bookmarkStart w:id="44591" w:name="_ETM_Q84_493099"/>
      <w:bookmarkEnd w:id="44591"/>
      <w:r>
        <w:rPr>
          <w:rFonts w:hint="cs"/>
          <w:rtl/>
        </w:rPr>
        <w:t xml:space="preserve">את </w:t>
      </w:r>
      <w:bookmarkStart w:id="44592" w:name="_ETM_Q84_493249"/>
      <w:bookmarkEnd w:id="44592"/>
      <w:r>
        <w:rPr>
          <w:rFonts w:hint="cs"/>
          <w:rtl/>
        </w:rPr>
        <w:t xml:space="preserve">המס </w:t>
      </w:r>
      <w:bookmarkStart w:id="44593" w:name="_ETM_Q84_493669"/>
      <w:bookmarkEnd w:id="44593"/>
      <w:r>
        <w:rPr>
          <w:rFonts w:hint="cs"/>
          <w:rtl/>
        </w:rPr>
        <w:t xml:space="preserve">על המשקאות </w:t>
      </w:r>
      <w:bookmarkStart w:id="44594" w:name="_ETM_Q84_494419"/>
      <w:bookmarkEnd w:id="44594"/>
      <w:r>
        <w:rPr>
          <w:rFonts w:hint="cs"/>
          <w:rtl/>
        </w:rPr>
        <w:t xml:space="preserve">הממותקים. </w:t>
      </w:r>
      <w:bookmarkStart w:id="44595" w:name="_ETM_Q84_495320"/>
      <w:bookmarkEnd w:id="44595"/>
      <w:r>
        <w:rPr>
          <w:rFonts w:hint="cs"/>
          <w:rtl/>
        </w:rPr>
        <w:t xml:space="preserve">דבר </w:t>
      </w:r>
      <w:bookmarkStart w:id="44596" w:name="_ETM_Q84_495650"/>
      <w:bookmarkEnd w:id="44596"/>
      <w:r>
        <w:rPr>
          <w:rFonts w:hint="cs"/>
          <w:rtl/>
        </w:rPr>
        <w:t xml:space="preserve">ראשון. </w:t>
      </w:r>
      <w:bookmarkStart w:id="44597" w:name="_ETM_Q84_496380"/>
      <w:bookmarkEnd w:id="44597"/>
      <w:r>
        <w:rPr>
          <w:rFonts w:hint="cs"/>
          <w:rtl/>
        </w:rPr>
        <w:t xml:space="preserve">זה </w:t>
      </w:r>
      <w:bookmarkStart w:id="44598" w:name="_ETM_Q84_496800"/>
      <w:bookmarkEnd w:id="44598"/>
      <w:r>
        <w:rPr>
          <w:rFonts w:hint="cs"/>
          <w:rtl/>
        </w:rPr>
        <w:t xml:space="preserve">היה </w:t>
      </w:r>
      <w:bookmarkStart w:id="44599" w:name="_ETM_Q84_497100"/>
      <w:bookmarkEnd w:id="44599"/>
      <w:r>
        <w:rPr>
          <w:rFonts w:hint="cs"/>
          <w:rtl/>
        </w:rPr>
        <w:t xml:space="preserve">הדבר </w:t>
      </w:r>
      <w:bookmarkStart w:id="44600" w:name="_ETM_Q84_497460"/>
      <w:bookmarkEnd w:id="44600"/>
      <w:r>
        <w:rPr>
          <w:rFonts w:hint="cs"/>
          <w:rtl/>
        </w:rPr>
        <w:t xml:space="preserve">הכי </w:t>
      </w:r>
      <w:bookmarkStart w:id="44601" w:name="_ETM_Q84_497700"/>
      <w:bookmarkEnd w:id="44601"/>
      <w:r>
        <w:rPr>
          <w:rFonts w:hint="cs"/>
          <w:rtl/>
        </w:rPr>
        <w:t xml:space="preserve">חשוב </w:t>
      </w:r>
      <w:bookmarkStart w:id="44602" w:name="_ETM_Q84_498000"/>
      <w:bookmarkEnd w:id="44602"/>
      <w:r>
        <w:rPr>
          <w:rFonts w:hint="cs"/>
          <w:rtl/>
        </w:rPr>
        <w:t xml:space="preserve">לעשות – </w:t>
      </w:r>
      <w:bookmarkStart w:id="44603" w:name="_ETM_Q84_498630"/>
      <w:bookmarkEnd w:id="44603"/>
      <w:r>
        <w:rPr>
          <w:rFonts w:hint="cs"/>
          <w:rtl/>
        </w:rPr>
        <w:t xml:space="preserve">לבטל </w:t>
      </w:r>
      <w:bookmarkStart w:id="44604" w:name="_ETM_Q84_499529"/>
      <w:bookmarkEnd w:id="44604"/>
      <w:r>
        <w:rPr>
          <w:rFonts w:hint="cs"/>
          <w:rtl/>
        </w:rPr>
        <w:t xml:space="preserve">את </w:t>
      </w:r>
      <w:bookmarkStart w:id="44605" w:name="_ETM_Q84_499710"/>
      <w:bookmarkEnd w:id="44605"/>
      <w:r>
        <w:rPr>
          <w:rFonts w:hint="cs"/>
          <w:rtl/>
        </w:rPr>
        <w:t xml:space="preserve">המס </w:t>
      </w:r>
      <w:bookmarkStart w:id="44606" w:name="_ETM_Q84_500070"/>
      <w:bookmarkEnd w:id="44606"/>
      <w:r>
        <w:rPr>
          <w:rFonts w:hint="cs"/>
          <w:rtl/>
        </w:rPr>
        <w:t xml:space="preserve">על שתייה </w:t>
      </w:r>
      <w:bookmarkStart w:id="44607" w:name="_ETM_Q84_500820"/>
      <w:bookmarkEnd w:id="44607"/>
      <w:r>
        <w:rPr>
          <w:rFonts w:hint="cs"/>
          <w:rtl/>
        </w:rPr>
        <w:t xml:space="preserve">ממותקת. </w:t>
      </w:r>
      <w:bookmarkStart w:id="44608" w:name="_ETM_Q84_501930"/>
      <w:bookmarkEnd w:id="44608"/>
      <w:r>
        <w:rPr>
          <w:rFonts w:hint="cs"/>
          <w:rtl/>
        </w:rPr>
        <w:t xml:space="preserve">ואחר </w:t>
      </w:r>
      <w:bookmarkStart w:id="44609" w:name="_ETM_Q84_502440"/>
      <w:bookmarkEnd w:id="44609"/>
      <w:r>
        <w:rPr>
          <w:rFonts w:hint="cs"/>
          <w:rtl/>
        </w:rPr>
        <w:t xml:space="preserve">כך </w:t>
      </w:r>
      <w:bookmarkStart w:id="44610" w:name="_ETM_Q84_502650"/>
      <w:bookmarkEnd w:id="44610"/>
      <w:r>
        <w:rPr>
          <w:rFonts w:hint="cs"/>
          <w:rtl/>
        </w:rPr>
        <w:t xml:space="preserve">אנחנו, </w:t>
      </w:r>
      <w:bookmarkStart w:id="44611" w:name="_ETM_Q84_502980"/>
      <w:bookmarkEnd w:id="44611"/>
      <w:r>
        <w:rPr>
          <w:rFonts w:hint="cs"/>
          <w:rtl/>
        </w:rPr>
        <w:t xml:space="preserve">כמדינה, </w:t>
      </w:r>
      <w:bookmarkStart w:id="44612" w:name="_ETM_Q84_504150"/>
      <w:bookmarkEnd w:id="44612"/>
      <w:r>
        <w:rPr>
          <w:rFonts w:hint="cs"/>
          <w:rtl/>
        </w:rPr>
        <w:t xml:space="preserve">מתפלאים </w:t>
      </w:r>
      <w:bookmarkStart w:id="44613" w:name="_ETM_Q84_504779"/>
      <w:bookmarkEnd w:id="44613"/>
      <w:r>
        <w:rPr>
          <w:rFonts w:hint="cs"/>
          <w:rtl/>
        </w:rPr>
        <w:t xml:space="preserve">שאנחנו </w:t>
      </w:r>
      <w:bookmarkStart w:id="44614" w:name="_ETM_Q84_505230"/>
      <w:bookmarkEnd w:id="44614"/>
      <w:r>
        <w:rPr>
          <w:rFonts w:hint="cs"/>
          <w:rtl/>
        </w:rPr>
        <w:t xml:space="preserve">במקום </w:t>
      </w:r>
      <w:bookmarkStart w:id="44615" w:name="_ETM_Q84_505650"/>
      <w:bookmarkEnd w:id="44615"/>
      <w:r>
        <w:rPr>
          <w:rFonts w:hint="cs"/>
          <w:rtl/>
        </w:rPr>
        <w:t xml:space="preserve">ראשון </w:t>
      </w:r>
      <w:bookmarkStart w:id="44616" w:name="_ETM_Q84_506099"/>
      <w:bookmarkEnd w:id="44616"/>
      <w:r>
        <w:rPr>
          <w:rFonts w:hint="cs"/>
          <w:rtl/>
        </w:rPr>
        <w:t xml:space="preserve">בעולם, </w:t>
      </w:r>
      <w:bookmarkStart w:id="44617" w:name="_ETM_Q84_507869"/>
      <w:bookmarkEnd w:id="44617"/>
      <w:r>
        <w:rPr>
          <w:rFonts w:hint="cs"/>
          <w:rtl/>
        </w:rPr>
        <w:t xml:space="preserve">כן, </w:t>
      </w:r>
      <w:bookmarkStart w:id="44618" w:name="_ETM_Q84_508170"/>
      <w:bookmarkEnd w:id="44618"/>
      <w:r>
        <w:rPr>
          <w:rFonts w:hint="cs"/>
          <w:rtl/>
        </w:rPr>
        <w:t xml:space="preserve">חברים, </w:t>
      </w:r>
      <w:bookmarkStart w:id="44619" w:name="_ETM_Q84_508789"/>
      <w:bookmarkEnd w:id="44619"/>
      <w:r>
        <w:rPr>
          <w:rFonts w:hint="cs"/>
          <w:rtl/>
        </w:rPr>
        <w:t xml:space="preserve">במקום </w:t>
      </w:r>
      <w:bookmarkStart w:id="44620" w:name="_ETM_Q84_509419"/>
      <w:bookmarkEnd w:id="44620"/>
      <w:r>
        <w:rPr>
          <w:rFonts w:hint="cs"/>
          <w:rtl/>
        </w:rPr>
        <w:t xml:space="preserve">ראשון </w:t>
      </w:r>
      <w:bookmarkStart w:id="44621" w:name="_ETM_Q84_509869"/>
      <w:bookmarkEnd w:id="44621"/>
      <w:r>
        <w:rPr>
          <w:rFonts w:hint="cs"/>
          <w:rtl/>
        </w:rPr>
        <w:t xml:space="preserve">בעולם </w:t>
      </w:r>
      <w:bookmarkStart w:id="44622" w:name="_ETM_Q84_510410"/>
      <w:bookmarkEnd w:id="44622"/>
      <w:r>
        <w:rPr>
          <w:rFonts w:hint="cs"/>
          <w:rtl/>
        </w:rPr>
        <w:t xml:space="preserve">בקטיעת </w:t>
      </w:r>
      <w:bookmarkStart w:id="44623" w:name="_ETM_Q84_511009"/>
      <w:bookmarkEnd w:id="44623"/>
      <w:r>
        <w:rPr>
          <w:rFonts w:hint="cs"/>
          <w:rtl/>
        </w:rPr>
        <w:t xml:space="preserve">איברים </w:t>
      </w:r>
      <w:bookmarkStart w:id="44624" w:name="_ETM_Q84_512140"/>
      <w:bookmarkEnd w:id="44624"/>
      <w:r>
        <w:rPr>
          <w:rFonts w:hint="cs"/>
          <w:rtl/>
        </w:rPr>
        <w:t xml:space="preserve">בעקבות </w:t>
      </w:r>
      <w:bookmarkStart w:id="44625" w:name="_ETM_Q84_512589"/>
      <w:bookmarkEnd w:id="44625"/>
      <w:r>
        <w:rPr>
          <w:rFonts w:hint="cs"/>
          <w:rtl/>
        </w:rPr>
        <w:t xml:space="preserve">מחלת </w:t>
      </w:r>
      <w:bookmarkStart w:id="44626" w:name="_ETM_Q84_512920"/>
      <w:bookmarkEnd w:id="44626"/>
      <w:r>
        <w:rPr>
          <w:rFonts w:hint="cs"/>
          <w:rtl/>
        </w:rPr>
        <w:t xml:space="preserve">הסוכרת. </w:t>
      </w:r>
      <w:bookmarkStart w:id="44627" w:name="_ETM_Q84_514970"/>
      <w:bookmarkEnd w:id="44627"/>
      <w:r>
        <w:rPr>
          <w:rFonts w:hint="cs"/>
          <w:rtl/>
        </w:rPr>
        <w:t xml:space="preserve">אבל </w:t>
      </w:r>
      <w:bookmarkStart w:id="44628" w:name="_ETM_Q84_515360"/>
      <w:bookmarkEnd w:id="44628"/>
      <w:r>
        <w:rPr>
          <w:rFonts w:hint="cs"/>
          <w:rtl/>
        </w:rPr>
        <w:t xml:space="preserve">שר </w:t>
      </w:r>
      <w:bookmarkStart w:id="44629" w:name="_ETM_Q84_515600"/>
      <w:bookmarkEnd w:id="44629"/>
      <w:r>
        <w:rPr>
          <w:rFonts w:hint="cs"/>
          <w:rtl/>
        </w:rPr>
        <w:t xml:space="preserve">האוצר, </w:t>
      </w:r>
      <w:bookmarkStart w:id="44630" w:name="_ETM_Q84_516380"/>
      <w:bookmarkEnd w:id="44630"/>
      <w:r>
        <w:rPr>
          <w:rFonts w:hint="cs"/>
          <w:rtl/>
        </w:rPr>
        <w:t xml:space="preserve">זה </w:t>
      </w:r>
      <w:bookmarkStart w:id="44631" w:name="_ETM_Q84_516559"/>
      <w:bookmarkEnd w:id="44631"/>
      <w:r>
        <w:rPr>
          <w:rFonts w:hint="cs"/>
          <w:rtl/>
        </w:rPr>
        <w:t xml:space="preserve">לא </w:t>
      </w:r>
      <w:bookmarkStart w:id="44632" w:name="_ETM_Q84_516649"/>
      <w:bookmarkEnd w:id="44632"/>
      <w:r>
        <w:rPr>
          <w:rFonts w:hint="cs"/>
          <w:rtl/>
        </w:rPr>
        <w:t xml:space="preserve">מעניין </w:t>
      </w:r>
      <w:bookmarkStart w:id="44633" w:name="_ETM_Q84_516950"/>
      <w:bookmarkEnd w:id="44633"/>
      <w:r>
        <w:rPr>
          <w:rFonts w:hint="cs"/>
          <w:rtl/>
        </w:rPr>
        <w:t xml:space="preserve">אותו, </w:t>
      </w:r>
      <w:bookmarkStart w:id="44634" w:name="_ETM_Q84_518170"/>
      <w:bookmarkEnd w:id="44634"/>
      <w:r>
        <w:rPr>
          <w:rFonts w:hint="cs"/>
          <w:rtl/>
        </w:rPr>
        <w:t xml:space="preserve">זה </w:t>
      </w:r>
      <w:bookmarkStart w:id="44635" w:name="_ETM_Q84_518350"/>
      <w:bookmarkEnd w:id="44635"/>
      <w:r>
        <w:rPr>
          <w:rFonts w:hint="cs"/>
          <w:rtl/>
        </w:rPr>
        <w:t xml:space="preserve">ממש </w:t>
      </w:r>
      <w:bookmarkStart w:id="44636" w:name="_ETM_Q84_518650"/>
      <w:bookmarkEnd w:id="44636"/>
      <w:r>
        <w:rPr>
          <w:rFonts w:hint="cs"/>
          <w:rtl/>
        </w:rPr>
        <w:t xml:space="preserve">לא </w:t>
      </w:r>
      <w:bookmarkStart w:id="44637" w:name="_ETM_Q84_518740"/>
      <w:bookmarkEnd w:id="44637"/>
      <w:r>
        <w:rPr>
          <w:rFonts w:hint="cs"/>
          <w:rtl/>
        </w:rPr>
        <w:t xml:space="preserve">מעניין </w:t>
      </w:r>
      <w:bookmarkStart w:id="44638" w:name="_ETM_Q84_519040"/>
      <w:bookmarkEnd w:id="44638"/>
      <w:r>
        <w:rPr>
          <w:rFonts w:hint="cs"/>
          <w:rtl/>
        </w:rPr>
        <w:t xml:space="preserve">אותו, </w:t>
      </w:r>
      <w:bookmarkStart w:id="44639" w:name="_ETM_Q84_519700"/>
      <w:bookmarkEnd w:id="44639"/>
      <w:r>
        <w:rPr>
          <w:rFonts w:hint="cs"/>
          <w:rtl/>
        </w:rPr>
        <w:t xml:space="preserve">אז </w:t>
      </w:r>
      <w:bookmarkStart w:id="44640" w:name="_ETM_Q84_519880"/>
      <w:bookmarkEnd w:id="44640"/>
      <w:r>
        <w:rPr>
          <w:rFonts w:hint="cs"/>
          <w:rtl/>
        </w:rPr>
        <w:t xml:space="preserve">הדבר </w:t>
      </w:r>
      <w:bookmarkStart w:id="44641" w:name="_ETM_Q84_520180"/>
      <w:bookmarkEnd w:id="44641"/>
      <w:r>
        <w:rPr>
          <w:rFonts w:hint="cs"/>
          <w:rtl/>
        </w:rPr>
        <w:t xml:space="preserve">הראשון </w:t>
      </w:r>
      <w:bookmarkStart w:id="44642" w:name="_ETM_Q84_520630"/>
      <w:bookmarkEnd w:id="44642"/>
      <w:r>
        <w:rPr>
          <w:rFonts w:hint="cs"/>
          <w:rtl/>
        </w:rPr>
        <w:t xml:space="preserve">זה </w:t>
      </w:r>
      <w:bookmarkStart w:id="44643" w:name="_ETM_Q84_520720"/>
      <w:bookmarkEnd w:id="44643"/>
      <w:r>
        <w:rPr>
          <w:rFonts w:hint="cs"/>
          <w:rtl/>
        </w:rPr>
        <w:t xml:space="preserve">לבטל </w:t>
      </w:r>
      <w:bookmarkStart w:id="44644" w:name="_ETM_Q84_521079"/>
      <w:bookmarkEnd w:id="44644"/>
      <w:r>
        <w:rPr>
          <w:rFonts w:hint="cs"/>
          <w:rtl/>
        </w:rPr>
        <w:t xml:space="preserve">את </w:t>
      </w:r>
      <w:bookmarkStart w:id="44645" w:name="_ETM_Q84_521140"/>
      <w:bookmarkEnd w:id="44645"/>
      <w:r>
        <w:rPr>
          <w:rFonts w:hint="cs"/>
          <w:rtl/>
        </w:rPr>
        <w:t xml:space="preserve">המס </w:t>
      </w:r>
      <w:bookmarkStart w:id="44646" w:name="_ETM_Q84_521410"/>
      <w:bookmarkEnd w:id="44646"/>
      <w:r>
        <w:rPr>
          <w:rFonts w:hint="cs"/>
          <w:rtl/>
        </w:rPr>
        <w:t>הזה.</w:t>
      </w:r>
    </w:p>
    <w:p w:rsidR="00BB59CD" w:rsidRDefault="00BB59CD" w:rsidP="00BB59CD">
      <w:pPr>
        <w:rPr>
          <w:rtl/>
        </w:rPr>
      </w:pPr>
    </w:p>
    <w:p w:rsidR="00BB59CD" w:rsidRDefault="00BB59CD" w:rsidP="00BB59CD">
      <w:pPr>
        <w:rPr>
          <w:rtl/>
        </w:rPr>
      </w:pPr>
      <w:bookmarkStart w:id="44647" w:name="_ETM_Q84_522870"/>
      <w:bookmarkEnd w:id="44647"/>
      <w:r>
        <w:rPr>
          <w:rFonts w:hint="cs"/>
          <w:rtl/>
        </w:rPr>
        <w:t xml:space="preserve">ובואו </w:t>
      </w:r>
      <w:bookmarkStart w:id="44648" w:name="_ETM_Q84_523170"/>
      <w:bookmarkEnd w:id="44648"/>
      <w:r>
        <w:rPr>
          <w:rFonts w:hint="cs"/>
          <w:rtl/>
        </w:rPr>
        <w:t xml:space="preserve">נדבר </w:t>
      </w:r>
      <w:bookmarkStart w:id="44649" w:name="_ETM_Q84_523529"/>
      <w:bookmarkEnd w:id="44649"/>
      <w:r>
        <w:rPr>
          <w:rFonts w:hint="cs"/>
          <w:rtl/>
        </w:rPr>
        <w:t xml:space="preserve">על נשים. </w:t>
      </w:r>
      <w:bookmarkStart w:id="44650" w:name="_ETM_Q84_525069"/>
      <w:bookmarkEnd w:id="44650"/>
      <w:r>
        <w:rPr>
          <w:rFonts w:hint="cs"/>
          <w:rtl/>
        </w:rPr>
        <w:t xml:space="preserve">אני </w:t>
      </w:r>
      <w:bookmarkStart w:id="44651" w:name="_ETM_Q84_525309"/>
      <w:bookmarkEnd w:id="44651"/>
      <w:r>
        <w:rPr>
          <w:rFonts w:hint="cs"/>
          <w:rtl/>
        </w:rPr>
        <w:t xml:space="preserve">אבא </w:t>
      </w:r>
      <w:bookmarkStart w:id="44652" w:name="_ETM_Q84_525550"/>
      <w:bookmarkEnd w:id="44652"/>
      <w:r>
        <w:rPr>
          <w:rFonts w:hint="cs"/>
          <w:rtl/>
        </w:rPr>
        <w:t xml:space="preserve">לשלוש </w:t>
      </w:r>
      <w:bookmarkStart w:id="44653" w:name="_ETM_Q84_525940"/>
      <w:bookmarkEnd w:id="44653"/>
      <w:r>
        <w:rPr>
          <w:rFonts w:hint="cs"/>
          <w:rtl/>
        </w:rPr>
        <w:t xml:space="preserve">בנות. </w:t>
      </w:r>
      <w:bookmarkStart w:id="44654" w:name="_ETM_Q84_528029"/>
      <w:bookmarkEnd w:id="44654"/>
      <w:r>
        <w:rPr>
          <w:rFonts w:hint="cs"/>
          <w:rtl/>
        </w:rPr>
        <w:t xml:space="preserve">אני </w:t>
      </w:r>
      <w:bookmarkStart w:id="44655" w:name="_ETM_Q84_528359"/>
      <w:bookmarkEnd w:id="44655"/>
      <w:r>
        <w:rPr>
          <w:rFonts w:hint="cs"/>
          <w:rtl/>
        </w:rPr>
        <w:t xml:space="preserve">רוצה </w:t>
      </w:r>
      <w:bookmarkStart w:id="44656" w:name="_ETM_Q84_528629"/>
      <w:bookmarkEnd w:id="44656"/>
      <w:r>
        <w:rPr>
          <w:rFonts w:hint="cs"/>
          <w:rtl/>
        </w:rPr>
        <w:t xml:space="preserve">שיגדלו </w:t>
      </w:r>
      <w:bookmarkStart w:id="44657" w:name="_ETM_Q84_529079"/>
      <w:bookmarkEnd w:id="44657"/>
      <w:r>
        <w:rPr>
          <w:rFonts w:hint="cs"/>
          <w:rtl/>
        </w:rPr>
        <w:t xml:space="preserve">בחברה </w:t>
      </w:r>
      <w:bookmarkStart w:id="44658" w:name="_ETM_Q84_530159"/>
      <w:bookmarkEnd w:id="44658"/>
      <w:r>
        <w:rPr>
          <w:rFonts w:hint="cs"/>
          <w:rtl/>
        </w:rPr>
        <w:t xml:space="preserve">שמעצימה </w:t>
      </w:r>
      <w:bookmarkStart w:id="44659" w:name="_ETM_Q84_530850"/>
      <w:bookmarkEnd w:id="44659"/>
      <w:r>
        <w:rPr>
          <w:rFonts w:hint="cs"/>
          <w:rtl/>
        </w:rPr>
        <w:t xml:space="preserve">נשים. </w:t>
      </w:r>
      <w:bookmarkStart w:id="44660" w:name="_ETM_Q84_532050"/>
      <w:bookmarkEnd w:id="44660"/>
      <w:r>
        <w:rPr>
          <w:rFonts w:hint="cs"/>
          <w:rtl/>
        </w:rPr>
        <w:t xml:space="preserve">אני </w:t>
      </w:r>
      <w:bookmarkStart w:id="44661" w:name="_ETM_Q84_532260"/>
      <w:bookmarkEnd w:id="44661"/>
      <w:r>
        <w:rPr>
          <w:rFonts w:hint="cs"/>
          <w:rtl/>
        </w:rPr>
        <w:t xml:space="preserve">רוצה </w:t>
      </w:r>
      <w:bookmarkStart w:id="44662" w:name="_ETM_Q84_532560"/>
      <w:bookmarkEnd w:id="44662"/>
      <w:r>
        <w:rPr>
          <w:rFonts w:hint="cs"/>
          <w:rtl/>
        </w:rPr>
        <w:t xml:space="preserve">שיסתכלו </w:t>
      </w:r>
      <w:bookmarkStart w:id="44663" w:name="_ETM_Q84_533100"/>
      <w:bookmarkEnd w:id="44663"/>
      <w:r>
        <w:rPr>
          <w:rFonts w:hint="cs"/>
          <w:rtl/>
        </w:rPr>
        <w:t xml:space="preserve">ויראו </w:t>
      </w:r>
      <w:bookmarkStart w:id="44664" w:name="_ETM_Q84_533460"/>
      <w:bookmarkStart w:id="44665" w:name="_ETM_Q84_533730"/>
      <w:bookmarkEnd w:id="44664"/>
      <w:bookmarkEnd w:id="44665"/>
      <w:r>
        <w:rPr>
          <w:rFonts w:hint="cs"/>
          <w:rtl/>
        </w:rPr>
        <w:t xml:space="preserve">שיש שרות </w:t>
      </w:r>
      <w:bookmarkStart w:id="44666" w:name="_ETM_Q84_534540"/>
      <w:bookmarkEnd w:id="44666"/>
      <w:r>
        <w:rPr>
          <w:rFonts w:hint="cs"/>
          <w:rtl/>
        </w:rPr>
        <w:t xml:space="preserve">ומנהיגות </w:t>
      </w:r>
      <w:bookmarkStart w:id="44667" w:name="_ETM_Q84_536139"/>
      <w:bookmarkEnd w:id="44667"/>
      <w:r>
        <w:rPr>
          <w:rFonts w:hint="cs"/>
          <w:rtl/>
        </w:rPr>
        <w:t xml:space="preserve">ומנכ"ליות </w:t>
      </w:r>
      <w:bookmarkStart w:id="44668" w:name="_ETM_Q84_536829"/>
      <w:bookmarkStart w:id="44669" w:name="_ETM_Q84_537190"/>
      <w:bookmarkStart w:id="44670" w:name="_ETM_Q84_537489"/>
      <w:bookmarkEnd w:id="44668"/>
      <w:bookmarkEnd w:id="44669"/>
      <w:bookmarkEnd w:id="44670"/>
      <w:r>
        <w:rPr>
          <w:rFonts w:hint="cs"/>
          <w:rtl/>
        </w:rPr>
        <w:t xml:space="preserve">ונשים </w:t>
      </w:r>
      <w:bookmarkStart w:id="44671" w:name="_ETM_Q84_537819"/>
      <w:bookmarkEnd w:id="44671"/>
      <w:r>
        <w:rPr>
          <w:rFonts w:hint="cs"/>
          <w:rtl/>
        </w:rPr>
        <w:t xml:space="preserve">חזקות </w:t>
      </w:r>
      <w:bookmarkStart w:id="44672" w:name="_ETM_Q84_538389"/>
      <w:bookmarkEnd w:id="44672"/>
      <w:r>
        <w:rPr>
          <w:rFonts w:hint="cs"/>
          <w:rtl/>
        </w:rPr>
        <w:t xml:space="preserve">בחברה </w:t>
      </w:r>
      <w:bookmarkStart w:id="44673" w:name="_ETM_Q84_538779"/>
      <w:bookmarkEnd w:id="44673"/>
      <w:r>
        <w:rPr>
          <w:rFonts w:hint="cs"/>
          <w:rtl/>
        </w:rPr>
        <w:t xml:space="preserve">הישראלית. </w:t>
      </w:r>
      <w:bookmarkStart w:id="44674" w:name="_ETM_Q84_540690"/>
      <w:bookmarkEnd w:id="44674"/>
      <w:r>
        <w:rPr>
          <w:rFonts w:hint="cs"/>
          <w:rtl/>
        </w:rPr>
        <w:t xml:space="preserve">ילדה </w:t>
      </w:r>
      <w:bookmarkStart w:id="44675" w:name="_ETM_Q84_541139"/>
      <w:bookmarkEnd w:id="44675"/>
      <w:r>
        <w:rPr>
          <w:rFonts w:hint="cs"/>
          <w:rtl/>
        </w:rPr>
        <w:t xml:space="preserve">צעירה </w:t>
      </w:r>
      <w:bookmarkStart w:id="44676" w:name="_ETM_Q84_541559"/>
      <w:bookmarkEnd w:id="44676"/>
      <w:r>
        <w:rPr>
          <w:rFonts w:hint="cs"/>
          <w:rtl/>
        </w:rPr>
        <w:t xml:space="preserve">שרואה </w:t>
      </w:r>
      <w:bookmarkStart w:id="44677" w:name="_ETM_Q84_542740"/>
      <w:bookmarkEnd w:id="44677"/>
      <w:r>
        <w:rPr>
          <w:rFonts w:hint="cs"/>
          <w:rtl/>
        </w:rPr>
        <w:t xml:space="preserve">מנכ"לית </w:t>
      </w:r>
      <w:bookmarkStart w:id="44678" w:name="_ETM_Q84_543730"/>
      <w:bookmarkEnd w:id="44678"/>
      <w:r>
        <w:rPr>
          <w:rFonts w:hint="cs"/>
          <w:rtl/>
        </w:rPr>
        <w:t xml:space="preserve">או </w:t>
      </w:r>
      <w:bookmarkStart w:id="44679" w:name="_ETM_Q84_543850"/>
      <w:bookmarkEnd w:id="44679"/>
      <w:r>
        <w:rPr>
          <w:rFonts w:hint="cs"/>
          <w:rtl/>
        </w:rPr>
        <w:t xml:space="preserve">שרה </w:t>
      </w:r>
      <w:bookmarkStart w:id="44680" w:name="_ETM_Q84_544750"/>
      <w:bookmarkEnd w:id="44680"/>
      <w:r>
        <w:rPr>
          <w:rFonts w:hint="cs"/>
          <w:rtl/>
        </w:rPr>
        <w:t xml:space="preserve">שעושה </w:t>
      </w:r>
      <w:bookmarkStart w:id="44681" w:name="_ETM_Q84_545170"/>
      <w:bookmarkEnd w:id="44681"/>
      <w:r>
        <w:rPr>
          <w:rFonts w:hint="cs"/>
          <w:rtl/>
        </w:rPr>
        <w:t xml:space="preserve">דברים </w:t>
      </w:r>
      <w:bookmarkStart w:id="44682" w:name="_ETM_Q84_545500"/>
      <w:bookmarkEnd w:id="44682"/>
      <w:r>
        <w:rPr>
          <w:rFonts w:hint="cs"/>
          <w:rtl/>
        </w:rPr>
        <w:t xml:space="preserve">משמעותיים, </w:t>
      </w:r>
      <w:bookmarkStart w:id="44683" w:name="_ETM_Q84_546400"/>
      <w:bookmarkEnd w:id="44683"/>
      <w:r>
        <w:rPr>
          <w:rFonts w:hint="cs"/>
          <w:rtl/>
        </w:rPr>
        <w:t xml:space="preserve">זה </w:t>
      </w:r>
      <w:bookmarkStart w:id="44684" w:name="_ETM_Q84_546610"/>
      <w:bookmarkEnd w:id="44684"/>
      <w:r>
        <w:rPr>
          <w:rFonts w:hint="cs"/>
          <w:rtl/>
        </w:rPr>
        <w:t xml:space="preserve">משפיע </w:t>
      </w:r>
      <w:bookmarkStart w:id="44685" w:name="_ETM_Q84_547150"/>
      <w:bookmarkEnd w:id="44685"/>
      <w:r>
        <w:rPr>
          <w:rFonts w:hint="cs"/>
          <w:rtl/>
        </w:rPr>
        <w:t xml:space="preserve">עליה; </w:t>
      </w:r>
      <w:bookmarkStart w:id="44686" w:name="_ETM_Q84_549360"/>
      <w:bookmarkEnd w:id="44686"/>
      <w:r>
        <w:rPr>
          <w:rFonts w:hint="cs"/>
          <w:rtl/>
        </w:rPr>
        <w:t xml:space="preserve">כן, </w:t>
      </w:r>
      <w:bookmarkStart w:id="44687" w:name="_ETM_Q84_549689"/>
      <w:bookmarkEnd w:id="44687"/>
      <w:r>
        <w:rPr>
          <w:rFonts w:hint="cs"/>
          <w:rtl/>
        </w:rPr>
        <w:t xml:space="preserve">גם </w:t>
      </w:r>
      <w:bookmarkStart w:id="44688" w:name="_ETM_Q84_549869"/>
      <w:bookmarkEnd w:id="44688"/>
      <w:r>
        <w:rPr>
          <w:rFonts w:hint="cs"/>
          <w:rtl/>
        </w:rPr>
        <w:t xml:space="preserve">בעולמות </w:t>
      </w:r>
      <w:bookmarkStart w:id="44689" w:name="_ETM_Q84_550290"/>
      <w:bookmarkEnd w:id="44689"/>
      <w:r>
        <w:rPr>
          <w:rFonts w:hint="cs"/>
          <w:rtl/>
        </w:rPr>
        <w:t xml:space="preserve">שלי, </w:t>
      </w:r>
      <w:bookmarkStart w:id="44690" w:name="_ETM_Q84_550529"/>
      <w:bookmarkEnd w:id="44690"/>
      <w:r>
        <w:rPr>
          <w:rFonts w:hint="cs"/>
          <w:rtl/>
        </w:rPr>
        <w:t xml:space="preserve">של </w:t>
      </w:r>
      <w:bookmarkStart w:id="44691" w:name="_ETM_Q84_550710"/>
      <w:bookmarkEnd w:id="44691"/>
      <w:r>
        <w:rPr>
          <w:rFonts w:hint="cs"/>
          <w:rtl/>
        </w:rPr>
        <w:t xml:space="preserve">הספורט. </w:t>
      </w:r>
      <w:bookmarkStart w:id="44692" w:name="_ETM_Q84_552440"/>
      <w:bookmarkEnd w:id="44692"/>
      <w:r>
        <w:rPr>
          <w:rFonts w:hint="cs"/>
          <w:rtl/>
        </w:rPr>
        <w:t xml:space="preserve">וגם </w:t>
      </w:r>
      <w:bookmarkStart w:id="44693" w:name="_ETM_Q84_552800"/>
      <w:bookmarkEnd w:id="44693"/>
      <w:r>
        <w:rPr>
          <w:rFonts w:hint="cs"/>
          <w:rtl/>
        </w:rPr>
        <w:t xml:space="preserve">שם </w:t>
      </w:r>
      <w:bookmarkStart w:id="44694" w:name="_ETM_Q84_554180"/>
      <w:bookmarkEnd w:id="44694"/>
      <w:r>
        <w:rPr>
          <w:rFonts w:hint="cs"/>
          <w:rtl/>
        </w:rPr>
        <w:t xml:space="preserve">עוצרים </w:t>
      </w:r>
      <w:bookmarkStart w:id="44695" w:name="_ETM_Q84_554570"/>
      <w:bookmarkEnd w:id="44695"/>
      <w:r>
        <w:rPr>
          <w:rFonts w:hint="cs"/>
          <w:rtl/>
        </w:rPr>
        <w:t xml:space="preserve">את </w:t>
      </w:r>
      <w:bookmarkStart w:id="44696" w:name="_ETM_Q84_554660"/>
      <w:bookmarkEnd w:id="44696"/>
      <w:r>
        <w:rPr>
          <w:rFonts w:hint="cs"/>
          <w:rtl/>
        </w:rPr>
        <w:t xml:space="preserve">הנשים, </w:t>
      </w:r>
      <w:bookmarkStart w:id="44697" w:name="_ETM_Q84_556470"/>
      <w:bookmarkEnd w:id="44697"/>
      <w:r>
        <w:rPr>
          <w:rFonts w:hint="cs"/>
          <w:rtl/>
        </w:rPr>
        <w:t xml:space="preserve">כי </w:t>
      </w:r>
      <w:bookmarkStart w:id="44698" w:name="_ETM_Q84_556650"/>
      <w:bookmarkEnd w:id="44698"/>
      <w:r>
        <w:rPr>
          <w:rFonts w:hint="cs"/>
          <w:rtl/>
        </w:rPr>
        <w:t xml:space="preserve">נשים </w:t>
      </w:r>
      <w:bookmarkStart w:id="44699" w:name="_ETM_Q84_557070"/>
      <w:bookmarkEnd w:id="44699"/>
      <w:r>
        <w:rPr>
          <w:rFonts w:hint="cs"/>
          <w:rtl/>
        </w:rPr>
        <w:t xml:space="preserve">לא </w:t>
      </w:r>
      <w:bookmarkStart w:id="44700" w:name="_ETM_Q84_557370"/>
      <w:bookmarkEnd w:id="44700"/>
      <w:r>
        <w:rPr>
          <w:rFonts w:hint="cs"/>
          <w:rtl/>
        </w:rPr>
        <w:t xml:space="preserve">מעניינות </w:t>
      </w:r>
      <w:bookmarkStart w:id="44701" w:name="_ETM_Q84_558330"/>
      <w:bookmarkEnd w:id="44701"/>
      <w:r>
        <w:rPr>
          <w:rFonts w:hint="cs"/>
          <w:rtl/>
        </w:rPr>
        <w:t xml:space="preserve">את </w:t>
      </w:r>
      <w:bookmarkStart w:id="44702" w:name="_ETM_Q84_558450"/>
      <w:bookmarkEnd w:id="44702"/>
      <w:r>
        <w:rPr>
          <w:rFonts w:hint="cs"/>
          <w:rtl/>
        </w:rPr>
        <w:t xml:space="preserve">הממשלה </w:t>
      </w:r>
      <w:bookmarkStart w:id="44703" w:name="_ETM_Q84_559050"/>
      <w:bookmarkEnd w:id="44703"/>
      <w:r>
        <w:rPr>
          <w:rFonts w:hint="cs"/>
          <w:rtl/>
        </w:rPr>
        <w:t xml:space="preserve">הזאת. </w:t>
      </w:r>
      <w:bookmarkStart w:id="44704" w:name="_ETM_Q84_561390"/>
      <w:bookmarkEnd w:id="44704"/>
      <w:r>
        <w:rPr>
          <w:rFonts w:hint="cs"/>
          <w:rtl/>
        </w:rPr>
        <w:t xml:space="preserve">אתם </w:t>
      </w:r>
      <w:bookmarkStart w:id="44705" w:name="_ETM_Q84_561660"/>
      <w:bookmarkEnd w:id="44705"/>
      <w:r>
        <w:rPr>
          <w:rFonts w:hint="cs"/>
          <w:rtl/>
        </w:rPr>
        <w:t xml:space="preserve">יודעים </w:t>
      </w:r>
      <w:bookmarkStart w:id="44706" w:name="_ETM_Q84_561870"/>
      <w:bookmarkEnd w:id="44706"/>
      <w:r>
        <w:rPr>
          <w:rFonts w:hint="cs"/>
          <w:rtl/>
        </w:rPr>
        <w:t xml:space="preserve">כמה מנכ"ליות </w:t>
      </w:r>
      <w:bookmarkStart w:id="44707" w:name="_ETM_Q84_562830"/>
      <w:bookmarkEnd w:id="44707"/>
      <w:r>
        <w:rPr>
          <w:rFonts w:hint="cs"/>
          <w:rtl/>
        </w:rPr>
        <w:t xml:space="preserve">יש </w:t>
      </w:r>
      <w:bookmarkStart w:id="44708" w:name="_ETM_Q84_563010"/>
      <w:bookmarkEnd w:id="44708"/>
      <w:r>
        <w:rPr>
          <w:rFonts w:hint="cs"/>
          <w:rtl/>
        </w:rPr>
        <w:t xml:space="preserve">בכל </w:t>
      </w:r>
      <w:bookmarkStart w:id="44709" w:name="_ETM_Q84_563310"/>
      <w:bookmarkEnd w:id="44709"/>
      <w:r>
        <w:rPr>
          <w:rFonts w:hint="cs"/>
          <w:rtl/>
        </w:rPr>
        <w:t xml:space="preserve">המשרדים? יש </w:t>
      </w:r>
      <w:bookmarkStart w:id="44710" w:name="_ETM_Q84_563760"/>
      <w:bookmarkEnd w:id="44710"/>
      <w:r>
        <w:rPr>
          <w:rFonts w:hint="cs"/>
          <w:rtl/>
        </w:rPr>
        <w:t xml:space="preserve">34 </w:t>
      </w:r>
      <w:bookmarkStart w:id="44711" w:name="_ETM_Q84_564570"/>
      <w:bookmarkEnd w:id="44711"/>
      <w:r>
        <w:rPr>
          <w:rFonts w:hint="cs"/>
          <w:rtl/>
        </w:rPr>
        <w:t xml:space="preserve">משרדים, </w:t>
      </w:r>
      <w:bookmarkStart w:id="44712" w:name="_ETM_Q84_566279"/>
      <w:bookmarkEnd w:id="44712"/>
      <w:r>
        <w:rPr>
          <w:rFonts w:hint="cs"/>
          <w:rtl/>
        </w:rPr>
        <w:t xml:space="preserve">ויש </w:t>
      </w:r>
      <w:bookmarkStart w:id="44713" w:name="_ETM_Q84_567479"/>
      <w:bookmarkEnd w:id="44713"/>
      <w:r>
        <w:rPr>
          <w:rFonts w:hint="cs"/>
          <w:rtl/>
        </w:rPr>
        <w:t xml:space="preserve">בשני </w:t>
      </w:r>
      <w:bookmarkStart w:id="44714" w:name="_ETM_Q84_567990"/>
      <w:bookmarkEnd w:id="44714"/>
      <w:r>
        <w:rPr>
          <w:rFonts w:hint="cs"/>
          <w:rtl/>
        </w:rPr>
        <w:t xml:space="preserve">משרדים </w:t>
      </w:r>
      <w:bookmarkStart w:id="44715" w:name="_ETM_Q84_569600"/>
      <w:bookmarkEnd w:id="44715"/>
      <w:r>
        <w:rPr>
          <w:rFonts w:hint="cs"/>
          <w:rtl/>
        </w:rPr>
        <w:t xml:space="preserve">שתי </w:t>
      </w:r>
      <w:bookmarkStart w:id="44716" w:name="_ETM_Q84_569900"/>
      <w:bookmarkEnd w:id="44716"/>
      <w:r>
        <w:rPr>
          <w:rFonts w:hint="cs"/>
          <w:rtl/>
        </w:rPr>
        <w:t xml:space="preserve">מנכ"ליות. </w:t>
      </w:r>
      <w:bookmarkStart w:id="44717" w:name="_ETM_Q84_571149"/>
      <w:bookmarkEnd w:id="44717"/>
      <w:r>
        <w:rPr>
          <w:rFonts w:hint="cs"/>
          <w:rtl/>
        </w:rPr>
        <w:t xml:space="preserve">מתוך </w:t>
      </w:r>
      <w:bookmarkStart w:id="44718" w:name="_ETM_Q84_571450"/>
      <w:bookmarkEnd w:id="44718"/>
      <w:r>
        <w:rPr>
          <w:rFonts w:hint="cs"/>
          <w:rtl/>
        </w:rPr>
        <w:t xml:space="preserve">34 </w:t>
      </w:r>
      <w:bookmarkStart w:id="44719" w:name="_ETM_Q84_572259"/>
      <w:bookmarkEnd w:id="44719"/>
      <w:r>
        <w:rPr>
          <w:rFonts w:hint="cs"/>
          <w:rtl/>
        </w:rPr>
        <w:t xml:space="preserve">משרדים – </w:t>
      </w:r>
      <w:bookmarkStart w:id="44720" w:name="_ETM_Q84_571000"/>
      <w:bookmarkEnd w:id="44720"/>
      <w:r>
        <w:rPr>
          <w:rFonts w:hint="cs"/>
          <w:rtl/>
        </w:rPr>
        <w:t xml:space="preserve">שתיים, </w:t>
      </w:r>
      <w:bookmarkStart w:id="44721" w:name="_ETM_Q84_572740"/>
      <w:bookmarkEnd w:id="44721"/>
      <w:r>
        <w:rPr>
          <w:rFonts w:hint="cs"/>
          <w:rtl/>
        </w:rPr>
        <w:t xml:space="preserve">אחת </w:t>
      </w:r>
      <w:bookmarkStart w:id="44722" w:name="_ETM_Q84_575509"/>
      <w:bookmarkEnd w:id="44722"/>
      <w:r>
        <w:rPr>
          <w:rFonts w:hint="cs"/>
          <w:rtl/>
        </w:rPr>
        <w:t xml:space="preserve">אצל </w:t>
      </w:r>
      <w:bookmarkStart w:id="44723" w:name="_ETM_Q84_575810"/>
      <w:bookmarkEnd w:id="44723"/>
      <w:r>
        <w:rPr>
          <w:rFonts w:hint="cs"/>
          <w:rtl/>
        </w:rPr>
        <w:t xml:space="preserve">מאי </w:t>
      </w:r>
      <w:bookmarkStart w:id="44724" w:name="_ETM_Q84_575960"/>
      <w:bookmarkEnd w:id="44724"/>
      <w:r>
        <w:rPr>
          <w:rFonts w:hint="cs"/>
          <w:rtl/>
        </w:rPr>
        <w:t xml:space="preserve">גולן, </w:t>
      </w:r>
      <w:bookmarkStart w:id="44725" w:name="_ETM_Q84_576380"/>
      <w:bookmarkEnd w:id="44725"/>
      <w:r>
        <w:rPr>
          <w:rFonts w:hint="cs"/>
          <w:rtl/>
        </w:rPr>
        <w:t xml:space="preserve">במשרד </w:t>
      </w:r>
      <w:bookmarkStart w:id="44726" w:name="_ETM_Q84_577130"/>
      <w:bookmarkEnd w:id="44726"/>
      <w:r>
        <w:rPr>
          <w:rFonts w:hint="cs"/>
          <w:rtl/>
        </w:rPr>
        <w:t xml:space="preserve">למעמד </w:t>
      </w:r>
      <w:bookmarkStart w:id="44727" w:name="_ETM_Q84_577579"/>
      <w:bookmarkEnd w:id="44727"/>
      <w:r>
        <w:rPr>
          <w:rFonts w:hint="cs"/>
          <w:rtl/>
        </w:rPr>
        <w:t xml:space="preserve">האישה, </w:t>
      </w:r>
      <w:bookmarkStart w:id="44728" w:name="_ETM_Q84_578630"/>
      <w:bookmarkEnd w:id="44728"/>
      <w:r>
        <w:rPr>
          <w:rFonts w:hint="cs"/>
          <w:rtl/>
        </w:rPr>
        <w:t xml:space="preserve">והשנייה </w:t>
      </w:r>
      <w:bookmarkStart w:id="44729" w:name="_ETM_Q84_579200"/>
      <w:bookmarkEnd w:id="44729"/>
      <w:r>
        <w:rPr>
          <w:rFonts w:hint="cs"/>
          <w:rtl/>
        </w:rPr>
        <w:t xml:space="preserve">אצל </w:t>
      </w:r>
      <w:bookmarkStart w:id="44730" w:name="_ETM_Q84_579439"/>
      <w:bookmarkEnd w:id="44730"/>
      <w:r>
        <w:rPr>
          <w:rFonts w:hint="cs"/>
          <w:rtl/>
        </w:rPr>
        <w:t xml:space="preserve">גב' </w:t>
      </w:r>
      <w:bookmarkStart w:id="44731" w:name="_ETM_Q84_580009"/>
      <w:bookmarkEnd w:id="44731"/>
      <w:r>
        <w:rPr>
          <w:rFonts w:hint="cs"/>
          <w:rtl/>
        </w:rPr>
        <w:t xml:space="preserve">מדפסת, </w:t>
      </w:r>
      <w:bookmarkStart w:id="44732" w:name="_ETM_Q84_581850"/>
      <w:bookmarkEnd w:id="44732"/>
      <w:r>
        <w:rPr>
          <w:rFonts w:hint="cs"/>
          <w:rtl/>
        </w:rPr>
        <w:t xml:space="preserve">שרת </w:t>
      </w:r>
      <w:bookmarkStart w:id="44733" w:name="_ETM_Q84_582389"/>
      <w:bookmarkEnd w:id="44733"/>
      <w:r>
        <w:rPr>
          <w:rFonts w:hint="cs"/>
          <w:rtl/>
        </w:rPr>
        <w:t xml:space="preserve">ההסברה. </w:t>
      </w:r>
      <w:bookmarkStart w:id="44734" w:name="_ETM_Q84_583200"/>
      <w:bookmarkEnd w:id="44734"/>
      <w:r>
        <w:rPr>
          <w:rFonts w:hint="cs"/>
          <w:rtl/>
        </w:rPr>
        <w:t xml:space="preserve">יש </w:t>
      </w:r>
      <w:bookmarkStart w:id="44735" w:name="_ETM_Q84_583409"/>
      <w:bookmarkEnd w:id="44735"/>
      <w:r>
        <w:rPr>
          <w:rFonts w:hint="cs"/>
          <w:rtl/>
        </w:rPr>
        <w:t xml:space="preserve">לה </w:t>
      </w:r>
      <w:bookmarkStart w:id="44736" w:name="_ETM_Q84_583499"/>
      <w:bookmarkEnd w:id="44736"/>
      <w:r>
        <w:rPr>
          <w:rFonts w:hint="cs"/>
          <w:rtl/>
        </w:rPr>
        <w:t xml:space="preserve">גם </w:t>
      </w:r>
      <w:bookmarkStart w:id="44737" w:name="_ETM_Q84_583679"/>
      <w:bookmarkStart w:id="44738" w:name="_ETM_Q84_584219"/>
      <w:bookmarkEnd w:id="44737"/>
      <w:bookmarkEnd w:id="44738"/>
      <w:r>
        <w:rPr>
          <w:rFonts w:hint="cs"/>
          <w:rtl/>
        </w:rPr>
        <w:t xml:space="preserve">מנכ"לית, ואני בכלל </w:t>
      </w:r>
      <w:bookmarkStart w:id="44739" w:name="_ETM_Q84_585429"/>
      <w:bookmarkEnd w:id="44739"/>
      <w:r>
        <w:rPr>
          <w:rFonts w:hint="cs"/>
          <w:rtl/>
        </w:rPr>
        <w:t xml:space="preserve">לא </w:t>
      </w:r>
      <w:bookmarkStart w:id="44740" w:name="_ETM_Q84_585490"/>
      <w:bookmarkEnd w:id="44740"/>
      <w:r>
        <w:rPr>
          <w:rFonts w:hint="cs"/>
          <w:rtl/>
        </w:rPr>
        <w:t xml:space="preserve">יודע </w:t>
      </w:r>
      <w:bookmarkStart w:id="44741" w:name="_ETM_Q84_585670"/>
      <w:bookmarkStart w:id="44742" w:name="_ETM_Q84_585909"/>
      <w:bookmarkEnd w:id="44741"/>
      <w:bookmarkEnd w:id="44742"/>
      <w:r>
        <w:rPr>
          <w:rFonts w:hint="cs"/>
          <w:rtl/>
        </w:rPr>
        <w:t xml:space="preserve">מה המשרד </w:t>
      </w:r>
      <w:bookmarkStart w:id="44743" w:name="_ETM_Q84_586299"/>
      <w:bookmarkEnd w:id="44743"/>
      <w:r>
        <w:rPr>
          <w:rFonts w:hint="cs"/>
          <w:rtl/>
        </w:rPr>
        <w:t xml:space="preserve">שלה </w:t>
      </w:r>
      <w:bookmarkStart w:id="44744" w:name="_ETM_Q84_586479"/>
      <w:bookmarkEnd w:id="44744"/>
      <w:r>
        <w:rPr>
          <w:rFonts w:hint="cs"/>
          <w:rtl/>
        </w:rPr>
        <w:t xml:space="preserve">עושה, </w:t>
      </w:r>
      <w:bookmarkStart w:id="44745" w:name="_ETM_Q84_586959"/>
      <w:bookmarkEnd w:id="44745"/>
      <w:r>
        <w:rPr>
          <w:rFonts w:hint="cs"/>
          <w:rtl/>
        </w:rPr>
        <w:t xml:space="preserve">כי ההסברה </w:t>
      </w:r>
      <w:bookmarkStart w:id="44746" w:name="_ETM_Q84_587560"/>
      <w:bookmarkEnd w:id="44746"/>
      <w:r>
        <w:rPr>
          <w:rFonts w:hint="cs"/>
          <w:rtl/>
        </w:rPr>
        <w:t xml:space="preserve">על </w:t>
      </w:r>
      <w:bookmarkStart w:id="44747" w:name="_ETM_Q84_587679"/>
      <w:bookmarkEnd w:id="44747"/>
      <w:r>
        <w:rPr>
          <w:rFonts w:hint="cs"/>
          <w:rtl/>
        </w:rPr>
        <w:t xml:space="preserve">הפנים, </w:t>
      </w:r>
      <w:bookmarkStart w:id="44748" w:name="_ETM_Q84_589609"/>
      <w:bookmarkEnd w:id="44748"/>
      <w:r>
        <w:rPr>
          <w:rFonts w:hint="cs"/>
          <w:rtl/>
        </w:rPr>
        <w:t xml:space="preserve">אבל </w:t>
      </w:r>
      <w:bookmarkStart w:id="44749" w:name="_ETM_Q84_589789"/>
      <w:bookmarkEnd w:id="44749"/>
      <w:r>
        <w:rPr>
          <w:rFonts w:hint="cs"/>
          <w:rtl/>
        </w:rPr>
        <w:t xml:space="preserve">תכף </w:t>
      </w:r>
      <w:bookmarkStart w:id="44750" w:name="_ETM_Q84_590029"/>
      <w:bookmarkEnd w:id="44750"/>
      <w:r>
        <w:rPr>
          <w:rFonts w:hint="cs"/>
          <w:rtl/>
        </w:rPr>
        <w:t xml:space="preserve">אני </w:t>
      </w:r>
      <w:bookmarkStart w:id="44751" w:name="_ETM_Q84_590210"/>
      <w:bookmarkEnd w:id="44751"/>
      <w:r>
        <w:rPr>
          <w:rFonts w:hint="cs"/>
          <w:rtl/>
        </w:rPr>
        <w:t xml:space="preserve">אגיע </w:t>
      </w:r>
      <w:bookmarkStart w:id="44752" w:name="_ETM_Q84_590420"/>
      <w:bookmarkEnd w:id="44752"/>
      <w:r>
        <w:rPr>
          <w:rFonts w:hint="cs"/>
          <w:rtl/>
        </w:rPr>
        <w:t xml:space="preserve">לנושא </w:t>
      </w:r>
      <w:bookmarkStart w:id="44753" w:name="_ETM_Q84_590749"/>
      <w:bookmarkEnd w:id="44753"/>
      <w:r>
        <w:rPr>
          <w:rFonts w:hint="cs"/>
          <w:rtl/>
        </w:rPr>
        <w:t xml:space="preserve">של </w:t>
      </w:r>
      <w:bookmarkStart w:id="44754" w:name="_ETM_Q84_590929"/>
      <w:bookmarkEnd w:id="44754"/>
      <w:r>
        <w:rPr>
          <w:rFonts w:hint="cs"/>
          <w:rtl/>
        </w:rPr>
        <w:t xml:space="preserve">ההסברה. </w:t>
      </w:r>
      <w:bookmarkStart w:id="44755" w:name="_ETM_Q84_591409"/>
      <w:bookmarkEnd w:id="44755"/>
      <w:r>
        <w:rPr>
          <w:rFonts w:hint="cs"/>
          <w:rtl/>
        </w:rPr>
        <w:t xml:space="preserve">שתי </w:t>
      </w:r>
      <w:bookmarkStart w:id="44756" w:name="_ETM_Q84_591649"/>
      <w:bookmarkEnd w:id="44756"/>
      <w:r>
        <w:rPr>
          <w:rFonts w:hint="cs"/>
          <w:rtl/>
        </w:rPr>
        <w:t xml:space="preserve">מנכ"ליות. </w:t>
      </w:r>
      <w:bookmarkStart w:id="44757" w:name="_ETM_Q84_593279"/>
      <w:bookmarkEnd w:id="44757"/>
      <w:r>
        <w:rPr>
          <w:rFonts w:hint="cs"/>
          <w:rtl/>
        </w:rPr>
        <w:t xml:space="preserve">אז </w:t>
      </w:r>
      <w:bookmarkStart w:id="44758" w:name="_ETM_Q84_593490"/>
      <w:bookmarkEnd w:id="44758"/>
      <w:r>
        <w:rPr>
          <w:rFonts w:hint="cs"/>
          <w:rtl/>
        </w:rPr>
        <w:t xml:space="preserve">ככה </w:t>
      </w:r>
      <w:bookmarkStart w:id="44759" w:name="_ETM_Q84_593939"/>
      <w:bookmarkEnd w:id="44759"/>
      <w:r>
        <w:rPr>
          <w:rFonts w:hint="cs"/>
          <w:rtl/>
        </w:rPr>
        <w:t xml:space="preserve">רוצים </w:t>
      </w:r>
      <w:bookmarkStart w:id="44760" w:name="_ETM_Q84_594240"/>
      <w:bookmarkEnd w:id="44760"/>
      <w:r>
        <w:rPr>
          <w:rFonts w:hint="cs"/>
          <w:rtl/>
        </w:rPr>
        <w:t xml:space="preserve">לקדם </w:t>
      </w:r>
      <w:bookmarkStart w:id="44761" w:name="_ETM_Q84_594630"/>
      <w:bookmarkEnd w:id="44761"/>
      <w:r>
        <w:rPr>
          <w:rFonts w:hint="cs"/>
          <w:rtl/>
        </w:rPr>
        <w:t xml:space="preserve">נשים? </w:t>
      </w:r>
      <w:bookmarkStart w:id="44762" w:name="_ETM_Q84_596109"/>
      <w:bookmarkEnd w:id="44762"/>
      <w:r>
        <w:rPr>
          <w:rFonts w:hint="cs"/>
          <w:rtl/>
        </w:rPr>
        <w:t xml:space="preserve">זה </w:t>
      </w:r>
      <w:bookmarkStart w:id="44763" w:name="_ETM_Q84_596469"/>
      <w:bookmarkEnd w:id="44763"/>
      <w:r>
        <w:rPr>
          <w:rFonts w:hint="cs"/>
          <w:rtl/>
        </w:rPr>
        <w:t xml:space="preserve">מה </w:t>
      </w:r>
      <w:bookmarkStart w:id="44764" w:name="_ETM_Q84_596619"/>
      <w:bookmarkEnd w:id="44764"/>
      <w:r>
        <w:rPr>
          <w:rFonts w:hint="cs"/>
          <w:rtl/>
        </w:rPr>
        <w:t xml:space="preserve">שאנחנו </w:t>
      </w:r>
      <w:bookmarkStart w:id="44765" w:name="_ETM_Q84_596979"/>
      <w:bookmarkEnd w:id="44765"/>
      <w:r>
        <w:rPr>
          <w:rFonts w:hint="cs"/>
          <w:rtl/>
        </w:rPr>
        <w:t xml:space="preserve">רוצים </w:t>
      </w:r>
      <w:bookmarkStart w:id="44766" w:name="_ETM_Q84_597279"/>
      <w:bookmarkEnd w:id="44766"/>
      <w:r>
        <w:rPr>
          <w:rFonts w:hint="cs"/>
          <w:rtl/>
        </w:rPr>
        <w:t xml:space="preserve">שהבנות </w:t>
      </w:r>
      <w:bookmarkStart w:id="44767" w:name="_ETM_Q84_597729"/>
      <w:bookmarkEnd w:id="44767"/>
      <w:r>
        <w:rPr>
          <w:rFonts w:hint="cs"/>
          <w:rtl/>
        </w:rPr>
        <w:t xml:space="preserve">שלנו </w:t>
      </w:r>
      <w:bookmarkStart w:id="44768" w:name="_ETM_Q84_597909"/>
      <w:bookmarkEnd w:id="44768"/>
      <w:r>
        <w:rPr>
          <w:rFonts w:hint="cs"/>
          <w:rtl/>
        </w:rPr>
        <w:t xml:space="preserve">יראו, </w:t>
      </w:r>
      <w:bookmarkStart w:id="44769" w:name="_ETM_Q84_599149"/>
      <w:bookmarkEnd w:id="44769"/>
      <w:r>
        <w:rPr>
          <w:rFonts w:hint="cs"/>
          <w:rtl/>
        </w:rPr>
        <w:t xml:space="preserve">מדינה </w:t>
      </w:r>
      <w:bookmarkStart w:id="44770" w:name="_ETM_Q84_599630"/>
      <w:bookmarkEnd w:id="44770"/>
      <w:r>
        <w:rPr>
          <w:rFonts w:hint="cs"/>
          <w:rtl/>
        </w:rPr>
        <w:t xml:space="preserve">חשוכה, </w:t>
      </w:r>
      <w:bookmarkStart w:id="44771" w:name="_ETM_Q84_600609"/>
      <w:bookmarkEnd w:id="44771"/>
      <w:r>
        <w:rPr>
          <w:rFonts w:hint="cs"/>
          <w:rtl/>
        </w:rPr>
        <w:t xml:space="preserve">פרלמנט </w:t>
      </w:r>
      <w:bookmarkStart w:id="44772" w:name="_ETM_Q84_601390"/>
      <w:bookmarkEnd w:id="44772"/>
      <w:r>
        <w:rPr>
          <w:rFonts w:hint="cs"/>
          <w:rtl/>
        </w:rPr>
        <w:t xml:space="preserve">חשוך? </w:t>
      </w:r>
      <w:bookmarkStart w:id="44773" w:name="_ETM_Q84_603130"/>
      <w:bookmarkEnd w:id="44773"/>
      <w:r>
        <w:rPr>
          <w:rFonts w:hint="cs"/>
          <w:rtl/>
        </w:rPr>
        <w:t xml:space="preserve">שמספר </w:t>
      </w:r>
      <w:bookmarkStart w:id="44774" w:name="_ETM_Q84_603700"/>
      <w:bookmarkEnd w:id="44774"/>
      <w:r>
        <w:rPr>
          <w:rFonts w:hint="cs"/>
          <w:rtl/>
        </w:rPr>
        <w:t xml:space="preserve">חברות </w:t>
      </w:r>
      <w:bookmarkStart w:id="44775" w:name="_ETM_Q84_604060"/>
      <w:bookmarkEnd w:id="44775"/>
      <w:r>
        <w:rPr>
          <w:rFonts w:hint="cs"/>
          <w:rtl/>
        </w:rPr>
        <w:t xml:space="preserve">הכנסת </w:t>
      </w:r>
      <w:bookmarkStart w:id="44776" w:name="_ETM_Q84_604540"/>
      <w:bookmarkEnd w:id="44776"/>
      <w:r>
        <w:rPr>
          <w:rFonts w:hint="cs"/>
          <w:rtl/>
        </w:rPr>
        <w:t xml:space="preserve">יורד, </w:t>
      </w:r>
      <w:bookmarkStart w:id="44777" w:name="_ETM_Q84_605420"/>
      <w:bookmarkEnd w:id="44777"/>
      <w:r>
        <w:rPr>
          <w:rFonts w:hint="cs"/>
          <w:rtl/>
        </w:rPr>
        <w:t xml:space="preserve">שמספר </w:t>
      </w:r>
      <w:bookmarkStart w:id="44778" w:name="_ETM_Q84_606049"/>
      <w:bookmarkEnd w:id="44778"/>
      <w:r>
        <w:rPr>
          <w:rFonts w:hint="cs"/>
          <w:rtl/>
        </w:rPr>
        <w:t xml:space="preserve">השרות </w:t>
      </w:r>
      <w:bookmarkStart w:id="44779" w:name="_ETM_Q84_606560"/>
      <w:bookmarkEnd w:id="44779"/>
      <w:r>
        <w:rPr>
          <w:rFonts w:hint="cs"/>
          <w:rtl/>
        </w:rPr>
        <w:t xml:space="preserve">יורד, </w:t>
      </w:r>
      <w:bookmarkStart w:id="44780" w:name="_ETM_Q84_607369"/>
      <w:bookmarkEnd w:id="44780"/>
      <w:r>
        <w:rPr>
          <w:rFonts w:hint="cs"/>
          <w:rtl/>
        </w:rPr>
        <w:t xml:space="preserve">שמספר </w:t>
      </w:r>
      <w:bookmarkStart w:id="44781" w:name="_ETM_Q84_607939"/>
      <w:bookmarkEnd w:id="44781"/>
      <w:r>
        <w:rPr>
          <w:rFonts w:hint="cs"/>
          <w:rtl/>
        </w:rPr>
        <w:t xml:space="preserve">המנכ"ליות </w:t>
      </w:r>
      <w:bookmarkStart w:id="44782" w:name="_ETM_Q84_608450"/>
      <w:bookmarkStart w:id="44783" w:name="_ETM_Q84_608660"/>
      <w:bookmarkEnd w:id="44782"/>
      <w:bookmarkEnd w:id="44783"/>
      <w:r>
        <w:rPr>
          <w:rFonts w:hint="cs"/>
          <w:rtl/>
        </w:rPr>
        <w:t xml:space="preserve">יורד? </w:t>
      </w:r>
      <w:bookmarkStart w:id="44784" w:name="_ETM_Q84_612349"/>
      <w:bookmarkEnd w:id="44784"/>
      <w:r>
        <w:rPr>
          <w:rFonts w:hint="cs"/>
          <w:rtl/>
        </w:rPr>
        <w:t xml:space="preserve">בושה </w:t>
      </w:r>
      <w:bookmarkStart w:id="44785" w:name="_ETM_Q84_612890"/>
      <w:bookmarkEnd w:id="44785"/>
      <w:r>
        <w:rPr>
          <w:rFonts w:hint="cs"/>
          <w:rtl/>
        </w:rPr>
        <w:t>כזאת.</w:t>
      </w:r>
    </w:p>
    <w:p w:rsidR="00BB59CD" w:rsidRDefault="00BB59CD" w:rsidP="00BB59CD">
      <w:pPr>
        <w:rPr>
          <w:rtl/>
        </w:rPr>
      </w:pPr>
    </w:p>
    <w:p w:rsidR="00BB59CD" w:rsidRDefault="00BB59CD" w:rsidP="00733545">
      <w:pPr>
        <w:rPr>
          <w:rtl/>
        </w:rPr>
      </w:pPr>
      <w:bookmarkStart w:id="44786" w:name="_ETM_Q84_613000"/>
      <w:bookmarkEnd w:id="44786"/>
      <w:r>
        <w:rPr>
          <w:rFonts w:hint="cs"/>
          <w:rtl/>
        </w:rPr>
        <w:t xml:space="preserve"> </w:t>
      </w:r>
      <w:bookmarkStart w:id="44787" w:name="_ETM_Q84_615040"/>
      <w:bookmarkEnd w:id="44787"/>
      <w:r>
        <w:rPr>
          <w:rFonts w:hint="cs"/>
          <w:rtl/>
        </w:rPr>
        <w:t xml:space="preserve">ממשלה </w:t>
      </w:r>
      <w:bookmarkStart w:id="44788" w:name="_ETM_Q84_615609"/>
      <w:bookmarkEnd w:id="44788"/>
      <w:r>
        <w:rPr>
          <w:rFonts w:hint="cs"/>
          <w:rtl/>
        </w:rPr>
        <w:t xml:space="preserve">שמדברת </w:t>
      </w:r>
      <w:bookmarkStart w:id="44789" w:name="_ETM_Q84_616329"/>
      <w:bookmarkEnd w:id="44789"/>
      <w:r>
        <w:rPr>
          <w:rFonts w:hint="cs"/>
          <w:rtl/>
        </w:rPr>
        <w:t xml:space="preserve">על </w:t>
      </w:r>
      <w:bookmarkStart w:id="44790" w:name="_ETM_Q84_616420"/>
      <w:bookmarkEnd w:id="44790"/>
      <w:r>
        <w:rPr>
          <w:rFonts w:hint="cs"/>
          <w:rtl/>
        </w:rPr>
        <w:t xml:space="preserve">ישראל </w:t>
      </w:r>
      <w:bookmarkStart w:id="44791" w:name="_ETM_Q84_616810"/>
      <w:bookmarkEnd w:id="44791"/>
      <w:r>
        <w:rPr>
          <w:rFonts w:hint="cs"/>
          <w:rtl/>
        </w:rPr>
        <w:t xml:space="preserve">השנייה </w:t>
      </w:r>
      <w:bookmarkStart w:id="44792" w:name="_ETM_Q84_617379"/>
      <w:bookmarkEnd w:id="44792"/>
      <w:r>
        <w:rPr>
          <w:rFonts w:hint="cs"/>
          <w:rtl/>
        </w:rPr>
        <w:t xml:space="preserve">ובפועל </w:t>
      </w:r>
      <w:bookmarkStart w:id="44793" w:name="_ETM_Q84_618340"/>
      <w:bookmarkEnd w:id="44793"/>
      <w:r>
        <w:rPr>
          <w:rFonts w:hint="cs"/>
          <w:rtl/>
        </w:rPr>
        <w:t>מ</w:t>
      </w:r>
      <w:bookmarkStart w:id="44794" w:name="_ETM_Q84_618519"/>
      <w:bookmarkEnd w:id="44794"/>
      <w:r>
        <w:rPr>
          <w:rFonts w:hint="cs"/>
          <w:rtl/>
        </w:rPr>
        <w:t xml:space="preserve">זניחה </w:t>
      </w:r>
      <w:bookmarkStart w:id="44795" w:name="_ETM_Q84_618879"/>
      <w:bookmarkEnd w:id="44795"/>
      <w:r>
        <w:rPr>
          <w:rFonts w:hint="cs"/>
          <w:rtl/>
        </w:rPr>
        <w:t xml:space="preserve">שנים </w:t>
      </w:r>
      <w:bookmarkStart w:id="44796" w:name="_ETM_Q84_619239"/>
      <w:bookmarkEnd w:id="44796"/>
      <w:r>
        <w:rPr>
          <w:rFonts w:hint="cs"/>
          <w:rtl/>
        </w:rPr>
        <w:t xml:space="preserve">את </w:t>
      </w:r>
      <w:bookmarkStart w:id="44797" w:name="_ETM_Q84_619359"/>
      <w:bookmarkEnd w:id="44797"/>
      <w:r>
        <w:rPr>
          <w:rFonts w:hint="cs"/>
          <w:rtl/>
        </w:rPr>
        <w:t xml:space="preserve">הפריפריה. </w:t>
      </w:r>
      <w:bookmarkStart w:id="44798" w:name="_ETM_Q84_620970"/>
      <w:bookmarkEnd w:id="44798"/>
      <w:r>
        <w:rPr>
          <w:rFonts w:hint="cs"/>
          <w:rtl/>
        </w:rPr>
        <w:t xml:space="preserve">איפה </w:t>
      </w:r>
      <w:bookmarkStart w:id="44799" w:name="_ETM_Q84_621360"/>
      <w:bookmarkEnd w:id="44799"/>
      <w:r>
        <w:rPr>
          <w:rFonts w:hint="cs"/>
          <w:rtl/>
        </w:rPr>
        <w:t xml:space="preserve">הייתם </w:t>
      </w:r>
      <w:bookmarkStart w:id="44800" w:name="_ETM_Q84_621750"/>
      <w:bookmarkEnd w:id="44800"/>
      <w:r>
        <w:rPr>
          <w:rFonts w:hint="cs"/>
          <w:rtl/>
        </w:rPr>
        <w:t xml:space="preserve">40 </w:t>
      </w:r>
      <w:bookmarkStart w:id="44801" w:name="_ETM_Q84_622140"/>
      <w:bookmarkEnd w:id="44801"/>
      <w:r>
        <w:rPr>
          <w:rFonts w:hint="cs"/>
          <w:rtl/>
        </w:rPr>
        <w:t xml:space="preserve">שנה? הרי </w:t>
      </w:r>
      <w:bookmarkStart w:id="44802" w:name="_ETM_Q84_622950"/>
      <w:bookmarkEnd w:id="44802"/>
      <w:r>
        <w:rPr>
          <w:rFonts w:hint="cs"/>
          <w:rtl/>
        </w:rPr>
        <w:t xml:space="preserve">40 </w:t>
      </w:r>
      <w:bookmarkStart w:id="44803" w:name="_ETM_Q84_623790"/>
      <w:bookmarkEnd w:id="44803"/>
      <w:r>
        <w:rPr>
          <w:rFonts w:hint="cs"/>
          <w:rtl/>
        </w:rPr>
        <w:t xml:space="preserve">שנה </w:t>
      </w:r>
      <w:bookmarkStart w:id="44804" w:name="_ETM_Q84_624150"/>
      <w:bookmarkEnd w:id="44804"/>
      <w:r>
        <w:rPr>
          <w:rFonts w:hint="cs"/>
          <w:rtl/>
        </w:rPr>
        <w:t xml:space="preserve">אתם </w:t>
      </w:r>
      <w:bookmarkStart w:id="44805" w:name="_ETM_Q84_624360"/>
      <w:bookmarkEnd w:id="44805"/>
      <w:r>
        <w:rPr>
          <w:rFonts w:hint="cs"/>
          <w:rtl/>
        </w:rPr>
        <w:t xml:space="preserve">בשלטון. </w:t>
      </w:r>
      <w:bookmarkStart w:id="44806" w:name="_ETM_Q84_626069"/>
      <w:bookmarkEnd w:id="44806"/>
      <w:r>
        <w:rPr>
          <w:rFonts w:hint="cs"/>
          <w:rtl/>
        </w:rPr>
        <w:t xml:space="preserve">40 </w:t>
      </w:r>
      <w:bookmarkStart w:id="44807" w:name="_ETM_Q84_626730"/>
      <w:bookmarkEnd w:id="44807"/>
      <w:r>
        <w:rPr>
          <w:rFonts w:hint="cs"/>
          <w:rtl/>
        </w:rPr>
        <w:t xml:space="preserve">שנה </w:t>
      </w:r>
      <w:bookmarkStart w:id="44808" w:name="_ETM_Q84_627209"/>
      <w:bookmarkEnd w:id="44808"/>
      <w:r>
        <w:rPr>
          <w:rFonts w:hint="cs"/>
          <w:rtl/>
        </w:rPr>
        <w:t xml:space="preserve">לא </w:t>
      </w:r>
      <w:bookmarkStart w:id="44809" w:name="_ETM_Q84_627330"/>
      <w:bookmarkEnd w:id="44809"/>
      <w:r>
        <w:rPr>
          <w:rFonts w:hint="cs"/>
          <w:rtl/>
        </w:rPr>
        <w:t xml:space="preserve">יכולתם </w:t>
      </w:r>
      <w:bookmarkStart w:id="44810" w:name="_ETM_Q84_627810"/>
      <w:bookmarkEnd w:id="44810"/>
      <w:r>
        <w:rPr>
          <w:rFonts w:hint="cs"/>
          <w:rtl/>
        </w:rPr>
        <w:t xml:space="preserve">לטפל </w:t>
      </w:r>
      <w:bookmarkStart w:id="44811" w:name="_ETM_Q84_628170"/>
      <w:bookmarkEnd w:id="44811"/>
      <w:r>
        <w:rPr>
          <w:rFonts w:hint="cs"/>
          <w:rtl/>
        </w:rPr>
        <w:t xml:space="preserve">בפריפריה? </w:t>
      </w:r>
      <w:bookmarkStart w:id="44812" w:name="_ETM_Q84_631290"/>
      <w:bookmarkEnd w:id="44812"/>
      <w:r>
        <w:rPr>
          <w:rFonts w:hint="cs"/>
          <w:rtl/>
        </w:rPr>
        <w:t xml:space="preserve">40 </w:t>
      </w:r>
      <w:bookmarkStart w:id="44813" w:name="_ETM_Q84_631950"/>
      <w:bookmarkEnd w:id="44813"/>
      <w:r>
        <w:rPr>
          <w:rFonts w:hint="cs"/>
          <w:rtl/>
        </w:rPr>
        <w:t xml:space="preserve">שנה </w:t>
      </w:r>
      <w:bookmarkStart w:id="44814" w:name="_ETM_Q84_632370"/>
      <w:bookmarkEnd w:id="44814"/>
      <w:r>
        <w:rPr>
          <w:rFonts w:hint="cs"/>
          <w:rtl/>
        </w:rPr>
        <w:t xml:space="preserve">אתם </w:t>
      </w:r>
      <w:bookmarkStart w:id="44815" w:name="_ETM_Q84_632550"/>
      <w:bookmarkEnd w:id="44815"/>
      <w:r>
        <w:rPr>
          <w:rFonts w:hint="cs"/>
          <w:rtl/>
        </w:rPr>
        <w:t xml:space="preserve">מספרים </w:t>
      </w:r>
      <w:bookmarkStart w:id="44816" w:name="_ETM_Q84_632970"/>
      <w:bookmarkEnd w:id="44816"/>
      <w:r>
        <w:rPr>
          <w:rFonts w:hint="cs"/>
          <w:rtl/>
        </w:rPr>
        <w:t xml:space="preserve">סיפורים, </w:t>
      </w:r>
      <w:bookmarkStart w:id="44817" w:name="_ETM_Q84_634700"/>
      <w:bookmarkEnd w:id="44817"/>
      <w:r>
        <w:rPr>
          <w:rFonts w:hint="cs"/>
          <w:rtl/>
        </w:rPr>
        <w:t xml:space="preserve">40 </w:t>
      </w:r>
      <w:bookmarkStart w:id="44818" w:name="_ETM_Q84_635299"/>
      <w:bookmarkEnd w:id="44818"/>
      <w:r>
        <w:rPr>
          <w:rFonts w:hint="cs"/>
          <w:rtl/>
        </w:rPr>
        <w:t xml:space="preserve">שנה </w:t>
      </w:r>
      <w:bookmarkStart w:id="44819" w:name="_ETM_Q84_635659"/>
      <w:bookmarkEnd w:id="44819"/>
      <w:r>
        <w:rPr>
          <w:rFonts w:hint="cs"/>
          <w:rtl/>
        </w:rPr>
        <w:t xml:space="preserve">מבטיחים </w:t>
      </w:r>
      <w:bookmarkStart w:id="44820" w:name="_ETM_Q84_636139"/>
      <w:bookmarkEnd w:id="44820"/>
      <w:r>
        <w:rPr>
          <w:rFonts w:hint="cs"/>
          <w:rtl/>
        </w:rPr>
        <w:t xml:space="preserve">הבטחות, </w:t>
      </w:r>
      <w:bookmarkStart w:id="44821" w:name="_ETM_Q84_638180"/>
      <w:bookmarkEnd w:id="44821"/>
      <w:r>
        <w:rPr>
          <w:rFonts w:hint="cs"/>
          <w:rtl/>
        </w:rPr>
        <w:t xml:space="preserve">ואחרי </w:t>
      </w:r>
      <w:bookmarkStart w:id="44822" w:name="_ETM_Q84_638570"/>
      <w:bookmarkEnd w:id="44822"/>
      <w:r>
        <w:rPr>
          <w:rFonts w:hint="cs"/>
          <w:rtl/>
        </w:rPr>
        <w:t xml:space="preserve">זה </w:t>
      </w:r>
      <w:bookmarkStart w:id="44823" w:name="_ETM_Q84_638720"/>
      <w:bookmarkEnd w:id="44823"/>
      <w:r>
        <w:rPr>
          <w:rFonts w:hint="cs"/>
          <w:rtl/>
        </w:rPr>
        <w:t xml:space="preserve">מתפלאים </w:t>
      </w:r>
      <w:bookmarkStart w:id="44824" w:name="_ETM_Q84_639650"/>
      <w:bookmarkEnd w:id="44824"/>
      <w:r>
        <w:rPr>
          <w:rFonts w:hint="cs"/>
          <w:rtl/>
        </w:rPr>
        <w:t xml:space="preserve">שפחות </w:t>
      </w:r>
      <w:bookmarkStart w:id="44825" w:name="_ETM_Q84_640190"/>
      <w:bookmarkEnd w:id="44825"/>
      <w:r>
        <w:rPr>
          <w:rFonts w:hint="cs"/>
          <w:rtl/>
        </w:rPr>
        <w:t xml:space="preserve">ילדים </w:t>
      </w:r>
      <w:bookmarkStart w:id="44826" w:name="_ETM_Q84_640580"/>
      <w:bookmarkEnd w:id="44826"/>
      <w:r>
        <w:rPr>
          <w:rFonts w:hint="cs"/>
          <w:rtl/>
        </w:rPr>
        <w:t xml:space="preserve">מהפריפריה </w:t>
      </w:r>
      <w:bookmarkStart w:id="44827" w:name="_ETM_Q84_641180"/>
      <w:bookmarkEnd w:id="44827"/>
      <w:r>
        <w:rPr>
          <w:rFonts w:hint="cs"/>
          <w:rtl/>
        </w:rPr>
        <w:t xml:space="preserve">מגיעים </w:t>
      </w:r>
      <w:bookmarkStart w:id="44828" w:name="_ETM_Q84_641480"/>
      <w:bookmarkEnd w:id="44828"/>
      <w:r>
        <w:rPr>
          <w:rFonts w:hint="cs"/>
          <w:rtl/>
        </w:rPr>
        <w:t>ל-</w:t>
      </w:r>
      <w:bookmarkStart w:id="44829" w:name="_ETM_Q84_641840"/>
      <w:bookmarkEnd w:id="44829"/>
      <w:r>
        <w:rPr>
          <w:rFonts w:hint="cs"/>
          <w:rtl/>
        </w:rPr>
        <w:t xml:space="preserve">8200, </w:t>
      </w:r>
      <w:bookmarkStart w:id="44830" w:name="_ETM_Q84_642800"/>
      <w:bookmarkEnd w:id="44830"/>
      <w:r>
        <w:rPr>
          <w:rFonts w:hint="cs"/>
          <w:rtl/>
        </w:rPr>
        <w:t xml:space="preserve">פחות </w:t>
      </w:r>
      <w:bookmarkStart w:id="44831" w:name="_ETM_Q84_643310"/>
      <w:bookmarkEnd w:id="44831"/>
      <w:r>
        <w:rPr>
          <w:rFonts w:hint="cs"/>
          <w:rtl/>
        </w:rPr>
        <w:t xml:space="preserve">ילדים </w:t>
      </w:r>
      <w:bookmarkStart w:id="44832" w:name="_ETM_Q84_643610"/>
      <w:bookmarkEnd w:id="44832"/>
      <w:r>
        <w:rPr>
          <w:rFonts w:hint="cs"/>
          <w:rtl/>
        </w:rPr>
        <w:t xml:space="preserve">מהפריפריה </w:t>
      </w:r>
      <w:bookmarkStart w:id="44833" w:name="_ETM_Q84_644210"/>
      <w:bookmarkEnd w:id="44833"/>
      <w:r>
        <w:rPr>
          <w:rFonts w:hint="cs"/>
          <w:rtl/>
        </w:rPr>
        <w:t xml:space="preserve">מגיעים </w:t>
      </w:r>
      <w:bookmarkStart w:id="44834" w:name="_ETM_Q84_644510"/>
      <w:bookmarkEnd w:id="44834"/>
      <w:r>
        <w:rPr>
          <w:rFonts w:hint="cs"/>
          <w:rtl/>
        </w:rPr>
        <w:t xml:space="preserve">לטיס, </w:t>
      </w:r>
      <w:bookmarkStart w:id="44835" w:name="_ETM_Q84_645560"/>
      <w:bookmarkEnd w:id="44835"/>
      <w:r>
        <w:rPr>
          <w:rFonts w:hint="cs"/>
          <w:rtl/>
        </w:rPr>
        <w:t xml:space="preserve">פחות </w:t>
      </w:r>
      <w:bookmarkStart w:id="44836" w:name="_ETM_Q84_646190"/>
      <w:bookmarkEnd w:id="44836"/>
      <w:r>
        <w:rPr>
          <w:rFonts w:hint="cs"/>
          <w:rtl/>
        </w:rPr>
        <w:t xml:space="preserve">ילדים </w:t>
      </w:r>
      <w:bookmarkStart w:id="44837" w:name="_ETM_Q84_646490"/>
      <w:bookmarkEnd w:id="44837"/>
      <w:r>
        <w:rPr>
          <w:rFonts w:hint="cs"/>
          <w:rtl/>
        </w:rPr>
        <w:t xml:space="preserve">מהפריפריה </w:t>
      </w:r>
      <w:bookmarkStart w:id="44838" w:name="_ETM_Q84_647120"/>
      <w:bookmarkEnd w:id="44838"/>
      <w:r>
        <w:rPr>
          <w:rFonts w:hint="cs"/>
          <w:rtl/>
        </w:rPr>
        <w:t xml:space="preserve">מגיעים </w:t>
      </w:r>
      <w:bookmarkStart w:id="44839" w:name="_ETM_Q84_647420"/>
      <w:bookmarkEnd w:id="44839"/>
      <w:r>
        <w:rPr>
          <w:rFonts w:hint="cs"/>
          <w:rtl/>
        </w:rPr>
        <w:t xml:space="preserve">לאקדמיה </w:t>
      </w:r>
      <w:bookmarkStart w:id="44840" w:name="_ETM_Q84_649830"/>
      <w:bookmarkEnd w:id="44840"/>
      <w:r>
        <w:rPr>
          <w:rFonts w:hint="cs"/>
          <w:rtl/>
        </w:rPr>
        <w:t xml:space="preserve">– כי </w:t>
      </w:r>
      <w:bookmarkStart w:id="44841" w:name="_ETM_Q84_649980"/>
      <w:bookmarkEnd w:id="44841"/>
      <w:r>
        <w:rPr>
          <w:rFonts w:hint="cs"/>
          <w:rtl/>
        </w:rPr>
        <w:t xml:space="preserve">לא </w:t>
      </w:r>
      <w:bookmarkStart w:id="44842" w:name="_ETM_Q84_650099"/>
      <w:bookmarkEnd w:id="44842"/>
      <w:r>
        <w:rPr>
          <w:rFonts w:hint="cs"/>
          <w:rtl/>
        </w:rPr>
        <w:t xml:space="preserve">עשיתם </w:t>
      </w:r>
      <w:bookmarkStart w:id="44843" w:name="_ETM_Q84_650580"/>
      <w:bookmarkEnd w:id="44843"/>
      <w:r>
        <w:rPr>
          <w:rFonts w:hint="cs"/>
          <w:rtl/>
        </w:rPr>
        <w:t xml:space="preserve">כלום </w:t>
      </w:r>
      <w:bookmarkStart w:id="44844" w:name="_ETM_Q84_650849"/>
      <w:bookmarkEnd w:id="44844"/>
      <w:r>
        <w:rPr>
          <w:rFonts w:hint="cs"/>
          <w:rtl/>
        </w:rPr>
        <w:t xml:space="preserve">40 </w:t>
      </w:r>
      <w:bookmarkStart w:id="44845" w:name="_ETM_Q84_651209"/>
      <w:bookmarkEnd w:id="44845"/>
      <w:r>
        <w:rPr>
          <w:rFonts w:hint="cs"/>
          <w:rtl/>
        </w:rPr>
        <w:t xml:space="preserve">שנה. </w:t>
      </w:r>
      <w:bookmarkStart w:id="44846" w:name="_ETM_Q84_654760"/>
      <w:bookmarkEnd w:id="44846"/>
      <w:r>
        <w:rPr>
          <w:rFonts w:hint="cs"/>
          <w:rtl/>
        </w:rPr>
        <w:t xml:space="preserve">רק </w:t>
      </w:r>
      <w:bookmarkStart w:id="44847" w:name="_ETM_Q84_655090"/>
      <w:bookmarkEnd w:id="44847"/>
      <w:r>
        <w:rPr>
          <w:rFonts w:hint="cs"/>
          <w:rtl/>
        </w:rPr>
        <w:t xml:space="preserve">לפני </w:t>
      </w:r>
      <w:bookmarkStart w:id="44848" w:name="_ETM_Q84_655390"/>
      <w:bookmarkEnd w:id="44848"/>
      <w:r>
        <w:rPr>
          <w:rFonts w:hint="cs"/>
          <w:rtl/>
        </w:rPr>
        <w:t xml:space="preserve">שבוע </w:t>
      </w:r>
      <w:bookmarkStart w:id="44849" w:name="_ETM_Q84_655780"/>
      <w:bookmarkEnd w:id="44849"/>
      <w:r>
        <w:rPr>
          <w:rFonts w:hint="cs"/>
          <w:rtl/>
        </w:rPr>
        <w:t xml:space="preserve">היה </w:t>
      </w:r>
      <w:bookmarkStart w:id="44850" w:name="_ETM_Q84_655959"/>
      <w:bookmarkEnd w:id="44850"/>
      <w:r>
        <w:rPr>
          <w:rFonts w:hint="cs"/>
          <w:rtl/>
        </w:rPr>
        <w:t xml:space="preserve">דיון </w:t>
      </w:r>
      <w:bookmarkStart w:id="44851" w:name="_ETM_Q84_656349"/>
      <w:bookmarkEnd w:id="44851"/>
      <w:r>
        <w:rPr>
          <w:rFonts w:hint="cs"/>
          <w:rtl/>
        </w:rPr>
        <w:t xml:space="preserve">חירום </w:t>
      </w:r>
      <w:bookmarkStart w:id="44852" w:name="_ETM_Q84_656799"/>
      <w:bookmarkEnd w:id="44852"/>
      <w:r>
        <w:rPr>
          <w:rFonts w:hint="cs"/>
          <w:rtl/>
        </w:rPr>
        <w:t xml:space="preserve">בוועדת </w:t>
      </w:r>
      <w:bookmarkStart w:id="44853" w:name="_ETM_Q84_657280"/>
      <w:bookmarkEnd w:id="44853"/>
      <w:r>
        <w:rPr>
          <w:rFonts w:hint="cs"/>
          <w:rtl/>
        </w:rPr>
        <w:t xml:space="preserve">החינוך </w:t>
      </w:r>
      <w:bookmarkStart w:id="44854" w:name="_ETM_Q84_658370"/>
      <w:bookmarkEnd w:id="44854"/>
      <w:r>
        <w:rPr>
          <w:rFonts w:hint="cs"/>
          <w:rtl/>
        </w:rPr>
        <w:t xml:space="preserve">לגבי </w:t>
      </w:r>
      <w:bookmarkStart w:id="44855" w:name="_ETM_Q84_659400"/>
      <w:bookmarkEnd w:id="44855"/>
      <w:r>
        <w:rPr>
          <w:rFonts w:hint="cs"/>
          <w:rtl/>
        </w:rPr>
        <w:t xml:space="preserve">האוניברסיטה </w:t>
      </w:r>
      <w:bookmarkStart w:id="44856" w:name="_ETM_Q84_660270"/>
      <w:bookmarkEnd w:id="44856"/>
      <w:r>
        <w:rPr>
          <w:rFonts w:hint="cs"/>
          <w:rtl/>
        </w:rPr>
        <w:t xml:space="preserve">בקריית </w:t>
      </w:r>
      <w:bookmarkStart w:id="44857" w:name="_ETM_Q84_660660"/>
      <w:bookmarkStart w:id="44858" w:name="_ETM_Q84_662340"/>
      <w:bookmarkEnd w:id="44857"/>
      <w:bookmarkEnd w:id="44858"/>
      <w:r>
        <w:rPr>
          <w:rFonts w:hint="cs"/>
          <w:rtl/>
        </w:rPr>
        <w:t xml:space="preserve"> </w:t>
      </w:r>
      <w:bookmarkStart w:id="44859" w:name="_ETM_Q84_659000"/>
      <w:bookmarkEnd w:id="44859"/>
      <w:r>
        <w:rPr>
          <w:rFonts w:hint="cs"/>
          <w:rtl/>
        </w:rPr>
        <w:t xml:space="preserve">שמונה, שאתם </w:t>
      </w:r>
      <w:bookmarkStart w:id="44860" w:name="_ETM_Q84_662730"/>
      <w:bookmarkEnd w:id="44860"/>
      <w:r>
        <w:rPr>
          <w:rFonts w:hint="cs"/>
          <w:rtl/>
        </w:rPr>
        <w:t xml:space="preserve">עוצרים </w:t>
      </w:r>
      <w:bookmarkStart w:id="44861" w:name="_ETM_Q84_663120"/>
      <w:bookmarkEnd w:id="44861"/>
      <w:r>
        <w:rPr>
          <w:rFonts w:hint="cs"/>
          <w:rtl/>
        </w:rPr>
        <w:t xml:space="preserve">אותה. </w:t>
      </w:r>
      <w:bookmarkStart w:id="44862" w:name="_ETM_Q84_664629"/>
      <w:bookmarkEnd w:id="44862"/>
      <w:r>
        <w:rPr>
          <w:rFonts w:hint="cs"/>
          <w:rtl/>
        </w:rPr>
        <w:t xml:space="preserve">לא </w:t>
      </w:r>
      <w:bookmarkStart w:id="44863" w:name="_ETM_Q84_664989"/>
      <w:bookmarkEnd w:id="44863"/>
      <w:r>
        <w:rPr>
          <w:rFonts w:hint="cs"/>
          <w:rtl/>
        </w:rPr>
        <w:t>מגיע</w:t>
      </w:r>
      <w:r w:rsidR="00733545">
        <w:rPr>
          <w:rFonts w:hint="cs"/>
          <w:rtl/>
        </w:rPr>
        <w:t>ה</w:t>
      </w:r>
      <w:r>
        <w:rPr>
          <w:rFonts w:hint="cs"/>
          <w:rtl/>
        </w:rPr>
        <w:t xml:space="preserve"> </w:t>
      </w:r>
      <w:bookmarkStart w:id="44864" w:name="_ETM_Q84_665349"/>
      <w:bookmarkEnd w:id="44864"/>
      <w:r w:rsidR="00733545">
        <w:rPr>
          <w:rFonts w:hint="cs"/>
          <w:rtl/>
        </w:rPr>
        <w:t>ל</w:t>
      </w:r>
      <w:r>
        <w:rPr>
          <w:rFonts w:hint="cs"/>
          <w:rtl/>
        </w:rPr>
        <w:t xml:space="preserve">קריית </w:t>
      </w:r>
      <w:bookmarkStart w:id="44865" w:name="_ETM_Q84_665739"/>
      <w:bookmarkEnd w:id="44865"/>
      <w:r>
        <w:rPr>
          <w:rFonts w:hint="cs"/>
          <w:rtl/>
        </w:rPr>
        <w:t xml:space="preserve">שמונה </w:t>
      </w:r>
      <w:bookmarkStart w:id="44866" w:name="_ETM_Q84_666040"/>
      <w:bookmarkEnd w:id="44866"/>
      <w:r>
        <w:rPr>
          <w:rFonts w:hint="cs"/>
          <w:rtl/>
        </w:rPr>
        <w:t xml:space="preserve">אוניברסיטה? </w:t>
      </w:r>
      <w:bookmarkStart w:id="44867" w:name="_ETM_Q84_667230"/>
      <w:bookmarkEnd w:id="44867"/>
      <w:r>
        <w:rPr>
          <w:rFonts w:hint="cs"/>
          <w:rtl/>
        </w:rPr>
        <w:t xml:space="preserve">לא </w:t>
      </w:r>
      <w:bookmarkStart w:id="44868" w:name="_ETM_Q84_667590"/>
      <w:bookmarkEnd w:id="44868"/>
      <w:r>
        <w:rPr>
          <w:rFonts w:hint="cs"/>
          <w:rtl/>
        </w:rPr>
        <w:t xml:space="preserve">מגיעה </w:t>
      </w:r>
      <w:bookmarkStart w:id="44869" w:name="_ETM_Q84_667950"/>
      <w:bookmarkEnd w:id="44869"/>
      <w:r>
        <w:rPr>
          <w:rFonts w:hint="cs"/>
          <w:rtl/>
        </w:rPr>
        <w:t xml:space="preserve">לפריפריה </w:t>
      </w:r>
      <w:bookmarkStart w:id="44870" w:name="_ETM_Q84_668640"/>
      <w:bookmarkEnd w:id="44870"/>
      <w:r>
        <w:rPr>
          <w:rFonts w:hint="cs"/>
          <w:rtl/>
        </w:rPr>
        <w:t xml:space="preserve">בצפון </w:t>
      </w:r>
      <w:bookmarkStart w:id="44871" w:name="_ETM_Q84_669060"/>
      <w:bookmarkEnd w:id="44871"/>
      <w:r>
        <w:rPr>
          <w:rFonts w:hint="cs"/>
          <w:rtl/>
        </w:rPr>
        <w:t xml:space="preserve">אוניברסיטה? </w:t>
      </w:r>
      <w:bookmarkStart w:id="44872" w:name="_ETM_Q84_670700"/>
      <w:bookmarkEnd w:id="44872"/>
      <w:r>
        <w:rPr>
          <w:rFonts w:hint="cs"/>
          <w:rtl/>
        </w:rPr>
        <w:t xml:space="preserve">הכול </w:t>
      </w:r>
      <w:bookmarkStart w:id="44873" w:name="_ETM_Q84_671060"/>
      <w:bookmarkEnd w:id="44873"/>
      <w:r>
        <w:rPr>
          <w:rFonts w:hint="cs"/>
          <w:rtl/>
        </w:rPr>
        <w:t xml:space="preserve">מוכן, </w:t>
      </w:r>
      <w:bookmarkStart w:id="44874" w:name="_ETM_Q84_671690"/>
      <w:bookmarkEnd w:id="44874"/>
      <w:r>
        <w:rPr>
          <w:rFonts w:hint="cs"/>
          <w:rtl/>
        </w:rPr>
        <w:t xml:space="preserve">המל"ג </w:t>
      </w:r>
      <w:bookmarkStart w:id="44875" w:name="_ETM_Q84_672170"/>
      <w:bookmarkEnd w:id="44875"/>
      <w:r>
        <w:rPr>
          <w:rFonts w:hint="cs"/>
          <w:rtl/>
        </w:rPr>
        <w:t xml:space="preserve">אישר, </w:t>
      </w:r>
      <w:bookmarkStart w:id="44876" w:name="_ETM_Q84_673270"/>
      <w:bookmarkEnd w:id="44876"/>
      <w:r>
        <w:rPr>
          <w:rFonts w:hint="cs"/>
          <w:rtl/>
        </w:rPr>
        <w:t xml:space="preserve">עבר </w:t>
      </w:r>
      <w:bookmarkStart w:id="44877" w:name="_ETM_Q84_673599"/>
      <w:bookmarkEnd w:id="44877"/>
      <w:r>
        <w:rPr>
          <w:rFonts w:hint="cs"/>
          <w:rtl/>
        </w:rPr>
        <w:t xml:space="preserve">כבר תקציב. </w:t>
      </w:r>
      <w:bookmarkStart w:id="44878" w:name="_ETM_Q84_674080"/>
      <w:bookmarkStart w:id="44879" w:name="_ETM_Q84_675160"/>
      <w:bookmarkEnd w:id="44878"/>
      <w:bookmarkEnd w:id="44879"/>
      <w:r>
        <w:rPr>
          <w:rFonts w:hint="cs"/>
          <w:rtl/>
        </w:rPr>
        <w:t xml:space="preserve">לא, </w:t>
      </w:r>
      <w:bookmarkStart w:id="44880" w:name="_ETM_Q84_675700"/>
      <w:bookmarkEnd w:id="44880"/>
      <w:r>
        <w:rPr>
          <w:rFonts w:hint="cs"/>
          <w:rtl/>
        </w:rPr>
        <w:t xml:space="preserve">השר </w:t>
      </w:r>
      <w:bookmarkStart w:id="44881" w:name="_ETM_Q84_676180"/>
      <w:bookmarkEnd w:id="44881"/>
      <w:r>
        <w:rPr>
          <w:rFonts w:hint="cs"/>
          <w:rtl/>
        </w:rPr>
        <w:t xml:space="preserve">קיש </w:t>
      </w:r>
      <w:bookmarkStart w:id="44882" w:name="_ETM_Q84_676360"/>
      <w:bookmarkEnd w:id="44882"/>
      <w:r>
        <w:rPr>
          <w:rFonts w:hint="cs"/>
          <w:rtl/>
        </w:rPr>
        <w:t xml:space="preserve">עוצר </w:t>
      </w:r>
      <w:bookmarkStart w:id="44883" w:name="_ETM_Q84_676750"/>
      <w:bookmarkEnd w:id="44883"/>
      <w:r>
        <w:rPr>
          <w:rFonts w:hint="cs"/>
          <w:rtl/>
        </w:rPr>
        <w:t xml:space="preserve">את </w:t>
      </w:r>
      <w:bookmarkStart w:id="44884" w:name="_ETM_Q84_676840"/>
      <w:bookmarkEnd w:id="44884"/>
      <w:r>
        <w:rPr>
          <w:rFonts w:hint="cs"/>
          <w:rtl/>
        </w:rPr>
        <w:t xml:space="preserve">זה. </w:t>
      </w:r>
      <w:bookmarkStart w:id="44885" w:name="_ETM_Q84_677909"/>
      <w:bookmarkEnd w:id="44885"/>
      <w:r>
        <w:rPr>
          <w:rFonts w:hint="cs"/>
          <w:rtl/>
        </w:rPr>
        <w:t xml:space="preserve">למה? </w:t>
      </w:r>
      <w:bookmarkStart w:id="44886" w:name="_ETM_Q84_679010"/>
      <w:bookmarkEnd w:id="44886"/>
      <w:r>
        <w:rPr>
          <w:rFonts w:hint="cs"/>
          <w:rtl/>
        </w:rPr>
        <w:t xml:space="preserve">ככה. </w:t>
      </w:r>
      <w:bookmarkStart w:id="44887" w:name="_ETM_Q84_682880"/>
      <w:bookmarkEnd w:id="44887"/>
      <w:r>
        <w:rPr>
          <w:rFonts w:hint="cs"/>
          <w:rtl/>
        </w:rPr>
        <w:t xml:space="preserve">ואחרי </w:t>
      </w:r>
      <w:bookmarkStart w:id="44888" w:name="_ETM_Q84_683210"/>
      <w:bookmarkEnd w:id="44888"/>
      <w:r>
        <w:rPr>
          <w:rFonts w:hint="cs"/>
          <w:rtl/>
        </w:rPr>
        <w:t xml:space="preserve">זה </w:t>
      </w:r>
      <w:bookmarkStart w:id="44889" w:name="_ETM_Q84_683360"/>
      <w:bookmarkEnd w:id="44889"/>
      <w:r>
        <w:rPr>
          <w:rFonts w:hint="cs"/>
          <w:rtl/>
        </w:rPr>
        <w:t xml:space="preserve">מדברים </w:t>
      </w:r>
      <w:bookmarkStart w:id="44890" w:name="_ETM_Q84_683870"/>
      <w:bookmarkEnd w:id="44890"/>
      <w:r>
        <w:rPr>
          <w:rFonts w:hint="cs"/>
          <w:rtl/>
        </w:rPr>
        <w:t xml:space="preserve">על </w:t>
      </w:r>
      <w:bookmarkStart w:id="44891" w:name="_ETM_Q84_683959"/>
      <w:bookmarkEnd w:id="44891"/>
      <w:r>
        <w:rPr>
          <w:rFonts w:hint="cs"/>
          <w:rtl/>
        </w:rPr>
        <w:t xml:space="preserve">זה </w:t>
      </w:r>
      <w:bookmarkStart w:id="44892" w:name="_ETM_Q84_684110"/>
      <w:bookmarkEnd w:id="44892"/>
      <w:r>
        <w:rPr>
          <w:rFonts w:hint="cs"/>
          <w:rtl/>
        </w:rPr>
        <w:t xml:space="preserve">שאתם </w:t>
      </w:r>
      <w:bookmarkStart w:id="44893" w:name="_ETM_Q84_684470"/>
      <w:bookmarkEnd w:id="44893"/>
      <w:r>
        <w:rPr>
          <w:rFonts w:hint="cs"/>
          <w:rtl/>
        </w:rPr>
        <w:t xml:space="preserve">רוצים </w:t>
      </w:r>
      <w:bookmarkStart w:id="44894" w:name="_ETM_Q84_684800"/>
      <w:bookmarkEnd w:id="44894"/>
      <w:r>
        <w:rPr>
          <w:rFonts w:hint="cs"/>
          <w:rtl/>
        </w:rPr>
        <w:t xml:space="preserve">לפתור </w:t>
      </w:r>
      <w:bookmarkStart w:id="44895" w:name="_ETM_Q84_685130"/>
      <w:bookmarkEnd w:id="44895"/>
      <w:r>
        <w:rPr>
          <w:rFonts w:hint="cs"/>
          <w:rtl/>
        </w:rPr>
        <w:t xml:space="preserve">בעיות </w:t>
      </w:r>
      <w:bookmarkStart w:id="44896" w:name="_ETM_Q84_685400"/>
      <w:bookmarkEnd w:id="44896"/>
      <w:r>
        <w:rPr>
          <w:rFonts w:hint="cs"/>
          <w:rtl/>
        </w:rPr>
        <w:t xml:space="preserve">בפריפריה. </w:t>
      </w:r>
      <w:bookmarkStart w:id="44897" w:name="_ETM_Q84_686270"/>
      <w:bookmarkEnd w:id="44897"/>
      <w:r>
        <w:rPr>
          <w:rFonts w:hint="cs"/>
          <w:rtl/>
        </w:rPr>
        <w:t xml:space="preserve">אז </w:t>
      </w:r>
      <w:bookmarkStart w:id="44898" w:name="_ETM_Q84_686510"/>
      <w:bookmarkEnd w:id="44898"/>
      <w:r>
        <w:rPr>
          <w:rFonts w:hint="cs"/>
          <w:rtl/>
        </w:rPr>
        <w:t xml:space="preserve">אם </w:t>
      </w:r>
      <w:bookmarkStart w:id="44899" w:name="_ETM_Q84_686630"/>
      <w:bookmarkEnd w:id="44899"/>
      <w:r>
        <w:rPr>
          <w:rFonts w:hint="cs"/>
          <w:rtl/>
        </w:rPr>
        <w:t xml:space="preserve">לא </w:t>
      </w:r>
      <w:bookmarkStart w:id="44900" w:name="_ETM_Q84_686780"/>
      <w:bookmarkEnd w:id="44900"/>
      <w:r>
        <w:rPr>
          <w:rFonts w:hint="cs"/>
          <w:rtl/>
        </w:rPr>
        <w:t xml:space="preserve">תהיה </w:t>
      </w:r>
      <w:bookmarkStart w:id="44901" w:name="_ETM_Q84_687020"/>
      <w:bookmarkEnd w:id="44901"/>
      <w:r>
        <w:rPr>
          <w:rFonts w:hint="cs"/>
          <w:rtl/>
        </w:rPr>
        <w:t xml:space="preserve">אוניברסיטה </w:t>
      </w:r>
      <w:bookmarkStart w:id="44902" w:name="_ETM_Q84_687500"/>
      <w:bookmarkEnd w:id="44902"/>
      <w:r>
        <w:rPr>
          <w:rFonts w:hint="cs"/>
          <w:rtl/>
        </w:rPr>
        <w:t xml:space="preserve">בצפון, </w:t>
      </w:r>
      <w:bookmarkStart w:id="44903" w:name="_ETM_Q84_688550"/>
      <w:bookmarkEnd w:id="44903"/>
      <w:r>
        <w:rPr>
          <w:rFonts w:hint="cs"/>
          <w:rtl/>
        </w:rPr>
        <w:t xml:space="preserve">זה </w:t>
      </w:r>
      <w:bookmarkStart w:id="44904" w:name="_ETM_Q84_688730"/>
      <w:bookmarkEnd w:id="44904"/>
      <w:r>
        <w:rPr>
          <w:rFonts w:hint="cs"/>
          <w:rtl/>
        </w:rPr>
        <w:t xml:space="preserve">ישפיע </w:t>
      </w:r>
      <w:bookmarkStart w:id="44905" w:name="_ETM_Q84_689180"/>
      <w:bookmarkEnd w:id="44905"/>
      <w:r>
        <w:rPr>
          <w:rFonts w:hint="cs"/>
          <w:rtl/>
        </w:rPr>
        <w:t xml:space="preserve">גם </w:t>
      </w:r>
      <w:bookmarkStart w:id="44906" w:name="_ETM_Q84_689390"/>
      <w:bookmarkEnd w:id="44906"/>
      <w:r>
        <w:rPr>
          <w:rFonts w:hint="cs"/>
          <w:rtl/>
        </w:rPr>
        <w:t xml:space="preserve">על </w:t>
      </w:r>
      <w:bookmarkStart w:id="44907" w:name="_ETM_Q84_689510"/>
      <w:bookmarkEnd w:id="44907"/>
      <w:r>
        <w:rPr>
          <w:rFonts w:hint="cs"/>
          <w:rtl/>
        </w:rPr>
        <w:t xml:space="preserve">העסקים, </w:t>
      </w:r>
      <w:bookmarkStart w:id="44908" w:name="_ETM_Q84_690680"/>
      <w:bookmarkEnd w:id="44908"/>
      <w:r>
        <w:rPr>
          <w:rFonts w:hint="cs"/>
          <w:rtl/>
        </w:rPr>
        <w:t xml:space="preserve">זה </w:t>
      </w:r>
      <w:bookmarkStart w:id="44909" w:name="_ETM_Q84_690860"/>
      <w:bookmarkEnd w:id="44909"/>
      <w:r>
        <w:rPr>
          <w:rFonts w:hint="cs"/>
          <w:rtl/>
        </w:rPr>
        <w:t xml:space="preserve">ישפיע </w:t>
      </w:r>
      <w:bookmarkStart w:id="44910" w:name="_ETM_Q84_691280"/>
      <w:bookmarkEnd w:id="44910"/>
      <w:r>
        <w:rPr>
          <w:rFonts w:hint="cs"/>
          <w:rtl/>
        </w:rPr>
        <w:t xml:space="preserve">על </w:t>
      </w:r>
      <w:bookmarkStart w:id="44911" w:name="_ETM_Q84_691400"/>
      <w:bookmarkEnd w:id="44911"/>
      <w:r>
        <w:rPr>
          <w:rFonts w:hint="cs"/>
          <w:rtl/>
        </w:rPr>
        <w:t>הבנייה</w:t>
      </w:r>
      <w:r w:rsidR="00733545">
        <w:rPr>
          <w:rFonts w:hint="cs"/>
          <w:rtl/>
        </w:rPr>
        <w:t>,</w:t>
      </w:r>
      <w:r>
        <w:rPr>
          <w:rFonts w:hint="cs"/>
          <w:rtl/>
        </w:rPr>
        <w:t xml:space="preserve"> </w:t>
      </w:r>
      <w:bookmarkStart w:id="44912" w:name="_ETM_Q84_692840"/>
      <w:bookmarkEnd w:id="44912"/>
      <w:r>
        <w:rPr>
          <w:rFonts w:hint="cs"/>
          <w:rtl/>
        </w:rPr>
        <w:t xml:space="preserve">זה </w:t>
      </w:r>
      <w:bookmarkStart w:id="44913" w:name="_ETM_Q84_693019"/>
      <w:bookmarkEnd w:id="44913"/>
      <w:r>
        <w:rPr>
          <w:rFonts w:hint="cs"/>
          <w:rtl/>
        </w:rPr>
        <w:t xml:space="preserve">משפיע </w:t>
      </w:r>
      <w:bookmarkStart w:id="44914" w:name="_ETM_Q84_693409"/>
      <w:bookmarkEnd w:id="44914"/>
      <w:r>
        <w:rPr>
          <w:rFonts w:hint="cs"/>
          <w:rtl/>
        </w:rPr>
        <w:t xml:space="preserve">על </w:t>
      </w:r>
      <w:bookmarkStart w:id="44915" w:name="_ETM_Q84_693500"/>
      <w:bookmarkEnd w:id="44915"/>
      <w:r>
        <w:rPr>
          <w:rFonts w:hint="cs"/>
          <w:rtl/>
        </w:rPr>
        <w:t xml:space="preserve">כל </w:t>
      </w:r>
      <w:bookmarkStart w:id="44916" w:name="_ETM_Q84_693709"/>
      <w:bookmarkEnd w:id="44916"/>
      <w:r>
        <w:rPr>
          <w:rFonts w:hint="cs"/>
          <w:rtl/>
        </w:rPr>
        <w:t xml:space="preserve">פרמטר. </w:t>
      </w:r>
      <w:bookmarkStart w:id="44917" w:name="_ETM_Q84_696200"/>
      <w:bookmarkEnd w:id="44917"/>
      <w:r>
        <w:rPr>
          <w:rFonts w:hint="cs"/>
          <w:rtl/>
        </w:rPr>
        <w:t xml:space="preserve">אני </w:t>
      </w:r>
      <w:bookmarkStart w:id="44918" w:name="_ETM_Q84_696470"/>
      <w:bookmarkEnd w:id="44918"/>
      <w:r>
        <w:rPr>
          <w:rFonts w:hint="cs"/>
          <w:rtl/>
        </w:rPr>
        <w:t xml:space="preserve">קורא </w:t>
      </w:r>
      <w:bookmarkStart w:id="44919" w:name="_ETM_Q84_696709"/>
      <w:bookmarkEnd w:id="44919"/>
      <w:r>
        <w:rPr>
          <w:rFonts w:hint="cs"/>
          <w:rtl/>
        </w:rPr>
        <w:t xml:space="preserve">לשר </w:t>
      </w:r>
      <w:bookmarkStart w:id="44920" w:name="_ETM_Q84_697069"/>
      <w:bookmarkEnd w:id="44920"/>
      <w:r>
        <w:rPr>
          <w:rFonts w:hint="cs"/>
          <w:rtl/>
        </w:rPr>
        <w:t xml:space="preserve">קיש </w:t>
      </w:r>
      <w:bookmarkStart w:id="44921" w:name="_ETM_Q84_697760"/>
      <w:bookmarkEnd w:id="44921"/>
      <w:r>
        <w:rPr>
          <w:rFonts w:hint="cs"/>
          <w:rtl/>
        </w:rPr>
        <w:t xml:space="preserve">לאמץ </w:t>
      </w:r>
      <w:bookmarkStart w:id="44922" w:name="_ETM_Q84_698360"/>
      <w:bookmarkEnd w:id="44922"/>
      <w:r>
        <w:rPr>
          <w:rFonts w:hint="cs"/>
          <w:rtl/>
        </w:rPr>
        <w:t xml:space="preserve">את </w:t>
      </w:r>
      <w:bookmarkStart w:id="44923" w:name="_ETM_Q84_698420"/>
      <w:bookmarkEnd w:id="44923"/>
      <w:r>
        <w:rPr>
          <w:rFonts w:hint="cs"/>
          <w:rtl/>
        </w:rPr>
        <w:t xml:space="preserve">ההחלטות </w:t>
      </w:r>
      <w:bookmarkStart w:id="44924" w:name="_ETM_Q84_698840"/>
      <w:bookmarkEnd w:id="44924"/>
      <w:r>
        <w:rPr>
          <w:rFonts w:hint="cs"/>
          <w:rtl/>
        </w:rPr>
        <w:t xml:space="preserve">של </w:t>
      </w:r>
      <w:bookmarkStart w:id="44925" w:name="_ETM_Q84_698959"/>
      <w:bookmarkEnd w:id="44925"/>
      <w:r>
        <w:rPr>
          <w:rFonts w:hint="cs"/>
          <w:rtl/>
        </w:rPr>
        <w:t xml:space="preserve">המל"ג </w:t>
      </w:r>
      <w:bookmarkStart w:id="44926" w:name="_ETM_Q84_699980"/>
      <w:bookmarkEnd w:id="44926"/>
      <w:r>
        <w:rPr>
          <w:rFonts w:hint="cs"/>
          <w:rtl/>
        </w:rPr>
        <w:t xml:space="preserve">ולפעול </w:t>
      </w:r>
      <w:bookmarkStart w:id="44927" w:name="_ETM_Q84_700549"/>
      <w:bookmarkEnd w:id="44927"/>
      <w:r>
        <w:rPr>
          <w:rFonts w:hint="cs"/>
          <w:rtl/>
        </w:rPr>
        <w:t xml:space="preserve">להקמת </w:t>
      </w:r>
      <w:bookmarkStart w:id="44928" w:name="_ETM_Q84_700999"/>
      <w:bookmarkEnd w:id="44928"/>
      <w:r>
        <w:rPr>
          <w:rFonts w:hint="cs"/>
          <w:rtl/>
        </w:rPr>
        <w:t>האוניברסיטה.</w:t>
      </w:r>
    </w:p>
    <w:p w:rsidR="00BB59CD" w:rsidRDefault="00BB59CD" w:rsidP="00BB59CD">
      <w:pPr>
        <w:rPr>
          <w:rtl/>
        </w:rPr>
      </w:pPr>
    </w:p>
    <w:p w:rsidR="00BB59CD" w:rsidRDefault="00BB59CD" w:rsidP="00733545">
      <w:pPr>
        <w:rPr>
          <w:rtl/>
        </w:rPr>
      </w:pPr>
      <w:bookmarkStart w:id="44929" w:name="_ETM_Q84_703270"/>
      <w:bookmarkEnd w:id="44929"/>
      <w:r>
        <w:rPr>
          <w:rFonts w:hint="cs"/>
          <w:rtl/>
        </w:rPr>
        <w:t xml:space="preserve">ממשלה </w:t>
      </w:r>
      <w:bookmarkStart w:id="44930" w:name="_ETM_Q84_703780"/>
      <w:bookmarkEnd w:id="44930"/>
      <w:r>
        <w:rPr>
          <w:rFonts w:hint="cs"/>
          <w:rtl/>
        </w:rPr>
        <w:t xml:space="preserve">שמדברת </w:t>
      </w:r>
      <w:bookmarkStart w:id="44931" w:name="_ETM_Q84_704380"/>
      <w:bookmarkEnd w:id="44931"/>
      <w:r>
        <w:rPr>
          <w:rFonts w:hint="cs"/>
          <w:rtl/>
        </w:rPr>
        <w:t xml:space="preserve">על </w:t>
      </w:r>
      <w:bookmarkStart w:id="44932" w:name="_ETM_Q84_704470"/>
      <w:bookmarkEnd w:id="44932"/>
      <w:r>
        <w:rPr>
          <w:rFonts w:hint="cs"/>
          <w:rtl/>
        </w:rPr>
        <w:t xml:space="preserve">גיוון </w:t>
      </w:r>
      <w:bookmarkStart w:id="44933" w:name="_ETM_Q84_704860"/>
      <w:bookmarkEnd w:id="44933"/>
      <w:r>
        <w:rPr>
          <w:rFonts w:hint="cs"/>
          <w:rtl/>
        </w:rPr>
        <w:t xml:space="preserve">של </w:t>
      </w:r>
      <w:bookmarkStart w:id="44934" w:name="_ETM_Q84_705010"/>
      <w:bookmarkEnd w:id="44934"/>
      <w:r>
        <w:rPr>
          <w:rFonts w:hint="cs"/>
          <w:rtl/>
        </w:rPr>
        <w:t xml:space="preserve">שופטים </w:t>
      </w:r>
      <w:bookmarkStart w:id="44935" w:name="_ETM_Q84_705429"/>
      <w:bookmarkEnd w:id="44935"/>
      <w:r>
        <w:rPr>
          <w:rFonts w:hint="cs"/>
          <w:rtl/>
        </w:rPr>
        <w:t xml:space="preserve">– אתם </w:t>
      </w:r>
      <w:bookmarkStart w:id="44936" w:name="_ETM_Q84_705670"/>
      <w:bookmarkEnd w:id="44936"/>
      <w:r>
        <w:rPr>
          <w:rFonts w:hint="cs"/>
          <w:rtl/>
        </w:rPr>
        <w:t xml:space="preserve">כל </w:t>
      </w:r>
      <w:bookmarkStart w:id="44937" w:name="_ETM_Q84_705910"/>
      <w:bookmarkEnd w:id="44937"/>
      <w:r>
        <w:rPr>
          <w:rFonts w:hint="cs"/>
          <w:rtl/>
        </w:rPr>
        <w:t xml:space="preserve">הזמן </w:t>
      </w:r>
      <w:bookmarkStart w:id="44938" w:name="_ETM_Q84_706150"/>
      <w:bookmarkEnd w:id="44938"/>
      <w:r>
        <w:rPr>
          <w:rFonts w:hint="cs"/>
          <w:rtl/>
        </w:rPr>
        <w:t xml:space="preserve">מדברים </w:t>
      </w:r>
      <w:bookmarkStart w:id="44939" w:name="_ETM_Q84_706510"/>
      <w:bookmarkEnd w:id="44939"/>
      <w:r>
        <w:rPr>
          <w:rFonts w:hint="cs"/>
          <w:rtl/>
        </w:rPr>
        <w:t xml:space="preserve">על </w:t>
      </w:r>
      <w:bookmarkStart w:id="44940" w:name="_ETM_Q84_706600"/>
      <w:bookmarkEnd w:id="44940"/>
      <w:r>
        <w:rPr>
          <w:rFonts w:hint="cs"/>
          <w:rtl/>
        </w:rPr>
        <w:t xml:space="preserve">שופטים </w:t>
      </w:r>
      <w:bookmarkStart w:id="44941" w:name="_ETM_Q84_706929"/>
      <w:bookmarkEnd w:id="44941"/>
      <w:r>
        <w:rPr>
          <w:rFonts w:hint="cs"/>
          <w:rtl/>
        </w:rPr>
        <w:t xml:space="preserve">בבית </w:t>
      </w:r>
      <w:bookmarkStart w:id="44942" w:name="_ETM_Q84_707140"/>
      <w:bookmarkEnd w:id="44942"/>
      <w:r>
        <w:rPr>
          <w:rFonts w:hint="cs"/>
          <w:rtl/>
        </w:rPr>
        <w:t xml:space="preserve">המשפט </w:t>
      </w:r>
      <w:bookmarkStart w:id="44943" w:name="_ETM_Q84_707530"/>
      <w:bookmarkEnd w:id="44943"/>
      <w:r>
        <w:rPr>
          <w:rFonts w:hint="cs"/>
          <w:rtl/>
        </w:rPr>
        <w:t xml:space="preserve">העליון, </w:t>
      </w:r>
      <w:bookmarkStart w:id="44944" w:name="_ETM_Q84_708640"/>
      <w:bookmarkEnd w:id="44944"/>
      <w:r>
        <w:rPr>
          <w:rFonts w:hint="cs"/>
          <w:rtl/>
        </w:rPr>
        <w:t xml:space="preserve">כל </w:t>
      </w:r>
      <w:bookmarkStart w:id="44945" w:name="_ETM_Q84_708909"/>
      <w:bookmarkEnd w:id="44945"/>
      <w:r>
        <w:rPr>
          <w:rFonts w:hint="cs"/>
          <w:rtl/>
        </w:rPr>
        <w:t xml:space="preserve">הזמן. אין </w:t>
      </w:r>
      <w:bookmarkStart w:id="44946" w:name="_ETM_Q84_709299"/>
      <w:bookmarkStart w:id="44947" w:name="_ETM_Q84_709450"/>
      <w:bookmarkEnd w:id="44946"/>
      <w:bookmarkEnd w:id="44947"/>
      <w:r>
        <w:rPr>
          <w:rFonts w:hint="cs"/>
          <w:rtl/>
        </w:rPr>
        <w:t xml:space="preserve">מזרחים, </w:t>
      </w:r>
      <w:bookmarkStart w:id="44948" w:name="_ETM_Q84_710200"/>
      <w:bookmarkEnd w:id="44948"/>
      <w:r>
        <w:rPr>
          <w:rFonts w:hint="cs"/>
          <w:rtl/>
        </w:rPr>
        <w:t xml:space="preserve">אין </w:t>
      </w:r>
      <w:bookmarkStart w:id="44949" w:name="_ETM_Q84_710379"/>
      <w:bookmarkEnd w:id="44949"/>
      <w:r>
        <w:rPr>
          <w:rFonts w:hint="cs"/>
          <w:rtl/>
        </w:rPr>
        <w:t xml:space="preserve">ערבים, </w:t>
      </w:r>
      <w:bookmarkStart w:id="44950" w:name="_ETM_Q84_711370"/>
      <w:bookmarkEnd w:id="44950"/>
      <w:r>
        <w:rPr>
          <w:rFonts w:hint="cs"/>
          <w:rtl/>
        </w:rPr>
        <w:t xml:space="preserve">אין </w:t>
      </w:r>
      <w:bookmarkStart w:id="44951" w:name="_ETM_Q84_711730"/>
      <w:bookmarkEnd w:id="44951"/>
      <w:r>
        <w:rPr>
          <w:rFonts w:hint="cs"/>
          <w:rtl/>
        </w:rPr>
        <w:t xml:space="preserve">ואין </w:t>
      </w:r>
      <w:bookmarkStart w:id="44952" w:name="_ETM_Q84_712090"/>
      <w:bookmarkEnd w:id="44952"/>
      <w:r>
        <w:rPr>
          <w:rFonts w:hint="cs"/>
          <w:rtl/>
        </w:rPr>
        <w:t xml:space="preserve">ואין </w:t>
      </w:r>
      <w:bookmarkStart w:id="44953" w:name="_ETM_Q84_712420"/>
      <w:bookmarkEnd w:id="44953"/>
      <w:r>
        <w:rPr>
          <w:rFonts w:hint="cs"/>
          <w:rtl/>
        </w:rPr>
        <w:t xml:space="preserve">ואין </w:t>
      </w:r>
      <w:bookmarkStart w:id="44954" w:name="_ETM_Q84_712780"/>
      <w:bookmarkEnd w:id="44954"/>
      <w:r>
        <w:rPr>
          <w:rFonts w:hint="cs"/>
          <w:rtl/>
        </w:rPr>
        <w:t xml:space="preserve">ואין, </w:t>
      </w:r>
      <w:bookmarkStart w:id="44955" w:name="_ETM_Q84_713970"/>
      <w:bookmarkEnd w:id="44955"/>
      <w:r>
        <w:rPr>
          <w:rFonts w:hint="cs"/>
          <w:rtl/>
        </w:rPr>
        <w:t xml:space="preserve">וטוענים </w:t>
      </w:r>
      <w:bookmarkStart w:id="44956" w:name="_ETM_Q84_714480"/>
      <w:bookmarkEnd w:id="44956"/>
      <w:r>
        <w:rPr>
          <w:rFonts w:hint="cs"/>
          <w:rtl/>
        </w:rPr>
        <w:t xml:space="preserve">שזה </w:t>
      </w:r>
      <w:bookmarkStart w:id="44957" w:name="_ETM_Q84_714720"/>
      <w:bookmarkEnd w:id="44957"/>
      <w:r>
        <w:rPr>
          <w:rFonts w:hint="cs"/>
          <w:rtl/>
        </w:rPr>
        <w:t xml:space="preserve">קשור </w:t>
      </w:r>
      <w:bookmarkStart w:id="44958" w:name="_ETM_Q84_715050"/>
      <w:bookmarkStart w:id="44959" w:name="_ETM_Q84_715380"/>
      <w:bookmarkEnd w:id="44958"/>
      <w:bookmarkEnd w:id="44959"/>
      <w:r>
        <w:rPr>
          <w:rFonts w:hint="cs"/>
          <w:rtl/>
        </w:rPr>
        <w:t xml:space="preserve">לרפורמה. </w:t>
      </w:r>
      <w:bookmarkStart w:id="44960" w:name="_ETM_Q84_715740"/>
      <w:bookmarkStart w:id="44961" w:name="_ETM_Q84_716850"/>
      <w:bookmarkStart w:id="44962" w:name="_ETM_Q84_717030"/>
      <w:bookmarkEnd w:id="44960"/>
      <w:bookmarkEnd w:id="44961"/>
      <w:bookmarkEnd w:id="44962"/>
      <w:r>
        <w:rPr>
          <w:rFonts w:hint="cs"/>
          <w:rtl/>
        </w:rPr>
        <w:t xml:space="preserve">אז 40 </w:t>
      </w:r>
      <w:bookmarkStart w:id="44963" w:name="_ETM_Q84_717390"/>
      <w:bookmarkEnd w:id="44963"/>
      <w:r>
        <w:rPr>
          <w:rFonts w:hint="cs"/>
          <w:rtl/>
        </w:rPr>
        <w:t xml:space="preserve">שנה </w:t>
      </w:r>
      <w:bookmarkStart w:id="44964" w:name="_ETM_Q84_717660"/>
      <w:bookmarkEnd w:id="44964"/>
      <w:r>
        <w:rPr>
          <w:rFonts w:hint="cs"/>
          <w:rtl/>
        </w:rPr>
        <w:t xml:space="preserve">הייתם </w:t>
      </w:r>
      <w:bookmarkStart w:id="44965" w:name="_ETM_Q84_717870"/>
      <w:bookmarkEnd w:id="44965"/>
      <w:r>
        <w:rPr>
          <w:rFonts w:hint="cs"/>
          <w:rtl/>
        </w:rPr>
        <w:t xml:space="preserve">בשלטון, </w:t>
      </w:r>
      <w:bookmarkStart w:id="44966" w:name="_ETM_Q84_719110"/>
      <w:bookmarkEnd w:id="44966"/>
      <w:r>
        <w:rPr>
          <w:rFonts w:hint="cs"/>
          <w:rtl/>
        </w:rPr>
        <w:t xml:space="preserve">ומי מינה </w:t>
      </w:r>
      <w:bookmarkStart w:id="44967" w:name="_ETM_Q84_720069"/>
      <w:bookmarkEnd w:id="44967"/>
      <w:r>
        <w:rPr>
          <w:rFonts w:hint="cs"/>
          <w:rtl/>
        </w:rPr>
        <w:t xml:space="preserve">את </w:t>
      </w:r>
      <w:bookmarkStart w:id="44968" w:name="_ETM_Q84_720250"/>
      <w:bookmarkEnd w:id="44968"/>
      <w:r>
        <w:rPr>
          <w:rFonts w:hint="cs"/>
          <w:rtl/>
        </w:rPr>
        <w:t xml:space="preserve">השופטת המרוקאית </w:t>
      </w:r>
      <w:bookmarkStart w:id="44969" w:name="_ETM_Q84_721360"/>
      <w:bookmarkEnd w:id="44969"/>
      <w:r>
        <w:rPr>
          <w:rFonts w:hint="cs"/>
          <w:rtl/>
        </w:rPr>
        <w:t xml:space="preserve">הראשונה </w:t>
      </w:r>
      <w:bookmarkStart w:id="44970" w:name="_ETM_Q84_721900"/>
      <w:bookmarkEnd w:id="44970"/>
      <w:r>
        <w:rPr>
          <w:rFonts w:hint="cs"/>
          <w:rtl/>
        </w:rPr>
        <w:t xml:space="preserve">לבית </w:t>
      </w:r>
      <w:bookmarkStart w:id="44971" w:name="_ETM_Q84_722170"/>
      <w:bookmarkEnd w:id="44971"/>
      <w:r>
        <w:rPr>
          <w:rFonts w:hint="cs"/>
          <w:rtl/>
        </w:rPr>
        <w:t xml:space="preserve">המשפט </w:t>
      </w:r>
      <w:bookmarkStart w:id="44972" w:name="_ETM_Q84_722559"/>
      <w:bookmarkEnd w:id="44972"/>
      <w:r>
        <w:rPr>
          <w:rFonts w:hint="cs"/>
          <w:rtl/>
        </w:rPr>
        <w:t xml:space="preserve">העליון? </w:t>
      </w:r>
      <w:bookmarkStart w:id="44973" w:name="_ETM_Q84_724029"/>
      <w:bookmarkEnd w:id="44973"/>
      <w:r>
        <w:rPr>
          <w:rFonts w:hint="cs"/>
          <w:rtl/>
        </w:rPr>
        <w:t xml:space="preserve">מי </w:t>
      </w:r>
      <w:bookmarkStart w:id="44974" w:name="_ETM_Q84_724299"/>
      <w:bookmarkEnd w:id="44974"/>
      <w:r>
        <w:rPr>
          <w:rFonts w:hint="cs"/>
          <w:rtl/>
        </w:rPr>
        <w:t xml:space="preserve">מינה? </w:t>
      </w:r>
      <w:bookmarkStart w:id="44975" w:name="_ETM_Q84_725199"/>
      <w:bookmarkEnd w:id="44975"/>
      <w:r>
        <w:rPr>
          <w:rFonts w:hint="cs"/>
          <w:rtl/>
        </w:rPr>
        <w:t xml:space="preserve">ממשלת </w:t>
      </w:r>
      <w:bookmarkStart w:id="44976" w:name="_ETM_Q84_725829"/>
      <w:bookmarkEnd w:id="44976"/>
      <w:r>
        <w:rPr>
          <w:rFonts w:hint="cs"/>
          <w:rtl/>
        </w:rPr>
        <w:t xml:space="preserve">השינוי. </w:t>
      </w:r>
      <w:bookmarkStart w:id="44977" w:name="_ETM_Q84_727409"/>
      <w:bookmarkEnd w:id="44977"/>
      <w:r>
        <w:rPr>
          <w:rFonts w:hint="cs"/>
          <w:rtl/>
        </w:rPr>
        <w:t xml:space="preserve">לא </w:t>
      </w:r>
      <w:bookmarkStart w:id="44978" w:name="_ETM_Q84_727799"/>
      <w:bookmarkEnd w:id="44978"/>
      <w:r>
        <w:rPr>
          <w:rFonts w:hint="cs"/>
          <w:rtl/>
        </w:rPr>
        <w:t xml:space="preserve">ממשלת </w:t>
      </w:r>
      <w:bookmarkStart w:id="44979" w:name="_ETM_Q84_728429"/>
      <w:bookmarkEnd w:id="44979"/>
      <w:r>
        <w:rPr>
          <w:rFonts w:hint="cs"/>
          <w:rtl/>
        </w:rPr>
        <w:t xml:space="preserve">ביבי, </w:t>
      </w:r>
      <w:bookmarkStart w:id="44980" w:name="_ETM_Q84_729769"/>
      <w:bookmarkEnd w:id="44980"/>
      <w:r>
        <w:rPr>
          <w:rFonts w:hint="cs"/>
          <w:rtl/>
        </w:rPr>
        <w:t xml:space="preserve">לא </w:t>
      </w:r>
      <w:bookmarkStart w:id="44981" w:name="_ETM_Q84_730069"/>
      <w:bookmarkEnd w:id="44981"/>
      <w:r>
        <w:rPr>
          <w:rFonts w:hint="cs"/>
          <w:rtl/>
        </w:rPr>
        <w:t xml:space="preserve">הליכוד; </w:t>
      </w:r>
      <w:bookmarkStart w:id="44982" w:name="_ETM_Q84_732230"/>
      <w:bookmarkEnd w:id="44982"/>
      <w:r>
        <w:rPr>
          <w:rFonts w:hint="cs"/>
          <w:rtl/>
        </w:rPr>
        <w:t xml:space="preserve">ממשלת </w:t>
      </w:r>
      <w:bookmarkStart w:id="44983" w:name="_ETM_Q84_732920"/>
      <w:bookmarkEnd w:id="44983"/>
      <w:r>
        <w:rPr>
          <w:rFonts w:hint="cs"/>
          <w:rtl/>
        </w:rPr>
        <w:t>השינוי מינתה</w:t>
      </w:r>
      <w:bookmarkStart w:id="44984" w:name="_ETM_Q84_733850"/>
      <w:bookmarkEnd w:id="44984"/>
      <w:r>
        <w:rPr>
          <w:rFonts w:hint="cs"/>
          <w:rtl/>
        </w:rPr>
        <w:t xml:space="preserve">, </w:t>
      </w:r>
      <w:bookmarkStart w:id="44985" w:name="_ETM_Q84_735090"/>
      <w:bookmarkEnd w:id="44985"/>
      <w:r>
        <w:rPr>
          <w:rFonts w:hint="cs"/>
          <w:rtl/>
        </w:rPr>
        <w:t xml:space="preserve">אז </w:t>
      </w:r>
      <w:bookmarkStart w:id="44986" w:name="_ETM_Q84_735239"/>
      <w:bookmarkEnd w:id="44986"/>
      <w:r>
        <w:rPr>
          <w:rFonts w:hint="cs"/>
          <w:rtl/>
        </w:rPr>
        <w:t xml:space="preserve">תפסיקו </w:t>
      </w:r>
      <w:bookmarkStart w:id="44987" w:name="_ETM_Q84_735659"/>
      <w:bookmarkEnd w:id="44987"/>
      <w:r>
        <w:rPr>
          <w:rFonts w:hint="cs"/>
          <w:rtl/>
        </w:rPr>
        <w:t xml:space="preserve">לבלבל </w:t>
      </w:r>
      <w:bookmarkStart w:id="44988" w:name="_ETM_Q84_735989"/>
      <w:bookmarkEnd w:id="44988"/>
      <w:r>
        <w:rPr>
          <w:rFonts w:hint="cs"/>
          <w:rtl/>
        </w:rPr>
        <w:t xml:space="preserve">את </w:t>
      </w:r>
      <w:bookmarkStart w:id="44989" w:name="_ETM_Q84_736050"/>
      <w:bookmarkEnd w:id="44989"/>
      <w:r>
        <w:rPr>
          <w:rFonts w:hint="cs"/>
          <w:rtl/>
        </w:rPr>
        <w:t xml:space="preserve">המוח </w:t>
      </w:r>
      <w:bookmarkStart w:id="44990" w:name="_ETM_Q84_736320"/>
      <w:bookmarkEnd w:id="44990"/>
      <w:r>
        <w:rPr>
          <w:rFonts w:hint="cs"/>
          <w:rtl/>
        </w:rPr>
        <w:t xml:space="preserve">שזה </w:t>
      </w:r>
      <w:bookmarkStart w:id="44991" w:name="_ETM_Q84_736559"/>
      <w:bookmarkEnd w:id="44991"/>
      <w:r>
        <w:rPr>
          <w:rFonts w:hint="cs"/>
          <w:rtl/>
        </w:rPr>
        <w:t xml:space="preserve">חלק </w:t>
      </w:r>
      <w:bookmarkStart w:id="44992" w:name="_ETM_Q84_736830"/>
      <w:bookmarkEnd w:id="44992"/>
      <w:r>
        <w:rPr>
          <w:rFonts w:hint="cs"/>
          <w:rtl/>
        </w:rPr>
        <w:t>מהרפורמה.</w:t>
      </w:r>
    </w:p>
    <w:p w:rsidR="00BB59CD" w:rsidRDefault="00BB59CD" w:rsidP="00BB59CD">
      <w:pPr>
        <w:rPr>
          <w:rtl/>
        </w:rPr>
      </w:pPr>
      <w:bookmarkStart w:id="44993" w:name="_ETM_Q84_739000"/>
      <w:bookmarkEnd w:id="44993"/>
    </w:p>
    <w:p w:rsidR="00BB59CD" w:rsidRDefault="00BB59CD" w:rsidP="00733545">
      <w:pPr>
        <w:rPr>
          <w:rtl/>
        </w:rPr>
      </w:pPr>
      <w:bookmarkStart w:id="44994" w:name="_ETM_Q84_740000"/>
      <w:bookmarkStart w:id="44995" w:name="_ETM_Q84_740460"/>
      <w:bookmarkEnd w:id="44994"/>
      <w:bookmarkEnd w:id="44995"/>
      <w:r>
        <w:rPr>
          <w:rFonts w:hint="cs"/>
          <w:rtl/>
        </w:rPr>
        <w:t xml:space="preserve">ממשלה </w:t>
      </w:r>
      <w:bookmarkStart w:id="44996" w:name="_ETM_Q84_741030"/>
      <w:bookmarkEnd w:id="44996"/>
      <w:r>
        <w:rPr>
          <w:rFonts w:hint="cs"/>
          <w:rtl/>
        </w:rPr>
        <w:t xml:space="preserve">שרוצה </w:t>
      </w:r>
      <w:bookmarkStart w:id="44997" w:name="_ETM_Q84_741450"/>
      <w:bookmarkEnd w:id="44997"/>
      <w:r>
        <w:rPr>
          <w:rFonts w:hint="cs"/>
          <w:rtl/>
        </w:rPr>
        <w:t xml:space="preserve">לשנות </w:t>
      </w:r>
      <w:bookmarkStart w:id="44998" w:name="_ETM_Q84_741960"/>
      <w:bookmarkEnd w:id="44998"/>
      <w:r>
        <w:rPr>
          <w:rFonts w:hint="cs"/>
          <w:rtl/>
        </w:rPr>
        <w:t xml:space="preserve">את </w:t>
      </w:r>
      <w:bookmarkStart w:id="44999" w:name="_ETM_Q84_742050"/>
      <w:bookmarkEnd w:id="44999"/>
      <w:r>
        <w:rPr>
          <w:rFonts w:hint="cs"/>
          <w:rtl/>
        </w:rPr>
        <w:t xml:space="preserve">שיטת </w:t>
      </w:r>
      <w:bookmarkStart w:id="45000" w:name="_ETM_Q84_742470"/>
      <w:bookmarkEnd w:id="45000"/>
      <w:r>
        <w:rPr>
          <w:rFonts w:hint="cs"/>
          <w:rtl/>
        </w:rPr>
        <w:t xml:space="preserve">הממשל </w:t>
      </w:r>
      <w:bookmarkStart w:id="45001" w:name="_ETM_Q84_743100"/>
      <w:bookmarkEnd w:id="45001"/>
      <w:r>
        <w:rPr>
          <w:rFonts w:hint="cs"/>
          <w:rtl/>
        </w:rPr>
        <w:t xml:space="preserve">המשטר </w:t>
      </w:r>
      <w:bookmarkStart w:id="45002" w:name="_ETM_Q84_743550"/>
      <w:bookmarkEnd w:id="45002"/>
      <w:r>
        <w:rPr>
          <w:rFonts w:hint="cs"/>
          <w:rtl/>
        </w:rPr>
        <w:t xml:space="preserve">בישראל </w:t>
      </w:r>
      <w:bookmarkStart w:id="45003" w:name="_ETM_Q84_744600"/>
      <w:bookmarkEnd w:id="45003"/>
      <w:r>
        <w:rPr>
          <w:rFonts w:hint="cs"/>
          <w:rtl/>
        </w:rPr>
        <w:t xml:space="preserve">באופן </w:t>
      </w:r>
      <w:bookmarkStart w:id="45004" w:name="_ETM_Q84_744990"/>
      <w:bookmarkEnd w:id="45004"/>
      <w:r>
        <w:rPr>
          <w:rFonts w:hint="cs"/>
          <w:rtl/>
        </w:rPr>
        <w:t xml:space="preserve">חד-צדדי </w:t>
      </w:r>
      <w:bookmarkStart w:id="45005" w:name="_ETM_Q84_746699"/>
      <w:bookmarkEnd w:id="45005"/>
      <w:r>
        <w:rPr>
          <w:rFonts w:hint="cs"/>
          <w:rtl/>
        </w:rPr>
        <w:t xml:space="preserve">ומתלוננת </w:t>
      </w:r>
      <w:bookmarkStart w:id="45006" w:name="_ETM_Q84_747690"/>
      <w:bookmarkEnd w:id="45006"/>
      <w:r>
        <w:rPr>
          <w:rFonts w:hint="cs"/>
          <w:rtl/>
        </w:rPr>
        <w:t xml:space="preserve">על </w:t>
      </w:r>
      <w:bookmarkStart w:id="45007" w:name="_ETM_Q84_747780"/>
      <w:bookmarkEnd w:id="45007"/>
      <w:r>
        <w:rPr>
          <w:rFonts w:hint="cs"/>
          <w:rtl/>
        </w:rPr>
        <w:t xml:space="preserve">פגיעה </w:t>
      </w:r>
      <w:bookmarkStart w:id="45008" w:name="_ETM_Q84_748080"/>
      <w:bookmarkEnd w:id="45008"/>
      <w:r>
        <w:rPr>
          <w:rFonts w:hint="cs"/>
          <w:rtl/>
        </w:rPr>
        <w:t>בדמוקרטיה</w:t>
      </w:r>
      <w:r w:rsidR="00733545">
        <w:rPr>
          <w:rFonts w:hint="cs"/>
          <w:rtl/>
        </w:rPr>
        <w:t>.</w:t>
      </w:r>
      <w:r>
        <w:rPr>
          <w:rFonts w:hint="cs"/>
          <w:rtl/>
        </w:rPr>
        <w:t xml:space="preserve"> </w:t>
      </w:r>
      <w:bookmarkStart w:id="45009" w:name="_ETM_Q84_750850"/>
      <w:bookmarkEnd w:id="45009"/>
      <w:r>
        <w:rPr>
          <w:rFonts w:hint="cs"/>
          <w:rtl/>
        </w:rPr>
        <w:t xml:space="preserve">אני </w:t>
      </w:r>
      <w:bookmarkStart w:id="45010" w:name="_ETM_Q84_751030"/>
      <w:bookmarkEnd w:id="45010"/>
      <w:r>
        <w:rPr>
          <w:rFonts w:hint="cs"/>
          <w:rtl/>
        </w:rPr>
        <w:t xml:space="preserve">מחזיר </w:t>
      </w:r>
      <w:bookmarkStart w:id="45011" w:name="_ETM_Q84_751360"/>
      <w:bookmarkEnd w:id="45011"/>
      <w:r>
        <w:rPr>
          <w:rFonts w:hint="cs"/>
          <w:rtl/>
        </w:rPr>
        <w:t xml:space="preserve">אתכם </w:t>
      </w:r>
      <w:bookmarkStart w:id="45012" w:name="_ETM_Q84_751630"/>
      <w:bookmarkEnd w:id="45012"/>
      <w:r>
        <w:rPr>
          <w:rFonts w:hint="cs"/>
          <w:rtl/>
        </w:rPr>
        <w:t xml:space="preserve">לנאום </w:t>
      </w:r>
      <w:bookmarkStart w:id="45013" w:name="_ETM_Q84_752020"/>
      <w:bookmarkEnd w:id="45013"/>
      <w:r>
        <w:rPr>
          <w:rFonts w:hint="cs"/>
          <w:rtl/>
        </w:rPr>
        <w:t xml:space="preserve">של </w:t>
      </w:r>
      <w:bookmarkStart w:id="45014" w:name="_ETM_Q84_752200"/>
      <w:bookmarkEnd w:id="45014"/>
      <w:r>
        <w:rPr>
          <w:rFonts w:hint="cs"/>
          <w:rtl/>
        </w:rPr>
        <w:t xml:space="preserve">יריב </w:t>
      </w:r>
      <w:bookmarkStart w:id="45015" w:name="_ETM_Q84_752500"/>
      <w:bookmarkEnd w:id="45015"/>
      <w:r>
        <w:rPr>
          <w:rFonts w:hint="cs"/>
          <w:rtl/>
        </w:rPr>
        <w:t xml:space="preserve">לוין </w:t>
      </w:r>
      <w:bookmarkStart w:id="45016" w:name="_ETM_Q84_753809"/>
      <w:bookmarkEnd w:id="45016"/>
      <w:r>
        <w:rPr>
          <w:rFonts w:hint="cs"/>
          <w:rtl/>
        </w:rPr>
        <w:t>השחצני</w:t>
      </w:r>
      <w:bookmarkStart w:id="45017" w:name="_ETM_Q84_754650"/>
      <w:bookmarkStart w:id="45018" w:name="_ETM_Q84_754740"/>
      <w:bookmarkEnd w:id="45017"/>
      <w:bookmarkEnd w:id="45018"/>
      <w:r>
        <w:rPr>
          <w:rFonts w:hint="cs"/>
          <w:rtl/>
        </w:rPr>
        <w:t xml:space="preserve">, היהיר, </w:t>
      </w:r>
      <w:bookmarkStart w:id="45019" w:name="_ETM_Q84_756409"/>
      <w:bookmarkEnd w:id="45019"/>
      <w:r>
        <w:rPr>
          <w:rFonts w:hint="cs"/>
          <w:rtl/>
        </w:rPr>
        <w:t xml:space="preserve">ה-64 </w:t>
      </w:r>
      <w:bookmarkStart w:id="45020" w:name="_ETM_Q84_757279"/>
      <w:bookmarkEnd w:id="45020"/>
      <w:r>
        <w:rPr>
          <w:rFonts w:hint="cs"/>
          <w:rtl/>
        </w:rPr>
        <w:t xml:space="preserve">מנדטים. </w:t>
      </w:r>
      <w:bookmarkStart w:id="45021" w:name="_ETM_Q84_759139"/>
      <w:bookmarkEnd w:id="45021"/>
      <w:r>
        <w:rPr>
          <w:rFonts w:hint="cs"/>
          <w:rtl/>
        </w:rPr>
        <w:t xml:space="preserve">אז </w:t>
      </w:r>
      <w:bookmarkStart w:id="45022" w:name="_ETM_Q84_759289"/>
      <w:bookmarkEnd w:id="45022"/>
      <w:r>
        <w:rPr>
          <w:rFonts w:hint="cs"/>
          <w:rtl/>
        </w:rPr>
        <w:t xml:space="preserve">חברים, </w:t>
      </w:r>
      <w:bookmarkStart w:id="45023" w:name="_ETM_Q84_759830"/>
      <w:bookmarkEnd w:id="45023"/>
      <w:r>
        <w:rPr>
          <w:rFonts w:hint="cs"/>
          <w:rtl/>
        </w:rPr>
        <w:t xml:space="preserve">אומנם </w:t>
      </w:r>
      <w:bookmarkStart w:id="45024" w:name="_ETM_Q84_760220"/>
      <w:bookmarkEnd w:id="45024"/>
      <w:r>
        <w:rPr>
          <w:rFonts w:hint="cs"/>
          <w:rtl/>
        </w:rPr>
        <w:t xml:space="preserve">יש </w:t>
      </w:r>
      <w:bookmarkStart w:id="45025" w:name="_ETM_Q84_760309"/>
      <w:bookmarkEnd w:id="45025"/>
      <w:r>
        <w:rPr>
          <w:rFonts w:hint="cs"/>
          <w:rtl/>
        </w:rPr>
        <w:t xml:space="preserve">לכם </w:t>
      </w:r>
      <w:bookmarkStart w:id="45026" w:name="_ETM_Q84_760550"/>
      <w:bookmarkEnd w:id="45026"/>
      <w:r>
        <w:rPr>
          <w:rFonts w:hint="cs"/>
          <w:rtl/>
        </w:rPr>
        <w:t xml:space="preserve">64 </w:t>
      </w:r>
      <w:bookmarkStart w:id="45027" w:name="_ETM_Q84_761179"/>
      <w:bookmarkEnd w:id="45027"/>
      <w:r>
        <w:rPr>
          <w:rFonts w:hint="cs"/>
          <w:rtl/>
        </w:rPr>
        <w:t xml:space="preserve">מנדטים, </w:t>
      </w:r>
      <w:bookmarkStart w:id="45028" w:name="_ETM_Q84_763139"/>
      <w:bookmarkEnd w:id="45028"/>
      <w:r>
        <w:rPr>
          <w:rFonts w:hint="cs"/>
          <w:rtl/>
        </w:rPr>
        <w:t xml:space="preserve">אבל </w:t>
      </w:r>
      <w:bookmarkStart w:id="45029" w:name="_ETM_Q84_763380"/>
      <w:bookmarkEnd w:id="45029"/>
      <w:r>
        <w:rPr>
          <w:rFonts w:hint="cs"/>
          <w:rtl/>
        </w:rPr>
        <w:t xml:space="preserve">אין </w:t>
      </w:r>
      <w:bookmarkStart w:id="45030" w:name="_ETM_Q84_763500"/>
      <w:bookmarkEnd w:id="45030"/>
      <w:r>
        <w:rPr>
          <w:rFonts w:hint="cs"/>
          <w:rtl/>
        </w:rPr>
        <w:t xml:space="preserve">לכם </w:t>
      </w:r>
      <w:bookmarkStart w:id="45031" w:name="_ETM_Q84_763770"/>
      <w:bookmarkEnd w:id="45031"/>
      <w:r>
        <w:rPr>
          <w:rFonts w:hint="cs"/>
          <w:rtl/>
        </w:rPr>
        <w:t xml:space="preserve">זכות </w:t>
      </w:r>
      <w:bookmarkStart w:id="45032" w:name="_ETM_Q84_765130"/>
      <w:bookmarkEnd w:id="45032"/>
      <w:r>
        <w:rPr>
          <w:rFonts w:hint="cs"/>
          <w:rtl/>
        </w:rPr>
        <w:t xml:space="preserve">ואין </w:t>
      </w:r>
      <w:bookmarkStart w:id="45033" w:name="_ETM_Q84_765370"/>
      <w:bookmarkEnd w:id="45033"/>
      <w:r>
        <w:rPr>
          <w:rFonts w:hint="cs"/>
          <w:rtl/>
        </w:rPr>
        <w:t xml:space="preserve">לכם </w:t>
      </w:r>
      <w:bookmarkStart w:id="45034" w:name="_ETM_Q84_765610"/>
      <w:bookmarkEnd w:id="45034"/>
      <w:r>
        <w:rPr>
          <w:rFonts w:hint="cs"/>
          <w:rtl/>
        </w:rPr>
        <w:t xml:space="preserve">מנדט </w:t>
      </w:r>
      <w:bookmarkStart w:id="45035" w:name="_ETM_Q84_766809"/>
      <w:bookmarkEnd w:id="45035"/>
      <w:r>
        <w:rPr>
          <w:rFonts w:hint="cs"/>
          <w:rtl/>
        </w:rPr>
        <w:t xml:space="preserve">לעשות </w:t>
      </w:r>
      <w:bookmarkStart w:id="45036" w:name="_ETM_Q84_767320"/>
      <w:bookmarkEnd w:id="45036"/>
      <w:r>
        <w:rPr>
          <w:rFonts w:hint="cs"/>
          <w:rtl/>
        </w:rPr>
        <w:t xml:space="preserve">כל </w:t>
      </w:r>
      <w:bookmarkStart w:id="45037" w:name="_ETM_Q84_767500"/>
      <w:bookmarkEnd w:id="45037"/>
      <w:r>
        <w:rPr>
          <w:rFonts w:hint="cs"/>
          <w:rtl/>
        </w:rPr>
        <w:t xml:space="preserve">מה </w:t>
      </w:r>
      <w:bookmarkStart w:id="45038" w:name="_ETM_Q84_767590"/>
      <w:bookmarkEnd w:id="45038"/>
      <w:r>
        <w:rPr>
          <w:rFonts w:hint="cs"/>
          <w:rtl/>
        </w:rPr>
        <w:t xml:space="preserve">שבא </w:t>
      </w:r>
      <w:bookmarkStart w:id="45039" w:name="_ETM_Q84_767890"/>
      <w:bookmarkEnd w:id="45039"/>
      <w:r>
        <w:rPr>
          <w:rFonts w:hint="cs"/>
          <w:rtl/>
        </w:rPr>
        <w:t>ל</w:t>
      </w:r>
      <w:bookmarkStart w:id="45040" w:name="_ETM_Q84_769580"/>
      <w:bookmarkEnd w:id="45040"/>
      <w:r>
        <w:rPr>
          <w:rFonts w:hint="cs"/>
          <w:rtl/>
        </w:rPr>
        <w:t xml:space="preserve">כם. גם </w:t>
      </w:r>
      <w:bookmarkStart w:id="45041" w:name="_ETM_Q84_769850"/>
      <w:bookmarkEnd w:id="45041"/>
      <w:r>
        <w:rPr>
          <w:rFonts w:hint="cs"/>
          <w:rtl/>
        </w:rPr>
        <w:t xml:space="preserve">אני </w:t>
      </w:r>
      <w:bookmarkStart w:id="45042" w:name="_ETM_Q84_770240"/>
      <w:bookmarkEnd w:id="45042"/>
      <w:r>
        <w:rPr>
          <w:rFonts w:hint="cs"/>
          <w:rtl/>
        </w:rPr>
        <w:t xml:space="preserve">בשבוע </w:t>
      </w:r>
      <w:bookmarkStart w:id="45043" w:name="_ETM_Q84_770630"/>
      <w:bookmarkEnd w:id="45043"/>
      <w:r>
        <w:rPr>
          <w:rFonts w:hint="cs"/>
          <w:rtl/>
        </w:rPr>
        <w:t xml:space="preserve">שעבר </w:t>
      </w:r>
      <w:bookmarkStart w:id="45044" w:name="_ETM_Q84_771230"/>
      <w:bookmarkEnd w:id="45044"/>
      <w:r>
        <w:rPr>
          <w:rFonts w:hint="cs"/>
          <w:rtl/>
        </w:rPr>
        <w:t xml:space="preserve">הייתי </w:t>
      </w:r>
      <w:bookmarkStart w:id="45045" w:name="_ETM_Q84_771590"/>
      <w:bookmarkEnd w:id="45045"/>
      <w:r>
        <w:rPr>
          <w:rFonts w:hint="cs"/>
          <w:rtl/>
        </w:rPr>
        <w:t xml:space="preserve">בהצבעה </w:t>
      </w:r>
      <w:bookmarkStart w:id="45046" w:name="_ETM_Q84_772190"/>
      <w:bookmarkEnd w:id="45046"/>
      <w:r w:rsidR="00733545">
        <w:rPr>
          <w:rFonts w:hint="cs"/>
          <w:rtl/>
        </w:rPr>
        <w:t xml:space="preserve">על </w:t>
      </w:r>
      <w:r>
        <w:rPr>
          <w:rFonts w:hint="cs"/>
          <w:rtl/>
        </w:rPr>
        <w:t xml:space="preserve">בחירת </w:t>
      </w:r>
      <w:bookmarkStart w:id="45047" w:name="_ETM_Q84_772790"/>
      <w:bookmarkEnd w:id="45047"/>
      <w:r>
        <w:rPr>
          <w:rFonts w:hint="cs"/>
          <w:rtl/>
        </w:rPr>
        <w:t xml:space="preserve">יושב-ראש </w:t>
      </w:r>
      <w:bookmarkStart w:id="45048" w:name="_ETM_Q84_773300"/>
      <w:bookmarkEnd w:id="45048"/>
      <w:r>
        <w:rPr>
          <w:rFonts w:hint="cs"/>
          <w:rtl/>
        </w:rPr>
        <w:t xml:space="preserve">הבניין </w:t>
      </w:r>
      <w:bookmarkStart w:id="45049" w:name="_ETM_Q84_773690"/>
      <w:bookmarkEnd w:id="45049"/>
      <w:r>
        <w:rPr>
          <w:rFonts w:hint="cs"/>
          <w:rtl/>
        </w:rPr>
        <w:t xml:space="preserve">שלי, </w:t>
      </w:r>
      <w:bookmarkStart w:id="45050" w:name="_ETM_Q84_773929"/>
      <w:bookmarkEnd w:id="45050"/>
      <w:r>
        <w:rPr>
          <w:rFonts w:hint="cs"/>
          <w:rtl/>
        </w:rPr>
        <w:t xml:space="preserve">אדוני </w:t>
      </w:r>
      <w:bookmarkStart w:id="45051" w:name="_ETM_Q84_774170"/>
      <w:bookmarkEnd w:id="45051"/>
      <w:r>
        <w:rPr>
          <w:rFonts w:hint="cs"/>
          <w:rtl/>
        </w:rPr>
        <w:t xml:space="preserve">היושב-ראש, </w:t>
      </w:r>
      <w:bookmarkStart w:id="45052" w:name="_ETM_Q84_775050"/>
      <w:bookmarkEnd w:id="45052"/>
      <w:r>
        <w:rPr>
          <w:rFonts w:hint="cs"/>
          <w:rtl/>
        </w:rPr>
        <w:t xml:space="preserve">ובחרנו </w:t>
      </w:r>
      <w:bookmarkStart w:id="45053" w:name="_ETM_Q84_776129"/>
      <w:bookmarkEnd w:id="45053"/>
      <w:r>
        <w:rPr>
          <w:rFonts w:hint="cs"/>
          <w:rtl/>
        </w:rPr>
        <w:t xml:space="preserve">את </w:t>
      </w:r>
      <w:bookmarkStart w:id="45054" w:name="_ETM_Q84_776309"/>
      <w:bookmarkEnd w:id="45054"/>
      <w:r>
        <w:rPr>
          <w:rFonts w:hint="cs"/>
          <w:rtl/>
        </w:rPr>
        <w:t xml:space="preserve">אלון </w:t>
      </w:r>
      <w:bookmarkStart w:id="45055" w:name="_ETM_Q84_776669"/>
      <w:bookmarkEnd w:id="45055"/>
      <w:r>
        <w:rPr>
          <w:rFonts w:hint="cs"/>
          <w:rtl/>
        </w:rPr>
        <w:t>ליושב</w:t>
      </w:r>
      <w:bookmarkStart w:id="45056" w:name="_ETM_Q84_776969"/>
      <w:bookmarkEnd w:id="45056"/>
      <w:r>
        <w:rPr>
          <w:rFonts w:hint="cs"/>
          <w:rtl/>
        </w:rPr>
        <w:t xml:space="preserve">-ראש </w:t>
      </w:r>
      <w:bookmarkStart w:id="45057" w:name="_ETM_Q84_777120"/>
      <w:bookmarkEnd w:id="45057"/>
      <w:r>
        <w:rPr>
          <w:rFonts w:hint="cs"/>
          <w:rtl/>
        </w:rPr>
        <w:t xml:space="preserve">הבניין. </w:t>
      </w:r>
      <w:bookmarkStart w:id="45058" w:name="_ETM_Q84_778200"/>
      <w:bookmarkEnd w:id="45058"/>
      <w:r>
        <w:rPr>
          <w:rFonts w:hint="cs"/>
          <w:rtl/>
        </w:rPr>
        <w:t xml:space="preserve">תאר </w:t>
      </w:r>
      <w:bookmarkStart w:id="45059" w:name="_ETM_Q84_778770"/>
      <w:bookmarkEnd w:id="45059"/>
      <w:r>
        <w:rPr>
          <w:rFonts w:hint="cs"/>
          <w:rtl/>
        </w:rPr>
        <w:t xml:space="preserve">לך </w:t>
      </w:r>
      <w:bookmarkStart w:id="45060" w:name="_ETM_Q84_779100"/>
      <w:bookmarkEnd w:id="45060"/>
      <w:r>
        <w:rPr>
          <w:rFonts w:hint="cs"/>
          <w:rtl/>
        </w:rPr>
        <w:t xml:space="preserve">שבשבוע </w:t>
      </w:r>
      <w:bookmarkStart w:id="45061" w:name="_ETM_Q84_779550"/>
      <w:bookmarkEnd w:id="45061"/>
      <w:r>
        <w:rPr>
          <w:rFonts w:hint="cs"/>
          <w:rtl/>
        </w:rPr>
        <w:t xml:space="preserve">הבא </w:t>
      </w:r>
      <w:bookmarkStart w:id="45062" w:name="_ETM_Q84_779850"/>
      <w:bookmarkEnd w:id="45062"/>
      <w:r>
        <w:rPr>
          <w:rFonts w:hint="cs"/>
          <w:rtl/>
        </w:rPr>
        <w:t xml:space="preserve">יושב-ראש </w:t>
      </w:r>
      <w:bookmarkStart w:id="45063" w:name="_ETM_Q84_780420"/>
      <w:bookmarkEnd w:id="45063"/>
      <w:r>
        <w:rPr>
          <w:rFonts w:hint="cs"/>
          <w:rtl/>
        </w:rPr>
        <w:t xml:space="preserve">הבניין </w:t>
      </w:r>
      <w:bookmarkStart w:id="45064" w:name="_ETM_Q84_780870"/>
      <w:bookmarkEnd w:id="45064"/>
      <w:r>
        <w:rPr>
          <w:rFonts w:hint="cs"/>
          <w:rtl/>
        </w:rPr>
        <w:t xml:space="preserve">שלי יחליט שאת הזבל </w:t>
      </w:r>
      <w:bookmarkStart w:id="45065" w:name="_ETM_Q84_781000"/>
      <w:bookmarkEnd w:id="45065"/>
      <w:r>
        <w:rPr>
          <w:rFonts w:hint="cs"/>
          <w:rtl/>
        </w:rPr>
        <w:t xml:space="preserve">לא זורקים יותר בפח, אלא משאירים את זה במעלית. </w:t>
      </w:r>
      <w:bookmarkStart w:id="45066" w:name="_ETM_Q84_784000"/>
      <w:bookmarkEnd w:id="45066"/>
      <w:r>
        <w:rPr>
          <w:rFonts w:hint="cs"/>
          <w:rtl/>
        </w:rPr>
        <w:t xml:space="preserve">למה? כי בא לו. הוא היושב-ראש, הוא יכול להחליט. </w:t>
      </w:r>
      <w:bookmarkStart w:id="45067" w:name="TOR_Q85"/>
      <w:bookmarkStart w:id="45068" w:name="_ETM_Q85_180000"/>
      <w:bookmarkEnd w:id="45067"/>
      <w:bookmarkEnd w:id="45068"/>
      <w:r>
        <w:rPr>
          <w:rFonts w:hint="cs"/>
          <w:rtl/>
        </w:rPr>
        <w:t xml:space="preserve">זה שיש 64 מנדטים </w:t>
      </w:r>
      <w:bookmarkStart w:id="45069" w:name="_ETM_Q85_184950"/>
      <w:bookmarkStart w:id="45070" w:name="_ETM_Q85_190320"/>
      <w:bookmarkStart w:id="45071" w:name="_ETM_Q85_191910"/>
      <w:bookmarkEnd w:id="45069"/>
      <w:bookmarkEnd w:id="45070"/>
      <w:bookmarkEnd w:id="45071"/>
      <w:r>
        <w:rPr>
          <w:rFonts w:hint="cs"/>
          <w:rtl/>
        </w:rPr>
        <w:t xml:space="preserve">לא </w:t>
      </w:r>
      <w:bookmarkStart w:id="45072" w:name="_ETM_Q85_192179"/>
      <w:bookmarkEnd w:id="45072"/>
      <w:r>
        <w:rPr>
          <w:rFonts w:hint="cs"/>
          <w:rtl/>
        </w:rPr>
        <w:t xml:space="preserve">אומר </w:t>
      </w:r>
      <w:bookmarkStart w:id="45073" w:name="_ETM_Q85_192509"/>
      <w:bookmarkEnd w:id="45073"/>
      <w:r>
        <w:rPr>
          <w:rFonts w:hint="cs"/>
          <w:rtl/>
        </w:rPr>
        <w:t xml:space="preserve">שאתם </w:t>
      </w:r>
      <w:bookmarkStart w:id="45074" w:name="_ETM_Q85_192779"/>
      <w:bookmarkEnd w:id="45074"/>
      <w:r>
        <w:rPr>
          <w:rFonts w:hint="cs"/>
          <w:rtl/>
        </w:rPr>
        <w:t xml:space="preserve">יכולים </w:t>
      </w:r>
      <w:bookmarkStart w:id="45075" w:name="_ETM_Q85_193139"/>
      <w:bookmarkEnd w:id="45075"/>
      <w:r>
        <w:rPr>
          <w:rFonts w:hint="cs"/>
          <w:rtl/>
        </w:rPr>
        <w:t xml:space="preserve">לעשות </w:t>
      </w:r>
      <w:bookmarkStart w:id="45076" w:name="_ETM_Q85_193439"/>
      <w:bookmarkEnd w:id="45076"/>
      <w:r>
        <w:rPr>
          <w:rFonts w:hint="cs"/>
          <w:rtl/>
        </w:rPr>
        <w:t xml:space="preserve">ככל </w:t>
      </w:r>
      <w:bookmarkStart w:id="45077" w:name="_ETM_Q85_193859"/>
      <w:bookmarkEnd w:id="45077"/>
      <w:r>
        <w:rPr>
          <w:rFonts w:hint="cs"/>
          <w:rtl/>
        </w:rPr>
        <w:t xml:space="preserve">העולה </w:t>
      </w:r>
      <w:bookmarkStart w:id="45078" w:name="_ETM_Q85_194189"/>
      <w:bookmarkEnd w:id="45078"/>
      <w:r>
        <w:rPr>
          <w:rFonts w:hint="cs"/>
          <w:rtl/>
        </w:rPr>
        <w:t xml:space="preserve">על </w:t>
      </w:r>
      <w:bookmarkStart w:id="45079" w:name="_ETM_Q85_194279"/>
      <w:bookmarkEnd w:id="45079"/>
      <w:r>
        <w:rPr>
          <w:rFonts w:hint="cs"/>
          <w:rtl/>
        </w:rPr>
        <w:t xml:space="preserve">נפשכם. </w:t>
      </w:r>
      <w:bookmarkStart w:id="45080" w:name="_ETM_Q85_194400"/>
      <w:bookmarkStart w:id="45081" w:name="_ETM_Q85_196510"/>
      <w:bookmarkEnd w:id="45080"/>
      <w:bookmarkEnd w:id="45081"/>
      <w:r>
        <w:rPr>
          <w:rFonts w:hint="cs"/>
          <w:rtl/>
        </w:rPr>
        <w:t xml:space="preserve">ממשלה </w:t>
      </w:r>
      <w:bookmarkStart w:id="45082" w:name="_ETM_Q85_197020"/>
      <w:bookmarkEnd w:id="45082"/>
      <w:r>
        <w:rPr>
          <w:rFonts w:hint="cs"/>
          <w:rtl/>
        </w:rPr>
        <w:t xml:space="preserve">שרוצה </w:t>
      </w:r>
      <w:bookmarkStart w:id="45083" w:name="_ETM_Q85_197470"/>
      <w:bookmarkEnd w:id="45083"/>
      <w:r>
        <w:rPr>
          <w:rFonts w:hint="cs"/>
          <w:rtl/>
        </w:rPr>
        <w:t xml:space="preserve">לבטל </w:t>
      </w:r>
      <w:bookmarkStart w:id="45084" w:name="_ETM_Q85_198040"/>
      <w:bookmarkEnd w:id="45084"/>
      <w:r>
        <w:rPr>
          <w:rFonts w:hint="cs"/>
          <w:rtl/>
        </w:rPr>
        <w:t xml:space="preserve">את </w:t>
      </w:r>
      <w:bookmarkStart w:id="45085" w:name="_ETM_Q85_198460"/>
      <w:bookmarkEnd w:id="45085"/>
      <w:r>
        <w:rPr>
          <w:rFonts w:hint="cs"/>
          <w:rtl/>
        </w:rPr>
        <w:t xml:space="preserve">עילת הסבירות </w:t>
      </w:r>
      <w:bookmarkStart w:id="45086" w:name="_ETM_Q85_199339"/>
      <w:bookmarkEnd w:id="45086"/>
      <w:r>
        <w:rPr>
          <w:rFonts w:hint="cs"/>
          <w:rtl/>
        </w:rPr>
        <w:t xml:space="preserve">– אל </w:t>
      </w:r>
      <w:bookmarkStart w:id="45087" w:name="_ETM_Q85_199519"/>
      <w:bookmarkEnd w:id="45087"/>
      <w:r>
        <w:rPr>
          <w:rFonts w:hint="cs"/>
          <w:rtl/>
        </w:rPr>
        <w:t xml:space="preserve">תגידו </w:t>
      </w:r>
      <w:bookmarkStart w:id="45088" w:name="_ETM_Q85_199849"/>
      <w:bookmarkEnd w:id="45088"/>
      <w:r w:rsidR="00733545">
        <w:rPr>
          <w:rFonts w:hint="cs"/>
          <w:rtl/>
        </w:rPr>
        <w:t>"</w:t>
      </w:r>
      <w:r>
        <w:rPr>
          <w:rFonts w:hint="cs"/>
          <w:rtl/>
        </w:rPr>
        <w:t>לצמצם</w:t>
      </w:r>
      <w:r w:rsidR="00733545">
        <w:rPr>
          <w:rFonts w:hint="cs"/>
          <w:rtl/>
        </w:rPr>
        <w:t>"</w:t>
      </w:r>
      <w:r>
        <w:rPr>
          <w:rFonts w:hint="cs"/>
          <w:rtl/>
        </w:rPr>
        <w:t xml:space="preserve">, </w:t>
      </w:r>
      <w:bookmarkStart w:id="45089" w:name="_ETM_Q85_200659"/>
      <w:bookmarkEnd w:id="45089"/>
      <w:r>
        <w:rPr>
          <w:rFonts w:hint="cs"/>
          <w:rtl/>
        </w:rPr>
        <w:t xml:space="preserve">אתם </w:t>
      </w:r>
      <w:bookmarkStart w:id="45090" w:name="_ETM_Q85_200869"/>
      <w:bookmarkEnd w:id="45090"/>
      <w:r>
        <w:rPr>
          <w:rFonts w:hint="cs"/>
          <w:rtl/>
        </w:rPr>
        <w:t xml:space="preserve">רוצים </w:t>
      </w:r>
      <w:bookmarkStart w:id="45091" w:name="_ETM_Q85_201169"/>
      <w:bookmarkEnd w:id="45091"/>
      <w:r>
        <w:rPr>
          <w:rFonts w:hint="cs"/>
          <w:rtl/>
        </w:rPr>
        <w:t xml:space="preserve">לבטל </w:t>
      </w:r>
      <w:bookmarkStart w:id="45092" w:name="_ETM_Q85_201589"/>
      <w:bookmarkEnd w:id="45092"/>
      <w:r>
        <w:rPr>
          <w:rFonts w:hint="cs"/>
          <w:rtl/>
        </w:rPr>
        <w:t xml:space="preserve">את </w:t>
      </w:r>
      <w:bookmarkStart w:id="45093" w:name="_ETM_Q85_201679"/>
      <w:bookmarkEnd w:id="45093"/>
      <w:r>
        <w:rPr>
          <w:rFonts w:hint="cs"/>
          <w:rtl/>
        </w:rPr>
        <w:t xml:space="preserve">עילת </w:t>
      </w:r>
      <w:bookmarkStart w:id="45094" w:name="_ETM_Q85_201919"/>
      <w:bookmarkEnd w:id="45094"/>
      <w:r>
        <w:rPr>
          <w:rFonts w:hint="cs"/>
          <w:rtl/>
        </w:rPr>
        <w:t xml:space="preserve">הסבירות </w:t>
      </w:r>
      <w:bookmarkStart w:id="45095" w:name="_ETM_Q85_203520"/>
      <w:bookmarkEnd w:id="45095"/>
      <w:r>
        <w:rPr>
          <w:rFonts w:hint="cs"/>
          <w:rtl/>
        </w:rPr>
        <w:t xml:space="preserve">– אבל </w:t>
      </w:r>
      <w:bookmarkStart w:id="45096" w:name="_ETM_Q85_203789"/>
      <w:bookmarkEnd w:id="45096"/>
      <w:r>
        <w:rPr>
          <w:rFonts w:hint="cs"/>
          <w:rtl/>
        </w:rPr>
        <w:t xml:space="preserve">מדגימה </w:t>
      </w:r>
      <w:bookmarkStart w:id="45097" w:name="_ETM_Q85_204270"/>
      <w:bookmarkEnd w:id="45097"/>
      <w:r>
        <w:rPr>
          <w:rFonts w:hint="cs"/>
          <w:rtl/>
        </w:rPr>
        <w:t xml:space="preserve">באופן </w:t>
      </w:r>
      <w:bookmarkStart w:id="45098" w:name="_ETM_Q85_204689"/>
      <w:bookmarkEnd w:id="45098"/>
      <w:r>
        <w:rPr>
          <w:rFonts w:hint="cs"/>
          <w:rtl/>
        </w:rPr>
        <w:t xml:space="preserve">הכי </w:t>
      </w:r>
      <w:bookmarkStart w:id="45099" w:name="_ETM_Q85_204960"/>
      <w:bookmarkEnd w:id="45099"/>
      <w:r>
        <w:rPr>
          <w:rFonts w:hint="cs"/>
          <w:rtl/>
        </w:rPr>
        <w:t xml:space="preserve">טוב </w:t>
      </w:r>
      <w:bookmarkStart w:id="45100" w:name="_ETM_Q85_205230"/>
      <w:bookmarkEnd w:id="45100"/>
      <w:r>
        <w:rPr>
          <w:rFonts w:hint="cs"/>
          <w:rtl/>
        </w:rPr>
        <w:t xml:space="preserve">למה </w:t>
      </w:r>
      <w:bookmarkStart w:id="45101" w:name="_ETM_Q85_205470"/>
      <w:bookmarkEnd w:id="45101"/>
      <w:r>
        <w:rPr>
          <w:rFonts w:hint="cs"/>
          <w:rtl/>
        </w:rPr>
        <w:t xml:space="preserve">אנחנו </w:t>
      </w:r>
      <w:bookmarkStart w:id="45102" w:name="_ETM_Q85_205680"/>
      <w:bookmarkEnd w:id="45102"/>
      <w:r>
        <w:rPr>
          <w:rFonts w:hint="cs"/>
          <w:rtl/>
        </w:rPr>
        <w:t xml:space="preserve">חייבים </w:t>
      </w:r>
      <w:bookmarkStart w:id="45103" w:name="_ETM_Q85_206189"/>
      <w:bookmarkEnd w:id="45103"/>
      <w:r>
        <w:rPr>
          <w:rFonts w:hint="cs"/>
          <w:rtl/>
        </w:rPr>
        <w:t xml:space="preserve">את עילת </w:t>
      </w:r>
      <w:bookmarkStart w:id="45104" w:name="_ETM_Q85_206400"/>
      <w:bookmarkStart w:id="45105" w:name="_ETM_Q85_206699"/>
      <w:bookmarkStart w:id="45106" w:name="_ETM_Q85_206789"/>
      <w:bookmarkEnd w:id="45104"/>
      <w:bookmarkEnd w:id="45105"/>
      <w:bookmarkEnd w:id="45106"/>
      <w:r>
        <w:rPr>
          <w:rFonts w:hint="cs"/>
          <w:rtl/>
        </w:rPr>
        <w:t xml:space="preserve">הסבירות. </w:t>
      </w:r>
      <w:bookmarkStart w:id="45107" w:name="_ETM_Q85_207999"/>
      <w:bookmarkEnd w:id="45107"/>
      <w:r>
        <w:rPr>
          <w:rFonts w:hint="cs"/>
          <w:rtl/>
        </w:rPr>
        <w:t xml:space="preserve">בקיצור, </w:t>
      </w:r>
      <w:bookmarkStart w:id="45108" w:name="_ETM_Q85_209550"/>
      <w:bookmarkEnd w:id="45108"/>
      <w:r>
        <w:rPr>
          <w:rFonts w:hint="cs"/>
          <w:rtl/>
        </w:rPr>
        <w:t xml:space="preserve">עולם </w:t>
      </w:r>
      <w:bookmarkStart w:id="45109" w:name="_ETM_Q85_210029"/>
      <w:bookmarkEnd w:id="45109"/>
      <w:r>
        <w:rPr>
          <w:rFonts w:hint="cs"/>
          <w:rtl/>
        </w:rPr>
        <w:t xml:space="preserve">הפוך </w:t>
      </w:r>
      <w:bookmarkStart w:id="45110" w:name="_ETM_Q85_210449"/>
      <w:bookmarkEnd w:id="45110"/>
      <w:r>
        <w:rPr>
          <w:rFonts w:hint="cs"/>
          <w:rtl/>
        </w:rPr>
        <w:t xml:space="preserve">ראיתי, </w:t>
      </w:r>
      <w:bookmarkStart w:id="45111" w:name="_ETM_Q85_211199"/>
      <w:bookmarkEnd w:id="45111"/>
      <w:r>
        <w:rPr>
          <w:rFonts w:hint="cs"/>
          <w:rtl/>
        </w:rPr>
        <w:t xml:space="preserve">ממשלה </w:t>
      </w:r>
      <w:bookmarkStart w:id="45112" w:name="_ETM_Q85_211800"/>
      <w:bookmarkEnd w:id="45112"/>
      <w:r>
        <w:rPr>
          <w:rFonts w:hint="cs"/>
          <w:rtl/>
        </w:rPr>
        <w:t xml:space="preserve">הפוכה </w:t>
      </w:r>
      <w:bookmarkStart w:id="45113" w:name="_ETM_Q85_212960"/>
      <w:bookmarkEnd w:id="45113"/>
      <w:r>
        <w:rPr>
          <w:rFonts w:hint="cs"/>
          <w:rtl/>
        </w:rPr>
        <w:t xml:space="preserve">שמבצעת </w:t>
      </w:r>
      <w:bookmarkStart w:id="45114" w:name="_ETM_Q85_213950"/>
      <w:bookmarkEnd w:id="45114"/>
      <w:r>
        <w:rPr>
          <w:rFonts w:hint="cs"/>
          <w:rtl/>
        </w:rPr>
        <w:t xml:space="preserve">הפיכה. </w:t>
      </w:r>
      <w:bookmarkStart w:id="45115" w:name="_ETM_Q85_215620"/>
      <w:bookmarkEnd w:id="45115"/>
      <w:r>
        <w:rPr>
          <w:rFonts w:hint="cs"/>
          <w:rtl/>
        </w:rPr>
        <w:t xml:space="preserve">משרד </w:t>
      </w:r>
      <w:bookmarkStart w:id="45116" w:name="_ETM_Q85_216129"/>
      <w:bookmarkEnd w:id="45116"/>
      <w:r>
        <w:rPr>
          <w:rFonts w:hint="cs"/>
          <w:rtl/>
        </w:rPr>
        <w:t xml:space="preserve">הסברה </w:t>
      </w:r>
      <w:bookmarkStart w:id="45117" w:name="_ETM_Q85_216640"/>
      <w:bookmarkEnd w:id="45117"/>
      <w:r>
        <w:rPr>
          <w:rFonts w:hint="cs"/>
          <w:rtl/>
        </w:rPr>
        <w:t xml:space="preserve">שלם </w:t>
      </w:r>
      <w:bookmarkStart w:id="45118" w:name="_ETM_Q85_218300"/>
      <w:bookmarkEnd w:id="45118"/>
      <w:r>
        <w:rPr>
          <w:rFonts w:hint="cs"/>
          <w:rtl/>
        </w:rPr>
        <w:t xml:space="preserve">לא </w:t>
      </w:r>
      <w:bookmarkStart w:id="45119" w:name="_ETM_Q85_218479"/>
      <w:bookmarkEnd w:id="45119"/>
      <w:r>
        <w:rPr>
          <w:rFonts w:hint="cs"/>
          <w:rtl/>
        </w:rPr>
        <w:t xml:space="preserve">יסתיר </w:t>
      </w:r>
      <w:bookmarkStart w:id="45120" w:name="_ETM_Q85_218930"/>
      <w:bookmarkEnd w:id="45120"/>
      <w:r>
        <w:rPr>
          <w:rFonts w:hint="cs"/>
          <w:rtl/>
        </w:rPr>
        <w:t xml:space="preserve">את </w:t>
      </w:r>
      <w:bookmarkStart w:id="45121" w:name="_ETM_Q85_219080"/>
      <w:bookmarkEnd w:id="45121"/>
      <w:r>
        <w:rPr>
          <w:rFonts w:hint="cs"/>
          <w:rtl/>
        </w:rPr>
        <w:t xml:space="preserve">הבושה </w:t>
      </w:r>
      <w:bookmarkStart w:id="45122" w:name="_ETM_Q85_219680"/>
      <w:bookmarkEnd w:id="45122"/>
      <w:r>
        <w:rPr>
          <w:rFonts w:hint="cs"/>
          <w:rtl/>
        </w:rPr>
        <w:t xml:space="preserve">שלכם. </w:t>
      </w:r>
      <w:bookmarkStart w:id="45123" w:name="_ETM_Q85_220220"/>
      <w:bookmarkEnd w:id="45123"/>
      <w:r>
        <w:rPr>
          <w:rFonts w:hint="cs"/>
          <w:rtl/>
        </w:rPr>
        <w:t xml:space="preserve">לא </w:t>
      </w:r>
      <w:bookmarkStart w:id="45124" w:name="_ETM_Q85_220370"/>
      <w:bookmarkEnd w:id="45124"/>
      <w:r>
        <w:rPr>
          <w:rFonts w:hint="cs"/>
          <w:rtl/>
        </w:rPr>
        <w:t xml:space="preserve">יעזרו </w:t>
      </w:r>
      <w:bookmarkStart w:id="45125" w:name="_ETM_Q85_220850"/>
      <w:bookmarkEnd w:id="45125"/>
      <w:r>
        <w:rPr>
          <w:rFonts w:hint="cs"/>
          <w:rtl/>
        </w:rPr>
        <w:t xml:space="preserve">לגברת </w:t>
      </w:r>
      <w:bookmarkStart w:id="45126" w:name="_ETM_Q85_221390"/>
      <w:bookmarkEnd w:id="45126"/>
      <w:r>
        <w:rPr>
          <w:rFonts w:hint="cs"/>
          <w:rtl/>
        </w:rPr>
        <w:t xml:space="preserve">דיסטל </w:t>
      </w:r>
      <w:bookmarkStart w:id="45127" w:name="_ETM_Q85_221870"/>
      <w:bookmarkEnd w:id="45127"/>
      <w:r>
        <w:rPr>
          <w:rFonts w:hint="cs"/>
          <w:rtl/>
        </w:rPr>
        <w:t xml:space="preserve">אלף </w:t>
      </w:r>
      <w:bookmarkStart w:id="45128" w:name="_ETM_Q85_222170"/>
      <w:bookmarkEnd w:id="45128"/>
      <w:r>
        <w:rPr>
          <w:rFonts w:hint="cs"/>
          <w:rtl/>
        </w:rPr>
        <w:t xml:space="preserve">מדפסות. </w:t>
      </w:r>
      <w:bookmarkStart w:id="45129" w:name="_ETM_Q85_224950"/>
      <w:bookmarkEnd w:id="45129"/>
      <w:r>
        <w:rPr>
          <w:rFonts w:hint="cs"/>
          <w:rtl/>
        </w:rPr>
        <w:t xml:space="preserve">שום </w:t>
      </w:r>
      <w:bookmarkStart w:id="45130" w:name="_ETM_Q85_225280"/>
      <w:bookmarkEnd w:id="45130"/>
      <w:r>
        <w:rPr>
          <w:rFonts w:hint="cs"/>
          <w:rtl/>
        </w:rPr>
        <w:t xml:space="preserve">דבר </w:t>
      </w:r>
      <w:bookmarkStart w:id="45131" w:name="_ETM_Q85_225610"/>
      <w:bookmarkEnd w:id="45131"/>
      <w:r>
        <w:rPr>
          <w:rFonts w:hint="cs"/>
          <w:rtl/>
        </w:rPr>
        <w:t xml:space="preserve">אתם </w:t>
      </w:r>
      <w:bookmarkStart w:id="45132" w:name="_ETM_Q85_225850"/>
      <w:bookmarkEnd w:id="45132"/>
      <w:r>
        <w:rPr>
          <w:rFonts w:hint="cs"/>
          <w:rtl/>
        </w:rPr>
        <w:t xml:space="preserve">לא </w:t>
      </w:r>
      <w:bookmarkStart w:id="45133" w:name="_ETM_Q85_225970"/>
      <w:bookmarkEnd w:id="45133"/>
      <w:r>
        <w:rPr>
          <w:rFonts w:hint="cs"/>
          <w:rtl/>
        </w:rPr>
        <w:t xml:space="preserve">מצליחים </w:t>
      </w:r>
      <w:bookmarkStart w:id="45134" w:name="_ETM_Q85_226180"/>
      <w:bookmarkEnd w:id="45134"/>
      <w:r>
        <w:rPr>
          <w:rFonts w:hint="cs"/>
          <w:rtl/>
        </w:rPr>
        <w:t>להסביר.</w:t>
      </w:r>
    </w:p>
    <w:p w:rsidR="00BB59CD" w:rsidRDefault="00BB59CD" w:rsidP="00BB59CD">
      <w:pPr>
        <w:rPr>
          <w:rtl/>
        </w:rPr>
      </w:pPr>
    </w:p>
    <w:p w:rsidR="00BB59CD" w:rsidRDefault="00BB59CD" w:rsidP="00B335DE">
      <w:pPr>
        <w:rPr>
          <w:rtl/>
        </w:rPr>
      </w:pPr>
      <w:bookmarkStart w:id="45135" w:name="_ETM_Q85_229000"/>
      <w:bookmarkStart w:id="45136" w:name="_ETM_Q85_228070"/>
      <w:bookmarkEnd w:id="45135"/>
      <w:bookmarkEnd w:id="45136"/>
      <w:r>
        <w:rPr>
          <w:rFonts w:hint="cs"/>
          <w:rtl/>
        </w:rPr>
        <w:t xml:space="preserve">העובדות </w:t>
      </w:r>
      <w:bookmarkStart w:id="45137" w:name="_ETM_Q85_228610"/>
      <w:bookmarkEnd w:id="45137"/>
      <w:r>
        <w:rPr>
          <w:rFonts w:hint="cs"/>
          <w:rtl/>
        </w:rPr>
        <w:t xml:space="preserve">מדברות </w:t>
      </w:r>
      <w:bookmarkStart w:id="45138" w:name="_ETM_Q85_229090"/>
      <w:bookmarkEnd w:id="45138"/>
      <w:r>
        <w:rPr>
          <w:rFonts w:hint="cs"/>
          <w:rtl/>
        </w:rPr>
        <w:t xml:space="preserve">בעד </w:t>
      </w:r>
      <w:bookmarkStart w:id="45139" w:name="_ETM_Q85_229330"/>
      <w:bookmarkEnd w:id="45139"/>
      <w:r>
        <w:rPr>
          <w:rFonts w:hint="cs"/>
          <w:rtl/>
        </w:rPr>
        <w:t xml:space="preserve">עצמן. </w:t>
      </w:r>
      <w:bookmarkStart w:id="45140" w:name="_ETM_Q85_230110"/>
      <w:bookmarkEnd w:id="45140"/>
      <w:r>
        <w:rPr>
          <w:rFonts w:hint="cs"/>
          <w:rtl/>
        </w:rPr>
        <w:t xml:space="preserve">זאת </w:t>
      </w:r>
      <w:bookmarkStart w:id="45141" w:name="_ETM_Q85_230350"/>
      <w:bookmarkEnd w:id="45141"/>
      <w:r>
        <w:rPr>
          <w:rFonts w:hint="cs"/>
          <w:rtl/>
        </w:rPr>
        <w:t xml:space="preserve">ממשלת </w:t>
      </w:r>
      <w:bookmarkStart w:id="45142" w:name="_ETM_Q85_230860"/>
      <w:bookmarkEnd w:id="45142"/>
      <w:r>
        <w:rPr>
          <w:rFonts w:hint="cs"/>
          <w:rtl/>
        </w:rPr>
        <w:t xml:space="preserve">חורבן, </w:t>
      </w:r>
      <w:bookmarkStart w:id="45143" w:name="_ETM_Q85_231850"/>
      <w:bookmarkEnd w:id="45143"/>
      <w:r>
        <w:rPr>
          <w:rFonts w:hint="cs"/>
          <w:rtl/>
        </w:rPr>
        <w:t xml:space="preserve">נקודה. </w:t>
      </w:r>
      <w:bookmarkStart w:id="45144" w:name="_ETM_Q85_233200"/>
      <w:bookmarkEnd w:id="45144"/>
      <w:r>
        <w:rPr>
          <w:rFonts w:hint="cs"/>
          <w:rtl/>
        </w:rPr>
        <w:t xml:space="preserve">אני </w:t>
      </w:r>
      <w:bookmarkStart w:id="45145" w:name="_ETM_Q85_233470"/>
      <w:bookmarkEnd w:id="45145"/>
      <w:r>
        <w:rPr>
          <w:rFonts w:hint="cs"/>
          <w:rtl/>
        </w:rPr>
        <w:t xml:space="preserve">שמח </w:t>
      </w:r>
      <w:bookmarkStart w:id="45146" w:name="_ETM_Q85_233860"/>
      <w:bookmarkEnd w:id="45146"/>
      <w:r>
        <w:rPr>
          <w:rFonts w:hint="cs"/>
          <w:rtl/>
        </w:rPr>
        <w:t xml:space="preserve">שהשר </w:t>
      </w:r>
      <w:bookmarkStart w:id="45147" w:name="_ETM_Q85_234460"/>
      <w:bookmarkEnd w:id="45147"/>
      <w:r>
        <w:rPr>
          <w:rFonts w:hint="cs"/>
          <w:rtl/>
        </w:rPr>
        <w:t xml:space="preserve">מרגי </w:t>
      </w:r>
      <w:bookmarkStart w:id="45148" w:name="_ETM_Q85_234820"/>
      <w:bookmarkEnd w:id="45148"/>
      <w:r>
        <w:rPr>
          <w:rFonts w:hint="cs"/>
          <w:rtl/>
        </w:rPr>
        <w:t xml:space="preserve">נמצא </w:t>
      </w:r>
      <w:bookmarkStart w:id="45149" w:name="_ETM_Q85_235180"/>
      <w:bookmarkEnd w:id="45149"/>
      <w:r>
        <w:rPr>
          <w:rFonts w:hint="cs"/>
          <w:rtl/>
        </w:rPr>
        <w:t xml:space="preserve">פה. </w:t>
      </w:r>
      <w:bookmarkStart w:id="45150" w:name="_ETM_Q85_235870"/>
      <w:bookmarkEnd w:id="45150"/>
      <w:r>
        <w:rPr>
          <w:rFonts w:hint="cs"/>
          <w:rtl/>
        </w:rPr>
        <w:t xml:space="preserve">השר </w:t>
      </w:r>
      <w:bookmarkStart w:id="45151" w:name="_ETM_Q85_236260"/>
      <w:bookmarkEnd w:id="45151"/>
      <w:r>
        <w:rPr>
          <w:rFonts w:hint="cs"/>
          <w:rtl/>
        </w:rPr>
        <w:t xml:space="preserve">מרגי, </w:t>
      </w:r>
      <w:bookmarkStart w:id="45152" w:name="_ETM_Q85_236590"/>
      <w:bookmarkEnd w:id="45152"/>
      <w:r>
        <w:rPr>
          <w:rFonts w:hint="cs"/>
          <w:rtl/>
        </w:rPr>
        <w:t xml:space="preserve">אני </w:t>
      </w:r>
      <w:bookmarkStart w:id="45153" w:name="_ETM_Q85_236739"/>
      <w:bookmarkEnd w:id="45153"/>
      <w:r>
        <w:rPr>
          <w:rFonts w:hint="cs"/>
          <w:rtl/>
        </w:rPr>
        <w:t xml:space="preserve">פונה </w:t>
      </w:r>
      <w:bookmarkStart w:id="45154" w:name="_ETM_Q85_237070"/>
      <w:bookmarkEnd w:id="45154"/>
      <w:r>
        <w:rPr>
          <w:rFonts w:hint="cs"/>
          <w:rtl/>
        </w:rPr>
        <w:t xml:space="preserve">אליך. </w:t>
      </w:r>
      <w:bookmarkStart w:id="45155" w:name="_ETM_Q85_237400"/>
      <w:bookmarkEnd w:id="45155"/>
      <w:r>
        <w:rPr>
          <w:rFonts w:hint="cs"/>
          <w:rtl/>
        </w:rPr>
        <w:t xml:space="preserve">אתה </w:t>
      </w:r>
      <w:bookmarkStart w:id="45156" w:name="_ETM_Q85_237520"/>
      <w:bookmarkEnd w:id="45156"/>
      <w:r>
        <w:rPr>
          <w:rFonts w:hint="cs"/>
          <w:rtl/>
        </w:rPr>
        <w:t xml:space="preserve">יודע </w:t>
      </w:r>
      <w:bookmarkStart w:id="45157" w:name="_ETM_Q85_237700"/>
      <w:bookmarkEnd w:id="45157"/>
      <w:r>
        <w:rPr>
          <w:rFonts w:hint="cs"/>
          <w:rtl/>
        </w:rPr>
        <w:t xml:space="preserve">למה </w:t>
      </w:r>
      <w:bookmarkStart w:id="45158" w:name="_ETM_Q85_237910"/>
      <w:bookmarkEnd w:id="45158"/>
      <w:r>
        <w:rPr>
          <w:rFonts w:hint="cs"/>
          <w:rtl/>
        </w:rPr>
        <w:t xml:space="preserve">אני </w:t>
      </w:r>
      <w:bookmarkStart w:id="45159" w:name="_ETM_Q85_238030"/>
      <w:bookmarkEnd w:id="45159"/>
      <w:r>
        <w:rPr>
          <w:rFonts w:hint="cs"/>
          <w:rtl/>
        </w:rPr>
        <w:t>מתגעגע</w:t>
      </w:r>
      <w:bookmarkStart w:id="45160" w:name="_ETM_Q85_239440"/>
      <w:bookmarkEnd w:id="45160"/>
      <w:r>
        <w:rPr>
          <w:rFonts w:hint="cs"/>
          <w:rtl/>
        </w:rPr>
        <w:t xml:space="preserve">? אני </w:t>
      </w:r>
      <w:bookmarkStart w:id="45161" w:name="_ETM_Q85_239679"/>
      <w:bookmarkEnd w:id="45161"/>
      <w:r>
        <w:rPr>
          <w:rFonts w:hint="cs"/>
          <w:rtl/>
        </w:rPr>
        <w:t xml:space="preserve">אגיד </w:t>
      </w:r>
      <w:bookmarkStart w:id="45162" w:name="_ETM_Q85_239920"/>
      <w:bookmarkEnd w:id="45162"/>
      <w:r>
        <w:rPr>
          <w:rFonts w:hint="cs"/>
          <w:rtl/>
        </w:rPr>
        <w:t xml:space="preserve">לך. </w:t>
      </w:r>
      <w:bookmarkStart w:id="45163" w:name="_ETM_Q85_240519"/>
      <w:bookmarkStart w:id="45164" w:name="_ETM_Q85_240760"/>
      <w:bookmarkStart w:id="45165" w:name="_ETM_Q85_240940"/>
      <w:bookmarkEnd w:id="45163"/>
      <w:bookmarkEnd w:id="45164"/>
      <w:bookmarkEnd w:id="45165"/>
      <w:r>
        <w:rPr>
          <w:rFonts w:hint="cs"/>
          <w:rtl/>
        </w:rPr>
        <w:t xml:space="preserve">כחילוני </w:t>
      </w:r>
      <w:bookmarkStart w:id="45166" w:name="_ETM_Q85_242699"/>
      <w:bookmarkEnd w:id="45166"/>
      <w:r>
        <w:rPr>
          <w:rFonts w:hint="cs"/>
          <w:rtl/>
        </w:rPr>
        <w:t xml:space="preserve">אני </w:t>
      </w:r>
      <w:bookmarkStart w:id="45167" w:name="_ETM_Q85_242909"/>
      <w:bookmarkEnd w:id="45167"/>
      <w:r>
        <w:rPr>
          <w:rFonts w:hint="cs"/>
          <w:rtl/>
        </w:rPr>
        <w:t xml:space="preserve">מתגעגע </w:t>
      </w:r>
      <w:bookmarkStart w:id="45168" w:name="_ETM_Q85_243389"/>
      <w:bookmarkEnd w:id="45168"/>
      <w:r>
        <w:rPr>
          <w:rFonts w:hint="cs"/>
          <w:rtl/>
        </w:rPr>
        <w:t xml:space="preserve">לרב </w:t>
      </w:r>
      <w:bookmarkStart w:id="45169" w:name="_ETM_Q85_243690"/>
      <w:bookmarkEnd w:id="45169"/>
      <w:r>
        <w:rPr>
          <w:rFonts w:hint="cs"/>
          <w:rtl/>
        </w:rPr>
        <w:t xml:space="preserve">עובדיה </w:t>
      </w:r>
      <w:bookmarkStart w:id="45170" w:name="_ETM_Q85_244049"/>
      <w:bookmarkEnd w:id="45170"/>
      <w:r>
        <w:rPr>
          <w:rFonts w:hint="cs"/>
          <w:rtl/>
        </w:rPr>
        <w:t xml:space="preserve">יוסף. </w:t>
      </w:r>
      <w:bookmarkStart w:id="45171" w:name="_ETM_Q85_245340"/>
      <w:bookmarkEnd w:id="45171"/>
      <w:r>
        <w:rPr>
          <w:rFonts w:hint="cs"/>
          <w:rtl/>
        </w:rPr>
        <w:t xml:space="preserve">אם </w:t>
      </w:r>
      <w:bookmarkStart w:id="45172" w:name="_ETM_Q85_245520"/>
      <w:bookmarkEnd w:id="45172"/>
      <w:r>
        <w:rPr>
          <w:rFonts w:hint="cs"/>
          <w:rtl/>
        </w:rPr>
        <w:t xml:space="preserve">הרב </w:t>
      </w:r>
      <w:bookmarkStart w:id="45173" w:name="_ETM_Q85_245819"/>
      <w:bookmarkEnd w:id="45173"/>
      <w:r>
        <w:rPr>
          <w:rFonts w:hint="cs"/>
          <w:rtl/>
        </w:rPr>
        <w:t xml:space="preserve">עובדיה </w:t>
      </w:r>
      <w:bookmarkStart w:id="45174" w:name="_ETM_Q85_246240"/>
      <w:bookmarkEnd w:id="45174"/>
      <w:r>
        <w:rPr>
          <w:rFonts w:hint="cs"/>
          <w:rtl/>
        </w:rPr>
        <w:t xml:space="preserve">יוסף </w:t>
      </w:r>
      <w:bookmarkStart w:id="45175" w:name="_ETM_Q85_246569"/>
      <w:bookmarkEnd w:id="45175"/>
      <w:r>
        <w:rPr>
          <w:rFonts w:hint="cs"/>
          <w:rtl/>
        </w:rPr>
        <w:t xml:space="preserve">היה </w:t>
      </w:r>
      <w:bookmarkStart w:id="45176" w:name="_ETM_Q85_246750"/>
      <w:bookmarkEnd w:id="45176"/>
      <w:r>
        <w:rPr>
          <w:rFonts w:hint="cs"/>
          <w:rtl/>
        </w:rPr>
        <w:t xml:space="preserve">בחיים, </w:t>
      </w:r>
      <w:bookmarkStart w:id="45177" w:name="_ETM_Q85_247979"/>
      <w:bookmarkEnd w:id="45177"/>
      <w:r>
        <w:rPr>
          <w:rFonts w:hint="cs"/>
          <w:rtl/>
        </w:rPr>
        <w:t xml:space="preserve">כל </w:t>
      </w:r>
      <w:bookmarkStart w:id="45178" w:name="_ETM_Q85_248250"/>
      <w:bookmarkEnd w:id="45178"/>
      <w:r>
        <w:rPr>
          <w:rFonts w:hint="cs"/>
          <w:rtl/>
        </w:rPr>
        <w:t xml:space="preserve">אחד </w:t>
      </w:r>
      <w:bookmarkStart w:id="45179" w:name="_ETM_Q85_248549"/>
      <w:bookmarkEnd w:id="45179"/>
      <w:r>
        <w:rPr>
          <w:rFonts w:hint="cs"/>
          <w:rtl/>
        </w:rPr>
        <w:t xml:space="preserve">היה </w:t>
      </w:r>
      <w:bookmarkStart w:id="45180" w:name="_ETM_Q85_248670"/>
      <w:bookmarkEnd w:id="45180"/>
      <w:r>
        <w:rPr>
          <w:rFonts w:hint="cs"/>
          <w:rtl/>
        </w:rPr>
        <w:t xml:space="preserve">מקבל </w:t>
      </w:r>
      <w:bookmarkStart w:id="45181" w:name="_ETM_Q85_249030"/>
      <w:bookmarkEnd w:id="45181"/>
      <w:r>
        <w:rPr>
          <w:rFonts w:hint="cs"/>
          <w:rtl/>
        </w:rPr>
        <w:t xml:space="preserve">פה </w:t>
      </w:r>
      <w:bookmarkStart w:id="45182" w:name="_ETM_Q85_249180"/>
      <w:bookmarkEnd w:id="45182"/>
      <w:r>
        <w:rPr>
          <w:rFonts w:hint="cs"/>
          <w:rtl/>
        </w:rPr>
        <w:t xml:space="preserve">סטירה </w:t>
      </w:r>
      <w:bookmarkStart w:id="45183" w:name="_ETM_Q85_250319"/>
      <w:bookmarkEnd w:id="45183"/>
      <w:r>
        <w:rPr>
          <w:rFonts w:hint="cs"/>
          <w:rtl/>
        </w:rPr>
        <w:t xml:space="preserve">ולא </w:t>
      </w:r>
      <w:bookmarkStart w:id="45184" w:name="_ETM_Q85_250619"/>
      <w:bookmarkEnd w:id="45184"/>
      <w:r>
        <w:rPr>
          <w:rFonts w:hint="cs"/>
          <w:rtl/>
        </w:rPr>
        <w:t xml:space="preserve">היינו </w:t>
      </w:r>
      <w:bookmarkStart w:id="45185" w:name="_ETM_Q85_250799"/>
      <w:bookmarkEnd w:id="45185"/>
      <w:r>
        <w:rPr>
          <w:rFonts w:hint="cs"/>
          <w:rtl/>
        </w:rPr>
        <w:t xml:space="preserve">מגיעים </w:t>
      </w:r>
      <w:bookmarkStart w:id="45186" w:name="_ETM_Q85_251100"/>
      <w:bookmarkEnd w:id="45186"/>
      <w:r>
        <w:rPr>
          <w:rFonts w:hint="cs"/>
          <w:rtl/>
        </w:rPr>
        <w:t xml:space="preserve">למצב </w:t>
      </w:r>
      <w:bookmarkStart w:id="45187" w:name="_ETM_Q85_251490"/>
      <w:bookmarkEnd w:id="45187"/>
      <w:r>
        <w:rPr>
          <w:rFonts w:hint="cs"/>
          <w:rtl/>
        </w:rPr>
        <w:t xml:space="preserve">הזה; </w:t>
      </w:r>
      <w:bookmarkStart w:id="45188" w:name="_ETM_Q85_252549"/>
      <w:bookmarkEnd w:id="45188"/>
      <w:r w:rsidR="00B335DE">
        <w:rPr>
          <w:rFonts w:hint="cs"/>
          <w:rtl/>
        </w:rPr>
        <w:t xml:space="preserve">הוא </w:t>
      </w:r>
      <w:r>
        <w:rPr>
          <w:rFonts w:hint="cs"/>
          <w:rtl/>
        </w:rPr>
        <w:t xml:space="preserve">היה </w:t>
      </w:r>
      <w:bookmarkStart w:id="45189" w:name="_ETM_Q85_252789"/>
      <w:bookmarkEnd w:id="45189"/>
      <w:r>
        <w:rPr>
          <w:rFonts w:hint="cs"/>
          <w:rtl/>
        </w:rPr>
        <w:t xml:space="preserve">עושה </w:t>
      </w:r>
      <w:bookmarkStart w:id="45190" w:name="_ETM_Q85_253090"/>
      <w:bookmarkEnd w:id="45190"/>
      <w:r>
        <w:rPr>
          <w:rFonts w:hint="cs"/>
          <w:rtl/>
        </w:rPr>
        <w:t xml:space="preserve">סדר </w:t>
      </w:r>
      <w:bookmarkStart w:id="45191" w:name="_ETM_Q85_254150"/>
      <w:bookmarkEnd w:id="45191"/>
      <w:r>
        <w:rPr>
          <w:rFonts w:hint="cs"/>
          <w:rtl/>
        </w:rPr>
        <w:t xml:space="preserve">בכל </w:t>
      </w:r>
      <w:bookmarkStart w:id="45192" w:name="_ETM_Q85_254689"/>
      <w:bookmarkEnd w:id="45192"/>
      <w:r>
        <w:rPr>
          <w:rFonts w:hint="cs"/>
          <w:rtl/>
        </w:rPr>
        <w:t xml:space="preserve">ההתנהלות </w:t>
      </w:r>
      <w:bookmarkStart w:id="45193" w:name="_ETM_Q85_255290"/>
      <w:bookmarkEnd w:id="45193"/>
      <w:r>
        <w:rPr>
          <w:rFonts w:hint="cs"/>
          <w:rtl/>
        </w:rPr>
        <w:t xml:space="preserve">הזאת </w:t>
      </w:r>
      <w:bookmarkStart w:id="45194" w:name="_ETM_Q85_255530"/>
      <w:bookmarkEnd w:id="45194"/>
      <w:r>
        <w:rPr>
          <w:rFonts w:hint="cs"/>
          <w:rtl/>
        </w:rPr>
        <w:t xml:space="preserve">של </w:t>
      </w:r>
      <w:bookmarkStart w:id="45195" w:name="_ETM_Q85_256069"/>
      <w:bookmarkEnd w:id="45195"/>
      <w:r>
        <w:rPr>
          <w:rFonts w:hint="cs"/>
          <w:rtl/>
        </w:rPr>
        <w:t xml:space="preserve">הקואליציה, </w:t>
      </w:r>
      <w:bookmarkStart w:id="45196" w:name="_ETM_Q85_257140"/>
      <w:bookmarkEnd w:id="45196"/>
      <w:r>
        <w:rPr>
          <w:rFonts w:hint="cs"/>
          <w:rtl/>
        </w:rPr>
        <w:t xml:space="preserve">כל </w:t>
      </w:r>
      <w:bookmarkStart w:id="45197" w:name="_ETM_Q85_257380"/>
      <w:bookmarkEnd w:id="45197"/>
      <w:r>
        <w:rPr>
          <w:rFonts w:hint="cs"/>
          <w:rtl/>
        </w:rPr>
        <w:t xml:space="preserve">היהירות </w:t>
      </w:r>
      <w:bookmarkStart w:id="45198" w:name="_ETM_Q85_257980"/>
      <w:bookmarkEnd w:id="45198"/>
      <w:r>
        <w:rPr>
          <w:rFonts w:hint="cs"/>
          <w:rtl/>
        </w:rPr>
        <w:t xml:space="preserve">הזאת, </w:t>
      </w:r>
      <w:bookmarkStart w:id="45199" w:name="_ETM_Q85_258580"/>
      <w:bookmarkEnd w:id="45199"/>
      <w:r>
        <w:rPr>
          <w:rFonts w:hint="cs"/>
          <w:rtl/>
        </w:rPr>
        <w:t xml:space="preserve">כל </w:t>
      </w:r>
      <w:bookmarkStart w:id="45200" w:name="_ETM_Q85_258790"/>
      <w:bookmarkEnd w:id="45200"/>
      <w:r>
        <w:rPr>
          <w:rFonts w:hint="cs"/>
          <w:rtl/>
        </w:rPr>
        <w:t xml:space="preserve">השחצנות </w:t>
      </w:r>
      <w:bookmarkStart w:id="45201" w:name="_ETM_Q85_259510"/>
      <w:bookmarkEnd w:id="45201"/>
      <w:r>
        <w:rPr>
          <w:rFonts w:hint="cs"/>
          <w:rtl/>
        </w:rPr>
        <w:t xml:space="preserve">הזאת </w:t>
      </w:r>
      <w:bookmarkStart w:id="45202" w:name="_ETM_Q85_260170"/>
      <w:bookmarkEnd w:id="45202"/>
      <w:r>
        <w:rPr>
          <w:rFonts w:hint="cs"/>
          <w:rtl/>
        </w:rPr>
        <w:t xml:space="preserve">וכל </w:t>
      </w:r>
      <w:bookmarkStart w:id="45203" w:name="_ETM_Q85_260590"/>
      <w:bookmarkEnd w:id="45203"/>
      <w:r>
        <w:rPr>
          <w:rFonts w:hint="cs"/>
          <w:rtl/>
        </w:rPr>
        <w:t xml:space="preserve">המחשבה </w:t>
      </w:r>
      <w:bookmarkStart w:id="45204" w:name="_ETM_Q85_261100"/>
      <w:bookmarkEnd w:id="45204"/>
      <w:r>
        <w:rPr>
          <w:rFonts w:hint="cs"/>
          <w:rtl/>
        </w:rPr>
        <w:t xml:space="preserve">שאפשר </w:t>
      </w:r>
      <w:bookmarkStart w:id="45205" w:name="_ETM_Q85_261459"/>
      <w:bookmarkEnd w:id="45205"/>
      <w:r>
        <w:rPr>
          <w:rFonts w:hint="cs"/>
          <w:rtl/>
        </w:rPr>
        <w:t xml:space="preserve">לעשות </w:t>
      </w:r>
      <w:bookmarkStart w:id="45206" w:name="_ETM_Q85_261759"/>
      <w:bookmarkEnd w:id="45206"/>
      <w:r>
        <w:rPr>
          <w:rFonts w:hint="cs"/>
          <w:rtl/>
        </w:rPr>
        <w:t xml:space="preserve">מה </w:t>
      </w:r>
      <w:bookmarkStart w:id="45207" w:name="_ETM_Q85_261880"/>
      <w:bookmarkEnd w:id="45207"/>
      <w:r>
        <w:rPr>
          <w:rFonts w:hint="cs"/>
          <w:rtl/>
        </w:rPr>
        <w:t xml:space="preserve">שרוצים, </w:t>
      </w:r>
      <w:bookmarkStart w:id="45208" w:name="_ETM_Q85_263270"/>
      <w:bookmarkEnd w:id="45208"/>
      <w:r>
        <w:rPr>
          <w:rFonts w:hint="cs"/>
          <w:rtl/>
        </w:rPr>
        <w:t xml:space="preserve">כי </w:t>
      </w:r>
      <w:bookmarkStart w:id="45209" w:name="_ETM_Q85_263509"/>
      <w:bookmarkEnd w:id="45209"/>
      <w:r>
        <w:rPr>
          <w:rFonts w:hint="cs"/>
          <w:rtl/>
        </w:rPr>
        <w:t xml:space="preserve">הרב </w:t>
      </w:r>
      <w:bookmarkStart w:id="45210" w:name="_ETM_Q85_263840"/>
      <w:bookmarkEnd w:id="45210"/>
      <w:r>
        <w:rPr>
          <w:rFonts w:hint="cs"/>
          <w:rtl/>
        </w:rPr>
        <w:t xml:space="preserve">עובדיה </w:t>
      </w:r>
      <w:bookmarkStart w:id="45211" w:name="_ETM_Q85_264259"/>
      <w:bookmarkEnd w:id="45211"/>
      <w:r>
        <w:rPr>
          <w:rFonts w:hint="cs"/>
          <w:rtl/>
        </w:rPr>
        <w:t xml:space="preserve">יוסף </w:t>
      </w:r>
      <w:bookmarkStart w:id="45212" w:name="_ETM_Q85_265069"/>
      <w:bookmarkEnd w:id="45212"/>
      <w:r>
        <w:rPr>
          <w:rFonts w:hint="cs"/>
          <w:rtl/>
        </w:rPr>
        <w:t xml:space="preserve">היה </w:t>
      </w:r>
      <w:bookmarkStart w:id="45213" w:name="_ETM_Q85_265369"/>
      <w:bookmarkEnd w:id="45213"/>
      <w:r>
        <w:rPr>
          <w:rFonts w:hint="cs"/>
          <w:rtl/>
        </w:rPr>
        <w:t xml:space="preserve">אדם </w:t>
      </w:r>
      <w:bookmarkStart w:id="45214" w:name="_ETM_Q85_265759"/>
      <w:bookmarkEnd w:id="45214"/>
      <w:r>
        <w:rPr>
          <w:rFonts w:hint="cs"/>
          <w:rtl/>
        </w:rPr>
        <w:t xml:space="preserve">מתון </w:t>
      </w:r>
      <w:bookmarkStart w:id="45215" w:name="_ETM_Q85_266670"/>
      <w:bookmarkEnd w:id="45215"/>
      <w:r>
        <w:rPr>
          <w:rFonts w:hint="cs"/>
          <w:rtl/>
        </w:rPr>
        <w:t xml:space="preserve">והבין </w:t>
      </w:r>
      <w:bookmarkStart w:id="45216" w:name="_ETM_Q85_267060"/>
      <w:bookmarkEnd w:id="45216"/>
      <w:r>
        <w:rPr>
          <w:rFonts w:hint="cs"/>
          <w:rtl/>
        </w:rPr>
        <w:t xml:space="preserve">את </w:t>
      </w:r>
      <w:bookmarkStart w:id="45217" w:name="_ETM_Q85_267120"/>
      <w:bookmarkEnd w:id="45217"/>
      <w:r>
        <w:rPr>
          <w:rFonts w:hint="cs"/>
          <w:rtl/>
        </w:rPr>
        <w:t xml:space="preserve">החברה </w:t>
      </w:r>
      <w:bookmarkStart w:id="45218" w:name="_ETM_Q85_267480"/>
      <w:bookmarkEnd w:id="45218"/>
      <w:r>
        <w:rPr>
          <w:rFonts w:hint="cs"/>
          <w:rtl/>
        </w:rPr>
        <w:t xml:space="preserve">הישראלית. </w:t>
      </w:r>
      <w:bookmarkStart w:id="45219" w:name="_ETM_Q85_268630"/>
      <w:bookmarkEnd w:id="45219"/>
      <w:r>
        <w:rPr>
          <w:rFonts w:hint="cs"/>
          <w:rtl/>
        </w:rPr>
        <w:t xml:space="preserve">חבל </w:t>
      </w:r>
      <w:bookmarkStart w:id="45220" w:name="_ETM_Q85_269259"/>
      <w:bookmarkEnd w:id="45220"/>
      <w:r>
        <w:rPr>
          <w:rFonts w:hint="cs"/>
          <w:rtl/>
        </w:rPr>
        <w:t xml:space="preserve">שאין </w:t>
      </w:r>
      <w:bookmarkStart w:id="45221" w:name="_ETM_Q85_269530"/>
      <w:bookmarkEnd w:id="45221"/>
      <w:r>
        <w:rPr>
          <w:rFonts w:hint="cs"/>
          <w:rtl/>
        </w:rPr>
        <w:t xml:space="preserve">לנו </w:t>
      </w:r>
      <w:bookmarkStart w:id="45222" w:name="_ETM_Q85_269709"/>
      <w:bookmarkEnd w:id="45222"/>
      <w:r>
        <w:rPr>
          <w:rFonts w:hint="cs"/>
          <w:rtl/>
        </w:rPr>
        <w:t xml:space="preserve">היום </w:t>
      </w:r>
      <w:bookmarkStart w:id="45223" w:name="_ETM_Q85_270009"/>
      <w:bookmarkEnd w:id="45223"/>
      <w:r>
        <w:rPr>
          <w:rFonts w:hint="cs"/>
          <w:rtl/>
        </w:rPr>
        <w:t xml:space="preserve">אחד </w:t>
      </w:r>
      <w:bookmarkStart w:id="45224" w:name="_ETM_Q85_270280"/>
      <w:bookmarkEnd w:id="45224"/>
      <w:r>
        <w:rPr>
          <w:rFonts w:hint="cs"/>
          <w:rtl/>
        </w:rPr>
        <w:t xml:space="preserve">כזה </w:t>
      </w:r>
      <w:bookmarkStart w:id="45225" w:name="_ETM_Q85_270909"/>
      <w:bookmarkEnd w:id="45225"/>
      <w:r>
        <w:rPr>
          <w:rFonts w:hint="cs"/>
          <w:rtl/>
        </w:rPr>
        <w:t xml:space="preserve">שיודע </w:t>
      </w:r>
      <w:bookmarkStart w:id="45226" w:name="_ETM_Q85_271329"/>
      <w:bookmarkEnd w:id="45226"/>
      <w:r>
        <w:rPr>
          <w:rFonts w:hint="cs"/>
          <w:rtl/>
        </w:rPr>
        <w:t xml:space="preserve">לתת </w:t>
      </w:r>
      <w:bookmarkStart w:id="45227" w:name="_ETM_Q85_271569"/>
      <w:bookmarkEnd w:id="45227"/>
      <w:r>
        <w:rPr>
          <w:rFonts w:hint="cs"/>
          <w:rtl/>
        </w:rPr>
        <w:t xml:space="preserve">את </w:t>
      </w:r>
      <w:bookmarkStart w:id="45228" w:name="_ETM_Q85_271630"/>
      <w:bookmarkEnd w:id="45228"/>
      <w:r>
        <w:rPr>
          <w:rFonts w:hint="cs"/>
          <w:rtl/>
        </w:rPr>
        <w:t xml:space="preserve">הסטירה </w:t>
      </w:r>
      <w:bookmarkStart w:id="45229" w:name="_ETM_Q85_272049"/>
      <w:bookmarkEnd w:id="45229"/>
      <w:r>
        <w:rPr>
          <w:rFonts w:hint="cs"/>
          <w:rtl/>
        </w:rPr>
        <w:t>הזאת. את</w:t>
      </w:r>
      <w:bookmarkStart w:id="45230" w:name="_ETM_Q85_273560"/>
      <w:bookmarkEnd w:id="45230"/>
      <w:r>
        <w:rPr>
          <w:rFonts w:hint="cs"/>
          <w:rtl/>
        </w:rPr>
        <w:t xml:space="preserve"> זה </w:t>
      </w:r>
      <w:bookmarkStart w:id="45231" w:name="_ETM_Q85_273920"/>
      <w:bookmarkEnd w:id="45231"/>
      <w:r>
        <w:rPr>
          <w:rFonts w:hint="cs"/>
          <w:rtl/>
        </w:rPr>
        <w:t xml:space="preserve">אני </w:t>
      </w:r>
      <w:bookmarkStart w:id="45232" w:name="_ETM_Q85_274159"/>
      <w:bookmarkEnd w:id="45232"/>
      <w:r>
        <w:rPr>
          <w:rFonts w:hint="cs"/>
          <w:rtl/>
        </w:rPr>
        <w:t xml:space="preserve">אומר </w:t>
      </w:r>
      <w:bookmarkStart w:id="45233" w:name="_ETM_Q85_274459"/>
      <w:bookmarkEnd w:id="45233"/>
      <w:r>
        <w:rPr>
          <w:rFonts w:hint="cs"/>
          <w:rtl/>
        </w:rPr>
        <w:t xml:space="preserve">כאדם </w:t>
      </w:r>
      <w:bookmarkStart w:id="45234" w:name="_ETM_Q85_274849"/>
      <w:bookmarkEnd w:id="45234"/>
      <w:r>
        <w:rPr>
          <w:rFonts w:hint="cs"/>
          <w:rtl/>
        </w:rPr>
        <w:t xml:space="preserve">חילוני </w:t>
      </w:r>
      <w:bookmarkStart w:id="45235" w:name="_ETM_Q85_275270"/>
      <w:bookmarkEnd w:id="45235"/>
      <w:r>
        <w:rPr>
          <w:rFonts w:hint="cs"/>
          <w:rtl/>
        </w:rPr>
        <w:t xml:space="preserve">במדינת </w:t>
      </w:r>
      <w:bookmarkStart w:id="45236" w:name="_ETM_Q85_275689"/>
      <w:bookmarkEnd w:id="45236"/>
      <w:r>
        <w:rPr>
          <w:rFonts w:hint="cs"/>
          <w:rtl/>
        </w:rPr>
        <w:t>ישראל.</w:t>
      </w:r>
    </w:p>
    <w:p w:rsidR="00BB59CD" w:rsidRDefault="00BB59CD" w:rsidP="00BB59CD">
      <w:pPr>
        <w:rPr>
          <w:rtl/>
        </w:rPr>
      </w:pPr>
      <w:bookmarkStart w:id="45237" w:name="_ETM_Q85_277000"/>
      <w:bookmarkEnd w:id="45237"/>
    </w:p>
    <w:p w:rsidR="00BB59CD" w:rsidRDefault="00BB59CD" w:rsidP="00B335DE">
      <w:pPr>
        <w:rPr>
          <w:rtl/>
        </w:rPr>
      </w:pPr>
      <w:bookmarkStart w:id="45238" w:name="_ETM_Q85_278000"/>
      <w:bookmarkStart w:id="45239" w:name="_ETM_Q85_279649"/>
      <w:bookmarkEnd w:id="45238"/>
      <w:bookmarkEnd w:id="45239"/>
      <w:r>
        <w:rPr>
          <w:rFonts w:hint="cs"/>
          <w:rtl/>
        </w:rPr>
        <w:t xml:space="preserve">אבל </w:t>
      </w:r>
      <w:bookmarkStart w:id="45240" w:name="_ETM_Q85_279950"/>
      <w:bookmarkEnd w:id="45240"/>
      <w:r>
        <w:rPr>
          <w:rFonts w:hint="cs"/>
          <w:rtl/>
        </w:rPr>
        <w:t xml:space="preserve">מה </w:t>
      </w:r>
      <w:bookmarkStart w:id="45241" w:name="_ETM_Q85_280130"/>
      <w:bookmarkEnd w:id="45241"/>
      <w:r>
        <w:rPr>
          <w:rFonts w:hint="cs"/>
          <w:rtl/>
        </w:rPr>
        <w:t xml:space="preserve">לממשלה </w:t>
      </w:r>
      <w:bookmarkStart w:id="45242" w:name="_ETM_Q85_280639"/>
      <w:bookmarkEnd w:id="45242"/>
      <w:r>
        <w:rPr>
          <w:rFonts w:hint="cs"/>
          <w:rtl/>
        </w:rPr>
        <w:t xml:space="preserve">הזאת </w:t>
      </w:r>
      <w:bookmarkStart w:id="45243" w:name="_ETM_Q85_281030"/>
      <w:bookmarkEnd w:id="45243"/>
      <w:r>
        <w:rPr>
          <w:rFonts w:hint="cs"/>
          <w:rtl/>
        </w:rPr>
        <w:t xml:space="preserve">ולעובדות? </w:t>
      </w:r>
      <w:bookmarkStart w:id="45244" w:name="_ETM_Q85_282200"/>
      <w:bookmarkEnd w:id="45244"/>
      <w:r>
        <w:rPr>
          <w:rFonts w:hint="cs"/>
          <w:rtl/>
        </w:rPr>
        <w:t xml:space="preserve">רצים </w:t>
      </w:r>
      <w:bookmarkStart w:id="45245" w:name="_ETM_Q85_282709"/>
      <w:bookmarkEnd w:id="45245"/>
      <w:r>
        <w:rPr>
          <w:rFonts w:hint="cs"/>
          <w:rtl/>
        </w:rPr>
        <w:t xml:space="preserve">כמו </w:t>
      </w:r>
      <w:bookmarkStart w:id="45246" w:name="_ETM_Q85_282980"/>
      <w:bookmarkEnd w:id="45246"/>
      <w:r>
        <w:rPr>
          <w:rFonts w:hint="cs"/>
          <w:rtl/>
        </w:rPr>
        <w:t xml:space="preserve">עיוורים </w:t>
      </w:r>
      <w:bookmarkStart w:id="45247" w:name="_ETM_Q85_283370"/>
      <w:bookmarkEnd w:id="45247"/>
      <w:r>
        <w:rPr>
          <w:rFonts w:hint="cs"/>
          <w:rtl/>
        </w:rPr>
        <w:t xml:space="preserve">אל </w:t>
      </w:r>
      <w:bookmarkStart w:id="45248" w:name="_ETM_Q85_283490"/>
      <w:bookmarkEnd w:id="45248"/>
      <w:r>
        <w:rPr>
          <w:rFonts w:hint="cs"/>
          <w:rtl/>
        </w:rPr>
        <w:t xml:space="preserve">התהום, </w:t>
      </w:r>
      <w:bookmarkStart w:id="45249" w:name="_ETM_Q85_284450"/>
      <w:bookmarkEnd w:id="45249"/>
      <w:r>
        <w:rPr>
          <w:rFonts w:hint="cs"/>
          <w:rtl/>
        </w:rPr>
        <w:t xml:space="preserve">ותכף </w:t>
      </w:r>
      <w:bookmarkStart w:id="45250" w:name="_ETM_Q85_285050"/>
      <w:bookmarkEnd w:id="45250"/>
      <w:r>
        <w:rPr>
          <w:rFonts w:hint="cs"/>
          <w:rtl/>
        </w:rPr>
        <w:t xml:space="preserve">אנחנו </w:t>
      </w:r>
      <w:bookmarkStart w:id="45251" w:name="_ETM_Q85_285319"/>
      <w:bookmarkEnd w:id="45251"/>
      <w:r>
        <w:rPr>
          <w:rFonts w:hint="cs"/>
          <w:rtl/>
        </w:rPr>
        <w:t xml:space="preserve">נופלים </w:t>
      </w:r>
      <w:bookmarkStart w:id="45252" w:name="_ETM_Q85_285830"/>
      <w:bookmarkEnd w:id="45252"/>
      <w:r>
        <w:rPr>
          <w:rFonts w:hint="cs"/>
          <w:rtl/>
        </w:rPr>
        <w:t xml:space="preserve">אל </w:t>
      </w:r>
      <w:bookmarkStart w:id="45253" w:name="_ETM_Q85_285920"/>
      <w:bookmarkEnd w:id="45253"/>
      <w:r>
        <w:rPr>
          <w:rFonts w:hint="cs"/>
          <w:rtl/>
        </w:rPr>
        <w:t xml:space="preserve">התהום. </w:t>
      </w:r>
      <w:bookmarkStart w:id="45254" w:name="_ETM_Q85_287270"/>
      <w:bookmarkEnd w:id="45254"/>
      <w:r>
        <w:rPr>
          <w:rFonts w:hint="cs"/>
          <w:rtl/>
        </w:rPr>
        <w:t xml:space="preserve">במקום </w:t>
      </w:r>
      <w:bookmarkStart w:id="45255" w:name="_ETM_Q85_287810"/>
      <w:bookmarkEnd w:id="45255"/>
      <w:r>
        <w:rPr>
          <w:rFonts w:hint="cs"/>
          <w:rtl/>
        </w:rPr>
        <w:t xml:space="preserve">לרכך </w:t>
      </w:r>
      <w:bookmarkStart w:id="45256" w:name="_ETM_Q85_288259"/>
      <w:bookmarkEnd w:id="45256"/>
      <w:r>
        <w:rPr>
          <w:rFonts w:hint="cs"/>
          <w:rtl/>
        </w:rPr>
        <w:t xml:space="preserve">את </w:t>
      </w:r>
      <w:bookmarkStart w:id="45257" w:name="_ETM_Q85_288409"/>
      <w:bookmarkEnd w:id="45257"/>
      <w:r>
        <w:rPr>
          <w:rFonts w:hint="cs"/>
          <w:rtl/>
        </w:rPr>
        <w:t xml:space="preserve">המחלוקות </w:t>
      </w:r>
      <w:bookmarkStart w:id="45258" w:name="_ETM_Q85_289609"/>
      <w:bookmarkEnd w:id="45258"/>
      <w:r>
        <w:rPr>
          <w:rFonts w:hint="cs"/>
          <w:rtl/>
        </w:rPr>
        <w:t xml:space="preserve">ולהרגיע </w:t>
      </w:r>
      <w:bookmarkStart w:id="45259" w:name="_ETM_Q85_290299"/>
      <w:bookmarkEnd w:id="45259"/>
      <w:r>
        <w:rPr>
          <w:rFonts w:hint="cs"/>
          <w:rtl/>
        </w:rPr>
        <w:t xml:space="preserve">את </w:t>
      </w:r>
      <w:bookmarkStart w:id="45260" w:name="_ETM_Q85_290420"/>
      <w:bookmarkEnd w:id="45260"/>
      <w:r>
        <w:rPr>
          <w:rFonts w:hint="cs"/>
          <w:rtl/>
        </w:rPr>
        <w:t xml:space="preserve">הציבור </w:t>
      </w:r>
      <w:bookmarkStart w:id="45261" w:name="_ETM_Q85_290840"/>
      <w:bookmarkEnd w:id="45261"/>
      <w:r>
        <w:rPr>
          <w:rFonts w:hint="cs"/>
          <w:rtl/>
        </w:rPr>
        <w:t xml:space="preserve">המפוחד </w:t>
      </w:r>
      <w:bookmarkStart w:id="45262" w:name="_ETM_Q85_291679"/>
      <w:bookmarkEnd w:id="45262"/>
      <w:r>
        <w:rPr>
          <w:rFonts w:hint="cs"/>
          <w:rtl/>
        </w:rPr>
        <w:t xml:space="preserve">– כי </w:t>
      </w:r>
      <w:bookmarkStart w:id="45263" w:name="_ETM_Q85_291859"/>
      <w:bookmarkEnd w:id="45263"/>
      <w:r>
        <w:rPr>
          <w:rFonts w:hint="cs"/>
          <w:rtl/>
        </w:rPr>
        <w:t xml:space="preserve">הציבור </w:t>
      </w:r>
      <w:bookmarkStart w:id="45264" w:name="_ETM_Q85_292280"/>
      <w:bookmarkEnd w:id="45264"/>
      <w:r>
        <w:rPr>
          <w:rFonts w:hint="cs"/>
          <w:rtl/>
        </w:rPr>
        <w:t xml:space="preserve">מפוחד </w:t>
      </w:r>
      <w:bookmarkStart w:id="45265" w:name="_ETM_Q85_293869"/>
      <w:bookmarkEnd w:id="45265"/>
      <w:r w:rsidR="00B335DE">
        <w:rPr>
          <w:rFonts w:hint="eastAsia"/>
          <w:rtl/>
        </w:rPr>
        <w:t>–</w:t>
      </w:r>
      <w:r w:rsidR="00B335DE">
        <w:rPr>
          <w:rFonts w:hint="cs"/>
          <w:rtl/>
        </w:rPr>
        <w:t xml:space="preserve"> </w:t>
      </w:r>
      <w:r>
        <w:rPr>
          <w:rFonts w:hint="cs"/>
          <w:rtl/>
        </w:rPr>
        <w:t xml:space="preserve">אתם, </w:t>
      </w:r>
      <w:bookmarkStart w:id="45266" w:name="_ETM_Q85_294229"/>
      <w:bookmarkEnd w:id="45266"/>
      <w:r>
        <w:rPr>
          <w:rFonts w:hint="cs"/>
          <w:rtl/>
        </w:rPr>
        <w:t xml:space="preserve">המנותקים </w:t>
      </w:r>
      <w:bookmarkStart w:id="45267" w:name="_ETM_Q85_294799"/>
      <w:bookmarkEnd w:id="45267"/>
      <w:r>
        <w:rPr>
          <w:rFonts w:hint="cs"/>
          <w:rtl/>
        </w:rPr>
        <w:t>בקואליציה</w:t>
      </w:r>
      <w:bookmarkStart w:id="45268" w:name="_ETM_Q85_295460"/>
      <w:bookmarkEnd w:id="45268"/>
      <w:r>
        <w:rPr>
          <w:rFonts w:hint="cs"/>
          <w:rtl/>
        </w:rPr>
        <w:t xml:space="preserve">, מבקשים </w:t>
      </w:r>
      <w:bookmarkStart w:id="45269" w:name="_ETM_Q85_295999"/>
      <w:bookmarkEnd w:id="45269"/>
      <w:r>
        <w:rPr>
          <w:rFonts w:hint="cs"/>
          <w:rtl/>
        </w:rPr>
        <w:t xml:space="preserve">שנסמוך </w:t>
      </w:r>
      <w:bookmarkStart w:id="45270" w:name="_ETM_Q85_296539"/>
      <w:bookmarkEnd w:id="45270"/>
      <w:r>
        <w:rPr>
          <w:rFonts w:hint="cs"/>
          <w:rtl/>
        </w:rPr>
        <w:t xml:space="preserve">עליכם. </w:t>
      </w:r>
      <w:bookmarkStart w:id="45271" w:name="_ETM_Q85_297289"/>
      <w:bookmarkStart w:id="45272" w:name="_ETM_Q85_297499"/>
      <w:bookmarkEnd w:id="45271"/>
      <w:bookmarkEnd w:id="45272"/>
      <w:r>
        <w:rPr>
          <w:rFonts w:hint="cs"/>
          <w:rtl/>
        </w:rPr>
        <w:t xml:space="preserve">על </w:t>
      </w:r>
      <w:bookmarkStart w:id="45273" w:name="_ETM_Q85_297649"/>
      <w:bookmarkEnd w:id="45273"/>
      <w:r>
        <w:rPr>
          <w:rFonts w:hint="cs"/>
          <w:rtl/>
        </w:rPr>
        <w:t xml:space="preserve">מי </w:t>
      </w:r>
      <w:bookmarkStart w:id="45274" w:name="_ETM_Q85_297829"/>
      <w:bookmarkEnd w:id="45274"/>
      <w:r>
        <w:rPr>
          <w:rFonts w:hint="cs"/>
          <w:rtl/>
        </w:rPr>
        <w:t xml:space="preserve">אנחנו </w:t>
      </w:r>
      <w:bookmarkStart w:id="45275" w:name="_ETM_Q85_298159"/>
      <w:bookmarkEnd w:id="45275"/>
      <w:r>
        <w:rPr>
          <w:rFonts w:hint="cs"/>
          <w:rtl/>
        </w:rPr>
        <w:t xml:space="preserve">נסמוך? </w:t>
      </w:r>
      <w:bookmarkStart w:id="45276" w:name="_ETM_Q85_299299"/>
      <w:bookmarkEnd w:id="45276"/>
      <w:r>
        <w:rPr>
          <w:rFonts w:hint="cs"/>
          <w:rtl/>
        </w:rPr>
        <w:t xml:space="preserve">על </w:t>
      </w:r>
      <w:bookmarkStart w:id="45277" w:name="_ETM_Q85_299509"/>
      <w:bookmarkEnd w:id="45277"/>
      <w:r>
        <w:rPr>
          <w:rFonts w:hint="cs"/>
          <w:rtl/>
        </w:rPr>
        <w:t xml:space="preserve">מי </w:t>
      </w:r>
      <w:bookmarkStart w:id="45278" w:name="_ETM_Q85_299659"/>
      <w:bookmarkEnd w:id="45278"/>
      <w:r>
        <w:rPr>
          <w:rFonts w:hint="cs"/>
          <w:rtl/>
        </w:rPr>
        <w:t xml:space="preserve">אני </w:t>
      </w:r>
      <w:bookmarkStart w:id="45279" w:name="_ETM_Q85_299780"/>
      <w:bookmarkEnd w:id="45279"/>
      <w:r>
        <w:rPr>
          <w:rFonts w:hint="cs"/>
          <w:rtl/>
        </w:rPr>
        <w:t xml:space="preserve">יכול </w:t>
      </w:r>
      <w:bookmarkStart w:id="45280" w:name="_ETM_Q85_299960"/>
      <w:bookmarkEnd w:id="45280"/>
      <w:r>
        <w:rPr>
          <w:rFonts w:hint="cs"/>
          <w:rtl/>
        </w:rPr>
        <w:t>לסמוך</w:t>
      </w:r>
      <w:r w:rsidR="00B335DE">
        <w:rPr>
          <w:rFonts w:hint="cs"/>
          <w:rtl/>
        </w:rPr>
        <w:t>,</w:t>
      </w:r>
      <w:r>
        <w:rPr>
          <w:rFonts w:hint="cs"/>
          <w:rtl/>
        </w:rPr>
        <w:t xml:space="preserve"> </w:t>
      </w:r>
      <w:bookmarkStart w:id="45281" w:name="_ETM_Q85_300439"/>
      <w:bookmarkEnd w:id="45281"/>
      <w:r>
        <w:rPr>
          <w:rFonts w:hint="cs"/>
          <w:rtl/>
        </w:rPr>
        <w:t xml:space="preserve">על </w:t>
      </w:r>
      <w:bookmarkStart w:id="45282" w:name="_ETM_Q85_300590"/>
      <w:bookmarkEnd w:id="45282"/>
      <w:r>
        <w:rPr>
          <w:rFonts w:hint="cs"/>
          <w:rtl/>
        </w:rPr>
        <w:t xml:space="preserve">בן </w:t>
      </w:r>
      <w:bookmarkStart w:id="45283" w:name="_ETM_Q85_300799"/>
      <w:bookmarkEnd w:id="45283"/>
      <w:r>
        <w:rPr>
          <w:rFonts w:hint="cs"/>
          <w:rtl/>
        </w:rPr>
        <w:t>גביר</w:t>
      </w:r>
      <w:r w:rsidR="00B335DE">
        <w:rPr>
          <w:rFonts w:hint="cs"/>
          <w:rtl/>
        </w:rPr>
        <w:t>,</w:t>
      </w:r>
      <w:r>
        <w:rPr>
          <w:rFonts w:hint="cs"/>
          <w:rtl/>
        </w:rPr>
        <w:t xml:space="preserve"> </w:t>
      </w:r>
      <w:bookmarkStart w:id="45284" w:name="_ETM_Q85_301460"/>
      <w:bookmarkEnd w:id="45284"/>
      <w:r>
        <w:rPr>
          <w:rFonts w:hint="cs"/>
          <w:rtl/>
        </w:rPr>
        <w:t xml:space="preserve">על </w:t>
      </w:r>
      <w:bookmarkStart w:id="45285" w:name="_ETM_Q85_301729"/>
      <w:bookmarkEnd w:id="45285"/>
      <w:r>
        <w:rPr>
          <w:rFonts w:hint="cs"/>
          <w:rtl/>
        </w:rPr>
        <w:t>סמוטריץ'</w:t>
      </w:r>
      <w:r w:rsidR="00B335DE">
        <w:rPr>
          <w:rFonts w:hint="cs"/>
          <w:rtl/>
        </w:rPr>
        <w:t>,</w:t>
      </w:r>
      <w:r>
        <w:rPr>
          <w:rFonts w:hint="cs"/>
          <w:rtl/>
        </w:rPr>
        <w:t xml:space="preserve"> </w:t>
      </w:r>
      <w:bookmarkStart w:id="45286" w:name="_ETM_Q85_303130"/>
      <w:bookmarkEnd w:id="45286"/>
      <w:r>
        <w:rPr>
          <w:rFonts w:hint="cs"/>
          <w:rtl/>
        </w:rPr>
        <w:t xml:space="preserve">על </w:t>
      </w:r>
      <w:bookmarkStart w:id="45287" w:name="_ETM_Q85_303670"/>
      <w:bookmarkEnd w:id="45287"/>
      <w:r>
        <w:rPr>
          <w:rFonts w:hint="cs"/>
          <w:rtl/>
        </w:rPr>
        <w:t>סוכות</w:t>
      </w:r>
      <w:r w:rsidR="00B335DE">
        <w:rPr>
          <w:rFonts w:hint="cs"/>
          <w:rtl/>
        </w:rPr>
        <w:t>,</w:t>
      </w:r>
      <w:r>
        <w:rPr>
          <w:rFonts w:hint="cs"/>
          <w:rtl/>
        </w:rPr>
        <w:t xml:space="preserve"> </w:t>
      </w:r>
      <w:bookmarkStart w:id="45288" w:name="_ETM_Q85_304670"/>
      <w:bookmarkEnd w:id="45288"/>
      <w:r>
        <w:rPr>
          <w:rFonts w:hint="cs"/>
          <w:rtl/>
        </w:rPr>
        <w:t xml:space="preserve">על אלמוג </w:t>
      </w:r>
      <w:bookmarkStart w:id="45289" w:name="_ETM_Q85_305270"/>
      <w:bookmarkEnd w:id="45289"/>
      <w:r>
        <w:rPr>
          <w:rFonts w:hint="cs"/>
          <w:rtl/>
        </w:rPr>
        <w:t>כהן</w:t>
      </w:r>
      <w:r w:rsidR="00B335DE">
        <w:rPr>
          <w:rFonts w:hint="cs"/>
          <w:rtl/>
        </w:rPr>
        <w:t>,</w:t>
      </w:r>
      <w:r>
        <w:rPr>
          <w:rFonts w:hint="cs"/>
          <w:rtl/>
        </w:rPr>
        <w:t xml:space="preserve"> על לימור סון הר מלך</w:t>
      </w:r>
      <w:r w:rsidR="00B335DE">
        <w:rPr>
          <w:rFonts w:hint="cs"/>
          <w:rtl/>
        </w:rPr>
        <w:t>,</w:t>
      </w:r>
      <w:r>
        <w:rPr>
          <w:rFonts w:hint="cs"/>
          <w:rtl/>
        </w:rPr>
        <w:t xml:space="preserve"> </w:t>
      </w:r>
      <w:bookmarkStart w:id="45290" w:name="_ETM_Q85_307610"/>
      <w:bookmarkEnd w:id="45290"/>
      <w:r>
        <w:rPr>
          <w:rFonts w:hint="cs"/>
          <w:rtl/>
        </w:rPr>
        <w:t xml:space="preserve">על </w:t>
      </w:r>
      <w:bookmarkStart w:id="45291" w:name="_ETM_Q85_307759"/>
      <w:bookmarkEnd w:id="45291"/>
      <w:r>
        <w:rPr>
          <w:rFonts w:hint="cs"/>
          <w:rtl/>
        </w:rPr>
        <w:t xml:space="preserve">פוגל? </w:t>
      </w:r>
      <w:bookmarkStart w:id="45292" w:name="_ETM_Q85_308810"/>
      <w:bookmarkEnd w:id="45292"/>
      <w:r>
        <w:rPr>
          <w:rFonts w:hint="cs"/>
          <w:rtl/>
        </w:rPr>
        <w:t xml:space="preserve">אלה </w:t>
      </w:r>
      <w:bookmarkStart w:id="45293" w:name="_ETM_Q85_309050"/>
      <w:bookmarkEnd w:id="45293"/>
      <w:r>
        <w:rPr>
          <w:rFonts w:hint="cs"/>
          <w:rtl/>
        </w:rPr>
        <w:t xml:space="preserve">האנשים </w:t>
      </w:r>
      <w:bookmarkStart w:id="45294" w:name="_ETM_Q85_309500"/>
      <w:bookmarkEnd w:id="45294"/>
      <w:r>
        <w:rPr>
          <w:rFonts w:hint="cs"/>
          <w:rtl/>
        </w:rPr>
        <w:t xml:space="preserve">שאתם </w:t>
      </w:r>
      <w:bookmarkStart w:id="45295" w:name="_ETM_Q85_309680"/>
      <w:bookmarkEnd w:id="45295"/>
      <w:r>
        <w:rPr>
          <w:rFonts w:hint="cs"/>
          <w:rtl/>
        </w:rPr>
        <w:t xml:space="preserve">רוצים </w:t>
      </w:r>
      <w:bookmarkStart w:id="45296" w:name="_ETM_Q85_309950"/>
      <w:bookmarkEnd w:id="45296"/>
      <w:r>
        <w:rPr>
          <w:rFonts w:hint="cs"/>
          <w:rtl/>
        </w:rPr>
        <w:t xml:space="preserve">שאנחנו </w:t>
      </w:r>
      <w:bookmarkStart w:id="45297" w:name="_ETM_Q85_310280"/>
      <w:bookmarkEnd w:id="45297"/>
      <w:r>
        <w:rPr>
          <w:rFonts w:hint="cs"/>
          <w:rtl/>
        </w:rPr>
        <w:t xml:space="preserve">נסמוך </w:t>
      </w:r>
      <w:bookmarkStart w:id="45298" w:name="_ETM_Q85_310700"/>
      <w:bookmarkEnd w:id="45298"/>
      <w:r>
        <w:rPr>
          <w:rFonts w:hint="cs"/>
          <w:rtl/>
        </w:rPr>
        <w:t xml:space="preserve">עליהם? </w:t>
      </w:r>
      <w:bookmarkStart w:id="45299" w:name="_ETM_Q85_311860"/>
      <w:bookmarkEnd w:id="45299"/>
      <w:r>
        <w:rPr>
          <w:rFonts w:hint="cs"/>
          <w:rtl/>
        </w:rPr>
        <w:t xml:space="preserve">תסמכו </w:t>
      </w:r>
      <w:bookmarkStart w:id="45300" w:name="_ETM_Q85_312310"/>
      <w:bookmarkEnd w:id="45300"/>
      <w:r>
        <w:rPr>
          <w:rFonts w:hint="cs"/>
          <w:rtl/>
        </w:rPr>
        <w:t xml:space="preserve">עלינו, </w:t>
      </w:r>
      <w:bookmarkStart w:id="45301" w:name="_ETM_Q85_312669"/>
      <w:bookmarkEnd w:id="45301"/>
      <w:r>
        <w:rPr>
          <w:rFonts w:hint="cs"/>
          <w:rtl/>
        </w:rPr>
        <w:t xml:space="preserve">הם </w:t>
      </w:r>
      <w:bookmarkStart w:id="45302" w:name="_ETM_Q85_312760"/>
      <w:bookmarkEnd w:id="45302"/>
      <w:r>
        <w:rPr>
          <w:rFonts w:hint="cs"/>
          <w:rtl/>
        </w:rPr>
        <w:t xml:space="preserve">אומרים. </w:t>
      </w:r>
      <w:bookmarkStart w:id="45303" w:name="_ETM_Q85_316169"/>
      <w:bookmarkEnd w:id="45303"/>
      <w:r>
        <w:rPr>
          <w:rFonts w:hint="cs"/>
          <w:rtl/>
        </w:rPr>
        <w:t xml:space="preserve">חושבים </w:t>
      </w:r>
      <w:bookmarkStart w:id="45304" w:name="_ETM_Q85_316709"/>
      <w:bookmarkEnd w:id="45304"/>
      <w:r>
        <w:rPr>
          <w:rFonts w:hint="cs"/>
          <w:rtl/>
        </w:rPr>
        <w:t xml:space="preserve">שהציבור </w:t>
      </w:r>
      <w:bookmarkStart w:id="45305" w:name="_ETM_Q85_317280"/>
      <w:bookmarkEnd w:id="45305"/>
      <w:r>
        <w:rPr>
          <w:rFonts w:hint="cs"/>
          <w:rtl/>
        </w:rPr>
        <w:t xml:space="preserve">בישראל </w:t>
      </w:r>
      <w:bookmarkStart w:id="45306" w:name="_ETM_Q85_317730"/>
      <w:bookmarkEnd w:id="45306"/>
      <w:r>
        <w:rPr>
          <w:rFonts w:hint="cs"/>
          <w:rtl/>
        </w:rPr>
        <w:t>מטומטם</w:t>
      </w:r>
      <w:bookmarkStart w:id="45307" w:name="_ETM_Q85_319300"/>
      <w:bookmarkEnd w:id="45307"/>
      <w:r>
        <w:rPr>
          <w:rFonts w:hint="cs"/>
          <w:rtl/>
        </w:rPr>
        <w:t xml:space="preserve">, בונים </w:t>
      </w:r>
      <w:bookmarkStart w:id="45308" w:name="_ETM_Q85_319750"/>
      <w:bookmarkEnd w:id="45308"/>
      <w:r>
        <w:rPr>
          <w:rFonts w:hint="cs"/>
          <w:rtl/>
        </w:rPr>
        <w:t xml:space="preserve">על </w:t>
      </w:r>
      <w:bookmarkStart w:id="45309" w:name="_ETM_Q85_319840"/>
      <w:bookmarkEnd w:id="45309"/>
      <w:r>
        <w:rPr>
          <w:rFonts w:hint="cs"/>
          <w:rtl/>
        </w:rPr>
        <w:t xml:space="preserve">זה </w:t>
      </w:r>
      <w:bookmarkStart w:id="45310" w:name="_ETM_Q85_320050"/>
      <w:bookmarkEnd w:id="45310"/>
      <w:r>
        <w:rPr>
          <w:rFonts w:hint="cs"/>
          <w:rtl/>
        </w:rPr>
        <w:t xml:space="preserve">שלא </w:t>
      </w:r>
      <w:bookmarkStart w:id="45311" w:name="_ETM_Q85_320320"/>
      <w:bookmarkEnd w:id="45311"/>
      <w:r>
        <w:rPr>
          <w:rFonts w:hint="cs"/>
          <w:rtl/>
        </w:rPr>
        <w:t xml:space="preserve">נבין </w:t>
      </w:r>
      <w:bookmarkStart w:id="45312" w:name="_ETM_Q85_320710"/>
      <w:bookmarkEnd w:id="45312"/>
      <w:r>
        <w:rPr>
          <w:rFonts w:hint="cs"/>
          <w:rtl/>
        </w:rPr>
        <w:t xml:space="preserve">שהסבירות </w:t>
      </w:r>
      <w:bookmarkStart w:id="45313" w:name="_ETM_Q85_321880"/>
      <w:bookmarkEnd w:id="45313"/>
      <w:r>
        <w:rPr>
          <w:rFonts w:hint="cs"/>
          <w:rtl/>
        </w:rPr>
        <w:t xml:space="preserve">היא </w:t>
      </w:r>
      <w:bookmarkStart w:id="45314" w:name="_ETM_Q85_322060"/>
      <w:bookmarkEnd w:id="45314"/>
      <w:r>
        <w:rPr>
          <w:rFonts w:hint="cs"/>
          <w:rtl/>
        </w:rPr>
        <w:t xml:space="preserve">הלבנה </w:t>
      </w:r>
      <w:bookmarkStart w:id="45315" w:name="_ETM_Q85_322720"/>
      <w:bookmarkEnd w:id="45315"/>
      <w:r>
        <w:rPr>
          <w:rFonts w:hint="cs"/>
          <w:rtl/>
        </w:rPr>
        <w:t xml:space="preserve">הראשונה </w:t>
      </w:r>
      <w:bookmarkStart w:id="45316" w:name="_ETM_Q85_324110"/>
      <w:bookmarkEnd w:id="45316"/>
      <w:r>
        <w:rPr>
          <w:rFonts w:hint="cs"/>
          <w:rtl/>
        </w:rPr>
        <w:t xml:space="preserve">בשינוי </w:t>
      </w:r>
      <w:bookmarkStart w:id="45317" w:name="_ETM_Q85_324800"/>
      <w:bookmarkEnd w:id="45317"/>
      <w:r>
        <w:rPr>
          <w:rFonts w:hint="cs"/>
          <w:rtl/>
        </w:rPr>
        <w:t xml:space="preserve">שיטת </w:t>
      </w:r>
      <w:bookmarkStart w:id="45318" w:name="_ETM_Q85_325340"/>
      <w:bookmarkEnd w:id="45318"/>
      <w:r>
        <w:rPr>
          <w:rFonts w:hint="cs"/>
          <w:rtl/>
        </w:rPr>
        <w:t xml:space="preserve">המשטר </w:t>
      </w:r>
      <w:bookmarkStart w:id="45319" w:name="_ETM_Q85_325849"/>
      <w:bookmarkEnd w:id="45319"/>
      <w:r>
        <w:rPr>
          <w:rFonts w:hint="cs"/>
          <w:rtl/>
        </w:rPr>
        <w:t xml:space="preserve">בישראל. </w:t>
      </w:r>
    </w:p>
    <w:p w:rsidR="00BB59CD" w:rsidRDefault="00BB59CD" w:rsidP="00BB59CD">
      <w:pPr>
        <w:rPr>
          <w:rtl/>
        </w:rPr>
      </w:pPr>
    </w:p>
    <w:p w:rsidR="00BB59CD" w:rsidRDefault="00BB59CD" w:rsidP="00B335DE">
      <w:pPr>
        <w:rPr>
          <w:rtl/>
        </w:rPr>
      </w:pPr>
      <w:r>
        <w:rPr>
          <w:rFonts w:hint="cs"/>
          <w:rtl/>
        </w:rPr>
        <w:t xml:space="preserve">אמרה </w:t>
      </w:r>
      <w:bookmarkStart w:id="45320" w:name="_ETM_Q85_328520"/>
      <w:bookmarkEnd w:id="45320"/>
      <w:r>
        <w:rPr>
          <w:rFonts w:hint="cs"/>
          <w:rtl/>
        </w:rPr>
        <w:t xml:space="preserve">מפורסמת </w:t>
      </w:r>
      <w:bookmarkStart w:id="45321" w:name="_ETM_Q85_329240"/>
      <w:bookmarkEnd w:id="45321"/>
      <w:r>
        <w:rPr>
          <w:rFonts w:hint="cs"/>
          <w:rtl/>
        </w:rPr>
        <w:t xml:space="preserve">אומרת </w:t>
      </w:r>
      <w:bookmarkStart w:id="45322" w:name="_ETM_Q85_329660"/>
      <w:bookmarkEnd w:id="45322"/>
      <w:r>
        <w:rPr>
          <w:rFonts w:hint="cs"/>
          <w:rtl/>
        </w:rPr>
        <w:t xml:space="preserve">שיש </w:t>
      </w:r>
      <w:bookmarkStart w:id="45323" w:name="_ETM_Q85_329960"/>
      <w:bookmarkEnd w:id="45323"/>
      <w:r>
        <w:rPr>
          <w:rFonts w:hint="cs"/>
          <w:rtl/>
        </w:rPr>
        <w:t xml:space="preserve">שני </w:t>
      </w:r>
      <w:bookmarkStart w:id="45324" w:name="_ETM_Q85_330169"/>
      <w:bookmarkEnd w:id="45324"/>
      <w:r>
        <w:rPr>
          <w:rFonts w:hint="cs"/>
          <w:rtl/>
        </w:rPr>
        <w:t xml:space="preserve">דברים </w:t>
      </w:r>
      <w:bookmarkStart w:id="45325" w:name="_ETM_Q85_330560"/>
      <w:bookmarkEnd w:id="45325"/>
      <w:r>
        <w:rPr>
          <w:rFonts w:hint="cs"/>
          <w:rtl/>
        </w:rPr>
        <w:t xml:space="preserve">שמוטב </w:t>
      </w:r>
      <w:bookmarkStart w:id="45326" w:name="_ETM_Q85_331550"/>
      <w:bookmarkEnd w:id="45326"/>
      <w:r>
        <w:rPr>
          <w:rFonts w:hint="cs"/>
          <w:rtl/>
        </w:rPr>
        <w:t xml:space="preserve">שלא </w:t>
      </w:r>
      <w:bookmarkStart w:id="45327" w:name="_ETM_Q85_331730"/>
      <w:bookmarkEnd w:id="45327"/>
      <w:r>
        <w:rPr>
          <w:rFonts w:hint="cs"/>
          <w:rtl/>
        </w:rPr>
        <w:t xml:space="preserve">לראות </w:t>
      </w:r>
      <w:bookmarkStart w:id="45328" w:name="_ETM_Q85_332060"/>
      <w:bookmarkEnd w:id="45328"/>
      <w:r>
        <w:rPr>
          <w:rFonts w:hint="cs"/>
          <w:rtl/>
        </w:rPr>
        <w:t xml:space="preserve">איך </w:t>
      </w:r>
      <w:bookmarkStart w:id="45329" w:name="_ETM_Q85_332150"/>
      <w:bookmarkEnd w:id="45329"/>
      <w:r>
        <w:rPr>
          <w:rFonts w:hint="cs"/>
          <w:rtl/>
        </w:rPr>
        <w:t xml:space="preserve">מכינים </w:t>
      </w:r>
      <w:bookmarkStart w:id="45330" w:name="_ETM_Q85_332540"/>
      <w:bookmarkEnd w:id="45330"/>
      <w:r>
        <w:rPr>
          <w:rFonts w:hint="cs"/>
          <w:rtl/>
        </w:rPr>
        <w:t xml:space="preserve">אותם, </w:t>
      </w:r>
      <w:bookmarkStart w:id="45331" w:name="_ETM_Q85_332900"/>
      <w:bookmarkEnd w:id="45331"/>
      <w:r>
        <w:rPr>
          <w:rFonts w:hint="cs"/>
          <w:rtl/>
        </w:rPr>
        <w:t xml:space="preserve">שהם </w:t>
      </w:r>
      <w:bookmarkStart w:id="45332" w:name="_ETM_Q85_333080"/>
      <w:bookmarkEnd w:id="45332"/>
      <w:r>
        <w:rPr>
          <w:rFonts w:hint="cs"/>
          <w:rtl/>
        </w:rPr>
        <w:t xml:space="preserve">מסריחים: </w:t>
      </w:r>
      <w:bookmarkStart w:id="45333" w:name="_ETM_Q85_335010"/>
      <w:bookmarkEnd w:id="45333"/>
      <w:r>
        <w:rPr>
          <w:rFonts w:hint="cs"/>
          <w:rtl/>
        </w:rPr>
        <w:t xml:space="preserve">חוקים </w:t>
      </w:r>
      <w:bookmarkStart w:id="45334" w:name="_ETM_Q85_336150"/>
      <w:bookmarkEnd w:id="45334"/>
      <w:r>
        <w:rPr>
          <w:rFonts w:hint="cs"/>
          <w:rtl/>
        </w:rPr>
        <w:t xml:space="preserve">ונקניקיות. </w:t>
      </w:r>
      <w:bookmarkStart w:id="45335" w:name="_ETM_Q85_339249"/>
      <w:bookmarkEnd w:id="45335"/>
      <w:r>
        <w:rPr>
          <w:rFonts w:hint="cs"/>
          <w:rtl/>
        </w:rPr>
        <w:t xml:space="preserve">בשניהם </w:t>
      </w:r>
      <w:bookmarkStart w:id="45336" w:name="_ETM_Q85_339790"/>
      <w:bookmarkEnd w:id="45336"/>
      <w:r>
        <w:rPr>
          <w:rFonts w:hint="cs"/>
          <w:rtl/>
        </w:rPr>
        <w:t xml:space="preserve">התהליך </w:t>
      </w:r>
      <w:bookmarkStart w:id="45337" w:name="_ETM_Q85_340269"/>
      <w:bookmarkEnd w:id="45337"/>
      <w:r>
        <w:rPr>
          <w:rFonts w:hint="cs"/>
          <w:rtl/>
        </w:rPr>
        <w:t xml:space="preserve">דוחה </w:t>
      </w:r>
      <w:bookmarkStart w:id="45338" w:name="_ETM_Q85_340719"/>
      <w:bookmarkEnd w:id="45338"/>
      <w:r>
        <w:rPr>
          <w:rFonts w:hint="cs"/>
          <w:rtl/>
        </w:rPr>
        <w:t xml:space="preserve">ומעורר </w:t>
      </w:r>
      <w:bookmarkStart w:id="45339" w:name="_ETM_Q85_341200"/>
      <w:bookmarkEnd w:id="45339"/>
      <w:r>
        <w:rPr>
          <w:rFonts w:hint="cs"/>
          <w:rtl/>
        </w:rPr>
        <w:t xml:space="preserve">בחילה. </w:t>
      </w:r>
      <w:bookmarkStart w:id="45340" w:name="_ETM_Q85_342459"/>
      <w:bookmarkEnd w:id="45340"/>
      <w:r>
        <w:rPr>
          <w:rFonts w:hint="cs"/>
          <w:rtl/>
        </w:rPr>
        <w:t xml:space="preserve">אצל </w:t>
      </w:r>
      <w:bookmarkStart w:id="45341" w:name="_ETM_Q85_342760"/>
      <w:bookmarkEnd w:id="45341"/>
      <w:r>
        <w:rPr>
          <w:rFonts w:hint="cs"/>
          <w:rtl/>
        </w:rPr>
        <w:t xml:space="preserve">הממשלה </w:t>
      </w:r>
      <w:bookmarkStart w:id="45342" w:name="_ETM_Q85_343269"/>
      <w:bookmarkEnd w:id="45342"/>
      <w:r>
        <w:rPr>
          <w:rFonts w:hint="cs"/>
          <w:rtl/>
        </w:rPr>
        <w:t xml:space="preserve">הזאת </w:t>
      </w:r>
      <w:bookmarkStart w:id="45343" w:name="_ETM_Q85_343569"/>
      <w:bookmarkEnd w:id="45343"/>
      <w:r>
        <w:rPr>
          <w:rFonts w:hint="cs"/>
          <w:rtl/>
        </w:rPr>
        <w:t xml:space="preserve">כל </w:t>
      </w:r>
      <w:bookmarkStart w:id="45344" w:name="_ETM_Q85_343810"/>
      <w:bookmarkEnd w:id="45344"/>
      <w:r>
        <w:rPr>
          <w:rFonts w:hint="cs"/>
          <w:rtl/>
        </w:rPr>
        <w:t xml:space="preserve">מה </w:t>
      </w:r>
      <w:bookmarkStart w:id="45345" w:name="_ETM_Q85_343930"/>
      <w:bookmarkEnd w:id="45345"/>
      <w:r>
        <w:rPr>
          <w:rFonts w:hint="cs"/>
          <w:rtl/>
        </w:rPr>
        <w:t xml:space="preserve">שדוחה </w:t>
      </w:r>
      <w:bookmarkStart w:id="45346" w:name="_ETM_Q85_344409"/>
      <w:bookmarkEnd w:id="45346"/>
      <w:r>
        <w:rPr>
          <w:rFonts w:hint="cs"/>
          <w:rtl/>
        </w:rPr>
        <w:t xml:space="preserve">בחוקים </w:t>
      </w:r>
      <w:bookmarkStart w:id="45347" w:name="_ETM_Q85_345310"/>
      <w:bookmarkEnd w:id="45347"/>
      <w:r>
        <w:rPr>
          <w:rFonts w:hint="cs"/>
          <w:rtl/>
        </w:rPr>
        <w:t xml:space="preserve">ובנקניקיות </w:t>
      </w:r>
      <w:bookmarkStart w:id="45348" w:name="_ETM_Q85_346329"/>
      <w:bookmarkEnd w:id="45348"/>
      <w:r>
        <w:rPr>
          <w:rFonts w:hint="cs"/>
          <w:rtl/>
        </w:rPr>
        <w:t xml:space="preserve">משתלב </w:t>
      </w:r>
      <w:bookmarkStart w:id="45349" w:name="_ETM_Q85_346810"/>
      <w:bookmarkEnd w:id="45349"/>
      <w:r>
        <w:rPr>
          <w:rFonts w:hint="cs"/>
          <w:rtl/>
        </w:rPr>
        <w:t xml:space="preserve">יחד </w:t>
      </w:r>
      <w:bookmarkStart w:id="45350" w:name="_ETM_Q85_347529"/>
      <w:bookmarkEnd w:id="45350"/>
      <w:r>
        <w:rPr>
          <w:rFonts w:hint="cs"/>
          <w:rtl/>
        </w:rPr>
        <w:t xml:space="preserve">לשיטת </w:t>
      </w:r>
      <w:bookmarkStart w:id="45351" w:name="_ETM_Q85_348430"/>
      <w:bookmarkEnd w:id="45351"/>
      <w:r>
        <w:rPr>
          <w:rFonts w:hint="cs"/>
          <w:rtl/>
        </w:rPr>
        <w:t xml:space="preserve">הסלמי. </w:t>
      </w:r>
      <w:bookmarkStart w:id="45352" w:name="_ETM_Q85_350010"/>
      <w:bookmarkEnd w:id="45352"/>
      <w:r>
        <w:rPr>
          <w:rFonts w:hint="cs"/>
          <w:rtl/>
        </w:rPr>
        <w:t xml:space="preserve">פרוסה אחרי </w:t>
      </w:r>
      <w:bookmarkStart w:id="45353" w:name="_ETM_Q85_350760"/>
      <w:bookmarkEnd w:id="45353"/>
      <w:r>
        <w:rPr>
          <w:rFonts w:hint="cs"/>
          <w:rtl/>
        </w:rPr>
        <w:t xml:space="preserve">פרוסה </w:t>
      </w:r>
      <w:bookmarkStart w:id="45354" w:name="_ETM_Q85_351599"/>
      <w:bookmarkEnd w:id="45354"/>
      <w:r>
        <w:rPr>
          <w:rFonts w:hint="cs"/>
          <w:rtl/>
        </w:rPr>
        <w:t xml:space="preserve">מדינת </w:t>
      </w:r>
      <w:bookmarkStart w:id="45355" w:name="_ETM_Q85_352169"/>
      <w:bookmarkEnd w:id="45355"/>
      <w:r>
        <w:rPr>
          <w:rFonts w:hint="cs"/>
          <w:rtl/>
        </w:rPr>
        <w:t xml:space="preserve">ישראל </w:t>
      </w:r>
      <w:bookmarkStart w:id="45356" w:name="_ETM_Q85_352709"/>
      <w:bookmarkEnd w:id="45356"/>
      <w:r>
        <w:rPr>
          <w:rFonts w:hint="cs"/>
          <w:rtl/>
        </w:rPr>
        <w:t xml:space="preserve">משנה </w:t>
      </w:r>
      <w:bookmarkStart w:id="45357" w:name="_ETM_Q85_353220"/>
      <w:bookmarkEnd w:id="45357"/>
      <w:r>
        <w:rPr>
          <w:rFonts w:hint="cs"/>
          <w:rtl/>
        </w:rPr>
        <w:t xml:space="preserve">ותשנה </w:t>
      </w:r>
      <w:bookmarkStart w:id="45358" w:name="_ETM_Q85_353730"/>
      <w:bookmarkEnd w:id="45358"/>
      <w:r>
        <w:rPr>
          <w:rFonts w:hint="cs"/>
          <w:rtl/>
        </w:rPr>
        <w:t xml:space="preserve">פניה; </w:t>
      </w:r>
      <w:bookmarkStart w:id="45359" w:name="_ETM_Q85_354780"/>
      <w:bookmarkEnd w:id="45359"/>
      <w:r>
        <w:rPr>
          <w:rFonts w:hint="cs"/>
          <w:rtl/>
        </w:rPr>
        <w:t xml:space="preserve">חתיכה </w:t>
      </w:r>
      <w:bookmarkStart w:id="45360" w:name="_ETM_Q85_355410"/>
      <w:bookmarkEnd w:id="45360"/>
      <w:r>
        <w:rPr>
          <w:rFonts w:hint="cs"/>
          <w:rtl/>
        </w:rPr>
        <w:t xml:space="preserve">אחרי </w:t>
      </w:r>
      <w:bookmarkStart w:id="45361" w:name="_ETM_Q85_355620"/>
      <w:bookmarkEnd w:id="45361"/>
      <w:r>
        <w:rPr>
          <w:rFonts w:hint="cs"/>
          <w:rtl/>
        </w:rPr>
        <w:t xml:space="preserve">חתיכה </w:t>
      </w:r>
      <w:bookmarkStart w:id="45362" w:name="_ETM_Q85_356519"/>
      <w:bookmarkEnd w:id="45362"/>
      <w:r>
        <w:rPr>
          <w:rFonts w:hint="cs"/>
          <w:rtl/>
        </w:rPr>
        <w:t xml:space="preserve">מפרקים </w:t>
      </w:r>
      <w:bookmarkStart w:id="45363" w:name="_ETM_Q85_357150"/>
      <w:bookmarkEnd w:id="45363"/>
      <w:r>
        <w:rPr>
          <w:rFonts w:hint="cs"/>
          <w:rtl/>
        </w:rPr>
        <w:t xml:space="preserve">את </w:t>
      </w:r>
      <w:bookmarkStart w:id="45364" w:name="_ETM_Q85_357300"/>
      <w:bookmarkEnd w:id="45364"/>
      <w:r>
        <w:rPr>
          <w:rFonts w:hint="cs"/>
          <w:rtl/>
        </w:rPr>
        <w:t xml:space="preserve">העם </w:t>
      </w:r>
      <w:bookmarkStart w:id="45365" w:name="_ETM_Q85_357510"/>
      <w:bookmarkEnd w:id="45365"/>
      <w:r>
        <w:rPr>
          <w:rFonts w:hint="cs"/>
          <w:rtl/>
        </w:rPr>
        <w:t xml:space="preserve">הזה </w:t>
      </w:r>
      <w:bookmarkStart w:id="45366" w:name="_ETM_Q85_357720"/>
      <w:bookmarkEnd w:id="45366"/>
      <w:r>
        <w:rPr>
          <w:rFonts w:hint="cs"/>
          <w:rtl/>
        </w:rPr>
        <w:t xml:space="preserve">מבפנים; </w:t>
      </w:r>
      <w:bookmarkStart w:id="45367" w:name="_ETM_Q85_358879"/>
      <w:bookmarkEnd w:id="45367"/>
      <w:r>
        <w:rPr>
          <w:rFonts w:hint="cs"/>
          <w:rtl/>
        </w:rPr>
        <w:t xml:space="preserve">שלב </w:t>
      </w:r>
      <w:bookmarkStart w:id="45368" w:name="_ETM_Q85_359329"/>
      <w:bookmarkEnd w:id="45368"/>
      <w:r>
        <w:rPr>
          <w:rFonts w:hint="cs"/>
          <w:rtl/>
        </w:rPr>
        <w:t xml:space="preserve">אחרי </w:t>
      </w:r>
      <w:bookmarkStart w:id="45369" w:name="_ETM_Q85_359540"/>
      <w:bookmarkEnd w:id="45369"/>
      <w:r>
        <w:rPr>
          <w:rFonts w:hint="cs"/>
          <w:rtl/>
        </w:rPr>
        <w:t xml:space="preserve">שלב </w:t>
      </w:r>
      <w:bookmarkStart w:id="45370" w:name="_ETM_Q85_360290"/>
      <w:bookmarkEnd w:id="45370"/>
      <w:r>
        <w:rPr>
          <w:rFonts w:hint="cs"/>
          <w:rtl/>
        </w:rPr>
        <w:t xml:space="preserve">מעבירים </w:t>
      </w:r>
      <w:bookmarkStart w:id="45371" w:name="_ETM_Q85_360980"/>
      <w:bookmarkEnd w:id="45371"/>
      <w:r>
        <w:rPr>
          <w:rFonts w:hint="cs"/>
          <w:rtl/>
        </w:rPr>
        <w:t xml:space="preserve">את </w:t>
      </w:r>
      <w:bookmarkStart w:id="45372" w:name="_ETM_Q85_361129"/>
      <w:bookmarkEnd w:id="45372"/>
      <w:r>
        <w:rPr>
          <w:rFonts w:hint="cs"/>
          <w:rtl/>
        </w:rPr>
        <w:t xml:space="preserve">ההפיכה </w:t>
      </w:r>
      <w:bookmarkStart w:id="45373" w:name="_ETM_Q85_361609"/>
      <w:bookmarkEnd w:id="45373"/>
      <w:r>
        <w:rPr>
          <w:rFonts w:hint="cs"/>
          <w:rtl/>
        </w:rPr>
        <w:t>המשטרית</w:t>
      </w:r>
      <w:r w:rsidR="00B335DE">
        <w:rPr>
          <w:rFonts w:hint="cs"/>
          <w:rtl/>
        </w:rPr>
        <w:t>,</w:t>
      </w:r>
      <w:r>
        <w:rPr>
          <w:rFonts w:hint="cs"/>
          <w:rtl/>
        </w:rPr>
        <w:t xml:space="preserve"> </w:t>
      </w:r>
      <w:bookmarkStart w:id="45374" w:name="_ETM_Q85_362889"/>
      <w:bookmarkEnd w:id="45374"/>
      <w:r>
        <w:rPr>
          <w:rFonts w:hint="cs"/>
          <w:rtl/>
        </w:rPr>
        <w:t xml:space="preserve">הורסים </w:t>
      </w:r>
      <w:bookmarkStart w:id="45375" w:name="_ETM_Q85_363970"/>
      <w:bookmarkEnd w:id="45375"/>
      <w:r>
        <w:rPr>
          <w:rFonts w:hint="cs"/>
          <w:rtl/>
        </w:rPr>
        <w:t xml:space="preserve">ומצפים </w:t>
      </w:r>
      <w:bookmarkStart w:id="45376" w:name="_ETM_Q85_364750"/>
      <w:bookmarkEnd w:id="45376"/>
      <w:r>
        <w:rPr>
          <w:rFonts w:hint="cs"/>
          <w:rtl/>
        </w:rPr>
        <w:t xml:space="preserve">שאנחנו </w:t>
      </w:r>
      <w:bookmarkStart w:id="45377" w:name="_ETM_Q85_365290"/>
      <w:bookmarkEnd w:id="45377"/>
      <w:r>
        <w:rPr>
          <w:rFonts w:hint="cs"/>
          <w:rtl/>
        </w:rPr>
        <w:t xml:space="preserve">נשתוק. </w:t>
      </w:r>
      <w:bookmarkStart w:id="45378" w:name="_ETM_Q85_366650"/>
      <w:bookmarkEnd w:id="45378"/>
      <w:r>
        <w:rPr>
          <w:rFonts w:hint="cs"/>
          <w:rtl/>
        </w:rPr>
        <w:t xml:space="preserve">אז </w:t>
      </w:r>
      <w:bookmarkStart w:id="45379" w:name="_ETM_Q85_366829"/>
      <w:bookmarkEnd w:id="45379"/>
      <w:r>
        <w:rPr>
          <w:rFonts w:hint="cs"/>
          <w:rtl/>
        </w:rPr>
        <w:t xml:space="preserve">אני </w:t>
      </w:r>
      <w:bookmarkStart w:id="45380" w:name="_ETM_Q85_367010"/>
      <w:bookmarkEnd w:id="45380"/>
      <w:r>
        <w:rPr>
          <w:rFonts w:hint="cs"/>
          <w:rtl/>
        </w:rPr>
        <w:t xml:space="preserve">אומר </w:t>
      </w:r>
      <w:bookmarkStart w:id="45381" w:name="_ETM_Q85_367280"/>
      <w:bookmarkEnd w:id="45381"/>
      <w:r>
        <w:rPr>
          <w:rFonts w:hint="cs"/>
          <w:rtl/>
        </w:rPr>
        <w:t xml:space="preserve">לכם, </w:t>
      </w:r>
      <w:bookmarkStart w:id="45382" w:name="_ETM_Q85_367909"/>
      <w:bookmarkEnd w:id="45382"/>
      <w:r>
        <w:rPr>
          <w:rFonts w:hint="cs"/>
          <w:rtl/>
        </w:rPr>
        <w:t xml:space="preserve">אני </w:t>
      </w:r>
      <w:bookmarkStart w:id="45383" w:name="_ETM_Q85_369110"/>
      <w:bookmarkEnd w:id="45383"/>
      <w:r>
        <w:rPr>
          <w:rFonts w:hint="cs"/>
          <w:rtl/>
        </w:rPr>
        <w:t xml:space="preserve">וכל </w:t>
      </w:r>
      <w:bookmarkStart w:id="45384" w:name="_ETM_Q85_369470"/>
      <w:bookmarkEnd w:id="45384"/>
      <w:r>
        <w:rPr>
          <w:rFonts w:hint="cs"/>
          <w:rtl/>
        </w:rPr>
        <w:t xml:space="preserve">אותם </w:t>
      </w:r>
      <w:bookmarkStart w:id="45385" w:name="_ETM_Q85_369740"/>
      <w:bookmarkEnd w:id="45385"/>
      <w:r>
        <w:rPr>
          <w:rFonts w:hint="cs"/>
          <w:rtl/>
        </w:rPr>
        <w:t xml:space="preserve">מאות </w:t>
      </w:r>
      <w:bookmarkStart w:id="45386" w:name="_ETM_Q85_369950"/>
      <w:bookmarkEnd w:id="45386"/>
      <w:r>
        <w:rPr>
          <w:rFonts w:hint="cs"/>
          <w:rtl/>
        </w:rPr>
        <w:t>אלפים</w:t>
      </w:r>
      <w:bookmarkStart w:id="45387" w:name="_ETM_Q85_370370"/>
      <w:bookmarkEnd w:id="45387"/>
      <w:r w:rsidR="00B335DE">
        <w:rPr>
          <w:rFonts w:hint="cs"/>
          <w:rtl/>
        </w:rPr>
        <w:t xml:space="preserve">: </w:t>
      </w:r>
      <w:r>
        <w:rPr>
          <w:rFonts w:hint="cs"/>
          <w:rtl/>
        </w:rPr>
        <w:t xml:space="preserve">אנחנו </w:t>
      </w:r>
      <w:bookmarkStart w:id="45388" w:name="_ETM_Q85_370669"/>
      <w:bookmarkEnd w:id="45388"/>
      <w:r>
        <w:rPr>
          <w:rFonts w:hint="cs"/>
          <w:rtl/>
        </w:rPr>
        <w:t xml:space="preserve">לא </w:t>
      </w:r>
      <w:bookmarkStart w:id="45389" w:name="_ETM_Q85_370850"/>
      <w:bookmarkEnd w:id="45389"/>
      <w:r>
        <w:rPr>
          <w:rFonts w:hint="cs"/>
          <w:rtl/>
        </w:rPr>
        <w:t xml:space="preserve">נשתוק. </w:t>
      </w:r>
      <w:bookmarkStart w:id="45390" w:name="_ETM_Q85_371989"/>
      <w:bookmarkEnd w:id="45390"/>
      <w:r>
        <w:rPr>
          <w:rFonts w:hint="cs"/>
          <w:rtl/>
        </w:rPr>
        <w:t xml:space="preserve">אנחנו </w:t>
      </w:r>
      <w:bookmarkStart w:id="45391" w:name="_ETM_Q85_372379"/>
      <w:bookmarkEnd w:id="45391"/>
      <w:r>
        <w:rPr>
          <w:rFonts w:hint="cs"/>
          <w:rtl/>
        </w:rPr>
        <w:t xml:space="preserve">לא </w:t>
      </w:r>
      <w:bookmarkStart w:id="45392" w:name="_ETM_Q85_372650"/>
      <w:bookmarkEnd w:id="45392"/>
      <w:r>
        <w:rPr>
          <w:rFonts w:hint="cs"/>
          <w:rtl/>
        </w:rPr>
        <w:t xml:space="preserve">נשתוק. </w:t>
      </w:r>
      <w:bookmarkStart w:id="45393" w:name="_ETM_Q85_373980"/>
      <w:bookmarkEnd w:id="45393"/>
      <w:r>
        <w:rPr>
          <w:rFonts w:hint="cs"/>
          <w:rtl/>
        </w:rPr>
        <w:t xml:space="preserve">אנחנו </w:t>
      </w:r>
      <w:bookmarkStart w:id="45394" w:name="_ETM_Q85_374430"/>
      <w:bookmarkEnd w:id="45394"/>
      <w:r>
        <w:rPr>
          <w:rFonts w:hint="cs"/>
          <w:rtl/>
        </w:rPr>
        <w:t xml:space="preserve">לא </w:t>
      </w:r>
      <w:bookmarkStart w:id="45395" w:name="_ETM_Q85_374849"/>
      <w:bookmarkEnd w:id="45395"/>
      <w:r>
        <w:rPr>
          <w:rFonts w:hint="cs"/>
          <w:rtl/>
        </w:rPr>
        <w:t xml:space="preserve">נשתוק. </w:t>
      </w:r>
      <w:bookmarkStart w:id="45396" w:name="_ETM_Q85_377450"/>
      <w:bookmarkEnd w:id="45396"/>
      <w:r>
        <w:rPr>
          <w:rFonts w:hint="cs"/>
          <w:rtl/>
        </w:rPr>
        <w:t xml:space="preserve">אתם </w:t>
      </w:r>
      <w:bookmarkStart w:id="45397" w:name="_ETM_Q85_377750"/>
      <w:bookmarkEnd w:id="45397"/>
      <w:r>
        <w:rPr>
          <w:rFonts w:hint="cs"/>
          <w:rtl/>
        </w:rPr>
        <w:t xml:space="preserve">אומרים </w:t>
      </w:r>
      <w:bookmarkStart w:id="45398" w:name="_ETM_Q85_378050"/>
      <w:bookmarkEnd w:id="45398"/>
      <w:r>
        <w:rPr>
          <w:rFonts w:hint="cs"/>
          <w:rtl/>
        </w:rPr>
        <w:t>לנו</w:t>
      </w:r>
      <w:r w:rsidR="00B335DE">
        <w:rPr>
          <w:rFonts w:hint="cs"/>
          <w:rtl/>
        </w:rPr>
        <w:t>:</w:t>
      </w:r>
      <w:r>
        <w:rPr>
          <w:rFonts w:hint="cs"/>
          <w:rtl/>
        </w:rPr>
        <w:t xml:space="preserve"> </w:t>
      </w:r>
      <w:bookmarkStart w:id="45399" w:name="_ETM_Q85_378230"/>
      <w:bookmarkEnd w:id="45399"/>
      <w:r>
        <w:rPr>
          <w:rFonts w:hint="cs"/>
          <w:rtl/>
        </w:rPr>
        <w:t xml:space="preserve">זה </w:t>
      </w:r>
      <w:bookmarkStart w:id="45400" w:name="_ETM_Q85_378530"/>
      <w:bookmarkEnd w:id="45400"/>
      <w:r>
        <w:rPr>
          <w:rFonts w:hint="cs"/>
          <w:rtl/>
        </w:rPr>
        <w:t xml:space="preserve">רק </w:t>
      </w:r>
      <w:bookmarkStart w:id="45401" w:name="_ETM_Q85_378709"/>
      <w:bookmarkEnd w:id="45401"/>
      <w:r>
        <w:rPr>
          <w:rFonts w:hint="cs"/>
          <w:rtl/>
        </w:rPr>
        <w:t xml:space="preserve">סבירות, </w:t>
      </w:r>
      <w:bookmarkStart w:id="45402" w:name="_ETM_Q85_379950"/>
      <w:bookmarkEnd w:id="45402"/>
      <w:r>
        <w:rPr>
          <w:rFonts w:hint="cs"/>
          <w:rtl/>
        </w:rPr>
        <w:t xml:space="preserve">מה </w:t>
      </w:r>
      <w:bookmarkStart w:id="45403" w:name="_ETM_Q85_380159"/>
      <w:bookmarkEnd w:id="45403"/>
      <w:r>
        <w:rPr>
          <w:rFonts w:hint="cs"/>
          <w:rtl/>
        </w:rPr>
        <w:t xml:space="preserve">אתם </w:t>
      </w:r>
      <w:bookmarkStart w:id="45404" w:name="_ETM_Q85_380340"/>
      <w:bookmarkEnd w:id="45404"/>
      <w:r>
        <w:rPr>
          <w:rFonts w:hint="cs"/>
          <w:rtl/>
        </w:rPr>
        <w:t xml:space="preserve">בלחץ, </w:t>
      </w:r>
      <w:bookmarkStart w:id="45405" w:name="_ETM_Q85_381849"/>
      <w:bookmarkEnd w:id="45405"/>
      <w:r>
        <w:rPr>
          <w:rFonts w:hint="cs"/>
          <w:rtl/>
        </w:rPr>
        <w:t xml:space="preserve">אבל </w:t>
      </w:r>
      <w:bookmarkStart w:id="45406" w:name="_ETM_Q85_382120"/>
      <w:bookmarkEnd w:id="45406"/>
      <w:r>
        <w:rPr>
          <w:rFonts w:hint="cs"/>
          <w:rtl/>
        </w:rPr>
        <w:t xml:space="preserve">אנחנו </w:t>
      </w:r>
      <w:bookmarkStart w:id="45407" w:name="_ETM_Q85_382419"/>
      <w:bookmarkEnd w:id="45407"/>
      <w:r>
        <w:rPr>
          <w:rFonts w:hint="cs"/>
          <w:rtl/>
        </w:rPr>
        <w:t xml:space="preserve">יודעים </w:t>
      </w:r>
      <w:bookmarkStart w:id="45408" w:name="_ETM_Q85_382719"/>
      <w:bookmarkEnd w:id="45408"/>
      <w:r>
        <w:rPr>
          <w:rFonts w:hint="cs"/>
          <w:rtl/>
        </w:rPr>
        <w:t xml:space="preserve">שזאת </w:t>
      </w:r>
      <w:bookmarkStart w:id="45409" w:name="_ETM_Q85_383019"/>
      <w:bookmarkEnd w:id="45409"/>
      <w:r>
        <w:rPr>
          <w:rFonts w:hint="cs"/>
          <w:rtl/>
        </w:rPr>
        <w:t xml:space="preserve">בעצם </w:t>
      </w:r>
      <w:bookmarkStart w:id="45410" w:name="_ETM_Q85_383379"/>
      <w:bookmarkEnd w:id="45410"/>
      <w:r>
        <w:rPr>
          <w:rFonts w:hint="cs"/>
          <w:rtl/>
        </w:rPr>
        <w:t xml:space="preserve">רק </w:t>
      </w:r>
      <w:bookmarkStart w:id="45411" w:name="_ETM_Q85_383590"/>
      <w:bookmarkEnd w:id="45411"/>
      <w:r>
        <w:rPr>
          <w:rFonts w:hint="cs"/>
          <w:rtl/>
        </w:rPr>
        <w:t xml:space="preserve">הפרוסה </w:t>
      </w:r>
      <w:bookmarkStart w:id="45412" w:name="_ETM_Q85_384189"/>
      <w:bookmarkEnd w:id="45412"/>
      <w:r>
        <w:rPr>
          <w:rFonts w:hint="cs"/>
          <w:rtl/>
        </w:rPr>
        <w:t xml:space="preserve">הראשונה </w:t>
      </w:r>
      <w:bookmarkStart w:id="45413" w:name="_ETM_Q85_384639"/>
      <w:bookmarkEnd w:id="45413"/>
      <w:r>
        <w:rPr>
          <w:rFonts w:hint="cs"/>
          <w:rtl/>
        </w:rPr>
        <w:t xml:space="preserve">של </w:t>
      </w:r>
      <w:bookmarkStart w:id="45414" w:name="_ETM_Q85_384819"/>
      <w:bookmarkEnd w:id="45414"/>
      <w:r>
        <w:rPr>
          <w:rFonts w:hint="cs"/>
          <w:rtl/>
        </w:rPr>
        <w:t xml:space="preserve">הסלמי. </w:t>
      </w:r>
      <w:bookmarkStart w:id="45415" w:name="_ETM_Q85_386219"/>
      <w:bookmarkEnd w:id="45415"/>
      <w:r>
        <w:rPr>
          <w:rFonts w:hint="cs"/>
          <w:rtl/>
        </w:rPr>
        <w:t xml:space="preserve">אתם </w:t>
      </w:r>
      <w:bookmarkStart w:id="45416" w:name="_ETM_Q85_386519"/>
      <w:bookmarkEnd w:id="45416"/>
      <w:r>
        <w:rPr>
          <w:rFonts w:hint="cs"/>
          <w:rtl/>
        </w:rPr>
        <w:t xml:space="preserve">מנסים </w:t>
      </w:r>
      <w:bookmarkStart w:id="45417" w:name="_ETM_Q85_386879"/>
      <w:bookmarkEnd w:id="45417"/>
      <w:r>
        <w:rPr>
          <w:rFonts w:hint="cs"/>
          <w:rtl/>
        </w:rPr>
        <w:t xml:space="preserve">לסבן </w:t>
      </w:r>
      <w:bookmarkStart w:id="45418" w:name="_ETM_Q85_387359"/>
      <w:bookmarkEnd w:id="45418"/>
      <w:r>
        <w:rPr>
          <w:rFonts w:hint="cs"/>
          <w:rtl/>
        </w:rPr>
        <w:t xml:space="preserve">אותנו, </w:t>
      </w:r>
      <w:bookmarkStart w:id="45419" w:name="_ETM_Q85_388340"/>
      <w:bookmarkEnd w:id="45419"/>
      <w:r>
        <w:rPr>
          <w:rFonts w:hint="cs"/>
          <w:rtl/>
        </w:rPr>
        <w:t xml:space="preserve">אבל </w:t>
      </w:r>
      <w:bookmarkStart w:id="45420" w:name="_ETM_Q85_388609"/>
      <w:bookmarkEnd w:id="45420"/>
      <w:r>
        <w:rPr>
          <w:rFonts w:hint="cs"/>
          <w:rtl/>
        </w:rPr>
        <w:t xml:space="preserve">את </w:t>
      </w:r>
      <w:bookmarkStart w:id="45421" w:name="_ETM_Q85_388760"/>
      <w:bookmarkEnd w:id="45421"/>
      <w:r>
        <w:rPr>
          <w:rFonts w:hint="cs"/>
          <w:rtl/>
        </w:rPr>
        <w:t xml:space="preserve">הריח </w:t>
      </w:r>
      <w:bookmarkStart w:id="45422" w:name="_ETM_Q85_389120"/>
      <w:bookmarkEnd w:id="45422"/>
      <w:r>
        <w:rPr>
          <w:rFonts w:hint="cs"/>
          <w:rtl/>
        </w:rPr>
        <w:t xml:space="preserve">של </w:t>
      </w:r>
      <w:bookmarkStart w:id="45423" w:name="_ETM_Q85_389329"/>
      <w:bookmarkEnd w:id="45423"/>
      <w:r>
        <w:rPr>
          <w:rFonts w:hint="cs"/>
          <w:rtl/>
        </w:rPr>
        <w:t xml:space="preserve">נקניק </w:t>
      </w:r>
      <w:bookmarkStart w:id="45424" w:name="_ETM_Q85_389659"/>
      <w:bookmarkEnd w:id="45424"/>
      <w:r>
        <w:rPr>
          <w:rFonts w:hint="cs"/>
          <w:rtl/>
        </w:rPr>
        <w:t xml:space="preserve">הסלמי </w:t>
      </w:r>
      <w:bookmarkStart w:id="45425" w:name="_ETM_Q85_390139"/>
      <w:bookmarkEnd w:id="45425"/>
      <w:r>
        <w:rPr>
          <w:rFonts w:hint="cs"/>
          <w:rtl/>
        </w:rPr>
        <w:t xml:space="preserve">הזה </w:t>
      </w:r>
      <w:bookmarkStart w:id="45426" w:name="_ETM_Q85_390769"/>
      <w:bookmarkEnd w:id="45426"/>
      <w:r>
        <w:rPr>
          <w:rFonts w:hint="cs"/>
          <w:rtl/>
        </w:rPr>
        <w:t xml:space="preserve">אפשר </w:t>
      </w:r>
      <w:bookmarkStart w:id="45427" w:name="_ETM_Q85_391099"/>
      <w:bookmarkEnd w:id="45427"/>
      <w:r>
        <w:rPr>
          <w:rFonts w:hint="cs"/>
          <w:rtl/>
        </w:rPr>
        <w:t xml:space="preserve">להריח </w:t>
      </w:r>
      <w:bookmarkStart w:id="45428" w:name="_ETM_Q85_391519"/>
      <w:bookmarkEnd w:id="45428"/>
      <w:r>
        <w:rPr>
          <w:rFonts w:hint="cs"/>
          <w:rtl/>
        </w:rPr>
        <w:t xml:space="preserve">מקילומטרים. </w:t>
      </w:r>
      <w:bookmarkStart w:id="45429" w:name="_ETM_Q85_393439"/>
      <w:bookmarkEnd w:id="45429"/>
      <w:r>
        <w:rPr>
          <w:rFonts w:hint="cs"/>
          <w:rtl/>
        </w:rPr>
        <w:t xml:space="preserve">אפשר </w:t>
      </w:r>
      <w:bookmarkStart w:id="45430" w:name="_ETM_Q85_393769"/>
      <w:bookmarkEnd w:id="45430"/>
      <w:r>
        <w:rPr>
          <w:rFonts w:hint="cs"/>
          <w:rtl/>
        </w:rPr>
        <w:t>להריח</w:t>
      </w:r>
      <w:r w:rsidR="00B335DE">
        <w:rPr>
          <w:rFonts w:hint="cs"/>
          <w:rtl/>
        </w:rPr>
        <w:t>,</w:t>
      </w:r>
      <w:r>
        <w:rPr>
          <w:rFonts w:hint="cs"/>
          <w:rtl/>
        </w:rPr>
        <w:t xml:space="preserve"> </w:t>
      </w:r>
      <w:bookmarkStart w:id="45431" w:name="_ETM_Q85_394400"/>
      <w:bookmarkStart w:id="45432" w:name="_ETM_Q85_394609"/>
      <w:bookmarkEnd w:id="45431"/>
      <w:bookmarkEnd w:id="45432"/>
      <w:r>
        <w:rPr>
          <w:rFonts w:hint="cs"/>
          <w:rtl/>
        </w:rPr>
        <w:t xml:space="preserve">בעקבות </w:t>
      </w:r>
      <w:bookmarkStart w:id="45433" w:name="_ETM_Q85_395150"/>
      <w:bookmarkEnd w:id="45433"/>
      <w:r>
        <w:rPr>
          <w:rFonts w:hint="cs"/>
          <w:rtl/>
        </w:rPr>
        <w:t xml:space="preserve">כל </w:t>
      </w:r>
      <w:bookmarkStart w:id="45434" w:name="_ETM_Q85_395359"/>
      <w:bookmarkEnd w:id="45434"/>
      <w:r>
        <w:rPr>
          <w:rFonts w:hint="cs"/>
          <w:rtl/>
        </w:rPr>
        <w:t xml:space="preserve">החוקים </w:t>
      </w:r>
      <w:bookmarkStart w:id="45435" w:name="_ETM_Q85_396290"/>
      <w:bookmarkEnd w:id="45435"/>
      <w:r>
        <w:rPr>
          <w:rFonts w:hint="cs"/>
          <w:rtl/>
        </w:rPr>
        <w:t xml:space="preserve">ההזויים </w:t>
      </w:r>
      <w:bookmarkStart w:id="45436" w:name="_ETM_Q85_397640"/>
      <w:bookmarkEnd w:id="45436"/>
      <w:r>
        <w:rPr>
          <w:rFonts w:hint="cs"/>
          <w:rtl/>
        </w:rPr>
        <w:t xml:space="preserve">שהתעסקנו </w:t>
      </w:r>
      <w:bookmarkStart w:id="45437" w:name="_ETM_Q85_398390"/>
      <w:bookmarkEnd w:id="45437"/>
      <w:r>
        <w:rPr>
          <w:rFonts w:hint="cs"/>
          <w:rtl/>
        </w:rPr>
        <w:t xml:space="preserve">איתם </w:t>
      </w:r>
      <w:bookmarkStart w:id="45438" w:name="_ETM_Q85_398629"/>
      <w:bookmarkEnd w:id="45438"/>
      <w:r>
        <w:rPr>
          <w:rFonts w:hint="cs"/>
          <w:rtl/>
        </w:rPr>
        <w:t xml:space="preserve">בחודשים </w:t>
      </w:r>
      <w:bookmarkStart w:id="45439" w:name="_ETM_Q85_399110"/>
      <w:bookmarkEnd w:id="45439"/>
      <w:r>
        <w:rPr>
          <w:rFonts w:hint="cs"/>
          <w:rtl/>
        </w:rPr>
        <w:t>האחרונים</w:t>
      </w:r>
      <w:bookmarkStart w:id="45440" w:name="_ETM_Q85_399959"/>
      <w:bookmarkEnd w:id="45440"/>
      <w:r>
        <w:rPr>
          <w:rFonts w:hint="cs"/>
          <w:rtl/>
        </w:rPr>
        <w:t xml:space="preserve">. </w:t>
      </w:r>
      <w:bookmarkStart w:id="45441" w:name="_ETM_Q85_399000"/>
      <w:bookmarkEnd w:id="45441"/>
      <w:r>
        <w:rPr>
          <w:rFonts w:hint="cs"/>
          <w:rtl/>
        </w:rPr>
        <w:t xml:space="preserve">לילות </w:t>
      </w:r>
      <w:bookmarkStart w:id="45442" w:name="_ETM_Q85_400560"/>
      <w:bookmarkEnd w:id="45442"/>
      <w:r>
        <w:rPr>
          <w:rFonts w:hint="cs"/>
          <w:rtl/>
        </w:rPr>
        <w:t xml:space="preserve">שלמים </w:t>
      </w:r>
      <w:bookmarkStart w:id="45443" w:name="_ETM_Q85_400980"/>
      <w:bookmarkEnd w:id="45443"/>
      <w:r>
        <w:rPr>
          <w:rFonts w:hint="cs"/>
          <w:rtl/>
        </w:rPr>
        <w:t xml:space="preserve">התעסקנו </w:t>
      </w:r>
      <w:bookmarkStart w:id="45444" w:name="_ETM_Q85_401549"/>
      <w:bookmarkEnd w:id="45444"/>
      <w:r>
        <w:rPr>
          <w:rFonts w:hint="cs"/>
          <w:rtl/>
        </w:rPr>
        <w:t xml:space="preserve">איתם. </w:t>
      </w:r>
      <w:bookmarkStart w:id="45445" w:name="_ETM_Q85_402180"/>
      <w:bookmarkEnd w:id="45445"/>
      <w:r>
        <w:rPr>
          <w:rFonts w:hint="cs"/>
          <w:rtl/>
        </w:rPr>
        <w:t xml:space="preserve">לא </w:t>
      </w:r>
      <w:bookmarkStart w:id="45446" w:name="_ETM_Q85_402390"/>
      <w:bookmarkEnd w:id="45446"/>
      <w:r>
        <w:rPr>
          <w:rFonts w:hint="cs"/>
          <w:rtl/>
        </w:rPr>
        <w:t xml:space="preserve">התעסקנו </w:t>
      </w:r>
      <w:bookmarkStart w:id="45447" w:name="_ETM_Q85_403080"/>
      <w:bookmarkEnd w:id="45447"/>
      <w:r>
        <w:rPr>
          <w:rFonts w:hint="cs"/>
          <w:rtl/>
        </w:rPr>
        <w:t xml:space="preserve">עם </w:t>
      </w:r>
      <w:bookmarkStart w:id="45448" w:name="_ETM_Q85_403170"/>
      <w:bookmarkEnd w:id="45448"/>
      <w:r>
        <w:rPr>
          <w:rFonts w:hint="cs"/>
          <w:rtl/>
        </w:rPr>
        <w:t xml:space="preserve">גב' </w:t>
      </w:r>
      <w:bookmarkStart w:id="45449" w:name="_ETM_Q85_404139"/>
      <w:bookmarkEnd w:id="45449"/>
      <w:r>
        <w:rPr>
          <w:rFonts w:hint="cs"/>
          <w:rtl/>
        </w:rPr>
        <w:t xml:space="preserve">שושנה </w:t>
      </w:r>
      <w:bookmarkStart w:id="45450" w:name="_ETM_Q85_404739"/>
      <w:bookmarkEnd w:id="45450"/>
      <w:r>
        <w:rPr>
          <w:rFonts w:hint="cs"/>
          <w:rtl/>
        </w:rPr>
        <w:t xml:space="preserve">מקריית </w:t>
      </w:r>
      <w:bookmarkStart w:id="45451" w:name="_ETM_Q85_405189"/>
      <w:bookmarkEnd w:id="45451"/>
      <w:r>
        <w:rPr>
          <w:rFonts w:hint="cs"/>
          <w:rtl/>
        </w:rPr>
        <w:t xml:space="preserve">שמונה, </w:t>
      </w:r>
      <w:bookmarkStart w:id="45452" w:name="_ETM_Q85_405549"/>
      <w:bookmarkEnd w:id="45452"/>
      <w:r>
        <w:rPr>
          <w:rFonts w:hint="cs"/>
          <w:rtl/>
        </w:rPr>
        <w:t xml:space="preserve">שהמקרר </w:t>
      </w:r>
      <w:bookmarkStart w:id="45453" w:name="_ETM_Q85_406120"/>
      <w:bookmarkEnd w:id="45453"/>
      <w:r>
        <w:rPr>
          <w:rFonts w:hint="cs"/>
          <w:rtl/>
        </w:rPr>
        <w:t xml:space="preserve">שלה ריק; לא התעסקנו </w:t>
      </w:r>
      <w:bookmarkStart w:id="45454" w:name="_ETM_Q85_407919"/>
      <w:bookmarkEnd w:id="45454"/>
      <w:r>
        <w:rPr>
          <w:rFonts w:hint="cs"/>
          <w:rtl/>
        </w:rPr>
        <w:t xml:space="preserve">עם </w:t>
      </w:r>
      <w:bookmarkStart w:id="45455" w:name="_ETM_Q85_408069"/>
      <w:bookmarkEnd w:id="45455"/>
      <w:r>
        <w:rPr>
          <w:rFonts w:hint="cs"/>
          <w:rtl/>
        </w:rPr>
        <w:t xml:space="preserve">אדון </w:t>
      </w:r>
      <w:bookmarkStart w:id="45456" w:name="_ETM_Q85_408400"/>
      <w:bookmarkEnd w:id="45456"/>
      <w:r>
        <w:rPr>
          <w:rFonts w:hint="cs"/>
          <w:rtl/>
        </w:rPr>
        <w:t xml:space="preserve">ירוחם, </w:t>
      </w:r>
      <w:bookmarkStart w:id="45457" w:name="_ETM_Q85_409239"/>
      <w:bookmarkEnd w:id="45457"/>
      <w:r>
        <w:rPr>
          <w:rFonts w:hint="cs"/>
          <w:rtl/>
        </w:rPr>
        <w:t xml:space="preserve">שלא </w:t>
      </w:r>
      <w:bookmarkStart w:id="45458" w:name="_ETM_Q85_409510"/>
      <w:bookmarkEnd w:id="45458"/>
      <w:r>
        <w:rPr>
          <w:rFonts w:hint="cs"/>
          <w:rtl/>
        </w:rPr>
        <w:t xml:space="preserve">יכול </w:t>
      </w:r>
      <w:bookmarkStart w:id="45459" w:name="_ETM_Q85_409840"/>
      <w:bookmarkEnd w:id="45459"/>
      <w:r>
        <w:rPr>
          <w:rFonts w:hint="cs"/>
          <w:rtl/>
        </w:rPr>
        <w:t xml:space="preserve">לשלם </w:t>
      </w:r>
      <w:bookmarkStart w:id="45460" w:name="_ETM_Q85_410290"/>
      <w:bookmarkEnd w:id="45460"/>
      <w:r>
        <w:rPr>
          <w:rFonts w:hint="cs"/>
          <w:rtl/>
        </w:rPr>
        <w:t xml:space="preserve">את </w:t>
      </w:r>
      <w:bookmarkStart w:id="45461" w:name="_ETM_Q85_410439"/>
      <w:bookmarkEnd w:id="45461"/>
      <w:r>
        <w:rPr>
          <w:rFonts w:hint="cs"/>
          <w:rtl/>
        </w:rPr>
        <w:t xml:space="preserve">המשכנתה </w:t>
      </w:r>
      <w:bookmarkStart w:id="45462" w:name="_ETM_Q85_411069"/>
      <w:bookmarkEnd w:id="45462"/>
      <w:r>
        <w:rPr>
          <w:rFonts w:hint="cs"/>
          <w:rtl/>
        </w:rPr>
        <w:t xml:space="preserve">שלו. </w:t>
      </w:r>
      <w:bookmarkStart w:id="45463" w:name="_ETM_Q85_412180"/>
      <w:bookmarkEnd w:id="45463"/>
      <w:r>
        <w:rPr>
          <w:rFonts w:hint="cs"/>
          <w:rtl/>
        </w:rPr>
        <w:t xml:space="preserve">התעסקנו </w:t>
      </w:r>
      <w:bookmarkStart w:id="45464" w:name="_ETM_Q85_412870"/>
      <w:bookmarkEnd w:id="45464"/>
      <w:r>
        <w:rPr>
          <w:rFonts w:hint="cs"/>
          <w:rtl/>
        </w:rPr>
        <w:t xml:space="preserve">בפירוק </w:t>
      </w:r>
      <w:bookmarkStart w:id="45465" w:name="_ETM_Q85_413379"/>
      <w:bookmarkEnd w:id="45465"/>
      <w:r>
        <w:rPr>
          <w:rFonts w:hint="cs"/>
          <w:rtl/>
        </w:rPr>
        <w:t xml:space="preserve">הרשות </w:t>
      </w:r>
      <w:bookmarkStart w:id="45466" w:name="_ETM_Q85_414189"/>
      <w:bookmarkEnd w:id="45466"/>
      <w:r>
        <w:rPr>
          <w:rFonts w:hint="cs"/>
          <w:rtl/>
        </w:rPr>
        <w:t xml:space="preserve">לקידום </w:t>
      </w:r>
      <w:bookmarkStart w:id="45467" w:name="_ETM_Q85_414609"/>
      <w:bookmarkEnd w:id="45467"/>
      <w:r>
        <w:rPr>
          <w:rFonts w:hint="cs"/>
          <w:rtl/>
        </w:rPr>
        <w:t xml:space="preserve">מעמד </w:t>
      </w:r>
      <w:bookmarkStart w:id="45468" w:name="_ETM_Q85_414909"/>
      <w:bookmarkEnd w:id="45468"/>
      <w:r>
        <w:rPr>
          <w:rFonts w:hint="cs"/>
          <w:rtl/>
        </w:rPr>
        <w:t xml:space="preserve">האישה </w:t>
      </w:r>
      <w:bookmarkStart w:id="45469" w:name="_ETM_Q85_415689"/>
      <w:bookmarkEnd w:id="45469"/>
      <w:r w:rsidR="00B335DE">
        <w:rPr>
          <w:rFonts w:hint="eastAsia"/>
          <w:rtl/>
        </w:rPr>
        <w:t>–</w:t>
      </w:r>
      <w:r w:rsidR="00B335DE">
        <w:rPr>
          <w:rFonts w:hint="cs"/>
          <w:rtl/>
        </w:rPr>
        <w:t xml:space="preserve"> </w:t>
      </w:r>
      <w:r>
        <w:rPr>
          <w:rFonts w:hint="cs"/>
          <w:rtl/>
        </w:rPr>
        <w:t xml:space="preserve">כן, </w:t>
      </w:r>
      <w:bookmarkStart w:id="45470" w:name="_ETM_Q85_416469"/>
      <w:bookmarkEnd w:id="45470"/>
      <w:r>
        <w:rPr>
          <w:rFonts w:hint="cs"/>
          <w:rtl/>
        </w:rPr>
        <w:t xml:space="preserve">מאוד </w:t>
      </w:r>
      <w:bookmarkStart w:id="45471" w:name="_ETM_Q85_417099"/>
      <w:bookmarkEnd w:id="45471"/>
      <w:r>
        <w:rPr>
          <w:rFonts w:hint="cs"/>
          <w:rtl/>
        </w:rPr>
        <w:t xml:space="preserve">חשוב </w:t>
      </w:r>
      <w:bookmarkStart w:id="45472" w:name="_ETM_Q85_417489"/>
      <w:bookmarkEnd w:id="45472"/>
      <w:r>
        <w:rPr>
          <w:rFonts w:hint="cs"/>
          <w:rtl/>
        </w:rPr>
        <w:t xml:space="preserve">היה </w:t>
      </w:r>
      <w:bookmarkStart w:id="45473" w:name="_ETM_Q85_417639"/>
      <w:bookmarkEnd w:id="45473"/>
      <w:r>
        <w:rPr>
          <w:rFonts w:hint="cs"/>
          <w:rtl/>
        </w:rPr>
        <w:t xml:space="preserve">לכם </w:t>
      </w:r>
      <w:bookmarkStart w:id="45474" w:name="_ETM_Q85_417909"/>
      <w:bookmarkEnd w:id="45474"/>
      <w:r>
        <w:rPr>
          <w:rFonts w:hint="cs"/>
          <w:rtl/>
        </w:rPr>
        <w:t xml:space="preserve">לפרק </w:t>
      </w:r>
      <w:bookmarkStart w:id="45475" w:name="_ETM_Q85_418359"/>
      <w:bookmarkEnd w:id="45475"/>
      <w:r>
        <w:rPr>
          <w:rFonts w:hint="cs"/>
          <w:rtl/>
        </w:rPr>
        <w:t xml:space="preserve">את </w:t>
      </w:r>
      <w:bookmarkStart w:id="45476" w:name="_ETM_Q85_418480"/>
      <w:bookmarkEnd w:id="45476"/>
      <w:r>
        <w:rPr>
          <w:rFonts w:hint="cs"/>
          <w:rtl/>
        </w:rPr>
        <w:t xml:space="preserve">הרשות </w:t>
      </w:r>
      <w:bookmarkStart w:id="45477" w:name="_ETM_Q85_418930"/>
      <w:bookmarkEnd w:id="45477"/>
      <w:r>
        <w:rPr>
          <w:rFonts w:hint="cs"/>
          <w:rtl/>
        </w:rPr>
        <w:t xml:space="preserve">לקידום </w:t>
      </w:r>
      <w:bookmarkStart w:id="45478" w:name="_ETM_Q85_419290"/>
      <w:bookmarkEnd w:id="45478"/>
      <w:r>
        <w:rPr>
          <w:rFonts w:hint="cs"/>
          <w:rtl/>
        </w:rPr>
        <w:t xml:space="preserve">מעמד </w:t>
      </w:r>
      <w:bookmarkStart w:id="45479" w:name="_ETM_Q85_419620"/>
      <w:bookmarkEnd w:id="45479"/>
      <w:r>
        <w:rPr>
          <w:rFonts w:hint="cs"/>
          <w:rtl/>
        </w:rPr>
        <w:t xml:space="preserve">האישה; </w:t>
      </w:r>
      <w:bookmarkStart w:id="45480" w:name="_ETM_Q85_420610"/>
      <w:bookmarkEnd w:id="45480"/>
      <w:r>
        <w:rPr>
          <w:rFonts w:hint="cs"/>
          <w:rtl/>
        </w:rPr>
        <w:t xml:space="preserve">בחוק </w:t>
      </w:r>
      <w:bookmarkStart w:id="45481" w:name="_ETM_Q85_421000"/>
      <w:bookmarkEnd w:id="45481"/>
      <w:r>
        <w:rPr>
          <w:rFonts w:hint="cs"/>
          <w:rtl/>
        </w:rPr>
        <w:t xml:space="preserve">המתנות </w:t>
      </w:r>
      <w:bookmarkStart w:id="45482" w:name="_ETM_Q85_422210"/>
      <w:bookmarkEnd w:id="45482"/>
      <w:r>
        <w:rPr>
          <w:rFonts w:hint="cs"/>
          <w:rtl/>
        </w:rPr>
        <w:t>– מאוד</w:t>
      </w:r>
      <w:bookmarkStart w:id="45483" w:name="_ETM_Q85_422630"/>
      <w:bookmarkEnd w:id="45483"/>
      <w:r>
        <w:rPr>
          <w:rFonts w:hint="cs"/>
          <w:rtl/>
        </w:rPr>
        <w:t xml:space="preserve"> מאוד </w:t>
      </w:r>
      <w:bookmarkStart w:id="45484" w:name="_ETM_Q85_422840"/>
      <w:bookmarkEnd w:id="45484"/>
      <w:r>
        <w:rPr>
          <w:rFonts w:hint="cs"/>
          <w:rtl/>
        </w:rPr>
        <w:t xml:space="preserve">חשוב </w:t>
      </w:r>
      <w:bookmarkStart w:id="45485" w:name="_ETM_Q85_423200"/>
      <w:bookmarkEnd w:id="45485"/>
      <w:r>
        <w:rPr>
          <w:rFonts w:hint="cs"/>
          <w:rtl/>
        </w:rPr>
        <w:t xml:space="preserve">היה </w:t>
      </w:r>
      <w:bookmarkStart w:id="45486" w:name="_ETM_Q85_423319"/>
      <w:bookmarkEnd w:id="45486"/>
      <w:r>
        <w:rPr>
          <w:rFonts w:hint="cs"/>
          <w:rtl/>
        </w:rPr>
        <w:t xml:space="preserve">להעביר </w:t>
      </w:r>
      <w:bookmarkStart w:id="45487" w:name="_ETM_Q85_423650"/>
      <w:bookmarkEnd w:id="45487"/>
      <w:r>
        <w:rPr>
          <w:rFonts w:hint="cs"/>
          <w:rtl/>
        </w:rPr>
        <w:t xml:space="preserve">פה </w:t>
      </w:r>
      <w:bookmarkStart w:id="45488" w:name="_ETM_Q85_423800"/>
      <w:bookmarkEnd w:id="45488"/>
      <w:r>
        <w:rPr>
          <w:rFonts w:hint="cs"/>
          <w:rtl/>
        </w:rPr>
        <w:t xml:space="preserve">שני </w:t>
      </w:r>
      <w:bookmarkStart w:id="45489" w:name="_ETM_Q85_424040"/>
      <w:bookmarkEnd w:id="45489"/>
      <w:r>
        <w:rPr>
          <w:rFonts w:hint="cs"/>
          <w:rtl/>
        </w:rPr>
        <w:t xml:space="preserve">לילות </w:t>
      </w:r>
      <w:bookmarkStart w:id="45490" w:name="_ETM_Q85_424730"/>
      <w:bookmarkEnd w:id="45490"/>
      <w:r>
        <w:rPr>
          <w:rFonts w:hint="cs"/>
          <w:rtl/>
        </w:rPr>
        <w:t xml:space="preserve">בחוק </w:t>
      </w:r>
      <w:bookmarkStart w:id="45491" w:name="_ETM_Q85_425150"/>
      <w:bookmarkEnd w:id="45491"/>
      <w:r>
        <w:rPr>
          <w:rFonts w:hint="cs"/>
          <w:rtl/>
        </w:rPr>
        <w:t xml:space="preserve">המתנות; </w:t>
      </w:r>
      <w:bookmarkStart w:id="45492" w:name="_ETM_Q85_426260"/>
      <w:bookmarkEnd w:id="45492"/>
      <w:r>
        <w:rPr>
          <w:rFonts w:hint="cs"/>
          <w:rtl/>
        </w:rPr>
        <w:t xml:space="preserve">בחוק </w:t>
      </w:r>
      <w:bookmarkStart w:id="45493" w:name="_ETM_Q85_426680"/>
      <w:bookmarkEnd w:id="45493"/>
      <w:r>
        <w:rPr>
          <w:rFonts w:hint="cs"/>
          <w:rtl/>
        </w:rPr>
        <w:t xml:space="preserve">הנבצרות; </w:t>
      </w:r>
      <w:bookmarkStart w:id="45494" w:name="_ETM_Q85_427730"/>
      <w:bookmarkEnd w:id="45494"/>
      <w:r>
        <w:rPr>
          <w:rFonts w:hint="cs"/>
          <w:rtl/>
        </w:rPr>
        <w:t xml:space="preserve">בחוק </w:t>
      </w:r>
      <w:bookmarkStart w:id="45495" w:name="_ETM_Q85_428180"/>
      <w:bookmarkEnd w:id="45495"/>
      <w:r>
        <w:rPr>
          <w:rFonts w:hint="cs"/>
          <w:rtl/>
        </w:rPr>
        <w:t xml:space="preserve">טבריה </w:t>
      </w:r>
      <w:bookmarkStart w:id="45496" w:name="_ETM_Q85_428659"/>
      <w:bookmarkEnd w:id="45496"/>
      <w:r>
        <w:rPr>
          <w:rFonts w:hint="cs"/>
          <w:rtl/>
        </w:rPr>
        <w:t xml:space="preserve">המושחת; </w:t>
      </w:r>
      <w:bookmarkStart w:id="45497" w:name="_ETM_Q85_430209"/>
      <w:bookmarkEnd w:id="45497"/>
      <w:r>
        <w:rPr>
          <w:rFonts w:hint="cs"/>
          <w:rtl/>
        </w:rPr>
        <w:t xml:space="preserve">בהדחת הניצב </w:t>
      </w:r>
      <w:bookmarkStart w:id="45498" w:name="_ETM_Q85_430540"/>
      <w:bookmarkStart w:id="45499" w:name="_ETM_Q85_430870"/>
      <w:bookmarkStart w:id="45500" w:name="_ETM_Q85_431050"/>
      <w:bookmarkStart w:id="45501" w:name="_ETM_Q85_431500"/>
      <w:bookmarkEnd w:id="45498"/>
      <w:bookmarkEnd w:id="45499"/>
      <w:bookmarkEnd w:id="45500"/>
      <w:bookmarkEnd w:id="45501"/>
      <w:r>
        <w:rPr>
          <w:rFonts w:hint="cs"/>
          <w:rtl/>
        </w:rPr>
        <w:t xml:space="preserve">עמי </w:t>
      </w:r>
      <w:bookmarkStart w:id="45502" w:name="_ETM_Q85_431890"/>
      <w:bookmarkEnd w:id="45502"/>
      <w:r>
        <w:rPr>
          <w:rFonts w:hint="cs"/>
          <w:rtl/>
        </w:rPr>
        <w:t xml:space="preserve">אשד; בדחייה של </w:t>
      </w:r>
      <w:bookmarkStart w:id="45503" w:name="_ETM_Q85_433639"/>
      <w:bookmarkStart w:id="45504" w:name="_ETM_Q85_434209"/>
      <w:bookmarkStart w:id="45505" w:name="_ETM_Q85_434389"/>
      <w:bookmarkEnd w:id="45503"/>
      <w:bookmarkEnd w:id="45504"/>
      <w:bookmarkEnd w:id="45505"/>
      <w:r>
        <w:rPr>
          <w:rFonts w:hint="cs"/>
          <w:rtl/>
        </w:rPr>
        <w:t xml:space="preserve">כינוס </w:t>
      </w:r>
      <w:bookmarkStart w:id="45506" w:name="_ETM_Q85_434749"/>
      <w:bookmarkEnd w:id="45506"/>
      <w:r>
        <w:rPr>
          <w:rFonts w:hint="cs"/>
          <w:rtl/>
        </w:rPr>
        <w:t xml:space="preserve">הוועדה </w:t>
      </w:r>
      <w:bookmarkStart w:id="45507" w:name="_ETM_Q85_435199"/>
      <w:bookmarkEnd w:id="45507"/>
      <w:r>
        <w:rPr>
          <w:rFonts w:hint="cs"/>
          <w:rtl/>
        </w:rPr>
        <w:t xml:space="preserve">לבחירת </w:t>
      </w:r>
      <w:bookmarkStart w:id="45508" w:name="_ETM_Q85_435680"/>
      <w:bookmarkEnd w:id="45508"/>
      <w:r>
        <w:rPr>
          <w:rFonts w:hint="cs"/>
          <w:rtl/>
        </w:rPr>
        <w:t xml:space="preserve">שופטים </w:t>
      </w:r>
      <w:r w:rsidR="00B335DE">
        <w:rPr>
          <w:rFonts w:hint="eastAsia"/>
          <w:rtl/>
        </w:rPr>
        <w:t>–</w:t>
      </w:r>
      <w:r w:rsidR="00B335DE">
        <w:rPr>
          <w:rFonts w:hint="cs"/>
          <w:rtl/>
        </w:rPr>
        <w:t xml:space="preserve"> </w:t>
      </w:r>
      <w:r>
        <w:rPr>
          <w:rFonts w:hint="cs"/>
          <w:rtl/>
        </w:rPr>
        <w:t xml:space="preserve">עשרות </w:t>
      </w:r>
      <w:bookmarkStart w:id="45509" w:name="_ETM_Q85_437300"/>
      <w:bookmarkStart w:id="45510" w:name="_ETM_Q85_437690"/>
      <w:bookmarkStart w:id="45511" w:name="_ETM_Q85_437960"/>
      <w:bookmarkEnd w:id="45509"/>
      <w:bookmarkEnd w:id="45510"/>
      <w:bookmarkEnd w:id="45511"/>
      <w:r>
        <w:rPr>
          <w:rFonts w:hint="cs"/>
          <w:rtl/>
        </w:rPr>
        <w:t xml:space="preserve">שופטים </w:t>
      </w:r>
      <w:bookmarkStart w:id="45512" w:name="_ETM_Q85_438470"/>
      <w:bookmarkEnd w:id="45512"/>
      <w:r>
        <w:rPr>
          <w:rFonts w:hint="cs"/>
          <w:rtl/>
        </w:rPr>
        <w:t xml:space="preserve">חסרים </w:t>
      </w:r>
      <w:bookmarkStart w:id="45513" w:name="_ETM_Q85_439809"/>
      <w:bookmarkEnd w:id="45513"/>
      <w:r>
        <w:rPr>
          <w:rFonts w:hint="cs"/>
          <w:rtl/>
        </w:rPr>
        <w:t xml:space="preserve">במשפט </w:t>
      </w:r>
      <w:bookmarkStart w:id="45514" w:name="_ETM_Q85_440349"/>
      <w:bookmarkEnd w:id="45514"/>
      <w:r>
        <w:rPr>
          <w:rFonts w:hint="cs"/>
          <w:rtl/>
        </w:rPr>
        <w:t xml:space="preserve">הישראלי </w:t>
      </w:r>
      <w:bookmarkStart w:id="45515" w:name="_ETM_Q85_441129"/>
      <w:bookmarkEnd w:id="45515"/>
      <w:r>
        <w:rPr>
          <w:rFonts w:hint="cs"/>
          <w:rtl/>
        </w:rPr>
        <w:t xml:space="preserve">בבתי </w:t>
      </w:r>
      <w:bookmarkStart w:id="45516" w:name="_ETM_Q85_441580"/>
      <w:bookmarkEnd w:id="45516"/>
      <w:r>
        <w:rPr>
          <w:rFonts w:hint="cs"/>
          <w:rtl/>
        </w:rPr>
        <w:t xml:space="preserve">המשפט, </w:t>
      </w:r>
      <w:bookmarkStart w:id="45517" w:name="_ETM_Q85_442389"/>
      <w:bookmarkEnd w:id="45517"/>
      <w:r>
        <w:rPr>
          <w:rFonts w:hint="cs"/>
          <w:rtl/>
        </w:rPr>
        <w:t xml:space="preserve">עשרות, </w:t>
      </w:r>
      <w:bookmarkStart w:id="45518" w:name="_ETM_Q85_443730"/>
      <w:bookmarkEnd w:id="45518"/>
      <w:r>
        <w:rPr>
          <w:rFonts w:hint="cs"/>
          <w:rtl/>
        </w:rPr>
        <w:t xml:space="preserve">מדברים </w:t>
      </w:r>
      <w:bookmarkStart w:id="45519" w:name="_ETM_Q85_444210"/>
      <w:bookmarkEnd w:id="45519"/>
      <w:r>
        <w:rPr>
          <w:rFonts w:hint="cs"/>
          <w:rtl/>
        </w:rPr>
        <w:t xml:space="preserve">על </w:t>
      </w:r>
      <w:bookmarkStart w:id="45520" w:name="_ETM_Q85_444300"/>
      <w:bookmarkEnd w:id="45520"/>
      <w:r>
        <w:rPr>
          <w:rFonts w:hint="cs"/>
          <w:rtl/>
        </w:rPr>
        <w:t xml:space="preserve">יותר מ-100, </w:t>
      </w:r>
      <w:bookmarkStart w:id="45521" w:name="_ETM_Q85_444480"/>
      <w:bookmarkStart w:id="45522" w:name="_ETM_Q85_444570"/>
      <w:bookmarkStart w:id="45523" w:name="_ETM_Q85_445610"/>
      <w:bookmarkEnd w:id="45521"/>
      <w:bookmarkEnd w:id="45522"/>
      <w:bookmarkEnd w:id="45523"/>
      <w:r>
        <w:rPr>
          <w:rFonts w:hint="cs"/>
          <w:rtl/>
        </w:rPr>
        <w:t xml:space="preserve">אבל </w:t>
      </w:r>
      <w:bookmarkStart w:id="45524" w:name="_ETM_Q85_445879"/>
      <w:bookmarkEnd w:id="45524"/>
      <w:r>
        <w:rPr>
          <w:rFonts w:hint="cs"/>
          <w:rtl/>
        </w:rPr>
        <w:t xml:space="preserve">זה </w:t>
      </w:r>
      <w:bookmarkStart w:id="45525" w:name="_ETM_Q85_446029"/>
      <w:bookmarkEnd w:id="45525"/>
      <w:r>
        <w:rPr>
          <w:rFonts w:hint="cs"/>
          <w:rtl/>
        </w:rPr>
        <w:t xml:space="preserve">לא </w:t>
      </w:r>
      <w:bookmarkStart w:id="45526" w:name="_ETM_Q85_446150"/>
      <w:bookmarkEnd w:id="45526"/>
      <w:r>
        <w:rPr>
          <w:rFonts w:hint="cs"/>
          <w:rtl/>
        </w:rPr>
        <w:t xml:space="preserve">מעניין, </w:t>
      </w:r>
      <w:bookmarkStart w:id="45527" w:name="_ETM_Q85_446659"/>
      <w:bookmarkEnd w:id="45527"/>
      <w:r>
        <w:rPr>
          <w:rFonts w:hint="cs"/>
          <w:rtl/>
        </w:rPr>
        <w:t xml:space="preserve">זה </w:t>
      </w:r>
      <w:bookmarkStart w:id="45528" w:name="_ETM_Q85_446839"/>
      <w:bookmarkEnd w:id="45528"/>
      <w:r>
        <w:rPr>
          <w:rFonts w:hint="cs"/>
          <w:rtl/>
        </w:rPr>
        <w:t xml:space="preserve">לא </w:t>
      </w:r>
      <w:bookmarkStart w:id="45529" w:name="_ETM_Q85_446960"/>
      <w:bookmarkEnd w:id="45529"/>
      <w:r>
        <w:rPr>
          <w:rFonts w:hint="cs"/>
          <w:rtl/>
        </w:rPr>
        <w:t xml:space="preserve">רפורמה </w:t>
      </w:r>
      <w:bookmarkStart w:id="45530" w:name="_ETM_Q85_447469"/>
      <w:bookmarkEnd w:id="45530"/>
      <w:r>
        <w:rPr>
          <w:rFonts w:hint="cs"/>
          <w:rtl/>
        </w:rPr>
        <w:t xml:space="preserve">בבתי </w:t>
      </w:r>
      <w:bookmarkStart w:id="45531" w:name="_ETM_Q85_447740"/>
      <w:bookmarkEnd w:id="45531"/>
      <w:r>
        <w:rPr>
          <w:rFonts w:hint="cs"/>
          <w:rtl/>
        </w:rPr>
        <w:t>המשפט.</w:t>
      </w:r>
    </w:p>
    <w:p w:rsidR="00BB59CD" w:rsidRDefault="00BB59CD" w:rsidP="00BB59CD">
      <w:pPr>
        <w:rPr>
          <w:rtl/>
        </w:rPr>
      </w:pPr>
      <w:r>
        <w:rPr>
          <w:rFonts w:hint="cs"/>
          <w:rtl/>
        </w:rPr>
        <w:t xml:space="preserve"> </w:t>
      </w:r>
      <w:bookmarkStart w:id="45532" w:name="_ETM_Q85_451020"/>
      <w:bookmarkEnd w:id="45532"/>
    </w:p>
    <w:p w:rsidR="00BB59CD" w:rsidRDefault="00BB59CD" w:rsidP="00B335DE">
      <w:pPr>
        <w:rPr>
          <w:rtl/>
        </w:rPr>
      </w:pPr>
      <w:r>
        <w:rPr>
          <w:rFonts w:hint="cs"/>
          <w:rtl/>
        </w:rPr>
        <w:t xml:space="preserve">אז </w:t>
      </w:r>
      <w:bookmarkStart w:id="45533" w:name="_ETM_Q85_451200"/>
      <w:bookmarkEnd w:id="45533"/>
      <w:r>
        <w:rPr>
          <w:rFonts w:hint="cs"/>
          <w:rtl/>
        </w:rPr>
        <w:t xml:space="preserve">אני </w:t>
      </w:r>
      <w:bookmarkStart w:id="45534" w:name="_ETM_Q85_451320"/>
      <w:bookmarkEnd w:id="45534"/>
      <w:r>
        <w:rPr>
          <w:rFonts w:hint="cs"/>
          <w:rtl/>
        </w:rPr>
        <w:t xml:space="preserve">שואל </w:t>
      </w:r>
      <w:bookmarkStart w:id="45535" w:name="_ETM_Q85_451560"/>
      <w:bookmarkEnd w:id="45535"/>
      <w:r>
        <w:rPr>
          <w:rFonts w:hint="cs"/>
          <w:rtl/>
        </w:rPr>
        <w:t xml:space="preserve">אותך, </w:t>
      </w:r>
      <w:bookmarkStart w:id="45536" w:name="_ETM_Q85_451830"/>
      <w:bookmarkEnd w:id="45536"/>
      <w:r>
        <w:rPr>
          <w:rFonts w:hint="cs"/>
          <w:rtl/>
        </w:rPr>
        <w:t xml:space="preserve">השר </w:t>
      </w:r>
      <w:bookmarkStart w:id="45537" w:name="_ETM_Q85_452160"/>
      <w:bookmarkEnd w:id="45537"/>
      <w:r>
        <w:rPr>
          <w:rFonts w:hint="cs"/>
          <w:rtl/>
        </w:rPr>
        <w:t xml:space="preserve">יריב </w:t>
      </w:r>
      <w:bookmarkStart w:id="45538" w:name="_ETM_Q85_452490"/>
      <w:bookmarkEnd w:id="45538"/>
      <w:r>
        <w:rPr>
          <w:rFonts w:hint="cs"/>
          <w:rtl/>
        </w:rPr>
        <w:t xml:space="preserve">לוין, </w:t>
      </w:r>
      <w:bookmarkStart w:id="45539" w:name="_ETM_Q85_453560"/>
      <w:bookmarkEnd w:id="45539"/>
      <w:r>
        <w:rPr>
          <w:rFonts w:hint="cs"/>
          <w:rtl/>
        </w:rPr>
        <w:t xml:space="preserve">אני </w:t>
      </w:r>
      <w:bookmarkStart w:id="45540" w:name="_ETM_Q85_453740"/>
      <w:bookmarkEnd w:id="45540"/>
      <w:r>
        <w:rPr>
          <w:rFonts w:hint="cs"/>
          <w:rtl/>
        </w:rPr>
        <w:t xml:space="preserve">מסתכל </w:t>
      </w:r>
      <w:bookmarkStart w:id="45541" w:name="_ETM_Q85_454099"/>
      <w:bookmarkEnd w:id="45541"/>
      <w:r>
        <w:rPr>
          <w:rFonts w:hint="cs"/>
          <w:rtl/>
        </w:rPr>
        <w:t xml:space="preserve">על </w:t>
      </w:r>
      <w:bookmarkStart w:id="45542" w:name="_ETM_Q85_454189"/>
      <w:bookmarkEnd w:id="45542"/>
      <w:r>
        <w:rPr>
          <w:rFonts w:hint="cs"/>
          <w:rtl/>
        </w:rPr>
        <w:t xml:space="preserve">השם </w:t>
      </w:r>
      <w:bookmarkStart w:id="45543" w:name="_ETM_Q85_454460"/>
      <w:bookmarkEnd w:id="45543"/>
      <w:r>
        <w:rPr>
          <w:rFonts w:hint="cs"/>
          <w:rtl/>
        </w:rPr>
        <w:t xml:space="preserve">שלך, </w:t>
      </w:r>
      <w:bookmarkStart w:id="45544" w:name="_ETM_Q85_454729"/>
      <w:bookmarkEnd w:id="45544"/>
      <w:r>
        <w:rPr>
          <w:rFonts w:hint="cs"/>
          <w:rtl/>
        </w:rPr>
        <w:t xml:space="preserve">אתה </w:t>
      </w:r>
      <w:bookmarkStart w:id="45545" w:name="_ETM_Q85_454849"/>
      <w:bookmarkEnd w:id="45545"/>
      <w:r>
        <w:rPr>
          <w:rFonts w:hint="cs"/>
          <w:rtl/>
        </w:rPr>
        <w:t xml:space="preserve">לא </w:t>
      </w:r>
      <w:bookmarkStart w:id="45546" w:name="_ETM_Q85_454939"/>
      <w:bookmarkEnd w:id="45546"/>
      <w:r>
        <w:rPr>
          <w:rFonts w:hint="cs"/>
          <w:rtl/>
        </w:rPr>
        <w:t xml:space="preserve">נמצא </w:t>
      </w:r>
      <w:bookmarkStart w:id="45547" w:name="_ETM_Q85_455270"/>
      <w:bookmarkEnd w:id="45547"/>
      <w:r>
        <w:rPr>
          <w:rFonts w:hint="cs"/>
          <w:rtl/>
        </w:rPr>
        <w:t xml:space="preserve">פה, </w:t>
      </w:r>
      <w:bookmarkStart w:id="45548" w:name="_ETM_Q85_455850"/>
      <w:bookmarkEnd w:id="45548"/>
      <w:r>
        <w:rPr>
          <w:rFonts w:hint="cs"/>
          <w:rtl/>
        </w:rPr>
        <w:t xml:space="preserve">אבל </w:t>
      </w:r>
      <w:bookmarkStart w:id="45549" w:name="_ETM_Q85_456089"/>
      <w:bookmarkEnd w:id="45549"/>
      <w:r>
        <w:rPr>
          <w:rFonts w:hint="cs"/>
          <w:rtl/>
        </w:rPr>
        <w:t xml:space="preserve">אולי </w:t>
      </w:r>
      <w:bookmarkStart w:id="45550" w:name="_ETM_Q85_456330"/>
      <w:bookmarkEnd w:id="45550"/>
      <w:r>
        <w:rPr>
          <w:rFonts w:hint="cs"/>
          <w:rtl/>
        </w:rPr>
        <w:t xml:space="preserve">זה </w:t>
      </w:r>
      <w:bookmarkStart w:id="45551" w:name="_ETM_Q85_456480"/>
      <w:bookmarkEnd w:id="45551"/>
      <w:r>
        <w:rPr>
          <w:rFonts w:hint="cs"/>
          <w:rtl/>
        </w:rPr>
        <w:t xml:space="preserve">יגיע </w:t>
      </w:r>
      <w:bookmarkStart w:id="45552" w:name="_ETM_Q85_456779"/>
      <w:bookmarkEnd w:id="45552"/>
      <w:r>
        <w:rPr>
          <w:rFonts w:hint="cs"/>
          <w:rtl/>
        </w:rPr>
        <w:t xml:space="preserve">אליך: </w:t>
      </w:r>
      <w:bookmarkStart w:id="45553" w:name="_ETM_Q85_457320"/>
      <w:bookmarkEnd w:id="45553"/>
      <w:r>
        <w:rPr>
          <w:rFonts w:hint="cs"/>
          <w:rtl/>
        </w:rPr>
        <w:t xml:space="preserve">אולי </w:t>
      </w:r>
      <w:bookmarkStart w:id="45554" w:name="_ETM_Q85_457650"/>
      <w:bookmarkEnd w:id="45554"/>
      <w:r>
        <w:rPr>
          <w:rFonts w:hint="cs"/>
          <w:rtl/>
        </w:rPr>
        <w:t xml:space="preserve">הגיע </w:t>
      </w:r>
      <w:bookmarkStart w:id="45555" w:name="_ETM_Q85_457920"/>
      <w:bookmarkEnd w:id="45555"/>
      <w:r>
        <w:rPr>
          <w:rFonts w:hint="cs"/>
          <w:rtl/>
        </w:rPr>
        <w:t xml:space="preserve">הזמן </w:t>
      </w:r>
      <w:bookmarkStart w:id="45556" w:name="_ETM_Q85_458310"/>
      <w:bookmarkEnd w:id="45556"/>
      <w:r>
        <w:rPr>
          <w:rFonts w:hint="cs"/>
          <w:rtl/>
        </w:rPr>
        <w:t xml:space="preserve">לטפל </w:t>
      </w:r>
      <w:bookmarkStart w:id="45557" w:name="_ETM_Q85_458760"/>
      <w:bookmarkEnd w:id="45557"/>
      <w:r>
        <w:rPr>
          <w:rFonts w:hint="cs"/>
          <w:rtl/>
        </w:rPr>
        <w:t xml:space="preserve">באמת </w:t>
      </w:r>
      <w:bookmarkStart w:id="45558" w:name="_ETM_Q85_459750"/>
      <w:bookmarkEnd w:id="45558"/>
      <w:r>
        <w:rPr>
          <w:rFonts w:hint="cs"/>
          <w:rtl/>
        </w:rPr>
        <w:t xml:space="preserve">במערכת </w:t>
      </w:r>
      <w:bookmarkStart w:id="45559" w:name="_ETM_Q85_460380"/>
      <w:bookmarkEnd w:id="45559"/>
      <w:r>
        <w:rPr>
          <w:rFonts w:hint="cs"/>
          <w:rtl/>
        </w:rPr>
        <w:t xml:space="preserve">המשפט? </w:t>
      </w:r>
      <w:bookmarkStart w:id="45560" w:name="_ETM_Q85_461250"/>
      <w:bookmarkEnd w:id="45560"/>
      <w:r>
        <w:rPr>
          <w:rFonts w:hint="cs"/>
          <w:rtl/>
        </w:rPr>
        <w:t xml:space="preserve">אולי </w:t>
      </w:r>
      <w:bookmarkStart w:id="45561" w:name="_ETM_Q85_461520"/>
      <w:bookmarkEnd w:id="45561"/>
      <w:r>
        <w:rPr>
          <w:rFonts w:hint="cs"/>
          <w:rtl/>
        </w:rPr>
        <w:t xml:space="preserve">הגיע </w:t>
      </w:r>
      <w:bookmarkStart w:id="45562" w:name="_ETM_Q85_461820"/>
      <w:bookmarkEnd w:id="45562"/>
      <w:r>
        <w:rPr>
          <w:rFonts w:hint="cs"/>
          <w:rtl/>
        </w:rPr>
        <w:t xml:space="preserve">הזמן </w:t>
      </w:r>
      <w:bookmarkStart w:id="45563" w:name="_ETM_Q85_463330"/>
      <w:bookmarkEnd w:id="45563"/>
      <w:r>
        <w:rPr>
          <w:rFonts w:hint="cs"/>
          <w:rtl/>
        </w:rPr>
        <w:t xml:space="preserve">להקים </w:t>
      </w:r>
      <w:bookmarkStart w:id="45564" w:name="_ETM_Q85_463990"/>
      <w:bookmarkEnd w:id="45564"/>
      <w:r>
        <w:rPr>
          <w:rFonts w:hint="cs"/>
          <w:rtl/>
        </w:rPr>
        <w:t xml:space="preserve">את </w:t>
      </w:r>
      <w:bookmarkStart w:id="45565" w:name="_ETM_Q85_464139"/>
      <w:bookmarkEnd w:id="45565"/>
      <w:r>
        <w:rPr>
          <w:rFonts w:hint="cs"/>
          <w:rtl/>
        </w:rPr>
        <w:t xml:space="preserve">הוועדה </w:t>
      </w:r>
      <w:bookmarkStart w:id="45566" w:name="_ETM_Q85_464889"/>
      <w:bookmarkEnd w:id="45566"/>
      <w:r>
        <w:rPr>
          <w:rFonts w:hint="cs"/>
          <w:rtl/>
        </w:rPr>
        <w:t xml:space="preserve">לבחירת </w:t>
      </w:r>
      <w:bookmarkStart w:id="45567" w:name="_ETM_Q85_465430"/>
      <w:bookmarkEnd w:id="45567"/>
      <w:r>
        <w:rPr>
          <w:rFonts w:hint="cs"/>
          <w:rtl/>
        </w:rPr>
        <w:t xml:space="preserve">שופטים </w:t>
      </w:r>
      <w:bookmarkStart w:id="45568" w:name="_ETM_Q85_466339"/>
      <w:bookmarkEnd w:id="45568"/>
      <w:r>
        <w:rPr>
          <w:rFonts w:hint="cs"/>
          <w:rtl/>
        </w:rPr>
        <w:t xml:space="preserve">ולבחור </w:t>
      </w:r>
      <w:bookmarkStart w:id="45569" w:name="_ETM_Q85_466939"/>
      <w:bookmarkEnd w:id="45569"/>
      <w:r>
        <w:rPr>
          <w:rFonts w:hint="cs"/>
          <w:rtl/>
        </w:rPr>
        <w:t xml:space="preserve">שופטים </w:t>
      </w:r>
      <w:bookmarkStart w:id="45570" w:name="_ETM_Q85_468219"/>
      <w:bookmarkEnd w:id="45570"/>
      <w:r>
        <w:rPr>
          <w:rFonts w:hint="cs"/>
          <w:rtl/>
        </w:rPr>
        <w:t xml:space="preserve">ולהחזיר </w:t>
      </w:r>
      <w:bookmarkStart w:id="45571" w:name="_ETM_Q85_469089"/>
      <w:bookmarkEnd w:id="45571"/>
      <w:r>
        <w:rPr>
          <w:rFonts w:hint="cs"/>
          <w:rtl/>
        </w:rPr>
        <w:t xml:space="preserve">לעם </w:t>
      </w:r>
      <w:bookmarkStart w:id="45572" w:name="_ETM_Q85_469569"/>
      <w:bookmarkEnd w:id="45572"/>
      <w:r>
        <w:rPr>
          <w:rFonts w:hint="cs"/>
          <w:rtl/>
        </w:rPr>
        <w:t xml:space="preserve">ישראל </w:t>
      </w:r>
      <w:bookmarkStart w:id="45573" w:name="_ETM_Q85_470409"/>
      <w:bookmarkEnd w:id="45573"/>
      <w:r>
        <w:rPr>
          <w:rFonts w:hint="cs"/>
          <w:rtl/>
        </w:rPr>
        <w:t xml:space="preserve">בית </w:t>
      </w:r>
      <w:bookmarkStart w:id="45574" w:name="_ETM_Q85_470710"/>
      <w:bookmarkEnd w:id="45574"/>
      <w:r>
        <w:rPr>
          <w:rFonts w:hint="cs"/>
          <w:rtl/>
        </w:rPr>
        <w:t xml:space="preserve">משפט </w:t>
      </w:r>
      <w:bookmarkStart w:id="45575" w:name="_ETM_Q85_471129"/>
      <w:bookmarkEnd w:id="45575"/>
      <w:r>
        <w:rPr>
          <w:rFonts w:hint="cs"/>
          <w:rtl/>
        </w:rPr>
        <w:t xml:space="preserve">שיעבוד, </w:t>
      </w:r>
      <w:bookmarkStart w:id="45576" w:name="_ETM_Q85_472669"/>
      <w:bookmarkEnd w:id="45576"/>
      <w:r>
        <w:rPr>
          <w:rFonts w:hint="cs"/>
          <w:rtl/>
        </w:rPr>
        <w:t xml:space="preserve">ואנשים </w:t>
      </w:r>
      <w:bookmarkStart w:id="45577" w:name="_ETM_Q85_473330"/>
      <w:bookmarkEnd w:id="45577"/>
      <w:r>
        <w:rPr>
          <w:rFonts w:hint="cs"/>
          <w:rtl/>
        </w:rPr>
        <w:t xml:space="preserve">לא </w:t>
      </w:r>
      <w:bookmarkStart w:id="45578" w:name="_ETM_Q85_473419"/>
      <w:bookmarkEnd w:id="45578"/>
      <w:r>
        <w:rPr>
          <w:rFonts w:hint="cs"/>
          <w:rtl/>
        </w:rPr>
        <w:t xml:space="preserve">יחכו </w:t>
      </w:r>
      <w:bookmarkStart w:id="45579" w:name="_ETM_Q85_473839"/>
      <w:bookmarkEnd w:id="45579"/>
      <w:r>
        <w:rPr>
          <w:rFonts w:hint="cs"/>
          <w:rtl/>
        </w:rPr>
        <w:t xml:space="preserve">ארבע </w:t>
      </w:r>
      <w:bookmarkStart w:id="45580" w:name="_ETM_Q85_474169"/>
      <w:bookmarkEnd w:id="45580"/>
      <w:r>
        <w:rPr>
          <w:rFonts w:hint="cs"/>
          <w:rtl/>
        </w:rPr>
        <w:t xml:space="preserve">שנים </w:t>
      </w:r>
      <w:bookmarkStart w:id="45581" w:name="_ETM_Q85_474470"/>
      <w:bookmarkEnd w:id="45581"/>
      <w:r>
        <w:rPr>
          <w:rFonts w:hint="cs"/>
          <w:rtl/>
        </w:rPr>
        <w:t xml:space="preserve">למשפט </w:t>
      </w:r>
      <w:bookmarkStart w:id="45582" w:name="_ETM_Q85_476100"/>
      <w:bookmarkEnd w:id="45582"/>
      <w:r>
        <w:rPr>
          <w:rFonts w:hint="cs"/>
          <w:rtl/>
        </w:rPr>
        <w:t xml:space="preserve">ולא </w:t>
      </w:r>
      <w:bookmarkStart w:id="45583" w:name="_ETM_Q85_476370"/>
      <w:bookmarkEnd w:id="45583"/>
      <w:r>
        <w:rPr>
          <w:rFonts w:hint="cs"/>
          <w:rtl/>
        </w:rPr>
        <w:t xml:space="preserve">ימשכו </w:t>
      </w:r>
      <w:bookmarkStart w:id="45584" w:name="_ETM_Q85_476850"/>
      <w:bookmarkEnd w:id="45584"/>
      <w:r>
        <w:rPr>
          <w:rFonts w:hint="cs"/>
          <w:rtl/>
        </w:rPr>
        <w:t xml:space="preserve">אותם? </w:t>
      </w:r>
      <w:bookmarkStart w:id="45585" w:name="_ETM_Q85_478330"/>
      <w:bookmarkEnd w:id="45585"/>
      <w:r>
        <w:rPr>
          <w:rFonts w:hint="cs"/>
          <w:rtl/>
        </w:rPr>
        <w:t xml:space="preserve">אולי </w:t>
      </w:r>
      <w:bookmarkStart w:id="45586" w:name="_ETM_Q85_478630"/>
      <w:bookmarkEnd w:id="45586"/>
      <w:r>
        <w:rPr>
          <w:rFonts w:hint="cs"/>
          <w:rtl/>
        </w:rPr>
        <w:t xml:space="preserve">הגיע </w:t>
      </w:r>
      <w:bookmarkStart w:id="45587" w:name="_ETM_Q85_478870"/>
      <w:bookmarkEnd w:id="45587"/>
      <w:r>
        <w:rPr>
          <w:rFonts w:hint="cs"/>
          <w:rtl/>
        </w:rPr>
        <w:t xml:space="preserve">הזמן </w:t>
      </w:r>
      <w:bookmarkStart w:id="45588" w:name="_ETM_Q85_479170"/>
      <w:bookmarkEnd w:id="45588"/>
      <w:r>
        <w:rPr>
          <w:rFonts w:hint="cs"/>
          <w:rtl/>
        </w:rPr>
        <w:t xml:space="preserve">לטפל </w:t>
      </w:r>
      <w:bookmarkStart w:id="45589" w:name="_ETM_Q85_479529"/>
      <w:bookmarkEnd w:id="45589"/>
      <w:r>
        <w:rPr>
          <w:rFonts w:hint="cs"/>
          <w:rtl/>
        </w:rPr>
        <w:t xml:space="preserve">בדברים </w:t>
      </w:r>
      <w:bookmarkStart w:id="45590" w:name="_ETM_Q85_479950"/>
      <w:bookmarkEnd w:id="45590"/>
      <w:r>
        <w:rPr>
          <w:rFonts w:hint="cs"/>
          <w:rtl/>
        </w:rPr>
        <w:t xml:space="preserve">האמיתיים? </w:t>
      </w:r>
      <w:bookmarkStart w:id="45591" w:name="_ETM_Q85_480870"/>
      <w:bookmarkEnd w:id="45591"/>
      <w:r>
        <w:rPr>
          <w:rFonts w:hint="cs"/>
          <w:rtl/>
        </w:rPr>
        <w:t xml:space="preserve">התעסקתם </w:t>
      </w:r>
      <w:bookmarkStart w:id="45592" w:name="_ETM_Q85_481650"/>
      <w:bookmarkEnd w:id="45592"/>
      <w:r>
        <w:rPr>
          <w:rFonts w:hint="cs"/>
          <w:rtl/>
        </w:rPr>
        <w:t xml:space="preserve">ואתם </w:t>
      </w:r>
      <w:bookmarkStart w:id="45593" w:name="_ETM_Q85_481890"/>
      <w:bookmarkEnd w:id="45593"/>
      <w:r>
        <w:rPr>
          <w:rFonts w:hint="cs"/>
          <w:rtl/>
        </w:rPr>
        <w:t xml:space="preserve">מתעסקים </w:t>
      </w:r>
      <w:bookmarkStart w:id="45594" w:name="_ETM_Q85_482399"/>
      <w:bookmarkEnd w:id="45594"/>
      <w:r>
        <w:rPr>
          <w:rFonts w:hint="cs"/>
          <w:rtl/>
        </w:rPr>
        <w:t xml:space="preserve">בזובור </w:t>
      </w:r>
      <w:bookmarkStart w:id="45595" w:name="_ETM_Q85_483060"/>
      <w:bookmarkStart w:id="45596" w:name="_ETM_Q85_483570"/>
      <w:bookmarkStart w:id="45597" w:name="_ETM_Q85_484160"/>
      <w:bookmarkEnd w:id="45595"/>
      <w:bookmarkEnd w:id="45596"/>
      <w:bookmarkEnd w:id="45597"/>
      <w:r>
        <w:rPr>
          <w:rFonts w:hint="cs"/>
          <w:rtl/>
        </w:rPr>
        <w:t xml:space="preserve">על </w:t>
      </w:r>
      <w:bookmarkStart w:id="45598" w:name="_ETM_Q85_484310"/>
      <w:bookmarkEnd w:id="45598"/>
      <w:r>
        <w:rPr>
          <w:rFonts w:hint="cs"/>
          <w:rtl/>
        </w:rPr>
        <w:t xml:space="preserve">היועצת </w:t>
      </w:r>
      <w:bookmarkStart w:id="45599" w:name="_ETM_Q85_484609"/>
      <w:bookmarkEnd w:id="45599"/>
      <w:r>
        <w:rPr>
          <w:rFonts w:hint="cs"/>
          <w:rtl/>
        </w:rPr>
        <w:t xml:space="preserve">המשפטית </w:t>
      </w:r>
      <w:bookmarkStart w:id="45600" w:name="_ETM_Q85_485089"/>
      <w:bookmarkEnd w:id="45600"/>
      <w:r>
        <w:rPr>
          <w:rFonts w:hint="cs"/>
          <w:rtl/>
        </w:rPr>
        <w:t xml:space="preserve">לממשלה </w:t>
      </w:r>
      <w:bookmarkStart w:id="45601" w:name="_ETM_Q85_485630"/>
      <w:bookmarkEnd w:id="45601"/>
      <w:r>
        <w:rPr>
          <w:rFonts w:hint="cs"/>
          <w:rtl/>
        </w:rPr>
        <w:t xml:space="preserve">– זה </w:t>
      </w:r>
      <w:bookmarkStart w:id="45602" w:name="_ETM_Q85_485810"/>
      <w:bookmarkEnd w:id="45602"/>
      <w:r>
        <w:rPr>
          <w:rFonts w:hint="cs"/>
          <w:rtl/>
        </w:rPr>
        <w:t xml:space="preserve">מה </w:t>
      </w:r>
      <w:bookmarkStart w:id="45603" w:name="_ETM_Q85_485899"/>
      <w:bookmarkEnd w:id="45603"/>
      <w:r>
        <w:rPr>
          <w:rFonts w:hint="cs"/>
          <w:rtl/>
        </w:rPr>
        <w:t xml:space="preserve">שמפריע </w:t>
      </w:r>
      <w:bookmarkStart w:id="45604" w:name="_ETM_Q85_486380"/>
      <w:bookmarkEnd w:id="45604"/>
      <w:r>
        <w:rPr>
          <w:rFonts w:hint="cs"/>
          <w:rtl/>
        </w:rPr>
        <w:t xml:space="preserve">לכם, </w:t>
      </w:r>
      <w:bookmarkStart w:id="45605" w:name="_ETM_Q85_487860"/>
      <w:bookmarkEnd w:id="45605"/>
      <w:r>
        <w:rPr>
          <w:rFonts w:hint="cs"/>
          <w:rtl/>
        </w:rPr>
        <w:t xml:space="preserve">זה </w:t>
      </w:r>
      <w:bookmarkStart w:id="45606" w:name="_ETM_Q85_488250"/>
      <w:bookmarkEnd w:id="45606"/>
      <w:r>
        <w:rPr>
          <w:rFonts w:hint="cs"/>
          <w:rtl/>
        </w:rPr>
        <w:t xml:space="preserve">מה </w:t>
      </w:r>
      <w:bookmarkStart w:id="45607" w:name="_ETM_Q85_488430"/>
      <w:bookmarkEnd w:id="45607"/>
      <w:r>
        <w:rPr>
          <w:rFonts w:hint="cs"/>
          <w:rtl/>
        </w:rPr>
        <w:t xml:space="preserve">שמעניין </w:t>
      </w:r>
      <w:bookmarkStart w:id="45608" w:name="_ETM_Q85_488880"/>
      <w:bookmarkEnd w:id="45608"/>
      <w:r>
        <w:rPr>
          <w:rFonts w:hint="cs"/>
          <w:rtl/>
        </w:rPr>
        <w:t>אתכם</w:t>
      </w:r>
      <w:r w:rsidR="00B335DE">
        <w:rPr>
          <w:rFonts w:hint="cs"/>
          <w:rtl/>
        </w:rPr>
        <w:t xml:space="preserve"> </w:t>
      </w:r>
      <w:r w:rsidR="00B335DE">
        <w:rPr>
          <w:rFonts w:hint="eastAsia"/>
          <w:rtl/>
        </w:rPr>
        <w:t>–</w:t>
      </w:r>
      <w:r w:rsidR="00B335DE">
        <w:rPr>
          <w:rFonts w:hint="cs"/>
          <w:rtl/>
        </w:rPr>
        <w:t xml:space="preserve"> </w:t>
      </w:r>
      <w:r>
        <w:rPr>
          <w:rFonts w:hint="cs"/>
          <w:rtl/>
        </w:rPr>
        <w:t xml:space="preserve"> </w:t>
      </w:r>
      <w:bookmarkStart w:id="45609" w:name="_ETM_Q85_489839"/>
      <w:bookmarkEnd w:id="45609"/>
      <w:r>
        <w:rPr>
          <w:rFonts w:hint="cs"/>
          <w:rtl/>
        </w:rPr>
        <w:t xml:space="preserve">בניסיון </w:t>
      </w:r>
      <w:bookmarkStart w:id="45610" w:name="_ETM_Q85_490469"/>
      <w:bookmarkEnd w:id="45610"/>
      <w:r>
        <w:rPr>
          <w:rFonts w:hint="cs"/>
          <w:rtl/>
        </w:rPr>
        <w:t xml:space="preserve">להגביל </w:t>
      </w:r>
      <w:bookmarkStart w:id="45611" w:name="_ETM_Q85_490860"/>
      <w:bookmarkEnd w:id="45611"/>
      <w:r>
        <w:rPr>
          <w:rFonts w:hint="cs"/>
          <w:rtl/>
        </w:rPr>
        <w:t xml:space="preserve">את </w:t>
      </w:r>
      <w:bookmarkStart w:id="45612" w:name="_ETM_Q85_490949"/>
      <w:bookmarkEnd w:id="45612"/>
      <w:r>
        <w:rPr>
          <w:rFonts w:hint="cs"/>
          <w:rtl/>
        </w:rPr>
        <w:t xml:space="preserve">זכות </w:t>
      </w:r>
      <w:bookmarkStart w:id="45613" w:name="_ETM_Q85_491190"/>
      <w:bookmarkEnd w:id="45613"/>
      <w:r>
        <w:rPr>
          <w:rFonts w:hint="cs"/>
          <w:rtl/>
        </w:rPr>
        <w:t xml:space="preserve">המחאה </w:t>
      </w:r>
      <w:bookmarkStart w:id="45614" w:name="_ETM_Q85_492059"/>
      <w:bookmarkEnd w:id="45614"/>
      <w:r>
        <w:rPr>
          <w:rFonts w:hint="cs"/>
          <w:rtl/>
        </w:rPr>
        <w:t xml:space="preserve">ובעוד </w:t>
      </w:r>
      <w:bookmarkStart w:id="45615" w:name="_ETM_Q85_492449"/>
      <w:bookmarkEnd w:id="45615"/>
      <w:r>
        <w:rPr>
          <w:rFonts w:hint="cs"/>
          <w:rtl/>
        </w:rPr>
        <w:t xml:space="preserve">שלל </w:t>
      </w:r>
      <w:bookmarkStart w:id="45616" w:name="_ETM_Q85_492809"/>
      <w:bookmarkEnd w:id="45616"/>
      <w:r>
        <w:rPr>
          <w:rFonts w:hint="cs"/>
          <w:rtl/>
        </w:rPr>
        <w:t xml:space="preserve">החלטות </w:t>
      </w:r>
      <w:bookmarkStart w:id="45617" w:name="_ETM_Q85_493230"/>
      <w:bookmarkEnd w:id="45617"/>
      <w:r>
        <w:rPr>
          <w:rFonts w:hint="cs"/>
          <w:rtl/>
        </w:rPr>
        <w:t xml:space="preserve">וחוקים </w:t>
      </w:r>
      <w:bookmarkStart w:id="45618" w:name="_ETM_Q85_493650"/>
      <w:bookmarkEnd w:id="45618"/>
      <w:r>
        <w:rPr>
          <w:rFonts w:hint="cs"/>
          <w:rtl/>
        </w:rPr>
        <w:t xml:space="preserve">הזויים. </w:t>
      </w:r>
      <w:bookmarkStart w:id="45619" w:name="_ETM_Q85_494860"/>
      <w:bookmarkStart w:id="45620" w:name="_ETM_Q85_496000"/>
      <w:bookmarkEnd w:id="45619"/>
      <w:bookmarkEnd w:id="45620"/>
      <w:r>
        <w:rPr>
          <w:rFonts w:hint="cs"/>
          <w:rtl/>
        </w:rPr>
        <w:t xml:space="preserve">בגדול </w:t>
      </w:r>
      <w:bookmarkStart w:id="45621" w:name="_ETM_Q85_495809"/>
      <w:bookmarkEnd w:id="45621"/>
      <w:r>
        <w:rPr>
          <w:rFonts w:hint="cs"/>
          <w:rtl/>
        </w:rPr>
        <w:t xml:space="preserve">אתה </w:t>
      </w:r>
      <w:bookmarkStart w:id="45622" w:name="_ETM_Q85_496080"/>
      <w:bookmarkEnd w:id="45622"/>
      <w:r>
        <w:rPr>
          <w:rFonts w:hint="cs"/>
          <w:rtl/>
        </w:rPr>
        <w:t xml:space="preserve">עם </w:t>
      </w:r>
      <w:bookmarkStart w:id="45623" w:name="_ETM_Q85_496170"/>
      <w:bookmarkEnd w:id="45623"/>
      <w:r>
        <w:rPr>
          <w:rFonts w:hint="cs"/>
          <w:rtl/>
        </w:rPr>
        <w:t xml:space="preserve">ממשלה </w:t>
      </w:r>
      <w:bookmarkStart w:id="45624" w:name="_ETM_Q85_496529"/>
      <w:bookmarkEnd w:id="45624"/>
      <w:r>
        <w:rPr>
          <w:rFonts w:hint="cs"/>
          <w:rtl/>
        </w:rPr>
        <w:t xml:space="preserve">לא </w:t>
      </w:r>
      <w:bookmarkStart w:id="45625" w:name="_ETM_Q85_496650"/>
      <w:bookmarkEnd w:id="45625"/>
      <w:r>
        <w:rPr>
          <w:rFonts w:hint="cs"/>
          <w:rtl/>
        </w:rPr>
        <w:t xml:space="preserve">סבירה, </w:t>
      </w:r>
      <w:bookmarkStart w:id="45626" w:name="_ETM_Q85_497430"/>
      <w:bookmarkEnd w:id="45626"/>
      <w:r>
        <w:rPr>
          <w:rFonts w:hint="cs"/>
          <w:rtl/>
        </w:rPr>
        <w:t xml:space="preserve">פשוט </w:t>
      </w:r>
      <w:bookmarkStart w:id="45627" w:name="_ETM_Q85_498029"/>
      <w:bookmarkEnd w:id="45627"/>
      <w:r>
        <w:rPr>
          <w:rFonts w:hint="cs"/>
          <w:rtl/>
        </w:rPr>
        <w:t xml:space="preserve">ממשלה </w:t>
      </w:r>
      <w:bookmarkStart w:id="45628" w:name="_ETM_Q85_498570"/>
      <w:bookmarkEnd w:id="45628"/>
      <w:r>
        <w:rPr>
          <w:rFonts w:hint="cs"/>
          <w:rtl/>
        </w:rPr>
        <w:t xml:space="preserve">לא </w:t>
      </w:r>
      <w:bookmarkStart w:id="45629" w:name="_ETM_Q85_498750"/>
      <w:bookmarkEnd w:id="45629"/>
      <w:r>
        <w:rPr>
          <w:rFonts w:hint="cs"/>
          <w:rtl/>
        </w:rPr>
        <w:t xml:space="preserve">סבירה. </w:t>
      </w:r>
      <w:bookmarkStart w:id="45630" w:name="_ETM_Q85_499919"/>
      <w:bookmarkEnd w:id="45630"/>
      <w:r>
        <w:rPr>
          <w:rFonts w:hint="cs"/>
          <w:rtl/>
        </w:rPr>
        <w:t xml:space="preserve">ממשלה </w:t>
      </w:r>
      <w:bookmarkStart w:id="45631" w:name="_ETM_Q85_500429"/>
      <w:bookmarkEnd w:id="45631"/>
      <w:r>
        <w:rPr>
          <w:rFonts w:hint="cs"/>
          <w:rtl/>
        </w:rPr>
        <w:t xml:space="preserve">חלשה </w:t>
      </w:r>
      <w:bookmarkStart w:id="45632" w:name="_ETM_Q85_501580"/>
      <w:bookmarkEnd w:id="45632"/>
      <w:r>
        <w:rPr>
          <w:rFonts w:hint="cs"/>
          <w:rtl/>
        </w:rPr>
        <w:t xml:space="preserve">שנכנעת </w:t>
      </w:r>
      <w:bookmarkStart w:id="45633" w:name="_ETM_Q85_502240"/>
      <w:bookmarkEnd w:id="45633"/>
      <w:r>
        <w:rPr>
          <w:rFonts w:hint="cs"/>
          <w:rtl/>
        </w:rPr>
        <w:t>לקיצוני</w:t>
      </w:r>
      <w:r w:rsidR="00B335DE">
        <w:rPr>
          <w:rFonts w:hint="cs"/>
          <w:rtl/>
        </w:rPr>
        <w:t>י</w:t>
      </w:r>
      <w:r>
        <w:rPr>
          <w:rFonts w:hint="cs"/>
          <w:rtl/>
        </w:rPr>
        <w:t xml:space="preserve">ם </w:t>
      </w:r>
      <w:bookmarkStart w:id="45634" w:name="_ETM_Q85_502870"/>
      <w:bookmarkEnd w:id="45634"/>
      <w:r>
        <w:rPr>
          <w:rFonts w:hint="cs"/>
          <w:rtl/>
        </w:rPr>
        <w:t xml:space="preserve">שבתוכה </w:t>
      </w:r>
      <w:bookmarkStart w:id="45635" w:name="_ETM_Q85_503830"/>
      <w:bookmarkEnd w:id="45635"/>
      <w:r>
        <w:rPr>
          <w:rFonts w:hint="cs"/>
          <w:rtl/>
        </w:rPr>
        <w:t xml:space="preserve">ונגררת </w:t>
      </w:r>
      <w:bookmarkStart w:id="45636" w:name="_ETM_Q85_504699"/>
      <w:bookmarkEnd w:id="45636"/>
      <w:r>
        <w:rPr>
          <w:rFonts w:hint="cs"/>
          <w:rtl/>
        </w:rPr>
        <w:t xml:space="preserve">אחריהם; </w:t>
      </w:r>
      <w:bookmarkStart w:id="45637" w:name="_ETM_Q85_505670"/>
      <w:bookmarkEnd w:id="45637"/>
      <w:r>
        <w:rPr>
          <w:rFonts w:hint="cs"/>
          <w:rtl/>
        </w:rPr>
        <w:t xml:space="preserve">ממשלה </w:t>
      </w:r>
      <w:bookmarkStart w:id="45638" w:name="_ETM_Q85_506150"/>
      <w:bookmarkEnd w:id="45638"/>
      <w:r>
        <w:rPr>
          <w:rFonts w:hint="cs"/>
          <w:rtl/>
        </w:rPr>
        <w:t xml:space="preserve">של נקניקים </w:t>
      </w:r>
      <w:bookmarkStart w:id="45639" w:name="_ETM_Q85_507380"/>
      <w:bookmarkEnd w:id="45639"/>
      <w:r>
        <w:rPr>
          <w:rFonts w:hint="cs"/>
          <w:rtl/>
        </w:rPr>
        <w:t xml:space="preserve">שבמקום </w:t>
      </w:r>
      <w:bookmarkStart w:id="45640" w:name="_ETM_Q85_507890"/>
      <w:bookmarkEnd w:id="45640"/>
      <w:r>
        <w:rPr>
          <w:rFonts w:hint="cs"/>
          <w:rtl/>
        </w:rPr>
        <w:t xml:space="preserve">לעשות </w:t>
      </w:r>
      <w:bookmarkStart w:id="45641" w:name="_ETM_Q85_508279"/>
      <w:bookmarkEnd w:id="45641"/>
      <w:r>
        <w:rPr>
          <w:rFonts w:hint="cs"/>
          <w:rtl/>
        </w:rPr>
        <w:t xml:space="preserve">טוב </w:t>
      </w:r>
      <w:bookmarkStart w:id="45642" w:name="_ETM_Q85_508460"/>
      <w:bookmarkEnd w:id="45642"/>
      <w:r>
        <w:rPr>
          <w:rFonts w:hint="cs"/>
          <w:rtl/>
        </w:rPr>
        <w:t xml:space="preserve">לאזרחים </w:t>
      </w:r>
      <w:bookmarkStart w:id="45643" w:name="_ETM_Q85_509449"/>
      <w:bookmarkEnd w:id="45643"/>
      <w:r>
        <w:rPr>
          <w:rFonts w:hint="cs"/>
          <w:rtl/>
        </w:rPr>
        <w:t xml:space="preserve">מתעסקת </w:t>
      </w:r>
      <w:bookmarkStart w:id="45644" w:name="_ETM_Q85_510170"/>
      <w:bookmarkEnd w:id="45644"/>
      <w:r>
        <w:rPr>
          <w:rFonts w:hint="cs"/>
          <w:rtl/>
        </w:rPr>
        <w:t>בסלמי.</w:t>
      </w:r>
    </w:p>
    <w:p w:rsidR="00BB59CD" w:rsidRDefault="00BB59CD" w:rsidP="00BB59CD">
      <w:pPr>
        <w:rPr>
          <w:rtl/>
        </w:rPr>
      </w:pPr>
      <w:bookmarkStart w:id="45645" w:name="_ETM_Q85_513000"/>
      <w:bookmarkEnd w:id="45645"/>
    </w:p>
    <w:p w:rsidR="00BB59CD" w:rsidRDefault="00BB59CD" w:rsidP="00BB59CD">
      <w:pPr>
        <w:rPr>
          <w:rtl/>
        </w:rPr>
      </w:pPr>
      <w:bookmarkStart w:id="45646" w:name="_ETM_Q85_514000"/>
      <w:bookmarkStart w:id="45647" w:name="_ETM_Q85_513010"/>
      <w:bookmarkEnd w:id="45646"/>
      <w:bookmarkEnd w:id="45647"/>
      <w:r>
        <w:rPr>
          <w:rFonts w:hint="cs"/>
          <w:rtl/>
        </w:rPr>
        <w:t xml:space="preserve">אבל </w:t>
      </w:r>
      <w:bookmarkStart w:id="45648" w:name="_ETM_Q85_513250"/>
      <w:bookmarkEnd w:id="45648"/>
      <w:r>
        <w:rPr>
          <w:rFonts w:hint="cs"/>
          <w:rtl/>
        </w:rPr>
        <w:t xml:space="preserve">זו </w:t>
      </w:r>
      <w:bookmarkStart w:id="45649" w:name="_ETM_Q85_513400"/>
      <w:bookmarkEnd w:id="45649"/>
      <w:r>
        <w:rPr>
          <w:rFonts w:hint="cs"/>
          <w:rtl/>
        </w:rPr>
        <w:t xml:space="preserve">לא </w:t>
      </w:r>
      <w:bookmarkStart w:id="45650" w:name="_ETM_Q85_513490"/>
      <w:bookmarkEnd w:id="45650"/>
      <w:r>
        <w:rPr>
          <w:rFonts w:hint="cs"/>
          <w:rtl/>
        </w:rPr>
        <w:t xml:space="preserve">רק </w:t>
      </w:r>
      <w:bookmarkStart w:id="45651" w:name="_ETM_Q85_513700"/>
      <w:bookmarkEnd w:id="45651"/>
      <w:r>
        <w:rPr>
          <w:rFonts w:hint="cs"/>
          <w:rtl/>
        </w:rPr>
        <w:t xml:space="preserve">הצביעות </w:t>
      </w:r>
      <w:bookmarkStart w:id="45652" w:name="_ETM_Q85_514150"/>
      <w:bookmarkEnd w:id="45652"/>
      <w:r>
        <w:rPr>
          <w:rFonts w:hint="cs"/>
          <w:rtl/>
        </w:rPr>
        <w:t xml:space="preserve">של </w:t>
      </w:r>
      <w:bookmarkStart w:id="45653" w:name="_ETM_Q85_514270"/>
      <w:bookmarkEnd w:id="45653"/>
      <w:r>
        <w:rPr>
          <w:rFonts w:hint="cs"/>
          <w:rtl/>
        </w:rPr>
        <w:t xml:space="preserve">הממשלה </w:t>
      </w:r>
      <w:bookmarkStart w:id="45654" w:name="_ETM_Q85_514720"/>
      <w:bookmarkEnd w:id="45654"/>
      <w:r>
        <w:rPr>
          <w:rFonts w:hint="cs"/>
          <w:rtl/>
        </w:rPr>
        <w:t xml:space="preserve">הזאת </w:t>
      </w:r>
      <w:bookmarkStart w:id="45655" w:name="_ETM_Q85_515630"/>
      <w:bookmarkEnd w:id="45655"/>
      <w:r>
        <w:rPr>
          <w:rFonts w:hint="cs"/>
          <w:rtl/>
        </w:rPr>
        <w:t xml:space="preserve">וזה </w:t>
      </w:r>
      <w:bookmarkStart w:id="45656" w:name="_ETM_Q85_515960"/>
      <w:bookmarkEnd w:id="45656"/>
      <w:r>
        <w:rPr>
          <w:rFonts w:hint="cs"/>
          <w:rtl/>
        </w:rPr>
        <w:t xml:space="preserve">לא </w:t>
      </w:r>
      <w:bookmarkStart w:id="45657" w:name="_ETM_Q85_516079"/>
      <w:bookmarkEnd w:id="45657"/>
      <w:r>
        <w:rPr>
          <w:rFonts w:hint="cs"/>
          <w:rtl/>
        </w:rPr>
        <w:t xml:space="preserve">רק </w:t>
      </w:r>
      <w:bookmarkStart w:id="45658" w:name="_ETM_Q85_516260"/>
      <w:bookmarkEnd w:id="45658"/>
      <w:r>
        <w:rPr>
          <w:rFonts w:hint="cs"/>
          <w:rtl/>
        </w:rPr>
        <w:t xml:space="preserve">הסירחון </w:t>
      </w:r>
      <w:bookmarkStart w:id="45659" w:name="_ETM_Q85_516770"/>
      <w:bookmarkEnd w:id="45659"/>
      <w:r>
        <w:rPr>
          <w:rFonts w:hint="cs"/>
          <w:rtl/>
        </w:rPr>
        <w:t xml:space="preserve">של </w:t>
      </w:r>
      <w:bookmarkStart w:id="45660" w:name="_ETM_Q85_516920"/>
      <w:bookmarkEnd w:id="45660"/>
      <w:r>
        <w:rPr>
          <w:rFonts w:hint="cs"/>
          <w:rtl/>
        </w:rPr>
        <w:t xml:space="preserve">הסלמי. </w:t>
      </w:r>
      <w:bookmarkStart w:id="45661" w:name="_ETM_Q85_518020"/>
      <w:bookmarkEnd w:id="45661"/>
      <w:r>
        <w:rPr>
          <w:rFonts w:hint="cs"/>
          <w:rtl/>
        </w:rPr>
        <w:t xml:space="preserve">לממשלה </w:t>
      </w:r>
      <w:bookmarkStart w:id="45662" w:name="_ETM_Q85_518740"/>
      <w:bookmarkEnd w:id="45662"/>
      <w:r>
        <w:rPr>
          <w:rFonts w:hint="cs"/>
          <w:rtl/>
        </w:rPr>
        <w:t xml:space="preserve">הזאת </w:t>
      </w:r>
      <w:bookmarkStart w:id="45663" w:name="_ETM_Q85_519040"/>
      <w:bookmarkEnd w:id="45663"/>
      <w:r>
        <w:rPr>
          <w:rFonts w:hint="cs"/>
          <w:rtl/>
        </w:rPr>
        <w:t xml:space="preserve">גם </w:t>
      </w:r>
      <w:bookmarkStart w:id="45664" w:name="_ETM_Q85_519190"/>
      <w:bookmarkEnd w:id="45664"/>
      <w:r>
        <w:rPr>
          <w:rFonts w:hint="cs"/>
          <w:rtl/>
        </w:rPr>
        <w:t xml:space="preserve">חשוב </w:t>
      </w:r>
      <w:bookmarkStart w:id="45665" w:name="_ETM_Q85_519550"/>
      <w:bookmarkEnd w:id="45665"/>
      <w:r>
        <w:rPr>
          <w:rFonts w:hint="cs"/>
          <w:rtl/>
        </w:rPr>
        <w:t xml:space="preserve">לתקוע אצבע </w:t>
      </w:r>
      <w:bookmarkStart w:id="45666" w:name="_ETM_Q85_519000"/>
      <w:bookmarkEnd w:id="45666"/>
      <w:r>
        <w:rPr>
          <w:rFonts w:hint="cs"/>
          <w:rtl/>
        </w:rPr>
        <w:t xml:space="preserve">בעין </w:t>
      </w:r>
      <w:bookmarkStart w:id="45667" w:name="_ETM_Q85_519910"/>
      <w:bookmarkStart w:id="45668" w:name="_ETM_Q85_520150"/>
      <w:bookmarkStart w:id="45669" w:name="_ETM_Q85_520990"/>
      <w:bookmarkEnd w:id="45667"/>
      <w:bookmarkEnd w:id="45668"/>
      <w:bookmarkEnd w:id="45669"/>
      <w:r>
        <w:rPr>
          <w:rFonts w:hint="cs"/>
          <w:rtl/>
        </w:rPr>
        <w:t xml:space="preserve">לאזרחים </w:t>
      </w:r>
      <w:bookmarkStart w:id="45670" w:name="_ETM_Q85_521680"/>
      <w:bookmarkEnd w:id="45670"/>
      <w:r>
        <w:rPr>
          <w:rFonts w:hint="cs"/>
          <w:rtl/>
        </w:rPr>
        <w:t xml:space="preserve">שנתנו </w:t>
      </w:r>
      <w:bookmarkStart w:id="45671" w:name="_ETM_Q85_522130"/>
      <w:bookmarkEnd w:id="45671"/>
      <w:r>
        <w:rPr>
          <w:rFonts w:hint="cs"/>
          <w:rtl/>
        </w:rPr>
        <w:t xml:space="preserve">את </w:t>
      </w:r>
      <w:bookmarkStart w:id="45672" w:name="_ETM_Q85_522220"/>
      <w:bookmarkEnd w:id="45672"/>
      <w:r>
        <w:rPr>
          <w:rFonts w:hint="cs"/>
          <w:rtl/>
        </w:rPr>
        <w:t xml:space="preserve">כל </w:t>
      </w:r>
      <w:bookmarkStart w:id="45673" w:name="_ETM_Q85_522430"/>
      <w:bookmarkEnd w:id="45673"/>
      <w:r>
        <w:rPr>
          <w:rFonts w:hint="cs"/>
          <w:rtl/>
        </w:rPr>
        <w:t xml:space="preserve">חייהם </w:t>
      </w:r>
      <w:bookmarkStart w:id="45674" w:name="_ETM_Q85_523120"/>
      <w:bookmarkEnd w:id="45674"/>
      <w:r>
        <w:rPr>
          <w:rFonts w:hint="cs"/>
          <w:rtl/>
        </w:rPr>
        <w:t xml:space="preserve">על </w:t>
      </w:r>
      <w:bookmarkStart w:id="45675" w:name="_ETM_Q85_523345"/>
      <w:bookmarkEnd w:id="45675"/>
      <w:r>
        <w:rPr>
          <w:rFonts w:hint="cs"/>
          <w:rtl/>
        </w:rPr>
        <w:t xml:space="preserve">מנת </w:t>
      </w:r>
      <w:bookmarkStart w:id="45676" w:name="_ETM_Q85_523570"/>
      <w:bookmarkEnd w:id="45676"/>
      <w:r>
        <w:rPr>
          <w:rFonts w:hint="cs"/>
          <w:rtl/>
        </w:rPr>
        <w:t xml:space="preserve">להגן </w:t>
      </w:r>
      <w:bookmarkStart w:id="45677" w:name="_ETM_Q85_523960"/>
      <w:bookmarkEnd w:id="45677"/>
      <w:r>
        <w:rPr>
          <w:rFonts w:hint="cs"/>
          <w:rtl/>
        </w:rPr>
        <w:t xml:space="preserve">עליה. </w:t>
      </w:r>
      <w:bookmarkStart w:id="45678" w:name="_ETM_Q85_524819"/>
      <w:bookmarkEnd w:id="45678"/>
      <w:r>
        <w:rPr>
          <w:rFonts w:hint="cs"/>
          <w:rtl/>
        </w:rPr>
        <w:t xml:space="preserve">במקום </w:t>
      </w:r>
      <w:bookmarkStart w:id="45679" w:name="_ETM_Q85_525269"/>
      <w:bookmarkEnd w:id="45679"/>
      <w:r>
        <w:rPr>
          <w:rFonts w:hint="cs"/>
          <w:rtl/>
        </w:rPr>
        <w:t xml:space="preserve">לפעול </w:t>
      </w:r>
      <w:bookmarkStart w:id="45680" w:name="_ETM_Q85_525719"/>
      <w:bookmarkEnd w:id="45680"/>
      <w:r>
        <w:rPr>
          <w:rFonts w:hint="cs"/>
          <w:rtl/>
        </w:rPr>
        <w:t xml:space="preserve">לאחדות </w:t>
      </w:r>
      <w:bookmarkStart w:id="45681" w:name="_ETM_Q85_526229"/>
      <w:bookmarkEnd w:id="45681"/>
      <w:r>
        <w:rPr>
          <w:rFonts w:hint="cs"/>
          <w:rtl/>
        </w:rPr>
        <w:t xml:space="preserve">ולהרגעה </w:t>
      </w:r>
      <w:bookmarkStart w:id="45682" w:name="_ETM_Q85_526829"/>
      <w:bookmarkEnd w:id="45682"/>
      <w:r>
        <w:rPr>
          <w:rFonts w:hint="cs"/>
          <w:rtl/>
        </w:rPr>
        <w:t xml:space="preserve">של </w:t>
      </w:r>
      <w:bookmarkStart w:id="45683" w:name="_ETM_Q85_526979"/>
      <w:bookmarkEnd w:id="45683"/>
      <w:r>
        <w:rPr>
          <w:rFonts w:hint="cs"/>
          <w:rtl/>
        </w:rPr>
        <w:t xml:space="preserve">הציבור, </w:t>
      </w:r>
      <w:bookmarkStart w:id="45684" w:name="_ETM_Q85_527829"/>
      <w:bookmarkEnd w:id="45684"/>
      <w:r>
        <w:rPr>
          <w:rFonts w:hint="cs"/>
          <w:rtl/>
        </w:rPr>
        <w:t xml:space="preserve">אתם </w:t>
      </w:r>
      <w:bookmarkStart w:id="45685" w:name="_ETM_Q85_528190"/>
      <w:bookmarkEnd w:id="45685"/>
      <w:r>
        <w:rPr>
          <w:rFonts w:hint="cs"/>
          <w:rtl/>
        </w:rPr>
        <w:t xml:space="preserve">ממשיכים </w:t>
      </w:r>
      <w:bookmarkStart w:id="45686" w:name="_ETM_Q85_528729"/>
      <w:bookmarkEnd w:id="45686"/>
      <w:r>
        <w:rPr>
          <w:rFonts w:hint="cs"/>
          <w:rtl/>
        </w:rPr>
        <w:t xml:space="preserve">להסית </w:t>
      </w:r>
      <w:bookmarkStart w:id="45687" w:name="_ETM_Q85_529659"/>
      <w:bookmarkEnd w:id="45687"/>
      <w:r>
        <w:rPr>
          <w:rFonts w:hint="cs"/>
          <w:rtl/>
        </w:rPr>
        <w:t xml:space="preserve">ולהכפיש </w:t>
      </w:r>
      <w:bookmarkStart w:id="45688" w:name="_ETM_Q85_530739"/>
      <w:bookmarkEnd w:id="45688"/>
      <w:r>
        <w:rPr>
          <w:rFonts w:hint="cs"/>
          <w:rtl/>
        </w:rPr>
        <w:t xml:space="preserve">אזרחים </w:t>
      </w:r>
      <w:bookmarkStart w:id="45689" w:name="_ETM_Q85_531489"/>
      <w:bookmarkEnd w:id="45689"/>
      <w:r>
        <w:rPr>
          <w:rFonts w:hint="cs"/>
          <w:rtl/>
        </w:rPr>
        <w:t>נפלאים.</w:t>
      </w:r>
    </w:p>
    <w:p w:rsidR="00BB59CD" w:rsidRDefault="00BB59CD" w:rsidP="00BB59CD">
      <w:pPr>
        <w:rPr>
          <w:rtl/>
        </w:rPr>
      </w:pPr>
    </w:p>
    <w:p w:rsidR="00BB59CD" w:rsidRDefault="00BB59CD" w:rsidP="00B335DE">
      <w:pPr>
        <w:rPr>
          <w:rtl/>
        </w:rPr>
      </w:pPr>
      <w:bookmarkStart w:id="45690" w:name="_ETM_Q85_534000"/>
      <w:bookmarkStart w:id="45691" w:name="_ETM_Q85_533070"/>
      <w:bookmarkEnd w:id="45690"/>
      <w:bookmarkEnd w:id="45691"/>
      <w:r>
        <w:rPr>
          <w:rFonts w:hint="cs"/>
          <w:rtl/>
        </w:rPr>
        <w:t xml:space="preserve">השבוע </w:t>
      </w:r>
      <w:bookmarkStart w:id="45692" w:name="_ETM_Q85_533579"/>
      <w:bookmarkEnd w:id="45692"/>
      <w:r>
        <w:rPr>
          <w:rFonts w:hint="cs"/>
          <w:rtl/>
        </w:rPr>
        <w:t xml:space="preserve">יתקיים </w:t>
      </w:r>
      <w:bookmarkStart w:id="45693" w:name="_ETM_Q85_533969"/>
      <w:bookmarkEnd w:id="45693"/>
      <w:r>
        <w:rPr>
          <w:rFonts w:hint="cs"/>
          <w:rtl/>
        </w:rPr>
        <w:t xml:space="preserve">צום </w:t>
      </w:r>
      <w:bookmarkStart w:id="45694" w:name="_ETM_Q85_534210"/>
      <w:bookmarkEnd w:id="45694"/>
      <w:r>
        <w:rPr>
          <w:rFonts w:hint="cs"/>
          <w:rtl/>
        </w:rPr>
        <w:t xml:space="preserve">תשעה </w:t>
      </w:r>
      <w:bookmarkStart w:id="45695" w:name="_ETM_Q85_534510"/>
      <w:bookmarkEnd w:id="45695"/>
      <w:r>
        <w:rPr>
          <w:rFonts w:hint="cs"/>
          <w:rtl/>
        </w:rPr>
        <w:t xml:space="preserve">באב, </w:t>
      </w:r>
      <w:bookmarkStart w:id="45696" w:name="_ETM_Q85_534779"/>
      <w:bookmarkEnd w:id="45696"/>
      <w:r>
        <w:rPr>
          <w:rFonts w:hint="cs"/>
          <w:rtl/>
        </w:rPr>
        <w:t xml:space="preserve">אדוני, </w:t>
      </w:r>
      <w:bookmarkStart w:id="45697" w:name="_ETM_Q85_535900"/>
      <w:bookmarkEnd w:id="45697"/>
      <w:r>
        <w:rPr>
          <w:rFonts w:hint="cs"/>
          <w:rtl/>
        </w:rPr>
        <w:t xml:space="preserve">שהעם </w:t>
      </w:r>
      <w:bookmarkStart w:id="45698" w:name="_ETM_Q85_536230"/>
      <w:bookmarkEnd w:id="45698"/>
      <w:r>
        <w:rPr>
          <w:rFonts w:hint="cs"/>
          <w:rtl/>
        </w:rPr>
        <w:t xml:space="preserve">היהודי </w:t>
      </w:r>
      <w:bookmarkStart w:id="45699" w:name="_ETM_Q85_536680"/>
      <w:bookmarkEnd w:id="45699"/>
      <w:r>
        <w:rPr>
          <w:rFonts w:hint="cs"/>
          <w:rtl/>
        </w:rPr>
        <w:t xml:space="preserve">מציין </w:t>
      </w:r>
      <w:bookmarkStart w:id="45700" w:name="_ETM_Q85_537130"/>
      <w:bookmarkEnd w:id="45700"/>
      <w:r>
        <w:rPr>
          <w:rFonts w:hint="cs"/>
          <w:rtl/>
        </w:rPr>
        <w:t xml:space="preserve">במשך </w:t>
      </w:r>
      <w:bookmarkStart w:id="45701" w:name="_ETM_Q85_537520"/>
      <w:bookmarkEnd w:id="45701"/>
      <w:r>
        <w:rPr>
          <w:rFonts w:hint="cs"/>
          <w:rtl/>
        </w:rPr>
        <w:t xml:space="preserve">אלפי </w:t>
      </w:r>
      <w:bookmarkStart w:id="45702" w:name="_ETM_Q85_537760"/>
      <w:bookmarkEnd w:id="45702"/>
      <w:r>
        <w:rPr>
          <w:rFonts w:hint="cs"/>
          <w:rtl/>
        </w:rPr>
        <w:t xml:space="preserve">שנים. </w:t>
      </w:r>
      <w:bookmarkStart w:id="45703" w:name="_ETM_Q85_539219"/>
      <w:bookmarkEnd w:id="45703"/>
      <w:r>
        <w:rPr>
          <w:rFonts w:hint="cs"/>
          <w:rtl/>
        </w:rPr>
        <w:t xml:space="preserve">לפי </w:t>
      </w:r>
      <w:bookmarkStart w:id="45704" w:name="_ETM_Q85_539579"/>
      <w:bookmarkEnd w:id="45704"/>
      <w:r>
        <w:rPr>
          <w:rFonts w:hint="cs"/>
          <w:rtl/>
        </w:rPr>
        <w:t xml:space="preserve">המסורת, </w:t>
      </w:r>
      <w:bookmarkStart w:id="45705" w:name="_ETM_Q85_540089"/>
      <w:bookmarkEnd w:id="45705"/>
      <w:r>
        <w:rPr>
          <w:rFonts w:hint="cs"/>
          <w:rtl/>
        </w:rPr>
        <w:t xml:space="preserve">בתאריך </w:t>
      </w:r>
      <w:bookmarkStart w:id="45706" w:name="_ETM_Q85_540600"/>
      <w:bookmarkEnd w:id="45706"/>
      <w:r>
        <w:rPr>
          <w:rFonts w:hint="cs"/>
          <w:rtl/>
        </w:rPr>
        <w:t xml:space="preserve">הזה </w:t>
      </w:r>
      <w:bookmarkStart w:id="45707" w:name="_ETM_Q85_541290"/>
      <w:bookmarkEnd w:id="45707"/>
      <w:r>
        <w:rPr>
          <w:rFonts w:hint="cs"/>
          <w:rtl/>
        </w:rPr>
        <w:t xml:space="preserve">נחרבו </w:t>
      </w:r>
      <w:bookmarkStart w:id="45708" w:name="_ETM_Q85_541860"/>
      <w:bookmarkEnd w:id="45708"/>
      <w:r>
        <w:rPr>
          <w:rFonts w:hint="cs"/>
          <w:rtl/>
        </w:rPr>
        <w:t xml:space="preserve">שני </w:t>
      </w:r>
      <w:bookmarkStart w:id="45709" w:name="_ETM_Q85_542520"/>
      <w:bookmarkEnd w:id="45709"/>
      <w:r>
        <w:rPr>
          <w:rFonts w:hint="cs"/>
          <w:rtl/>
        </w:rPr>
        <w:t xml:space="preserve">בתי </w:t>
      </w:r>
      <w:bookmarkStart w:id="45710" w:name="_ETM_Q85_543029"/>
      <w:bookmarkEnd w:id="45710"/>
      <w:r>
        <w:rPr>
          <w:rFonts w:hint="cs"/>
          <w:rtl/>
        </w:rPr>
        <w:t xml:space="preserve">המקדש </w:t>
      </w:r>
      <w:bookmarkStart w:id="45711" w:name="_ETM_Q85_543600"/>
      <w:bookmarkEnd w:id="45711"/>
      <w:r>
        <w:rPr>
          <w:rFonts w:hint="cs"/>
          <w:rtl/>
        </w:rPr>
        <w:t xml:space="preserve">בירושלים, </w:t>
      </w:r>
      <w:bookmarkStart w:id="45712" w:name="_ETM_Q85_545020"/>
      <w:bookmarkEnd w:id="45712"/>
      <w:r>
        <w:rPr>
          <w:rFonts w:hint="cs"/>
          <w:rtl/>
        </w:rPr>
        <w:t xml:space="preserve">והעם </w:t>
      </w:r>
      <w:bookmarkStart w:id="45713" w:name="_ETM_Q85_545410"/>
      <w:bookmarkEnd w:id="45713"/>
      <w:r>
        <w:rPr>
          <w:rFonts w:hint="cs"/>
          <w:rtl/>
        </w:rPr>
        <w:t xml:space="preserve">היהודי </w:t>
      </w:r>
      <w:bookmarkStart w:id="45714" w:name="_ETM_Q85_545800"/>
      <w:bookmarkEnd w:id="45714"/>
      <w:r>
        <w:rPr>
          <w:rFonts w:hint="cs"/>
          <w:rtl/>
        </w:rPr>
        <w:t xml:space="preserve">יצא </w:t>
      </w:r>
      <w:bookmarkStart w:id="45715" w:name="_ETM_Q85_546070"/>
      <w:bookmarkEnd w:id="45715"/>
      <w:r>
        <w:rPr>
          <w:rFonts w:hint="cs"/>
          <w:rtl/>
        </w:rPr>
        <w:t xml:space="preserve">לגלות </w:t>
      </w:r>
      <w:bookmarkStart w:id="45716" w:name="_ETM_Q85_546460"/>
      <w:bookmarkEnd w:id="45716"/>
      <w:r>
        <w:rPr>
          <w:rFonts w:hint="cs"/>
          <w:rtl/>
        </w:rPr>
        <w:t xml:space="preserve">ארוכה. </w:t>
      </w:r>
      <w:bookmarkStart w:id="45717" w:name="_ETM_Q85_548220"/>
      <w:bookmarkEnd w:id="45717"/>
      <w:r>
        <w:rPr>
          <w:rFonts w:hint="cs"/>
          <w:rtl/>
        </w:rPr>
        <w:t xml:space="preserve">איך </w:t>
      </w:r>
      <w:bookmarkStart w:id="45718" w:name="_ETM_Q85_548460"/>
      <w:bookmarkEnd w:id="45718"/>
      <w:r>
        <w:rPr>
          <w:rFonts w:hint="cs"/>
          <w:rtl/>
        </w:rPr>
        <w:t xml:space="preserve">הגענו </w:t>
      </w:r>
      <w:bookmarkStart w:id="45719" w:name="_ETM_Q85_548790"/>
      <w:bookmarkEnd w:id="45719"/>
      <w:r>
        <w:rPr>
          <w:rFonts w:hint="cs"/>
          <w:rtl/>
        </w:rPr>
        <w:t xml:space="preserve">למצב </w:t>
      </w:r>
      <w:bookmarkStart w:id="45720" w:name="_ETM_Q85_549270"/>
      <w:bookmarkEnd w:id="45720"/>
      <w:r>
        <w:rPr>
          <w:rFonts w:hint="cs"/>
          <w:rtl/>
        </w:rPr>
        <w:t>הזה</w:t>
      </w:r>
      <w:r w:rsidR="00B335DE">
        <w:rPr>
          <w:rFonts w:hint="cs"/>
          <w:rtl/>
        </w:rPr>
        <w:t>,</w:t>
      </w:r>
      <w:r>
        <w:rPr>
          <w:rFonts w:hint="cs"/>
          <w:rtl/>
        </w:rPr>
        <w:t xml:space="preserve"> </w:t>
      </w:r>
      <w:bookmarkStart w:id="45721" w:name="_ETM_Q85_550350"/>
      <w:bookmarkEnd w:id="45721"/>
      <w:r>
        <w:rPr>
          <w:rFonts w:hint="cs"/>
          <w:rtl/>
        </w:rPr>
        <w:t xml:space="preserve">שבו </w:t>
      </w:r>
      <w:bookmarkStart w:id="45722" w:name="_ETM_Q85_550740"/>
      <w:bookmarkEnd w:id="45722"/>
      <w:r>
        <w:rPr>
          <w:rFonts w:hint="cs"/>
          <w:rtl/>
        </w:rPr>
        <w:t xml:space="preserve">החברה </w:t>
      </w:r>
      <w:bookmarkStart w:id="45723" w:name="_ETM_Q85_551190"/>
      <w:bookmarkEnd w:id="45723"/>
      <w:r>
        <w:rPr>
          <w:rFonts w:hint="cs"/>
          <w:rtl/>
        </w:rPr>
        <w:t xml:space="preserve">והמדינה </w:t>
      </w:r>
      <w:bookmarkStart w:id="45724" w:name="_ETM_Q85_551730"/>
      <w:bookmarkEnd w:id="45724"/>
      <w:r>
        <w:rPr>
          <w:rFonts w:hint="cs"/>
          <w:rtl/>
        </w:rPr>
        <w:t xml:space="preserve">היהודית </w:t>
      </w:r>
      <w:bookmarkStart w:id="45725" w:name="_ETM_Q85_552120"/>
      <w:bookmarkEnd w:id="45725"/>
      <w:r>
        <w:rPr>
          <w:rFonts w:hint="cs"/>
          <w:rtl/>
        </w:rPr>
        <w:t xml:space="preserve">התפרקה </w:t>
      </w:r>
      <w:bookmarkStart w:id="45726" w:name="_ETM_Q85_552570"/>
      <w:bookmarkEnd w:id="45726"/>
      <w:r>
        <w:rPr>
          <w:rFonts w:hint="cs"/>
          <w:rtl/>
        </w:rPr>
        <w:t xml:space="preserve">פעמיים </w:t>
      </w:r>
      <w:bookmarkStart w:id="45727" w:name="_ETM_Q85_553980"/>
      <w:bookmarkEnd w:id="45727"/>
      <w:r w:rsidR="00B335DE">
        <w:rPr>
          <w:rFonts w:hint="eastAsia"/>
          <w:rtl/>
        </w:rPr>
        <w:t>–</w:t>
      </w:r>
      <w:r w:rsidR="00B335DE">
        <w:rPr>
          <w:rFonts w:hint="cs"/>
          <w:rtl/>
        </w:rPr>
        <w:t xml:space="preserve"> </w:t>
      </w:r>
      <w:r>
        <w:rPr>
          <w:rFonts w:hint="cs"/>
          <w:rtl/>
        </w:rPr>
        <w:t xml:space="preserve">ומה </w:t>
      </w:r>
      <w:bookmarkStart w:id="45728" w:name="_ETM_Q85_554430"/>
      <w:bookmarkEnd w:id="45728"/>
      <w:r>
        <w:rPr>
          <w:rFonts w:hint="cs"/>
          <w:rtl/>
        </w:rPr>
        <w:t xml:space="preserve">ההיסטוריה </w:t>
      </w:r>
      <w:bookmarkStart w:id="45729" w:name="_ETM_Q85_554940"/>
      <w:bookmarkEnd w:id="45729"/>
      <w:r>
        <w:rPr>
          <w:rFonts w:hint="cs"/>
          <w:rtl/>
        </w:rPr>
        <w:t xml:space="preserve">מבקשת </w:t>
      </w:r>
      <w:bookmarkStart w:id="45730" w:name="_ETM_Q85_555360"/>
      <w:bookmarkEnd w:id="45730"/>
      <w:r>
        <w:rPr>
          <w:rFonts w:hint="cs"/>
          <w:rtl/>
        </w:rPr>
        <w:t xml:space="preserve">ללמד </w:t>
      </w:r>
      <w:bookmarkStart w:id="45731" w:name="_ETM_Q85_555750"/>
      <w:bookmarkEnd w:id="45731"/>
      <w:r>
        <w:rPr>
          <w:rFonts w:hint="cs"/>
          <w:rtl/>
        </w:rPr>
        <w:t xml:space="preserve">אותנו? מסר אחד </w:t>
      </w:r>
      <w:bookmarkStart w:id="45732" w:name="_ETM_Q85_556830"/>
      <w:bookmarkStart w:id="45733" w:name="_ETM_Q85_557490"/>
      <w:bookmarkStart w:id="45734" w:name="_ETM_Q85_557970"/>
      <w:bookmarkEnd w:id="45732"/>
      <w:bookmarkEnd w:id="45733"/>
      <w:bookmarkEnd w:id="45734"/>
      <w:r>
        <w:rPr>
          <w:rFonts w:hint="cs"/>
          <w:rtl/>
        </w:rPr>
        <w:t xml:space="preserve">ויחיד </w:t>
      </w:r>
      <w:bookmarkStart w:id="45735" w:name="_ETM_Q85_558479"/>
      <w:bookmarkEnd w:id="45735"/>
      <w:r>
        <w:rPr>
          <w:rFonts w:hint="cs"/>
          <w:rtl/>
        </w:rPr>
        <w:t xml:space="preserve">שכל </w:t>
      </w:r>
      <w:bookmarkStart w:id="45736" w:name="_ETM_Q85_558900"/>
      <w:bookmarkEnd w:id="45736"/>
      <w:r>
        <w:rPr>
          <w:rFonts w:hint="cs"/>
          <w:rtl/>
        </w:rPr>
        <w:t xml:space="preserve">ילד </w:t>
      </w:r>
      <w:bookmarkStart w:id="45737" w:name="_ETM_Q85_559440"/>
      <w:bookmarkEnd w:id="45737"/>
      <w:r>
        <w:rPr>
          <w:rFonts w:hint="cs"/>
          <w:rtl/>
        </w:rPr>
        <w:t xml:space="preserve">יודע, </w:t>
      </w:r>
      <w:bookmarkStart w:id="45738" w:name="_ETM_Q85_559950"/>
      <w:bookmarkEnd w:id="45738"/>
      <w:r>
        <w:rPr>
          <w:rFonts w:hint="cs"/>
          <w:rtl/>
        </w:rPr>
        <w:t xml:space="preserve">ואני </w:t>
      </w:r>
      <w:bookmarkStart w:id="45739" w:name="_ETM_Q85_560159"/>
      <w:bookmarkEnd w:id="45739"/>
      <w:r>
        <w:rPr>
          <w:rFonts w:hint="cs"/>
          <w:rtl/>
        </w:rPr>
        <w:t xml:space="preserve">מצטט: </w:t>
      </w:r>
      <w:bookmarkStart w:id="45740" w:name="_ETM_Q85_561520"/>
      <w:bookmarkEnd w:id="45740"/>
      <w:r>
        <w:rPr>
          <w:rFonts w:hint="cs"/>
          <w:rtl/>
        </w:rPr>
        <w:t xml:space="preserve">מפני </w:t>
      </w:r>
      <w:bookmarkStart w:id="45741" w:name="_ETM_Q85_562089"/>
      <w:bookmarkEnd w:id="45741"/>
      <w:r>
        <w:rPr>
          <w:rFonts w:hint="cs"/>
          <w:rtl/>
        </w:rPr>
        <w:t xml:space="preserve">שנאת </w:t>
      </w:r>
      <w:bookmarkStart w:id="45742" w:name="_ETM_Q85_562540"/>
      <w:bookmarkEnd w:id="45742"/>
      <w:r>
        <w:rPr>
          <w:rFonts w:hint="cs"/>
          <w:rtl/>
        </w:rPr>
        <w:t xml:space="preserve">חינם </w:t>
      </w:r>
      <w:bookmarkStart w:id="45743" w:name="_ETM_Q85_563569"/>
      <w:bookmarkEnd w:id="45743"/>
      <w:r>
        <w:rPr>
          <w:rFonts w:hint="cs"/>
          <w:rtl/>
        </w:rPr>
        <w:t xml:space="preserve">נחרבה </w:t>
      </w:r>
      <w:bookmarkStart w:id="45744" w:name="_ETM_Q85_564439"/>
      <w:bookmarkEnd w:id="45744"/>
      <w:r>
        <w:rPr>
          <w:rFonts w:hint="cs"/>
          <w:rtl/>
        </w:rPr>
        <w:t xml:space="preserve">ירושלים. </w:t>
      </w:r>
      <w:bookmarkStart w:id="45745" w:name="_ETM_Q85_565850"/>
      <w:bookmarkEnd w:id="45745"/>
      <w:r>
        <w:rPr>
          <w:rFonts w:hint="cs"/>
          <w:rtl/>
        </w:rPr>
        <w:t xml:space="preserve">שנאה </w:t>
      </w:r>
      <w:bookmarkStart w:id="45746" w:name="_ETM_Q85_566450"/>
      <w:bookmarkEnd w:id="45746"/>
      <w:r>
        <w:rPr>
          <w:rFonts w:hint="cs"/>
          <w:rtl/>
        </w:rPr>
        <w:t xml:space="preserve">ופילוג </w:t>
      </w:r>
      <w:bookmarkStart w:id="45747" w:name="_ETM_Q85_567109"/>
      <w:bookmarkEnd w:id="45747"/>
      <w:r>
        <w:rPr>
          <w:rFonts w:hint="cs"/>
          <w:rtl/>
        </w:rPr>
        <w:t xml:space="preserve">מובילים </w:t>
      </w:r>
      <w:bookmarkStart w:id="45748" w:name="_ETM_Q85_567979"/>
      <w:bookmarkEnd w:id="45748"/>
      <w:r>
        <w:rPr>
          <w:rFonts w:hint="cs"/>
          <w:rtl/>
        </w:rPr>
        <w:t xml:space="preserve">לחורבן. </w:t>
      </w:r>
      <w:bookmarkStart w:id="45749" w:name="_ETM_Q85_569330"/>
      <w:bookmarkEnd w:id="45749"/>
      <w:r>
        <w:rPr>
          <w:rFonts w:hint="cs"/>
          <w:rtl/>
        </w:rPr>
        <w:t xml:space="preserve">שנאה </w:t>
      </w:r>
      <w:bookmarkStart w:id="45750" w:name="_ETM_Q85_570110"/>
      <w:bookmarkEnd w:id="45750"/>
      <w:r>
        <w:rPr>
          <w:rFonts w:hint="cs"/>
          <w:rtl/>
        </w:rPr>
        <w:t xml:space="preserve">ופילוג </w:t>
      </w:r>
      <w:bookmarkStart w:id="45751" w:name="_ETM_Q85_570799"/>
      <w:bookmarkEnd w:id="45751"/>
      <w:r>
        <w:rPr>
          <w:rFonts w:hint="cs"/>
          <w:rtl/>
        </w:rPr>
        <w:t xml:space="preserve">מובילים </w:t>
      </w:r>
      <w:bookmarkStart w:id="45752" w:name="_ETM_Q85_571339"/>
      <w:bookmarkEnd w:id="45752"/>
      <w:r>
        <w:rPr>
          <w:rFonts w:hint="cs"/>
          <w:rtl/>
        </w:rPr>
        <w:t xml:space="preserve">לחורבן. </w:t>
      </w:r>
      <w:bookmarkStart w:id="45753" w:name="_ETM_Q85_572710"/>
      <w:bookmarkEnd w:id="45753"/>
      <w:r>
        <w:rPr>
          <w:rFonts w:hint="cs"/>
          <w:rtl/>
        </w:rPr>
        <w:t xml:space="preserve">חברי </w:t>
      </w:r>
      <w:bookmarkStart w:id="45754" w:name="_ETM_Q85_573130"/>
      <w:bookmarkEnd w:id="45754"/>
      <w:r>
        <w:rPr>
          <w:rFonts w:hint="cs"/>
          <w:rtl/>
        </w:rPr>
        <w:t xml:space="preserve">הקואליציה </w:t>
      </w:r>
      <w:bookmarkStart w:id="45755" w:name="_ETM_Q85_573820"/>
      <w:bookmarkEnd w:id="45755"/>
      <w:r>
        <w:rPr>
          <w:rFonts w:hint="cs"/>
          <w:rtl/>
        </w:rPr>
        <w:t xml:space="preserve">הזאת, </w:t>
      </w:r>
      <w:bookmarkStart w:id="45756" w:name="_ETM_Q85_574570"/>
      <w:bookmarkEnd w:id="45756"/>
      <w:r>
        <w:rPr>
          <w:rFonts w:hint="cs"/>
          <w:rtl/>
        </w:rPr>
        <w:t xml:space="preserve">אתם, </w:t>
      </w:r>
      <w:bookmarkStart w:id="45757" w:name="_ETM_Q85_574990"/>
      <w:bookmarkEnd w:id="45757"/>
      <w:r>
        <w:rPr>
          <w:rFonts w:hint="cs"/>
          <w:rtl/>
        </w:rPr>
        <w:t xml:space="preserve">שמתיימרים </w:t>
      </w:r>
      <w:bookmarkStart w:id="45758" w:name="_ETM_Q85_576189"/>
      <w:bookmarkEnd w:id="45758"/>
      <w:r>
        <w:rPr>
          <w:rFonts w:hint="cs"/>
          <w:rtl/>
        </w:rPr>
        <w:t xml:space="preserve">לייצג </w:t>
      </w:r>
      <w:bookmarkStart w:id="45759" w:name="_ETM_Q85_576850"/>
      <w:bookmarkEnd w:id="45759"/>
      <w:r>
        <w:rPr>
          <w:rFonts w:hint="cs"/>
          <w:rtl/>
        </w:rPr>
        <w:t xml:space="preserve">את </w:t>
      </w:r>
      <w:bookmarkStart w:id="45760" w:name="_ETM_Q85_576970"/>
      <w:bookmarkEnd w:id="45760"/>
      <w:r>
        <w:rPr>
          <w:rFonts w:hint="cs"/>
          <w:rtl/>
        </w:rPr>
        <w:t xml:space="preserve">היהדות, </w:t>
      </w:r>
      <w:bookmarkStart w:id="45761" w:name="_ETM_Q85_578690"/>
      <w:bookmarkEnd w:id="45761"/>
      <w:r>
        <w:rPr>
          <w:rFonts w:hint="cs"/>
          <w:rtl/>
        </w:rPr>
        <w:t xml:space="preserve">עוד </w:t>
      </w:r>
      <w:bookmarkStart w:id="45762" w:name="_ETM_Q85_578900"/>
      <w:bookmarkEnd w:id="45762"/>
      <w:r>
        <w:rPr>
          <w:rFonts w:hint="cs"/>
          <w:rtl/>
        </w:rPr>
        <w:t xml:space="preserve">לא </w:t>
      </w:r>
      <w:bookmarkStart w:id="45763" w:name="_ETM_Q85_578990"/>
      <w:bookmarkEnd w:id="45763"/>
      <w:r>
        <w:rPr>
          <w:rFonts w:hint="cs"/>
          <w:rtl/>
        </w:rPr>
        <w:t xml:space="preserve">הצלחתם </w:t>
      </w:r>
      <w:bookmarkStart w:id="45764" w:name="_ETM_Q85_579500"/>
      <w:bookmarkEnd w:id="45764"/>
      <w:r>
        <w:rPr>
          <w:rFonts w:hint="cs"/>
          <w:rtl/>
        </w:rPr>
        <w:t xml:space="preserve">להפנים </w:t>
      </w:r>
      <w:bookmarkStart w:id="45765" w:name="_ETM_Q85_579920"/>
      <w:bookmarkEnd w:id="45765"/>
      <w:r>
        <w:rPr>
          <w:rFonts w:hint="cs"/>
          <w:rtl/>
        </w:rPr>
        <w:t xml:space="preserve">את </w:t>
      </w:r>
      <w:bookmarkStart w:id="45766" w:name="_ETM_Q85_580070"/>
      <w:bookmarkEnd w:id="45766"/>
      <w:r>
        <w:rPr>
          <w:rFonts w:hint="cs"/>
          <w:rtl/>
        </w:rPr>
        <w:t xml:space="preserve">המסר </w:t>
      </w:r>
      <w:bookmarkStart w:id="45767" w:name="_ETM_Q85_580490"/>
      <w:bookmarkEnd w:id="45767"/>
      <w:r>
        <w:rPr>
          <w:rFonts w:hint="cs"/>
          <w:rtl/>
        </w:rPr>
        <w:t xml:space="preserve">היהודי </w:t>
      </w:r>
      <w:bookmarkStart w:id="45768" w:name="_ETM_Q85_580909"/>
      <w:bookmarkEnd w:id="45768"/>
      <w:r>
        <w:rPr>
          <w:rFonts w:hint="cs"/>
          <w:rtl/>
        </w:rPr>
        <w:t xml:space="preserve">הבסיסי </w:t>
      </w:r>
      <w:bookmarkStart w:id="45769" w:name="_ETM_Q85_581510"/>
      <w:bookmarkEnd w:id="45769"/>
      <w:r>
        <w:rPr>
          <w:rFonts w:hint="cs"/>
          <w:rtl/>
        </w:rPr>
        <w:t xml:space="preserve">הזה, </w:t>
      </w:r>
      <w:bookmarkStart w:id="45770" w:name="_ETM_Q85_582729"/>
      <w:bookmarkEnd w:id="45770"/>
      <w:r>
        <w:rPr>
          <w:rFonts w:hint="cs"/>
          <w:rtl/>
        </w:rPr>
        <w:t xml:space="preserve">הבסיסי </w:t>
      </w:r>
      <w:bookmarkStart w:id="45771" w:name="_ETM_Q85_583420"/>
      <w:bookmarkEnd w:id="45771"/>
      <w:r>
        <w:rPr>
          <w:rFonts w:hint="cs"/>
          <w:rtl/>
        </w:rPr>
        <w:t xml:space="preserve">הזה? </w:t>
      </w:r>
      <w:bookmarkStart w:id="45772" w:name="_ETM_Q85_585140"/>
      <w:bookmarkEnd w:id="45772"/>
      <w:r>
        <w:rPr>
          <w:rFonts w:hint="cs"/>
          <w:rtl/>
        </w:rPr>
        <w:t xml:space="preserve">מרגע </w:t>
      </w:r>
      <w:bookmarkStart w:id="45773" w:name="_ETM_Q85_585529"/>
      <w:bookmarkEnd w:id="45773"/>
      <w:r>
        <w:rPr>
          <w:rFonts w:hint="cs"/>
          <w:rtl/>
        </w:rPr>
        <w:t xml:space="preserve">שעליתם </w:t>
      </w:r>
      <w:bookmarkStart w:id="45774" w:name="_ETM_Q85_585979"/>
      <w:bookmarkEnd w:id="45774"/>
      <w:r>
        <w:rPr>
          <w:rFonts w:hint="cs"/>
          <w:rtl/>
        </w:rPr>
        <w:t xml:space="preserve">לשלטון </w:t>
      </w:r>
      <w:bookmarkStart w:id="45775" w:name="_ETM_Q85_586520"/>
      <w:bookmarkEnd w:id="45775"/>
      <w:r>
        <w:rPr>
          <w:rFonts w:hint="cs"/>
          <w:rtl/>
        </w:rPr>
        <w:t xml:space="preserve">אתם </w:t>
      </w:r>
      <w:bookmarkStart w:id="45776" w:name="_ETM_Q85_586729"/>
      <w:bookmarkEnd w:id="45776"/>
      <w:r>
        <w:rPr>
          <w:rFonts w:hint="cs"/>
          <w:rtl/>
        </w:rPr>
        <w:t xml:space="preserve">לא </w:t>
      </w:r>
      <w:bookmarkStart w:id="45777" w:name="_ETM_Q85_586820"/>
      <w:bookmarkEnd w:id="45777"/>
      <w:r>
        <w:rPr>
          <w:rFonts w:hint="cs"/>
          <w:rtl/>
        </w:rPr>
        <w:t xml:space="preserve">מצליחים </w:t>
      </w:r>
      <w:bookmarkStart w:id="45778" w:name="_ETM_Q85_587240"/>
      <w:bookmarkEnd w:id="45778"/>
      <w:r>
        <w:rPr>
          <w:rFonts w:hint="cs"/>
          <w:rtl/>
        </w:rPr>
        <w:t xml:space="preserve">לסגור </w:t>
      </w:r>
      <w:bookmarkStart w:id="45779" w:name="_ETM_Q85_587570"/>
      <w:bookmarkEnd w:id="45779"/>
      <w:r>
        <w:rPr>
          <w:rFonts w:hint="cs"/>
          <w:rtl/>
        </w:rPr>
        <w:t xml:space="preserve">את </w:t>
      </w:r>
      <w:bookmarkStart w:id="45780" w:name="_ETM_Q85_587690"/>
      <w:bookmarkEnd w:id="45780"/>
      <w:r>
        <w:rPr>
          <w:rFonts w:hint="cs"/>
          <w:rtl/>
        </w:rPr>
        <w:t xml:space="preserve">הפה. </w:t>
      </w:r>
      <w:bookmarkStart w:id="45781" w:name="_ETM_Q85_588480"/>
      <w:bookmarkEnd w:id="45781"/>
      <w:r>
        <w:rPr>
          <w:rFonts w:hint="cs"/>
          <w:rtl/>
        </w:rPr>
        <w:t xml:space="preserve">מרגע </w:t>
      </w:r>
      <w:bookmarkStart w:id="45782" w:name="_ETM_Q85_588870"/>
      <w:bookmarkEnd w:id="45782"/>
      <w:r>
        <w:rPr>
          <w:rFonts w:hint="cs"/>
          <w:rtl/>
        </w:rPr>
        <w:t xml:space="preserve">שעליתם </w:t>
      </w:r>
      <w:bookmarkStart w:id="45783" w:name="_ETM_Q85_589290"/>
      <w:bookmarkEnd w:id="45783"/>
      <w:r>
        <w:rPr>
          <w:rFonts w:hint="cs"/>
          <w:rtl/>
        </w:rPr>
        <w:t xml:space="preserve">לשלטון </w:t>
      </w:r>
      <w:bookmarkStart w:id="45784" w:name="_ETM_Q85_589770"/>
      <w:bookmarkEnd w:id="45784"/>
      <w:r>
        <w:rPr>
          <w:rFonts w:hint="cs"/>
          <w:rtl/>
        </w:rPr>
        <w:t xml:space="preserve">אתם </w:t>
      </w:r>
      <w:bookmarkStart w:id="45785" w:name="_ETM_Q85_589980"/>
      <w:bookmarkEnd w:id="45785"/>
      <w:r>
        <w:rPr>
          <w:rFonts w:hint="cs"/>
          <w:rtl/>
        </w:rPr>
        <w:t xml:space="preserve">נמצאים </w:t>
      </w:r>
      <w:bookmarkStart w:id="45786" w:name="_ETM_Q85_590400"/>
      <w:bookmarkEnd w:id="45786"/>
      <w:r>
        <w:rPr>
          <w:rFonts w:hint="cs"/>
          <w:rtl/>
        </w:rPr>
        <w:t xml:space="preserve">בתחרות </w:t>
      </w:r>
      <w:bookmarkStart w:id="45787" w:name="_ETM_Q85_591000"/>
      <w:bookmarkEnd w:id="45787"/>
      <w:r>
        <w:rPr>
          <w:rFonts w:hint="cs"/>
          <w:rtl/>
        </w:rPr>
        <w:t xml:space="preserve">כלפי </w:t>
      </w:r>
      <w:bookmarkStart w:id="45788" w:name="_ETM_Q85_591360"/>
      <w:bookmarkEnd w:id="45788"/>
      <w:r>
        <w:rPr>
          <w:rFonts w:hint="cs"/>
          <w:rtl/>
        </w:rPr>
        <w:t xml:space="preserve">מטה </w:t>
      </w:r>
      <w:bookmarkStart w:id="45789" w:name="_ETM_Q85_592330"/>
      <w:bookmarkEnd w:id="45789"/>
      <w:r>
        <w:rPr>
          <w:rFonts w:hint="cs"/>
          <w:rtl/>
        </w:rPr>
        <w:t xml:space="preserve">שבה </w:t>
      </w:r>
      <w:bookmarkStart w:id="45790" w:name="_ETM_Q85_592690"/>
      <w:bookmarkEnd w:id="45790"/>
      <w:r>
        <w:rPr>
          <w:rFonts w:hint="cs"/>
          <w:rtl/>
        </w:rPr>
        <w:t xml:space="preserve">כל </w:t>
      </w:r>
      <w:bookmarkStart w:id="45791" w:name="_ETM_Q85_592960"/>
      <w:bookmarkEnd w:id="45791"/>
      <w:r>
        <w:rPr>
          <w:rFonts w:hint="cs"/>
          <w:rtl/>
        </w:rPr>
        <w:t xml:space="preserve">חבר </w:t>
      </w:r>
      <w:bookmarkStart w:id="45792" w:name="_ETM_Q85_593350"/>
      <w:bookmarkEnd w:id="45792"/>
      <w:r>
        <w:rPr>
          <w:rFonts w:hint="cs"/>
          <w:rtl/>
        </w:rPr>
        <w:t xml:space="preserve">אומר </w:t>
      </w:r>
      <w:bookmarkStart w:id="45793" w:name="_ETM_Q85_593740"/>
      <w:bookmarkEnd w:id="45793"/>
      <w:r>
        <w:rPr>
          <w:rFonts w:hint="cs"/>
          <w:rtl/>
        </w:rPr>
        <w:t xml:space="preserve">אמירה </w:t>
      </w:r>
      <w:bookmarkStart w:id="45794" w:name="_ETM_Q85_594610"/>
      <w:bookmarkEnd w:id="45794"/>
      <w:r>
        <w:rPr>
          <w:rFonts w:hint="cs"/>
          <w:rtl/>
        </w:rPr>
        <w:t xml:space="preserve">יותר </w:t>
      </w:r>
      <w:bookmarkStart w:id="45795" w:name="_ETM_Q85_595000"/>
      <w:bookmarkEnd w:id="45795"/>
      <w:r>
        <w:rPr>
          <w:rFonts w:hint="cs"/>
          <w:rtl/>
        </w:rPr>
        <w:t xml:space="preserve">מזעזעת. </w:t>
      </w:r>
      <w:bookmarkStart w:id="45796" w:name="_ETM_Q85_596520"/>
      <w:bookmarkEnd w:id="45796"/>
      <w:r>
        <w:rPr>
          <w:rFonts w:hint="cs"/>
          <w:rtl/>
        </w:rPr>
        <w:t xml:space="preserve">במקום </w:t>
      </w:r>
      <w:bookmarkStart w:id="45797" w:name="_ETM_Q85_597089"/>
      <w:bookmarkEnd w:id="45797"/>
      <w:r>
        <w:rPr>
          <w:rFonts w:hint="cs"/>
          <w:rtl/>
        </w:rPr>
        <w:t xml:space="preserve">להתאפק </w:t>
      </w:r>
      <w:bookmarkStart w:id="45798" w:name="_ETM_Q85_597630"/>
      <w:bookmarkEnd w:id="45798"/>
      <w:r>
        <w:rPr>
          <w:rFonts w:hint="cs"/>
          <w:rtl/>
        </w:rPr>
        <w:t xml:space="preserve">ולשתוק </w:t>
      </w:r>
      <w:bookmarkStart w:id="45799" w:name="_ETM_Q85_598570"/>
      <w:bookmarkEnd w:id="45799"/>
      <w:r>
        <w:rPr>
          <w:rFonts w:hint="cs"/>
          <w:rtl/>
        </w:rPr>
        <w:t xml:space="preserve">בימים </w:t>
      </w:r>
      <w:bookmarkStart w:id="45800" w:name="_ETM_Q85_599050"/>
      <w:bookmarkEnd w:id="45800"/>
      <w:r>
        <w:rPr>
          <w:rFonts w:hint="cs"/>
          <w:rtl/>
        </w:rPr>
        <w:t xml:space="preserve">רגישים </w:t>
      </w:r>
      <w:bookmarkStart w:id="45801" w:name="_ETM_Q85_599589"/>
      <w:bookmarkEnd w:id="45801"/>
      <w:r>
        <w:rPr>
          <w:rFonts w:hint="cs"/>
          <w:rtl/>
        </w:rPr>
        <w:t xml:space="preserve">אלה, </w:t>
      </w:r>
      <w:bookmarkStart w:id="45802" w:name="_ETM_Q85_600460"/>
      <w:bookmarkEnd w:id="45802"/>
      <w:r>
        <w:rPr>
          <w:rFonts w:hint="cs"/>
          <w:rtl/>
        </w:rPr>
        <w:t xml:space="preserve">אתם </w:t>
      </w:r>
      <w:bookmarkStart w:id="45803" w:name="_ETM_Q85_600790"/>
      <w:bookmarkEnd w:id="45803"/>
      <w:r>
        <w:rPr>
          <w:rFonts w:hint="cs"/>
          <w:rtl/>
        </w:rPr>
        <w:t xml:space="preserve">מסיתים; </w:t>
      </w:r>
      <w:bookmarkStart w:id="45804" w:name="_ETM_Q85_601950"/>
      <w:bookmarkEnd w:id="45804"/>
      <w:r>
        <w:rPr>
          <w:rFonts w:hint="cs"/>
          <w:rtl/>
        </w:rPr>
        <w:t xml:space="preserve">במקום </w:t>
      </w:r>
      <w:bookmarkStart w:id="45805" w:name="_ETM_Q85_602429"/>
      <w:bookmarkEnd w:id="45805"/>
      <w:r>
        <w:rPr>
          <w:rFonts w:hint="cs"/>
          <w:rtl/>
        </w:rPr>
        <w:t xml:space="preserve">להוסיף </w:t>
      </w:r>
      <w:bookmarkStart w:id="45806" w:name="_ETM_Q85_602789"/>
      <w:bookmarkEnd w:id="45806"/>
      <w:r>
        <w:rPr>
          <w:rFonts w:hint="cs"/>
          <w:rtl/>
        </w:rPr>
        <w:t xml:space="preserve">לאחדות, </w:t>
      </w:r>
      <w:bookmarkStart w:id="45807" w:name="_ETM_Q85_603359"/>
      <w:bookmarkEnd w:id="45807"/>
      <w:r>
        <w:rPr>
          <w:rFonts w:hint="cs"/>
          <w:rtl/>
        </w:rPr>
        <w:t xml:space="preserve">אתם </w:t>
      </w:r>
      <w:bookmarkStart w:id="45808" w:name="_ETM_Q85_603600"/>
      <w:bookmarkEnd w:id="45808"/>
      <w:r>
        <w:rPr>
          <w:rFonts w:hint="cs"/>
          <w:rtl/>
        </w:rPr>
        <w:t xml:space="preserve">מפלגים; </w:t>
      </w:r>
      <w:bookmarkStart w:id="45809" w:name="_ETM_Q85_604850"/>
      <w:bookmarkEnd w:id="45809"/>
      <w:r>
        <w:rPr>
          <w:rFonts w:hint="cs"/>
          <w:rtl/>
        </w:rPr>
        <w:t xml:space="preserve">במקום </w:t>
      </w:r>
      <w:bookmarkStart w:id="45810" w:name="_ETM_Q85_605329"/>
      <w:bookmarkEnd w:id="45810"/>
      <w:r>
        <w:rPr>
          <w:rFonts w:hint="cs"/>
          <w:rtl/>
        </w:rPr>
        <w:t xml:space="preserve">להבין </w:t>
      </w:r>
      <w:bookmarkStart w:id="45811" w:name="_ETM_Q85_605779"/>
      <w:bookmarkEnd w:id="45811"/>
      <w:r>
        <w:rPr>
          <w:rFonts w:hint="cs"/>
          <w:rtl/>
        </w:rPr>
        <w:t xml:space="preserve">שהעם </w:t>
      </w:r>
      <w:bookmarkStart w:id="45812" w:name="_ETM_Q85_606139"/>
      <w:bookmarkEnd w:id="45812"/>
      <w:r>
        <w:rPr>
          <w:rFonts w:hint="cs"/>
          <w:rtl/>
        </w:rPr>
        <w:t xml:space="preserve">חרד </w:t>
      </w:r>
      <w:bookmarkStart w:id="45813" w:name="_ETM_Q85_606979"/>
      <w:bookmarkEnd w:id="45813"/>
      <w:r>
        <w:rPr>
          <w:rFonts w:hint="cs"/>
          <w:rtl/>
        </w:rPr>
        <w:t xml:space="preserve">ומפוחד </w:t>
      </w:r>
      <w:bookmarkStart w:id="45814" w:name="_ETM_Q85_608660"/>
      <w:bookmarkEnd w:id="45814"/>
      <w:r>
        <w:rPr>
          <w:rFonts w:hint="cs"/>
          <w:rtl/>
        </w:rPr>
        <w:t>מה</w:t>
      </w:r>
      <w:bookmarkStart w:id="45815" w:name="_ETM_Q85_608839"/>
      <w:bookmarkEnd w:id="45815"/>
      <w:r>
        <w:rPr>
          <w:rFonts w:hint="cs"/>
          <w:rtl/>
        </w:rPr>
        <w:t xml:space="preserve">שינויים </w:t>
      </w:r>
      <w:bookmarkStart w:id="45816" w:name="_ETM_Q85_609260"/>
      <w:bookmarkEnd w:id="45816"/>
      <w:r>
        <w:rPr>
          <w:rFonts w:hint="cs"/>
          <w:rtl/>
        </w:rPr>
        <w:t xml:space="preserve">הקיצוניים </w:t>
      </w:r>
      <w:bookmarkStart w:id="45817" w:name="_ETM_Q85_609830"/>
      <w:bookmarkEnd w:id="45817"/>
      <w:r>
        <w:rPr>
          <w:rFonts w:hint="cs"/>
          <w:rtl/>
        </w:rPr>
        <w:t xml:space="preserve">שאתם </w:t>
      </w:r>
      <w:bookmarkStart w:id="45818" w:name="_ETM_Q85_610129"/>
      <w:bookmarkEnd w:id="45818"/>
      <w:r>
        <w:rPr>
          <w:rFonts w:hint="cs"/>
          <w:rtl/>
        </w:rPr>
        <w:t xml:space="preserve">עושים, </w:t>
      </w:r>
      <w:bookmarkStart w:id="45819" w:name="_ETM_Q85_610489"/>
      <w:bookmarkEnd w:id="45819"/>
      <w:r>
        <w:rPr>
          <w:rFonts w:hint="cs"/>
          <w:rtl/>
        </w:rPr>
        <w:t xml:space="preserve">אתם </w:t>
      </w:r>
      <w:bookmarkStart w:id="45820" w:name="_ETM_Q85_610730"/>
      <w:bookmarkEnd w:id="45820"/>
      <w:r>
        <w:rPr>
          <w:rFonts w:hint="cs"/>
          <w:rtl/>
        </w:rPr>
        <w:t xml:space="preserve">מזלזלים </w:t>
      </w:r>
      <w:bookmarkStart w:id="45821" w:name="_ETM_Q85_611300"/>
      <w:bookmarkEnd w:id="45821"/>
      <w:r>
        <w:rPr>
          <w:rFonts w:hint="cs"/>
          <w:rtl/>
        </w:rPr>
        <w:t xml:space="preserve">בכאב </w:t>
      </w:r>
      <w:bookmarkStart w:id="45822" w:name="_ETM_Q85_611660"/>
      <w:bookmarkEnd w:id="45822"/>
      <w:r>
        <w:rPr>
          <w:rFonts w:hint="cs"/>
          <w:rtl/>
        </w:rPr>
        <w:t xml:space="preserve">שלו. </w:t>
      </w:r>
      <w:bookmarkStart w:id="45823" w:name="_ETM_Q85_612920"/>
      <w:bookmarkEnd w:id="45823"/>
      <w:r>
        <w:rPr>
          <w:rFonts w:hint="cs"/>
          <w:rtl/>
        </w:rPr>
        <w:t xml:space="preserve">וזה </w:t>
      </w:r>
      <w:bookmarkStart w:id="45824" w:name="_ETM_Q85_613310"/>
      <w:bookmarkEnd w:id="45824"/>
      <w:r>
        <w:rPr>
          <w:rFonts w:hint="cs"/>
          <w:rtl/>
        </w:rPr>
        <w:t xml:space="preserve">אמיתי. </w:t>
      </w:r>
      <w:bookmarkStart w:id="45825" w:name="_ETM_Q85_614540"/>
      <w:bookmarkEnd w:id="45825"/>
    </w:p>
    <w:p w:rsidR="00BB59CD" w:rsidRDefault="00BB59CD" w:rsidP="00BB59CD">
      <w:pPr>
        <w:rPr>
          <w:rtl/>
        </w:rPr>
      </w:pPr>
    </w:p>
    <w:p w:rsidR="00BB59CD" w:rsidRDefault="00BB59CD" w:rsidP="00BB59CD">
      <w:pPr>
        <w:rPr>
          <w:rtl/>
        </w:rPr>
      </w:pPr>
      <w:r>
        <w:rPr>
          <w:rFonts w:hint="cs"/>
          <w:rtl/>
        </w:rPr>
        <w:t xml:space="preserve">עמד </w:t>
      </w:r>
      <w:bookmarkStart w:id="45826" w:name="_ETM_Q85_614870"/>
      <w:bookmarkEnd w:id="45826"/>
      <w:r>
        <w:rPr>
          <w:rFonts w:hint="cs"/>
          <w:rtl/>
        </w:rPr>
        <w:t xml:space="preserve">פה </w:t>
      </w:r>
      <w:bookmarkStart w:id="45827" w:name="_ETM_Q85_615019"/>
      <w:bookmarkEnd w:id="45827"/>
      <w:r>
        <w:rPr>
          <w:rFonts w:hint="cs"/>
          <w:rtl/>
        </w:rPr>
        <w:t xml:space="preserve">השבוע </w:t>
      </w:r>
      <w:bookmarkStart w:id="45828" w:name="_ETM_Q85_615530"/>
      <w:bookmarkEnd w:id="45828"/>
      <w:r>
        <w:rPr>
          <w:rFonts w:hint="cs"/>
          <w:rtl/>
        </w:rPr>
        <w:t xml:space="preserve">פעמיים </w:t>
      </w:r>
      <w:bookmarkStart w:id="45829" w:name="_ETM_Q85_616099"/>
      <w:bookmarkEnd w:id="45829"/>
      <w:r>
        <w:rPr>
          <w:rFonts w:hint="cs"/>
          <w:rtl/>
        </w:rPr>
        <w:t xml:space="preserve">השר </w:t>
      </w:r>
      <w:bookmarkStart w:id="45830" w:name="_ETM_Q85_616459"/>
      <w:bookmarkEnd w:id="45830"/>
      <w:r>
        <w:rPr>
          <w:rFonts w:hint="cs"/>
          <w:rtl/>
        </w:rPr>
        <w:t xml:space="preserve">אקוניס </w:t>
      </w:r>
      <w:bookmarkStart w:id="45831" w:name="_ETM_Q85_617650"/>
      <w:bookmarkEnd w:id="45831"/>
      <w:r>
        <w:rPr>
          <w:rFonts w:hint="cs"/>
          <w:rtl/>
        </w:rPr>
        <w:t xml:space="preserve">במשך </w:t>
      </w:r>
      <w:bookmarkStart w:id="45832" w:name="_ETM_Q85_618099"/>
      <w:bookmarkEnd w:id="45832"/>
      <w:r>
        <w:rPr>
          <w:rFonts w:hint="cs"/>
          <w:rtl/>
        </w:rPr>
        <w:t xml:space="preserve">רבע </w:t>
      </w:r>
      <w:bookmarkStart w:id="45833" w:name="_ETM_Q85_618400"/>
      <w:bookmarkEnd w:id="45833"/>
      <w:r>
        <w:rPr>
          <w:rFonts w:hint="cs"/>
          <w:rtl/>
        </w:rPr>
        <w:t xml:space="preserve">שעה </w:t>
      </w:r>
      <w:bookmarkStart w:id="45834" w:name="_ETM_Q85_618670"/>
      <w:bookmarkEnd w:id="45834"/>
      <w:r>
        <w:rPr>
          <w:rFonts w:hint="cs"/>
          <w:rtl/>
        </w:rPr>
        <w:t xml:space="preserve">כל </w:t>
      </w:r>
      <w:bookmarkStart w:id="45835" w:name="_ETM_Q85_618879"/>
      <w:bookmarkEnd w:id="45835"/>
      <w:r>
        <w:rPr>
          <w:rFonts w:hint="cs"/>
          <w:rtl/>
        </w:rPr>
        <w:t>פעם ו</w:t>
      </w:r>
      <w:bookmarkStart w:id="45836" w:name="_ETM_Q85_619930"/>
      <w:bookmarkEnd w:id="45836"/>
      <w:r>
        <w:rPr>
          <w:rFonts w:hint="cs"/>
          <w:rtl/>
        </w:rPr>
        <w:t xml:space="preserve">אמר </w:t>
      </w:r>
      <w:bookmarkStart w:id="45837" w:name="_ETM_Q85_620290"/>
      <w:bookmarkEnd w:id="45837"/>
      <w:r>
        <w:rPr>
          <w:rFonts w:hint="cs"/>
          <w:rtl/>
        </w:rPr>
        <w:t xml:space="preserve">דברים </w:t>
      </w:r>
      <w:bookmarkStart w:id="45838" w:name="_ETM_Q85_620769"/>
      <w:bookmarkEnd w:id="45838"/>
      <w:r>
        <w:rPr>
          <w:rFonts w:hint="cs"/>
          <w:rtl/>
        </w:rPr>
        <w:t xml:space="preserve">חמורים, </w:t>
      </w:r>
      <w:bookmarkStart w:id="45839" w:name="_ETM_Q85_622100"/>
      <w:bookmarkEnd w:id="45839"/>
      <w:r>
        <w:rPr>
          <w:rFonts w:hint="cs"/>
          <w:rtl/>
        </w:rPr>
        <w:t xml:space="preserve">מבחינתי </w:t>
      </w:r>
      <w:bookmarkStart w:id="45840" w:name="_ETM_Q85_622610"/>
      <w:bookmarkEnd w:id="45840"/>
      <w:r>
        <w:rPr>
          <w:rFonts w:hint="cs"/>
          <w:rtl/>
        </w:rPr>
        <w:t xml:space="preserve">נוראיים, </w:t>
      </w:r>
      <w:bookmarkStart w:id="45841" w:name="_ETM_Q85_624459"/>
      <w:bookmarkEnd w:id="45841"/>
      <w:r>
        <w:rPr>
          <w:rFonts w:hint="cs"/>
          <w:rtl/>
        </w:rPr>
        <w:t xml:space="preserve">על </w:t>
      </w:r>
      <w:bookmarkStart w:id="45842" w:name="_ETM_Q85_624640"/>
      <w:bookmarkEnd w:id="45842"/>
      <w:r>
        <w:rPr>
          <w:rFonts w:hint="cs"/>
          <w:rtl/>
        </w:rPr>
        <w:t xml:space="preserve">אנשים </w:t>
      </w:r>
      <w:bookmarkStart w:id="45843" w:name="_ETM_Q85_625150"/>
      <w:bookmarkEnd w:id="45843"/>
      <w:r>
        <w:rPr>
          <w:rFonts w:hint="cs"/>
          <w:rtl/>
        </w:rPr>
        <w:t>ש</w:t>
      </w:r>
      <w:bookmarkStart w:id="45844" w:name="_ETM_Q85_625390"/>
      <w:bookmarkEnd w:id="45844"/>
      <w:r>
        <w:rPr>
          <w:rFonts w:hint="cs"/>
          <w:rtl/>
        </w:rPr>
        <w:t xml:space="preserve">מגינים </w:t>
      </w:r>
      <w:bookmarkStart w:id="45845" w:name="_ETM_Q85_626360"/>
      <w:bookmarkEnd w:id="45845"/>
      <w:r>
        <w:rPr>
          <w:rFonts w:hint="cs"/>
          <w:rtl/>
        </w:rPr>
        <w:t xml:space="preserve">על </w:t>
      </w:r>
      <w:bookmarkStart w:id="45846" w:name="_ETM_Q85_626510"/>
      <w:bookmarkEnd w:id="45846"/>
      <w:r>
        <w:rPr>
          <w:rFonts w:hint="cs"/>
          <w:rtl/>
        </w:rPr>
        <w:t xml:space="preserve">מדינת </w:t>
      </w:r>
      <w:bookmarkStart w:id="45847" w:name="_ETM_Q85_626930"/>
      <w:bookmarkEnd w:id="45847"/>
      <w:r>
        <w:rPr>
          <w:rFonts w:hint="cs"/>
          <w:rtl/>
        </w:rPr>
        <w:t xml:space="preserve">ישראל. </w:t>
      </w:r>
      <w:bookmarkStart w:id="45848" w:name="_ETM_Q85_628050"/>
      <w:bookmarkEnd w:id="45848"/>
      <w:r>
        <w:rPr>
          <w:rFonts w:hint="cs"/>
          <w:rtl/>
        </w:rPr>
        <w:t xml:space="preserve">ישבתי </w:t>
      </w:r>
      <w:bookmarkStart w:id="45849" w:name="_ETM_Q85_628530"/>
      <w:bookmarkEnd w:id="45849"/>
      <w:r>
        <w:rPr>
          <w:rFonts w:hint="cs"/>
          <w:rtl/>
        </w:rPr>
        <w:t xml:space="preserve">פה </w:t>
      </w:r>
      <w:bookmarkStart w:id="45850" w:name="_ETM_Q85_628710"/>
      <w:bookmarkEnd w:id="45850"/>
      <w:r>
        <w:rPr>
          <w:rFonts w:hint="cs"/>
          <w:rtl/>
        </w:rPr>
        <w:t xml:space="preserve">בכיסא </w:t>
      </w:r>
      <w:bookmarkStart w:id="45851" w:name="_ETM_Q85_629100"/>
      <w:bookmarkEnd w:id="45851"/>
      <w:r>
        <w:rPr>
          <w:rFonts w:hint="cs"/>
          <w:rtl/>
        </w:rPr>
        <w:t xml:space="preserve">שלי </w:t>
      </w:r>
      <w:bookmarkStart w:id="45852" w:name="_ETM_Q85_630130"/>
      <w:bookmarkEnd w:id="45852"/>
      <w:r>
        <w:rPr>
          <w:rFonts w:hint="cs"/>
          <w:rtl/>
        </w:rPr>
        <w:t xml:space="preserve">ונחרדתי, </w:t>
      </w:r>
      <w:bookmarkStart w:id="45853" w:name="_ETM_Q85_631570"/>
      <w:bookmarkEnd w:id="45853"/>
      <w:r>
        <w:rPr>
          <w:rFonts w:hint="cs"/>
          <w:rtl/>
        </w:rPr>
        <w:t xml:space="preserve">פשוט </w:t>
      </w:r>
      <w:bookmarkStart w:id="45854" w:name="_ETM_Q85_632080"/>
      <w:bookmarkEnd w:id="45854"/>
      <w:r>
        <w:rPr>
          <w:rFonts w:hint="cs"/>
          <w:rtl/>
        </w:rPr>
        <w:t xml:space="preserve">לא </w:t>
      </w:r>
      <w:bookmarkStart w:id="45855" w:name="_ETM_Q85_632200"/>
      <w:bookmarkEnd w:id="45855"/>
      <w:r>
        <w:rPr>
          <w:rFonts w:hint="cs"/>
          <w:rtl/>
        </w:rPr>
        <w:t xml:space="preserve">יכולתי </w:t>
      </w:r>
      <w:bookmarkStart w:id="45856" w:name="_ETM_Q85_632620"/>
      <w:bookmarkEnd w:id="45856"/>
      <w:r>
        <w:rPr>
          <w:rFonts w:hint="cs"/>
          <w:rtl/>
        </w:rPr>
        <w:t xml:space="preserve">אפילו </w:t>
      </w:r>
      <w:bookmarkStart w:id="45857" w:name="_ETM_Q85_633070"/>
      <w:bookmarkEnd w:id="45857"/>
      <w:r>
        <w:rPr>
          <w:rFonts w:hint="cs"/>
          <w:rtl/>
        </w:rPr>
        <w:t xml:space="preserve">לענות </w:t>
      </w:r>
      <w:bookmarkStart w:id="45858" w:name="_ETM_Q85_633520"/>
      <w:bookmarkEnd w:id="45858"/>
      <w:r>
        <w:rPr>
          <w:rFonts w:hint="cs"/>
          <w:rtl/>
        </w:rPr>
        <w:t xml:space="preserve">לו </w:t>
      </w:r>
      <w:bookmarkStart w:id="45859" w:name="_ETM_Q85_634099"/>
      <w:bookmarkEnd w:id="45859"/>
      <w:r>
        <w:rPr>
          <w:rFonts w:hint="cs"/>
          <w:rtl/>
        </w:rPr>
        <w:t xml:space="preserve">מרוב </w:t>
      </w:r>
      <w:bookmarkStart w:id="45860" w:name="_ETM_Q85_634730"/>
      <w:bookmarkEnd w:id="45860"/>
      <w:r>
        <w:rPr>
          <w:rFonts w:hint="cs"/>
          <w:rtl/>
        </w:rPr>
        <w:t xml:space="preserve">השנאה </w:t>
      </w:r>
      <w:bookmarkStart w:id="45861" w:name="_ETM_Q85_635239"/>
      <w:bookmarkEnd w:id="45861"/>
      <w:r>
        <w:rPr>
          <w:rFonts w:hint="cs"/>
          <w:rtl/>
        </w:rPr>
        <w:t xml:space="preserve">שיצאה </w:t>
      </w:r>
      <w:bookmarkStart w:id="45862" w:name="_ETM_Q85_635599"/>
      <w:bookmarkEnd w:id="45862"/>
      <w:r>
        <w:rPr>
          <w:rFonts w:hint="cs"/>
          <w:rtl/>
        </w:rPr>
        <w:t xml:space="preserve">לו </w:t>
      </w:r>
      <w:bookmarkStart w:id="45863" w:name="_ETM_Q85_635720"/>
      <w:bookmarkEnd w:id="45863"/>
      <w:r>
        <w:rPr>
          <w:rFonts w:hint="cs"/>
          <w:rtl/>
        </w:rPr>
        <w:t xml:space="preserve">מהפה. </w:t>
      </w:r>
      <w:bookmarkStart w:id="45864" w:name="_ETM_Q85_636810"/>
      <w:bookmarkEnd w:id="45864"/>
      <w:r>
        <w:rPr>
          <w:rFonts w:hint="cs"/>
          <w:rtl/>
        </w:rPr>
        <w:t xml:space="preserve">שר </w:t>
      </w:r>
      <w:bookmarkStart w:id="45865" w:name="_ETM_Q85_637230"/>
      <w:bookmarkEnd w:id="45865"/>
      <w:r>
        <w:rPr>
          <w:rFonts w:hint="cs"/>
          <w:rtl/>
        </w:rPr>
        <w:t xml:space="preserve">במדינת </w:t>
      </w:r>
      <w:bookmarkStart w:id="45866" w:name="_ETM_Q85_637830"/>
      <w:bookmarkEnd w:id="45866"/>
      <w:r>
        <w:rPr>
          <w:rFonts w:hint="cs"/>
          <w:rtl/>
        </w:rPr>
        <w:t xml:space="preserve">ישראל, </w:t>
      </w:r>
      <w:bookmarkStart w:id="45867" w:name="_ETM_Q85_639090"/>
      <w:bookmarkEnd w:id="45867"/>
      <w:r>
        <w:rPr>
          <w:rFonts w:hint="cs"/>
          <w:rtl/>
        </w:rPr>
        <w:t xml:space="preserve">במקום </w:t>
      </w:r>
      <w:bookmarkStart w:id="45868" w:name="_ETM_Q85_639450"/>
      <w:bookmarkEnd w:id="45868"/>
      <w:r>
        <w:rPr>
          <w:rFonts w:hint="cs"/>
          <w:rtl/>
        </w:rPr>
        <w:t xml:space="preserve">שיבוא </w:t>
      </w:r>
      <w:bookmarkStart w:id="45869" w:name="_ETM_Q85_640550"/>
      <w:bookmarkEnd w:id="45869"/>
      <w:r>
        <w:rPr>
          <w:rFonts w:hint="cs"/>
          <w:rtl/>
        </w:rPr>
        <w:t xml:space="preserve">וירגיע </w:t>
      </w:r>
      <w:bookmarkStart w:id="45870" w:name="_ETM_Q85_641150"/>
      <w:bookmarkEnd w:id="45870"/>
      <w:r>
        <w:rPr>
          <w:rFonts w:hint="cs"/>
          <w:rtl/>
        </w:rPr>
        <w:t xml:space="preserve">את </w:t>
      </w:r>
      <w:bookmarkStart w:id="45871" w:name="_ETM_Q85_641270"/>
      <w:bookmarkEnd w:id="45871"/>
      <w:r>
        <w:rPr>
          <w:rFonts w:hint="cs"/>
          <w:rtl/>
        </w:rPr>
        <w:t xml:space="preserve">הרוחות </w:t>
      </w:r>
      <w:bookmarkStart w:id="45872" w:name="_ETM_Q85_641900"/>
      <w:bookmarkEnd w:id="45872"/>
      <w:r>
        <w:rPr>
          <w:rFonts w:hint="cs"/>
          <w:rtl/>
        </w:rPr>
        <w:t xml:space="preserve">ויוריד </w:t>
      </w:r>
      <w:bookmarkStart w:id="45873" w:name="_ETM_Q85_642320"/>
      <w:bookmarkEnd w:id="45873"/>
      <w:r>
        <w:rPr>
          <w:rFonts w:hint="cs"/>
          <w:rtl/>
        </w:rPr>
        <w:t xml:space="preserve">את </w:t>
      </w:r>
      <w:bookmarkStart w:id="45874" w:name="_ETM_Q85_642380"/>
      <w:bookmarkEnd w:id="45874"/>
      <w:r>
        <w:rPr>
          <w:rFonts w:hint="cs"/>
          <w:rtl/>
        </w:rPr>
        <w:t xml:space="preserve">הלהבה, </w:t>
      </w:r>
      <w:bookmarkStart w:id="45875" w:name="_ETM_Q85_643199"/>
      <w:bookmarkEnd w:id="45875"/>
      <w:r>
        <w:rPr>
          <w:rFonts w:hint="cs"/>
          <w:rtl/>
        </w:rPr>
        <w:t xml:space="preserve">עמד </w:t>
      </w:r>
      <w:bookmarkStart w:id="45876" w:name="_ETM_Q85_643590"/>
      <w:bookmarkEnd w:id="45876"/>
      <w:r>
        <w:rPr>
          <w:rFonts w:hint="cs"/>
          <w:rtl/>
        </w:rPr>
        <w:t xml:space="preserve">פה </w:t>
      </w:r>
      <w:bookmarkStart w:id="45877" w:name="_ETM_Q85_643799"/>
      <w:bookmarkEnd w:id="45877"/>
      <w:r>
        <w:rPr>
          <w:rFonts w:hint="cs"/>
          <w:rtl/>
        </w:rPr>
        <w:t>במשך</w:t>
      </w:r>
      <w:bookmarkStart w:id="45878" w:name="_ETM_Q85_644189"/>
      <w:bookmarkStart w:id="45879" w:name="_ETM_Q85_644730"/>
      <w:bookmarkEnd w:id="45878"/>
      <w:bookmarkEnd w:id="45879"/>
      <w:r>
        <w:rPr>
          <w:rFonts w:hint="cs"/>
          <w:rtl/>
        </w:rPr>
        <w:t xml:space="preserve"> </w:t>
      </w:r>
      <w:bookmarkStart w:id="45880" w:name="_ETM_Q85_645449"/>
      <w:bookmarkEnd w:id="45880"/>
      <w:r>
        <w:rPr>
          <w:rFonts w:hint="cs"/>
          <w:rtl/>
        </w:rPr>
        <w:t xml:space="preserve">15 </w:t>
      </w:r>
      <w:bookmarkStart w:id="45881" w:name="_ETM_Q85_646019"/>
      <w:bookmarkEnd w:id="45881"/>
      <w:r>
        <w:rPr>
          <w:rFonts w:hint="cs"/>
          <w:rtl/>
        </w:rPr>
        <w:t xml:space="preserve">דקות </w:t>
      </w:r>
      <w:bookmarkStart w:id="45882" w:name="_ETM_Q85_647010"/>
      <w:bookmarkEnd w:id="45882"/>
      <w:r>
        <w:rPr>
          <w:rFonts w:hint="cs"/>
          <w:rtl/>
        </w:rPr>
        <w:t xml:space="preserve">ופשוט </w:t>
      </w:r>
      <w:bookmarkStart w:id="45883" w:name="_ETM_Q85_648849"/>
      <w:bookmarkEnd w:id="45883"/>
      <w:r>
        <w:rPr>
          <w:rFonts w:hint="cs"/>
          <w:rtl/>
        </w:rPr>
        <w:t xml:space="preserve">אמר </w:t>
      </w:r>
      <w:bookmarkStart w:id="45884" w:name="_ETM_Q85_649209"/>
      <w:bookmarkEnd w:id="45884"/>
      <w:r>
        <w:rPr>
          <w:rFonts w:hint="cs"/>
          <w:rtl/>
        </w:rPr>
        <w:t xml:space="preserve">את </w:t>
      </w:r>
      <w:bookmarkStart w:id="45885" w:name="_ETM_Q85_649300"/>
      <w:bookmarkEnd w:id="45885"/>
      <w:r>
        <w:rPr>
          <w:rFonts w:hint="cs"/>
          <w:rtl/>
        </w:rPr>
        <w:t xml:space="preserve">הדברים </w:t>
      </w:r>
      <w:bookmarkStart w:id="45886" w:name="_ETM_Q85_649720"/>
      <w:bookmarkEnd w:id="45886"/>
      <w:r>
        <w:rPr>
          <w:rFonts w:hint="cs"/>
          <w:rtl/>
        </w:rPr>
        <w:t xml:space="preserve">הכי </w:t>
      </w:r>
      <w:bookmarkStart w:id="45887" w:name="_ETM_Q85_649959"/>
      <w:bookmarkEnd w:id="45887"/>
      <w:r>
        <w:rPr>
          <w:rFonts w:hint="cs"/>
          <w:rtl/>
        </w:rPr>
        <w:t xml:space="preserve">קשים </w:t>
      </w:r>
      <w:bookmarkStart w:id="45888" w:name="_ETM_Q85_650870"/>
      <w:bookmarkEnd w:id="45888"/>
      <w:r>
        <w:rPr>
          <w:rFonts w:hint="cs"/>
          <w:rtl/>
        </w:rPr>
        <w:t xml:space="preserve">לאנשים </w:t>
      </w:r>
      <w:bookmarkStart w:id="45889" w:name="_ETM_Q85_651949"/>
      <w:bookmarkEnd w:id="45889"/>
      <w:r>
        <w:rPr>
          <w:rFonts w:hint="cs"/>
          <w:rtl/>
        </w:rPr>
        <w:t xml:space="preserve">שנתנו </w:t>
      </w:r>
      <w:bookmarkStart w:id="45890" w:name="_ETM_Q85_652370"/>
      <w:bookmarkEnd w:id="45890"/>
      <w:r>
        <w:rPr>
          <w:rFonts w:hint="cs"/>
          <w:rtl/>
        </w:rPr>
        <w:t xml:space="preserve">את </w:t>
      </w:r>
      <w:bookmarkStart w:id="45891" w:name="_ETM_Q85_652430"/>
      <w:bookmarkEnd w:id="45891"/>
      <w:r>
        <w:rPr>
          <w:rFonts w:hint="cs"/>
          <w:rtl/>
        </w:rPr>
        <w:t xml:space="preserve">חייהם </w:t>
      </w:r>
      <w:bookmarkStart w:id="45892" w:name="_ETM_Q85_652909"/>
      <w:bookmarkEnd w:id="45892"/>
      <w:r>
        <w:rPr>
          <w:rFonts w:hint="cs"/>
          <w:rtl/>
        </w:rPr>
        <w:t xml:space="preserve">למדינת </w:t>
      </w:r>
      <w:bookmarkStart w:id="45893" w:name="_ETM_Q85_653389"/>
      <w:bookmarkEnd w:id="45893"/>
      <w:r>
        <w:rPr>
          <w:rFonts w:hint="cs"/>
          <w:rtl/>
        </w:rPr>
        <w:t xml:space="preserve">ישראל, </w:t>
      </w:r>
      <w:bookmarkStart w:id="45894" w:name="_ETM_Q85_654700"/>
      <w:bookmarkEnd w:id="45894"/>
      <w:r>
        <w:rPr>
          <w:rFonts w:hint="cs"/>
          <w:rtl/>
        </w:rPr>
        <w:t xml:space="preserve">את </w:t>
      </w:r>
      <w:bookmarkStart w:id="45895" w:name="_ETM_Q85_654850"/>
      <w:bookmarkEnd w:id="45895"/>
      <w:r>
        <w:rPr>
          <w:rFonts w:hint="cs"/>
          <w:rtl/>
        </w:rPr>
        <w:t xml:space="preserve">חייהם. </w:t>
      </w:r>
      <w:bookmarkStart w:id="45896" w:name="_ETM_Q85_658470"/>
      <w:bookmarkEnd w:id="45896"/>
    </w:p>
    <w:p w:rsidR="00BB59CD" w:rsidRDefault="00BB59CD" w:rsidP="00BB59CD">
      <w:pPr>
        <w:rPr>
          <w:rtl/>
        </w:rPr>
      </w:pPr>
    </w:p>
    <w:p w:rsidR="00BB59CD" w:rsidRDefault="00BB59CD" w:rsidP="00BB59CD">
      <w:pPr>
        <w:rPr>
          <w:rtl/>
        </w:rPr>
      </w:pPr>
      <w:r>
        <w:rPr>
          <w:rFonts w:hint="cs"/>
          <w:rtl/>
        </w:rPr>
        <w:t xml:space="preserve">לא </w:t>
      </w:r>
      <w:bookmarkStart w:id="45897" w:name="_ETM_Q85_658620"/>
      <w:bookmarkEnd w:id="45897"/>
      <w:r>
        <w:rPr>
          <w:rFonts w:hint="cs"/>
          <w:rtl/>
        </w:rPr>
        <w:t xml:space="preserve">חסרות </w:t>
      </w:r>
      <w:bookmarkStart w:id="45898" w:name="_ETM_Q85_659130"/>
      <w:bookmarkEnd w:id="45898"/>
      <w:r>
        <w:rPr>
          <w:rFonts w:hint="cs"/>
          <w:rtl/>
        </w:rPr>
        <w:t xml:space="preserve">דוגמאות </w:t>
      </w:r>
      <w:bookmarkStart w:id="45899" w:name="_ETM_Q85_659520"/>
      <w:bookmarkEnd w:id="45899"/>
      <w:r>
        <w:rPr>
          <w:rFonts w:hint="cs"/>
          <w:rtl/>
        </w:rPr>
        <w:t xml:space="preserve">לשיח </w:t>
      </w:r>
      <w:bookmarkStart w:id="45900" w:name="_ETM_Q85_659910"/>
      <w:bookmarkEnd w:id="45900"/>
      <w:r>
        <w:rPr>
          <w:rFonts w:hint="cs"/>
          <w:rtl/>
        </w:rPr>
        <w:t xml:space="preserve">הזה, </w:t>
      </w:r>
      <w:bookmarkStart w:id="45901" w:name="_ETM_Q85_660270"/>
      <w:bookmarkEnd w:id="45901"/>
      <w:r>
        <w:rPr>
          <w:rFonts w:hint="cs"/>
          <w:rtl/>
        </w:rPr>
        <w:t xml:space="preserve">הזמן </w:t>
      </w:r>
      <w:bookmarkStart w:id="45902" w:name="_ETM_Q85_660660"/>
      <w:bookmarkEnd w:id="45902"/>
      <w:r>
        <w:rPr>
          <w:rFonts w:hint="cs"/>
          <w:rtl/>
        </w:rPr>
        <w:t xml:space="preserve">קצר </w:t>
      </w:r>
      <w:bookmarkStart w:id="45903" w:name="_ETM_Q85_661260"/>
      <w:bookmarkEnd w:id="45903"/>
      <w:r>
        <w:rPr>
          <w:rFonts w:hint="cs"/>
          <w:rtl/>
        </w:rPr>
        <w:t xml:space="preserve">והאמירות </w:t>
      </w:r>
      <w:bookmarkStart w:id="45904" w:name="_ETM_Q85_661770"/>
      <w:bookmarkEnd w:id="45904"/>
      <w:r>
        <w:rPr>
          <w:rFonts w:hint="cs"/>
          <w:rtl/>
        </w:rPr>
        <w:t xml:space="preserve">מרובות, אבל אני אתן </w:t>
      </w:r>
      <w:bookmarkStart w:id="45905" w:name="_ETM_Q85_663430"/>
      <w:bookmarkEnd w:id="45905"/>
      <w:r>
        <w:rPr>
          <w:rFonts w:hint="cs"/>
          <w:rtl/>
        </w:rPr>
        <w:t xml:space="preserve">לכם </w:t>
      </w:r>
      <w:bookmarkStart w:id="45906" w:name="_ETM_Q85_663670"/>
      <w:bookmarkEnd w:id="45906"/>
      <w:r>
        <w:rPr>
          <w:rFonts w:hint="cs"/>
          <w:rtl/>
        </w:rPr>
        <w:t xml:space="preserve">כמה </w:t>
      </w:r>
      <w:bookmarkStart w:id="45907" w:name="_ETM_Q85_663909"/>
      <w:bookmarkEnd w:id="45907"/>
      <w:r>
        <w:rPr>
          <w:rFonts w:hint="cs"/>
          <w:rtl/>
        </w:rPr>
        <w:t xml:space="preserve">דוגמאות: </w:t>
      </w:r>
      <w:bookmarkStart w:id="45908" w:name="_ETM_Q85_665349"/>
      <w:bookmarkEnd w:id="45908"/>
      <w:r>
        <w:rPr>
          <w:rFonts w:hint="cs"/>
          <w:rtl/>
        </w:rPr>
        <w:t xml:space="preserve">חבר </w:t>
      </w:r>
      <w:bookmarkStart w:id="45909" w:name="_ETM_Q85_665799"/>
      <w:bookmarkEnd w:id="45909"/>
      <w:r>
        <w:rPr>
          <w:rFonts w:hint="cs"/>
          <w:rtl/>
        </w:rPr>
        <w:t xml:space="preserve">הכנסת </w:t>
      </w:r>
      <w:bookmarkStart w:id="45910" w:name="_ETM_Q85_666280"/>
      <w:bookmarkEnd w:id="45910"/>
      <w:r>
        <w:rPr>
          <w:rFonts w:hint="cs"/>
          <w:rtl/>
        </w:rPr>
        <w:t xml:space="preserve">שמחה </w:t>
      </w:r>
      <w:bookmarkStart w:id="45911" w:name="_ETM_Q85_666609"/>
      <w:bookmarkEnd w:id="45911"/>
      <w:r>
        <w:rPr>
          <w:rFonts w:hint="cs"/>
          <w:rtl/>
        </w:rPr>
        <w:t xml:space="preserve">רוטמן, </w:t>
      </w:r>
      <w:bookmarkStart w:id="45912" w:name="_ETM_Q85_667750"/>
      <w:bookmarkEnd w:id="45912"/>
      <w:r>
        <w:rPr>
          <w:rFonts w:hint="cs"/>
          <w:rtl/>
        </w:rPr>
        <w:t xml:space="preserve">שהוא </w:t>
      </w:r>
      <w:bookmarkStart w:id="45913" w:name="_ETM_Q85_667930"/>
      <w:bookmarkStart w:id="45914" w:name="_ETM_Q85_668260"/>
      <w:bookmarkEnd w:id="45913"/>
      <w:bookmarkEnd w:id="45914"/>
      <w:r>
        <w:rPr>
          <w:rFonts w:hint="cs"/>
          <w:rtl/>
        </w:rPr>
        <w:t xml:space="preserve">אחד ממובילי </w:t>
      </w:r>
      <w:bookmarkStart w:id="45915" w:name="_ETM_Q85_668770"/>
      <w:bookmarkEnd w:id="45915"/>
      <w:r>
        <w:rPr>
          <w:rFonts w:hint="cs"/>
          <w:rtl/>
        </w:rPr>
        <w:t xml:space="preserve">הטירוף </w:t>
      </w:r>
      <w:bookmarkStart w:id="45916" w:name="_ETM_Q85_669190"/>
      <w:bookmarkEnd w:id="45916"/>
      <w:r>
        <w:rPr>
          <w:rFonts w:hint="cs"/>
          <w:rtl/>
        </w:rPr>
        <w:t xml:space="preserve">הזה, </w:t>
      </w:r>
      <w:bookmarkStart w:id="45917" w:name="_ETM_Q85_670000"/>
      <w:bookmarkEnd w:id="45917"/>
      <w:r>
        <w:rPr>
          <w:rFonts w:hint="cs"/>
          <w:rtl/>
        </w:rPr>
        <w:t xml:space="preserve">אמר </w:t>
      </w:r>
      <w:bookmarkStart w:id="45918" w:name="_ETM_Q85_670390"/>
      <w:bookmarkEnd w:id="45918"/>
      <w:r>
        <w:rPr>
          <w:rFonts w:hint="cs"/>
          <w:rtl/>
        </w:rPr>
        <w:t xml:space="preserve">שהוא </w:t>
      </w:r>
      <w:bookmarkStart w:id="45919" w:name="_ETM_Q85_670569"/>
      <w:bookmarkEnd w:id="45919"/>
      <w:r>
        <w:rPr>
          <w:rFonts w:hint="cs"/>
          <w:rtl/>
        </w:rPr>
        <w:t xml:space="preserve">מזלזל </w:t>
      </w:r>
      <w:bookmarkStart w:id="45920" w:name="_ETM_Q85_671050"/>
      <w:bookmarkEnd w:id="45920"/>
      <w:r>
        <w:rPr>
          <w:rFonts w:hint="cs"/>
          <w:rtl/>
        </w:rPr>
        <w:t xml:space="preserve">בפחדים </w:t>
      </w:r>
      <w:bookmarkStart w:id="45921" w:name="_ETM_Q85_671470"/>
      <w:bookmarkEnd w:id="45921"/>
      <w:r>
        <w:rPr>
          <w:rFonts w:hint="cs"/>
          <w:rtl/>
        </w:rPr>
        <w:t xml:space="preserve">של </w:t>
      </w:r>
      <w:bookmarkStart w:id="45922" w:name="_ETM_Q85_671620"/>
      <w:bookmarkEnd w:id="45922"/>
      <w:r>
        <w:rPr>
          <w:rFonts w:hint="cs"/>
          <w:rtl/>
        </w:rPr>
        <w:t xml:space="preserve">הציבור. </w:t>
      </w:r>
      <w:bookmarkStart w:id="45923" w:name="_ETM_Q85_673950"/>
      <w:bookmarkEnd w:id="45923"/>
      <w:r>
        <w:rPr>
          <w:rFonts w:hint="cs"/>
          <w:rtl/>
        </w:rPr>
        <w:t xml:space="preserve">אדוני </w:t>
      </w:r>
      <w:bookmarkStart w:id="45924" w:name="_ETM_Q85_674280"/>
      <w:bookmarkEnd w:id="45924"/>
      <w:r>
        <w:rPr>
          <w:rFonts w:hint="cs"/>
          <w:rtl/>
        </w:rPr>
        <w:t xml:space="preserve">שמחה </w:t>
      </w:r>
      <w:bookmarkStart w:id="45925" w:name="_ETM_Q85_674640"/>
      <w:bookmarkEnd w:id="45925"/>
      <w:r>
        <w:rPr>
          <w:rFonts w:hint="cs"/>
          <w:rtl/>
        </w:rPr>
        <w:t xml:space="preserve">רוטמן, </w:t>
      </w:r>
      <w:bookmarkStart w:id="45926" w:name="_ETM_Q85_676930"/>
      <w:bookmarkEnd w:id="45926"/>
      <w:r>
        <w:rPr>
          <w:rFonts w:hint="cs"/>
          <w:rtl/>
        </w:rPr>
        <w:t xml:space="preserve">ישבתי </w:t>
      </w:r>
      <w:bookmarkStart w:id="45927" w:name="_ETM_Q85_677440"/>
      <w:bookmarkEnd w:id="45927"/>
      <w:r>
        <w:rPr>
          <w:rFonts w:hint="cs"/>
          <w:rtl/>
        </w:rPr>
        <w:t xml:space="preserve">בוועדה </w:t>
      </w:r>
      <w:bookmarkStart w:id="45928" w:name="_ETM_Q85_677920"/>
      <w:bookmarkEnd w:id="45928"/>
      <w:r>
        <w:rPr>
          <w:rFonts w:hint="cs"/>
          <w:rtl/>
        </w:rPr>
        <w:t xml:space="preserve">שלך </w:t>
      </w:r>
      <w:bookmarkStart w:id="45929" w:name="_ETM_Q85_678520"/>
      <w:bookmarkEnd w:id="45929"/>
      <w:r>
        <w:rPr>
          <w:rFonts w:hint="cs"/>
          <w:rtl/>
        </w:rPr>
        <w:t xml:space="preserve">שעות </w:t>
      </w:r>
      <w:bookmarkStart w:id="45930" w:name="_ETM_Q85_679090"/>
      <w:bookmarkEnd w:id="45930"/>
      <w:r>
        <w:rPr>
          <w:rFonts w:hint="cs"/>
          <w:rtl/>
        </w:rPr>
        <w:t xml:space="preserve">על </w:t>
      </w:r>
      <w:bookmarkStart w:id="45931" w:name="_ETM_Q85_679180"/>
      <w:bookmarkEnd w:id="45931"/>
      <w:r>
        <w:rPr>
          <w:rFonts w:hint="cs"/>
          <w:rtl/>
        </w:rPr>
        <w:t xml:space="preserve">גבי </w:t>
      </w:r>
      <w:bookmarkStart w:id="45932" w:name="_ETM_Q85_679420"/>
      <w:bookmarkEnd w:id="45932"/>
      <w:r>
        <w:rPr>
          <w:rFonts w:hint="cs"/>
          <w:rtl/>
        </w:rPr>
        <w:t xml:space="preserve">שעות </w:t>
      </w:r>
      <w:bookmarkStart w:id="45933" w:name="_ETM_Q85_681129"/>
      <w:bookmarkEnd w:id="45933"/>
      <w:r>
        <w:rPr>
          <w:rFonts w:hint="cs"/>
          <w:rtl/>
        </w:rPr>
        <w:t xml:space="preserve">ולמדתי </w:t>
      </w:r>
      <w:bookmarkStart w:id="45934" w:name="_ETM_Q85_681700"/>
      <w:bookmarkEnd w:id="45934"/>
      <w:r>
        <w:rPr>
          <w:rFonts w:hint="cs"/>
          <w:rtl/>
        </w:rPr>
        <w:t xml:space="preserve">שני </w:t>
      </w:r>
      <w:bookmarkStart w:id="45935" w:name="_ETM_Q85_681910"/>
      <w:bookmarkEnd w:id="45935"/>
      <w:r>
        <w:rPr>
          <w:rFonts w:hint="cs"/>
          <w:rtl/>
        </w:rPr>
        <w:t xml:space="preserve">דברים: </w:t>
      </w:r>
      <w:bookmarkStart w:id="45936" w:name="_ETM_Q85_682780"/>
      <w:bookmarkEnd w:id="45936"/>
      <w:r>
        <w:rPr>
          <w:rFonts w:hint="cs"/>
          <w:rtl/>
        </w:rPr>
        <w:t xml:space="preserve">האחד, </w:t>
      </w:r>
      <w:bookmarkStart w:id="45937" w:name="_ETM_Q85_683000"/>
      <w:bookmarkEnd w:id="45937"/>
      <w:r>
        <w:rPr>
          <w:rFonts w:hint="cs"/>
          <w:rtl/>
        </w:rPr>
        <w:t xml:space="preserve">שאתה </w:t>
      </w:r>
      <w:bookmarkStart w:id="45938" w:name="_ETM_Q85_685459"/>
      <w:bookmarkEnd w:id="45938"/>
      <w:r>
        <w:rPr>
          <w:rFonts w:hint="cs"/>
          <w:rtl/>
        </w:rPr>
        <w:t xml:space="preserve">אדם </w:t>
      </w:r>
      <w:bookmarkStart w:id="45939" w:name="_ETM_Q85_686000"/>
      <w:bookmarkEnd w:id="45939"/>
      <w:r>
        <w:rPr>
          <w:rFonts w:hint="cs"/>
          <w:rtl/>
        </w:rPr>
        <w:t xml:space="preserve">מסוכן </w:t>
      </w:r>
      <w:bookmarkStart w:id="45940" w:name="_ETM_Q85_687510"/>
      <w:bookmarkEnd w:id="45940"/>
      <w:r>
        <w:rPr>
          <w:rFonts w:hint="cs"/>
          <w:rtl/>
        </w:rPr>
        <w:t xml:space="preserve">– אדם </w:t>
      </w:r>
      <w:bookmarkStart w:id="45941" w:name="_ETM_Q85_687989"/>
      <w:bookmarkEnd w:id="45941"/>
      <w:r>
        <w:rPr>
          <w:rFonts w:hint="cs"/>
          <w:rtl/>
        </w:rPr>
        <w:t xml:space="preserve">מסוכן </w:t>
      </w:r>
      <w:bookmarkStart w:id="45942" w:name="_ETM_Q85_688439"/>
      <w:bookmarkStart w:id="45943" w:name="_ETM_Q85_689040"/>
      <w:bookmarkEnd w:id="45942"/>
      <w:bookmarkEnd w:id="45943"/>
      <w:r>
        <w:rPr>
          <w:rFonts w:hint="cs"/>
          <w:rtl/>
        </w:rPr>
        <w:t xml:space="preserve">לממשלה </w:t>
      </w:r>
      <w:bookmarkStart w:id="45944" w:name="_ETM_Q85_689549"/>
      <w:bookmarkEnd w:id="45944"/>
      <w:r>
        <w:rPr>
          <w:rFonts w:hint="cs"/>
          <w:rtl/>
        </w:rPr>
        <w:t xml:space="preserve">הזאת, </w:t>
      </w:r>
      <w:bookmarkStart w:id="45945" w:name="_ETM_Q85_690389"/>
      <w:bookmarkEnd w:id="45945"/>
      <w:r>
        <w:rPr>
          <w:rFonts w:hint="cs"/>
          <w:rtl/>
        </w:rPr>
        <w:t xml:space="preserve">אדם </w:t>
      </w:r>
      <w:bookmarkStart w:id="45946" w:name="_ETM_Q85_690719"/>
      <w:bookmarkEnd w:id="45946"/>
      <w:r>
        <w:rPr>
          <w:rFonts w:hint="cs"/>
          <w:rtl/>
        </w:rPr>
        <w:t xml:space="preserve">מסוכן </w:t>
      </w:r>
      <w:bookmarkStart w:id="45947" w:name="_ETM_Q85_691260"/>
      <w:bookmarkEnd w:id="45947"/>
      <w:r>
        <w:rPr>
          <w:rFonts w:hint="cs"/>
          <w:rtl/>
        </w:rPr>
        <w:t xml:space="preserve">לחברה </w:t>
      </w:r>
      <w:bookmarkStart w:id="45948" w:name="_ETM_Q85_691650"/>
      <w:bookmarkEnd w:id="45948"/>
      <w:r>
        <w:rPr>
          <w:rFonts w:hint="cs"/>
          <w:rtl/>
        </w:rPr>
        <w:t xml:space="preserve">הישראלית, </w:t>
      </w:r>
      <w:bookmarkStart w:id="45949" w:name="_ETM_Q85_692840"/>
      <w:bookmarkEnd w:id="45949"/>
      <w:r>
        <w:rPr>
          <w:rFonts w:hint="cs"/>
          <w:rtl/>
        </w:rPr>
        <w:t xml:space="preserve">אדם </w:t>
      </w:r>
      <w:bookmarkStart w:id="45950" w:name="_ETM_Q85_693260"/>
      <w:bookmarkEnd w:id="45950"/>
      <w:r>
        <w:rPr>
          <w:rFonts w:hint="cs"/>
          <w:rtl/>
        </w:rPr>
        <w:t xml:space="preserve">מסוכן </w:t>
      </w:r>
      <w:bookmarkStart w:id="45951" w:name="_ETM_Q85_693799"/>
      <w:bookmarkEnd w:id="45951"/>
      <w:r>
        <w:rPr>
          <w:rFonts w:hint="cs"/>
          <w:rtl/>
        </w:rPr>
        <w:t xml:space="preserve">לעתיד </w:t>
      </w:r>
      <w:bookmarkStart w:id="45952" w:name="_ETM_Q85_694189"/>
      <w:bookmarkEnd w:id="45952"/>
      <w:r>
        <w:rPr>
          <w:rFonts w:hint="cs"/>
          <w:rtl/>
        </w:rPr>
        <w:t xml:space="preserve">הילדים </w:t>
      </w:r>
      <w:bookmarkStart w:id="45953" w:name="_ETM_Q85_694609"/>
      <w:bookmarkEnd w:id="45953"/>
      <w:r>
        <w:rPr>
          <w:rFonts w:hint="cs"/>
          <w:rtl/>
        </w:rPr>
        <w:t xml:space="preserve">שלנו. </w:t>
      </w:r>
      <w:bookmarkStart w:id="45954" w:name="_ETM_Q85_695659"/>
      <w:bookmarkEnd w:id="45954"/>
      <w:r>
        <w:rPr>
          <w:rFonts w:hint="cs"/>
          <w:rtl/>
        </w:rPr>
        <w:t xml:space="preserve">ולמה </w:t>
      </w:r>
      <w:bookmarkStart w:id="45955" w:name="_ETM_Q85_696049"/>
      <w:bookmarkEnd w:id="45955"/>
      <w:r>
        <w:rPr>
          <w:rFonts w:hint="cs"/>
          <w:rtl/>
        </w:rPr>
        <w:t xml:space="preserve">אתה </w:t>
      </w:r>
      <w:bookmarkStart w:id="45956" w:name="_ETM_Q85_696199"/>
      <w:bookmarkEnd w:id="45956"/>
      <w:r>
        <w:rPr>
          <w:rFonts w:hint="cs"/>
          <w:rtl/>
        </w:rPr>
        <w:t xml:space="preserve">מסוכן? </w:t>
      </w:r>
      <w:bookmarkStart w:id="45957" w:name="_ETM_Q85_697709"/>
      <w:bookmarkEnd w:id="45957"/>
      <w:r>
        <w:rPr>
          <w:rFonts w:hint="cs"/>
          <w:rtl/>
        </w:rPr>
        <w:t xml:space="preserve">כי </w:t>
      </w:r>
      <w:bookmarkStart w:id="45958" w:name="_ETM_Q85_697980"/>
      <w:bookmarkEnd w:id="45958"/>
      <w:r>
        <w:rPr>
          <w:rFonts w:hint="cs"/>
          <w:rtl/>
        </w:rPr>
        <w:t xml:space="preserve">אתה </w:t>
      </w:r>
      <w:bookmarkStart w:id="45959" w:name="_ETM_Q85_698609"/>
      <w:bookmarkEnd w:id="45959"/>
      <w:r>
        <w:rPr>
          <w:rFonts w:hint="cs"/>
          <w:rtl/>
        </w:rPr>
        <w:t xml:space="preserve">לא </w:t>
      </w:r>
      <w:bookmarkStart w:id="45960" w:name="_ETM_Q85_699120"/>
      <w:bookmarkEnd w:id="45960"/>
      <w:r>
        <w:rPr>
          <w:rFonts w:hint="cs"/>
          <w:rtl/>
        </w:rPr>
        <w:t xml:space="preserve">מקשיב </w:t>
      </w:r>
      <w:bookmarkStart w:id="45961" w:name="_ETM_Q85_699689"/>
      <w:bookmarkEnd w:id="45961"/>
      <w:r>
        <w:rPr>
          <w:rFonts w:hint="cs"/>
          <w:rtl/>
        </w:rPr>
        <w:t>לאף</w:t>
      </w:r>
      <w:bookmarkStart w:id="45962" w:name="_ETM_Q85_699929"/>
      <w:bookmarkEnd w:id="45962"/>
      <w:r>
        <w:rPr>
          <w:rFonts w:hint="cs"/>
          <w:rtl/>
        </w:rPr>
        <w:t xml:space="preserve"> אחד. </w:t>
      </w:r>
      <w:bookmarkStart w:id="45963" w:name="_ETM_Q85_701160"/>
      <w:bookmarkEnd w:id="45963"/>
      <w:r>
        <w:rPr>
          <w:rFonts w:hint="cs"/>
          <w:rtl/>
        </w:rPr>
        <w:t xml:space="preserve">במשך </w:t>
      </w:r>
      <w:bookmarkStart w:id="45964" w:name="_ETM_Q85_701910"/>
      <w:bookmarkEnd w:id="45964"/>
      <w:r>
        <w:rPr>
          <w:rFonts w:hint="cs"/>
          <w:rtl/>
        </w:rPr>
        <w:t xml:space="preserve">ימים </w:t>
      </w:r>
      <w:bookmarkStart w:id="45965" w:name="_ETM_Q85_702450"/>
      <w:bookmarkEnd w:id="45965"/>
      <w:r>
        <w:rPr>
          <w:rFonts w:hint="cs"/>
          <w:rtl/>
        </w:rPr>
        <w:t xml:space="preserve">רבים </w:t>
      </w:r>
      <w:bookmarkStart w:id="45966" w:name="_ETM_Q85_703489"/>
      <w:bookmarkEnd w:id="45966"/>
      <w:r>
        <w:rPr>
          <w:rFonts w:hint="cs"/>
          <w:rtl/>
        </w:rPr>
        <w:t xml:space="preserve">ניסו </w:t>
      </w:r>
      <w:bookmarkStart w:id="45967" w:name="_ETM_Q85_703909"/>
      <w:bookmarkEnd w:id="45967"/>
      <w:r>
        <w:rPr>
          <w:rFonts w:hint="cs"/>
          <w:rtl/>
        </w:rPr>
        <w:t xml:space="preserve">אנשים </w:t>
      </w:r>
      <w:bookmarkStart w:id="45968" w:name="_ETM_Q85_704659"/>
      <w:bookmarkEnd w:id="45968"/>
      <w:r>
        <w:rPr>
          <w:rFonts w:hint="cs"/>
          <w:rtl/>
        </w:rPr>
        <w:t xml:space="preserve">– ולא </w:t>
      </w:r>
      <w:bookmarkStart w:id="45969" w:name="_ETM_Q85_704959"/>
      <w:bookmarkEnd w:id="45969"/>
      <w:r>
        <w:rPr>
          <w:rFonts w:hint="cs"/>
          <w:rtl/>
        </w:rPr>
        <w:t xml:space="preserve">רק </w:t>
      </w:r>
      <w:bookmarkStart w:id="45970" w:name="_ETM_Q85_705139"/>
      <w:bookmarkEnd w:id="45970"/>
      <w:r>
        <w:rPr>
          <w:rFonts w:hint="cs"/>
          <w:rtl/>
        </w:rPr>
        <w:t xml:space="preserve">חברי </w:t>
      </w:r>
      <w:bookmarkStart w:id="45971" w:name="_ETM_Q85_705349"/>
      <w:bookmarkEnd w:id="45971"/>
      <w:r>
        <w:rPr>
          <w:rFonts w:hint="cs"/>
          <w:rtl/>
        </w:rPr>
        <w:t xml:space="preserve">כנסת; </w:t>
      </w:r>
      <w:bookmarkStart w:id="45972" w:name="_ETM_Q85_706380"/>
      <w:bookmarkEnd w:id="45972"/>
      <w:r>
        <w:rPr>
          <w:rFonts w:hint="cs"/>
          <w:rtl/>
        </w:rPr>
        <w:t xml:space="preserve">המומחים </w:t>
      </w:r>
      <w:bookmarkStart w:id="45973" w:name="_ETM_Q85_708239"/>
      <w:bookmarkEnd w:id="45973"/>
      <w:r>
        <w:rPr>
          <w:rFonts w:hint="cs"/>
          <w:rtl/>
        </w:rPr>
        <w:t xml:space="preserve">הגדולים </w:t>
      </w:r>
      <w:bookmarkStart w:id="45974" w:name="_ETM_Q85_708720"/>
      <w:bookmarkEnd w:id="45974"/>
      <w:r>
        <w:rPr>
          <w:rFonts w:hint="cs"/>
          <w:rtl/>
        </w:rPr>
        <w:t xml:space="preserve">ביותר </w:t>
      </w:r>
      <w:bookmarkStart w:id="45975" w:name="_ETM_Q85_709260"/>
      <w:bookmarkEnd w:id="45975"/>
      <w:r>
        <w:rPr>
          <w:rFonts w:hint="cs"/>
          <w:rtl/>
        </w:rPr>
        <w:t xml:space="preserve">במערכת </w:t>
      </w:r>
      <w:bookmarkStart w:id="45976" w:name="_ETM_Q85_709679"/>
      <w:bookmarkEnd w:id="45976"/>
      <w:r>
        <w:rPr>
          <w:rFonts w:hint="cs"/>
          <w:rtl/>
        </w:rPr>
        <w:t xml:space="preserve">המשפט, </w:t>
      </w:r>
      <w:bookmarkStart w:id="45977" w:name="_ETM_Q85_711000"/>
      <w:bookmarkEnd w:id="45977"/>
      <w:r>
        <w:rPr>
          <w:rFonts w:hint="cs"/>
          <w:rtl/>
        </w:rPr>
        <w:t xml:space="preserve">במערכת </w:t>
      </w:r>
      <w:bookmarkStart w:id="45978" w:name="_ETM_Q85_711450"/>
      <w:bookmarkEnd w:id="45978"/>
      <w:r>
        <w:rPr>
          <w:rFonts w:hint="cs"/>
          <w:rtl/>
        </w:rPr>
        <w:t xml:space="preserve">הביטחונית, </w:t>
      </w:r>
      <w:bookmarkStart w:id="45979" w:name="_ETM_Q85_712260"/>
      <w:bookmarkEnd w:id="45979"/>
      <w:r>
        <w:rPr>
          <w:rFonts w:hint="cs"/>
          <w:rtl/>
        </w:rPr>
        <w:t xml:space="preserve">בכלכלה, </w:t>
      </w:r>
      <w:bookmarkStart w:id="45980" w:name="_ETM_Q85_713100"/>
      <w:bookmarkEnd w:id="45980"/>
      <w:r>
        <w:rPr>
          <w:rFonts w:hint="cs"/>
          <w:rtl/>
        </w:rPr>
        <w:t xml:space="preserve">בהייטק, </w:t>
      </w:r>
      <w:bookmarkStart w:id="45981" w:name="_ETM_Q85_713790"/>
      <w:bookmarkEnd w:id="45981"/>
      <w:r>
        <w:rPr>
          <w:rFonts w:hint="cs"/>
          <w:rtl/>
        </w:rPr>
        <w:t xml:space="preserve">בחינוך </w:t>
      </w:r>
      <w:bookmarkStart w:id="45982" w:name="_ETM_Q85_715120"/>
      <w:bookmarkEnd w:id="45982"/>
      <w:r>
        <w:rPr>
          <w:rFonts w:hint="cs"/>
          <w:rtl/>
        </w:rPr>
        <w:t xml:space="preserve">– לבוא </w:t>
      </w:r>
      <w:bookmarkStart w:id="45983" w:name="_ETM_Q85_715779"/>
      <w:bookmarkEnd w:id="45983"/>
      <w:r>
        <w:rPr>
          <w:rFonts w:hint="cs"/>
          <w:rtl/>
        </w:rPr>
        <w:t xml:space="preserve">ולהסביר </w:t>
      </w:r>
      <w:bookmarkStart w:id="45984" w:name="_ETM_Q85_716769"/>
      <w:bookmarkEnd w:id="45984"/>
      <w:r>
        <w:rPr>
          <w:rFonts w:hint="cs"/>
          <w:rtl/>
        </w:rPr>
        <w:t xml:space="preserve">כמה </w:t>
      </w:r>
      <w:bookmarkStart w:id="45985" w:name="_ETM_Q85_717219"/>
      <w:bookmarkEnd w:id="45985"/>
      <w:r>
        <w:rPr>
          <w:rFonts w:hint="cs"/>
          <w:rtl/>
        </w:rPr>
        <w:t xml:space="preserve">המהלך </w:t>
      </w:r>
      <w:bookmarkStart w:id="45986" w:name="_ETM_Q85_717730"/>
      <w:bookmarkEnd w:id="45986"/>
      <w:r>
        <w:rPr>
          <w:rFonts w:hint="cs"/>
          <w:rtl/>
        </w:rPr>
        <w:t xml:space="preserve">שלך </w:t>
      </w:r>
      <w:bookmarkStart w:id="45987" w:name="_ETM_Q85_718569"/>
      <w:bookmarkEnd w:id="45987"/>
      <w:r>
        <w:rPr>
          <w:rFonts w:hint="cs"/>
          <w:rtl/>
        </w:rPr>
        <w:t xml:space="preserve">מסוכן, כמה </w:t>
      </w:r>
      <w:bookmarkStart w:id="45988" w:name="_ETM_Q85_720609"/>
      <w:bookmarkEnd w:id="45988"/>
      <w:r>
        <w:rPr>
          <w:rFonts w:hint="cs"/>
          <w:rtl/>
        </w:rPr>
        <w:t xml:space="preserve">המהלך </w:t>
      </w:r>
      <w:bookmarkStart w:id="45989" w:name="_ETM_Q85_720999"/>
      <w:bookmarkEnd w:id="45989"/>
      <w:r>
        <w:rPr>
          <w:rFonts w:hint="cs"/>
          <w:rtl/>
        </w:rPr>
        <w:t xml:space="preserve">שלך </w:t>
      </w:r>
      <w:bookmarkStart w:id="45990" w:name="_ETM_Q85_721359"/>
      <w:bookmarkEnd w:id="45990"/>
      <w:r>
        <w:rPr>
          <w:rFonts w:hint="cs"/>
          <w:rtl/>
        </w:rPr>
        <w:t xml:space="preserve">יפגע </w:t>
      </w:r>
      <w:bookmarkStart w:id="45991" w:name="_ETM_Q85_721779"/>
      <w:bookmarkEnd w:id="45991"/>
      <w:r>
        <w:rPr>
          <w:rFonts w:hint="cs"/>
          <w:rtl/>
        </w:rPr>
        <w:t xml:space="preserve">בעתיד </w:t>
      </w:r>
      <w:bookmarkStart w:id="45992" w:name="_ETM_Q85_722260"/>
      <w:bookmarkEnd w:id="45992"/>
      <w:r>
        <w:rPr>
          <w:rFonts w:hint="cs"/>
          <w:rtl/>
        </w:rPr>
        <w:t xml:space="preserve">מדינת </w:t>
      </w:r>
      <w:bookmarkStart w:id="45993" w:name="_ETM_Q85_722679"/>
      <w:bookmarkEnd w:id="45993"/>
      <w:r>
        <w:rPr>
          <w:rFonts w:hint="cs"/>
          <w:rtl/>
        </w:rPr>
        <w:t xml:space="preserve">ישראל. </w:t>
      </w:r>
      <w:bookmarkStart w:id="45994" w:name="_ETM_Q85_724000"/>
      <w:bookmarkEnd w:id="45994"/>
      <w:r>
        <w:rPr>
          <w:rFonts w:hint="cs"/>
          <w:rtl/>
        </w:rPr>
        <w:t xml:space="preserve">הדבר </w:t>
      </w:r>
      <w:bookmarkStart w:id="45995" w:name="_ETM_Q85_724540"/>
      <w:bookmarkEnd w:id="45995"/>
      <w:r>
        <w:rPr>
          <w:rFonts w:hint="cs"/>
          <w:rtl/>
        </w:rPr>
        <w:t xml:space="preserve">היחידי </w:t>
      </w:r>
      <w:bookmarkStart w:id="45996" w:name="_ETM_Q85_724900"/>
      <w:bookmarkEnd w:id="45996"/>
      <w:r>
        <w:rPr>
          <w:rFonts w:hint="cs"/>
          <w:rtl/>
        </w:rPr>
        <w:t xml:space="preserve">שעשית </w:t>
      </w:r>
      <w:bookmarkStart w:id="45997" w:name="_ETM_Q85_725879"/>
      <w:bookmarkEnd w:id="45997"/>
      <w:r>
        <w:rPr>
          <w:rFonts w:hint="cs"/>
          <w:rtl/>
        </w:rPr>
        <w:t xml:space="preserve">זה </w:t>
      </w:r>
      <w:bookmarkStart w:id="45998" w:name="_ETM_Q85_726150"/>
      <w:bookmarkEnd w:id="45998"/>
      <w:r>
        <w:rPr>
          <w:rFonts w:hint="cs"/>
          <w:rtl/>
        </w:rPr>
        <w:t xml:space="preserve">פשוט </w:t>
      </w:r>
      <w:bookmarkStart w:id="45999" w:name="_ETM_Q85_726510"/>
      <w:bookmarkEnd w:id="45999"/>
      <w:r>
        <w:rPr>
          <w:rFonts w:hint="cs"/>
          <w:rtl/>
        </w:rPr>
        <w:t xml:space="preserve">להעיף </w:t>
      </w:r>
      <w:bookmarkStart w:id="46000" w:name="_ETM_Q85_727519"/>
      <w:bookmarkEnd w:id="46000"/>
      <w:r>
        <w:rPr>
          <w:rFonts w:hint="cs"/>
          <w:rtl/>
        </w:rPr>
        <w:t xml:space="preserve">מהוועדה </w:t>
      </w:r>
      <w:bookmarkStart w:id="46001" w:name="_ETM_Q85_729010"/>
      <w:bookmarkEnd w:id="46001"/>
      <w:r>
        <w:rPr>
          <w:rFonts w:hint="cs"/>
          <w:rtl/>
        </w:rPr>
        <w:t xml:space="preserve">חבר </w:t>
      </w:r>
      <w:bookmarkStart w:id="46002" w:name="_ETM_Q85_729459"/>
      <w:bookmarkEnd w:id="46002"/>
      <w:r>
        <w:rPr>
          <w:rFonts w:hint="cs"/>
          <w:rtl/>
        </w:rPr>
        <w:t xml:space="preserve">כנסת </w:t>
      </w:r>
      <w:bookmarkStart w:id="46003" w:name="_ETM_Q85_729849"/>
      <w:bookmarkEnd w:id="46003"/>
      <w:r>
        <w:rPr>
          <w:rFonts w:hint="cs"/>
          <w:rtl/>
        </w:rPr>
        <w:t xml:space="preserve">אחרי </w:t>
      </w:r>
      <w:bookmarkStart w:id="46004" w:name="_ETM_Q85_730030"/>
      <w:bookmarkEnd w:id="46004"/>
      <w:r>
        <w:rPr>
          <w:rFonts w:hint="cs"/>
          <w:rtl/>
        </w:rPr>
        <w:t xml:space="preserve">חבר </w:t>
      </w:r>
      <w:bookmarkStart w:id="46005" w:name="_ETM_Q85_730329"/>
      <w:bookmarkEnd w:id="46005"/>
      <w:r>
        <w:rPr>
          <w:rFonts w:hint="cs"/>
          <w:rtl/>
        </w:rPr>
        <w:t xml:space="preserve">כנסת, </w:t>
      </w:r>
      <w:bookmarkStart w:id="46006" w:name="_ETM_Q85_731200"/>
      <w:bookmarkEnd w:id="46006"/>
      <w:r>
        <w:rPr>
          <w:rFonts w:hint="cs"/>
          <w:rtl/>
        </w:rPr>
        <w:t xml:space="preserve">מומחה </w:t>
      </w:r>
      <w:bookmarkStart w:id="46007" w:name="_ETM_Q85_731980"/>
      <w:bookmarkEnd w:id="46007"/>
      <w:r>
        <w:rPr>
          <w:rFonts w:hint="cs"/>
          <w:rtl/>
        </w:rPr>
        <w:t xml:space="preserve">אחר מומחה. </w:t>
      </w:r>
      <w:bookmarkStart w:id="46008" w:name="_ETM_Q85_732959"/>
      <w:bookmarkEnd w:id="46008"/>
      <w:r>
        <w:rPr>
          <w:rFonts w:hint="cs"/>
          <w:rtl/>
        </w:rPr>
        <w:t xml:space="preserve">לא </w:t>
      </w:r>
      <w:bookmarkStart w:id="46009" w:name="_ETM_Q85_733170"/>
      <w:bookmarkEnd w:id="46009"/>
      <w:r>
        <w:rPr>
          <w:rFonts w:hint="cs"/>
          <w:rtl/>
        </w:rPr>
        <w:t xml:space="preserve">הסכמת </w:t>
      </w:r>
      <w:bookmarkStart w:id="46010" w:name="_ETM_Q85_733800"/>
      <w:bookmarkEnd w:id="46010"/>
      <w:r>
        <w:rPr>
          <w:rFonts w:hint="cs"/>
          <w:rtl/>
        </w:rPr>
        <w:t xml:space="preserve">להקשיב </w:t>
      </w:r>
      <w:bookmarkStart w:id="46011" w:name="_ETM_Q85_734309"/>
      <w:bookmarkEnd w:id="46011"/>
      <w:r>
        <w:rPr>
          <w:rFonts w:hint="cs"/>
          <w:rtl/>
        </w:rPr>
        <w:t xml:space="preserve">לאף </w:t>
      </w:r>
      <w:bookmarkStart w:id="46012" w:name="_ETM_Q85_734550"/>
      <w:bookmarkStart w:id="46013" w:name="_ETM_Q85_735490"/>
      <w:bookmarkEnd w:id="46012"/>
      <w:bookmarkEnd w:id="46013"/>
      <w:r>
        <w:rPr>
          <w:rFonts w:hint="cs"/>
          <w:rtl/>
        </w:rPr>
        <w:t xml:space="preserve">אחד. לא </w:t>
      </w:r>
      <w:bookmarkStart w:id="46014" w:name="_ETM_Q85_735700"/>
      <w:bookmarkEnd w:id="46014"/>
      <w:r>
        <w:rPr>
          <w:rFonts w:hint="cs"/>
          <w:rtl/>
        </w:rPr>
        <w:t xml:space="preserve">הסכמת </w:t>
      </w:r>
      <w:bookmarkStart w:id="46015" w:name="_ETM_Q85_736419"/>
      <w:bookmarkEnd w:id="46015"/>
      <w:r>
        <w:rPr>
          <w:rFonts w:hint="cs"/>
          <w:rtl/>
        </w:rPr>
        <w:t xml:space="preserve">להפנים </w:t>
      </w:r>
      <w:bookmarkStart w:id="46016" w:name="_ETM_Q85_737350"/>
      <w:bookmarkEnd w:id="46016"/>
      <w:r>
        <w:rPr>
          <w:rFonts w:hint="cs"/>
          <w:rtl/>
        </w:rPr>
        <w:t xml:space="preserve">שיש </w:t>
      </w:r>
      <w:bookmarkStart w:id="46017" w:name="_ETM_Q85_737950"/>
      <w:bookmarkEnd w:id="46017"/>
      <w:r>
        <w:rPr>
          <w:rFonts w:hint="cs"/>
          <w:rtl/>
        </w:rPr>
        <w:t xml:space="preserve">אנשים </w:t>
      </w:r>
      <w:bookmarkStart w:id="46018" w:name="_ETM_Q85_738730"/>
      <w:bookmarkEnd w:id="46018"/>
      <w:r>
        <w:rPr>
          <w:rFonts w:hint="cs"/>
          <w:rtl/>
        </w:rPr>
        <w:t xml:space="preserve">שיודעים </w:t>
      </w:r>
      <w:bookmarkStart w:id="46019" w:name="_ETM_Q85_739660"/>
      <w:bookmarkEnd w:id="46019"/>
      <w:r>
        <w:rPr>
          <w:rFonts w:hint="cs"/>
          <w:rtl/>
        </w:rPr>
        <w:t xml:space="preserve">יותר </w:t>
      </w:r>
      <w:bookmarkStart w:id="46020" w:name="_ETM_Q85_740110"/>
      <w:bookmarkEnd w:id="46020"/>
      <w:r>
        <w:rPr>
          <w:rFonts w:hint="cs"/>
          <w:rtl/>
        </w:rPr>
        <w:t xml:space="preserve">טוב </w:t>
      </w:r>
      <w:bookmarkStart w:id="46021" w:name="_ETM_Q85_740380"/>
      <w:bookmarkEnd w:id="46021"/>
      <w:r>
        <w:rPr>
          <w:rFonts w:hint="cs"/>
          <w:rtl/>
        </w:rPr>
        <w:t xml:space="preserve">ממך. </w:t>
      </w:r>
      <w:bookmarkStart w:id="46022" w:name="_ETM_Q85_741520"/>
      <w:bookmarkEnd w:id="46022"/>
      <w:r>
        <w:rPr>
          <w:rFonts w:hint="cs"/>
          <w:rtl/>
        </w:rPr>
        <w:t xml:space="preserve">אתה </w:t>
      </w:r>
      <w:bookmarkStart w:id="46023" w:name="_ETM_Q85_741760"/>
      <w:bookmarkEnd w:id="46023"/>
      <w:r>
        <w:rPr>
          <w:rFonts w:hint="cs"/>
          <w:rtl/>
        </w:rPr>
        <w:t xml:space="preserve">יודע </w:t>
      </w:r>
      <w:bookmarkStart w:id="46024" w:name="_ETM_Q85_742210"/>
      <w:bookmarkEnd w:id="46024"/>
      <w:r>
        <w:rPr>
          <w:rFonts w:hint="cs"/>
          <w:rtl/>
        </w:rPr>
        <w:t xml:space="preserve">הכול, </w:t>
      </w:r>
      <w:bookmarkStart w:id="46025" w:name="_ETM_Q85_742750"/>
      <w:bookmarkEnd w:id="46025"/>
      <w:r>
        <w:rPr>
          <w:rFonts w:hint="cs"/>
          <w:rtl/>
        </w:rPr>
        <w:t xml:space="preserve">אתה </w:t>
      </w:r>
      <w:bookmarkStart w:id="46026" w:name="_ETM_Q85_742990"/>
      <w:bookmarkEnd w:id="46026"/>
      <w:r>
        <w:rPr>
          <w:rFonts w:hint="cs"/>
          <w:rtl/>
        </w:rPr>
        <w:t xml:space="preserve">הכי </w:t>
      </w:r>
      <w:bookmarkStart w:id="46027" w:name="_ETM_Q85_743200"/>
      <w:bookmarkEnd w:id="46027"/>
      <w:r>
        <w:rPr>
          <w:rFonts w:hint="cs"/>
          <w:rtl/>
        </w:rPr>
        <w:t xml:space="preserve">חכם, </w:t>
      </w:r>
      <w:bookmarkStart w:id="46028" w:name="_ETM_Q85_744040"/>
      <w:bookmarkEnd w:id="46028"/>
      <w:r>
        <w:rPr>
          <w:rFonts w:hint="cs"/>
          <w:rtl/>
        </w:rPr>
        <w:t xml:space="preserve">אתה </w:t>
      </w:r>
      <w:bookmarkStart w:id="46029" w:name="_ETM_Q85_744309"/>
      <w:bookmarkEnd w:id="46029"/>
      <w:r>
        <w:rPr>
          <w:rFonts w:hint="cs"/>
          <w:rtl/>
        </w:rPr>
        <w:t xml:space="preserve">הכי </w:t>
      </w:r>
      <w:bookmarkStart w:id="46030" w:name="_ETM_Q85_744490"/>
      <w:bookmarkEnd w:id="46030"/>
      <w:r>
        <w:rPr>
          <w:rFonts w:hint="cs"/>
          <w:rtl/>
        </w:rPr>
        <w:t xml:space="preserve">נבון. </w:t>
      </w:r>
      <w:bookmarkStart w:id="46031" w:name="_ETM_Q85_745869"/>
      <w:bookmarkEnd w:id="46031"/>
      <w:r>
        <w:rPr>
          <w:rFonts w:hint="cs"/>
          <w:rtl/>
        </w:rPr>
        <w:t xml:space="preserve">אבל </w:t>
      </w:r>
      <w:bookmarkStart w:id="46032" w:name="_ETM_Q85_746080"/>
      <w:bookmarkEnd w:id="46032"/>
      <w:r>
        <w:rPr>
          <w:rFonts w:hint="cs"/>
          <w:rtl/>
        </w:rPr>
        <w:t xml:space="preserve">בוא </w:t>
      </w:r>
      <w:bookmarkStart w:id="46033" w:name="_ETM_Q85_746199"/>
      <w:bookmarkEnd w:id="46033"/>
      <w:r>
        <w:rPr>
          <w:rFonts w:hint="cs"/>
          <w:rtl/>
        </w:rPr>
        <w:t xml:space="preserve">אני </w:t>
      </w:r>
      <w:bookmarkStart w:id="46034" w:name="_ETM_Q85_746319"/>
      <w:bookmarkEnd w:id="46034"/>
      <w:r>
        <w:rPr>
          <w:rFonts w:hint="cs"/>
          <w:rtl/>
        </w:rPr>
        <w:t xml:space="preserve">אגיד </w:t>
      </w:r>
      <w:bookmarkStart w:id="46035" w:name="_ETM_Q85_746529"/>
      <w:bookmarkEnd w:id="46035"/>
      <w:r>
        <w:rPr>
          <w:rFonts w:hint="cs"/>
          <w:rtl/>
        </w:rPr>
        <w:t xml:space="preserve">לך, </w:t>
      </w:r>
      <w:bookmarkStart w:id="46036" w:name="_ETM_Q85_746740"/>
      <w:bookmarkEnd w:id="46036"/>
      <w:r>
        <w:rPr>
          <w:rFonts w:hint="cs"/>
          <w:rtl/>
        </w:rPr>
        <w:t xml:space="preserve">אתה </w:t>
      </w:r>
      <w:bookmarkStart w:id="46037" w:name="_ETM_Q85_746889"/>
      <w:bookmarkEnd w:id="46037"/>
      <w:r>
        <w:rPr>
          <w:rFonts w:hint="cs"/>
          <w:rtl/>
        </w:rPr>
        <w:t xml:space="preserve">לא. </w:t>
      </w:r>
      <w:bookmarkStart w:id="46038" w:name="_ETM_Q85_747610"/>
      <w:bookmarkEnd w:id="46038"/>
      <w:r>
        <w:rPr>
          <w:rFonts w:hint="cs"/>
          <w:rtl/>
        </w:rPr>
        <w:t xml:space="preserve">אתה </w:t>
      </w:r>
      <w:bookmarkStart w:id="46039" w:name="_ETM_Q85_747879"/>
      <w:bookmarkEnd w:id="46039"/>
      <w:r>
        <w:rPr>
          <w:rFonts w:hint="cs"/>
          <w:rtl/>
        </w:rPr>
        <w:t xml:space="preserve">לא </w:t>
      </w:r>
      <w:bookmarkStart w:id="46040" w:name="_ETM_Q85_747999"/>
      <w:bookmarkEnd w:id="46040"/>
      <w:r>
        <w:rPr>
          <w:rFonts w:hint="cs"/>
          <w:rtl/>
        </w:rPr>
        <w:t xml:space="preserve">הכי </w:t>
      </w:r>
      <w:bookmarkStart w:id="46041" w:name="_ETM_Q85_748179"/>
      <w:bookmarkEnd w:id="46041"/>
      <w:r>
        <w:rPr>
          <w:rFonts w:hint="cs"/>
          <w:rtl/>
        </w:rPr>
        <w:t xml:space="preserve">חכם </w:t>
      </w:r>
      <w:bookmarkStart w:id="46042" w:name="_ETM_Q85_749260"/>
      <w:bookmarkEnd w:id="46042"/>
      <w:r>
        <w:rPr>
          <w:rFonts w:hint="cs"/>
          <w:rtl/>
        </w:rPr>
        <w:t xml:space="preserve">ואין </w:t>
      </w:r>
      <w:bookmarkStart w:id="46043" w:name="_ETM_Q85_749500"/>
      <w:bookmarkEnd w:id="46043"/>
      <w:r>
        <w:rPr>
          <w:rFonts w:hint="cs"/>
          <w:rtl/>
        </w:rPr>
        <w:t xml:space="preserve">לך </w:t>
      </w:r>
      <w:bookmarkStart w:id="46044" w:name="_ETM_Q85_749740"/>
      <w:bookmarkEnd w:id="46044"/>
      <w:r>
        <w:rPr>
          <w:rFonts w:hint="cs"/>
          <w:rtl/>
        </w:rPr>
        <w:t xml:space="preserve">הכי </w:t>
      </w:r>
      <w:bookmarkStart w:id="46045" w:name="_ETM_Q85_749890"/>
      <w:bookmarkEnd w:id="46045"/>
      <w:r>
        <w:rPr>
          <w:rFonts w:hint="cs"/>
          <w:rtl/>
        </w:rPr>
        <w:t xml:space="preserve">הרבה </w:t>
      </w:r>
      <w:bookmarkStart w:id="46046" w:name="_ETM_Q85_750130"/>
      <w:bookmarkEnd w:id="46046"/>
      <w:r>
        <w:rPr>
          <w:rFonts w:hint="cs"/>
          <w:rtl/>
        </w:rPr>
        <w:t xml:space="preserve">ניסיון. </w:t>
      </w:r>
      <w:bookmarkStart w:id="46047" w:name="_ETM_Q85_751290"/>
      <w:bookmarkEnd w:id="46047"/>
      <w:r>
        <w:rPr>
          <w:rFonts w:hint="cs"/>
          <w:rtl/>
        </w:rPr>
        <w:t xml:space="preserve">דבר </w:t>
      </w:r>
      <w:bookmarkStart w:id="46048" w:name="_ETM_Q85_751650"/>
      <w:bookmarkEnd w:id="46048"/>
      <w:r>
        <w:rPr>
          <w:rFonts w:hint="cs"/>
          <w:rtl/>
        </w:rPr>
        <w:t xml:space="preserve">אחד </w:t>
      </w:r>
      <w:bookmarkStart w:id="46049" w:name="_ETM_Q85_751950"/>
      <w:bookmarkEnd w:id="46049"/>
      <w:r>
        <w:rPr>
          <w:rFonts w:hint="cs"/>
          <w:rtl/>
        </w:rPr>
        <w:t xml:space="preserve">אני </w:t>
      </w:r>
      <w:bookmarkStart w:id="46050" w:name="_ETM_Q85_752100"/>
      <w:bookmarkEnd w:id="46050"/>
      <w:r>
        <w:rPr>
          <w:rFonts w:hint="cs"/>
          <w:rtl/>
        </w:rPr>
        <w:t xml:space="preserve">יודע </w:t>
      </w:r>
      <w:bookmarkStart w:id="46051" w:name="_ETM_Q85_752370"/>
      <w:bookmarkEnd w:id="46051"/>
      <w:r>
        <w:rPr>
          <w:rFonts w:hint="cs"/>
          <w:rtl/>
        </w:rPr>
        <w:t xml:space="preserve">עליך: </w:t>
      </w:r>
      <w:bookmarkStart w:id="46052" w:name="_ETM_Q85_752790"/>
      <w:bookmarkEnd w:id="46052"/>
      <w:r>
        <w:rPr>
          <w:rFonts w:hint="cs"/>
          <w:rtl/>
        </w:rPr>
        <w:t xml:space="preserve">אתה </w:t>
      </w:r>
      <w:bookmarkStart w:id="46053" w:name="_ETM_Q85_753000"/>
      <w:bookmarkEnd w:id="46053"/>
      <w:r>
        <w:rPr>
          <w:rFonts w:hint="cs"/>
          <w:rtl/>
        </w:rPr>
        <w:t xml:space="preserve">שחצן </w:t>
      </w:r>
      <w:bookmarkStart w:id="46054" w:name="_ETM_Q85_754570"/>
      <w:bookmarkEnd w:id="46054"/>
      <w:r>
        <w:rPr>
          <w:rFonts w:hint="cs"/>
          <w:rtl/>
        </w:rPr>
        <w:t xml:space="preserve">ואתה </w:t>
      </w:r>
      <w:bookmarkStart w:id="46055" w:name="_ETM_Q85_754929"/>
      <w:bookmarkEnd w:id="46055"/>
      <w:r>
        <w:rPr>
          <w:rFonts w:hint="cs"/>
          <w:rtl/>
        </w:rPr>
        <w:t xml:space="preserve">אדם </w:t>
      </w:r>
      <w:bookmarkStart w:id="46056" w:name="_ETM_Q85_755230"/>
      <w:bookmarkEnd w:id="46056"/>
      <w:r>
        <w:rPr>
          <w:rFonts w:hint="cs"/>
          <w:rtl/>
        </w:rPr>
        <w:t xml:space="preserve">שלא </w:t>
      </w:r>
      <w:bookmarkStart w:id="46057" w:name="_ETM_Q85_755470"/>
      <w:bookmarkEnd w:id="46057"/>
      <w:r>
        <w:rPr>
          <w:rFonts w:hint="cs"/>
          <w:rtl/>
        </w:rPr>
        <w:t xml:space="preserve">מוכן </w:t>
      </w:r>
      <w:bookmarkStart w:id="46058" w:name="_ETM_Q85_755800"/>
      <w:bookmarkEnd w:id="46058"/>
      <w:r>
        <w:rPr>
          <w:rFonts w:hint="cs"/>
          <w:rtl/>
        </w:rPr>
        <w:t xml:space="preserve">להקשיב </w:t>
      </w:r>
      <w:bookmarkStart w:id="46059" w:name="_ETM_Q85_756160"/>
      <w:bookmarkEnd w:id="46059"/>
      <w:r>
        <w:rPr>
          <w:rFonts w:hint="cs"/>
          <w:rtl/>
        </w:rPr>
        <w:t xml:space="preserve">לאחרים </w:t>
      </w:r>
      <w:bookmarkStart w:id="46060" w:name="_ETM_Q85_757750"/>
      <w:bookmarkEnd w:id="46060"/>
      <w:r>
        <w:rPr>
          <w:rFonts w:hint="cs"/>
          <w:rtl/>
        </w:rPr>
        <w:t xml:space="preserve">ואתה </w:t>
      </w:r>
      <w:bookmarkStart w:id="46061" w:name="_ETM_Q85_758110"/>
      <w:bookmarkEnd w:id="46061"/>
      <w:r>
        <w:rPr>
          <w:rFonts w:hint="cs"/>
          <w:rtl/>
        </w:rPr>
        <w:t xml:space="preserve">מסוכן </w:t>
      </w:r>
      <w:bookmarkStart w:id="46062" w:name="_ETM_Q85_758860"/>
      <w:bookmarkEnd w:id="46062"/>
      <w:r>
        <w:rPr>
          <w:rFonts w:hint="cs"/>
          <w:rtl/>
        </w:rPr>
        <w:t xml:space="preserve">לעתיד </w:t>
      </w:r>
      <w:bookmarkStart w:id="46063" w:name="_ETM_Q85_759340"/>
      <w:bookmarkEnd w:id="46063"/>
      <w:r>
        <w:rPr>
          <w:rFonts w:hint="cs"/>
          <w:rtl/>
        </w:rPr>
        <w:t xml:space="preserve">מדינת </w:t>
      </w:r>
      <w:bookmarkStart w:id="46064" w:name="_ETM_Q85_759759"/>
      <w:bookmarkEnd w:id="46064"/>
      <w:r>
        <w:rPr>
          <w:rFonts w:hint="cs"/>
          <w:rtl/>
        </w:rPr>
        <w:t>ישראל.</w:t>
      </w:r>
      <w:bookmarkStart w:id="46065" w:name="_ETM_Q85_762000"/>
      <w:bookmarkStart w:id="46066" w:name="_ETM_Q85_761940"/>
      <w:bookmarkEnd w:id="46065"/>
      <w:bookmarkEnd w:id="46066"/>
      <w:r>
        <w:rPr>
          <w:rFonts w:hint="cs"/>
          <w:rtl/>
        </w:rPr>
        <w:t xml:space="preserve"> כנראה </w:t>
      </w:r>
      <w:bookmarkStart w:id="46067" w:name="_ETM_Q85_762300"/>
      <w:bookmarkEnd w:id="46067"/>
      <w:r>
        <w:rPr>
          <w:rFonts w:hint="cs"/>
          <w:rtl/>
        </w:rPr>
        <w:t xml:space="preserve">שהמשפט </w:t>
      </w:r>
      <w:bookmarkStart w:id="46068" w:name="_ETM_Q85_763850"/>
      <w:bookmarkEnd w:id="46068"/>
      <w:r>
        <w:rPr>
          <w:rFonts w:hint="cs"/>
          <w:rtl/>
        </w:rPr>
        <w:t xml:space="preserve">"משנכנס </w:t>
      </w:r>
      <w:bookmarkStart w:id="46069" w:name="_ETM_Q85_764630"/>
      <w:bookmarkEnd w:id="46069"/>
      <w:r>
        <w:rPr>
          <w:rFonts w:hint="cs"/>
          <w:rtl/>
        </w:rPr>
        <w:t xml:space="preserve">אב </w:t>
      </w:r>
      <w:bookmarkStart w:id="46070" w:name="_ETM_Q85_764929"/>
      <w:bookmarkEnd w:id="46070"/>
      <w:r>
        <w:rPr>
          <w:rFonts w:hint="cs"/>
          <w:rtl/>
        </w:rPr>
        <w:t xml:space="preserve">ממעיטים </w:t>
      </w:r>
      <w:bookmarkStart w:id="46071" w:name="_ETM_Q85_765530"/>
      <w:bookmarkEnd w:id="46071"/>
      <w:r>
        <w:rPr>
          <w:rFonts w:hint="cs"/>
          <w:rtl/>
        </w:rPr>
        <w:t xml:space="preserve">בשמחה" </w:t>
      </w:r>
      <w:bookmarkStart w:id="46072" w:name="_ETM_Q85_766070"/>
      <w:bookmarkEnd w:id="46072"/>
      <w:r>
        <w:rPr>
          <w:rFonts w:hint="cs"/>
          <w:rtl/>
        </w:rPr>
        <w:t xml:space="preserve">פחות </w:t>
      </w:r>
      <w:bookmarkStart w:id="46073" w:name="_ETM_Q85_766429"/>
      <w:bookmarkEnd w:id="46073"/>
      <w:r>
        <w:rPr>
          <w:rFonts w:hint="cs"/>
          <w:rtl/>
        </w:rPr>
        <w:t xml:space="preserve">מדבר </w:t>
      </w:r>
      <w:bookmarkStart w:id="46074" w:name="_ETM_Q85_766850"/>
      <w:bookmarkEnd w:id="46074"/>
      <w:r>
        <w:rPr>
          <w:rFonts w:hint="cs"/>
          <w:rtl/>
        </w:rPr>
        <w:t xml:space="preserve">אל </w:t>
      </w:r>
      <w:bookmarkStart w:id="46075" w:name="_ETM_Q85_766940"/>
      <w:bookmarkEnd w:id="46075"/>
      <w:r>
        <w:rPr>
          <w:rFonts w:hint="cs"/>
          <w:rtl/>
        </w:rPr>
        <w:t xml:space="preserve">מר </w:t>
      </w:r>
      <w:bookmarkStart w:id="46076" w:name="_ETM_Q85_767120"/>
      <w:bookmarkEnd w:id="46076"/>
      <w:r>
        <w:rPr>
          <w:rFonts w:hint="cs"/>
          <w:rtl/>
        </w:rPr>
        <w:t xml:space="preserve">רוטמן, </w:t>
      </w:r>
      <w:bookmarkStart w:id="46077" w:name="_ETM_Q85_768189"/>
      <w:bookmarkEnd w:id="46077"/>
      <w:r>
        <w:rPr>
          <w:rFonts w:hint="cs"/>
          <w:rtl/>
        </w:rPr>
        <w:t xml:space="preserve">שמאוד </w:t>
      </w:r>
      <w:bookmarkStart w:id="46078" w:name="_ETM_Q85_768699"/>
      <w:bookmarkEnd w:id="46078"/>
      <w:r>
        <w:rPr>
          <w:rFonts w:hint="cs"/>
          <w:rtl/>
        </w:rPr>
        <w:t xml:space="preserve">עולץ </w:t>
      </w:r>
      <w:bookmarkStart w:id="46079" w:name="_ETM_Q85_769059"/>
      <w:bookmarkEnd w:id="46079"/>
      <w:r>
        <w:rPr>
          <w:rFonts w:hint="cs"/>
          <w:rtl/>
        </w:rPr>
        <w:t xml:space="preserve">בימים </w:t>
      </w:r>
      <w:bookmarkStart w:id="46080" w:name="_ETM_Q85_769419"/>
      <w:bookmarkEnd w:id="46080"/>
      <w:r>
        <w:rPr>
          <w:rFonts w:hint="cs"/>
          <w:rtl/>
        </w:rPr>
        <w:t xml:space="preserve">אלה. </w:t>
      </w:r>
      <w:bookmarkStart w:id="46081" w:name="_ETM_Q85_769629"/>
      <w:bookmarkEnd w:id="46081"/>
      <w:r>
        <w:rPr>
          <w:rFonts w:hint="cs"/>
          <w:rtl/>
        </w:rPr>
        <w:t xml:space="preserve">אני </w:t>
      </w:r>
      <w:bookmarkStart w:id="46082" w:name="_ETM_Q85_769750"/>
      <w:bookmarkEnd w:id="46082"/>
      <w:r>
        <w:rPr>
          <w:rFonts w:hint="cs"/>
          <w:rtl/>
        </w:rPr>
        <w:t xml:space="preserve">ממש </w:t>
      </w:r>
      <w:bookmarkStart w:id="46083" w:name="_ETM_Q85_770050"/>
      <w:bookmarkEnd w:id="46083"/>
      <w:r>
        <w:rPr>
          <w:rFonts w:hint="cs"/>
          <w:rtl/>
        </w:rPr>
        <w:t xml:space="preserve">ראיתי </w:t>
      </w:r>
      <w:bookmarkStart w:id="46084" w:name="_ETM_Q85_770409"/>
      <w:bookmarkEnd w:id="46084"/>
      <w:r>
        <w:rPr>
          <w:rFonts w:hint="cs"/>
          <w:rtl/>
        </w:rPr>
        <w:t xml:space="preserve">את </w:t>
      </w:r>
      <w:bookmarkStart w:id="46085" w:name="_ETM_Q85_770530"/>
      <w:bookmarkEnd w:id="46085"/>
      <w:r>
        <w:rPr>
          <w:rFonts w:hint="cs"/>
          <w:rtl/>
        </w:rPr>
        <w:t xml:space="preserve">רוטמן </w:t>
      </w:r>
      <w:bookmarkStart w:id="46086" w:name="_ETM_Q85_770919"/>
      <w:bookmarkEnd w:id="46086"/>
      <w:r>
        <w:rPr>
          <w:rFonts w:hint="cs"/>
          <w:rtl/>
        </w:rPr>
        <w:t xml:space="preserve">מחייך, </w:t>
      </w:r>
      <w:bookmarkStart w:id="46087" w:name="_ETM_Q85_771879"/>
      <w:bookmarkEnd w:id="46087"/>
      <w:r>
        <w:rPr>
          <w:rFonts w:hint="cs"/>
          <w:rtl/>
        </w:rPr>
        <w:t>שמח</w:t>
      </w:r>
      <w:bookmarkStart w:id="46088" w:name="_ETM_Q85_774780"/>
      <w:bookmarkStart w:id="46089" w:name="_ETM_Q85_774929"/>
      <w:bookmarkEnd w:id="46088"/>
      <w:bookmarkEnd w:id="46089"/>
      <w:r>
        <w:rPr>
          <w:rFonts w:hint="cs"/>
          <w:rtl/>
        </w:rPr>
        <w:t xml:space="preserve">, ואני לא </w:t>
      </w:r>
      <w:bookmarkStart w:id="46090" w:name="_ETM_Q85_775050"/>
      <w:bookmarkEnd w:id="46090"/>
      <w:r>
        <w:rPr>
          <w:rFonts w:hint="cs"/>
          <w:rtl/>
        </w:rPr>
        <w:t xml:space="preserve">מבין </w:t>
      </w:r>
      <w:bookmarkStart w:id="46091" w:name="_ETM_Q85_775260"/>
      <w:bookmarkEnd w:id="46091"/>
      <w:r>
        <w:rPr>
          <w:rFonts w:hint="cs"/>
          <w:rtl/>
        </w:rPr>
        <w:t xml:space="preserve">איך </w:t>
      </w:r>
      <w:bookmarkStart w:id="46092" w:name="_ETM_Q85_775410"/>
      <w:bookmarkEnd w:id="46092"/>
      <w:r>
        <w:rPr>
          <w:rFonts w:hint="cs"/>
          <w:rtl/>
        </w:rPr>
        <w:t xml:space="preserve">הוא </w:t>
      </w:r>
      <w:bookmarkStart w:id="46093" w:name="_ETM_Q85_775440"/>
      <w:bookmarkEnd w:id="46093"/>
      <w:r>
        <w:rPr>
          <w:rFonts w:hint="cs"/>
          <w:rtl/>
        </w:rPr>
        <w:t xml:space="preserve">שמח </w:t>
      </w:r>
      <w:bookmarkStart w:id="46094" w:name="_ETM_Q85_775800"/>
      <w:bookmarkEnd w:id="46094"/>
      <w:r>
        <w:rPr>
          <w:rFonts w:hint="cs"/>
          <w:rtl/>
        </w:rPr>
        <w:t xml:space="preserve">בתקופה </w:t>
      </w:r>
      <w:bookmarkStart w:id="46095" w:name="_ETM_Q85_776250"/>
      <w:bookmarkEnd w:id="46095"/>
      <w:r>
        <w:rPr>
          <w:rFonts w:hint="cs"/>
          <w:rtl/>
        </w:rPr>
        <w:t xml:space="preserve">הזאת. </w:t>
      </w:r>
      <w:bookmarkStart w:id="46096" w:name="_ETM_Q85_776820"/>
      <w:bookmarkEnd w:id="46096"/>
    </w:p>
    <w:p w:rsidR="00BB59CD" w:rsidRDefault="00BB59CD" w:rsidP="00BB59CD">
      <w:pPr>
        <w:rPr>
          <w:rtl/>
        </w:rPr>
      </w:pPr>
      <w:bookmarkStart w:id="46097" w:name="_ETM_Q85_666796"/>
      <w:bookmarkStart w:id="46098" w:name="_ETM_Q85_666850"/>
      <w:bookmarkEnd w:id="46097"/>
      <w:bookmarkEnd w:id="46098"/>
    </w:p>
    <w:p w:rsidR="00BB59CD" w:rsidRDefault="00BB59CD" w:rsidP="000145FA">
      <w:pPr>
        <w:rPr>
          <w:rtl/>
        </w:rPr>
      </w:pPr>
      <w:bookmarkStart w:id="46099" w:name="_ETM_Q85_666988"/>
      <w:bookmarkStart w:id="46100" w:name="_ETM_Q85_667028"/>
      <w:bookmarkEnd w:id="46099"/>
      <w:bookmarkEnd w:id="46100"/>
      <w:r>
        <w:rPr>
          <w:rFonts w:hint="cs"/>
          <w:rtl/>
        </w:rPr>
        <w:t xml:space="preserve">השר </w:t>
      </w:r>
      <w:bookmarkStart w:id="46101" w:name="_ETM_Q85_777179"/>
      <w:bookmarkEnd w:id="46101"/>
      <w:r>
        <w:rPr>
          <w:rFonts w:hint="cs"/>
          <w:rtl/>
        </w:rPr>
        <w:t xml:space="preserve">שלמה </w:t>
      </w:r>
      <w:bookmarkStart w:id="46102" w:name="_ETM_Q85_777540"/>
      <w:bookmarkEnd w:id="46102"/>
      <w:r>
        <w:rPr>
          <w:rFonts w:hint="cs"/>
          <w:rtl/>
        </w:rPr>
        <w:t xml:space="preserve">קרעי </w:t>
      </w:r>
      <w:bookmarkStart w:id="46103" w:name="_ETM_Q85_778110"/>
      <w:bookmarkEnd w:id="46103"/>
      <w:r>
        <w:rPr>
          <w:rFonts w:hint="cs"/>
          <w:rtl/>
        </w:rPr>
        <w:t xml:space="preserve">קרא </w:t>
      </w:r>
      <w:bookmarkStart w:id="46104" w:name="_ETM_Q85_778410"/>
      <w:bookmarkEnd w:id="46104"/>
      <w:r>
        <w:rPr>
          <w:rFonts w:hint="cs"/>
          <w:rtl/>
        </w:rPr>
        <w:t xml:space="preserve">לטייסים </w:t>
      </w:r>
      <w:bookmarkStart w:id="46105" w:name="_ETM_Q85_779010"/>
      <w:bookmarkEnd w:id="46105"/>
      <w:r>
        <w:rPr>
          <w:rFonts w:hint="cs"/>
          <w:rtl/>
        </w:rPr>
        <w:t xml:space="preserve">שמוכנים </w:t>
      </w:r>
      <w:bookmarkStart w:id="46106" w:name="_ETM_Q85_779550"/>
      <w:bookmarkEnd w:id="46106"/>
      <w:r>
        <w:rPr>
          <w:rFonts w:hint="cs"/>
          <w:rtl/>
        </w:rPr>
        <w:t xml:space="preserve">להקריב </w:t>
      </w:r>
      <w:bookmarkStart w:id="46107" w:name="_ETM_Q85_779880"/>
      <w:bookmarkEnd w:id="46107"/>
      <w:r>
        <w:rPr>
          <w:rFonts w:hint="cs"/>
          <w:rtl/>
        </w:rPr>
        <w:t xml:space="preserve">את </w:t>
      </w:r>
      <w:bookmarkStart w:id="46108" w:name="_ETM_Q85_780000"/>
      <w:bookmarkEnd w:id="46108"/>
      <w:r>
        <w:rPr>
          <w:rFonts w:hint="cs"/>
          <w:rtl/>
        </w:rPr>
        <w:t xml:space="preserve">חייהם </w:t>
      </w:r>
      <w:bookmarkStart w:id="46109" w:name="_ETM_Q85_780450"/>
      <w:bookmarkEnd w:id="46109"/>
      <w:r>
        <w:rPr>
          <w:rFonts w:hint="cs"/>
          <w:rtl/>
        </w:rPr>
        <w:t xml:space="preserve">עבור </w:t>
      </w:r>
      <w:bookmarkStart w:id="46110" w:name="_ETM_Q85_780690"/>
      <w:bookmarkEnd w:id="46110"/>
      <w:r>
        <w:rPr>
          <w:rFonts w:hint="cs"/>
          <w:rtl/>
        </w:rPr>
        <w:t xml:space="preserve">המדינה: </w:t>
      </w:r>
      <w:bookmarkStart w:id="46111" w:name="_ETM_Q85_781000"/>
      <w:bookmarkEnd w:id="46111"/>
      <w:r>
        <w:rPr>
          <w:rFonts w:hint="cs"/>
          <w:rtl/>
        </w:rPr>
        <w:t xml:space="preserve">לכו לעזאזל, נסתדר בלעדיכם. </w:t>
      </w:r>
      <w:bookmarkStart w:id="46112" w:name="TOR_Q86"/>
      <w:bookmarkStart w:id="46113" w:name="_ETM_Q86_185959"/>
      <w:bookmarkEnd w:id="46112"/>
      <w:bookmarkEnd w:id="46113"/>
      <w:r>
        <w:rPr>
          <w:rFonts w:hint="cs"/>
          <w:rtl/>
        </w:rPr>
        <w:t xml:space="preserve">השר קרעי, </w:t>
      </w:r>
      <w:bookmarkStart w:id="46114" w:name="_ETM_Q86_187009"/>
      <w:bookmarkEnd w:id="46114"/>
      <w:r>
        <w:rPr>
          <w:rFonts w:hint="cs"/>
          <w:rtl/>
        </w:rPr>
        <w:t xml:space="preserve">מי </w:t>
      </w:r>
      <w:bookmarkStart w:id="46115" w:name="_ETM_Q86_187160"/>
      <w:bookmarkEnd w:id="46115"/>
      <w:r>
        <w:rPr>
          <w:rFonts w:hint="cs"/>
          <w:rtl/>
        </w:rPr>
        <w:t xml:space="preserve">אתה </w:t>
      </w:r>
      <w:bookmarkStart w:id="46116" w:name="_ETM_Q86_187339"/>
      <w:bookmarkEnd w:id="46116"/>
      <w:r>
        <w:rPr>
          <w:rFonts w:hint="cs"/>
          <w:rtl/>
        </w:rPr>
        <w:t xml:space="preserve">בכלל? </w:t>
      </w:r>
      <w:bookmarkStart w:id="46117" w:name="_ETM_Q86_188209"/>
      <w:bookmarkEnd w:id="46117"/>
      <w:r>
        <w:rPr>
          <w:rFonts w:hint="cs"/>
          <w:rtl/>
        </w:rPr>
        <w:t xml:space="preserve">מה </w:t>
      </w:r>
      <w:bookmarkStart w:id="46118" w:name="_ETM_Q86_188480"/>
      <w:bookmarkEnd w:id="46118"/>
      <w:r>
        <w:rPr>
          <w:rFonts w:hint="cs"/>
          <w:rtl/>
        </w:rPr>
        <w:t xml:space="preserve">עשית </w:t>
      </w:r>
      <w:bookmarkStart w:id="46119" w:name="_ETM_Q86_188900"/>
      <w:bookmarkEnd w:id="46119"/>
      <w:r>
        <w:rPr>
          <w:rFonts w:hint="cs"/>
          <w:rtl/>
        </w:rPr>
        <w:t xml:space="preserve">בחיים </w:t>
      </w:r>
      <w:bookmarkStart w:id="46120" w:name="_ETM_Q86_189289"/>
      <w:bookmarkEnd w:id="46120"/>
      <w:r>
        <w:rPr>
          <w:rFonts w:hint="cs"/>
          <w:rtl/>
        </w:rPr>
        <w:t xml:space="preserve">שלך, </w:t>
      </w:r>
      <w:bookmarkStart w:id="46121" w:name="_ETM_Q86_190250"/>
      <w:bookmarkEnd w:id="46121"/>
      <w:r>
        <w:rPr>
          <w:rFonts w:hint="cs"/>
          <w:rtl/>
        </w:rPr>
        <w:t xml:space="preserve">וגם </w:t>
      </w:r>
      <w:bookmarkStart w:id="46122" w:name="_ETM_Q86_190610"/>
      <w:bookmarkEnd w:id="46122"/>
      <w:r>
        <w:rPr>
          <w:rFonts w:hint="cs"/>
          <w:rtl/>
        </w:rPr>
        <w:t xml:space="preserve">בצבא, </w:t>
      </w:r>
      <w:bookmarkStart w:id="46123" w:name="_ETM_Q86_191089"/>
      <w:bookmarkEnd w:id="46123"/>
      <w:r>
        <w:rPr>
          <w:rFonts w:hint="cs"/>
          <w:rtl/>
        </w:rPr>
        <w:t xml:space="preserve">למען </w:t>
      </w:r>
      <w:bookmarkStart w:id="46124" w:name="_ETM_Q86_191389"/>
      <w:bookmarkEnd w:id="46124"/>
      <w:r>
        <w:rPr>
          <w:rFonts w:hint="cs"/>
          <w:rtl/>
        </w:rPr>
        <w:t xml:space="preserve">מדינת </w:t>
      </w:r>
      <w:bookmarkStart w:id="46125" w:name="_ETM_Q86_191780"/>
      <w:bookmarkEnd w:id="46125"/>
      <w:r>
        <w:rPr>
          <w:rFonts w:hint="cs"/>
          <w:rtl/>
        </w:rPr>
        <w:t xml:space="preserve">ישראל? </w:t>
      </w:r>
      <w:bookmarkStart w:id="46126" w:name="_ETM_Q86_192980"/>
      <w:bookmarkEnd w:id="46126"/>
      <w:r>
        <w:rPr>
          <w:rFonts w:hint="cs"/>
          <w:rtl/>
        </w:rPr>
        <w:t xml:space="preserve">איך </w:t>
      </w:r>
      <w:bookmarkStart w:id="46127" w:name="_ETM_Q86_193249"/>
      <w:bookmarkEnd w:id="46127"/>
      <w:r>
        <w:rPr>
          <w:rFonts w:hint="cs"/>
          <w:rtl/>
        </w:rPr>
        <w:t xml:space="preserve">אתה </w:t>
      </w:r>
      <w:bookmarkStart w:id="46128" w:name="_ETM_Q86_193610"/>
      <w:bookmarkEnd w:id="46128"/>
      <w:r>
        <w:rPr>
          <w:rFonts w:hint="cs"/>
          <w:rtl/>
        </w:rPr>
        <w:t xml:space="preserve">לא </w:t>
      </w:r>
      <w:bookmarkStart w:id="46129" w:name="_ETM_Q86_193849"/>
      <w:bookmarkEnd w:id="46129"/>
      <w:r>
        <w:rPr>
          <w:rFonts w:hint="cs"/>
          <w:rtl/>
        </w:rPr>
        <w:t xml:space="preserve">מתבייש </w:t>
      </w:r>
      <w:bookmarkStart w:id="46130" w:name="_ETM_Q86_194839"/>
      <w:bookmarkEnd w:id="46130"/>
      <w:r>
        <w:rPr>
          <w:rFonts w:hint="cs"/>
          <w:rtl/>
        </w:rPr>
        <w:t xml:space="preserve">ומאיפה </w:t>
      </w:r>
      <w:bookmarkStart w:id="46131" w:name="_ETM_Q86_195259"/>
      <w:bookmarkEnd w:id="46131"/>
      <w:r>
        <w:rPr>
          <w:rFonts w:hint="cs"/>
          <w:rtl/>
        </w:rPr>
        <w:t xml:space="preserve">יש </w:t>
      </w:r>
      <w:bookmarkStart w:id="46132" w:name="_ETM_Q86_195349"/>
      <w:bookmarkEnd w:id="46132"/>
      <w:r>
        <w:rPr>
          <w:rFonts w:hint="cs"/>
          <w:rtl/>
        </w:rPr>
        <w:t xml:space="preserve">לך </w:t>
      </w:r>
      <w:bookmarkStart w:id="46133" w:name="_ETM_Q86_195469"/>
      <w:bookmarkEnd w:id="46133"/>
      <w:r>
        <w:rPr>
          <w:rFonts w:hint="cs"/>
          <w:rtl/>
        </w:rPr>
        <w:t xml:space="preserve">את </w:t>
      </w:r>
      <w:bookmarkStart w:id="46134" w:name="_ETM_Q86_195529"/>
      <w:bookmarkEnd w:id="46134"/>
      <w:r>
        <w:rPr>
          <w:rFonts w:hint="cs"/>
          <w:rtl/>
        </w:rPr>
        <w:t xml:space="preserve">התעוזה </w:t>
      </w:r>
      <w:bookmarkStart w:id="46135" w:name="_ETM_Q86_196070"/>
      <w:bookmarkEnd w:id="46135"/>
      <w:r>
        <w:rPr>
          <w:rFonts w:hint="cs"/>
          <w:rtl/>
        </w:rPr>
        <w:t xml:space="preserve">הזאת </w:t>
      </w:r>
      <w:bookmarkStart w:id="46136" w:name="_ETM_Q86_196759"/>
      <w:bookmarkEnd w:id="46136"/>
      <w:r>
        <w:rPr>
          <w:rFonts w:hint="cs"/>
          <w:rtl/>
        </w:rPr>
        <w:t xml:space="preserve">לקרוא </w:t>
      </w:r>
      <w:bookmarkStart w:id="46137" w:name="_ETM_Q86_197239"/>
      <w:bookmarkEnd w:id="46137"/>
      <w:r>
        <w:rPr>
          <w:rFonts w:hint="cs"/>
          <w:rtl/>
        </w:rPr>
        <w:t xml:space="preserve">לקצינים, </w:t>
      </w:r>
      <w:bookmarkStart w:id="46138" w:name="_ETM_Q86_197869"/>
      <w:bookmarkEnd w:id="46138"/>
      <w:r>
        <w:rPr>
          <w:rFonts w:hint="cs"/>
          <w:rtl/>
        </w:rPr>
        <w:t xml:space="preserve">לטייסים, </w:t>
      </w:r>
      <w:bookmarkStart w:id="46139" w:name="_ETM_Q86_199199"/>
      <w:bookmarkEnd w:id="46139"/>
      <w:r>
        <w:rPr>
          <w:rFonts w:hint="cs"/>
          <w:rtl/>
        </w:rPr>
        <w:t xml:space="preserve">לאנשי </w:t>
      </w:r>
      <w:bookmarkStart w:id="46140" w:name="_ETM_Q86_199679"/>
      <w:bookmarkEnd w:id="46140"/>
      <w:r>
        <w:rPr>
          <w:rFonts w:hint="cs"/>
          <w:rtl/>
        </w:rPr>
        <w:t xml:space="preserve">סיירות, </w:t>
      </w:r>
      <w:bookmarkStart w:id="46141" w:name="_ETM_Q86_200310"/>
      <w:bookmarkEnd w:id="46141"/>
      <w:r>
        <w:rPr>
          <w:rFonts w:hint="cs"/>
          <w:rtl/>
        </w:rPr>
        <w:t xml:space="preserve">לאנשים </w:t>
      </w:r>
      <w:bookmarkStart w:id="46142" w:name="_ETM_Q86_200699"/>
      <w:bookmarkEnd w:id="46142"/>
      <w:r>
        <w:rPr>
          <w:rFonts w:hint="cs"/>
          <w:rtl/>
        </w:rPr>
        <w:t xml:space="preserve">שנתנו </w:t>
      </w:r>
      <w:bookmarkStart w:id="46143" w:name="_ETM_Q86_201060"/>
      <w:bookmarkEnd w:id="46143"/>
      <w:r>
        <w:rPr>
          <w:rFonts w:hint="cs"/>
          <w:rtl/>
        </w:rPr>
        <w:t xml:space="preserve">את </w:t>
      </w:r>
      <w:bookmarkStart w:id="46144" w:name="_ETM_Q86_201150"/>
      <w:bookmarkEnd w:id="46144"/>
      <w:r>
        <w:rPr>
          <w:rFonts w:hint="cs"/>
          <w:rtl/>
        </w:rPr>
        <w:t xml:space="preserve">חייהם </w:t>
      </w:r>
      <w:bookmarkStart w:id="46145" w:name="_ETM_Q86_203130"/>
      <w:bookmarkEnd w:id="46145"/>
      <w:r>
        <w:rPr>
          <w:rFonts w:hint="cs"/>
          <w:rtl/>
        </w:rPr>
        <w:t xml:space="preserve">בביטויים </w:t>
      </w:r>
      <w:bookmarkStart w:id="46146" w:name="_ETM_Q86_203730"/>
      <w:bookmarkEnd w:id="46146"/>
      <w:r>
        <w:rPr>
          <w:rFonts w:hint="cs"/>
          <w:rtl/>
        </w:rPr>
        <w:t xml:space="preserve">האלה? </w:t>
      </w:r>
      <w:bookmarkStart w:id="46147" w:name="_ETM_Q86_204790"/>
      <w:bookmarkEnd w:id="46147"/>
      <w:r>
        <w:rPr>
          <w:rFonts w:hint="cs"/>
          <w:rtl/>
        </w:rPr>
        <w:t xml:space="preserve">אני </w:t>
      </w:r>
      <w:bookmarkStart w:id="46148" w:name="_ETM_Q86_205030"/>
      <w:bookmarkEnd w:id="46148"/>
      <w:r>
        <w:rPr>
          <w:rFonts w:hint="cs"/>
          <w:rtl/>
        </w:rPr>
        <w:t xml:space="preserve">במקומך </w:t>
      </w:r>
      <w:bookmarkStart w:id="46149" w:name="_ETM_Q86_207199"/>
      <w:bookmarkEnd w:id="46149"/>
      <w:r>
        <w:rPr>
          <w:rFonts w:hint="cs"/>
          <w:rtl/>
        </w:rPr>
        <w:t xml:space="preserve">הייתי </w:t>
      </w:r>
      <w:bookmarkStart w:id="46150" w:name="_ETM_Q86_207589"/>
      <w:bookmarkEnd w:id="46150"/>
      <w:r>
        <w:rPr>
          <w:rFonts w:hint="cs"/>
          <w:rtl/>
        </w:rPr>
        <w:t xml:space="preserve">מתבייש </w:t>
      </w:r>
      <w:bookmarkStart w:id="46151" w:name="_ETM_Q86_208039"/>
      <w:bookmarkEnd w:id="46151"/>
      <w:r>
        <w:rPr>
          <w:rFonts w:hint="cs"/>
          <w:rtl/>
        </w:rPr>
        <w:t xml:space="preserve">מול </w:t>
      </w:r>
      <w:bookmarkStart w:id="46152" w:name="_ETM_Q86_208219"/>
      <w:bookmarkEnd w:id="46152"/>
      <w:r>
        <w:rPr>
          <w:rFonts w:hint="cs"/>
          <w:rtl/>
        </w:rPr>
        <w:t xml:space="preserve">המשפחה </w:t>
      </w:r>
      <w:bookmarkStart w:id="46153" w:name="_ETM_Q86_208699"/>
      <w:bookmarkEnd w:id="46153"/>
      <w:r>
        <w:rPr>
          <w:rFonts w:hint="cs"/>
          <w:rtl/>
        </w:rPr>
        <w:t xml:space="preserve">שלך </w:t>
      </w:r>
      <w:bookmarkStart w:id="46154" w:name="_ETM_Q86_209029"/>
      <w:bookmarkEnd w:id="46154"/>
      <w:r>
        <w:rPr>
          <w:rFonts w:hint="cs"/>
          <w:rtl/>
        </w:rPr>
        <w:t xml:space="preserve">ומול </w:t>
      </w:r>
      <w:bookmarkStart w:id="46155" w:name="_ETM_Q86_209300"/>
      <w:bookmarkEnd w:id="46155"/>
      <w:r>
        <w:rPr>
          <w:rFonts w:hint="cs"/>
          <w:rtl/>
        </w:rPr>
        <w:t xml:space="preserve">החברים </w:t>
      </w:r>
      <w:bookmarkStart w:id="46156" w:name="_ETM_Q86_209719"/>
      <w:bookmarkEnd w:id="46156"/>
      <w:r>
        <w:rPr>
          <w:rFonts w:hint="cs"/>
          <w:rtl/>
        </w:rPr>
        <w:t>שלך.</w:t>
      </w:r>
      <w:bookmarkStart w:id="46157" w:name="_ETM_Q86_210740"/>
      <w:bookmarkEnd w:id="46157"/>
      <w:r>
        <w:rPr>
          <w:rFonts w:hint="cs"/>
          <w:rtl/>
        </w:rPr>
        <w:t xml:space="preserve"> חבר </w:t>
      </w:r>
      <w:bookmarkStart w:id="46158" w:name="_ETM_Q86_211220"/>
      <w:bookmarkEnd w:id="46158"/>
      <w:r>
        <w:rPr>
          <w:rFonts w:hint="cs"/>
          <w:rtl/>
        </w:rPr>
        <w:t xml:space="preserve">הכנסת </w:t>
      </w:r>
      <w:bookmarkStart w:id="46159" w:name="_ETM_Q86_211700"/>
      <w:bookmarkEnd w:id="46159"/>
      <w:r>
        <w:rPr>
          <w:rFonts w:hint="cs"/>
          <w:rtl/>
        </w:rPr>
        <w:t xml:space="preserve">ניסים </w:t>
      </w:r>
      <w:bookmarkStart w:id="46160" w:name="_ETM_Q86_211970"/>
      <w:bookmarkEnd w:id="46160"/>
      <w:r>
        <w:rPr>
          <w:rFonts w:hint="cs"/>
          <w:rtl/>
        </w:rPr>
        <w:t xml:space="preserve">ואטורי, </w:t>
      </w:r>
      <w:bookmarkStart w:id="46161" w:name="_ETM_Q86_213050"/>
      <w:bookmarkEnd w:id="46161"/>
      <w:r>
        <w:rPr>
          <w:rFonts w:hint="cs"/>
          <w:rtl/>
        </w:rPr>
        <w:t xml:space="preserve">שאמר </w:t>
      </w:r>
      <w:bookmarkStart w:id="46162" w:name="_ETM_Q86_213470"/>
      <w:bookmarkEnd w:id="46162"/>
      <w:r>
        <w:rPr>
          <w:rFonts w:hint="cs"/>
          <w:rtl/>
        </w:rPr>
        <w:t xml:space="preserve">על </w:t>
      </w:r>
      <w:bookmarkStart w:id="46163" w:name="_ETM_Q86_213590"/>
      <w:bookmarkEnd w:id="46163"/>
      <w:r>
        <w:rPr>
          <w:rFonts w:hint="cs"/>
          <w:rtl/>
        </w:rPr>
        <w:t xml:space="preserve">אהוד </w:t>
      </w:r>
      <w:bookmarkStart w:id="46164" w:name="_ETM_Q86_213830"/>
      <w:bookmarkEnd w:id="46164"/>
      <w:r>
        <w:rPr>
          <w:rFonts w:hint="cs"/>
          <w:rtl/>
        </w:rPr>
        <w:t xml:space="preserve">ברק, </w:t>
      </w:r>
      <w:bookmarkStart w:id="46165" w:name="_ETM_Q86_214280"/>
      <w:bookmarkEnd w:id="46165"/>
      <w:r>
        <w:rPr>
          <w:rFonts w:hint="cs"/>
          <w:rtl/>
        </w:rPr>
        <w:t xml:space="preserve">רמטכ"ל </w:t>
      </w:r>
      <w:bookmarkStart w:id="46166" w:name="_ETM_Q86_214909"/>
      <w:bookmarkEnd w:id="46166"/>
      <w:r>
        <w:rPr>
          <w:rFonts w:hint="cs"/>
          <w:rtl/>
        </w:rPr>
        <w:t xml:space="preserve">וראש </w:t>
      </w:r>
      <w:bookmarkStart w:id="46167" w:name="_ETM_Q86_215270"/>
      <w:bookmarkEnd w:id="46167"/>
      <w:r>
        <w:rPr>
          <w:rFonts w:hint="cs"/>
          <w:rtl/>
        </w:rPr>
        <w:t xml:space="preserve">ממשלה </w:t>
      </w:r>
      <w:bookmarkStart w:id="46168" w:name="_ETM_Q86_215750"/>
      <w:bookmarkEnd w:id="46168"/>
      <w:r>
        <w:rPr>
          <w:rFonts w:hint="cs"/>
          <w:rtl/>
        </w:rPr>
        <w:t xml:space="preserve">במדינת </w:t>
      </w:r>
      <w:bookmarkStart w:id="46169" w:name="_ETM_Q86_216170"/>
      <w:bookmarkEnd w:id="46169"/>
      <w:r>
        <w:rPr>
          <w:rFonts w:hint="cs"/>
          <w:rtl/>
        </w:rPr>
        <w:t xml:space="preserve">ישראל, </w:t>
      </w:r>
      <w:bookmarkStart w:id="46170" w:name="_ETM_Q86_216680"/>
      <w:bookmarkEnd w:id="46170"/>
      <w:r>
        <w:rPr>
          <w:rFonts w:hint="cs"/>
          <w:rtl/>
        </w:rPr>
        <w:t xml:space="preserve">גיבור </w:t>
      </w:r>
      <w:bookmarkStart w:id="46171" w:name="_ETM_Q86_217100"/>
      <w:bookmarkEnd w:id="46171"/>
      <w:r>
        <w:rPr>
          <w:rFonts w:hint="cs"/>
          <w:rtl/>
        </w:rPr>
        <w:t xml:space="preserve">ישראל, </w:t>
      </w:r>
      <w:bookmarkStart w:id="46172" w:name="_ETM_Q86_218060"/>
      <w:bookmarkEnd w:id="46172"/>
      <w:r>
        <w:rPr>
          <w:rFonts w:hint="cs"/>
          <w:rtl/>
        </w:rPr>
        <w:t xml:space="preserve">שהוא </w:t>
      </w:r>
      <w:bookmarkStart w:id="46173" w:name="_ETM_Q86_218270"/>
      <w:bookmarkEnd w:id="46173"/>
      <w:r>
        <w:rPr>
          <w:rFonts w:hint="cs"/>
          <w:rtl/>
        </w:rPr>
        <w:t xml:space="preserve">היה </w:t>
      </w:r>
      <w:bookmarkStart w:id="46174" w:name="_ETM_Q86_218479"/>
      <w:bookmarkEnd w:id="46174"/>
      <w:r>
        <w:rPr>
          <w:rFonts w:hint="cs"/>
          <w:rtl/>
        </w:rPr>
        <w:t xml:space="preserve">מועמד </w:t>
      </w:r>
      <w:bookmarkStart w:id="46175" w:name="_ETM_Q86_218930"/>
      <w:bookmarkEnd w:id="46175"/>
      <w:r>
        <w:rPr>
          <w:rFonts w:hint="cs"/>
          <w:rtl/>
        </w:rPr>
        <w:t xml:space="preserve">לתלייה. </w:t>
      </w:r>
      <w:bookmarkStart w:id="46176" w:name="_ETM_Q86_220179"/>
      <w:bookmarkEnd w:id="46176"/>
      <w:r>
        <w:rPr>
          <w:rFonts w:hint="cs"/>
          <w:rtl/>
        </w:rPr>
        <w:t xml:space="preserve">ניסים </w:t>
      </w:r>
      <w:bookmarkStart w:id="46177" w:name="_ETM_Q86_220629"/>
      <w:bookmarkEnd w:id="46177"/>
      <w:r>
        <w:rPr>
          <w:rFonts w:hint="cs"/>
          <w:rtl/>
        </w:rPr>
        <w:t xml:space="preserve">ואטורי, </w:t>
      </w:r>
      <w:bookmarkStart w:id="46178" w:name="_ETM_Q86_222010"/>
      <w:bookmarkEnd w:id="46178"/>
      <w:r>
        <w:rPr>
          <w:rFonts w:hint="cs"/>
          <w:rtl/>
        </w:rPr>
        <w:t xml:space="preserve">הקפטן, </w:t>
      </w:r>
      <w:bookmarkStart w:id="46179" w:name="_ETM_Q86_222790"/>
      <w:bookmarkEnd w:id="46179"/>
      <w:r>
        <w:rPr>
          <w:rFonts w:hint="cs"/>
          <w:rtl/>
        </w:rPr>
        <w:t xml:space="preserve">בעל </w:t>
      </w:r>
      <w:bookmarkStart w:id="46180" w:name="_ETM_Q86_223060"/>
      <w:bookmarkEnd w:id="46180"/>
      <w:r>
        <w:rPr>
          <w:rFonts w:hint="cs"/>
          <w:rtl/>
        </w:rPr>
        <w:t xml:space="preserve">הספינה </w:t>
      </w:r>
      <w:bookmarkStart w:id="46181" w:name="_ETM_Q86_223659"/>
      <w:bookmarkEnd w:id="46181"/>
      <w:r>
        <w:rPr>
          <w:rFonts w:hint="cs"/>
          <w:rtl/>
        </w:rPr>
        <w:t xml:space="preserve">שיוצא </w:t>
      </w:r>
      <w:bookmarkStart w:id="46182" w:name="_ETM_Q86_224050"/>
      <w:bookmarkEnd w:id="46182"/>
      <w:r>
        <w:rPr>
          <w:rFonts w:hint="cs"/>
          <w:rtl/>
        </w:rPr>
        <w:t xml:space="preserve">להפלגות, </w:t>
      </w:r>
      <w:bookmarkStart w:id="46183" w:name="_ETM_Q86_225389"/>
      <w:bookmarkEnd w:id="46183"/>
      <w:r>
        <w:rPr>
          <w:rFonts w:hint="cs"/>
          <w:rtl/>
        </w:rPr>
        <w:t xml:space="preserve">שקורא </w:t>
      </w:r>
      <w:bookmarkStart w:id="46184" w:name="_ETM_Q86_226019"/>
      <w:bookmarkEnd w:id="46184"/>
      <w:r>
        <w:rPr>
          <w:rFonts w:hint="cs"/>
          <w:rtl/>
        </w:rPr>
        <w:t xml:space="preserve">לאנשים </w:t>
      </w:r>
      <w:bookmarkStart w:id="46185" w:name="_ETM_Q86_226499"/>
      <w:bookmarkEnd w:id="46185"/>
      <w:r>
        <w:rPr>
          <w:rFonts w:hint="cs"/>
          <w:rtl/>
        </w:rPr>
        <w:t xml:space="preserve">להירשם </w:t>
      </w:r>
      <w:bookmarkStart w:id="46186" w:name="_ETM_Q86_226949"/>
      <w:bookmarkEnd w:id="46186"/>
      <w:r>
        <w:rPr>
          <w:rFonts w:hint="cs"/>
          <w:rtl/>
        </w:rPr>
        <w:t xml:space="preserve">להפלגה, </w:t>
      </w:r>
      <w:bookmarkStart w:id="46187" w:name="_ETM_Q86_228340"/>
      <w:bookmarkEnd w:id="46187"/>
      <w:r>
        <w:rPr>
          <w:rFonts w:hint="cs"/>
          <w:rtl/>
        </w:rPr>
        <w:t xml:space="preserve">חבר </w:t>
      </w:r>
      <w:bookmarkStart w:id="46188" w:name="_ETM_Q86_228850"/>
      <w:bookmarkEnd w:id="46188"/>
      <w:r>
        <w:rPr>
          <w:rFonts w:hint="cs"/>
          <w:rtl/>
        </w:rPr>
        <w:t xml:space="preserve">כנסת </w:t>
      </w:r>
      <w:bookmarkStart w:id="46189" w:name="_ETM_Q86_229269"/>
      <w:bookmarkEnd w:id="46189"/>
      <w:r>
        <w:rPr>
          <w:rFonts w:hint="cs"/>
          <w:rtl/>
        </w:rPr>
        <w:t xml:space="preserve">במדינת </w:t>
      </w:r>
      <w:bookmarkStart w:id="46190" w:name="_ETM_Q86_229600"/>
      <w:bookmarkEnd w:id="46190"/>
      <w:r>
        <w:rPr>
          <w:rFonts w:hint="cs"/>
          <w:rtl/>
        </w:rPr>
        <w:t xml:space="preserve">ישראל </w:t>
      </w:r>
      <w:bookmarkStart w:id="46191" w:name="_ETM_Q86_230109"/>
      <w:bookmarkEnd w:id="46191"/>
      <w:r>
        <w:rPr>
          <w:rFonts w:hint="cs"/>
          <w:rtl/>
        </w:rPr>
        <w:t xml:space="preserve">קורא </w:t>
      </w:r>
      <w:bookmarkStart w:id="46192" w:name="_ETM_Q86_230829"/>
      <w:bookmarkEnd w:id="46192"/>
      <w:r>
        <w:rPr>
          <w:rFonts w:hint="cs"/>
          <w:rtl/>
        </w:rPr>
        <w:t xml:space="preserve">לרמטכ"ל </w:t>
      </w:r>
      <w:bookmarkStart w:id="46193" w:name="_ETM_Q86_231640"/>
      <w:bookmarkEnd w:id="46193"/>
      <w:r>
        <w:rPr>
          <w:rFonts w:hint="cs"/>
          <w:rtl/>
        </w:rPr>
        <w:t>לשעבר</w:t>
      </w:r>
      <w:bookmarkStart w:id="46194" w:name="_ETM_Q86_232900"/>
      <w:bookmarkEnd w:id="46194"/>
      <w:r w:rsidR="000145FA">
        <w:rPr>
          <w:rFonts w:hint="cs"/>
          <w:rtl/>
        </w:rPr>
        <w:t xml:space="preserve"> </w:t>
      </w:r>
      <w:r>
        <w:rPr>
          <w:rFonts w:hint="cs"/>
          <w:rtl/>
        </w:rPr>
        <w:t xml:space="preserve"> </w:t>
      </w:r>
      <w:bookmarkStart w:id="46195" w:name="_ETM_Q86_233110"/>
      <w:bookmarkEnd w:id="46195"/>
      <w:r>
        <w:rPr>
          <w:rFonts w:hint="cs"/>
          <w:rtl/>
        </w:rPr>
        <w:t xml:space="preserve">מועמד </w:t>
      </w:r>
      <w:bookmarkStart w:id="46196" w:name="_ETM_Q86_233500"/>
      <w:bookmarkEnd w:id="46196"/>
      <w:r>
        <w:rPr>
          <w:rFonts w:hint="cs"/>
          <w:rtl/>
        </w:rPr>
        <w:t xml:space="preserve">לתלייה. </w:t>
      </w:r>
      <w:bookmarkStart w:id="46197" w:name="_ETM_Q86_234320"/>
      <w:bookmarkEnd w:id="46197"/>
      <w:r>
        <w:rPr>
          <w:rFonts w:hint="cs"/>
          <w:rtl/>
        </w:rPr>
        <w:t xml:space="preserve">חברת </w:t>
      </w:r>
      <w:bookmarkStart w:id="46198" w:name="_ETM_Q86_234950"/>
      <w:bookmarkEnd w:id="46198"/>
      <w:r>
        <w:rPr>
          <w:rFonts w:hint="cs"/>
          <w:rtl/>
        </w:rPr>
        <w:t xml:space="preserve">הכנסת </w:t>
      </w:r>
      <w:bookmarkStart w:id="46199" w:name="_ETM_Q86_235399"/>
      <w:bookmarkEnd w:id="46199"/>
      <w:r>
        <w:rPr>
          <w:rFonts w:hint="cs"/>
          <w:rtl/>
        </w:rPr>
        <w:t xml:space="preserve">טלי </w:t>
      </w:r>
      <w:bookmarkStart w:id="46200" w:name="_ETM_Q86_235640"/>
      <w:bookmarkEnd w:id="46200"/>
      <w:r>
        <w:rPr>
          <w:rFonts w:hint="cs"/>
          <w:rtl/>
        </w:rPr>
        <w:t xml:space="preserve">גוטליב, </w:t>
      </w:r>
      <w:bookmarkStart w:id="46201" w:name="_ETM_Q86_236680"/>
      <w:bookmarkEnd w:id="46201"/>
      <w:r>
        <w:rPr>
          <w:rFonts w:hint="cs"/>
          <w:rtl/>
        </w:rPr>
        <w:t xml:space="preserve">שהאשימה </w:t>
      </w:r>
      <w:bookmarkStart w:id="46202" w:name="_ETM_Q86_237250"/>
      <w:bookmarkEnd w:id="46202"/>
      <w:r>
        <w:rPr>
          <w:rFonts w:hint="cs"/>
          <w:rtl/>
        </w:rPr>
        <w:t xml:space="preserve">את </w:t>
      </w:r>
      <w:bookmarkStart w:id="46203" w:name="_ETM_Q86_237340"/>
      <w:bookmarkEnd w:id="46203"/>
      <w:r>
        <w:rPr>
          <w:rFonts w:hint="cs"/>
          <w:rtl/>
        </w:rPr>
        <w:t xml:space="preserve">השמאל </w:t>
      </w:r>
      <w:bookmarkStart w:id="46204" w:name="_ETM_Q86_237640"/>
      <w:bookmarkEnd w:id="46204"/>
      <w:r>
        <w:rPr>
          <w:rFonts w:hint="cs"/>
          <w:rtl/>
        </w:rPr>
        <w:t xml:space="preserve">בבגידה </w:t>
      </w:r>
      <w:bookmarkStart w:id="46205" w:name="_ETM_Q86_238510"/>
      <w:bookmarkEnd w:id="46205"/>
      <w:r>
        <w:rPr>
          <w:rFonts w:hint="cs"/>
          <w:rtl/>
        </w:rPr>
        <w:t xml:space="preserve">במדינת </w:t>
      </w:r>
      <w:bookmarkStart w:id="46206" w:name="_ETM_Q86_239050"/>
      <w:bookmarkEnd w:id="46206"/>
      <w:r>
        <w:rPr>
          <w:rFonts w:hint="cs"/>
          <w:rtl/>
        </w:rPr>
        <w:t xml:space="preserve">ישראל, </w:t>
      </w:r>
      <w:bookmarkStart w:id="46207" w:name="_ETM_Q86_239500"/>
      <w:bookmarkEnd w:id="46207"/>
      <w:r>
        <w:rPr>
          <w:rFonts w:hint="cs"/>
          <w:rtl/>
        </w:rPr>
        <w:t xml:space="preserve">לא </w:t>
      </w:r>
      <w:bookmarkStart w:id="46208" w:name="_ETM_Q86_239590"/>
      <w:bookmarkEnd w:id="46208"/>
      <w:r>
        <w:rPr>
          <w:rFonts w:hint="cs"/>
          <w:rtl/>
        </w:rPr>
        <w:t xml:space="preserve">פחות </w:t>
      </w:r>
      <w:bookmarkStart w:id="46209" w:name="_ETM_Q86_239920"/>
      <w:bookmarkEnd w:id="46209"/>
      <w:r>
        <w:rPr>
          <w:rFonts w:hint="cs"/>
          <w:rtl/>
        </w:rPr>
        <w:t xml:space="preserve">ולא </w:t>
      </w:r>
      <w:bookmarkStart w:id="46210" w:name="_ETM_Q86_240129"/>
      <w:bookmarkEnd w:id="46210"/>
      <w:r>
        <w:rPr>
          <w:rFonts w:hint="cs"/>
          <w:rtl/>
        </w:rPr>
        <w:t xml:space="preserve">יותר, </w:t>
      </w:r>
      <w:bookmarkStart w:id="46211" w:name="_ETM_Q86_241270"/>
      <w:bookmarkEnd w:id="46211"/>
      <w:r>
        <w:rPr>
          <w:rFonts w:hint="cs"/>
          <w:rtl/>
        </w:rPr>
        <w:t xml:space="preserve">אותה </w:t>
      </w:r>
      <w:bookmarkStart w:id="46212" w:name="_ETM_Q86_241600"/>
      <w:bookmarkEnd w:id="46212"/>
      <w:r>
        <w:rPr>
          <w:rFonts w:hint="cs"/>
          <w:rtl/>
        </w:rPr>
        <w:t xml:space="preserve">גוטליב </w:t>
      </w:r>
      <w:bookmarkStart w:id="46213" w:name="_ETM_Q86_242079"/>
      <w:bookmarkEnd w:id="46213"/>
      <w:r>
        <w:rPr>
          <w:rFonts w:hint="cs"/>
          <w:rtl/>
        </w:rPr>
        <w:t xml:space="preserve">גם </w:t>
      </w:r>
      <w:bookmarkStart w:id="46214" w:name="_ETM_Q86_242260"/>
      <w:bookmarkEnd w:id="46214"/>
      <w:r>
        <w:rPr>
          <w:rFonts w:hint="cs"/>
          <w:rtl/>
        </w:rPr>
        <w:t xml:space="preserve">האשימה </w:t>
      </w:r>
      <w:bookmarkStart w:id="46215" w:name="_ETM_Q86_242649"/>
      <w:bookmarkEnd w:id="46215"/>
      <w:r>
        <w:rPr>
          <w:rFonts w:hint="cs"/>
          <w:rtl/>
        </w:rPr>
        <w:t xml:space="preserve">את </w:t>
      </w:r>
      <w:bookmarkStart w:id="46216" w:name="_ETM_Q86_242769"/>
      <w:bookmarkEnd w:id="46216"/>
      <w:r>
        <w:rPr>
          <w:rFonts w:hint="cs"/>
          <w:rtl/>
        </w:rPr>
        <w:t xml:space="preserve">נשיאת </w:t>
      </w:r>
      <w:bookmarkStart w:id="46217" w:name="_ETM_Q86_243250"/>
      <w:bookmarkEnd w:id="46217"/>
      <w:r>
        <w:rPr>
          <w:rFonts w:hint="cs"/>
          <w:rtl/>
        </w:rPr>
        <w:t xml:space="preserve">בית </w:t>
      </w:r>
      <w:bookmarkStart w:id="46218" w:name="_ETM_Q86_243460"/>
      <w:bookmarkEnd w:id="46218"/>
      <w:r>
        <w:rPr>
          <w:rFonts w:hint="cs"/>
          <w:rtl/>
        </w:rPr>
        <w:t xml:space="preserve">המשפט </w:t>
      </w:r>
      <w:bookmarkStart w:id="46219" w:name="_ETM_Q86_243879"/>
      <w:bookmarkEnd w:id="46219"/>
      <w:r>
        <w:rPr>
          <w:rFonts w:hint="cs"/>
          <w:rtl/>
        </w:rPr>
        <w:t xml:space="preserve">העליון </w:t>
      </w:r>
      <w:bookmarkStart w:id="46220" w:name="_ETM_Q86_244720"/>
      <w:bookmarkEnd w:id="46220"/>
      <w:r>
        <w:rPr>
          <w:rFonts w:hint="cs"/>
          <w:rtl/>
        </w:rPr>
        <w:t xml:space="preserve">אסתר </w:t>
      </w:r>
      <w:bookmarkStart w:id="46221" w:name="_ETM_Q86_245020"/>
      <w:bookmarkEnd w:id="46221"/>
      <w:r>
        <w:rPr>
          <w:rFonts w:hint="cs"/>
          <w:rtl/>
        </w:rPr>
        <w:t xml:space="preserve">חיות </w:t>
      </w:r>
      <w:bookmarkStart w:id="46222" w:name="_ETM_Q86_245380"/>
      <w:bookmarkEnd w:id="46222"/>
      <w:r>
        <w:rPr>
          <w:rFonts w:hint="cs"/>
          <w:rtl/>
        </w:rPr>
        <w:t xml:space="preserve">בפיגוע </w:t>
      </w:r>
      <w:bookmarkStart w:id="46223" w:name="_ETM_Q86_246009"/>
      <w:bookmarkEnd w:id="46223"/>
      <w:r>
        <w:rPr>
          <w:rFonts w:hint="cs"/>
          <w:rtl/>
        </w:rPr>
        <w:t xml:space="preserve">הרצחני </w:t>
      </w:r>
      <w:bookmarkStart w:id="46224" w:name="_ETM_Q86_246400"/>
      <w:bookmarkEnd w:id="46224"/>
      <w:r>
        <w:rPr>
          <w:rFonts w:hint="cs"/>
          <w:rtl/>
        </w:rPr>
        <w:t xml:space="preserve">בירושלים </w:t>
      </w:r>
      <w:bookmarkStart w:id="46225" w:name="_ETM_Q86_247750"/>
      <w:bookmarkStart w:id="46226" w:name="_ETM_Q86_248289"/>
      <w:bookmarkEnd w:id="46225"/>
      <w:bookmarkEnd w:id="46226"/>
      <w:r>
        <w:rPr>
          <w:rFonts w:hint="cs"/>
          <w:rtl/>
        </w:rPr>
        <w:t xml:space="preserve">שהביא </w:t>
      </w:r>
      <w:bookmarkStart w:id="46227" w:name="_ETM_Q86_248680"/>
      <w:bookmarkEnd w:id="46227"/>
      <w:r>
        <w:rPr>
          <w:rFonts w:hint="cs"/>
          <w:rtl/>
        </w:rPr>
        <w:t xml:space="preserve">למותם </w:t>
      </w:r>
      <w:bookmarkStart w:id="46228" w:name="_ETM_Q86_249069"/>
      <w:bookmarkEnd w:id="46228"/>
      <w:r>
        <w:rPr>
          <w:rFonts w:hint="cs"/>
          <w:rtl/>
        </w:rPr>
        <w:t xml:space="preserve">של </w:t>
      </w:r>
      <w:bookmarkStart w:id="46229" w:name="_ETM_Q86_249219"/>
      <w:bookmarkEnd w:id="46229"/>
      <w:r>
        <w:rPr>
          <w:rFonts w:hint="cs"/>
          <w:rtl/>
        </w:rPr>
        <w:t xml:space="preserve">שלושה </w:t>
      </w:r>
      <w:bookmarkStart w:id="46230" w:name="_ETM_Q86_249549"/>
      <w:bookmarkEnd w:id="46230"/>
      <w:r>
        <w:rPr>
          <w:rFonts w:hint="cs"/>
          <w:rtl/>
        </w:rPr>
        <w:t xml:space="preserve">בני אדם. </w:t>
      </w:r>
      <w:bookmarkStart w:id="46231" w:name="_ETM_Q86_251579"/>
      <w:bookmarkEnd w:id="46231"/>
      <w:r>
        <w:rPr>
          <w:rFonts w:hint="cs"/>
          <w:rtl/>
        </w:rPr>
        <w:t xml:space="preserve">תומכי </w:t>
      </w:r>
      <w:bookmarkStart w:id="46232" w:name="_ETM_Q86_252090"/>
      <w:bookmarkEnd w:id="46232"/>
      <w:r>
        <w:rPr>
          <w:rFonts w:hint="cs"/>
          <w:rtl/>
        </w:rPr>
        <w:t xml:space="preserve">הממשלה </w:t>
      </w:r>
      <w:bookmarkStart w:id="46233" w:name="_ETM_Q86_252630"/>
      <w:bookmarkEnd w:id="46233"/>
      <w:r>
        <w:rPr>
          <w:rFonts w:hint="cs"/>
          <w:rtl/>
        </w:rPr>
        <w:t xml:space="preserve">בתקשורת </w:t>
      </w:r>
      <w:bookmarkStart w:id="46234" w:name="_ETM_Q86_253350"/>
      <w:bookmarkEnd w:id="46234"/>
      <w:r>
        <w:rPr>
          <w:rFonts w:hint="cs"/>
          <w:rtl/>
        </w:rPr>
        <w:t xml:space="preserve">לומדים </w:t>
      </w:r>
      <w:bookmarkStart w:id="46235" w:name="_ETM_Q86_253709"/>
      <w:bookmarkEnd w:id="46235"/>
      <w:r>
        <w:rPr>
          <w:rFonts w:hint="cs"/>
          <w:rtl/>
        </w:rPr>
        <w:t xml:space="preserve">מהם </w:t>
      </w:r>
      <w:bookmarkStart w:id="46236" w:name="_ETM_Q86_253950"/>
      <w:bookmarkEnd w:id="46236"/>
      <w:r>
        <w:rPr>
          <w:rFonts w:hint="cs"/>
          <w:rtl/>
        </w:rPr>
        <w:t xml:space="preserve">ואומרים </w:t>
      </w:r>
      <w:bookmarkStart w:id="46237" w:name="_ETM_Q86_254430"/>
      <w:bookmarkEnd w:id="46237"/>
      <w:r>
        <w:rPr>
          <w:rFonts w:hint="cs"/>
          <w:rtl/>
        </w:rPr>
        <w:t xml:space="preserve">שטייסי </w:t>
      </w:r>
      <w:bookmarkStart w:id="46238" w:name="_ETM_Q86_254969"/>
      <w:bookmarkEnd w:id="46238"/>
      <w:r>
        <w:rPr>
          <w:rFonts w:hint="cs"/>
          <w:rtl/>
        </w:rPr>
        <w:t xml:space="preserve">המילואים </w:t>
      </w:r>
      <w:bookmarkStart w:id="46239" w:name="_ETM_Q86_255450"/>
      <w:bookmarkEnd w:id="46239"/>
      <w:r>
        <w:rPr>
          <w:rFonts w:hint="cs"/>
          <w:rtl/>
        </w:rPr>
        <w:t xml:space="preserve">הם מוגלה </w:t>
      </w:r>
      <w:bookmarkStart w:id="46240" w:name="_ETM_Q86_256289"/>
      <w:bookmarkEnd w:id="46240"/>
      <w:r>
        <w:rPr>
          <w:rFonts w:hint="cs"/>
          <w:rtl/>
        </w:rPr>
        <w:t xml:space="preserve">שצריך </w:t>
      </w:r>
      <w:bookmarkStart w:id="46241" w:name="_ETM_Q86_256890"/>
      <w:bookmarkEnd w:id="46241"/>
      <w:r>
        <w:rPr>
          <w:rFonts w:hint="cs"/>
          <w:rtl/>
        </w:rPr>
        <w:t xml:space="preserve">להוציא. </w:t>
      </w:r>
      <w:bookmarkStart w:id="46242" w:name="_ETM_Q86_257310"/>
      <w:bookmarkEnd w:id="46242"/>
      <w:r>
        <w:rPr>
          <w:rFonts w:hint="cs"/>
          <w:rtl/>
        </w:rPr>
        <w:t xml:space="preserve">כן, </w:t>
      </w:r>
      <w:bookmarkStart w:id="46243" w:name="_ETM_Q86_257610"/>
      <w:bookmarkEnd w:id="46243"/>
      <w:r>
        <w:rPr>
          <w:rFonts w:hint="cs"/>
          <w:rtl/>
        </w:rPr>
        <w:t xml:space="preserve">אמר </w:t>
      </w:r>
      <w:bookmarkStart w:id="46244" w:name="_ETM_Q86_257850"/>
      <w:bookmarkEnd w:id="46244"/>
      <w:r>
        <w:rPr>
          <w:rFonts w:hint="cs"/>
          <w:rtl/>
        </w:rPr>
        <w:t xml:space="preserve">את </w:t>
      </w:r>
      <w:bookmarkStart w:id="46245" w:name="_ETM_Q86_257939"/>
      <w:bookmarkEnd w:id="46245"/>
      <w:r>
        <w:rPr>
          <w:rFonts w:hint="cs"/>
          <w:rtl/>
        </w:rPr>
        <w:t xml:space="preserve">זה </w:t>
      </w:r>
      <w:bookmarkStart w:id="46246" w:name="_ETM_Q86_258030"/>
      <w:bookmarkEnd w:id="46246"/>
      <w:r>
        <w:rPr>
          <w:rFonts w:hint="cs"/>
          <w:rtl/>
        </w:rPr>
        <w:t xml:space="preserve">ברדוגו, אחד מהשופרים </w:t>
      </w:r>
      <w:bookmarkStart w:id="46247" w:name="_ETM_Q86_259590"/>
      <w:bookmarkEnd w:id="46247"/>
      <w:r>
        <w:rPr>
          <w:rFonts w:hint="cs"/>
          <w:rtl/>
        </w:rPr>
        <w:t>שלהם.</w:t>
      </w:r>
    </w:p>
    <w:p w:rsidR="00BB59CD" w:rsidRDefault="00BB59CD" w:rsidP="00BB59CD">
      <w:pPr>
        <w:rPr>
          <w:rtl/>
        </w:rPr>
      </w:pPr>
    </w:p>
    <w:p w:rsidR="00BB59CD" w:rsidRDefault="00BB59CD" w:rsidP="000145FA">
      <w:pPr>
        <w:rPr>
          <w:rtl/>
        </w:rPr>
      </w:pPr>
      <w:bookmarkStart w:id="46248" w:name="_ETM_Q86_261500"/>
      <w:bookmarkEnd w:id="46248"/>
      <w:r>
        <w:rPr>
          <w:rFonts w:hint="cs"/>
          <w:rtl/>
        </w:rPr>
        <w:t xml:space="preserve">חברי </w:t>
      </w:r>
      <w:bookmarkStart w:id="46249" w:name="_ETM_Q86_261950"/>
      <w:bookmarkEnd w:id="46249"/>
      <w:r>
        <w:rPr>
          <w:rFonts w:hint="cs"/>
          <w:rtl/>
        </w:rPr>
        <w:t xml:space="preserve">ליכוד </w:t>
      </w:r>
      <w:bookmarkStart w:id="46250" w:name="_ETM_Q86_262370"/>
      <w:bookmarkEnd w:id="46250"/>
      <w:r>
        <w:rPr>
          <w:rFonts w:hint="cs"/>
          <w:rtl/>
        </w:rPr>
        <w:t xml:space="preserve">מכניסים </w:t>
      </w:r>
      <w:bookmarkStart w:id="46251" w:name="_ETM_Q86_262850"/>
      <w:bookmarkEnd w:id="46251"/>
      <w:r>
        <w:rPr>
          <w:rFonts w:hint="cs"/>
          <w:rtl/>
        </w:rPr>
        <w:t xml:space="preserve">לכנסת </w:t>
      </w:r>
      <w:bookmarkStart w:id="46252" w:name="_ETM_Q86_263390"/>
      <w:bookmarkEnd w:id="46252"/>
      <w:r>
        <w:rPr>
          <w:rFonts w:hint="cs"/>
          <w:rtl/>
        </w:rPr>
        <w:t xml:space="preserve">שוב </w:t>
      </w:r>
      <w:bookmarkStart w:id="46253" w:name="_ETM_Q86_263630"/>
      <w:bookmarkEnd w:id="46253"/>
      <w:r>
        <w:rPr>
          <w:rFonts w:hint="cs"/>
          <w:rtl/>
        </w:rPr>
        <w:t xml:space="preserve">ושוב </w:t>
      </w:r>
      <w:bookmarkStart w:id="46254" w:name="_ETM_Q86_263930"/>
      <w:bookmarkEnd w:id="46254"/>
      <w:r>
        <w:rPr>
          <w:rFonts w:hint="cs"/>
          <w:rtl/>
        </w:rPr>
        <w:t xml:space="preserve">את </w:t>
      </w:r>
      <w:bookmarkStart w:id="46255" w:name="_ETM_Q86_264020"/>
      <w:bookmarkEnd w:id="46255"/>
      <w:r>
        <w:rPr>
          <w:rFonts w:hint="cs"/>
          <w:rtl/>
        </w:rPr>
        <w:t xml:space="preserve">משה </w:t>
      </w:r>
      <w:bookmarkStart w:id="46256" w:name="_ETM_Q86_264290"/>
      <w:bookmarkEnd w:id="46256"/>
      <w:r>
        <w:rPr>
          <w:rFonts w:hint="cs"/>
          <w:rtl/>
        </w:rPr>
        <w:t xml:space="preserve">מירון. </w:t>
      </w:r>
      <w:bookmarkStart w:id="46257" w:name="_ETM_Q86_264620"/>
      <w:bookmarkEnd w:id="46257"/>
      <w:r>
        <w:rPr>
          <w:rFonts w:hint="cs"/>
          <w:rtl/>
        </w:rPr>
        <w:t xml:space="preserve">אני </w:t>
      </w:r>
      <w:bookmarkStart w:id="46258" w:name="_ETM_Q86_264740"/>
      <w:bookmarkEnd w:id="46258"/>
      <w:r>
        <w:rPr>
          <w:rFonts w:hint="cs"/>
          <w:rtl/>
        </w:rPr>
        <w:t xml:space="preserve">מתפלא </w:t>
      </w:r>
      <w:bookmarkStart w:id="46259" w:name="_ETM_Q86_265100"/>
      <w:bookmarkEnd w:id="46259"/>
      <w:r>
        <w:rPr>
          <w:rFonts w:hint="cs"/>
          <w:rtl/>
        </w:rPr>
        <w:t xml:space="preserve">שהוא </w:t>
      </w:r>
      <w:bookmarkStart w:id="46260" w:name="_ETM_Q86_265280"/>
      <w:bookmarkEnd w:id="46260"/>
      <w:r>
        <w:rPr>
          <w:rFonts w:hint="cs"/>
          <w:rtl/>
        </w:rPr>
        <w:t xml:space="preserve">לא </w:t>
      </w:r>
      <w:bookmarkStart w:id="46261" w:name="_ETM_Q86_265370"/>
      <w:bookmarkEnd w:id="46261"/>
      <w:r>
        <w:rPr>
          <w:rFonts w:hint="cs"/>
          <w:rtl/>
        </w:rPr>
        <w:t xml:space="preserve">נמצא </w:t>
      </w:r>
      <w:bookmarkStart w:id="46262" w:name="_ETM_Q86_265700"/>
      <w:bookmarkEnd w:id="46262"/>
      <w:r>
        <w:rPr>
          <w:rFonts w:hint="cs"/>
          <w:rtl/>
        </w:rPr>
        <w:t xml:space="preserve">פה, </w:t>
      </w:r>
      <w:bookmarkStart w:id="46263" w:name="_ETM_Q86_265850"/>
      <w:bookmarkEnd w:id="46263"/>
      <w:r>
        <w:rPr>
          <w:rFonts w:hint="cs"/>
          <w:rtl/>
        </w:rPr>
        <w:t xml:space="preserve">כנראה </w:t>
      </w:r>
      <w:bookmarkStart w:id="46264" w:name="_ETM_Q86_266180"/>
      <w:bookmarkEnd w:id="46264"/>
      <w:r>
        <w:rPr>
          <w:rFonts w:hint="cs"/>
          <w:rtl/>
        </w:rPr>
        <w:t xml:space="preserve">שהיציע </w:t>
      </w:r>
      <w:bookmarkStart w:id="46265" w:name="_ETM_Q86_266780"/>
      <w:bookmarkEnd w:id="46265"/>
      <w:r>
        <w:rPr>
          <w:rFonts w:hint="cs"/>
          <w:rtl/>
        </w:rPr>
        <w:t xml:space="preserve">סגור. </w:t>
      </w:r>
      <w:bookmarkStart w:id="46266" w:name="_ETM_Q86_267470"/>
      <w:bookmarkEnd w:id="46266"/>
      <w:r>
        <w:rPr>
          <w:rFonts w:hint="cs"/>
          <w:rtl/>
        </w:rPr>
        <w:t xml:space="preserve">הבן אדם </w:t>
      </w:r>
      <w:bookmarkStart w:id="46267" w:name="_ETM_Q86_268040"/>
      <w:bookmarkEnd w:id="46267"/>
      <w:r>
        <w:rPr>
          <w:rFonts w:hint="cs"/>
          <w:rtl/>
        </w:rPr>
        <w:t xml:space="preserve">נמצא </w:t>
      </w:r>
      <w:bookmarkStart w:id="46268" w:name="_ETM_Q86_268400"/>
      <w:bookmarkEnd w:id="46268"/>
      <w:r>
        <w:rPr>
          <w:rFonts w:hint="cs"/>
          <w:rtl/>
        </w:rPr>
        <w:t xml:space="preserve">פה </w:t>
      </w:r>
      <w:bookmarkStart w:id="46269" w:name="_ETM_Q86_268550"/>
      <w:bookmarkEnd w:id="46269"/>
      <w:r>
        <w:rPr>
          <w:rFonts w:hint="cs"/>
          <w:rtl/>
        </w:rPr>
        <w:t xml:space="preserve">יותר </w:t>
      </w:r>
      <w:bookmarkStart w:id="46270" w:name="_ETM_Q86_268760"/>
      <w:bookmarkEnd w:id="46270"/>
      <w:r>
        <w:rPr>
          <w:rFonts w:hint="cs"/>
          <w:rtl/>
        </w:rPr>
        <w:t xml:space="preserve">מחברי </w:t>
      </w:r>
      <w:bookmarkStart w:id="46271" w:name="_ETM_Q86_269120"/>
      <w:bookmarkEnd w:id="46271"/>
      <w:r>
        <w:rPr>
          <w:rFonts w:hint="cs"/>
          <w:rtl/>
        </w:rPr>
        <w:t xml:space="preserve">כנסת, </w:t>
      </w:r>
      <w:bookmarkStart w:id="46272" w:name="_ETM_Q86_270270"/>
      <w:bookmarkEnd w:id="46272"/>
      <w:r>
        <w:rPr>
          <w:rFonts w:hint="cs"/>
          <w:rtl/>
        </w:rPr>
        <w:t xml:space="preserve">יושב </w:t>
      </w:r>
      <w:bookmarkStart w:id="46273" w:name="_ETM_Q86_270720"/>
      <w:bookmarkEnd w:id="46273"/>
      <w:r>
        <w:rPr>
          <w:rFonts w:hint="cs"/>
          <w:rtl/>
        </w:rPr>
        <w:t xml:space="preserve">פה </w:t>
      </w:r>
      <w:bookmarkStart w:id="46274" w:name="_ETM_Q86_271020"/>
      <w:bookmarkEnd w:id="46274"/>
      <w:r>
        <w:rPr>
          <w:rFonts w:hint="cs"/>
          <w:rtl/>
        </w:rPr>
        <w:t xml:space="preserve">במקום </w:t>
      </w:r>
      <w:bookmarkStart w:id="46275" w:name="_ETM_Q86_271470"/>
      <w:bookmarkEnd w:id="46275"/>
      <w:r>
        <w:rPr>
          <w:rFonts w:hint="cs"/>
          <w:rtl/>
        </w:rPr>
        <w:t xml:space="preserve">הזה </w:t>
      </w:r>
      <w:bookmarkStart w:id="46276" w:name="_ETM_Q86_271770"/>
      <w:bookmarkEnd w:id="46276"/>
      <w:r>
        <w:rPr>
          <w:rFonts w:hint="cs"/>
          <w:rtl/>
        </w:rPr>
        <w:t xml:space="preserve">כל </w:t>
      </w:r>
      <w:bookmarkStart w:id="46277" w:name="_ETM_Q86_272009"/>
      <w:bookmarkEnd w:id="46277"/>
      <w:r>
        <w:rPr>
          <w:rFonts w:hint="cs"/>
          <w:rtl/>
        </w:rPr>
        <w:t xml:space="preserve">יום, </w:t>
      </w:r>
      <w:bookmarkStart w:id="46278" w:name="_ETM_Q86_272400"/>
      <w:bookmarkEnd w:id="46278"/>
      <w:r>
        <w:rPr>
          <w:rFonts w:hint="cs"/>
          <w:rtl/>
        </w:rPr>
        <w:t xml:space="preserve">כל </w:t>
      </w:r>
      <w:bookmarkStart w:id="46279" w:name="_ETM_Q86_272670"/>
      <w:bookmarkEnd w:id="46279"/>
      <w:r>
        <w:rPr>
          <w:rFonts w:hint="cs"/>
          <w:rtl/>
        </w:rPr>
        <w:t xml:space="preserve">יום, </w:t>
      </w:r>
      <w:bookmarkStart w:id="46280" w:name="_ETM_Q86_272909"/>
      <w:bookmarkEnd w:id="46280"/>
      <w:r>
        <w:rPr>
          <w:rFonts w:hint="cs"/>
          <w:rtl/>
        </w:rPr>
        <w:t xml:space="preserve">שעות. </w:t>
      </w:r>
      <w:bookmarkStart w:id="46281" w:name="_ETM_Q86_273959"/>
      <w:bookmarkEnd w:id="46281"/>
      <w:r>
        <w:rPr>
          <w:rFonts w:hint="cs"/>
          <w:rtl/>
        </w:rPr>
        <w:t xml:space="preserve">אדם </w:t>
      </w:r>
      <w:bookmarkStart w:id="46282" w:name="_ETM_Q86_274770"/>
      <w:bookmarkEnd w:id="46282"/>
      <w:r>
        <w:rPr>
          <w:rFonts w:hint="cs"/>
          <w:rtl/>
        </w:rPr>
        <w:t xml:space="preserve">שיזם </w:t>
      </w:r>
      <w:bookmarkStart w:id="46283" w:name="_ETM_Q86_275310"/>
      <w:bookmarkEnd w:id="46283"/>
      <w:r>
        <w:rPr>
          <w:rFonts w:hint="cs"/>
          <w:rtl/>
        </w:rPr>
        <w:t xml:space="preserve">את </w:t>
      </w:r>
      <w:bookmarkStart w:id="46284" w:name="_ETM_Q86_275429"/>
      <w:bookmarkEnd w:id="46284"/>
      <w:r>
        <w:rPr>
          <w:rFonts w:hint="cs"/>
          <w:rtl/>
        </w:rPr>
        <w:t xml:space="preserve">קמפיין </w:t>
      </w:r>
      <w:bookmarkStart w:id="46285" w:name="_ETM_Q86_276770"/>
      <w:bookmarkEnd w:id="46285"/>
      <w:r>
        <w:rPr>
          <w:rFonts w:hint="cs"/>
          <w:rtl/>
        </w:rPr>
        <w:t xml:space="preserve">השטנה </w:t>
      </w:r>
      <w:bookmarkStart w:id="46286" w:name="_ETM_Q86_278680"/>
      <w:bookmarkEnd w:id="46286"/>
      <w:r>
        <w:rPr>
          <w:rFonts w:hint="cs"/>
          <w:rtl/>
        </w:rPr>
        <w:t xml:space="preserve">"שמאלנים </w:t>
      </w:r>
      <w:bookmarkStart w:id="46287" w:name="_ETM_Q86_279280"/>
      <w:bookmarkEnd w:id="46287"/>
      <w:r>
        <w:rPr>
          <w:rFonts w:hint="cs"/>
          <w:rtl/>
        </w:rPr>
        <w:t xml:space="preserve">בוגדים". </w:t>
      </w:r>
      <w:bookmarkStart w:id="46288" w:name="_ETM_Q86_280560"/>
      <w:bookmarkEnd w:id="46288"/>
      <w:r>
        <w:rPr>
          <w:rFonts w:hint="cs"/>
          <w:rtl/>
        </w:rPr>
        <w:t xml:space="preserve">אז </w:t>
      </w:r>
      <w:bookmarkStart w:id="46289" w:name="_ETM_Q86_280740"/>
      <w:bookmarkEnd w:id="46289"/>
      <w:r>
        <w:rPr>
          <w:rFonts w:hint="cs"/>
          <w:rtl/>
        </w:rPr>
        <w:t xml:space="preserve">לפחות </w:t>
      </w:r>
      <w:bookmarkStart w:id="46290" w:name="_ETM_Q86_281159"/>
      <w:bookmarkEnd w:id="46290"/>
      <w:r>
        <w:rPr>
          <w:rFonts w:hint="cs"/>
          <w:rtl/>
        </w:rPr>
        <w:t xml:space="preserve">היום </w:t>
      </w:r>
      <w:bookmarkStart w:id="46291" w:name="_ETM_Q86_281399"/>
      <w:bookmarkEnd w:id="46291"/>
      <w:r>
        <w:rPr>
          <w:rFonts w:hint="cs"/>
          <w:rtl/>
        </w:rPr>
        <w:t xml:space="preserve">הוא </w:t>
      </w:r>
      <w:bookmarkStart w:id="46292" w:name="_ETM_Q86_281490"/>
      <w:bookmarkEnd w:id="46292"/>
      <w:r>
        <w:rPr>
          <w:rFonts w:hint="cs"/>
          <w:rtl/>
        </w:rPr>
        <w:t xml:space="preserve">לא </w:t>
      </w:r>
      <w:bookmarkStart w:id="46293" w:name="_ETM_Q86_281579"/>
      <w:bookmarkEnd w:id="46293"/>
      <w:r>
        <w:rPr>
          <w:rFonts w:hint="cs"/>
          <w:rtl/>
        </w:rPr>
        <w:t xml:space="preserve">נמצא </w:t>
      </w:r>
      <w:bookmarkStart w:id="46294" w:name="_ETM_Q86_281939"/>
      <w:bookmarkEnd w:id="46294"/>
      <w:r>
        <w:rPr>
          <w:rFonts w:hint="cs"/>
          <w:rtl/>
        </w:rPr>
        <w:t xml:space="preserve">פה, אבל </w:t>
      </w:r>
      <w:bookmarkStart w:id="46295" w:name="_ETM_Q86_282180"/>
      <w:bookmarkEnd w:id="46295"/>
      <w:r>
        <w:rPr>
          <w:rFonts w:hint="cs"/>
          <w:rtl/>
        </w:rPr>
        <w:t xml:space="preserve">אני </w:t>
      </w:r>
      <w:bookmarkStart w:id="46296" w:name="_ETM_Q86_282360"/>
      <w:bookmarkEnd w:id="46296"/>
      <w:r>
        <w:rPr>
          <w:rFonts w:hint="cs"/>
          <w:rtl/>
        </w:rPr>
        <w:t xml:space="preserve">בטוח </w:t>
      </w:r>
      <w:bookmarkStart w:id="46297" w:name="_ETM_Q86_282689"/>
      <w:bookmarkEnd w:id="46297"/>
      <w:r>
        <w:rPr>
          <w:rFonts w:hint="cs"/>
          <w:rtl/>
        </w:rPr>
        <w:t xml:space="preserve">שהוא </w:t>
      </w:r>
      <w:bookmarkStart w:id="46298" w:name="_ETM_Q86_282840"/>
      <w:bookmarkEnd w:id="46298"/>
      <w:r>
        <w:rPr>
          <w:rFonts w:hint="cs"/>
          <w:rtl/>
        </w:rPr>
        <w:t xml:space="preserve">בבית, </w:t>
      </w:r>
      <w:bookmarkStart w:id="46299" w:name="_ETM_Q86_283170"/>
      <w:bookmarkEnd w:id="46299"/>
      <w:r>
        <w:rPr>
          <w:rFonts w:hint="cs"/>
          <w:rtl/>
        </w:rPr>
        <w:t xml:space="preserve">שומע. </w:t>
      </w:r>
      <w:bookmarkStart w:id="46300" w:name="_ETM_Q86_284380"/>
      <w:bookmarkEnd w:id="46300"/>
      <w:r>
        <w:rPr>
          <w:rFonts w:hint="cs"/>
          <w:rtl/>
        </w:rPr>
        <w:t xml:space="preserve">אז </w:t>
      </w:r>
      <w:bookmarkStart w:id="46301" w:name="_ETM_Q86_284530"/>
      <w:bookmarkEnd w:id="46301"/>
      <w:r>
        <w:rPr>
          <w:rFonts w:hint="cs"/>
          <w:rtl/>
        </w:rPr>
        <w:t xml:space="preserve">אני </w:t>
      </w:r>
      <w:bookmarkStart w:id="46302" w:name="_ETM_Q86_284680"/>
      <w:bookmarkEnd w:id="46302"/>
      <w:r>
        <w:rPr>
          <w:rFonts w:hint="cs"/>
          <w:rtl/>
        </w:rPr>
        <w:t xml:space="preserve">אגיד </w:t>
      </w:r>
      <w:bookmarkStart w:id="46303" w:name="_ETM_Q86_284860"/>
      <w:bookmarkEnd w:id="46303"/>
      <w:r>
        <w:rPr>
          <w:rFonts w:hint="cs"/>
          <w:rtl/>
        </w:rPr>
        <w:t xml:space="preserve">לך </w:t>
      </w:r>
      <w:bookmarkStart w:id="46304" w:name="_ETM_Q86_285069"/>
      <w:bookmarkEnd w:id="46304"/>
      <w:r>
        <w:rPr>
          <w:rFonts w:hint="cs"/>
          <w:rtl/>
        </w:rPr>
        <w:t xml:space="preserve">משהו: </w:t>
      </w:r>
      <w:bookmarkStart w:id="46305" w:name="_ETM_Q86_285430"/>
      <w:bookmarkEnd w:id="46305"/>
      <w:r>
        <w:rPr>
          <w:rFonts w:hint="cs"/>
          <w:rtl/>
        </w:rPr>
        <w:t xml:space="preserve">אני </w:t>
      </w:r>
      <w:bookmarkStart w:id="46306" w:name="_ETM_Q86_285610"/>
      <w:bookmarkEnd w:id="46306"/>
      <w:r>
        <w:rPr>
          <w:rFonts w:hint="cs"/>
          <w:rtl/>
        </w:rPr>
        <w:t xml:space="preserve">אדאג </w:t>
      </w:r>
      <w:bookmarkStart w:id="46307" w:name="_ETM_Q86_285880"/>
      <w:bookmarkEnd w:id="46307"/>
      <w:r>
        <w:rPr>
          <w:rFonts w:hint="cs"/>
          <w:rtl/>
        </w:rPr>
        <w:t xml:space="preserve">לזה </w:t>
      </w:r>
      <w:bookmarkStart w:id="46308" w:name="_ETM_Q86_286119"/>
      <w:bookmarkEnd w:id="46308"/>
      <w:r>
        <w:rPr>
          <w:rFonts w:hint="cs"/>
          <w:rtl/>
        </w:rPr>
        <w:t xml:space="preserve">שלא </w:t>
      </w:r>
      <w:bookmarkStart w:id="46309" w:name="_ETM_Q86_286299"/>
      <w:bookmarkEnd w:id="46309"/>
      <w:r>
        <w:rPr>
          <w:rFonts w:hint="cs"/>
          <w:rtl/>
        </w:rPr>
        <w:t xml:space="preserve">תיכנס </w:t>
      </w:r>
      <w:bookmarkStart w:id="46310" w:name="_ETM_Q86_286659"/>
      <w:bookmarkEnd w:id="46310"/>
      <w:r>
        <w:rPr>
          <w:rFonts w:hint="cs"/>
          <w:rtl/>
        </w:rPr>
        <w:t xml:space="preserve">לכנסת, </w:t>
      </w:r>
      <w:bookmarkStart w:id="46311" w:name="_ETM_Q86_288490"/>
      <w:bookmarkEnd w:id="46311"/>
      <w:r>
        <w:rPr>
          <w:rFonts w:hint="cs"/>
          <w:rtl/>
        </w:rPr>
        <w:t xml:space="preserve">כי </w:t>
      </w:r>
      <w:bookmarkStart w:id="46312" w:name="_ETM_Q86_288640"/>
      <w:bookmarkEnd w:id="46312"/>
      <w:r>
        <w:rPr>
          <w:rFonts w:hint="cs"/>
          <w:rtl/>
        </w:rPr>
        <w:t xml:space="preserve">אתה </w:t>
      </w:r>
      <w:bookmarkStart w:id="46313" w:name="_ETM_Q86_288850"/>
      <w:bookmarkEnd w:id="46313"/>
      <w:r>
        <w:rPr>
          <w:rFonts w:hint="cs"/>
          <w:rtl/>
        </w:rPr>
        <w:t xml:space="preserve">אדם </w:t>
      </w:r>
      <w:bookmarkStart w:id="46314" w:name="_ETM_Q86_289240"/>
      <w:bookmarkEnd w:id="46314"/>
      <w:r>
        <w:rPr>
          <w:rFonts w:hint="cs"/>
          <w:rtl/>
        </w:rPr>
        <w:t>מסוכן.</w:t>
      </w:r>
      <w:bookmarkStart w:id="46315" w:name="_ETM_Q86_293000"/>
      <w:bookmarkStart w:id="46316" w:name="_ETM_Q86_292840"/>
      <w:bookmarkStart w:id="46317" w:name="_ETM_Q86_293440"/>
      <w:bookmarkStart w:id="46318" w:name="_ETM_Q86_294100"/>
      <w:bookmarkEnd w:id="46315"/>
      <w:bookmarkEnd w:id="46316"/>
      <w:bookmarkEnd w:id="46317"/>
      <w:bookmarkEnd w:id="46318"/>
      <w:r>
        <w:rPr>
          <w:rFonts w:hint="cs"/>
          <w:rtl/>
        </w:rPr>
        <w:t xml:space="preserve"> פעיל </w:t>
      </w:r>
      <w:bookmarkStart w:id="46319" w:name="_ETM_Q86_294610"/>
      <w:bookmarkEnd w:id="46319"/>
      <w:r>
        <w:rPr>
          <w:rFonts w:hint="cs"/>
          <w:rtl/>
        </w:rPr>
        <w:t xml:space="preserve">ליכוד </w:t>
      </w:r>
      <w:bookmarkStart w:id="46320" w:name="_ETM_Q86_295000"/>
      <w:bookmarkEnd w:id="46320"/>
      <w:r>
        <w:rPr>
          <w:rFonts w:hint="cs"/>
          <w:rtl/>
        </w:rPr>
        <w:t xml:space="preserve">נוסף </w:t>
      </w:r>
      <w:bookmarkStart w:id="46321" w:name="_ETM_Q86_297109"/>
      <w:bookmarkEnd w:id="46321"/>
      <w:r>
        <w:rPr>
          <w:rFonts w:hint="cs"/>
          <w:rtl/>
        </w:rPr>
        <w:t xml:space="preserve">אמר </w:t>
      </w:r>
      <w:bookmarkStart w:id="46322" w:name="_ETM_Q86_297560"/>
      <w:bookmarkEnd w:id="46322"/>
      <w:r>
        <w:rPr>
          <w:rFonts w:hint="cs"/>
          <w:rtl/>
        </w:rPr>
        <w:t xml:space="preserve">שהוא </w:t>
      </w:r>
      <w:bookmarkStart w:id="46323" w:name="_ETM_Q86_297770"/>
      <w:bookmarkEnd w:id="46323"/>
      <w:r>
        <w:rPr>
          <w:rFonts w:hint="cs"/>
          <w:rtl/>
        </w:rPr>
        <w:t xml:space="preserve">גאה </w:t>
      </w:r>
      <w:bookmarkStart w:id="46324" w:name="_ETM_Q86_298279"/>
      <w:bookmarkEnd w:id="46324"/>
      <w:r>
        <w:rPr>
          <w:rFonts w:hint="cs"/>
          <w:rtl/>
        </w:rPr>
        <w:t xml:space="preserve">על שישה </w:t>
      </w:r>
      <w:bookmarkStart w:id="46325" w:name="_ETM_Q86_297000"/>
      <w:bookmarkEnd w:id="46325"/>
      <w:r>
        <w:rPr>
          <w:rFonts w:hint="cs"/>
          <w:rtl/>
        </w:rPr>
        <w:t xml:space="preserve">מיליון </w:t>
      </w:r>
      <w:bookmarkStart w:id="46326" w:name="_ETM_Q86_298399"/>
      <w:bookmarkStart w:id="46327" w:name="_ETM_Q86_299060"/>
      <w:bookmarkEnd w:id="46326"/>
      <w:bookmarkEnd w:id="46327"/>
      <w:r>
        <w:rPr>
          <w:rFonts w:hint="cs"/>
          <w:rtl/>
        </w:rPr>
        <w:t xml:space="preserve">אשכנזים </w:t>
      </w:r>
      <w:bookmarkStart w:id="46328" w:name="_ETM_Q86_299630"/>
      <w:bookmarkEnd w:id="46328"/>
      <w:r>
        <w:rPr>
          <w:rFonts w:hint="cs"/>
          <w:rtl/>
        </w:rPr>
        <w:t xml:space="preserve">שנשרפו </w:t>
      </w:r>
      <w:bookmarkStart w:id="46329" w:name="_ETM_Q86_300170"/>
      <w:bookmarkEnd w:id="46329"/>
      <w:r>
        <w:rPr>
          <w:rFonts w:hint="cs"/>
          <w:rtl/>
        </w:rPr>
        <w:t xml:space="preserve">בשואה. </w:t>
      </w:r>
      <w:bookmarkStart w:id="46330" w:name="_ETM_Q86_300770"/>
      <w:bookmarkEnd w:id="46330"/>
      <w:r>
        <w:rPr>
          <w:rFonts w:hint="cs"/>
          <w:rtl/>
        </w:rPr>
        <w:t xml:space="preserve">אדם </w:t>
      </w:r>
      <w:bookmarkStart w:id="46331" w:name="_ETM_Q86_302110"/>
      <w:bookmarkEnd w:id="46331"/>
      <w:r>
        <w:rPr>
          <w:rFonts w:hint="cs"/>
          <w:rtl/>
        </w:rPr>
        <w:t xml:space="preserve">שהוא </w:t>
      </w:r>
      <w:bookmarkStart w:id="46332" w:name="_ETM_Q86_302320"/>
      <w:bookmarkEnd w:id="46332"/>
      <w:r>
        <w:rPr>
          <w:rFonts w:hint="cs"/>
          <w:rtl/>
        </w:rPr>
        <w:t xml:space="preserve">השופר </w:t>
      </w:r>
      <w:bookmarkStart w:id="46333" w:name="_ETM_Q86_302830"/>
      <w:bookmarkEnd w:id="46333"/>
      <w:r>
        <w:rPr>
          <w:rFonts w:hint="cs"/>
          <w:rtl/>
        </w:rPr>
        <w:t xml:space="preserve">של </w:t>
      </w:r>
      <w:bookmarkStart w:id="46334" w:name="_ETM_Q86_302980"/>
      <w:bookmarkEnd w:id="46334"/>
      <w:r>
        <w:rPr>
          <w:rFonts w:hint="cs"/>
          <w:rtl/>
        </w:rPr>
        <w:t xml:space="preserve">מפלגת </w:t>
      </w:r>
      <w:bookmarkStart w:id="46335" w:name="_ETM_Q86_303430"/>
      <w:bookmarkEnd w:id="46335"/>
      <w:r>
        <w:rPr>
          <w:rFonts w:hint="cs"/>
          <w:rtl/>
        </w:rPr>
        <w:t xml:space="preserve">הליכוד </w:t>
      </w:r>
      <w:bookmarkStart w:id="46336" w:name="_ETM_Q86_303910"/>
      <w:bookmarkEnd w:id="46336"/>
      <w:r>
        <w:rPr>
          <w:rFonts w:hint="cs"/>
          <w:rtl/>
        </w:rPr>
        <w:t xml:space="preserve">במשך </w:t>
      </w:r>
      <w:bookmarkStart w:id="46337" w:name="_ETM_Q86_304300"/>
      <w:bookmarkEnd w:id="46337"/>
      <w:r>
        <w:rPr>
          <w:rFonts w:hint="cs"/>
          <w:rtl/>
        </w:rPr>
        <w:t xml:space="preserve">שנים, </w:t>
      </w:r>
      <w:bookmarkStart w:id="46338" w:name="_ETM_Q86_305469"/>
      <w:bookmarkEnd w:id="46338"/>
      <w:r>
        <w:rPr>
          <w:rFonts w:hint="cs"/>
          <w:rtl/>
        </w:rPr>
        <w:t xml:space="preserve">אומר </w:t>
      </w:r>
      <w:bookmarkStart w:id="46339" w:name="_ETM_Q86_305859"/>
      <w:bookmarkEnd w:id="46339"/>
      <w:r>
        <w:rPr>
          <w:rFonts w:hint="cs"/>
          <w:rtl/>
        </w:rPr>
        <w:t xml:space="preserve">כך </w:t>
      </w:r>
      <w:bookmarkStart w:id="46340" w:name="_ETM_Q86_306189"/>
      <w:bookmarkEnd w:id="46340"/>
      <w:r>
        <w:rPr>
          <w:rFonts w:hint="cs"/>
          <w:rtl/>
        </w:rPr>
        <w:t xml:space="preserve">על שישה מיליון </w:t>
      </w:r>
      <w:bookmarkStart w:id="46341" w:name="_ETM_Q86_306310"/>
      <w:bookmarkStart w:id="46342" w:name="_ETM_Q86_307090"/>
      <w:bookmarkEnd w:id="46341"/>
      <w:bookmarkEnd w:id="46342"/>
      <w:r>
        <w:rPr>
          <w:rFonts w:hint="cs"/>
          <w:rtl/>
        </w:rPr>
        <w:t xml:space="preserve">אנשים </w:t>
      </w:r>
      <w:bookmarkStart w:id="46343" w:name="_ETM_Q86_307450"/>
      <w:bookmarkEnd w:id="46343"/>
      <w:r>
        <w:rPr>
          <w:rFonts w:hint="cs"/>
          <w:rtl/>
        </w:rPr>
        <w:t xml:space="preserve">שאיבדו </w:t>
      </w:r>
      <w:bookmarkStart w:id="46344" w:name="_ETM_Q86_307840"/>
      <w:bookmarkEnd w:id="46344"/>
      <w:r>
        <w:rPr>
          <w:rFonts w:hint="cs"/>
          <w:rtl/>
        </w:rPr>
        <w:t xml:space="preserve">את </w:t>
      </w:r>
      <w:bookmarkStart w:id="46345" w:name="_ETM_Q86_307899"/>
      <w:bookmarkEnd w:id="46345"/>
      <w:r>
        <w:rPr>
          <w:rFonts w:hint="cs"/>
          <w:rtl/>
        </w:rPr>
        <w:t xml:space="preserve">חייהם. </w:t>
      </w:r>
      <w:bookmarkStart w:id="46346" w:name="_ETM_Q86_308910"/>
      <w:bookmarkEnd w:id="46346"/>
      <w:r>
        <w:rPr>
          <w:rFonts w:hint="cs"/>
          <w:rtl/>
        </w:rPr>
        <w:t xml:space="preserve">הסבא </w:t>
      </w:r>
      <w:bookmarkStart w:id="46347" w:name="_ETM_Q86_309330"/>
      <w:bookmarkEnd w:id="46347"/>
      <w:r>
        <w:rPr>
          <w:rFonts w:hint="cs"/>
          <w:rtl/>
        </w:rPr>
        <w:t xml:space="preserve">שלי, </w:t>
      </w:r>
      <w:bookmarkStart w:id="46348" w:name="_ETM_Q86_309630"/>
      <w:bookmarkEnd w:id="46348"/>
      <w:r>
        <w:rPr>
          <w:rFonts w:hint="cs"/>
          <w:rtl/>
        </w:rPr>
        <w:t xml:space="preserve">הסבתא </w:t>
      </w:r>
      <w:bookmarkStart w:id="46349" w:name="_ETM_Q86_310080"/>
      <w:bookmarkEnd w:id="46349"/>
      <w:r>
        <w:rPr>
          <w:rFonts w:hint="cs"/>
          <w:rtl/>
        </w:rPr>
        <w:t xml:space="preserve">שלי, </w:t>
      </w:r>
      <w:bookmarkStart w:id="46350" w:name="_ETM_Q86_310350"/>
      <w:bookmarkEnd w:id="46350"/>
      <w:r>
        <w:rPr>
          <w:rFonts w:hint="cs"/>
          <w:rtl/>
        </w:rPr>
        <w:t xml:space="preserve">המשפחה </w:t>
      </w:r>
      <w:bookmarkStart w:id="46351" w:name="_ETM_Q86_310860"/>
      <w:bookmarkEnd w:id="46351"/>
      <w:r>
        <w:rPr>
          <w:rFonts w:hint="cs"/>
          <w:rtl/>
        </w:rPr>
        <w:t>שלי.</w:t>
      </w:r>
      <w:bookmarkStart w:id="46352" w:name="_ETM_Q86_312150"/>
      <w:bookmarkEnd w:id="46352"/>
      <w:r w:rsidR="000145FA">
        <w:rPr>
          <w:rFonts w:hint="cs"/>
          <w:rtl/>
        </w:rPr>
        <w:t xml:space="preserve"> </w:t>
      </w:r>
      <w:r>
        <w:rPr>
          <w:rFonts w:hint="cs"/>
          <w:rtl/>
        </w:rPr>
        <w:t xml:space="preserve">השר </w:t>
      </w:r>
      <w:bookmarkStart w:id="46353" w:name="_ETM_Q86_312540"/>
      <w:bookmarkEnd w:id="46353"/>
      <w:r>
        <w:rPr>
          <w:rFonts w:hint="cs"/>
          <w:rtl/>
        </w:rPr>
        <w:t xml:space="preserve">דודי </w:t>
      </w:r>
      <w:bookmarkStart w:id="46354" w:name="_ETM_Q86_312870"/>
      <w:bookmarkEnd w:id="46354"/>
      <w:r>
        <w:rPr>
          <w:rFonts w:hint="cs"/>
          <w:rtl/>
        </w:rPr>
        <w:t xml:space="preserve">אמסלם, </w:t>
      </w:r>
      <w:bookmarkStart w:id="46355" w:name="_ETM_Q86_313980"/>
      <w:bookmarkEnd w:id="46355"/>
      <w:r>
        <w:rPr>
          <w:rFonts w:hint="cs"/>
          <w:rtl/>
        </w:rPr>
        <w:t xml:space="preserve">ששבוע </w:t>
      </w:r>
      <w:bookmarkStart w:id="46356" w:name="_ETM_Q86_314520"/>
      <w:bookmarkEnd w:id="46356"/>
      <w:r>
        <w:rPr>
          <w:rFonts w:hint="cs"/>
          <w:rtl/>
        </w:rPr>
        <w:t xml:space="preserve">אחרי </w:t>
      </w:r>
      <w:bookmarkStart w:id="46357" w:name="_ETM_Q86_314700"/>
      <w:bookmarkEnd w:id="46357"/>
      <w:r>
        <w:rPr>
          <w:rFonts w:hint="cs"/>
          <w:rtl/>
        </w:rPr>
        <w:t xml:space="preserve">שבוע </w:t>
      </w:r>
      <w:bookmarkStart w:id="46358" w:name="_ETM_Q86_315239"/>
      <w:bookmarkEnd w:id="46358"/>
      <w:r>
        <w:rPr>
          <w:rFonts w:hint="cs"/>
          <w:rtl/>
        </w:rPr>
        <w:t xml:space="preserve">עומד </w:t>
      </w:r>
      <w:bookmarkStart w:id="46359" w:name="_ETM_Q86_315660"/>
      <w:bookmarkEnd w:id="46359"/>
      <w:r>
        <w:rPr>
          <w:rFonts w:hint="cs"/>
          <w:rtl/>
        </w:rPr>
        <w:t xml:space="preserve">פה, </w:t>
      </w:r>
      <w:bookmarkStart w:id="46360" w:name="_ETM_Q86_316260"/>
      <w:bookmarkEnd w:id="46360"/>
      <w:r>
        <w:rPr>
          <w:rFonts w:hint="cs"/>
          <w:rtl/>
        </w:rPr>
        <w:t xml:space="preserve">מכתים </w:t>
      </w:r>
      <w:bookmarkStart w:id="46361" w:name="_ETM_Q86_316769"/>
      <w:bookmarkEnd w:id="46361"/>
      <w:r>
        <w:rPr>
          <w:rFonts w:hint="cs"/>
          <w:rtl/>
        </w:rPr>
        <w:t xml:space="preserve">ומזלזל </w:t>
      </w:r>
      <w:bookmarkStart w:id="46362" w:name="_ETM_Q86_318010"/>
      <w:bookmarkEnd w:id="46362"/>
      <w:r>
        <w:rPr>
          <w:rFonts w:hint="cs"/>
          <w:rtl/>
        </w:rPr>
        <w:t xml:space="preserve">בציבור </w:t>
      </w:r>
      <w:bookmarkStart w:id="46363" w:name="_ETM_Q86_318549"/>
      <w:bookmarkEnd w:id="46363"/>
      <w:r>
        <w:rPr>
          <w:rFonts w:hint="cs"/>
          <w:rtl/>
        </w:rPr>
        <w:t xml:space="preserve">שלם </w:t>
      </w:r>
      <w:bookmarkStart w:id="46364" w:name="_ETM_Q86_318849"/>
      <w:bookmarkEnd w:id="46364"/>
      <w:r>
        <w:rPr>
          <w:rFonts w:hint="cs"/>
          <w:rtl/>
        </w:rPr>
        <w:t xml:space="preserve">של </w:t>
      </w:r>
      <w:bookmarkStart w:id="46365" w:name="_ETM_Q86_318999"/>
      <w:bookmarkEnd w:id="46365"/>
      <w:r>
        <w:rPr>
          <w:rFonts w:hint="cs"/>
          <w:rtl/>
        </w:rPr>
        <w:t xml:space="preserve">פטריוטים </w:t>
      </w:r>
      <w:bookmarkStart w:id="46366" w:name="_ETM_Q86_319599"/>
      <w:bookmarkEnd w:id="46366"/>
      <w:r>
        <w:rPr>
          <w:rFonts w:hint="cs"/>
          <w:rtl/>
        </w:rPr>
        <w:t xml:space="preserve">שנלחם </w:t>
      </w:r>
      <w:bookmarkStart w:id="46367" w:name="_ETM_Q86_320019"/>
      <w:bookmarkEnd w:id="46367"/>
      <w:r>
        <w:rPr>
          <w:rFonts w:hint="cs"/>
          <w:rtl/>
        </w:rPr>
        <w:t xml:space="preserve">על </w:t>
      </w:r>
      <w:bookmarkStart w:id="46368" w:name="_ETM_Q86_320109"/>
      <w:bookmarkEnd w:id="46368"/>
      <w:r>
        <w:rPr>
          <w:rFonts w:hint="cs"/>
          <w:rtl/>
        </w:rPr>
        <w:t xml:space="preserve">המדינה </w:t>
      </w:r>
      <w:bookmarkStart w:id="46369" w:name="_ETM_Q86_321139"/>
      <w:bookmarkEnd w:id="46369"/>
      <w:r>
        <w:rPr>
          <w:rFonts w:hint="cs"/>
          <w:rtl/>
        </w:rPr>
        <w:t xml:space="preserve">– עומד </w:t>
      </w:r>
      <w:bookmarkStart w:id="46370" w:name="_ETM_Q86_321530"/>
      <w:bookmarkEnd w:id="46370"/>
      <w:r>
        <w:rPr>
          <w:rFonts w:hint="cs"/>
          <w:rtl/>
        </w:rPr>
        <w:t xml:space="preserve">פה </w:t>
      </w:r>
      <w:bookmarkStart w:id="46371" w:name="_ETM_Q86_321769"/>
      <w:bookmarkEnd w:id="46371"/>
      <w:r>
        <w:rPr>
          <w:rFonts w:hint="cs"/>
          <w:rtl/>
        </w:rPr>
        <w:t xml:space="preserve">ככה, </w:t>
      </w:r>
      <w:bookmarkStart w:id="46372" w:name="_ETM_Q86_322099"/>
      <w:bookmarkEnd w:id="46372"/>
      <w:r>
        <w:rPr>
          <w:rFonts w:hint="cs"/>
          <w:rtl/>
        </w:rPr>
        <w:t xml:space="preserve">עם </w:t>
      </w:r>
      <w:bookmarkStart w:id="46373" w:name="_ETM_Q86_322189"/>
      <w:bookmarkEnd w:id="46373"/>
      <w:r>
        <w:rPr>
          <w:rFonts w:hint="cs"/>
          <w:rtl/>
        </w:rPr>
        <w:t xml:space="preserve">הידיים </w:t>
      </w:r>
      <w:bookmarkStart w:id="46374" w:name="_ETM_Q86_322549"/>
      <w:bookmarkEnd w:id="46374"/>
      <w:r>
        <w:rPr>
          <w:rFonts w:hint="cs"/>
          <w:rtl/>
        </w:rPr>
        <w:t xml:space="preserve">בצורה </w:t>
      </w:r>
      <w:bookmarkStart w:id="46375" w:name="_ETM_Q86_322909"/>
      <w:bookmarkEnd w:id="46375"/>
      <w:r>
        <w:rPr>
          <w:rFonts w:hint="cs"/>
          <w:rtl/>
        </w:rPr>
        <w:t xml:space="preserve">כזאת, </w:t>
      </w:r>
      <w:bookmarkStart w:id="46376" w:name="_ETM_Q86_323840"/>
      <w:bookmarkEnd w:id="46376"/>
      <w:r>
        <w:rPr>
          <w:rFonts w:hint="cs"/>
          <w:rtl/>
        </w:rPr>
        <w:t xml:space="preserve">וקורא </w:t>
      </w:r>
      <w:bookmarkStart w:id="46377" w:name="_ETM_Q86_324409"/>
      <w:bookmarkEnd w:id="46377"/>
      <w:r>
        <w:rPr>
          <w:rFonts w:hint="cs"/>
          <w:rtl/>
        </w:rPr>
        <w:t xml:space="preserve">לטייס </w:t>
      </w:r>
      <w:bookmarkStart w:id="46378" w:name="_ETM_Q86_326700"/>
      <w:bookmarkEnd w:id="46378"/>
      <w:r>
        <w:rPr>
          <w:rFonts w:hint="cs"/>
          <w:rtl/>
        </w:rPr>
        <w:t xml:space="preserve">בכיר, </w:t>
      </w:r>
      <w:bookmarkStart w:id="46379" w:name="_ETM_Q86_327599"/>
      <w:bookmarkEnd w:id="46379"/>
      <w:r>
        <w:rPr>
          <w:rFonts w:hint="cs"/>
          <w:rtl/>
        </w:rPr>
        <w:t xml:space="preserve">גיבור </w:t>
      </w:r>
      <w:bookmarkStart w:id="46380" w:name="_ETM_Q86_328019"/>
      <w:bookmarkEnd w:id="46380"/>
      <w:r>
        <w:rPr>
          <w:rFonts w:hint="cs"/>
          <w:rtl/>
        </w:rPr>
        <w:t>ישראל</w:t>
      </w:r>
      <w:r w:rsidR="000145FA">
        <w:rPr>
          <w:rFonts w:hint="cs"/>
          <w:rtl/>
        </w:rPr>
        <w:t>:</w:t>
      </w:r>
      <w:r>
        <w:rPr>
          <w:rFonts w:hint="cs"/>
          <w:rtl/>
        </w:rPr>
        <w:t xml:space="preserve"> </w:t>
      </w:r>
      <w:bookmarkStart w:id="46381" w:name="_ETM_Q86_329069"/>
      <w:bookmarkEnd w:id="46381"/>
      <w:r>
        <w:rPr>
          <w:rFonts w:hint="cs"/>
          <w:rtl/>
        </w:rPr>
        <w:t>צפונ</w:t>
      </w:r>
      <w:bookmarkStart w:id="46382" w:name="_ETM_Q86_329519"/>
      <w:bookmarkEnd w:id="46382"/>
      <w:r>
        <w:rPr>
          <w:rFonts w:hint="cs"/>
          <w:rtl/>
        </w:rPr>
        <w:t xml:space="preserve">בון </w:t>
      </w:r>
      <w:bookmarkStart w:id="46383" w:name="_ETM_Q86_330090"/>
      <w:bookmarkEnd w:id="46383"/>
      <w:r>
        <w:rPr>
          <w:rFonts w:hint="cs"/>
          <w:rtl/>
        </w:rPr>
        <w:t>שנ</w:t>
      </w:r>
      <w:r w:rsidR="000145FA">
        <w:rPr>
          <w:rFonts w:hint="cs"/>
          <w:rtl/>
        </w:rPr>
        <w:t>ס</w:t>
      </w:r>
      <w:r>
        <w:rPr>
          <w:rFonts w:hint="cs"/>
          <w:rtl/>
        </w:rPr>
        <w:t xml:space="preserve">רט </w:t>
      </w:r>
      <w:bookmarkStart w:id="46384" w:name="_ETM_Q86_330810"/>
      <w:bookmarkStart w:id="46385" w:name="_ETM_Q86_331080"/>
      <w:bookmarkEnd w:id="46384"/>
      <w:bookmarkEnd w:id="46385"/>
      <w:r>
        <w:rPr>
          <w:rFonts w:hint="cs"/>
          <w:rtl/>
        </w:rPr>
        <w:t xml:space="preserve">ליד </w:t>
      </w:r>
      <w:bookmarkStart w:id="46386" w:name="_ETM_Q86_331440"/>
      <w:bookmarkEnd w:id="46386"/>
      <w:r>
        <w:rPr>
          <w:rFonts w:hint="cs"/>
          <w:rtl/>
        </w:rPr>
        <w:t xml:space="preserve">העין, </w:t>
      </w:r>
      <w:bookmarkStart w:id="46387" w:name="_ETM_Q86_333260"/>
      <w:bookmarkEnd w:id="46387"/>
      <w:r>
        <w:rPr>
          <w:rFonts w:hint="cs"/>
          <w:rtl/>
        </w:rPr>
        <w:t>ו</w:t>
      </w:r>
      <w:bookmarkStart w:id="46388" w:name="_ETM_Q86_333680"/>
      <w:bookmarkEnd w:id="46388"/>
      <w:r>
        <w:rPr>
          <w:rFonts w:hint="cs"/>
          <w:rtl/>
        </w:rPr>
        <w:t xml:space="preserve">המפגינים </w:t>
      </w:r>
      <w:bookmarkStart w:id="46389" w:name="_ETM_Q86_334190"/>
      <w:bookmarkEnd w:id="46389"/>
      <w:r>
        <w:rPr>
          <w:rFonts w:hint="cs"/>
          <w:rtl/>
        </w:rPr>
        <w:t xml:space="preserve">מגיעים </w:t>
      </w:r>
      <w:bookmarkStart w:id="46390" w:name="_ETM_Q86_334520"/>
      <w:bookmarkEnd w:id="46390"/>
      <w:r>
        <w:rPr>
          <w:rFonts w:hint="cs"/>
          <w:rtl/>
        </w:rPr>
        <w:t xml:space="preserve">עם רולקסים ועם מרצדסים. </w:t>
      </w:r>
      <w:bookmarkStart w:id="46391" w:name="_ETM_Q86_337730"/>
      <w:bookmarkEnd w:id="46391"/>
      <w:r>
        <w:rPr>
          <w:rFonts w:hint="cs"/>
          <w:rtl/>
        </w:rPr>
        <w:t xml:space="preserve">יום </w:t>
      </w:r>
      <w:bookmarkStart w:id="46392" w:name="_ETM_Q86_338120"/>
      <w:bookmarkEnd w:id="46392"/>
      <w:r>
        <w:rPr>
          <w:rFonts w:hint="cs"/>
          <w:rtl/>
        </w:rPr>
        <w:t xml:space="preserve">אחרי </w:t>
      </w:r>
      <w:bookmarkStart w:id="46393" w:name="_ETM_Q86_338389"/>
      <w:bookmarkEnd w:id="46393"/>
      <w:r>
        <w:rPr>
          <w:rFonts w:hint="cs"/>
          <w:rtl/>
        </w:rPr>
        <w:t xml:space="preserve">יום </w:t>
      </w:r>
      <w:bookmarkStart w:id="46394" w:name="_ETM_Q86_338600"/>
      <w:bookmarkEnd w:id="46394"/>
      <w:r>
        <w:rPr>
          <w:rFonts w:hint="cs"/>
          <w:rtl/>
        </w:rPr>
        <w:t xml:space="preserve">הוא עומד </w:t>
      </w:r>
      <w:bookmarkStart w:id="46395" w:name="_ETM_Q86_338930"/>
      <w:bookmarkEnd w:id="46395"/>
      <w:r>
        <w:rPr>
          <w:rFonts w:hint="cs"/>
          <w:rtl/>
        </w:rPr>
        <w:t xml:space="preserve">פה. </w:t>
      </w:r>
      <w:bookmarkStart w:id="46396" w:name="_ETM_Q86_341340"/>
      <w:bookmarkEnd w:id="46396"/>
      <w:r>
        <w:rPr>
          <w:rFonts w:hint="cs"/>
          <w:rtl/>
        </w:rPr>
        <w:t xml:space="preserve">הזלזול </w:t>
      </w:r>
      <w:bookmarkStart w:id="46397" w:name="_ETM_Q86_341970"/>
      <w:bookmarkEnd w:id="46397"/>
      <w:r>
        <w:rPr>
          <w:rFonts w:hint="cs"/>
          <w:rtl/>
        </w:rPr>
        <w:t xml:space="preserve">הזה </w:t>
      </w:r>
      <w:bookmarkStart w:id="46398" w:name="_ETM_Q86_342180"/>
      <w:bookmarkEnd w:id="46398"/>
      <w:r>
        <w:rPr>
          <w:rFonts w:hint="cs"/>
          <w:rtl/>
        </w:rPr>
        <w:t xml:space="preserve">בעין </w:t>
      </w:r>
      <w:bookmarkStart w:id="46399" w:name="_ETM_Q86_342480"/>
      <w:bookmarkEnd w:id="46399"/>
      <w:r>
        <w:rPr>
          <w:rFonts w:hint="cs"/>
          <w:rtl/>
        </w:rPr>
        <w:t xml:space="preserve">של </w:t>
      </w:r>
      <w:bookmarkStart w:id="46400" w:name="_ETM_Q86_342660"/>
      <w:bookmarkEnd w:id="46400"/>
      <w:r>
        <w:rPr>
          <w:rFonts w:hint="cs"/>
          <w:rtl/>
        </w:rPr>
        <w:t xml:space="preserve">אותו </w:t>
      </w:r>
      <w:bookmarkStart w:id="46401" w:name="_ETM_Q86_342870"/>
      <w:bookmarkEnd w:id="46401"/>
      <w:r>
        <w:rPr>
          <w:rFonts w:hint="cs"/>
          <w:rtl/>
        </w:rPr>
        <w:t>אלוף</w:t>
      </w:r>
      <w:bookmarkStart w:id="46402" w:name="_ETM_Q86_343139"/>
      <w:bookmarkEnd w:id="46402"/>
      <w:r>
        <w:rPr>
          <w:rFonts w:hint="cs"/>
          <w:rtl/>
        </w:rPr>
        <w:t xml:space="preserve">-משנה </w:t>
      </w:r>
      <w:bookmarkStart w:id="46403" w:name="_ETM_Q86_343590"/>
      <w:bookmarkEnd w:id="46403"/>
      <w:r>
        <w:rPr>
          <w:rFonts w:hint="cs"/>
          <w:rtl/>
        </w:rPr>
        <w:t xml:space="preserve">הוא תקיעת </w:t>
      </w:r>
      <w:bookmarkStart w:id="46404" w:name="_ETM_Q86_344310"/>
      <w:bookmarkEnd w:id="46404"/>
      <w:r>
        <w:rPr>
          <w:rFonts w:hint="cs"/>
          <w:rtl/>
        </w:rPr>
        <w:t xml:space="preserve">אצבע </w:t>
      </w:r>
      <w:bookmarkStart w:id="46405" w:name="_ETM_Q86_344790"/>
      <w:bookmarkStart w:id="46406" w:name="_ETM_Q86_345150"/>
      <w:bookmarkEnd w:id="46405"/>
      <w:bookmarkEnd w:id="46406"/>
      <w:r>
        <w:rPr>
          <w:rFonts w:hint="cs"/>
          <w:rtl/>
        </w:rPr>
        <w:t xml:space="preserve">בעיניים </w:t>
      </w:r>
      <w:bookmarkStart w:id="46407" w:name="_ETM_Q86_345690"/>
      <w:bookmarkEnd w:id="46407"/>
      <w:r>
        <w:rPr>
          <w:rFonts w:hint="cs"/>
          <w:rtl/>
        </w:rPr>
        <w:t xml:space="preserve">של </w:t>
      </w:r>
      <w:bookmarkStart w:id="46408" w:name="_ETM_Q86_345840"/>
      <w:bookmarkEnd w:id="46408"/>
      <w:r>
        <w:rPr>
          <w:rFonts w:hint="cs"/>
          <w:rtl/>
        </w:rPr>
        <w:t xml:space="preserve">הציבור, </w:t>
      </w:r>
      <w:bookmarkStart w:id="46409" w:name="_ETM_Q86_347400"/>
      <w:bookmarkEnd w:id="46409"/>
      <w:r>
        <w:rPr>
          <w:rFonts w:hint="cs"/>
          <w:rtl/>
        </w:rPr>
        <w:t xml:space="preserve">הציבור </w:t>
      </w:r>
      <w:bookmarkStart w:id="46410" w:name="_ETM_Q86_348000"/>
      <w:bookmarkEnd w:id="46410"/>
      <w:r>
        <w:rPr>
          <w:rFonts w:hint="cs"/>
          <w:rtl/>
        </w:rPr>
        <w:t xml:space="preserve">כולו, </w:t>
      </w:r>
      <w:bookmarkStart w:id="46411" w:name="_ETM_Q86_348510"/>
      <w:bookmarkEnd w:id="46411"/>
      <w:r>
        <w:rPr>
          <w:rFonts w:hint="cs"/>
          <w:rtl/>
        </w:rPr>
        <w:t xml:space="preserve">ובעיקר </w:t>
      </w:r>
      <w:bookmarkStart w:id="46412" w:name="_ETM_Q86_349019"/>
      <w:bookmarkEnd w:id="46412"/>
      <w:r>
        <w:rPr>
          <w:rFonts w:hint="cs"/>
          <w:rtl/>
        </w:rPr>
        <w:t xml:space="preserve">ציבור </w:t>
      </w:r>
      <w:bookmarkStart w:id="46413" w:name="_ETM_Q86_349379"/>
      <w:bookmarkEnd w:id="46413"/>
      <w:r>
        <w:rPr>
          <w:rFonts w:hint="cs"/>
          <w:rtl/>
        </w:rPr>
        <w:t xml:space="preserve">המפגינים. </w:t>
      </w:r>
      <w:bookmarkStart w:id="46414" w:name="_ETM_Q86_351389"/>
      <w:bookmarkEnd w:id="46414"/>
      <w:r>
        <w:rPr>
          <w:rFonts w:hint="cs"/>
          <w:rtl/>
        </w:rPr>
        <w:t xml:space="preserve">ובעוד </w:t>
      </w:r>
      <w:bookmarkStart w:id="46415" w:name="_ETM_Q86_351870"/>
      <w:bookmarkStart w:id="46416" w:name="_ETM_Q86_352319"/>
      <w:bookmarkEnd w:id="46415"/>
      <w:bookmarkEnd w:id="46416"/>
      <w:r>
        <w:rPr>
          <w:rFonts w:hint="cs"/>
          <w:rtl/>
        </w:rPr>
        <w:t xml:space="preserve">שהשר </w:t>
      </w:r>
      <w:bookmarkStart w:id="46417" w:name="_ETM_Q86_352680"/>
      <w:bookmarkEnd w:id="46417"/>
      <w:r>
        <w:rPr>
          <w:rFonts w:hint="cs"/>
          <w:rtl/>
        </w:rPr>
        <w:t xml:space="preserve">אמסלם </w:t>
      </w:r>
      <w:bookmarkStart w:id="46418" w:name="_ETM_Q86_353189"/>
      <w:bookmarkEnd w:id="46418"/>
      <w:r>
        <w:rPr>
          <w:rFonts w:hint="cs"/>
          <w:rtl/>
        </w:rPr>
        <w:t xml:space="preserve">מזלזל </w:t>
      </w:r>
      <w:bookmarkStart w:id="46419" w:name="_ETM_Q86_353730"/>
      <w:bookmarkEnd w:id="46419"/>
      <w:r>
        <w:rPr>
          <w:rFonts w:hint="cs"/>
          <w:rtl/>
        </w:rPr>
        <w:t xml:space="preserve">במפגינים </w:t>
      </w:r>
      <w:bookmarkStart w:id="46420" w:name="_ETM_Q86_355019"/>
      <w:bookmarkEnd w:id="46420"/>
      <w:r>
        <w:rPr>
          <w:rFonts w:hint="cs"/>
          <w:rtl/>
        </w:rPr>
        <w:t xml:space="preserve">עם </w:t>
      </w:r>
      <w:bookmarkStart w:id="46421" w:name="_ETM_Q86_355169"/>
      <w:bookmarkEnd w:id="46421"/>
      <w:r>
        <w:rPr>
          <w:rFonts w:hint="cs"/>
          <w:rtl/>
        </w:rPr>
        <w:t xml:space="preserve">הפלאפל </w:t>
      </w:r>
      <w:bookmarkStart w:id="46422" w:name="_ETM_Q86_355769"/>
      <w:bookmarkEnd w:id="46422"/>
      <w:r>
        <w:rPr>
          <w:rFonts w:hint="cs"/>
          <w:rtl/>
        </w:rPr>
        <w:t xml:space="preserve">על </w:t>
      </w:r>
      <w:bookmarkStart w:id="46423" w:name="_ETM_Q86_355829"/>
      <w:bookmarkEnd w:id="46423"/>
      <w:r>
        <w:rPr>
          <w:rFonts w:hint="cs"/>
          <w:rtl/>
        </w:rPr>
        <w:t xml:space="preserve">הכתפיים, </w:t>
      </w:r>
      <w:bookmarkStart w:id="46424" w:name="_ETM_Q86_356810"/>
      <w:bookmarkEnd w:id="46424"/>
      <w:r>
        <w:rPr>
          <w:rFonts w:hint="cs"/>
          <w:rtl/>
        </w:rPr>
        <w:t xml:space="preserve">לבן גביר, </w:t>
      </w:r>
      <w:bookmarkStart w:id="46425" w:name="_ETM_Q86_356000"/>
      <w:bookmarkEnd w:id="46425"/>
      <w:r>
        <w:rPr>
          <w:rFonts w:hint="cs"/>
          <w:rtl/>
        </w:rPr>
        <w:t xml:space="preserve">שר </w:t>
      </w:r>
      <w:bookmarkStart w:id="46426" w:name="_ETM_Q86_357380"/>
      <w:bookmarkStart w:id="46427" w:name="_ETM_Q86_357860"/>
      <w:bookmarkEnd w:id="46426"/>
      <w:bookmarkEnd w:id="46427"/>
      <w:r>
        <w:rPr>
          <w:rFonts w:hint="cs"/>
          <w:rtl/>
        </w:rPr>
        <w:t xml:space="preserve">הפיתות, </w:t>
      </w:r>
      <w:bookmarkStart w:id="46428" w:name="_ETM_Q86_358639"/>
      <w:bookmarkEnd w:id="46428"/>
      <w:r>
        <w:rPr>
          <w:rFonts w:hint="cs"/>
          <w:rtl/>
        </w:rPr>
        <w:t xml:space="preserve">שר </w:t>
      </w:r>
      <w:bookmarkStart w:id="46429" w:name="_ETM_Q86_358940"/>
      <w:bookmarkEnd w:id="46429"/>
      <w:r>
        <w:rPr>
          <w:rFonts w:hint="cs"/>
          <w:rtl/>
        </w:rPr>
        <w:t>הטיק</w:t>
      </w:r>
      <w:bookmarkStart w:id="46430" w:name="_ETM_Q86_359270"/>
      <w:bookmarkEnd w:id="46430"/>
      <w:r>
        <w:rPr>
          <w:rFonts w:hint="cs"/>
          <w:rtl/>
        </w:rPr>
        <w:t xml:space="preserve">טוק, </w:t>
      </w:r>
      <w:bookmarkStart w:id="46431" w:name="_ETM_Q86_359870"/>
      <w:bookmarkEnd w:id="46431"/>
      <w:r>
        <w:rPr>
          <w:rFonts w:hint="cs"/>
          <w:rtl/>
        </w:rPr>
        <w:t xml:space="preserve">חשוב </w:t>
      </w:r>
      <w:bookmarkStart w:id="46432" w:name="_ETM_Q86_360320"/>
      <w:bookmarkEnd w:id="46432"/>
      <w:r>
        <w:rPr>
          <w:rFonts w:hint="cs"/>
          <w:rtl/>
        </w:rPr>
        <w:t xml:space="preserve">לצייץ </w:t>
      </w:r>
      <w:bookmarkStart w:id="46433" w:name="_ETM_Q86_361530"/>
      <w:bookmarkEnd w:id="46433"/>
      <w:r>
        <w:rPr>
          <w:rFonts w:hint="cs"/>
          <w:rtl/>
        </w:rPr>
        <w:t xml:space="preserve">שזה </w:t>
      </w:r>
      <w:bookmarkStart w:id="46434" w:name="_ETM_Q86_361830"/>
      <w:bookmarkEnd w:id="46434"/>
      <w:r>
        <w:rPr>
          <w:rFonts w:hint="cs"/>
          <w:rtl/>
        </w:rPr>
        <w:t xml:space="preserve">בר </w:t>
      </w:r>
      <w:bookmarkStart w:id="46435" w:name="_ETM_Q86_362040"/>
      <w:bookmarkEnd w:id="46435"/>
      <w:r>
        <w:rPr>
          <w:rFonts w:hint="cs"/>
          <w:rtl/>
        </w:rPr>
        <w:t xml:space="preserve">סלטים </w:t>
      </w:r>
      <w:bookmarkStart w:id="46436" w:name="_ETM_Q86_362459"/>
      <w:bookmarkEnd w:id="46436"/>
      <w:r>
        <w:rPr>
          <w:rFonts w:hint="cs"/>
          <w:rtl/>
        </w:rPr>
        <w:t xml:space="preserve">פתוח, </w:t>
      </w:r>
      <w:bookmarkStart w:id="46437" w:name="_ETM_Q86_362970"/>
      <w:bookmarkEnd w:id="46437"/>
      <w:r>
        <w:rPr>
          <w:rFonts w:hint="cs"/>
          <w:rtl/>
        </w:rPr>
        <w:t xml:space="preserve">שמתחילים </w:t>
      </w:r>
      <w:bookmarkStart w:id="46438" w:name="_ETM_Q86_363510"/>
      <w:bookmarkEnd w:id="46438"/>
      <w:r>
        <w:rPr>
          <w:rFonts w:hint="cs"/>
          <w:rtl/>
        </w:rPr>
        <w:t xml:space="preserve">רק </w:t>
      </w:r>
      <w:bookmarkStart w:id="46439" w:name="_ETM_Q86_363720"/>
      <w:bookmarkEnd w:id="46439"/>
      <w:r>
        <w:rPr>
          <w:rFonts w:hint="cs"/>
          <w:rtl/>
        </w:rPr>
        <w:t xml:space="preserve">הסלטים, </w:t>
      </w:r>
      <w:bookmarkStart w:id="46440" w:name="_ETM_Q86_364650"/>
      <w:bookmarkEnd w:id="46440"/>
      <w:r>
        <w:rPr>
          <w:rFonts w:hint="cs"/>
          <w:rtl/>
        </w:rPr>
        <w:t xml:space="preserve">שזה </w:t>
      </w:r>
      <w:bookmarkStart w:id="46441" w:name="_ETM_Q86_365010"/>
      <w:bookmarkEnd w:id="46441"/>
      <w:r>
        <w:rPr>
          <w:rFonts w:hint="cs"/>
          <w:rtl/>
        </w:rPr>
        <w:t xml:space="preserve">רק </w:t>
      </w:r>
      <w:bookmarkStart w:id="46442" w:name="_ETM_Q86_365220"/>
      <w:bookmarkEnd w:id="46442"/>
      <w:r>
        <w:rPr>
          <w:rFonts w:hint="cs"/>
          <w:rtl/>
        </w:rPr>
        <w:t xml:space="preserve">המתאבנים. </w:t>
      </w:r>
      <w:bookmarkStart w:id="46443" w:name="_ETM_Q86_367079"/>
      <w:bookmarkEnd w:id="46443"/>
      <w:r>
        <w:rPr>
          <w:rFonts w:hint="cs"/>
          <w:rtl/>
        </w:rPr>
        <w:t xml:space="preserve">שר </w:t>
      </w:r>
      <w:bookmarkStart w:id="46444" w:name="_ETM_Q86_367530"/>
      <w:bookmarkEnd w:id="46444"/>
      <w:r>
        <w:rPr>
          <w:rFonts w:hint="cs"/>
          <w:rtl/>
        </w:rPr>
        <w:t xml:space="preserve">במדינת </w:t>
      </w:r>
      <w:bookmarkStart w:id="46445" w:name="_ETM_Q86_368040"/>
      <w:bookmarkEnd w:id="46445"/>
      <w:r>
        <w:rPr>
          <w:rFonts w:hint="cs"/>
          <w:rtl/>
        </w:rPr>
        <w:t xml:space="preserve">ישראל, </w:t>
      </w:r>
      <w:bookmarkStart w:id="46446" w:name="_ETM_Q86_369080"/>
      <w:bookmarkEnd w:id="46446"/>
      <w:r>
        <w:rPr>
          <w:rFonts w:hint="cs"/>
          <w:rtl/>
        </w:rPr>
        <w:t xml:space="preserve">הבנתם </w:t>
      </w:r>
      <w:bookmarkStart w:id="46447" w:name="_ETM_Q86_369620"/>
      <w:bookmarkEnd w:id="46447"/>
      <w:r>
        <w:rPr>
          <w:rFonts w:hint="cs"/>
          <w:rtl/>
        </w:rPr>
        <w:t xml:space="preserve">אותי? </w:t>
      </w:r>
      <w:bookmarkStart w:id="46448" w:name="_ETM_Q86_370419"/>
      <w:bookmarkEnd w:id="46448"/>
      <w:r>
        <w:rPr>
          <w:rFonts w:hint="cs"/>
          <w:rtl/>
        </w:rPr>
        <w:t xml:space="preserve">חצי </w:t>
      </w:r>
      <w:bookmarkStart w:id="46449" w:name="_ETM_Q86_371019"/>
      <w:bookmarkEnd w:id="46449"/>
      <w:r>
        <w:rPr>
          <w:rFonts w:hint="cs"/>
          <w:rtl/>
        </w:rPr>
        <w:t xml:space="preserve">עם </w:t>
      </w:r>
      <w:bookmarkStart w:id="46450" w:name="_ETM_Q86_371230"/>
      <w:bookmarkEnd w:id="46450"/>
      <w:r>
        <w:rPr>
          <w:rFonts w:hint="cs"/>
          <w:rtl/>
        </w:rPr>
        <w:t xml:space="preserve">חרד </w:t>
      </w:r>
      <w:bookmarkStart w:id="46451" w:name="_ETM_Q86_371620"/>
      <w:bookmarkEnd w:id="46451"/>
      <w:r>
        <w:rPr>
          <w:rFonts w:hint="cs"/>
          <w:rtl/>
        </w:rPr>
        <w:t xml:space="preserve">למדינה </w:t>
      </w:r>
      <w:bookmarkStart w:id="46452" w:name="_ETM_Q86_372069"/>
      <w:bookmarkEnd w:id="46452"/>
      <w:r>
        <w:rPr>
          <w:rFonts w:hint="cs"/>
          <w:rtl/>
        </w:rPr>
        <w:t xml:space="preserve">שלו </w:t>
      </w:r>
      <w:bookmarkStart w:id="46453" w:name="_ETM_Q86_372400"/>
      <w:bookmarkStart w:id="46454" w:name="_ETM_Q86_372489"/>
      <w:bookmarkEnd w:id="46453"/>
      <w:bookmarkEnd w:id="46454"/>
      <w:r>
        <w:rPr>
          <w:rFonts w:hint="cs"/>
          <w:rtl/>
        </w:rPr>
        <w:t xml:space="preserve">ובן </w:t>
      </w:r>
      <w:bookmarkStart w:id="46455" w:name="_ETM_Q86_372730"/>
      <w:bookmarkEnd w:id="46455"/>
      <w:r>
        <w:rPr>
          <w:rFonts w:hint="cs"/>
          <w:rtl/>
        </w:rPr>
        <w:t xml:space="preserve">גביר </w:t>
      </w:r>
      <w:bookmarkStart w:id="46456" w:name="_ETM_Q86_374470"/>
      <w:bookmarkEnd w:id="46456"/>
      <w:r>
        <w:rPr>
          <w:rFonts w:hint="cs"/>
          <w:rtl/>
        </w:rPr>
        <w:t xml:space="preserve">עסוק </w:t>
      </w:r>
      <w:bookmarkStart w:id="46457" w:name="_ETM_Q86_375010"/>
      <w:bookmarkEnd w:id="46457"/>
      <w:r>
        <w:rPr>
          <w:rFonts w:hint="cs"/>
          <w:rtl/>
        </w:rPr>
        <w:t xml:space="preserve">בלקושש </w:t>
      </w:r>
      <w:bookmarkStart w:id="46458" w:name="_ETM_Q86_375550"/>
      <w:bookmarkEnd w:id="46458"/>
      <w:r>
        <w:rPr>
          <w:rFonts w:hint="cs"/>
          <w:rtl/>
        </w:rPr>
        <w:t xml:space="preserve">עוד </w:t>
      </w:r>
      <w:bookmarkStart w:id="46459" w:name="_ETM_Q86_375700"/>
      <w:bookmarkEnd w:id="46459"/>
      <w:r>
        <w:rPr>
          <w:rFonts w:hint="cs"/>
          <w:rtl/>
        </w:rPr>
        <w:t xml:space="preserve">קצת </w:t>
      </w:r>
      <w:bookmarkStart w:id="46460" w:name="_ETM_Q86_375909"/>
      <w:bookmarkEnd w:id="46460"/>
      <w:r>
        <w:rPr>
          <w:rFonts w:hint="cs"/>
          <w:rtl/>
        </w:rPr>
        <w:t xml:space="preserve">לייקים. </w:t>
      </w:r>
      <w:bookmarkStart w:id="46461" w:name="_ETM_Q86_376389"/>
      <w:bookmarkEnd w:id="46461"/>
      <w:r>
        <w:rPr>
          <w:rFonts w:hint="cs"/>
          <w:rtl/>
        </w:rPr>
        <w:t xml:space="preserve">זה </w:t>
      </w:r>
      <w:bookmarkStart w:id="46462" w:name="_ETM_Q86_376569"/>
      <w:bookmarkEnd w:id="46462"/>
      <w:r>
        <w:rPr>
          <w:rFonts w:hint="cs"/>
          <w:rtl/>
        </w:rPr>
        <w:t xml:space="preserve">מה </w:t>
      </w:r>
      <w:bookmarkStart w:id="46463" w:name="_ETM_Q86_376690"/>
      <w:bookmarkEnd w:id="46463"/>
      <w:r>
        <w:rPr>
          <w:rFonts w:hint="cs"/>
          <w:rtl/>
        </w:rPr>
        <w:t xml:space="preserve">שמעניין </w:t>
      </w:r>
      <w:bookmarkStart w:id="46464" w:name="_ETM_Q86_377080"/>
      <w:bookmarkEnd w:id="46464"/>
      <w:r>
        <w:rPr>
          <w:rFonts w:hint="cs"/>
          <w:rtl/>
        </w:rPr>
        <w:t xml:space="preserve">אותו. </w:t>
      </w:r>
      <w:bookmarkStart w:id="46465" w:name="_ETM_Q86_377940"/>
      <w:bookmarkEnd w:id="46465"/>
      <w:r>
        <w:rPr>
          <w:rFonts w:hint="cs"/>
          <w:rtl/>
        </w:rPr>
        <w:t xml:space="preserve">זה </w:t>
      </w:r>
      <w:bookmarkStart w:id="46466" w:name="_ETM_Q86_378210"/>
      <w:bookmarkEnd w:id="46466"/>
      <w:r>
        <w:rPr>
          <w:rFonts w:hint="cs"/>
          <w:rtl/>
        </w:rPr>
        <w:t xml:space="preserve">מה </w:t>
      </w:r>
      <w:bookmarkStart w:id="46467" w:name="_ETM_Q86_378330"/>
      <w:bookmarkEnd w:id="46467"/>
      <w:r>
        <w:rPr>
          <w:rFonts w:hint="cs"/>
          <w:rtl/>
        </w:rPr>
        <w:t xml:space="preserve">שמעניין </w:t>
      </w:r>
      <w:bookmarkStart w:id="46468" w:name="_ETM_Q86_378840"/>
      <w:bookmarkEnd w:id="46468"/>
      <w:r>
        <w:rPr>
          <w:rFonts w:hint="cs"/>
          <w:rtl/>
        </w:rPr>
        <w:t xml:space="preserve">את </w:t>
      </w:r>
      <w:bookmarkStart w:id="46469" w:name="_ETM_Q86_379260"/>
      <w:bookmarkEnd w:id="46469"/>
      <w:r>
        <w:rPr>
          <w:rFonts w:hint="cs"/>
          <w:rtl/>
        </w:rPr>
        <w:t xml:space="preserve">השר </w:t>
      </w:r>
      <w:bookmarkStart w:id="46470" w:name="_ETM_Q86_379590"/>
      <w:bookmarkEnd w:id="46470"/>
      <w:r>
        <w:rPr>
          <w:rFonts w:hint="cs"/>
          <w:rtl/>
        </w:rPr>
        <w:t>הזה</w:t>
      </w:r>
      <w:bookmarkStart w:id="46471" w:name="_ETM_Q86_380410"/>
      <w:bookmarkEnd w:id="46471"/>
      <w:r>
        <w:rPr>
          <w:rFonts w:hint="cs"/>
          <w:rtl/>
        </w:rPr>
        <w:t xml:space="preserve">, עוד </w:t>
      </w:r>
      <w:bookmarkStart w:id="46472" w:name="_ETM_Q86_380710"/>
      <w:bookmarkEnd w:id="46472"/>
      <w:r>
        <w:rPr>
          <w:rFonts w:hint="cs"/>
          <w:rtl/>
        </w:rPr>
        <w:t xml:space="preserve">לייקים </w:t>
      </w:r>
      <w:bookmarkStart w:id="46473" w:name="_ETM_Q86_382730"/>
      <w:bookmarkEnd w:id="46473"/>
      <w:r>
        <w:rPr>
          <w:rFonts w:hint="cs"/>
          <w:rtl/>
        </w:rPr>
        <w:t xml:space="preserve">ועוד </w:t>
      </w:r>
      <w:bookmarkStart w:id="46474" w:name="_ETM_Q86_383180"/>
      <w:bookmarkEnd w:id="46474"/>
      <w:r>
        <w:rPr>
          <w:rFonts w:hint="cs"/>
          <w:rtl/>
        </w:rPr>
        <w:t xml:space="preserve">לדבר </w:t>
      </w:r>
      <w:bookmarkStart w:id="46475" w:name="_ETM_Q86_383600"/>
      <w:bookmarkEnd w:id="46475"/>
      <w:r>
        <w:rPr>
          <w:rFonts w:hint="cs"/>
          <w:rtl/>
        </w:rPr>
        <w:t xml:space="preserve">לבייס, לבית </w:t>
      </w:r>
      <w:bookmarkStart w:id="46476" w:name="_ETM_Q86_384020"/>
      <w:bookmarkEnd w:id="46476"/>
      <w:r>
        <w:rPr>
          <w:rFonts w:hint="cs"/>
          <w:rtl/>
        </w:rPr>
        <w:t xml:space="preserve">שלו, </w:t>
      </w:r>
      <w:bookmarkStart w:id="46477" w:name="_ETM_Q86_384970"/>
      <w:bookmarkEnd w:id="46477"/>
      <w:r>
        <w:rPr>
          <w:rFonts w:hint="cs"/>
          <w:rtl/>
        </w:rPr>
        <w:t xml:space="preserve">אבל </w:t>
      </w:r>
      <w:bookmarkStart w:id="46478" w:name="_ETM_Q86_385209"/>
      <w:bookmarkEnd w:id="46478"/>
      <w:r>
        <w:rPr>
          <w:rFonts w:hint="cs"/>
          <w:rtl/>
        </w:rPr>
        <w:t xml:space="preserve">מה </w:t>
      </w:r>
      <w:bookmarkStart w:id="46479" w:name="_ETM_Q86_385389"/>
      <w:bookmarkEnd w:id="46479"/>
      <w:r>
        <w:rPr>
          <w:rFonts w:hint="cs"/>
          <w:rtl/>
        </w:rPr>
        <w:t xml:space="preserve">שקורה </w:t>
      </w:r>
      <w:bookmarkStart w:id="46480" w:name="_ETM_Q86_385810"/>
      <w:bookmarkEnd w:id="46480"/>
      <w:r>
        <w:rPr>
          <w:rFonts w:hint="cs"/>
          <w:rtl/>
        </w:rPr>
        <w:t xml:space="preserve">במדינה </w:t>
      </w:r>
      <w:bookmarkStart w:id="46481" w:name="_ETM_Q86_386730"/>
      <w:bookmarkEnd w:id="46481"/>
      <w:r>
        <w:rPr>
          <w:rFonts w:hint="cs"/>
          <w:rtl/>
        </w:rPr>
        <w:t xml:space="preserve">לא </w:t>
      </w:r>
      <w:bookmarkStart w:id="46482" w:name="_ETM_Q86_387120"/>
      <w:bookmarkEnd w:id="46482"/>
      <w:r>
        <w:rPr>
          <w:rFonts w:hint="cs"/>
          <w:rtl/>
        </w:rPr>
        <w:t xml:space="preserve">מעניין </w:t>
      </w:r>
      <w:bookmarkStart w:id="46483" w:name="_ETM_Q86_387450"/>
      <w:bookmarkEnd w:id="46483"/>
      <w:r>
        <w:rPr>
          <w:rFonts w:hint="cs"/>
          <w:rtl/>
        </w:rPr>
        <w:t xml:space="preserve">אותו </w:t>
      </w:r>
      <w:bookmarkStart w:id="46484" w:name="_ETM_Q86_387630"/>
      <w:bookmarkEnd w:id="46484"/>
      <w:r>
        <w:rPr>
          <w:rFonts w:hint="cs"/>
          <w:rtl/>
        </w:rPr>
        <w:t xml:space="preserve">בכלל. </w:t>
      </w:r>
      <w:bookmarkStart w:id="46485" w:name="_ETM_Q86_388840"/>
      <w:bookmarkEnd w:id="46485"/>
      <w:r>
        <w:rPr>
          <w:rFonts w:hint="cs"/>
          <w:rtl/>
        </w:rPr>
        <w:t xml:space="preserve">כלום </w:t>
      </w:r>
      <w:bookmarkStart w:id="46486" w:name="_ETM_Q86_389169"/>
      <w:bookmarkEnd w:id="46486"/>
      <w:r>
        <w:rPr>
          <w:rFonts w:hint="cs"/>
          <w:rtl/>
        </w:rPr>
        <w:t xml:space="preserve">לא </w:t>
      </w:r>
      <w:bookmarkStart w:id="46487" w:name="_ETM_Q86_389260"/>
      <w:bookmarkEnd w:id="46487"/>
      <w:r>
        <w:rPr>
          <w:rFonts w:hint="cs"/>
          <w:rtl/>
        </w:rPr>
        <w:t xml:space="preserve">מעניין </w:t>
      </w:r>
      <w:bookmarkStart w:id="46488" w:name="_ETM_Q86_389530"/>
      <w:bookmarkEnd w:id="46488"/>
      <w:r>
        <w:rPr>
          <w:rFonts w:hint="cs"/>
          <w:rtl/>
        </w:rPr>
        <w:t>אותו.</w:t>
      </w:r>
    </w:p>
    <w:p w:rsidR="00BB59CD" w:rsidRDefault="00BB59CD" w:rsidP="00BB59CD">
      <w:pPr>
        <w:rPr>
          <w:rtl/>
        </w:rPr>
      </w:pPr>
    </w:p>
    <w:p w:rsidR="00BB59CD" w:rsidRDefault="00BB59CD" w:rsidP="000145FA">
      <w:pPr>
        <w:rPr>
          <w:rtl/>
        </w:rPr>
      </w:pPr>
      <w:bookmarkStart w:id="46489" w:name="_ETM_Q86_392000"/>
      <w:bookmarkStart w:id="46490" w:name="_ETM_Q86_390730"/>
      <w:bookmarkStart w:id="46491" w:name="_ETM_Q86_391270"/>
      <w:bookmarkEnd w:id="46489"/>
      <w:bookmarkEnd w:id="46490"/>
      <w:bookmarkEnd w:id="46491"/>
      <w:r>
        <w:rPr>
          <w:rFonts w:hint="cs"/>
          <w:rtl/>
        </w:rPr>
        <w:t xml:space="preserve">כאילו </w:t>
      </w:r>
      <w:bookmarkStart w:id="46492" w:name="_ETM_Q86_391930"/>
      <w:bookmarkEnd w:id="46492"/>
      <w:r>
        <w:rPr>
          <w:rFonts w:hint="cs"/>
          <w:rtl/>
        </w:rPr>
        <w:t xml:space="preserve">לא </w:t>
      </w:r>
      <w:bookmarkStart w:id="46493" w:name="_ETM_Q86_392080"/>
      <w:bookmarkEnd w:id="46493"/>
      <w:r>
        <w:rPr>
          <w:rFonts w:hint="cs"/>
          <w:rtl/>
        </w:rPr>
        <w:t xml:space="preserve">די </w:t>
      </w:r>
      <w:bookmarkStart w:id="46494" w:name="_ETM_Q86_392319"/>
      <w:bookmarkEnd w:id="46494"/>
      <w:r>
        <w:rPr>
          <w:rFonts w:hint="cs"/>
          <w:rtl/>
        </w:rPr>
        <w:t xml:space="preserve">בזה, </w:t>
      </w:r>
      <w:bookmarkStart w:id="46495" w:name="_ETM_Q86_393190"/>
      <w:bookmarkEnd w:id="46495"/>
      <w:r>
        <w:rPr>
          <w:rFonts w:hint="cs"/>
          <w:rtl/>
        </w:rPr>
        <w:t xml:space="preserve">לבן </w:t>
      </w:r>
      <w:bookmarkStart w:id="46496" w:name="_ETM_Q86_393700"/>
      <w:bookmarkStart w:id="46497" w:name="_ETM_Q86_394000"/>
      <w:bookmarkEnd w:id="46496"/>
      <w:bookmarkEnd w:id="46497"/>
      <w:r>
        <w:rPr>
          <w:rFonts w:hint="cs"/>
          <w:rtl/>
        </w:rPr>
        <w:t xml:space="preserve">גביר היה חשוב </w:t>
      </w:r>
      <w:bookmarkStart w:id="46498" w:name="_ETM_Q86_394480"/>
      <w:bookmarkEnd w:id="46498"/>
      <w:r>
        <w:rPr>
          <w:rFonts w:hint="cs"/>
          <w:rtl/>
        </w:rPr>
        <w:t xml:space="preserve">מאוד </w:t>
      </w:r>
      <w:bookmarkStart w:id="46499" w:name="_ETM_Q86_394870"/>
      <w:bookmarkEnd w:id="46499"/>
      <w:r>
        <w:rPr>
          <w:rFonts w:hint="cs"/>
          <w:rtl/>
        </w:rPr>
        <w:t xml:space="preserve">לשתף </w:t>
      </w:r>
      <w:bookmarkStart w:id="46500" w:name="_ETM_Q86_395290"/>
      <w:bookmarkEnd w:id="46500"/>
      <w:r>
        <w:rPr>
          <w:rFonts w:hint="cs"/>
          <w:rtl/>
        </w:rPr>
        <w:t xml:space="preserve">סרטון </w:t>
      </w:r>
      <w:bookmarkStart w:id="46501" w:name="_ETM_Q86_396100"/>
      <w:bookmarkEnd w:id="46501"/>
      <w:r>
        <w:rPr>
          <w:rFonts w:hint="cs"/>
          <w:rtl/>
        </w:rPr>
        <w:t>שכל</w:t>
      </w:r>
      <w:bookmarkStart w:id="46502" w:name="_ETM_Q86_396580"/>
      <w:bookmarkEnd w:id="46502"/>
      <w:r>
        <w:rPr>
          <w:rFonts w:hint="cs"/>
          <w:rtl/>
        </w:rPr>
        <w:t xml:space="preserve">-כולו </w:t>
      </w:r>
      <w:bookmarkStart w:id="46503" w:name="_ETM_Q86_396850"/>
      <w:bookmarkEnd w:id="46503"/>
      <w:r>
        <w:rPr>
          <w:rFonts w:hint="cs"/>
          <w:rtl/>
        </w:rPr>
        <w:t xml:space="preserve">הסתה </w:t>
      </w:r>
      <w:bookmarkStart w:id="46504" w:name="_ETM_Q86_397270"/>
      <w:bookmarkEnd w:id="46504"/>
      <w:r>
        <w:rPr>
          <w:rFonts w:hint="cs"/>
          <w:rtl/>
        </w:rPr>
        <w:t xml:space="preserve">נגד </w:t>
      </w:r>
      <w:bookmarkStart w:id="46505" w:name="_ETM_Q86_397510"/>
      <w:bookmarkEnd w:id="46505"/>
      <w:r>
        <w:rPr>
          <w:rFonts w:hint="cs"/>
          <w:rtl/>
        </w:rPr>
        <w:t xml:space="preserve">הטייסים </w:t>
      </w:r>
      <w:bookmarkStart w:id="46506" w:name="_ETM_Q86_397990"/>
      <w:bookmarkEnd w:id="46506"/>
      <w:r>
        <w:rPr>
          <w:rFonts w:hint="cs"/>
          <w:rtl/>
        </w:rPr>
        <w:t xml:space="preserve">של </w:t>
      </w:r>
      <w:bookmarkStart w:id="46507" w:name="_ETM_Q86_398140"/>
      <w:bookmarkEnd w:id="46507"/>
      <w:r>
        <w:rPr>
          <w:rFonts w:hint="cs"/>
          <w:rtl/>
        </w:rPr>
        <w:t xml:space="preserve">צבא </w:t>
      </w:r>
      <w:bookmarkStart w:id="46508" w:name="_ETM_Q86_398350"/>
      <w:bookmarkEnd w:id="46508"/>
      <w:r>
        <w:rPr>
          <w:rFonts w:hint="cs"/>
          <w:rtl/>
        </w:rPr>
        <w:t xml:space="preserve">ההגנה </w:t>
      </w:r>
      <w:bookmarkStart w:id="46509" w:name="_ETM_Q86_398620"/>
      <w:bookmarkEnd w:id="46509"/>
      <w:r>
        <w:rPr>
          <w:rFonts w:hint="cs"/>
          <w:rtl/>
        </w:rPr>
        <w:t xml:space="preserve">לישראל. </w:t>
      </w:r>
      <w:bookmarkStart w:id="46510" w:name="_ETM_Q86_399700"/>
      <w:bookmarkEnd w:id="46510"/>
      <w:r>
        <w:rPr>
          <w:rFonts w:hint="cs"/>
          <w:rtl/>
        </w:rPr>
        <w:t xml:space="preserve">כמו </w:t>
      </w:r>
      <w:bookmarkStart w:id="46511" w:name="_ETM_Q86_399940"/>
      <w:bookmarkEnd w:id="46511"/>
      <w:r>
        <w:rPr>
          <w:rFonts w:hint="cs"/>
          <w:rtl/>
        </w:rPr>
        <w:t xml:space="preserve">שהפתגם </w:t>
      </w:r>
      <w:bookmarkStart w:id="46512" w:name="_ETM_Q86_400510"/>
      <w:bookmarkEnd w:id="46512"/>
      <w:r>
        <w:rPr>
          <w:rFonts w:hint="cs"/>
          <w:rtl/>
        </w:rPr>
        <w:t xml:space="preserve">אומר, אם </w:t>
      </w:r>
      <w:bookmarkStart w:id="46513" w:name="_ETM_Q86_401290"/>
      <w:bookmarkEnd w:id="46513"/>
      <w:r>
        <w:rPr>
          <w:rFonts w:hint="cs"/>
          <w:rtl/>
        </w:rPr>
        <w:t>אי</w:t>
      </w:r>
      <w:bookmarkStart w:id="46514" w:name="_ETM_Q86_401590"/>
      <w:bookmarkEnd w:id="46514"/>
      <w:r>
        <w:rPr>
          <w:rFonts w:hint="cs"/>
          <w:rtl/>
        </w:rPr>
        <w:t xml:space="preserve">-אפשר </w:t>
      </w:r>
      <w:bookmarkStart w:id="46515" w:name="_ETM_Q86_401860"/>
      <w:bookmarkEnd w:id="46515"/>
      <w:r>
        <w:rPr>
          <w:rFonts w:hint="cs"/>
          <w:rtl/>
        </w:rPr>
        <w:t xml:space="preserve">להביא </w:t>
      </w:r>
      <w:bookmarkStart w:id="46516" w:name="_ETM_Q86_402250"/>
      <w:bookmarkEnd w:id="46516"/>
      <w:r>
        <w:rPr>
          <w:rFonts w:hint="cs"/>
          <w:rtl/>
        </w:rPr>
        <w:t xml:space="preserve">את </w:t>
      </w:r>
      <w:bookmarkStart w:id="46517" w:name="_ETM_Q86_402340"/>
      <w:bookmarkEnd w:id="46517"/>
      <w:r>
        <w:rPr>
          <w:rFonts w:hint="cs"/>
          <w:rtl/>
        </w:rPr>
        <w:t xml:space="preserve">הפוליטיקאי </w:t>
      </w:r>
      <w:bookmarkStart w:id="46518" w:name="_ETM_Q86_402970"/>
      <w:bookmarkEnd w:id="46518"/>
      <w:r>
        <w:rPr>
          <w:rFonts w:hint="cs"/>
          <w:rtl/>
        </w:rPr>
        <w:t xml:space="preserve">לשרת </w:t>
      </w:r>
      <w:bookmarkStart w:id="46519" w:name="_ETM_Q86_403420"/>
      <w:bookmarkEnd w:id="46519"/>
      <w:r>
        <w:rPr>
          <w:rFonts w:hint="cs"/>
          <w:rtl/>
        </w:rPr>
        <w:t xml:space="preserve">בצה"ל, </w:t>
      </w:r>
      <w:bookmarkStart w:id="46520" w:name="_ETM_Q86_404470"/>
      <w:bookmarkEnd w:id="46520"/>
      <w:r>
        <w:rPr>
          <w:rFonts w:hint="cs"/>
          <w:rtl/>
        </w:rPr>
        <w:t xml:space="preserve">נביא </w:t>
      </w:r>
      <w:bookmarkStart w:id="46521" w:name="_ETM_Q86_404800"/>
      <w:bookmarkEnd w:id="46521"/>
      <w:r>
        <w:rPr>
          <w:rFonts w:hint="cs"/>
          <w:rtl/>
        </w:rPr>
        <w:t xml:space="preserve">את </w:t>
      </w:r>
      <w:bookmarkStart w:id="46522" w:name="_ETM_Q86_404920"/>
      <w:bookmarkEnd w:id="46522"/>
      <w:r>
        <w:rPr>
          <w:rFonts w:hint="cs"/>
          <w:rtl/>
        </w:rPr>
        <w:t xml:space="preserve">צה"ל </w:t>
      </w:r>
      <w:bookmarkStart w:id="46523" w:name="_ETM_Q86_405280"/>
      <w:bookmarkEnd w:id="46523"/>
      <w:r>
        <w:rPr>
          <w:rFonts w:hint="cs"/>
          <w:rtl/>
        </w:rPr>
        <w:t xml:space="preserve">שישרת </w:t>
      </w:r>
      <w:bookmarkStart w:id="46524" w:name="_ETM_Q86_405790"/>
      <w:bookmarkEnd w:id="46524"/>
      <w:r>
        <w:rPr>
          <w:rFonts w:hint="cs"/>
          <w:rtl/>
        </w:rPr>
        <w:t xml:space="preserve">את </w:t>
      </w:r>
      <w:bookmarkStart w:id="46525" w:name="_ETM_Q86_405880"/>
      <w:bookmarkEnd w:id="46525"/>
      <w:r>
        <w:rPr>
          <w:rFonts w:hint="cs"/>
          <w:rtl/>
        </w:rPr>
        <w:t xml:space="preserve">הפוליטיקאי. </w:t>
      </w:r>
      <w:bookmarkStart w:id="46526" w:name="_ETM_Q86_407409"/>
      <w:bookmarkEnd w:id="46526"/>
      <w:r>
        <w:rPr>
          <w:rFonts w:hint="cs"/>
          <w:rtl/>
        </w:rPr>
        <w:t xml:space="preserve">צה"ל </w:t>
      </w:r>
      <w:bookmarkStart w:id="46527" w:name="_ETM_Q86_407829"/>
      <w:bookmarkEnd w:id="46527"/>
      <w:r>
        <w:rPr>
          <w:rFonts w:hint="cs"/>
          <w:rtl/>
        </w:rPr>
        <w:t xml:space="preserve">צריך </w:t>
      </w:r>
      <w:bookmarkStart w:id="46528" w:name="_ETM_Q86_408040"/>
      <w:bookmarkEnd w:id="46528"/>
      <w:r>
        <w:rPr>
          <w:rFonts w:hint="cs"/>
          <w:rtl/>
        </w:rPr>
        <w:t xml:space="preserve">לשרת </w:t>
      </w:r>
      <w:bookmarkStart w:id="46529" w:name="_ETM_Q86_408430"/>
      <w:bookmarkEnd w:id="46529"/>
      <w:r>
        <w:rPr>
          <w:rFonts w:hint="cs"/>
          <w:rtl/>
        </w:rPr>
        <w:t xml:space="preserve">עכשיו </w:t>
      </w:r>
      <w:bookmarkStart w:id="46530" w:name="_ETM_Q86_408640"/>
      <w:bookmarkEnd w:id="46530"/>
      <w:r>
        <w:rPr>
          <w:rFonts w:hint="cs"/>
          <w:rtl/>
        </w:rPr>
        <w:t xml:space="preserve">את </w:t>
      </w:r>
      <w:bookmarkStart w:id="46531" w:name="_ETM_Q86_408730"/>
      <w:bookmarkEnd w:id="46531"/>
      <w:r>
        <w:rPr>
          <w:rFonts w:hint="cs"/>
          <w:rtl/>
        </w:rPr>
        <w:t xml:space="preserve">בן </w:t>
      </w:r>
      <w:bookmarkStart w:id="46532" w:name="_ETM_Q86_408909"/>
      <w:bookmarkEnd w:id="46532"/>
      <w:r>
        <w:rPr>
          <w:rFonts w:hint="cs"/>
          <w:rtl/>
        </w:rPr>
        <w:t xml:space="preserve">גביר. </w:t>
      </w:r>
      <w:bookmarkStart w:id="46533" w:name="_ETM_Q86_410170"/>
      <w:bookmarkEnd w:id="46533"/>
      <w:r>
        <w:rPr>
          <w:rFonts w:hint="cs"/>
          <w:rtl/>
        </w:rPr>
        <w:t xml:space="preserve">ההתעקשות </w:t>
      </w:r>
      <w:bookmarkStart w:id="46534" w:name="_ETM_Q86_410860"/>
      <w:bookmarkEnd w:id="46534"/>
      <w:r>
        <w:rPr>
          <w:rFonts w:hint="cs"/>
          <w:rtl/>
        </w:rPr>
        <w:t xml:space="preserve">של </w:t>
      </w:r>
      <w:bookmarkStart w:id="46535" w:name="_ETM_Q86_411010"/>
      <w:bookmarkEnd w:id="46535"/>
      <w:r>
        <w:rPr>
          <w:rFonts w:hint="cs"/>
          <w:rtl/>
        </w:rPr>
        <w:t xml:space="preserve">בן </w:t>
      </w:r>
      <w:bookmarkStart w:id="46536" w:name="_ETM_Q86_411220"/>
      <w:bookmarkEnd w:id="46536"/>
      <w:r>
        <w:rPr>
          <w:rFonts w:hint="cs"/>
          <w:rtl/>
        </w:rPr>
        <w:t xml:space="preserve">גביר </w:t>
      </w:r>
      <w:bookmarkStart w:id="46537" w:name="_ETM_Q86_411400"/>
      <w:bookmarkEnd w:id="46537"/>
      <w:r>
        <w:rPr>
          <w:rFonts w:hint="cs"/>
          <w:rtl/>
        </w:rPr>
        <w:t xml:space="preserve">להשאיר </w:t>
      </w:r>
      <w:bookmarkStart w:id="46538" w:name="_ETM_Q86_411730"/>
      <w:bookmarkEnd w:id="46538"/>
      <w:r>
        <w:rPr>
          <w:rFonts w:hint="cs"/>
          <w:rtl/>
        </w:rPr>
        <w:t xml:space="preserve">את </w:t>
      </w:r>
      <w:bookmarkStart w:id="46539" w:name="_ETM_Q86_411820"/>
      <w:bookmarkEnd w:id="46539"/>
      <w:r>
        <w:rPr>
          <w:rFonts w:hint="cs"/>
          <w:rtl/>
        </w:rPr>
        <w:t xml:space="preserve">הסרטון </w:t>
      </w:r>
      <w:bookmarkStart w:id="46540" w:name="_ETM_Q86_412720"/>
      <w:bookmarkEnd w:id="46540"/>
      <w:r>
        <w:rPr>
          <w:rFonts w:hint="cs"/>
          <w:rtl/>
        </w:rPr>
        <w:t xml:space="preserve">מדגישה </w:t>
      </w:r>
      <w:bookmarkStart w:id="46541" w:name="_ETM_Q86_413350"/>
      <w:bookmarkEnd w:id="46541"/>
      <w:r>
        <w:rPr>
          <w:rFonts w:hint="cs"/>
          <w:rtl/>
        </w:rPr>
        <w:t xml:space="preserve">באופן </w:t>
      </w:r>
      <w:bookmarkStart w:id="46542" w:name="_ETM_Q86_413740"/>
      <w:bookmarkEnd w:id="46542"/>
      <w:r>
        <w:rPr>
          <w:rFonts w:hint="cs"/>
          <w:rtl/>
        </w:rPr>
        <w:t xml:space="preserve">הטוב </w:t>
      </w:r>
      <w:bookmarkStart w:id="46543" w:name="_ETM_Q86_414040"/>
      <w:bookmarkEnd w:id="46543"/>
      <w:r>
        <w:rPr>
          <w:rFonts w:hint="cs"/>
          <w:rtl/>
        </w:rPr>
        <w:t xml:space="preserve">ביותר </w:t>
      </w:r>
      <w:bookmarkStart w:id="46544" w:name="_ETM_Q86_414940"/>
      <w:bookmarkEnd w:id="46544"/>
      <w:r>
        <w:rPr>
          <w:rFonts w:hint="cs"/>
          <w:rtl/>
        </w:rPr>
        <w:t xml:space="preserve">שגם </w:t>
      </w:r>
      <w:bookmarkStart w:id="46545" w:name="_ETM_Q86_415390"/>
      <w:bookmarkEnd w:id="46545"/>
      <w:r>
        <w:rPr>
          <w:rFonts w:hint="cs"/>
          <w:rtl/>
        </w:rPr>
        <w:t xml:space="preserve">עם </w:t>
      </w:r>
      <w:bookmarkStart w:id="46546" w:name="_ETM_Q86_415510"/>
      <w:bookmarkEnd w:id="46546"/>
      <w:r>
        <w:rPr>
          <w:rFonts w:hint="cs"/>
          <w:rtl/>
        </w:rPr>
        <w:t xml:space="preserve">חליפה </w:t>
      </w:r>
      <w:bookmarkStart w:id="46547" w:name="_ETM_Q86_416470"/>
      <w:bookmarkEnd w:id="46547"/>
      <w:r>
        <w:rPr>
          <w:rFonts w:hint="cs"/>
          <w:rtl/>
        </w:rPr>
        <w:t xml:space="preserve">ומאבטחים </w:t>
      </w:r>
      <w:bookmarkStart w:id="46548" w:name="_ETM_Q86_417790"/>
      <w:bookmarkEnd w:id="46548"/>
      <w:r>
        <w:rPr>
          <w:rFonts w:hint="cs"/>
          <w:rtl/>
        </w:rPr>
        <w:t xml:space="preserve">ועניבה </w:t>
      </w:r>
      <w:bookmarkStart w:id="46549" w:name="_ETM_Q86_418960"/>
      <w:bookmarkEnd w:id="46549"/>
      <w:r>
        <w:rPr>
          <w:rFonts w:hint="cs"/>
          <w:rtl/>
        </w:rPr>
        <w:t xml:space="preserve">הוא </w:t>
      </w:r>
      <w:bookmarkStart w:id="46550" w:name="_ETM_Q86_419110"/>
      <w:bookmarkEnd w:id="46550"/>
      <w:r>
        <w:rPr>
          <w:rFonts w:hint="cs"/>
          <w:rtl/>
        </w:rPr>
        <w:t xml:space="preserve">נותר </w:t>
      </w:r>
      <w:bookmarkStart w:id="46551" w:name="_ETM_Q86_419530"/>
      <w:bookmarkEnd w:id="46551"/>
      <w:r>
        <w:rPr>
          <w:rFonts w:hint="cs"/>
          <w:rtl/>
        </w:rPr>
        <w:t xml:space="preserve">אותו </w:t>
      </w:r>
      <w:bookmarkStart w:id="46552" w:name="_ETM_Q86_419770"/>
      <w:bookmarkEnd w:id="46552"/>
      <w:r>
        <w:rPr>
          <w:rFonts w:hint="cs"/>
          <w:rtl/>
        </w:rPr>
        <w:t xml:space="preserve">פירומן </w:t>
      </w:r>
      <w:bookmarkStart w:id="46553" w:name="_ETM_Q86_420730"/>
      <w:bookmarkEnd w:id="46553"/>
      <w:r>
        <w:rPr>
          <w:rFonts w:hint="cs"/>
          <w:rtl/>
        </w:rPr>
        <w:t xml:space="preserve">עם </w:t>
      </w:r>
      <w:bookmarkStart w:id="46554" w:name="_ETM_Q86_420910"/>
      <w:bookmarkEnd w:id="46554"/>
      <w:r>
        <w:rPr>
          <w:rFonts w:hint="cs"/>
          <w:rtl/>
        </w:rPr>
        <w:t xml:space="preserve">גפרור </w:t>
      </w:r>
      <w:bookmarkStart w:id="46555" w:name="_ETM_Q86_421270"/>
      <w:bookmarkStart w:id="46556" w:name="_ETM_Q86_421690"/>
      <w:bookmarkStart w:id="46557" w:name="_ETM_Q86_422020"/>
      <w:bookmarkStart w:id="46558" w:name="_ETM_Q86_422740"/>
      <w:bookmarkEnd w:id="46555"/>
      <w:bookmarkEnd w:id="46556"/>
      <w:bookmarkEnd w:id="46557"/>
      <w:bookmarkEnd w:id="46558"/>
      <w:r>
        <w:rPr>
          <w:rFonts w:hint="cs"/>
          <w:rtl/>
        </w:rPr>
        <w:t xml:space="preserve">ביד אחת וסמל </w:t>
      </w:r>
      <w:bookmarkStart w:id="46559" w:name="_ETM_Q86_423280"/>
      <w:bookmarkEnd w:id="46559"/>
      <w:r>
        <w:rPr>
          <w:rFonts w:hint="cs"/>
          <w:rtl/>
        </w:rPr>
        <w:t xml:space="preserve">של </w:t>
      </w:r>
      <w:bookmarkStart w:id="46560" w:name="_ETM_Q86_423490"/>
      <w:bookmarkEnd w:id="46560"/>
      <w:r>
        <w:rPr>
          <w:rFonts w:hint="cs"/>
          <w:rtl/>
        </w:rPr>
        <w:t xml:space="preserve">רכב </w:t>
      </w:r>
      <w:bookmarkStart w:id="46561" w:name="_ETM_Q86_423790"/>
      <w:bookmarkEnd w:id="46561"/>
      <w:r>
        <w:rPr>
          <w:rFonts w:hint="cs"/>
          <w:rtl/>
        </w:rPr>
        <w:t xml:space="preserve">ביד </w:t>
      </w:r>
      <w:bookmarkStart w:id="46562" w:name="_ETM_Q86_424090"/>
      <w:bookmarkEnd w:id="46562"/>
      <w:r>
        <w:rPr>
          <w:rFonts w:hint="cs"/>
          <w:rtl/>
        </w:rPr>
        <w:t>שנייה</w:t>
      </w:r>
      <w:r w:rsidR="000145FA">
        <w:rPr>
          <w:rFonts w:hint="cs"/>
          <w:rtl/>
        </w:rPr>
        <w:t>;</w:t>
      </w:r>
      <w:r>
        <w:rPr>
          <w:rFonts w:hint="cs"/>
          <w:rtl/>
        </w:rPr>
        <w:t xml:space="preserve"> </w:t>
      </w:r>
      <w:bookmarkStart w:id="46563" w:name="_ETM_Q86_424840"/>
      <w:bookmarkEnd w:id="46563"/>
      <w:r>
        <w:rPr>
          <w:rFonts w:hint="cs"/>
          <w:rtl/>
        </w:rPr>
        <w:t xml:space="preserve">אותו </w:t>
      </w:r>
      <w:bookmarkStart w:id="46564" w:name="_ETM_Q86_425170"/>
      <w:bookmarkEnd w:id="46564"/>
      <w:r>
        <w:rPr>
          <w:rFonts w:hint="cs"/>
          <w:rtl/>
        </w:rPr>
        <w:t xml:space="preserve">ילד </w:t>
      </w:r>
      <w:bookmarkStart w:id="46565" w:name="_ETM_Q86_425710"/>
      <w:bookmarkEnd w:id="46565"/>
      <w:r>
        <w:rPr>
          <w:rFonts w:hint="cs"/>
          <w:rtl/>
        </w:rPr>
        <w:t xml:space="preserve">כהניסט </w:t>
      </w:r>
      <w:bookmarkStart w:id="46566" w:name="_ETM_Q86_426860"/>
      <w:bookmarkEnd w:id="46566"/>
      <w:r>
        <w:rPr>
          <w:rFonts w:hint="cs"/>
          <w:rtl/>
        </w:rPr>
        <w:t xml:space="preserve">שהחזיק </w:t>
      </w:r>
      <w:bookmarkStart w:id="46567" w:name="_ETM_Q86_427430"/>
      <w:bookmarkEnd w:id="46567"/>
      <w:r>
        <w:rPr>
          <w:rFonts w:hint="cs"/>
          <w:rtl/>
        </w:rPr>
        <w:t xml:space="preserve">את </w:t>
      </w:r>
      <w:bookmarkStart w:id="46568" w:name="_ETM_Q86_427550"/>
      <w:bookmarkEnd w:id="46568"/>
      <w:r>
        <w:rPr>
          <w:rFonts w:hint="cs"/>
          <w:rtl/>
        </w:rPr>
        <w:t xml:space="preserve">הסמל </w:t>
      </w:r>
      <w:bookmarkStart w:id="46569" w:name="_ETM_Q86_428030"/>
      <w:bookmarkEnd w:id="46569"/>
      <w:r>
        <w:rPr>
          <w:rFonts w:hint="cs"/>
          <w:rtl/>
        </w:rPr>
        <w:t xml:space="preserve">של </w:t>
      </w:r>
      <w:bookmarkStart w:id="46570" w:name="_ETM_Q86_428180"/>
      <w:bookmarkEnd w:id="46570"/>
      <w:r>
        <w:rPr>
          <w:rFonts w:hint="cs"/>
          <w:rtl/>
        </w:rPr>
        <w:t xml:space="preserve">המכונית </w:t>
      </w:r>
      <w:bookmarkStart w:id="46571" w:name="_ETM_Q86_428600"/>
      <w:bookmarkEnd w:id="46571"/>
      <w:r>
        <w:rPr>
          <w:rFonts w:hint="cs"/>
          <w:rtl/>
        </w:rPr>
        <w:t xml:space="preserve">של </w:t>
      </w:r>
      <w:bookmarkStart w:id="46572" w:name="_ETM_Q86_428720"/>
      <w:bookmarkEnd w:id="46572"/>
      <w:r>
        <w:rPr>
          <w:rFonts w:hint="cs"/>
          <w:rtl/>
        </w:rPr>
        <w:t xml:space="preserve">רבין, </w:t>
      </w:r>
      <w:bookmarkStart w:id="46573" w:name="_ETM_Q86_429080"/>
      <w:bookmarkEnd w:id="46573"/>
      <w:r>
        <w:rPr>
          <w:rFonts w:hint="cs"/>
          <w:rtl/>
        </w:rPr>
        <w:t xml:space="preserve">זיכרונו </w:t>
      </w:r>
      <w:bookmarkStart w:id="46574" w:name="_ETM_Q86_429770"/>
      <w:bookmarkEnd w:id="46574"/>
      <w:r>
        <w:rPr>
          <w:rFonts w:hint="cs"/>
          <w:rtl/>
        </w:rPr>
        <w:t xml:space="preserve">לברכה, </w:t>
      </w:r>
      <w:bookmarkStart w:id="46575" w:name="_ETM_Q86_430670"/>
      <w:bookmarkEnd w:id="46575"/>
      <w:r>
        <w:rPr>
          <w:rFonts w:hint="cs"/>
          <w:rtl/>
        </w:rPr>
        <w:t xml:space="preserve">אותו </w:t>
      </w:r>
      <w:bookmarkStart w:id="46576" w:name="_ETM_Q86_431030"/>
      <w:bookmarkEnd w:id="46576"/>
      <w:r>
        <w:rPr>
          <w:rFonts w:hint="cs"/>
          <w:rtl/>
        </w:rPr>
        <w:t xml:space="preserve">אדם </w:t>
      </w:r>
      <w:bookmarkStart w:id="46577" w:name="_ETM_Q86_431390"/>
      <w:bookmarkEnd w:id="46577"/>
      <w:r>
        <w:rPr>
          <w:rFonts w:hint="cs"/>
          <w:rtl/>
        </w:rPr>
        <w:t xml:space="preserve">נשאר </w:t>
      </w:r>
      <w:bookmarkStart w:id="46578" w:name="_ETM_Q86_432020"/>
      <w:bookmarkEnd w:id="46578"/>
      <w:r>
        <w:rPr>
          <w:rFonts w:hint="cs"/>
          <w:rtl/>
        </w:rPr>
        <w:t xml:space="preserve">ונמצא </w:t>
      </w:r>
      <w:bookmarkStart w:id="46579" w:name="_ETM_Q86_432500"/>
      <w:bookmarkEnd w:id="46579"/>
      <w:r>
        <w:rPr>
          <w:rFonts w:hint="cs"/>
          <w:rtl/>
        </w:rPr>
        <w:t xml:space="preserve">פה </w:t>
      </w:r>
      <w:bookmarkStart w:id="46580" w:name="_ETM_Q86_432650"/>
      <w:bookmarkEnd w:id="46580"/>
      <w:r>
        <w:rPr>
          <w:rFonts w:hint="cs"/>
          <w:rtl/>
        </w:rPr>
        <w:t xml:space="preserve">בממשלה. </w:t>
      </w:r>
      <w:bookmarkStart w:id="46581" w:name="_ETM_Q86_433819"/>
      <w:bookmarkEnd w:id="46581"/>
      <w:r>
        <w:rPr>
          <w:rFonts w:hint="cs"/>
          <w:rtl/>
        </w:rPr>
        <w:t xml:space="preserve">אחר </w:t>
      </w:r>
      <w:bookmarkStart w:id="46582" w:name="_ETM_Q86_434150"/>
      <w:bookmarkEnd w:id="46582"/>
      <w:r>
        <w:rPr>
          <w:rFonts w:hint="cs"/>
          <w:rtl/>
        </w:rPr>
        <w:t xml:space="preserve">כך </w:t>
      </w:r>
      <w:bookmarkStart w:id="46583" w:name="_ETM_Q86_434329"/>
      <w:bookmarkEnd w:id="46583"/>
      <w:r>
        <w:rPr>
          <w:rFonts w:hint="cs"/>
          <w:rtl/>
        </w:rPr>
        <w:t xml:space="preserve">הוא </w:t>
      </w:r>
      <w:bookmarkStart w:id="46584" w:name="_ETM_Q86_434389"/>
      <w:bookmarkEnd w:id="46584"/>
      <w:r>
        <w:rPr>
          <w:rFonts w:hint="cs"/>
          <w:rtl/>
        </w:rPr>
        <w:t xml:space="preserve">מספר </w:t>
      </w:r>
      <w:bookmarkStart w:id="46585" w:name="_ETM_Q86_434870"/>
      <w:bookmarkEnd w:id="46585"/>
      <w:r>
        <w:rPr>
          <w:rFonts w:hint="cs"/>
          <w:rtl/>
        </w:rPr>
        <w:t xml:space="preserve">לכולנו </w:t>
      </w:r>
      <w:bookmarkStart w:id="46586" w:name="_ETM_Q86_435989"/>
      <w:bookmarkStart w:id="46587" w:name="_ETM_Q86_436589"/>
      <w:bookmarkEnd w:id="46586"/>
      <w:bookmarkEnd w:id="46587"/>
      <w:r>
        <w:rPr>
          <w:rFonts w:hint="cs"/>
          <w:rtl/>
        </w:rPr>
        <w:t xml:space="preserve">שאנחנו </w:t>
      </w:r>
      <w:bookmarkStart w:id="46588" w:name="_ETM_Q86_437039"/>
      <w:bookmarkEnd w:id="46588"/>
      <w:r>
        <w:rPr>
          <w:rFonts w:hint="cs"/>
          <w:rtl/>
        </w:rPr>
        <w:t xml:space="preserve">אחים </w:t>
      </w:r>
      <w:bookmarkStart w:id="46589" w:name="_ETM_Q86_437370"/>
      <w:bookmarkEnd w:id="46589"/>
      <w:r>
        <w:rPr>
          <w:rFonts w:hint="cs"/>
          <w:rtl/>
        </w:rPr>
        <w:t xml:space="preserve">שלו, </w:t>
      </w:r>
      <w:bookmarkStart w:id="46590" w:name="_ETM_Q86_438720"/>
      <w:bookmarkEnd w:id="46590"/>
      <w:r>
        <w:rPr>
          <w:rFonts w:hint="cs"/>
          <w:rtl/>
        </w:rPr>
        <w:t xml:space="preserve">אבל </w:t>
      </w:r>
      <w:bookmarkStart w:id="46591" w:name="_ETM_Q86_438990"/>
      <w:bookmarkEnd w:id="46591"/>
      <w:r>
        <w:rPr>
          <w:rFonts w:hint="cs"/>
          <w:rtl/>
        </w:rPr>
        <w:t xml:space="preserve">אנחנו </w:t>
      </w:r>
      <w:bookmarkStart w:id="46592" w:name="_ETM_Q86_439290"/>
      <w:bookmarkEnd w:id="46592"/>
      <w:r>
        <w:rPr>
          <w:rFonts w:hint="cs"/>
          <w:rtl/>
        </w:rPr>
        <w:t xml:space="preserve">נזכור </w:t>
      </w:r>
      <w:bookmarkStart w:id="46593" w:name="_ETM_Q86_439830"/>
      <w:bookmarkEnd w:id="46593"/>
      <w:r>
        <w:rPr>
          <w:rFonts w:hint="cs"/>
          <w:rtl/>
        </w:rPr>
        <w:t xml:space="preserve">שמה </w:t>
      </w:r>
      <w:bookmarkStart w:id="46594" w:name="_ETM_Q86_440130"/>
      <w:bookmarkEnd w:id="46594"/>
      <w:r>
        <w:rPr>
          <w:rFonts w:hint="cs"/>
          <w:rtl/>
        </w:rPr>
        <w:t xml:space="preserve">שמעניין </w:t>
      </w:r>
      <w:bookmarkStart w:id="46595" w:name="_ETM_Q86_440640"/>
      <w:bookmarkEnd w:id="46595"/>
      <w:r>
        <w:rPr>
          <w:rFonts w:hint="cs"/>
          <w:rtl/>
        </w:rPr>
        <w:t xml:space="preserve">אותו </w:t>
      </w:r>
      <w:bookmarkStart w:id="46596" w:name="_ETM_Q86_440850"/>
      <w:bookmarkEnd w:id="46596"/>
      <w:r>
        <w:rPr>
          <w:rFonts w:hint="cs"/>
          <w:rtl/>
        </w:rPr>
        <w:t xml:space="preserve">יותר </w:t>
      </w:r>
      <w:bookmarkStart w:id="46597" w:name="_ETM_Q86_441089"/>
      <w:bookmarkEnd w:id="46597"/>
      <w:r>
        <w:rPr>
          <w:rFonts w:hint="cs"/>
          <w:rtl/>
        </w:rPr>
        <w:t xml:space="preserve">מכול </w:t>
      </w:r>
      <w:bookmarkStart w:id="46598" w:name="_ETM_Q86_441570"/>
      <w:bookmarkEnd w:id="46598"/>
      <w:r>
        <w:rPr>
          <w:rFonts w:hint="cs"/>
          <w:rtl/>
        </w:rPr>
        <w:t xml:space="preserve">זה </w:t>
      </w:r>
      <w:bookmarkStart w:id="46599" w:name="_ETM_Q86_441750"/>
      <w:bookmarkEnd w:id="46599"/>
      <w:r>
        <w:rPr>
          <w:rFonts w:hint="cs"/>
          <w:rtl/>
        </w:rPr>
        <w:t xml:space="preserve">עצמו </w:t>
      </w:r>
      <w:bookmarkStart w:id="46600" w:name="_ETM_Q86_442770"/>
      <w:bookmarkEnd w:id="46600"/>
      <w:r>
        <w:rPr>
          <w:rFonts w:hint="cs"/>
          <w:rtl/>
        </w:rPr>
        <w:t xml:space="preserve">בלבד </w:t>
      </w:r>
      <w:bookmarkStart w:id="46601" w:name="_ETM_Q86_443430"/>
      <w:bookmarkEnd w:id="46601"/>
      <w:r>
        <w:rPr>
          <w:rFonts w:hint="cs"/>
          <w:rtl/>
        </w:rPr>
        <w:t xml:space="preserve">והקמפיין </w:t>
      </w:r>
      <w:bookmarkStart w:id="46602" w:name="_ETM_Q86_444089"/>
      <w:bookmarkEnd w:id="46602"/>
      <w:r>
        <w:rPr>
          <w:rFonts w:hint="cs"/>
          <w:rtl/>
        </w:rPr>
        <w:t>הלא</w:t>
      </w:r>
      <w:bookmarkStart w:id="46603" w:name="_ETM_Q86_444240"/>
      <w:bookmarkEnd w:id="46603"/>
      <w:r w:rsidR="000145FA">
        <w:rPr>
          <w:rFonts w:hint="cs"/>
          <w:rtl/>
        </w:rPr>
        <w:t>-</w:t>
      </w:r>
      <w:r>
        <w:rPr>
          <w:rFonts w:hint="cs"/>
          <w:rtl/>
        </w:rPr>
        <w:t xml:space="preserve">נגמר </w:t>
      </w:r>
      <w:bookmarkStart w:id="46604" w:name="_ETM_Q86_444629"/>
      <w:bookmarkEnd w:id="46604"/>
      <w:r>
        <w:rPr>
          <w:rFonts w:hint="cs"/>
          <w:rtl/>
        </w:rPr>
        <w:t xml:space="preserve">שלו, </w:t>
      </w:r>
      <w:bookmarkStart w:id="46605" w:name="_ETM_Q86_445990"/>
      <w:bookmarkEnd w:id="46605"/>
      <w:r>
        <w:rPr>
          <w:rFonts w:hint="cs"/>
          <w:rtl/>
        </w:rPr>
        <w:t xml:space="preserve">קמפיין </w:t>
      </w:r>
      <w:bookmarkStart w:id="46606" w:name="_ETM_Q86_446560"/>
      <w:bookmarkEnd w:id="46606"/>
      <w:r>
        <w:rPr>
          <w:rFonts w:hint="cs"/>
          <w:rtl/>
        </w:rPr>
        <w:t xml:space="preserve">שהמחיר </w:t>
      </w:r>
      <w:bookmarkStart w:id="46607" w:name="_ETM_Q86_447069"/>
      <w:bookmarkEnd w:id="46607"/>
      <w:r>
        <w:rPr>
          <w:rFonts w:hint="cs"/>
          <w:rtl/>
        </w:rPr>
        <w:t xml:space="preserve">שלו </w:t>
      </w:r>
      <w:bookmarkStart w:id="46608" w:name="_ETM_Q86_448060"/>
      <w:bookmarkEnd w:id="46608"/>
      <w:r>
        <w:rPr>
          <w:rFonts w:hint="cs"/>
          <w:rtl/>
        </w:rPr>
        <w:t xml:space="preserve">הוא 129 </w:t>
      </w:r>
      <w:bookmarkStart w:id="46609" w:name="_ETM_Q86_449979"/>
      <w:bookmarkEnd w:id="46609"/>
      <w:r>
        <w:rPr>
          <w:rFonts w:hint="cs"/>
          <w:rtl/>
        </w:rPr>
        <w:t xml:space="preserve">נרצחים </w:t>
      </w:r>
      <w:bookmarkStart w:id="46610" w:name="_ETM_Q86_450610"/>
      <w:bookmarkEnd w:id="46610"/>
      <w:r>
        <w:rPr>
          <w:rFonts w:hint="cs"/>
          <w:rtl/>
        </w:rPr>
        <w:t xml:space="preserve">בחברה </w:t>
      </w:r>
      <w:bookmarkStart w:id="46611" w:name="_ETM_Q86_451029"/>
      <w:bookmarkEnd w:id="46611"/>
      <w:r>
        <w:rPr>
          <w:rFonts w:hint="cs"/>
          <w:rtl/>
        </w:rPr>
        <w:t xml:space="preserve">הערבית </w:t>
      </w:r>
      <w:bookmarkStart w:id="46612" w:name="_ETM_Q86_451389"/>
      <w:bookmarkEnd w:id="46612"/>
      <w:r>
        <w:rPr>
          <w:rFonts w:hint="cs"/>
          <w:rtl/>
        </w:rPr>
        <w:t xml:space="preserve">מתחילת </w:t>
      </w:r>
      <w:bookmarkStart w:id="46613" w:name="_ETM_Q86_451779"/>
      <w:bookmarkEnd w:id="46613"/>
      <w:r>
        <w:rPr>
          <w:rFonts w:hint="cs"/>
          <w:rtl/>
        </w:rPr>
        <w:t xml:space="preserve">השנה. </w:t>
      </w:r>
      <w:bookmarkStart w:id="46614" w:name="_ETM_Q86_452500"/>
      <w:bookmarkEnd w:id="46614"/>
      <w:r>
        <w:rPr>
          <w:rFonts w:hint="cs"/>
          <w:rtl/>
        </w:rPr>
        <w:t xml:space="preserve">אני </w:t>
      </w:r>
      <w:bookmarkStart w:id="46615" w:name="_ETM_Q86_452830"/>
      <w:bookmarkEnd w:id="46615"/>
      <w:r>
        <w:rPr>
          <w:rFonts w:hint="cs"/>
          <w:rtl/>
        </w:rPr>
        <w:t xml:space="preserve">חוזר </w:t>
      </w:r>
      <w:bookmarkStart w:id="46616" w:name="_ETM_Q86_453190"/>
      <w:bookmarkEnd w:id="46616"/>
      <w:r>
        <w:rPr>
          <w:rFonts w:hint="cs"/>
          <w:rtl/>
        </w:rPr>
        <w:t xml:space="preserve">על </w:t>
      </w:r>
      <w:bookmarkStart w:id="46617" w:name="_ETM_Q86_453250"/>
      <w:bookmarkEnd w:id="46617"/>
      <w:r>
        <w:rPr>
          <w:rFonts w:hint="cs"/>
          <w:rtl/>
        </w:rPr>
        <w:t xml:space="preserve">המספר </w:t>
      </w:r>
      <w:bookmarkStart w:id="46618" w:name="_ETM_Q86_453699"/>
      <w:bookmarkEnd w:id="46618"/>
      <w:r>
        <w:rPr>
          <w:rFonts w:hint="cs"/>
          <w:rtl/>
        </w:rPr>
        <w:t xml:space="preserve">הנורא </w:t>
      </w:r>
      <w:bookmarkStart w:id="46619" w:name="_ETM_Q86_454060"/>
      <w:bookmarkEnd w:id="46619"/>
      <w:r>
        <w:rPr>
          <w:rFonts w:hint="cs"/>
          <w:rtl/>
        </w:rPr>
        <w:t>הזה.</w:t>
      </w:r>
    </w:p>
    <w:p w:rsidR="00BB59CD" w:rsidRDefault="00BB59CD" w:rsidP="00BB59CD">
      <w:pPr>
        <w:rPr>
          <w:rtl/>
        </w:rPr>
      </w:pPr>
    </w:p>
    <w:p w:rsidR="00BB59CD" w:rsidRDefault="00BB59CD" w:rsidP="000145FA">
      <w:pPr>
        <w:rPr>
          <w:rtl/>
        </w:rPr>
      </w:pPr>
      <w:r>
        <w:rPr>
          <w:rFonts w:hint="cs"/>
          <w:rtl/>
        </w:rPr>
        <w:t xml:space="preserve"> </w:t>
      </w:r>
      <w:bookmarkStart w:id="46620" w:name="_ETM_Q86_455490"/>
      <w:bookmarkEnd w:id="46620"/>
      <w:r>
        <w:rPr>
          <w:rFonts w:hint="cs"/>
          <w:rtl/>
        </w:rPr>
        <w:t xml:space="preserve">חבריי </w:t>
      </w:r>
      <w:bookmarkStart w:id="46621" w:name="_ETM_Q86_456029"/>
      <w:bookmarkEnd w:id="46621"/>
      <w:r>
        <w:rPr>
          <w:rFonts w:hint="cs"/>
          <w:rtl/>
        </w:rPr>
        <w:t>בליכוד</w:t>
      </w:r>
      <w:bookmarkStart w:id="46622" w:name="_ETM_Q86_456809"/>
      <w:bookmarkEnd w:id="46622"/>
      <w:r>
        <w:rPr>
          <w:rFonts w:hint="cs"/>
          <w:rtl/>
        </w:rPr>
        <w:t xml:space="preserve">, אני </w:t>
      </w:r>
      <w:bookmarkStart w:id="46623" w:name="_ETM_Q86_457020"/>
      <w:bookmarkEnd w:id="46623"/>
      <w:r>
        <w:rPr>
          <w:rFonts w:hint="cs"/>
          <w:rtl/>
        </w:rPr>
        <w:t xml:space="preserve">פונה </w:t>
      </w:r>
      <w:bookmarkStart w:id="46624" w:name="_ETM_Q86_457319"/>
      <w:bookmarkEnd w:id="46624"/>
      <w:r>
        <w:rPr>
          <w:rFonts w:hint="cs"/>
          <w:rtl/>
        </w:rPr>
        <w:t xml:space="preserve">אליכם, </w:t>
      </w:r>
      <w:bookmarkStart w:id="46625" w:name="_ETM_Q86_458790"/>
      <w:bookmarkEnd w:id="46625"/>
      <w:r>
        <w:rPr>
          <w:rFonts w:hint="cs"/>
          <w:rtl/>
        </w:rPr>
        <w:t xml:space="preserve">המעטים </w:t>
      </w:r>
      <w:bookmarkStart w:id="46626" w:name="_ETM_Q86_459480"/>
      <w:bookmarkEnd w:id="46626"/>
      <w:r>
        <w:rPr>
          <w:rFonts w:hint="cs"/>
          <w:rtl/>
        </w:rPr>
        <w:t xml:space="preserve">שעוד </w:t>
      </w:r>
      <w:bookmarkStart w:id="46627" w:name="_ETM_Q86_459750"/>
      <w:bookmarkEnd w:id="46627"/>
      <w:r>
        <w:rPr>
          <w:rFonts w:hint="cs"/>
          <w:rtl/>
        </w:rPr>
        <w:t xml:space="preserve">נותר </w:t>
      </w:r>
      <w:bookmarkStart w:id="46628" w:name="_ETM_Q86_460110"/>
      <w:bookmarkEnd w:id="46628"/>
      <w:r>
        <w:rPr>
          <w:rFonts w:hint="cs"/>
          <w:rtl/>
        </w:rPr>
        <w:t xml:space="preserve">להם </w:t>
      </w:r>
      <w:bookmarkStart w:id="46629" w:name="_ETM_Q86_460440"/>
      <w:bookmarkStart w:id="46630" w:name="_ETM_Q86_460620"/>
      <w:bookmarkStart w:id="46631" w:name="_ETM_Q86_462210"/>
      <w:bookmarkEnd w:id="46629"/>
      <w:bookmarkEnd w:id="46630"/>
      <w:bookmarkEnd w:id="46631"/>
      <w:r>
        <w:rPr>
          <w:rFonts w:hint="cs"/>
          <w:rtl/>
        </w:rPr>
        <w:t xml:space="preserve">עמוד שדרה: לאן </w:t>
      </w:r>
      <w:bookmarkStart w:id="46632" w:name="_ETM_Q86_462510"/>
      <w:bookmarkEnd w:id="46632"/>
      <w:r>
        <w:rPr>
          <w:rFonts w:hint="cs"/>
          <w:rtl/>
        </w:rPr>
        <w:t xml:space="preserve">אתם </w:t>
      </w:r>
      <w:bookmarkStart w:id="46633" w:name="_ETM_Q86_462720"/>
      <w:bookmarkEnd w:id="46633"/>
      <w:r>
        <w:rPr>
          <w:rFonts w:hint="cs"/>
          <w:rtl/>
        </w:rPr>
        <w:t xml:space="preserve">רוצים </w:t>
      </w:r>
      <w:bookmarkStart w:id="46634" w:name="_ETM_Q86_463080"/>
      <w:bookmarkEnd w:id="46634"/>
      <w:r>
        <w:rPr>
          <w:rFonts w:hint="cs"/>
          <w:rtl/>
        </w:rPr>
        <w:t xml:space="preserve">להגיע? </w:t>
      </w:r>
      <w:bookmarkStart w:id="46635" w:name="_ETM_Q86_464589"/>
      <w:bookmarkEnd w:id="46635"/>
      <w:r>
        <w:rPr>
          <w:rFonts w:hint="cs"/>
          <w:rtl/>
        </w:rPr>
        <w:t xml:space="preserve">עד </w:t>
      </w:r>
      <w:bookmarkStart w:id="46636" w:name="_ETM_Q86_464830"/>
      <w:bookmarkEnd w:id="46636"/>
      <w:r>
        <w:rPr>
          <w:rFonts w:hint="cs"/>
          <w:rtl/>
        </w:rPr>
        <w:t xml:space="preserve">מתי </w:t>
      </w:r>
      <w:bookmarkStart w:id="46637" w:name="_ETM_Q86_465220"/>
      <w:bookmarkEnd w:id="46637"/>
      <w:r>
        <w:rPr>
          <w:rFonts w:hint="cs"/>
          <w:rtl/>
        </w:rPr>
        <w:t xml:space="preserve">תיתנו </w:t>
      </w:r>
      <w:bookmarkStart w:id="46638" w:name="_ETM_Q86_465550"/>
      <w:bookmarkEnd w:id="46638"/>
      <w:r>
        <w:rPr>
          <w:rFonts w:hint="cs"/>
          <w:rtl/>
        </w:rPr>
        <w:t xml:space="preserve">לחברי </w:t>
      </w:r>
      <w:bookmarkStart w:id="46639" w:name="_ETM_Q86_466000"/>
      <w:bookmarkEnd w:id="46639"/>
      <w:r>
        <w:rPr>
          <w:rFonts w:hint="cs"/>
          <w:rtl/>
        </w:rPr>
        <w:t xml:space="preserve">הממשלה </w:t>
      </w:r>
      <w:bookmarkStart w:id="46640" w:name="_ETM_Q86_466480"/>
      <w:bookmarkEnd w:id="46640"/>
      <w:r>
        <w:rPr>
          <w:rFonts w:hint="cs"/>
          <w:rtl/>
        </w:rPr>
        <w:t xml:space="preserve">הזאת </w:t>
      </w:r>
      <w:bookmarkStart w:id="46641" w:name="_ETM_Q86_466750"/>
      <w:bookmarkEnd w:id="46641"/>
      <w:r>
        <w:rPr>
          <w:rFonts w:hint="cs"/>
          <w:rtl/>
        </w:rPr>
        <w:t xml:space="preserve">לגרור </w:t>
      </w:r>
      <w:bookmarkStart w:id="46642" w:name="_ETM_Q86_467080"/>
      <w:bookmarkEnd w:id="46642"/>
      <w:r>
        <w:rPr>
          <w:rFonts w:hint="cs"/>
          <w:rtl/>
        </w:rPr>
        <w:t xml:space="preserve">אתכם </w:t>
      </w:r>
      <w:bookmarkStart w:id="46643" w:name="_ETM_Q86_467380"/>
      <w:bookmarkEnd w:id="46643"/>
      <w:r>
        <w:rPr>
          <w:rFonts w:hint="cs"/>
          <w:rtl/>
        </w:rPr>
        <w:t xml:space="preserve">ביחד </w:t>
      </w:r>
      <w:bookmarkStart w:id="46644" w:name="_ETM_Q86_467710"/>
      <w:bookmarkEnd w:id="46644"/>
      <w:r>
        <w:rPr>
          <w:rFonts w:hint="cs"/>
          <w:rtl/>
        </w:rPr>
        <w:t xml:space="preserve">איתם </w:t>
      </w:r>
      <w:bookmarkStart w:id="46645" w:name="_ETM_Q86_468010"/>
      <w:bookmarkEnd w:id="46645"/>
      <w:r>
        <w:rPr>
          <w:rFonts w:hint="cs"/>
          <w:rtl/>
        </w:rPr>
        <w:t xml:space="preserve">אל </w:t>
      </w:r>
      <w:bookmarkStart w:id="46646" w:name="_ETM_Q86_468130"/>
      <w:bookmarkEnd w:id="46646"/>
      <w:r>
        <w:rPr>
          <w:rFonts w:hint="cs"/>
          <w:rtl/>
        </w:rPr>
        <w:t xml:space="preserve">התהום? </w:t>
      </w:r>
      <w:bookmarkStart w:id="46647" w:name="_ETM_Q86_469409"/>
      <w:bookmarkEnd w:id="46647"/>
      <w:r>
        <w:rPr>
          <w:rFonts w:hint="cs"/>
          <w:rtl/>
        </w:rPr>
        <w:t xml:space="preserve">אני </w:t>
      </w:r>
      <w:bookmarkStart w:id="46648" w:name="_ETM_Q86_469740"/>
      <w:bookmarkEnd w:id="46648"/>
      <w:r>
        <w:rPr>
          <w:rFonts w:hint="cs"/>
          <w:rtl/>
        </w:rPr>
        <w:t xml:space="preserve">קורא </w:t>
      </w:r>
      <w:bookmarkStart w:id="46649" w:name="_ETM_Q86_470069"/>
      <w:bookmarkEnd w:id="46649"/>
      <w:r>
        <w:rPr>
          <w:rFonts w:hint="cs"/>
          <w:rtl/>
        </w:rPr>
        <w:t xml:space="preserve">לכל </w:t>
      </w:r>
      <w:bookmarkStart w:id="46650" w:name="_ETM_Q86_470580"/>
      <w:bookmarkEnd w:id="46650"/>
      <w:r>
        <w:rPr>
          <w:rFonts w:hint="cs"/>
          <w:rtl/>
        </w:rPr>
        <w:t xml:space="preserve">אותם </w:t>
      </w:r>
      <w:bookmarkStart w:id="46651" w:name="_ETM_Q86_471389"/>
      <w:bookmarkEnd w:id="46651"/>
      <w:r>
        <w:rPr>
          <w:rFonts w:hint="cs"/>
          <w:rtl/>
        </w:rPr>
        <w:t xml:space="preserve">חברי </w:t>
      </w:r>
      <w:bookmarkStart w:id="46652" w:name="_ETM_Q86_471900"/>
      <w:bookmarkEnd w:id="46652"/>
      <w:r>
        <w:rPr>
          <w:rFonts w:hint="cs"/>
          <w:rtl/>
        </w:rPr>
        <w:t xml:space="preserve">הכנסת </w:t>
      </w:r>
      <w:bookmarkStart w:id="46653" w:name="_ETM_Q86_472469"/>
      <w:bookmarkEnd w:id="46653"/>
      <w:r>
        <w:rPr>
          <w:rFonts w:hint="cs"/>
          <w:rtl/>
        </w:rPr>
        <w:t xml:space="preserve">שעדיין </w:t>
      </w:r>
      <w:bookmarkStart w:id="46654" w:name="_ETM_Q86_473550"/>
      <w:bookmarkEnd w:id="46654"/>
      <w:r>
        <w:rPr>
          <w:rFonts w:hint="cs"/>
          <w:rtl/>
        </w:rPr>
        <w:t xml:space="preserve">נשארה </w:t>
      </w:r>
      <w:bookmarkStart w:id="46655" w:name="_ETM_Q86_474120"/>
      <w:bookmarkEnd w:id="46655"/>
      <w:r>
        <w:rPr>
          <w:rFonts w:hint="cs"/>
          <w:rtl/>
        </w:rPr>
        <w:t xml:space="preserve">בהם </w:t>
      </w:r>
      <w:bookmarkStart w:id="46656" w:name="_ETM_Q86_474479"/>
      <w:bookmarkStart w:id="46657" w:name="_ETM_Q86_475879"/>
      <w:bookmarkEnd w:id="46656"/>
      <w:bookmarkEnd w:id="46657"/>
      <w:r>
        <w:rPr>
          <w:rFonts w:hint="cs"/>
          <w:rtl/>
        </w:rPr>
        <w:t xml:space="preserve">המחשבה, </w:t>
      </w:r>
      <w:bookmarkStart w:id="46658" w:name="_ETM_Q86_476809"/>
      <w:bookmarkEnd w:id="46658"/>
      <w:r>
        <w:rPr>
          <w:rFonts w:hint="cs"/>
          <w:rtl/>
        </w:rPr>
        <w:t xml:space="preserve">הרצון </w:t>
      </w:r>
      <w:bookmarkStart w:id="46659" w:name="_ETM_Q86_477680"/>
      <w:bookmarkEnd w:id="46659"/>
      <w:r>
        <w:rPr>
          <w:rFonts w:hint="cs"/>
          <w:rtl/>
        </w:rPr>
        <w:t xml:space="preserve">לשמור </w:t>
      </w:r>
      <w:bookmarkStart w:id="46660" w:name="_ETM_Q86_478129"/>
      <w:bookmarkEnd w:id="46660"/>
      <w:r>
        <w:rPr>
          <w:rFonts w:hint="cs"/>
          <w:rtl/>
        </w:rPr>
        <w:t xml:space="preserve">על </w:t>
      </w:r>
      <w:bookmarkStart w:id="46661" w:name="_ETM_Q86_478189"/>
      <w:bookmarkEnd w:id="46661"/>
      <w:r>
        <w:rPr>
          <w:rFonts w:hint="cs"/>
          <w:rtl/>
        </w:rPr>
        <w:t xml:space="preserve">המדינה: </w:t>
      </w:r>
      <w:bookmarkStart w:id="46662" w:name="_ETM_Q86_479059"/>
      <w:bookmarkEnd w:id="46662"/>
      <w:r>
        <w:rPr>
          <w:rFonts w:hint="cs"/>
          <w:rtl/>
        </w:rPr>
        <w:t xml:space="preserve">אלי </w:t>
      </w:r>
      <w:bookmarkStart w:id="46663" w:name="_ETM_Q86_479330"/>
      <w:bookmarkEnd w:id="46663"/>
      <w:r>
        <w:rPr>
          <w:rFonts w:hint="cs"/>
          <w:rtl/>
        </w:rPr>
        <w:t xml:space="preserve">דלל, </w:t>
      </w:r>
      <w:bookmarkStart w:id="46664" w:name="_ETM_Q86_480440"/>
      <w:bookmarkEnd w:id="46664"/>
      <w:r>
        <w:rPr>
          <w:rFonts w:hint="cs"/>
          <w:rtl/>
        </w:rPr>
        <w:t xml:space="preserve">אושר </w:t>
      </w:r>
      <w:bookmarkStart w:id="46665" w:name="_ETM_Q86_480770"/>
      <w:bookmarkStart w:id="46666" w:name="_ETM_Q86_480179"/>
      <w:bookmarkEnd w:id="46665"/>
      <w:bookmarkEnd w:id="46666"/>
      <w:r>
        <w:rPr>
          <w:rFonts w:hint="cs"/>
          <w:rtl/>
        </w:rPr>
        <w:t xml:space="preserve">שקלים, </w:t>
      </w:r>
      <w:bookmarkStart w:id="46667" w:name="_ETM_Q86_480510"/>
      <w:bookmarkStart w:id="46668" w:name="_ETM_Q86_481779"/>
      <w:bookmarkEnd w:id="46667"/>
      <w:bookmarkEnd w:id="46668"/>
      <w:r>
        <w:rPr>
          <w:rFonts w:hint="cs"/>
          <w:rtl/>
        </w:rPr>
        <w:t xml:space="preserve">עמית </w:t>
      </w:r>
      <w:bookmarkStart w:id="46669" w:name="_ETM_Q86_482110"/>
      <w:bookmarkEnd w:id="46669"/>
      <w:r>
        <w:rPr>
          <w:rFonts w:hint="cs"/>
          <w:rtl/>
        </w:rPr>
        <w:t xml:space="preserve">הלוי, </w:t>
      </w:r>
      <w:bookmarkStart w:id="46670" w:name="_ETM_Q86_483720"/>
      <w:bookmarkEnd w:id="46670"/>
      <w:r>
        <w:rPr>
          <w:rFonts w:hint="cs"/>
          <w:rtl/>
        </w:rPr>
        <w:t xml:space="preserve">אריה </w:t>
      </w:r>
      <w:bookmarkStart w:id="46671" w:name="_ETM_Q86_484230"/>
      <w:bookmarkEnd w:id="46671"/>
      <w:r>
        <w:rPr>
          <w:rFonts w:hint="cs"/>
          <w:rtl/>
        </w:rPr>
        <w:t xml:space="preserve">קלנר, </w:t>
      </w:r>
      <w:bookmarkStart w:id="46672" w:name="_ETM_Q86_484710"/>
      <w:bookmarkEnd w:id="46672"/>
      <w:r>
        <w:rPr>
          <w:rFonts w:hint="cs"/>
          <w:rtl/>
        </w:rPr>
        <w:t xml:space="preserve">אופיר </w:t>
      </w:r>
      <w:bookmarkStart w:id="46673" w:name="_ETM_Q86_485100"/>
      <w:bookmarkEnd w:id="46673"/>
      <w:r>
        <w:rPr>
          <w:rFonts w:hint="cs"/>
          <w:rtl/>
        </w:rPr>
        <w:t xml:space="preserve">כץ, </w:t>
      </w:r>
      <w:bookmarkStart w:id="46674" w:name="_ETM_Q86_486070"/>
      <w:bookmarkEnd w:id="46674"/>
      <w:r>
        <w:rPr>
          <w:rFonts w:hint="cs"/>
          <w:rtl/>
        </w:rPr>
        <w:t xml:space="preserve">אליהו </w:t>
      </w:r>
      <w:bookmarkStart w:id="46675" w:name="_ETM_Q86_486490"/>
      <w:bookmarkEnd w:id="46675"/>
      <w:r>
        <w:rPr>
          <w:rFonts w:hint="cs"/>
          <w:rtl/>
        </w:rPr>
        <w:t xml:space="preserve">רביבו </w:t>
      </w:r>
      <w:bookmarkStart w:id="46676" w:name="_ETM_Q86_489000"/>
      <w:bookmarkStart w:id="46677" w:name="_ETM_Q86_489719"/>
      <w:bookmarkEnd w:id="46676"/>
      <w:bookmarkEnd w:id="46677"/>
      <w:r>
        <w:rPr>
          <w:rFonts w:hint="cs"/>
          <w:rtl/>
        </w:rPr>
        <w:t xml:space="preserve">– אל </w:t>
      </w:r>
      <w:bookmarkStart w:id="46678" w:name="_ETM_Q86_490019"/>
      <w:bookmarkEnd w:id="46678"/>
      <w:r>
        <w:rPr>
          <w:rFonts w:hint="cs"/>
          <w:rtl/>
        </w:rPr>
        <w:t xml:space="preserve">תשתקו. </w:t>
      </w:r>
      <w:bookmarkStart w:id="46679" w:name="_ETM_Q86_491210"/>
      <w:bookmarkEnd w:id="46679"/>
      <w:r>
        <w:rPr>
          <w:rFonts w:hint="cs"/>
          <w:rtl/>
        </w:rPr>
        <w:t xml:space="preserve">אל </w:t>
      </w:r>
      <w:bookmarkStart w:id="46680" w:name="_ETM_Q86_491420"/>
      <w:bookmarkEnd w:id="46680"/>
      <w:r>
        <w:rPr>
          <w:rFonts w:hint="cs"/>
          <w:rtl/>
        </w:rPr>
        <w:t xml:space="preserve">תיתנו </w:t>
      </w:r>
      <w:bookmarkStart w:id="46681" w:name="_ETM_Q86_491779"/>
      <w:bookmarkEnd w:id="46681"/>
      <w:r>
        <w:rPr>
          <w:rFonts w:hint="cs"/>
          <w:rtl/>
        </w:rPr>
        <w:t xml:space="preserve">למטורפים </w:t>
      </w:r>
      <w:bookmarkStart w:id="46682" w:name="_ETM_Q86_492440"/>
      <w:bookmarkEnd w:id="46682"/>
      <w:r>
        <w:rPr>
          <w:rFonts w:hint="cs"/>
          <w:rtl/>
        </w:rPr>
        <w:t xml:space="preserve">האלה, </w:t>
      </w:r>
      <w:bookmarkStart w:id="46683" w:name="_ETM_Q86_492710"/>
      <w:bookmarkEnd w:id="46683"/>
      <w:r>
        <w:rPr>
          <w:rFonts w:hint="cs"/>
          <w:rtl/>
        </w:rPr>
        <w:t xml:space="preserve">לקיצוניים </w:t>
      </w:r>
      <w:bookmarkStart w:id="46684" w:name="_ETM_Q86_493400"/>
      <w:bookmarkEnd w:id="46684"/>
      <w:r>
        <w:rPr>
          <w:rFonts w:hint="cs"/>
          <w:rtl/>
        </w:rPr>
        <w:t xml:space="preserve">האלה, </w:t>
      </w:r>
      <w:bookmarkStart w:id="46685" w:name="_ETM_Q86_494120"/>
      <w:bookmarkEnd w:id="46685"/>
      <w:r>
        <w:rPr>
          <w:rFonts w:hint="cs"/>
          <w:rtl/>
        </w:rPr>
        <w:t xml:space="preserve">להרוס </w:t>
      </w:r>
      <w:bookmarkStart w:id="46686" w:name="_ETM_Q86_494570"/>
      <w:bookmarkEnd w:id="46686"/>
      <w:r>
        <w:rPr>
          <w:rFonts w:hint="cs"/>
          <w:rtl/>
        </w:rPr>
        <w:t xml:space="preserve">את </w:t>
      </w:r>
      <w:bookmarkStart w:id="46687" w:name="_ETM_Q86_494660"/>
      <w:bookmarkEnd w:id="46687"/>
      <w:r>
        <w:rPr>
          <w:rFonts w:hint="cs"/>
          <w:rtl/>
        </w:rPr>
        <w:t xml:space="preserve">מדינת </w:t>
      </w:r>
      <w:bookmarkStart w:id="46688" w:name="_ETM_Q86_495019"/>
      <w:bookmarkEnd w:id="46688"/>
      <w:r>
        <w:rPr>
          <w:rFonts w:hint="cs"/>
          <w:rtl/>
        </w:rPr>
        <w:t xml:space="preserve">ישראל. </w:t>
      </w:r>
      <w:bookmarkStart w:id="46689" w:name="_ETM_Q86_495889"/>
      <w:bookmarkEnd w:id="46689"/>
      <w:r>
        <w:rPr>
          <w:rFonts w:hint="cs"/>
          <w:rtl/>
        </w:rPr>
        <w:t xml:space="preserve">יש </w:t>
      </w:r>
      <w:bookmarkStart w:id="46690" w:name="_ETM_Q86_496070"/>
      <w:bookmarkEnd w:id="46690"/>
      <w:r>
        <w:rPr>
          <w:rFonts w:hint="cs"/>
          <w:rtl/>
        </w:rPr>
        <w:t xml:space="preserve">לכם </w:t>
      </w:r>
      <w:bookmarkStart w:id="46691" w:name="_ETM_Q86_496339"/>
      <w:bookmarkEnd w:id="46691"/>
      <w:r>
        <w:rPr>
          <w:rFonts w:hint="cs"/>
          <w:rtl/>
        </w:rPr>
        <w:t xml:space="preserve">את </w:t>
      </w:r>
      <w:bookmarkStart w:id="46692" w:name="_ETM_Q86_496460"/>
      <w:bookmarkEnd w:id="46692"/>
      <w:r>
        <w:rPr>
          <w:rFonts w:hint="cs"/>
          <w:rtl/>
        </w:rPr>
        <w:t xml:space="preserve">הכוח </w:t>
      </w:r>
      <w:bookmarkStart w:id="46693" w:name="_ETM_Q86_496820"/>
      <w:bookmarkEnd w:id="46693"/>
      <w:r>
        <w:rPr>
          <w:rFonts w:hint="cs"/>
          <w:rtl/>
        </w:rPr>
        <w:t xml:space="preserve">לעצור </w:t>
      </w:r>
      <w:bookmarkStart w:id="46694" w:name="_ETM_Q86_497270"/>
      <w:bookmarkEnd w:id="46694"/>
      <w:r>
        <w:rPr>
          <w:rFonts w:hint="cs"/>
          <w:rtl/>
        </w:rPr>
        <w:t xml:space="preserve">את </w:t>
      </w:r>
      <w:bookmarkStart w:id="46695" w:name="_ETM_Q86_497360"/>
      <w:bookmarkEnd w:id="46695"/>
      <w:r>
        <w:rPr>
          <w:rFonts w:hint="cs"/>
          <w:rtl/>
        </w:rPr>
        <w:t xml:space="preserve">זה. </w:t>
      </w:r>
      <w:bookmarkStart w:id="46696" w:name="_ETM_Q86_500089"/>
      <w:bookmarkEnd w:id="46696"/>
      <w:r>
        <w:rPr>
          <w:rFonts w:hint="cs"/>
          <w:rtl/>
        </w:rPr>
        <w:t xml:space="preserve">עד </w:t>
      </w:r>
      <w:bookmarkStart w:id="46697" w:name="_ETM_Q86_500300"/>
      <w:bookmarkEnd w:id="46697"/>
      <w:r>
        <w:rPr>
          <w:rFonts w:hint="cs"/>
          <w:rtl/>
        </w:rPr>
        <w:t xml:space="preserve">מתי </w:t>
      </w:r>
      <w:bookmarkStart w:id="46698" w:name="_ETM_Q86_500690"/>
      <w:bookmarkEnd w:id="46698"/>
      <w:r>
        <w:rPr>
          <w:rFonts w:hint="cs"/>
          <w:rtl/>
        </w:rPr>
        <w:t xml:space="preserve">תיתנו </w:t>
      </w:r>
      <w:bookmarkStart w:id="46699" w:name="_ETM_Q86_501020"/>
      <w:bookmarkEnd w:id="46699"/>
      <w:r>
        <w:rPr>
          <w:rFonts w:hint="cs"/>
          <w:rtl/>
        </w:rPr>
        <w:t xml:space="preserve">לחברי </w:t>
      </w:r>
      <w:bookmarkStart w:id="46700" w:name="_ETM_Q86_501500"/>
      <w:bookmarkEnd w:id="46700"/>
      <w:r>
        <w:rPr>
          <w:rFonts w:hint="cs"/>
          <w:rtl/>
        </w:rPr>
        <w:t xml:space="preserve">הממשלה </w:t>
      </w:r>
      <w:bookmarkStart w:id="46701" w:name="_ETM_Q86_502100"/>
      <w:bookmarkEnd w:id="46701"/>
      <w:r>
        <w:rPr>
          <w:rFonts w:hint="cs"/>
          <w:rtl/>
        </w:rPr>
        <w:t xml:space="preserve">הקיצונית </w:t>
      </w:r>
      <w:bookmarkStart w:id="46702" w:name="_ETM_Q86_502700"/>
      <w:bookmarkEnd w:id="46702"/>
      <w:r>
        <w:rPr>
          <w:rFonts w:hint="cs"/>
          <w:rtl/>
        </w:rPr>
        <w:t xml:space="preserve">הזאת </w:t>
      </w:r>
      <w:bookmarkStart w:id="46703" w:name="_ETM_Q86_504470"/>
      <w:bookmarkEnd w:id="46703"/>
      <w:r>
        <w:rPr>
          <w:rFonts w:hint="cs"/>
          <w:rtl/>
        </w:rPr>
        <w:t xml:space="preserve">לגרור </w:t>
      </w:r>
      <w:bookmarkStart w:id="46704" w:name="_ETM_Q86_505039"/>
      <w:bookmarkEnd w:id="46704"/>
      <w:r>
        <w:rPr>
          <w:rFonts w:hint="cs"/>
          <w:rtl/>
        </w:rPr>
        <w:t xml:space="preserve">אותנו </w:t>
      </w:r>
      <w:bookmarkStart w:id="46705" w:name="_ETM_Q86_505430"/>
      <w:bookmarkEnd w:id="46705"/>
      <w:r>
        <w:rPr>
          <w:rFonts w:hint="cs"/>
          <w:rtl/>
        </w:rPr>
        <w:t xml:space="preserve">ביחד </w:t>
      </w:r>
      <w:bookmarkStart w:id="46706" w:name="_ETM_Q86_505850"/>
      <w:bookmarkEnd w:id="46706"/>
      <w:r>
        <w:rPr>
          <w:rFonts w:hint="cs"/>
          <w:rtl/>
        </w:rPr>
        <w:t xml:space="preserve">איתכם </w:t>
      </w:r>
      <w:bookmarkStart w:id="46707" w:name="_ETM_Q86_506480"/>
      <w:bookmarkEnd w:id="46707"/>
      <w:r>
        <w:rPr>
          <w:rFonts w:hint="cs"/>
          <w:rtl/>
        </w:rPr>
        <w:t xml:space="preserve">אל </w:t>
      </w:r>
      <w:bookmarkStart w:id="46708" w:name="_ETM_Q86_506689"/>
      <w:bookmarkEnd w:id="46708"/>
      <w:r>
        <w:rPr>
          <w:rFonts w:hint="cs"/>
          <w:rtl/>
        </w:rPr>
        <w:t xml:space="preserve">התהום? </w:t>
      </w:r>
      <w:bookmarkStart w:id="46709" w:name="_ETM_Q86_507550"/>
      <w:bookmarkEnd w:id="46709"/>
      <w:r>
        <w:rPr>
          <w:rFonts w:hint="cs"/>
          <w:rtl/>
        </w:rPr>
        <w:t xml:space="preserve">אתם </w:t>
      </w:r>
      <w:bookmarkStart w:id="46710" w:name="_ETM_Q86_508000"/>
      <w:bookmarkEnd w:id="46710"/>
      <w:r>
        <w:rPr>
          <w:rFonts w:hint="cs"/>
          <w:rtl/>
        </w:rPr>
        <w:t xml:space="preserve">בעצמכם </w:t>
      </w:r>
      <w:bookmarkStart w:id="46711" w:name="_ETM_Q86_508510"/>
      <w:bookmarkEnd w:id="46711"/>
      <w:r>
        <w:rPr>
          <w:rFonts w:hint="cs"/>
          <w:rtl/>
        </w:rPr>
        <w:t xml:space="preserve">יודעים </w:t>
      </w:r>
      <w:bookmarkStart w:id="46712" w:name="_ETM_Q86_508839"/>
      <w:bookmarkStart w:id="46713" w:name="_ETM_Q86_509350"/>
      <w:bookmarkStart w:id="46714" w:name="_ETM_Q86_509740"/>
      <w:bookmarkEnd w:id="46712"/>
      <w:bookmarkEnd w:id="46713"/>
      <w:bookmarkEnd w:id="46714"/>
      <w:r>
        <w:rPr>
          <w:rFonts w:hint="cs"/>
          <w:rtl/>
        </w:rPr>
        <w:t xml:space="preserve">שבנימין </w:t>
      </w:r>
      <w:bookmarkStart w:id="46715" w:name="_ETM_Q86_510250"/>
      <w:bookmarkEnd w:id="46715"/>
      <w:r>
        <w:rPr>
          <w:rFonts w:hint="cs"/>
          <w:rtl/>
        </w:rPr>
        <w:t xml:space="preserve">נתניהו </w:t>
      </w:r>
      <w:bookmarkStart w:id="46716" w:name="_ETM_Q86_510699"/>
      <w:bookmarkEnd w:id="46716"/>
      <w:r>
        <w:rPr>
          <w:rFonts w:hint="cs"/>
          <w:rtl/>
        </w:rPr>
        <w:t xml:space="preserve">כבר </w:t>
      </w:r>
      <w:bookmarkStart w:id="46717" w:name="_ETM_Q86_510880"/>
      <w:bookmarkEnd w:id="46717"/>
      <w:r>
        <w:rPr>
          <w:rFonts w:hint="cs"/>
          <w:rtl/>
        </w:rPr>
        <w:t xml:space="preserve">מזמן </w:t>
      </w:r>
      <w:bookmarkStart w:id="46718" w:name="_ETM_Q86_511810"/>
      <w:bookmarkEnd w:id="46718"/>
      <w:r>
        <w:rPr>
          <w:rFonts w:hint="cs"/>
          <w:rtl/>
        </w:rPr>
        <w:t xml:space="preserve">לא </w:t>
      </w:r>
      <w:bookmarkStart w:id="46719" w:name="_ETM_Q86_512079"/>
      <w:bookmarkEnd w:id="46719"/>
      <w:r>
        <w:rPr>
          <w:rFonts w:hint="cs"/>
          <w:rtl/>
        </w:rPr>
        <w:t xml:space="preserve">עם </w:t>
      </w:r>
      <w:bookmarkStart w:id="46720" w:name="_ETM_Q86_512170"/>
      <w:bookmarkEnd w:id="46720"/>
      <w:r>
        <w:rPr>
          <w:rFonts w:hint="cs"/>
          <w:rtl/>
        </w:rPr>
        <w:t xml:space="preserve">שתי </w:t>
      </w:r>
      <w:bookmarkStart w:id="46721" w:name="_ETM_Q86_512380"/>
      <w:bookmarkEnd w:id="46721"/>
      <w:r>
        <w:rPr>
          <w:rFonts w:hint="cs"/>
          <w:rtl/>
        </w:rPr>
        <w:t xml:space="preserve">ידיים </w:t>
      </w:r>
      <w:bookmarkStart w:id="46722" w:name="_ETM_Q86_512710"/>
      <w:bookmarkEnd w:id="46722"/>
      <w:r>
        <w:rPr>
          <w:rFonts w:hint="cs"/>
          <w:rtl/>
        </w:rPr>
        <w:t xml:space="preserve">על </w:t>
      </w:r>
      <w:bookmarkStart w:id="46723" w:name="_ETM_Q86_512829"/>
      <w:bookmarkEnd w:id="46723"/>
      <w:r>
        <w:rPr>
          <w:rFonts w:hint="cs"/>
          <w:rtl/>
        </w:rPr>
        <w:t>ההגה, הוא</w:t>
      </w:r>
      <w:bookmarkStart w:id="46724" w:name="_ETM_Q86_513460"/>
      <w:bookmarkEnd w:id="46724"/>
      <w:r>
        <w:rPr>
          <w:rFonts w:hint="cs"/>
          <w:rtl/>
        </w:rPr>
        <w:t xml:space="preserve"> בקושי </w:t>
      </w:r>
      <w:bookmarkStart w:id="46725" w:name="_ETM_Q86_514029"/>
      <w:bookmarkEnd w:id="46725"/>
      <w:r>
        <w:rPr>
          <w:rFonts w:hint="cs"/>
          <w:rtl/>
        </w:rPr>
        <w:t xml:space="preserve">עם </w:t>
      </w:r>
      <w:bookmarkStart w:id="46726" w:name="_ETM_Q86_514089"/>
      <w:bookmarkEnd w:id="46726"/>
      <w:r>
        <w:rPr>
          <w:rFonts w:hint="cs"/>
          <w:rtl/>
        </w:rPr>
        <w:t xml:space="preserve">יד אחת. </w:t>
      </w:r>
      <w:bookmarkStart w:id="46727" w:name="_ETM_Q86_514270"/>
      <w:bookmarkStart w:id="46728" w:name="_ETM_Q86_515170"/>
      <w:bookmarkEnd w:id="46727"/>
      <w:bookmarkEnd w:id="46728"/>
      <w:r>
        <w:rPr>
          <w:rFonts w:hint="cs"/>
          <w:rtl/>
        </w:rPr>
        <w:t xml:space="preserve">אני </w:t>
      </w:r>
      <w:bookmarkStart w:id="46729" w:name="_ETM_Q86_515410"/>
      <w:bookmarkEnd w:id="46729"/>
      <w:r>
        <w:rPr>
          <w:rFonts w:hint="cs"/>
          <w:rtl/>
        </w:rPr>
        <w:t xml:space="preserve">לא </w:t>
      </w:r>
      <w:bookmarkStart w:id="46730" w:name="_ETM_Q86_515470"/>
      <w:bookmarkEnd w:id="46730"/>
      <w:r>
        <w:rPr>
          <w:rFonts w:hint="cs"/>
          <w:rtl/>
        </w:rPr>
        <w:t xml:space="preserve">מדבר </w:t>
      </w:r>
      <w:bookmarkStart w:id="46731" w:name="_ETM_Q86_515830"/>
      <w:bookmarkEnd w:id="46731"/>
      <w:r>
        <w:rPr>
          <w:rFonts w:hint="cs"/>
          <w:rtl/>
        </w:rPr>
        <w:t xml:space="preserve">על </w:t>
      </w:r>
      <w:bookmarkStart w:id="46732" w:name="_ETM_Q86_515890"/>
      <w:bookmarkEnd w:id="46732"/>
      <w:r>
        <w:rPr>
          <w:rFonts w:hint="cs"/>
          <w:rtl/>
        </w:rPr>
        <w:t xml:space="preserve">המצב </w:t>
      </w:r>
      <w:bookmarkStart w:id="46733" w:name="_ETM_Q86_516220"/>
      <w:bookmarkEnd w:id="46733"/>
      <w:r>
        <w:rPr>
          <w:rFonts w:hint="cs"/>
          <w:rtl/>
        </w:rPr>
        <w:t xml:space="preserve">הבריאותי </w:t>
      </w:r>
      <w:bookmarkStart w:id="46734" w:name="_ETM_Q86_516640"/>
      <w:bookmarkEnd w:id="46734"/>
      <w:r>
        <w:rPr>
          <w:rFonts w:hint="cs"/>
          <w:rtl/>
        </w:rPr>
        <w:t xml:space="preserve">שלו, </w:t>
      </w:r>
      <w:bookmarkStart w:id="46735" w:name="_ETM_Q86_516850"/>
      <w:bookmarkEnd w:id="46735"/>
      <w:r>
        <w:rPr>
          <w:rFonts w:hint="cs"/>
          <w:rtl/>
        </w:rPr>
        <w:t xml:space="preserve">אני </w:t>
      </w:r>
      <w:bookmarkStart w:id="46736" w:name="_ETM_Q86_516970"/>
      <w:bookmarkEnd w:id="46736"/>
      <w:r>
        <w:rPr>
          <w:rFonts w:hint="cs"/>
          <w:rtl/>
        </w:rPr>
        <w:t xml:space="preserve">מאחל </w:t>
      </w:r>
      <w:bookmarkStart w:id="46737" w:name="_ETM_Q86_517270"/>
      <w:bookmarkEnd w:id="46737"/>
      <w:r>
        <w:rPr>
          <w:rFonts w:hint="cs"/>
          <w:rtl/>
        </w:rPr>
        <w:t xml:space="preserve">לו </w:t>
      </w:r>
      <w:bookmarkStart w:id="46738" w:name="_ETM_Q86_517330"/>
      <w:bookmarkEnd w:id="46738"/>
      <w:r>
        <w:rPr>
          <w:rFonts w:hint="cs"/>
          <w:rtl/>
        </w:rPr>
        <w:t xml:space="preserve">הרבה </w:t>
      </w:r>
      <w:bookmarkStart w:id="46739" w:name="_ETM_Q86_517570"/>
      <w:bookmarkEnd w:id="46739"/>
      <w:r>
        <w:rPr>
          <w:rFonts w:hint="cs"/>
          <w:rtl/>
        </w:rPr>
        <w:t xml:space="preserve">בריאות, </w:t>
      </w:r>
      <w:bookmarkStart w:id="46740" w:name="_ETM_Q86_518700"/>
      <w:bookmarkEnd w:id="46740"/>
      <w:r>
        <w:rPr>
          <w:rFonts w:hint="cs"/>
          <w:rtl/>
        </w:rPr>
        <w:t xml:space="preserve">אני </w:t>
      </w:r>
      <w:bookmarkStart w:id="46741" w:name="_ETM_Q86_518880"/>
      <w:bookmarkEnd w:id="46741"/>
      <w:r>
        <w:rPr>
          <w:rFonts w:hint="cs"/>
          <w:rtl/>
        </w:rPr>
        <w:t xml:space="preserve">מדבר </w:t>
      </w:r>
      <w:bookmarkStart w:id="46742" w:name="_ETM_Q86_519270"/>
      <w:bookmarkEnd w:id="46742"/>
      <w:r>
        <w:rPr>
          <w:rFonts w:hint="cs"/>
          <w:rtl/>
        </w:rPr>
        <w:t xml:space="preserve">על </w:t>
      </w:r>
      <w:bookmarkStart w:id="46743" w:name="_ETM_Q86_519360"/>
      <w:bookmarkEnd w:id="46743"/>
      <w:r>
        <w:rPr>
          <w:rFonts w:hint="cs"/>
          <w:rtl/>
        </w:rPr>
        <w:t xml:space="preserve">החולשה </w:t>
      </w:r>
      <w:bookmarkStart w:id="46744" w:name="_ETM_Q86_519839"/>
      <w:bookmarkEnd w:id="46744"/>
      <w:r>
        <w:rPr>
          <w:rFonts w:hint="cs"/>
          <w:rtl/>
        </w:rPr>
        <w:t xml:space="preserve">שלו. </w:t>
      </w:r>
      <w:bookmarkStart w:id="46745" w:name="_ETM_Q86_521100"/>
      <w:bookmarkEnd w:id="46745"/>
      <w:r>
        <w:rPr>
          <w:rFonts w:hint="cs"/>
          <w:rtl/>
        </w:rPr>
        <w:t xml:space="preserve">ראינו </w:t>
      </w:r>
      <w:bookmarkStart w:id="46746" w:name="_ETM_Q86_521460"/>
      <w:bookmarkEnd w:id="46746"/>
      <w:r>
        <w:rPr>
          <w:rFonts w:hint="cs"/>
          <w:rtl/>
        </w:rPr>
        <w:t xml:space="preserve">את </w:t>
      </w:r>
      <w:bookmarkStart w:id="46747" w:name="_ETM_Q86_521519"/>
      <w:bookmarkEnd w:id="46747"/>
      <w:r>
        <w:rPr>
          <w:rFonts w:hint="cs"/>
          <w:rtl/>
        </w:rPr>
        <w:t xml:space="preserve">זה </w:t>
      </w:r>
      <w:bookmarkStart w:id="46748" w:name="_ETM_Q86_521609"/>
      <w:bookmarkEnd w:id="46748"/>
      <w:r>
        <w:rPr>
          <w:rFonts w:hint="cs"/>
          <w:rtl/>
        </w:rPr>
        <w:t xml:space="preserve">גם </w:t>
      </w:r>
      <w:bookmarkStart w:id="46749" w:name="_ETM_Q86_521820"/>
      <w:bookmarkEnd w:id="46749"/>
      <w:r>
        <w:rPr>
          <w:rFonts w:hint="cs"/>
          <w:rtl/>
        </w:rPr>
        <w:t xml:space="preserve">בהסכמים </w:t>
      </w:r>
      <w:bookmarkStart w:id="46750" w:name="_ETM_Q86_522329"/>
      <w:bookmarkEnd w:id="46750"/>
      <w:r>
        <w:rPr>
          <w:rFonts w:hint="cs"/>
          <w:rtl/>
        </w:rPr>
        <w:t xml:space="preserve">הקואליציוניים </w:t>
      </w:r>
      <w:bookmarkStart w:id="46751" w:name="_ETM_Q86_523339"/>
      <w:bookmarkEnd w:id="46751"/>
      <w:r>
        <w:rPr>
          <w:rFonts w:hint="cs"/>
          <w:rtl/>
        </w:rPr>
        <w:t xml:space="preserve">המטורפים </w:t>
      </w:r>
      <w:bookmarkStart w:id="46752" w:name="_ETM_Q86_525149"/>
      <w:bookmarkEnd w:id="46752"/>
      <w:r>
        <w:rPr>
          <w:rFonts w:hint="cs"/>
          <w:rtl/>
        </w:rPr>
        <w:t xml:space="preserve">שהוא </w:t>
      </w:r>
      <w:bookmarkStart w:id="46753" w:name="_ETM_Q86_525390"/>
      <w:bookmarkEnd w:id="46753"/>
      <w:r>
        <w:rPr>
          <w:rFonts w:hint="cs"/>
          <w:rtl/>
        </w:rPr>
        <w:t xml:space="preserve">עשה </w:t>
      </w:r>
      <w:bookmarkStart w:id="46754" w:name="_ETM_Q86_525690"/>
      <w:bookmarkEnd w:id="46754"/>
      <w:r>
        <w:rPr>
          <w:rFonts w:hint="cs"/>
          <w:rtl/>
        </w:rPr>
        <w:t xml:space="preserve">עם </w:t>
      </w:r>
      <w:bookmarkStart w:id="46755" w:name="_ETM_Q86_525809"/>
      <w:bookmarkEnd w:id="46755"/>
      <w:r>
        <w:rPr>
          <w:rFonts w:hint="cs"/>
          <w:rtl/>
        </w:rPr>
        <w:t xml:space="preserve">המפלגות </w:t>
      </w:r>
      <w:bookmarkStart w:id="46756" w:name="_ETM_Q86_526320"/>
      <w:bookmarkEnd w:id="46756"/>
      <w:r>
        <w:rPr>
          <w:rFonts w:hint="cs"/>
          <w:rtl/>
        </w:rPr>
        <w:t xml:space="preserve">הקיצוניות. </w:t>
      </w:r>
      <w:bookmarkStart w:id="46757" w:name="_ETM_Q86_527820"/>
      <w:bookmarkEnd w:id="46757"/>
      <w:r>
        <w:rPr>
          <w:rFonts w:hint="cs"/>
          <w:rtl/>
        </w:rPr>
        <w:t xml:space="preserve">נתן </w:t>
      </w:r>
      <w:bookmarkStart w:id="46758" w:name="_ETM_Q86_528210"/>
      <w:bookmarkEnd w:id="46758"/>
      <w:r>
        <w:rPr>
          <w:rFonts w:hint="cs"/>
          <w:rtl/>
        </w:rPr>
        <w:t xml:space="preserve">לבן </w:t>
      </w:r>
      <w:bookmarkStart w:id="46759" w:name="_ETM_Q86_528540"/>
      <w:bookmarkEnd w:id="46759"/>
      <w:r>
        <w:rPr>
          <w:rFonts w:hint="cs"/>
          <w:rtl/>
        </w:rPr>
        <w:t xml:space="preserve">גביר </w:t>
      </w:r>
      <w:bookmarkStart w:id="46760" w:name="_ETM_Q86_529050"/>
      <w:bookmarkEnd w:id="46760"/>
      <w:r>
        <w:rPr>
          <w:rFonts w:hint="cs"/>
          <w:rtl/>
        </w:rPr>
        <w:t xml:space="preserve">הכול. </w:t>
      </w:r>
      <w:bookmarkStart w:id="46761" w:name="_ETM_Q86_530399"/>
      <w:bookmarkEnd w:id="46761"/>
      <w:r>
        <w:rPr>
          <w:rFonts w:hint="cs"/>
          <w:rtl/>
        </w:rPr>
        <w:t xml:space="preserve">הכול. </w:t>
      </w:r>
      <w:bookmarkStart w:id="46762" w:name="_ETM_Q86_532770"/>
      <w:bookmarkEnd w:id="46762"/>
      <w:r>
        <w:rPr>
          <w:rFonts w:hint="cs"/>
          <w:rtl/>
        </w:rPr>
        <w:t xml:space="preserve">ואחרי </w:t>
      </w:r>
      <w:bookmarkStart w:id="46763" w:name="_ETM_Q86_533100"/>
      <w:bookmarkEnd w:id="46763"/>
      <w:r>
        <w:rPr>
          <w:rFonts w:hint="cs"/>
          <w:rtl/>
        </w:rPr>
        <w:t xml:space="preserve">זה </w:t>
      </w:r>
      <w:bookmarkStart w:id="46764" w:name="_ETM_Q86_533250"/>
      <w:bookmarkEnd w:id="46764"/>
      <w:r>
        <w:rPr>
          <w:rFonts w:hint="cs"/>
          <w:rtl/>
        </w:rPr>
        <w:t>ב</w:t>
      </w:r>
      <w:bookmarkStart w:id="46765" w:name="_ETM_Q86_533400"/>
      <w:bookmarkEnd w:id="46765"/>
      <w:r>
        <w:rPr>
          <w:rFonts w:hint="cs"/>
          <w:rtl/>
        </w:rPr>
        <w:t xml:space="preserve">ן גביר </w:t>
      </w:r>
      <w:bookmarkStart w:id="46766" w:name="_ETM_Q86_533670"/>
      <w:bookmarkStart w:id="46767" w:name="_ETM_Q86_533880"/>
      <w:bookmarkEnd w:id="46766"/>
      <w:bookmarkEnd w:id="46767"/>
      <w:r>
        <w:rPr>
          <w:rFonts w:hint="cs"/>
          <w:rtl/>
        </w:rPr>
        <w:t xml:space="preserve">סחט אותו </w:t>
      </w:r>
      <w:bookmarkStart w:id="46768" w:name="_ETM_Q86_534120"/>
      <w:bookmarkEnd w:id="46768"/>
      <w:r>
        <w:rPr>
          <w:rFonts w:hint="cs"/>
          <w:rtl/>
        </w:rPr>
        <w:t xml:space="preserve">עוד </w:t>
      </w:r>
      <w:bookmarkStart w:id="46769" w:name="_ETM_Q86_534540"/>
      <w:bookmarkEnd w:id="46769"/>
      <w:r>
        <w:rPr>
          <w:rFonts w:hint="cs"/>
          <w:rtl/>
        </w:rPr>
        <w:t xml:space="preserve">ועוד </w:t>
      </w:r>
      <w:bookmarkStart w:id="46770" w:name="_ETM_Q86_535080"/>
      <w:bookmarkEnd w:id="46770"/>
      <w:r>
        <w:rPr>
          <w:rFonts w:hint="cs"/>
          <w:rtl/>
        </w:rPr>
        <w:t xml:space="preserve">ועוד. </w:t>
      </w:r>
      <w:bookmarkStart w:id="46771" w:name="_ETM_Q86_536909"/>
      <w:bookmarkEnd w:id="46771"/>
      <w:r>
        <w:rPr>
          <w:rFonts w:hint="cs"/>
          <w:rtl/>
        </w:rPr>
        <w:t xml:space="preserve">ביבי, </w:t>
      </w:r>
      <w:bookmarkStart w:id="46772" w:name="_ETM_Q86_537329"/>
      <w:bookmarkEnd w:id="46772"/>
      <w:r>
        <w:rPr>
          <w:rFonts w:hint="cs"/>
          <w:rtl/>
        </w:rPr>
        <w:t xml:space="preserve">עד </w:t>
      </w:r>
      <w:bookmarkStart w:id="46773" w:name="_ETM_Q86_537449"/>
      <w:bookmarkEnd w:id="46773"/>
      <w:r>
        <w:rPr>
          <w:rFonts w:hint="cs"/>
          <w:rtl/>
        </w:rPr>
        <w:t>מתי</w:t>
      </w:r>
      <w:r w:rsidR="000145FA">
        <w:rPr>
          <w:rFonts w:hint="cs"/>
          <w:rtl/>
        </w:rPr>
        <w:t>,</w:t>
      </w:r>
      <w:r>
        <w:rPr>
          <w:rFonts w:hint="cs"/>
          <w:rtl/>
        </w:rPr>
        <w:t xml:space="preserve"> </w:t>
      </w:r>
      <w:bookmarkStart w:id="46774" w:name="_ETM_Q86_538469"/>
      <w:bookmarkEnd w:id="46774"/>
      <w:r>
        <w:rPr>
          <w:rFonts w:hint="cs"/>
          <w:rtl/>
        </w:rPr>
        <w:t xml:space="preserve">מתי </w:t>
      </w:r>
      <w:bookmarkStart w:id="46775" w:name="_ETM_Q86_539100"/>
      <w:bookmarkEnd w:id="46775"/>
      <w:r>
        <w:rPr>
          <w:rFonts w:hint="cs"/>
          <w:rtl/>
        </w:rPr>
        <w:t xml:space="preserve">אתה </w:t>
      </w:r>
      <w:bookmarkStart w:id="46776" w:name="_ETM_Q86_539459"/>
      <w:bookmarkEnd w:id="46776"/>
      <w:r>
        <w:rPr>
          <w:rFonts w:hint="cs"/>
          <w:rtl/>
        </w:rPr>
        <w:t xml:space="preserve">תעצור </w:t>
      </w:r>
      <w:bookmarkStart w:id="46777" w:name="_ETM_Q86_540029"/>
      <w:bookmarkEnd w:id="46777"/>
      <w:r>
        <w:rPr>
          <w:rFonts w:hint="cs"/>
          <w:rtl/>
        </w:rPr>
        <w:t xml:space="preserve">את </w:t>
      </w:r>
      <w:bookmarkStart w:id="46778" w:name="_ETM_Q86_540119"/>
      <w:bookmarkEnd w:id="46778"/>
      <w:r>
        <w:rPr>
          <w:rFonts w:hint="cs"/>
          <w:rtl/>
        </w:rPr>
        <w:t xml:space="preserve">זה? </w:t>
      </w:r>
      <w:bookmarkStart w:id="46779" w:name="_ETM_Q86_542000"/>
      <w:bookmarkEnd w:id="46779"/>
      <w:r>
        <w:rPr>
          <w:rFonts w:hint="cs"/>
          <w:rtl/>
        </w:rPr>
        <w:t xml:space="preserve">זה </w:t>
      </w:r>
      <w:bookmarkStart w:id="46780" w:name="_ETM_Q86_541690"/>
      <w:bookmarkEnd w:id="46780"/>
      <w:r>
        <w:rPr>
          <w:rFonts w:hint="cs"/>
          <w:rtl/>
        </w:rPr>
        <w:t xml:space="preserve">עדיין </w:t>
      </w:r>
      <w:bookmarkStart w:id="46781" w:name="_ETM_Q86_542260"/>
      <w:bookmarkEnd w:id="46781"/>
      <w:r>
        <w:rPr>
          <w:rFonts w:hint="cs"/>
          <w:rtl/>
        </w:rPr>
        <w:t xml:space="preserve">לא </w:t>
      </w:r>
      <w:bookmarkStart w:id="46782" w:name="_ETM_Q86_542350"/>
      <w:bookmarkEnd w:id="46782"/>
      <w:r>
        <w:rPr>
          <w:rFonts w:hint="cs"/>
          <w:rtl/>
        </w:rPr>
        <w:t xml:space="preserve">מאוחר, </w:t>
      </w:r>
      <w:bookmarkStart w:id="46783" w:name="_ETM_Q86_543800"/>
      <w:bookmarkEnd w:id="46783"/>
      <w:r>
        <w:rPr>
          <w:rFonts w:hint="cs"/>
          <w:rtl/>
        </w:rPr>
        <w:t xml:space="preserve">עד </w:t>
      </w:r>
      <w:bookmarkStart w:id="46784" w:name="_ETM_Q86_544040"/>
      <w:bookmarkEnd w:id="46784"/>
      <w:r>
        <w:rPr>
          <w:rFonts w:hint="cs"/>
          <w:rtl/>
        </w:rPr>
        <w:t xml:space="preserve">מחר </w:t>
      </w:r>
      <w:bookmarkStart w:id="46785" w:name="_ETM_Q86_544370"/>
      <w:bookmarkEnd w:id="46785"/>
      <w:r>
        <w:rPr>
          <w:rFonts w:hint="cs"/>
          <w:rtl/>
        </w:rPr>
        <w:t xml:space="preserve">ב-12:00 </w:t>
      </w:r>
      <w:bookmarkStart w:id="46786" w:name="_ETM_Q86_544940"/>
      <w:bookmarkStart w:id="46787" w:name="_ETM_Q86_545660"/>
      <w:bookmarkEnd w:id="46786"/>
      <w:bookmarkEnd w:id="46787"/>
      <w:r>
        <w:rPr>
          <w:rFonts w:hint="cs"/>
          <w:rtl/>
        </w:rPr>
        <w:t xml:space="preserve">עדיין </w:t>
      </w:r>
      <w:bookmarkStart w:id="46788" w:name="_ETM_Q86_546170"/>
      <w:bookmarkEnd w:id="46788"/>
      <w:r>
        <w:rPr>
          <w:rFonts w:hint="cs"/>
          <w:rtl/>
        </w:rPr>
        <w:t xml:space="preserve">אפשר </w:t>
      </w:r>
      <w:bookmarkStart w:id="46789" w:name="_ETM_Q86_546560"/>
      <w:bookmarkEnd w:id="46789"/>
      <w:r>
        <w:rPr>
          <w:rFonts w:hint="cs"/>
          <w:rtl/>
        </w:rPr>
        <w:t xml:space="preserve">לעצור </w:t>
      </w:r>
      <w:bookmarkStart w:id="46790" w:name="_ETM_Q86_547040"/>
      <w:bookmarkEnd w:id="46790"/>
      <w:r>
        <w:rPr>
          <w:rFonts w:hint="cs"/>
          <w:rtl/>
        </w:rPr>
        <w:t xml:space="preserve">את </w:t>
      </w:r>
      <w:bookmarkStart w:id="46791" w:name="_ETM_Q86_547730"/>
      <w:bookmarkEnd w:id="46791"/>
      <w:r>
        <w:rPr>
          <w:rFonts w:hint="cs"/>
          <w:rtl/>
        </w:rPr>
        <w:t xml:space="preserve">הדהירה </w:t>
      </w:r>
      <w:bookmarkStart w:id="46792" w:name="_ETM_Q86_548270"/>
      <w:bookmarkEnd w:id="46792"/>
      <w:r>
        <w:rPr>
          <w:rFonts w:hint="cs"/>
          <w:rtl/>
        </w:rPr>
        <w:t xml:space="preserve">הזאת </w:t>
      </w:r>
      <w:bookmarkStart w:id="46793" w:name="_ETM_Q86_548510"/>
      <w:bookmarkEnd w:id="46793"/>
      <w:r>
        <w:rPr>
          <w:rFonts w:hint="cs"/>
          <w:rtl/>
        </w:rPr>
        <w:t xml:space="preserve">אל </w:t>
      </w:r>
      <w:bookmarkStart w:id="46794" w:name="_ETM_Q86_548600"/>
      <w:bookmarkEnd w:id="46794"/>
      <w:r>
        <w:rPr>
          <w:rFonts w:hint="cs"/>
          <w:rtl/>
        </w:rPr>
        <w:t>התהום.</w:t>
      </w:r>
    </w:p>
    <w:p w:rsidR="00BB59CD" w:rsidRDefault="00BB59CD" w:rsidP="00BB59CD">
      <w:pPr>
        <w:rPr>
          <w:rtl/>
        </w:rPr>
      </w:pPr>
    </w:p>
    <w:p w:rsidR="00BB59CD" w:rsidRDefault="00BB59CD" w:rsidP="00BB59CD">
      <w:pPr>
        <w:rPr>
          <w:rtl/>
        </w:rPr>
      </w:pPr>
      <w:bookmarkStart w:id="46795" w:name="_ETM_Q86_549000"/>
      <w:bookmarkStart w:id="46796" w:name="_ETM_Q86_550290"/>
      <w:bookmarkEnd w:id="46795"/>
      <w:bookmarkEnd w:id="46796"/>
      <w:r>
        <w:rPr>
          <w:rFonts w:hint="cs"/>
          <w:rtl/>
        </w:rPr>
        <w:t xml:space="preserve">אתם </w:t>
      </w:r>
      <w:bookmarkStart w:id="46797" w:name="_ETM_Q86_550740"/>
      <w:bookmarkEnd w:id="46797"/>
      <w:r>
        <w:rPr>
          <w:rFonts w:hint="cs"/>
          <w:rtl/>
        </w:rPr>
        <w:t xml:space="preserve">כולם </w:t>
      </w:r>
      <w:bookmarkStart w:id="46798" w:name="_ETM_Q86_551130"/>
      <w:bookmarkEnd w:id="46798"/>
      <w:r>
        <w:rPr>
          <w:rFonts w:hint="cs"/>
          <w:rtl/>
        </w:rPr>
        <w:t xml:space="preserve">יודעים, </w:t>
      </w:r>
      <w:bookmarkStart w:id="46799" w:name="_ETM_Q86_551640"/>
      <w:bookmarkEnd w:id="46799"/>
      <w:r>
        <w:rPr>
          <w:rFonts w:hint="cs"/>
          <w:rtl/>
        </w:rPr>
        <w:t xml:space="preserve">כל </w:t>
      </w:r>
      <w:bookmarkStart w:id="46800" w:name="_ETM_Q86_551850"/>
      <w:bookmarkEnd w:id="46800"/>
      <w:r>
        <w:rPr>
          <w:rFonts w:hint="cs"/>
          <w:rtl/>
        </w:rPr>
        <w:t xml:space="preserve">חברי </w:t>
      </w:r>
      <w:bookmarkStart w:id="46801" w:name="_ETM_Q86_552210"/>
      <w:bookmarkEnd w:id="46801"/>
      <w:r>
        <w:rPr>
          <w:rFonts w:hint="cs"/>
          <w:rtl/>
        </w:rPr>
        <w:t xml:space="preserve">הליכוד, </w:t>
      </w:r>
      <w:bookmarkStart w:id="46802" w:name="_ETM_Q86_553270"/>
      <w:bookmarkEnd w:id="46802"/>
      <w:r>
        <w:rPr>
          <w:rFonts w:hint="cs"/>
          <w:rtl/>
        </w:rPr>
        <w:t xml:space="preserve">שאת </w:t>
      </w:r>
      <w:bookmarkStart w:id="46803" w:name="_ETM_Q86_553630"/>
      <w:bookmarkEnd w:id="46803"/>
      <w:r>
        <w:rPr>
          <w:rFonts w:hint="cs"/>
          <w:rtl/>
        </w:rPr>
        <w:t xml:space="preserve">המחיר </w:t>
      </w:r>
      <w:bookmarkStart w:id="46804" w:name="_ETM_Q86_554049"/>
      <w:bookmarkEnd w:id="46804"/>
      <w:r>
        <w:rPr>
          <w:rFonts w:hint="cs"/>
          <w:rtl/>
        </w:rPr>
        <w:t xml:space="preserve">הכבד </w:t>
      </w:r>
      <w:bookmarkStart w:id="46805" w:name="_ETM_Q86_554469"/>
      <w:bookmarkStart w:id="46806" w:name="_ETM_Q86_554799"/>
      <w:bookmarkEnd w:id="46805"/>
      <w:bookmarkEnd w:id="46806"/>
      <w:r>
        <w:rPr>
          <w:rFonts w:hint="cs"/>
          <w:rtl/>
        </w:rPr>
        <w:t xml:space="preserve">מנשוא משלמת </w:t>
      </w:r>
      <w:bookmarkStart w:id="46807" w:name="_ETM_Q86_555249"/>
      <w:bookmarkEnd w:id="46807"/>
      <w:r>
        <w:rPr>
          <w:rFonts w:hint="cs"/>
          <w:rtl/>
        </w:rPr>
        <w:t xml:space="preserve">את </w:t>
      </w:r>
      <w:bookmarkStart w:id="46808" w:name="_ETM_Q86_555369"/>
      <w:bookmarkEnd w:id="46808"/>
      <w:r>
        <w:rPr>
          <w:rFonts w:hint="cs"/>
          <w:rtl/>
        </w:rPr>
        <w:t xml:space="preserve">כל </w:t>
      </w:r>
      <w:bookmarkStart w:id="46809" w:name="_ETM_Q86_555850"/>
      <w:bookmarkEnd w:id="46809"/>
      <w:r>
        <w:rPr>
          <w:rFonts w:hint="cs"/>
          <w:rtl/>
        </w:rPr>
        <w:t xml:space="preserve">מדינת </w:t>
      </w:r>
      <w:bookmarkStart w:id="46810" w:name="_ETM_Q86_556450"/>
      <w:bookmarkEnd w:id="46810"/>
      <w:r>
        <w:rPr>
          <w:rFonts w:hint="cs"/>
          <w:rtl/>
        </w:rPr>
        <w:t xml:space="preserve">ישראל. </w:t>
      </w:r>
      <w:bookmarkStart w:id="46811" w:name="_ETM_Q86_557299"/>
      <w:bookmarkEnd w:id="46811"/>
      <w:r>
        <w:rPr>
          <w:rFonts w:hint="cs"/>
          <w:rtl/>
        </w:rPr>
        <w:t xml:space="preserve">גם </w:t>
      </w:r>
      <w:bookmarkStart w:id="46812" w:name="_ETM_Q86_557750"/>
      <w:bookmarkEnd w:id="46812"/>
      <w:r>
        <w:rPr>
          <w:rFonts w:hint="cs"/>
          <w:rtl/>
        </w:rPr>
        <w:t xml:space="preserve">הילדים </w:t>
      </w:r>
      <w:bookmarkStart w:id="46813" w:name="_ETM_Q86_558260"/>
      <w:bookmarkEnd w:id="46813"/>
      <w:r>
        <w:rPr>
          <w:rFonts w:hint="cs"/>
          <w:rtl/>
        </w:rPr>
        <w:t xml:space="preserve">שלכם, </w:t>
      </w:r>
      <w:bookmarkStart w:id="46814" w:name="_ETM_Q86_558799"/>
      <w:bookmarkEnd w:id="46814"/>
      <w:r>
        <w:rPr>
          <w:rFonts w:hint="cs"/>
          <w:rtl/>
        </w:rPr>
        <w:t xml:space="preserve">חברי </w:t>
      </w:r>
      <w:bookmarkStart w:id="46815" w:name="_ETM_Q86_559159"/>
      <w:bookmarkEnd w:id="46815"/>
      <w:r>
        <w:rPr>
          <w:rFonts w:hint="cs"/>
          <w:rtl/>
        </w:rPr>
        <w:t xml:space="preserve">הכנסת </w:t>
      </w:r>
      <w:bookmarkStart w:id="46816" w:name="_ETM_Q86_559460"/>
      <w:bookmarkEnd w:id="46816"/>
      <w:r>
        <w:rPr>
          <w:rFonts w:hint="cs"/>
          <w:rtl/>
        </w:rPr>
        <w:t xml:space="preserve">של </w:t>
      </w:r>
      <w:bookmarkStart w:id="46817" w:name="_ETM_Q86_559549"/>
      <w:bookmarkEnd w:id="46817"/>
      <w:r>
        <w:rPr>
          <w:rFonts w:hint="cs"/>
          <w:rtl/>
        </w:rPr>
        <w:t xml:space="preserve">הליכוד, </w:t>
      </w:r>
      <w:bookmarkStart w:id="46818" w:name="_ETM_Q86_560520"/>
      <w:bookmarkEnd w:id="46818"/>
      <w:r>
        <w:rPr>
          <w:rFonts w:hint="cs"/>
          <w:rtl/>
        </w:rPr>
        <w:t xml:space="preserve">ישלמו </w:t>
      </w:r>
      <w:bookmarkStart w:id="46819" w:name="_ETM_Q86_561120"/>
      <w:bookmarkEnd w:id="46819"/>
      <w:r>
        <w:rPr>
          <w:rFonts w:hint="cs"/>
          <w:rtl/>
        </w:rPr>
        <w:t xml:space="preserve">ומשלמים </w:t>
      </w:r>
      <w:bookmarkStart w:id="46820" w:name="_ETM_Q86_561779"/>
      <w:bookmarkEnd w:id="46820"/>
      <w:r>
        <w:rPr>
          <w:rFonts w:hint="cs"/>
          <w:rtl/>
        </w:rPr>
        <w:t xml:space="preserve">את </w:t>
      </w:r>
      <w:bookmarkStart w:id="46821" w:name="_ETM_Q86_561900"/>
      <w:bookmarkEnd w:id="46821"/>
      <w:r>
        <w:rPr>
          <w:rFonts w:hint="cs"/>
          <w:rtl/>
        </w:rPr>
        <w:t xml:space="preserve">המחיר </w:t>
      </w:r>
      <w:bookmarkStart w:id="46822" w:name="_ETM_Q86_562350"/>
      <w:bookmarkEnd w:id="46822"/>
      <w:r>
        <w:rPr>
          <w:rFonts w:hint="cs"/>
          <w:rtl/>
        </w:rPr>
        <w:t xml:space="preserve">הזה. </w:t>
      </w:r>
      <w:bookmarkStart w:id="46823" w:name="_ETM_Q86_564329"/>
      <w:bookmarkEnd w:id="46823"/>
      <w:r>
        <w:rPr>
          <w:rFonts w:hint="cs"/>
          <w:rtl/>
        </w:rPr>
        <w:t xml:space="preserve">הגיע </w:t>
      </w:r>
      <w:bookmarkStart w:id="46824" w:name="_ETM_Q86_564719"/>
      <w:bookmarkEnd w:id="46824"/>
      <w:r>
        <w:rPr>
          <w:rFonts w:hint="cs"/>
          <w:rtl/>
        </w:rPr>
        <w:t xml:space="preserve">הזמן </w:t>
      </w:r>
      <w:bookmarkStart w:id="46825" w:name="_ETM_Q86_565259"/>
      <w:bookmarkEnd w:id="46825"/>
      <w:r>
        <w:rPr>
          <w:rFonts w:hint="cs"/>
          <w:rtl/>
        </w:rPr>
        <w:t xml:space="preserve">לפקוח </w:t>
      </w:r>
      <w:bookmarkStart w:id="46826" w:name="_ETM_Q86_565649"/>
      <w:bookmarkEnd w:id="46826"/>
      <w:r>
        <w:rPr>
          <w:rFonts w:hint="cs"/>
          <w:rtl/>
        </w:rPr>
        <w:t xml:space="preserve">את </w:t>
      </w:r>
      <w:bookmarkStart w:id="46827" w:name="_ETM_Q86_565740"/>
      <w:bookmarkEnd w:id="46827"/>
      <w:r>
        <w:rPr>
          <w:rFonts w:hint="cs"/>
          <w:rtl/>
        </w:rPr>
        <w:t xml:space="preserve">העיניים </w:t>
      </w:r>
      <w:bookmarkStart w:id="46828" w:name="_ETM_Q86_566940"/>
      <w:bookmarkEnd w:id="46828"/>
      <w:r>
        <w:rPr>
          <w:rFonts w:hint="cs"/>
          <w:rtl/>
        </w:rPr>
        <w:t xml:space="preserve">ולעצור </w:t>
      </w:r>
      <w:bookmarkStart w:id="46829" w:name="_ETM_Q86_567600"/>
      <w:bookmarkEnd w:id="46829"/>
      <w:r>
        <w:rPr>
          <w:rFonts w:hint="cs"/>
          <w:rtl/>
        </w:rPr>
        <w:t xml:space="preserve">את </w:t>
      </w:r>
      <w:bookmarkStart w:id="46830" w:name="_ETM_Q86_567690"/>
      <w:bookmarkEnd w:id="46830"/>
      <w:r>
        <w:rPr>
          <w:rFonts w:hint="cs"/>
          <w:rtl/>
        </w:rPr>
        <w:t xml:space="preserve">הדהירה </w:t>
      </w:r>
      <w:bookmarkStart w:id="46831" w:name="_ETM_Q86_568140"/>
      <w:bookmarkEnd w:id="46831"/>
      <w:r>
        <w:rPr>
          <w:rFonts w:hint="cs"/>
          <w:rtl/>
        </w:rPr>
        <w:t xml:space="preserve">הזאת. </w:t>
      </w:r>
      <w:bookmarkStart w:id="46832" w:name="_ETM_Q86_569620"/>
      <w:bookmarkEnd w:id="46832"/>
      <w:r>
        <w:rPr>
          <w:rFonts w:hint="cs"/>
          <w:rtl/>
        </w:rPr>
        <w:t xml:space="preserve">מתי </w:t>
      </w:r>
      <w:bookmarkStart w:id="46833" w:name="_ETM_Q86_570070"/>
      <w:bookmarkEnd w:id="46833"/>
      <w:r>
        <w:rPr>
          <w:rFonts w:hint="cs"/>
          <w:rtl/>
        </w:rPr>
        <w:t xml:space="preserve">תתעוררו? </w:t>
      </w:r>
      <w:bookmarkStart w:id="46834" w:name="_ETM_Q86_570820"/>
      <w:bookmarkEnd w:id="46834"/>
      <w:r>
        <w:rPr>
          <w:rFonts w:hint="cs"/>
          <w:rtl/>
        </w:rPr>
        <w:t xml:space="preserve">מתי? </w:t>
      </w:r>
      <w:bookmarkStart w:id="46835" w:name="_ETM_Q86_574400"/>
      <w:bookmarkEnd w:id="46835"/>
    </w:p>
    <w:p w:rsidR="00BB59CD" w:rsidRDefault="00BB59CD" w:rsidP="00BB59CD">
      <w:pPr>
        <w:rPr>
          <w:rtl/>
        </w:rPr>
      </w:pPr>
    </w:p>
    <w:p w:rsidR="00BB59CD" w:rsidRDefault="00BB59CD" w:rsidP="000145FA">
      <w:pPr>
        <w:rPr>
          <w:rtl/>
        </w:rPr>
      </w:pPr>
      <w:bookmarkStart w:id="46836" w:name="_ETM_Q86_573000"/>
      <w:bookmarkEnd w:id="46836"/>
      <w:r>
        <w:rPr>
          <w:rFonts w:hint="cs"/>
          <w:rtl/>
        </w:rPr>
        <w:t xml:space="preserve">לפני </w:t>
      </w:r>
      <w:bookmarkStart w:id="46837" w:name="_ETM_Q86_574760"/>
      <w:bookmarkEnd w:id="46837"/>
      <w:r>
        <w:rPr>
          <w:rFonts w:hint="cs"/>
          <w:rtl/>
        </w:rPr>
        <w:t xml:space="preserve">שאני </w:t>
      </w:r>
      <w:bookmarkStart w:id="46838" w:name="_ETM_Q86_575029"/>
      <w:bookmarkEnd w:id="46838"/>
      <w:r>
        <w:rPr>
          <w:rFonts w:hint="cs"/>
          <w:rtl/>
        </w:rPr>
        <w:t>אסיים</w:t>
      </w:r>
      <w:bookmarkStart w:id="46839" w:name="_ETM_Q86_575510"/>
      <w:bookmarkStart w:id="46840" w:name="_ETM_Q86_575690"/>
      <w:bookmarkEnd w:id="46839"/>
      <w:bookmarkEnd w:id="46840"/>
      <w:r>
        <w:rPr>
          <w:rFonts w:hint="cs"/>
          <w:rtl/>
        </w:rPr>
        <w:t xml:space="preserve">, </w:t>
      </w:r>
      <w:bookmarkStart w:id="46841" w:name="_ETM_Q86_577219"/>
      <w:bookmarkEnd w:id="46841"/>
      <w:r>
        <w:rPr>
          <w:rFonts w:hint="cs"/>
          <w:rtl/>
        </w:rPr>
        <w:t xml:space="preserve">מספר </w:t>
      </w:r>
      <w:bookmarkStart w:id="46842" w:name="_ETM_Q86_577670"/>
      <w:bookmarkEnd w:id="46842"/>
      <w:r>
        <w:rPr>
          <w:rFonts w:hint="cs"/>
          <w:rtl/>
        </w:rPr>
        <w:t xml:space="preserve">מילים </w:t>
      </w:r>
      <w:bookmarkStart w:id="46843" w:name="_ETM_Q86_578600"/>
      <w:bookmarkEnd w:id="46843"/>
      <w:r>
        <w:rPr>
          <w:rFonts w:hint="cs"/>
          <w:rtl/>
        </w:rPr>
        <w:t xml:space="preserve">אישיות </w:t>
      </w:r>
      <w:bookmarkStart w:id="46844" w:name="_ETM_Q86_579109"/>
      <w:bookmarkEnd w:id="46844"/>
      <w:r>
        <w:rPr>
          <w:rFonts w:hint="cs"/>
          <w:rtl/>
        </w:rPr>
        <w:t xml:space="preserve">מאבא </w:t>
      </w:r>
      <w:bookmarkStart w:id="46845" w:name="_ETM_Q86_579439"/>
      <w:bookmarkEnd w:id="46845"/>
      <w:r>
        <w:rPr>
          <w:rFonts w:hint="cs"/>
          <w:rtl/>
        </w:rPr>
        <w:t xml:space="preserve">שלי. </w:t>
      </w:r>
      <w:bookmarkStart w:id="46846" w:name="_ETM_Q86_582389"/>
      <w:bookmarkEnd w:id="46846"/>
      <w:r>
        <w:rPr>
          <w:rFonts w:hint="cs"/>
          <w:rtl/>
        </w:rPr>
        <w:t xml:space="preserve">אני </w:t>
      </w:r>
      <w:bookmarkStart w:id="46847" w:name="_ETM_Q86_582539"/>
      <w:bookmarkEnd w:id="46847"/>
      <w:r>
        <w:rPr>
          <w:rFonts w:hint="cs"/>
          <w:rtl/>
        </w:rPr>
        <w:t xml:space="preserve">רוצה </w:t>
      </w:r>
      <w:bookmarkStart w:id="46848" w:name="_ETM_Q86_582779"/>
      <w:bookmarkEnd w:id="46848"/>
      <w:r>
        <w:rPr>
          <w:rFonts w:hint="cs"/>
          <w:rtl/>
        </w:rPr>
        <w:t xml:space="preserve">להגיד </w:t>
      </w:r>
      <w:bookmarkStart w:id="46849" w:name="_ETM_Q86_583049"/>
      <w:bookmarkEnd w:id="46849"/>
      <w:r>
        <w:rPr>
          <w:rFonts w:hint="cs"/>
          <w:rtl/>
        </w:rPr>
        <w:t xml:space="preserve">לכל </w:t>
      </w:r>
      <w:bookmarkStart w:id="46850" w:name="_ETM_Q86_583259"/>
      <w:bookmarkEnd w:id="46850"/>
      <w:r>
        <w:rPr>
          <w:rFonts w:hint="cs"/>
          <w:rtl/>
        </w:rPr>
        <w:t xml:space="preserve">מי </w:t>
      </w:r>
      <w:bookmarkStart w:id="46851" w:name="_ETM_Q86_583380"/>
      <w:bookmarkEnd w:id="46851"/>
      <w:r>
        <w:rPr>
          <w:rFonts w:hint="cs"/>
          <w:rtl/>
        </w:rPr>
        <w:t xml:space="preserve">ששומע: </w:t>
      </w:r>
      <w:bookmarkStart w:id="46852" w:name="_ETM_Q86_586319"/>
      <w:bookmarkEnd w:id="46852"/>
      <w:r>
        <w:rPr>
          <w:rFonts w:hint="cs"/>
          <w:rtl/>
        </w:rPr>
        <w:t xml:space="preserve">אנחנו, </w:t>
      </w:r>
      <w:bookmarkStart w:id="46853" w:name="_ETM_Q86_586799"/>
      <w:bookmarkEnd w:id="46853"/>
      <w:r>
        <w:rPr>
          <w:rFonts w:hint="cs"/>
          <w:rtl/>
        </w:rPr>
        <w:t xml:space="preserve">מפלגת </w:t>
      </w:r>
      <w:bookmarkStart w:id="46854" w:name="_ETM_Q86_587189"/>
      <w:bookmarkEnd w:id="46854"/>
      <w:r>
        <w:rPr>
          <w:rFonts w:hint="cs"/>
          <w:rtl/>
        </w:rPr>
        <w:t xml:space="preserve">יש </w:t>
      </w:r>
      <w:bookmarkStart w:id="46855" w:name="_ETM_Q86_587369"/>
      <w:bookmarkEnd w:id="46855"/>
      <w:r>
        <w:rPr>
          <w:rFonts w:hint="cs"/>
          <w:rtl/>
        </w:rPr>
        <w:t xml:space="preserve">עתיד </w:t>
      </w:r>
      <w:bookmarkStart w:id="46856" w:name="_ETM_Q86_588490"/>
      <w:bookmarkEnd w:id="46856"/>
      <w:r>
        <w:rPr>
          <w:rFonts w:hint="cs"/>
          <w:rtl/>
        </w:rPr>
        <w:t xml:space="preserve">כולה, </w:t>
      </w:r>
      <w:bookmarkStart w:id="46857" w:name="_ETM_Q86_589999"/>
      <w:bookmarkEnd w:id="46857"/>
      <w:r>
        <w:rPr>
          <w:rFonts w:hint="cs"/>
          <w:rtl/>
        </w:rPr>
        <w:t xml:space="preserve">רוצים </w:t>
      </w:r>
      <w:bookmarkStart w:id="46858" w:name="_ETM_Q86_590420"/>
      <w:bookmarkEnd w:id="46858"/>
      <w:r>
        <w:rPr>
          <w:rFonts w:hint="cs"/>
          <w:rtl/>
        </w:rPr>
        <w:t xml:space="preserve">פשרה. </w:t>
      </w:r>
      <w:bookmarkStart w:id="46859" w:name="_ETM_Q86_592209"/>
      <w:bookmarkEnd w:id="46859"/>
      <w:r>
        <w:rPr>
          <w:rFonts w:hint="cs"/>
          <w:rtl/>
        </w:rPr>
        <w:t xml:space="preserve">אנחנו </w:t>
      </w:r>
      <w:bookmarkStart w:id="46860" w:name="_ETM_Q86_592659"/>
      <w:bookmarkEnd w:id="46860"/>
      <w:r>
        <w:rPr>
          <w:rFonts w:hint="cs"/>
          <w:rtl/>
        </w:rPr>
        <w:t xml:space="preserve">לא </w:t>
      </w:r>
      <w:bookmarkStart w:id="46861" w:name="_ETM_Q86_592779"/>
      <w:bookmarkEnd w:id="46861"/>
      <w:r>
        <w:rPr>
          <w:rFonts w:hint="cs"/>
          <w:rtl/>
        </w:rPr>
        <w:t xml:space="preserve">רוצים </w:t>
      </w:r>
      <w:bookmarkStart w:id="46862" w:name="_ETM_Q86_593109"/>
      <w:bookmarkEnd w:id="46862"/>
      <w:r>
        <w:rPr>
          <w:rFonts w:hint="cs"/>
          <w:rtl/>
        </w:rPr>
        <w:t xml:space="preserve">להגיע </w:t>
      </w:r>
      <w:bookmarkStart w:id="46863" w:name="_ETM_Q86_593409"/>
      <w:bookmarkEnd w:id="46863"/>
      <w:r>
        <w:rPr>
          <w:rFonts w:hint="cs"/>
          <w:rtl/>
        </w:rPr>
        <w:t>לת</w:t>
      </w:r>
      <w:bookmarkStart w:id="46864" w:name="_ETM_Q86_593770"/>
      <w:bookmarkEnd w:id="46864"/>
      <w:r>
        <w:rPr>
          <w:rFonts w:hint="cs"/>
          <w:rtl/>
        </w:rPr>
        <w:t xml:space="preserve">הום הזאת. </w:t>
      </w:r>
      <w:bookmarkStart w:id="46865" w:name="_ETM_Q86_594900"/>
      <w:bookmarkEnd w:id="46865"/>
      <w:r>
        <w:rPr>
          <w:rFonts w:hint="cs"/>
          <w:rtl/>
        </w:rPr>
        <w:t xml:space="preserve">ראש </w:t>
      </w:r>
      <w:bookmarkStart w:id="46866" w:name="_ETM_Q86_595170"/>
      <w:bookmarkEnd w:id="46866"/>
      <w:r>
        <w:rPr>
          <w:rFonts w:hint="cs"/>
          <w:rtl/>
        </w:rPr>
        <w:t xml:space="preserve">המפלגה </w:t>
      </w:r>
      <w:bookmarkStart w:id="46867" w:name="_ETM_Q86_595650"/>
      <w:bookmarkEnd w:id="46867"/>
      <w:r>
        <w:rPr>
          <w:rFonts w:hint="cs"/>
          <w:rtl/>
        </w:rPr>
        <w:t xml:space="preserve">שלנו </w:t>
      </w:r>
      <w:bookmarkStart w:id="46868" w:name="_ETM_Q86_596010"/>
      <w:bookmarkEnd w:id="46868"/>
      <w:r>
        <w:rPr>
          <w:rFonts w:hint="cs"/>
          <w:rtl/>
        </w:rPr>
        <w:t xml:space="preserve">עשה </w:t>
      </w:r>
      <w:bookmarkStart w:id="46869" w:name="_ETM_Q86_596940"/>
      <w:bookmarkEnd w:id="46869"/>
      <w:r>
        <w:rPr>
          <w:rFonts w:hint="cs"/>
          <w:rtl/>
        </w:rPr>
        <w:t xml:space="preserve">ועושה </w:t>
      </w:r>
      <w:bookmarkStart w:id="46870" w:name="_ETM_Q86_598560"/>
      <w:bookmarkEnd w:id="46870"/>
      <w:r>
        <w:rPr>
          <w:rFonts w:hint="cs"/>
          <w:rtl/>
        </w:rPr>
        <w:t xml:space="preserve">ללא </w:t>
      </w:r>
      <w:bookmarkStart w:id="46871" w:name="_ETM_Q86_598920"/>
      <w:bookmarkEnd w:id="46871"/>
      <w:r>
        <w:rPr>
          <w:rFonts w:hint="cs"/>
          <w:rtl/>
        </w:rPr>
        <w:t xml:space="preserve">לאות, </w:t>
      </w:r>
      <w:bookmarkStart w:id="46872" w:name="_ETM_Q86_599430"/>
      <w:bookmarkEnd w:id="46872"/>
      <w:r>
        <w:rPr>
          <w:rFonts w:hint="cs"/>
          <w:rtl/>
        </w:rPr>
        <w:t xml:space="preserve">ימים </w:t>
      </w:r>
      <w:bookmarkStart w:id="46873" w:name="_ETM_Q86_599760"/>
      <w:bookmarkEnd w:id="46873"/>
      <w:r>
        <w:rPr>
          <w:rFonts w:hint="cs"/>
          <w:rtl/>
        </w:rPr>
        <w:t xml:space="preserve">ולילות, </w:t>
      </w:r>
      <w:bookmarkStart w:id="46874" w:name="_ETM_Q86_600950"/>
      <w:bookmarkEnd w:id="46874"/>
      <w:r>
        <w:rPr>
          <w:rFonts w:hint="cs"/>
          <w:rtl/>
        </w:rPr>
        <w:t xml:space="preserve">כדי </w:t>
      </w:r>
      <w:bookmarkStart w:id="46875" w:name="_ETM_Q86_601279"/>
      <w:bookmarkEnd w:id="46875"/>
      <w:r>
        <w:rPr>
          <w:rFonts w:hint="cs"/>
          <w:rtl/>
        </w:rPr>
        <w:t xml:space="preserve">לעצור </w:t>
      </w:r>
      <w:bookmarkStart w:id="46876" w:name="_ETM_Q86_602029"/>
      <w:bookmarkEnd w:id="46876"/>
      <w:r>
        <w:rPr>
          <w:rFonts w:hint="cs"/>
          <w:rtl/>
        </w:rPr>
        <w:t xml:space="preserve">את </w:t>
      </w:r>
      <w:bookmarkStart w:id="46877" w:name="_ETM_Q86_602210"/>
      <w:bookmarkEnd w:id="46877"/>
      <w:r>
        <w:rPr>
          <w:rFonts w:hint="cs"/>
          <w:rtl/>
        </w:rPr>
        <w:t xml:space="preserve">הנפילה </w:t>
      </w:r>
      <w:bookmarkStart w:id="46878" w:name="_ETM_Q86_602600"/>
      <w:bookmarkEnd w:id="46878"/>
      <w:r>
        <w:rPr>
          <w:rFonts w:hint="cs"/>
          <w:rtl/>
        </w:rPr>
        <w:t xml:space="preserve">לתהום. </w:t>
      </w:r>
      <w:bookmarkStart w:id="46879" w:name="_ETM_Q86_605150"/>
      <w:bookmarkEnd w:id="46879"/>
      <w:r>
        <w:rPr>
          <w:rFonts w:hint="cs"/>
          <w:rtl/>
        </w:rPr>
        <w:t xml:space="preserve">הוא </w:t>
      </w:r>
      <w:bookmarkStart w:id="46880" w:name="_ETM_Q86_605240"/>
      <w:bookmarkEnd w:id="46880"/>
      <w:r>
        <w:rPr>
          <w:rFonts w:hint="cs"/>
          <w:rtl/>
        </w:rPr>
        <w:t xml:space="preserve">מושיט </w:t>
      </w:r>
      <w:bookmarkStart w:id="46881" w:name="_ETM_Q86_605600"/>
      <w:bookmarkEnd w:id="46881"/>
      <w:r>
        <w:rPr>
          <w:rFonts w:hint="cs"/>
          <w:rtl/>
        </w:rPr>
        <w:t xml:space="preserve">את </w:t>
      </w:r>
      <w:bookmarkStart w:id="46882" w:name="_ETM_Q86_605750"/>
      <w:bookmarkEnd w:id="46882"/>
      <w:r>
        <w:rPr>
          <w:rFonts w:hint="cs"/>
          <w:rtl/>
        </w:rPr>
        <w:t xml:space="preserve">היד, </w:t>
      </w:r>
      <w:bookmarkStart w:id="46883" w:name="_ETM_Q86_607380"/>
      <w:bookmarkEnd w:id="46883"/>
      <w:r>
        <w:rPr>
          <w:rFonts w:hint="cs"/>
          <w:rtl/>
        </w:rPr>
        <w:t xml:space="preserve">אבל </w:t>
      </w:r>
      <w:bookmarkStart w:id="46884" w:name="_ETM_Q86_607680"/>
      <w:bookmarkEnd w:id="46884"/>
      <w:r>
        <w:rPr>
          <w:rFonts w:hint="cs"/>
          <w:rtl/>
        </w:rPr>
        <w:t xml:space="preserve">אנחנו </w:t>
      </w:r>
      <w:bookmarkStart w:id="46885" w:name="_ETM_Q86_607860"/>
      <w:bookmarkEnd w:id="46885"/>
      <w:r>
        <w:rPr>
          <w:rFonts w:hint="cs"/>
          <w:rtl/>
        </w:rPr>
        <w:t xml:space="preserve">צריכים </w:t>
      </w:r>
      <w:bookmarkStart w:id="46886" w:name="_ETM_Q86_608069"/>
      <w:bookmarkEnd w:id="46886"/>
      <w:r>
        <w:rPr>
          <w:rFonts w:hint="cs"/>
          <w:rtl/>
        </w:rPr>
        <w:t xml:space="preserve">גם את </w:t>
      </w:r>
      <w:bookmarkStart w:id="46887" w:name="_ETM_Q86_608130"/>
      <w:bookmarkEnd w:id="46887"/>
      <w:r>
        <w:rPr>
          <w:rFonts w:hint="cs"/>
          <w:rtl/>
        </w:rPr>
        <w:t xml:space="preserve">היד </w:t>
      </w:r>
      <w:bookmarkStart w:id="46888" w:name="_ETM_Q86_608310"/>
      <w:bookmarkEnd w:id="46888"/>
      <w:r>
        <w:rPr>
          <w:rFonts w:hint="cs"/>
          <w:rtl/>
        </w:rPr>
        <w:t xml:space="preserve">השנייה </w:t>
      </w:r>
      <w:bookmarkStart w:id="46889" w:name="_ETM_Q86_608880"/>
      <w:bookmarkStart w:id="46890" w:name="_ETM_Q86_609390"/>
      <w:bookmarkEnd w:id="46889"/>
      <w:bookmarkEnd w:id="46890"/>
      <w:r>
        <w:rPr>
          <w:rFonts w:hint="cs"/>
          <w:rtl/>
        </w:rPr>
        <w:t xml:space="preserve">שתהיה מושטת </w:t>
      </w:r>
      <w:bookmarkStart w:id="46891" w:name="_ETM_Q86_609630"/>
      <w:bookmarkStart w:id="46892" w:name="_ETM_Q86_609930"/>
      <w:bookmarkStart w:id="46893" w:name="_ETM_Q86_610410"/>
      <w:bookmarkStart w:id="46894" w:name="_ETM_Q86_610620"/>
      <w:bookmarkEnd w:id="46891"/>
      <w:bookmarkEnd w:id="46892"/>
      <w:bookmarkEnd w:id="46893"/>
      <w:bookmarkEnd w:id="46894"/>
      <w:r>
        <w:rPr>
          <w:rFonts w:hint="cs"/>
          <w:rtl/>
        </w:rPr>
        <w:t xml:space="preserve">אליו. </w:t>
      </w:r>
      <w:bookmarkStart w:id="46895" w:name="_ETM_Q86_612290"/>
      <w:bookmarkEnd w:id="46895"/>
      <w:r>
        <w:rPr>
          <w:rFonts w:hint="cs"/>
          <w:rtl/>
        </w:rPr>
        <w:t xml:space="preserve">אנחנו </w:t>
      </w:r>
      <w:bookmarkStart w:id="46896" w:name="_ETM_Q86_612709"/>
      <w:bookmarkEnd w:id="46896"/>
      <w:r>
        <w:rPr>
          <w:rFonts w:hint="cs"/>
          <w:rtl/>
        </w:rPr>
        <w:t xml:space="preserve">לא </w:t>
      </w:r>
      <w:bookmarkStart w:id="46897" w:name="_ETM_Q86_613099"/>
      <w:bookmarkEnd w:id="46897"/>
      <w:r>
        <w:rPr>
          <w:rFonts w:hint="cs"/>
          <w:rtl/>
        </w:rPr>
        <w:t xml:space="preserve">נוכל </w:t>
      </w:r>
      <w:bookmarkStart w:id="46898" w:name="_ETM_Q86_613459"/>
      <w:bookmarkEnd w:id="46898"/>
      <w:r>
        <w:rPr>
          <w:rFonts w:hint="cs"/>
          <w:rtl/>
        </w:rPr>
        <w:t xml:space="preserve">לוותר </w:t>
      </w:r>
      <w:bookmarkStart w:id="46899" w:name="_ETM_Q86_613849"/>
      <w:bookmarkEnd w:id="46899"/>
      <w:r>
        <w:rPr>
          <w:rFonts w:hint="cs"/>
          <w:rtl/>
        </w:rPr>
        <w:t xml:space="preserve">על </w:t>
      </w:r>
      <w:bookmarkStart w:id="46900" w:name="_ETM_Q86_613940"/>
      <w:bookmarkEnd w:id="46900"/>
      <w:r>
        <w:rPr>
          <w:rFonts w:hint="cs"/>
          <w:rtl/>
        </w:rPr>
        <w:t xml:space="preserve">העקרונות </w:t>
      </w:r>
      <w:bookmarkStart w:id="46901" w:name="_ETM_Q86_614480"/>
      <w:bookmarkEnd w:id="46901"/>
      <w:r>
        <w:rPr>
          <w:rFonts w:hint="cs"/>
          <w:rtl/>
        </w:rPr>
        <w:t xml:space="preserve">הבסיסיים </w:t>
      </w:r>
      <w:bookmarkStart w:id="46902" w:name="_ETM_Q86_615560"/>
      <w:bookmarkEnd w:id="46902"/>
      <w:r>
        <w:rPr>
          <w:rFonts w:hint="cs"/>
          <w:rtl/>
        </w:rPr>
        <w:t xml:space="preserve">שלנו, </w:t>
      </w:r>
      <w:bookmarkStart w:id="46903" w:name="_ETM_Q86_616880"/>
      <w:bookmarkEnd w:id="46903"/>
      <w:r>
        <w:rPr>
          <w:rFonts w:hint="cs"/>
          <w:rtl/>
        </w:rPr>
        <w:t xml:space="preserve">המרכזיים </w:t>
      </w:r>
      <w:bookmarkStart w:id="46904" w:name="_ETM_Q86_617630"/>
      <w:bookmarkEnd w:id="46904"/>
      <w:r>
        <w:rPr>
          <w:rFonts w:hint="cs"/>
          <w:rtl/>
        </w:rPr>
        <w:t xml:space="preserve">שלנו, </w:t>
      </w:r>
      <w:bookmarkStart w:id="46905" w:name="_ETM_Q86_618200"/>
      <w:bookmarkEnd w:id="46905"/>
      <w:r>
        <w:rPr>
          <w:rFonts w:hint="cs"/>
          <w:rtl/>
        </w:rPr>
        <w:t xml:space="preserve">על </w:t>
      </w:r>
      <w:bookmarkStart w:id="46906" w:name="_ETM_Q86_618319"/>
      <w:bookmarkEnd w:id="46906"/>
      <w:r>
        <w:rPr>
          <w:rFonts w:hint="cs"/>
          <w:rtl/>
        </w:rPr>
        <w:t xml:space="preserve">הדמוקרטיה </w:t>
      </w:r>
      <w:bookmarkStart w:id="46907" w:name="_ETM_Q86_619069"/>
      <w:bookmarkEnd w:id="46907"/>
      <w:r>
        <w:rPr>
          <w:rFonts w:hint="cs"/>
          <w:rtl/>
        </w:rPr>
        <w:t xml:space="preserve">של </w:t>
      </w:r>
      <w:bookmarkStart w:id="46908" w:name="_ETM_Q86_619220"/>
      <w:bookmarkEnd w:id="46908"/>
      <w:r>
        <w:rPr>
          <w:rFonts w:hint="cs"/>
          <w:rtl/>
        </w:rPr>
        <w:t xml:space="preserve">מדינת </w:t>
      </w:r>
      <w:bookmarkStart w:id="46909" w:name="_ETM_Q86_619610"/>
      <w:bookmarkEnd w:id="46909"/>
      <w:r>
        <w:rPr>
          <w:rFonts w:hint="cs"/>
          <w:rtl/>
        </w:rPr>
        <w:t xml:space="preserve">ישראל, </w:t>
      </w:r>
      <w:bookmarkStart w:id="46910" w:name="_ETM_Q86_620510"/>
      <w:bookmarkEnd w:id="46910"/>
      <w:r>
        <w:rPr>
          <w:rFonts w:hint="cs"/>
          <w:rtl/>
        </w:rPr>
        <w:t xml:space="preserve">על </w:t>
      </w:r>
      <w:bookmarkStart w:id="46911" w:name="_ETM_Q86_620689"/>
      <w:bookmarkEnd w:id="46911"/>
      <w:r>
        <w:rPr>
          <w:rFonts w:hint="cs"/>
          <w:rtl/>
        </w:rPr>
        <w:t xml:space="preserve">שומרי </w:t>
      </w:r>
      <w:bookmarkStart w:id="46912" w:name="_ETM_Q86_621109"/>
      <w:bookmarkEnd w:id="46912"/>
      <w:r>
        <w:rPr>
          <w:rFonts w:hint="cs"/>
          <w:rtl/>
        </w:rPr>
        <w:t xml:space="preserve">הסף </w:t>
      </w:r>
      <w:bookmarkStart w:id="46913" w:name="_ETM_Q86_621560"/>
      <w:bookmarkEnd w:id="46913"/>
      <w:r>
        <w:rPr>
          <w:rFonts w:hint="cs"/>
          <w:rtl/>
        </w:rPr>
        <w:t xml:space="preserve">של </w:t>
      </w:r>
      <w:bookmarkStart w:id="46914" w:name="_ETM_Q86_621709"/>
      <w:bookmarkEnd w:id="46914"/>
      <w:r>
        <w:rPr>
          <w:rFonts w:hint="cs"/>
          <w:rtl/>
        </w:rPr>
        <w:t xml:space="preserve">מדינת </w:t>
      </w:r>
      <w:bookmarkStart w:id="46915" w:name="_ETM_Q86_622129"/>
      <w:bookmarkEnd w:id="46915"/>
      <w:r>
        <w:rPr>
          <w:rFonts w:hint="cs"/>
          <w:rtl/>
        </w:rPr>
        <w:t xml:space="preserve">ישראל, על היועצת המשפטית, </w:t>
      </w:r>
      <w:bookmarkStart w:id="46916" w:name="_ETM_Q86_623030"/>
      <w:bookmarkStart w:id="46917" w:name="_ETM_Q86_623180"/>
      <w:bookmarkStart w:id="46918" w:name="_ETM_Q86_623239"/>
      <w:bookmarkStart w:id="46919" w:name="_ETM_Q86_623390"/>
      <w:bookmarkStart w:id="46920" w:name="_ETM_Q86_623450"/>
      <w:bookmarkStart w:id="46921" w:name="_ETM_Q86_624560"/>
      <w:bookmarkEnd w:id="46916"/>
      <w:bookmarkEnd w:id="46917"/>
      <w:bookmarkEnd w:id="46918"/>
      <w:bookmarkEnd w:id="46919"/>
      <w:bookmarkEnd w:id="46920"/>
      <w:bookmarkEnd w:id="46921"/>
      <w:r>
        <w:rPr>
          <w:rFonts w:hint="cs"/>
          <w:rtl/>
        </w:rPr>
        <w:t xml:space="preserve">היועצים </w:t>
      </w:r>
      <w:bookmarkStart w:id="46922" w:name="_ETM_Q86_624980"/>
      <w:bookmarkEnd w:id="46922"/>
      <w:r>
        <w:rPr>
          <w:rFonts w:hint="cs"/>
          <w:rtl/>
        </w:rPr>
        <w:t xml:space="preserve">המשפטיים </w:t>
      </w:r>
      <w:bookmarkStart w:id="46923" w:name="_ETM_Q86_625519"/>
      <w:bookmarkEnd w:id="46923"/>
      <w:r>
        <w:rPr>
          <w:rFonts w:hint="cs"/>
          <w:rtl/>
        </w:rPr>
        <w:t xml:space="preserve">של </w:t>
      </w:r>
      <w:bookmarkStart w:id="46924" w:name="_ETM_Q86_625700"/>
      <w:bookmarkEnd w:id="46924"/>
      <w:r>
        <w:rPr>
          <w:rFonts w:hint="cs"/>
          <w:rtl/>
        </w:rPr>
        <w:t xml:space="preserve">המשרדים. </w:t>
      </w:r>
      <w:bookmarkStart w:id="46925" w:name="_ETM_Q86_629690"/>
      <w:bookmarkEnd w:id="46925"/>
      <w:r>
        <w:rPr>
          <w:rFonts w:hint="cs"/>
          <w:rtl/>
        </w:rPr>
        <w:t xml:space="preserve">מרגי, </w:t>
      </w:r>
      <w:bookmarkStart w:id="46926" w:name="_ETM_Q86_630110"/>
      <w:bookmarkEnd w:id="46926"/>
      <w:r>
        <w:rPr>
          <w:rFonts w:hint="cs"/>
          <w:rtl/>
        </w:rPr>
        <w:t xml:space="preserve">לא </w:t>
      </w:r>
      <w:bookmarkStart w:id="46927" w:name="_ETM_Q86_630200"/>
      <w:bookmarkEnd w:id="46927"/>
      <w:r>
        <w:rPr>
          <w:rFonts w:hint="cs"/>
          <w:rtl/>
        </w:rPr>
        <w:t xml:space="preserve">כולם </w:t>
      </w:r>
      <w:bookmarkStart w:id="46928" w:name="_ETM_Q86_630530"/>
      <w:bookmarkEnd w:id="46928"/>
      <w:r>
        <w:rPr>
          <w:rFonts w:hint="cs"/>
          <w:rtl/>
        </w:rPr>
        <w:t xml:space="preserve">כמוך, </w:t>
      </w:r>
      <w:bookmarkStart w:id="46929" w:name="_ETM_Q86_632120"/>
      <w:bookmarkEnd w:id="46929"/>
      <w:r>
        <w:rPr>
          <w:rFonts w:hint="cs"/>
          <w:rtl/>
        </w:rPr>
        <w:t xml:space="preserve">לא </w:t>
      </w:r>
      <w:bookmarkStart w:id="46930" w:name="_ETM_Q86_632420"/>
      <w:bookmarkEnd w:id="46930"/>
      <w:r>
        <w:rPr>
          <w:rFonts w:hint="cs"/>
          <w:rtl/>
        </w:rPr>
        <w:t xml:space="preserve">כולם </w:t>
      </w:r>
      <w:bookmarkStart w:id="46931" w:name="_ETM_Q86_632749"/>
      <w:bookmarkEnd w:id="46931"/>
      <w:r>
        <w:rPr>
          <w:rFonts w:hint="cs"/>
          <w:rtl/>
        </w:rPr>
        <w:t xml:space="preserve">כמוך. </w:t>
      </w:r>
      <w:bookmarkStart w:id="46932" w:name="_ETM_Q86_634290"/>
      <w:bookmarkEnd w:id="46932"/>
      <w:r>
        <w:rPr>
          <w:rFonts w:hint="cs"/>
          <w:rtl/>
        </w:rPr>
        <w:t xml:space="preserve">יש </w:t>
      </w:r>
      <w:bookmarkStart w:id="46933" w:name="_ETM_Q86_634530"/>
      <w:bookmarkEnd w:id="46933"/>
      <w:r>
        <w:rPr>
          <w:rFonts w:hint="cs"/>
          <w:rtl/>
        </w:rPr>
        <w:t xml:space="preserve">פה </w:t>
      </w:r>
      <w:bookmarkStart w:id="46934" w:name="_ETM_Q86_634680"/>
      <w:bookmarkEnd w:id="46934"/>
      <w:r>
        <w:rPr>
          <w:rFonts w:hint="cs"/>
          <w:rtl/>
        </w:rPr>
        <w:t xml:space="preserve">שרים </w:t>
      </w:r>
      <w:bookmarkStart w:id="46935" w:name="_ETM_Q86_635489"/>
      <w:bookmarkEnd w:id="46935"/>
      <w:r>
        <w:rPr>
          <w:rFonts w:hint="cs"/>
          <w:rtl/>
        </w:rPr>
        <w:t xml:space="preserve">הזויים </w:t>
      </w:r>
      <w:bookmarkStart w:id="46936" w:name="_ETM_Q86_636720"/>
      <w:bookmarkEnd w:id="46936"/>
      <w:r>
        <w:rPr>
          <w:rFonts w:hint="cs"/>
          <w:rtl/>
        </w:rPr>
        <w:t xml:space="preserve">בממשלה </w:t>
      </w:r>
      <w:bookmarkStart w:id="46937" w:name="_ETM_Q86_637379"/>
      <w:bookmarkEnd w:id="46937"/>
      <w:r>
        <w:rPr>
          <w:rFonts w:hint="cs"/>
          <w:rtl/>
        </w:rPr>
        <w:t xml:space="preserve">הזאת, </w:t>
      </w:r>
      <w:bookmarkStart w:id="46938" w:name="_ETM_Q86_637680"/>
      <w:bookmarkEnd w:id="46938"/>
      <w:r>
        <w:rPr>
          <w:rFonts w:hint="cs"/>
          <w:rtl/>
        </w:rPr>
        <w:t>שאי</w:t>
      </w:r>
      <w:bookmarkStart w:id="46939" w:name="_ETM_Q86_637830"/>
      <w:bookmarkEnd w:id="46939"/>
      <w:r>
        <w:rPr>
          <w:rFonts w:hint="cs"/>
          <w:rtl/>
        </w:rPr>
        <w:t xml:space="preserve">-אפשר </w:t>
      </w:r>
      <w:bookmarkStart w:id="46940" w:name="_ETM_Q86_638040"/>
      <w:bookmarkEnd w:id="46940"/>
      <w:r>
        <w:rPr>
          <w:rFonts w:hint="cs"/>
          <w:rtl/>
        </w:rPr>
        <w:t xml:space="preserve">לסמוך </w:t>
      </w:r>
      <w:bookmarkStart w:id="46941" w:name="_ETM_Q86_638430"/>
      <w:bookmarkEnd w:id="46941"/>
      <w:r>
        <w:rPr>
          <w:rFonts w:hint="cs"/>
          <w:rtl/>
        </w:rPr>
        <w:t xml:space="preserve">עליהם. הלוואי שהיו עוד </w:t>
      </w:r>
      <w:bookmarkStart w:id="46942" w:name="_ETM_Q86_639510"/>
      <w:bookmarkStart w:id="46943" w:name="_ETM_Q86_639930"/>
      <w:bookmarkStart w:id="46944" w:name="_ETM_Q86_640230"/>
      <w:bookmarkStart w:id="46945" w:name="_ETM_Q86_640379"/>
      <w:bookmarkEnd w:id="46942"/>
      <w:bookmarkEnd w:id="46943"/>
      <w:bookmarkEnd w:id="46944"/>
      <w:bookmarkEnd w:id="46945"/>
      <w:r>
        <w:rPr>
          <w:rFonts w:hint="cs"/>
          <w:rtl/>
        </w:rPr>
        <w:t xml:space="preserve">כמוך. </w:t>
      </w:r>
      <w:bookmarkStart w:id="46946" w:name="_ETM_Q86_642220"/>
      <w:bookmarkEnd w:id="46946"/>
      <w:r>
        <w:rPr>
          <w:rFonts w:hint="cs"/>
          <w:rtl/>
        </w:rPr>
        <w:t xml:space="preserve">אנחנו </w:t>
      </w:r>
      <w:bookmarkStart w:id="46947" w:name="_ETM_Q86_642580"/>
      <w:bookmarkEnd w:id="46947"/>
      <w:r>
        <w:rPr>
          <w:rFonts w:hint="cs"/>
          <w:rtl/>
        </w:rPr>
        <w:t xml:space="preserve">לא </w:t>
      </w:r>
      <w:bookmarkStart w:id="46948" w:name="_ETM_Q86_642730"/>
      <w:bookmarkEnd w:id="46948"/>
      <w:r>
        <w:rPr>
          <w:rFonts w:hint="cs"/>
          <w:rtl/>
        </w:rPr>
        <w:t xml:space="preserve">יכולים </w:t>
      </w:r>
      <w:bookmarkStart w:id="46949" w:name="_ETM_Q86_643060"/>
      <w:bookmarkEnd w:id="46949"/>
      <w:r>
        <w:rPr>
          <w:rFonts w:hint="cs"/>
          <w:rtl/>
        </w:rPr>
        <w:t xml:space="preserve">לסמוך </w:t>
      </w:r>
      <w:bookmarkStart w:id="46950" w:name="_ETM_Q86_643390"/>
      <w:bookmarkEnd w:id="46950"/>
      <w:r>
        <w:rPr>
          <w:rFonts w:hint="cs"/>
          <w:rtl/>
        </w:rPr>
        <w:t xml:space="preserve">על </w:t>
      </w:r>
      <w:bookmarkStart w:id="46951" w:name="_ETM_Q86_643480"/>
      <w:bookmarkEnd w:id="46951"/>
      <w:r>
        <w:rPr>
          <w:rFonts w:hint="cs"/>
          <w:rtl/>
        </w:rPr>
        <w:t xml:space="preserve">בן </w:t>
      </w:r>
      <w:bookmarkStart w:id="46952" w:name="_ETM_Q86_643690"/>
      <w:bookmarkEnd w:id="46952"/>
      <w:r>
        <w:rPr>
          <w:rFonts w:hint="cs"/>
          <w:rtl/>
        </w:rPr>
        <w:t xml:space="preserve">גביר </w:t>
      </w:r>
      <w:bookmarkStart w:id="46953" w:name="_ETM_Q86_644319"/>
      <w:bookmarkEnd w:id="46953"/>
      <w:r>
        <w:rPr>
          <w:rFonts w:hint="cs"/>
          <w:rtl/>
        </w:rPr>
        <w:t xml:space="preserve">ועל </w:t>
      </w:r>
      <w:bookmarkStart w:id="46954" w:name="_ETM_Q86_644590"/>
      <w:bookmarkEnd w:id="46954"/>
      <w:r>
        <w:rPr>
          <w:rFonts w:hint="cs"/>
          <w:rtl/>
        </w:rPr>
        <w:t xml:space="preserve">סמוטריץ' </w:t>
      </w:r>
      <w:bookmarkStart w:id="46955" w:name="_ETM_Q86_646439"/>
      <w:bookmarkEnd w:id="46955"/>
      <w:r>
        <w:rPr>
          <w:rFonts w:hint="cs"/>
          <w:rtl/>
        </w:rPr>
        <w:t xml:space="preserve">ועל </w:t>
      </w:r>
      <w:bookmarkStart w:id="46956" w:name="_ETM_Q86_646709"/>
      <w:bookmarkEnd w:id="46956"/>
      <w:r>
        <w:rPr>
          <w:rFonts w:hint="cs"/>
          <w:rtl/>
        </w:rPr>
        <w:t xml:space="preserve">אליהו </w:t>
      </w:r>
      <w:bookmarkStart w:id="46957" w:name="_ETM_Q86_648640"/>
      <w:bookmarkEnd w:id="46957"/>
      <w:r>
        <w:rPr>
          <w:rFonts w:hint="cs"/>
          <w:rtl/>
        </w:rPr>
        <w:t xml:space="preserve">ועל </w:t>
      </w:r>
      <w:bookmarkStart w:id="46958" w:name="_ETM_Q86_648879"/>
      <w:bookmarkEnd w:id="46958"/>
      <w:r>
        <w:rPr>
          <w:rFonts w:hint="cs"/>
          <w:rtl/>
        </w:rPr>
        <w:t xml:space="preserve">מאי </w:t>
      </w:r>
      <w:bookmarkStart w:id="46959" w:name="_ETM_Q86_649060"/>
      <w:bookmarkEnd w:id="46959"/>
      <w:r>
        <w:rPr>
          <w:rFonts w:hint="cs"/>
          <w:rtl/>
        </w:rPr>
        <w:t xml:space="preserve">גולן. </w:t>
      </w:r>
      <w:bookmarkStart w:id="46960" w:name="_ETM_Q86_651749"/>
      <w:bookmarkEnd w:id="46960"/>
      <w:r>
        <w:rPr>
          <w:rFonts w:hint="cs"/>
          <w:rtl/>
        </w:rPr>
        <w:t xml:space="preserve">לא </w:t>
      </w:r>
      <w:bookmarkStart w:id="46961" w:name="_ETM_Q86_651959"/>
      <w:bookmarkEnd w:id="46961"/>
      <w:r>
        <w:rPr>
          <w:rFonts w:hint="cs"/>
          <w:rtl/>
        </w:rPr>
        <w:t>יכול</w:t>
      </w:r>
      <w:bookmarkStart w:id="46962" w:name="_ETM_Q86_652230"/>
      <w:bookmarkEnd w:id="46962"/>
      <w:r>
        <w:rPr>
          <w:rFonts w:hint="cs"/>
          <w:rtl/>
        </w:rPr>
        <w:t xml:space="preserve">ים לסמוך </w:t>
      </w:r>
      <w:bookmarkStart w:id="46963" w:name="_ETM_Q86_652680"/>
      <w:bookmarkEnd w:id="46963"/>
      <w:r>
        <w:rPr>
          <w:rFonts w:hint="cs"/>
          <w:rtl/>
        </w:rPr>
        <w:t xml:space="preserve">עליהם. </w:t>
      </w:r>
      <w:bookmarkStart w:id="46964" w:name="_ETM_Q86_654650"/>
      <w:bookmarkEnd w:id="46964"/>
      <w:r>
        <w:rPr>
          <w:rFonts w:hint="cs"/>
          <w:rtl/>
        </w:rPr>
        <w:t xml:space="preserve">חייבים </w:t>
      </w:r>
      <w:bookmarkStart w:id="46965" w:name="_ETM_Q86_655249"/>
      <w:bookmarkEnd w:id="46965"/>
      <w:r>
        <w:rPr>
          <w:rFonts w:hint="cs"/>
          <w:rtl/>
        </w:rPr>
        <w:t xml:space="preserve">שיהיה </w:t>
      </w:r>
      <w:bookmarkStart w:id="46966" w:name="_ETM_Q86_655579"/>
      <w:bookmarkStart w:id="46967" w:name="_ETM_Q86_655849"/>
      <w:bookmarkEnd w:id="46966"/>
      <w:bookmarkEnd w:id="46967"/>
      <w:r>
        <w:rPr>
          <w:rFonts w:hint="cs"/>
          <w:rtl/>
        </w:rPr>
        <w:t xml:space="preserve">מישהו </w:t>
      </w:r>
      <w:bookmarkStart w:id="46968" w:name="_ETM_Q86_656150"/>
      <w:bookmarkEnd w:id="46968"/>
      <w:r>
        <w:rPr>
          <w:rFonts w:hint="cs"/>
          <w:rtl/>
        </w:rPr>
        <w:t xml:space="preserve">שיגן </w:t>
      </w:r>
      <w:bookmarkStart w:id="46969" w:name="_ETM_Q86_656629"/>
      <w:bookmarkEnd w:id="46969"/>
      <w:r>
        <w:rPr>
          <w:rFonts w:hint="cs"/>
          <w:rtl/>
        </w:rPr>
        <w:t xml:space="preserve">עלינו </w:t>
      </w:r>
      <w:bookmarkStart w:id="46970" w:name="_ETM_Q86_656930"/>
      <w:bookmarkEnd w:id="46970"/>
      <w:r>
        <w:rPr>
          <w:rFonts w:hint="cs"/>
          <w:rtl/>
        </w:rPr>
        <w:t xml:space="preserve">מפניהם, </w:t>
      </w:r>
      <w:bookmarkStart w:id="46971" w:name="_ETM_Q86_658180"/>
      <w:bookmarkEnd w:id="46971"/>
      <w:r>
        <w:rPr>
          <w:rFonts w:hint="cs"/>
          <w:rtl/>
        </w:rPr>
        <w:t>ואי</w:t>
      </w:r>
      <w:bookmarkStart w:id="46972" w:name="_ETM_Q86_658450"/>
      <w:bookmarkEnd w:id="46972"/>
      <w:r>
        <w:rPr>
          <w:rFonts w:hint="cs"/>
          <w:rtl/>
        </w:rPr>
        <w:t xml:space="preserve">-אפשר </w:t>
      </w:r>
      <w:bookmarkStart w:id="46973" w:name="_ETM_Q86_658719"/>
      <w:bookmarkEnd w:id="46973"/>
      <w:r>
        <w:rPr>
          <w:rFonts w:hint="cs"/>
          <w:rtl/>
        </w:rPr>
        <w:t xml:space="preserve">לוותר </w:t>
      </w:r>
      <w:bookmarkStart w:id="46974" w:name="_ETM_Q86_659200"/>
      <w:bookmarkEnd w:id="46974"/>
      <w:r>
        <w:rPr>
          <w:rFonts w:hint="cs"/>
          <w:rtl/>
        </w:rPr>
        <w:t xml:space="preserve">על </w:t>
      </w:r>
      <w:bookmarkStart w:id="46975" w:name="_ETM_Q86_659290"/>
      <w:bookmarkStart w:id="46976" w:name="_ETM_Q86_659500"/>
      <w:bookmarkStart w:id="46977" w:name="_ETM_Q86_659709"/>
      <w:bookmarkEnd w:id="46975"/>
      <w:bookmarkEnd w:id="46976"/>
      <w:bookmarkEnd w:id="46977"/>
      <w:r>
        <w:rPr>
          <w:rFonts w:hint="cs"/>
          <w:rtl/>
        </w:rPr>
        <w:t xml:space="preserve">שומרי </w:t>
      </w:r>
      <w:bookmarkStart w:id="46978" w:name="_ETM_Q86_660040"/>
      <w:bookmarkEnd w:id="46978"/>
      <w:r>
        <w:rPr>
          <w:rFonts w:hint="cs"/>
          <w:rtl/>
        </w:rPr>
        <w:t xml:space="preserve">הסף. </w:t>
      </w:r>
      <w:bookmarkStart w:id="46979" w:name="_ETM_Q86_661779"/>
      <w:bookmarkEnd w:id="46979"/>
      <w:r>
        <w:rPr>
          <w:rFonts w:hint="cs"/>
          <w:rtl/>
        </w:rPr>
        <w:t xml:space="preserve">אתם </w:t>
      </w:r>
      <w:bookmarkStart w:id="46980" w:name="_ETM_Q86_662079"/>
      <w:bookmarkEnd w:id="46980"/>
      <w:r>
        <w:rPr>
          <w:rFonts w:hint="cs"/>
          <w:rtl/>
        </w:rPr>
        <w:t xml:space="preserve">צריכים </w:t>
      </w:r>
      <w:bookmarkStart w:id="46981" w:name="_ETM_Q86_662319"/>
      <w:bookmarkEnd w:id="46981"/>
      <w:r>
        <w:rPr>
          <w:rFonts w:hint="cs"/>
          <w:rtl/>
        </w:rPr>
        <w:t xml:space="preserve">להבין </w:t>
      </w:r>
      <w:bookmarkStart w:id="46982" w:name="_ETM_Q86_662739"/>
      <w:bookmarkEnd w:id="46982"/>
      <w:r>
        <w:rPr>
          <w:rFonts w:hint="cs"/>
          <w:rtl/>
        </w:rPr>
        <w:t xml:space="preserve">את </w:t>
      </w:r>
      <w:bookmarkStart w:id="46983" w:name="_ETM_Q86_662829"/>
      <w:bookmarkEnd w:id="46983"/>
      <w:r>
        <w:rPr>
          <w:rFonts w:hint="cs"/>
          <w:rtl/>
        </w:rPr>
        <w:t>זה.</w:t>
      </w:r>
    </w:p>
    <w:p w:rsidR="00BB59CD" w:rsidRDefault="00BB59CD" w:rsidP="00BB59CD">
      <w:pPr>
        <w:rPr>
          <w:rtl/>
        </w:rPr>
      </w:pPr>
    </w:p>
    <w:p w:rsidR="00BB59CD" w:rsidRDefault="00BB59CD" w:rsidP="000145FA">
      <w:pPr>
        <w:rPr>
          <w:rtl/>
        </w:rPr>
      </w:pPr>
      <w:bookmarkStart w:id="46984" w:name="_ETM_Q86_668069"/>
      <w:bookmarkEnd w:id="46984"/>
      <w:r>
        <w:rPr>
          <w:rFonts w:hint="cs"/>
          <w:rtl/>
        </w:rPr>
        <w:t xml:space="preserve">אבא </w:t>
      </w:r>
      <w:bookmarkStart w:id="46985" w:name="_ETM_Q86_668370"/>
      <w:bookmarkEnd w:id="46985"/>
      <w:r>
        <w:rPr>
          <w:rFonts w:hint="cs"/>
          <w:rtl/>
        </w:rPr>
        <w:t xml:space="preserve">שלי </w:t>
      </w:r>
      <w:bookmarkStart w:id="46986" w:name="_ETM_Q86_668639"/>
      <w:bookmarkStart w:id="46987" w:name="_ETM_Q86_669510"/>
      <w:bookmarkEnd w:id="46986"/>
      <w:bookmarkEnd w:id="46987"/>
      <w:r>
        <w:rPr>
          <w:rFonts w:hint="cs"/>
          <w:rtl/>
        </w:rPr>
        <w:t xml:space="preserve">שלח </w:t>
      </w:r>
      <w:bookmarkStart w:id="46988" w:name="_ETM_Q86_669870"/>
      <w:bookmarkEnd w:id="46988"/>
      <w:r>
        <w:rPr>
          <w:rFonts w:hint="cs"/>
          <w:rtl/>
        </w:rPr>
        <w:t xml:space="preserve">לי </w:t>
      </w:r>
      <w:bookmarkStart w:id="46989" w:name="_ETM_Q86_669989"/>
      <w:bookmarkEnd w:id="46989"/>
      <w:r>
        <w:rPr>
          <w:rFonts w:hint="cs"/>
          <w:rtl/>
        </w:rPr>
        <w:t xml:space="preserve">הודעה </w:t>
      </w:r>
      <w:bookmarkStart w:id="46990" w:name="_ETM_Q86_670290"/>
      <w:bookmarkEnd w:id="46990"/>
      <w:r>
        <w:rPr>
          <w:rFonts w:hint="cs"/>
          <w:rtl/>
        </w:rPr>
        <w:t xml:space="preserve">היום בבוקר, </w:t>
      </w:r>
      <w:bookmarkStart w:id="46991" w:name="_ETM_Q86_672510"/>
      <w:bookmarkEnd w:id="46991"/>
      <w:r>
        <w:rPr>
          <w:rFonts w:hint="cs"/>
          <w:rtl/>
        </w:rPr>
        <w:t xml:space="preserve">ואני </w:t>
      </w:r>
      <w:bookmarkStart w:id="46992" w:name="_ETM_Q86_672719"/>
      <w:bookmarkEnd w:id="46992"/>
      <w:r>
        <w:rPr>
          <w:rFonts w:hint="cs"/>
          <w:rtl/>
        </w:rPr>
        <w:t xml:space="preserve">רוצה </w:t>
      </w:r>
      <w:bookmarkStart w:id="46993" w:name="_ETM_Q86_672930"/>
      <w:bookmarkEnd w:id="46993"/>
      <w:r>
        <w:rPr>
          <w:rFonts w:hint="cs"/>
          <w:rtl/>
        </w:rPr>
        <w:t xml:space="preserve">להקריא </w:t>
      </w:r>
      <w:bookmarkStart w:id="46994" w:name="_ETM_Q86_673170"/>
      <w:bookmarkEnd w:id="46994"/>
      <w:r>
        <w:rPr>
          <w:rFonts w:hint="cs"/>
          <w:rtl/>
        </w:rPr>
        <w:t xml:space="preserve">לכם </w:t>
      </w:r>
      <w:bookmarkStart w:id="46995" w:name="_ETM_Q86_673409"/>
      <w:bookmarkEnd w:id="46995"/>
      <w:r>
        <w:rPr>
          <w:rFonts w:hint="cs"/>
          <w:rtl/>
        </w:rPr>
        <w:t xml:space="preserve">את </w:t>
      </w:r>
      <w:bookmarkStart w:id="46996" w:name="_ETM_Q86_673469"/>
      <w:bookmarkEnd w:id="46996"/>
      <w:r>
        <w:rPr>
          <w:rFonts w:hint="cs"/>
          <w:rtl/>
        </w:rPr>
        <w:t xml:space="preserve">ההודעה. </w:t>
      </w:r>
      <w:bookmarkStart w:id="46997" w:name="_ETM_Q86_673890"/>
      <w:bookmarkEnd w:id="46997"/>
      <w:r>
        <w:rPr>
          <w:rFonts w:hint="cs"/>
          <w:rtl/>
        </w:rPr>
        <w:t xml:space="preserve">אדוני </w:t>
      </w:r>
      <w:bookmarkStart w:id="46998" w:name="_ETM_Q86_674890"/>
      <w:bookmarkEnd w:id="46998"/>
      <w:r>
        <w:rPr>
          <w:rFonts w:hint="cs"/>
          <w:rtl/>
        </w:rPr>
        <w:t xml:space="preserve">היושב-ראש, </w:t>
      </w:r>
      <w:bookmarkStart w:id="46999" w:name="_ETM_Q86_675490"/>
      <w:bookmarkEnd w:id="46999"/>
      <w:r>
        <w:rPr>
          <w:rFonts w:hint="cs"/>
          <w:rtl/>
        </w:rPr>
        <w:t xml:space="preserve">אתה </w:t>
      </w:r>
      <w:bookmarkStart w:id="47000" w:name="_ETM_Q86_675670"/>
      <w:bookmarkEnd w:id="47000"/>
      <w:r>
        <w:rPr>
          <w:rFonts w:hint="cs"/>
          <w:rtl/>
        </w:rPr>
        <w:t xml:space="preserve">מכיר </w:t>
      </w:r>
      <w:bookmarkStart w:id="47001" w:name="_ETM_Q86_675940"/>
      <w:bookmarkEnd w:id="47001"/>
      <w:r>
        <w:rPr>
          <w:rFonts w:hint="cs"/>
          <w:rtl/>
        </w:rPr>
        <w:t xml:space="preserve">את </w:t>
      </w:r>
      <w:bookmarkStart w:id="47002" w:name="_ETM_Q86_676000"/>
      <w:bookmarkEnd w:id="47002"/>
      <w:r>
        <w:rPr>
          <w:rFonts w:hint="cs"/>
          <w:rtl/>
        </w:rPr>
        <w:t xml:space="preserve">הסיפור </w:t>
      </w:r>
      <w:bookmarkStart w:id="47003" w:name="_ETM_Q86_676360"/>
      <w:bookmarkEnd w:id="47003"/>
      <w:r>
        <w:rPr>
          <w:rFonts w:hint="cs"/>
          <w:rtl/>
        </w:rPr>
        <w:t xml:space="preserve">של המשפחה </w:t>
      </w:r>
      <w:bookmarkStart w:id="47004" w:name="_ETM_Q86_676900"/>
      <w:bookmarkEnd w:id="47004"/>
      <w:r>
        <w:rPr>
          <w:rFonts w:hint="cs"/>
          <w:rtl/>
        </w:rPr>
        <w:t xml:space="preserve">שלי. </w:t>
      </w:r>
      <w:bookmarkStart w:id="47005" w:name="_ETM_Q86_677680"/>
      <w:bookmarkEnd w:id="47005"/>
      <w:r>
        <w:rPr>
          <w:rFonts w:hint="cs"/>
          <w:rtl/>
        </w:rPr>
        <w:t xml:space="preserve">אנחנו </w:t>
      </w:r>
      <w:bookmarkStart w:id="47006" w:name="_ETM_Q86_677920"/>
      <w:bookmarkEnd w:id="47006"/>
      <w:r>
        <w:rPr>
          <w:rFonts w:hint="cs"/>
          <w:rtl/>
        </w:rPr>
        <w:t xml:space="preserve">היינו </w:t>
      </w:r>
      <w:bookmarkStart w:id="47007" w:name="_ETM_Q86_678100"/>
      <w:bookmarkEnd w:id="47007"/>
      <w:r>
        <w:rPr>
          <w:rFonts w:hint="cs"/>
          <w:rtl/>
        </w:rPr>
        <w:t xml:space="preserve">ביחד </w:t>
      </w:r>
      <w:bookmarkStart w:id="47008" w:name="_ETM_Q86_678460"/>
      <w:bookmarkEnd w:id="47008"/>
      <w:r>
        <w:rPr>
          <w:rFonts w:hint="cs"/>
          <w:rtl/>
        </w:rPr>
        <w:t xml:space="preserve">במשלחת </w:t>
      </w:r>
      <w:bookmarkStart w:id="47009" w:name="_ETM_Q86_679120"/>
      <w:bookmarkEnd w:id="47009"/>
      <w:r>
        <w:rPr>
          <w:rFonts w:hint="cs"/>
          <w:rtl/>
        </w:rPr>
        <w:t xml:space="preserve">ודיברתי </w:t>
      </w:r>
      <w:bookmarkStart w:id="47010" w:name="_ETM_Q86_679630"/>
      <w:bookmarkEnd w:id="47010"/>
      <w:r>
        <w:rPr>
          <w:rFonts w:hint="cs"/>
          <w:rtl/>
        </w:rPr>
        <w:t xml:space="preserve">על </w:t>
      </w:r>
      <w:bookmarkStart w:id="47011" w:name="_ETM_Q86_679720"/>
      <w:bookmarkEnd w:id="47011"/>
      <w:r>
        <w:rPr>
          <w:rFonts w:hint="cs"/>
          <w:rtl/>
        </w:rPr>
        <w:t xml:space="preserve">זה </w:t>
      </w:r>
      <w:bookmarkStart w:id="47012" w:name="_ETM_Q86_679840"/>
      <w:bookmarkEnd w:id="47012"/>
      <w:r>
        <w:rPr>
          <w:rFonts w:hint="cs"/>
          <w:rtl/>
        </w:rPr>
        <w:t xml:space="preserve">לא </w:t>
      </w:r>
      <w:bookmarkStart w:id="47013" w:name="_ETM_Q86_679960"/>
      <w:bookmarkEnd w:id="47013"/>
      <w:r>
        <w:rPr>
          <w:rFonts w:hint="cs"/>
          <w:rtl/>
        </w:rPr>
        <w:t xml:space="preserve">מעט. </w:t>
      </w:r>
      <w:bookmarkStart w:id="47014" w:name="_ETM_Q86_681480"/>
      <w:bookmarkEnd w:id="47014"/>
      <w:r>
        <w:rPr>
          <w:rFonts w:hint="cs"/>
          <w:rtl/>
        </w:rPr>
        <w:t xml:space="preserve">משפחה </w:t>
      </w:r>
      <w:bookmarkStart w:id="47015" w:name="_ETM_Q86_681930"/>
      <w:bookmarkEnd w:id="47015"/>
      <w:r>
        <w:rPr>
          <w:rFonts w:hint="cs"/>
          <w:rtl/>
        </w:rPr>
        <w:t xml:space="preserve">של </w:t>
      </w:r>
      <w:bookmarkStart w:id="47016" w:name="_ETM_Q86_682080"/>
      <w:bookmarkEnd w:id="47016"/>
      <w:r>
        <w:rPr>
          <w:rFonts w:hint="cs"/>
          <w:rtl/>
        </w:rPr>
        <w:t xml:space="preserve">ניצולי </w:t>
      </w:r>
      <w:bookmarkStart w:id="47017" w:name="_ETM_Q86_682440"/>
      <w:bookmarkEnd w:id="47017"/>
      <w:r>
        <w:rPr>
          <w:rFonts w:hint="cs"/>
          <w:rtl/>
        </w:rPr>
        <w:t xml:space="preserve">שואה </w:t>
      </w:r>
      <w:bookmarkStart w:id="47018" w:name="_ETM_Q86_683980"/>
      <w:bookmarkEnd w:id="47018"/>
      <w:r>
        <w:rPr>
          <w:rFonts w:hint="cs"/>
          <w:rtl/>
        </w:rPr>
        <w:t xml:space="preserve">שהגיעו </w:t>
      </w:r>
      <w:bookmarkStart w:id="47019" w:name="_ETM_Q86_684460"/>
      <w:bookmarkEnd w:id="47019"/>
      <w:r>
        <w:rPr>
          <w:rFonts w:hint="cs"/>
          <w:rtl/>
        </w:rPr>
        <w:t xml:space="preserve">בסוף </w:t>
      </w:r>
      <w:bookmarkStart w:id="47020" w:name="_ETM_Q86_684790"/>
      <w:bookmarkEnd w:id="47020"/>
      <w:r>
        <w:rPr>
          <w:rFonts w:hint="cs"/>
          <w:rtl/>
        </w:rPr>
        <w:t xml:space="preserve">למדינת </w:t>
      </w:r>
      <w:bookmarkStart w:id="47021" w:name="_ETM_Q86_685240"/>
      <w:bookmarkEnd w:id="47021"/>
      <w:r>
        <w:rPr>
          <w:rFonts w:hint="cs"/>
          <w:rtl/>
        </w:rPr>
        <w:t xml:space="preserve">ישראל, </w:t>
      </w:r>
      <w:bookmarkStart w:id="47022" w:name="_ETM_Q86_685690"/>
      <w:bookmarkEnd w:id="47022"/>
      <w:r>
        <w:rPr>
          <w:rFonts w:hint="cs"/>
          <w:rtl/>
        </w:rPr>
        <w:t xml:space="preserve">אלה </w:t>
      </w:r>
      <w:bookmarkStart w:id="47023" w:name="_ETM_Q86_686140"/>
      <w:bookmarkEnd w:id="47023"/>
      <w:r>
        <w:rPr>
          <w:rFonts w:hint="cs"/>
          <w:rtl/>
        </w:rPr>
        <w:t xml:space="preserve">ששרדו. </w:t>
      </w:r>
      <w:bookmarkStart w:id="47024" w:name="_ETM_Q86_687960"/>
      <w:bookmarkEnd w:id="47024"/>
      <w:r>
        <w:rPr>
          <w:rFonts w:hint="cs"/>
          <w:rtl/>
        </w:rPr>
        <w:t xml:space="preserve">אבא </w:t>
      </w:r>
      <w:bookmarkStart w:id="47025" w:name="_ETM_Q86_688200"/>
      <w:bookmarkEnd w:id="47025"/>
      <w:r>
        <w:rPr>
          <w:rFonts w:hint="cs"/>
          <w:rtl/>
        </w:rPr>
        <w:t xml:space="preserve">שלי </w:t>
      </w:r>
      <w:bookmarkStart w:id="47026" w:name="_ETM_Q86_688410"/>
      <w:bookmarkEnd w:id="47026"/>
      <w:r>
        <w:rPr>
          <w:rFonts w:hint="cs"/>
          <w:rtl/>
        </w:rPr>
        <w:t xml:space="preserve">רופא </w:t>
      </w:r>
      <w:bookmarkStart w:id="47027" w:name="_ETM_Q86_689730"/>
      <w:bookmarkStart w:id="47028" w:name="_ETM_Q86_689940"/>
      <w:bookmarkEnd w:id="47027"/>
      <w:bookmarkEnd w:id="47028"/>
      <w:r>
        <w:rPr>
          <w:rFonts w:hint="cs"/>
          <w:rtl/>
        </w:rPr>
        <w:t xml:space="preserve">מרדים </w:t>
      </w:r>
      <w:bookmarkStart w:id="47029" w:name="_ETM_Q86_690270"/>
      <w:bookmarkEnd w:id="47029"/>
      <w:r>
        <w:rPr>
          <w:rFonts w:hint="cs"/>
          <w:rtl/>
        </w:rPr>
        <w:t xml:space="preserve">כל </w:t>
      </w:r>
      <w:bookmarkStart w:id="47030" w:name="_ETM_Q86_690480"/>
      <w:bookmarkEnd w:id="47030"/>
      <w:r>
        <w:rPr>
          <w:rFonts w:hint="cs"/>
          <w:rtl/>
        </w:rPr>
        <w:t xml:space="preserve">חייו. </w:t>
      </w:r>
      <w:bookmarkStart w:id="47031" w:name="_ETM_Q86_691830"/>
      <w:bookmarkEnd w:id="47031"/>
      <w:r>
        <w:rPr>
          <w:rFonts w:hint="cs"/>
          <w:rtl/>
        </w:rPr>
        <w:t xml:space="preserve">כל </w:t>
      </w:r>
      <w:bookmarkStart w:id="47032" w:name="_ETM_Q86_692070"/>
      <w:bookmarkEnd w:id="47032"/>
      <w:r>
        <w:rPr>
          <w:rFonts w:hint="cs"/>
          <w:rtl/>
        </w:rPr>
        <w:t xml:space="preserve">חייו </w:t>
      </w:r>
      <w:bookmarkStart w:id="47033" w:name="_ETM_Q86_692340"/>
      <w:bookmarkEnd w:id="47033"/>
      <w:r>
        <w:rPr>
          <w:rFonts w:hint="cs"/>
          <w:rtl/>
        </w:rPr>
        <w:t xml:space="preserve">שירת </w:t>
      </w:r>
      <w:bookmarkStart w:id="47034" w:name="_ETM_Q86_692640"/>
      <w:bookmarkEnd w:id="47034"/>
      <w:r>
        <w:rPr>
          <w:rFonts w:hint="cs"/>
          <w:rtl/>
        </w:rPr>
        <w:t xml:space="preserve">בצבא, </w:t>
      </w:r>
      <w:bookmarkStart w:id="47035" w:name="_ETM_Q86_694019"/>
      <w:bookmarkEnd w:id="47035"/>
      <w:r>
        <w:rPr>
          <w:rFonts w:hint="cs"/>
          <w:rtl/>
        </w:rPr>
        <w:t xml:space="preserve">עבר </w:t>
      </w:r>
      <w:bookmarkStart w:id="47036" w:name="_ETM_Q86_694319"/>
      <w:bookmarkEnd w:id="47036"/>
      <w:r>
        <w:rPr>
          <w:rFonts w:hint="cs"/>
          <w:rtl/>
        </w:rPr>
        <w:t xml:space="preserve">את </w:t>
      </w:r>
      <w:bookmarkStart w:id="47037" w:name="_ETM_Q86_694409"/>
      <w:bookmarkEnd w:id="47037"/>
      <w:r>
        <w:rPr>
          <w:rFonts w:hint="cs"/>
          <w:rtl/>
        </w:rPr>
        <w:t xml:space="preserve">כל </w:t>
      </w:r>
      <w:bookmarkStart w:id="47038" w:name="_ETM_Q86_694589"/>
      <w:bookmarkEnd w:id="47038"/>
      <w:r>
        <w:rPr>
          <w:rFonts w:hint="cs"/>
          <w:rtl/>
        </w:rPr>
        <w:t xml:space="preserve">המלחמות </w:t>
      </w:r>
      <w:bookmarkStart w:id="47039" w:name="_ETM_Q86_695099"/>
      <w:bookmarkEnd w:id="47039"/>
      <w:r>
        <w:rPr>
          <w:rFonts w:hint="cs"/>
          <w:rtl/>
        </w:rPr>
        <w:t xml:space="preserve">כרופא </w:t>
      </w:r>
      <w:bookmarkStart w:id="47040" w:name="_ETM_Q86_695909"/>
      <w:bookmarkEnd w:id="47040"/>
      <w:r>
        <w:rPr>
          <w:rFonts w:hint="cs"/>
          <w:rtl/>
        </w:rPr>
        <w:t xml:space="preserve">גדודי, </w:t>
      </w:r>
      <w:bookmarkStart w:id="47041" w:name="_ETM_Q86_696970"/>
      <w:bookmarkEnd w:id="47041"/>
      <w:r>
        <w:rPr>
          <w:rFonts w:hint="cs"/>
          <w:rtl/>
        </w:rPr>
        <w:t xml:space="preserve">ואני </w:t>
      </w:r>
      <w:bookmarkStart w:id="47042" w:name="_ETM_Q86_697239"/>
      <w:bookmarkEnd w:id="47042"/>
      <w:r>
        <w:rPr>
          <w:rFonts w:hint="cs"/>
          <w:rtl/>
        </w:rPr>
        <w:t xml:space="preserve">מקריא </w:t>
      </w:r>
      <w:bookmarkStart w:id="47043" w:name="_ETM_Q86_697599"/>
      <w:bookmarkEnd w:id="47043"/>
      <w:r>
        <w:rPr>
          <w:rFonts w:hint="cs"/>
          <w:rtl/>
        </w:rPr>
        <w:t xml:space="preserve">לכם </w:t>
      </w:r>
      <w:bookmarkStart w:id="47044" w:name="_ETM_Q86_697929"/>
      <w:bookmarkEnd w:id="47044"/>
      <w:r>
        <w:rPr>
          <w:rFonts w:hint="cs"/>
          <w:rtl/>
        </w:rPr>
        <w:t xml:space="preserve">מילה </w:t>
      </w:r>
      <w:bookmarkStart w:id="47045" w:name="_ETM_Q86_698140"/>
      <w:bookmarkEnd w:id="47045"/>
      <w:r>
        <w:rPr>
          <w:rFonts w:hint="cs"/>
          <w:rtl/>
        </w:rPr>
        <w:t xml:space="preserve">במילה. אני לא יכול להשמיע, נכון? </w:t>
      </w:r>
      <w:bookmarkStart w:id="47046" w:name="_ETM_Q86_704489"/>
      <w:bookmarkStart w:id="47047" w:name="_ETM_Q86_704849"/>
      <w:bookmarkEnd w:id="47046"/>
      <w:bookmarkEnd w:id="47047"/>
      <w:r>
        <w:rPr>
          <w:rFonts w:hint="cs"/>
          <w:rtl/>
        </w:rPr>
        <w:t xml:space="preserve">להשמיע מהטלפון </w:t>
      </w:r>
      <w:bookmarkStart w:id="47048" w:name="_ETM_Q86_705150"/>
      <w:bookmarkEnd w:id="47048"/>
      <w:r>
        <w:rPr>
          <w:rFonts w:hint="cs"/>
          <w:rtl/>
        </w:rPr>
        <w:t xml:space="preserve">אסור, </w:t>
      </w:r>
      <w:bookmarkStart w:id="47049" w:name="_ETM_Q86_705389"/>
      <w:bookmarkEnd w:id="47049"/>
      <w:r>
        <w:rPr>
          <w:rFonts w:hint="cs"/>
          <w:rtl/>
        </w:rPr>
        <w:t xml:space="preserve">נכון? </w:t>
      </w:r>
      <w:bookmarkStart w:id="47050" w:name="_ETM_Q86_706599"/>
      <w:bookmarkEnd w:id="47050"/>
      <w:r>
        <w:rPr>
          <w:rFonts w:hint="cs"/>
          <w:rtl/>
        </w:rPr>
        <w:t xml:space="preserve">אז </w:t>
      </w:r>
      <w:bookmarkStart w:id="47051" w:name="_ETM_Q86_706749"/>
      <w:bookmarkEnd w:id="47051"/>
      <w:r>
        <w:rPr>
          <w:rFonts w:hint="cs"/>
          <w:rtl/>
        </w:rPr>
        <w:t xml:space="preserve">הוא </w:t>
      </w:r>
      <w:bookmarkStart w:id="47052" w:name="_ETM_Q86_706809"/>
      <w:bookmarkEnd w:id="47052"/>
      <w:r>
        <w:rPr>
          <w:rFonts w:hint="cs"/>
          <w:rtl/>
        </w:rPr>
        <w:t xml:space="preserve">אומר </w:t>
      </w:r>
      <w:bookmarkStart w:id="47053" w:name="_ETM_Q86_706989"/>
      <w:bookmarkEnd w:id="47053"/>
      <w:r>
        <w:rPr>
          <w:rFonts w:hint="cs"/>
          <w:rtl/>
        </w:rPr>
        <w:t xml:space="preserve">לי </w:t>
      </w:r>
      <w:bookmarkStart w:id="47054" w:name="_ETM_Q86_707079"/>
      <w:bookmarkEnd w:id="47054"/>
      <w:r>
        <w:rPr>
          <w:rFonts w:hint="cs"/>
          <w:rtl/>
        </w:rPr>
        <w:t>ככה</w:t>
      </w:r>
      <w:bookmarkStart w:id="47055" w:name="_ETM_Q86_708100"/>
      <w:bookmarkEnd w:id="47055"/>
      <w:r>
        <w:rPr>
          <w:rFonts w:hint="cs"/>
          <w:rtl/>
        </w:rPr>
        <w:t xml:space="preserve">: סימוצ'קה, </w:t>
      </w:r>
      <w:bookmarkStart w:id="47056" w:name="_ETM_Q86_708460"/>
      <w:bookmarkStart w:id="47057" w:name="_ETM_Q86_708550"/>
      <w:bookmarkStart w:id="47058" w:name="_ETM_Q86_708730"/>
      <w:bookmarkEnd w:id="47056"/>
      <w:bookmarkEnd w:id="47057"/>
      <w:bookmarkEnd w:id="47058"/>
      <w:r>
        <w:rPr>
          <w:rFonts w:hint="cs"/>
          <w:rtl/>
        </w:rPr>
        <w:t xml:space="preserve">בוקר </w:t>
      </w:r>
      <w:bookmarkStart w:id="47059" w:name="_ETM_Q86_709030"/>
      <w:bookmarkEnd w:id="47059"/>
      <w:r>
        <w:rPr>
          <w:rFonts w:hint="cs"/>
          <w:rtl/>
        </w:rPr>
        <w:t xml:space="preserve">טוב – </w:t>
      </w:r>
      <w:bookmarkStart w:id="47060" w:name="_ETM_Q86_709210"/>
      <w:bookmarkEnd w:id="47060"/>
      <w:r>
        <w:rPr>
          <w:rFonts w:hint="cs"/>
          <w:rtl/>
        </w:rPr>
        <w:t xml:space="preserve">ככה </w:t>
      </w:r>
      <w:bookmarkStart w:id="47061" w:name="_ETM_Q86_709450"/>
      <w:bookmarkEnd w:id="47061"/>
      <w:r>
        <w:rPr>
          <w:rFonts w:hint="cs"/>
          <w:rtl/>
        </w:rPr>
        <w:t xml:space="preserve">הוא </w:t>
      </w:r>
      <w:bookmarkStart w:id="47062" w:name="_ETM_Q86_709510"/>
      <w:bookmarkEnd w:id="47062"/>
      <w:r>
        <w:rPr>
          <w:rFonts w:hint="cs"/>
          <w:rtl/>
        </w:rPr>
        <w:t xml:space="preserve">קורא </w:t>
      </w:r>
      <w:bookmarkStart w:id="47063" w:name="_ETM_Q86_709720"/>
      <w:bookmarkEnd w:id="47063"/>
      <w:r>
        <w:rPr>
          <w:rFonts w:hint="cs"/>
          <w:rtl/>
        </w:rPr>
        <w:t xml:space="preserve">לי, סימוצ'קה – </w:t>
      </w:r>
      <w:bookmarkStart w:id="47064" w:name="_ETM_Q86_710830"/>
      <w:bookmarkEnd w:id="47064"/>
      <w:r>
        <w:rPr>
          <w:rFonts w:hint="cs"/>
          <w:rtl/>
        </w:rPr>
        <w:t xml:space="preserve">אתמול </w:t>
      </w:r>
      <w:bookmarkStart w:id="47065" w:name="_ETM_Q86_711250"/>
      <w:bookmarkEnd w:id="47065"/>
      <w:r>
        <w:rPr>
          <w:rFonts w:hint="cs"/>
          <w:rtl/>
        </w:rPr>
        <w:t xml:space="preserve">היה </w:t>
      </w:r>
      <w:bookmarkStart w:id="47066" w:name="_ETM_Q86_711520"/>
      <w:bookmarkEnd w:id="47066"/>
      <w:r>
        <w:rPr>
          <w:rFonts w:hint="cs"/>
          <w:rtl/>
        </w:rPr>
        <w:t xml:space="preserve">יום </w:t>
      </w:r>
      <w:bookmarkStart w:id="47067" w:name="_ETM_Q86_711730"/>
      <w:bookmarkEnd w:id="47067"/>
      <w:r>
        <w:rPr>
          <w:rFonts w:hint="cs"/>
          <w:rtl/>
        </w:rPr>
        <w:t xml:space="preserve">קשה </w:t>
      </w:r>
      <w:bookmarkStart w:id="47068" w:name="_ETM_Q86_712090"/>
      <w:bookmarkEnd w:id="47068"/>
      <w:r>
        <w:rPr>
          <w:rFonts w:hint="cs"/>
          <w:rtl/>
        </w:rPr>
        <w:t xml:space="preserve">מאוד </w:t>
      </w:r>
      <w:bookmarkStart w:id="47069" w:name="_ETM_Q86_712360"/>
      <w:bookmarkEnd w:id="47069"/>
      <w:r>
        <w:rPr>
          <w:rFonts w:hint="cs"/>
          <w:rtl/>
        </w:rPr>
        <w:t xml:space="preserve">בשבילי. </w:t>
      </w:r>
      <w:bookmarkStart w:id="47070" w:name="_ETM_Q86_714200"/>
      <w:bookmarkEnd w:id="47070"/>
      <w:r>
        <w:rPr>
          <w:rFonts w:hint="cs"/>
          <w:rtl/>
        </w:rPr>
        <w:t xml:space="preserve">כשראיתי </w:t>
      </w:r>
      <w:bookmarkStart w:id="47071" w:name="_ETM_Q86_714769"/>
      <w:bookmarkEnd w:id="47071"/>
      <w:r>
        <w:rPr>
          <w:rFonts w:hint="cs"/>
          <w:rtl/>
        </w:rPr>
        <w:t xml:space="preserve">מה </w:t>
      </w:r>
      <w:bookmarkStart w:id="47072" w:name="_ETM_Q86_714919"/>
      <w:bookmarkEnd w:id="47072"/>
      <w:r>
        <w:rPr>
          <w:rFonts w:hint="cs"/>
          <w:rtl/>
        </w:rPr>
        <w:t xml:space="preserve">קורה </w:t>
      </w:r>
      <w:bookmarkStart w:id="47073" w:name="_ETM_Q86_715159"/>
      <w:bookmarkEnd w:id="47073"/>
      <w:r>
        <w:rPr>
          <w:rFonts w:hint="cs"/>
          <w:rtl/>
        </w:rPr>
        <w:t xml:space="preserve">במדינה, </w:t>
      </w:r>
      <w:bookmarkStart w:id="47074" w:name="_ETM_Q86_716190"/>
      <w:bookmarkEnd w:id="47074"/>
      <w:r>
        <w:rPr>
          <w:rFonts w:hint="cs"/>
          <w:rtl/>
        </w:rPr>
        <w:t xml:space="preserve">בכיתי </w:t>
      </w:r>
      <w:bookmarkStart w:id="47075" w:name="_ETM_Q86_716760"/>
      <w:bookmarkEnd w:id="47075"/>
      <w:r>
        <w:rPr>
          <w:rFonts w:hint="cs"/>
          <w:rtl/>
        </w:rPr>
        <w:t xml:space="preserve">יום </w:t>
      </w:r>
      <w:bookmarkStart w:id="47076" w:name="_ETM_Q86_716940"/>
      <w:bookmarkEnd w:id="47076"/>
      <w:r>
        <w:rPr>
          <w:rFonts w:hint="cs"/>
          <w:rtl/>
        </w:rPr>
        <w:t xml:space="preserve">שלם. </w:t>
      </w:r>
      <w:bookmarkStart w:id="47077" w:name="_ETM_Q86_718389"/>
      <w:bookmarkEnd w:id="47077"/>
      <w:r>
        <w:rPr>
          <w:rFonts w:hint="cs"/>
          <w:rtl/>
        </w:rPr>
        <w:t xml:space="preserve">זה </w:t>
      </w:r>
      <w:bookmarkStart w:id="47078" w:name="_ETM_Q86_718629"/>
      <w:bookmarkEnd w:id="47078"/>
      <w:r>
        <w:rPr>
          <w:rFonts w:hint="cs"/>
          <w:rtl/>
        </w:rPr>
        <w:t xml:space="preserve">לא </w:t>
      </w:r>
      <w:bookmarkStart w:id="47079" w:name="_ETM_Q86_718749"/>
      <w:bookmarkEnd w:id="47079"/>
      <w:r>
        <w:rPr>
          <w:rFonts w:hint="cs"/>
          <w:rtl/>
        </w:rPr>
        <w:t xml:space="preserve">ייאמן, </w:t>
      </w:r>
      <w:bookmarkStart w:id="47080" w:name="_ETM_Q86_719199"/>
      <w:bookmarkEnd w:id="47080"/>
      <w:r>
        <w:rPr>
          <w:rFonts w:hint="cs"/>
          <w:rtl/>
        </w:rPr>
        <w:t xml:space="preserve">מה </w:t>
      </w:r>
      <w:bookmarkStart w:id="47081" w:name="_ETM_Q86_719319"/>
      <w:bookmarkEnd w:id="47081"/>
      <w:r>
        <w:rPr>
          <w:rFonts w:hint="cs"/>
          <w:rtl/>
        </w:rPr>
        <w:t xml:space="preserve">שקורה, </w:t>
      </w:r>
      <w:bookmarkStart w:id="47082" w:name="_ETM_Q86_720550"/>
      <w:bookmarkEnd w:id="47082"/>
      <w:r>
        <w:rPr>
          <w:rFonts w:hint="cs"/>
          <w:rtl/>
        </w:rPr>
        <w:t xml:space="preserve">אז </w:t>
      </w:r>
      <w:bookmarkStart w:id="47083" w:name="_ETM_Q86_720790"/>
      <w:bookmarkEnd w:id="47083"/>
      <w:r>
        <w:rPr>
          <w:rFonts w:hint="cs"/>
          <w:rtl/>
        </w:rPr>
        <w:t xml:space="preserve">אם </w:t>
      </w:r>
      <w:bookmarkStart w:id="47084" w:name="_ETM_Q86_720880"/>
      <w:bookmarkEnd w:id="47084"/>
      <w:r>
        <w:rPr>
          <w:rFonts w:hint="cs"/>
          <w:rtl/>
        </w:rPr>
        <w:t xml:space="preserve">אפשר </w:t>
      </w:r>
      <w:bookmarkStart w:id="47085" w:name="_ETM_Q86_721210"/>
      <w:bookmarkEnd w:id="47085"/>
      <w:r>
        <w:rPr>
          <w:rFonts w:hint="cs"/>
          <w:rtl/>
        </w:rPr>
        <w:t xml:space="preserve">לעשות </w:t>
      </w:r>
      <w:bookmarkStart w:id="47086" w:name="_ETM_Q86_721630"/>
      <w:bookmarkEnd w:id="47086"/>
      <w:r>
        <w:rPr>
          <w:rFonts w:hint="cs"/>
          <w:rtl/>
        </w:rPr>
        <w:t xml:space="preserve">משהו, </w:t>
      </w:r>
      <w:bookmarkStart w:id="47087" w:name="_ETM_Q86_721960"/>
      <w:bookmarkEnd w:id="47087"/>
      <w:r>
        <w:rPr>
          <w:rFonts w:hint="cs"/>
          <w:rtl/>
        </w:rPr>
        <w:t xml:space="preserve">תעשו. </w:t>
      </w:r>
      <w:bookmarkStart w:id="47088" w:name="_ETM_Q86_722830"/>
      <w:bookmarkEnd w:id="47088"/>
      <w:r>
        <w:rPr>
          <w:rFonts w:hint="cs"/>
          <w:rtl/>
        </w:rPr>
        <w:t xml:space="preserve">בבקשה, </w:t>
      </w:r>
      <w:bookmarkStart w:id="47089" w:name="_ETM_Q86_723520"/>
      <w:bookmarkEnd w:id="47089"/>
      <w:r>
        <w:rPr>
          <w:rFonts w:hint="cs"/>
          <w:rtl/>
        </w:rPr>
        <w:t xml:space="preserve">תעשו. </w:t>
      </w:r>
      <w:bookmarkStart w:id="47090" w:name="_ETM_Q86_724000"/>
      <w:bookmarkEnd w:id="47090"/>
      <w:r>
        <w:rPr>
          <w:rFonts w:hint="cs"/>
          <w:rtl/>
        </w:rPr>
        <w:t xml:space="preserve">אני </w:t>
      </w:r>
      <w:bookmarkStart w:id="47091" w:name="_ETM_Q86_724150"/>
      <w:bookmarkEnd w:id="47091"/>
      <w:r>
        <w:rPr>
          <w:rFonts w:hint="cs"/>
          <w:rtl/>
        </w:rPr>
        <w:t xml:space="preserve">מתחנן, </w:t>
      </w:r>
      <w:bookmarkStart w:id="47092" w:name="_ETM_Q86_725609"/>
      <w:bookmarkEnd w:id="47092"/>
      <w:r>
        <w:rPr>
          <w:rFonts w:hint="cs"/>
          <w:rtl/>
        </w:rPr>
        <w:t xml:space="preserve">כי </w:t>
      </w:r>
      <w:bookmarkStart w:id="47093" w:name="_ETM_Q86_725790"/>
      <w:bookmarkEnd w:id="47093"/>
      <w:r>
        <w:rPr>
          <w:rFonts w:hint="cs"/>
          <w:rtl/>
        </w:rPr>
        <w:t xml:space="preserve">יבוא </w:t>
      </w:r>
      <w:bookmarkStart w:id="47094" w:name="_ETM_Q86_726059"/>
      <w:bookmarkEnd w:id="47094"/>
      <w:r>
        <w:rPr>
          <w:rFonts w:hint="cs"/>
          <w:rtl/>
        </w:rPr>
        <w:t xml:space="preserve">אסון </w:t>
      </w:r>
      <w:bookmarkStart w:id="47095" w:name="_ETM_Q86_727050"/>
      <w:bookmarkEnd w:id="47095"/>
      <w:r>
        <w:rPr>
          <w:rFonts w:hint="cs"/>
          <w:rtl/>
        </w:rPr>
        <w:t xml:space="preserve">וזה </w:t>
      </w:r>
      <w:bookmarkStart w:id="47096" w:name="_ETM_Q86_727290"/>
      <w:bookmarkEnd w:id="47096"/>
      <w:r>
        <w:rPr>
          <w:rFonts w:hint="cs"/>
          <w:rtl/>
        </w:rPr>
        <w:t xml:space="preserve">חורבן </w:t>
      </w:r>
      <w:bookmarkStart w:id="47097" w:name="_ETM_Q86_727770"/>
      <w:bookmarkEnd w:id="47097"/>
      <w:r>
        <w:rPr>
          <w:rFonts w:hint="cs"/>
          <w:rtl/>
        </w:rPr>
        <w:t xml:space="preserve">של </w:t>
      </w:r>
      <w:bookmarkStart w:id="47098" w:name="_ETM_Q86_727950"/>
      <w:bookmarkEnd w:id="47098"/>
      <w:r>
        <w:rPr>
          <w:rFonts w:hint="cs"/>
          <w:rtl/>
        </w:rPr>
        <w:t xml:space="preserve">הבית </w:t>
      </w:r>
      <w:bookmarkStart w:id="47099" w:name="_ETM_Q86_728309"/>
      <w:bookmarkEnd w:id="47099"/>
      <w:r>
        <w:rPr>
          <w:rFonts w:hint="cs"/>
          <w:rtl/>
        </w:rPr>
        <w:t xml:space="preserve">כולו. </w:t>
      </w:r>
      <w:bookmarkStart w:id="47100" w:name="_ETM_Q86_729510"/>
      <w:bookmarkEnd w:id="47100"/>
      <w:r>
        <w:rPr>
          <w:rFonts w:hint="cs"/>
          <w:rtl/>
        </w:rPr>
        <w:t xml:space="preserve">תשמור </w:t>
      </w:r>
      <w:bookmarkStart w:id="47101" w:name="_ETM_Q86_730139"/>
      <w:bookmarkEnd w:id="47101"/>
      <w:r>
        <w:rPr>
          <w:rFonts w:hint="cs"/>
          <w:rtl/>
        </w:rPr>
        <w:t xml:space="preserve">על </w:t>
      </w:r>
      <w:bookmarkStart w:id="47102" w:name="_ETM_Q86_730230"/>
      <w:bookmarkEnd w:id="47102"/>
      <w:r>
        <w:rPr>
          <w:rFonts w:hint="cs"/>
          <w:rtl/>
        </w:rPr>
        <w:t xml:space="preserve">עצמך, </w:t>
      </w:r>
      <w:bookmarkStart w:id="47103" w:name="_ETM_Q86_730739"/>
      <w:bookmarkEnd w:id="47103"/>
      <w:r>
        <w:rPr>
          <w:rFonts w:hint="cs"/>
          <w:rtl/>
        </w:rPr>
        <w:t xml:space="preserve">אני </w:t>
      </w:r>
      <w:bookmarkStart w:id="47104" w:name="_ETM_Q86_730889"/>
      <w:bookmarkEnd w:id="47104"/>
      <w:r>
        <w:rPr>
          <w:rFonts w:hint="cs"/>
          <w:rtl/>
        </w:rPr>
        <w:t xml:space="preserve">אוהב </w:t>
      </w:r>
      <w:bookmarkStart w:id="47105" w:name="_ETM_Q86_731040"/>
      <w:bookmarkEnd w:id="47105"/>
      <w:r>
        <w:rPr>
          <w:rFonts w:hint="cs"/>
          <w:rtl/>
        </w:rPr>
        <w:t xml:space="preserve">אותך. </w:t>
      </w:r>
      <w:bookmarkStart w:id="47106" w:name="_ETM_Q86_732720"/>
      <w:bookmarkEnd w:id="47106"/>
    </w:p>
    <w:p w:rsidR="00BB59CD" w:rsidRDefault="00BB59CD" w:rsidP="00BB59CD">
      <w:pPr>
        <w:rPr>
          <w:rtl/>
        </w:rPr>
      </w:pPr>
    </w:p>
    <w:p w:rsidR="00BB59CD" w:rsidRDefault="00BB59CD" w:rsidP="0036069F">
      <w:pPr>
        <w:rPr>
          <w:rtl/>
        </w:rPr>
      </w:pPr>
      <w:r>
        <w:rPr>
          <w:rFonts w:hint="cs"/>
          <w:rtl/>
        </w:rPr>
        <w:t xml:space="preserve">אבא </w:t>
      </w:r>
      <w:bookmarkStart w:id="47107" w:name="_ETM_Q86_732959"/>
      <w:bookmarkEnd w:id="47107"/>
      <w:r>
        <w:rPr>
          <w:rFonts w:hint="cs"/>
          <w:rtl/>
        </w:rPr>
        <w:t>שלי</w:t>
      </w:r>
      <w:r w:rsidR="0036069F">
        <w:rPr>
          <w:rFonts w:hint="cs"/>
          <w:rtl/>
        </w:rPr>
        <w:t>,</w:t>
      </w:r>
      <w:r>
        <w:rPr>
          <w:rFonts w:hint="cs"/>
          <w:rtl/>
        </w:rPr>
        <w:t xml:space="preserve"> </w:t>
      </w:r>
      <w:bookmarkStart w:id="47108" w:name="_ETM_Q86_733140"/>
      <w:bookmarkEnd w:id="47108"/>
      <w:r>
        <w:rPr>
          <w:rFonts w:hint="cs"/>
          <w:rtl/>
        </w:rPr>
        <w:t xml:space="preserve">בן </w:t>
      </w:r>
      <w:bookmarkStart w:id="47109" w:name="_ETM_Q86_733260"/>
      <w:bookmarkEnd w:id="47109"/>
      <w:r>
        <w:rPr>
          <w:rFonts w:hint="cs"/>
          <w:rtl/>
        </w:rPr>
        <w:t xml:space="preserve">83, עוד מעט </w:t>
      </w:r>
      <w:bookmarkStart w:id="47110" w:name="_ETM_Q86_734520"/>
      <w:bookmarkEnd w:id="47110"/>
      <w:r>
        <w:rPr>
          <w:rFonts w:hint="cs"/>
          <w:rtl/>
        </w:rPr>
        <w:t xml:space="preserve">84, </w:t>
      </w:r>
      <w:bookmarkStart w:id="47111" w:name="_ETM_Q86_736700"/>
      <w:bookmarkEnd w:id="47111"/>
      <w:r>
        <w:rPr>
          <w:rFonts w:hint="cs"/>
          <w:rtl/>
        </w:rPr>
        <w:t xml:space="preserve">צריך </w:t>
      </w:r>
      <w:bookmarkStart w:id="47112" w:name="_ETM_Q86_736910"/>
      <w:bookmarkEnd w:id="47112"/>
      <w:r>
        <w:rPr>
          <w:rFonts w:hint="cs"/>
          <w:rtl/>
        </w:rPr>
        <w:t xml:space="preserve">לשבת </w:t>
      </w:r>
      <w:bookmarkStart w:id="47113" w:name="_ETM_Q86_737300"/>
      <w:bookmarkEnd w:id="47113"/>
      <w:r>
        <w:rPr>
          <w:rFonts w:hint="cs"/>
          <w:rtl/>
        </w:rPr>
        <w:t xml:space="preserve">בבית </w:t>
      </w:r>
      <w:bookmarkStart w:id="47114" w:name="_ETM_Q86_738110"/>
      <w:bookmarkEnd w:id="47114"/>
      <w:r>
        <w:rPr>
          <w:rFonts w:hint="cs"/>
          <w:rtl/>
        </w:rPr>
        <w:t xml:space="preserve">ולבכות </w:t>
      </w:r>
      <w:bookmarkStart w:id="47115" w:name="_ETM_Q86_738770"/>
      <w:bookmarkEnd w:id="47115"/>
      <w:r>
        <w:rPr>
          <w:rFonts w:hint="cs"/>
          <w:rtl/>
        </w:rPr>
        <w:t xml:space="preserve">על </w:t>
      </w:r>
      <w:bookmarkStart w:id="47116" w:name="_ETM_Q86_738860"/>
      <w:bookmarkEnd w:id="47116"/>
      <w:r>
        <w:rPr>
          <w:rFonts w:hint="cs"/>
          <w:rtl/>
        </w:rPr>
        <w:t xml:space="preserve">מדינת </w:t>
      </w:r>
      <w:bookmarkStart w:id="47117" w:name="_ETM_Q86_739250"/>
      <w:bookmarkEnd w:id="47117"/>
      <w:r>
        <w:rPr>
          <w:rFonts w:hint="cs"/>
          <w:rtl/>
        </w:rPr>
        <w:t xml:space="preserve">ישראל. </w:t>
      </w:r>
      <w:bookmarkStart w:id="47118" w:name="_ETM_Q86_740250"/>
      <w:bookmarkEnd w:id="47118"/>
      <w:r>
        <w:rPr>
          <w:rFonts w:hint="cs"/>
          <w:rtl/>
        </w:rPr>
        <w:t xml:space="preserve">לא </w:t>
      </w:r>
      <w:bookmarkStart w:id="47119" w:name="_ETM_Q86_740429"/>
      <w:bookmarkEnd w:id="47119"/>
      <w:r>
        <w:rPr>
          <w:rFonts w:hint="cs"/>
          <w:rtl/>
        </w:rPr>
        <w:t xml:space="preserve">האמנתי </w:t>
      </w:r>
      <w:bookmarkStart w:id="47120" w:name="_ETM_Q86_741620"/>
      <w:bookmarkEnd w:id="47120"/>
      <w:r>
        <w:rPr>
          <w:rFonts w:hint="cs"/>
          <w:rtl/>
        </w:rPr>
        <w:t xml:space="preserve">שנגיע </w:t>
      </w:r>
      <w:bookmarkStart w:id="47121" w:name="_ETM_Q86_742400"/>
      <w:bookmarkEnd w:id="47121"/>
      <w:r>
        <w:rPr>
          <w:rFonts w:hint="cs"/>
          <w:rtl/>
        </w:rPr>
        <w:t xml:space="preserve">לרגע </w:t>
      </w:r>
      <w:bookmarkStart w:id="47122" w:name="_ETM_Q86_742910"/>
      <w:bookmarkEnd w:id="47122"/>
      <w:r>
        <w:rPr>
          <w:rFonts w:hint="cs"/>
          <w:rtl/>
        </w:rPr>
        <w:t xml:space="preserve">כזה. </w:t>
      </w:r>
      <w:bookmarkStart w:id="47123" w:name="_ETM_Q86_744070"/>
      <w:bookmarkEnd w:id="47123"/>
      <w:r>
        <w:rPr>
          <w:rFonts w:hint="cs"/>
          <w:rtl/>
        </w:rPr>
        <w:t xml:space="preserve">אני </w:t>
      </w:r>
      <w:bookmarkStart w:id="47124" w:name="_ETM_Q86_744370"/>
      <w:bookmarkEnd w:id="47124"/>
      <w:r>
        <w:rPr>
          <w:rFonts w:hint="cs"/>
          <w:rtl/>
        </w:rPr>
        <w:t xml:space="preserve">בטוח </w:t>
      </w:r>
      <w:bookmarkStart w:id="47125" w:name="_ETM_Q86_745800"/>
      <w:bookmarkEnd w:id="47125"/>
      <w:r>
        <w:rPr>
          <w:rFonts w:hint="cs"/>
          <w:rtl/>
        </w:rPr>
        <w:t xml:space="preserve">שכמו </w:t>
      </w:r>
      <w:bookmarkStart w:id="47126" w:name="_ETM_Q86_746160"/>
      <w:bookmarkEnd w:id="47126"/>
      <w:r>
        <w:rPr>
          <w:rFonts w:hint="cs"/>
          <w:rtl/>
        </w:rPr>
        <w:t xml:space="preserve">אבא </w:t>
      </w:r>
      <w:bookmarkStart w:id="47127" w:name="_ETM_Q86_746370"/>
      <w:bookmarkEnd w:id="47127"/>
      <w:r>
        <w:rPr>
          <w:rFonts w:hint="cs"/>
          <w:rtl/>
        </w:rPr>
        <w:t xml:space="preserve">שלי, </w:t>
      </w:r>
      <w:bookmarkStart w:id="47128" w:name="_ETM_Q86_747800"/>
      <w:bookmarkEnd w:id="47128"/>
      <w:r>
        <w:rPr>
          <w:rFonts w:hint="cs"/>
          <w:rtl/>
        </w:rPr>
        <w:t xml:space="preserve">גם </w:t>
      </w:r>
      <w:bookmarkStart w:id="47129" w:name="_ETM_Q86_748069"/>
      <w:bookmarkEnd w:id="47129"/>
      <w:r>
        <w:rPr>
          <w:rFonts w:hint="cs"/>
          <w:rtl/>
        </w:rPr>
        <w:t xml:space="preserve">חברי </w:t>
      </w:r>
      <w:bookmarkStart w:id="47130" w:name="_ETM_Q86_748429"/>
      <w:bookmarkEnd w:id="47130"/>
      <w:r>
        <w:rPr>
          <w:rFonts w:hint="cs"/>
          <w:rtl/>
        </w:rPr>
        <w:t xml:space="preserve">הקואליציה </w:t>
      </w:r>
      <w:bookmarkStart w:id="47131" w:name="_ETM_Q86_749240"/>
      <w:bookmarkEnd w:id="47131"/>
      <w:r>
        <w:rPr>
          <w:rFonts w:hint="cs"/>
          <w:rtl/>
        </w:rPr>
        <w:t xml:space="preserve">שומעים </w:t>
      </w:r>
      <w:bookmarkStart w:id="47132" w:name="_ETM_Q86_750259"/>
      <w:bookmarkEnd w:id="47132"/>
      <w:r>
        <w:rPr>
          <w:rFonts w:hint="cs"/>
          <w:rtl/>
        </w:rPr>
        <w:t xml:space="preserve">ללא </w:t>
      </w:r>
      <w:bookmarkStart w:id="47133" w:name="_ETM_Q86_750500"/>
      <w:bookmarkEnd w:id="47133"/>
      <w:r>
        <w:rPr>
          <w:rFonts w:hint="cs"/>
          <w:rtl/>
        </w:rPr>
        <w:t xml:space="preserve">הפסקה </w:t>
      </w:r>
      <w:bookmarkStart w:id="47134" w:name="_ETM_Q86_751039"/>
      <w:bookmarkEnd w:id="47134"/>
      <w:r>
        <w:rPr>
          <w:rFonts w:hint="cs"/>
          <w:rtl/>
        </w:rPr>
        <w:t xml:space="preserve">אנשים, </w:t>
      </w:r>
      <w:bookmarkStart w:id="47135" w:name="_ETM_Q86_751849"/>
      <w:bookmarkStart w:id="47136" w:name="_ETM_Q86_752840"/>
      <w:bookmarkEnd w:id="47135"/>
      <w:bookmarkEnd w:id="47136"/>
      <w:r>
        <w:rPr>
          <w:rFonts w:hint="cs"/>
          <w:rtl/>
        </w:rPr>
        <w:t xml:space="preserve">גם </w:t>
      </w:r>
      <w:bookmarkStart w:id="47137" w:name="_ETM_Q86_753080"/>
      <w:bookmarkEnd w:id="47137"/>
      <w:r>
        <w:rPr>
          <w:rFonts w:hint="cs"/>
          <w:rtl/>
        </w:rPr>
        <w:t xml:space="preserve">מהאזור </w:t>
      </w:r>
      <w:bookmarkStart w:id="47138" w:name="_ETM_Q86_753380"/>
      <w:bookmarkEnd w:id="47138"/>
      <w:r>
        <w:rPr>
          <w:rFonts w:hint="cs"/>
          <w:rtl/>
        </w:rPr>
        <w:t xml:space="preserve">שלכם, </w:t>
      </w:r>
      <w:bookmarkStart w:id="47139" w:name="_ETM_Q86_754470"/>
      <w:bookmarkEnd w:id="47139"/>
      <w:r>
        <w:rPr>
          <w:rFonts w:hint="cs"/>
          <w:rtl/>
        </w:rPr>
        <w:t xml:space="preserve">שמתחננים </w:t>
      </w:r>
      <w:bookmarkStart w:id="47140" w:name="_ETM_Q86_756540"/>
      <w:bookmarkEnd w:id="47140"/>
      <w:r>
        <w:rPr>
          <w:rFonts w:hint="cs"/>
          <w:rtl/>
        </w:rPr>
        <w:t xml:space="preserve">לעשות </w:t>
      </w:r>
      <w:bookmarkStart w:id="47141" w:name="_ETM_Q86_756929"/>
      <w:bookmarkEnd w:id="47141"/>
      <w:r>
        <w:rPr>
          <w:rFonts w:hint="cs"/>
          <w:rtl/>
        </w:rPr>
        <w:t xml:space="preserve">שלום </w:t>
      </w:r>
      <w:bookmarkStart w:id="47142" w:name="_ETM_Q86_757290"/>
      <w:bookmarkEnd w:id="47142"/>
      <w:r>
        <w:rPr>
          <w:rFonts w:hint="cs"/>
          <w:rtl/>
        </w:rPr>
        <w:t xml:space="preserve">בעם, </w:t>
      </w:r>
      <w:bookmarkStart w:id="47143" w:name="_ETM_Q86_758199"/>
      <w:bookmarkEnd w:id="47143"/>
      <w:r>
        <w:rPr>
          <w:rFonts w:hint="cs"/>
          <w:rtl/>
        </w:rPr>
        <w:t xml:space="preserve">להפסיק </w:t>
      </w:r>
      <w:bookmarkStart w:id="47144" w:name="_ETM_Q86_758710"/>
      <w:bookmarkEnd w:id="47144"/>
      <w:r>
        <w:rPr>
          <w:rFonts w:hint="cs"/>
          <w:rtl/>
        </w:rPr>
        <w:t xml:space="preserve">את </w:t>
      </w:r>
      <w:bookmarkStart w:id="47145" w:name="_ETM_Q86_758860"/>
      <w:bookmarkEnd w:id="47145"/>
      <w:r>
        <w:rPr>
          <w:rFonts w:hint="cs"/>
          <w:rtl/>
        </w:rPr>
        <w:t xml:space="preserve">הפילוג, </w:t>
      </w:r>
      <w:bookmarkStart w:id="47146" w:name="_ETM_Q86_759920"/>
      <w:bookmarkEnd w:id="47146"/>
      <w:r>
        <w:rPr>
          <w:rFonts w:hint="cs"/>
          <w:rtl/>
        </w:rPr>
        <w:t xml:space="preserve">לעצור </w:t>
      </w:r>
      <w:bookmarkStart w:id="47147" w:name="_ETM_Q86_760850"/>
      <w:bookmarkEnd w:id="47147"/>
      <w:r>
        <w:rPr>
          <w:rFonts w:hint="cs"/>
          <w:rtl/>
        </w:rPr>
        <w:t xml:space="preserve">את </w:t>
      </w:r>
      <w:bookmarkStart w:id="47148" w:name="_ETM_Q86_761059"/>
      <w:bookmarkEnd w:id="47148"/>
      <w:r>
        <w:rPr>
          <w:rFonts w:hint="cs"/>
          <w:rtl/>
        </w:rPr>
        <w:t xml:space="preserve">החקיקה </w:t>
      </w:r>
      <w:bookmarkStart w:id="47149" w:name="_ETM_Q86_761840"/>
      <w:bookmarkEnd w:id="47149"/>
      <w:r>
        <w:rPr>
          <w:rFonts w:hint="cs"/>
          <w:rtl/>
        </w:rPr>
        <w:t xml:space="preserve">המטורפת </w:t>
      </w:r>
      <w:bookmarkStart w:id="47150" w:name="_ETM_Q86_762440"/>
      <w:bookmarkEnd w:id="47150"/>
      <w:r>
        <w:rPr>
          <w:rFonts w:hint="cs"/>
          <w:rtl/>
        </w:rPr>
        <w:t xml:space="preserve">הזאת, </w:t>
      </w:r>
      <w:bookmarkStart w:id="47151" w:name="_ETM_Q86_762740"/>
      <w:bookmarkEnd w:id="47151"/>
      <w:r>
        <w:rPr>
          <w:rFonts w:hint="cs"/>
          <w:rtl/>
        </w:rPr>
        <w:t xml:space="preserve">שלא </w:t>
      </w:r>
      <w:bookmarkStart w:id="47152" w:name="_ETM_Q86_762980"/>
      <w:bookmarkEnd w:id="47152"/>
      <w:r>
        <w:rPr>
          <w:rFonts w:hint="cs"/>
          <w:rtl/>
        </w:rPr>
        <w:t xml:space="preserve">מביאה </w:t>
      </w:r>
      <w:bookmarkStart w:id="47153" w:name="_ETM_Q86_763400"/>
      <w:bookmarkEnd w:id="47153"/>
      <w:r>
        <w:rPr>
          <w:rFonts w:hint="cs"/>
          <w:rtl/>
        </w:rPr>
        <w:t xml:space="preserve">שום </w:t>
      </w:r>
      <w:bookmarkStart w:id="47154" w:name="_ETM_Q86_763700"/>
      <w:bookmarkEnd w:id="47154"/>
      <w:r>
        <w:rPr>
          <w:rFonts w:hint="cs"/>
          <w:rtl/>
        </w:rPr>
        <w:t xml:space="preserve">דבר </w:t>
      </w:r>
      <w:bookmarkStart w:id="47155" w:name="_ETM_Q86_763970"/>
      <w:bookmarkEnd w:id="47155"/>
      <w:r>
        <w:rPr>
          <w:rFonts w:hint="cs"/>
          <w:rtl/>
        </w:rPr>
        <w:t xml:space="preserve">טוב </w:t>
      </w:r>
      <w:bookmarkStart w:id="47156" w:name="_ETM_Q86_764179"/>
      <w:bookmarkEnd w:id="47156"/>
      <w:r>
        <w:rPr>
          <w:rFonts w:hint="cs"/>
          <w:rtl/>
        </w:rPr>
        <w:t xml:space="preserve">למדינת </w:t>
      </w:r>
      <w:bookmarkStart w:id="47157" w:name="_ETM_Q86_764660"/>
      <w:bookmarkEnd w:id="47157"/>
      <w:r>
        <w:rPr>
          <w:rFonts w:hint="cs"/>
          <w:rtl/>
        </w:rPr>
        <w:t xml:space="preserve">ישראל. </w:t>
      </w:r>
      <w:bookmarkStart w:id="47158" w:name="_ETM_Q86_766349"/>
      <w:bookmarkEnd w:id="47158"/>
    </w:p>
    <w:p w:rsidR="00BB59CD" w:rsidRDefault="00BB59CD" w:rsidP="00BB59CD">
      <w:pPr>
        <w:rPr>
          <w:rtl/>
        </w:rPr>
      </w:pPr>
    </w:p>
    <w:p w:rsidR="00BB59CD" w:rsidRDefault="00BB59CD" w:rsidP="00BB59CD">
      <w:pPr>
        <w:rPr>
          <w:rtl/>
        </w:rPr>
      </w:pPr>
      <w:bookmarkStart w:id="47159" w:name="TOR_Q87"/>
      <w:bookmarkEnd w:id="47159"/>
      <w:r>
        <w:rPr>
          <w:rFonts w:hint="cs"/>
          <w:rtl/>
        </w:rPr>
        <w:t xml:space="preserve">אני מאוד מקווה – יש לנו לילה שלם – שגם אותם ראשי מפלגות בקואליציה </w:t>
      </w:r>
      <w:bookmarkStart w:id="47160" w:name="_ETM_Q87_176000"/>
      <w:bookmarkEnd w:id="47160"/>
      <w:r>
        <w:rPr>
          <w:rFonts w:hint="cs"/>
          <w:rtl/>
        </w:rPr>
        <w:t>יבינו שצריכים לשים את הרגל על הברקס ולעצור את האוטו</w:t>
      </w:r>
      <w:bookmarkStart w:id="47161" w:name="_ETM_Q87_183000"/>
      <w:bookmarkEnd w:id="47161"/>
      <w:r>
        <w:rPr>
          <w:rFonts w:hint="cs"/>
          <w:rtl/>
        </w:rPr>
        <w:t xml:space="preserve"> שמידרדר בכל שנייה אל התהום. כולי תפילה שלא נגיע לרגע </w:t>
      </w:r>
      <w:bookmarkStart w:id="47162" w:name="_ETM_Q87_191000"/>
      <w:bookmarkEnd w:id="47162"/>
      <w:r>
        <w:rPr>
          <w:rFonts w:hint="cs"/>
          <w:rtl/>
        </w:rPr>
        <w:t>הזה. כל זה למען מדינת ישראל, לילדים שלך, לילדים שלי,</w:t>
      </w:r>
      <w:bookmarkStart w:id="47163" w:name="_ETM_Q87_195000"/>
      <w:bookmarkEnd w:id="47163"/>
      <w:r>
        <w:rPr>
          <w:rFonts w:hint="cs"/>
          <w:rtl/>
        </w:rPr>
        <w:t xml:space="preserve"> לנכדים שלכם ולעתיד המדינה. תודה רבה. </w:t>
      </w:r>
    </w:p>
    <w:p w:rsidR="00BB59CD" w:rsidRDefault="00BB59CD" w:rsidP="00BB59CD">
      <w:pPr>
        <w:rPr>
          <w:rtl/>
        </w:rPr>
      </w:pPr>
      <w:bookmarkStart w:id="47164" w:name="_ETM_Q87_199000"/>
      <w:bookmarkEnd w:id="47164"/>
    </w:p>
    <w:p w:rsidR="00BB59CD" w:rsidRDefault="00BB59CD" w:rsidP="00BB59CD">
      <w:pPr>
        <w:pStyle w:val="af9"/>
        <w:keepNext/>
        <w:rPr>
          <w:rtl/>
        </w:rPr>
      </w:pPr>
      <w:bookmarkStart w:id="47165" w:name="ET_yor_6129_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7165"/>
    </w:p>
    <w:p w:rsidR="00BB59CD" w:rsidRDefault="00BB59CD" w:rsidP="00337201">
      <w:pPr>
        <w:rPr>
          <w:rtl/>
        </w:rPr>
      </w:pPr>
    </w:p>
    <w:p w:rsidR="00BB59CD" w:rsidRDefault="00BB59CD" w:rsidP="00BB59CD">
      <w:pPr>
        <w:rPr>
          <w:rtl/>
        </w:rPr>
      </w:pPr>
      <w:r>
        <w:rPr>
          <w:rFonts w:hint="cs"/>
          <w:rtl/>
        </w:rPr>
        <w:t>תודה רבה לחבר הכנסת</w:t>
      </w:r>
      <w:bookmarkStart w:id="47166" w:name="_ETM_Q87_200000"/>
      <w:bookmarkEnd w:id="47166"/>
      <w:r>
        <w:rPr>
          <w:rFonts w:hint="cs"/>
          <w:rtl/>
        </w:rPr>
        <w:t xml:space="preserve"> סימון דוידסון. אלעזר שטרן, 30 דקות. </w:t>
      </w:r>
    </w:p>
    <w:p w:rsidR="00BB59CD" w:rsidRDefault="00BB59CD" w:rsidP="00BB59CD">
      <w:pPr>
        <w:rPr>
          <w:rtl/>
        </w:rPr>
      </w:pPr>
    </w:p>
    <w:p w:rsidR="00BB59CD" w:rsidRDefault="00BB59CD" w:rsidP="00BB59CD">
      <w:pPr>
        <w:pStyle w:val="a5"/>
        <w:keepNext/>
        <w:rPr>
          <w:rtl/>
        </w:rPr>
      </w:pPr>
      <w:bookmarkStart w:id="47167" w:name="ET_speaker_5109_3"/>
      <w:r>
        <w:rPr>
          <w:rStyle w:val="TagStyle"/>
          <w:rFonts w:hint="cs"/>
          <w:rtl/>
        </w:rPr>
        <w:t xml:space="preserve"> &lt;&lt; דובר &gt;&gt; </w:t>
      </w:r>
      <w:bookmarkStart w:id="47168" w:name="_Toc141197172"/>
      <w:bookmarkStart w:id="47169" w:name="_Toc141196908"/>
      <w:r>
        <w:rPr>
          <w:rFonts w:hint="cs"/>
          <w:rtl/>
        </w:rPr>
        <w:t>אלעזר שטרן (יש עתיד):</w:t>
      </w:r>
      <w:bookmarkEnd w:id="47168"/>
      <w:bookmarkEnd w:id="47169"/>
      <w:r>
        <w:rPr>
          <w:rStyle w:val="TagStyle"/>
          <w:rFonts w:hint="cs"/>
          <w:rtl/>
        </w:rPr>
        <w:t xml:space="preserve"> &lt;&lt; דובר &gt;&gt;</w:t>
      </w:r>
      <w:r>
        <w:rPr>
          <w:rFonts w:hint="cs"/>
          <w:rtl/>
        </w:rPr>
        <w:t xml:space="preserve">   </w:t>
      </w:r>
      <w:bookmarkEnd w:id="47167"/>
    </w:p>
    <w:p w:rsidR="00BB59CD" w:rsidRDefault="00BB59CD" w:rsidP="00337201">
      <w:pPr>
        <w:rPr>
          <w:rtl/>
        </w:rPr>
      </w:pPr>
    </w:p>
    <w:p w:rsidR="00BB59CD" w:rsidRDefault="00BB59CD" w:rsidP="00BB59CD">
      <w:pPr>
        <w:rPr>
          <w:rtl/>
        </w:rPr>
      </w:pPr>
      <w:bookmarkStart w:id="47170" w:name="_ETM_Q87_212000"/>
      <w:bookmarkEnd w:id="47170"/>
      <w:r>
        <w:rPr>
          <w:rFonts w:hint="cs"/>
          <w:rtl/>
        </w:rPr>
        <w:t xml:space="preserve">השר מרגי, בוא, </w:t>
      </w:r>
      <w:bookmarkStart w:id="47171" w:name="_ETM_Q87_214000"/>
      <w:bookmarkEnd w:id="47171"/>
      <w:r>
        <w:rPr>
          <w:rFonts w:hint="cs"/>
          <w:rtl/>
        </w:rPr>
        <w:t xml:space="preserve">בוא לשולחן הממשלה. גם אם אתה מתבייש, בוא. בוא. לא </w:t>
      </w:r>
      <w:bookmarkStart w:id="47172" w:name="_ETM_Q87_222000"/>
      <w:bookmarkEnd w:id="47172"/>
      <w:r>
        <w:rPr>
          <w:rFonts w:hint="cs"/>
          <w:rtl/>
        </w:rPr>
        <w:t>היה דיון. אתה יודע, כולם מעריכים אותך, שמעת גם</w:t>
      </w:r>
      <w:bookmarkStart w:id="47173" w:name="_ETM_Q87_223000"/>
      <w:bookmarkEnd w:id="47173"/>
      <w:r>
        <w:rPr>
          <w:rFonts w:hint="cs"/>
          <w:rtl/>
        </w:rPr>
        <w:t xml:space="preserve"> את ההערכה שלי כלפיך. בוא, לפני שאתם מחריבים את המדינה, לפחות בדיון אחד תהיה. הרי בממשלה לא היה דיון על</w:t>
      </w:r>
      <w:bookmarkStart w:id="47174" w:name="_ETM_Q87_233000"/>
      <w:bookmarkEnd w:id="47174"/>
      <w:r>
        <w:rPr>
          <w:rFonts w:hint="cs"/>
          <w:rtl/>
        </w:rPr>
        <w:t xml:space="preserve"> זה. אז בוא. </w:t>
      </w:r>
    </w:p>
    <w:p w:rsidR="00BB59CD" w:rsidRDefault="00BB59CD" w:rsidP="00BB59CD">
      <w:pPr>
        <w:rPr>
          <w:rtl/>
        </w:rPr>
      </w:pPr>
      <w:bookmarkStart w:id="47175" w:name="_ETM_Q87_235000"/>
      <w:bookmarkEnd w:id="47175"/>
    </w:p>
    <w:p w:rsidR="00BB59CD" w:rsidRDefault="00BB59CD" w:rsidP="00BB59CD">
      <w:pPr>
        <w:pStyle w:val="af8"/>
        <w:keepNext/>
        <w:rPr>
          <w:rtl/>
        </w:rPr>
      </w:pPr>
      <w:bookmarkStart w:id="47176" w:name="ET_interruption_6449_1"/>
      <w:r>
        <w:rPr>
          <w:rStyle w:val="TagStyle"/>
          <w:rFonts w:hint="cs"/>
          <w:rtl/>
        </w:rPr>
        <w:t xml:space="preserve">&lt;&lt; קריאה &gt;&gt; </w:t>
      </w:r>
      <w:r>
        <w:rPr>
          <w:rFonts w:hint="cs"/>
          <w:rtl/>
        </w:rPr>
        <w:t>שר הרווחה והביטחון החברתי יעקב מרגי:</w:t>
      </w:r>
      <w:r>
        <w:rPr>
          <w:rStyle w:val="TagStyle"/>
          <w:rtl/>
        </w:rPr>
        <w:t xml:space="preserve"> &lt;&lt; קריאה &gt;&gt;</w:t>
      </w:r>
      <w:r>
        <w:rPr>
          <w:rFonts w:hint="cs"/>
          <w:rtl/>
        </w:rPr>
        <w:t xml:space="preserve">   </w:t>
      </w:r>
      <w:bookmarkEnd w:id="47176"/>
    </w:p>
    <w:p w:rsidR="00BB59CD" w:rsidRDefault="00BB59CD" w:rsidP="00337201">
      <w:pPr>
        <w:rPr>
          <w:rtl/>
        </w:rPr>
      </w:pPr>
    </w:p>
    <w:p w:rsidR="00BB59CD" w:rsidRDefault="00BB59CD" w:rsidP="00BB59CD">
      <w:pPr>
        <w:rPr>
          <w:rtl/>
        </w:rPr>
      </w:pPr>
      <w:r>
        <w:rPr>
          <w:rFonts w:hint="cs"/>
          <w:rtl/>
        </w:rPr>
        <w:t>כולי אוזן.</w:t>
      </w:r>
    </w:p>
    <w:p w:rsidR="00BB59CD" w:rsidRDefault="00BB59CD" w:rsidP="00BB59CD">
      <w:pPr>
        <w:rPr>
          <w:rtl/>
        </w:rPr>
      </w:pPr>
    </w:p>
    <w:p w:rsidR="00BB59CD" w:rsidRDefault="00BB59CD" w:rsidP="00BB59CD">
      <w:pPr>
        <w:pStyle w:val="-"/>
        <w:keepNext/>
        <w:rPr>
          <w:rtl/>
        </w:rPr>
      </w:pPr>
      <w:bookmarkStart w:id="47177" w:name="ET_speakercontinue_5109_4"/>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bookmarkEnd w:id="47177"/>
    </w:p>
    <w:p w:rsidR="00BB59CD" w:rsidRDefault="00BB59CD" w:rsidP="00BB59CD">
      <w:pPr>
        <w:rPr>
          <w:rtl/>
        </w:rPr>
      </w:pPr>
    </w:p>
    <w:p w:rsidR="00BB59CD" w:rsidRDefault="00BB59CD" w:rsidP="0036069F">
      <w:pPr>
        <w:rPr>
          <w:rtl/>
        </w:rPr>
      </w:pPr>
      <w:bookmarkStart w:id="47178" w:name="_ETM_Q87_238000"/>
      <w:bookmarkEnd w:id="47178"/>
      <w:r>
        <w:rPr>
          <w:rFonts w:hint="cs"/>
          <w:rtl/>
        </w:rPr>
        <w:t>אני אגיד לך בתוך זה, אם אתה</w:t>
      </w:r>
      <w:bookmarkStart w:id="47179" w:name="_ETM_Q87_240000"/>
      <w:bookmarkEnd w:id="47179"/>
      <w:r>
        <w:rPr>
          <w:rFonts w:hint="cs"/>
          <w:rtl/>
        </w:rPr>
        <w:t xml:space="preserve"> רוצה. אני אצטט לך: בהתחשב בהקבלה הבולטת בין השסע הנוכחי </w:t>
      </w:r>
      <w:bookmarkStart w:id="47180" w:name="_ETM_Q87_247000"/>
      <w:bookmarkEnd w:id="47180"/>
      <w:r>
        <w:rPr>
          <w:rFonts w:hint="cs"/>
          <w:rtl/>
        </w:rPr>
        <w:t>לקרבות הפנימיים שגרמו לחורבן בית שני, למה הממשלה ממשיכה?</w:t>
      </w:r>
      <w:bookmarkStart w:id="47181" w:name="_ETM_Q87_257000"/>
      <w:bookmarkEnd w:id="47181"/>
      <w:r>
        <w:rPr>
          <w:rFonts w:hint="cs"/>
          <w:rtl/>
        </w:rPr>
        <w:t xml:space="preserve"> למה אתה ממשיך? חבר ממשלה. אני אגיד לך מי</w:t>
      </w:r>
      <w:bookmarkStart w:id="47182" w:name="_ETM_Q87_265000"/>
      <w:bookmarkEnd w:id="47182"/>
      <w:r>
        <w:rPr>
          <w:rFonts w:hint="cs"/>
          <w:rtl/>
        </w:rPr>
        <w:t xml:space="preserve"> אמר את זה. לא אני. אמר את זה אחד הידידים </w:t>
      </w:r>
      <w:bookmarkStart w:id="47183" w:name="_ETM_Q87_275000"/>
      <w:bookmarkEnd w:id="47183"/>
      <w:r>
        <w:rPr>
          <w:rFonts w:hint="cs"/>
          <w:rtl/>
        </w:rPr>
        <w:t>הכי גדולים של ישראל, שגריר ארצות הברית ד</w:t>
      </w:r>
      <w:r w:rsidR="0036069F">
        <w:rPr>
          <w:rFonts w:hint="cs"/>
          <w:rtl/>
        </w:rPr>
        <w:t>י</w:t>
      </w:r>
      <w:r>
        <w:rPr>
          <w:rFonts w:hint="cs"/>
          <w:rtl/>
        </w:rPr>
        <w:t>יוויד פרידמן. הוא</w:t>
      </w:r>
      <w:bookmarkStart w:id="47184" w:name="_ETM_Q87_283000"/>
      <w:bookmarkEnd w:id="47184"/>
      <w:r>
        <w:rPr>
          <w:rFonts w:hint="cs"/>
          <w:rtl/>
        </w:rPr>
        <w:t xml:space="preserve"> לא איש שמאל, הוא לא איש מרכז</w:t>
      </w:r>
      <w:r w:rsidR="0036069F">
        <w:rPr>
          <w:rFonts w:hint="cs"/>
          <w:rtl/>
        </w:rPr>
        <w:t>;</w:t>
      </w:r>
      <w:r>
        <w:rPr>
          <w:rFonts w:hint="cs"/>
          <w:rtl/>
        </w:rPr>
        <w:t xml:space="preserve"> הוא </w:t>
      </w:r>
      <w:bookmarkStart w:id="47185" w:name="_ETM_Q87_289000"/>
      <w:bookmarkEnd w:id="47185"/>
      <w:r>
        <w:rPr>
          <w:rFonts w:hint="cs"/>
          <w:rtl/>
        </w:rPr>
        <w:t>תורם לבית אל, הוא השגריר הראשון שהעביר את הקונסוליה לירושלים</w:t>
      </w:r>
      <w:r w:rsidR="0036069F">
        <w:rPr>
          <w:rFonts w:hint="cs"/>
          <w:rtl/>
        </w:rPr>
        <w:t>,</w:t>
      </w:r>
      <w:r>
        <w:rPr>
          <w:rFonts w:hint="cs"/>
          <w:rtl/>
        </w:rPr>
        <w:t xml:space="preserve"> </w:t>
      </w:r>
      <w:bookmarkStart w:id="47186" w:name="_ETM_Q87_296000"/>
      <w:bookmarkEnd w:id="47186"/>
      <w:r>
        <w:rPr>
          <w:rFonts w:hint="cs"/>
          <w:rtl/>
        </w:rPr>
        <w:t>הוא קורא את איכה. אתה רוצה – אני יכול לקרוא</w:t>
      </w:r>
      <w:r w:rsidR="0036069F">
        <w:rPr>
          <w:rFonts w:hint="cs"/>
          <w:rtl/>
        </w:rPr>
        <w:t>,</w:t>
      </w:r>
      <w:r>
        <w:rPr>
          <w:rFonts w:hint="cs"/>
          <w:rtl/>
        </w:rPr>
        <w:t xml:space="preserve"> לא </w:t>
      </w:r>
      <w:bookmarkStart w:id="47187" w:name="_ETM_Q87_305000"/>
      <w:bookmarkEnd w:id="47187"/>
      <w:r>
        <w:rPr>
          <w:rFonts w:hint="cs"/>
          <w:rtl/>
        </w:rPr>
        <w:t xml:space="preserve">הרבה, מכיוון שגם אתה יודע את זה </w:t>
      </w:r>
      <w:r w:rsidR="0036069F">
        <w:rPr>
          <w:rFonts w:hint="eastAsia"/>
          <w:rtl/>
        </w:rPr>
        <w:t>–</w:t>
      </w:r>
      <w:r w:rsidR="0036069F">
        <w:rPr>
          <w:rFonts w:hint="cs"/>
          <w:rtl/>
        </w:rPr>
        <w:t xml:space="preserve"> </w:t>
      </w:r>
      <w:r>
        <w:rPr>
          <w:rFonts w:hint="cs"/>
          <w:rtl/>
        </w:rPr>
        <w:t>אנחנו שנינו מכירים את זה כמעט בעל פה, כמו</w:t>
      </w:r>
      <w:bookmarkStart w:id="47188" w:name="_ETM_Q87_308000"/>
      <w:bookmarkEnd w:id="47188"/>
      <w:r>
        <w:rPr>
          <w:rFonts w:hint="cs"/>
          <w:rtl/>
        </w:rPr>
        <w:t xml:space="preserve"> רבים אחרים. כואבים את זה מאוד. </w:t>
      </w:r>
      <w:bookmarkStart w:id="47189" w:name="_ETM_Q87_317000"/>
      <w:bookmarkEnd w:id="47189"/>
      <w:r>
        <w:rPr>
          <w:rFonts w:hint="cs"/>
          <w:rtl/>
        </w:rPr>
        <w:t>ולכן, מתקשים</w:t>
      </w:r>
      <w:bookmarkStart w:id="47190" w:name="_ETM_Q87_320000"/>
      <w:bookmarkEnd w:id="47190"/>
      <w:r>
        <w:rPr>
          <w:rFonts w:hint="cs"/>
          <w:rtl/>
        </w:rPr>
        <w:t xml:space="preserve"> כל כך להבין למה אתה ממשיך. אני יכול להגיד</w:t>
      </w:r>
      <w:bookmarkStart w:id="47191" w:name="_ETM_Q87_323000"/>
      <w:bookmarkEnd w:id="47191"/>
      <w:r>
        <w:rPr>
          <w:rFonts w:hint="cs"/>
          <w:rtl/>
        </w:rPr>
        <w:t xml:space="preserve"> </w:t>
      </w:r>
      <w:r w:rsidR="0036069F">
        <w:rPr>
          <w:rFonts w:hint="cs"/>
          <w:rtl/>
        </w:rPr>
        <w:t>"</w:t>
      </w:r>
      <w:r>
        <w:rPr>
          <w:rFonts w:hint="cs"/>
          <w:rtl/>
        </w:rPr>
        <w:t>הממשלה</w:t>
      </w:r>
      <w:r w:rsidR="0036069F">
        <w:rPr>
          <w:rFonts w:hint="cs"/>
          <w:rtl/>
        </w:rPr>
        <w:t>"</w:t>
      </w:r>
      <w:r>
        <w:rPr>
          <w:rFonts w:hint="cs"/>
          <w:rtl/>
        </w:rPr>
        <w:t xml:space="preserve">. הכי קל. אתה יודע, ממשלה היא לא </w:t>
      </w:r>
      <w:bookmarkStart w:id="47192" w:name="_ETM_Q87_331000"/>
      <w:bookmarkEnd w:id="47192"/>
      <w:r>
        <w:rPr>
          <w:rFonts w:hint="cs"/>
          <w:rtl/>
        </w:rPr>
        <w:t>משהו של עב"מים. אני לא יודע כמה שרים ושרות יש</w:t>
      </w:r>
      <w:bookmarkStart w:id="47193" w:name="_ETM_Q87_334000"/>
      <w:bookmarkEnd w:id="47193"/>
      <w:r>
        <w:rPr>
          <w:rFonts w:hint="cs"/>
          <w:rtl/>
        </w:rPr>
        <w:t xml:space="preserve"> בממשלה הזאת. נכון שיש בה המון, אז האחריות אולי מתחלקת</w:t>
      </w:r>
      <w:bookmarkStart w:id="47194" w:name="_ETM_Q87_343000"/>
      <w:bookmarkEnd w:id="47194"/>
      <w:r>
        <w:rPr>
          <w:rFonts w:hint="cs"/>
          <w:rtl/>
        </w:rPr>
        <w:t xml:space="preserve"> יותר</w:t>
      </w:r>
      <w:r w:rsidR="0036069F">
        <w:rPr>
          <w:rFonts w:hint="cs"/>
          <w:rtl/>
        </w:rPr>
        <w:t>,</w:t>
      </w:r>
      <w:r>
        <w:rPr>
          <w:rFonts w:hint="cs"/>
          <w:rtl/>
        </w:rPr>
        <w:t xml:space="preserve"> אבל להבדיל ממך, יש שם שרים שהם בכלל</w:t>
      </w:r>
      <w:bookmarkStart w:id="47195" w:name="_ETM_Q87_347000"/>
      <w:bookmarkEnd w:id="47195"/>
      <w:r>
        <w:rPr>
          <w:rFonts w:hint="cs"/>
          <w:rtl/>
        </w:rPr>
        <w:t xml:space="preserve"> לא אחראי</w:t>
      </w:r>
      <w:r w:rsidR="0036069F">
        <w:rPr>
          <w:rFonts w:hint="cs"/>
          <w:rtl/>
        </w:rPr>
        <w:t>י</w:t>
      </w:r>
      <w:r>
        <w:rPr>
          <w:rFonts w:hint="cs"/>
          <w:rtl/>
        </w:rPr>
        <w:t>ם, שהם לא מבינים מה זה להיות שר, שלא</w:t>
      </w:r>
      <w:bookmarkStart w:id="47196" w:name="_ETM_Q87_350000"/>
      <w:bookmarkEnd w:id="47196"/>
      <w:r>
        <w:rPr>
          <w:rFonts w:hint="cs"/>
          <w:rtl/>
        </w:rPr>
        <w:t xml:space="preserve"> מבינים את גודל האחריות</w:t>
      </w:r>
      <w:r w:rsidR="0036069F">
        <w:rPr>
          <w:rFonts w:hint="cs"/>
          <w:rtl/>
        </w:rPr>
        <w:t>,</w:t>
      </w:r>
      <w:r>
        <w:rPr>
          <w:rFonts w:hint="cs"/>
          <w:rtl/>
        </w:rPr>
        <w:t xml:space="preserve"> אתה מבין</w:t>
      </w:r>
      <w:r w:rsidR="0036069F">
        <w:rPr>
          <w:rFonts w:hint="cs"/>
          <w:rtl/>
        </w:rPr>
        <w:t>,</w:t>
      </w:r>
      <w:r>
        <w:rPr>
          <w:rFonts w:hint="cs"/>
          <w:rtl/>
        </w:rPr>
        <w:t xml:space="preserve"> שהם בחיים</w:t>
      </w:r>
      <w:bookmarkStart w:id="47197" w:name="_ETM_Q87_353000"/>
      <w:bookmarkEnd w:id="47197"/>
      <w:r>
        <w:rPr>
          <w:rFonts w:hint="cs"/>
          <w:rtl/>
        </w:rPr>
        <w:t xml:space="preserve"> שלהם לא ניהלו שני אנשים. </w:t>
      </w:r>
      <w:bookmarkStart w:id="47198" w:name="_ETM_Q87_358000"/>
      <w:bookmarkEnd w:id="47198"/>
      <w:r>
        <w:rPr>
          <w:rFonts w:hint="cs"/>
          <w:rtl/>
        </w:rPr>
        <w:t>הם גם כנראה לא יודעים</w:t>
      </w:r>
      <w:bookmarkStart w:id="47199" w:name="_ETM_Q87_361000"/>
      <w:bookmarkEnd w:id="47199"/>
      <w:r>
        <w:rPr>
          <w:rFonts w:hint="cs"/>
          <w:rtl/>
        </w:rPr>
        <w:t xml:space="preserve"> מה זה להיות טייס בחיל האוויר, לכן הם מרשים</w:t>
      </w:r>
      <w:bookmarkStart w:id="47200" w:name="_ETM_Q87_367000"/>
      <w:bookmarkEnd w:id="47200"/>
      <w:r>
        <w:rPr>
          <w:rFonts w:hint="cs"/>
          <w:rtl/>
        </w:rPr>
        <w:t xml:space="preserve"> לעצמם להשתלח ככה. הם גם באמת לא יודעים מה זה</w:t>
      </w:r>
      <w:bookmarkStart w:id="47201" w:name="_ETM_Q87_371000"/>
      <w:bookmarkEnd w:id="47201"/>
      <w:r>
        <w:rPr>
          <w:rFonts w:hint="cs"/>
          <w:rtl/>
        </w:rPr>
        <w:t xml:space="preserve"> דמוקרטיה, שזה לא רוב ש</w:t>
      </w:r>
      <w:r w:rsidR="0036069F">
        <w:rPr>
          <w:rFonts w:hint="cs"/>
          <w:rtl/>
        </w:rPr>
        <w:t>ד</w:t>
      </w:r>
      <w:r>
        <w:rPr>
          <w:rFonts w:hint="cs"/>
          <w:rtl/>
        </w:rPr>
        <w:t xml:space="preserve">ורס מיעוט. </w:t>
      </w:r>
    </w:p>
    <w:p w:rsidR="00BB59CD" w:rsidRDefault="00BB59CD" w:rsidP="00BB59CD">
      <w:pPr>
        <w:rPr>
          <w:rtl/>
        </w:rPr>
      </w:pPr>
    </w:p>
    <w:p w:rsidR="00BB59CD" w:rsidRDefault="00BB59CD" w:rsidP="0036069F">
      <w:pPr>
        <w:rPr>
          <w:rtl/>
        </w:rPr>
      </w:pPr>
      <w:r>
        <w:rPr>
          <w:rFonts w:hint="cs"/>
          <w:rtl/>
        </w:rPr>
        <w:t>א</w:t>
      </w:r>
      <w:bookmarkStart w:id="47202" w:name="_ETM_Q87_381000"/>
      <w:bookmarkEnd w:id="47202"/>
      <w:r>
        <w:rPr>
          <w:rFonts w:hint="cs"/>
          <w:rtl/>
        </w:rPr>
        <w:t>בל אתה, ואתה לא</w:t>
      </w:r>
      <w:bookmarkStart w:id="47203" w:name="_ETM_Q87_382000"/>
      <w:bookmarkEnd w:id="47203"/>
      <w:r>
        <w:rPr>
          <w:rFonts w:hint="cs"/>
          <w:rtl/>
        </w:rPr>
        <w:t xml:space="preserve"> לבד, אתה עכשיו תורן כאן, בלילה הזה, בלילה שיכול</w:t>
      </w:r>
      <w:bookmarkStart w:id="47204" w:name="_ETM_Q87_387000"/>
      <w:bookmarkEnd w:id="47204"/>
      <w:r>
        <w:rPr>
          <w:rFonts w:hint="cs"/>
          <w:rtl/>
        </w:rPr>
        <w:t xml:space="preserve"> להיות לילה של כאב גדול אבל גם לילה של תקווה.</w:t>
      </w:r>
      <w:bookmarkStart w:id="47205" w:name="_ETM_Q87_391000"/>
      <w:bookmarkEnd w:id="47205"/>
      <w:r>
        <w:rPr>
          <w:rFonts w:hint="cs"/>
          <w:rtl/>
        </w:rPr>
        <w:t xml:space="preserve"> נגזר עליך לשבת כאן בתורנות הזאת. אני רוצה להגיד לך </w:t>
      </w:r>
      <w:bookmarkStart w:id="47206" w:name="_ETM_Q87_399000"/>
      <w:bookmarkEnd w:id="47206"/>
      <w:r>
        <w:rPr>
          <w:rFonts w:hint="cs"/>
          <w:rtl/>
        </w:rPr>
        <w:t>במי הם משתלחים. אפשר לדבר על הקטסטרופה הזאת שמתגלגלת עלינו,</w:t>
      </w:r>
      <w:bookmarkStart w:id="47207" w:name="_ETM_Q87_408000"/>
      <w:bookmarkEnd w:id="47207"/>
      <w:r>
        <w:rPr>
          <w:rFonts w:hint="cs"/>
          <w:rtl/>
        </w:rPr>
        <w:t xml:space="preserve"> ועל ההשוואות שלה בהרבה דברים. אתה יודע כמוני</w:t>
      </w:r>
      <w:bookmarkStart w:id="47208" w:name="_ETM_Q87_412000"/>
      <w:bookmarkEnd w:id="47208"/>
      <w:r w:rsidR="0036069F">
        <w:rPr>
          <w:rFonts w:hint="cs"/>
          <w:rtl/>
        </w:rPr>
        <w:t>,</w:t>
      </w:r>
      <w:r>
        <w:rPr>
          <w:rFonts w:hint="cs"/>
          <w:rtl/>
        </w:rPr>
        <w:t xml:space="preserve"> זאת ממשלה שמלבינה מושגים. מאחזים בלתי חוקיים</w:t>
      </w:r>
      <w:bookmarkStart w:id="47209" w:name="_ETM_Q87_421000"/>
      <w:bookmarkEnd w:id="47209"/>
      <w:r>
        <w:rPr>
          <w:rFonts w:hint="cs"/>
          <w:rtl/>
        </w:rPr>
        <w:t xml:space="preserve"> הופכים להתיישבות צעירה; ציונות דתית כתנועה של גשר הופכת לקיצונית,</w:t>
      </w:r>
      <w:bookmarkStart w:id="47210" w:name="_ETM_Q87_431000"/>
      <w:bookmarkEnd w:id="47210"/>
      <w:r>
        <w:rPr>
          <w:rFonts w:hint="cs"/>
          <w:rtl/>
        </w:rPr>
        <w:t xml:space="preserve"> גזענית, סחטנית</w:t>
      </w:r>
      <w:r w:rsidR="0036069F">
        <w:rPr>
          <w:rFonts w:hint="cs"/>
          <w:rtl/>
        </w:rPr>
        <w:t>,</w:t>
      </w:r>
      <w:r>
        <w:rPr>
          <w:rFonts w:hint="cs"/>
          <w:rtl/>
        </w:rPr>
        <w:t xml:space="preserve"> אכיפה אלטרנטיבית – כבר נדבר.</w:t>
      </w:r>
    </w:p>
    <w:p w:rsidR="00BB59CD" w:rsidRDefault="00BB59CD" w:rsidP="00BB59CD">
      <w:pPr>
        <w:rPr>
          <w:rtl/>
        </w:rPr>
      </w:pPr>
      <w:bookmarkStart w:id="47211" w:name="_ETM_Q87_450000"/>
      <w:bookmarkEnd w:id="47211"/>
    </w:p>
    <w:p w:rsidR="00BB59CD" w:rsidRDefault="00BB59CD" w:rsidP="0036069F">
      <w:pPr>
        <w:rPr>
          <w:rtl/>
        </w:rPr>
      </w:pPr>
      <w:bookmarkStart w:id="47212" w:name="_ETM_Q87_451000"/>
      <w:bookmarkEnd w:id="47212"/>
      <w:r>
        <w:rPr>
          <w:rFonts w:hint="cs"/>
          <w:rtl/>
        </w:rPr>
        <w:t xml:space="preserve">מהפכת קצינים? מהפכת קצינים, </w:t>
      </w:r>
      <w:bookmarkStart w:id="47213" w:name="_ETM_Q87_444000"/>
      <w:bookmarkEnd w:id="47213"/>
      <w:r>
        <w:rPr>
          <w:rFonts w:hint="cs"/>
          <w:rtl/>
        </w:rPr>
        <w:t>השר מרגי? בכל מקום בעולם כשמדברים על מהפכת קצינים זה של לובשי מדים, לא של אנשי מילואים.</w:t>
      </w:r>
      <w:bookmarkStart w:id="47214" w:name="_ETM_Q87_452000"/>
      <w:bookmarkEnd w:id="47214"/>
      <w:r>
        <w:rPr>
          <w:rFonts w:hint="cs"/>
          <w:rtl/>
        </w:rPr>
        <w:t xml:space="preserve"> אין דברים כאלה בעולם, שכל יום הם בכוננות </w:t>
      </w:r>
      <w:bookmarkStart w:id="47215" w:name="_ETM_Q87_463000"/>
      <w:bookmarkEnd w:id="47215"/>
      <w:r>
        <w:rPr>
          <w:rFonts w:hint="cs"/>
          <w:rtl/>
        </w:rPr>
        <w:t xml:space="preserve">והם חותמים על טופס התנדבות. וגם את זה רוצים לעשות </w:t>
      </w:r>
      <w:bookmarkStart w:id="47216" w:name="_ETM_Q87_468000"/>
      <w:bookmarkEnd w:id="47216"/>
      <w:r>
        <w:rPr>
          <w:rFonts w:hint="cs"/>
          <w:rtl/>
        </w:rPr>
        <w:t xml:space="preserve">כסוג של גזענות. </w:t>
      </w:r>
    </w:p>
    <w:p w:rsidR="00BB59CD" w:rsidRDefault="00BB59CD" w:rsidP="00BB59CD">
      <w:pPr>
        <w:rPr>
          <w:rtl/>
        </w:rPr>
      </w:pPr>
    </w:p>
    <w:p w:rsidR="00BB59CD" w:rsidRDefault="00BB59CD" w:rsidP="0036069F">
      <w:pPr>
        <w:rPr>
          <w:rtl/>
        </w:rPr>
      </w:pPr>
      <w:r>
        <w:rPr>
          <w:rFonts w:hint="cs"/>
          <w:rtl/>
        </w:rPr>
        <w:t>א</w:t>
      </w:r>
      <w:bookmarkStart w:id="47217" w:name="_ETM_Q87_469000"/>
      <w:bookmarkEnd w:id="47217"/>
      <w:r>
        <w:rPr>
          <w:rFonts w:hint="cs"/>
          <w:rtl/>
        </w:rPr>
        <w:t>ני גר בגליל, מרגי, לידי טבריה. ג'ינו</w:t>
      </w:r>
      <w:bookmarkStart w:id="47218" w:name="_ETM_Q87_476000"/>
      <w:bookmarkEnd w:id="47218"/>
      <w:r>
        <w:rPr>
          <w:rFonts w:hint="cs"/>
          <w:rtl/>
        </w:rPr>
        <w:t xml:space="preserve"> ואמסלם אלה שמות של טייסים. אני אגיד לך יותר</w:t>
      </w:r>
      <w:bookmarkStart w:id="47219" w:name="_ETM_Q87_482000"/>
      <w:bookmarkEnd w:id="47219"/>
      <w:r>
        <w:rPr>
          <w:rFonts w:hint="cs"/>
          <w:rtl/>
        </w:rPr>
        <w:t xml:space="preserve"> מזה: מי זה הטרוריסט היהודי הכי גדול אולי שצמח ביהודה</w:t>
      </w:r>
      <w:bookmarkStart w:id="47220" w:name="_ETM_Q87_488000"/>
      <w:bookmarkEnd w:id="47220"/>
      <w:r>
        <w:rPr>
          <w:rFonts w:hint="cs"/>
          <w:rtl/>
        </w:rPr>
        <w:t xml:space="preserve"> ושומרון? ברוך גולדשטיין? גם הבן שלו טייס. אם </w:t>
      </w:r>
      <w:bookmarkStart w:id="47221" w:name="_ETM_Q87_495000"/>
      <w:bookmarkEnd w:id="47221"/>
      <w:r>
        <w:rPr>
          <w:rFonts w:hint="cs"/>
          <w:rtl/>
        </w:rPr>
        <w:t xml:space="preserve">הייתה אפליה, אם חיל האוויר היה בוחר לפי פריבילגים, איפה </w:t>
      </w:r>
      <w:bookmarkStart w:id="47222" w:name="_ETM_Q87_506000"/>
      <w:bookmarkEnd w:id="47222"/>
      <w:r>
        <w:rPr>
          <w:rFonts w:hint="cs"/>
          <w:rtl/>
        </w:rPr>
        <w:t xml:space="preserve">היינו? אבל הממשלה שלך מרשה לעצמה להשתלח בהם. </w:t>
      </w:r>
      <w:bookmarkStart w:id="47223" w:name="_ETM_Q87_310000"/>
      <w:bookmarkEnd w:id="47223"/>
      <w:r>
        <w:rPr>
          <w:rFonts w:hint="cs"/>
          <w:rtl/>
        </w:rPr>
        <w:t>אני</w:t>
      </w:r>
      <w:bookmarkStart w:id="47224" w:name="_ETM_Q87_511000"/>
      <w:bookmarkEnd w:id="47224"/>
      <w:r>
        <w:rPr>
          <w:rFonts w:hint="cs"/>
          <w:rtl/>
        </w:rPr>
        <w:t xml:space="preserve"> אגיד לך למה הם יוצאים לרחובות: בדיוק מאותה סיבה</w:t>
      </w:r>
      <w:bookmarkStart w:id="47225" w:name="_ETM_Q87_520000"/>
      <w:bookmarkEnd w:id="47225"/>
      <w:r>
        <w:rPr>
          <w:rFonts w:hint="cs"/>
          <w:rtl/>
        </w:rPr>
        <w:t xml:space="preserve"> שאולי לפני שעה או בעוד שעתיים הם יגידו לילדים</w:t>
      </w:r>
      <w:bookmarkStart w:id="47226" w:name="_ETM_Q87_528000"/>
      <w:bookmarkEnd w:id="47226"/>
      <w:r>
        <w:rPr>
          <w:rFonts w:hint="cs"/>
          <w:rtl/>
        </w:rPr>
        <w:t xml:space="preserve"> שלהם: להתראות, ילכו לטייסת, יעלו על מטוס</w:t>
      </w:r>
      <w:bookmarkStart w:id="47227" w:name="_ETM_Q87_537000"/>
      <w:bookmarkEnd w:id="47227"/>
      <w:r>
        <w:rPr>
          <w:rFonts w:hint="cs"/>
          <w:rtl/>
        </w:rPr>
        <w:t xml:space="preserve"> עם מכלים וכמה טונות של פצצות, ויטוסו בגובה – לא משנה איזה – </w:t>
      </w:r>
      <w:bookmarkStart w:id="47228" w:name="_ETM_Q87_543000"/>
      <w:bookmarkEnd w:id="47228"/>
      <w:r>
        <w:rPr>
          <w:rFonts w:hint="cs"/>
          <w:rtl/>
        </w:rPr>
        <w:t xml:space="preserve">נמוך מאוד, כדי להתחמק. </w:t>
      </w:r>
    </w:p>
    <w:p w:rsidR="00BB59CD" w:rsidRDefault="00BB59CD" w:rsidP="00BB59CD">
      <w:pPr>
        <w:rPr>
          <w:rtl/>
        </w:rPr>
      </w:pPr>
    </w:p>
    <w:p w:rsidR="00BB59CD" w:rsidRDefault="00BB59CD" w:rsidP="0036069F">
      <w:pPr>
        <w:rPr>
          <w:rtl/>
        </w:rPr>
      </w:pPr>
      <w:r>
        <w:rPr>
          <w:rFonts w:hint="cs"/>
          <w:rtl/>
        </w:rPr>
        <w:t>והממשלה שלך קוראת להם פריבילגים, מוגלה, לכו</w:t>
      </w:r>
      <w:bookmarkStart w:id="47229" w:name="_ETM_Q87_554000"/>
      <w:bookmarkEnd w:id="47229"/>
      <w:r>
        <w:rPr>
          <w:rFonts w:hint="cs"/>
          <w:rtl/>
        </w:rPr>
        <w:t xml:space="preserve"> לעזאזל. מה יהיה? אחרי שנגיע לפשרה, מה יהיה? מי יתקן </w:t>
      </w:r>
      <w:bookmarkStart w:id="47230" w:name="_ETM_Q87_558000"/>
      <w:bookmarkEnd w:id="47230"/>
      <w:r>
        <w:rPr>
          <w:rFonts w:hint="cs"/>
          <w:rtl/>
        </w:rPr>
        <w:t>את הכול? מה אתם חושבים, שמחר יתקנו את זה? כבר</w:t>
      </w:r>
      <w:bookmarkStart w:id="47231" w:name="_ETM_Q87_565000"/>
      <w:bookmarkEnd w:id="47231"/>
      <w:r>
        <w:rPr>
          <w:rFonts w:hint="cs"/>
          <w:rtl/>
        </w:rPr>
        <w:t xml:space="preserve"> עשו פה כמה פעמים היום – הלכו על השמות. אתה מבין</w:t>
      </w:r>
      <w:bookmarkStart w:id="47232" w:name="_ETM_Q87_568000"/>
      <w:bookmarkEnd w:id="47232"/>
      <w:r>
        <w:rPr>
          <w:rFonts w:hint="cs"/>
          <w:rtl/>
        </w:rPr>
        <w:t xml:space="preserve"> מה זה שירות בצבא </w:t>
      </w:r>
      <w:r w:rsidR="0036069F">
        <w:rPr>
          <w:rFonts w:hint="eastAsia"/>
          <w:rtl/>
        </w:rPr>
        <w:t>–</w:t>
      </w:r>
      <w:r w:rsidR="0036069F">
        <w:rPr>
          <w:rFonts w:hint="cs"/>
          <w:rtl/>
        </w:rPr>
        <w:t xml:space="preserve"> </w:t>
      </w:r>
      <w:bookmarkStart w:id="47233" w:name="_ETM_Q0_52002610"/>
      <w:bookmarkEnd w:id="47233"/>
      <w:r>
        <w:rPr>
          <w:rFonts w:hint="cs"/>
          <w:rtl/>
        </w:rPr>
        <w:t>אתה, הילדים שלך</w:t>
      </w:r>
      <w:r w:rsidR="0036069F">
        <w:rPr>
          <w:rFonts w:hint="cs"/>
          <w:rtl/>
        </w:rPr>
        <w:t>;</w:t>
      </w:r>
      <w:r>
        <w:rPr>
          <w:rFonts w:hint="cs"/>
          <w:rtl/>
        </w:rPr>
        <w:t xml:space="preserve"> יש כאלה שלא</w:t>
      </w:r>
      <w:bookmarkStart w:id="47234" w:name="_ETM_Q87_574000"/>
      <w:bookmarkEnd w:id="47234"/>
      <w:r>
        <w:rPr>
          <w:rFonts w:hint="cs"/>
          <w:rtl/>
        </w:rPr>
        <w:t xml:space="preserve"> מבינים על מה מדובר. לא מבינים. אני לא אומר: </w:t>
      </w:r>
      <w:bookmarkStart w:id="47235" w:name="_ETM_Q87_580000"/>
      <w:bookmarkEnd w:id="47235"/>
      <w:r>
        <w:rPr>
          <w:rFonts w:hint="cs"/>
          <w:rtl/>
        </w:rPr>
        <w:t>כדור שרק להם מעל הראש. זה לא משנה. אני ל</w:t>
      </w:r>
      <w:bookmarkStart w:id="47236" w:name="_ETM_Q87_582000"/>
      <w:bookmarkEnd w:id="47236"/>
      <w:r>
        <w:rPr>
          <w:rFonts w:hint="cs"/>
          <w:rtl/>
        </w:rPr>
        <w:t xml:space="preserve">א חושב שזה המבחן, אם אתה יכול לדבר על זה </w:t>
      </w:r>
      <w:bookmarkStart w:id="47237" w:name="_ETM_Q87_586000"/>
      <w:bookmarkEnd w:id="47237"/>
      <w:r>
        <w:rPr>
          <w:rFonts w:hint="cs"/>
          <w:rtl/>
        </w:rPr>
        <w:t xml:space="preserve">או לא </w:t>
      </w:r>
      <w:r w:rsidR="0036069F">
        <w:rPr>
          <w:rFonts w:hint="eastAsia"/>
          <w:rtl/>
        </w:rPr>
        <w:t>–</w:t>
      </w:r>
      <w:r w:rsidR="0036069F">
        <w:rPr>
          <w:rFonts w:hint="cs"/>
          <w:rtl/>
        </w:rPr>
        <w:t xml:space="preserve"> </w:t>
      </w:r>
      <w:r>
        <w:rPr>
          <w:rFonts w:hint="cs"/>
          <w:rtl/>
        </w:rPr>
        <w:t xml:space="preserve">המושג שירות לא ברור להם. </w:t>
      </w:r>
    </w:p>
    <w:p w:rsidR="00BB59CD" w:rsidRDefault="00BB59CD" w:rsidP="0036069F">
      <w:pPr>
        <w:rPr>
          <w:rtl/>
        </w:rPr>
      </w:pPr>
      <w:bookmarkStart w:id="47238" w:name="_ETM_Q87_593000"/>
      <w:bookmarkEnd w:id="47238"/>
      <w:r>
        <w:rPr>
          <w:rFonts w:hint="cs"/>
          <w:rtl/>
        </w:rPr>
        <w:t xml:space="preserve">אבל זאת הממשלה </w:t>
      </w:r>
      <w:bookmarkStart w:id="47239" w:name="_ETM_Q87_595000"/>
      <w:bookmarkEnd w:id="47239"/>
      <w:r>
        <w:rPr>
          <w:rFonts w:hint="cs"/>
          <w:rtl/>
        </w:rPr>
        <w:t xml:space="preserve">שלך. אתה יודע כמוני שכשההיסטוריה תשפוט, היא תשפוט גם </w:t>
      </w:r>
      <w:bookmarkStart w:id="47240" w:name="_ETM_Q87_600000"/>
      <w:bookmarkEnd w:id="47240"/>
      <w:r>
        <w:rPr>
          <w:rFonts w:hint="cs"/>
          <w:rtl/>
        </w:rPr>
        <w:t>אותך כחבר בממשלה הנוראית הזאת, שמעולם לא הייתה כזאת.</w:t>
      </w:r>
      <w:bookmarkStart w:id="47241" w:name="_ETM_Q87_607000"/>
      <w:bookmarkEnd w:id="47241"/>
      <w:r>
        <w:rPr>
          <w:rFonts w:hint="cs"/>
          <w:rtl/>
        </w:rPr>
        <w:t xml:space="preserve"> אתה יודע למה, בין השאר, הטייסים האלה אומרים: נפסיק </w:t>
      </w:r>
      <w:bookmarkStart w:id="47242" w:name="_ETM_Q87_616000"/>
      <w:bookmarkEnd w:id="47242"/>
      <w:r>
        <w:rPr>
          <w:rFonts w:hint="cs"/>
          <w:rtl/>
        </w:rPr>
        <w:t xml:space="preserve">להתנדב? אני אגיד לך. בגלל שהם, כשהם שלחו פצצה </w:t>
      </w:r>
      <w:bookmarkStart w:id="47243" w:name="_ETM_Q87_625000"/>
      <w:bookmarkEnd w:id="47243"/>
      <w:r>
        <w:rPr>
          <w:rFonts w:hint="cs"/>
          <w:rtl/>
        </w:rPr>
        <w:t>לאיזה קומה 8 בבניין בן 12 קומות בצד שמאל, אולי</w:t>
      </w:r>
      <w:bookmarkStart w:id="47244" w:name="_ETM_Q87_629000"/>
      <w:bookmarkEnd w:id="47244"/>
      <w:r>
        <w:rPr>
          <w:rFonts w:hint="cs"/>
          <w:rtl/>
        </w:rPr>
        <w:t xml:space="preserve"> גם נפגע בלתי מעורב. למה הם עדיין יכולים להמשיך לצאת</w:t>
      </w:r>
      <w:bookmarkStart w:id="47245" w:name="_ETM_Q87_634000"/>
      <w:bookmarkEnd w:id="47245"/>
      <w:r>
        <w:rPr>
          <w:rFonts w:hint="cs"/>
          <w:rtl/>
        </w:rPr>
        <w:t xml:space="preserve"> מהארץ או לטוס באל</w:t>
      </w:r>
      <w:r w:rsidR="0036069F">
        <w:rPr>
          <w:rFonts w:hint="cs"/>
          <w:rtl/>
        </w:rPr>
        <w:t xml:space="preserve"> </w:t>
      </w:r>
      <w:r>
        <w:rPr>
          <w:rFonts w:hint="cs"/>
          <w:rtl/>
        </w:rPr>
        <w:t xml:space="preserve">על? בגלל שיש פה מערכת משפט </w:t>
      </w:r>
      <w:bookmarkStart w:id="47246" w:name="_ETM_Q87_639000"/>
      <w:bookmarkEnd w:id="47246"/>
      <w:r>
        <w:rPr>
          <w:rFonts w:hint="cs"/>
          <w:rtl/>
        </w:rPr>
        <w:t xml:space="preserve">שמגינה עליהם. </w:t>
      </w:r>
    </w:p>
    <w:p w:rsidR="00BB59CD" w:rsidRDefault="00BB59CD" w:rsidP="00BB59CD">
      <w:pPr>
        <w:rPr>
          <w:rtl/>
        </w:rPr>
      </w:pPr>
    </w:p>
    <w:p w:rsidR="00BB59CD" w:rsidRDefault="00BB59CD" w:rsidP="00BB59CD">
      <w:pPr>
        <w:rPr>
          <w:rtl/>
        </w:rPr>
      </w:pPr>
      <w:bookmarkStart w:id="47247" w:name="_ETM_Q87_643000"/>
      <w:bookmarkEnd w:id="47247"/>
      <w:r>
        <w:rPr>
          <w:rFonts w:hint="cs"/>
          <w:rtl/>
        </w:rPr>
        <w:t>אבל אמרתי לך, השר מרגי, תגיד לי, יכול</w:t>
      </w:r>
      <w:bookmarkStart w:id="47248" w:name="_ETM_Q87_644000"/>
      <w:bookmarkEnd w:id="47248"/>
      <w:r>
        <w:rPr>
          <w:rFonts w:hint="cs"/>
          <w:rtl/>
        </w:rPr>
        <w:t xml:space="preserve"> להיות שאתה שר בממשלה שמעולם לא היה</w:t>
      </w:r>
      <w:bookmarkStart w:id="47249" w:name="_ETM_Q87_649000"/>
      <w:bookmarkEnd w:id="47249"/>
      <w:r>
        <w:rPr>
          <w:rFonts w:hint="cs"/>
          <w:rtl/>
        </w:rPr>
        <w:t xml:space="preserve"> בה דיון על המהפכה הזאת? יכול להיות? תגיד לי, </w:t>
      </w:r>
      <w:bookmarkStart w:id="47250" w:name="_ETM_Q87_651000"/>
      <w:bookmarkEnd w:id="47250"/>
      <w:r>
        <w:rPr>
          <w:rFonts w:hint="cs"/>
          <w:rtl/>
        </w:rPr>
        <w:t xml:space="preserve">יכול להיות שבממשלה שאתה נותן לה גיבוי מעולם </w:t>
      </w:r>
      <w:bookmarkStart w:id="47251" w:name="_ETM_Q87_661000"/>
      <w:bookmarkEnd w:id="47251"/>
      <w:r>
        <w:rPr>
          <w:rFonts w:hint="cs"/>
          <w:rtl/>
        </w:rPr>
        <w:t xml:space="preserve">לא היה דיון על מה שאתה תצביע בעדו – או הצבעת, או </w:t>
      </w:r>
      <w:bookmarkStart w:id="47252" w:name="_ETM_Q87_665000"/>
      <w:bookmarkEnd w:id="47252"/>
      <w:r>
        <w:rPr>
          <w:rFonts w:hint="cs"/>
          <w:rtl/>
        </w:rPr>
        <w:t xml:space="preserve">החברים שלך, לא משנה. אתה יודע שהממשלה הזאת לא </w:t>
      </w:r>
      <w:bookmarkStart w:id="47253" w:name="_ETM_Q87_673000"/>
      <w:bookmarkEnd w:id="47253"/>
      <w:r>
        <w:rPr>
          <w:rFonts w:hint="cs"/>
          <w:rtl/>
        </w:rPr>
        <w:t>שאלה את שר הביטחון מה המשמעות של הטייסים האלה</w:t>
      </w:r>
      <w:bookmarkStart w:id="47254" w:name="_ETM_Q87_678000"/>
      <w:bookmarkEnd w:id="47254"/>
      <w:r>
        <w:rPr>
          <w:rFonts w:hint="cs"/>
          <w:rtl/>
        </w:rPr>
        <w:t xml:space="preserve"> ושל הלוחמים ושל לוחמי מגלן ודובדבן וגולני והנדסה קרבית,</w:t>
      </w:r>
      <w:bookmarkStart w:id="47255" w:name="_ETM_Q87_684000"/>
      <w:bookmarkEnd w:id="47255"/>
      <w:r>
        <w:rPr>
          <w:rFonts w:hint="cs"/>
          <w:rtl/>
        </w:rPr>
        <w:t xml:space="preserve"> אם נעביר את החקיקה הזאת? לא שאלו. יריב</w:t>
      </w:r>
      <w:bookmarkStart w:id="47256" w:name="_ETM_Q87_690000"/>
      <w:bookmarkEnd w:id="47256"/>
      <w:r>
        <w:rPr>
          <w:rFonts w:hint="cs"/>
          <w:rtl/>
        </w:rPr>
        <w:t xml:space="preserve"> לוין שאל? </w:t>
      </w:r>
    </w:p>
    <w:p w:rsidR="00BB59CD" w:rsidRDefault="00BB59CD" w:rsidP="00BB59CD">
      <w:pPr>
        <w:rPr>
          <w:rtl/>
        </w:rPr>
      </w:pPr>
    </w:p>
    <w:p w:rsidR="00BB59CD" w:rsidRDefault="00BB59CD" w:rsidP="0036069F">
      <w:pPr>
        <w:rPr>
          <w:rtl/>
        </w:rPr>
      </w:pPr>
      <w:r>
        <w:rPr>
          <w:rFonts w:hint="cs"/>
          <w:rtl/>
        </w:rPr>
        <w:t xml:space="preserve">היושב-ראש אוחנה אומר: הוא שמע על זה </w:t>
      </w:r>
      <w:bookmarkStart w:id="47257" w:name="_ETM_Q87_695000"/>
      <w:bookmarkEnd w:id="47257"/>
      <w:r>
        <w:rPr>
          <w:rFonts w:hint="cs"/>
          <w:rtl/>
        </w:rPr>
        <w:t>כשהוא עשה מסיבת עיתונאים. לא בממשלה, לא היה דיון. בליכוד</w:t>
      </w:r>
      <w:bookmarkStart w:id="47258" w:name="_ETM_Q87_700000"/>
      <w:bookmarkEnd w:id="47258"/>
      <w:r>
        <w:rPr>
          <w:rFonts w:hint="cs"/>
          <w:rtl/>
        </w:rPr>
        <w:t xml:space="preserve"> גם לא היה דיון. זה נראה לך הגיוני להכניס</w:t>
      </w:r>
      <w:bookmarkStart w:id="47259" w:name="_ETM_Q87_709000"/>
      <w:bookmarkEnd w:id="47259"/>
      <w:r>
        <w:rPr>
          <w:rFonts w:hint="cs"/>
          <w:rtl/>
        </w:rPr>
        <w:t xml:space="preserve"> מדינה לנזקים ביטחוניים, כלכליים, מוסריים, חברתיים, שסעים ששנים ייקח לנו</w:t>
      </w:r>
      <w:bookmarkStart w:id="47260" w:name="_ETM_Q87_721000"/>
      <w:bookmarkEnd w:id="47260"/>
      <w:r>
        <w:rPr>
          <w:rFonts w:hint="cs"/>
          <w:rtl/>
        </w:rPr>
        <w:t xml:space="preserve"> לתקן אותם, על קפריזה של איזה שר שהולך איתה שנים?</w:t>
      </w:r>
      <w:bookmarkStart w:id="47261" w:name="_ETM_Q87_726000"/>
      <w:bookmarkEnd w:id="47261"/>
      <w:r>
        <w:rPr>
          <w:rFonts w:hint="cs"/>
          <w:rtl/>
        </w:rPr>
        <w:t xml:space="preserve"> זכותו, אבל תבקשו דיון בממשלה. איפה האחריות שלך כחבר ממשלה</w:t>
      </w:r>
      <w:bookmarkStart w:id="47262" w:name="_ETM_Q87_734000"/>
      <w:bookmarkEnd w:id="47262"/>
      <w:r>
        <w:rPr>
          <w:rFonts w:hint="cs"/>
          <w:rtl/>
        </w:rPr>
        <w:t>? אני ישבתי בממשלה, נראה לך שהייתי נותן גיבוי לדבר</w:t>
      </w:r>
      <w:bookmarkStart w:id="47263" w:name="_ETM_Q87_741000"/>
      <w:bookmarkEnd w:id="47263"/>
      <w:r>
        <w:rPr>
          <w:rFonts w:hint="cs"/>
          <w:rtl/>
        </w:rPr>
        <w:t xml:space="preserve"> כזה? לעולם לא. </w:t>
      </w:r>
    </w:p>
    <w:p w:rsidR="00BB59CD" w:rsidRDefault="00BB59CD" w:rsidP="00BB59CD">
      <w:pPr>
        <w:rPr>
          <w:rtl/>
        </w:rPr>
      </w:pPr>
    </w:p>
    <w:p w:rsidR="00BB59CD" w:rsidRDefault="00BB59CD" w:rsidP="0036069F">
      <w:pPr>
        <w:rPr>
          <w:rtl/>
        </w:rPr>
      </w:pPr>
      <w:r>
        <w:rPr>
          <w:rFonts w:hint="cs"/>
          <w:rtl/>
        </w:rPr>
        <w:t>תלך</w:t>
      </w:r>
      <w:r w:rsidR="0036069F">
        <w:rPr>
          <w:rFonts w:hint="cs"/>
          <w:rtl/>
        </w:rPr>
        <w:t>,</w:t>
      </w:r>
      <w:r>
        <w:rPr>
          <w:rFonts w:hint="cs"/>
          <w:rtl/>
        </w:rPr>
        <w:t xml:space="preserve"> במקומות שאתה גר ואני גר</w:t>
      </w:r>
      <w:bookmarkStart w:id="47264" w:name="_ETM_Q87_749000"/>
      <w:bookmarkEnd w:id="47264"/>
      <w:r>
        <w:rPr>
          <w:rFonts w:hint="cs"/>
          <w:rtl/>
        </w:rPr>
        <w:t xml:space="preserve"> מצביעים בעד הממשלה ונגד הממשלה. מדינה שלמה הולכת עם עננה</w:t>
      </w:r>
      <w:bookmarkStart w:id="47265" w:name="_ETM_Q87_754000"/>
      <w:bookmarkEnd w:id="47265"/>
      <w:r>
        <w:rPr>
          <w:rFonts w:hint="cs"/>
          <w:rtl/>
        </w:rPr>
        <w:t xml:space="preserve"> על הראש</w:t>
      </w:r>
      <w:r w:rsidR="0036069F">
        <w:rPr>
          <w:rFonts w:hint="cs"/>
          <w:rtl/>
        </w:rPr>
        <w:t>,</w:t>
      </w:r>
      <w:r>
        <w:rPr>
          <w:rFonts w:hint="cs"/>
          <w:rtl/>
        </w:rPr>
        <w:t xml:space="preserve"> עננה שחורה. אז מה, יצאו היום להפגין בקפלן? </w:t>
      </w:r>
      <w:bookmarkStart w:id="47266" w:name="_ETM_Q87_762000"/>
      <w:bookmarkEnd w:id="47266"/>
      <w:r>
        <w:rPr>
          <w:rFonts w:hint="cs"/>
          <w:rtl/>
        </w:rPr>
        <w:t>כמה? אתם עושים צחוק? 28 שבועות – יום,</w:t>
      </w:r>
      <w:bookmarkStart w:id="47267" w:name="_ETM_Q87_773000"/>
      <w:bookmarkEnd w:id="47267"/>
      <w:r>
        <w:rPr>
          <w:rFonts w:hint="cs"/>
          <w:rtl/>
        </w:rPr>
        <w:t xml:space="preserve"> לילה, שבת, מוצאי שבת, בעלי עסקים. </w:t>
      </w:r>
      <w:bookmarkStart w:id="47268" w:name="_ETM_Q87_745000"/>
      <w:bookmarkStart w:id="47269" w:name="TOR_Q88"/>
      <w:bookmarkEnd w:id="47268"/>
      <w:bookmarkEnd w:id="47269"/>
      <w:r>
        <w:rPr>
          <w:rFonts w:hint="cs"/>
          <w:rtl/>
        </w:rPr>
        <w:t xml:space="preserve">אני גר בהושעיה. מה אתה חושב, מרגי, איך נסעו להפגנה היום? אנשים נהדרים בהושעיה. </w:t>
      </w:r>
      <w:bookmarkStart w:id="47270" w:name="_ETM_Q88_184000"/>
      <w:bookmarkEnd w:id="47270"/>
      <w:r>
        <w:rPr>
          <w:rFonts w:hint="cs"/>
          <w:rtl/>
        </w:rPr>
        <w:t>אשתי והבת שלי נסעו ב-05:00 ברכב פרטי; אני נסעתי</w:t>
      </w:r>
      <w:bookmarkStart w:id="47271" w:name="_ETM_Q88_194000"/>
      <w:bookmarkEnd w:id="47271"/>
      <w:r>
        <w:rPr>
          <w:rFonts w:hint="cs"/>
          <w:rtl/>
        </w:rPr>
        <w:t xml:space="preserve"> ביום חמישי. גם ביום שישי. איך נסעו היום? אוטובוס מאורגן</w:t>
      </w:r>
      <w:bookmarkStart w:id="47272" w:name="_ETM_Q88_200000"/>
      <w:bookmarkEnd w:id="47272"/>
      <w:r>
        <w:rPr>
          <w:rFonts w:hint="cs"/>
          <w:rtl/>
        </w:rPr>
        <w:t>, הנסיעה בחינם. פעם אחת או פעמיים. זהו. אמרו שהמפגינים מקבלים</w:t>
      </w:r>
      <w:bookmarkStart w:id="47273" w:name="_ETM_Q88_211000"/>
      <w:bookmarkEnd w:id="47273"/>
      <w:r>
        <w:rPr>
          <w:rFonts w:hint="cs"/>
          <w:rtl/>
        </w:rPr>
        <w:t xml:space="preserve"> כסף </w:t>
      </w:r>
      <w:r w:rsidR="0036069F">
        <w:rPr>
          <w:rFonts w:hint="eastAsia"/>
          <w:rtl/>
        </w:rPr>
        <w:t>–</w:t>
      </w:r>
      <w:r w:rsidR="0036069F">
        <w:rPr>
          <w:rFonts w:hint="cs"/>
          <w:rtl/>
        </w:rPr>
        <w:t xml:space="preserve"> </w:t>
      </w:r>
      <w:r>
        <w:rPr>
          <w:rFonts w:hint="cs"/>
          <w:rtl/>
        </w:rPr>
        <w:t>שלנו</w:t>
      </w:r>
      <w:r w:rsidR="0036069F">
        <w:rPr>
          <w:rFonts w:hint="cs"/>
          <w:rtl/>
        </w:rPr>
        <w:t>;</w:t>
      </w:r>
      <w:r>
        <w:rPr>
          <w:rFonts w:hint="cs"/>
          <w:rtl/>
        </w:rPr>
        <w:t xml:space="preserve"> גם הסעות הם לא מקבלים. אני תורם כסף,</w:t>
      </w:r>
      <w:bookmarkStart w:id="47274" w:name="_ETM_Q88_220000"/>
      <w:bookmarkEnd w:id="47274"/>
      <w:r>
        <w:rPr>
          <w:rFonts w:hint="cs"/>
          <w:rtl/>
        </w:rPr>
        <w:t xml:space="preserve"> אשתי תורמת כסף. לא מקבלת. אבל זה מה שרץ</w:t>
      </w:r>
      <w:bookmarkStart w:id="47275" w:name="_ETM_Q88_226000"/>
      <w:bookmarkEnd w:id="47275"/>
      <w:r>
        <w:rPr>
          <w:rFonts w:hint="cs"/>
          <w:rtl/>
        </w:rPr>
        <w:t xml:space="preserve"> אצל אלה שמביאים </w:t>
      </w:r>
      <w:r w:rsidR="0036069F">
        <w:rPr>
          <w:rFonts w:hint="cs"/>
          <w:rtl/>
        </w:rPr>
        <w:t>ע</w:t>
      </w:r>
      <w:r>
        <w:rPr>
          <w:rFonts w:hint="cs"/>
          <w:rtl/>
        </w:rPr>
        <w:t xml:space="preserve">לינו את החורבן הזה. זאת האמת. </w:t>
      </w:r>
    </w:p>
    <w:p w:rsidR="00BB59CD" w:rsidRDefault="00BB59CD" w:rsidP="00BB59CD">
      <w:pPr>
        <w:rPr>
          <w:rtl/>
        </w:rPr>
      </w:pPr>
    </w:p>
    <w:p w:rsidR="00BB59CD" w:rsidRDefault="00BB59CD" w:rsidP="00BB59CD">
      <w:pPr>
        <w:rPr>
          <w:rtl/>
        </w:rPr>
      </w:pPr>
      <w:bookmarkStart w:id="47276" w:name="_ETM_Q88_233000"/>
      <w:bookmarkEnd w:id="47276"/>
      <w:r>
        <w:rPr>
          <w:rFonts w:hint="cs"/>
          <w:rtl/>
        </w:rPr>
        <w:t xml:space="preserve">תגיד, </w:t>
      </w:r>
      <w:bookmarkStart w:id="47277" w:name="_ETM_Q88_234000"/>
      <w:bookmarkEnd w:id="47277"/>
      <w:r>
        <w:rPr>
          <w:rFonts w:hint="cs"/>
          <w:rtl/>
        </w:rPr>
        <w:t>הייתי מג"ד מילואים. בחטיבה שהייתי בה נהרגו שלושה בצומת נצרים. מילואימניקים קצינים. שבוע אחר כך, אתה זוכר את הזמנים</w:t>
      </w:r>
      <w:bookmarkStart w:id="47278" w:name="_ETM_Q88_249000"/>
      <w:bookmarkEnd w:id="47278"/>
      <w:r>
        <w:rPr>
          <w:rFonts w:hint="cs"/>
          <w:rtl/>
        </w:rPr>
        <w:t xml:space="preserve"> האלה? נהרג עוד בחור. </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הרווחה והביטחון החברתי יעקב מרגי:</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זה גדוד שהייתי מפקד שלו. </w:t>
      </w:r>
    </w:p>
    <w:p w:rsidR="00BB59CD" w:rsidRDefault="00BB59CD" w:rsidP="00BB59CD">
      <w:pPr>
        <w:rPr>
          <w:rtl/>
        </w:rPr>
      </w:pPr>
      <w:bookmarkStart w:id="47279" w:name="_ETM_Q88_252000"/>
      <w:bookmarkStart w:id="47280" w:name="_ETM_Q88_229000"/>
      <w:bookmarkEnd w:id="47279"/>
      <w:bookmarkEnd w:id="47280"/>
    </w:p>
    <w:p w:rsidR="00BB59CD" w:rsidRDefault="00BB59CD" w:rsidP="00BB59CD">
      <w:pPr>
        <w:pStyle w:val="-"/>
        <w:keepNext/>
        <w:rPr>
          <w:rtl/>
        </w:rPr>
      </w:pPr>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36069F">
      <w:pPr>
        <w:rPr>
          <w:rtl/>
        </w:rPr>
      </w:pPr>
      <w:r>
        <w:rPr>
          <w:rFonts w:hint="cs"/>
          <w:rtl/>
        </w:rPr>
        <w:t>אתה יודע כמה סיבות היו להם להגיד: די, תעזוב</w:t>
      </w:r>
      <w:bookmarkStart w:id="47281" w:name="_ETM_Q88_254000"/>
      <w:bookmarkEnd w:id="47281"/>
      <w:r>
        <w:rPr>
          <w:rFonts w:hint="cs"/>
          <w:rtl/>
        </w:rPr>
        <w:t xml:space="preserve"> אותי מלהיות בגוש קטיף</w:t>
      </w:r>
      <w:r w:rsidR="0036069F">
        <w:rPr>
          <w:rFonts w:hint="cs"/>
          <w:rtl/>
        </w:rPr>
        <w:t>,</w:t>
      </w:r>
      <w:r>
        <w:rPr>
          <w:rFonts w:hint="cs"/>
          <w:rtl/>
        </w:rPr>
        <w:t xml:space="preserve"> אני לא מאמין שצריך להיות פה</w:t>
      </w:r>
      <w:bookmarkStart w:id="47282" w:name="_ETM_Q88_261000"/>
      <w:bookmarkEnd w:id="47282"/>
      <w:r w:rsidR="0036069F">
        <w:rPr>
          <w:rFonts w:hint="cs"/>
          <w:rtl/>
        </w:rPr>
        <w:t>?</w:t>
      </w:r>
      <w:r>
        <w:rPr>
          <w:rFonts w:hint="cs"/>
          <w:rtl/>
        </w:rPr>
        <w:t xml:space="preserve"> אבל הם לא סירבו. באיו"ש – עשרות</w:t>
      </w:r>
      <w:bookmarkStart w:id="47283" w:name="_ETM_Q88_263000"/>
      <w:bookmarkEnd w:id="47283"/>
      <w:r>
        <w:rPr>
          <w:rFonts w:hint="cs"/>
          <w:rtl/>
        </w:rPr>
        <w:t xml:space="preserve"> גדודי מילואים</w:t>
      </w:r>
      <w:r w:rsidR="0036069F">
        <w:rPr>
          <w:rFonts w:hint="cs"/>
          <w:rtl/>
        </w:rPr>
        <w:t>,</w:t>
      </w:r>
      <w:r>
        <w:rPr>
          <w:rFonts w:hint="cs"/>
          <w:rtl/>
        </w:rPr>
        <w:t xml:space="preserve"> גם עכשיו, לאורך השנה הזאת. הם לא מסרבים. </w:t>
      </w:r>
      <w:bookmarkStart w:id="47284" w:name="_ETM_Q88_268000"/>
      <w:bookmarkEnd w:id="47284"/>
      <w:r>
        <w:rPr>
          <w:rFonts w:hint="cs"/>
          <w:rtl/>
        </w:rPr>
        <w:t>אז אולי תשאל את עצמך ותשאלו את עצמכם למה הטייסים</w:t>
      </w:r>
      <w:bookmarkStart w:id="47285" w:name="_ETM_Q88_275000"/>
      <w:bookmarkEnd w:id="47285"/>
      <w:r>
        <w:rPr>
          <w:rFonts w:hint="cs"/>
          <w:rtl/>
        </w:rPr>
        <w:t xml:space="preserve"> האלה, המפקדים האלה, כל הלוחמים האלה, למה הם כן מסרבים?</w:t>
      </w:r>
      <w:bookmarkStart w:id="47286" w:name="_ETM_Q88_280000"/>
      <w:bookmarkEnd w:id="47286"/>
      <w:r>
        <w:rPr>
          <w:rFonts w:hint="cs"/>
          <w:rtl/>
        </w:rPr>
        <w:t xml:space="preserve"> תגיד, ראית פעם תופעה כזאת ברחובות פה? אתה חושב</w:t>
      </w:r>
      <w:bookmarkStart w:id="47287" w:name="_ETM_Q88_285000"/>
      <w:bookmarkEnd w:id="47287"/>
      <w:r>
        <w:rPr>
          <w:rFonts w:hint="cs"/>
          <w:rtl/>
        </w:rPr>
        <w:t xml:space="preserve"> שגנץ או לפיד, כל אחד לחוד וכולם יחד, מסוגלים להביא</w:t>
      </w:r>
      <w:bookmarkStart w:id="47288" w:name="_ETM_Q88_291000"/>
      <w:bookmarkEnd w:id="47288"/>
      <w:r>
        <w:rPr>
          <w:rFonts w:hint="cs"/>
          <w:rtl/>
        </w:rPr>
        <w:t xml:space="preserve"> מאות אלפי אנשים בתדירות כזאת לרחובות? אז אולי תשאלו את עצמכם. </w:t>
      </w:r>
      <w:bookmarkStart w:id="47289" w:name="_ETM_Q88_297000"/>
      <w:bookmarkEnd w:id="47289"/>
      <w:r>
        <w:rPr>
          <w:rFonts w:hint="cs"/>
          <w:rtl/>
        </w:rPr>
        <w:t>מה אתם משווים את זה לגוש קטיף?</w:t>
      </w:r>
    </w:p>
    <w:p w:rsidR="00BB59CD" w:rsidRDefault="00BB59CD" w:rsidP="00BB59CD">
      <w:pPr>
        <w:rPr>
          <w:rtl/>
        </w:rPr>
      </w:pPr>
    </w:p>
    <w:p w:rsidR="00BB59CD" w:rsidRDefault="00BB59CD" w:rsidP="0036069F">
      <w:pPr>
        <w:rPr>
          <w:rtl/>
        </w:rPr>
      </w:pPr>
      <w:r>
        <w:rPr>
          <w:rFonts w:hint="cs"/>
          <w:rtl/>
        </w:rPr>
        <w:t xml:space="preserve">השבת במקור ראשון – לא יודע אם אתה הכרת את רייש </w:t>
      </w:r>
      <w:bookmarkStart w:id="47290" w:name="_ETM_Q88_302000"/>
      <w:bookmarkEnd w:id="47290"/>
      <w:r>
        <w:rPr>
          <w:rFonts w:hint="cs"/>
          <w:rtl/>
        </w:rPr>
        <w:t xml:space="preserve">מעצמונה, שגר שם. </w:t>
      </w:r>
      <w:r w:rsidR="0036069F">
        <w:rPr>
          <w:rFonts w:hint="cs"/>
          <w:rtl/>
        </w:rPr>
        <w:t xml:space="preserve">הוא </w:t>
      </w:r>
      <w:r>
        <w:rPr>
          <w:rFonts w:hint="cs"/>
          <w:rtl/>
        </w:rPr>
        <w:t>היה מאוד פעיל במשתלות, בכול. איש – באמת</w:t>
      </w:r>
      <w:bookmarkStart w:id="47291" w:name="_ETM_Q88_309000"/>
      <w:bookmarkEnd w:id="47291"/>
      <w:r>
        <w:rPr>
          <w:rFonts w:hint="cs"/>
          <w:rtl/>
        </w:rPr>
        <w:t xml:space="preserve"> יזם בחסד עליון. הבן שלו אומר: כשההורים שלי היו צריכים</w:t>
      </w:r>
      <w:bookmarkStart w:id="47292" w:name="_ETM_Q88_313000"/>
      <w:bookmarkEnd w:id="47292"/>
      <w:r>
        <w:rPr>
          <w:rFonts w:hint="cs"/>
          <w:rtl/>
        </w:rPr>
        <w:t xml:space="preserve"> לנסוע, אבא באוטו אחד, אימא באוטו אחר</w:t>
      </w:r>
      <w:r w:rsidR="0036069F">
        <w:rPr>
          <w:rFonts w:hint="cs"/>
          <w:rtl/>
        </w:rPr>
        <w:t>,</w:t>
      </w:r>
      <w:r>
        <w:rPr>
          <w:rFonts w:hint="cs"/>
          <w:rtl/>
        </w:rPr>
        <w:t xml:space="preserve"> לא היינו בטוחים</w:t>
      </w:r>
      <w:bookmarkStart w:id="47293" w:name="_ETM_Q88_322000"/>
      <w:bookmarkEnd w:id="47293"/>
      <w:r>
        <w:rPr>
          <w:rFonts w:hint="cs"/>
          <w:rtl/>
        </w:rPr>
        <w:t xml:space="preserve"> שיש לזה תוחלת. וכל פעם הרחיבו מסביבנו יותר. ואבטחנו,</w:t>
      </w:r>
      <w:bookmarkStart w:id="47294" w:name="_ETM_Q88_329000"/>
      <w:bookmarkEnd w:id="47294"/>
      <w:r>
        <w:rPr>
          <w:rFonts w:hint="cs"/>
          <w:rtl/>
        </w:rPr>
        <w:t xml:space="preserve"> מילואימניקים אבטחו ועמדו שם. הוא אומר שכשהקימו את הגוש,</w:t>
      </w:r>
      <w:bookmarkStart w:id="47295" w:name="_ETM_Q88_337000"/>
      <w:bookmarkEnd w:id="47295"/>
      <w:r>
        <w:rPr>
          <w:rFonts w:hint="cs"/>
          <w:rtl/>
        </w:rPr>
        <w:t xml:space="preserve"> אריק שרון חשב כנראה על חציצה בין</w:t>
      </w:r>
      <w:bookmarkStart w:id="47296" w:name="_ETM_Q88_341000"/>
      <w:bookmarkEnd w:id="47296"/>
      <w:r>
        <w:rPr>
          <w:rFonts w:hint="cs"/>
          <w:rtl/>
        </w:rPr>
        <w:t xml:space="preserve"> מצרים לעזה. אבל זה כבר לא היה רלוונטי, יש </w:t>
      </w:r>
      <w:bookmarkStart w:id="47297" w:name="_ETM_Q88_343000"/>
      <w:bookmarkEnd w:id="47297"/>
      <w:r>
        <w:rPr>
          <w:rFonts w:hint="cs"/>
          <w:rtl/>
        </w:rPr>
        <w:t xml:space="preserve">לנו שלום עם מצרים. </w:t>
      </w:r>
    </w:p>
    <w:p w:rsidR="00BB59CD" w:rsidRDefault="00BB59CD" w:rsidP="00BB59CD">
      <w:pPr>
        <w:rPr>
          <w:rtl/>
        </w:rPr>
      </w:pPr>
    </w:p>
    <w:p w:rsidR="00BB59CD" w:rsidRDefault="00BB59CD" w:rsidP="0036069F">
      <w:pPr>
        <w:rPr>
          <w:rtl/>
        </w:rPr>
      </w:pPr>
      <w:r>
        <w:rPr>
          <w:rFonts w:hint="cs"/>
          <w:rtl/>
        </w:rPr>
        <w:t>א</w:t>
      </w:r>
      <w:bookmarkStart w:id="47298" w:name="_ETM_Q88_345000"/>
      <w:bookmarkEnd w:id="47298"/>
      <w:r>
        <w:rPr>
          <w:rFonts w:hint="cs"/>
          <w:rtl/>
        </w:rPr>
        <w:t>ני אגיד לך עוד משהו, השר</w:t>
      </w:r>
      <w:bookmarkStart w:id="47299" w:name="_ETM_Q88_344000"/>
      <w:bookmarkEnd w:id="47299"/>
      <w:r>
        <w:rPr>
          <w:rFonts w:hint="cs"/>
          <w:rtl/>
        </w:rPr>
        <w:t xml:space="preserve"> מרגי, 20 שנה – כמה תושבים הצליחו</w:t>
      </w:r>
      <w:bookmarkStart w:id="47300" w:name="_ETM_Q88_350000"/>
      <w:bookmarkEnd w:id="47300"/>
      <w:r>
        <w:rPr>
          <w:rFonts w:hint="cs"/>
          <w:rtl/>
        </w:rPr>
        <w:t xml:space="preserve"> להביא לגוש קטיף ב-20 שנה? אני אגיד לך – 7,500. </w:t>
      </w:r>
      <w:bookmarkStart w:id="47301" w:name="_ETM_Q88_358000"/>
      <w:bookmarkEnd w:id="47301"/>
      <w:r>
        <w:rPr>
          <w:rFonts w:hint="cs"/>
          <w:rtl/>
        </w:rPr>
        <w:t>אתה יודע כמה זה? פחות מלקרני שומרון</w:t>
      </w:r>
      <w:r w:rsidR="0036069F">
        <w:rPr>
          <w:rFonts w:hint="cs"/>
          <w:rtl/>
        </w:rPr>
        <w:t>,</w:t>
      </w:r>
      <w:r>
        <w:rPr>
          <w:rFonts w:hint="cs"/>
          <w:rtl/>
        </w:rPr>
        <w:t xml:space="preserve"> יישוב אחד. לכל</w:t>
      </w:r>
      <w:bookmarkStart w:id="47302" w:name="_ETM_Q88_366000"/>
      <w:bookmarkEnd w:id="47302"/>
      <w:r>
        <w:rPr>
          <w:rFonts w:hint="cs"/>
          <w:rtl/>
        </w:rPr>
        <w:t xml:space="preserve"> הגוש. אז אולי זה היה גדול עלינו גם</w:t>
      </w:r>
      <w:bookmarkStart w:id="47303" w:name="_ETM_Q88_371000"/>
      <w:bookmarkEnd w:id="47303"/>
      <w:r>
        <w:rPr>
          <w:rFonts w:hint="cs"/>
          <w:rtl/>
        </w:rPr>
        <w:t xml:space="preserve"> מבחינה ביטחונית, גם מבחינה של נוחיות. היו שם</w:t>
      </w:r>
      <w:bookmarkStart w:id="47304" w:name="_ETM_Q88_380000"/>
      <w:bookmarkEnd w:id="47304"/>
      <w:r>
        <w:rPr>
          <w:rFonts w:hint="cs"/>
          <w:rtl/>
        </w:rPr>
        <w:t xml:space="preserve"> אנשים נהדרים, אבל אלו שלא היו שם, זה היה רחוק</w:t>
      </w:r>
      <w:bookmarkStart w:id="47305" w:name="_ETM_Q88_384000"/>
      <w:bookmarkEnd w:id="47305"/>
      <w:r>
        <w:rPr>
          <w:rFonts w:hint="cs"/>
          <w:rtl/>
        </w:rPr>
        <w:t xml:space="preserve"> להם. מה שנקרא, יותר רחוק. אתה מכיר מה שאמרו:</w:t>
      </w:r>
      <w:bookmarkStart w:id="47306" w:name="_ETM_Q88_389000"/>
      <w:bookmarkEnd w:id="47306"/>
      <w:r>
        <w:rPr>
          <w:rFonts w:hint="cs"/>
          <w:rtl/>
        </w:rPr>
        <w:t xml:space="preserve"> אז מה היתרון הכי גדול של תל אביב</w:t>
      </w:r>
      <w:bookmarkStart w:id="47307" w:name="_ETM_Q88_391000"/>
      <w:bookmarkEnd w:id="47307"/>
      <w:r>
        <w:rPr>
          <w:rFonts w:hint="cs"/>
          <w:rtl/>
        </w:rPr>
        <w:t xml:space="preserve"> על ניו יורק? שהיא יותר קרובה לכפר סבא. כן. נצרים</w:t>
      </w:r>
      <w:bookmarkStart w:id="47308" w:name="_ETM_Q88_401000"/>
      <w:bookmarkEnd w:id="47308"/>
      <w:r>
        <w:rPr>
          <w:rFonts w:hint="cs"/>
          <w:rtl/>
        </w:rPr>
        <w:t xml:space="preserve"> ועצמונה ומורג וכל היישובים שהיו שם יותר רחוקים. </w:t>
      </w:r>
    </w:p>
    <w:p w:rsidR="00BB59CD" w:rsidRDefault="00BB59CD" w:rsidP="00BB59CD">
      <w:pPr>
        <w:rPr>
          <w:rtl/>
        </w:rPr>
      </w:pPr>
    </w:p>
    <w:p w:rsidR="00BB59CD" w:rsidRDefault="00BB59CD" w:rsidP="0081372E">
      <w:pPr>
        <w:rPr>
          <w:rtl/>
        </w:rPr>
      </w:pPr>
      <w:bookmarkStart w:id="47309" w:name="_ETM_Q88_424000"/>
      <w:bookmarkEnd w:id="47309"/>
      <w:r>
        <w:rPr>
          <w:rFonts w:hint="cs"/>
          <w:rtl/>
        </w:rPr>
        <w:t xml:space="preserve">אז </w:t>
      </w:r>
      <w:bookmarkStart w:id="47310" w:name="_ETM_Q88_409000"/>
      <w:bookmarkEnd w:id="47310"/>
      <w:r>
        <w:rPr>
          <w:rFonts w:hint="cs"/>
          <w:rtl/>
        </w:rPr>
        <w:t>אולי אנחנו לא יכולים – כמו שבגין עשה את זה, את הנסיגה מסיני, בניגוד למפלגה שלו. אתה יכול לדמיין לעצמך שה</w:t>
      </w:r>
      <w:bookmarkStart w:id="47311" w:name="_ETM_Q88_417000"/>
      <w:bookmarkEnd w:id="47311"/>
      <w:r>
        <w:rPr>
          <w:rFonts w:hint="cs"/>
          <w:rtl/>
        </w:rPr>
        <w:t>יום אנחנו יושבים על גדות התעלה? יש לנו כוח</w:t>
      </w:r>
      <w:bookmarkStart w:id="47312" w:name="_ETM_Q88_420000"/>
      <w:bookmarkEnd w:id="47312"/>
      <w:r>
        <w:rPr>
          <w:rFonts w:hint="cs"/>
          <w:rtl/>
        </w:rPr>
        <w:t>? יש לנו חיילים? יש לנו מוטיבציות? מה</w:t>
      </w:r>
      <w:bookmarkStart w:id="47313" w:name="_ETM_Q88_423000"/>
      <w:bookmarkEnd w:id="47313"/>
      <w:r>
        <w:rPr>
          <w:rFonts w:hint="cs"/>
          <w:rtl/>
        </w:rPr>
        <w:t xml:space="preserve"> יש לנו? אז מה ההשוואות הזולות האלה? אתם עשית</w:t>
      </w:r>
      <w:bookmarkStart w:id="47314" w:name="_ETM_Q88_430000"/>
      <w:bookmarkEnd w:id="47314"/>
      <w:r>
        <w:rPr>
          <w:rFonts w:hint="cs"/>
          <w:rtl/>
        </w:rPr>
        <w:t>ם את הסיפור של גוש קטיף כמו הפוגרום הזה. זאת</w:t>
      </w:r>
      <w:bookmarkStart w:id="47315" w:name="_ETM_Q88_437000"/>
      <w:bookmarkEnd w:id="47315"/>
      <w:r>
        <w:rPr>
          <w:rFonts w:hint="cs"/>
          <w:rtl/>
        </w:rPr>
        <w:t xml:space="preserve"> הייתה החלטה</w:t>
      </w:r>
      <w:r>
        <w:rPr>
          <w:rFonts w:hint="cs"/>
        </w:rPr>
        <w:t xml:space="preserve"> </w:t>
      </w:r>
      <w:r>
        <w:rPr>
          <w:rFonts w:hint="cs"/>
          <w:rtl/>
        </w:rPr>
        <w:t>שמסתבר שהיא נכונה. אם תיקח כמה נהרגו בגוש</w:t>
      </w:r>
      <w:bookmarkStart w:id="47316" w:name="_ETM_Q88_445000"/>
      <w:bookmarkEnd w:id="47316"/>
      <w:r>
        <w:rPr>
          <w:rFonts w:hint="cs"/>
          <w:rtl/>
        </w:rPr>
        <w:t xml:space="preserve"> קטיף – היום אנחנו 17 שנים</w:t>
      </w:r>
      <w:bookmarkStart w:id="47317" w:name="_ETM_Q88_446000"/>
      <w:bookmarkEnd w:id="47317"/>
      <w:r>
        <w:rPr>
          <w:rFonts w:hint="cs"/>
          <w:rtl/>
        </w:rPr>
        <w:t xml:space="preserve"> אחרי גוש קטיף</w:t>
      </w:r>
      <w:r w:rsidR="0036069F">
        <w:rPr>
          <w:rFonts w:hint="cs"/>
          <w:rtl/>
        </w:rPr>
        <w:t>;</w:t>
      </w:r>
      <w:r>
        <w:rPr>
          <w:rFonts w:hint="cs"/>
          <w:rtl/>
        </w:rPr>
        <w:t xml:space="preserve"> כמה נהרגו ב-17 השנים מאז? כמה נהרגו</w:t>
      </w:r>
      <w:bookmarkStart w:id="47318" w:name="_ETM_Q88_455000"/>
      <w:bookmarkEnd w:id="47318"/>
      <w:r>
        <w:rPr>
          <w:rFonts w:hint="cs"/>
          <w:rtl/>
        </w:rPr>
        <w:t xml:space="preserve"> קודם? אתה יודע</w:t>
      </w:r>
      <w:r w:rsidR="0036069F">
        <w:rPr>
          <w:rFonts w:hint="cs"/>
          <w:rtl/>
        </w:rPr>
        <w:t>,</w:t>
      </w:r>
      <w:r>
        <w:rPr>
          <w:rFonts w:hint="cs"/>
          <w:rtl/>
        </w:rPr>
        <w:t xml:space="preserve"> הרבה הרבה הרבה יותר קודם. </w:t>
      </w:r>
      <w:r w:rsidR="0036069F">
        <w:rPr>
          <w:rFonts w:hint="cs"/>
          <w:rtl/>
        </w:rPr>
        <w:t xml:space="preserve">אני </w:t>
      </w:r>
      <w:r>
        <w:rPr>
          <w:rFonts w:hint="cs"/>
          <w:rtl/>
        </w:rPr>
        <w:t xml:space="preserve">לא רוצה </w:t>
      </w:r>
      <w:bookmarkStart w:id="47319" w:name="_ETM_Q88_457000"/>
      <w:bookmarkEnd w:id="47319"/>
      <w:r>
        <w:rPr>
          <w:rFonts w:hint="cs"/>
          <w:rtl/>
        </w:rPr>
        <w:t xml:space="preserve">להגיד לך פי כמה. אתה חושב שישבנו בעזה? לא </w:t>
      </w:r>
      <w:bookmarkStart w:id="47320" w:name="_ETM_Q88_463000"/>
      <w:bookmarkEnd w:id="47320"/>
      <w:r>
        <w:rPr>
          <w:rFonts w:hint="cs"/>
          <w:rtl/>
        </w:rPr>
        <w:t xml:space="preserve">ישבנו בעזה. לא נכנסנו לעזה. רק את פילדלפי כל הזמן </w:t>
      </w:r>
      <w:bookmarkStart w:id="47321" w:name="_ETM_Q88_470000"/>
      <w:bookmarkEnd w:id="47321"/>
      <w:r>
        <w:rPr>
          <w:rFonts w:hint="cs"/>
          <w:rtl/>
        </w:rPr>
        <w:t>הרחבנו. א</w:t>
      </w:r>
      <w:bookmarkStart w:id="47322" w:name="_ETM_Q88_472000"/>
      <w:bookmarkEnd w:id="47322"/>
      <w:r>
        <w:rPr>
          <w:rFonts w:hint="cs"/>
          <w:rtl/>
        </w:rPr>
        <w:t>ז מה אתם משווים? מה זה נקרא, תודה?</w:t>
      </w:r>
      <w:bookmarkStart w:id="47323" w:name="_ETM_Q88_475000"/>
      <w:bookmarkEnd w:id="47323"/>
      <w:r>
        <w:rPr>
          <w:rFonts w:hint="cs"/>
          <w:rtl/>
        </w:rPr>
        <w:t xml:space="preserve"> למה, פעם החליטו על הקמה של כל המאחזים האלה? כל</w:t>
      </w:r>
      <w:bookmarkStart w:id="47324" w:name="_ETM_Q88_482000"/>
      <w:bookmarkEnd w:id="47324"/>
      <w:r>
        <w:rPr>
          <w:rFonts w:hint="cs"/>
          <w:rtl/>
        </w:rPr>
        <w:t xml:space="preserve"> פעם מישהי אחרת או מישהו אחר אומר: המדינה שלחה אותנו</w:t>
      </w:r>
      <w:r w:rsidR="0081372E">
        <w:rPr>
          <w:rFonts w:hint="cs"/>
          <w:rtl/>
        </w:rPr>
        <w:t>;</w:t>
      </w:r>
      <w:r>
        <w:rPr>
          <w:rFonts w:hint="cs"/>
          <w:rtl/>
        </w:rPr>
        <w:t xml:space="preserve"> </w:t>
      </w:r>
      <w:bookmarkStart w:id="47325" w:name="_ETM_Q88_484000"/>
      <w:bookmarkEnd w:id="47325"/>
      <w:r>
        <w:rPr>
          <w:rFonts w:hint="cs"/>
          <w:rtl/>
        </w:rPr>
        <w:t>מי שלח אתכם? הלכתם והלבנתם ואמרתם: המדינה שלחה אותנו. אבל</w:t>
      </w:r>
      <w:bookmarkStart w:id="47326" w:name="_ETM_Q88_493000"/>
      <w:bookmarkEnd w:id="47326"/>
      <w:r>
        <w:rPr>
          <w:rFonts w:hint="cs"/>
          <w:rtl/>
        </w:rPr>
        <w:t xml:space="preserve"> עם </w:t>
      </w:r>
      <w:r>
        <w:t>F-16</w:t>
      </w:r>
      <w:r>
        <w:rPr>
          <w:rFonts w:hint="cs"/>
          <w:rtl/>
        </w:rPr>
        <w:t xml:space="preserve"> או </w:t>
      </w:r>
      <w:r>
        <w:t>F-35</w:t>
      </w:r>
      <w:r>
        <w:rPr>
          <w:rFonts w:hint="cs"/>
          <w:rtl/>
        </w:rPr>
        <w:t xml:space="preserve"> ב-23:00 </w:t>
      </w:r>
      <w:bookmarkStart w:id="47327" w:name="_ETM_Q88_495000"/>
      <w:bookmarkEnd w:id="47327"/>
      <w:r>
        <w:rPr>
          <w:rFonts w:hint="cs"/>
          <w:rtl/>
        </w:rPr>
        <w:t xml:space="preserve">בלילה, לסכן את החיים, המדינה שולחת אותך. וככה אתם מזלזלים בזה. </w:t>
      </w:r>
    </w:p>
    <w:p w:rsidR="00BB59CD" w:rsidRDefault="00BB59CD" w:rsidP="00BB59CD">
      <w:pPr>
        <w:rPr>
          <w:rtl/>
        </w:rPr>
      </w:pPr>
      <w:bookmarkStart w:id="47328" w:name="_ETM_Q88_505000"/>
      <w:bookmarkEnd w:id="47328"/>
    </w:p>
    <w:p w:rsidR="00BB59CD" w:rsidRDefault="00BB59CD" w:rsidP="0081372E">
      <w:pPr>
        <w:rPr>
          <w:rtl/>
        </w:rPr>
      </w:pPr>
      <w:bookmarkStart w:id="47329" w:name="_ETM_Q88_506000"/>
      <w:bookmarkEnd w:id="47329"/>
      <w:r>
        <w:rPr>
          <w:rFonts w:hint="cs"/>
          <w:rtl/>
        </w:rPr>
        <w:t>וככה הממשלה כולה – וגם אם אומר את זה ראש הממשלה, גם</w:t>
      </w:r>
      <w:bookmarkStart w:id="47330" w:name="_ETM_Q88_510000"/>
      <w:bookmarkEnd w:id="47330"/>
      <w:r>
        <w:rPr>
          <w:rFonts w:hint="cs"/>
          <w:rtl/>
        </w:rPr>
        <w:t xml:space="preserve"> אם הוא לא סותם את הפה לשרים שלו –</w:t>
      </w:r>
      <w:bookmarkStart w:id="47331" w:name="_ETM_Q88_517000"/>
      <w:bookmarkEnd w:id="47331"/>
      <w:r>
        <w:rPr>
          <w:rFonts w:hint="cs"/>
          <w:rtl/>
        </w:rPr>
        <w:t xml:space="preserve"> יש לכם חלק. אתה יודע שמה שאמרו פה על שנאת </w:t>
      </w:r>
      <w:bookmarkStart w:id="47332" w:name="_ETM_Q88_520000"/>
      <w:bookmarkEnd w:id="47332"/>
      <w:r>
        <w:rPr>
          <w:rFonts w:hint="cs"/>
          <w:rtl/>
        </w:rPr>
        <w:t>חינם – עזוב אותך שנאת חינם. הסיפור של קמצא ובר-קמצא – הם כנראה בכלל לא הכירו אחד</w:t>
      </w:r>
      <w:bookmarkStart w:id="47333" w:name="_ETM_Q88_528000"/>
      <w:bookmarkEnd w:id="47333"/>
      <w:r>
        <w:rPr>
          <w:rFonts w:hint="cs"/>
          <w:rtl/>
        </w:rPr>
        <w:t xml:space="preserve"> את השני.</w:t>
      </w:r>
      <w:r>
        <w:rPr>
          <w:rFonts w:hint="cs"/>
        </w:rPr>
        <w:t xml:space="preserve"> </w:t>
      </w:r>
      <w:r>
        <w:rPr>
          <w:rFonts w:hint="cs"/>
          <w:rtl/>
        </w:rPr>
        <w:t>הסיפור הוא על שישבו שם גדולי ישראל</w:t>
      </w:r>
      <w:bookmarkStart w:id="47334" w:name="_ETM_Q88_534000"/>
      <w:bookmarkEnd w:id="47334"/>
      <w:r>
        <w:rPr>
          <w:rFonts w:hint="cs"/>
          <w:rtl/>
        </w:rPr>
        <w:t xml:space="preserve"> ולא מיחו בידו</w:t>
      </w:r>
      <w:r w:rsidR="0081372E">
        <w:rPr>
          <w:rFonts w:hint="cs"/>
          <w:rtl/>
        </w:rPr>
        <w:t>,</w:t>
      </w:r>
      <w:r>
        <w:rPr>
          <w:rFonts w:hint="cs"/>
          <w:rtl/>
        </w:rPr>
        <w:t xml:space="preserve"> ושתקו. הרי מה הוא אמר לו? כל</w:t>
      </w:r>
      <w:bookmarkStart w:id="47335" w:name="_ETM_Q88_543000"/>
      <w:bookmarkEnd w:id="47335"/>
      <w:r>
        <w:rPr>
          <w:rFonts w:hint="cs"/>
          <w:rtl/>
        </w:rPr>
        <w:t xml:space="preserve"> הסיפור – שרק ניישר את זה. היה איזה </w:t>
      </w:r>
      <w:r>
        <w:t>dinner</w:t>
      </w:r>
      <w:r>
        <w:rPr>
          <w:rFonts w:hint="cs"/>
          <w:rtl/>
        </w:rPr>
        <w:t>, איזה גביר</w:t>
      </w:r>
      <w:bookmarkStart w:id="47336" w:name="_ETM_Q88_548000"/>
      <w:bookmarkEnd w:id="47336"/>
      <w:r>
        <w:rPr>
          <w:rFonts w:hint="cs"/>
          <w:rtl/>
        </w:rPr>
        <w:t xml:space="preserve"> עשה ארוחה. לא יודע. ואמר לעוזר שלו: לך תביא </w:t>
      </w:r>
      <w:bookmarkStart w:id="47337" w:name="_ETM_Q88_551000"/>
      <w:bookmarkEnd w:id="47337"/>
      <w:r>
        <w:rPr>
          <w:rFonts w:hint="cs"/>
          <w:rtl/>
        </w:rPr>
        <w:t>את האוהב שלי, קמצא. הביא את השונא שלו בר-קמצא.</w:t>
      </w:r>
      <w:bookmarkStart w:id="47338" w:name="_ETM_Q88_554000"/>
      <w:bookmarkEnd w:id="47338"/>
      <w:r>
        <w:rPr>
          <w:rFonts w:hint="cs"/>
          <w:rtl/>
        </w:rPr>
        <w:t xml:space="preserve"> אמר לו: קום. אמר לו: עזוב, אל תעליב אותי לפני </w:t>
      </w:r>
      <w:bookmarkStart w:id="47339" w:name="_ETM_Q88_561000"/>
      <w:bookmarkEnd w:id="47339"/>
      <w:r>
        <w:rPr>
          <w:rFonts w:hint="cs"/>
          <w:rtl/>
        </w:rPr>
        <w:t>כולם, אני אשלם את הסעודה שלי. אמר לו: קום.</w:t>
      </w:r>
      <w:bookmarkStart w:id="47340" w:name="_ETM_Q88_563000"/>
      <w:bookmarkEnd w:id="47340"/>
      <w:r>
        <w:rPr>
          <w:rFonts w:hint="cs"/>
          <w:rtl/>
        </w:rPr>
        <w:t xml:space="preserve"> אמר לו: עזוב, אני אשלם את הסעודה של חצי</w:t>
      </w:r>
      <w:bookmarkStart w:id="47341" w:name="_ETM_Q88_566000"/>
      <w:bookmarkEnd w:id="47341"/>
      <w:r>
        <w:rPr>
          <w:rFonts w:hint="cs"/>
          <w:rtl/>
        </w:rPr>
        <w:t xml:space="preserve"> מכולם. הוא אמר לו: קום. הוא אמר לו: אני אשלם </w:t>
      </w:r>
      <w:bookmarkStart w:id="47342" w:name="_ETM_Q88_568000"/>
      <w:bookmarkEnd w:id="47342"/>
      <w:r>
        <w:rPr>
          <w:rFonts w:hint="cs"/>
          <w:rtl/>
        </w:rPr>
        <w:t>את הסעודה של כולם. תפסו בידו וזרק אותו. הוא אמר:</w:t>
      </w:r>
      <w:bookmarkStart w:id="47343" w:name="_ETM_Q88_572000"/>
      <w:bookmarkEnd w:id="47343"/>
      <w:r>
        <w:rPr>
          <w:rFonts w:hint="cs"/>
          <w:rtl/>
        </w:rPr>
        <w:t xml:space="preserve"> מכלל שישבו חכמי ישראל, גדולי ישראל</w:t>
      </w:r>
      <w:r w:rsidR="0081372E">
        <w:rPr>
          <w:rFonts w:hint="cs"/>
          <w:rtl/>
        </w:rPr>
        <w:t>,</w:t>
      </w:r>
      <w:r>
        <w:rPr>
          <w:rFonts w:hint="cs"/>
          <w:rtl/>
        </w:rPr>
        <w:t xml:space="preserve"> ולא התערבו, מכלל דניחא</w:t>
      </w:r>
      <w:bookmarkStart w:id="47344" w:name="_ETM_Q88_582000"/>
      <w:bookmarkEnd w:id="47344"/>
      <w:r>
        <w:rPr>
          <w:rFonts w:hint="cs"/>
          <w:rtl/>
        </w:rPr>
        <w:t xml:space="preserve"> להו – </w:t>
      </w:r>
      <w:bookmarkStart w:id="47345" w:name="_ETM_Q88_585000"/>
      <w:bookmarkEnd w:id="47345"/>
      <w:r>
        <w:rPr>
          <w:rFonts w:hint="cs"/>
          <w:rtl/>
        </w:rPr>
        <w:t>אלך לרומי.</w:t>
      </w:r>
    </w:p>
    <w:p w:rsidR="00BB59CD" w:rsidRDefault="00BB59CD" w:rsidP="00BB59CD">
      <w:pPr>
        <w:rPr>
          <w:rtl/>
        </w:rPr>
      </w:pPr>
      <w:bookmarkStart w:id="47346" w:name="_ETM_Q88_586000"/>
      <w:bookmarkEnd w:id="47346"/>
    </w:p>
    <w:p w:rsidR="00BB59CD" w:rsidRDefault="00BB59CD" w:rsidP="0081372E">
      <w:pPr>
        <w:rPr>
          <w:rtl/>
        </w:rPr>
      </w:pPr>
      <w:bookmarkStart w:id="47347" w:name="_ETM_Q88_587000"/>
      <w:bookmarkEnd w:id="47347"/>
      <w:r>
        <w:rPr>
          <w:rFonts w:hint="cs"/>
          <w:rtl/>
        </w:rPr>
        <w:t xml:space="preserve">כמה יש בממשלה? דוגרי, אני לא יודע מה מספר השרים והשרות שיושבים שם כבר בשורות האלה, </w:t>
      </w:r>
      <w:bookmarkStart w:id="47348" w:name="_ETM_Q88_592000"/>
      <w:bookmarkEnd w:id="47348"/>
      <w:r>
        <w:rPr>
          <w:rFonts w:hint="cs"/>
          <w:rtl/>
        </w:rPr>
        <w:t xml:space="preserve">שמלכלכים לנו את המושבים של חברי הכנסת בגלל שראש </w:t>
      </w:r>
      <w:bookmarkStart w:id="47349" w:name="_ETM_Q88_598000"/>
      <w:bookmarkEnd w:id="47349"/>
      <w:r>
        <w:rPr>
          <w:rFonts w:hint="cs"/>
          <w:rtl/>
        </w:rPr>
        <w:t>הממשלה מתבייש בגודל או מתבייש בהם. איך כולם שותקים? איך</w:t>
      </w:r>
      <w:bookmarkStart w:id="47350" w:name="_ETM_Q88_605000"/>
      <w:bookmarkEnd w:id="47350"/>
      <w:r>
        <w:rPr>
          <w:rFonts w:hint="cs"/>
          <w:rtl/>
        </w:rPr>
        <w:t xml:space="preserve"> כולם שותקים? </w:t>
      </w:r>
    </w:p>
    <w:p w:rsidR="00BB59CD" w:rsidRDefault="00BB59CD" w:rsidP="00BB59CD">
      <w:pPr>
        <w:rPr>
          <w:rtl/>
        </w:rPr>
      </w:pPr>
    </w:p>
    <w:p w:rsidR="00BB59CD" w:rsidRDefault="00BB59CD" w:rsidP="00BB59CD">
      <w:pPr>
        <w:rPr>
          <w:rtl/>
        </w:rPr>
      </w:pPr>
      <w:bookmarkStart w:id="47351" w:name="_ETM_Q88_610000"/>
      <w:bookmarkEnd w:id="47351"/>
      <w:r>
        <w:rPr>
          <w:rFonts w:hint="cs"/>
          <w:rtl/>
        </w:rPr>
        <w:t>אני רוצה להגיד לך עוד משהו, מעבר למה</w:t>
      </w:r>
      <w:bookmarkStart w:id="47352" w:name="_ETM_Q88_615000"/>
      <w:bookmarkEnd w:id="47352"/>
      <w:r>
        <w:rPr>
          <w:rFonts w:hint="cs"/>
          <w:rtl/>
        </w:rPr>
        <w:t xml:space="preserve"> שאמרתי. ואני רוצה שניישר את העניין הזה – אין סרבנות. </w:t>
      </w:r>
      <w:bookmarkStart w:id="47353" w:name="_ETM_Q88_619000"/>
      <w:bookmarkEnd w:id="47353"/>
      <w:r>
        <w:rPr>
          <w:rFonts w:hint="cs"/>
          <w:rtl/>
        </w:rPr>
        <w:t>נקודה. נמאס לי מהמבחנים האלה שכל אחד – אז אתה</w:t>
      </w:r>
      <w:bookmarkStart w:id="47354" w:name="_ETM_Q88_621000"/>
      <w:bookmarkEnd w:id="47354"/>
      <w:r>
        <w:rPr>
          <w:rFonts w:hint="cs"/>
          <w:rtl/>
        </w:rPr>
        <w:t xml:space="preserve"> בעד סרבנות או נגד? אין סרבנות. אין. דרך אגב, בהתנתקות,</w:t>
      </w:r>
      <w:bookmarkStart w:id="47355" w:name="_ETM_Q88_632000"/>
      <w:bookmarkEnd w:id="47355"/>
      <w:r>
        <w:rPr>
          <w:rFonts w:hint="cs"/>
          <w:rtl/>
        </w:rPr>
        <w:t xml:space="preserve"> בעקירה, בגירוש, בנסיגה, בכל מילה היה הרבה יותר, רק</w:t>
      </w:r>
      <w:bookmarkStart w:id="47356" w:name="_ETM_Q88_634000"/>
      <w:bookmarkEnd w:id="47356"/>
      <w:r>
        <w:rPr>
          <w:rFonts w:hint="cs"/>
          <w:rtl/>
        </w:rPr>
        <w:t xml:space="preserve"> ידענו להכיל את זה. </w:t>
      </w:r>
    </w:p>
    <w:p w:rsidR="00BB59CD" w:rsidRDefault="00BB59CD" w:rsidP="00BB59CD">
      <w:pPr>
        <w:rPr>
          <w:rtl/>
        </w:rPr>
      </w:pPr>
    </w:p>
    <w:p w:rsidR="00BB59CD" w:rsidRDefault="00BB59CD" w:rsidP="00BB59CD">
      <w:pPr>
        <w:rPr>
          <w:rtl/>
        </w:rPr>
      </w:pPr>
      <w:bookmarkStart w:id="47357" w:name="_ETM_Q88_638000"/>
      <w:bookmarkEnd w:id="47357"/>
      <w:r>
        <w:rPr>
          <w:rFonts w:hint="cs"/>
          <w:rtl/>
        </w:rPr>
        <w:t xml:space="preserve">ואני אגיד לך עוד משהו, </w:t>
      </w:r>
      <w:bookmarkStart w:id="47358" w:name="_ETM_Q88_639000"/>
      <w:bookmarkEnd w:id="47358"/>
      <w:r>
        <w:rPr>
          <w:rFonts w:hint="cs"/>
          <w:rtl/>
        </w:rPr>
        <w:t>זה היה של חיילים או קצינים סדירים. פה</w:t>
      </w:r>
      <w:bookmarkStart w:id="47359" w:name="_ETM_Q88_644000"/>
      <w:bookmarkEnd w:id="47359"/>
      <w:r>
        <w:rPr>
          <w:rFonts w:hint="cs"/>
          <w:rtl/>
        </w:rPr>
        <w:t xml:space="preserve"> זה אנשי מילואים, אין עליהם חוק שיפוט צבאי. הם</w:t>
      </w:r>
      <w:bookmarkStart w:id="47360" w:name="_ETM_Q88_648000"/>
      <w:bookmarkEnd w:id="47360"/>
      <w:r>
        <w:rPr>
          <w:rFonts w:hint="cs"/>
          <w:rtl/>
        </w:rPr>
        <w:t xml:space="preserve"> אזרחים. </w:t>
      </w:r>
      <w:bookmarkStart w:id="47361" w:name="_ETM_Q88_575000"/>
      <w:bookmarkStart w:id="47362" w:name="_ETM_Q88_545000"/>
      <w:bookmarkEnd w:id="47361"/>
      <w:bookmarkEnd w:id="47362"/>
      <w:r>
        <w:rPr>
          <w:rFonts w:hint="cs"/>
          <w:rtl/>
        </w:rPr>
        <w:t>להפך, כדי שהם יבואו, הם צריכים להתנדב. אומרים: אוהו,</w:t>
      </w:r>
      <w:bookmarkStart w:id="47363" w:name="_ETM_Q88_655000"/>
      <w:bookmarkEnd w:id="47363"/>
      <w:r>
        <w:rPr>
          <w:rFonts w:hint="cs"/>
          <w:rtl/>
        </w:rPr>
        <w:t xml:space="preserve"> מה יקרה לצבא? אני דואג. למרות מה שאמרתי עכשיו, אני </w:t>
      </w:r>
      <w:bookmarkStart w:id="47364" w:name="_ETM_Q88_657000"/>
      <w:bookmarkEnd w:id="47364"/>
      <w:r>
        <w:rPr>
          <w:rFonts w:hint="cs"/>
          <w:rtl/>
        </w:rPr>
        <w:t>דואג. אבל הדאגה הזאת, על מי מוטלת? עליי או על</w:t>
      </w:r>
      <w:bookmarkStart w:id="47365" w:name="_ETM_Q88_663000"/>
      <w:bookmarkEnd w:id="47365"/>
      <w:r>
        <w:rPr>
          <w:rFonts w:hint="cs"/>
          <w:rtl/>
        </w:rPr>
        <w:t xml:space="preserve"> ראש הממשלה? אני יכול לעשות משהו? אני לא יכול. אני</w:t>
      </w:r>
      <w:bookmarkStart w:id="47366" w:name="_ETM_Q88_670000"/>
      <w:bookmarkEnd w:id="47366"/>
      <w:r>
        <w:rPr>
          <w:rFonts w:hint="cs"/>
          <w:rtl/>
        </w:rPr>
        <w:t xml:space="preserve"> לא הוצאתי אותם לרחובות, אני לא יודע להחזיר אותם. אין</w:t>
      </w:r>
      <w:bookmarkStart w:id="47367" w:name="_ETM_Q88_673000"/>
      <w:bookmarkEnd w:id="47367"/>
      <w:r>
        <w:rPr>
          <w:rFonts w:hint="cs"/>
          <w:rtl/>
        </w:rPr>
        <w:t xml:space="preserve"> לי את הכוחות האלה, אין לי את היכולות האלה. אני </w:t>
      </w:r>
      <w:bookmarkStart w:id="47368" w:name="_ETM_Q88_676000"/>
      <w:bookmarkEnd w:id="47368"/>
      <w:r>
        <w:rPr>
          <w:rFonts w:hint="cs"/>
          <w:rtl/>
        </w:rPr>
        <w:t>רק אומר לך: אני אמשיך לחנך את הילדים שלי, וכמה</w:t>
      </w:r>
      <w:bookmarkStart w:id="47369" w:name="_ETM_Q88_680000"/>
      <w:bookmarkEnd w:id="47369"/>
      <w:r>
        <w:rPr>
          <w:rFonts w:hint="cs"/>
          <w:rtl/>
        </w:rPr>
        <w:t xml:space="preserve"> ש</w:t>
      </w:r>
      <w:r w:rsidR="0081372E">
        <w:rPr>
          <w:rFonts w:hint="cs"/>
          <w:rtl/>
        </w:rPr>
        <w:t xml:space="preserve">זה </w:t>
      </w:r>
      <w:r>
        <w:rPr>
          <w:rFonts w:hint="cs"/>
          <w:rtl/>
        </w:rPr>
        <w:t xml:space="preserve">תלוי בי – את הנכדים שלי, שישתדלו להיות כמוהם. </w:t>
      </w:r>
      <w:bookmarkStart w:id="47370" w:name="_ETM_Q88_144000"/>
      <w:bookmarkEnd w:id="47370"/>
    </w:p>
    <w:p w:rsidR="00BB59CD" w:rsidRDefault="00BB59CD" w:rsidP="00BB59CD">
      <w:pPr>
        <w:rPr>
          <w:rtl/>
        </w:rPr>
      </w:pPr>
    </w:p>
    <w:p w:rsidR="00BB59CD" w:rsidRDefault="00BB59CD" w:rsidP="00BB59CD">
      <w:pPr>
        <w:rPr>
          <w:rtl/>
        </w:rPr>
      </w:pPr>
      <w:bookmarkStart w:id="47371" w:name="_ETM_Q88_688000"/>
      <w:bookmarkEnd w:id="47371"/>
      <w:r>
        <w:rPr>
          <w:rFonts w:hint="cs"/>
          <w:rtl/>
        </w:rPr>
        <w:t>אני אגלה</w:t>
      </w:r>
      <w:bookmarkStart w:id="47372" w:name="_ETM_Q88_686000"/>
      <w:bookmarkEnd w:id="47372"/>
      <w:r>
        <w:rPr>
          <w:rFonts w:hint="cs"/>
          <w:rtl/>
        </w:rPr>
        <w:t xml:space="preserve"> לך עוד משהו: אנחנו אנשים חושבים באותם דיסציפלינות. </w:t>
      </w:r>
      <w:bookmarkStart w:id="47373" w:name="_ETM_Q88_145000"/>
      <w:bookmarkEnd w:id="47373"/>
      <w:r>
        <w:rPr>
          <w:rFonts w:hint="cs"/>
          <w:rtl/>
        </w:rPr>
        <w:t>מי שאכפת</w:t>
      </w:r>
      <w:bookmarkStart w:id="47374" w:name="_ETM_Q88_691000"/>
      <w:bookmarkEnd w:id="47374"/>
      <w:r>
        <w:rPr>
          <w:rFonts w:hint="cs"/>
          <w:rtl/>
        </w:rPr>
        <w:t xml:space="preserve"> לו – אכפת לו, אכפת לו. מי שמשפיל – הוא</w:t>
      </w:r>
      <w:bookmarkStart w:id="47375" w:name="_ETM_Q88_695000"/>
      <w:bookmarkEnd w:id="47375"/>
      <w:r>
        <w:rPr>
          <w:rFonts w:hint="cs"/>
          <w:rtl/>
        </w:rPr>
        <w:t xml:space="preserve"> משפיל, הוא משפיל. הוא ישפיל עכשיו את הפלסטינית במחסום, אחרי</w:t>
      </w:r>
      <w:bookmarkStart w:id="47376" w:name="_ETM_Q88_700000"/>
      <w:bookmarkEnd w:id="47376"/>
      <w:r>
        <w:rPr>
          <w:rFonts w:hint="cs"/>
          <w:rtl/>
        </w:rPr>
        <w:t xml:space="preserve"> זה הוא ישפיל את החברים שלו, את הפקודים שלו, את </w:t>
      </w:r>
      <w:bookmarkStart w:id="47377" w:name="_ETM_Q88_704000"/>
      <w:bookmarkEnd w:id="47377"/>
      <w:r>
        <w:rPr>
          <w:rFonts w:hint="cs"/>
          <w:rtl/>
        </w:rPr>
        <w:t>אשתו ואת הילדים. מאיפה למדנו את זה?</w:t>
      </w:r>
      <w:bookmarkStart w:id="47378" w:name="_ETM_Q88_706000"/>
      <w:bookmarkEnd w:id="47378"/>
      <w:r>
        <w:rPr>
          <w:rFonts w:hint="cs"/>
          <w:rtl/>
        </w:rPr>
        <w:t xml:space="preserve"> ממשה רבנו.</w:t>
      </w:r>
    </w:p>
    <w:p w:rsidR="00BB59CD" w:rsidRDefault="00BB59CD" w:rsidP="00BB59CD">
      <w:pPr>
        <w:rPr>
          <w:rtl/>
        </w:rPr>
      </w:pPr>
    </w:p>
    <w:p w:rsidR="00BB59CD" w:rsidRDefault="00BB59CD" w:rsidP="0081372E">
      <w:pPr>
        <w:rPr>
          <w:rtl/>
        </w:rPr>
      </w:pPr>
      <w:bookmarkStart w:id="47379" w:name="_ETM_Q88_709000"/>
      <w:bookmarkEnd w:id="47379"/>
      <w:r>
        <w:rPr>
          <w:rFonts w:hint="cs"/>
          <w:rtl/>
        </w:rPr>
        <w:t>משה רבנו, דרך אגב – אתה יודע מה אנחנו יודעים?</w:t>
      </w:r>
      <w:bookmarkStart w:id="47380" w:name="_ETM_Q88_713000"/>
      <w:bookmarkEnd w:id="47380"/>
      <w:r>
        <w:rPr>
          <w:rFonts w:hint="cs"/>
          <w:rtl/>
        </w:rPr>
        <w:t xml:space="preserve"> לפני שאנחנו יודעים שהוא</w:t>
      </w:r>
      <w:bookmarkStart w:id="47381" w:name="_ETM_Q88_714000"/>
      <w:bookmarkEnd w:id="47381"/>
      <w:r>
        <w:rPr>
          <w:rFonts w:hint="cs"/>
          <w:rtl/>
        </w:rPr>
        <w:t xml:space="preserve"> יצא שלוש פעמים על שלוש המכות: דם, צפרדע,</w:t>
      </w:r>
      <w:bookmarkStart w:id="47382" w:name="_ETM_Q88_718000"/>
      <w:bookmarkEnd w:id="47382"/>
      <w:r>
        <w:rPr>
          <w:rFonts w:hint="cs"/>
          <w:rtl/>
        </w:rPr>
        <w:t xml:space="preserve"> כינים, כתוב: "אמֹר אל אהרֹן". שואלים המפרשים: למה? משה היו </w:t>
      </w:r>
      <w:bookmarkStart w:id="47383" w:name="_ETM_Q88_725000"/>
      <w:bookmarkEnd w:id="47383"/>
      <w:r>
        <w:rPr>
          <w:rFonts w:hint="cs"/>
          <w:rtl/>
        </w:rPr>
        <w:t xml:space="preserve">לו בעיות בפה, לא ביד. למה </w:t>
      </w:r>
      <w:r w:rsidR="0081372E">
        <w:rPr>
          <w:rFonts w:hint="cs"/>
          <w:rtl/>
        </w:rPr>
        <w:t xml:space="preserve">הוא </w:t>
      </w:r>
      <w:r>
        <w:rPr>
          <w:rFonts w:hint="cs"/>
          <w:rtl/>
        </w:rPr>
        <w:t xml:space="preserve">לא יכול לקחת את </w:t>
      </w:r>
      <w:bookmarkStart w:id="47384" w:name="_ETM_Q88_727000"/>
      <w:bookmarkEnd w:id="47384"/>
      <w:r>
        <w:rPr>
          <w:rFonts w:hint="cs"/>
          <w:rtl/>
        </w:rPr>
        <w:t>המטה? אז אומרים: שלא ינהג מידה כנגד מידה – נגד המים</w:t>
      </w:r>
      <w:bookmarkStart w:id="47385" w:name="_ETM_Q88_738000"/>
      <w:bookmarkEnd w:id="47385"/>
      <w:r>
        <w:rPr>
          <w:rFonts w:hint="cs"/>
          <w:rtl/>
        </w:rPr>
        <w:t xml:space="preserve"> שהצילו אותך ביום, שמו אותך בתיבה; החול שהציל אותך כשהרג</w:t>
      </w:r>
      <w:bookmarkStart w:id="47386" w:name="_ETM_Q88_743000"/>
      <w:bookmarkEnd w:id="47386"/>
      <w:r>
        <w:rPr>
          <w:rFonts w:hint="cs"/>
          <w:rtl/>
        </w:rPr>
        <w:t xml:space="preserve"> את המצרי בחול. אתה לא יכול מידה כנגד מידה. אבל אתה</w:t>
      </w:r>
      <w:bookmarkStart w:id="47387" w:name="_ETM_Q88_747000"/>
      <w:bookmarkEnd w:id="47387"/>
      <w:r>
        <w:rPr>
          <w:rFonts w:hint="cs"/>
          <w:rtl/>
        </w:rPr>
        <w:t xml:space="preserve"> ואני יודעים, ועוד כמה, שהמים לא זוכרים. הנילוס זור</w:t>
      </w:r>
      <w:r w:rsidR="0081372E">
        <w:rPr>
          <w:rFonts w:hint="cs"/>
          <w:rtl/>
        </w:rPr>
        <w:t>ם</w:t>
      </w:r>
      <w:r>
        <w:rPr>
          <w:rFonts w:hint="cs"/>
          <w:rtl/>
        </w:rPr>
        <w:t>. החול,</w:t>
      </w:r>
      <w:bookmarkStart w:id="47388" w:name="_ETM_Q88_755000"/>
      <w:bookmarkEnd w:id="47388"/>
      <w:r>
        <w:rPr>
          <w:rFonts w:hint="cs"/>
          <w:rtl/>
        </w:rPr>
        <w:t xml:space="preserve"> רק בשירים שלנו יזכור. הוא לא זוכר, </w:t>
      </w:r>
      <w:bookmarkStart w:id="47389" w:name="_ETM_Q88_757000"/>
      <w:bookmarkEnd w:id="47389"/>
      <w:r>
        <w:rPr>
          <w:rFonts w:hint="cs"/>
          <w:rtl/>
        </w:rPr>
        <w:t xml:space="preserve">החול. </w:t>
      </w:r>
      <w:bookmarkStart w:id="47390" w:name="_ETM_Q88_759000"/>
      <w:bookmarkStart w:id="47391" w:name="_ETM_Q88_760000"/>
      <w:bookmarkStart w:id="47392" w:name="TOR_Q89"/>
      <w:bookmarkEnd w:id="47390"/>
      <w:bookmarkEnd w:id="47391"/>
      <w:bookmarkEnd w:id="47392"/>
      <w:r>
        <w:rPr>
          <w:rFonts w:hint="cs"/>
          <w:rtl/>
        </w:rPr>
        <w:t xml:space="preserve">אז למה אמר לו הקדוש ברוך הוא את זה? כדי להגיד: לא משנה מה הוא מרגיש, משנה מה אני רוצה </w:t>
      </w:r>
      <w:bookmarkStart w:id="47393" w:name="_ETM_Q89_165000"/>
      <w:bookmarkEnd w:id="47393"/>
      <w:r>
        <w:rPr>
          <w:rFonts w:hint="cs"/>
          <w:rtl/>
        </w:rPr>
        <w:t>לטעת ב</w:t>
      </w:r>
      <w:r w:rsidR="0081372E">
        <w:rPr>
          <w:rFonts w:hint="cs"/>
          <w:rtl/>
        </w:rPr>
        <w:t>ו</w:t>
      </w:r>
      <w:r>
        <w:rPr>
          <w:rFonts w:hint="cs"/>
          <w:rtl/>
        </w:rPr>
        <w:t xml:space="preserve"> – </w:t>
      </w:r>
      <w:bookmarkStart w:id="47394" w:name="_ETM_Q89_171000"/>
      <w:bookmarkEnd w:id="47394"/>
      <w:r>
        <w:rPr>
          <w:rFonts w:hint="cs"/>
          <w:rtl/>
        </w:rPr>
        <w:t>את התכונה של הכרת הטוב. האכפתיות הזאת של הטייסים, שהם עושים את מה שהם עושים</w:t>
      </w:r>
      <w:bookmarkStart w:id="47395" w:name="_ETM_Q89_176000"/>
      <w:bookmarkEnd w:id="47395"/>
      <w:r>
        <w:rPr>
          <w:rFonts w:hint="cs"/>
          <w:rtl/>
        </w:rPr>
        <w:t xml:space="preserve"> כשהם יוצאים לרחובות, זה בדיוק כמו אותו מקום של המוכנות</w:t>
      </w:r>
      <w:bookmarkStart w:id="47396" w:name="_ETM_Q89_183000"/>
      <w:bookmarkEnd w:id="47396"/>
      <w:r>
        <w:rPr>
          <w:rFonts w:hint="cs"/>
          <w:rtl/>
        </w:rPr>
        <w:t xml:space="preserve"> שלהם לחרף את חייהם. בגלל שמי שאכפת לו, ומי שמוכן לעשות הכול בשביל המדינה שלו, אז הוא עושה גם </w:t>
      </w:r>
      <w:bookmarkStart w:id="47397" w:name="_ETM_Q89_193000"/>
      <w:bookmarkEnd w:id="47397"/>
      <w:r>
        <w:rPr>
          <w:rFonts w:hint="cs"/>
          <w:rtl/>
        </w:rPr>
        <w:t>את זה. מה זה עושה גם את זה? בכאב עצום</w:t>
      </w:r>
      <w:bookmarkStart w:id="47398" w:name="_ETM_Q89_199000"/>
      <w:bookmarkEnd w:id="47398"/>
      <w:r>
        <w:rPr>
          <w:rFonts w:hint="cs"/>
          <w:rtl/>
        </w:rPr>
        <w:t xml:space="preserve"> הוא אומר: אם זה יימשך, אני לא אתנדב. </w:t>
      </w:r>
      <w:bookmarkStart w:id="47399" w:name="_ETM_Q89_203000"/>
      <w:bookmarkEnd w:id="47399"/>
    </w:p>
    <w:p w:rsidR="00BB59CD" w:rsidRDefault="00BB59CD" w:rsidP="00BB59CD">
      <w:pPr>
        <w:rPr>
          <w:rtl/>
        </w:rPr>
      </w:pPr>
    </w:p>
    <w:p w:rsidR="00BB59CD" w:rsidRDefault="00BB59CD" w:rsidP="0081372E">
      <w:pPr>
        <w:rPr>
          <w:rtl/>
        </w:rPr>
      </w:pPr>
      <w:bookmarkStart w:id="47400" w:name="_ETM_Q89_204000"/>
      <w:bookmarkEnd w:id="47400"/>
      <w:r>
        <w:rPr>
          <w:rFonts w:hint="cs"/>
          <w:rtl/>
        </w:rPr>
        <w:t xml:space="preserve">אני רוצה להגיד לך, כמי שקצת התעסק ברוח צה"ל. אומרים, זה בניגוד </w:t>
      </w:r>
      <w:bookmarkStart w:id="47401" w:name="_ETM_Q89_214000"/>
      <w:bookmarkEnd w:id="47401"/>
      <w:r>
        <w:rPr>
          <w:rFonts w:hint="cs"/>
          <w:rtl/>
        </w:rPr>
        <w:t xml:space="preserve">לערכי צה"ל. מי ילמד אותי ערכי צה"ל? </w:t>
      </w:r>
      <w:r w:rsidR="0081372E">
        <w:rPr>
          <w:rFonts w:hint="cs"/>
          <w:rtl/>
        </w:rPr>
        <w:t xml:space="preserve">אני </w:t>
      </w:r>
      <w:r>
        <w:rPr>
          <w:rFonts w:hint="cs"/>
          <w:rtl/>
        </w:rPr>
        <w:t>לא רוצה להגיד</w:t>
      </w:r>
      <w:bookmarkStart w:id="47402" w:name="_ETM_Q89_224000"/>
      <w:bookmarkEnd w:id="47402"/>
      <w:r>
        <w:rPr>
          <w:rFonts w:hint="cs"/>
          <w:rtl/>
        </w:rPr>
        <w:t xml:space="preserve"> שמות</w:t>
      </w:r>
      <w:r w:rsidR="0081372E">
        <w:rPr>
          <w:rFonts w:hint="cs"/>
          <w:rtl/>
        </w:rPr>
        <w:t>,</w:t>
      </w:r>
      <w:r>
        <w:rPr>
          <w:rFonts w:hint="cs"/>
          <w:rtl/>
        </w:rPr>
        <w:t xml:space="preserve"> רק לחשוב </w:t>
      </w:r>
      <w:r w:rsidR="0081372E">
        <w:rPr>
          <w:rFonts w:hint="cs"/>
          <w:rtl/>
        </w:rPr>
        <w:t xml:space="preserve">על </w:t>
      </w:r>
      <w:r>
        <w:rPr>
          <w:rFonts w:hint="cs"/>
          <w:rtl/>
        </w:rPr>
        <w:t>זה מצחיק אותי – או יותר נכון מעציב</w:t>
      </w:r>
      <w:bookmarkStart w:id="47403" w:name="_ETM_Q89_229000"/>
      <w:bookmarkEnd w:id="47403"/>
      <w:r>
        <w:rPr>
          <w:rFonts w:hint="cs"/>
          <w:rtl/>
        </w:rPr>
        <w:t xml:space="preserve"> אותי – אבל אני אגיד לך מה כתבנו בשני ערכים. </w:t>
      </w:r>
      <w:bookmarkStart w:id="47404" w:name="_ETM_Q89_236000"/>
      <w:bookmarkEnd w:id="47404"/>
      <w:r>
        <w:rPr>
          <w:rFonts w:hint="cs"/>
          <w:rtl/>
        </w:rPr>
        <w:t>אחד, כתבנו: צבא ההגנה לישראל הוא הצבא של מדינת ישראל.</w:t>
      </w:r>
      <w:bookmarkStart w:id="47405" w:name="_ETM_Q89_238000"/>
      <w:bookmarkEnd w:id="47405"/>
      <w:r>
        <w:rPr>
          <w:rFonts w:hint="cs"/>
          <w:rtl/>
        </w:rPr>
        <w:t xml:space="preserve"> צה"ל פועל בכפיפות לרשויות השלטון האזרחי הדמוקרטי ולחוקי המדינה. חיילי</w:t>
      </w:r>
      <w:bookmarkStart w:id="47406" w:name="_ETM_Q89_246000"/>
      <w:bookmarkEnd w:id="47406"/>
      <w:r>
        <w:rPr>
          <w:rFonts w:hint="cs"/>
          <w:rtl/>
        </w:rPr>
        <w:t xml:space="preserve"> צה"ל יפעלו על פי ערכי צה"ל ופקודותיו, תוך שמירה</w:t>
      </w:r>
      <w:bookmarkStart w:id="47407" w:name="_ETM_Q89_247000"/>
      <w:bookmarkEnd w:id="47407"/>
      <w:r>
        <w:rPr>
          <w:rFonts w:hint="cs"/>
          <w:rtl/>
        </w:rPr>
        <w:t xml:space="preserve"> על חוקי המדינה וכבוד האדם, וכיבוד ערכיה של מדינת ישראל</w:t>
      </w:r>
      <w:bookmarkStart w:id="47408" w:name="_ETM_Q89_252000"/>
      <w:bookmarkEnd w:id="47408"/>
      <w:r>
        <w:rPr>
          <w:rFonts w:hint="cs"/>
          <w:rtl/>
        </w:rPr>
        <w:t xml:space="preserve"> כמדינה יהודית ודמוקרטית. </w:t>
      </w:r>
      <w:bookmarkStart w:id="47409" w:name="_ETM_Q89_258000"/>
      <w:bookmarkEnd w:id="47409"/>
      <w:r>
        <w:rPr>
          <w:rFonts w:hint="cs"/>
          <w:rtl/>
        </w:rPr>
        <w:t xml:space="preserve">את היהדות כבר לקחנו להם מזמן. אמרנו </w:t>
      </w:r>
      <w:bookmarkStart w:id="47410" w:name="_ETM_Q89_264000"/>
      <w:bookmarkEnd w:id="47410"/>
      <w:r>
        <w:rPr>
          <w:rFonts w:hint="cs"/>
          <w:rtl/>
        </w:rPr>
        <w:t>להם: יהודים זה רק אנחנו. כיפה וציצית ולא מדליקים</w:t>
      </w:r>
      <w:bookmarkStart w:id="47411" w:name="_ETM_Q89_268000"/>
      <w:bookmarkEnd w:id="47411"/>
      <w:r>
        <w:rPr>
          <w:rFonts w:hint="cs"/>
          <w:rtl/>
        </w:rPr>
        <w:t xml:space="preserve"> אור בשבת, ולא הולכים </w:t>
      </w:r>
      <w:r w:rsidR="0081372E">
        <w:rPr>
          <w:rFonts w:hint="eastAsia"/>
          <w:rtl/>
        </w:rPr>
        <w:t>–</w:t>
      </w:r>
      <w:r w:rsidR="0081372E">
        <w:rPr>
          <w:rFonts w:hint="cs"/>
          <w:rtl/>
        </w:rPr>
        <w:t xml:space="preserve"> </w:t>
      </w:r>
      <w:r>
        <w:rPr>
          <w:rFonts w:hint="cs"/>
          <w:rtl/>
        </w:rPr>
        <w:t>ים נפרד</w:t>
      </w:r>
      <w:r w:rsidR="0081372E">
        <w:rPr>
          <w:rFonts w:hint="cs"/>
          <w:rtl/>
        </w:rPr>
        <w:t>,</w:t>
      </w:r>
      <w:r>
        <w:rPr>
          <w:rFonts w:hint="cs"/>
          <w:rtl/>
        </w:rPr>
        <w:t xml:space="preserve"> לא יודע </w:t>
      </w:r>
      <w:bookmarkStart w:id="47412" w:name="_ETM_Q89_272000"/>
      <w:bookmarkEnd w:id="47412"/>
      <w:r>
        <w:rPr>
          <w:rFonts w:hint="cs"/>
          <w:rtl/>
        </w:rPr>
        <w:t>מה</w:t>
      </w:r>
      <w:r w:rsidR="0081372E">
        <w:rPr>
          <w:rFonts w:hint="cs"/>
          <w:rtl/>
        </w:rPr>
        <w:t>,</w:t>
      </w:r>
      <w:r>
        <w:rPr>
          <w:rFonts w:hint="cs"/>
          <w:rtl/>
        </w:rPr>
        <w:t xml:space="preserve"> כל מה שדורשים בכל הגיורים האלה שם. אתם</w:t>
      </w:r>
      <w:bookmarkStart w:id="47413" w:name="_ETM_Q89_278000"/>
      <w:bookmarkEnd w:id="47413"/>
      <w:r>
        <w:rPr>
          <w:rFonts w:hint="cs"/>
          <w:rtl/>
        </w:rPr>
        <w:t xml:space="preserve"> לא יהודים, או יהודים לא טובים</w:t>
      </w:r>
      <w:r w:rsidR="0081372E">
        <w:rPr>
          <w:rFonts w:hint="cs"/>
          <w:rtl/>
        </w:rPr>
        <w:t>;</w:t>
      </w:r>
      <w:r>
        <w:rPr>
          <w:rFonts w:hint="cs"/>
          <w:rtl/>
        </w:rPr>
        <w:t xml:space="preserve"> עכשיו אנחנו גם אומרים </w:t>
      </w:r>
      <w:bookmarkStart w:id="47414" w:name="_ETM_Q89_282000"/>
      <w:bookmarkEnd w:id="47414"/>
      <w:r>
        <w:rPr>
          <w:rFonts w:hint="cs"/>
          <w:rtl/>
        </w:rPr>
        <w:t>להם: ניקח לכם את הדמוקרטיה.</w:t>
      </w:r>
    </w:p>
    <w:p w:rsidR="00BB59CD" w:rsidRDefault="00BB59CD" w:rsidP="00BB59CD">
      <w:pPr>
        <w:rPr>
          <w:rtl/>
        </w:rPr>
      </w:pPr>
      <w:bookmarkStart w:id="47415" w:name="_ETM_Q89_299141"/>
      <w:bookmarkEnd w:id="47415"/>
    </w:p>
    <w:p w:rsidR="00BB59CD" w:rsidRDefault="00BB59CD" w:rsidP="00BB59CD">
      <w:pPr>
        <w:rPr>
          <w:rtl/>
        </w:rPr>
      </w:pPr>
      <w:bookmarkStart w:id="47416" w:name="_ETM_Q89_299335"/>
      <w:bookmarkStart w:id="47417" w:name="_ETM_Q89_299354"/>
      <w:bookmarkStart w:id="47418" w:name="_ETM_Q89_299410"/>
      <w:bookmarkEnd w:id="47416"/>
      <w:bookmarkEnd w:id="47417"/>
      <w:bookmarkEnd w:id="47418"/>
      <w:r>
        <w:rPr>
          <w:rFonts w:hint="cs"/>
          <w:rtl/>
        </w:rPr>
        <w:t>אני אגיד לך מה כתבנו</w:t>
      </w:r>
      <w:bookmarkStart w:id="47419" w:name="_ETM_Q89_287000"/>
      <w:bookmarkEnd w:id="47419"/>
      <w:r>
        <w:rPr>
          <w:rFonts w:hint="cs"/>
          <w:rtl/>
        </w:rPr>
        <w:t xml:space="preserve"> ברוח צה"ל בתור ערך יסוד אהבת המולדת: ביסוד השירות בצה</w:t>
      </w:r>
      <w:bookmarkStart w:id="47420" w:name="_ETM_Q89_293000"/>
      <w:bookmarkEnd w:id="47420"/>
      <w:r>
        <w:rPr>
          <w:rFonts w:hint="cs"/>
          <w:rtl/>
        </w:rPr>
        <w:t>"ל</w:t>
      </w:r>
      <w:bookmarkStart w:id="47421" w:name="_ETM_Q89_294000"/>
      <w:bookmarkEnd w:id="47421"/>
      <w:r>
        <w:rPr>
          <w:rFonts w:hint="cs"/>
          <w:rtl/>
        </w:rPr>
        <w:t xml:space="preserve"> עומד</w:t>
      </w:r>
      <w:r w:rsidR="0081372E">
        <w:rPr>
          <w:rFonts w:hint="cs"/>
          <w:rtl/>
        </w:rPr>
        <w:t>ו</w:t>
      </w:r>
      <w:r>
        <w:rPr>
          <w:rFonts w:hint="cs"/>
          <w:rtl/>
        </w:rPr>
        <w:t>ת אהבת המולדת והמחויבות והמסירות למדינת ישראל – מדינה דמוקרטית</w:t>
      </w:r>
      <w:bookmarkStart w:id="47422" w:name="_ETM_Q89_306000"/>
      <w:bookmarkEnd w:id="47422"/>
      <w:r>
        <w:rPr>
          <w:rFonts w:hint="cs"/>
          <w:rtl/>
        </w:rPr>
        <w:t xml:space="preserve">, המהווה בית לאומי לעם היהודי. מדינה דמוקרטית המהווה בית </w:t>
      </w:r>
      <w:bookmarkStart w:id="47423" w:name="_ETM_Q89_312000"/>
      <w:bookmarkEnd w:id="47423"/>
      <w:r>
        <w:rPr>
          <w:rFonts w:hint="cs"/>
          <w:rtl/>
        </w:rPr>
        <w:t>לאומי לעם היהודי. עשינו את זה עם אלף רגישויות.</w:t>
      </w:r>
      <w:bookmarkStart w:id="47424" w:name="_ETM_Q89_320000"/>
      <w:bookmarkEnd w:id="47424"/>
      <w:r>
        <w:rPr>
          <w:rFonts w:hint="cs"/>
          <w:rtl/>
        </w:rPr>
        <w:t xml:space="preserve"> אמרנו גם: איך נכתוב פה </w:t>
      </w:r>
      <w:r w:rsidR="0081372E">
        <w:rPr>
          <w:rFonts w:hint="cs"/>
          <w:rtl/>
        </w:rPr>
        <w:t>"</w:t>
      </w:r>
      <w:r>
        <w:rPr>
          <w:rFonts w:hint="cs"/>
          <w:rtl/>
        </w:rPr>
        <w:t>יהודית</w:t>
      </w:r>
      <w:r w:rsidR="0081372E">
        <w:rPr>
          <w:rFonts w:hint="cs"/>
          <w:rtl/>
        </w:rPr>
        <w:t>"</w:t>
      </w:r>
      <w:r>
        <w:rPr>
          <w:rFonts w:hint="cs"/>
          <w:rtl/>
        </w:rPr>
        <w:t>, ונדרוש מחייל בדואי או</w:t>
      </w:r>
      <w:bookmarkStart w:id="47425" w:name="_ETM_Q89_323000"/>
      <w:bookmarkEnd w:id="47425"/>
      <w:r>
        <w:rPr>
          <w:rFonts w:hint="cs"/>
          <w:rtl/>
        </w:rPr>
        <w:t xml:space="preserve"> דרוזי להיות כפוף? אז אמרנו, אתה כפוף למדינה הדמוקרטית, שהיא</w:t>
      </w:r>
      <w:bookmarkStart w:id="47426" w:name="_ETM_Q89_326000"/>
      <w:bookmarkEnd w:id="47426"/>
      <w:r>
        <w:rPr>
          <w:rFonts w:hint="cs"/>
          <w:rtl/>
        </w:rPr>
        <w:t xml:space="preserve"> בית לאומי לעם היהודי. </w:t>
      </w:r>
    </w:p>
    <w:p w:rsidR="00BB59CD" w:rsidRDefault="00BB59CD" w:rsidP="00BB59CD">
      <w:pPr>
        <w:rPr>
          <w:rtl/>
        </w:rPr>
      </w:pPr>
    </w:p>
    <w:p w:rsidR="00BB59CD" w:rsidRDefault="00BB59CD" w:rsidP="0081372E">
      <w:pPr>
        <w:rPr>
          <w:rtl/>
        </w:rPr>
      </w:pPr>
      <w:r>
        <w:rPr>
          <w:rFonts w:hint="cs"/>
          <w:rtl/>
        </w:rPr>
        <w:t xml:space="preserve">לוקחים להם את הדמוקרטיה. זה לא </w:t>
      </w:r>
      <w:bookmarkStart w:id="47427" w:name="_ETM_Q89_334000"/>
      <w:bookmarkEnd w:id="47427"/>
      <w:r>
        <w:rPr>
          <w:rFonts w:hint="cs"/>
          <w:rtl/>
        </w:rPr>
        <w:t>אני אומר. תביאו לי איזה</w:t>
      </w:r>
      <w:bookmarkStart w:id="47428" w:name="_ETM_Q89_336000"/>
      <w:bookmarkEnd w:id="47428"/>
      <w:r>
        <w:rPr>
          <w:rFonts w:hint="cs"/>
          <w:rtl/>
        </w:rPr>
        <w:t xml:space="preserve"> פרופסור שיגיד ההפך. גם אלה שהיו, לא רצו לדבר איתנו. ואל תחשוב – אתה יודע, יש לך כאילו קולות שבוועדת חוקה היה דיון אמיתי. כשדיבר גור, שאתה מכיר אותו </w:t>
      </w:r>
      <w:bookmarkStart w:id="47429" w:name="_ETM_Q89_359347"/>
      <w:bookmarkEnd w:id="47429"/>
      <w:r>
        <w:rPr>
          <w:rFonts w:hint="cs"/>
          <w:rtl/>
        </w:rPr>
        <w:t xml:space="preserve">– ד"ר </w:t>
      </w:r>
      <w:bookmarkStart w:id="47430" w:name="_ETM_Q89_355000"/>
      <w:bookmarkEnd w:id="47430"/>
      <w:r>
        <w:rPr>
          <w:rFonts w:hint="cs"/>
          <w:rtl/>
        </w:rPr>
        <w:t>גור בליי – אז יושב-ראש הוועדה, הוא במרחק כזה ממנו</w:t>
      </w:r>
      <w:bookmarkStart w:id="47431" w:name="_ETM_Q89_359000"/>
      <w:bookmarkEnd w:id="47431"/>
      <w:r w:rsidR="0081372E">
        <w:rPr>
          <w:rFonts w:hint="cs"/>
          <w:rtl/>
        </w:rPr>
        <w:t xml:space="preserve"> ומסתמס בטלפון,</w:t>
      </w:r>
      <w:r>
        <w:rPr>
          <w:rFonts w:hint="cs"/>
          <w:rtl/>
        </w:rPr>
        <w:t xml:space="preserve"> לא מקשיב לו. כשביקשנו להביא את הפצ"ר</w:t>
      </w:r>
      <w:bookmarkStart w:id="47432" w:name="_ETM_Q89_372000"/>
      <w:bookmarkEnd w:id="47432"/>
      <w:r>
        <w:rPr>
          <w:rFonts w:hint="cs"/>
          <w:rtl/>
        </w:rPr>
        <w:t xml:space="preserve"> או את המועצה לביטחון לאומי</w:t>
      </w:r>
      <w:r w:rsidR="0081372E">
        <w:rPr>
          <w:rFonts w:hint="cs"/>
          <w:rtl/>
        </w:rPr>
        <w:t>,</w:t>
      </w:r>
      <w:r>
        <w:rPr>
          <w:rFonts w:hint="cs"/>
          <w:rtl/>
        </w:rPr>
        <w:t xml:space="preserve"> שהממשלה לא הזמינה אותם, </w:t>
      </w:r>
      <w:bookmarkStart w:id="47433" w:name="_ETM_Q89_377000"/>
      <w:bookmarkEnd w:id="47433"/>
      <w:r>
        <w:rPr>
          <w:rFonts w:hint="cs"/>
          <w:rtl/>
        </w:rPr>
        <w:t>אמרו: לא צריך. כשהוא נתן את רשות הדיבור</w:t>
      </w:r>
      <w:bookmarkStart w:id="47434" w:name="_ETM_Q89_380000"/>
      <w:bookmarkEnd w:id="47434"/>
      <w:r>
        <w:rPr>
          <w:rFonts w:hint="cs"/>
          <w:rtl/>
        </w:rPr>
        <w:t xml:space="preserve"> לפרופ' יואב דותן, בזום, הוא שם מחליף ויצא החוצה</w:t>
      </w:r>
      <w:bookmarkStart w:id="47435" w:name="_ETM_Q89_388000"/>
      <w:bookmarkEnd w:id="47435"/>
      <w:r>
        <w:rPr>
          <w:rFonts w:hint="cs"/>
          <w:rtl/>
        </w:rPr>
        <w:t>, כדי שתהיה כותרת של דיון. כדי שאם זה יגיע</w:t>
      </w:r>
      <w:bookmarkStart w:id="47436" w:name="_ETM_Q89_391000"/>
      <w:bookmarkEnd w:id="47436"/>
      <w:r>
        <w:rPr>
          <w:rFonts w:hint="cs"/>
          <w:rtl/>
        </w:rPr>
        <w:t xml:space="preserve"> לבג"ץ, יספרו שעות ויגידו: היה דיון מעמיק. </w:t>
      </w:r>
    </w:p>
    <w:p w:rsidR="00BB59CD" w:rsidRDefault="00BB59CD" w:rsidP="00BB59CD">
      <w:pPr>
        <w:rPr>
          <w:rtl/>
        </w:rPr>
      </w:pPr>
      <w:bookmarkStart w:id="47437" w:name="_ETM_Q89_395000"/>
      <w:bookmarkEnd w:id="47437"/>
    </w:p>
    <w:p w:rsidR="00BB59CD" w:rsidRDefault="00BB59CD" w:rsidP="0081372E">
      <w:pPr>
        <w:rPr>
          <w:rtl/>
        </w:rPr>
      </w:pPr>
      <w:bookmarkStart w:id="47438" w:name="_ETM_Q89_396000"/>
      <w:bookmarkEnd w:id="47438"/>
      <w:r>
        <w:rPr>
          <w:rFonts w:hint="cs"/>
          <w:rtl/>
        </w:rPr>
        <w:t xml:space="preserve">איפה כן היה </w:t>
      </w:r>
      <w:bookmarkStart w:id="47439" w:name="_ETM_Q89_398000"/>
      <w:bookmarkEnd w:id="47439"/>
      <w:r>
        <w:rPr>
          <w:rFonts w:hint="cs"/>
          <w:rtl/>
        </w:rPr>
        <w:t>דיון? איפה כן היה דיון על החורבן הזה, שאתם משיתים</w:t>
      </w:r>
      <w:bookmarkStart w:id="47440" w:name="_ETM_Q89_403000"/>
      <w:bookmarkEnd w:id="47440"/>
      <w:r>
        <w:rPr>
          <w:rFonts w:hint="cs"/>
          <w:rtl/>
        </w:rPr>
        <w:t xml:space="preserve"> עלינו? חורבן, חורבן. אמרתי לך: שמע את פרידמן. אף </w:t>
      </w:r>
      <w:bookmarkStart w:id="47441" w:name="_ETM_Q89_416000"/>
      <w:bookmarkEnd w:id="47441"/>
      <w:r>
        <w:rPr>
          <w:rFonts w:hint="cs"/>
          <w:rtl/>
        </w:rPr>
        <w:t>פעם לא זוכר. אתה יודע, אני אגיד לך משהו</w:t>
      </w:r>
      <w:bookmarkStart w:id="47442" w:name="_ETM_Q89_422000"/>
      <w:bookmarkEnd w:id="47442"/>
      <w:r>
        <w:rPr>
          <w:rFonts w:hint="cs"/>
          <w:rtl/>
        </w:rPr>
        <w:t xml:space="preserve"> קשה. אימא שלי ניצולת שואה. לקחה כדורי שינה בלילות כדי </w:t>
      </w:r>
      <w:bookmarkStart w:id="47443" w:name="_ETM_Q89_430000"/>
      <w:bookmarkEnd w:id="47443"/>
      <w:r>
        <w:rPr>
          <w:rFonts w:hint="cs"/>
          <w:rtl/>
        </w:rPr>
        <w:t>להצליח להירדם. לא הבנתי מה זה, לקח לי הרבה</w:t>
      </w:r>
      <w:bookmarkStart w:id="47444" w:name="_ETM_Q89_434000"/>
      <w:bookmarkEnd w:id="47444"/>
      <w:r>
        <w:rPr>
          <w:rFonts w:hint="cs"/>
          <w:rtl/>
        </w:rPr>
        <w:t xml:space="preserve"> זמן. אני לא רוצה להגיד לך מה אנחנו עושים, ואני</w:t>
      </w:r>
      <w:bookmarkStart w:id="47445" w:name="_ETM_Q89_437000"/>
      <w:bookmarkEnd w:id="47445"/>
      <w:r>
        <w:rPr>
          <w:rFonts w:hint="cs"/>
          <w:rtl/>
        </w:rPr>
        <w:t xml:space="preserve"> לא רוצה להשוות</w:t>
      </w:r>
      <w:r w:rsidR="0081372E">
        <w:rPr>
          <w:rFonts w:hint="cs"/>
          <w:rtl/>
        </w:rPr>
        <w:t>;</w:t>
      </w:r>
      <w:r>
        <w:rPr>
          <w:rFonts w:hint="cs"/>
          <w:rtl/>
        </w:rPr>
        <w:t xml:space="preserve"> אני לא נרדם בלילות. תדע, ככה</w:t>
      </w:r>
      <w:bookmarkStart w:id="47446" w:name="_ETM_Q89_445000"/>
      <w:bookmarkEnd w:id="47446"/>
      <w:r>
        <w:rPr>
          <w:rFonts w:hint="cs"/>
          <w:rtl/>
        </w:rPr>
        <w:t xml:space="preserve"> ממש. </w:t>
      </w:r>
    </w:p>
    <w:p w:rsidR="00BB59CD" w:rsidRDefault="00BB59CD" w:rsidP="00BB59CD">
      <w:pPr>
        <w:rPr>
          <w:rtl/>
        </w:rPr>
      </w:pPr>
    </w:p>
    <w:p w:rsidR="00BB59CD" w:rsidRDefault="00BB59CD" w:rsidP="0081372E">
      <w:pPr>
        <w:rPr>
          <w:rtl/>
        </w:rPr>
      </w:pPr>
      <w:bookmarkStart w:id="47447" w:name="_ETM_Q89_447000"/>
      <w:bookmarkEnd w:id="47447"/>
      <w:r>
        <w:rPr>
          <w:rFonts w:hint="cs"/>
          <w:rtl/>
        </w:rPr>
        <w:t xml:space="preserve">אמרתי, במדינה דמוקרטית לא היו מביאים את זה </w:t>
      </w:r>
      <w:bookmarkStart w:id="47448" w:name="_ETM_Q89_455000"/>
      <w:bookmarkEnd w:id="47448"/>
      <w:r>
        <w:rPr>
          <w:rFonts w:hint="cs"/>
          <w:rtl/>
        </w:rPr>
        <w:t>כהצעת חוק פרטית או כהצעת חוק של ועדה. אתה יודע,</w:t>
      </w:r>
      <w:bookmarkStart w:id="47449" w:name="_ETM_Q89_460000"/>
      <w:bookmarkEnd w:id="47449"/>
      <w:r>
        <w:rPr>
          <w:rFonts w:hint="cs"/>
          <w:rtl/>
        </w:rPr>
        <w:t xml:space="preserve"> אתה ישבת כאן. אני העברתי חוק על קיזוז כספי טרור</w:t>
      </w:r>
      <w:bookmarkStart w:id="47450" w:name="_ETM_Q89_464000"/>
      <w:bookmarkEnd w:id="47450"/>
      <w:r>
        <w:rPr>
          <w:rFonts w:hint="cs"/>
          <w:rtl/>
        </w:rPr>
        <w:t xml:space="preserve"> שאמרו שהוא חוסך חיי אדם, ואני האמנתי. בסוף הוא</w:t>
      </w:r>
      <w:bookmarkStart w:id="47451" w:name="_ETM_Q89_469000"/>
      <w:bookmarkEnd w:id="47451"/>
      <w:r>
        <w:rPr>
          <w:rFonts w:hint="cs"/>
          <w:rtl/>
        </w:rPr>
        <w:t xml:space="preserve"> עבר ב-87 מול 15. הייתי באופוזיציה. אתה יודע כמה זמן זה לקח </w:t>
      </w:r>
      <w:bookmarkStart w:id="47452" w:name="_ETM_Q89_474000"/>
      <w:bookmarkEnd w:id="47452"/>
      <w:r>
        <w:rPr>
          <w:rFonts w:hint="cs"/>
          <w:rtl/>
        </w:rPr>
        <w:t>לי? שנה וארבעה חודשים. שנה וארבעה חודשים. מה פה עכשיו?</w:t>
      </w:r>
      <w:bookmarkStart w:id="47453" w:name="_ETM_Q89_483000"/>
      <w:bookmarkEnd w:id="47453"/>
      <w:r>
        <w:rPr>
          <w:rFonts w:hint="cs"/>
          <w:rtl/>
        </w:rPr>
        <w:t xml:space="preserve"> כאילו, אתם מתנצלים שבתוך מושב אחד עוד לא הצלחתם</w:t>
      </w:r>
      <w:bookmarkStart w:id="47454" w:name="_ETM_Q89_489000"/>
      <w:bookmarkEnd w:id="47454"/>
      <w:r>
        <w:rPr>
          <w:rFonts w:hint="cs"/>
          <w:rtl/>
        </w:rPr>
        <w:t xml:space="preserve"> להעביר את זה? צריך להראות הישגים לבייס, גם אם</w:t>
      </w:r>
      <w:bookmarkStart w:id="47455" w:name="_ETM_Q89_498000"/>
      <w:bookmarkEnd w:id="47455"/>
      <w:r>
        <w:rPr>
          <w:rFonts w:hint="cs"/>
          <w:rtl/>
        </w:rPr>
        <w:t xml:space="preserve"> המדינה תיחרב? זה נשמע לך הגיוני? </w:t>
      </w:r>
    </w:p>
    <w:p w:rsidR="00BB59CD" w:rsidRDefault="00BB59CD" w:rsidP="00BB59CD">
      <w:pPr>
        <w:rPr>
          <w:rtl/>
        </w:rPr>
      </w:pPr>
    </w:p>
    <w:p w:rsidR="00BB59CD" w:rsidRDefault="00BB59CD" w:rsidP="0081372E">
      <w:pPr>
        <w:rPr>
          <w:rtl/>
        </w:rPr>
      </w:pPr>
      <w:bookmarkStart w:id="47456" w:name="_ETM_Q89_507000"/>
      <w:bookmarkEnd w:id="47456"/>
      <w:r>
        <w:rPr>
          <w:rFonts w:hint="cs"/>
          <w:rtl/>
        </w:rPr>
        <w:t>אני אומר את זה, ואני אגיד לך את האמת: אני נתתי קרדיט גם לראש</w:t>
      </w:r>
      <w:bookmarkStart w:id="47457" w:name="_ETM_Q89_512000"/>
      <w:bookmarkEnd w:id="47457"/>
      <w:r>
        <w:rPr>
          <w:rFonts w:hint="cs"/>
          <w:rtl/>
        </w:rPr>
        <w:t xml:space="preserve"> הממשלה, גם לשר המשפטים על האחריות הזאת</w:t>
      </w:r>
      <w:r w:rsidR="0081372E">
        <w:rPr>
          <w:rFonts w:hint="cs"/>
          <w:rtl/>
        </w:rPr>
        <w:t>,</w:t>
      </w:r>
      <w:r>
        <w:rPr>
          <w:rFonts w:hint="cs"/>
          <w:rtl/>
        </w:rPr>
        <w:t xml:space="preserve"> והם שמים </w:t>
      </w:r>
      <w:bookmarkStart w:id="47458" w:name="_ETM_Q89_516000"/>
      <w:bookmarkEnd w:id="47458"/>
      <w:r>
        <w:rPr>
          <w:rFonts w:hint="cs"/>
          <w:rtl/>
        </w:rPr>
        <w:t>את הכול על הקצינים, על הטייסים? מחר כל הפורום העסקי</w:t>
      </w:r>
      <w:bookmarkStart w:id="47459" w:name="_ETM_Q89_526000"/>
      <w:bookmarkEnd w:id="47459"/>
      <w:r>
        <w:rPr>
          <w:rFonts w:hint="cs"/>
          <w:rtl/>
        </w:rPr>
        <w:t xml:space="preserve"> שובת – עזריאלי וביג ומי שאתה רוצה. והרופאים – יש </w:t>
      </w:r>
      <w:bookmarkStart w:id="47460" w:name="_ETM_Q89_532000"/>
      <w:bookmarkEnd w:id="47460"/>
      <w:r>
        <w:rPr>
          <w:rFonts w:hint="cs"/>
          <w:rtl/>
        </w:rPr>
        <w:t xml:space="preserve">להם </w:t>
      </w:r>
      <w:r w:rsidR="0081372E">
        <w:rPr>
          <w:rFonts w:hint="eastAsia"/>
          <w:rtl/>
        </w:rPr>
        <w:t>–</w:t>
      </w:r>
      <w:r w:rsidR="0081372E">
        <w:rPr>
          <w:rFonts w:hint="cs"/>
          <w:rtl/>
        </w:rPr>
        <w:t xml:space="preserve"> </w:t>
      </w:r>
      <w:r>
        <w:rPr>
          <w:rFonts w:hint="cs"/>
          <w:rtl/>
        </w:rPr>
        <w:t>גם כאלה שהחזיקו אולי את הלב של ראש הממשלה</w:t>
      </w:r>
      <w:bookmarkStart w:id="47461" w:name="_ETM_Q89_536000"/>
      <w:bookmarkEnd w:id="47461"/>
      <w:r>
        <w:rPr>
          <w:rFonts w:hint="cs"/>
          <w:rtl/>
        </w:rPr>
        <w:t xml:space="preserve"> ביד, או ליד היד</w:t>
      </w:r>
      <w:r w:rsidR="0081372E">
        <w:rPr>
          <w:rFonts w:hint="cs"/>
          <w:rtl/>
        </w:rPr>
        <w:t>,</w:t>
      </w:r>
      <w:r>
        <w:rPr>
          <w:rFonts w:hint="cs"/>
          <w:rtl/>
        </w:rPr>
        <w:t xml:space="preserve"> הם גם בהפגנות. הם חושבים על</w:t>
      </w:r>
      <w:bookmarkStart w:id="47462" w:name="_ETM_Q89_547000"/>
      <w:bookmarkEnd w:id="47462"/>
      <w:r>
        <w:rPr>
          <w:rFonts w:hint="cs"/>
          <w:rtl/>
        </w:rPr>
        <w:t xml:space="preserve"> מה שעושים. שמעתי שגם עורך הדין של ראש</w:t>
      </w:r>
      <w:bookmarkStart w:id="47463" w:name="_ETM_Q89_549000"/>
      <w:bookmarkEnd w:id="47463"/>
      <w:r>
        <w:rPr>
          <w:rFonts w:hint="cs"/>
          <w:rtl/>
        </w:rPr>
        <w:t xml:space="preserve"> הממשלה אמר באיזשהו שלב שאם הכול יעבור, הוא ל</w:t>
      </w:r>
      <w:bookmarkStart w:id="47464" w:name="_ETM_Q89_553000"/>
      <w:bookmarkEnd w:id="47464"/>
      <w:r>
        <w:rPr>
          <w:rFonts w:hint="cs"/>
          <w:rtl/>
        </w:rPr>
        <w:t xml:space="preserve">א יוכל לייצג אותו. </w:t>
      </w:r>
    </w:p>
    <w:p w:rsidR="00BB59CD" w:rsidRDefault="00BB59CD" w:rsidP="00BB59CD">
      <w:pPr>
        <w:rPr>
          <w:rtl/>
        </w:rPr>
      </w:pPr>
      <w:bookmarkStart w:id="47465" w:name="_ETM_Q89_525891"/>
      <w:bookmarkStart w:id="47466" w:name="_ETM_Q89_525967"/>
      <w:bookmarkEnd w:id="47465"/>
      <w:bookmarkEnd w:id="47466"/>
    </w:p>
    <w:p w:rsidR="00BB59CD" w:rsidRDefault="00BB59CD" w:rsidP="0081372E">
      <w:pPr>
        <w:rPr>
          <w:rtl/>
        </w:rPr>
      </w:pPr>
      <w:bookmarkStart w:id="47467" w:name="_ETM_Q89_526017"/>
      <w:bookmarkStart w:id="47468" w:name="_ETM_Q89_526092"/>
      <w:bookmarkEnd w:id="47467"/>
      <w:bookmarkEnd w:id="47468"/>
      <w:r>
        <w:rPr>
          <w:rFonts w:hint="cs"/>
          <w:rtl/>
        </w:rPr>
        <w:t>זה לא אנחנו, האופוזיציה; זה לא</w:t>
      </w:r>
      <w:bookmarkStart w:id="47469" w:name="_ETM_Q89_557000"/>
      <w:bookmarkEnd w:id="47469"/>
      <w:r>
        <w:rPr>
          <w:rFonts w:hint="cs"/>
          <w:rtl/>
        </w:rPr>
        <w:t xml:space="preserve"> הקצינים; זאת מדינה שלמה. אני לא מדרג אנשים</w:t>
      </w:r>
      <w:bookmarkStart w:id="47470" w:name="_ETM_Q89_567000"/>
      <w:bookmarkEnd w:id="47470"/>
      <w:r>
        <w:rPr>
          <w:rFonts w:hint="cs"/>
          <w:rtl/>
        </w:rPr>
        <w:t xml:space="preserve"> – הם בצד הזה</w:t>
      </w:r>
      <w:r w:rsidR="0081372E">
        <w:rPr>
          <w:rFonts w:hint="cs"/>
          <w:rtl/>
        </w:rPr>
        <w:t>,</w:t>
      </w:r>
      <w:r>
        <w:rPr>
          <w:rFonts w:hint="cs"/>
          <w:rtl/>
        </w:rPr>
        <w:t xml:space="preserve"> אם אתה רוצה</w:t>
      </w:r>
      <w:r w:rsidR="0081372E">
        <w:rPr>
          <w:rFonts w:hint="cs"/>
          <w:rtl/>
        </w:rPr>
        <w:t>,</w:t>
      </w:r>
      <w:r>
        <w:rPr>
          <w:rFonts w:hint="cs"/>
          <w:rtl/>
        </w:rPr>
        <w:t xml:space="preserve"> </w:t>
      </w:r>
      <w:bookmarkStart w:id="47471" w:name="_ETM_Q89_569000"/>
      <w:bookmarkEnd w:id="47471"/>
      <w:r>
        <w:rPr>
          <w:rFonts w:hint="cs"/>
          <w:rtl/>
        </w:rPr>
        <w:t>תרמו יותר מהצד הזה</w:t>
      </w:r>
      <w:bookmarkStart w:id="47472" w:name="_ETM_Q89_573000"/>
      <w:bookmarkStart w:id="47473" w:name="_ETM_Q89_580000"/>
      <w:bookmarkEnd w:id="47472"/>
      <w:bookmarkEnd w:id="47473"/>
      <w:r>
        <w:rPr>
          <w:rFonts w:hint="cs"/>
          <w:rtl/>
        </w:rPr>
        <w:t>,</w:t>
      </w:r>
      <w:bookmarkStart w:id="47474" w:name="_ETM_Q89_579000"/>
      <w:bookmarkEnd w:id="47474"/>
      <w:r>
        <w:rPr>
          <w:rFonts w:hint="cs"/>
          <w:rtl/>
        </w:rPr>
        <w:t xml:space="preserve"> אבל בטח לא פחות – לא לביטחון, לא לכלכלה, לא לחינוך. אמרתי </w:t>
      </w:r>
      <w:r w:rsidR="0081372E">
        <w:rPr>
          <w:rFonts w:hint="cs"/>
          <w:rtl/>
        </w:rPr>
        <w:t>"</w:t>
      </w:r>
      <w:r>
        <w:rPr>
          <w:rFonts w:hint="cs"/>
          <w:rtl/>
        </w:rPr>
        <w:t>בטח לא פחות</w:t>
      </w:r>
      <w:r w:rsidR="0081372E">
        <w:rPr>
          <w:rFonts w:hint="cs"/>
          <w:rtl/>
        </w:rPr>
        <w:t>"</w:t>
      </w:r>
      <w:r>
        <w:rPr>
          <w:rFonts w:hint="cs"/>
          <w:rtl/>
        </w:rPr>
        <w:t>,</w:t>
      </w:r>
      <w:bookmarkStart w:id="47475" w:name="_ETM_Q89_592000"/>
      <w:bookmarkEnd w:id="47475"/>
      <w:r>
        <w:rPr>
          <w:rFonts w:hint="cs"/>
          <w:rtl/>
        </w:rPr>
        <w:t xml:space="preserve"> וכל אחד יחשוב מה שהוא רוצה, רק כדי לא</w:t>
      </w:r>
      <w:bookmarkStart w:id="47476" w:name="_ETM_Q89_594000"/>
      <w:bookmarkEnd w:id="47476"/>
      <w:r>
        <w:rPr>
          <w:rFonts w:hint="cs"/>
          <w:rtl/>
        </w:rPr>
        <w:t xml:space="preserve"> להסיט את הדיון הברור לשם. </w:t>
      </w:r>
    </w:p>
    <w:p w:rsidR="00BB59CD" w:rsidRDefault="00BB59CD" w:rsidP="00BB59CD">
      <w:pPr>
        <w:rPr>
          <w:rtl/>
        </w:rPr>
      </w:pPr>
    </w:p>
    <w:p w:rsidR="00BB59CD" w:rsidRDefault="00BB59CD" w:rsidP="0081372E">
      <w:pPr>
        <w:rPr>
          <w:rtl/>
        </w:rPr>
      </w:pPr>
      <w:bookmarkStart w:id="47477" w:name="_ETM_Q89_598000"/>
      <w:bookmarkEnd w:id="47477"/>
      <w:r>
        <w:rPr>
          <w:rFonts w:hint="cs"/>
          <w:rtl/>
        </w:rPr>
        <w:t xml:space="preserve">מה אני אומר? אני </w:t>
      </w:r>
      <w:bookmarkStart w:id="47478" w:name="_ETM_Q89_602000"/>
      <w:bookmarkEnd w:id="47478"/>
      <w:r>
        <w:rPr>
          <w:rFonts w:hint="cs"/>
          <w:rtl/>
        </w:rPr>
        <w:t xml:space="preserve">אומר: </w:t>
      </w:r>
      <w:r w:rsidR="0081372E">
        <w:rPr>
          <w:rFonts w:hint="cs"/>
          <w:rtl/>
        </w:rPr>
        <w:t>ת</w:t>
      </w:r>
      <w:r>
        <w:rPr>
          <w:rFonts w:hint="cs"/>
          <w:rtl/>
        </w:rPr>
        <w:t>סתכלו על התמונה. אמרתי את זה פה כבר מהתחלה.</w:t>
      </w:r>
      <w:bookmarkStart w:id="47479" w:name="_ETM_Q89_609000"/>
      <w:bookmarkEnd w:id="47479"/>
      <w:r>
        <w:rPr>
          <w:rFonts w:hint="cs"/>
          <w:rtl/>
        </w:rPr>
        <w:t xml:space="preserve"> אמרתי גם לחברי הכנסת החרדים: ישנאו אתכם </w:t>
      </w:r>
      <w:bookmarkStart w:id="47480" w:name="_ETM_Q89_622963"/>
      <w:bookmarkEnd w:id="47480"/>
      <w:r>
        <w:rPr>
          <w:rFonts w:hint="cs"/>
          <w:rtl/>
        </w:rPr>
        <w:t>– זה כשעוד הי</w:t>
      </w:r>
      <w:r w:rsidR="0081372E">
        <w:rPr>
          <w:rFonts w:hint="cs"/>
          <w:rtl/>
        </w:rPr>
        <w:t>ו</w:t>
      </w:r>
      <w:r>
        <w:rPr>
          <w:rFonts w:hint="cs"/>
          <w:rtl/>
        </w:rPr>
        <w:t xml:space="preserve"> </w:t>
      </w:r>
      <w:bookmarkStart w:id="47481" w:name="_ETM_Q89_617000"/>
      <w:bookmarkEnd w:id="47481"/>
      <w:r>
        <w:rPr>
          <w:rFonts w:hint="cs"/>
          <w:rtl/>
        </w:rPr>
        <w:t>חוק החמץ וכל האלה עוד בתוך הסיפור הזה. בשביל מה</w:t>
      </w:r>
      <w:bookmarkStart w:id="47482" w:name="_ETM_Q89_623000"/>
      <w:bookmarkEnd w:id="47482"/>
      <w:r>
        <w:rPr>
          <w:rFonts w:hint="cs"/>
          <w:rtl/>
        </w:rPr>
        <w:t xml:space="preserve"> צריך את זה? כשאתם מתעקשים על מהפכה – לא אתה,</w:t>
      </w:r>
      <w:bookmarkStart w:id="47483" w:name="_ETM_Q89_630000"/>
      <w:bookmarkEnd w:id="47483"/>
      <w:r>
        <w:rPr>
          <w:rFonts w:hint="cs"/>
          <w:rtl/>
        </w:rPr>
        <w:t xml:space="preserve"> הם – איך אנחנו עכשיו מתחילים לשקם? לא יודע. דוגרי,</w:t>
      </w:r>
      <w:bookmarkStart w:id="47484" w:name="_ETM_Q89_634000"/>
      <w:bookmarkEnd w:id="47484"/>
      <w:r>
        <w:rPr>
          <w:rFonts w:hint="cs"/>
          <w:rtl/>
        </w:rPr>
        <w:t xml:space="preserve"> אני לא יודע. אני אומר כמו שאמרתי קודם, </w:t>
      </w:r>
      <w:bookmarkStart w:id="47485" w:name="_ETM_Q89_640000"/>
      <w:bookmarkEnd w:id="47485"/>
      <w:r>
        <w:rPr>
          <w:rFonts w:hint="cs"/>
          <w:rtl/>
        </w:rPr>
        <w:t xml:space="preserve">שאכפתיות זה </w:t>
      </w:r>
      <w:r>
        <w:t>way of thinking</w:t>
      </w:r>
      <w:r>
        <w:rPr>
          <w:rFonts w:hint="cs"/>
          <w:rtl/>
        </w:rPr>
        <w:t xml:space="preserve">, זאת תובנה, דיסציפלינות שבהן אנשים </w:t>
      </w:r>
      <w:bookmarkStart w:id="47486" w:name="_ETM_Q89_647000"/>
      <w:bookmarkEnd w:id="47486"/>
      <w:r>
        <w:rPr>
          <w:rFonts w:hint="cs"/>
          <w:rtl/>
        </w:rPr>
        <w:t>מתנהגים וחושבים. יש פה שרים בממשלה הזאת, שהשיסוי, הזלזול,</w:t>
      </w:r>
      <w:bookmarkStart w:id="47487" w:name="_ETM_Q89_656000"/>
      <w:bookmarkEnd w:id="47487"/>
      <w:r>
        <w:rPr>
          <w:rFonts w:hint="cs"/>
          <w:rtl/>
        </w:rPr>
        <w:t xml:space="preserve"> הרמיסה, הגזענות, ההסתה הם תורתם. נגיד שמחר תהיה פשרה, ואני</w:t>
      </w:r>
      <w:bookmarkStart w:id="47488" w:name="_ETM_Q89_670000"/>
      <w:bookmarkEnd w:id="47488"/>
      <w:r>
        <w:rPr>
          <w:rFonts w:hint="cs"/>
          <w:rtl/>
        </w:rPr>
        <w:t xml:space="preserve"> בעד פשרה, איך הם יפסיקו, מי מהם שמבין?</w:t>
      </w:r>
      <w:bookmarkStart w:id="47489" w:name="_ETM_Q89_678000"/>
      <w:bookmarkEnd w:id="47489"/>
      <w:r>
        <w:rPr>
          <w:rFonts w:hint="cs"/>
          <w:rtl/>
        </w:rPr>
        <w:t xml:space="preserve"> אני אומר בכאב, הם לא יפסיקו. הם לא יפסיקו. </w:t>
      </w:r>
    </w:p>
    <w:p w:rsidR="00BB59CD" w:rsidRDefault="00BB59CD" w:rsidP="00BB59CD">
      <w:pPr>
        <w:rPr>
          <w:rtl/>
        </w:rPr>
      </w:pPr>
    </w:p>
    <w:p w:rsidR="00BB59CD" w:rsidRDefault="00BB59CD" w:rsidP="004B58D2">
      <w:pPr>
        <w:rPr>
          <w:rtl/>
        </w:rPr>
      </w:pPr>
      <w:r>
        <w:rPr>
          <w:rFonts w:hint="cs"/>
          <w:rtl/>
        </w:rPr>
        <w:t xml:space="preserve">אתה </w:t>
      </w:r>
      <w:bookmarkStart w:id="47490" w:name="_ETM_Q89_685000"/>
      <w:bookmarkEnd w:id="47490"/>
      <w:r>
        <w:rPr>
          <w:rFonts w:hint="cs"/>
          <w:rtl/>
        </w:rPr>
        <w:t xml:space="preserve">שר בממשלת ישראל. עד לפני כמה שנים </w:t>
      </w:r>
      <w:r w:rsidR="0081372E">
        <w:rPr>
          <w:rFonts w:hint="cs"/>
          <w:rtl/>
        </w:rPr>
        <w:t>ל</w:t>
      </w:r>
      <w:r>
        <w:rPr>
          <w:rFonts w:hint="cs"/>
          <w:rtl/>
        </w:rPr>
        <w:t>שרים בממשלת</w:t>
      </w:r>
      <w:bookmarkStart w:id="47491" w:name="_ETM_Q89_693000"/>
      <w:bookmarkEnd w:id="47491"/>
      <w:r>
        <w:rPr>
          <w:rFonts w:hint="cs"/>
          <w:rtl/>
        </w:rPr>
        <w:t xml:space="preserve"> ישראל, גם בישיבות – קמו. למי נקום? לשרות, לשרים האלה?</w:t>
      </w:r>
      <w:bookmarkStart w:id="47492" w:name="_ETM_Q89_700000"/>
      <w:bookmarkEnd w:id="47492"/>
      <w:r>
        <w:rPr>
          <w:rFonts w:hint="cs"/>
          <w:rtl/>
        </w:rPr>
        <w:t xml:space="preserve"> כל אחד שרוצה, אומר: אה, אז נהיה שר</w:t>
      </w:r>
      <w:r w:rsidR="0081372E">
        <w:rPr>
          <w:rFonts w:hint="cs"/>
          <w:rtl/>
        </w:rPr>
        <w:t>,</w:t>
      </w:r>
      <w:r>
        <w:rPr>
          <w:rFonts w:hint="cs"/>
          <w:rtl/>
        </w:rPr>
        <w:t xml:space="preserve"> שרה</w:t>
      </w:r>
      <w:r w:rsidR="0081372E">
        <w:rPr>
          <w:rFonts w:hint="cs"/>
          <w:rtl/>
        </w:rPr>
        <w:t>.</w:t>
      </w:r>
      <w:r>
        <w:rPr>
          <w:rFonts w:hint="cs"/>
          <w:rtl/>
        </w:rPr>
        <w:t xml:space="preserve"> </w:t>
      </w:r>
      <w:bookmarkStart w:id="47493" w:name="_ETM_Q89_709000"/>
      <w:bookmarkEnd w:id="47493"/>
      <w:r>
        <w:rPr>
          <w:rFonts w:hint="cs"/>
          <w:rtl/>
        </w:rPr>
        <w:t xml:space="preserve">ממשלה של 64 – אמרתי לך כבר, אני לא </w:t>
      </w:r>
      <w:bookmarkStart w:id="47494" w:name="_ETM_Q89_714000"/>
      <w:bookmarkEnd w:id="47494"/>
      <w:r>
        <w:rPr>
          <w:rFonts w:hint="cs"/>
          <w:rtl/>
        </w:rPr>
        <w:t xml:space="preserve">יודע כמה שרים יש לה. </w:t>
      </w:r>
      <w:bookmarkStart w:id="47495" w:name="_ETM_Q89_719000"/>
      <w:bookmarkEnd w:id="47495"/>
      <w:r>
        <w:rPr>
          <w:rFonts w:hint="cs"/>
          <w:rtl/>
        </w:rPr>
        <w:t>אני רק אומר שאני לא</w:t>
      </w:r>
      <w:bookmarkStart w:id="47496" w:name="_ETM_Q89_723000"/>
      <w:bookmarkEnd w:id="47496"/>
      <w:r>
        <w:rPr>
          <w:rFonts w:hint="cs"/>
          <w:rtl/>
        </w:rPr>
        <w:t xml:space="preserve"> בטוח שאתם, הבודדים בממשלה שאנחנו רוצים לסמוך עליהם ואנחנו חושבים </w:t>
      </w:r>
      <w:bookmarkStart w:id="47497" w:name="_ETM_Q89_732000"/>
      <w:bookmarkEnd w:id="47497"/>
      <w:r>
        <w:rPr>
          <w:rFonts w:hint="cs"/>
          <w:rtl/>
        </w:rPr>
        <w:t>שאפשר לסמוך עליהם, אתם לא מאכזבים. אתה יודע מה? אתם</w:t>
      </w:r>
      <w:bookmarkStart w:id="47498" w:name="_ETM_Q89_738000"/>
      <w:bookmarkEnd w:id="47498"/>
      <w:r>
        <w:rPr>
          <w:rFonts w:hint="cs"/>
          <w:rtl/>
        </w:rPr>
        <w:t xml:space="preserve"> כן מאכזבים. מה זה שווה שמחר לא תתגלחו, תצומו, תקראו </w:t>
      </w:r>
      <w:bookmarkStart w:id="47499" w:name="_ETM_Q89_747000"/>
      <w:bookmarkEnd w:id="47499"/>
      <w:r>
        <w:rPr>
          <w:rFonts w:hint="cs"/>
          <w:rtl/>
        </w:rPr>
        <w:t xml:space="preserve">קינות, תקראו את מגילת איכה </w:t>
      </w:r>
      <w:r w:rsidR="004B58D2">
        <w:rPr>
          <w:rFonts w:hint="eastAsia"/>
          <w:rtl/>
        </w:rPr>
        <w:t>–</w:t>
      </w:r>
      <w:r w:rsidR="004B58D2">
        <w:rPr>
          <w:rFonts w:hint="cs"/>
          <w:rtl/>
        </w:rPr>
        <w:t xml:space="preserve"> </w:t>
      </w:r>
      <w:r>
        <w:rPr>
          <w:rFonts w:hint="cs"/>
          <w:rtl/>
        </w:rPr>
        <w:t xml:space="preserve">ותובילו אותנו לחורבן? </w:t>
      </w:r>
      <w:r w:rsidR="004B58D2">
        <w:rPr>
          <w:rFonts w:hint="cs"/>
          <w:rtl/>
        </w:rPr>
        <w:t>כש</w:t>
      </w:r>
      <w:r>
        <w:rPr>
          <w:rFonts w:hint="cs"/>
          <w:rtl/>
        </w:rPr>
        <w:t>כולם</w:t>
      </w:r>
      <w:bookmarkStart w:id="47500" w:name="_ETM_Q89_758000"/>
      <w:bookmarkEnd w:id="47500"/>
      <w:r>
        <w:rPr>
          <w:rFonts w:hint="cs"/>
          <w:rtl/>
        </w:rPr>
        <w:t xml:space="preserve"> אומרים לכם שהכתובת על הקיר</w:t>
      </w:r>
      <w:r w:rsidR="004B58D2">
        <w:rPr>
          <w:rFonts w:hint="cs"/>
          <w:rtl/>
        </w:rPr>
        <w:t>,</w:t>
      </w:r>
      <w:r>
        <w:rPr>
          <w:rFonts w:hint="cs"/>
          <w:rtl/>
        </w:rPr>
        <w:t xml:space="preserve"> כולם</w:t>
      </w:r>
      <w:r w:rsidR="004B58D2">
        <w:rPr>
          <w:rFonts w:hint="cs"/>
          <w:rtl/>
        </w:rPr>
        <w:t>,</w:t>
      </w:r>
      <w:r>
        <w:rPr>
          <w:rFonts w:hint="cs"/>
          <w:rtl/>
        </w:rPr>
        <w:t xml:space="preserve"> בארץ, מחוץ לארץ, רק</w:t>
      </w:r>
      <w:bookmarkStart w:id="47501" w:name="_ETM_Q89_764000"/>
      <w:bookmarkEnd w:id="47501"/>
      <w:r>
        <w:rPr>
          <w:rFonts w:hint="cs"/>
          <w:rtl/>
        </w:rPr>
        <w:t xml:space="preserve"> אתם כאילו לא רוצים לראות. </w:t>
      </w:r>
    </w:p>
    <w:p w:rsidR="00BB59CD" w:rsidRDefault="00BB59CD" w:rsidP="00BB59CD">
      <w:pPr>
        <w:rPr>
          <w:rtl/>
        </w:rPr>
      </w:pPr>
    </w:p>
    <w:p w:rsidR="00BB59CD" w:rsidRDefault="00BB59CD" w:rsidP="00BB59CD">
      <w:pPr>
        <w:rPr>
          <w:rtl/>
        </w:rPr>
      </w:pPr>
      <w:bookmarkStart w:id="47502" w:name="_ETM_Q89_769000"/>
      <w:bookmarkEnd w:id="47502"/>
      <w:r>
        <w:rPr>
          <w:rFonts w:hint="cs"/>
          <w:rtl/>
        </w:rPr>
        <w:t xml:space="preserve">אני באמת מקווה שגם אתה </w:t>
      </w:r>
      <w:bookmarkStart w:id="47503" w:name="_ETM_Q89_773000"/>
      <w:bookmarkEnd w:id="47503"/>
      <w:r>
        <w:rPr>
          <w:rFonts w:hint="cs"/>
          <w:rtl/>
        </w:rPr>
        <w:t>וגם אתם, גם ברגע האחרון, תגלו את האחריות</w:t>
      </w:r>
      <w:bookmarkStart w:id="47504" w:name="_ETM_Q89_785000"/>
      <w:bookmarkEnd w:id="47504"/>
      <w:r>
        <w:rPr>
          <w:rFonts w:hint="cs"/>
          <w:rtl/>
        </w:rPr>
        <w:t xml:space="preserve"> המתבקשת והמתחייבת. תודה. </w:t>
      </w:r>
    </w:p>
    <w:p w:rsidR="00BB59CD" w:rsidRDefault="00BB59CD" w:rsidP="00BB59CD">
      <w:pPr>
        <w:rPr>
          <w:rtl/>
        </w:rPr>
      </w:pPr>
    </w:p>
    <w:p w:rsidR="00BB59CD" w:rsidRDefault="00BB59CD" w:rsidP="00BB59CD">
      <w:pPr>
        <w:pStyle w:val="af9"/>
        <w:keepNext/>
        <w:rPr>
          <w:rtl/>
        </w:rPr>
      </w:pPr>
      <w:bookmarkStart w:id="47505" w:name="_ETM_Q89_139000"/>
      <w:bookmarkStart w:id="47506" w:name="ET_yor_6129_5"/>
      <w:bookmarkStart w:id="47507" w:name="ET_speaker_6144_2"/>
      <w:bookmarkEnd w:id="47505"/>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bookmarkEnd w:id="47506"/>
    </w:p>
    <w:p w:rsidR="00BB59CD" w:rsidRDefault="00BB59CD" w:rsidP="00337201">
      <w:pPr>
        <w:rPr>
          <w:rtl/>
          <w:lang w:eastAsia="he-IL"/>
        </w:rPr>
      </w:pPr>
    </w:p>
    <w:p w:rsidR="00BB59CD" w:rsidRDefault="00BB59CD" w:rsidP="00BB59CD">
      <w:pPr>
        <w:rPr>
          <w:rtl/>
          <w:lang w:eastAsia="he-IL"/>
        </w:rPr>
      </w:pPr>
      <w:r>
        <w:rPr>
          <w:rFonts w:hint="cs"/>
          <w:rtl/>
          <w:lang w:eastAsia="he-IL"/>
        </w:rPr>
        <w:t>חבר הכנסת אלון שוסטר, בבקשה.</w:t>
      </w:r>
    </w:p>
    <w:p w:rsidR="00BB59CD" w:rsidRDefault="00BB59CD" w:rsidP="00BB59CD">
      <w:pPr>
        <w:keepNext/>
        <w:rPr>
          <w:rtl/>
        </w:rPr>
      </w:pPr>
    </w:p>
    <w:p w:rsidR="00BB59CD" w:rsidRDefault="00BB59CD" w:rsidP="00BB59CD">
      <w:pPr>
        <w:pStyle w:val="a5"/>
        <w:keepNext/>
        <w:rPr>
          <w:rtl/>
        </w:rPr>
      </w:pPr>
      <w:r>
        <w:rPr>
          <w:rStyle w:val="TagStyle"/>
          <w:rFonts w:hint="cs"/>
          <w:rtl/>
        </w:rPr>
        <w:t xml:space="preserve"> &lt;&lt; דובר &gt;&gt; </w:t>
      </w:r>
      <w:bookmarkStart w:id="47508" w:name="_Toc141197173"/>
      <w:bookmarkStart w:id="47509" w:name="_Toc141196909"/>
      <w:r>
        <w:rPr>
          <w:rFonts w:hint="cs"/>
          <w:rtl/>
        </w:rPr>
        <w:t>אלון שוסטר (המחנה הממלכתי):</w:t>
      </w:r>
      <w:bookmarkEnd w:id="47508"/>
      <w:bookmarkEnd w:id="47509"/>
      <w:r>
        <w:rPr>
          <w:rStyle w:val="TagStyle"/>
          <w:rFonts w:hint="cs"/>
          <w:rtl/>
        </w:rPr>
        <w:t xml:space="preserve"> &lt;&lt; דובר &gt;&gt;</w:t>
      </w:r>
      <w:r>
        <w:rPr>
          <w:rFonts w:hint="cs"/>
          <w:rtl/>
        </w:rPr>
        <w:t xml:space="preserve">   </w:t>
      </w:r>
      <w:bookmarkEnd w:id="47507"/>
    </w:p>
    <w:p w:rsidR="00BB59CD" w:rsidRDefault="00BB59CD" w:rsidP="00337201">
      <w:pPr>
        <w:rPr>
          <w:rtl/>
        </w:rPr>
      </w:pPr>
    </w:p>
    <w:p w:rsidR="00BB59CD" w:rsidRDefault="00BB59CD" w:rsidP="00BE5385">
      <w:pPr>
        <w:rPr>
          <w:rtl/>
        </w:rPr>
      </w:pPr>
      <w:r>
        <w:rPr>
          <w:rFonts w:hint="cs"/>
          <w:rtl/>
        </w:rPr>
        <w:t xml:space="preserve">כבוד היושב-ראש, כנסת נכבדה ונהדרת, השר היקר מהדרום, מהלב, אני </w:t>
      </w:r>
      <w:bookmarkStart w:id="47510" w:name="_ETM_Q90_233827"/>
      <w:bookmarkEnd w:id="47510"/>
      <w:r>
        <w:rPr>
          <w:rFonts w:hint="cs"/>
          <w:rtl/>
        </w:rPr>
        <w:t xml:space="preserve">רוצה לפתוח ברוח צה"ל – ברוח צה"ל ובשבועת המתגייס. שבועת </w:t>
      </w:r>
      <w:bookmarkStart w:id="47511" w:name="_ETM_Q90_247859"/>
      <w:bookmarkEnd w:id="47511"/>
      <w:r>
        <w:rPr>
          <w:rFonts w:hint="cs"/>
          <w:rtl/>
        </w:rPr>
        <w:t xml:space="preserve">המתגייס משביעה אותו ואותה להיאבק עד כלות, אדוני היושב-ראש, כדי </w:t>
      </w:r>
      <w:bookmarkStart w:id="47512" w:name="_ETM_Q90_258387"/>
      <w:bookmarkEnd w:id="47512"/>
      <w:r>
        <w:rPr>
          <w:rFonts w:hint="cs"/>
          <w:rtl/>
        </w:rPr>
        <w:t xml:space="preserve">לשמור על ביטחונה של מדינת ישראל, של אזרחיה, של תושביה, </w:t>
      </w:r>
      <w:bookmarkStart w:id="47513" w:name="_ETM_Q90_265635"/>
      <w:bookmarkEnd w:id="47513"/>
      <w:r>
        <w:rPr>
          <w:rFonts w:hint="cs"/>
          <w:rtl/>
        </w:rPr>
        <w:t xml:space="preserve">לחרף את נפשם ממש להגנת המדינה, האזרחים והתושבים, </w:t>
      </w:r>
      <w:bookmarkStart w:id="47514" w:name="_ETM_Q90_276146"/>
      <w:bookmarkStart w:id="47515" w:name="_ETM_Q90_276228"/>
      <w:bookmarkStart w:id="47516" w:name="_ETM_Q90_276275"/>
      <w:bookmarkStart w:id="47517" w:name="_ETM_Q90_276340"/>
      <w:bookmarkEnd w:id="47514"/>
      <w:bookmarkEnd w:id="47515"/>
      <w:bookmarkEnd w:id="47516"/>
      <w:bookmarkEnd w:id="47517"/>
      <w:r w:rsidR="00BE5385">
        <w:rPr>
          <w:rFonts w:hint="cs"/>
          <w:rtl/>
        </w:rPr>
        <w:t>ו</w:t>
      </w:r>
      <w:r>
        <w:rPr>
          <w:rFonts w:hint="cs"/>
          <w:rtl/>
        </w:rPr>
        <w:t xml:space="preserve">כמובן, </w:t>
      </w:r>
      <w:bookmarkStart w:id="47518" w:name="_ETM_Q90_277763"/>
      <w:bookmarkEnd w:id="47518"/>
      <w:r>
        <w:rPr>
          <w:rFonts w:hint="cs"/>
          <w:rtl/>
        </w:rPr>
        <w:t xml:space="preserve">למלא אחר פקודות המפקדים. רוח צה"ל הוא המסמך שנותן </w:t>
      </w:r>
      <w:bookmarkStart w:id="47519" w:name="_ETM_Q90_291331"/>
      <w:bookmarkEnd w:id="47519"/>
      <w:r>
        <w:rPr>
          <w:rFonts w:hint="cs"/>
          <w:rtl/>
        </w:rPr>
        <w:t xml:space="preserve">את הקונטקסט שמאוד רלוונטי לדיון החשוב שמתקיים כרגע. רוח צה"ל </w:t>
      </w:r>
      <w:bookmarkStart w:id="47520" w:name="_ETM_Q90_305875"/>
      <w:bookmarkEnd w:id="47520"/>
      <w:r>
        <w:rPr>
          <w:rFonts w:hint="cs"/>
          <w:rtl/>
        </w:rPr>
        <w:t xml:space="preserve">אומר בפתיח: "צבא ההגנה לישראל הוא צבאה של מדינת ישראל. </w:t>
      </w:r>
      <w:bookmarkStart w:id="47521" w:name="_ETM_Q90_312321"/>
      <w:bookmarkEnd w:id="47521"/>
      <w:r>
        <w:rPr>
          <w:rFonts w:hint="cs"/>
          <w:rtl/>
        </w:rPr>
        <w:t xml:space="preserve">צה"ל פועל בכפיפות לרשויות" השלטון האזרחי והדמוקרטי – "השלטון האזרחי </w:t>
      </w:r>
      <w:bookmarkStart w:id="47522" w:name="_ETM_Q90_323729"/>
      <w:bookmarkEnd w:id="47522"/>
      <w:r>
        <w:rPr>
          <w:rFonts w:hint="cs"/>
          <w:rtl/>
        </w:rPr>
        <w:t>הדמוקרטי", כך יש לקרוא את זה, "</w:t>
      </w:r>
      <w:bookmarkStart w:id="47523" w:name="_ETM_Q90_320122"/>
      <w:bookmarkStart w:id="47524" w:name="_ETM_Q90_320198"/>
      <w:bookmarkEnd w:id="47523"/>
      <w:bookmarkEnd w:id="47524"/>
      <w:r>
        <w:rPr>
          <w:rFonts w:hint="cs"/>
          <w:rtl/>
        </w:rPr>
        <w:t xml:space="preserve">ולחוקי המדינה". כלומר, </w:t>
      </w:r>
      <w:bookmarkStart w:id="47525" w:name="_ETM_Q90_327273"/>
      <w:bookmarkEnd w:id="47525"/>
      <w:r>
        <w:rPr>
          <w:rFonts w:hint="cs"/>
          <w:rtl/>
        </w:rPr>
        <w:t xml:space="preserve">כבר בשורה הראשונה מבואר בצורה מפורשת שצה"ל אכן כפוף – כך </w:t>
      </w:r>
      <w:bookmarkStart w:id="47526" w:name="_ETM_Q90_338714"/>
      <w:bookmarkEnd w:id="47526"/>
      <w:r>
        <w:rPr>
          <w:rFonts w:hint="cs"/>
          <w:rtl/>
        </w:rPr>
        <w:t xml:space="preserve">ראוי – לשלטון האזרחי הדמוקרטי. הדיון שמתקיים כרגע, הדיון שמעלים במלוא </w:t>
      </w:r>
      <w:bookmarkStart w:id="47527" w:name="_ETM_Q90_353242"/>
      <w:bookmarkEnd w:id="47527"/>
      <w:r>
        <w:rPr>
          <w:rFonts w:hint="cs"/>
          <w:rtl/>
        </w:rPr>
        <w:t xml:space="preserve">חומרתו מפקדים בכירים, ראשים מהוללים  של מערכות הביטחון במדים ושאינם במדים, הוא אם אנחנו, כאשר נקבל </w:t>
      </w:r>
      <w:bookmarkStart w:id="47528" w:name="_ETM_Q90_371538"/>
      <w:bookmarkEnd w:id="47528"/>
      <w:r>
        <w:rPr>
          <w:rFonts w:hint="cs"/>
          <w:rtl/>
        </w:rPr>
        <w:t xml:space="preserve">את החוק שעליו אנחנו מדברים, האם אנחנו בעצם </w:t>
      </w:r>
      <w:bookmarkStart w:id="47529" w:name="_ETM_Q90_313810"/>
      <w:bookmarkStart w:id="47530" w:name="_ETM_Q90_370740"/>
      <w:bookmarkStart w:id="47531" w:name="_ETM_Q90_371099"/>
      <w:bookmarkStart w:id="47532" w:name="_ETM_Q90_371400"/>
      <w:bookmarkStart w:id="47533" w:name="_ETM_Q90_372900"/>
      <w:bookmarkStart w:id="47534" w:name="_ETM_Q90_373230"/>
      <w:bookmarkStart w:id="47535" w:name="_ETM_Q90_373620"/>
      <w:bookmarkStart w:id="47536" w:name="_ETM_Q90_374190"/>
      <w:bookmarkEnd w:id="47529"/>
      <w:bookmarkEnd w:id="47530"/>
      <w:bookmarkEnd w:id="47531"/>
      <w:bookmarkEnd w:id="47532"/>
      <w:bookmarkEnd w:id="47533"/>
      <w:bookmarkEnd w:id="47534"/>
      <w:bookmarkEnd w:id="47535"/>
      <w:bookmarkEnd w:id="47536"/>
      <w:r>
        <w:rPr>
          <w:rFonts w:hint="cs"/>
          <w:rtl/>
        </w:rPr>
        <w:t xml:space="preserve">גולשים </w:t>
      </w:r>
      <w:bookmarkStart w:id="47537" w:name="_ETM_Q90_375450"/>
      <w:bookmarkEnd w:id="47537"/>
      <w:r>
        <w:rPr>
          <w:rFonts w:hint="cs"/>
          <w:rtl/>
        </w:rPr>
        <w:t xml:space="preserve">אל </w:t>
      </w:r>
      <w:bookmarkStart w:id="47538" w:name="_ETM_Q90_375750"/>
      <w:bookmarkEnd w:id="47538"/>
      <w:r>
        <w:rPr>
          <w:rFonts w:hint="cs"/>
          <w:rtl/>
        </w:rPr>
        <w:t xml:space="preserve">מדרון </w:t>
      </w:r>
      <w:bookmarkStart w:id="47539" w:name="_ETM_Q90_377260"/>
      <w:bookmarkEnd w:id="47539"/>
      <w:r>
        <w:rPr>
          <w:rFonts w:hint="cs"/>
          <w:rtl/>
        </w:rPr>
        <w:t xml:space="preserve">של </w:t>
      </w:r>
      <w:bookmarkStart w:id="47540" w:name="_ETM_Q90_377590"/>
      <w:bookmarkEnd w:id="47540"/>
      <w:r>
        <w:rPr>
          <w:rFonts w:hint="cs"/>
          <w:rtl/>
        </w:rPr>
        <w:t xml:space="preserve">דמוקרטיה </w:t>
      </w:r>
      <w:bookmarkStart w:id="47541" w:name="_ETM_Q90_378459"/>
      <w:bookmarkEnd w:id="47541"/>
      <w:r>
        <w:rPr>
          <w:rFonts w:hint="cs"/>
          <w:rtl/>
        </w:rPr>
        <w:t xml:space="preserve">חלולה </w:t>
      </w:r>
      <w:bookmarkStart w:id="47542" w:name="_ETM_Q90_380359"/>
      <w:bookmarkEnd w:id="47542"/>
      <w:r>
        <w:rPr>
          <w:rFonts w:hint="cs"/>
          <w:rtl/>
        </w:rPr>
        <w:t xml:space="preserve">בואכה </w:t>
      </w:r>
      <w:bookmarkStart w:id="47543" w:name="_ETM_Q90_382130"/>
      <w:bookmarkEnd w:id="47543"/>
      <w:r>
        <w:rPr>
          <w:rFonts w:hint="cs"/>
          <w:rtl/>
        </w:rPr>
        <w:t xml:space="preserve">דיקטטורה, השם </w:t>
      </w:r>
      <w:bookmarkStart w:id="47544" w:name="_ETM_Q90_388582"/>
      <w:bookmarkEnd w:id="47544"/>
      <w:r>
        <w:rPr>
          <w:rFonts w:hint="cs"/>
          <w:rtl/>
        </w:rPr>
        <w:t>ישמור?</w:t>
      </w:r>
    </w:p>
    <w:p w:rsidR="00BB59CD" w:rsidRDefault="00BB59CD" w:rsidP="00BB59CD">
      <w:pPr>
        <w:rPr>
          <w:rtl/>
        </w:rPr>
      </w:pPr>
      <w:bookmarkStart w:id="47545" w:name="_ETM_Q90_382118"/>
      <w:bookmarkStart w:id="47546" w:name="_ETM_Q90_382236"/>
      <w:bookmarkEnd w:id="47545"/>
      <w:bookmarkEnd w:id="47546"/>
    </w:p>
    <w:p w:rsidR="00BB59CD" w:rsidRDefault="00BB59CD" w:rsidP="00BE5385">
      <w:pPr>
        <w:rPr>
          <w:rtl/>
        </w:rPr>
      </w:pPr>
      <w:bookmarkStart w:id="47547" w:name="_ETM_Q90_382262"/>
      <w:bookmarkStart w:id="47548" w:name="_ETM_Q90_382336"/>
      <w:bookmarkStart w:id="47549" w:name="_ETM_Q90_384859"/>
      <w:bookmarkStart w:id="47550" w:name="_ETM_Q90_385189"/>
      <w:bookmarkStart w:id="47551" w:name="_ETM_Q90_387270"/>
      <w:bookmarkStart w:id="47552" w:name="_ETM_Q90_387570"/>
      <w:bookmarkEnd w:id="47547"/>
      <w:bookmarkEnd w:id="47548"/>
      <w:bookmarkEnd w:id="47549"/>
      <w:bookmarkEnd w:id="47550"/>
      <w:bookmarkEnd w:id="47551"/>
      <w:bookmarkEnd w:id="47552"/>
      <w:r>
        <w:rPr>
          <w:rFonts w:hint="cs"/>
          <w:rtl/>
        </w:rPr>
        <w:t xml:space="preserve">"מטרת צה"ל </w:t>
      </w:r>
      <w:bookmarkStart w:id="47553" w:name="_ETM_Q90_388680"/>
      <w:bookmarkEnd w:id="47553"/>
      <w:r>
        <w:rPr>
          <w:rFonts w:hint="cs"/>
          <w:rtl/>
        </w:rPr>
        <w:t>ה</w:t>
      </w:r>
      <w:r w:rsidR="00BE5385">
        <w:rPr>
          <w:rFonts w:hint="cs"/>
          <w:rtl/>
        </w:rPr>
        <w:t>י</w:t>
      </w:r>
      <w:r>
        <w:rPr>
          <w:rFonts w:hint="cs"/>
          <w:rtl/>
        </w:rPr>
        <w:t xml:space="preserve">א </w:t>
      </w:r>
      <w:bookmarkStart w:id="47554" w:name="_ETM_Q90_388859"/>
      <w:bookmarkEnd w:id="47554"/>
      <w:r>
        <w:rPr>
          <w:rFonts w:hint="cs"/>
          <w:rtl/>
        </w:rPr>
        <w:t xml:space="preserve">להגן </w:t>
      </w:r>
      <w:bookmarkStart w:id="47555" w:name="_ETM_Q90_389249"/>
      <w:bookmarkEnd w:id="47555"/>
      <w:r>
        <w:rPr>
          <w:rFonts w:hint="cs"/>
          <w:rtl/>
        </w:rPr>
        <w:t xml:space="preserve">על </w:t>
      </w:r>
      <w:bookmarkStart w:id="47556" w:name="_ETM_Q90_389370"/>
      <w:bookmarkEnd w:id="47556"/>
      <w:r>
        <w:rPr>
          <w:rFonts w:hint="cs"/>
          <w:rtl/>
        </w:rPr>
        <w:t xml:space="preserve">קיומה </w:t>
      </w:r>
      <w:bookmarkStart w:id="47557" w:name="_ETM_Q90_389729"/>
      <w:bookmarkEnd w:id="47557"/>
      <w:r>
        <w:rPr>
          <w:rFonts w:hint="cs"/>
          <w:rtl/>
        </w:rPr>
        <w:t xml:space="preserve">של </w:t>
      </w:r>
      <w:bookmarkStart w:id="47558" w:name="_ETM_Q90_389879"/>
      <w:bookmarkEnd w:id="47558"/>
      <w:r>
        <w:rPr>
          <w:rFonts w:hint="cs"/>
          <w:rtl/>
        </w:rPr>
        <w:t xml:space="preserve">מדינת </w:t>
      </w:r>
      <w:bookmarkStart w:id="47559" w:name="_ETM_Q90_390269"/>
      <w:bookmarkEnd w:id="47559"/>
      <w:r>
        <w:rPr>
          <w:rFonts w:hint="cs"/>
          <w:rtl/>
        </w:rPr>
        <w:t xml:space="preserve">ישראל </w:t>
      </w:r>
      <w:bookmarkStart w:id="47560" w:name="_ETM_Q90_390659"/>
      <w:bookmarkEnd w:id="47560"/>
      <w:r>
        <w:rPr>
          <w:rFonts w:hint="cs"/>
          <w:rtl/>
        </w:rPr>
        <w:t xml:space="preserve">ועל </w:t>
      </w:r>
      <w:bookmarkStart w:id="47561" w:name="_ETM_Q90_390839"/>
      <w:bookmarkEnd w:id="47561"/>
      <w:r>
        <w:rPr>
          <w:rFonts w:hint="cs"/>
          <w:rtl/>
        </w:rPr>
        <w:t xml:space="preserve">עצמאותה </w:t>
      </w:r>
      <w:bookmarkStart w:id="47562" w:name="_ETM_Q90_391850"/>
      <w:bookmarkEnd w:id="47562"/>
      <w:r>
        <w:rPr>
          <w:rFonts w:hint="cs"/>
          <w:rtl/>
        </w:rPr>
        <w:t xml:space="preserve">ולסכל מאמצי אויב לשבש את אורח החיים התקין בה. חיילי צה"ל מחויבים להילחם, להקדיש את כל כוחותיהם, ואף לחרף </w:t>
      </w:r>
      <w:bookmarkStart w:id="47563" w:name="_ETM_Q90_398383"/>
      <w:bookmarkEnd w:id="47563"/>
      <w:r>
        <w:rPr>
          <w:rFonts w:hint="cs"/>
          <w:rtl/>
        </w:rPr>
        <w:t xml:space="preserve">את נפשם להגנת מדינת ישראל, אזרחיה ותושביה. חיילי צה"ל יפעלו </w:t>
      </w:r>
      <w:bookmarkStart w:id="47564" w:name="_ETM_Q90_407819"/>
      <w:bookmarkEnd w:id="47564"/>
      <w:r>
        <w:rPr>
          <w:rFonts w:hint="cs"/>
          <w:rtl/>
        </w:rPr>
        <w:t xml:space="preserve">על פי ערכי צה"ל" – המפורטים מייד – "ופקודותיו, תוך שמירה </w:t>
      </w:r>
      <w:bookmarkStart w:id="47565" w:name="_ETM_Q90_410639"/>
      <w:bookmarkEnd w:id="47565"/>
      <w:r>
        <w:rPr>
          <w:rFonts w:hint="cs"/>
          <w:rtl/>
        </w:rPr>
        <w:t>על חוקי המדינה וכבוד האדם". אני מבקש שתשימו לב, המילים</w:t>
      </w:r>
      <w:bookmarkStart w:id="47566" w:name="_ETM_Q90_422559"/>
      <w:bookmarkEnd w:id="47566"/>
      <w:r>
        <w:rPr>
          <w:rFonts w:hint="cs"/>
          <w:rtl/>
        </w:rPr>
        <w:t xml:space="preserve"> אינן מיותרות כאן, חוקי המדינה וכבוד האדם, זאת אומרת שצה"ל </w:t>
      </w:r>
      <w:bookmarkStart w:id="47567" w:name="_ETM_Q90_430831"/>
      <w:bookmarkEnd w:id="47567"/>
      <w:r>
        <w:rPr>
          <w:rFonts w:hint="cs"/>
          <w:rtl/>
        </w:rPr>
        <w:t xml:space="preserve">מבין שייתכן שחוקי המדינה אינם מכסים את כל הנסיבות האפשרויות </w:t>
      </w:r>
      <w:bookmarkStart w:id="47568" w:name="_ETM_Q90_439535"/>
      <w:bookmarkEnd w:id="47568"/>
      <w:r>
        <w:rPr>
          <w:rFonts w:hint="cs"/>
          <w:rtl/>
        </w:rPr>
        <w:t xml:space="preserve">שיש להקפיד בהן על כבוד האדם. כבוד האדם </w:t>
      </w:r>
      <w:bookmarkStart w:id="47569" w:name="_ETM_Q90_445054"/>
      <w:bookmarkEnd w:id="47569"/>
      <w:r>
        <w:rPr>
          <w:rFonts w:hint="cs"/>
          <w:rtl/>
        </w:rPr>
        <w:t>– לא האזרח, לא היהודי בהכרח</w:t>
      </w:r>
      <w:r w:rsidR="00BE5385">
        <w:rPr>
          <w:rFonts w:hint="cs"/>
          <w:rtl/>
        </w:rPr>
        <w:t>,</w:t>
      </w:r>
      <w:r>
        <w:rPr>
          <w:rFonts w:hint="cs"/>
          <w:rtl/>
        </w:rPr>
        <w:t xml:space="preserve"> כבוד האדם. שימו </w:t>
      </w:r>
      <w:bookmarkStart w:id="47570" w:name="_ETM_Q90_453742"/>
      <w:bookmarkEnd w:id="47570"/>
      <w:r>
        <w:rPr>
          <w:rFonts w:hint="cs"/>
          <w:rtl/>
        </w:rPr>
        <w:t xml:space="preserve">לב, "וכיבוד ערכיה של מדינת ישראל כמדינה יהודית ודמוקרטית", </w:t>
      </w:r>
      <w:bookmarkStart w:id="47571" w:name="_ETM_Q90_461742"/>
      <w:bookmarkEnd w:id="47571"/>
      <w:r>
        <w:rPr>
          <w:rFonts w:hint="cs"/>
          <w:rtl/>
        </w:rPr>
        <w:t xml:space="preserve">כלומר, השבועה לחרף את הנפש או להגיע עד כדי חירוף </w:t>
      </w:r>
      <w:bookmarkStart w:id="47572" w:name="_ETM_Q90_469423"/>
      <w:bookmarkEnd w:id="47572"/>
      <w:r>
        <w:rPr>
          <w:rFonts w:hint="cs"/>
          <w:rtl/>
        </w:rPr>
        <w:t xml:space="preserve">הנפש מבוטאת ומותנית בשמירה על כבוד האדם וכיבוד הערכים של </w:t>
      </w:r>
      <w:bookmarkStart w:id="47573" w:name="_ETM_Q90_483406"/>
      <w:bookmarkEnd w:id="47573"/>
      <w:r>
        <w:rPr>
          <w:rFonts w:hint="cs"/>
          <w:rtl/>
        </w:rPr>
        <w:t xml:space="preserve">מדינת ישראל כמדינה הן דמוקרטית והן יהודית. </w:t>
      </w:r>
      <w:bookmarkStart w:id="47574" w:name="_ETM_Q90_484743"/>
      <w:bookmarkEnd w:id="47574"/>
    </w:p>
    <w:p w:rsidR="00BB59CD" w:rsidRDefault="00BB59CD" w:rsidP="00BB59CD">
      <w:pPr>
        <w:rPr>
          <w:rtl/>
        </w:rPr>
      </w:pPr>
      <w:bookmarkStart w:id="47575" w:name="_ETM_Q90_484825"/>
      <w:bookmarkEnd w:id="47575"/>
    </w:p>
    <w:p w:rsidR="00BB59CD" w:rsidRDefault="00BB59CD" w:rsidP="00BE5385">
      <w:pPr>
        <w:rPr>
          <w:rtl/>
        </w:rPr>
      </w:pPr>
      <w:bookmarkStart w:id="47576" w:name="_ETM_Q90_484855"/>
      <w:bookmarkStart w:id="47577" w:name="_ETM_Q90_484967"/>
      <w:bookmarkEnd w:id="47576"/>
      <w:bookmarkEnd w:id="47577"/>
      <w:r>
        <w:rPr>
          <w:rFonts w:hint="cs"/>
          <w:rtl/>
        </w:rPr>
        <w:t xml:space="preserve">"רוח צה"ל הוא </w:t>
      </w:r>
      <w:bookmarkStart w:id="47578" w:name="_ETM_Q90_492247"/>
      <w:bookmarkEnd w:id="47578"/>
      <w:r>
        <w:rPr>
          <w:rFonts w:hint="cs"/>
          <w:rtl/>
        </w:rPr>
        <w:t xml:space="preserve">תעודת הזהות הערכית של צה"ל, אשר ראוי שתעמוד ביסוד הפעולות של כל </w:t>
      </w:r>
      <w:bookmarkStart w:id="47579" w:name="_ETM_Q90_496004"/>
      <w:bookmarkEnd w:id="47579"/>
      <w:r>
        <w:rPr>
          <w:rFonts w:hint="cs"/>
          <w:rtl/>
        </w:rPr>
        <w:t>חייל - - - בשירות סדיר ושירות מילואים"</w:t>
      </w:r>
      <w:r w:rsidR="00BE5385">
        <w:rPr>
          <w:rFonts w:hint="cs"/>
          <w:rtl/>
        </w:rPr>
        <w:t>;</w:t>
      </w:r>
      <w:r>
        <w:rPr>
          <w:rFonts w:hint="cs"/>
          <w:rtl/>
        </w:rPr>
        <w:t xml:space="preserve"> "רוח צה"ל יונק מארבעה </w:t>
      </w:r>
      <w:bookmarkStart w:id="47580" w:name="_ETM_Q90_502677"/>
      <w:bookmarkEnd w:id="47580"/>
      <w:r>
        <w:rPr>
          <w:rFonts w:hint="cs"/>
          <w:rtl/>
        </w:rPr>
        <w:t xml:space="preserve">מקורות: מסורת צה"ל ומורשת הלחימה שלו כצבא ההגנה לישראל. ממסורת </w:t>
      </w:r>
      <w:bookmarkStart w:id="47581" w:name="_ETM_Q90_511221"/>
      <w:bookmarkEnd w:id="47581"/>
      <w:r>
        <w:rPr>
          <w:rFonts w:hint="cs"/>
          <w:rtl/>
        </w:rPr>
        <w:t xml:space="preserve">מדינת ישראל על עקרונותיה הדמוקרטיים, חוקיה ומוסדותיה </w:t>
      </w:r>
      <w:r w:rsidR="00BE5385">
        <w:rPr>
          <w:rFonts w:hint="eastAsia"/>
          <w:rtl/>
        </w:rPr>
        <w:t>–</w:t>
      </w:r>
      <w:r w:rsidR="00BE5385">
        <w:rPr>
          <w:rFonts w:hint="cs"/>
          <w:rtl/>
        </w:rPr>
        <w:t xml:space="preserve"> </w:t>
      </w:r>
      <w:bookmarkStart w:id="47582" w:name="_ETM_Q90_515633"/>
      <w:bookmarkStart w:id="47583" w:name="_ETM_Q90_515705"/>
      <w:bookmarkStart w:id="47584" w:name="_ETM_Q90_515760"/>
      <w:bookmarkStart w:id="47585" w:name="_ETM_Q90_515818"/>
      <w:bookmarkEnd w:id="47582"/>
      <w:bookmarkEnd w:id="47583"/>
      <w:bookmarkEnd w:id="47584"/>
      <w:bookmarkEnd w:id="47585"/>
      <w:r>
        <w:rPr>
          <w:rFonts w:hint="cs"/>
          <w:rtl/>
        </w:rPr>
        <w:t xml:space="preserve">החברים מתבקשים לשמור </w:t>
      </w:r>
      <w:bookmarkStart w:id="47586" w:name="_ETM_Q90_518689"/>
      <w:bookmarkEnd w:id="47586"/>
      <w:r>
        <w:rPr>
          <w:rFonts w:hint="cs"/>
          <w:rtl/>
        </w:rPr>
        <w:t xml:space="preserve">על שקט בחזית המשותפת. </w:t>
      </w:r>
    </w:p>
    <w:p w:rsidR="00BB59CD" w:rsidRDefault="00BB59CD" w:rsidP="00BB59CD">
      <w:pPr>
        <w:rPr>
          <w:rtl/>
        </w:rPr>
      </w:pPr>
      <w:bookmarkStart w:id="47587" w:name="_ETM_Q90_525025"/>
      <w:bookmarkStart w:id="47588" w:name="_ETM_Q90_525095"/>
      <w:bookmarkEnd w:id="47587"/>
      <w:bookmarkEnd w:id="47588"/>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השרים. </w:t>
      </w:r>
    </w:p>
    <w:p w:rsidR="00BB59CD" w:rsidRDefault="00BB59CD" w:rsidP="00BB59CD">
      <w:pPr>
        <w:rPr>
          <w:rtl/>
        </w:rPr>
      </w:pPr>
    </w:p>
    <w:p w:rsidR="00BB59CD" w:rsidRDefault="00BB59CD" w:rsidP="00BB59CD">
      <w:pPr>
        <w:pStyle w:val="-"/>
        <w:keepNext/>
        <w:rPr>
          <w:rtl/>
        </w:rPr>
      </w:pPr>
      <w:bookmarkStart w:id="47589" w:name="ET_speakercontinue_6144_4"/>
      <w:r>
        <w:rPr>
          <w:rStyle w:val="TagStyle"/>
          <w:rFonts w:hint="cs"/>
          <w:rtl/>
        </w:rPr>
        <w:t xml:space="preserve"> &lt;&lt; דובר_המשך &gt;&gt; </w:t>
      </w:r>
      <w:r>
        <w:rPr>
          <w:rFonts w:hint="cs"/>
          <w:rtl/>
        </w:rPr>
        <w:t>אלון שוסטר (המחנה הממלכתי):</w:t>
      </w:r>
      <w:r>
        <w:rPr>
          <w:rStyle w:val="TagStyle"/>
          <w:rtl/>
        </w:rPr>
        <w:t xml:space="preserve"> &lt;&lt; דובר_המשך &gt;&gt;</w:t>
      </w:r>
      <w:r>
        <w:rPr>
          <w:rFonts w:hint="cs"/>
          <w:rtl/>
        </w:rPr>
        <w:t xml:space="preserve">   </w:t>
      </w:r>
      <w:bookmarkEnd w:id="47589"/>
    </w:p>
    <w:p w:rsidR="00BB59CD" w:rsidRDefault="00BB59CD" w:rsidP="00337201">
      <w:pPr>
        <w:rPr>
          <w:rtl/>
        </w:rPr>
      </w:pPr>
    </w:p>
    <w:p w:rsidR="00BB59CD" w:rsidRDefault="00BB59CD" w:rsidP="00BB59CD">
      <w:pPr>
        <w:rPr>
          <w:rtl/>
        </w:rPr>
      </w:pPr>
      <w:r>
        <w:rPr>
          <w:rFonts w:hint="cs"/>
          <w:rtl/>
        </w:rPr>
        <w:t xml:space="preserve">אם כן, עקרונותיה </w:t>
      </w:r>
      <w:bookmarkStart w:id="47590" w:name="_ETM_Q90_526842"/>
      <w:bookmarkEnd w:id="47590"/>
      <w:r>
        <w:rPr>
          <w:rFonts w:hint="cs"/>
          <w:rtl/>
        </w:rPr>
        <w:t xml:space="preserve">הדמוקרטיים של מדינת ישראל הם אחד ממקורות היניקה המרכזיים של </w:t>
      </w:r>
      <w:bookmarkStart w:id="47591" w:name="_ETM_Q90_533786"/>
      <w:bookmarkEnd w:id="47591"/>
      <w:r>
        <w:rPr>
          <w:rFonts w:hint="cs"/>
          <w:rtl/>
        </w:rPr>
        <w:t>צה"ל. "מסורת העם היהודי לדורותיו" ו"ערכי מוסר אוניברסליים המבוססים על</w:t>
      </w:r>
      <w:bookmarkStart w:id="47592" w:name="_ETM_Q90_543610"/>
      <w:bookmarkEnd w:id="47592"/>
      <w:r>
        <w:rPr>
          <w:rFonts w:hint="cs"/>
          <w:rtl/>
        </w:rPr>
        <w:t xml:space="preserve"> ערך האדם וכבודו". </w:t>
      </w:r>
      <w:bookmarkStart w:id="47593" w:name="_ETM_Q90_546906"/>
      <w:bookmarkStart w:id="47594" w:name="_ETM_Q90_546967"/>
      <w:bookmarkStart w:id="47595" w:name="_ETM_Q90_547049"/>
      <w:bookmarkStart w:id="47596" w:name="_ETM_Q90_547128"/>
      <w:bookmarkEnd w:id="47593"/>
      <w:bookmarkEnd w:id="47594"/>
      <w:bookmarkEnd w:id="47595"/>
      <w:bookmarkEnd w:id="47596"/>
      <w:r>
        <w:rPr>
          <w:rFonts w:hint="cs"/>
          <w:rtl/>
        </w:rPr>
        <w:t xml:space="preserve">אם כן, מתוך ארבעת המקורות, האחד </w:t>
      </w:r>
      <w:bookmarkStart w:id="47597" w:name="_ETM_Q90_553496"/>
      <w:bookmarkEnd w:id="47597"/>
      <w:r>
        <w:rPr>
          <w:rFonts w:hint="cs"/>
          <w:rtl/>
        </w:rPr>
        <w:t xml:space="preserve">הוא קשור לצבא, למסורת הצבאית, השני – למסורת של העם היהודי </w:t>
      </w:r>
      <w:bookmarkStart w:id="47598" w:name="_ETM_Q90_561209"/>
      <w:bookmarkEnd w:id="47598"/>
      <w:r>
        <w:rPr>
          <w:rFonts w:hint="cs"/>
          <w:rtl/>
        </w:rPr>
        <w:t xml:space="preserve">לדורותיו, ושני רכיבים קשורים במדינת ישראל הדמוקרטית וערכי מוסר אוניברסליים. </w:t>
      </w:r>
      <w:bookmarkStart w:id="47599" w:name="_ETM_Q90_573914"/>
      <w:bookmarkEnd w:id="47599"/>
    </w:p>
    <w:p w:rsidR="00BB59CD" w:rsidRDefault="00BB59CD" w:rsidP="00BB59CD">
      <w:pPr>
        <w:rPr>
          <w:rtl/>
        </w:rPr>
      </w:pPr>
      <w:bookmarkStart w:id="47600" w:name="_ETM_Q90_579279"/>
      <w:bookmarkStart w:id="47601" w:name="_ETM_Q90_579345"/>
      <w:bookmarkEnd w:id="47600"/>
      <w:bookmarkEnd w:id="47601"/>
    </w:p>
    <w:p w:rsidR="00BB59CD" w:rsidRDefault="00BB59CD" w:rsidP="00BE5385">
      <w:pPr>
        <w:rPr>
          <w:rtl/>
        </w:rPr>
      </w:pPr>
      <w:bookmarkStart w:id="47602" w:name="_ETM_Q90_579488"/>
      <w:bookmarkStart w:id="47603" w:name="_ETM_Q90_579549"/>
      <w:bookmarkEnd w:id="47602"/>
      <w:bookmarkEnd w:id="47603"/>
      <w:r>
        <w:rPr>
          <w:rFonts w:hint="cs"/>
          <w:rtl/>
        </w:rPr>
        <w:t xml:space="preserve">בערכי היסוד – אהבת המולדת ונאמנות למדינה. תשמעו היטב כיצד </w:t>
      </w:r>
      <w:bookmarkStart w:id="47604" w:name="_ETM_Q90_583721"/>
      <w:bookmarkEnd w:id="47604"/>
      <w:r>
        <w:rPr>
          <w:rFonts w:hint="cs"/>
          <w:rtl/>
        </w:rPr>
        <w:t xml:space="preserve">ערך היסוד הזה – יש שלושה ערכי יסוד ועשרה </w:t>
      </w:r>
      <w:bookmarkStart w:id="47605" w:name="_ETM_Q90_590042"/>
      <w:bookmarkEnd w:id="47605"/>
      <w:r>
        <w:rPr>
          <w:rFonts w:hint="cs"/>
          <w:rtl/>
        </w:rPr>
        <w:t xml:space="preserve">ערכים נוספים. ערכי היסוד הם הגנת המדינה – זה ברור – ושני </w:t>
      </w:r>
      <w:bookmarkStart w:id="47606" w:name="_ETM_Q90_594620"/>
      <w:bookmarkEnd w:id="47606"/>
      <w:r>
        <w:rPr>
          <w:rFonts w:hint="cs"/>
          <w:rtl/>
        </w:rPr>
        <w:t xml:space="preserve">ערכי יסוד מרכזיים הם אהבת המולדת ונאמנות למדינה וכבוד </w:t>
      </w:r>
      <w:bookmarkStart w:id="47607" w:name="_ETM_Q90_603727"/>
      <w:bookmarkEnd w:id="47607"/>
      <w:r>
        <w:rPr>
          <w:rFonts w:hint="cs"/>
          <w:rtl/>
        </w:rPr>
        <w:t xml:space="preserve">האדם. </w:t>
      </w:r>
      <w:bookmarkStart w:id="47608" w:name="_ETM_Q90_604768"/>
      <w:bookmarkStart w:id="47609" w:name="_ETM_Q90_604825"/>
      <w:bookmarkStart w:id="47610" w:name="_ETM_Q90_604896"/>
      <w:bookmarkStart w:id="47611" w:name="_ETM_Q90_604951"/>
      <w:bookmarkEnd w:id="47608"/>
      <w:bookmarkEnd w:id="47609"/>
      <w:bookmarkEnd w:id="47610"/>
      <w:bookmarkEnd w:id="47611"/>
      <w:r>
        <w:rPr>
          <w:rFonts w:hint="cs"/>
          <w:rtl/>
        </w:rPr>
        <w:t xml:space="preserve">אהבת המולדת </w:t>
      </w:r>
      <w:r w:rsidR="00BE5385">
        <w:rPr>
          <w:rFonts w:hint="eastAsia"/>
          <w:rtl/>
        </w:rPr>
        <w:t>–</w:t>
      </w:r>
      <w:r w:rsidR="00BE5385">
        <w:rPr>
          <w:rFonts w:hint="cs"/>
          <w:rtl/>
        </w:rPr>
        <w:t xml:space="preserve"> </w:t>
      </w:r>
      <w:r>
        <w:rPr>
          <w:rFonts w:hint="cs"/>
          <w:rtl/>
        </w:rPr>
        <w:t xml:space="preserve">מנוסח כך: "ביסוד השירות בצה"ל עומדת אהבת </w:t>
      </w:r>
      <w:bookmarkStart w:id="47612" w:name="_ETM_Q90_612160"/>
      <w:bookmarkEnd w:id="47612"/>
      <w:r>
        <w:rPr>
          <w:rFonts w:hint="cs"/>
          <w:rtl/>
        </w:rPr>
        <w:t xml:space="preserve">המולדת והמחויבות והמסירות למדינת ישראל" – מהי מדינת ישראל? </w:t>
      </w:r>
      <w:bookmarkStart w:id="47613" w:name="_ETM_Q90_616697"/>
      <w:bookmarkEnd w:id="47613"/>
      <w:r>
        <w:rPr>
          <w:rFonts w:hint="cs"/>
          <w:rtl/>
        </w:rPr>
        <w:t xml:space="preserve">"מדינה דמוקרטית המהווה בית לאומי לעם היהודי, לאזרחיה ולתושביה". אם </w:t>
      </w:r>
      <w:bookmarkStart w:id="47614" w:name="_ETM_Q90_629354"/>
      <w:bookmarkEnd w:id="47614"/>
      <w:r>
        <w:rPr>
          <w:rFonts w:hint="cs"/>
          <w:rtl/>
        </w:rPr>
        <w:t>כן, בערך הבסיסי הזה של צה"ל מוזכר</w:t>
      </w:r>
      <w:r w:rsidR="00BE5385">
        <w:rPr>
          <w:rFonts w:hint="cs"/>
          <w:rtl/>
        </w:rPr>
        <w:t>ות</w:t>
      </w:r>
      <w:r>
        <w:rPr>
          <w:rFonts w:hint="cs"/>
          <w:rtl/>
        </w:rPr>
        <w:t xml:space="preserve"> שוב אהבת המולדת </w:t>
      </w:r>
      <w:bookmarkStart w:id="47615" w:name="_ETM_Q90_640938"/>
      <w:bookmarkEnd w:id="47615"/>
      <w:r>
        <w:rPr>
          <w:rFonts w:hint="cs"/>
          <w:rtl/>
        </w:rPr>
        <w:t xml:space="preserve">לצד היסוד הדמוקרטי והאחריות לכלל הבאים בשערי המדינה שלנו. </w:t>
      </w:r>
      <w:bookmarkStart w:id="47616" w:name="_ETM_Q90_649769"/>
      <w:bookmarkStart w:id="47617" w:name="_ETM_Q90_649833"/>
      <w:bookmarkStart w:id="47618" w:name="_ETM_Q90_649898"/>
      <w:bookmarkStart w:id="47619" w:name="_ETM_Q90_649954"/>
      <w:bookmarkEnd w:id="47616"/>
      <w:bookmarkEnd w:id="47617"/>
      <w:bookmarkEnd w:id="47618"/>
      <w:bookmarkEnd w:id="47619"/>
      <w:r>
        <w:rPr>
          <w:rFonts w:hint="cs"/>
          <w:rtl/>
        </w:rPr>
        <w:t xml:space="preserve">היסוד </w:t>
      </w:r>
      <w:bookmarkStart w:id="47620" w:name="_ETM_Q90_650665"/>
      <w:bookmarkEnd w:id="47620"/>
      <w:r>
        <w:rPr>
          <w:rFonts w:hint="cs"/>
          <w:rtl/>
        </w:rPr>
        <w:t xml:space="preserve">השלישי – כבוד האדם: "צה"ל וחייליו מחויבים לשמור על כבוד האדם. </w:t>
      </w:r>
      <w:bookmarkStart w:id="47621" w:name="_ETM_Q90_651017"/>
      <w:bookmarkEnd w:id="47621"/>
      <w:r>
        <w:rPr>
          <w:rFonts w:hint="cs"/>
          <w:rtl/>
        </w:rPr>
        <w:t xml:space="preserve">כל אדם הוא בעל ערך שאינו מותנה במוצא, בדת, בלאום, </w:t>
      </w:r>
      <w:bookmarkStart w:id="47622" w:name="_ETM_Q90_660341"/>
      <w:bookmarkEnd w:id="47622"/>
      <w:r>
        <w:rPr>
          <w:rFonts w:hint="cs"/>
          <w:rtl/>
        </w:rPr>
        <w:t xml:space="preserve">במין, במעמד ובתפקיד". </w:t>
      </w:r>
    </w:p>
    <w:p w:rsidR="00BB59CD" w:rsidRDefault="00BB59CD" w:rsidP="00BB59CD">
      <w:pPr>
        <w:rPr>
          <w:rtl/>
        </w:rPr>
      </w:pPr>
      <w:bookmarkStart w:id="47623" w:name="_ETM_Q90_663068"/>
      <w:bookmarkStart w:id="47624" w:name="_ETM_Q90_663128"/>
      <w:bookmarkEnd w:id="47623"/>
      <w:bookmarkEnd w:id="47624"/>
    </w:p>
    <w:p w:rsidR="00BE5385" w:rsidRDefault="00BB59CD" w:rsidP="00BE5385">
      <w:pPr>
        <w:rPr>
          <w:rtl/>
        </w:rPr>
      </w:pPr>
      <w:bookmarkStart w:id="47625" w:name="_ETM_Q90_663197"/>
      <w:bookmarkStart w:id="47626" w:name="_ETM_Q90_663251"/>
      <w:bookmarkEnd w:id="47625"/>
      <w:bookmarkEnd w:id="47626"/>
      <w:r>
        <w:rPr>
          <w:rFonts w:hint="cs"/>
          <w:rtl/>
        </w:rPr>
        <w:t xml:space="preserve">הערכים עצמם, כולם חשובים </w:t>
      </w:r>
      <w:bookmarkStart w:id="47627" w:name="_ETM_Q90_669701"/>
      <w:bookmarkEnd w:id="47627"/>
      <w:r>
        <w:rPr>
          <w:rFonts w:hint="cs"/>
          <w:rtl/>
        </w:rPr>
        <w:t xml:space="preserve">ביותר – דבקות במשימה וחתירה לניצחון, אחריות, אמינות, דוגמה אישית, חיי </w:t>
      </w:r>
      <w:bookmarkStart w:id="47628" w:name="_ETM_Q90_677587"/>
      <w:bookmarkEnd w:id="47628"/>
      <w:r>
        <w:rPr>
          <w:rFonts w:hint="cs"/>
          <w:rtl/>
        </w:rPr>
        <w:t xml:space="preserve">אדם, טוהר הנשק, מקצועיות, משמעת, רעות ושליחות. בסוגיית המשמעת, </w:t>
      </w:r>
      <w:bookmarkStart w:id="47629" w:name="_ETM_Q90_689091"/>
      <w:bookmarkEnd w:id="47629"/>
      <w:r>
        <w:rPr>
          <w:rFonts w:hint="cs"/>
          <w:rtl/>
        </w:rPr>
        <w:t xml:space="preserve">שעולה בשבועות האלה, כתוב כך: "החייל יפעל כמיטב יכולתו לביצוע </w:t>
      </w:r>
      <w:bookmarkStart w:id="47630" w:name="_ETM_Q90_694095"/>
      <w:bookmarkEnd w:id="47630"/>
      <w:r>
        <w:rPr>
          <w:rFonts w:hint="cs"/>
          <w:rtl/>
        </w:rPr>
        <w:t>מלא ומוצלח של הנדרש ממנו על</w:t>
      </w:r>
      <w:r w:rsidR="00BE5385">
        <w:rPr>
          <w:rFonts w:hint="cs"/>
          <w:rtl/>
        </w:rPr>
        <w:t xml:space="preserve"> </w:t>
      </w:r>
      <w:r>
        <w:rPr>
          <w:rFonts w:hint="cs"/>
          <w:rtl/>
        </w:rPr>
        <w:t>פי הפקודות ועל</w:t>
      </w:r>
      <w:r w:rsidR="00BE5385">
        <w:rPr>
          <w:rFonts w:hint="cs"/>
          <w:rtl/>
        </w:rPr>
        <w:t xml:space="preserve"> </w:t>
      </w:r>
      <w:r>
        <w:rPr>
          <w:rFonts w:hint="cs"/>
          <w:rtl/>
        </w:rPr>
        <w:t xml:space="preserve">פי רוחן. החייל </w:t>
      </w:r>
      <w:bookmarkStart w:id="47631" w:name="_ETM_Q90_698286"/>
      <w:bookmarkEnd w:id="47631"/>
      <w:r>
        <w:rPr>
          <w:rFonts w:hint="cs"/>
          <w:rtl/>
        </w:rPr>
        <w:t xml:space="preserve">יקפיד על מתן פקודות חוקיות בלבד, ולא יציית לפקודות בלתי חוקיות בעליל". </w:t>
      </w:r>
      <w:bookmarkStart w:id="47632" w:name="_ETM_Q90_704749"/>
      <w:bookmarkStart w:id="47633" w:name="_ETM_Q90_704828"/>
      <w:bookmarkStart w:id="47634" w:name="_ETM_Q90_704878"/>
      <w:bookmarkStart w:id="47635" w:name="_ETM_Q90_704943"/>
      <w:bookmarkEnd w:id="47632"/>
      <w:bookmarkEnd w:id="47633"/>
      <w:bookmarkEnd w:id="47634"/>
      <w:bookmarkEnd w:id="47635"/>
      <w:r>
        <w:rPr>
          <w:rFonts w:hint="cs"/>
          <w:rtl/>
        </w:rPr>
        <w:t xml:space="preserve">אם כן, רוח צה"ל מבין – נדמה לי </w:t>
      </w:r>
      <w:bookmarkStart w:id="47636" w:name="_ETM_Q90_708179"/>
      <w:bookmarkEnd w:id="47636"/>
      <w:r>
        <w:rPr>
          <w:rFonts w:hint="cs"/>
          <w:rtl/>
        </w:rPr>
        <w:t xml:space="preserve">שברוח אפשר להשתמש גם בלשון זכר וגם בלשון נקבה – </w:t>
      </w:r>
      <w:bookmarkStart w:id="47637" w:name="_ETM_Q90_716868"/>
      <w:bookmarkEnd w:id="47637"/>
      <w:r>
        <w:rPr>
          <w:rFonts w:hint="cs"/>
          <w:rtl/>
        </w:rPr>
        <w:t xml:space="preserve">שישנם מצבי קיצון שבהם אדם צריך לפרש את המציאות </w:t>
      </w:r>
      <w:bookmarkStart w:id="47638" w:name="_ETM_Q90_725715"/>
      <w:bookmarkEnd w:id="47638"/>
      <w:r>
        <w:rPr>
          <w:rFonts w:hint="cs"/>
          <w:rtl/>
        </w:rPr>
        <w:t xml:space="preserve">במלוא חומרתה ולעיתים להגיע למסקנות משלו. </w:t>
      </w:r>
    </w:p>
    <w:p w:rsidR="00BE5385" w:rsidRDefault="00BE5385" w:rsidP="00BE5385">
      <w:pPr>
        <w:rPr>
          <w:rtl/>
        </w:rPr>
      </w:pPr>
    </w:p>
    <w:p w:rsidR="00BB59CD" w:rsidRDefault="00BB59CD" w:rsidP="00BE5385">
      <w:pPr>
        <w:rPr>
          <w:rtl/>
        </w:rPr>
      </w:pPr>
      <w:r>
        <w:rPr>
          <w:rFonts w:hint="cs"/>
          <w:rtl/>
        </w:rPr>
        <w:t xml:space="preserve">זהו המצב שאליו נקלעו </w:t>
      </w:r>
      <w:bookmarkStart w:id="47639" w:name="_ETM_Q90_735283"/>
      <w:bookmarkEnd w:id="47639"/>
      <w:r>
        <w:rPr>
          <w:rFonts w:hint="cs"/>
          <w:rtl/>
        </w:rPr>
        <w:t xml:space="preserve">אלפים ממשרתי המילואים, אותם אנשים שעשרות שנים כיבדו את הלאום </w:t>
      </w:r>
      <w:bookmarkStart w:id="47640" w:name="_ETM_Q90_749251"/>
      <w:bookmarkEnd w:id="47640"/>
      <w:r>
        <w:rPr>
          <w:rFonts w:hint="cs"/>
          <w:rtl/>
        </w:rPr>
        <w:t xml:space="preserve">הישראלי, את מסורת ישראל, את השאיפה שלהם, את הכבוד שהם </w:t>
      </w:r>
      <w:bookmarkStart w:id="47641" w:name="_ETM_Q90_756450"/>
      <w:bookmarkEnd w:id="47641"/>
      <w:r>
        <w:rPr>
          <w:rFonts w:hint="cs"/>
          <w:rtl/>
        </w:rPr>
        <w:t xml:space="preserve">ראו, רואים ויראו בהשתתפות בהגנה. </w:t>
      </w:r>
      <w:bookmarkStart w:id="47642" w:name="_ETM_Q90_762582"/>
      <w:bookmarkStart w:id="47643" w:name="_ETM_Q90_762654"/>
      <w:bookmarkStart w:id="47644" w:name="_ETM_Q90_762710"/>
      <w:bookmarkStart w:id="47645" w:name="_ETM_Q90_762782"/>
      <w:bookmarkStart w:id="47646" w:name="_ETM_Q90_763750"/>
      <w:bookmarkStart w:id="47647" w:name="TOR_Q91"/>
      <w:bookmarkEnd w:id="47642"/>
      <w:bookmarkEnd w:id="47643"/>
      <w:bookmarkEnd w:id="47644"/>
      <w:bookmarkEnd w:id="47645"/>
      <w:bookmarkEnd w:id="47646"/>
      <w:bookmarkEnd w:id="47647"/>
      <w:r>
        <w:rPr>
          <w:rFonts w:hint="cs"/>
          <w:rtl/>
        </w:rPr>
        <w:t>הינה הם מצויים בסיטואציה שבה חובתם לממש את האחריות הזו נתקלת בתחושתם שהממשלה מביאה אותם אל עבר קצה</w:t>
      </w:r>
      <w:r w:rsidR="00BE5385">
        <w:rPr>
          <w:rFonts w:hint="cs"/>
          <w:rtl/>
        </w:rPr>
        <w:t>,</w:t>
      </w:r>
      <w:r>
        <w:rPr>
          <w:rFonts w:hint="cs"/>
          <w:rtl/>
        </w:rPr>
        <w:t xml:space="preserve"> שמבוטא על ידי רבים רבים וטובים טובים </w:t>
      </w:r>
      <w:bookmarkStart w:id="47648" w:name="_ETM_Q91_185062"/>
      <w:bookmarkEnd w:id="47648"/>
      <w:r>
        <w:rPr>
          <w:rFonts w:hint="cs"/>
          <w:rtl/>
        </w:rPr>
        <w:t xml:space="preserve">ומסורים מסורים שנותרו בחיים, לצד חבריהם שלא שרדו את הקרבות. </w:t>
      </w:r>
      <w:bookmarkStart w:id="47649" w:name="_ETM_Q91_196722"/>
      <w:bookmarkEnd w:id="47649"/>
      <w:r>
        <w:rPr>
          <w:rFonts w:hint="cs"/>
          <w:rtl/>
        </w:rPr>
        <w:t xml:space="preserve">אותם מפקדים מהוללים, כמעט כל שדרת הפיקוד הבכיר של צה"ל, </w:t>
      </w:r>
      <w:bookmarkStart w:id="47650" w:name="_ETM_Q91_204099"/>
      <w:bookmarkEnd w:id="47650"/>
      <w:r>
        <w:rPr>
          <w:rFonts w:hint="cs"/>
          <w:rtl/>
        </w:rPr>
        <w:t xml:space="preserve">שב"כ, מוסד, אומרת לנו: אנחנו מצויים בצומת שאין לחצות </w:t>
      </w:r>
      <w:bookmarkStart w:id="47651" w:name="_ETM_Q91_215715"/>
      <w:bookmarkEnd w:id="47651"/>
      <w:r>
        <w:rPr>
          <w:rFonts w:hint="cs"/>
          <w:rtl/>
        </w:rPr>
        <w:t xml:space="preserve">אותו אלא בהסכמה רחבה, אלא במתינות, אלא בראייה של שמירת </w:t>
      </w:r>
      <w:bookmarkStart w:id="47652" w:name="_ETM_Q91_224355"/>
      <w:bookmarkEnd w:id="47652"/>
      <w:r>
        <w:rPr>
          <w:rFonts w:hint="cs"/>
          <w:rtl/>
        </w:rPr>
        <w:t xml:space="preserve">חוסנו של העם. </w:t>
      </w:r>
    </w:p>
    <w:p w:rsidR="00BB59CD" w:rsidRDefault="00BB59CD" w:rsidP="00BB59CD">
      <w:pPr>
        <w:rPr>
          <w:rtl/>
        </w:rPr>
      </w:pPr>
      <w:bookmarkStart w:id="47653" w:name="_ETM_Q91_228771"/>
      <w:bookmarkStart w:id="47654" w:name="_ETM_Q91_228842"/>
      <w:bookmarkEnd w:id="47653"/>
      <w:bookmarkEnd w:id="47654"/>
    </w:p>
    <w:p w:rsidR="00BB59CD" w:rsidRDefault="00BB59CD" w:rsidP="00BE5385">
      <w:pPr>
        <w:rPr>
          <w:rtl/>
        </w:rPr>
      </w:pPr>
      <w:bookmarkStart w:id="47655" w:name="_ETM_Q91_228899"/>
      <w:bookmarkStart w:id="47656" w:name="_ETM_Q91_228952"/>
      <w:bookmarkEnd w:id="47655"/>
      <w:bookmarkEnd w:id="47656"/>
      <w:r>
        <w:rPr>
          <w:rFonts w:hint="cs"/>
          <w:rtl/>
        </w:rPr>
        <w:t xml:space="preserve">אני במשך חצי השנה האחרונה אמרתי שוב </w:t>
      </w:r>
      <w:bookmarkStart w:id="47657" w:name="_ETM_Q91_233364"/>
      <w:bookmarkEnd w:id="47657"/>
      <w:r>
        <w:rPr>
          <w:rFonts w:hint="cs"/>
          <w:rtl/>
        </w:rPr>
        <w:t xml:space="preserve">ושוב מעל הבימה הזאת שהחשש הגדול ביותר שלי הוא לא </w:t>
      </w:r>
      <w:bookmarkStart w:id="47658" w:name="_ETM_Q91_240930"/>
      <w:bookmarkEnd w:id="47658"/>
      <w:r>
        <w:rPr>
          <w:rFonts w:hint="cs"/>
          <w:rtl/>
        </w:rPr>
        <w:t xml:space="preserve">החוק המסוים. חוקים אפשר לשנות. אני מאמין שחוק רע, הבית </w:t>
      </w:r>
      <w:bookmarkStart w:id="47659" w:name="_ETM_Q91_250387"/>
      <w:bookmarkEnd w:id="47659"/>
      <w:r>
        <w:rPr>
          <w:rFonts w:hint="cs"/>
          <w:rtl/>
        </w:rPr>
        <w:t xml:space="preserve">הזה ידע להתאים אותו, לשנות אותו בהתאם לצורך. מה שקשה </w:t>
      </w:r>
      <w:bookmarkStart w:id="47660" w:name="_ETM_Q91_259891"/>
      <w:bookmarkEnd w:id="47660"/>
      <w:r>
        <w:rPr>
          <w:rFonts w:hint="cs"/>
          <w:rtl/>
        </w:rPr>
        <w:t xml:space="preserve">בעיניי, מה שכואב בעיניי, מה שמעורר חשש גדול, מה שגורם </w:t>
      </w:r>
      <w:bookmarkStart w:id="47661" w:name="_ETM_Q91_266882"/>
      <w:bookmarkEnd w:id="47661"/>
      <w:r>
        <w:rPr>
          <w:rFonts w:hint="cs"/>
          <w:rtl/>
        </w:rPr>
        <w:t>לחרדה עמוקה למאות אלפי אזרחים</w:t>
      </w:r>
      <w:r w:rsidR="00BE5385">
        <w:rPr>
          <w:rFonts w:hint="cs"/>
          <w:rtl/>
        </w:rPr>
        <w:t>,</w:t>
      </w:r>
      <w:r>
        <w:rPr>
          <w:rFonts w:hint="cs"/>
          <w:rtl/>
        </w:rPr>
        <w:t xml:space="preserve"> ואולי מעבר לזה, מה שגורם </w:t>
      </w:r>
      <w:bookmarkStart w:id="47662" w:name="_ETM_Q91_274418"/>
      <w:bookmarkEnd w:id="47662"/>
      <w:r>
        <w:rPr>
          <w:rFonts w:hint="cs"/>
          <w:rtl/>
        </w:rPr>
        <w:t xml:space="preserve">לזעם גדול ותסכול, הוא התחושה של חלק גדול מהעם הזה, מהעם </w:t>
      </w:r>
      <w:bookmarkStart w:id="47663" w:name="_ETM_Q91_283666"/>
      <w:bookmarkEnd w:id="47663"/>
      <w:r>
        <w:rPr>
          <w:rFonts w:hint="cs"/>
          <w:rtl/>
        </w:rPr>
        <w:t>שלנו, התחושה של גולים בביתם. זאת מציאות אי</w:t>
      </w:r>
      <w:bookmarkStart w:id="47664" w:name="_ETM_Q91_293923"/>
      <w:bookmarkEnd w:id="47664"/>
      <w:r>
        <w:rPr>
          <w:rFonts w:hint="cs"/>
          <w:rtl/>
        </w:rPr>
        <w:t xml:space="preserve">ומה ונוראה. זאת מציאות שגם אם התכנים של החוקים הקיצוניים </w:t>
      </w:r>
      <w:bookmarkStart w:id="47665" w:name="_ETM_Q91_302531"/>
      <w:bookmarkEnd w:id="47665"/>
      <w:r>
        <w:rPr>
          <w:rFonts w:hint="cs"/>
          <w:rtl/>
        </w:rPr>
        <w:t>הללו היו תכנים ראויים – והם לא</w:t>
      </w:r>
      <w:r w:rsidR="00BE5385">
        <w:rPr>
          <w:rFonts w:hint="cs"/>
          <w:rtl/>
        </w:rPr>
        <w:t>;</w:t>
      </w:r>
      <w:r>
        <w:rPr>
          <w:rFonts w:hint="cs"/>
          <w:rtl/>
        </w:rPr>
        <w:t xml:space="preserve"> גם אם הם היו </w:t>
      </w:r>
      <w:bookmarkStart w:id="47666" w:name="_ETM_Q91_306068"/>
      <w:bookmarkEnd w:id="47666"/>
      <w:r>
        <w:rPr>
          <w:rFonts w:hint="cs"/>
          <w:rtl/>
        </w:rPr>
        <w:t>משרתים אותנו – והם לא</w:t>
      </w:r>
      <w:r w:rsidR="00BE5385">
        <w:rPr>
          <w:rFonts w:hint="cs"/>
          <w:rtl/>
        </w:rPr>
        <w:t>;</w:t>
      </w:r>
      <w:r>
        <w:rPr>
          <w:rFonts w:hint="cs"/>
          <w:rtl/>
        </w:rPr>
        <w:t xml:space="preserve"> גם אם התהליך שנבחר לחוקק את </w:t>
      </w:r>
      <w:bookmarkStart w:id="47667" w:name="_ETM_Q91_315827"/>
      <w:bookmarkEnd w:id="47667"/>
      <w:r>
        <w:rPr>
          <w:rFonts w:hint="cs"/>
          <w:rtl/>
        </w:rPr>
        <w:t xml:space="preserve">החוקים היה תהליך מתון, ראוי, לעומקם ולחשיבותם – והוא לא – גם </w:t>
      </w:r>
      <w:bookmarkStart w:id="47668" w:name="_ETM_Q91_327330"/>
      <w:bookmarkEnd w:id="47668"/>
      <w:r>
        <w:rPr>
          <w:rFonts w:hint="cs"/>
          <w:rtl/>
        </w:rPr>
        <w:t xml:space="preserve">אז היה צריך לסגת מפני השבר הגדול, מפני קטיעת הנימים </w:t>
      </w:r>
      <w:bookmarkStart w:id="47669" w:name="_ETM_Q91_337811"/>
      <w:bookmarkEnd w:id="47669"/>
      <w:r>
        <w:rPr>
          <w:rFonts w:hint="cs"/>
          <w:rtl/>
        </w:rPr>
        <w:t xml:space="preserve">הבלתי-נראים אבל המורגשים היטב בין אדם לאדם, בתוך משפחות, </w:t>
      </w:r>
      <w:bookmarkStart w:id="47670" w:name="_ETM_Q91_347426"/>
      <w:bookmarkEnd w:id="47670"/>
      <w:r>
        <w:rPr>
          <w:rFonts w:hint="cs"/>
          <w:rtl/>
        </w:rPr>
        <w:t xml:space="preserve">בתוך צוותי לוחמים, בתוך קבוצות עבודה ומחקר. </w:t>
      </w:r>
    </w:p>
    <w:p w:rsidR="00BB59CD" w:rsidRDefault="00BB59CD" w:rsidP="00BB59CD">
      <w:pPr>
        <w:rPr>
          <w:rtl/>
        </w:rPr>
      </w:pPr>
      <w:bookmarkStart w:id="47671" w:name="_ETM_Q91_354323"/>
      <w:bookmarkStart w:id="47672" w:name="_ETM_Q91_354393"/>
      <w:bookmarkEnd w:id="47671"/>
      <w:bookmarkEnd w:id="47672"/>
    </w:p>
    <w:p w:rsidR="00BB59CD" w:rsidRDefault="00BB59CD" w:rsidP="00BE5385">
      <w:pPr>
        <w:rPr>
          <w:rtl/>
        </w:rPr>
      </w:pPr>
      <w:bookmarkStart w:id="47673" w:name="_ETM_Q91_354451"/>
      <w:bookmarkStart w:id="47674" w:name="_ETM_Q91_354509"/>
      <w:bookmarkEnd w:id="47673"/>
      <w:bookmarkEnd w:id="47674"/>
      <w:r>
        <w:rPr>
          <w:rFonts w:hint="cs"/>
          <w:rtl/>
        </w:rPr>
        <w:t xml:space="preserve">אני רוצה לקבוע </w:t>
      </w:r>
      <w:bookmarkStart w:id="47675" w:name="_ETM_Q91_356083"/>
      <w:bookmarkEnd w:id="47675"/>
      <w:r>
        <w:rPr>
          <w:rFonts w:hint="cs"/>
          <w:rtl/>
        </w:rPr>
        <w:t xml:space="preserve">שאת השבר הזה יהיה קשה לרפא. אני חושב שאפשר יהיה. </w:t>
      </w:r>
      <w:bookmarkStart w:id="47676" w:name="_ETM_Q91_364739"/>
      <w:bookmarkEnd w:id="47676"/>
      <w:r>
        <w:rPr>
          <w:rFonts w:hint="cs"/>
          <w:rtl/>
        </w:rPr>
        <w:t>אני חושב שניתן להתגבר על פצעים</w:t>
      </w:r>
      <w:r w:rsidR="00BE5385">
        <w:rPr>
          <w:rFonts w:hint="cs"/>
          <w:rtl/>
        </w:rPr>
        <w:t>,</w:t>
      </w:r>
      <w:r>
        <w:rPr>
          <w:rFonts w:hint="cs"/>
          <w:rtl/>
        </w:rPr>
        <w:t xml:space="preserve"> צלקות יגלידו. אבל במציאות שאנחנו נמצאים בה כעת, חווי</w:t>
      </w:r>
      <w:bookmarkStart w:id="47677" w:name="_ETM_Q91_379888"/>
      <w:bookmarkEnd w:id="47677"/>
      <w:r>
        <w:rPr>
          <w:rFonts w:hint="cs"/>
          <w:rtl/>
        </w:rPr>
        <w:t xml:space="preserve">ם אותה כעת, אי-אפשר להסתפק. </w:t>
      </w:r>
      <w:bookmarkStart w:id="47678" w:name="_ETM_Q91_382156"/>
      <w:bookmarkEnd w:id="47678"/>
      <w:r>
        <w:rPr>
          <w:rFonts w:hint="cs"/>
          <w:rtl/>
        </w:rPr>
        <w:t xml:space="preserve">אני פונה לאותם שמאמינים שהחוק שמדובר בו כעת, ואולי החוקים </w:t>
      </w:r>
      <w:bookmarkStart w:id="47679" w:name="_ETM_Q91_388781"/>
      <w:bookmarkEnd w:id="47679"/>
      <w:r>
        <w:rPr>
          <w:rFonts w:hint="cs"/>
          <w:rtl/>
        </w:rPr>
        <w:t xml:space="preserve">הבאים בתור, הם חוקים ראויים. אני מפציר בהם להבין שאחיהם </w:t>
      </w:r>
      <w:bookmarkStart w:id="47680" w:name="_ETM_Q91_397168"/>
      <w:bookmarkEnd w:id="47680"/>
      <w:r>
        <w:rPr>
          <w:rFonts w:hint="cs"/>
          <w:rtl/>
        </w:rPr>
        <w:t xml:space="preserve">ואחיותיהם רואים במהלך הזה מהלך הרסני ממדרגה ראשונה. </w:t>
      </w:r>
      <w:bookmarkStart w:id="47681" w:name="_ETM_Q91_407743"/>
      <w:bookmarkEnd w:id="47681"/>
    </w:p>
    <w:p w:rsidR="00BB59CD" w:rsidRDefault="00BB59CD" w:rsidP="00BB59CD">
      <w:pPr>
        <w:rPr>
          <w:rtl/>
        </w:rPr>
      </w:pPr>
      <w:bookmarkStart w:id="47682" w:name="_ETM_Q91_410095"/>
      <w:bookmarkStart w:id="47683" w:name="_ETM_Q91_410158"/>
      <w:bookmarkEnd w:id="47682"/>
      <w:bookmarkEnd w:id="47683"/>
    </w:p>
    <w:p w:rsidR="00BB59CD" w:rsidRDefault="00BB59CD" w:rsidP="00BB59CD">
      <w:pPr>
        <w:rPr>
          <w:rtl/>
        </w:rPr>
      </w:pPr>
      <w:bookmarkStart w:id="47684" w:name="_ETM_Q91_410239"/>
      <w:bookmarkStart w:id="47685" w:name="_ETM_Q91_410297"/>
      <w:bookmarkEnd w:id="47684"/>
      <w:bookmarkEnd w:id="47685"/>
      <w:r>
        <w:rPr>
          <w:rFonts w:hint="cs"/>
          <w:rtl/>
        </w:rPr>
        <w:t xml:space="preserve">אני רוצה לגעת בנקודה שמרבים להעלות אותה. איך שרים </w:t>
      </w:r>
      <w:bookmarkStart w:id="47686" w:name="_ETM_Q91_418591"/>
      <w:bookmarkEnd w:id="47686"/>
      <w:r>
        <w:rPr>
          <w:rFonts w:hint="cs"/>
          <w:rtl/>
        </w:rPr>
        <w:t xml:space="preserve">הביטלס? כשנהיה בני 64. אז יש 64. ב-64 מקימים ממשלה לגיטימית, </w:t>
      </w:r>
      <w:bookmarkStart w:id="47687" w:name="_ETM_Q91_427798"/>
      <w:bookmarkEnd w:id="47687"/>
      <w:r>
        <w:rPr>
          <w:rFonts w:hint="cs"/>
          <w:rtl/>
        </w:rPr>
        <w:t xml:space="preserve">נכון? מותר לה לשלוט, מותר לה לחוקק חוקים אוויליים, חוקיים </w:t>
      </w:r>
      <w:bookmarkStart w:id="47688" w:name="_ETM_Q91_436182"/>
      <w:bookmarkEnd w:id="47688"/>
      <w:r>
        <w:rPr>
          <w:rFonts w:hint="cs"/>
          <w:rtl/>
        </w:rPr>
        <w:t xml:space="preserve">מושחתים, וזה קרה כאן בבית הזה. מותר לה לפתוח במלחמה, </w:t>
      </w:r>
      <w:bookmarkStart w:id="47689" w:name="_ETM_Q91_441988"/>
      <w:bookmarkEnd w:id="47689"/>
      <w:r>
        <w:rPr>
          <w:rFonts w:hint="cs"/>
          <w:rtl/>
        </w:rPr>
        <w:t xml:space="preserve">מותר לה לכרות בריתות שלום, מותר לה לבנות התיישבות או </w:t>
      </w:r>
      <w:bookmarkStart w:id="47690" w:name="_ETM_Q91_450052"/>
      <w:bookmarkEnd w:id="47690"/>
      <w:r>
        <w:rPr>
          <w:rFonts w:hint="cs"/>
          <w:rtl/>
        </w:rPr>
        <w:t xml:space="preserve">התנחלות שנויה במחלוקת ומותר לה להסיר התיישבות או התנחלויות שנויות </w:t>
      </w:r>
      <w:bookmarkStart w:id="47691" w:name="_ETM_Q91_458580"/>
      <w:bookmarkEnd w:id="47691"/>
      <w:r>
        <w:rPr>
          <w:rFonts w:hint="cs"/>
          <w:rtl/>
        </w:rPr>
        <w:t xml:space="preserve">במחלוקת. לא מותר, לא לגיטימי, לשנות כללי משחק שלא בקונסנזוס </w:t>
      </w:r>
      <w:bookmarkStart w:id="47692" w:name="_ETM_Q91_470196"/>
      <w:bookmarkEnd w:id="47692"/>
      <w:r>
        <w:rPr>
          <w:rFonts w:hint="cs"/>
          <w:rtl/>
        </w:rPr>
        <w:t xml:space="preserve">רחב. </w:t>
      </w:r>
      <w:bookmarkStart w:id="47693" w:name="_ETM_Q91_471283"/>
      <w:bookmarkStart w:id="47694" w:name="_ETM_Q91_471354"/>
      <w:bookmarkStart w:id="47695" w:name="_ETM_Q91_471428"/>
      <w:bookmarkStart w:id="47696" w:name="_ETM_Q91_471483"/>
      <w:bookmarkEnd w:id="47693"/>
      <w:bookmarkEnd w:id="47694"/>
      <w:bookmarkEnd w:id="47695"/>
      <w:bookmarkEnd w:id="47696"/>
      <w:r>
        <w:rPr>
          <w:rFonts w:hint="cs"/>
          <w:rtl/>
        </w:rPr>
        <w:t xml:space="preserve">אני לא יודע אם טכנית זה אפשרי. אני יודע </w:t>
      </w:r>
      <w:bookmarkStart w:id="47697" w:name="_ETM_Q91_476003"/>
      <w:bookmarkEnd w:id="47697"/>
      <w:r>
        <w:rPr>
          <w:rFonts w:hint="cs"/>
          <w:rtl/>
        </w:rPr>
        <w:t>שהדבר הזה הוא בלתי ראוי, הוא בלתי מידתי, ואולי</w:t>
      </w:r>
      <w:r w:rsidR="00BE5385">
        <w:rPr>
          <w:rFonts w:hint="cs"/>
          <w:rtl/>
        </w:rPr>
        <w:t>,</w:t>
      </w:r>
      <w:r>
        <w:rPr>
          <w:rFonts w:hint="cs"/>
          <w:rtl/>
        </w:rPr>
        <w:t xml:space="preserve"> בתוקף </w:t>
      </w:r>
      <w:bookmarkStart w:id="47698" w:name="_ETM_Q91_483892"/>
      <w:bookmarkEnd w:id="47698"/>
      <w:r>
        <w:rPr>
          <w:rFonts w:hint="cs"/>
          <w:rtl/>
        </w:rPr>
        <w:t xml:space="preserve">הדיון, הוא בלתי סביר בעליל. אני מקווה שלגבי החוקיות </w:t>
      </w:r>
      <w:bookmarkStart w:id="47699" w:name="_ETM_Q91_491790"/>
      <w:bookmarkEnd w:id="47699"/>
      <w:r>
        <w:rPr>
          <w:rFonts w:hint="cs"/>
          <w:rtl/>
        </w:rPr>
        <w:t xml:space="preserve">לא נצטרך לבחון את העניין לעומק. </w:t>
      </w:r>
    </w:p>
    <w:p w:rsidR="00BB59CD" w:rsidRDefault="00BB59CD" w:rsidP="00BB59CD">
      <w:pPr>
        <w:rPr>
          <w:rtl/>
        </w:rPr>
      </w:pPr>
      <w:bookmarkStart w:id="47700" w:name="_ETM_Q91_538043"/>
      <w:bookmarkStart w:id="47701" w:name="_ETM_Q91_538113"/>
      <w:bookmarkEnd w:id="47700"/>
      <w:bookmarkEnd w:id="47701"/>
    </w:p>
    <w:p w:rsidR="00BB59CD" w:rsidRDefault="00BB59CD" w:rsidP="00BE5385">
      <w:pPr>
        <w:rPr>
          <w:rtl/>
        </w:rPr>
      </w:pPr>
      <w:bookmarkStart w:id="47702" w:name="_ETM_Q91_538227"/>
      <w:bookmarkStart w:id="47703" w:name="_ETM_Q91_538282"/>
      <w:bookmarkEnd w:id="47702"/>
      <w:bookmarkEnd w:id="47703"/>
      <w:r>
        <w:rPr>
          <w:rFonts w:hint="cs"/>
          <w:rtl/>
        </w:rPr>
        <w:t>אני אומר את זה</w:t>
      </w:r>
      <w:bookmarkStart w:id="47704" w:name="_ETM_Q91_500223"/>
      <w:bookmarkEnd w:id="47704"/>
      <w:r>
        <w:rPr>
          <w:rFonts w:hint="cs"/>
          <w:rtl/>
        </w:rPr>
        <w:t xml:space="preserve"> בתור מי שעבר עליו ממש, יחד עם כבוד השר </w:t>
      </w:r>
      <w:bookmarkStart w:id="47705" w:name="_ETM_Q91_509455"/>
      <w:bookmarkEnd w:id="47705"/>
      <w:r>
        <w:rPr>
          <w:rFonts w:hint="cs"/>
          <w:rtl/>
        </w:rPr>
        <w:t xml:space="preserve">שנכנס, שר הכלכלה – שירתנו ביחד בקודש בחטיבת הצנחנים בסוף שנות השבעים, תחילת שנות השמונים, יחד עם חברים אחרים, שחשבו שמלחמת </w:t>
      </w:r>
      <w:bookmarkStart w:id="47706" w:name="_ETM_Q91_525653"/>
      <w:bookmarkEnd w:id="47706"/>
      <w:r>
        <w:rPr>
          <w:rFonts w:hint="cs"/>
          <w:rtl/>
        </w:rPr>
        <w:t>לבנון היא מלחמה מיותרת מהרגע הראשון, מלחמת שולל</w:t>
      </w:r>
      <w:r w:rsidR="00BE5385">
        <w:rPr>
          <w:rFonts w:hint="cs"/>
          <w:rtl/>
        </w:rPr>
        <w:t>,</w:t>
      </w:r>
      <w:r>
        <w:rPr>
          <w:rFonts w:hint="cs"/>
          <w:rtl/>
        </w:rPr>
        <w:t xml:space="preserve"> מהימים הראשונים. </w:t>
      </w:r>
      <w:bookmarkStart w:id="47707" w:name="_ETM_Q91_535076"/>
      <w:bookmarkEnd w:id="47707"/>
      <w:r>
        <w:rPr>
          <w:rFonts w:hint="cs"/>
          <w:rtl/>
        </w:rPr>
        <w:t xml:space="preserve">קמתי – הייתי בבית אחרי פציעה – והתנדבתי, כי כך עושה פטריוט </w:t>
      </w:r>
      <w:bookmarkStart w:id="47708" w:name="_ETM_Q91_544564"/>
      <w:bookmarkEnd w:id="47708"/>
      <w:r>
        <w:rPr>
          <w:rFonts w:hint="cs"/>
          <w:rtl/>
        </w:rPr>
        <w:t>כשהממשלה</w:t>
      </w:r>
      <w:r w:rsidR="00BE5385">
        <w:rPr>
          <w:rFonts w:hint="cs"/>
          <w:rtl/>
        </w:rPr>
        <w:t>,</w:t>
      </w:r>
      <w:r>
        <w:rPr>
          <w:rFonts w:hint="cs"/>
          <w:rtl/>
        </w:rPr>
        <w:t xml:space="preserve"> הגם שהוא לא בחר בה, ואולי בעיקר זהו </w:t>
      </w:r>
      <w:bookmarkStart w:id="47709" w:name="_ETM_Q91_551285"/>
      <w:bookmarkEnd w:id="47709"/>
      <w:r>
        <w:rPr>
          <w:rFonts w:hint="cs"/>
          <w:rtl/>
        </w:rPr>
        <w:t>האתגר הגדול</w:t>
      </w:r>
      <w:r w:rsidR="00BE5385">
        <w:rPr>
          <w:rFonts w:hint="cs"/>
          <w:rtl/>
        </w:rPr>
        <w:t>,</w:t>
      </w:r>
      <w:r>
        <w:rPr>
          <w:rFonts w:hint="cs"/>
          <w:rtl/>
        </w:rPr>
        <w:t xml:space="preserve"> אומרת: יוצאים למלחמה. אתה בא ומבצע את המשימה </w:t>
      </w:r>
      <w:bookmarkStart w:id="47710" w:name="_ETM_Q91_558340"/>
      <w:bookmarkEnd w:id="47710"/>
      <w:r>
        <w:rPr>
          <w:rFonts w:hint="cs"/>
          <w:rtl/>
        </w:rPr>
        <w:t xml:space="preserve">ואחר כך פושט את המדים ואומר את דבריך בכיכרות, בתקשורת. זהו </w:t>
      </w:r>
      <w:bookmarkStart w:id="47711" w:name="_ETM_Q91_565813"/>
      <w:bookmarkEnd w:id="47711"/>
      <w:r>
        <w:rPr>
          <w:rFonts w:hint="cs"/>
          <w:rtl/>
        </w:rPr>
        <w:t xml:space="preserve">הדבר שעושים כאשר ממשלה אוחזת ומיישמת את הפעולות הלגיטימיות העצומות </w:t>
      </w:r>
      <w:bookmarkStart w:id="47712" w:name="_ETM_Q91_576341"/>
      <w:bookmarkEnd w:id="47712"/>
      <w:r>
        <w:rPr>
          <w:rFonts w:hint="cs"/>
          <w:rtl/>
        </w:rPr>
        <w:t xml:space="preserve">שעומדות בפניה ושום בית משפט לא עוצר אותן. </w:t>
      </w:r>
    </w:p>
    <w:p w:rsidR="00BB59CD" w:rsidRDefault="00BB59CD" w:rsidP="00BB59CD">
      <w:pPr>
        <w:rPr>
          <w:rtl/>
        </w:rPr>
      </w:pPr>
      <w:bookmarkStart w:id="47713" w:name="_ETM_Q91_581700"/>
      <w:bookmarkStart w:id="47714" w:name="_ETM_Q91_581782"/>
      <w:bookmarkStart w:id="47715" w:name="_ETM_Q91_581829"/>
      <w:bookmarkEnd w:id="47713"/>
      <w:bookmarkEnd w:id="47714"/>
      <w:bookmarkEnd w:id="47715"/>
    </w:p>
    <w:p w:rsidR="00BB59CD" w:rsidRDefault="00BB59CD" w:rsidP="00BE5385">
      <w:pPr>
        <w:rPr>
          <w:rtl/>
        </w:rPr>
      </w:pPr>
      <w:bookmarkStart w:id="47716" w:name="_ETM_Q91_581914"/>
      <w:bookmarkEnd w:id="47716"/>
      <w:r>
        <w:rPr>
          <w:rFonts w:hint="cs"/>
          <w:rtl/>
        </w:rPr>
        <w:t xml:space="preserve">אני אומר </w:t>
      </w:r>
      <w:bookmarkStart w:id="47717" w:name="_ETM_Q91_586326"/>
      <w:bookmarkEnd w:id="47717"/>
      <w:r>
        <w:rPr>
          <w:rFonts w:hint="cs"/>
          <w:rtl/>
        </w:rPr>
        <w:t xml:space="preserve">את זה כמי שפעל עשרות שנים ברשות המבצעת, בצה"ל, בעיקר </w:t>
      </w:r>
      <w:bookmarkStart w:id="47718" w:name="_ETM_Q91_591188"/>
      <w:bookmarkEnd w:id="47718"/>
      <w:r>
        <w:rPr>
          <w:rFonts w:hint="cs"/>
          <w:rtl/>
        </w:rPr>
        <w:t xml:space="preserve">במילואים, עשרות שנים במערכת החינוך, במרחב המוניציפלי. אני יכול להבין </w:t>
      </w:r>
      <w:bookmarkStart w:id="47719" w:name="_ETM_Q91_599253"/>
      <w:bookmarkEnd w:id="47719"/>
      <w:r>
        <w:rPr>
          <w:rFonts w:hint="cs"/>
          <w:rtl/>
        </w:rPr>
        <w:t xml:space="preserve">את התסכול שמתלווה לעיתים להגבלות של יועצים משפטיים ומערכות אכיפת </w:t>
      </w:r>
      <w:bookmarkStart w:id="47720" w:name="_ETM_Q91_607940"/>
      <w:bookmarkEnd w:id="47720"/>
      <w:r>
        <w:rPr>
          <w:rFonts w:hint="cs"/>
          <w:rtl/>
        </w:rPr>
        <w:t xml:space="preserve">החוק והמשפט. יש תחושה שהשופטים לא נושאים באחריות, היועצים לא </w:t>
      </w:r>
      <w:bookmarkStart w:id="47721" w:name="_ETM_Q91_616565"/>
      <w:bookmarkEnd w:id="47721"/>
      <w:r>
        <w:rPr>
          <w:rFonts w:hint="cs"/>
          <w:rtl/>
        </w:rPr>
        <w:t xml:space="preserve">נבחרו על ידי האזרחים לביצוע המשימות המורכבות. אז עולה השאלה, </w:t>
      </w:r>
      <w:bookmarkStart w:id="47722" w:name="_ETM_Q91_622693"/>
      <w:bookmarkEnd w:id="47722"/>
      <w:r>
        <w:rPr>
          <w:rFonts w:hint="cs"/>
          <w:rtl/>
        </w:rPr>
        <w:t>ויש בה היגיון: מדוע ערכיה ואמונותיה של קבוצה מצומצ</w:t>
      </w:r>
      <w:bookmarkStart w:id="47723" w:name="_ETM_Q91_630837"/>
      <w:bookmarkEnd w:id="47723"/>
      <w:r>
        <w:rPr>
          <w:rFonts w:hint="cs"/>
          <w:rtl/>
        </w:rPr>
        <w:t xml:space="preserve">מת של אנשי מקצוע בתחום המשפט ראוי שיהוו חסם ליכולת </w:t>
      </w:r>
      <w:bookmarkStart w:id="47724" w:name="_ETM_Q91_634139"/>
      <w:bookmarkEnd w:id="47724"/>
      <w:r>
        <w:rPr>
          <w:rFonts w:hint="cs"/>
          <w:rtl/>
        </w:rPr>
        <w:t xml:space="preserve">השליטה של נבחרים וממונים בכירים במערכות השלטון? </w:t>
      </w:r>
      <w:bookmarkStart w:id="47725" w:name="_ETM_Q91_639866"/>
      <w:bookmarkStart w:id="47726" w:name="_ETM_Q91_639947"/>
      <w:bookmarkStart w:id="47727" w:name="_ETM_Q91_639978"/>
      <w:bookmarkStart w:id="47728" w:name="_ETM_Q91_640043"/>
      <w:bookmarkEnd w:id="47725"/>
      <w:bookmarkEnd w:id="47726"/>
      <w:bookmarkEnd w:id="47727"/>
      <w:bookmarkEnd w:id="47728"/>
      <w:r>
        <w:rPr>
          <w:rFonts w:hint="cs"/>
          <w:rtl/>
        </w:rPr>
        <w:t>ובכן, כאן אנחנו נוגעים, אדוני היושב-ראש, בליבת המחלוקת. במדינה כמו מדינת ישראל</w:t>
      </w:r>
      <w:bookmarkStart w:id="47729" w:name="_ETM_Q91_649924"/>
      <w:bookmarkEnd w:id="47729"/>
      <w:r>
        <w:rPr>
          <w:rFonts w:hint="cs"/>
          <w:rtl/>
        </w:rPr>
        <w:t xml:space="preserve">, שאין בה חוקה, אין בה בית עליון, אין בה שלטון פדרלי או על-מדינתי, אין בה למעשה כמעט כל </w:t>
      </w:r>
      <w:bookmarkStart w:id="47730" w:name="_ETM_Q91_658479"/>
      <w:bookmarkEnd w:id="47730"/>
      <w:r>
        <w:rPr>
          <w:rFonts w:hint="cs"/>
          <w:rtl/>
        </w:rPr>
        <w:t xml:space="preserve">הגבלות חוקיות על שרירות לב השלטון, כל שלטון </w:t>
      </w:r>
      <w:r w:rsidR="00BE5385">
        <w:rPr>
          <w:rFonts w:hint="eastAsia"/>
          <w:rtl/>
        </w:rPr>
        <w:t>–</w:t>
      </w:r>
      <w:r w:rsidR="00BE5385">
        <w:rPr>
          <w:rFonts w:hint="cs"/>
          <w:rtl/>
        </w:rPr>
        <w:t xml:space="preserve"> </w:t>
      </w:r>
      <w:r>
        <w:rPr>
          <w:rFonts w:hint="cs"/>
          <w:rtl/>
        </w:rPr>
        <w:t xml:space="preserve">במדינה כזאת, </w:t>
      </w:r>
      <w:bookmarkStart w:id="47731" w:name="_ETM_Q91_665360"/>
      <w:bookmarkEnd w:id="47731"/>
      <w:r>
        <w:rPr>
          <w:rFonts w:hint="cs"/>
          <w:rtl/>
        </w:rPr>
        <w:t xml:space="preserve">היא מדינת ישראל, הרי שמערכת המשפט ושומרי הסף הם המבטיחים </w:t>
      </w:r>
      <w:bookmarkStart w:id="47732" w:name="_ETM_Q91_674894"/>
      <w:bookmarkEnd w:id="47732"/>
      <w:r>
        <w:rPr>
          <w:rFonts w:hint="cs"/>
          <w:rtl/>
        </w:rPr>
        <w:t xml:space="preserve">הכמעט-יחידים, לצד מערכות תקשורת המונים חופשיות, שהרשות המבצעת לא </w:t>
      </w:r>
      <w:bookmarkStart w:id="47733" w:name="_ETM_Q91_680719"/>
      <w:bookmarkEnd w:id="47733"/>
      <w:r>
        <w:rPr>
          <w:rFonts w:hint="cs"/>
          <w:rtl/>
        </w:rPr>
        <w:t xml:space="preserve">תשגה ולא תתבלבל בין ניצחון בבחירות הגונות, שמבטאות את העיקרון </w:t>
      </w:r>
      <w:bookmarkStart w:id="47734" w:name="_ETM_Q91_688015"/>
      <w:bookmarkEnd w:id="47734"/>
      <w:r>
        <w:rPr>
          <w:rFonts w:hint="cs"/>
          <w:rtl/>
        </w:rPr>
        <w:t xml:space="preserve">הדמוקרטי, שלטון העם, לבין כושר החלטה וביצוע בלתי מוגבל, שמידרדר </w:t>
      </w:r>
      <w:bookmarkStart w:id="47735" w:name="_ETM_Q91_697072"/>
      <w:bookmarkEnd w:id="47735"/>
      <w:r>
        <w:rPr>
          <w:rFonts w:hint="cs"/>
          <w:rtl/>
        </w:rPr>
        <w:t xml:space="preserve">כמעט תמיד להפרה של זכויות אדם, אזרח ומיעוטים, אותן זכויות </w:t>
      </w:r>
      <w:bookmarkStart w:id="47736" w:name="_ETM_Q91_706208"/>
      <w:bookmarkEnd w:id="47736"/>
      <w:r>
        <w:rPr>
          <w:rFonts w:hint="cs"/>
          <w:rtl/>
        </w:rPr>
        <w:t xml:space="preserve">שמבטאות את העיקרון הדמוקרטי הליברלי, חירות העם. הדמוקרטיה </w:t>
      </w:r>
      <w:bookmarkStart w:id="47737" w:name="_ETM_Q91_714557"/>
      <w:bookmarkEnd w:id="47737"/>
      <w:r>
        <w:rPr>
          <w:rFonts w:hint="cs"/>
          <w:rtl/>
        </w:rPr>
        <w:t xml:space="preserve">אינה רק שלטון הרוב, רק שלטון העם; היא שני </w:t>
      </w:r>
      <w:bookmarkStart w:id="47738" w:name="_ETM_Q91_727035"/>
      <w:bookmarkEnd w:id="47738"/>
      <w:r>
        <w:rPr>
          <w:rFonts w:hint="cs"/>
          <w:rtl/>
        </w:rPr>
        <w:t xml:space="preserve">הדברים הלפותים זה בזה </w:t>
      </w:r>
      <w:r w:rsidR="00BE5385">
        <w:rPr>
          <w:rFonts w:hint="eastAsia"/>
          <w:rtl/>
        </w:rPr>
        <w:t>–</w:t>
      </w:r>
      <w:r w:rsidR="00BE5385">
        <w:rPr>
          <w:rFonts w:hint="cs"/>
          <w:rtl/>
        </w:rPr>
        <w:t xml:space="preserve"> </w:t>
      </w:r>
      <w:r>
        <w:rPr>
          <w:rFonts w:hint="cs"/>
          <w:rtl/>
        </w:rPr>
        <w:t>שלטון העם וח</w:t>
      </w:r>
      <w:r w:rsidR="00BE5385">
        <w:rPr>
          <w:rFonts w:hint="cs"/>
          <w:rtl/>
        </w:rPr>
        <w:t>י</w:t>
      </w:r>
      <w:r>
        <w:rPr>
          <w:rFonts w:hint="cs"/>
          <w:rtl/>
        </w:rPr>
        <w:t xml:space="preserve">רות העם. </w:t>
      </w:r>
    </w:p>
    <w:p w:rsidR="00BB59CD" w:rsidRDefault="00BB59CD" w:rsidP="00BB59CD">
      <w:pPr>
        <w:rPr>
          <w:rtl/>
        </w:rPr>
      </w:pPr>
      <w:bookmarkStart w:id="47739" w:name="_ETM_Q91_734076"/>
      <w:bookmarkStart w:id="47740" w:name="_ETM_Q91_734147"/>
      <w:bookmarkEnd w:id="47739"/>
      <w:bookmarkEnd w:id="47740"/>
    </w:p>
    <w:p w:rsidR="00BB59CD" w:rsidRDefault="00BB59CD" w:rsidP="00BE5385">
      <w:pPr>
        <w:rPr>
          <w:rtl/>
        </w:rPr>
      </w:pPr>
      <w:bookmarkStart w:id="47741" w:name="_ETM_Q91_734204"/>
      <w:bookmarkStart w:id="47742" w:name="_ETM_Q91_734257"/>
      <w:bookmarkEnd w:id="47741"/>
      <w:bookmarkEnd w:id="47742"/>
      <w:r>
        <w:rPr>
          <w:rFonts w:hint="cs"/>
          <w:rtl/>
        </w:rPr>
        <w:t xml:space="preserve">אין מקום </w:t>
      </w:r>
      <w:bookmarkStart w:id="47743" w:name="_ETM_Q91_735276"/>
      <w:bookmarkEnd w:id="47743"/>
      <w:r>
        <w:rPr>
          <w:rFonts w:hint="cs"/>
          <w:rtl/>
        </w:rPr>
        <w:t xml:space="preserve">בישראל למשטר שמתנגד להגבלות מהותיות על הרשות המבצעת. </w:t>
      </w:r>
      <w:bookmarkStart w:id="47744" w:name="_ETM_Q91_737437"/>
      <w:bookmarkEnd w:id="47744"/>
      <w:r>
        <w:rPr>
          <w:rFonts w:hint="cs"/>
          <w:rtl/>
        </w:rPr>
        <w:t xml:space="preserve">זאת הרשות שאכן מונהגת בדמוקרטיה על ידי פוליטיקאים נבחרים. אני מציע </w:t>
      </w:r>
      <w:bookmarkStart w:id="47745" w:name="_ETM_Q91_747997"/>
      <w:bookmarkEnd w:id="47745"/>
      <w:r>
        <w:rPr>
          <w:rFonts w:hint="cs"/>
          <w:rtl/>
        </w:rPr>
        <w:t xml:space="preserve">להמיר את השאלה לגבי הלגיטימיות של ביקורת שיפוטית על ידי מי </w:t>
      </w:r>
      <w:bookmarkStart w:id="47746" w:name="_ETM_Q91_752612"/>
      <w:bookmarkEnd w:id="47746"/>
      <w:r>
        <w:rPr>
          <w:rFonts w:hint="cs"/>
          <w:rtl/>
        </w:rPr>
        <w:t xml:space="preserve">שכמובן, מעצם ההגדרה, אינו נבחר – הוא ממונה על ממשלה </w:t>
      </w:r>
      <w:bookmarkStart w:id="47747" w:name="_ETM_Q91_760676"/>
      <w:bookmarkEnd w:id="47747"/>
      <w:r>
        <w:rPr>
          <w:rFonts w:hint="cs"/>
          <w:rtl/>
        </w:rPr>
        <w:t xml:space="preserve">נבחרת </w:t>
      </w:r>
      <w:r w:rsidR="00BE5385">
        <w:rPr>
          <w:rFonts w:hint="eastAsia"/>
          <w:rtl/>
        </w:rPr>
        <w:t>–</w:t>
      </w:r>
      <w:r w:rsidR="00BE5385">
        <w:rPr>
          <w:rFonts w:hint="cs"/>
          <w:rtl/>
        </w:rPr>
        <w:t xml:space="preserve"> </w:t>
      </w:r>
      <w:r>
        <w:rPr>
          <w:rFonts w:hint="cs"/>
          <w:rtl/>
        </w:rPr>
        <w:t xml:space="preserve">בשאלה רחבה יותר, על אופי הבלמים והאיזונים </w:t>
      </w:r>
      <w:bookmarkStart w:id="47748" w:name="_ETM_Q91_764723"/>
      <w:bookmarkEnd w:id="47748"/>
      <w:r>
        <w:rPr>
          <w:rFonts w:hint="cs"/>
          <w:rtl/>
        </w:rPr>
        <w:t xml:space="preserve">על הרשות המבצעת, הנבחרת והממונה ושיטות פעולתה של </w:t>
      </w:r>
      <w:bookmarkStart w:id="47749" w:name="_ETM_Q91_767757"/>
      <w:bookmarkEnd w:id="47749"/>
      <w:r>
        <w:rPr>
          <w:rFonts w:hint="cs"/>
          <w:rtl/>
        </w:rPr>
        <w:t xml:space="preserve">ביקורת זו. </w:t>
      </w:r>
      <w:bookmarkStart w:id="47750" w:name="TOR_Q92"/>
      <w:bookmarkEnd w:id="47750"/>
      <w:r>
        <w:rPr>
          <w:rFonts w:hint="cs"/>
          <w:rtl/>
        </w:rPr>
        <w:t xml:space="preserve">משנקבל את העיקרון שגם נבחרי הציבור אינם רשאים אלא לפעול תוך שמירה קפדנית על זכויות היחידים, המיעוטים והאופוזיציה, </w:t>
      </w:r>
      <w:bookmarkStart w:id="47751" w:name="_ETM_Q92_183449"/>
      <w:bookmarkEnd w:id="47751"/>
      <w:r>
        <w:rPr>
          <w:rFonts w:hint="cs"/>
          <w:rtl/>
        </w:rPr>
        <w:t xml:space="preserve">נצטרך לשאול את עצמנו מהן השיטות להגבלת השלטון במשטר </w:t>
      </w:r>
      <w:bookmarkStart w:id="47752" w:name="_ETM_Q92_183670"/>
      <w:bookmarkEnd w:id="47752"/>
      <w:r>
        <w:rPr>
          <w:rFonts w:hint="cs"/>
          <w:rtl/>
        </w:rPr>
        <w:t xml:space="preserve">דמוקרטי ליברלי. זאת בדיוק מהות השיח שיש להמשיך בהקדם בבית </w:t>
      </w:r>
      <w:bookmarkStart w:id="47753" w:name="_ETM_Q92_195751"/>
      <w:bookmarkEnd w:id="47753"/>
      <w:r>
        <w:rPr>
          <w:rFonts w:hint="cs"/>
          <w:rtl/>
        </w:rPr>
        <w:t xml:space="preserve">הנשיא או בכל זירה אחרת. ללא הסכמה חוקתית על האיזון </w:t>
      </w:r>
      <w:bookmarkStart w:id="47754" w:name="_ETM_Q92_201606"/>
      <w:bookmarkEnd w:id="47754"/>
      <w:r>
        <w:rPr>
          <w:rFonts w:hint="cs"/>
          <w:rtl/>
        </w:rPr>
        <w:t xml:space="preserve">בין חופש שלטון העם לפעול כהבנתו לבין החופש של העם </w:t>
      </w:r>
      <w:bookmarkStart w:id="47755" w:name="_ETM_Q92_208951"/>
      <w:bookmarkEnd w:id="47755"/>
      <w:r>
        <w:rPr>
          <w:rFonts w:hint="cs"/>
          <w:rtl/>
        </w:rPr>
        <w:t xml:space="preserve">מהשלטון המופרז, לא יתקיים שיח פתוח לפני הבחירות, לא תתקיימנה </w:t>
      </w:r>
      <w:bookmarkStart w:id="47756" w:name="_ETM_Q92_216679"/>
      <w:bookmarkEnd w:id="47756"/>
      <w:r>
        <w:rPr>
          <w:rFonts w:hint="cs"/>
          <w:rtl/>
        </w:rPr>
        <w:t xml:space="preserve">בחירות הגונות, ואחריהן המיעוט שהפסיד לא יהיה מוכן לקבל את </w:t>
      </w:r>
      <w:bookmarkStart w:id="47757" w:name="_ETM_Q92_221920"/>
      <w:bookmarkEnd w:id="47757"/>
      <w:r>
        <w:rPr>
          <w:rFonts w:hint="cs"/>
          <w:rtl/>
        </w:rPr>
        <w:t xml:space="preserve">תוצאותיהן. </w:t>
      </w:r>
    </w:p>
    <w:p w:rsidR="00BB59CD" w:rsidRDefault="00BB59CD" w:rsidP="00BB59CD">
      <w:pPr>
        <w:rPr>
          <w:rtl/>
        </w:rPr>
      </w:pPr>
      <w:bookmarkStart w:id="47758" w:name="_ETM_Q92_224945"/>
      <w:bookmarkStart w:id="47759" w:name="_ETM_Q92_225017"/>
      <w:bookmarkEnd w:id="47758"/>
      <w:bookmarkEnd w:id="47759"/>
    </w:p>
    <w:p w:rsidR="00BB59CD" w:rsidRDefault="00BB59CD" w:rsidP="00BE5385">
      <w:pPr>
        <w:rPr>
          <w:rtl/>
        </w:rPr>
      </w:pPr>
      <w:bookmarkStart w:id="47760" w:name="_ETM_Q92_225056"/>
      <w:bookmarkStart w:id="47761" w:name="_ETM_Q92_225120"/>
      <w:bookmarkEnd w:id="47760"/>
      <w:bookmarkEnd w:id="47761"/>
      <w:r>
        <w:rPr>
          <w:rFonts w:hint="cs"/>
          <w:rtl/>
        </w:rPr>
        <w:t xml:space="preserve">לטיעון המרכזי בדבר הפסקת ההגבלה המופרזת לכאורה על השלטון </w:t>
      </w:r>
      <w:bookmarkStart w:id="47762" w:name="_ETM_Q92_233808"/>
      <w:bookmarkEnd w:id="47762"/>
      <w:r>
        <w:rPr>
          <w:rFonts w:hint="cs"/>
          <w:rtl/>
        </w:rPr>
        <w:t xml:space="preserve">נצמד רכיב נוסף, טענה כנגד אחידות במקורות היניקה הקהילתיים והתרבותיים </w:t>
      </w:r>
      <w:bookmarkStart w:id="47763" w:name="_ETM_Q92_241379"/>
      <w:bookmarkEnd w:id="47763"/>
      <w:r>
        <w:rPr>
          <w:rFonts w:hint="cs"/>
          <w:rtl/>
        </w:rPr>
        <w:t xml:space="preserve">של שומרי הסף, שגוזרים היעדר גיוון מספק במערכות האכיפה והמשפט. </w:t>
      </w:r>
      <w:bookmarkStart w:id="47764" w:name="_ETM_Q92_249395"/>
      <w:bookmarkEnd w:id="47764"/>
      <w:r>
        <w:rPr>
          <w:rFonts w:hint="cs"/>
          <w:rtl/>
        </w:rPr>
        <w:t xml:space="preserve">אני מקבל עקרונית את הצורך לפעול לייצוג מרבי של ציבורים </w:t>
      </w:r>
      <w:bookmarkStart w:id="47765" w:name="_ETM_Q92_253520"/>
      <w:bookmarkEnd w:id="47765"/>
      <w:r>
        <w:rPr>
          <w:rFonts w:hint="cs"/>
          <w:rtl/>
        </w:rPr>
        <w:t xml:space="preserve">בכלל מערכות המדינה, כולל בזו השופטת וכולל בזו המבצעת – האקדמית, </w:t>
      </w:r>
      <w:bookmarkStart w:id="47766" w:name="_ETM_Q92_261473"/>
      <w:bookmarkEnd w:id="47766"/>
      <w:r>
        <w:rPr>
          <w:rFonts w:hint="cs"/>
          <w:rtl/>
        </w:rPr>
        <w:t xml:space="preserve">היוזמת, המגינה, היוצרת, המממנת. אני בעד לעודד השתתפות של </w:t>
      </w:r>
      <w:bookmarkStart w:id="47767" w:name="_ETM_Q92_267037"/>
      <w:bookmarkEnd w:id="47767"/>
      <w:r>
        <w:rPr>
          <w:rFonts w:hint="cs"/>
          <w:rtl/>
        </w:rPr>
        <w:t xml:space="preserve">עולים חדשים, של בני עולים ותיקים מארצות האסלאם, של ערבים, </w:t>
      </w:r>
      <w:bookmarkStart w:id="47768" w:name="_ETM_Q92_274172"/>
      <w:bookmarkEnd w:id="47768"/>
      <w:r>
        <w:rPr>
          <w:rFonts w:hint="cs"/>
          <w:rtl/>
        </w:rPr>
        <w:t xml:space="preserve">של דרוזים, של נשים, של צעירים, של מבוגרים, של חרדים, </w:t>
      </w:r>
      <w:bookmarkStart w:id="47769" w:name="_ETM_Q92_277774"/>
      <w:bookmarkEnd w:id="47769"/>
      <w:r>
        <w:rPr>
          <w:rFonts w:hint="cs"/>
          <w:rtl/>
        </w:rPr>
        <w:t xml:space="preserve">של תושבי פריפריה. עידוד כזה יכול וצריך להתקיים, לטעמי, בדרך </w:t>
      </w:r>
      <w:bookmarkStart w:id="47770" w:name="_ETM_Q92_285453"/>
      <w:bookmarkEnd w:id="47770"/>
      <w:r>
        <w:rPr>
          <w:rFonts w:hint="cs"/>
          <w:rtl/>
        </w:rPr>
        <w:t xml:space="preserve">של השקעת יתר בחינוך ובהשכלה גבוהה בשלבי הבסיס המקצועיים של </w:t>
      </w:r>
      <w:bookmarkStart w:id="47771" w:name="_ETM_Q92_292702"/>
      <w:bookmarkEnd w:id="47771"/>
      <w:r>
        <w:rPr>
          <w:rFonts w:hint="cs"/>
          <w:rtl/>
        </w:rPr>
        <w:t>בנות ובני הקבוצות שנמצא</w:t>
      </w:r>
      <w:r w:rsidR="00BE5385">
        <w:rPr>
          <w:rFonts w:hint="cs"/>
          <w:rtl/>
        </w:rPr>
        <w:t>ות</w:t>
      </w:r>
      <w:r>
        <w:rPr>
          <w:rFonts w:hint="cs"/>
          <w:rtl/>
        </w:rPr>
        <w:t xml:space="preserve"> בתת-ייצוג. בהמשך יש לתת יותר </w:t>
      </w:r>
      <w:bookmarkStart w:id="47772" w:name="_ETM_Q92_294429"/>
      <w:bookmarkEnd w:id="47772"/>
      <w:r>
        <w:rPr>
          <w:rFonts w:hint="cs"/>
          <w:rtl/>
        </w:rPr>
        <w:t>ויותר דגש על האיכות המקצועית של ממלאי התפקיד</w:t>
      </w:r>
      <w:r w:rsidR="00BE5385">
        <w:rPr>
          <w:rFonts w:hint="cs"/>
          <w:rtl/>
        </w:rPr>
        <w:t>;</w:t>
      </w:r>
      <w:r>
        <w:rPr>
          <w:rFonts w:hint="cs"/>
          <w:rtl/>
        </w:rPr>
        <w:t xml:space="preserve"> בתנאים של </w:t>
      </w:r>
      <w:bookmarkStart w:id="47773" w:name="_ETM_Q92_304317"/>
      <w:bookmarkEnd w:id="47773"/>
      <w:r>
        <w:rPr>
          <w:rFonts w:hint="cs"/>
          <w:rtl/>
        </w:rPr>
        <w:t>יכולות שוות של מועמדים לעבודה ולקידום</w:t>
      </w:r>
      <w:r w:rsidR="00BE5385">
        <w:rPr>
          <w:rFonts w:hint="cs"/>
          <w:rtl/>
        </w:rPr>
        <w:t>,</w:t>
      </w:r>
      <w:r>
        <w:rPr>
          <w:rFonts w:hint="cs"/>
          <w:rtl/>
        </w:rPr>
        <w:t xml:space="preserve"> ראוי</w:t>
      </w:r>
      <w:r w:rsidR="00BE5385">
        <w:rPr>
          <w:rFonts w:hint="cs"/>
          <w:rtl/>
        </w:rPr>
        <w:t>,</w:t>
      </w:r>
      <w:r>
        <w:rPr>
          <w:rFonts w:hint="cs"/>
          <w:rtl/>
        </w:rPr>
        <w:t xml:space="preserve"> אכן, להעדיף את </w:t>
      </w:r>
      <w:bookmarkStart w:id="47774" w:name="_ETM_Q92_309276"/>
      <w:bookmarkEnd w:id="47774"/>
      <w:r>
        <w:rPr>
          <w:rFonts w:hint="cs"/>
          <w:rtl/>
        </w:rPr>
        <w:t xml:space="preserve">הגיוון החברתי של השותפים לעבודה במערכת. </w:t>
      </w:r>
    </w:p>
    <w:p w:rsidR="00BB59CD" w:rsidRDefault="00BB59CD" w:rsidP="00BB59CD">
      <w:pPr>
        <w:rPr>
          <w:rtl/>
        </w:rPr>
      </w:pPr>
    </w:p>
    <w:p w:rsidR="00BB59CD" w:rsidRDefault="00BB59CD" w:rsidP="00BB59CD">
      <w:pPr>
        <w:rPr>
          <w:rtl/>
        </w:rPr>
      </w:pPr>
      <w:r>
        <w:rPr>
          <w:rFonts w:hint="cs"/>
          <w:rtl/>
        </w:rPr>
        <w:t xml:space="preserve">עם זאת, נזכור, </w:t>
      </w:r>
      <w:bookmarkStart w:id="47775" w:name="_ETM_Q92_315906"/>
      <w:bookmarkEnd w:id="47775"/>
      <w:r>
        <w:rPr>
          <w:rFonts w:hint="cs"/>
          <w:rtl/>
        </w:rPr>
        <w:t xml:space="preserve">אנחנו לא נרצה להיות מנותחים על ידי רופא שכישוריו העיקריים הם </w:t>
      </w:r>
      <w:bookmarkStart w:id="47776" w:name="_ETM_Q92_318128"/>
      <w:bookmarkEnd w:id="47776"/>
      <w:r>
        <w:rPr>
          <w:rFonts w:hint="cs"/>
          <w:rtl/>
        </w:rPr>
        <w:t>דעותיו, אמונתו, מוצאו או זהותו המגדרית, אלא על ידי רופאה</w:t>
      </w:r>
      <w:bookmarkStart w:id="47777" w:name="_ETM_Q92_326711"/>
      <w:bookmarkEnd w:id="47777"/>
      <w:r>
        <w:rPr>
          <w:rFonts w:hint="cs"/>
          <w:rtl/>
        </w:rPr>
        <w:t xml:space="preserve"> או רופא מקצועיים בתחומם. כך או כך, אסור לפתור את </w:t>
      </w:r>
      <w:bookmarkStart w:id="47778" w:name="_ETM_Q92_327187"/>
      <w:bookmarkEnd w:id="47778"/>
      <w:r>
        <w:rPr>
          <w:rFonts w:hint="cs"/>
          <w:rtl/>
        </w:rPr>
        <w:t xml:space="preserve">סוגיית הגברת הייצוג השווה על ידי פוליטיזציה של שיטת המינויים במערכת </w:t>
      </w:r>
      <w:bookmarkStart w:id="47779" w:name="_ETM_Q92_338548"/>
      <w:bookmarkEnd w:id="47779"/>
      <w:r>
        <w:rPr>
          <w:rFonts w:hint="cs"/>
          <w:rtl/>
        </w:rPr>
        <w:t xml:space="preserve">המשפט. זה בדיוק אחד הנושאים שאורבים לנו במעלה הדרך, </w:t>
      </w:r>
      <w:bookmarkStart w:id="47780" w:name="_ETM_Q92_346853"/>
      <w:bookmarkEnd w:id="47780"/>
      <w:r>
        <w:rPr>
          <w:rFonts w:hint="cs"/>
          <w:rtl/>
        </w:rPr>
        <w:t>בדיוק אחד הנושאים שבגלל</w:t>
      </w:r>
      <w:r w:rsidR="00BE5385">
        <w:rPr>
          <w:rFonts w:hint="cs"/>
          <w:rtl/>
        </w:rPr>
        <w:t>ו</w:t>
      </w:r>
      <w:r>
        <w:rPr>
          <w:rFonts w:hint="cs"/>
          <w:rtl/>
        </w:rPr>
        <w:t xml:space="preserve"> ראוי להגיע להסכמה כאן, עכשיו, בשעות </w:t>
      </w:r>
      <w:bookmarkStart w:id="47781" w:name="_ETM_Q92_355043"/>
      <w:bookmarkEnd w:id="47781"/>
      <w:r>
        <w:rPr>
          <w:rFonts w:hint="cs"/>
          <w:rtl/>
        </w:rPr>
        <w:t xml:space="preserve">האלה, בטרם חקיקה, כדי לוודא שבסוגיית מינוי השופטים לא נחולל </w:t>
      </w:r>
      <w:bookmarkStart w:id="47782" w:name="_ETM_Q92_364004"/>
      <w:bookmarkEnd w:id="47782"/>
      <w:r>
        <w:rPr>
          <w:rFonts w:hint="cs"/>
          <w:rtl/>
        </w:rPr>
        <w:t xml:space="preserve">פוליטיזציה, לא נחולל קעקוע של עקרונות החופש והעצמאות של מערכת המשפט. </w:t>
      </w:r>
      <w:bookmarkStart w:id="47783" w:name="_ETM_Q92_373939"/>
      <w:bookmarkEnd w:id="47783"/>
    </w:p>
    <w:p w:rsidR="00BB59CD" w:rsidRDefault="00BB59CD" w:rsidP="00BB59CD">
      <w:pPr>
        <w:rPr>
          <w:rtl/>
        </w:rPr>
      </w:pPr>
      <w:bookmarkStart w:id="47784" w:name="_ETM_Q92_374115"/>
      <w:bookmarkStart w:id="47785" w:name="_ETM_Q92_374189"/>
      <w:bookmarkEnd w:id="47784"/>
      <w:bookmarkEnd w:id="47785"/>
    </w:p>
    <w:p w:rsidR="00BB59CD" w:rsidRDefault="00BB59CD" w:rsidP="00A06889">
      <w:pPr>
        <w:rPr>
          <w:rtl/>
        </w:rPr>
      </w:pPr>
      <w:bookmarkStart w:id="47786" w:name="_ETM_Q92_374244"/>
      <w:bookmarkStart w:id="47787" w:name="_ETM_Q92_374336"/>
      <w:bookmarkEnd w:id="47786"/>
      <w:bookmarkEnd w:id="47787"/>
      <w:r>
        <w:rPr>
          <w:rFonts w:hint="cs"/>
          <w:rtl/>
        </w:rPr>
        <w:t xml:space="preserve">אכן, יש מדינות שבהן הפוליטיקאים בוחרים בלעדית את השופטים, </w:t>
      </w:r>
      <w:bookmarkStart w:id="47788" w:name="_ETM_Q92_379171"/>
      <w:bookmarkEnd w:id="47788"/>
      <w:r>
        <w:rPr>
          <w:rFonts w:hint="cs"/>
          <w:rtl/>
        </w:rPr>
        <w:t>אך במדינות מערביות הגונו</w:t>
      </w:r>
      <w:r w:rsidR="00A06889">
        <w:rPr>
          <w:rFonts w:hint="cs"/>
          <w:rtl/>
        </w:rPr>
        <w:t>ת</w:t>
      </w:r>
      <w:r>
        <w:rPr>
          <w:rFonts w:hint="cs"/>
          <w:rtl/>
        </w:rPr>
        <w:t xml:space="preserve"> זה קורה רק כאשר יש </w:t>
      </w:r>
      <w:bookmarkStart w:id="47789" w:name="_ETM_Q92_385110"/>
      <w:bookmarkEnd w:id="47789"/>
      <w:r>
        <w:rPr>
          <w:rFonts w:hint="cs"/>
          <w:rtl/>
        </w:rPr>
        <w:t xml:space="preserve">בהן שכבות הגנה משמעותיות אחרות על חופש הפעולה הבלתי-מוגבל </w:t>
      </w:r>
      <w:bookmarkStart w:id="47790" w:name="_ETM_Q92_389474"/>
      <w:bookmarkEnd w:id="47790"/>
      <w:r>
        <w:rPr>
          <w:rFonts w:hint="cs"/>
          <w:rtl/>
        </w:rPr>
        <w:t xml:space="preserve">של השלטון. מטרת ההידברות שהופסקה </w:t>
      </w:r>
      <w:r w:rsidR="00A06889">
        <w:rPr>
          <w:rFonts w:hint="eastAsia"/>
          <w:rtl/>
        </w:rPr>
        <w:t>–</w:t>
      </w:r>
      <w:r w:rsidR="00A06889">
        <w:rPr>
          <w:rFonts w:hint="cs"/>
          <w:rtl/>
        </w:rPr>
        <w:t xml:space="preserve"> </w:t>
      </w:r>
      <w:r>
        <w:rPr>
          <w:rFonts w:hint="cs"/>
          <w:rtl/>
        </w:rPr>
        <w:t xml:space="preserve">ועלינו לחדשה תוך בלימת </w:t>
      </w:r>
      <w:bookmarkStart w:id="47791" w:name="_ETM_Q92_396817"/>
      <w:bookmarkEnd w:id="47791"/>
      <w:r>
        <w:rPr>
          <w:rFonts w:hint="cs"/>
          <w:rtl/>
        </w:rPr>
        <w:t xml:space="preserve">החקיקה ההרסנית </w:t>
      </w:r>
      <w:r w:rsidR="00A06889">
        <w:rPr>
          <w:rFonts w:hint="eastAsia"/>
          <w:rtl/>
        </w:rPr>
        <w:t>–</w:t>
      </w:r>
      <w:r w:rsidR="00A06889">
        <w:rPr>
          <w:rFonts w:hint="cs"/>
          <w:rtl/>
        </w:rPr>
        <w:t xml:space="preserve"> </w:t>
      </w:r>
      <w:r>
        <w:rPr>
          <w:rFonts w:hint="cs"/>
          <w:rtl/>
        </w:rPr>
        <w:t xml:space="preserve">היא לדון באותם איזונים בין מערכת השלטון שיבטיחו </w:t>
      </w:r>
      <w:bookmarkStart w:id="47792" w:name="_ETM_Q92_404689"/>
      <w:bookmarkEnd w:id="47792"/>
      <w:r>
        <w:rPr>
          <w:rFonts w:hint="cs"/>
          <w:rtl/>
        </w:rPr>
        <w:t xml:space="preserve">הן </w:t>
      </w:r>
      <w:r w:rsidR="00A06889">
        <w:rPr>
          <w:rFonts w:hint="cs"/>
          <w:rtl/>
        </w:rPr>
        <w:t xml:space="preserve">את </w:t>
      </w:r>
      <w:r>
        <w:rPr>
          <w:rFonts w:hint="cs"/>
          <w:rtl/>
        </w:rPr>
        <w:t xml:space="preserve">שלטון העם והן את חירות העם. אין מקום </w:t>
      </w:r>
      <w:bookmarkStart w:id="47793" w:name="_ETM_Q92_410833"/>
      <w:bookmarkEnd w:id="47793"/>
      <w:r>
        <w:rPr>
          <w:rFonts w:hint="cs"/>
          <w:rtl/>
        </w:rPr>
        <w:t xml:space="preserve">בישראל – אני חוזר ואומר – למשטר שמתנגד למגבלות מהותיות על הרשות המבצעת. ללא הסכמה חוקתית על האיזון בין חופש שלטון העם </w:t>
      </w:r>
      <w:bookmarkStart w:id="47794" w:name="_ETM_Q92_423724"/>
      <w:bookmarkEnd w:id="47794"/>
      <w:r>
        <w:rPr>
          <w:rFonts w:hint="cs"/>
          <w:rtl/>
        </w:rPr>
        <w:t>לפעול כהבנתו לבין החופש של העם מהשלטון המופרז, לא</w:t>
      </w:r>
      <w:bookmarkStart w:id="47795" w:name="_ETM_Q92_428052"/>
      <w:bookmarkEnd w:id="47795"/>
      <w:r>
        <w:rPr>
          <w:rFonts w:hint="cs"/>
          <w:rtl/>
        </w:rPr>
        <w:t xml:space="preserve"> יתקיים שיח פתוח לפני הבחירות, לא תתקיימנה בחירות הגונות, </w:t>
      </w:r>
      <w:bookmarkStart w:id="47796" w:name="_ETM_Q92_434671"/>
      <w:bookmarkEnd w:id="47796"/>
      <w:r>
        <w:rPr>
          <w:rFonts w:hint="cs"/>
          <w:rtl/>
        </w:rPr>
        <w:t xml:space="preserve">ואחריהן, המיעוט שהפסיד לא יהיה מוכן לקבל את תוצאותיהן. </w:t>
      </w:r>
    </w:p>
    <w:p w:rsidR="00BB59CD" w:rsidRDefault="00BB59CD" w:rsidP="00BB59CD">
      <w:pPr>
        <w:rPr>
          <w:rtl/>
        </w:rPr>
      </w:pPr>
      <w:bookmarkStart w:id="47797" w:name="_ETM_Q92_439059"/>
      <w:bookmarkStart w:id="47798" w:name="_ETM_Q92_439122"/>
      <w:bookmarkEnd w:id="47797"/>
      <w:bookmarkEnd w:id="47798"/>
    </w:p>
    <w:p w:rsidR="00BB59CD" w:rsidRDefault="00BB59CD" w:rsidP="00A06889">
      <w:pPr>
        <w:rPr>
          <w:rtl/>
        </w:rPr>
      </w:pPr>
      <w:bookmarkStart w:id="47799" w:name="_ETM_Q92_439171"/>
      <w:bookmarkStart w:id="47800" w:name="_ETM_Q92_439245"/>
      <w:bookmarkEnd w:id="47799"/>
      <w:bookmarkEnd w:id="47800"/>
      <w:r>
        <w:rPr>
          <w:rFonts w:hint="cs"/>
          <w:rtl/>
        </w:rPr>
        <w:t xml:space="preserve">ברשותכם, </w:t>
      </w:r>
      <w:bookmarkStart w:id="47801" w:name="_ETM_Q92_441491"/>
      <w:bookmarkEnd w:id="47801"/>
      <w:r>
        <w:rPr>
          <w:rFonts w:hint="cs"/>
          <w:rtl/>
        </w:rPr>
        <w:t xml:space="preserve">אנצל את מעט הזמן שיש לי כדי לומר דבר שאמרתי </w:t>
      </w:r>
      <w:bookmarkStart w:id="47802" w:name="_ETM_Q92_451218"/>
      <w:bookmarkEnd w:id="47802"/>
      <w:r>
        <w:rPr>
          <w:rFonts w:hint="cs"/>
          <w:rtl/>
        </w:rPr>
        <w:t xml:space="preserve">במוצאי שבת האחרון לנשות ואנשי ראש העין. אתם כאן מתוך </w:t>
      </w:r>
      <w:bookmarkStart w:id="47803" w:name="_ETM_Q92_459683"/>
      <w:bookmarkEnd w:id="47803"/>
      <w:r>
        <w:rPr>
          <w:rFonts w:hint="cs"/>
          <w:rtl/>
        </w:rPr>
        <w:t xml:space="preserve">הוקרה עמוקה לאפוס העבר המרהיב של מייסדי האומה הישראלית. אתם כאן מתוך אחריות עצומה לעתיד הדורות הבאים של ישראלים. אנחנו </w:t>
      </w:r>
      <w:bookmarkStart w:id="47804" w:name="_ETM_Q92_471304"/>
      <w:bookmarkEnd w:id="47804"/>
      <w:r>
        <w:rPr>
          <w:rFonts w:hint="cs"/>
          <w:rtl/>
        </w:rPr>
        <w:t xml:space="preserve">כאן מתוך בעתה וזעם על ממשלתנו, הממשלה שבה חברו </w:t>
      </w:r>
      <w:bookmarkStart w:id="47805" w:name="_ETM_Q92_480093"/>
      <w:bookmarkEnd w:id="47805"/>
      <w:r>
        <w:rPr>
          <w:rFonts w:hint="cs"/>
          <w:rtl/>
        </w:rPr>
        <w:t>להם מושחת, שקרן, חמדן, גזען, עבריין ואולטר</w:t>
      </w:r>
      <w:r w:rsidR="00A06889">
        <w:rPr>
          <w:rFonts w:hint="cs"/>
          <w:rtl/>
        </w:rPr>
        <w:t>ה</w:t>
      </w:r>
      <w:r>
        <w:rPr>
          <w:rFonts w:hint="cs"/>
          <w:rtl/>
        </w:rPr>
        <w:t xml:space="preserve">-שמרן וקשקשן ושותפיהם </w:t>
      </w:r>
      <w:bookmarkStart w:id="47806" w:name="_ETM_Q92_487437"/>
      <w:bookmarkEnd w:id="47806"/>
      <w:r>
        <w:rPr>
          <w:rFonts w:hint="cs"/>
          <w:rtl/>
        </w:rPr>
        <w:t xml:space="preserve">המביכים. אנחנו כאן כי אין לנו ברירה, כי אין לנו </w:t>
      </w:r>
      <w:bookmarkStart w:id="47807" w:name="_ETM_Q92_494493"/>
      <w:bookmarkEnd w:id="47807"/>
      <w:r>
        <w:rPr>
          <w:rFonts w:hint="cs"/>
          <w:rtl/>
        </w:rPr>
        <w:t>ארץ אחרת, כי אין לנו אלא את עצמנו</w:t>
      </w:r>
      <w:bookmarkStart w:id="47808" w:name="_ETM_Q92_497224"/>
      <w:bookmarkEnd w:id="47808"/>
      <w:r>
        <w:rPr>
          <w:rFonts w:hint="cs"/>
          <w:rtl/>
        </w:rPr>
        <w:t xml:space="preserve">, את הסיוטים שלנו ואת החלומות שלנו. מיליוני אזרחים פטריוטים </w:t>
      </w:r>
      <w:bookmarkStart w:id="47809" w:name="_ETM_Q92_502391"/>
      <w:bookmarkEnd w:id="47809"/>
      <w:r>
        <w:rPr>
          <w:rFonts w:hint="cs"/>
          <w:rtl/>
        </w:rPr>
        <w:t xml:space="preserve">שהם, הוריהם, סביהם, ילדיהם ונכדיהם הם שותפים בכירים, לא בלעדיים, בהקמתו ובחיזוקו של הנס האחד אין שני, מדינת </w:t>
      </w:r>
      <w:bookmarkStart w:id="47810" w:name="_ETM_Q92_516425"/>
      <w:bookmarkEnd w:id="47810"/>
      <w:r>
        <w:rPr>
          <w:rFonts w:hint="cs"/>
          <w:rtl/>
        </w:rPr>
        <w:t xml:space="preserve">היהודים הדמוקרטית – </w:t>
      </w:r>
      <w:bookmarkStart w:id="47811" w:name="_ETM_Q92_485974"/>
      <w:bookmarkEnd w:id="47811"/>
      <w:r>
        <w:rPr>
          <w:rFonts w:hint="cs"/>
          <w:rtl/>
        </w:rPr>
        <w:t xml:space="preserve">אותם חמישה דורות לא יסכימו, לא הסכימו </w:t>
      </w:r>
      <w:bookmarkStart w:id="47812" w:name="_ETM_Q92_526264"/>
      <w:bookmarkEnd w:id="47812"/>
      <w:r>
        <w:rPr>
          <w:rFonts w:hint="cs"/>
          <w:rtl/>
        </w:rPr>
        <w:t xml:space="preserve">וגם אנחנו לא נסכים לכבול את יצירת המופת בשלשלאות של </w:t>
      </w:r>
      <w:bookmarkStart w:id="47813" w:name="_ETM_Q92_530863"/>
      <w:bookmarkEnd w:id="47813"/>
      <w:r>
        <w:rPr>
          <w:rFonts w:hint="cs"/>
          <w:rtl/>
        </w:rPr>
        <w:t xml:space="preserve">יהדות קיצונית, לאומנות אלימה, חמדנות מבישה וניהול כושל. </w:t>
      </w:r>
      <w:bookmarkStart w:id="47814" w:name="_ETM_Q92_541171"/>
      <w:bookmarkEnd w:id="47814"/>
    </w:p>
    <w:p w:rsidR="00BB59CD" w:rsidRDefault="00BB59CD" w:rsidP="00BB59CD">
      <w:pPr>
        <w:rPr>
          <w:rtl/>
        </w:rPr>
      </w:pPr>
      <w:bookmarkStart w:id="47815" w:name="_ETM_Q92_541523"/>
      <w:bookmarkStart w:id="47816" w:name="_ETM_Q92_541594"/>
      <w:bookmarkEnd w:id="47815"/>
      <w:bookmarkEnd w:id="47816"/>
    </w:p>
    <w:p w:rsidR="00BB59CD" w:rsidRDefault="00BB59CD" w:rsidP="00A06889">
      <w:pPr>
        <w:rPr>
          <w:rtl/>
        </w:rPr>
      </w:pPr>
      <w:bookmarkStart w:id="47817" w:name="_ETM_Q92_541650"/>
      <w:bookmarkStart w:id="47818" w:name="_ETM_Q92_541728"/>
      <w:bookmarkEnd w:id="47817"/>
      <w:bookmarkEnd w:id="47818"/>
      <w:r>
        <w:rPr>
          <w:rFonts w:hint="cs"/>
          <w:rtl/>
        </w:rPr>
        <w:t xml:space="preserve">תחת מקבץ פרדוקסים מקומם ומחריד, בשעה שמגילת העצמאות נתקפת </w:t>
      </w:r>
      <w:bookmarkStart w:id="47819" w:name="_ETM_Q92_551642"/>
      <w:bookmarkEnd w:id="47819"/>
      <w:r>
        <w:rPr>
          <w:rFonts w:hint="cs"/>
          <w:rtl/>
        </w:rPr>
        <w:t xml:space="preserve">ואיראן מתקרבת לגרעין; כשמאיימים על היועמ"שית האמיצה והחיזבאללה מתחצף; כשנותנים </w:t>
      </w:r>
      <w:bookmarkStart w:id="47820" w:name="_ETM_Q92_558039"/>
      <w:bookmarkEnd w:id="47820"/>
      <w:r>
        <w:rPr>
          <w:rFonts w:hint="cs"/>
          <w:rtl/>
        </w:rPr>
        <w:t xml:space="preserve">כוח בלתי מרוסן בידי שרים קיצוניים והטרור גואה; כשמנרמלים עבריין </w:t>
      </w:r>
      <w:bookmarkStart w:id="47821" w:name="_ETM_Q92_564227"/>
      <w:bookmarkEnd w:id="47821"/>
      <w:r>
        <w:rPr>
          <w:rFonts w:hint="cs"/>
          <w:rtl/>
        </w:rPr>
        <w:t>לאומני כשר ביטחוני והרצחנות משתוללת ברחובות – תחת מקבץ פ</w:t>
      </w:r>
      <w:bookmarkStart w:id="47822" w:name="_ETM_Q92_572414"/>
      <w:bookmarkEnd w:id="47822"/>
      <w:r>
        <w:rPr>
          <w:rFonts w:hint="cs"/>
          <w:rtl/>
        </w:rPr>
        <w:t xml:space="preserve">רדוקסים כזה, האם באמת מפליא אותנו שמיליוני ישראלים חוששים לחוש </w:t>
      </w:r>
      <w:bookmarkStart w:id="47823" w:name="_ETM_Q92_577563"/>
      <w:bookmarkEnd w:id="47823"/>
      <w:r>
        <w:rPr>
          <w:rFonts w:hint="cs"/>
          <w:rtl/>
        </w:rPr>
        <w:t>כגולים בביתם?</w:t>
      </w:r>
      <w:r w:rsidR="00A06889">
        <w:rPr>
          <w:rFonts w:hint="cs"/>
          <w:rtl/>
        </w:rPr>
        <w:t xml:space="preserve"> </w:t>
      </w:r>
      <w:bookmarkStart w:id="47824" w:name="_ETM_Q92_579867"/>
      <w:bookmarkStart w:id="47825" w:name="_ETM_Q92_579935"/>
      <w:bookmarkStart w:id="47826" w:name="_ETM_Q92_579994"/>
      <w:bookmarkStart w:id="47827" w:name="_ETM_Q92_580058"/>
      <w:bookmarkEnd w:id="47824"/>
      <w:bookmarkEnd w:id="47825"/>
      <w:bookmarkEnd w:id="47826"/>
      <w:bookmarkEnd w:id="47827"/>
      <w:r>
        <w:rPr>
          <w:rFonts w:hint="cs"/>
          <w:rtl/>
        </w:rPr>
        <w:t xml:space="preserve">אני מקווה, אדוני היושב-ראש, שנצליח לעצור את הטירוף ולהגיע </w:t>
      </w:r>
      <w:bookmarkStart w:id="47828" w:name="_ETM_Q92_588042"/>
      <w:bookmarkEnd w:id="47828"/>
      <w:r>
        <w:rPr>
          <w:rFonts w:hint="cs"/>
          <w:rtl/>
        </w:rPr>
        <w:t xml:space="preserve">להסכמות במהרה בימינו, בשעות הקרובות ממש. תודה רבה. </w:t>
      </w:r>
    </w:p>
    <w:p w:rsidR="00BB59CD" w:rsidRDefault="00BB59CD" w:rsidP="00BB59CD">
      <w:pPr>
        <w:rPr>
          <w:rtl/>
        </w:rPr>
      </w:pPr>
    </w:p>
    <w:p w:rsidR="00BB59CD" w:rsidRDefault="00BB59CD" w:rsidP="00BB59CD">
      <w:pPr>
        <w:pStyle w:val="af9"/>
        <w:keepNext/>
        <w:rPr>
          <w:rtl/>
        </w:rPr>
      </w:pPr>
      <w:bookmarkStart w:id="47829" w:name="ET_yor_6129_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7829"/>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רבה. </w:t>
      </w:r>
      <w:bookmarkStart w:id="47830" w:name="_ETM_Q92_593914"/>
      <w:bookmarkEnd w:id="47830"/>
      <w:r>
        <w:rPr>
          <w:rFonts w:hint="cs"/>
          <w:rtl/>
          <w:lang w:eastAsia="he-IL"/>
        </w:rPr>
        <w:t xml:space="preserve">רק תדע לך, חבר הכנסת שוסטר, שיש מאות אלפי יהודים </w:t>
      </w:r>
      <w:bookmarkStart w:id="47831" w:name="_ETM_Q92_599850"/>
      <w:bookmarkEnd w:id="47831"/>
      <w:r>
        <w:rPr>
          <w:rFonts w:hint="cs"/>
          <w:rtl/>
          <w:lang w:eastAsia="he-IL"/>
        </w:rPr>
        <w:t xml:space="preserve">שמרגישים 75 שנה כגולים בארצם ובמולדתם, יהודים חרדים לדבר השם. </w:t>
      </w:r>
      <w:bookmarkStart w:id="47832" w:name="_ETM_Q92_607727"/>
      <w:bookmarkStart w:id="47833" w:name="_ETM_Q92_591274"/>
      <w:bookmarkStart w:id="47834" w:name="_ETM_Q92_591313"/>
      <w:bookmarkStart w:id="47835" w:name="_ETM_Q92_591419"/>
      <w:bookmarkStart w:id="47836" w:name="_ETM_Q92_591507"/>
      <w:bookmarkEnd w:id="47832"/>
      <w:bookmarkEnd w:id="47833"/>
      <w:bookmarkEnd w:id="47834"/>
      <w:bookmarkEnd w:id="47835"/>
      <w:bookmarkEnd w:id="47836"/>
    </w:p>
    <w:p w:rsidR="00BB59CD" w:rsidRDefault="00BB59CD" w:rsidP="00BB59CD">
      <w:pPr>
        <w:rPr>
          <w:rtl/>
          <w:lang w:eastAsia="he-IL"/>
        </w:rPr>
      </w:pPr>
      <w:bookmarkStart w:id="47837" w:name="_ETM_Q92_540489"/>
      <w:bookmarkStart w:id="47838" w:name="_ETM_Q92_540567"/>
      <w:bookmarkEnd w:id="47837"/>
      <w:bookmarkEnd w:id="47838"/>
    </w:p>
    <w:p w:rsidR="00BB59CD" w:rsidRDefault="00BB59CD" w:rsidP="00BB59CD">
      <w:pPr>
        <w:rPr>
          <w:rtl/>
          <w:lang w:eastAsia="he-IL"/>
        </w:rPr>
      </w:pPr>
      <w:bookmarkStart w:id="47839" w:name="_ETM_Q92_540690"/>
      <w:bookmarkStart w:id="47840" w:name="_ETM_Q92_540735"/>
      <w:bookmarkEnd w:id="47839"/>
      <w:bookmarkEnd w:id="47840"/>
      <w:r>
        <w:rPr>
          <w:rFonts w:hint="cs"/>
          <w:rtl/>
          <w:lang w:eastAsia="he-IL"/>
        </w:rPr>
        <w:t xml:space="preserve">חבר הכנסת מנסור עבאס, 20 דקות. </w:t>
      </w:r>
    </w:p>
    <w:p w:rsidR="00BB59CD" w:rsidRDefault="00BB59CD" w:rsidP="00BB59CD">
      <w:pPr>
        <w:rPr>
          <w:rtl/>
          <w:lang w:eastAsia="he-IL"/>
        </w:rPr>
      </w:pPr>
    </w:p>
    <w:p w:rsidR="00BB59CD" w:rsidRDefault="00BB59CD" w:rsidP="00BB59CD">
      <w:pPr>
        <w:pStyle w:val="a5"/>
        <w:keepNext/>
        <w:rPr>
          <w:rtl/>
        </w:rPr>
      </w:pPr>
      <w:bookmarkStart w:id="47841" w:name="ET_speaker_5795_2"/>
      <w:r>
        <w:rPr>
          <w:rStyle w:val="TagStyle"/>
          <w:rFonts w:hint="cs"/>
          <w:rtl/>
        </w:rPr>
        <w:t xml:space="preserve"> &lt;&lt; דובר &gt;&gt; </w:t>
      </w:r>
      <w:bookmarkStart w:id="47842" w:name="_Toc141197174"/>
      <w:bookmarkStart w:id="47843" w:name="_Toc141196910"/>
      <w:r>
        <w:rPr>
          <w:rFonts w:hint="cs"/>
          <w:rtl/>
        </w:rPr>
        <w:t>מנסור עבאס (רע"מ – הרשימה הערבית המאוחדת):</w:t>
      </w:r>
      <w:bookmarkEnd w:id="47842"/>
      <w:bookmarkEnd w:id="47843"/>
      <w:r>
        <w:rPr>
          <w:rStyle w:val="TagStyle"/>
          <w:rFonts w:hint="cs"/>
          <w:rtl/>
        </w:rPr>
        <w:t xml:space="preserve"> &lt;&lt; דובר &gt;&gt;</w:t>
      </w:r>
      <w:r>
        <w:rPr>
          <w:rFonts w:hint="cs"/>
          <w:rtl/>
        </w:rPr>
        <w:t xml:space="preserve">   </w:t>
      </w:r>
      <w:bookmarkEnd w:id="47841"/>
    </w:p>
    <w:p w:rsidR="00BB59CD" w:rsidRDefault="00BB59CD" w:rsidP="00337201">
      <w:pPr>
        <w:rPr>
          <w:rtl/>
          <w:lang w:eastAsia="he-IL"/>
        </w:rPr>
      </w:pPr>
    </w:p>
    <w:p w:rsidR="00BB59CD" w:rsidRDefault="00BB59CD" w:rsidP="00A06889">
      <w:pPr>
        <w:rPr>
          <w:rtl/>
          <w:lang w:eastAsia="he-IL"/>
        </w:rPr>
      </w:pPr>
      <w:r>
        <w:rPr>
          <w:rFonts w:hint="cs"/>
          <w:rtl/>
          <w:lang w:eastAsia="he-IL"/>
        </w:rPr>
        <w:t xml:space="preserve">תודה, אדוני היושב-ראש. אדוני השר, אתמול </w:t>
      </w:r>
      <w:bookmarkStart w:id="47844" w:name="_ETM_Q92_642228"/>
      <w:bookmarkEnd w:id="47844"/>
      <w:r>
        <w:rPr>
          <w:rFonts w:hint="cs"/>
          <w:rtl/>
          <w:lang w:eastAsia="he-IL"/>
        </w:rPr>
        <w:t xml:space="preserve">פרסם מרכז אמ"ן סיכום של כמעט חצי שנה, 200 יום </w:t>
      </w:r>
      <w:bookmarkStart w:id="47845" w:name="_ETM_Q92_650197"/>
      <w:bookmarkEnd w:id="47845"/>
      <w:r>
        <w:rPr>
          <w:rFonts w:hint="cs"/>
          <w:rtl/>
          <w:lang w:eastAsia="he-IL"/>
        </w:rPr>
        <w:t xml:space="preserve">מאז כינון הממשלה, מתחילת השנה, בעצם, על מצב הפשיעה </w:t>
      </w:r>
      <w:bookmarkStart w:id="47846" w:name="_ETM_Q92_655574"/>
      <w:bookmarkEnd w:id="47846"/>
      <w:r>
        <w:rPr>
          <w:rFonts w:hint="cs"/>
          <w:rtl/>
          <w:lang w:eastAsia="he-IL"/>
        </w:rPr>
        <w:t xml:space="preserve">והאלימות בחברה הערבית. </w:t>
      </w:r>
      <w:bookmarkStart w:id="47847" w:name="_ETM_Q92_652724"/>
      <w:bookmarkStart w:id="47848" w:name="_ETM_Q92_652789"/>
      <w:bookmarkStart w:id="47849" w:name="_ETM_Q92_652852"/>
      <w:bookmarkStart w:id="47850" w:name="_ETM_Q92_652919"/>
      <w:bookmarkEnd w:id="47847"/>
      <w:bookmarkEnd w:id="47848"/>
      <w:bookmarkEnd w:id="47849"/>
      <w:bookmarkEnd w:id="47850"/>
      <w:r w:rsidR="00A06889">
        <w:rPr>
          <w:rFonts w:hint="cs"/>
          <w:rtl/>
          <w:lang w:eastAsia="he-IL"/>
        </w:rPr>
        <w:t xml:space="preserve"> </w:t>
      </w:r>
      <w:r>
        <w:rPr>
          <w:rFonts w:hint="cs"/>
          <w:rtl/>
          <w:lang w:eastAsia="he-IL"/>
        </w:rPr>
        <w:t xml:space="preserve">קודם כול, אני רוצה לומר </w:t>
      </w:r>
      <w:r w:rsidR="00A06889">
        <w:rPr>
          <w:rFonts w:hint="cs"/>
          <w:rtl/>
          <w:lang w:eastAsia="he-IL"/>
        </w:rPr>
        <w:t>ש</w:t>
      </w:r>
      <w:bookmarkStart w:id="47851" w:name="_ETM_Q92_660068"/>
      <w:bookmarkEnd w:id="47851"/>
      <w:r>
        <w:rPr>
          <w:rFonts w:hint="cs"/>
          <w:rtl/>
          <w:lang w:eastAsia="he-IL"/>
        </w:rPr>
        <w:t xml:space="preserve">אנחנו דנים במצב לא סביר, שבו הממשלה מפקירה, אין מילה אחרת, מפקירה את החברה הערבית לארגוני הפשע, מוותרת על הריבונות, מוותרת על המשילות, מוותרת על חוק וסדר </w:t>
      </w:r>
      <w:bookmarkStart w:id="47852" w:name="_ETM_Q92_677883"/>
      <w:bookmarkEnd w:id="47852"/>
      <w:r>
        <w:rPr>
          <w:rFonts w:hint="cs"/>
          <w:rtl/>
          <w:lang w:eastAsia="he-IL"/>
        </w:rPr>
        <w:t xml:space="preserve">ושלטון חוק; </w:t>
      </w:r>
      <w:r w:rsidR="00A06889">
        <w:rPr>
          <w:rFonts w:hint="cs"/>
          <w:rtl/>
          <w:lang w:eastAsia="he-IL"/>
        </w:rPr>
        <w:t xml:space="preserve">היא </w:t>
      </w:r>
      <w:r>
        <w:rPr>
          <w:rFonts w:hint="cs"/>
          <w:rtl/>
          <w:lang w:eastAsia="he-IL"/>
        </w:rPr>
        <w:t xml:space="preserve">מאפשרת לארגוני פשע למשול, לגבות פרוטקשן מהאזרחים, אבל </w:t>
      </w:r>
      <w:bookmarkStart w:id="47853" w:name="_ETM_Q92_689114"/>
      <w:bookmarkEnd w:id="47853"/>
      <w:r>
        <w:rPr>
          <w:rFonts w:hint="cs"/>
          <w:rtl/>
          <w:lang w:eastAsia="he-IL"/>
        </w:rPr>
        <w:t>בעיקר</w:t>
      </w:r>
      <w:r w:rsidR="00A06889">
        <w:rPr>
          <w:rFonts w:hint="cs"/>
          <w:rtl/>
          <w:lang w:eastAsia="he-IL"/>
        </w:rPr>
        <w:t xml:space="preserve"> </w:t>
      </w:r>
      <w:r>
        <w:rPr>
          <w:rFonts w:hint="cs"/>
          <w:rtl/>
          <w:lang w:eastAsia="he-IL"/>
        </w:rPr>
        <w:t xml:space="preserve">לגבות חיי אזרחים </w:t>
      </w:r>
      <w:bookmarkStart w:id="47854" w:name="_ETM_Q92_687698"/>
      <w:bookmarkStart w:id="47855" w:name="_ETM_Q92_687755"/>
      <w:bookmarkStart w:id="47856" w:name="_ETM_Q92_687842"/>
      <w:bookmarkStart w:id="47857" w:name="_ETM_Q92_687909"/>
      <w:bookmarkEnd w:id="47854"/>
      <w:bookmarkEnd w:id="47855"/>
      <w:bookmarkEnd w:id="47856"/>
      <w:bookmarkEnd w:id="47857"/>
      <w:r w:rsidR="00A06889">
        <w:rPr>
          <w:rFonts w:hint="eastAsia"/>
          <w:rtl/>
          <w:lang w:eastAsia="he-IL"/>
        </w:rPr>
        <w:t>–</w:t>
      </w:r>
      <w:r w:rsidR="00A06889">
        <w:rPr>
          <w:rFonts w:hint="cs"/>
          <w:rtl/>
          <w:lang w:eastAsia="he-IL"/>
        </w:rPr>
        <w:t xml:space="preserve"> </w:t>
      </w:r>
      <w:r>
        <w:rPr>
          <w:rFonts w:hint="cs"/>
          <w:rtl/>
          <w:lang w:eastAsia="he-IL"/>
        </w:rPr>
        <w:t xml:space="preserve">הנתון האחרון זה 129 נרצחים, </w:t>
      </w:r>
      <w:bookmarkStart w:id="47858" w:name="_ETM_Q92_696785"/>
      <w:bookmarkEnd w:id="47858"/>
      <w:r>
        <w:rPr>
          <w:rFonts w:hint="cs"/>
          <w:rtl/>
          <w:lang w:eastAsia="he-IL"/>
        </w:rPr>
        <w:t xml:space="preserve">מאות רבות של פצועים קשה, אלפי משפחות הרוסות, ואין ממשלה </w:t>
      </w:r>
      <w:bookmarkStart w:id="47859" w:name="_ETM_Q92_705330"/>
      <w:bookmarkEnd w:id="47859"/>
      <w:r>
        <w:rPr>
          <w:rFonts w:hint="cs"/>
          <w:rtl/>
          <w:lang w:eastAsia="he-IL"/>
        </w:rPr>
        <w:t>שתטפל ותיתן מענה</w:t>
      </w:r>
      <w:r w:rsidR="00A06889">
        <w:rPr>
          <w:rFonts w:hint="cs"/>
          <w:rtl/>
          <w:lang w:eastAsia="he-IL"/>
        </w:rPr>
        <w:t xml:space="preserve">. </w:t>
      </w:r>
      <w:r>
        <w:rPr>
          <w:rFonts w:hint="cs"/>
          <w:rtl/>
          <w:lang w:eastAsia="he-IL"/>
        </w:rPr>
        <w:t xml:space="preserve"> </w:t>
      </w:r>
    </w:p>
    <w:p w:rsidR="00BB59CD" w:rsidRDefault="00BB59CD" w:rsidP="00BB59CD">
      <w:pPr>
        <w:rPr>
          <w:rtl/>
          <w:lang w:eastAsia="he-IL"/>
        </w:rPr>
      </w:pPr>
      <w:bookmarkStart w:id="47860" w:name="_ETM_Q92_712466"/>
      <w:bookmarkStart w:id="47861" w:name="_ETM_Q92_712553"/>
      <w:bookmarkEnd w:id="47860"/>
      <w:bookmarkEnd w:id="47861"/>
    </w:p>
    <w:p w:rsidR="00BB59CD" w:rsidRDefault="00BB59CD" w:rsidP="00A06889">
      <w:pPr>
        <w:rPr>
          <w:rtl/>
        </w:rPr>
      </w:pPr>
      <w:bookmarkStart w:id="47862" w:name="_ETM_Q92_712594"/>
      <w:bookmarkStart w:id="47863" w:name="_ETM_Q92_712677"/>
      <w:bookmarkEnd w:id="47862"/>
      <w:bookmarkEnd w:id="47863"/>
      <w:r>
        <w:rPr>
          <w:rFonts w:hint="cs"/>
          <w:rtl/>
          <w:lang w:eastAsia="he-IL"/>
        </w:rPr>
        <w:t xml:space="preserve">בהשוואה לשנה הקודמת </w:t>
      </w:r>
      <w:r w:rsidR="00A06889">
        <w:rPr>
          <w:rFonts w:hint="eastAsia"/>
          <w:rtl/>
          <w:lang w:eastAsia="he-IL"/>
        </w:rPr>
        <w:t>–</w:t>
      </w:r>
      <w:r w:rsidR="00A06889">
        <w:rPr>
          <w:rFonts w:hint="cs"/>
          <w:rtl/>
          <w:lang w:eastAsia="he-IL"/>
        </w:rPr>
        <w:t xml:space="preserve"> </w:t>
      </w:r>
      <w:r>
        <w:rPr>
          <w:rFonts w:hint="cs"/>
          <w:rtl/>
          <w:lang w:eastAsia="he-IL"/>
        </w:rPr>
        <w:t xml:space="preserve">אנחנו היינו באירוע אחר </w:t>
      </w:r>
      <w:bookmarkStart w:id="47864" w:name="_ETM_Q92_717409"/>
      <w:bookmarkEnd w:id="47864"/>
      <w:r>
        <w:rPr>
          <w:rFonts w:hint="cs"/>
          <w:rtl/>
          <w:lang w:eastAsia="he-IL"/>
        </w:rPr>
        <w:t xml:space="preserve">לגמרי, שבו הממשלה הייתה מחויבת. כל השרים, ראש הממשלה, </w:t>
      </w:r>
      <w:bookmarkStart w:id="47865" w:name="_ETM_Q92_726513"/>
      <w:bookmarkEnd w:id="47865"/>
      <w:r>
        <w:rPr>
          <w:rFonts w:hint="cs"/>
          <w:rtl/>
          <w:lang w:eastAsia="he-IL"/>
        </w:rPr>
        <w:t>היו מחויבים לנושא הזה, והוא כמעט היה בצורה רציפה על סדר</w:t>
      </w:r>
      <w:bookmarkStart w:id="47866" w:name="_ETM_Q92_732322"/>
      <w:bookmarkEnd w:id="47866"/>
      <w:r>
        <w:rPr>
          <w:rFonts w:hint="cs"/>
          <w:rtl/>
          <w:lang w:eastAsia="he-IL"/>
        </w:rPr>
        <w:t xml:space="preserve">-יומה של הממשלה בהיבטים שונים. לכן הצלחנו להשיג תוצאות ראויות </w:t>
      </w:r>
      <w:bookmarkStart w:id="47867" w:name="_ETM_Q92_739982"/>
      <w:bookmarkEnd w:id="47867"/>
      <w:r>
        <w:rPr>
          <w:rFonts w:hint="cs"/>
          <w:rtl/>
          <w:lang w:eastAsia="he-IL"/>
        </w:rPr>
        <w:t xml:space="preserve">ולהפוך את העקומה שעלתה מדי שנה; פעם ראשונה שהעקומה התחילה </w:t>
      </w:r>
      <w:bookmarkStart w:id="47868" w:name="_ETM_Q92_751182"/>
      <w:bookmarkEnd w:id="47868"/>
      <w:r>
        <w:rPr>
          <w:rFonts w:hint="cs"/>
          <w:rtl/>
          <w:lang w:eastAsia="he-IL"/>
        </w:rPr>
        <w:t xml:space="preserve">לרדת בשנת 2022. </w:t>
      </w:r>
      <w:bookmarkStart w:id="47869" w:name="_ETM_Q92_754925"/>
      <w:bookmarkStart w:id="47870" w:name="_ETM_Q92_754988"/>
      <w:bookmarkStart w:id="47871" w:name="TOR_Q93"/>
      <w:bookmarkEnd w:id="47869"/>
      <w:bookmarkEnd w:id="47870"/>
      <w:bookmarkEnd w:id="47871"/>
      <w:r>
        <w:rPr>
          <w:rFonts w:hint="cs"/>
          <w:rtl/>
        </w:rPr>
        <w:t>ולכן, כאשר אני עולה על הדוכן ורוצה להתייחס לחוק הזה – שהוא ביטול עילת הסבירות</w:t>
      </w:r>
      <w:bookmarkStart w:id="47872" w:name="_ETM_Q93_157099"/>
      <w:bookmarkStart w:id="47873" w:name="_ETM_Q93_152999"/>
      <w:bookmarkStart w:id="47874" w:name="_ETM_Q93_148110"/>
      <w:bookmarkStart w:id="47875" w:name="_ETM_Q93_143251"/>
      <w:bookmarkStart w:id="47876" w:name="_ETM_Q93_138420"/>
      <w:bookmarkStart w:id="47877" w:name="_ETM_Q93_133761"/>
      <w:bookmarkStart w:id="47878" w:name="_ETM_Q93_128901"/>
      <w:bookmarkStart w:id="47879" w:name="_ETM_Q93_124041"/>
      <w:bookmarkStart w:id="47880" w:name="_ETM_Q93_120060"/>
      <w:bookmarkStart w:id="47881" w:name="_ETM_Q93_116300"/>
      <w:bookmarkStart w:id="47882" w:name="_ETM_Q93_113380"/>
      <w:bookmarkEnd w:id="47872"/>
      <w:bookmarkEnd w:id="47873"/>
      <w:bookmarkEnd w:id="47874"/>
      <w:bookmarkEnd w:id="47875"/>
      <w:bookmarkEnd w:id="47876"/>
      <w:bookmarkEnd w:id="47877"/>
      <w:bookmarkEnd w:id="47878"/>
      <w:bookmarkEnd w:id="47879"/>
      <w:bookmarkEnd w:id="47880"/>
      <w:bookmarkEnd w:id="47881"/>
      <w:bookmarkEnd w:id="47882"/>
      <w:r>
        <w:rPr>
          <w:rFonts w:hint="cs"/>
          <w:rtl/>
        </w:rPr>
        <w:t xml:space="preserve"> –</w:t>
      </w:r>
      <w:bookmarkStart w:id="47883" w:name="_ETM_Q93_174770"/>
      <w:bookmarkEnd w:id="47883"/>
      <w:r>
        <w:rPr>
          <w:rFonts w:hint="cs"/>
          <w:rtl/>
        </w:rPr>
        <w:t xml:space="preserve"> </w:t>
      </w:r>
      <w:bookmarkStart w:id="47884" w:name="_ETM_Q93_165399"/>
      <w:bookmarkEnd w:id="47884"/>
      <w:r>
        <w:rPr>
          <w:rFonts w:hint="cs"/>
          <w:rtl/>
        </w:rPr>
        <w:t xml:space="preserve">בכלל, אנחנו לא נמצאים </w:t>
      </w:r>
      <w:bookmarkStart w:id="47885" w:name="_ETM_Q93_166784"/>
      <w:bookmarkEnd w:id="47885"/>
      <w:r>
        <w:rPr>
          <w:rFonts w:hint="cs"/>
          <w:rtl/>
        </w:rPr>
        <w:t xml:space="preserve">רק בצל חוק שהוא לא סביר אלא מציאות שהיא לא סבירה. לא הגיוני שהמצב הזה יימשך בחברה </w:t>
      </w:r>
      <w:bookmarkStart w:id="47886" w:name="_ETM_Q93_168039"/>
      <w:bookmarkEnd w:id="47886"/>
      <w:r>
        <w:rPr>
          <w:rFonts w:hint="cs"/>
          <w:rtl/>
        </w:rPr>
        <w:t xml:space="preserve">הערבית. כעס – יש, תסכול – </w:t>
      </w:r>
      <w:bookmarkStart w:id="47887" w:name="_ETM_Q93_174420"/>
      <w:bookmarkEnd w:id="47887"/>
      <w:r>
        <w:rPr>
          <w:rFonts w:hint="cs"/>
          <w:rtl/>
        </w:rPr>
        <w:t xml:space="preserve">יש. יכול להיות שהממשלה </w:t>
      </w:r>
      <w:bookmarkStart w:id="47888" w:name="_ETM_Q93_180515"/>
      <w:bookmarkEnd w:id="47888"/>
      <w:r>
        <w:rPr>
          <w:rFonts w:hint="cs"/>
          <w:rtl/>
        </w:rPr>
        <w:t xml:space="preserve">מנצלת </w:t>
      </w:r>
      <w:bookmarkStart w:id="47889" w:name="_ETM_Q93_180750"/>
      <w:bookmarkEnd w:id="47889"/>
      <w:r>
        <w:rPr>
          <w:rFonts w:hint="cs"/>
          <w:rtl/>
        </w:rPr>
        <w:t xml:space="preserve">את </w:t>
      </w:r>
      <w:bookmarkStart w:id="47890" w:name="_ETM_Q93_181020"/>
      <w:bookmarkEnd w:id="47890"/>
      <w:r>
        <w:rPr>
          <w:rFonts w:hint="cs"/>
          <w:rtl/>
        </w:rPr>
        <w:t xml:space="preserve">האיפוק </w:t>
      </w:r>
      <w:bookmarkStart w:id="47891" w:name="_ETM_Q93_182350"/>
      <w:bookmarkEnd w:id="47891"/>
      <w:r>
        <w:rPr>
          <w:rFonts w:hint="cs"/>
          <w:rtl/>
        </w:rPr>
        <w:t xml:space="preserve">המרבי </w:t>
      </w:r>
      <w:bookmarkStart w:id="47892" w:name="_ETM_Q93_182949"/>
      <w:bookmarkEnd w:id="47892"/>
      <w:r>
        <w:rPr>
          <w:rFonts w:hint="cs"/>
          <w:rtl/>
        </w:rPr>
        <w:t>ש</w:t>
      </w:r>
      <w:bookmarkStart w:id="47893" w:name="_ETM_Q93_206357"/>
      <w:bookmarkEnd w:id="47893"/>
      <w:r>
        <w:rPr>
          <w:rFonts w:hint="cs"/>
          <w:rtl/>
        </w:rPr>
        <w:t xml:space="preserve">יש </w:t>
      </w:r>
      <w:bookmarkStart w:id="47894" w:name="_ETM_Q93_183190"/>
      <w:bookmarkEnd w:id="47894"/>
      <w:r>
        <w:rPr>
          <w:rFonts w:hint="cs"/>
          <w:rtl/>
        </w:rPr>
        <w:t xml:space="preserve">בחברה </w:t>
      </w:r>
      <w:bookmarkStart w:id="47895" w:name="_ETM_Q93_183669"/>
      <w:bookmarkEnd w:id="47895"/>
      <w:r>
        <w:rPr>
          <w:rFonts w:hint="cs"/>
          <w:rtl/>
        </w:rPr>
        <w:t xml:space="preserve">הערבית, </w:t>
      </w:r>
      <w:bookmarkStart w:id="47896" w:name="_ETM_Q93_184980"/>
      <w:bookmarkEnd w:id="47896"/>
      <w:r>
        <w:rPr>
          <w:rFonts w:hint="cs"/>
          <w:rtl/>
        </w:rPr>
        <w:t xml:space="preserve">אבל </w:t>
      </w:r>
      <w:bookmarkStart w:id="47897" w:name="_ETM_Q93_185339"/>
      <w:bookmarkEnd w:id="47897"/>
      <w:r>
        <w:rPr>
          <w:rFonts w:hint="cs"/>
          <w:rtl/>
        </w:rPr>
        <w:t xml:space="preserve">האיפוק </w:t>
      </w:r>
      <w:bookmarkStart w:id="47898" w:name="_ETM_Q93_185790"/>
      <w:bookmarkEnd w:id="47898"/>
      <w:r>
        <w:rPr>
          <w:rFonts w:hint="cs"/>
          <w:rtl/>
        </w:rPr>
        <w:t xml:space="preserve">הזה </w:t>
      </w:r>
      <w:bookmarkStart w:id="47899" w:name="_ETM_Q93_186059"/>
      <w:bookmarkEnd w:id="47899"/>
      <w:r>
        <w:rPr>
          <w:rFonts w:hint="cs"/>
          <w:rtl/>
        </w:rPr>
        <w:t xml:space="preserve">לא </w:t>
      </w:r>
      <w:bookmarkStart w:id="47900" w:name="_ETM_Q93_186180"/>
      <w:bookmarkEnd w:id="47900"/>
      <w:r>
        <w:rPr>
          <w:rFonts w:hint="cs"/>
          <w:rtl/>
        </w:rPr>
        <w:t xml:space="preserve">יימשך, </w:t>
      </w:r>
      <w:bookmarkStart w:id="47901" w:name="_ETM_Q93_188269"/>
      <w:bookmarkEnd w:id="47901"/>
      <w:r>
        <w:rPr>
          <w:rFonts w:hint="cs"/>
          <w:rtl/>
        </w:rPr>
        <w:t xml:space="preserve">ובהזדמנות </w:t>
      </w:r>
      <w:bookmarkStart w:id="47902" w:name="_ETM_Q93_189590"/>
      <w:bookmarkEnd w:id="47902"/>
      <w:r>
        <w:rPr>
          <w:rFonts w:hint="cs"/>
          <w:rtl/>
        </w:rPr>
        <w:t xml:space="preserve">הראשונה, </w:t>
      </w:r>
      <w:bookmarkStart w:id="47903" w:name="_ETM_Q93_190190"/>
      <w:bookmarkEnd w:id="47903"/>
      <w:r>
        <w:rPr>
          <w:rFonts w:hint="cs"/>
          <w:rtl/>
        </w:rPr>
        <w:t xml:space="preserve">באירוע </w:t>
      </w:r>
      <w:bookmarkStart w:id="47904" w:name="_ETM_Q93_190730"/>
      <w:bookmarkEnd w:id="47904"/>
      <w:r>
        <w:rPr>
          <w:rFonts w:hint="cs"/>
          <w:rtl/>
        </w:rPr>
        <w:t>הר</w:t>
      </w:r>
      <w:bookmarkStart w:id="47905" w:name="_ETM_Q93_191210"/>
      <w:bookmarkStart w:id="47906" w:name="_ETM_Q93_190040"/>
      <w:bookmarkEnd w:id="47905"/>
      <w:bookmarkEnd w:id="47906"/>
      <w:r>
        <w:rPr>
          <w:rFonts w:hint="cs"/>
          <w:rtl/>
        </w:rPr>
        <w:t xml:space="preserve">אשון, </w:t>
      </w:r>
      <w:bookmarkStart w:id="47907" w:name="_ETM_Q93_192230"/>
      <w:bookmarkEnd w:id="47907"/>
      <w:r>
        <w:rPr>
          <w:rFonts w:hint="cs"/>
          <w:rtl/>
        </w:rPr>
        <w:t xml:space="preserve">אתה </w:t>
      </w:r>
      <w:bookmarkStart w:id="47908" w:name="_ETM_Q93_192500"/>
      <w:bookmarkEnd w:id="47908"/>
      <w:r>
        <w:rPr>
          <w:rFonts w:hint="cs"/>
          <w:rtl/>
        </w:rPr>
        <w:t xml:space="preserve">תמצא </w:t>
      </w:r>
      <w:bookmarkStart w:id="47909" w:name="_ETM_Q93_193010"/>
      <w:bookmarkEnd w:id="47909"/>
      <w:r>
        <w:rPr>
          <w:rFonts w:hint="cs"/>
          <w:rtl/>
        </w:rPr>
        <w:t xml:space="preserve">אנשים </w:t>
      </w:r>
      <w:bookmarkStart w:id="47910" w:name="_ETM_Q93_193760"/>
      <w:bookmarkEnd w:id="47910"/>
      <w:r>
        <w:rPr>
          <w:rFonts w:hint="cs"/>
          <w:rtl/>
        </w:rPr>
        <w:t xml:space="preserve">שמבטאים </w:t>
      </w:r>
      <w:bookmarkStart w:id="47911" w:name="_ETM_Q93_195709"/>
      <w:bookmarkEnd w:id="47911"/>
      <w:r>
        <w:rPr>
          <w:rFonts w:hint="cs"/>
          <w:rtl/>
        </w:rPr>
        <w:t xml:space="preserve">את </w:t>
      </w:r>
      <w:bookmarkStart w:id="47912" w:name="_ETM_Q93_195860"/>
      <w:bookmarkEnd w:id="47912"/>
      <w:r>
        <w:rPr>
          <w:rFonts w:hint="cs"/>
          <w:rtl/>
        </w:rPr>
        <w:t xml:space="preserve">הכעס </w:t>
      </w:r>
      <w:bookmarkStart w:id="47913" w:name="_ETM_Q93_196340"/>
      <w:bookmarkEnd w:id="47913"/>
      <w:r>
        <w:rPr>
          <w:rFonts w:hint="cs"/>
          <w:rtl/>
        </w:rPr>
        <w:t xml:space="preserve">ואת </w:t>
      </w:r>
      <w:bookmarkStart w:id="47914" w:name="_ETM_Q93_197119"/>
      <w:bookmarkEnd w:id="47914"/>
      <w:r>
        <w:rPr>
          <w:rFonts w:hint="cs"/>
          <w:rtl/>
        </w:rPr>
        <w:t xml:space="preserve">התסכול שיש </w:t>
      </w:r>
      <w:bookmarkStart w:id="47915" w:name="_ETM_Q93_197900"/>
      <w:bookmarkEnd w:id="47915"/>
      <w:r>
        <w:rPr>
          <w:rFonts w:hint="cs"/>
          <w:rtl/>
        </w:rPr>
        <w:t>להם</w:t>
      </w:r>
      <w:bookmarkStart w:id="47916" w:name="_ETM_Q93_197340"/>
      <w:bookmarkStart w:id="47917" w:name="_ETM_Q93_202819"/>
      <w:bookmarkEnd w:id="47916"/>
      <w:bookmarkEnd w:id="47917"/>
      <w:r>
        <w:rPr>
          <w:rFonts w:hint="cs"/>
          <w:rtl/>
        </w:rPr>
        <w:t xml:space="preserve">, </w:t>
      </w:r>
      <w:bookmarkStart w:id="47918" w:name="_ETM_Q93_198320"/>
      <w:bookmarkEnd w:id="47918"/>
      <w:r>
        <w:rPr>
          <w:rFonts w:hint="cs"/>
          <w:rtl/>
        </w:rPr>
        <w:t xml:space="preserve">כי </w:t>
      </w:r>
      <w:bookmarkStart w:id="47919" w:name="_ETM_Q93_198470"/>
      <w:bookmarkEnd w:id="47919"/>
      <w:r>
        <w:rPr>
          <w:rFonts w:hint="cs"/>
          <w:rtl/>
        </w:rPr>
        <w:t xml:space="preserve">הם </w:t>
      </w:r>
      <w:bookmarkStart w:id="47920" w:name="_ETM_Q93_198590"/>
      <w:bookmarkEnd w:id="47920"/>
      <w:r>
        <w:rPr>
          <w:rFonts w:hint="cs"/>
          <w:rtl/>
        </w:rPr>
        <w:t xml:space="preserve">מרגישים </w:t>
      </w:r>
      <w:bookmarkStart w:id="47921" w:name="_ETM_Q93_199130"/>
      <w:bookmarkEnd w:id="47921"/>
      <w:r>
        <w:rPr>
          <w:rFonts w:hint="cs"/>
          <w:rtl/>
        </w:rPr>
        <w:t xml:space="preserve">שהמדינה </w:t>
      </w:r>
      <w:bookmarkStart w:id="47922" w:name="_ETM_Q93_201010"/>
      <w:bookmarkEnd w:id="47922"/>
      <w:r>
        <w:rPr>
          <w:rFonts w:hint="cs"/>
          <w:rtl/>
        </w:rPr>
        <w:t xml:space="preserve">מזניחה </w:t>
      </w:r>
      <w:bookmarkStart w:id="47923" w:name="_ETM_Q93_201670"/>
      <w:bookmarkEnd w:id="47923"/>
      <w:r>
        <w:rPr>
          <w:rFonts w:hint="cs"/>
          <w:rtl/>
        </w:rPr>
        <w:t xml:space="preserve">אותם, </w:t>
      </w:r>
      <w:bookmarkStart w:id="47924" w:name="_ETM_Q93_202090"/>
      <w:bookmarkEnd w:id="47924"/>
      <w:r>
        <w:rPr>
          <w:rFonts w:hint="cs"/>
          <w:rtl/>
        </w:rPr>
        <w:t xml:space="preserve">מפקירה </w:t>
      </w:r>
      <w:bookmarkStart w:id="47925" w:name="_ETM_Q93_202600"/>
      <w:bookmarkEnd w:id="47925"/>
      <w:r>
        <w:rPr>
          <w:rFonts w:hint="cs"/>
          <w:rtl/>
        </w:rPr>
        <w:t xml:space="preserve">אותם, </w:t>
      </w:r>
      <w:bookmarkStart w:id="47926" w:name="_ETM_Q93_203670"/>
      <w:bookmarkEnd w:id="47926"/>
      <w:r>
        <w:rPr>
          <w:rFonts w:hint="cs"/>
          <w:rtl/>
        </w:rPr>
        <w:t xml:space="preserve">מאפשרת </w:t>
      </w:r>
      <w:bookmarkStart w:id="47927" w:name="_ETM_Q93_204420"/>
      <w:bookmarkEnd w:id="47927"/>
      <w:r>
        <w:rPr>
          <w:rFonts w:hint="cs"/>
          <w:rtl/>
        </w:rPr>
        <w:t xml:space="preserve">לארגוני </w:t>
      </w:r>
      <w:bookmarkStart w:id="47928" w:name="_ETM_Q93_204930"/>
      <w:bookmarkEnd w:id="47928"/>
      <w:r>
        <w:rPr>
          <w:rFonts w:hint="cs"/>
          <w:rtl/>
        </w:rPr>
        <w:t xml:space="preserve">הפשע </w:t>
      </w:r>
      <w:bookmarkStart w:id="47929" w:name="_ETM_Q93_206099"/>
      <w:bookmarkEnd w:id="47929"/>
      <w:r>
        <w:rPr>
          <w:rFonts w:hint="cs"/>
          <w:rtl/>
        </w:rPr>
        <w:t xml:space="preserve">להשתלט </w:t>
      </w:r>
      <w:bookmarkStart w:id="47930" w:name="_ETM_Q93_206729"/>
      <w:bookmarkEnd w:id="47930"/>
      <w:r>
        <w:rPr>
          <w:rFonts w:hint="cs"/>
          <w:rtl/>
        </w:rPr>
        <w:t xml:space="preserve">להם </w:t>
      </w:r>
      <w:bookmarkStart w:id="47931" w:name="_ETM_Q93_207059"/>
      <w:bookmarkEnd w:id="47931"/>
      <w:r>
        <w:rPr>
          <w:rFonts w:hint="cs"/>
          <w:rtl/>
        </w:rPr>
        <w:t>על ה</w:t>
      </w:r>
      <w:bookmarkStart w:id="47932" w:name="_ETM_Q93_207749"/>
      <w:bookmarkEnd w:id="47932"/>
      <w:r>
        <w:rPr>
          <w:rFonts w:hint="cs"/>
          <w:rtl/>
        </w:rPr>
        <w:t xml:space="preserve">חיים. </w:t>
      </w:r>
      <w:bookmarkStart w:id="47933" w:name="_ETM_Q93_211460"/>
      <w:bookmarkEnd w:id="47933"/>
      <w:r>
        <w:rPr>
          <w:rFonts w:hint="cs"/>
          <w:rtl/>
        </w:rPr>
        <w:t xml:space="preserve"> </w:t>
      </w:r>
    </w:p>
    <w:p w:rsidR="00BB59CD" w:rsidRDefault="00BB59CD" w:rsidP="00BB59CD">
      <w:pPr>
        <w:rPr>
          <w:rtl/>
        </w:rPr>
      </w:pPr>
      <w:bookmarkStart w:id="47934" w:name="_ETM_Q93_254303"/>
      <w:bookmarkStart w:id="47935" w:name="_ETM_Q93_254354"/>
      <w:bookmarkEnd w:id="47934"/>
      <w:bookmarkEnd w:id="47935"/>
    </w:p>
    <w:p w:rsidR="00BB59CD" w:rsidRDefault="00BB59CD" w:rsidP="00BB59CD">
      <w:pPr>
        <w:rPr>
          <w:rtl/>
        </w:rPr>
      </w:pPr>
      <w:bookmarkStart w:id="47936" w:name="_ETM_Q93_254686"/>
      <w:bookmarkStart w:id="47937" w:name="_ETM_Q93_254728"/>
      <w:bookmarkEnd w:id="47936"/>
      <w:bookmarkEnd w:id="47937"/>
      <w:r>
        <w:rPr>
          <w:rFonts w:hint="cs"/>
          <w:rtl/>
        </w:rPr>
        <w:t xml:space="preserve">ולכן, </w:t>
      </w:r>
      <w:bookmarkStart w:id="47938" w:name="_ETM_Q93_212120"/>
      <w:bookmarkEnd w:id="47938"/>
      <w:r>
        <w:rPr>
          <w:rFonts w:hint="cs"/>
          <w:rtl/>
        </w:rPr>
        <w:t xml:space="preserve">אני </w:t>
      </w:r>
      <w:bookmarkStart w:id="47939" w:name="_ETM_Q93_212300"/>
      <w:bookmarkEnd w:id="47939"/>
      <w:r>
        <w:rPr>
          <w:rFonts w:hint="cs"/>
          <w:rtl/>
        </w:rPr>
        <w:t xml:space="preserve">חושב </w:t>
      </w:r>
      <w:bookmarkStart w:id="47940" w:name="_ETM_Q93_212690"/>
      <w:bookmarkEnd w:id="47940"/>
      <w:r>
        <w:rPr>
          <w:rFonts w:hint="cs"/>
          <w:rtl/>
        </w:rPr>
        <w:t>ש</w:t>
      </w:r>
      <w:bookmarkStart w:id="47941" w:name="_ETM_Q93_214610"/>
      <w:bookmarkStart w:id="47942" w:name="_ETM_Q93_215550"/>
      <w:bookmarkEnd w:id="47941"/>
      <w:bookmarkEnd w:id="47942"/>
      <w:r>
        <w:rPr>
          <w:rFonts w:hint="cs"/>
          <w:rtl/>
        </w:rPr>
        <w:t xml:space="preserve">בסדר </w:t>
      </w:r>
      <w:bookmarkStart w:id="47943" w:name="_ETM_Q93_216120"/>
      <w:bookmarkEnd w:id="47943"/>
      <w:r>
        <w:rPr>
          <w:rFonts w:hint="cs"/>
          <w:rtl/>
        </w:rPr>
        <w:t xml:space="preserve">העדיפות </w:t>
      </w:r>
      <w:bookmarkStart w:id="47944" w:name="_ETM_Q93_216690"/>
      <w:bookmarkEnd w:id="47944"/>
      <w:r>
        <w:rPr>
          <w:rFonts w:hint="cs"/>
          <w:rtl/>
        </w:rPr>
        <w:t xml:space="preserve">מבחינתנו, </w:t>
      </w:r>
      <w:bookmarkStart w:id="47945" w:name="_ETM_Q93_218489"/>
      <w:bookmarkEnd w:id="47945"/>
      <w:r>
        <w:rPr>
          <w:rFonts w:hint="cs"/>
          <w:rtl/>
        </w:rPr>
        <w:t xml:space="preserve">במקום </w:t>
      </w:r>
      <w:bookmarkStart w:id="47946" w:name="_ETM_Q93_219030"/>
      <w:bookmarkEnd w:id="47946"/>
      <w:r>
        <w:rPr>
          <w:rFonts w:hint="cs"/>
          <w:rtl/>
        </w:rPr>
        <w:t xml:space="preserve">שהממשלה </w:t>
      </w:r>
      <w:bookmarkStart w:id="47947" w:name="_ETM_Q93_219719"/>
      <w:bookmarkEnd w:id="47947"/>
      <w:r>
        <w:rPr>
          <w:rFonts w:hint="cs"/>
          <w:rtl/>
        </w:rPr>
        <w:t xml:space="preserve">תנסה </w:t>
      </w:r>
      <w:bookmarkStart w:id="47948" w:name="_ETM_Q93_220170"/>
      <w:bookmarkEnd w:id="47948"/>
      <w:r>
        <w:rPr>
          <w:rFonts w:hint="cs"/>
          <w:rtl/>
        </w:rPr>
        <w:t xml:space="preserve">לקדם </w:t>
      </w:r>
      <w:bookmarkStart w:id="47949" w:name="_ETM_Q93_220680"/>
      <w:bookmarkEnd w:id="47949"/>
      <w:r>
        <w:rPr>
          <w:rFonts w:hint="cs"/>
          <w:rtl/>
        </w:rPr>
        <w:t xml:space="preserve">רפורמה </w:t>
      </w:r>
      <w:bookmarkStart w:id="47950" w:name="_ETM_Q93_222030"/>
      <w:bookmarkEnd w:id="47950"/>
      <w:r>
        <w:rPr>
          <w:rFonts w:hint="cs"/>
          <w:rtl/>
        </w:rPr>
        <w:t xml:space="preserve">בתחום </w:t>
      </w:r>
      <w:bookmarkStart w:id="47951" w:name="_ETM_Q93_222659"/>
      <w:bookmarkEnd w:id="47951"/>
      <w:r>
        <w:rPr>
          <w:rFonts w:hint="cs"/>
          <w:rtl/>
        </w:rPr>
        <w:t xml:space="preserve">המשפט </w:t>
      </w:r>
      <w:bookmarkStart w:id="47952" w:name="_ETM_Q93_225339"/>
      <w:bookmarkEnd w:id="47952"/>
      <w:r>
        <w:rPr>
          <w:rFonts w:hint="cs"/>
          <w:rtl/>
        </w:rPr>
        <w:t xml:space="preserve">ותשנה </w:t>
      </w:r>
      <w:bookmarkStart w:id="47953" w:name="_ETM_Q93_226089"/>
      <w:bookmarkEnd w:id="47953"/>
      <w:r>
        <w:rPr>
          <w:rFonts w:hint="cs"/>
          <w:rtl/>
        </w:rPr>
        <w:t xml:space="preserve">את </w:t>
      </w:r>
      <w:bookmarkStart w:id="47954" w:name="_ETM_Q93_226179"/>
      <w:bookmarkEnd w:id="47954"/>
      <w:r>
        <w:rPr>
          <w:rFonts w:hint="cs"/>
          <w:rtl/>
        </w:rPr>
        <w:t xml:space="preserve">האיזון </w:t>
      </w:r>
      <w:bookmarkStart w:id="47955" w:name="_ETM_Q93_226629"/>
      <w:bookmarkEnd w:id="47955"/>
      <w:r>
        <w:rPr>
          <w:rFonts w:hint="cs"/>
          <w:rtl/>
        </w:rPr>
        <w:t xml:space="preserve">בין </w:t>
      </w:r>
      <w:bookmarkStart w:id="47956" w:name="_ETM_Q93_226839"/>
      <w:bookmarkEnd w:id="47956"/>
      <w:r>
        <w:rPr>
          <w:rFonts w:hint="cs"/>
          <w:rtl/>
        </w:rPr>
        <w:t xml:space="preserve">הרשויות </w:t>
      </w:r>
      <w:bookmarkStart w:id="47957" w:name="_ETM_Q93_227350"/>
      <w:bookmarkEnd w:id="47957"/>
      <w:r>
        <w:rPr>
          <w:rFonts w:hint="cs"/>
          <w:rtl/>
        </w:rPr>
        <w:t xml:space="preserve">השונות, </w:t>
      </w:r>
      <w:bookmarkStart w:id="47958" w:name="_ETM_Q93_228750"/>
      <w:bookmarkEnd w:id="47958"/>
      <w:r>
        <w:rPr>
          <w:rFonts w:hint="cs"/>
          <w:rtl/>
        </w:rPr>
        <w:t xml:space="preserve">אנחנו </w:t>
      </w:r>
      <w:bookmarkStart w:id="47959" w:name="_ETM_Q93_229080"/>
      <w:bookmarkEnd w:id="47959"/>
      <w:r>
        <w:rPr>
          <w:rFonts w:hint="cs"/>
          <w:rtl/>
        </w:rPr>
        <w:t xml:space="preserve">צריכים </w:t>
      </w:r>
      <w:bookmarkStart w:id="47960" w:name="_ETM_Q93_229560"/>
      <w:bookmarkEnd w:id="47960"/>
      <w:r>
        <w:rPr>
          <w:rFonts w:hint="cs"/>
          <w:rtl/>
        </w:rPr>
        <w:t xml:space="preserve">לראות </w:t>
      </w:r>
      <w:bookmarkStart w:id="47961" w:name="_ETM_Q93_229979"/>
      <w:bookmarkEnd w:id="47961"/>
      <w:r>
        <w:rPr>
          <w:rFonts w:hint="cs"/>
          <w:rtl/>
        </w:rPr>
        <w:t xml:space="preserve">שהממשלה </w:t>
      </w:r>
      <w:bookmarkStart w:id="47962" w:name="_ETM_Q93_230640"/>
      <w:bookmarkEnd w:id="47962"/>
      <w:r>
        <w:rPr>
          <w:rFonts w:hint="cs"/>
          <w:rtl/>
        </w:rPr>
        <w:t xml:space="preserve">הזאת </w:t>
      </w:r>
      <w:bookmarkStart w:id="47963" w:name="_ETM_Q93_231989"/>
      <w:bookmarkEnd w:id="47963"/>
      <w:r>
        <w:rPr>
          <w:rFonts w:hint="cs"/>
          <w:rtl/>
        </w:rPr>
        <w:t xml:space="preserve">נותנת </w:t>
      </w:r>
      <w:bookmarkStart w:id="47964" w:name="_ETM_Q93_232620"/>
      <w:bookmarkEnd w:id="47964"/>
      <w:r>
        <w:rPr>
          <w:rFonts w:hint="cs"/>
          <w:rtl/>
        </w:rPr>
        <w:t xml:space="preserve">מענה </w:t>
      </w:r>
      <w:bookmarkStart w:id="47965" w:name="_ETM_Q93_233789"/>
      <w:bookmarkEnd w:id="47965"/>
      <w:r>
        <w:rPr>
          <w:rFonts w:hint="cs"/>
          <w:rtl/>
        </w:rPr>
        <w:t xml:space="preserve">לביטחונם </w:t>
      </w:r>
      <w:bookmarkStart w:id="47966" w:name="_ETM_Q93_234570"/>
      <w:bookmarkEnd w:id="47966"/>
      <w:r>
        <w:rPr>
          <w:rFonts w:hint="cs"/>
          <w:rtl/>
        </w:rPr>
        <w:t xml:space="preserve">האישי </w:t>
      </w:r>
      <w:bookmarkStart w:id="47967" w:name="_ETM_Q93_235730"/>
      <w:bookmarkEnd w:id="47967"/>
      <w:r>
        <w:rPr>
          <w:rFonts w:hint="cs"/>
          <w:rtl/>
        </w:rPr>
        <w:t xml:space="preserve">של </w:t>
      </w:r>
      <w:bookmarkStart w:id="47968" w:name="_ETM_Q93_236030"/>
      <w:bookmarkEnd w:id="47968"/>
      <w:r>
        <w:rPr>
          <w:rFonts w:hint="cs"/>
          <w:rtl/>
        </w:rPr>
        <w:t xml:space="preserve">האזרחים </w:t>
      </w:r>
      <w:bookmarkStart w:id="47969" w:name="_ETM_Q93_236660"/>
      <w:bookmarkEnd w:id="47969"/>
      <w:r>
        <w:rPr>
          <w:rFonts w:hint="cs"/>
          <w:rtl/>
        </w:rPr>
        <w:t xml:space="preserve">הערבים. </w:t>
      </w:r>
      <w:bookmarkStart w:id="47970" w:name="_ETM_Q93_237800"/>
      <w:bookmarkEnd w:id="47970"/>
      <w:r>
        <w:rPr>
          <w:rFonts w:hint="cs"/>
          <w:rtl/>
        </w:rPr>
        <w:t xml:space="preserve">זאת </w:t>
      </w:r>
      <w:bookmarkStart w:id="47971" w:name="_ETM_Q93_238100"/>
      <w:bookmarkEnd w:id="47971"/>
      <w:r>
        <w:rPr>
          <w:rFonts w:hint="cs"/>
          <w:rtl/>
        </w:rPr>
        <w:t xml:space="preserve">המחויבות </w:t>
      </w:r>
      <w:bookmarkStart w:id="47972" w:name="_ETM_Q93_238730"/>
      <w:bookmarkEnd w:id="47972"/>
      <w:r>
        <w:rPr>
          <w:rFonts w:hint="cs"/>
          <w:rtl/>
        </w:rPr>
        <w:t xml:space="preserve">הבסיסית </w:t>
      </w:r>
      <w:bookmarkStart w:id="47973" w:name="_ETM_Q93_239239"/>
      <w:bookmarkEnd w:id="47973"/>
      <w:r>
        <w:rPr>
          <w:rFonts w:hint="cs"/>
          <w:rtl/>
        </w:rPr>
        <w:t xml:space="preserve">ביותר </w:t>
      </w:r>
      <w:bookmarkStart w:id="47974" w:name="_ETM_Q93_240350"/>
      <w:bookmarkEnd w:id="47974"/>
      <w:r>
        <w:rPr>
          <w:rFonts w:hint="cs"/>
          <w:rtl/>
        </w:rPr>
        <w:t xml:space="preserve">שממשלה </w:t>
      </w:r>
      <w:bookmarkStart w:id="47975" w:name="_ETM_Q93_241430"/>
      <w:bookmarkEnd w:id="47975"/>
      <w:r>
        <w:rPr>
          <w:rFonts w:hint="cs"/>
          <w:rtl/>
        </w:rPr>
        <w:t xml:space="preserve">צריכה </w:t>
      </w:r>
      <w:bookmarkStart w:id="47976" w:name="_ETM_Q93_243110"/>
      <w:bookmarkEnd w:id="47976"/>
      <w:r>
        <w:rPr>
          <w:rFonts w:hint="cs"/>
          <w:rtl/>
        </w:rPr>
        <w:t xml:space="preserve">לקיים </w:t>
      </w:r>
      <w:bookmarkStart w:id="47977" w:name="_ETM_Q93_244010"/>
      <w:bookmarkEnd w:id="47977"/>
      <w:r>
        <w:rPr>
          <w:rFonts w:hint="cs"/>
          <w:rtl/>
        </w:rPr>
        <w:t xml:space="preserve">בתקופה </w:t>
      </w:r>
      <w:bookmarkStart w:id="47978" w:name="_ETM_Q93_244610"/>
      <w:bookmarkEnd w:id="47978"/>
      <w:r>
        <w:rPr>
          <w:rFonts w:hint="cs"/>
          <w:rtl/>
        </w:rPr>
        <w:t xml:space="preserve">שהיא </w:t>
      </w:r>
      <w:bookmarkStart w:id="47979" w:name="_ETM_Q93_247049"/>
      <w:bookmarkEnd w:id="47979"/>
      <w:r>
        <w:rPr>
          <w:rFonts w:hint="cs"/>
          <w:rtl/>
        </w:rPr>
        <w:t xml:space="preserve">נמצאת. </w:t>
      </w:r>
      <w:bookmarkStart w:id="47980" w:name="_ETM_Q93_247590"/>
      <w:bookmarkEnd w:id="47980"/>
    </w:p>
    <w:p w:rsidR="00BB59CD" w:rsidRDefault="00BB59CD" w:rsidP="00BB59CD">
      <w:pPr>
        <w:rPr>
          <w:rtl/>
        </w:rPr>
      </w:pPr>
      <w:bookmarkStart w:id="47981" w:name="_ETM_Q93_73912"/>
      <w:bookmarkStart w:id="47982" w:name="_ETM_Q93_73994"/>
      <w:bookmarkEnd w:id="47981"/>
      <w:bookmarkEnd w:id="47982"/>
    </w:p>
    <w:p w:rsidR="00BB59CD" w:rsidRDefault="00BB59CD" w:rsidP="001B1096">
      <w:pPr>
        <w:rPr>
          <w:rtl/>
        </w:rPr>
      </w:pPr>
      <w:bookmarkStart w:id="47983" w:name="_ETM_Q93_74152"/>
      <w:bookmarkStart w:id="47984" w:name="_ETM_Q93_74243"/>
      <w:bookmarkEnd w:id="47983"/>
      <w:bookmarkEnd w:id="47984"/>
      <w:r>
        <w:rPr>
          <w:rFonts w:hint="cs"/>
          <w:rtl/>
        </w:rPr>
        <w:t xml:space="preserve">ברשותך, </w:t>
      </w:r>
      <w:bookmarkStart w:id="47985" w:name="_ETM_Q93_249799"/>
      <w:bookmarkEnd w:id="47985"/>
      <w:r>
        <w:rPr>
          <w:rFonts w:hint="cs"/>
          <w:rtl/>
        </w:rPr>
        <w:t xml:space="preserve">אדוני </w:t>
      </w:r>
      <w:bookmarkStart w:id="47986" w:name="_ETM_Q93_250100"/>
      <w:bookmarkEnd w:id="47986"/>
      <w:r>
        <w:rPr>
          <w:rFonts w:hint="cs"/>
          <w:rtl/>
        </w:rPr>
        <w:t xml:space="preserve">היושב-ראש, </w:t>
      </w:r>
      <w:bookmarkStart w:id="47987" w:name="_ETM_Q93_250729"/>
      <w:bookmarkEnd w:id="47987"/>
      <w:r>
        <w:rPr>
          <w:rFonts w:hint="cs"/>
          <w:rtl/>
        </w:rPr>
        <w:t xml:space="preserve">אני </w:t>
      </w:r>
      <w:bookmarkStart w:id="47988" w:name="_ETM_Q93_250909"/>
      <w:bookmarkStart w:id="47989" w:name="_ETM_Q93_252530"/>
      <w:bookmarkEnd w:id="47988"/>
      <w:bookmarkEnd w:id="47989"/>
      <w:r>
        <w:rPr>
          <w:rFonts w:hint="cs"/>
          <w:rtl/>
        </w:rPr>
        <w:t xml:space="preserve">ארצה </w:t>
      </w:r>
      <w:bookmarkStart w:id="47990" w:name="_ETM_Q93_252950"/>
      <w:bookmarkEnd w:id="47990"/>
      <w:r>
        <w:rPr>
          <w:rFonts w:hint="cs"/>
          <w:rtl/>
        </w:rPr>
        <w:t xml:space="preserve">לדבר </w:t>
      </w:r>
      <w:bookmarkStart w:id="47991" w:name="_ETM_Q93_253890"/>
      <w:bookmarkEnd w:id="47991"/>
      <w:r>
        <w:rPr>
          <w:rFonts w:hint="cs"/>
          <w:rtl/>
        </w:rPr>
        <w:t xml:space="preserve">גם </w:t>
      </w:r>
      <w:bookmarkStart w:id="47992" w:name="_ETM_Q93_259859"/>
      <w:bookmarkEnd w:id="47992"/>
      <w:r>
        <w:rPr>
          <w:rFonts w:hint="cs"/>
          <w:rtl/>
        </w:rPr>
        <w:t xml:space="preserve">בשפה </w:t>
      </w:r>
      <w:bookmarkStart w:id="47993" w:name="_ETM_Q93_254970"/>
      <w:bookmarkEnd w:id="47993"/>
      <w:r>
        <w:rPr>
          <w:rFonts w:hint="cs"/>
          <w:rtl/>
        </w:rPr>
        <w:t xml:space="preserve">הערבית </w:t>
      </w:r>
      <w:bookmarkStart w:id="47994" w:name="_ETM_Q93_255600"/>
      <w:bookmarkEnd w:id="47994"/>
      <w:r>
        <w:rPr>
          <w:rFonts w:hint="cs"/>
          <w:rtl/>
        </w:rPr>
        <w:t xml:space="preserve">בשעה </w:t>
      </w:r>
      <w:bookmarkStart w:id="47995" w:name="_ETM_Q93_256170"/>
      <w:bookmarkEnd w:id="47995"/>
      <w:r>
        <w:rPr>
          <w:rFonts w:hint="cs"/>
          <w:rtl/>
        </w:rPr>
        <w:t>ה</w:t>
      </w:r>
      <w:bookmarkStart w:id="47996" w:name="_ETM_Q93_258140"/>
      <w:bookmarkEnd w:id="47996"/>
      <w:r>
        <w:rPr>
          <w:rFonts w:hint="cs"/>
          <w:rtl/>
        </w:rPr>
        <w:t xml:space="preserve">מאוחרת </w:t>
      </w:r>
      <w:bookmarkStart w:id="47997" w:name="_ETM_Q93_258829"/>
      <w:bookmarkEnd w:id="47997"/>
      <w:r>
        <w:rPr>
          <w:rFonts w:hint="cs"/>
          <w:rtl/>
        </w:rPr>
        <w:t>הזאת,</w:t>
      </w:r>
      <w:bookmarkStart w:id="47998" w:name="_ETM_Q93_260010"/>
      <w:bookmarkEnd w:id="47998"/>
      <w:r>
        <w:rPr>
          <w:rFonts w:hint="cs"/>
          <w:rtl/>
        </w:rPr>
        <w:t xml:space="preserve"> גם </w:t>
      </w:r>
      <w:bookmarkStart w:id="47999" w:name="_ETM_Q93_260520"/>
      <w:bookmarkEnd w:id="47999"/>
      <w:r>
        <w:rPr>
          <w:rFonts w:hint="cs"/>
          <w:rtl/>
        </w:rPr>
        <w:t xml:space="preserve">לחשוף </w:t>
      </w:r>
      <w:bookmarkStart w:id="48000" w:name="_ETM_Q93_261060"/>
      <w:bookmarkEnd w:id="48000"/>
      <w:r>
        <w:rPr>
          <w:rFonts w:hint="cs"/>
          <w:rtl/>
        </w:rPr>
        <w:t xml:space="preserve">את </w:t>
      </w:r>
      <w:bookmarkStart w:id="48001" w:name="_ETM_Q93_261240"/>
      <w:bookmarkEnd w:id="48001"/>
      <w:r>
        <w:rPr>
          <w:rFonts w:hint="cs"/>
          <w:rtl/>
        </w:rPr>
        <w:t xml:space="preserve">האזרחים </w:t>
      </w:r>
      <w:bookmarkStart w:id="48002" w:name="_ETM_Q93_261930"/>
      <w:bookmarkEnd w:id="48002"/>
      <w:r>
        <w:rPr>
          <w:rFonts w:hint="cs"/>
          <w:rtl/>
        </w:rPr>
        <w:t xml:space="preserve">הערבים </w:t>
      </w:r>
      <w:bookmarkStart w:id="48003" w:name="_ETM_Q93_263430"/>
      <w:bookmarkEnd w:id="48003"/>
      <w:r>
        <w:rPr>
          <w:rFonts w:hint="cs"/>
          <w:rtl/>
        </w:rPr>
        <w:t xml:space="preserve">למה </w:t>
      </w:r>
      <w:bookmarkStart w:id="48004" w:name="_ETM_Q93_263909"/>
      <w:bookmarkEnd w:id="48004"/>
      <w:r>
        <w:rPr>
          <w:rFonts w:hint="cs"/>
          <w:rtl/>
        </w:rPr>
        <w:t xml:space="preserve">שקורה </w:t>
      </w:r>
      <w:bookmarkStart w:id="48005" w:name="_ETM_Q93_264360"/>
      <w:bookmarkEnd w:id="48005"/>
      <w:r>
        <w:rPr>
          <w:rFonts w:hint="cs"/>
          <w:rtl/>
        </w:rPr>
        <w:t xml:space="preserve">כאן </w:t>
      </w:r>
      <w:bookmarkStart w:id="48006" w:name="_ETM_Q93_264659"/>
      <w:bookmarkEnd w:id="48006"/>
      <w:r>
        <w:rPr>
          <w:rFonts w:hint="cs"/>
          <w:rtl/>
        </w:rPr>
        <w:t xml:space="preserve">בכנסת </w:t>
      </w:r>
      <w:bookmarkStart w:id="48007" w:name="_ETM_Q93_265380"/>
      <w:bookmarkEnd w:id="48007"/>
      <w:r>
        <w:rPr>
          <w:rFonts w:hint="cs"/>
          <w:rtl/>
        </w:rPr>
        <w:t xml:space="preserve">וגם </w:t>
      </w:r>
      <w:bookmarkStart w:id="48008" w:name="_ETM_Q93_265770"/>
      <w:bookmarkEnd w:id="48008"/>
      <w:r>
        <w:rPr>
          <w:rFonts w:hint="cs"/>
          <w:rtl/>
        </w:rPr>
        <w:t xml:space="preserve">לדבר </w:t>
      </w:r>
      <w:bookmarkStart w:id="48009" w:name="_ETM_Q93_266310"/>
      <w:bookmarkEnd w:id="48009"/>
      <w:r>
        <w:rPr>
          <w:rFonts w:hint="cs"/>
          <w:rtl/>
        </w:rPr>
        <w:t xml:space="preserve">על </w:t>
      </w:r>
      <w:bookmarkStart w:id="48010" w:name="_ETM_Q93_266520"/>
      <w:bookmarkEnd w:id="48010"/>
      <w:r>
        <w:rPr>
          <w:rFonts w:hint="cs"/>
          <w:rtl/>
        </w:rPr>
        <w:t>ה</w:t>
      </w:r>
      <w:bookmarkStart w:id="48011" w:name="_ETM_Q93_268279"/>
      <w:bookmarkStart w:id="48012" w:name="_ETM_Q93_269200"/>
      <w:bookmarkEnd w:id="48011"/>
      <w:bookmarkEnd w:id="48012"/>
      <w:r>
        <w:rPr>
          <w:rFonts w:hint="cs"/>
          <w:rtl/>
        </w:rPr>
        <w:t xml:space="preserve">נושא </w:t>
      </w:r>
      <w:bookmarkStart w:id="48013" w:name="_ETM_Q93_269650"/>
      <w:bookmarkEnd w:id="48013"/>
      <w:r>
        <w:rPr>
          <w:rFonts w:hint="cs"/>
          <w:rtl/>
        </w:rPr>
        <w:t xml:space="preserve">הספציפי </w:t>
      </w:r>
      <w:bookmarkStart w:id="48014" w:name="_ETM_Q93_270310"/>
      <w:bookmarkEnd w:id="48014"/>
      <w:r>
        <w:rPr>
          <w:rFonts w:hint="cs"/>
          <w:rtl/>
        </w:rPr>
        <w:t xml:space="preserve">של </w:t>
      </w:r>
      <w:bookmarkStart w:id="48015" w:name="_ETM_Q93_273189"/>
      <w:bookmarkEnd w:id="48015"/>
      <w:r>
        <w:rPr>
          <w:rFonts w:hint="cs"/>
          <w:rtl/>
        </w:rPr>
        <w:t xml:space="preserve">הרפורמה </w:t>
      </w:r>
      <w:bookmarkStart w:id="48016" w:name="_ETM_Q93_274000"/>
      <w:bookmarkEnd w:id="48016"/>
      <w:r>
        <w:rPr>
          <w:rFonts w:hint="cs"/>
          <w:rtl/>
        </w:rPr>
        <w:t xml:space="preserve">המשפטית, </w:t>
      </w:r>
      <w:bookmarkStart w:id="48017" w:name="_ETM_Q93_274750"/>
      <w:bookmarkEnd w:id="48017"/>
      <w:r>
        <w:rPr>
          <w:rFonts w:hint="cs"/>
          <w:rtl/>
        </w:rPr>
        <w:t xml:space="preserve">אבל </w:t>
      </w:r>
      <w:bookmarkStart w:id="48018" w:name="_ETM_Q93_275049"/>
      <w:bookmarkEnd w:id="48018"/>
      <w:r>
        <w:rPr>
          <w:rFonts w:hint="cs"/>
          <w:rtl/>
        </w:rPr>
        <w:t xml:space="preserve">גם </w:t>
      </w:r>
      <w:bookmarkStart w:id="48019" w:name="_ETM_Q93_275530"/>
      <w:bookmarkEnd w:id="48019"/>
      <w:r>
        <w:rPr>
          <w:rFonts w:hint="cs"/>
          <w:rtl/>
        </w:rPr>
        <w:t xml:space="preserve">להתייחס </w:t>
      </w:r>
      <w:bookmarkStart w:id="48020" w:name="_ETM_Q93_276340"/>
      <w:bookmarkEnd w:id="48020"/>
      <w:r>
        <w:rPr>
          <w:rFonts w:hint="cs"/>
          <w:rtl/>
        </w:rPr>
        <w:t xml:space="preserve">למצב </w:t>
      </w:r>
      <w:bookmarkStart w:id="48021" w:name="_ETM_Q93_278319"/>
      <w:bookmarkEnd w:id="48021"/>
      <w:r>
        <w:rPr>
          <w:rFonts w:hint="cs"/>
          <w:rtl/>
        </w:rPr>
        <w:t xml:space="preserve">הכללי </w:t>
      </w:r>
      <w:bookmarkStart w:id="48022" w:name="_ETM_Q93_278830"/>
      <w:bookmarkEnd w:id="48022"/>
      <w:r>
        <w:rPr>
          <w:rFonts w:hint="cs"/>
          <w:rtl/>
        </w:rPr>
        <w:t xml:space="preserve">בחברה </w:t>
      </w:r>
      <w:bookmarkStart w:id="48023" w:name="_ETM_Q93_279430"/>
      <w:bookmarkEnd w:id="48023"/>
      <w:r>
        <w:rPr>
          <w:rFonts w:hint="cs"/>
          <w:rtl/>
        </w:rPr>
        <w:t>הערבית.</w:t>
      </w:r>
      <w:bookmarkStart w:id="48024" w:name="_ETM_Q93_121016"/>
      <w:bookmarkStart w:id="48025" w:name="_ETM_Q93_121111"/>
      <w:bookmarkStart w:id="48026" w:name="_ETM_Q93_121224"/>
      <w:bookmarkStart w:id="48027" w:name="_ETM_Q93_121301"/>
      <w:bookmarkStart w:id="48028" w:name="_ETM_Q93_383989"/>
      <w:bookmarkStart w:id="48029" w:name="_ETM_Q93_506260"/>
      <w:bookmarkStart w:id="48030" w:name="_ETM_Q93_625020"/>
      <w:bookmarkStart w:id="48031" w:name="_ETM_Q93_742479"/>
      <w:bookmarkEnd w:id="48024"/>
      <w:bookmarkEnd w:id="48025"/>
      <w:bookmarkEnd w:id="48026"/>
      <w:bookmarkEnd w:id="48027"/>
      <w:bookmarkEnd w:id="48028"/>
      <w:bookmarkEnd w:id="48029"/>
      <w:bookmarkEnd w:id="48030"/>
      <w:bookmarkEnd w:id="48031"/>
      <w:r>
        <w:rPr>
          <w:rFonts w:hint="cs"/>
          <w:rtl/>
        </w:rPr>
        <w:t xml:space="preserve"> (אומר </w:t>
      </w:r>
      <w:r w:rsidR="001B1096">
        <w:rPr>
          <w:rFonts w:hint="cs"/>
          <w:rtl/>
        </w:rPr>
        <w:t>ב</w:t>
      </w:r>
      <w:r>
        <w:rPr>
          <w:rFonts w:hint="cs"/>
          <w:rtl/>
        </w:rPr>
        <w:t xml:space="preserve">ערבית: בשעה הזאת שאני עומד, לאחר חצות, קרוב לשעה </w:t>
      </w:r>
      <w:r w:rsidR="001B1096">
        <w:rPr>
          <w:rFonts w:hint="cs"/>
          <w:rtl/>
        </w:rPr>
        <w:t>0</w:t>
      </w:r>
      <w:r>
        <w:rPr>
          <w:rFonts w:hint="cs"/>
          <w:rtl/>
        </w:rPr>
        <w:t xml:space="preserve">1:30, </w:t>
      </w:r>
      <w:r w:rsidR="001B1096">
        <w:rPr>
          <w:rFonts w:hint="cs"/>
          <w:rtl/>
        </w:rPr>
        <w:t>ש</w:t>
      </w:r>
      <w:r>
        <w:rPr>
          <w:rFonts w:hint="cs"/>
          <w:rtl/>
        </w:rPr>
        <w:t>בה אנחנו, חברי הכנסת הערבים</w:t>
      </w:r>
      <w:r w:rsidR="001B1096">
        <w:rPr>
          <w:rFonts w:hint="cs"/>
          <w:rtl/>
        </w:rPr>
        <w:t>,</w:t>
      </w:r>
      <w:r>
        <w:rPr>
          <w:rFonts w:hint="cs"/>
          <w:rtl/>
        </w:rPr>
        <w:t xml:space="preserve"> מנסים - - )</w:t>
      </w:r>
    </w:p>
    <w:p w:rsidR="00BB59CD" w:rsidRDefault="00BB59CD" w:rsidP="00337201">
      <w:pPr>
        <w:rPr>
          <w:rtl/>
        </w:rPr>
      </w:pPr>
      <w:bookmarkStart w:id="48032" w:name="_ETM_Q93_219968"/>
      <w:bookmarkStart w:id="48033" w:name="_ETM_Q93_220043"/>
      <w:bookmarkEnd w:id="48032"/>
      <w:bookmarkEnd w:id="48033"/>
    </w:p>
    <w:p w:rsidR="00BB59CD" w:rsidRDefault="00BB59CD" w:rsidP="00BB59CD">
      <w:pPr>
        <w:pStyle w:val="af9"/>
        <w:keepNext/>
        <w:rPr>
          <w:rtl/>
        </w:rPr>
      </w:pPr>
      <w:bookmarkStart w:id="48034" w:name="ET_yor_6129_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8034"/>
    </w:p>
    <w:p w:rsidR="00BB59CD" w:rsidRDefault="00BB59CD" w:rsidP="00337201">
      <w:pPr>
        <w:rPr>
          <w:rtl/>
        </w:rPr>
      </w:pPr>
    </w:p>
    <w:p w:rsidR="00BB59CD" w:rsidRDefault="00BB59CD" w:rsidP="00BB59CD">
      <w:pPr>
        <w:rPr>
          <w:rtl/>
        </w:rPr>
      </w:pPr>
      <w:bookmarkStart w:id="48035" w:name="_ETM_Q93_235639"/>
      <w:bookmarkEnd w:id="48035"/>
      <w:r>
        <w:rPr>
          <w:rFonts w:hint="cs"/>
          <w:rtl/>
        </w:rPr>
        <w:t>בשעת לילה זו, בחצות – אני אתרגם אותך?</w:t>
      </w:r>
    </w:p>
    <w:p w:rsidR="00BB59CD" w:rsidRDefault="00BB59CD" w:rsidP="00BB59CD">
      <w:pPr>
        <w:rPr>
          <w:rtl/>
        </w:rPr>
      </w:pPr>
      <w:bookmarkStart w:id="48036" w:name="_ETM_Q93_239487"/>
      <w:bookmarkStart w:id="48037" w:name="_ETM_Q93_239553"/>
      <w:bookmarkEnd w:id="48036"/>
      <w:bookmarkEnd w:id="48037"/>
    </w:p>
    <w:p w:rsidR="00BB59CD" w:rsidRDefault="00BB59CD" w:rsidP="00BB59CD">
      <w:pPr>
        <w:pStyle w:val="-"/>
        <w:keepNext/>
        <w:rPr>
          <w:rtl/>
        </w:rPr>
      </w:pPr>
      <w:bookmarkStart w:id="48038" w:name="ET_speakercontinue_5795_5"/>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48038"/>
    </w:p>
    <w:p w:rsidR="00BB59CD" w:rsidRDefault="00BB59CD" w:rsidP="00337201">
      <w:pPr>
        <w:rPr>
          <w:rtl/>
        </w:rPr>
      </w:pPr>
    </w:p>
    <w:p w:rsidR="00BB59CD" w:rsidRDefault="00BB59CD" w:rsidP="00BB59CD">
      <w:pPr>
        <w:rPr>
          <w:rtl/>
        </w:rPr>
      </w:pPr>
      <w:bookmarkStart w:id="48039" w:name="_ETM_Q93_240707"/>
      <w:bookmarkStart w:id="48040" w:name="_ETM_Q93_232510"/>
      <w:bookmarkStart w:id="48041" w:name="_ETM_Q93_221709"/>
      <w:bookmarkEnd w:id="48039"/>
      <w:bookmarkEnd w:id="48040"/>
      <w:bookmarkEnd w:id="48041"/>
      <w:r>
        <w:rPr>
          <w:rFonts w:hint="cs"/>
          <w:rtl/>
        </w:rPr>
        <w:t>כן.</w:t>
      </w:r>
      <w:bookmarkStart w:id="48042" w:name="_ETM_Q93_293306"/>
      <w:bookmarkEnd w:id="48042"/>
    </w:p>
    <w:p w:rsidR="00BB59CD" w:rsidRDefault="00BB59CD" w:rsidP="00BB59CD">
      <w:pPr>
        <w:rPr>
          <w:rtl/>
        </w:rPr>
      </w:pPr>
    </w:p>
    <w:p w:rsidR="00BB59CD" w:rsidRDefault="00BB59CD" w:rsidP="00BB59CD">
      <w:pPr>
        <w:pStyle w:val="af9"/>
        <w:keepNext/>
        <w:rPr>
          <w:rtl/>
        </w:rPr>
      </w:pPr>
      <w:bookmarkStart w:id="48043" w:name="ET_yor_6129_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8043"/>
    </w:p>
    <w:p w:rsidR="00BB59CD" w:rsidRDefault="00BB59CD" w:rsidP="00337201">
      <w:pPr>
        <w:rPr>
          <w:rtl/>
        </w:rPr>
      </w:pPr>
    </w:p>
    <w:p w:rsidR="00BB59CD" w:rsidRDefault="00BB59CD" w:rsidP="00BB59CD">
      <w:pPr>
        <w:rPr>
          <w:rtl/>
        </w:rPr>
      </w:pPr>
      <w:r>
        <w:rPr>
          <w:rFonts w:hint="cs"/>
          <w:rtl/>
        </w:rPr>
        <w:t>תפדל.</w:t>
      </w:r>
    </w:p>
    <w:p w:rsidR="00BB59CD" w:rsidRDefault="00BB59CD" w:rsidP="00BB59CD">
      <w:pPr>
        <w:rPr>
          <w:rtl/>
        </w:rPr>
      </w:pPr>
    </w:p>
    <w:p w:rsidR="00BB59CD" w:rsidRDefault="00BB59CD" w:rsidP="00BB59CD">
      <w:pPr>
        <w:pStyle w:val="-"/>
        <w:keepNext/>
        <w:rPr>
          <w:rtl/>
        </w:rPr>
      </w:pPr>
      <w:bookmarkStart w:id="48044" w:name="ET_speakercontinue_5795_7"/>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48044"/>
    </w:p>
    <w:p w:rsidR="00BB59CD" w:rsidRDefault="00BB59CD" w:rsidP="00337201">
      <w:pPr>
        <w:rPr>
          <w:rtl/>
        </w:rPr>
      </w:pPr>
    </w:p>
    <w:p w:rsidR="00BB59CD" w:rsidRDefault="00BB59CD" w:rsidP="00A06889">
      <w:pPr>
        <w:rPr>
          <w:rFonts w:asciiTheme="minorHAnsi" w:hAnsiTheme="minorHAnsi" w:cstheme="minorBidi"/>
          <w:rtl/>
        </w:rPr>
      </w:pPr>
      <w:r>
        <w:rPr>
          <w:rFonts w:hint="cs"/>
          <w:rtl/>
        </w:rPr>
        <w:t>כן. שוכרן.</w:t>
      </w:r>
      <w:bookmarkStart w:id="48045" w:name="_ETM_Q93_297015"/>
      <w:bookmarkEnd w:id="48045"/>
      <w:r>
        <w:rPr>
          <w:rFonts w:hint="cs"/>
          <w:rtl/>
        </w:rPr>
        <w:t xml:space="preserve"> </w:t>
      </w:r>
      <w:bookmarkStart w:id="48046" w:name="_ETM_Q93_304652"/>
      <w:bookmarkEnd w:id="48046"/>
      <w:r>
        <w:rPr>
          <w:rFonts w:hint="cs"/>
          <w:rtl/>
        </w:rPr>
        <w:t>(אומר דברים בשפה הערבית, להלן תרגומם: תודה. חברי הכנסת, מטבע הדברים</w:t>
      </w:r>
      <w:r w:rsidR="001B1096">
        <w:rPr>
          <w:rFonts w:hint="cs"/>
          <w:rtl/>
        </w:rPr>
        <w:t>,</w:t>
      </w:r>
      <w:r>
        <w:rPr>
          <w:rFonts w:hint="cs"/>
          <w:rtl/>
        </w:rPr>
        <w:t xml:space="preserve"> בשעה הזאת מנסים לעכב את חקיקת החוק הזה, </w:t>
      </w:r>
      <w:r w:rsidR="001B1096">
        <w:rPr>
          <w:rFonts w:hint="cs"/>
          <w:rtl/>
        </w:rPr>
        <w:t>חוק ביטול עילת הסבירות, במצב הלא-</w:t>
      </w:r>
      <w:r>
        <w:rPr>
          <w:rFonts w:hint="cs"/>
          <w:rtl/>
        </w:rPr>
        <w:t>סביר של הממשלה הז</w:t>
      </w:r>
      <w:r w:rsidR="00A06889">
        <w:rPr>
          <w:rFonts w:hint="cs"/>
          <w:rtl/>
        </w:rPr>
        <w:t>א</w:t>
      </w:r>
      <w:r w:rsidR="001B1096">
        <w:rPr>
          <w:rFonts w:hint="cs"/>
          <w:rtl/>
        </w:rPr>
        <w:t>ת</w:t>
      </w:r>
      <w:r>
        <w:rPr>
          <w:rFonts w:hint="cs"/>
          <w:rtl/>
        </w:rPr>
        <w:t>. אולם לשווא הם מנסים, על רקע התעקשות הממשלה הז</w:t>
      </w:r>
      <w:r w:rsidR="001B1096">
        <w:rPr>
          <w:rFonts w:hint="cs"/>
          <w:rtl/>
        </w:rPr>
        <w:t>את</w:t>
      </w:r>
      <w:r>
        <w:rPr>
          <w:rFonts w:hint="cs"/>
          <w:rtl/>
        </w:rPr>
        <w:t xml:space="preserve"> לקדם את הפרויקט שלה לשינוי אופי השלטון במדינת ישראל ומנגנון החוקים שקשור במערכת המשפט וכו'. הנושא היום הוא השארה או ביטול של עילת הסבירות</w:t>
      </w:r>
      <w:r w:rsidR="00A06889">
        <w:rPr>
          <w:rFonts w:hint="cs"/>
          <w:rtl/>
        </w:rPr>
        <w:t>,</w:t>
      </w:r>
      <w:r w:rsidR="001B1096">
        <w:rPr>
          <w:rFonts w:hint="eastAsia"/>
          <w:rtl/>
        </w:rPr>
        <w:t xml:space="preserve"> </w:t>
      </w:r>
      <w:r>
        <w:rPr>
          <w:rFonts w:hint="cs"/>
          <w:rtl/>
        </w:rPr>
        <w:t>העיקרון המשפטי והעיקרון ההגיוני אשר שולט בהתנהגויות האדם. התנהגות האדם לא נקבעת רק בחוקים פה ושם או בחקיקה פה ושם, אלא התנהגות האדם צריכה להיות התנהגות הגיונית, התנהגות נורמלית</w:t>
      </w:r>
      <w:r w:rsidR="001B1096">
        <w:rPr>
          <w:rFonts w:hint="cs"/>
          <w:rtl/>
        </w:rPr>
        <w:t>,</w:t>
      </w:r>
      <w:r>
        <w:rPr>
          <w:rFonts w:hint="cs"/>
          <w:rtl/>
        </w:rPr>
        <w:t xml:space="preserve"> בהתאם לעקרונות הכלליים שלפיהם פועלות החברות ההומניות. זה מספק טיפול בצרכים של כל הצדדים בחברה ולכל בני החברה האחת. אז היום יש ניסיון לבטל את העיקרון הזה, או את התירוץ הזה</w:t>
      </w:r>
      <w:r w:rsidR="001B1096">
        <w:rPr>
          <w:rFonts w:hint="cs"/>
          <w:rtl/>
        </w:rPr>
        <w:t>,</w:t>
      </w:r>
      <w:r>
        <w:rPr>
          <w:rFonts w:hint="cs"/>
          <w:rtl/>
        </w:rPr>
        <w:t xml:space="preserve"> אשר שולט במידה מסוימת בהתנהגות הממשלה ובהתנהגות השרים בהרבה צדדים מההחלטות שלהם. </w:t>
      </w:r>
    </w:p>
    <w:p w:rsidR="00BB59CD" w:rsidRDefault="00BB59CD" w:rsidP="00BB59CD"/>
    <w:p w:rsidR="00BB59CD" w:rsidRDefault="00BB59CD" w:rsidP="001B1096">
      <w:pPr>
        <w:rPr>
          <w:rtl/>
        </w:rPr>
      </w:pPr>
      <w:r>
        <w:rPr>
          <w:rFonts w:hint="cs"/>
          <w:rtl/>
        </w:rPr>
        <w:t>אולם הבעיה היא לא רק ביטול העיקרון הזה. לממשלה הז</w:t>
      </w:r>
      <w:r w:rsidR="001B1096">
        <w:rPr>
          <w:rFonts w:hint="cs"/>
          <w:rtl/>
        </w:rPr>
        <w:t>את,</w:t>
      </w:r>
      <w:r>
        <w:rPr>
          <w:rFonts w:hint="cs"/>
          <w:rtl/>
        </w:rPr>
        <w:t xml:space="preserve"> </w:t>
      </w:r>
      <w:r w:rsidR="001B1096">
        <w:rPr>
          <w:rFonts w:hint="cs"/>
          <w:rtl/>
        </w:rPr>
        <w:t>ל</w:t>
      </w:r>
      <w:r>
        <w:rPr>
          <w:rFonts w:hint="cs"/>
          <w:rtl/>
        </w:rPr>
        <w:t>קואליציה הימנית הקיצונית הז</w:t>
      </w:r>
      <w:r w:rsidR="001B1096">
        <w:rPr>
          <w:rFonts w:hint="cs"/>
          <w:rtl/>
        </w:rPr>
        <w:t>את,</w:t>
      </w:r>
      <w:r>
        <w:rPr>
          <w:rFonts w:hint="cs"/>
          <w:rtl/>
        </w:rPr>
        <w:t xml:space="preserve"> יש תוכנית שלמה. זה מתחיל </w:t>
      </w:r>
      <w:r w:rsidR="001B1096">
        <w:rPr>
          <w:rFonts w:hint="cs"/>
          <w:rtl/>
        </w:rPr>
        <w:t>ב</w:t>
      </w:r>
      <w:r>
        <w:rPr>
          <w:rFonts w:hint="cs"/>
          <w:rtl/>
        </w:rPr>
        <w:t>ביטול עילת הסבירות וזה יסתיים בביטול עקרונות נוספים וחוקים נוספים אשר שולטים במהלכי הממשלה ומדיניותה. זה כופה עלינו מנגנון חוקים חדש, שמוציא אותנו ממערכת דמוקרטית יחסי</w:t>
      </w:r>
      <w:r w:rsidR="001B1096">
        <w:rPr>
          <w:rFonts w:hint="cs"/>
          <w:rtl/>
        </w:rPr>
        <w:t>ת</w:t>
      </w:r>
      <w:r>
        <w:rPr>
          <w:rFonts w:hint="cs"/>
          <w:rtl/>
        </w:rPr>
        <w:t xml:space="preserve"> אל מערכת ששולטים בה רק הרצון הפוליטי והאינטרס הפוליטי של קבוצה מסוימת. משמע שהפניות הפוליטיות למפלגה הז</w:t>
      </w:r>
      <w:r w:rsidR="001B1096">
        <w:rPr>
          <w:rFonts w:hint="cs"/>
          <w:rtl/>
        </w:rPr>
        <w:t>את</w:t>
      </w:r>
      <w:r>
        <w:rPr>
          <w:rFonts w:hint="cs"/>
          <w:rtl/>
        </w:rPr>
        <w:t xml:space="preserve"> או למפלגה האחרת </w:t>
      </w:r>
      <w:r w:rsidR="00A06889">
        <w:rPr>
          <w:rFonts w:hint="eastAsia"/>
          <w:rtl/>
        </w:rPr>
        <w:t>–</w:t>
      </w:r>
      <w:r w:rsidR="00A06889">
        <w:rPr>
          <w:rFonts w:hint="cs"/>
          <w:rtl/>
        </w:rPr>
        <w:t xml:space="preserve"> </w:t>
      </w:r>
      <w:r>
        <w:rPr>
          <w:rFonts w:hint="cs"/>
          <w:rtl/>
        </w:rPr>
        <w:t>זה מה שיחליט באופן מלא מה הזכויות והמעמד והמשאבים אשר יושקעו בחברה הז</w:t>
      </w:r>
      <w:r w:rsidR="001B1096">
        <w:rPr>
          <w:rFonts w:hint="cs"/>
          <w:rtl/>
        </w:rPr>
        <w:t>את</w:t>
      </w:r>
      <w:r>
        <w:rPr>
          <w:rFonts w:hint="cs"/>
          <w:rtl/>
        </w:rPr>
        <w:t xml:space="preserve"> או בחברה ההיא. המצב הקיים עכשיו הוא שיש מנגנון חוקים אשר משפיע על התנהגות הממשלה</w:t>
      </w:r>
      <w:r w:rsidR="001B1096">
        <w:rPr>
          <w:rFonts w:hint="cs"/>
          <w:rtl/>
        </w:rPr>
        <w:t>;</w:t>
      </w:r>
      <w:r>
        <w:rPr>
          <w:rFonts w:hint="cs"/>
          <w:rtl/>
        </w:rPr>
        <w:t xml:space="preserve"> יש מערכות אשר מאזנות את שאיפותיה הפרועות של הממשלה, במיוחד מערכת המשפט והחוק. אז כאשר אתה משנה את מנגנון החוקים ואת העקרונות הכלליים ששולטים בכל מערכת דמוקרטית או כל מערכת משפטית, אז מטבע הדברים אתה נותן לקבוצה הז</w:t>
      </w:r>
      <w:r w:rsidR="001B1096">
        <w:rPr>
          <w:rFonts w:hint="cs"/>
          <w:rtl/>
        </w:rPr>
        <w:t>את</w:t>
      </w:r>
      <w:r>
        <w:rPr>
          <w:rFonts w:hint="cs"/>
          <w:rtl/>
        </w:rPr>
        <w:t xml:space="preserve">, אפילו שהיא רוב לאחר בחירות מסוימות – אתה נותן לה כוח מוחלט לעשות מה שהיא רוצה. </w:t>
      </w:r>
    </w:p>
    <w:p w:rsidR="00BB59CD" w:rsidRDefault="00BB59CD" w:rsidP="00BB59CD">
      <w:pPr>
        <w:rPr>
          <w:rtl/>
        </w:rPr>
      </w:pPr>
    </w:p>
    <w:p w:rsidR="00A06889" w:rsidRDefault="00BB59CD" w:rsidP="00A06889">
      <w:pPr>
        <w:rPr>
          <w:rtl/>
        </w:rPr>
      </w:pPr>
      <w:r>
        <w:rPr>
          <w:rFonts w:hint="cs"/>
          <w:rtl/>
        </w:rPr>
        <w:t>וזה העניין</w:t>
      </w:r>
      <w:r w:rsidR="00A06889">
        <w:rPr>
          <w:rFonts w:hint="cs"/>
          <w:rtl/>
        </w:rPr>
        <w:t>.</w:t>
      </w:r>
      <w:r>
        <w:rPr>
          <w:rFonts w:hint="cs"/>
          <w:rtl/>
        </w:rPr>
        <w:t xml:space="preserve"> זאת אומרת</w:t>
      </w:r>
      <w:r w:rsidR="001B1096">
        <w:rPr>
          <w:rFonts w:hint="cs"/>
          <w:rtl/>
        </w:rPr>
        <w:t>,</w:t>
      </w:r>
      <w:r>
        <w:rPr>
          <w:rFonts w:hint="cs"/>
          <w:rtl/>
        </w:rPr>
        <w:t xml:space="preserve"> זה לא מקובל מצד אחד, והעניין הזה לא נחשב לעיקרון דמוקרטי</w:t>
      </w:r>
      <w:r w:rsidR="001B1096">
        <w:rPr>
          <w:rFonts w:hint="cs"/>
          <w:rtl/>
        </w:rPr>
        <w:t>,</w:t>
      </w:r>
      <w:r>
        <w:rPr>
          <w:rFonts w:hint="cs"/>
          <w:rtl/>
        </w:rPr>
        <w:t xml:space="preserve"> כי אין סיכוי לבטל את הדמוקרטיה דרך עקרון הרוב או בהחלטת הרוב. אולם הדמוקרטיה מאזנת בין חוק הרוב בקבלת ההחלטה וחוק המיעוט בשמירה על החוקים הבסיסיים ועל ההזדמנות לקבל משאבים שמחולקים באופן שווה ובאופן הוגן, ושהקבוצות השונות האלה יזכו להתעניינות מצד הממשלה, שתספק להם את העקרונות הבסיסיים למחיה, ובהם קידוש החיים, הביטחון והבטיחות, הזדמנות לעבוד, הזדמנות לחיות בכבוד, הזדמנות להשכלה והזדמנות להיות חלק מקבלת ההחלטות, השפעה על ההחלטה, השפעה על המציאות הפוליטית הז</w:t>
      </w:r>
      <w:r w:rsidR="001B1096">
        <w:rPr>
          <w:rFonts w:hint="cs"/>
          <w:rtl/>
        </w:rPr>
        <w:t>את</w:t>
      </w:r>
      <w:r>
        <w:rPr>
          <w:rFonts w:hint="cs"/>
          <w:rtl/>
        </w:rPr>
        <w:t xml:space="preserve"> ויצירת המציאות הפוליטית והחברתית וכו'. </w:t>
      </w:r>
    </w:p>
    <w:p w:rsidR="00A06889" w:rsidRDefault="00A06889" w:rsidP="00A06889">
      <w:pPr>
        <w:rPr>
          <w:rtl/>
        </w:rPr>
      </w:pPr>
    </w:p>
    <w:p w:rsidR="00BB59CD" w:rsidRDefault="00BB59CD" w:rsidP="00A06889">
      <w:pPr>
        <w:rPr>
          <w:rtl/>
        </w:rPr>
      </w:pPr>
      <w:r>
        <w:rPr>
          <w:rFonts w:hint="cs"/>
          <w:rtl/>
        </w:rPr>
        <w:t xml:space="preserve">לכן אני אומר שהבעיה שלנו </w:t>
      </w:r>
      <w:r w:rsidR="001B1096">
        <w:rPr>
          <w:rFonts w:hint="cs"/>
          <w:rtl/>
        </w:rPr>
        <w:t xml:space="preserve">היא </w:t>
      </w:r>
      <w:r>
        <w:rPr>
          <w:rFonts w:hint="cs"/>
          <w:rtl/>
        </w:rPr>
        <w:t xml:space="preserve">לא רק עם החוק הזה. הבעיה שלנו היא במנטליות, המנטליות אשר מנהלת את המצב ורוצה לשנות את העקרונות המחוקקים, להפריד בין הרשויות והאיזון בין הרשויות בכל מערכת פוליטית ולקחת אותנו יותר רחוק. יש בערך 200 הצעות חוק שמשפיעות על טבעה של המערכת, משפיעות על טבען של הזכויות </w:t>
      </w:r>
      <w:r w:rsidR="001B1096">
        <w:rPr>
          <w:rFonts w:hint="eastAsia"/>
          <w:rtl/>
        </w:rPr>
        <w:t xml:space="preserve">– </w:t>
      </w:r>
      <w:r>
        <w:rPr>
          <w:rFonts w:hint="cs"/>
          <w:rtl/>
        </w:rPr>
        <w:t xml:space="preserve">זכויות האזרחים, זכויות המיעוט </w:t>
      </w:r>
      <w:r w:rsidR="001B1096">
        <w:rPr>
          <w:rFonts w:hint="eastAsia"/>
          <w:rtl/>
        </w:rPr>
        <w:t xml:space="preserve">– </w:t>
      </w:r>
      <w:r>
        <w:rPr>
          <w:rFonts w:hint="cs"/>
          <w:rtl/>
        </w:rPr>
        <w:t xml:space="preserve">ועל מעמד הקבוצות השונות, ובמיוחד החברה הערבית שלנו, שיש לה כמה תכונות ופרטים בפן הזה. </w:t>
      </w:r>
    </w:p>
    <w:p w:rsidR="00BB59CD" w:rsidRDefault="00BB59CD" w:rsidP="00BB59CD">
      <w:pPr>
        <w:rPr>
          <w:rtl/>
        </w:rPr>
      </w:pPr>
    </w:p>
    <w:p w:rsidR="00BB59CD" w:rsidRDefault="00BB59CD" w:rsidP="001B1096">
      <w:pPr>
        <w:rPr>
          <w:rtl/>
        </w:rPr>
      </w:pPr>
      <w:r>
        <w:rPr>
          <w:rFonts w:hint="cs"/>
          <w:rtl/>
        </w:rPr>
        <w:t>לכן מי שלא רואה את התמונה כולה יחשוב שייתכן שהשתיקה – או שההתמודדות עם החוק הזה היא במסגרת מוגבלת, ושההשפעה שלו תהיה מוגבלת, בגבולות החוק הזה. לא</w:t>
      </w:r>
      <w:r w:rsidR="001B1096">
        <w:rPr>
          <w:rFonts w:hint="cs"/>
          <w:rtl/>
        </w:rPr>
        <w:t>.</w:t>
      </w:r>
      <w:r>
        <w:rPr>
          <w:rFonts w:hint="cs"/>
          <w:rtl/>
        </w:rPr>
        <w:t xml:space="preserve"> הגבולות של החוק הזה משתרעים על כל דרכי ותחומי החיים, גם אם זה רק סעיף אחד בחוק. כי עקרון הסבירות משפיע על כל מנגנון החוקים, מנגנון המדיניות, מנגנון חילוק המשאבים, מנגנון התעסוקה במדינה הז</w:t>
      </w:r>
      <w:r w:rsidR="001B1096">
        <w:rPr>
          <w:rFonts w:hint="cs"/>
          <w:rtl/>
        </w:rPr>
        <w:t>את</w:t>
      </w:r>
      <w:r>
        <w:rPr>
          <w:rFonts w:hint="cs"/>
          <w:rtl/>
        </w:rPr>
        <w:t xml:space="preserve"> והתנהגות הממשלה ואחרים, </w:t>
      </w:r>
      <w:r w:rsidR="001B1096">
        <w:rPr>
          <w:rFonts w:hint="cs"/>
          <w:rtl/>
        </w:rPr>
        <w:t>וב</w:t>
      </w:r>
      <w:r>
        <w:rPr>
          <w:rFonts w:hint="cs"/>
          <w:rtl/>
        </w:rPr>
        <w:t xml:space="preserve">הם השרים והפקידים. אם כך, הוא חוק כללי אשר משפיע על כל דרכי ותחומי החיים. </w:t>
      </w:r>
    </w:p>
    <w:p w:rsidR="00BB59CD" w:rsidRDefault="00BB59CD" w:rsidP="00BB59CD">
      <w:pPr>
        <w:rPr>
          <w:rtl/>
        </w:rPr>
      </w:pPr>
    </w:p>
    <w:p w:rsidR="00BB59CD" w:rsidRDefault="00BB59CD" w:rsidP="001B1096">
      <w:pPr>
        <w:rPr>
          <w:rtl/>
        </w:rPr>
      </w:pPr>
      <w:r>
        <w:rPr>
          <w:rFonts w:hint="cs"/>
          <w:rtl/>
        </w:rPr>
        <w:t xml:space="preserve">נוסף על כך החוק הזה, דרך אגב, הוא החוק הרביעי בחשיבותו, הוא הרביעי בדירוגו, היות שהחוק הזה הוא חלק ממה שנקרא התיקונים המשפטיים והעריכות המשפטיות שקוראים להם </w:t>
      </w:r>
      <w:r w:rsidR="001B1096">
        <w:rPr>
          <w:rFonts w:hint="cs"/>
          <w:rtl/>
        </w:rPr>
        <w:t>"</w:t>
      </w:r>
      <w:r>
        <w:rPr>
          <w:rFonts w:hint="cs"/>
          <w:rtl/>
        </w:rPr>
        <w:t>המהפכה המשפטית</w:t>
      </w:r>
      <w:r w:rsidR="001B1096">
        <w:rPr>
          <w:rFonts w:hint="cs"/>
          <w:rtl/>
        </w:rPr>
        <w:t>"</w:t>
      </w:r>
      <w:r>
        <w:rPr>
          <w:rFonts w:hint="cs"/>
          <w:rtl/>
        </w:rPr>
        <w:t>. אז בדירוג הוא היה מס' 4, והיום כמובן הוא קפץ</w:t>
      </w:r>
      <w:r w:rsidR="001B1096">
        <w:rPr>
          <w:rFonts w:hint="cs"/>
          <w:rtl/>
        </w:rPr>
        <w:t>,</w:t>
      </w:r>
      <w:r>
        <w:rPr>
          <w:rFonts w:hint="cs"/>
          <w:rtl/>
        </w:rPr>
        <w:t xml:space="preserve"> משום שיש מחאות והתנגדות לקיום העריכות המשפטיות האלה. אולם למרות זאת החוק הזה נותר כצלע הכי חשובה בתהליך ריקון השלטון המשפטי מהסמכויות שלו, מיכולתו לבקר, לפקח ולהשפיע על התהליכים וההחלטות של הממשלה ועל מדיניות הממשלה. אולם אין ספק שהוא חלק ממנגנון חוקים שבדרך. עד עכשיו הקואליציה לא אומרת שהיא תתחייב לעצור את תהליך התיקונים המשפטיים או עריכתם. היא ממשיכה בדרכה. הוא הפך – במקום שהוא יביא את התיקונים האל</w:t>
      </w:r>
      <w:r w:rsidR="001B1096">
        <w:rPr>
          <w:rFonts w:hint="cs"/>
          <w:rtl/>
        </w:rPr>
        <w:t>ה</w:t>
      </w:r>
      <w:r>
        <w:rPr>
          <w:rFonts w:hint="cs"/>
          <w:rtl/>
        </w:rPr>
        <w:t xml:space="preserve">, </w:t>
      </w:r>
      <w:r w:rsidR="001B1096">
        <w:rPr>
          <w:rFonts w:hint="cs"/>
          <w:rtl/>
        </w:rPr>
        <w:t xml:space="preserve">את </w:t>
      </w:r>
      <w:r>
        <w:rPr>
          <w:rFonts w:hint="cs"/>
          <w:rtl/>
        </w:rPr>
        <w:t>המהפכה המשפטית הז</w:t>
      </w:r>
      <w:r w:rsidR="001B1096">
        <w:rPr>
          <w:rFonts w:hint="cs"/>
          <w:rtl/>
        </w:rPr>
        <w:t>את,</w:t>
      </w:r>
      <w:r>
        <w:rPr>
          <w:rFonts w:hint="cs"/>
          <w:rtl/>
        </w:rPr>
        <w:t xml:space="preserve"> בבת אחת, הוא יביא זאת בשלבים הדרגתיים. </w:t>
      </w:r>
    </w:p>
    <w:p w:rsidR="00BB59CD" w:rsidRDefault="00BB59CD" w:rsidP="00BB59CD">
      <w:pPr>
        <w:rPr>
          <w:rtl/>
        </w:rPr>
      </w:pPr>
    </w:p>
    <w:p w:rsidR="00A06889" w:rsidRDefault="00BB59CD" w:rsidP="00A06889">
      <w:pPr>
        <w:rPr>
          <w:rtl/>
        </w:rPr>
      </w:pPr>
      <w:r>
        <w:rPr>
          <w:rFonts w:hint="cs"/>
          <w:rtl/>
        </w:rPr>
        <w:t>הרמה השלישית לאחר העריכה המשפטית היא מדיניות הממשלה הז</w:t>
      </w:r>
      <w:r w:rsidR="001B1096">
        <w:rPr>
          <w:rFonts w:hint="cs"/>
          <w:rtl/>
        </w:rPr>
        <w:t>את</w:t>
      </w:r>
      <w:r>
        <w:rPr>
          <w:rFonts w:hint="cs"/>
          <w:rtl/>
        </w:rPr>
        <w:t xml:space="preserve"> בכל התחומים. אנחנו ראינו את הכישלון הראשון ואת ההתעצלות האחרונה שקשורה לחיים שלנו. הממשלה הז</w:t>
      </w:r>
      <w:r w:rsidR="001B1096">
        <w:rPr>
          <w:rFonts w:hint="cs"/>
          <w:rtl/>
        </w:rPr>
        <w:t>את</w:t>
      </w:r>
      <w:r>
        <w:rPr>
          <w:rFonts w:hint="cs"/>
          <w:rtl/>
        </w:rPr>
        <w:t xml:space="preserve"> באופן מעשי הבדילה את היישובים הערביים מכל מאמץ מוחשי ואמיתי להיאבק בפשע, ו</w:t>
      </w:r>
      <w:r w:rsidR="001B1096">
        <w:rPr>
          <w:rFonts w:hint="cs"/>
          <w:rtl/>
        </w:rPr>
        <w:t xml:space="preserve">כך </w:t>
      </w:r>
      <w:r>
        <w:rPr>
          <w:rFonts w:hint="cs"/>
          <w:rtl/>
        </w:rPr>
        <w:t>ארגוני הפשע חשים חופש מוחלט לפעול בלילות ובימים, לתקוף את האנשים</w:t>
      </w:r>
      <w:r w:rsidR="001B1096">
        <w:rPr>
          <w:rFonts w:hint="cs"/>
          <w:rtl/>
        </w:rPr>
        <w:t>,</w:t>
      </w:r>
      <w:r>
        <w:rPr>
          <w:rFonts w:hint="cs"/>
          <w:rtl/>
        </w:rPr>
        <w:t xml:space="preserve"> לפרוץ ולתקוף את הבתים, את הרכוש ואת הנפשות. וזו מדיניות</w:t>
      </w:r>
      <w:r w:rsidR="001B1096">
        <w:rPr>
          <w:rFonts w:hint="cs"/>
          <w:rtl/>
        </w:rPr>
        <w:t>.</w:t>
      </w:r>
      <w:r>
        <w:rPr>
          <w:rFonts w:hint="cs"/>
          <w:rtl/>
        </w:rPr>
        <w:t xml:space="preserve"> אנחנו לא בראש סולם העדיפויות, לא במרכזו ואפילו לא בסופו. אם היינו בסוף סדר העדיפויות של הממשלה הזו היינו רואים מאמץ מסוים בכיוון הזה</w:t>
      </w:r>
      <w:r w:rsidR="001B1096">
        <w:rPr>
          <w:rFonts w:hint="cs"/>
          <w:rtl/>
        </w:rPr>
        <w:t>;</w:t>
      </w:r>
      <w:r>
        <w:rPr>
          <w:rFonts w:hint="cs"/>
          <w:rtl/>
        </w:rPr>
        <w:t xml:space="preserve"> לפחות היו שומרים על מה שהשגנו אשתקד. אולם לצערי, לפי הנתונים שמרכז אמאן סיפק בנוגע לסיכום נתוני הפשע, יש בערך עלייה של 200% – 129 נרצחים בהשוואה ל-54 נרצחים אשתקד, ומספר הנפגעים בירי גדל פי ארבעה. אלו גם ניסיונות רצח</w:t>
      </w:r>
      <w:r w:rsidR="001B1096">
        <w:rPr>
          <w:rFonts w:hint="cs"/>
          <w:rtl/>
        </w:rPr>
        <w:t>,</w:t>
      </w:r>
      <w:r>
        <w:rPr>
          <w:rFonts w:hint="cs"/>
          <w:rtl/>
        </w:rPr>
        <w:t xml:space="preserve"> שאנחנו לא מקילים ראש בהם ובחשיבותם. אם כך, מדיניות הממשלה והחסרונות של הממשלה הזו לא נראים רק בחוקים הקשורים לעילת הסבירות ולמהפכה המשפטית, ולא בשאר החוקים הקשורים </w:t>
      </w:r>
      <w:r w:rsidR="00B94088">
        <w:rPr>
          <w:rFonts w:hint="cs"/>
          <w:rtl/>
        </w:rPr>
        <w:t xml:space="preserve">גם </w:t>
      </w:r>
      <w:r>
        <w:rPr>
          <w:rFonts w:hint="cs"/>
          <w:rtl/>
        </w:rPr>
        <w:t>בהשלכות גזעניות ומפלות ולא הוגנ</w:t>
      </w:r>
      <w:r w:rsidR="00B94088">
        <w:rPr>
          <w:rFonts w:hint="cs"/>
          <w:rtl/>
        </w:rPr>
        <w:t>ו</w:t>
      </w:r>
      <w:r>
        <w:rPr>
          <w:rFonts w:hint="cs"/>
          <w:rtl/>
        </w:rPr>
        <w:t>ת כלפי החברה הערבית; הם קשורים גם להתנהגות הממשלה הזו באופן יום-יומי בתיק האלימות והפשע, וגם כן בתיק הכלכלי בשנת 2023</w:t>
      </w:r>
      <w:r w:rsidR="00B94088">
        <w:rPr>
          <w:rFonts w:hint="cs"/>
          <w:rtl/>
        </w:rPr>
        <w:t>.</w:t>
      </w:r>
      <w:r>
        <w:rPr>
          <w:rFonts w:hint="cs"/>
          <w:rtl/>
        </w:rPr>
        <w:t xml:space="preserve"> </w:t>
      </w:r>
    </w:p>
    <w:p w:rsidR="00A06889" w:rsidRDefault="00A06889" w:rsidP="00A06889">
      <w:pPr>
        <w:rPr>
          <w:rtl/>
        </w:rPr>
      </w:pPr>
    </w:p>
    <w:p w:rsidR="00BB59CD" w:rsidRDefault="00BB59CD" w:rsidP="00A06889">
      <w:pPr>
        <w:rPr>
          <w:rtl/>
        </w:rPr>
      </w:pPr>
      <w:r>
        <w:rPr>
          <w:rFonts w:hint="cs"/>
          <w:rtl/>
        </w:rPr>
        <w:t>יש בערך מעין השבתה של החלטת הממשלה 550, התוכנית המקיפה, תוכנית ההתקדמות לצמצום הפערים</w:t>
      </w:r>
      <w:r w:rsidR="00B94088">
        <w:rPr>
          <w:rFonts w:hint="cs"/>
          <w:rtl/>
        </w:rPr>
        <w:t>;</w:t>
      </w:r>
      <w:r>
        <w:rPr>
          <w:rFonts w:hint="cs"/>
          <w:rtl/>
        </w:rPr>
        <w:t xml:space="preserve"> היא נקראת צמצום הפערים החברתיים והכלכליים בחברה הערבית. יש שם עיכוב גדול וניסיונות לגנוב את המשאבים והכספים </w:t>
      </w:r>
      <w:r w:rsidR="00B94088">
        <w:rPr>
          <w:rFonts w:hint="cs"/>
          <w:rtl/>
        </w:rPr>
        <w:t>ש</w:t>
      </w:r>
      <w:r>
        <w:rPr>
          <w:rFonts w:hint="cs"/>
          <w:rtl/>
        </w:rPr>
        <w:t>בתוכנית הז</w:t>
      </w:r>
      <w:r w:rsidR="00B94088">
        <w:rPr>
          <w:rFonts w:hint="cs"/>
          <w:rtl/>
        </w:rPr>
        <w:t>את</w:t>
      </w:r>
      <w:r>
        <w:rPr>
          <w:rFonts w:hint="cs"/>
          <w:rtl/>
        </w:rPr>
        <w:t xml:space="preserve"> לתוכניות, חוקים והחלטות או קבוצות אחרות. פורסם בשבוע שעבר</w:t>
      </w:r>
      <w:r w:rsidR="00A06889">
        <w:rPr>
          <w:rFonts w:hint="cs"/>
          <w:rtl/>
        </w:rPr>
        <w:t>,</w:t>
      </w:r>
      <w:r>
        <w:rPr>
          <w:rFonts w:hint="cs"/>
          <w:rtl/>
        </w:rPr>
        <w:t xml:space="preserve"> ולפני כן</w:t>
      </w:r>
      <w:r w:rsidR="00B94088">
        <w:rPr>
          <w:rFonts w:hint="cs"/>
          <w:rtl/>
        </w:rPr>
        <w:t xml:space="preserve"> בהיבט </w:t>
      </w:r>
      <w:r>
        <w:rPr>
          <w:rFonts w:hint="cs"/>
          <w:rtl/>
        </w:rPr>
        <w:t>הזה</w:t>
      </w:r>
      <w:r w:rsidR="00A06889">
        <w:rPr>
          <w:rFonts w:hint="cs"/>
          <w:rtl/>
        </w:rPr>
        <w:t>,</w:t>
      </w:r>
      <w:r>
        <w:rPr>
          <w:rFonts w:hint="cs"/>
          <w:rtl/>
        </w:rPr>
        <w:t xml:space="preserve"> על ניסיון העברת 100 מיליון שקלים מהתקציב של התוכנית הכלכלית מהחברה הערבית לתוספת שכר לתלמידי תלמוד התורה, ולפני כן במשרד לאיכות הסביבה גם היה סכום דומה, בערך 100 מיליון שקלים, ולפני כן קוזזו מאות מיליונים מהנסיעות וכו'. אם כך, חסרונות הממשלה הז</w:t>
      </w:r>
      <w:r w:rsidR="00B94088">
        <w:rPr>
          <w:rFonts w:hint="cs"/>
          <w:rtl/>
        </w:rPr>
        <w:t>את</w:t>
      </w:r>
      <w:r>
        <w:rPr>
          <w:rFonts w:hint="cs"/>
          <w:rtl/>
        </w:rPr>
        <w:t xml:space="preserve"> הם גם מעבר להתעצלות במאבק באלימות ובפשע, ומגיעים עד ל</w:t>
      </w:r>
      <w:r w:rsidR="00B94088">
        <w:rPr>
          <w:rFonts w:hint="cs"/>
          <w:rtl/>
        </w:rPr>
        <w:t>היבט</w:t>
      </w:r>
      <w:r>
        <w:rPr>
          <w:rFonts w:hint="cs"/>
          <w:rtl/>
        </w:rPr>
        <w:t xml:space="preserve"> הכלכלי ו</w:t>
      </w:r>
      <w:r w:rsidR="00B94088">
        <w:rPr>
          <w:rFonts w:hint="cs"/>
          <w:rtl/>
        </w:rPr>
        <w:t>ל</w:t>
      </w:r>
      <w:r>
        <w:rPr>
          <w:rFonts w:hint="cs"/>
          <w:rtl/>
        </w:rPr>
        <w:t xml:space="preserve">טיפול בעניינים הכלכליים והחברתיים בחברה הערבית שלנו, מצב המועצות המקומיות ותחומים נוספים. </w:t>
      </w:r>
    </w:p>
    <w:p w:rsidR="00BB59CD" w:rsidRDefault="00BB59CD" w:rsidP="00BB59CD">
      <w:pPr>
        <w:rPr>
          <w:rtl/>
        </w:rPr>
      </w:pPr>
    </w:p>
    <w:p w:rsidR="00B94088" w:rsidRDefault="00BB59CD" w:rsidP="00B94088">
      <w:pPr>
        <w:rPr>
          <w:rtl/>
        </w:rPr>
      </w:pPr>
      <w:r>
        <w:rPr>
          <w:rFonts w:hint="cs"/>
          <w:rtl/>
        </w:rPr>
        <w:t>לכן בתמונה הכללית זו הממשלה הגרועה ביותר, וברור לנו בהחלט שהימצאותה של הממשלה הז</w:t>
      </w:r>
      <w:r w:rsidR="00B94088">
        <w:rPr>
          <w:rFonts w:hint="cs"/>
          <w:rtl/>
        </w:rPr>
        <w:t>את</w:t>
      </w:r>
      <w:r>
        <w:rPr>
          <w:rFonts w:hint="cs"/>
          <w:rtl/>
        </w:rPr>
        <w:t xml:space="preserve"> היא אסון גדול עבור החברה הערבית שלנו. נכון שתמיד אמרנו שהאופציות שלנו במציאות הקיימת הן בחירה </w:t>
      </w:r>
      <w:r w:rsidR="00B94088">
        <w:rPr>
          <w:rFonts w:hint="cs"/>
          <w:rtl/>
        </w:rPr>
        <w:t>בין הגרוע לגרוע יותר, בין הפחות-</w:t>
      </w:r>
      <w:r>
        <w:rPr>
          <w:rFonts w:hint="cs"/>
          <w:rtl/>
        </w:rPr>
        <w:t>גרוע ליותר גרוע. אנחנו שואפים למעבר הדרגתי משלב לשלב, לקדם ולצבור הישגים ופתרונות לטובת החברה הערבית שלנו. אולם לצערי יצאנו מהשלב שבו היינו בתוך האירוע הפוליטי ובתוך יצירת ההחלטה, ובתוך תהליך מורכב ותהליך שהיינו משקיעים בו הרבה מאמצים, בתור הרשימה הערבית המשותפת, בהשפעה על מדיניות הממשלה, בסיפוק פתרונות לנושאים העיקריים בחברה הערבית שלנו. הצלחנו בזה – תוך שנה אחת התקבלו הרבה מאוד החלטות, והתחלנו ביישומן. כמובן</w:t>
      </w:r>
      <w:r w:rsidR="00B94088">
        <w:rPr>
          <w:rFonts w:hint="cs"/>
          <w:rtl/>
        </w:rPr>
        <w:t>,</w:t>
      </w:r>
      <w:r>
        <w:rPr>
          <w:rFonts w:hint="cs"/>
          <w:rtl/>
        </w:rPr>
        <w:t xml:space="preserve"> ההישג הגדול יותר בפן הזה היה הפחתת רמת האלימות והפשיעה, וההישג הפוליטי הגדול יותר היה שכפינו את עצמנו כשותפים בקואליציה הקודמת, כפינו את עצמנו כשחקן ראשי משפיע ונוכח, שיש לו קיום, יש לו מילה, יש לו משקל ויכולת להשפיע למען החברה הערבית שלנו. </w:t>
      </w:r>
    </w:p>
    <w:p w:rsidR="00B94088" w:rsidRDefault="00B94088" w:rsidP="00B94088">
      <w:pPr>
        <w:rPr>
          <w:rtl/>
        </w:rPr>
      </w:pPr>
    </w:p>
    <w:p w:rsidR="00BB59CD" w:rsidRDefault="00BB59CD" w:rsidP="00A06889">
      <w:pPr>
        <w:rPr>
          <w:rtl/>
        </w:rPr>
      </w:pPr>
      <w:r>
        <w:rPr>
          <w:rFonts w:hint="cs"/>
          <w:rtl/>
        </w:rPr>
        <w:t>לצערי המפלגות הערביות לא הבינו זאת, וחברי הכנסת הערבים האחרים</w:t>
      </w:r>
      <w:r w:rsidR="00B94088">
        <w:rPr>
          <w:rFonts w:hint="cs"/>
          <w:rtl/>
        </w:rPr>
        <w:t>,</w:t>
      </w:r>
      <w:r>
        <w:rPr>
          <w:rFonts w:hint="cs"/>
          <w:rtl/>
        </w:rPr>
        <w:t xml:space="preserve"> במפלגות האחרות, במפלגות הרשימה המשותפת, לא הבינו את ההשלכות האל</w:t>
      </w:r>
      <w:r w:rsidR="00B94088">
        <w:rPr>
          <w:rFonts w:hint="cs"/>
          <w:rtl/>
        </w:rPr>
        <w:t>ה</w:t>
      </w:r>
      <w:r>
        <w:rPr>
          <w:rFonts w:hint="cs"/>
          <w:rtl/>
        </w:rPr>
        <w:t xml:space="preserve"> ושזו הזדמנות היסטורית לטובת החברה הערבית שלנו. המחשבה הפוליטית שלהם נותרה מרחפת בחלומות לא מציאותיים </w:t>
      </w:r>
      <w:r w:rsidR="00B94088">
        <w:rPr>
          <w:rFonts w:hint="eastAsia"/>
          <w:rtl/>
        </w:rPr>
        <w:t xml:space="preserve">– </w:t>
      </w:r>
      <w:r>
        <w:rPr>
          <w:rFonts w:hint="cs"/>
          <w:rtl/>
        </w:rPr>
        <w:t>חלומות לשינוי פתאומי, שינוי מהפכני, שינוי שעובר את הנתונים של המציאות ומאזני הכוח והבנת האנשים שקיימים במדינה ובחברה הז</w:t>
      </w:r>
      <w:r w:rsidR="00B94088">
        <w:rPr>
          <w:rFonts w:hint="cs"/>
          <w:rtl/>
        </w:rPr>
        <w:t>את</w:t>
      </w:r>
      <w:r>
        <w:rPr>
          <w:rFonts w:hint="cs"/>
          <w:rtl/>
        </w:rPr>
        <w:t>. לכן הם לחצו יד למפלגת הליכוד ולמפלגות האחרות</w:t>
      </w:r>
      <w:r w:rsidR="00B94088">
        <w:rPr>
          <w:rFonts w:hint="cs"/>
          <w:rtl/>
        </w:rPr>
        <w:t>,</w:t>
      </w:r>
      <w:r>
        <w:rPr>
          <w:rFonts w:hint="cs"/>
          <w:rtl/>
        </w:rPr>
        <w:t xml:space="preserve"> סמוטריץ' ובן גביר, והם שיתפו איתם פעולה. באולם הזה הם שיתפו איתם פעולה על מנת להפיל את הממשלה והקואליציה הקודמת ולצאת לבחירות</w:t>
      </w:r>
      <w:r w:rsidR="00A06889">
        <w:rPr>
          <w:rFonts w:hint="cs"/>
          <w:rtl/>
        </w:rPr>
        <w:t>,</w:t>
      </w:r>
      <w:r>
        <w:rPr>
          <w:rFonts w:hint="cs"/>
          <w:rtl/>
        </w:rPr>
        <w:t xml:space="preserve"> אשר הביאו לממשלת נתניהו החדשה ובה סמוטריץ' ובה בן גביר</w:t>
      </w:r>
      <w:r w:rsidR="00A06889">
        <w:rPr>
          <w:rFonts w:hint="cs"/>
          <w:rtl/>
        </w:rPr>
        <w:t>,</w:t>
      </w:r>
      <w:r>
        <w:rPr>
          <w:rFonts w:hint="cs"/>
          <w:rtl/>
        </w:rPr>
        <w:t xml:space="preserve"> זה שר האוצר וההוא השר לביטחון פנים</w:t>
      </w:r>
      <w:r w:rsidR="00A06889">
        <w:rPr>
          <w:rFonts w:hint="cs"/>
          <w:rtl/>
        </w:rPr>
        <w:t>.</w:t>
      </w:r>
      <w:r>
        <w:rPr>
          <w:rFonts w:hint="cs"/>
          <w:rtl/>
        </w:rPr>
        <w:t xml:space="preserve"> וכך</w:t>
      </w:r>
      <w:r w:rsidR="00B94088">
        <w:rPr>
          <w:rFonts w:hint="cs"/>
          <w:rtl/>
        </w:rPr>
        <w:t>,</w:t>
      </w:r>
      <w:r>
        <w:rPr>
          <w:rFonts w:hint="cs"/>
          <w:rtl/>
        </w:rPr>
        <w:t xml:space="preserve"> משלב הבנייה וההתקדמות, שלב סיפוק הפתרונות לחברה הערבית שלנו, עברנו לשלב יצירת אל-נכבה מחדש, במו ידינו. הרבה מהאנשים היום מאשימים את המפלגות הערביות ובהן הרשימה המשותפת, חד"ש ובל"ד, שהם אכזבו את החברה הערבית ומנעו מהחברה הערבית הזדמנות בעלת ערך שבה הם יכלו להשפיע, יחד איתנו בתור רע"מ, בממשלה הקודמת – אנחנו מתוכה והם מחוצה לה – ולהביא הישגים לחברה הערבית שלנו, הישגים ופתרונות לטובת החברה הערבית שלנו. לצערי הפניות של המפלגות האל</w:t>
      </w:r>
      <w:r w:rsidR="00B94088">
        <w:rPr>
          <w:rFonts w:hint="cs"/>
          <w:rtl/>
        </w:rPr>
        <w:t>ה</w:t>
      </w:r>
      <w:r>
        <w:rPr>
          <w:rFonts w:hint="cs"/>
          <w:rtl/>
        </w:rPr>
        <w:t xml:space="preserve"> הביאו אותנו בחזרה אל מקום של דרישה ותחינה וזעקות בלי שישמע אותנו אף אחד. אנחנו יודעים מה טבע הפוליטיקאים הנמצאים כאן</w:t>
      </w:r>
      <w:r w:rsidR="00B94088">
        <w:rPr>
          <w:rFonts w:hint="cs"/>
          <w:rtl/>
        </w:rPr>
        <w:t>:</w:t>
      </w:r>
      <w:r>
        <w:rPr>
          <w:rFonts w:hint="cs"/>
          <w:rtl/>
        </w:rPr>
        <w:t xml:space="preserve"> "היית נשמע אילו קראת למי שחי, אולם אין חיים למי שאתה קורא". עבורנו אלו החיים שלנו</w:t>
      </w:r>
      <w:r w:rsidR="00B94088">
        <w:rPr>
          <w:rFonts w:hint="cs"/>
          <w:rtl/>
        </w:rPr>
        <w:t>;</w:t>
      </w:r>
      <w:r>
        <w:rPr>
          <w:rFonts w:hint="cs"/>
          <w:rtl/>
        </w:rPr>
        <w:t xml:space="preserve"> עבורם החיים שלנו חסרי ערך, ובשל כך הם לא מגלים עניין בכל הקריאות שלנו והדרישות שלנו שיטפלו בתופעת האלימות והפשיעה בחברה הערבית שלנו. </w:t>
      </w:r>
    </w:p>
    <w:p w:rsidR="00BB59CD" w:rsidRDefault="00BB59CD" w:rsidP="00BB59CD">
      <w:pPr>
        <w:rPr>
          <w:rtl/>
        </w:rPr>
      </w:pPr>
    </w:p>
    <w:p w:rsidR="00BB59CD" w:rsidRDefault="00BB59CD" w:rsidP="00B94088">
      <w:pPr>
        <w:rPr>
          <w:rtl/>
        </w:rPr>
      </w:pPr>
      <w:r>
        <w:rPr>
          <w:rFonts w:hint="cs"/>
          <w:rtl/>
        </w:rPr>
        <w:t xml:space="preserve">אנחנו נמשיך בדרכנו בתוך </w:t>
      </w:r>
      <w:r w:rsidR="00B94088">
        <w:rPr>
          <w:rFonts w:hint="cs"/>
          <w:rtl/>
        </w:rPr>
        <w:t>ה</w:t>
      </w:r>
      <w:r>
        <w:rPr>
          <w:rFonts w:hint="cs"/>
          <w:rtl/>
        </w:rPr>
        <w:t xml:space="preserve">רשימה </w:t>
      </w:r>
      <w:r w:rsidR="00B94088">
        <w:rPr>
          <w:rFonts w:hint="cs"/>
          <w:rtl/>
        </w:rPr>
        <w:t>ה</w:t>
      </w:r>
      <w:r>
        <w:rPr>
          <w:rFonts w:hint="cs"/>
          <w:rtl/>
        </w:rPr>
        <w:t xml:space="preserve">ערבית </w:t>
      </w:r>
      <w:r w:rsidR="00B94088">
        <w:rPr>
          <w:rFonts w:hint="cs"/>
          <w:rtl/>
        </w:rPr>
        <w:t>ה</w:t>
      </w:r>
      <w:r>
        <w:rPr>
          <w:rFonts w:hint="cs"/>
          <w:rtl/>
        </w:rPr>
        <w:t>מאוחדת בגאווה, ביציבות ובנחישות. החברה הערבית שלנו עדיין נותנת לרשימה הז</w:t>
      </w:r>
      <w:r w:rsidR="00B94088">
        <w:rPr>
          <w:rFonts w:hint="cs"/>
          <w:rtl/>
        </w:rPr>
        <w:t>את</w:t>
      </w:r>
      <w:r>
        <w:rPr>
          <w:rFonts w:hint="cs"/>
          <w:rtl/>
        </w:rPr>
        <w:t xml:space="preserve"> עוד כוח, עוד תמיכה. הרבה אנשים - -)</w:t>
      </w:r>
    </w:p>
    <w:p w:rsidR="00BB59CD" w:rsidRDefault="00BB59CD" w:rsidP="00BB59CD">
      <w:pPr>
        <w:rPr>
          <w:rtl/>
        </w:rPr>
      </w:pPr>
    </w:p>
    <w:p w:rsidR="00BB59CD" w:rsidRDefault="00BB59CD" w:rsidP="00BB59C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lang w:eastAsia="he-IL"/>
        </w:rPr>
        <w:t>שוכרן</w:t>
      </w:r>
      <w:r>
        <w:rPr>
          <w:rFonts w:hint="cs"/>
          <w:rtl/>
        </w:rPr>
        <w:t>.</w:t>
      </w:r>
    </w:p>
    <w:p w:rsidR="00BB59CD" w:rsidRDefault="00BB59CD" w:rsidP="00BB59CD">
      <w:pPr>
        <w:rPr>
          <w:rtl/>
        </w:rPr>
      </w:pPr>
    </w:p>
    <w:p w:rsidR="00BB59CD" w:rsidRDefault="00BB59CD" w:rsidP="00BB59CD">
      <w:pPr>
        <w:pStyle w:val="-"/>
        <w:keepNext/>
        <w:rPr>
          <w:rtl/>
        </w:rPr>
      </w:pPr>
      <w:bookmarkStart w:id="48047" w:name="ET_speakercontinue_5795_6"/>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48047"/>
    </w:p>
    <w:p w:rsidR="00BB59CD" w:rsidRDefault="00BB59CD" w:rsidP="00337201">
      <w:pPr>
        <w:rPr>
          <w:rtl/>
        </w:rPr>
      </w:pPr>
    </w:p>
    <w:p w:rsidR="00BB59CD" w:rsidRDefault="00BB59CD" w:rsidP="00B94088">
      <w:pPr>
        <w:rPr>
          <w:rFonts w:asciiTheme="minorHAnsi" w:hAnsiTheme="minorHAnsi" w:cstheme="minorBidi"/>
          <w:rtl/>
        </w:rPr>
      </w:pPr>
      <w:bookmarkStart w:id="48048" w:name="_ETM_Q94_667481"/>
      <w:bookmarkStart w:id="48049" w:name="_ETM_Q94_663960"/>
      <w:bookmarkStart w:id="48050" w:name="_ETM_Q94_659441"/>
      <w:bookmarkEnd w:id="48048"/>
      <w:bookmarkEnd w:id="48049"/>
      <w:bookmarkEnd w:id="48050"/>
      <w:r w:rsidRPr="00141E4F">
        <w:rPr>
          <w:rFonts w:hint="cs"/>
          <w:rtl/>
        </w:rPr>
        <w:t>(- - שלא הבינו את הכיוון שלנו ולא קיבלו אותו בשנה שעברה, עכשיו אומרים שאכן הוכחו הכנות של הרשימה הערבית המאוחדת בכיוון שנקטה וה</w:t>
      </w:r>
      <w:r w:rsidR="00B94088">
        <w:rPr>
          <w:rFonts w:hint="cs"/>
          <w:rtl/>
        </w:rPr>
        <w:t>תבונה</w:t>
      </w:r>
      <w:r w:rsidRPr="00141E4F">
        <w:rPr>
          <w:rFonts w:hint="cs"/>
          <w:rtl/>
        </w:rPr>
        <w:t xml:space="preserve"> </w:t>
      </w:r>
      <w:r w:rsidR="00B94088">
        <w:rPr>
          <w:rFonts w:hint="cs"/>
          <w:rtl/>
        </w:rPr>
        <w:t>ב</w:t>
      </w:r>
      <w:r w:rsidRPr="00141E4F">
        <w:rPr>
          <w:rFonts w:hint="cs"/>
          <w:rtl/>
        </w:rPr>
        <w:t>כיוון הפוליטי שלה. לכן אנחנו רואים שיש עלייה בסקרים. חשוב שי</w:t>
      </w:r>
      <w:r w:rsidR="00B94088">
        <w:rPr>
          <w:rFonts w:hint="cs"/>
          <w:rtl/>
        </w:rPr>
        <w:t>י</w:t>
      </w:r>
      <w:r w:rsidRPr="00141E4F">
        <w:rPr>
          <w:rFonts w:hint="cs"/>
          <w:rtl/>
        </w:rPr>
        <w:t>משך הגל הזה, וחשוב שהחברה הערבית שלנו תבין - -)</w:t>
      </w:r>
    </w:p>
    <w:p w:rsidR="00BB59CD" w:rsidRDefault="00BB59CD" w:rsidP="00BB59CD"/>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שוכרן, יא סידי.</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94088">
      <w:pPr>
        <w:rPr>
          <w:rtl/>
        </w:rPr>
      </w:pPr>
      <w:r>
        <w:rPr>
          <w:rFonts w:hint="cs"/>
          <w:rtl/>
        </w:rPr>
        <w:t>(- - שהיום הכי חשוב להפגנות ולשביתות ולמאבקים הוא יום הבחירות. זה היום שיוצר את ההבדל בין התקווה ובין הייאוש</w:t>
      </w:r>
      <w:r w:rsidR="00B94088">
        <w:rPr>
          <w:rFonts w:hint="cs"/>
          <w:rtl/>
        </w:rPr>
        <w:t>,</w:t>
      </w:r>
      <w:r>
        <w:rPr>
          <w:rFonts w:hint="cs"/>
          <w:rtl/>
        </w:rPr>
        <w:t xml:space="preserve"> התסכול והכישלון</w:t>
      </w:r>
      <w:r w:rsidR="00B94088">
        <w:rPr>
          <w:rFonts w:hint="cs"/>
          <w:rtl/>
        </w:rPr>
        <w:t>.</w:t>
      </w:r>
      <w:r>
        <w:rPr>
          <w:rFonts w:hint="cs"/>
          <w:rtl/>
        </w:rPr>
        <w:t>)</w:t>
      </w:r>
    </w:p>
    <w:p w:rsidR="00BB59CD" w:rsidRDefault="00BB59CD" w:rsidP="00BB59CD">
      <w:pPr>
        <w:rPr>
          <w:rtl/>
          <w:lang w:eastAsia="he-IL"/>
        </w:rPr>
      </w:pPr>
    </w:p>
    <w:p w:rsidR="00BB59CD" w:rsidRDefault="00BB59CD" w:rsidP="00B94088">
      <w:pPr>
        <w:rPr>
          <w:rtl/>
        </w:rPr>
      </w:pPr>
      <w:r>
        <w:rPr>
          <w:rFonts w:hint="cs"/>
          <w:rtl/>
          <w:lang w:eastAsia="he-IL"/>
        </w:rPr>
        <w:t>תודה רבה. אדוני היושב-ראש, אני מאמין שהקשבת אף שדיברתי בשפה הערבית</w:t>
      </w:r>
      <w:bookmarkStart w:id="48051" w:name="_ETM_Q94_711281"/>
      <w:bookmarkEnd w:id="48051"/>
      <w:r>
        <w:rPr>
          <w:rFonts w:hint="cs"/>
          <w:rtl/>
          <w:lang w:eastAsia="he-IL"/>
        </w:rPr>
        <w:t xml:space="preserve">, והרגשת את הכאבים שניסיתי </w:t>
      </w:r>
      <w:bookmarkStart w:id="48052" w:name="_ETM_Q94_722303"/>
      <w:bookmarkEnd w:id="48052"/>
      <w:r>
        <w:rPr>
          <w:rFonts w:hint="cs"/>
          <w:rtl/>
          <w:lang w:eastAsia="he-IL"/>
        </w:rPr>
        <w:t xml:space="preserve">להעביר, גם בהתייחסותי לחוק הזה וגם למצב הלא-סביר שקיים </w:t>
      </w:r>
      <w:bookmarkStart w:id="48053" w:name="_ETM_Q94_730384"/>
      <w:bookmarkEnd w:id="48053"/>
      <w:r>
        <w:rPr>
          <w:rFonts w:hint="cs"/>
          <w:rtl/>
          <w:lang w:eastAsia="he-IL"/>
        </w:rPr>
        <w:t>כאן במדינה וגם בחברה הערבית, לנוכח הפשיעה והאלימות הגואה ביישובים הערביים ובחברה הערבית.</w:t>
      </w:r>
      <w:bookmarkStart w:id="48054" w:name="_ETM_Q94_728611"/>
      <w:bookmarkEnd w:id="48054"/>
      <w:r>
        <w:rPr>
          <w:rFonts w:hint="cs"/>
          <w:rtl/>
          <w:lang w:eastAsia="he-IL"/>
        </w:rPr>
        <w:t xml:space="preserve"> תודה רבה.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רבה, עודו </w:t>
      </w:r>
      <w:bookmarkStart w:id="48055" w:name="_ETM_Q94_733241"/>
      <w:bookmarkEnd w:id="48055"/>
      <w:r>
        <w:rPr>
          <w:rFonts w:hint="cs"/>
          <w:rtl/>
          <w:lang w:eastAsia="he-IL"/>
        </w:rPr>
        <w:t xml:space="preserve">אל-כנסת מנסור עבאס. </w:t>
      </w:r>
    </w:p>
    <w:p w:rsidR="00BB59CD" w:rsidRDefault="00BB59CD" w:rsidP="00BB59CD">
      <w:pPr>
        <w:rPr>
          <w:rtl/>
          <w:lang w:eastAsia="he-IL"/>
        </w:rPr>
      </w:pPr>
    </w:p>
    <w:p w:rsidR="00BB59CD" w:rsidRDefault="00BB59CD" w:rsidP="00BB59CD">
      <w:pPr>
        <w:pStyle w:val="-"/>
        <w:keepNext/>
        <w:rPr>
          <w:rtl/>
        </w:rPr>
      </w:pPr>
      <w:bookmarkStart w:id="48056" w:name="ET_speakercontinue_5795_8"/>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48056"/>
    </w:p>
    <w:p w:rsidR="00BB59CD" w:rsidRDefault="00BB59CD" w:rsidP="00337201">
      <w:pPr>
        <w:rPr>
          <w:rtl/>
          <w:lang w:eastAsia="he-IL"/>
        </w:rPr>
      </w:pPr>
    </w:p>
    <w:p w:rsidR="00BB59CD" w:rsidRDefault="00BB59CD" w:rsidP="00BB59CD">
      <w:pPr>
        <w:rPr>
          <w:rtl/>
          <w:lang w:eastAsia="he-IL"/>
        </w:rPr>
      </w:pPr>
      <w:r>
        <w:rPr>
          <w:rFonts w:hint="cs"/>
          <w:rtl/>
          <w:lang w:eastAsia="he-IL"/>
        </w:rPr>
        <w:t>שוכרן אִלַכּ.</w:t>
      </w:r>
      <w:bookmarkStart w:id="48057" w:name="_ETM_Q94_735431"/>
      <w:bookmarkEnd w:id="48057"/>
    </w:p>
    <w:p w:rsidR="00BB59CD" w:rsidRDefault="00BB59CD" w:rsidP="00BB59CD">
      <w:pPr>
        <w:rPr>
          <w:rtl/>
          <w:lang w:eastAsia="he-IL"/>
        </w:rPr>
      </w:pPr>
    </w:p>
    <w:p w:rsidR="00BB59CD" w:rsidRDefault="00BB59CD" w:rsidP="00BB59CD">
      <w:pPr>
        <w:pStyle w:val="af9"/>
        <w:keepNext/>
        <w:rPr>
          <w:rtl/>
        </w:rPr>
      </w:pPr>
      <w:bookmarkStart w:id="48058" w:name="ET_yor_6129_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48058"/>
    </w:p>
    <w:p w:rsidR="00BB59CD" w:rsidRDefault="00BB59CD" w:rsidP="00337201">
      <w:pPr>
        <w:rPr>
          <w:rtl/>
          <w:lang w:eastAsia="he-IL"/>
        </w:rPr>
      </w:pPr>
    </w:p>
    <w:p w:rsidR="00BB59CD" w:rsidRDefault="00BB59CD" w:rsidP="00BB59CD">
      <w:pPr>
        <w:rPr>
          <w:rtl/>
          <w:lang w:eastAsia="he-IL"/>
        </w:rPr>
      </w:pPr>
      <w:r>
        <w:rPr>
          <w:rFonts w:hint="cs"/>
          <w:rtl/>
          <w:lang w:eastAsia="he-IL"/>
        </w:rPr>
        <w:t>חבר הכנסת יוראי להב הרצנו,</w:t>
      </w:r>
      <w:bookmarkStart w:id="48059" w:name="_ETM_Q94_15493"/>
      <w:bookmarkStart w:id="48060" w:name="_ETM_Q94_15551"/>
      <w:bookmarkEnd w:id="48059"/>
      <w:bookmarkEnd w:id="48060"/>
      <w:r>
        <w:rPr>
          <w:rFonts w:hint="cs"/>
          <w:rtl/>
          <w:lang w:eastAsia="he-IL"/>
        </w:rPr>
        <w:t xml:space="preserve"> </w:t>
      </w:r>
      <w:bookmarkStart w:id="48061" w:name="_ETM_Q94_744021"/>
      <w:bookmarkEnd w:id="48061"/>
      <w:r>
        <w:rPr>
          <w:rFonts w:hint="cs"/>
          <w:rtl/>
          <w:lang w:eastAsia="he-IL"/>
        </w:rPr>
        <w:t>יש לך שעה עגולה.</w:t>
      </w:r>
    </w:p>
    <w:p w:rsidR="00BB59CD" w:rsidRDefault="00BB59CD" w:rsidP="00BB59CD">
      <w:pPr>
        <w:rPr>
          <w:rtl/>
          <w:lang w:eastAsia="he-IL"/>
        </w:rPr>
      </w:pPr>
      <w:bookmarkStart w:id="48062" w:name="_ETM_Q94_16037"/>
      <w:bookmarkStart w:id="48063" w:name="_ETM_Q94_16087"/>
      <w:bookmarkEnd w:id="48062"/>
      <w:bookmarkEnd w:id="48063"/>
    </w:p>
    <w:p w:rsidR="00BB59CD" w:rsidRDefault="00BB59CD" w:rsidP="00BB59CD">
      <w:pPr>
        <w:pStyle w:val="a5"/>
        <w:keepNext/>
        <w:rPr>
          <w:rtl/>
        </w:rPr>
      </w:pPr>
      <w:bookmarkStart w:id="48064" w:name="ET_speaker_5787_1"/>
      <w:r>
        <w:rPr>
          <w:rStyle w:val="TagStyle"/>
          <w:rFonts w:hint="cs"/>
          <w:rtl/>
        </w:rPr>
        <w:t xml:space="preserve">&lt;&lt; דובר &gt;&gt; </w:t>
      </w:r>
      <w:bookmarkStart w:id="48065" w:name="_Toc141197175"/>
      <w:bookmarkStart w:id="48066" w:name="_Toc141196911"/>
      <w:r>
        <w:rPr>
          <w:rFonts w:hint="cs"/>
          <w:rtl/>
        </w:rPr>
        <w:t>יוראי להב הרצנו (יש עתיד):</w:t>
      </w:r>
      <w:bookmarkEnd w:id="48065"/>
      <w:bookmarkEnd w:id="48066"/>
      <w:r>
        <w:rPr>
          <w:rStyle w:val="TagStyle"/>
          <w:rFonts w:hint="cs"/>
          <w:rtl/>
        </w:rPr>
        <w:t xml:space="preserve"> &lt;&lt; דובר &gt;&gt;</w:t>
      </w:r>
      <w:r>
        <w:rPr>
          <w:rFonts w:hint="cs"/>
          <w:rtl/>
        </w:rPr>
        <w:t xml:space="preserve">   </w:t>
      </w:r>
      <w:bookmarkEnd w:id="48064"/>
    </w:p>
    <w:p w:rsidR="00BB59CD" w:rsidRDefault="00BB59CD" w:rsidP="00337201">
      <w:pPr>
        <w:rPr>
          <w:rtl/>
          <w:lang w:eastAsia="he-IL"/>
        </w:rPr>
      </w:pPr>
    </w:p>
    <w:p w:rsidR="00BB59CD" w:rsidRDefault="00BB59CD" w:rsidP="00BB59CD">
      <w:pPr>
        <w:rPr>
          <w:rtl/>
        </w:rPr>
      </w:pPr>
      <w:bookmarkStart w:id="48067" w:name="_ETM_Q95_180000"/>
      <w:bookmarkStart w:id="48068" w:name="_ETM_Q95_187649"/>
      <w:bookmarkEnd w:id="48067"/>
      <w:bookmarkEnd w:id="48068"/>
      <w:r>
        <w:rPr>
          <w:rFonts w:hint="cs"/>
          <w:rtl/>
        </w:rPr>
        <w:t xml:space="preserve">אדוני </w:t>
      </w:r>
      <w:bookmarkStart w:id="48069" w:name="_ETM_Q95_188039"/>
      <w:bookmarkEnd w:id="48069"/>
      <w:r>
        <w:rPr>
          <w:rFonts w:hint="cs"/>
          <w:rtl/>
        </w:rPr>
        <w:t>היושב</w:t>
      </w:r>
      <w:bookmarkStart w:id="48070" w:name="_ETM_Q95_188309"/>
      <w:bookmarkEnd w:id="48070"/>
      <w:r>
        <w:rPr>
          <w:rFonts w:hint="cs"/>
          <w:rtl/>
        </w:rPr>
        <w:t xml:space="preserve">-ראש, </w:t>
      </w:r>
      <w:bookmarkStart w:id="48071" w:name="_ETM_Q95_189900"/>
      <w:bookmarkEnd w:id="48071"/>
      <w:r>
        <w:rPr>
          <w:rFonts w:hint="cs"/>
          <w:rtl/>
        </w:rPr>
        <w:t xml:space="preserve">חבריי </w:t>
      </w:r>
      <w:bookmarkStart w:id="48072" w:name="_ETM_Q95_190379"/>
      <w:bookmarkEnd w:id="48072"/>
      <w:r>
        <w:rPr>
          <w:rFonts w:hint="cs"/>
          <w:rtl/>
        </w:rPr>
        <w:t xml:space="preserve">חברי </w:t>
      </w:r>
      <w:bookmarkStart w:id="48073" w:name="_ETM_Q95_190679"/>
      <w:bookmarkEnd w:id="48073"/>
      <w:r>
        <w:rPr>
          <w:rFonts w:hint="cs"/>
          <w:rtl/>
        </w:rPr>
        <w:t xml:space="preserve">הכנסת, </w:t>
      </w:r>
      <w:bookmarkStart w:id="48074" w:name="_ETM_Q95_191610"/>
      <w:bookmarkEnd w:id="48074"/>
      <w:r>
        <w:rPr>
          <w:rFonts w:hint="cs"/>
          <w:rtl/>
        </w:rPr>
        <w:t xml:space="preserve">אדוני </w:t>
      </w:r>
      <w:bookmarkStart w:id="48075" w:name="_ETM_Q95_191999"/>
      <w:bookmarkEnd w:id="48075"/>
      <w:r>
        <w:rPr>
          <w:rFonts w:hint="cs"/>
          <w:rtl/>
        </w:rPr>
        <w:t xml:space="preserve">השר </w:t>
      </w:r>
      <w:bookmarkStart w:id="48076" w:name="_ETM_Q95_192269"/>
      <w:bookmarkEnd w:id="48076"/>
      <w:r>
        <w:rPr>
          <w:rFonts w:hint="cs"/>
          <w:rtl/>
        </w:rPr>
        <w:t xml:space="preserve">ברקת, </w:t>
      </w:r>
      <w:bookmarkStart w:id="48077" w:name="_ETM_Q95_195030"/>
      <w:bookmarkEnd w:id="48077"/>
      <w:r>
        <w:rPr>
          <w:rFonts w:hint="cs"/>
          <w:rtl/>
        </w:rPr>
        <w:t xml:space="preserve">מה </w:t>
      </w:r>
      <w:bookmarkStart w:id="48078" w:name="_ETM_Q95_195480"/>
      <w:bookmarkEnd w:id="48078"/>
      <w:r>
        <w:rPr>
          <w:rFonts w:hint="cs"/>
          <w:rtl/>
        </w:rPr>
        <w:t xml:space="preserve">אתם </w:t>
      </w:r>
      <w:bookmarkStart w:id="48079" w:name="_ETM_Q95_195719"/>
      <w:bookmarkEnd w:id="48079"/>
      <w:r>
        <w:rPr>
          <w:rFonts w:hint="cs"/>
          <w:rtl/>
        </w:rPr>
        <w:t xml:space="preserve">רוצים </w:t>
      </w:r>
      <w:bookmarkStart w:id="48080" w:name="_ETM_Q95_196020"/>
      <w:bookmarkEnd w:id="48080"/>
      <w:r>
        <w:rPr>
          <w:rFonts w:hint="cs"/>
          <w:rtl/>
        </w:rPr>
        <w:t xml:space="preserve">לעשות </w:t>
      </w:r>
      <w:bookmarkStart w:id="48081" w:name="_ETM_Q95_196829"/>
      <w:bookmarkEnd w:id="48081"/>
      <w:r>
        <w:rPr>
          <w:rFonts w:hint="cs"/>
          <w:rtl/>
        </w:rPr>
        <w:t xml:space="preserve">שעילת </w:t>
      </w:r>
      <w:bookmarkStart w:id="48082" w:name="_ETM_Q95_197250"/>
      <w:bookmarkEnd w:id="48082"/>
      <w:r>
        <w:rPr>
          <w:rFonts w:hint="cs"/>
          <w:rtl/>
        </w:rPr>
        <w:t xml:space="preserve">הסבירות </w:t>
      </w:r>
      <w:bookmarkStart w:id="48083" w:name="_ETM_Q95_197640"/>
      <w:bookmarkEnd w:id="48083"/>
      <w:r>
        <w:rPr>
          <w:rFonts w:hint="cs"/>
          <w:rtl/>
        </w:rPr>
        <w:t xml:space="preserve">הנוכחית </w:t>
      </w:r>
      <w:bookmarkStart w:id="48084" w:name="_ETM_Q95_198060"/>
      <w:bookmarkEnd w:id="48084"/>
      <w:r>
        <w:rPr>
          <w:rFonts w:hint="cs"/>
          <w:rtl/>
        </w:rPr>
        <w:t xml:space="preserve">לא </w:t>
      </w:r>
      <w:bookmarkStart w:id="48085" w:name="_ETM_Q95_198180"/>
      <w:bookmarkEnd w:id="48085"/>
      <w:r>
        <w:rPr>
          <w:rFonts w:hint="cs"/>
          <w:rtl/>
        </w:rPr>
        <w:t xml:space="preserve">מאפשרת </w:t>
      </w:r>
      <w:bookmarkStart w:id="48086" w:name="_ETM_Q95_198660"/>
      <w:bookmarkEnd w:id="48086"/>
      <w:r>
        <w:rPr>
          <w:rFonts w:hint="cs"/>
          <w:rtl/>
        </w:rPr>
        <w:t xml:space="preserve">לכם? </w:t>
      </w:r>
      <w:bookmarkStart w:id="48087" w:name="_ETM_Q95_200410"/>
      <w:bookmarkEnd w:id="48087"/>
      <w:r>
        <w:rPr>
          <w:rFonts w:hint="cs"/>
          <w:rtl/>
        </w:rPr>
        <w:t xml:space="preserve">מה </w:t>
      </w:r>
      <w:bookmarkStart w:id="48088" w:name="_ETM_Q95_200770"/>
      <w:bookmarkEnd w:id="48088"/>
      <w:r>
        <w:rPr>
          <w:rFonts w:hint="cs"/>
          <w:rtl/>
        </w:rPr>
        <w:t xml:space="preserve">אתם </w:t>
      </w:r>
      <w:bookmarkStart w:id="48089" w:name="_ETM_Q95_200980"/>
      <w:bookmarkEnd w:id="48089"/>
      <w:r>
        <w:rPr>
          <w:rFonts w:hint="cs"/>
          <w:rtl/>
        </w:rPr>
        <w:t xml:space="preserve">רוצים </w:t>
      </w:r>
      <w:bookmarkStart w:id="48090" w:name="_ETM_Q95_201280"/>
      <w:bookmarkEnd w:id="48090"/>
      <w:r>
        <w:rPr>
          <w:rFonts w:hint="cs"/>
          <w:rtl/>
        </w:rPr>
        <w:t xml:space="preserve">להעביר </w:t>
      </w:r>
      <w:bookmarkStart w:id="48091" w:name="_ETM_Q95_201820"/>
      <w:bookmarkEnd w:id="48091"/>
      <w:r>
        <w:rPr>
          <w:rFonts w:hint="cs"/>
          <w:rtl/>
        </w:rPr>
        <w:t xml:space="preserve">ולא </w:t>
      </w:r>
      <w:bookmarkStart w:id="48092" w:name="_ETM_Q95_202060"/>
      <w:bookmarkEnd w:id="48092"/>
      <w:r>
        <w:rPr>
          <w:rFonts w:hint="cs"/>
          <w:rtl/>
        </w:rPr>
        <w:t xml:space="preserve">מצליחים </w:t>
      </w:r>
      <w:bookmarkStart w:id="48093" w:name="_ETM_Q95_202690"/>
      <w:bookmarkEnd w:id="48093"/>
      <w:r>
        <w:rPr>
          <w:rFonts w:hint="cs"/>
          <w:rtl/>
        </w:rPr>
        <w:t xml:space="preserve">בגלל </w:t>
      </w:r>
      <w:bookmarkStart w:id="48094" w:name="_ETM_Q95_202989"/>
      <w:bookmarkEnd w:id="48094"/>
      <w:r>
        <w:rPr>
          <w:rFonts w:hint="cs"/>
          <w:rtl/>
        </w:rPr>
        <w:t xml:space="preserve">בית </w:t>
      </w:r>
      <w:bookmarkStart w:id="48095" w:name="_ETM_Q95_203200"/>
      <w:bookmarkEnd w:id="48095"/>
      <w:r>
        <w:rPr>
          <w:rFonts w:hint="cs"/>
          <w:rtl/>
        </w:rPr>
        <w:t xml:space="preserve">המשפט </w:t>
      </w:r>
      <w:bookmarkStart w:id="48096" w:name="_ETM_Q95_203800"/>
      <w:bookmarkEnd w:id="48096"/>
      <w:r>
        <w:rPr>
          <w:rFonts w:hint="cs"/>
          <w:rtl/>
        </w:rPr>
        <w:t xml:space="preserve">וביום </w:t>
      </w:r>
      <w:bookmarkStart w:id="48097" w:name="_ETM_Q95_204790"/>
      <w:bookmarkEnd w:id="48097"/>
      <w:r>
        <w:rPr>
          <w:rFonts w:hint="cs"/>
          <w:rtl/>
        </w:rPr>
        <w:t xml:space="preserve">שאחרי </w:t>
      </w:r>
      <w:bookmarkStart w:id="48098" w:name="_ETM_Q95_205390"/>
      <w:bookmarkEnd w:id="48098"/>
      <w:r>
        <w:rPr>
          <w:rFonts w:hint="cs"/>
          <w:rtl/>
        </w:rPr>
        <w:t xml:space="preserve">העברת </w:t>
      </w:r>
      <w:bookmarkStart w:id="48099" w:name="_ETM_Q95_205900"/>
      <w:bookmarkEnd w:id="48099"/>
      <w:r>
        <w:rPr>
          <w:rFonts w:hint="cs"/>
          <w:rtl/>
        </w:rPr>
        <w:t xml:space="preserve">החוק </w:t>
      </w:r>
      <w:bookmarkStart w:id="48100" w:name="_ETM_Q95_206260"/>
      <w:bookmarkEnd w:id="48100"/>
      <w:r>
        <w:rPr>
          <w:rFonts w:hint="cs"/>
          <w:rtl/>
        </w:rPr>
        <w:t xml:space="preserve">האסוני </w:t>
      </w:r>
      <w:bookmarkStart w:id="48101" w:name="_ETM_Q95_206650"/>
      <w:bookmarkEnd w:id="48101"/>
      <w:r>
        <w:rPr>
          <w:rFonts w:hint="cs"/>
          <w:rtl/>
        </w:rPr>
        <w:t xml:space="preserve">הזה </w:t>
      </w:r>
      <w:bookmarkStart w:id="48102" w:name="_ETM_Q95_207460"/>
      <w:bookmarkEnd w:id="48102"/>
      <w:r>
        <w:rPr>
          <w:rFonts w:hint="cs"/>
          <w:rtl/>
        </w:rPr>
        <w:t xml:space="preserve">תעשו? </w:t>
      </w:r>
      <w:bookmarkStart w:id="48103" w:name="_ETM_Q95_208330"/>
      <w:bookmarkEnd w:id="48103"/>
      <w:r>
        <w:rPr>
          <w:rFonts w:hint="cs"/>
          <w:rtl/>
        </w:rPr>
        <w:t xml:space="preserve">אני </w:t>
      </w:r>
      <w:bookmarkStart w:id="48104" w:name="_ETM_Q95_208750"/>
      <w:bookmarkEnd w:id="48104"/>
      <w:r>
        <w:rPr>
          <w:rFonts w:hint="cs"/>
          <w:rtl/>
        </w:rPr>
        <w:t xml:space="preserve">באמת </w:t>
      </w:r>
      <w:bookmarkStart w:id="48105" w:name="_ETM_Q95_209050"/>
      <w:bookmarkEnd w:id="48105"/>
      <w:r>
        <w:rPr>
          <w:rFonts w:hint="cs"/>
          <w:rtl/>
        </w:rPr>
        <w:t xml:space="preserve">שואל. </w:t>
      </w:r>
      <w:bookmarkStart w:id="48106" w:name="_ETM_Q95_210900"/>
      <w:bookmarkEnd w:id="48106"/>
    </w:p>
    <w:p w:rsidR="00BB59CD" w:rsidRDefault="00BB59CD" w:rsidP="00BB59CD">
      <w:pPr>
        <w:rPr>
          <w:rtl/>
        </w:rPr>
      </w:pPr>
    </w:p>
    <w:p w:rsidR="00BB59CD" w:rsidRDefault="00BB59CD" w:rsidP="00BB59CD">
      <w:pPr>
        <w:rPr>
          <w:rtl/>
        </w:rPr>
      </w:pPr>
      <w:r>
        <w:rPr>
          <w:rFonts w:hint="cs"/>
          <w:rtl/>
        </w:rPr>
        <w:t xml:space="preserve">ביום </w:t>
      </w:r>
      <w:bookmarkStart w:id="48107" w:name="_ETM_Q95_211380"/>
      <w:bookmarkEnd w:id="48107"/>
      <w:r>
        <w:rPr>
          <w:rFonts w:hint="cs"/>
          <w:rtl/>
        </w:rPr>
        <w:t xml:space="preserve">שאחרי </w:t>
      </w:r>
      <w:bookmarkStart w:id="48108" w:name="_ETM_Q95_211769"/>
      <w:bookmarkEnd w:id="48108"/>
      <w:r>
        <w:rPr>
          <w:rFonts w:hint="cs"/>
          <w:rtl/>
        </w:rPr>
        <w:t xml:space="preserve">ביטול </w:t>
      </w:r>
      <w:bookmarkStart w:id="48109" w:name="_ETM_Q95_212129"/>
      <w:bookmarkEnd w:id="48109"/>
      <w:r>
        <w:rPr>
          <w:rFonts w:hint="cs"/>
          <w:rtl/>
        </w:rPr>
        <w:t xml:space="preserve">עילת </w:t>
      </w:r>
      <w:bookmarkStart w:id="48110" w:name="_ETM_Q95_212399"/>
      <w:bookmarkEnd w:id="48110"/>
      <w:r>
        <w:rPr>
          <w:rFonts w:hint="cs"/>
          <w:rtl/>
        </w:rPr>
        <w:t xml:space="preserve">הסבירות </w:t>
      </w:r>
      <w:bookmarkStart w:id="48111" w:name="_ETM_Q95_213090"/>
      <w:bookmarkEnd w:id="48111"/>
      <w:r>
        <w:rPr>
          <w:rFonts w:hint="cs"/>
          <w:rtl/>
        </w:rPr>
        <w:t xml:space="preserve">ביבי </w:t>
      </w:r>
      <w:bookmarkStart w:id="48112" w:name="_ETM_Q95_213479"/>
      <w:bookmarkEnd w:id="48112"/>
      <w:r>
        <w:rPr>
          <w:rFonts w:hint="cs"/>
          <w:rtl/>
        </w:rPr>
        <w:t xml:space="preserve">יוכל </w:t>
      </w:r>
      <w:bookmarkStart w:id="48113" w:name="_ETM_Q95_213780"/>
      <w:bookmarkEnd w:id="48113"/>
      <w:r>
        <w:rPr>
          <w:rFonts w:hint="cs"/>
          <w:rtl/>
        </w:rPr>
        <w:t xml:space="preserve">לפטר </w:t>
      </w:r>
      <w:bookmarkStart w:id="48114" w:name="_ETM_Q95_214229"/>
      <w:bookmarkEnd w:id="48114"/>
      <w:r>
        <w:rPr>
          <w:rFonts w:hint="cs"/>
          <w:rtl/>
        </w:rPr>
        <w:t xml:space="preserve">את </w:t>
      </w:r>
      <w:bookmarkStart w:id="48115" w:name="_ETM_Q95_214320"/>
      <w:bookmarkEnd w:id="48115"/>
      <w:r>
        <w:rPr>
          <w:rFonts w:hint="cs"/>
          <w:rtl/>
        </w:rPr>
        <w:t xml:space="preserve">היועצת </w:t>
      </w:r>
      <w:bookmarkStart w:id="48116" w:name="_ETM_Q95_214590"/>
      <w:bookmarkEnd w:id="48116"/>
      <w:r>
        <w:rPr>
          <w:rFonts w:hint="cs"/>
          <w:rtl/>
        </w:rPr>
        <w:t xml:space="preserve">המשפטית </w:t>
      </w:r>
      <w:bookmarkStart w:id="48117" w:name="_ETM_Q95_215040"/>
      <w:bookmarkEnd w:id="48117"/>
      <w:r>
        <w:rPr>
          <w:rFonts w:hint="cs"/>
          <w:rtl/>
        </w:rPr>
        <w:t xml:space="preserve">לממשלה </w:t>
      </w:r>
      <w:bookmarkStart w:id="48118" w:name="_ETM_Q95_216210"/>
      <w:bookmarkEnd w:id="48118"/>
      <w:r>
        <w:rPr>
          <w:rFonts w:hint="cs"/>
          <w:rtl/>
        </w:rPr>
        <w:t xml:space="preserve">ולהיחלץ </w:t>
      </w:r>
      <w:bookmarkStart w:id="48119" w:name="_ETM_Q95_217350"/>
      <w:bookmarkEnd w:id="48119"/>
      <w:r>
        <w:rPr>
          <w:rFonts w:hint="cs"/>
          <w:rtl/>
        </w:rPr>
        <w:t xml:space="preserve">ממשפטו. </w:t>
      </w:r>
      <w:bookmarkStart w:id="48120" w:name="_ETM_Q95_218390"/>
      <w:bookmarkEnd w:id="48120"/>
      <w:r>
        <w:rPr>
          <w:rFonts w:hint="cs"/>
          <w:rtl/>
        </w:rPr>
        <w:t xml:space="preserve">אתה, </w:t>
      </w:r>
      <w:bookmarkStart w:id="48121" w:name="_ETM_Q95_218899"/>
      <w:bookmarkEnd w:id="48121"/>
      <w:r>
        <w:rPr>
          <w:rFonts w:hint="cs"/>
          <w:rtl/>
        </w:rPr>
        <w:t xml:space="preserve">אדוני </w:t>
      </w:r>
      <w:bookmarkStart w:id="48122" w:name="_ETM_Q95_219200"/>
      <w:bookmarkEnd w:id="48122"/>
      <w:r>
        <w:rPr>
          <w:rFonts w:hint="cs"/>
          <w:rtl/>
        </w:rPr>
        <w:t xml:space="preserve">השר, </w:t>
      </w:r>
      <w:bookmarkStart w:id="48123" w:name="_ETM_Q95_219500"/>
      <w:bookmarkEnd w:id="48123"/>
      <w:r>
        <w:rPr>
          <w:rFonts w:hint="cs"/>
          <w:rtl/>
        </w:rPr>
        <w:t xml:space="preserve">תוכל </w:t>
      </w:r>
      <w:bookmarkStart w:id="48124" w:name="_ETM_Q95_219800"/>
      <w:bookmarkEnd w:id="48124"/>
      <w:r>
        <w:rPr>
          <w:rFonts w:hint="cs"/>
          <w:rtl/>
        </w:rPr>
        <w:t xml:space="preserve">להדיח </w:t>
      </w:r>
      <w:bookmarkStart w:id="48125" w:name="_ETM_Q95_220280"/>
      <w:bookmarkEnd w:id="48125"/>
      <w:r>
        <w:rPr>
          <w:rFonts w:hint="cs"/>
          <w:rtl/>
        </w:rPr>
        <w:t xml:space="preserve">את </w:t>
      </w:r>
      <w:bookmarkStart w:id="48126" w:name="_ETM_Q95_220399"/>
      <w:bookmarkEnd w:id="48126"/>
      <w:r>
        <w:rPr>
          <w:rFonts w:hint="cs"/>
          <w:rtl/>
        </w:rPr>
        <w:t xml:space="preserve">הממונה </w:t>
      </w:r>
      <w:bookmarkStart w:id="48127" w:name="_ETM_Q95_221329"/>
      <w:bookmarkEnd w:id="48127"/>
      <w:r>
        <w:rPr>
          <w:rFonts w:hint="cs"/>
          <w:rtl/>
        </w:rPr>
        <w:t xml:space="preserve">על </w:t>
      </w:r>
      <w:bookmarkStart w:id="48128" w:name="_ETM_Q95_221510"/>
      <w:bookmarkEnd w:id="48128"/>
      <w:r>
        <w:rPr>
          <w:rFonts w:hint="cs"/>
          <w:rtl/>
        </w:rPr>
        <w:t xml:space="preserve">רשות </w:t>
      </w:r>
      <w:bookmarkStart w:id="48129" w:name="_ETM_Q95_221809"/>
      <w:bookmarkEnd w:id="48129"/>
      <w:r>
        <w:rPr>
          <w:rFonts w:hint="cs"/>
          <w:rtl/>
        </w:rPr>
        <w:t xml:space="preserve">התחרות, </w:t>
      </w:r>
      <w:bookmarkStart w:id="48130" w:name="_ETM_Q95_222350"/>
      <w:bookmarkEnd w:id="48130"/>
      <w:r>
        <w:rPr>
          <w:rFonts w:hint="cs"/>
          <w:rtl/>
        </w:rPr>
        <w:t xml:space="preserve">את </w:t>
      </w:r>
      <w:bookmarkStart w:id="48131" w:name="_ETM_Q95_222440"/>
      <w:bookmarkEnd w:id="48131"/>
      <w:r>
        <w:rPr>
          <w:rFonts w:hint="cs"/>
          <w:rtl/>
        </w:rPr>
        <w:t xml:space="preserve">מיכל </w:t>
      </w:r>
      <w:bookmarkStart w:id="48132" w:name="_ETM_Q95_222770"/>
      <w:bookmarkEnd w:id="48132"/>
      <w:r>
        <w:rPr>
          <w:rFonts w:hint="cs"/>
          <w:rtl/>
        </w:rPr>
        <w:t xml:space="preserve">כהן, </w:t>
      </w:r>
      <w:bookmarkStart w:id="48133" w:name="_ETM_Q95_223280"/>
      <w:bookmarkEnd w:id="48133"/>
      <w:r>
        <w:rPr>
          <w:rFonts w:hint="cs"/>
          <w:rtl/>
        </w:rPr>
        <w:t xml:space="preserve">כמו </w:t>
      </w:r>
      <w:bookmarkStart w:id="48134" w:name="_ETM_Q95_223670"/>
      <w:bookmarkEnd w:id="48134"/>
      <w:r>
        <w:rPr>
          <w:rFonts w:hint="cs"/>
          <w:rtl/>
        </w:rPr>
        <w:t xml:space="preserve">שניסית </w:t>
      </w:r>
      <w:bookmarkStart w:id="48135" w:name="_ETM_Q95_224210"/>
      <w:bookmarkEnd w:id="48135"/>
      <w:r>
        <w:rPr>
          <w:rFonts w:hint="cs"/>
          <w:rtl/>
        </w:rPr>
        <w:t xml:space="preserve">בעבר. </w:t>
      </w:r>
      <w:bookmarkStart w:id="48136" w:name="_ETM_Q95_225440"/>
      <w:bookmarkEnd w:id="48136"/>
      <w:r>
        <w:rPr>
          <w:rFonts w:hint="cs"/>
          <w:rtl/>
        </w:rPr>
        <w:t xml:space="preserve">בלי </w:t>
      </w:r>
      <w:bookmarkStart w:id="48137" w:name="_ETM_Q95_225710"/>
      <w:bookmarkEnd w:id="48137"/>
      <w:r>
        <w:rPr>
          <w:rFonts w:hint="cs"/>
          <w:rtl/>
        </w:rPr>
        <w:t xml:space="preserve">עילת </w:t>
      </w:r>
      <w:bookmarkStart w:id="48138" w:name="_ETM_Q95_225920"/>
      <w:bookmarkEnd w:id="48138"/>
      <w:r>
        <w:rPr>
          <w:rFonts w:hint="cs"/>
          <w:rtl/>
        </w:rPr>
        <w:t>הסבירו</w:t>
      </w:r>
      <w:bookmarkStart w:id="48139" w:name="_ETM_Q95_226370"/>
      <w:bookmarkStart w:id="48140" w:name="_ETM_Q95_226700"/>
      <w:bookmarkEnd w:id="48139"/>
      <w:bookmarkEnd w:id="48140"/>
      <w:r>
        <w:rPr>
          <w:rFonts w:hint="cs"/>
          <w:rtl/>
        </w:rPr>
        <w:t xml:space="preserve">ת שר הטיקטוק </w:t>
      </w:r>
      <w:bookmarkStart w:id="48141" w:name="_ETM_Q95_227210"/>
      <w:bookmarkEnd w:id="48141"/>
      <w:r>
        <w:rPr>
          <w:rFonts w:hint="cs"/>
          <w:rtl/>
        </w:rPr>
        <w:t xml:space="preserve">והפיתות </w:t>
      </w:r>
      <w:bookmarkStart w:id="48142" w:name="_ETM_Q95_227899"/>
      <w:bookmarkEnd w:id="48142"/>
      <w:r>
        <w:rPr>
          <w:rFonts w:hint="cs"/>
          <w:rtl/>
        </w:rPr>
        <w:t xml:space="preserve">בן </w:t>
      </w:r>
      <w:bookmarkStart w:id="48143" w:name="_ETM_Q95_228110"/>
      <w:bookmarkEnd w:id="48143"/>
      <w:r>
        <w:rPr>
          <w:rFonts w:hint="cs"/>
          <w:rtl/>
        </w:rPr>
        <w:t xml:space="preserve">גביר </w:t>
      </w:r>
      <w:bookmarkStart w:id="48144" w:name="_ETM_Q95_228320"/>
      <w:bookmarkEnd w:id="48144"/>
      <w:r>
        <w:rPr>
          <w:rFonts w:hint="cs"/>
          <w:rtl/>
        </w:rPr>
        <w:t xml:space="preserve">יוכל </w:t>
      </w:r>
      <w:bookmarkStart w:id="48145" w:name="_ETM_Q95_228590"/>
      <w:bookmarkEnd w:id="48145"/>
      <w:r>
        <w:rPr>
          <w:rFonts w:hint="cs"/>
          <w:rtl/>
        </w:rPr>
        <w:t xml:space="preserve">לפטר </w:t>
      </w:r>
      <w:bookmarkStart w:id="48146" w:name="_ETM_Q95_229520"/>
      <w:bookmarkEnd w:id="48146"/>
      <w:r>
        <w:rPr>
          <w:rFonts w:hint="cs"/>
          <w:rtl/>
        </w:rPr>
        <w:t xml:space="preserve">ניצבים </w:t>
      </w:r>
      <w:bookmarkStart w:id="48147" w:name="_ETM_Q95_230000"/>
      <w:bookmarkEnd w:id="48147"/>
      <w:r>
        <w:rPr>
          <w:rFonts w:hint="cs"/>
          <w:rtl/>
        </w:rPr>
        <w:t xml:space="preserve">במשטרה </w:t>
      </w:r>
      <w:bookmarkStart w:id="48148" w:name="_ETM_Q95_230629"/>
      <w:bookmarkEnd w:id="48148"/>
      <w:r>
        <w:rPr>
          <w:rFonts w:hint="cs"/>
          <w:rtl/>
        </w:rPr>
        <w:t xml:space="preserve">כאוות </w:t>
      </w:r>
      <w:bookmarkStart w:id="48149" w:name="_ETM_Q95_231079"/>
      <w:bookmarkEnd w:id="48149"/>
      <w:r>
        <w:rPr>
          <w:rFonts w:hint="cs"/>
          <w:rtl/>
        </w:rPr>
        <w:t xml:space="preserve">נפשו; </w:t>
      </w:r>
      <w:bookmarkStart w:id="48150" w:name="_ETM_Q95_231620"/>
      <w:bookmarkEnd w:id="48150"/>
      <w:r>
        <w:rPr>
          <w:rFonts w:hint="cs"/>
          <w:rtl/>
        </w:rPr>
        <w:t xml:space="preserve">מי </w:t>
      </w:r>
      <w:bookmarkStart w:id="48151" w:name="_ETM_Q95_231800"/>
      <w:bookmarkEnd w:id="48151"/>
      <w:r>
        <w:rPr>
          <w:rFonts w:hint="cs"/>
          <w:rtl/>
        </w:rPr>
        <w:t xml:space="preserve">שלא </w:t>
      </w:r>
      <w:bookmarkStart w:id="48152" w:name="_ETM_Q95_232489"/>
      <w:bookmarkEnd w:id="48152"/>
      <w:r>
        <w:rPr>
          <w:rFonts w:hint="cs"/>
          <w:rtl/>
        </w:rPr>
        <w:t xml:space="preserve">מספיק </w:t>
      </w:r>
      <w:bookmarkStart w:id="48153" w:name="_ETM_Q95_233000"/>
      <w:bookmarkEnd w:id="48153"/>
      <w:r>
        <w:rPr>
          <w:rFonts w:hint="cs"/>
          <w:rtl/>
        </w:rPr>
        <w:t xml:space="preserve">אלים </w:t>
      </w:r>
      <w:bookmarkStart w:id="48154" w:name="_ETM_Q95_234020"/>
      <w:bookmarkEnd w:id="48154"/>
      <w:r>
        <w:rPr>
          <w:rFonts w:hint="cs"/>
          <w:rtl/>
        </w:rPr>
        <w:t xml:space="preserve">עם </w:t>
      </w:r>
      <w:bookmarkStart w:id="48155" w:name="_ETM_Q95_234199"/>
      <w:bookmarkEnd w:id="48155"/>
      <w:r>
        <w:rPr>
          <w:rFonts w:hint="cs"/>
          <w:rtl/>
        </w:rPr>
        <w:t xml:space="preserve">הצפונבונים </w:t>
      </w:r>
      <w:bookmarkStart w:id="48156" w:name="_ETM_Q95_235010"/>
      <w:bookmarkEnd w:id="48156"/>
      <w:r>
        <w:rPr>
          <w:rFonts w:hint="cs"/>
          <w:rtl/>
        </w:rPr>
        <w:t xml:space="preserve">התל אביבים </w:t>
      </w:r>
      <w:bookmarkStart w:id="48157" w:name="_ETM_Q95_235699"/>
      <w:bookmarkEnd w:id="48157"/>
      <w:r>
        <w:rPr>
          <w:rFonts w:hint="cs"/>
          <w:rtl/>
        </w:rPr>
        <w:t xml:space="preserve">יישלח </w:t>
      </w:r>
      <w:bookmarkStart w:id="48158" w:name="_ETM_Q95_236660"/>
      <w:bookmarkEnd w:id="48158"/>
      <w:r>
        <w:rPr>
          <w:rFonts w:hint="cs"/>
          <w:rtl/>
        </w:rPr>
        <w:t xml:space="preserve">מייד </w:t>
      </w:r>
      <w:bookmarkStart w:id="48159" w:name="_ETM_Q95_237079"/>
      <w:bookmarkEnd w:id="48159"/>
      <w:r>
        <w:rPr>
          <w:rFonts w:hint="cs"/>
          <w:rtl/>
        </w:rPr>
        <w:t xml:space="preserve">הביתה. </w:t>
      </w:r>
      <w:bookmarkStart w:id="48160" w:name="_ETM_Q95_238190"/>
      <w:bookmarkEnd w:id="48160"/>
      <w:r>
        <w:rPr>
          <w:rFonts w:hint="cs"/>
          <w:rtl/>
        </w:rPr>
        <w:t xml:space="preserve">אחרי </w:t>
      </w:r>
      <w:bookmarkStart w:id="48161" w:name="_ETM_Q95_238640"/>
      <w:bookmarkEnd w:id="48161"/>
      <w:r>
        <w:rPr>
          <w:rFonts w:hint="cs"/>
          <w:rtl/>
        </w:rPr>
        <w:t xml:space="preserve">שתבוטל </w:t>
      </w:r>
      <w:bookmarkStart w:id="48162" w:name="_ETM_Q95_239269"/>
      <w:bookmarkEnd w:id="48162"/>
      <w:r>
        <w:rPr>
          <w:rFonts w:hint="cs"/>
          <w:rtl/>
        </w:rPr>
        <w:t xml:space="preserve">עילת </w:t>
      </w:r>
      <w:bookmarkStart w:id="48163" w:name="_ETM_Q95_239600"/>
      <w:bookmarkEnd w:id="48163"/>
      <w:r>
        <w:rPr>
          <w:rFonts w:hint="cs"/>
          <w:rtl/>
        </w:rPr>
        <w:t xml:space="preserve">הסבירות </w:t>
      </w:r>
      <w:bookmarkStart w:id="48164" w:name="_ETM_Q95_240019"/>
      <w:bookmarkEnd w:id="48164"/>
      <w:r>
        <w:rPr>
          <w:rFonts w:hint="cs"/>
          <w:rtl/>
        </w:rPr>
        <w:t xml:space="preserve">דודי </w:t>
      </w:r>
      <w:bookmarkStart w:id="48165" w:name="_ETM_Q95_240350"/>
      <w:bookmarkEnd w:id="48165"/>
      <w:r>
        <w:rPr>
          <w:rFonts w:hint="cs"/>
          <w:rtl/>
        </w:rPr>
        <w:t xml:space="preserve">אמסלם </w:t>
      </w:r>
      <w:bookmarkStart w:id="48166" w:name="_ETM_Q95_240949"/>
      <w:bookmarkEnd w:id="48166"/>
      <w:r>
        <w:rPr>
          <w:rFonts w:hint="cs"/>
          <w:rtl/>
        </w:rPr>
        <w:t xml:space="preserve">יוכל </w:t>
      </w:r>
      <w:bookmarkStart w:id="48167" w:name="_ETM_Q95_241250"/>
      <w:bookmarkEnd w:id="48167"/>
      <w:r>
        <w:rPr>
          <w:rFonts w:hint="cs"/>
          <w:rtl/>
        </w:rPr>
        <w:t xml:space="preserve">לפטר </w:t>
      </w:r>
      <w:bookmarkStart w:id="48168" w:name="_ETM_Q95_241699"/>
      <w:bookmarkEnd w:id="48168"/>
      <w:r>
        <w:rPr>
          <w:rFonts w:hint="cs"/>
          <w:rtl/>
        </w:rPr>
        <w:t xml:space="preserve">את </w:t>
      </w:r>
      <w:bookmarkStart w:id="48169" w:name="_ETM_Q95_241790"/>
      <w:bookmarkEnd w:id="48169"/>
      <w:r>
        <w:rPr>
          <w:rFonts w:hint="cs"/>
          <w:rtl/>
        </w:rPr>
        <w:t xml:space="preserve">מנהלת </w:t>
      </w:r>
      <w:bookmarkStart w:id="48170" w:name="_ETM_Q95_242890"/>
      <w:bookmarkEnd w:id="48170"/>
      <w:r>
        <w:rPr>
          <w:rFonts w:hint="cs"/>
          <w:rtl/>
        </w:rPr>
        <w:t xml:space="preserve">רשות </w:t>
      </w:r>
      <w:bookmarkStart w:id="48171" w:name="_ETM_Q95_243340"/>
      <w:bookmarkEnd w:id="48171"/>
      <w:r>
        <w:rPr>
          <w:rFonts w:hint="cs"/>
          <w:rtl/>
        </w:rPr>
        <w:t xml:space="preserve">החברות </w:t>
      </w:r>
      <w:bookmarkStart w:id="48172" w:name="_ETM_Q95_243850"/>
      <w:bookmarkEnd w:id="48172"/>
      <w:r>
        <w:rPr>
          <w:rFonts w:hint="cs"/>
          <w:rtl/>
        </w:rPr>
        <w:t xml:space="preserve">הממשלתיות </w:t>
      </w:r>
      <w:bookmarkStart w:id="48173" w:name="_ETM_Q95_244660"/>
      <w:bookmarkEnd w:id="48173"/>
      <w:r>
        <w:rPr>
          <w:rFonts w:hint="cs"/>
          <w:rtl/>
        </w:rPr>
        <w:t xml:space="preserve">מיכל </w:t>
      </w:r>
      <w:bookmarkStart w:id="48174" w:name="_ETM_Q95_245080"/>
      <w:bookmarkEnd w:id="48174"/>
      <w:r>
        <w:rPr>
          <w:rFonts w:hint="cs"/>
          <w:rtl/>
        </w:rPr>
        <w:t>רוז</w:t>
      </w:r>
      <w:bookmarkStart w:id="48175" w:name="_ETM_Q95_245500"/>
      <w:bookmarkStart w:id="48176" w:name="_ETM_Q95_246310"/>
      <w:bookmarkEnd w:id="48175"/>
      <w:bookmarkEnd w:id="48176"/>
      <w:r>
        <w:rPr>
          <w:rFonts w:hint="cs"/>
          <w:rtl/>
        </w:rPr>
        <w:t xml:space="preserve">נבוים, שאותה </w:t>
      </w:r>
      <w:bookmarkStart w:id="48177" w:name="_ETM_Q95_246850"/>
      <w:bookmarkStart w:id="48178" w:name="_ETM_Q95_247930"/>
      <w:bookmarkEnd w:id="48177"/>
      <w:bookmarkEnd w:id="48178"/>
      <w:r>
        <w:rPr>
          <w:rFonts w:hint="cs"/>
          <w:rtl/>
        </w:rPr>
        <w:t>הוא הרי כינה  בפומבי "מופקרת ואלימה".</w:t>
      </w:r>
      <w:bookmarkStart w:id="48179" w:name="_ETM_Q95_251190"/>
      <w:bookmarkEnd w:id="48179"/>
      <w:r>
        <w:rPr>
          <w:rFonts w:hint="cs"/>
          <w:rtl/>
        </w:rPr>
        <w:t xml:space="preserve"> אותו </w:t>
      </w:r>
      <w:bookmarkStart w:id="48180" w:name="_ETM_Q95_251520"/>
      <w:bookmarkEnd w:id="48180"/>
      <w:r>
        <w:rPr>
          <w:rFonts w:hint="cs"/>
          <w:rtl/>
        </w:rPr>
        <w:t xml:space="preserve">אמסלם </w:t>
      </w:r>
      <w:bookmarkStart w:id="48181" w:name="_ETM_Q95_252150"/>
      <w:bookmarkEnd w:id="48181"/>
      <w:r>
        <w:rPr>
          <w:rFonts w:hint="cs"/>
          <w:rtl/>
        </w:rPr>
        <w:t xml:space="preserve">יוכל, </w:t>
      </w:r>
      <w:bookmarkStart w:id="48182" w:name="_ETM_Q95_252569"/>
      <w:bookmarkEnd w:id="48182"/>
      <w:r>
        <w:rPr>
          <w:rFonts w:hint="cs"/>
          <w:rtl/>
        </w:rPr>
        <w:t xml:space="preserve">אגב, </w:t>
      </w:r>
      <w:bookmarkStart w:id="48183" w:name="_ETM_Q95_252810"/>
      <w:bookmarkEnd w:id="48183"/>
      <w:r>
        <w:rPr>
          <w:rFonts w:hint="cs"/>
          <w:rtl/>
        </w:rPr>
        <w:t xml:space="preserve">להשלים </w:t>
      </w:r>
      <w:bookmarkStart w:id="48184" w:name="_ETM_Q95_253799"/>
      <w:bookmarkEnd w:id="48184"/>
      <w:r>
        <w:rPr>
          <w:rFonts w:hint="cs"/>
          <w:rtl/>
        </w:rPr>
        <w:t xml:space="preserve">מינוי </w:t>
      </w:r>
      <w:bookmarkStart w:id="48185" w:name="_ETM_Q95_254369"/>
      <w:bookmarkEnd w:id="48185"/>
      <w:r>
        <w:rPr>
          <w:rFonts w:hint="cs"/>
          <w:rtl/>
        </w:rPr>
        <w:t xml:space="preserve">של </w:t>
      </w:r>
      <w:bookmarkStart w:id="48186" w:name="_ETM_Q95_254610"/>
      <w:bookmarkEnd w:id="48186"/>
      <w:r>
        <w:rPr>
          <w:rFonts w:hint="cs"/>
          <w:rtl/>
        </w:rPr>
        <w:t xml:space="preserve">אדם </w:t>
      </w:r>
      <w:bookmarkStart w:id="48187" w:name="_ETM_Q95_254939"/>
      <w:bookmarkEnd w:id="48187"/>
      <w:r>
        <w:rPr>
          <w:rFonts w:hint="cs"/>
          <w:rtl/>
        </w:rPr>
        <w:t xml:space="preserve">שנחקר </w:t>
      </w:r>
      <w:bookmarkStart w:id="48188" w:name="_ETM_Q95_255420"/>
      <w:bookmarkEnd w:id="48188"/>
      <w:r>
        <w:rPr>
          <w:rFonts w:hint="cs"/>
          <w:rtl/>
        </w:rPr>
        <w:t xml:space="preserve">בימים </w:t>
      </w:r>
      <w:bookmarkStart w:id="48189" w:name="_ETM_Q95_255810"/>
      <w:bookmarkEnd w:id="48189"/>
      <w:r>
        <w:rPr>
          <w:rFonts w:hint="cs"/>
          <w:rtl/>
        </w:rPr>
        <w:t xml:space="preserve">אלה </w:t>
      </w:r>
      <w:bookmarkStart w:id="48190" w:name="_ETM_Q95_256049"/>
      <w:bookmarkEnd w:id="48190"/>
      <w:r>
        <w:rPr>
          <w:rFonts w:hint="cs"/>
          <w:rtl/>
        </w:rPr>
        <w:t xml:space="preserve">על </w:t>
      </w:r>
      <w:bookmarkStart w:id="48191" w:name="_ETM_Q95_256140"/>
      <w:bookmarkEnd w:id="48191"/>
      <w:r>
        <w:rPr>
          <w:rFonts w:hint="cs"/>
          <w:rtl/>
        </w:rPr>
        <w:t xml:space="preserve">קבלת </w:t>
      </w:r>
      <w:bookmarkStart w:id="48192" w:name="_ETM_Q95_256590"/>
      <w:bookmarkEnd w:id="48192"/>
      <w:r>
        <w:rPr>
          <w:rFonts w:hint="cs"/>
          <w:rtl/>
        </w:rPr>
        <w:t xml:space="preserve">דבר </w:t>
      </w:r>
      <w:bookmarkStart w:id="48193" w:name="_ETM_Q95_256920"/>
      <w:bookmarkEnd w:id="48193"/>
      <w:r>
        <w:rPr>
          <w:rFonts w:hint="cs"/>
          <w:rtl/>
        </w:rPr>
        <w:t xml:space="preserve">במרמה </w:t>
      </w:r>
      <w:bookmarkStart w:id="48194" w:name="_ETM_Q95_258100"/>
      <w:bookmarkEnd w:id="48194"/>
      <w:r>
        <w:rPr>
          <w:rFonts w:hint="cs"/>
          <w:rtl/>
        </w:rPr>
        <w:t xml:space="preserve">למנכ"ל </w:t>
      </w:r>
      <w:bookmarkStart w:id="48195" w:name="_ETM_Q95_258760"/>
      <w:bookmarkEnd w:id="48195"/>
      <w:r>
        <w:rPr>
          <w:rFonts w:hint="cs"/>
          <w:rtl/>
        </w:rPr>
        <w:t>משרדו</w:t>
      </w:r>
      <w:bookmarkStart w:id="48196" w:name="_ETM_Q95_261159"/>
      <w:bookmarkStart w:id="48197" w:name="_ETM_Q95_261549"/>
      <w:bookmarkEnd w:id="48196"/>
      <w:bookmarkEnd w:id="48197"/>
      <w:r>
        <w:rPr>
          <w:rFonts w:hint="cs"/>
          <w:rtl/>
        </w:rPr>
        <w:t xml:space="preserve">. בלי עילת הסבירות השר </w:t>
      </w:r>
      <w:bookmarkStart w:id="48198" w:name="_ETM_Q95_262990"/>
      <w:bookmarkEnd w:id="48198"/>
      <w:r>
        <w:rPr>
          <w:rFonts w:hint="cs"/>
          <w:rtl/>
        </w:rPr>
        <w:t xml:space="preserve">יואב </w:t>
      </w:r>
      <w:bookmarkStart w:id="48199" w:name="_ETM_Q95_263409"/>
      <w:bookmarkEnd w:id="48199"/>
      <w:r>
        <w:rPr>
          <w:rFonts w:hint="cs"/>
          <w:rtl/>
        </w:rPr>
        <w:t xml:space="preserve">קיש </w:t>
      </w:r>
      <w:bookmarkStart w:id="48200" w:name="_ETM_Q95_263709"/>
      <w:bookmarkEnd w:id="48200"/>
      <w:r>
        <w:rPr>
          <w:rFonts w:hint="cs"/>
          <w:rtl/>
        </w:rPr>
        <w:t xml:space="preserve">יוכל </w:t>
      </w:r>
      <w:bookmarkStart w:id="48201" w:name="_ETM_Q95_264130"/>
      <w:bookmarkEnd w:id="48201"/>
      <w:r>
        <w:rPr>
          <w:rFonts w:hint="cs"/>
          <w:rtl/>
        </w:rPr>
        <w:t>סוף</w:t>
      </w:r>
      <w:bookmarkStart w:id="48202" w:name="_ETM_Q95_264670"/>
      <w:bookmarkEnd w:id="48202"/>
      <w:r>
        <w:rPr>
          <w:rFonts w:hint="cs"/>
          <w:rtl/>
        </w:rPr>
        <w:t xml:space="preserve">-סוף </w:t>
      </w:r>
      <w:bookmarkStart w:id="48203" w:name="_ETM_Q95_265420"/>
      <w:bookmarkEnd w:id="48203"/>
      <w:r>
        <w:rPr>
          <w:rFonts w:hint="cs"/>
          <w:rtl/>
        </w:rPr>
        <w:t xml:space="preserve">להשתלט </w:t>
      </w:r>
      <w:bookmarkStart w:id="48204" w:name="_ETM_Q95_266049"/>
      <w:bookmarkEnd w:id="48204"/>
      <w:r>
        <w:rPr>
          <w:rFonts w:hint="cs"/>
          <w:rtl/>
        </w:rPr>
        <w:t xml:space="preserve">על </w:t>
      </w:r>
      <w:bookmarkStart w:id="48205" w:name="_ETM_Q95_266140"/>
      <w:bookmarkEnd w:id="48205"/>
      <w:r>
        <w:rPr>
          <w:rFonts w:hint="cs"/>
          <w:rtl/>
        </w:rPr>
        <w:t xml:space="preserve">המינויים </w:t>
      </w:r>
      <w:bookmarkStart w:id="48206" w:name="_ETM_Q95_267100"/>
      <w:bookmarkEnd w:id="48206"/>
      <w:r>
        <w:rPr>
          <w:rFonts w:hint="cs"/>
          <w:rtl/>
        </w:rPr>
        <w:t xml:space="preserve">בספרייה </w:t>
      </w:r>
      <w:bookmarkStart w:id="48207" w:name="_ETM_Q95_267819"/>
      <w:bookmarkEnd w:id="48207"/>
      <w:r>
        <w:rPr>
          <w:rFonts w:hint="cs"/>
          <w:rtl/>
        </w:rPr>
        <w:t xml:space="preserve">הלאומית. </w:t>
      </w:r>
      <w:bookmarkStart w:id="48208" w:name="_ETM_Q95_269480"/>
      <w:bookmarkEnd w:id="48208"/>
    </w:p>
    <w:p w:rsidR="00BB59CD" w:rsidRDefault="00BB59CD" w:rsidP="00BB59CD">
      <w:pPr>
        <w:rPr>
          <w:rtl/>
        </w:rPr>
      </w:pPr>
      <w:bookmarkStart w:id="48209" w:name="_ETM_Q95_272223"/>
      <w:bookmarkStart w:id="48210" w:name="_ETM_Q95_272278"/>
      <w:bookmarkEnd w:id="48209"/>
      <w:bookmarkEnd w:id="48210"/>
    </w:p>
    <w:p w:rsidR="00BB59CD" w:rsidRDefault="00BB59CD" w:rsidP="00E315D7">
      <w:pPr>
        <w:rPr>
          <w:rtl/>
        </w:rPr>
      </w:pPr>
      <w:bookmarkStart w:id="48211" w:name="_ETM_Q95_272446"/>
      <w:bookmarkStart w:id="48212" w:name="_ETM_Q95_272502"/>
      <w:bookmarkEnd w:id="48211"/>
      <w:bookmarkEnd w:id="48212"/>
      <w:r>
        <w:rPr>
          <w:rFonts w:hint="cs"/>
          <w:rtl/>
        </w:rPr>
        <w:t xml:space="preserve">אדוני </w:t>
      </w:r>
      <w:bookmarkStart w:id="48213" w:name="_ETM_Q95_270080"/>
      <w:bookmarkEnd w:id="48213"/>
      <w:r>
        <w:rPr>
          <w:rFonts w:hint="cs"/>
          <w:rtl/>
        </w:rPr>
        <w:t xml:space="preserve">שר </w:t>
      </w:r>
      <w:bookmarkStart w:id="48214" w:name="_ETM_Q95_270319"/>
      <w:bookmarkEnd w:id="48214"/>
      <w:r>
        <w:rPr>
          <w:rFonts w:hint="cs"/>
          <w:rtl/>
        </w:rPr>
        <w:t xml:space="preserve">הכלכלה, </w:t>
      </w:r>
      <w:bookmarkStart w:id="48215" w:name="_ETM_Q95_270890"/>
      <w:bookmarkEnd w:id="48215"/>
      <w:r>
        <w:rPr>
          <w:rFonts w:hint="cs"/>
          <w:rtl/>
        </w:rPr>
        <w:t xml:space="preserve">מה </w:t>
      </w:r>
      <w:bookmarkStart w:id="48216" w:name="_ETM_Q95_271280"/>
      <w:bookmarkEnd w:id="48216"/>
      <w:r>
        <w:rPr>
          <w:rFonts w:hint="cs"/>
          <w:rtl/>
        </w:rPr>
        <w:t xml:space="preserve">עם </w:t>
      </w:r>
      <w:bookmarkStart w:id="48217" w:name="_ETM_Q95_271430"/>
      <w:bookmarkEnd w:id="48217"/>
      <w:r>
        <w:rPr>
          <w:rFonts w:hint="cs"/>
          <w:rtl/>
        </w:rPr>
        <w:t xml:space="preserve">כל </w:t>
      </w:r>
      <w:bookmarkStart w:id="48218" w:name="_ETM_Q95_271730"/>
      <w:bookmarkEnd w:id="48218"/>
      <w:r>
        <w:rPr>
          <w:rFonts w:hint="cs"/>
          <w:rtl/>
        </w:rPr>
        <w:t xml:space="preserve">הבעיות </w:t>
      </w:r>
      <w:bookmarkStart w:id="48219" w:name="_ETM_Q95_272300"/>
      <w:bookmarkEnd w:id="48219"/>
      <w:r>
        <w:rPr>
          <w:rFonts w:hint="cs"/>
          <w:rtl/>
        </w:rPr>
        <w:t xml:space="preserve">האמיתיות </w:t>
      </w:r>
      <w:bookmarkStart w:id="48220" w:name="_ETM_Q95_273590"/>
      <w:bookmarkEnd w:id="48220"/>
      <w:r>
        <w:rPr>
          <w:rFonts w:hint="cs"/>
          <w:rtl/>
        </w:rPr>
        <w:t xml:space="preserve">שיש </w:t>
      </w:r>
      <w:bookmarkStart w:id="48221" w:name="_ETM_Q95_273830"/>
      <w:bookmarkEnd w:id="48221"/>
      <w:r>
        <w:rPr>
          <w:rFonts w:hint="cs"/>
          <w:rtl/>
        </w:rPr>
        <w:t xml:space="preserve">לנו </w:t>
      </w:r>
      <w:bookmarkStart w:id="48222" w:name="_ETM_Q95_274069"/>
      <w:bookmarkEnd w:id="48222"/>
      <w:r>
        <w:rPr>
          <w:rFonts w:hint="cs"/>
          <w:rtl/>
        </w:rPr>
        <w:t xml:space="preserve">במדינה </w:t>
      </w:r>
      <w:bookmarkStart w:id="48223" w:name="_ETM_Q95_275480"/>
      <w:bookmarkEnd w:id="48223"/>
      <w:r>
        <w:rPr>
          <w:rFonts w:hint="cs"/>
          <w:rtl/>
        </w:rPr>
        <w:t xml:space="preserve">– עם </w:t>
      </w:r>
      <w:bookmarkStart w:id="48224" w:name="_ETM_Q95_275660"/>
      <w:bookmarkEnd w:id="48224"/>
      <w:r>
        <w:rPr>
          <w:rFonts w:hint="cs"/>
          <w:rtl/>
        </w:rPr>
        <w:t xml:space="preserve">יוקר </w:t>
      </w:r>
      <w:bookmarkStart w:id="48225" w:name="_ETM_Q95_276020"/>
      <w:bookmarkEnd w:id="48225"/>
      <w:r>
        <w:rPr>
          <w:rFonts w:hint="cs"/>
          <w:rtl/>
        </w:rPr>
        <w:t xml:space="preserve">המחיה, </w:t>
      </w:r>
      <w:bookmarkStart w:id="48226" w:name="_ETM_Q95_276800"/>
      <w:bookmarkStart w:id="48227" w:name="_ETM_Q95_277069"/>
      <w:bookmarkEnd w:id="48226"/>
      <w:bookmarkEnd w:id="48227"/>
      <w:r>
        <w:rPr>
          <w:rFonts w:hint="cs"/>
          <w:rtl/>
        </w:rPr>
        <w:t xml:space="preserve">עם הביטחון </w:t>
      </w:r>
      <w:bookmarkStart w:id="48228" w:name="_ETM_Q95_277640"/>
      <w:bookmarkEnd w:id="48228"/>
      <w:r>
        <w:rPr>
          <w:rFonts w:hint="cs"/>
          <w:rtl/>
        </w:rPr>
        <w:t xml:space="preserve">האישי? </w:t>
      </w:r>
      <w:bookmarkStart w:id="48229" w:name="_ETM_Q95_278910"/>
      <w:bookmarkEnd w:id="48229"/>
      <w:r>
        <w:rPr>
          <w:rFonts w:hint="cs"/>
          <w:rtl/>
        </w:rPr>
        <w:t xml:space="preserve">מה </w:t>
      </w:r>
      <w:bookmarkStart w:id="48230" w:name="_ETM_Q95_279240"/>
      <w:bookmarkEnd w:id="48230"/>
      <w:r>
        <w:rPr>
          <w:rFonts w:hint="cs"/>
          <w:rtl/>
        </w:rPr>
        <w:t>עם ה</w:t>
      </w:r>
      <w:bookmarkStart w:id="48231" w:name="_ETM_Q95_279870"/>
      <w:bookmarkEnd w:id="48231"/>
      <w:r>
        <w:rPr>
          <w:rFonts w:hint="cs"/>
          <w:rtl/>
        </w:rPr>
        <w:t xml:space="preserve">רופאים </w:t>
      </w:r>
      <w:bookmarkStart w:id="48232" w:name="_ETM_Q95_280890"/>
      <w:bookmarkEnd w:id="48232"/>
      <w:r>
        <w:rPr>
          <w:rFonts w:hint="cs"/>
          <w:rtl/>
        </w:rPr>
        <w:t xml:space="preserve">והמתמחים </w:t>
      </w:r>
      <w:bookmarkStart w:id="48233" w:name="_ETM_Q95_281760"/>
      <w:bookmarkEnd w:id="48233"/>
      <w:r>
        <w:rPr>
          <w:rFonts w:hint="cs"/>
          <w:rtl/>
        </w:rPr>
        <w:t xml:space="preserve">הצעירים? </w:t>
      </w:r>
      <w:bookmarkStart w:id="48234" w:name="_ETM_Q95_282480"/>
      <w:bookmarkEnd w:id="48234"/>
      <w:r>
        <w:rPr>
          <w:rFonts w:hint="cs"/>
          <w:rtl/>
        </w:rPr>
        <w:t xml:space="preserve">עם </w:t>
      </w:r>
      <w:bookmarkStart w:id="48235" w:name="_ETM_Q95_282630"/>
      <w:bookmarkEnd w:id="48235"/>
      <w:r>
        <w:rPr>
          <w:rFonts w:hint="cs"/>
          <w:rtl/>
        </w:rPr>
        <w:t xml:space="preserve">שכר </w:t>
      </w:r>
      <w:bookmarkStart w:id="48236" w:name="_ETM_Q95_283080"/>
      <w:bookmarkEnd w:id="48236"/>
      <w:r>
        <w:rPr>
          <w:rFonts w:hint="cs"/>
          <w:rtl/>
        </w:rPr>
        <w:t xml:space="preserve">המורות </w:t>
      </w:r>
      <w:bookmarkStart w:id="48237" w:name="_ETM_Q95_283560"/>
      <w:bookmarkEnd w:id="48237"/>
      <w:r>
        <w:rPr>
          <w:rFonts w:hint="cs"/>
          <w:rtl/>
        </w:rPr>
        <w:t xml:space="preserve">והסייעות? </w:t>
      </w:r>
      <w:bookmarkStart w:id="48238" w:name="_ETM_Q95_285000"/>
      <w:bookmarkEnd w:id="48238"/>
      <w:r>
        <w:rPr>
          <w:rFonts w:hint="cs"/>
          <w:rtl/>
        </w:rPr>
        <w:t xml:space="preserve">האתגרים </w:t>
      </w:r>
      <w:bookmarkStart w:id="48239" w:name="_ETM_Q95_285630"/>
      <w:bookmarkEnd w:id="48239"/>
      <w:r>
        <w:rPr>
          <w:rFonts w:hint="cs"/>
          <w:rtl/>
        </w:rPr>
        <w:t xml:space="preserve">הביטחוניים </w:t>
      </w:r>
      <w:bookmarkStart w:id="48240" w:name="_ETM_Q95_286290"/>
      <w:bookmarkEnd w:id="48240"/>
      <w:r>
        <w:rPr>
          <w:rFonts w:hint="cs"/>
          <w:rtl/>
        </w:rPr>
        <w:t xml:space="preserve">הגדולים </w:t>
      </w:r>
      <w:bookmarkStart w:id="48241" w:name="_ETM_Q95_287310"/>
      <w:bookmarkEnd w:id="48241"/>
      <w:r>
        <w:rPr>
          <w:rFonts w:hint="cs"/>
          <w:rtl/>
        </w:rPr>
        <w:t xml:space="preserve">שמאיימים </w:t>
      </w:r>
      <w:bookmarkStart w:id="48242" w:name="_ETM_Q95_287910"/>
      <w:bookmarkEnd w:id="48242"/>
      <w:r>
        <w:rPr>
          <w:rFonts w:hint="cs"/>
          <w:rtl/>
        </w:rPr>
        <w:t xml:space="preserve">עלינו </w:t>
      </w:r>
      <w:bookmarkStart w:id="48243" w:name="_ETM_Q95_288180"/>
      <w:bookmarkEnd w:id="48243"/>
      <w:r>
        <w:rPr>
          <w:rFonts w:hint="cs"/>
          <w:rtl/>
        </w:rPr>
        <w:t xml:space="preserve">מבחוץ? </w:t>
      </w:r>
      <w:bookmarkStart w:id="48244" w:name="_ETM_Q95_289350"/>
      <w:bookmarkEnd w:id="48244"/>
      <w:r>
        <w:rPr>
          <w:rFonts w:hint="cs"/>
          <w:rtl/>
        </w:rPr>
        <w:t xml:space="preserve">כל </w:t>
      </w:r>
      <w:bookmarkStart w:id="48245" w:name="_ETM_Q95_289740"/>
      <w:bookmarkEnd w:id="48245"/>
      <w:r>
        <w:rPr>
          <w:rFonts w:hint="cs"/>
          <w:rtl/>
        </w:rPr>
        <w:t xml:space="preserve">אלה </w:t>
      </w:r>
      <w:bookmarkStart w:id="48246" w:name="_ETM_Q95_290039"/>
      <w:bookmarkEnd w:id="48246"/>
      <w:r>
        <w:rPr>
          <w:rFonts w:hint="cs"/>
          <w:rtl/>
        </w:rPr>
        <w:t xml:space="preserve">הרי </w:t>
      </w:r>
      <w:bookmarkStart w:id="48247" w:name="_ETM_Q95_290280"/>
      <w:bookmarkEnd w:id="48247"/>
      <w:r>
        <w:rPr>
          <w:rFonts w:hint="cs"/>
          <w:rtl/>
        </w:rPr>
        <w:t xml:space="preserve">לא </w:t>
      </w:r>
      <w:bookmarkStart w:id="48248" w:name="_ETM_Q95_290670"/>
      <w:bookmarkEnd w:id="48248"/>
      <w:r>
        <w:rPr>
          <w:rFonts w:hint="cs"/>
          <w:rtl/>
        </w:rPr>
        <w:t xml:space="preserve">דורשים </w:t>
      </w:r>
      <w:bookmarkStart w:id="48249" w:name="_ETM_Q95_291119"/>
      <w:bookmarkEnd w:id="48249"/>
      <w:r>
        <w:rPr>
          <w:rFonts w:hint="cs"/>
          <w:rtl/>
        </w:rPr>
        <w:t xml:space="preserve">את </w:t>
      </w:r>
      <w:bookmarkStart w:id="48250" w:name="_ETM_Q95_291209"/>
      <w:bookmarkEnd w:id="48250"/>
      <w:r>
        <w:rPr>
          <w:rFonts w:hint="cs"/>
          <w:rtl/>
        </w:rPr>
        <w:t xml:space="preserve">ביטול </w:t>
      </w:r>
      <w:bookmarkStart w:id="48251" w:name="_ETM_Q95_291539"/>
      <w:bookmarkEnd w:id="48251"/>
      <w:r>
        <w:rPr>
          <w:rFonts w:hint="cs"/>
          <w:rtl/>
        </w:rPr>
        <w:t xml:space="preserve">עילת </w:t>
      </w:r>
      <w:bookmarkStart w:id="48252" w:name="_ETM_Q95_291840"/>
      <w:bookmarkEnd w:id="48252"/>
      <w:r>
        <w:rPr>
          <w:rFonts w:hint="cs"/>
          <w:rtl/>
        </w:rPr>
        <w:t xml:space="preserve">הסבירות. </w:t>
      </w:r>
      <w:bookmarkStart w:id="48253" w:name="_ETM_Q95_292810"/>
      <w:bookmarkEnd w:id="48253"/>
      <w:r>
        <w:rPr>
          <w:rFonts w:hint="cs"/>
          <w:rtl/>
        </w:rPr>
        <w:t xml:space="preserve">את </w:t>
      </w:r>
      <w:bookmarkStart w:id="48254" w:name="_ETM_Q95_293080"/>
      <w:bookmarkEnd w:id="48254"/>
      <w:r>
        <w:rPr>
          <w:rFonts w:hint="cs"/>
          <w:rtl/>
        </w:rPr>
        <w:t xml:space="preserve">כל </w:t>
      </w:r>
      <w:bookmarkStart w:id="48255" w:name="_ETM_Q95_293350"/>
      <w:bookmarkEnd w:id="48255"/>
      <w:r>
        <w:rPr>
          <w:rFonts w:hint="cs"/>
          <w:rtl/>
        </w:rPr>
        <w:t xml:space="preserve">אלה </w:t>
      </w:r>
      <w:bookmarkStart w:id="48256" w:name="_ETM_Q95_293560"/>
      <w:bookmarkEnd w:id="48256"/>
      <w:r>
        <w:rPr>
          <w:rFonts w:hint="cs"/>
          <w:rtl/>
        </w:rPr>
        <w:t xml:space="preserve">אפשר </w:t>
      </w:r>
      <w:bookmarkStart w:id="48257" w:name="_ETM_Q95_293830"/>
      <w:bookmarkEnd w:id="48257"/>
      <w:r>
        <w:rPr>
          <w:rFonts w:hint="cs"/>
          <w:rtl/>
        </w:rPr>
        <w:t xml:space="preserve">לפתור </w:t>
      </w:r>
      <w:bookmarkStart w:id="48258" w:name="_ETM_Q95_294880"/>
      <w:bookmarkEnd w:id="48258"/>
      <w:r>
        <w:rPr>
          <w:rFonts w:hint="cs"/>
          <w:rtl/>
        </w:rPr>
        <w:t xml:space="preserve">גם </w:t>
      </w:r>
      <w:bookmarkStart w:id="48259" w:name="_ETM_Q95_295390"/>
      <w:bookmarkEnd w:id="48259"/>
      <w:r>
        <w:rPr>
          <w:rFonts w:hint="cs"/>
          <w:rtl/>
        </w:rPr>
        <w:t xml:space="preserve">בצורה </w:t>
      </w:r>
      <w:bookmarkStart w:id="48260" w:name="_ETM_Q95_295990"/>
      <w:bookmarkEnd w:id="48260"/>
      <w:r>
        <w:rPr>
          <w:rFonts w:hint="cs"/>
          <w:rtl/>
        </w:rPr>
        <w:t xml:space="preserve">סבירה. </w:t>
      </w:r>
      <w:bookmarkStart w:id="48261" w:name="_ETM_Q95_297659"/>
      <w:bookmarkStart w:id="48262" w:name="_ETM_Q95_298049"/>
      <w:bookmarkStart w:id="48263" w:name="_ETM_Q95_298162"/>
      <w:bookmarkStart w:id="48264" w:name="_ETM_Q95_298288"/>
      <w:bookmarkStart w:id="48265" w:name="_ETM_Q95_298340"/>
      <w:bookmarkEnd w:id="48261"/>
      <w:bookmarkEnd w:id="48262"/>
      <w:bookmarkEnd w:id="48263"/>
      <w:bookmarkEnd w:id="48264"/>
      <w:bookmarkEnd w:id="48265"/>
      <w:r>
        <w:rPr>
          <w:rFonts w:hint="cs"/>
          <w:rtl/>
        </w:rPr>
        <w:t xml:space="preserve">מאות </w:t>
      </w:r>
      <w:bookmarkStart w:id="48266" w:name="_ETM_Q95_298170"/>
      <w:bookmarkEnd w:id="48266"/>
      <w:r>
        <w:rPr>
          <w:rFonts w:hint="cs"/>
          <w:rtl/>
        </w:rPr>
        <w:t xml:space="preserve">אלפי </w:t>
      </w:r>
      <w:bookmarkStart w:id="48267" w:name="_ETM_Q95_298889"/>
      <w:bookmarkEnd w:id="48267"/>
      <w:r>
        <w:rPr>
          <w:rFonts w:hint="cs"/>
          <w:rtl/>
        </w:rPr>
        <w:t xml:space="preserve">אנשים </w:t>
      </w:r>
      <w:bookmarkStart w:id="48268" w:name="_ETM_Q95_299670"/>
      <w:bookmarkEnd w:id="48268"/>
      <w:r>
        <w:rPr>
          <w:rFonts w:hint="cs"/>
          <w:rtl/>
        </w:rPr>
        <w:t xml:space="preserve">הרי </w:t>
      </w:r>
      <w:bookmarkStart w:id="48269" w:name="_ETM_Q95_299909"/>
      <w:bookmarkEnd w:id="48269"/>
      <w:r>
        <w:rPr>
          <w:rFonts w:hint="cs"/>
          <w:rtl/>
        </w:rPr>
        <w:t xml:space="preserve">לא </w:t>
      </w:r>
      <w:bookmarkStart w:id="48270" w:name="_ETM_Q95_300119"/>
      <w:bookmarkEnd w:id="48270"/>
      <w:r>
        <w:rPr>
          <w:rFonts w:hint="cs"/>
          <w:rtl/>
        </w:rPr>
        <w:t xml:space="preserve">היו </w:t>
      </w:r>
      <w:bookmarkStart w:id="48271" w:name="_ETM_Q95_300329"/>
      <w:bookmarkEnd w:id="48271"/>
      <w:r>
        <w:rPr>
          <w:rFonts w:hint="cs"/>
          <w:rtl/>
        </w:rPr>
        <w:t xml:space="preserve">יוצאים </w:t>
      </w:r>
      <w:bookmarkStart w:id="48272" w:name="_ETM_Q95_300659"/>
      <w:bookmarkEnd w:id="48272"/>
      <w:r>
        <w:rPr>
          <w:rFonts w:hint="cs"/>
          <w:rtl/>
        </w:rPr>
        <w:t xml:space="preserve">לרחוב </w:t>
      </w:r>
      <w:bookmarkStart w:id="48273" w:name="_ETM_Q95_301640"/>
      <w:bookmarkEnd w:id="48273"/>
      <w:r>
        <w:rPr>
          <w:rFonts w:hint="cs"/>
          <w:rtl/>
        </w:rPr>
        <w:t xml:space="preserve">שבוע </w:t>
      </w:r>
      <w:bookmarkStart w:id="48274" w:name="_ETM_Q95_302420"/>
      <w:bookmarkEnd w:id="48274"/>
      <w:r>
        <w:rPr>
          <w:rFonts w:hint="cs"/>
          <w:rtl/>
        </w:rPr>
        <w:t xml:space="preserve">אחרי </w:t>
      </w:r>
      <w:bookmarkStart w:id="48275" w:name="_ETM_Q95_302689"/>
      <w:bookmarkEnd w:id="48275"/>
      <w:r>
        <w:rPr>
          <w:rFonts w:hint="cs"/>
          <w:rtl/>
        </w:rPr>
        <w:t xml:space="preserve">שבוע </w:t>
      </w:r>
      <w:bookmarkStart w:id="48276" w:name="_ETM_Q95_303409"/>
      <w:bookmarkEnd w:id="48276"/>
      <w:r>
        <w:rPr>
          <w:rFonts w:hint="cs"/>
          <w:rtl/>
        </w:rPr>
        <w:t xml:space="preserve">אחרי </w:t>
      </w:r>
      <w:bookmarkStart w:id="48277" w:name="_ETM_Q95_303680"/>
      <w:bookmarkEnd w:id="48277"/>
      <w:r>
        <w:rPr>
          <w:rFonts w:hint="cs"/>
          <w:rtl/>
        </w:rPr>
        <w:t xml:space="preserve">שבוע </w:t>
      </w:r>
      <w:bookmarkStart w:id="48278" w:name="_ETM_Q95_304720"/>
      <w:bookmarkEnd w:id="48278"/>
      <w:r>
        <w:rPr>
          <w:rFonts w:hint="cs"/>
          <w:rtl/>
        </w:rPr>
        <w:t xml:space="preserve">אם </w:t>
      </w:r>
      <w:bookmarkStart w:id="48279" w:name="_ETM_Q95_304900"/>
      <w:bookmarkEnd w:id="48279"/>
      <w:r>
        <w:rPr>
          <w:rFonts w:hint="cs"/>
          <w:rtl/>
        </w:rPr>
        <w:t xml:space="preserve">הממשלה </w:t>
      </w:r>
      <w:bookmarkStart w:id="48280" w:name="_ETM_Q95_305500"/>
      <w:bookmarkEnd w:id="48280"/>
      <w:r>
        <w:rPr>
          <w:rFonts w:hint="cs"/>
          <w:rtl/>
        </w:rPr>
        <w:t xml:space="preserve">הייתה </w:t>
      </w:r>
      <w:bookmarkStart w:id="48281" w:name="_ETM_Q95_305710"/>
      <w:bookmarkEnd w:id="48281"/>
      <w:r>
        <w:rPr>
          <w:rFonts w:hint="cs"/>
          <w:rtl/>
        </w:rPr>
        <w:t xml:space="preserve">מביאה </w:t>
      </w:r>
      <w:bookmarkStart w:id="48282" w:name="_ETM_Q95_306520"/>
      <w:bookmarkEnd w:id="48282"/>
      <w:r>
        <w:rPr>
          <w:rFonts w:hint="cs"/>
          <w:rtl/>
        </w:rPr>
        <w:t xml:space="preserve">תוכנית </w:t>
      </w:r>
      <w:bookmarkStart w:id="48283" w:name="_ETM_Q95_306909"/>
      <w:bookmarkEnd w:id="48283"/>
      <w:r>
        <w:rPr>
          <w:rFonts w:hint="cs"/>
          <w:rtl/>
        </w:rPr>
        <w:t xml:space="preserve">לפתרון </w:t>
      </w:r>
      <w:bookmarkStart w:id="48284" w:name="_ETM_Q95_307420"/>
      <w:bookmarkEnd w:id="48284"/>
      <w:r>
        <w:rPr>
          <w:rFonts w:hint="cs"/>
          <w:rtl/>
        </w:rPr>
        <w:t xml:space="preserve">משבר </w:t>
      </w:r>
      <w:bookmarkStart w:id="48285" w:name="_ETM_Q95_307810"/>
      <w:bookmarkEnd w:id="48285"/>
      <w:r>
        <w:rPr>
          <w:rFonts w:hint="cs"/>
          <w:rtl/>
        </w:rPr>
        <w:t>הדיור</w:t>
      </w:r>
      <w:bookmarkStart w:id="48286" w:name="_ETM_Q95_308410"/>
      <w:bookmarkEnd w:id="48286"/>
      <w:r>
        <w:rPr>
          <w:rFonts w:hint="cs"/>
          <w:rtl/>
        </w:rPr>
        <w:t xml:space="preserve"> או להפחתת </w:t>
      </w:r>
      <w:bookmarkStart w:id="48287" w:name="_ETM_Q95_309130"/>
      <w:bookmarkEnd w:id="48287"/>
      <w:r>
        <w:rPr>
          <w:rFonts w:hint="cs"/>
          <w:rtl/>
        </w:rPr>
        <w:t xml:space="preserve">הריכוזיות </w:t>
      </w:r>
      <w:bookmarkStart w:id="48288" w:name="_ETM_Q95_309730"/>
      <w:bookmarkEnd w:id="48288"/>
      <w:r>
        <w:rPr>
          <w:rFonts w:hint="cs"/>
          <w:rtl/>
        </w:rPr>
        <w:t xml:space="preserve">במשק. </w:t>
      </w:r>
      <w:bookmarkStart w:id="48289" w:name="_ETM_Q95_310840"/>
      <w:bookmarkEnd w:id="48289"/>
      <w:r>
        <w:rPr>
          <w:rFonts w:hint="cs"/>
          <w:rtl/>
        </w:rPr>
        <w:t xml:space="preserve">לא </w:t>
      </w:r>
      <w:bookmarkStart w:id="48290" w:name="_ETM_Q95_311169"/>
      <w:bookmarkEnd w:id="48290"/>
      <w:r>
        <w:rPr>
          <w:rFonts w:hint="cs"/>
          <w:rtl/>
        </w:rPr>
        <w:t xml:space="preserve">היינו </w:t>
      </w:r>
      <w:bookmarkStart w:id="48291" w:name="_ETM_Q95_311440"/>
      <w:bookmarkEnd w:id="48291"/>
      <w:r>
        <w:rPr>
          <w:rFonts w:hint="cs"/>
          <w:rtl/>
        </w:rPr>
        <w:t xml:space="preserve">יוצאים </w:t>
      </w:r>
      <w:bookmarkStart w:id="48292" w:name="_ETM_Q95_311860"/>
      <w:bookmarkEnd w:id="48292"/>
      <w:r>
        <w:rPr>
          <w:rFonts w:hint="cs"/>
          <w:rtl/>
        </w:rPr>
        <w:t xml:space="preserve">לרחובות </w:t>
      </w:r>
      <w:bookmarkStart w:id="48293" w:name="_ETM_Q95_312610"/>
      <w:bookmarkEnd w:id="48293"/>
      <w:r>
        <w:rPr>
          <w:rFonts w:hint="cs"/>
          <w:rtl/>
        </w:rPr>
        <w:t xml:space="preserve">אם </w:t>
      </w:r>
      <w:bookmarkStart w:id="48294" w:name="_ETM_Q95_312700"/>
      <w:bookmarkEnd w:id="48294"/>
      <w:r>
        <w:rPr>
          <w:rFonts w:hint="cs"/>
          <w:rtl/>
        </w:rPr>
        <w:t xml:space="preserve">הממשלה </w:t>
      </w:r>
      <w:bookmarkStart w:id="48295" w:name="_ETM_Q95_313659"/>
      <w:bookmarkEnd w:id="48295"/>
      <w:r>
        <w:rPr>
          <w:rFonts w:hint="cs"/>
          <w:rtl/>
        </w:rPr>
        <w:t xml:space="preserve">הייתה </w:t>
      </w:r>
      <w:bookmarkStart w:id="48296" w:name="_ETM_Q95_313989"/>
      <w:bookmarkEnd w:id="48296"/>
      <w:r>
        <w:rPr>
          <w:rFonts w:hint="cs"/>
          <w:rtl/>
        </w:rPr>
        <w:t xml:space="preserve">עושה </w:t>
      </w:r>
      <w:bookmarkStart w:id="48297" w:name="_ETM_Q95_314290"/>
      <w:bookmarkEnd w:id="48297"/>
      <w:r>
        <w:rPr>
          <w:rFonts w:hint="cs"/>
          <w:rtl/>
        </w:rPr>
        <w:t xml:space="preserve">את </w:t>
      </w:r>
      <w:bookmarkStart w:id="48298" w:name="_ETM_Q95_314470"/>
      <w:bookmarkEnd w:id="48298"/>
      <w:r>
        <w:rPr>
          <w:rFonts w:hint="cs"/>
          <w:rtl/>
        </w:rPr>
        <w:t xml:space="preserve">מה </w:t>
      </w:r>
      <w:bookmarkStart w:id="48299" w:name="_ETM_Q95_314650"/>
      <w:bookmarkEnd w:id="48299"/>
      <w:r>
        <w:rPr>
          <w:rFonts w:hint="cs"/>
          <w:rtl/>
        </w:rPr>
        <w:t xml:space="preserve">שהיא </w:t>
      </w:r>
      <w:bookmarkStart w:id="48300" w:name="_ETM_Q95_314919"/>
      <w:bookmarkEnd w:id="48300"/>
      <w:r>
        <w:rPr>
          <w:rFonts w:hint="cs"/>
          <w:rtl/>
        </w:rPr>
        <w:t xml:space="preserve">הבטיחה, </w:t>
      </w:r>
      <w:bookmarkStart w:id="48301" w:name="_ETM_Q95_315459"/>
      <w:bookmarkEnd w:id="48301"/>
      <w:r>
        <w:rPr>
          <w:rFonts w:hint="cs"/>
          <w:rtl/>
        </w:rPr>
        <w:t xml:space="preserve">את </w:t>
      </w:r>
      <w:bookmarkStart w:id="48302" w:name="_ETM_Q95_315580"/>
      <w:bookmarkEnd w:id="48302"/>
      <w:r>
        <w:rPr>
          <w:rFonts w:hint="cs"/>
          <w:rtl/>
        </w:rPr>
        <w:t xml:space="preserve">מה </w:t>
      </w:r>
      <w:bookmarkStart w:id="48303" w:name="_ETM_Q95_315700"/>
      <w:bookmarkEnd w:id="48303"/>
      <w:r>
        <w:rPr>
          <w:rFonts w:hint="cs"/>
          <w:rtl/>
        </w:rPr>
        <w:t xml:space="preserve">שהבטחתם, </w:t>
      </w:r>
      <w:bookmarkStart w:id="48304" w:name="_ETM_Q95_317110"/>
      <w:bookmarkEnd w:id="48304"/>
      <w:r>
        <w:rPr>
          <w:rFonts w:hint="cs"/>
          <w:rtl/>
        </w:rPr>
        <w:t xml:space="preserve">אם </w:t>
      </w:r>
      <w:bookmarkStart w:id="48305" w:name="_ETM_Q95_317230"/>
      <w:bookmarkEnd w:id="48305"/>
      <w:r>
        <w:rPr>
          <w:rFonts w:hint="cs"/>
          <w:rtl/>
        </w:rPr>
        <w:t xml:space="preserve">היא </w:t>
      </w:r>
      <w:bookmarkStart w:id="48306" w:name="_ETM_Q95_317319"/>
      <w:bookmarkEnd w:id="48306"/>
      <w:r>
        <w:rPr>
          <w:rFonts w:hint="cs"/>
          <w:rtl/>
        </w:rPr>
        <w:t xml:space="preserve">הייתה </w:t>
      </w:r>
      <w:bookmarkStart w:id="48307" w:name="_ETM_Q95_317620"/>
      <w:bookmarkEnd w:id="48307"/>
      <w:r>
        <w:rPr>
          <w:rFonts w:hint="cs"/>
          <w:rtl/>
        </w:rPr>
        <w:t xml:space="preserve">מממשת </w:t>
      </w:r>
      <w:bookmarkStart w:id="48308" w:name="_ETM_Q95_318819"/>
      <w:bookmarkEnd w:id="48308"/>
      <w:r>
        <w:rPr>
          <w:rFonts w:hint="cs"/>
          <w:rtl/>
        </w:rPr>
        <w:t xml:space="preserve">את </w:t>
      </w:r>
      <w:bookmarkStart w:id="48309" w:name="_ETM_Q95_319000"/>
      <w:bookmarkEnd w:id="48309"/>
      <w:r>
        <w:rPr>
          <w:rFonts w:hint="cs"/>
          <w:rtl/>
        </w:rPr>
        <w:t xml:space="preserve">המנדט </w:t>
      </w:r>
      <w:bookmarkStart w:id="48310" w:name="_ETM_Q95_319510"/>
      <w:bookmarkEnd w:id="48310"/>
      <w:r>
        <w:rPr>
          <w:rFonts w:hint="cs"/>
          <w:rtl/>
        </w:rPr>
        <w:t xml:space="preserve">שהיא </w:t>
      </w:r>
      <w:bookmarkStart w:id="48311" w:name="_ETM_Q95_319659"/>
      <w:bookmarkEnd w:id="48311"/>
      <w:r>
        <w:rPr>
          <w:rFonts w:hint="cs"/>
          <w:rtl/>
        </w:rPr>
        <w:t xml:space="preserve">קיבלה </w:t>
      </w:r>
      <w:bookmarkStart w:id="48312" w:name="_ETM_Q95_320139"/>
      <w:bookmarkEnd w:id="48312"/>
      <w:r>
        <w:rPr>
          <w:rFonts w:hint="cs"/>
          <w:rtl/>
        </w:rPr>
        <w:t>מהציבור</w:t>
      </w:r>
      <w:bookmarkStart w:id="48313" w:name="_ETM_Q95_321860"/>
      <w:bookmarkEnd w:id="48313"/>
      <w:r>
        <w:rPr>
          <w:rFonts w:hint="cs"/>
          <w:rtl/>
        </w:rPr>
        <w:t xml:space="preserve">, אם </w:t>
      </w:r>
      <w:bookmarkStart w:id="48314" w:name="_ETM_Q95_322070"/>
      <w:bookmarkEnd w:id="48314"/>
      <w:r>
        <w:rPr>
          <w:rFonts w:hint="cs"/>
          <w:rtl/>
        </w:rPr>
        <w:t xml:space="preserve">הייתם </w:t>
      </w:r>
      <w:bookmarkStart w:id="48315" w:name="_ETM_Q95_322460"/>
      <w:bookmarkEnd w:id="48315"/>
      <w:r>
        <w:rPr>
          <w:rFonts w:hint="cs"/>
          <w:rtl/>
        </w:rPr>
        <w:t xml:space="preserve">מנהלים </w:t>
      </w:r>
      <w:bookmarkStart w:id="48316" w:name="_ETM_Q95_322940"/>
      <w:bookmarkEnd w:id="48316"/>
      <w:r>
        <w:rPr>
          <w:rFonts w:hint="cs"/>
          <w:rtl/>
        </w:rPr>
        <w:t xml:space="preserve">את </w:t>
      </w:r>
      <w:bookmarkStart w:id="48317" w:name="_ETM_Q95_323000"/>
      <w:bookmarkEnd w:id="48317"/>
      <w:r>
        <w:rPr>
          <w:rFonts w:hint="cs"/>
          <w:rtl/>
        </w:rPr>
        <w:t xml:space="preserve">המדינה. </w:t>
      </w:r>
      <w:bookmarkStart w:id="48318" w:name="_ETM_Q95_324389"/>
      <w:bookmarkEnd w:id="48318"/>
      <w:r>
        <w:rPr>
          <w:rFonts w:hint="cs"/>
          <w:rtl/>
        </w:rPr>
        <w:t xml:space="preserve">אבל </w:t>
      </w:r>
      <w:bookmarkStart w:id="48319" w:name="_ETM_Q95_324810"/>
      <w:bookmarkEnd w:id="48319"/>
      <w:r>
        <w:rPr>
          <w:rFonts w:hint="cs"/>
          <w:rtl/>
        </w:rPr>
        <w:t xml:space="preserve">אתם </w:t>
      </w:r>
      <w:bookmarkStart w:id="48320" w:name="_ETM_Q95_325200"/>
      <w:bookmarkEnd w:id="48320"/>
      <w:r>
        <w:rPr>
          <w:rFonts w:hint="cs"/>
          <w:rtl/>
        </w:rPr>
        <w:t xml:space="preserve">אשכרה </w:t>
      </w:r>
      <w:bookmarkStart w:id="48321" w:name="_ETM_Q95_325980"/>
      <w:bookmarkEnd w:id="48321"/>
      <w:r>
        <w:rPr>
          <w:rFonts w:hint="cs"/>
          <w:rtl/>
        </w:rPr>
        <w:t xml:space="preserve">עסוקים </w:t>
      </w:r>
      <w:bookmarkStart w:id="48322" w:name="_ETM_Q95_327120"/>
      <w:bookmarkEnd w:id="48322"/>
      <w:r>
        <w:rPr>
          <w:rFonts w:hint="cs"/>
          <w:rtl/>
        </w:rPr>
        <w:t xml:space="preserve">רק </w:t>
      </w:r>
      <w:bookmarkStart w:id="48323" w:name="_ETM_Q95_327659"/>
      <w:bookmarkEnd w:id="48323"/>
      <w:r>
        <w:rPr>
          <w:rFonts w:hint="cs"/>
          <w:rtl/>
        </w:rPr>
        <w:t xml:space="preserve">בעצמכם, </w:t>
      </w:r>
      <w:bookmarkStart w:id="48324" w:name="_ETM_Q95_328919"/>
      <w:bookmarkEnd w:id="48324"/>
      <w:r>
        <w:rPr>
          <w:rFonts w:hint="cs"/>
          <w:rtl/>
        </w:rPr>
        <w:t xml:space="preserve">במקורבים </w:t>
      </w:r>
      <w:bookmarkStart w:id="48325" w:name="_ETM_Q95_329730"/>
      <w:bookmarkEnd w:id="48325"/>
      <w:r>
        <w:rPr>
          <w:rFonts w:hint="cs"/>
          <w:rtl/>
        </w:rPr>
        <w:t xml:space="preserve">שלכם, </w:t>
      </w:r>
      <w:bookmarkStart w:id="48326" w:name="_ETM_Q95_330599"/>
      <w:bookmarkEnd w:id="48326"/>
      <w:r>
        <w:rPr>
          <w:rFonts w:hint="cs"/>
          <w:rtl/>
        </w:rPr>
        <w:t xml:space="preserve">ביצירת </w:t>
      </w:r>
      <w:bookmarkStart w:id="48327" w:name="_ETM_Q95_331590"/>
      <w:bookmarkEnd w:id="48327"/>
      <w:r>
        <w:rPr>
          <w:rFonts w:hint="cs"/>
          <w:rtl/>
        </w:rPr>
        <w:t xml:space="preserve">תעשייה </w:t>
      </w:r>
      <w:bookmarkStart w:id="48328" w:name="_ETM_Q95_332280"/>
      <w:bookmarkEnd w:id="48328"/>
      <w:r>
        <w:rPr>
          <w:rFonts w:hint="cs"/>
          <w:rtl/>
        </w:rPr>
        <w:t xml:space="preserve">מושחתת </w:t>
      </w:r>
      <w:bookmarkStart w:id="48329" w:name="_ETM_Q95_333520"/>
      <w:bookmarkEnd w:id="48329"/>
      <w:r>
        <w:rPr>
          <w:rFonts w:hint="cs"/>
          <w:rtl/>
        </w:rPr>
        <w:t xml:space="preserve">של </w:t>
      </w:r>
      <w:bookmarkStart w:id="48330" w:name="_ETM_Q95_333790"/>
      <w:bookmarkEnd w:id="48330"/>
      <w:r>
        <w:rPr>
          <w:rFonts w:hint="cs"/>
          <w:rtl/>
        </w:rPr>
        <w:t xml:space="preserve">ג'ובים </w:t>
      </w:r>
      <w:bookmarkStart w:id="48331" w:name="_ETM_Q95_334330"/>
      <w:bookmarkEnd w:id="48331"/>
      <w:r>
        <w:rPr>
          <w:rFonts w:hint="cs"/>
          <w:rtl/>
        </w:rPr>
        <w:t xml:space="preserve">לחברי </w:t>
      </w:r>
      <w:bookmarkStart w:id="48332" w:name="_ETM_Q95_334810"/>
      <w:bookmarkEnd w:id="48332"/>
      <w:r>
        <w:rPr>
          <w:rFonts w:hint="cs"/>
          <w:rtl/>
        </w:rPr>
        <w:t xml:space="preserve">המרכז </w:t>
      </w:r>
      <w:bookmarkStart w:id="48333" w:name="_ETM_Q95_335440"/>
      <w:bookmarkEnd w:id="48333"/>
      <w:r>
        <w:rPr>
          <w:rFonts w:hint="cs"/>
          <w:rtl/>
        </w:rPr>
        <w:t xml:space="preserve">שלכם </w:t>
      </w:r>
      <w:bookmarkStart w:id="48334" w:name="_ETM_Q95_336460"/>
      <w:bookmarkEnd w:id="48334"/>
      <w:r>
        <w:rPr>
          <w:rFonts w:hint="cs"/>
          <w:rtl/>
        </w:rPr>
        <w:t xml:space="preserve">על </w:t>
      </w:r>
      <w:bookmarkStart w:id="48335" w:name="_ETM_Q95_336669"/>
      <w:bookmarkEnd w:id="48335"/>
      <w:r>
        <w:rPr>
          <w:rFonts w:hint="cs"/>
          <w:rtl/>
        </w:rPr>
        <w:t xml:space="preserve">חשבון </w:t>
      </w:r>
      <w:bookmarkStart w:id="48336" w:name="_ETM_Q95_337210"/>
      <w:bookmarkEnd w:id="48336"/>
      <w:r>
        <w:rPr>
          <w:rFonts w:hint="cs"/>
          <w:rtl/>
        </w:rPr>
        <w:t xml:space="preserve">הציבור, </w:t>
      </w:r>
      <w:bookmarkStart w:id="48337" w:name="_ETM_Q95_338139"/>
      <w:bookmarkEnd w:id="48337"/>
      <w:r>
        <w:rPr>
          <w:rFonts w:hint="cs"/>
          <w:rtl/>
        </w:rPr>
        <w:t xml:space="preserve">במקום </w:t>
      </w:r>
      <w:bookmarkStart w:id="48338" w:name="_ETM_Q95_338650"/>
      <w:bookmarkEnd w:id="48338"/>
      <w:r>
        <w:rPr>
          <w:rFonts w:hint="cs"/>
          <w:rtl/>
        </w:rPr>
        <w:t xml:space="preserve">לעבוד </w:t>
      </w:r>
      <w:bookmarkStart w:id="48339" w:name="_ETM_Q95_339130"/>
      <w:bookmarkEnd w:id="48339"/>
      <w:r>
        <w:rPr>
          <w:rFonts w:hint="cs"/>
          <w:rtl/>
        </w:rPr>
        <w:t xml:space="preserve">למען </w:t>
      </w:r>
      <w:bookmarkStart w:id="48340" w:name="_ETM_Q95_339639"/>
      <w:bookmarkEnd w:id="48340"/>
      <w:r>
        <w:rPr>
          <w:rFonts w:hint="cs"/>
          <w:rtl/>
        </w:rPr>
        <w:t xml:space="preserve">הציבור. </w:t>
      </w:r>
      <w:bookmarkStart w:id="48341" w:name="_ETM_Q95_340900"/>
      <w:bookmarkEnd w:id="48341"/>
      <w:r>
        <w:rPr>
          <w:rFonts w:hint="cs"/>
          <w:rtl/>
        </w:rPr>
        <w:t xml:space="preserve">אתה </w:t>
      </w:r>
      <w:bookmarkStart w:id="48342" w:name="_ETM_Q95_341290"/>
      <w:bookmarkEnd w:id="48342"/>
      <w:r>
        <w:rPr>
          <w:rFonts w:hint="cs"/>
          <w:rtl/>
        </w:rPr>
        <w:t xml:space="preserve">חבר </w:t>
      </w:r>
      <w:bookmarkStart w:id="48343" w:name="_ETM_Q95_341590"/>
      <w:bookmarkEnd w:id="48343"/>
      <w:r>
        <w:rPr>
          <w:rFonts w:hint="cs"/>
          <w:rtl/>
        </w:rPr>
        <w:t xml:space="preserve">של </w:t>
      </w:r>
      <w:bookmarkStart w:id="48344" w:name="_ETM_Q95_341740"/>
      <w:bookmarkEnd w:id="48344"/>
      <w:r>
        <w:rPr>
          <w:rFonts w:hint="cs"/>
          <w:rtl/>
        </w:rPr>
        <w:t>ליכודניק</w:t>
      </w:r>
      <w:r w:rsidR="00E315D7">
        <w:rPr>
          <w:rFonts w:hint="cs"/>
          <w:rtl/>
        </w:rPr>
        <w:t>,</w:t>
      </w:r>
      <w:r>
        <w:rPr>
          <w:rFonts w:hint="cs"/>
          <w:rtl/>
        </w:rPr>
        <w:t xml:space="preserve"> </w:t>
      </w:r>
      <w:bookmarkStart w:id="48345" w:name="_ETM_Q95_342730"/>
      <w:bookmarkEnd w:id="48345"/>
      <w:r>
        <w:rPr>
          <w:rFonts w:hint="cs"/>
          <w:rtl/>
        </w:rPr>
        <w:t xml:space="preserve">מקורב </w:t>
      </w:r>
      <w:bookmarkStart w:id="48346" w:name="_ETM_Q95_343300"/>
      <w:bookmarkEnd w:id="48346"/>
      <w:r>
        <w:rPr>
          <w:rFonts w:hint="cs"/>
          <w:rtl/>
        </w:rPr>
        <w:t xml:space="preserve">לש"ס? </w:t>
      </w:r>
      <w:bookmarkStart w:id="48347" w:name="_ETM_Q95_344380"/>
      <w:bookmarkEnd w:id="48347"/>
      <w:r>
        <w:rPr>
          <w:rFonts w:hint="cs"/>
          <w:rtl/>
        </w:rPr>
        <w:t xml:space="preserve">מעולה, </w:t>
      </w:r>
      <w:bookmarkStart w:id="48348" w:name="_ETM_Q95_345400"/>
      <w:bookmarkEnd w:id="48348"/>
      <w:r>
        <w:rPr>
          <w:rFonts w:hint="cs"/>
          <w:rtl/>
        </w:rPr>
        <w:t xml:space="preserve">התקבלת </w:t>
      </w:r>
      <w:bookmarkStart w:id="48349" w:name="_ETM_Q95_346180"/>
      <w:bookmarkEnd w:id="48349"/>
      <w:r>
        <w:rPr>
          <w:rFonts w:hint="cs"/>
          <w:rtl/>
        </w:rPr>
        <w:t xml:space="preserve">לעבודה. </w:t>
      </w:r>
      <w:bookmarkStart w:id="48350" w:name="_ETM_Q95_347819"/>
      <w:bookmarkEnd w:id="48350"/>
    </w:p>
    <w:p w:rsidR="00BB59CD" w:rsidRDefault="00BB59CD" w:rsidP="00BB59CD">
      <w:pPr>
        <w:rPr>
          <w:rtl/>
        </w:rPr>
      </w:pPr>
      <w:bookmarkStart w:id="48351" w:name="_ETM_Q95_350971"/>
      <w:bookmarkStart w:id="48352" w:name="_ETM_Q95_351011"/>
      <w:bookmarkEnd w:id="48351"/>
      <w:bookmarkEnd w:id="48352"/>
    </w:p>
    <w:p w:rsidR="00BB59CD" w:rsidRDefault="00BB59CD" w:rsidP="00E315D7">
      <w:pPr>
        <w:rPr>
          <w:rtl/>
        </w:rPr>
      </w:pPr>
      <w:bookmarkStart w:id="48353" w:name="_ETM_Q95_351187"/>
      <w:bookmarkStart w:id="48354" w:name="_ETM_Q95_351226"/>
      <w:bookmarkEnd w:id="48353"/>
      <w:bookmarkEnd w:id="48354"/>
      <w:r>
        <w:rPr>
          <w:rFonts w:hint="cs"/>
          <w:rtl/>
        </w:rPr>
        <w:t xml:space="preserve">עכשיו, </w:t>
      </w:r>
      <w:bookmarkStart w:id="48355" w:name="_ETM_Q95_348389"/>
      <w:bookmarkEnd w:id="48355"/>
      <w:r>
        <w:rPr>
          <w:rFonts w:hint="cs"/>
          <w:rtl/>
        </w:rPr>
        <w:t xml:space="preserve">לכל </w:t>
      </w:r>
      <w:bookmarkStart w:id="48356" w:name="_ETM_Q95_348780"/>
      <w:bookmarkEnd w:id="48356"/>
      <w:r>
        <w:rPr>
          <w:rFonts w:hint="cs"/>
          <w:rtl/>
        </w:rPr>
        <w:t xml:space="preserve">הציבור </w:t>
      </w:r>
      <w:bookmarkStart w:id="48357" w:name="_ETM_Q95_349319"/>
      <w:bookmarkEnd w:id="48357"/>
      <w:r>
        <w:rPr>
          <w:rFonts w:hint="cs"/>
          <w:rtl/>
        </w:rPr>
        <w:t xml:space="preserve">שמקשיב </w:t>
      </w:r>
      <w:bookmarkStart w:id="48358" w:name="_ETM_Q95_349860"/>
      <w:bookmarkEnd w:id="48358"/>
      <w:r>
        <w:rPr>
          <w:rFonts w:hint="cs"/>
          <w:rtl/>
        </w:rPr>
        <w:t xml:space="preserve">לנו </w:t>
      </w:r>
      <w:bookmarkStart w:id="48359" w:name="_ETM_Q95_350069"/>
      <w:bookmarkEnd w:id="48359"/>
      <w:r>
        <w:rPr>
          <w:rFonts w:hint="cs"/>
          <w:rtl/>
        </w:rPr>
        <w:t xml:space="preserve">בבית </w:t>
      </w:r>
      <w:bookmarkStart w:id="48360" w:name="_ETM_Q95_350879"/>
      <w:bookmarkEnd w:id="48360"/>
      <w:r>
        <w:rPr>
          <w:rFonts w:hint="cs"/>
          <w:rtl/>
        </w:rPr>
        <w:t xml:space="preserve">או </w:t>
      </w:r>
      <w:bookmarkStart w:id="48361" w:name="_ETM_Q95_350970"/>
      <w:bookmarkEnd w:id="48361"/>
      <w:r>
        <w:rPr>
          <w:rFonts w:hint="cs"/>
          <w:rtl/>
        </w:rPr>
        <w:t xml:space="preserve">צופה </w:t>
      </w:r>
      <w:bookmarkStart w:id="48362" w:name="_ETM_Q95_351299"/>
      <w:bookmarkEnd w:id="48362"/>
      <w:r>
        <w:rPr>
          <w:rFonts w:hint="cs"/>
          <w:rtl/>
        </w:rPr>
        <w:t xml:space="preserve">בנו </w:t>
      </w:r>
      <w:bookmarkStart w:id="48363" w:name="_ETM_Q95_351959"/>
      <w:bookmarkEnd w:id="48363"/>
      <w:r>
        <w:rPr>
          <w:rFonts w:hint="cs"/>
          <w:rtl/>
        </w:rPr>
        <w:t xml:space="preserve">זה </w:t>
      </w:r>
      <w:bookmarkStart w:id="48364" w:name="_ETM_Q95_352139"/>
      <w:bookmarkEnd w:id="48364"/>
      <w:r>
        <w:rPr>
          <w:rFonts w:hint="cs"/>
          <w:rtl/>
        </w:rPr>
        <w:t xml:space="preserve">אולי </w:t>
      </w:r>
      <w:bookmarkStart w:id="48365" w:name="_ETM_Q95_352439"/>
      <w:bookmarkEnd w:id="48365"/>
      <w:r>
        <w:rPr>
          <w:rFonts w:hint="cs"/>
          <w:rtl/>
        </w:rPr>
        <w:t xml:space="preserve">יישמע </w:t>
      </w:r>
      <w:bookmarkStart w:id="48366" w:name="_ETM_Q95_352739"/>
      <w:bookmarkEnd w:id="48366"/>
      <w:r>
        <w:rPr>
          <w:rFonts w:hint="cs"/>
          <w:rtl/>
        </w:rPr>
        <w:t xml:space="preserve">מפתיע, </w:t>
      </w:r>
      <w:bookmarkStart w:id="48367" w:name="_ETM_Q95_353760"/>
      <w:bookmarkEnd w:id="48367"/>
      <w:r>
        <w:rPr>
          <w:rFonts w:hint="cs"/>
          <w:rtl/>
        </w:rPr>
        <w:t xml:space="preserve">אבל </w:t>
      </w:r>
      <w:bookmarkStart w:id="48368" w:name="_ETM_Q95_354030"/>
      <w:bookmarkEnd w:id="48368"/>
      <w:r>
        <w:rPr>
          <w:rFonts w:hint="cs"/>
          <w:rtl/>
        </w:rPr>
        <w:t xml:space="preserve">מינויים </w:t>
      </w:r>
      <w:bookmarkStart w:id="48369" w:name="_ETM_Q95_354750"/>
      <w:bookmarkEnd w:id="48369"/>
      <w:r>
        <w:rPr>
          <w:rFonts w:hint="cs"/>
          <w:rtl/>
        </w:rPr>
        <w:t>ממשלתיים</w:t>
      </w:r>
      <w:bookmarkStart w:id="48370" w:name="_ETM_Q95_355919"/>
      <w:bookmarkEnd w:id="48370"/>
      <w:r>
        <w:rPr>
          <w:rFonts w:hint="cs"/>
          <w:rtl/>
        </w:rPr>
        <w:t xml:space="preserve"> הם </w:t>
      </w:r>
      <w:bookmarkStart w:id="48371" w:name="_ETM_Q95_356220"/>
      <w:bookmarkEnd w:id="48371"/>
      <w:r>
        <w:rPr>
          <w:rFonts w:hint="cs"/>
          <w:rtl/>
        </w:rPr>
        <w:t xml:space="preserve">לא </w:t>
      </w:r>
      <w:bookmarkStart w:id="48372" w:name="_ETM_Q95_356370"/>
      <w:bookmarkEnd w:id="48372"/>
      <w:r>
        <w:rPr>
          <w:rFonts w:hint="cs"/>
          <w:rtl/>
        </w:rPr>
        <w:t xml:space="preserve">תחרות </w:t>
      </w:r>
      <w:bookmarkStart w:id="48373" w:name="_ETM_Q95_356849"/>
      <w:bookmarkEnd w:id="48373"/>
      <w:r>
        <w:rPr>
          <w:rFonts w:hint="cs"/>
          <w:rtl/>
        </w:rPr>
        <w:t xml:space="preserve">פופולריות. </w:t>
      </w:r>
      <w:bookmarkStart w:id="48374" w:name="_ETM_Q95_358139"/>
      <w:bookmarkEnd w:id="48374"/>
      <w:r>
        <w:rPr>
          <w:rFonts w:hint="cs"/>
          <w:rtl/>
        </w:rPr>
        <w:t xml:space="preserve">בשביל </w:t>
      </w:r>
      <w:bookmarkStart w:id="48375" w:name="_ETM_Q95_358620"/>
      <w:bookmarkEnd w:id="48375"/>
      <w:r>
        <w:rPr>
          <w:rFonts w:hint="cs"/>
          <w:rtl/>
        </w:rPr>
        <w:t xml:space="preserve">לוודא </w:t>
      </w:r>
      <w:bookmarkStart w:id="48376" w:name="_ETM_Q95_359099"/>
      <w:bookmarkEnd w:id="48376"/>
      <w:r>
        <w:rPr>
          <w:rFonts w:hint="cs"/>
          <w:rtl/>
        </w:rPr>
        <w:t xml:space="preserve">שאנשים </w:t>
      </w:r>
      <w:bookmarkStart w:id="48377" w:name="_ETM_Q95_359819"/>
      <w:bookmarkEnd w:id="48377"/>
      <w:r>
        <w:rPr>
          <w:rFonts w:hint="cs"/>
          <w:rtl/>
        </w:rPr>
        <w:t xml:space="preserve">ששומרים </w:t>
      </w:r>
      <w:bookmarkStart w:id="48378" w:name="_ETM_Q95_360480"/>
      <w:bookmarkEnd w:id="48378"/>
      <w:r>
        <w:rPr>
          <w:rFonts w:hint="cs"/>
          <w:rtl/>
        </w:rPr>
        <w:t xml:space="preserve">לנו </w:t>
      </w:r>
      <w:bookmarkStart w:id="48379" w:name="_ETM_Q95_360930"/>
      <w:bookmarkEnd w:id="48379"/>
      <w:r>
        <w:rPr>
          <w:rFonts w:hint="cs"/>
          <w:rtl/>
        </w:rPr>
        <w:t xml:space="preserve">על </w:t>
      </w:r>
      <w:bookmarkStart w:id="48380" w:name="_ETM_Q95_361050"/>
      <w:bookmarkEnd w:id="48380"/>
      <w:r>
        <w:rPr>
          <w:rFonts w:hint="cs"/>
          <w:rtl/>
        </w:rPr>
        <w:t xml:space="preserve">הכסף, </w:t>
      </w:r>
      <w:bookmarkStart w:id="48381" w:name="_ETM_Q95_362040"/>
      <w:bookmarkEnd w:id="48381"/>
      <w:r>
        <w:rPr>
          <w:rFonts w:hint="cs"/>
          <w:rtl/>
        </w:rPr>
        <w:t xml:space="preserve">מקבלים </w:t>
      </w:r>
      <w:bookmarkStart w:id="48382" w:name="_ETM_Q95_362730"/>
      <w:bookmarkEnd w:id="48382"/>
      <w:r>
        <w:rPr>
          <w:rFonts w:hint="cs"/>
          <w:rtl/>
        </w:rPr>
        <w:t xml:space="preserve">כוח </w:t>
      </w:r>
      <w:bookmarkStart w:id="48383" w:name="_ETM_Q95_363239"/>
      <w:bookmarkEnd w:id="48383"/>
      <w:r>
        <w:rPr>
          <w:rFonts w:hint="cs"/>
          <w:rtl/>
        </w:rPr>
        <w:t xml:space="preserve">אדיר </w:t>
      </w:r>
      <w:bookmarkStart w:id="48384" w:name="_ETM_Q95_363720"/>
      <w:bookmarkEnd w:id="48384"/>
      <w:r>
        <w:rPr>
          <w:rFonts w:hint="cs"/>
          <w:rtl/>
        </w:rPr>
        <w:t xml:space="preserve">לידיהם </w:t>
      </w:r>
      <w:bookmarkStart w:id="48385" w:name="_ETM_Q95_364410"/>
      <w:bookmarkEnd w:id="48385"/>
      <w:r>
        <w:rPr>
          <w:rFonts w:hint="cs"/>
          <w:rtl/>
        </w:rPr>
        <w:t xml:space="preserve">ונותנים </w:t>
      </w:r>
      <w:bookmarkStart w:id="48386" w:name="_ETM_Q95_364860"/>
      <w:bookmarkEnd w:id="48386"/>
      <w:r>
        <w:rPr>
          <w:rFonts w:hint="cs"/>
          <w:rtl/>
        </w:rPr>
        <w:t xml:space="preserve">שירות </w:t>
      </w:r>
      <w:bookmarkStart w:id="48387" w:name="_ETM_Q95_365870"/>
      <w:bookmarkEnd w:id="48387"/>
      <w:r>
        <w:rPr>
          <w:rFonts w:hint="cs"/>
          <w:rtl/>
        </w:rPr>
        <w:t xml:space="preserve">איכותי </w:t>
      </w:r>
      <w:bookmarkStart w:id="48388" w:name="_ETM_Q95_366439"/>
      <w:bookmarkEnd w:id="48388"/>
      <w:r>
        <w:rPr>
          <w:rFonts w:hint="cs"/>
          <w:rtl/>
        </w:rPr>
        <w:t xml:space="preserve">לציבור </w:t>
      </w:r>
      <w:bookmarkStart w:id="48389" w:name="_ETM_Q95_367760"/>
      <w:bookmarkEnd w:id="48389"/>
      <w:r w:rsidR="00E315D7">
        <w:rPr>
          <w:rFonts w:hint="eastAsia"/>
          <w:rtl/>
        </w:rPr>
        <w:t>–</w:t>
      </w:r>
      <w:r w:rsidR="00E315D7">
        <w:rPr>
          <w:rFonts w:hint="cs"/>
          <w:rtl/>
        </w:rPr>
        <w:t xml:space="preserve"> </w:t>
      </w:r>
      <w:r>
        <w:rPr>
          <w:rFonts w:hint="cs"/>
          <w:rtl/>
        </w:rPr>
        <w:t xml:space="preserve">כדי </w:t>
      </w:r>
      <w:bookmarkStart w:id="48390" w:name="_ETM_Q95_367969"/>
      <w:bookmarkEnd w:id="48390"/>
      <w:r>
        <w:rPr>
          <w:rFonts w:hint="cs"/>
          <w:rtl/>
        </w:rPr>
        <w:t xml:space="preserve">לוודא </w:t>
      </w:r>
      <w:bookmarkStart w:id="48391" w:name="_ETM_Q95_368329"/>
      <w:bookmarkEnd w:id="48391"/>
      <w:r>
        <w:rPr>
          <w:rFonts w:hint="cs"/>
          <w:rtl/>
        </w:rPr>
        <w:t xml:space="preserve">שהם </w:t>
      </w:r>
      <w:bookmarkStart w:id="48392" w:name="_ETM_Q95_368569"/>
      <w:bookmarkEnd w:id="48392"/>
      <w:r>
        <w:rPr>
          <w:rFonts w:hint="cs"/>
          <w:rtl/>
        </w:rPr>
        <w:t xml:space="preserve">יהיו </w:t>
      </w:r>
      <w:bookmarkStart w:id="48393" w:name="_ETM_Q95_368989"/>
      <w:bookmarkEnd w:id="48393"/>
      <w:r>
        <w:rPr>
          <w:rFonts w:hint="cs"/>
          <w:rtl/>
        </w:rPr>
        <w:t xml:space="preserve">מקצוענים, </w:t>
      </w:r>
      <w:bookmarkStart w:id="48394" w:name="_ETM_Q95_370010"/>
      <w:bookmarkEnd w:id="48394"/>
      <w:r>
        <w:rPr>
          <w:rFonts w:hint="cs"/>
          <w:rtl/>
        </w:rPr>
        <w:t xml:space="preserve">אמינים, </w:t>
      </w:r>
      <w:bookmarkStart w:id="48395" w:name="_ETM_Q95_370609"/>
      <w:bookmarkEnd w:id="48395"/>
      <w:r>
        <w:rPr>
          <w:rFonts w:hint="cs"/>
          <w:rtl/>
        </w:rPr>
        <w:t xml:space="preserve">ראויים, </w:t>
      </w:r>
      <w:bookmarkStart w:id="48396" w:name="_ETM_Q95_371689"/>
      <w:bookmarkEnd w:id="48396"/>
      <w:r>
        <w:rPr>
          <w:rFonts w:hint="cs"/>
          <w:rtl/>
        </w:rPr>
        <w:t xml:space="preserve">לא </w:t>
      </w:r>
      <w:bookmarkStart w:id="48397" w:name="_ETM_Q95_371989"/>
      <w:bookmarkEnd w:id="48397"/>
      <w:r>
        <w:rPr>
          <w:rFonts w:hint="cs"/>
          <w:rtl/>
        </w:rPr>
        <w:t xml:space="preserve">מספיק </w:t>
      </w:r>
      <w:bookmarkStart w:id="48398" w:name="_ETM_Q95_372559"/>
      <w:bookmarkEnd w:id="48398"/>
      <w:r>
        <w:rPr>
          <w:rFonts w:hint="cs"/>
          <w:rtl/>
        </w:rPr>
        <w:t xml:space="preserve">שהם </w:t>
      </w:r>
      <w:bookmarkStart w:id="48399" w:name="_ETM_Q95_372799"/>
      <w:bookmarkEnd w:id="48399"/>
      <w:r>
        <w:rPr>
          <w:rFonts w:hint="cs"/>
          <w:rtl/>
        </w:rPr>
        <w:t xml:space="preserve">יהיו </w:t>
      </w:r>
      <w:bookmarkStart w:id="48400" w:name="_ETM_Q95_372949"/>
      <w:bookmarkEnd w:id="48400"/>
      <w:r>
        <w:rPr>
          <w:rFonts w:hint="cs"/>
          <w:rtl/>
        </w:rPr>
        <w:t xml:space="preserve">מקורבים </w:t>
      </w:r>
      <w:bookmarkStart w:id="48401" w:name="_ETM_Q95_373669"/>
      <w:bookmarkEnd w:id="48401"/>
      <w:r>
        <w:rPr>
          <w:rFonts w:hint="cs"/>
          <w:rtl/>
        </w:rPr>
        <w:t xml:space="preserve">לאיזשהו </w:t>
      </w:r>
      <w:bookmarkStart w:id="48402" w:name="_ETM_Q95_373999"/>
      <w:bookmarkEnd w:id="48402"/>
      <w:r>
        <w:rPr>
          <w:rFonts w:hint="cs"/>
          <w:rtl/>
        </w:rPr>
        <w:t xml:space="preserve">פוליטיקאי </w:t>
      </w:r>
      <w:bookmarkStart w:id="48403" w:name="_ETM_Q95_374839"/>
      <w:bookmarkEnd w:id="48403"/>
      <w:r>
        <w:rPr>
          <w:rFonts w:hint="cs"/>
          <w:rtl/>
        </w:rPr>
        <w:t xml:space="preserve">אחד. </w:t>
      </w:r>
      <w:bookmarkStart w:id="48404" w:name="_ETM_Q95_375800"/>
      <w:bookmarkStart w:id="48405" w:name="_ETM_Q95_377645"/>
      <w:bookmarkStart w:id="48406" w:name="_ETM_Q95_377728"/>
      <w:bookmarkStart w:id="48407" w:name="_ETM_Q95_377853"/>
      <w:bookmarkStart w:id="48408" w:name="_ETM_Q95_377942"/>
      <w:bookmarkEnd w:id="48404"/>
      <w:bookmarkEnd w:id="48405"/>
      <w:bookmarkEnd w:id="48406"/>
      <w:bookmarkEnd w:id="48407"/>
      <w:bookmarkEnd w:id="48408"/>
      <w:r>
        <w:rPr>
          <w:rFonts w:hint="cs"/>
          <w:rtl/>
        </w:rPr>
        <w:t xml:space="preserve">היום, </w:t>
      </w:r>
      <w:bookmarkStart w:id="48409" w:name="_ETM_Q95_376990"/>
      <w:bookmarkEnd w:id="48409"/>
      <w:r>
        <w:rPr>
          <w:rFonts w:hint="cs"/>
          <w:rtl/>
        </w:rPr>
        <w:t xml:space="preserve">היום מינויים </w:t>
      </w:r>
      <w:bookmarkStart w:id="48410" w:name="_ETM_Q95_378799"/>
      <w:bookmarkEnd w:id="48410"/>
      <w:r>
        <w:rPr>
          <w:rFonts w:hint="cs"/>
          <w:rtl/>
        </w:rPr>
        <w:t xml:space="preserve">צריכים </w:t>
      </w:r>
      <w:bookmarkStart w:id="48411" w:name="_ETM_Q95_379129"/>
      <w:bookmarkEnd w:id="48411"/>
      <w:r>
        <w:rPr>
          <w:rFonts w:hint="cs"/>
          <w:rtl/>
        </w:rPr>
        <w:t xml:space="preserve">לעבור </w:t>
      </w:r>
      <w:bookmarkStart w:id="48412" w:name="_ETM_Q95_379489"/>
      <w:bookmarkEnd w:id="48412"/>
      <w:r>
        <w:rPr>
          <w:rFonts w:hint="cs"/>
          <w:rtl/>
        </w:rPr>
        <w:t xml:space="preserve">דרך </w:t>
      </w:r>
      <w:bookmarkStart w:id="48413" w:name="_ETM_Q95_379760"/>
      <w:bookmarkEnd w:id="48413"/>
      <w:r>
        <w:rPr>
          <w:rFonts w:hint="cs"/>
          <w:rtl/>
        </w:rPr>
        <w:t xml:space="preserve">ועדת </w:t>
      </w:r>
      <w:bookmarkStart w:id="48414" w:name="_ETM_Q95_380209"/>
      <w:bookmarkEnd w:id="48414"/>
      <w:r>
        <w:rPr>
          <w:rFonts w:hint="cs"/>
          <w:rtl/>
        </w:rPr>
        <w:t xml:space="preserve">איתור, </w:t>
      </w:r>
      <w:bookmarkStart w:id="48415" w:name="_ETM_Q95_380719"/>
      <w:bookmarkEnd w:id="48415"/>
      <w:r>
        <w:rPr>
          <w:rFonts w:hint="cs"/>
          <w:rtl/>
        </w:rPr>
        <w:t xml:space="preserve">לעמוד </w:t>
      </w:r>
      <w:bookmarkStart w:id="48416" w:name="_ETM_Q95_381079"/>
      <w:bookmarkEnd w:id="48416"/>
      <w:r>
        <w:rPr>
          <w:rFonts w:hint="cs"/>
          <w:rtl/>
        </w:rPr>
        <w:t xml:space="preserve">בתנאי </w:t>
      </w:r>
      <w:bookmarkStart w:id="48417" w:name="_ETM_Q95_381439"/>
      <w:bookmarkEnd w:id="48417"/>
      <w:r>
        <w:rPr>
          <w:rFonts w:hint="cs"/>
          <w:rtl/>
        </w:rPr>
        <w:t xml:space="preserve">סף, </w:t>
      </w:r>
      <w:bookmarkStart w:id="48418" w:name="_ETM_Q95_382340"/>
      <w:bookmarkEnd w:id="48418"/>
      <w:r>
        <w:rPr>
          <w:rFonts w:hint="cs"/>
          <w:rtl/>
        </w:rPr>
        <w:t xml:space="preserve">לקבל </w:t>
      </w:r>
      <w:bookmarkStart w:id="48419" w:name="_ETM_Q95_382819"/>
      <w:bookmarkEnd w:id="48419"/>
      <w:r>
        <w:rPr>
          <w:rFonts w:hint="cs"/>
          <w:rtl/>
        </w:rPr>
        <w:t xml:space="preserve">חוות </w:t>
      </w:r>
      <w:bookmarkStart w:id="48420" w:name="_ETM_Q95_383209"/>
      <w:bookmarkEnd w:id="48420"/>
      <w:r>
        <w:rPr>
          <w:rFonts w:hint="cs"/>
          <w:rtl/>
        </w:rPr>
        <w:t xml:space="preserve">דעת </w:t>
      </w:r>
      <w:bookmarkStart w:id="48421" w:name="_ETM_Q95_383599"/>
      <w:bookmarkEnd w:id="48421"/>
      <w:r>
        <w:rPr>
          <w:rFonts w:hint="cs"/>
          <w:rtl/>
        </w:rPr>
        <w:t xml:space="preserve">קודמת. </w:t>
      </w:r>
      <w:bookmarkStart w:id="48422" w:name="_ETM_Q95_384379"/>
      <w:bookmarkEnd w:id="48422"/>
      <w:r>
        <w:rPr>
          <w:rFonts w:hint="cs"/>
          <w:rtl/>
        </w:rPr>
        <w:t xml:space="preserve">קיים </w:t>
      </w:r>
      <w:bookmarkStart w:id="48423" w:name="_ETM_Q95_385239"/>
      <w:bookmarkEnd w:id="48423"/>
      <w:r>
        <w:rPr>
          <w:rFonts w:hint="cs"/>
          <w:rtl/>
        </w:rPr>
        <w:t xml:space="preserve">הליך </w:t>
      </w:r>
      <w:bookmarkStart w:id="48424" w:name="_ETM_Q95_385900"/>
      <w:bookmarkEnd w:id="48424"/>
      <w:r>
        <w:rPr>
          <w:rFonts w:hint="cs"/>
          <w:rtl/>
        </w:rPr>
        <w:t xml:space="preserve">שלם </w:t>
      </w:r>
      <w:bookmarkStart w:id="48425" w:name="_ETM_Q95_386949"/>
      <w:bookmarkEnd w:id="48425"/>
      <w:r>
        <w:rPr>
          <w:rFonts w:hint="cs"/>
          <w:rtl/>
        </w:rPr>
        <w:t xml:space="preserve">כדי </w:t>
      </w:r>
      <w:bookmarkStart w:id="48426" w:name="_ETM_Q95_387189"/>
      <w:bookmarkEnd w:id="48426"/>
      <w:r>
        <w:rPr>
          <w:rFonts w:hint="cs"/>
          <w:rtl/>
        </w:rPr>
        <w:t xml:space="preserve">לוודא </w:t>
      </w:r>
      <w:bookmarkStart w:id="48427" w:name="_ETM_Q95_387669"/>
      <w:bookmarkEnd w:id="48427"/>
      <w:r>
        <w:rPr>
          <w:rFonts w:hint="cs"/>
          <w:rtl/>
        </w:rPr>
        <w:t>ש</w:t>
      </w:r>
      <w:bookmarkStart w:id="48428" w:name="_ETM_Q95_387849"/>
      <w:bookmarkEnd w:id="48428"/>
      <w:r>
        <w:rPr>
          <w:rFonts w:hint="cs"/>
          <w:rtl/>
        </w:rPr>
        <w:t xml:space="preserve">האדם </w:t>
      </w:r>
      <w:bookmarkStart w:id="48429" w:name="_ETM_Q95_388239"/>
      <w:bookmarkEnd w:id="48429"/>
      <w:r>
        <w:rPr>
          <w:rFonts w:hint="cs"/>
          <w:rtl/>
        </w:rPr>
        <w:t xml:space="preserve">המתאים </w:t>
      </w:r>
      <w:bookmarkStart w:id="48430" w:name="_ETM_Q95_388779"/>
      <w:bookmarkEnd w:id="48430"/>
      <w:r>
        <w:rPr>
          <w:rFonts w:hint="cs"/>
          <w:rtl/>
        </w:rPr>
        <w:t xml:space="preserve">ביותר, </w:t>
      </w:r>
      <w:bookmarkStart w:id="48431" w:name="_ETM_Q95_389409"/>
      <w:bookmarkEnd w:id="48431"/>
      <w:r>
        <w:rPr>
          <w:rFonts w:hint="cs"/>
          <w:rtl/>
        </w:rPr>
        <w:t xml:space="preserve">המוכשר </w:t>
      </w:r>
      <w:bookmarkStart w:id="48432" w:name="_ETM_Q95_390279"/>
      <w:bookmarkEnd w:id="48432"/>
      <w:r>
        <w:rPr>
          <w:rFonts w:hint="cs"/>
          <w:rtl/>
        </w:rPr>
        <w:t xml:space="preserve">ביותר, </w:t>
      </w:r>
      <w:bookmarkStart w:id="48433" w:name="_ETM_Q95_391269"/>
      <w:bookmarkEnd w:id="48433"/>
      <w:r>
        <w:rPr>
          <w:rFonts w:hint="cs"/>
          <w:rtl/>
        </w:rPr>
        <w:t xml:space="preserve">מגיע </w:t>
      </w:r>
      <w:bookmarkStart w:id="48434" w:name="_ETM_Q95_391810"/>
      <w:bookmarkEnd w:id="48434"/>
      <w:r>
        <w:rPr>
          <w:rFonts w:hint="cs"/>
          <w:rtl/>
        </w:rPr>
        <w:t xml:space="preserve">לתפקידים </w:t>
      </w:r>
      <w:bookmarkStart w:id="48435" w:name="_ETM_Q95_392379"/>
      <w:bookmarkEnd w:id="48435"/>
      <w:r>
        <w:rPr>
          <w:rFonts w:hint="cs"/>
          <w:rtl/>
        </w:rPr>
        <w:t xml:space="preserve">הקריטיים </w:t>
      </w:r>
      <w:bookmarkStart w:id="48436" w:name="_ETM_Q95_393430"/>
      <w:bookmarkEnd w:id="48436"/>
      <w:r>
        <w:rPr>
          <w:rFonts w:hint="cs"/>
          <w:rtl/>
        </w:rPr>
        <w:t xml:space="preserve">בניהול </w:t>
      </w:r>
      <w:bookmarkStart w:id="48437" w:name="_ETM_Q95_393970"/>
      <w:bookmarkEnd w:id="48437"/>
      <w:r>
        <w:rPr>
          <w:rFonts w:hint="cs"/>
          <w:rtl/>
        </w:rPr>
        <w:t xml:space="preserve">המדינה. </w:t>
      </w:r>
      <w:bookmarkStart w:id="48438" w:name="_ETM_Q95_395480"/>
      <w:bookmarkEnd w:id="48438"/>
      <w:r>
        <w:rPr>
          <w:rFonts w:hint="cs"/>
          <w:rtl/>
        </w:rPr>
        <w:t xml:space="preserve">את </w:t>
      </w:r>
      <w:bookmarkStart w:id="48439" w:name="_ETM_Q95_395629"/>
      <w:bookmarkEnd w:id="48439"/>
      <w:r>
        <w:rPr>
          <w:rFonts w:hint="cs"/>
          <w:rtl/>
        </w:rPr>
        <w:t xml:space="preserve">כל </w:t>
      </w:r>
      <w:bookmarkStart w:id="48440" w:name="_ETM_Q95_395930"/>
      <w:bookmarkEnd w:id="48440"/>
      <w:r>
        <w:rPr>
          <w:rFonts w:hint="cs"/>
          <w:rtl/>
        </w:rPr>
        <w:t xml:space="preserve">זה </w:t>
      </w:r>
      <w:bookmarkStart w:id="48441" w:name="_ETM_Q95_396599"/>
      <w:bookmarkEnd w:id="48441"/>
      <w:r>
        <w:rPr>
          <w:rFonts w:hint="cs"/>
          <w:rtl/>
        </w:rPr>
        <w:t xml:space="preserve">הממשלה </w:t>
      </w:r>
      <w:bookmarkStart w:id="48442" w:name="_ETM_Q95_397260"/>
      <w:bookmarkEnd w:id="48442"/>
      <w:r>
        <w:rPr>
          <w:rFonts w:hint="cs"/>
          <w:rtl/>
        </w:rPr>
        <w:t xml:space="preserve">הולכת </w:t>
      </w:r>
      <w:bookmarkStart w:id="48443" w:name="_ETM_Q95_397620"/>
      <w:bookmarkEnd w:id="48443"/>
      <w:r>
        <w:rPr>
          <w:rFonts w:hint="cs"/>
          <w:rtl/>
        </w:rPr>
        <w:t xml:space="preserve">לפורר </w:t>
      </w:r>
      <w:bookmarkStart w:id="48444" w:name="_ETM_Q95_398579"/>
      <w:bookmarkEnd w:id="48444"/>
      <w:r>
        <w:rPr>
          <w:rFonts w:hint="cs"/>
          <w:rtl/>
        </w:rPr>
        <w:t xml:space="preserve">באמצעות </w:t>
      </w:r>
      <w:bookmarkStart w:id="48445" w:name="_ETM_Q95_399209"/>
      <w:bookmarkEnd w:id="48445"/>
      <w:r>
        <w:rPr>
          <w:rFonts w:hint="cs"/>
          <w:rtl/>
        </w:rPr>
        <w:t xml:space="preserve">ביטול </w:t>
      </w:r>
      <w:bookmarkStart w:id="48446" w:name="_ETM_Q95_399540"/>
      <w:bookmarkEnd w:id="48446"/>
      <w:r>
        <w:rPr>
          <w:rFonts w:hint="cs"/>
          <w:rtl/>
        </w:rPr>
        <w:t xml:space="preserve">עילת </w:t>
      </w:r>
      <w:bookmarkStart w:id="48447" w:name="_ETM_Q95_399840"/>
      <w:bookmarkEnd w:id="48447"/>
      <w:r>
        <w:rPr>
          <w:rFonts w:hint="cs"/>
          <w:rtl/>
        </w:rPr>
        <w:t xml:space="preserve">הסבירות. </w:t>
      </w:r>
      <w:bookmarkStart w:id="48448" w:name="_ETM_Q95_401139"/>
      <w:bookmarkEnd w:id="48448"/>
      <w:r>
        <w:rPr>
          <w:rFonts w:hint="cs"/>
          <w:rtl/>
        </w:rPr>
        <w:t xml:space="preserve">אין </w:t>
      </w:r>
      <w:bookmarkStart w:id="48449" w:name="_ETM_Q95_401290"/>
      <w:bookmarkEnd w:id="48449"/>
      <w:r>
        <w:rPr>
          <w:rFonts w:hint="cs"/>
          <w:rtl/>
        </w:rPr>
        <w:t xml:space="preserve">לזה </w:t>
      </w:r>
      <w:bookmarkStart w:id="48450" w:name="_ETM_Q95_401499"/>
      <w:bookmarkEnd w:id="48450"/>
      <w:r>
        <w:rPr>
          <w:rFonts w:hint="cs"/>
          <w:rtl/>
        </w:rPr>
        <w:t xml:space="preserve">קשר </w:t>
      </w:r>
      <w:bookmarkStart w:id="48451" w:name="_ETM_Q95_401889"/>
      <w:bookmarkEnd w:id="48451"/>
      <w:r>
        <w:rPr>
          <w:rFonts w:hint="cs"/>
          <w:rtl/>
        </w:rPr>
        <w:t xml:space="preserve">לימין </w:t>
      </w:r>
      <w:bookmarkStart w:id="48452" w:name="_ETM_Q95_402489"/>
      <w:bookmarkEnd w:id="48452"/>
      <w:r>
        <w:rPr>
          <w:rFonts w:hint="cs"/>
          <w:rtl/>
        </w:rPr>
        <w:t xml:space="preserve">או </w:t>
      </w:r>
      <w:bookmarkStart w:id="48453" w:name="_ETM_Q95_402549"/>
      <w:bookmarkEnd w:id="48453"/>
      <w:r>
        <w:rPr>
          <w:rFonts w:hint="cs"/>
          <w:rtl/>
        </w:rPr>
        <w:t xml:space="preserve">לשמאל, </w:t>
      </w:r>
      <w:bookmarkStart w:id="48454" w:name="_ETM_Q95_403930"/>
      <w:bookmarkEnd w:id="48454"/>
      <w:r>
        <w:rPr>
          <w:rFonts w:hint="cs"/>
          <w:rtl/>
        </w:rPr>
        <w:t xml:space="preserve">יש </w:t>
      </w:r>
      <w:bookmarkStart w:id="48455" w:name="_ETM_Q95_404109"/>
      <w:bookmarkEnd w:id="48455"/>
      <w:r>
        <w:rPr>
          <w:rFonts w:hint="cs"/>
          <w:rtl/>
        </w:rPr>
        <w:t xml:space="preserve">לזה </w:t>
      </w:r>
      <w:bookmarkStart w:id="48456" w:name="_ETM_Q95_404349"/>
      <w:bookmarkEnd w:id="48456"/>
      <w:r>
        <w:rPr>
          <w:rFonts w:hint="cs"/>
          <w:rtl/>
        </w:rPr>
        <w:t xml:space="preserve">קשר </w:t>
      </w:r>
      <w:bookmarkStart w:id="48457" w:name="_ETM_Q95_404799"/>
      <w:bookmarkEnd w:id="48457"/>
      <w:r>
        <w:rPr>
          <w:rFonts w:hint="cs"/>
          <w:rtl/>
        </w:rPr>
        <w:t xml:space="preserve">למינהל </w:t>
      </w:r>
      <w:bookmarkStart w:id="48458" w:name="_ETM_Q95_405279"/>
      <w:bookmarkEnd w:id="48458"/>
      <w:r>
        <w:rPr>
          <w:rFonts w:hint="cs"/>
          <w:rtl/>
        </w:rPr>
        <w:t xml:space="preserve">תקין. </w:t>
      </w:r>
      <w:bookmarkStart w:id="48459" w:name="_ETM_Q95_406239"/>
      <w:bookmarkEnd w:id="48459"/>
      <w:r>
        <w:rPr>
          <w:rFonts w:hint="cs"/>
          <w:rtl/>
        </w:rPr>
        <w:t xml:space="preserve">זה </w:t>
      </w:r>
      <w:bookmarkStart w:id="48460" w:name="_ETM_Q95_406389"/>
      <w:bookmarkEnd w:id="48460"/>
      <w:r>
        <w:rPr>
          <w:rFonts w:hint="cs"/>
          <w:rtl/>
        </w:rPr>
        <w:t xml:space="preserve">פותח </w:t>
      </w:r>
      <w:bookmarkStart w:id="48461" w:name="_ETM_Q95_407349"/>
      <w:bookmarkEnd w:id="48461"/>
      <w:r>
        <w:rPr>
          <w:rFonts w:hint="cs"/>
          <w:rtl/>
        </w:rPr>
        <w:t xml:space="preserve">פתח </w:t>
      </w:r>
      <w:bookmarkStart w:id="48462" w:name="_ETM_Q95_407980"/>
      <w:bookmarkEnd w:id="48462"/>
      <w:r>
        <w:rPr>
          <w:rFonts w:hint="cs"/>
          <w:rtl/>
        </w:rPr>
        <w:t xml:space="preserve">ענק </w:t>
      </w:r>
      <w:bookmarkStart w:id="48463" w:name="_ETM_Q95_409000"/>
      <w:bookmarkEnd w:id="48463"/>
      <w:r>
        <w:rPr>
          <w:rFonts w:hint="cs"/>
          <w:rtl/>
        </w:rPr>
        <w:t xml:space="preserve">לשחיתות </w:t>
      </w:r>
      <w:bookmarkStart w:id="48464" w:name="_ETM_Q95_410319"/>
      <w:bookmarkEnd w:id="48464"/>
      <w:r>
        <w:rPr>
          <w:rFonts w:hint="cs"/>
          <w:rtl/>
        </w:rPr>
        <w:t xml:space="preserve">שלטונית. </w:t>
      </w:r>
      <w:bookmarkStart w:id="48465" w:name="_ETM_Q95_412560"/>
      <w:bookmarkEnd w:id="48465"/>
    </w:p>
    <w:p w:rsidR="00BB59CD" w:rsidRDefault="00BB59CD" w:rsidP="00BB59CD">
      <w:pPr>
        <w:rPr>
          <w:rtl/>
        </w:rPr>
      </w:pPr>
      <w:bookmarkStart w:id="48466" w:name="_ETM_Q95_410581"/>
      <w:bookmarkStart w:id="48467" w:name="_ETM_Q95_410649"/>
      <w:bookmarkEnd w:id="48466"/>
      <w:bookmarkEnd w:id="48467"/>
    </w:p>
    <w:p w:rsidR="00BB59CD" w:rsidRDefault="00BB59CD" w:rsidP="00E315D7">
      <w:pPr>
        <w:rPr>
          <w:rtl/>
        </w:rPr>
      </w:pPr>
      <w:bookmarkStart w:id="48468" w:name="_ETM_Q95_410764"/>
      <w:bookmarkStart w:id="48469" w:name="_ETM_Q95_410851"/>
      <w:bookmarkStart w:id="48470" w:name="_ETM_Q95_412769"/>
      <w:bookmarkEnd w:id="48468"/>
      <w:bookmarkEnd w:id="48469"/>
      <w:bookmarkEnd w:id="48470"/>
      <w:r>
        <w:rPr>
          <w:rFonts w:hint="cs"/>
          <w:rtl/>
        </w:rPr>
        <w:t xml:space="preserve">אתה, </w:t>
      </w:r>
      <w:bookmarkStart w:id="48471" w:name="_ETM_Q95_413480"/>
      <w:bookmarkEnd w:id="48471"/>
      <w:r>
        <w:rPr>
          <w:rFonts w:hint="cs"/>
          <w:rtl/>
        </w:rPr>
        <w:t xml:space="preserve">אדוני </w:t>
      </w:r>
      <w:bookmarkStart w:id="48472" w:name="_ETM_Q95_413780"/>
      <w:bookmarkEnd w:id="48472"/>
      <w:r>
        <w:rPr>
          <w:rFonts w:hint="cs"/>
          <w:rtl/>
        </w:rPr>
        <w:t xml:space="preserve">שר </w:t>
      </w:r>
      <w:bookmarkStart w:id="48473" w:name="_ETM_Q95_413959"/>
      <w:bookmarkEnd w:id="48473"/>
      <w:r>
        <w:rPr>
          <w:rFonts w:hint="cs"/>
          <w:rtl/>
        </w:rPr>
        <w:t xml:space="preserve">הכלכלה, </w:t>
      </w:r>
      <w:bookmarkStart w:id="48474" w:name="_ETM_Q95_414590"/>
      <w:bookmarkEnd w:id="48474"/>
      <w:r>
        <w:rPr>
          <w:rFonts w:hint="cs"/>
          <w:rtl/>
        </w:rPr>
        <w:t xml:space="preserve">הרי </w:t>
      </w:r>
      <w:bookmarkStart w:id="48475" w:name="_ETM_Q95_414739"/>
      <w:bookmarkEnd w:id="48475"/>
      <w:r>
        <w:rPr>
          <w:rFonts w:hint="cs"/>
          <w:rtl/>
        </w:rPr>
        <w:t>יודע</w:t>
      </w:r>
      <w:bookmarkStart w:id="48476" w:name="_ETM_Q95_415310"/>
      <w:bookmarkEnd w:id="48476"/>
      <w:r>
        <w:rPr>
          <w:rFonts w:hint="cs"/>
          <w:rtl/>
        </w:rPr>
        <w:t xml:space="preserve">, כי </w:t>
      </w:r>
      <w:bookmarkStart w:id="48477" w:name="_ETM_Q95_415489"/>
      <w:bookmarkEnd w:id="48477"/>
      <w:r>
        <w:rPr>
          <w:rFonts w:hint="cs"/>
          <w:rtl/>
        </w:rPr>
        <w:t xml:space="preserve">אתה </w:t>
      </w:r>
      <w:bookmarkStart w:id="48478" w:name="_ETM_Q95_415819"/>
      <w:bookmarkEnd w:id="48478"/>
      <w:r>
        <w:rPr>
          <w:rFonts w:hint="cs"/>
          <w:rtl/>
        </w:rPr>
        <w:t xml:space="preserve">איש </w:t>
      </w:r>
      <w:bookmarkStart w:id="48479" w:name="_ETM_Q95_416060"/>
      <w:bookmarkEnd w:id="48479"/>
      <w:r>
        <w:rPr>
          <w:rFonts w:hint="cs"/>
          <w:rtl/>
        </w:rPr>
        <w:t xml:space="preserve">עסקים </w:t>
      </w:r>
      <w:bookmarkStart w:id="48480" w:name="_ETM_Q95_417310"/>
      <w:bookmarkEnd w:id="48480"/>
      <w:r>
        <w:rPr>
          <w:rFonts w:hint="cs"/>
          <w:rtl/>
        </w:rPr>
        <w:t xml:space="preserve">עם </w:t>
      </w:r>
      <w:bookmarkStart w:id="48481" w:name="_ETM_Q95_417489"/>
      <w:bookmarkEnd w:id="48481"/>
      <w:r>
        <w:rPr>
          <w:rFonts w:hint="cs"/>
          <w:rtl/>
        </w:rPr>
        <w:t xml:space="preserve">עבר </w:t>
      </w:r>
      <w:bookmarkStart w:id="48482" w:name="_ETM_Q95_417969"/>
      <w:bookmarkEnd w:id="48482"/>
      <w:r>
        <w:rPr>
          <w:rFonts w:hint="cs"/>
          <w:rtl/>
        </w:rPr>
        <w:t xml:space="preserve">מפואר </w:t>
      </w:r>
      <w:bookmarkStart w:id="48483" w:name="_ETM_Q95_418719"/>
      <w:bookmarkEnd w:id="48483"/>
      <w:r>
        <w:rPr>
          <w:rFonts w:hint="cs"/>
          <w:rtl/>
        </w:rPr>
        <w:t xml:space="preserve">מאחוריך: </w:t>
      </w:r>
      <w:bookmarkStart w:id="48484" w:name="_ETM_Q95_420200"/>
      <w:bookmarkEnd w:id="48484"/>
      <w:r>
        <w:rPr>
          <w:rFonts w:hint="cs"/>
          <w:rtl/>
        </w:rPr>
        <w:t xml:space="preserve">בלי </w:t>
      </w:r>
      <w:bookmarkStart w:id="48485" w:name="_ETM_Q95_420470"/>
      <w:bookmarkEnd w:id="48485"/>
      <w:r>
        <w:rPr>
          <w:rFonts w:hint="cs"/>
          <w:rtl/>
        </w:rPr>
        <w:t>סבירות</w:t>
      </w:r>
      <w:bookmarkStart w:id="48486" w:name="_ETM_Q95_421220"/>
      <w:bookmarkEnd w:id="48486"/>
      <w:r>
        <w:rPr>
          <w:rFonts w:hint="cs"/>
          <w:rtl/>
        </w:rPr>
        <w:t xml:space="preserve"> אין </w:t>
      </w:r>
      <w:bookmarkStart w:id="48487" w:name="_ETM_Q95_421459"/>
      <w:bookmarkEnd w:id="48487"/>
      <w:r>
        <w:rPr>
          <w:rFonts w:hint="cs"/>
          <w:rtl/>
        </w:rPr>
        <w:t xml:space="preserve">יציבות. </w:t>
      </w:r>
      <w:bookmarkStart w:id="48488" w:name="_ETM_Q95_422510"/>
      <w:bookmarkEnd w:id="48488"/>
      <w:r>
        <w:rPr>
          <w:rFonts w:hint="cs"/>
          <w:rtl/>
        </w:rPr>
        <w:t xml:space="preserve">כל </w:t>
      </w:r>
      <w:bookmarkStart w:id="48489" w:name="_ETM_Q95_422930"/>
      <w:bookmarkEnd w:id="48489"/>
      <w:r>
        <w:rPr>
          <w:rFonts w:hint="cs"/>
          <w:rtl/>
        </w:rPr>
        <w:t xml:space="preserve">החלטה </w:t>
      </w:r>
      <w:bookmarkStart w:id="48490" w:name="_ETM_Q95_423890"/>
      <w:bookmarkEnd w:id="48490"/>
      <w:r>
        <w:rPr>
          <w:rFonts w:hint="cs"/>
          <w:rtl/>
        </w:rPr>
        <w:t xml:space="preserve">של </w:t>
      </w:r>
      <w:bookmarkStart w:id="48491" w:name="_ETM_Q95_424189"/>
      <w:bookmarkEnd w:id="48491"/>
      <w:r>
        <w:rPr>
          <w:rFonts w:hint="cs"/>
          <w:rtl/>
        </w:rPr>
        <w:t xml:space="preserve">כל </w:t>
      </w:r>
      <w:bookmarkStart w:id="48492" w:name="_ETM_Q95_424670"/>
      <w:bookmarkEnd w:id="48492"/>
      <w:r>
        <w:rPr>
          <w:rFonts w:hint="cs"/>
          <w:rtl/>
        </w:rPr>
        <w:t xml:space="preserve">ראש </w:t>
      </w:r>
      <w:bookmarkStart w:id="48493" w:name="_ETM_Q95_425060"/>
      <w:bookmarkEnd w:id="48493"/>
      <w:r>
        <w:rPr>
          <w:rFonts w:hint="cs"/>
          <w:rtl/>
        </w:rPr>
        <w:t xml:space="preserve">אגף </w:t>
      </w:r>
      <w:bookmarkStart w:id="48494" w:name="_ETM_Q95_425540"/>
      <w:bookmarkEnd w:id="48494"/>
      <w:r>
        <w:rPr>
          <w:rFonts w:hint="cs"/>
          <w:rtl/>
        </w:rPr>
        <w:t xml:space="preserve">בכל </w:t>
      </w:r>
      <w:bookmarkStart w:id="48495" w:name="_ETM_Q95_426140"/>
      <w:bookmarkEnd w:id="48495"/>
      <w:r>
        <w:rPr>
          <w:rFonts w:hint="cs"/>
          <w:rtl/>
        </w:rPr>
        <w:t xml:space="preserve">משרד </w:t>
      </w:r>
      <w:bookmarkStart w:id="48496" w:name="_ETM_Q95_426680"/>
      <w:bookmarkEnd w:id="48496"/>
      <w:r>
        <w:rPr>
          <w:rFonts w:hint="cs"/>
          <w:rtl/>
        </w:rPr>
        <w:t xml:space="preserve">ממשלתי </w:t>
      </w:r>
      <w:bookmarkStart w:id="48497" w:name="_ETM_Q95_427700"/>
      <w:bookmarkEnd w:id="48497"/>
      <w:r>
        <w:rPr>
          <w:rFonts w:hint="cs"/>
          <w:rtl/>
        </w:rPr>
        <w:t xml:space="preserve">יכולה </w:t>
      </w:r>
      <w:bookmarkStart w:id="48498" w:name="_ETM_Q95_428120"/>
      <w:bookmarkEnd w:id="48498"/>
      <w:r>
        <w:rPr>
          <w:rFonts w:hint="cs"/>
          <w:rtl/>
        </w:rPr>
        <w:t xml:space="preserve">להיות </w:t>
      </w:r>
      <w:bookmarkStart w:id="48499" w:name="_ETM_Q95_428299"/>
      <w:bookmarkEnd w:id="48499"/>
      <w:r>
        <w:rPr>
          <w:rFonts w:hint="cs"/>
          <w:rtl/>
        </w:rPr>
        <w:t xml:space="preserve">גם </w:t>
      </w:r>
      <w:bookmarkStart w:id="48500" w:name="_ETM_Q95_428450"/>
      <w:bookmarkEnd w:id="48500"/>
      <w:r>
        <w:rPr>
          <w:rFonts w:hint="cs"/>
          <w:rtl/>
        </w:rPr>
        <w:t xml:space="preserve">ההחלטה </w:t>
      </w:r>
      <w:bookmarkStart w:id="48501" w:name="_ETM_Q95_429049"/>
      <w:bookmarkEnd w:id="48501"/>
      <w:r>
        <w:rPr>
          <w:rFonts w:hint="cs"/>
          <w:rtl/>
        </w:rPr>
        <w:t xml:space="preserve">האחרונה </w:t>
      </w:r>
      <w:bookmarkStart w:id="48502" w:name="_ETM_Q95_429709"/>
      <w:bookmarkEnd w:id="48502"/>
      <w:r>
        <w:rPr>
          <w:rFonts w:hint="cs"/>
          <w:rtl/>
        </w:rPr>
        <w:t xml:space="preserve">שלו </w:t>
      </w:r>
      <w:bookmarkStart w:id="48503" w:name="_ETM_Q95_430159"/>
      <w:bookmarkEnd w:id="48503"/>
      <w:r>
        <w:rPr>
          <w:rFonts w:hint="cs"/>
          <w:rtl/>
        </w:rPr>
        <w:t xml:space="preserve">או </w:t>
      </w:r>
      <w:bookmarkStart w:id="48504" w:name="_ETM_Q95_430310"/>
      <w:bookmarkEnd w:id="48504"/>
      <w:r>
        <w:rPr>
          <w:rFonts w:hint="cs"/>
          <w:rtl/>
        </w:rPr>
        <w:t xml:space="preserve">שלה, </w:t>
      </w:r>
      <w:bookmarkStart w:id="48505" w:name="_ETM_Q95_431299"/>
      <w:bookmarkEnd w:id="48505"/>
      <w:r>
        <w:rPr>
          <w:rFonts w:hint="cs"/>
          <w:rtl/>
        </w:rPr>
        <w:t xml:space="preserve">כי </w:t>
      </w:r>
      <w:bookmarkStart w:id="48506" w:name="_ETM_Q95_431450"/>
      <w:bookmarkEnd w:id="48506"/>
      <w:r>
        <w:rPr>
          <w:rFonts w:hint="cs"/>
          <w:rtl/>
        </w:rPr>
        <w:t xml:space="preserve">אם </w:t>
      </w:r>
      <w:bookmarkStart w:id="48507" w:name="_ETM_Q95_431540"/>
      <w:bookmarkEnd w:id="48507"/>
      <w:r>
        <w:rPr>
          <w:rFonts w:hint="cs"/>
          <w:rtl/>
        </w:rPr>
        <w:t xml:space="preserve">היא </w:t>
      </w:r>
      <w:bookmarkStart w:id="48508" w:name="_ETM_Q95_431629"/>
      <w:bookmarkEnd w:id="48508"/>
      <w:r>
        <w:rPr>
          <w:rFonts w:hint="cs"/>
          <w:rtl/>
        </w:rPr>
        <w:t xml:space="preserve">לא </w:t>
      </w:r>
      <w:bookmarkStart w:id="48509" w:name="_ETM_Q95_431750"/>
      <w:bookmarkStart w:id="48510" w:name="_ETM_Q95_432140"/>
      <w:bookmarkEnd w:id="48509"/>
      <w:bookmarkEnd w:id="48510"/>
      <w:r>
        <w:rPr>
          <w:rFonts w:hint="cs"/>
          <w:rtl/>
        </w:rPr>
        <w:t xml:space="preserve">תמצא חן </w:t>
      </w:r>
      <w:bookmarkStart w:id="48511" w:name="_ETM_Q95_432470"/>
      <w:bookmarkEnd w:id="48511"/>
      <w:r>
        <w:rPr>
          <w:rFonts w:hint="cs"/>
          <w:rtl/>
        </w:rPr>
        <w:t xml:space="preserve">בעיני </w:t>
      </w:r>
      <w:bookmarkStart w:id="48512" w:name="_ETM_Q95_432860"/>
      <w:bookmarkEnd w:id="48512"/>
      <w:r>
        <w:rPr>
          <w:rFonts w:hint="cs"/>
          <w:rtl/>
        </w:rPr>
        <w:t xml:space="preserve">השר, </w:t>
      </w:r>
      <w:bookmarkStart w:id="48513" w:name="_ETM_Q95_434030"/>
      <w:bookmarkEnd w:id="48513"/>
      <w:r>
        <w:rPr>
          <w:rFonts w:hint="cs"/>
          <w:rtl/>
        </w:rPr>
        <w:t xml:space="preserve">היא יכולה </w:t>
      </w:r>
      <w:bookmarkStart w:id="48514" w:name="_ETM_Q95_434540"/>
      <w:bookmarkEnd w:id="48514"/>
      <w:r>
        <w:rPr>
          <w:rFonts w:hint="cs"/>
          <w:rtl/>
        </w:rPr>
        <w:t xml:space="preserve">להוביל </w:t>
      </w:r>
      <w:bookmarkStart w:id="48515" w:name="_ETM_Q95_435170"/>
      <w:bookmarkEnd w:id="48515"/>
      <w:r>
        <w:rPr>
          <w:rFonts w:hint="cs"/>
          <w:rtl/>
        </w:rPr>
        <w:t xml:space="preserve">לפיטורים </w:t>
      </w:r>
      <w:bookmarkStart w:id="48516" w:name="_ETM_Q95_435769"/>
      <w:bookmarkEnd w:id="48516"/>
      <w:r>
        <w:rPr>
          <w:rFonts w:hint="cs"/>
          <w:rtl/>
        </w:rPr>
        <w:t xml:space="preserve">שלהם. </w:t>
      </w:r>
      <w:bookmarkStart w:id="48517" w:name="_ETM_Q95_436760"/>
      <w:bookmarkEnd w:id="48517"/>
      <w:r>
        <w:rPr>
          <w:rFonts w:hint="cs"/>
          <w:rtl/>
        </w:rPr>
        <w:t xml:space="preserve">בוקר </w:t>
      </w:r>
      <w:bookmarkStart w:id="48518" w:name="_ETM_Q95_437150"/>
      <w:bookmarkEnd w:id="48518"/>
      <w:r>
        <w:rPr>
          <w:rFonts w:hint="cs"/>
          <w:rtl/>
        </w:rPr>
        <w:t xml:space="preserve">אחד </w:t>
      </w:r>
      <w:bookmarkStart w:id="48519" w:name="_ETM_Q95_437600"/>
      <w:bookmarkEnd w:id="48519"/>
      <w:r>
        <w:rPr>
          <w:rFonts w:hint="cs"/>
          <w:rtl/>
        </w:rPr>
        <w:t xml:space="preserve">יקום </w:t>
      </w:r>
      <w:bookmarkStart w:id="48520" w:name="_ETM_Q95_437900"/>
      <w:bookmarkEnd w:id="48520"/>
      <w:r>
        <w:rPr>
          <w:rFonts w:hint="cs"/>
          <w:rtl/>
        </w:rPr>
        <w:t xml:space="preserve">שר </w:t>
      </w:r>
      <w:bookmarkStart w:id="48521" w:name="_ETM_Q95_438229"/>
      <w:bookmarkEnd w:id="48521"/>
      <w:r>
        <w:rPr>
          <w:rFonts w:hint="cs"/>
          <w:rtl/>
        </w:rPr>
        <w:t xml:space="preserve">ויחליט </w:t>
      </w:r>
      <w:bookmarkStart w:id="48522" w:name="_ETM_Q95_438620"/>
      <w:bookmarkEnd w:id="48522"/>
      <w:r>
        <w:rPr>
          <w:rFonts w:hint="cs"/>
          <w:rtl/>
        </w:rPr>
        <w:t xml:space="preserve">שהוא </w:t>
      </w:r>
      <w:bookmarkStart w:id="48523" w:name="_ETM_Q95_438770"/>
      <w:bookmarkEnd w:id="48523"/>
      <w:r>
        <w:rPr>
          <w:rFonts w:hint="cs"/>
          <w:rtl/>
        </w:rPr>
        <w:t xml:space="preserve">רוצה </w:t>
      </w:r>
      <w:bookmarkStart w:id="48524" w:name="_ETM_Q95_439070"/>
      <w:bookmarkEnd w:id="48524"/>
      <w:r>
        <w:rPr>
          <w:rFonts w:hint="cs"/>
          <w:rtl/>
        </w:rPr>
        <w:t xml:space="preserve">למחוק </w:t>
      </w:r>
      <w:bookmarkStart w:id="48525" w:name="_ETM_Q95_439770"/>
      <w:bookmarkEnd w:id="48525"/>
      <w:r>
        <w:rPr>
          <w:rFonts w:hint="cs"/>
          <w:rtl/>
        </w:rPr>
        <w:t xml:space="preserve">כפר; </w:t>
      </w:r>
      <w:bookmarkStart w:id="48526" w:name="_ETM_Q95_440760"/>
      <w:bookmarkEnd w:id="48526"/>
      <w:r>
        <w:rPr>
          <w:rFonts w:hint="cs"/>
          <w:rtl/>
        </w:rPr>
        <w:t xml:space="preserve">שהוא </w:t>
      </w:r>
      <w:bookmarkStart w:id="48527" w:name="_ETM_Q95_441000"/>
      <w:bookmarkEnd w:id="48527"/>
      <w:r>
        <w:rPr>
          <w:rFonts w:hint="cs"/>
          <w:rtl/>
        </w:rPr>
        <w:t xml:space="preserve">רוצה, </w:t>
      </w:r>
      <w:bookmarkStart w:id="48528" w:name="_ETM_Q95_442249"/>
      <w:bookmarkEnd w:id="48528"/>
      <w:r>
        <w:rPr>
          <w:rFonts w:hint="cs"/>
          <w:rtl/>
        </w:rPr>
        <w:t xml:space="preserve">לצורך </w:t>
      </w:r>
      <w:bookmarkStart w:id="48529" w:name="_ETM_Q95_442610"/>
      <w:bookmarkEnd w:id="48529"/>
      <w:r>
        <w:rPr>
          <w:rFonts w:hint="cs"/>
          <w:rtl/>
        </w:rPr>
        <w:t xml:space="preserve">העניין, </w:t>
      </w:r>
      <w:bookmarkStart w:id="48530" w:name="_ETM_Q95_443240"/>
      <w:bookmarkEnd w:id="48530"/>
      <w:r>
        <w:rPr>
          <w:rFonts w:hint="cs"/>
          <w:rtl/>
        </w:rPr>
        <w:t xml:space="preserve">לבטל </w:t>
      </w:r>
      <w:bookmarkStart w:id="48531" w:name="_ETM_Q95_443779"/>
      <w:bookmarkEnd w:id="48531"/>
      <w:r>
        <w:rPr>
          <w:rFonts w:hint="cs"/>
          <w:rtl/>
        </w:rPr>
        <w:t xml:space="preserve">תוכניות </w:t>
      </w:r>
      <w:bookmarkStart w:id="48532" w:name="_ETM_Q95_444770"/>
      <w:bookmarkEnd w:id="48532"/>
      <w:r>
        <w:rPr>
          <w:rFonts w:hint="cs"/>
          <w:rtl/>
        </w:rPr>
        <w:t xml:space="preserve">לימוד, לקצץ שעות </w:t>
      </w:r>
      <w:bookmarkStart w:id="48533" w:name="_ETM_Q95_445589"/>
      <w:bookmarkStart w:id="48534" w:name="_ETM_Q95_446370"/>
      <w:bookmarkEnd w:id="48533"/>
      <w:bookmarkEnd w:id="48534"/>
      <w:r>
        <w:rPr>
          <w:rFonts w:hint="cs"/>
          <w:rtl/>
        </w:rPr>
        <w:t xml:space="preserve">לימוד </w:t>
      </w:r>
      <w:bookmarkStart w:id="48535" w:name="_ETM_Q95_446699"/>
      <w:bookmarkEnd w:id="48535"/>
      <w:r w:rsidR="00E315D7">
        <w:rPr>
          <w:rFonts w:hint="cs"/>
          <w:rtl/>
        </w:rPr>
        <w:t>ב</w:t>
      </w:r>
      <w:r>
        <w:rPr>
          <w:rFonts w:hint="cs"/>
          <w:rtl/>
        </w:rPr>
        <w:t xml:space="preserve">בית </w:t>
      </w:r>
      <w:bookmarkStart w:id="48536" w:name="_ETM_Q95_447210"/>
      <w:bookmarkEnd w:id="48536"/>
      <w:r>
        <w:rPr>
          <w:rFonts w:hint="cs"/>
          <w:rtl/>
        </w:rPr>
        <w:t xml:space="preserve">ספר </w:t>
      </w:r>
      <w:bookmarkStart w:id="48537" w:name="_ETM_Q95_447510"/>
      <w:bookmarkEnd w:id="48537"/>
      <w:r>
        <w:rPr>
          <w:rFonts w:hint="cs"/>
          <w:rtl/>
        </w:rPr>
        <w:t xml:space="preserve">בשכונה </w:t>
      </w:r>
      <w:bookmarkStart w:id="48538" w:name="_ETM_Q95_447960"/>
      <w:bookmarkEnd w:id="48538"/>
      <w:r>
        <w:rPr>
          <w:rFonts w:hint="cs"/>
          <w:rtl/>
        </w:rPr>
        <w:t xml:space="preserve">מסוימת </w:t>
      </w:r>
      <w:bookmarkStart w:id="48539" w:name="_ETM_Q95_448620"/>
      <w:bookmarkEnd w:id="48539"/>
      <w:r>
        <w:rPr>
          <w:rFonts w:hint="cs"/>
          <w:rtl/>
        </w:rPr>
        <w:t xml:space="preserve">או </w:t>
      </w:r>
      <w:bookmarkStart w:id="48540" w:name="_ETM_Q95_449150"/>
      <w:bookmarkEnd w:id="48540"/>
      <w:r>
        <w:rPr>
          <w:rFonts w:hint="cs"/>
          <w:rtl/>
        </w:rPr>
        <w:t xml:space="preserve">לבטל </w:t>
      </w:r>
      <w:bookmarkStart w:id="48541" w:name="_ETM_Q95_449720"/>
      <w:bookmarkEnd w:id="48541"/>
      <w:r>
        <w:rPr>
          <w:rFonts w:hint="cs"/>
          <w:rtl/>
        </w:rPr>
        <w:t xml:space="preserve">יבוא </w:t>
      </w:r>
      <w:bookmarkStart w:id="48542" w:name="_ETM_Q95_450080"/>
      <w:bookmarkEnd w:id="48542"/>
      <w:r>
        <w:rPr>
          <w:rFonts w:hint="cs"/>
          <w:rtl/>
        </w:rPr>
        <w:t xml:space="preserve">של </w:t>
      </w:r>
      <w:bookmarkStart w:id="48543" w:name="_ETM_Q95_450289"/>
      <w:bookmarkEnd w:id="48543"/>
      <w:r>
        <w:rPr>
          <w:rFonts w:hint="cs"/>
          <w:rtl/>
        </w:rPr>
        <w:t xml:space="preserve">מוצר </w:t>
      </w:r>
      <w:bookmarkStart w:id="48544" w:name="_ETM_Q95_451669"/>
      <w:bookmarkEnd w:id="48544"/>
      <w:r>
        <w:rPr>
          <w:rFonts w:hint="cs"/>
          <w:rtl/>
        </w:rPr>
        <w:t xml:space="preserve">ממקום </w:t>
      </w:r>
      <w:bookmarkStart w:id="48545" w:name="_ETM_Q95_452060"/>
      <w:bookmarkEnd w:id="48545"/>
      <w:r>
        <w:rPr>
          <w:rFonts w:hint="cs"/>
          <w:rtl/>
        </w:rPr>
        <w:t>מסוים</w:t>
      </w:r>
      <w:r w:rsidR="00E315D7">
        <w:rPr>
          <w:rFonts w:hint="cs"/>
          <w:rtl/>
        </w:rPr>
        <w:t>,</w:t>
      </w:r>
      <w:r>
        <w:rPr>
          <w:rFonts w:hint="cs"/>
          <w:rtl/>
        </w:rPr>
        <w:t xml:space="preserve"> </w:t>
      </w:r>
      <w:bookmarkStart w:id="48546" w:name="_ETM_Q95_452509"/>
      <w:bookmarkEnd w:id="48546"/>
      <w:r>
        <w:rPr>
          <w:rFonts w:hint="cs"/>
          <w:rtl/>
        </w:rPr>
        <w:t xml:space="preserve">כי </w:t>
      </w:r>
      <w:bookmarkStart w:id="48547" w:name="_ETM_Q95_453470"/>
      <w:bookmarkEnd w:id="48547"/>
      <w:r>
        <w:rPr>
          <w:rFonts w:hint="cs"/>
          <w:rtl/>
        </w:rPr>
        <w:t xml:space="preserve">– לא </w:t>
      </w:r>
      <w:bookmarkStart w:id="48548" w:name="_ETM_Q95_453620"/>
      <w:bookmarkEnd w:id="48548"/>
      <w:r>
        <w:rPr>
          <w:rFonts w:hint="cs"/>
          <w:rtl/>
        </w:rPr>
        <w:t xml:space="preserve">משנה </w:t>
      </w:r>
      <w:bookmarkStart w:id="48549" w:name="_ETM_Q95_453979"/>
      <w:bookmarkEnd w:id="48549"/>
      <w:r>
        <w:rPr>
          <w:rFonts w:hint="cs"/>
          <w:rtl/>
        </w:rPr>
        <w:t>למה</w:t>
      </w:r>
      <w:bookmarkStart w:id="48550" w:name="_ETM_Q95_454819"/>
      <w:bookmarkEnd w:id="48550"/>
      <w:r>
        <w:rPr>
          <w:rtl/>
        </w:rPr>
        <w:t xml:space="preserve"> </w:t>
      </w:r>
      <w:r>
        <w:rPr>
          <w:rFonts w:hint="cs"/>
          <w:rtl/>
        </w:rPr>
        <w:t xml:space="preserve">החליט </w:t>
      </w:r>
      <w:bookmarkStart w:id="48551" w:name="_ETM_Q95_455210"/>
      <w:bookmarkEnd w:id="48551"/>
      <w:r>
        <w:rPr>
          <w:rFonts w:hint="cs"/>
          <w:rtl/>
        </w:rPr>
        <w:t>השר</w:t>
      </w:r>
      <w:bookmarkStart w:id="48552" w:name="_ETM_Q95_456389"/>
      <w:bookmarkEnd w:id="48552"/>
      <w:r>
        <w:rPr>
          <w:rFonts w:hint="cs"/>
          <w:rtl/>
        </w:rPr>
        <w:t xml:space="preserve">. בלי </w:t>
      </w:r>
      <w:bookmarkStart w:id="48553" w:name="_ETM_Q95_456690"/>
      <w:bookmarkStart w:id="48554" w:name="_ETM_Q95_456659"/>
      <w:bookmarkEnd w:id="48553"/>
      <w:bookmarkEnd w:id="48554"/>
      <w:r>
        <w:rPr>
          <w:rFonts w:hint="cs"/>
          <w:rtl/>
        </w:rPr>
        <w:t xml:space="preserve">סבירות </w:t>
      </w:r>
      <w:bookmarkStart w:id="48555" w:name="_ETM_Q95_457800"/>
      <w:bookmarkEnd w:id="48555"/>
      <w:r>
        <w:rPr>
          <w:rFonts w:hint="cs"/>
          <w:rtl/>
        </w:rPr>
        <w:t xml:space="preserve">אין </w:t>
      </w:r>
      <w:bookmarkStart w:id="48556" w:name="_ETM_Q95_458389"/>
      <w:bookmarkEnd w:id="48556"/>
      <w:r>
        <w:rPr>
          <w:rFonts w:hint="cs"/>
          <w:rtl/>
        </w:rPr>
        <w:t xml:space="preserve">יציבות, </w:t>
      </w:r>
      <w:bookmarkStart w:id="48557" w:name="_ETM_Q95_459110"/>
      <w:bookmarkEnd w:id="48557"/>
      <w:r>
        <w:rPr>
          <w:rFonts w:hint="cs"/>
          <w:rtl/>
        </w:rPr>
        <w:t xml:space="preserve">וחוסר </w:t>
      </w:r>
      <w:bookmarkStart w:id="48558" w:name="_ETM_Q95_459740"/>
      <w:bookmarkEnd w:id="48558"/>
      <w:r>
        <w:rPr>
          <w:rFonts w:hint="cs"/>
          <w:rtl/>
        </w:rPr>
        <w:t xml:space="preserve">יציבות </w:t>
      </w:r>
      <w:bookmarkStart w:id="48559" w:name="_ETM_Q95_460400"/>
      <w:bookmarkEnd w:id="48559"/>
      <w:r>
        <w:rPr>
          <w:rFonts w:hint="cs"/>
          <w:rtl/>
        </w:rPr>
        <w:t xml:space="preserve">פוגע </w:t>
      </w:r>
      <w:bookmarkStart w:id="48560" w:name="_ETM_Q95_460849"/>
      <w:bookmarkEnd w:id="48560"/>
      <w:r>
        <w:rPr>
          <w:rFonts w:hint="cs"/>
          <w:rtl/>
        </w:rPr>
        <w:t xml:space="preserve">בשוק. </w:t>
      </w:r>
      <w:bookmarkStart w:id="48561" w:name="_ETM_Q95_461789"/>
      <w:bookmarkEnd w:id="48561"/>
      <w:r>
        <w:rPr>
          <w:rFonts w:hint="cs"/>
          <w:rtl/>
        </w:rPr>
        <w:t xml:space="preserve">עסקים </w:t>
      </w:r>
      <w:bookmarkStart w:id="48562" w:name="_ETM_Q95_462690"/>
      <w:bookmarkEnd w:id="48562"/>
      <w:r>
        <w:rPr>
          <w:rFonts w:hint="cs"/>
          <w:rtl/>
        </w:rPr>
        <w:t xml:space="preserve">לא </w:t>
      </w:r>
      <w:bookmarkStart w:id="48563" w:name="_ETM_Q95_463020"/>
      <w:bookmarkEnd w:id="48563"/>
      <w:r>
        <w:rPr>
          <w:rFonts w:hint="cs"/>
          <w:rtl/>
        </w:rPr>
        <w:t xml:space="preserve">יכולים </w:t>
      </w:r>
      <w:bookmarkStart w:id="48564" w:name="_ETM_Q95_463710"/>
      <w:bookmarkEnd w:id="48564"/>
      <w:r>
        <w:rPr>
          <w:rFonts w:hint="cs"/>
          <w:rtl/>
        </w:rPr>
        <w:t xml:space="preserve">להתנהל </w:t>
      </w:r>
      <w:bookmarkStart w:id="48565" w:name="_ETM_Q95_464339"/>
      <w:bookmarkEnd w:id="48565"/>
      <w:r>
        <w:rPr>
          <w:rFonts w:hint="cs"/>
          <w:rtl/>
        </w:rPr>
        <w:t xml:space="preserve">בלי </w:t>
      </w:r>
      <w:bookmarkStart w:id="48566" w:name="_ETM_Q95_464729"/>
      <w:bookmarkEnd w:id="48566"/>
      <w:r>
        <w:rPr>
          <w:rFonts w:hint="cs"/>
          <w:rtl/>
        </w:rPr>
        <w:t xml:space="preserve">יציבות </w:t>
      </w:r>
      <w:bookmarkStart w:id="48567" w:name="_ETM_Q95_465389"/>
      <w:bookmarkEnd w:id="48567"/>
      <w:r>
        <w:rPr>
          <w:rFonts w:hint="cs"/>
          <w:rtl/>
        </w:rPr>
        <w:t xml:space="preserve">לעתיד. </w:t>
      </w:r>
      <w:bookmarkStart w:id="48568" w:name="_ETM_Q95_467089"/>
      <w:bookmarkStart w:id="48569" w:name="_ETM_Q95_468180"/>
      <w:bookmarkEnd w:id="48568"/>
      <w:bookmarkEnd w:id="48569"/>
    </w:p>
    <w:p w:rsidR="00BB59CD" w:rsidRDefault="00BB59CD" w:rsidP="00BB59CD">
      <w:pPr>
        <w:rPr>
          <w:rtl/>
        </w:rPr>
      </w:pPr>
      <w:bookmarkStart w:id="48570" w:name="_ETM_Q95_469221"/>
      <w:bookmarkEnd w:id="48570"/>
    </w:p>
    <w:p w:rsidR="00BB59CD" w:rsidRDefault="00BB59CD" w:rsidP="00BB59CD">
      <w:pPr>
        <w:rPr>
          <w:rtl/>
        </w:rPr>
      </w:pPr>
      <w:bookmarkStart w:id="48571" w:name="_ETM_Q95_469377"/>
      <w:bookmarkStart w:id="48572" w:name="_ETM_Q95_469420"/>
      <w:bookmarkStart w:id="48573" w:name="_ETM_Q95_469480"/>
      <w:bookmarkEnd w:id="48571"/>
      <w:bookmarkEnd w:id="48572"/>
      <w:bookmarkEnd w:id="48573"/>
      <w:r>
        <w:rPr>
          <w:rFonts w:hint="cs"/>
          <w:rtl/>
        </w:rPr>
        <w:t xml:space="preserve">אדוני </w:t>
      </w:r>
      <w:bookmarkStart w:id="48574" w:name="_ETM_Q95_468479"/>
      <w:bookmarkEnd w:id="48574"/>
      <w:r>
        <w:rPr>
          <w:rFonts w:hint="cs"/>
          <w:rtl/>
        </w:rPr>
        <w:t xml:space="preserve">השר </w:t>
      </w:r>
      <w:bookmarkStart w:id="48575" w:name="_ETM_Q95_468750"/>
      <w:bookmarkEnd w:id="48575"/>
      <w:r>
        <w:rPr>
          <w:rFonts w:hint="cs"/>
          <w:rtl/>
        </w:rPr>
        <w:t xml:space="preserve">ברקת, </w:t>
      </w:r>
      <w:bookmarkStart w:id="48576" w:name="_ETM_Q95_469770"/>
      <w:bookmarkEnd w:id="48576"/>
      <w:r>
        <w:rPr>
          <w:rFonts w:hint="cs"/>
          <w:rtl/>
        </w:rPr>
        <w:t xml:space="preserve">למה </w:t>
      </w:r>
      <w:bookmarkStart w:id="48577" w:name="_ETM_Q95_470219"/>
      <w:bookmarkEnd w:id="48577"/>
      <w:r>
        <w:rPr>
          <w:rFonts w:hint="cs"/>
          <w:rtl/>
        </w:rPr>
        <w:t xml:space="preserve">שמחה </w:t>
      </w:r>
      <w:bookmarkStart w:id="48578" w:name="_ETM_Q95_470669"/>
      <w:bookmarkEnd w:id="48578"/>
      <w:r>
        <w:rPr>
          <w:rFonts w:hint="cs"/>
          <w:rtl/>
        </w:rPr>
        <w:t xml:space="preserve">רוטמן, </w:t>
      </w:r>
      <w:bookmarkStart w:id="48579" w:name="_ETM_Q95_471330"/>
      <w:bookmarkEnd w:id="48579"/>
      <w:r>
        <w:rPr>
          <w:rFonts w:hint="cs"/>
          <w:rtl/>
        </w:rPr>
        <w:t xml:space="preserve">חבר </w:t>
      </w:r>
      <w:bookmarkStart w:id="48580" w:name="_ETM_Q95_471749"/>
      <w:bookmarkEnd w:id="48580"/>
      <w:r>
        <w:rPr>
          <w:rFonts w:hint="cs"/>
          <w:rtl/>
        </w:rPr>
        <w:t xml:space="preserve">הכנסת </w:t>
      </w:r>
      <w:bookmarkStart w:id="48581" w:name="_ETM_Q95_472199"/>
      <w:bookmarkStart w:id="48582" w:name="_ETM_Q95_472409"/>
      <w:bookmarkEnd w:id="48581"/>
      <w:bookmarkEnd w:id="48582"/>
      <w:r>
        <w:rPr>
          <w:rFonts w:hint="cs"/>
          <w:rtl/>
        </w:rPr>
        <w:t xml:space="preserve">רוטמן, </w:t>
      </w:r>
      <w:bookmarkStart w:id="48583" w:name="_ETM_Q95_472529"/>
      <w:bookmarkEnd w:id="48583"/>
      <w:r>
        <w:rPr>
          <w:rFonts w:hint="cs"/>
          <w:rtl/>
        </w:rPr>
        <w:t xml:space="preserve">לא </w:t>
      </w:r>
      <w:bookmarkStart w:id="48584" w:name="_ETM_Q95_472650"/>
      <w:bookmarkEnd w:id="48584"/>
      <w:r>
        <w:rPr>
          <w:rFonts w:hint="cs"/>
          <w:rtl/>
        </w:rPr>
        <w:t xml:space="preserve">מוצא </w:t>
      </w:r>
      <w:bookmarkStart w:id="48585" w:name="_ETM_Q95_473039"/>
      <w:bookmarkEnd w:id="48585"/>
      <w:r>
        <w:rPr>
          <w:rFonts w:hint="cs"/>
          <w:rtl/>
        </w:rPr>
        <w:t xml:space="preserve">מומחים </w:t>
      </w:r>
      <w:bookmarkStart w:id="48586" w:name="_ETM_Q95_473520"/>
      <w:bookmarkEnd w:id="48586"/>
      <w:r>
        <w:rPr>
          <w:rFonts w:hint="cs"/>
          <w:rtl/>
        </w:rPr>
        <w:t xml:space="preserve">שיתמכו </w:t>
      </w:r>
      <w:bookmarkStart w:id="48587" w:name="_ETM_Q95_474440"/>
      <w:bookmarkEnd w:id="48587"/>
      <w:r>
        <w:rPr>
          <w:rFonts w:hint="cs"/>
          <w:rtl/>
        </w:rPr>
        <w:t xml:space="preserve">בחוק </w:t>
      </w:r>
      <w:bookmarkStart w:id="48588" w:name="_ETM_Q95_474890"/>
      <w:bookmarkEnd w:id="48588"/>
      <w:r>
        <w:rPr>
          <w:rFonts w:hint="cs"/>
          <w:rtl/>
        </w:rPr>
        <w:t xml:space="preserve">הזה </w:t>
      </w:r>
      <w:bookmarkStart w:id="48589" w:name="_ETM_Q95_475130"/>
      <w:bookmarkEnd w:id="48589"/>
      <w:r>
        <w:rPr>
          <w:rFonts w:hint="cs"/>
          <w:rtl/>
        </w:rPr>
        <w:t xml:space="preserve">שלו? </w:t>
      </w:r>
      <w:bookmarkStart w:id="48590" w:name="_ETM_Q95_475790"/>
      <w:bookmarkEnd w:id="48590"/>
      <w:r>
        <w:rPr>
          <w:rFonts w:hint="cs"/>
          <w:rtl/>
        </w:rPr>
        <w:t xml:space="preserve">כי </w:t>
      </w:r>
      <w:bookmarkStart w:id="48591" w:name="_ETM_Q95_475970"/>
      <w:bookmarkEnd w:id="48591"/>
      <w:r>
        <w:rPr>
          <w:rFonts w:hint="cs"/>
          <w:rtl/>
        </w:rPr>
        <w:t xml:space="preserve">כולם </w:t>
      </w:r>
      <w:bookmarkStart w:id="48592" w:name="_ETM_Q95_476870"/>
      <w:bookmarkEnd w:id="48592"/>
      <w:r>
        <w:rPr>
          <w:rFonts w:hint="cs"/>
          <w:rtl/>
        </w:rPr>
        <w:t xml:space="preserve">מבינים </w:t>
      </w:r>
      <w:bookmarkStart w:id="48593" w:name="_ETM_Q95_477740"/>
      <w:bookmarkEnd w:id="48593"/>
      <w:r>
        <w:rPr>
          <w:rFonts w:hint="cs"/>
          <w:rtl/>
        </w:rPr>
        <w:t xml:space="preserve">איזה </w:t>
      </w:r>
      <w:bookmarkStart w:id="48594" w:name="_ETM_Q95_478010"/>
      <w:bookmarkEnd w:id="48594"/>
      <w:r>
        <w:rPr>
          <w:rFonts w:hint="cs"/>
          <w:rtl/>
        </w:rPr>
        <w:t xml:space="preserve">כאוס </w:t>
      </w:r>
      <w:bookmarkStart w:id="48595" w:name="_ETM_Q95_478550"/>
      <w:bookmarkEnd w:id="48595"/>
      <w:r>
        <w:rPr>
          <w:rFonts w:hint="cs"/>
          <w:rtl/>
        </w:rPr>
        <w:t xml:space="preserve">יהיה </w:t>
      </w:r>
      <w:bookmarkStart w:id="48596" w:name="_ETM_Q95_478700"/>
      <w:bookmarkEnd w:id="48596"/>
      <w:r>
        <w:rPr>
          <w:rFonts w:hint="cs"/>
          <w:rtl/>
        </w:rPr>
        <w:t xml:space="preserve">פה </w:t>
      </w:r>
      <w:bookmarkStart w:id="48597" w:name="_ETM_Q95_478850"/>
      <w:bookmarkEnd w:id="48597"/>
      <w:r>
        <w:rPr>
          <w:rFonts w:hint="cs"/>
          <w:rtl/>
        </w:rPr>
        <w:t xml:space="preserve">יום </w:t>
      </w:r>
      <w:bookmarkStart w:id="48598" w:name="_ETM_Q95_479060"/>
      <w:bookmarkEnd w:id="48598"/>
      <w:r>
        <w:rPr>
          <w:rFonts w:hint="cs"/>
          <w:rtl/>
        </w:rPr>
        <w:t xml:space="preserve">אחרי. </w:t>
      </w:r>
      <w:bookmarkStart w:id="48599" w:name="_ETM_Q95_479930"/>
      <w:bookmarkEnd w:id="48599"/>
      <w:r>
        <w:rPr>
          <w:rFonts w:hint="cs"/>
          <w:rtl/>
        </w:rPr>
        <w:t xml:space="preserve">מדרדרים </w:t>
      </w:r>
      <w:bookmarkStart w:id="48600" w:name="_ETM_Q95_480680"/>
      <w:bookmarkStart w:id="48601" w:name="_ETM_Q95_481230"/>
      <w:bookmarkEnd w:id="48600"/>
      <w:bookmarkEnd w:id="48601"/>
      <w:r>
        <w:rPr>
          <w:rFonts w:hint="cs"/>
          <w:rtl/>
        </w:rPr>
        <w:t xml:space="preserve">מדינה </w:t>
      </w:r>
      <w:bookmarkStart w:id="48602" w:name="_ETM_Q95_481680"/>
      <w:bookmarkEnd w:id="48602"/>
      <w:r>
        <w:rPr>
          <w:rFonts w:hint="cs"/>
          <w:rtl/>
        </w:rPr>
        <w:t xml:space="preserve">שלמה </w:t>
      </w:r>
      <w:bookmarkStart w:id="48603" w:name="_ETM_Q95_482279"/>
      <w:bookmarkEnd w:id="48603"/>
      <w:r>
        <w:rPr>
          <w:rFonts w:hint="cs"/>
          <w:rtl/>
        </w:rPr>
        <w:t xml:space="preserve">לתהום </w:t>
      </w:r>
      <w:bookmarkStart w:id="48604" w:name="_ETM_Q95_482700"/>
      <w:bookmarkEnd w:id="48604"/>
      <w:r>
        <w:rPr>
          <w:rFonts w:hint="cs"/>
          <w:rtl/>
        </w:rPr>
        <w:t xml:space="preserve">של סחטנות </w:t>
      </w:r>
      <w:bookmarkStart w:id="48605" w:name="_ETM_Q95_484220"/>
      <w:bookmarkEnd w:id="48605"/>
      <w:r>
        <w:rPr>
          <w:rFonts w:hint="cs"/>
          <w:rtl/>
        </w:rPr>
        <w:t>ו</w:t>
      </w:r>
      <w:bookmarkStart w:id="48606" w:name="_ETM_Q95_484520"/>
      <w:bookmarkEnd w:id="48606"/>
      <w:r>
        <w:rPr>
          <w:rFonts w:hint="cs"/>
          <w:rtl/>
        </w:rPr>
        <w:t xml:space="preserve">של שחיתות </w:t>
      </w:r>
      <w:bookmarkStart w:id="48607" w:name="_ETM_Q95_484910"/>
      <w:bookmarkEnd w:id="48607"/>
      <w:r>
        <w:rPr>
          <w:rFonts w:hint="cs"/>
          <w:rtl/>
        </w:rPr>
        <w:t xml:space="preserve">ביורוקרטית. </w:t>
      </w:r>
      <w:bookmarkStart w:id="48608" w:name="_ETM_Q95_486759"/>
      <w:bookmarkStart w:id="48609" w:name="_ETM_Q95_487390"/>
      <w:bookmarkEnd w:id="48608"/>
      <w:bookmarkEnd w:id="48609"/>
    </w:p>
    <w:p w:rsidR="00BB59CD" w:rsidRDefault="00BB59CD" w:rsidP="00BB59CD">
      <w:pPr>
        <w:rPr>
          <w:rtl/>
        </w:rPr>
      </w:pPr>
    </w:p>
    <w:p w:rsidR="00BB59CD" w:rsidRDefault="00BB59CD" w:rsidP="00BB59CD">
      <w:pPr>
        <w:rPr>
          <w:rtl/>
        </w:rPr>
      </w:pPr>
      <w:r>
        <w:rPr>
          <w:rFonts w:hint="cs"/>
          <w:rtl/>
        </w:rPr>
        <w:t xml:space="preserve">אדוני </w:t>
      </w:r>
      <w:bookmarkStart w:id="48610" w:name="_ETM_Q95_487720"/>
      <w:bookmarkEnd w:id="48610"/>
      <w:r>
        <w:rPr>
          <w:rFonts w:hint="cs"/>
          <w:rtl/>
        </w:rPr>
        <w:t xml:space="preserve">השר, </w:t>
      </w:r>
      <w:bookmarkStart w:id="48611" w:name="_ETM_Q95_487990"/>
      <w:bookmarkEnd w:id="48611"/>
      <w:r>
        <w:rPr>
          <w:rFonts w:hint="cs"/>
          <w:rtl/>
        </w:rPr>
        <w:t xml:space="preserve">אותך </w:t>
      </w:r>
      <w:bookmarkStart w:id="48612" w:name="_ETM_Q95_488380"/>
      <w:bookmarkEnd w:id="48612"/>
      <w:r>
        <w:rPr>
          <w:rFonts w:hint="cs"/>
          <w:rtl/>
        </w:rPr>
        <w:t xml:space="preserve">אני </w:t>
      </w:r>
      <w:bookmarkStart w:id="48613" w:name="_ETM_Q95_488529"/>
      <w:bookmarkEnd w:id="48613"/>
      <w:r>
        <w:rPr>
          <w:rFonts w:hint="cs"/>
          <w:rtl/>
        </w:rPr>
        <w:t xml:space="preserve">מעריך, </w:t>
      </w:r>
      <w:bookmarkStart w:id="48614" w:name="_ETM_Q95_489670"/>
      <w:bookmarkEnd w:id="48614"/>
      <w:r>
        <w:rPr>
          <w:rFonts w:hint="cs"/>
          <w:rtl/>
        </w:rPr>
        <w:t xml:space="preserve">על </w:t>
      </w:r>
      <w:bookmarkStart w:id="48615" w:name="_ETM_Q95_489820"/>
      <w:bookmarkEnd w:id="48615"/>
      <w:r>
        <w:rPr>
          <w:rFonts w:hint="cs"/>
          <w:rtl/>
        </w:rPr>
        <w:t xml:space="preserve">אמת. </w:t>
      </w:r>
      <w:bookmarkStart w:id="48616" w:name="_ETM_Q95_491460"/>
      <w:bookmarkEnd w:id="48616"/>
      <w:r>
        <w:rPr>
          <w:rFonts w:hint="cs"/>
          <w:rtl/>
        </w:rPr>
        <w:t xml:space="preserve">אני </w:t>
      </w:r>
      <w:bookmarkStart w:id="48617" w:name="_ETM_Q95_491610"/>
      <w:bookmarkEnd w:id="48617"/>
      <w:r>
        <w:rPr>
          <w:rFonts w:hint="cs"/>
          <w:rtl/>
        </w:rPr>
        <w:t xml:space="preserve">לא </w:t>
      </w:r>
      <w:bookmarkStart w:id="48618" w:name="_ETM_Q95_491670"/>
      <w:bookmarkEnd w:id="48618"/>
      <w:r>
        <w:rPr>
          <w:rFonts w:hint="cs"/>
          <w:rtl/>
        </w:rPr>
        <w:t xml:space="preserve">מצליח </w:t>
      </w:r>
      <w:bookmarkStart w:id="48619" w:name="_ETM_Q95_492000"/>
      <w:bookmarkEnd w:id="48619"/>
      <w:r>
        <w:rPr>
          <w:rFonts w:hint="cs"/>
          <w:rtl/>
        </w:rPr>
        <w:t xml:space="preserve">להבין </w:t>
      </w:r>
      <w:bookmarkStart w:id="48620" w:name="_ETM_Q95_492420"/>
      <w:bookmarkEnd w:id="48620"/>
      <w:r>
        <w:rPr>
          <w:rFonts w:hint="cs"/>
          <w:rtl/>
        </w:rPr>
        <w:t xml:space="preserve">למה </w:t>
      </w:r>
      <w:bookmarkStart w:id="48621" w:name="_ETM_Q95_492719"/>
      <w:bookmarkEnd w:id="48621"/>
      <w:r>
        <w:rPr>
          <w:rFonts w:hint="cs"/>
          <w:rtl/>
        </w:rPr>
        <w:t xml:space="preserve">הממשלה </w:t>
      </w:r>
      <w:bookmarkStart w:id="48622" w:name="_ETM_Q95_493200"/>
      <w:bookmarkEnd w:id="48622"/>
      <w:r>
        <w:rPr>
          <w:rFonts w:hint="cs"/>
          <w:rtl/>
        </w:rPr>
        <w:t xml:space="preserve">הזו </w:t>
      </w:r>
      <w:bookmarkStart w:id="48623" w:name="_ETM_Q95_493410"/>
      <w:bookmarkEnd w:id="48623"/>
      <w:r>
        <w:rPr>
          <w:rFonts w:hint="cs"/>
          <w:rtl/>
        </w:rPr>
        <w:t xml:space="preserve">מתנגדת </w:t>
      </w:r>
      <w:bookmarkStart w:id="48624" w:name="_ETM_Q95_493889"/>
      <w:bookmarkStart w:id="48625" w:name="_ETM_Q95_494040"/>
      <w:bookmarkEnd w:id="48624"/>
      <w:bookmarkEnd w:id="48625"/>
      <w:r>
        <w:rPr>
          <w:rFonts w:hint="cs"/>
          <w:rtl/>
        </w:rPr>
        <w:t xml:space="preserve">לנתונים </w:t>
      </w:r>
      <w:bookmarkStart w:id="48626" w:name="_ETM_Q95_494969"/>
      <w:bookmarkEnd w:id="48626"/>
      <w:r>
        <w:rPr>
          <w:rFonts w:hint="cs"/>
          <w:rtl/>
        </w:rPr>
        <w:t xml:space="preserve">ולעובדות. </w:t>
      </w:r>
      <w:bookmarkStart w:id="48627" w:name="_ETM_Q95_496700"/>
      <w:bookmarkEnd w:id="48627"/>
      <w:r>
        <w:rPr>
          <w:rFonts w:hint="cs"/>
          <w:rtl/>
        </w:rPr>
        <w:t xml:space="preserve">תגיד </w:t>
      </w:r>
      <w:bookmarkStart w:id="48628" w:name="_ETM_Q95_496970"/>
      <w:bookmarkEnd w:id="48628"/>
      <w:r>
        <w:rPr>
          <w:rFonts w:hint="cs"/>
          <w:rtl/>
        </w:rPr>
        <w:t xml:space="preserve">לי </w:t>
      </w:r>
      <w:bookmarkStart w:id="48629" w:name="_ETM_Q95_497089"/>
      <w:bookmarkEnd w:id="48629"/>
      <w:r>
        <w:rPr>
          <w:rFonts w:hint="cs"/>
          <w:rtl/>
        </w:rPr>
        <w:t xml:space="preserve">אתה, </w:t>
      </w:r>
      <w:bookmarkStart w:id="48630" w:name="_ETM_Q95_497300"/>
      <w:bookmarkEnd w:id="48630"/>
      <w:r>
        <w:rPr>
          <w:rFonts w:hint="cs"/>
          <w:rtl/>
        </w:rPr>
        <w:t xml:space="preserve">אדוני </w:t>
      </w:r>
      <w:bookmarkStart w:id="48631" w:name="_ETM_Q95_497630"/>
      <w:bookmarkEnd w:id="48631"/>
      <w:r>
        <w:rPr>
          <w:rFonts w:hint="cs"/>
          <w:rtl/>
        </w:rPr>
        <w:t xml:space="preserve">השר, </w:t>
      </w:r>
      <w:bookmarkStart w:id="48632" w:name="_ETM_Q95_498020"/>
      <w:bookmarkEnd w:id="48632"/>
      <w:r>
        <w:rPr>
          <w:rFonts w:hint="cs"/>
          <w:rtl/>
        </w:rPr>
        <w:t xml:space="preserve">שר </w:t>
      </w:r>
      <w:bookmarkStart w:id="48633" w:name="_ETM_Q95_498230"/>
      <w:bookmarkEnd w:id="48633"/>
      <w:r>
        <w:rPr>
          <w:rFonts w:hint="cs"/>
          <w:rtl/>
        </w:rPr>
        <w:t xml:space="preserve">הכלכלה, </w:t>
      </w:r>
      <w:bookmarkStart w:id="48634" w:name="_ETM_Q95_499160"/>
      <w:bookmarkEnd w:id="48634"/>
      <w:r>
        <w:rPr>
          <w:rFonts w:hint="cs"/>
          <w:rtl/>
        </w:rPr>
        <w:t xml:space="preserve">כמה </w:t>
      </w:r>
      <w:bookmarkStart w:id="48635" w:name="_ETM_Q95_499550"/>
      <w:bookmarkEnd w:id="48635"/>
      <w:r>
        <w:rPr>
          <w:rFonts w:hint="cs"/>
          <w:rtl/>
        </w:rPr>
        <w:t xml:space="preserve">דיונים </w:t>
      </w:r>
      <w:bookmarkStart w:id="48636" w:name="_ETM_Q95_500000"/>
      <w:bookmarkEnd w:id="48636"/>
      <w:r>
        <w:rPr>
          <w:rFonts w:hint="cs"/>
          <w:rtl/>
        </w:rPr>
        <w:t xml:space="preserve">ערכה </w:t>
      </w:r>
      <w:bookmarkStart w:id="48637" w:name="_ETM_Q95_500390"/>
      <w:bookmarkEnd w:id="48637"/>
      <w:r>
        <w:rPr>
          <w:rFonts w:hint="cs"/>
          <w:rtl/>
        </w:rPr>
        <w:t xml:space="preserve">הממשלה </w:t>
      </w:r>
      <w:bookmarkStart w:id="48638" w:name="_ETM_Q95_501050"/>
      <w:bookmarkEnd w:id="48638"/>
      <w:r>
        <w:rPr>
          <w:rFonts w:hint="cs"/>
          <w:rtl/>
        </w:rPr>
        <w:t xml:space="preserve">בעניין </w:t>
      </w:r>
      <w:bookmarkStart w:id="48639" w:name="_ETM_Q95_501500"/>
      <w:bookmarkEnd w:id="48639"/>
      <w:r>
        <w:rPr>
          <w:rFonts w:hint="cs"/>
          <w:rtl/>
        </w:rPr>
        <w:t xml:space="preserve">השפעת </w:t>
      </w:r>
      <w:bookmarkStart w:id="48640" w:name="_ETM_Q95_502130"/>
      <w:bookmarkEnd w:id="48640"/>
      <w:r>
        <w:rPr>
          <w:rFonts w:hint="cs"/>
          <w:rtl/>
        </w:rPr>
        <w:t xml:space="preserve">ביטול </w:t>
      </w:r>
      <w:bookmarkStart w:id="48641" w:name="_ETM_Q95_502580"/>
      <w:bookmarkEnd w:id="48641"/>
      <w:r>
        <w:rPr>
          <w:rFonts w:hint="cs"/>
          <w:rtl/>
        </w:rPr>
        <w:t xml:space="preserve">עילת </w:t>
      </w:r>
      <w:bookmarkStart w:id="48642" w:name="_ETM_Q95_502849"/>
      <w:bookmarkEnd w:id="48642"/>
      <w:r>
        <w:rPr>
          <w:rFonts w:hint="cs"/>
          <w:rtl/>
        </w:rPr>
        <w:t xml:space="preserve">הסבירות </w:t>
      </w:r>
      <w:bookmarkStart w:id="48643" w:name="_ETM_Q95_503869"/>
      <w:bookmarkEnd w:id="48643"/>
      <w:r>
        <w:rPr>
          <w:rFonts w:hint="cs"/>
          <w:rtl/>
        </w:rPr>
        <w:t xml:space="preserve">על </w:t>
      </w:r>
      <w:bookmarkStart w:id="48644" w:name="_ETM_Q95_504050"/>
      <w:bookmarkEnd w:id="48644"/>
      <w:r>
        <w:rPr>
          <w:rFonts w:hint="cs"/>
          <w:rtl/>
        </w:rPr>
        <w:t xml:space="preserve">הכלכלה </w:t>
      </w:r>
      <w:bookmarkStart w:id="48645" w:name="_ETM_Q95_504529"/>
      <w:bookmarkEnd w:id="48645"/>
      <w:r>
        <w:rPr>
          <w:rFonts w:hint="cs"/>
          <w:rtl/>
        </w:rPr>
        <w:t xml:space="preserve">הישראלית. </w:t>
      </w:r>
      <w:bookmarkStart w:id="48646" w:name="_ETM_Q95_505830"/>
      <w:bookmarkEnd w:id="48646"/>
      <w:r>
        <w:rPr>
          <w:rFonts w:hint="cs"/>
          <w:rtl/>
        </w:rPr>
        <w:t xml:space="preserve">כמה </w:t>
      </w:r>
      <w:bookmarkStart w:id="48647" w:name="_ETM_Q95_506160"/>
      <w:bookmarkEnd w:id="48647"/>
      <w:r>
        <w:rPr>
          <w:rFonts w:hint="cs"/>
          <w:rtl/>
        </w:rPr>
        <w:t xml:space="preserve">דיונים </w:t>
      </w:r>
      <w:bookmarkStart w:id="48648" w:name="_ETM_Q95_506520"/>
      <w:bookmarkEnd w:id="48648"/>
      <w:r>
        <w:rPr>
          <w:rFonts w:hint="cs"/>
          <w:rtl/>
        </w:rPr>
        <w:t xml:space="preserve">נערכו </w:t>
      </w:r>
      <w:bookmarkStart w:id="48649" w:name="_ETM_Q95_507029"/>
      <w:bookmarkEnd w:id="48649"/>
      <w:r>
        <w:rPr>
          <w:rFonts w:hint="cs"/>
          <w:rtl/>
        </w:rPr>
        <w:t xml:space="preserve">בממשלה </w:t>
      </w:r>
      <w:bookmarkStart w:id="48650" w:name="_ETM_Q95_507660"/>
      <w:bookmarkEnd w:id="48650"/>
      <w:r>
        <w:rPr>
          <w:rFonts w:hint="cs"/>
          <w:rtl/>
        </w:rPr>
        <w:t xml:space="preserve">בנוגע </w:t>
      </w:r>
      <w:bookmarkStart w:id="48651" w:name="_ETM_Q95_508110"/>
      <w:bookmarkEnd w:id="48651"/>
      <w:r>
        <w:rPr>
          <w:rFonts w:hint="cs"/>
          <w:rtl/>
        </w:rPr>
        <w:t xml:space="preserve">לכך? </w:t>
      </w:r>
      <w:bookmarkStart w:id="48652" w:name="_ETM_Q95_511439"/>
      <w:bookmarkEnd w:id="48652"/>
      <w:r>
        <w:rPr>
          <w:rFonts w:hint="cs"/>
          <w:rtl/>
        </w:rPr>
        <w:t xml:space="preserve">אפס. </w:t>
      </w:r>
      <w:bookmarkStart w:id="48653" w:name="_ETM_Q95_512810"/>
      <w:bookmarkEnd w:id="48653"/>
      <w:r>
        <w:rPr>
          <w:rFonts w:hint="cs"/>
          <w:rtl/>
        </w:rPr>
        <w:t xml:space="preserve">כמה </w:t>
      </w:r>
      <w:bookmarkStart w:id="48654" w:name="_ETM_Q95_513110"/>
      <w:bookmarkEnd w:id="48654"/>
      <w:r>
        <w:rPr>
          <w:rFonts w:hint="cs"/>
          <w:rtl/>
        </w:rPr>
        <w:t xml:space="preserve">דיונים </w:t>
      </w:r>
      <w:bookmarkStart w:id="48655" w:name="_ETM_Q95_513950"/>
      <w:bookmarkEnd w:id="48655"/>
      <w:r>
        <w:rPr>
          <w:rFonts w:hint="cs"/>
          <w:rtl/>
        </w:rPr>
        <w:t xml:space="preserve">נגעו </w:t>
      </w:r>
      <w:bookmarkStart w:id="48656" w:name="_ETM_Q95_514670"/>
      <w:bookmarkEnd w:id="48656"/>
      <w:r>
        <w:rPr>
          <w:rFonts w:hint="cs"/>
          <w:rtl/>
        </w:rPr>
        <w:t xml:space="preserve">להשפעה </w:t>
      </w:r>
      <w:bookmarkStart w:id="48657" w:name="_ETM_Q95_515390"/>
      <w:bookmarkEnd w:id="48657"/>
      <w:r>
        <w:rPr>
          <w:rFonts w:hint="cs"/>
          <w:rtl/>
        </w:rPr>
        <w:t xml:space="preserve">על </w:t>
      </w:r>
      <w:bookmarkStart w:id="48658" w:name="_ETM_Q95_515750"/>
      <w:bookmarkEnd w:id="48658"/>
      <w:r>
        <w:rPr>
          <w:rFonts w:hint="cs"/>
          <w:rtl/>
        </w:rPr>
        <w:t xml:space="preserve">התחבורה? </w:t>
      </w:r>
      <w:bookmarkStart w:id="48659" w:name="_ETM_Q95_516860"/>
      <w:bookmarkStart w:id="48660" w:name="_ETM_Q95_517670"/>
      <w:bookmarkEnd w:id="48659"/>
      <w:bookmarkEnd w:id="48660"/>
      <w:r>
        <w:rPr>
          <w:rFonts w:hint="cs"/>
          <w:rtl/>
        </w:rPr>
        <w:t xml:space="preserve">אפס. על </w:t>
      </w:r>
      <w:bookmarkStart w:id="48661" w:name="_ETM_Q95_517820"/>
      <w:bookmarkEnd w:id="48661"/>
      <w:r>
        <w:rPr>
          <w:rFonts w:hint="cs"/>
          <w:rtl/>
        </w:rPr>
        <w:t xml:space="preserve">הגנת </w:t>
      </w:r>
      <w:bookmarkStart w:id="48662" w:name="_ETM_Q95_518180"/>
      <w:bookmarkEnd w:id="48662"/>
      <w:r>
        <w:rPr>
          <w:rFonts w:hint="cs"/>
          <w:rtl/>
        </w:rPr>
        <w:t>הסביבה</w:t>
      </w:r>
      <w:bookmarkStart w:id="48663" w:name="_ETM_Q95_519140"/>
      <w:bookmarkStart w:id="48664" w:name="_ETM_Q95_519920"/>
      <w:bookmarkEnd w:id="48663"/>
      <w:bookmarkEnd w:id="48664"/>
      <w:r>
        <w:rPr>
          <w:rFonts w:hint="cs"/>
          <w:rtl/>
        </w:rPr>
        <w:t xml:space="preserve">? אפס. על </w:t>
      </w:r>
      <w:bookmarkStart w:id="48665" w:name="_ETM_Q95_520100"/>
      <w:bookmarkEnd w:id="48665"/>
      <w:r>
        <w:rPr>
          <w:rFonts w:hint="cs"/>
          <w:rtl/>
        </w:rPr>
        <w:t xml:space="preserve">בריאות </w:t>
      </w:r>
      <w:bookmarkStart w:id="48666" w:name="_ETM_Q95_520430"/>
      <w:bookmarkEnd w:id="48666"/>
      <w:r>
        <w:rPr>
          <w:rFonts w:hint="cs"/>
          <w:rtl/>
        </w:rPr>
        <w:t>הציבור</w:t>
      </w:r>
      <w:bookmarkStart w:id="48667" w:name="_ETM_Q95_521120"/>
      <w:bookmarkStart w:id="48668" w:name="_ETM_Q95_521989"/>
      <w:bookmarkEnd w:id="48667"/>
      <w:bookmarkEnd w:id="48668"/>
      <w:r>
        <w:rPr>
          <w:rFonts w:hint="cs"/>
          <w:rtl/>
        </w:rPr>
        <w:t xml:space="preserve">? אפס. על </w:t>
      </w:r>
      <w:bookmarkStart w:id="48669" w:name="_ETM_Q95_522170"/>
      <w:bookmarkEnd w:id="48669"/>
      <w:r>
        <w:rPr>
          <w:rFonts w:hint="cs"/>
          <w:rtl/>
        </w:rPr>
        <w:t xml:space="preserve">הרווחה </w:t>
      </w:r>
      <w:bookmarkStart w:id="48670" w:name="_ETM_Q95_523129"/>
      <w:bookmarkEnd w:id="48670"/>
      <w:r>
        <w:rPr>
          <w:rFonts w:hint="cs"/>
          <w:rtl/>
        </w:rPr>
        <w:t xml:space="preserve">ועל </w:t>
      </w:r>
      <w:bookmarkStart w:id="48671" w:name="_ETM_Q95_523399"/>
      <w:bookmarkEnd w:id="48671"/>
      <w:r>
        <w:rPr>
          <w:rFonts w:hint="cs"/>
          <w:rtl/>
        </w:rPr>
        <w:t xml:space="preserve">המערכים </w:t>
      </w:r>
      <w:bookmarkStart w:id="48672" w:name="_ETM_Q95_523850"/>
      <w:bookmarkEnd w:id="48672"/>
      <w:r>
        <w:rPr>
          <w:rFonts w:hint="cs"/>
          <w:rtl/>
        </w:rPr>
        <w:t xml:space="preserve">הסוציאליים </w:t>
      </w:r>
      <w:bookmarkStart w:id="48673" w:name="_ETM_Q95_524510"/>
      <w:bookmarkEnd w:id="48673"/>
      <w:r>
        <w:rPr>
          <w:rFonts w:hint="cs"/>
          <w:rtl/>
        </w:rPr>
        <w:t xml:space="preserve">של </w:t>
      </w:r>
      <w:bookmarkStart w:id="48674" w:name="_ETM_Q95_524660"/>
      <w:bookmarkEnd w:id="48674"/>
      <w:r>
        <w:rPr>
          <w:rFonts w:hint="cs"/>
          <w:rtl/>
        </w:rPr>
        <w:t>ישראל</w:t>
      </w:r>
      <w:bookmarkStart w:id="48675" w:name="_ETM_Q95_525350"/>
      <w:bookmarkStart w:id="48676" w:name="_ETM_Q95_526399"/>
      <w:bookmarkEnd w:id="48675"/>
      <w:bookmarkEnd w:id="48676"/>
      <w:r>
        <w:rPr>
          <w:rFonts w:hint="cs"/>
          <w:rtl/>
        </w:rPr>
        <w:t xml:space="preserve">? אפס. כמה </w:t>
      </w:r>
      <w:bookmarkStart w:id="48677" w:name="_ETM_Q95_527059"/>
      <w:bookmarkEnd w:id="48677"/>
      <w:r>
        <w:rPr>
          <w:rFonts w:hint="cs"/>
          <w:rtl/>
        </w:rPr>
        <w:t xml:space="preserve">דיונים </w:t>
      </w:r>
      <w:bookmarkStart w:id="48678" w:name="_ETM_Q95_527969"/>
      <w:bookmarkEnd w:id="48678"/>
      <w:r>
        <w:rPr>
          <w:rFonts w:hint="cs"/>
          <w:rtl/>
        </w:rPr>
        <w:t xml:space="preserve">הממשלה </w:t>
      </w:r>
      <w:bookmarkStart w:id="48679" w:name="_ETM_Q95_528569"/>
      <w:bookmarkEnd w:id="48679"/>
      <w:r>
        <w:rPr>
          <w:rFonts w:hint="cs"/>
          <w:rtl/>
        </w:rPr>
        <w:t xml:space="preserve">ערכה </w:t>
      </w:r>
      <w:bookmarkStart w:id="48680" w:name="_ETM_Q95_529019"/>
      <w:bookmarkEnd w:id="48680"/>
      <w:r>
        <w:rPr>
          <w:rFonts w:hint="cs"/>
          <w:rtl/>
        </w:rPr>
        <w:t xml:space="preserve">בעניין </w:t>
      </w:r>
      <w:bookmarkStart w:id="48681" w:name="_ETM_Q95_529559"/>
      <w:bookmarkEnd w:id="48681"/>
      <w:r>
        <w:rPr>
          <w:rFonts w:hint="cs"/>
          <w:rtl/>
        </w:rPr>
        <w:t xml:space="preserve">השפעת </w:t>
      </w:r>
      <w:bookmarkStart w:id="48682" w:name="_ETM_Q95_530100"/>
      <w:bookmarkEnd w:id="48682"/>
      <w:r>
        <w:rPr>
          <w:rFonts w:hint="cs"/>
          <w:rtl/>
        </w:rPr>
        <w:t xml:space="preserve">ביטול </w:t>
      </w:r>
      <w:bookmarkStart w:id="48683" w:name="_ETM_Q95_530489"/>
      <w:bookmarkEnd w:id="48683"/>
      <w:r>
        <w:rPr>
          <w:rFonts w:hint="cs"/>
          <w:rtl/>
        </w:rPr>
        <w:t xml:space="preserve">עילת </w:t>
      </w:r>
      <w:bookmarkStart w:id="48684" w:name="_ETM_Q95_530789"/>
      <w:bookmarkEnd w:id="48684"/>
      <w:r>
        <w:rPr>
          <w:rFonts w:hint="cs"/>
          <w:rtl/>
        </w:rPr>
        <w:t xml:space="preserve">הסבירות </w:t>
      </w:r>
      <w:bookmarkStart w:id="48685" w:name="_ETM_Q95_531600"/>
      <w:bookmarkEnd w:id="48685"/>
      <w:r>
        <w:rPr>
          <w:rFonts w:hint="cs"/>
          <w:rtl/>
        </w:rPr>
        <w:t xml:space="preserve">על </w:t>
      </w:r>
      <w:bookmarkStart w:id="48686" w:name="_ETM_Q95_531779"/>
      <w:bookmarkEnd w:id="48686"/>
      <w:r>
        <w:rPr>
          <w:rFonts w:hint="cs"/>
          <w:rtl/>
        </w:rPr>
        <w:t xml:space="preserve">מערכת </w:t>
      </w:r>
      <w:bookmarkStart w:id="48687" w:name="_ETM_Q95_532109"/>
      <w:bookmarkEnd w:id="48687"/>
      <w:r>
        <w:rPr>
          <w:rFonts w:hint="cs"/>
          <w:rtl/>
        </w:rPr>
        <w:t xml:space="preserve">הביטחון, </w:t>
      </w:r>
      <w:bookmarkStart w:id="48688" w:name="_ETM_Q95_533279"/>
      <w:bookmarkEnd w:id="48688"/>
      <w:r>
        <w:rPr>
          <w:rFonts w:hint="cs"/>
          <w:rtl/>
        </w:rPr>
        <w:t xml:space="preserve">על </w:t>
      </w:r>
      <w:bookmarkStart w:id="48689" w:name="_ETM_Q95_533460"/>
      <w:bookmarkEnd w:id="48689"/>
      <w:r>
        <w:rPr>
          <w:rFonts w:hint="cs"/>
          <w:rtl/>
        </w:rPr>
        <w:t xml:space="preserve">חיילי </w:t>
      </w:r>
      <w:bookmarkStart w:id="48690" w:name="_ETM_Q95_533850"/>
      <w:bookmarkEnd w:id="48690"/>
      <w:r>
        <w:rPr>
          <w:rFonts w:hint="cs"/>
          <w:rtl/>
        </w:rPr>
        <w:t>צה"ל</w:t>
      </w:r>
      <w:bookmarkStart w:id="48691" w:name="_ETM_Q95_535550"/>
      <w:bookmarkStart w:id="48692" w:name="_ETM_Q95_536789"/>
      <w:bookmarkEnd w:id="48691"/>
      <w:bookmarkEnd w:id="48692"/>
      <w:r>
        <w:rPr>
          <w:rFonts w:hint="cs"/>
          <w:rtl/>
        </w:rPr>
        <w:t xml:space="preserve">? אפס. שינוי </w:t>
      </w:r>
      <w:bookmarkStart w:id="48693" w:name="_ETM_Q95_537300"/>
      <w:bookmarkEnd w:id="48693"/>
      <w:r>
        <w:rPr>
          <w:rFonts w:hint="cs"/>
          <w:rtl/>
        </w:rPr>
        <w:t xml:space="preserve">דרמטי </w:t>
      </w:r>
      <w:bookmarkStart w:id="48694" w:name="_ETM_Q95_537960"/>
      <w:bookmarkEnd w:id="48694"/>
      <w:r>
        <w:rPr>
          <w:rFonts w:hint="cs"/>
          <w:rtl/>
        </w:rPr>
        <w:t xml:space="preserve">בשיטת </w:t>
      </w:r>
      <w:bookmarkStart w:id="48695" w:name="_ETM_Q95_538649"/>
      <w:bookmarkEnd w:id="48695"/>
      <w:r>
        <w:rPr>
          <w:rFonts w:hint="cs"/>
          <w:rtl/>
        </w:rPr>
        <w:t xml:space="preserve">המשטר </w:t>
      </w:r>
      <w:bookmarkStart w:id="48696" w:name="_ETM_Q95_539190"/>
      <w:bookmarkEnd w:id="48696"/>
      <w:r>
        <w:rPr>
          <w:rFonts w:hint="cs"/>
          <w:rtl/>
        </w:rPr>
        <w:t xml:space="preserve">במדינת </w:t>
      </w:r>
      <w:bookmarkStart w:id="48697" w:name="_ETM_Q95_539760"/>
      <w:bookmarkEnd w:id="48697"/>
      <w:r>
        <w:rPr>
          <w:rFonts w:hint="cs"/>
          <w:rtl/>
        </w:rPr>
        <w:t xml:space="preserve">ישראל ואפס </w:t>
      </w:r>
      <w:bookmarkStart w:id="48698" w:name="_ETM_Q95_541289"/>
      <w:bookmarkEnd w:id="48698"/>
      <w:r>
        <w:rPr>
          <w:rFonts w:hint="cs"/>
          <w:rtl/>
        </w:rPr>
        <w:t>דיונים</w:t>
      </w:r>
      <w:bookmarkStart w:id="48699" w:name="_ETM_Q95_542429"/>
      <w:bookmarkStart w:id="48700" w:name="_ETM_Q95_542820"/>
      <w:bookmarkEnd w:id="48699"/>
      <w:bookmarkEnd w:id="48700"/>
      <w:r>
        <w:rPr>
          <w:rFonts w:hint="cs"/>
          <w:rtl/>
        </w:rPr>
        <w:t xml:space="preserve">, אפס נתונים </w:t>
      </w:r>
      <w:bookmarkStart w:id="48701" w:name="_ETM_Q95_543299"/>
      <w:bookmarkEnd w:id="48701"/>
      <w:r>
        <w:rPr>
          <w:rFonts w:hint="cs"/>
          <w:rtl/>
        </w:rPr>
        <w:t xml:space="preserve">שהוצגו </w:t>
      </w:r>
      <w:bookmarkStart w:id="48702" w:name="_ETM_Q95_543690"/>
      <w:bookmarkEnd w:id="48702"/>
      <w:r>
        <w:rPr>
          <w:rFonts w:hint="cs"/>
          <w:rtl/>
        </w:rPr>
        <w:t xml:space="preserve">בפני </w:t>
      </w:r>
      <w:bookmarkStart w:id="48703" w:name="_ETM_Q95_544020"/>
      <w:bookmarkEnd w:id="48703"/>
      <w:r>
        <w:rPr>
          <w:rFonts w:hint="cs"/>
          <w:rtl/>
        </w:rPr>
        <w:t xml:space="preserve">השרים, </w:t>
      </w:r>
      <w:bookmarkStart w:id="48704" w:name="_ETM_Q95_545190"/>
      <w:bookmarkEnd w:id="48704"/>
      <w:r>
        <w:rPr>
          <w:rFonts w:hint="cs"/>
          <w:rtl/>
        </w:rPr>
        <w:t xml:space="preserve">אפס </w:t>
      </w:r>
      <w:bookmarkStart w:id="48705" w:name="_ETM_Q95_546320"/>
      <w:bookmarkEnd w:id="48705"/>
      <w:r>
        <w:rPr>
          <w:rFonts w:hint="cs"/>
          <w:rtl/>
        </w:rPr>
        <w:t xml:space="preserve">אחריות. </w:t>
      </w:r>
      <w:bookmarkStart w:id="48706" w:name="_ETM_Q95_547569"/>
      <w:bookmarkEnd w:id="48706"/>
    </w:p>
    <w:p w:rsidR="00BB59CD" w:rsidRDefault="00BB59CD" w:rsidP="00BB59CD">
      <w:pPr>
        <w:rPr>
          <w:rtl/>
        </w:rPr>
      </w:pPr>
      <w:bookmarkStart w:id="48707" w:name="_ETM_Q95_545467"/>
      <w:bookmarkStart w:id="48708" w:name="_ETM_Q95_545535"/>
      <w:bookmarkEnd w:id="48707"/>
      <w:bookmarkEnd w:id="48708"/>
    </w:p>
    <w:p w:rsidR="00BB59CD" w:rsidRDefault="00BB59CD" w:rsidP="00BB59CD">
      <w:pPr>
        <w:rPr>
          <w:rtl/>
        </w:rPr>
      </w:pPr>
      <w:bookmarkStart w:id="48709" w:name="_ETM_Q95_545637"/>
      <w:bookmarkStart w:id="48710" w:name="_ETM_Q95_545684"/>
      <w:bookmarkEnd w:id="48709"/>
      <w:bookmarkEnd w:id="48710"/>
      <w:r>
        <w:rPr>
          <w:rFonts w:hint="cs"/>
          <w:rtl/>
        </w:rPr>
        <w:t xml:space="preserve">אבל </w:t>
      </w:r>
      <w:bookmarkStart w:id="48711" w:name="_ETM_Q95_547810"/>
      <w:bookmarkEnd w:id="48711"/>
      <w:r>
        <w:rPr>
          <w:rFonts w:hint="cs"/>
          <w:rtl/>
        </w:rPr>
        <w:t xml:space="preserve">כל </w:t>
      </w:r>
      <w:bookmarkStart w:id="48712" w:name="_ETM_Q95_548020"/>
      <w:bookmarkEnd w:id="48712"/>
      <w:r>
        <w:rPr>
          <w:rFonts w:hint="cs"/>
          <w:rtl/>
        </w:rPr>
        <w:t xml:space="preserve">זה </w:t>
      </w:r>
      <w:bookmarkStart w:id="48713" w:name="_ETM_Q95_548170"/>
      <w:bookmarkEnd w:id="48713"/>
      <w:r>
        <w:rPr>
          <w:rFonts w:hint="cs"/>
          <w:rtl/>
        </w:rPr>
        <w:t xml:space="preserve">לא </w:t>
      </w:r>
      <w:bookmarkStart w:id="48714" w:name="_ETM_Q95_548319"/>
      <w:bookmarkEnd w:id="48714"/>
      <w:r>
        <w:rPr>
          <w:rFonts w:hint="cs"/>
          <w:rtl/>
        </w:rPr>
        <w:t xml:space="preserve">נעצר </w:t>
      </w:r>
      <w:bookmarkStart w:id="48715" w:name="_ETM_Q95_548709"/>
      <w:bookmarkEnd w:id="48715"/>
      <w:r>
        <w:rPr>
          <w:rFonts w:hint="cs"/>
          <w:rtl/>
        </w:rPr>
        <w:t xml:space="preserve">בממשלה. </w:t>
      </w:r>
      <w:bookmarkStart w:id="48716" w:name="_ETM_Q95_549999"/>
      <w:bookmarkEnd w:id="48716"/>
      <w:r>
        <w:rPr>
          <w:rFonts w:hint="cs"/>
          <w:rtl/>
        </w:rPr>
        <w:t xml:space="preserve">כל </w:t>
      </w:r>
      <w:bookmarkStart w:id="48717" w:name="_ETM_Q95_550320"/>
      <w:bookmarkEnd w:id="48717"/>
      <w:r>
        <w:rPr>
          <w:rFonts w:hint="cs"/>
          <w:rtl/>
        </w:rPr>
        <w:t xml:space="preserve">חברי </w:t>
      </w:r>
      <w:bookmarkStart w:id="48718" w:name="_ETM_Q95_550680"/>
      <w:bookmarkEnd w:id="48718"/>
      <w:r>
        <w:rPr>
          <w:rFonts w:hint="cs"/>
          <w:rtl/>
        </w:rPr>
        <w:t xml:space="preserve">האופוזיציה </w:t>
      </w:r>
      <w:bookmarkStart w:id="48719" w:name="_ETM_Q95_551339"/>
      <w:bookmarkEnd w:id="48719"/>
      <w:r>
        <w:rPr>
          <w:rFonts w:hint="cs"/>
          <w:rtl/>
        </w:rPr>
        <w:t xml:space="preserve">בוועדת </w:t>
      </w:r>
      <w:bookmarkStart w:id="48720" w:name="_ETM_Q95_551820"/>
      <w:bookmarkEnd w:id="48720"/>
      <w:r>
        <w:rPr>
          <w:rFonts w:hint="cs"/>
          <w:rtl/>
        </w:rPr>
        <w:t xml:space="preserve">החוץ </w:t>
      </w:r>
      <w:bookmarkStart w:id="48721" w:name="_ETM_Q95_552060"/>
      <w:bookmarkEnd w:id="48721"/>
      <w:r>
        <w:rPr>
          <w:rFonts w:hint="cs"/>
          <w:rtl/>
        </w:rPr>
        <w:t xml:space="preserve">והביטחון </w:t>
      </w:r>
      <w:bookmarkStart w:id="48722" w:name="_ETM_Q95_552750"/>
      <w:bookmarkEnd w:id="48722"/>
      <w:r>
        <w:rPr>
          <w:rFonts w:hint="cs"/>
          <w:rtl/>
        </w:rPr>
        <w:t xml:space="preserve">פנו </w:t>
      </w:r>
      <w:bookmarkStart w:id="48723" w:name="_ETM_Q95_553050"/>
      <w:bookmarkEnd w:id="48723"/>
      <w:r>
        <w:rPr>
          <w:rFonts w:hint="cs"/>
          <w:rtl/>
        </w:rPr>
        <w:t xml:space="preserve">ליושב-ראש </w:t>
      </w:r>
      <w:bookmarkStart w:id="48724" w:name="_ETM_Q95_553589"/>
      <w:bookmarkEnd w:id="48724"/>
      <w:r>
        <w:rPr>
          <w:rFonts w:hint="cs"/>
          <w:rtl/>
        </w:rPr>
        <w:t xml:space="preserve">הוועדה </w:t>
      </w:r>
      <w:bookmarkStart w:id="48725" w:name="_ETM_Q95_554040"/>
      <w:bookmarkEnd w:id="48725"/>
      <w:r>
        <w:rPr>
          <w:rFonts w:hint="cs"/>
          <w:rtl/>
        </w:rPr>
        <w:t xml:space="preserve">חבר </w:t>
      </w:r>
      <w:bookmarkStart w:id="48726" w:name="_ETM_Q95_554339"/>
      <w:bookmarkEnd w:id="48726"/>
      <w:r>
        <w:rPr>
          <w:rFonts w:hint="cs"/>
          <w:rtl/>
        </w:rPr>
        <w:t xml:space="preserve">הכנסת </w:t>
      </w:r>
      <w:bookmarkStart w:id="48727" w:name="_ETM_Q95_554729"/>
      <w:bookmarkEnd w:id="48727"/>
      <w:r>
        <w:rPr>
          <w:rFonts w:hint="cs"/>
          <w:rtl/>
        </w:rPr>
        <w:t xml:space="preserve">אדלשטיין </w:t>
      </w:r>
      <w:bookmarkStart w:id="48728" w:name="_ETM_Q95_555810"/>
      <w:bookmarkEnd w:id="48728"/>
      <w:r>
        <w:rPr>
          <w:rFonts w:hint="cs"/>
          <w:rtl/>
        </w:rPr>
        <w:t xml:space="preserve">פעם </w:t>
      </w:r>
      <w:bookmarkStart w:id="48729" w:name="_ETM_Q95_556200"/>
      <w:bookmarkEnd w:id="48729"/>
      <w:r>
        <w:rPr>
          <w:rFonts w:hint="cs"/>
          <w:rtl/>
        </w:rPr>
        <w:t xml:space="preserve">אחר </w:t>
      </w:r>
      <w:bookmarkStart w:id="48730" w:name="_ETM_Q95_556529"/>
      <w:bookmarkEnd w:id="48730"/>
      <w:r>
        <w:rPr>
          <w:rFonts w:hint="cs"/>
          <w:rtl/>
        </w:rPr>
        <w:t xml:space="preserve">פעם. </w:t>
      </w:r>
      <w:bookmarkStart w:id="48731" w:name="_ETM_Q95_557400"/>
      <w:bookmarkEnd w:id="48731"/>
      <w:r>
        <w:rPr>
          <w:rFonts w:hint="cs"/>
          <w:rtl/>
        </w:rPr>
        <w:t xml:space="preserve">הם </w:t>
      </w:r>
      <w:bookmarkStart w:id="48732" w:name="_ETM_Q95_557550"/>
      <w:bookmarkEnd w:id="48732"/>
      <w:r>
        <w:rPr>
          <w:rFonts w:hint="cs"/>
          <w:rtl/>
        </w:rPr>
        <w:t xml:space="preserve">דרשו </w:t>
      </w:r>
      <w:bookmarkStart w:id="48733" w:name="_ETM_Q95_557880"/>
      <w:bookmarkEnd w:id="48733"/>
      <w:r>
        <w:rPr>
          <w:rFonts w:hint="cs"/>
          <w:rtl/>
        </w:rPr>
        <w:t xml:space="preserve">לקיים </w:t>
      </w:r>
      <w:bookmarkStart w:id="48734" w:name="_ETM_Q95_558270"/>
      <w:bookmarkEnd w:id="48734"/>
      <w:r>
        <w:rPr>
          <w:rFonts w:hint="cs"/>
          <w:rtl/>
        </w:rPr>
        <w:t xml:space="preserve">דיון </w:t>
      </w:r>
      <w:bookmarkStart w:id="48735" w:name="_ETM_Q95_558630"/>
      <w:bookmarkEnd w:id="48735"/>
      <w:r>
        <w:rPr>
          <w:rFonts w:hint="cs"/>
          <w:rtl/>
        </w:rPr>
        <w:t xml:space="preserve">על </w:t>
      </w:r>
      <w:bookmarkStart w:id="48736" w:name="_ETM_Q95_558750"/>
      <w:bookmarkEnd w:id="48736"/>
      <w:r>
        <w:rPr>
          <w:rFonts w:hint="cs"/>
          <w:rtl/>
        </w:rPr>
        <w:t xml:space="preserve">ההשלכות </w:t>
      </w:r>
      <w:bookmarkStart w:id="48737" w:name="_ETM_Q95_559260"/>
      <w:bookmarkEnd w:id="48737"/>
      <w:r>
        <w:rPr>
          <w:rFonts w:hint="cs"/>
          <w:rtl/>
        </w:rPr>
        <w:t xml:space="preserve">של </w:t>
      </w:r>
      <w:bookmarkStart w:id="48738" w:name="_ETM_Q95_559410"/>
      <w:bookmarkEnd w:id="48738"/>
      <w:r>
        <w:rPr>
          <w:rFonts w:hint="cs"/>
          <w:rtl/>
        </w:rPr>
        <w:t xml:space="preserve">החקיקה </w:t>
      </w:r>
      <w:bookmarkStart w:id="48739" w:name="_ETM_Q95_560470"/>
      <w:bookmarkEnd w:id="48739"/>
      <w:r>
        <w:rPr>
          <w:rFonts w:hint="cs"/>
          <w:rtl/>
        </w:rPr>
        <w:t xml:space="preserve">על </w:t>
      </w:r>
      <w:bookmarkStart w:id="48740" w:name="_ETM_Q95_560650"/>
      <w:bookmarkEnd w:id="48740"/>
      <w:r>
        <w:rPr>
          <w:rFonts w:hint="cs"/>
          <w:rtl/>
        </w:rPr>
        <w:t xml:space="preserve">הביטחון </w:t>
      </w:r>
      <w:bookmarkStart w:id="48741" w:name="_ETM_Q95_561160"/>
      <w:bookmarkEnd w:id="48741"/>
      <w:r>
        <w:rPr>
          <w:rFonts w:hint="cs"/>
          <w:rtl/>
        </w:rPr>
        <w:t xml:space="preserve">הלאומי. </w:t>
      </w:r>
      <w:bookmarkStart w:id="48742" w:name="_ETM_Q95_562570"/>
      <w:bookmarkEnd w:id="48742"/>
      <w:r>
        <w:rPr>
          <w:rFonts w:hint="cs"/>
          <w:rtl/>
        </w:rPr>
        <w:t xml:space="preserve">הם </w:t>
      </w:r>
      <w:bookmarkStart w:id="48743" w:name="_ETM_Q95_562719"/>
      <w:bookmarkEnd w:id="48743"/>
      <w:r>
        <w:rPr>
          <w:rFonts w:hint="cs"/>
          <w:rtl/>
        </w:rPr>
        <w:t xml:space="preserve">זכו </w:t>
      </w:r>
      <w:bookmarkStart w:id="48744" w:name="_ETM_Q95_563020"/>
      <w:bookmarkEnd w:id="48744"/>
      <w:r>
        <w:rPr>
          <w:rFonts w:hint="cs"/>
          <w:rtl/>
        </w:rPr>
        <w:t xml:space="preserve">להתעלמות. </w:t>
      </w:r>
      <w:bookmarkStart w:id="48745" w:name="_ETM_Q95_564159"/>
      <w:bookmarkEnd w:id="48745"/>
      <w:r>
        <w:rPr>
          <w:rFonts w:hint="cs"/>
          <w:rtl/>
        </w:rPr>
        <w:t xml:space="preserve">עד </w:t>
      </w:r>
      <w:bookmarkStart w:id="48746" w:name="_ETM_Q95_564460"/>
      <w:bookmarkEnd w:id="48746"/>
      <w:r>
        <w:rPr>
          <w:rFonts w:hint="cs"/>
          <w:rtl/>
        </w:rPr>
        <w:t xml:space="preserve">לרגע </w:t>
      </w:r>
      <w:bookmarkStart w:id="48747" w:name="_ETM_Q95_564820"/>
      <w:bookmarkEnd w:id="48747"/>
      <w:r>
        <w:rPr>
          <w:rFonts w:hint="cs"/>
          <w:rtl/>
        </w:rPr>
        <w:t xml:space="preserve">זה </w:t>
      </w:r>
      <w:bookmarkStart w:id="48748" w:name="_ETM_Q95_565600"/>
      <w:bookmarkEnd w:id="48748"/>
      <w:r>
        <w:rPr>
          <w:rFonts w:hint="cs"/>
          <w:rtl/>
        </w:rPr>
        <w:t xml:space="preserve">לא </w:t>
      </w:r>
      <w:bookmarkStart w:id="48749" w:name="_ETM_Q95_565929"/>
      <w:bookmarkEnd w:id="48749"/>
      <w:r>
        <w:rPr>
          <w:rFonts w:hint="cs"/>
          <w:rtl/>
        </w:rPr>
        <w:t xml:space="preserve">הממשלה, </w:t>
      </w:r>
      <w:bookmarkStart w:id="48750" w:name="_ETM_Q95_566979"/>
      <w:bookmarkEnd w:id="48750"/>
      <w:r>
        <w:rPr>
          <w:rFonts w:hint="cs"/>
          <w:rtl/>
        </w:rPr>
        <w:t xml:space="preserve">לא </w:t>
      </w:r>
      <w:bookmarkStart w:id="48751" w:name="_ETM_Q95_567250"/>
      <w:bookmarkEnd w:id="48751"/>
      <w:r>
        <w:rPr>
          <w:rFonts w:hint="cs"/>
          <w:rtl/>
        </w:rPr>
        <w:t xml:space="preserve">ועדת </w:t>
      </w:r>
      <w:bookmarkStart w:id="48752" w:name="_ETM_Q95_567700"/>
      <w:bookmarkEnd w:id="48752"/>
      <w:r>
        <w:rPr>
          <w:rFonts w:hint="cs"/>
          <w:rtl/>
        </w:rPr>
        <w:t xml:space="preserve">החוקה, </w:t>
      </w:r>
      <w:bookmarkStart w:id="48753" w:name="_ETM_Q95_567909"/>
      <w:bookmarkEnd w:id="48753"/>
      <w:r>
        <w:rPr>
          <w:rFonts w:hint="cs"/>
          <w:rtl/>
        </w:rPr>
        <w:t xml:space="preserve">חוק </w:t>
      </w:r>
      <w:bookmarkStart w:id="48754" w:name="_ETM_Q95_568210"/>
      <w:bookmarkEnd w:id="48754"/>
      <w:r>
        <w:rPr>
          <w:rFonts w:hint="cs"/>
          <w:rtl/>
        </w:rPr>
        <w:t xml:space="preserve">ומשפט </w:t>
      </w:r>
      <w:bookmarkStart w:id="48755" w:name="_ETM_Q95_569189"/>
      <w:bookmarkEnd w:id="48755"/>
      <w:r>
        <w:rPr>
          <w:rFonts w:hint="cs"/>
          <w:rtl/>
        </w:rPr>
        <w:t xml:space="preserve">ולא </w:t>
      </w:r>
      <w:bookmarkStart w:id="48756" w:name="_ETM_Q95_569459"/>
      <w:bookmarkEnd w:id="48756"/>
      <w:r>
        <w:rPr>
          <w:rFonts w:hint="cs"/>
          <w:rtl/>
        </w:rPr>
        <w:t xml:space="preserve">ועדת </w:t>
      </w:r>
      <w:bookmarkStart w:id="48757" w:name="_ETM_Q95_569880"/>
      <w:bookmarkEnd w:id="48757"/>
      <w:r>
        <w:rPr>
          <w:rFonts w:hint="cs"/>
          <w:rtl/>
        </w:rPr>
        <w:t xml:space="preserve">החוץ </w:t>
      </w:r>
      <w:bookmarkStart w:id="48758" w:name="_ETM_Q95_570119"/>
      <w:bookmarkEnd w:id="48758"/>
      <w:r>
        <w:rPr>
          <w:rFonts w:hint="cs"/>
          <w:rtl/>
        </w:rPr>
        <w:t xml:space="preserve">והביטחון </w:t>
      </w:r>
      <w:bookmarkStart w:id="48759" w:name="_ETM_Q95_571409"/>
      <w:bookmarkEnd w:id="48759"/>
      <w:r>
        <w:rPr>
          <w:rFonts w:hint="cs"/>
          <w:rtl/>
        </w:rPr>
        <w:t xml:space="preserve">לא </w:t>
      </w:r>
      <w:bookmarkStart w:id="48760" w:name="_ETM_Q95_571829"/>
      <w:bookmarkEnd w:id="48760"/>
      <w:r>
        <w:rPr>
          <w:rFonts w:hint="cs"/>
          <w:rtl/>
        </w:rPr>
        <w:t xml:space="preserve">קיימו </w:t>
      </w:r>
      <w:bookmarkStart w:id="48761" w:name="_ETM_Q95_572279"/>
      <w:bookmarkEnd w:id="48761"/>
      <w:r>
        <w:rPr>
          <w:rFonts w:hint="cs"/>
          <w:rtl/>
        </w:rPr>
        <w:t xml:space="preserve">דיון </w:t>
      </w:r>
      <w:bookmarkStart w:id="48762" w:name="_ETM_Q95_573149"/>
      <w:bookmarkEnd w:id="48762"/>
      <w:r>
        <w:rPr>
          <w:rFonts w:hint="cs"/>
          <w:rtl/>
        </w:rPr>
        <w:t xml:space="preserve">על </w:t>
      </w:r>
      <w:bookmarkStart w:id="48763" w:name="_ETM_Q95_573299"/>
      <w:bookmarkEnd w:id="48763"/>
      <w:r>
        <w:rPr>
          <w:rFonts w:hint="cs"/>
          <w:rtl/>
        </w:rPr>
        <w:t xml:space="preserve">ביטול </w:t>
      </w:r>
      <w:bookmarkStart w:id="48764" w:name="_ETM_Q95_573689"/>
      <w:bookmarkEnd w:id="48764"/>
      <w:r>
        <w:rPr>
          <w:rFonts w:hint="cs"/>
          <w:rtl/>
        </w:rPr>
        <w:t xml:space="preserve">עילת </w:t>
      </w:r>
      <w:bookmarkStart w:id="48765" w:name="_ETM_Q95_573960"/>
      <w:bookmarkEnd w:id="48765"/>
      <w:r>
        <w:rPr>
          <w:rFonts w:hint="cs"/>
          <w:rtl/>
        </w:rPr>
        <w:t xml:space="preserve">הסבירות. </w:t>
      </w:r>
      <w:bookmarkStart w:id="48766" w:name="_ETM_Q95_576130"/>
      <w:bookmarkEnd w:id="48766"/>
      <w:r>
        <w:rPr>
          <w:rFonts w:hint="cs"/>
          <w:rtl/>
        </w:rPr>
        <w:t xml:space="preserve">טמינת </w:t>
      </w:r>
      <w:bookmarkStart w:id="48767" w:name="_ETM_Q95_577160"/>
      <w:bookmarkEnd w:id="48767"/>
      <w:r>
        <w:rPr>
          <w:rFonts w:hint="cs"/>
          <w:rtl/>
        </w:rPr>
        <w:t xml:space="preserve">ראש </w:t>
      </w:r>
      <w:bookmarkStart w:id="48768" w:name="_ETM_Q95_578240"/>
      <w:bookmarkEnd w:id="48768"/>
      <w:r>
        <w:rPr>
          <w:rFonts w:hint="cs"/>
          <w:rtl/>
        </w:rPr>
        <w:t xml:space="preserve">מפוארת </w:t>
      </w:r>
      <w:bookmarkStart w:id="48769" w:name="_ETM_Q95_579050"/>
      <w:bookmarkEnd w:id="48769"/>
      <w:r>
        <w:rPr>
          <w:rFonts w:hint="cs"/>
          <w:rtl/>
        </w:rPr>
        <w:t xml:space="preserve">בחול. </w:t>
      </w:r>
      <w:bookmarkStart w:id="48770" w:name="_ETM_Q95_580310"/>
      <w:bookmarkEnd w:id="48770"/>
    </w:p>
    <w:p w:rsidR="00BB59CD" w:rsidRDefault="00BB59CD" w:rsidP="00BB59CD">
      <w:pPr>
        <w:rPr>
          <w:rtl/>
        </w:rPr>
      </w:pPr>
      <w:bookmarkStart w:id="48771" w:name="_ETM_Q95_577323"/>
      <w:bookmarkStart w:id="48772" w:name="_ETM_Q95_577375"/>
      <w:bookmarkEnd w:id="48771"/>
      <w:bookmarkEnd w:id="48772"/>
    </w:p>
    <w:p w:rsidR="00BB59CD" w:rsidRDefault="00BB59CD" w:rsidP="00E315D7">
      <w:pPr>
        <w:rPr>
          <w:rtl/>
        </w:rPr>
      </w:pPr>
      <w:bookmarkStart w:id="48773" w:name="_ETM_Q95_577476"/>
      <w:bookmarkStart w:id="48774" w:name="_ETM_Q95_577551"/>
      <w:bookmarkEnd w:id="48773"/>
      <w:bookmarkEnd w:id="48774"/>
      <w:r>
        <w:rPr>
          <w:rFonts w:hint="cs"/>
          <w:rtl/>
        </w:rPr>
        <w:t xml:space="preserve">אבל </w:t>
      </w:r>
      <w:bookmarkStart w:id="48775" w:name="_ETM_Q95_581070"/>
      <w:bookmarkEnd w:id="48775"/>
      <w:r>
        <w:rPr>
          <w:rFonts w:hint="cs"/>
          <w:rtl/>
        </w:rPr>
        <w:t xml:space="preserve">בואו </w:t>
      </w:r>
      <w:bookmarkStart w:id="48776" w:name="_ETM_Q95_581369"/>
      <w:bookmarkEnd w:id="48776"/>
      <w:r>
        <w:rPr>
          <w:rFonts w:hint="cs"/>
          <w:rtl/>
        </w:rPr>
        <w:t xml:space="preserve">נפתח </w:t>
      </w:r>
      <w:bookmarkStart w:id="48777" w:name="_ETM_Q95_581880"/>
      <w:bookmarkEnd w:id="48777"/>
      <w:r>
        <w:rPr>
          <w:rFonts w:hint="cs"/>
          <w:rtl/>
        </w:rPr>
        <w:t xml:space="preserve">את </w:t>
      </w:r>
      <w:bookmarkStart w:id="48778" w:name="_ETM_Q95_582000"/>
      <w:bookmarkEnd w:id="48778"/>
      <w:r>
        <w:rPr>
          <w:rFonts w:hint="cs"/>
          <w:rtl/>
        </w:rPr>
        <w:t xml:space="preserve">זה </w:t>
      </w:r>
      <w:bookmarkStart w:id="48779" w:name="_ETM_Q95_582119"/>
      <w:bookmarkEnd w:id="48779"/>
      <w:r>
        <w:rPr>
          <w:rFonts w:hint="cs"/>
          <w:rtl/>
        </w:rPr>
        <w:t xml:space="preserve">שנייה. </w:t>
      </w:r>
      <w:bookmarkStart w:id="48780" w:name="_ETM_Q95_582899"/>
      <w:bookmarkEnd w:id="48780"/>
      <w:r>
        <w:rPr>
          <w:rFonts w:hint="cs"/>
          <w:rtl/>
        </w:rPr>
        <w:t xml:space="preserve">בואו </w:t>
      </w:r>
      <w:bookmarkStart w:id="48781" w:name="_ETM_Q95_583200"/>
      <w:bookmarkEnd w:id="48781"/>
      <w:r>
        <w:rPr>
          <w:rFonts w:hint="cs"/>
          <w:rtl/>
        </w:rPr>
        <w:t xml:space="preserve">נדבר </w:t>
      </w:r>
      <w:bookmarkStart w:id="48782" w:name="_ETM_Q95_583589"/>
      <w:bookmarkEnd w:id="48782"/>
      <w:r>
        <w:rPr>
          <w:rFonts w:hint="cs"/>
          <w:rtl/>
        </w:rPr>
        <w:t xml:space="preserve">על </w:t>
      </w:r>
      <w:bookmarkStart w:id="48783" w:name="_ETM_Q95_583680"/>
      <w:bookmarkEnd w:id="48783"/>
      <w:r>
        <w:rPr>
          <w:rFonts w:hint="cs"/>
          <w:rtl/>
        </w:rPr>
        <w:t xml:space="preserve">מה </w:t>
      </w:r>
      <w:bookmarkStart w:id="48784" w:name="_ETM_Q95_583829"/>
      <w:bookmarkEnd w:id="48784"/>
      <w:r>
        <w:rPr>
          <w:rFonts w:hint="cs"/>
          <w:rtl/>
        </w:rPr>
        <w:t xml:space="preserve">שחבר </w:t>
      </w:r>
      <w:bookmarkStart w:id="48785" w:name="_ETM_Q95_584310"/>
      <w:bookmarkEnd w:id="48785"/>
      <w:r>
        <w:rPr>
          <w:rFonts w:hint="cs"/>
          <w:rtl/>
        </w:rPr>
        <w:t xml:space="preserve">הכנסת </w:t>
      </w:r>
      <w:bookmarkStart w:id="48786" w:name="_ETM_Q95_584700"/>
      <w:bookmarkStart w:id="48787" w:name="_ETM_Q95_584969"/>
      <w:bookmarkEnd w:id="48786"/>
      <w:bookmarkEnd w:id="48787"/>
      <w:r>
        <w:rPr>
          <w:rFonts w:hint="cs"/>
          <w:rtl/>
        </w:rPr>
        <w:t xml:space="preserve">רוטמן </w:t>
      </w:r>
      <w:bookmarkStart w:id="48788" w:name="_ETM_Q95_585149"/>
      <w:bookmarkEnd w:id="48788"/>
      <w:r>
        <w:rPr>
          <w:rFonts w:hint="cs"/>
          <w:rtl/>
        </w:rPr>
        <w:t xml:space="preserve">לא </w:t>
      </w:r>
      <w:bookmarkStart w:id="48789" w:name="_ETM_Q95_585390"/>
      <w:bookmarkEnd w:id="48789"/>
      <w:r>
        <w:rPr>
          <w:rFonts w:hint="cs"/>
          <w:rtl/>
        </w:rPr>
        <w:t xml:space="preserve">רוצה </w:t>
      </w:r>
      <w:bookmarkStart w:id="48790" w:name="_ETM_Q95_585750"/>
      <w:bookmarkEnd w:id="48790"/>
      <w:r>
        <w:rPr>
          <w:rFonts w:hint="cs"/>
          <w:rtl/>
        </w:rPr>
        <w:t xml:space="preserve">שנדבר </w:t>
      </w:r>
      <w:bookmarkStart w:id="48791" w:name="_ETM_Q95_586380"/>
      <w:bookmarkEnd w:id="48791"/>
      <w:r>
        <w:rPr>
          <w:rFonts w:hint="cs"/>
          <w:rtl/>
        </w:rPr>
        <w:t xml:space="preserve">עליו </w:t>
      </w:r>
      <w:bookmarkStart w:id="48792" w:name="_ETM_Q95_587070"/>
      <w:bookmarkEnd w:id="48792"/>
      <w:r>
        <w:rPr>
          <w:rFonts w:hint="cs"/>
          <w:rtl/>
        </w:rPr>
        <w:t xml:space="preserve">– על </w:t>
      </w:r>
      <w:bookmarkStart w:id="48793" w:name="_ETM_Q95_587310"/>
      <w:bookmarkEnd w:id="48793"/>
      <w:r>
        <w:rPr>
          <w:rFonts w:hint="cs"/>
          <w:rtl/>
        </w:rPr>
        <w:t xml:space="preserve">איך </w:t>
      </w:r>
      <w:bookmarkStart w:id="48794" w:name="_ETM_Q95_588000"/>
      <w:bookmarkEnd w:id="48794"/>
      <w:r>
        <w:rPr>
          <w:rFonts w:hint="cs"/>
          <w:rtl/>
        </w:rPr>
        <w:t xml:space="preserve">החקיקה </w:t>
      </w:r>
      <w:bookmarkStart w:id="48795" w:name="_ETM_Q95_588600"/>
      <w:bookmarkEnd w:id="48795"/>
      <w:r>
        <w:rPr>
          <w:rFonts w:hint="cs"/>
          <w:rtl/>
        </w:rPr>
        <w:t xml:space="preserve">הזאת </w:t>
      </w:r>
      <w:bookmarkStart w:id="48796" w:name="_ETM_Q95_588869"/>
      <w:bookmarkEnd w:id="48796"/>
      <w:r>
        <w:rPr>
          <w:rFonts w:hint="cs"/>
          <w:rtl/>
        </w:rPr>
        <w:t xml:space="preserve">הולכת </w:t>
      </w:r>
      <w:bookmarkStart w:id="48797" w:name="_ETM_Q95_589200"/>
      <w:bookmarkEnd w:id="48797"/>
      <w:r>
        <w:rPr>
          <w:rFonts w:hint="cs"/>
          <w:rtl/>
        </w:rPr>
        <w:t xml:space="preserve">לסכן, </w:t>
      </w:r>
      <w:bookmarkStart w:id="48798" w:name="_ETM_Q95_590130"/>
      <w:bookmarkEnd w:id="48798"/>
      <w:r>
        <w:rPr>
          <w:rFonts w:hint="cs"/>
          <w:rtl/>
        </w:rPr>
        <w:t xml:space="preserve">לפגוע </w:t>
      </w:r>
      <w:bookmarkStart w:id="48799" w:name="_ETM_Q95_591299"/>
      <w:bookmarkStart w:id="48800" w:name="_ETM_Q95_591990"/>
      <w:bookmarkEnd w:id="48799"/>
      <w:bookmarkEnd w:id="48800"/>
      <w:r>
        <w:rPr>
          <w:rFonts w:hint="cs"/>
          <w:rtl/>
        </w:rPr>
        <w:t xml:space="preserve">בחיילי צה"ל. </w:t>
      </w:r>
      <w:bookmarkStart w:id="48801" w:name="_ETM_Q95_593010"/>
      <w:bookmarkStart w:id="48802" w:name="_ETM_Q95_593490"/>
      <w:bookmarkEnd w:id="48801"/>
      <w:bookmarkEnd w:id="48802"/>
      <w:r>
        <w:rPr>
          <w:rFonts w:hint="cs"/>
          <w:rtl/>
        </w:rPr>
        <w:t xml:space="preserve">רוטמן לא </w:t>
      </w:r>
      <w:bookmarkStart w:id="48803" w:name="_ETM_Q95_593730"/>
      <w:bookmarkEnd w:id="48803"/>
      <w:r>
        <w:rPr>
          <w:rFonts w:hint="cs"/>
          <w:rtl/>
        </w:rPr>
        <w:t xml:space="preserve">רוצה </w:t>
      </w:r>
      <w:bookmarkStart w:id="48804" w:name="_ETM_Q95_594360"/>
      <w:bookmarkEnd w:id="48804"/>
      <w:r>
        <w:rPr>
          <w:rFonts w:hint="cs"/>
          <w:rtl/>
        </w:rPr>
        <w:t xml:space="preserve">שהציבור </w:t>
      </w:r>
      <w:bookmarkStart w:id="48805" w:name="_ETM_Q95_595140"/>
      <w:bookmarkEnd w:id="48805"/>
      <w:r>
        <w:rPr>
          <w:rFonts w:hint="cs"/>
          <w:rtl/>
        </w:rPr>
        <w:t xml:space="preserve">ישמע </w:t>
      </w:r>
      <w:bookmarkStart w:id="48806" w:name="_ETM_Q95_595529"/>
      <w:bookmarkEnd w:id="48806"/>
      <w:r>
        <w:rPr>
          <w:rFonts w:hint="cs"/>
          <w:rtl/>
        </w:rPr>
        <w:t xml:space="preserve">על כך, </w:t>
      </w:r>
      <w:bookmarkStart w:id="48807" w:name="_ETM_Q95_595860"/>
      <w:bookmarkEnd w:id="48807"/>
      <w:r>
        <w:rPr>
          <w:rFonts w:hint="cs"/>
          <w:rtl/>
        </w:rPr>
        <w:t xml:space="preserve">ולכן </w:t>
      </w:r>
      <w:bookmarkStart w:id="48808" w:name="_ETM_Q95_596220"/>
      <w:bookmarkEnd w:id="48808"/>
      <w:r>
        <w:rPr>
          <w:rFonts w:hint="cs"/>
          <w:rtl/>
        </w:rPr>
        <w:t xml:space="preserve">כאמור </w:t>
      </w:r>
      <w:bookmarkStart w:id="48809" w:name="_ETM_Q95_596580"/>
      <w:bookmarkEnd w:id="48809"/>
      <w:r>
        <w:rPr>
          <w:rFonts w:hint="cs"/>
          <w:rtl/>
        </w:rPr>
        <w:t xml:space="preserve">הוא </w:t>
      </w:r>
      <w:bookmarkStart w:id="48810" w:name="_ETM_Q95_596670"/>
      <w:bookmarkEnd w:id="48810"/>
      <w:r>
        <w:rPr>
          <w:rFonts w:hint="cs"/>
          <w:rtl/>
        </w:rPr>
        <w:t xml:space="preserve">פשוט </w:t>
      </w:r>
      <w:bookmarkStart w:id="48811" w:name="_ETM_Q95_597000"/>
      <w:bookmarkEnd w:id="48811"/>
      <w:r>
        <w:rPr>
          <w:rFonts w:hint="cs"/>
          <w:rtl/>
        </w:rPr>
        <w:t xml:space="preserve">לא </w:t>
      </w:r>
      <w:bookmarkStart w:id="48812" w:name="_ETM_Q95_597150"/>
      <w:bookmarkEnd w:id="48812"/>
      <w:r>
        <w:rPr>
          <w:rFonts w:hint="cs"/>
          <w:rtl/>
        </w:rPr>
        <w:t xml:space="preserve">הזמין </w:t>
      </w:r>
      <w:bookmarkStart w:id="48813" w:name="_ETM_Q95_598029"/>
      <w:bookmarkEnd w:id="48813"/>
      <w:r>
        <w:rPr>
          <w:rFonts w:hint="cs"/>
          <w:rtl/>
        </w:rPr>
        <w:t xml:space="preserve">מומחי </w:t>
      </w:r>
      <w:bookmarkStart w:id="48814" w:name="_ETM_Q95_598420"/>
      <w:bookmarkEnd w:id="48814"/>
      <w:r>
        <w:rPr>
          <w:rFonts w:hint="cs"/>
          <w:rtl/>
        </w:rPr>
        <w:t xml:space="preserve">ביטחון </w:t>
      </w:r>
      <w:bookmarkStart w:id="48815" w:name="_ETM_Q95_598990"/>
      <w:bookmarkStart w:id="48816" w:name="_ETM_Q95_599110"/>
      <w:bookmarkEnd w:id="48815"/>
      <w:bookmarkEnd w:id="48816"/>
      <w:r>
        <w:rPr>
          <w:rFonts w:hint="cs"/>
          <w:rtl/>
        </w:rPr>
        <w:t xml:space="preserve">ואף </w:t>
      </w:r>
      <w:bookmarkStart w:id="48817" w:name="_ETM_Q95_599500"/>
      <w:bookmarkEnd w:id="48817"/>
      <w:r>
        <w:rPr>
          <w:rFonts w:hint="cs"/>
          <w:rtl/>
        </w:rPr>
        <w:t xml:space="preserve">גורם </w:t>
      </w:r>
      <w:bookmarkStart w:id="48818" w:name="_ETM_Q95_600430"/>
      <w:bookmarkEnd w:id="48818"/>
      <w:r>
        <w:rPr>
          <w:rFonts w:hint="cs"/>
          <w:rtl/>
        </w:rPr>
        <w:t xml:space="preserve">ממערכת </w:t>
      </w:r>
      <w:bookmarkStart w:id="48819" w:name="_ETM_Q95_601150"/>
      <w:bookmarkEnd w:id="48819"/>
      <w:r>
        <w:rPr>
          <w:rFonts w:hint="cs"/>
          <w:rtl/>
        </w:rPr>
        <w:t xml:space="preserve">הביטחון </w:t>
      </w:r>
      <w:bookmarkStart w:id="48820" w:name="_ETM_Q95_601660"/>
      <w:bookmarkEnd w:id="48820"/>
      <w:r>
        <w:rPr>
          <w:rFonts w:hint="cs"/>
          <w:rtl/>
        </w:rPr>
        <w:t xml:space="preserve">או </w:t>
      </w:r>
      <w:bookmarkStart w:id="48821" w:name="_ETM_Q95_601750"/>
      <w:bookmarkEnd w:id="48821"/>
      <w:r>
        <w:rPr>
          <w:rFonts w:hint="cs"/>
          <w:rtl/>
        </w:rPr>
        <w:t xml:space="preserve">מצה"ל </w:t>
      </w:r>
      <w:bookmarkStart w:id="48822" w:name="_ETM_Q95_602140"/>
      <w:bookmarkEnd w:id="48822"/>
      <w:r>
        <w:rPr>
          <w:rFonts w:hint="cs"/>
          <w:rtl/>
        </w:rPr>
        <w:t xml:space="preserve">לדיוני </w:t>
      </w:r>
      <w:bookmarkStart w:id="48823" w:name="_ETM_Q95_602560"/>
      <w:bookmarkEnd w:id="48823"/>
      <w:r>
        <w:rPr>
          <w:rFonts w:hint="cs"/>
          <w:rtl/>
        </w:rPr>
        <w:t xml:space="preserve">הוועדה. </w:t>
      </w:r>
      <w:bookmarkStart w:id="48824" w:name="_ETM_Q95_603610"/>
      <w:bookmarkEnd w:id="48824"/>
      <w:r>
        <w:rPr>
          <w:rFonts w:hint="cs"/>
          <w:rtl/>
        </w:rPr>
        <w:t xml:space="preserve">אבל </w:t>
      </w:r>
      <w:bookmarkStart w:id="48825" w:name="_ETM_Q95_603940"/>
      <w:bookmarkEnd w:id="48825"/>
      <w:r>
        <w:rPr>
          <w:rFonts w:hint="cs"/>
          <w:rtl/>
        </w:rPr>
        <w:t xml:space="preserve">האמת, </w:t>
      </w:r>
      <w:bookmarkStart w:id="48826" w:name="_ETM_Q95_605299"/>
      <w:bookmarkEnd w:id="48826"/>
      <w:r>
        <w:rPr>
          <w:rFonts w:hint="cs"/>
          <w:rtl/>
        </w:rPr>
        <w:t xml:space="preserve">חברות </w:t>
      </w:r>
      <w:bookmarkStart w:id="48827" w:name="_ETM_Q95_605779"/>
      <w:bookmarkEnd w:id="48827"/>
      <w:r>
        <w:rPr>
          <w:rFonts w:hint="cs"/>
          <w:rtl/>
        </w:rPr>
        <w:t xml:space="preserve">וחברי </w:t>
      </w:r>
      <w:bookmarkStart w:id="48828" w:name="_ETM_Q95_606229"/>
      <w:bookmarkEnd w:id="48828"/>
      <w:r>
        <w:rPr>
          <w:rFonts w:hint="cs"/>
          <w:rtl/>
        </w:rPr>
        <w:t xml:space="preserve">הכנסת, </w:t>
      </w:r>
      <w:bookmarkStart w:id="48829" w:name="_ETM_Q95_607320"/>
      <w:bookmarkEnd w:id="48829"/>
      <w:r>
        <w:rPr>
          <w:rFonts w:hint="cs"/>
          <w:rtl/>
        </w:rPr>
        <w:t xml:space="preserve">אדוני </w:t>
      </w:r>
      <w:bookmarkStart w:id="48830" w:name="_ETM_Q95_607679"/>
      <w:bookmarkEnd w:id="48830"/>
      <w:r>
        <w:rPr>
          <w:rFonts w:hint="cs"/>
          <w:rtl/>
        </w:rPr>
        <w:t xml:space="preserve">השר, </w:t>
      </w:r>
      <w:bookmarkStart w:id="48831" w:name="_ETM_Q95_608099"/>
      <w:bookmarkEnd w:id="48831"/>
      <w:r>
        <w:rPr>
          <w:rFonts w:hint="cs"/>
          <w:rtl/>
        </w:rPr>
        <w:t xml:space="preserve">חייבת </w:t>
      </w:r>
      <w:bookmarkStart w:id="48832" w:name="_ETM_Q95_608640"/>
      <w:bookmarkEnd w:id="48832"/>
      <w:r>
        <w:rPr>
          <w:rFonts w:hint="cs"/>
          <w:rtl/>
        </w:rPr>
        <w:t xml:space="preserve">להיאמר, </w:t>
      </w:r>
      <w:bookmarkStart w:id="48833" w:name="_ETM_Q95_609690"/>
      <w:bookmarkEnd w:id="48833"/>
      <w:r>
        <w:rPr>
          <w:rFonts w:hint="cs"/>
          <w:rtl/>
        </w:rPr>
        <w:t xml:space="preserve">והציבור </w:t>
      </w:r>
      <w:bookmarkStart w:id="48834" w:name="_ETM_Q95_610440"/>
      <w:bookmarkEnd w:id="48834"/>
      <w:r>
        <w:rPr>
          <w:rFonts w:hint="cs"/>
          <w:rtl/>
        </w:rPr>
        <w:t xml:space="preserve">חייב </w:t>
      </w:r>
      <w:bookmarkStart w:id="48835" w:name="_ETM_Q95_610950"/>
      <w:bookmarkEnd w:id="48835"/>
      <w:r>
        <w:rPr>
          <w:rFonts w:hint="cs"/>
          <w:rtl/>
        </w:rPr>
        <w:t xml:space="preserve">לדעת </w:t>
      </w:r>
      <w:bookmarkStart w:id="48836" w:name="_ETM_Q95_611459"/>
      <w:bookmarkEnd w:id="48836"/>
      <w:r>
        <w:rPr>
          <w:rFonts w:hint="cs"/>
          <w:rtl/>
        </w:rPr>
        <w:t xml:space="preserve">אותה: </w:t>
      </w:r>
      <w:bookmarkStart w:id="48837" w:name="_ETM_Q95_612269"/>
      <w:bookmarkEnd w:id="48837"/>
      <w:r>
        <w:rPr>
          <w:rFonts w:hint="cs"/>
          <w:rtl/>
        </w:rPr>
        <w:t xml:space="preserve">ביטול </w:t>
      </w:r>
      <w:bookmarkStart w:id="48838" w:name="_ETM_Q95_612870"/>
      <w:bookmarkEnd w:id="48838"/>
      <w:r>
        <w:rPr>
          <w:rFonts w:hint="cs"/>
          <w:rtl/>
        </w:rPr>
        <w:t xml:space="preserve">עילת </w:t>
      </w:r>
      <w:bookmarkStart w:id="48839" w:name="_ETM_Q95_613260"/>
      <w:bookmarkEnd w:id="48839"/>
      <w:r>
        <w:rPr>
          <w:rFonts w:hint="cs"/>
          <w:rtl/>
        </w:rPr>
        <w:t xml:space="preserve">הסבירות </w:t>
      </w:r>
      <w:bookmarkStart w:id="48840" w:name="_ETM_Q95_613800"/>
      <w:bookmarkEnd w:id="48840"/>
      <w:r>
        <w:rPr>
          <w:rFonts w:hint="cs"/>
          <w:rtl/>
        </w:rPr>
        <w:t xml:space="preserve">מעמיד </w:t>
      </w:r>
      <w:bookmarkStart w:id="48841" w:name="_ETM_Q95_614400"/>
      <w:bookmarkEnd w:id="48841"/>
      <w:r>
        <w:rPr>
          <w:rFonts w:hint="cs"/>
          <w:rtl/>
        </w:rPr>
        <w:t xml:space="preserve">את </w:t>
      </w:r>
      <w:bookmarkStart w:id="48842" w:name="_ETM_Q95_614519"/>
      <w:bookmarkEnd w:id="48842"/>
      <w:r>
        <w:rPr>
          <w:rFonts w:hint="cs"/>
          <w:rtl/>
        </w:rPr>
        <w:t xml:space="preserve">חיילי </w:t>
      </w:r>
      <w:bookmarkStart w:id="48843" w:name="_ETM_Q95_614910"/>
      <w:bookmarkEnd w:id="48843"/>
      <w:r>
        <w:rPr>
          <w:rFonts w:hint="cs"/>
          <w:rtl/>
        </w:rPr>
        <w:t xml:space="preserve">צה"ל </w:t>
      </w:r>
      <w:bookmarkStart w:id="48844" w:name="_ETM_Q95_615299"/>
      <w:bookmarkEnd w:id="48844"/>
      <w:r>
        <w:rPr>
          <w:rFonts w:hint="cs"/>
          <w:rtl/>
        </w:rPr>
        <w:t xml:space="preserve">בפני </w:t>
      </w:r>
      <w:bookmarkStart w:id="48845" w:name="_ETM_Q95_615660"/>
      <w:bookmarkEnd w:id="48845"/>
      <w:r>
        <w:rPr>
          <w:rFonts w:hint="cs"/>
          <w:rtl/>
        </w:rPr>
        <w:t xml:space="preserve">סכנה </w:t>
      </w:r>
      <w:bookmarkStart w:id="48846" w:name="_ETM_Q95_616650"/>
      <w:bookmarkEnd w:id="48846"/>
      <w:r>
        <w:rPr>
          <w:rFonts w:hint="cs"/>
          <w:rtl/>
        </w:rPr>
        <w:t xml:space="preserve">ברורה </w:t>
      </w:r>
      <w:bookmarkStart w:id="48847" w:name="_ETM_Q95_617860"/>
      <w:bookmarkEnd w:id="48847"/>
      <w:r>
        <w:rPr>
          <w:rFonts w:hint="cs"/>
          <w:rtl/>
        </w:rPr>
        <w:t xml:space="preserve">ומיידית. </w:t>
      </w:r>
      <w:bookmarkStart w:id="48848" w:name="_ETM_Q95_619090"/>
      <w:bookmarkEnd w:id="48848"/>
      <w:r>
        <w:rPr>
          <w:rFonts w:hint="cs"/>
          <w:rtl/>
        </w:rPr>
        <w:t xml:space="preserve">לחבר </w:t>
      </w:r>
      <w:bookmarkStart w:id="48849" w:name="_ETM_Q95_619540"/>
      <w:bookmarkEnd w:id="48849"/>
      <w:r>
        <w:rPr>
          <w:rFonts w:hint="cs"/>
          <w:rtl/>
        </w:rPr>
        <w:t xml:space="preserve">הכנסת </w:t>
      </w:r>
      <w:bookmarkStart w:id="48850" w:name="_ETM_Q95_619810"/>
      <w:bookmarkStart w:id="48851" w:name="_ETM_Q95_619989"/>
      <w:bookmarkEnd w:id="48850"/>
      <w:bookmarkEnd w:id="48851"/>
      <w:r>
        <w:rPr>
          <w:rFonts w:hint="cs"/>
          <w:rtl/>
        </w:rPr>
        <w:t xml:space="preserve">רוטמן אולי </w:t>
      </w:r>
      <w:bookmarkStart w:id="48852" w:name="_ETM_Q95_620260"/>
      <w:bookmarkEnd w:id="48852"/>
      <w:r>
        <w:rPr>
          <w:rFonts w:hint="cs"/>
          <w:rtl/>
        </w:rPr>
        <w:t xml:space="preserve">קל </w:t>
      </w:r>
      <w:bookmarkStart w:id="48853" w:name="_ETM_Q95_620739"/>
      <w:bookmarkEnd w:id="48853"/>
      <w:r>
        <w:rPr>
          <w:rFonts w:hint="cs"/>
          <w:rtl/>
        </w:rPr>
        <w:t xml:space="preserve">להתעלם </w:t>
      </w:r>
      <w:bookmarkStart w:id="48854" w:name="_ETM_Q95_621280"/>
      <w:bookmarkEnd w:id="48854"/>
      <w:r>
        <w:rPr>
          <w:rFonts w:hint="cs"/>
          <w:rtl/>
        </w:rPr>
        <w:t xml:space="preserve">מהעובדות, </w:t>
      </w:r>
      <w:bookmarkStart w:id="48855" w:name="_ETM_Q95_623239"/>
      <w:bookmarkEnd w:id="48855"/>
      <w:r>
        <w:rPr>
          <w:rFonts w:hint="cs"/>
          <w:rtl/>
        </w:rPr>
        <w:t xml:space="preserve">אבל </w:t>
      </w:r>
      <w:bookmarkStart w:id="48856" w:name="_ETM_Q95_623830"/>
      <w:bookmarkEnd w:id="48856"/>
      <w:r>
        <w:rPr>
          <w:rFonts w:hint="cs"/>
          <w:rtl/>
        </w:rPr>
        <w:t xml:space="preserve">ביטול </w:t>
      </w:r>
      <w:bookmarkStart w:id="48857" w:name="_ETM_Q95_624130"/>
      <w:bookmarkEnd w:id="48857"/>
      <w:r>
        <w:rPr>
          <w:rFonts w:hint="cs"/>
          <w:rtl/>
        </w:rPr>
        <w:t xml:space="preserve">עילת </w:t>
      </w:r>
      <w:bookmarkStart w:id="48858" w:name="_ETM_Q95_624370"/>
      <w:bookmarkStart w:id="48859" w:name="_ETM_Q95_624730"/>
      <w:bookmarkEnd w:id="48858"/>
      <w:bookmarkEnd w:id="48859"/>
      <w:r>
        <w:rPr>
          <w:rFonts w:hint="cs"/>
          <w:rtl/>
        </w:rPr>
        <w:t xml:space="preserve">הסבירות בנוסח </w:t>
      </w:r>
      <w:bookmarkStart w:id="48860" w:name="_ETM_Q95_625450"/>
      <w:bookmarkEnd w:id="48860"/>
      <w:r>
        <w:rPr>
          <w:rFonts w:hint="cs"/>
          <w:rtl/>
        </w:rPr>
        <w:t xml:space="preserve">הכי </w:t>
      </w:r>
      <w:bookmarkStart w:id="48861" w:name="_ETM_Q95_625690"/>
      <w:bookmarkEnd w:id="48861"/>
      <w:r>
        <w:rPr>
          <w:rFonts w:hint="cs"/>
          <w:rtl/>
        </w:rPr>
        <w:t xml:space="preserve">קיצוני </w:t>
      </w:r>
      <w:bookmarkStart w:id="48862" w:name="_ETM_Q95_626820"/>
      <w:bookmarkEnd w:id="48862"/>
      <w:r>
        <w:rPr>
          <w:rFonts w:hint="cs"/>
          <w:rtl/>
        </w:rPr>
        <w:t xml:space="preserve">– </w:t>
      </w:r>
      <w:bookmarkStart w:id="48863" w:name="_ETM_Q95_623804"/>
      <w:bookmarkEnd w:id="48863"/>
      <w:r>
        <w:rPr>
          <w:rFonts w:hint="cs"/>
          <w:rtl/>
        </w:rPr>
        <w:t xml:space="preserve">זה </w:t>
      </w:r>
      <w:bookmarkStart w:id="48864" w:name="_ETM_Q95_627180"/>
      <w:bookmarkEnd w:id="48864"/>
      <w:r>
        <w:rPr>
          <w:rFonts w:hint="cs"/>
          <w:rtl/>
        </w:rPr>
        <w:t xml:space="preserve">שהממשלה </w:t>
      </w:r>
      <w:bookmarkStart w:id="48865" w:name="_ETM_Q95_627870"/>
      <w:bookmarkEnd w:id="48865"/>
      <w:r>
        <w:rPr>
          <w:rFonts w:hint="cs"/>
          <w:rtl/>
        </w:rPr>
        <w:t xml:space="preserve">רוצה </w:t>
      </w:r>
      <w:bookmarkStart w:id="48866" w:name="_ETM_Q95_628200"/>
      <w:bookmarkEnd w:id="48866"/>
      <w:r>
        <w:rPr>
          <w:rFonts w:hint="cs"/>
          <w:rtl/>
        </w:rPr>
        <w:t xml:space="preserve">להעביר </w:t>
      </w:r>
      <w:bookmarkStart w:id="48867" w:name="_ETM_Q95_628590"/>
      <w:bookmarkEnd w:id="48867"/>
      <w:r>
        <w:rPr>
          <w:rFonts w:hint="cs"/>
          <w:rtl/>
        </w:rPr>
        <w:t xml:space="preserve">השבוע </w:t>
      </w:r>
      <w:bookmarkStart w:id="48868" w:name="_ETM_Q95_629130"/>
      <w:bookmarkEnd w:id="48868"/>
      <w:r>
        <w:rPr>
          <w:rFonts w:hint="cs"/>
          <w:rtl/>
        </w:rPr>
        <w:t xml:space="preserve">– יחבל </w:t>
      </w:r>
      <w:bookmarkStart w:id="48869" w:name="_ETM_Q95_630390"/>
      <w:bookmarkEnd w:id="48869"/>
      <w:r>
        <w:rPr>
          <w:rFonts w:hint="cs"/>
          <w:rtl/>
        </w:rPr>
        <w:t xml:space="preserve">אנושות </w:t>
      </w:r>
      <w:bookmarkStart w:id="48870" w:name="_ETM_Q95_631200"/>
      <w:bookmarkEnd w:id="48870"/>
      <w:r>
        <w:rPr>
          <w:rFonts w:hint="cs"/>
          <w:rtl/>
        </w:rPr>
        <w:t xml:space="preserve">בהגנה </w:t>
      </w:r>
      <w:bookmarkStart w:id="48871" w:name="_ETM_Q95_631800"/>
      <w:bookmarkEnd w:id="48871"/>
      <w:r>
        <w:rPr>
          <w:rFonts w:hint="cs"/>
          <w:rtl/>
        </w:rPr>
        <w:t xml:space="preserve">המשפטית </w:t>
      </w:r>
      <w:bookmarkStart w:id="48872" w:name="_ETM_Q95_632280"/>
      <w:bookmarkEnd w:id="48872"/>
      <w:r>
        <w:rPr>
          <w:rFonts w:hint="cs"/>
          <w:rtl/>
        </w:rPr>
        <w:t xml:space="preserve">של </w:t>
      </w:r>
      <w:bookmarkStart w:id="48873" w:name="_ETM_Q95_632400"/>
      <w:bookmarkEnd w:id="48873"/>
      <w:r>
        <w:rPr>
          <w:rFonts w:hint="cs"/>
          <w:rtl/>
        </w:rPr>
        <w:t xml:space="preserve">חיילי </w:t>
      </w:r>
      <w:bookmarkStart w:id="48874" w:name="_ETM_Q95_632730"/>
      <w:bookmarkEnd w:id="48874"/>
      <w:r>
        <w:rPr>
          <w:rFonts w:hint="cs"/>
          <w:rtl/>
        </w:rPr>
        <w:t xml:space="preserve">צה"ל </w:t>
      </w:r>
      <w:bookmarkStart w:id="48875" w:name="_ETM_Q95_633700"/>
      <w:bookmarkEnd w:id="48875"/>
      <w:r w:rsidR="00E315D7">
        <w:rPr>
          <w:rFonts w:hint="cs"/>
          <w:rtl/>
        </w:rPr>
        <w:t>וי</w:t>
      </w:r>
      <w:r>
        <w:rPr>
          <w:rFonts w:hint="cs"/>
          <w:rtl/>
        </w:rPr>
        <w:t xml:space="preserve">חשוף </w:t>
      </w:r>
      <w:bookmarkStart w:id="48876" w:name="_ETM_Q95_634419"/>
      <w:bookmarkEnd w:id="48876"/>
      <w:r>
        <w:rPr>
          <w:rFonts w:hint="cs"/>
          <w:rtl/>
        </w:rPr>
        <w:t xml:space="preserve">אותם </w:t>
      </w:r>
      <w:bookmarkStart w:id="48877" w:name="_ETM_Q95_635180"/>
      <w:bookmarkEnd w:id="48877"/>
      <w:r>
        <w:rPr>
          <w:rFonts w:hint="cs"/>
          <w:rtl/>
        </w:rPr>
        <w:t xml:space="preserve">בפני </w:t>
      </w:r>
      <w:bookmarkStart w:id="48878" w:name="_ETM_Q95_635750"/>
      <w:bookmarkEnd w:id="48878"/>
      <w:r>
        <w:rPr>
          <w:rFonts w:hint="cs"/>
          <w:rtl/>
        </w:rPr>
        <w:t xml:space="preserve">העמדה </w:t>
      </w:r>
      <w:bookmarkStart w:id="48879" w:name="_ETM_Q95_636349"/>
      <w:bookmarkEnd w:id="48879"/>
      <w:r>
        <w:rPr>
          <w:rFonts w:hint="cs"/>
          <w:rtl/>
        </w:rPr>
        <w:t xml:space="preserve">לדין </w:t>
      </w:r>
      <w:bookmarkStart w:id="48880" w:name="_ETM_Q95_636800"/>
      <w:bookmarkEnd w:id="48880"/>
      <w:r>
        <w:rPr>
          <w:rFonts w:hint="cs"/>
          <w:rtl/>
        </w:rPr>
        <w:t xml:space="preserve">פלילי </w:t>
      </w:r>
      <w:bookmarkStart w:id="48881" w:name="_ETM_Q95_637310"/>
      <w:bookmarkEnd w:id="48881"/>
      <w:r>
        <w:rPr>
          <w:rFonts w:hint="cs"/>
          <w:rtl/>
        </w:rPr>
        <w:t xml:space="preserve">בבית </w:t>
      </w:r>
      <w:bookmarkStart w:id="48882" w:name="_ETM_Q95_637640"/>
      <w:bookmarkEnd w:id="48882"/>
      <w:r>
        <w:rPr>
          <w:rFonts w:hint="cs"/>
          <w:rtl/>
        </w:rPr>
        <w:t xml:space="preserve">המשפט </w:t>
      </w:r>
      <w:bookmarkStart w:id="48883" w:name="_ETM_Q95_638120"/>
      <w:bookmarkEnd w:id="48883"/>
      <w:r>
        <w:rPr>
          <w:rFonts w:hint="cs"/>
          <w:rtl/>
        </w:rPr>
        <w:t xml:space="preserve">הבין-לאומי </w:t>
      </w:r>
      <w:bookmarkStart w:id="48884" w:name="_ETM_Q95_638810"/>
      <w:bookmarkEnd w:id="48884"/>
      <w:r>
        <w:rPr>
          <w:rFonts w:hint="cs"/>
          <w:rtl/>
        </w:rPr>
        <w:t xml:space="preserve">בהאג. </w:t>
      </w:r>
      <w:bookmarkStart w:id="48885" w:name="_ETM_Q95_640190"/>
      <w:bookmarkEnd w:id="48885"/>
      <w:r>
        <w:rPr>
          <w:rFonts w:hint="cs"/>
          <w:rtl/>
        </w:rPr>
        <w:t xml:space="preserve">במשפט </w:t>
      </w:r>
      <w:bookmarkStart w:id="48886" w:name="_ETM_Q95_640640"/>
      <w:bookmarkEnd w:id="48886"/>
      <w:r>
        <w:rPr>
          <w:rFonts w:hint="cs"/>
          <w:rtl/>
        </w:rPr>
        <w:t xml:space="preserve">הבין-לאומי </w:t>
      </w:r>
      <w:bookmarkStart w:id="48887" w:name="_ETM_Q95_641180"/>
      <w:bookmarkEnd w:id="48887"/>
      <w:r>
        <w:rPr>
          <w:rFonts w:hint="cs"/>
          <w:rtl/>
        </w:rPr>
        <w:t xml:space="preserve">קיים </w:t>
      </w:r>
      <w:bookmarkStart w:id="48888" w:name="_ETM_Q95_642200"/>
      <w:bookmarkEnd w:id="48888"/>
      <w:r>
        <w:rPr>
          <w:rFonts w:hint="cs"/>
          <w:rtl/>
        </w:rPr>
        <w:t xml:space="preserve">עקרון </w:t>
      </w:r>
      <w:bookmarkStart w:id="48889" w:name="_ETM_Q95_642680"/>
      <w:bookmarkStart w:id="48890" w:name="_ETM_Q95_644160"/>
      <w:bookmarkEnd w:id="48889"/>
      <w:bookmarkEnd w:id="48890"/>
      <w:r>
        <w:rPr>
          <w:rFonts w:hint="cs"/>
          <w:rtl/>
        </w:rPr>
        <w:t xml:space="preserve">משלימות, שלפיו </w:t>
      </w:r>
      <w:bookmarkStart w:id="48891" w:name="_ETM_Q95_645680"/>
      <w:bookmarkEnd w:id="48891"/>
      <w:r>
        <w:rPr>
          <w:rFonts w:hint="cs"/>
          <w:rtl/>
        </w:rPr>
        <w:t xml:space="preserve">לא </w:t>
      </w:r>
      <w:bookmarkStart w:id="48892" w:name="_ETM_Q95_646070"/>
      <w:bookmarkEnd w:id="48892"/>
      <w:r>
        <w:rPr>
          <w:rFonts w:hint="cs"/>
          <w:rtl/>
        </w:rPr>
        <w:t xml:space="preserve">ניתן </w:t>
      </w:r>
      <w:bookmarkStart w:id="48893" w:name="_ETM_Q95_646430"/>
      <w:bookmarkEnd w:id="48893"/>
      <w:r>
        <w:rPr>
          <w:rFonts w:hint="cs"/>
          <w:rtl/>
        </w:rPr>
        <w:t xml:space="preserve">להעמיד </w:t>
      </w:r>
      <w:bookmarkStart w:id="48894" w:name="_ETM_Q95_646850"/>
      <w:bookmarkEnd w:id="48894"/>
      <w:r>
        <w:rPr>
          <w:rFonts w:hint="cs"/>
          <w:rtl/>
        </w:rPr>
        <w:t xml:space="preserve">לדין </w:t>
      </w:r>
      <w:bookmarkStart w:id="48895" w:name="_ETM_Q95_647660"/>
      <w:bookmarkEnd w:id="48895"/>
      <w:r>
        <w:rPr>
          <w:rFonts w:hint="cs"/>
          <w:rtl/>
        </w:rPr>
        <w:t xml:space="preserve">אזרחים </w:t>
      </w:r>
      <w:bookmarkStart w:id="48896" w:name="_ETM_Q95_648170"/>
      <w:bookmarkEnd w:id="48896"/>
      <w:r>
        <w:rPr>
          <w:rFonts w:hint="cs"/>
          <w:rtl/>
        </w:rPr>
        <w:t>מ</w:t>
      </w:r>
      <w:bookmarkStart w:id="48897" w:name="_ETM_Q95_648260"/>
      <w:bookmarkEnd w:id="48897"/>
      <w:r>
        <w:rPr>
          <w:rFonts w:hint="cs"/>
          <w:rtl/>
        </w:rPr>
        <w:t>מדינה</w:t>
      </w:r>
      <w:r w:rsidR="00E315D7">
        <w:rPr>
          <w:rFonts w:hint="cs"/>
          <w:rtl/>
        </w:rPr>
        <w:t xml:space="preserve"> כלשהי</w:t>
      </w:r>
      <w:r>
        <w:rPr>
          <w:rFonts w:hint="cs"/>
          <w:rtl/>
        </w:rPr>
        <w:t xml:space="preserve">, </w:t>
      </w:r>
      <w:bookmarkStart w:id="48898" w:name="_ETM_Q95_648830"/>
      <w:bookmarkEnd w:id="48898"/>
      <w:r>
        <w:rPr>
          <w:rFonts w:hint="cs"/>
          <w:rtl/>
        </w:rPr>
        <w:t xml:space="preserve">בתנאי </w:t>
      </w:r>
      <w:bookmarkStart w:id="48899" w:name="_ETM_Q95_649370"/>
      <w:bookmarkEnd w:id="48899"/>
      <w:r>
        <w:rPr>
          <w:rFonts w:hint="cs"/>
          <w:rtl/>
        </w:rPr>
        <w:t xml:space="preserve">שיש </w:t>
      </w:r>
      <w:bookmarkStart w:id="48900" w:name="_ETM_Q95_649730"/>
      <w:bookmarkEnd w:id="48900"/>
      <w:r>
        <w:rPr>
          <w:rFonts w:hint="cs"/>
          <w:rtl/>
        </w:rPr>
        <w:t xml:space="preserve">באותה </w:t>
      </w:r>
      <w:bookmarkStart w:id="48901" w:name="_ETM_Q95_650090"/>
      <w:bookmarkEnd w:id="48901"/>
      <w:r>
        <w:rPr>
          <w:rFonts w:hint="cs"/>
          <w:rtl/>
        </w:rPr>
        <w:t xml:space="preserve">מדינה </w:t>
      </w:r>
      <w:bookmarkStart w:id="48902" w:name="_ETM_Q95_650570"/>
      <w:bookmarkEnd w:id="48902"/>
      <w:r>
        <w:rPr>
          <w:rFonts w:hint="cs"/>
          <w:rtl/>
        </w:rPr>
        <w:t xml:space="preserve">בתי </w:t>
      </w:r>
      <w:bookmarkStart w:id="48903" w:name="_ETM_Q95_650870"/>
      <w:bookmarkEnd w:id="48903"/>
      <w:r>
        <w:rPr>
          <w:rFonts w:hint="cs"/>
          <w:rtl/>
        </w:rPr>
        <w:t xml:space="preserve">משפט </w:t>
      </w:r>
      <w:bookmarkStart w:id="48904" w:name="_ETM_Q95_651290"/>
      <w:bookmarkEnd w:id="48904"/>
      <w:r>
        <w:rPr>
          <w:rFonts w:hint="cs"/>
          <w:rtl/>
        </w:rPr>
        <w:t xml:space="preserve">עצמאיים </w:t>
      </w:r>
      <w:bookmarkStart w:id="48905" w:name="_ETM_Q95_652520"/>
      <w:bookmarkEnd w:id="48905"/>
      <w:r>
        <w:rPr>
          <w:rFonts w:hint="cs"/>
          <w:rtl/>
        </w:rPr>
        <w:t>ובלתי</w:t>
      </w:r>
      <w:bookmarkStart w:id="48906" w:name="_ETM_Q95_652970"/>
      <w:bookmarkEnd w:id="48906"/>
      <w:r>
        <w:rPr>
          <w:rFonts w:hint="cs"/>
          <w:rtl/>
        </w:rPr>
        <w:t xml:space="preserve"> תלויים. </w:t>
      </w:r>
      <w:bookmarkStart w:id="48907" w:name="_ETM_Q95_653920"/>
      <w:bookmarkEnd w:id="48907"/>
      <w:r>
        <w:rPr>
          <w:rFonts w:hint="cs"/>
          <w:rtl/>
        </w:rPr>
        <w:t xml:space="preserve">כל </w:t>
      </w:r>
      <w:bookmarkStart w:id="48908" w:name="_ETM_Q95_654310"/>
      <w:bookmarkEnd w:id="48908"/>
      <w:r>
        <w:rPr>
          <w:rFonts w:hint="cs"/>
          <w:rtl/>
        </w:rPr>
        <w:t xml:space="preserve">עוד </w:t>
      </w:r>
      <w:bookmarkStart w:id="48909" w:name="_ETM_Q95_654550"/>
      <w:bookmarkStart w:id="48910" w:name="_ETM_Q95_655150"/>
      <w:bookmarkEnd w:id="48909"/>
      <w:bookmarkEnd w:id="48910"/>
      <w:r>
        <w:rPr>
          <w:rFonts w:hint="cs"/>
          <w:rtl/>
        </w:rPr>
        <w:t xml:space="preserve">הקהילה הבין-לאומית </w:t>
      </w:r>
      <w:bookmarkStart w:id="48911" w:name="_ETM_Q95_655900"/>
      <w:bookmarkEnd w:id="48911"/>
      <w:r>
        <w:rPr>
          <w:rFonts w:hint="cs"/>
          <w:rtl/>
        </w:rPr>
        <w:t xml:space="preserve">מאמינה </w:t>
      </w:r>
      <w:bookmarkStart w:id="48912" w:name="_ETM_Q95_656650"/>
      <w:bookmarkEnd w:id="48912"/>
      <w:r>
        <w:rPr>
          <w:rFonts w:hint="cs"/>
          <w:rtl/>
        </w:rPr>
        <w:t xml:space="preserve">שבתי </w:t>
      </w:r>
      <w:bookmarkStart w:id="48913" w:name="_ETM_Q95_657100"/>
      <w:bookmarkEnd w:id="48913"/>
      <w:r>
        <w:rPr>
          <w:rFonts w:hint="cs"/>
          <w:rtl/>
        </w:rPr>
        <w:t xml:space="preserve">המשפט </w:t>
      </w:r>
      <w:bookmarkStart w:id="48914" w:name="_ETM_Q95_657580"/>
      <w:bookmarkEnd w:id="48914"/>
      <w:r>
        <w:rPr>
          <w:rFonts w:hint="cs"/>
          <w:rtl/>
        </w:rPr>
        <w:t xml:space="preserve">בישראל </w:t>
      </w:r>
      <w:bookmarkStart w:id="48915" w:name="_ETM_Q95_657940"/>
      <w:bookmarkStart w:id="48916" w:name="_ETM_Q95_658870"/>
      <w:bookmarkEnd w:id="48915"/>
      <w:bookmarkEnd w:id="48916"/>
      <w:r>
        <w:rPr>
          <w:rFonts w:hint="cs"/>
          <w:rtl/>
        </w:rPr>
        <w:t xml:space="preserve">מסוגלים </w:t>
      </w:r>
      <w:bookmarkStart w:id="48917" w:name="_ETM_Q95_659410"/>
      <w:bookmarkEnd w:id="48917"/>
      <w:r>
        <w:rPr>
          <w:rFonts w:hint="cs"/>
          <w:rtl/>
        </w:rPr>
        <w:t xml:space="preserve">לחקור </w:t>
      </w:r>
      <w:bookmarkStart w:id="48918" w:name="_ETM_Q95_659830"/>
      <w:bookmarkEnd w:id="48918"/>
      <w:r>
        <w:rPr>
          <w:rFonts w:hint="cs"/>
          <w:rtl/>
        </w:rPr>
        <w:t xml:space="preserve">החלטות </w:t>
      </w:r>
      <w:bookmarkStart w:id="48919" w:name="_ETM_Q95_660829"/>
      <w:bookmarkEnd w:id="48919"/>
      <w:r>
        <w:rPr>
          <w:rFonts w:hint="cs"/>
          <w:rtl/>
        </w:rPr>
        <w:t xml:space="preserve">או </w:t>
      </w:r>
      <w:bookmarkStart w:id="48920" w:name="_ETM_Q95_661099"/>
      <w:bookmarkEnd w:id="48920"/>
      <w:r>
        <w:rPr>
          <w:rFonts w:hint="cs"/>
          <w:rtl/>
        </w:rPr>
        <w:t xml:space="preserve">אירועים </w:t>
      </w:r>
      <w:bookmarkStart w:id="48921" w:name="_ETM_Q95_661489"/>
      <w:bookmarkEnd w:id="48921"/>
      <w:r>
        <w:rPr>
          <w:rFonts w:hint="cs"/>
          <w:rtl/>
        </w:rPr>
        <w:t xml:space="preserve">שהם </w:t>
      </w:r>
      <w:bookmarkStart w:id="48922" w:name="_ETM_Q95_661819"/>
      <w:bookmarkEnd w:id="48922"/>
      <w:r>
        <w:rPr>
          <w:rFonts w:hint="cs"/>
          <w:rtl/>
        </w:rPr>
        <w:t xml:space="preserve">טעוני </w:t>
      </w:r>
      <w:bookmarkStart w:id="48923" w:name="_ETM_Q95_662299"/>
      <w:bookmarkEnd w:id="48923"/>
      <w:r>
        <w:rPr>
          <w:rFonts w:hint="cs"/>
          <w:rtl/>
        </w:rPr>
        <w:t xml:space="preserve">בדיקה, </w:t>
      </w:r>
      <w:bookmarkStart w:id="48924" w:name="_ETM_Q95_663290"/>
      <w:bookmarkEnd w:id="48924"/>
      <w:r>
        <w:rPr>
          <w:rFonts w:hint="cs"/>
          <w:rtl/>
        </w:rPr>
        <w:t xml:space="preserve">חיילי </w:t>
      </w:r>
      <w:bookmarkStart w:id="48925" w:name="_ETM_Q95_663799"/>
      <w:bookmarkEnd w:id="48925"/>
      <w:r>
        <w:rPr>
          <w:rFonts w:hint="cs"/>
          <w:rtl/>
        </w:rPr>
        <w:t xml:space="preserve">צה"ל </w:t>
      </w:r>
      <w:bookmarkStart w:id="48926" w:name="_ETM_Q95_664129"/>
      <w:bookmarkEnd w:id="48926"/>
      <w:r>
        <w:rPr>
          <w:rFonts w:hint="cs"/>
          <w:rtl/>
        </w:rPr>
        <w:t xml:space="preserve">חסינים </w:t>
      </w:r>
      <w:bookmarkStart w:id="48927" w:name="_ETM_Q95_665299"/>
      <w:bookmarkEnd w:id="48927"/>
      <w:r>
        <w:rPr>
          <w:rFonts w:hint="cs"/>
          <w:rtl/>
        </w:rPr>
        <w:t xml:space="preserve">מפני </w:t>
      </w:r>
      <w:bookmarkStart w:id="48928" w:name="_ETM_Q95_665659"/>
      <w:bookmarkEnd w:id="48928"/>
      <w:r>
        <w:rPr>
          <w:rFonts w:hint="cs"/>
          <w:rtl/>
        </w:rPr>
        <w:t xml:space="preserve">רדיפת </w:t>
      </w:r>
      <w:bookmarkStart w:id="48929" w:name="_ETM_Q95_666170"/>
      <w:bookmarkEnd w:id="48929"/>
      <w:r>
        <w:rPr>
          <w:rFonts w:hint="cs"/>
          <w:rtl/>
        </w:rPr>
        <w:t xml:space="preserve">בית </w:t>
      </w:r>
      <w:bookmarkStart w:id="48930" w:name="_ETM_Q95_666379"/>
      <w:bookmarkEnd w:id="48930"/>
      <w:r>
        <w:rPr>
          <w:rFonts w:hint="cs"/>
          <w:rtl/>
        </w:rPr>
        <w:t xml:space="preserve">הדין </w:t>
      </w:r>
      <w:bookmarkStart w:id="48931" w:name="_ETM_Q95_666620"/>
      <w:bookmarkEnd w:id="48931"/>
      <w:r>
        <w:rPr>
          <w:rFonts w:hint="cs"/>
          <w:rtl/>
        </w:rPr>
        <w:t xml:space="preserve">הבין-לאומי </w:t>
      </w:r>
      <w:bookmarkStart w:id="48932" w:name="_ETM_Q95_667189"/>
      <w:bookmarkEnd w:id="48932"/>
      <w:r>
        <w:rPr>
          <w:rFonts w:hint="cs"/>
          <w:rtl/>
        </w:rPr>
        <w:t xml:space="preserve">בהאג. </w:t>
      </w:r>
      <w:bookmarkStart w:id="48933" w:name="_ETM_Q95_668510"/>
      <w:bookmarkEnd w:id="48933"/>
      <w:r>
        <w:rPr>
          <w:rFonts w:hint="cs"/>
          <w:rtl/>
        </w:rPr>
        <w:t xml:space="preserve">אבל </w:t>
      </w:r>
      <w:bookmarkStart w:id="48934" w:name="_ETM_Q95_668749"/>
      <w:bookmarkEnd w:id="48934"/>
      <w:r>
        <w:rPr>
          <w:rFonts w:hint="cs"/>
          <w:rtl/>
        </w:rPr>
        <w:t xml:space="preserve">מדינה </w:t>
      </w:r>
      <w:bookmarkStart w:id="48935" w:name="_ETM_Q95_669230"/>
      <w:bookmarkEnd w:id="48935"/>
      <w:r>
        <w:rPr>
          <w:rFonts w:hint="cs"/>
          <w:rtl/>
        </w:rPr>
        <w:t xml:space="preserve">שבה </w:t>
      </w:r>
      <w:bookmarkStart w:id="48936" w:name="_ETM_Q95_669799"/>
      <w:bookmarkEnd w:id="48936"/>
      <w:r>
        <w:rPr>
          <w:rFonts w:hint="cs"/>
          <w:rtl/>
        </w:rPr>
        <w:t xml:space="preserve">בקלות </w:t>
      </w:r>
      <w:bookmarkStart w:id="48937" w:name="_ETM_Q95_670340"/>
      <w:bookmarkEnd w:id="48937"/>
      <w:r>
        <w:rPr>
          <w:rFonts w:hint="cs"/>
          <w:rtl/>
        </w:rPr>
        <w:t xml:space="preserve">גמורה </w:t>
      </w:r>
      <w:bookmarkStart w:id="48938" w:name="_ETM_Q95_671450"/>
      <w:bookmarkEnd w:id="48938"/>
      <w:r>
        <w:rPr>
          <w:rFonts w:hint="cs"/>
          <w:rtl/>
        </w:rPr>
        <w:t xml:space="preserve">ניתן </w:t>
      </w:r>
      <w:bookmarkStart w:id="48939" w:name="_ETM_Q95_671749"/>
      <w:bookmarkEnd w:id="48939"/>
      <w:r>
        <w:rPr>
          <w:rFonts w:hint="cs"/>
          <w:rtl/>
        </w:rPr>
        <w:t xml:space="preserve">לפטר </w:t>
      </w:r>
      <w:bookmarkStart w:id="48940" w:name="_ETM_Q95_672319"/>
      <w:bookmarkEnd w:id="48940"/>
      <w:r>
        <w:rPr>
          <w:rFonts w:hint="cs"/>
          <w:rtl/>
        </w:rPr>
        <w:t xml:space="preserve">את </w:t>
      </w:r>
      <w:bookmarkStart w:id="48941" w:name="_ETM_Q95_672379"/>
      <w:bookmarkEnd w:id="48941"/>
      <w:r>
        <w:rPr>
          <w:rFonts w:hint="cs"/>
          <w:rtl/>
        </w:rPr>
        <w:t xml:space="preserve">היועצת </w:t>
      </w:r>
      <w:bookmarkStart w:id="48942" w:name="_ETM_Q95_672709"/>
      <w:bookmarkEnd w:id="48942"/>
      <w:r>
        <w:rPr>
          <w:rFonts w:hint="cs"/>
          <w:rtl/>
        </w:rPr>
        <w:t xml:space="preserve">המשפטית </w:t>
      </w:r>
      <w:bookmarkStart w:id="48943" w:name="_ETM_Q95_673159"/>
      <w:bookmarkEnd w:id="48943"/>
      <w:r>
        <w:rPr>
          <w:rFonts w:hint="cs"/>
          <w:rtl/>
        </w:rPr>
        <w:t xml:space="preserve">לממשלה, </w:t>
      </w:r>
      <w:bookmarkStart w:id="48944" w:name="_ETM_Q95_673849"/>
      <w:bookmarkEnd w:id="48944"/>
      <w:r>
        <w:rPr>
          <w:rFonts w:hint="cs"/>
          <w:rtl/>
        </w:rPr>
        <w:t xml:space="preserve">או </w:t>
      </w:r>
      <w:bookmarkStart w:id="48945" w:name="_ETM_Q95_673969"/>
      <w:bookmarkEnd w:id="48945"/>
      <w:r>
        <w:rPr>
          <w:rFonts w:hint="cs"/>
          <w:rtl/>
        </w:rPr>
        <w:t xml:space="preserve">אפילו </w:t>
      </w:r>
      <w:bookmarkStart w:id="48946" w:name="_ETM_Q95_674329"/>
      <w:bookmarkEnd w:id="48946"/>
      <w:r>
        <w:rPr>
          <w:rFonts w:hint="cs"/>
          <w:rtl/>
        </w:rPr>
        <w:t xml:space="preserve">את </w:t>
      </w:r>
      <w:bookmarkStart w:id="48947" w:name="_ETM_Q95_674420"/>
      <w:bookmarkEnd w:id="48947"/>
      <w:r>
        <w:rPr>
          <w:rFonts w:hint="cs"/>
          <w:rtl/>
        </w:rPr>
        <w:t xml:space="preserve">הרמטכ"ל, </w:t>
      </w:r>
      <w:bookmarkStart w:id="48948" w:name="_ETM_Q95_675810"/>
      <w:bookmarkEnd w:id="48948"/>
      <w:r>
        <w:rPr>
          <w:rFonts w:hint="cs"/>
          <w:rtl/>
        </w:rPr>
        <w:t xml:space="preserve">לא </w:t>
      </w:r>
      <w:bookmarkStart w:id="48949" w:name="_ETM_Q95_676110"/>
      <w:bookmarkEnd w:id="48949"/>
      <w:r>
        <w:rPr>
          <w:rFonts w:hint="cs"/>
          <w:rtl/>
        </w:rPr>
        <w:t xml:space="preserve">יכולה </w:t>
      </w:r>
      <w:bookmarkStart w:id="48950" w:name="_ETM_Q95_676560"/>
      <w:bookmarkEnd w:id="48950"/>
      <w:r>
        <w:rPr>
          <w:rFonts w:hint="cs"/>
          <w:rtl/>
        </w:rPr>
        <w:t xml:space="preserve">לנהל </w:t>
      </w:r>
      <w:bookmarkStart w:id="48951" w:name="_ETM_Q95_676860"/>
      <w:bookmarkEnd w:id="48951"/>
      <w:r>
        <w:rPr>
          <w:rFonts w:hint="cs"/>
          <w:rtl/>
        </w:rPr>
        <w:t xml:space="preserve">יותר </w:t>
      </w:r>
      <w:bookmarkStart w:id="48952" w:name="_ETM_Q95_677710"/>
      <w:bookmarkEnd w:id="48952"/>
      <w:r>
        <w:rPr>
          <w:rFonts w:hint="cs"/>
          <w:rtl/>
        </w:rPr>
        <w:t xml:space="preserve">חקירות </w:t>
      </w:r>
      <w:bookmarkStart w:id="48953" w:name="_ETM_Q95_678569"/>
      <w:bookmarkEnd w:id="48953"/>
      <w:r>
        <w:rPr>
          <w:rFonts w:hint="cs"/>
          <w:rtl/>
        </w:rPr>
        <w:t xml:space="preserve">צבאיות </w:t>
      </w:r>
      <w:bookmarkStart w:id="48954" w:name="_ETM_Q95_679200"/>
      <w:bookmarkEnd w:id="48954"/>
      <w:r>
        <w:rPr>
          <w:rFonts w:hint="cs"/>
          <w:rtl/>
        </w:rPr>
        <w:t xml:space="preserve">בצורה </w:t>
      </w:r>
      <w:bookmarkStart w:id="48955" w:name="_ETM_Q95_679680"/>
      <w:bookmarkEnd w:id="48955"/>
      <w:r>
        <w:rPr>
          <w:rFonts w:hint="cs"/>
          <w:rtl/>
        </w:rPr>
        <w:t xml:space="preserve">עצמאית. </w:t>
      </w:r>
      <w:bookmarkStart w:id="48956" w:name="_ETM_Q95_680970"/>
      <w:bookmarkEnd w:id="48956"/>
    </w:p>
    <w:p w:rsidR="00BB59CD" w:rsidRDefault="00BB59CD" w:rsidP="00BB59CD">
      <w:pPr>
        <w:rPr>
          <w:rtl/>
        </w:rPr>
      </w:pPr>
      <w:bookmarkStart w:id="48957" w:name="_ETM_Q95_692110"/>
      <w:bookmarkStart w:id="48958" w:name="_ETM_Q95_692183"/>
      <w:bookmarkEnd w:id="48957"/>
      <w:bookmarkEnd w:id="48958"/>
    </w:p>
    <w:p w:rsidR="00BB59CD" w:rsidRDefault="00BB59CD" w:rsidP="00BB59CD">
      <w:pPr>
        <w:rPr>
          <w:rtl/>
        </w:rPr>
      </w:pPr>
      <w:r>
        <w:rPr>
          <w:rFonts w:hint="cs"/>
          <w:rtl/>
        </w:rPr>
        <w:t xml:space="preserve">אירועים </w:t>
      </w:r>
      <w:bookmarkStart w:id="48959" w:name="_ETM_Q95_681540"/>
      <w:bookmarkEnd w:id="48959"/>
      <w:r>
        <w:rPr>
          <w:rFonts w:hint="cs"/>
          <w:rtl/>
        </w:rPr>
        <w:t xml:space="preserve">והחלטות </w:t>
      </w:r>
      <w:bookmarkStart w:id="48960" w:name="_ETM_Q95_682260"/>
      <w:bookmarkEnd w:id="48960"/>
      <w:r>
        <w:rPr>
          <w:rFonts w:hint="cs"/>
          <w:rtl/>
        </w:rPr>
        <w:t xml:space="preserve">שבעבר </w:t>
      </w:r>
      <w:bookmarkStart w:id="48961" w:name="_ETM_Q95_683160"/>
      <w:bookmarkEnd w:id="48961"/>
      <w:r>
        <w:rPr>
          <w:rFonts w:hint="cs"/>
          <w:rtl/>
        </w:rPr>
        <w:t xml:space="preserve">בית </w:t>
      </w:r>
      <w:bookmarkStart w:id="48962" w:name="_ETM_Q95_683459"/>
      <w:bookmarkEnd w:id="48962"/>
      <w:r>
        <w:rPr>
          <w:rFonts w:hint="cs"/>
          <w:rtl/>
        </w:rPr>
        <w:t xml:space="preserve">המשפט </w:t>
      </w:r>
      <w:bookmarkStart w:id="48963" w:name="_ETM_Q95_684060"/>
      <w:bookmarkEnd w:id="48963"/>
      <w:r>
        <w:rPr>
          <w:rFonts w:hint="cs"/>
          <w:rtl/>
        </w:rPr>
        <w:t xml:space="preserve">היה יכול </w:t>
      </w:r>
      <w:bookmarkStart w:id="48964" w:name="_ETM_Q95_684360"/>
      <w:bookmarkEnd w:id="48964"/>
      <w:r>
        <w:rPr>
          <w:rFonts w:hint="cs"/>
          <w:rtl/>
        </w:rPr>
        <w:t xml:space="preserve">לעסוק </w:t>
      </w:r>
      <w:bookmarkStart w:id="48965" w:name="_ETM_Q95_684870"/>
      <w:bookmarkEnd w:id="48965"/>
      <w:r>
        <w:rPr>
          <w:rFonts w:hint="cs"/>
          <w:rtl/>
        </w:rPr>
        <w:t xml:space="preserve">בהם, </w:t>
      </w:r>
      <w:bookmarkStart w:id="48966" w:name="_ETM_Q95_685620"/>
      <w:bookmarkEnd w:id="48966"/>
      <w:r>
        <w:rPr>
          <w:rFonts w:hint="cs"/>
          <w:rtl/>
        </w:rPr>
        <w:t xml:space="preserve">לבדוק </w:t>
      </w:r>
      <w:bookmarkStart w:id="48967" w:name="_ETM_Q95_686010"/>
      <w:bookmarkEnd w:id="48967"/>
      <w:r>
        <w:rPr>
          <w:rFonts w:hint="cs"/>
          <w:rtl/>
        </w:rPr>
        <w:t xml:space="preserve">את </w:t>
      </w:r>
      <w:bookmarkStart w:id="48968" w:name="_ETM_Q95_686160"/>
      <w:bookmarkEnd w:id="48968"/>
      <w:r>
        <w:rPr>
          <w:rFonts w:hint="cs"/>
          <w:rtl/>
        </w:rPr>
        <w:t xml:space="preserve">התקינות </w:t>
      </w:r>
      <w:bookmarkStart w:id="48969" w:name="_ETM_Q95_686550"/>
      <w:bookmarkEnd w:id="48969"/>
      <w:r>
        <w:rPr>
          <w:rFonts w:hint="cs"/>
          <w:rtl/>
        </w:rPr>
        <w:t xml:space="preserve">שלהם, </w:t>
      </w:r>
      <w:bookmarkStart w:id="48970" w:name="_ETM_Q95_687630"/>
      <w:bookmarkEnd w:id="48970"/>
      <w:r>
        <w:rPr>
          <w:rFonts w:hint="cs"/>
          <w:rtl/>
        </w:rPr>
        <w:t xml:space="preserve">כבר </w:t>
      </w:r>
      <w:bookmarkStart w:id="48971" w:name="_ETM_Q95_687870"/>
      <w:bookmarkEnd w:id="48971"/>
      <w:r>
        <w:rPr>
          <w:rFonts w:hint="cs"/>
          <w:rtl/>
        </w:rPr>
        <w:t xml:space="preserve">מחוץ </w:t>
      </w:r>
      <w:bookmarkStart w:id="48972" w:name="_ETM_Q95_688290"/>
      <w:bookmarkEnd w:id="48972"/>
      <w:r>
        <w:rPr>
          <w:rFonts w:hint="cs"/>
          <w:rtl/>
        </w:rPr>
        <w:t xml:space="preserve">לתחום. </w:t>
      </w:r>
      <w:bookmarkStart w:id="48973" w:name="_ETM_Q95_689370"/>
      <w:bookmarkEnd w:id="48973"/>
      <w:r>
        <w:rPr>
          <w:rFonts w:hint="cs"/>
          <w:rtl/>
        </w:rPr>
        <w:t xml:space="preserve">אתם </w:t>
      </w:r>
      <w:bookmarkStart w:id="48974" w:name="_ETM_Q95_689730"/>
      <w:bookmarkEnd w:id="48974"/>
      <w:r>
        <w:rPr>
          <w:rFonts w:hint="cs"/>
          <w:rtl/>
        </w:rPr>
        <w:t xml:space="preserve">מוציאים </w:t>
      </w:r>
      <w:bookmarkStart w:id="48975" w:name="_ETM_Q95_690180"/>
      <w:bookmarkEnd w:id="48975"/>
      <w:r>
        <w:rPr>
          <w:rFonts w:hint="cs"/>
          <w:rtl/>
        </w:rPr>
        <w:t xml:space="preserve">את </w:t>
      </w:r>
      <w:bookmarkStart w:id="48976" w:name="_ETM_Q95_690300"/>
      <w:bookmarkEnd w:id="48976"/>
      <w:r>
        <w:rPr>
          <w:rFonts w:hint="cs"/>
          <w:rtl/>
        </w:rPr>
        <w:t xml:space="preserve">בג"ץ </w:t>
      </w:r>
      <w:bookmarkStart w:id="48977" w:name="_ETM_Q95_690780"/>
      <w:bookmarkEnd w:id="48977"/>
      <w:r>
        <w:rPr>
          <w:rFonts w:hint="cs"/>
          <w:rtl/>
        </w:rPr>
        <w:t xml:space="preserve">מהתמונה, </w:t>
      </w:r>
      <w:bookmarkStart w:id="48978" w:name="_ETM_Q95_691860"/>
      <w:bookmarkEnd w:id="48978"/>
      <w:r>
        <w:rPr>
          <w:rFonts w:hint="cs"/>
          <w:rtl/>
        </w:rPr>
        <w:t xml:space="preserve">אבל </w:t>
      </w:r>
      <w:bookmarkStart w:id="48979" w:name="_ETM_Q95_692130"/>
      <w:bookmarkEnd w:id="48979"/>
      <w:r>
        <w:rPr>
          <w:rFonts w:hint="cs"/>
          <w:rtl/>
        </w:rPr>
        <w:t xml:space="preserve">מכניסים </w:t>
      </w:r>
      <w:bookmarkStart w:id="48980" w:name="_ETM_Q95_693660"/>
      <w:bookmarkEnd w:id="48980"/>
      <w:r>
        <w:rPr>
          <w:rFonts w:hint="cs"/>
          <w:rtl/>
        </w:rPr>
        <w:t xml:space="preserve">את </w:t>
      </w:r>
      <w:bookmarkStart w:id="48981" w:name="_ETM_Q95_693840"/>
      <w:bookmarkEnd w:id="48981"/>
      <w:r>
        <w:rPr>
          <w:rFonts w:hint="cs"/>
          <w:rtl/>
        </w:rPr>
        <w:t xml:space="preserve">בית </w:t>
      </w:r>
      <w:bookmarkStart w:id="48982" w:name="_ETM_Q95_694080"/>
      <w:bookmarkEnd w:id="48982"/>
      <w:r>
        <w:rPr>
          <w:rFonts w:hint="cs"/>
          <w:rtl/>
        </w:rPr>
        <w:t xml:space="preserve">המשפט </w:t>
      </w:r>
      <w:bookmarkStart w:id="48983" w:name="_ETM_Q95_694590"/>
      <w:bookmarkEnd w:id="48983"/>
      <w:r>
        <w:rPr>
          <w:rFonts w:hint="cs"/>
          <w:rtl/>
        </w:rPr>
        <w:t xml:space="preserve">הבין-לאומי </w:t>
      </w:r>
      <w:bookmarkStart w:id="48984" w:name="_ETM_Q95_695700"/>
      <w:bookmarkEnd w:id="48984"/>
      <w:r>
        <w:rPr>
          <w:rFonts w:hint="cs"/>
          <w:rtl/>
        </w:rPr>
        <w:t xml:space="preserve">הפלילי </w:t>
      </w:r>
      <w:bookmarkStart w:id="48985" w:name="_ETM_Q95_696300"/>
      <w:bookmarkEnd w:id="48985"/>
      <w:r>
        <w:rPr>
          <w:rFonts w:hint="cs"/>
          <w:rtl/>
        </w:rPr>
        <w:t xml:space="preserve">בהאג. </w:t>
      </w:r>
      <w:bookmarkStart w:id="48986" w:name="_ETM_Q95_697410"/>
      <w:bookmarkEnd w:id="48986"/>
      <w:r>
        <w:rPr>
          <w:rFonts w:hint="cs"/>
          <w:rtl/>
        </w:rPr>
        <w:t>הממשלה</w:t>
      </w:r>
      <w:bookmarkStart w:id="48987" w:name="_ETM_Q95_698250"/>
      <w:bookmarkEnd w:id="48987"/>
      <w:r>
        <w:rPr>
          <w:rFonts w:hint="cs"/>
          <w:rtl/>
        </w:rPr>
        <w:t xml:space="preserve"> – ואני </w:t>
      </w:r>
      <w:bookmarkStart w:id="48988" w:name="_ETM_Q95_698550"/>
      <w:bookmarkEnd w:id="48988"/>
      <w:r>
        <w:rPr>
          <w:rFonts w:hint="cs"/>
          <w:rtl/>
        </w:rPr>
        <w:t xml:space="preserve">אומר </w:t>
      </w:r>
      <w:bookmarkStart w:id="48989" w:name="_ETM_Q95_698850"/>
      <w:bookmarkEnd w:id="48989"/>
      <w:r>
        <w:rPr>
          <w:rFonts w:hint="cs"/>
          <w:rtl/>
        </w:rPr>
        <w:t xml:space="preserve">את </w:t>
      </w:r>
      <w:bookmarkStart w:id="48990" w:name="_ETM_Q95_698940"/>
      <w:bookmarkEnd w:id="48990"/>
      <w:r>
        <w:rPr>
          <w:rFonts w:hint="cs"/>
          <w:rtl/>
        </w:rPr>
        <w:t xml:space="preserve">זה </w:t>
      </w:r>
      <w:bookmarkStart w:id="48991" w:name="_ETM_Q95_700260"/>
      <w:bookmarkEnd w:id="48991"/>
      <w:r>
        <w:rPr>
          <w:rFonts w:hint="cs"/>
          <w:rtl/>
        </w:rPr>
        <w:t xml:space="preserve">בעצב </w:t>
      </w:r>
      <w:bookmarkStart w:id="48992" w:name="_ETM_Q95_701220"/>
      <w:bookmarkEnd w:id="48992"/>
      <w:r>
        <w:rPr>
          <w:rFonts w:hint="cs"/>
          <w:rtl/>
        </w:rPr>
        <w:t xml:space="preserve">ובכאב </w:t>
      </w:r>
      <w:bookmarkStart w:id="48993" w:name="_ETM_Q95_702360"/>
      <w:bookmarkEnd w:id="48993"/>
      <w:r>
        <w:rPr>
          <w:rFonts w:hint="cs"/>
          <w:rtl/>
        </w:rPr>
        <w:t xml:space="preserve">– הממשלה </w:t>
      </w:r>
      <w:bookmarkStart w:id="48994" w:name="_ETM_Q95_703080"/>
      <w:bookmarkEnd w:id="48994"/>
      <w:r>
        <w:rPr>
          <w:rFonts w:hint="cs"/>
          <w:rtl/>
        </w:rPr>
        <w:t xml:space="preserve">שמה </w:t>
      </w:r>
      <w:bookmarkStart w:id="48995" w:name="_ETM_Q95_703379"/>
      <w:bookmarkEnd w:id="48995"/>
      <w:r>
        <w:rPr>
          <w:rFonts w:hint="cs"/>
          <w:rtl/>
        </w:rPr>
        <w:t xml:space="preserve">כוונת </w:t>
      </w:r>
      <w:bookmarkStart w:id="48996" w:name="_ETM_Q95_703950"/>
      <w:bookmarkEnd w:id="48996"/>
      <w:r>
        <w:rPr>
          <w:rFonts w:hint="cs"/>
          <w:rtl/>
        </w:rPr>
        <w:t xml:space="preserve">בין-לאומית </w:t>
      </w:r>
      <w:bookmarkStart w:id="48997" w:name="_ETM_Q95_704879"/>
      <w:bookmarkEnd w:id="48997"/>
      <w:r>
        <w:rPr>
          <w:rFonts w:hint="cs"/>
          <w:rtl/>
        </w:rPr>
        <w:t xml:space="preserve">על </w:t>
      </w:r>
      <w:bookmarkStart w:id="48998" w:name="_ETM_Q95_705000"/>
      <w:bookmarkEnd w:id="48998"/>
      <w:r>
        <w:rPr>
          <w:rFonts w:hint="cs"/>
          <w:rtl/>
        </w:rPr>
        <w:t xml:space="preserve">גבם </w:t>
      </w:r>
      <w:bookmarkStart w:id="48999" w:name="_ETM_Q95_705959"/>
      <w:bookmarkEnd w:id="48999"/>
      <w:r>
        <w:rPr>
          <w:rFonts w:hint="cs"/>
          <w:rtl/>
        </w:rPr>
        <w:t xml:space="preserve">של </w:t>
      </w:r>
      <w:bookmarkStart w:id="49000" w:name="_ETM_Q95_706200"/>
      <w:bookmarkEnd w:id="49000"/>
      <w:r>
        <w:rPr>
          <w:rFonts w:hint="cs"/>
          <w:rtl/>
        </w:rPr>
        <w:t xml:space="preserve">לוחמי </w:t>
      </w:r>
      <w:bookmarkStart w:id="49001" w:name="_ETM_Q95_706709"/>
      <w:bookmarkEnd w:id="49001"/>
      <w:r>
        <w:rPr>
          <w:rFonts w:hint="cs"/>
          <w:rtl/>
        </w:rPr>
        <w:t xml:space="preserve">צה"ל. </w:t>
      </w:r>
      <w:bookmarkStart w:id="49002" w:name="_ETM_Q95_707700"/>
      <w:bookmarkEnd w:id="49002"/>
      <w:r>
        <w:rPr>
          <w:rFonts w:hint="cs"/>
          <w:rtl/>
        </w:rPr>
        <w:t xml:space="preserve">העולם </w:t>
      </w:r>
      <w:bookmarkStart w:id="49003" w:name="_ETM_Q95_708360"/>
      <w:bookmarkStart w:id="49004" w:name="_ETM_Q95_708510"/>
      <w:bookmarkEnd w:id="49003"/>
      <w:bookmarkEnd w:id="49004"/>
      <w:r>
        <w:rPr>
          <w:rFonts w:hint="cs"/>
          <w:rtl/>
        </w:rPr>
        <w:t xml:space="preserve">רואה </w:t>
      </w:r>
      <w:bookmarkStart w:id="49005" w:name="_ETM_Q95_708929"/>
      <w:bookmarkEnd w:id="49005"/>
      <w:r>
        <w:rPr>
          <w:rFonts w:hint="cs"/>
          <w:rtl/>
        </w:rPr>
        <w:t xml:space="preserve">את </w:t>
      </w:r>
      <w:bookmarkStart w:id="49006" w:name="_ETM_Q95_708990"/>
      <w:bookmarkEnd w:id="49006"/>
      <w:r>
        <w:rPr>
          <w:rFonts w:hint="cs"/>
          <w:rtl/>
        </w:rPr>
        <w:t xml:space="preserve">זה </w:t>
      </w:r>
      <w:bookmarkStart w:id="49007" w:name="_ETM_Q95_709230"/>
      <w:bookmarkEnd w:id="49007"/>
      <w:r>
        <w:rPr>
          <w:rFonts w:hint="cs"/>
          <w:rtl/>
        </w:rPr>
        <w:t xml:space="preserve">ומזהיר </w:t>
      </w:r>
      <w:bookmarkStart w:id="49008" w:name="_ETM_Q95_709860"/>
      <w:bookmarkEnd w:id="49008"/>
      <w:r>
        <w:rPr>
          <w:rFonts w:hint="cs"/>
          <w:rtl/>
        </w:rPr>
        <w:t xml:space="preserve">מפני </w:t>
      </w:r>
      <w:bookmarkStart w:id="49009" w:name="_ETM_Q95_710250"/>
      <w:bookmarkEnd w:id="49009"/>
      <w:r>
        <w:rPr>
          <w:rFonts w:hint="cs"/>
          <w:rtl/>
        </w:rPr>
        <w:t xml:space="preserve">כך. </w:t>
      </w:r>
      <w:bookmarkStart w:id="49010" w:name="_ETM_Q95_710520"/>
      <w:bookmarkEnd w:id="49010"/>
      <w:r>
        <w:rPr>
          <w:rFonts w:hint="cs"/>
          <w:rtl/>
        </w:rPr>
        <w:t xml:space="preserve">הידידות </w:t>
      </w:r>
      <w:bookmarkStart w:id="49011" w:name="_ETM_Q95_711000"/>
      <w:bookmarkEnd w:id="49011"/>
      <w:r>
        <w:rPr>
          <w:rFonts w:hint="cs"/>
          <w:rtl/>
        </w:rPr>
        <w:t xml:space="preserve">הכי </w:t>
      </w:r>
      <w:bookmarkStart w:id="49012" w:name="_ETM_Q95_711150"/>
      <w:bookmarkEnd w:id="49012"/>
      <w:r>
        <w:rPr>
          <w:rFonts w:hint="cs"/>
          <w:rtl/>
        </w:rPr>
        <w:t xml:space="preserve">גדולות </w:t>
      </w:r>
      <w:bookmarkStart w:id="49013" w:name="_ETM_Q95_711540"/>
      <w:bookmarkEnd w:id="49013"/>
      <w:r>
        <w:rPr>
          <w:rFonts w:hint="cs"/>
          <w:rtl/>
        </w:rPr>
        <w:t xml:space="preserve">של ישראל, </w:t>
      </w:r>
      <w:bookmarkStart w:id="49014" w:name="_ETM_Q95_712110"/>
      <w:bookmarkEnd w:id="49014"/>
      <w:r>
        <w:rPr>
          <w:rFonts w:hint="cs"/>
          <w:rtl/>
        </w:rPr>
        <w:t xml:space="preserve">ובראשן </w:t>
      </w:r>
      <w:bookmarkStart w:id="49015" w:name="_ETM_Q95_712679"/>
      <w:bookmarkEnd w:id="49015"/>
      <w:r>
        <w:rPr>
          <w:rFonts w:hint="cs"/>
          <w:rtl/>
        </w:rPr>
        <w:t xml:space="preserve">ארצות </w:t>
      </w:r>
      <w:bookmarkStart w:id="49016" w:name="_ETM_Q95_713070"/>
      <w:bookmarkEnd w:id="49016"/>
      <w:r>
        <w:rPr>
          <w:rFonts w:hint="cs"/>
          <w:rtl/>
        </w:rPr>
        <w:t xml:space="preserve">הברית, </w:t>
      </w:r>
      <w:bookmarkStart w:id="49017" w:name="_ETM_Q95_714269"/>
      <w:bookmarkEnd w:id="49017"/>
      <w:r>
        <w:rPr>
          <w:rFonts w:hint="cs"/>
          <w:rtl/>
        </w:rPr>
        <w:t>אומרות:</w:t>
      </w:r>
      <w:bookmarkStart w:id="49018" w:name="_ETM_Q95_714779"/>
      <w:bookmarkEnd w:id="49018"/>
      <w:r>
        <w:rPr>
          <w:rFonts w:hint="cs"/>
          <w:rtl/>
        </w:rPr>
        <w:t xml:space="preserve"> עצרו, </w:t>
      </w:r>
      <w:bookmarkStart w:id="49019" w:name="_ETM_Q95_716100"/>
      <w:bookmarkEnd w:id="49019"/>
      <w:r>
        <w:rPr>
          <w:rFonts w:hint="cs"/>
          <w:rtl/>
        </w:rPr>
        <w:t xml:space="preserve">אבל </w:t>
      </w:r>
      <w:bookmarkStart w:id="49020" w:name="_ETM_Q95_716520"/>
      <w:bookmarkEnd w:id="49020"/>
      <w:r>
        <w:rPr>
          <w:rFonts w:hint="cs"/>
          <w:rtl/>
        </w:rPr>
        <w:t xml:space="preserve">הממשלה </w:t>
      </w:r>
      <w:bookmarkStart w:id="49021" w:name="_ETM_Q95_717090"/>
      <w:bookmarkEnd w:id="49021"/>
      <w:r>
        <w:rPr>
          <w:rFonts w:hint="cs"/>
          <w:rtl/>
        </w:rPr>
        <w:t xml:space="preserve">הזו </w:t>
      </w:r>
      <w:bookmarkStart w:id="49022" w:name="_ETM_Q95_717330"/>
      <w:bookmarkEnd w:id="49022"/>
      <w:r>
        <w:rPr>
          <w:rFonts w:hint="cs"/>
          <w:rtl/>
        </w:rPr>
        <w:t xml:space="preserve">מסרבת </w:t>
      </w:r>
      <w:bookmarkStart w:id="49023" w:name="_ETM_Q95_717929"/>
      <w:bookmarkEnd w:id="49023"/>
      <w:r>
        <w:rPr>
          <w:rFonts w:hint="cs"/>
          <w:rtl/>
        </w:rPr>
        <w:t xml:space="preserve">לשמוע, </w:t>
      </w:r>
      <w:bookmarkStart w:id="49024" w:name="_ETM_Q95_719340"/>
      <w:bookmarkEnd w:id="49024"/>
      <w:r>
        <w:rPr>
          <w:rFonts w:hint="cs"/>
          <w:rtl/>
        </w:rPr>
        <w:t xml:space="preserve">ובמערכה </w:t>
      </w:r>
      <w:bookmarkStart w:id="49025" w:name="_ETM_Q95_720090"/>
      <w:bookmarkEnd w:id="49025"/>
      <w:r>
        <w:rPr>
          <w:rFonts w:hint="cs"/>
          <w:rtl/>
        </w:rPr>
        <w:t xml:space="preserve">הזו </w:t>
      </w:r>
      <w:bookmarkStart w:id="49026" w:name="_ETM_Q95_720450"/>
      <w:bookmarkEnd w:id="49026"/>
      <w:r>
        <w:rPr>
          <w:rFonts w:hint="cs"/>
          <w:rtl/>
        </w:rPr>
        <w:t xml:space="preserve">הממשלה </w:t>
      </w:r>
      <w:bookmarkStart w:id="49027" w:name="_ETM_Q95_720989"/>
      <w:bookmarkEnd w:id="49027"/>
      <w:r>
        <w:rPr>
          <w:rFonts w:hint="cs"/>
          <w:rtl/>
        </w:rPr>
        <w:t xml:space="preserve">מפקירה </w:t>
      </w:r>
      <w:bookmarkStart w:id="49028" w:name="_ETM_Q95_722260"/>
      <w:bookmarkEnd w:id="49028"/>
      <w:r>
        <w:rPr>
          <w:rFonts w:hint="cs"/>
          <w:rtl/>
        </w:rPr>
        <w:t xml:space="preserve">את </w:t>
      </w:r>
      <w:bookmarkStart w:id="49029" w:name="_ETM_Q95_722439"/>
      <w:bookmarkEnd w:id="49029"/>
      <w:r>
        <w:rPr>
          <w:rFonts w:hint="cs"/>
          <w:rtl/>
        </w:rPr>
        <w:t xml:space="preserve">החיילים </w:t>
      </w:r>
      <w:bookmarkStart w:id="49030" w:name="_ETM_Q95_723489"/>
      <w:bookmarkEnd w:id="49030"/>
      <w:r>
        <w:rPr>
          <w:rFonts w:hint="cs"/>
          <w:rtl/>
        </w:rPr>
        <w:t xml:space="preserve">לבד </w:t>
      </w:r>
      <w:bookmarkStart w:id="49031" w:name="_ETM_Q95_724029"/>
      <w:bookmarkEnd w:id="49031"/>
      <w:r>
        <w:rPr>
          <w:rFonts w:hint="cs"/>
          <w:rtl/>
        </w:rPr>
        <w:t xml:space="preserve">בצריח. </w:t>
      </w:r>
      <w:bookmarkStart w:id="49032" w:name="_ETM_Q95_726280"/>
      <w:bookmarkEnd w:id="49032"/>
    </w:p>
    <w:p w:rsidR="00BB59CD" w:rsidRDefault="00BB59CD" w:rsidP="00BB59CD">
      <w:pPr>
        <w:rPr>
          <w:rtl/>
        </w:rPr>
      </w:pPr>
    </w:p>
    <w:p w:rsidR="00BB59CD" w:rsidRDefault="00BB59CD" w:rsidP="00BB59CD">
      <w:pPr>
        <w:rPr>
          <w:rtl/>
        </w:rPr>
      </w:pPr>
      <w:r>
        <w:rPr>
          <w:rFonts w:hint="cs"/>
          <w:rtl/>
        </w:rPr>
        <w:t xml:space="preserve">הייתי </w:t>
      </w:r>
      <w:bookmarkStart w:id="49033" w:name="_ETM_Q95_726579"/>
      <w:bookmarkEnd w:id="49033"/>
      <w:r>
        <w:rPr>
          <w:rFonts w:hint="cs"/>
          <w:rtl/>
        </w:rPr>
        <w:t xml:space="preserve">רוצה </w:t>
      </w:r>
      <w:bookmarkStart w:id="49034" w:name="_ETM_Q95_726879"/>
      <w:bookmarkEnd w:id="49034"/>
      <w:r>
        <w:rPr>
          <w:rFonts w:hint="cs"/>
          <w:rtl/>
        </w:rPr>
        <w:t xml:space="preserve">לגעת, </w:t>
      </w:r>
      <w:bookmarkStart w:id="49035" w:name="_ETM_Q95_727329"/>
      <w:bookmarkEnd w:id="49035"/>
      <w:r>
        <w:rPr>
          <w:rFonts w:hint="cs"/>
          <w:rtl/>
        </w:rPr>
        <w:t xml:space="preserve">אדוני </w:t>
      </w:r>
      <w:bookmarkStart w:id="49036" w:name="_ETM_Q95_728230"/>
      <w:bookmarkEnd w:id="49036"/>
      <w:r>
        <w:rPr>
          <w:rFonts w:hint="cs"/>
          <w:rtl/>
        </w:rPr>
        <w:t xml:space="preserve">השר, </w:t>
      </w:r>
      <w:bookmarkStart w:id="49037" w:name="_ETM_Q95_729010"/>
      <w:bookmarkEnd w:id="49037"/>
      <w:r>
        <w:rPr>
          <w:rFonts w:hint="cs"/>
          <w:rtl/>
        </w:rPr>
        <w:t xml:space="preserve">אדוני </w:t>
      </w:r>
      <w:bookmarkStart w:id="49038" w:name="_ETM_Q95_729309"/>
      <w:bookmarkEnd w:id="49038"/>
      <w:r>
        <w:rPr>
          <w:rFonts w:hint="cs"/>
          <w:rtl/>
        </w:rPr>
        <w:t>היושב</w:t>
      </w:r>
      <w:bookmarkStart w:id="49039" w:name="_ETM_Q95_729579"/>
      <w:bookmarkEnd w:id="49039"/>
      <w:r>
        <w:rPr>
          <w:rFonts w:hint="cs"/>
          <w:rtl/>
        </w:rPr>
        <w:t xml:space="preserve">-ראש, </w:t>
      </w:r>
      <w:bookmarkStart w:id="49040" w:name="_ETM_Q95_730390"/>
      <w:bookmarkEnd w:id="49040"/>
      <w:r>
        <w:rPr>
          <w:rFonts w:hint="cs"/>
          <w:rtl/>
        </w:rPr>
        <w:t xml:space="preserve">בעוד </w:t>
      </w:r>
      <w:bookmarkStart w:id="49041" w:name="_ETM_Q95_730780"/>
      <w:bookmarkEnd w:id="49041"/>
      <w:r>
        <w:rPr>
          <w:rFonts w:hint="cs"/>
          <w:rtl/>
        </w:rPr>
        <w:t xml:space="preserve">שני </w:t>
      </w:r>
      <w:bookmarkStart w:id="49042" w:name="_ETM_Q95_731049"/>
      <w:bookmarkEnd w:id="49042"/>
      <w:r>
        <w:rPr>
          <w:rFonts w:hint="cs"/>
          <w:rtl/>
        </w:rPr>
        <w:t xml:space="preserve">תחומים </w:t>
      </w:r>
      <w:bookmarkStart w:id="49043" w:name="_ETM_Q95_731469"/>
      <w:bookmarkEnd w:id="49043"/>
      <w:r>
        <w:rPr>
          <w:rFonts w:hint="cs"/>
          <w:rtl/>
        </w:rPr>
        <w:t xml:space="preserve">שבהם </w:t>
      </w:r>
      <w:bookmarkStart w:id="49044" w:name="_ETM_Q95_732630"/>
      <w:bookmarkEnd w:id="49044"/>
      <w:r>
        <w:rPr>
          <w:rFonts w:hint="cs"/>
          <w:rtl/>
        </w:rPr>
        <w:t xml:space="preserve">אני </w:t>
      </w:r>
      <w:bookmarkStart w:id="49045" w:name="_ETM_Q95_732840"/>
      <w:bookmarkEnd w:id="49045"/>
      <w:r>
        <w:rPr>
          <w:rFonts w:hint="cs"/>
          <w:rtl/>
        </w:rPr>
        <w:t xml:space="preserve">סבור </w:t>
      </w:r>
      <w:bookmarkStart w:id="49046" w:name="_ETM_Q95_733230"/>
      <w:bookmarkEnd w:id="49046"/>
      <w:r>
        <w:rPr>
          <w:rFonts w:hint="cs"/>
          <w:rtl/>
        </w:rPr>
        <w:t xml:space="preserve">שעילת </w:t>
      </w:r>
      <w:bookmarkStart w:id="49047" w:name="_ETM_Q95_733650"/>
      <w:bookmarkEnd w:id="49047"/>
      <w:r>
        <w:rPr>
          <w:rFonts w:hint="cs"/>
          <w:rtl/>
        </w:rPr>
        <w:t xml:space="preserve">הסבירות – </w:t>
      </w:r>
      <w:bookmarkStart w:id="49048" w:name="_ETM_Q95_734459"/>
      <w:bookmarkEnd w:id="49048"/>
      <w:r>
        <w:rPr>
          <w:rFonts w:hint="cs"/>
          <w:rtl/>
        </w:rPr>
        <w:t xml:space="preserve">ביטולה </w:t>
      </w:r>
      <w:bookmarkStart w:id="49049" w:name="_ETM_Q95_735480"/>
      <w:bookmarkEnd w:id="49049"/>
      <w:r>
        <w:rPr>
          <w:rFonts w:hint="cs"/>
          <w:rtl/>
        </w:rPr>
        <w:t xml:space="preserve">הולך </w:t>
      </w:r>
      <w:bookmarkStart w:id="49050" w:name="_ETM_Q95_735720"/>
      <w:bookmarkEnd w:id="49050"/>
      <w:r>
        <w:rPr>
          <w:rFonts w:hint="cs"/>
          <w:rtl/>
        </w:rPr>
        <w:t xml:space="preserve">לפגוע </w:t>
      </w:r>
      <w:bookmarkStart w:id="49051" w:name="_ETM_Q95_736440"/>
      <w:bookmarkEnd w:id="49051"/>
      <w:r>
        <w:rPr>
          <w:rFonts w:hint="cs"/>
          <w:rtl/>
        </w:rPr>
        <w:t xml:space="preserve">קשות </w:t>
      </w:r>
      <w:bookmarkStart w:id="49052" w:name="_ETM_Q95_737160"/>
      <w:bookmarkEnd w:id="49052"/>
      <w:r>
        <w:rPr>
          <w:rFonts w:hint="cs"/>
          <w:rtl/>
        </w:rPr>
        <w:t xml:space="preserve">ביכולת </w:t>
      </w:r>
      <w:bookmarkStart w:id="49053" w:name="_ETM_Q95_737790"/>
      <w:bookmarkEnd w:id="49053"/>
      <w:r>
        <w:rPr>
          <w:rFonts w:hint="cs"/>
          <w:rtl/>
        </w:rPr>
        <w:t xml:space="preserve">להתמודד, </w:t>
      </w:r>
      <w:bookmarkStart w:id="49054" w:name="_ETM_Q95_738300"/>
      <w:bookmarkEnd w:id="49054"/>
      <w:r>
        <w:rPr>
          <w:rFonts w:hint="cs"/>
          <w:rtl/>
        </w:rPr>
        <w:t xml:space="preserve">להגן </w:t>
      </w:r>
      <w:bookmarkStart w:id="49055" w:name="_ETM_Q95_739360"/>
      <w:bookmarkEnd w:id="49055"/>
      <w:r>
        <w:rPr>
          <w:rFonts w:hint="cs"/>
          <w:rtl/>
        </w:rPr>
        <w:t xml:space="preserve">על </w:t>
      </w:r>
      <w:bookmarkStart w:id="49056" w:name="_ETM_Q95_739480"/>
      <w:bookmarkEnd w:id="49056"/>
      <w:r>
        <w:rPr>
          <w:rFonts w:hint="cs"/>
          <w:rtl/>
        </w:rPr>
        <w:t xml:space="preserve">אותם </w:t>
      </w:r>
      <w:bookmarkStart w:id="49057" w:name="_ETM_Q95_739780"/>
      <w:bookmarkEnd w:id="49057"/>
      <w:r>
        <w:rPr>
          <w:rFonts w:hint="cs"/>
          <w:rtl/>
        </w:rPr>
        <w:t xml:space="preserve">תחומים, </w:t>
      </w:r>
      <w:bookmarkStart w:id="49058" w:name="_ETM_Q95_740410"/>
      <w:bookmarkEnd w:id="49058"/>
      <w:r>
        <w:rPr>
          <w:rFonts w:hint="cs"/>
          <w:rtl/>
        </w:rPr>
        <w:t xml:space="preserve">ובעיקר </w:t>
      </w:r>
      <w:bookmarkStart w:id="49059" w:name="_ETM_Q95_741040"/>
      <w:bookmarkEnd w:id="49059"/>
      <w:r>
        <w:rPr>
          <w:rFonts w:hint="cs"/>
          <w:rtl/>
        </w:rPr>
        <w:t xml:space="preserve">על </w:t>
      </w:r>
      <w:bookmarkStart w:id="49060" w:name="_ETM_Q95_741160"/>
      <w:bookmarkEnd w:id="49060"/>
      <w:r>
        <w:rPr>
          <w:rFonts w:hint="cs"/>
          <w:rtl/>
        </w:rPr>
        <w:t xml:space="preserve">הציבור. </w:t>
      </w:r>
      <w:bookmarkStart w:id="49061" w:name="_ETM_Q95_742210"/>
      <w:bookmarkEnd w:id="49061"/>
      <w:r>
        <w:rPr>
          <w:rFonts w:hint="cs"/>
          <w:rtl/>
        </w:rPr>
        <w:t xml:space="preserve">עילת </w:t>
      </w:r>
      <w:bookmarkStart w:id="49062" w:name="_ETM_Q95_742540"/>
      <w:bookmarkEnd w:id="49062"/>
      <w:r>
        <w:rPr>
          <w:rFonts w:hint="cs"/>
          <w:rtl/>
        </w:rPr>
        <w:t xml:space="preserve">הסבירות </w:t>
      </w:r>
      <w:bookmarkStart w:id="49063" w:name="_ETM_Q95_743200"/>
      <w:bookmarkEnd w:id="49063"/>
      <w:r>
        <w:rPr>
          <w:rFonts w:hint="cs"/>
          <w:rtl/>
        </w:rPr>
        <w:t xml:space="preserve">היא </w:t>
      </w:r>
      <w:bookmarkStart w:id="49064" w:name="_ETM_Q95_743380"/>
      <w:bookmarkEnd w:id="49064"/>
      <w:r>
        <w:rPr>
          <w:rFonts w:hint="cs"/>
          <w:rtl/>
        </w:rPr>
        <w:t xml:space="preserve">אחד </w:t>
      </w:r>
      <w:bookmarkStart w:id="49065" w:name="_ETM_Q95_744010"/>
      <w:bookmarkEnd w:id="49065"/>
      <w:r>
        <w:rPr>
          <w:rFonts w:hint="cs"/>
          <w:rtl/>
        </w:rPr>
        <w:t xml:space="preserve">הכלים </w:t>
      </w:r>
      <w:bookmarkStart w:id="49066" w:name="_ETM_Q95_745059"/>
      <w:bookmarkEnd w:id="49066"/>
      <w:r>
        <w:rPr>
          <w:rFonts w:hint="cs"/>
          <w:rtl/>
        </w:rPr>
        <w:t xml:space="preserve">החשובים </w:t>
      </w:r>
      <w:bookmarkStart w:id="49067" w:name="_ETM_Q95_745630"/>
      <w:bookmarkEnd w:id="49067"/>
      <w:r>
        <w:rPr>
          <w:rFonts w:hint="cs"/>
          <w:rtl/>
        </w:rPr>
        <w:t xml:space="preserve">ביותר </w:t>
      </w:r>
      <w:bookmarkStart w:id="49068" w:name="_ETM_Q95_746020"/>
      <w:bookmarkEnd w:id="49068"/>
      <w:r>
        <w:rPr>
          <w:rFonts w:hint="cs"/>
          <w:rtl/>
        </w:rPr>
        <w:t xml:space="preserve">בארגז </w:t>
      </w:r>
      <w:bookmarkStart w:id="49069" w:name="_ETM_Q95_746620"/>
      <w:bookmarkEnd w:id="49069"/>
      <w:r>
        <w:rPr>
          <w:rFonts w:hint="cs"/>
          <w:rtl/>
        </w:rPr>
        <w:t xml:space="preserve">הכלים </w:t>
      </w:r>
      <w:bookmarkStart w:id="49070" w:name="_ETM_Q95_747100"/>
      <w:bookmarkEnd w:id="49070"/>
      <w:r>
        <w:rPr>
          <w:rFonts w:hint="cs"/>
          <w:rtl/>
        </w:rPr>
        <w:t xml:space="preserve">של </w:t>
      </w:r>
      <w:bookmarkStart w:id="49071" w:name="_ETM_Q95_747280"/>
      <w:bookmarkEnd w:id="49071"/>
      <w:r>
        <w:rPr>
          <w:rFonts w:hint="cs"/>
          <w:rtl/>
        </w:rPr>
        <w:t xml:space="preserve">בית </w:t>
      </w:r>
      <w:bookmarkStart w:id="49072" w:name="_ETM_Q95_747490"/>
      <w:bookmarkEnd w:id="49072"/>
      <w:r>
        <w:rPr>
          <w:rFonts w:hint="cs"/>
          <w:rtl/>
        </w:rPr>
        <w:t xml:space="preserve">המשפט </w:t>
      </w:r>
      <w:bookmarkStart w:id="49073" w:name="_ETM_Q95_748480"/>
      <w:bookmarkEnd w:id="49073"/>
      <w:r>
        <w:rPr>
          <w:rFonts w:hint="cs"/>
          <w:rtl/>
        </w:rPr>
        <w:t xml:space="preserve">להגנת </w:t>
      </w:r>
      <w:bookmarkStart w:id="49074" w:name="_ETM_Q95_749080"/>
      <w:bookmarkEnd w:id="49074"/>
      <w:r>
        <w:rPr>
          <w:rFonts w:hint="cs"/>
          <w:rtl/>
        </w:rPr>
        <w:t xml:space="preserve">הסביבה </w:t>
      </w:r>
      <w:bookmarkStart w:id="49075" w:name="_ETM_Q95_749620"/>
      <w:bookmarkEnd w:id="49075"/>
      <w:r>
        <w:rPr>
          <w:rFonts w:hint="cs"/>
          <w:rtl/>
        </w:rPr>
        <w:t xml:space="preserve">ולשמירה </w:t>
      </w:r>
      <w:bookmarkStart w:id="49076" w:name="_ETM_Q95_750640"/>
      <w:bookmarkEnd w:id="49076"/>
      <w:r>
        <w:rPr>
          <w:rFonts w:hint="cs"/>
          <w:rtl/>
        </w:rPr>
        <w:t xml:space="preserve">על </w:t>
      </w:r>
      <w:bookmarkStart w:id="49077" w:name="_ETM_Q95_750820"/>
      <w:bookmarkEnd w:id="49077"/>
      <w:r>
        <w:rPr>
          <w:rFonts w:hint="cs"/>
          <w:rtl/>
        </w:rPr>
        <w:t xml:space="preserve">בריאות </w:t>
      </w:r>
      <w:bookmarkStart w:id="49078" w:name="_ETM_Q95_751090"/>
      <w:bookmarkEnd w:id="49078"/>
      <w:r>
        <w:rPr>
          <w:rFonts w:hint="cs"/>
          <w:rtl/>
        </w:rPr>
        <w:t xml:space="preserve">הציבור. </w:t>
      </w:r>
      <w:bookmarkStart w:id="49079" w:name="_ETM_Q95_752039"/>
      <w:bookmarkEnd w:id="49079"/>
      <w:r>
        <w:rPr>
          <w:rFonts w:hint="cs"/>
          <w:rtl/>
        </w:rPr>
        <w:t xml:space="preserve">אני </w:t>
      </w:r>
      <w:bookmarkStart w:id="49080" w:name="_ETM_Q95_752249"/>
      <w:bookmarkEnd w:id="49080"/>
      <w:r>
        <w:rPr>
          <w:rFonts w:hint="cs"/>
          <w:rtl/>
        </w:rPr>
        <w:t xml:space="preserve">רוצה </w:t>
      </w:r>
      <w:bookmarkStart w:id="49081" w:name="_ETM_Q95_752729"/>
      <w:bookmarkEnd w:id="49081"/>
      <w:r>
        <w:rPr>
          <w:rFonts w:hint="cs"/>
          <w:rtl/>
        </w:rPr>
        <w:t xml:space="preserve">לקחת, </w:t>
      </w:r>
      <w:bookmarkStart w:id="49082" w:name="_ETM_Q95_753210"/>
      <w:bookmarkEnd w:id="49082"/>
      <w:r>
        <w:rPr>
          <w:rFonts w:hint="cs"/>
          <w:rtl/>
        </w:rPr>
        <w:t xml:space="preserve">ברשותכם, </w:t>
      </w:r>
      <w:bookmarkStart w:id="49083" w:name="_ETM_Q95_753719"/>
      <w:bookmarkEnd w:id="49083"/>
      <w:r>
        <w:rPr>
          <w:rFonts w:hint="cs"/>
          <w:rtl/>
        </w:rPr>
        <w:t xml:space="preserve">כמה </w:t>
      </w:r>
      <w:bookmarkStart w:id="49084" w:name="_ETM_Q95_754080"/>
      <w:bookmarkEnd w:id="49084"/>
      <w:r>
        <w:rPr>
          <w:rFonts w:hint="cs"/>
          <w:rtl/>
        </w:rPr>
        <w:t xml:space="preserve">דוגמאות </w:t>
      </w:r>
      <w:bookmarkStart w:id="49085" w:name="_ETM_Q95_754620"/>
      <w:bookmarkEnd w:id="49085"/>
      <w:r>
        <w:rPr>
          <w:rFonts w:hint="cs"/>
          <w:rtl/>
        </w:rPr>
        <w:t xml:space="preserve">מהעת </w:t>
      </w:r>
      <w:bookmarkStart w:id="49086" w:name="_ETM_Q95_755069"/>
      <w:bookmarkEnd w:id="49086"/>
      <w:r>
        <w:rPr>
          <w:rFonts w:hint="cs"/>
          <w:rtl/>
        </w:rPr>
        <w:t xml:space="preserve">האחרונה, </w:t>
      </w:r>
      <w:bookmarkStart w:id="49087" w:name="_ETM_Q95_755759"/>
      <w:bookmarkEnd w:id="49087"/>
      <w:r>
        <w:rPr>
          <w:rFonts w:hint="cs"/>
          <w:rtl/>
        </w:rPr>
        <w:t xml:space="preserve">מהשנים </w:t>
      </w:r>
      <w:bookmarkStart w:id="49088" w:name="_ETM_Q95_756270"/>
      <w:bookmarkEnd w:id="49088"/>
      <w:r>
        <w:rPr>
          <w:rFonts w:hint="cs"/>
          <w:rtl/>
        </w:rPr>
        <w:t xml:space="preserve">האחרונות, </w:t>
      </w:r>
      <w:bookmarkStart w:id="49089" w:name="_ETM_Q95_760179"/>
      <w:bookmarkEnd w:id="49089"/>
      <w:r>
        <w:rPr>
          <w:rFonts w:hint="cs"/>
          <w:rtl/>
        </w:rPr>
        <w:t xml:space="preserve">שבהן </w:t>
      </w:r>
      <w:bookmarkStart w:id="49090" w:name="_ETM_Q95_757620"/>
      <w:bookmarkEnd w:id="49090"/>
      <w:r>
        <w:rPr>
          <w:rFonts w:hint="cs"/>
          <w:rtl/>
        </w:rPr>
        <w:t xml:space="preserve">השימוש </w:t>
      </w:r>
      <w:bookmarkStart w:id="49091" w:name="_ETM_Q95_758189"/>
      <w:bookmarkEnd w:id="49091"/>
      <w:r>
        <w:rPr>
          <w:rFonts w:hint="cs"/>
          <w:rtl/>
        </w:rPr>
        <w:t xml:space="preserve">בעילת </w:t>
      </w:r>
      <w:bookmarkStart w:id="49092" w:name="_ETM_Q95_758580"/>
      <w:bookmarkEnd w:id="49092"/>
      <w:r>
        <w:rPr>
          <w:rFonts w:hint="cs"/>
          <w:rtl/>
        </w:rPr>
        <w:t xml:space="preserve">הסבירות </w:t>
      </w:r>
      <w:bookmarkStart w:id="49093" w:name="_ETM_Q95_759479"/>
      <w:bookmarkEnd w:id="49093"/>
      <w:r>
        <w:rPr>
          <w:rFonts w:hint="cs"/>
          <w:rtl/>
        </w:rPr>
        <w:t xml:space="preserve">סייע </w:t>
      </w:r>
      <w:bookmarkStart w:id="49094" w:name="_ETM_Q95_760439"/>
      <w:bookmarkEnd w:id="49094"/>
      <w:r>
        <w:rPr>
          <w:rFonts w:hint="cs"/>
          <w:rtl/>
        </w:rPr>
        <w:t xml:space="preserve">לבית </w:t>
      </w:r>
      <w:bookmarkStart w:id="49095" w:name="_ETM_Q95_761009"/>
      <w:bookmarkEnd w:id="49095"/>
      <w:r>
        <w:rPr>
          <w:rFonts w:hint="cs"/>
          <w:rtl/>
        </w:rPr>
        <w:t xml:space="preserve">המשפט </w:t>
      </w:r>
      <w:bookmarkStart w:id="49096" w:name="_ETM_Q95_761429"/>
      <w:bookmarkEnd w:id="49096"/>
      <w:r>
        <w:rPr>
          <w:rFonts w:hint="cs"/>
          <w:rtl/>
        </w:rPr>
        <w:t xml:space="preserve">להגן </w:t>
      </w:r>
      <w:bookmarkStart w:id="49097" w:name="_ETM_Q95_762509"/>
      <w:bookmarkEnd w:id="49097"/>
      <w:r>
        <w:rPr>
          <w:rFonts w:hint="cs"/>
          <w:rtl/>
        </w:rPr>
        <w:t xml:space="preserve">על </w:t>
      </w:r>
      <w:bookmarkStart w:id="49098" w:name="_ETM_Q95_762659"/>
      <w:bookmarkEnd w:id="49098"/>
      <w:r>
        <w:rPr>
          <w:rFonts w:hint="cs"/>
          <w:rtl/>
        </w:rPr>
        <w:t xml:space="preserve">בריאות </w:t>
      </w:r>
      <w:bookmarkStart w:id="49099" w:name="_ETM_Q95_762960"/>
      <w:bookmarkEnd w:id="49099"/>
      <w:r>
        <w:rPr>
          <w:rFonts w:hint="cs"/>
          <w:rtl/>
        </w:rPr>
        <w:t xml:space="preserve">הציבור </w:t>
      </w:r>
      <w:bookmarkStart w:id="49100" w:name="_ETM_Q95_763379"/>
      <w:bookmarkEnd w:id="49100"/>
      <w:r>
        <w:rPr>
          <w:rFonts w:hint="cs"/>
          <w:rtl/>
        </w:rPr>
        <w:t xml:space="preserve">ועל </w:t>
      </w:r>
      <w:bookmarkStart w:id="49101" w:name="_ETM_Q95_763590"/>
      <w:bookmarkEnd w:id="49101"/>
      <w:r>
        <w:rPr>
          <w:rFonts w:hint="cs"/>
          <w:rtl/>
        </w:rPr>
        <w:t xml:space="preserve">הסביבה. </w:t>
      </w:r>
      <w:bookmarkStart w:id="49102" w:name="_ETM_Q95_765130"/>
      <w:bookmarkStart w:id="49103" w:name="_ETM_Q95_765367"/>
      <w:bookmarkStart w:id="49104" w:name="_ETM_Q95_765439"/>
      <w:bookmarkEnd w:id="49102"/>
      <w:bookmarkEnd w:id="49103"/>
      <w:bookmarkEnd w:id="49104"/>
    </w:p>
    <w:p w:rsidR="00BB59CD" w:rsidRDefault="00BB59CD" w:rsidP="00BB59CD">
      <w:pPr>
        <w:rPr>
          <w:rtl/>
        </w:rPr>
      </w:pPr>
      <w:bookmarkStart w:id="49105" w:name="_ETM_Q95_765526"/>
      <w:bookmarkStart w:id="49106" w:name="_ETM_Q95_765590"/>
      <w:bookmarkEnd w:id="49105"/>
      <w:bookmarkEnd w:id="49106"/>
    </w:p>
    <w:p w:rsidR="00BB59CD" w:rsidRDefault="00BB59CD" w:rsidP="00BB59CD">
      <w:pPr>
        <w:rPr>
          <w:rtl/>
        </w:rPr>
      </w:pPr>
      <w:bookmarkStart w:id="49107" w:name="TOR_Q96"/>
      <w:bookmarkEnd w:id="49107"/>
      <w:r>
        <w:rPr>
          <w:rFonts w:hint="cs"/>
          <w:rtl/>
        </w:rPr>
        <w:t>המקרה הראשון ואולי הכי בולט הוא הנושא של אפולוניה. באפולוניה מדובר בקרקעות שעדיין יש בהן זיהומים, והממשלה ורשויות התכנון אישרו בנייה של אלפי יחידות דיור על אותה אדמה מזוהמת בלי לערוך סקר סיכונים סביבתי ביחס לקרקע</w:t>
      </w:r>
      <w:bookmarkStart w:id="49108" w:name="_ETM_Q96_180000"/>
      <w:bookmarkStart w:id="49109" w:name="_ETM_Q96_187319"/>
      <w:bookmarkEnd w:id="49108"/>
      <w:bookmarkEnd w:id="49109"/>
      <w:r>
        <w:rPr>
          <w:rFonts w:hint="cs"/>
          <w:rtl/>
        </w:rPr>
        <w:t xml:space="preserve">, </w:t>
      </w:r>
      <w:r w:rsidR="00E315D7">
        <w:rPr>
          <w:rFonts w:hint="cs"/>
          <w:rtl/>
        </w:rPr>
        <w:t>כ</w:t>
      </w:r>
      <w:r>
        <w:rPr>
          <w:rFonts w:hint="cs"/>
          <w:rtl/>
        </w:rPr>
        <w:t xml:space="preserve">שכאמור, </w:t>
      </w:r>
      <w:bookmarkStart w:id="49110" w:name="_ETM_Q96_187830"/>
      <w:bookmarkEnd w:id="49110"/>
      <w:r>
        <w:rPr>
          <w:rFonts w:hint="cs"/>
          <w:rtl/>
        </w:rPr>
        <w:t xml:space="preserve">יש </w:t>
      </w:r>
      <w:bookmarkStart w:id="49111" w:name="_ETM_Q96_188099"/>
      <w:bookmarkEnd w:id="49111"/>
      <w:r>
        <w:rPr>
          <w:rFonts w:hint="cs"/>
          <w:rtl/>
        </w:rPr>
        <w:t xml:space="preserve">ממצאים </w:t>
      </w:r>
      <w:bookmarkStart w:id="49112" w:name="_ETM_Q96_188610"/>
      <w:bookmarkEnd w:id="49112"/>
      <w:r>
        <w:rPr>
          <w:rFonts w:hint="cs"/>
          <w:rtl/>
        </w:rPr>
        <w:t xml:space="preserve">ברורים </w:t>
      </w:r>
      <w:bookmarkStart w:id="49113" w:name="_ETM_Q96_189450"/>
      <w:bookmarkEnd w:id="49113"/>
      <w:r>
        <w:rPr>
          <w:rFonts w:hint="cs"/>
          <w:rtl/>
        </w:rPr>
        <w:t xml:space="preserve">של </w:t>
      </w:r>
      <w:bookmarkStart w:id="49114" w:name="_ETM_Q96_189660"/>
      <w:bookmarkEnd w:id="49114"/>
      <w:r>
        <w:rPr>
          <w:rFonts w:hint="cs"/>
          <w:rtl/>
        </w:rPr>
        <w:t xml:space="preserve">זיהום </w:t>
      </w:r>
      <w:bookmarkStart w:id="49115" w:name="_ETM_Q96_189990"/>
      <w:bookmarkEnd w:id="49115"/>
      <w:r>
        <w:rPr>
          <w:rFonts w:hint="cs"/>
          <w:rtl/>
        </w:rPr>
        <w:t xml:space="preserve">קשה. </w:t>
      </w:r>
      <w:bookmarkStart w:id="49116" w:name="_ETM_Q96_191119"/>
      <w:bookmarkEnd w:id="49116"/>
      <w:r>
        <w:rPr>
          <w:rFonts w:hint="cs"/>
          <w:rtl/>
        </w:rPr>
        <w:t xml:space="preserve">באותו </w:t>
      </w:r>
      <w:bookmarkStart w:id="49117" w:name="_ETM_Q96_191660"/>
      <w:bookmarkEnd w:id="49117"/>
      <w:r>
        <w:rPr>
          <w:rFonts w:hint="cs"/>
          <w:rtl/>
        </w:rPr>
        <w:t xml:space="preserve">מקום </w:t>
      </w:r>
      <w:bookmarkStart w:id="49118" w:name="_ETM_Q96_192410"/>
      <w:bookmarkEnd w:id="49118"/>
      <w:r>
        <w:rPr>
          <w:rFonts w:hint="cs"/>
          <w:rtl/>
        </w:rPr>
        <w:t xml:space="preserve">שבו </w:t>
      </w:r>
      <w:bookmarkStart w:id="49119" w:name="_ETM_Q96_192830"/>
      <w:bookmarkEnd w:id="49119"/>
      <w:r>
        <w:rPr>
          <w:rFonts w:hint="cs"/>
          <w:rtl/>
        </w:rPr>
        <w:t xml:space="preserve">אירע </w:t>
      </w:r>
      <w:bookmarkStart w:id="49120" w:name="_ETM_Q96_193610"/>
      <w:bookmarkEnd w:id="49120"/>
      <w:r>
        <w:rPr>
          <w:rFonts w:hint="cs"/>
          <w:rtl/>
        </w:rPr>
        <w:t xml:space="preserve">פיצוץ </w:t>
      </w:r>
      <w:bookmarkStart w:id="49121" w:name="_ETM_Q96_194269"/>
      <w:bookmarkEnd w:id="49121"/>
      <w:r>
        <w:rPr>
          <w:rFonts w:hint="cs"/>
          <w:rtl/>
        </w:rPr>
        <w:t xml:space="preserve">עז </w:t>
      </w:r>
      <w:bookmarkStart w:id="49122" w:name="_ETM_Q96_194870"/>
      <w:bookmarkEnd w:id="49122"/>
      <w:r>
        <w:rPr>
          <w:rFonts w:hint="cs"/>
          <w:rtl/>
        </w:rPr>
        <w:t xml:space="preserve">כתוצאה </w:t>
      </w:r>
      <w:bookmarkStart w:id="49123" w:name="_ETM_Q96_195380"/>
      <w:bookmarkEnd w:id="49123"/>
      <w:r>
        <w:rPr>
          <w:rFonts w:hint="cs"/>
          <w:rtl/>
        </w:rPr>
        <w:t xml:space="preserve">מאותו </w:t>
      </w:r>
      <w:bookmarkStart w:id="49124" w:name="_ETM_Q96_195740"/>
      <w:bookmarkEnd w:id="49124"/>
      <w:r>
        <w:rPr>
          <w:rFonts w:hint="cs"/>
          <w:rtl/>
        </w:rPr>
        <w:t xml:space="preserve">זיהום, </w:t>
      </w:r>
      <w:bookmarkStart w:id="49125" w:name="_ETM_Q96_196679"/>
      <w:bookmarkEnd w:id="49125"/>
      <w:r>
        <w:rPr>
          <w:rFonts w:hint="cs"/>
          <w:rtl/>
        </w:rPr>
        <w:t xml:space="preserve">פיצוץ </w:t>
      </w:r>
      <w:bookmarkStart w:id="49126" w:name="_ETM_Q96_197189"/>
      <w:bookmarkEnd w:id="49126"/>
      <w:r>
        <w:rPr>
          <w:rFonts w:hint="cs"/>
          <w:rtl/>
        </w:rPr>
        <w:t xml:space="preserve">שפער </w:t>
      </w:r>
      <w:bookmarkStart w:id="49127" w:name="_ETM_Q96_199189"/>
      <w:bookmarkEnd w:id="49127"/>
      <w:r>
        <w:rPr>
          <w:rFonts w:hint="cs"/>
          <w:rtl/>
        </w:rPr>
        <w:t xml:space="preserve">מכתש </w:t>
      </w:r>
      <w:bookmarkStart w:id="49128" w:name="_ETM_Q96_200119"/>
      <w:bookmarkEnd w:id="49128"/>
      <w:r>
        <w:rPr>
          <w:rFonts w:hint="cs"/>
          <w:rtl/>
        </w:rPr>
        <w:t xml:space="preserve">בעומק </w:t>
      </w:r>
      <w:bookmarkStart w:id="49129" w:name="_ETM_Q96_200720"/>
      <w:bookmarkEnd w:id="49129"/>
      <w:r>
        <w:rPr>
          <w:rFonts w:hint="cs"/>
          <w:rtl/>
        </w:rPr>
        <w:t xml:space="preserve">של </w:t>
      </w:r>
      <w:bookmarkStart w:id="49130" w:name="_ETM_Q96_200929"/>
      <w:bookmarkStart w:id="49131" w:name="_ETM_Q96_201289"/>
      <w:bookmarkEnd w:id="49130"/>
      <w:bookmarkEnd w:id="49131"/>
      <w:r>
        <w:rPr>
          <w:rFonts w:hint="cs"/>
          <w:rtl/>
        </w:rPr>
        <w:t xml:space="preserve">10 מטרים </w:t>
      </w:r>
      <w:bookmarkStart w:id="49132" w:name="_ETM_Q96_201710"/>
      <w:bookmarkEnd w:id="49132"/>
      <w:r>
        <w:rPr>
          <w:rFonts w:hint="cs"/>
          <w:rtl/>
        </w:rPr>
        <w:t xml:space="preserve">ובקוטר </w:t>
      </w:r>
      <w:bookmarkStart w:id="49133" w:name="_ETM_Q96_202220"/>
      <w:bookmarkEnd w:id="49133"/>
      <w:r>
        <w:rPr>
          <w:rFonts w:hint="cs"/>
          <w:rtl/>
        </w:rPr>
        <w:t xml:space="preserve">של </w:t>
      </w:r>
      <w:bookmarkStart w:id="49134" w:name="_ETM_Q96_202429"/>
      <w:bookmarkEnd w:id="49134"/>
      <w:r>
        <w:rPr>
          <w:rFonts w:hint="cs"/>
          <w:rtl/>
        </w:rPr>
        <w:t xml:space="preserve">20 </w:t>
      </w:r>
      <w:bookmarkStart w:id="49135" w:name="_ETM_Q96_202789"/>
      <w:bookmarkEnd w:id="49135"/>
      <w:r>
        <w:rPr>
          <w:rFonts w:hint="cs"/>
          <w:rtl/>
        </w:rPr>
        <w:t xml:space="preserve">מטרים, </w:t>
      </w:r>
      <w:bookmarkStart w:id="49136" w:name="_ETM_Q96_203920"/>
      <w:bookmarkEnd w:id="49136"/>
      <w:r>
        <w:rPr>
          <w:rFonts w:hint="cs"/>
          <w:rtl/>
        </w:rPr>
        <w:t xml:space="preserve">תוכנן </w:t>
      </w:r>
      <w:bookmarkStart w:id="49137" w:name="_ETM_Q96_204699"/>
      <w:bookmarkEnd w:id="49137"/>
      <w:r>
        <w:rPr>
          <w:rFonts w:hint="cs"/>
          <w:rtl/>
        </w:rPr>
        <w:t xml:space="preserve">גן </w:t>
      </w:r>
      <w:bookmarkStart w:id="49138" w:name="_ETM_Q96_205150"/>
      <w:bookmarkEnd w:id="49138"/>
      <w:r>
        <w:rPr>
          <w:rFonts w:hint="cs"/>
          <w:rtl/>
        </w:rPr>
        <w:t xml:space="preserve">שעשועים </w:t>
      </w:r>
      <w:bookmarkStart w:id="49139" w:name="_ETM_Q96_205779"/>
      <w:bookmarkEnd w:id="49139"/>
      <w:r>
        <w:rPr>
          <w:rFonts w:hint="cs"/>
          <w:rtl/>
        </w:rPr>
        <w:t xml:space="preserve">עם </w:t>
      </w:r>
      <w:bookmarkStart w:id="49140" w:name="_ETM_Q96_205869"/>
      <w:bookmarkEnd w:id="49140"/>
      <w:r>
        <w:rPr>
          <w:rFonts w:hint="cs"/>
          <w:rtl/>
        </w:rPr>
        <w:t xml:space="preserve">מתקנים </w:t>
      </w:r>
      <w:bookmarkStart w:id="49141" w:name="_ETM_Q96_206320"/>
      <w:bookmarkEnd w:id="49141"/>
      <w:r>
        <w:rPr>
          <w:rFonts w:hint="cs"/>
          <w:rtl/>
        </w:rPr>
        <w:t xml:space="preserve">לילדים. </w:t>
      </w:r>
      <w:bookmarkStart w:id="49142" w:name="_ETM_Q96_207890"/>
      <w:bookmarkEnd w:id="49142"/>
      <w:r>
        <w:rPr>
          <w:rFonts w:hint="cs"/>
          <w:rtl/>
        </w:rPr>
        <w:t xml:space="preserve">אילולא </w:t>
      </w:r>
      <w:bookmarkStart w:id="49143" w:name="_ETM_Q96_208430"/>
      <w:bookmarkEnd w:id="49143"/>
      <w:r>
        <w:rPr>
          <w:rFonts w:hint="cs"/>
          <w:rtl/>
        </w:rPr>
        <w:t xml:space="preserve">בג"ץ </w:t>
      </w:r>
      <w:bookmarkStart w:id="49144" w:name="_ETM_Q96_208970"/>
      <w:bookmarkEnd w:id="49144"/>
      <w:r>
        <w:rPr>
          <w:rFonts w:hint="cs"/>
          <w:rtl/>
        </w:rPr>
        <w:t xml:space="preserve">פסל </w:t>
      </w:r>
      <w:bookmarkStart w:id="49145" w:name="_ETM_Q96_210019"/>
      <w:bookmarkEnd w:id="49145"/>
      <w:r>
        <w:rPr>
          <w:rFonts w:hint="cs"/>
          <w:rtl/>
        </w:rPr>
        <w:t xml:space="preserve">את </w:t>
      </w:r>
      <w:bookmarkStart w:id="49146" w:name="_ETM_Q96_210140"/>
      <w:bookmarkEnd w:id="49146"/>
      <w:r>
        <w:rPr>
          <w:rFonts w:hint="cs"/>
          <w:rtl/>
        </w:rPr>
        <w:t xml:space="preserve">תוכניות </w:t>
      </w:r>
      <w:bookmarkStart w:id="49147" w:name="_ETM_Q96_210560"/>
      <w:bookmarkEnd w:id="49147"/>
      <w:r>
        <w:rPr>
          <w:rFonts w:hint="cs"/>
          <w:rtl/>
        </w:rPr>
        <w:t xml:space="preserve">הבנייה </w:t>
      </w:r>
      <w:bookmarkStart w:id="49148" w:name="_ETM_Q96_212010"/>
      <w:bookmarkEnd w:id="49148"/>
      <w:r>
        <w:rPr>
          <w:rFonts w:hint="cs"/>
          <w:rtl/>
        </w:rPr>
        <w:t xml:space="preserve">תוך </w:t>
      </w:r>
      <w:bookmarkStart w:id="49149" w:name="_ETM_Q96_212219"/>
      <w:bookmarkEnd w:id="49149"/>
      <w:r>
        <w:rPr>
          <w:rFonts w:hint="cs"/>
          <w:rtl/>
        </w:rPr>
        <w:t xml:space="preserve">שימוש </w:t>
      </w:r>
      <w:bookmarkStart w:id="49150" w:name="_ETM_Q96_212610"/>
      <w:bookmarkEnd w:id="49150"/>
      <w:r>
        <w:rPr>
          <w:rFonts w:hint="cs"/>
          <w:rtl/>
        </w:rPr>
        <w:t xml:space="preserve">בעילת </w:t>
      </w:r>
      <w:bookmarkStart w:id="49151" w:name="_ETM_Q96_213059"/>
      <w:bookmarkEnd w:id="49151"/>
      <w:r>
        <w:rPr>
          <w:rFonts w:hint="cs"/>
          <w:rtl/>
        </w:rPr>
        <w:t xml:space="preserve">הסבירות, </w:t>
      </w:r>
      <w:bookmarkStart w:id="49152" w:name="_ETM_Q96_214510"/>
      <w:bookmarkEnd w:id="49152"/>
      <w:r>
        <w:rPr>
          <w:rFonts w:hint="cs"/>
          <w:rtl/>
        </w:rPr>
        <w:t xml:space="preserve">אותם </w:t>
      </w:r>
      <w:bookmarkStart w:id="49153" w:name="_ETM_Q96_214870"/>
      <w:bookmarkEnd w:id="49153"/>
      <w:r>
        <w:rPr>
          <w:rFonts w:hint="cs"/>
          <w:rtl/>
        </w:rPr>
        <w:t xml:space="preserve">מתקנים, ומי </w:t>
      </w:r>
      <w:bookmarkStart w:id="49154" w:name="_ETM_Q96_215559"/>
      <w:bookmarkEnd w:id="49154"/>
      <w:r>
        <w:rPr>
          <w:rFonts w:hint="cs"/>
          <w:rtl/>
        </w:rPr>
        <w:t xml:space="preserve">יודע </w:t>
      </w:r>
      <w:bookmarkStart w:id="49155" w:name="_ETM_Q96_215800"/>
      <w:bookmarkEnd w:id="49155"/>
      <w:r>
        <w:rPr>
          <w:rFonts w:hint="cs"/>
          <w:rtl/>
        </w:rPr>
        <w:t xml:space="preserve">כמה </w:t>
      </w:r>
      <w:bookmarkStart w:id="49156" w:name="_ETM_Q96_216129"/>
      <w:bookmarkEnd w:id="49156"/>
      <w:r>
        <w:rPr>
          <w:rFonts w:hint="cs"/>
          <w:rtl/>
        </w:rPr>
        <w:t xml:space="preserve">חיי </w:t>
      </w:r>
      <w:bookmarkStart w:id="49157" w:name="_ETM_Q96_216429"/>
      <w:bookmarkEnd w:id="49157"/>
      <w:r>
        <w:rPr>
          <w:rFonts w:hint="cs"/>
          <w:rtl/>
        </w:rPr>
        <w:t xml:space="preserve">אדם, היו </w:t>
      </w:r>
      <w:bookmarkStart w:id="49158" w:name="_ETM_Q96_217690"/>
      <w:bookmarkEnd w:id="49158"/>
      <w:r>
        <w:rPr>
          <w:rFonts w:hint="cs"/>
          <w:rtl/>
        </w:rPr>
        <w:t xml:space="preserve">ניזוקים </w:t>
      </w:r>
      <w:bookmarkStart w:id="49159" w:name="_ETM_Q96_218870"/>
      <w:bookmarkEnd w:id="49159"/>
      <w:r>
        <w:rPr>
          <w:rFonts w:hint="cs"/>
          <w:rtl/>
        </w:rPr>
        <w:t xml:space="preserve">על ידי </w:t>
      </w:r>
      <w:bookmarkStart w:id="49160" w:name="_ETM_Q96_219949"/>
      <w:bookmarkEnd w:id="49160"/>
      <w:r>
        <w:rPr>
          <w:rFonts w:hint="cs"/>
          <w:rtl/>
        </w:rPr>
        <w:t xml:space="preserve">אותו </w:t>
      </w:r>
      <w:bookmarkStart w:id="49161" w:name="_ETM_Q96_220190"/>
      <w:bookmarkEnd w:id="49161"/>
      <w:r>
        <w:rPr>
          <w:rFonts w:hint="cs"/>
          <w:rtl/>
        </w:rPr>
        <w:t xml:space="preserve">פיצוץ. </w:t>
      </w:r>
      <w:bookmarkStart w:id="49162" w:name="_ETM_Q96_221600"/>
      <w:bookmarkEnd w:id="49162"/>
      <w:r>
        <w:rPr>
          <w:rFonts w:hint="cs"/>
          <w:rtl/>
        </w:rPr>
        <w:t xml:space="preserve">רק </w:t>
      </w:r>
      <w:bookmarkStart w:id="49163" w:name="_ETM_Q96_222019"/>
      <w:bookmarkEnd w:id="49163"/>
      <w:r>
        <w:rPr>
          <w:rFonts w:hint="cs"/>
          <w:rtl/>
        </w:rPr>
        <w:t xml:space="preserve">בזכות </w:t>
      </w:r>
      <w:bookmarkStart w:id="49164" w:name="_ETM_Q96_222469"/>
      <w:bookmarkEnd w:id="49164"/>
      <w:r>
        <w:rPr>
          <w:rFonts w:hint="cs"/>
          <w:rtl/>
        </w:rPr>
        <w:t xml:space="preserve">עילת </w:t>
      </w:r>
      <w:bookmarkStart w:id="49165" w:name="_ETM_Q96_222769"/>
      <w:bookmarkEnd w:id="49165"/>
      <w:r>
        <w:rPr>
          <w:rFonts w:hint="cs"/>
          <w:rtl/>
        </w:rPr>
        <w:t xml:space="preserve">הסבירות </w:t>
      </w:r>
      <w:bookmarkStart w:id="49166" w:name="_ETM_Q96_224559"/>
      <w:bookmarkEnd w:id="49166"/>
      <w:r>
        <w:rPr>
          <w:rFonts w:hint="cs"/>
          <w:rtl/>
        </w:rPr>
        <w:t xml:space="preserve">אותו </w:t>
      </w:r>
      <w:bookmarkStart w:id="49167" w:name="_ETM_Q96_225640"/>
      <w:bookmarkEnd w:id="49167"/>
      <w:r>
        <w:rPr>
          <w:rFonts w:hint="cs"/>
          <w:rtl/>
        </w:rPr>
        <w:t xml:space="preserve">פיצוץ </w:t>
      </w:r>
      <w:bookmarkStart w:id="49168" w:name="_ETM_Q96_226700"/>
      <w:bookmarkEnd w:id="49168"/>
      <w:r>
        <w:rPr>
          <w:rFonts w:hint="cs"/>
          <w:rtl/>
        </w:rPr>
        <w:t xml:space="preserve">אירע </w:t>
      </w:r>
      <w:bookmarkStart w:id="49169" w:name="_ETM_Q96_227120"/>
      <w:bookmarkEnd w:id="49169"/>
      <w:r>
        <w:rPr>
          <w:rFonts w:hint="cs"/>
          <w:rtl/>
        </w:rPr>
        <w:t xml:space="preserve">בשטח </w:t>
      </w:r>
      <w:bookmarkStart w:id="49170" w:name="_ETM_Q96_227540"/>
      <w:bookmarkEnd w:id="49170"/>
      <w:r>
        <w:rPr>
          <w:rFonts w:hint="cs"/>
          <w:rtl/>
        </w:rPr>
        <w:t xml:space="preserve">פתוח </w:t>
      </w:r>
      <w:bookmarkStart w:id="49171" w:name="_ETM_Q96_228500"/>
      <w:bookmarkEnd w:id="49171"/>
      <w:r>
        <w:rPr>
          <w:rFonts w:hint="cs"/>
          <w:rtl/>
        </w:rPr>
        <w:t xml:space="preserve">ולא </w:t>
      </w:r>
      <w:bookmarkStart w:id="49172" w:name="_ETM_Q96_228860"/>
      <w:bookmarkEnd w:id="49172"/>
      <w:r>
        <w:rPr>
          <w:rFonts w:hint="cs"/>
          <w:rtl/>
        </w:rPr>
        <w:t xml:space="preserve">בשטח </w:t>
      </w:r>
      <w:bookmarkStart w:id="49173" w:name="_ETM_Q96_229309"/>
      <w:bookmarkEnd w:id="49173"/>
      <w:r>
        <w:rPr>
          <w:rFonts w:hint="cs"/>
          <w:rtl/>
        </w:rPr>
        <w:t xml:space="preserve">שבו </w:t>
      </w:r>
      <w:bookmarkStart w:id="49174" w:name="_ETM_Q96_229550"/>
      <w:bookmarkEnd w:id="49174"/>
      <w:r>
        <w:rPr>
          <w:rFonts w:hint="cs"/>
          <w:rtl/>
        </w:rPr>
        <w:t xml:space="preserve">יש </w:t>
      </w:r>
      <w:bookmarkStart w:id="49175" w:name="_ETM_Q96_229670"/>
      <w:bookmarkEnd w:id="49175"/>
      <w:r>
        <w:rPr>
          <w:rFonts w:hint="cs"/>
          <w:rtl/>
        </w:rPr>
        <w:t xml:space="preserve">מתקנים </w:t>
      </w:r>
      <w:bookmarkStart w:id="49176" w:name="_ETM_Q96_230300"/>
      <w:bookmarkEnd w:id="49176"/>
      <w:r>
        <w:rPr>
          <w:rFonts w:hint="cs"/>
          <w:rtl/>
        </w:rPr>
        <w:t xml:space="preserve">ויחידות </w:t>
      </w:r>
      <w:bookmarkStart w:id="49177" w:name="_ETM_Q96_230780"/>
      <w:bookmarkEnd w:id="49177"/>
      <w:r>
        <w:rPr>
          <w:rFonts w:hint="cs"/>
          <w:rtl/>
        </w:rPr>
        <w:t xml:space="preserve">דיור </w:t>
      </w:r>
      <w:bookmarkStart w:id="49178" w:name="_ETM_Q96_231229"/>
      <w:bookmarkEnd w:id="49178"/>
      <w:r>
        <w:rPr>
          <w:rFonts w:hint="cs"/>
          <w:rtl/>
        </w:rPr>
        <w:t xml:space="preserve">ובני אדם </w:t>
      </w:r>
      <w:bookmarkStart w:id="49179" w:name="_ETM_Q96_232219"/>
      <w:bookmarkEnd w:id="49179"/>
      <w:r>
        <w:rPr>
          <w:rFonts w:hint="cs"/>
          <w:rtl/>
        </w:rPr>
        <w:t xml:space="preserve">מתהלכים </w:t>
      </w:r>
      <w:bookmarkStart w:id="49180" w:name="_ETM_Q96_232940"/>
      <w:bookmarkEnd w:id="49180"/>
      <w:r>
        <w:rPr>
          <w:rFonts w:hint="cs"/>
          <w:rtl/>
        </w:rPr>
        <w:t xml:space="preserve">בו. </w:t>
      </w:r>
      <w:bookmarkStart w:id="49181" w:name="_ETM_Q96_234160"/>
      <w:bookmarkEnd w:id="49181"/>
    </w:p>
    <w:p w:rsidR="00BB59CD" w:rsidRDefault="00BB59CD" w:rsidP="00BB59CD">
      <w:pPr>
        <w:rPr>
          <w:rtl/>
        </w:rPr>
      </w:pPr>
    </w:p>
    <w:p w:rsidR="00BB59CD" w:rsidRDefault="00BB59CD" w:rsidP="00BB59CD">
      <w:pPr>
        <w:rPr>
          <w:rtl/>
        </w:rPr>
      </w:pPr>
      <w:r>
        <w:rPr>
          <w:rFonts w:hint="cs"/>
          <w:rtl/>
        </w:rPr>
        <w:t xml:space="preserve">דוגמה </w:t>
      </w:r>
      <w:bookmarkStart w:id="49182" w:name="_ETM_Q96_234610"/>
      <w:bookmarkEnd w:id="49182"/>
      <w:r>
        <w:rPr>
          <w:rFonts w:hint="cs"/>
          <w:rtl/>
        </w:rPr>
        <w:t xml:space="preserve">שנייה </w:t>
      </w:r>
      <w:bookmarkStart w:id="49183" w:name="_ETM_Q96_235090"/>
      <w:bookmarkEnd w:id="49183"/>
      <w:r>
        <w:rPr>
          <w:rFonts w:hint="cs"/>
          <w:rtl/>
        </w:rPr>
        <w:t xml:space="preserve">היא </w:t>
      </w:r>
      <w:bookmarkStart w:id="49184" w:name="_ETM_Q96_235300"/>
      <w:bookmarkEnd w:id="49184"/>
      <w:r>
        <w:rPr>
          <w:rFonts w:hint="cs"/>
          <w:rtl/>
        </w:rPr>
        <w:t xml:space="preserve">הזיהום </w:t>
      </w:r>
      <w:bookmarkStart w:id="49185" w:name="_ETM_Q96_236110"/>
      <w:bookmarkEnd w:id="49185"/>
      <w:r>
        <w:rPr>
          <w:rFonts w:hint="cs"/>
          <w:rtl/>
        </w:rPr>
        <w:t xml:space="preserve">בבז"ן </w:t>
      </w:r>
      <w:bookmarkStart w:id="49186" w:name="_ETM_Q96_236680"/>
      <w:bookmarkEnd w:id="49186"/>
      <w:r>
        <w:rPr>
          <w:rFonts w:hint="cs"/>
          <w:rtl/>
        </w:rPr>
        <w:t xml:space="preserve">חיפה. </w:t>
      </w:r>
      <w:bookmarkStart w:id="49187" w:name="_ETM_Q96_237590"/>
      <w:bookmarkEnd w:id="49187"/>
      <w:r>
        <w:rPr>
          <w:rFonts w:hint="cs"/>
          <w:rtl/>
        </w:rPr>
        <w:t xml:space="preserve">ב-2019 </w:t>
      </w:r>
      <w:bookmarkStart w:id="49188" w:name="_ETM_Q96_239060"/>
      <w:bookmarkEnd w:id="49188"/>
      <w:r>
        <w:rPr>
          <w:rFonts w:hint="cs"/>
          <w:rtl/>
        </w:rPr>
        <w:t xml:space="preserve">המועצה </w:t>
      </w:r>
      <w:bookmarkStart w:id="49189" w:name="_ETM_Q96_239540"/>
      <w:bookmarkEnd w:id="49189"/>
      <w:r>
        <w:rPr>
          <w:rFonts w:hint="cs"/>
          <w:rtl/>
        </w:rPr>
        <w:t xml:space="preserve">הארצית </w:t>
      </w:r>
      <w:bookmarkStart w:id="49190" w:name="_ETM_Q96_239810"/>
      <w:bookmarkEnd w:id="49190"/>
      <w:r>
        <w:rPr>
          <w:rFonts w:hint="cs"/>
          <w:rtl/>
        </w:rPr>
        <w:t xml:space="preserve">לתכנון </w:t>
      </w:r>
      <w:bookmarkStart w:id="49191" w:name="_ETM_Q96_240230"/>
      <w:bookmarkEnd w:id="49191"/>
      <w:r>
        <w:rPr>
          <w:rFonts w:hint="cs"/>
          <w:rtl/>
        </w:rPr>
        <w:t xml:space="preserve">ובנייה </w:t>
      </w:r>
      <w:bookmarkStart w:id="49192" w:name="_ETM_Q96_241300"/>
      <w:bookmarkEnd w:id="49192"/>
      <w:r>
        <w:rPr>
          <w:rFonts w:hint="cs"/>
          <w:rtl/>
        </w:rPr>
        <w:t xml:space="preserve">ביקשה </w:t>
      </w:r>
      <w:bookmarkStart w:id="49193" w:name="_ETM_Q96_242620"/>
      <w:bookmarkEnd w:id="49193"/>
      <w:r>
        <w:rPr>
          <w:rFonts w:hint="cs"/>
          <w:rtl/>
        </w:rPr>
        <w:t xml:space="preserve">או </w:t>
      </w:r>
      <w:bookmarkStart w:id="49194" w:name="_ETM_Q96_242769"/>
      <w:bookmarkEnd w:id="49194"/>
      <w:r>
        <w:rPr>
          <w:rFonts w:hint="cs"/>
          <w:rtl/>
        </w:rPr>
        <w:t xml:space="preserve">אישרה </w:t>
      </w:r>
      <w:bookmarkStart w:id="49195" w:name="_ETM_Q96_243370"/>
      <w:bookmarkEnd w:id="49195"/>
      <w:r>
        <w:rPr>
          <w:rFonts w:hint="cs"/>
          <w:rtl/>
        </w:rPr>
        <w:t xml:space="preserve">לבז"ן </w:t>
      </w:r>
      <w:bookmarkStart w:id="49196" w:name="_ETM_Q96_243940"/>
      <w:bookmarkEnd w:id="49196"/>
      <w:r>
        <w:rPr>
          <w:rFonts w:hint="cs"/>
          <w:rtl/>
        </w:rPr>
        <w:t xml:space="preserve">להרחיב </w:t>
      </w:r>
      <w:bookmarkStart w:id="49197" w:name="_ETM_Q96_245020"/>
      <w:bookmarkEnd w:id="49197"/>
      <w:r>
        <w:rPr>
          <w:rFonts w:hint="cs"/>
          <w:rtl/>
        </w:rPr>
        <w:t xml:space="preserve">את </w:t>
      </w:r>
      <w:bookmarkStart w:id="49198" w:name="_ETM_Q96_245170"/>
      <w:bookmarkEnd w:id="49198"/>
      <w:r>
        <w:rPr>
          <w:rFonts w:hint="cs"/>
          <w:rtl/>
        </w:rPr>
        <w:t xml:space="preserve">השימוש </w:t>
      </w:r>
      <w:bookmarkStart w:id="49199" w:name="_ETM_Q96_245590"/>
      <w:bookmarkEnd w:id="49199"/>
      <w:r>
        <w:rPr>
          <w:rFonts w:hint="cs"/>
          <w:rtl/>
        </w:rPr>
        <w:t xml:space="preserve">במתקנים </w:t>
      </w:r>
      <w:bookmarkStart w:id="49200" w:name="_ETM_Q96_246189"/>
      <w:bookmarkEnd w:id="49200"/>
      <w:r>
        <w:rPr>
          <w:rFonts w:hint="cs"/>
          <w:rtl/>
        </w:rPr>
        <w:t xml:space="preserve">המזהמים </w:t>
      </w:r>
      <w:bookmarkStart w:id="49201" w:name="_ETM_Q96_247630"/>
      <w:bookmarkEnd w:id="49201"/>
      <w:r>
        <w:rPr>
          <w:rFonts w:hint="cs"/>
          <w:rtl/>
        </w:rPr>
        <w:t xml:space="preserve">שיש </w:t>
      </w:r>
      <w:bookmarkStart w:id="49202" w:name="_ETM_Q96_247929"/>
      <w:bookmarkEnd w:id="49202"/>
      <w:r>
        <w:rPr>
          <w:rFonts w:hint="cs"/>
          <w:rtl/>
        </w:rPr>
        <w:t xml:space="preserve">במטרופולין </w:t>
      </w:r>
      <w:bookmarkStart w:id="49203" w:name="_ETM_Q96_248679"/>
      <w:bookmarkEnd w:id="49203"/>
      <w:r>
        <w:rPr>
          <w:rFonts w:hint="cs"/>
          <w:rtl/>
        </w:rPr>
        <w:t xml:space="preserve">הזה, </w:t>
      </w:r>
      <w:bookmarkStart w:id="49204" w:name="_ETM_Q96_249670"/>
      <w:bookmarkEnd w:id="49204"/>
      <w:r>
        <w:rPr>
          <w:rFonts w:hint="cs"/>
          <w:rtl/>
        </w:rPr>
        <w:t xml:space="preserve">ואני </w:t>
      </w:r>
      <w:bookmarkStart w:id="49205" w:name="_ETM_Q96_250240"/>
      <w:bookmarkEnd w:id="49205"/>
      <w:r>
        <w:rPr>
          <w:rFonts w:hint="cs"/>
          <w:rtl/>
        </w:rPr>
        <w:t xml:space="preserve">רוצה, </w:t>
      </w:r>
      <w:bookmarkStart w:id="49206" w:name="_ETM_Q96_250689"/>
      <w:bookmarkEnd w:id="49206"/>
      <w:r>
        <w:rPr>
          <w:rFonts w:hint="cs"/>
          <w:rtl/>
        </w:rPr>
        <w:t xml:space="preserve">ברשותכם, </w:t>
      </w:r>
      <w:bookmarkStart w:id="49207" w:name="_ETM_Q96_251259"/>
      <w:bookmarkEnd w:id="49207"/>
      <w:r>
        <w:rPr>
          <w:rFonts w:hint="cs"/>
          <w:rtl/>
        </w:rPr>
        <w:t xml:space="preserve">לקרוא, </w:t>
      </w:r>
      <w:bookmarkStart w:id="49208" w:name="_ETM_Q96_251619"/>
      <w:bookmarkEnd w:id="49208"/>
      <w:r>
        <w:rPr>
          <w:rFonts w:hint="cs"/>
          <w:rtl/>
        </w:rPr>
        <w:t xml:space="preserve">חברי </w:t>
      </w:r>
      <w:bookmarkStart w:id="49209" w:name="_ETM_Q96_251950"/>
      <w:bookmarkEnd w:id="49209"/>
      <w:r>
        <w:rPr>
          <w:rFonts w:hint="cs"/>
          <w:rtl/>
        </w:rPr>
        <w:t xml:space="preserve">הכנסת, </w:t>
      </w:r>
      <w:bookmarkStart w:id="49210" w:name="_ETM_Q96_252549"/>
      <w:bookmarkEnd w:id="49210"/>
      <w:r>
        <w:rPr>
          <w:rFonts w:hint="cs"/>
          <w:rtl/>
        </w:rPr>
        <w:t xml:space="preserve">ציטוט </w:t>
      </w:r>
      <w:bookmarkStart w:id="49211" w:name="_ETM_Q96_253560"/>
      <w:bookmarkEnd w:id="49211"/>
      <w:r>
        <w:rPr>
          <w:rFonts w:hint="cs"/>
          <w:rtl/>
        </w:rPr>
        <w:t xml:space="preserve">של </w:t>
      </w:r>
      <w:bookmarkStart w:id="49212" w:name="_ETM_Q96_253770"/>
      <w:bookmarkEnd w:id="49212"/>
      <w:r>
        <w:rPr>
          <w:rFonts w:hint="cs"/>
          <w:rtl/>
        </w:rPr>
        <w:t xml:space="preserve">השופט </w:t>
      </w:r>
      <w:bookmarkStart w:id="49213" w:name="_ETM_Q96_254160"/>
      <w:bookmarkEnd w:id="49213"/>
      <w:r>
        <w:rPr>
          <w:rFonts w:hint="cs"/>
          <w:rtl/>
        </w:rPr>
        <w:t xml:space="preserve">פוגלמן </w:t>
      </w:r>
      <w:bookmarkStart w:id="49214" w:name="_ETM_Q96_255000"/>
      <w:bookmarkEnd w:id="49214"/>
      <w:r>
        <w:rPr>
          <w:rFonts w:hint="cs"/>
          <w:rtl/>
        </w:rPr>
        <w:t xml:space="preserve">מתוך </w:t>
      </w:r>
      <w:bookmarkStart w:id="49215" w:name="_ETM_Q96_255390"/>
      <w:bookmarkEnd w:id="49215"/>
      <w:r>
        <w:rPr>
          <w:rFonts w:hint="cs"/>
          <w:rtl/>
        </w:rPr>
        <w:t xml:space="preserve">אותו </w:t>
      </w:r>
      <w:bookmarkStart w:id="49216" w:name="_ETM_Q96_255690"/>
      <w:bookmarkEnd w:id="49216"/>
      <w:r>
        <w:rPr>
          <w:rFonts w:hint="cs"/>
          <w:rtl/>
        </w:rPr>
        <w:t xml:space="preserve">פסק </w:t>
      </w:r>
      <w:bookmarkStart w:id="49217" w:name="_ETM_Q96_255990"/>
      <w:bookmarkEnd w:id="49217"/>
      <w:r>
        <w:rPr>
          <w:rFonts w:hint="cs"/>
          <w:rtl/>
        </w:rPr>
        <w:t xml:space="preserve">דין </w:t>
      </w:r>
      <w:bookmarkStart w:id="49218" w:name="_ETM_Q96_256200"/>
      <w:bookmarkEnd w:id="49218"/>
      <w:r>
        <w:rPr>
          <w:rFonts w:hint="cs"/>
          <w:rtl/>
        </w:rPr>
        <w:t xml:space="preserve">שבו </w:t>
      </w:r>
      <w:bookmarkStart w:id="49219" w:name="_ETM_Q96_256470"/>
      <w:bookmarkEnd w:id="49219"/>
      <w:r>
        <w:rPr>
          <w:rFonts w:hint="cs"/>
          <w:rtl/>
        </w:rPr>
        <w:t xml:space="preserve">הוא </w:t>
      </w:r>
      <w:bookmarkStart w:id="49220" w:name="_ETM_Q96_256590"/>
      <w:bookmarkEnd w:id="49220"/>
      <w:r>
        <w:rPr>
          <w:rFonts w:hint="cs"/>
          <w:rtl/>
        </w:rPr>
        <w:t xml:space="preserve">פוסל </w:t>
      </w:r>
      <w:bookmarkStart w:id="49221" w:name="_ETM_Q96_258009"/>
      <w:bookmarkEnd w:id="49221"/>
      <w:r>
        <w:rPr>
          <w:rFonts w:hint="cs"/>
          <w:rtl/>
        </w:rPr>
        <w:t xml:space="preserve">את </w:t>
      </w:r>
      <w:bookmarkStart w:id="49222" w:name="_ETM_Q96_258310"/>
      <w:bookmarkEnd w:id="49222"/>
      <w:r>
        <w:rPr>
          <w:rFonts w:hint="cs"/>
          <w:rtl/>
        </w:rPr>
        <w:t xml:space="preserve">אישור </w:t>
      </w:r>
      <w:bookmarkStart w:id="49223" w:name="_ETM_Q96_258670"/>
      <w:bookmarkEnd w:id="49223"/>
      <w:r>
        <w:rPr>
          <w:rFonts w:hint="cs"/>
          <w:rtl/>
        </w:rPr>
        <w:t xml:space="preserve">תוכנית </w:t>
      </w:r>
      <w:bookmarkStart w:id="49224" w:name="_ETM_Q96_259299"/>
      <w:bookmarkEnd w:id="49224"/>
      <w:r>
        <w:rPr>
          <w:rFonts w:hint="cs"/>
          <w:rtl/>
        </w:rPr>
        <w:t xml:space="preserve">הרחבת </w:t>
      </w:r>
      <w:bookmarkStart w:id="49225" w:name="_ETM_Q96_259780"/>
      <w:bookmarkEnd w:id="49225"/>
      <w:r>
        <w:rPr>
          <w:rFonts w:hint="cs"/>
          <w:rtl/>
        </w:rPr>
        <w:t xml:space="preserve">בז"ן </w:t>
      </w:r>
      <w:bookmarkStart w:id="49226" w:name="_ETM_Q96_260619"/>
      <w:bookmarkEnd w:id="49226"/>
      <w:r>
        <w:rPr>
          <w:rFonts w:hint="cs"/>
          <w:rtl/>
        </w:rPr>
        <w:t xml:space="preserve">בלי </w:t>
      </w:r>
      <w:bookmarkStart w:id="49227" w:name="_ETM_Q96_261039"/>
      <w:bookmarkEnd w:id="49227"/>
      <w:r>
        <w:rPr>
          <w:rFonts w:hint="cs"/>
          <w:rtl/>
        </w:rPr>
        <w:t xml:space="preserve">שיש </w:t>
      </w:r>
      <w:bookmarkStart w:id="49228" w:name="_ETM_Q96_261789"/>
      <w:bookmarkEnd w:id="49228"/>
      <w:r>
        <w:rPr>
          <w:rFonts w:hint="cs"/>
          <w:rtl/>
        </w:rPr>
        <w:t xml:space="preserve">התייחסות </w:t>
      </w:r>
      <w:bookmarkStart w:id="49229" w:name="_ETM_Q96_262299"/>
      <w:bookmarkEnd w:id="49229"/>
      <w:r>
        <w:rPr>
          <w:rFonts w:hint="cs"/>
          <w:rtl/>
        </w:rPr>
        <w:t xml:space="preserve">ספציפית </w:t>
      </w:r>
      <w:bookmarkStart w:id="49230" w:name="_ETM_Q96_263439"/>
      <w:bookmarkEnd w:id="49230"/>
      <w:r>
        <w:rPr>
          <w:rFonts w:hint="cs"/>
          <w:rtl/>
        </w:rPr>
        <w:t xml:space="preserve">למתקנים </w:t>
      </w:r>
      <w:bookmarkStart w:id="49231" w:name="_ETM_Q96_264670"/>
      <w:bookmarkEnd w:id="49231"/>
      <w:r>
        <w:rPr>
          <w:rFonts w:hint="cs"/>
          <w:rtl/>
        </w:rPr>
        <w:t xml:space="preserve">ולזיהום </w:t>
      </w:r>
      <w:bookmarkStart w:id="49232" w:name="_ETM_Q96_265899"/>
      <w:bookmarkEnd w:id="49232"/>
      <w:r>
        <w:rPr>
          <w:rFonts w:hint="cs"/>
          <w:rtl/>
        </w:rPr>
        <w:t xml:space="preserve">הרב </w:t>
      </w:r>
      <w:bookmarkStart w:id="49233" w:name="_ETM_Q96_266469"/>
      <w:bookmarkEnd w:id="49233"/>
      <w:r>
        <w:rPr>
          <w:rFonts w:hint="cs"/>
          <w:rtl/>
        </w:rPr>
        <w:t xml:space="preserve">הצפוי </w:t>
      </w:r>
      <w:bookmarkStart w:id="49234" w:name="_ETM_Q96_266950"/>
      <w:bookmarkEnd w:id="49234"/>
      <w:r>
        <w:rPr>
          <w:rFonts w:hint="cs"/>
          <w:rtl/>
        </w:rPr>
        <w:t xml:space="preserve">מהם. </w:t>
      </w:r>
      <w:bookmarkStart w:id="49235" w:name="_ETM_Q96_268130"/>
      <w:bookmarkStart w:id="49236" w:name="_ETM_Q96_268512"/>
      <w:bookmarkStart w:id="49237" w:name="_ETM_Q96_268574"/>
      <w:bookmarkStart w:id="49238" w:name="_ETM_Q96_268694"/>
      <w:bookmarkStart w:id="49239" w:name="_ETM_Q96_268748"/>
      <w:bookmarkEnd w:id="49235"/>
      <w:bookmarkEnd w:id="49236"/>
      <w:bookmarkEnd w:id="49237"/>
      <w:bookmarkEnd w:id="49238"/>
      <w:bookmarkEnd w:id="49239"/>
      <w:r>
        <w:rPr>
          <w:rFonts w:hint="cs"/>
          <w:rtl/>
        </w:rPr>
        <w:t xml:space="preserve">כך </w:t>
      </w:r>
      <w:bookmarkStart w:id="49240" w:name="_ETM_Q96_268880"/>
      <w:bookmarkEnd w:id="49240"/>
      <w:r>
        <w:rPr>
          <w:rFonts w:hint="cs"/>
          <w:rtl/>
        </w:rPr>
        <w:t xml:space="preserve">כותב </w:t>
      </w:r>
      <w:bookmarkStart w:id="49241" w:name="_ETM_Q96_269270"/>
      <w:bookmarkEnd w:id="49241"/>
      <w:r>
        <w:rPr>
          <w:rFonts w:hint="cs"/>
          <w:rtl/>
        </w:rPr>
        <w:t xml:space="preserve">השופט </w:t>
      </w:r>
      <w:bookmarkStart w:id="49242" w:name="_ETM_Q96_269659"/>
      <w:bookmarkEnd w:id="49242"/>
      <w:r>
        <w:rPr>
          <w:rFonts w:hint="cs"/>
          <w:rtl/>
        </w:rPr>
        <w:t xml:space="preserve">פוגלמן: </w:t>
      </w:r>
      <w:bookmarkStart w:id="49243" w:name="_ETM_Q96_270709"/>
      <w:bookmarkEnd w:id="49243"/>
      <w:r>
        <w:rPr>
          <w:rFonts w:hint="cs"/>
          <w:rtl/>
        </w:rPr>
        <w:t xml:space="preserve">"בצד דברים אלה יש לחדד, לא דין מתקן ייצור, זיקוק ועיבוד של חומרים בעלי פוטנציאל סיכון סביבתי, כדין משרדים לעובדים, מחסני ציוד וכדומה, שהשפעתם על הסביבה – מטבע הדברים – שונה בתכלית". </w:t>
      </w:r>
      <w:bookmarkStart w:id="49244" w:name="_ETM_Q96_285580"/>
      <w:bookmarkEnd w:id="49244"/>
      <w:r>
        <w:rPr>
          <w:rFonts w:hint="cs"/>
          <w:rtl/>
        </w:rPr>
        <w:t xml:space="preserve">השופט </w:t>
      </w:r>
      <w:bookmarkStart w:id="49245" w:name="_ETM_Q96_286090"/>
      <w:bookmarkEnd w:id="49245"/>
      <w:r>
        <w:rPr>
          <w:rFonts w:hint="cs"/>
          <w:rtl/>
        </w:rPr>
        <w:t xml:space="preserve">פוגלמן </w:t>
      </w:r>
      <w:bookmarkStart w:id="49246" w:name="_ETM_Q96_287080"/>
      <w:bookmarkEnd w:id="49246"/>
      <w:r>
        <w:rPr>
          <w:rFonts w:hint="cs"/>
          <w:rtl/>
        </w:rPr>
        <w:t xml:space="preserve">וההרכב </w:t>
      </w:r>
      <w:bookmarkStart w:id="49247" w:name="_ETM_Q96_287890"/>
      <w:bookmarkEnd w:id="49247"/>
      <w:r>
        <w:rPr>
          <w:rFonts w:hint="cs"/>
          <w:rtl/>
        </w:rPr>
        <w:t xml:space="preserve">פוסלים </w:t>
      </w:r>
      <w:bookmarkStart w:id="49248" w:name="_ETM_Q96_288400"/>
      <w:bookmarkEnd w:id="49248"/>
      <w:r>
        <w:rPr>
          <w:rFonts w:hint="cs"/>
          <w:rtl/>
        </w:rPr>
        <w:t xml:space="preserve">את </w:t>
      </w:r>
      <w:bookmarkStart w:id="49249" w:name="_ETM_Q96_288490"/>
      <w:bookmarkEnd w:id="49249"/>
      <w:r>
        <w:rPr>
          <w:rFonts w:hint="cs"/>
          <w:rtl/>
        </w:rPr>
        <w:t xml:space="preserve">תוכניות </w:t>
      </w:r>
      <w:bookmarkStart w:id="49250" w:name="_ETM_Q96_288850"/>
      <w:bookmarkEnd w:id="49250"/>
      <w:r>
        <w:rPr>
          <w:rFonts w:hint="cs"/>
          <w:rtl/>
        </w:rPr>
        <w:t>הבנייה</w:t>
      </w:r>
      <w:r w:rsidR="00E315D7">
        <w:rPr>
          <w:rFonts w:hint="cs"/>
          <w:rtl/>
        </w:rPr>
        <w:t>,</w:t>
      </w:r>
      <w:r>
        <w:rPr>
          <w:rFonts w:hint="cs"/>
          <w:rtl/>
        </w:rPr>
        <w:t xml:space="preserve"> </w:t>
      </w:r>
      <w:bookmarkStart w:id="49251" w:name="_ETM_Q96_289660"/>
      <w:bookmarkEnd w:id="49251"/>
      <w:r>
        <w:rPr>
          <w:rFonts w:hint="cs"/>
          <w:rtl/>
        </w:rPr>
        <w:t xml:space="preserve">שלא </w:t>
      </w:r>
      <w:bookmarkStart w:id="49252" w:name="_ETM_Q96_290650"/>
      <w:bookmarkEnd w:id="49252"/>
      <w:r>
        <w:rPr>
          <w:rFonts w:hint="cs"/>
          <w:rtl/>
        </w:rPr>
        <w:t xml:space="preserve">שמו </w:t>
      </w:r>
      <w:bookmarkStart w:id="49253" w:name="_ETM_Q96_291070"/>
      <w:bookmarkEnd w:id="49253"/>
      <w:r>
        <w:rPr>
          <w:rFonts w:hint="cs"/>
          <w:rtl/>
        </w:rPr>
        <w:t xml:space="preserve">דגש </w:t>
      </w:r>
      <w:bookmarkStart w:id="49254" w:name="_ETM_Q96_291940"/>
      <w:bookmarkEnd w:id="49254"/>
      <w:r>
        <w:rPr>
          <w:rFonts w:hint="cs"/>
          <w:rtl/>
        </w:rPr>
        <w:t xml:space="preserve">על </w:t>
      </w:r>
      <w:bookmarkStart w:id="49255" w:name="_ETM_Q96_292120"/>
      <w:bookmarkEnd w:id="49255"/>
      <w:r>
        <w:rPr>
          <w:rFonts w:hint="cs"/>
          <w:rtl/>
        </w:rPr>
        <w:t xml:space="preserve">האופי </w:t>
      </w:r>
      <w:bookmarkStart w:id="49256" w:name="_ETM_Q96_293110"/>
      <w:bookmarkEnd w:id="49256"/>
      <w:r>
        <w:rPr>
          <w:rFonts w:hint="cs"/>
          <w:rtl/>
        </w:rPr>
        <w:t xml:space="preserve">הייחודי </w:t>
      </w:r>
      <w:bookmarkStart w:id="49257" w:name="_ETM_Q96_294130"/>
      <w:bookmarkEnd w:id="49257"/>
      <w:r>
        <w:rPr>
          <w:rFonts w:hint="cs"/>
          <w:rtl/>
        </w:rPr>
        <w:t xml:space="preserve">והמזהם </w:t>
      </w:r>
      <w:bookmarkStart w:id="49258" w:name="_ETM_Q96_295970"/>
      <w:bookmarkEnd w:id="49258"/>
      <w:r>
        <w:rPr>
          <w:rFonts w:hint="cs"/>
          <w:rtl/>
        </w:rPr>
        <w:t xml:space="preserve">של </w:t>
      </w:r>
      <w:bookmarkStart w:id="49259" w:name="_ETM_Q96_296240"/>
      <w:bookmarkEnd w:id="49259"/>
      <w:r>
        <w:rPr>
          <w:rFonts w:hint="cs"/>
          <w:rtl/>
        </w:rPr>
        <w:t xml:space="preserve">הרחבת </w:t>
      </w:r>
      <w:bookmarkStart w:id="49260" w:name="_ETM_Q96_297270"/>
      <w:bookmarkEnd w:id="49260"/>
      <w:r>
        <w:rPr>
          <w:rFonts w:hint="cs"/>
          <w:rtl/>
        </w:rPr>
        <w:t xml:space="preserve">הפעילות </w:t>
      </w:r>
      <w:bookmarkStart w:id="49261" w:name="_ETM_Q96_298459"/>
      <w:bookmarkEnd w:id="49261"/>
      <w:r>
        <w:rPr>
          <w:rFonts w:hint="cs"/>
          <w:rtl/>
        </w:rPr>
        <w:t xml:space="preserve">של </w:t>
      </w:r>
      <w:bookmarkStart w:id="49262" w:name="_ETM_Q96_298700"/>
      <w:bookmarkEnd w:id="49262"/>
      <w:r>
        <w:rPr>
          <w:rFonts w:hint="cs"/>
          <w:rtl/>
        </w:rPr>
        <w:t xml:space="preserve">בז"ן </w:t>
      </w:r>
      <w:bookmarkStart w:id="49263" w:name="_ETM_Q96_299090"/>
      <w:bookmarkEnd w:id="49263"/>
      <w:r>
        <w:rPr>
          <w:rFonts w:hint="cs"/>
          <w:rtl/>
        </w:rPr>
        <w:t xml:space="preserve">בחיפה. </w:t>
      </w:r>
      <w:bookmarkStart w:id="49264" w:name="_ETM_Q96_301520"/>
      <w:bookmarkEnd w:id="49264"/>
    </w:p>
    <w:p w:rsidR="00BB59CD" w:rsidRDefault="00BB59CD" w:rsidP="00BB59CD">
      <w:pPr>
        <w:rPr>
          <w:rtl/>
        </w:rPr>
      </w:pPr>
      <w:bookmarkStart w:id="49265" w:name="_ETM_Q96_302721"/>
      <w:bookmarkStart w:id="49266" w:name="_ETM_Q96_302803"/>
      <w:bookmarkEnd w:id="49265"/>
      <w:bookmarkEnd w:id="49266"/>
    </w:p>
    <w:p w:rsidR="00BB59CD" w:rsidRDefault="00BB59CD" w:rsidP="00BB59CD">
      <w:pPr>
        <w:rPr>
          <w:rtl/>
        </w:rPr>
      </w:pPr>
      <w:bookmarkStart w:id="49267" w:name="_ETM_Q96_302921"/>
      <w:bookmarkStart w:id="49268" w:name="_ETM_Q96_302975"/>
      <w:bookmarkEnd w:id="49267"/>
      <w:bookmarkEnd w:id="49268"/>
      <w:r>
        <w:rPr>
          <w:rFonts w:hint="cs"/>
          <w:rtl/>
        </w:rPr>
        <w:t xml:space="preserve">פסק </w:t>
      </w:r>
      <w:bookmarkStart w:id="49269" w:name="_ETM_Q96_301820"/>
      <w:bookmarkEnd w:id="49269"/>
      <w:r>
        <w:rPr>
          <w:rFonts w:hint="cs"/>
          <w:rtl/>
        </w:rPr>
        <w:t xml:space="preserve">דין </w:t>
      </w:r>
      <w:bookmarkStart w:id="49270" w:name="_ETM_Q96_302000"/>
      <w:bookmarkEnd w:id="49270"/>
      <w:r>
        <w:rPr>
          <w:rFonts w:hint="cs"/>
          <w:rtl/>
        </w:rPr>
        <w:t xml:space="preserve">נוסף, </w:t>
      </w:r>
      <w:bookmarkStart w:id="49271" w:name="_ETM_Q96_302479"/>
      <w:bookmarkEnd w:id="49271"/>
      <w:r>
        <w:rPr>
          <w:rFonts w:hint="cs"/>
          <w:rtl/>
        </w:rPr>
        <w:t xml:space="preserve">שעוסק </w:t>
      </w:r>
      <w:bookmarkStart w:id="49272" w:name="_ETM_Q96_303079"/>
      <w:bookmarkEnd w:id="49272"/>
      <w:r>
        <w:rPr>
          <w:rFonts w:hint="cs"/>
          <w:rtl/>
        </w:rPr>
        <w:t xml:space="preserve">בגישה </w:t>
      </w:r>
      <w:bookmarkStart w:id="49273" w:name="_ETM_Q96_304009"/>
      <w:bookmarkEnd w:id="49273"/>
      <w:r>
        <w:rPr>
          <w:rFonts w:hint="cs"/>
          <w:rtl/>
        </w:rPr>
        <w:t xml:space="preserve">החופשית </w:t>
      </w:r>
      <w:bookmarkStart w:id="49274" w:name="_ETM_Q96_304430"/>
      <w:bookmarkEnd w:id="49274"/>
      <w:r>
        <w:rPr>
          <w:rFonts w:hint="cs"/>
          <w:rtl/>
        </w:rPr>
        <w:t xml:space="preserve">לחופי </w:t>
      </w:r>
      <w:bookmarkStart w:id="49275" w:name="_ETM_Q96_304850"/>
      <w:bookmarkEnd w:id="49275"/>
      <w:r>
        <w:rPr>
          <w:rFonts w:hint="cs"/>
          <w:rtl/>
        </w:rPr>
        <w:t xml:space="preserve">ישראל, </w:t>
      </w:r>
      <w:bookmarkStart w:id="49276" w:name="_ETM_Q96_305840"/>
      <w:bookmarkEnd w:id="49276"/>
      <w:r>
        <w:rPr>
          <w:rFonts w:hint="cs"/>
          <w:rtl/>
        </w:rPr>
        <w:t xml:space="preserve">ניתן </w:t>
      </w:r>
      <w:bookmarkStart w:id="49277" w:name="_ETM_Q96_306200"/>
      <w:bookmarkEnd w:id="49277"/>
      <w:r>
        <w:rPr>
          <w:rFonts w:hint="cs"/>
          <w:rtl/>
        </w:rPr>
        <w:t xml:space="preserve">ב-2009, </w:t>
      </w:r>
      <w:bookmarkStart w:id="49278" w:name="_ETM_Q96_307920"/>
      <w:bookmarkEnd w:id="49278"/>
      <w:r>
        <w:rPr>
          <w:rFonts w:hint="cs"/>
          <w:rtl/>
        </w:rPr>
        <w:t xml:space="preserve">ובו </w:t>
      </w:r>
      <w:bookmarkStart w:id="49279" w:name="_ETM_Q96_308400"/>
      <w:bookmarkEnd w:id="49279"/>
      <w:r>
        <w:rPr>
          <w:rFonts w:hint="cs"/>
          <w:rtl/>
        </w:rPr>
        <w:t xml:space="preserve">קבע </w:t>
      </w:r>
      <w:bookmarkStart w:id="49280" w:name="_ETM_Q96_309430"/>
      <w:bookmarkEnd w:id="49280"/>
      <w:r>
        <w:rPr>
          <w:rFonts w:hint="cs"/>
          <w:rtl/>
        </w:rPr>
        <w:t xml:space="preserve">בית </w:t>
      </w:r>
      <w:bookmarkStart w:id="49281" w:name="_ETM_Q96_309760"/>
      <w:bookmarkEnd w:id="49281"/>
      <w:r>
        <w:rPr>
          <w:rFonts w:hint="cs"/>
          <w:rtl/>
        </w:rPr>
        <w:t xml:space="preserve">המשפט </w:t>
      </w:r>
      <w:bookmarkStart w:id="49282" w:name="_ETM_Q96_310330"/>
      <w:bookmarkEnd w:id="49282"/>
      <w:r>
        <w:rPr>
          <w:rFonts w:hint="cs"/>
          <w:rtl/>
        </w:rPr>
        <w:t xml:space="preserve">העליון </w:t>
      </w:r>
      <w:bookmarkStart w:id="49283" w:name="_ETM_Q96_310750"/>
      <w:bookmarkEnd w:id="49283"/>
      <w:r>
        <w:rPr>
          <w:rFonts w:hint="cs"/>
          <w:rtl/>
        </w:rPr>
        <w:t xml:space="preserve">בשבתו </w:t>
      </w:r>
      <w:bookmarkStart w:id="49284" w:name="_ETM_Q96_311169"/>
      <w:bookmarkEnd w:id="49284"/>
      <w:r>
        <w:rPr>
          <w:rFonts w:hint="cs"/>
          <w:rtl/>
        </w:rPr>
        <w:t xml:space="preserve">כבג"ץ, </w:t>
      </w:r>
      <w:bookmarkStart w:id="49285" w:name="_ETM_Q96_311739"/>
      <w:bookmarkEnd w:id="49285"/>
      <w:r>
        <w:rPr>
          <w:rFonts w:hint="cs"/>
          <w:rtl/>
        </w:rPr>
        <w:t xml:space="preserve">תוך </w:t>
      </w:r>
      <w:bookmarkStart w:id="49286" w:name="_ETM_Q96_311950"/>
      <w:bookmarkEnd w:id="49286"/>
      <w:r>
        <w:rPr>
          <w:rFonts w:hint="cs"/>
          <w:rtl/>
        </w:rPr>
        <w:t xml:space="preserve">שימוש </w:t>
      </w:r>
      <w:bookmarkStart w:id="49287" w:name="_ETM_Q96_312970"/>
      <w:bookmarkEnd w:id="49287"/>
      <w:r>
        <w:rPr>
          <w:rFonts w:hint="cs"/>
          <w:rtl/>
        </w:rPr>
        <w:t xml:space="preserve">בעילת </w:t>
      </w:r>
      <w:bookmarkStart w:id="49288" w:name="_ETM_Q96_313480"/>
      <w:bookmarkEnd w:id="49288"/>
      <w:r>
        <w:rPr>
          <w:rFonts w:hint="cs"/>
          <w:rtl/>
        </w:rPr>
        <w:t xml:space="preserve">הסבירות, </w:t>
      </w:r>
      <w:bookmarkStart w:id="49289" w:name="_ETM_Q96_314569"/>
      <w:bookmarkEnd w:id="49289"/>
      <w:r>
        <w:rPr>
          <w:rFonts w:hint="cs"/>
          <w:rtl/>
        </w:rPr>
        <w:t xml:space="preserve">שיש </w:t>
      </w:r>
      <w:bookmarkStart w:id="49290" w:name="_ETM_Q96_315290"/>
      <w:bookmarkEnd w:id="49290"/>
      <w:r>
        <w:rPr>
          <w:rFonts w:hint="cs"/>
          <w:rtl/>
        </w:rPr>
        <w:t xml:space="preserve">להותיר </w:t>
      </w:r>
      <w:bookmarkStart w:id="49291" w:name="_ETM_Q96_315919"/>
      <w:bookmarkEnd w:id="49291"/>
      <w:r>
        <w:rPr>
          <w:rFonts w:hint="cs"/>
          <w:rtl/>
        </w:rPr>
        <w:t xml:space="preserve">חלק </w:t>
      </w:r>
      <w:bookmarkStart w:id="49292" w:name="_ETM_Q96_316280"/>
      <w:bookmarkEnd w:id="49292"/>
      <w:r>
        <w:rPr>
          <w:rFonts w:hint="cs"/>
          <w:rtl/>
        </w:rPr>
        <w:t xml:space="preserve">סביר </w:t>
      </w:r>
      <w:bookmarkStart w:id="49293" w:name="_ETM_Q96_317180"/>
      <w:bookmarkEnd w:id="49293"/>
      <w:r>
        <w:rPr>
          <w:rFonts w:hint="cs"/>
          <w:rtl/>
        </w:rPr>
        <w:t>מ</w:t>
      </w:r>
      <w:bookmarkStart w:id="49294" w:name="_ETM_Q96_317360"/>
      <w:bookmarkEnd w:id="49294"/>
      <w:r>
        <w:rPr>
          <w:rFonts w:hint="cs"/>
          <w:rtl/>
        </w:rPr>
        <w:t xml:space="preserve">חופי </w:t>
      </w:r>
      <w:bookmarkStart w:id="49295" w:name="_ETM_Q96_317720"/>
      <w:bookmarkEnd w:id="49295"/>
      <w:r>
        <w:rPr>
          <w:rFonts w:hint="cs"/>
          <w:rtl/>
        </w:rPr>
        <w:t xml:space="preserve">הרחצה </w:t>
      </w:r>
      <w:bookmarkStart w:id="49296" w:name="_ETM_Q96_318230"/>
      <w:bookmarkEnd w:id="49296"/>
      <w:r>
        <w:rPr>
          <w:rFonts w:hint="cs"/>
          <w:rtl/>
        </w:rPr>
        <w:t xml:space="preserve">פתוחים </w:t>
      </w:r>
      <w:bookmarkStart w:id="49297" w:name="_ETM_Q96_318770"/>
      <w:bookmarkEnd w:id="49297"/>
      <w:r>
        <w:rPr>
          <w:rFonts w:hint="cs"/>
          <w:rtl/>
        </w:rPr>
        <w:t xml:space="preserve">ללא </w:t>
      </w:r>
      <w:bookmarkStart w:id="49298" w:name="_ETM_Q96_319010"/>
      <w:bookmarkEnd w:id="49298"/>
      <w:r>
        <w:rPr>
          <w:rFonts w:hint="cs"/>
          <w:rtl/>
        </w:rPr>
        <w:t xml:space="preserve">תשלום </w:t>
      </w:r>
      <w:bookmarkStart w:id="49299" w:name="_ETM_Q96_320000"/>
      <w:bookmarkEnd w:id="49299"/>
      <w:r>
        <w:rPr>
          <w:rFonts w:hint="cs"/>
          <w:rtl/>
        </w:rPr>
        <w:t xml:space="preserve">לציבור </w:t>
      </w:r>
      <w:bookmarkStart w:id="49300" w:name="_ETM_Q96_320510"/>
      <w:bookmarkEnd w:id="49300"/>
      <w:r>
        <w:rPr>
          <w:rFonts w:hint="cs"/>
          <w:rtl/>
        </w:rPr>
        <w:t xml:space="preserve">הרחב. </w:t>
      </w:r>
      <w:bookmarkStart w:id="49301" w:name="_ETM_Q96_321810"/>
      <w:bookmarkEnd w:id="49301"/>
      <w:r>
        <w:rPr>
          <w:rFonts w:hint="cs"/>
          <w:rtl/>
        </w:rPr>
        <w:t xml:space="preserve">בפסיקה </w:t>
      </w:r>
      <w:bookmarkStart w:id="49302" w:name="_ETM_Q96_322530"/>
      <w:bookmarkEnd w:id="49302"/>
      <w:r>
        <w:rPr>
          <w:rFonts w:hint="cs"/>
          <w:rtl/>
        </w:rPr>
        <w:t xml:space="preserve">הזו, </w:t>
      </w:r>
      <w:bookmarkStart w:id="49303" w:name="_ETM_Q96_322980"/>
      <w:bookmarkEnd w:id="49303"/>
      <w:r>
        <w:rPr>
          <w:rFonts w:hint="cs"/>
          <w:rtl/>
        </w:rPr>
        <w:t xml:space="preserve">באמצעות </w:t>
      </w:r>
      <w:bookmarkStart w:id="49304" w:name="_ETM_Q96_323430"/>
      <w:bookmarkEnd w:id="49304"/>
      <w:r>
        <w:rPr>
          <w:rFonts w:hint="cs"/>
          <w:rtl/>
        </w:rPr>
        <w:t xml:space="preserve">שימוש </w:t>
      </w:r>
      <w:bookmarkStart w:id="49305" w:name="_ETM_Q96_323850"/>
      <w:bookmarkEnd w:id="49305"/>
      <w:r>
        <w:rPr>
          <w:rFonts w:hint="cs"/>
          <w:rtl/>
        </w:rPr>
        <w:t xml:space="preserve">בעילת </w:t>
      </w:r>
      <w:bookmarkStart w:id="49306" w:name="_ETM_Q96_324240"/>
      <w:bookmarkEnd w:id="49306"/>
      <w:r>
        <w:rPr>
          <w:rFonts w:hint="cs"/>
          <w:rtl/>
        </w:rPr>
        <w:t xml:space="preserve">הסבירות, </w:t>
      </w:r>
      <w:bookmarkStart w:id="49307" w:name="_ETM_Q96_325139"/>
      <w:bookmarkEnd w:id="49307"/>
      <w:r>
        <w:rPr>
          <w:rFonts w:hint="cs"/>
          <w:rtl/>
        </w:rPr>
        <w:t xml:space="preserve">מאפשר </w:t>
      </w:r>
      <w:bookmarkStart w:id="49308" w:name="_ETM_Q96_326280"/>
      <w:bookmarkEnd w:id="49308"/>
      <w:r>
        <w:rPr>
          <w:rFonts w:hint="cs"/>
          <w:rtl/>
        </w:rPr>
        <w:t xml:space="preserve">בג"ץ </w:t>
      </w:r>
      <w:bookmarkStart w:id="49309" w:name="_ETM_Q96_327379"/>
      <w:bookmarkEnd w:id="49309"/>
      <w:r>
        <w:rPr>
          <w:rFonts w:hint="cs"/>
          <w:rtl/>
        </w:rPr>
        <w:t xml:space="preserve">לכל </w:t>
      </w:r>
      <w:bookmarkStart w:id="49310" w:name="_ETM_Q96_327919"/>
      <w:bookmarkEnd w:id="49310"/>
      <w:r>
        <w:rPr>
          <w:rFonts w:hint="cs"/>
          <w:rtl/>
        </w:rPr>
        <w:t xml:space="preserve">אזרחי </w:t>
      </w:r>
      <w:bookmarkStart w:id="49311" w:name="_ETM_Q96_328310"/>
      <w:bookmarkEnd w:id="49311"/>
      <w:r>
        <w:rPr>
          <w:rFonts w:hint="cs"/>
          <w:rtl/>
        </w:rPr>
        <w:t>ישראל</w:t>
      </w:r>
      <w:bookmarkStart w:id="49312" w:name="_ETM_Q96_328580"/>
      <w:bookmarkEnd w:id="49312"/>
      <w:r>
        <w:rPr>
          <w:rFonts w:hint="cs"/>
          <w:rtl/>
        </w:rPr>
        <w:t xml:space="preserve">, גם </w:t>
      </w:r>
      <w:bookmarkStart w:id="49313" w:name="_ETM_Q96_328790"/>
      <w:bookmarkEnd w:id="49313"/>
      <w:r>
        <w:rPr>
          <w:rFonts w:hint="cs"/>
          <w:rtl/>
        </w:rPr>
        <w:t xml:space="preserve">אלו </w:t>
      </w:r>
      <w:bookmarkStart w:id="49314" w:name="_ETM_Q96_328970"/>
      <w:bookmarkEnd w:id="49314"/>
      <w:r>
        <w:rPr>
          <w:rFonts w:hint="cs"/>
          <w:rtl/>
        </w:rPr>
        <w:t xml:space="preserve">שידם </w:t>
      </w:r>
      <w:bookmarkStart w:id="49315" w:name="_ETM_Q96_329389"/>
      <w:bookmarkEnd w:id="49315"/>
      <w:r>
        <w:rPr>
          <w:rFonts w:hint="cs"/>
          <w:rtl/>
        </w:rPr>
        <w:t xml:space="preserve">אינה </w:t>
      </w:r>
      <w:bookmarkStart w:id="49316" w:name="_ETM_Q96_329659"/>
      <w:bookmarkEnd w:id="49316"/>
      <w:r>
        <w:rPr>
          <w:rFonts w:hint="cs"/>
          <w:rtl/>
        </w:rPr>
        <w:t xml:space="preserve">משגת, להגיע </w:t>
      </w:r>
      <w:bookmarkStart w:id="49317" w:name="_ETM_Q96_331540"/>
      <w:bookmarkEnd w:id="49317"/>
      <w:r>
        <w:rPr>
          <w:rFonts w:hint="cs"/>
          <w:rtl/>
        </w:rPr>
        <w:t xml:space="preserve">לחופי </w:t>
      </w:r>
      <w:bookmarkStart w:id="49318" w:name="_ETM_Q96_332050"/>
      <w:bookmarkEnd w:id="49318"/>
      <w:r>
        <w:rPr>
          <w:rFonts w:hint="cs"/>
          <w:rtl/>
        </w:rPr>
        <w:t xml:space="preserve">הארץ </w:t>
      </w:r>
      <w:bookmarkStart w:id="49319" w:name="_ETM_Q96_332380"/>
      <w:bookmarkEnd w:id="49319"/>
      <w:r>
        <w:rPr>
          <w:rFonts w:hint="cs"/>
          <w:rtl/>
        </w:rPr>
        <w:t xml:space="preserve">הנהדרים </w:t>
      </w:r>
      <w:bookmarkStart w:id="49320" w:name="_ETM_Q96_332919"/>
      <w:bookmarkEnd w:id="49320"/>
      <w:r>
        <w:rPr>
          <w:rFonts w:hint="cs"/>
          <w:rtl/>
        </w:rPr>
        <w:t xml:space="preserve">שלנו </w:t>
      </w:r>
      <w:bookmarkStart w:id="49321" w:name="_ETM_Q96_333460"/>
      <w:bookmarkEnd w:id="49321"/>
      <w:r>
        <w:rPr>
          <w:rFonts w:hint="cs"/>
          <w:rtl/>
        </w:rPr>
        <w:t xml:space="preserve">ולהיכנס </w:t>
      </w:r>
      <w:bookmarkStart w:id="49322" w:name="_ETM_Q96_334030"/>
      <w:bookmarkEnd w:id="49322"/>
      <w:r>
        <w:rPr>
          <w:rFonts w:hint="cs"/>
          <w:rtl/>
        </w:rPr>
        <w:t xml:space="preserve">אליהם </w:t>
      </w:r>
      <w:bookmarkStart w:id="49323" w:name="_ETM_Q96_334389"/>
      <w:bookmarkEnd w:id="49323"/>
      <w:r>
        <w:rPr>
          <w:rFonts w:hint="cs"/>
          <w:rtl/>
        </w:rPr>
        <w:t xml:space="preserve">בלי </w:t>
      </w:r>
      <w:bookmarkStart w:id="49324" w:name="_ETM_Q96_335180"/>
      <w:bookmarkEnd w:id="49324"/>
      <w:r>
        <w:rPr>
          <w:rFonts w:hint="cs"/>
          <w:rtl/>
        </w:rPr>
        <w:t xml:space="preserve">לשלם </w:t>
      </w:r>
      <w:bookmarkStart w:id="49325" w:name="_ETM_Q96_336260"/>
      <w:bookmarkEnd w:id="49325"/>
      <w:r>
        <w:rPr>
          <w:rFonts w:hint="cs"/>
          <w:rtl/>
        </w:rPr>
        <w:t xml:space="preserve">סכום </w:t>
      </w:r>
      <w:bookmarkStart w:id="49326" w:name="_ETM_Q96_336620"/>
      <w:bookmarkEnd w:id="49326"/>
      <w:r>
        <w:rPr>
          <w:rFonts w:hint="cs"/>
          <w:rtl/>
        </w:rPr>
        <w:t xml:space="preserve">נכבד </w:t>
      </w:r>
      <w:bookmarkStart w:id="49327" w:name="_ETM_Q96_337100"/>
      <w:bookmarkEnd w:id="49327"/>
      <w:r>
        <w:rPr>
          <w:rFonts w:hint="cs"/>
          <w:rtl/>
        </w:rPr>
        <w:t xml:space="preserve">בכניסה. </w:t>
      </w:r>
      <w:bookmarkStart w:id="49328" w:name="_ETM_Q96_340040"/>
      <w:bookmarkEnd w:id="49328"/>
    </w:p>
    <w:p w:rsidR="00BB59CD" w:rsidRDefault="00BB59CD" w:rsidP="00BB59CD">
      <w:pPr>
        <w:rPr>
          <w:rtl/>
        </w:rPr>
      </w:pPr>
      <w:bookmarkStart w:id="49329" w:name="_ETM_Q96_343520"/>
      <w:bookmarkStart w:id="49330" w:name="_ETM_Q96_343583"/>
      <w:bookmarkEnd w:id="49329"/>
      <w:bookmarkEnd w:id="49330"/>
    </w:p>
    <w:p w:rsidR="00BB59CD" w:rsidRDefault="00BB59CD" w:rsidP="00BB59CD">
      <w:pPr>
        <w:rPr>
          <w:rtl/>
        </w:rPr>
      </w:pPr>
      <w:bookmarkStart w:id="49331" w:name="_ETM_Q96_343697"/>
      <w:bookmarkStart w:id="49332" w:name="_ETM_Q96_343769"/>
      <w:bookmarkEnd w:id="49331"/>
      <w:bookmarkEnd w:id="49332"/>
      <w:r>
        <w:rPr>
          <w:rFonts w:hint="cs"/>
          <w:rtl/>
        </w:rPr>
        <w:t xml:space="preserve">והדוגמה </w:t>
      </w:r>
      <w:bookmarkStart w:id="49333" w:name="_ETM_Q96_341180"/>
      <w:bookmarkEnd w:id="49333"/>
      <w:r>
        <w:rPr>
          <w:rFonts w:hint="cs"/>
          <w:rtl/>
        </w:rPr>
        <w:t xml:space="preserve">האחרונה </w:t>
      </w:r>
      <w:bookmarkStart w:id="49334" w:name="_ETM_Q96_341630"/>
      <w:bookmarkEnd w:id="49334"/>
      <w:r>
        <w:rPr>
          <w:rFonts w:hint="cs"/>
          <w:rtl/>
        </w:rPr>
        <w:t xml:space="preserve">שאני </w:t>
      </w:r>
      <w:bookmarkStart w:id="49335" w:name="_ETM_Q96_342380"/>
      <w:bookmarkEnd w:id="49335"/>
      <w:r>
        <w:rPr>
          <w:rFonts w:hint="cs"/>
          <w:rtl/>
        </w:rPr>
        <w:t xml:space="preserve">אנצל </w:t>
      </w:r>
      <w:bookmarkStart w:id="49336" w:name="_ETM_Q96_342740"/>
      <w:bookmarkEnd w:id="49336"/>
      <w:r>
        <w:rPr>
          <w:rFonts w:hint="cs"/>
          <w:rtl/>
        </w:rPr>
        <w:t xml:space="preserve">את </w:t>
      </w:r>
      <w:bookmarkStart w:id="49337" w:name="_ETM_Q96_342830"/>
      <w:bookmarkEnd w:id="49337"/>
      <w:r>
        <w:rPr>
          <w:rFonts w:hint="cs"/>
          <w:rtl/>
        </w:rPr>
        <w:t xml:space="preserve">הבמה </w:t>
      </w:r>
      <w:bookmarkStart w:id="49338" w:name="_ETM_Q96_343160"/>
      <w:bookmarkEnd w:id="49338"/>
      <w:r>
        <w:rPr>
          <w:rFonts w:hint="cs"/>
          <w:rtl/>
        </w:rPr>
        <w:t xml:space="preserve">המכובדת </w:t>
      </w:r>
      <w:bookmarkStart w:id="49339" w:name="_ETM_Q96_343610"/>
      <w:bookmarkEnd w:id="49339"/>
      <w:r>
        <w:rPr>
          <w:rFonts w:hint="cs"/>
          <w:rtl/>
        </w:rPr>
        <w:t xml:space="preserve">הזאת </w:t>
      </w:r>
      <w:bookmarkStart w:id="49340" w:name="_ETM_Q96_343910"/>
      <w:bookmarkEnd w:id="49340"/>
      <w:r>
        <w:rPr>
          <w:rFonts w:hint="cs"/>
          <w:rtl/>
        </w:rPr>
        <w:t xml:space="preserve">כדי </w:t>
      </w:r>
      <w:bookmarkStart w:id="49341" w:name="_ETM_Q96_344690"/>
      <w:bookmarkEnd w:id="49341"/>
      <w:r>
        <w:rPr>
          <w:rFonts w:hint="cs"/>
          <w:rtl/>
        </w:rPr>
        <w:t xml:space="preserve">לדבר </w:t>
      </w:r>
      <w:bookmarkStart w:id="49342" w:name="_ETM_Q96_345200"/>
      <w:bookmarkEnd w:id="49342"/>
      <w:r>
        <w:rPr>
          <w:rFonts w:hint="cs"/>
          <w:rtl/>
        </w:rPr>
        <w:t xml:space="preserve">עליה </w:t>
      </w:r>
      <w:bookmarkStart w:id="49343" w:name="_ETM_Q96_346010"/>
      <w:bookmarkEnd w:id="49343"/>
      <w:r>
        <w:rPr>
          <w:rFonts w:hint="cs"/>
          <w:rtl/>
        </w:rPr>
        <w:t xml:space="preserve">היא </w:t>
      </w:r>
      <w:bookmarkStart w:id="49344" w:name="_ETM_Q96_349350"/>
      <w:bookmarkEnd w:id="49344"/>
      <w:r>
        <w:rPr>
          <w:rFonts w:hint="cs"/>
          <w:rtl/>
        </w:rPr>
        <w:t>ה</w:t>
      </w:r>
      <w:bookmarkStart w:id="49345" w:name="_ETM_Q96_346220"/>
      <w:bookmarkEnd w:id="49345"/>
      <w:r>
        <w:rPr>
          <w:rFonts w:hint="cs"/>
          <w:rtl/>
        </w:rPr>
        <w:t xml:space="preserve">צורך </w:t>
      </w:r>
      <w:bookmarkStart w:id="49346" w:name="_ETM_Q96_347060"/>
      <w:bookmarkStart w:id="49347" w:name="_ETM_Q96_347810"/>
      <w:bookmarkEnd w:id="49346"/>
      <w:bookmarkEnd w:id="49347"/>
      <w:r>
        <w:rPr>
          <w:rFonts w:hint="cs"/>
          <w:rtl/>
        </w:rPr>
        <w:t xml:space="preserve">של </w:t>
      </w:r>
      <w:bookmarkStart w:id="49348" w:name="_ETM_Q96_348080"/>
      <w:bookmarkEnd w:id="49348"/>
      <w:r>
        <w:rPr>
          <w:rFonts w:hint="cs"/>
          <w:rtl/>
        </w:rPr>
        <w:t xml:space="preserve">הממשלה </w:t>
      </w:r>
      <w:bookmarkStart w:id="49349" w:name="_ETM_Q96_348830"/>
      <w:bookmarkEnd w:id="49349"/>
      <w:r>
        <w:rPr>
          <w:rFonts w:hint="cs"/>
          <w:rtl/>
        </w:rPr>
        <w:t xml:space="preserve">– החובה </w:t>
      </w:r>
      <w:bookmarkStart w:id="49350" w:name="_ETM_Q96_349769"/>
      <w:bookmarkEnd w:id="49350"/>
      <w:r>
        <w:rPr>
          <w:rFonts w:hint="cs"/>
          <w:rtl/>
        </w:rPr>
        <w:t xml:space="preserve">לייצר </w:t>
      </w:r>
      <w:bookmarkStart w:id="49351" w:name="_ETM_Q96_350220"/>
      <w:bookmarkEnd w:id="49351"/>
      <w:r>
        <w:rPr>
          <w:rFonts w:hint="cs"/>
          <w:rtl/>
        </w:rPr>
        <w:t xml:space="preserve">תוכנית </w:t>
      </w:r>
      <w:bookmarkStart w:id="49352" w:name="_ETM_Q96_350580"/>
      <w:bookmarkEnd w:id="49352"/>
      <w:r>
        <w:rPr>
          <w:rFonts w:hint="cs"/>
          <w:rtl/>
        </w:rPr>
        <w:t xml:space="preserve">לאומית </w:t>
      </w:r>
      <w:bookmarkStart w:id="49353" w:name="_ETM_Q96_350940"/>
      <w:bookmarkEnd w:id="49353"/>
      <w:r>
        <w:rPr>
          <w:rFonts w:hint="cs"/>
          <w:rtl/>
        </w:rPr>
        <w:t xml:space="preserve">למניעת </w:t>
      </w:r>
      <w:bookmarkStart w:id="49354" w:name="_ETM_Q96_351510"/>
      <w:bookmarkEnd w:id="49354"/>
      <w:r>
        <w:rPr>
          <w:rFonts w:hint="cs"/>
          <w:rtl/>
        </w:rPr>
        <w:t xml:space="preserve">זיהום </w:t>
      </w:r>
      <w:bookmarkStart w:id="49355" w:name="_ETM_Q96_352290"/>
      <w:bookmarkEnd w:id="49355"/>
      <w:r>
        <w:rPr>
          <w:rFonts w:hint="cs"/>
          <w:rtl/>
        </w:rPr>
        <w:t xml:space="preserve">ולצמצום </w:t>
      </w:r>
      <w:bookmarkStart w:id="49356" w:name="_ETM_Q96_352790"/>
      <w:bookmarkStart w:id="49357" w:name="_ETM_Q96_353000"/>
      <w:bookmarkEnd w:id="49356"/>
      <w:bookmarkEnd w:id="49357"/>
      <w:r>
        <w:rPr>
          <w:rFonts w:hint="cs"/>
          <w:rtl/>
        </w:rPr>
        <w:t xml:space="preserve">זיהום </w:t>
      </w:r>
      <w:bookmarkStart w:id="49358" w:name="_ETM_Q96_353329"/>
      <w:bookmarkEnd w:id="49358"/>
      <w:r>
        <w:rPr>
          <w:rFonts w:hint="cs"/>
          <w:rtl/>
        </w:rPr>
        <w:t xml:space="preserve">האוויר </w:t>
      </w:r>
      <w:bookmarkStart w:id="49359" w:name="_ETM_Q96_353750"/>
      <w:bookmarkEnd w:id="49359"/>
      <w:r>
        <w:rPr>
          <w:rFonts w:hint="cs"/>
          <w:rtl/>
        </w:rPr>
        <w:t xml:space="preserve">בישראל. </w:t>
      </w:r>
      <w:bookmarkStart w:id="49360" w:name="_ETM_Q96_354829"/>
      <w:bookmarkEnd w:id="49360"/>
      <w:r>
        <w:rPr>
          <w:rFonts w:hint="cs"/>
          <w:rtl/>
        </w:rPr>
        <w:t xml:space="preserve">לפי </w:t>
      </w:r>
      <w:bookmarkStart w:id="49361" w:name="_ETM_Q96_355040"/>
      <w:bookmarkEnd w:id="49361"/>
      <w:r>
        <w:rPr>
          <w:rFonts w:hint="cs"/>
          <w:rtl/>
        </w:rPr>
        <w:t xml:space="preserve">חוק </w:t>
      </w:r>
      <w:bookmarkStart w:id="49362" w:name="_ETM_Q96_355310"/>
      <w:bookmarkEnd w:id="49362"/>
      <w:r>
        <w:rPr>
          <w:rFonts w:hint="cs"/>
          <w:rtl/>
        </w:rPr>
        <w:t xml:space="preserve">אוויר </w:t>
      </w:r>
      <w:bookmarkStart w:id="49363" w:name="_ETM_Q96_355579"/>
      <w:bookmarkEnd w:id="49363"/>
      <w:r>
        <w:rPr>
          <w:rFonts w:hint="cs"/>
          <w:rtl/>
        </w:rPr>
        <w:t xml:space="preserve">נקי </w:t>
      </w:r>
      <w:bookmarkStart w:id="49364" w:name="_ETM_Q96_356569"/>
      <w:bookmarkEnd w:id="49364"/>
      <w:r>
        <w:rPr>
          <w:rFonts w:hint="cs"/>
          <w:rtl/>
        </w:rPr>
        <w:t xml:space="preserve">– הממשלה, </w:t>
      </w:r>
      <w:bookmarkStart w:id="49365" w:name="_ETM_Q96_358069"/>
      <w:bookmarkEnd w:id="49365"/>
      <w:r>
        <w:rPr>
          <w:rFonts w:hint="cs"/>
          <w:rtl/>
        </w:rPr>
        <w:t xml:space="preserve">נכון </w:t>
      </w:r>
      <w:bookmarkStart w:id="49366" w:name="_ETM_Q96_358459"/>
      <w:bookmarkEnd w:id="49366"/>
      <w:r>
        <w:rPr>
          <w:rFonts w:hint="cs"/>
          <w:rtl/>
        </w:rPr>
        <w:t xml:space="preserve">ל-2021, </w:t>
      </w:r>
      <w:bookmarkStart w:id="49367" w:name="_ETM_Q96_359629"/>
      <w:bookmarkEnd w:id="49367"/>
      <w:r>
        <w:rPr>
          <w:rFonts w:hint="cs"/>
          <w:rtl/>
        </w:rPr>
        <w:t xml:space="preserve">לא </w:t>
      </w:r>
      <w:bookmarkStart w:id="49368" w:name="_ETM_Q96_359900"/>
      <w:bookmarkEnd w:id="49368"/>
      <w:r>
        <w:rPr>
          <w:rFonts w:hint="cs"/>
          <w:rtl/>
        </w:rPr>
        <w:t xml:space="preserve">אישרה </w:t>
      </w:r>
      <w:bookmarkStart w:id="49369" w:name="_ETM_Q96_360230"/>
      <w:bookmarkEnd w:id="49369"/>
      <w:r>
        <w:rPr>
          <w:rFonts w:hint="cs"/>
          <w:rtl/>
        </w:rPr>
        <w:t xml:space="preserve">תוכנית </w:t>
      </w:r>
      <w:bookmarkStart w:id="49370" w:name="_ETM_Q96_360530"/>
      <w:bookmarkEnd w:id="49370"/>
      <w:r>
        <w:rPr>
          <w:rFonts w:hint="cs"/>
          <w:rtl/>
        </w:rPr>
        <w:t xml:space="preserve">לאומית </w:t>
      </w:r>
      <w:bookmarkStart w:id="49371" w:name="_ETM_Q96_360950"/>
      <w:bookmarkEnd w:id="49371"/>
      <w:r>
        <w:rPr>
          <w:rFonts w:hint="cs"/>
          <w:rtl/>
        </w:rPr>
        <w:t xml:space="preserve">למניעה </w:t>
      </w:r>
      <w:bookmarkStart w:id="49372" w:name="_ETM_Q96_361459"/>
      <w:bookmarkEnd w:id="49372"/>
      <w:r>
        <w:rPr>
          <w:rFonts w:hint="cs"/>
          <w:rtl/>
        </w:rPr>
        <w:t xml:space="preserve">וצמצום </w:t>
      </w:r>
      <w:bookmarkStart w:id="49373" w:name="_ETM_Q96_361939"/>
      <w:bookmarkEnd w:id="49373"/>
      <w:r>
        <w:rPr>
          <w:rFonts w:hint="cs"/>
          <w:rtl/>
        </w:rPr>
        <w:t xml:space="preserve">של </w:t>
      </w:r>
      <w:bookmarkStart w:id="49374" w:name="_ETM_Q96_362090"/>
      <w:bookmarkEnd w:id="49374"/>
      <w:r>
        <w:rPr>
          <w:rFonts w:hint="cs"/>
          <w:rtl/>
        </w:rPr>
        <w:t xml:space="preserve">זיהום </w:t>
      </w:r>
      <w:bookmarkStart w:id="49375" w:name="_ETM_Q96_362359"/>
      <w:bookmarkEnd w:id="49375"/>
      <w:r>
        <w:rPr>
          <w:rFonts w:hint="cs"/>
          <w:rtl/>
        </w:rPr>
        <w:t xml:space="preserve">האוויר </w:t>
      </w:r>
      <w:bookmarkStart w:id="49376" w:name="_ETM_Q96_363200"/>
      <w:bookmarkEnd w:id="49376"/>
      <w:r>
        <w:rPr>
          <w:rFonts w:hint="cs"/>
          <w:rtl/>
        </w:rPr>
        <w:t xml:space="preserve">כפי </w:t>
      </w:r>
      <w:bookmarkStart w:id="49377" w:name="_ETM_Q96_363439"/>
      <w:bookmarkEnd w:id="49377"/>
      <w:r>
        <w:rPr>
          <w:rFonts w:hint="cs"/>
          <w:rtl/>
        </w:rPr>
        <w:t xml:space="preserve">שמורה </w:t>
      </w:r>
      <w:bookmarkStart w:id="49378" w:name="_ETM_Q96_363859"/>
      <w:bookmarkEnd w:id="49378"/>
      <w:r>
        <w:rPr>
          <w:rFonts w:hint="cs"/>
          <w:rtl/>
        </w:rPr>
        <w:t xml:space="preserve">החוק. </w:t>
      </w:r>
      <w:bookmarkStart w:id="49379" w:name="_ETM_Q96_364820"/>
      <w:bookmarkEnd w:id="49379"/>
      <w:r>
        <w:rPr>
          <w:rFonts w:hint="cs"/>
          <w:rtl/>
        </w:rPr>
        <w:t xml:space="preserve">בית </w:t>
      </w:r>
      <w:bookmarkStart w:id="49380" w:name="_ETM_Q96_365090"/>
      <w:bookmarkEnd w:id="49380"/>
      <w:r>
        <w:rPr>
          <w:rFonts w:hint="cs"/>
          <w:rtl/>
        </w:rPr>
        <w:t xml:space="preserve">המשפט </w:t>
      </w:r>
      <w:bookmarkStart w:id="49381" w:name="_ETM_Q96_366209"/>
      <w:bookmarkEnd w:id="49381"/>
      <w:r>
        <w:rPr>
          <w:rFonts w:hint="cs"/>
          <w:rtl/>
        </w:rPr>
        <w:t xml:space="preserve">קצב </w:t>
      </w:r>
      <w:bookmarkStart w:id="49382" w:name="_ETM_Q96_366689"/>
      <w:bookmarkEnd w:id="49382"/>
      <w:r>
        <w:rPr>
          <w:rFonts w:hint="cs"/>
          <w:rtl/>
        </w:rPr>
        <w:t xml:space="preserve">למדינה </w:t>
      </w:r>
      <w:bookmarkStart w:id="49383" w:name="_ETM_Q96_367169"/>
      <w:bookmarkEnd w:id="49383"/>
      <w:r>
        <w:rPr>
          <w:rFonts w:hint="cs"/>
          <w:rtl/>
        </w:rPr>
        <w:t xml:space="preserve">זמן </w:t>
      </w:r>
      <w:bookmarkStart w:id="49384" w:name="_ETM_Q96_368389"/>
      <w:bookmarkEnd w:id="49384"/>
      <w:r>
        <w:rPr>
          <w:rFonts w:hint="cs"/>
          <w:rtl/>
        </w:rPr>
        <w:t xml:space="preserve">לעדכן </w:t>
      </w:r>
      <w:bookmarkStart w:id="49385" w:name="_ETM_Q96_368959"/>
      <w:bookmarkEnd w:id="49385"/>
      <w:r>
        <w:rPr>
          <w:rFonts w:hint="cs"/>
          <w:rtl/>
        </w:rPr>
        <w:t xml:space="preserve">בדבר </w:t>
      </w:r>
      <w:bookmarkStart w:id="49386" w:name="_ETM_Q96_369319"/>
      <w:bookmarkEnd w:id="49386"/>
      <w:r>
        <w:rPr>
          <w:rFonts w:hint="cs"/>
          <w:rtl/>
        </w:rPr>
        <w:t xml:space="preserve">אישור </w:t>
      </w:r>
      <w:bookmarkStart w:id="49387" w:name="_ETM_Q96_369650"/>
      <w:bookmarkEnd w:id="49387"/>
      <w:r>
        <w:rPr>
          <w:rFonts w:hint="cs"/>
          <w:rtl/>
        </w:rPr>
        <w:t xml:space="preserve">התוכנית, </w:t>
      </w:r>
      <w:bookmarkStart w:id="49388" w:name="_ETM_Q96_370099"/>
      <w:bookmarkEnd w:id="49388"/>
      <w:r>
        <w:rPr>
          <w:rFonts w:hint="cs"/>
          <w:rtl/>
        </w:rPr>
        <w:t xml:space="preserve">וכך </w:t>
      </w:r>
      <w:bookmarkStart w:id="49389" w:name="_ETM_Q96_370459"/>
      <w:bookmarkEnd w:id="49389"/>
      <w:r>
        <w:rPr>
          <w:rFonts w:hint="cs"/>
          <w:rtl/>
        </w:rPr>
        <w:t>היה</w:t>
      </w:r>
      <w:bookmarkStart w:id="49390" w:name="_ETM_Q96_370760"/>
      <w:bookmarkEnd w:id="49390"/>
      <w:r>
        <w:rPr>
          <w:rFonts w:hint="cs"/>
          <w:rtl/>
        </w:rPr>
        <w:t xml:space="preserve">. בזכות </w:t>
      </w:r>
      <w:bookmarkStart w:id="49391" w:name="_ETM_Q96_371360"/>
      <w:bookmarkEnd w:id="49391"/>
      <w:r>
        <w:rPr>
          <w:rFonts w:hint="cs"/>
          <w:rtl/>
        </w:rPr>
        <w:t xml:space="preserve">העתירה, </w:t>
      </w:r>
      <w:bookmarkStart w:id="49392" w:name="_ETM_Q96_372020"/>
      <w:bookmarkEnd w:id="49392"/>
      <w:r>
        <w:rPr>
          <w:rFonts w:hint="cs"/>
          <w:rtl/>
        </w:rPr>
        <w:t xml:space="preserve">בזכות </w:t>
      </w:r>
      <w:bookmarkStart w:id="49393" w:name="_ETM_Q96_372860"/>
      <w:bookmarkEnd w:id="49393"/>
      <w:r>
        <w:rPr>
          <w:rFonts w:hint="cs"/>
          <w:rtl/>
        </w:rPr>
        <w:t xml:space="preserve">שימוש </w:t>
      </w:r>
      <w:bookmarkStart w:id="49394" w:name="_ETM_Q96_373370"/>
      <w:bookmarkEnd w:id="49394"/>
      <w:r>
        <w:rPr>
          <w:rFonts w:hint="cs"/>
          <w:rtl/>
        </w:rPr>
        <w:t xml:space="preserve">בעילת </w:t>
      </w:r>
      <w:bookmarkStart w:id="49395" w:name="_ETM_Q96_373849"/>
      <w:bookmarkEnd w:id="49395"/>
      <w:r>
        <w:rPr>
          <w:rFonts w:hint="cs"/>
          <w:rtl/>
        </w:rPr>
        <w:t xml:space="preserve">הסבירות, </w:t>
      </w:r>
      <w:bookmarkStart w:id="49396" w:name="_ETM_Q96_374419"/>
      <w:bookmarkEnd w:id="49396"/>
      <w:r>
        <w:rPr>
          <w:rFonts w:hint="cs"/>
          <w:rtl/>
        </w:rPr>
        <w:t xml:space="preserve">המדינה </w:t>
      </w:r>
      <w:bookmarkStart w:id="49397" w:name="_ETM_Q96_374840"/>
      <w:bookmarkEnd w:id="49397"/>
      <w:r>
        <w:rPr>
          <w:rFonts w:hint="cs"/>
          <w:rtl/>
        </w:rPr>
        <w:t xml:space="preserve">עדכנה </w:t>
      </w:r>
      <w:bookmarkStart w:id="49398" w:name="_ETM_Q96_375349"/>
      <w:bookmarkEnd w:id="49398"/>
      <w:r>
        <w:rPr>
          <w:rFonts w:hint="cs"/>
          <w:rtl/>
        </w:rPr>
        <w:t xml:space="preserve">את </w:t>
      </w:r>
      <w:bookmarkStart w:id="49399" w:name="_ETM_Q96_375470"/>
      <w:bookmarkEnd w:id="49399"/>
      <w:r>
        <w:rPr>
          <w:rFonts w:hint="cs"/>
          <w:rtl/>
        </w:rPr>
        <w:t xml:space="preserve">התוכנית </w:t>
      </w:r>
      <w:bookmarkStart w:id="49400" w:name="_ETM_Q96_376319"/>
      <w:bookmarkEnd w:id="49400"/>
      <w:r>
        <w:rPr>
          <w:rFonts w:hint="cs"/>
          <w:rtl/>
        </w:rPr>
        <w:t xml:space="preserve">כמתחייב </w:t>
      </w:r>
      <w:bookmarkStart w:id="49401" w:name="_ETM_Q96_377549"/>
      <w:bookmarkEnd w:id="49401"/>
      <w:r>
        <w:rPr>
          <w:rFonts w:hint="cs"/>
          <w:rtl/>
        </w:rPr>
        <w:t xml:space="preserve">מתוקף </w:t>
      </w:r>
      <w:bookmarkStart w:id="49402" w:name="_ETM_Q96_378150"/>
      <w:bookmarkEnd w:id="49402"/>
      <w:r>
        <w:rPr>
          <w:rFonts w:hint="cs"/>
          <w:rtl/>
        </w:rPr>
        <w:t xml:space="preserve">החוק, </w:t>
      </w:r>
      <w:bookmarkStart w:id="49403" w:name="_ETM_Q96_379310"/>
      <w:bookmarkEnd w:id="49403"/>
      <w:r>
        <w:rPr>
          <w:rFonts w:hint="cs"/>
          <w:rtl/>
        </w:rPr>
        <w:t xml:space="preserve">ולכן </w:t>
      </w:r>
      <w:bookmarkStart w:id="49404" w:name="_ETM_Q96_380180"/>
      <w:bookmarkEnd w:id="49404"/>
      <w:r>
        <w:rPr>
          <w:rFonts w:hint="cs"/>
          <w:rtl/>
        </w:rPr>
        <w:t xml:space="preserve">עצרה </w:t>
      </w:r>
      <w:bookmarkStart w:id="49405" w:name="_ETM_Q96_380629"/>
      <w:bookmarkEnd w:id="49405"/>
      <w:r>
        <w:rPr>
          <w:rFonts w:hint="cs"/>
          <w:rtl/>
        </w:rPr>
        <w:t xml:space="preserve">את </w:t>
      </w:r>
      <w:bookmarkStart w:id="49406" w:name="_ETM_Q96_381050"/>
      <w:bookmarkEnd w:id="49406"/>
      <w:r>
        <w:rPr>
          <w:rFonts w:hint="cs"/>
          <w:rtl/>
        </w:rPr>
        <w:t xml:space="preserve">גרירת </w:t>
      </w:r>
      <w:bookmarkStart w:id="49407" w:name="_ETM_Q96_381530"/>
      <w:bookmarkEnd w:id="49407"/>
      <w:r>
        <w:rPr>
          <w:rFonts w:hint="cs"/>
          <w:rtl/>
        </w:rPr>
        <w:t xml:space="preserve">הרגליים </w:t>
      </w:r>
      <w:bookmarkStart w:id="49408" w:name="_ETM_Q96_382160"/>
      <w:bookmarkEnd w:id="49408"/>
      <w:r>
        <w:rPr>
          <w:rFonts w:hint="cs"/>
          <w:rtl/>
        </w:rPr>
        <w:t xml:space="preserve">ואת </w:t>
      </w:r>
      <w:bookmarkStart w:id="49409" w:name="_ETM_Q96_382370"/>
      <w:bookmarkEnd w:id="49409"/>
      <w:r>
        <w:rPr>
          <w:rFonts w:hint="cs"/>
          <w:rtl/>
        </w:rPr>
        <w:t xml:space="preserve">הסחבת </w:t>
      </w:r>
      <w:bookmarkStart w:id="49410" w:name="_ETM_Q96_383720"/>
      <w:bookmarkEnd w:id="49410"/>
      <w:r>
        <w:rPr>
          <w:rFonts w:hint="cs"/>
          <w:rtl/>
        </w:rPr>
        <w:t xml:space="preserve">ואפשרה </w:t>
      </w:r>
      <w:bookmarkStart w:id="49411" w:name="_ETM_Q96_384470"/>
      <w:bookmarkEnd w:id="49411"/>
      <w:r>
        <w:rPr>
          <w:rFonts w:hint="cs"/>
          <w:rtl/>
        </w:rPr>
        <w:t xml:space="preserve">לציבור </w:t>
      </w:r>
      <w:bookmarkStart w:id="49412" w:name="_ETM_Q96_385040"/>
      <w:bookmarkEnd w:id="49412"/>
      <w:r>
        <w:rPr>
          <w:rFonts w:hint="cs"/>
          <w:rtl/>
        </w:rPr>
        <w:t xml:space="preserve">ליהנות </w:t>
      </w:r>
      <w:bookmarkStart w:id="49413" w:name="_ETM_Q96_386040"/>
      <w:bookmarkEnd w:id="49413"/>
      <w:r>
        <w:rPr>
          <w:rFonts w:hint="cs"/>
          <w:rtl/>
        </w:rPr>
        <w:t xml:space="preserve">מתוכנית </w:t>
      </w:r>
      <w:bookmarkStart w:id="49414" w:name="_ETM_Q96_386700"/>
      <w:bookmarkEnd w:id="49414"/>
      <w:r>
        <w:rPr>
          <w:rFonts w:hint="cs"/>
          <w:rtl/>
        </w:rPr>
        <w:t xml:space="preserve">שתפחית </w:t>
      </w:r>
      <w:bookmarkStart w:id="49415" w:name="_ETM_Q96_387300"/>
      <w:bookmarkEnd w:id="49415"/>
      <w:r>
        <w:rPr>
          <w:rFonts w:hint="cs"/>
          <w:rtl/>
        </w:rPr>
        <w:t xml:space="preserve">את </w:t>
      </w:r>
      <w:bookmarkStart w:id="49416" w:name="_ETM_Q96_387419"/>
      <w:bookmarkEnd w:id="49416"/>
      <w:r>
        <w:rPr>
          <w:rFonts w:hint="cs"/>
          <w:rtl/>
        </w:rPr>
        <w:t xml:space="preserve">הזיהום, </w:t>
      </w:r>
      <w:bookmarkStart w:id="49417" w:name="_ETM_Q96_388050"/>
      <w:bookmarkEnd w:id="49417"/>
      <w:r>
        <w:rPr>
          <w:rFonts w:hint="cs"/>
          <w:rtl/>
        </w:rPr>
        <w:t xml:space="preserve">תפחית את </w:t>
      </w:r>
      <w:bookmarkStart w:id="49418" w:name="_ETM_Q96_388500"/>
      <w:bookmarkEnd w:id="49418"/>
      <w:r>
        <w:rPr>
          <w:rFonts w:hint="cs"/>
          <w:rtl/>
        </w:rPr>
        <w:t xml:space="preserve">התחלואה </w:t>
      </w:r>
      <w:bookmarkStart w:id="49419" w:name="_ETM_Q96_389610"/>
      <w:bookmarkEnd w:id="49419"/>
      <w:r>
        <w:rPr>
          <w:rFonts w:hint="cs"/>
          <w:rtl/>
        </w:rPr>
        <w:t xml:space="preserve">ותפחית </w:t>
      </w:r>
      <w:bookmarkStart w:id="49420" w:name="_ETM_Q96_390180"/>
      <w:bookmarkEnd w:id="49420"/>
      <w:r>
        <w:rPr>
          <w:rFonts w:hint="cs"/>
          <w:rtl/>
        </w:rPr>
        <w:t xml:space="preserve">את </w:t>
      </w:r>
      <w:bookmarkStart w:id="49421" w:name="_ETM_Q96_390300"/>
      <w:bookmarkEnd w:id="49421"/>
      <w:r>
        <w:rPr>
          <w:rFonts w:hint="cs"/>
          <w:rtl/>
        </w:rPr>
        <w:t xml:space="preserve">התמותה </w:t>
      </w:r>
      <w:bookmarkStart w:id="49422" w:name="_ETM_Q96_391169"/>
      <w:bookmarkEnd w:id="49422"/>
      <w:r>
        <w:rPr>
          <w:rFonts w:hint="cs"/>
          <w:rtl/>
        </w:rPr>
        <w:t xml:space="preserve">כתוצאה </w:t>
      </w:r>
      <w:bookmarkStart w:id="49423" w:name="_ETM_Q96_391770"/>
      <w:bookmarkEnd w:id="49423"/>
      <w:r>
        <w:rPr>
          <w:rFonts w:hint="cs"/>
          <w:rtl/>
        </w:rPr>
        <w:t xml:space="preserve">מזיהום </w:t>
      </w:r>
      <w:bookmarkStart w:id="49424" w:name="_ETM_Q96_392220"/>
      <w:bookmarkEnd w:id="49424"/>
      <w:r>
        <w:rPr>
          <w:rFonts w:hint="cs"/>
          <w:rtl/>
        </w:rPr>
        <w:t xml:space="preserve">האוויר. </w:t>
      </w:r>
      <w:bookmarkStart w:id="49425" w:name="_ETM_Q96_393060"/>
      <w:bookmarkEnd w:id="49425"/>
      <w:r>
        <w:rPr>
          <w:rFonts w:hint="cs"/>
          <w:rtl/>
        </w:rPr>
        <w:t xml:space="preserve">זיהום </w:t>
      </w:r>
      <w:bookmarkStart w:id="49426" w:name="_ETM_Q96_393419"/>
      <w:bookmarkEnd w:id="49426"/>
      <w:r>
        <w:rPr>
          <w:rFonts w:hint="cs"/>
          <w:rtl/>
        </w:rPr>
        <w:t xml:space="preserve">אוויר </w:t>
      </w:r>
      <w:bookmarkStart w:id="49427" w:name="_ETM_Q96_394020"/>
      <w:bookmarkEnd w:id="49427"/>
      <w:r>
        <w:rPr>
          <w:rFonts w:hint="cs"/>
          <w:rtl/>
        </w:rPr>
        <w:t xml:space="preserve">– אני </w:t>
      </w:r>
      <w:bookmarkStart w:id="49428" w:name="_ETM_Q96_394139"/>
      <w:bookmarkEnd w:id="49428"/>
      <w:r>
        <w:rPr>
          <w:rFonts w:hint="cs"/>
          <w:rtl/>
        </w:rPr>
        <w:t xml:space="preserve">לא </w:t>
      </w:r>
      <w:bookmarkStart w:id="49429" w:name="_ETM_Q96_394200"/>
      <w:bookmarkEnd w:id="49429"/>
      <w:r>
        <w:rPr>
          <w:rFonts w:hint="cs"/>
          <w:rtl/>
        </w:rPr>
        <w:t xml:space="preserve">יודע </w:t>
      </w:r>
      <w:bookmarkStart w:id="49430" w:name="_ETM_Q96_394380"/>
      <w:bookmarkEnd w:id="49430"/>
      <w:r>
        <w:rPr>
          <w:rFonts w:hint="cs"/>
          <w:rtl/>
        </w:rPr>
        <w:t xml:space="preserve">אם אתה </w:t>
      </w:r>
      <w:bookmarkStart w:id="49431" w:name="_ETM_Q96_394500"/>
      <w:bookmarkEnd w:id="49431"/>
      <w:r>
        <w:rPr>
          <w:rFonts w:hint="cs"/>
          <w:rtl/>
        </w:rPr>
        <w:t xml:space="preserve">יודע </w:t>
      </w:r>
      <w:bookmarkStart w:id="49432" w:name="_ETM_Q96_394770"/>
      <w:bookmarkEnd w:id="49432"/>
      <w:r>
        <w:rPr>
          <w:rFonts w:hint="cs"/>
          <w:rtl/>
        </w:rPr>
        <w:t xml:space="preserve">את </w:t>
      </w:r>
      <w:bookmarkStart w:id="49433" w:name="_ETM_Q96_394830"/>
      <w:bookmarkEnd w:id="49433"/>
      <w:r>
        <w:rPr>
          <w:rFonts w:hint="cs"/>
          <w:rtl/>
        </w:rPr>
        <w:t xml:space="preserve">זה, </w:t>
      </w:r>
      <w:bookmarkStart w:id="49434" w:name="_ETM_Q96_394920"/>
      <w:bookmarkEnd w:id="49434"/>
      <w:r>
        <w:rPr>
          <w:rFonts w:hint="cs"/>
          <w:rtl/>
        </w:rPr>
        <w:t xml:space="preserve">כבוד </w:t>
      </w:r>
      <w:bookmarkStart w:id="49435" w:name="_ETM_Q96_395160"/>
      <w:bookmarkEnd w:id="49435"/>
      <w:r>
        <w:rPr>
          <w:rFonts w:hint="cs"/>
          <w:rtl/>
        </w:rPr>
        <w:t xml:space="preserve">השר </w:t>
      </w:r>
      <w:bookmarkStart w:id="49436" w:name="_ETM_Q96_395910"/>
      <w:bookmarkEnd w:id="49436"/>
      <w:r>
        <w:rPr>
          <w:rFonts w:hint="cs"/>
          <w:rtl/>
        </w:rPr>
        <w:t xml:space="preserve">– הורג </w:t>
      </w:r>
      <w:bookmarkStart w:id="49437" w:name="_ETM_Q96_396239"/>
      <w:bookmarkEnd w:id="49437"/>
      <w:r>
        <w:rPr>
          <w:rFonts w:hint="cs"/>
          <w:rtl/>
        </w:rPr>
        <w:t xml:space="preserve">בישראל </w:t>
      </w:r>
      <w:bookmarkStart w:id="49438" w:name="_ETM_Q96_396660"/>
      <w:bookmarkEnd w:id="49438"/>
      <w:r>
        <w:rPr>
          <w:rFonts w:hint="cs"/>
          <w:rtl/>
        </w:rPr>
        <w:t xml:space="preserve">2,500 </w:t>
      </w:r>
      <w:bookmarkStart w:id="49439" w:name="_ETM_Q96_397950"/>
      <w:bookmarkEnd w:id="49439"/>
      <w:r>
        <w:rPr>
          <w:rFonts w:hint="cs"/>
          <w:rtl/>
        </w:rPr>
        <w:t xml:space="preserve">אנשים </w:t>
      </w:r>
      <w:bookmarkStart w:id="49440" w:name="_ETM_Q96_398400"/>
      <w:bookmarkEnd w:id="49440"/>
      <w:r>
        <w:rPr>
          <w:rFonts w:hint="cs"/>
          <w:rtl/>
        </w:rPr>
        <w:t xml:space="preserve">כל </w:t>
      </w:r>
      <w:bookmarkStart w:id="49441" w:name="_ETM_Q96_398670"/>
      <w:bookmarkEnd w:id="49441"/>
      <w:r>
        <w:rPr>
          <w:rFonts w:hint="cs"/>
          <w:rtl/>
        </w:rPr>
        <w:t xml:space="preserve">שנה. </w:t>
      </w:r>
      <w:bookmarkStart w:id="49442" w:name="_ETM_Q96_400189"/>
      <w:bookmarkEnd w:id="49442"/>
    </w:p>
    <w:p w:rsidR="00BB59CD" w:rsidRDefault="00BB59CD" w:rsidP="00BB59CD">
      <w:pPr>
        <w:rPr>
          <w:rtl/>
        </w:rPr>
      </w:pPr>
      <w:bookmarkStart w:id="49443" w:name="_ETM_Q96_399050"/>
      <w:bookmarkEnd w:id="49443"/>
    </w:p>
    <w:p w:rsidR="00BB59CD" w:rsidRDefault="00BB59CD" w:rsidP="00E315D7">
      <w:pPr>
        <w:rPr>
          <w:rtl/>
        </w:rPr>
      </w:pPr>
      <w:bookmarkStart w:id="49444" w:name="_ETM_Q96_399287"/>
      <w:bookmarkStart w:id="49445" w:name="_ETM_Q96_399334"/>
      <w:bookmarkStart w:id="49446" w:name="_ETM_Q96_399395"/>
      <w:bookmarkEnd w:id="49444"/>
      <w:bookmarkEnd w:id="49445"/>
      <w:bookmarkEnd w:id="49446"/>
      <w:r>
        <w:rPr>
          <w:rFonts w:hint="cs"/>
          <w:rtl/>
        </w:rPr>
        <w:t xml:space="preserve">עכשיו, </w:t>
      </w:r>
      <w:bookmarkStart w:id="49447" w:name="_ETM_Q96_400430"/>
      <w:bookmarkEnd w:id="49447"/>
      <w:r>
        <w:rPr>
          <w:rFonts w:hint="cs"/>
          <w:rtl/>
        </w:rPr>
        <w:t xml:space="preserve">כששאלתי </w:t>
      </w:r>
      <w:bookmarkStart w:id="49448" w:name="_ETM_Q96_400970"/>
      <w:bookmarkEnd w:id="49448"/>
      <w:r>
        <w:rPr>
          <w:rFonts w:hint="cs"/>
          <w:rtl/>
        </w:rPr>
        <w:t xml:space="preserve">את </w:t>
      </w:r>
      <w:bookmarkStart w:id="49449" w:name="_ETM_Q96_401030"/>
      <w:bookmarkEnd w:id="49449"/>
      <w:r>
        <w:rPr>
          <w:rFonts w:hint="cs"/>
          <w:rtl/>
        </w:rPr>
        <w:t xml:space="preserve">השרה </w:t>
      </w:r>
      <w:bookmarkStart w:id="49450" w:name="_ETM_Q96_401450"/>
      <w:bookmarkEnd w:id="49450"/>
      <w:r>
        <w:rPr>
          <w:rFonts w:hint="cs"/>
          <w:rtl/>
        </w:rPr>
        <w:t xml:space="preserve">סילמן, </w:t>
      </w:r>
      <w:bookmarkStart w:id="49451" w:name="_ETM_Q96_402049"/>
      <w:bookmarkEnd w:id="49451"/>
      <w:r>
        <w:rPr>
          <w:rFonts w:hint="cs"/>
          <w:rtl/>
        </w:rPr>
        <w:t xml:space="preserve">שהיא אחראית </w:t>
      </w:r>
      <w:bookmarkStart w:id="49452" w:name="_ETM_Q96_402769"/>
      <w:bookmarkEnd w:id="49452"/>
      <w:r>
        <w:rPr>
          <w:rFonts w:hint="cs"/>
          <w:rtl/>
        </w:rPr>
        <w:t>ל</w:t>
      </w:r>
      <w:bookmarkStart w:id="49453" w:name="_ETM_Q96_402860"/>
      <w:bookmarkEnd w:id="49453"/>
      <w:r>
        <w:rPr>
          <w:rFonts w:hint="cs"/>
          <w:rtl/>
        </w:rPr>
        <w:t xml:space="preserve">נושא </w:t>
      </w:r>
      <w:bookmarkStart w:id="49454" w:name="_ETM_Q96_403790"/>
      <w:bookmarkEnd w:id="49454"/>
      <w:r>
        <w:rPr>
          <w:rFonts w:hint="cs"/>
          <w:rtl/>
        </w:rPr>
        <w:t xml:space="preserve">הזה בממשלת </w:t>
      </w:r>
      <w:bookmarkStart w:id="49455" w:name="_ETM_Q96_405540"/>
      <w:bookmarkEnd w:id="49455"/>
      <w:r>
        <w:rPr>
          <w:rFonts w:hint="cs"/>
          <w:rtl/>
        </w:rPr>
        <w:t xml:space="preserve">ישראל, </w:t>
      </w:r>
      <w:bookmarkStart w:id="49456" w:name="_ETM_Q96_405930"/>
      <w:bookmarkEnd w:id="49456"/>
      <w:r>
        <w:rPr>
          <w:rFonts w:hint="cs"/>
          <w:rtl/>
        </w:rPr>
        <w:t xml:space="preserve">לנושא </w:t>
      </w:r>
      <w:bookmarkStart w:id="49457" w:name="_ETM_Q96_406170"/>
      <w:bookmarkEnd w:id="49457"/>
      <w:r>
        <w:rPr>
          <w:rFonts w:hint="cs"/>
          <w:rtl/>
        </w:rPr>
        <w:t xml:space="preserve">של </w:t>
      </w:r>
      <w:bookmarkStart w:id="49458" w:name="_ETM_Q96_406350"/>
      <w:bookmarkEnd w:id="49458"/>
      <w:r>
        <w:rPr>
          <w:rFonts w:hint="cs"/>
          <w:rtl/>
        </w:rPr>
        <w:t xml:space="preserve">שמירה </w:t>
      </w:r>
      <w:bookmarkStart w:id="49459" w:name="_ETM_Q96_406890"/>
      <w:bookmarkEnd w:id="49459"/>
      <w:r>
        <w:rPr>
          <w:rFonts w:hint="cs"/>
          <w:rtl/>
        </w:rPr>
        <w:t xml:space="preserve">על </w:t>
      </w:r>
      <w:bookmarkStart w:id="49460" w:name="_ETM_Q96_407100"/>
      <w:bookmarkEnd w:id="49460"/>
      <w:r>
        <w:rPr>
          <w:rFonts w:hint="cs"/>
          <w:rtl/>
        </w:rPr>
        <w:t xml:space="preserve">הגנת </w:t>
      </w:r>
      <w:bookmarkStart w:id="49461" w:name="_ETM_Q96_407580"/>
      <w:bookmarkEnd w:id="49461"/>
      <w:r>
        <w:rPr>
          <w:rFonts w:hint="cs"/>
          <w:rtl/>
        </w:rPr>
        <w:t xml:space="preserve">הסביבה, </w:t>
      </w:r>
      <w:bookmarkStart w:id="49462" w:name="_ETM_Q96_408150"/>
      <w:bookmarkStart w:id="49463" w:name="_ETM_Q96_408690"/>
      <w:bookmarkEnd w:id="49462"/>
      <w:bookmarkEnd w:id="49463"/>
      <w:r>
        <w:rPr>
          <w:rFonts w:hint="cs"/>
          <w:rtl/>
        </w:rPr>
        <w:t xml:space="preserve">אם </w:t>
      </w:r>
      <w:bookmarkStart w:id="49464" w:name="_ETM_Q96_409050"/>
      <w:bookmarkEnd w:id="49464"/>
      <w:r>
        <w:rPr>
          <w:rFonts w:hint="cs"/>
          <w:rtl/>
        </w:rPr>
        <w:t xml:space="preserve">היא </w:t>
      </w:r>
      <w:bookmarkStart w:id="49465" w:name="_ETM_Q96_409110"/>
      <w:bookmarkEnd w:id="49465"/>
      <w:r>
        <w:rPr>
          <w:rFonts w:hint="cs"/>
          <w:rtl/>
        </w:rPr>
        <w:t xml:space="preserve">תומכת </w:t>
      </w:r>
      <w:bookmarkStart w:id="49466" w:name="_ETM_Q96_409620"/>
      <w:bookmarkEnd w:id="49466"/>
      <w:r>
        <w:rPr>
          <w:rFonts w:hint="cs"/>
          <w:rtl/>
        </w:rPr>
        <w:t xml:space="preserve">בביטול </w:t>
      </w:r>
      <w:bookmarkStart w:id="49467" w:name="_ETM_Q96_410070"/>
      <w:bookmarkEnd w:id="49467"/>
      <w:r>
        <w:rPr>
          <w:rFonts w:hint="cs"/>
          <w:rtl/>
        </w:rPr>
        <w:t xml:space="preserve">עילת </w:t>
      </w:r>
      <w:bookmarkStart w:id="49468" w:name="_ETM_Q96_410340"/>
      <w:bookmarkEnd w:id="49468"/>
      <w:r>
        <w:rPr>
          <w:rFonts w:hint="cs"/>
          <w:rtl/>
        </w:rPr>
        <w:t xml:space="preserve">הסבירות – שכאמור </w:t>
      </w:r>
      <w:bookmarkStart w:id="49469" w:name="_ETM_Q96_413890"/>
      <w:bookmarkEnd w:id="49469"/>
      <w:r>
        <w:rPr>
          <w:rFonts w:hint="cs"/>
          <w:rtl/>
        </w:rPr>
        <w:t xml:space="preserve">היא </w:t>
      </w:r>
      <w:bookmarkStart w:id="49470" w:name="_ETM_Q96_414129"/>
      <w:bookmarkEnd w:id="49470"/>
      <w:r>
        <w:rPr>
          <w:rFonts w:hint="cs"/>
          <w:rtl/>
        </w:rPr>
        <w:t xml:space="preserve">אחד </w:t>
      </w:r>
      <w:bookmarkStart w:id="49471" w:name="_ETM_Q96_414489"/>
      <w:bookmarkEnd w:id="49471"/>
      <w:r>
        <w:rPr>
          <w:rFonts w:hint="cs"/>
          <w:rtl/>
        </w:rPr>
        <w:t xml:space="preserve">מהכלים </w:t>
      </w:r>
      <w:bookmarkStart w:id="49472" w:name="_ETM_Q96_415150"/>
      <w:bookmarkEnd w:id="49472"/>
      <w:r>
        <w:rPr>
          <w:rFonts w:hint="cs"/>
          <w:rtl/>
        </w:rPr>
        <w:t xml:space="preserve">החשובים </w:t>
      </w:r>
      <w:bookmarkStart w:id="49473" w:name="_ETM_Q96_415780"/>
      <w:bookmarkEnd w:id="49473"/>
      <w:r>
        <w:rPr>
          <w:rFonts w:hint="cs"/>
          <w:rtl/>
        </w:rPr>
        <w:t xml:space="preserve">בארגז </w:t>
      </w:r>
      <w:bookmarkStart w:id="49474" w:name="_ETM_Q96_416170"/>
      <w:bookmarkEnd w:id="49474"/>
      <w:r>
        <w:rPr>
          <w:rFonts w:hint="cs"/>
          <w:rtl/>
        </w:rPr>
        <w:t xml:space="preserve">הכלים </w:t>
      </w:r>
      <w:bookmarkStart w:id="49475" w:name="_ETM_Q96_416440"/>
      <w:bookmarkEnd w:id="49475"/>
      <w:r>
        <w:rPr>
          <w:rFonts w:hint="cs"/>
          <w:rtl/>
        </w:rPr>
        <w:t xml:space="preserve">של </w:t>
      </w:r>
      <w:bookmarkStart w:id="49476" w:name="_ETM_Q96_416590"/>
      <w:bookmarkEnd w:id="49476"/>
      <w:r>
        <w:rPr>
          <w:rFonts w:hint="cs"/>
          <w:rtl/>
        </w:rPr>
        <w:t xml:space="preserve">בית </w:t>
      </w:r>
      <w:bookmarkStart w:id="49477" w:name="_ETM_Q96_416800"/>
      <w:bookmarkEnd w:id="49477"/>
      <w:r>
        <w:rPr>
          <w:rFonts w:hint="cs"/>
          <w:rtl/>
        </w:rPr>
        <w:t xml:space="preserve">המשפט </w:t>
      </w:r>
      <w:bookmarkStart w:id="49478" w:name="_ETM_Q96_417190"/>
      <w:bookmarkEnd w:id="49478"/>
      <w:r>
        <w:rPr>
          <w:rFonts w:hint="cs"/>
          <w:rtl/>
        </w:rPr>
        <w:t xml:space="preserve">העליון </w:t>
      </w:r>
      <w:bookmarkStart w:id="49479" w:name="_ETM_Q96_417519"/>
      <w:bookmarkEnd w:id="49479"/>
      <w:r>
        <w:rPr>
          <w:rFonts w:hint="cs"/>
          <w:rtl/>
        </w:rPr>
        <w:t xml:space="preserve">בהגנה </w:t>
      </w:r>
      <w:bookmarkStart w:id="49480" w:name="_ETM_Q96_418090"/>
      <w:bookmarkEnd w:id="49480"/>
      <w:r>
        <w:rPr>
          <w:rFonts w:hint="cs"/>
          <w:rtl/>
        </w:rPr>
        <w:t xml:space="preserve">על </w:t>
      </w:r>
      <w:bookmarkStart w:id="49481" w:name="_ETM_Q96_418180"/>
      <w:bookmarkEnd w:id="49481"/>
      <w:r>
        <w:rPr>
          <w:rFonts w:hint="cs"/>
          <w:rtl/>
        </w:rPr>
        <w:t xml:space="preserve">הסביבה, </w:t>
      </w:r>
      <w:bookmarkStart w:id="49482" w:name="_ETM_Q96_418810"/>
      <w:bookmarkEnd w:id="49482"/>
      <w:r>
        <w:rPr>
          <w:rFonts w:hint="cs"/>
          <w:rtl/>
        </w:rPr>
        <w:t xml:space="preserve">בשמירה </w:t>
      </w:r>
      <w:bookmarkStart w:id="49483" w:name="_ETM_Q96_419860"/>
      <w:bookmarkEnd w:id="49483"/>
      <w:r>
        <w:rPr>
          <w:rFonts w:hint="cs"/>
          <w:rtl/>
        </w:rPr>
        <w:t xml:space="preserve">על </w:t>
      </w:r>
      <w:bookmarkStart w:id="49484" w:name="_ETM_Q96_420010"/>
      <w:bookmarkEnd w:id="49484"/>
      <w:r>
        <w:rPr>
          <w:rFonts w:hint="cs"/>
          <w:rtl/>
        </w:rPr>
        <w:t xml:space="preserve">בריאות </w:t>
      </w:r>
      <w:bookmarkStart w:id="49485" w:name="_ETM_Q96_420280"/>
      <w:bookmarkEnd w:id="49485"/>
      <w:r>
        <w:rPr>
          <w:rFonts w:hint="cs"/>
          <w:rtl/>
        </w:rPr>
        <w:t xml:space="preserve">הציבור – היא </w:t>
      </w:r>
      <w:bookmarkStart w:id="49486" w:name="_ETM_Q96_421300"/>
      <w:bookmarkEnd w:id="49486"/>
      <w:r>
        <w:rPr>
          <w:rFonts w:hint="cs"/>
          <w:rtl/>
        </w:rPr>
        <w:t xml:space="preserve">ענתה </w:t>
      </w:r>
      <w:bookmarkStart w:id="49487" w:name="_ETM_Q96_421540"/>
      <w:bookmarkEnd w:id="49487"/>
      <w:r>
        <w:rPr>
          <w:rFonts w:hint="cs"/>
          <w:rtl/>
        </w:rPr>
        <w:t xml:space="preserve">לי </w:t>
      </w:r>
      <w:bookmarkStart w:id="49488" w:name="_ETM_Q96_421660"/>
      <w:bookmarkEnd w:id="49488"/>
      <w:r>
        <w:rPr>
          <w:rFonts w:hint="cs"/>
          <w:rtl/>
        </w:rPr>
        <w:t xml:space="preserve">מעל </w:t>
      </w:r>
      <w:bookmarkStart w:id="49489" w:name="_ETM_Q96_421930"/>
      <w:bookmarkEnd w:id="49489"/>
      <w:r>
        <w:rPr>
          <w:rFonts w:hint="cs"/>
          <w:rtl/>
        </w:rPr>
        <w:t xml:space="preserve">הדוכן </w:t>
      </w:r>
      <w:bookmarkStart w:id="49490" w:name="_ETM_Q96_422290"/>
      <w:bookmarkEnd w:id="49490"/>
      <w:r>
        <w:rPr>
          <w:rFonts w:hint="cs"/>
          <w:rtl/>
        </w:rPr>
        <w:t xml:space="preserve">הזה </w:t>
      </w:r>
      <w:bookmarkStart w:id="49491" w:name="_ETM_Q96_422530"/>
      <w:bookmarkEnd w:id="49491"/>
      <w:r>
        <w:rPr>
          <w:rFonts w:hint="cs"/>
          <w:rtl/>
        </w:rPr>
        <w:t xml:space="preserve">לפני </w:t>
      </w:r>
      <w:bookmarkStart w:id="49492" w:name="_ETM_Q96_422830"/>
      <w:bookmarkEnd w:id="49492"/>
      <w:r>
        <w:rPr>
          <w:rFonts w:hint="cs"/>
          <w:rtl/>
        </w:rPr>
        <w:t xml:space="preserve">שבוע, </w:t>
      </w:r>
      <w:bookmarkStart w:id="49493" w:name="_ETM_Q96_423280"/>
      <w:bookmarkEnd w:id="49493"/>
      <w:r>
        <w:rPr>
          <w:rFonts w:hint="cs"/>
          <w:rtl/>
        </w:rPr>
        <w:t xml:space="preserve">ואני </w:t>
      </w:r>
      <w:bookmarkStart w:id="49494" w:name="_ETM_Q96_423819"/>
      <w:bookmarkEnd w:id="49494"/>
      <w:r>
        <w:rPr>
          <w:rFonts w:hint="cs"/>
          <w:rtl/>
        </w:rPr>
        <w:t xml:space="preserve">רוצה </w:t>
      </w:r>
      <w:bookmarkStart w:id="49495" w:name="_ETM_Q96_424030"/>
      <w:bookmarkEnd w:id="49495"/>
      <w:r>
        <w:rPr>
          <w:rFonts w:hint="cs"/>
          <w:rtl/>
        </w:rPr>
        <w:t xml:space="preserve">להקריא </w:t>
      </w:r>
      <w:bookmarkStart w:id="49496" w:name="_ETM_Q96_424239"/>
      <w:bookmarkEnd w:id="49496"/>
      <w:r>
        <w:rPr>
          <w:rFonts w:hint="cs"/>
          <w:rtl/>
        </w:rPr>
        <w:t xml:space="preserve">לכם </w:t>
      </w:r>
      <w:bookmarkStart w:id="49497" w:name="_ETM_Q96_424390"/>
      <w:bookmarkEnd w:id="49497"/>
      <w:r>
        <w:rPr>
          <w:rFonts w:hint="cs"/>
          <w:rtl/>
        </w:rPr>
        <w:t xml:space="preserve">את </w:t>
      </w:r>
      <w:bookmarkStart w:id="49498" w:name="_ETM_Q96_424450"/>
      <w:bookmarkEnd w:id="49498"/>
      <w:r>
        <w:rPr>
          <w:rFonts w:hint="cs"/>
          <w:rtl/>
        </w:rPr>
        <w:t xml:space="preserve">התשובה, </w:t>
      </w:r>
      <w:bookmarkStart w:id="49499" w:name="_ETM_Q96_424840"/>
      <w:bookmarkEnd w:id="49499"/>
      <w:r>
        <w:rPr>
          <w:rFonts w:hint="cs"/>
          <w:rtl/>
        </w:rPr>
        <w:t xml:space="preserve">כי </w:t>
      </w:r>
      <w:bookmarkStart w:id="49500" w:name="_ETM_Q96_425440"/>
      <w:bookmarkEnd w:id="49500"/>
      <w:r>
        <w:rPr>
          <w:rFonts w:hint="cs"/>
          <w:rtl/>
        </w:rPr>
        <w:t xml:space="preserve">אני </w:t>
      </w:r>
      <w:bookmarkStart w:id="49501" w:name="_ETM_Q96_425680"/>
      <w:bookmarkEnd w:id="49501"/>
      <w:r>
        <w:rPr>
          <w:rFonts w:hint="cs"/>
          <w:rtl/>
        </w:rPr>
        <w:t xml:space="preserve">פחות </w:t>
      </w:r>
      <w:bookmarkStart w:id="49502" w:name="_ETM_Q96_426010"/>
      <w:bookmarkEnd w:id="49502"/>
      <w:r>
        <w:rPr>
          <w:rFonts w:hint="cs"/>
          <w:rtl/>
        </w:rPr>
        <w:t xml:space="preserve">הבנתי </w:t>
      </w:r>
      <w:bookmarkStart w:id="49503" w:name="_ETM_Q96_427000"/>
      <w:bookmarkEnd w:id="49503"/>
      <w:r>
        <w:rPr>
          <w:rFonts w:hint="cs"/>
          <w:rtl/>
        </w:rPr>
        <w:t xml:space="preserve">את </w:t>
      </w:r>
      <w:bookmarkStart w:id="49504" w:name="_ETM_Q96_427150"/>
      <w:bookmarkEnd w:id="49504"/>
      <w:r>
        <w:rPr>
          <w:rFonts w:hint="cs"/>
          <w:rtl/>
        </w:rPr>
        <w:t xml:space="preserve">התשובה </w:t>
      </w:r>
      <w:bookmarkStart w:id="49505" w:name="_ETM_Q96_427540"/>
      <w:bookmarkEnd w:id="49505"/>
      <w:r>
        <w:rPr>
          <w:rFonts w:hint="cs"/>
          <w:rtl/>
        </w:rPr>
        <w:t xml:space="preserve">של </w:t>
      </w:r>
      <w:bookmarkStart w:id="49506" w:name="_ETM_Q96_427750"/>
      <w:bookmarkEnd w:id="49506"/>
      <w:r>
        <w:rPr>
          <w:rFonts w:hint="cs"/>
          <w:rtl/>
        </w:rPr>
        <w:t xml:space="preserve">השרה </w:t>
      </w:r>
      <w:bookmarkStart w:id="49507" w:name="_ETM_Q96_428410"/>
      <w:bookmarkEnd w:id="49507"/>
      <w:r>
        <w:rPr>
          <w:rFonts w:hint="cs"/>
          <w:rtl/>
        </w:rPr>
        <w:t xml:space="preserve">להגנת </w:t>
      </w:r>
      <w:bookmarkStart w:id="49508" w:name="_ETM_Q96_428890"/>
      <w:bookmarkEnd w:id="49508"/>
      <w:r>
        <w:rPr>
          <w:rFonts w:hint="cs"/>
          <w:rtl/>
        </w:rPr>
        <w:t xml:space="preserve">הסביבה. </w:t>
      </w:r>
      <w:bookmarkStart w:id="49509" w:name="_ETM_Q96_430010"/>
      <w:bookmarkStart w:id="49510" w:name="_ETM_Q96_427112"/>
      <w:bookmarkStart w:id="49511" w:name="_ETM_Q96_427183"/>
      <w:bookmarkStart w:id="49512" w:name="_ETM_Q96_427266"/>
      <w:bookmarkStart w:id="49513" w:name="_ETM_Q96_427335"/>
      <w:bookmarkEnd w:id="49509"/>
      <w:bookmarkEnd w:id="49510"/>
      <w:bookmarkEnd w:id="49511"/>
      <w:bookmarkEnd w:id="49512"/>
      <w:bookmarkEnd w:id="49513"/>
      <w:r>
        <w:rPr>
          <w:rFonts w:hint="cs"/>
          <w:rtl/>
        </w:rPr>
        <w:t xml:space="preserve">כך </w:t>
      </w:r>
      <w:bookmarkStart w:id="49514" w:name="_ETM_Q96_430879"/>
      <w:bookmarkEnd w:id="49514"/>
      <w:r>
        <w:rPr>
          <w:rFonts w:hint="cs"/>
          <w:rtl/>
        </w:rPr>
        <w:t xml:space="preserve">היא </w:t>
      </w:r>
      <w:bookmarkStart w:id="49515" w:name="_ETM_Q96_431090"/>
      <w:bookmarkStart w:id="49516" w:name="_ETM_Q96_431450"/>
      <w:bookmarkEnd w:id="49515"/>
      <w:bookmarkEnd w:id="49516"/>
      <w:r>
        <w:rPr>
          <w:rFonts w:hint="cs"/>
          <w:rtl/>
        </w:rPr>
        <w:t xml:space="preserve">אמרה </w:t>
      </w:r>
      <w:bookmarkStart w:id="49517" w:name="_ETM_Q96_431779"/>
      <w:bookmarkEnd w:id="49517"/>
      <w:r>
        <w:rPr>
          <w:rFonts w:hint="cs"/>
          <w:rtl/>
        </w:rPr>
        <w:t xml:space="preserve">לי, </w:t>
      </w:r>
      <w:bookmarkStart w:id="49518" w:name="_ETM_Q96_432049"/>
      <w:bookmarkEnd w:id="49518"/>
      <w:r>
        <w:rPr>
          <w:rFonts w:hint="cs"/>
          <w:rtl/>
        </w:rPr>
        <w:t xml:space="preserve">השיבה </w:t>
      </w:r>
      <w:bookmarkStart w:id="49519" w:name="_ETM_Q96_432439"/>
      <w:bookmarkEnd w:id="49519"/>
      <w:r>
        <w:rPr>
          <w:rFonts w:hint="cs"/>
          <w:rtl/>
        </w:rPr>
        <w:t xml:space="preserve">לי </w:t>
      </w:r>
      <w:bookmarkStart w:id="49520" w:name="_ETM_Q96_432529"/>
      <w:bookmarkEnd w:id="49520"/>
      <w:r>
        <w:rPr>
          <w:rFonts w:hint="cs"/>
          <w:rtl/>
        </w:rPr>
        <w:t xml:space="preserve">מעל </w:t>
      </w:r>
      <w:bookmarkStart w:id="49521" w:name="_ETM_Q96_432769"/>
      <w:bookmarkEnd w:id="49521"/>
      <w:r>
        <w:rPr>
          <w:rFonts w:hint="cs"/>
          <w:rtl/>
        </w:rPr>
        <w:t xml:space="preserve">הדוכן </w:t>
      </w:r>
      <w:bookmarkStart w:id="49522" w:name="_ETM_Q96_433099"/>
      <w:bookmarkEnd w:id="49522"/>
      <w:r>
        <w:rPr>
          <w:rFonts w:hint="cs"/>
          <w:rtl/>
        </w:rPr>
        <w:t xml:space="preserve">הזה, </w:t>
      </w:r>
      <w:bookmarkStart w:id="49523" w:name="_ETM_Q96_433249"/>
      <w:bookmarkEnd w:id="49523"/>
      <w:r>
        <w:rPr>
          <w:rFonts w:hint="cs"/>
          <w:rtl/>
        </w:rPr>
        <w:t xml:space="preserve">ואני </w:t>
      </w:r>
      <w:bookmarkStart w:id="49524" w:name="_ETM_Q96_433430"/>
      <w:bookmarkEnd w:id="49524"/>
      <w:r>
        <w:rPr>
          <w:rFonts w:hint="cs"/>
          <w:rtl/>
        </w:rPr>
        <w:t xml:space="preserve">מצטט: </w:t>
      </w:r>
      <w:bookmarkStart w:id="49525" w:name="_ETM_Q96_434419"/>
      <w:bookmarkEnd w:id="49525"/>
      <w:r>
        <w:rPr>
          <w:rFonts w:hint="cs"/>
          <w:rtl/>
        </w:rPr>
        <w:t xml:space="preserve">"אני </w:t>
      </w:r>
      <w:bookmarkStart w:id="49526" w:name="_ETM_Q96_434629"/>
      <w:bookmarkEnd w:id="49526"/>
      <w:r>
        <w:rPr>
          <w:rFonts w:hint="cs"/>
          <w:rtl/>
        </w:rPr>
        <w:t xml:space="preserve">חושבת </w:t>
      </w:r>
      <w:bookmarkStart w:id="49527" w:name="_ETM_Q96_435079"/>
      <w:bookmarkEnd w:id="49527"/>
      <w:r>
        <w:rPr>
          <w:rFonts w:hint="cs"/>
          <w:rtl/>
        </w:rPr>
        <w:t>שב</w:t>
      </w:r>
      <w:bookmarkStart w:id="49528" w:name="_ETM_Q96_435319"/>
      <w:bookmarkEnd w:id="49528"/>
      <w:r>
        <w:rPr>
          <w:rFonts w:hint="cs"/>
          <w:rtl/>
        </w:rPr>
        <w:t xml:space="preserve">הגנה </w:t>
      </w:r>
      <w:bookmarkStart w:id="49529" w:name="_ETM_Q96_435650"/>
      <w:bookmarkEnd w:id="49529"/>
      <w:r>
        <w:rPr>
          <w:rFonts w:hint="cs"/>
          <w:rtl/>
        </w:rPr>
        <w:t xml:space="preserve">על </w:t>
      </w:r>
      <w:bookmarkStart w:id="49530" w:name="_ETM_Q96_435739"/>
      <w:bookmarkEnd w:id="49530"/>
      <w:r>
        <w:rPr>
          <w:rFonts w:hint="cs"/>
          <w:rtl/>
        </w:rPr>
        <w:t xml:space="preserve">הסביבה, </w:t>
      </w:r>
      <w:bookmarkStart w:id="49531" w:name="_ETM_Q96_436190"/>
      <w:bookmarkEnd w:id="49531"/>
      <w:r>
        <w:rPr>
          <w:rFonts w:hint="cs"/>
          <w:rtl/>
        </w:rPr>
        <w:t xml:space="preserve">תאמין </w:t>
      </w:r>
      <w:bookmarkStart w:id="49532" w:name="_ETM_Q96_436699"/>
      <w:bookmarkEnd w:id="49532"/>
      <w:r>
        <w:rPr>
          <w:rFonts w:hint="cs"/>
          <w:rtl/>
        </w:rPr>
        <w:t>לי</w:t>
      </w:r>
      <w:bookmarkStart w:id="49533" w:name="_ETM_Q96_436849"/>
      <w:bookmarkEnd w:id="49533"/>
      <w:r>
        <w:rPr>
          <w:rFonts w:hint="cs"/>
          <w:rtl/>
        </w:rPr>
        <w:t xml:space="preserve">, זה </w:t>
      </w:r>
      <w:bookmarkStart w:id="49534" w:name="_ETM_Q96_437000"/>
      <w:bookmarkEnd w:id="49534"/>
      <w:r>
        <w:rPr>
          <w:rFonts w:hint="cs"/>
          <w:rtl/>
        </w:rPr>
        <w:t xml:space="preserve">לא </w:t>
      </w:r>
      <w:bookmarkStart w:id="49535" w:name="_ETM_Q96_437120"/>
      <w:bookmarkEnd w:id="49535"/>
      <w:r>
        <w:rPr>
          <w:rFonts w:hint="cs"/>
          <w:rtl/>
        </w:rPr>
        <w:t xml:space="preserve">יפגע </w:t>
      </w:r>
      <w:bookmarkStart w:id="49536" w:name="_ETM_Q96_438170"/>
      <w:bookmarkEnd w:id="49536"/>
      <w:r>
        <w:rPr>
          <w:rFonts w:hint="cs"/>
          <w:rtl/>
        </w:rPr>
        <w:t xml:space="preserve">ואין </w:t>
      </w:r>
      <w:bookmarkStart w:id="49537" w:name="_ETM_Q96_438620"/>
      <w:bookmarkEnd w:id="49537"/>
      <w:r>
        <w:rPr>
          <w:rFonts w:hint="cs"/>
          <w:rtl/>
        </w:rPr>
        <w:t xml:space="preserve">סיבה </w:t>
      </w:r>
      <w:bookmarkStart w:id="49538" w:name="_ETM_Q96_439010"/>
      <w:bookmarkEnd w:id="49538"/>
      <w:r>
        <w:rPr>
          <w:rFonts w:hint="cs"/>
          <w:rtl/>
        </w:rPr>
        <w:t xml:space="preserve">שזה </w:t>
      </w:r>
      <w:bookmarkStart w:id="49539" w:name="_ETM_Q96_439310"/>
      <w:bookmarkEnd w:id="49539"/>
      <w:r>
        <w:rPr>
          <w:rFonts w:hint="cs"/>
          <w:rtl/>
        </w:rPr>
        <w:t xml:space="preserve">יפגע. </w:t>
      </w:r>
      <w:bookmarkStart w:id="49540" w:name="_ETM_Q96_440210"/>
      <w:bookmarkEnd w:id="49540"/>
      <w:r>
        <w:rPr>
          <w:rFonts w:hint="cs"/>
          <w:rtl/>
        </w:rPr>
        <w:t xml:space="preserve">באמת, </w:t>
      </w:r>
      <w:bookmarkStart w:id="49541" w:name="_ETM_Q96_440900"/>
      <w:bookmarkEnd w:id="49541"/>
      <w:r>
        <w:rPr>
          <w:rFonts w:hint="cs"/>
          <w:rtl/>
        </w:rPr>
        <w:t xml:space="preserve">עילת </w:t>
      </w:r>
      <w:bookmarkStart w:id="49542" w:name="_ETM_Q96_441200"/>
      <w:bookmarkEnd w:id="49542"/>
      <w:r>
        <w:rPr>
          <w:rFonts w:hint="cs"/>
          <w:rtl/>
        </w:rPr>
        <w:t xml:space="preserve">הסבירות, </w:t>
      </w:r>
      <w:bookmarkStart w:id="49543" w:name="_ETM_Q96_441680"/>
      <w:bookmarkEnd w:id="49543"/>
      <w:r>
        <w:rPr>
          <w:rFonts w:hint="cs"/>
          <w:rtl/>
        </w:rPr>
        <w:t xml:space="preserve">כפי </w:t>
      </w:r>
      <w:bookmarkStart w:id="49544" w:name="_ETM_Q96_441890"/>
      <w:bookmarkEnd w:id="49544"/>
      <w:r>
        <w:rPr>
          <w:rFonts w:hint="cs"/>
          <w:rtl/>
        </w:rPr>
        <w:t xml:space="preserve">- - - הפחידו </w:t>
      </w:r>
      <w:bookmarkStart w:id="49545" w:name="_ETM_Q96_442430"/>
      <w:bookmarkEnd w:id="49545"/>
      <w:r>
        <w:rPr>
          <w:rFonts w:hint="cs"/>
          <w:rtl/>
        </w:rPr>
        <w:t xml:space="preserve">חצי </w:t>
      </w:r>
      <w:bookmarkStart w:id="49546" w:name="_ETM_Q96_442730"/>
      <w:bookmarkEnd w:id="49546"/>
      <w:r>
        <w:rPr>
          <w:rFonts w:hint="cs"/>
          <w:rtl/>
        </w:rPr>
        <w:t xml:space="preserve">מדינה </w:t>
      </w:r>
      <w:bookmarkStart w:id="49547" w:name="_ETM_Q96_443210"/>
      <w:bookmarkEnd w:id="49547"/>
      <w:r>
        <w:rPr>
          <w:rFonts w:hint="cs"/>
          <w:rtl/>
        </w:rPr>
        <w:t xml:space="preserve">פה </w:t>
      </w:r>
      <w:bookmarkStart w:id="49548" w:name="_ETM_Q96_444070"/>
      <w:bookmarkEnd w:id="49548"/>
      <w:r>
        <w:rPr>
          <w:rFonts w:hint="cs"/>
          <w:rtl/>
        </w:rPr>
        <w:t xml:space="preserve">על </w:t>
      </w:r>
      <w:bookmarkStart w:id="49549" w:name="_ETM_Q96_444250"/>
      <w:bookmarkEnd w:id="49549"/>
      <w:r>
        <w:rPr>
          <w:rFonts w:hint="cs"/>
          <w:rtl/>
        </w:rPr>
        <w:t xml:space="preserve">מה </w:t>
      </w:r>
      <w:bookmarkStart w:id="49550" w:name="_ETM_Q96_444400"/>
      <w:bookmarkEnd w:id="49550"/>
      <w:r>
        <w:rPr>
          <w:rFonts w:hint="cs"/>
          <w:rtl/>
        </w:rPr>
        <w:t xml:space="preserve">זאת </w:t>
      </w:r>
      <w:bookmarkStart w:id="49551" w:name="_ETM_Q96_444580"/>
      <w:bookmarkEnd w:id="49551"/>
      <w:r>
        <w:rPr>
          <w:rFonts w:hint="cs"/>
          <w:rtl/>
        </w:rPr>
        <w:t xml:space="preserve">עילת </w:t>
      </w:r>
      <w:bookmarkStart w:id="49552" w:name="_ETM_Q96_444850"/>
      <w:bookmarkEnd w:id="49552"/>
      <w:r>
        <w:rPr>
          <w:rFonts w:hint="cs"/>
          <w:rtl/>
        </w:rPr>
        <w:t xml:space="preserve">הסבירות </w:t>
      </w:r>
      <w:bookmarkStart w:id="49553" w:name="_ETM_Q96_445360"/>
      <w:bookmarkEnd w:id="49553"/>
      <w:r>
        <w:rPr>
          <w:rFonts w:hint="cs"/>
          <w:rtl/>
        </w:rPr>
        <w:t xml:space="preserve">ומה </w:t>
      </w:r>
      <w:bookmarkStart w:id="49554" w:name="_ETM_Q96_445630"/>
      <w:bookmarkEnd w:id="49554"/>
      <w:r>
        <w:rPr>
          <w:rFonts w:hint="cs"/>
          <w:rtl/>
        </w:rPr>
        <w:t xml:space="preserve">הולך </w:t>
      </w:r>
      <w:bookmarkStart w:id="49555" w:name="_ETM_Q96_445870"/>
      <w:bookmarkEnd w:id="49555"/>
      <w:r>
        <w:rPr>
          <w:rFonts w:hint="cs"/>
          <w:rtl/>
        </w:rPr>
        <w:t xml:space="preserve">להיות </w:t>
      </w:r>
      <w:bookmarkStart w:id="49556" w:name="_ETM_Q96_446170"/>
      <w:bookmarkEnd w:id="49556"/>
      <w:r>
        <w:rPr>
          <w:rFonts w:hint="cs"/>
          <w:rtl/>
        </w:rPr>
        <w:t xml:space="preserve">עם </w:t>
      </w:r>
      <w:bookmarkStart w:id="49557" w:name="_ETM_Q96_446260"/>
      <w:bookmarkEnd w:id="49557"/>
      <w:r>
        <w:rPr>
          <w:rFonts w:hint="cs"/>
          <w:rtl/>
        </w:rPr>
        <w:t xml:space="preserve">עילת </w:t>
      </w:r>
      <w:bookmarkStart w:id="49558" w:name="_ETM_Q96_446529"/>
      <w:bookmarkEnd w:id="49558"/>
      <w:r>
        <w:rPr>
          <w:rFonts w:hint="cs"/>
          <w:rtl/>
        </w:rPr>
        <w:t xml:space="preserve"> הסבירות, </w:t>
      </w:r>
      <w:bookmarkStart w:id="49559" w:name="_ETM_Q96_447520"/>
      <w:bookmarkEnd w:id="49559"/>
      <w:r>
        <w:rPr>
          <w:rFonts w:hint="cs"/>
          <w:rtl/>
        </w:rPr>
        <w:t xml:space="preserve">דברים </w:t>
      </w:r>
      <w:bookmarkStart w:id="49560" w:name="_ETM_Q96_447880"/>
      <w:bookmarkEnd w:id="49560"/>
      <w:r>
        <w:rPr>
          <w:rFonts w:hint="cs"/>
          <w:rtl/>
        </w:rPr>
        <w:t xml:space="preserve">שאין </w:t>
      </w:r>
      <w:bookmarkStart w:id="49561" w:name="_ETM_Q96_448150"/>
      <w:bookmarkStart w:id="49562" w:name="_ETM_Q96_448510"/>
      <w:bookmarkEnd w:id="49561"/>
      <w:bookmarkEnd w:id="49562"/>
      <w:r>
        <w:rPr>
          <w:rFonts w:hint="cs"/>
          <w:rtl/>
        </w:rPr>
        <w:t xml:space="preserve">שום </w:t>
      </w:r>
      <w:bookmarkStart w:id="49563" w:name="_ETM_Q96_448720"/>
      <w:bookmarkEnd w:id="49563"/>
      <w:r>
        <w:rPr>
          <w:rFonts w:hint="cs"/>
          <w:rtl/>
        </w:rPr>
        <w:t xml:space="preserve">קשר </w:t>
      </w:r>
      <w:bookmarkStart w:id="49564" w:name="_ETM_Q96_449080"/>
      <w:bookmarkEnd w:id="49564"/>
      <w:r>
        <w:rPr>
          <w:rFonts w:hint="cs"/>
          <w:rtl/>
        </w:rPr>
        <w:t xml:space="preserve">ביניהם למציאות. </w:t>
      </w:r>
      <w:bookmarkStart w:id="49565" w:name="_ETM_Q96_449710"/>
      <w:bookmarkEnd w:id="49565"/>
      <w:r>
        <w:rPr>
          <w:rFonts w:hint="cs"/>
          <w:rtl/>
        </w:rPr>
        <w:t xml:space="preserve">כמו אלה שמפגינים על דמוקרטיה ולא מבינים שהם לא דמוקרטיים בעליל - - - </w:t>
      </w:r>
      <w:bookmarkStart w:id="49566" w:name="_ETM_Q96_455199"/>
      <w:bookmarkStart w:id="49567" w:name="_ETM_Q96_455379"/>
      <w:bookmarkEnd w:id="49566"/>
      <w:bookmarkEnd w:id="49567"/>
      <w:r>
        <w:rPr>
          <w:rFonts w:hint="cs"/>
          <w:rtl/>
        </w:rPr>
        <w:t xml:space="preserve">אז אני רק אומרת לך שמה שעילת הסבירות צריכה לשמור עליו, היא תמשיך לשמור עליו. </w:t>
      </w:r>
      <w:bookmarkStart w:id="49568" w:name="_ETM_Q96_461940"/>
      <w:bookmarkEnd w:id="49568"/>
      <w:r>
        <w:rPr>
          <w:rFonts w:hint="cs"/>
          <w:rtl/>
        </w:rPr>
        <w:t>דברים שהיא לא צריכה לשמור עליהם, כמו למשל לבטל החלטות של ממשלה שנקבעו בסמכות של הממשלה – כי עוד פעם, לא הצלחנו להבין מה זה אומר הרוב הדמוקרטי במדינה, אז על זה החוק הזה ישמור".</w:t>
      </w:r>
    </w:p>
    <w:p w:rsidR="00BB59CD" w:rsidRDefault="00BB59CD" w:rsidP="00BB59CD">
      <w:pPr>
        <w:rPr>
          <w:rtl/>
        </w:rPr>
      </w:pPr>
      <w:bookmarkStart w:id="49569" w:name="_ETM_Q96_479165"/>
      <w:bookmarkStart w:id="49570" w:name="_ETM_Q96_479256"/>
      <w:bookmarkEnd w:id="49569"/>
      <w:bookmarkEnd w:id="49570"/>
      <w:r>
        <w:rPr>
          <w:rFonts w:hint="cs"/>
          <w:rtl/>
        </w:rPr>
        <w:t xml:space="preserve"> </w:t>
      </w:r>
      <w:bookmarkStart w:id="49571" w:name="_ETM_Q96_478409"/>
      <w:bookmarkEnd w:id="49571"/>
    </w:p>
    <w:p w:rsidR="00BB59CD" w:rsidRDefault="00BB59CD" w:rsidP="00BB59CD">
      <w:pPr>
        <w:rPr>
          <w:rtl/>
        </w:rPr>
      </w:pPr>
      <w:bookmarkStart w:id="49572" w:name="_ETM_Q96_480302"/>
      <w:bookmarkStart w:id="49573" w:name="_ETM_Q96_480356"/>
      <w:bookmarkEnd w:id="49572"/>
      <w:bookmarkEnd w:id="49573"/>
      <w:r>
        <w:rPr>
          <w:rFonts w:hint="cs"/>
          <w:rtl/>
        </w:rPr>
        <w:t xml:space="preserve">זאת </w:t>
      </w:r>
      <w:bookmarkStart w:id="49574" w:name="_ETM_Q96_478589"/>
      <w:bookmarkEnd w:id="49574"/>
      <w:r>
        <w:rPr>
          <w:rFonts w:hint="cs"/>
          <w:rtl/>
        </w:rPr>
        <w:t xml:space="preserve">התשובה </w:t>
      </w:r>
      <w:bookmarkStart w:id="49575" w:name="_ETM_Q96_479009"/>
      <w:bookmarkEnd w:id="49575"/>
      <w:r>
        <w:rPr>
          <w:rFonts w:hint="cs"/>
          <w:rtl/>
        </w:rPr>
        <w:t xml:space="preserve">של </w:t>
      </w:r>
      <w:bookmarkStart w:id="49576" w:name="_ETM_Q96_479159"/>
      <w:bookmarkEnd w:id="49576"/>
      <w:r>
        <w:rPr>
          <w:rFonts w:hint="cs"/>
          <w:rtl/>
        </w:rPr>
        <w:t xml:space="preserve">השרה </w:t>
      </w:r>
      <w:bookmarkStart w:id="49577" w:name="_ETM_Q96_479520"/>
      <w:bookmarkEnd w:id="49577"/>
      <w:r>
        <w:rPr>
          <w:rFonts w:hint="cs"/>
          <w:rtl/>
        </w:rPr>
        <w:t xml:space="preserve">להגנת </w:t>
      </w:r>
      <w:bookmarkStart w:id="49578" w:name="_ETM_Q96_479909"/>
      <w:bookmarkEnd w:id="49578"/>
      <w:r>
        <w:rPr>
          <w:rFonts w:hint="cs"/>
          <w:rtl/>
        </w:rPr>
        <w:t xml:space="preserve">הסביבה, </w:t>
      </w:r>
      <w:bookmarkStart w:id="49579" w:name="_ETM_Q96_480539"/>
      <w:bookmarkEnd w:id="49579"/>
      <w:r>
        <w:rPr>
          <w:rFonts w:hint="cs"/>
          <w:rtl/>
        </w:rPr>
        <w:t xml:space="preserve">שאחראית </w:t>
      </w:r>
      <w:bookmarkStart w:id="49580" w:name="_ETM_Q96_480000"/>
      <w:bookmarkStart w:id="49581" w:name="_ETM_Q96_480299"/>
      <w:bookmarkEnd w:id="49580"/>
      <w:bookmarkEnd w:id="49581"/>
      <w:r>
        <w:rPr>
          <w:rFonts w:hint="cs"/>
          <w:rtl/>
        </w:rPr>
        <w:t xml:space="preserve">להגנת </w:t>
      </w:r>
      <w:bookmarkStart w:id="49582" w:name="_ETM_Q96_480719"/>
      <w:bookmarkEnd w:id="49582"/>
      <w:r>
        <w:rPr>
          <w:rFonts w:hint="cs"/>
          <w:rtl/>
        </w:rPr>
        <w:t xml:space="preserve">הסביבה </w:t>
      </w:r>
      <w:bookmarkStart w:id="49583" w:name="_ETM_Q96_481350"/>
      <w:bookmarkStart w:id="49584" w:name="_ETM_Q96_482610"/>
      <w:bookmarkStart w:id="49585" w:name="_ETM_Q96_483979"/>
      <w:bookmarkEnd w:id="49583"/>
      <w:bookmarkEnd w:id="49584"/>
      <w:bookmarkEnd w:id="49585"/>
      <w:r>
        <w:rPr>
          <w:rFonts w:hint="cs"/>
          <w:rtl/>
        </w:rPr>
        <w:t xml:space="preserve">בממשלת </w:t>
      </w:r>
      <w:bookmarkStart w:id="49586" w:name="_ETM_Q96_484700"/>
      <w:bookmarkEnd w:id="49586"/>
      <w:r>
        <w:rPr>
          <w:rFonts w:hint="cs"/>
          <w:rtl/>
        </w:rPr>
        <w:t xml:space="preserve">ישראל, </w:t>
      </w:r>
      <w:bookmarkStart w:id="49587" w:name="_ETM_Q96_485240"/>
      <w:bookmarkEnd w:id="49587"/>
      <w:r>
        <w:rPr>
          <w:rFonts w:hint="cs"/>
          <w:rtl/>
        </w:rPr>
        <w:t xml:space="preserve">על </w:t>
      </w:r>
      <w:bookmarkStart w:id="49588" w:name="_ETM_Q96_485330"/>
      <w:bookmarkEnd w:id="49588"/>
      <w:r>
        <w:rPr>
          <w:rFonts w:hint="cs"/>
          <w:rtl/>
        </w:rPr>
        <w:t xml:space="preserve">ביטול </w:t>
      </w:r>
      <w:bookmarkStart w:id="49589" w:name="_ETM_Q96_485660"/>
      <w:bookmarkEnd w:id="49589"/>
      <w:r>
        <w:rPr>
          <w:rFonts w:hint="cs"/>
          <w:rtl/>
        </w:rPr>
        <w:t xml:space="preserve">עילת </w:t>
      </w:r>
      <w:bookmarkStart w:id="49590" w:name="_ETM_Q96_485899"/>
      <w:bookmarkEnd w:id="49590"/>
      <w:r>
        <w:rPr>
          <w:rFonts w:hint="cs"/>
          <w:rtl/>
        </w:rPr>
        <w:t xml:space="preserve">הסבירות. </w:t>
      </w:r>
      <w:bookmarkStart w:id="49591" w:name="_ETM_Q96_487069"/>
      <w:bookmarkEnd w:id="49591"/>
      <w:r>
        <w:rPr>
          <w:rFonts w:hint="cs"/>
          <w:rtl/>
        </w:rPr>
        <w:t xml:space="preserve">אני </w:t>
      </w:r>
      <w:bookmarkStart w:id="49592" w:name="_ETM_Q96_487309"/>
      <w:bookmarkEnd w:id="49592"/>
      <w:r>
        <w:rPr>
          <w:rFonts w:hint="cs"/>
          <w:rtl/>
        </w:rPr>
        <w:t xml:space="preserve">לא </w:t>
      </w:r>
      <w:bookmarkStart w:id="49593" w:name="_ETM_Q96_487459"/>
      <w:bookmarkEnd w:id="49593"/>
      <w:r>
        <w:rPr>
          <w:rFonts w:hint="cs"/>
          <w:rtl/>
        </w:rPr>
        <w:t xml:space="preserve">הבנתי. </w:t>
      </w:r>
      <w:bookmarkStart w:id="49594" w:name="_ETM_Q96_488500"/>
      <w:bookmarkEnd w:id="49594"/>
      <w:r>
        <w:rPr>
          <w:rFonts w:hint="cs"/>
          <w:rtl/>
        </w:rPr>
        <w:t xml:space="preserve">אני </w:t>
      </w:r>
      <w:bookmarkStart w:id="49595" w:name="_ETM_Q96_488740"/>
      <w:bookmarkEnd w:id="49595"/>
      <w:r>
        <w:rPr>
          <w:rFonts w:hint="cs"/>
          <w:rtl/>
        </w:rPr>
        <w:t xml:space="preserve">מקווה </w:t>
      </w:r>
      <w:bookmarkStart w:id="49596" w:name="_ETM_Q96_489040"/>
      <w:bookmarkEnd w:id="49596"/>
      <w:r>
        <w:rPr>
          <w:rFonts w:hint="cs"/>
          <w:rtl/>
        </w:rPr>
        <w:t xml:space="preserve">שאולי </w:t>
      </w:r>
      <w:bookmarkStart w:id="49597" w:name="_ETM_Q96_489430"/>
      <w:bookmarkEnd w:id="49597"/>
      <w:r>
        <w:rPr>
          <w:rFonts w:hint="cs"/>
          <w:rtl/>
        </w:rPr>
        <w:t xml:space="preserve">אתה </w:t>
      </w:r>
      <w:bookmarkStart w:id="49598" w:name="_ETM_Q96_489670"/>
      <w:bookmarkEnd w:id="49598"/>
      <w:r>
        <w:rPr>
          <w:rFonts w:hint="cs"/>
          <w:rtl/>
        </w:rPr>
        <w:t xml:space="preserve">הבנת, </w:t>
      </w:r>
      <w:bookmarkStart w:id="49599" w:name="_ETM_Q96_490210"/>
      <w:bookmarkEnd w:id="49599"/>
      <w:r>
        <w:rPr>
          <w:rFonts w:hint="cs"/>
          <w:rtl/>
        </w:rPr>
        <w:t xml:space="preserve">השר </w:t>
      </w:r>
      <w:bookmarkStart w:id="49600" w:name="_ETM_Q96_490480"/>
      <w:bookmarkEnd w:id="49600"/>
      <w:r>
        <w:rPr>
          <w:rFonts w:hint="cs"/>
          <w:rtl/>
        </w:rPr>
        <w:t xml:space="preserve">ברקת, </w:t>
      </w:r>
      <w:bookmarkStart w:id="49601" w:name="_ETM_Q96_491260"/>
      <w:bookmarkEnd w:id="49601"/>
      <w:r>
        <w:rPr>
          <w:rFonts w:hint="cs"/>
          <w:rtl/>
        </w:rPr>
        <w:t xml:space="preserve">ואם </w:t>
      </w:r>
      <w:bookmarkStart w:id="49602" w:name="_ETM_Q96_491530"/>
      <w:bookmarkEnd w:id="49602"/>
      <w:r>
        <w:rPr>
          <w:rFonts w:hint="cs"/>
          <w:rtl/>
        </w:rPr>
        <w:t xml:space="preserve">כן </w:t>
      </w:r>
      <w:bookmarkStart w:id="49603" w:name="_ETM_Q96_491740"/>
      <w:bookmarkEnd w:id="49603"/>
      <w:r>
        <w:rPr>
          <w:rFonts w:hint="cs"/>
          <w:rtl/>
        </w:rPr>
        <w:t xml:space="preserve">הבנת, </w:t>
      </w:r>
      <w:bookmarkStart w:id="49604" w:name="_ETM_Q96_492130"/>
      <w:bookmarkEnd w:id="49604"/>
      <w:r>
        <w:rPr>
          <w:rFonts w:hint="cs"/>
          <w:rtl/>
        </w:rPr>
        <w:t xml:space="preserve">אני </w:t>
      </w:r>
      <w:bookmarkStart w:id="49605" w:name="_ETM_Q96_492220"/>
      <w:bookmarkEnd w:id="49605"/>
      <w:r>
        <w:rPr>
          <w:rFonts w:hint="cs"/>
          <w:rtl/>
        </w:rPr>
        <w:t xml:space="preserve">אשמח </w:t>
      </w:r>
      <w:bookmarkStart w:id="49606" w:name="_ETM_Q96_492460"/>
      <w:bookmarkEnd w:id="49606"/>
      <w:r>
        <w:rPr>
          <w:rFonts w:hint="cs"/>
          <w:rtl/>
        </w:rPr>
        <w:t xml:space="preserve">שתבהיר </w:t>
      </w:r>
      <w:bookmarkStart w:id="49607" w:name="_ETM_Q96_492850"/>
      <w:bookmarkEnd w:id="49607"/>
      <w:r>
        <w:rPr>
          <w:rFonts w:hint="cs"/>
          <w:rtl/>
        </w:rPr>
        <w:t xml:space="preserve">לי </w:t>
      </w:r>
      <w:bookmarkStart w:id="49608" w:name="_ETM_Q96_492940"/>
      <w:bookmarkEnd w:id="49608"/>
      <w:r>
        <w:rPr>
          <w:rFonts w:hint="cs"/>
          <w:rtl/>
        </w:rPr>
        <w:t xml:space="preserve">את </w:t>
      </w:r>
      <w:bookmarkStart w:id="49609" w:name="_ETM_Q96_493000"/>
      <w:bookmarkEnd w:id="49609"/>
      <w:r>
        <w:rPr>
          <w:rFonts w:hint="cs"/>
          <w:rtl/>
        </w:rPr>
        <w:t xml:space="preserve">התשובה </w:t>
      </w:r>
      <w:bookmarkStart w:id="49610" w:name="_ETM_Q96_493389"/>
      <w:bookmarkEnd w:id="49610"/>
      <w:r>
        <w:rPr>
          <w:rFonts w:hint="cs"/>
          <w:rtl/>
        </w:rPr>
        <w:t xml:space="preserve">של </w:t>
      </w:r>
      <w:bookmarkStart w:id="49611" w:name="_ETM_Q96_493570"/>
      <w:bookmarkEnd w:id="49611"/>
      <w:r>
        <w:rPr>
          <w:rFonts w:hint="cs"/>
          <w:rtl/>
        </w:rPr>
        <w:t xml:space="preserve">השרה </w:t>
      </w:r>
      <w:bookmarkStart w:id="49612" w:name="_ETM_Q96_493870"/>
      <w:bookmarkEnd w:id="49612"/>
      <w:r>
        <w:rPr>
          <w:rFonts w:hint="cs"/>
          <w:rtl/>
        </w:rPr>
        <w:t xml:space="preserve">סילמן, </w:t>
      </w:r>
      <w:bookmarkStart w:id="49613" w:name="_ETM_Q96_494800"/>
      <w:bookmarkEnd w:id="49613"/>
      <w:r>
        <w:rPr>
          <w:rFonts w:hint="cs"/>
          <w:rtl/>
        </w:rPr>
        <w:t xml:space="preserve">שאמונה </w:t>
      </w:r>
      <w:bookmarkStart w:id="49614" w:name="_ETM_Q96_495920"/>
      <w:bookmarkEnd w:id="49614"/>
      <w:r>
        <w:rPr>
          <w:rFonts w:hint="cs"/>
          <w:rtl/>
        </w:rPr>
        <w:t xml:space="preserve">על </w:t>
      </w:r>
      <w:bookmarkStart w:id="49615" w:name="_ETM_Q96_496070"/>
      <w:bookmarkEnd w:id="49615"/>
      <w:r>
        <w:rPr>
          <w:rFonts w:hint="cs"/>
          <w:rtl/>
        </w:rPr>
        <w:t xml:space="preserve">הגנת </w:t>
      </w:r>
      <w:bookmarkStart w:id="49616" w:name="_ETM_Q96_496430"/>
      <w:bookmarkEnd w:id="49616"/>
      <w:r>
        <w:rPr>
          <w:rFonts w:hint="cs"/>
          <w:rtl/>
        </w:rPr>
        <w:t xml:space="preserve">הסביבה </w:t>
      </w:r>
      <w:bookmarkStart w:id="49617" w:name="_ETM_Q96_496880"/>
      <w:bookmarkEnd w:id="49617"/>
      <w:r>
        <w:rPr>
          <w:rFonts w:hint="cs"/>
          <w:rtl/>
        </w:rPr>
        <w:t xml:space="preserve">במדינת </w:t>
      </w:r>
      <w:bookmarkStart w:id="49618" w:name="_ETM_Q96_497390"/>
      <w:bookmarkEnd w:id="49618"/>
      <w:r>
        <w:rPr>
          <w:rFonts w:hint="cs"/>
          <w:rtl/>
        </w:rPr>
        <w:t xml:space="preserve">ישראל. </w:t>
      </w:r>
      <w:bookmarkStart w:id="49619" w:name="_ETM_Q96_499180"/>
      <w:bookmarkEnd w:id="49619"/>
    </w:p>
    <w:p w:rsidR="00BB59CD" w:rsidRDefault="00BB59CD" w:rsidP="00BB59CD">
      <w:pPr>
        <w:rPr>
          <w:rtl/>
        </w:rPr>
      </w:pPr>
      <w:bookmarkStart w:id="49620" w:name="_ETM_Q96_499552"/>
      <w:bookmarkStart w:id="49621" w:name="_ETM_Q96_499616"/>
      <w:bookmarkEnd w:id="49620"/>
      <w:bookmarkEnd w:id="49621"/>
    </w:p>
    <w:p w:rsidR="00BB59CD" w:rsidRDefault="00BB59CD" w:rsidP="00E315D7">
      <w:pPr>
        <w:rPr>
          <w:rtl/>
        </w:rPr>
      </w:pPr>
      <w:bookmarkStart w:id="49622" w:name="_ETM_Q96_499704"/>
      <w:bookmarkStart w:id="49623" w:name="_ETM_Q96_499784"/>
      <w:bookmarkEnd w:id="49622"/>
      <w:bookmarkEnd w:id="49623"/>
      <w:r>
        <w:rPr>
          <w:rFonts w:hint="cs"/>
          <w:rtl/>
        </w:rPr>
        <w:t xml:space="preserve">אני </w:t>
      </w:r>
      <w:bookmarkStart w:id="49624" w:name="_ETM_Q96_499360"/>
      <w:bookmarkEnd w:id="49624"/>
      <w:r>
        <w:rPr>
          <w:rFonts w:hint="cs"/>
          <w:rtl/>
        </w:rPr>
        <w:t xml:space="preserve">רוצה </w:t>
      </w:r>
      <w:bookmarkStart w:id="49625" w:name="_ETM_Q96_499510"/>
      <w:bookmarkEnd w:id="49625"/>
      <w:r>
        <w:rPr>
          <w:rFonts w:hint="cs"/>
          <w:rtl/>
        </w:rPr>
        <w:t xml:space="preserve">לגעת </w:t>
      </w:r>
      <w:bookmarkStart w:id="49626" w:name="_ETM_Q96_499810"/>
      <w:bookmarkEnd w:id="49626"/>
      <w:r>
        <w:rPr>
          <w:rFonts w:hint="cs"/>
          <w:rtl/>
        </w:rPr>
        <w:t xml:space="preserve">בעוד </w:t>
      </w:r>
      <w:bookmarkStart w:id="49627" w:name="_ETM_Q96_500080"/>
      <w:bookmarkEnd w:id="49627"/>
      <w:r>
        <w:rPr>
          <w:rFonts w:hint="cs"/>
          <w:rtl/>
        </w:rPr>
        <w:t xml:space="preserve">תחום </w:t>
      </w:r>
      <w:bookmarkStart w:id="49628" w:name="_ETM_Q96_500800"/>
      <w:bookmarkEnd w:id="49628"/>
      <w:r>
        <w:rPr>
          <w:rFonts w:hint="cs"/>
          <w:rtl/>
        </w:rPr>
        <w:t xml:space="preserve">שבו </w:t>
      </w:r>
      <w:bookmarkStart w:id="49629" w:name="_ETM_Q96_501070"/>
      <w:bookmarkEnd w:id="49629"/>
      <w:r>
        <w:rPr>
          <w:rFonts w:hint="cs"/>
          <w:rtl/>
        </w:rPr>
        <w:t xml:space="preserve">יש </w:t>
      </w:r>
      <w:bookmarkStart w:id="49630" w:name="_ETM_Q96_501160"/>
      <w:bookmarkEnd w:id="49630"/>
      <w:r>
        <w:rPr>
          <w:rFonts w:hint="cs"/>
          <w:rtl/>
        </w:rPr>
        <w:t xml:space="preserve">סכנה </w:t>
      </w:r>
      <w:bookmarkStart w:id="49631" w:name="_ETM_Q96_501640"/>
      <w:bookmarkEnd w:id="49631"/>
      <w:r>
        <w:rPr>
          <w:rFonts w:hint="cs"/>
          <w:rtl/>
        </w:rPr>
        <w:t xml:space="preserve">ברורה </w:t>
      </w:r>
      <w:bookmarkStart w:id="49632" w:name="_ETM_Q96_502540"/>
      <w:bookmarkEnd w:id="49632"/>
      <w:r>
        <w:rPr>
          <w:rFonts w:hint="cs"/>
          <w:rtl/>
        </w:rPr>
        <w:t xml:space="preserve">מביטול </w:t>
      </w:r>
      <w:bookmarkStart w:id="49633" w:name="_ETM_Q96_503080"/>
      <w:bookmarkEnd w:id="49633"/>
      <w:r>
        <w:rPr>
          <w:rFonts w:hint="cs"/>
          <w:rtl/>
        </w:rPr>
        <w:t xml:space="preserve">עילת </w:t>
      </w:r>
      <w:bookmarkStart w:id="49634" w:name="_ETM_Q96_503410"/>
      <w:bookmarkEnd w:id="49634"/>
      <w:r>
        <w:rPr>
          <w:rFonts w:hint="cs"/>
          <w:rtl/>
        </w:rPr>
        <w:t xml:space="preserve">הסבירות, </w:t>
      </w:r>
      <w:bookmarkStart w:id="49635" w:name="_ETM_Q96_503890"/>
      <w:bookmarkEnd w:id="49635"/>
      <w:r>
        <w:rPr>
          <w:rFonts w:hint="cs"/>
          <w:rtl/>
        </w:rPr>
        <w:t xml:space="preserve">והוא </w:t>
      </w:r>
      <w:bookmarkStart w:id="49636" w:name="_ETM_Q96_504250"/>
      <w:bookmarkEnd w:id="49636"/>
      <w:r>
        <w:rPr>
          <w:rFonts w:hint="cs"/>
          <w:rtl/>
        </w:rPr>
        <w:t xml:space="preserve">הסכנה </w:t>
      </w:r>
      <w:bookmarkStart w:id="49637" w:name="_ETM_Q96_505360"/>
      <w:bookmarkEnd w:id="49637"/>
      <w:r>
        <w:rPr>
          <w:rFonts w:hint="cs"/>
          <w:rtl/>
        </w:rPr>
        <w:t xml:space="preserve">לקהילה </w:t>
      </w:r>
      <w:bookmarkStart w:id="49638" w:name="_ETM_Q96_506020"/>
      <w:bookmarkEnd w:id="49638"/>
      <w:r>
        <w:rPr>
          <w:rFonts w:hint="cs"/>
          <w:rtl/>
        </w:rPr>
        <w:t xml:space="preserve">הגאה </w:t>
      </w:r>
      <w:bookmarkStart w:id="49639" w:name="_ETM_Q96_506890"/>
      <w:bookmarkEnd w:id="49639"/>
      <w:r>
        <w:rPr>
          <w:rFonts w:hint="cs"/>
          <w:rtl/>
        </w:rPr>
        <w:t xml:space="preserve">וזכויותיה. </w:t>
      </w:r>
      <w:bookmarkStart w:id="49640" w:name="_ETM_Q96_507970"/>
      <w:bookmarkEnd w:id="49640"/>
      <w:r>
        <w:rPr>
          <w:rFonts w:hint="cs"/>
          <w:rtl/>
        </w:rPr>
        <w:t xml:space="preserve">אני </w:t>
      </w:r>
      <w:bookmarkStart w:id="49641" w:name="_ETM_Q96_508150"/>
      <w:bookmarkEnd w:id="49641"/>
      <w:r>
        <w:rPr>
          <w:rFonts w:hint="cs"/>
          <w:rtl/>
        </w:rPr>
        <w:t xml:space="preserve">אחד </w:t>
      </w:r>
      <w:bookmarkStart w:id="49642" w:name="_ETM_Q96_508420"/>
      <w:bookmarkEnd w:id="49642"/>
      <w:r>
        <w:rPr>
          <w:rFonts w:hint="cs"/>
          <w:rtl/>
        </w:rPr>
        <w:t xml:space="preserve">מנציגי </w:t>
      </w:r>
      <w:bookmarkStart w:id="49643" w:name="_ETM_Q96_508960"/>
      <w:bookmarkEnd w:id="49643"/>
      <w:r>
        <w:rPr>
          <w:rFonts w:hint="cs"/>
          <w:rtl/>
        </w:rPr>
        <w:t xml:space="preserve">הקהילה </w:t>
      </w:r>
      <w:bookmarkStart w:id="49644" w:name="_ETM_Q96_509440"/>
      <w:bookmarkEnd w:id="49644"/>
      <w:r>
        <w:rPr>
          <w:rFonts w:hint="cs"/>
          <w:rtl/>
        </w:rPr>
        <w:t xml:space="preserve">כאן </w:t>
      </w:r>
      <w:bookmarkStart w:id="49645" w:name="_ETM_Q96_509650"/>
      <w:bookmarkEnd w:id="49645"/>
      <w:r>
        <w:rPr>
          <w:rFonts w:hint="cs"/>
          <w:rtl/>
        </w:rPr>
        <w:t xml:space="preserve">בכנסת, </w:t>
      </w:r>
      <w:bookmarkStart w:id="49646" w:name="_ETM_Q96_510540"/>
      <w:bookmarkEnd w:id="49646"/>
      <w:r>
        <w:rPr>
          <w:rFonts w:hint="cs"/>
          <w:rtl/>
        </w:rPr>
        <w:t xml:space="preserve">ואני </w:t>
      </w:r>
      <w:bookmarkStart w:id="49647" w:name="_ETM_Q96_510870"/>
      <w:bookmarkEnd w:id="49647"/>
      <w:r>
        <w:rPr>
          <w:rFonts w:hint="cs"/>
          <w:rtl/>
        </w:rPr>
        <w:t xml:space="preserve">מאוד </w:t>
      </w:r>
      <w:bookmarkStart w:id="49648" w:name="_ETM_Q96_511200"/>
      <w:bookmarkEnd w:id="49648"/>
      <w:r>
        <w:rPr>
          <w:rFonts w:hint="cs"/>
          <w:rtl/>
        </w:rPr>
        <w:t xml:space="preserve">חושש, </w:t>
      </w:r>
      <w:bookmarkStart w:id="49649" w:name="_ETM_Q96_512230"/>
      <w:bookmarkEnd w:id="49649"/>
      <w:r>
        <w:rPr>
          <w:rFonts w:hint="cs"/>
          <w:rtl/>
        </w:rPr>
        <w:t xml:space="preserve">כי </w:t>
      </w:r>
      <w:bookmarkStart w:id="49650" w:name="_ETM_Q96_512410"/>
      <w:bookmarkEnd w:id="49650"/>
      <w:r>
        <w:rPr>
          <w:rFonts w:hint="cs"/>
          <w:rtl/>
        </w:rPr>
        <w:t xml:space="preserve">אם </w:t>
      </w:r>
      <w:bookmarkStart w:id="49651" w:name="_ETM_Q96_512500"/>
      <w:bookmarkEnd w:id="49651"/>
      <w:r>
        <w:rPr>
          <w:rFonts w:hint="cs"/>
          <w:rtl/>
        </w:rPr>
        <w:t xml:space="preserve">נבחן </w:t>
      </w:r>
      <w:bookmarkStart w:id="49652" w:name="_ETM_Q96_513010"/>
      <w:bookmarkEnd w:id="49652"/>
      <w:r>
        <w:rPr>
          <w:rFonts w:hint="cs"/>
          <w:rtl/>
        </w:rPr>
        <w:t xml:space="preserve">את </w:t>
      </w:r>
      <w:bookmarkStart w:id="49653" w:name="_ETM_Q96_513160"/>
      <w:bookmarkEnd w:id="49653"/>
      <w:r>
        <w:rPr>
          <w:rFonts w:hint="cs"/>
          <w:rtl/>
        </w:rPr>
        <w:t xml:space="preserve">מה </w:t>
      </w:r>
      <w:bookmarkStart w:id="49654" w:name="_ETM_Q96_513310"/>
      <w:bookmarkEnd w:id="49654"/>
      <w:r>
        <w:rPr>
          <w:rFonts w:hint="cs"/>
          <w:rtl/>
        </w:rPr>
        <w:t xml:space="preserve">שחברי </w:t>
      </w:r>
      <w:bookmarkStart w:id="49655" w:name="_ETM_Q96_513790"/>
      <w:bookmarkEnd w:id="49655"/>
      <w:r>
        <w:rPr>
          <w:rFonts w:hint="cs"/>
          <w:rtl/>
        </w:rPr>
        <w:t xml:space="preserve">הממשלה </w:t>
      </w:r>
      <w:bookmarkStart w:id="49656" w:name="_ETM_Q96_514360"/>
      <w:bookmarkEnd w:id="49656"/>
      <w:r>
        <w:rPr>
          <w:rFonts w:hint="cs"/>
          <w:rtl/>
        </w:rPr>
        <w:t xml:space="preserve">הזו </w:t>
      </w:r>
      <w:bookmarkStart w:id="49657" w:name="_ETM_Q96_514750"/>
      <w:bookmarkEnd w:id="49657"/>
      <w:r>
        <w:rPr>
          <w:rFonts w:hint="cs"/>
          <w:rtl/>
        </w:rPr>
        <w:t xml:space="preserve">מדברים </w:t>
      </w:r>
      <w:bookmarkStart w:id="49658" w:name="_ETM_Q96_515739"/>
      <w:bookmarkEnd w:id="49658"/>
      <w:r>
        <w:rPr>
          <w:rFonts w:hint="cs"/>
          <w:rtl/>
        </w:rPr>
        <w:t xml:space="preserve">ומצהירים </w:t>
      </w:r>
      <w:bookmarkStart w:id="49659" w:name="_ETM_Q96_516579"/>
      <w:bookmarkEnd w:id="49659"/>
      <w:r>
        <w:rPr>
          <w:rFonts w:hint="cs"/>
          <w:rtl/>
        </w:rPr>
        <w:t>ומבטיחים</w:t>
      </w:r>
      <w:bookmarkStart w:id="49660" w:name="_ETM_Q96_517900"/>
      <w:bookmarkStart w:id="49661" w:name="_ETM_Q96_521490"/>
      <w:bookmarkEnd w:id="49660"/>
      <w:bookmarkEnd w:id="49661"/>
      <w:r>
        <w:rPr>
          <w:rFonts w:hint="cs"/>
          <w:rtl/>
        </w:rPr>
        <w:t xml:space="preserve"> שיעשו </w:t>
      </w:r>
      <w:bookmarkStart w:id="49662" w:name="_ETM_Q96_518650"/>
      <w:bookmarkEnd w:id="49662"/>
      <w:r>
        <w:rPr>
          <w:rFonts w:hint="cs"/>
          <w:rtl/>
        </w:rPr>
        <w:t xml:space="preserve">בהיבט </w:t>
      </w:r>
      <w:bookmarkStart w:id="49663" w:name="_ETM_Q96_519130"/>
      <w:bookmarkEnd w:id="49663"/>
      <w:r>
        <w:rPr>
          <w:rFonts w:hint="cs"/>
          <w:rtl/>
        </w:rPr>
        <w:t xml:space="preserve">הלהט"בי, </w:t>
      </w:r>
      <w:bookmarkStart w:id="49664" w:name="_ETM_Q96_520390"/>
      <w:bookmarkEnd w:id="49664"/>
      <w:r>
        <w:rPr>
          <w:rFonts w:hint="cs"/>
          <w:rtl/>
        </w:rPr>
        <w:t xml:space="preserve">יש </w:t>
      </w:r>
      <w:bookmarkStart w:id="49665" w:name="_ETM_Q96_520570"/>
      <w:bookmarkEnd w:id="49665"/>
      <w:r>
        <w:rPr>
          <w:rFonts w:hint="cs"/>
          <w:rtl/>
        </w:rPr>
        <w:t xml:space="preserve">מקום </w:t>
      </w:r>
      <w:bookmarkStart w:id="49666" w:name="_ETM_Q96_520930"/>
      <w:bookmarkEnd w:id="49666"/>
      <w:r>
        <w:rPr>
          <w:rFonts w:hint="cs"/>
          <w:rtl/>
        </w:rPr>
        <w:t xml:space="preserve">גדול </w:t>
      </w:r>
      <w:bookmarkStart w:id="49667" w:name="_ETM_Q96_521320"/>
      <w:bookmarkEnd w:id="49667"/>
      <w:r>
        <w:rPr>
          <w:rFonts w:hint="cs"/>
          <w:rtl/>
        </w:rPr>
        <w:t xml:space="preserve">לדאגה. </w:t>
      </w:r>
      <w:bookmarkStart w:id="49668" w:name="_ETM_Q96_522790"/>
      <w:bookmarkStart w:id="49669" w:name="_ETM_Q96_523149"/>
      <w:bookmarkEnd w:id="49668"/>
      <w:bookmarkEnd w:id="49669"/>
      <w:r>
        <w:rPr>
          <w:rFonts w:hint="cs"/>
          <w:rtl/>
        </w:rPr>
        <w:t xml:space="preserve">אני </w:t>
      </w:r>
      <w:bookmarkStart w:id="49670" w:name="_ETM_Q96_523360"/>
      <w:bookmarkEnd w:id="49670"/>
      <w:r>
        <w:rPr>
          <w:rFonts w:hint="cs"/>
          <w:rtl/>
        </w:rPr>
        <w:t xml:space="preserve">הולך </w:t>
      </w:r>
      <w:bookmarkStart w:id="49671" w:name="_ETM_Q96_523570"/>
      <w:bookmarkEnd w:id="49671"/>
      <w:r>
        <w:rPr>
          <w:rFonts w:hint="cs"/>
          <w:rtl/>
        </w:rPr>
        <w:t xml:space="preserve">לעבור </w:t>
      </w:r>
      <w:bookmarkStart w:id="49672" w:name="_ETM_Q96_524079"/>
      <w:bookmarkEnd w:id="49672"/>
      <w:r>
        <w:rPr>
          <w:rFonts w:hint="cs"/>
          <w:rtl/>
        </w:rPr>
        <w:t xml:space="preserve">עכשיו </w:t>
      </w:r>
      <w:bookmarkStart w:id="49673" w:name="_ETM_Q96_524999"/>
      <w:bookmarkEnd w:id="49673"/>
      <w:r>
        <w:rPr>
          <w:rFonts w:hint="cs"/>
          <w:rtl/>
        </w:rPr>
        <w:t xml:space="preserve">על </w:t>
      </w:r>
      <w:bookmarkStart w:id="49674" w:name="_ETM_Q96_525210"/>
      <w:bookmarkEnd w:id="49674"/>
      <w:r>
        <w:rPr>
          <w:rFonts w:hint="cs"/>
          <w:rtl/>
        </w:rPr>
        <w:t xml:space="preserve">שורה </w:t>
      </w:r>
      <w:bookmarkStart w:id="49675" w:name="_ETM_Q96_525779"/>
      <w:bookmarkEnd w:id="49675"/>
      <w:r>
        <w:rPr>
          <w:rFonts w:hint="cs"/>
          <w:rtl/>
        </w:rPr>
        <w:t xml:space="preserve">של </w:t>
      </w:r>
      <w:bookmarkStart w:id="49676" w:name="_ETM_Q96_527100"/>
      <w:bookmarkEnd w:id="49676"/>
      <w:r>
        <w:rPr>
          <w:rFonts w:hint="cs"/>
          <w:rtl/>
        </w:rPr>
        <w:t xml:space="preserve">החלטות </w:t>
      </w:r>
      <w:bookmarkStart w:id="49677" w:name="_ETM_Q96_527640"/>
      <w:bookmarkEnd w:id="49677"/>
      <w:r>
        <w:rPr>
          <w:rFonts w:hint="cs"/>
          <w:rtl/>
        </w:rPr>
        <w:t xml:space="preserve">שהממשלה </w:t>
      </w:r>
      <w:bookmarkStart w:id="49678" w:name="_ETM_Q96_528150"/>
      <w:bookmarkEnd w:id="49678"/>
      <w:r>
        <w:rPr>
          <w:rFonts w:hint="cs"/>
          <w:rtl/>
        </w:rPr>
        <w:t xml:space="preserve">יכולה </w:t>
      </w:r>
      <w:bookmarkStart w:id="49679" w:name="_ETM_Q96_528600"/>
      <w:bookmarkEnd w:id="49679"/>
      <w:r>
        <w:rPr>
          <w:rFonts w:hint="cs"/>
          <w:rtl/>
        </w:rPr>
        <w:t xml:space="preserve">להחליט, </w:t>
      </w:r>
      <w:bookmarkStart w:id="49680" w:name="_ETM_Q96_529140"/>
      <w:bookmarkEnd w:id="49680"/>
      <w:r>
        <w:rPr>
          <w:rFonts w:hint="cs"/>
          <w:rtl/>
        </w:rPr>
        <w:t>ש</w:t>
      </w:r>
      <w:bookmarkStart w:id="49681" w:name="_ETM_Q96_529650"/>
      <w:bookmarkEnd w:id="49681"/>
      <w:r>
        <w:rPr>
          <w:rFonts w:hint="cs"/>
          <w:rtl/>
        </w:rPr>
        <w:t xml:space="preserve">בסמכותה </w:t>
      </w:r>
      <w:bookmarkStart w:id="49682" w:name="_ETM_Q96_530460"/>
      <w:bookmarkEnd w:id="49682"/>
      <w:r>
        <w:rPr>
          <w:rFonts w:hint="cs"/>
          <w:rtl/>
        </w:rPr>
        <w:t xml:space="preserve">להחליט, </w:t>
      </w:r>
      <w:bookmarkStart w:id="49683" w:name="_ETM_Q96_531029"/>
      <w:bookmarkEnd w:id="49683"/>
      <w:r>
        <w:rPr>
          <w:rFonts w:hint="cs"/>
          <w:rtl/>
        </w:rPr>
        <w:t>ש</w:t>
      </w:r>
      <w:bookmarkStart w:id="49684" w:name="_ETM_Q96_531450"/>
      <w:bookmarkEnd w:id="49684"/>
      <w:r>
        <w:rPr>
          <w:rFonts w:hint="cs"/>
          <w:rtl/>
        </w:rPr>
        <w:t xml:space="preserve">היא יכולה </w:t>
      </w:r>
      <w:bookmarkStart w:id="49685" w:name="_ETM_Q96_531960"/>
      <w:bookmarkEnd w:id="49685"/>
      <w:r>
        <w:rPr>
          <w:rFonts w:hint="cs"/>
          <w:rtl/>
        </w:rPr>
        <w:t xml:space="preserve">לקבוע </w:t>
      </w:r>
      <w:bookmarkStart w:id="49686" w:name="_ETM_Q96_532440"/>
      <w:bookmarkEnd w:id="49686"/>
      <w:r>
        <w:rPr>
          <w:rFonts w:hint="cs"/>
          <w:rtl/>
        </w:rPr>
        <w:t xml:space="preserve">מדיניות </w:t>
      </w:r>
      <w:bookmarkStart w:id="49687" w:name="_ETM_Q96_532950"/>
      <w:bookmarkEnd w:id="49687"/>
      <w:r>
        <w:rPr>
          <w:rFonts w:hint="cs"/>
          <w:rtl/>
        </w:rPr>
        <w:t xml:space="preserve">בעניין </w:t>
      </w:r>
      <w:bookmarkStart w:id="49688" w:name="_ETM_Q96_533400"/>
      <w:bookmarkEnd w:id="49688"/>
      <w:r>
        <w:rPr>
          <w:rFonts w:hint="cs"/>
          <w:rtl/>
        </w:rPr>
        <w:t xml:space="preserve">כזה </w:t>
      </w:r>
      <w:bookmarkStart w:id="49689" w:name="_ETM_Q96_533790"/>
      <w:bookmarkEnd w:id="49689"/>
      <w:r>
        <w:rPr>
          <w:rFonts w:hint="cs"/>
          <w:rtl/>
        </w:rPr>
        <w:t xml:space="preserve">או </w:t>
      </w:r>
      <w:bookmarkStart w:id="49690" w:name="_ETM_Q96_533910"/>
      <w:bookmarkEnd w:id="49690"/>
      <w:r>
        <w:rPr>
          <w:rFonts w:hint="cs"/>
          <w:rtl/>
        </w:rPr>
        <w:t>אחר</w:t>
      </w:r>
      <w:bookmarkStart w:id="49691" w:name="_ETM_Q96_534980"/>
      <w:bookmarkEnd w:id="49691"/>
      <w:r>
        <w:rPr>
          <w:rFonts w:hint="cs"/>
          <w:rtl/>
        </w:rPr>
        <w:t xml:space="preserve"> ושמעתה </w:t>
      </w:r>
      <w:bookmarkStart w:id="49692" w:name="_ETM_Q96_536210"/>
      <w:bookmarkEnd w:id="49692"/>
      <w:r>
        <w:rPr>
          <w:rFonts w:hint="cs"/>
          <w:rtl/>
        </w:rPr>
        <w:t xml:space="preserve">יהיו </w:t>
      </w:r>
      <w:bookmarkStart w:id="49693" w:name="_ETM_Q96_536479"/>
      <w:bookmarkEnd w:id="49693"/>
      <w:r>
        <w:rPr>
          <w:rFonts w:hint="cs"/>
          <w:rtl/>
        </w:rPr>
        <w:t xml:space="preserve">חסינות </w:t>
      </w:r>
      <w:bookmarkStart w:id="49694" w:name="_ETM_Q96_537019"/>
      <w:bookmarkEnd w:id="49694"/>
      <w:r>
        <w:rPr>
          <w:rFonts w:hint="cs"/>
          <w:rtl/>
        </w:rPr>
        <w:t>מ</w:t>
      </w:r>
      <w:bookmarkStart w:id="49695" w:name="_ETM_Q96_537109"/>
      <w:bookmarkEnd w:id="49695"/>
      <w:r>
        <w:rPr>
          <w:rFonts w:hint="cs"/>
          <w:rtl/>
        </w:rPr>
        <w:t xml:space="preserve">ביקורת </w:t>
      </w:r>
      <w:bookmarkStart w:id="49696" w:name="_ETM_Q96_537499"/>
      <w:bookmarkEnd w:id="49696"/>
      <w:r>
        <w:rPr>
          <w:rFonts w:hint="cs"/>
          <w:rtl/>
        </w:rPr>
        <w:t xml:space="preserve">שיפוטית </w:t>
      </w:r>
      <w:bookmarkStart w:id="49697" w:name="_ETM_Q96_538159"/>
      <w:bookmarkEnd w:id="49697"/>
      <w:r>
        <w:rPr>
          <w:rFonts w:hint="cs"/>
          <w:rtl/>
        </w:rPr>
        <w:t xml:space="preserve">בהיבטים </w:t>
      </w:r>
      <w:bookmarkStart w:id="49698" w:name="_ETM_Q96_539269"/>
      <w:bookmarkEnd w:id="49698"/>
      <w:r>
        <w:rPr>
          <w:rFonts w:hint="cs"/>
          <w:rtl/>
        </w:rPr>
        <w:t xml:space="preserve">של </w:t>
      </w:r>
      <w:bookmarkStart w:id="49699" w:name="_ETM_Q96_539479"/>
      <w:bookmarkEnd w:id="49699"/>
      <w:r>
        <w:rPr>
          <w:rFonts w:hint="cs"/>
          <w:rtl/>
        </w:rPr>
        <w:t xml:space="preserve">סבירות. </w:t>
      </w:r>
      <w:bookmarkStart w:id="49700" w:name="_ETM_Q96_540499"/>
      <w:bookmarkStart w:id="49701" w:name="_ETM_Q96_545760"/>
      <w:bookmarkStart w:id="49702" w:name="_ETM_Q96_545813"/>
      <w:bookmarkStart w:id="49703" w:name="_ETM_Q96_545952"/>
      <w:bookmarkStart w:id="49704" w:name="_ETM_Q96_546028"/>
      <w:bookmarkStart w:id="49705" w:name="_ETM_Q96_540664"/>
      <w:bookmarkStart w:id="49706" w:name="_ETM_Q96_540724"/>
      <w:bookmarkStart w:id="49707" w:name="_ETM_Q96_540809"/>
      <w:bookmarkStart w:id="49708" w:name="_ETM_Q96_540852"/>
      <w:bookmarkStart w:id="49709" w:name="_ETM_Q96_540739"/>
      <w:bookmarkEnd w:id="49700"/>
      <w:bookmarkEnd w:id="49701"/>
      <w:bookmarkEnd w:id="49702"/>
      <w:bookmarkEnd w:id="49703"/>
      <w:bookmarkEnd w:id="49704"/>
      <w:bookmarkEnd w:id="49705"/>
      <w:bookmarkEnd w:id="49706"/>
      <w:bookmarkEnd w:id="49707"/>
      <w:bookmarkEnd w:id="49708"/>
      <w:bookmarkEnd w:id="49709"/>
      <w:r>
        <w:rPr>
          <w:rFonts w:hint="cs"/>
          <w:rtl/>
        </w:rPr>
        <w:t xml:space="preserve">לדוגמה, </w:t>
      </w:r>
      <w:bookmarkStart w:id="49710" w:name="_ETM_Q96_541549"/>
      <w:bookmarkEnd w:id="49710"/>
      <w:r>
        <w:rPr>
          <w:rFonts w:hint="cs"/>
          <w:rtl/>
        </w:rPr>
        <w:t xml:space="preserve">הבטחתו </w:t>
      </w:r>
      <w:bookmarkStart w:id="49711" w:name="_ETM_Q96_542210"/>
      <w:bookmarkEnd w:id="49711"/>
      <w:r>
        <w:rPr>
          <w:rFonts w:hint="cs"/>
          <w:rtl/>
        </w:rPr>
        <w:t xml:space="preserve">של </w:t>
      </w:r>
      <w:bookmarkStart w:id="49712" w:name="_ETM_Q96_542850"/>
      <w:bookmarkEnd w:id="49712"/>
      <w:r>
        <w:rPr>
          <w:rFonts w:hint="cs"/>
          <w:rtl/>
        </w:rPr>
        <w:t xml:space="preserve">סגן </w:t>
      </w:r>
      <w:bookmarkStart w:id="49713" w:name="_ETM_Q96_543390"/>
      <w:bookmarkEnd w:id="49713"/>
      <w:r>
        <w:rPr>
          <w:rFonts w:hint="cs"/>
          <w:rtl/>
        </w:rPr>
        <w:t xml:space="preserve">השר </w:t>
      </w:r>
      <w:bookmarkStart w:id="49714" w:name="_ETM_Q96_543690"/>
      <w:bookmarkEnd w:id="49714"/>
      <w:r>
        <w:rPr>
          <w:rFonts w:hint="cs"/>
          <w:rtl/>
        </w:rPr>
        <w:t xml:space="preserve">במשרד </w:t>
      </w:r>
      <w:bookmarkStart w:id="49715" w:name="_ETM_Q96_544110"/>
      <w:bookmarkEnd w:id="49715"/>
      <w:r>
        <w:rPr>
          <w:rFonts w:hint="cs"/>
          <w:rtl/>
        </w:rPr>
        <w:t xml:space="preserve">ראש </w:t>
      </w:r>
      <w:bookmarkStart w:id="49716" w:name="_ETM_Q96_544320"/>
      <w:bookmarkEnd w:id="49716"/>
      <w:r>
        <w:rPr>
          <w:rFonts w:hint="cs"/>
          <w:rtl/>
        </w:rPr>
        <w:t xml:space="preserve">הממשלה </w:t>
      </w:r>
      <w:bookmarkStart w:id="49717" w:name="_ETM_Q96_544829"/>
      <w:bookmarkEnd w:id="49717"/>
      <w:r>
        <w:rPr>
          <w:rFonts w:hint="cs"/>
          <w:rtl/>
        </w:rPr>
        <w:t xml:space="preserve">אבי מעוז </w:t>
      </w:r>
      <w:bookmarkStart w:id="49718" w:name="_ETM_Q96_545890"/>
      <w:bookmarkEnd w:id="49718"/>
      <w:r>
        <w:rPr>
          <w:rFonts w:hint="cs"/>
          <w:rtl/>
        </w:rPr>
        <w:t xml:space="preserve">להוציא </w:t>
      </w:r>
      <w:bookmarkStart w:id="49719" w:name="_ETM_Q96_546250"/>
      <w:bookmarkEnd w:id="49719"/>
      <w:r>
        <w:rPr>
          <w:rFonts w:hint="cs"/>
          <w:rtl/>
        </w:rPr>
        <w:t xml:space="preserve">ממערכת </w:t>
      </w:r>
      <w:bookmarkStart w:id="49720" w:name="_ETM_Q96_546640"/>
      <w:bookmarkEnd w:id="49720"/>
      <w:r>
        <w:rPr>
          <w:rFonts w:hint="cs"/>
          <w:rtl/>
        </w:rPr>
        <w:t xml:space="preserve">החינוך </w:t>
      </w:r>
      <w:bookmarkStart w:id="49721" w:name="_ETM_Q96_547029"/>
      <w:bookmarkEnd w:id="49721"/>
      <w:r>
        <w:rPr>
          <w:rFonts w:hint="cs"/>
          <w:rtl/>
        </w:rPr>
        <w:t xml:space="preserve">תכנים </w:t>
      </w:r>
      <w:bookmarkStart w:id="49722" w:name="_ETM_Q96_547450"/>
      <w:bookmarkEnd w:id="49722"/>
      <w:r>
        <w:rPr>
          <w:rFonts w:hint="cs"/>
          <w:rtl/>
        </w:rPr>
        <w:t xml:space="preserve">שנוגעים </w:t>
      </w:r>
      <w:bookmarkStart w:id="49723" w:name="_ETM_Q96_548509"/>
      <w:bookmarkEnd w:id="49723"/>
      <w:r>
        <w:rPr>
          <w:rFonts w:hint="cs"/>
          <w:rtl/>
        </w:rPr>
        <w:t xml:space="preserve">לערכים </w:t>
      </w:r>
      <w:bookmarkStart w:id="49724" w:name="_ETM_Q96_549110"/>
      <w:bookmarkEnd w:id="49724"/>
      <w:r>
        <w:rPr>
          <w:rFonts w:hint="cs"/>
          <w:rtl/>
        </w:rPr>
        <w:t xml:space="preserve">ליברליים </w:t>
      </w:r>
      <w:bookmarkStart w:id="49725" w:name="_ETM_Q96_549950"/>
      <w:bookmarkEnd w:id="49725"/>
      <w:r>
        <w:rPr>
          <w:rFonts w:hint="cs"/>
          <w:rtl/>
        </w:rPr>
        <w:t xml:space="preserve">בקבלת </w:t>
      </w:r>
      <w:bookmarkStart w:id="49726" w:name="_ETM_Q96_550490"/>
      <w:bookmarkEnd w:id="49726"/>
      <w:r>
        <w:rPr>
          <w:rFonts w:hint="cs"/>
          <w:rtl/>
        </w:rPr>
        <w:t xml:space="preserve">האחר, </w:t>
      </w:r>
      <w:bookmarkStart w:id="49727" w:name="_ETM_Q96_551149"/>
      <w:bookmarkEnd w:id="49727"/>
      <w:r>
        <w:rPr>
          <w:rFonts w:hint="cs"/>
          <w:rtl/>
        </w:rPr>
        <w:t xml:space="preserve">בזכויות </w:t>
      </w:r>
      <w:bookmarkStart w:id="49728" w:name="_ETM_Q96_551659"/>
      <w:bookmarkEnd w:id="49728"/>
      <w:r>
        <w:rPr>
          <w:rFonts w:hint="cs"/>
          <w:rtl/>
        </w:rPr>
        <w:t xml:space="preserve">אדם. </w:t>
      </w:r>
      <w:bookmarkStart w:id="49729" w:name="_ETM_Q96_552890"/>
      <w:bookmarkEnd w:id="49729"/>
      <w:r>
        <w:rPr>
          <w:rFonts w:hint="cs"/>
          <w:rtl/>
        </w:rPr>
        <w:t xml:space="preserve">זאת </w:t>
      </w:r>
      <w:bookmarkStart w:id="49730" w:name="_ETM_Q96_553070"/>
      <w:bookmarkEnd w:id="49730"/>
      <w:r>
        <w:rPr>
          <w:rFonts w:hint="cs"/>
          <w:rtl/>
        </w:rPr>
        <w:t xml:space="preserve">הבטחת </w:t>
      </w:r>
      <w:bookmarkStart w:id="49731" w:name="_ETM_Q96_553520"/>
      <w:bookmarkEnd w:id="49731"/>
      <w:r>
        <w:rPr>
          <w:rFonts w:hint="cs"/>
          <w:rtl/>
        </w:rPr>
        <w:t xml:space="preserve">בחירות </w:t>
      </w:r>
      <w:bookmarkStart w:id="49732" w:name="_ETM_Q96_554589"/>
      <w:bookmarkEnd w:id="49732"/>
      <w:r>
        <w:rPr>
          <w:rFonts w:hint="cs"/>
          <w:rtl/>
        </w:rPr>
        <w:t xml:space="preserve">של </w:t>
      </w:r>
      <w:bookmarkStart w:id="49733" w:name="_ETM_Q96_554890"/>
      <w:bookmarkStart w:id="49734" w:name="_ETM_Q96_555400"/>
      <w:bookmarkEnd w:id="49733"/>
      <w:bookmarkEnd w:id="49734"/>
      <w:r>
        <w:rPr>
          <w:rFonts w:hint="cs"/>
          <w:rtl/>
        </w:rPr>
        <w:t xml:space="preserve">סגן </w:t>
      </w:r>
      <w:bookmarkStart w:id="49735" w:name="_ETM_Q96_555670"/>
      <w:bookmarkEnd w:id="49735"/>
      <w:r>
        <w:rPr>
          <w:rFonts w:hint="cs"/>
          <w:rtl/>
        </w:rPr>
        <w:t xml:space="preserve">השר </w:t>
      </w:r>
      <w:bookmarkStart w:id="49736" w:name="_ETM_Q96_555909"/>
      <w:bookmarkEnd w:id="49736"/>
      <w:r>
        <w:rPr>
          <w:rFonts w:hint="cs"/>
          <w:rtl/>
        </w:rPr>
        <w:t xml:space="preserve">אבי </w:t>
      </w:r>
      <w:bookmarkStart w:id="49737" w:name="_ETM_Q96_556270"/>
      <w:bookmarkEnd w:id="49737"/>
      <w:r>
        <w:rPr>
          <w:rFonts w:hint="cs"/>
          <w:rtl/>
        </w:rPr>
        <w:t xml:space="preserve">מעוז </w:t>
      </w:r>
      <w:bookmarkStart w:id="49738" w:name="_ETM_Q96_556630"/>
      <w:bookmarkEnd w:id="49738"/>
      <w:r>
        <w:rPr>
          <w:rFonts w:hint="cs"/>
          <w:rtl/>
        </w:rPr>
        <w:t xml:space="preserve">בקולו. </w:t>
      </w:r>
      <w:bookmarkStart w:id="49739" w:name="_ETM_Q96_557960"/>
      <w:bookmarkEnd w:id="49739"/>
      <w:r>
        <w:rPr>
          <w:rFonts w:hint="cs"/>
          <w:rtl/>
        </w:rPr>
        <w:t xml:space="preserve">עוד </w:t>
      </w:r>
      <w:bookmarkStart w:id="49740" w:name="_ETM_Q96_558229"/>
      <w:bookmarkEnd w:id="49740"/>
      <w:r>
        <w:rPr>
          <w:rFonts w:hint="cs"/>
          <w:rtl/>
        </w:rPr>
        <w:t xml:space="preserve">החלטה </w:t>
      </w:r>
      <w:bookmarkStart w:id="49741" w:name="_ETM_Q96_559310"/>
      <w:bookmarkEnd w:id="49741"/>
      <w:r>
        <w:rPr>
          <w:rFonts w:hint="cs"/>
          <w:rtl/>
        </w:rPr>
        <w:t xml:space="preserve">שהממשלה </w:t>
      </w:r>
      <w:bookmarkStart w:id="49742" w:name="_ETM_Q96_559969"/>
      <w:bookmarkEnd w:id="49742"/>
      <w:r>
        <w:rPr>
          <w:rFonts w:hint="cs"/>
          <w:rtl/>
        </w:rPr>
        <w:t xml:space="preserve">יכולה </w:t>
      </w:r>
      <w:bookmarkStart w:id="49743" w:name="_ETM_Q96_560329"/>
      <w:bookmarkEnd w:id="49743"/>
      <w:r>
        <w:rPr>
          <w:rFonts w:hint="cs"/>
          <w:rtl/>
        </w:rPr>
        <w:t xml:space="preserve">לקבל </w:t>
      </w:r>
      <w:bookmarkStart w:id="49744" w:name="_ETM_Q96_561200"/>
      <w:bookmarkEnd w:id="49744"/>
      <w:r>
        <w:rPr>
          <w:rFonts w:hint="cs"/>
          <w:rtl/>
        </w:rPr>
        <w:t xml:space="preserve">היא </w:t>
      </w:r>
      <w:bookmarkStart w:id="49745" w:name="_ETM_Q96_561319"/>
      <w:bookmarkEnd w:id="49745"/>
      <w:r>
        <w:rPr>
          <w:rFonts w:hint="cs"/>
          <w:rtl/>
        </w:rPr>
        <w:t xml:space="preserve">בדבר </w:t>
      </w:r>
      <w:bookmarkStart w:id="49746" w:name="_ETM_Q96_561710"/>
      <w:bookmarkEnd w:id="49746"/>
      <w:r>
        <w:rPr>
          <w:rFonts w:hint="cs"/>
          <w:rtl/>
        </w:rPr>
        <w:t xml:space="preserve">שינוי </w:t>
      </w:r>
      <w:bookmarkStart w:id="49747" w:name="_ETM_Q96_562069"/>
      <w:bookmarkEnd w:id="49747"/>
      <w:r>
        <w:rPr>
          <w:rFonts w:hint="cs"/>
          <w:rtl/>
        </w:rPr>
        <w:t xml:space="preserve">המדיניות </w:t>
      </w:r>
      <w:bookmarkStart w:id="49748" w:name="_ETM_Q96_563299"/>
      <w:bookmarkEnd w:id="49748"/>
      <w:r>
        <w:rPr>
          <w:rFonts w:hint="cs"/>
          <w:rtl/>
        </w:rPr>
        <w:t xml:space="preserve">לניתוחים </w:t>
      </w:r>
      <w:bookmarkStart w:id="49749" w:name="_ETM_Q96_564259"/>
      <w:bookmarkEnd w:id="49749"/>
      <w:r>
        <w:rPr>
          <w:rFonts w:hint="cs"/>
          <w:rtl/>
        </w:rPr>
        <w:t xml:space="preserve">לטרנסים, </w:t>
      </w:r>
      <w:bookmarkStart w:id="49750" w:name="_ETM_Q96_565700"/>
      <w:bookmarkEnd w:id="49750"/>
      <w:r>
        <w:rPr>
          <w:rFonts w:hint="cs"/>
          <w:rtl/>
        </w:rPr>
        <w:t xml:space="preserve">הבטחת </w:t>
      </w:r>
      <w:bookmarkStart w:id="49751" w:name="_ETM_Q96_566149"/>
      <w:bookmarkEnd w:id="49751"/>
      <w:r>
        <w:rPr>
          <w:rFonts w:hint="cs"/>
          <w:rtl/>
        </w:rPr>
        <w:t xml:space="preserve">בחירות </w:t>
      </w:r>
      <w:bookmarkStart w:id="49752" w:name="_ETM_Q96_566420"/>
      <w:bookmarkEnd w:id="49752"/>
      <w:r>
        <w:rPr>
          <w:rFonts w:hint="cs"/>
          <w:rtl/>
        </w:rPr>
        <w:t xml:space="preserve">נוספת </w:t>
      </w:r>
      <w:bookmarkStart w:id="49753" w:name="_ETM_Q96_566839"/>
      <w:bookmarkEnd w:id="49753"/>
      <w:r>
        <w:rPr>
          <w:rFonts w:hint="cs"/>
          <w:rtl/>
        </w:rPr>
        <w:t xml:space="preserve">של </w:t>
      </w:r>
      <w:bookmarkStart w:id="49754" w:name="_ETM_Q96_567229"/>
      <w:bookmarkEnd w:id="49754"/>
      <w:r>
        <w:rPr>
          <w:rFonts w:hint="cs"/>
          <w:rtl/>
        </w:rPr>
        <w:t xml:space="preserve">סגן </w:t>
      </w:r>
      <w:bookmarkStart w:id="49755" w:name="_ETM_Q96_567529"/>
      <w:bookmarkEnd w:id="49755"/>
      <w:r>
        <w:rPr>
          <w:rFonts w:hint="cs"/>
          <w:rtl/>
        </w:rPr>
        <w:t xml:space="preserve">השר </w:t>
      </w:r>
      <w:bookmarkStart w:id="49756" w:name="_ETM_Q96_567770"/>
      <w:bookmarkStart w:id="49757" w:name="_ETM_Q96_569569"/>
      <w:bookmarkEnd w:id="49756"/>
      <w:bookmarkEnd w:id="49757"/>
      <w:r>
        <w:rPr>
          <w:rFonts w:hint="cs"/>
          <w:rtl/>
        </w:rPr>
        <w:t xml:space="preserve">אבי מעוז. עוד </w:t>
      </w:r>
      <w:bookmarkStart w:id="49758" w:name="_ETM_Q96_570170"/>
      <w:bookmarkEnd w:id="49758"/>
      <w:r>
        <w:rPr>
          <w:rFonts w:hint="cs"/>
          <w:rtl/>
        </w:rPr>
        <w:t xml:space="preserve">אמירות </w:t>
      </w:r>
      <w:bookmarkStart w:id="49759" w:name="_ETM_Q96_570859"/>
      <w:bookmarkEnd w:id="49759"/>
      <w:r>
        <w:rPr>
          <w:rFonts w:hint="cs"/>
          <w:rtl/>
        </w:rPr>
        <w:t xml:space="preserve">מסוכנות </w:t>
      </w:r>
      <w:bookmarkStart w:id="49760" w:name="_ETM_Q96_571549"/>
      <w:bookmarkEnd w:id="49760"/>
      <w:r>
        <w:rPr>
          <w:rFonts w:hint="cs"/>
          <w:rtl/>
        </w:rPr>
        <w:t xml:space="preserve">של </w:t>
      </w:r>
      <w:bookmarkStart w:id="49761" w:name="_ETM_Q96_571729"/>
      <w:bookmarkEnd w:id="49761"/>
      <w:r>
        <w:rPr>
          <w:rFonts w:hint="cs"/>
          <w:rtl/>
        </w:rPr>
        <w:t xml:space="preserve">שרים </w:t>
      </w:r>
      <w:bookmarkStart w:id="49762" w:name="_ETM_Q96_572209"/>
      <w:bookmarkEnd w:id="49762"/>
      <w:r>
        <w:rPr>
          <w:rFonts w:hint="cs"/>
          <w:rtl/>
        </w:rPr>
        <w:t>בממשלה</w:t>
      </w:r>
      <w:r w:rsidR="00E315D7">
        <w:rPr>
          <w:rFonts w:hint="cs"/>
          <w:rtl/>
        </w:rPr>
        <w:t xml:space="preserve"> הן</w:t>
      </w:r>
      <w:r>
        <w:rPr>
          <w:rFonts w:hint="cs"/>
          <w:rtl/>
        </w:rPr>
        <w:t xml:space="preserve"> </w:t>
      </w:r>
      <w:bookmarkStart w:id="49763" w:name="_ETM_Q96_573319"/>
      <w:bookmarkEnd w:id="49763"/>
      <w:r>
        <w:rPr>
          <w:rFonts w:hint="cs"/>
          <w:rtl/>
        </w:rPr>
        <w:t xml:space="preserve">בדבר </w:t>
      </w:r>
      <w:bookmarkStart w:id="49764" w:name="_ETM_Q96_573679"/>
      <w:bookmarkEnd w:id="49764"/>
      <w:r>
        <w:rPr>
          <w:rFonts w:hint="cs"/>
          <w:rtl/>
        </w:rPr>
        <w:t xml:space="preserve">ביטול </w:t>
      </w:r>
      <w:bookmarkStart w:id="49765" w:name="_ETM_Q96_574069"/>
      <w:bookmarkEnd w:id="49765"/>
      <w:r>
        <w:rPr>
          <w:rFonts w:hint="cs"/>
          <w:rtl/>
        </w:rPr>
        <w:t xml:space="preserve">מצעדי </w:t>
      </w:r>
      <w:bookmarkStart w:id="49766" w:name="_ETM_Q96_574490"/>
      <w:bookmarkEnd w:id="49766"/>
      <w:r>
        <w:rPr>
          <w:rFonts w:hint="cs"/>
          <w:rtl/>
        </w:rPr>
        <w:t xml:space="preserve">גאווה, או </w:t>
      </w:r>
      <w:bookmarkStart w:id="49767" w:name="_ETM_Q96_575270"/>
      <w:bookmarkEnd w:id="49767"/>
      <w:r>
        <w:rPr>
          <w:rFonts w:hint="cs"/>
          <w:rtl/>
        </w:rPr>
        <w:t xml:space="preserve">על ידי </w:t>
      </w:r>
      <w:bookmarkStart w:id="49768" w:name="_ETM_Q96_575569"/>
      <w:bookmarkEnd w:id="49768"/>
      <w:r>
        <w:rPr>
          <w:rFonts w:hint="cs"/>
          <w:rtl/>
        </w:rPr>
        <w:t xml:space="preserve">ראשי </w:t>
      </w:r>
      <w:bookmarkStart w:id="49769" w:name="_ETM_Q96_575899"/>
      <w:bookmarkEnd w:id="49769"/>
      <w:r>
        <w:rPr>
          <w:rFonts w:hint="cs"/>
          <w:rtl/>
        </w:rPr>
        <w:t xml:space="preserve">הערים, </w:t>
      </w:r>
      <w:bookmarkStart w:id="49770" w:name="_ETM_Q96_576740"/>
      <w:bookmarkEnd w:id="49770"/>
      <w:r>
        <w:rPr>
          <w:rFonts w:hint="cs"/>
          <w:rtl/>
        </w:rPr>
        <w:t xml:space="preserve">או </w:t>
      </w:r>
      <w:bookmarkStart w:id="49771" w:name="_ETM_Q96_576859"/>
      <w:bookmarkStart w:id="49772" w:name="_ETM_Q96_577159"/>
      <w:bookmarkEnd w:id="49771"/>
      <w:bookmarkEnd w:id="49772"/>
      <w:r>
        <w:rPr>
          <w:rFonts w:hint="cs"/>
          <w:rtl/>
        </w:rPr>
        <w:t xml:space="preserve">על ידי השר </w:t>
      </w:r>
      <w:bookmarkStart w:id="49773" w:name="_ETM_Q96_577639"/>
      <w:bookmarkEnd w:id="49773"/>
      <w:r>
        <w:rPr>
          <w:rFonts w:hint="cs"/>
          <w:rtl/>
        </w:rPr>
        <w:t xml:space="preserve">לכישלון </w:t>
      </w:r>
      <w:bookmarkStart w:id="49774" w:name="_ETM_Q96_578209"/>
      <w:bookmarkEnd w:id="49774"/>
      <w:r>
        <w:rPr>
          <w:rFonts w:hint="cs"/>
          <w:rtl/>
        </w:rPr>
        <w:t xml:space="preserve">לאומי, </w:t>
      </w:r>
      <w:bookmarkStart w:id="49775" w:name="_ETM_Q96_579119"/>
      <w:bookmarkEnd w:id="49775"/>
      <w:r>
        <w:rPr>
          <w:rFonts w:hint="cs"/>
          <w:rtl/>
        </w:rPr>
        <w:t xml:space="preserve">שעתר </w:t>
      </w:r>
      <w:bookmarkStart w:id="49776" w:name="_ETM_Q96_579689"/>
      <w:bookmarkEnd w:id="49776"/>
      <w:r>
        <w:rPr>
          <w:rFonts w:hint="cs"/>
          <w:rtl/>
        </w:rPr>
        <w:t xml:space="preserve">בעצמו </w:t>
      </w:r>
      <w:bookmarkStart w:id="49777" w:name="_ETM_Q96_580259"/>
      <w:bookmarkEnd w:id="49777"/>
      <w:r>
        <w:rPr>
          <w:rFonts w:hint="cs"/>
          <w:rtl/>
        </w:rPr>
        <w:t xml:space="preserve">כמה </w:t>
      </w:r>
      <w:bookmarkStart w:id="49778" w:name="_ETM_Q96_580649"/>
      <w:bookmarkEnd w:id="49778"/>
      <w:r>
        <w:rPr>
          <w:rFonts w:hint="cs"/>
          <w:rtl/>
        </w:rPr>
        <w:t xml:space="preserve">פעמים </w:t>
      </w:r>
      <w:bookmarkStart w:id="49779" w:name="_ETM_Q96_581070"/>
      <w:bookmarkEnd w:id="49779"/>
      <w:r>
        <w:rPr>
          <w:rFonts w:hint="cs"/>
          <w:rtl/>
        </w:rPr>
        <w:t xml:space="preserve">לבטל </w:t>
      </w:r>
      <w:bookmarkStart w:id="49780" w:name="_ETM_Q96_581460"/>
      <w:bookmarkEnd w:id="49780"/>
      <w:r>
        <w:rPr>
          <w:rFonts w:hint="cs"/>
          <w:rtl/>
        </w:rPr>
        <w:t xml:space="preserve">את </w:t>
      </w:r>
      <w:bookmarkStart w:id="49781" w:name="_ETM_Q96_581549"/>
      <w:bookmarkEnd w:id="49781"/>
      <w:r>
        <w:rPr>
          <w:rFonts w:hint="cs"/>
          <w:rtl/>
        </w:rPr>
        <w:t xml:space="preserve">מצעדי </w:t>
      </w:r>
      <w:bookmarkStart w:id="49782" w:name="_ETM_Q96_582000"/>
      <w:bookmarkEnd w:id="49782"/>
      <w:r>
        <w:rPr>
          <w:rFonts w:hint="cs"/>
          <w:rtl/>
        </w:rPr>
        <w:t xml:space="preserve">הגאווה </w:t>
      </w:r>
      <w:bookmarkStart w:id="49783" w:name="_ETM_Q96_583609"/>
      <w:bookmarkEnd w:id="49783"/>
      <w:r>
        <w:rPr>
          <w:rFonts w:hint="cs"/>
          <w:rtl/>
        </w:rPr>
        <w:t xml:space="preserve">וכעת </w:t>
      </w:r>
      <w:bookmarkStart w:id="49784" w:name="_ETM_Q96_584270"/>
      <w:bookmarkEnd w:id="49784"/>
      <w:r>
        <w:rPr>
          <w:rFonts w:hint="cs"/>
          <w:rtl/>
        </w:rPr>
        <w:t xml:space="preserve">הוא </w:t>
      </w:r>
      <w:bookmarkStart w:id="49785" w:name="_ETM_Q96_584329"/>
      <w:bookmarkEnd w:id="49785"/>
      <w:r>
        <w:rPr>
          <w:rFonts w:hint="cs"/>
          <w:rtl/>
        </w:rPr>
        <w:t xml:space="preserve">גם </w:t>
      </w:r>
      <w:bookmarkStart w:id="49786" w:name="_ETM_Q96_584539"/>
      <w:bookmarkEnd w:id="49786"/>
      <w:r>
        <w:rPr>
          <w:rFonts w:hint="cs"/>
          <w:rtl/>
        </w:rPr>
        <w:t xml:space="preserve">אמון </w:t>
      </w:r>
      <w:bookmarkStart w:id="49787" w:name="_ETM_Q96_584869"/>
      <w:bookmarkEnd w:id="49787"/>
      <w:r>
        <w:rPr>
          <w:rFonts w:hint="cs"/>
          <w:rtl/>
        </w:rPr>
        <w:t xml:space="preserve">על </w:t>
      </w:r>
      <w:bookmarkStart w:id="49788" w:name="_ETM_Q96_584990"/>
      <w:bookmarkEnd w:id="49788"/>
      <w:r>
        <w:rPr>
          <w:rFonts w:hint="cs"/>
          <w:rtl/>
        </w:rPr>
        <w:t xml:space="preserve">המדיניות </w:t>
      </w:r>
      <w:bookmarkStart w:id="49789" w:name="_ETM_Q96_585469"/>
      <w:bookmarkEnd w:id="49789"/>
      <w:r>
        <w:rPr>
          <w:rFonts w:hint="cs"/>
          <w:rtl/>
        </w:rPr>
        <w:t xml:space="preserve">של </w:t>
      </w:r>
      <w:bookmarkStart w:id="49790" w:name="_ETM_Q96_585619"/>
      <w:bookmarkEnd w:id="49790"/>
      <w:r>
        <w:rPr>
          <w:rFonts w:hint="cs"/>
          <w:rtl/>
        </w:rPr>
        <w:t xml:space="preserve">אבטחתם; </w:t>
      </w:r>
      <w:bookmarkStart w:id="49791" w:name="_ETM_Q96_587850"/>
      <w:bookmarkEnd w:id="49791"/>
      <w:r>
        <w:rPr>
          <w:rFonts w:hint="cs"/>
          <w:rtl/>
        </w:rPr>
        <w:t xml:space="preserve">לא </w:t>
      </w:r>
      <w:bookmarkStart w:id="49792" w:name="_ETM_Q96_588119"/>
      <w:bookmarkEnd w:id="49792"/>
      <w:r>
        <w:rPr>
          <w:rFonts w:hint="cs"/>
          <w:rtl/>
        </w:rPr>
        <w:t xml:space="preserve">להכיר </w:t>
      </w:r>
      <w:bookmarkStart w:id="49793" w:name="_ETM_Q96_588659"/>
      <w:bookmarkEnd w:id="49793"/>
      <w:r>
        <w:rPr>
          <w:rFonts w:hint="cs"/>
          <w:rtl/>
        </w:rPr>
        <w:t xml:space="preserve">בזוגיות </w:t>
      </w:r>
      <w:bookmarkStart w:id="49794" w:name="_ETM_Q96_589740"/>
      <w:bookmarkEnd w:id="49794"/>
      <w:r>
        <w:rPr>
          <w:rFonts w:hint="cs"/>
          <w:rtl/>
        </w:rPr>
        <w:t xml:space="preserve">של להט"בים, </w:t>
      </w:r>
      <w:bookmarkStart w:id="49795" w:name="_ETM_Q96_590520"/>
      <w:bookmarkEnd w:id="49795"/>
      <w:r>
        <w:rPr>
          <w:rFonts w:hint="cs"/>
          <w:rtl/>
        </w:rPr>
        <w:t xml:space="preserve">בחתונה </w:t>
      </w:r>
      <w:bookmarkStart w:id="49796" w:name="_ETM_Q96_591119"/>
      <w:bookmarkStart w:id="49797" w:name="_ETM_Q96_591960"/>
      <w:bookmarkEnd w:id="49796"/>
      <w:bookmarkEnd w:id="49797"/>
      <w:r>
        <w:rPr>
          <w:rFonts w:hint="cs"/>
          <w:rtl/>
        </w:rPr>
        <w:t xml:space="preserve">של להט"בים, בצווי </w:t>
      </w:r>
      <w:bookmarkStart w:id="49798" w:name="_ETM_Q96_592439"/>
      <w:bookmarkEnd w:id="49798"/>
      <w:r>
        <w:rPr>
          <w:rFonts w:hint="cs"/>
          <w:rtl/>
        </w:rPr>
        <w:t xml:space="preserve">הורות </w:t>
      </w:r>
      <w:bookmarkStart w:id="49799" w:name="_ETM_Q96_593360"/>
      <w:bookmarkStart w:id="49800" w:name="_ETM_Q96_594110"/>
      <w:bookmarkEnd w:id="49799"/>
      <w:bookmarkEnd w:id="49800"/>
      <w:r>
        <w:rPr>
          <w:rFonts w:hint="cs"/>
          <w:rtl/>
        </w:rPr>
        <w:t xml:space="preserve">של להט"בים בידי </w:t>
      </w:r>
      <w:bookmarkStart w:id="49801" w:name="_ETM_Q96_594439"/>
      <w:bookmarkEnd w:id="49801"/>
      <w:r>
        <w:rPr>
          <w:rFonts w:hint="cs"/>
          <w:rtl/>
        </w:rPr>
        <w:t xml:space="preserve">משרד </w:t>
      </w:r>
      <w:bookmarkStart w:id="49802" w:name="_ETM_Q96_594860"/>
      <w:bookmarkEnd w:id="49802"/>
      <w:r>
        <w:rPr>
          <w:rFonts w:hint="cs"/>
          <w:rtl/>
        </w:rPr>
        <w:t xml:space="preserve">הפנים </w:t>
      </w:r>
      <w:r>
        <w:t>–</w:t>
      </w:r>
      <w:r>
        <w:rPr>
          <w:rFonts w:hint="cs"/>
          <w:rtl/>
        </w:rPr>
        <w:t xml:space="preserve"> </w:t>
      </w:r>
      <w:bookmarkStart w:id="49803" w:name="_ETM_Q96_596050"/>
      <w:bookmarkEnd w:id="49803"/>
      <w:r>
        <w:rPr>
          <w:rFonts w:hint="cs"/>
          <w:rtl/>
        </w:rPr>
        <w:t xml:space="preserve">עוד </w:t>
      </w:r>
      <w:bookmarkStart w:id="49804" w:name="_ETM_Q96_596260"/>
      <w:bookmarkEnd w:id="49804"/>
      <w:r>
        <w:rPr>
          <w:rFonts w:hint="cs"/>
          <w:rtl/>
        </w:rPr>
        <w:t xml:space="preserve">החלטת </w:t>
      </w:r>
      <w:bookmarkStart w:id="49805" w:name="_ETM_Q96_596680"/>
      <w:bookmarkEnd w:id="49805"/>
      <w:r>
        <w:rPr>
          <w:rFonts w:hint="cs"/>
          <w:rtl/>
        </w:rPr>
        <w:t xml:space="preserve">מדיניות </w:t>
      </w:r>
      <w:bookmarkStart w:id="49806" w:name="_ETM_Q96_597190"/>
      <w:bookmarkEnd w:id="49806"/>
      <w:r>
        <w:rPr>
          <w:rFonts w:hint="cs"/>
          <w:rtl/>
        </w:rPr>
        <w:t xml:space="preserve">שהממשלה </w:t>
      </w:r>
      <w:bookmarkStart w:id="49807" w:name="_ETM_Q96_597790"/>
      <w:bookmarkEnd w:id="49807"/>
      <w:r>
        <w:rPr>
          <w:rFonts w:hint="cs"/>
          <w:rtl/>
        </w:rPr>
        <w:t xml:space="preserve">הזו </w:t>
      </w:r>
      <w:bookmarkStart w:id="49808" w:name="_ETM_Q96_598120"/>
      <w:bookmarkEnd w:id="49808"/>
      <w:r>
        <w:rPr>
          <w:rFonts w:hint="cs"/>
          <w:rtl/>
        </w:rPr>
        <w:t xml:space="preserve">יכולה </w:t>
      </w:r>
      <w:bookmarkStart w:id="49809" w:name="_ETM_Q96_598540"/>
      <w:bookmarkEnd w:id="49809"/>
      <w:r>
        <w:rPr>
          <w:rFonts w:hint="cs"/>
          <w:rtl/>
        </w:rPr>
        <w:t>לקבל</w:t>
      </w:r>
      <w:bookmarkStart w:id="49810" w:name="_ETM_Q96_599790"/>
      <w:bookmarkEnd w:id="49810"/>
      <w:r>
        <w:rPr>
          <w:rFonts w:hint="cs"/>
          <w:rtl/>
        </w:rPr>
        <w:t xml:space="preserve">, שהרי </w:t>
      </w:r>
      <w:bookmarkStart w:id="49811" w:name="_ETM_Q96_600150"/>
      <w:bookmarkEnd w:id="49811"/>
      <w:r>
        <w:rPr>
          <w:rFonts w:hint="cs"/>
          <w:rtl/>
        </w:rPr>
        <w:t xml:space="preserve">זאת </w:t>
      </w:r>
      <w:bookmarkStart w:id="49812" w:name="_ETM_Q96_600330"/>
      <w:bookmarkEnd w:id="49812"/>
      <w:r>
        <w:rPr>
          <w:rFonts w:hint="cs"/>
          <w:rtl/>
        </w:rPr>
        <w:t xml:space="preserve">הממשלה </w:t>
      </w:r>
      <w:bookmarkStart w:id="49813" w:name="_ETM_Q96_600960"/>
      <w:bookmarkEnd w:id="49813"/>
      <w:r>
        <w:rPr>
          <w:rFonts w:hint="cs"/>
          <w:rtl/>
        </w:rPr>
        <w:t xml:space="preserve">הלהט"בופובית הגדולה </w:t>
      </w:r>
      <w:bookmarkStart w:id="49814" w:name="_ETM_Q96_603930"/>
      <w:bookmarkEnd w:id="49814"/>
      <w:r>
        <w:rPr>
          <w:rFonts w:hint="cs"/>
          <w:rtl/>
        </w:rPr>
        <w:t xml:space="preserve">והמסוכנת </w:t>
      </w:r>
      <w:bookmarkStart w:id="49815" w:name="_ETM_Q96_604710"/>
      <w:bookmarkEnd w:id="49815"/>
      <w:r>
        <w:rPr>
          <w:rFonts w:hint="cs"/>
          <w:rtl/>
        </w:rPr>
        <w:t xml:space="preserve">ביותר </w:t>
      </w:r>
      <w:bookmarkStart w:id="49816" w:name="_ETM_Q96_605100"/>
      <w:bookmarkEnd w:id="49816"/>
      <w:r>
        <w:rPr>
          <w:rFonts w:hint="cs"/>
          <w:rtl/>
        </w:rPr>
        <w:t xml:space="preserve">שהוקמה </w:t>
      </w:r>
      <w:bookmarkStart w:id="49817" w:name="_ETM_Q96_606149"/>
      <w:bookmarkEnd w:id="49817"/>
      <w:r>
        <w:rPr>
          <w:rFonts w:hint="cs"/>
          <w:rtl/>
        </w:rPr>
        <w:t xml:space="preserve">בתולדות </w:t>
      </w:r>
      <w:bookmarkStart w:id="49818" w:name="_ETM_Q96_606689"/>
      <w:bookmarkEnd w:id="49818"/>
      <w:r>
        <w:rPr>
          <w:rFonts w:hint="cs"/>
          <w:rtl/>
        </w:rPr>
        <w:t xml:space="preserve">ישראל. </w:t>
      </w:r>
      <w:bookmarkStart w:id="49819" w:name="_ETM_Q96_608279"/>
      <w:bookmarkEnd w:id="49819"/>
    </w:p>
    <w:p w:rsidR="00BB59CD" w:rsidRDefault="00BB59CD" w:rsidP="00BB59CD">
      <w:pPr>
        <w:rPr>
          <w:rtl/>
        </w:rPr>
      </w:pPr>
      <w:bookmarkStart w:id="49820" w:name="_ETM_Q96_611326"/>
      <w:bookmarkStart w:id="49821" w:name="_ETM_Q96_611405"/>
      <w:bookmarkEnd w:id="49820"/>
      <w:bookmarkEnd w:id="49821"/>
    </w:p>
    <w:p w:rsidR="00BB59CD" w:rsidRDefault="00BB59CD" w:rsidP="00BB59CD">
      <w:pPr>
        <w:rPr>
          <w:rtl/>
        </w:rPr>
      </w:pPr>
      <w:bookmarkStart w:id="49822" w:name="_ETM_Q96_611510"/>
      <w:bookmarkStart w:id="49823" w:name="_ETM_Q96_611601"/>
      <w:bookmarkEnd w:id="49822"/>
      <w:bookmarkEnd w:id="49823"/>
      <w:r>
        <w:rPr>
          <w:rFonts w:hint="cs"/>
          <w:rtl/>
        </w:rPr>
        <w:t xml:space="preserve">אלו, </w:t>
      </w:r>
      <w:bookmarkStart w:id="49824" w:name="_ETM_Q96_609000"/>
      <w:bookmarkEnd w:id="49824"/>
      <w:r>
        <w:rPr>
          <w:rFonts w:hint="cs"/>
          <w:rtl/>
        </w:rPr>
        <w:t xml:space="preserve">חברות </w:t>
      </w:r>
      <w:bookmarkStart w:id="49825" w:name="_ETM_Q96_609510"/>
      <w:bookmarkEnd w:id="49825"/>
      <w:r>
        <w:rPr>
          <w:rFonts w:hint="cs"/>
          <w:rtl/>
        </w:rPr>
        <w:t xml:space="preserve">וחברי </w:t>
      </w:r>
      <w:bookmarkStart w:id="49826" w:name="_ETM_Q96_609870"/>
      <w:bookmarkEnd w:id="49826"/>
      <w:r>
        <w:rPr>
          <w:rFonts w:hint="cs"/>
          <w:rtl/>
        </w:rPr>
        <w:t xml:space="preserve">הכנסת, </w:t>
      </w:r>
      <w:bookmarkStart w:id="49827" w:name="_ETM_Q96_610260"/>
      <w:bookmarkEnd w:id="49827"/>
      <w:r>
        <w:rPr>
          <w:rFonts w:hint="cs"/>
          <w:rtl/>
        </w:rPr>
        <w:t xml:space="preserve">החלטות </w:t>
      </w:r>
      <w:bookmarkStart w:id="49828" w:name="_ETM_Q96_610680"/>
      <w:bookmarkEnd w:id="49828"/>
      <w:r>
        <w:rPr>
          <w:rFonts w:hint="cs"/>
          <w:rtl/>
        </w:rPr>
        <w:t xml:space="preserve">שהממשלה </w:t>
      </w:r>
      <w:bookmarkStart w:id="49829" w:name="_ETM_Q96_611280"/>
      <w:bookmarkEnd w:id="49829"/>
      <w:r>
        <w:rPr>
          <w:rFonts w:hint="cs"/>
          <w:rtl/>
        </w:rPr>
        <w:t xml:space="preserve">יכולה </w:t>
      </w:r>
      <w:bookmarkStart w:id="49830" w:name="_ETM_Q96_611670"/>
      <w:bookmarkEnd w:id="49830"/>
      <w:r>
        <w:rPr>
          <w:rFonts w:hint="cs"/>
          <w:rtl/>
        </w:rPr>
        <w:t xml:space="preserve">לקבל, </w:t>
      </w:r>
      <w:bookmarkStart w:id="49831" w:name="_ETM_Q96_612659"/>
      <w:bookmarkEnd w:id="49831"/>
      <w:r>
        <w:rPr>
          <w:rFonts w:hint="cs"/>
          <w:rtl/>
        </w:rPr>
        <w:t xml:space="preserve">ולאחר </w:t>
      </w:r>
      <w:bookmarkStart w:id="49832" w:name="_ETM_Q96_613140"/>
      <w:bookmarkEnd w:id="49832"/>
      <w:r>
        <w:rPr>
          <w:rFonts w:hint="cs"/>
          <w:rtl/>
        </w:rPr>
        <w:t xml:space="preserve">ביטול </w:t>
      </w:r>
      <w:bookmarkStart w:id="49833" w:name="_ETM_Q96_613470"/>
      <w:bookmarkEnd w:id="49833"/>
      <w:r>
        <w:rPr>
          <w:rFonts w:hint="cs"/>
          <w:rtl/>
        </w:rPr>
        <w:t xml:space="preserve">עילת </w:t>
      </w:r>
      <w:bookmarkStart w:id="49834" w:name="_ETM_Q96_613739"/>
      <w:bookmarkEnd w:id="49834"/>
      <w:r>
        <w:rPr>
          <w:rFonts w:hint="cs"/>
          <w:rtl/>
        </w:rPr>
        <w:t xml:space="preserve">הסבירות </w:t>
      </w:r>
      <w:bookmarkStart w:id="49835" w:name="_ETM_Q96_614189"/>
      <w:bookmarkEnd w:id="49835"/>
      <w:r>
        <w:rPr>
          <w:rFonts w:hint="cs"/>
          <w:rtl/>
        </w:rPr>
        <w:t xml:space="preserve">לא </w:t>
      </w:r>
      <w:bookmarkStart w:id="49836" w:name="_ETM_Q96_614310"/>
      <w:bookmarkEnd w:id="49836"/>
      <w:r>
        <w:rPr>
          <w:rFonts w:hint="cs"/>
          <w:rtl/>
        </w:rPr>
        <w:t xml:space="preserve">יהיה </w:t>
      </w:r>
      <w:bookmarkStart w:id="49837" w:name="_ETM_Q96_614459"/>
      <w:bookmarkEnd w:id="49837"/>
      <w:r>
        <w:rPr>
          <w:rFonts w:hint="cs"/>
          <w:rtl/>
        </w:rPr>
        <w:t xml:space="preserve">גורם </w:t>
      </w:r>
      <w:bookmarkStart w:id="49838" w:name="_ETM_Q96_614760"/>
      <w:bookmarkEnd w:id="49838"/>
      <w:r>
        <w:rPr>
          <w:rFonts w:hint="cs"/>
          <w:rtl/>
        </w:rPr>
        <w:t xml:space="preserve">אחד </w:t>
      </w:r>
      <w:bookmarkStart w:id="49839" w:name="_ETM_Q96_615239"/>
      <w:bookmarkEnd w:id="49839"/>
      <w:r>
        <w:rPr>
          <w:rFonts w:hint="cs"/>
          <w:rtl/>
        </w:rPr>
        <w:t xml:space="preserve">שיוכל </w:t>
      </w:r>
      <w:bookmarkStart w:id="49840" w:name="_ETM_Q96_615629"/>
      <w:bookmarkEnd w:id="49840"/>
      <w:r>
        <w:rPr>
          <w:rFonts w:hint="cs"/>
          <w:rtl/>
        </w:rPr>
        <w:t xml:space="preserve">לעצור </w:t>
      </w:r>
      <w:bookmarkStart w:id="49841" w:name="_ETM_Q96_616049"/>
      <w:bookmarkEnd w:id="49841"/>
      <w:r>
        <w:rPr>
          <w:rFonts w:hint="cs"/>
          <w:rtl/>
        </w:rPr>
        <w:t xml:space="preserve">אותה </w:t>
      </w:r>
      <w:bookmarkStart w:id="49842" w:name="_ETM_Q96_616760"/>
      <w:bookmarkEnd w:id="49842"/>
      <w:r>
        <w:rPr>
          <w:rFonts w:hint="cs"/>
          <w:rtl/>
        </w:rPr>
        <w:t>מ</w:t>
      </w:r>
      <w:bookmarkStart w:id="49843" w:name="_ETM_Q96_617030"/>
      <w:bookmarkEnd w:id="49843"/>
      <w:r>
        <w:rPr>
          <w:rFonts w:hint="cs"/>
          <w:rtl/>
        </w:rPr>
        <w:t xml:space="preserve">לקבל </w:t>
      </w:r>
      <w:bookmarkStart w:id="49844" w:name="_ETM_Q96_617450"/>
      <w:bookmarkEnd w:id="49844"/>
      <w:r>
        <w:rPr>
          <w:rFonts w:hint="cs"/>
          <w:rtl/>
        </w:rPr>
        <w:t xml:space="preserve">אותן </w:t>
      </w:r>
      <w:bookmarkStart w:id="49845" w:name="_ETM_Q96_618230"/>
      <w:bookmarkEnd w:id="49845"/>
      <w:r>
        <w:rPr>
          <w:rFonts w:hint="cs"/>
          <w:rtl/>
        </w:rPr>
        <w:t xml:space="preserve">ולפגוע </w:t>
      </w:r>
      <w:bookmarkStart w:id="49846" w:name="_ETM_Q96_618709"/>
      <w:bookmarkEnd w:id="49846"/>
      <w:r>
        <w:rPr>
          <w:rFonts w:hint="cs"/>
          <w:rtl/>
        </w:rPr>
        <w:t xml:space="preserve">בזכויות </w:t>
      </w:r>
      <w:bookmarkStart w:id="49847" w:name="_ETM_Q96_619250"/>
      <w:bookmarkEnd w:id="49847"/>
      <w:r>
        <w:rPr>
          <w:rFonts w:hint="cs"/>
          <w:rtl/>
        </w:rPr>
        <w:t xml:space="preserve">שלנו, </w:t>
      </w:r>
      <w:bookmarkStart w:id="49848" w:name="_ETM_Q96_619640"/>
      <w:bookmarkEnd w:id="49848"/>
      <w:r>
        <w:rPr>
          <w:rFonts w:hint="cs"/>
          <w:rtl/>
        </w:rPr>
        <w:t xml:space="preserve">בחופש </w:t>
      </w:r>
      <w:bookmarkStart w:id="49849" w:name="_ETM_Q96_620180"/>
      <w:bookmarkEnd w:id="49849"/>
      <w:r>
        <w:rPr>
          <w:rFonts w:hint="cs"/>
          <w:rtl/>
        </w:rPr>
        <w:t xml:space="preserve">שלנו, </w:t>
      </w:r>
      <w:bookmarkStart w:id="49850" w:name="_ETM_Q96_620599"/>
      <w:bookmarkEnd w:id="49850"/>
      <w:r>
        <w:rPr>
          <w:rFonts w:hint="cs"/>
          <w:rtl/>
        </w:rPr>
        <w:t xml:space="preserve">במקום </w:t>
      </w:r>
      <w:bookmarkStart w:id="49851" w:name="_ETM_Q96_621110"/>
      <w:bookmarkEnd w:id="49851"/>
      <w:r>
        <w:rPr>
          <w:rFonts w:hint="cs"/>
          <w:rtl/>
        </w:rPr>
        <w:t xml:space="preserve">השווה </w:t>
      </w:r>
      <w:bookmarkStart w:id="49852" w:name="_ETM_Q96_621560"/>
      <w:bookmarkEnd w:id="49852"/>
      <w:r>
        <w:rPr>
          <w:rFonts w:hint="cs"/>
          <w:rtl/>
        </w:rPr>
        <w:t xml:space="preserve">והמלא </w:t>
      </w:r>
      <w:bookmarkStart w:id="49853" w:name="_ETM_Q96_622040"/>
      <w:bookmarkEnd w:id="49853"/>
      <w:r>
        <w:rPr>
          <w:rFonts w:hint="cs"/>
          <w:rtl/>
        </w:rPr>
        <w:t xml:space="preserve">שלנו </w:t>
      </w:r>
      <w:bookmarkStart w:id="49854" w:name="_ETM_Q96_623200"/>
      <w:bookmarkEnd w:id="49854"/>
      <w:r>
        <w:rPr>
          <w:rFonts w:hint="cs"/>
          <w:rtl/>
        </w:rPr>
        <w:t xml:space="preserve">בחברה </w:t>
      </w:r>
      <w:bookmarkStart w:id="49855" w:name="_ETM_Q96_623709"/>
      <w:bookmarkEnd w:id="49855"/>
      <w:r>
        <w:rPr>
          <w:rFonts w:hint="cs"/>
          <w:rtl/>
        </w:rPr>
        <w:t xml:space="preserve">הישראלית. </w:t>
      </w:r>
      <w:bookmarkStart w:id="49856" w:name="_ETM_Q96_625050"/>
      <w:bookmarkEnd w:id="49856"/>
    </w:p>
    <w:p w:rsidR="00BB59CD" w:rsidRDefault="00BB59CD" w:rsidP="00BB59CD">
      <w:pPr>
        <w:rPr>
          <w:rtl/>
        </w:rPr>
      </w:pPr>
      <w:bookmarkStart w:id="49857" w:name="_ETM_Q96_624723"/>
      <w:bookmarkStart w:id="49858" w:name="_ETM_Q96_624785"/>
      <w:bookmarkEnd w:id="49857"/>
      <w:bookmarkEnd w:id="49858"/>
    </w:p>
    <w:p w:rsidR="00BB59CD" w:rsidRDefault="00BB59CD" w:rsidP="00BB59CD">
      <w:pPr>
        <w:rPr>
          <w:rtl/>
        </w:rPr>
      </w:pPr>
      <w:bookmarkStart w:id="49859" w:name="_ETM_Q96_624880"/>
      <w:bookmarkStart w:id="49860" w:name="_ETM_Q96_624931"/>
      <w:bookmarkStart w:id="49861" w:name="_ETM_Q96_625260"/>
      <w:bookmarkEnd w:id="49859"/>
      <w:bookmarkEnd w:id="49860"/>
      <w:bookmarkEnd w:id="49861"/>
      <w:r>
        <w:rPr>
          <w:rFonts w:hint="cs"/>
          <w:rtl/>
        </w:rPr>
        <w:t xml:space="preserve">אני </w:t>
      </w:r>
      <w:bookmarkStart w:id="49862" w:name="_ETM_Q96_625620"/>
      <w:bookmarkEnd w:id="49862"/>
      <w:r>
        <w:rPr>
          <w:rFonts w:hint="cs"/>
          <w:rtl/>
        </w:rPr>
        <w:t xml:space="preserve">עוקב, </w:t>
      </w:r>
      <w:bookmarkStart w:id="49863" w:name="_ETM_Q96_626510"/>
      <w:bookmarkEnd w:id="49863"/>
      <w:r>
        <w:rPr>
          <w:rFonts w:hint="cs"/>
          <w:rtl/>
        </w:rPr>
        <w:t xml:space="preserve">כולנו </w:t>
      </w:r>
      <w:bookmarkStart w:id="49864" w:name="_ETM_Q96_627200"/>
      <w:bookmarkEnd w:id="49864"/>
      <w:r>
        <w:rPr>
          <w:rFonts w:hint="cs"/>
          <w:rtl/>
        </w:rPr>
        <w:t xml:space="preserve">עוקבים </w:t>
      </w:r>
      <w:bookmarkStart w:id="49865" w:name="_ETM_Q96_627590"/>
      <w:bookmarkEnd w:id="49865"/>
      <w:r>
        <w:rPr>
          <w:rFonts w:hint="cs"/>
          <w:rtl/>
        </w:rPr>
        <w:t xml:space="preserve">בדאגה </w:t>
      </w:r>
      <w:bookmarkStart w:id="49866" w:name="_ETM_Q96_628220"/>
      <w:bookmarkEnd w:id="49866"/>
      <w:r>
        <w:rPr>
          <w:rFonts w:hint="cs"/>
          <w:rtl/>
        </w:rPr>
        <w:t xml:space="preserve">אחר הנעשה </w:t>
      </w:r>
      <w:bookmarkStart w:id="49867" w:name="_ETM_Q96_628880"/>
      <w:bookmarkEnd w:id="49867"/>
      <w:r>
        <w:rPr>
          <w:rFonts w:hint="cs"/>
          <w:rtl/>
        </w:rPr>
        <w:t xml:space="preserve">בפולין </w:t>
      </w:r>
      <w:bookmarkStart w:id="49868" w:name="_ETM_Q96_629330"/>
      <w:bookmarkEnd w:id="49868"/>
      <w:r>
        <w:rPr>
          <w:rFonts w:hint="cs"/>
          <w:rtl/>
        </w:rPr>
        <w:t xml:space="preserve">ובהונגריה, </w:t>
      </w:r>
      <w:bookmarkStart w:id="49869" w:name="_ETM_Q96_630489"/>
      <w:bookmarkStart w:id="49870" w:name="_ETM_Q96_631420"/>
      <w:bookmarkEnd w:id="49869"/>
      <w:bookmarkEnd w:id="49870"/>
      <w:r>
        <w:rPr>
          <w:rFonts w:hint="cs"/>
          <w:rtl/>
        </w:rPr>
        <w:t xml:space="preserve">שבהן </w:t>
      </w:r>
      <w:bookmarkStart w:id="49871" w:name="_ETM_Q96_631900"/>
      <w:bookmarkEnd w:id="49871"/>
      <w:r>
        <w:rPr>
          <w:rFonts w:hint="cs"/>
          <w:rtl/>
        </w:rPr>
        <w:t>הו</w:t>
      </w:r>
      <w:bookmarkStart w:id="49872" w:name="_ETM_Q96_631989"/>
      <w:bookmarkEnd w:id="49872"/>
      <w:r>
        <w:rPr>
          <w:rFonts w:hint="cs"/>
          <w:rtl/>
        </w:rPr>
        <w:t xml:space="preserve">שלמה </w:t>
      </w:r>
      <w:bookmarkStart w:id="49873" w:name="_ETM_Q96_632500"/>
      <w:bookmarkEnd w:id="49873"/>
      <w:r>
        <w:rPr>
          <w:rFonts w:hint="cs"/>
          <w:rtl/>
        </w:rPr>
        <w:t xml:space="preserve">הפיכה </w:t>
      </w:r>
      <w:bookmarkStart w:id="49874" w:name="_ETM_Q96_632860"/>
      <w:bookmarkEnd w:id="49874"/>
      <w:r>
        <w:rPr>
          <w:rFonts w:hint="cs"/>
          <w:rtl/>
        </w:rPr>
        <w:t xml:space="preserve">משטרית </w:t>
      </w:r>
      <w:bookmarkStart w:id="49875" w:name="_ETM_Q96_633489"/>
      <w:bookmarkEnd w:id="49875"/>
      <w:r>
        <w:rPr>
          <w:rFonts w:hint="cs"/>
          <w:rtl/>
        </w:rPr>
        <w:t xml:space="preserve">מהסוג </w:t>
      </w:r>
      <w:bookmarkStart w:id="49876" w:name="_ETM_Q96_634680"/>
      <w:bookmarkEnd w:id="49876"/>
      <w:r>
        <w:rPr>
          <w:rFonts w:hint="cs"/>
          <w:rtl/>
        </w:rPr>
        <w:t xml:space="preserve">שאנחנו </w:t>
      </w:r>
      <w:bookmarkStart w:id="49877" w:name="_ETM_Q96_635099"/>
      <w:bookmarkEnd w:id="49877"/>
      <w:r>
        <w:rPr>
          <w:rFonts w:hint="cs"/>
          <w:rtl/>
        </w:rPr>
        <w:t xml:space="preserve">רואים </w:t>
      </w:r>
      <w:bookmarkStart w:id="49878" w:name="_ETM_Q96_635370"/>
      <w:bookmarkEnd w:id="49878"/>
      <w:r>
        <w:rPr>
          <w:rFonts w:hint="cs"/>
          <w:rtl/>
        </w:rPr>
        <w:t xml:space="preserve">כאן. </w:t>
      </w:r>
      <w:bookmarkStart w:id="49879" w:name="_ETM_Q96_636480"/>
      <w:bookmarkEnd w:id="49879"/>
      <w:r>
        <w:rPr>
          <w:rFonts w:hint="cs"/>
          <w:rtl/>
        </w:rPr>
        <w:t xml:space="preserve">אם </w:t>
      </w:r>
      <w:bookmarkStart w:id="49880" w:name="_ETM_Q96_636659"/>
      <w:bookmarkEnd w:id="49880"/>
      <w:r>
        <w:rPr>
          <w:rFonts w:hint="cs"/>
          <w:rtl/>
        </w:rPr>
        <w:t xml:space="preserve">בהונגריה </w:t>
      </w:r>
      <w:bookmarkStart w:id="49881" w:name="_ETM_Q96_637230"/>
      <w:bookmarkEnd w:id="49881"/>
      <w:r>
        <w:rPr>
          <w:rFonts w:hint="cs"/>
          <w:rtl/>
        </w:rPr>
        <w:t xml:space="preserve">זה </w:t>
      </w:r>
      <w:bookmarkStart w:id="49882" w:name="_ETM_Q96_637349"/>
      <w:bookmarkEnd w:id="49882"/>
      <w:r>
        <w:rPr>
          <w:rFonts w:hint="cs"/>
          <w:rtl/>
        </w:rPr>
        <w:t xml:space="preserve">היה </w:t>
      </w:r>
      <w:bookmarkStart w:id="49883" w:name="_ETM_Q96_637439"/>
      <w:bookmarkEnd w:id="49883"/>
      <w:r>
        <w:rPr>
          <w:rFonts w:hint="cs"/>
          <w:rtl/>
        </w:rPr>
        <w:t xml:space="preserve">בזבנג </w:t>
      </w:r>
      <w:bookmarkStart w:id="49884" w:name="_ETM_Q96_637859"/>
      <w:bookmarkEnd w:id="49884"/>
      <w:r>
        <w:rPr>
          <w:rFonts w:hint="cs"/>
          <w:rtl/>
        </w:rPr>
        <w:t xml:space="preserve">וגמרנו, </w:t>
      </w:r>
      <w:bookmarkStart w:id="49885" w:name="_ETM_Q96_638400"/>
      <w:bookmarkEnd w:id="49885"/>
      <w:r>
        <w:rPr>
          <w:rFonts w:hint="cs"/>
          <w:rtl/>
        </w:rPr>
        <w:t xml:space="preserve">בפולין </w:t>
      </w:r>
      <w:bookmarkStart w:id="49886" w:name="_ETM_Q96_638819"/>
      <w:bookmarkEnd w:id="49886"/>
      <w:r>
        <w:rPr>
          <w:rFonts w:hint="cs"/>
          <w:rtl/>
        </w:rPr>
        <w:t xml:space="preserve">זה </w:t>
      </w:r>
      <w:bookmarkStart w:id="49887" w:name="_ETM_Q96_638939"/>
      <w:bookmarkEnd w:id="49887"/>
      <w:r>
        <w:rPr>
          <w:rFonts w:hint="cs"/>
          <w:rtl/>
        </w:rPr>
        <w:t xml:space="preserve">היה </w:t>
      </w:r>
      <w:bookmarkStart w:id="49888" w:name="_ETM_Q96_639180"/>
      <w:bookmarkEnd w:id="49888"/>
      <w:r>
        <w:rPr>
          <w:rFonts w:hint="cs"/>
          <w:rtl/>
        </w:rPr>
        <w:t xml:space="preserve">בשיטת </w:t>
      </w:r>
      <w:bookmarkStart w:id="49889" w:name="_ETM_Q96_639599"/>
      <w:bookmarkEnd w:id="49889"/>
      <w:r>
        <w:rPr>
          <w:rFonts w:hint="cs"/>
          <w:rtl/>
        </w:rPr>
        <w:t xml:space="preserve">הסלמי, </w:t>
      </w:r>
      <w:bookmarkStart w:id="49890" w:name="_ETM_Q96_640079"/>
      <w:bookmarkEnd w:id="49890"/>
      <w:r>
        <w:rPr>
          <w:rFonts w:hint="cs"/>
          <w:rtl/>
        </w:rPr>
        <w:t xml:space="preserve">פיסה </w:t>
      </w:r>
      <w:bookmarkStart w:id="49891" w:name="_ETM_Q96_640530"/>
      <w:bookmarkEnd w:id="49891"/>
      <w:r>
        <w:rPr>
          <w:rFonts w:hint="cs"/>
          <w:rtl/>
        </w:rPr>
        <w:t xml:space="preserve">אחר </w:t>
      </w:r>
      <w:bookmarkStart w:id="49892" w:name="_ETM_Q96_640799"/>
      <w:bookmarkEnd w:id="49892"/>
      <w:r>
        <w:rPr>
          <w:rFonts w:hint="cs"/>
          <w:rtl/>
        </w:rPr>
        <w:t xml:space="preserve">פיסה. </w:t>
      </w:r>
      <w:bookmarkStart w:id="49893" w:name="_ETM_Q96_641739"/>
      <w:bookmarkEnd w:id="49893"/>
      <w:r>
        <w:rPr>
          <w:rFonts w:hint="cs"/>
          <w:rtl/>
        </w:rPr>
        <w:t xml:space="preserve">ישראל </w:t>
      </w:r>
      <w:bookmarkStart w:id="49894" w:name="_ETM_Q96_642250"/>
      <w:bookmarkEnd w:id="49894"/>
      <w:r>
        <w:rPr>
          <w:rFonts w:hint="cs"/>
          <w:rtl/>
        </w:rPr>
        <w:t xml:space="preserve">עברה </w:t>
      </w:r>
      <w:bookmarkStart w:id="49895" w:name="_ETM_Q96_642640"/>
      <w:bookmarkEnd w:id="49895"/>
      <w:r>
        <w:rPr>
          <w:rFonts w:hint="cs"/>
          <w:rtl/>
        </w:rPr>
        <w:t xml:space="preserve">מהמודל </w:t>
      </w:r>
      <w:bookmarkStart w:id="49896" w:name="_ETM_Q96_643209"/>
      <w:bookmarkEnd w:id="49896"/>
      <w:r>
        <w:rPr>
          <w:rFonts w:hint="cs"/>
          <w:rtl/>
        </w:rPr>
        <w:t xml:space="preserve">ההונגרי </w:t>
      </w:r>
      <w:bookmarkStart w:id="49897" w:name="_ETM_Q96_643659"/>
      <w:bookmarkEnd w:id="49897"/>
      <w:r>
        <w:rPr>
          <w:rFonts w:hint="cs"/>
          <w:rtl/>
        </w:rPr>
        <w:t xml:space="preserve">למודל </w:t>
      </w:r>
      <w:bookmarkStart w:id="49898" w:name="_ETM_Q96_644049"/>
      <w:bookmarkEnd w:id="49898"/>
      <w:r>
        <w:rPr>
          <w:rFonts w:hint="cs"/>
          <w:rtl/>
        </w:rPr>
        <w:t xml:space="preserve">הפולני. </w:t>
      </w:r>
      <w:bookmarkStart w:id="49899" w:name="_ETM_Q96_645349"/>
      <w:bookmarkEnd w:id="49899"/>
      <w:r>
        <w:rPr>
          <w:rFonts w:hint="cs"/>
          <w:rtl/>
        </w:rPr>
        <w:t xml:space="preserve">אני </w:t>
      </w:r>
      <w:bookmarkStart w:id="49900" w:name="_ETM_Q96_646129"/>
      <w:bookmarkEnd w:id="49900"/>
      <w:r>
        <w:rPr>
          <w:rFonts w:hint="cs"/>
          <w:rtl/>
        </w:rPr>
        <w:t xml:space="preserve">לא </w:t>
      </w:r>
      <w:bookmarkStart w:id="49901" w:name="_ETM_Q96_646189"/>
      <w:bookmarkEnd w:id="49901"/>
      <w:r>
        <w:rPr>
          <w:rFonts w:hint="cs"/>
          <w:rtl/>
        </w:rPr>
        <w:t xml:space="preserve">יודע </w:t>
      </w:r>
      <w:bookmarkStart w:id="49902" w:name="_ETM_Q96_646340"/>
      <w:bookmarkEnd w:id="49902"/>
      <w:r>
        <w:rPr>
          <w:rFonts w:hint="cs"/>
          <w:rtl/>
        </w:rPr>
        <w:t xml:space="preserve">אם </w:t>
      </w:r>
      <w:bookmarkStart w:id="49903" w:name="_ETM_Q96_646400"/>
      <w:bookmarkEnd w:id="49903"/>
      <w:r>
        <w:rPr>
          <w:rFonts w:hint="cs"/>
          <w:rtl/>
        </w:rPr>
        <w:t xml:space="preserve">אתה </w:t>
      </w:r>
      <w:bookmarkStart w:id="49904" w:name="_ETM_Q96_646519"/>
      <w:bookmarkEnd w:id="49904"/>
      <w:r>
        <w:rPr>
          <w:rFonts w:hint="cs"/>
          <w:rtl/>
        </w:rPr>
        <w:t xml:space="preserve">יודע, </w:t>
      </w:r>
      <w:bookmarkStart w:id="49905" w:name="_ETM_Q96_646819"/>
      <w:bookmarkEnd w:id="49905"/>
      <w:r>
        <w:rPr>
          <w:rFonts w:hint="cs"/>
          <w:rtl/>
        </w:rPr>
        <w:t xml:space="preserve">השר </w:t>
      </w:r>
      <w:bookmarkStart w:id="49906" w:name="_ETM_Q96_647209"/>
      <w:bookmarkEnd w:id="49906"/>
      <w:r>
        <w:rPr>
          <w:rFonts w:hint="cs"/>
          <w:rtl/>
        </w:rPr>
        <w:t xml:space="preserve">ברקת, </w:t>
      </w:r>
      <w:bookmarkStart w:id="49907" w:name="_ETM_Q96_647779"/>
      <w:bookmarkEnd w:id="49907"/>
      <w:r>
        <w:rPr>
          <w:rFonts w:hint="cs"/>
          <w:rtl/>
        </w:rPr>
        <w:t xml:space="preserve">נכון </w:t>
      </w:r>
      <w:bookmarkStart w:id="49908" w:name="_ETM_Q96_648109"/>
      <w:bookmarkEnd w:id="49908"/>
      <w:r>
        <w:rPr>
          <w:rFonts w:hint="cs"/>
          <w:rtl/>
        </w:rPr>
        <w:t xml:space="preserve">להיום </w:t>
      </w:r>
      <w:bookmarkStart w:id="49909" w:name="_ETM_Q96_648859"/>
      <w:bookmarkEnd w:id="49909"/>
      <w:r>
        <w:rPr>
          <w:rFonts w:hint="cs"/>
          <w:rtl/>
        </w:rPr>
        <w:t xml:space="preserve">שליש </w:t>
      </w:r>
      <w:bookmarkStart w:id="49910" w:name="_ETM_Q96_649279"/>
      <w:bookmarkEnd w:id="49910"/>
      <w:r>
        <w:rPr>
          <w:rFonts w:hint="cs"/>
          <w:rtl/>
        </w:rPr>
        <w:t xml:space="preserve">מאדמת </w:t>
      </w:r>
      <w:bookmarkStart w:id="49911" w:name="_ETM_Q96_649639"/>
      <w:bookmarkEnd w:id="49911"/>
      <w:r>
        <w:rPr>
          <w:rFonts w:hint="cs"/>
          <w:rtl/>
        </w:rPr>
        <w:t xml:space="preserve">פולין </w:t>
      </w:r>
      <w:bookmarkStart w:id="49912" w:name="_ETM_Q96_650180"/>
      <w:bookmarkEnd w:id="49912"/>
      <w:r>
        <w:rPr>
          <w:rFonts w:hint="cs"/>
          <w:rtl/>
        </w:rPr>
        <w:t xml:space="preserve">מוגדר </w:t>
      </w:r>
      <w:bookmarkStart w:id="49913" w:name="_ETM_Q96_650989"/>
      <w:bookmarkStart w:id="49914" w:name="_ETM_Q96_652219"/>
      <w:bookmarkEnd w:id="49913"/>
      <w:bookmarkEnd w:id="49914"/>
      <w:r>
        <w:rPr>
          <w:rFonts w:hint="cs"/>
          <w:rtl/>
        </w:rPr>
        <w:t xml:space="preserve">כשטח </w:t>
      </w:r>
      <w:bookmarkStart w:id="49915" w:name="_ETM_Q96_652730"/>
      <w:bookmarkEnd w:id="49915"/>
      <w:r>
        <w:rPr>
          <w:rFonts w:hint="cs"/>
          <w:rtl/>
        </w:rPr>
        <w:t xml:space="preserve">ללא </w:t>
      </w:r>
      <w:bookmarkStart w:id="49916" w:name="_ETM_Q96_652969"/>
      <w:bookmarkEnd w:id="49916"/>
      <w:r>
        <w:rPr>
          <w:rFonts w:hint="cs"/>
          <w:rtl/>
        </w:rPr>
        <w:t>להט"בים</w:t>
      </w:r>
      <w:bookmarkStart w:id="49917" w:name="_ETM_Q96_653510"/>
      <w:bookmarkStart w:id="49918" w:name="_ETM_Q96_653930"/>
      <w:bookmarkStart w:id="49919" w:name="_ETM_Q96_654019"/>
      <w:bookmarkEnd w:id="49917"/>
      <w:bookmarkEnd w:id="49918"/>
      <w:bookmarkEnd w:id="49919"/>
      <w:r>
        <w:rPr>
          <w:rFonts w:hint="cs"/>
          <w:rtl/>
        </w:rPr>
        <w:t xml:space="preserve">, נקי מלהט"בים, </w:t>
      </w:r>
      <w:bookmarkStart w:id="49920" w:name="_ETM_Q96_655090"/>
      <w:bookmarkEnd w:id="49920"/>
      <w:r>
        <w:rPr>
          <w:rFonts w:hint="cs"/>
          <w:rtl/>
        </w:rPr>
        <w:t xml:space="preserve">בחסות </w:t>
      </w:r>
      <w:bookmarkStart w:id="49921" w:name="_ETM_Q96_655659"/>
      <w:bookmarkEnd w:id="49921"/>
      <w:r>
        <w:rPr>
          <w:rFonts w:hint="cs"/>
          <w:rtl/>
        </w:rPr>
        <w:t xml:space="preserve">הממשלה. </w:t>
      </w:r>
      <w:bookmarkStart w:id="49922" w:name="_ETM_Q96_657310"/>
      <w:bookmarkEnd w:id="49922"/>
      <w:r>
        <w:rPr>
          <w:rFonts w:hint="cs"/>
          <w:rtl/>
        </w:rPr>
        <w:t xml:space="preserve">אין </w:t>
      </w:r>
      <w:bookmarkStart w:id="49923" w:name="_ETM_Q96_657520"/>
      <w:bookmarkEnd w:id="49923"/>
      <w:r>
        <w:rPr>
          <w:rFonts w:hint="cs"/>
          <w:rtl/>
        </w:rPr>
        <w:t xml:space="preserve">שם </w:t>
      </w:r>
      <w:bookmarkStart w:id="49924" w:name="_ETM_Q96_657700"/>
      <w:bookmarkEnd w:id="49924"/>
      <w:r>
        <w:rPr>
          <w:rFonts w:hint="cs"/>
          <w:rtl/>
        </w:rPr>
        <w:t xml:space="preserve">בית </w:t>
      </w:r>
      <w:bookmarkStart w:id="49925" w:name="_ETM_Q96_657850"/>
      <w:bookmarkEnd w:id="49925"/>
      <w:r>
        <w:rPr>
          <w:rFonts w:hint="cs"/>
          <w:rtl/>
        </w:rPr>
        <w:t xml:space="preserve">משפט </w:t>
      </w:r>
      <w:bookmarkStart w:id="49926" w:name="_ETM_Q96_658270"/>
      <w:bookmarkEnd w:id="49926"/>
      <w:r>
        <w:rPr>
          <w:rFonts w:hint="cs"/>
          <w:rtl/>
        </w:rPr>
        <w:t xml:space="preserve">עליון </w:t>
      </w:r>
      <w:bookmarkStart w:id="49927" w:name="_ETM_Q96_659050"/>
      <w:bookmarkEnd w:id="49927"/>
      <w:r>
        <w:rPr>
          <w:rFonts w:hint="cs"/>
          <w:rtl/>
        </w:rPr>
        <w:t xml:space="preserve">שיכול </w:t>
      </w:r>
      <w:bookmarkStart w:id="49928" w:name="_ETM_Q96_659470"/>
      <w:bookmarkEnd w:id="49928"/>
      <w:r>
        <w:rPr>
          <w:rFonts w:hint="cs"/>
          <w:rtl/>
        </w:rPr>
        <w:t xml:space="preserve">להגן </w:t>
      </w:r>
      <w:bookmarkStart w:id="49929" w:name="_ETM_Q96_660319"/>
      <w:bookmarkEnd w:id="49929"/>
      <w:r>
        <w:rPr>
          <w:rFonts w:hint="cs"/>
          <w:rtl/>
        </w:rPr>
        <w:t xml:space="preserve">על </w:t>
      </w:r>
      <w:bookmarkStart w:id="49930" w:name="_ETM_Q96_660590"/>
      <w:bookmarkEnd w:id="49930"/>
      <w:r>
        <w:rPr>
          <w:rFonts w:hint="cs"/>
          <w:rtl/>
        </w:rPr>
        <w:t xml:space="preserve">הלהט"בים, </w:t>
      </w:r>
      <w:bookmarkStart w:id="49931" w:name="_ETM_Q96_661280"/>
      <w:bookmarkEnd w:id="49931"/>
      <w:r>
        <w:rPr>
          <w:rFonts w:hint="cs"/>
          <w:rtl/>
        </w:rPr>
        <w:t xml:space="preserve">על </w:t>
      </w:r>
      <w:bookmarkStart w:id="49932" w:name="_ETM_Q96_661370"/>
      <w:bookmarkEnd w:id="49932"/>
      <w:r>
        <w:rPr>
          <w:rFonts w:hint="cs"/>
          <w:rtl/>
        </w:rPr>
        <w:t xml:space="preserve">הזכויות </w:t>
      </w:r>
      <w:bookmarkStart w:id="49933" w:name="_ETM_Q96_661819"/>
      <w:bookmarkEnd w:id="49933"/>
      <w:r>
        <w:rPr>
          <w:rFonts w:hint="cs"/>
          <w:rtl/>
        </w:rPr>
        <w:t xml:space="preserve">שלהם. </w:t>
      </w:r>
      <w:bookmarkStart w:id="49934" w:name="_ETM_Q96_663400"/>
      <w:bookmarkEnd w:id="49934"/>
      <w:r>
        <w:rPr>
          <w:rFonts w:hint="cs"/>
          <w:rtl/>
        </w:rPr>
        <w:t xml:space="preserve">בשתי </w:t>
      </w:r>
      <w:bookmarkStart w:id="49935" w:name="_ETM_Q96_663910"/>
      <w:bookmarkEnd w:id="49935"/>
      <w:r>
        <w:rPr>
          <w:rFonts w:hint="cs"/>
          <w:rtl/>
        </w:rPr>
        <w:t xml:space="preserve">המדינות, </w:t>
      </w:r>
      <w:bookmarkStart w:id="49936" w:name="_ETM_Q96_664390"/>
      <w:bookmarkEnd w:id="49936"/>
      <w:r>
        <w:rPr>
          <w:rFonts w:hint="cs"/>
          <w:rtl/>
        </w:rPr>
        <w:t xml:space="preserve">גם </w:t>
      </w:r>
      <w:bookmarkStart w:id="49937" w:name="_ETM_Q96_664600"/>
      <w:bookmarkEnd w:id="49937"/>
      <w:r>
        <w:rPr>
          <w:rFonts w:hint="cs"/>
          <w:rtl/>
        </w:rPr>
        <w:t xml:space="preserve">בהונגריה </w:t>
      </w:r>
      <w:bookmarkStart w:id="49938" w:name="_ETM_Q96_665080"/>
      <w:bookmarkEnd w:id="49938"/>
      <w:r>
        <w:rPr>
          <w:rFonts w:hint="cs"/>
          <w:rtl/>
        </w:rPr>
        <w:t xml:space="preserve">וגם </w:t>
      </w:r>
      <w:bookmarkStart w:id="49939" w:name="_ETM_Q96_665350"/>
      <w:bookmarkEnd w:id="49939"/>
      <w:r>
        <w:rPr>
          <w:rFonts w:hint="cs"/>
          <w:rtl/>
        </w:rPr>
        <w:t xml:space="preserve">בפולין, </w:t>
      </w:r>
      <w:bookmarkStart w:id="49940" w:name="_ETM_Q96_666400"/>
      <w:bookmarkEnd w:id="49940"/>
      <w:r>
        <w:rPr>
          <w:rFonts w:hint="cs"/>
          <w:rtl/>
        </w:rPr>
        <w:t xml:space="preserve">חסמו </w:t>
      </w:r>
      <w:bookmarkStart w:id="49941" w:name="_ETM_Q96_666880"/>
      <w:bookmarkEnd w:id="49941"/>
      <w:r>
        <w:rPr>
          <w:rFonts w:hint="cs"/>
          <w:rtl/>
        </w:rPr>
        <w:t xml:space="preserve">כל </w:t>
      </w:r>
      <w:bookmarkStart w:id="49942" w:name="_ETM_Q96_667180"/>
      <w:bookmarkEnd w:id="49942"/>
      <w:r>
        <w:rPr>
          <w:rFonts w:hint="cs"/>
          <w:rtl/>
        </w:rPr>
        <w:t xml:space="preserve">דרך </w:t>
      </w:r>
      <w:bookmarkStart w:id="49943" w:name="_ETM_Q96_667569"/>
      <w:bookmarkEnd w:id="49943"/>
      <w:r>
        <w:rPr>
          <w:rFonts w:hint="cs"/>
          <w:rtl/>
        </w:rPr>
        <w:t xml:space="preserve">של להט"בים </w:t>
      </w:r>
      <w:bookmarkStart w:id="49944" w:name="_ETM_Q96_668290"/>
      <w:bookmarkStart w:id="49945" w:name="_ETM_Q96_668380"/>
      <w:bookmarkEnd w:id="49944"/>
      <w:bookmarkEnd w:id="49945"/>
      <w:r>
        <w:rPr>
          <w:rFonts w:hint="cs"/>
          <w:rtl/>
        </w:rPr>
        <w:t xml:space="preserve">להפוך </w:t>
      </w:r>
      <w:bookmarkStart w:id="49946" w:name="_ETM_Q96_668709"/>
      <w:bookmarkEnd w:id="49946"/>
      <w:r>
        <w:rPr>
          <w:rFonts w:hint="cs"/>
          <w:rtl/>
        </w:rPr>
        <w:t xml:space="preserve">להיות </w:t>
      </w:r>
      <w:bookmarkStart w:id="49947" w:name="_ETM_Q96_668950"/>
      <w:bookmarkEnd w:id="49947"/>
      <w:r>
        <w:rPr>
          <w:rFonts w:hint="cs"/>
          <w:rtl/>
        </w:rPr>
        <w:t xml:space="preserve">הורים – </w:t>
      </w:r>
      <w:bookmarkStart w:id="49948" w:name="_ETM_Q96_669280"/>
      <w:bookmarkEnd w:id="49948"/>
      <w:r>
        <w:rPr>
          <w:rFonts w:hint="cs"/>
          <w:rtl/>
        </w:rPr>
        <w:t xml:space="preserve">לא </w:t>
      </w:r>
      <w:bookmarkStart w:id="49949" w:name="_ETM_Q96_669400"/>
      <w:bookmarkEnd w:id="49949"/>
      <w:r>
        <w:rPr>
          <w:rFonts w:hint="cs"/>
          <w:rtl/>
        </w:rPr>
        <w:t xml:space="preserve">באימוץ, </w:t>
      </w:r>
      <w:bookmarkStart w:id="49950" w:name="_ETM_Q96_669940"/>
      <w:bookmarkEnd w:id="49950"/>
      <w:r>
        <w:rPr>
          <w:rFonts w:hint="cs"/>
          <w:rtl/>
        </w:rPr>
        <w:t xml:space="preserve">לא </w:t>
      </w:r>
      <w:bookmarkStart w:id="49951" w:name="_ETM_Q96_670030"/>
      <w:bookmarkEnd w:id="49951"/>
      <w:r>
        <w:rPr>
          <w:rFonts w:hint="cs"/>
          <w:rtl/>
        </w:rPr>
        <w:t xml:space="preserve">בפונדקאות, </w:t>
      </w:r>
      <w:bookmarkStart w:id="49952" w:name="_ETM_Q96_671280"/>
      <w:bookmarkEnd w:id="49952"/>
      <w:r>
        <w:rPr>
          <w:rFonts w:hint="cs"/>
          <w:rtl/>
        </w:rPr>
        <w:t xml:space="preserve">לא </w:t>
      </w:r>
      <w:bookmarkStart w:id="49953" w:name="_ETM_Q96_671489"/>
      <w:bookmarkEnd w:id="49953"/>
      <w:r>
        <w:rPr>
          <w:rFonts w:hint="cs"/>
          <w:rtl/>
        </w:rPr>
        <w:t xml:space="preserve">בשום </w:t>
      </w:r>
      <w:bookmarkStart w:id="49954" w:name="_ETM_Q96_671879"/>
      <w:bookmarkEnd w:id="49954"/>
      <w:r>
        <w:rPr>
          <w:rFonts w:hint="cs"/>
          <w:rtl/>
        </w:rPr>
        <w:t xml:space="preserve">דרך. </w:t>
      </w:r>
      <w:bookmarkStart w:id="49955" w:name="_ETM_Q96_673020"/>
      <w:bookmarkEnd w:id="49955"/>
      <w:r>
        <w:rPr>
          <w:rFonts w:hint="cs"/>
          <w:rtl/>
        </w:rPr>
        <w:t xml:space="preserve">בהונגריה </w:t>
      </w:r>
      <w:bookmarkStart w:id="49956" w:name="_ETM_Q96_674850"/>
      <w:bookmarkEnd w:id="49956"/>
      <w:r>
        <w:rPr>
          <w:rFonts w:hint="cs"/>
          <w:rtl/>
        </w:rPr>
        <w:t xml:space="preserve">אין </w:t>
      </w:r>
      <w:bookmarkStart w:id="49957" w:name="_ETM_Q96_675030"/>
      <w:bookmarkEnd w:id="49957"/>
      <w:r>
        <w:rPr>
          <w:rFonts w:hint="cs"/>
          <w:rtl/>
        </w:rPr>
        <w:t xml:space="preserve">יותר </w:t>
      </w:r>
      <w:bookmarkStart w:id="49958" w:name="_ETM_Q96_675720"/>
      <w:bookmarkEnd w:id="49958"/>
      <w:r>
        <w:rPr>
          <w:rFonts w:hint="cs"/>
          <w:rtl/>
        </w:rPr>
        <w:t xml:space="preserve">טרנסג'נדרים, </w:t>
      </w:r>
      <w:bookmarkStart w:id="49959" w:name="_ETM_Q96_676560"/>
      <w:bookmarkEnd w:id="49959"/>
      <w:r>
        <w:rPr>
          <w:rFonts w:hint="cs"/>
          <w:rtl/>
        </w:rPr>
        <w:t xml:space="preserve">רשמית. </w:t>
      </w:r>
      <w:bookmarkStart w:id="49960" w:name="_ETM_Q96_677490"/>
      <w:bookmarkEnd w:id="49960"/>
      <w:r>
        <w:rPr>
          <w:rFonts w:hint="cs"/>
          <w:rtl/>
        </w:rPr>
        <w:t xml:space="preserve">הם </w:t>
      </w:r>
      <w:bookmarkStart w:id="49961" w:name="_ETM_Q96_677640"/>
      <w:bookmarkEnd w:id="49961"/>
      <w:r>
        <w:rPr>
          <w:rFonts w:hint="cs"/>
          <w:rtl/>
        </w:rPr>
        <w:t xml:space="preserve">שללו </w:t>
      </w:r>
      <w:bookmarkStart w:id="49962" w:name="_ETM_Q96_678060"/>
      <w:bookmarkEnd w:id="49962"/>
      <w:r>
        <w:rPr>
          <w:rFonts w:hint="cs"/>
          <w:rtl/>
        </w:rPr>
        <w:t xml:space="preserve">את </w:t>
      </w:r>
      <w:bookmarkStart w:id="49963" w:name="_ETM_Q96_678150"/>
      <w:bookmarkEnd w:id="49963"/>
      <w:r>
        <w:rPr>
          <w:rFonts w:hint="cs"/>
          <w:rtl/>
        </w:rPr>
        <w:t xml:space="preserve">הזכות </w:t>
      </w:r>
      <w:bookmarkStart w:id="49964" w:name="_ETM_Q96_678900"/>
      <w:bookmarkEnd w:id="49964"/>
      <w:r>
        <w:rPr>
          <w:rFonts w:hint="cs"/>
          <w:rtl/>
        </w:rPr>
        <w:t xml:space="preserve">של </w:t>
      </w:r>
      <w:bookmarkStart w:id="49965" w:name="_ETM_Q96_679530"/>
      <w:bookmarkEnd w:id="49965"/>
      <w:r>
        <w:rPr>
          <w:rFonts w:hint="cs"/>
          <w:rtl/>
        </w:rPr>
        <w:t xml:space="preserve">אותם </w:t>
      </w:r>
      <w:bookmarkStart w:id="49966" w:name="_ETM_Q96_679890"/>
      <w:bookmarkEnd w:id="49966"/>
      <w:r>
        <w:rPr>
          <w:rFonts w:hint="cs"/>
          <w:rtl/>
        </w:rPr>
        <w:t xml:space="preserve">אנשים, </w:t>
      </w:r>
      <w:bookmarkStart w:id="49967" w:name="_ETM_Q96_680370"/>
      <w:bookmarkEnd w:id="49967"/>
      <w:r>
        <w:rPr>
          <w:rFonts w:hint="cs"/>
          <w:rtl/>
        </w:rPr>
        <w:t xml:space="preserve">של </w:t>
      </w:r>
      <w:bookmarkStart w:id="49968" w:name="_ETM_Q96_680580"/>
      <w:bookmarkEnd w:id="49968"/>
      <w:r>
        <w:rPr>
          <w:rFonts w:hint="cs"/>
          <w:rtl/>
        </w:rPr>
        <w:t xml:space="preserve">טרנסים, </w:t>
      </w:r>
      <w:bookmarkStart w:id="49969" w:name="_ETM_Q96_681510"/>
      <w:bookmarkEnd w:id="49969"/>
      <w:r>
        <w:rPr>
          <w:rFonts w:hint="cs"/>
          <w:rtl/>
        </w:rPr>
        <w:t xml:space="preserve">לשנות </w:t>
      </w:r>
      <w:bookmarkStart w:id="49970" w:name="_ETM_Q96_682710"/>
      <w:bookmarkEnd w:id="49970"/>
      <w:r>
        <w:rPr>
          <w:rFonts w:hint="cs"/>
          <w:rtl/>
        </w:rPr>
        <w:t xml:space="preserve">את </w:t>
      </w:r>
      <w:bookmarkStart w:id="49971" w:name="_ETM_Q96_682860"/>
      <w:bookmarkEnd w:id="49971"/>
      <w:r>
        <w:rPr>
          <w:rFonts w:hint="cs"/>
          <w:rtl/>
        </w:rPr>
        <w:t xml:space="preserve">סעיף </w:t>
      </w:r>
      <w:bookmarkStart w:id="49972" w:name="_ETM_Q96_683160"/>
      <w:bookmarkEnd w:id="49972"/>
      <w:r>
        <w:rPr>
          <w:rFonts w:hint="cs"/>
          <w:rtl/>
        </w:rPr>
        <w:t xml:space="preserve">המגדר </w:t>
      </w:r>
      <w:bookmarkStart w:id="49973" w:name="_ETM_Q96_683640"/>
      <w:bookmarkEnd w:id="49973"/>
      <w:r>
        <w:rPr>
          <w:rFonts w:hint="cs"/>
          <w:rtl/>
        </w:rPr>
        <w:t xml:space="preserve">בתעודות </w:t>
      </w:r>
      <w:bookmarkStart w:id="49974" w:name="_ETM_Q96_684120"/>
      <w:bookmarkEnd w:id="49974"/>
      <w:r>
        <w:rPr>
          <w:rFonts w:hint="cs"/>
          <w:rtl/>
        </w:rPr>
        <w:t xml:space="preserve">הזהות, </w:t>
      </w:r>
      <w:bookmarkStart w:id="49975" w:name="_ETM_Q96_685340"/>
      <w:bookmarkEnd w:id="49975"/>
      <w:r>
        <w:rPr>
          <w:rFonts w:hint="cs"/>
          <w:rtl/>
        </w:rPr>
        <w:t xml:space="preserve">תוך </w:t>
      </w:r>
      <w:bookmarkStart w:id="49976" w:name="_ETM_Q96_685549"/>
      <w:bookmarkEnd w:id="49976"/>
      <w:r>
        <w:rPr>
          <w:rFonts w:hint="cs"/>
          <w:rtl/>
        </w:rPr>
        <w:t xml:space="preserve">פגיעה </w:t>
      </w:r>
      <w:bookmarkStart w:id="49977" w:name="_ETM_Q96_686420"/>
      <w:bookmarkEnd w:id="49977"/>
      <w:r>
        <w:rPr>
          <w:rFonts w:hint="cs"/>
          <w:rtl/>
        </w:rPr>
        <w:t xml:space="preserve">בגרעין </w:t>
      </w:r>
      <w:bookmarkStart w:id="49978" w:name="_ETM_Q96_687049"/>
      <w:bookmarkEnd w:id="49978"/>
      <w:r>
        <w:rPr>
          <w:rFonts w:hint="cs"/>
          <w:rtl/>
        </w:rPr>
        <w:t xml:space="preserve">הכי </w:t>
      </w:r>
      <w:bookmarkStart w:id="49979" w:name="_ETM_Q96_687260"/>
      <w:bookmarkEnd w:id="49979"/>
      <w:r>
        <w:rPr>
          <w:rFonts w:hint="cs"/>
          <w:rtl/>
        </w:rPr>
        <w:t xml:space="preserve">בסיסי </w:t>
      </w:r>
      <w:bookmarkStart w:id="49980" w:name="_ETM_Q96_687620"/>
      <w:bookmarkEnd w:id="49980"/>
      <w:r>
        <w:rPr>
          <w:rFonts w:hint="cs"/>
          <w:rtl/>
        </w:rPr>
        <w:t xml:space="preserve">של </w:t>
      </w:r>
      <w:bookmarkStart w:id="49981" w:name="_ETM_Q96_687799"/>
      <w:bookmarkEnd w:id="49981"/>
      <w:r>
        <w:rPr>
          <w:rFonts w:hint="cs"/>
          <w:rtl/>
        </w:rPr>
        <w:t xml:space="preserve">הכבוד </w:t>
      </w:r>
      <w:bookmarkStart w:id="49982" w:name="_ETM_Q96_688219"/>
      <w:bookmarkEnd w:id="49982"/>
      <w:r>
        <w:rPr>
          <w:rFonts w:hint="cs"/>
          <w:rtl/>
        </w:rPr>
        <w:t xml:space="preserve">האנושי </w:t>
      </w:r>
      <w:bookmarkStart w:id="49983" w:name="_ETM_Q96_688640"/>
      <w:bookmarkEnd w:id="49983"/>
      <w:r>
        <w:rPr>
          <w:rFonts w:hint="cs"/>
          <w:rtl/>
        </w:rPr>
        <w:t xml:space="preserve">– </w:t>
      </w:r>
      <w:bookmarkStart w:id="49984" w:name="_ETM_Q96_687891"/>
      <w:bookmarkEnd w:id="49984"/>
      <w:r>
        <w:rPr>
          <w:rFonts w:hint="cs"/>
          <w:rtl/>
        </w:rPr>
        <w:t xml:space="preserve">בזכות </w:t>
      </w:r>
      <w:bookmarkStart w:id="49985" w:name="_ETM_Q96_689030"/>
      <w:bookmarkEnd w:id="49985"/>
      <w:r>
        <w:rPr>
          <w:rFonts w:hint="cs"/>
          <w:rtl/>
        </w:rPr>
        <w:t xml:space="preserve">להגדיר </w:t>
      </w:r>
      <w:bookmarkStart w:id="49986" w:name="_ETM_Q96_690849"/>
      <w:bookmarkEnd w:id="49986"/>
      <w:r>
        <w:rPr>
          <w:rFonts w:hint="cs"/>
          <w:rtl/>
        </w:rPr>
        <w:t xml:space="preserve">את </w:t>
      </w:r>
      <w:bookmarkStart w:id="49987" w:name="_ETM_Q96_691180"/>
      <w:bookmarkEnd w:id="49987"/>
      <w:r>
        <w:rPr>
          <w:rFonts w:hint="cs"/>
          <w:rtl/>
        </w:rPr>
        <w:t xml:space="preserve">ההגדרה </w:t>
      </w:r>
      <w:bookmarkStart w:id="49988" w:name="_ETM_Q96_692170"/>
      <w:bookmarkEnd w:id="49988"/>
      <w:r>
        <w:rPr>
          <w:rFonts w:hint="cs"/>
          <w:rtl/>
        </w:rPr>
        <w:t xml:space="preserve">העצמית </w:t>
      </w:r>
      <w:bookmarkStart w:id="49989" w:name="_ETM_Q96_692529"/>
      <w:bookmarkEnd w:id="49989"/>
      <w:r>
        <w:rPr>
          <w:rFonts w:hint="cs"/>
          <w:rtl/>
        </w:rPr>
        <w:t xml:space="preserve">של </w:t>
      </w:r>
      <w:bookmarkStart w:id="49990" w:name="_ETM_Q96_692709"/>
      <w:bookmarkEnd w:id="49990"/>
      <w:r>
        <w:rPr>
          <w:rFonts w:hint="cs"/>
          <w:rtl/>
        </w:rPr>
        <w:t xml:space="preserve">האדם. </w:t>
      </w:r>
      <w:bookmarkStart w:id="49991" w:name="_ETM_Q96_694260"/>
      <w:bookmarkEnd w:id="49991"/>
      <w:r>
        <w:rPr>
          <w:rFonts w:hint="cs"/>
          <w:rtl/>
        </w:rPr>
        <w:t xml:space="preserve">ישראל </w:t>
      </w:r>
      <w:bookmarkStart w:id="49992" w:name="_ETM_Q96_694860"/>
      <w:bookmarkEnd w:id="49992"/>
      <w:r>
        <w:rPr>
          <w:rFonts w:hint="cs"/>
          <w:rtl/>
        </w:rPr>
        <w:t xml:space="preserve">לא </w:t>
      </w:r>
      <w:bookmarkStart w:id="49993" w:name="_ETM_Q96_695010"/>
      <w:bookmarkEnd w:id="49993"/>
      <w:r>
        <w:rPr>
          <w:rFonts w:hint="cs"/>
          <w:rtl/>
        </w:rPr>
        <w:t xml:space="preserve">תהיה </w:t>
      </w:r>
      <w:bookmarkStart w:id="49994" w:name="_ETM_Q96_695370"/>
      <w:bookmarkEnd w:id="49994"/>
      <w:r>
        <w:rPr>
          <w:rFonts w:hint="cs"/>
          <w:rtl/>
        </w:rPr>
        <w:t xml:space="preserve">לא </w:t>
      </w:r>
      <w:bookmarkStart w:id="49995" w:name="_ETM_Q96_695520"/>
      <w:bookmarkEnd w:id="49995"/>
      <w:r>
        <w:rPr>
          <w:rFonts w:hint="cs"/>
          <w:rtl/>
        </w:rPr>
        <w:t xml:space="preserve">פולין </w:t>
      </w:r>
      <w:bookmarkStart w:id="49996" w:name="_ETM_Q96_695910"/>
      <w:bookmarkEnd w:id="49996"/>
      <w:r>
        <w:rPr>
          <w:rFonts w:hint="cs"/>
          <w:rtl/>
        </w:rPr>
        <w:t xml:space="preserve">ולא </w:t>
      </w:r>
      <w:bookmarkStart w:id="49997" w:name="_ETM_Q96_696120"/>
      <w:bookmarkEnd w:id="49997"/>
      <w:r>
        <w:rPr>
          <w:rFonts w:hint="cs"/>
          <w:rtl/>
        </w:rPr>
        <w:t xml:space="preserve">הונגריה, </w:t>
      </w:r>
      <w:bookmarkStart w:id="49998" w:name="_ETM_Q96_697989"/>
      <w:bookmarkEnd w:id="49998"/>
      <w:r>
        <w:rPr>
          <w:rFonts w:hint="cs"/>
          <w:rtl/>
        </w:rPr>
        <w:t xml:space="preserve">לפחות </w:t>
      </w:r>
      <w:bookmarkStart w:id="49999" w:name="_ETM_Q96_698290"/>
      <w:bookmarkEnd w:id="49999"/>
      <w:r>
        <w:rPr>
          <w:rFonts w:hint="cs"/>
          <w:rtl/>
        </w:rPr>
        <w:t xml:space="preserve">אם </w:t>
      </w:r>
      <w:bookmarkStart w:id="50000" w:name="_ETM_Q96_698409"/>
      <w:bookmarkEnd w:id="50000"/>
      <w:r>
        <w:rPr>
          <w:rFonts w:hint="cs"/>
          <w:rtl/>
        </w:rPr>
        <w:t xml:space="preserve">זה </w:t>
      </w:r>
      <w:bookmarkStart w:id="50001" w:name="_ETM_Q96_698530"/>
      <w:bookmarkStart w:id="50002" w:name="_ETM_Q96_698620"/>
      <w:bookmarkEnd w:id="50001"/>
      <w:bookmarkEnd w:id="50002"/>
      <w:r>
        <w:rPr>
          <w:rFonts w:hint="cs"/>
          <w:rtl/>
        </w:rPr>
        <w:t xml:space="preserve">תלוי </w:t>
      </w:r>
      <w:bookmarkStart w:id="50003" w:name="_ETM_Q96_698920"/>
      <w:bookmarkEnd w:id="50003"/>
      <w:r>
        <w:rPr>
          <w:rFonts w:hint="cs"/>
          <w:rtl/>
        </w:rPr>
        <w:t xml:space="preserve">בנו. </w:t>
      </w:r>
      <w:bookmarkStart w:id="50004" w:name="_ETM_Q96_699610"/>
      <w:bookmarkStart w:id="50005" w:name="_ETM_Q96_701270"/>
      <w:bookmarkEnd w:id="50004"/>
      <w:bookmarkEnd w:id="50005"/>
    </w:p>
    <w:p w:rsidR="00BB59CD" w:rsidRDefault="00BB59CD" w:rsidP="00BB59CD">
      <w:pPr>
        <w:rPr>
          <w:rtl/>
        </w:rPr>
      </w:pPr>
      <w:bookmarkStart w:id="50006" w:name="_ETM_Q96_709236"/>
      <w:bookmarkStart w:id="50007" w:name="_ETM_Q96_709365"/>
      <w:bookmarkEnd w:id="50006"/>
      <w:bookmarkEnd w:id="50007"/>
    </w:p>
    <w:p w:rsidR="00BB59CD" w:rsidRDefault="00BB59CD" w:rsidP="00BB59CD">
      <w:pPr>
        <w:rPr>
          <w:rtl/>
        </w:rPr>
      </w:pPr>
      <w:r>
        <w:rPr>
          <w:rFonts w:hint="cs"/>
          <w:rtl/>
        </w:rPr>
        <w:t xml:space="preserve">אבל </w:t>
      </w:r>
      <w:bookmarkStart w:id="50008" w:name="_ETM_Q96_702309"/>
      <w:bookmarkEnd w:id="50008"/>
      <w:r>
        <w:rPr>
          <w:rFonts w:hint="cs"/>
          <w:rtl/>
        </w:rPr>
        <w:t xml:space="preserve">עילת </w:t>
      </w:r>
      <w:bookmarkStart w:id="50009" w:name="_ETM_Q96_702639"/>
      <w:bookmarkEnd w:id="50009"/>
      <w:r>
        <w:rPr>
          <w:rFonts w:hint="cs"/>
          <w:rtl/>
        </w:rPr>
        <w:t>הסבירו</w:t>
      </w:r>
      <w:bookmarkStart w:id="50010" w:name="_ETM_Q96_703090"/>
      <w:bookmarkStart w:id="50011" w:name="_ETM_Q96_703179"/>
      <w:bookmarkEnd w:id="50010"/>
      <w:bookmarkEnd w:id="50011"/>
      <w:r>
        <w:rPr>
          <w:rFonts w:hint="cs"/>
          <w:rtl/>
        </w:rPr>
        <w:t xml:space="preserve">ת הרי </w:t>
      </w:r>
      <w:bookmarkStart w:id="50012" w:name="_ETM_Q96_703389"/>
      <w:bookmarkEnd w:id="50012"/>
      <w:r>
        <w:rPr>
          <w:rFonts w:hint="cs"/>
          <w:rtl/>
        </w:rPr>
        <w:t xml:space="preserve">לא </w:t>
      </w:r>
      <w:bookmarkStart w:id="50013" w:name="_ETM_Q96_703659"/>
      <w:bookmarkEnd w:id="50013"/>
      <w:r>
        <w:rPr>
          <w:rFonts w:hint="cs"/>
          <w:rtl/>
        </w:rPr>
        <w:t xml:space="preserve">עומדת </w:t>
      </w:r>
      <w:bookmarkStart w:id="50014" w:name="_ETM_Q96_704019"/>
      <w:bookmarkEnd w:id="50014"/>
      <w:r>
        <w:rPr>
          <w:rFonts w:hint="cs"/>
          <w:rtl/>
        </w:rPr>
        <w:t xml:space="preserve">לבד. </w:t>
      </w:r>
      <w:bookmarkStart w:id="50015" w:name="_ETM_Q96_705360"/>
      <w:bookmarkEnd w:id="50015"/>
      <w:r>
        <w:rPr>
          <w:rFonts w:hint="cs"/>
          <w:rtl/>
        </w:rPr>
        <w:t xml:space="preserve">לצידה </w:t>
      </w:r>
      <w:bookmarkStart w:id="50016" w:name="_ETM_Q96_705900"/>
      <w:bookmarkEnd w:id="50016"/>
      <w:r>
        <w:rPr>
          <w:rFonts w:hint="cs"/>
          <w:rtl/>
        </w:rPr>
        <w:t xml:space="preserve">יש את </w:t>
      </w:r>
      <w:bookmarkStart w:id="50017" w:name="_ETM_Q96_706110"/>
      <w:bookmarkEnd w:id="50017"/>
      <w:r>
        <w:rPr>
          <w:rFonts w:hint="cs"/>
          <w:rtl/>
        </w:rPr>
        <w:t xml:space="preserve">ההשתלטות </w:t>
      </w:r>
      <w:bookmarkStart w:id="50018" w:name="_ETM_Q96_706620"/>
      <w:bookmarkEnd w:id="50018"/>
      <w:r>
        <w:rPr>
          <w:rFonts w:hint="cs"/>
          <w:rtl/>
        </w:rPr>
        <w:t xml:space="preserve">על </w:t>
      </w:r>
      <w:bookmarkStart w:id="50019" w:name="_ETM_Q96_706740"/>
      <w:bookmarkEnd w:id="50019"/>
      <w:r>
        <w:rPr>
          <w:rFonts w:hint="cs"/>
          <w:rtl/>
        </w:rPr>
        <w:t xml:space="preserve">הוועדה </w:t>
      </w:r>
      <w:bookmarkStart w:id="50020" w:name="_ETM_Q96_707099"/>
      <w:bookmarkEnd w:id="50020"/>
      <w:r>
        <w:rPr>
          <w:rFonts w:hint="cs"/>
          <w:rtl/>
        </w:rPr>
        <w:t xml:space="preserve">למינוי </w:t>
      </w:r>
      <w:bookmarkStart w:id="50021" w:name="_ETM_Q96_707459"/>
      <w:bookmarkEnd w:id="50021"/>
      <w:r>
        <w:rPr>
          <w:rFonts w:hint="cs"/>
          <w:rtl/>
        </w:rPr>
        <w:t xml:space="preserve">שופטים, </w:t>
      </w:r>
      <w:bookmarkStart w:id="50022" w:name="_ETM_Q96_708330"/>
      <w:bookmarkEnd w:id="50022"/>
      <w:r>
        <w:rPr>
          <w:rFonts w:hint="cs"/>
          <w:rtl/>
        </w:rPr>
        <w:t xml:space="preserve">מינוי </w:t>
      </w:r>
      <w:bookmarkStart w:id="50023" w:name="_ETM_Q96_708690"/>
      <w:bookmarkEnd w:id="50023"/>
      <w:r>
        <w:rPr>
          <w:rFonts w:hint="cs"/>
          <w:rtl/>
        </w:rPr>
        <w:t xml:space="preserve">יועמ"שים </w:t>
      </w:r>
      <w:bookmarkStart w:id="50024" w:name="_ETM_Q96_709110"/>
      <w:bookmarkEnd w:id="50024"/>
      <w:r>
        <w:rPr>
          <w:rFonts w:hint="cs"/>
          <w:rtl/>
        </w:rPr>
        <w:t xml:space="preserve">מטעם, </w:t>
      </w:r>
      <w:bookmarkStart w:id="50025" w:name="_ETM_Q96_709890"/>
      <w:bookmarkEnd w:id="50025"/>
      <w:r>
        <w:rPr>
          <w:rFonts w:hint="cs"/>
          <w:rtl/>
        </w:rPr>
        <w:t xml:space="preserve">פסקת </w:t>
      </w:r>
      <w:bookmarkStart w:id="50026" w:name="_ETM_Q96_710370"/>
      <w:bookmarkEnd w:id="50026"/>
      <w:r>
        <w:rPr>
          <w:rFonts w:hint="cs"/>
          <w:rtl/>
        </w:rPr>
        <w:t xml:space="preserve">ההתגברות, </w:t>
      </w:r>
      <w:bookmarkStart w:id="50027" w:name="_ETM_Q96_711030"/>
      <w:bookmarkEnd w:id="50027"/>
      <w:r>
        <w:rPr>
          <w:rFonts w:hint="cs"/>
          <w:rtl/>
        </w:rPr>
        <w:t xml:space="preserve">מתקפה </w:t>
      </w:r>
      <w:bookmarkStart w:id="50028" w:name="_ETM_Q96_711480"/>
      <w:bookmarkEnd w:id="50028"/>
      <w:r>
        <w:rPr>
          <w:rFonts w:hint="cs"/>
          <w:rtl/>
        </w:rPr>
        <w:t xml:space="preserve">משולבת </w:t>
      </w:r>
      <w:bookmarkStart w:id="50029" w:name="_ETM_Q96_712630"/>
      <w:bookmarkEnd w:id="50029"/>
      <w:r>
        <w:rPr>
          <w:rFonts w:hint="cs"/>
          <w:rtl/>
        </w:rPr>
        <w:t xml:space="preserve">על </w:t>
      </w:r>
      <w:bookmarkStart w:id="50030" w:name="_ETM_Q96_712780"/>
      <w:bookmarkEnd w:id="50030"/>
      <w:r>
        <w:rPr>
          <w:rFonts w:hint="cs"/>
          <w:rtl/>
        </w:rPr>
        <w:t xml:space="preserve">עצמאות </w:t>
      </w:r>
      <w:bookmarkStart w:id="50031" w:name="_ETM_Q96_713260"/>
      <w:bookmarkEnd w:id="50031"/>
      <w:r>
        <w:rPr>
          <w:rFonts w:hint="cs"/>
          <w:rtl/>
        </w:rPr>
        <w:t xml:space="preserve">בית </w:t>
      </w:r>
      <w:bookmarkStart w:id="50032" w:name="_ETM_Q96_713500"/>
      <w:bookmarkEnd w:id="50032"/>
      <w:r>
        <w:rPr>
          <w:rFonts w:hint="cs"/>
          <w:rtl/>
        </w:rPr>
        <w:t xml:space="preserve">המשפט </w:t>
      </w:r>
      <w:bookmarkStart w:id="50033" w:name="_ETM_Q96_714070"/>
      <w:bookmarkEnd w:id="50033"/>
      <w:r>
        <w:rPr>
          <w:rFonts w:hint="cs"/>
          <w:rtl/>
        </w:rPr>
        <w:t xml:space="preserve">– מתקפה </w:t>
      </w:r>
      <w:bookmarkStart w:id="50034" w:name="_ETM_Q96_714610"/>
      <w:bookmarkEnd w:id="50034"/>
      <w:r>
        <w:rPr>
          <w:rFonts w:hint="cs"/>
          <w:rtl/>
        </w:rPr>
        <w:t xml:space="preserve">שאם </w:t>
      </w:r>
      <w:bookmarkStart w:id="50035" w:name="_ETM_Q96_714910"/>
      <w:bookmarkEnd w:id="50035"/>
      <w:r>
        <w:rPr>
          <w:rFonts w:hint="cs"/>
          <w:rtl/>
        </w:rPr>
        <w:t xml:space="preserve">תמומש </w:t>
      </w:r>
      <w:bookmarkStart w:id="50036" w:name="_ETM_Q96_715450"/>
      <w:bookmarkEnd w:id="50036"/>
      <w:r>
        <w:rPr>
          <w:rFonts w:hint="cs"/>
          <w:rtl/>
        </w:rPr>
        <w:t xml:space="preserve">במלואה, </w:t>
      </w:r>
      <w:bookmarkStart w:id="50037" w:name="_ETM_Q96_716500"/>
      <w:bookmarkEnd w:id="50037"/>
      <w:r>
        <w:rPr>
          <w:rFonts w:hint="cs"/>
          <w:rtl/>
        </w:rPr>
        <w:t xml:space="preserve">כפי </w:t>
      </w:r>
      <w:bookmarkStart w:id="50038" w:name="_ETM_Q96_716740"/>
      <w:bookmarkEnd w:id="50038"/>
      <w:r>
        <w:rPr>
          <w:rFonts w:hint="cs"/>
          <w:rtl/>
        </w:rPr>
        <w:t xml:space="preserve">ששר </w:t>
      </w:r>
      <w:bookmarkStart w:id="50039" w:name="_ETM_Q96_717190"/>
      <w:bookmarkEnd w:id="50039"/>
      <w:r>
        <w:rPr>
          <w:rFonts w:hint="cs"/>
          <w:rtl/>
        </w:rPr>
        <w:t xml:space="preserve">המשפטים </w:t>
      </w:r>
      <w:bookmarkStart w:id="50040" w:name="_ETM_Q96_717730"/>
      <w:bookmarkEnd w:id="50040"/>
      <w:r>
        <w:rPr>
          <w:rFonts w:hint="cs"/>
          <w:rtl/>
        </w:rPr>
        <w:t xml:space="preserve">יריב </w:t>
      </w:r>
      <w:bookmarkStart w:id="50041" w:name="_ETM_Q96_718030"/>
      <w:bookmarkEnd w:id="50041"/>
      <w:r>
        <w:rPr>
          <w:rFonts w:hint="cs"/>
          <w:rtl/>
        </w:rPr>
        <w:t xml:space="preserve">לוין </w:t>
      </w:r>
      <w:bookmarkStart w:id="50042" w:name="_ETM_Q96_718270"/>
      <w:bookmarkEnd w:id="50042"/>
      <w:r>
        <w:rPr>
          <w:rFonts w:hint="cs"/>
          <w:rtl/>
        </w:rPr>
        <w:t xml:space="preserve">אמר </w:t>
      </w:r>
      <w:bookmarkStart w:id="50043" w:name="_ETM_Q96_719020"/>
      <w:bookmarkEnd w:id="50043"/>
      <w:r>
        <w:rPr>
          <w:rFonts w:hint="cs"/>
          <w:rtl/>
        </w:rPr>
        <w:t xml:space="preserve">בעצמו, </w:t>
      </w:r>
      <w:bookmarkStart w:id="50044" w:name="_ETM_Q96_720410"/>
      <w:bookmarkEnd w:id="50044"/>
      <w:r>
        <w:rPr>
          <w:rFonts w:hint="cs"/>
          <w:rtl/>
        </w:rPr>
        <w:t xml:space="preserve">לא </w:t>
      </w:r>
      <w:bookmarkStart w:id="50045" w:name="_ETM_Q96_720680"/>
      <w:bookmarkEnd w:id="50045"/>
      <w:r>
        <w:rPr>
          <w:rFonts w:hint="cs"/>
          <w:rtl/>
        </w:rPr>
        <w:t xml:space="preserve">תשאיר </w:t>
      </w:r>
      <w:bookmarkStart w:id="50046" w:name="_ETM_Q96_721070"/>
      <w:bookmarkEnd w:id="50046"/>
      <w:r>
        <w:rPr>
          <w:rFonts w:hint="cs"/>
          <w:rtl/>
        </w:rPr>
        <w:t xml:space="preserve">את </w:t>
      </w:r>
      <w:bookmarkStart w:id="50047" w:name="_ETM_Q96_721160"/>
      <w:bookmarkEnd w:id="50047"/>
      <w:r>
        <w:rPr>
          <w:rFonts w:hint="cs"/>
          <w:rtl/>
        </w:rPr>
        <w:t xml:space="preserve">ישראל </w:t>
      </w:r>
      <w:bookmarkStart w:id="50048" w:name="_ETM_Q96_721580"/>
      <w:bookmarkEnd w:id="50048"/>
      <w:r>
        <w:rPr>
          <w:rFonts w:hint="cs"/>
          <w:rtl/>
        </w:rPr>
        <w:t xml:space="preserve">דמוקרטיה, או </w:t>
      </w:r>
      <w:bookmarkStart w:id="50049" w:name="_ETM_Q96_722390"/>
      <w:bookmarkEnd w:id="50049"/>
      <w:r>
        <w:rPr>
          <w:rFonts w:hint="cs"/>
          <w:rtl/>
        </w:rPr>
        <w:t xml:space="preserve">כמו </w:t>
      </w:r>
      <w:bookmarkStart w:id="50050" w:name="_ETM_Q96_722960"/>
      <w:bookmarkEnd w:id="50050"/>
      <w:r>
        <w:rPr>
          <w:rFonts w:hint="cs"/>
          <w:rtl/>
        </w:rPr>
        <w:t xml:space="preserve">שסגן </w:t>
      </w:r>
      <w:bookmarkStart w:id="50051" w:name="_ETM_Q96_723470"/>
      <w:bookmarkEnd w:id="50051"/>
      <w:r>
        <w:rPr>
          <w:rFonts w:hint="cs"/>
          <w:rtl/>
        </w:rPr>
        <w:t xml:space="preserve">השר </w:t>
      </w:r>
      <w:bookmarkStart w:id="50052" w:name="_ETM_Q96_723980"/>
      <w:bookmarkEnd w:id="50052"/>
      <w:r>
        <w:rPr>
          <w:rFonts w:hint="cs"/>
          <w:rtl/>
        </w:rPr>
        <w:t xml:space="preserve">במשרד </w:t>
      </w:r>
      <w:bookmarkStart w:id="50053" w:name="_ETM_Q96_724580"/>
      <w:bookmarkEnd w:id="50053"/>
      <w:r>
        <w:rPr>
          <w:rFonts w:hint="cs"/>
          <w:rtl/>
        </w:rPr>
        <w:t xml:space="preserve">ראש </w:t>
      </w:r>
      <w:bookmarkStart w:id="50054" w:name="_ETM_Q96_724790"/>
      <w:bookmarkEnd w:id="50054"/>
      <w:r>
        <w:rPr>
          <w:rFonts w:hint="cs"/>
          <w:rtl/>
        </w:rPr>
        <w:t xml:space="preserve">הממשלה אבי מעוז אומר, </w:t>
      </w:r>
      <w:bookmarkStart w:id="50055" w:name="_ETM_Q96_725900"/>
      <w:bookmarkEnd w:id="50055"/>
      <w:r>
        <w:rPr>
          <w:rFonts w:hint="cs"/>
          <w:rtl/>
        </w:rPr>
        <w:t xml:space="preserve">ואני </w:t>
      </w:r>
      <w:bookmarkStart w:id="50056" w:name="_ETM_Q96_726140"/>
      <w:bookmarkEnd w:id="50056"/>
      <w:r>
        <w:rPr>
          <w:rFonts w:hint="cs"/>
          <w:rtl/>
        </w:rPr>
        <w:t xml:space="preserve">מצטט: </w:t>
      </w:r>
      <w:bookmarkStart w:id="50057" w:name="_ETM_Q96_727760"/>
      <w:bookmarkStart w:id="50058" w:name="_ETM_Q96_728420"/>
      <w:bookmarkEnd w:id="50057"/>
      <w:bookmarkEnd w:id="50058"/>
      <w:r>
        <w:rPr>
          <w:rFonts w:hint="cs"/>
          <w:rtl/>
        </w:rPr>
        <w:t xml:space="preserve">אנחנו </w:t>
      </w:r>
      <w:bookmarkStart w:id="50059" w:name="_ETM_Q96_728750"/>
      <w:bookmarkEnd w:id="50059"/>
      <w:r>
        <w:rPr>
          <w:rFonts w:hint="cs"/>
          <w:rtl/>
        </w:rPr>
        <w:t xml:space="preserve">מדינה </w:t>
      </w:r>
      <w:bookmarkStart w:id="50060" w:name="_ETM_Q96_729140"/>
      <w:bookmarkEnd w:id="50060"/>
      <w:r>
        <w:rPr>
          <w:rFonts w:hint="cs"/>
          <w:rtl/>
        </w:rPr>
        <w:t xml:space="preserve">יהודית, </w:t>
      </w:r>
      <w:bookmarkStart w:id="50061" w:name="_ETM_Q96_730370"/>
      <w:bookmarkEnd w:id="50061"/>
      <w:r>
        <w:rPr>
          <w:rFonts w:hint="cs"/>
          <w:rtl/>
        </w:rPr>
        <w:t xml:space="preserve">להוריד את </w:t>
      </w:r>
      <w:bookmarkStart w:id="50062" w:name="_ETM_Q96_730939"/>
      <w:bookmarkEnd w:id="50062"/>
      <w:r>
        <w:rPr>
          <w:rFonts w:hint="cs"/>
          <w:rtl/>
        </w:rPr>
        <w:t xml:space="preserve">הדמוקרטית. </w:t>
      </w:r>
      <w:bookmarkStart w:id="50063" w:name="_ETM_Q96_732809"/>
      <w:bookmarkEnd w:id="50063"/>
    </w:p>
    <w:p w:rsidR="00BB59CD" w:rsidRDefault="00BB59CD" w:rsidP="00BB59CD">
      <w:pPr>
        <w:rPr>
          <w:rtl/>
        </w:rPr>
      </w:pPr>
      <w:bookmarkStart w:id="50064" w:name="_ETM_Q96_736617"/>
      <w:bookmarkStart w:id="50065" w:name="_ETM_Q96_736671"/>
      <w:bookmarkEnd w:id="50064"/>
      <w:bookmarkEnd w:id="50065"/>
    </w:p>
    <w:p w:rsidR="00BB59CD" w:rsidRDefault="00BB59CD" w:rsidP="00BB59CD">
      <w:pPr>
        <w:rPr>
          <w:rtl/>
        </w:rPr>
      </w:pPr>
      <w:bookmarkStart w:id="50066" w:name="_ETM_Q96_736776"/>
      <w:bookmarkStart w:id="50067" w:name="_ETM_Q96_736849"/>
      <w:bookmarkEnd w:id="50066"/>
      <w:bookmarkEnd w:id="50067"/>
      <w:r>
        <w:rPr>
          <w:rFonts w:hint="cs"/>
          <w:rtl/>
        </w:rPr>
        <w:t xml:space="preserve">אנחנו </w:t>
      </w:r>
      <w:bookmarkStart w:id="50068" w:name="_ETM_Q96_733260"/>
      <w:bookmarkEnd w:id="50068"/>
      <w:r>
        <w:rPr>
          <w:rFonts w:hint="cs"/>
          <w:rtl/>
        </w:rPr>
        <w:t xml:space="preserve">עדים </w:t>
      </w:r>
      <w:bookmarkStart w:id="50069" w:name="_ETM_Q96_734959"/>
      <w:bookmarkEnd w:id="50069"/>
      <w:r>
        <w:rPr>
          <w:rFonts w:hint="cs"/>
          <w:rtl/>
        </w:rPr>
        <w:t xml:space="preserve">לחבורה </w:t>
      </w:r>
      <w:bookmarkStart w:id="50070" w:name="_ETM_Q96_735530"/>
      <w:bookmarkEnd w:id="50070"/>
      <w:r>
        <w:rPr>
          <w:rFonts w:hint="cs"/>
          <w:rtl/>
        </w:rPr>
        <w:t xml:space="preserve">קיצונית </w:t>
      </w:r>
      <w:bookmarkStart w:id="50071" w:name="_ETM_Q96_736160"/>
      <w:bookmarkEnd w:id="50071"/>
      <w:r>
        <w:rPr>
          <w:rFonts w:hint="cs"/>
          <w:rtl/>
        </w:rPr>
        <w:t xml:space="preserve">ומשיחית </w:t>
      </w:r>
      <w:bookmarkStart w:id="50072" w:name="_ETM_Q96_736790"/>
      <w:bookmarkEnd w:id="50072"/>
      <w:r>
        <w:rPr>
          <w:rFonts w:hint="cs"/>
          <w:rtl/>
        </w:rPr>
        <w:t xml:space="preserve">של </w:t>
      </w:r>
      <w:bookmarkStart w:id="50073" w:name="_ETM_Q96_736940"/>
      <w:bookmarkEnd w:id="50073"/>
      <w:r>
        <w:rPr>
          <w:rFonts w:hint="cs"/>
          <w:rtl/>
        </w:rPr>
        <w:t xml:space="preserve">קנאים </w:t>
      </w:r>
      <w:bookmarkStart w:id="50074" w:name="_ETM_Q96_738110"/>
      <w:bookmarkEnd w:id="50074"/>
      <w:r>
        <w:rPr>
          <w:rFonts w:hint="cs"/>
          <w:rtl/>
        </w:rPr>
        <w:t xml:space="preserve">שעלתה </w:t>
      </w:r>
      <w:bookmarkStart w:id="50075" w:name="_ETM_Q96_738710"/>
      <w:bookmarkEnd w:id="50075"/>
      <w:r>
        <w:rPr>
          <w:rFonts w:hint="cs"/>
          <w:rtl/>
        </w:rPr>
        <w:t xml:space="preserve">לשלטון </w:t>
      </w:r>
      <w:bookmarkStart w:id="50076" w:name="_ETM_Q96_739220"/>
      <w:bookmarkEnd w:id="50076"/>
      <w:r>
        <w:rPr>
          <w:rFonts w:hint="cs"/>
          <w:rtl/>
        </w:rPr>
        <w:t xml:space="preserve">באמצעים </w:t>
      </w:r>
      <w:bookmarkStart w:id="50077" w:name="_ETM_Q96_739639"/>
      <w:bookmarkEnd w:id="50077"/>
      <w:r>
        <w:rPr>
          <w:rFonts w:hint="cs"/>
          <w:rtl/>
        </w:rPr>
        <w:t xml:space="preserve">דמוקרטיים, </w:t>
      </w:r>
      <w:bookmarkStart w:id="50078" w:name="_ETM_Q96_740900"/>
      <w:bookmarkEnd w:id="50078"/>
      <w:r>
        <w:rPr>
          <w:rFonts w:hint="cs"/>
          <w:rtl/>
        </w:rPr>
        <w:t xml:space="preserve">ועכשיו </w:t>
      </w:r>
      <w:bookmarkStart w:id="50079" w:name="_ETM_Q96_741559"/>
      <w:bookmarkEnd w:id="50079"/>
      <w:r>
        <w:rPr>
          <w:rFonts w:hint="cs"/>
          <w:rtl/>
        </w:rPr>
        <w:t xml:space="preserve">חותרת </w:t>
      </w:r>
      <w:bookmarkStart w:id="50080" w:name="_ETM_Q96_742629"/>
      <w:bookmarkEnd w:id="50080"/>
      <w:r>
        <w:rPr>
          <w:rFonts w:hint="cs"/>
          <w:rtl/>
        </w:rPr>
        <w:t xml:space="preserve">לבטל </w:t>
      </w:r>
      <w:bookmarkStart w:id="50081" w:name="_ETM_Q96_743169"/>
      <w:bookmarkEnd w:id="50081"/>
      <w:r>
        <w:rPr>
          <w:rFonts w:hint="cs"/>
          <w:rtl/>
        </w:rPr>
        <w:t xml:space="preserve">את </w:t>
      </w:r>
      <w:bookmarkStart w:id="50082" w:name="_ETM_Q96_743259"/>
      <w:bookmarkEnd w:id="50082"/>
      <w:r>
        <w:rPr>
          <w:rFonts w:hint="cs"/>
          <w:rtl/>
        </w:rPr>
        <w:t xml:space="preserve">הדמוקרטיה, </w:t>
      </w:r>
      <w:bookmarkStart w:id="50083" w:name="_ETM_Q96_744580"/>
      <w:bookmarkEnd w:id="50083"/>
      <w:r>
        <w:rPr>
          <w:rFonts w:hint="cs"/>
          <w:rtl/>
        </w:rPr>
        <w:t xml:space="preserve">לקחת </w:t>
      </w:r>
      <w:bookmarkStart w:id="50084" w:name="_ETM_Q96_745150"/>
      <w:bookmarkEnd w:id="50084"/>
      <w:r>
        <w:rPr>
          <w:rFonts w:hint="cs"/>
          <w:rtl/>
        </w:rPr>
        <w:t xml:space="preserve">לעצמם </w:t>
      </w:r>
      <w:bookmarkStart w:id="50085" w:name="_ETM_Q96_745629"/>
      <w:bookmarkEnd w:id="50085"/>
      <w:r>
        <w:rPr>
          <w:rFonts w:hint="cs"/>
          <w:rtl/>
        </w:rPr>
        <w:t xml:space="preserve">כוח </w:t>
      </w:r>
      <w:bookmarkStart w:id="50086" w:name="_ETM_Q96_746080"/>
      <w:bookmarkEnd w:id="50086"/>
      <w:r>
        <w:rPr>
          <w:rFonts w:hint="cs"/>
          <w:rtl/>
        </w:rPr>
        <w:t>בלתי</w:t>
      </w:r>
      <w:bookmarkStart w:id="50087" w:name="_ETM_Q96_746499"/>
      <w:bookmarkEnd w:id="50087"/>
      <w:r>
        <w:rPr>
          <w:rFonts w:hint="cs"/>
          <w:rtl/>
        </w:rPr>
        <w:t xml:space="preserve"> מוגבל, </w:t>
      </w:r>
      <w:bookmarkStart w:id="50088" w:name="_ETM_Q96_747550"/>
      <w:bookmarkEnd w:id="50088"/>
      <w:r>
        <w:rPr>
          <w:rFonts w:hint="cs"/>
          <w:rtl/>
        </w:rPr>
        <w:t xml:space="preserve">לדרוס </w:t>
      </w:r>
      <w:bookmarkStart w:id="50089" w:name="_ETM_Q96_748150"/>
      <w:bookmarkEnd w:id="50089"/>
      <w:r>
        <w:rPr>
          <w:rFonts w:hint="cs"/>
          <w:rtl/>
        </w:rPr>
        <w:t xml:space="preserve">את </w:t>
      </w:r>
      <w:bookmarkStart w:id="50090" w:name="_ETM_Q96_748240"/>
      <w:bookmarkEnd w:id="50090"/>
      <w:r>
        <w:rPr>
          <w:rFonts w:hint="cs"/>
          <w:rtl/>
        </w:rPr>
        <w:t xml:space="preserve">האיזונים </w:t>
      </w:r>
      <w:bookmarkStart w:id="50091" w:name="_ETM_Q96_748689"/>
      <w:bookmarkEnd w:id="50091"/>
      <w:r>
        <w:rPr>
          <w:rFonts w:hint="cs"/>
          <w:rtl/>
        </w:rPr>
        <w:t xml:space="preserve">והבלמים </w:t>
      </w:r>
      <w:bookmarkStart w:id="50092" w:name="_ETM_Q96_749349"/>
      <w:bookmarkEnd w:id="50092"/>
      <w:r>
        <w:rPr>
          <w:rFonts w:hint="cs"/>
          <w:rtl/>
        </w:rPr>
        <w:t xml:space="preserve">שמגבילים </w:t>
      </w:r>
      <w:bookmarkStart w:id="50093" w:name="_ETM_Q96_750069"/>
      <w:bookmarkEnd w:id="50093"/>
      <w:r>
        <w:rPr>
          <w:rFonts w:hint="cs"/>
          <w:rtl/>
        </w:rPr>
        <w:t xml:space="preserve">אותם. </w:t>
      </w:r>
      <w:bookmarkStart w:id="50094" w:name="_ETM_Q96_751370"/>
      <w:bookmarkStart w:id="50095" w:name="_ETM_Q96_751580"/>
      <w:bookmarkEnd w:id="50094"/>
      <w:bookmarkEnd w:id="50095"/>
      <w:r>
        <w:rPr>
          <w:rFonts w:hint="cs"/>
          <w:rtl/>
        </w:rPr>
        <w:t xml:space="preserve">חברת </w:t>
      </w:r>
      <w:bookmarkStart w:id="50096" w:name="_ETM_Q96_751970"/>
      <w:bookmarkEnd w:id="50096"/>
      <w:r>
        <w:rPr>
          <w:rFonts w:hint="cs"/>
          <w:rtl/>
        </w:rPr>
        <w:t xml:space="preserve">הכנסת </w:t>
      </w:r>
      <w:bookmarkStart w:id="50097" w:name="_ETM_Q96_752300"/>
      <w:bookmarkEnd w:id="50097"/>
      <w:r>
        <w:rPr>
          <w:rFonts w:hint="cs"/>
          <w:rtl/>
        </w:rPr>
        <w:t xml:space="preserve">טלי </w:t>
      </w:r>
      <w:bookmarkStart w:id="50098" w:name="_ETM_Q96_752479"/>
      <w:bookmarkEnd w:id="50098"/>
      <w:r>
        <w:rPr>
          <w:rFonts w:hint="cs"/>
          <w:rtl/>
        </w:rPr>
        <w:t xml:space="preserve">גוטליב </w:t>
      </w:r>
      <w:bookmarkStart w:id="50099" w:name="_ETM_Q96_753080"/>
      <w:bookmarkEnd w:id="50099"/>
      <w:r>
        <w:rPr>
          <w:rFonts w:hint="cs"/>
          <w:rtl/>
        </w:rPr>
        <w:t xml:space="preserve">סיכמה </w:t>
      </w:r>
      <w:bookmarkStart w:id="50100" w:name="_ETM_Q96_753530"/>
      <w:bookmarkEnd w:id="50100"/>
      <w:r>
        <w:rPr>
          <w:rFonts w:hint="cs"/>
          <w:rtl/>
        </w:rPr>
        <w:t xml:space="preserve">את </w:t>
      </w:r>
      <w:bookmarkStart w:id="50101" w:name="_ETM_Q96_753710"/>
      <w:bookmarkEnd w:id="50101"/>
      <w:r>
        <w:rPr>
          <w:rFonts w:hint="cs"/>
          <w:rtl/>
        </w:rPr>
        <w:t xml:space="preserve">רוח </w:t>
      </w:r>
      <w:bookmarkStart w:id="50102" w:name="_ETM_Q96_753979"/>
      <w:bookmarkEnd w:id="50102"/>
      <w:r>
        <w:rPr>
          <w:rFonts w:hint="cs"/>
          <w:rtl/>
        </w:rPr>
        <w:t xml:space="preserve">הדברים </w:t>
      </w:r>
      <w:bookmarkStart w:id="50103" w:name="_ETM_Q96_755030"/>
      <w:bookmarkEnd w:id="50103"/>
      <w:r>
        <w:rPr>
          <w:rFonts w:hint="cs"/>
          <w:rtl/>
        </w:rPr>
        <w:t xml:space="preserve">הללו </w:t>
      </w:r>
      <w:bookmarkStart w:id="50104" w:name="_ETM_Q96_755479"/>
      <w:bookmarkEnd w:id="50104"/>
      <w:r>
        <w:rPr>
          <w:rFonts w:hint="cs"/>
          <w:rtl/>
        </w:rPr>
        <w:t>ב</w:t>
      </w:r>
      <w:bookmarkStart w:id="50105" w:name="_ETM_Q96_755840"/>
      <w:bookmarkEnd w:id="50105"/>
      <w:r>
        <w:rPr>
          <w:rFonts w:hint="cs"/>
          <w:rtl/>
        </w:rPr>
        <w:t xml:space="preserve">אחד מהראיונות </w:t>
      </w:r>
      <w:bookmarkStart w:id="50106" w:name="_ETM_Q96_756320"/>
      <w:bookmarkEnd w:id="50106"/>
      <w:r>
        <w:rPr>
          <w:rFonts w:hint="cs"/>
          <w:rtl/>
        </w:rPr>
        <w:t xml:space="preserve">שלה. </w:t>
      </w:r>
      <w:bookmarkStart w:id="50107" w:name="_ETM_Q96_757009"/>
      <w:bookmarkEnd w:id="50107"/>
      <w:r>
        <w:rPr>
          <w:rFonts w:hint="cs"/>
          <w:rtl/>
        </w:rPr>
        <w:t xml:space="preserve">היא </w:t>
      </w:r>
      <w:bookmarkStart w:id="50108" w:name="_ETM_Q96_757160"/>
      <w:bookmarkEnd w:id="50108"/>
      <w:r>
        <w:rPr>
          <w:rFonts w:hint="cs"/>
          <w:rtl/>
        </w:rPr>
        <w:t xml:space="preserve">אמרה, </w:t>
      </w:r>
      <w:bookmarkStart w:id="50109" w:name="_ETM_Q96_757550"/>
      <w:bookmarkEnd w:id="50109"/>
      <w:r>
        <w:rPr>
          <w:rFonts w:hint="cs"/>
          <w:rtl/>
        </w:rPr>
        <w:t xml:space="preserve">ואני </w:t>
      </w:r>
      <w:bookmarkStart w:id="50110" w:name="_ETM_Q96_757820"/>
      <w:bookmarkEnd w:id="50110"/>
      <w:r>
        <w:rPr>
          <w:rFonts w:hint="cs"/>
          <w:rtl/>
        </w:rPr>
        <w:t>מצטט:</w:t>
      </w:r>
      <w:bookmarkStart w:id="50111" w:name="_ETM_Q96_758360"/>
      <w:bookmarkEnd w:id="50111"/>
      <w:r>
        <w:rPr>
          <w:rFonts w:hint="cs"/>
          <w:rtl/>
        </w:rPr>
        <w:t xml:space="preserve"> באנו </w:t>
      </w:r>
      <w:bookmarkStart w:id="50112" w:name="_ETM_Q96_758630"/>
      <w:bookmarkStart w:id="50113" w:name="_ETM_Q96_759410"/>
      <w:bookmarkEnd w:id="50112"/>
      <w:bookmarkEnd w:id="50113"/>
      <w:r>
        <w:rPr>
          <w:rFonts w:hint="cs"/>
          <w:rtl/>
        </w:rPr>
        <w:t xml:space="preserve">למשול, </w:t>
      </w:r>
      <w:bookmarkStart w:id="50114" w:name="_ETM_Q96_760340"/>
      <w:bookmarkEnd w:id="50114"/>
      <w:r>
        <w:rPr>
          <w:rFonts w:hint="cs"/>
          <w:rtl/>
        </w:rPr>
        <w:t xml:space="preserve">ואנחנו </w:t>
      </w:r>
      <w:bookmarkStart w:id="50115" w:name="_ETM_Q96_760789"/>
      <w:bookmarkEnd w:id="50115"/>
      <w:r>
        <w:rPr>
          <w:rFonts w:hint="cs"/>
          <w:rtl/>
        </w:rPr>
        <w:t xml:space="preserve">הרוב, </w:t>
      </w:r>
      <w:bookmarkStart w:id="50116" w:name="_ETM_Q96_761729"/>
      <w:bookmarkEnd w:id="50116"/>
      <w:r>
        <w:rPr>
          <w:rFonts w:hint="cs"/>
          <w:rtl/>
        </w:rPr>
        <w:t xml:space="preserve">והרוב </w:t>
      </w:r>
      <w:bookmarkStart w:id="50117" w:name="_ETM_Q96_762150"/>
      <w:bookmarkEnd w:id="50117"/>
      <w:r>
        <w:rPr>
          <w:rFonts w:hint="cs"/>
          <w:rtl/>
        </w:rPr>
        <w:t xml:space="preserve">קובע, </w:t>
      </w:r>
      <w:bookmarkStart w:id="50118" w:name="_ETM_Q96_762900"/>
      <w:bookmarkEnd w:id="50118"/>
      <w:r>
        <w:rPr>
          <w:rFonts w:hint="cs"/>
          <w:rtl/>
        </w:rPr>
        <w:t xml:space="preserve">ככה </w:t>
      </w:r>
      <w:bookmarkStart w:id="50119" w:name="_ETM_Q96_763229"/>
      <w:bookmarkEnd w:id="50119"/>
      <w:r>
        <w:rPr>
          <w:rFonts w:hint="cs"/>
          <w:rtl/>
        </w:rPr>
        <w:t xml:space="preserve">פשוט. </w:t>
      </w:r>
      <w:bookmarkStart w:id="50120" w:name="_ETM_Q96_765509"/>
      <w:bookmarkStart w:id="50121" w:name="TOR_Q97"/>
      <w:bookmarkEnd w:id="50120"/>
      <w:bookmarkEnd w:id="50121"/>
      <w:r>
        <w:rPr>
          <w:rFonts w:hint="cs"/>
          <w:rtl/>
        </w:rPr>
        <w:t xml:space="preserve">זאת הגדרה של עריצות רוב, לא של דמוקרטיה שהיא שלטון העם, לא רק שלטון </w:t>
      </w:r>
      <w:bookmarkStart w:id="50122" w:name="_ETM_Q97_175000"/>
      <w:bookmarkEnd w:id="50122"/>
      <w:r>
        <w:rPr>
          <w:rFonts w:hint="cs"/>
          <w:rtl/>
        </w:rPr>
        <w:t xml:space="preserve">הרוב. שלטון העם מורכב גם מקבוצות שאינן חלק מהרוב, שגם </w:t>
      </w:r>
      <w:bookmarkStart w:id="50123" w:name="_ETM_Q97_177000"/>
      <w:bookmarkEnd w:id="50123"/>
      <w:r>
        <w:rPr>
          <w:rFonts w:hint="cs"/>
          <w:rtl/>
        </w:rPr>
        <w:t>להן צריך לתת ביטוי, להתחשב בצרכים, בחששות, לוודא שהרוב</w:t>
      </w:r>
      <w:bookmarkStart w:id="50124" w:name="_ETM_Q97_180569"/>
      <w:bookmarkStart w:id="50125" w:name="_ETM_Q97_181859"/>
      <w:bookmarkStart w:id="50126" w:name="_ETM_Q97_182370"/>
      <w:bookmarkEnd w:id="50124"/>
      <w:bookmarkEnd w:id="50125"/>
      <w:bookmarkEnd w:id="50126"/>
      <w:r>
        <w:rPr>
          <w:rFonts w:hint="cs"/>
          <w:rtl/>
        </w:rPr>
        <w:t xml:space="preserve"> </w:t>
      </w:r>
      <w:bookmarkStart w:id="50127" w:name="_ETM_Q97_182850"/>
      <w:bookmarkEnd w:id="50127"/>
      <w:r>
        <w:rPr>
          <w:rFonts w:hint="cs"/>
          <w:rtl/>
        </w:rPr>
        <w:t xml:space="preserve">לא </w:t>
      </w:r>
      <w:bookmarkStart w:id="50128" w:name="_ETM_Q97_182969"/>
      <w:bookmarkEnd w:id="50128"/>
      <w:r>
        <w:rPr>
          <w:rFonts w:hint="cs"/>
          <w:rtl/>
        </w:rPr>
        <w:t xml:space="preserve">פוגע </w:t>
      </w:r>
      <w:bookmarkStart w:id="50129" w:name="_ETM_Q97_183509"/>
      <w:bookmarkStart w:id="50130" w:name="_ETM_Q97_183750"/>
      <w:bookmarkEnd w:id="50129"/>
      <w:bookmarkEnd w:id="50130"/>
      <w:r>
        <w:rPr>
          <w:rFonts w:hint="cs"/>
          <w:rtl/>
        </w:rPr>
        <w:t xml:space="preserve">פגיעה </w:t>
      </w:r>
      <w:bookmarkStart w:id="50131" w:name="_ETM_Q97_184290"/>
      <w:bookmarkEnd w:id="50131"/>
      <w:r>
        <w:rPr>
          <w:rFonts w:hint="cs"/>
          <w:rtl/>
        </w:rPr>
        <w:t xml:space="preserve">בלתי </w:t>
      </w:r>
      <w:bookmarkStart w:id="50132" w:name="_ETM_Q97_184680"/>
      <w:bookmarkEnd w:id="50132"/>
      <w:r>
        <w:rPr>
          <w:rFonts w:hint="cs"/>
          <w:rtl/>
        </w:rPr>
        <w:t xml:space="preserve">סבירה </w:t>
      </w:r>
      <w:bookmarkStart w:id="50133" w:name="_ETM_Q97_185160"/>
      <w:bookmarkEnd w:id="50133"/>
      <w:r>
        <w:rPr>
          <w:rFonts w:hint="cs"/>
          <w:rtl/>
        </w:rPr>
        <w:t xml:space="preserve">באופן </w:t>
      </w:r>
      <w:bookmarkStart w:id="50134" w:name="_ETM_Q97_185640"/>
      <w:bookmarkEnd w:id="50134"/>
      <w:r>
        <w:rPr>
          <w:rFonts w:hint="cs"/>
          <w:rtl/>
        </w:rPr>
        <w:t xml:space="preserve">קיצוני </w:t>
      </w:r>
      <w:bookmarkStart w:id="50135" w:name="_ETM_Q97_186799"/>
      <w:bookmarkEnd w:id="50135"/>
      <w:r>
        <w:rPr>
          <w:rFonts w:hint="cs"/>
          <w:rtl/>
        </w:rPr>
        <w:t xml:space="preserve">באותם </w:t>
      </w:r>
      <w:bookmarkStart w:id="50136" w:name="_ETM_Q97_187399"/>
      <w:bookmarkEnd w:id="50136"/>
      <w:r>
        <w:rPr>
          <w:rFonts w:hint="cs"/>
          <w:rtl/>
        </w:rPr>
        <w:t xml:space="preserve">מיעוטים </w:t>
      </w:r>
      <w:bookmarkStart w:id="50137" w:name="_ETM_Q97_187789"/>
      <w:bookmarkEnd w:id="50137"/>
      <w:r>
        <w:rPr>
          <w:rFonts w:hint="cs"/>
          <w:rtl/>
        </w:rPr>
        <w:t xml:space="preserve">שאינם </w:t>
      </w:r>
      <w:bookmarkStart w:id="50138" w:name="_ETM_Q97_188209"/>
      <w:bookmarkEnd w:id="50138"/>
      <w:r>
        <w:rPr>
          <w:rFonts w:hint="cs"/>
          <w:rtl/>
        </w:rPr>
        <w:t xml:space="preserve">חלק </w:t>
      </w:r>
      <w:bookmarkStart w:id="50139" w:name="_ETM_Q97_188539"/>
      <w:bookmarkEnd w:id="50139"/>
      <w:r>
        <w:rPr>
          <w:rFonts w:hint="cs"/>
          <w:rtl/>
        </w:rPr>
        <w:t xml:space="preserve">מקבוצת </w:t>
      </w:r>
      <w:bookmarkStart w:id="50140" w:name="_ETM_Q97_189080"/>
      <w:bookmarkEnd w:id="50140"/>
      <w:r>
        <w:rPr>
          <w:rFonts w:hint="cs"/>
          <w:rtl/>
        </w:rPr>
        <w:t>הרוב.</w:t>
      </w:r>
    </w:p>
    <w:p w:rsidR="00BB59CD" w:rsidRDefault="00BB59CD" w:rsidP="00BB59CD">
      <w:pPr>
        <w:rPr>
          <w:rtl/>
        </w:rPr>
      </w:pPr>
    </w:p>
    <w:p w:rsidR="00BB59CD" w:rsidRDefault="00BB59CD" w:rsidP="00E315D7">
      <w:pPr>
        <w:rPr>
          <w:rtl/>
        </w:rPr>
      </w:pPr>
      <w:bookmarkStart w:id="50141" w:name="_ETM_Q97_190379"/>
      <w:bookmarkEnd w:id="50141"/>
      <w:r>
        <w:rPr>
          <w:rFonts w:hint="cs"/>
          <w:rtl/>
        </w:rPr>
        <w:t xml:space="preserve">זה </w:t>
      </w:r>
      <w:bookmarkStart w:id="50142" w:name="_ETM_Q97_190830"/>
      <w:bookmarkEnd w:id="50142"/>
      <w:r>
        <w:rPr>
          <w:rFonts w:hint="cs"/>
          <w:rtl/>
        </w:rPr>
        <w:t xml:space="preserve">לא </w:t>
      </w:r>
      <w:bookmarkStart w:id="50143" w:name="_ETM_Q97_191099"/>
      <w:bookmarkEnd w:id="50143"/>
      <w:r>
        <w:rPr>
          <w:rFonts w:hint="cs"/>
          <w:rtl/>
        </w:rPr>
        <w:t xml:space="preserve">מה </w:t>
      </w:r>
      <w:bookmarkStart w:id="50144" w:name="_ETM_Q97_191309"/>
      <w:bookmarkEnd w:id="50144"/>
      <w:r>
        <w:rPr>
          <w:rFonts w:hint="cs"/>
          <w:rtl/>
        </w:rPr>
        <w:t xml:space="preserve">שקורה </w:t>
      </w:r>
      <w:bookmarkStart w:id="50145" w:name="_ETM_Q97_191820"/>
      <w:bookmarkEnd w:id="50145"/>
      <w:r>
        <w:rPr>
          <w:rFonts w:hint="cs"/>
          <w:rtl/>
        </w:rPr>
        <w:t xml:space="preserve">פה. </w:t>
      </w:r>
      <w:bookmarkStart w:id="50146" w:name="_ETM_Q97_192539"/>
      <w:bookmarkEnd w:id="50146"/>
      <w:r>
        <w:rPr>
          <w:rFonts w:hint="cs"/>
          <w:rtl/>
        </w:rPr>
        <w:t xml:space="preserve">זה </w:t>
      </w:r>
      <w:bookmarkStart w:id="50147" w:name="_ETM_Q97_192869"/>
      <w:bookmarkEnd w:id="50147"/>
      <w:r>
        <w:rPr>
          <w:rFonts w:hint="cs"/>
          <w:rtl/>
        </w:rPr>
        <w:t xml:space="preserve">לא </w:t>
      </w:r>
      <w:bookmarkStart w:id="50148" w:name="_ETM_Q97_192990"/>
      <w:bookmarkEnd w:id="50148"/>
      <w:r>
        <w:rPr>
          <w:rFonts w:hint="cs"/>
          <w:rtl/>
        </w:rPr>
        <w:t xml:space="preserve">מה </w:t>
      </w:r>
      <w:bookmarkStart w:id="50149" w:name="_ETM_Q97_193139"/>
      <w:bookmarkEnd w:id="50149"/>
      <w:r>
        <w:rPr>
          <w:rFonts w:hint="cs"/>
          <w:rtl/>
        </w:rPr>
        <w:t xml:space="preserve">שקרה </w:t>
      </w:r>
      <w:bookmarkStart w:id="50150" w:name="_ETM_Q97_193650"/>
      <w:bookmarkEnd w:id="50150"/>
      <w:r>
        <w:rPr>
          <w:rFonts w:hint="cs"/>
          <w:rtl/>
        </w:rPr>
        <w:t xml:space="preserve">בוועדת </w:t>
      </w:r>
      <w:bookmarkStart w:id="50151" w:name="_ETM_Q97_194129"/>
      <w:bookmarkEnd w:id="50151"/>
      <w:r>
        <w:rPr>
          <w:rFonts w:hint="cs"/>
          <w:rtl/>
        </w:rPr>
        <w:t xml:space="preserve">החוקה </w:t>
      </w:r>
      <w:bookmarkStart w:id="50152" w:name="_ETM_Q97_194549"/>
      <w:bookmarkEnd w:id="50152"/>
      <w:r>
        <w:rPr>
          <w:rFonts w:hint="cs"/>
          <w:rtl/>
        </w:rPr>
        <w:t xml:space="preserve">בחודשים </w:t>
      </w:r>
      <w:bookmarkStart w:id="50153" w:name="_ETM_Q97_195119"/>
      <w:bookmarkEnd w:id="50153"/>
      <w:r>
        <w:rPr>
          <w:rFonts w:hint="cs"/>
          <w:rtl/>
        </w:rPr>
        <w:t>האחרונים.</w:t>
      </w:r>
      <w:bookmarkStart w:id="50154" w:name="_ETM_Q97_198000"/>
      <w:bookmarkStart w:id="50155" w:name="_ETM_Q97_199000"/>
      <w:bookmarkStart w:id="50156" w:name="_ETM_Q97_196390"/>
      <w:bookmarkEnd w:id="50154"/>
      <w:bookmarkEnd w:id="50155"/>
      <w:bookmarkEnd w:id="50156"/>
      <w:r>
        <w:rPr>
          <w:rFonts w:hint="cs"/>
          <w:rtl/>
        </w:rPr>
        <w:t xml:space="preserve"> החוק </w:t>
      </w:r>
      <w:bookmarkStart w:id="50157" w:name="_ETM_Q97_196900"/>
      <w:bookmarkEnd w:id="50157"/>
      <w:r>
        <w:rPr>
          <w:rFonts w:hint="cs"/>
          <w:rtl/>
        </w:rPr>
        <w:t xml:space="preserve">נכנס </w:t>
      </w:r>
      <w:bookmarkStart w:id="50158" w:name="_ETM_Q97_198550"/>
      <w:bookmarkEnd w:id="50158"/>
      <w:r>
        <w:rPr>
          <w:rFonts w:hint="cs"/>
          <w:rtl/>
        </w:rPr>
        <w:t xml:space="preserve">ויצא </w:t>
      </w:r>
      <w:bookmarkStart w:id="50159" w:name="_ETM_Q97_200100"/>
      <w:bookmarkEnd w:id="50159"/>
      <w:r>
        <w:rPr>
          <w:rFonts w:hint="cs"/>
          <w:rtl/>
        </w:rPr>
        <w:t xml:space="preserve">בדיוק </w:t>
      </w:r>
      <w:bookmarkStart w:id="50160" w:name="_ETM_Q97_200610"/>
      <w:bookmarkEnd w:id="50160"/>
      <w:r>
        <w:rPr>
          <w:rFonts w:hint="cs"/>
          <w:rtl/>
        </w:rPr>
        <w:t xml:space="preserve">כפי </w:t>
      </w:r>
      <w:bookmarkStart w:id="50161" w:name="_ETM_Q97_200760"/>
      <w:bookmarkEnd w:id="50161"/>
      <w:r>
        <w:rPr>
          <w:rFonts w:hint="cs"/>
          <w:rtl/>
        </w:rPr>
        <w:t xml:space="preserve">שהוא </w:t>
      </w:r>
      <w:bookmarkStart w:id="50162" w:name="_ETM_Q97_201690"/>
      <w:bookmarkEnd w:id="50162"/>
      <w:r>
        <w:rPr>
          <w:rFonts w:hint="cs"/>
          <w:rtl/>
        </w:rPr>
        <w:t xml:space="preserve">מצינור </w:t>
      </w:r>
      <w:bookmarkStart w:id="50163" w:name="_ETM_Q97_202320"/>
      <w:bookmarkEnd w:id="50163"/>
      <w:r>
        <w:rPr>
          <w:rFonts w:hint="cs"/>
          <w:rtl/>
        </w:rPr>
        <w:t xml:space="preserve">החקיקה </w:t>
      </w:r>
      <w:r>
        <w:t>–</w:t>
      </w:r>
      <w:r>
        <w:rPr>
          <w:rFonts w:hint="cs"/>
          <w:rtl/>
        </w:rPr>
        <w:t xml:space="preserve"> </w:t>
      </w:r>
      <w:bookmarkStart w:id="50164" w:name="_ETM_Q97_204079"/>
      <w:bookmarkEnd w:id="50164"/>
      <w:r>
        <w:rPr>
          <w:rFonts w:hint="cs"/>
          <w:rtl/>
        </w:rPr>
        <w:t xml:space="preserve">זה </w:t>
      </w:r>
      <w:bookmarkStart w:id="50165" w:name="_ETM_Q97_204320"/>
      <w:bookmarkEnd w:id="50165"/>
      <w:r>
        <w:rPr>
          <w:rFonts w:hint="cs"/>
          <w:rtl/>
        </w:rPr>
        <w:t xml:space="preserve">לא </w:t>
      </w:r>
      <w:bookmarkStart w:id="50166" w:name="_ETM_Q97_204410"/>
      <w:bookmarkEnd w:id="50166"/>
      <w:r>
        <w:rPr>
          <w:rFonts w:hint="cs"/>
          <w:rtl/>
        </w:rPr>
        <w:t>מדויק</w:t>
      </w:r>
      <w:r w:rsidR="00E315D7">
        <w:rPr>
          <w:rFonts w:hint="cs"/>
          <w:rtl/>
        </w:rPr>
        <w:t>;</w:t>
      </w:r>
      <w:r>
        <w:rPr>
          <w:rFonts w:hint="cs"/>
          <w:rtl/>
        </w:rPr>
        <w:t xml:space="preserve"> </w:t>
      </w:r>
      <w:bookmarkStart w:id="50167" w:name="_ETM_Q97_205070"/>
      <w:bookmarkEnd w:id="50167"/>
      <w:r>
        <w:rPr>
          <w:rFonts w:hint="cs"/>
          <w:rtl/>
        </w:rPr>
        <w:t xml:space="preserve">הוא </w:t>
      </w:r>
      <w:bookmarkStart w:id="50168" w:name="_ETM_Q97_205190"/>
      <w:bookmarkEnd w:id="50168"/>
      <w:r>
        <w:rPr>
          <w:rFonts w:hint="cs"/>
          <w:rtl/>
        </w:rPr>
        <w:t xml:space="preserve">יצא </w:t>
      </w:r>
      <w:bookmarkStart w:id="50169" w:name="_ETM_Q97_205979"/>
      <w:bookmarkEnd w:id="50169"/>
      <w:r>
        <w:rPr>
          <w:rFonts w:hint="cs"/>
          <w:rtl/>
        </w:rPr>
        <w:t xml:space="preserve">קשיח </w:t>
      </w:r>
      <w:bookmarkStart w:id="50170" w:name="_ETM_Q97_206460"/>
      <w:bookmarkEnd w:id="50170"/>
      <w:r>
        <w:rPr>
          <w:rFonts w:hint="cs"/>
          <w:rtl/>
        </w:rPr>
        <w:t xml:space="preserve">יותר, </w:t>
      </w:r>
      <w:bookmarkStart w:id="50171" w:name="_ETM_Q97_206880"/>
      <w:bookmarkEnd w:id="50171"/>
      <w:r>
        <w:rPr>
          <w:rFonts w:hint="cs"/>
          <w:rtl/>
        </w:rPr>
        <w:t xml:space="preserve">רחב </w:t>
      </w:r>
      <w:bookmarkStart w:id="50172" w:name="_ETM_Q97_207359"/>
      <w:bookmarkEnd w:id="50172"/>
      <w:r>
        <w:rPr>
          <w:rFonts w:hint="cs"/>
          <w:rtl/>
        </w:rPr>
        <w:t xml:space="preserve">יותר, </w:t>
      </w:r>
      <w:bookmarkStart w:id="50173" w:name="_ETM_Q97_207809"/>
      <w:bookmarkEnd w:id="50173"/>
      <w:r>
        <w:rPr>
          <w:rFonts w:hint="cs"/>
          <w:rtl/>
        </w:rPr>
        <w:t xml:space="preserve">קיצוני </w:t>
      </w:r>
      <w:bookmarkStart w:id="50174" w:name="_ETM_Q97_208380"/>
      <w:bookmarkEnd w:id="50174"/>
      <w:r>
        <w:rPr>
          <w:rFonts w:hint="cs"/>
          <w:rtl/>
        </w:rPr>
        <w:t xml:space="preserve">יותר. </w:t>
      </w:r>
      <w:bookmarkStart w:id="50175" w:name="_ETM_Q97_209670"/>
      <w:bookmarkEnd w:id="50175"/>
      <w:r>
        <w:rPr>
          <w:rFonts w:hint="cs"/>
          <w:rtl/>
        </w:rPr>
        <w:t xml:space="preserve">דרסו </w:t>
      </w:r>
      <w:bookmarkStart w:id="50176" w:name="_ETM_Q97_210330"/>
      <w:bookmarkEnd w:id="50176"/>
      <w:r>
        <w:rPr>
          <w:rFonts w:hint="cs"/>
          <w:rtl/>
        </w:rPr>
        <w:t xml:space="preserve">את </w:t>
      </w:r>
      <w:bookmarkStart w:id="50177" w:name="_ETM_Q97_210449"/>
      <w:bookmarkEnd w:id="50177"/>
      <w:r>
        <w:rPr>
          <w:rFonts w:hint="cs"/>
          <w:rtl/>
        </w:rPr>
        <w:t xml:space="preserve">נציגי </w:t>
      </w:r>
      <w:bookmarkStart w:id="50178" w:name="_ETM_Q97_210869"/>
      <w:bookmarkEnd w:id="50178"/>
      <w:r>
        <w:rPr>
          <w:rFonts w:hint="cs"/>
          <w:rtl/>
        </w:rPr>
        <w:t xml:space="preserve">האופוזיציה </w:t>
      </w:r>
      <w:bookmarkStart w:id="50179" w:name="_ETM_Q97_211470"/>
      <w:bookmarkEnd w:id="50179"/>
      <w:r>
        <w:rPr>
          <w:rFonts w:hint="cs"/>
          <w:rtl/>
        </w:rPr>
        <w:t xml:space="preserve">בוועדת </w:t>
      </w:r>
      <w:bookmarkStart w:id="50180" w:name="_ETM_Q97_211890"/>
      <w:bookmarkEnd w:id="50180"/>
      <w:r>
        <w:rPr>
          <w:rFonts w:hint="cs"/>
          <w:rtl/>
        </w:rPr>
        <w:t xml:space="preserve">החוקה, </w:t>
      </w:r>
      <w:bookmarkStart w:id="50181" w:name="_ETM_Q97_212760"/>
      <w:bookmarkEnd w:id="50181"/>
      <w:r>
        <w:rPr>
          <w:rFonts w:hint="cs"/>
          <w:rtl/>
        </w:rPr>
        <w:t xml:space="preserve">דרסו </w:t>
      </w:r>
      <w:bookmarkStart w:id="50182" w:name="_ETM_Q97_213329"/>
      <w:bookmarkEnd w:id="50182"/>
      <w:r>
        <w:rPr>
          <w:rFonts w:hint="cs"/>
          <w:rtl/>
        </w:rPr>
        <w:t xml:space="preserve">את </w:t>
      </w:r>
      <w:bookmarkStart w:id="50183" w:name="_ETM_Q97_213450"/>
      <w:bookmarkEnd w:id="50183"/>
      <w:r>
        <w:rPr>
          <w:rFonts w:hint="cs"/>
          <w:rtl/>
        </w:rPr>
        <w:t xml:space="preserve">הציבור </w:t>
      </w:r>
      <w:bookmarkStart w:id="50184" w:name="_ETM_Q97_213930"/>
      <w:bookmarkEnd w:id="50184"/>
      <w:r>
        <w:rPr>
          <w:rFonts w:hint="cs"/>
          <w:rtl/>
        </w:rPr>
        <w:t xml:space="preserve">ששלח </w:t>
      </w:r>
      <w:bookmarkStart w:id="50185" w:name="_ETM_Q97_214470"/>
      <w:bookmarkEnd w:id="50185"/>
      <w:r>
        <w:rPr>
          <w:rFonts w:hint="cs"/>
          <w:rtl/>
        </w:rPr>
        <w:t xml:space="preserve">אותנו </w:t>
      </w:r>
      <w:bookmarkStart w:id="50186" w:name="_ETM_Q97_215190"/>
      <w:bookmarkEnd w:id="50186"/>
      <w:r>
        <w:rPr>
          <w:rFonts w:hint="cs"/>
          <w:rtl/>
        </w:rPr>
        <w:t xml:space="preserve">לבית </w:t>
      </w:r>
      <w:bookmarkStart w:id="50187" w:name="_ETM_Q97_215850"/>
      <w:bookmarkEnd w:id="50187"/>
      <w:r>
        <w:rPr>
          <w:rFonts w:hint="cs"/>
          <w:rtl/>
        </w:rPr>
        <w:t xml:space="preserve">הזה. </w:t>
      </w:r>
      <w:bookmarkStart w:id="50188" w:name="_ETM_Q97_216760"/>
      <w:bookmarkEnd w:id="50188"/>
      <w:r>
        <w:rPr>
          <w:rFonts w:hint="cs"/>
          <w:rtl/>
        </w:rPr>
        <w:t xml:space="preserve">החוק </w:t>
      </w:r>
      <w:bookmarkStart w:id="50189" w:name="_ETM_Q97_217329"/>
      <w:bookmarkEnd w:id="50189"/>
      <w:r>
        <w:rPr>
          <w:rFonts w:hint="cs"/>
          <w:rtl/>
        </w:rPr>
        <w:t xml:space="preserve">הזה </w:t>
      </w:r>
      <w:bookmarkStart w:id="50190" w:name="_ETM_Q97_217719"/>
      <w:bookmarkEnd w:id="50190"/>
      <w:r>
        <w:rPr>
          <w:rFonts w:hint="cs"/>
          <w:rtl/>
        </w:rPr>
        <w:t xml:space="preserve">בא </w:t>
      </w:r>
      <w:bookmarkStart w:id="50191" w:name="_ETM_Q97_217989"/>
      <w:bookmarkEnd w:id="50191"/>
      <w:r>
        <w:rPr>
          <w:rFonts w:hint="cs"/>
          <w:rtl/>
        </w:rPr>
        <w:t xml:space="preserve">לעולם </w:t>
      </w:r>
      <w:bookmarkStart w:id="50192" w:name="_ETM_Q97_219190"/>
      <w:bookmarkEnd w:id="50192"/>
      <w:r>
        <w:rPr>
          <w:rFonts w:hint="cs"/>
          <w:rtl/>
        </w:rPr>
        <w:t xml:space="preserve">בהליך </w:t>
      </w:r>
      <w:bookmarkStart w:id="50193" w:name="_ETM_Q97_220059"/>
      <w:bookmarkEnd w:id="50193"/>
      <w:r>
        <w:rPr>
          <w:rFonts w:hint="cs"/>
          <w:rtl/>
        </w:rPr>
        <w:t xml:space="preserve">אלים, </w:t>
      </w:r>
      <w:bookmarkStart w:id="50194" w:name="_ETM_Q97_221020"/>
      <w:bookmarkEnd w:id="50194"/>
      <w:r>
        <w:rPr>
          <w:rFonts w:hint="cs"/>
          <w:rtl/>
        </w:rPr>
        <w:t>דורסני</w:t>
      </w:r>
      <w:bookmarkStart w:id="50195" w:name="_ETM_Q97_222250"/>
      <w:bookmarkEnd w:id="50195"/>
      <w:r>
        <w:rPr>
          <w:rFonts w:hint="cs"/>
          <w:rtl/>
        </w:rPr>
        <w:t xml:space="preserve">, בחיפזון, </w:t>
      </w:r>
      <w:bookmarkStart w:id="50196" w:name="_ETM_Q97_223300"/>
      <w:bookmarkEnd w:id="50196"/>
      <w:r>
        <w:rPr>
          <w:rFonts w:hint="cs"/>
          <w:rtl/>
        </w:rPr>
        <w:t xml:space="preserve">תוך </w:t>
      </w:r>
      <w:bookmarkStart w:id="50197" w:name="_ETM_Q97_223540"/>
      <w:bookmarkEnd w:id="50197"/>
      <w:r>
        <w:rPr>
          <w:rFonts w:hint="cs"/>
          <w:rtl/>
        </w:rPr>
        <w:t>הקדש</w:t>
      </w:r>
      <w:bookmarkStart w:id="50198" w:name="_ETM_Q97_224020"/>
      <w:bookmarkEnd w:id="50198"/>
      <w:r>
        <w:rPr>
          <w:rFonts w:hint="cs"/>
          <w:rtl/>
        </w:rPr>
        <w:t xml:space="preserve">ת </w:t>
      </w:r>
      <w:bookmarkStart w:id="50199" w:name="_ETM_Q97_225000"/>
      <w:bookmarkStart w:id="50200" w:name="_ETM_Q97_224170"/>
      <w:bookmarkEnd w:id="50199"/>
      <w:bookmarkEnd w:id="50200"/>
      <w:r>
        <w:rPr>
          <w:rFonts w:hint="cs"/>
          <w:rtl/>
        </w:rPr>
        <w:t xml:space="preserve">כל </w:t>
      </w:r>
      <w:bookmarkStart w:id="50201" w:name="_ETM_Q97_224590"/>
      <w:bookmarkEnd w:id="50201"/>
      <w:r>
        <w:rPr>
          <w:rFonts w:hint="cs"/>
          <w:rtl/>
        </w:rPr>
        <w:t xml:space="preserve">משאבי </w:t>
      </w:r>
      <w:bookmarkStart w:id="50202" w:name="_ETM_Q97_225040"/>
      <w:bookmarkEnd w:id="50202"/>
      <w:r>
        <w:rPr>
          <w:rFonts w:hint="cs"/>
          <w:rtl/>
        </w:rPr>
        <w:t xml:space="preserve">הבניין </w:t>
      </w:r>
      <w:bookmarkStart w:id="50203" w:name="_ETM_Q97_225550"/>
      <w:bookmarkEnd w:id="50203"/>
      <w:r>
        <w:rPr>
          <w:rFonts w:hint="cs"/>
          <w:rtl/>
        </w:rPr>
        <w:t xml:space="preserve">הזה, </w:t>
      </w:r>
      <w:bookmarkStart w:id="50204" w:name="_ETM_Q97_225850"/>
      <w:bookmarkEnd w:id="50204"/>
      <w:r>
        <w:rPr>
          <w:rFonts w:hint="cs"/>
          <w:rtl/>
        </w:rPr>
        <w:t xml:space="preserve">כל </w:t>
      </w:r>
      <w:bookmarkStart w:id="50205" w:name="_ETM_Q97_226180"/>
      <w:bookmarkEnd w:id="50205"/>
      <w:r>
        <w:rPr>
          <w:rFonts w:hint="cs"/>
          <w:rtl/>
        </w:rPr>
        <w:t xml:space="preserve">משאבי </w:t>
      </w:r>
      <w:bookmarkStart w:id="50206" w:name="_ETM_Q97_226629"/>
      <w:bookmarkEnd w:id="50206"/>
      <w:r>
        <w:rPr>
          <w:rFonts w:hint="cs"/>
          <w:rtl/>
        </w:rPr>
        <w:t xml:space="preserve">הזמן, </w:t>
      </w:r>
      <w:bookmarkStart w:id="50207" w:name="_ETM_Q97_230019"/>
      <w:bookmarkEnd w:id="50207"/>
      <w:r>
        <w:rPr>
          <w:rFonts w:hint="cs"/>
          <w:rtl/>
        </w:rPr>
        <w:t xml:space="preserve">כאילו </w:t>
      </w:r>
      <w:bookmarkStart w:id="50208" w:name="_ETM_Q97_230469"/>
      <w:bookmarkEnd w:id="50208"/>
      <w:r>
        <w:rPr>
          <w:rFonts w:hint="cs"/>
          <w:rtl/>
        </w:rPr>
        <w:t xml:space="preserve">אם </w:t>
      </w:r>
      <w:bookmarkStart w:id="50209" w:name="_ETM_Q97_230589"/>
      <w:bookmarkEnd w:id="50209"/>
      <w:r>
        <w:rPr>
          <w:rFonts w:hint="cs"/>
          <w:rtl/>
        </w:rPr>
        <w:t xml:space="preserve">לא </w:t>
      </w:r>
      <w:bookmarkStart w:id="50210" w:name="_ETM_Q97_230710"/>
      <w:bookmarkEnd w:id="50210"/>
      <w:r>
        <w:rPr>
          <w:rFonts w:hint="cs"/>
          <w:rtl/>
        </w:rPr>
        <w:t xml:space="preserve">נבטל </w:t>
      </w:r>
      <w:bookmarkStart w:id="50211" w:name="_ETM_Q97_231159"/>
      <w:bookmarkEnd w:id="50211"/>
      <w:r>
        <w:rPr>
          <w:rFonts w:hint="cs"/>
          <w:rtl/>
        </w:rPr>
        <w:t xml:space="preserve">את </w:t>
      </w:r>
      <w:bookmarkStart w:id="50212" w:name="_ETM_Q97_231280"/>
      <w:bookmarkEnd w:id="50212"/>
      <w:r>
        <w:rPr>
          <w:rFonts w:hint="cs"/>
          <w:rtl/>
        </w:rPr>
        <w:t xml:space="preserve">עילת </w:t>
      </w:r>
      <w:bookmarkStart w:id="50213" w:name="_ETM_Q97_231550"/>
      <w:bookmarkEnd w:id="50213"/>
      <w:r>
        <w:rPr>
          <w:rFonts w:hint="cs"/>
          <w:rtl/>
        </w:rPr>
        <w:t xml:space="preserve">הסבירות </w:t>
      </w:r>
      <w:bookmarkStart w:id="50214" w:name="_ETM_Q97_232089"/>
      <w:bookmarkEnd w:id="50214"/>
      <w:r>
        <w:rPr>
          <w:rFonts w:hint="cs"/>
          <w:rtl/>
        </w:rPr>
        <w:t xml:space="preserve">היקום </w:t>
      </w:r>
      <w:bookmarkStart w:id="50215" w:name="_ETM_Q97_232510"/>
      <w:bookmarkEnd w:id="50215"/>
      <w:r>
        <w:rPr>
          <w:rFonts w:hint="cs"/>
          <w:rtl/>
        </w:rPr>
        <w:t xml:space="preserve">יקרוס </w:t>
      </w:r>
      <w:bookmarkStart w:id="50216" w:name="_ETM_Q97_233079"/>
      <w:bookmarkEnd w:id="50216"/>
      <w:r>
        <w:rPr>
          <w:rFonts w:hint="cs"/>
          <w:rtl/>
        </w:rPr>
        <w:t xml:space="preserve">לתוך </w:t>
      </w:r>
      <w:bookmarkStart w:id="50217" w:name="_ETM_Q97_233379"/>
      <w:bookmarkEnd w:id="50217"/>
      <w:r>
        <w:rPr>
          <w:rFonts w:hint="cs"/>
          <w:rtl/>
        </w:rPr>
        <w:t xml:space="preserve">עצמו. </w:t>
      </w:r>
      <w:bookmarkStart w:id="50218" w:name="_ETM_Q97_234889"/>
      <w:bookmarkEnd w:id="50218"/>
      <w:r>
        <w:rPr>
          <w:rFonts w:hint="cs"/>
          <w:rtl/>
        </w:rPr>
        <w:t xml:space="preserve">התהליך </w:t>
      </w:r>
      <w:bookmarkStart w:id="50219" w:name="_ETM_Q97_235489"/>
      <w:bookmarkEnd w:id="50219"/>
      <w:r>
        <w:rPr>
          <w:rFonts w:hint="cs"/>
          <w:rtl/>
        </w:rPr>
        <w:t xml:space="preserve">הזה </w:t>
      </w:r>
      <w:bookmarkStart w:id="50220" w:name="_ETM_Q97_235699"/>
      <w:bookmarkEnd w:id="50220"/>
      <w:r>
        <w:rPr>
          <w:rFonts w:hint="cs"/>
          <w:rtl/>
        </w:rPr>
        <w:t xml:space="preserve">מגלם </w:t>
      </w:r>
      <w:bookmarkStart w:id="50221" w:name="_ETM_Q97_236119"/>
      <w:bookmarkEnd w:id="50221"/>
      <w:r>
        <w:rPr>
          <w:rFonts w:hint="cs"/>
          <w:rtl/>
        </w:rPr>
        <w:t xml:space="preserve">את </w:t>
      </w:r>
      <w:bookmarkStart w:id="50222" w:name="_ETM_Q97_236239"/>
      <w:bookmarkEnd w:id="50222"/>
      <w:r>
        <w:rPr>
          <w:rFonts w:hint="cs"/>
          <w:rtl/>
        </w:rPr>
        <w:t xml:space="preserve">עריצות </w:t>
      </w:r>
      <w:bookmarkStart w:id="50223" w:name="_ETM_Q97_236659"/>
      <w:bookmarkEnd w:id="50223"/>
      <w:r>
        <w:rPr>
          <w:rFonts w:hint="cs"/>
          <w:rtl/>
        </w:rPr>
        <w:t xml:space="preserve">הרוב, </w:t>
      </w:r>
      <w:bookmarkStart w:id="50224" w:name="_ETM_Q97_237109"/>
      <w:bookmarkEnd w:id="50224"/>
      <w:r>
        <w:rPr>
          <w:rFonts w:hint="cs"/>
          <w:rtl/>
        </w:rPr>
        <w:t xml:space="preserve">אותה </w:t>
      </w:r>
      <w:bookmarkStart w:id="50225" w:name="_ETM_Q97_238069"/>
      <w:bookmarkEnd w:id="50225"/>
      <w:r>
        <w:rPr>
          <w:rFonts w:hint="cs"/>
          <w:rtl/>
        </w:rPr>
        <w:t xml:space="preserve">ואותה </w:t>
      </w:r>
      <w:bookmarkStart w:id="50226" w:name="_ETM_Q97_238579"/>
      <w:bookmarkEnd w:id="50226"/>
      <w:r>
        <w:rPr>
          <w:rFonts w:hint="cs"/>
          <w:rtl/>
        </w:rPr>
        <w:t>בלבד.</w:t>
      </w:r>
    </w:p>
    <w:p w:rsidR="00BB59CD" w:rsidRDefault="00BB59CD" w:rsidP="00BB59CD">
      <w:pPr>
        <w:rPr>
          <w:rtl/>
        </w:rPr>
      </w:pPr>
      <w:bookmarkStart w:id="50227" w:name="_ETM_Q97_240000"/>
      <w:bookmarkEnd w:id="50227"/>
    </w:p>
    <w:p w:rsidR="00BB59CD" w:rsidRDefault="00BB59CD" w:rsidP="00B41626">
      <w:pPr>
        <w:rPr>
          <w:rtl/>
        </w:rPr>
      </w:pPr>
      <w:bookmarkStart w:id="50228" w:name="_ETM_Q97_241000"/>
      <w:bookmarkStart w:id="50229" w:name="_ETM_Q97_240899"/>
      <w:bookmarkEnd w:id="50228"/>
      <w:bookmarkEnd w:id="50229"/>
      <w:r>
        <w:rPr>
          <w:rFonts w:hint="cs"/>
          <w:rtl/>
        </w:rPr>
        <w:t xml:space="preserve">אני </w:t>
      </w:r>
      <w:bookmarkStart w:id="50230" w:name="_ETM_Q97_241139"/>
      <w:bookmarkEnd w:id="50230"/>
      <w:r>
        <w:rPr>
          <w:rFonts w:hint="cs"/>
          <w:rtl/>
        </w:rPr>
        <w:t xml:space="preserve">מבקש </w:t>
      </w:r>
      <w:bookmarkStart w:id="50231" w:name="_ETM_Q97_242069"/>
      <w:bookmarkEnd w:id="50231"/>
      <w:r>
        <w:rPr>
          <w:rFonts w:hint="cs"/>
          <w:rtl/>
        </w:rPr>
        <w:t xml:space="preserve">למסור </w:t>
      </w:r>
      <w:bookmarkStart w:id="50232" w:name="_ETM_Q97_242729"/>
      <w:bookmarkEnd w:id="50232"/>
      <w:r>
        <w:rPr>
          <w:rFonts w:hint="cs"/>
          <w:rtl/>
        </w:rPr>
        <w:t xml:space="preserve">לראש </w:t>
      </w:r>
      <w:bookmarkStart w:id="50233" w:name="_ETM_Q97_243059"/>
      <w:bookmarkEnd w:id="50233"/>
      <w:r>
        <w:rPr>
          <w:rFonts w:hint="cs"/>
          <w:rtl/>
        </w:rPr>
        <w:t xml:space="preserve">הממשלה, </w:t>
      </w:r>
      <w:bookmarkStart w:id="50234" w:name="_ETM_Q97_244550"/>
      <w:bookmarkEnd w:id="50234"/>
      <w:r>
        <w:rPr>
          <w:rFonts w:hint="cs"/>
          <w:rtl/>
        </w:rPr>
        <w:t xml:space="preserve">לשרים, </w:t>
      </w:r>
      <w:bookmarkStart w:id="50235" w:name="_ETM_Q97_245850"/>
      <w:bookmarkEnd w:id="50235"/>
      <w:r>
        <w:rPr>
          <w:rFonts w:hint="cs"/>
          <w:rtl/>
        </w:rPr>
        <w:t xml:space="preserve">לחבר </w:t>
      </w:r>
      <w:bookmarkStart w:id="50236" w:name="_ETM_Q97_246300"/>
      <w:bookmarkEnd w:id="50236"/>
      <w:r>
        <w:rPr>
          <w:rFonts w:hint="cs"/>
          <w:rtl/>
        </w:rPr>
        <w:t xml:space="preserve">הכנסת </w:t>
      </w:r>
      <w:bookmarkStart w:id="50237" w:name="_ETM_Q97_246690"/>
      <w:bookmarkEnd w:id="50237"/>
      <w:r>
        <w:rPr>
          <w:rFonts w:hint="cs"/>
          <w:rtl/>
        </w:rPr>
        <w:t xml:space="preserve">רוטמן: </w:t>
      </w:r>
      <w:bookmarkStart w:id="50238" w:name="_ETM_Q97_247970"/>
      <w:bookmarkEnd w:id="50238"/>
      <w:r>
        <w:rPr>
          <w:rFonts w:hint="cs"/>
          <w:rtl/>
        </w:rPr>
        <w:t xml:space="preserve">נפלתם </w:t>
      </w:r>
      <w:bookmarkStart w:id="50239" w:name="_ETM_Q97_249080"/>
      <w:bookmarkEnd w:id="50239"/>
      <w:r>
        <w:rPr>
          <w:rFonts w:hint="cs"/>
          <w:rtl/>
        </w:rPr>
        <w:t xml:space="preserve">על </w:t>
      </w:r>
      <w:bookmarkStart w:id="50240" w:name="_ETM_Q97_249260"/>
      <w:bookmarkEnd w:id="50240"/>
      <w:r>
        <w:rPr>
          <w:rFonts w:hint="cs"/>
          <w:rtl/>
        </w:rPr>
        <w:t xml:space="preserve">הדור </w:t>
      </w:r>
      <w:bookmarkStart w:id="50241" w:name="_ETM_Q97_249560"/>
      <w:bookmarkEnd w:id="50241"/>
      <w:r>
        <w:rPr>
          <w:rFonts w:hint="cs"/>
          <w:rtl/>
        </w:rPr>
        <w:t>הלא</w:t>
      </w:r>
      <w:bookmarkStart w:id="50242" w:name="_ETM_Q97_249709"/>
      <w:bookmarkEnd w:id="50242"/>
      <w:r>
        <w:rPr>
          <w:rFonts w:hint="cs"/>
          <w:rtl/>
        </w:rPr>
        <w:t>-נכון</w:t>
      </w:r>
      <w:bookmarkStart w:id="50243" w:name="_ETM_Q97_250810"/>
      <w:bookmarkEnd w:id="50243"/>
      <w:r>
        <w:rPr>
          <w:rFonts w:hint="cs"/>
          <w:rtl/>
        </w:rPr>
        <w:t xml:space="preserve">. על </w:t>
      </w:r>
      <w:bookmarkStart w:id="50244" w:name="_ETM_Q97_250990"/>
      <w:bookmarkEnd w:id="50244"/>
      <w:r>
        <w:rPr>
          <w:rFonts w:hint="cs"/>
          <w:rtl/>
        </w:rPr>
        <w:t xml:space="preserve">דור </w:t>
      </w:r>
      <w:bookmarkStart w:id="50245" w:name="_ETM_Q97_251260"/>
      <w:bookmarkEnd w:id="50245"/>
      <w:r>
        <w:rPr>
          <w:rFonts w:hint="cs"/>
          <w:rtl/>
        </w:rPr>
        <w:t xml:space="preserve">של </w:t>
      </w:r>
      <w:bookmarkStart w:id="50246" w:name="_ETM_Q97_251470"/>
      <w:bookmarkEnd w:id="50246"/>
      <w:r>
        <w:rPr>
          <w:rFonts w:hint="cs"/>
          <w:rtl/>
        </w:rPr>
        <w:t xml:space="preserve">צעירים </w:t>
      </w:r>
      <w:bookmarkStart w:id="50247" w:name="_ETM_Q97_251950"/>
      <w:bookmarkEnd w:id="50247"/>
      <w:r>
        <w:rPr>
          <w:rFonts w:hint="cs"/>
          <w:rtl/>
        </w:rPr>
        <w:t xml:space="preserve">שנולדו </w:t>
      </w:r>
      <w:bookmarkStart w:id="50248" w:name="_ETM_Q97_252940"/>
      <w:bookmarkEnd w:id="50248"/>
      <w:r>
        <w:rPr>
          <w:rFonts w:hint="cs"/>
          <w:rtl/>
        </w:rPr>
        <w:t>ל</w:t>
      </w:r>
      <w:bookmarkStart w:id="50249" w:name="_ETM_Q97_253209"/>
      <w:bookmarkEnd w:id="50249"/>
      <w:r>
        <w:rPr>
          <w:rFonts w:hint="cs"/>
          <w:rtl/>
        </w:rPr>
        <w:t xml:space="preserve">תוך </w:t>
      </w:r>
      <w:bookmarkStart w:id="50250" w:name="_ETM_Q97_253510"/>
      <w:bookmarkEnd w:id="50250"/>
      <w:r>
        <w:rPr>
          <w:rFonts w:hint="cs"/>
          <w:rtl/>
        </w:rPr>
        <w:t xml:space="preserve">מדינה </w:t>
      </w:r>
      <w:bookmarkStart w:id="50251" w:name="_ETM_Q97_253990"/>
      <w:bookmarkEnd w:id="50251"/>
      <w:r>
        <w:rPr>
          <w:rFonts w:hint="cs"/>
          <w:rtl/>
        </w:rPr>
        <w:t xml:space="preserve">יהודית </w:t>
      </w:r>
      <w:bookmarkStart w:id="50252" w:name="_ETM_Q97_254470"/>
      <w:bookmarkEnd w:id="50252"/>
      <w:r>
        <w:rPr>
          <w:rFonts w:hint="cs"/>
          <w:rtl/>
        </w:rPr>
        <w:t xml:space="preserve">ודמוקרטית, </w:t>
      </w:r>
      <w:bookmarkStart w:id="50253" w:name="_ETM_Q97_256170"/>
      <w:bookmarkEnd w:id="50253"/>
      <w:r>
        <w:rPr>
          <w:rFonts w:hint="cs"/>
          <w:rtl/>
        </w:rPr>
        <w:t xml:space="preserve">משגשגת, </w:t>
      </w:r>
      <w:bookmarkStart w:id="50254" w:name="_ETM_Q97_257189"/>
      <w:bookmarkEnd w:id="50254"/>
      <w:r>
        <w:rPr>
          <w:rFonts w:hint="cs"/>
          <w:rtl/>
        </w:rPr>
        <w:t xml:space="preserve">חזקה, </w:t>
      </w:r>
      <w:bookmarkStart w:id="50255" w:name="_ETM_Q97_258149"/>
      <w:bookmarkEnd w:id="50255"/>
      <w:r>
        <w:rPr>
          <w:rFonts w:hint="cs"/>
          <w:rtl/>
        </w:rPr>
        <w:t xml:space="preserve">אופטימית, </w:t>
      </w:r>
      <w:bookmarkStart w:id="50256" w:name="_ETM_Q97_259380"/>
      <w:bookmarkEnd w:id="50256"/>
      <w:r>
        <w:rPr>
          <w:rFonts w:hint="cs"/>
          <w:rtl/>
        </w:rPr>
        <w:t xml:space="preserve">שבטוחה </w:t>
      </w:r>
      <w:bookmarkStart w:id="50257" w:name="_ETM_Q97_260069"/>
      <w:bookmarkEnd w:id="50257"/>
      <w:r>
        <w:rPr>
          <w:rFonts w:hint="cs"/>
          <w:rtl/>
        </w:rPr>
        <w:t xml:space="preserve">בעצמה, </w:t>
      </w:r>
      <w:bookmarkStart w:id="50258" w:name="_ETM_Q97_261319"/>
      <w:bookmarkEnd w:id="50258"/>
      <w:r>
        <w:rPr>
          <w:rFonts w:hint="cs"/>
          <w:rtl/>
        </w:rPr>
        <w:t xml:space="preserve">בצביון </w:t>
      </w:r>
      <w:bookmarkStart w:id="50259" w:name="_ETM_Q97_262130"/>
      <w:bookmarkEnd w:id="50259"/>
      <w:r>
        <w:rPr>
          <w:rFonts w:hint="cs"/>
          <w:rtl/>
        </w:rPr>
        <w:t xml:space="preserve">שלה, </w:t>
      </w:r>
      <w:bookmarkStart w:id="50260" w:name="_ETM_Q97_262970"/>
      <w:bookmarkEnd w:id="50260"/>
      <w:r>
        <w:rPr>
          <w:rFonts w:hint="cs"/>
          <w:rtl/>
        </w:rPr>
        <w:t xml:space="preserve">בזהות </w:t>
      </w:r>
      <w:bookmarkStart w:id="50261" w:name="_ETM_Q97_263720"/>
      <w:bookmarkEnd w:id="50261"/>
      <w:r>
        <w:rPr>
          <w:rFonts w:hint="cs"/>
          <w:rtl/>
        </w:rPr>
        <w:t xml:space="preserve">שלה; </w:t>
      </w:r>
      <w:bookmarkStart w:id="50262" w:name="_ETM_Q97_264709"/>
      <w:bookmarkStart w:id="50263" w:name="_ETM_Q97_264890"/>
      <w:bookmarkEnd w:id="50262"/>
      <w:bookmarkEnd w:id="50263"/>
      <w:r>
        <w:rPr>
          <w:rFonts w:hint="cs"/>
          <w:rtl/>
        </w:rPr>
        <w:t xml:space="preserve">על דור </w:t>
      </w:r>
      <w:bookmarkStart w:id="50264" w:name="_ETM_Q97_265190"/>
      <w:bookmarkEnd w:id="50264"/>
      <w:r>
        <w:rPr>
          <w:rFonts w:hint="cs"/>
          <w:rtl/>
        </w:rPr>
        <w:t xml:space="preserve">של </w:t>
      </w:r>
      <w:bookmarkStart w:id="50265" w:name="_ETM_Q97_265400"/>
      <w:bookmarkEnd w:id="50265"/>
      <w:r>
        <w:rPr>
          <w:rFonts w:hint="cs"/>
          <w:rtl/>
        </w:rPr>
        <w:t xml:space="preserve">נשים </w:t>
      </w:r>
      <w:bookmarkStart w:id="50266" w:name="_ETM_Q97_265760"/>
      <w:bookmarkEnd w:id="50266"/>
      <w:r>
        <w:rPr>
          <w:rFonts w:hint="cs"/>
          <w:rtl/>
        </w:rPr>
        <w:t xml:space="preserve">אמיצות, </w:t>
      </w:r>
      <w:bookmarkStart w:id="50267" w:name="_ETM_Q97_267120"/>
      <w:bookmarkEnd w:id="50267"/>
      <w:r>
        <w:rPr>
          <w:rFonts w:hint="cs"/>
          <w:rtl/>
        </w:rPr>
        <w:t xml:space="preserve">של </w:t>
      </w:r>
      <w:bookmarkStart w:id="50268" w:name="_ETM_Q97_267390"/>
      <w:bookmarkEnd w:id="50268"/>
      <w:r>
        <w:rPr>
          <w:rFonts w:hint="cs"/>
          <w:rtl/>
        </w:rPr>
        <w:t xml:space="preserve">לביאות, </w:t>
      </w:r>
      <w:bookmarkStart w:id="50269" w:name="_ETM_Q97_268530"/>
      <w:bookmarkEnd w:id="50269"/>
      <w:r>
        <w:rPr>
          <w:rFonts w:hint="cs"/>
          <w:rtl/>
        </w:rPr>
        <w:t xml:space="preserve">שלא </w:t>
      </w:r>
      <w:bookmarkStart w:id="50270" w:name="_ETM_Q97_268830"/>
      <w:bookmarkEnd w:id="50270"/>
      <w:r>
        <w:rPr>
          <w:rFonts w:hint="cs"/>
          <w:rtl/>
        </w:rPr>
        <w:t xml:space="preserve">מוכנות </w:t>
      </w:r>
      <w:bookmarkStart w:id="50271" w:name="_ETM_Q97_269430"/>
      <w:bookmarkEnd w:id="50271"/>
      <w:r>
        <w:rPr>
          <w:rFonts w:hint="cs"/>
          <w:rtl/>
        </w:rPr>
        <w:t xml:space="preserve">שיצמצמו </w:t>
      </w:r>
      <w:bookmarkStart w:id="50272" w:name="_ETM_Q97_270120"/>
      <w:bookmarkEnd w:id="50272"/>
      <w:r>
        <w:rPr>
          <w:rFonts w:hint="cs"/>
          <w:rtl/>
        </w:rPr>
        <w:t xml:space="preserve">אותן, </w:t>
      </w:r>
      <w:bookmarkStart w:id="50273" w:name="_ETM_Q97_271020"/>
      <w:bookmarkEnd w:id="50273"/>
      <w:r>
        <w:rPr>
          <w:rFonts w:hint="cs"/>
          <w:rtl/>
        </w:rPr>
        <w:t xml:space="preserve">את </w:t>
      </w:r>
      <w:bookmarkStart w:id="50274" w:name="_ETM_Q97_271200"/>
      <w:bookmarkEnd w:id="50274"/>
      <w:r>
        <w:rPr>
          <w:rFonts w:hint="cs"/>
          <w:rtl/>
        </w:rPr>
        <w:t xml:space="preserve">ההזדמנויות </w:t>
      </w:r>
      <w:bookmarkStart w:id="50275" w:name="_ETM_Q97_271950"/>
      <w:bookmarkEnd w:id="50275"/>
      <w:r>
        <w:rPr>
          <w:rFonts w:hint="cs"/>
          <w:rtl/>
        </w:rPr>
        <w:t xml:space="preserve">שלהן, </w:t>
      </w:r>
      <w:bookmarkStart w:id="50276" w:name="_ETM_Q97_272790"/>
      <w:bookmarkEnd w:id="50276"/>
      <w:r>
        <w:rPr>
          <w:rFonts w:hint="cs"/>
          <w:rtl/>
        </w:rPr>
        <w:t xml:space="preserve">את </w:t>
      </w:r>
      <w:bookmarkStart w:id="50277" w:name="_ETM_Q97_273030"/>
      <w:bookmarkEnd w:id="50277"/>
      <w:r>
        <w:rPr>
          <w:rFonts w:hint="cs"/>
          <w:rtl/>
        </w:rPr>
        <w:t xml:space="preserve">העתיד </w:t>
      </w:r>
      <w:bookmarkStart w:id="50278" w:name="_ETM_Q97_273450"/>
      <w:bookmarkEnd w:id="50278"/>
      <w:r>
        <w:rPr>
          <w:rFonts w:hint="cs"/>
          <w:rtl/>
        </w:rPr>
        <w:t xml:space="preserve">שלהן </w:t>
      </w:r>
      <w:bookmarkStart w:id="50279" w:name="_ETM_Q97_273959"/>
      <w:bookmarkEnd w:id="50279"/>
      <w:r>
        <w:rPr>
          <w:rFonts w:hint="cs"/>
          <w:rtl/>
        </w:rPr>
        <w:t xml:space="preserve">ושל </w:t>
      </w:r>
      <w:bookmarkStart w:id="50280" w:name="_ETM_Q97_274230"/>
      <w:bookmarkEnd w:id="50280"/>
      <w:r>
        <w:rPr>
          <w:rFonts w:hint="cs"/>
          <w:rtl/>
        </w:rPr>
        <w:t xml:space="preserve">הבנות </w:t>
      </w:r>
      <w:bookmarkStart w:id="50281" w:name="_ETM_Q97_274620"/>
      <w:bookmarkEnd w:id="50281"/>
      <w:r>
        <w:rPr>
          <w:rFonts w:hint="cs"/>
          <w:rtl/>
        </w:rPr>
        <w:t xml:space="preserve">שלהן </w:t>
      </w:r>
      <w:bookmarkStart w:id="50282" w:name="_ETM_Q97_275520"/>
      <w:bookmarkEnd w:id="50282"/>
      <w:r>
        <w:rPr>
          <w:rFonts w:hint="cs"/>
          <w:rtl/>
        </w:rPr>
        <w:t xml:space="preserve">ליכולת </w:t>
      </w:r>
      <w:bookmarkStart w:id="50283" w:name="_ETM_Q97_276209"/>
      <w:bookmarkEnd w:id="50283"/>
      <w:r>
        <w:rPr>
          <w:rFonts w:hint="cs"/>
          <w:rtl/>
        </w:rPr>
        <w:t xml:space="preserve">שלהן </w:t>
      </w:r>
      <w:bookmarkStart w:id="50284" w:name="_ETM_Q97_276569"/>
      <w:bookmarkEnd w:id="50284"/>
      <w:r>
        <w:rPr>
          <w:rFonts w:hint="cs"/>
          <w:rtl/>
        </w:rPr>
        <w:t xml:space="preserve">להביא </w:t>
      </w:r>
      <w:bookmarkStart w:id="50285" w:name="_ETM_Q97_276900"/>
      <w:bookmarkEnd w:id="50285"/>
      <w:r>
        <w:rPr>
          <w:rFonts w:hint="cs"/>
          <w:rtl/>
        </w:rPr>
        <w:t xml:space="preserve">ילדים </w:t>
      </w:r>
      <w:bookmarkStart w:id="50286" w:name="_ETM_Q97_277410"/>
      <w:bookmarkEnd w:id="50286"/>
      <w:r>
        <w:rPr>
          <w:rFonts w:hint="cs"/>
          <w:rtl/>
        </w:rPr>
        <w:t xml:space="preserve">לעולם; </w:t>
      </w:r>
      <w:bookmarkStart w:id="50287" w:name="_ETM_Q97_278689"/>
      <w:bookmarkEnd w:id="50287"/>
      <w:r>
        <w:rPr>
          <w:rFonts w:hint="cs"/>
          <w:rtl/>
        </w:rPr>
        <w:t xml:space="preserve">על </w:t>
      </w:r>
      <w:bookmarkStart w:id="50288" w:name="_ETM_Q97_278899"/>
      <w:bookmarkEnd w:id="50288"/>
      <w:r>
        <w:rPr>
          <w:rFonts w:hint="cs"/>
          <w:rtl/>
        </w:rPr>
        <w:t xml:space="preserve">דור </w:t>
      </w:r>
      <w:bookmarkStart w:id="50289" w:name="_ETM_Q97_279380"/>
      <w:bookmarkEnd w:id="50289"/>
      <w:r>
        <w:rPr>
          <w:rFonts w:hint="cs"/>
          <w:rtl/>
        </w:rPr>
        <w:t xml:space="preserve">של </w:t>
      </w:r>
      <w:bookmarkStart w:id="50290" w:name="_ETM_Q97_279590"/>
      <w:bookmarkEnd w:id="50290"/>
      <w:r>
        <w:rPr>
          <w:rFonts w:hint="cs"/>
          <w:rtl/>
        </w:rPr>
        <w:t xml:space="preserve">אנשים </w:t>
      </w:r>
      <w:bookmarkStart w:id="50291" w:name="_ETM_Q97_279920"/>
      <w:bookmarkEnd w:id="50291"/>
      <w:r>
        <w:rPr>
          <w:rFonts w:hint="cs"/>
          <w:rtl/>
        </w:rPr>
        <w:t xml:space="preserve">שחונכו </w:t>
      </w:r>
      <w:bookmarkStart w:id="50292" w:name="_ETM_Q97_280490"/>
      <w:bookmarkEnd w:id="50292"/>
      <w:r>
        <w:rPr>
          <w:rFonts w:hint="cs"/>
          <w:rtl/>
        </w:rPr>
        <w:t xml:space="preserve">על </w:t>
      </w:r>
      <w:bookmarkStart w:id="50293" w:name="_ETM_Q97_280609"/>
      <w:bookmarkEnd w:id="50293"/>
      <w:r>
        <w:rPr>
          <w:rFonts w:hint="cs"/>
          <w:rtl/>
        </w:rPr>
        <w:t xml:space="preserve">ערכי </w:t>
      </w:r>
      <w:bookmarkStart w:id="50294" w:name="_ETM_Q97_280939"/>
      <w:bookmarkEnd w:id="50294"/>
      <w:r>
        <w:rPr>
          <w:rFonts w:hint="cs"/>
          <w:rtl/>
        </w:rPr>
        <w:t xml:space="preserve">הציונות, </w:t>
      </w:r>
      <w:bookmarkStart w:id="50295" w:name="_ETM_Q97_282220"/>
      <w:bookmarkEnd w:id="50295"/>
      <w:r>
        <w:rPr>
          <w:rFonts w:hint="cs"/>
          <w:rtl/>
        </w:rPr>
        <w:t xml:space="preserve">שמתפוצצים </w:t>
      </w:r>
      <w:bookmarkStart w:id="50296" w:name="_ETM_Q97_283420"/>
      <w:bookmarkEnd w:id="50296"/>
      <w:r>
        <w:rPr>
          <w:rFonts w:hint="cs"/>
          <w:rtl/>
        </w:rPr>
        <w:t xml:space="preserve">מגאווה </w:t>
      </w:r>
      <w:bookmarkStart w:id="50297" w:name="_ETM_Q97_284049"/>
      <w:bookmarkEnd w:id="50297"/>
      <w:r>
        <w:rPr>
          <w:rFonts w:hint="cs"/>
          <w:rtl/>
        </w:rPr>
        <w:t xml:space="preserve">על </w:t>
      </w:r>
      <w:bookmarkStart w:id="50298" w:name="_ETM_Q97_284170"/>
      <w:bookmarkEnd w:id="50298"/>
      <w:r>
        <w:rPr>
          <w:rFonts w:hint="cs"/>
          <w:rtl/>
        </w:rPr>
        <w:t>הסטרטאפ ניישן</w:t>
      </w:r>
      <w:bookmarkStart w:id="50299" w:name="_ETM_Q97_284860"/>
      <w:bookmarkStart w:id="50300" w:name="_ETM_Q97_285310"/>
      <w:bookmarkEnd w:id="50299"/>
      <w:bookmarkEnd w:id="50300"/>
      <w:r>
        <w:rPr>
          <w:rFonts w:hint="cs"/>
          <w:rtl/>
        </w:rPr>
        <w:t xml:space="preserve"> שייסדנו </w:t>
      </w:r>
      <w:bookmarkStart w:id="50301" w:name="_ETM_Q97_285970"/>
      <w:bookmarkEnd w:id="50301"/>
      <w:r>
        <w:rPr>
          <w:rFonts w:hint="cs"/>
          <w:rtl/>
        </w:rPr>
        <w:t xml:space="preserve">כאן, </w:t>
      </w:r>
      <w:bookmarkStart w:id="50302" w:name="_ETM_Q97_286750"/>
      <w:bookmarkEnd w:id="50302"/>
      <w:r>
        <w:rPr>
          <w:rFonts w:hint="cs"/>
          <w:rtl/>
        </w:rPr>
        <w:t xml:space="preserve">שמתרגשים </w:t>
      </w:r>
      <w:bookmarkStart w:id="50303" w:name="_ETM_Q97_287619"/>
      <w:bookmarkEnd w:id="50303"/>
      <w:r>
        <w:rPr>
          <w:rFonts w:hint="cs"/>
          <w:rtl/>
        </w:rPr>
        <w:t xml:space="preserve">מהערבות </w:t>
      </w:r>
      <w:bookmarkStart w:id="50304" w:name="_ETM_Q97_288430"/>
      <w:bookmarkEnd w:id="50304"/>
      <w:r>
        <w:rPr>
          <w:rFonts w:hint="cs"/>
          <w:rtl/>
        </w:rPr>
        <w:t xml:space="preserve">ההדדית </w:t>
      </w:r>
      <w:bookmarkStart w:id="50305" w:name="_ETM_Q97_289479"/>
      <w:bookmarkEnd w:id="50305"/>
      <w:r>
        <w:rPr>
          <w:rFonts w:hint="cs"/>
          <w:rtl/>
        </w:rPr>
        <w:t>ש</w:t>
      </w:r>
      <w:bookmarkStart w:id="50306" w:name="_ETM_Q97_291149"/>
      <w:bookmarkEnd w:id="50306"/>
      <w:r>
        <w:rPr>
          <w:rFonts w:hint="cs"/>
          <w:rtl/>
        </w:rPr>
        <w:t xml:space="preserve">כמוה קיימת </w:t>
      </w:r>
      <w:bookmarkStart w:id="50307" w:name="_ETM_Q97_291689"/>
      <w:bookmarkEnd w:id="50307"/>
      <w:r>
        <w:rPr>
          <w:rFonts w:hint="cs"/>
          <w:rtl/>
        </w:rPr>
        <w:t xml:space="preserve">רק </w:t>
      </w:r>
      <w:bookmarkStart w:id="50308" w:name="_ETM_Q97_291959"/>
      <w:bookmarkEnd w:id="50308"/>
      <w:r>
        <w:rPr>
          <w:rFonts w:hint="cs"/>
          <w:rtl/>
        </w:rPr>
        <w:t xml:space="preserve">בישראל, </w:t>
      </w:r>
      <w:bookmarkStart w:id="50309" w:name="_ETM_Q97_293299"/>
      <w:bookmarkEnd w:id="50309"/>
      <w:r>
        <w:rPr>
          <w:rFonts w:hint="cs"/>
          <w:rtl/>
        </w:rPr>
        <w:t xml:space="preserve">מהעוצמה </w:t>
      </w:r>
      <w:bookmarkStart w:id="50310" w:name="_ETM_Q97_294020"/>
      <w:bookmarkEnd w:id="50310"/>
      <w:r>
        <w:rPr>
          <w:rFonts w:hint="cs"/>
          <w:rtl/>
        </w:rPr>
        <w:t xml:space="preserve">הצבאית </w:t>
      </w:r>
      <w:bookmarkStart w:id="50311" w:name="_ETM_Q97_294680"/>
      <w:bookmarkEnd w:id="50311"/>
      <w:r>
        <w:rPr>
          <w:rFonts w:hint="cs"/>
          <w:rtl/>
        </w:rPr>
        <w:t xml:space="preserve">והמוסרית </w:t>
      </w:r>
      <w:bookmarkStart w:id="50312" w:name="_ETM_Q97_296390"/>
      <w:bookmarkEnd w:id="50312"/>
      <w:r>
        <w:rPr>
          <w:rFonts w:hint="cs"/>
          <w:rtl/>
        </w:rPr>
        <w:t xml:space="preserve">של </w:t>
      </w:r>
      <w:bookmarkStart w:id="50313" w:name="_ETM_Q97_296659"/>
      <w:bookmarkEnd w:id="50313"/>
      <w:r>
        <w:rPr>
          <w:rFonts w:hint="cs"/>
          <w:rtl/>
        </w:rPr>
        <w:t xml:space="preserve">צה"ל, </w:t>
      </w:r>
      <w:bookmarkStart w:id="50314" w:name="_ETM_Q97_297860"/>
      <w:bookmarkEnd w:id="50314"/>
      <w:r>
        <w:rPr>
          <w:rFonts w:hint="cs"/>
          <w:rtl/>
        </w:rPr>
        <w:t xml:space="preserve">שמוכנים </w:t>
      </w:r>
      <w:bookmarkStart w:id="50315" w:name="_ETM_Q97_299090"/>
      <w:bookmarkEnd w:id="50315"/>
      <w:r>
        <w:rPr>
          <w:rFonts w:hint="cs"/>
          <w:rtl/>
        </w:rPr>
        <w:t xml:space="preserve">להקריב </w:t>
      </w:r>
      <w:bookmarkStart w:id="50316" w:name="_ETM_Q97_299689"/>
      <w:bookmarkEnd w:id="50316"/>
      <w:r>
        <w:rPr>
          <w:rFonts w:hint="cs"/>
          <w:rtl/>
        </w:rPr>
        <w:t xml:space="preserve">את </w:t>
      </w:r>
      <w:bookmarkStart w:id="50317" w:name="_ETM_Q97_299810"/>
      <w:bookmarkEnd w:id="50317"/>
      <w:r>
        <w:rPr>
          <w:rFonts w:hint="cs"/>
          <w:rtl/>
        </w:rPr>
        <w:t xml:space="preserve">החיים </w:t>
      </w:r>
      <w:bookmarkStart w:id="50318" w:name="_ETM_Q97_300170"/>
      <w:bookmarkEnd w:id="50318"/>
      <w:r>
        <w:rPr>
          <w:rFonts w:hint="cs"/>
          <w:rtl/>
        </w:rPr>
        <w:t xml:space="preserve">שלהם </w:t>
      </w:r>
      <w:bookmarkStart w:id="50319" w:name="_ETM_Q97_300530"/>
      <w:bookmarkEnd w:id="50319"/>
      <w:r>
        <w:rPr>
          <w:rFonts w:hint="cs"/>
          <w:rtl/>
        </w:rPr>
        <w:t xml:space="preserve">כדי </w:t>
      </w:r>
      <w:bookmarkStart w:id="50320" w:name="_ETM_Q97_300770"/>
      <w:bookmarkEnd w:id="50320"/>
      <w:r>
        <w:rPr>
          <w:rFonts w:hint="cs"/>
          <w:rtl/>
        </w:rPr>
        <w:t xml:space="preserve">שהמפעל </w:t>
      </w:r>
      <w:bookmarkStart w:id="50321" w:name="_ETM_Q97_301369"/>
      <w:bookmarkEnd w:id="50321"/>
      <w:r>
        <w:rPr>
          <w:rFonts w:hint="cs"/>
          <w:rtl/>
        </w:rPr>
        <w:t xml:space="preserve">הזה </w:t>
      </w:r>
      <w:bookmarkStart w:id="50322" w:name="_ETM_Q97_301549"/>
      <w:bookmarkEnd w:id="50322"/>
      <w:r>
        <w:rPr>
          <w:rFonts w:hint="cs"/>
          <w:rtl/>
        </w:rPr>
        <w:t xml:space="preserve">ימשיך </w:t>
      </w:r>
      <w:bookmarkStart w:id="50323" w:name="_ETM_Q97_302060"/>
      <w:bookmarkEnd w:id="50323"/>
      <w:r>
        <w:rPr>
          <w:rFonts w:hint="cs"/>
          <w:rtl/>
        </w:rPr>
        <w:t xml:space="preserve">להתקיים </w:t>
      </w:r>
      <w:bookmarkStart w:id="50324" w:name="_ETM_Q97_302659"/>
      <w:bookmarkEnd w:id="50324"/>
      <w:r>
        <w:rPr>
          <w:rFonts w:hint="cs"/>
          <w:rtl/>
        </w:rPr>
        <w:t xml:space="preserve">ולשגשג, </w:t>
      </w:r>
      <w:bookmarkStart w:id="50325" w:name="_ETM_Q97_304139"/>
      <w:bookmarkEnd w:id="50325"/>
      <w:r>
        <w:rPr>
          <w:rFonts w:hint="cs"/>
          <w:rtl/>
        </w:rPr>
        <w:t xml:space="preserve">שמאמינים </w:t>
      </w:r>
      <w:bookmarkStart w:id="50326" w:name="_ETM_Q97_304889"/>
      <w:bookmarkEnd w:id="50326"/>
      <w:r>
        <w:rPr>
          <w:rFonts w:hint="cs"/>
          <w:rtl/>
        </w:rPr>
        <w:t xml:space="preserve">שהיהדות </w:t>
      </w:r>
      <w:bookmarkStart w:id="50327" w:name="_ETM_Q97_305670"/>
      <w:bookmarkEnd w:id="50327"/>
      <w:r>
        <w:rPr>
          <w:rFonts w:hint="cs"/>
          <w:rtl/>
        </w:rPr>
        <w:t xml:space="preserve">היא </w:t>
      </w:r>
      <w:bookmarkStart w:id="50328" w:name="_ETM_Q97_305789"/>
      <w:bookmarkEnd w:id="50328"/>
      <w:r>
        <w:rPr>
          <w:rFonts w:hint="cs"/>
          <w:rtl/>
        </w:rPr>
        <w:t xml:space="preserve">המגן </w:t>
      </w:r>
      <w:bookmarkStart w:id="50329" w:name="_ETM_Q97_306270"/>
      <w:bookmarkEnd w:id="50329"/>
      <w:r>
        <w:rPr>
          <w:rFonts w:hint="cs"/>
          <w:rtl/>
        </w:rPr>
        <w:t xml:space="preserve">שלנו, </w:t>
      </w:r>
      <w:bookmarkStart w:id="50330" w:name="_ETM_Q97_307479"/>
      <w:bookmarkEnd w:id="50330"/>
      <w:r>
        <w:rPr>
          <w:rFonts w:hint="cs"/>
          <w:rtl/>
        </w:rPr>
        <w:t xml:space="preserve">לא </w:t>
      </w:r>
      <w:bookmarkStart w:id="50331" w:name="_ETM_Q97_307720"/>
      <w:bookmarkEnd w:id="50331"/>
      <w:r>
        <w:rPr>
          <w:rFonts w:hint="cs"/>
          <w:rtl/>
        </w:rPr>
        <w:t xml:space="preserve">כלי </w:t>
      </w:r>
      <w:bookmarkStart w:id="50332" w:name="_ETM_Q97_308080"/>
      <w:bookmarkEnd w:id="50332"/>
      <w:r>
        <w:rPr>
          <w:rFonts w:hint="cs"/>
          <w:rtl/>
        </w:rPr>
        <w:t xml:space="preserve">ניגוח, </w:t>
      </w:r>
      <w:bookmarkStart w:id="50333" w:name="_ETM_Q97_309389"/>
      <w:bookmarkEnd w:id="50333"/>
      <w:r>
        <w:rPr>
          <w:rFonts w:hint="cs"/>
          <w:rtl/>
        </w:rPr>
        <w:t xml:space="preserve">שהעובדה </w:t>
      </w:r>
      <w:bookmarkStart w:id="50334" w:name="_ETM_Q97_309990"/>
      <w:bookmarkEnd w:id="50334"/>
      <w:r>
        <w:rPr>
          <w:rFonts w:hint="cs"/>
          <w:rtl/>
        </w:rPr>
        <w:t xml:space="preserve">שאנחנו </w:t>
      </w:r>
      <w:bookmarkStart w:id="50335" w:name="_ETM_Q97_310440"/>
      <w:bookmarkEnd w:id="50335"/>
      <w:r>
        <w:rPr>
          <w:rFonts w:hint="cs"/>
          <w:rtl/>
        </w:rPr>
        <w:t xml:space="preserve">שונים </w:t>
      </w:r>
      <w:bookmarkStart w:id="50336" w:name="_ETM_Q97_310889"/>
      <w:bookmarkEnd w:id="50336"/>
      <w:r>
        <w:rPr>
          <w:rFonts w:hint="cs"/>
          <w:rtl/>
        </w:rPr>
        <w:t xml:space="preserve">היא יתרון </w:t>
      </w:r>
      <w:bookmarkStart w:id="50337" w:name="_ETM_Q97_312300"/>
      <w:bookmarkEnd w:id="50337"/>
      <w:r>
        <w:rPr>
          <w:rFonts w:hint="cs"/>
          <w:rtl/>
        </w:rPr>
        <w:t xml:space="preserve">ולא </w:t>
      </w:r>
      <w:bookmarkStart w:id="50338" w:name="_ETM_Q97_312660"/>
      <w:bookmarkEnd w:id="50338"/>
      <w:r>
        <w:rPr>
          <w:rFonts w:hint="cs"/>
          <w:rtl/>
        </w:rPr>
        <w:t xml:space="preserve">חולשה, </w:t>
      </w:r>
      <w:bookmarkStart w:id="50339" w:name="_ETM_Q97_313950"/>
      <w:bookmarkEnd w:id="50339"/>
      <w:r>
        <w:rPr>
          <w:rFonts w:hint="cs"/>
          <w:rtl/>
        </w:rPr>
        <w:t xml:space="preserve">שהיותנו </w:t>
      </w:r>
      <w:bookmarkStart w:id="50340" w:name="_ETM_Q97_314579"/>
      <w:bookmarkEnd w:id="50340"/>
      <w:r>
        <w:rPr>
          <w:rFonts w:hint="cs"/>
          <w:rtl/>
        </w:rPr>
        <w:t xml:space="preserve">מגוונים </w:t>
      </w:r>
      <w:bookmarkStart w:id="50341" w:name="_ETM_Q97_315810"/>
      <w:bookmarkEnd w:id="50341"/>
      <w:r>
        <w:rPr>
          <w:rFonts w:hint="cs"/>
          <w:rtl/>
        </w:rPr>
        <w:t xml:space="preserve">הוא </w:t>
      </w:r>
      <w:bookmarkStart w:id="50342" w:name="_ETM_Q97_315959"/>
      <w:bookmarkEnd w:id="50342"/>
      <w:r>
        <w:rPr>
          <w:rFonts w:hint="cs"/>
          <w:rtl/>
        </w:rPr>
        <w:t xml:space="preserve">מקור </w:t>
      </w:r>
      <w:bookmarkStart w:id="50343" w:name="_ETM_Q97_316409"/>
      <w:bookmarkEnd w:id="50343"/>
      <w:r>
        <w:rPr>
          <w:rFonts w:hint="cs"/>
          <w:rtl/>
        </w:rPr>
        <w:t xml:space="preserve">כוחנו </w:t>
      </w:r>
      <w:bookmarkStart w:id="50344" w:name="_ETM_Q97_317360"/>
      <w:bookmarkEnd w:id="50344"/>
      <w:r>
        <w:rPr>
          <w:rFonts w:hint="cs"/>
          <w:rtl/>
        </w:rPr>
        <w:t xml:space="preserve">ולא </w:t>
      </w:r>
      <w:bookmarkStart w:id="50345" w:name="_ETM_Q97_317720"/>
      <w:bookmarkEnd w:id="50345"/>
      <w:r>
        <w:rPr>
          <w:rFonts w:hint="cs"/>
          <w:rtl/>
        </w:rPr>
        <w:t xml:space="preserve">קרדום </w:t>
      </w:r>
      <w:bookmarkStart w:id="50346" w:name="_ETM_Q97_318230"/>
      <w:bookmarkEnd w:id="50346"/>
      <w:r>
        <w:rPr>
          <w:rFonts w:hint="cs"/>
          <w:rtl/>
        </w:rPr>
        <w:t xml:space="preserve">לחפור </w:t>
      </w:r>
      <w:bookmarkStart w:id="50347" w:name="_ETM_Q97_318770"/>
      <w:bookmarkEnd w:id="50347"/>
      <w:r>
        <w:rPr>
          <w:rFonts w:hint="cs"/>
          <w:rtl/>
        </w:rPr>
        <w:t xml:space="preserve">בו, </w:t>
      </w:r>
      <w:bookmarkStart w:id="50348" w:name="_ETM_Q97_319540"/>
      <w:bookmarkEnd w:id="50348"/>
      <w:r>
        <w:rPr>
          <w:rFonts w:hint="cs"/>
          <w:rtl/>
        </w:rPr>
        <w:t>ש</w:t>
      </w:r>
      <w:bookmarkStart w:id="50349" w:name="_ETM_Q97_319870"/>
      <w:bookmarkEnd w:id="50349"/>
      <w:r>
        <w:rPr>
          <w:rFonts w:hint="cs"/>
          <w:rtl/>
        </w:rPr>
        <w:t xml:space="preserve">עוצמתנו </w:t>
      </w:r>
      <w:bookmarkStart w:id="50350" w:name="_ETM_Q97_320620"/>
      <w:bookmarkEnd w:id="50350"/>
      <w:r>
        <w:rPr>
          <w:rFonts w:hint="cs"/>
          <w:rtl/>
        </w:rPr>
        <w:t xml:space="preserve">לא </w:t>
      </w:r>
      <w:bookmarkStart w:id="50351" w:name="_ETM_Q97_321010"/>
      <w:bookmarkEnd w:id="50351"/>
      <w:r>
        <w:rPr>
          <w:rFonts w:hint="cs"/>
          <w:rtl/>
        </w:rPr>
        <w:t xml:space="preserve">עוברת </w:t>
      </w:r>
      <w:bookmarkStart w:id="50352" w:name="_ETM_Q97_321460"/>
      <w:bookmarkEnd w:id="50352"/>
      <w:r>
        <w:rPr>
          <w:rFonts w:hint="cs"/>
          <w:rtl/>
        </w:rPr>
        <w:t xml:space="preserve">דרך </w:t>
      </w:r>
      <w:bookmarkStart w:id="50353" w:name="_ETM_Q97_321790"/>
      <w:bookmarkEnd w:id="50353"/>
      <w:r>
        <w:rPr>
          <w:rFonts w:hint="cs"/>
          <w:rtl/>
        </w:rPr>
        <w:t xml:space="preserve">שנאת </w:t>
      </w:r>
      <w:bookmarkStart w:id="50354" w:name="_ETM_Q97_322270"/>
      <w:bookmarkEnd w:id="50354"/>
      <w:r>
        <w:rPr>
          <w:rFonts w:hint="cs"/>
          <w:rtl/>
        </w:rPr>
        <w:t xml:space="preserve">האחר, </w:t>
      </w:r>
      <w:bookmarkStart w:id="50355" w:name="_ETM_Q97_323350"/>
      <w:bookmarkEnd w:id="50355"/>
      <w:r>
        <w:rPr>
          <w:rFonts w:hint="cs"/>
          <w:rtl/>
        </w:rPr>
        <w:t xml:space="preserve">דרך </w:t>
      </w:r>
      <w:bookmarkStart w:id="50356" w:name="_ETM_Q97_323980"/>
      <w:bookmarkEnd w:id="50356"/>
      <w:r>
        <w:rPr>
          <w:rFonts w:hint="cs"/>
          <w:rtl/>
        </w:rPr>
        <w:t>הסתה</w:t>
      </w:r>
      <w:bookmarkStart w:id="50357" w:name="_ETM_Q97_324760"/>
      <w:bookmarkEnd w:id="50357"/>
      <w:r>
        <w:rPr>
          <w:rFonts w:hint="cs"/>
          <w:rtl/>
        </w:rPr>
        <w:t xml:space="preserve">, דרך </w:t>
      </w:r>
      <w:bookmarkStart w:id="50358" w:name="_ETM_Q97_325120"/>
      <w:bookmarkEnd w:id="50358"/>
      <w:r>
        <w:rPr>
          <w:rFonts w:hint="cs"/>
          <w:rtl/>
        </w:rPr>
        <w:t xml:space="preserve">אלימות, </w:t>
      </w:r>
      <w:bookmarkStart w:id="50359" w:name="_ETM_Q97_326319"/>
      <w:bookmarkEnd w:id="50359"/>
      <w:r>
        <w:rPr>
          <w:rFonts w:hint="cs"/>
          <w:rtl/>
        </w:rPr>
        <w:t xml:space="preserve">אלא </w:t>
      </w:r>
      <w:bookmarkStart w:id="50360" w:name="_ETM_Q97_326769"/>
      <w:bookmarkEnd w:id="50360"/>
      <w:r>
        <w:rPr>
          <w:rFonts w:hint="cs"/>
          <w:rtl/>
        </w:rPr>
        <w:t xml:space="preserve">על </w:t>
      </w:r>
      <w:bookmarkStart w:id="50361" w:name="_ETM_Q97_326860"/>
      <w:bookmarkEnd w:id="50361"/>
      <w:r>
        <w:rPr>
          <w:rFonts w:hint="cs"/>
          <w:rtl/>
        </w:rPr>
        <w:t xml:space="preserve">בסיס </w:t>
      </w:r>
      <w:bookmarkStart w:id="50362" w:name="_ETM_Q97_327310"/>
      <w:bookmarkEnd w:id="50362"/>
      <w:r>
        <w:rPr>
          <w:rFonts w:hint="cs"/>
          <w:rtl/>
        </w:rPr>
        <w:t xml:space="preserve">יסודות </w:t>
      </w:r>
      <w:bookmarkStart w:id="50363" w:name="_ETM_Q97_327849"/>
      <w:bookmarkEnd w:id="50363"/>
      <w:r>
        <w:rPr>
          <w:rFonts w:hint="cs"/>
          <w:rtl/>
        </w:rPr>
        <w:t xml:space="preserve">החירות, </w:t>
      </w:r>
      <w:bookmarkStart w:id="50364" w:name="_ETM_Q97_328419"/>
      <w:bookmarkEnd w:id="50364"/>
      <w:r>
        <w:rPr>
          <w:rFonts w:hint="cs"/>
          <w:rtl/>
        </w:rPr>
        <w:t xml:space="preserve">הצדק </w:t>
      </w:r>
      <w:bookmarkStart w:id="50365" w:name="_ETM_Q97_328930"/>
      <w:bookmarkEnd w:id="50365"/>
      <w:r>
        <w:rPr>
          <w:rFonts w:hint="cs"/>
          <w:rtl/>
        </w:rPr>
        <w:t xml:space="preserve">והשלום </w:t>
      </w:r>
      <w:bookmarkStart w:id="50366" w:name="_ETM_Q97_329680"/>
      <w:bookmarkEnd w:id="50366"/>
      <w:r>
        <w:rPr>
          <w:rFonts w:hint="cs"/>
          <w:rtl/>
        </w:rPr>
        <w:t xml:space="preserve">לאור </w:t>
      </w:r>
      <w:bookmarkStart w:id="50367" w:name="_ETM_Q97_329980"/>
      <w:bookmarkEnd w:id="50367"/>
      <w:r>
        <w:rPr>
          <w:rFonts w:hint="cs"/>
          <w:rtl/>
        </w:rPr>
        <w:t xml:space="preserve">חזונם </w:t>
      </w:r>
      <w:bookmarkStart w:id="50368" w:name="_ETM_Q97_330610"/>
      <w:bookmarkEnd w:id="50368"/>
      <w:r>
        <w:rPr>
          <w:rFonts w:hint="cs"/>
          <w:rtl/>
        </w:rPr>
        <w:t xml:space="preserve">של </w:t>
      </w:r>
      <w:bookmarkStart w:id="50369" w:name="_ETM_Q97_330790"/>
      <w:bookmarkEnd w:id="50369"/>
      <w:r>
        <w:rPr>
          <w:rFonts w:hint="cs"/>
          <w:rtl/>
        </w:rPr>
        <w:t xml:space="preserve">נביאי </w:t>
      </w:r>
      <w:bookmarkStart w:id="50370" w:name="_ETM_Q97_331269"/>
      <w:bookmarkEnd w:id="50370"/>
      <w:r>
        <w:rPr>
          <w:rFonts w:hint="cs"/>
          <w:rtl/>
        </w:rPr>
        <w:t xml:space="preserve">ישראל; </w:t>
      </w:r>
      <w:bookmarkStart w:id="50371" w:name="_ETM_Q97_333490"/>
      <w:bookmarkStart w:id="50372" w:name="_ETM_Q97_334000"/>
      <w:bookmarkEnd w:id="50371"/>
      <w:bookmarkEnd w:id="50372"/>
      <w:r>
        <w:rPr>
          <w:rFonts w:hint="cs"/>
          <w:rtl/>
        </w:rPr>
        <w:t xml:space="preserve">על </w:t>
      </w:r>
      <w:bookmarkStart w:id="50373" w:name="_ETM_Q97_333669"/>
      <w:bookmarkEnd w:id="50373"/>
      <w:r>
        <w:rPr>
          <w:rFonts w:hint="cs"/>
          <w:rtl/>
        </w:rPr>
        <w:t xml:space="preserve">דור </w:t>
      </w:r>
      <w:bookmarkStart w:id="50374" w:name="_ETM_Q97_333910"/>
      <w:bookmarkEnd w:id="50374"/>
      <w:r>
        <w:rPr>
          <w:rFonts w:hint="cs"/>
          <w:rtl/>
        </w:rPr>
        <w:t xml:space="preserve">נחוש </w:t>
      </w:r>
      <w:bookmarkStart w:id="50375" w:name="_ETM_Q97_335350"/>
      <w:bookmarkEnd w:id="50375"/>
      <w:r>
        <w:rPr>
          <w:rFonts w:hint="cs"/>
          <w:rtl/>
        </w:rPr>
        <w:t xml:space="preserve">ליישם </w:t>
      </w:r>
      <w:bookmarkStart w:id="50376" w:name="_ETM_Q97_336010"/>
      <w:bookmarkEnd w:id="50376"/>
      <w:r>
        <w:rPr>
          <w:rFonts w:hint="cs"/>
          <w:rtl/>
        </w:rPr>
        <w:t xml:space="preserve">את </w:t>
      </w:r>
      <w:bookmarkStart w:id="50377" w:name="_ETM_Q97_336130"/>
      <w:bookmarkStart w:id="50378" w:name="_ETM_Q97_336490"/>
      <w:bookmarkEnd w:id="50377"/>
      <w:bookmarkEnd w:id="50378"/>
      <w:r>
        <w:rPr>
          <w:rFonts w:hint="cs"/>
          <w:rtl/>
        </w:rPr>
        <w:t xml:space="preserve">ערכי </w:t>
      </w:r>
      <w:bookmarkStart w:id="50379" w:name="_ETM_Q97_336760"/>
      <w:bookmarkEnd w:id="50379"/>
      <w:r>
        <w:rPr>
          <w:rFonts w:hint="cs"/>
          <w:rtl/>
        </w:rPr>
        <w:t xml:space="preserve">מגילת </w:t>
      </w:r>
      <w:bookmarkStart w:id="50380" w:name="_ETM_Q97_337270"/>
      <w:bookmarkEnd w:id="50380"/>
      <w:r>
        <w:rPr>
          <w:rFonts w:hint="cs"/>
          <w:rtl/>
        </w:rPr>
        <w:t xml:space="preserve">העצמאות </w:t>
      </w:r>
      <w:bookmarkStart w:id="50381" w:name="_ETM_Q97_338810"/>
      <w:bookmarkEnd w:id="50381"/>
      <w:r>
        <w:rPr>
          <w:rFonts w:hint="cs"/>
          <w:rtl/>
        </w:rPr>
        <w:t xml:space="preserve">ליישום </w:t>
      </w:r>
      <w:bookmarkStart w:id="50382" w:name="_ETM_Q97_339349"/>
      <w:bookmarkEnd w:id="50382"/>
      <w:r>
        <w:rPr>
          <w:rFonts w:hint="cs"/>
          <w:rtl/>
        </w:rPr>
        <w:t xml:space="preserve">שוויון </w:t>
      </w:r>
      <w:bookmarkStart w:id="50383" w:name="_ETM_Q97_340040"/>
      <w:bookmarkEnd w:id="50383"/>
      <w:r>
        <w:rPr>
          <w:rFonts w:hint="cs"/>
          <w:rtl/>
        </w:rPr>
        <w:t xml:space="preserve">זכויות </w:t>
      </w:r>
      <w:bookmarkStart w:id="50384" w:name="_ETM_Q97_340489"/>
      <w:bookmarkEnd w:id="50384"/>
      <w:r>
        <w:rPr>
          <w:rFonts w:hint="cs"/>
          <w:rtl/>
        </w:rPr>
        <w:t xml:space="preserve">חברתי </w:t>
      </w:r>
      <w:bookmarkStart w:id="50385" w:name="_ETM_Q97_340970"/>
      <w:bookmarkEnd w:id="50385"/>
      <w:r>
        <w:rPr>
          <w:rFonts w:hint="cs"/>
          <w:rtl/>
        </w:rPr>
        <w:t xml:space="preserve">ומדיני </w:t>
      </w:r>
      <w:bookmarkStart w:id="50386" w:name="_ETM_Q97_341540"/>
      <w:bookmarkEnd w:id="50386"/>
      <w:r>
        <w:rPr>
          <w:rFonts w:hint="cs"/>
          <w:rtl/>
        </w:rPr>
        <w:t xml:space="preserve">גמור, </w:t>
      </w:r>
      <w:bookmarkStart w:id="50387" w:name="_ETM_Q97_342650"/>
      <w:bookmarkEnd w:id="50387"/>
      <w:r>
        <w:rPr>
          <w:rFonts w:hint="cs"/>
          <w:rtl/>
        </w:rPr>
        <w:t xml:space="preserve">בלי </w:t>
      </w:r>
      <w:bookmarkStart w:id="50388" w:name="_ETM_Q97_342980"/>
      <w:bookmarkEnd w:id="50388"/>
      <w:r>
        <w:rPr>
          <w:rFonts w:hint="cs"/>
          <w:rtl/>
        </w:rPr>
        <w:t xml:space="preserve">הבדל </w:t>
      </w:r>
      <w:bookmarkStart w:id="50389" w:name="_ETM_Q97_343400"/>
      <w:bookmarkEnd w:id="50389"/>
      <w:r>
        <w:rPr>
          <w:rFonts w:hint="cs"/>
          <w:rtl/>
        </w:rPr>
        <w:t xml:space="preserve">של </w:t>
      </w:r>
      <w:bookmarkStart w:id="50390" w:name="_ETM_Q97_343580"/>
      <w:bookmarkEnd w:id="50390"/>
      <w:r>
        <w:rPr>
          <w:rFonts w:hint="cs"/>
          <w:rtl/>
        </w:rPr>
        <w:t xml:space="preserve">דת, </w:t>
      </w:r>
      <w:bookmarkStart w:id="50391" w:name="_ETM_Q97_343940"/>
      <w:bookmarkEnd w:id="50391"/>
      <w:r>
        <w:rPr>
          <w:rFonts w:hint="cs"/>
          <w:rtl/>
        </w:rPr>
        <w:t xml:space="preserve">גזע </w:t>
      </w:r>
      <w:bookmarkStart w:id="50392" w:name="_ETM_Q97_344330"/>
      <w:bookmarkEnd w:id="50392"/>
      <w:r>
        <w:rPr>
          <w:rFonts w:hint="cs"/>
          <w:rtl/>
        </w:rPr>
        <w:t xml:space="preserve">ומין </w:t>
      </w:r>
      <w:bookmarkStart w:id="50393" w:name="_ETM_Q97_345290"/>
      <w:bookmarkEnd w:id="50393"/>
      <w:r w:rsidR="00B41626">
        <w:rPr>
          <w:rFonts w:hint="eastAsia"/>
          <w:rtl/>
        </w:rPr>
        <w:t>–</w:t>
      </w:r>
      <w:r w:rsidR="00B41626">
        <w:rPr>
          <w:rFonts w:hint="cs"/>
          <w:rtl/>
        </w:rPr>
        <w:t xml:space="preserve"> </w:t>
      </w:r>
      <w:r>
        <w:rPr>
          <w:rFonts w:hint="cs"/>
          <w:rtl/>
        </w:rPr>
        <w:t xml:space="preserve">ואני </w:t>
      </w:r>
      <w:bookmarkStart w:id="50394" w:name="_ETM_Q97_345590"/>
      <w:bookmarkEnd w:id="50394"/>
      <w:r>
        <w:rPr>
          <w:rFonts w:hint="cs"/>
          <w:rtl/>
        </w:rPr>
        <w:t xml:space="preserve">מוסיף: </w:t>
      </w:r>
      <w:bookmarkStart w:id="50395" w:name="_ETM_Q97_346709"/>
      <w:bookmarkEnd w:id="50395"/>
      <w:r>
        <w:rPr>
          <w:rFonts w:hint="cs"/>
          <w:rtl/>
        </w:rPr>
        <w:t xml:space="preserve">בלי </w:t>
      </w:r>
      <w:bookmarkStart w:id="50396" w:name="_ETM_Q97_347010"/>
      <w:bookmarkEnd w:id="50396"/>
      <w:r>
        <w:rPr>
          <w:rFonts w:hint="cs"/>
          <w:rtl/>
        </w:rPr>
        <w:t xml:space="preserve">הבדל </w:t>
      </w:r>
      <w:bookmarkStart w:id="50397" w:name="_ETM_Q97_347430"/>
      <w:bookmarkEnd w:id="50397"/>
      <w:r>
        <w:rPr>
          <w:rFonts w:hint="cs"/>
          <w:rtl/>
        </w:rPr>
        <w:t xml:space="preserve">של </w:t>
      </w:r>
      <w:bookmarkStart w:id="50398" w:name="_ETM_Q97_347609"/>
      <w:bookmarkEnd w:id="50398"/>
      <w:r>
        <w:rPr>
          <w:rFonts w:hint="cs"/>
          <w:rtl/>
        </w:rPr>
        <w:t xml:space="preserve">דת, </w:t>
      </w:r>
      <w:bookmarkStart w:id="50399" w:name="_ETM_Q97_347969"/>
      <w:bookmarkEnd w:id="50399"/>
      <w:r>
        <w:rPr>
          <w:rFonts w:hint="cs"/>
          <w:rtl/>
        </w:rPr>
        <w:t xml:space="preserve">גזע, </w:t>
      </w:r>
      <w:bookmarkStart w:id="50400" w:name="_ETM_Q97_348450"/>
      <w:bookmarkEnd w:id="50400"/>
      <w:r>
        <w:rPr>
          <w:rFonts w:hint="cs"/>
          <w:rtl/>
        </w:rPr>
        <w:t xml:space="preserve">מין, </w:t>
      </w:r>
      <w:bookmarkStart w:id="50401" w:name="_ETM_Q97_349320"/>
      <w:bookmarkEnd w:id="50401"/>
      <w:r>
        <w:rPr>
          <w:rFonts w:hint="cs"/>
          <w:rtl/>
        </w:rPr>
        <w:t xml:space="preserve">נטייה </w:t>
      </w:r>
      <w:bookmarkStart w:id="50402" w:name="_ETM_Q97_349860"/>
      <w:bookmarkEnd w:id="50402"/>
      <w:r>
        <w:rPr>
          <w:rFonts w:hint="cs"/>
          <w:rtl/>
        </w:rPr>
        <w:t xml:space="preserve">מינית </w:t>
      </w:r>
      <w:bookmarkStart w:id="50403" w:name="_ETM_Q97_350840"/>
      <w:bookmarkEnd w:id="50403"/>
      <w:r>
        <w:rPr>
          <w:rFonts w:hint="cs"/>
          <w:rtl/>
        </w:rPr>
        <w:t xml:space="preserve">וזהות </w:t>
      </w:r>
      <w:bookmarkStart w:id="50404" w:name="_ETM_Q97_351379"/>
      <w:bookmarkEnd w:id="50404"/>
      <w:r>
        <w:rPr>
          <w:rFonts w:hint="cs"/>
          <w:rtl/>
        </w:rPr>
        <w:t xml:space="preserve">מגדרית </w:t>
      </w:r>
      <w:bookmarkStart w:id="50405" w:name="_ETM_Q97_352879"/>
      <w:bookmarkEnd w:id="50405"/>
      <w:r w:rsidR="00B41626">
        <w:rPr>
          <w:rFonts w:hint="eastAsia"/>
          <w:rtl/>
        </w:rPr>
        <w:t>–</w:t>
      </w:r>
      <w:r w:rsidR="00B41626">
        <w:rPr>
          <w:rFonts w:hint="cs"/>
          <w:rtl/>
        </w:rPr>
        <w:t xml:space="preserve"> </w:t>
      </w:r>
      <w:r>
        <w:rPr>
          <w:rFonts w:hint="cs"/>
          <w:rtl/>
        </w:rPr>
        <w:t xml:space="preserve">כדי </w:t>
      </w:r>
      <w:bookmarkStart w:id="50406" w:name="_ETM_Q97_353150"/>
      <w:bookmarkEnd w:id="50406"/>
      <w:r>
        <w:rPr>
          <w:rFonts w:hint="cs"/>
          <w:rtl/>
        </w:rPr>
        <w:t xml:space="preserve">לוודא </w:t>
      </w:r>
      <w:bookmarkStart w:id="50407" w:name="_ETM_Q97_353629"/>
      <w:bookmarkEnd w:id="50407"/>
      <w:r>
        <w:rPr>
          <w:rFonts w:hint="cs"/>
          <w:rtl/>
        </w:rPr>
        <w:t xml:space="preserve">שישראל </w:t>
      </w:r>
      <w:bookmarkStart w:id="50408" w:name="_ETM_Q97_354260"/>
      <w:bookmarkEnd w:id="50408"/>
      <w:r>
        <w:rPr>
          <w:rFonts w:hint="cs"/>
          <w:rtl/>
        </w:rPr>
        <w:t xml:space="preserve">תשקוד </w:t>
      </w:r>
      <w:bookmarkStart w:id="50409" w:name="_ETM_Q97_354799"/>
      <w:bookmarkEnd w:id="50409"/>
      <w:r>
        <w:rPr>
          <w:rFonts w:hint="cs"/>
          <w:rtl/>
        </w:rPr>
        <w:t xml:space="preserve">על </w:t>
      </w:r>
      <w:bookmarkStart w:id="50410" w:name="_ETM_Q97_354919"/>
      <w:bookmarkEnd w:id="50410"/>
      <w:r>
        <w:rPr>
          <w:rFonts w:hint="cs"/>
          <w:rtl/>
        </w:rPr>
        <w:t xml:space="preserve">פיתוח </w:t>
      </w:r>
      <w:bookmarkStart w:id="50411" w:name="_ETM_Q97_355489"/>
      <w:bookmarkEnd w:id="50411"/>
      <w:r>
        <w:rPr>
          <w:rFonts w:hint="cs"/>
          <w:rtl/>
        </w:rPr>
        <w:t xml:space="preserve">הארץ </w:t>
      </w:r>
      <w:bookmarkStart w:id="50412" w:name="_ETM_Q97_355909"/>
      <w:bookmarkEnd w:id="50412"/>
      <w:r>
        <w:rPr>
          <w:rFonts w:hint="cs"/>
          <w:rtl/>
        </w:rPr>
        <w:t xml:space="preserve">לטובת </w:t>
      </w:r>
      <w:bookmarkStart w:id="50413" w:name="_ETM_Q97_357190"/>
      <w:bookmarkEnd w:id="50413"/>
      <w:r>
        <w:rPr>
          <w:rFonts w:hint="cs"/>
          <w:rtl/>
        </w:rPr>
        <w:t xml:space="preserve">כל </w:t>
      </w:r>
      <w:bookmarkStart w:id="50414" w:name="_ETM_Q97_357520"/>
      <w:bookmarkEnd w:id="50414"/>
      <w:r>
        <w:rPr>
          <w:rFonts w:hint="cs"/>
          <w:rtl/>
        </w:rPr>
        <w:t xml:space="preserve">תושביה. </w:t>
      </w:r>
      <w:bookmarkStart w:id="50415" w:name="_ETM_Q97_358709"/>
      <w:bookmarkEnd w:id="50415"/>
      <w:r>
        <w:rPr>
          <w:rFonts w:hint="cs"/>
          <w:rtl/>
        </w:rPr>
        <w:t>בן</w:t>
      </w:r>
      <w:bookmarkStart w:id="50416" w:name="_ETM_Q97_358950"/>
      <w:bookmarkEnd w:id="50416"/>
      <w:r>
        <w:rPr>
          <w:rFonts w:hint="cs"/>
          <w:rtl/>
        </w:rPr>
        <w:t xml:space="preserve">-גוריון </w:t>
      </w:r>
      <w:bookmarkStart w:id="50417" w:name="_ETM_Q97_359309"/>
      <w:bookmarkEnd w:id="50417"/>
      <w:r>
        <w:rPr>
          <w:rFonts w:hint="cs"/>
          <w:rtl/>
        </w:rPr>
        <w:t xml:space="preserve">קרא </w:t>
      </w:r>
      <w:bookmarkStart w:id="50418" w:name="_ETM_Q97_359579"/>
      <w:bookmarkEnd w:id="50418"/>
      <w:r>
        <w:rPr>
          <w:rFonts w:hint="cs"/>
          <w:rtl/>
        </w:rPr>
        <w:t xml:space="preserve">לזה </w:t>
      </w:r>
      <w:bookmarkStart w:id="50419" w:name="_ETM_Q97_359790"/>
      <w:bookmarkEnd w:id="50419"/>
      <w:r>
        <w:rPr>
          <w:rFonts w:hint="cs"/>
          <w:rtl/>
        </w:rPr>
        <w:t xml:space="preserve">תיקון </w:t>
      </w:r>
      <w:bookmarkStart w:id="50420" w:name="_ETM_Q97_360180"/>
      <w:bookmarkEnd w:id="50420"/>
      <w:r>
        <w:rPr>
          <w:rFonts w:hint="cs"/>
          <w:rtl/>
        </w:rPr>
        <w:t xml:space="preserve">עולם. </w:t>
      </w:r>
      <w:bookmarkStart w:id="50421" w:name="_ETM_Q97_361489"/>
      <w:bookmarkEnd w:id="50421"/>
      <w:r>
        <w:rPr>
          <w:rFonts w:hint="cs"/>
          <w:rtl/>
        </w:rPr>
        <w:t xml:space="preserve">נפלתם </w:t>
      </w:r>
      <w:bookmarkStart w:id="50422" w:name="_ETM_Q97_362029"/>
      <w:bookmarkEnd w:id="50422"/>
      <w:r>
        <w:rPr>
          <w:rFonts w:hint="cs"/>
          <w:rtl/>
        </w:rPr>
        <w:t xml:space="preserve">על </w:t>
      </w:r>
      <w:bookmarkStart w:id="50423" w:name="_ETM_Q97_362150"/>
      <w:bookmarkEnd w:id="50423"/>
      <w:r>
        <w:rPr>
          <w:rFonts w:hint="cs"/>
          <w:rtl/>
        </w:rPr>
        <w:t xml:space="preserve">דור </w:t>
      </w:r>
      <w:bookmarkStart w:id="50424" w:name="_ETM_Q97_362389"/>
      <w:bookmarkEnd w:id="50424"/>
      <w:r>
        <w:rPr>
          <w:rFonts w:hint="cs"/>
          <w:rtl/>
        </w:rPr>
        <w:t xml:space="preserve">שלא </w:t>
      </w:r>
      <w:bookmarkStart w:id="50425" w:name="_ETM_Q97_362659"/>
      <w:bookmarkEnd w:id="50425"/>
      <w:r>
        <w:rPr>
          <w:rFonts w:hint="cs"/>
          <w:rtl/>
        </w:rPr>
        <w:t xml:space="preserve">מוכן </w:t>
      </w:r>
      <w:bookmarkStart w:id="50426" w:name="_ETM_Q97_363859"/>
      <w:bookmarkEnd w:id="50426"/>
      <w:r>
        <w:rPr>
          <w:rFonts w:hint="cs"/>
          <w:rtl/>
        </w:rPr>
        <w:t xml:space="preserve">שרוב </w:t>
      </w:r>
      <w:bookmarkStart w:id="50427" w:name="_ETM_Q97_364279"/>
      <w:bookmarkEnd w:id="50427"/>
      <w:r>
        <w:rPr>
          <w:rFonts w:hint="cs"/>
          <w:rtl/>
        </w:rPr>
        <w:t xml:space="preserve">מזדמן </w:t>
      </w:r>
      <w:bookmarkStart w:id="50428" w:name="_ETM_Q97_364760"/>
      <w:bookmarkEnd w:id="50428"/>
      <w:r>
        <w:rPr>
          <w:rFonts w:hint="cs"/>
          <w:rtl/>
        </w:rPr>
        <w:t xml:space="preserve">בכנסת </w:t>
      </w:r>
      <w:bookmarkStart w:id="50429" w:name="_ETM_Q97_365269"/>
      <w:bookmarkEnd w:id="50429"/>
      <w:r>
        <w:rPr>
          <w:rFonts w:hint="cs"/>
          <w:rtl/>
        </w:rPr>
        <w:t xml:space="preserve">ישמיד </w:t>
      </w:r>
      <w:bookmarkStart w:id="50430" w:name="_ETM_Q97_365689"/>
      <w:bookmarkEnd w:id="50430"/>
      <w:r>
        <w:rPr>
          <w:rFonts w:hint="cs"/>
          <w:rtl/>
        </w:rPr>
        <w:t xml:space="preserve">את </w:t>
      </w:r>
      <w:bookmarkStart w:id="50431" w:name="_ETM_Q97_365779"/>
      <w:bookmarkEnd w:id="50431"/>
      <w:r>
        <w:rPr>
          <w:rFonts w:hint="cs"/>
          <w:rtl/>
        </w:rPr>
        <w:t xml:space="preserve">הדמוקרטיה </w:t>
      </w:r>
      <w:bookmarkStart w:id="50432" w:name="_ETM_Q97_366620"/>
      <w:bookmarkEnd w:id="50432"/>
      <w:r>
        <w:rPr>
          <w:rFonts w:hint="cs"/>
          <w:rtl/>
        </w:rPr>
        <w:t xml:space="preserve">הישראלית, </w:t>
      </w:r>
      <w:bookmarkStart w:id="50433" w:name="_ETM_Q97_368430"/>
      <w:bookmarkEnd w:id="50433"/>
      <w:r>
        <w:rPr>
          <w:rFonts w:hint="cs"/>
          <w:rtl/>
        </w:rPr>
        <w:t xml:space="preserve">כי </w:t>
      </w:r>
      <w:bookmarkStart w:id="50434" w:name="_ETM_Q97_368639"/>
      <w:bookmarkEnd w:id="50434"/>
      <w:r>
        <w:rPr>
          <w:rFonts w:hint="cs"/>
          <w:rtl/>
        </w:rPr>
        <w:t xml:space="preserve">התקווה </w:t>
      </w:r>
      <w:bookmarkStart w:id="50435" w:name="_ETM_Q97_369209"/>
      <w:bookmarkEnd w:id="50435"/>
      <w:r>
        <w:rPr>
          <w:rFonts w:hint="cs"/>
          <w:rtl/>
        </w:rPr>
        <w:t xml:space="preserve">הרי </w:t>
      </w:r>
      <w:bookmarkStart w:id="50436" w:name="_ETM_Q97_369540"/>
      <w:bookmarkEnd w:id="50436"/>
      <w:r>
        <w:rPr>
          <w:rFonts w:hint="cs"/>
          <w:rtl/>
        </w:rPr>
        <w:t>נושא</w:t>
      </w:r>
      <w:bookmarkStart w:id="50437" w:name="_ETM_Q97_369900"/>
      <w:bookmarkEnd w:id="50437"/>
      <w:r>
        <w:rPr>
          <w:rFonts w:hint="cs"/>
          <w:rtl/>
        </w:rPr>
        <w:t xml:space="preserve">ת </w:t>
      </w:r>
      <w:bookmarkStart w:id="50438" w:name="_ETM_Q97_369989"/>
      <w:bookmarkEnd w:id="50438"/>
      <w:r>
        <w:rPr>
          <w:rFonts w:hint="cs"/>
          <w:rtl/>
        </w:rPr>
        <w:t xml:space="preserve">הבטחה </w:t>
      </w:r>
      <w:bookmarkStart w:id="50439" w:name="_ETM_Q97_371040"/>
      <w:bookmarkEnd w:id="50439"/>
      <w:r>
        <w:rPr>
          <w:rFonts w:hint="cs"/>
          <w:rtl/>
        </w:rPr>
        <w:t xml:space="preserve">להיות </w:t>
      </w:r>
      <w:bookmarkStart w:id="50440" w:name="_ETM_Q97_371400"/>
      <w:bookmarkEnd w:id="50440"/>
      <w:r>
        <w:rPr>
          <w:rFonts w:hint="cs"/>
          <w:rtl/>
        </w:rPr>
        <w:t xml:space="preserve">עם </w:t>
      </w:r>
      <w:bookmarkStart w:id="50441" w:name="_ETM_Q97_371610"/>
      <w:bookmarkEnd w:id="50441"/>
      <w:r>
        <w:rPr>
          <w:rFonts w:hint="cs"/>
          <w:rtl/>
        </w:rPr>
        <w:t xml:space="preserve">חופשי </w:t>
      </w:r>
      <w:bookmarkStart w:id="50442" w:name="_ETM_Q97_372030"/>
      <w:bookmarkEnd w:id="50442"/>
      <w:r>
        <w:rPr>
          <w:rFonts w:hint="cs"/>
          <w:rtl/>
        </w:rPr>
        <w:t>בארצנו</w:t>
      </w:r>
      <w:bookmarkStart w:id="50443" w:name="_ETM_Q97_373290"/>
      <w:bookmarkEnd w:id="50443"/>
      <w:r>
        <w:rPr>
          <w:rFonts w:hint="cs"/>
          <w:rtl/>
        </w:rPr>
        <w:t xml:space="preserve"> </w:t>
      </w:r>
      <w:r>
        <w:t>–</w:t>
      </w:r>
      <w:r>
        <w:rPr>
          <w:rtl/>
        </w:rPr>
        <w:t xml:space="preserve"> </w:t>
      </w:r>
      <w:bookmarkStart w:id="50444" w:name="_ETM_Q97_370000"/>
      <w:bookmarkEnd w:id="50444"/>
      <w:r>
        <w:rPr>
          <w:rFonts w:hint="cs"/>
          <w:rtl/>
        </w:rPr>
        <w:t xml:space="preserve">חופשי </w:t>
      </w:r>
      <w:bookmarkStart w:id="50445" w:name="_ETM_Q97_373769"/>
      <w:bookmarkEnd w:id="50445"/>
      <w:r>
        <w:rPr>
          <w:rFonts w:hint="cs"/>
          <w:rtl/>
        </w:rPr>
        <w:t xml:space="preserve">מרודנות, </w:t>
      </w:r>
      <w:bookmarkStart w:id="50446" w:name="_ETM_Q97_375040"/>
      <w:bookmarkEnd w:id="50446"/>
      <w:r>
        <w:rPr>
          <w:rFonts w:hint="cs"/>
          <w:rtl/>
        </w:rPr>
        <w:t xml:space="preserve">חופשי </w:t>
      </w:r>
      <w:bookmarkStart w:id="50447" w:name="_ETM_Q97_375400"/>
      <w:bookmarkEnd w:id="50447"/>
      <w:r>
        <w:rPr>
          <w:rFonts w:hint="cs"/>
          <w:rtl/>
        </w:rPr>
        <w:t xml:space="preserve">מכפייה </w:t>
      </w:r>
      <w:bookmarkStart w:id="50448" w:name="_ETM_Q97_375850"/>
      <w:bookmarkEnd w:id="50448"/>
      <w:r>
        <w:rPr>
          <w:rFonts w:hint="cs"/>
          <w:rtl/>
        </w:rPr>
        <w:t xml:space="preserve">דתית, </w:t>
      </w:r>
      <w:bookmarkStart w:id="50449" w:name="_ETM_Q97_376829"/>
      <w:bookmarkEnd w:id="50449"/>
      <w:r>
        <w:rPr>
          <w:rFonts w:hint="cs"/>
          <w:rtl/>
        </w:rPr>
        <w:t xml:space="preserve">חופשי </w:t>
      </w:r>
      <w:bookmarkStart w:id="50450" w:name="_ETM_Q97_377340"/>
      <w:bookmarkEnd w:id="50450"/>
      <w:r>
        <w:rPr>
          <w:rFonts w:hint="cs"/>
          <w:rtl/>
        </w:rPr>
        <w:t xml:space="preserve">להיות </w:t>
      </w:r>
      <w:bookmarkStart w:id="50451" w:name="_ETM_Q97_377639"/>
      <w:bookmarkEnd w:id="50451"/>
      <w:r>
        <w:rPr>
          <w:rFonts w:hint="cs"/>
          <w:rtl/>
        </w:rPr>
        <w:t xml:space="preserve">בדיוק </w:t>
      </w:r>
      <w:bookmarkStart w:id="50452" w:name="_ETM_Q97_378090"/>
      <w:bookmarkEnd w:id="50452"/>
      <w:r>
        <w:rPr>
          <w:rFonts w:hint="cs"/>
          <w:rtl/>
        </w:rPr>
        <w:t xml:space="preserve">מי </w:t>
      </w:r>
      <w:bookmarkStart w:id="50453" w:name="_ETM_Q97_378239"/>
      <w:bookmarkEnd w:id="50453"/>
      <w:r>
        <w:rPr>
          <w:rFonts w:hint="cs"/>
          <w:rtl/>
        </w:rPr>
        <w:t>שאתה.</w:t>
      </w:r>
    </w:p>
    <w:p w:rsidR="00BB59CD" w:rsidRDefault="00BB59CD" w:rsidP="00BB59CD">
      <w:pPr>
        <w:rPr>
          <w:rtl/>
        </w:rPr>
      </w:pPr>
    </w:p>
    <w:p w:rsidR="00BB59CD" w:rsidRDefault="00BB59CD" w:rsidP="00B41626">
      <w:pPr>
        <w:rPr>
          <w:rtl/>
        </w:rPr>
      </w:pPr>
      <w:bookmarkStart w:id="50454" w:name="_ETM_Q97_377000"/>
      <w:bookmarkStart w:id="50455" w:name="_ETM_Q97_379590"/>
      <w:bookmarkEnd w:id="50454"/>
      <w:bookmarkEnd w:id="50455"/>
      <w:r>
        <w:rPr>
          <w:rFonts w:hint="cs"/>
          <w:rtl/>
        </w:rPr>
        <w:t xml:space="preserve">נפלתם </w:t>
      </w:r>
      <w:bookmarkStart w:id="50456" w:name="_ETM_Q97_380639"/>
      <w:bookmarkEnd w:id="50456"/>
      <w:r>
        <w:rPr>
          <w:rFonts w:hint="cs"/>
          <w:rtl/>
        </w:rPr>
        <w:t xml:space="preserve">על </w:t>
      </w:r>
      <w:bookmarkStart w:id="50457" w:name="_ETM_Q97_380819"/>
      <w:bookmarkEnd w:id="50457"/>
      <w:r>
        <w:rPr>
          <w:rFonts w:hint="cs"/>
          <w:rtl/>
        </w:rPr>
        <w:t xml:space="preserve">הדור </w:t>
      </w:r>
      <w:bookmarkStart w:id="50458" w:name="_ETM_Q97_381150"/>
      <w:bookmarkEnd w:id="50458"/>
      <w:r>
        <w:rPr>
          <w:rFonts w:hint="cs"/>
          <w:rtl/>
        </w:rPr>
        <w:t>הלא</w:t>
      </w:r>
      <w:bookmarkStart w:id="50459" w:name="_ETM_Q97_381389"/>
      <w:bookmarkEnd w:id="50459"/>
      <w:r>
        <w:rPr>
          <w:rFonts w:hint="cs"/>
          <w:rtl/>
        </w:rPr>
        <w:t xml:space="preserve">-נכון, </w:t>
      </w:r>
      <w:bookmarkStart w:id="50460" w:name="_ETM_Q97_382500"/>
      <w:bookmarkEnd w:id="50460"/>
      <w:r>
        <w:rPr>
          <w:rFonts w:hint="cs"/>
          <w:rtl/>
        </w:rPr>
        <w:t xml:space="preserve">על </w:t>
      </w:r>
      <w:bookmarkStart w:id="50461" w:name="_ETM_Q97_382680"/>
      <w:bookmarkEnd w:id="50461"/>
      <w:r>
        <w:rPr>
          <w:rFonts w:hint="cs"/>
          <w:rtl/>
        </w:rPr>
        <w:t xml:space="preserve">דור </w:t>
      </w:r>
      <w:bookmarkStart w:id="50462" w:name="_ETM_Q97_383430"/>
      <w:bookmarkEnd w:id="50462"/>
      <w:r>
        <w:rPr>
          <w:rFonts w:hint="cs"/>
          <w:rtl/>
        </w:rPr>
        <w:t xml:space="preserve">שנמצא </w:t>
      </w:r>
      <w:bookmarkStart w:id="50463" w:name="_ETM_Q97_383970"/>
      <w:bookmarkEnd w:id="50463"/>
      <w:r>
        <w:rPr>
          <w:rFonts w:hint="cs"/>
          <w:rtl/>
        </w:rPr>
        <w:t xml:space="preserve">כבר </w:t>
      </w:r>
      <w:bookmarkStart w:id="50464" w:name="_ETM_Q97_384180"/>
      <w:bookmarkEnd w:id="50464"/>
      <w:r>
        <w:rPr>
          <w:rFonts w:hint="cs"/>
          <w:rtl/>
        </w:rPr>
        <w:t xml:space="preserve">30 </w:t>
      </w:r>
      <w:bookmarkStart w:id="50465" w:name="_ETM_Q97_384659"/>
      <w:bookmarkEnd w:id="50465"/>
      <w:r>
        <w:rPr>
          <w:rFonts w:hint="cs"/>
          <w:rtl/>
        </w:rPr>
        <w:t xml:space="preserve">שבועות </w:t>
      </w:r>
      <w:bookmarkStart w:id="50466" w:name="_ETM_Q97_385230"/>
      <w:bookmarkEnd w:id="50466"/>
      <w:r>
        <w:rPr>
          <w:rFonts w:hint="cs"/>
          <w:rtl/>
        </w:rPr>
        <w:t xml:space="preserve">ברחובות, </w:t>
      </w:r>
      <w:bookmarkStart w:id="50467" w:name="_ETM_Q97_386189"/>
      <w:bookmarkEnd w:id="50467"/>
      <w:r>
        <w:rPr>
          <w:rFonts w:hint="cs"/>
          <w:rtl/>
        </w:rPr>
        <w:t xml:space="preserve">בגשם </w:t>
      </w:r>
      <w:bookmarkStart w:id="50468" w:name="_ETM_Q97_386909"/>
      <w:bookmarkEnd w:id="50468"/>
      <w:r>
        <w:rPr>
          <w:rFonts w:hint="cs"/>
          <w:rtl/>
        </w:rPr>
        <w:t xml:space="preserve">ובשרב, </w:t>
      </w:r>
      <w:bookmarkStart w:id="50469" w:name="_ETM_Q97_387720"/>
      <w:bookmarkEnd w:id="50469"/>
      <w:r>
        <w:rPr>
          <w:rFonts w:hint="cs"/>
          <w:rtl/>
        </w:rPr>
        <w:t>במוצ"שים</w:t>
      </w:r>
      <w:bookmarkStart w:id="50470" w:name="_ETM_Q97_388319"/>
      <w:bookmarkEnd w:id="50470"/>
      <w:r>
        <w:rPr>
          <w:rFonts w:hint="cs"/>
          <w:rtl/>
        </w:rPr>
        <w:t xml:space="preserve"> </w:t>
      </w:r>
      <w:bookmarkStart w:id="50471" w:name="_ETM_Q97_388560"/>
      <w:bookmarkEnd w:id="50471"/>
      <w:r>
        <w:rPr>
          <w:rFonts w:hint="cs"/>
          <w:rtl/>
        </w:rPr>
        <w:t xml:space="preserve">ובאמצע </w:t>
      </w:r>
      <w:bookmarkStart w:id="50472" w:name="_ETM_Q97_389069"/>
      <w:bookmarkEnd w:id="50472"/>
      <w:r>
        <w:rPr>
          <w:rFonts w:hint="cs"/>
          <w:rtl/>
        </w:rPr>
        <w:t xml:space="preserve">השבוע, </w:t>
      </w:r>
      <w:bookmarkStart w:id="50473" w:name="_ETM_Q97_390200"/>
      <w:bookmarkEnd w:id="50473"/>
      <w:r>
        <w:rPr>
          <w:rFonts w:hint="cs"/>
          <w:rtl/>
        </w:rPr>
        <w:t xml:space="preserve">נלחם </w:t>
      </w:r>
      <w:bookmarkStart w:id="50474" w:name="_ETM_Q97_390769"/>
      <w:bookmarkEnd w:id="50474"/>
      <w:r>
        <w:rPr>
          <w:rFonts w:hint="cs"/>
          <w:rtl/>
        </w:rPr>
        <w:t xml:space="preserve">על </w:t>
      </w:r>
      <w:bookmarkStart w:id="50475" w:name="_ETM_Q97_390859"/>
      <w:bookmarkEnd w:id="50475"/>
      <w:r>
        <w:rPr>
          <w:rFonts w:hint="cs"/>
          <w:rtl/>
        </w:rPr>
        <w:t xml:space="preserve">ישראל </w:t>
      </w:r>
      <w:bookmarkStart w:id="50476" w:name="_ETM_Q97_391459"/>
      <w:bookmarkEnd w:id="50476"/>
      <w:r>
        <w:rPr>
          <w:rFonts w:hint="cs"/>
          <w:rtl/>
        </w:rPr>
        <w:t xml:space="preserve">יהודית </w:t>
      </w:r>
      <w:bookmarkStart w:id="50477" w:name="_ETM_Q97_391999"/>
      <w:bookmarkEnd w:id="50477"/>
      <w:r>
        <w:rPr>
          <w:rFonts w:hint="cs"/>
          <w:rtl/>
        </w:rPr>
        <w:t xml:space="preserve">ודמוקרטית, </w:t>
      </w:r>
      <w:bookmarkStart w:id="50478" w:name="_ETM_Q97_393249"/>
      <w:bookmarkEnd w:id="50478"/>
      <w:r>
        <w:rPr>
          <w:rFonts w:hint="cs"/>
          <w:rtl/>
        </w:rPr>
        <w:t xml:space="preserve">על </w:t>
      </w:r>
      <w:bookmarkStart w:id="50479" w:name="_ETM_Q97_393549"/>
      <w:bookmarkEnd w:id="50479"/>
      <w:r>
        <w:rPr>
          <w:rFonts w:hint="cs"/>
          <w:rtl/>
        </w:rPr>
        <w:t xml:space="preserve">העתיד </w:t>
      </w:r>
      <w:bookmarkStart w:id="50480" w:name="_ETM_Q97_393969"/>
      <w:bookmarkEnd w:id="50480"/>
      <w:r>
        <w:rPr>
          <w:rFonts w:hint="cs"/>
          <w:rtl/>
        </w:rPr>
        <w:t xml:space="preserve">שלנו </w:t>
      </w:r>
      <w:bookmarkStart w:id="50481" w:name="_ETM_Q97_394569"/>
      <w:bookmarkEnd w:id="50481"/>
      <w:r>
        <w:rPr>
          <w:rFonts w:hint="cs"/>
          <w:rtl/>
        </w:rPr>
        <w:t xml:space="preserve">בארץ </w:t>
      </w:r>
      <w:bookmarkStart w:id="50482" w:name="_ETM_Q97_395109"/>
      <w:bookmarkEnd w:id="50482"/>
      <w:r>
        <w:rPr>
          <w:rFonts w:hint="cs"/>
          <w:rtl/>
        </w:rPr>
        <w:t xml:space="preserve">הזאת; </w:t>
      </w:r>
      <w:bookmarkStart w:id="50483" w:name="_ETM_Q97_396290"/>
      <w:bookmarkStart w:id="50484" w:name="_ETM_Q97_396500"/>
      <w:bookmarkEnd w:id="50483"/>
      <w:bookmarkEnd w:id="50484"/>
      <w:r>
        <w:rPr>
          <w:rFonts w:hint="cs"/>
          <w:rtl/>
        </w:rPr>
        <w:t xml:space="preserve">דור </w:t>
      </w:r>
      <w:bookmarkStart w:id="50485" w:name="_ETM_Q97_396800"/>
      <w:bookmarkEnd w:id="50485"/>
      <w:r>
        <w:rPr>
          <w:rFonts w:hint="cs"/>
          <w:rtl/>
        </w:rPr>
        <w:t xml:space="preserve">שמבין </w:t>
      </w:r>
      <w:bookmarkStart w:id="50486" w:name="_ETM_Q97_398010"/>
      <w:bookmarkEnd w:id="50486"/>
      <w:r>
        <w:rPr>
          <w:rFonts w:hint="cs"/>
          <w:rtl/>
        </w:rPr>
        <w:t xml:space="preserve">שהדרך </w:t>
      </w:r>
      <w:bookmarkStart w:id="50487" w:name="_ETM_Q97_398730"/>
      <w:bookmarkEnd w:id="50487"/>
      <w:r>
        <w:rPr>
          <w:rFonts w:hint="cs"/>
          <w:rtl/>
        </w:rPr>
        <w:t xml:space="preserve">היחידה </w:t>
      </w:r>
      <w:bookmarkStart w:id="50488" w:name="_ETM_Q97_400079"/>
      <w:bookmarkEnd w:id="50488"/>
      <w:r>
        <w:rPr>
          <w:rFonts w:hint="cs"/>
          <w:rtl/>
        </w:rPr>
        <w:t xml:space="preserve">להתקדם </w:t>
      </w:r>
      <w:bookmarkStart w:id="50489" w:name="_ETM_Q97_400739"/>
      <w:bookmarkEnd w:id="50489"/>
      <w:r>
        <w:rPr>
          <w:rFonts w:hint="cs"/>
          <w:rtl/>
        </w:rPr>
        <w:t xml:space="preserve">מהמשבר </w:t>
      </w:r>
      <w:bookmarkStart w:id="50490" w:name="_ETM_Q97_401430"/>
      <w:bookmarkEnd w:id="50490"/>
      <w:r>
        <w:rPr>
          <w:rFonts w:hint="cs"/>
          <w:rtl/>
        </w:rPr>
        <w:t xml:space="preserve">הזה </w:t>
      </w:r>
      <w:bookmarkStart w:id="50491" w:name="_ETM_Q97_402269"/>
      <w:bookmarkEnd w:id="50491"/>
      <w:r>
        <w:rPr>
          <w:rFonts w:hint="cs"/>
          <w:rtl/>
        </w:rPr>
        <w:t xml:space="preserve">היא יחד, </w:t>
      </w:r>
      <w:bookmarkStart w:id="50492" w:name="_ETM_Q97_403569"/>
      <w:bookmarkEnd w:id="50492"/>
      <w:r>
        <w:rPr>
          <w:rFonts w:hint="cs"/>
          <w:rtl/>
        </w:rPr>
        <w:t xml:space="preserve">שהדרך </w:t>
      </w:r>
      <w:bookmarkStart w:id="50493" w:name="_ETM_Q97_404199"/>
      <w:bookmarkEnd w:id="50493"/>
      <w:r>
        <w:rPr>
          <w:rFonts w:hint="cs"/>
          <w:rtl/>
        </w:rPr>
        <w:t xml:space="preserve">היחידה </w:t>
      </w:r>
      <w:bookmarkStart w:id="50494" w:name="_ETM_Q97_404769"/>
      <w:bookmarkEnd w:id="50494"/>
      <w:r>
        <w:rPr>
          <w:rFonts w:hint="cs"/>
          <w:rtl/>
        </w:rPr>
        <w:t xml:space="preserve">לשמור </w:t>
      </w:r>
      <w:bookmarkStart w:id="50495" w:name="_ETM_Q97_405189"/>
      <w:bookmarkEnd w:id="50495"/>
      <w:r>
        <w:rPr>
          <w:rFonts w:hint="cs"/>
          <w:rtl/>
        </w:rPr>
        <w:t xml:space="preserve">על </w:t>
      </w:r>
      <w:bookmarkStart w:id="50496" w:name="_ETM_Q97_405279"/>
      <w:bookmarkEnd w:id="50496"/>
      <w:r>
        <w:rPr>
          <w:rFonts w:hint="cs"/>
          <w:rtl/>
        </w:rPr>
        <w:t>הסטרטאפ</w:t>
      </w:r>
      <w:bookmarkStart w:id="50497" w:name="_ETM_Q97_405849"/>
      <w:bookmarkEnd w:id="50497"/>
      <w:r>
        <w:rPr>
          <w:rFonts w:hint="cs"/>
          <w:rtl/>
        </w:rPr>
        <w:t xml:space="preserve"> ניישן </w:t>
      </w:r>
      <w:bookmarkStart w:id="50498" w:name="_ETM_Q97_406269"/>
      <w:bookmarkEnd w:id="50498"/>
      <w:r>
        <w:rPr>
          <w:rFonts w:hint="cs"/>
          <w:rtl/>
        </w:rPr>
        <w:t xml:space="preserve">ועל </w:t>
      </w:r>
      <w:bookmarkStart w:id="50499" w:name="_ETM_Q97_406449"/>
      <w:bookmarkEnd w:id="50499"/>
      <w:r>
        <w:rPr>
          <w:rFonts w:hint="cs"/>
          <w:rtl/>
        </w:rPr>
        <w:t xml:space="preserve">הערבות </w:t>
      </w:r>
      <w:bookmarkStart w:id="50500" w:name="_ETM_Q97_406900"/>
      <w:bookmarkEnd w:id="50500"/>
      <w:r>
        <w:rPr>
          <w:rFonts w:hint="cs"/>
          <w:rtl/>
        </w:rPr>
        <w:t>ההדדית</w:t>
      </w:r>
      <w:bookmarkStart w:id="50501" w:name="_ETM_Q97_407529"/>
      <w:bookmarkEnd w:id="50501"/>
      <w:r>
        <w:rPr>
          <w:rFonts w:hint="cs"/>
          <w:rtl/>
        </w:rPr>
        <w:t xml:space="preserve"> ועל </w:t>
      </w:r>
      <w:bookmarkStart w:id="50502" w:name="_ETM_Q97_407769"/>
      <w:bookmarkEnd w:id="50502"/>
      <w:r>
        <w:rPr>
          <w:rFonts w:hint="cs"/>
          <w:rtl/>
        </w:rPr>
        <w:t xml:space="preserve">צבא </w:t>
      </w:r>
      <w:bookmarkStart w:id="50503" w:name="_ETM_Q97_408249"/>
      <w:bookmarkEnd w:id="50503"/>
      <w:r>
        <w:rPr>
          <w:rFonts w:hint="cs"/>
          <w:rtl/>
        </w:rPr>
        <w:t xml:space="preserve">העם </w:t>
      </w:r>
      <w:bookmarkStart w:id="50504" w:name="_ETM_Q97_409090"/>
      <w:bookmarkEnd w:id="50504"/>
      <w:r>
        <w:rPr>
          <w:rFonts w:hint="cs"/>
          <w:rtl/>
        </w:rPr>
        <w:t>ועל העתיד</w:t>
      </w:r>
      <w:bookmarkStart w:id="50505" w:name="_ETM_Q97_409779"/>
      <w:bookmarkStart w:id="50506" w:name="_ETM_Q97_410330"/>
      <w:bookmarkStart w:id="50507" w:name="_ETM_Q97_410480"/>
      <w:bookmarkStart w:id="50508" w:name="_ETM_Q97_411110"/>
      <w:bookmarkEnd w:id="50505"/>
      <w:bookmarkEnd w:id="50506"/>
      <w:bookmarkEnd w:id="50507"/>
      <w:bookmarkEnd w:id="50508"/>
      <w:r>
        <w:rPr>
          <w:rFonts w:hint="cs"/>
          <w:rtl/>
        </w:rPr>
        <w:t xml:space="preserve"> המשותף </w:t>
      </w:r>
      <w:bookmarkStart w:id="50509" w:name="_ETM_Q97_411620"/>
      <w:bookmarkEnd w:id="50509"/>
      <w:r>
        <w:rPr>
          <w:rFonts w:hint="cs"/>
          <w:rtl/>
        </w:rPr>
        <w:t xml:space="preserve">שלנו </w:t>
      </w:r>
      <w:bookmarkStart w:id="50510" w:name="_ETM_Q97_411980"/>
      <w:bookmarkEnd w:id="50510"/>
      <w:r>
        <w:rPr>
          <w:rFonts w:hint="cs"/>
          <w:rtl/>
        </w:rPr>
        <w:t xml:space="preserve">פה היא יחד. </w:t>
      </w:r>
      <w:bookmarkStart w:id="50511" w:name="_ETM_Q97_414000"/>
      <w:bookmarkStart w:id="50512" w:name="_ETM_Q97_413940"/>
      <w:bookmarkEnd w:id="50511"/>
      <w:bookmarkEnd w:id="50512"/>
      <w:r>
        <w:rPr>
          <w:rFonts w:hint="cs"/>
          <w:rtl/>
        </w:rPr>
        <w:t xml:space="preserve">אחדות </w:t>
      </w:r>
      <w:bookmarkStart w:id="50513" w:name="_ETM_Q97_414599"/>
      <w:bookmarkEnd w:id="50513"/>
      <w:r>
        <w:rPr>
          <w:rFonts w:hint="cs"/>
          <w:rtl/>
        </w:rPr>
        <w:t xml:space="preserve">עם </w:t>
      </w:r>
      <w:bookmarkStart w:id="50514" w:name="_ETM_Q97_414900"/>
      <w:bookmarkEnd w:id="50514"/>
      <w:r>
        <w:rPr>
          <w:rFonts w:hint="cs"/>
          <w:rtl/>
        </w:rPr>
        <w:t xml:space="preserve">ישראל </w:t>
      </w:r>
      <w:bookmarkStart w:id="50515" w:name="_ETM_Q97_416010"/>
      <w:bookmarkEnd w:id="50515"/>
      <w:r>
        <w:rPr>
          <w:rFonts w:hint="cs"/>
          <w:rtl/>
        </w:rPr>
        <w:t xml:space="preserve">היא מה </w:t>
      </w:r>
      <w:bookmarkStart w:id="50516" w:name="_ETM_Q97_416459"/>
      <w:bookmarkEnd w:id="50516"/>
      <w:r>
        <w:rPr>
          <w:rFonts w:hint="cs"/>
          <w:rtl/>
        </w:rPr>
        <w:t xml:space="preserve">שגורם </w:t>
      </w:r>
      <w:bookmarkStart w:id="50517" w:name="_ETM_Q97_416970"/>
      <w:bookmarkEnd w:id="50517"/>
      <w:r>
        <w:rPr>
          <w:rFonts w:hint="cs"/>
          <w:rtl/>
        </w:rPr>
        <w:t xml:space="preserve">למקום </w:t>
      </w:r>
      <w:bookmarkStart w:id="50518" w:name="_ETM_Q97_417540"/>
      <w:bookmarkEnd w:id="50518"/>
      <w:r>
        <w:rPr>
          <w:rFonts w:hint="cs"/>
          <w:rtl/>
        </w:rPr>
        <w:t xml:space="preserve">הזה </w:t>
      </w:r>
      <w:bookmarkStart w:id="50519" w:name="_ETM_Q97_418290"/>
      <w:bookmarkEnd w:id="50519"/>
      <w:r>
        <w:rPr>
          <w:rFonts w:hint="cs"/>
          <w:rtl/>
        </w:rPr>
        <w:t xml:space="preserve">להיות </w:t>
      </w:r>
      <w:bookmarkStart w:id="50520" w:name="_ETM_Q97_419129"/>
      <w:bookmarkEnd w:id="50520"/>
      <w:r>
        <w:rPr>
          <w:rFonts w:hint="cs"/>
          <w:rtl/>
        </w:rPr>
        <w:t xml:space="preserve">כל </w:t>
      </w:r>
      <w:bookmarkStart w:id="50521" w:name="_ETM_Q97_419489"/>
      <w:bookmarkEnd w:id="50521"/>
      <w:r>
        <w:rPr>
          <w:rFonts w:hint="cs"/>
          <w:rtl/>
        </w:rPr>
        <w:t xml:space="preserve">כך </w:t>
      </w:r>
      <w:bookmarkStart w:id="50522" w:name="_ETM_Q97_419790"/>
      <w:bookmarkEnd w:id="50522"/>
      <w:r>
        <w:rPr>
          <w:rFonts w:hint="cs"/>
          <w:rtl/>
        </w:rPr>
        <w:t xml:space="preserve">מיוחד, </w:t>
      </w:r>
      <w:bookmarkStart w:id="50523" w:name="_ETM_Q97_420540"/>
      <w:bookmarkEnd w:id="50523"/>
      <w:r>
        <w:rPr>
          <w:rFonts w:hint="cs"/>
          <w:rtl/>
        </w:rPr>
        <w:t xml:space="preserve">מרגש, </w:t>
      </w:r>
      <w:bookmarkStart w:id="50524" w:name="_ETM_Q97_421500"/>
      <w:bookmarkEnd w:id="50524"/>
      <w:r>
        <w:rPr>
          <w:rFonts w:hint="cs"/>
          <w:rtl/>
        </w:rPr>
        <w:t xml:space="preserve">מוצלח, </w:t>
      </w:r>
      <w:bookmarkStart w:id="50525" w:name="_ETM_Q97_422990"/>
      <w:bookmarkEnd w:id="50525"/>
      <w:r>
        <w:rPr>
          <w:rFonts w:hint="cs"/>
          <w:rtl/>
        </w:rPr>
        <w:t xml:space="preserve">עוצמתי </w:t>
      </w:r>
      <w:bookmarkStart w:id="50526" w:name="_ETM_Q97_424470"/>
      <w:bookmarkEnd w:id="50526"/>
      <w:r>
        <w:rPr>
          <w:rFonts w:hint="cs"/>
          <w:rtl/>
        </w:rPr>
        <w:t>וחד</w:t>
      </w:r>
      <w:bookmarkStart w:id="50527" w:name="_ETM_Q97_424950"/>
      <w:bookmarkEnd w:id="50527"/>
      <w:r>
        <w:rPr>
          <w:rFonts w:hint="cs"/>
          <w:rtl/>
        </w:rPr>
        <w:t xml:space="preserve">-פעמי. </w:t>
      </w:r>
      <w:bookmarkStart w:id="50528" w:name="_ETM_Q97_426109"/>
      <w:bookmarkEnd w:id="50528"/>
      <w:r>
        <w:rPr>
          <w:rFonts w:hint="cs"/>
          <w:rtl/>
        </w:rPr>
        <w:t xml:space="preserve">אחדות </w:t>
      </w:r>
      <w:bookmarkStart w:id="50529" w:name="_ETM_Q97_426739"/>
      <w:bookmarkEnd w:id="50529"/>
      <w:r>
        <w:rPr>
          <w:rFonts w:hint="cs"/>
          <w:rtl/>
        </w:rPr>
        <w:t xml:space="preserve">עם </w:t>
      </w:r>
      <w:bookmarkStart w:id="50530" w:name="_ETM_Q97_426829"/>
      <w:bookmarkEnd w:id="50530"/>
      <w:r>
        <w:rPr>
          <w:rFonts w:hint="cs"/>
          <w:rtl/>
        </w:rPr>
        <w:t xml:space="preserve">ישראל </w:t>
      </w:r>
      <w:bookmarkStart w:id="50531" w:name="_ETM_Q97_427939"/>
      <w:bookmarkStart w:id="50532" w:name="_ETM_Q97_428090"/>
      <w:bookmarkEnd w:id="50531"/>
      <w:bookmarkEnd w:id="50532"/>
      <w:r>
        <w:rPr>
          <w:rFonts w:hint="cs"/>
          <w:rtl/>
        </w:rPr>
        <w:t xml:space="preserve">היא </w:t>
      </w:r>
      <w:bookmarkStart w:id="50533" w:name="_ETM_Q97_427000"/>
      <w:bookmarkEnd w:id="50533"/>
      <w:r>
        <w:rPr>
          <w:rFonts w:hint="cs"/>
          <w:rtl/>
        </w:rPr>
        <w:t xml:space="preserve">מה </w:t>
      </w:r>
      <w:bookmarkStart w:id="50534" w:name="_ETM_Q97_428209"/>
      <w:bookmarkEnd w:id="50534"/>
      <w:r>
        <w:rPr>
          <w:rFonts w:hint="cs"/>
          <w:rtl/>
        </w:rPr>
        <w:t xml:space="preserve">שגורם </w:t>
      </w:r>
      <w:bookmarkStart w:id="50535" w:name="_ETM_Q97_428780"/>
      <w:bookmarkEnd w:id="50535"/>
      <w:r>
        <w:rPr>
          <w:rFonts w:hint="cs"/>
          <w:rtl/>
        </w:rPr>
        <w:t xml:space="preserve">למפעל </w:t>
      </w:r>
      <w:bookmarkStart w:id="50536" w:name="_ETM_Q97_429349"/>
      <w:bookmarkEnd w:id="50536"/>
      <w:r>
        <w:rPr>
          <w:rFonts w:hint="cs"/>
          <w:rtl/>
        </w:rPr>
        <w:t xml:space="preserve">הזה </w:t>
      </w:r>
      <w:bookmarkStart w:id="50537" w:name="_ETM_Q97_429590"/>
      <w:bookmarkEnd w:id="50537"/>
      <w:r>
        <w:rPr>
          <w:rFonts w:hint="cs"/>
          <w:rtl/>
        </w:rPr>
        <w:t xml:space="preserve">להיות </w:t>
      </w:r>
      <w:bookmarkStart w:id="50538" w:name="_ETM_Q97_429920"/>
      <w:bookmarkEnd w:id="50538"/>
      <w:r>
        <w:rPr>
          <w:rFonts w:hint="cs"/>
          <w:rtl/>
        </w:rPr>
        <w:t xml:space="preserve">אפשרי, </w:t>
      </w:r>
      <w:bookmarkStart w:id="50539" w:name="_ETM_Q97_431030"/>
      <w:bookmarkEnd w:id="50539"/>
      <w:r>
        <w:rPr>
          <w:rFonts w:hint="cs"/>
          <w:rtl/>
        </w:rPr>
        <w:t xml:space="preserve">להתקיים. </w:t>
      </w:r>
      <w:bookmarkStart w:id="50540" w:name="_ETM_Q97_433269"/>
      <w:bookmarkEnd w:id="50540"/>
    </w:p>
    <w:p w:rsidR="00BB59CD" w:rsidRDefault="00BB59CD" w:rsidP="00BB59CD">
      <w:pPr>
        <w:rPr>
          <w:rtl/>
        </w:rPr>
      </w:pPr>
      <w:bookmarkStart w:id="50541" w:name="_ETM_Q97_453608"/>
      <w:bookmarkStart w:id="50542" w:name="_ETM_Q97_453781"/>
      <w:bookmarkEnd w:id="50541"/>
      <w:bookmarkEnd w:id="50542"/>
    </w:p>
    <w:p w:rsidR="00BB59CD" w:rsidRDefault="00BB59CD" w:rsidP="00BB59CD">
      <w:pPr>
        <w:rPr>
          <w:rtl/>
        </w:rPr>
      </w:pPr>
      <w:bookmarkStart w:id="50543" w:name="_ETM_Q97_453866"/>
      <w:bookmarkStart w:id="50544" w:name="_ETM_Q97_453961"/>
      <w:bookmarkEnd w:id="50543"/>
      <w:bookmarkEnd w:id="50544"/>
      <w:r>
        <w:rPr>
          <w:rFonts w:hint="cs"/>
          <w:rtl/>
        </w:rPr>
        <w:t xml:space="preserve">ולכן </w:t>
      </w:r>
      <w:bookmarkStart w:id="50545" w:name="_ETM_Q97_433810"/>
      <w:bookmarkEnd w:id="50545"/>
      <w:r>
        <w:rPr>
          <w:rFonts w:hint="cs"/>
          <w:rtl/>
        </w:rPr>
        <w:t xml:space="preserve">צו </w:t>
      </w:r>
      <w:bookmarkStart w:id="50546" w:name="_ETM_Q97_434140"/>
      <w:bookmarkEnd w:id="50546"/>
      <w:r>
        <w:rPr>
          <w:rFonts w:hint="cs"/>
          <w:rtl/>
        </w:rPr>
        <w:t>השעה</w:t>
      </w:r>
      <w:bookmarkStart w:id="50547" w:name="_ETM_Q97_435650"/>
      <w:bookmarkStart w:id="50548" w:name="_ETM_Q97_435909"/>
      <w:bookmarkEnd w:id="50547"/>
      <w:bookmarkEnd w:id="50548"/>
      <w:r>
        <w:rPr>
          <w:rFonts w:hint="cs"/>
          <w:rtl/>
        </w:rPr>
        <w:t xml:space="preserve"> – הדרך </w:t>
      </w:r>
      <w:bookmarkStart w:id="50549" w:name="_ETM_Q97_436180"/>
      <w:bookmarkEnd w:id="50549"/>
      <w:r>
        <w:rPr>
          <w:rFonts w:hint="cs"/>
          <w:rtl/>
        </w:rPr>
        <w:t xml:space="preserve">היחידה </w:t>
      </w:r>
      <w:bookmarkStart w:id="50550" w:name="_ETM_Q97_436990"/>
      <w:bookmarkEnd w:id="50550"/>
      <w:r>
        <w:rPr>
          <w:rFonts w:hint="cs"/>
          <w:rtl/>
        </w:rPr>
        <w:t xml:space="preserve">להתקדם </w:t>
      </w:r>
      <w:bookmarkStart w:id="50551" w:name="_ETM_Q97_438310"/>
      <w:bookmarkEnd w:id="50551"/>
      <w:r>
        <w:rPr>
          <w:rFonts w:hint="cs"/>
          <w:rtl/>
        </w:rPr>
        <w:t xml:space="preserve">היא </w:t>
      </w:r>
      <w:bookmarkStart w:id="50552" w:name="_ETM_Q97_438460"/>
      <w:bookmarkEnd w:id="50552"/>
      <w:r>
        <w:rPr>
          <w:rFonts w:hint="cs"/>
          <w:rtl/>
        </w:rPr>
        <w:t xml:space="preserve">לעצור </w:t>
      </w:r>
      <w:bookmarkStart w:id="50553" w:name="_ETM_Q97_439150"/>
      <w:bookmarkEnd w:id="50553"/>
      <w:r>
        <w:rPr>
          <w:rFonts w:hint="cs"/>
          <w:rtl/>
        </w:rPr>
        <w:t xml:space="preserve">את </w:t>
      </w:r>
      <w:bookmarkStart w:id="50554" w:name="_ETM_Q97_439270"/>
      <w:bookmarkEnd w:id="50554"/>
      <w:r>
        <w:rPr>
          <w:rFonts w:hint="cs"/>
          <w:rtl/>
        </w:rPr>
        <w:t xml:space="preserve">החקיקה, </w:t>
      </w:r>
      <w:bookmarkStart w:id="50555" w:name="_ETM_Q97_440500"/>
      <w:bookmarkEnd w:id="50555"/>
      <w:r>
        <w:rPr>
          <w:rFonts w:hint="cs"/>
          <w:rtl/>
        </w:rPr>
        <w:t xml:space="preserve">להתכנס </w:t>
      </w:r>
      <w:bookmarkStart w:id="50556" w:name="_ETM_Q97_441160"/>
      <w:bookmarkEnd w:id="50556"/>
      <w:r>
        <w:rPr>
          <w:rFonts w:hint="cs"/>
          <w:rtl/>
        </w:rPr>
        <w:t xml:space="preserve">יחד, </w:t>
      </w:r>
      <w:bookmarkStart w:id="50557" w:name="_ETM_Q97_442240"/>
      <w:bookmarkEnd w:id="50557"/>
      <w:r>
        <w:rPr>
          <w:rFonts w:hint="cs"/>
          <w:rtl/>
        </w:rPr>
        <w:t xml:space="preserve">להגיע </w:t>
      </w:r>
      <w:bookmarkStart w:id="50558" w:name="_ETM_Q97_442839"/>
      <w:bookmarkEnd w:id="50558"/>
      <w:r>
        <w:rPr>
          <w:rFonts w:hint="cs"/>
          <w:rtl/>
        </w:rPr>
        <w:t xml:space="preserve">להבנות </w:t>
      </w:r>
      <w:bookmarkStart w:id="50559" w:name="_ETM_Q97_443529"/>
      <w:bookmarkEnd w:id="50559"/>
      <w:r>
        <w:rPr>
          <w:rFonts w:hint="cs"/>
          <w:rtl/>
        </w:rPr>
        <w:t xml:space="preserve">לאומיות </w:t>
      </w:r>
      <w:bookmarkStart w:id="50560" w:name="_ETM_Q97_444160"/>
      <w:bookmarkEnd w:id="50560"/>
      <w:r>
        <w:rPr>
          <w:rFonts w:hint="cs"/>
          <w:rtl/>
        </w:rPr>
        <w:t xml:space="preserve">רחבות </w:t>
      </w:r>
      <w:bookmarkStart w:id="50561" w:name="_ETM_Q97_445620"/>
      <w:bookmarkEnd w:id="50561"/>
      <w:r>
        <w:rPr>
          <w:rFonts w:hint="cs"/>
          <w:rtl/>
        </w:rPr>
        <w:t xml:space="preserve">שיהוו </w:t>
      </w:r>
      <w:bookmarkStart w:id="50562" w:name="_ETM_Q97_446279"/>
      <w:bookmarkEnd w:id="50562"/>
      <w:r>
        <w:rPr>
          <w:rFonts w:hint="cs"/>
          <w:rtl/>
        </w:rPr>
        <w:t xml:space="preserve">את </w:t>
      </w:r>
      <w:bookmarkStart w:id="50563" w:name="_ETM_Q97_446400"/>
      <w:bookmarkEnd w:id="50563"/>
      <w:r>
        <w:rPr>
          <w:rFonts w:hint="cs"/>
          <w:rtl/>
        </w:rPr>
        <w:t xml:space="preserve">הבסיס </w:t>
      </w:r>
      <w:bookmarkStart w:id="50564" w:name="_ETM_Q97_446970"/>
      <w:bookmarkEnd w:id="50564"/>
      <w:r>
        <w:rPr>
          <w:rFonts w:hint="cs"/>
          <w:rtl/>
        </w:rPr>
        <w:t xml:space="preserve">לחוקה </w:t>
      </w:r>
      <w:bookmarkStart w:id="50565" w:name="_ETM_Q97_448199"/>
      <w:bookmarkEnd w:id="50565"/>
      <w:r>
        <w:rPr>
          <w:rFonts w:hint="cs"/>
          <w:rtl/>
        </w:rPr>
        <w:t xml:space="preserve">עבור </w:t>
      </w:r>
      <w:bookmarkStart w:id="50566" w:name="_ETM_Q97_448529"/>
      <w:bookmarkEnd w:id="50566"/>
      <w:r>
        <w:rPr>
          <w:rFonts w:hint="cs"/>
          <w:rtl/>
        </w:rPr>
        <w:t xml:space="preserve">מדינת </w:t>
      </w:r>
      <w:bookmarkStart w:id="50567" w:name="_ETM_Q97_449010"/>
      <w:bookmarkEnd w:id="50567"/>
      <w:r>
        <w:rPr>
          <w:rFonts w:hint="cs"/>
          <w:rtl/>
        </w:rPr>
        <w:t>ישראל</w:t>
      </w:r>
      <w:bookmarkStart w:id="50568" w:name="_ETM_Q97_449550"/>
      <w:bookmarkEnd w:id="50568"/>
      <w:r>
        <w:rPr>
          <w:rFonts w:hint="cs"/>
          <w:rtl/>
        </w:rPr>
        <w:t xml:space="preserve"> כמדינה </w:t>
      </w:r>
      <w:bookmarkStart w:id="50569" w:name="_ETM_Q97_450300"/>
      <w:bookmarkEnd w:id="50569"/>
      <w:r>
        <w:rPr>
          <w:rFonts w:hint="cs"/>
          <w:rtl/>
        </w:rPr>
        <w:t xml:space="preserve">יהודית </w:t>
      </w:r>
      <w:bookmarkStart w:id="50570" w:name="_ETM_Q97_451050"/>
      <w:bookmarkEnd w:id="50570"/>
      <w:r>
        <w:rPr>
          <w:rFonts w:hint="cs"/>
          <w:rtl/>
        </w:rPr>
        <w:t xml:space="preserve">ודמוקרטית. </w:t>
      </w:r>
      <w:bookmarkStart w:id="50571" w:name="_ETM_Q97_452550"/>
      <w:bookmarkEnd w:id="50571"/>
      <w:r>
        <w:rPr>
          <w:rFonts w:hint="cs"/>
          <w:rtl/>
        </w:rPr>
        <w:t xml:space="preserve">חוקה </w:t>
      </w:r>
      <w:bookmarkStart w:id="50572" w:name="_ETM_Q97_453000"/>
      <w:bookmarkEnd w:id="50572"/>
      <w:r>
        <w:rPr>
          <w:rFonts w:hint="cs"/>
          <w:rtl/>
        </w:rPr>
        <w:t xml:space="preserve">שבסיסה </w:t>
      </w:r>
      <w:bookmarkStart w:id="50573" w:name="_ETM_Q97_454490"/>
      <w:bookmarkEnd w:id="50573"/>
      <w:r>
        <w:rPr>
          <w:rFonts w:hint="cs"/>
          <w:rtl/>
        </w:rPr>
        <w:t xml:space="preserve">מגילת </w:t>
      </w:r>
      <w:bookmarkStart w:id="50574" w:name="_ETM_Q97_455089"/>
      <w:bookmarkEnd w:id="50574"/>
      <w:r>
        <w:rPr>
          <w:rFonts w:hint="cs"/>
          <w:rtl/>
        </w:rPr>
        <w:t xml:space="preserve">העצמאות, </w:t>
      </w:r>
      <w:bookmarkStart w:id="50575" w:name="_ETM_Q97_456440"/>
      <w:bookmarkEnd w:id="50575"/>
      <w:r>
        <w:rPr>
          <w:rFonts w:hint="cs"/>
          <w:rtl/>
        </w:rPr>
        <w:t xml:space="preserve">שתעגן </w:t>
      </w:r>
      <w:bookmarkStart w:id="50576" w:name="_ETM_Q97_457100"/>
      <w:bookmarkEnd w:id="50576"/>
      <w:r>
        <w:rPr>
          <w:rFonts w:hint="cs"/>
          <w:rtl/>
        </w:rPr>
        <w:t xml:space="preserve">את </w:t>
      </w:r>
      <w:bookmarkStart w:id="50577" w:name="_ETM_Q97_457190"/>
      <w:bookmarkEnd w:id="50577"/>
      <w:r>
        <w:rPr>
          <w:rFonts w:hint="cs"/>
          <w:rtl/>
        </w:rPr>
        <w:t xml:space="preserve">חירויות </w:t>
      </w:r>
      <w:bookmarkStart w:id="50578" w:name="_ETM_Q97_457669"/>
      <w:bookmarkEnd w:id="50578"/>
      <w:r>
        <w:rPr>
          <w:rFonts w:hint="cs"/>
          <w:rtl/>
        </w:rPr>
        <w:t xml:space="preserve">הפרט, </w:t>
      </w:r>
      <w:bookmarkStart w:id="50579" w:name="_ETM_Q97_458800"/>
      <w:bookmarkEnd w:id="50579"/>
      <w:r>
        <w:rPr>
          <w:rFonts w:hint="cs"/>
          <w:rtl/>
        </w:rPr>
        <w:t xml:space="preserve">את </w:t>
      </w:r>
      <w:bookmarkStart w:id="50580" w:name="_ETM_Q97_459009"/>
      <w:bookmarkEnd w:id="50580"/>
      <w:r>
        <w:rPr>
          <w:rFonts w:hint="cs"/>
          <w:rtl/>
        </w:rPr>
        <w:t xml:space="preserve">השוויון </w:t>
      </w:r>
      <w:bookmarkStart w:id="50581" w:name="_ETM_Q97_459729"/>
      <w:bookmarkEnd w:id="50581"/>
      <w:r>
        <w:rPr>
          <w:rFonts w:hint="cs"/>
          <w:rtl/>
        </w:rPr>
        <w:t xml:space="preserve">של </w:t>
      </w:r>
      <w:bookmarkStart w:id="50582" w:name="_ETM_Q97_459910"/>
      <w:bookmarkEnd w:id="50582"/>
      <w:r>
        <w:rPr>
          <w:rFonts w:hint="cs"/>
          <w:rtl/>
        </w:rPr>
        <w:t xml:space="preserve">כולנו </w:t>
      </w:r>
      <w:bookmarkStart w:id="50583" w:name="_ETM_Q97_460479"/>
      <w:bookmarkEnd w:id="50583"/>
      <w:r>
        <w:rPr>
          <w:rFonts w:hint="cs"/>
          <w:rtl/>
        </w:rPr>
        <w:t xml:space="preserve">בפני </w:t>
      </w:r>
      <w:bookmarkStart w:id="50584" w:name="_ETM_Q97_460900"/>
      <w:bookmarkEnd w:id="50584"/>
      <w:r>
        <w:rPr>
          <w:rFonts w:hint="cs"/>
          <w:rtl/>
        </w:rPr>
        <w:t>החוק</w:t>
      </w:r>
      <w:bookmarkStart w:id="50585" w:name="_ETM_Q97_462029"/>
      <w:bookmarkEnd w:id="50585"/>
      <w:r>
        <w:rPr>
          <w:rFonts w:hint="cs"/>
          <w:rtl/>
        </w:rPr>
        <w:t xml:space="preserve">, את </w:t>
      </w:r>
      <w:bookmarkStart w:id="50586" w:name="_ETM_Q97_462180"/>
      <w:bookmarkEnd w:id="50586"/>
      <w:r>
        <w:rPr>
          <w:rFonts w:hint="cs"/>
          <w:rtl/>
        </w:rPr>
        <w:t xml:space="preserve">מערכת </w:t>
      </w:r>
      <w:bookmarkStart w:id="50587" w:name="_ETM_Q97_462600"/>
      <w:bookmarkEnd w:id="50587"/>
      <w:r>
        <w:rPr>
          <w:rFonts w:hint="cs"/>
          <w:rtl/>
        </w:rPr>
        <w:t xml:space="preserve">היחסים </w:t>
      </w:r>
      <w:bookmarkStart w:id="50588" w:name="_ETM_Q97_463110"/>
      <w:bookmarkEnd w:id="50588"/>
      <w:r>
        <w:rPr>
          <w:rFonts w:hint="cs"/>
          <w:rtl/>
        </w:rPr>
        <w:t xml:space="preserve">הראויה, </w:t>
      </w:r>
      <w:bookmarkStart w:id="50589" w:name="_ETM_Q97_464220"/>
      <w:bookmarkEnd w:id="50589"/>
      <w:r>
        <w:rPr>
          <w:rFonts w:hint="cs"/>
          <w:rtl/>
        </w:rPr>
        <w:t xml:space="preserve">הנכונה, </w:t>
      </w:r>
      <w:bookmarkStart w:id="50590" w:name="_ETM_Q97_465029"/>
      <w:bookmarkEnd w:id="50590"/>
      <w:r>
        <w:rPr>
          <w:rFonts w:hint="cs"/>
          <w:rtl/>
        </w:rPr>
        <w:t xml:space="preserve">המאוזנת </w:t>
      </w:r>
      <w:bookmarkStart w:id="50591" w:name="_ETM_Q97_466230"/>
      <w:bookmarkEnd w:id="50591"/>
      <w:r>
        <w:rPr>
          <w:rFonts w:hint="cs"/>
          <w:rtl/>
        </w:rPr>
        <w:t>בין</w:t>
      </w:r>
      <w:bookmarkStart w:id="50592" w:name="_ETM_Q97_466529"/>
      <w:bookmarkEnd w:id="50592"/>
      <w:r>
        <w:rPr>
          <w:rFonts w:hint="cs"/>
          <w:rtl/>
        </w:rPr>
        <w:t xml:space="preserve"> שלוש </w:t>
      </w:r>
      <w:bookmarkStart w:id="50593" w:name="_ETM_Q97_466860"/>
      <w:bookmarkEnd w:id="50593"/>
      <w:r>
        <w:rPr>
          <w:rFonts w:hint="cs"/>
          <w:rtl/>
        </w:rPr>
        <w:t xml:space="preserve">רשויות </w:t>
      </w:r>
      <w:bookmarkStart w:id="50594" w:name="_ETM_Q97_467339"/>
      <w:bookmarkEnd w:id="50594"/>
      <w:r>
        <w:rPr>
          <w:rFonts w:hint="cs"/>
          <w:rtl/>
        </w:rPr>
        <w:t xml:space="preserve">השלטון; </w:t>
      </w:r>
      <w:bookmarkStart w:id="50595" w:name="_ETM_Q97_468779"/>
      <w:bookmarkEnd w:id="50595"/>
      <w:r>
        <w:rPr>
          <w:rFonts w:hint="cs"/>
          <w:rtl/>
        </w:rPr>
        <w:t xml:space="preserve">שתאפשר </w:t>
      </w:r>
      <w:bookmarkStart w:id="50596" w:name="_ETM_Q97_469350"/>
      <w:bookmarkEnd w:id="50596"/>
      <w:r>
        <w:rPr>
          <w:rFonts w:hint="cs"/>
          <w:rtl/>
        </w:rPr>
        <w:t xml:space="preserve">לכל </w:t>
      </w:r>
      <w:bookmarkStart w:id="50597" w:name="_ETM_Q97_469710"/>
      <w:bookmarkStart w:id="50598" w:name="_ETM_Q97_470220"/>
      <w:bookmarkStart w:id="50599" w:name="_ETM_Q97_470730"/>
      <w:bookmarkEnd w:id="50597"/>
      <w:bookmarkEnd w:id="50598"/>
      <w:bookmarkEnd w:id="50599"/>
      <w:r>
        <w:rPr>
          <w:rFonts w:hint="cs"/>
          <w:rtl/>
        </w:rPr>
        <w:t xml:space="preserve">אחת ואחד מאיתנו </w:t>
      </w:r>
      <w:bookmarkStart w:id="50600" w:name="_ETM_Q97_471240"/>
      <w:bookmarkEnd w:id="50600"/>
      <w:r>
        <w:rPr>
          <w:rFonts w:hint="cs"/>
          <w:rtl/>
        </w:rPr>
        <w:t xml:space="preserve">להרגיש </w:t>
      </w:r>
      <w:bookmarkStart w:id="50601" w:name="_ETM_Q97_471690"/>
      <w:bookmarkEnd w:id="50601"/>
      <w:r>
        <w:rPr>
          <w:rFonts w:hint="cs"/>
          <w:rtl/>
        </w:rPr>
        <w:t xml:space="preserve">בבית, </w:t>
      </w:r>
      <w:bookmarkStart w:id="50602" w:name="_ETM_Q97_473130"/>
      <w:bookmarkEnd w:id="50602"/>
      <w:r>
        <w:rPr>
          <w:rFonts w:hint="cs"/>
          <w:rtl/>
        </w:rPr>
        <w:t xml:space="preserve">כי </w:t>
      </w:r>
      <w:bookmarkStart w:id="50603" w:name="_ETM_Q97_473279"/>
      <w:bookmarkEnd w:id="50603"/>
      <w:r>
        <w:rPr>
          <w:rFonts w:hint="cs"/>
          <w:rtl/>
        </w:rPr>
        <w:t xml:space="preserve">בבסיס </w:t>
      </w:r>
      <w:bookmarkStart w:id="50604" w:name="_ETM_Q97_474550"/>
      <w:bookmarkEnd w:id="50604"/>
      <w:r>
        <w:rPr>
          <w:rFonts w:hint="cs"/>
          <w:rtl/>
        </w:rPr>
        <w:t xml:space="preserve">זו </w:t>
      </w:r>
      <w:bookmarkStart w:id="50605" w:name="_ETM_Q97_474970"/>
      <w:bookmarkEnd w:id="50605"/>
      <w:r>
        <w:rPr>
          <w:rFonts w:hint="cs"/>
          <w:rtl/>
        </w:rPr>
        <w:t xml:space="preserve">תכליתה </w:t>
      </w:r>
      <w:bookmarkStart w:id="50606" w:name="_ETM_Q97_475600"/>
      <w:bookmarkEnd w:id="50606"/>
      <w:r>
        <w:rPr>
          <w:rFonts w:hint="cs"/>
          <w:rtl/>
        </w:rPr>
        <w:t xml:space="preserve">של </w:t>
      </w:r>
      <w:bookmarkStart w:id="50607" w:name="_ETM_Q97_475779"/>
      <w:bookmarkEnd w:id="50607"/>
      <w:r>
        <w:rPr>
          <w:rFonts w:hint="cs"/>
          <w:rtl/>
        </w:rPr>
        <w:t xml:space="preserve">מדינת </w:t>
      </w:r>
      <w:bookmarkStart w:id="50608" w:name="_ETM_Q97_476350"/>
      <w:bookmarkEnd w:id="50608"/>
      <w:r>
        <w:rPr>
          <w:rFonts w:hint="cs"/>
          <w:rtl/>
        </w:rPr>
        <w:t xml:space="preserve">ישראל, </w:t>
      </w:r>
      <w:bookmarkStart w:id="50609" w:name="_ETM_Q97_477490"/>
      <w:bookmarkEnd w:id="50609"/>
      <w:r>
        <w:rPr>
          <w:rFonts w:hint="cs"/>
          <w:rtl/>
        </w:rPr>
        <w:t xml:space="preserve">להיות </w:t>
      </w:r>
      <w:bookmarkStart w:id="50610" w:name="_ETM_Q97_477820"/>
      <w:bookmarkEnd w:id="50610"/>
      <w:r>
        <w:rPr>
          <w:rFonts w:hint="cs"/>
          <w:rtl/>
        </w:rPr>
        <w:t xml:space="preserve">בית </w:t>
      </w:r>
      <w:bookmarkStart w:id="50611" w:name="_ETM_Q97_478270"/>
      <w:bookmarkEnd w:id="50611"/>
      <w:r>
        <w:rPr>
          <w:rFonts w:hint="cs"/>
          <w:rtl/>
        </w:rPr>
        <w:t xml:space="preserve">לאומי </w:t>
      </w:r>
      <w:bookmarkStart w:id="50612" w:name="_ETM_Q97_478690"/>
      <w:bookmarkEnd w:id="50612"/>
      <w:r>
        <w:rPr>
          <w:rFonts w:hint="cs"/>
          <w:rtl/>
        </w:rPr>
        <w:t xml:space="preserve">לעם </w:t>
      </w:r>
      <w:bookmarkStart w:id="50613" w:name="_ETM_Q97_479020"/>
      <w:bookmarkEnd w:id="50613"/>
      <w:r>
        <w:rPr>
          <w:rFonts w:hint="cs"/>
          <w:rtl/>
        </w:rPr>
        <w:t xml:space="preserve">היהודי, </w:t>
      </w:r>
      <w:bookmarkStart w:id="50614" w:name="_ETM_Q97_479710"/>
      <w:bookmarkEnd w:id="50614"/>
      <w:r>
        <w:rPr>
          <w:rFonts w:hint="cs"/>
          <w:rtl/>
        </w:rPr>
        <w:t xml:space="preserve">לכל </w:t>
      </w:r>
      <w:bookmarkStart w:id="50615" w:name="_ETM_Q97_480339"/>
      <w:bookmarkEnd w:id="50615"/>
      <w:r>
        <w:rPr>
          <w:rFonts w:hint="cs"/>
          <w:rtl/>
        </w:rPr>
        <w:t xml:space="preserve">העם </w:t>
      </w:r>
      <w:bookmarkStart w:id="50616" w:name="_ETM_Q97_480580"/>
      <w:bookmarkEnd w:id="50616"/>
      <w:r>
        <w:rPr>
          <w:rFonts w:hint="cs"/>
          <w:rtl/>
        </w:rPr>
        <w:t>היהודי.</w:t>
      </w:r>
      <w:bookmarkStart w:id="50617" w:name="_ETM_Q97_474000"/>
      <w:bookmarkStart w:id="50618" w:name="_ETM_Q97_476000"/>
      <w:bookmarkStart w:id="50619" w:name="_ETM_Q97_480000"/>
      <w:bookmarkStart w:id="50620" w:name="_ETM_Q97_480179"/>
      <w:bookmarkStart w:id="50621" w:name="_ETM_Q97_481240"/>
      <w:bookmarkEnd w:id="50617"/>
      <w:bookmarkEnd w:id="50618"/>
      <w:bookmarkEnd w:id="50619"/>
      <w:bookmarkEnd w:id="50620"/>
      <w:bookmarkEnd w:id="50621"/>
      <w:r>
        <w:rPr>
          <w:rFonts w:hint="cs"/>
          <w:rtl/>
        </w:rPr>
        <w:t xml:space="preserve"> </w:t>
      </w:r>
      <w:bookmarkStart w:id="50622" w:name="_ETM_Q97_492171"/>
      <w:bookmarkEnd w:id="50622"/>
      <w:r>
        <w:rPr>
          <w:rFonts w:hint="cs"/>
          <w:rtl/>
        </w:rPr>
        <w:t xml:space="preserve">לאפשר </w:t>
      </w:r>
      <w:bookmarkStart w:id="50623" w:name="_ETM_Q97_481989"/>
      <w:bookmarkEnd w:id="50623"/>
      <w:r>
        <w:rPr>
          <w:rFonts w:hint="cs"/>
          <w:rtl/>
        </w:rPr>
        <w:t xml:space="preserve">לכל </w:t>
      </w:r>
      <w:bookmarkStart w:id="50624" w:name="_ETM_Q97_482469"/>
      <w:bookmarkEnd w:id="50624"/>
      <w:r>
        <w:rPr>
          <w:rFonts w:hint="cs"/>
          <w:rtl/>
        </w:rPr>
        <w:t xml:space="preserve">יהודי </w:t>
      </w:r>
      <w:bookmarkStart w:id="50625" w:name="_ETM_Q97_482920"/>
      <w:bookmarkEnd w:id="50625"/>
      <w:r>
        <w:rPr>
          <w:rFonts w:hint="cs"/>
          <w:rtl/>
        </w:rPr>
        <w:t xml:space="preserve">באשר </w:t>
      </w:r>
      <w:bookmarkStart w:id="50626" w:name="_ETM_Q97_483610"/>
      <w:bookmarkEnd w:id="50626"/>
      <w:r>
        <w:rPr>
          <w:rFonts w:hint="cs"/>
          <w:rtl/>
        </w:rPr>
        <w:t xml:space="preserve">הוא </w:t>
      </w:r>
      <w:bookmarkStart w:id="50627" w:name="_ETM_Q97_484589"/>
      <w:bookmarkEnd w:id="50627"/>
      <w:r>
        <w:rPr>
          <w:rFonts w:hint="cs"/>
          <w:rtl/>
        </w:rPr>
        <w:t xml:space="preserve">קרקע </w:t>
      </w:r>
      <w:bookmarkStart w:id="50628" w:name="_ETM_Q97_484980"/>
      <w:bookmarkEnd w:id="50628"/>
      <w:r>
        <w:rPr>
          <w:rFonts w:hint="cs"/>
          <w:rtl/>
        </w:rPr>
        <w:t xml:space="preserve">בטוחה </w:t>
      </w:r>
      <w:bookmarkStart w:id="50629" w:name="_ETM_Q97_485640"/>
      <w:bookmarkEnd w:id="50629"/>
      <w:r>
        <w:rPr>
          <w:rFonts w:hint="cs"/>
          <w:rtl/>
        </w:rPr>
        <w:t>שב</w:t>
      </w:r>
      <w:bookmarkStart w:id="50630" w:name="_ETM_Q97_486359"/>
      <w:bookmarkEnd w:id="50630"/>
      <w:r>
        <w:rPr>
          <w:rFonts w:hint="cs"/>
          <w:rtl/>
        </w:rPr>
        <w:t xml:space="preserve">ה </w:t>
      </w:r>
      <w:bookmarkStart w:id="50631" w:name="_ETM_Q97_486000"/>
      <w:bookmarkEnd w:id="50631"/>
      <w:r>
        <w:rPr>
          <w:rFonts w:hint="cs"/>
          <w:rtl/>
        </w:rPr>
        <w:t xml:space="preserve">היא או הוא </w:t>
      </w:r>
      <w:bookmarkStart w:id="50632" w:name="_ETM_Q97_487019"/>
      <w:bookmarkEnd w:id="50632"/>
      <w:r>
        <w:rPr>
          <w:rFonts w:hint="cs"/>
          <w:rtl/>
        </w:rPr>
        <w:t xml:space="preserve">יוכלו </w:t>
      </w:r>
      <w:bookmarkStart w:id="50633" w:name="_ETM_Q97_487319"/>
      <w:bookmarkEnd w:id="50633"/>
      <w:r>
        <w:rPr>
          <w:rFonts w:hint="cs"/>
          <w:rtl/>
        </w:rPr>
        <w:t xml:space="preserve">לחיות </w:t>
      </w:r>
      <w:bookmarkStart w:id="50634" w:name="_ETM_Q97_487799"/>
      <w:bookmarkEnd w:id="50634"/>
      <w:r>
        <w:rPr>
          <w:rFonts w:hint="cs"/>
          <w:rtl/>
        </w:rPr>
        <w:t xml:space="preserve">את </w:t>
      </w:r>
      <w:bookmarkStart w:id="50635" w:name="_ETM_Q97_487920"/>
      <w:bookmarkEnd w:id="50635"/>
      <w:r>
        <w:rPr>
          <w:rFonts w:hint="cs"/>
          <w:rtl/>
        </w:rPr>
        <w:t xml:space="preserve">החיים </w:t>
      </w:r>
      <w:bookmarkStart w:id="50636" w:name="_ETM_Q97_488279"/>
      <w:bookmarkEnd w:id="50636"/>
      <w:r>
        <w:rPr>
          <w:rFonts w:hint="cs"/>
          <w:rtl/>
        </w:rPr>
        <w:t xml:space="preserve">שלהם </w:t>
      </w:r>
      <w:bookmarkStart w:id="50637" w:name="_ETM_Q97_488730"/>
      <w:bookmarkEnd w:id="50637"/>
      <w:r>
        <w:rPr>
          <w:rFonts w:hint="cs"/>
          <w:rtl/>
        </w:rPr>
        <w:t xml:space="preserve">בהתאם </w:t>
      </w:r>
      <w:bookmarkStart w:id="50638" w:name="_ETM_Q97_489089"/>
      <w:bookmarkEnd w:id="50638"/>
      <w:r>
        <w:rPr>
          <w:rFonts w:hint="cs"/>
          <w:rtl/>
        </w:rPr>
        <w:t xml:space="preserve">לצו </w:t>
      </w:r>
      <w:bookmarkStart w:id="50639" w:name="_ETM_Q97_489510"/>
      <w:bookmarkEnd w:id="50639"/>
      <w:r>
        <w:rPr>
          <w:rFonts w:hint="cs"/>
          <w:rtl/>
        </w:rPr>
        <w:t xml:space="preserve">מצפונם, </w:t>
      </w:r>
      <w:bookmarkStart w:id="50640" w:name="_ETM_Q97_490830"/>
      <w:bookmarkEnd w:id="50640"/>
      <w:r>
        <w:rPr>
          <w:rFonts w:hint="cs"/>
          <w:rtl/>
        </w:rPr>
        <w:t xml:space="preserve">בלי </w:t>
      </w:r>
      <w:bookmarkStart w:id="50641" w:name="_ETM_Q97_491070"/>
      <w:bookmarkEnd w:id="50641"/>
      <w:r>
        <w:rPr>
          <w:rFonts w:hint="cs"/>
          <w:rtl/>
        </w:rPr>
        <w:t xml:space="preserve">חשש </w:t>
      </w:r>
      <w:bookmarkStart w:id="50642" w:name="_ETM_Q97_491490"/>
      <w:bookmarkEnd w:id="50642"/>
      <w:r>
        <w:rPr>
          <w:rFonts w:hint="cs"/>
          <w:rtl/>
        </w:rPr>
        <w:t xml:space="preserve">לרדיפה, </w:t>
      </w:r>
      <w:bookmarkStart w:id="50643" w:name="_ETM_Q97_492660"/>
      <w:bookmarkEnd w:id="50643"/>
      <w:r>
        <w:rPr>
          <w:rFonts w:hint="cs"/>
          <w:rtl/>
        </w:rPr>
        <w:t xml:space="preserve">להתנכלות, </w:t>
      </w:r>
      <w:bookmarkStart w:id="50644" w:name="_ETM_Q97_493529"/>
      <w:bookmarkEnd w:id="50644"/>
      <w:r>
        <w:rPr>
          <w:rFonts w:hint="cs"/>
          <w:rtl/>
        </w:rPr>
        <w:t xml:space="preserve">לאלימות. </w:t>
      </w:r>
      <w:bookmarkStart w:id="50645" w:name="_ETM_Q97_495089"/>
      <w:bookmarkEnd w:id="50645"/>
      <w:r>
        <w:rPr>
          <w:rFonts w:hint="cs"/>
          <w:rtl/>
        </w:rPr>
        <w:t xml:space="preserve">לשם </w:t>
      </w:r>
      <w:bookmarkStart w:id="50646" w:name="_ETM_Q97_495809"/>
      <w:bookmarkEnd w:id="50646"/>
      <w:r>
        <w:rPr>
          <w:rFonts w:hint="cs"/>
          <w:rtl/>
        </w:rPr>
        <w:t xml:space="preserve">אנחנו </w:t>
      </w:r>
      <w:bookmarkStart w:id="50647" w:name="_ETM_Q97_496080"/>
      <w:bookmarkEnd w:id="50647"/>
      <w:r>
        <w:rPr>
          <w:rFonts w:hint="cs"/>
          <w:rtl/>
        </w:rPr>
        <w:t xml:space="preserve">מוכרחים </w:t>
      </w:r>
      <w:bookmarkStart w:id="50648" w:name="_ETM_Q97_496560"/>
      <w:bookmarkEnd w:id="50648"/>
      <w:r>
        <w:rPr>
          <w:rFonts w:hint="cs"/>
          <w:rtl/>
        </w:rPr>
        <w:t xml:space="preserve">לחתור, </w:t>
      </w:r>
      <w:bookmarkStart w:id="50649" w:name="_ETM_Q97_497689"/>
      <w:bookmarkEnd w:id="50649"/>
      <w:r>
        <w:rPr>
          <w:rFonts w:hint="cs"/>
          <w:rtl/>
        </w:rPr>
        <w:t xml:space="preserve">זה </w:t>
      </w:r>
      <w:bookmarkStart w:id="50650" w:name="_ETM_Q97_498169"/>
      <w:bookmarkEnd w:id="50650"/>
      <w:r>
        <w:rPr>
          <w:rFonts w:hint="cs"/>
          <w:rtl/>
        </w:rPr>
        <w:t xml:space="preserve">החוזה </w:t>
      </w:r>
      <w:bookmarkStart w:id="50651" w:name="_ETM_Q97_498619"/>
      <w:bookmarkEnd w:id="50651"/>
      <w:r>
        <w:rPr>
          <w:rFonts w:hint="cs"/>
          <w:rtl/>
        </w:rPr>
        <w:t xml:space="preserve">המחודש </w:t>
      </w:r>
      <w:bookmarkStart w:id="50652" w:name="_ETM_Q97_499109"/>
      <w:bookmarkStart w:id="50653" w:name="_ETM_Q97_499439"/>
      <w:bookmarkEnd w:id="50652"/>
      <w:bookmarkEnd w:id="50653"/>
      <w:r>
        <w:rPr>
          <w:rFonts w:hint="cs"/>
          <w:rtl/>
        </w:rPr>
        <w:t xml:space="preserve">שאנחנו </w:t>
      </w:r>
      <w:bookmarkStart w:id="50654" w:name="_ETM_Q97_499800"/>
      <w:bookmarkEnd w:id="50654"/>
      <w:r>
        <w:rPr>
          <w:rFonts w:hint="cs"/>
          <w:rtl/>
        </w:rPr>
        <w:t xml:space="preserve">חייבים </w:t>
      </w:r>
      <w:bookmarkStart w:id="50655" w:name="_ETM_Q97_500310"/>
      <w:bookmarkEnd w:id="50655"/>
      <w:r>
        <w:rPr>
          <w:rFonts w:hint="cs"/>
          <w:rtl/>
        </w:rPr>
        <w:t xml:space="preserve">לתקף, </w:t>
      </w:r>
      <w:bookmarkStart w:id="50656" w:name="_ETM_Q97_501449"/>
      <w:bookmarkEnd w:id="50656"/>
      <w:r>
        <w:rPr>
          <w:rFonts w:hint="cs"/>
          <w:rtl/>
        </w:rPr>
        <w:t xml:space="preserve">לנסח </w:t>
      </w:r>
      <w:bookmarkStart w:id="50657" w:name="_ETM_Q97_502289"/>
      <w:bookmarkEnd w:id="50657"/>
      <w:r>
        <w:rPr>
          <w:rFonts w:hint="cs"/>
          <w:rtl/>
        </w:rPr>
        <w:t xml:space="preserve">מחדש </w:t>
      </w:r>
      <w:bookmarkStart w:id="50658" w:name="_ETM_Q97_503699"/>
      <w:bookmarkEnd w:id="50658"/>
      <w:r>
        <w:rPr>
          <w:rFonts w:hint="cs"/>
          <w:rtl/>
        </w:rPr>
        <w:t xml:space="preserve">ולחתום </w:t>
      </w:r>
      <w:bookmarkStart w:id="50659" w:name="_ETM_Q97_504360"/>
      <w:bookmarkEnd w:id="50659"/>
      <w:r>
        <w:rPr>
          <w:rFonts w:hint="cs"/>
          <w:rtl/>
        </w:rPr>
        <w:t xml:space="preserve">עליו, </w:t>
      </w:r>
      <w:bookmarkStart w:id="50660" w:name="_ETM_Q97_505050"/>
      <w:bookmarkEnd w:id="50660"/>
      <w:r>
        <w:rPr>
          <w:rFonts w:hint="cs"/>
          <w:rtl/>
        </w:rPr>
        <w:t xml:space="preserve">בהסכמה </w:t>
      </w:r>
      <w:bookmarkStart w:id="50661" w:name="_ETM_Q97_506619"/>
      <w:bookmarkEnd w:id="50661"/>
      <w:r>
        <w:rPr>
          <w:rFonts w:hint="cs"/>
          <w:rtl/>
        </w:rPr>
        <w:t xml:space="preserve">לאומית </w:t>
      </w:r>
      <w:bookmarkStart w:id="50662" w:name="_ETM_Q97_507460"/>
      <w:bookmarkEnd w:id="50662"/>
      <w:r>
        <w:rPr>
          <w:rFonts w:hint="cs"/>
          <w:rtl/>
        </w:rPr>
        <w:t xml:space="preserve">רחבה </w:t>
      </w:r>
      <w:bookmarkStart w:id="50663" w:name="_ETM_Q97_508060"/>
      <w:bookmarkEnd w:id="50663"/>
      <w:r>
        <w:rPr>
          <w:rFonts w:hint="cs"/>
          <w:rtl/>
        </w:rPr>
        <w:t xml:space="preserve">ככל </w:t>
      </w:r>
      <w:bookmarkStart w:id="50664" w:name="_ETM_Q97_508480"/>
      <w:bookmarkEnd w:id="50664"/>
      <w:r>
        <w:rPr>
          <w:rFonts w:hint="cs"/>
          <w:rtl/>
        </w:rPr>
        <w:t>שניתן.</w:t>
      </w:r>
    </w:p>
    <w:p w:rsidR="00BB59CD" w:rsidRDefault="00BB59CD" w:rsidP="00BB59CD">
      <w:pPr>
        <w:rPr>
          <w:rtl/>
        </w:rPr>
      </w:pPr>
      <w:bookmarkStart w:id="50665" w:name="_ETM_Q97_511000"/>
      <w:bookmarkEnd w:id="50665"/>
    </w:p>
    <w:p w:rsidR="00BB59CD" w:rsidRDefault="00BB59CD" w:rsidP="00B41626">
      <w:pPr>
        <w:rPr>
          <w:rtl/>
        </w:rPr>
      </w:pPr>
      <w:bookmarkStart w:id="50666" w:name="_ETM_Q97_512000"/>
      <w:bookmarkStart w:id="50667" w:name="_ETM_Q97_510410"/>
      <w:bookmarkEnd w:id="50666"/>
      <w:bookmarkEnd w:id="50667"/>
      <w:r>
        <w:rPr>
          <w:rFonts w:hint="cs"/>
          <w:rtl/>
        </w:rPr>
        <w:t xml:space="preserve">אני </w:t>
      </w:r>
      <w:bookmarkStart w:id="50668" w:name="_ETM_Q97_510650"/>
      <w:bookmarkEnd w:id="50668"/>
      <w:r>
        <w:rPr>
          <w:rFonts w:hint="cs"/>
          <w:rtl/>
        </w:rPr>
        <w:t xml:space="preserve">רוצה </w:t>
      </w:r>
      <w:bookmarkStart w:id="50669" w:name="_ETM_Q97_510890"/>
      <w:bookmarkEnd w:id="50669"/>
      <w:r>
        <w:rPr>
          <w:rFonts w:hint="cs"/>
          <w:rtl/>
        </w:rPr>
        <w:t xml:space="preserve">להקדיש </w:t>
      </w:r>
      <w:bookmarkStart w:id="50670" w:name="_ETM_Q97_512140"/>
      <w:bookmarkEnd w:id="50670"/>
      <w:r>
        <w:rPr>
          <w:rFonts w:hint="cs"/>
          <w:rtl/>
        </w:rPr>
        <w:t xml:space="preserve">עוד </w:t>
      </w:r>
      <w:bookmarkStart w:id="50671" w:name="_ETM_Q97_512440"/>
      <w:bookmarkEnd w:id="50671"/>
      <w:r>
        <w:rPr>
          <w:rFonts w:hint="cs"/>
          <w:rtl/>
        </w:rPr>
        <w:t xml:space="preserve">כמה </w:t>
      </w:r>
      <w:bookmarkStart w:id="50672" w:name="_ETM_Q97_512739"/>
      <w:bookmarkEnd w:id="50672"/>
      <w:r>
        <w:rPr>
          <w:rFonts w:hint="cs"/>
          <w:rtl/>
        </w:rPr>
        <w:t xml:space="preserve">מילים </w:t>
      </w:r>
      <w:bookmarkStart w:id="50673" w:name="_ETM_Q97_513670"/>
      <w:bookmarkEnd w:id="50673"/>
      <w:r>
        <w:rPr>
          <w:rFonts w:hint="cs"/>
          <w:rtl/>
        </w:rPr>
        <w:t xml:space="preserve">למחאה. </w:t>
      </w:r>
      <w:bookmarkStart w:id="50674" w:name="_ETM_Q97_515360"/>
      <w:bookmarkEnd w:id="50674"/>
      <w:r>
        <w:rPr>
          <w:rFonts w:hint="cs"/>
          <w:rtl/>
        </w:rPr>
        <w:t>ה-</w:t>
      </w:r>
      <w:r>
        <w:t>D9</w:t>
      </w:r>
      <w:r>
        <w:rPr>
          <w:rFonts w:hint="cs"/>
          <w:rtl/>
        </w:rPr>
        <w:t xml:space="preserve"> הזה,</w:t>
      </w:r>
      <w:bookmarkStart w:id="50675" w:name="_ETM_Q97_515990"/>
      <w:bookmarkStart w:id="50676" w:name="_ETM_Q97_516260"/>
      <w:bookmarkEnd w:id="50675"/>
      <w:bookmarkEnd w:id="50676"/>
      <w:r>
        <w:rPr>
          <w:rFonts w:hint="cs"/>
          <w:rtl/>
        </w:rPr>
        <w:t xml:space="preserve"> </w:t>
      </w:r>
      <w:bookmarkStart w:id="50677" w:name="_ETM_Q97_516800"/>
      <w:bookmarkEnd w:id="50677"/>
      <w:r>
        <w:rPr>
          <w:rFonts w:hint="cs"/>
          <w:rtl/>
        </w:rPr>
        <w:t xml:space="preserve">המכבש </w:t>
      </w:r>
      <w:bookmarkStart w:id="50678" w:name="_ETM_Q97_519600"/>
      <w:bookmarkEnd w:id="50678"/>
      <w:r>
        <w:rPr>
          <w:rFonts w:hint="cs"/>
          <w:rtl/>
        </w:rPr>
        <w:t xml:space="preserve">האדיר </w:t>
      </w:r>
      <w:bookmarkStart w:id="50679" w:name="_ETM_Q97_520200"/>
      <w:bookmarkEnd w:id="50679"/>
      <w:r>
        <w:rPr>
          <w:rFonts w:hint="cs"/>
          <w:rtl/>
        </w:rPr>
        <w:t>הזה</w:t>
      </w:r>
      <w:bookmarkStart w:id="50680" w:name="_ETM_Q97_520410"/>
      <w:bookmarkEnd w:id="50680"/>
      <w:r>
        <w:rPr>
          <w:rFonts w:hint="cs"/>
          <w:rtl/>
        </w:rPr>
        <w:t xml:space="preserve"> ששועט </w:t>
      </w:r>
      <w:bookmarkStart w:id="50681" w:name="_ETM_Q97_520890"/>
      <w:bookmarkEnd w:id="50681"/>
      <w:r>
        <w:rPr>
          <w:rFonts w:hint="cs"/>
          <w:rtl/>
        </w:rPr>
        <w:t xml:space="preserve">לעברנו, </w:t>
      </w:r>
      <w:bookmarkStart w:id="50682" w:name="_ETM_Q97_521579"/>
      <w:bookmarkEnd w:id="50682"/>
      <w:r>
        <w:rPr>
          <w:rFonts w:hint="cs"/>
          <w:rtl/>
        </w:rPr>
        <w:t xml:space="preserve">העיר </w:t>
      </w:r>
      <w:bookmarkStart w:id="50683" w:name="_ETM_Q97_522480"/>
      <w:bookmarkEnd w:id="50683"/>
      <w:r>
        <w:rPr>
          <w:rFonts w:hint="cs"/>
          <w:rtl/>
        </w:rPr>
        <w:t xml:space="preserve">והקים </w:t>
      </w:r>
      <w:bookmarkStart w:id="50684" w:name="_ETM_Q97_523110"/>
      <w:bookmarkEnd w:id="50684"/>
      <w:r>
        <w:rPr>
          <w:rFonts w:hint="cs"/>
          <w:rtl/>
        </w:rPr>
        <w:t xml:space="preserve">וגיבש </w:t>
      </w:r>
      <w:bookmarkStart w:id="50685" w:name="_ETM_Q97_524220"/>
      <w:bookmarkEnd w:id="50685"/>
      <w:r>
        <w:rPr>
          <w:rFonts w:hint="cs"/>
          <w:rtl/>
        </w:rPr>
        <w:t xml:space="preserve">ציבור </w:t>
      </w:r>
      <w:bookmarkStart w:id="50686" w:name="_ETM_Q97_524670"/>
      <w:bookmarkEnd w:id="50686"/>
      <w:r>
        <w:rPr>
          <w:rFonts w:hint="cs"/>
          <w:rtl/>
        </w:rPr>
        <w:t xml:space="preserve">ליברלי ענק, </w:t>
      </w:r>
      <w:bookmarkStart w:id="50687" w:name="_ETM_Q97_525270"/>
      <w:bookmarkStart w:id="50688" w:name="_ETM_Q97_525629"/>
      <w:bookmarkEnd w:id="50687"/>
      <w:bookmarkEnd w:id="50688"/>
      <w:r>
        <w:rPr>
          <w:rFonts w:hint="cs"/>
          <w:rtl/>
        </w:rPr>
        <w:t xml:space="preserve">שיוצא </w:t>
      </w:r>
      <w:bookmarkStart w:id="50689" w:name="_ETM_Q97_526140"/>
      <w:bookmarkEnd w:id="50689"/>
      <w:r>
        <w:rPr>
          <w:rFonts w:hint="cs"/>
          <w:rtl/>
        </w:rPr>
        <w:t xml:space="preserve">כבר </w:t>
      </w:r>
      <w:bookmarkStart w:id="50690" w:name="_ETM_Q97_526350"/>
      <w:bookmarkEnd w:id="50690"/>
      <w:r>
        <w:rPr>
          <w:rFonts w:hint="cs"/>
          <w:rtl/>
        </w:rPr>
        <w:t xml:space="preserve">30 </w:t>
      </w:r>
      <w:bookmarkStart w:id="50691" w:name="_ETM_Q97_527250"/>
      <w:bookmarkEnd w:id="50691"/>
      <w:r>
        <w:rPr>
          <w:rFonts w:hint="cs"/>
          <w:rtl/>
        </w:rPr>
        <w:t xml:space="preserve">שבועות </w:t>
      </w:r>
      <w:bookmarkStart w:id="50692" w:name="_ETM_Q97_527879"/>
      <w:bookmarkEnd w:id="50692"/>
      <w:r>
        <w:rPr>
          <w:rFonts w:hint="cs"/>
          <w:rtl/>
        </w:rPr>
        <w:t xml:space="preserve">ברצף </w:t>
      </w:r>
      <w:bookmarkStart w:id="50693" w:name="_ETM_Q97_528629"/>
      <w:bookmarkEnd w:id="50693"/>
      <w:r>
        <w:rPr>
          <w:rFonts w:hint="cs"/>
          <w:rtl/>
        </w:rPr>
        <w:t xml:space="preserve">לרחובות </w:t>
      </w:r>
      <w:bookmarkStart w:id="50694" w:name="_ETM_Q97_529350"/>
      <w:bookmarkEnd w:id="50694"/>
      <w:r>
        <w:rPr>
          <w:rFonts w:hint="cs"/>
          <w:rtl/>
        </w:rPr>
        <w:t xml:space="preserve">להיאבק </w:t>
      </w:r>
      <w:bookmarkStart w:id="50695" w:name="_ETM_Q97_530370"/>
      <w:bookmarkEnd w:id="50695"/>
      <w:r>
        <w:rPr>
          <w:rFonts w:hint="cs"/>
          <w:rtl/>
        </w:rPr>
        <w:t xml:space="preserve">על </w:t>
      </w:r>
      <w:bookmarkStart w:id="50696" w:name="_ETM_Q97_530519"/>
      <w:bookmarkEnd w:id="50696"/>
      <w:r>
        <w:rPr>
          <w:rFonts w:hint="cs"/>
          <w:rtl/>
        </w:rPr>
        <w:t xml:space="preserve">הזכויות </w:t>
      </w:r>
      <w:bookmarkStart w:id="50697" w:name="_ETM_Q97_531029"/>
      <w:bookmarkEnd w:id="50697"/>
      <w:r>
        <w:rPr>
          <w:rFonts w:hint="cs"/>
          <w:rtl/>
        </w:rPr>
        <w:t xml:space="preserve">שלו, </w:t>
      </w:r>
      <w:bookmarkStart w:id="50698" w:name="_ETM_Q97_531830"/>
      <w:bookmarkEnd w:id="50698"/>
      <w:r>
        <w:rPr>
          <w:rFonts w:hint="cs"/>
          <w:rtl/>
        </w:rPr>
        <w:t xml:space="preserve">על </w:t>
      </w:r>
      <w:bookmarkStart w:id="50699" w:name="_ETM_Q97_532010"/>
      <w:bookmarkEnd w:id="50699"/>
      <w:r>
        <w:rPr>
          <w:rFonts w:hint="cs"/>
          <w:rtl/>
        </w:rPr>
        <w:t>החירות</w:t>
      </w:r>
      <w:bookmarkStart w:id="50700" w:name="_ETM_Q97_532490"/>
      <w:bookmarkEnd w:id="50700"/>
      <w:r>
        <w:rPr>
          <w:rFonts w:hint="cs"/>
          <w:rtl/>
        </w:rPr>
        <w:t xml:space="preserve"> שלו, </w:t>
      </w:r>
      <w:bookmarkStart w:id="50701" w:name="_ETM_Q97_533210"/>
      <w:bookmarkEnd w:id="50701"/>
      <w:r>
        <w:rPr>
          <w:rFonts w:hint="cs"/>
          <w:rtl/>
        </w:rPr>
        <w:t xml:space="preserve">על </w:t>
      </w:r>
      <w:bookmarkStart w:id="50702" w:name="_ETM_Q97_533390"/>
      <w:bookmarkEnd w:id="50702"/>
      <w:r>
        <w:rPr>
          <w:rFonts w:hint="cs"/>
          <w:rtl/>
        </w:rPr>
        <w:t xml:space="preserve">העתיד </w:t>
      </w:r>
      <w:bookmarkStart w:id="50703" w:name="_ETM_Q97_533779"/>
      <w:bookmarkEnd w:id="50703"/>
      <w:r>
        <w:rPr>
          <w:rFonts w:hint="cs"/>
          <w:rtl/>
        </w:rPr>
        <w:t xml:space="preserve">שלו, </w:t>
      </w:r>
      <w:bookmarkStart w:id="50704" w:name="_ETM_Q97_534660"/>
      <w:bookmarkEnd w:id="50704"/>
      <w:r>
        <w:rPr>
          <w:rFonts w:hint="cs"/>
          <w:rtl/>
        </w:rPr>
        <w:t xml:space="preserve">על </w:t>
      </w:r>
      <w:bookmarkStart w:id="50705" w:name="_ETM_Q97_534809"/>
      <w:bookmarkEnd w:id="50705"/>
      <w:r>
        <w:rPr>
          <w:rFonts w:hint="cs"/>
          <w:rtl/>
        </w:rPr>
        <w:t xml:space="preserve">הדמוקרטיה </w:t>
      </w:r>
      <w:bookmarkStart w:id="50706" w:name="_ETM_Q97_535589"/>
      <w:bookmarkEnd w:id="50706"/>
      <w:r>
        <w:rPr>
          <w:rFonts w:hint="cs"/>
          <w:rtl/>
        </w:rPr>
        <w:t xml:space="preserve">שלו, </w:t>
      </w:r>
      <w:bookmarkStart w:id="50707" w:name="_ETM_Q97_535980"/>
      <w:bookmarkEnd w:id="50707"/>
      <w:r>
        <w:rPr>
          <w:rFonts w:hint="cs"/>
          <w:rtl/>
        </w:rPr>
        <w:t xml:space="preserve">שלנו. </w:t>
      </w:r>
      <w:bookmarkStart w:id="50708" w:name="_ETM_Q97_537290"/>
      <w:bookmarkEnd w:id="50708"/>
      <w:r>
        <w:rPr>
          <w:rFonts w:hint="cs"/>
          <w:rtl/>
        </w:rPr>
        <w:t xml:space="preserve">המחאה </w:t>
      </w:r>
      <w:bookmarkStart w:id="50709" w:name="_ETM_Q97_537829"/>
      <w:bookmarkEnd w:id="50709"/>
      <w:r>
        <w:rPr>
          <w:rFonts w:hint="cs"/>
          <w:rtl/>
        </w:rPr>
        <w:t xml:space="preserve">הזו, </w:t>
      </w:r>
      <w:bookmarkStart w:id="50710" w:name="_ETM_Q97_538310"/>
      <w:bookmarkEnd w:id="50710"/>
      <w:r>
        <w:rPr>
          <w:rFonts w:hint="cs"/>
          <w:rtl/>
        </w:rPr>
        <w:t xml:space="preserve">שהיא </w:t>
      </w:r>
      <w:bookmarkStart w:id="50711" w:name="_ETM_Q97_538550"/>
      <w:bookmarkEnd w:id="50711"/>
      <w:r>
        <w:rPr>
          <w:rFonts w:hint="cs"/>
          <w:rtl/>
        </w:rPr>
        <w:t xml:space="preserve">הגדולה </w:t>
      </w:r>
      <w:bookmarkStart w:id="50712" w:name="_ETM_Q97_539150"/>
      <w:bookmarkEnd w:id="50712"/>
      <w:r>
        <w:rPr>
          <w:rFonts w:hint="cs"/>
          <w:rtl/>
        </w:rPr>
        <w:t xml:space="preserve">והמרשימה </w:t>
      </w:r>
      <w:bookmarkStart w:id="50713" w:name="_ETM_Q97_540050"/>
      <w:bookmarkEnd w:id="50713"/>
      <w:r>
        <w:rPr>
          <w:rFonts w:hint="cs"/>
          <w:rtl/>
        </w:rPr>
        <w:t xml:space="preserve">ביותר </w:t>
      </w:r>
      <w:bookmarkStart w:id="50714" w:name="_ETM_Q97_540560"/>
      <w:bookmarkEnd w:id="50714"/>
      <w:r>
        <w:rPr>
          <w:rFonts w:hint="cs"/>
          <w:rtl/>
        </w:rPr>
        <w:t xml:space="preserve">שנראתה </w:t>
      </w:r>
      <w:bookmarkStart w:id="50715" w:name="_ETM_Q97_541130"/>
      <w:bookmarkEnd w:id="50715"/>
      <w:r>
        <w:rPr>
          <w:rFonts w:hint="cs"/>
          <w:rtl/>
        </w:rPr>
        <w:t xml:space="preserve">בתולדות </w:t>
      </w:r>
      <w:bookmarkStart w:id="50716" w:name="_ETM_Q97_541610"/>
      <w:bookmarkEnd w:id="50716"/>
      <w:r>
        <w:rPr>
          <w:rFonts w:hint="cs"/>
          <w:rtl/>
        </w:rPr>
        <w:t xml:space="preserve">המדינה, </w:t>
      </w:r>
      <w:bookmarkStart w:id="50717" w:name="_ETM_Q97_542810"/>
      <w:bookmarkEnd w:id="50717"/>
      <w:r>
        <w:rPr>
          <w:rFonts w:hint="cs"/>
          <w:rtl/>
        </w:rPr>
        <w:t xml:space="preserve">היא </w:t>
      </w:r>
      <w:bookmarkStart w:id="50718" w:name="_ETM_Q97_542960"/>
      <w:bookmarkEnd w:id="50718"/>
      <w:r>
        <w:rPr>
          <w:rFonts w:hint="cs"/>
          <w:rtl/>
        </w:rPr>
        <w:t xml:space="preserve">מופת </w:t>
      </w:r>
      <w:bookmarkStart w:id="50719" w:name="_ETM_Q97_543920"/>
      <w:bookmarkEnd w:id="50719"/>
      <w:r>
        <w:rPr>
          <w:rFonts w:hint="cs"/>
          <w:rtl/>
        </w:rPr>
        <w:t xml:space="preserve">למחאה </w:t>
      </w:r>
      <w:bookmarkStart w:id="50720" w:name="_ETM_Q97_544610"/>
      <w:bookmarkEnd w:id="50720"/>
      <w:r>
        <w:rPr>
          <w:rFonts w:hint="cs"/>
          <w:rtl/>
        </w:rPr>
        <w:t xml:space="preserve">עממית </w:t>
      </w:r>
      <w:bookmarkStart w:id="50721" w:name="_ETM_Q97_545120"/>
      <w:bookmarkEnd w:id="50721"/>
      <w:r>
        <w:rPr>
          <w:rFonts w:hint="cs"/>
          <w:rtl/>
        </w:rPr>
        <w:t xml:space="preserve">בלתי </w:t>
      </w:r>
      <w:bookmarkStart w:id="50722" w:name="_ETM_Q97_545630"/>
      <w:bookmarkEnd w:id="50722"/>
      <w:r>
        <w:rPr>
          <w:rFonts w:hint="cs"/>
          <w:rtl/>
        </w:rPr>
        <w:t xml:space="preserve">אלימה. </w:t>
      </w:r>
      <w:bookmarkStart w:id="50723" w:name="_ETM_Q97_546870"/>
      <w:bookmarkEnd w:id="50723"/>
      <w:r>
        <w:rPr>
          <w:rFonts w:hint="cs"/>
          <w:rtl/>
        </w:rPr>
        <w:t xml:space="preserve">ואני </w:t>
      </w:r>
      <w:bookmarkStart w:id="50724" w:name="_ETM_Q97_547230"/>
      <w:bookmarkEnd w:id="50724"/>
      <w:r>
        <w:rPr>
          <w:rFonts w:hint="cs"/>
          <w:rtl/>
        </w:rPr>
        <w:t xml:space="preserve">חושב </w:t>
      </w:r>
      <w:bookmarkStart w:id="50725" w:name="_ETM_Q97_547770"/>
      <w:bookmarkEnd w:id="50725"/>
      <w:r>
        <w:rPr>
          <w:rFonts w:hint="cs"/>
          <w:rtl/>
        </w:rPr>
        <w:t xml:space="preserve">שנקודת </w:t>
      </w:r>
      <w:bookmarkStart w:id="50726" w:name="_ETM_Q97_548400"/>
      <w:bookmarkEnd w:id="50726"/>
      <w:r>
        <w:rPr>
          <w:rFonts w:hint="cs"/>
          <w:rtl/>
        </w:rPr>
        <w:t xml:space="preserve">השיא </w:t>
      </w:r>
      <w:bookmarkStart w:id="50727" w:name="_ETM_Q97_549240"/>
      <w:bookmarkEnd w:id="50727"/>
      <w:r>
        <w:rPr>
          <w:rFonts w:hint="cs"/>
          <w:rtl/>
        </w:rPr>
        <w:t xml:space="preserve">הייתה </w:t>
      </w:r>
      <w:bookmarkStart w:id="50728" w:name="_ETM_Q97_549660"/>
      <w:bookmarkEnd w:id="50728"/>
      <w:r>
        <w:rPr>
          <w:rFonts w:hint="cs"/>
          <w:rtl/>
        </w:rPr>
        <w:t xml:space="preserve">בצעדה </w:t>
      </w:r>
      <w:bookmarkStart w:id="50729" w:name="_ETM_Q97_550320"/>
      <w:bookmarkEnd w:id="50729"/>
      <w:r>
        <w:rPr>
          <w:rFonts w:hint="cs"/>
          <w:rtl/>
        </w:rPr>
        <w:t xml:space="preserve">של </w:t>
      </w:r>
      <w:bookmarkStart w:id="50730" w:name="_ETM_Q97_550529"/>
      <w:bookmarkEnd w:id="50730"/>
      <w:r>
        <w:rPr>
          <w:rFonts w:hint="cs"/>
          <w:rtl/>
        </w:rPr>
        <w:t xml:space="preserve">עשרות </w:t>
      </w:r>
      <w:bookmarkStart w:id="50731" w:name="_ETM_Q97_550950"/>
      <w:bookmarkEnd w:id="50731"/>
      <w:r>
        <w:rPr>
          <w:rFonts w:hint="cs"/>
          <w:rtl/>
        </w:rPr>
        <w:t xml:space="preserve">אלפי </w:t>
      </w:r>
      <w:bookmarkStart w:id="50732" w:name="_ETM_Q97_551340"/>
      <w:bookmarkEnd w:id="50732"/>
      <w:r>
        <w:rPr>
          <w:rFonts w:hint="cs"/>
          <w:rtl/>
        </w:rPr>
        <w:t xml:space="preserve">ישראלים </w:t>
      </w:r>
      <w:bookmarkStart w:id="50733" w:name="_ETM_Q97_551880"/>
      <w:bookmarkEnd w:id="50733"/>
      <w:r>
        <w:rPr>
          <w:rFonts w:hint="cs"/>
          <w:rtl/>
        </w:rPr>
        <w:t xml:space="preserve">מכל </w:t>
      </w:r>
      <w:bookmarkStart w:id="50734" w:name="_ETM_Q97_552240"/>
      <w:bookmarkEnd w:id="50734"/>
      <w:r>
        <w:rPr>
          <w:rFonts w:hint="cs"/>
          <w:rtl/>
        </w:rPr>
        <w:t xml:space="preserve">רחבי </w:t>
      </w:r>
      <w:bookmarkStart w:id="50735" w:name="_ETM_Q97_552630"/>
      <w:bookmarkEnd w:id="50735"/>
      <w:r>
        <w:rPr>
          <w:rFonts w:hint="cs"/>
          <w:rtl/>
        </w:rPr>
        <w:t xml:space="preserve">המדינה, </w:t>
      </w:r>
      <w:bookmarkStart w:id="50736" w:name="_ETM_Q97_553110"/>
      <w:bookmarkEnd w:id="50736"/>
      <w:r>
        <w:rPr>
          <w:rFonts w:hint="cs"/>
          <w:rtl/>
        </w:rPr>
        <w:t xml:space="preserve">בכל </w:t>
      </w:r>
      <w:bookmarkStart w:id="50737" w:name="_ETM_Q97_553500"/>
      <w:bookmarkEnd w:id="50737"/>
      <w:r>
        <w:rPr>
          <w:rFonts w:hint="cs"/>
          <w:rtl/>
        </w:rPr>
        <w:t xml:space="preserve">הגילאים, </w:t>
      </w:r>
      <w:bookmarkStart w:id="50738" w:name="_ETM_Q97_554010"/>
      <w:bookmarkEnd w:id="50738"/>
      <w:r>
        <w:rPr>
          <w:rFonts w:hint="cs"/>
          <w:rtl/>
        </w:rPr>
        <w:t xml:space="preserve">מכל </w:t>
      </w:r>
      <w:bookmarkStart w:id="50739" w:name="_ETM_Q97_554460"/>
      <w:bookmarkEnd w:id="50739"/>
      <w:r>
        <w:rPr>
          <w:rFonts w:hint="cs"/>
          <w:rtl/>
        </w:rPr>
        <w:t xml:space="preserve">הרקעים, </w:t>
      </w:r>
      <w:bookmarkStart w:id="50740" w:name="_ETM_Q97_555700"/>
      <w:bookmarkEnd w:id="50740"/>
      <w:r>
        <w:rPr>
          <w:rFonts w:hint="cs"/>
          <w:rtl/>
        </w:rPr>
        <w:t xml:space="preserve">כל </w:t>
      </w:r>
      <w:bookmarkStart w:id="50741" w:name="_ETM_Q97_556029"/>
      <w:bookmarkEnd w:id="50741"/>
      <w:r>
        <w:rPr>
          <w:rFonts w:hint="cs"/>
          <w:rtl/>
        </w:rPr>
        <w:t xml:space="preserve">האמונות, </w:t>
      </w:r>
      <w:bookmarkStart w:id="50742" w:name="_ETM_Q97_556630"/>
      <w:bookmarkEnd w:id="50742"/>
      <w:r>
        <w:rPr>
          <w:rFonts w:hint="cs"/>
          <w:rtl/>
        </w:rPr>
        <w:t xml:space="preserve">בדרך </w:t>
      </w:r>
      <w:bookmarkStart w:id="50743" w:name="_ETM_Q97_557200"/>
      <w:bookmarkEnd w:id="50743"/>
      <w:r>
        <w:rPr>
          <w:rFonts w:hint="cs"/>
          <w:rtl/>
        </w:rPr>
        <w:t xml:space="preserve">לירושלים, </w:t>
      </w:r>
      <w:bookmarkStart w:id="50744" w:name="_ETM_Q97_558339"/>
      <w:bookmarkEnd w:id="50744"/>
      <w:r>
        <w:rPr>
          <w:rFonts w:hint="cs"/>
          <w:rtl/>
        </w:rPr>
        <w:t xml:space="preserve">בחום </w:t>
      </w:r>
      <w:bookmarkStart w:id="50745" w:name="_ETM_Q97_558880"/>
      <w:bookmarkEnd w:id="50745"/>
      <w:r>
        <w:rPr>
          <w:rFonts w:hint="cs"/>
          <w:rtl/>
        </w:rPr>
        <w:t xml:space="preserve">כבד </w:t>
      </w:r>
      <w:bookmarkStart w:id="50746" w:name="_ETM_Q97_559779"/>
      <w:bookmarkEnd w:id="50746"/>
      <w:r>
        <w:rPr>
          <w:rFonts w:hint="cs"/>
          <w:rtl/>
        </w:rPr>
        <w:t xml:space="preserve">אבל </w:t>
      </w:r>
      <w:bookmarkStart w:id="50747" w:name="_ETM_Q97_560110"/>
      <w:bookmarkEnd w:id="50747"/>
      <w:r>
        <w:rPr>
          <w:rFonts w:hint="cs"/>
          <w:rtl/>
        </w:rPr>
        <w:t xml:space="preserve">בתחושת </w:t>
      </w:r>
      <w:bookmarkStart w:id="50748" w:name="_ETM_Q97_560830"/>
      <w:bookmarkEnd w:id="50748"/>
      <w:r>
        <w:rPr>
          <w:rFonts w:hint="cs"/>
          <w:rtl/>
        </w:rPr>
        <w:t xml:space="preserve">שליחות </w:t>
      </w:r>
      <w:bookmarkStart w:id="50749" w:name="_ETM_Q97_561310"/>
      <w:bookmarkEnd w:id="50749"/>
      <w:r>
        <w:rPr>
          <w:rFonts w:hint="cs"/>
          <w:rtl/>
        </w:rPr>
        <w:t xml:space="preserve">אדירה </w:t>
      </w:r>
      <w:bookmarkStart w:id="50750" w:name="_ETM_Q97_562360"/>
      <w:bookmarkEnd w:id="50750"/>
      <w:r>
        <w:rPr>
          <w:rFonts w:hint="cs"/>
          <w:rtl/>
        </w:rPr>
        <w:t xml:space="preserve">של </w:t>
      </w:r>
      <w:bookmarkStart w:id="50751" w:name="_ETM_Q97_563020"/>
      <w:bookmarkEnd w:id="50751"/>
      <w:r>
        <w:rPr>
          <w:rFonts w:hint="cs"/>
          <w:rtl/>
        </w:rPr>
        <w:t xml:space="preserve">הבנה </w:t>
      </w:r>
      <w:bookmarkStart w:id="50752" w:name="_ETM_Q97_563500"/>
      <w:bookmarkEnd w:id="50752"/>
      <w:r>
        <w:rPr>
          <w:rFonts w:hint="cs"/>
          <w:rtl/>
        </w:rPr>
        <w:t xml:space="preserve">מזוקקת </w:t>
      </w:r>
      <w:bookmarkStart w:id="50753" w:name="_ETM_Q97_564190"/>
      <w:bookmarkEnd w:id="50753"/>
      <w:r>
        <w:rPr>
          <w:rFonts w:hint="cs"/>
          <w:rtl/>
        </w:rPr>
        <w:t xml:space="preserve">של </w:t>
      </w:r>
      <w:bookmarkStart w:id="50754" w:name="_ETM_Q97_564370"/>
      <w:bookmarkEnd w:id="50754"/>
      <w:r>
        <w:rPr>
          <w:rFonts w:hint="cs"/>
          <w:rtl/>
        </w:rPr>
        <w:t xml:space="preserve">כובד </w:t>
      </w:r>
      <w:bookmarkStart w:id="50755" w:name="_ETM_Q97_564880"/>
      <w:bookmarkEnd w:id="50755"/>
      <w:r>
        <w:rPr>
          <w:rFonts w:hint="cs"/>
          <w:rtl/>
        </w:rPr>
        <w:t xml:space="preserve">המשימה </w:t>
      </w:r>
      <w:bookmarkStart w:id="50756" w:name="_ETM_Q97_566060"/>
      <w:bookmarkEnd w:id="50756"/>
      <w:r>
        <w:rPr>
          <w:rFonts w:hint="cs"/>
          <w:rtl/>
        </w:rPr>
        <w:t xml:space="preserve">ושל </w:t>
      </w:r>
      <w:bookmarkStart w:id="50757" w:name="_ETM_Q97_566300"/>
      <w:bookmarkEnd w:id="50757"/>
      <w:r>
        <w:rPr>
          <w:rFonts w:hint="cs"/>
          <w:rtl/>
        </w:rPr>
        <w:t xml:space="preserve">חשיבות </w:t>
      </w:r>
      <w:bookmarkStart w:id="50758" w:name="_ETM_Q97_566870"/>
      <w:bookmarkEnd w:id="50758"/>
      <w:r>
        <w:rPr>
          <w:rFonts w:hint="cs"/>
          <w:rtl/>
        </w:rPr>
        <w:t xml:space="preserve">הרגע </w:t>
      </w:r>
      <w:bookmarkStart w:id="50759" w:name="_ETM_Q97_567260"/>
      <w:bookmarkEnd w:id="50759"/>
      <w:r>
        <w:rPr>
          <w:rFonts w:hint="cs"/>
          <w:rtl/>
        </w:rPr>
        <w:t xml:space="preserve">הזה </w:t>
      </w:r>
      <w:bookmarkStart w:id="50760" w:name="_ETM_Q97_567560"/>
      <w:bookmarkEnd w:id="50760"/>
      <w:r>
        <w:rPr>
          <w:rFonts w:hint="cs"/>
          <w:rtl/>
        </w:rPr>
        <w:t xml:space="preserve">בהיסטוריה </w:t>
      </w:r>
      <w:bookmarkStart w:id="50761" w:name="_ETM_Q97_568279"/>
      <w:bookmarkEnd w:id="50761"/>
      <w:r>
        <w:rPr>
          <w:rFonts w:hint="cs"/>
          <w:rtl/>
        </w:rPr>
        <w:t xml:space="preserve">של </w:t>
      </w:r>
      <w:bookmarkStart w:id="50762" w:name="_ETM_Q97_568550"/>
      <w:bookmarkEnd w:id="50762"/>
      <w:r>
        <w:rPr>
          <w:rFonts w:hint="cs"/>
          <w:rtl/>
        </w:rPr>
        <w:t xml:space="preserve">העם </w:t>
      </w:r>
      <w:bookmarkStart w:id="50763" w:name="_ETM_Q97_568940"/>
      <w:bookmarkEnd w:id="50763"/>
      <w:r>
        <w:rPr>
          <w:rFonts w:hint="cs"/>
          <w:rtl/>
        </w:rPr>
        <w:t>היהודי</w:t>
      </w:r>
      <w:bookmarkStart w:id="50764" w:name="_ETM_Q97_569950"/>
      <w:bookmarkEnd w:id="50764"/>
      <w:r>
        <w:rPr>
          <w:rFonts w:hint="cs"/>
          <w:rtl/>
        </w:rPr>
        <w:t xml:space="preserve">, </w:t>
      </w:r>
      <w:bookmarkStart w:id="50765" w:name="_ETM_Q97_566000"/>
      <w:bookmarkEnd w:id="50765"/>
      <w:r>
        <w:rPr>
          <w:rFonts w:hint="cs"/>
          <w:rtl/>
        </w:rPr>
        <w:t xml:space="preserve">של </w:t>
      </w:r>
      <w:bookmarkStart w:id="50766" w:name="_ETM_Q97_570189"/>
      <w:bookmarkEnd w:id="50766"/>
      <w:r>
        <w:rPr>
          <w:rFonts w:hint="cs"/>
          <w:rtl/>
        </w:rPr>
        <w:t xml:space="preserve">מדינת </w:t>
      </w:r>
      <w:bookmarkStart w:id="50767" w:name="_ETM_Q97_570700"/>
      <w:bookmarkEnd w:id="50767"/>
      <w:r>
        <w:rPr>
          <w:rFonts w:hint="cs"/>
          <w:rtl/>
        </w:rPr>
        <w:t>ישראל</w:t>
      </w:r>
      <w:bookmarkStart w:id="50768" w:name="_ETM_Q97_572000"/>
      <w:bookmarkStart w:id="50769" w:name="_ETM_Q97_571900"/>
      <w:bookmarkEnd w:id="50768"/>
      <w:bookmarkEnd w:id="50769"/>
      <w:r w:rsidR="00B41626">
        <w:rPr>
          <w:rFonts w:hint="cs"/>
          <w:rtl/>
        </w:rPr>
        <w:t xml:space="preserve">, </w:t>
      </w:r>
      <w:r>
        <w:rPr>
          <w:rFonts w:hint="cs"/>
          <w:rtl/>
        </w:rPr>
        <w:t xml:space="preserve"> </w:t>
      </w:r>
      <w:bookmarkStart w:id="50770" w:name="_ETM_Q0_57996049"/>
      <w:bookmarkStart w:id="50771" w:name="_ETM_Q0_57996131"/>
      <w:bookmarkStart w:id="50772" w:name="_ETM_Q0_57996228"/>
      <w:bookmarkStart w:id="50773" w:name="_ETM_Q0_57996299"/>
      <w:bookmarkEnd w:id="50770"/>
      <w:bookmarkEnd w:id="50771"/>
      <w:bookmarkEnd w:id="50772"/>
      <w:bookmarkEnd w:id="50773"/>
      <w:r w:rsidR="00B41626">
        <w:rPr>
          <w:rFonts w:hint="cs"/>
          <w:rtl/>
        </w:rPr>
        <w:t xml:space="preserve"> </w:t>
      </w:r>
      <w:r>
        <w:rPr>
          <w:rFonts w:hint="cs"/>
          <w:rtl/>
        </w:rPr>
        <w:t xml:space="preserve">ימים </w:t>
      </w:r>
      <w:bookmarkStart w:id="50774" w:name="_ETM_Q97_572290"/>
      <w:bookmarkEnd w:id="50774"/>
      <w:r>
        <w:rPr>
          <w:rFonts w:hint="cs"/>
          <w:rtl/>
        </w:rPr>
        <w:t xml:space="preserve">ספורים </w:t>
      </w:r>
      <w:bookmarkStart w:id="50775" w:name="_ETM_Q97_573339"/>
      <w:bookmarkEnd w:id="50775"/>
      <w:r>
        <w:rPr>
          <w:rFonts w:hint="cs"/>
          <w:rtl/>
        </w:rPr>
        <w:t>לפני</w:t>
      </w:r>
      <w:bookmarkStart w:id="50776" w:name="_ETM_Q97_573700"/>
      <w:bookmarkEnd w:id="50776"/>
      <w:r>
        <w:rPr>
          <w:rFonts w:hint="cs"/>
          <w:rtl/>
        </w:rPr>
        <w:t xml:space="preserve"> תשעה </w:t>
      </w:r>
      <w:bookmarkStart w:id="50777" w:name="_ETM_Q97_574149"/>
      <w:bookmarkEnd w:id="50777"/>
      <w:r>
        <w:rPr>
          <w:rFonts w:hint="cs"/>
          <w:rtl/>
        </w:rPr>
        <w:t xml:space="preserve">באב, </w:t>
      </w:r>
      <w:bookmarkStart w:id="50778" w:name="_ETM_Q97_575609"/>
      <w:bookmarkEnd w:id="50778"/>
      <w:r>
        <w:rPr>
          <w:rFonts w:hint="cs"/>
          <w:rtl/>
        </w:rPr>
        <w:t xml:space="preserve">לפני חורבן </w:t>
      </w:r>
      <w:bookmarkStart w:id="50779" w:name="_ETM_Q97_576240"/>
      <w:bookmarkEnd w:id="50779"/>
      <w:r>
        <w:rPr>
          <w:rFonts w:hint="cs"/>
          <w:rtl/>
        </w:rPr>
        <w:t xml:space="preserve">הבית. </w:t>
      </w:r>
      <w:bookmarkStart w:id="50780" w:name="_ETM_Q97_579119"/>
      <w:bookmarkEnd w:id="50780"/>
    </w:p>
    <w:p w:rsidR="00BB59CD" w:rsidRDefault="00BB59CD" w:rsidP="00BB59CD">
      <w:pPr>
        <w:rPr>
          <w:rtl/>
        </w:rPr>
      </w:pPr>
    </w:p>
    <w:p w:rsidR="00BB59CD" w:rsidRDefault="00BB59CD" w:rsidP="00B41626">
      <w:pPr>
        <w:rPr>
          <w:rtl/>
        </w:rPr>
      </w:pPr>
      <w:bookmarkStart w:id="50781" w:name="_ETM_Q97_579000"/>
      <w:bookmarkEnd w:id="50781"/>
      <w:r>
        <w:rPr>
          <w:rFonts w:hint="cs"/>
          <w:rtl/>
        </w:rPr>
        <w:t xml:space="preserve">אני </w:t>
      </w:r>
      <w:bookmarkStart w:id="50782" w:name="_ETM_Q97_580759"/>
      <w:bookmarkEnd w:id="50782"/>
      <w:r>
        <w:rPr>
          <w:rFonts w:hint="cs"/>
          <w:rtl/>
        </w:rPr>
        <w:t xml:space="preserve">רוצה </w:t>
      </w:r>
      <w:bookmarkStart w:id="50783" w:name="_ETM_Q97_581569"/>
      <w:bookmarkEnd w:id="50783"/>
      <w:r>
        <w:rPr>
          <w:rFonts w:hint="cs"/>
          <w:rtl/>
        </w:rPr>
        <w:t xml:space="preserve">להקדיש </w:t>
      </w:r>
      <w:bookmarkStart w:id="50784" w:name="_ETM_Q97_582289"/>
      <w:bookmarkStart w:id="50785" w:name="_ETM_Q97_583509"/>
      <w:bookmarkEnd w:id="50784"/>
      <w:bookmarkEnd w:id="50785"/>
      <w:r>
        <w:rPr>
          <w:rFonts w:hint="cs"/>
          <w:rtl/>
        </w:rPr>
        <w:t xml:space="preserve">מילים </w:t>
      </w:r>
      <w:bookmarkStart w:id="50786" w:name="_ETM_Q97_584810"/>
      <w:bookmarkEnd w:id="50786"/>
      <w:r>
        <w:rPr>
          <w:rFonts w:hint="cs"/>
          <w:rtl/>
        </w:rPr>
        <w:t>מספר ל</w:t>
      </w:r>
      <w:bookmarkStart w:id="50787" w:name="_ETM_Q97_585990"/>
      <w:bookmarkEnd w:id="50787"/>
      <w:r>
        <w:rPr>
          <w:rFonts w:hint="cs"/>
          <w:rtl/>
        </w:rPr>
        <w:t xml:space="preserve">משבר </w:t>
      </w:r>
      <w:bookmarkStart w:id="50788" w:name="_ETM_Q97_586439"/>
      <w:bookmarkEnd w:id="50788"/>
      <w:r>
        <w:rPr>
          <w:rFonts w:hint="cs"/>
          <w:rtl/>
        </w:rPr>
        <w:t xml:space="preserve">האקלים, </w:t>
      </w:r>
      <w:bookmarkStart w:id="50789" w:name="_ETM_Q97_587690"/>
      <w:bookmarkEnd w:id="50789"/>
      <w:r>
        <w:rPr>
          <w:rFonts w:hint="cs"/>
          <w:rtl/>
        </w:rPr>
        <w:t>שהוא</w:t>
      </w:r>
      <w:bookmarkStart w:id="50790" w:name="_ETM_Q97_588380"/>
      <w:bookmarkEnd w:id="50790"/>
      <w:r>
        <w:rPr>
          <w:rFonts w:hint="cs"/>
          <w:rtl/>
        </w:rPr>
        <w:t xml:space="preserve"> אחד </w:t>
      </w:r>
      <w:bookmarkStart w:id="50791" w:name="_ETM_Q97_588680"/>
      <w:bookmarkEnd w:id="50791"/>
      <w:r>
        <w:rPr>
          <w:rFonts w:hint="cs"/>
          <w:rtl/>
        </w:rPr>
        <w:t>מהאתגרים</w:t>
      </w:r>
      <w:bookmarkStart w:id="50792" w:name="_ETM_Q97_589220"/>
      <w:bookmarkEnd w:id="50792"/>
      <w:r>
        <w:rPr>
          <w:rFonts w:hint="cs"/>
          <w:rtl/>
        </w:rPr>
        <w:t xml:space="preserve">, בעיניי, </w:t>
      </w:r>
      <w:bookmarkStart w:id="50793" w:name="_ETM_Q97_589550"/>
      <w:bookmarkEnd w:id="50793"/>
      <w:r>
        <w:rPr>
          <w:rFonts w:hint="cs"/>
          <w:rtl/>
        </w:rPr>
        <w:t xml:space="preserve">הכי </w:t>
      </w:r>
      <w:bookmarkStart w:id="50794" w:name="_ETM_Q97_589730"/>
      <w:bookmarkEnd w:id="50794"/>
      <w:r>
        <w:rPr>
          <w:rFonts w:hint="cs"/>
          <w:rtl/>
        </w:rPr>
        <w:t xml:space="preserve">גדולים </w:t>
      </w:r>
      <w:bookmarkStart w:id="50795" w:name="_ETM_Q97_590600"/>
      <w:bookmarkEnd w:id="50795"/>
      <w:r>
        <w:rPr>
          <w:rFonts w:hint="cs"/>
          <w:rtl/>
        </w:rPr>
        <w:t xml:space="preserve">שניצבים </w:t>
      </w:r>
      <w:bookmarkStart w:id="50796" w:name="_ETM_Q97_591230"/>
      <w:bookmarkEnd w:id="50796"/>
      <w:r>
        <w:rPr>
          <w:rFonts w:hint="cs"/>
          <w:rtl/>
        </w:rPr>
        <w:t xml:space="preserve">בפני </w:t>
      </w:r>
      <w:bookmarkStart w:id="50797" w:name="_ETM_Q97_593369"/>
      <w:bookmarkEnd w:id="50797"/>
      <w:r>
        <w:rPr>
          <w:rFonts w:hint="cs"/>
          <w:rtl/>
        </w:rPr>
        <w:t xml:space="preserve">הדור </w:t>
      </w:r>
      <w:bookmarkStart w:id="50798" w:name="_ETM_Q97_593729"/>
      <w:bookmarkEnd w:id="50798"/>
      <w:r>
        <w:rPr>
          <w:rFonts w:hint="cs"/>
          <w:rtl/>
        </w:rPr>
        <w:t xml:space="preserve">שלי, </w:t>
      </w:r>
      <w:bookmarkStart w:id="50799" w:name="_ETM_Q97_594450"/>
      <w:bookmarkEnd w:id="50799"/>
      <w:r>
        <w:rPr>
          <w:rFonts w:hint="cs"/>
          <w:rtl/>
        </w:rPr>
        <w:t xml:space="preserve">בפני </w:t>
      </w:r>
      <w:bookmarkStart w:id="50800" w:name="_ETM_Q97_596139"/>
      <w:bookmarkEnd w:id="50800"/>
      <w:r>
        <w:rPr>
          <w:rFonts w:hint="cs"/>
          <w:rtl/>
        </w:rPr>
        <w:t xml:space="preserve">מדינות </w:t>
      </w:r>
      <w:bookmarkStart w:id="50801" w:name="_ETM_Q97_596619"/>
      <w:bookmarkEnd w:id="50801"/>
      <w:r>
        <w:rPr>
          <w:rFonts w:hint="cs"/>
          <w:rtl/>
        </w:rPr>
        <w:t xml:space="preserve">העולם </w:t>
      </w:r>
      <w:bookmarkStart w:id="50802" w:name="_ETM_Q97_597130"/>
      <w:bookmarkEnd w:id="50802"/>
      <w:r>
        <w:rPr>
          <w:rFonts w:hint="cs"/>
          <w:rtl/>
        </w:rPr>
        <w:t xml:space="preserve">וגם </w:t>
      </w:r>
      <w:bookmarkStart w:id="50803" w:name="_ETM_Q97_597429"/>
      <w:bookmarkEnd w:id="50803"/>
      <w:r>
        <w:rPr>
          <w:rFonts w:hint="cs"/>
          <w:rtl/>
        </w:rPr>
        <w:t xml:space="preserve">בפני </w:t>
      </w:r>
      <w:bookmarkStart w:id="50804" w:name="_ETM_Q97_597700"/>
      <w:bookmarkEnd w:id="50804"/>
      <w:r>
        <w:rPr>
          <w:rFonts w:hint="cs"/>
          <w:rtl/>
        </w:rPr>
        <w:t xml:space="preserve">מדינת </w:t>
      </w:r>
      <w:bookmarkStart w:id="50805" w:name="_ETM_Q97_598149"/>
      <w:bookmarkEnd w:id="50805"/>
      <w:r>
        <w:rPr>
          <w:rFonts w:hint="cs"/>
          <w:rtl/>
        </w:rPr>
        <w:t xml:space="preserve">ישראל. </w:t>
      </w:r>
      <w:bookmarkStart w:id="50806" w:name="_ETM_Q97_599560"/>
      <w:bookmarkEnd w:id="50806"/>
      <w:r>
        <w:rPr>
          <w:rFonts w:hint="cs"/>
          <w:rtl/>
        </w:rPr>
        <w:t xml:space="preserve">חברי </w:t>
      </w:r>
      <w:bookmarkStart w:id="50807" w:name="_ETM_Q97_599950"/>
      <w:bookmarkEnd w:id="50807"/>
      <w:r>
        <w:rPr>
          <w:rFonts w:hint="cs"/>
          <w:rtl/>
        </w:rPr>
        <w:t xml:space="preserve">הכנסת, </w:t>
      </w:r>
      <w:bookmarkStart w:id="50808" w:name="_ETM_Q97_600459"/>
      <w:bookmarkEnd w:id="50808"/>
      <w:r>
        <w:rPr>
          <w:rFonts w:hint="cs"/>
          <w:rtl/>
        </w:rPr>
        <w:t xml:space="preserve">בשבוע </w:t>
      </w:r>
      <w:bookmarkStart w:id="50809" w:name="_ETM_Q97_600909"/>
      <w:bookmarkEnd w:id="50809"/>
      <w:r>
        <w:rPr>
          <w:rFonts w:hint="cs"/>
          <w:rtl/>
        </w:rPr>
        <w:t xml:space="preserve">שעבר </w:t>
      </w:r>
      <w:bookmarkStart w:id="50810" w:name="_ETM_Q97_601270"/>
      <w:bookmarkEnd w:id="50810"/>
      <w:r>
        <w:rPr>
          <w:rFonts w:hint="cs"/>
          <w:rtl/>
        </w:rPr>
        <w:t xml:space="preserve">נמדד </w:t>
      </w:r>
      <w:bookmarkStart w:id="50811" w:name="_ETM_Q97_601689"/>
      <w:bookmarkEnd w:id="50811"/>
      <w:r>
        <w:rPr>
          <w:rFonts w:hint="cs"/>
          <w:rtl/>
        </w:rPr>
        <w:t xml:space="preserve">היום </w:t>
      </w:r>
      <w:bookmarkStart w:id="50812" w:name="_ETM_Q97_601929"/>
      <w:bookmarkEnd w:id="50812"/>
      <w:r>
        <w:rPr>
          <w:rFonts w:hint="cs"/>
          <w:rtl/>
        </w:rPr>
        <w:t xml:space="preserve">החם </w:t>
      </w:r>
      <w:bookmarkStart w:id="50813" w:name="_ETM_Q97_602289"/>
      <w:bookmarkEnd w:id="50813"/>
      <w:r>
        <w:rPr>
          <w:rFonts w:hint="cs"/>
          <w:rtl/>
        </w:rPr>
        <w:t xml:space="preserve">ביותר </w:t>
      </w:r>
      <w:bookmarkStart w:id="50814" w:name="_ETM_Q97_602679"/>
      <w:bookmarkEnd w:id="50814"/>
      <w:r>
        <w:rPr>
          <w:rFonts w:hint="cs"/>
          <w:rtl/>
        </w:rPr>
        <w:t xml:space="preserve">בכדור </w:t>
      </w:r>
      <w:bookmarkStart w:id="50815" w:name="_ETM_Q97_603159"/>
      <w:bookmarkEnd w:id="50815"/>
      <w:r>
        <w:rPr>
          <w:rFonts w:hint="cs"/>
          <w:rtl/>
        </w:rPr>
        <w:t>הארץ</w:t>
      </w:r>
      <w:bookmarkStart w:id="50816" w:name="_ETM_Q97_603549"/>
      <w:bookmarkEnd w:id="50816"/>
      <w:r>
        <w:rPr>
          <w:rFonts w:hint="cs"/>
          <w:rtl/>
        </w:rPr>
        <w:t xml:space="preserve"> מאז </w:t>
      </w:r>
      <w:bookmarkStart w:id="50817" w:name="_ETM_Q97_603880"/>
      <w:bookmarkEnd w:id="50817"/>
      <w:r>
        <w:rPr>
          <w:rFonts w:hint="cs"/>
          <w:rtl/>
        </w:rPr>
        <w:t xml:space="preserve">החלו </w:t>
      </w:r>
      <w:bookmarkStart w:id="50818" w:name="_ETM_Q97_604240"/>
      <w:bookmarkEnd w:id="50818"/>
      <w:r>
        <w:rPr>
          <w:rFonts w:hint="cs"/>
          <w:rtl/>
        </w:rPr>
        <w:t xml:space="preserve">המדידות </w:t>
      </w:r>
      <w:bookmarkStart w:id="50819" w:name="_ETM_Q97_605479"/>
      <w:bookmarkEnd w:id="50819"/>
      <w:r>
        <w:rPr>
          <w:rFonts w:hint="cs"/>
          <w:rtl/>
        </w:rPr>
        <w:t xml:space="preserve">במאה ה-19, </w:t>
      </w:r>
      <w:bookmarkStart w:id="50820" w:name="_ETM_Q97_606799"/>
      <w:bookmarkEnd w:id="50820"/>
      <w:r>
        <w:rPr>
          <w:rFonts w:hint="cs"/>
          <w:rtl/>
        </w:rPr>
        <w:t xml:space="preserve">וזה </w:t>
      </w:r>
      <w:bookmarkStart w:id="50821" w:name="_ETM_Q97_607130"/>
      <w:bookmarkEnd w:id="50821"/>
      <w:r>
        <w:rPr>
          <w:rFonts w:hint="cs"/>
          <w:rtl/>
        </w:rPr>
        <w:t xml:space="preserve">נוסף </w:t>
      </w:r>
      <w:bookmarkStart w:id="50822" w:name="_ETM_Q97_607670"/>
      <w:bookmarkEnd w:id="50822"/>
      <w:r>
        <w:rPr>
          <w:rFonts w:hint="cs"/>
          <w:rtl/>
        </w:rPr>
        <w:t xml:space="preserve">על שיאי </w:t>
      </w:r>
      <w:bookmarkStart w:id="50823" w:name="_ETM_Q97_608180"/>
      <w:bookmarkEnd w:id="50823"/>
      <w:r>
        <w:rPr>
          <w:rFonts w:hint="cs"/>
          <w:rtl/>
        </w:rPr>
        <w:t xml:space="preserve">חום </w:t>
      </w:r>
      <w:bookmarkStart w:id="50824" w:name="_ETM_Q97_609080"/>
      <w:bookmarkEnd w:id="50824"/>
      <w:r>
        <w:rPr>
          <w:rFonts w:hint="cs"/>
          <w:rtl/>
        </w:rPr>
        <w:t xml:space="preserve">שנשברו </w:t>
      </w:r>
      <w:bookmarkStart w:id="50825" w:name="_ETM_Q97_609860"/>
      <w:bookmarkEnd w:id="50825"/>
      <w:r>
        <w:rPr>
          <w:rFonts w:hint="cs"/>
          <w:rtl/>
        </w:rPr>
        <w:t xml:space="preserve">באוקיינוס </w:t>
      </w:r>
      <w:bookmarkStart w:id="50826" w:name="_ETM_Q97_611190"/>
      <w:bookmarkStart w:id="50827" w:name="_ETM_Q97_611610"/>
      <w:bookmarkEnd w:id="50826"/>
      <w:bookmarkEnd w:id="50827"/>
      <w:r>
        <w:rPr>
          <w:rFonts w:hint="cs"/>
          <w:rtl/>
        </w:rPr>
        <w:t xml:space="preserve">ברצף, </w:t>
      </w:r>
      <w:bookmarkStart w:id="50828" w:name="_ETM_Q97_612240"/>
      <w:bookmarkEnd w:id="50828"/>
      <w:r>
        <w:rPr>
          <w:rFonts w:hint="cs"/>
          <w:rtl/>
        </w:rPr>
        <w:t xml:space="preserve">ועל חודש </w:t>
      </w:r>
      <w:bookmarkStart w:id="50829" w:name="_ETM_Q97_612780"/>
      <w:bookmarkEnd w:id="50829"/>
      <w:r>
        <w:rPr>
          <w:rFonts w:hint="cs"/>
          <w:rtl/>
        </w:rPr>
        <w:t xml:space="preserve">יוני </w:t>
      </w:r>
      <w:bookmarkStart w:id="50830" w:name="_ETM_Q97_613560"/>
      <w:bookmarkEnd w:id="50830"/>
      <w:r>
        <w:rPr>
          <w:rFonts w:hint="cs"/>
          <w:rtl/>
        </w:rPr>
        <w:t xml:space="preserve">החם </w:t>
      </w:r>
      <w:bookmarkStart w:id="50831" w:name="_ETM_Q97_613980"/>
      <w:bookmarkEnd w:id="50831"/>
      <w:r>
        <w:rPr>
          <w:rFonts w:hint="cs"/>
          <w:rtl/>
        </w:rPr>
        <w:t xml:space="preserve">ביותר </w:t>
      </w:r>
      <w:bookmarkStart w:id="50832" w:name="_ETM_Q97_614670"/>
      <w:bookmarkEnd w:id="50832"/>
      <w:r>
        <w:rPr>
          <w:rFonts w:hint="cs"/>
          <w:rtl/>
        </w:rPr>
        <w:t xml:space="preserve">שנמדד </w:t>
      </w:r>
      <w:bookmarkStart w:id="50833" w:name="_ETM_Q97_615510"/>
      <w:bookmarkEnd w:id="50833"/>
      <w:r>
        <w:rPr>
          <w:rFonts w:hint="cs"/>
          <w:rtl/>
        </w:rPr>
        <w:t>אי פעם.</w:t>
      </w:r>
      <w:bookmarkStart w:id="50834" w:name="_ETM_Q97_612000"/>
      <w:bookmarkStart w:id="50835" w:name="_ETM_Q97_617140"/>
      <w:bookmarkEnd w:id="50834"/>
      <w:bookmarkEnd w:id="50835"/>
      <w:r>
        <w:rPr>
          <w:rFonts w:hint="cs"/>
          <w:rtl/>
        </w:rPr>
        <w:t xml:space="preserve"> שלושה </w:t>
      </w:r>
      <w:bookmarkStart w:id="50836" w:name="_ETM_Q97_617800"/>
      <w:bookmarkEnd w:id="50836"/>
      <w:r>
        <w:rPr>
          <w:rFonts w:hint="cs"/>
          <w:rtl/>
        </w:rPr>
        <w:t xml:space="preserve">גלי </w:t>
      </w:r>
      <w:bookmarkStart w:id="50837" w:name="_ETM_Q97_618190"/>
      <w:bookmarkEnd w:id="50837"/>
      <w:r>
        <w:rPr>
          <w:rFonts w:hint="cs"/>
          <w:rtl/>
        </w:rPr>
        <w:t xml:space="preserve">חום </w:t>
      </w:r>
      <w:bookmarkStart w:id="50838" w:name="_ETM_Q97_618730"/>
      <w:bookmarkEnd w:id="50838"/>
      <w:r>
        <w:rPr>
          <w:rFonts w:hint="cs"/>
          <w:rtl/>
        </w:rPr>
        <w:t xml:space="preserve">חסרי </w:t>
      </w:r>
      <w:bookmarkStart w:id="50839" w:name="_ETM_Q97_619180"/>
      <w:bookmarkEnd w:id="50839"/>
      <w:r>
        <w:rPr>
          <w:rFonts w:hint="cs"/>
          <w:rtl/>
        </w:rPr>
        <w:t xml:space="preserve">תקדים </w:t>
      </w:r>
      <w:bookmarkStart w:id="50840" w:name="_ETM_Q97_620269"/>
      <w:bookmarkEnd w:id="50840"/>
      <w:r>
        <w:rPr>
          <w:rFonts w:hint="cs"/>
          <w:rtl/>
        </w:rPr>
        <w:t xml:space="preserve">נרשמו </w:t>
      </w:r>
      <w:bookmarkStart w:id="50841" w:name="_ETM_Q97_621200"/>
      <w:bookmarkEnd w:id="50841"/>
      <w:r>
        <w:rPr>
          <w:rFonts w:hint="cs"/>
          <w:rtl/>
        </w:rPr>
        <w:t xml:space="preserve">בשבוע </w:t>
      </w:r>
      <w:bookmarkStart w:id="50842" w:name="_ETM_Q97_621680"/>
      <w:bookmarkEnd w:id="50842"/>
      <w:r>
        <w:rPr>
          <w:rFonts w:hint="cs"/>
          <w:rtl/>
        </w:rPr>
        <w:t xml:space="preserve">שעבר </w:t>
      </w:r>
      <w:bookmarkStart w:id="50843" w:name="_ETM_Q97_622099"/>
      <w:bookmarkEnd w:id="50843"/>
      <w:r>
        <w:rPr>
          <w:rFonts w:hint="cs"/>
          <w:rtl/>
        </w:rPr>
        <w:t xml:space="preserve">בעולם </w:t>
      </w:r>
      <w:bookmarkStart w:id="50844" w:name="_ETM_Q97_622579"/>
      <w:bookmarkEnd w:id="50844"/>
      <w:r>
        <w:rPr>
          <w:rFonts w:hint="cs"/>
          <w:rtl/>
        </w:rPr>
        <w:t xml:space="preserve">בו זמנית: </w:t>
      </w:r>
      <w:bookmarkStart w:id="50845" w:name="_ETM_Q97_623820"/>
      <w:bookmarkEnd w:id="50845"/>
      <w:r>
        <w:rPr>
          <w:rFonts w:hint="cs"/>
          <w:rtl/>
        </w:rPr>
        <w:t xml:space="preserve">בדרום </w:t>
      </w:r>
      <w:bookmarkStart w:id="50846" w:name="_ETM_Q97_624360"/>
      <w:bookmarkEnd w:id="50846"/>
      <w:r>
        <w:rPr>
          <w:rFonts w:hint="cs"/>
          <w:rtl/>
        </w:rPr>
        <w:t xml:space="preserve">אירופה, </w:t>
      </w:r>
      <w:bookmarkStart w:id="50847" w:name="_ETM_Q97_625290"/>
      <w:bookmarkEnd w:id="50847"/>
      <w:r>
        <w:rPr>
          <w:rFonts w:hint="cs"/>
          <w:rtl/>
        </w:rPr>
        <w:t xml:space="preserve">שם </w:t>
      </w:r>
      <w:bookmarkStart w:id="50848" w:name="_ETM_Q97_625680"/>
      <w:bookmarkEnd w:id="50848"/>
      <w:r>
        <w:rPr>
          <w:rFonts w:hint="cs"/>
          <w:rtl/>
        </w:rPr>
        <w:t xml:space="preserve">נשבר </w:t>
      </w:r>
      <w:bookmarkStart w:id="50849" w:name="_ETM_Q97_626220"/>
      <w:bookmarkEnd w:id="50849"/>
      <w:r>
        <w:rPr>
          <w:rFonts w:hint="cs"/>
          <w:rtl/>
        </w:rPr>
        <w:t xml:space="preserve">שיא </w:t>
      </w:r>
      <w:bookmarkStart w:id="50850" w:name="_ETM_Q97_626700"/>
      <w:bookmarkEnd w:id="50850"/>
      <w:r>
        <w:rPr>
          <w:rFonts w:hint="cs"/>
          <w:rtl/>
        </w:rPr>
        <w:t xml:space="preserve">החום </w:t>
      </w:r>
      <w:bookmarkStart w:id="50851" w:name="_ETM_Q97_627090"/>
      <w:bookmarkEnd w:id="50851"/>
      <w:r>
        <w:rPr>
          <w:rFonts w:hint="cs"/>
          <w:rtl/>
        </w:rPr>
        <w:t xml:space="preserve">של </w:t>
      </w:r>
      <w:bookmarkStart w:id="50852" w:name="_ETM_Q97_627270"/>
      <w:bookmarkEnd w:id="50852"/>
      <w:r>
        <w:rPr>
          <w:rFonts w:hint="cs"/>
          <w:rtl/>
        </w:rPr>
        <w:t xml:space="preserve">רומא </w:t>
      </w:r>
      <w:bookmarkStart w:id="50853" w:name="_ETM_Q97_628080"/>
      <w:bookmarkEnd w:id="50853"/>
      <w:r>
        <w:rPr>
          <w:rFonts w:hint="cs"/>
          <w:rtl/>
        </w:rPr>
        <w:t>עם</w:t>
      </w:r>
      <w:bookmarkStart w:id="50854" w:name="_ETM_Q97_628230"/>
      <w:bookmarkEnd w:id="50854"/>
      <w:r>
        <w:rPr>
          <w:rFonts w:hint="cs"/>
          <w:rtl/>
        </w:rPr>
        <w:t xml:space="preserve"> </w:t>
      </w:r>
      <w:bookmarkStart w:id="50855" w:name="_ETM_Q97_627000"/>
      <w:bookmarkEnd w:id="50855"/>
      <w:r>
        <w:rPr>
          <w:rFonts w:hint="cs"/>
          <w:rtl/>
        </w:rPr>
        <w:t xml:space="preserve">42.9 </w:t>
      </w:r>
      <w:bookmarkStart w:id="50856" w:name="_ETM_Q97_629709"/>
      <w:bookmarkStart w:id="50857" w:name="_ETM_Q97_630040"/>
      <w:bookmarkStart w:id="50858" w:name="_ETM_Q97_630459"/>
      <w:bookmarkEnd w:id="50856"/>
      <w:bookmarkEnd w:id="50857"/>
      <w:bookmarkEnd w:id="50858"/>
      <w:r>
        <w:rPr>
          <w:rFonts w:hint="cs"/>
          <w:rtl/>
        </w:rPr>
        <w:t xml:space="preserve">מעלות; </w:t>
      </w:r>
      <w:bookmarkStart w:id="50859" w:name="_ETM_Q97_631390"/>
      <w:bookmarkStart w:id="50860" w:name="_ETM_Q97_632410"/>
      <w:bookmarkEnd w:id="50859"/>
      <w:bookmarkEnd w:id="50860"/>
      <w:r>
        <w:rPr>
          <w:rFonts w:hint="cs"/>
          <w:rtl/>
        </w:rPr>
        <w:t xml:space="preserve">סין, </w:t>
      </w:r>
      <w:bookmarkStart w:id="50861" w:name="_ETM_Q97_632739"/>
      <w:bookmarkEnd w:id="50861"/>
      <w:r>
        <w:rPr>
          <w:rFonts w:hint="cs"/>
          <w:rtl/>
        </w:rPr>
        <w:t xml:space="preserve">שם נשבר </w:t>
      </w:r>
      <w:bookmarkStart w:id="50862" w:name="_ETM_Q97_633280"/>
      <w:bookmarkEnd w:id="50862"/>
      <w:r>
        <w:rPr>
          <w:rFonts w:hint="cs"/>
          <w:rtl/>
        </w:rPr>
        <w:t xml:space="preserve">שיא </w:t>
      </w:r>
      <w:bookmarkStart w:id="50863" w:name="_ETM_Q97_634060"/>
      <w:bookmarkEnd w:id="50863"/>
      <w:r>
        <w:rPr>
          <w:rFonts w:hint="cs"/>
          <w:rtl/>
        </w:rPr>
        <w:t xml:space="preserve">חום </w:t>
      </w:r>
      <w:bookmarkStart w:id="50864" w:name="_ETM_Q97_635370"/>
      <w:bookmarkEnd w:id="50864"/>
      <w:r>
        <w:rPr>
          <w:rFonts w:hint="cs"/>
          <w:rtl/>
        </w:rPr>
        <w:t xml:space="preserve">של </w:t>
      </w:r>
      <w:bookmarkStart w:id="50865" w:name="_ETM_Q97_636450"/>
      <w:bookmarkEnd w:id="50865"/>
      <w:r>
        <w:rPr>
          <w:rFonts w:hint="cs"/>
          <w:rtl/>
        </w:rPr>
        <w:t xml:space="preserve">המדינה </w:t>
      </w:r>
      <w:bookmarkStart w:id="50866" w:name="_ETM_Q97_637319"/>
      <w:bookmarkEnd w:id="50866"/>
      <w:r>
        <w:rPr>
          <w:rFonts w:hint="cs"/>
          <w:rtl/>
        </w:rPr>
        <w:t xml:space="preserve">עם </w:t>
      </w:r>
      <w:bookmarkStart w:id="50867" w:name="_ETM_Q97_637500"/>
      <w:bookmarkStart w:id="50868" w:name="_ETM_Q97_638370"/>
      <w:bookmarkStart w:id="50869" w:name="_ETM_Q97_638640"/>
      <w:bookmarkEnd w:id="50867"/>
      <w:bookmarkEnd w:id="50868"/>
      <w:bookmarkEnd w:id="50869"/>
      <w:r>
        <w:rPr>
          <w:rFonts w:hint="cs"/>
          <w:rtl/>
        </w:rPr>
        <w:t xml:space="preserve">52.6 </w:t>
      </w:r>
      <w:bookmarkStart w:id="50870" w:name="_ETM_Q97_638970"/>
      <w:bookmarkEnd w:id="50870"/>
      <w:r>
        <w:rPr>
          <w:rFonts w:hint="cs"/>
          <w:rtl/>
        </w:rPr>
        <w:t xml:space="preserve">מעלות </w:t>
      </w:r>
      <w:bookmarkStart w:id="50871" w:name="_ETM_Q97_639420"/>
      <w:bookmarkEnd w:id="50871"/>
      <w:r>
        <w:rPr>
          <w:rFonts w:hint="cs"/>
          <w:rtl/>
        </w:rPr>
        <w:t xml:space="preserve">צלזיוס; </w:t>
      </w:r>
      <w:bookmarkStart w:id="50872" w:name="_ETM_Q97_640580"/>
      <w:bookmarkEnd w:id="50872"/>
      <w:r>
        <w:rPr>
          <w:rFonts w:hint="cs"/>
          <w:rtl/>
        </w:rPr>
        <w:t xml:space="preserve">דרום </w:t>
      </w:r>
      <w:bookmarkStart w:id="50873" w:name="_ETM_Q97_640970"/>
      <w:bookmarkEnd w:id="50873"/>
      <w:r>
        <w:rPr>
          <w:rFonts w:hint="cs"/>
          <w:rtl/>
        </w:rPr>
        <w:t xml:space="preserve">ארצות </w:t>
      </w:r>
      <w:bookmarkStart w:id="50874" w:name="_ETM_Q97_641300"/>
      <w:bookmarkEnd w:id="50874"/>
      <w:r>
        <w:rPr>
          <w:rFonts w:hint="cs"/>
          <w:rtl/>
        </w:rPr>
        <w:t xml:space="preserve">הברית, </w:t>
      </w:r>
      <w:bookmarkStart w:id="50875" w:name="_ETM_Q97_641630"/>
      <w:bookmarkEnd w:id="50875"/>
      <w:r>
        <w:rPr>
          <w:rFonts w:hint="cs"/>
          <w:rtl/>
        </w:rPr>
        <w:t xml:space="preserve">שם </w:t>
      </w:r>
      <w:bookmarkStart w:id="50876" w:name="_ETM_Q97_641900"/>
      <w:bookmarkEnd w:id="50876"/>
      <w:r>
        <w:rPr>
          <w:rFonts w:hint="cs"/>
          <w:rtl/>
        </w:rPr>
        <w:t xml:space="preserve">נשבר </w:t>
      </w:r>
      <w:bookmarkStart w:id="50877" w:name="_ETM_Q97_642350"/>
      <w:bookmarkEnd w:id="50877"/>
      <w:r>
        <w:rPr>
          <w:rFonts w:hint="cs"/>
          <w:rtl/>
        </w:rPr>
        <w:t xml:space="preserve">רצף </w:t>
      </w:r>
      <w:bookmarkStart w:id="50878" w:name="_ETM_Q97_642770"/>
      <w:bookmarkEnd w:id="50878"/>
      <w:r>
        <w:rPr>
          <w:rFonts w:hint="cs"/>
          <w:rtl/>
        </w:rPr>
        <w:t xml:space="preserve">הימים </w:t>
      </w:r>
      <w:bookmarkStart w:id="50879" w:name="_ETM_Q97_643130"/>
      <w:bookmarkEnd w:id="50879"/>
      <w:r>
        <w:rPr>
          <w:rFonts w:hint="cs"/>
          <w:rtl/>
        </w:rPr>
        <w:t xml:space="preserve">החמים </w:t>
      </w:r>
      <w:bookmarkStart w:id="50880" w:name="_ETM_Q97_644060"/>
      <w:bookmarkStart w:id="50881" w:name="_ETM_Q97_644180"/>
      <w:bookmarkEnd w:id="50880"/>
      <w:bookmarkEnd w:id="50881"/>
      <w:r>
        <w:rPr>
          <w:rFonts w:hint="cs"/>
          <w:rtl/>
        </w:rPr>
        <w:t xml:space="preserve">עם מעל </w:t>
      </w:r>
      <w:bookmarkStart w:id="50882" w:name="_ETM_Q97_644540"/>
      <w:bookmarkEnd w:id="50882"/>
      <w:r>
        <w:rPr>
          <w:rFonts w:hint="cs"/>
          <w:rtl/>
        </w:rPr>
        <w:t xml:space="preserve">19 </w:t>
      </w:r>
      <w:bookmarkStart w:id="50883" w:name="_ETM_Q97_645200"/>
      <w:bookmarkEnd w:id="50883"/>
      <w:r>
        <w:rPr>
          <w:rFonts w:hint="cs"/>
          <w:rtl/>
        </w:rPr>
        <w:t xml:space="preserve">יום </w:t>
      </w:r>
      <w:bookmarkStart w:id="50884" w:name="_ETM_Q97_645500"/>
      <w:bookmarkStart w:id="50885" w:name="_ETM_Q97_646220"/>
      <w:bookmarkEnd w:id="50884"/>
      <w:bookmarkEnd w:id="50885"/>
      <w:r>
        <w:rPr>
          <w:rFonts w:hint="cs"/>
          <w:rtl/>
        </w:rPr>
        <w:t xml:space="preserve">רצופים </w:t>
      </w:r>
      <w:bookmarkStart w:id="50886" w:name="_ETM_Q97_647360"/>
      <w:bookmarkEnd w:id="50886"/>
      <w:r>
        <w:rPr>
          <w:rFonts w:hint="cs"/>
          <w:rtl/>
        </w:rPr>
        <w:t xml:space="preserve">של </w:t>
      </w:r>
      <w:bookmarkStart w:id="50887" w:name="_ETM_Q97_647569"/>
      <w:bookmarkEnd w:id="50887"/>
      <w:r>
        <w:rPr>
          <w:rFonts w:hint="cs"/>
          <w:rtl/>
        </w:rPr>
        <w:t xml:space="preserve">43 </w:t>
      </w:r>
      <w:bookmarkStart w:id="50888" w:name="_ETM_Q97_648379"/>
      <w:bookmarkEnd w:id="50888"/>
      <w:r>
        <w:rPr>
          <w:rFonts w:hint="cs"/>
          <w:rtl/>
        </w:rPr>
        <w:t xml:space="preserve">מעלות </w:t>
      </w:r>
      <w:bookmarkStart w:id="50889" w:name="_ETM_Q97_648830"/>
      <w:bookmarkEnd w:id="50889"/>
      <w:r>
        <w:rPr>
          <w:rFonts w:hint="cs"/>
          <w:rtl/>
        </w:rPr>
        <w:t xml:space="preserve">ומעלה. </w:t>
      </w:r>
      <w:bookmarkStart w:id="50890" w:name="_ETM_Q97_650069"/>
      <w:bookmarkEnd w:id="50890"/>
      <w:r>
        <w:rPr>
          <w:rFonts w:hint="cs"/>
          <w:rtl/>
        </w:rPr>
        <w:t xml:space="preserve">אם </w:t>
      </w:r>
      <w:bookmarkStart w:id="50891" w:name="_ETM_Q97_650310"/>
      <w:bookmarkEnd w:id="50891"/>
      <w:r>
        <w:rPr>
          <w:rFonts w:hint="cs"/>
          <w:rtl/>
        </w:rPr>
        <w:t xml:space="preserve">נמשיך </w:t>
      </w:r>
      <w:bookmarkStart w:id="50892" w:name="_ETM_Q97_651510"/>
      <w:bookmarkEnd w:id="50892"/>
      <w:r>
        <w:rPr>
          <w:rFonts w:hint="cs"/>
          <w:rtl/>
        </w:rPr>
        <w:t>לפלוט</w:t>
      </w:r>
      <w:bookmarkStart w:id="50893" w:name="_ETM_Q97_652230"/>
      <w:bookmarkEnd w:id="50893"/>
      <w:r>
        <w:rPr>
          <w:rFonts w:hint="cs"/>
          <w:rtl/>
        </w:rPr>
        <w:t xml:space="preserve"> גזי </w:t>
      </w:r>
      <w:bookmarkStart w:id="50894" w:name="_ETM_Q97_652560"/>
      <w:bookmarkEnd w:id="50894"/>
      <w:r>
        <w:rPr>
          <w:rFonts w:hint="cs"/>
          <w:rtl/>
        </w:rPr>
        <w:t>חממה</w:t>
      </w:r>
      <w:r w:rsidR="00B41626">
        <w:rPr>
          <w:rFonts w:hint="cs"/>
          <w:rtl/>
        </w:rPr>
        <w:t>,</w:t>
      </w:r>
      <w:r>
        <w:rPr>
          <w:rFonts w:hint="cs"/>
          <w:rtl/>
        </w:rPr>
        <w:t xml:space="preserve"> </w:t>
      </w:r>
      <w:bookmarkStart w:id="50895" w:name="_ETM_Q97_653850"/>
      <w:bookmarkEnd w:id="50895"/>
      <w:r>
        <w:rPr>
          <w:rFonts w:hint="cs"/>
          <w:rtl/>
        </w:rPr>
        <w:t xml:space="preserve">נחמם </w:t>
      </w:r>
      <w:bookmarkStart w:id="50896" w:name="_ETM_Q97_654390"/>
      <w:bookmarkEnd w:id="50896"/>
      <w:r>
        <w:rPr>
          <w:rFonts w:hint="cs"/>
          <w:rtl/>
        </w:rPr>
        <w:t xml:space="preserve">את </w:t>
      </w:r>
      <w:bookmarkStart w:id="50897" w:name="_ETM_Q97_654480"/>
      <w:bookmarkEnd w:id="50897"/>
      <w:r>
        <w:rPr>
          <w:rFonts w:hint="cs"/>
          <w:rtl/>
        </w:rPr>
        <w:t xml:space="preserve">כדור </w:t>
      </w:r>
      <w:bookmarkStart w:id="50898" w:name="_ETM_Q97_654780"/>
      <w:bookmarkEnd w:id="50898"/>
      <w:r>
        <w:rPr>
          <w:rFonts w:hint="cs"/>
          <w:rtl/>
        </w:rPr>
        <w:t xml:space="preserve">הארץ </w:t>
      </w:r>
      <w:bookmarkStart w:id="50899" w:name="_ETM_Q97_655170"/>
      <w:bookmarkEnd w:id="50899"/>
      <w:r>
        <w:rPr>
          <w:rFonts w:hint="cs"/>
          <w:rtl/>
        </w:rPr>
        <w:t xml:space="preserve">לרמה </w:t>
      </w:r>
      <w:bookmarkStart w:id="50900" w:name="_ETM_Q97_655740"/>
      <w:bookmarkEnd w:id="50900"/>
      <w:r>
        <w:rPr>
          <w:rFonts w:hint="cs"/>
          <w:rtl/>
        </w:rPr>
        <w:t xml:space="preserve">כזו </w:t>
      </w:r>
      <w:bookmarkStart w:id="50901" w:name="_ETM_Q97_656220"/>
      <w:bookmarkEnd w:id="50901"/>
      <w:r>
        <w:rPr>
          <w:rFonts w:hint="cs"/>
          <w:rtl/>
        </w:rPr>
        <w:t xml:space="preserve">שתקשה </w:t>
      </w:r>
      <w:bookmarkStart w:id="50902" w:name="_ETM_Q97_657240"/>
      <w:bookmarkEnd w:id="50902"/>
      <w:r>
        <w:rPr>
          <w:rFonts w:hint="cs"/>
          <w:rtl/>
        </w:rPr>
        <w:t xml:space="preserve">את </w:t>
      </w:r>
      <w:bookmarkStart w:id="50903" w:name="_ETM_Q97_657330"/>
      <w:bookmarkStart w:id="50904" w:name="_ETM_Q97_657870"/>
      <w:bookmarkEnd w:id="50903"/>
      <w:bookmarkEnd w:id="50904"/>
      <w:r>
        <w:rPr>
          <w:rFonts w:hint="cs"/>
          <w:rtl/>
        </w:rPr>
        <w:t xml:space="preserve">המשך </w:t>
      </w:r>
      <w:bookmarkStart w:id="50905" w:name="_ETM_Q97_658260"/>
      <w:bookmarkEnd w:id="50905"/>
      <w:r>
        <w:rPr>
          <w:rFonts w:hint="cs"/>
          <w:rtl/>
        </w:rPr>
        <w:t xml:space="preserve">השגשוג </w:t>
      </w:r>
      <w:bookmarkStart w:id="50906" w:name="_ETM_Q97_658830"/>
      <w:bookmarkEnd w:id="50906"/>
      <w:r>
        <w:rPr>
          <w:rFonts w:hint="cs"/>
          <w:rtl/>
        </w:rPr>
        <w:t>שלנו</w:t>
      </w:r>
      <w:bookmarkStart w:id="50907" w:name="_ETM_Q97_659250"/>
      <w:bookmarkEnd w:id="50907"/>
      <w:r>
        <w:rPr>
          <w:rFonts w:hint="cs"/>
          <w:rtl/>
        </w:rPr>
        <w:t xml:space="preserve"> כאן. </w:t>
      </w:r>
      <w:bookmarkStart w:id="50908" w:name="_ETM_Q97_660160"/>
      <w:bookmarkEnd w:id="50908"/>
      <w:r>
        <w:rPr>
          <w:rFonts w:hint="cs"/>
          <w:rtl/>
        </w:rPr>
        <w:t xml:space="preserve">זה </w:t>
      </w:r>
      <w:bookmarkStart w:id="50909" w:name="_ETM_Q97_660340"/>
      <w:bookmarkEnd w:id="50909"/>
      <w:r>
        <w:rPr>
          <w:rFonts w:hint="cs"/>
          <w:rtl/>
        </w:rPr>
        <w:t xml:space="preserve">יביא </w:t>
      </w:r>
      <w:bookmarkStart w:id="50910" w:name="_ETM_Q97_660670"/>
      <w:bookmarkEnd w:id="50910"/>
      <w:r>
        <w:rPr>
          <w:rFonts w:hint="cs"/>
          <w:rtl/>
        </w:rPr>
        <w:t xml:space="preserve">להחרפה </w:t>
      </w:r>
      <w:bookmarkStart w:id="50911" w:name="_ETM_Q97_661900"/>
      <w:bookmarkEnd w:id="50911"/>
      <w:r>
        <w:rPr>
          <w:rFonts w:hint="cs"/>
          <w:rtl/>
        </w:rPr>
        <w:t xml:space="preserve">משמעותית </w:t>
      </w:r>
      <w:bookmarkStart w:id="50912" w:name="_ETM_Q97_662800"/>
      <w:bookmarkEnd w:id="50912"/>
      <w:r>
        <w:rPr>
          <w:rFonts w:hint="cs"/>
          <w:rtl/>
        </w:rPr>
        <w:t xml:space="preserve">בדחיפות, </w:t>
      </w:r>
      <w:bookmarkStart w:id="50913" w:name="_ETM_Q97_664180"/>
      <w:bookmarkStart w:id="50914" w:name="_ETM_Q97_664810"/>
      <w:bookmarkEnd w:id="50913"/>
      <w:bookmarkEnd w:id="50914"/>
      <w:r>
        <w:rPr>
          <w:rFonts w:hint="cs"/>
          <w:rtl/>
        </w:rPr>
        <w:t xml:space="preserve">בעצימות </w:t>
      </w:r>
      <w:bookmarkStart w:id="50915" w:name="_ETM_Q97_666269"/>
      <w:bookmarkEnd w:id="50915"/>
      <w:r>
        <w:rPr>
          <w:rFonts w:hint="cs"/>
          <w:rtl/>
        </w:rPr>
        <w:t xml:space="preserve">ובמשיכות </w:t>
      </w:r>
      <w:bookmarkStart w:id="50916" w:name="_ETM_Q97_667650"/>
      <w:bookmarkEnd w:id="50916"/>
      <w:r>
        <w:rPr>
          <w:rFonts w:hint="cs"/>
          <w:rtl/>
        </w:rPr>
        <w:t xml:space="preserve">של </w:t>
      </w:r>
      <w:bookmarkStart w:id="50917" w:name="_ETM_Q97_667889"/>
      <w:bookmarkEnd w:id="50917"/>
      <w:r>
        <w:rPr>
          <w:rFonts w:hint="cs"/>
          <w:rtl/>
        </w:rPr>
        <w:t xml:space="preserve">אירועי </w:t>
      </w:r>
      <w:bookmarkStart w:id="50918" w:name="_ETM_Q97_668219"/>
      <w:bookmarkEnd w:id="50918"/>
      <w:r>
        <w:rPr>
          <w:rFonts w:hint="cs"/>
          <w:rtl/>
        </w:rPr>
        <w:t xml:space="preserve">קיצון, </w:t>
      </w:r>
      <w:bookmarkStart w:id="50919" w:name="_ETM_Q97_668760"/>
      <w:bookmarkEnd w:id="50919"/>
      <w:r>
        <w:rPr>
          <w:rFonts w:hint="cs"/>
          <w:rtl/>
        </w:rPr>
        <w:t xml:space="preserve">של </w:t>
      </w:r>
      <w:bookmarkStart w:id="50920" w:name="_ETM_Q97_668909"/>
      <w:bookmarkEnd w:id="50920"/>
      <w:r>
        <w:rPr>
          <w:rFonts w:hint="cs"/>
          <w:rtl/>
        </w:rPr>
        <w:t xml:space="preserve">גלי </w:t>
      </w:r>
      <w:bookmarkStart w:id="50921" w:name="_ETM_Q97_669209"/>
      <w:bookmarkEnd w:id="50921"/>
      <w:r>
        <w:rPr>
          <w:rFonts w:hint="cs"/>
          <w:rtl/>
        </w:rPr>
        <w:t xml:space="preserve">חום, </w:t>
      </w:r>
      <w:bookmarkStart w:id="50922" w:name="_ETM_Q97_669629"/>
      <w:bookmarkEnd w:id="50922"/>
      <w:r>
        <w:rPr>
          <w:rFonts w:hint="cs"/>
          <w:rtl/>
        </w:rPr>
        <w:t xml:space="preserve">של </w:t>
      </w:r>
      <w:bookmarkStart w:id="50923" w:name="_ETM_Q97_669810"/>
      <w:bookmarkEnd w:id="50923"/>
      <w:r>
        <w:rPr>
          <w:rFonts w:hint="cs"/>
          <w:rtl/>
        </w:rPr>
        <w:t xml:space="preserve">בצורות, </w:t>
      </w:r>
      <w:bookmarkStart w:id="50924" w:name="_ETM_Q97_670529"/>
      <w:bookmarkEnd w:id="50924"/>
      <w:r>
        <w:rPr>
          <w:rFonts w:hint="cs"/>
          <w:rtl/>
        </w:rPr>
        <w:t xml:space="preserve">של </w:t>
      </w:r>
      <w:bookmarkStart w:id="50925" w:name="_ETM_Q97_670739"/>
      <w:bookmarkEnd w:id="50925"/>
      <w:r>
        <w:rPr>
          <w:rFonts w:hint="cs"/>
          <w:rtl/>
        </w:rPr>
        <w:t>התייבשות</w:t>
      </w:r>
      <w:bookmarkStart w:id="50926" w:name="_ETM_Q97_671459"/>
      <w:bookmarkEnd w:id="50926"/>
      <w:r>
        <w:rPr>
          <w:rFonts w:hint="cs"/>
          <w:rtl/>
        </w:rPr>
        <w:t xml:space="preserve"> של </w:t>
      </w:r>
      <w:bookmarkStart w:id="50927" w:name="_ETM_Q97_671609"/>
      <w:bookmarkEnd w:id="50927"/>
      <w:r>
        <w:rPr>
          <w:rFonts w:hint="cs"/>
          <w:rtl/>
        </w:rPr>
        <w:t xml:space="preserve">נהרות, </w:t>
      </w:r>
      <w:bookmarkStart w:id="50928" w:name="_ETM_Q97_672090"/>
      <w:bookmarkEnd w:id="50928"/>
      <w:r>
        <w:rPr>
          <w:rFonts w:hint="cs"/>
          <w:rtl/>
        </w:rPr>
        <w:t xml:space="preserve">של </w:t>
      </w:r>
      <w:bookmarkStart w:id="50929" w:name="_ETM_Q97_672239"/>
      <w:bookmarkEnd w:id="50929"/>
      <w:r>
        <w:rPr>
          <w:rFonts w:hint="cs"/>
          <w:rtl/>
        </w:rPr>
        <w:t xml:space="preserve">פגיעה </w:t>
      </w:r>
      <w:bookmarkStart w:id="50930" w:name="_ETM_Q97_672689"/>
      <w:bookmarkEnd w:id="50930"/>
      <w:r>
        <w:rPr>
          <w:rFonts w:hint="cs"/>
          <w:rtl/>
        </w:rPr>
        <w:t xml:space="preserve">בתשתיות, </w:t>
      </w:r>
      <w:bookmarkStart w:id="50931" w:name="_ETM_Q97_673950"/>
      <w:bookmarkEnd w:id="50931"/>
      <w:r>
        <w:rPr>
          <w:rFonts w:hint="cs"/>
          <w:rtl/>
        </w:rPr>
        <w:t xml:space="preserve">של </w:t>
      </w:r>
      <w:bookmarkStart w:id="50932" w:name="_ETM_Q97_674189"/>
      <w:bookmarkEnd w:id="50932"/>
      <w:r>
        <w:rPr>
          <w:rFonts w:hint="cs"/>
          <w:rtl/>
        </w:rPr>
        <w:t xml:space="preserve">גלי </w:t>
      </w:r>
      <w:bookmarkStart w:id="50933" w:name="_ETM_Q97_674519"/>
      <w:bookmarkEnd w:id="50933"/>
      <w:r>
        <w:rPr>
          <w:rFonts w:hint="cs"/>
          <w:rtl/>
        </w:rPr>
        <w:t xml:space="preserve">הגירה, </w:t>
      </w:r>
      <w:bookmarkStart w:id="50934" w:name="_ETM_Q97_675150"/>
      <w:bookmarkEnd w:id="50934"/>
      <w:r>
        <w:rPr>
          <w:rFonts w:hint="cs"/>
          <w:rtl/>
        </w:rPr>
        <w:t xml:space="preserve">של </w:t>
      </w:r>
      <w:bookmarkStart w:id="50935" w:name="_ETM_Q97_675360"/>
      <w:bookmarkEnd w:id="50935"/>
      <w:r>
        <w:rPr>
          <w:rFonts w:hint="cs"/>
          <w:rtl/>
        </w:rPr>
        <w:t xml:space="preserve">מחסור </w:t>
      </w:r>
      <w:bookmarkStart w:id="50936" w:name="_ETM_Q97_676140"/>
      <w:bookmarkEnd w:id="50936"/>
      <w:r>
        <w:rPr>
          <w:rFonts w:hint="cs"/>
          <w:rtl/>
        </w:rPr>
        <w:t xml:space="preserve">במזון </w:t>
      </w:r>
      <w:bookmarkStart w:id="50937" w:name="_ETM_Q97_677250"/>
      <w:bookmarkEnd w:id="50937"/>
      <w:r>
        <w:rPr>
          <w:rFonts w:hint="cs"/>
          <w:rtl/>
        </w:rPr>
        <w:t>ובמים.</w:t>
      </w:r>
    </w:p>
    <w:p w:rsidR="00BB59CD" w:rsidRDefault="00BB59CD" w:rsidP="00BB59CD">
      <w:pPr>
        <w:rPr>
          <w:rtl/>
        </w:rPr>
      </w:pPr>
    </w:p>
    <w:p w:rsidR="00BB59CD" w:rsidRDefault="00BB59CD" w:rsidP="00B41626">
      <w:pPr>
        <w:rPr>
          <w:rtl/>
        </w:rPr>
      </w:pPr>
      <w:bookmarkStart w:id="50938" w:name="_ETM_Q97_680000"/>
      <w:bookmarkStart w:id="50939" w:name="_ETM_Q97_679820"/>
      <w:bookmarkEnd w:id="50938"/>
      <w:bookmarkEnd w:id="50939"/>
      <w:r>
        <w:rPr>
          <w:rFonts w:hint="cs"/>
          <w:rtl/>
        </w:rPr>
        <w:t xml:space="preserve">עכשיו </w:t>
      </w:r>
      <w:bookmarkStart w:id="50940" w:name="_ETM_Q97_680090"/>
      <w:bookmarkEnd w:id="50940"/>
      <w:r>
        <w:rPr>
          <w:rFonts w:hint="cs"/>
          <w:rtl/>
        </w:rPr>
        <w:t>אני</w:t>
      </w:r>
      <w:bookmarkStart w:id="50941" w:name="_ETM_Q97_680240"/>
      <w:bookmarkStart w:id="50942" w:name="_ETM_Q97_680480"/>
      <w:bookmarkStart w:id="50943" w:name="_ETM_Q97_680750"/>
      <w:bookmarkStart w:id="50944" w:name="_ETM_Q97_681020"/>
      <w:bookmarkEnd w:id="50941"/>
      <w:bookmarkEnd w:id="50942"/>
      <w:bookmarkEnd w:id="50943"/>
      <w:bookmarkEnd w:id="50944"/>
      <w:r>
        <w:rPr>
          <w:rFonts w:hint="cs"/>
          <w:rtl/>
        </w:rPr>
        <w:t xml:space="preserve"> </w:t>
      </w:r>
      <w:bookmarkStart w:id="50945" w:name="_ETM_Q97_681200"/>
      <w:bookmarkEnd w:id="50945"/>
      <w:r>
        <w:rPr>
          <w:rFonts w:hint="cs"/>
          <w:rtl/>
        </w:rPr>
        <w:t xml:space="preserve">שואל </w:t>
      </w:r>
      <w:bookmarkStart w:id="50946" w:name="_ETM_Q97_681380"/>
      <w:bookmarkEnd w:id="50946"/>
      <w:r>
        <w:rPr>
          <w:rFonts w:hint="cs"/>
          <w:rtl/>
        </w:rPr>
        <w:t xml:space="preserve">את </w:t>
      </w:r>
      <w:bookmarkStart w:id="50947" w:name="_ETM_Q97_681470"/>
      <w:bookmarkEnd w:id="50947"/>
      <w:r>
        <w:rPr>
          <w:rFonts w:hint="cs"/>
          <w:rtl/>
        </w:rPr>
        <w:t xml:space="preserve">עצמי: </w:t>
      </w:r>
      <w:bookmarkStart w:id="50948" w:name="_ETM_Q97_682220"/>
      <w:bookmarkEnd w:id="50948"/>
      <w:r>
        <w:rPr>
          <w:rFonts w:hint="cs"/>
          <w:rtl/>
        </w:rPr>
        <w:t xml:space="preserve">מה </w:t>
      </w:r>
      <w:bookmarkStart w:id="50949" w:name="_ETM_Q97_682640"/>
      <w:bookmarkEnd w:id="50949"/>
      <w:r>
        <w:rPr>
          <w:rFonts w:hint="cs"/>
          <w:rtl/>
        </w:rPr>
        <w:t xml:space="preserve">ממשלת </w:t>
      </w:r>
      <w:bookmarkStart w:id="50950" w:name="_ETM_Q97_683390"/>
      <w:bookmarkEnd w:id="50950"/>
      <w:r>
        <w:rPr>
          <w:rFonts w:hint="cs"/>
          <w:rtl/>
        </w:rPr>
        <w:t xml:space="preserve">ישראל </w:t>
      </w:r>
      <w:bookmarkStart w:id="50951" w:name="_ETM_Q97_683930"/>
      <w:bookmarkEnd w:id="50951"/>
      <w:r>
        <w:rPr>
          <w:rFonts w:hint="cs"/>
          <w:rtl/>
        </w:rPr>
        <w:t xml:space="preserve">עושה </w:t>
      </w:r>
      <w:bookmarkStart w:id="50952" w:name="_ETM_Q97_684230"/>
      <w:bookmarkEnd w:id="50952"/>
      <w:r>
        <w:rPr>
          <w:rFonts w:hint="cs"/>
          <w:rtl/>
        </w:rPr>
        <w:t xml:space="preserve">בנדון? </w:t>
      </w:r>
      <w:bookmarkStart w:id="50953" w:name="_ETM_Q97_685999"/>
      <w:bookmarkStart w:id="50954" w:name="_ETM_Q97_686569"/>
      <w:bookmarkEnd w:id="50953"/>
      <w:bookmarkEnd w:id="50954"/>
      <w:r>
        <w:rPr>
          <w:rFonts w:hint="cs"/>
          <w:rtl/>
        </w:rPr>
        <w:t xml:space="preserve">התשובה העצובה </w:t>
      </w:r>
      <w:bookmarkStart w:id="50955" w:name="_ETM_Q97_687139"/>
      <w:bookmarkEnd w:id="50955"/>
      <w:r>
        <w:rPr>
          <w:rFonts w:hint="cs"/>
          <w:rtl/>
        </w:rPr>
        <w:t xml:space="preserve">היא </w:t>
      </w:r>
      <w:bookmarkStart w:id="50956" w:name="_ETM_Q97_687260"/>
      <w:bookmarkEnd w:id="50956"/>
      <w:r>
        <w:rPr>
          <w:rFonts w:hint="cs"/>
          <w:rtl/>
        </w:rPr>
        <w:t>ש</w:t>
      </w:r>
      <w:bookmarkStart w:id="50957" w:name="_ETM_Q97_688069"/>
      <w:bookmarkEnd w:id="50957"/>
      <w:r>
        <w:rPr>
          <w:rFonts w:hint="cs"/>
          <w:rtl/>
        </w:rPr>
        <w:t xml:space="preserve">לא </w:t>
      </w:r>
      <w:bookmarkStart w:id="50958" w:name="_ETM_Q97_688310"/>
      <w:bookmarkEnd w:id="50958"/>
      <w:r>
        <w:rPr>
          <w:rFonts w:hint="cs"/>
          <w:rtl/>
        </w:rPr>
        <w:t xml:space="preserve">רק </w:t>
      </w:r>
      <w:bookmarkStart w:id="50959" w:name="_ETM_Q97_688430"/>
      <w:bookmarkEnd w:id="50959"/>
      <w:r>
        <w:rPr>
          <w:rFonts w:hint="cs"/>
          <w:rtl/>
        </w:rPr>
        <w:t xml:space="preserve">שהממשלה </w:t>
      </w:r>
      <w:bookmarkStart w:id="50960" w:name="_ETM_Q97_689000"/>
      <w:bookmarkEnd w:id="50960"/>
      <w:r>
        <w:rPr>
          <w:rFonts w:hint="cs"/>
          <w:rtl/>
        </w:rPr>
        <w:t xml:space="preserve">לא </w:t>
      </w:r>
      <w:bookmarkStart w:id="50961" w:name="_ETM_Q97_689120"/>
      <w:bookmarkEnd w:id="50961"/>
      <w:r>
        <w:rPr>
          <w:rFonts w:hint="cs"/>
          <w:rtl/>
        </w:rPr>
        <w:t xml:space="preserve">עושה </w:t>
      </w:r>
      <w:bookmarkStart w:id="50962" w:name="_ETM_Q97_689660"/>
      <w:bookmarkEnd w:id="50962"/>
      <w:r>
        <w:rPr>
          <w:rFonts w:hint="cs"/>
          <w:rtl/>
        </w:rPr>
        <w:t xml:space="preserve">הרבה </w:t>
      </w:r>
      <w:bookmarkStart w:id="50963" w:name="_ETM_Q97_690200"/>
      <w:bookmarkEnd w:id="50963"/>
      <w:r>
        <w:rPr>
          <w:rFonts w:hint="cs"/>
          <w:rtl/>
        </w:rPr>
        <w:t xml:space="preserve">למען </w:t>
      </w:r>
      <w:bookmarkStart w:id="50964" w:name="_ETM_Q97_690739"/>
      <w:bookmarkEnd w:id="50964"/>
      <w:r>
        <w:rPr>
          <w:rFonts w:hint="cs"/>
          <w:rtl/>
        </w:rPr>
        <w:t xml:space="preserve">המאבק </w:t>
      </w:r>
      <w:bookmarkStart w:id="50965" w:name="_ETM_Q97_691160"/>
      <w:bookmarkEnd w:id="50965"/>
      <w:r>
        <w:rPr>
          <w:rFonts w:hint="cs"/>
          <w:rtl/>
        </w:rPr>
        <w:t xml:space="preserve">במשבר </w:t>
      </w:r>
      <w:bookmarkStart w:id="50966" w:name="_ETM_Q97_691640"/>
      <w:bookmarkEnd w:id="50966"/>
      <w:r>
        <w:rPr>
          <w:rFonts w:hint="cs"/>
          <w:rtl/>
        </w:rPr>
        <w:t xml:space="preserve">האקלים, </w:t>
      </w:r>
      <w:bookmarkStart w:id="50967" w:name="_ETM_Q97_692660"/>
      <w:bookmarkEnd w:id="50967"/>
      <w:r>
        <w:rPr>
          <w:rFonts w:hint="cs"/>
          <w:rtl/>
        </w:rPr>
        <w:t xml:space="preserve">הצעדים </w:t>
      </w:r>
      <w:bookmarkStart w:id="50968" w:name="_ETM_Q97_693260"/>
      <w:bookmarkEnd w:id="50968"/>
      <w:r>
        <w:rPr>
          <w:rFonts w:hint="cs"/>
          <w:rtl/>
        </w:rPr>
        <w:t xml:space="preserve">שהיא </w:t>
      </w:r>
      <w:bookmarkStart w:id="50969" w:name="_ETM_Q97_693440"/>
      <w:bookmarkEnd w:id="50969"/>
      <w:r>
        <w:rPr>
          <w:rFonts w:hint="cs"/>
          <w:rtl/>
        </w:rPr>
        <w:t xml:space="preserve">נוקטת </w:t>
      </w:r>
      <w:bookmarkStart w:id="50970" w:name="_ETM_Q97_693950"/>
      <w:bookmarkEnd w:id="50970"/>
      <w:r>
        <w:rPr>
          <w:rFonts w:hint="cs"/>
          <w:rtl/>
        </w:rPr>
        <w:t xml:space="preserve">בחודשים </w:t>
      </w:r>
      <w:bookmarkStart w:id="50971" w:name="_ETM_Q97_695030"/>
      <w:bookmarkEnd w:id="50971"/>
      <w:r>
        <w:rPr>
          <w:rFonts w:hint="cs"/>
          <w:rtl/>
        </w:rPr>
        <w:t xml:space="preserve">האחרונים </w:t>
      </w:r>
      <w:bookmarkStart w:id="50972" w:name="_ETM_Q97_696939"/>
      <w:bookmarkEnd w:id="50972"/>
      <w:r>
        <w:rPr>
          <w:rFonts w:hint="cs"/>
          <w:rtl/>
        </w:rPr>
        <w:t xml:space="preserve">הם </w:t>
      </w:r>
      <w:bookmarkStart w:id="50973" w:name="_ETM_Q97_697090"/>
      <w:bookmarkEnd w:id="50973"/>
      <w:r>
        <w:rPr>
          <w:rFonts w:hint="cs"/>
          <w:rtl/>
        </w:rPr>
        <w:t xml:space="preserve">מעוררי </w:t>
      </w:r>
      <w:bookmarkStart w:id="50974" w:name="_ETM_Q97_697569"/>
      <w:bookmarkEnd w:id="50974"/>
      <w:r>
        <w:rPr>
          <w:rFonts w:hint="cs"/>
          <w:rtl/>
        </w:rPr>
        <w:t xml:space="preserve">דאגה. </w:t>
      </w:r>
      <w:bookmarkStart w:id="50975" w:name="_ETM_Q97_699019"/>
      <w:bookmarkEnd w:id="50975"/>
      <w:r>
        <w:rPr>
          <w:rFonts w:hint="cs"/>
          <w:rtl/>
        </w:rPr>
        <w:t xml:space="preserve">הממשלה </w:t>
      </w:r>
      <w:bookmarkStart w:id="50976" w:name="_ETM_Q97_699769"/>
      <w:bookmarkEnd w:id="50976"/>
      <w:r>
        <w:rPr>
          <w:rFonts w:hint="cs"/>
          <w:rtl/>
        </w:rPr>
        <w:t xml:space="preserve">אישרה </w:t>
      </w:r>
      <w:bookmarkStart w:id="50977" w:name="_ETM_Q97_700069"/>
      <w:bookmarkEnd w:id="50977"/>
      <w:r>
        <w:rPr>
          <w:rFonts w:hint="cs"/>
          <w:rtl/>
        </w:rPr>
        <w:t xml:space="preserve">חוק </w:t>
      </w:r>
      <w:bookmarkStart w:id="50978" w:name="_ETM_Q97_700309"/>
      <w:bookmarkEnd w:id="50978"/>
      <w:r>
        <w:rPr>
          <w:rFonts w:hint="cs"/>
          <w:rtl/>
        </w:rPr>
        <w:t xml:space="preserve">הסדרים </w:t>
      </w:r>
      <w:bookmarkStart w:id="50979" w:name="_ETM_Q97_700790"/>
      <w:bookmarkEnd w:id="50979"/>
      <w:r>
        <w:rPr>
          <w:rFonts w:hint="cs"/>
          <w:rtl/>
        </w:rPr>
        <w:t xml:space="preserve">שהוא </w:t>
      </w:r>
      <w:bookmarkStart w:id="50980" w:name="_ETM_Q97_700999"/>
      <w:bookmarkEnd w:id="50980"/>
      <w:r>
        <w:rPr>
          <w:rFonts w:hint="cs"/>
          <w:rtl/>
        </w:rPr>
        <w:t xml:space="preserve">התקפה </w:t>
      </w:r>
      <w:bookmarkStart w:id="50981" w:name="_ETM_Q97_701510"/>
      <w:bookmarkEnd w:id="50981"/>
      <w:r>
        <w:rPr>
          <w:rFonts w:hint="cs"/>
          <w:rtl/>
        </w:rPr>
        <w:t xml:space="preserve">בוטה </w:t>
      </w:r>
      <w:bookmarkStart w:id="50982" w:name="_ETM_Q97_702530"/>
      <w:bookmarkEnd w:id="50982"/>
      <w:r>
        <w:rPr>
          <w:rFonts w:hint="cs"/>
          <w:rtl/>
        </w:rPr>
        <w:t xml:space="preserve">על </w:t>
      </w:r>
      <w:bookmarkStart w:id="50983" w:name="_ETM_Q97_702709"/>
      <w:bookmarkEnd w:id="50983"/>
      <w:r>
        <w:rPr>
          <w:rFonts w:hint="cs"/>
          <w:rtl/>
        </w:rPr>
        <w:t xml:space="preserve">הסביבה </w:t>
      </w:r>
      <w:bookmarkStart w:id="50984" w:name="_ETM_Q97_703280"/>
      <w:bookmarkEnd w:id="50984"/>
      <w:r>
        <w:rPr>
          <w:rFonts w:hint="cs"/>
          <w:rtl/>
        </w:rPr>
        <w:t xml:space="preserve">ועל </w:t>
      </w:r>
      <w:bookmarkStart w:id="50985" w:name="_ETM_Q97_703489"/>
      <w:bookmarkEnd w:id="50985"/>
      <w:r>
        <w:rPr>
          <w:rFonts w:hint="cs"/>
          <w:rtl/>
        </w:rPr>
        <w:t xml:space="preserve">בריאות </w:t>
      </w:r>
      <w:bookmarkStart w:id="50986" w:name="_ETM_Q97_703819"/>
      <w:bookmarkEnd w:id="50986"/>
      <w:r>
        <w:rPr>
          <w:rFonts w:hint="cs"/>
          <w:rtl/>
        </w:rPr>
        <w:t xml:space="preserve">הציבור; </w:t>
      </w:r>
      <w:bookmarkStart w:id="50987" w:name="_ETM_Q97_704960"/>
      <w:bookmarkEnd w:id="50987"/>
      <w:r>
        <w:rPr>
          <w:rFonts w:hint="cs"/>
          <w:rtl/>
        </w:rPr>
        <w:t xml:space="preserve">חוררו </w:t>
      </w:r>
      <w:bookmarkStart w:id="50988" w:name="_ETM_Q97_705650"/>
      <w:bookmarkEnd w:id="50988"/>
      <w:r>
        <w:rPr>
          <w:rFonts w:hint="cs"/>
          <w:rtl/>
        </w:rPr>
        <w:t xml:space="preserve">את </w:t>
      </w:r>
      <w:bookmarkStart w:id="50989" w:name="_ETM_Q97_705740"/>
      <w:bookmarkEnd w:id="50989"/>
      <w:r>
        <w:rPr>
          <w:rFonts w:hint="cs"/>
          <w:rtl/>
        </w:rPr>
        <w:t xml:space="preserve">חוק </w:t>
      </w:r>
      <w:bookmarkStart w:id="50990" w:name="_ETM_Q97_705950"/>
      <w:bookmarkEnd w:id="50990"/>
      <w:r>
        <w:rPr>
          <w:rFonts w:hint="cs"/>
          <w:rtl/>
        </w:rPr>
        <w:t xml:space="preserve">אוויר </w:t>
      </w:r>
      <w:bookmarkStart w:id="50991" w:name="_ETM_Q97_706190"/>
      <w:bookmarkEnd w:id="50991"/>
      <w:r>
        <w:rPr>
          <w:rFonts w:hint="cs"/>
          <w:rtl/>
        </w:rPr>
        <w:t xml:space="preserve">נקי </w:t>
      </w:r>
      <w:bookmarkStart w:id="50992" w:name="_ETM_Q97_706550"/>
      <w:bookmarkEnd w:id="50992"/>
      <w:r>
        <w:rPr>
          <w:rFonts w:hint="cs"/>
          <w:rtl/>
        </w:rPr>
        <w:t xml:space="preserve">באופן </w:t>
      </w:r>
      <w:bookmarkStart w:id="50993" w:name="_ETM_Q97_706940"/>
      <w:bookmarkEnd w:id="50993"/>
      <w:r>
        <w:rPr>
          <w:rFonts w:hint="cs"/>
          <w:rtl/>
        </w:rPr>
        <w:t xml:space="preserve">שמאפשר </w:t>
      </w:r>
      <w:bookmarkStart w:id="50994" w:name="_ETM_Q97_707510"/>
      <w:bookmarkEnd w:id="50994"/>
      <w:r>
        <w:rPr>
          <w:rFonts w:hint="cs"/>
          <w:rtl/>
        </w:rPr>
        <w:t xml:space="preserve">לתחנות </w:t>
      </w:r>
      <w:bookmarkStart w:id="50995" w:name="_ETM_Q97_708020"/>
      <w:bookmarkEnd w:id="50995"/>
      <w:r>
        <w:rPr>
          <w:rFonts w:hint="cs"/>
          <w:rtl/>
        </w:rPr>
        <w:t xml:space="preserve">כוח </w:t>
      </w:r>
      <w:bookmarkStart w:id="50996" w:name="_ETM_Q97_708380"/>
      <w:bookmarkEnd w:id="50996"/>
      <w:r>
        <w:rPr>
          <w:rFonts w:hint="cs"/>
          <w:rtl/>
        </w:rPr>
        <w:t xml:space="preserve">ולמפעלים </w:t>
      </w:r>
      <w:bookmarkStart w:id="50997" w:name="_ETM_Q97_709610"/>
      <w:bookmarkEnd w:id="50997"/>
      <w:r>
        <w:rPr>
          <w:rFonts w:hint="cs"/>
          <w:rtl/>
        </w:rPr>
        <w:t xml:space="preserve">לזהם </w:t>
      </w:r>
      <w:bookmarkStart w:id="50998" w:name="_ETM_Q97_710030"/>
      <w:bookmarkEnd w:id="50998"/>
      <w:r>
        <w:rPr>
          <w:rFonts w:hint="cs"/>
          <w:rtl/>
        </w:rPr>
        <w:t xml:space="preserve">מעבר </w:t>
      </w:r>
      <w:bookmarkStart w:id="50999" w:name="_ETM_Q97_710690"/>
      <w:bookmarkEnd w:id="50999"/>
      <w:r>
        <w:rPr>
          <w:rFonts w:hint="cs"/>
          <w:rtl/>
        </w:rPr>
        <w:t xml:space="preserve">להיתר </w:t>
      </w:r>
      <w:bookmarkStart w:id="51000" w:name="_ETM_Q97_711050"/>
      <w:bookmarkEnd w:id="51000"/>
      <w:r>
        <w:rPr>
          <w:rFonts w:hint="cs"/>
          <w:rtl/>
        </w:rPr>
        <w:t xml:space="preserve">הרעלים </w:t>
      </w:r>
      <w:bookmarkStart w:id="51001" w:name="_ETM_Q97_711500"/>
      <w:bookmarkEnd w:id="51001"/>
      <w:r>
        <w:rPr>
          <w:rFonts w:hint="cs"/>
          <w:rtl/>
        </w:rPr>
        <w:t xml:space="preserve">שלהם, </w:t>
      </w:r>
      <w:bookmarkStart w:id="51002" w:name="_ETM_Q97_711890"/>
      <w:bookmarkEnd w:id="51002"/>
      <w:r>
        <w:rPr>
          <w:rFonts w:hint="cs"/>
          <w:rtl/>
        </w:rPr>
        <w:t xml:space="preserve">עם </w:t>
      </w:r>
      <w:bookmarkStart w:id="51003" w:name="_ETM_Q97_712010"/>
      <w:bookmarkEnd w:id="51003"/>
      <w:r>
        <w:rPr>
          <w:rFonts w:hint="cs"/>
          <w:rtl/>
        </w:rPr>
        <w:t xml:space="preserve">מעט </w:t>
      </w:r>
      <w:bookmarkStart w:id="51004" w:name="_ETM_Q97_712550"/>
      <w:bookmarkEnd w:id="51004"/>
      <w:r>
        <w:rPr>
          <w:rFonts w:hint="cs"/>
          <w:rtl/>
        </w:rPr>
        <w:t xml:space="preserve">מאוד </w:t>
      </w:r>
      <w:bookmarkStart w:id="51005" w:name="_ETM_Q97_712910"/>
      <w:bookmarkEnd w:id="51005"/>
      <w:r>
        <w:rPr>
          <w:rFonts w:hint="cs"/>
          <w:rtl/>
        </w:rPr>
        <w:t xml:space="preserve">ביקורת </w:t>
      </w:r>
      <w:bookmarkStart w:id="51006" w:name="_ETM_Q97_713360"/>
      <w:bookmarkEnd w:id="51006"/>
      <w:r>
        <w:rPr>
          <w:rFonts w:hint="cs"/>
          <w:rtl/>
        </w:rPr>
        <w:t xml:space="preserve">של </w:t>
      </w:r>
      <w:bookmarkStart w:id="51007" w:name="_ETM_Q97_713480"/>
      <w:bookmarkEnd w:id="51007"/>
      <w:r>
        <w:rPr>
          <w:rFonts w:hint="cs"/>
          <w:rtl/>
        </w:rPr>
        <w:t xml:space="preserve">המשרד </w:t>
      </w:r>
      <w:bookmarkStart w:id="51008" w:name="_ETM_Q97_713870"/>
      <w:bookmarkEnd w:id="51008"/>
      <w:r>
        <w:rPr>
          <w:rFonts w:hint="cs"/>
          <w:rtl/>
        </w:rPr>
        <w:t xml:space="preserve">להגנת </w:t>
      </w:r>
      <w:bookmarkStart w:id="51009" w:name="_ETM_Q97_714290"/>
      <w:bookmarkEnd w:id="51009"/>
      <w:r>
        <w:rPr>
          <w:rFonts w:hint="cs"/>
          <w:rtl/>
        </w:rPr>
        <w:t xml:space="preserve">הסביבה; </w:t>
      </w:r>
      <w:bookmarkStart w:id="51010" w:name="_ETM_Q97_715720"/>
      <w:bookmarkEnd w:id="51010"/>
      <w:r>
        <w:rPr>
          <w:rFonts w:hint="cs"/>
          <w:rtl/>
        </w:rPr>
        <w:t xml:space="preserve">אישרו </w:t>
      </w:r>
      <w:bookmarkStart w:id="51011" w:name="_ETM_Q97_716319"/>
      <w:bookmarkEnd w:id="51011"/>
      <w:r>
        <w:rPr>
          <w:rFonts w:hint="cs"/>
          <w:rtl/>
        </w:rPr>
        <w:t xml:space="preserve">במסגרת </w:t>
      </w:r>
      <w:bookmarkStart w:id="51012" w:name="_ETM_Q97_716860"/>
      <w:bookmarkEnd w:id="51012"/>
      <w:r>
        <w:rPr>
          <w:rFonts w:hint="cs"/>
          <w:rtl/>
        </w:rPr>
        <w:t xml:space="preserve">החוק </w:t>
      </w:r>
      <w:bookmarkStart w:id="51013" w:name="_ETM_Q97_717340"/>
      <w:bookmarkEnd w:id="51013"/>
      <w:r>
        <w:rPr>
          <w:rFonts w:hint="cs"/>
          <w:rtl/>
        </w:rPr>
        <w:t xml:space="preserve">להקים </w:t>
      </w:r>
      <w:bookmarkStart w:id="51014" w:name="_ETM_Q97_717790"/>
      <w:bookmarkEnd w:id="51014"/>
      <w:r>
        <w:rPr>
          <w:rFonts w:hint="cs"/>
          <w:rtl/>
        </w:rPr>
        <w:t xml:space="preserve">מיזמים </w:t>
      </w:r>
      <w:bookmarkStart w:id="51015" w:name="_ETM_Q97_718300"/>
      <w:bookmarkEnd w:id="51015"/>
      <w:r>
        <w:rPr>
          <w:rFonts w:hint="cs"/>
          <w:rtl/>
        </w:rPr>
        <w:t xml:space="preserve">לאומיים </w:t>
      </w:r>
      <w:bookmarkStart w:id="51016" w:name="_ETM_Q97_718750"/>
      <w:bookmarkEnd w:id="51016"/>
      <w:r>
        <w:rPr>
          <w:rFonts w:hint="cs"/>
          <w:rtl/>
        </w:rPr>
        <w:t xml:space="preserve">מזהמים </w:t>
      </w:r>
      <w:bookmarkStart w:id="51017" w:name="_ETM_Q97_719470"/>
      <w:bookmarkEnd w:id="51017"/>
      <w:r>
        <w:rPr>
          <w:rFonts w:hint="cs"/>
          <w:rtl/>
        </w:rPr>
        <w:t xml:space="preserve">על </w:t>
      </w:r>
      <w:bookmarkStart w:id="51018" w:name="_ETM_Q97_719559"/>
      <w:bookmarkEnd w:id="51018"/>
      <w:r>
        <w:rPr>
          <w:rFonts w:hint="cs"/>
          <w:rtl/>
        </w:rPr>
        <w:t xml:space="preserve">רצועת </w:t>
      </w:r>
      <w:bookmarkStart w:id="51019" w:name="_ETM_Q97_720190"/>
      <w:bookmarkEnd w:id="51019"/>
      <w:r>
        <w:rPr>
          <w:rFonts w:hint="cs"/>
          <w:rtl/>
        </w:rPr>
        <w:t xml:space="preserve">החוף </w:t>
      </w:r>
      <w:bookmarkStart w:id="51020" w:name="_ETM_Q97_721190"/>
      <w:bookmarkEnd w:id="51020"/>
      <w:r>
        <w:rPr>
          <w:rFonts w:hint="cs"/>
          <w:rtl/>
        </w:rPr>
        <w:t>המצומצמת</w:t>
      </w:r>
      <w:bookmarkStart w:id="51021" w:name="_ETM_Q97_722059"/>
      <w:bookmarkEnd w:id="51021"/>
      <w:r>
        <w:rPr>
          <w:rFonts w:hint="cs"/>
          <w:rtl/>
        </w:rPr>
        <w:t xml:space="preserve"> והמוגבלת </w:t>
      </w:r>
      <w:bookmarkStart w:id="51022" w:name="_ETM_Q97_722690"/>
      <w:bookmarkEnd w:id="51022"/>
      <w:r>
        <w:rPr>
          <w:rFonts w:hint="cs"/>
          <w:rtl/>
        </w:rPr>
        <w:t xml:space="preserve">של ישראל, </w:t>
      </w:r>
      <w:bookmarkStart w:id="51023" w:name="_ETM_Q97_723230"/>
      <w:bookmarkEnd w:id="51023"/>
      <w:r>
        <w:rPr>
          <w:rFonts w:hint="cs"/>
          <w:rtl/>
        </w:rPr>
        <w:t xml:space="preserve">תוך </w:t>
      </w:r>
      <w:bookmarkStart w:id="51024" w:name="_ETM_Q97_723440"/>
      <w:bookmarkEnd w:id="51024"/>
      <w:r>
        <w:rPr>
          <w:rFonts w:hint="cs"/>
          <w:rtl/>
        </w:rPr>
        <w:t xml:space="preserve">עקיפה </w:t>
      </w:r>
      <w:bookmarkStart w:id="51025" w:name="_ETM_Q97_724540"/>
      <w:bookmarkEnd w:id="51025"/>
      <w:r>
        <w:rPr>
          <w:rFonts w:hint="cs"/>
          <w:rtl/>
        </w:rPr>
        <w:t xml:space="preserve">של </w:t>
      </w:r>
      <w:bookmarkStart w:id="51026" w:name="_ETM_Q97_724779"/>
      <w:bookmarkEnd w:id="51026"/>
      <w:r>
        <w:rPr>
          <w:rFonts w:hint="cs"/>
          <w:rtl/>
        </w:rPr>
        <w:t xml:space="preserve">הוועדה </w:t>
      </w:r>
      <w:bookmarkStart w:id="51027" w:name="_ETM_Q97_725290"/>
      <w:bookmarkEnd w:id="51027"/>
      <w:r>
        <w:rPr>
          <w:rFonts w:hint="cs"/>
          <w:rtl/>
        </w:rPr>
        <w:t xml:space="preserve">המקצועית </w:t>
      </w:r>
      <w:bookmarkStart w:id="51028" w:name="_ETM_Q97_725799"/>
      <w:bookmarkStart w:id="51029" w:name="_ETM_Q97_726669"/>
      <w:bookmarkEnd w:id="51028"/>
      <w:bookmarkEnd w:id="51029"/>
      <w:r>
        <w:rPr>
          <w:rFonts w:hint="cs"/>
          <w:rtl/>
        </w:rPr>
        <w:t xml:space="preserve">לשמירה </w:t>
      </w:r>
      <w:bookmarkStart w:id="51030" w:name="_ETM_Q97_727179"/>
      <w:bookmarkEnd w:id="51030"/>
      <w:r>
        <w:rPr>
          <w:rFonts w:hint="cs"/>
          <w:rtl/>
        </w:rPr>
        <w:t xml:space="preserve">על </w:t>
      </w:r>
      <w:bookmarkStart w:id="51031" w:name="_ETM_Q97_727269"/>
      <w:bookmarkEnd w:id="51031"/>
      <w:r>
        <w:rPr>
          <w:rFonts w:hint="cs"/>
          <w:rtl/>
        </w:rPr>
        <w:t xml:space="preserve">הסביבה </w:t>
      </w:r>
      <w:bookmarkStart w:id="51032" w:name="_ETM_Q97_727659"/>
      <w:bookmarkEnd w:id="51032"/>
      <w:r>
        <w:rPr>
          <w:rFonts w:hint="cs"/>
          <w:rtl/>
        </w:rPr>
        <w:t>החופית.</w:t>
      </w:r>
    </w:p>
    <w:p w:rsidR="00BB59CD" w:rsidRDefault="00BB59CD" w:rsidP="00BB59CD">
      <w:pPr>
        <w:rPr>
          <w:rtl/>
        </w:rPr>
      </w:pPr>
    </w:p>
    <w:p w:rsidR="00BB59CD" w:rsidRDefault="00BB59CD" w:rsidP="00B41626">
      <w:pPr>
        <w:rPr>
          <w:rtl/>
        </w:rPr>
      </w:pPr>
      <w:bookmarkStart w:id="51033" w:name="_ETM_Q97_729000"/>
      <w:bookmarkStart w:id="51034" w:name="_ETM_Q97_731030"/>
      <w:bookmarkEnd w:id="51033"/>
      <w:bookmarkEnd w:id="51034"/>
      <w:r>
        <w:rPr>
          <w:rFonts w:hint="cs"/>
          <w:rtl/>
        </w:rPr>
        <w:t xml:space="preserve">הממשלה </w:t>
      </w:r>
      <w:bookmarkStart w:id="51035" w:name="_ETM_Q97_731480"/>
      <w:bookmarkEnd w:id="51035"/>
      <w:r>
        <w:rPr>
          <w:rFonts w:hint="cs"/>
          <w:rtl/>
        </w:rPr>
        <w:t xml:space="preserve">קיצצה </w:t>
      </w:r>
      <w:bookmarkStart w:id="51036" w:name="_ETM_Q97_731960"/>
      <w:bookmarkEnd w:id="51036"/>
      <w:r>
        <w:rPr>
          <w:rFonts w:hint="cs"/>
          <w:rtl/>
        </w:rPr>
        <w:t xml:space="preserve">27 </w:t>
      </w:r>
      <w:bookmarkStart w:id="51037" w:name="_ETM_Q97_730000"/>
      <w:bookmarkEnd w:id="51037"/>
      <w:r>
        <w:rPr>
          <w:rFonts w:hint="cs"/>
          <w:rtl/>
        </w:rPr>
        <w:t xml:space="preserve">מיליון </w:t>
      </w:r>
      <w:bookmarkStart w:id="51038" w:name="_ETM_Q97_733250"/>
      <w:bookmarkEnd w:id="51038"/>
      <w:r>
        <w:rPr>
          <w:rFonts w:hint="cs"/>
          <w:rtl/>
        </w:rPr>
        <w:t xml:space="preserve">שקלים </w:t>
      </w:r>
      <w:bookmarkStart w:id="51039" w:name="_ETM_Q97_733730"/>
      <w:bookmarkEnd w:id="51039"/>
      <w:r>
        <w:rPr>
          <w:rFonts w:hint="cs"/>
          <w:rtl/>
        </w:rPr>
        <w:t xml:space="preserve">מתקציב </w:t>
      </w:r>
      <w:bookmarkStart w:id="51040" w:name="_ETM_Q97_734179"/>
      <w:bookmarkEnd w:id="51040"/>
      <w:r>
        <w:rPr>
          <w:rFonts w:hint="cs"/>
          <w:rtl/>
        </w:rPr>
        <w:t xml:space="preserve">המשרד </w:t>
      </w:r>
      <w:bookmarkStart w:id="51041" w:name="_ETM_Q97_734690"/>
      <w:bookmarkEnd w:id="51041"/>
      <w:r>
        <w:rPr>
          <w:rFonts w:hint="cs"/>
          <w:rtl/>
        </w:rPr>
        <w:t xml:space="preserve">להגנת </w:t>
      </w:r>
      <w:bookmarkStart w:id="51042" w:name="_ETM_Q97_735140"/>
      <w:bookmarkEnd w:id="51042"/>
      <w:r>
        <w:rPr>
          <w:rFonts w:hint="cs"/>
          <w:rtl/>
        </w:rPr>
        <w:t xml:space="preserve">הסביבה </w:t>
      </w:r>
      <w:bookmarkStart w:id="51043" w:name="_ETM_Q97_736100"/>
      <w:bookmarkStart w:id="51044" w:name="_ETM_Q97_736670"/>
      <w:bookmarkEnd w:id="51043"/>
      <w:bookmarkEnd w:id="51044"/>
      <w:r>
        <w:rPr>
          <w:rFonts w:hint="cs"/>
          <w:rtl/>
        </w:rPr>
        <w:t xml:space="preserve">ו-100 מיליון </w:t>
      </w:r>
      <w:bookmarkStart w:id="51045" w:name="_ETM_Q97_737059"/>
      <w:bookmarkEnd w:id="51045"/>
      <w:r>
        <w:rPr>
          <w:rFonts w:hint="cs"/>
          <w:rtl/>
        </w:rPr>
        <w:t xml:space="preserve">שקלים </w:t>
      </w:r>
      <w:bookmarkStart w:id="51046" w:name="_ETM_Q97_737880"/>
      <w:bookmarkEnd w:id="51046"/>
      <w:r>
        <w:rPr>
          <w:rFonts w:hint="cs"/>
          <w:rtl/>
        </w:rPr>
        <w:t xml:space="preserve">מתקציב </w:t>
      </w:r>
      <w:bookmarkStart w:id="51047" w:name="_ETM_Q97_738479"/>
      <w:bookmarkStart w:id="51048" w:name="_ETM_Q97_739440"/>
      <w:bookmarkEnd w:id="51047"/>
      <w:bookmarkEnd w:id="51048"/>
      <w:r>
        <w:rPr>
          <w:rFonts w:hint="cs"/>
          <w:rtl/>
        </w:rPr>
        <w:t xml:space="preserve">הרשות </w:t>
      </w:r>
      <w:bookmarkStart w:id="51049" w:name="_ETM_Q97_739919"/>
      <w:bookmarkEnd w:id="51049"/>
      <w:r>
        <w:rPr>
          <w:rFonts w:hint="cs"/>
          <w:rtl/>
        </w:rPr>
        <w:t xml:space="preserve">הלאומית </w:t>
      </w:r>
      <w:bookmarkStart w:id="51050" w:name="_ETM_Q97_740340"/>
      <w:bookmarkEnd w:id="51050"/>
      <w:r>
        <w:rPr>
          <w:rFonts w:hint="cs"/>
          <w:rtl/>
        </w:rPr>
        <w:t xml:space="preserve">לחדשנות, </w:t>
      </w:r>
      <w:bookmarkStart w:id="51051" w:name="_ETM_Q97_742010"/>
      <w:bookmarkEnd w:id="51051"/>
      <w:r>
        <w:rPr>
          <w:rFonts w:hint="cs"/>
          <w:rtl/>
        </w:rPr>
        <w:t xml:space="preserve">זו </w:t>
      </w:r>
      <w:bookmarkStart w:id="51052" w:name="_ETM_Q97_742220"/>
      <w:bookmarkEnd w:id="51052"/>
      <w:r>
        <w:rPr>
          <w:rFonts w:hint="cs"/>
          <w:rtl/>
        </w:rPr>
        <w:t xml:space="preserve">שמשקיעה </w:t>
      </w:r>
      <w:bookmarkStart w:id="51053" w:name="_ETM_Q97_743360"/>
      <w:bookmarkEnd w:id="51053"/>
      <w:r>
        <w:rPr>
          <w:rFonts w:hint="cs"/>
          <w:rtl/>
        </w:rPr>
        <w:t xml:space="preserve">בסטרטאפים </w:t>
      </w:r>
      <w:bookmarkStart w:id="51054" w:name="_ETM_Q97_744980"/>
      <w:bookmarkEnd w:id="51054"/>
      <w:r>
        <w:rPr>
          <w:rFonts w:hint="cs"/>
          <w:rtl/>
        </w:rPr>
        <w:t xml:space="preserve">ובמיזמים </w:t>
      </w:r>
      <w:bookmarkStart w:id="51055" w:name="_ETM_Q97_746390"/>
      <w:bookmarkEnd w:id="51055"/>
      <w:r>
        <w:rPr>
          <w:rFonts w:hint="cs"/>
          <w:rtl/>
        </w:rPr>
        <w:t xml:space="preserve">שעוסקים </w:t>
      </w:r>
      <w:bookmarkStart w:id="51056" w:name="_ETM_Q97_746990"/>
      <w:bookmarkEnd w:id="51056"/>
      <w:r>
        <w:rPr>
          <w:rFonts w:hint="cs"/>
          <w:rtl/>
        </w:rPr>
        <w:t xml:space="preserve">במחקר </w:t>
      </w:r>
      <w:bookmarkStart w:id="51057" w:name="_ETM_Q97_747770"/>
      <w:bookmarkEnd w:id="51057"/>
      <w:r>
        <w:rPr>
          <w:rFonts w:hint="cs"/>
          <w:rtl/>
        </w:rPr>
        <w:t xml:space="preserve">ופיתוח </w:t>
      </w:r>
      <w:bookmarkStart w:id="51058" w:name="_ETM_Q97_749040"/>
      <w:bookmarkEnd w:id="51058"/>
      <w:r>
        <w:rPr>
          <w:rFonts w:hint="cs"/>
          <w:rtl/>
        </w:rPr>
        <w:t xml:space="preserve">של </w:t>
      </w:r>
      <w:bookmarkStart w:id="51059" w:name="_ETM_Q97_749309"/>
      <w:bookmarkEnd w:id="51059"/>
      <w:r>
        <w:rPr>
          <w:rFonts w:hint="cs"/>
          <w:rtl/>
        </w:rPr>
        <w:t xml:space="preserve">אנרגיות </w:t>
      </w:r>
      <w:bookmarkStart w:id="51060" w:name="_ETM_Q97_749730"/>
      <w:bookmarkEnd w:id="51060"/>
      <w:r>
        <w:rPr>
          <w:rFonts w:hint="cs"/>
          <w:rtl/>
        </w:rPr>
        <w:t xml:space="preserve">מתחדשות, </w:t>
      </w:r>
      <w:bookmarkStart w:id="51061" w:name="_ETM_Q97_750390"/>
      <w:bookmarkEnd w:id="51061"/>
      <w:r>
        <w:rPr>
          <w:rFonts w:hint="cs"/>
          <w:rtl/>
        </w:rPr>
        <w:t xml:space="preserve">של </w:t>
      </w:r>
      <w:bookmarkStart w:id="51062" w:name="_ETM_Q97_750510"/>
      <w:bookmarkEnd w:id="51062"/>
      <w:r>
        <w:rPr>
          <w:rFonts w:hint="cs"/>
          <w:rtl/>
        </w:rPr>
        <w:t xml:space="preserve">אנרגיות </w:t>
      </w:r>
      <w:bookmarkStart w:id="51063" w:name="_ETM_Q97_751020"/>
      <w:bookmarkEnd w:id="51063"/>
      <w:r>
        <w:rPr>
          <w:rFonts w:hint="cs"/>
          <w:rtl/>
        </w:rPr>
        <w:t xml:space="preserve">ירוקות. </w:t>
      </w:r>
      <w:bookmarkStart w:id="51064" w:name="_ETM_Q97_752979"/>
      <w:bookmarkEnd w:id="51064"/>
      <w:r>
        <w:rPr>
          <w:rFonts w:hint="cs"/>
          <w:rtl/>
        </w:rPr>
        <w:t xml:space="preserve">הממשלה </w:t>
      </w:r>
      <w:bookmarkStart w:id="51065" w:name="_ETM_Q97_753490"/>
      <w:bookmarkEnd w:id="51065"/>
      <w:r>
        <w:rPr>
          <w:rFonts w:hint="cs"/>
          <w:rtl/>
        </w:rPr>
        <w:t xml:space="preserve">אישרה </w:t>
      </w:r>
      <w:bookmarkStart w:id="51066" w:name="_ETM_Q97_753970"/>
      <w:bookmarkEnd w:id="51066"/>
      <w:r>
        <w:rPr>
          <w:rFonts w:hint="cs"/>
          <w:rtl/>
        </w:rPr>
        <w:t xml:space="preserve">הקמה </w:t>
      </w:r>
      <w:bookmarkStart w:id="51067" w:name="_ETM_Q97_754389"/>
      <w:bookmarkEnd w:id="51067"/>
      <w:r>
        <w:rPr>
          <w:rFonts w:hint="cs"/>
          <w:rtl/>
        </w:rPr>
        <w:t xml:space="preserve">של </w:t>
      </w:r>
      <w:bookmarkStart w:id="51068" w:name="_ETM_Q97_754539"/>
      <w:bookmarkEnd w:id="51068"/>
      <w:r>
        <w:rPr>
          <w:rFonts w:hint="cs"/>
          <w:rtl/>
        </w:rPr>
        <w:t xml:space="preserve">תחנת </w:t>
      </w:r>
      <w:bookmarkStart w:id="51069" w:name="_ETM_Q97_754900"/>
      <w:bookmarkEnd w:id="51069"/>
      <w:r>
        <w:rPr>
          <w:rFonts w:hint="cs"/>
          <w:rtl/>
        </w:rPr>
        <w:t xml:space="preserve">כוח </w:t>
      </w:r>
      <w:bookmarkStart w:id="51070" w:name="_ETM_Q97_755139"/>
      <w:bookmarkEnd w:id="51070"/>
      <w:r>
        <w:rPr>
          <w:rFonts w:hint="cs"/>
          <w:rtl/>
        </w:rPr>
        <w:t xml:space="preserve">חדשה </w:t>
      </w:r>
      <w:bookmarkStart w:id="51071" w:name="_ETM_Q97_755620"/>
      <w:bookmarkEnd w:id="51071"/>
      <w:r>
        <w:rPr>
          <w:rFonts w:hint="cs"/>
          <w:rtl/>
        </w:rPr>
        <w:t xml:space="preserve">ומזהמת </w:t>
      </w:r>
      <w:bookmarkStart w:id="51072" w:name="_ETM_Q97_756309"/>
      <w:bookmarkEnd w:id="51072"/>
      <w:r>
        <w:rPr>
          <w:rFonts w:hint="cs"/>
          <w:rtl/>
        </w:rPr>
        <w:t xml:space="preserve">בלב </w:t>
      </w:r>
      <w:bookmarkStart w:id="51073" w:name="_ETM_Q97_756789"/>
      <w:bookmarkEnd w:id="51073"/>
      <w:r>
        <w:rPr>
          <w:rFonts w:hint="cs"/>
          <w:rtl/>
        </w:rPr>
        <w:t xml:space="preserve">ריכוזי </w:t>
      </w:r>
      <w:bookmarkStart w:id="51074" w:name="_ETM_Q97_757330"/>
      <w:bookmarkEnd w:id="51074"/>
      <w:r>
        <w:rPr>
          <w:rFonts w:hint="cs"/>
          <w:rtl/>
        </w:rPr>
        <w:t xml:space="preserve">אוכלוסייה, </w:t>
      </w:r>
      <w:bookmarkStart w:id="51075" w:name="_ETM_Q97_758470"/>
      <w:bookmarkEnd w:id="51075"/>
      <w:r>
        <w:rPr>
          <w:rFonts w:hint="cs"/>
          <w:rtl/>
        </w:rPr>
        <w:t xml:space="preserve">תחנת </w:t>
      </w:r>
      <w:bookmarkStart w:id="51076" w:name="_ETM_Q97_758890"/>
      <w:bookmarkEnd w:id="51076"/>
      <w:r>
        <w:rPr>
          <w:rFonts w:hint="cs"/>
          <w:rtl/>
        </w:rPr>
        <w:t>קסם</w:t>
      </w:r>
      <w:bookmarkStart w:id="51077" w:name="_ETM_Q97_759670"/>
      <w:bookmarkEnd w:id="51077"/>
      <w:r>
        <w:rPr>
          <w:rFonts w:hint="cs"/>
          <w:rtl/>
        </w:rPr>
        <w:t xml:space="preserve"> בכפר </w:t>
      </w:r>
      <w:bookmarkStart w:id="51078" w:name="_ETM_Q97_760180"/>
      <w:bookmarkEnd w:id="51078"/>
      <w:r>
        <w:rPr>
          <w:rFonts w:hint="cs"/>
          <w:rtl/>
        </w:rPr>
        <w:t xml:space="preserve">קאסם, </w:t>
      </w:r>
      <w:bookmarkStart w:id="51079" w:name="_ETM_Q97_760570"/>
      <w:bookmarkEnd w:id="51079"/>
      <w:r>
        <w:rPr>
          <w:rFonts w:hint="cs"/>
          <w:rtl/>
        </w:rPr>
        <w:t xml:space="preserve">סמוך </w:t>
      </w:r>
      <w:bookmarkStart w:id="51080" w:name="_ETM_Q97_761020"/>
      <w:bookmarkEnd w:id="51080"/>
      <w:r>
        <w:rPr>
          <w:rFonts w:hint="cs"/>
          <w:rtl/>
        </w:rPr>
        <w:t xml:space="preserve">לאורנית, </w:t>
      </w:r>
      <w:bookmarkStart w:id="51081" w:name="_ETM_Q97_761590"/>
      <w:bookmarkEnd w:id="51081"/>
      <w:r>
        <w:rPr>
          <w:rFonts w:hint="cs"/>
          <w:rtl/>
        </w:rPr>
        <w:t xml:space="preserve">לראש </w:t>
      </w:r>
      <w:bookmarkStart w:id="51082" w:name="_ETM_Q97_761950"/>
      <w:bookmarkEnd w:id="51082"/>
      <w:r>
        <w:rPr>
          <w:rFonts w:hint="cs"/>
          <w:rtl/>
        </w:rPr>
        <w:t xml:space="preserve">העין, </w:t>
      </w:r>
      <w:bookmarkStart w:id="51083" w:name="_ETM_Q97_763559"/>
      <w:bookmarkEnd w:id="51083"/>
      <w:r>
        <w:rPr>
          <w:rFonts w:hint="cs"/>
          <w:rtl/>
        </w:rPr>
        <w:t xml:space="preserve">ואישרתם </w:t>
      </w:r>
      <w:bookmarkStart w:id="51084" w:name="_ETM_Q97_765679"/>
      <w:bookmarkEnd w:id="51084"/>
      <w:r>
        <w:rPr>
          <w:rFonts w:hint="cs"/>
          <w:rtl/>
        </w:rPr>
        <w:t xml:space="preserve">המשך </w:t>
      </w:r>
      <w:bookmarkStart w:id="51085" w:name="_ETM_Q97_766100"/>
      <w:bookmarkEnd w:id="51085"/>
      <w:r>
        <w:rPr>
          <w:rFonts w:hint="cs"/>
          <w:rtl/>
        </w:rPr>
        <w:t xml:space="preserve">ייצור </w:t>
      </w:r>
      <w:bookmarkStart w:id="51086" w:name="_ETM_Q97_766400"/>
      <w:bookmarkEnd w:id="51086"/>
      <w:r>
        <w:rPr>
          <w:rFonts w:hint="cs"/>
          <w:rtl/>
        </w:rPr>
        <w:t xml:space="preserve">של </w:t>
      </w:r>
      <w:bookmarkStart w:id="51087" w:name="_ETM_Q97_766550"/>
      <w:bookmarkEnd w:id="51087"/>
      <w:r>
        <w:rPr>
          <w:rFonts w:hint="cs"/>
          <w:rtl/>
        </w:rPr>
        <w:t xml:space="preserve">חשמל </w:t>
      </w:r>
      <w:bookmarkStart w:id="51088" w:name="_ETM_Q97_766970"/>
      <w:bookmarkEnd w:id="51088"/>
      <w:r>
        <w:rPr>
          <w:rFonts w:hint="cs"/>
          <w:rtl/>
        </w:rPr>
        <w:t xml:space="preserve">בתחנת </w:t>
      </w:r>
      <w:bookmarkStart w:id="51089" w:name="_ETM_Q97_767450"/>
      <w:bookmarkEnd w:id="51089"/>
      <w:r>
        <w:rPr>
          <w:rFonts w:hint="cs"/>
          <w:rtl/>
        </w:rPr>
        <w:t>הכוח רדינג</w:t>
      </w:r>
      <w:bookmarkStart w:id="51090" w:name="_ETM_Q97_767690"/>
      <w:bookmarkEnd w:id="51090"/>
      <w:r>
        <w:rPr>
          <w:rFonts w:hint="cs"/>
          <w:rtl/>
        </w:rPr>
        <w:t xml:space="preserve"> </w:t>
      </w:r>
      <w:bookmarkStart w:id="51091" w:name="_ETM_Q97_768200"/>
      <w:bookmarkEnd w:id="51091"/>
      <w:r>
        <w:rPr>
          <w:rFonts w:hint="cs"/>
          <w:rtl/>
        </w:rPr>
        <w:t xml:space="preserve">בתל </w:t>
      </w:r>
      <w:bookmarkStart w:id="51092" w:name="_ETM_Q97_768545"/>
      <w:bookmarkEnd w:id="51092"/>
      <w:r>
        <w:rPr>
          <w:rFonts w:hint="cs"/>
          <w:rtl/>
        </w:rPr>
        <w:t>אביב</w:t>
      </w:r>
      <w:bookmarkStart w:id="51093" w:name="_ETM_Q97_770270"/>
      <w:bookmarkEnd w:id="51093"/>
      <w:r>
        <w:rPr>
          <w:rFonts w:hint="cs"/>
          <w:rtl/>
        </w:rPr>
        <w:t xml:space="preserve">. </w:t>
      </w:r>
    </w:p>
    <w:p w:rsidR="00BB59CD" w:rsidRDefault="00BB59CD" w:rsidP="00BB59CD">
      <w:pPr>
        <w:pStyle w:val="ETSpeechToText"/>
        <w:rPr>
          <w:rtl/>
        </w:rPr>
      </w:pPr>
    </w:p>
    <w:p w:rsidR="00BB59CD" w:rsidRDefault="00BB59CD" w:rsidP="00B41626">
      <w:pPr>
        <w:rPr>
          <w:rtl/>
        </w:rPr>
      </w:pPr>
      <w:bookmarkStart w:id="51094" w:name="TOR_Q98"/>
      <w:bookmarkEnd w:id="51094"/>
      <w:r>
        <w:rPr>
          <w:rFonts w:hint="cs"/>
          <w:rtl/>
        </w:rPr>
        <w:t xml:space="preserve">ביטלתם את המס על הכלים החד-פעמיים, שהוכח כיעיל מאוד מאוד מאוד להפחתת השימוש </w:t>
      </w:r>
      <w:bookmarkStart w:id="51095" w:name="_ETM_Q98_179000"/>
      <w:bookmarkEnd w:id="51095"/>
      <w:r>
        <w:rPr>
          <w:rFonts w:hint="cs"/>
          <w:rtl/>
        </w:rPr>
        <w:t xml:space="preserve">בהם. דחיתם את העבודות על המטרו, מה שיוביל להגברת </w:t>
      </w:r>
      <w:bookmarkStart w:id="51096" w:name="_ETM_Q98_181000"/>
      <w:bookmarkEnd w:id="51096"/>
      <w:r>
        <w:rPr>
          <w:rFonts w:hint="cs"/>
          <w:rtl/>
        </w:rPr>
        <w:t>הפקקים ולזיהום האוויר בכל מדינת ישראל, זיהום שגורם לתחלואה ולתמותה.</w:t>
      </w:r>
      <w:bookmarkStart w:id="51097" w:name="_ETM_Q98_15000"/>
      <w:bookmarkStart w:id="51098" w:name="_ETM_Q98_16000"/>
      <w:bookmarkStart w:id="51099" w:name="_ETM_Q98_9000"/>
      <w:bookmarkStart w:id="51100" w:name="_ETM_Q98_189470"/>
      <w:bookmarkEnd w:id="51097"/>
      <w:bookmarkEnd w:id="51098"/>
      <w:bookmarkEnd w:id="51099"/>
      <w:bookmarkEnd w:id="51100"/>
      <w:r>
        <w:rPr>
          <w:rFonts w:hint="cs"/>
          <w:rtl/>
        </w:rPr>
        <w:t xml:space="preserve"> ביטלתם </w:t>
      </w:r>
      <w:bookmarkStart w:id="51101" w:name="_ETM_Q98_190160"/>
      <w:bookmarkEnd w:id="51101"/>
      <w:r>
        <w:rPr>
          <w:rFonts w:hint="cs"/>
          <w:rtl/>
        </w:rPr>
        <w:t xml:space="preserve">את </w:t>
      </w:r>
      <w:bookmarkStart w:id="51102" w:name="_ETM_Q98_190250"/>
      <w:bookmarkEnd w:id="51102"/>
      <w:r>
        <w:rPr>
          <w:rFonts w:hint="cs"/>
          <w:rtl/>
        </w:rPr>
        <w:t xml:space="preserve">התוכניות </w:t>
      </w:r>
      <w:bookmarkStart w:id="51103" w:name="_ETM_Q98_190700"/>
      <w:bookmarkEnd w:id="51103"/>
      <w:r>
        <w:rPr>
          <w:rFonts w:hint="cs"/>
          <w:rtl/>
        </w:rPr>
        <w:t xml:space="preserve">לפינוי </w:t>
      </w:r>
      <w:bookmarkStart w:id="51104" w:name="_ETM_Q98_191119"/>
      <w:bookmarkEnd w:id="51104"/>
      <w:r>
        <w:rPr>
          <w:rFonts w:hint="cs"/>
          <w:rtl/>
        </w:rPr>
        <w:t xml:space="preserve">התחנה </w:t>
      </w:r>
      <w:bookmarkStart w:id="51105" w:name="_ETM_Q98_191480"/>
      <w:bookmarkEnd w:id="51105"/>
      <w:r>
        <w:rPr>
          <w:rFonts w:hint="cs"/>
          <w:rtl/>
        </w:rPr>
        <w:t xml:space="preserve">המרכזית </w:t>
      </w:r>
      <w:bookmarkStart w:id="51106" w:name="_ETM_Q98_191900"/>
      <w:bookmarkEnd w:id="51106"/>
      <w:r>
        <w:rPr>
          <w:rFonts w:hint="cs"/>
          <w:rtl/>
        </w:rPr>
        <w:t xml:space="preserve">בתל </w:t>
      </w:r>
      <w:bookmarkStart w:id="51107" w:name="_ETM_Q98_192170"/>
      <w:bookmarkEnd w:id="51107"/>
      <w:r>
        <w:rPr>
          <w:rFonts w:hint="cs"/>
          <w:rtl/>
        </w:rPr>
        <w:t xml:space="preserve">אביב, </w:t>
      </w:r>
      <w:bookmarkStart w:id="51108" w:name="_ETM_Q98_193039"/>
      <w:bookmarkEnd w:id="51108"/>
      <w:r>
        <w:rPr>
          <w:rFonts w:hint="cs"/>
          <w:rtl/>
        </w:rPr>
        <w:t>שהיא אחד מ</w:t>
      </w:r>
      <w:bookmarkStart w:id="51109" w:name="_ETM_Q98_193580"/>
      <w:bookmarkEnd w:id="51109"/>
      <w:r>
        <w:rPr>
          <w:rFonts w:hint="cs"/>
          <w:rtl/>
        </w:rPr>
        <w:t xml:space="preserve">מפגעי </w:t>
      </w:r>
      <w:bookmarkStart w:id="51110" w:name="_ETM_Q98_194030"/>
      <w:bookmarkEnd w:id="51110"/>
      <w:r>
        <w:rPr>
          <w:rFonts w:hint="cs"/>
          <w:rtl/>
        </w:rPr>
        <w:t xml:space="preserve">הזיהום </w:t>
      </w:r>
      <w:bookmarkStart w:id="51111" w:name="_ETM_Q98_194389"/>
      <w:bookmarkEnd w:id="51111"/>
      <w:r>
        <w:rPr>
          <w:rFonts w:hint="cs"/>
          <w:rtl/>
        </w:rPr>
        <w:t xml:space="preserve">החמורים </w:t>
      </w:r>
      <w:bookmarkStart w:id="51112" w:name="_ETM_Q98_195469"/>
      <w:bookmarkEnd w:id="51112"/>
      <w:r>
        <w:rPr>
          <w:rFonts w:hint="cs"/>
          <w:rtl/>
        </w:rPr>
        <w:t xml:space="preserve">ביותר </w:t>
      </w:r>
      <w:bookmarkStart w:id="51113" w:name="_ETM_Q98_195860"/>
      <w:bookmarkEnd w:id="51113"/>
      <w:r>
        <w:rPr>
          <w:rFonts w:hint="cs"/>
          <w:rtl/>
        </w:rPr>
        <w:t xml:space="preserve">בישראל, </w:t>
      </w:r>
      <w:bookmarkStart w:id="51114" w:name="_ETM_Q98_196310"/>
      <w:bookmarkEnd w:id="51114"/>
      <w:r>
        <w:rPr>
          <w:rFonts w:hint="cs"/>
          <w:rtl/>
        </w:rPr>
        <w:t xml:space="preserve">אולי </w:t>
      </w:r>
      <w:bookmarkStart w:id="51115" w:name="_ETM_Q98_196550"/>
      <w:bookmarkEnd w:id="51115"/>
      <w:r>
        <w:rPr>
          <w:rFonts w:hint="cs"/>
          <w:rtl/>
        </w:rPr>
        <w:t xml:space="preserve">שני </w:t>
      </w:r>
      <w:bookmarkStart w:id="51116" w:name="_ETM_Q98_197000"/>
      <w:bookmarkEnd w:id="51116"/>
      <w:r>
        <w:rPr>
          <w:rFonts w:hint="cs"/>
          <w:rtl/>
        </w:rPr>
        <w:t xml:space="preserve">רק </w:t>
      </w:r>
      <w:bookmarkStart w:id="51117" w:name="_ETM_Q98_197739"/>
      <w:bookmarkEnd w:id="51117"/>
      <w:r>
        <w:rPr>
          <w:rFonts w:hint="cs"/>
          <w:rtl/>
        </w:rPr>
        <w:t xml:space="preserve">למטרופולין </w:t>
      </w:r>
      <w:bookmarkStart w:id="51118" w:name="_ETM_Q98_198669"/>
      <w:bookmarkEnd w:id="51118"/>
      <w:r>
        <w:rPr>
          <w:rFonts w:hint="cs"/>
          <w:rtl/>
        </w:rPr>
        <w:t xml:space="preserve">ולפעילות </w:t>
      </w:r>
      <w:bookmarkStart w:id="51119" w:name="_ETM_Q98_199179"/>
      <w:bookmarkEnd w:id="51119"/>
      <w:r>
        <w:rPr>
          <w:rFonts w:hint="cs"/>
          <w:rtl/>
        </w:rPr>
        <w:t xml:space="preserve">הפטרוכימית </w:t>
      </w:r>
      <w:bookmarkStart w:id="51120" w:name="_ETM_Q98_200470"/>
      <w:bookmarkEnd w:id="51120"/>
      <w:r>
        <w:rPr>
          <w:rFonts w:hint="cs"/>
          <w:rtl/>
        </w:rPr>
        <w:t xml:space="preserve">בחיפה </w:t>
      </w:r>
      <w:bookmarkStart w:id="51121" w:name="_ETM_Q98_202060"/>
      <w:bookmarkEnd w:id="51121"/>
      <w:r w:rsidR="00B41626">
        <w:rPr>
          <w:rFonts w:hint="eastAsia"/>
          <w:rtl/>
        </w:rPr>
        <w:t>–</w:t>
      </w:r>
      <w:r w:rsidR="00B41626">
        <w:rPr>
          <w:rFonts w:hint="cs"/>
          <w:rtl/>
        </w:rPr>
        <w:t xml:space="preserve"> </w:t>
      </w:r>
      <w:r>
        <w:rPr>
          <w:rFonts w:hint="cs"/>
          <w:rtl/>
        </w:rPr>
        <w:t xml:space="preserve">אין </w:t>
      </w:r>
      <w:bookmarkStart w:id="51122" w:name="_ETM_Q98_202359"/>
      <w:bookmarkEnd w:id="51122"/>
      <w:r>
        <w:rPr>
          <w:rFonts w:hint="cs"/>
          <w:rtl/>
        </w:rPr>
        <w:t xml:space="preserve">כרגע </w:t>
      </w:r>
      <w:bookmarkStart w:id="51123" w:name="_ETM_Q98_202720"/>
      <w:bookmarkEnd w:id="51123"/>
      <w:r>
        <w:rPr>
          <w:rFonts w:hint="cs"/>
          <w:rtl/>
        </w:rPr>
        <w:t xml:space="preserve">שום </w:t>
      </w:r>
      <w:bookmarkStart w:id="51124" w:name="_ETM_Q98_203050"/>
      <w:bookmarkEnd w:id="51124"/>
      <w:r>
        <w:rPr>
          <w:rFonts w:hint="cs"/>
          <w:rtl/>
        </w:rPr>
        <w:t xml:space="preserve">חלופה </w:t>
      </w:r>
      <w:bookmarkStart w:id="51125" w:name="_ETM_Q98_204550"/>
      <w:bookmarkEnd w:id="51125"/>
      <w:r>
        <w:rPr>
          <w:rFonts w:hint="cs"/>
          <w:rtl/>
        </w:rPr>
        <w:t xml:space="preserve">על השולחן לפינוי </w:t>
      </w:r>
      <w:bookmarkStart w:id="51126" w:name="_ETM_Q98_205029"/>
      <w:bookmarkEnd w:id="51126"/>
      <w:r>
        <w:rPr>
          <w:rFonts w:hint="cs"/>
          <w:rtl/>
        </w:rPr>
        <w:t xml:space="preserve">התחנה </w:t>
      </w:r>
      <w:bookmarkStart w:id="51127" w:name="_ETM_Q98_205749"/>
      <w:bookmarkEnd w:id="51127"/>
      <w:r>
        <w:rPr>
          <w:rFonts w:hint="cs"/>
          <w:rtl/>
        </w:rPr>
        <w:t xml:space="preserve">המרכזית </w:t>
      </w:r>
      <w:bookmarkStart w:id="51128" w:name="_ETM_Q98_206289"/>
      <w:bookmarkEnd w:id="51128"/>
      <w:r>
        <w:rPr>
          <w:rFonts w:hint="cs"/>
          <w:rtl/>
        </w:rPr>
        <w:t xml:space="preserve">בתל </w:t>
      </w:r>
      <w:bookmarkStart w:id="51129" w:name="_ETM_Q98_206559"/>
      <w:bookmarkEnd w:id="51129"/>
      <w:r>
        <w:rPr>
          <w:rFonts w:hint="cs"/>
          <w:rtl/>
        </w:rPr>
        <w:t>אביב</w:t>
      </w:r>
      <w:bookmarkStart w:id="51130" w:name="_ETM_Q98_207099"/>
      <w:bookmarkStart w:id="51131" w:name="_ETM_Q98_207249"/>
      <w:bookmarkEnd w:id="51130"/>
      <w:bookmarkEnd w:id="51131"/>
      <w:r>
        <w:rPr>
          <w:rFonts w:hint="cs"/>
          <w:rtl/>
        </w:rPr>
        <w:t xml:space="preserve">. </w:t>
      </w:r>
      <w:bookmarkStart w:id="51132" w:name="_ETM_Q98_208740"/>
      <w:bookmarkStart w:id="51133" w:name="_ETM_Q98_206000"/>
      <w:bookmarkEnd w:id="51132"/>
      <w:bookmarkEnd w:id="51133"/>
      <w:r>
        <w:rPr>
          <w:rFonts w:hint="cs"/>
          <w:rtl/>
        </w:rPr>
        <w:t xml:space="preserve">קידמתם </w:t>
      </w:r>
      <w:bookmarkStart w:id="51134" w:name="_ETM_Q98_210670"/>
      <w:bookmarkEnd w:id="51134"/>
      <w:r>
        <w:rPr>
          <w:rFonts w:hint="cs"/>
          <w:rtl/>
        </w:rPr>
        <w:t xml:space="preserve">בימים </w:t>
      </w:r>
      <w:bookmarkStart w:id="51135" w:name="_ETM_Q98_211119"/>
      <w:bookmarkEnd w:id="51135"/>
      <w:r>
        <w:rPr>
          <w:rFonts w:hint="cs"/>
          <w:rtl/>
        </w:rPr>
        <w:t xml:space="preserve">אלה </w:t>
      </w:r>
      <w:r>
        <w:t>–</w:t>
      </w:r>
      <w:r>
        <w:rPr>
          <w:rFonts w:hint="cs"/>
          <w:rtl/>
        </w:rPr>
        <w:t xml:space="preserve"> </w:t>
      </w:r>
      <w:bookmarkStart w:id="51136" w:name="_ETM_Q98_211509"/>
      <w:bookmarkEnd w:id="51136"/>
      <w:r>
        <w:rPr>
          <w:rFonts w:hint="cs"/>
          <w:rtl/>
        </w:rPr>
        <w:t xml:space="preserve">לא </w:t>
      </w:r>
      <w:bookmarkStart w:id="51137" w:name="_ETM_Q98_211689"/>
      <w:bookmarkEnd w:id="51137"/>
      <w:r>
        <w:rPr>
          <w:rFonts w:hint="cs"/>
          <w:rtl/>
        </w:rPr>
        <w:t xml:space="preserve">קידמתם, </w:t>
      </w:r>
      <w:bookmarkStart w:id="51138" w:name="_ETM_Q98_212140"/>
      <w:bookmarkEnd w:id="51138"/>
      <w:r>
        <w:rPr>
          <w:rFonts w:hint="cs"/>
          <w:rtl/>
        </w:rPr>
        <w:t xml:space="preserve">אתם </w:t>
      </w:r>
      <w:bookmarkStart w:id="51139" w:name="_ETM_Q98_212290"/>
      <w:bookmarkEnd w:id="51139"/>
      <w:r>
        <w:rPr>
          <w:rFonts w:hint="cs"/>
          <w:rtl/>
        </w:rPr>
        <w:t xml:space="preserve">מקדמים </w:t>
      </w:r>
      <w:r>
        <w:t>–</w:t>
      </w:r>
      <w:r>
        <w:rPr>
          <w:rFonts w:hint="cs"/>
          <w:rtl/>
        </w:rPr>
        <w:t xml:space="preserve"> </w:t>
      </w:r>
      <w:bookmarkStart w:id="51140" w:name="_ETM_Q98_213280"/>
      <w:bookmarkEnd w:id="51140"/>
      <w:r>
        <w:rPr>
          <w:rFonts w:hint="cs"/>
          <w:rtl/>
        </w:rPr>
        <w:t xml:space="preserve">חקיקה </w:t>
      </w:r>
      <w:bookmarkStart w:id="51141" w:name="_ETM_Q98_213970"/>
      <w:bookmarkEnd w:id="51141"/>
      <w:r>
        <w:rPr>
          <w:rFonts w:hint="cs"/>
          <w:rtl/>
        </w:rPr>
        <w:t xml:space="preserve">שמרדדת </w:t>
      </w:r>
      <w:bookmarkStart w:id="51142" w:name="_ETM_Q98_214720"/>
      <w:bookmarkEnd w:id="51142"/>
      <w:r>
        <w:rPr>
          <w:rFonts w:hint="cs"/>
          <w:rtl/>
        </w:rPr>
        <w:t xml:space="preserve">את הנציגות </w:t>
      </w:r>
      <w:bookmarkStart w:id="51143" w:name="_ETM_Q98_215229"/>
      <w:bookmarkEnd w:id="51143"/>
      <w:r>
        <w:rPr>
          <w:rFonts w:hint="cs"/>
          <w:rtl/>
        </w:rPr>
        <w:t xml:space="preserve">של </w:t>
      </w:r>
      <w:bookmarkStart w:id="51144" w:name="_ETM_Q98_215379"/>
      <w:bookmarkEnd w:id="51144"/>
      <w:r>
        <w:rPr>
          <w:rFonts w:hint="cs"/>
          <w:rtl/>
        </w:rPr>
        <w:t xml:space="preserve">ארגוני </w:t>
      </w:r>
      <w:bookmarkStart w:id="51145" w:name="_ETM_Q98_215739"/>
      <w:bookmarkEnd w:id="51145"/>
      <w:r>
        <w:rPr>
          <w:rFonts w:hint="cs"/>
          <w:rtl/>
        </w:rPr>
        <w:t xml:space="preserve">הסביבה </w:t>
      </w:r>
      <w:bookmarkStart w:id="51146" w:name="_ETM_Q98_216159"/>
      <w:bookmarkEnd w:id="51146"/>
      <w:r>
        <w:rPr>
          <w:rFonts w:hint="cs"/>
          <w:rtl/>
        </w:rPr>
        <w:t xml:space="preserve">בוועדות </w:t>
      </w:r>
      <w:bookmarkStart w:id="51147" w:name="_ETM_Q98_216610"/>
      <w:bookmarkEnd w:id="51147"/>
      <w:r>
        <w:rPr>
          <w:rFonts w:hint="cs"/>
          <w:rtl/>
        </w:rPr>
        <w:t xml:space="preserve">התכנון </w:t>
      </w:r>
      <w:bookmarkStart w:id="51148" w:name="_ETM_Q98_217149"/>
      <w:bookmarkEnd w:id="51148"/>
      <w:r>
        <w:rPr>
          <w:rFonts w:hint="cs"/>
          <w:rtl/>
        </w:rPr>
        <w:t xml:space="preserve">והבנייה </w:t>
      </w:r>
      <w:bookmarkStart w:id="51149" w:name="_ETM_Q98_218110"/>
      <w:bookmarkEnd w:id="51149"/>
      <w:r>
        <w:rPr>
          <w:rFonts w:hint="cs"/>
          <w:rtl/>
        </w:rPr>
        <w:t xml:space="preserve">על </w:t>
      </w:r>
      <w:bookmarkStart w:id="51150" w:name="_ETM_Q98_218260"/>
      <w:bookmarkEnd w:id="51150"/>
      <w:r>
        <w:rPr>
          <w:rFonts w:hint="cs"/>
          <w:rtl/>
        </w:rPr>
        <w:t xml:space="preserve">חשבון </w:t>
      </w:r>
      <w:bookmarkStart w:id="51151" w:name="_ETM_Q98_218680"/>
      <w:bookmarkEnd w:id="51151"/>
      <w:r>
        <w:rPr>
          <w:rFonts w:hint="cs"/>
          <w:rtl/>
        </w:rPr>
        <w:t xml:space="preserve">נציגים </w:t>
      </w:r>
      <w:bookmarkStart w:id="51152" w:name="_ETM_Q98_219699"/>
      <w:bookmarkEnd w:id="51152"/>
      <w:r>
        <w:rPr>
          <w:rFonts w:hint="cs"/>
          <w:rtl/>
        </w:rPr>
        <w:t xml:space="preserve">ממשרדי </w:t>
      </w:r>
      <w:bookmarkStart w:id="51153" w:name="_ETM_Q98_220270"/>
      <w:bookmarkEnd w:id="51153"/>
      <w:r>
        <w:rPr>
          <w:rFonts w:hint="cs"/>
          <w:rtl/>
        </w:rPr>
        <w:t xml:space="preserve">הממשלה </w:t>
      </w:r>
      <w:bookmarkStart w:id="51154" w:name="_ETM_Q98_221440"/>
      <w:bookmarkEnd w:id="51154"/>
      <w:r>
        <w:rPr>
          <w:rFonts w:hint="cs"/>
          <w:rtl/>
        </w:rPr>
        <w:t xml:space="preserve">שהמצאתם, </w:t>
      </w:r>
      <w:bookmarkStart w:id="51155" w:name="_ETM_Q98_222970"/>
      <w:bookmarkEnd w:id="51155"/>
      <w:r>
        <w:rPr>
          <w:rFonts w:hint="cs"/>
          <w:rtl/>
        </w:rPr>
        <w:t xml:space="preserve">המשרדים </w:t>
      </w:r>
      <w:bookmarkStart w:id="51156" w:name="_ETM_Q98_223449"/>
      <w:bookmarkEnd w:id="51156"/>
      <w:r>
        <w:rPr>
          <w:rFonts w:hint="cs"/>
          <w:rtl/>
        </w:rPr>
        <w:t xml:space="preserve">של </w:t>
      </w:r>
      <w:bookmarkStart w:id="51157" w:name="_ETM_Q98_223629"/>
      <w:bookmarkEnd w:id="51157"/>
      <w:r>
        <w:rPr>
          <w:rFonts w:hint="cs"/>
          <w:rtl/>
        </w:rPr>
        <w:t>וסרלאוף ושל סטרוק</w:t>
      </w:r>
      <w:bookmarkStart w:id="51158" w:name="_ETM_Q98_225000"/>
      <w:bookmarkStart w:id="51159" w:name="_ETM_Q98_223960"/>
      <w:bookmarkStart w:id="51160" w:name="_ETM_Q98_224690"/>
      <w:bookmarkStart w:id="51161" w:name="_ETM_Q98_225019"/>
      <w:bookmarkEnd w:id="51158"/>
      <w:bookmarkEnd w:id="51159"/>
      <w:bookmarkEnd w:id="51160"/>
      <w:bookmarkEnd w:id="51161"/>
      <w:r>
        <w:rPr>
          <w:rFonts w:hint="cs"/>
          <w:rtl/>
        </w:rPr>
        <w:t xml:space="preserve">. </w:t>
      </w:r>
      <w:bookmarkStart w:id="51162" w:name="_ETM_Q98_226850"/>
      <w:bookmarkEnd w:id="51162"/>
      <w:r>
        <w:rPr>
          <w:rFonts w:hint="cs"/>
          <w:rtl/>
        </w:rPr>
        <w:t xml:space="preserve">התעלמתם </w:t>
      </w:r>
      <w:bookmarkStart w:id="51163" w:name="_ETM_Q98_227989"/>
      <w:bookmarkEnd w:id="51163"/>
      <w:r>
        <w:rPr>
          <w:rFonts w:hint="cs"/>
          <w:rtl/>
        </w:rPr>
        <w:t xml:space="preserve">מהדרישה </w:t>
      </w:r>
      <w:bookmarkStart w:id="51164" w:name="_ETM_Q98_228620"/>
      <w:bookmarkEnd w:id="51164"/>
      <w:r>
        <w:rPr>
          <w:rFonts w:hint="cs"/>
          <w:rtl/>
        </w:rPr>
        <w:t xml:space="preserve">בחוק </w:t>
      </w:r>
      <w:bookmarkStart w:id="51165" w:name="_ETM_Q98_229070"/>
      <w:bookmarkEnd w:id="51165"/>
      <w:r>
        <w:rPr>
          <w:rFonts w:hint="cs"/>
          <w:rtl/>
        </w:rPr>
        <w:t xml:space="preserve">לתקצב </w:t>
      </w:r>
      <w:bookmarkStart w:id="51166" w:name="_ETM_Q98_229519"/>
      <w:bookmarkEnd w:id="51166"/>
      <w:r>
        <w:rPr>
          <w:rFonts w:hint="cs"/>
          <w:rtl/>
        </w:rPr>
        <w:t xml:space="preserve">מחקר </w:t>
      </w:r>
      <w:bookmarkStart w:id="51167" w:name="_ETM_Q98_229909"/>
      <w:bookmarkEnd w:id="51167"/>
      <w:r>
        <w:rPr>
          <w:rFonts w:hint="cs"/>
          <w:rtl/>
        </w:rPr>
        <w:t xml:space="preserve">ופיתוח </w:t>
      </w:r>
      <w:bookmarkStart w:id="51168" w:name="_ETM_Q98_230420"/>
      <w:bookmarkEnd w:id="51168"/>
      <w:r>
        <w:rPr>
          <w:rFonts w:hint="cs"/>
          <w:rtl/>
        </w:rPr>
        <w:t xml:space="preserve">של </w:t>
      </w:r>
      <w:bookmarkStart w:id="51169" w:name="_ETM_Q98_230570"/>
      <w:bookmarkEnd w:id="51169"/>
      <w:r>
        <w:rPr>
          <w:rFonts w:hint="cs"/>
          <w:rtl/>
        </w:rPr>
        <w:t xml:space="preserve">אנרגיות </w:t>
      </w:r>
      <w:bookmarkStart w:id="51170" w:name="_ETM_Q98_230929"/>
      <w:bookmarkEnd w:id="51170"/>
      <w:r>
        <w:rPr>
          <w:rFonts w:hint="cs"/>
          <w:rtl/>
        </w:rPr>
        <w:t xml:space="preserve">מתחדשות </w:t>
      </w:r>
      <w:bookmarkStart w:id="51171" w:name="_ETM_Q98_231800"/>
      <w:bookmarkEnd w:id="51171"/>
      <w:r>
        <w:rPr>
          <w:rFonts w:hint="cs"/>
          <w:rtl/>
        </w:rPr>
        <w:t xml:space="preserve">מהקרן </w:t>
      </w:r>
      <w:bookmarkStart w:id="51172" w:name="_ETM_Q98_232429"/>
      <w:bookmarkEnd w:id="51172"/>
      <w:r>
        <w:rPr>
          <w:rFonts w:hint="cs"/>
          <w:rtl/>
        </w:rPr>
        <w:t xml:space="preserve">לאזרחי </w:t>
      </w:r>
      <w:bookmarkStart w:id="51173" w:name="_ETM_Q98_232879"/>
      <w:bookmarkEnd w:id="51173"/>
      <w:r>
        <w:rPr>
          <w:rFonts w:hint="cs"/>
          <w:rtl/>
        </w:rPr>
        <w:t xml:space="preserve">ישראל </w:t>
      </w:r>
      <w:bookmarkStart w:id="51174" w:name="_ETM_Q98_233300"/>
      <w:bookmarkEnd w:id="51174"/>
      <w:r>
        <w:rPr>
          <w:rFonts w:hint="cs"/>
          <w:rtl/>
        </w:rPr>
        <w:t xml:space="preserve">כפי </w:t>
      </w:r>
      <w:bookmarkStart w:id="51175" w:name="_ETM_Q98_233659"/>
      <w:bookmarkEnd w:id="51175"/>
      <w:r>
        <w:rPr>
          <w:rFonts w:hint="cs"/>
          <w:rtl/>
        </w:rPr>
        <w:t xml:space="preserve">שדורש </w:t>
      </w:r>
      <w:bookmarkStart w:id="51176" w:name="_ETM_Q98_234749"/>
      <w:bookmarkEnd w:id="51176"/>
      <w:r>
        <w:rPr>
          <w:rFonts w:hint="cs"/>
          <w:rtl/>
        </w:rPr>
        <w:t xml:space="preserve">החוק, </w:t>
      </w:r>
      <w:bookmarkStart w:id="51177" w:name="_ETM_Q98_235740"/>
      <w:bookmarkEnd w:id="51177"/>
      <w:r>
        <w:rPr>
          <w:rFonts w:hint="cs"/>
          <w:rtl/>
        </w:rPr>
        <w:t xml:space="preserve">תקציב </w:t>
      </w:r>
      <w:bookmarkStart w:id="51178" w:name="_ETM_Q98_236160"/>
      <w:bookmarkEnd w:id="51178"/>
      <w:r>
        <w:rPr>
          <w:rFonts w:hint="cs"/>
          <w:rtl/>
        </w:rPr>
        <w:t xml:space="preserve">של </w:t>
      </w:r>
      <w:bookmarkStart w:id="51179" w:name="_ETM_Q98_236340"/>
      <w:bookmarkEnd w:id="51179"/>
      <w:r>
        <w:rPr>
          <w:rFonts w:hint="cs"/>
          <w:rtl/>
        </w:rPr>
        <w:t xml:space="preserve">110 </w:t>
      </w:r>
      <w:bookmarkStart w:id="51180" w:name="_ETM_Q98_237420"/>
      <w:bookmarkEnd w:id="51180"/>
      <w:r>
        <w:rPr>
          <w:rFonts w:hint="cs"/>
          <w:rtl/>
        </w:rPr>
        <w:t>מיליו</w:t>
      </w:r>
      <w:bookmarkStart w:id="51181" w:name="_ETM_Q98_163000"/>
      <w:bookmarkEnd w:id="51181"/>
      <w:r>
        <w:rPr>
          <w:rFonts w:hint="cs"/>
          <w:rtl/>
        </w:rPr>
        <w:t xml:space="preserve">ן שקלים </w:t>
      </w:r>
      <w:bookmarkStart w:id="51182" w:name="_ETM_Q98_238470"/>
      <w:bookmarkEnd w:id="51182"/>
      <w:r>
        <w:rPr>
          <w:rFonts w:hint="cs"/>
          <w:rtl/>
        </w:rPr>
        <w:t xml:space="preserve">על </w:t>
      </w:r>
      <w:bookmarkStart w:id="51183" w:name="_ETM_Q98_238620"/>
      <w:bookmarkEnd w:id="51183"/>
      <w:r>
        <w:rPr>
          <w:rFonts w:hint="cs"/>
          <w:rtl/>
        </w:rPr>
        <w:t xml:space="preserve">פני </w:t>
      </w:r>
      <w:bookmarkStart w:id="51184" w:name="_ETM_Q98_238950"/>
      <w:bookmarkEnd w:id="51184"/>
      <w:r>
        <w:rPr>
          <w:rFonts w:hint="cs"/>
          <w:rtl/>
        </w:rPr>
        <w:t xml:space="preserve">השנתיים </w:t>
      </w:r>
      <w:bookmarkStart w:id="51185" w:name="_ETM_Q98_239730"/>
      <w:bookmarkEnd w:id="51185"/>
      <w:r>
        <w:rPr>
          <w:rFonts w:hint="cs"/>
          <w:rtl/>
        </w:rPr>
        <w:t xml:space="preserve">הקרובות. </w:t>
      </w:r>
      <w:bookmarkStart w:id="51186" w:name="_ETM_Q98_243999"/>
      <w:bookmarkEnd w:id="51186"/>
    </w:p>
    <w:p w:rsidR="00BB59CD" w:rsidRDefault="00BB59CD" w:rsidP="00BB59CD">
      <w:pPr>
        <w:rPr>
          <w:rtl/>
        </w:rPr>
      </w:pPr>
    </w:p>
    <w:p w:rsidR="00BB59CD" w:rsidRDefault="00BB59CD" w:rsidP="00B41626">
      <w:pPr>
        <w:rPr>
          <w:rtl/>
        </w:rPr>
      </w:pPr>
      <w:bookmarkStart w:id="51187" w:name="_ETM_Q98_236000"/>
      <w:bookmarkEnd w:id="51187"/>
      <w:r>
        <w:rPr>
          <w:rFonts w:hint="cs"/>
          <w:rtl/>
        </w:rPr>
        <w:t xml:space="preserve">משרד </w:t>
      </w:r>
      <w:bookmarkStart w:id="51188" w:name="_ETM_Q98_244479"/>
      <w:bookmarkEnd w:id="51188"/>
      <w:r>
        <w:rPr>
          <w:rFonts w:hint="cs"/>
          <w:rtl/>
        </w:rPr>
        <w:t xml:space="preserve">ראש הממשלה </w:t>
      </w:r>
      <w:bookmarkStart w:id="51189" w:name="_ETM_Q98_245740"/>
      <w:bookmarkEnd w:id="51189"/>
      <w:r>
        <w:rPr>
          <w:rFonts w:hint="cs"/>
          <w:rtl/>
        </w:rPr>
        <w:t xml:space="preserve">דן </w:t>
      </w:r>
      <w:bookmarkStart w:id="51190" w:name="_ETM_Q98_246159"/>
      <w:bookmarkEnd w:id="51190"/>
      <w:r>
        <w:rPr>
          <w:rFonts w:hint="cs"/>
          <w:rtl/>
        </w:rPr>
        <w:t xml:space="preserve">בימים </w:t>
      </w:r>
      <w:bookmarkStart w:id="51191" w:name="_ETM_Q98_246640"/>
      <w:bookmarkEnd w:id="51191"/>
      <w:r>
        <w:rPr>
          <w:rFonts w:hint="cs"/>
          <w:rtl/>
        </w:rPr>
        <w:t xml:space="preserve">אלה </w:t>
      </w:r>
      <w:bookmarkStart w:id="51192" w:name="_ETM_Q98_247389"/>
      <w:bookmarkEnd w:id="51192"/>
      <w:r>
        <w:rPr>
          <w:rFonts w:hint="cs"/>
          <w:rtl/>
        </w:rPr>
        <w:t xml:space="preserve">בביטול </w:t>
      </w:r>
      <w:bookmarkStart w:id="51193" w:name="_ETM_Q98_247929"/>
      <w:bookmarkEnd w:id="51193"/>
      <w:r>
        <w:rPr>
          <w:rFonts w:hint="cs"/>
          <w:rtl/>
        </w:rPr>
        <w:t xml:space="preserve">מדיניות </w:t>
      </w:r>
      <w:bookmarkStart w:id="51194" w:name="_ETM_Q98_248529"/>
      <w:bookmarkEnd w:id="51194"/>
      <w:r>
        <w:rPr>
          <w:rFonts w:hint="cs"/>
          <w:rtl/>
        </w:rPr>
        <w:t xml:space="preserve">אפס </w:t>
      </w:r>
      <w:bookmarkStart w:id="51195" w:name="_ETM_Q98_248920"/>
      <w:bookmarkEnd w:id="51195"/>
      <w:r>
        <w:rPr>
          <w:rFonts w:hint="cs"/>
          <w:rtl/>
        </w:rPr>
        <w:t xml:space="preserve">תוספת </w:t>
      </w:r>
      <w:bookmarkStart w:id="51196" w:name="_ETM_Q98_249399"/>
      <w:bookmarkEnd w:id="51196"/>
      <w:r>
        <w:rPr>
          <w:rFonts w:hint="cs"/>
          <w:rtl/>
        </w:rPr>
        <w:t xml:space="preserve">סיכון </w:t>
      </w:r>
      <w:bookmarkStart w:id="51197" w:name="_ETM_Q98_249939"/>
      <w:bookmarkEnd w:id="51197"/>
      <w:r>
        <w:rPr>
          <w:rFonts w:hint="cs"/>
          <w:rtl/>
        </w:rPr>
        <w:t xml:space="preserve">במפרץ </w:t>
      </w:r>
      <w:bookmarkStart w:id="51198" w:name="_ETM_Q98_250479"/>
      <w:bookmarkEnd w:id="51198"/>
      <w:r>
        <w:rPr>
          <w:rFonts w:hint="cs"/>
          <w:rtl/>
        </w:rPr>
        <w:t xml:space="preserve">אילת </w:t>
      </w:r>
      <w:bookmarkStart w:id="51199" w:name="_ETM_Q98_250959"/>
      <w:bookmarkEnd w:id="51199"/>
      <w:r>
        <w:rPr>
          <w:rFonts w:hint="cs"/>
          <w:rtl/>
        </w:rPr>
        <w:t xml:space="preserve">והרחבת </w:t>
      </w:r>
      <w:bookmarkStart w:id="51200" w:name="_ETM_Q98_251590"/>
      <w:bookmarkEnd w:id="51200"/>
      <w:r>
        <w:rPr>
          <w:rFonts w:hint="cs"/>
          <w:rtl/>
        </w:rPr>
        <w:t xml:space="preserve">שינוע </w:t>
      </w:r>
      <w:bookmarkStart w:id="51201" w:name="_ETM_Q98_251920"/>
      <w:bookmarkEnd w:id="51201"/>
      <w:r>
        <w:rPr>
          <w:rFonts w:hint="cs"/>
          <w:rtl/>
        </w:rPr>
        <w:t xml:space="preserve">הנפט </w:t>
      </w:r>
      <w:bookmarkStart w:id="51202" w:name="_ETM_Q98_252340"/>
      <w:bookmarkEnd w:id="51202"/>
      <w:r>
        <w:rPr>
          <w:rFonts w:hint="cs"/>
          <w:rtl/>
        </w:rPr>
        <w:t xml:space="preserve">של </w:t>
      </w:r>
      <w:bookmarkStart w:id="51203" w:name="_ETM_Q98_252520"/>
      <w:bookmarkEnd w:id="51203"/>
      <w:r>
        <w:rPr>
          <w:rFonts w:hint="cs"/>
          <w:rtl/>
        </w:rPr>
        <w:t xml:space="preserve">קצא"א. </w:t>
      </w:r>
      <w:bookmarkStart w:id="51204" w:name="_ETM_Q98_253530"/>
      <w:bookmarkEnd w:id="51204"/>
      <w:r>
        <w:rPr>
          <w:rFonts w:hint="cs"/>
          <w:rtl/>
        </w:rPr>
        <w:t xml:space="preserve">עכשיו, </w:t>
      </w:r>
      <w:bookmarkStart w:id="51205" w:name="_ETM_Q98_253770"/>
      <w:bookmarkEnd w:id="51205"/>
      <w:r>
        <w:rPr>
          <w:rFonts w:hint="cs"/>
          <w:rtl/>
        </w:rPr>
        <w:t xml:space="preserve">אני </w:t>
      </w:r>
      <w:bookmarkStart w:id="51206" w:name="_ETM_Q98_253920"/>
      <w:bookmarkEnd w:id="51206"/>
      <w:r>
        <w:rPr>
          <w:rFonts w:hint="cs"/>
          <w:rtl/>
        </w:rPr>
        <w:t xml:space="preserve">רוצה </w:t>
      </w:r>
      <w:bookmarkStart w:id="51207" w:name="_ETM_Q98_254220"/>
      <w:bookmarkEnd w:id="51207"/>
      <w:r>
        <w:rPr>
          <w:rFonts w:hint="cs"/>
          <w:rtl/>
        </w:rPr>
        <w:t xml:space="preserve">להתעכב </w:t>
      </w:r>
      <w:bookmarkStart w:id="51208" w:name="_ETM_Q98_254700"/>
      <w:bookmarkEnd w:id="51208"/>
      <w:r>
        <w:rPr>
          <w:rFonts w:hint="cs"/>
          <w:rtl/>
        </w:rPr>
        <w:t xml:space="preserve">על </w:t>
      </w:r>
      <w:bookmarkStart w:id="51209" w:name="_ETM_Q98_254819"/>
      <w:bookmarkEnd w:id="51209"/>
      <w:r>
        <w:rPr>
          <w:rFonts w:hint="cs"/>
          <w:rtl/>
        </w:rPr>
        <w:t xml:space="preserve">הסעיף </w:t>
      </w:r>
      <w:bookmarkStart w:id="51210" w:name="_ETM_Q98_255180"/>
      <w:bookmarkEnd w:id="51210"/>
      <w:r>
        <w:rPr>
          <w:rFonts w:hint="cs"/>
          <w:rtl/>
        </w:rPr>
        <w:t xml:space="preserve">הזה, </w:t>
      </w:r>
      <w:bookmarkStart w:id="51211" w:name="_ETM_Q98_255450"/>
      <w:bookmarkEnd w:id="51211"/>
      <w:r>
        <w:rPr>
          <w:rFonts w:hint="cs"/>
          <w:rtl/>
        </w:rPr>
        <w:t xml:space="preserve">כי </w:t>
      </w:r>
      <w:bookmarkStart w:id="51212" w:name="_ETM_Q98_255600"/>
      <w:bookmarkEnd w:id="51212"/>
      <w:r>
        <w:rPr>
          <w:rFonts w:hint="cs"/>
          <w:rtl/>
        </w:rPr>
        <w:t xml:space="preserve">הוא </w:t>
      </w:r>
      <w:bookmarkStart w:id="51213" w:name="_ETM_Q98_255720"/>
      <w:bookmarkEnd w:id="51213"/>
      <w:r>
        <w:rPr>
          <w:rFonts w:hint="cs"/>
          <w:rtl/>
        </w:rPr>
        <w:t xml:space="preserve">דרמטי. </w:t>
      </w:r>
      <w:bookmarkStart w:id="51214" w:name="_ETM_Q98_257639"/>
      <w:bookmarkEnd w:id="51214"/>
      <w:r>
        <w:rPr>
          <w:rFonts w:hint="cs"/>
          <w:rtl/>
        </w:rPr>
        <w:t xml:space="preserve">בתקופת </w:t>
      </w:r>
      <w:bookmarkStart w:id="51215" w:name="_ETM_Q98_258299"/>
      <w:bookmarkStart w:id="51216" w:name="_ETM_Q98_258990"/>
      <w:bookmarkEnd w:id="51215"/>
      <w:bookmarkEnd w:id="51216"/>
      <w:r>
        <w:rPr>
          <w:rFonts w:hint="cs"/>
          <w:rtl/>
        </w:rPr>
        <w:t xml:space="preserve">ממשלת </w:t>
      </w:r>
      <w:bookmarkStart w:id="51217" w:name="_ETM_Q98_259409"/>
      <w:bookmarkEnd w:id="51217"/>
      <w:r>
        <w:rPr>
          <w:rFonts w:hint="cs"/>
          <w:rtl/>
        </w:rPr>
        <w:t xml:space="preserve">נתניהו </w:t>
      </w:r>
      <w:bookmarkStart w:id="51218" w:name="_ETM_Q98_259889"/>
      <w:bookmarkEnd w:id="51218"/>
      <w:r>
        <w:rPr>
          <w:rFonts w:hint="cs"/>
          <w:rtl/>
        </w:rPr>
        <w:t xml:space="preserve">הקודמת </w:t>
      </w:r>
      <w:bookmarkStart w:id="51219" w:name="_ETM_Q98_260429"/>
      <w:bookmarkEnd w:id="51219"/>
      <w:r>
        <w:rPr>
          <w:rFonts w:hint="cs"/>
          <w:rtl/>
        </w:rPr>
        <w:t xml:space="preserve">נחתם </w:t>
      </w:r>
      <w:bookmarkStart w:id="51220" w:name="_ETM_Q98_260849"/>
      <w:bookmarkEnd w:id="51220"/>
      <w:r>
        <w:rPr>
          <w:rFonts w:hint="cs"/>
          <w:rtl/>
        </w:rPr>
        <w:t xml:space="preserve">הסכם </w:t>
      </w:r>
      <w:bookmarkStart w:id="51221" w:name="_ETM_Q98_261420"/>
      <w:bookmarkEnd w:id="51221"/>
      <w:r>
        <w:rPr>
          <w:rFonts w:hint="cs"/>
          <w:rtl/>
        </w:rPr>
        <w:t xml:space="preserve">בין </w:t>
      </w:r>
      <w:bookmarkStart w:id="51222" w:name="_ETM_Q98_262200"/>
      <w:bookmarkEnd w:id="51222"/>
      <w:r>
        <w:rPr>
          <w:rFonts w:hint="cs"/>
          <w:rtl/>
        </w:rPr>
        <w:t xml:space="preserve">חברת </w:t>
      </w:r>
      <w:bookmarkStart w:id="51223" w:name="_ETM_Q98_262770"/>
      <w:bookmarkEnd w:id="51223"/>
      <w:r>
        <w:rPr>
          <w:rFonts w:hint="cs"/>
          <w:rtl/>
        </w:rPr>
        <w:t xml:space="preserve">קצא"א, </w:t>
      </w:r>
      <w:bookmarkStart w:id="51224" w:name="_ETM_Q98_263399"/>
      <w:bookmarkEnd w:id="51224"/>
      <w:r>
        <w:rPr>
          <w:rFonts w:hint="cs"/>
          <w:rtl/>
        </w:rPr>
        <w:t xml:space="preserve">שהיא </w:t>
      </w:r>
      <w:bookmarkStart w:id="51225" w:name="_ETM_Q98_263549"/>
      <w:bookmarkEnd w:id="51225"/>
      <w:r>
        <w:rPr>
          <w:rFonts w:hint="cs"/>
          <w:rtl/>
        </w:rPr>
        <w:t xml:space="preserve">חברה </w:t>
      </w:r>
      <w:bookmarkStart w:id="51226" w:name="_ETM_Q98_263849"/>
      <w:bookmarkEnd w:id="51226"/>
      <w:r>
        <w:rPr>
          <w:rFonts w:hint="cs"/>
          <w:rtl/>
        </w:rPr>
        <w:t xml:space="preserve">ממשלתית </w:t>
      </w:r>
      <w:bookmarkStart w:id="51227" w:name="_ETM_Q98_265119"/>
      <w:bookmarkEnd w:id="51227"/>
      <w:r>
        <w:rPr>
          <w:rFonts w:hint="cs"/>
          <w:rtl/>
        </w:rPr>
        <w:t xml:space="preserve">של </w:t>
      </w:r>
      <w:bookmarkStart w:id="51228" w:name="_ETM_Q98_265329"/>
      <w:bookmarkEnd w:id="51228"/>
      <w:r>
        <w:rPr>
          <w:rFonts w:hint="cs"/>
          <w:rtl/>
        </w:rPr>
        <w:t xml:space="preserve">מדינת </w:t>
      </w:r>
      <w:bookmarkStart w:id="51229" w:name="_ETM_Q98_265720"/>
      <w:bookmarkEnd w:id="51229"/>
      <w:r>
        <w:rPr>
          <w:rFonts w:hint="cs"/>
          <w:rtl/>
        </w:rPr>
        <w:t xml:space="preserve">ישראל, </w:t>
      </w:r>
      <w:bookmarkStart w:id="51230" w:name="_ETM_Q98_266750"/>
      <w:bookmarkEnd w:id="51230"/>
      <w:r>
        <w:rPr>
          <w:rFonts w:hint="cs"/>
          <w:rtl/>
        </w:rPr>
        <w:t xml:space="preserve">ובין </w:t>
      </w:r>
      <w:bookmarkStart w:id="51231" w:name="_ETM_Q98_267050"/>
      <w:bookmarkEnd w:id="51231"/>
      <w:r>
        <w:rPr>
          <w:rFonts w:hint="cs"/>
          <w:rtl/>
        </w:rPr>
        <w:t xml:space="preserve">חברת </w:t>
      </w:r>
      <w:bookmarkStart w:id="51232" w:name="_ETM_Q98_267500"/>
      <w:bookmarkStart w:id="51233" w:name="_ETM_Q98_267770"/>
      <w:bookmarkStart w:id="51234" w:name="_ETM_Q98_270000"/>
      <w:bookmarkStart w:id="51235" w:name="_ETM_Q98_270509"/>
      <w:bookmarkEnd w:id="51232"/>
      <w:bookmarkEnd w:id="51233"/>
      <w:bookmarkEnd w:id="51234"/>
      <w:bookmarkEnd w:id="51235"/>
      <w:r>
        <w:rPr>
          <w:rFonts w:hint="cs"/>
          <w:rtl/>
        </w:rPr>
        <w:t xml:space="preserve">רד-מד, שממוקמת </w:t>
      </w:r>
      <w:bookmarkStart w:id="51236" w:name="_ETM_Q98_270840"/>
      <w:bookmarkStart w:id="51237" w:name="_ETM_Q98_271500"/>
      <w:bookmarkStart w:id="51238" w:name="_ETM_Q98_271740"/>
      <w:bookmarkEnd w:id="51236"/>
      <w:bookmarkEnd w:id="51237"/>
      <w:bookmarkEnd w:id="51238"/>
      <w:r>
        <w:rPr>
          <w:rFonts w:hint="cs"/>
          <w:rtl/>
        </w:rPr>
        <w:t xml:space="preserve">באמירויות, </w:t>
      </w:r>
      <w:bookmarkStart w:id="51239" w:name="_ETM_Q98_272759"/>
      <w:bookmarkEnd w:id="51239"/>
      <w:r>
        <w:rPr>
          <w:rFonts w:hint="cs"/>
          <w:rtl/>
        </w:rPr>
        <w:t xml:space="preserve">להרחבת </w:t>
      </w:r>
      <w:bookmarkStart w:id="51240" w:name="_ETM_Q98_274539"/>
      <w:bookmarkEnd w:id="51240"/>
      <w:r>
        <w:rPr>
          <w:rFonts w:hint="cs"/>
          <w:rtl/>
        </w:rPr>
        <w:t xml:space="preserve">השינוע </w:t>
      </w:r>
      <w:bookmarkStart w:id="51241" w:name="_ETM_Q98_275469"/>
      <w:bookmarkEnd w:id="51241"/>
      <w:r>
        <w:rPr>
          <w:rFonts w:hint="cs"/>
          <w:rtl/>
        </w:rPr>
        <w:t xml:space="preserve">של </w:t>
      </w:r>
      <w:bookmarkStart w:id="51242" w:name="_ETM_Q98_275740"/>
      <w:bookmarkEnd w:id="51242"/>
      <w:r>
        <w:rPr>
          <w:rFonts w:hint="cs"/>
          <w:rtl/>
        </w:rPr>
        <w:t xml:space="preserve">הנפט </w:t>
      </w:r>
      <w:bookmarkStart w:id="51243" w:name="_ETM_Q98_276189"/>
      <w:bookmarkEnd w:id="51243"/>
      <w:r>
        <w:rPr>
          <w:rFonts w:hint="cs"/>
          <w:rtl/>
        </w:rPr>
        <w:t xml:space="preserve">דרך </w:t>
      </w:r>
      <w:bookmarkStart w:id="51244" w:name="_ETM_Q98_276490"/>
      <w:bookmarkEnd w:id="51244"/>
      <w:r>
        <w:rPr>
          <w:rFonts w:hint="cs"/>
          <w:rtl/>
        </w:rPr>
        <w:t xml:space="preserve">מפרץ </w:t>
      </w:r>
      <w:bookmarkStart w:id="51245" w:name="_ETM_Q98_276939"/>
      <w:bookmarkEnd w:id="51245"/>
      <w:r>
        <w:rPr>
          <w:rFonts w:hint="cs"/>
          <w:rtl/>
        </w:rPr>
        <w:t xml:space="preserve">אילת, </w:t>
      </w:r>
      <w:bookmarkStart w:id="51246" w:name="_ETM_Q98_277450"/>
      <w:bookmarkEnd w:id="51246"/>
      <w:r>
        <w:rPr>
          <w:rFonts w:hint="cs"/>
          <w:rtl/>
        </w:rPr>
        <w:t xml:space="preserve">דרך </w:t>
      </w:r>
      <w:bookmarkStart w:id="51247" w:name="_ETM_Q98_277750"/>
      <w:bookmarkEnd w:id="51247"/>
      <w:r>
        <w:rPr>
          <w:rFonts w:hint="cs"/>
          <w:rtl/>
        </w:rPr>
        <w:t xml:space="preserve">צינור </w:t>
      </w:r>
      <w:bookmarkStart w:id="51248" w:name="_ETM_Q98_278170"/>
      <w:bookmarkEnd w:id="51248"/>
      <w:r>
        <w:rPr>
          <w:rFonts w:hint="cs"/>
          <w:rtl/>
        </w:rPr>
        <w:t xml:space="preserve">שמוביל </w:t>
      </w:r>
      <w:bookmarkStart w:id="51249" w:name="_ETM_Q98_278619"/>
      <w:bookmarkEnd w:id="51249"/>
      <w:r>
        <w:rPr>
          <w:rFonts w:hint="cs"/>
          <w:rtl/>
        </w:rPr>
        <w:t xml:space="preserve">אותו </w:t>
      </w:r>
      <w:bookmarkStart w:id="51250" w:name="_ETM_Q98_279359"/>
      <w:bookmarkEnd w:id="51250"/>
      <w:r>
        <w:rPr>
          <w:rFonts w:hint="cs"/>
          <w:rtl/>
        </w:rPr>
        <w:t xml:space="preserve">לאשקלון, </w:t>
      </w:r>
      <w:bookmarkStart w:id="51251" w:name="_ETM_Q98_280200"/>
      <w:bookmarkEnd w:id="51251"/>
      <w:r>
        <w:rPr>
          <w:rFonts w:hint="cs"/>
          <w:rtl/>
        </w:rPr>
        <w:t xml:space="preserve">ומאשקלון </w:t>
      </w:r>
      <w:bookmarkStart w:id="51252" w:name="_ETM_Q98_281789"/>
      <w:bookmarkEnd w:id="51252"/>
      <w:r>
        <w:rPr>
          <w:rFonts w:hint="cs"/>
          <w:rtl/>
        </w:rPr>
        <w:t xml:space="preserve">אל </w:t>
      </w:r>
      <w:bookmarkStart w:id="51253" w:name="_ETM_Q98_281969"/>
      <w:bookmarkEnd w:id="51253"/>
      <w:r>
        <w:rPr>
          <w:rFonts w:hint="cs"/>
          <w:rtl/>
        </w:rPr>
        <w:t xml:space="preserve">עבר </w:t>
      </w:r>
      <w:bookmarkStart w:id="51254" w:name="_ETM_Q98_282869"/>
      <w:bookmarkEnd w:id="51254"/>
      <w:r>
        <w:rPr>
          <w:rFonts w:hint="cs"/>
          <w:rtl/>
        </w:rPr>
        <w:t xml:space="preserve">יעדים </w:t>
      </w:r>
      <w:bookmarkStart w:id="51255" w:name="_ETM_Q98_283380"/>
      <w:bookmarkEnd w:id="51255"/>
      <w:r>
        <w:rPr>
          <w:rFonts w:hint="cs"/>
          <w:rtl/>
        </w:rPr>
        <w:t xml:space="preserve">אחרים </w:t>
      </w:r>
      <w:bookmarkStart w:id="51256" w:name="_ETM_Q98_283799"/>
      <w:bookmarkEnd w:id="51256"/>
      <w:r>
        <w:rPr>
          <w:rFonts w:hint="cs"/>
          <w:rtl/>
        </w:rPr>
        <w:t>בעולם.</w:t>
      </w:r>
      <w:r w:rsidR="00B41626">
        <w:rPr>
          <w:rFonts w:hint="cs"/>
          <w:rtl/>
        </w:rPr>
        <w:t xml:space="preserve"> </w:t>
      </w:r>
      <w:bookmarkStart w:id="51257" w:name="_ETM_Q98_282000"/>
      <w:bookmarkStart w:id="51258" w:name="_ETM_Q98_285159"/>
      <w:bookmarkEnd w:id="51257"/>
      <w:bookmarkEnd w:id="51258"/>
      <w:r>
        <w:rPr>
          <w:rFonts w:hint="cs"/>
          <w:rtl/>
        </w:rPr>
        <w:t xml:space="preserve">בדיון </w:t>
      </w:r>
      <w:bookmarkStart w:id="51259" w:name="_ETM_Q98_285880"/>
      <w:bookmarkEnd w:id="51259"/>
      <w:r>
        <w:rPr>
          <w:rFonts w:hint="cs"/>
          <w:rtl/>
        </w:rPr>
        <w:t xml:space="preserve">שערכנו </w:t>
      </w:r>
      <w:bookmarkStart w:id="51260" w:name="_ETM_Q98_286420"/>
      <w:bookmarkEnd w:id="51260"/>
      <w:r>
        <w:rPr>
          <w:rFonts w:hint="cs"/>
          <w:rtl/>
        </w:rPr>
        <w:t xml:space="preserve">בכנסת </w:t>
      </w:r>
      <w:bookmarkStart w:id="51261" w:name="_ETM_Q98_286780"/>
      <w:bookmarkEnd w:id="51261"/>
      <w:r>
        <w:rPr>
          <w:rFonts w:hint="cs"/>
          <w:rtl/>
        </w:rPr>
        <w:t xml:space="preserve">הקודמת </w:t>
      </w:r>
      <w:bookmarkStart w:id="51262" w:name="_ETM_Q98_287319"/>
      <w:bookmarkEnd w:id="51262"/>
      <w:r>
        <w:rPr>
          <w:rFonts w:hint="cs"/>
          <w:rtl/>
        </w:rPr>
        <w:t>נמצא</w:t>
      </w:r>
      <w:bookmarkStart w:id="51263" w:name="_ETM_Q98_288650"/>
      <w:bookmarkStart w:id="51264" w:name="_ETM_Q98_291530"/>
      <w:bookmarkEnd w:id="51263"/>
      <w:bookmarkEnd w:id="51264"/>
      <w:r>
        <w:rPr>
          <w:rFonts w:hint="cs"/>
          <w:rtl/>
        </w:rPr>
        <w:t xml:space="preserve"> </w:t>
      </w:r>
      <w:bookmarkStart w:id="51265" w:name="_ETM_Q98_291679"/>
      <w:bookmarkStart w:id="51266" w:name="_ETM_Q98_292039"/>
      <w:bookmarkStart w:id="51267" w:name="_ETM_Q98_292490"/>
      <w:bookmarkEnd w:id="51265"/>
      <w:bookmarkEnd w:id="51266"/>
      <w:bookmarkEnd w:id="51267"/>
      <w:r>
        <w:rPr>
          <w:rFonts w:hint="cs"/>
          <w:rtl/>
        </w:rPr>
        <w:t xml:space="preserve">שאפילו 1% הנפט </w:t>
      </w:r>
      <w:bookmarkStart w:id="51268" w:name="_ETM_Q98_292999"/>
      <w:bookmarkEnd w:id="51268"/>
      <w:r>
        <w:rPr>
          <w:rFonts w:hint="cs"/>
          <w:rtl/>
        </w:rPr>
        <w:t xml:space="preserve">הזה, </w:t>
      </w:r>
      <w:bookmarkStart w:id="51269" w:name="_ETM_Q98_293179"/>
      <w:bookmarkEnd w:id="51269"/>
      <w:r>
        <w:rPr>
          <w:rFonts w:hint="cs"/>
          <w:rtl/>
        </w:rPr>
        <w:t xml:space="preserve">שמגיע </w:t>
      </w:r>
      <w:bookmarkStart w:id="51270" w:name="_ETM_Q98_294259"/>
      <w:bookmarkEnd w:id="51270"/>
      <w:r>
        <w:rPr>
          <w:rFonts w:hint="cs"/>
          <w:rtl/>
        </w:rPr>
        <w:t xml:space="preserve">מהאמירויות, </w:t>
      </w:r>
      <w:bookmarkStart w:id="51271" w:name="_ETM_Q98_295189"/>
      <w:bookmarkEnd w:id="51271"/>
      <w:r>
        <w:rPr>
          <w:rFonts w:hint="cs"/>
          <w:rtl/>
        </w:rPr>
        <w:t xml:space="preserve">לא </w:t>
      </w:r>
      <w:bookmarkStart w:id="51272" w:name="_ETM_Q98_295520"/>
      <w:bookmarkEnd w:id="51272"/>
      <w:r>
        <w:rPr>
          <w:rFonts w:hint="cs"/>
          <w:rtl/>
        </w:rPr>
        <w:t xml:space="preserve">תורם </w:t>
      </w:r>
      <w:bookmarkStart w:id="51273" w:name="_ETM_Q98_296740"/>
      <w:bookmarkEnd w:id="51273"/>
      <w:r>
        <w:rPr>
          <w:rFonts w:hint="cs"/>
          <w:rtl/>
        </w:rPr>
        <w:t xml:space="preserve">למשק </w:t>
      </w:r>
      <w:bookmarkStart w:id="51274" w:name="_ETM_Q98_297249"/>
      <w:bookmarkEnd w:id="51274"/>
      <w:r>
        <w:rPr>
          <w:rFonts w:hint="cs"/>
          <w:rtl/>
        </w:rPr>
        <w:t xml:space="preserve">האנרגיה </w:t>
      </w:r>
      <w:bookmarkStart w:id="51275" w:name="_ETM_Q98_297729"/>
      <w:bookmarkEnd w:id="51275"/>
      <w:r>
        <w:rPr>
          <w:rFonts w:hint="cs"/>
          <w:rtl/>
        </w:rPr>
        <w:t xml:space="preserve">בישראל; </w:t>
      </w:r>
      <w:bookmarkStart w:id="51276" w:name="_ETM_Q98_299039"/>
      <w:bookmarkEnd w:id="51276"/>
      <w:r>
        <w:rPr>
          <w:rFonts w:hint="cs"/>
          <w:rtl/>
        </w:rPr>
        <w:t xml:space="preserve">הוא לא </w:t>
      </w:r>
      <w:bookmarkStart w:id="51277" w:name="_ETM_Q98_299249"/>
      <w:bookmarkEnd w:id="51277"/>
      <w:r>
        <w:rPr>
          <w:rFonts w:hint="cs"/>
          <w:rtl/>
        </w:rPr>
        <w:t xml:space="preserve">חלק </w:t>
      </w:r>
      <w:bookmarkStart w:id="51278" w:name="_ETM_Q98_300090"/>
      <w:bookmarkEnd w:id="51278"/>
      <w:r>
        <w:rPr>
          <w:rFonts w:hint="cs"/>
          <w:rtl/>
        </w:rPr>
        <w:t xml:space="preserve">מהשימושים </w:t>
      </w:r>
      <w:bookmarkStart w:id="51279" w:name="_ETM_Q98_300810"/>
      <w:bookmarkEnd w:id="51279"/>
      <w:r>
        <w:rPr>
          <w:rFonts w:hint="cs"/>
          <w:rtl/>
        </w:rPr>
        <w:t xml:space="preserve">שאנחנו </w:t>
      </w:r>
      <w:bookmarkStart w:id="51280" w:name="_ETM_Q98_301229"/>
      <w:bookmarkEnd w:id="51280"/>
      <w:r>
        <w:rPr>
          <w:rFonts w:hint="cs"/>
          <w:rtl/>
        </w:rPr>
        <w:t xml:space="preserve">עושים </w:t>
      </w:r>
      <w:bookmarkStart w:id="51281" w:name="_ETM_Q98_302040"/>
      <w:bookmarkEnd w:id="51281"/>
      <w:r>
        <w:rPr>
          <w:rFonts w:hint="cs"/>
          <w:rtl/>
        </w:rPr>
        <w:t xml:space="preserve">בנפט </w:t>
      </w:r>
      <w:bookmarkStart w:id="51282" w:name="_ETM_Q98_302670"/>
      <w:bookmarkEnd w:id="51282"/>
      <w:r>
        <w:rPr>
          <w:rFonts w:hint="cs"/>
          <w:rtl/>
        </w:rPr>
        <w:t xml:space="preserve">ותזקיקים </w:t>
      </w:r>
      <w:bookmarkStart w:id="51283" w:name="_ETM_Q98_303780"/>
      <w:bookmarkEnd w:id="51283"/>
      <w:r w:rsidR="00B41626">
        <w:rPr>
          <w:rFonts w:hint="eastAsia"/>
          <w:rtl/>
        </w:rPr>
        <w:t>–</w:t>
      </w:r>
      <w:r w:rsidR="00B41626">
        <w:rPr>
          <w:rFonts w:hint="cs"/>
          <w:rtl/>
        </w:rPr>
        <w:t xml:space="preserve"> </w:t>
      </w:r>
      <w:r>
        <w:rPr>
          <w:rFonts w:hint="cs"/>
          <w:rtl/>
        </w:rPr>
        <w:t xml:space="preserve">הכול </w:t>
      </w:r>
      <w:bookmarkStart w:id="51284" w:name="_ETM_Q98_304500"/>
      <w:bookmarkEnd w:id="51284"/>
      <w:r>
        <w:rPr>
          <w:rFonts w:hint="cs"/>
          <w:rtl/>
        </w:rPr>
        <w:t xml:space="preserve">לטובת </w:t>
      </w:r>
      <w:bookmarkStart w:id="51285" w:name="_ETM_Q98_304920"/>
      <w:bookmarkEnd w:id="51285"/>
      <w:r>
        <w:rPr>
          <w:rFonts w:hint="cs"/>
          <w:rtl/>
        </w:rPr>
        <w:t xml:space="preserve">יצוא </w:t>
      </w:r>
      <w:bookmarkStart w:id="51286" w:name="_ETM_Q98_305250"/>
      <w:bookmarkEnd w:id="51286"/>
      <w:r>
        <w:rPr>
          <w:rFonts w:hint="cs"/>
          <w:rtl/>
        </w:rPr>
        <w:t xml:space="preserve">החוצה. </w:t>
      </w:r>
      <w:bookmarkStart w:id="51287" w:name="_ETM_Q98_306119"/>
      <w:bookmarkEnd w:id="51287"/>
      <w:r>
        <w:rPr>
          <w:rFonts w:hint="cs"/>
          <w:rtl/>
        </w:rPr>
        <w:t xml:space="preserve">עכשיו, </w:t>
      </w:r>
      <w:bookmarkStart w:id="51288" w:name="_ETM_Q98_306299"/>
      <w:bookmarkEnd w:id="51288"/>
      <w:r>
        <w:rPr>
          <w:rFonts w:hint="cs"/>
          <w:rtl/>
        </w:rPr>
        <w:t xml:space="preserve">הסכנה </w:t>
      </w:r>
      <w:bookmarkStart w:id="51289" w:name="_ETM_Q98_307380"/>
      <w:bookmarkEnd w:id="51289"/>
      <w:r>
        <w:rPr>
          <w:rFonts w:hint="cs"/>
          <w:rtl/>
        </w:rPr>
        <w:t xml:space="preserve">של </w:t>
      </w:r>
      <w:bookmarkStart w:id="51290" w:name="_ETM_Q98_307619"/>
      <w:bookmarkEnd w:id="51290"/>
      <w:r>
        <w:rPr>
          <w:rFonts w:hint="cs"/>
          <w:rtl/>
        </w:rPr>
        <w:t xml:space="preserve">דליפת </w:t>
      </w:r>
      <w:bookmarkStart w:id="51291" w:name="_ETM_Q98_308160"/>
      <w:bookmarkEnd w:id="51291"/>
      <w:r>
        <w:rPr>
          <w:rFonts w:hint="cs"/>
          <w:rtl/>
        </w:rPr>
        <w:t xml:space="preserve">נפט </w:t>
      </w:r>
      <w:bookmarkStart w:id="51292" w:name="_ETM_Q98_308490"/>
      <w:bookmarkEnd w:id="51292"/>
      <w:r>
        <w:rPr>
          <w:rFonts w:hint="cs"/>
          <w:rtl/>
        </w:rPr>
        <w:t xml:space="preserve">במפרץ </w:t>
      </w:r>
      <w:bookmarkStart w:id="51293" w:name="_ETM_Q98_309000"/>
      <w:bookmarkEnd w:id="51293"/>
      <w:r>
        <w:rPr>
          <w:rFonts w:hint="cs"/>
          <w:rtl/>
        </w:rPr>
        <w:t xml:space="preserve">אילת </w:t>
      </w:r>
      <w:bookmarkStart w:id="51294" w:name="_ETM_Q98_309569"/>
      <w:bookmarkEnd w:id="51294"/>
      <w:r>
        <w:rPr>
          <w:rFonts w:hint="cs"/>
          <w:rtl/>
        </w:rPr>
        <w:t xml:space="preserve">או </w:t>
      </w:r>
      <w:bookmarkStart w:id="51295" w:name="_ETM_Q98_309660"/>
      <w:bookmarkEnd w:id="51295"/>
      <w:r>
        <w:rPr>
          <w:rFonts w:hint="cs"/>
          <w:rtl/>
        </w:rPr>
        <w:t xml:space="preserve">דרך </w:t>
      </w:r>
      <w:bookmarkStart w:id="51296" w:name="_ETM_Q98_309930"/>
      <w:bookmarkEnd w:id="51296"/>
      <w:r>
        <w:rPr>
          <w:rFonts w:hint="cs"/>
          <w:rtl/>
        </w:rPr>
        <w:t xml:space="preserve">הצינור </w:t>
      </w:r>
      <w:bookmarkStart w:id="51297" w:name="_ETM_Q98_310620"/>
      <w:bookmarkEnd w:id="51297"/>
      <w:r>
        <w:rPr>
          <w:rFonts w:hint="cs"/>
          <w:rtl/>
        </w:rPr>
        <w:t xml:space="preserve">או במפרץ </w:t>
      </w:r>
      <w:bookmarkStart w:id="51298" w:name="_ETM_Q98_311250"/>
      <w:bookmarkEnd w:id="51298"/>
      <w:r>
        <w:rPr>
          <w:rFonts w:hint="cs"/>
          <w:rtl/>
        </w:rPr>
        <w:t xml:space="preserve">אשקלון </w:t>
      </w:r>
      <w:bookmarkStart w:id="51299" w:name="_ETM_Q98_312389"/>
      <w:bookmarkEnd w:id="51299"/>
      <w:r>
        <w:rPr>
          <w:rFonts w:hint="cs"/>
          <w:rtl/>
        </w:rPr>
        <w:t xml:space="preserve">היא </w:t>
      </w:r>
      <w:bookmarkStart w:id="51300" w:name="_ETM_Q98_312540"/>
      <w:bookmarkEnd w:id="51300"/>
      <w:r>
        <w:rPr>
          <w:rFonts w:hint="cs"/>
          <w:rtl/>
        </w:rPr>
        <w:t xml:space="preserve">הרת </w:t>
      </w:r>
      <w:bookmarkStart w:id="51301" w:name="_ETM_Q98_312900"/>
      <w:bookmarkEnd w:id="51301"/>
      <w:r>
        <w:rPr>
          <w:rFonts w:hint="cs"/>
          <w:rtl/>
        </w:rPr>
        <w:t>אסון</w:t>
      </w:r>
      <w:bookmarkStart w:id="51302" w:name="_ETM_Q98_313380"/>
      <w:bookmarkEnd w:id="51302"/>
      <w:r>
        <w:rPr>
          <w:rFonts w:hint="cs"/>
          <w:rtl/>
        </w:rPr>
        <w:t xml:space="preserve">. </w:t>
      </w:r>
      <w:bookmarkStart w:id="51303" w:name="_ETM_Q98_312000"/>
      <w:bookmarkEnd w:id="51303"/>
      <w:r>
        <w:rPr>
          <w:rFonts w:hint="cs"/>
          <w:rtl/>
        </w:rPr>
        <w:t xml:space="preserve">מדובר </w:t>
      </w:r>
      <w:bookmarkStart w:id="51304" w:name="_ETM_Q98_313830"/>
      <w:bookmarkEnd w:id="51304"/>
      <w:r>
        <w:rPr>
          <w:rFonts w:hint="cs"/>
          <w:rtl/>
        </w:rPr>
        <w:t xml:space="preserve">באסון </w:t>
      </w:r>
      <w:bookmarkStart w:id="51305" w:name="_ETM_Q98_315370"/>
      <w:bookmarkEnd w:id="51305"/>
      <w:r>
        <w:rPr>
          <w:rFonts w:hint="cs"/>
          <w:rtl/>
        </w:rPr>
        <w:t xml:space="preserve">שרק </w:t>
      </w:r>
      <w:bookmarkStart w:id="51306" w:name="_ETM_Q98_315730"/>
      <w:bookmarkEnd w:id="51306"/>
      <w:r>
        <w:rPr>
          <w:rFonts w:hint="cs"/>
          <w:rtl/>
        </w:rPr>
        <w:t xml:space="preserve">מחכה </w:t>
      </w:r>
      <w:bookmarkStart w:id="51307" w:name="_ETM_Q98_316150"/>
      <w:bookmarkEnd w:id="51307"/>
      <w:r>
        <w:rPr>
          <w:rFonts w:hint="cs"/>
          <w:rtl/>
        </w:rPr>
        <w:t xml:space="preserve">לקרות, </w:t>
      </w:r>
      <w:bookmarkStart w:id="51308" w:name="_ETM_Q98_317230"/>
      <w:bookmarkEnd w:id="51308"/>
      <w:r>
        <w:rPr>
          <w:rFonts w:hint="cs"/>
          <w:rtl/>
        </w:rPr>
        <w:t xml:space="preserve">שכבר </w:t>
      </w:r>
      <w:bookmarkStart w:id="51309" w:name="_ETM_Q98_317620"/>
      <w:bookmarkEnd w:id="51309"/>
      <w:r>
        <w:rPr>
          <w:rFonts w:hint="cs"/>
          <w:rtl/>
        </w:rPr>
        <w:t xml:space="preserve">קרה </w:t>
      </w:r>
      <w:bookmarkStart w:id="51310" w:name="_ETM_Q98_318160"/>
      <w:bookmarkStart w:id="51311" w:name="_ETM_Q98_318489"/>
      <w:bookmarkEnd w:id="51310"/>
      <w:bookmarkEnd w:id="51311"/>
      <w:r>
        <w:rPr>
          <w:rFonts w:hint="cs"/>
          <w:rtl/>
        </w:rPr>
        <w:t xml:space="preserve">בחברת </w:t>
      </w:r>
      <w:bookmarkStart w:id="51312" w:name="_ETM_Q98_318940"/>
      <w:bookmarkEnd w:id="51312"/>
      <w:r>
        <w:rPr>
          <w:rFonts w:hint="cs"/>
          <w:rtl/>
        </w:rPr>
        <w:t xml:space="preserve">קצא"א </w:t>
      </w:r>
      <w:bookmarkStart w:id="51313" w:name="_ETM_Q98_319959"/>
      <w:bookmarkEnd w:id="51313"/>
      <w:r>
        <w:rPr>
          <w:rFonts w:hint="cs"/>
          <w:rtl/>
        </w:rPr>
        <w:t xml:space="preserve">מספר </w:t>
      </w:r>
      <w:bookmarkStart w:id="51314" w:name="_ETM_Q98_320500"/>
      <w:bookmarkEnd w:id="51314"/>
      <w:r>
        <w:rPr>
          <w:rFonts w:hint="cs"/>
          <w:rtl/>
        </w:rPr>
        <w:t>פעמים.</w:t>
      </w:r>
      <w:bookmarkStart w:id="51315" w:name="_ETM_Q98_318000"/>
      <w:bookmarkEnd w:id="51315"/>
      <w:r>
        <w:rPr>
          <w:rFonts w:hint="cs"/>
          <w:rtl/>
        </w:rPr>
        <w:t xml:space="preserve"> </w:t>
      </w:r>
      <w:bookmarkStart w:id="51316" w:name="_ETM_Q98_321900"/>
      <w:bookmarkStart w:id="51317" w:name="_ETM_Q98_323000"/>
      <w:bookmarkEnd w:id="51316"/>
      <w:bookmarkEnd w:id="51317"/>
      <w:r>
        <w:rPr>
          <w:rFonts w:hint="cs"/>
          <w:rtl/>
        </w:rPr>
        <w:t xml:space="preserve">המשמעות </w:t>
      </w:r>
      <w:bookmarkStart w:id="51318" w:name="_ETM_Q98_323629"/>
      <w:bookmarkEnd w:id="51318"/>
      <w:r>
        <w:rPr>
          <w:rFonts w:hint="cs"/>
          <w:rtl/>
        </w:rPr>
        <w:t xml:space="preserve">של </w:t>
      </w:r>
      <w:bookmarkStart w:id="51319" w:name="_ETM_Q98_323750"/>
      <w:bookmarkEnd w:id="51319"/>
      <w:r>
        <w:rPr>
          <w:rFonts w:hint="cs"/>
          <w:rtl/>
        </w:rPr>
        <w:t xml:space="preserve">דליפת </w:t>
      </w:r>
      <w:bookmarkStart w:id="51320" w:name="_ETM_Q98_324200"/>
      <w:bookmarkEnd w:id="51320"/>
      <w:r>
        <w:rPr>
          <w:rFonts w:hint="cs"/>
          <w:rtl/>
        </w:rPr>
        <w:t xml:space="preserve">נפט </w:t>
      </w:r>
      <w:bookmarkStart w:id="51321" w:name="_ETM_Q98_324470"/>
      <w:bookmarkEnd w:id="51321"/>
      <w:r>
        <w:rPr>
          <w:rFonts w:hint="cs"/>
          <w:rtl/>
        </w:rPr>
        <w:t xml:space="preserve">במפרץ </w:t>
      </w:r>
      <w:bookmarkStart w:id="51322" w:name="_ETM_Q98_324889"/>
      <w:bookmarkEnd w:id="51322"/>
      <w:r>
        <w:rPr>
          <w:rFonts w:hint="cs"/>
          <w:rtl/>
        </w:rPr>
        <w:t xml:space="preserve">אילת </w:t>
      </w:r>
      <w:bookmarkStart w:id="51323" w:name="_ETM_Q98_325580"/>
      <w:bookmarkEnd w:id="51323"/>
      <w:r>
        <w:rPr>
          <w:rFonts w:hint="cs"/>
          <w:rtl/>
        </w:rPr>
        <w:t xml:space="preserve">היא, </w:t>
      </w:r>
      <w:bookmarkStart w:id="51324" w:name="_ETM_Q98_325730"/>
      <w:bookmarkEnd w:id="51324"/>
      <w:r>
        <w:rPr>
          <w:rFonts w:hint="cs"/>
          <w:rtl/>
        </w:rPr>
        <w:t xml:space="preserve">כמו </w:t>
      </w:r>
      <w:bookmarkStart w:id="51325" w:name="_ETM_Q98_325940"/>
      <w:bookmarkEnd w:id="51325"/>
      <w:r>
        <w:rPr>
          <w:rFonts w:hint="cs"/>
          <w:rtl/>
        </w:rPr>
        <w:t xml:space="preserve">שאמרתי, </w:t>
      </w:r>
      <w:bookmarkStart w:id="51326" w:name="_ETM_Q98_326419"/>
      <w:bookmarkEnd w:id="51326"/>
      <w:r>
        <w:rPr>
          <w:rFonts w:hint="cs"/>
          <w:rtl/>
        </w:rPr>
        <w:t xml:space="preserve">הרת </w:t>
      </w:r>
      <w:bookmarkStart w:id="51327" w:name="_ETM_Q98_326720"/>
      <w:bookmarkEnd w:id="51327"/>
      <w:r>
        <w:rPr>
          <w:rFonts w:hint="cs"/>
          <w:rtl/>
        </w:rPr>
        <w:t xml:space="preserve">אסון </w:t>
      </w:r>
      <w:bookmarkStart w:id="51328" w:name="_ETM_Q98_327550"/>
      <w:bookmarkEnd w:id="51328"/>
      <w:r>
        <w:rPr>
          <w:rFonts w:hint="cs"/>
          <w:rtl/>
        </w:rPr>
        <w:t xml:space="preserve">לא </w:t>
      </w:r>
      <w:bookmarkStart w:id="51329" w:name="_ETM_Q98_327910"/>
      <w:bookmarkEnd w:id="51329"/>
      <w:r>
        <w:rPr>
          <w:rFonts w:hint="cs"/>
          <w:rtl/>
        </w:rPr>
        <w:t xml:space="preserve">רק </w:t>
      </w:r>
      <w:bookmarkStart w:id="51330" w:name="_ETM_Q98_328239"/>
      <w:bookmarkEnd w:id="51330"/>
      <w:r>
        <w:rPr>
          <w:rFonts w:hint="cs"/>
          <w:rtl/>
        </w:rPr>
        <w:t xml:space="preserve">לשונית </w:t>
      </w:r>
      <w:bookmarkStart w:id="51331" w:name="_ETM_Q98_328450"/>
      <w:bookmarkEnd w:id="51331"/>
      <w:r>
        <w:rPr>
          <w:rFonts w:hint="cs"/>
          <w:rtl/>
        </w:rPr>
        <w:t xml:space="preserve">האלמוגים </w:t>
      </w:r>
      <w:bookmarkStart w:id="51332" w:name="_ETM_Q98_329690"/>
      <w:bookmarkEnd w:id="51332"/>
      <w:r>
        <w:rPr>
          <w:rFonts w:hint="cs"/>
          <w:rtl/>
        </w:rPr>
        <w:t xml:space="preserve">באילת, </w:t>
      </w:r>
      <w:bookmarkStart w:id="51333" w:name="_ETM_Q98_330800"/>
      <w:bookmarkEnd w:id="51333"/>
      <w:r>
        <w:rPr>
          <w:rFonts w:hint="cs"/>
          <w:rtl/>
        </w:rPr>
        <w:t xml:space="preserve">אלא </w:t>
      </w:r>
      <w:bookmarkStart w:id="51334" w:name="_ETM_Q98_331280"/>
      <w:bookmarkEnd w:id="51334"/>
      <w:r>
        <w:rPr>
          <w:rFonts w:hint="cs"/>
          <w:rtl/>
        </w:rPr>
        <w:t>ל</w:t>
      </w:r>
      <w:bookmarkStart w:id="51335" w:name="_ETM_Q98_331459"/>
      <w:bookmarkEnd w:id="51335"/>
      <w:r>
        <w:rPr>
          <w:rFonts w:hint="cs"/>
          <w:rtl/>
        </w:rPr>
        <w:t xml:space="preserve">כלכלת </w:t>
      </w:r>
      <w:bookmarkStart w:id="51336" w:name="_ETM_Q98_331940"/>
      <w:bookmarkEnd w:id="51336"/>
      <w:r>
        <w:rPr>
          <w:rFonts w:hint="cs"/>
          <w:rtl/>
        </w:rPr>
        <w:t xml:space="preserve">התיירות </w:t>
      </w:r>
      <w:bookmarkStart w:id="51337" w:name="_ETM_Q98_332540"/>
      <w:bookmarkEnd w:id="51337"/>
      <w:r>
        <w:rPr>
          <w:rFonts w:hint="cs"/>
          <w:rtl/>
        </w:rPr>
        <w:t xml:space="preserve">במפרץ </w:t>
      </w:r>
      <w:bookmarkStart w:id="51338" w:name="_ETM_Q98_333080"/>
      <w:bookmarkEnd w:id="51338"/>
      <w:r>
        <w:rPr>
          <w:rFonts w:hint="cs"/>
          <w:rtl/>
        </w:rPr>
        <w:t xml:space="preserve">אילת, </w:t>
      </w:r>
      <w:bookmarkStart w:id="51339" w:name="_ETM_Q98_333800"/>
      <w:bookmarkEnd w:id="51339"/>
      <w:r>
        <w:rPr>
          <w:rFonts w:hint="cs"/>
          <w:rtl/>
        </w:rPr>
        <w:t>ל</w:t>
      </w:r>
      <w:bookmarkStart w:id="51340" w:name="_ETM_Q98_333980"/>
      <w:bookmarkEnd w:id="51340"/>
      <w:r>
        <w:rPr>
          <w:rFonts w:hint="cs"/>
          <w:rtl/>
        </w:rPr>
        <w:t xml:space="preserve">כלכלת </w:t>
      </w:r>
      <w:bookmarkStart w:id="51341" w:name="_ETM_Q98_334519"/>
      <w:bookmarkEnd w:id="51341"/>
      <w:r>
        <w:rPr>
          <w:rFonts w:hint="cs"/>
          <w:rtl/>
        </w:rPr>
        <w:t xml:space="preserve">העיר </w:t>
      </w:r>
      <w:bookmarkStart w:id="51342" w:name="_ETM_Q98_334819"/>
      <w:bookmarkEnd w:id="51342"/>
      <w:r>
        <w:rPr>
          <w:rFonts w:hint="cs"/>
          <w:rtl/>
        </w:rPr>
        <w:t xml:space="preserve">אילת, </w:t>
      </w:r>
      <w:bookmarkStart w:id="51343" w:name="_ETM_Q98_335710"/>
      <w:bookmarkEnd w:id="51343"/>
      <w:r>
        <w:rPr>
          <w:rFonts w:hint="cs"/>
          <w:rtl/>
        </w:rPr>
        <w:t>ל</w:t>
      </w:r>
      <w:bookmarkStart w:id="51344" w:name="_ETM_Q98_336690"/>
      <w:bookmarkEnd w:id="51344"/>
      <w:r>
        <w:rPr>
          <w:rFonts w:hint="cs"/>
          <w:rtl/>
        </w:rPr>
        <w:t xml:space="preserve">יכולת </w:t>
      </w:r>
      <w:bookmarkStart w:id="51345" w:name="_ETM_Q98_337319"/>
      <w:bookmarkEnd w:id="51345"/>
      <w:r>
        <w:rPr>
          <w:rFonts w:hint="cs"/>
          <w:rtl/>
        </w:rPr>
        <w:t xml:space="preserve">של </w:t>
      </w:r>
      <w:bookmarkStart w:id="51346" w:name="_ETM_Q98_337500"/>
      <w:bookmarkEnd w:id="51346"/>
      <w:r>
        <w:rPr>
          <w:rFonts w:hint="cs"/>
          <w:rtl/>
        </w:rPr>
        <w:t xml:space="preserve">אילתים </w:t>
      </w:r>
      <w:bookmarkStart w:id="51347" w:name="_ETM_Q98_337830"/>
      <w:bookmarkEnd w:id="51347"/>
      <w:r>
        <w:rPr>
          <w:rFonts w:hint="cs"/>
          <w:rtl/>
        </w:rPr>
        <w:t>להתפרנס</w:t>
      </w:r>
      <w:bookmarkStart w:id="51348" w:name="_ETM_Q98_339310"/>
      <w:bookmarkEnd w:id="51348"/>
      <w:r>
        <w:rPr>
          <w:rFonts w:hint="cs"/>
          <w:rtl/>
        </w:rPr>
        <w:t xml:space="preserve">, אדוני </w:t>
      </w:r>
      <w:bookmarkStart w:id="51349" w:name="_ETM_Q98_339609"/>
      <w:bookmarkEnd w:id="51349"/>
      <w:r>
        <w:rPr>
          <w:rFonts w:hint="cs"/>
          <w:rtl/>
        </w:rPr>
        <w:t xml:space="preserve">שר </w:t>
      </w:r>
      <w:bookmarkStart w:id="51350" w:name="_ETM_Q98_339819"/>
      <w:bookmarkEnd w:id="51350"/>
      <w:r>
        <w:rPr>
          <w:rFonts w:hint="cs"/>
          <w:rtl/>
        </w:rPr>
        <w:t xml:space="preserve">הכלכלה, </w:t>
      </w:r>
      <w:bookmarkStart w:id="51351" w:name="_ETM_Q98_341850"/>
      <w:bookmarkEnd w:id="51351"/>
      <w:r>
        <w:rPr>
          <w:rFonts w:hint="cs"/>
          <w:rtl/>
        </w:rPr>
        <w:t xml:space="preserve">בעירם. </w:t>
      </w:r>
      <w:bookmarkStart w:id="51352" w:name="_ETM_Q98_343220"/>
      <w:bookmarkEnd w:id="51352"/>
      <w:r>
        <w:rPr>
          <w:rFonts w:hint="cs"/>
          <w:rtl/>
        </w:rPr>
        <w:t xml:space="preserve">אם </w:t>
      </w:r>
      <w:bookmarkStart w:id="51353" w:name="_ETM_Q98_343459"/>
      <w:bookmarkEnd w:id="51353"/>
      <w:r>
        <w:rPr>
          <w:rFonts w:hint="cs"/>
          <w:rtl/>
        </w:rPr>
        <w:t xml:space="preserve">זה </w:t>
      </w:r>
      <w:bookmarkStart w:id="51354" w:name="_ETM_Q98_343610"/>
      <w:bookmarkEnd w:id="51354"/>
      <w:r>
        <w:rPr>
          <w:rFonts w:hint="cs"/>
          <w:rtl/>
        </w:rPr>
        <w:t xml:space="preserve">ידלוף, </w:t>
      </w:r>
      <w:bookmarkStart w:id="51355" w:name="_ETM_Q98_343970"/>
      <w:bookmarkEnd w:id="51355"/>
      <w:r>
        <w:rPr>
          <w:rFonts w:hint="cs"/>
          <w:rtl/>
        </w:rPr>
        <w:t xml:space="preserve">חלילה, </w:t>
      </w:r>
      <w:bookmarkStart w:id="51356" w:name="_ETM_Q98_344870"/>
      <w:bookmarkEnd w:id="51356"/>
      <w:r>
        <w:rPr>
          <w:rFonts w:hint="cs"/>
          <w:rtl/>
        </w:rPr>
        <w:t xml:space="preserve">במפרץ </w:t>
      </w:r>
      <w:bookmarkStart w:id="51357" w:name="_ETM_Q98_345709"/>
      <w:bookmarkEnd w:id="51357"/>
      <w:r>
        <w:rPr>
          <w:rFonts w:hint="cs"/>
          <w:rtl/>
        </w:rPr>
        <w:t xml:space="preserve">אשקלון, </w:t>
      </w:r>
      <w:bookmarkStart w:id="51358" w:name="_ETM_Q98_346340"/>
      <w:bookmarkEnd w:id="51358"/>
      <w:r>
        <w:rPr>
          <w:rFonts w:hint="cs"/>
          <w:rtl/>
        </w:rPr>
        <w:t xml:space="preserve">זה </w:t>
      </w:r>
      <w:bookmarkStart w:id="51359" w:name="_ETM_Q98_346459"/>
      <w:bookmarkEnd w:id="51359"/>
      <w:r>
        <w:rPr>
          <w:rFonts w:hint="cs"/>
          <w:rtl/>
        </w:rPr>
        <w:t xml:space="preserve">ישבית </w:t>
      </w:r>
      <w:bookmarkStart w:id="51360" w:name="_ETM_Q98_346849"/>
      <w:bookmarkEnd w:id="51360"/>
      <w:r>
        <w:rPr>
          <w:rFonts w:hint="cs"/>
          <w:rtl/>
        </w:rPr>
        <w:t xml:space="preserve">את </w:t>
      </w:r>
      <w:bookmarkStart w:id="51361" w:name="_ETM_Q98_346970"/>
      <w:bookmarkEnd w:id="51361"/>
      <w:r>
        <w:rPr>
          <w:rFonts w:hint="cs"/>
          <w:rtl/>
        </w:rPr>
        <w:t xml:space="preserve">כל </w:t>
      </w:r>
      <w:bookmarkStart w:id="51362" w:name="_ETM_Q98_347239"/>
      <w:bookmarkEnd w:id="51362"/>
      <w:r>
        <w:rPr>
          <w:rFonts w:hint="cs"/>
          <w:rtl/>
        </w:rPr>
        <w:t xml:space="preserve">מתקני </w:t>
      </w:r>
      <w:bookmarkStart w:id="51363" w:name="_ETM_Q98_347720"/>
      <w:bookmarkEnd w:id="51363"/>
      <w:r>
        <w:rPr>
          <w:rFonts w:hint="cs"/>
          <w:rtl/>
        </w:rPr>
        <w:t xml:space="preserve">ההתפלה </w:t>
      </w:r>
      <w:bookmarkStart w:id="51364" w:name="_ETM_Q98_348260"/>
      <w:bookmarkEnd w:id="51364"/>
      <w:r>
        <w:rPr>
          <w:rFonts w:hint="cs"/>
          <w:rtl/>
        </w:rPr>
        <w:t xml:space="preserve">של </w:t>
      </w:r>
      <w:bookmarkStart w:id="51365" w:name="_ETM_Q98_348409"/>
      <w:bookmarkEnd w:id="51365"/>
      <w:r>
        <w:rPr>
          <w:rFonts w:hint="cs"/>
          <w:rtl/>
        </w:rPr>
        <w:t xml:space="preserve">מדינת </w:t>
      </w:r>
      <w:bookmarkStart w:id="51366" w:name="_ETM_Q98_348799"/>
      <w:bookmarkEnd w:id="51366"/>
      <w:r>
        <w:rPr>
          <w:rFonts w:hint="cs"/>
          <w:rtl/>
        </w:rPr>
        <w:t>ישראל</w:t>
      </w:r>
      <w:bookmarkStart w:id="51367" w:name="_ETM_Q98_350629"/>
      <w:bookmarkStart w:id="51368" w:name="_ETM_Q98_350870"/>
      <w:bookmarkEnd w:id="51367"/>
      <w:bookmarkEnd w:id="51368"/>
      <w:r>
        <w:rPr>
          <w:rFonts w:hint="cs"/>
          <w:rtl/>
        </w:rPr>
        <w:t xml:space="preserve">; אסון </w:t>
      </w:r>
      <w:bookmarkStart w:id="51369" w:name="_ETM_Q98_351230"/>
      <w:bookmarkEnd w:id="51369"/>
      <w:r>
        <w:rPr>
          <w:rFonts w:hint="cs"/>
          <w:rtl/>
        </w:rPr>
        <w:t xml:space="preserve">אקולוגי </w:t>
      </w:r>
      <w:bookmarkStart w:id="51370" w:name="_ETM_Q98_351860"/>
      <w:bookmarkEnd w:id="51370"/>
      <w:r>
        <w:rPr>
          <w:rFonts w:hint="cs"/>
          <w:rtl/>
        </w:rPr>
        <w:t xml:space="preserve">שטרם </w:t>
      </w:r>
      <w:bookmarkStart w:id="51371" w:name="_ETM_Q98_352970"/>
      <w:bookmarkEnd w:id="51371"/>
      <w:r>
        <w:rPr>
          <w:rFonts w:hint="cs"/>
          <w:rtl/>
        </w:rPr>
        <w:t xml:space="preserve">נראה </w:t>
      </w:r>
      <w:bookmarkStart w:id="51372" w:name="_ETM_Q98_353330"/>
      <w:bookmarkEnd w:id="51372"/>
      <w:r>
        <w:rPr>
          <w:rFonts w:hint="cs"/>
          <w:rtl/>
        </w:rPr>
        <w:t xml:space="preserve">במחוזותינו, </w:t>
      </w:r>
      <w:bookmarkStart w:id="51373" w:name="_ETM_Q98_354050"/>
      <w:bookmarkEnd w:id="51373"/>
      <w:r>
        <w:rPr>
          <w:rFonts w:hint="cs"/>
          <w:rtl/>
        </w:rPr>
        <w:t xml:space="preserve">ועדיף </w:t>
      </w:r>
      <w:bookmarkStart w:id="51374" w:name="_ETM_Q98_354590"/>
      <w:bookmarkEnd w:id="51374"/>
      <w:r>
        <w:rPr>
          <w:rFonts w:hint="cs"/>
          <w:rtl/>
        </w:rPr>
        <w:t xml:space="preserve">למנוע </w:t>
      </w:r>
      <w:bookmarkStart w:id="51375" w:name="_ETM_Q98_355550"/>
      <w:bookmarkEnd w:id="51375"/>
      <w:r>
        <w:rPr>
          <w:rFonts w:hint="cs"/>
          <w:rtl/>
        </w:rPr>
        <w:t xml:space="preserve">את </w:t>
      </w:r>
      <w:bookmarkStart w:id="51376" w:name="_ETM_Q98_355760"/>
      <w:bookmarkEnd w:id="51376"/>
      <w:r>
        <w:rPr>
          <w:rFonts w:hint="cs"/>
          <w:rtl/>
        </w:rPr>
        <w:t xml:space="preserve">האסון </w:t>
      </w:r>
      <w:bookmarkStart w:id="51377" w:name="_ETM_Q98_356180"/>
      <w:bookmarkEnd w:id="51377"/>
      <w:r>
        <w:rPr>
          <w:rFonts w:hint="cs"/>
          <w:rtl/>
        </w:rPr>
        <w:t xml:space="preserve">שרק </w:t>
      </w:r>
      <w:bookmarkStart w:id="51378" w:name="_ETM_Q98_356450"/>
      <w:bookmarkEnd w:id="51378"/>
      <w:r>
        <w:rPr>
          <w:rFonts w:hint="cs"/>
          <w:rtl/>
        </w:rPr>
        <w:t xml:space="preserve">מחכה </w:t>
      </w:r>
      <w:bookmarkStart w:id="51379" w:name="_ETM_Q98_356870"/>
      <w:bookmarkEnd w:id="51379"/>
      <w:r>
        <w:rPr>
          <w:rFonts w:hint="cs"/>
          <w:rtl/>
        </w:rPr>
        <w:t>לקרות.</w:t>
      </w:r>
      <w:r w:rsidR="00B41626">
        <w:rPr>
          <w:rFonts w:hint="cs"/>
          <w:rtl/>
        </w:rPr>
        <w:t xml:space="preserve"> </w:t>
      </w:r>
      <w:bookmarkStart w:id="51380" w:name="_ETM_Q98_357000"/>
      <w:bookmarkStart w:id="51381" w:name="_ETM_Q98_358629"/>
      <w:bookmarkEnd w:id="51380"/>
      <w:bookmarkEnd w:id="51381"/>
      <w:r>
        <w:rPr>
          <w:rFonts w:hint="cs"/>
          <w:rtl/>
        </w:rPr>
        <w:t xml:space="preserve">אז </w:t>
      </w:r>
      <w:bookmarkStart w:id="51382" w:name="_ETM_Q98_358779"/>
      <w:bookmarkEnd w:id="51382"/>
      <w:r>
        <w:rPr>
          <w:rFonts w:hint="cs"/>
          <w:rtl/>
        </w:rPr>
        <w:t xml:space="preserve">במקום </w:t>
      </w:r>
      <w:bookmarkStart w:id="51383" w:name="_ETM_Q98_359230"/>
      <w:bookmarkEnd w:id="51383"/>
      <w:r>
        <w:rPr>
          <w:rFonts w:hint="cs"/>
          <w:rtl/>
        </w:rPr>
        <w:t xml:space="preserve">לדון </w:t>
      </w:r>
      <w:bookmarkStart w:id="51384" w:name="_ETM_Q98_360280"/>
      <w:bookmarkEnd w:id="51384"/>
      <w:r>
        <w:rPr>
          <w:rFonts w:hint="cs"/>
          <w:rtl/>
        </w:rPr>
        <w:t xml:space="preserve">בהחלטה </w:t>
      </w:r>
      <w:bookmarkStart w:id="51385" w:name="_ETM_Q98_361000"/>
      <w:bookmarkEnd w:id="51385"/>
      <w:r>
        <w:rPr>
          <w:rFonts w:hint="cs"/>
          <w:rtl/>
        </w:rPr>
        <w:t xml:space="preserve">האמיצה </w:t>
      </w:r>
      <w:bookmarkStart w:id="51386" w:name="_ETM_Q98_361480"/>
      <w:bookmarkEnd w:id="51386"/>
      <w:r>
        <w:rPr>
          <w:rFonts w:hint="cs"/>
          <w:rtl/>
        </w:rPr>
        <w:t xml:space="preserve">של </w:t>
      </w:r>
      <w:bookmarkStart w:id="51387" w:name="_ETM_Q98_361660"/>
      <w:bookmarkEnd w:id="51387"/>
      <w:r>
        <w:rPr>
          <w:rFonts w:hint="cs"/>
          <w:rtl/>
        </w:rPr>
        <w:t xml:space="preserve">הממשלה </w:t>
      </w:r>
      <w:bookmarkStart w:id="51388" w:name="_ETM_Q98_362169"/>
      <w:bookmarkEnd w:id="51388"/>
      <w:r>
        <w:rPr>
          <w:rFonts w:hint="cs"/>
          <w:rtl/>
        </w:rPr>
        <w:t xml:space="preserve">הקודמת, </w:t>
      </w:r>
      <w:bookmarkStart w:id="51389" w:name="_ETM_Q98_362860"/>
      <w:bookmarkEnd w:id="51389"/>
      <w:r>
        <w:rPr>
          <w:rFonts w:hint="cs"/>
          <w:rtl/>
        </w:rPr>
        <w:t xml:space="preserve">של </w:t>
      </w:r>
      <w:bookmarkStart w:id="51390" w:name="_ETM_Q98_363489"/>
      <w:bookmarkEnd w:id="51390"/>
      <w:r>
        <w:rPr>
          <w:rFonts w:hint="cs"/>
          <w:rtl/>
        </w:rPr>
        <w:t xml:space="preserve">מדיניות </w:t>
      </w:r>
      <w:bookmarkStart w:id="51391" w:name="_ETM_Q98_364540"/>
      <w:bookmarkEnd w:id="51391"/>
      <w:r>
        <w:rPr>
          <w:rFonts w:hint="cs"/>
          <w:rtl/>
        </w:rPr>
        <w:t xml:space="preserve">של </w:t>
      </w:r>
      <w:bookmarkStart w:id="51392" w:name="_ETM_Q98_364810"/>
      <w:bookmarkEnd w:id="51392"/>
      <w:r>
        <w:rPr>
          <w:rFonts w:hint="cs"/>
          <w:rtl/>
        </w:rPr>
        <w:t xml:space="preserve">אפס </w:t>
      </w:r>
      <w:bookmarkStart w:id="51393" w:name="_ETM_Q98_365139"/>
      <w:bookmarkEnd w:id="51393"/>
      <w:r>
        <w:rPr>
          <w:rFonts w:hint="cs"/>
          <w:rtl/>
        </w:rPr>
        <w:t xml:space="preserve">תוספת </w:t>
      </w:r>
      <w:bookmarkStart w:id="51394" w:name="_ETM_Q98_365590"/>
      <w:bookmarkEnd w:id="51394"/>
      <w:r>
        <w:rPr>
          <w:rFonts w:hint="cs"/>
          <w:rtl/>
        </w:rPr>
        <w:t xml:space="preserve">סיכון </w:t>
      </w:r>
      <w:bookmarkStart w:id="51395" w:name="_ETM_Q98_366989"/>
      <w:bookmarkEnd w:id="51395"/>
      <w:r>
        <w:rPr>
          <w:rFonts w:hint="cs"/>
          <w:rtl/>
        </w:rPr>
        <w:t>מ</w:t>
      </w:r>
      <w:bookmarkStart w:id="51396" w:name="_ETM_Q98_367439"/>
      <w:bookmarkEnd w:id="51396"/>
      <w:r>
        <w:rPr>
          <w:rFonts w:hint="cs"/>
          <w:rtl/>
        </w:rPr>
        <w:t xml:space="preserve">תעבורת </w:t>
      </w:r>
      <w:bookmarkStart w:id="51397" w:name="_ETM_Q98_368189"/>
      <w:bookmarkEnd w:id="51397"/>
      <w:r>
        <w:rPr>
          <w:rFonts w:hint="cs"/>
          <w:rtl/>
        </w:rPr>
        <w:t xml:space="preserve">הנפט </w:t>
      </w:r>
      <w:bookmarkStart w:id="51398" w:name="_ETM_Q98_368489"/>
      <w:bookmarkEnd w:id="51398"/>
      <w:r>
        <w:rPr>
          <w:rFonts w:hint="cs"/>
          <w:rtl/>
        </w:rPr>
        <w:t xml:space="preserve">במפרץ </w:t>
      </w:r>
      <w:bookmarkStart w:id="51399" w:name="_ETM_Q98_368969"/>
      <w:bookmarkEnd w:id="51399"/>
      <w:r>
        <w:rPr>
          <w:rFonts w:hint="cs"/>
          <w:rtl/>
        </w:rPr>
        <w:t xml:space="preserve">אילת, </w:t>
      </w:r>
      <w:bookmarkStart w:id="51400" w:name="_ETM_Q98_369510"/>
      <w:bookmarkEnd w:id="51400"/>
      <w:r>
        <w:rPr>
          <w:rFonts w:hint="cs"/>
          <w:rtl/>
        </w:rPr>
        <w:t xml:space="preserve">כלומר </w:t>
      </w:r>
      <w:bookmarkStart w:id="51401" w:name="_ETM_Q98_369840"/>
      <w:bookmarkEnd w:id="51401"/>
      <w:r>
        <w:rPr>
          <w:rFonts w:hint="cs"/>
          <w:rtl/>
        </w:rPr>
        <w:t xml:space="preserve">לא </w:t>
      </w:r>
      <w:bookmarkStart w:id="51402" w:name="_ETM_Q98_370109"/>
      <w:bookmarkEnd w:id="51402"/>
      <w:r>
        <w:rPr>
          <w:rFonts w:hint="cs"/>
          <w:rtl/>
        </w:rPr>
        <w:t xml:space="preserve">להרחיב </w:t>
      </w:r>
      <w:bookmarkStart w:id="51403" w:name="_ETM_Q98_370559"/>
      <w:bookmarkEnd w:id="51403"/>
      <w:r>
        <w:rPr>
          <w:rFonts w:hint="cs"/>
          <w:rtl/>
        </w:rPr>
        <w:t xml:space="preserve">את </w:t>
      </w:r>
      <w:bookmarkStart w:id="51404" w:name="_ETM_Q98_370620"/>
      <w:bookmarkEnd w:id="51404"/>
      <w:r>
        <w:rPr>
          <w:rFonts w:hint="cs"/>
          <w:rtl/>
        </w:rPr>
        <w:t xml:space="preserve">הסיכונים </w:t>
      </w:r>
      <w:bookmarkStart w:id="51405" w:name="_ETM_Q98_371010"/>
      <w:bookmarkEnd w:id="51405"/>
      <w:r>
        <w:rPr>
          <w:rFonts w:hint="cs"/>
          <w:rtl/>
        </w:rPr>
        <w:t xml:space="preserve">שממילא </w:t>
      </w:r>
      <w:bookmarkStart w:id="51406" w:name="_ETM_Q98_371639"/>
      <w:bookmarkEnd w:id="51406"/>
      <w:r>
        <w:rPr>
          <w:rFonts w:hint="cs"/>
          <w:rtl/>
        </w:rPr>
        <w:t xml:space="preserve">קיימים, </w:t>
      </w:r>
      <w:bookmarkStart w:id="51407" w:name="_ETM_Q98_372940"/>
      <w:bookmarkEnd w:id="51407"/>
      <w:r>
        <w:rPr>
          <w:rFonts w:hint="cs"/>
          <w:rtl/>
        </w:rPr>
        <w:t xml:space="preserve">אתם </w:t>
      </w:r>
      <w:bookmarkStart w:id="51408" w:name="_ETM_Q98_373240"/>
      <w:bookmarkEnd w:id="51408"/>
      <w:r>
        <w:rPr>
          <w:rFonts w:hint="cs"/>
          <w:rtl/>
        </w:rPr>
        <w:t xml:space="preserve">דנים </w:t>
      </w:r>
      <w:bookmarkStart w:id="51409" w:name="_ETM_Q98_373540"/>
      <w:bookmarkEnd w:id="51409"/>
      <w:r>
        <w:rPr>
          <w:rFonts w:hint="cs"/>
          <w:rtl/>
        </w:rPr>
        <w:t xml:space="preserve">עכשיו </w:t>
      </w:r>
      <w:bookmarkStart w:id="51410" w:name="_ETM_Q98_373930"/>
      <w:bookmarkEnd w:id="51410"/>
      <w:r>
        <w:rPr>
          <w:rFonts w:hint="cs"/>
          <w:rtl/>
        </w:rPr>
        <w:t xml:space="preserve">בהרחבת </w:t>
      </w:r>
      <w:bookmarkStart w:id="51411" w:name="_ETM_Q98_375709"/>
      <w:bookmarkEnd w:id="51411"/>
      <w:r>
        <w:rPr>
          <w:rFonts w:hint="cs"/>
          <w:rtl/>
        </w:rPr>
        <w:t>ה</w:t>
      </w:r>
      <w:bookmarkStart w:id="51412" w:name="_ETM_Q98_376430"/>
      <w:bookmarkEnd w:id="51412"/>
      <w:r>
        <w:rPr>
          <w:rFonts w:hint="cs"/>
          <w:rtl/>
        </w:rPr>
        <w:t xml:space="preserve">תעבורה </w:t>
      </w:r>
      <w:bookmarkStart w:id="51413" w:name="_ETM_Q98_377060"/>
      <w:bookmarkEnd w:id="51413"/>
      <w:r>
        <w:rPr>
          <w:rFonts w:hint="cs"/>
          <w:rtl/>
        </w:rPr>
        <w:t xml:space="preserve">של </w:t>
      </w:r>
      <w:bookmarkStart w:id="51414" w:name="_ETM_Q98_377300"/>
      <w:bookmarkEnd w:id="51414"/>
      <w:r>
        <w:rPr>
          <w:rFonts w:hint="cs"/>
          <w:rtl/>
        </w:rPr>
        <w:t>הנפט –</w:t>
      </w:r>
      <w:bookmarkStart w:id="51415" w:name="_ETM_Q98_378297"/>
      <w:bookmarkStart w:id="51416" w:name="_ETM_Q98_378423"/>
      <w:bookmarkEnd w:id="51415"/>
      <w:bookmarkEnd w:id="51416"/>
      <w:r>
        <w:rPr>
          <w:rFonts w:hint="cs"/>
          <w:rtl/>
        </w:rPr>
        <w:t xml:space="preserve"> </w:t>
      </w:r>
      <w:bookmarkStart w:id="51417" w:name="_ETM_Q98_377870"/>
      <w:bookmarkEnd w:id="51417"/>
      <w:r>
        <w:rPr>
          <w:rFonts w:hint="cs"/>
          <w:rtl/>
        </w:rPr>
        <w:t xml:space="preserve">ושוב, </w:t>
      </w:r>
      <w:bookmarkStart w:id="51418" w:name="_ETM_Q98_378319"/>
      <w:bookmarkEnd w:id="51418"/>
      <w:r>
        <w:rPr>
          <w:rFonts w:hint="cs"/>
          <w:rtl/>
        </w:rPr>
        <w:t xml:space="preserve">לא </w:t>
      </w:r>
      <w:bookmarkStart w:id="51419" w:name="_ETM_Q98_378500"/>
      <w:bookmarkEnd w:id="51419"/>
      <w:r>
        <w:rPr>
          <w:rFonts w:hint="cs"/>
          <w:rtl/>
        </w:rPr>
        <w:t xml:space="preserve">לצרכים </w:t>
      </w:r>
      <w:bookmarkStart w:id="51420" w:name="_ETM_Q98_379069"/>
      <w:bookmarkEnd w:id="51420"/>
      <w:r>
        <w:rPr>
          <w:rFonts w:hint="cs"/>
          <w:rtl/>
        </w:rPr>
        <w:t xml:space="preserve">של </w:t>
      </w:r>
      <w:bookmarkStart w:id="51421" w:name="_ETM_Q98_379220"/>
      <w:bookmarkEnd w:id="51421"/>
      <w:r>
        <w:rPr>
          <w:rFonts w:hint="cs"/>
          <w:rtl/>
        </w:rPr>
        <w:t xml:space="preserve">מדינת </w:t>
      </w:r>
      <w:bookmarkStart w:id="51422" w:name="_ETM_Q98_379580"/>
      <w:bookmarkEnd w:id="51422"/>
      <w:r>
        <w:rPr>
          <w:rFonts w:hint="cs"/>
          <w:rtl/>
        </w:rPr>
        <w:t xml:space="preserve">ישראל </w:t>
      </w:r>
      <w:bookmarkStart w:id="51423" w:name="_ETM_Q98_380090"/>
      <w:bookmarkStart w:id="51424" w:name="_ETM_Q98_380360"/>
      <w:bookmarkStart w:id="51425" w:name="_ETM_Q98_380750"/>
      <w:bookmarkEnd w:id="51423"/>
      <w:bookmarkEnd w:id="51424"/>
      <w:bookmarkEnd w:id="51425"/>
      <w:r>
        <w:rPr>
          <w:rFonts w:hint="cs"/>
          <w:rtl/>
        </w:rPr>
        <w:t xml:space="preserve">אלא לצורכי </w:t>
      </w:r>
      <w:bookmarkStart w:id="51426" w:name="_ETM_Q98_381530"/>
      <w:bookmarkEnd w:id="51426"/>
      <w:r>
        <w:rPr>
          <w:rFonts w:hint="cs"/>
          <w:rtl/>
        </w:rPr>
        <w:t xml:space="preserve">יצוא. אנחנו </w:t>
      </w:r>
      <w:bookmarkStart w:id="51427" w:name="_ETM_Q98_381000"/>
      <w:bookmarkEnd w:id="51427"/>
      <w:r>
        <w:rPr>
          <w:rFonts w:hint="cs"/>
          <w:rtl/>
        </w:rPr>
        <w:t xml:space="preserve">רוצים </w:t>
      </w:r>
      <w:bookmarkStart w:id="51428" w:name="_ETM_Q98_382790"/>
      <w:bookmarkStart w:id="51429" w:name="_ETM_Q98_383299"/>
      <w:bookmarkStart w:id="51430" w:name="_ETM_Q98_383749"/>
      <w:bookmarkStart w:id="51431" w:name="_ETM_Q98_384439"/>
      <w:bookmarkEnd w:id="51428"/>
      <w:bookmarkEnd w:id="51429"/>
      <w:bookmarkEnd w:id="51430"/>
      <w:bookmarkEnd w:id="51431"/>
      <w:r>
        <w:rPr>
          <w:rFonts w:hint="cs"/>
          <w:rtl/>
        </w:rPr>
        <w:t xml:space="preserve"> </w:t>
      </w:r>
      <w:bookmarkStart w:id="51432" w:name="_ETM_Q98_384859"/>
      <w:bookmarkEnd w:id="51432"/>
      <w:r>
        <w:rPr>
          <w:rFonts w:hint="cs"/>
          <w:rtl/>
        </w:rPr>
        <w:t xml:space="preserve">להיות </w:t>
      </w:r>
      <w:bookmarkStart w:id="51433" w:name="_ETM_Q98_385579"/>
      <w:bookmarkEnd w:id="51433"/>
      <w:r>
        <w:rPr>
          <w:rFonts w:hint="cs"/>
          <w:rtl/>
        </w:rPr>
        <w:t xml:space="preserve">חלק </w:t>
      </w:r>
      <w:bookmarkStart w:id="51434" w:name="_ETM_Q98_385999"/>
      <w:bookmarkEnd w:id="51434"/>
      <w:r>
        <w:rPr>
          <w:rFonts w:hint="cs"/>
          <w:rtl/>
        </w:rPr>
        <w:t xml:space="preserve">מהבעיה </w:t>
      </w:r>
      <w:bookmarkStart w:id="51435" w:name="_ETM_Q98_386959"/>
      <w:bookmarkEnd w:id="51435"/>
      <w:r>
        <w:rPr>
          <w:rFonts w:hint="cs"/>
          <w:rtl/>
        </w:rPr>
        <w:t xml:space="preserve">או </w:t>
      </w:r>
      <w:bookmarkStart w:id="51436" w:name="_ETM_Q98_387049"/>
      <w:bookmarkEnd w:id="51436"/>
      <w:r>
        <w:rPr>
          <w:rFonts w:hint="cs"/>
          <w:rtl/>
        </w:rPr>
        <w:t xml:space="preserve">חלק </w:t>
      </w:r>
      <w:bookmarkStart w:id="51437" w:name="_ETM_Q98_387290"/>
      <w:bookmarkEnd w:id="51437"/>
      <w:r>
        <w:rPr>
          <w:rFonts w:hint="cs"/>
          <w:rtl/>
        </w:rPr>
        <w:t xml:space="preserve">מהפתרון </w:t>
      </w:r>
      <w:bookmarkStart w:id="51438" w:name="_ETM_Q98_387889"/>
      <w:bookmarkEnd w:id="51438"/>
      <w:r>
        <w:rPr>
          <w:rFonts w:hint="cs"/>
          <w:rtl/>
        </w:rPr>
        <w:t xml:space="preserve">של </w:t>
      </w:r>
      <w:bookmarkStart w:id="51439" w:name="_ETM_Q98_388040"/>
      <w:bookmarkEnd w:id="51439"/>
      <w:r>
        <w:rPr>
          <w:rFonts w:hint="cs"/>
          <w:rtl/>
        </w:rPr>
        <w:t xml:space="preserve">משבר </w:t>
      </w:r>
      <w:bookmarkStart w:id="51440" w:name="_ETM_Q98_388430"/>
      <w:bookmarkEnd w:id="51440"/>
      <w:r>
        <w:rPr>
          <w:rFonts w:hint="cs"/>
          <w:rtl/>
        </w:rPr>
        <w:t xml:space="preserve">האקלים? </w:t>
      </w:r>
      <w:bookmarkStart w:id="51441" w:name="_ETM_Q98_390069"/>
      <w:bookmarkEnd w:id="51441"/>
      <w:r>
        <w:rPr>
          <w:rFonts w:hint="cs"/>
          <w:rtl/>
        </w:rPr>
        <w:t xml:space="preserve">לא </w:t>
      </w:r>
      <w:bookmarkStart w:id="51442" w:name="_ETM_Q98_390370"/>
      <w:bookmarkEnd w:id="51442"/>
      <w:r>
        <w:rPr>
          <w:rFonts w:hint="cs"/>
          <w:rtl/>
        </w:rPr>
        <w:t xml:space="preserve">נכון </w:t>
      </w:r>
      <w:bookmarkStart w:id="51443" w:name="_ETM_Q98_391190"/>
      <w:bookmarkEnd w:id="51443"/>
      <w:r>
        <w:rPr>
          <w:rFonts w:hint="cs"/>
          <w:rtl/>
        </w:rPr>
        <w:t xml:space="preserve">לייצר </w:t>
      </w:r>
      <w:bookmarkStart w:id="51444" w:name="_ETM_Q98_392300"/>
      <w:bookmarkEnd w:id="51444"/>
      <w:r>
        <w:rPr>
          <w:rFonts w:hint="cs"/>
          <w:rtl/>
        </w:rPr>
        <w:t xml:space="preserve">מצב </w:t>
      </w:r>
      <w:bookmarkStart w:id="51445" w:name="_ETM_Q98_392660"/>
      <w:bookmarkEnd w:id="51445"/>
      <w:r>
        <w:rPr>
          <w:rFonts w:hint="cs"/>
          <w:rtl/>
        </w:rPr>
        <w:t xml:space="preserve">שבו </w:t>
      </w:r>
      <w:bookmarkStart w:id="51446" w:name="_ETM_Q98_392960"/>
      <w:bookmarkEnd w:id="51446"/>
      <w:r>
        <w:rPr>
          <w:rFonts w:hint="cs"/>
          <w:rtl/>
        </w:rPr>
        <w:t xml:space="preserve">ישראל </w:t>
      </w:r>
      <w:bookmarkStart w:id="51447" w:name="_ETM_Q98_393320"/>
      <w:bookmarkEnd w:id="51447"/>
      <w:r>
        <w:rPr>
          <w:rFonts w:hint="cs"/>
          <w:rtl/>
        </w:rPr>
        <w:t xml:space="preserve">תהיה </w:t>
      </w:r>
      <w:bookmarkStart w:id="51448" w:name="_ETM_Q98_393560"/>
      <w:bookmarkEnd w:id="51448"/>
      <w:r>
        <w:rPr>
          <w:rFonts w:hint="cs"/>
          <w:rtl/>
        </w:rPr>
        <w:t xml:space="preserve">החצר </w:t>
      </w:r>
      <w:bookmarkStart w:id="51449" w:name="_ETM_Q98_394130"/>
      <w:bookmarkEnd w:id="51449"/>
      <w:r>
        <w:rPr>
          <w:rFonts w:hint="cs"/>
          <w:rtl/>
        </w:rPr>
        <w:t xml:space="preserve">האחורית </w:t>
      </w:r>
      <w:bookmarkStart w:id="51450" w:name="_ETM_Q98_394700"/>
      <w:bookmarkEnd w:id="51450"/>
      <w:r>
        <w:rPr>
          <w:rFonts w:hint="cs"/>
          <w:rtl/>
        </w:rPr>
        <w:t xml:space="preserve">של </w:t>
      </w:r>
      <w:bookmarkStart w:id="51451" w:name="_ETM_Q98_394820"/>
      <w:bookmarkEnd w:id="51451"/>
      <w:r>
        <w:rPr>
          <w:rFonts w:hint="cs"/>
          <w:rtl/>
        </w:rPr>
        <w:t>תעבור</w:t>
      </w:r>
      <w:bookmarkStart w:id="51452" w:name="_ETM_Q98_395330"/>
      <w:bookmarkEnd w:id="51452"/>
      <w:r>
        <w:rPr>
          <w:rFonts w:hint="cs"/>
          <w:rtl/>
        </w:rPr>
        <w:t xml:space="preserve">ת </w:t>
      </w:r>
      <w:bookmarkStart w:id="51453" w:name="_ETM_Q98_395450"/>
      <w:bookmarkEnd w:id="51453"/>
      <w:r>
        <w:rPr>
          <w:rFonts w:hint="cs"/>
          <w:rtl/>
        </w:rPr>
        <w:t xml:space="preserve">הנפט </w:t>
      </w:r>
      <w:bookmarkStart w:id="51454" w:name="_ETM_Q98_395750"/>
      <w:bookmarkEnd w:id="51454"/>
      <w:r>
        <w:rPr>
          <w:rFonts w:hint="cs"/>
          <w:rtl/>
        </w:rPr>
        <w:t xml:space="preserve">במזרח </w:t>
      </w:r>
      <w:bookmarkStart w:id="51455" w:name="_ETM_Q98_396230"/>
      <w:bookmarkEnd w:id="51455"/>
      <w:r>
        <w:rPr>
          <w:rFonts w:hint="cs"/>
          <w:rtl/>
        </w:rPr>
        <w:t>התיכון</w:t>
      </w:r>
      <w:bookmarkStart w:id="51456" w:name="_ETM_Q98_397709"/>
      <w:bookmarkEnd w:id="51456"/>
      <w:r>
        <w:rPr>
          <w:rFonts w:hint="cs"/>
          <w:rtl/>
        </w:rPr>
        <w:t xml:space="preserve">. פשוט </w:t>
      </w:r>
      <w:bookmarkStart w:id="51457" w:name="_ETM_Q98_398489"/>
      <w:bookmarkEnd w:id="51457"/>
      <w:r>
        <w:rPr>
          <w:rFonts w:hint="cs"/>
          <w:rtl/>
        </w:rPr>
        <w:t xml:space="preserve">בלתי </w:t>
      </w:r>
      <w:bookmarkStart w:id="51458" w:name="_ETM_Q98_398909"/>
      <w:bookmarkEnd w:id="51458"/>
      <w:r>
        <w:rPr>
          <w:rFonts w:hint="cs"/>
          <w:rtl/>
        </w:rPr>
        <w:t>נתפס.</w:t>
      </w:r>
    </w:p>
    <w:p w:rsidR="00BB59CD" w:rsidRDefault="00BB59CD" w:rsidP="00BB59CD">
      <w:pPr>
        <w:rPr>
          <w:rtl/>
        </w:rPr>
      </w:pPr>
      <w:bookmarkStart w:id="51459" w:name="_ETM_Q98_401000"/>
      <w:bookmarkEnd w:id="51459"/>
    </w:p>
    <w:p w:rsidR="00BB59CD" w:rsidRDefault="00BB59CD" w:rsidP="00BB59CD">
      <w:pPr>
        <w:rPr>
          <w:rtl/>
        </w:rPr>
      </w:pPr>
      <w:bookmarkStart w:id="51460" w:name="_ETM_Q98_402000"/>
      <w:bookmarkStart w:id="51461" w:name="_ETM_Q98_401700"/>
      <w:bookmarkEnd w:id="51460"/>
      <w:bookmarkEnd w:id="51461"/>
      <w:r>
        <w:rPr>
          <w:rFonts w:hint="cs"/>
          <w:rtl/>
        </w:rPr>
        <w:t xml:space="preserve">מלבד </w:t>
      </w:r>
      <w:bookmarkStart w:id="51462" w:name="_ETM_Q98_402840"/>
      <w:bookmarkEnd w:id="51462"/>
      <w:r>
        <w:rPr>
          <w:rFonts w:hint="cs"/>
          <w:rtl/>
        </w:rPr>
        <w:t xml:space="preserve">הנושא </w:t>
      </w:r>
      <w:bookmarkStart w:id="51463" w:name="_ETM_Q98_403320"/>
      <w:bookmarkEnd w:id="51463"/>
      <w:r>
        <w:rPr>
          <w:rFonts w:hint="cs"/>
          <w:rtl/>
        </w:rPr>
        <w:t xml:space="preserve">הזה, </w:t>
      </w:r>
      <w:bookmarkStart w:id="51464" w:name="_ETM_Q98_403710"/>
      <w:bookmarkEnd w:id="51464"/>
      <w:r>
        <w:rPr>
          <w:rFonts w:hint="cs"/>
          <w:rtl/>
        </w:rPr>
        <w:t xml:space="preserve">לא </w:t>
      </w:r>
      <w:bookmarkStart w:id="51465" w:name="_ETM_Q98_403980"/>
      <w:bookmarkEnd w:id="51465"/>
      <w:r>
        <w:rPr>
          <w:rFonts w:hint="cs"/>
          <w:rtl/>
        </w:rPr>
        <w:t xml:space="preserve">קידמתם </w:t>
      </w:r>
      <w:bookmarkStart w:id="51466" w:name="_ETM_Q98_404850"/>
      <w:bookmarkEnd w:id="51466"/>
      <w:r>
        <w:rPr>
          <w:rFonts w:hint="cs"/>
          <w:rtl/>
        </w:rPr>
        <w:t xml:space="preserve">בשבעת </w:t>
      </w:r>
      <w:bookmarkStart w:id="51467" w:name="_ETM_Q98_405570"/>
      <w:bookmarkEnd w:id="51467"/>
      <w:r>
        <w:rPr>
          <w:rFonts w:hint="cs"/>
          <w:rtl/>
        </w:rPr>
        <w:t xml:space="preserve">החודשים </w:t>
      </w:r>
      <w:bookmarkStart w:id="51468" w:name="_ETM_Q98_406080"/>
      <w:bookmarkEnd w:id="51468"/>
      <w:r>
        <w:rPr>
          <w:rFonts w:hint="cs"/>
          <w:rtl/>
        </w:rPr>
        <w:t xml:space="preserve">שבהם </w:t>
      </w:r>
      <w:bookmarkStart w:id="51469" w:name="_ETM_Q98_406890"/>
      <w:bookmarkEnd w:id="51469"/>
      <w:r>
        <w:rPr>
          <w:rFonts w:hint="cs"/>
          <w:rtl/>
        </w:rPr>
        <w:t xml:space="preserve">פועלת </w:t>
      </w:r>
      <w:bookmarkStart w:id="51470" w:name="_ETM_Q98_407250"/>
      <w:bookmarkEnd w:id="51470"/>
      <w:r>
        <w:rPr>
          <w:rFonts w:hint="cs"/>
          <w:rtl/>
        </w:rPr>
        <w:t xml:space="preserve">הממשלה </w:t>
      </w:r>
      <w:bookmarkStart w:id="51471" w:name="_ETM_Q98_408330"/>
      <w:bookmarkEnd w:id="51471"/>
      <w:r>
        <w:rPr>
          <w:rFonts w:hint="cs"/>
          <w:rtl/>
        </w:rPr>
        <w:t xml:space="preserve">חוק </w:t>
      </w:r>
      <w:bookmarkStart w:id="51472" w:name="_ETM_Q98_408750"/>
      <w:bookmarkEnd w:id="51472"/>
      <w:r>
        <w:rPr>
          <w:rFonts w:hint="cs"/>
          <w:rtl/>
        </w:rPr>
        <w:t xml:space="preserve">סביבתי </w:t>
      </w:r>
      <w:bookmarkStart w:id="51473" w:name="_ETM_Q98_409260"/>
      <w:bookmarkStart w:id="51474" w:name="_ETM_Q98_410090"/>
      <w:bookmarkEnd w:id="51473"/>
      <w:bookmarkEnd w:id="51474"/>
      <w:r>
        <w:rPr>
          <w:rFonts w:hint="cs"/>
          <w:rtl/>
        </w:rPr>
        <w:t xml:space="preserve">אחד </w:t>
      </w:r>
      <w:bookmarkStart w:id="51475" w:name="_ETM_Q98_410840"/>
      <w:bookmarkEnd w:id="51475"/>
      <w:r>
        <w:rPr>
          <w:rFonts w:hint="cs"/>
          <w:rtl/>
        </w:rPr>
        <w:t xml:space="preserve">מאז שהוקמה </w:t>
      </w:r>
      <w:bookmarkStart w:id="51476" w:name="_ETM_Q98_411200"/>
      <w:bookmarkEnd w:id="51476"/>
      <w:r>
        <w:rPr>
          <w:rFonts w:hint="cs"/>
          <w:rtl/>
        </w:rPr>
        <w:t xml:space="preserve">הממשלה </w:t>
      </w:r>
      <w:bookmarkStart w:id="51477" w:name="_ETM_Q98_411740"/>
      <w:bookmarkEnd w:id="51477"/>
      <w:r>
        <w:rPr>
          <w:rFonts w:hint="cs"/>
          <w:rtl/>
        </w:rPr>
        <w:t xml:space="preserve">הזאת. אחד. אחד. </w:t>
      </w:r>
      <w:bookmarkStart w:id="51478" w:name="_ETM_Q98_412040"/>
      <w:bookmarkStart w:id="51479" w:name="_ETM_Q98_414489"/>
      <w:bookmarkEnd w:id="51478"/>
      <w:bookmarkEnd w:id="51479"/>
      <w:r>
        <w:rPr>
          <w:rFonts w:hint="cs"/>
          <w:rtl/>
        </w:rPr>
        <w:t xml:space="preserve">אני </w:t>
      </w:r>
      <w:bookmarkStart w:id="51480" w:name="_ETM_Q98_414730"/>
      <w:bookmarkEnd w:id="51480"/>
      <w:r>
        <w:rPr>
          <w:rFonts w:hint="cs"/>
          <w:rtl/>
        </w:rPr>
        <w:t xml:space="preserve">הבאתי </w:t>
      </w:r>
      <w:bookmarkStart w:id="51481" w:name="_ETM_Q98_415480"/>
      <w:bookmarkEnd w:id="51481"/>
      <w:r>
        <w:rPr>
          <w:rFonts w:hint="cs"/>
          <w:rtl/>
        </w:rPr>
        <w:t xml:space="preserve">בפני </w:t>
      </w:r>
      <w:bookmarkStart w:id="51482" w:name="_ETM_Q98_415779"/>
      <w:bookmarkEnd w:id="51482"/>
      <w:r>
        <w:rPr>
          <w:rFonts w:hint="cs"/>
          <w:rtl/>
        </w:rPr>
        <w:t xml:space="preserve">ועדת </w:t>
      </w:r>
      <w:bookmarkStart w:id="51483" w:name="_ETM_Q98_416109"/>
      <w:bookmarkEnd w:id="51483"/>
      <w:r>
        <w:rPr>
          <w:rFonts w:hint="cs"/>
          <w:rtl/>
        </w:rPr>
        <w:t xml:space="preserve">השרים </w:t>
      </w:r>
      <w:bookmarkStart w:id="51484" w:name="_ETM_Q98_416379"/>
      <w:bookmarkEnd w:id="51484"/>
      <w:r>
        <w:rPr>
          <w:rFonts w:hint="cs"/>
          <w:rtl/>
        </w:rPr>
        <w:t xml:space="preserve">לענייני </w:t>
      </w:r>
      <w:bookmarkStart w:id="51485" w:name="_ETM_Q98_416620"/>
      <w:bookmarkEnd w:id="51485"/>
      <w:r>
        <w:rPr>
          <w:rFonts w:hint="cs"/>
          <w:rtl/>
        </w:rPr>
        <w:t xml:space="preserve">חקיקה </w:t>
      </w:r>
      <w:bookmarkStart w:id="51486" w:name="_ETM_Q98_417069"/>
      <w:bookmarkEnd w:id="51486"/>
      <w:r>
        <w:rPr>
          <w:rFonts w:hint="cs"/>
          <w:rtl/>
        </w:rPr>
        <w:t xml:space="preserve">מספר </w:t>
      </w:r>
      <w:bookmarkStart w:id="51487" w:name="_ETM_Q98_418089"/>
      <w:bookmarkEnd w:id="51487"/>
      <w:r>
        <w:rPr>
          <w:rFonts w:hint="cs"/>
          <w:rtl/>
        </w:rPr>
        <w:t xml:space="preserve">רב </w:t>
      </w:r>
      <w:bookmarkStart w:id="51488" w:name="_ETM_Q98_418599"/>
      <w:bookmarkEnd w:id="51488"/>
      <w:r>
        <w:rPr>
          <w:rFonts w:hint="cs"/>
          <w:rtl/>
        </w:rPr>
        <w:t xml:space="preserve">של </w:t>
      </w:r>
      <w:bookmarkStart w:id="51489" w:name="_ETM_Q98_418809"/>
      <w:bookmarkEnd w:id="51489"/>
      <w:r>
        <w:rPr>
          <w:rFonts w:hint="cs"/>
          <w:rtl/>
        </w:rPr>
        <w:t xml:space="preserve">חוקים, </w:t>
      </w:r>
      <w:bookmarkStart w:id="51490" w:name="_ETM_Q98_419829"/>
      <w:bookmarkStart w:id="51491" w:name="_ETM_Q98_420370"/>
      <w:bookmarkStart w:id="51492" w:name="_ETM_Q98_421120"/>
      <w:bookmarkEnd w:id="51490"/>
      <w:bookmarkEnd w:id="51491"/>
      <w:bookmarkEnd w:id="51492"/>
      <w:r>
        <w:rPr>
          <w:rFonts w:hint="cs"/>
          <w:rtl/>
        </w:rPr>
        <w:t xml:space="preserve">מהצורך </w:t>
      </w:r>
      <w:bookmarkStart w:id="51493" w:name="_ETM_Q98_421930"/>
      <w:bookmarkEnd w:id="51493"/>
      <w:r>
        <w:rPr>
          <w:rFonts w:hint="cs"/>
          <w:rtl/>
        </w:rPr>
        <w:t xml:space="preserve">לשמור </w:t>
      </w:r>
      <w:bookmarkStart w:id="51494" w:name="_ETM_Q98_422740"/>
      <w:bookmarkEnd w:id="51494"/>
      <w:r>
        <w:rPr>
          <w:rFonts w:hint="cs"/>
          <w:rtl/>
        </w:rPr>
        <w:t xml:space="preserve">ולהרחיב </w:t>
      </w:r>
      <w:bookmarkStart w:id="51495" w:name="_ETM_Q98_423400"/>
      <w:bookmarkEnd w:id="51495"/>
      <w:r>
        <w:rPr>
          <w:rFonts w:hint="cs"/>
          <w:rtl/>
        </w:rPr>
        <w:t xml:space="preserve">את </w:t>
      </w:r>
      <w:bookmarkStart w:id="51496" w:name="_ETM_Q98_423520"/>
      <w:bookmarkEnd w:id="51496"/>
      <w:r>
        <w:rPr>
          <w:rFonts w:hint="cs"/>
          <w:rtl/>
        </w:rPr>
        <w:t xml:space="preserve">ההגנה </w:t>
      </w:r>
      <w:bookmarkStart w:id="51497" w:name="_ETM_Q98_424060"/>
      <w:bookmarkEnd w:id="51497"/>
      <w:r>
        <w:rPr>
          <w:rFonts w:hint="cs"/>
          <w:rtl/>
        </w:rPr>
        <w:t xml:space="preserve">על </w:t>
      </w:r>
      <w:bookmarkStart w:id="51498" w:name="_ETM_Q98_424150"/>
      <w:bookmarkEnd w:id="51498"/>
      <w:r>
        <w:rPr>
          <w:rFonts w:hint="cs"/>
          <w:rtl/>
        </w:rPr>
        <w:t xml:space="preserve">החופים </w:t>
      </w:r>
      <w:bookmarkStart w:id="51499" w:name="_ETM_Q98_424540"/>
      <w:bookmarkEnd w:id="51499"/>
      <w:r>
        <w:rPr>
          <w:rFonts w:hint="cs"/>
          <w:rtl/>
        </w:rPr>
        <w:t xml:space="preserve">במדינת </w:t>
      </w:r>
      <w:bookmarkStart w:id="51500" w:name="_ETM_Q98_425020"/>
      <w:bookmarkEnd w:id="51500"/>
      <w:r>
        <w:rPr>
          <w:rFonts w:hint="cs"/>
          <w:rtl/>
        </w:rPr>
        <w:t xml:space="preserve">ישראל, </w:t>
      </w:r>
      <w:bookmarkStart w:id="51501" w:name="_ETM_Q98_426069"/>
      <w:bookmarkEnd w:id="51501"/>
      <w:r>
        <w:rPr>
          <w:rFonts w:hint="cs"/>
          <w:rtl/>
        </w:rPr>
        <w:t xml:space="preserve">עבור </w:t>
      </w:r>
      <w:bookmarkStart w:id="51502" w:name="_ETM_Q98_427690"/>
      <w:bookmarkEnd w:id="51502"/>
      <w:r>
        <w:rPr>
          <w:rFonts w:hint="cs"/>
          <w:rtl/>
        </w:rPr>
        <w:t xml:space="preserve">בחיוב </w:t>
      </w:r>
      <w:bookmarkStart w:id="51503" w:name="_ETM_Q98_429630"/>
      <w:bookmarkEnd w:id="51503"/>
      <w:r>
        <w:rPr>
          <w:rFonts w:hint="cs"/>
          <w:rtl/>
        </w:rPr>
        <w:t xml:space="preserve">המדינה </w:t>
      </w:r>
      <w:bookmarkStart w:id="51504" w:name="_ETM_Q98_430590"/>
      <w:bookmarkEnd w:id="51504"/>
      <w:r>
        <w:rPr>
          <w:rFonts w:hint="cs"/>
          <w:rtl/>
        </w:rPr>
        <w:t xml:space="preserve">לייצר </w:t>
      </w:r>
      <w:bookmarkStart w:id="51505" w:name="_ETM_Q98_431220"/>
      <w:bookmarkEnd w:id="51505"/>
      <w:r>
        <w:rPr>
          <w:rFonts w:hint="cs"/>
          <w:rtl/>
        </w:rPr>
        <w:t xml:space="preserve">דוח </w:t>
      </w:r>
      <w:bookmarkStart w:id="51506" w:name="_ETM_Q98_431670"/>
      <w:bookmarkEnd w:id="51506"/>
      <w:r>
        <w:rPr>
          <w:rFonts w:hint="cs"/>
          <w:rtl/>
        </w:rPr>
        <w:t xml:space="preserve">שינטר </w:t>
      </w:r>
      <w:bookmarkStart w:id="51507" w:name="_ETM_Q98_432270"/>
      <w:bookmarkEnd w:id="51507"/>
      <w:r>
        <w:rPr>
          <w:rFonts w:hint="cs"/>
          <w:rtl/>
        </w:rPr>
        <w:t xml:space="preserve">את </w:t>
      </w:r>
      <w:bookmarkStart w:id="51508" w:name="_ETM_Q98_432450"/>
      <w:bookmarkEnd w:id="51508"/>
      <w:r>
        <w:rPr>
          <w:rFonts w:hint="cs"/>
          <w:rtl/>
        </w:rPr>
        <w:t xml:space="preserve">מצב </w:t>
      </w:r>
      <w:bookmarkStart w:id="51509" w:name="_ETM_Q98_432840"/>
      <w:bookmarkEnd w:id="51509"/>
      <w:r>
        <w:rPr>
          <w:rFonts w:hint="cs"/>
          <w:rtl/>
        </w:rPr>
        <w:t xml:space="preserve">הטבע </w:t>
      </w:r>
      <w:bookmarkStart w:id="51510" w:name="_ETM_Q98_433739"/>
      <w:bookmarkEnd w:id="51510"/>
      <w:r>
        <w:rPr>
          <w:rFonts w:hint="cs"/>
          <w:rtl/>
        </w:rPr>
        <w:t xml:space="preserve">והמגוון </w:t>
      </w:r>
      <w:bookmarkStart w:id="51511" w:name="_ETM_Q98_434310"/>
      <w:bookmarkEnd w:id="51511"/>
      <w:r>
        <w:rPr>
          <w:rFonts w:hint="cs"/>
          <w:rtl/>
        </w:rPr>
        <w:t xml:space="preserve">הביולוגי </w:t>
      </w:r>
      <w:bookmarkStart w:id="51512" w:name="_ETM_Q98_434940"/>
      <w:bookmarkEnd w:id="51512"/>
      <w:r>
        <w:rPr>
          <w:rFonts w:hint="cs"/>
          <w:rtl/>
        </w:rPr>
        <w:t xml:space="preserve">בישראל, </w:t>
      </w:r>
      <w:bookmarkStart w:id="51513" w:name="_ETM_Q98_436120"/>
      <w:bookmarkEnd w:id="51513"/>
      <w:r>
        <w:rPr>
          <w:rFonts w:hint="cs"/>
          <w:rtl/>
        </w:rPr>
        <w:t xml:space="preserve">דרך </w:t>
      </w:r>
      <w:bookmarkStart w:id="51514" w:name="_ETM_Q98_436630"/>
      <w:bookmarkEnd w:id="51514"/>
      <w:r>
        <w:rPr>
          <w:rFonts w:hint="cs"/>
          <w:rtl/>
        </w:rPr>
        <w:t xml:space="preserve">חוק </w:t>
      </w:r>
      <w:bookmarkStart w:id="51515" w:name="_ETM_Q98_436839"/>
      <w:bookmarkEnd w:id="51515"/>
      <w:r>
        <w:rPr>
          <w:rFonts w:hint="cs"/>
          <w:rtl/>
        </w:rPr>
        <w:t xml:space="preserve">אקלים, </w:t>
      </w:r>
      <w:bookmarkStart w:id="51516" w:name="_ETM_Q98_437900"/>
      <w:bookmarkEnd w:id="51516"/>
      <w:r>
        <w:rPr>
          <w:rFonts w:hint="cs"/>
          <w:rtl/>
        </w:rPr>
        <w:t xml:space="preserve">ועוד </w:t>
      </w:r>
      <w:bookmarkStart w:id="51517" w:name="_ETM_Q98_438560"/>
      <w:bookmarkEnd w:id="51517"/>
      <w:r>
        <w:rPr>
          <w:rFonts w:hint="cs"/>
          <w:rtl/>
        </w:rPr>
        <w:t xml:space="preserve">ועוד </w:t>
      </w:r>
      <w:bookmarkStart w:id="51518" w:name="_ETM_Q98_439010"/>
      <w:bookmarkEnd w:id="51518"/>
      <w:r>
        <w:rPr>
          <w:rFonts w:hint="cs"/>
          <w:rtl/>
        </w:rPr>
        <w:t xml:space="preserve">ועוד, </w:t>
      </w:r>
      <w:bookmarkStart w:id="51519" w:name="_ETM_Q98_439460"/>
      <w:bookmarkEnd w:id="51519"/>
      <w:r>
        <w:rPr>
          <w:rFonts w:hint="cs"/>
          <w:rtl/>
        </w:rPr>
        <w:t xml:space="preserve">חוקים </w:t>
      </w:r>
      <w:bookmarkStart w:id="51520" w:name="_ETM_Q98_439910"/>
      <w:bookmarkEnd w:id="51520"/>
      <w:r>
        <w:rPr>
          <w:rFonts w:hint="cs"/>
          <w:rtl/>
        </w:rPr>
        <w:t xml:space="preserve">רבים </w:t>
      </w:r>
      <w:bookmarkStart w:id="51521" w:name="_ETM_Q98_440660"/>
      <w:bookmarkEnd w:id="51521"/>
      <w:r>
        <w:rPr>
          <w:rFonts w:hint="cs"/>
          <w:rtl/>
        </w:rPr>
        <w:t xml:space="preserve">שתכליתם </w:t>
      </w:r>
      <w:bookmarkStart w:id="51522" w:name="_ETM_Q98_441440"/>
      <w:bookmarkEnd w:id="51522"/>
      <w:r>
        <w:rPr>
          <w:rFonts w:hint="cs"/>
          <w:rtl/>
        </w:rPr>
        <w:t xml:space="preserve">להגן </w:t>
      </w:r>
      <w:bookmarkStart w:id="51523" w:name="_ETM_Q98_442550"/>
      <w:bookmarkEnd w:id="51523"/>
      <w:r>
        <w:rPr>
          <w:rFonts w:hint="cs"/>
          <w:rtl/>
        </w:rPr>
        <w:t xml:space="preserve">על </w:t>
      </w:r>
      <w:bookmarkStart w:id="51524" w:name="_ETM_Q98_442730"/>
      <w:bookmarkEnd w:id="51524"/>
      <w:r>
        <w:rPr>
          <w:rFonts w:hint="cs"/>
          <w:rtl/>
        </w:rPr>
        <w:t xml:space="preserve">הטבע </w:t>
      </w:r>
      <w:bookmarkStart w:id="51525" w:name="_ETM_Q98_443089"/>
      <w:bookmarkEnd w:id="51525"/>
      <w:r>
        <w:rPr>
          <w:rFonts w:hint="cs"/>
          <w:rtl/>
        </w:rPr>
        <w:t xml:space="preserve">שלנו, </w:t>
      </w:r>
      <w:bookmarkStart w:id="51526" w:name="_ETM_Q98_443540"/>
      <w:bookmarkEnd w:id="51526"/>
      <w:r>
        <w:rPr>
          <w:rFonts w:hint="cs"/>
          <w:rtl/>
        </w:rPr>
        <w:t xml:space="preserve">על </w:t>
      </w:r>
      <w:bookmarkStart w:id="51527" w:name="_ETM_Q98_443630"/>
      <w:bookmarkEnd w:id="51527"/>
      <w:r>
        <w:rPr>
          <w:rFonts w:hint="cs"/>
          <w:rtl/>
        </w:rPr>
        <w:t xml:space="preserve">השטחים </w:t>
      </w:r>
      <w:bookmarkStart w:id="51528" w:name="_ETM_Q98_443990"/>
      <w:bookmarkEnd w:id="51528"/>
      <w:r>
        <w:rPr>
          <w:rFonts w:hint="cs"/>
          <w:rtl/>
        </w:rPr>
        <w:t xml:space="preserve">הפתוחים, </w:t>
      </w:r>
      <w:bookmarkStart w:id="51529" w:name="_ETM_Q98_445250"/>
      <w:bookmarkStart w:id="51530" w:name="_ETM_Q98_445430"/>
      <w:bookmarkEnd w:id="51529"/>
      <w:bookmarkEnd w:id="51530"/>
      <w:r>
        <w:rPr>
          <w:rFonts w:hint="cs"/>
          <w:rtl/>
        </w:rPr>
        <w:t xml:space="preserve">ולתת </w:t>
      </w:r>
      <w:bookmarkStart w:id="51531" w:name="_ETM_Q98_445820"/>
      <w:bookmarkEnd w:id="51531"/>
      <w:r>
        <w:rPr>
          <w:rFonts w:hint="cs"/>
          <w:rtl/>
        </w:rPr>
        <w:t xml:space="preserve">בידי </w:t>
      </w:r>
      <w:bookmarkStart w:id="51532" w:name="_ETM_Q98_446180"/>
      <w:bookmarkEnd w:id="51532"/>
      <w:r>
        <w:rPr>
          <w:rFonts w:hint="cs"/>
          <w:rtl/>
        </w:rPr>
        <w:t xml:space="preserve">הממשלה </w:t>
      </w:r>
      <w:bookmarkStart w:id="51533" w:name="_ETM_Q98_446750"/>
      <w:bookmarkEnd w:id="51533"/>
      <w:r>
        <w:rPr>
          <w:rFonts w:hint="cs"/>
          <w:rtl/>
        </w:rPr>
        <w:t xml:space="preserve">כלים </w:t>
      </w:r>
      <w:bookmarkStart w:id="51534" w:name="_ETM_Q98_447770"/>
      <w:bookmarkEnd w:id="51534"/>
      <w:r>
        <w:rPr>
          <w:rFonts w:hint="cs"/>
          <w:rtl/>
        </w:rPr>
        <w:t xml:space="preserve">להיאבק </w:t>
      </w:r>
      <w:bookmarkStart w:id="51535" w:name="_ETM_Q98_448249"/>
      <w:bookmarkEnd w:id="51535"/>
      <w:r>
        <w:rPr>
          <w:rFonts w:hint="cs"/>
          <w:rtl/>
        </w:rPr>
        <w:t xml:space="preserve">בצורה </w:t>
      </w:r>
      <w:bookmarkStart w:id="51536" w:name="_ETM_Q98_448669"/>
      <w:bookmarkEnd w:id="51536"/>
      <w:r>
        <w:rPr>
          <w:rFonts w:hint="cs"/>
          <w:rtl/>
        </w:rPr>
        <w:t xml:space="preserve">נחושה </w:t>
      </w:r>
      <w:bookmarkStart w:id="51537" w:name="_ETM_Q98_450270"/>
      <w:bookmarkEnd w:id="51537"/>
      <w:r>
        <w:rPr>
          <w:rFonts w:hint="cs"/>
          <w:rtl/>
        </w:rPr>
        <w:t xml:space="preserve">וממוקדת </w:t>
      </w:r>
      <w:bookmarkStart w:id="51538" w:name="_ETM_Q98_450960"/>
      <w:bookmarkEnd w:id="51538"/>
      <w:r>
        <w:rPr>
          <w:rFonts w:hint="cs"/>
          <w:rtl/>
        </w:rPr>
        <w:t xml:space="preserve">במשבר </w:t>
      </w:r>
      <w:bookmarkStart w:id="51539" w:name="_ETM_Q98_451560"/>
      <w:bookmarkEnd w:id="51539"/>
      <w:r>
        <w:rPr>
          <w:rFonts w:hint="cs"/>
          <w:rtl/>
        </w:rPr>
        <w:t>האקלים.</w:t>
      </w:r>
      <w:bookmarkStart w:id="51540" w:name="_ETM_Q98_449000"/>
      <w:bookmarkStart w:id="51541" w:name="_ETM_Q98_453339"/>
      <w:bookmarkEnd w:id="51540"/>
      <w:bookmarkEnd w:id="51541"/>
      <w:r>
        <w:rPr>
          <w:rFonts w:hint="cs"/>
          <w:rtl/>
        </w:rPr>
        <w:t xml:space="preserve"> חוק </w:t>
      </w:r>
      <w:bookmarkStart w:id="51542" w:name="_ETM_Q98_453580"/>
      <w:bookmarkEnd w:id="51542"/>
      <w:r>
        <w:rPr>
          <w:rFonts w:hint="cs"/>
          <w:rtl/>
        </w:rPr>
        <w:t xml:space="preserve">אחד </w:t>
      </w:r>
      <w:bookmarkStart w:id="51543" w:name="_ETM_Q98_454089"/>
      <w:bookmarkEnd w:id="51543"/>
      <w:r>
        <w:rPr>
          <w:rFonts w:hint="cs"/>
          <w:rtl/>
        </w:rPr>
        <w:t xml:space="preserve">לא </w:t>
      </w:r>
      <w:bookmarkStart w:id="51544" w:name="_ETM_Q98_454210"/>
      <w:bookmarkEnd w:id="51544"/>
      <w:r>
        <w:rPr>
          <w:rFonts w:hint="cs"/>
          <w:rtl/>
        </w:rPr>
        <w:t>קידמתם.</w:t>
      </w:r>
    </w:p>
    <w:p w:rsidR="00BB59CD" w:rsidRDefault="00BB59CD" w:rsidP="00BB59CD">
      <w:pPr>
        <w:rPr>
          <w:rtl/>
        </w:rPr>
      </w:pPr>
    </w:p>
    <w:p w:rsidR="00BB59CD" w:rsidRDefault="00BB59CD" w:rsidP="00B41626">
      <w:pPr>
        <w:rPr>
          <w:rtl/>
        </w:rPr>
      </w:pPr>
      <w:bookmarkStart w:id="51545" w:name="_ETM_Q98_458000"/>
      <w:bookmarkStart w:id="51546" w:name="_ETM_Q98_455779"/>
      <w:bookmarkEnd w:id="51545"/>
      <w:bookmarkEnd w:id="51546"/>
      <w:r>
        <w:rPr>
          <w:rFonts w:hint="cs"/>
          <w:rtl/>
        </w:rPr>
        <w:t xml:space="preserve">עכשיו, </w:t>
      </w:r>
      <w:bookmarkStart w:id="51547" w:name="_ETM_Q98_457070"/>
      <w:bookmarkEnd w:id="51547"/>
      <w:r>
        <w:rPr>
          <w:rFonts w:hint="cs"/>
          <w:rtl/>
        </w:rPr>
        <w:t xml:space="preserve">בקווי </w:t>
      </w:r>
      <w:bookmarkStart w:id="51548" w:name="_ETM_Q98_457880"/>
      <w:bookmarkEnd w:id="51548"/>
      <w:r>
        <w:rPr>
          <w:rFonts w:hint="cs"/>
          <w:rtl/>
        </w:rPr>
        <w:t xml:space="preserve">היסוד </w:t>
      </w:r>
      <w:bookmarkStart w:id="51549" w:name="_ETM_Q98_458150"/>
      <w:bookmarkEnd w:id="51549"/>
      <w:r>
        <w:rPr>
          <w:rFonts w:hint="cs"/>
          <w:rtl/>
        </w:rPr>
        <w:t xml:space="preserve">של </w:t>
      </w:r>
      <w:bookmarkStart w:id="51550" w:name="_ETM_Q98_458270"/>
      <w:bookmarkEnd w:id="51550"/>
      <w:r>
        <w:rPr>
          <w:rFonts w:hint="cs"/>
          <w:rtl/>
        </w:rPr>
        <w:t xml:space="preserve">הממשלה </w:t>
      </w:r>
      <w:bookmarkStart w:id="51551" w:name="_ETM_Q98_458839"/>
      <w:bookmarkEnd w:id="51551"/>
      <w:r>
        <w:rPr>
          <w:rFonts w:hint="cs"/>
          <w:rtl/>
        </w:rPr>
        <w:t xml:space="preserve">הזו </w:t>
      </w:r>
      <w:bookmarkStart w:id="51552" w:name="_ETM_Q98_459230"/>
      <w:bookmarkEnd w:id="51552"/>
      <w:r>
        <w:rPr>
          <w:rFonts w:hint="cs"/>
          <w:rtl/>
        </w:rPr>
        <w:t xml:space="preserve">התחייבתם </w:t>
      </w:r>
      <w:bookmarkStart w:id="51553" w:name="_ETM_Q98_461060"/>
      <w:bookmarkEnd w:id="51553"/>
      <w:r>
        <w:rPr>
          <w:rFonts w:hint="cs"/>
          <w:rtl/>
        </w:rPr>
        <w:t xml:space="preserve">לחוקק </w:t>
      </w:r>
      <w:bookmarkStart w:id="51554" w:name="_ETM_Q98_461589"/>
      <w:bookmarkEnd w:id="51554"/>
      <w:r>
        <w:rPr>
          <w:rFonts w:hint="cs"/>
          <w:rtl/>
        </w:rPr>
        <w:t xml:space="preserve">תוך </w:t>
      </w:r>
      <w:bookmarkStart w:id="51555" w:name="_ETM_Q98_461830"/>
      <w:bookmarkEnd w:id="51555"/>
      <w:r>
        <w:rPr>
          <w:rFonts w:hint="cs"/>
          <w:rtl/>
        </w:rPr>
        <w:t xml:space="preserve">חצי </w:t>
      </w:r>
      <w:bookmarkStart w:id="51556" w:name="_ETM_Q98_462070"/>
      <w:bookmarkEnd w:id="51556"/>
      <w:r>
        <w:rPr>
          <w:rFonts w:hint="cs"/>
          <w:rtl/>
        </w:rPr>
        <w:t xml:space="preserve">שנה </w:t>
      </w:r>
      <w:bookmarkStart w:id="51557" w:name="_ETM_Q98_462400"/>
      <w:bookmarkEnd w:id="51557"/>
      <w:r>
        <w:rPr>
          <w:rFonts w:hint="cs"/>
          <w:rtl/>
        </w:rPr>
        <w:t xml:space="preserve">מיום </w:t>
      </w:r>
      <w:bookmarkStart w:id="51558" w:name="_ETM_Q98_462669"/>
      <w:bookmarkEnd w:id="51558"/>
      <w:r>
        <w:rPr>
          <w:rFonts w:hint="cs"/>
          <w:rtl/>
        </w:rPr>
        <w:t xml:space="preserve">הקמת </w:t>
      </w:r>
      <w:bookmarkStart w:id="51559" w:name="_ETM_Q98_463000"/>
      <w:bookmarkEnd w:id="51559"/>
      <w:r>
        <w:rPr>
          <w:rFonts w:hint="cs"/>
          <w:rtl/>
        </w:rPr>
        <w:t xml:space="preserve">הממשלה, </w:t>
      </w:r>
      <w:bookmarkStart w:id="51560" w:name="_ETM_Q98_463540"/>
      <w:bookmarkEnd w:id="51560"/>
      <w:r>
        <w:rPr>
          <w:rFonts w:hint="cs"/>
          <w:rtl/>
        </w:rPr>
        <w:t xml:space="preserve">בקריאה </w:t>
      </w:r>
      <w:bookmarkStart w:id="51561" w:name="_ETM_Q98_463900"/>
      <w:bookmarkEnd w:id="51561"/>
      <w:r>
        <w:rPr>
          <w:rFonts w:hint="cs"/>
          <w:rtl/>
        </w:rPr>
        <w:t xml:space="preserve">שנייה </w:t>
      </w:r>
      <w:bookmarkStart w:id="51562" w:name="_ETM_Q98_464199"/>
      <w:bookmarkEnd w:id="51562"/>
      <w:r>
        <w:rPr>
          <w:rFonts w:hint="cs"/>
          <w:rtl/>
        </w:rPr>
        <w:t xml:space="preserve">ושלישית, </w:t>
      </w:r>
      <w:bookmarkStart w:id="51563" w:name="_ETM_Q98_464620"/>
      <w:bookmarkEnd w:id="51563"/>
      <w:r>
        <w:rPr>
          <w:rFonts w:hint="cs"/>
          <w:rtl/>
        </w:rPr>
        <w:t xml:space="preserve">חוק </w:t>
      </w:r>
      <w:bookmarkStart w:id="51564" w:name="_ETM_Q98_464889"/>
      <w:bookmarkEnd w:id="51564"/>
      <w:r>
        <w:rPr>
          <w:rFonts w:hint="cs"/>
          <w:rtl/>
        </w:rPr>
        <w:t xml:space="preserve">אקלים. </w:t>
      </w:r>
      <w:bookmarkStart w:id="51565" w:name="_ETM_Q98_466960"/>
      <w:bookmarkEnd w:id="51565"/>
      <w:r>
        <w:rPr>
          <w:rFonts w:hint="cs"/>
          <w:rtl/>
        </w:rPr>
        <w:t xml:space="preserve">לא </w:t>
      </w:r>
      <w:bookmarkStart w:id="51566" w:name="_ETM_Q98_467200"/>
      <w:bookmarkStart w:id="51567" w:name="_ETM_Q98_467919"/>
      <w:bookmarkStart w:id="51568" w:name="_ETM_Q98_468610"/>
      <w:bookmarkEnd w:id="51566"/>
      <w:bookmarkEnd w:id="51567"/>
      <w:bookmarkEnd w:id="51568"/>
      <w:r>
        <w:rPr>
          <w:rFonts w:hint="cs"/>
          <w:rtl/>
        </w:rPr>
        <w:t xml:space="preserve">עמדתם בהתחייבות </w:t>
      </w:r>
      <w:bookmarkStart w:id="51569" w:name="_ETM_Q98_469240"/>
      <w:bookmarkEnd w:id="51569"/>
      <w:r>
        <w:rPr>
          <w:rFonts w:hint="cs"/>
          <w:rtl/>
        </w:rPr>
        <w:t xml:space="preserve">הזאת. </w:t>
      </w:r>
      <w:bookmarkStart w:id="51570" w:name="_ETM_Q98_469689"/>
      <w:bookmarkEnd w:id="51570"/>
      <w:r>
        <w:rPr>
          <w:rFonts w:hint="cs"/>
          <w:rtl/>
        </w:rPr>
        <w:t xml:space="preserve">הממשלה </w:t>
      </w:r>
      <w:bookmarkStart w:id="51571" w:name="_ETM_Q98_471589"/>
      <w:bookmarkEnd w:id="51571"/>
      <w:r>
        <w:rPr>
          <w:rFonts w:hint="cs"/>
          <w:rtl/>
        </w:rPr>
        <w:t xml:space="preserve">מסרבת </w:t>
      </w:r>
      <w:bookmarkStart w:id="51572" w:name="_ETM_Q98_472160"/>
      <w:bookmarkEnd w:id="51572"/>
      <w:r>
        <w:rPr>
          <w:rFonts w:hint="cs"/>
          <w:rtl/>
        </w:rPr>
        <w:t xml:space="preserve">לתת </w:t>
      </w:r>
      <w:bookmarkStart w:id="51573" w:name="_ETM_Q98_472490"/>
      <w:bookmarkEnd w:id="51573"/>
      <w:r>
        <w:rPr>
          <w:rFonts w:hint="cs"/>
          <w:rtl/>
        </w:rPr>
        <w:t xml:space="preserve">דין </w:t>
      </w:r>
      <w:bookmarkStart w:id="51574" w:name="_ETM_Q98_472729"/>
      <w:bookmarkEnd w:id="51574"/>
      <w:r>
        <w:rPr>
          <w:rFonts w:hint="cs"/>
          <w:rtl/>
        </w:rPr>
        <w:t xml:space="preserve">רציפות </w:t>
      </w:r>
      <w:bookmarkStart w:id="51575" w:name="_ETM_Q98_473300"/>
      <w:bookmarkEnd w:id="51575"/>
      <w:r>
        <w:rPr>
          <w:rFonts w:hint="cs"/>
          <w:rtl/>
        </w:rPr>
        <w:t xml:space="preserve">לחוק </w:t>
      </w:r>
      <w:bookmarkStart w:id="51576" w:name="_ETM_Q98_473599"/>
      <w:bookmarkEnd w:id="51576"/>
      <w:r>
        <w:rPr>
          <w:rFonts w:hint="cs"/>
          <w:rtl/>
        </w:rPr>
        <w:t xml:space="preserve">האקלים </w:t>
      </w:r>
      <w:bookmarkStart w:id="51577" w:name="_ETM_Q98_474620"/>
      <w:bookmarkEnd w:id="51577"/>
      <w:r>
        <w:rPr>
          <w:rFonts w:hint="cs"/>
          <w:rtl/>
        </w:rPr>
        <w:t xml:space="preserve">שעבר </w:t>
      </w:r>
      <w:bookmarkStart w:id="51578" w:name="_ETM_Q98_475160"/>
      <w:bookmarkEnd w:id="51578"/>
      <w:r>
        <w:rPr>
          <w:rFonts w:hint="cs"/>
          <w:rtl/>
        </w:rPr>
        <w:t xml:space="preserve">בקריאה </w:t>
      </w:r>
      <w:bookmarkStart w:id="51579" w:name="_ETM_Q98_475520"/>
      <w:bookmarkEnd w:id="51579"/>
      <w:r>
        <w:rPr>
          <w:rFonts w:hint="cs"/>
          <w:rtl/>
        </w:rPr>
        <w:t xml:space="preserve">ראשונה </w:t>
      </w:r>
      <w:bookmarkStart w:id="51580" w:name="_ETM_Q98_476060"/>
      <w:bookmarkEnd w:id="51580"/>
      <w:r>
        <w:rPr>
          <w:rFonts w:hint="cs"/>
          <w:rtl/>
        </w:rPr>
        <w:t xml:space="preserve">בתקופת </w:t>
      </w:r>
      <w:bookmarkStart w:id="51581" w:name="_ETM_Q98_476540"/>
      <w:bookmarkEnd w:id="51581"/>
      <w:r>
        <w:rPr>
          <w:rFonts w:hint="cs"/>
          <w:rtl/>
        </w:rPr>
        <w:t xml:space="preserve">ממשלת </w:t>
      </w:r>
      <w:bookmarkStart w:id="51582" w:name="_ETM_Q98_476960"/>
      <w:bookmarkEnd w:id="51582"/>
      <w:r>
        <w:rPr>
          <w:rFonts w:hint="cs"/>
          <w:rtl/>
        </w:rPr>
        <w:t xml:space="preserve">השינוי, </w:t>
      </w:r>
      <w:bookmarkStart w:id="51583" w:name="_ETM_Q98_478180"/>
      <w:bookmarkEnd w:id="51583"/>
      <w:r>
        <w:rPr>
          <w:rFonts w:hint="cs"/>
          <w:rtl/>
        </w:rPr>
        <w:t xml:space="preserve">ויחד </w:t>
      </w:r>
      <w:bookmarkStart w:id="51584" w:name="_ETM_Q98_478690"/>
      <w:bookmarkEnd w:id="51584"/>
      <w:r>
        <w:rPr>
          <w:rFonts w:hint="cs"/>
          <w:rtl/>
        </w:rPr>
        <w:t xml:space="preserve">עם </w:t>
      </w:r>
      <w:bookmarkStart w:id="51585" w:name="_ETM_Q98_478779"/>
      <w:bookmarkEnd w:id="51585"/>
      <w:r>
        <w:rPr>
          <w:rFonts w:hint="cs"/>
          <w:rtl/>
        </w:rPr>
        <w:t xml:space="preserve">האופוזיציה </w:t>
      </w:r>
      <w:bookmarkStart w:id="51586" w:name="_ETM_Q98_480010"/>
      <w:bookmarkEnd w:id="51586"/>
      <w:r>
        <w:rPr>
          <w:rFonts w:hint="cs"/>
          <w:rtl/>
        </w:rPr>
        <w:t xml:space="preserve">לעבוד </w:t>
      </w:r>
      <w:bookmarkStart w:id="51587" w:name="_ETM_Q98_480000"/>
      <w:bookmarkStart w:id="51588" w:name="_ETM_Q98_480690"/>
      <w:bookmarkEnd w:id="51587"/>
      <w:bookmarkEnd w:id="51588"/>
      <w:r w:rsidR="00B41626">
        <w:rPr>
          <w:rFonts w:hint="cs"/>
          <w:rtl/>
        </w:rPr>
        <w:t>ל</w:t>
      </w:r>
      <w:r>
        <w:rPr>
          <w:rFonts w:hint="cs"/>
          <w:rtl/>
        </w:rPr>
        <w:t>שיפורו</w:t>
      </w:r>
      <w:bookmarkStart w:id="51589" w:name="_ETM_Q98_481860"/>
      <w:bookmarkEnd w:id="51589"/>
      <w:r>
        <w:rPr>
          <w:rFonts w:hint="cs"/>
          <w:rtl/>
        </w:rPr>
        <w:t xml:space="preserve"> </w:t>
      </w:r>
      <w:bookmarkStart w:id="51590" w:name="_ETM_Q98_486177"/>
      <w:bookmarkEnd w:id="51590"/>
      <w:r>
        <w:rPr>
          <w:rFonts w:hint="cs"/>
          <w:rtl/>
        </w:rPr>
        <w:t xml:space="preserve">– לשפר </w:t>
      </w:r>
      <w:bookmarkStart w:id="51591" w:name="_ETM_Q98_482339"/>
      <w:bookmarkEnd w:id="51591"/>
      <w:r>
        <w:rPr>
          <w:rFonts w:hint="cs"/>
          <w:rtl/>
        </w:rPr>
        <w:t xml:space="preserve">את </w:t>
      </w:r>
      <w:bookmarkStart w:id="51592" w:name="_ETM_Q98_482460"/>
      <w:bookmarkEnd w:id="51592"/>
      <w:r>
        <w:rPr>
          <w:rFonts w:hint="cs"/>
          <w:rtl/>
        </w:rPr>
        <w:t xml:space="preserve">היעדים </w:t>
      </w:r>
      <w:bookmarkStart w:id="51593" w:name="_ETM_Q98_482879"/>
      <w:bookmarkEnd w:id="51593"/>
      <w:r>
        <w:rPr>
          <w:rFonts w:hint="cs"/>
          <w:rtl/>
        </w:rPr>
        <w:t xml:space="preserve">הקשיחים </w:t>
      </w:r>
      <w:bookmarkStart w:id="51594" w:name="_ETM_Q98_483389"/>
      <w:bookmarkEnd w:id="51594"/>
      <w:r>
        <w:rPr>
          <w:rFonts w:hint="cs"/>
          <w:rtl/>
        </w:rPr>
        <w:t xml:space="preserve">שיש </w:t>
      </w:r>
      <w:bookmarkStart w:id="51595" w:name="_ETM_Q98_483689"/>
      <w:bookmarkEnd w:id="51595"/>
      <w:r>
        <w:rPr>
          <w:rFonts w:hint="cs"/>
          <w:rtl/>
        </w:rPr>
        <w:t xml:space="preserve">במסגרת </w:t>
      </w:r>
      <w:bookmarkStart w:id="51596" w:name="_ETM_Q98_484200"/>
      <w:bookmarkEnd w:id="51596"/>
      <w:r>
        <w:rPr>
          <w:rFonts w:hint="cs"/>
          <w:rtl/>
        </w:rPr>
        <w:t xml:space="preserve">החקיקה, </w:t>
      </w:r>
      <w:bookmarkStart w:id="51597" w:name="_ETM_Q98_485830"/>
      <w:bookmarkEnd w:id="51597"/>
      <w:r>
        <w:rPr>
          <w:rFonts w:hint="cs"/>
          <w:rtl/>
        </w:rPr>
        <w:t xml:space="preserve">לוודא </w:t>
      </w:r>
      <w:bookmarkStart w:id="51598" w:name="_ETM_Q98_486399"/>
      <w:bookmarkEnd w:id="51598"/>
      <w:r>
        <w:rPr>
          <w:rFonts w:hint="cs"/>
          <w:rtl/>
        </w:rPr>
        <w:t>שה</w:t>
      </w:r>
      <w:bookmarkStart w:id="51599" w:name="_ETM_Q98_486639"/>
      <w:bookmarkStart w:id="51600" w:name="_ETM_Q98_487120"/>
      <w:bookmarkEnd w:id="51599"/>
      <w:bookmarkEnd w:id="51600"/>
      <w:r>
        <w:rPr>
          <w:rFonts w:hint="cs"/>
          <w:rtl/>
        </w:rPr>
        <w:t xml:space="preserve">מנגנון </w:t>
      </w:r>
      <w:bookmarkStart w:id="51601" w:name="_ETM_Q98_488660"/>
      <w:bookmarkEnd w:id="51601"/>
      <w:r>
        <w:rPr>
          <w:rFonts w:hint="cs"/>
          <w:rtl/>
        </w:rPr>
        <w:t xml:space="preserve">הוא מספיק </w:t>
      </w:r>
      <w:bookmarkStart w:id="51602" w:name="_ETM_Q98_489230"/>
      <w:bookmarkEnd w:id="51602"/>
      <w:r>
        <w:rPr>
          <w:rFonts w:hint="cs"/>
          <w:rtl/>
        </w:rPr>
        <w:t xml:space="preserve">אסרטיבי, </w:t>
      </w:r>
      <w:bookmarkStart w:id="51603" w:name="_ETM_Q98_490070"/>
      <w:bookmarkEnd w:id="51603"/>
      <w:r>
        <w:rPr>
          <w:rFonts w:hint="cs"/>
          <w:rtl/>
        </w:rPr>
        <w:t xml:space="preserve">באופן </w:t>
      </w:r>
      <w:bookmarkStart w:id="51604" w:name="_ETM_Q98_490460"/>
      <w:bookmarkEnd w:id="51604"/>
      <w:r>
        <w:rPr>
          <w:rFonts w:hint="cs"/>
          <w:rtl/>
        </w:rPr>
        <w:t xml:space="preserve">כזה </w:t>
      </w:r>
      <w:bookmarkStart w:id="51605" w:name="_ETM_Q98_490760"/>
      <w:bookmarkEnd w:id="51605"/>
      <w:r>
        <w:rPr>
          <w:rFonts w:hint="cs"/>
          <w:rtl/>
        </w:rPr>
        <w:t xml:space="preserve">שיוודא </w:t>
      </w:r>
      <w:bookmarkStart w:id="51606" w:name="_ETM_Q98_491450"/>
      <w:bookmarkEnd w:id="51606"/>
      <w:r>
        <w:rPr>
          <w:rFonts w:hint="cs"/>
          <w:rtl/>
        </w:rPr>
        <w:t xml:space="preserve">שמשרדי </w:t>
      </w:r>
      <w:bookmarkStart w:id="51607" w:name="_ETM_Q98_491990"/>
      <w:bookmarkEnd w:id="51607"/>
      <w:r>
        <w:rPr>
          <w:rFonts w:hint="cs"/>
          <w:rtl/>
        </w:rPr>
        <w:t xml:space="preserve">הממשלה </w:t>
      </w:r>
      <w:bookmarkStart w:id="51608" w:name="_ETM_Q98_493230"/>
      <w:bookmarkEnd w:id="51608"/>
      <w:r>
        <w:rPr>
          <w:rFonts w:hint="cs"/>
          <w:rtl/>
        </w:rPr>
        <w:t xml:space="preserve">יוכלו </w:t>
      </w:r>
      <w:bookmarkStart w:id="51609" w:name="_ETM_Q98_493680"/>
      <w:bookmarkEnd w:id="51609"/>
      <w:r>
        <w:rPr>
          <w:rFonts w:hint="cs"/>
          <w:rtl/>
        </w:rPr>
        <w:t xml:space="preserve">לפעול </w:t>
      </w:r>
      <w:bookmarkStart w:id="51610" w:name="_ETM_Q98_494070"/>
      <w:bookmarkEnd w:id="51610"/>
      <w:r>
        <w:rPr>
          <w:rFonts w:hint="cs"/>
          <w:rtl/>
        </w:rPr>
        <w:t xml:space="preserve">בצורה </w:t>
      </w:r>
      <w:bookmarkStart w:id="51611" w:name="_ETM_Q98_494490"/>
      <w:bookmarkEnd w:id="51611"/>
      <w:r>
        <w:rPr>
          <w:rFonts w:hint="cs"/>
          <w:rtl/>
        </w:rPr>
        <w:t xml:space="preserve">נחושה </w:t>
      </w:r>
      <w:bookmarkStart w:id="51612" w:name="_ETM_Q98_495059"/>
      <w:bookmarkEnd w:id="51612"/>
      <w:r>
        <w:rPr>
          <w:rFonts w:hint="cs"/>
          <w:rtl/>
        </w:rPr>
        <w:t xml:space="preserve">ומסונכרנת </w:t>
      </w:r>
      <w:bookmarkStart w:id="51613" w:name="_ETM_Q98_495900"/>
      <w:bookmarkEnd w:id="51613"/>
      <w:r>
        <w:rPr>
          <w:rFonts w:hint="cs"/>
          <w:rtl/>
        </w:rPr>
        <w:t xml:space="preserve">למאבק </w:t>
      </w:r>
      <w:bookmarkStart w:id="51614" w:name="_ETM_Q98_496860"/>
      <w:bookmarkEnd w:id="51614"/>
      <w:r>
        <w:rPr>
          <w:rFonts w:hint="cs"/>
          <w:rtl/>
        </w:rPr>
        <w:t xml:space="preserve">משותף </w:t>
      </w:r>
      <w:bookmarkStart w:id="51615" w:name="_ETM_Q98_497339"/>
      <w:bookmarkEnd w:id="51615"/>
      <w:r>
        <w:rPr>
          <w:rFonts w:hint="cs"/>
          <w:rtl/>
        </w:rPr>
        <w:t xml:space="preserve">במשבר </w:t>
      </w:r>
      <w:bookmarkStart w:id="51616" w:name="_ETM_Q98_497790"/>
      <w:bookmarkEnd w:id="51616"/>
      <w:r>
        <w:rPr>
          <w:rFonts w:hint="cs"/>
          <w:rtl/>
        </w:rPr>
        <w:t>האקלים.</w:t>
      </w:r>
      <w:bookmarkStart w:id="51617" w:name="_ETM_Q98_497000"/>
      <w:bookmarkStart w:id="51618" w:name="_ETM_Q98_499539"/>
      <w:bookmarkEnd w:id="51617"/>
      <w:bookmarkEnd w:id="51618"/>
      <w:r>
        <w:rPr>
          <w:rFonts w:hint="cs"/>
          <w:rtl/>
        </w:rPr>
        <w:t xml:space="preserve"> אז </w:t>
      </w:r>
      <w:bookmarkStart w:id="51619" w:name="_ETM_Q98_499869"/>
      <w:bookmarkEnd w:id="51619"/>
      <w:r>
        <w:rPr>
          <w:rFonts w:hint="cs"/>
          <w:rtl/>
        </w:rPr>
        <w:t xml:space="preserve">אתם </w:t>
      </w:r>
      <w:bookmarkStart w:id="51620" w:name="_ETM_Q98_500050"/>
      <w:bookmarkEnd w:id="51620"/>
      <w:r>
        <w:rPr>
          <w:rFonts w:hint="cs"/>
          <w:rtl/>
        </w:rPr>
        <w:t xml:space="preserve">גם </w:t>
      </w:r>
      <w:bookmarkStart w:id="51621" w:name="_ETM_Q98_500289"/>
      <w:bookmarkEnd w:id="51621"/>
      <w:r>
        <w:rPr>
          <w:rFonts w:hint="cs"/>
          <w:rtl/>
        </w:rPr>
        <w:t xml:space="preserve">לא </w:t>
      </w:r>
      <w:bookmarkStart w:id="51622" w:name="_ETM_Q98_500350"/>
      <w:bookmarkEnd w:id="51622"/>
      <w:r>
        <w:rPr>
          <w:rFonts w:hint="cs"/>
          <w:rtl/>
        </w:rPr>
        <w:t xml:space="preserve">נותנים </w:t>
      </w:r>
      <w:bookmarkStart w:id="51623" w:name="_ETM_Q98_500890"/>
      <w:bookmarkEnd w:id="51623"/>
      <w:r>
        <w:rPr>
          <w:rFonts w:hint="cs"/>
          <w:rtl/>
        </w:rPr>
        <w:t xml:space="preserve">דין </w:t>
      </w:r>
      <w:bookmarkStart w:id="51624" w:name="_ETM_Q98_501130"/>
      <w:bookmarkEnd w:id="51624"/>
      <w:r>
        <w:rPr>
          <w:rFonts w:hint="cs"/>
          <w:rtl/>
        </w:rPr>
        <w:t xml:space="preserve">רציפות </w:t>
      </w:r>
      <w:bookmarkStart w:id="51625" w:name="_ETM_Q98_501580"/>
      <w:bookmarkEnd w:id="51625"/>
      <w:r>
        <w:rPr>
          <w:rFonts w:hint="cs"/>
          <w:rtl/>
        </w:rPr>
        <w:t xml:space="preserve">לחוק </w:t>
      </w:r>
      <w:bookmarkStart w:id="51626" w:name="_ETM_Q98_501850"/>
      <w:bookmarkEnd w:id="51626"/>
      <w:r>
        <w:rPr>
          <w:rFonts w:hint="cs"/>
          <w:rtl/>
        </w:rPr>
        <w:t xml:space="preserve">שכן </w:t>
      </w:r>
      <w:bookmarkStart w:id="51627" w:name="_ETM_Q98_502210"/>
      <w:bookmarkEnd w:id="51627"/>
      <w:r>
        <w:rPr>
          <w:rFonts w:hint="cs"/>
          <w:rtl/>
        </w:rPr>
        <w:t xml:space="preserve">עבר </w:t>
      </w:r>
      <w:bookmarkStart w:id="51628" w:name="_ETM_Q98_503080"/>
      <w:bookmarkEnd w:id="51628"/>
      <w:r>
        <w:rPr>
          <w:rFonts w:hint="cs"/>
          <w:rtl/>
        </w:rPr>
        <w:t xml:space="preserve">בקריאה </w:t>
      </w:r>
      <w:bookmarkStart w:id="51629" w:name="_ETM_Q98_503500"/>
      <w:bookmarkEnd w:id="51629"/>
      <w:r>
        <w:rPr>
          <w:rFonts w:hint="cs"/>
          <w:rtl/>
        </w:rPr>
        <w:t xml:space="preserve">ראשונה, </w:t>
      </w:r>
      <w:bookmarkStart w:id="51630" w:name="_ETM_Q98_504310"/>
      <w:bookmarkEnd w:id="51630"/>
      <w:r>
        <w:rPr>
          <w:rFonts w:hint="cs"/>
          <w:rtl/>
        </w:rPr>
        <w:t xml:space="preserve">אתם </w:t>
      </w:r>
      <w:bookmarkStart w:id="51631" w:name="_ETM_Q98_504580"/>
      <w:bookmarkEnd w:id="51631"/>
      <w:r>
        <w:rPr>
          <w:rFonts w:hint="cs"/>
          <w:rtl/>
        </w:rPr>
        <w:t xml:space="preserve">גם </w:t>
      </w:r>
      <w:bookmarkStart w:id="51632" w:name="_ETM_Q98_504849"/>
      <w:bookmarkEnd w:id="51632"/>
      <w:r>
        <w:rPr>
          <w:rFonts w:hint="cs"/>
          <w:rtl/>
        </w:rPr>
        <w:t xml:space="preserve">לא </w:t>
      </w:r>
      <w:bookmarkStart w:id="51633" w:name="_ETM_Q98_504939"/>
      <w:bookmarkEnd w:id="51633"/>
      <w:r>
        <w:rPr>
          <w:rFonts w:hint="cs"/>
          <w:rtl/>
        </w:rPr>
        <w:t xml:space="preserve">מעבירים </w:t>
      </w:r>
      <w:bookmarkStart w:id="51634" w:name="_ETM_Q98_505390"/>
      <w:bookmarkEnd w:id="51634"/>
      <w:r>
        <w:rPr>
          <w:rFonts w:hint="cs"/>
          <w:rtl/>
        </w:rPr>
        <w:t xml:space="preserve">חוק </w:t>
      </w:r>
      <w:bookmarkStart w:id="51635" w:name="_ETM_Q98_505599"/>
      <w:bookmarkEnd w:id="51635"/>
      <w:r>
        <w:rPr>
          <w:rFonts w:hint="cs"/>
          <w:rtl/>
        </w:rPr>
        <w:t xml:space="preserve">אקלים </w:t>
      </w:r>
      <w:bookmarkStart w:id="51636" w:name="_ETM_Q98_506470"/>
      <w:bookmarkEnd w:id="51636"/>
      <w:r>
        <w:rPr>
          <w:rFonts w:hint="cs"/>
          <w:rtl/>
        </w:rPr>
        <w:t xml:space="preserve">משלכם </w:t>
      </w:r>
      <w:r>
        <w:t>–</w:t>
      </w:r>
      <w:r>
        <w:rPr>
          <w:rtl/>
        </w:rPr>
        <w:t xml:space="preserve"> </w:t>
      </w:r>
      <w:bookmarkStart w:id="51637" w:name="_ETM_Q98_507880"/>
      <w:bookmarkEnd w:id="51637"/>
      <w:r>
        <w:rPr>
          <w:rFonts w:hint="cs"/>
          <w:rtl/>
        </w:rPr>
        <w:t xml:space="preserve">אפס </w:t>
      </w:r>
      <w:bookmarkStart w:id="51638" w:name="_ETM_Q98_508359"/>
      <w:bookmarkEnd w:id="51638"/>
      <w:r>
        <w:rPr>
          <w:rFonts w:hint="cs"/>
          <w:rtl/>
        </w:rPr>
        <w:t xml:space="preserve">פעילות </w:t>
      </w:r>
      <w:bookmarkStart w:id="51639" w:name="_ETM_Q98_509400"/>
      <w:bookmarkEnd w:id="51639"/>
      <w:r>
        <w:rPr>
          <w:rFonts w:hint="cs"/>
          <w:rtl/>
        </w:rPr>
        <w:t xml:space="preserve">כדי </w:t>
      </w:r>
      <w:bookmarkStart w:id="51640" w:name="_ETM_Q98_509849"/>
      <w:bookmarkEnd w:id="51640"/>
      <w:r>
        <w:rPr>
          <w:rFonts w:hint="cs"/>
          <w:rtl/>
        </w:rPr>
        <w:t xml:space="preserve">לוודא </w:t>
      </w:r>
      <w:bookmarkStart w:id="51641" w:name="_ETM_Q98_510240"/>
      <w:bookmarkEnd w:id="51641"/>
      <w:r>
        <w:rPr>
          <w:rFonts w:hint="cs"/>
          <w:rtl/>
        </w:rPr>
        <w:t xml:space="preserve">שהממשלה </w:t>
      </w:r>
      <w:bookmarkStart w:id="51642" w:name="_ETM_Q98_510810"/>
      <w:bookmarkEnd w:id="51642"/>
      <w:r>
        <w:rPr>
          <w:rFonts w:hint="cs"/>
          <w:rtl/>
        </w:rPr>
        <w:t xml:space="preserve">הזו </w:t>
      </w:r>
      <w:bookmarkStart w:id="51643" w:name="_ETM_Q98_510990"/>
      <w:bookmarkEnd w:id="51643"/>
      <w:r>
        <w:rPr>
          <w:rFonts w:hint="cs"/>
          <w:rtl/>
        </w:rPr>
        <w:t xml:space="preserve">תוכל </w:t>
      </w:r>
      <w:bookmarkStart w:id="51644" w:name="_ETM_Q98_511859"/>
      <w:bookmarkEnd w:id="51644"/>
      <w:r>
        <w:rPr>
          <w:rFonts w:hint="cs"/>
          <w:rtl/>
        </w:rPr>
        <w:t xml:space="preserve">אשכרה </w:t>
      </w:r>
      <w:bookmarkStart w:id="51645" w:name="_ETM_Q98_512430"/>
      <w:bookmarkEnd w:id="51645"/>
      <w:r>
        <w:rPr>
          <w:rFonts w:hint="cs"/>
          <w:rtl/>
        </w:rPr>
        <w:t xml:space="preserve">לעמוד </w:t>
      </w:r>
      <w:bookmarkStart w:id="51646" w:name="_ETM_Q98_512850"/>
      <w:bookmarkEnd w:id="51646"/>
      <w:r>
        <w:rPr>
          <w:rFonts w:hint="cs"/>
          <w:rtl/>
        </w:rPr>
        <w:t xml:space="preserve">בהתחייבויות </w:t>
      </w:r>
      <w:bookmarkStart w:id="51647" w:name="_ETM_Q98_513480"/>
      <w:bookmarkEnd w:id="51647"/>
      <w:r>
        <w:rPr>
          <w:rFonts w:hint="cs"/>
          <w:rtl/>
        </w:rPr>
        <w:t xml:space="preserve">שאתם </w:t>
      </w:r>
      <w:bookmarkStart w:id="51648" w:name="_ETM_Q98_514600"/>
      <w:bookmarkEnd w:id="51648"/>
      <w:r>
        <w:rPr>
          <w:rFonts w:hint="cs"/>
          <w:rtl/>
        </w:rPr>
        <w:t xml:space="preserve">לקחתם </w:t>
      </w:r>
      <w:bookmarkStart w:id="51649" w:name="_ETM_Q98_515079"/>
      <w:bookmarkEnd w:id="51649"/>
      <w:r>
        <w:rPr>
          <w:rFonts w:hint="cs"/>
          <w:rtl/>
        </w:rPr>
        <w:t xml:space="preserve">על </w:t>
      </w:r>
      <w:bookmarkStart w:id="51650" w:name="_ETM_Q98_515170"/>
      <w:bookmarkEnd w:id="51650"/>
      <w:r>
        <w:rPr>
          <w:rFonts w:hint="cs"/>
          <w:rtl/>
        </w:rPr>
        <w:t xml:space="preserve">עצמכם, </w:t>
      </w:r>
      <w:bookmarkStart w:id="51651" w:name="_ETM_Q98_515620"/>
      <w:bookmarkEnd w:id="51651"/>
      <w:r>
        <w:rPr>
          <w:rFonts w:hint="cs"/>
          <w:rtl/>
        </w:rPr>
        <w:t xml:space="preserve">התחייבויות </w:t>
      </w:r>
      <w:bookmarkStart w:id="51652" w:name="_ETM_Q98_516190"/>
      <w:bookmarkEnd w:id="51652"/>
      <w:r>
        <w:rPr>
          <w:rFonts w:hint="cs"/>
          <w:rtl/>
        </w:rPr>
        <w:t xml:space="preserve">שהן </w:t>
      </w:r>
      <w:bookmarkStart w:id="51653" w:name="_ETM_Q98_516370"/>
      <w:bookmarkEnd w:id="51653"/>
      <w:r>
        <w:rPr>
          <w:rFonts w:hint="cs"/>
          <w:rtl/>
        </w:rPr>
        <w:t xml:space="preserve">לא </w:t>
      </w:r>
      <w:bookmarkStart w:id="51654" w:name="_ETM_Q98_516610"/>
      <w:bookmarkEnd w:id="51654"/>
      <w:r>
        <w:rPr>
          <w:rFonts w:hint="cs"/>
          <w:rtl/>
        </w:rPr>
        <w:t xml:space="preserve">שאפתניות, </w:t>
      </w:r>
      <w:bookmarkStart w:id="51655" w:name="_ETM_Q98_517779"/>
      <w:bookmarkEnd w:id="51655"/>
      <w:r>
        <w:rPr>
          <w:rFonts w:hint="cs"/>
          <w:rtl/>
        </w:rPr>
        <w:t xml:space="preserve">התחייבויות </w:t>
      </w:r>
      <w:bookmarkStart w:id="51656" w:name="_ETM_Q98_518200"/>
      <w:bookmarkEnd w:id="51656"/>
      <w:r>
        <w:rPr>
          <w:rFonts w:hint="cs"/>
          <w:rtl/>
        </w:rPr>
        <w:t xml:space="preserve">שאתם </w:t>
      </w:r>
      <w:bookmarkStart w:id="51657" w:name="_ETM_Q98_518470"/>
      <w:bookmarkEnd w:id="51657"/>
      <w:r>
        <w:rPr>
          <w:rFonts w:hint="cs"/>
          <w:rtl/>
        </w:rPr>
        <w:t xml:space="preserve">לא </w:t>
      </w:r>
      <w:bookmarkStart w:id="51658" w:name="_ETM_Q98_519220"/>
      <w:bookmarkEnd w:id="51658"/>
      <w:r>
        <w:rPr>
          <w:rFonts w:hint="cs"/>
          <w:rtl/>
        </w:rPr>
        <w:t xml:space="preserve">עומדים </w:t>
      </w:r>
      <w:bookmarkStart w:id="51659" w:name="_ETM_Q98_519670"/>
      <w:bookmarkEnd w:id="51659"/>
      <w:r>
        <w:rPr>
          <w:rFonts w:hint="cs"/>
          <w:rtl/>
        </w:rPr>
        <w:t xml:space="preserve">בהן </w:t>
      </w:r>
      <w:bookmarkStart w:id="51660" w:name="_ETM_Q98_519970"/>
      <w:bookmarkEnd w:id="51660"/>
      <w:r>
        <w:rPr>
          <w:rFonts w:hint="cs"/>
          <w:rtl/>
        </w:rPr>
        <w:t>עכשיו.</w:t>
      </w:r>
    </w:p>
    <w:p w:rsidR="00BB59CD" w:rsidRDefault="00BB59CD" w:rsidP="00BB59CD">
      <w:pPr>
        <w:rPr>
          <w:rtl/>
        </w:rPr>
      </w:pPr>
    </w:p>
    <w:p w:rsidR="00BB59CD" w:rsidRDefault="00BB59CD" w:rsidP="00B41626">
      <w:pPr>
        <w:rPr>
          <w:rtl/>
        </w:rPr>
      </w:pPr>
      <w:bookmarkStart w:id="51661" w:name="_ETM_Q98_523000"/>
      <w:bookmarkStart w:id="51662" w:name="_ETM_Q98_521730"/>
      <w:bookmarkStart w:id="51663" w:name="_ETM_Q98_522649"/>
      <w:bookmarkEnd w:id="51661"/>
      <w:bookmarkEnd w:id="51662"/>
      <w:bookmarkEnd w:id="51663"/>
      <w:r>
        <w:rPr>
          <w:rFonts w:hint="cs"/>
          <w:rtl/>
        </w:rPr>
        <w:t xml:space="preserve">אני </w:t>
      </w:r>
      <w:bookmarkStart w:id="51664" w:name="_ETM_Q98_522950"/>
      <w:bookmarkEnd w:id="51664"/>
      <w:r>
        <w:rPr>
          <w:rFonts w:hint="cs"/>
          <w:rtl/>
        </w:rPr>
        <w:t xml:space="preserve">רוצה </w:t>
      </w:r>
      <w:bookmarkStart w:id="51665" w:name="_ETM_Q98_523219"/>
      <w:bookmarkEnd w:id="51665"/>
      <w:r>
        <w:rPr>
          <w:rFonts w:hint="cs"/>
          <w:rtl/>
        </w:rPr>
        <w:t xml:space="preserve">להדגיש, </w:t>
      </w:r>
      <w:bookmarkStart w:id="51666" w:name="_ETM_Q98_523760"/>
      <w:bookmarkEnd w:id="51666"/>
      <w:r>
        <w:rPr>
          <w:rFonts w:hint="cs"/>
          <w:rtl/>
        </w:rPr>
        <w:t xml:space="preserve">בלי </w:t>
      </w:r>
      <w:bookmarkStart w:id="51667" w:name="_ETM_Q98_524000"/>
      <w:bookmarkEnd w:id="51667"/>
      <w:r>
        <w:rPr>
          <w:rFonts w:hint="cs"/>
          <w:rtl/>
        </w:rPr>
        <w:t xml:space="preserve">חוק </w:t>
      </w:r>
      <w:bookmarkStart w:id="51668" w:name="_ETM_Q98_524300"/>
      <w:bookmarkEnd w:id="51668"/>
      <w:r>
        <w:rPr>
          <w:rFonts w:hint="cs"/>
          <w:rtl/>
        </w:rPr>
        <w:t xml:space="preserve">אקלים </w:t>
      </w:r>
      <w:bookmarkStart w:id="51669" w:name="_ETM_Q98_524960"/>
      <w:bookmarkStart w:id="51670" w:name="_ETM_Q98_525760"/>
      <w:bookmarkEnd w:id="51669"/>
      <w:bookmarkEnd w:id="51670"/>
      <w:r>
        <w:rPr>
          <w:rFonts w:hint="cs"/>
          <w:rtl/>
        </w:rPr>
        <w:t xml:space="preserve">לא </w:t>
      </w:r>
      <w:bookmarkStart w:id="51671" w:name="_ETM_Q98_526120"/>
      <w:bookmarkEnd w:id="51671"/>
      <w:r>
        <w:rPr>
          <w:rFonts w:hint="cs"/>
          <w:rtl/>
        </w:rPr>
        <w:t xml:space="preserve">קיימת </w:t>
      </w:r>
      <w:bookmarkStart w:id="51672" w:name="_ETM_Q98_526749"/>
      <w:bookmarkEnd w:id="51672"/>
      <w:r>
        <w:rPr>
          <w:rFonts w:hint="cs"/>
          <w:rtl/>
        </w:rPr>
        <w:t xml:space="preserve">מסגרת </w:t>
      </w:r>
      <w:bookmarkStart w:id="51673" w:name="_ETM_Q98_527260"/>
      <w:bookmarkEnd w:id="51673"/>
      <w:r>
        <w:rPr>
          <w:rFonts w:hint="cs"/>
          <w:rtl/>
        </w:rPr>
        <w:t xml:space="preserve">עבודה </w:t>
      </w:r>
      <w:bookmarkStart w:id="51674" w:name="_ETM_Q98_527679"/>
      <w:bookmarkEnd w:id="51674"/>
      <w:r>
        <w:rPr>
          <w:rFonts w:hint="cs"/>
          <w:rtl/>
        </w:rPr>
        <w:t>כלל</w:t>
      </w:r>
      <w:bookmarkStart w:id="51675" w:name="_ETM_Q98_528069"/>
      <w:bookmarkEnd w:id="51675"/>
      <w:r w:rsidR="00B41626">
        <w:rPr>
          <w:rFonts w:hint="cs"/>
          <w:rtl/>
        </w:rPr>
        <w:t>-</w:t>
      </w:r>
      <w:r>
        <w:rPr>
          <w:rFonts w:hint="cs"/>
          <w:rtl/>
        </w:rPr>
        <w:t xml:space="preserve">ממשלתית, </w:t>
      </w:r>
      <w:bookmarkStart w:id="51676" w:name="_ETM_Q98_529329"/>
      <w:bookmarkEnd w:id="51676"/>
      <w:r>
        <w:rPr>
          <w:rFonts w:hint="cs"/>
          <w:rtl/>
        </w:rPr>
        <w:t xml:space="preserve">אין </w:t>
      </w:r>
      <w:bookmarkStart w:id="51677" w:name="_ETM_Q98_529960"/>
      <w:bookmarkEnd w:id="51677"/>
      <w:r>
        <w:rPr>
          <w:rFonts w:hint="cs"/>
          <w:rtl/>
        </w:rPr>
        <w:t xml:space="preserve">יעדי </w:t>
      </w:r>
      <w:bookmarkStart w:id="51678" w:name="_ETM_Q98_530410"/>
      <w:bookmarkEnd w:id="51678"/>
      <w:r>
        <w:rPr>
          <w:rFonts w:hint="cs"/>
          <w:rtl/>
        </w:rPr>
        <w:t xml:space="preserve">אקלים </w:t>
      </w:r>
      <w:bookmarkStart w:id="51679" w:name="_ETM_Q98_530739"/>
      <w:bookmarkEnd w:id="51679"/>
      <w:r>
        <w:rPr>
          <w:rFonts w:hint="cs"/>
          <w:rtl/>
        </w:rPr>
        <w:t xml:space="preserve">קשיחים </w:t>
      </w:r>
      <w:bookmarkStart w:id="51680" w:name="_ETM_Q98_531190"/>
      <w:bookmarkEnd w:id="51680"/>
      <w:r>
        <w:rPr>
          <w:rFonts w:hint="cs"/>
          <w:rtl/>
        </w:rPr>
        <w:t xml:space="preserve">שצריך </w:t>
      </w:r>
      <w:bookmarkStart w:id="51681" w:name="_ETM_Q98_531429"/>
      <w:bookmarkEnd w:id="51681"/>
      <w:r>
        <w:rPr>
          <w:rFonts w:hint="cs"/>
          <w:rtl/>
        </w:rPr>
        <w:t xml:space="preserve">להגיע </w:t>
      </w:r>
      <w:bookmarkStart w:id="51682" w:name="_ETM_Q98_531879"/>
      <w:bookmarkEnd w:id="51682"/>
      <w:r>
        <w:rPr>
          <w:rFonts w:hint="cs"/>
          <w:rtl/>
        </w:rPr>
        <w:t xml:space="preserve">אליהם, </w:t>
      </w:r>
      <w:bookmarkStart w:id="51683" w:name="_ETM_Q98_532239"/>
      <w:bookmarkEnd w:id="51683"/>
      <w:r>
        <w:rPr>
          <w:rFonts w:hint="cs"/>
          <w:rtl/>
        </w:rPr>
        <w:t xml:space="preserve">וכך </w:t>
      </w:r>
      <w:bookmarkStart w:id="51684" w:name="_ETM_Q98_532570"/>
      <w:bookmarkEnd w:id="51684"/>
      <w:r>
        <w:rPr>
          <w:rFonts w:hint="cs"/>
          <w:rtl/>
        </w:rPr>
        <w:t xml:space="preserve">זה </w:t>
      </w:r>
      <w:bookmarkStart w:id="51685" w:name="_ETM_Q98_532660"/>
      <w:bookmarkEnd w:id="51685"/>
      <w:r>
        <w:rPr>
          <w:rFonts w:hint="cs"/>
          <w:rtl/>
        </w:rPr>
        <w:t xml:space="preserve">גם </w:t>
      </w:r>
      <w:bookmarkStart w:id="51686" w:name="_ETM_Q98_532839"/>
      <w:bookmarkEnd w:id="51686"/>
      <w:r>
        <w:rPr>
          <w:rFonts w:hint="cs"/>
          <w:rtl/>
        </w:rPr>
        <w:t xml:space="preserve">נראה. </w:t>
      </w:r>
      <w:bookmarkStart w:id="51687" w:name="_ETM_Q98_533770"/>
      <w:bookmarkEnd w:id="51687"/>
      <w:r>
        <w:rPr>
          <w:rFonts w:hint="cs"/>
          <w:rtl/>
        </w:rPr>
        <w:t xml:space="preserve">הממשלה </w:t>
      </w:r>
      <w:bookmarkStart w:id="51688" w:name="_ETM_Q98_534460"/>
      <w:bookmarkEnd w:id="51688"/>
      <w:r>
        <w:rPr>
          <w:rFonts w:hint="cs"/>
          <w:rtl/>
        </w:rPr>
        <w:t xml:space="preserve">כאילו </w:t>
      </w:r>
      <w:bookmarkStart w:id="51689" w:name="_ETM_Q98_534760"/>
      <w:bookmarkEnd w:id="51689"/>
      <w:r>
        <w:rPr>
          <w:rFonts w:hint="cs"/>
          <w:rtl/>
        </w:rPr>
        <w:t xml:space="preserve">מאמצת </w:t>
      </w:r>
      <w:bookmarkStart w:id="51690" w:name="_ETM_Q98_535270"/>
      <w:bookmarkEnd w:id="51690"/>
      <w:r>
        <w:rPr>
          <w:rFonts w:hint="cs"/>
          <w:rtl/>
        </w:rPr>
        <w:t xml:space="preserve">את </w:t>
      </w:r>
      <w:bookmarkStart w:id="51691" w:name="_ETM_Q98_535420"/>
      <w:bookmarkEnd w:id="51691"/>
      <w:r>
        <w:rPr>
          <w:rFonts w:hint="cs"/>
          <w:rtl/>
        </w:rPr>
        <w:t xml:space="preserve">המדיניות </w:t>
      </w:r>
      <w:bookmarkStart w:id="51692" w:name="_ETM_Q98_535779"/>
      <w:bookmarkEnd w:id="51692"/>
      <w:r>
        <w:rPr>
          <w:rFonts w:hint="cs"/>
          <w:rtl/>
        </w:rPr>
        <w:t xml:space="preserve">של </w:t>
      </w:r>
      <w:bookmarkStart w:id="51693" w:name="_ETM_Q98_535930"/>
      <w:bookmarkEnd w:id="51693"/>
      <w:r>
        <w:rPr>
          <w:rFonts w:hint="cs"/>
          <w:rtl/>
        </w:rPr>
        <w:t xml:space="preserve">שר </w:t>
      </w:r>
      <w:bookmarkStart w:id="51694" w:name="_ETM_Q98_536200"/>
      <w:bookmarkEnd w:id="51694"/>
      <w:r>
        <w:rPr>
          <w:rFonts w:hint="cs"/>
          <w:rtl/>
        </w:rPr>
        <w:t xml:space="preserve">האוצר, </w:t>
      </w:r>
      <w:bookmarkStart w:id="51695" w:name="_ETM_Q98_537040"/>
      <w:bookmarkEnd w:id="51695"/>
      <w:r>
        <w:rPr>
          <w:rFonts w:hint="cs"/>
          <w:rtl/>
        </w:rPr>
        <w:t xml:space="preserve">מדיניות </w:t>
      </w:r>
      <w:bookmarkStart w:id="51696" w:name="_ETM_Q98_537520"/>
      <w:bookmarkEnd w:id="51696"/>
      <w:r>
        <w:rPr>
          <w:rFonts w:hint="cs"/>
          <w:rtl/>
        </w:rPr>
        <w:t xml:space="preserve">של </w:t>
      </w:r>
      <w:bookmarkStart w:id="51697" w:name="_ETM_Q98_537670"/>
      <w:bookmarkEnd w:id="51697"/>
      <w:r>
        <w:rPr>
          <w:rFonts w:hint="cs"/>
          <w:rtl/>
        </w:rPr>
        <w:t xml:space="preserve">הכחשת </w:t>
      </w:r>
      <w:bookmarkStart w:id="51698" w:name="_ETM_Q98_538270"/>
      <w:bookmarkEnd w:id="51698"/>
      <w:r>
        <w:rPr>
          <w:rFonts w:hint="cs"/>
          <w:rtl/>
        </w:rPr>
        <w:t xml:space="preserve">אקלים. </w:t>
      </w:r>
      <w:bookmarkStart w:id="51699" w:name="_ETM_Q98_539269"/>
      <w:bookmarkStart w:id="51700" w:name="_ETM_Q98_540594"/>
      <w:bookmarkStart w:id="51701" w:name="_ETM_Q98_540761"/>
      <w:bookmarkStart w:id="51702" w:name="_ETM_Q98_540828"/>
      <w:bookmarkStart w:id="51703" w:name="_ETM_Q98_540890"/>
      <w:bookmarkStart w:id="51704" w:name="_ETM_Q98_539539"/>
      <w:bookmarkEnd w:id="51699"/>
      <w:bookmarkEnd w:id="51700"/>
      <w:bookmarkEnd w:id="51701"/>
      <w:bookmarkEnd w:id="51702"/>
      <w:bookmarkEnd w:id="51703"/>
      <w:bookmarkEnd w:id="51704"/>
      <w:r>
        <w:rPr>
          <w:rFonts w:hint="cs"/>
          <w:rtl/>
        </w:rPr>
        <w:t xml:space="preserve">אני </w:t>
      </w:r>
      <w:bookmarkStart w:id="51705" w:name="_ETM_Q98_539749"/>
      <w:bookmarkEnd w:id="51705"/>
      <w:r>
        <w:rPr>
          <w:rFonts w:hint="cs"/>
          <w:rtl/>
        </w:rPr>
        <w:t xml:space="preserve">רוצה </w:t>
      </w:r>
      <w:bookmarkStart w:id="51706" w:name="_ETM_Q98_539989"/>
      <w:bookmarkEnd w:id="51706"/>
      <w:r>
        <w:rPr>
          <w:rFonts w:hint="cs"/>
          <w:rtl/>
        </w:rPr>
        <w:t xml:space="preserve">לשאול </w:t>
      </w:r>
      <w:bookmarkStart w:id="51707" w:name="_ETM_Q98_540230"/>
      <w:bookmarkEnd w:id="51707"/>
      <w:r>
        <w:rPr>
          <w:rFonts w:hint="cs"/>
          <w:rtl/>
        </w:rPr>
        <w:t xml:space="preserve">את </w:t>
      </w:r>
      <w:bookmarkStart w:id="51708" w:name="_ETM_Q98_540320"/>
      <w:bookmarkEnd w:id="51708"/>
      <w:r>
        <w:rPr>
          <w:rFonts w:hint="cs"/>
          <w:rtl/>
        </w:rPr>
        <w:t xml:space="preserve">עצמי: </w:t>
      </w:r>
      <w:bookmarkStart w:id="51709" w:name="_ETM_Q98_541370"/>
      <w:bookmarkEnd w:id="51709"/>
      <w:r>
        <w:rPr>
          <w:rFonts w:hint="cs"/>
          <w:rtl/>
        </w:rPr>
        <w:t xml:space="preserve">מי </w:t>
      </w:r>
      <w:bookmarkStart w:id="51710" w:name="_ETM_Q98_541639"/>
      <w:bookmarkEnd w:id="51710"/>
      <w:r>
        <w:rPr>
          <w:rFonts w:hint="cs"/>
          <w:rtl/>
        </w:rPr>
        <w:t xml:space="preserve">ישלם </w:t>
      </w:r>
      <w:bookmarkStart w:id="51711" w:name="_ETM_Q98_542029"/>
      <w:bookmarkEnd w:id="51711"/>
      <w:r>
        <w:rPr>
          <w:rFonts w:hint="cs"/>
          <w:rtl/>
        </w:rPr>
        <w:t xml:space="preserve">את </w:t>
      </w:r>
      <w:bookmarkStart w:id="51712" w:name="_ETM_Q98_542119"/>
      <w:bookmarkEnd w:id="51712"/>
      <w:r>
        <w:rPr>
          <w:rFonts w:hint="cs"/>
          <w:rtl/>
        </w:rPr>
        <w:t xml:space="preserve">המחיר? </w:t>
      </w:r>
      <w:bookmarkStart w:id="51713" w:name="_ETM_Q98_543239"/>
      <w:bookmarkEnd w:id="51713"/>
      <w:r>
        <w:rPr>
          <w:rFonts w:hint="cs"/>
          <w:rtl/>
        </w:rPr>
        <w:t xml:space="preserve">מי </w:t>
      </w:r>
      <w:bookmarkStart w:id="51714" w:name="_ETM_Q98_543659"/>
      <w:bookmarkEnd w:id="51714"/>
      <w:r>
        <w:rPr>
          <w:rFonts w:hint="cs"/>
          <w:rtl/>
        </w:rPr>
        <w:t xml:space="preserve">ישלם </w:t>
      </w:r>
      <w:bookmarkStart w:id="51715" w:name="_ETM_Q98_544079"/>
      <w:bookmarkEnd w:id="51715"/>
      <w:r>
        <w:rPr>
          <w:rFonts w:hint="cs"/>
          <w:rtl/>
        </w:rPr>
        <w:t xml:space="preserve">את </w:t>
      </w:r>
      <w:bookmarkStart w:id="51716" w:name="_ETM_Q98_544200"/>
      <w:bookmarkEnd w:id="51716"/>
      <w:r>
        <w:rPr>
          <w:rFonts w:hint="cs"/>
          <w:rtl/>
        </w:rPr>
        <w:t xml:space="preserve">המחיר </w:t>
      </w:r>
      <w:bookmarkStart w:id="51717" w:name="_ETM_Q98_545619"/>
      <w:bookmarkEnd w:id="51717"/>
      <w:r>
        <w:rPr>
          <w:rFonts w:hint="cs"/>
          <w:rtl/>
        </w:rPr>
        <w:t xml:space="preserve">על </w:t>
      </w:r>
      <w:bookmarkStart w:id="51718" w:name="_ETM_Q98_545979"/>
      <w:bookmarkEnd w:id="51718"/>
      <w:r>
        <w:rPr>
          <w:rFonts w:hint="cs"/>
          <w:rtl/>
        </w:rPr>
        <w:t xml:space="preserve">חוסר </w:t>
      </w:r>
      <w:bookmarkStart w:id="51719" w:name="_ETM_Q98_546430"/>
      <w:bookmarkStart w:id="51720" w:name="_ETM_Q98_546610"/>
      <w:bookmarkEnd w:id="51719"/>
      <w:bookmarkEnd w:id="51720"/>
      <w:r>
        <w:rPr>
          <w:rFonts w:hint="cs"/>
          <w:rtl/>
        </w:rPr>
        <w:t xml:space="preserve">הפעולה </w:t>
      </w:r>
      <w:bookmarkStart w:id="51721" w:name="_ETM_Q98_547119"/>
      <w:bookmarkEnd w:id="51721"/>
      <w:r>
        <w:rPr>
          <w:rFonts w:hint="cs"/>
          <w:rtl/>
        </w:rPr>
        <w:t xml:space="preserve">שלכם, </w:t>
      </w:r>
      <w:bookmarkStart w:id="51722" w:name="_ETM_Q98_548170"/>
      <w:bookmarkEnd w:id="51722"/>
      <w:r>
        <w:rPr>
          <w:rFonts w:hint="cs"/>
          <w:rtl/>
        </w:rPr>
        <w:t xml:space="preserve">על </w:t>
      </w:r>
      <w:bookmarkStart w:id="51723" w:name="_ETM_Q98_548320"/>
      <w:bookmarkEnd w:id="51723"/>
      <w:r>
        <w:rPr>
          <w:rFonts w:hint="cs"/>
          <w:rtl/>
        </w:rPr>
        <w:t xml:space="preserve">העובדה </w:t>
      </w:r>
      <w:bookmarkStart w:id="51724" w:name="_ETM_Q98_548799"/>
      <w:bookmarkEnd w:id="51724"/>
      <w:r>
        <w:rPr>
          <w:rFonts w:hint="cs"/>
          <w:rtl/>
        </w:rPr>
        <w:t xml:space="preserve">שישראל </w:t>
      </w:r>
      <w:bookmarkStart w:id="51725" w:name="_ETM_Q98_549279"/>
      <w:bookmarkEnd w:id="51725"/>
      <w:r>
        <w:rPr>
          <w:rFonts w:hint="cs"/>
          <w:rtl/>
        </w:rPr>
        <w:t xml:space="preserve">לא </w:t>
      </w:r>
      <w:bookmarkStart w:id="51726" w:name="_ETM_Q98_549400"/>
      <w:bookmarkEnd w:id="51726"/>
      <w:r>
        <w:rPr>
          <w:rFonts w:hint="cs"/>
          <w:rtl/>
        </w:rPr>
        <w:t xml:space="preserve">נאבקת </w:t>
      </w:r>
      <w:bookmarkStart w:id="51727" w:name="_ETM_Q98_549850"/>
      <w:bookmarkEnd w:id="51727"/>
      <w:r>
        <w:rPr>
          <w:rFonts w:hint="cs"/>
          <w:rtl/>
        </w:rPr>
        <w:t xml:space="preserve">במשבר </w:t>
      </w:r>
      <w:bookmarkStart w:id="51728" w:name="_ETM_Q98_550299"/>
      <w:bookmarkEnd w:id="51728"/>
      <w:r>
        <w:rPr>
          <w:rFonts w:hint="cs"/>
          <w:rtl/>
        </w:rPr>
        <w:t>האקלים</w:t>
      </w:r>
      <w:bookmarkStart w:id="51729" w:name="_ETM_Q98_551330"/>
      <w:bookmarkEnd w:id="51729"/>
      <w:r>
        <w:rPr>
          <w:rFonts w:hint="cs"/>
          <w:rtl/>
        </w:rPr>
        <w:t xml:space="preserve">? לא </w:t>
      </w:r>
      <w:bookmarkStart w:id="51730" w:name="_ETM_Q98_551540"/>
      <w:bookmarkEnd w:id="51730"/>
      <w:r>
        <w:rPr>
          <w:rFonts w:hint="cs"/>
          <w:rtl/>
        </w:rPr>
        <w:t xml:space="preserve">רק </w:t>
      </w:r>
      <w:bookmarkStart w:id="51731" w:name="_ETM_Q98_551630"/>
      <w:bookmarkEnd w:id="51731"/>
      <w:r>
        <w:rPr>
          <w:rFonts w:hint="cs"/>
          <w:rtl/>
        </w:rPr>
        <w:t xml:space="preserve">שהיא </w:t>
      </w:r>
      <w:bookmarkStart w:id="51732" w:name="_ETM_Q98_551779"/>
      <w:bookmarkEnd w:id="51732"/>
      <w:r>
        <w:rPr>
          <w:rFonts w:hint="cs"/>
          <w:rtl/>
        </w:rPr>
        <w:t xml:space="preserve">לא </w:t>
      </w:r>
      <w:bookmarkStart w:id="51733" w:name="_ETM_Q98_551900"/>
      <w:bookmarkEnd w:id="51733"/>
      <w:r>
        <w:rPr>
          <w:rFonts w:hint="cs"/>
          <w:rtl/>
        </w:rPr>
        <w:t xml:space="preserve">נאבקת </w:t>
      </w:r>
      <w:bookmarkStart w:id="51734" w:name="_ETM_Q98_552290"/>
      <w:bookmarkEnd w:id="51734"/>
      <w:r>
        <w:rPr>
          <w:rFonts w:hint="cs"/>
          <w:rtl/>
        </w:rPr>
        <w:t xml:space="preserve">במשבר </w:t>
      </w:r>
      <w:bookmarkStart w:id="51735" w:name="_ETM_Q98_552680"/>
      <w:bookmarkEnd w:id="51735"/>
      <w:r>
        <w:rPr>
          <w:rFonts w:hint="cs"/>
          <w:rtl/>
        </w:rPr>
        <w:t xml:space="preserve">האקלים, </w:t>
      </w:r>
      <w:bookmarkStart w:id="51736" w:name="_ETM_Q98_553160"/>
      <w:bookmarkEnd w:id="51736"/>
      <w:r>
        <w:rPr>
          <w:rFonts w:hint="cs"/>
          <w:rtl/>
        </w:rPr>
        <w:t xml:space="preserve">היא לא </w:t>
      </w:r>
      <w:bookmarkStart w:id="51737" w:name="_ETM_Q98_553310"/>
      <w:bookmarkEnd w:id="51737"/>
      <w:r>
        <w:rPr>
          <w:rFonts w:hint="cs"/>
          <w:rtl/>
        </w:rPr>
        <w:t xml:space="preserve">נערכת </w:t>
      </w:r>
      <w:bookmarkStart w:id="51738" w:name="_ETM_Q98_554330"/>
      <w:bookmarkEnd w:id="51738"/>
      <w:r>
        <w:rPr>
          <w:rFonts w:hint="cs"/>
          <w:rtl/>
        </w:rPr>
        <w:t xml:space="preserve">למפגעים </w:t>
      </w:r>
      <w:bookmarkStart w:id="51739" w:name="_ETM_Q98_555930"/>
      <w:bookmarkEnd w:id="51739"/>
      <w:r>
        <w:rPr>
          <w:rFonts w:hint="cs"/>
          <w:rtl/>
        </w:rPr>
        <w:t xml:space="preserve">שאנחנו </w:t>
      </w:r>
      <w:bookmarkStart w:id="51740" w:name="_ETM_Q98_556320"/>
      <w:bookmarkEnd w:id="51740"/>
      <w:r>
        <w:rPr>
          <w:rFonts w:hint="cs"/>
          <w:rtl/>
        </w:rPr>
        <w:t xml:space="preserve">כבר </w:t>
      </w:r>
      <w:bookmarkStart w:id="51741" w:name="_ETM_Q98_556650"/>
      <w:bookmarkEnd w:id="51741"/>
      <w:r>
        <w:rPr>
          <w:rFonts w:hint="cs"/>
          <w:rtl/>
        </w:rPr>
        <w:t xml:space="preserve">חווים </w:t>
      </w:r>
      <w:bookmarkStart w:id="51742" w:name="_ETM_Q98_557430"/>
      <w:bookmarkEnd w:id="51742"/>
      <w:r>
        <w:rPr>
          <w:rFonts w:hint="cs"/>
          <w:rtl/>
        </w:rPr>
        <w:t xml:space="preserve">כתוצאה </w:t>
      </w:r>
      <w:bookmarkStart w:id="51743" w:name="_ETM_Q98_557970"/>
      <w:bookmarkEnd w:id="51743"/>
      <w:r>
        <w:rPr>
          <w:rFonts w:hint="cs"/>
          <w:rtl/>
        </w:rPr>
        <w:t xml:space="preserve">מההשלכות </w:t>
      </w:r>
      <w:bookmarkStart w:id="51744" w:name="_ETM_Q98_558570"/>
      <w:bookmarkEnd w:id="51744"/>
      <w:r>
        <w:rPr>
          <w:rFonts w:hint="cs"/>
          <w:rtl/>
        </w:rPr>
        <w:t xml:space="preserve">המשבר </w:t>
      </w:r>
      <w:bookmarkStart w:id="51745" w:name="_ETM_Q98_559590"/>
      <w:bookmarkEnd w:id="51745"/>
      <w:r>
        <w:rPr>
          <w:rFonts w:hint="cs"/>
          <w:rtl/>
        </w:rPr>
        <w:t xml:space="preserve">הזה </w:t>
      </w:r>
      <w:bookmarkStart w:id="51746" w:name="_ETM_Q98_559890"/>
      <w:bookmarkEnd w:id="51746"/>
      <w:r>
        <w:rPr>
          <w:rFonts w:hint="cs"/>
          <w:rtl/>
        </w:rPr>
        <w:t xml:space="preserve">על </w:t>
      </w:r>
      <w:bookmarkStart w:id="51747" w:name="_ETM_Q98_560279"/>
      <w:bookmarkEnd w:id="51747"/>
      <w:r>
        <w:rPr>
          <w:rFonts w:hint="cs"/>
          <w:rtl/>
        </w:rPr>
        <w:t xml:space="preserve">מדינת </w:t>
      </w:r>
      <w:bookmarkStart w:id="51748" w:name="_ETM_Q98_560700"/>
      <w:bookmarkEnd w:id="51748"/>
      <w:r>
        <w:rPr>
          <w:rFonts w:hint="cs"/>
          <w:rtl/>
        </w:rPr>
        <w:t xml:space="preserve">ישראל. </w:t>
      </w:r>
      <w:bookmarkStart w:id="51749" w:name="_ETM_Q98_561690"/>
      <w:bookmarkEnd w:id="51749"/>
      <w:r>
        <w:rPr>
          <w:rFonts w:hint="cs"/>
          <w:rtl/>
        </w:rPr>
        <w:t xml:space="preserve">אנחנו </w:t>
      </w:r>
      <w:bookmarkStart w:id="51750" w:name="_ETM_Q98_562410"/>
      <w:bookmarkEnd w:id="51750"/>
      <w:r>
        <w:rPr>
          <w:rFonts w:hint="cs"/>
          <w:rtl/>
        </w:rPr>
        <w:t xml:space="preserve">נמצאים </w:t>
      </w:r>
      <w:bookmarkStart w:id="51751" w:name="_ETM_Q98_563130"/>
      <w:bookmarkEnd w:id="51751"/>
      <w:r>
        <w:rPr>
          <w:rFonts w:hint="cs"/>
          <w:rtl/>
        </w:rPr>
        <w:t xml:space="preserve">על </w:t>
      </w:r>
      <w:bookmarkStart w:id="51752" w:name="_ETM_Q98_563340"/>
      <w:bookmarkStart w:id="51753" w:name="_ETM_Q98_563520"/>
      <w:bookmarkEnd w:id="51752"/>
      <w:bookmarkEnd w:id="51753"/>
      <w:r>
        <w:t>hot spot</w:t>
      </w:r>
      <w:r>
        <w:rPr>
          <w:rFonts w:hint="cs"/>
          <w:rtl/>
        </w:rPr>
        <w:t xml:space="preserve">, </w:t>
      </w:r>
      <w:bookmarkStart w:id="51754" w:name="_ETM_Q98_564529"/>
      <w:bookmarkEnd w:id="51754"/>
      <w:r>
        <w:rPr>
          <w:rFonts w:hint="cs"/>
          <w:rtl/>
        </w:rPr>
        <w:t xml:space="preserve">על </w:t>
      </w:r>
      <w:bookmarkStart w:id="51755" w:name="_ETM_Q98_564950"/>
      <w:bookmarkEnd w:id="51755"/>
      <w:r>
        <w:rPr>
          <w:rFonts w:hint="cs"/>
          <w:rtl/>
        </w:rPr>
        <w:t xml:space="preserve">מיקום </w:t>
      </w:r>
      <w:bookmarkStart w:id="51756" w:name="_ETM_Q98_566029"/>
      <w:bookmarkEnd w:id="51756"/>
      <w:r>
        <w:rPr>
          <w:rFonts w:hint="cs"/>
          <w:rtl/>
        </w:rPr>
        <w:t xml:space="preserve">רגיש </w:t>
      </w:r>
      <w:bookmarkStart w:id="51757" w:name="_ETM_Q98_566509"/>
      <w:bookmarkEnd w:id="51757"/>
      <w:r>
        <w:rPr>
          <w:rFonts w:hint="cs"/>
          <w:rtl/>
        </w:rPr>
        <w:t xml:space="preserve">ביותר </w:t>
      </w:r>
      <w:bookmarkStart w:id="51758" w:name="_ETM_Q98_566990"/>
      <w:bookmarkEnd w:id="51758"/>
      <w:r>
        <w:rPr>
          <w:rFonts w:hint="cs"/>
          <w:rtl/>
        </w:rPr>
        <w:t xml:space="preserve">ברמה </w:t>
      </w:r>
      <w:bookmarkStart w:id="51759" w:name="_ETM_Q98_567439"/>
      <w:bookmarkEnd w:id="51759"/>
      <w:r w:rsidR="00B41626">
        <w:rPr>
          <w:rFonts w:hint="cs"/>
          <w:rtl/>
        </w:rPr>
        <w:t>ה</w:t>
      </w:r>
      <w:r>
        <w:rPr>
          <w:rFonts w:hint="cs"/>
          <w:rtl/>
        </w:rPr>
        <w:t xml:space="preserve">אקלימית, </w:t>
      </w:r>
      <w:bookmarkStart w:id="51760" w:name="_ETM_Q98_567859"/>
      <w:bookmarkEnd w:id="51760"/>
      <w:r>
        <w:rPr>
          <w:rFonts w:hint="cs"/>
          <w:rtl/>
        </w:rPr>
        <w:t xml:space="preserve">על </w:t>
      </w:r>
      <w:bookmarkStart w:id="51761" w:name="_ETM_Q98_567979"/>
      <w:bookmarkEnd w:id="51761"/>
      <w:r>
        <w:rPr>
          <w:rFonts w:hint="cs"/>
          <w:rtl/>
        </w:rPr>
        <w:t xml:space="preserve">השבר </w:t>
      </w:r>
      <w:bookmarkStart w:id="51762" w:name="_ETM_Q98_568279"/>
      <w:bookmarkEnd w:id="51762"/>
      <w:r>
        <w:rPr>
          <w:rFonts w:hint="cs"/>
          <w:rtl/>
        </w:rPr>
        <w:t>הסורי</w:t>
      </w:r>
      <w:bookmarkStart w:id="51763" w:name="_ETM_Q98_568609"/>
      <w:bookmarkEnd w:id="51763"/>
      <w:r>
        <w:rPr>
          <w:rFonts w:hint="cs"/>
          <w:rtl/>
        </w:rPr>
        <w:t xml:space="preserve">-אפריקני. </w:t>
      </w:r>
      <w:bookmarkStart w:id="51764" w:name="_ETM_Q98_569490"/>
      <w:bookmarkEnd w:id="51764"/>
      <w:r>
        <w:rPr>
          <w:rFonts w:hint="cs"/>
          <w:rtl/>
        </w:rPr>
        <w:t xml:space="preserve">אם </w:t>
      </w:r>
      <w:bookmarkStart w:id="51765" w:name="_ETM_Q98_569640"/>
      <w:bookmarkEnd w:id="51765"/>
      <w:r>
        <w:rPr>
          <w:rFonts w:hint="cs"/>
          <w:rtl/>
        </w:rPr>
        <w:t xml:space="preserve">בכל </w:t>
      </w:r>
      <w:bookmarkStart w:id="51766" w:name="_ETM_Q98_570000"/>
      <w:bookmarkEnd w:id="51766"/>
      <w:r>
        <w:rPr>
          <w:rFonts w:hint="cs"/>
          <w:rtl/>
        </w:rPr>
        <w:t xml:space="preserve">העולם </w:t>
      </w:r>
      <w:bookmarkStart w:id="51767" w:name="_ETM_Q98_571049"/>
      <w:bookmarkEnd w:id="51767"/>
      <w:r>
        <w:rPr>
          <w:rFonts w:hint="cs"/>
          <w:rtl/>
        </w:rPr>
        <w:t xml:space="preserve">מדברים </w:t>
      </w:r>
      <w:bookmarkStart w:id="51768" w:name="_ETM_Q98_571439"/>
      <w:bookmarkEnd w:id="51768"/>
      <w:r>
        <w:rPr>
          <w:rFonts w:hint="cs"/>
          <w:rtl/>
        </w:rPr>
        <w:t xml:space="preserve">על </w:t>
      </w:r>
      <w:bookmarkStart w:id="51769" w:name="_ETM_Q98_571529"/>
      <w:bookmarkEnd w:id="51769"/>
      <w:r>
        <w:rPr>
          <w:rFonts w:hint="cs"/>
          <w:rtl/>
        </w:rPr>
        <w:t xml:space="preserve">החשש </w:t>
      </w:r>
      <w:bookmarkStart w:id="51770" w:name="_ETM_Q98_572070"/>
      <w:bookmarkEnd w:id="51770"/>
      <w:r>
        <w:rPr>
          <w:rFonts w:hint="cs"/>
          <w:rtl/>
        </w:rPr>
        <w:t>ש</w:t>
      </w:r>
      <w:bookmarkStart w:id="51771" w:name="_ETM_Q98_572279"/>
      <w:bookmarkEnd w:id="51771"/>
      <w:r>
        <w:rPr>
          <w:rFonts w:hint="cs"/>
          <w:rtl/>
        </w:rPr>
        <w:t xml:space="preserve">הטמפרטורות </w:t>
      </w:r>
      <w:bookmarkStart w:id="51772" w:name="_ETM_Q98_573210"/>
      <w:bookmarkEnd w:id="51772"/>
      <w:r>
        <w:rPr>
          <w:rFonts w:hint="cs"/>
          <w:rtl/>
        </w:rPr>
        <w:t xml:space="preserve">תעלינה </w:t>
      </w:r>
      <w:bookmarkStart w:id="51773" w:name="_ETM_Q98_573720"/>
      <w:bookmarkEnd w:id="51773"/>
      <w:r>
        <w:rPr>
          <w:rFonts w:hint="cs"/>
          <w:rtl/>
        </w:rPr>
        <w:t xml:space="preserve">במעלה </w:t>
      </w:r>
      <w:bookmarkStart w:id="51774" w:name="_ETM_Q98_574259"/>
      <w:bookmarkEnd w:id="51774"/>
      <w:r>
        <w:rPr>
          <w:rFonts w:hint="cs"/>
          <w:rtl/>
        </w:rPr>
        <w:t xml:space="preserve">וחצי, </w:t>
      </w:r>
      <w:bookmarkStart w:id="51775" w:name="_ETM_Q98_574799"/>
      <w:bookmarkEnd w:id="51775"/>
      <w:r>
        <w:rPr>
          <w:rFonts w:hint="cs"/>
          <w:rtl/>
        </w:rPr>
        <w:t xml:space="preserve">בישראל </w:t>
      </w:r>
      <w:bookmarkStart w:id="51776" w:name="_ETM_Q98_575220"/>
      <w:bookmarkEnd w:id="51776"/>
      <w:r>
        <w:rPr>
          <w:rFonts w:hint="cs"/>
          <w:rtl/>
        </w:rPr>
        <w:t xml:space="preserve">הן </w:t>
      </w:r>
      <w:bookmarkStart w:id="51777" w:name="_ETM_Q98_575339"/>
      <w:bookmarkEnd w:id="51777"/>
      <w:r>
        <w:rPr>
          <w:rFonts w:hint="cs"/>
          <w:rtl/>
        </w:rPr>
        <w:t xml:space="preserve">כבר </w:t>
      </w:r>
      <w:bookmarkStart w:id="51778" w:name="_ETM_Q98_575700"/>
      <w:bookmarkEnd w:id="51778"/>
      <w:r>
        <w:rPr>
          <w:rFonts w:hint="cs"/>
          <w:rtl/>
        </w:rPr>
        <w:t xml:space="preserve">עלו </w:t>
      </w:r>
      <w:bookmarkStart w:id="51779" w:name="_ETM_Q98_575909"/>
      <w:bookmarkEnd w:id="51779"/>
      <w:r>
        <w:rPr>
          <w:rFonts w:hint="cs"/>
          <w:rtl/>
        </w:rPr>
        <w:t xml:space="preserve">במעלה </w:t>
      </w:r>
      <w:bookmarkStart w:id="51780" w:name="_ETM_Q98_576329"/>
      <w:bookmarkEnd w:id="51780"/>
      <w:r>
        <w:rPr>
          <w:rFonts w:hint="cs"/>
          <w:rtl/>
        </w:rPr>
        <w:t xml:space="preserve">וחצי. </w:t>
      </w:r>
      <w:bookmarkStart w:id="51781" w:name="_ETM_Q98_577170"/>
      <w:bookmarkEnd w:id="51781"/>
      <w:r>
        <w:rPr>
          <w:rFonts w:hint="cs"/>
          <w:rtl/>
        </w:rPr>
        <w:t xml:space="preserve">אנחנו </w:t>
      </w:r>
      <w:bookmarkStart w:id="51782" w:name="_ETM_Q98_577439"/>
      <w:bookmarkEnd w:id="51782"/>
      <w:r>
        <w:rPr>
          <w:rFonts w:hint="cs"/>
          <w:rtl/>
        </w:rPr>
        <w:t xml:space="preserve">שועטים </w:t>
      </w:r>
      <w:bookmarkStart w:id="51783" w:name="_ETM_Q98_577890"/>
      <w:bookmarkEnd w:id="51783"/>
      <w:r>
        <w:rPr>
          <w:rFonts w:hint="cs"/>
          <w:rtl/>
        </w:rPr>
        <w:t xml:space="preserve">לעבר </w:t>
      </w:r>
      <w:bookmarkStart w:id="51784" w:name="_ETM_Q98_578520"/>
      <w:bookmarkEnd w:id="51784"/>
      <w:r>
        <w:rPr>
          <w:rFonts w:hint="cs"/>
          <w:rtl/>
        </w:rPr>
        <w:t xml:space="preserve">עלייה </w:t>
      </w:r>
      <w:bookmarkStart w:id="51785" w:name="_ETM_Q98_578850"/>
      <w:bookmarkEnd w:id="51785"/>
      <w:r>
        <w:rPr>
          <w:rFonts w:hint="cs"/>
          <w:rtl/>
        </w:rPr>
        <w:t xml:space="preserve">של </w:t>
      </w:r>
      <w:bookmarkStart w:id="51786" w:name="_ETM_Q98_579029"/>
      <w:bookmarkEnd w:id="51786"/>
      <w:r>
        <w:rPr>
          <w:rFonts w:hint="cs"/>
          <w:rtl/>
        </w:rPr>
        <w:t xml:space="preserve">שתיים, שלוש או ארבע </w:t>
      </w:r>
      <w:bookmarkStart w:id="51787" w:name="_ETM_Q98_580830"/>
      <w:bookmarkEnd w:id="51787"/>
      <w:r>
        <w:rPr>
          <w:rFonts w:hint="cs"/>
          <w:rtl/>
        </w:rPr>
        <w:t>מעלות.</w:t>
      </w:r>
      <w:bookmarkStart w:id="51788" w:name="_ETM_Q98_584000"/>
      <w:bookmarkStart w:id="51789" w:name="_ETM_Q98_582700"/>
      <w:bookmarkEnd w:id="51788"/>
      <w:bookmarkEnd w:id="51789"/>
      <w:r>
        <w:rPr>
          <w:rFonts w:hint="cs"/>
          <w:rtl/>
        </w:rPr>
        <w:t xml:space="preserve"> איזה </w:t>
      </w:r>
      <w:bookmarkStart w:id="51790" w:name="_ETM_Q98_583089"/>
      <w:bookmarkEnd w:id="51790"/>
      <w:r>
        <w:rPr>
          <w:rFonts w:hint="cs"/>
          <w:rtl/>
        </w:rPr>
        <w:t xml:space="preserve">היערכות </w:t>
      </w:r>
      <w:bookmarkStart w:id="51791" w:name="_ETM_Q98_583479"/>
      <w:bookmarkEnd w:id="51791"/>
      <w:r>
        <w:rPr>
          <w:rFonts w:hint="cs"/>
          <w:rtl/>
        </w:rPr>
        <w:t xml:space="preserve">יש </w:t>
      </w:r>
      <w:bookmarkStart w:id="51792" w:name="_ETM_Q98_583659"/>
      <w:bookmarkEnd w:id="51792"/>
      <w:r>
        <w:rPr>
          <w:rFonts w:hint="cs"/>
          <w:rtl/>
        </w:rPr>
        <w:t xml:space="preserve">בישראל </w:t>
      </w:r>
      <w:bookmarkStart w:id="51793" w:name="_ETM_Q98_585140"/>
      <w:bookmarkEnd w:id="51793"/>
      <w:r>
        <w:rPr>
          <w:rFonts w:hint="cs"/>
          <w:rtl/>
        </w:rPr>
        <w:t xml:space="preserve">להתגוננות, </w:t>
      </w:r>
      <w:bookmarkStart w:id="51794" w:name="_ETM_Q98_586719"/>
      <w:bookmarkEnd w:id="51794"/>
      <w:r>
        <w:rPr>
          <w:rFonts w:hint="cs"/>
          <w:rtl/>
        </w:rPr>
        <w:t xml:space="preserve">היערכות </w:t>
      </w:r>
      <w:bookmarkStart w:id="51795" w:name="_ETM_Q98_588540"/>
      <w:bookmarkEnd w:id="51795"/>
      <w:r>
        <w:rPr>
          <w:rFonts w:hint="cs"/>
          <w:rtl/>
        </w:rPr>
        <w:t xml:space="preserve">מפני </w:t>
      </w:r>
      <w:bookmarkStart w:id="51796" w:name="_ETM_Q98_588930"/>
      <w:bookmarkEnd w:id="51796"/>
      <w:r>
        <w:rPr>
          <w:rFonts w:hint="cs"/>
          <w:rtl/>
        </w:rPr>
        <w:t xml:space="preserve">ההשלכות </w:t>
      </w:r>
      <w:bookmarkStart w:id="51797" w:name="_ETM_Q98_589440"/>
      <w:bookmarkEnd w:id="51797"/>
      <w:r>
        <w:rPr>
          <w:rFonts w:hint="cs"/>
          <w:rtl/>
        </w:rPr>
        <w:t xml:space="preserve">של </w:t>
      </w:r>
      <w:bookmarkStart w:id="51798" w:name="_ETM_Q98_589560"/>
      <w:bookmarkEnd w:id="51798"/>
      <w:r>
        <w:rPr>
          <w:rFonts w:hint="cs"/>
          <w:rtl/>
        </w:rPr>
        <w:t xml:space="preserve">משבר </w:t>
      </w:r>
      <w:bookmarkStart w:id="51799" w:name="_ETM_Q98_589920"/>
      <w:bookmarkEnd w:id="51799"/>
      <w:r>
        <w:rPr>
          <w:rFonts w:hint="cs"/>
          <w:rtl/>
        </w:rPr>
        <w:t xml:space="preserve">האקלים, </w:t>
      </w:r>
      <w:bookmarkStart w:id="51800" w:name="_ETM_Q98_590310"/>
      <w:bookmarkEnd w:id="51800"/>
      <w:r>
        <w:rPr>
          <w:rFonts w:hint="cs"/>
          <w:rtl/>
        </w:rPr>
        <w:t xml:space="preserve">מפני </w:t>
      </w:r>
      <w:bookmarkStart w:id="51801" w:name="_ETM_Q98_590580"/>
      <w:bookmarkEnd w:id="51801"/>
      <w:r>
        <w:rPr>
          <w:rFonts w:hint="cs"/>
          <w:rtl/>
        </w:rPr>
        <w:t xml:space="preserve">בצורות, </w:t>
      </w:r>
      <w:bookmarkStart w:id="51802" w:name="_ETM_Q98_591670"/>
      <w:bookmarkEnd w:id="51802"/>
      <w:r>
        <w:rPr>
          <w:rFonts w:hint="cs"/>
          <w:rtl/>
        </w:rPr>
        <w:t xml:space="preserve">מפני </w:t>
      </w:r>
      <w:bookmarkStart w:id="51803" w:name="_ETM_Q98_592270"/>
      <w:bookmarkEnd w:id="51803"/>
      <w:r>
        <w:rPr>
          <w:rFonts w:hint="cs"/>
          <w:rtl/>
        </w:rPr>
        <w:t xml:space="preserve">גלי </w:t>
      </w:r>
      <w:bookmarkStart w:id="51804" w:name="_ETM_Q98_592659"/>
      <w:bookmarkEnd w:id="51804"/>
      <w:r>
        <w:rPr>
          <w:rFonts w:hint="cs"/>
          <w:rtl/>
        </w:rPr>
        <w:t xml:space="preserve">חום </w:t>
      </w:r>
      <w:bookmarkStart w:id="51805" w:name="_ETM_Q98_593049"/>
      <w:bookmarkEnd w:id="51805"/>
      <w:r>
        <w:rPr>
          <w:rFonts w:hint="cs"/>
          <w:rtl/>
        </w:rPr>
        <w:t xml:space="preserve">ממושכים, </w:t>
      </w:r>
      <w:bookmarkStart w:id="51806" w:name="_ETM_Q98_594840"/>
      <w:bookmarkEnd w:id="51806"/>
      <w:r>
        <w:rPr>
          <w:rFonts w:hint="cs"/>
          <w:rtl/>
        </w:rPr>
        <w:t xml:space="preserve">מפני </w:t>
      </w:r>
      <w:bookmarkStart w:id="51807" w:name="_ETM_Q98_595170"/>
      <w:bookmarkEnd w:id="51807"/>
      <w:r>
        <w:rPr>
          <w:rFonts w:hint="cs"/>
          <w:rtl/>
        </w:rPr>
        <w:t xml:space="preserve">שיטפונות? </w:t>
      </w:r>
      <w:bookmarkStart w:id="51808" w:name="_ETM_Q98_598469"/>
      <w:bookmarkEnd w:id="51808"/>
      <w:r>
        <w:rPr>
          <w:rFonts w:hint="cs"/>
          <w:rtl/>
        </w:rPr>
        <w:t xml:space="preserve">אין, </w:t>
      </w:r>
      <w:bookmarkStart w:id="51809" w:name="_ETM_Q98_599399"/>
      <w:bookmarkEnd w:id="51809"/>
      <w:r>
        <w:rPr>
          <w:rFonts w:hint="cs"/>
          <w:rtl/>
        </w:rPr>
        <w:t xml:space="preserve">אין, </w:t>
      </w:r>
      <w:bookmarkStart w:id="51810" w:name="_ETM_Q98_599969"/>
      <w:bookmarkEnd w:id="51810"/>
      <w:r>
        <w:rPr>
          <w:rFonts w:hint="cs"/>
          <w:rtl/>
        </w:rPr>
        <w:t xml:space="preserve">אין, </w:t>
      </w:r>
      <w:bookmarkStart w:id="51811" w:name="_ETM_Q98_600299"/>
      <w:bookmarkEnd w:id="51811"/>
      <w:r>
        <w:rPr>
          <w:rFonts w:hint="cs"/>
          <w:rtl/>
        </w:rPr>
        <w:t xml:space="preserve">אין. </w:t>
      </w:r>
      <w:bookmarkStart w:id="51812" w:name="_ETM_Q98_600630"/>
      <w:bookmarkEnd w:id="51812"/>
    </w:p>
    <w:p w:rsidR="00BB59CD" w:rsidRDefault="00BB59CD" w:rsidP="00BB59CD">
      <w:pPr>
        <w:rPr>
          <w:rtl/>
        </w:rPr>
      </w:pPr>
    </w:p>
    <w:p w:rsidR="00BB59CD" w:rsidRDefault="00BB59CD" w:rsidP="00B41626">
      <w:pPr>
        <w:rPr>
          <w:rtl/>
        </w:rPr>
      </w:pPr>
      <w:r>
        <w:rPr>
          <w:rFonts w:hint="cs"/>
          <w:rtl/>
        </w:rPr>
        <w:t>ועתה</w:t>
      </w:r>
      <w:bookmarkStart w:id="51813" w:name="_ETM_Q98_601840"/>
      <w:bookmarkEnd w:id="51813"/>
      <w:r>
        <w:rPr>
          <w:rFonts w:hint="cs"/>
          <w:rtl/>
        </w:rPr>
        <w:t xml:space="preserve">, אם </w:t>
      </w:r>
      <w:bookmarkStart w:id="51814" w:name="_ETM_Q98_601990"/>
      <w:bookmarkStart w:id="51815" w:name="_ETM_Q98_602140"/>
      <w:bookmarkEnd w:id="51814"/>
      <w:bookmarkEnd w:id="51815"/>
      <w:r>
        <w:rPr>
          <w:rFonts w:hint="cs"/>
          <w:rtl/>
        </w:rPr>
        <w:t xml:space="preserve">כל </w:t>
      </w:r>
      <w:bookmarkStart w:id="51816" w:name="_ETM_Q98_602500"/>
      <w:bookmarkEnd w:id="51816"/>
      <w:r>
        <w:rPr>
          <w:rFonts w:hint="cs"/>
          <w:rtl/>
        </w:rPr>
        <w:t xml:space="preserve">מה </w:t>
      </w:r>
      <w:bookmarkStart w:id="51817" w:name="_ETM_Q98_602650"/>
      <w:bookmarkEnd w:id="51817"/>
      <w:r>
        <w:rPr>
          <w:rFonts w:hint="cs"/>
          <w:rtl/>
        </w:rPr>
        <w:t xml:space="preserve">שציינתי </w:t>
      </w:r>
      <w:bookmarkStart w:id="51818" w:name="_ETM_Q98_603220"/>
      <w:bookmarkEnd w:id="51818"/>
      <w:r>
        <w:rPr>
          <w:rFonts w:hint="cs"/>
          <w:rtl/>
        </w:rPr>
        <w:t xml:space="preserve">עד </w:t>
      </w:r>
      <w:bookmarkStart w:id="51819" w:name="_ETM_Q98_603340"/>
      <w:bookmarkEnd w:id="51819"/>
      <w:r>
        <w:rPr>
          <w:rFonts w:hint="cs"/>
          <w:rtl/>
        </w:rPr>
        <w:t xml:space="preserve">עכשיו </w:t>
      </w:r>
      <w:bookmarkStart w:id="51820" w:name="_ETM_Q98_603640"/>
      <w:bookmarkEnd w:id="51820"/>
      <w:r>
        <w:rPr>
          <w:rFonts w:hint="cs"/>
          <w:rtl/>
        </w:rPr>
        <w:t xml:space="preserve">לא </w:t>
      </w:r>
      <w:bookmarkStart w:id="51821" w:name="_ETM_Q98_603730"/>
      <w:bookmarkEnd w:id="51821"/>
      <w:r>
        <w:rPr>
          <w:rFonts w:hint="cs"/>
          <w:rtl/>
        </w:rPr>
        <w:t xml:space="preserve">מספיק, </w:t>
      </w:r>
      <w:bookmarkStart w:id="51822" w:name="_ETM_Q98_604720"/>
      <w:bookmarkEnd w:id="51822"/>
      <w:r>
        <w:rPr>
          <w:rFonts w:hint="cs"/>
          <w:rtl/>
        </w:rPr>
        <w:t xml:space="preserve">הממשלה </w:t>
      </w:r>
      <w:bookmarkStart w:id="51823" w:name="_ETM_Q98_605350"/>
      <w:bookmarkEnd w:id="51823"/>
      <w:r>
        <w:rPr>
          <w:rFonts w:hint="cs"/>
          <w:rtl/>
        </w:rPr>
        <w:t xml:space="preserve">הזו </w:t>
      </w:r>
      <w:bookmarkStart w:id="51824" w:name="_ETM_Q98_605560"/>
      <w:bookmarkEnd w:id="51824"/>
      <w:r>
        <w:rPr>
          <w:rFonts w:hint="cs"/>
          <w:rtl/>
        </w:rPr>
        <w:t xml:space="preserve">דוחפת, </w:t>
      </w:r>
      <w:bookmarkStart w:id="51825" w:name="_ETM_Q98_606310"/>
      <w:bookmarkEnd w:id="51825"/>
      <w:r>
        <w:rPr>
          <w:rFonts w:hint="cs"/>
          <w:rtl/>
        </w:rPr>
        <w:t xml:space="preserve">שועטת </w:t>
      </w:r>
      <w:bookmarkStart w:id="51826" w:name="_ETM_Q98_606910"/>
      <w:bookmarkEnd w:id="51826"/>
      <w:r>
        <w:rPr>
          <w:rFonts w:hint="cs"/>
          <w:rtl/>
        </w:rPr>
        <w:t xml:space="preserve">לעבר </w:t>
      </w:r>
      <w:bookmarkStart w:id="51827" w:name="_ETM_Q98_607240"/>
      <w:bookmarkEnd w:id="51827"/>
      <w:r>
        <w:rPr>
          <w:rFonts w:hint="cs"/>
          <w:rtl/>
        </w:rPr>
        <w:t xml:space="preserve">ביטול </w:t>
      </w:r>
      <w:bookmarkStart w:id="51828" w:name="_ETM_Q98_607600"/>
      <w:bookmarkEnd w:id="51828"/>
      <w:r>
        <w:rPr>
          <w:rFonts w:hint="cs"/>
          <w:rtl/>
        </w:rPr>
        <w:t xml:space="preserve">עילת </w:t>
      </w:r>
      <w:bookmarkStart w:id="51829" w:name="_ETM_Q98_607870"/>
      <w:bookmarkEnd w:id="51829"/>
      <w:r>
        <w:rPr>
          <w:rFonts w:hint="cs"/>
          <w:rtl/>
        </w:rPr>
        <w:t xml:space="preserve">הסבירות, </w:t>
      </w:r>
      <w:bookmarkStart w:id="51830" w:name="_ETM_Q98_608380"/>
      <w:bookmarkEnd w:id="51830"/>
      <w:r>
        <w:rPr>
          <w:rFonts w:hint="cs"/>
          <w:rtl/>
        </w:rPr>
        <w:t xml:space="preserve">שתאפשר </w:t>
      </w:r>
      <w:bookmarkStart w:id="51831" w:name="_ETM_Q98_609040"/>
      <w:bookmarkEnd w:id="51831"/>
      <w:r>
        <w:rPr>
          <w:rFonts w:hint="cs"/>
          <w:rtl/>
        </w:rPr>
        <w:t xml:space="preserve">לממשלה </w:t>
      </w:r>
      <w:bookmarkStart w:id="51832" w:name="_ETM_Q98_609670"/>
      <w:bookmarkEnd w:id="51832"/>
      <w:r>
        <w:rPr>
          <w:rFonts w:hint="cs"/>
          <w:rtl/>
        </w:rPr>
        <w:t xml:space="preserve">לפגוע </w:t>
      </w:r>
      <w:bookmarkStart w:id="51833" w:name="_ETM_Q98_610120"/>
      <w:bookmarkEnd w:id="51833"/>
      <w:r>
        <w:rPr>
          <w:rFonts w:hint="cs"/>
          <w:rtl/>
        </w:rPr>
        <w:t xml:space="preserve">בסביבה </w:t>
      </w:r>
      <w:bookmarkStart w:id="51834" w:name="_ETM_Q98_611090"/>
      <w:bookmarkEnd w:id="51834"/>
      <w:r>
        <w:rPr>
          <w:rFonts w:hint="cs"/>
          <w:rtl/>
        </w:rPr>
        <w:t xml:space="preserve">ובבריאות </w:t>
      </w:r>
      <w:bookmarkStart w:id="51835" w:name="_ETM_Q98_611750"/>
      <w:bookmarkEnd w:id="51835"/>
      <w:r>
        <w:rPr>
          <w:rFonts w:hint="cs"/>
          <w:rtl/>
        </w:rPr>
        <w:t xml:space="preserve">הציבור </w:t>
      </w:r>
      <w:bookmarkStart w:id="51836" w:name="_ETM_Q98_612170"/>
      <w:bookmarkEnd w:id="51836"/>
      <w:r>
        <w:rPr>
          <w:rFonts w:hint="cs"/>
          <w:rtl/>
        </w:rPr>
        <w:t xml:space="preserve">בחוסר </w:t>
      </w:r>
      <w:bookmarkStart w:id="51837" w:name="_ETM_Q98_613099"/>
      <w:bookmarkEnd w:id="51837"/>
      <w:r>
        <w:rPr>
          <w:rFonts w:hint="cs"/>
          <w:rtl/>
        </w:rPr>
        <w:t xml:space="preserve">סבירות </w:t>
      </w:r>
      <w:bookmarkStart w:id="51838" w:name="_ETM_Q98_613640"/>
      <w:bookmarkEnd w:id="51838"/>
      <w:r>
        <w:rPr>
          <w:rFonts w:hint="cs"/>
          <w:rtl/>
        </w:rPr>
        <w:t xml:space="preserve">קיצוני, </w:t>
      </w:r>
      <w:bookmarkStart w:id="51839" w:name="_ETM_Q98_614590"/>
      <w:bookmarkEnd w:id="51839"/>
      <w:r>
        <w:rPr>
          <w:rFonts w:hint="cs"/>
          <w:rtl/>
        </w:rPr>
        <w:t xml:space="preserve">בלי </w:t>
      </w:r>
      <w:bookmarkStart w:id="51840" w:name="_ETM_Q98_614980"/>
      <w:bookmarkEnd w:id="51840"/>
      <w:r>
        <w:rPr>
          <w:rFonts w:hint="cs"/>
          <w:rtl/>
        </w:rPr>
        <w:t xml:space="preserve">שום </w:t>
      </w:r>
      <w:bookmarkStart w:id="51841" w:name="_ETM_Q98_615280"/>
      <w:bookmarkEnd w:id="51841"/>
      <w:r>
        <w:rPr>
          <w:rFonts w:hint="cs"/>
          <w:rtl/>
        </w:rPr>
        <w:t xml:space="preserve">ביקורת, </w:t>
      </w:r>
      <w:bookmarkStart w:id="51842" w:name="_ETM_Q98_615940"/>
      <w:bookmarkEnd w:id="51842"/>
      <w:r>
        <w:rPr>
          <w:rFonts w:hint="cs"/>
          <w:rtl/>
        </w:rPr>
        <w:t xml:space="preserve">שום </w:t>
      </w:r>
      <w:bookmarkStart w:id="51843" w:name="_ETM_Q98_616240"/>
      <w:bookmarkEnd w:id="51843"/>
      <w:r>
        <w:rPr>
          <w:rFonts w:hint="cs"/>
          <w:rtl/>
        </w:rPr>
        <w:t>מגבלה.</w:t>
      </w:r>
      <w:bookmarkStart w:id="51844" w:name="_ETM_Q98_613000"/>
      <w:bookmarkStart w:id="51845" w:name="_ETM_Q98_614000"/>
      <w:bookmarkStart w:id="51846" w:name="_ETM_Q98_618569"/>
      <w:bookmarkEnd w:id="51844"/>
      <w:bookmarkEnd w:id="51845"/>
      <w:bookmarkEnd w:id="51846"/>
      <w:r>
        <w:rPr>
          <w:rFonts w:hint="cs"/>
          <w:rtl/>
        </w:rPr>
        <w:t xml:space="preserve"> השרה </w:t>
      </w:r>
      <w:bookmarkStart w:id="51847" w:name="_ETM_Q98_618959"/>
      <w:bookmarkEnd w:id="51847"/>
      <w:r>
        <w:rPr>
          <w:rFonts w:hint="cs"/>
          <w:rtl/>
        </w:rPr>
        <w:t>סילמ</w:t>
      </w:r>
      <w:bookmarkStart w:id="51848" w:name="_ETM_Q98_619409"/>
      <w:bookmarkEnd w:id="51848"/>
      <w:r>
        <w:rPr>
          <w:rFonts w:hint="cs"/>
          <w:rtl/>
        </w:rPr>
        <w:t xml:space="preserve">ן, השרה </w:t>
      </w:r>
      <w:bookmarkStart w:id="51849" w:name="_ETM_Q98_619709"/>
      <w:bookmarkEnd w:id="51849"/>
      <w:r>
        <w:rPr>
          <w:rFonts w:hint="cs"/>
          <w:rtl/>
        </w:rPr>
        <w:t xml:space="preserve">להגנת </w:t>
      </w:r>
      <w:bookmarkStart w:id="51850" w:name="_ETM_Q98_620129"/>
      <w:bookmarkEnd w:id="51850"/>
      <w:r>
        <w:rPr>
          <w:rFonts w:hint="cs"/>
          <w:rtl/>
        </w:rPr>
        <w:t xml:space="preserve">הסביבה, </w:t>
      </w:r>
      <w:bookmarkStart w:id="51851" w:name="_ETM_Q98_620700"/>
      <w:bookmarkEnd w:id="51851"/>
      <w:r>
        <w:rPr>
          <w:rFonts w:hint="cs"/>
          <w:rtl/>
        </w:rPr>
        <w:t xml:space="preserve">תומכת </w:t>
      </w:r>
      <w:bookmarkStart w:id="51852" w:name="_ETM_Q98_621150"/>
      <w:bookmarkEnd w:id="51852"/>
      <w:r>
        <w:rPr>
          <w:rFonts w:hint="cs"/>
          <w:rtl/>
        </w:rPr>
        <w:t>בביטול</w:t>
      </w:r>
      <w:bookmarkStart w:id="51853" w:name="_ETM_Q98_621629"/>
      <w:bookmarkStart w:id="51854" w:name="_ETM_Q98_622019"/>
      <w:bookmarkEnd w:id="51853"/>
      <w:bookmarkEnd w:id="51854"/>
      <w:r>
        <w:rPr>
          <w:rFonts w:hint="cs"/>
          <w:rtl/>
        </w:rPr>
        <w:t>ה.</w:t>
      </w:r>
      <w:bookmarkStart w:id="51855" w:name="_ETM_Q98_619000"/>
      <w:bookmarkEnd w:id="51855"/>
      <w:r>
        <w:rPr>
          <w:rFonts w:hint="cs"/>
          <w:rtl/>
        </w:rPr>
        <w:t xml:space="preserve"> אבל הי, </w:t>
      </w:r>
      <w:bookmarkStart w:id="51856" w:name="_ETM_Q98_623260"/>
      <w:bookmarkEnd w:id="51856"/>
      <w:r>
        <w:rPr>
          <w:rFonts w:hint="cs"/>
          <w:rtl/>
        </w:rPr>
        <w:t xml:space="preserve">שר </w:t>
      </w:r>
      <w:bookmarkStart w:id="51857" w:name="_ETM_Q98_623560"/>
      <w:bookmarkEnd w:id="51857"/>
      <w:r>
        <w:rPr>
          <w:rFonts w:hint="cs"/>
          <w:rtl/>
        </w:rPr>
        <w:t xml:space="preserve">החוץ </w:t>
      </w:r>
      <w:bookmarkStart w:id="51858" w:name="_ETM_Q98_623860"/>
      <w:bookmarkEnd w:id="51858"/>
      <w:r>
        <w:rPr>
          <w:rFonts w:hint="cs"/>
          <w:rtl/>
        </w:rPr>
        <w:t xml:space="preserve">הצהיר </w:t>
      </w:r>
      <w:bookmarkStart w:id="51859" w:name="_ETM_Q98_624310"/>
      <w:bookmarkEnd w:id="51859"/>
      <w:r>
        <w:rPr>
          <w:rFonts w:hint="cs"/>
          <w:rtl/>
        </w:rPr>
        <w:t xml:space="preserve">שישראל </w:t>
      </w:r>
      <w:bookmarkStart w:id="51860" w:name="_ETM_Q98_624760"/>
      <w:bookmarkEnd w:id="51860"/>
      <w:r>
        <w:rPr>
          <w:rFonts w:hint="cs"/>
          <w:rtl/>
        </w:rPr>
        <w:t xml:space="preserve">תשלח </w:t>
      </w:r>
      <w:bookmarkStart w:id="51861" w:name="_ETM_Q98_625209"/>
      <w:bookmarkEnd w:id="51861"/>
      <w:r>
        <w:rPr>
          <w:rFonts w:hint="cs"/>
          <w:rtl/>
        </w:rPr>
        <w:t xml:space="preserve">את </w:t>
      </w:r>
      <w:bookmarkStart w:id="51862" w:name="_ETM_Q98_625299"/>
      <w:bookmarkEnd w:id="51862"/>
      <w:r>
        <w:rPr>
          <w:rFonts w:hint="cs"/>
          <w:rtl/>
        </w:rPr>
        <w:t xml:space="preserve">המשלחת </w:t>
      </w:r>
      <w:bookmarkStart w:id="51863" w:name="_ETM_Q98_626170"/>
      <w:bookmarkEnd w:id="51863"/>
      <w:r>
        <w:rPr>
          <w:rFonts w:hint="cs"/>
          <w:rtl/>
        </w:rPr>
        <w:t xml:space="preserve">הגדולה </w:t>
      </w:r>
      <w:bookmarkStart w:id="51864" w:name="_ETM_Q98_626680"/>
      <w:bookmarkEnd w:id="51864"/>
      <w:r>
        <w:rPr>
          <w:rFonts w:hint="cs"/>
          <w:rtl/>
        </w:rPr>
        <w:t xml:space="preserve">אי פעם </w:t>
      </w:r>
      <w:bookmarkStart w:id="51865" w:name="_ETM_Q98_628060"/>
      <w:bookmarkEnd w:id="51865"/>
      <w:r>
        <w:rPr>
          <w:rFonts w:hint="cs"/>
          <w:rtl/>
        </w:rPr>
        <w:t xml:space="preserve">לכנס </w:t>
      </w:r>
      <w:bookmarkStart w:id="51866" w:name="_ETM_Q98_628510"/>
      <w:bookmarkEnd w:id="51866"/>
      <w:r>
        <w:rPr>
          <w:rFonts w:hint="cs"/>
          <w:rtl/>
        </w:rPr>
        <w:t xml:space="preserve">האקלים </w:t>
      </w:r>
      <w:bookmarkStart w:id="51867" w:name="_ETM_Q98_628930"/>
      <w:bookmarkEnd w:id="51867"/>
      <w:r>
        <w:rPr>
          <w:rFonts w:hint="cs"/>
          <w:rtl/>
        </w:rPr>
        <w:t>בדובאי.</w:t>
      </w:r>
      <w:bookmarkStart w:id="51868" w:name="_ETM_Q98_629409"/>
      <w:bookmarkEnd w:id="51868"/>
      <w:r>
        <w:rPr>
          <w:rFonts w:hint="cs"/>
          <w:rtl/>
        </w:rPr>
        <w:t xml:space="preserve"> 8 מיליון </w:t>
      </w:r>
      <w:bookmarkStart w:id="51869" w:name="_ETM_Q98_630220"/>
      <w:bookmarkEnd w:id="51869"/>
      <w:r>
        <w:rPr>
          <w:rFonts w:hint="cs"/>
          <w:rtl/>
        </w:rPr>
        <w:t xml:space="preserve">שקלים </w:t>
      </w:r>
      <w:bookmarkStart w:id="51870" w:name="_ETM_Q98_631420"/>
      <w:bookmarkEnd w:id="51870"/>
      <w:r>
        <w:rPr>
          <w:rFonts w:hint="cs"/>
          <w:rtl/>
        </w:rPr>
        <w:t xml:space="preserve">כדי </w:t>
      </w:r>
      <w:bookmarkStart w:id="51871" w:name="_ETM_Q98_631689"/>
      <w:bookmarkEnd w:id="51871"/>
      <w:r>
        <w:rPr>
          <w:rFonts w:hint="cs"/>
          <w:rtl/>
        </w:rPr>
        <w:t xml:space="preserve">להציג </w:t>
      </w:r>
      <w:bookmarkStart w:id="51872" w:name="_ETM_Q98_632170"/>
      <w:bookmarkEnd w:id="51872"/>
      <w:r>
        <w:rPr>
          <w:rFonts w:hint="cs"/>
          <w:rtl/>
        </w:rPr>
        <w:t xml:space="preserve">לעולם </w:t>
      </w:r>
      <w:r>
        <w:t>–</w:t>
      </w:r>
      <w:r>
        <w:rPr>
          <w:rFonts w:hint="cs"/>
          <w:rtl/>
        </w:rPr>
        <w:t xml:space="preserve"> </w:t>
      </w:r>
      <w:bookmarkStart w:id="51873" w:name="_ETM_Q98_633819"/>
      <w:bookmarkEnd w:id="51873"/>
      <w:r>
        <w:rPr>
          <w:rFonts w:hint="cs"/>
          <w:rtl/>
        </w:rPr>
        <w:t xml:space="preserve">מה </w:t>
      </w:r>
      <w:bookmarkStart w:id="51874" w:name="_ETM_Q98_634150"/>
      <w:bookmarkEnd w:id="51874"/>
      <w:r>
        <w:rPr>
          <w:rFonts w:hint="cs"/>
          <w:rtl/>
        </w:rPr>
        <w:t xml:space="preserve">בדיוק? </w:t>
      </w:r>
      <w:bookmarkStart w:id="51875" w:name="_ETM_Q98_635500"/>
      <w:bookmarkEnd w:id="51875"/>
      <w:r>
        <w:rPr>
          <w:rFonts w:hint="cs"/>
          <w:rtl/>
        </w:rPr>
        <w:t xml:space="preserve">אולי </w:t>
      </w:r>
      <w:bookmarkStart w:id="51876" w:name="_ETM_Q98_635860"/>
      <w:bookmarkEnd w:id="51876"/>
      <w:r>
        <w:rPr>
          <w:rFonts w:hint="cs"/>
          <w:rtl/>
        </w:rPr>
        <w:t xml:space="preserve">שווה </w:t>
      </w:r>
      <w:bookmarkStart w:id="51877" w:name="_ETM_Q98_636280"/>
      <w:bookmarkEnd w:id="51877"/>
      <w:r>
        <w:rPr>
          <w:rFonts w:hint="cs"/>
          <w:rtl/>
        </w:rPr>
        <w:t xml:space="preserve">שבמקום </w:t>
      </w:r>
      <w:bookmarkStart w:id="51878" w:name="_ETM_Q98_636790"/>
      <w:bookmarkEnd w:id="51878"/>
      <w:r>
        <w:rPr>
          <w:rFonts w:hint="cs"/>
          <w:rtl/>
        </w:rPr>
        <w:t xml:space="preserve">לשלוח </w:t>
      </w:r>
      <w:bookmarkStart w:id="51879" w:name="_ETM_Q98_637210"/>
      <w:bookmarkEnd w:id="51879"/>
      <w:r>
        <w:rPr>
          <w:rFonts w:hint="cs"/>
          <w:rtl/>
        </w:rPr>
        <w:t xml:space="preserve">משלחת </w:t>
      </w:r>
      <w:bookmarkStart w:id="51880" w:name="_ETM_Q98_638430"/>
      <w:bookmarkEnd w:id="51880"/>
      <w:r>
        <w:rPr>
          <w:rFonts w:hint="cs"/>
          <w:rtl/>
        </w:rPr>
        <w:t xml:space="preserve">של </w:t>
      </w:r>
      <w:bookmarkStart w:id="51881" w:name="_ETM_Q98_638730"/>
      <w:bookmarkEnd w:id="51881"/>
      <w:r>
        <w:rPr>
          <w:rFonts w:hint="cs"/>
          <w:rtl/>
        </w:rPr>
        <w:t xml:space="preserve">חליפות </w:t>
      </w:r>
      <w:bookmarkStart w:id="51882" w:name="_ETM_Q98_639300"/>
      <w:bookmarkEnd w:id="51882"/>
      <w:r>
        <w:rPr>
          <w:rFonts w:hint="cs"/>
          <w:rtl/>
        </w:rPr>
        <w:t xml:space="preserve">ריקות, </w:t>
      </w:r>
      <w:bookmarkStart w:id="51883" w:name="_ETM_Q98_640400"/>
      <w:bookmarkEnd w:id="51883"/>
      <w:r>
        <w:rPr>
          <w:rFonts w:hint="cs"/>
          <w:rtl/>
        </w:rPr>
        <w:t xml:space="preserve">משרדי </w:t>
      </w:r>
      <w:bookmarkStart w:id="51884" w:name="_ETM_Q98_641540"/>
      <w:bookmarkEnd w:id="51884"/>
      <w:r>
        <w:rPr>
          <w:rFonts w:hint="cs"/>
          <w:rtl/>
        </w:rPr>
        <w:t xml:space="preserve">הממשלה </w:t>
      </w:r>
      <w:bookmarkStart w:id="51885" w:name="_ETM_Q98_642200"/>
      <w:bookmarkEnd w:id="51885"/>
      <w:r>
        <w:rPr>
          <w:rFonts w:hint="cs"/>
          <w:rtl/>
        </w:rPr>
        <w:t xml:space="preserve">יישארו </w:t>
      </w:r>
      <w:bookmarkStart w:id="51886" w:name="_ETM_Q98_642680"/>
      <w:bookmarkEnd w:id="51886"/>
      <w:r>
        <w:rPr>
          <w:rFonts w:hint="cs"/>
          <w:rtl/>
        </w:rPr>
        <w:t xml:space="preserve">בארץ </w:t>
      </w:r>
      <w:bookmarkStart w:id="51887" w:name="_ETM_Q98_643129"/>
      <w:bookmarkEnd w:id="51887"/>
      <w:r>
        <w:rPr>
          <w:rFonts w:hint="cs"/>
          <w:rtl/>
        </w:rPr>
        <w:t xml:space="preserve">ויעבדו </w:t>
      </w:r>
      <w:bookmarkStart w:id="51888" w:name="_ETM_Q98_645069"/>
      <w:bookmarkEnd w:id="51888"/>
      <w:r>
        <w:rPr>
          <w:rFonts w:hint="cs"/>
          <w:rtl/>
        </w:rPr>
        <w:t xml:space="preserve">במאבק </w:t>
      </w:r>
      <w:bookmarkStart w:id="51889" w:name="_ETM_Q98_645670"/>
      <w:bookmarkEnd w:id="51889"/>
      <w:r>
        <w:rPr>
          <w:rFonts w:hint="cs"/>
          <w:rtl/>
        </w:rPr>
        <w:t xml:space="preserve">במשבר </w:t>
      </w:r>
      <w:bookmarkStart w:id="51890" w:name="_ETM_Q98_646180"/>
      <w:bookmarkEnd w:id="51890"/>
      <w:r>
        <w:rPr>
          <w:rFonts w:hint="cs"/>
          <w:rtl/>
        </w:rPr>
        <w:t xml:space="preserve">האקלים, </w:t>
      </w:r>
      <w:bookmarkStart w:id="51891" w:name="_ETM_Q98_647290"/>
      <w:bookmarkEnd w:id="51891"/>
      <w:r>
        <w:rPr>
          <w:rFonts w:hint="cs"/>
          <w:rtl/>
        </w:rPr>
        <w:t xml:space="preserve">בהיערכות </w:t>
      </w:r>
      <w:bookmarkStart w:id="51892" w:name="_ETM_Q98_648280"/>
      <w:bookmarkEnd w:id="51892"/>
      <w:r>
        <w:rPr>
          <w:rFonts w:hint="cs"/>
          <w:rtl/>
        </w:rPr>
        <w:t>ל</w:t>
      </w:r>
      <w:bookmarkStart w:id="51893" w:name="_ETM_Q98_648430"/>
      <w:bookmarkEnd w:id="51893"/>
      <w:r>
        <w:rPr>
          <w:rFonts w:hint="cs"/>
          <w:rtl/>
        </w:rPr>
        <w:t xml:space="preserve">השלכות </w:t>
      </w:r>
      <w:bookmarkStart w:id="51894" w:name="_ETM_Q98_649000"/>
      <w:bookmarkEnd w:id="51894"/>
      <w:r>
        <w:rPr>
          <w:rFonts w:hint="cs"/>
          <w:rtl/>
        </w:rPr>
        <w:t xml:space="preserve">הרות </w:t>
      </w:r>
      <w:bookmarkStart w:id="51895" w:name="_ETM_Q98_649390"/>
      <w:bookmarkEnd w:id="51895"/>
      <w:r>
        <w:rPr>
          <w:rFonts w:hint="cs"/>
          <w:rtl/>
        </w:rPr>
        <w:t xml:space="preserve">האסון </w:t>
      </w:r>
      <w:bookmarkStart w:id="51896" w:name="_ETM_Q98_650930"/>
      <w:bookmarkEnd w:id="51896"/>
      <w:r>
        <w:rPr>
          <w:rFonts w:hint="cs"/>
          <w:rtl/>
        </w:rPr>
        <w:t xml:space="preserve">שמתרגשות </w:t>
      </w:r>
      <w:bookmarkStart w:id="51897" w:name="_ETM_Q98_651709"/>
      <w:bookmarkEnd w:id="51897"/>
      <w:r>
        <w:rPr>
          <w:rFonts w:hint="cs"/>
          <w:rtl/>
        </w:rPr>
        <w:t xml:space="preserve">עלינו, כבר מתרגשות עלינו. </w:t>
      </w:r>
      <w:bookmarkStart w:id="51898" w:name="_ETM_Q98_652099"/>
      <w:bookmarkStart w:id="51899" w:name="_ETM_Q98_652760"/>
      <w:bookmarkStart w:id="51900" w:name="_ETM_Q98_652849"/>
      <w:bookmarkStart w:id="51901" w:name="_ETM_Q98_653150"/>
      <w:bookmarkStart w:id="51902" w:name="_ETM_Q98_654650"/>
      <w:bookmarkEnd w:id="51898"/>
      <w:bookmarkEnd w:id="51899"/>
      <w:bookmarkEnd w:id="51900"/>
      <w:bookmarkEnd w:id="51901"/>
      <w:bookmarkEnd w:id="51902"/>
    </w:p>
    <w:p w:rsidR="00BB59CD" w:rsidRDefault="00BB59CD" w:rsidP="00BB59CD">
      <w:pPr>
        <w:rPr>
          <w:rtl/>
        </w:rPr>
      </w:pPr>
      <w:bookmarkStart w:id="51903" w:name="_ETM_Q98_653000"/>
      <w:bookmarkEnd w:id="51903"/>
    </w:p>
    <w:p w:rsidR="00BB59CD" w:rsidRDefault="00BB59CD" w:rsidP="00BB59CD">
      <w:pPr>
        <w:rPr>
          <w:rtl/>
        </w:rPr>
      </w:pPr>
      <w:r>
        <w:rPr>
          <w:rFonts w:hint="cs"/>
          <w:rtl/>
        </w:rPr>
        <w:t xml:space="preserve">אני </w:t>
      </w:r>
      <w:bookmarkStart w:id="51904" w:name="_ETM_Q98_654860"/>
      <w:bookmarkEnd w:id="51904"/>
      <w:r>
        <w:rPr>
          <w:rFonts w:hint="cs"/>
          <w:rtl/>
        </w:rPr>
        <w:t xml:space="preserve">לא </w:t>
      </w:r>
      <w:bookmarkStart w:id="51905" w:name="_ETM_Q98_655070"/>
      <w:bookmarkEnd w:id="51905"/>
      <w:r>
        <w:rPr>
          <w:rFonts w:hint="cs"/>
          <w:rtl/>
        </w:rPr>
        <w:t xml:space="preserve">מצליח </w:t>
      </w:r>
      <w:bookmarkStart w:id="51906" w:name="_ETM_Q98_655550"/>
      <w:bookmarkEnd w:id="51906"/>
      <w:r>
        <w:rPr>
          <w:rFonts w:hint="cs"/>
          <w:rtl/>
        </w:rPr>
        <w:t xml:space="preserve">להבין </w:t>
      </w:r>
      <w:bookmarkStart w:id="51907" w:name="_ETM_Q98_655940"/>
      <w:bookmarkEnd w:id="51907"/>
      <w:r>
        <w:rPr>
          <w:rFonts w:hint="cs"/>
          <w:rtl/>
        </w:rPr>
        <w:t xml:space="preserve">את </w:t>
      </w:r>
      <w:bookmarkStart w:id="51908" w:name="_ETM_Q98_656060"/>
      <w:bookmarkEnd w:id="51908"/>
      <w:r>
        <w:rPr>
          <w:rFonts w:hint="cs"/>
          <w:rtl/>
        </w:rPr>
        <w:t xml:space="preserve">זה. </w:t>
      </w:r>
      <w:bookmarkStart w:id="51909" w:name="_ETM_Q98_656800"/>
      <w:bookmarkEnd w:id="51909"/>
      <w:r>
        <w:rPr>
          <w:rFonts w:hint="cs"/>
          <w:rtl/>
        </w:rPr>
        <w:t xml:space="preserve">אני </w:t>
      </w:r>
      <w:bookmarkStart w:id="51910" w:name="_ETM_Q98_656950"/>
      <w:bookmarkEnd w:id="51910"/>
      <w:r>
        <w:rPr>
          <w:rFonts w:hint="cs"/>
          <w:rtl/>
        </w:rPr>
        <w:t xml:space="preserve">באמת </w:t>
      </w:r>
      <w:bookmarkStart w:id="51911" w:name="_ETM_Q98_657280"/>
      <w:bookmarkEnd w:id="51911"/>
      <w:r>
        <w:rPr>
          <w:rFonts w:hint="cs"/>
          <w:rtl/>
        </w:rPr>
        <w:t xml:space="preserve">לא </w:t>
      </w:r>
      <w:bookmarkStart w:id="51912" w:name="_ETM_Q98_657400"/>
      <w:bookmarkEnd w:id="51912"/>
      <w:r>
        <w:rPr>
          <w:rFonts w:hint="cs"/>
          <w:rtl/>
        </w:rPr>
        <w:t xml:space="preserve">מצליח </w:t>
      </w:r>
      <w:bookmarkStart w:id="51913" w:name="_ETM_Q98_657760"/>
      <w:bookmarkEnd w:id="51913"/>
      <w:r>
        <w:rPr>
          <w:rFonts w:hint="cs"/>
          <w:rtl/>
        </w:rPr>
        <w:t xml:space="preserve">להבין </w:t>
      </w:r>
      <w:bookmarkStart w:id="51914" w:name="_ETM_Q98_658150"/>
      <w:bookmarkEnd w:id="51914"/>
      <w:r>
        <w:rPr>
          <w:rFonts w:hint="cs"/>
          <w:rtl/>
        </w:rPr>
        <w:t xml:space="preserve">את </w:t>
      </w:r>
      <w:bookmarkStart w:id="51915" w:name="_ETM_Q98_658240"/>
      <w:bookmarkEnd w:id="51915"/>
      <w:r>
        <w:rPr>
          <w:rFonts w:hint="cs"/>
          <w:rtl/>
        </w:rPr>
        <w:t xml:space="preserve">זה. </w:t>
      </w:r>
      <w:bookmarkStart w:id="51916" w:name="_ETM_Q98_658600"/>
      <w:bookmarkEnd w:id="51916"/>
      <w:r>
        <w:rPr>
          <w:rFonts w:hint="cs"/>
          <w:rtl/>
        </w:rPr>
        <w:t xml:space="preserve">באמת. </w:t>
      </w:r>
      <w:bookmarkStart w:id="51917" w:name="_ETM_Q98_660000"/>
      <w:bookmarkEnd w:id="51917"/>
      <w:r>
        <w:rPr>
          <w:rFonts w:hint="cs"/>
          <w:rtl/>
        </w:rPr>
        <w:t xml:space="preserve">והכי </w:t>
      </w:r>
      <w:bookmarkStart w:id="51918" w:name="_ETM_Q98_660600"/>
      <w:bookmarkEnd w:id="51918"/>
      <w:r>
        <w:rPr>
          <w:rFonts w:hint="cs"/>
          <w:rtl/>
        </w:rPr>
        <w:t xml:space="preserve">חמור </w:t>
      </w:r>
      <w:bookmarkStart w:id="51919" w:name="_ETM_Q98_661500"/>
      <w:bookmarkEnd w:id="51919"/>
      <w:r>
        <w:rPr>
          <w:rFonts w:hint="cs"/>
          <w:rtl/>
        </w:rPr>
        <w:t xml:space="preserve">זה </w:t>
      </w:r>
      <w:bookmarkStart w:id="51920" w:name="_ETM_Q98_661680"/>
      <w:bookmarkEnd w:id="51920"/>
      <w:r>
        <w:rPr>
          <w:rFonts w:hint="cs"/>
          <w:rtl/>
        </w:rPr>
        <w:t xml:space="preserve">שההתנהלות </w:t>
      </w:r>
      <w:bookmarkStart w:id="51921" w:name="_ETM_Q98_663010"/>
      <w:bookmarkEnd w:id="51921"/>
      <w:r>
        <w:rPr>
          <w:rFonts w:hint="cs"/>
          <w:rtl/>
        </w:rPr>
        <w:t xml:space="preserve">הזאת </w:t>
      </w:r>
      <w:bookmarkStart w:id="51922" w:name="_ETM_Q98_663190"/>
      <w:bookmarkEnd w:id="51922"/>
      <w:r>
        <w:rPr>
          <w:rFonts w:hint="cs"/>
          <w:rtl/>
        </w:rPr>
        <w:t xml:space="preserve">גוזרת </w:t>
      </w:r>
      <w:bookmarkStart w:id="51923" w:name="_ETM_Q98_664000"/>
      <w:bookmarkEnd w:id="51923"/>
      <w:r>
        <w:rPr>
          <w:rFonts w:hint="cs"/>
          <w:rtl/>
        </w:rPr>
        <w:t xml:space="preserve">עלינו, </w:t>
      </w:r>
      <w:bookmarkStart w:id="51924" w:name="_ETM_Q98_665000"/>
      <w:bookmarkEnd w:id="51924"/>
      <w:r>
        <w:rPr>
          <w:rFonts w:hint="cs"/>
          <w:rtl/>
        </w:rPr>
        <w:t xml:space="preserve">על </w:t>
      </w:r>
      <w:bookmarkStart w:id="51925" w:name="_ETM_Q98_665120"/>
      <w:bookmarkEnd w:id="51925"/>
      <w:r>
        <w:rPr>
          <w:rFonts w:hint="cs"/>
          <w:rtl/>
        </w:rPr>
        <w:t xml:space="preserve">בני </w:t>
      </w:r>
      <w:bookmarkStart w:id="51926" w:name="_ETM_Q98_665360"/>
      <w:bookmarkEnd w:id="51926"/>
      <w:r>
        <w:rPr>
          <w:rFonts w:hint="cs"/>
          <w:rtl/>
        </w:rPr>
        <w:t xml:space="preserve">הדור </w:t>
      </w:r>
      <w:bookmarkStart w:id="51927" w:name="_ETM_Q98_665659"/>
      <w:bookmarkEnd w:id="51927"/>
      <w:r>
        <w:rPr>
          <w:rFonts w:hint="cs"/>
          <w:rtl/>
        </w:rPr>
        <w:t xml:space="preserve">שלי, </w:t>
      </w:r>
      <w:bookmarkStart w:id="51928" w:name="_ETM_Q98_666110"/>
      <w:bookmarkEnd w:id="51928"/>
      <w:r>
        <w:rPr>
          <w:rFonts w:hint="cs"/>
          <w:rtl/>
        </w:rPr>
        <w:t>עלינו</w:t>
      </w:r>
      <w:bookmarkStart w:id="51929" w:name="_ETM_Q98_666500"/>
      <w:bookmarkEnd w:id="51929"/>
      <w:r>
        <w:rPr>
          <w:rFonts w:hint="cs"/>
          <w:rtl/>
        </w:rPr>
        <w:t xml:space="preserve">, על </w:t>
      </w:r>
      <w:bookmarkStart w:id="51930" w:name="_ETM_Q98_666590"/>
      <w:bookmarkEnd w:id="51930"/>
      <w:r>
        <w:rPr>
          <w:rFonts w:hint="cs"/>
          <w:rtl/>
        </w:rPr>
        <w:t xml:space="preserve">כל </w:t>
      </w:r>
      <w:bookmarkStart w:id="51931" w:name="_ETM_Q98_666769"/>
      <w:bookmarkEnd w:id="51931"/>
      <w:r>
        <w:rPr>
          <w:rFonts w:hint="cs"/>
          <w:rtl/>
        </w:rPr>
        <w:t xml:space="preserve">מי </w:t>
      </w:r>
      <w:bookmarkStart w:id="51932" w:name="_ETM_Q98_666860"/>
      <w:bookmarkEnd w:id="51932"/>
      <w:r>
        <w:rPr>
          <w:rFonts w:hint="cs"/>
          <w:rtl/>
        </w:rPr>
        <w:t xml:space="preserve">שחי </w:t>
      </w:r>
      <w:bookmarkStart w:id="51933" w:name="_ETM_Q98_667190"/>
      <w:bookmarkEnd w:id="51933"/>
      <w:r>
        <w:rPr>
          <w:rFonts w:hint="cs"/>
          <w:rtl/>
        </w:rPr>
        <w:t xml:space="preserve">כאן, </w:t>
      </w:r>
      <w:bookmarkStart w:id="51934" w:name="_ETM_Q98_668159"/>
      <w:bookmarkEnd w:id="51934"/>
      <w:r>
        <w:rPr>
          <w:rFonts w:hint="cs"/>
          <w:rtl/>
        </w:rPr>
        <w:t xml:space="preserve">מציאות </w:t>
      </w:r>
      <w:bookmarkStart w:id="51935" w:name="_ETM_Q98_668790"/>
      <w:bookmarkEnd w:id="51935"/>
      <w:r>
        <w:rPr>
          <w:rFonts w:hint="cs"/>
          <w:rtl/>
        </w:rPr>
        <w:t xml:space="preserve">בלתי </w:t>
      </w:r>
      <w:bookmarkStart w:id="51936" w:name="_ETM_Q98_669120"/>
      <w:bookmarkEnd w:id="51936"/>
      <w:r>
        <w:rPr>
          <w:rFonts w:hint="cs"/>
          <w:rtl/>
        </w:rPr>
        <w:t xml:space="preserve">נסבלת, </w:t>
      </w:r>
      <w:bookmarkStart w:id="51937" w:name="_ETM_Q98_670140"/>
      <w:bookmarkEnd w:id="51937"/>
      <w:r>
        <w:rPr>
          <w:rFonts w:hint="cs"/>
          <w:rtl/>
        </w:rPr>
        <w:t xml:space="preserve">אבל </w:t>
      </w:r>
      <w:bookmarkStart w:id="51938" w:name="_ETM_Q98_671000"/>
      <w:bookmarkEnd w:id="51938"/>
      <w:r>
        <w:rPr>
          <w:rFonts w:hint="cs"/>
          <w:rtl/>
        </w:rPr>
        <w:t xml:space="preserve">על </w:t>
      </w:r>
      <w:bookmarkStart w:id="51939" w:name="_ETM_Q98_670530"/>
      <w:bookmarkEnd w:id="51939"/>
      <w:r>
        <w:rPr>
          <w:rFonts w:hint="cs"/>
          <w:rtl/>
        </w:rPr>
        <w:t xml:space="preserve">בני </w:t>
      </w:r>
      <w:bookmarkStart w:id="51940" w:name="_ETM_Q98_670799"/>
      <w:bookmarkEnd w:id="51940"/>
      <w:r>
        <w:rPr>
          <w:rFonts w:hint="cs"/>
          <w:rtl/>
        </w:rPr>
        <w:t xml:space="preserve">הדורות </w:t>
      </w:r>
      <w:bookmarkStart w:id="51941" w:name="_ETM_Q98_671189"/>
      <w:bookmarkEnd w:id="51941"/>
      <w:r>
        <w:rPr>
          <w:rFonts w:hint="cs"/>
          <w:rtl/>
        </w:rPr>
        <w:t xml:space="preserve">הבאים </w:t>
      </w:r>
      <w:bookmarkStart w:id="51942" w:name="_ETM_Q98_671640"/>
      <w:bookmarkEnd w:id="51942"/>
      <w:r>
        <w:rPr>
          <w:rFonts w:hint="cs"/>
          <w:rtl/>
        </w:rPr>
        <w:t xml:space="preserve">היא </w:t>
      </w:r>
      <w:bookmarkStart w:id="51943" w:name="_ETM_Q98_671730"/>
      <w:bookmarkEnd w:id="51943"/>
      <w:r>
        <w:rPr>
          <w:rFonts w:hint="cs"/>
          <w:rtl/>
        </w:rPr>
        <w:t xml:space="preserve">גוזרת </w:t>
      </w:r>
      <w:bookmarkStart w:id="51944" w:name="_ETM_Q98_672120"/>
      <w:bookmarkEnd w:id="51944"/>
      <w:r>
        <w:rPr>
          <w:rFonts w:hint="cs"/>
          <w:rtl/>
        </w:rPr>
        <w:t xml:space="preserve">מציאות </w:t>
      </w:r>
      <w:bookmarkStart w:id="51945" w:name="_ETM_Q98_672480"/>
      <w:bookmarkEnd w:id="51945"/>
      <w:r>
        <w:rPr>
          <w:rFonts w:hint="cs"/>
          <w:rtl/>
        </w:rPr>
        <w:t xml:space="preserve">בלתי </w:t>
      </w:r>
      <w:bookmarkStart w:id="51946" w:name="_ETM_Q98_672810"/>
      <w:bookmarkEnd w:id="51946"/>
      <w:r>
        <w:rPr>
          <w:rFonts w:hint="cs"/>
          <w:rtl/>
        </w:rPr>
        <w:t xml:space="preserve">קיימת. </w:t>
      </w:r>
      <w:bookmarkStart w:id="51947" w:name="_ETM_Q98_674010"/>
      <w:bookmarkEnd w:id="51947"/>
      <w:r>
        <w:rPr>
          <w:rFonts w:hint="cs"/>
          <w:rtl/>
        </w:rPr>
        <w:t xml:space="preserve">בלתי </w:t>
      </w:r>
      <w:bookmarkStart w:id="51948" w:name="_ETM_Q98_674489"/>
      <w:bookmarkEnd w:id="51948"/>
      <w:r>
        <w:rPr>
          <w:rFonts w:hint="cs"/>
          <w:rtl/>
        </w:rPr>
        <w:t xml:space="preserve">קיימת. </w:t>
      </w:r>
      <w:bookmarkStart w:id="51949" w:name="_ETM_Q98_675849"/>
      <w:bookmarkEnd w:id="51949"/>
      <w:r>
        <w:rPr>
          <w:rFonts w:hint="cs"/>
          <w:rtl/>
        </w:rPr>
        <w:t xml:space="preserve">באמת, </w:t>
      </w:r>
      <w:bookmarkStart w:id="51950" w:name="_ETM_Q98_676480"/>
      <w:bookmarkEnd w:id="51950"/>
      <w:r>
        <w:rPr>
          <w:rFonts w:hint="cs"/>
          <w:rtl/>
        </w:rPr>
        <w:t xml:space="preserve">האדישות </w:t>
      </w:r>
      <w:bookmarkStart w:id="51951" w:name="_ETM_Q98_677290"/>
      <w:bookmarkEnd w:id="51951"/>
      <w:r>
        <w:rPr>
          <w:rFonts w:hint="cs"/>
          <w:rtl/>
        </w:rPr>
        <w:t xml:space="preserve">הזאת </w:t>
      </w:r>
      <w:bookmarkStart w:id="51952" w:name="_ETM_Q98_677680"/>
      <w:bookmarkEnd w:id="51952"/>
      <w:r>
        <w:rPr>
          <w:rFonts w:hint="cs"/>
          <w:rtl/>
        </w:rPr>
        <w:t xml:space="preserve">למשבר </w:t>
      </w:r>
      <w:bookmarkStart w:id="51953" w:name="_ETM_Q98_678219"/>
      <w:bookmarkEnd w:id="51953"/>
      <w:r>
        <w:rPr>
          <w:rFonts w:hint="cs"/>
          <w:rtl/>
        </w:rPr>
        <w:t xml:space="preserve">הזה, </w:t>
      </w:r>
      <w:bookmarkStart w:id="51954" w:name="_ETM_Q98_678430"/>
      <w:bookmarkEnd w:id="51954"/>
      <w:r>
        <w:rPr>
          <w:rFonts w:hint="cs"/>
          <w:rtl/>
        </w:rPr>
        <w:t xml:space="preserve">שהוא </w:t>
      </w:r>
      <w:bookmarkStart w:id="51955" w:name="_ETM_Q98_678609"/>
      <w:bookmarkEnd w:id="51955"/>
      <w:r>
        <w:rPr>
          <w:rFonts w:hint="cs"/>
          <w:rtl/>
        </w:rPr>
        <w:t xml:space="preserve">כל </w:t>
      </w:r>
      <w:bookmarkStart w:id="51956" w:name="_ETM_Q98_678760"/>
      <w:bookmarkEnd w:id="51956"/>
      <w:r>
        <w:rPr>
          <w:rFonts w:hint="cs"/>
          <w:rtl/>
        </w:rPr>
        <w:t xml:space="preserve">כך </w:t>
      </w:r>
      <w:bookmarkStart w:id="51957" w:name="_ETM_Q98_678969"/>
      <w:bookmarkEnd w:id="51957"/>
      <w:r>
        <w:rPr>
          <w:rFonts w:hint="cs"/>
          <w:rtl/>
        </w:rPr>
        <w:t xml:space="preserve">דרמטי </w:t>
      </w:r>
      <w:bookmarkStart w:id="51958" w:name="_ETM_Q98_679569"/>
      <w:bookmarkEnd w:id="51958"/>
      <w:r>
        <w:rPr>
          <w:rFonts w:hint="cs"/>
          <w:rtl/>
        </w:rPr>
        <w:t>ל</w:t>
      </w:r>
      <w:bookmarkStart w:id="51959" w:name="_ETM_Q98_679659"/>
      <w:bookmarkEnd w:id="51959"/>
      <w:r>
        <w:rPr>
          <w:rFonts w:hint="cs"/>
          <w:rtl/>
        </w:rPr>
        <w:t xml:space="preserve">חיים </w:t>
      </w:r>
      <w:bookmarkStart w:id="51960" w:name="_ETM_Q98_679959"/>
      <w:bookmarkEnd w:id="51960"/>
      <w:r>
        <w:rPr>
          <w:rFonts w:hint="cs"/>
          <w:rtl/>
        </w:rPr>
        <w:t xml:space="preserve">שלנו </w:t>
      </w:r>
      <w:bookmarkStart w:id="51961" w:name="_ETM_Q98_680349"/>
      <w:bookmarkEnd w:id="51961"/>
      <w:r>
        <w:rPr>
          <w:rFonts w:hint="cs"/>
          <w:rtl/>
        </w:rPr>
        <w:t xml:space="preserve">כאן, </w:t>
      </w:r>
      <w:bookmarkStart w:id="51962" w:name="_ETM_Q98_681569"/>
      <w:bookmarkEnd w:id="51962"/>
      <w:r>
        <w:rPr>
          <w:rFonts w:hint="cs"/>
          <w:rtl/>
        </w:rPr>
        <w:t xml:space="preserve">היא </w:t>
      </w:r>
      <w:bookmarkStart w:id="51963" w:name="_ETM_Q98_681720"/>
      <w:bookmarkEnd w:id="51963"/>
      <w:r>
        <w:rPr>
          <w:rFonts w:hint="cs"/>
          <w:rtl/>
        </w:rPr>
        <w:t xml:space="preserve">בלתי </w:t>
      </w:r>
      <w:bookmarkStart w:id="51964" w:name="_ETM_Q98_682019"/>
      <w:bookmarkEnd w:id="51964"/>
      <w:r>
        <w:rPr>
          <w:rFonts w:hint="cs"/>
          <w:rtl/>
        </w:rPr>
        <w:t xml:space="preserve">מתקבלת </w:t>
      </w:r>
      <w:bookmarkStart w:id="51965" w:name="_ETM_Q98_682500"/>
      <w:bookmarkEnd w:id="51965"/>
      <w:r>
        <w:rPr>
          <w:rFonts w:hint="cs"/>
          <w:rtl/>
        </w:rPr>
        <w:t xml:space="preserve">על </w:t>
      </w:r>
      <w:bookmarkStart w:id="51966" w:name="_ETM_Q98_682620"/>
      <w:bookmarkEnd w:id="51966"/>
      <w:r>
        <w:rPr>
          <w:rFonts w:hint="cs"/>
          <w:rtl/>
        </w:rPr>
        <w:t xml:space="preserve">הדעת, </w:t>
      </w:r>
      <w:bookmarkStart w:id="51967" w:name="_ETM_Q98_682980"/>
      <w:bookmarkEnd w:id="51967"/>
      <w:r>
        <w:rPr>
          <w:rFonts w:hint="cs"/>
          <w:rtl/>
        </w:rPr>
        <w:t xml:space="preserve">היא </w:t>
      </w:r>
      <w:bookmarkStart w:id="51968" w:name="_ETM_Q98_683099"/>
      <w:bookmarkEnd w:id="51968"/>
      <w:r>
        <w:rPr>
          <w:rFonts w:hint="cs"/>
          <w:rtl/>
        </w:rPr>
        <w:t xml:space="preserve">בלתי </w:t>
      </w:r>
      <w:bookmarkStart w:id="51969" w:name="_ETM_Q98_683370"/>
      <w:bookmarkEnd w:id="51969"/>
      <w:r>
        <w:rPr>
          <w:rFonts w:hint="cs"/>
          <w:rtl/>
        </w:rPr>
        <w:t>נסבלת</w:t>
      </w:r>
      <w:bookmarkStart w:id="51970" w:name="_ETM_Q98_683879"/>
      <w:bookmarkEnd w:id="51970"/>
      <w:r>
        <w:rPr>
          <w:rFonts w:hint="cs"/>
          <w:rtl/>
        </w:rPr>
        <w:t xml:space="preserve"> והיא </w:t>
      </w:r>
      <w:bookmarkStart w:id="51971" w:name="_ETM_Q98_684060"/>
      <w:bookmarkEnd w:id="51971"/>
      <w:r>
        <w:rPr>
          <w:rFonts w:hint="cs"/>
          <w:rtl/>
        </w:rPr>
        <w:t xml:space="preserve">בלתי </w:t>
      </w:r>
      <w:bookmarkStart w:id="51972" w:name="_ETM_Q98_684390"/>
      <w:bookmarkEnd w:id="51972"/>
      <w:r>
        <w:rPr>
          <w:rFonts w:hint="cs"/>
          <w:rtl/>
        </w:rPr>
        <w:t xml:space="preserve">נסלחת. </w:t>
      </w:r>
      <w:bookmarkStart w:id="51973" w:name="_ETM_Q98_685920"/>
      <w:bookmarkEnd w:id="51973"/>
      <w:r>
        <w:rPr>
          <w:rFonts w:hint="cs"/>
          <w:rtl/>
        </w:rPr>
        <w:t xml:space="preserve">ואני </w:t>
      </w:r>
      <w:bookmarkStart w:id="51974" w:name="_ETM_Q98_687480"/>
      <w:bookmarkEnd w:id="51974"/>
      <w:r>
        <w:rPr>
          <w:rFonts w:hint="cs"/>
          <w:rtl/>
        </w:rPr>
        <w:t xml:space="preserve">באמת </w:t>
      </w:r>
      <w:bookmarkStart w:id="51975" w:name="_ETM_Q98_687780"/>
      <w:bookmarkEnd w:id="51975"/>
      <w:r>
        <w:rPr>
          <w:rFonts w:hint="cs"/>
          <w:rtl/>
        </w:rPr>
        <w:t xml:space="preserve">לא </w:t>
      </w:r>
      <w:bookmarkStart w:id="51976" w:name="_ETM_Q98_687900"/>
      <w:bookmarkEnd w:id="51976"/>
      <w:r>
        <w:rPr>
          <w:rFonts w:hint="cs"/>
          <w:rtl/>
        </w:rPr>
        <w:t xml:space="preserve">מצליח </w:t>
      </w:r>
      <w:bookmarkStart w:id="51977" w:name="_ETM_Q98_688230"/>
      <w:bookmarkEnd w:id="51977"/>
      <w:r>
        <w:rPr>
          <w:rFonts w:hint="cs"/>
          <w:rtl/>
        </w:rPr>
        <w:t xml:space="preserve">להבין </w:t>
      </w:r>
      <w:bookmarkStart w:id="51978" w:name="_ETM_Q98_688680"/>
      <w:bookmarkEnd w:id="51978"/>
      <w:r>
        <w:rPr>
          <w:rFonts w:hint="cs"/>
          <w:rtl/>
        </w:rPr>
        <w:t xml:space="preserve">את </w:t>
      </w:r>
      <w:bookmarkStart w:id="51979" w:name="_ETM_Q98_688769"/>
      <w:bookmarkStart w:id="51980" w:name="_ETM_Q98_689190"/>
      <w:bookmarkStart w:id="51981" w:name="_ETM_Q98_689310"/>
      <w:bookmarkEnd w:id="51979"/>
      <w:bookmarkEnd w:id="51980"/>
      <w:bookmarkEnd w:id="51981"/>
      <w:r>
        <w:rPr>
          <w:rFonts w:hint="cs"/>
          <w:rtl/>
        </w:rPr>
        <w:t xml:space="preserve">פשר </w:t>
      </w:r>
      <w:bookmarkStart w:id="51982" w:name="_ETM_Q98_689700"/>
      <w:bookmarkEnd w:id="51982"/>
      <w:r>
        <w:rPr>
          <w:rFonts w:hint="cs"/>
          <w:rtl/>
        </w:rPr>
        <w:t xml:space="preserve">האירוע </w:t>
      </w:r>
      <w:bookmarkStart w:id="51983" w:name="_ETM_Q98_690150"/>
      <w:bookmarkEnd w:id="51983"/>
      <w:r>
        <w:rPr>
          <w:rFonts w:hint="cs"/>
          <w:rtl/>
        </w:rPr>
        <w:t>הזה.</w:t>
      </w:r>
    </w:p>
    <w:p w:rsidR="00BB59CD" w:rsidRDefault="00BB59CD" w:rsidP="00BB59CD">
      <w:pPr>
        <w:rPr>
          <w:rtl/>
        </w:rPr>
      </w:pPr>
    </w:p>
    <w:p w:rsidR="00BB59CD" w:rsidRDefault="00BB59CD" w:rsidP="00BB59CD">
      <w:pPr>
        <w:rPr>
          <w:rtl/>
        </w:rPr>
      </w:pPr>
      <w:bookmarkStart w:id="51984" w:name="_ETM_Q98_688000"/>
      <w:bookmarkStart w:id="51985" w:name="_ETM_Q98_690850"/>
      <w:bookmarkEnd w:id="51984"/>
      <w:bookmarkEnd w:id="51985"/>
      <w:r>
        <w:rPr>
          <w:rFonts w:hint="cs"/>
          <w:rtl/>
        </w:rPr>
        <w:t xml:space="preserve">בזמן </w:t>
      </w:r>
      <w:bookmarkStart w:id="51986" w:name="_ETM_Q98_691270"/>
      <w:bookmarkEnd w:id="51986"/>
      <w:r>
        <w:rPr>
          <w:rFonts w:hint="cs"/>
          <w:rtl/>
        </w:rPr>
        <w:t xml:space="preserve">שנותר </w:t>
      </w:r>
      <w:bookmarkStart w:id="51987" w:name="_ETM_Q98_691810"/>
      <w:bookmarkEnd w:id="51987"/>
      <w:r>
        <w:rPr>
          <w:rFonts w:hint="cs"/>
          <w:rtl/>
        </w:rPr>
        <w:t xml:space="preserve">לי, </w:t>
      </w:r>
      <w:bookmarkStart w:id="51988" w:name="_ETM_Q98_692510"/>
      <w:bookmarkEnd w:id="51988"/>
      <w:r>
        <w:rPr>
          <w:rFonts w:hint="cs"/>
          <w:rtl/>
        </w:rPr>
        <w:t xml:space="preserve">חבריי </w:t>
      </w:r>
      <w:bookmarkStart w:id="51989" w:name="_ETM_Q98_692989"/>
      <w:bookmarkEnd w:id="51989"/>
      <w:r>
        <w:rPr>
          <w:rFonts w:hint="cs"/>
          <w:rtl/>
        </w:rPr>
        <w:t xml:space="preserve">חברי </w:t>
      </w:r>
      <w:bookmarkStart w:id="51990" w:name="_ETM_Q98_693349"/>
      <w:bookmarkEnd w:id="51990"/>
      <w:r>
        <w:rPr>
          <w:rFonts w:hint="cs"/>
          <w:rtl/>
        </w:rPr>
        <w:t xml:space="preserve">הכנסת </w:t>
      </w:r>
      <w:r>
        <w:t>–</w:t>
      </w:r>
      <w:r>
        <w:rPr>
          <w:rtl/>
        </w:rPr>
        <w:t xml:space="preserve"> </w:t>
      </w:r>
      <w:bookmarkStart w:id="51991" w:name="_ETM_Q98_694660"/>
      <w:bookmarkEnd w:id="51991"/>
      <w:r>
        <w:rPr>
          <w:rFonts w:hint="cs"/>
          <w:rtl/>
        </w:rPr>
        <w:t xml:space="preserve">כרגע </w:t>
      </w:r>
      <w:bookmarkStart w:id="51992" w:name="_ETM_Q98_694990"/>
      <w:bookmarkEnd w:id="51992"/>
      <w:r>
        <w:rPr>
          <w:rFonts w:hint="cs"/>
          <w:rtl/>
        </w:rPr>
        <w:t xml:space="preserve">יש </w:t>
      </w:r>
      <w:bookmarkStart w:id="51993" w:name="_ETM_Q98_695140"/>
      <w:bookmarkEnd w:id="51993"/>
      <w:r>
        <w:rPr>
          <w:rFonts w:hint="cs"/>
          <w:rtl/>
        </w:rPr>
        <w:t xml:space="preserve">פה </w:t>
      </w:r>
      <w:bookmarkStart w:id="51994" w:name="_ETM_Q98_695290"/>
      <w:bookmarkEnd w:id="51994"/>
      <w:r>
        <w:rPr>
          <w:rFonts w:hint="cs"/>
          <w:rtl/>
        </w:rPr>
        <w:t xml:space="preserve">רק </w:t>
      </w:r>
      <w:bookmarkStart w:id="51995" w:name="_ETM_Q98_695590"/>
      <w:bookmarkEnd w:id="51995"/>
      <w:r>
        <w:rPr>
          <w:rFonts w:hint="cs"/>
          <w:rtl/>
        </w:rPr>
        <w:t xml:space="preserve">חבר </w:t>
      </w:r>
      <w:bookmarkStart w:id="51996" w:name="_ETM_Q98_695920"/>
      <w:bookmarkEnd w:id="51996"/>
      <w:r>
        <w:rPr>
          <w:rFonts w:hint="cs"/>
          <w:rtl/>
        </w:rPr>
        <w:t>כנסת</w:t>
      </w:r>
      <w:bookmarkStart w:id="51997" w:name="_ETM_Q98_696280"/>
      <w:bookmarkEnd w:id="51997"/>
      <w:r>
        <w:rPr>
          <w:rFonts w:hint="cs"/>
          <w:rtl/>
        </w:rPr>
        <w:t xml:space="preserve"> אחד, שניים, </w:t>
      </w:r>
      <w:bookmarkStart w:id="51998" w:name="_ETM_Q98_697999"/>
      <w:bookmarkEnd w:id="51998"/>
      <w:r>
        <w:rPr>
          <w:rFonts w:hint="cs"/>
          <w:rtl/>
        </w:rPr>
        <w:t xml:space="preserve">והם </w:t>
      </w:r>
      <w:bookmarkStart w:id="51999" w:name="_ETM_Q98_698329"/>
      <w:bookmarkEnd w:id="51999"/>
      <w:r>
        <w:rPr>
          <w:rFonts w:hint="cs"/>
          <w:rtl/>
        </w:rPr>
        <w:t xml:space="preserve">נמצאים </w:t>
      </w:r>
      <w:bookmarkStart w:id="52000" w:name="_ETM_Q98_698629"/>
      <w:bookmarkEnd w:id="52000"/>
      <w:r>
        <w:rPr>
          <w:rFonts w:hint="cs"/>
          <w:rtl/>
        </w:rPr>
        <w:t xml:space="preserve">פה </w:t>
      </w:r>
      <w:bookmarkStart w:id="52001" w:name="_ETM_Q98_698779"/>
      <w:bookmarkEnd w:id="52001"/>
      <w:r>
        <w:rPr>
          <w:rFonts w:hint="cs"/>
          <w:rtl/>
        </w:rPr>
        <w:t xml:space="preserve">על </w:t>
      </w:r>
      <w:bookmarkStart w:id="52002" w:name="_ETM_Q98_698870"/>
      <w:bookmarkEnd w:id="52002"/>
      <w:r>
        <w:rPr>
          <w:rFonts w:hint="cs"/>
          <w:rtl/>
        </w:rPr>
        <w:t xml:space="preserve">הדוכן </w:t>
      </w:r>
      <w:bookmarkStart w:id="52003" w:name="_ETM_Q98_699290"/>
      <w:bookmarkEnd w:id="52003"/>
      <w:r>
        <w:rPr>
          <w:rFonts w:hint="cs"/>
          <w:rtl/>
        </w:rPr>
        <w:t xml:space="preserve">הזה </w:t>
      </w:r>
      <w:bookmarkStart w:id="52004" w:name="_ETM_Q98_702895"/>
      <w:bookmarkEnd w:id="52004"/>
      <w:r>
        <w:rPr>
          <w:rFonts w:hint="cs"/>
          <w:rtl/>
        </w:rPr>
        <w:t xml:space="preserve">– </w:t>
      </w:r>
      <w:bookmarkStart w:id="52005" w:name="_ETM_Q98_700040"/>
      <w:bookmarkEnd w:id="52005"/>
      <w:r>
        <w:rPr>
          <w:rFonts w:hint="cs"/>
          <w:rtl/>
        </w:rPr>
        <w:t xml:space="preserve">אתה, </w:t>
      </w:r>
      <w:bookmarkStart w:id="52006" w:name="_ETM_Q98_700370"/>
      <w:bookmarkEnd w:id="52006"/>
      <w:r>
        <w:rPr>
          <w:rFonts w:hint="cs"/>
          <w:rtl/>
        </w:rPr>
        <w:t xml:space="preserve">אדוני </w:t>
      </w:r>
      <w:bookmarkStart w:id="52007" w:name="_ETM_Q98_700580"/>
      <w:bookmarkEnd w:id="52007"/>
      <w:r>
        <w:rPr>
          <w:rFonts w:hint="cs"/>
          <w:rtl/>
        </w:rPr>
        <w:t xml:space="preserve">היושב-ראש, </w:t>
      </w:r>
      <w:bookmarkStart w:id="52008" w:name="_ETM_Q98_701690"/>
      <w:bookmarkEnd w:id="52008"/>
      <w:r>
        <w:rPr>
          <w:rFonts w:hint="cs"/>
          <w:rtl/>
        </w:rPr>
        <w:t xml:space="preserve">ואני, </w:t>
      </w:r>
      <w:bookmarkStart w:id="52009" w:name="_ETM_Q98_702020"/>
      <w:bookmarkEnd w:id="52009"/>
      <w:r>
        <w:rPr>
          <w:rFonts w:hint="cs"/>
          <w:rtl/>
        </w:rPr>
        <w:t xml:space="preserve">וחולק </w:t>
      </w:r>
      <w:bookmarkStart w:id="52010" w:name="_ETM_Q98_702320"/>
      <w:bookmarkEnd w:id="52010"/>
      <w:r>
        <w:rPr>
          <w:rFonts w:hint="cs"/>
          <w:rtl/>
        </w:rPr>
        <w:t xml:space="preserve">איתנו </w:t>
      </w:r>
      <w:bookmarkStart w:id="52011" w:name="_ETM_Q98_702680"/>
      <w:bookmarkEnd w:id="52011"/>
      <w:r>
        <w:rPr>
          <w:rFonts w:hint="cs"/>
          <w:rtl/>
        </w:rPr>
        <w:t xml:space="preserve">את </w:t>
      </w:r>
      <w:bookmarkStart w:id="52012" w:name="_ETM_Q98_702740"/>
      <w:bookmarkEnd w:id="52012"/>
      <w:r>
        <w:rPr>
          <w:rFonts w:hint="cs"/>
          <w:rtl/>
        </w:rPr>
        <w:t xml:space="preserve">הדוכן </w:t>
      </w:r>
      <w:bookmarkStart w:id="52013" w:name="_ETM_Q98_703160"/>
      <w:bookmarkEnd w:id="52013"/>
      <w:r>
        <w:rPr>
          <w:rFonts w:hint="cs"/>
          <w:rtl/>
        </w:rPr>
        <w:t xml:space="preserve">מזכיר </w:t>
      </w:r>
      <w:bookmarkStart w:id="52014" w:name="_ETM_Q98_703430"/>
      <w:bookmarkEnd w:id="52014"/>
      <w:r>
        <w:rPr>
          <w:rFonts w:hint="cs"/>
          <w:rtl/>
        </w:rPr>
        <w:t xml:space="preserve">הכנסת </w:t>
      </w:r>
      <w:bookmarkStart w:id="52015" w:name="_ETM_Q98_703970"/>
      <w:bookmarkStart w:id="52016" w:name="_ETM_Q98_704210"/>
      <w:bookmarkEnd w:id="52015"/>
      <w:bookmarkEnd w:id="52016"/>
      <w:r>
        <w:rPr>
          <w:rFonts w:hint="cs"/>
          <w:rtl/>
        </w:rPr>
        <w:t xml:space="preserve">דן מרזוק. </w:t>
      </w:r>
      <w:bookmarkStart w:id="52017" w:name="_ETM_Q98_704450"/>
      <w:bookmarkStart w:id="52018" w:name="_ETM_Q98_706730"/>
      <w:bookmarkEnd w:id="52017"/>
      <w:bookmarkEnd w:id="52018"/>
      <w:r>
        <w:rPr>
          <w:rFonts w:hint="cs"/>
          <w:rtl/>
        </w:rPr>
        <w:t xml:space="preserve">אני </w:t>
      </w:r>
      <w:bookmarkStart w:id="52019" w:name="_ETM_Q98_706910"/>
      <w:bookmarkEnd w:id="52019"/>
      <w:r>
        <w:rPr>
          <w:rFonts w:hint="cs"/>
          <w:rtl/>
        </w:rPr>
        <w:t xml:space="preserve">רוצה </w:t>
      </w:r>
      <w:bookmarkStart w:id="52020" w:name="_ETM_Q98_707179"/>
      <w:bookmarkEnd w:id="52020"/>
      <w:r>
        <w:rPr>
          <w:rFonts w:hint="cs"/>
          <w:rtl/>
        </w:rPr>
        <w:t xml:space="preserve">להקריא </w:t>
      </w:r>
      <w:bookmarkStart w:id="52021" w:name="_ETM_Q98_707480"/>
      <w:bookmarkEnd w:id="52021"/>
      <w:r>
        <w:rPr>
          <w:rFonts w:hint="cs"/>
          <w:rtl/>
        </w:rPr>
        <w:t xml:space="preserve">בפניכם </w:t>
      </w:r>
      <w:bookmarkStart w:id="52022" w:name="_ETM_Q98_708110"/>
      <w:bookmarkEnd w:id="52022"/>
      <w:r>
        <w:rPr>
          <w:rFonts w:hint="cs"/>
          <w:rtl/>
        </w:rPr>
        <w:t xml:space="preserve">מספר </w:t>
      </w:r>
      <w:bookmarkStart w:id="52023" w:name="_ETM_Q98_708530"/>
      <w:bookmarkEnd w:id="52023"/>
      <w:r>
        <w:rPr>
          <w:rFonts w:hint="cs"/>
          <w:rtl/>
        </w:rPr>
        <w:t xml:space="preserve">נאומים </w:t>
      </w:r>
      <w:bookmarkStart w:id="52024" w:name="_ETM_Q98_708950"/>
      <w:bookmarkEnd w:id="52024"/>
      <w:r>
        <w:rPr>
          <w:rFonts w:hint="cs"/>
          <w:rtl/>
        </w:rPr>
        <w:t xml:space="preserve">שבעיניי </w:t>
      </w:r>
      <w:bookmarkStart w:id="52025" w:name="_ETM_Q98_709489"/>
      <w:bookmarkEnd w:id="52025"/>
      <w:r>
        <w:rPr>
          <w:rFonts w:hint="cs"/>
          <w:rtl/>
        </w:rPr>
        <w:t xml:space="preserve">הם מכוננים </w:t>
      </w:r>
      <w:bookmarkStart w:id="52026" w:name="_ETM_Q98_711549"/>
      <w:bookmarkEnd w:id="52026"/>
      <w:r>
        <w:rPr>
          <w:rFonts w:hint="cs"/>
          <w:rtl/>
        </w:rPr>
        <w:t xml:space="preserve">והם </w:t>
      </w:r>
      <w:bookmarkStart w:id="52027" w:name="_ETM_Q98_711819"/>
      <w:bookmarkEnd w:id="52027"/>
      <w:r>
        <w:rPr>
          <w:rFonts w:hint="cs"/>
          <w:rtl/>
        </w:rPr>
        <w:t xml:space="preserve">רלוונטיים </w:t>
      </w:r>
      <w:bookmarkStart w:id="52028" w:name="_ETM_Q98_712329"/>
      <w:bookmarkEnd w:id="52028"/>
      <w:r>
        <w:rPr>
          <w:rFonts w:hint="cs"/>
          <w:rtl/>
        </w:rPr>
        <w:t xml:space="preserve">מאוד </w:t>
      </w:r>
      <w:bookmarkStart w:id="52029" w:name="_ETM_Q98_712780"/>
      <w:bookmarkEnd w:id="52029"/>
      <w:r>
        <w:rPr>
          <w:rFonts w:hint="cs"/>
          <w:rtl/>
        </w:rPr>
        <w:t xml:space="preserve">לאירוע </w:t>
      </w:r>
      <w:bookmarkStart w:id="52030" w:name="_ETM_Q98_713530"/>
      <w:bookmarkEnd w:id="52030"/>
      <w:r>
        <w:rPr>
          <w:rFonts w:hint="cs"/>
          <w:rtl/>
        </w:rPr>
        <w:t xml:space="preserve">הזה. </w:t>
      </w:r>
      <w:bookmarkStart w:id="52031" w:name="_ETM_Q98_714400"/>
      <w:bookmarkEnd w:id="52031"/>
      <w:r>
        <w:rPr>
          <w:rFonts w:hint="cs"/>
          <w:rtl/>
        </w:rPr>
        <w:t xml:space="preserve">אני </w:t>
      </w:r>
      <w:bookmarkStart w:id="52032" w:name="_ETM_Q98_714549"/>
      <w:bookmarkEnd w:id="52032"/>
      <w:r>
        <w:rPr>
          <w:rFonts w:hint="cs"/>
          <w:rtl/>
        </w:rPr>
        <w:t xml:space="preserve">רוצה </w:t>
      </w:r>
      <w:bookmarkStart w:id="52033" w:name="_ETM_Q98_714760"/>
      <w:bookmarkEnd w:id="52033"/>
      <w:r>
        <w:rPr>
          <w:rFonts w:hint="cs"/>
          <w:rtl/>
        </w:rPr>
        <w:t xml:space="preserve">להתחיל </w:t>
      </w:r>
      <w:bookmarkStart w:id="52034" w:name="_ETM_Q98_715209"/>
      <w:bookmarkStart w:id="52035" w:name="_ETM_Q98_715840"/>
      <w:bookmarkStart w:id="52036" w:name="_ETM_Q98_716540"/>
      <w:bookmarkEnd w:id="52034"/>
      <w:bookmarkEnd w:id="52035"/>
      <w:bookmarkEnd w:id="52036"/>
      <w:r>
        <w:rPr>
          <w:rFonts w:hint="cs"/>
          <w:rtl/>
        </w:rPr>
        <w:t xml:space="preserve">בהכרזת </w:t>
      </w:r>
      <w:bookmarkStart w:id="52037" w:name="_ETM_Q98_717739"/>
      <w:bookmarkEnd w:id="52037"/>
      <w:r>
        <w:rPr>
          <w:rFonts w:hint="cs"/>
          <w:rtl/>
        </w:rPr>
        <w:t xml:space="preserve">הקמת </w:t>
      </w:r>
      <w:bookmarkStart w:id="52038" w:name="_ETM_Q98_718340"/>
      <w:bookmarkEnd w:id="52038"/>
      <w:r>
        <w:rPr>
          <w:rFonts w:hint="cs"/>
          <w:rtl/>
        </w:rPr>
        <w:t xml:space="preserve">מדינת </w:t>
      </w:r>
      <w:bookmarkStart w:id="52039" w:name="_ETM_Q98_718760"/>
      <w:bookmarkEnd w:id="52039"/>
      <w:r>
        <w:rPr>
          <w:rFonts w:hint="cs"/>
          <w:rtl/>
        </w:rPr>
        <w:t xml:space="preserve">ישראל </w:t>
      </w:r>
      <w:bookmarkStart w:id="52040" w:name="_ETM_Q98_719840"/>
      <w:bookmarkEnd w:id="52040"/>
      <w:r>
        <w:rPr>
          <w:rFonts w:hint="cs"/>
          <w:rtl/>
        </w:rPr>
        <w:t xml:space="preserve">על ידי </w:t>
      </w:r>
      <w:bookmarkStart w:id="52041" w:name="_ETM_Q98_720170"/>
      <w:bookmarkEnd w:id="52041"/>
      <w:r>
        <w:rPr>
          <w:rFonts w:hint="cs"/>
          <w:rtl/>
        </w:rPr>
        <w:t xml:space="preserve">דוד </w:t>
      </w:r>
      <w:bookmarkStart w:id="52042" w:name="_ETM_Q98_720500"/>
      <w:bookmarkEnd w:id="52042"/>
      <w:r>
        <w:rPr>
          <w:rFonts w:hint="cs"/>
          <w:rtl/>
        </w:rPr>
        <w:t>בן</w:t>
      </w:r>
      <w:bookmarkStart w:id="52043" w:name="_ETM_Q98_720650"/>
      <w:bookmarkEnd w:id="52043"/>
      <w:r>
        <w:rPr>
          <w:rFonts w:hint="cs"/>
          <w:rtl/>
        </w:rPr>
        <w:t xml:space="preserve">-גוריון, </w:t>
      </w:r>
      <w:bookmarkStart w:id="52044" w:name="_ETM_Q98_721370"/>
      <w:bookmarkEnd w:id="52044"/>
      <w:r>
        <w:rPr>
          <w:rFonts w:hint="cs"/>
          <w:rtl/>
        </w:rPr>
        <w:t xml:space="preserve">הכרזת </w:t>
      </w:r>
      <w:bookmarkStart w:id="52045" w:name="_ETM_Q98_721760"/>
      <w:bookmarkEnd w:id="52045"/>
      <w:r>
        <w:rPr>
          <w:rFonts w:hint="cs"/>
          <w:rtl/>
        </w:rPr>
        <w:t xml:space="preserve">העצמאות </w:t>
      </w:r>
      <w:bookmarkStart w:id="52046" w:name="_ETM_Q98_722269"/>
      <w:bookmarkEnd w:id="52046"/>
      <w:r>
        <w:rPr>
          <w:rFonts w:hint="cs"/>
          <w:rtl/>
        </w:rPr>
        <w:t xml:space="preserve">שלנו </w:t>
      </w:r>
      <w:bookmarkStart w:id="52047" w:name="_ETM_Q98_722900"/>
      <w:bookmarkEnd w:id="52047"/>
      <w:r>
        <w:rPr>
          <w:rFonts w:hint="cs"/>
          <w:rtl/>
        </w:rPr>
        <w:t>ב-</w:t>
      </w:r>
      <w:bookmarkStart w:id="52048" w:name="_ETM_Q98_726739"/>
      <w:bookmarkEnd w:id="52048"/>
      <w:r>
        <w:rPr>
          <w:rFonts w:hint="cs"/>
          <w:rtl/>
        </w:rPr>
        <w:t xml:space="preserve">14 במאי 48'. </w:t>
      </w:r>
      <w:bookmarkStart w:id="52049" w:name="_ETM_Q98_732277"/>
      <w:bookmarkStart w:id="52050" w:name="_ETM_Q98_732383"/>
      <w:bookmarkStart w:id="52051" w:name="_ETM_Q98_732463"/>
      <w:bookmarkStart w:id="52052" w:name="_ETM_Q98_732551"/>
      <w:bookmarkEnd w:id="52049"/>
      <w:bookmarkEnd w:id="52050"/>
      <w:bookmarkEnd w:id="52051"/>
      <w:bookmarkEnd w:id="52052"/>
      <w:r>
        <w:rPr>
          <w:rFonts w:hint="cs"/>
          <w:rtl/>
        </w:rPr>
        <w:t xml:space="preserve">וכך </w:t>
      </w:r>
      <w:bookmarkStart w:id="52053" w:name="_ETM_Q98_728239"/>
      <w:bookmarkStart w:id="52054" w:name="_ETM_Q98_729719"/>
      <w:bookmarkEnd w:id="52053"/>
      <w:bookmarkEnd w:id="52054"/>
      <w:r>
        <w:rPr>
          <w:rFonts w:hint="cs"/>
          <w:rtl/>
        </w:rPr>
        <w:t xml:space="preserve">קרא </w:t>
      </w:r>
      <w:bookmarkStart w:id="52055" w:name="_ETM_Q98_731129"/>
      <w:bookmarkEnd w:id="52055"/>
      <w:r>
        <w:rPr>
          <w:rFonts w:hint="cs"/>
          <w:rtl/>
        </w:rPr>
        <w:t xml:space="preserve">דוד </w:t>
      </w:r>
      <w:bookmarkStart w:id="52056" w:name="_ETM_Q98_731429"/>
      <w:bookmarkEnd w:id="52056"/>
      <w:r>
        <w:rPr>
          <w:rFonts w:hint="cs"/>
          <w:rtl/>
        </w:rPr>
        <w:t xml:space="preserve">בן </w:t>
      </w:r>
      <w:bookmarkStart w:id="52057" w:name="_ETM_Q98_731549"/>
      <w:bookmarkEnd w:id="52057"/>
      <w:r>
        <w:rPr>
          <w:rFonts w:hint="cs"/>
          <w:rtl/>
        </w:rPr>
        <w:t>גוריון</w:t>
      </w:r>
      <w:bookmarkStart w:id="52058" w:name="_ETM_Q98_732650"/>
      <w:bookmarkEnd w:id="52058"/>
      <w:r>
        <w:rPr>
          <w:rFonts w:hint="cs"/>
          <w:rtl/>
        </w:rPr>
        <w:t xml:space="preserve">: "בארץ </w:t>
      </w:r>
      <w:bookmarkStart w:id="52059" w:name="_ETM_Q98_733054"/>
      <w:bookmarkEnd w:id="52059"/>
      <w:r>
        <w:rPr>
          <w:rFonts w:hint="cs"/>
          <w:rtl/>
        </w:rPr>
        <w:t xml:space="preserve">ישראל </w:t>
      </w:r>
      <w:bookmarkStart w:id="52060" w:name="_ETM_Q98_733459"/>
      <w:bookmarkEnd w:id="52060"/>
      <w:r>
        <w:rPr>
          <w:rFonts w:hint="cs"/>
          <w:rtl/>
        </w:rPr>
        <w:t xml:space="preserve">קם </w:t>
      </w:r>
      <w:bookmarkStart w:id="52061" w:name="_ETM_Q98_733819"/>
      <w:bookmarkEnd w:id="52061"/>
      <w:r>
        <w:rPr>
          <w:rFonts w:hint="cs"/>
          <w:rtl/>
        </w:rPr>
        <w:t xml:space="preserve">העם </w:t>
      </w:r>
      <w:bookmarkStart w:id="52062" w:name="_ETM_Q98_733970"/>
      <w:bookmarkEnd w:id="52062"/>
      <w:r>
        <w:rPr>
          <w:rFonts w:hint="cs"/>
          <w:rtl/>
        </w:rPr>
        <w:t xml:space="preserve">היהודי, </w:t>
      </w:r>
      <w:bookmarkStart w:id="52063" w:name="_ETM_Q98_735050"/>
      <w:bookmarkEnd w:id="52063"/>
      <w:r>
        <w:rPr>
          <w:rFonts w:hint="cs"/>
          <w:rtl/>
        </w:rPr>
        <w:t xml:space="preserve">בה </w:t>
      </w:r>
      <w:bookmarkStart w:id="52064" w:name="_ETM_Q98_735290"/>
      <w:bookmarkEnd w:id="52064"/>
      <w:r>
        <w:rPr>
          <w:rFonts w:hint="cs"/>
          <w:rtl/>
        </w:rPr>
        <w:t xml:space="preserve">עוצבה </w:t>
      </w:r>
      <w:bookmarkStart w:id="52065" w:name="_ETM_Q98_735830"/>
      <w:bookmarkEnd w:id="52065"/>
      <w:r>
        <w:rPr>
          <w:rFonts w:hint="cs"/>
          <w:rtl/>
        </w:rPr>
        <w:t xml:space="preserve">דמותו </w:t>
      </w:r>
      <w:bookmarkStart w:id="52066" w:name="_ETM_Q98_736250"/>
      <w:bookmarkEnd w:id="52066"/>
      <w:r>
        <w:rPr>
          <w:rFonts w:hint="cs"/>
          <w:rtl/>
        </w:rPr>
        <w:t xml:space="preserve">הרוחנית, </w:t>
      </w:r>
      <w:bookmarkStart w:id="52067" w:name="_ETM_Q98_736880"/>
      <w:bookmarkEnd w:id="52067"/>
      <w:r>
        <w:rPr>
          <w:rFonts w:hint="cs"/>
          <w:rtl/>
        </w:rPr>
        <w:t xml:space="preserve">הדתית </w:t>
      </w:r>
      <w:bookmarkStart w:id="52068" w:name="_ETM_Q98_737270"/>
      <w:bookmarkEnd w:id="52068"/>
      <w:r>
        <w:rPr>
          <w:rFonts w:hint="cs"/>
          <w:rtl/>
        </w:rPr>
        <w:t xml:space="preserve">והמדינית, </w:t>
      </w:r>
      <w:bookmarkStart w:id="52069" w:name="_ETM_Q98_738200"/>
      <w:bookmarkEnd w:id="52069"/>
      <w:r>
        <w:rPr>
          <w:rFonts w:hint="cs"/>
          <w:rtl/>
        </w:rPr>
        <w:t xml:space="preserve">בה </w:t>
      </w:r>
      <w:bookmarkStart w:id="52070" w:name="_ETM_Q98_739160"/>
      <w:bookmarkEnd w:id="52070"/>
      <w:r>
        <w:rPr>
          <w:rFonts w:hint="cs"/>
          <w:rtl/>
        </w:rPr>
        <w:t xml:space="preserve">חי </w:t>
      </w:r>
      <w:bookmarkStart w:id="52071" w:name="_ETM_Q98_737000"/>
      <w:bookmarkEnd w:id="52071"/>
      <w:r>
        <w:rPr>
          <w:rFonts w:hint="cs"/>
          <w:rtl/>
        </w:rPr>
        <w:t xml:space="preserve">חיי </w:t>
      </w:r>
      <w:bookmarkStart w:id="52072" w:name="_ETM_Q98_739640"/>
      <w:bookmarkEnd w:id="52072"/>
      <w:r>
        <w:rPr>
          <w:rFonts w:hint="cs"/>
          <w:rtl/>
        </w:rPr>
        <w:t xml:space="preserve">קוממיות </w:t>
      </w:r>
      <w:bookmarkStart w:id="52073" w:name="_ETM_Q98_740540"/>
      <w:bookmarkEnd w:id="52073"/>
      <w:r>
        <w:rPr>
          <w:rFonts w:hint="cs"/>
          <w:rtl/>
        </w:rPr>
        <w:t xml:space="preserve">ממלכתית, </w:t>
      </w:r>
      <w:bookmarkStart w:id="52074" w:name="_ETM_Q98_741290"/>
      <w:bookmarkEnd w:id="52074"/>
      <w:r>
        <w:rPr>
          <w:rFonts w:hint="cs"/>
          <w:rtl/>
        </w:rPr>
        <w:t xml:space="preserve">בה </w:t>
      </w:r>
      <w:bookmarkStart w:id="52075" w:name="_ETM_Q98_741440"/>
      <w:bookmarkEnd w:id="52075"/>
      <w:r>
        <w:rPr>
          <w:rFonts w:hint="cs"/>
          <w:rtl/>
        </w:rPr>
        <w:t xml:space="preserve">יצר </w:t>
      </w:r>
      <w:bookmarkStart w:id="52076" w:name="_ETM_Q98_742429"/>
      <w:bookmarkEnd w:id="52076"/>
      <w:r>
        <w:rPr>
          <w:rFonts w:hint="cs"/>
          <w:rtl/>
        </w:rPr>
        <w:t xml:space="preserve">נכסי </w:t>
      </w:r>
      <w:bookmarkStart w:id="52077" w:name="_ETM_Q98_742940"/>
      <w:bookmarkEnd w:id="52077"/>
      <w:r>
        <w:rPr>
          <w:rFonts w:hint="cs"/>
          <w:rtl/>
        </w:rPr>
        <w:t xml:space="preserve">תרבות </w:t>
      </w:r>
      <w:bookmarkStart w:id="52078" w:name="_ETM_Q98_743389"/>
      <w:bookmarkEnd w:id="52078"/>
      <w:r>
        <w:rPr>
          <w:rFonts w:hint="cs"/>
          <w:rtl/>
        </w:rPr>
        <w:t xml:space="preserve">לאומיים </w:t>
      </w:r>
      <w:bookmarkStart w:id="52079" w:name="_ETM_Q98_743900"/>
      <w:bookmarkEnd w:id="52079"/>
      <w:r>
        <w:rPr>
          <w:rFonts w:hint="cs"/>
          <w:rtl/>
        </w:rPr>
        <w:t xml:space="preserve">וכלל </w:t>
      </w:r>
      <w:bookmarkStart w:id="52080" w:name="_ETM_Q98_744319"/>
      <w:bookmarkEnd w:id="52080"/>
      <w:r>
        <w:rPr>
          <w:rFonts w:hint="cs"/>
          <w:rtl/>
        </w:rPr>
        <w:t xml:space="preserve">אנושיים, </w:t>
      </w:r>
      <w:bookmarkStart w:id="52081" w:name="_ETM_Q98_745429"/>
      <w:bookmarkEnd w:id="52081"/>
      <w:r>
        <w:rPr>
          <w:rFonts w:hint="cs"/>
          <w:rtl/>
        </w:rPr>
        <w:t xml:space="preserve">והוריש </w:t>
      </w:r>
      <w:bookmarkStart w:id="52082" w:name="_ETM_Q98_745970"/>
      <w:bookmarkEnd w:id="52082"/>
      <w:r>
        <w:rPr>
          <w:rFonts w:hint="cs"/>
          <w:rtl/>
        </w:rPr>
        <w:t xml:space="preserve">לעולם </w:t>
      </w:r>
      <w:bookmarkStart w:id="52083" w:name="_ETM_Q98_747110"/>
      <w:bookmarkEnd w:id="52083"/>
      <w:r>
        <w:rPr>
          <w:rFonts w:hint="cs"/>
          <w:rtl/>
        </w:rPr>
        <w:t xml:space="preserve">את </w:t>
      </w:r>
      <w:bookmarkStart w:id="52084" w:name="_ETM_Q98_747229"/>
      <w:bookmarkEnd w:id="52084"/>
      <w:r>
        <w:rPr>
          <w:rFonts w:hint="cs"/>
          <w:rtl/>
        </w:rPr>
        <w:t xml:space="preserve">ספר </w:t>
      </w:r>
      <w:bookmarkStart w:id="52085" w:name="_ETM_Q98_747710"/>
      <w:bookmarkEnd w:id="52085"/>
      <w:r>
        <w:rPr>
          <w:rFonts w:hint="cs"/>
          <w:rtl/>
        </w:rPr>
        <w:t xml:space="preserve">הספרים </w:t>
      </w:r>
      <w:bookmarkStart w:id="52086" w:name="_ETM_Q98_748190"/>
      <w:bookmarkEnd w:id="52086"/>
      <w:r>
        <w:rPr>
          <w:rFonts w:hint="cs"/>
          <w:rtl/>
        </w:rPr>
        <w:t xml:space="preserve">הנצחי. </w:t>
      </w:r>
      <w:bookmarkStart w:id="52087" w:name="_ETM_Q98_749440"/>
      <w:bookmarkEnd w:id="52087"/>
      <w:r>
        <w:rPr>
          <w:rFonts w:hint="cs"/>
          <w:rtl/>
        </w:rPr>
        <w:t xml:space="preserve">לאחר </w:t>
      </w:r>
      <w:bookmarkStart w:id="52088" w:name="_ETM_Q98_749949"/>
      <w:bookmarkEnd w:id="52088"/>
      <w:r>
        <w:rPr>
          <w:rFonts w:hint="cs"/>
          <w:rtl/>
        </w:rPr>
        <w:t xml:space="preserve">שהוגלה </w:t>
      </w:r>
      <w:bookmarkStart w:id="52089" w:name="_ETM_Q98_750819"/>
      <w:bookmarkEnd w:id="52089"/>
      <w:r>
        <w:rPr>
          <w:rFonts w:hint="cs"/>
          <w:rtl/>
        </w:rPr>
        <w:t xml:space="preserve">העם מארצו </w:t>
      </w:r>
      <w:bookmarkStart w:id="52090" w:name="_ETM_Q98_751479"/>
      <w:bookmarkEnd w:id="52090"/>
      <w:r>
        <w:rPr>
          <w:rFonts w:hint="cs"/>
          <w:rtl/>
        </w:rPr>
        <w:t xml:space="preserve">בכוח </w:t>
      </w:r>
      <w:bookmarkStart w:id="52091" w:name="_ETM_Q98_751960"/>
      <w:bookmarkEnd w:id="52091"/>
      <w:r>
        <w:rPr>
          <w:rFonts w:hint="cs"/>
          <w:rtl/>
        </w:rPr>
        <w:t>הזרוע</w:t>
      </w:r>
      <w:bookmarkStart w:id="52092" w:name="_ETM_Q98_753030"/>
      <w:bookmarkEnd w:id="52092"/>
      <w:r>
        <w:rPr>
          <w:rFonts w:hint="cs"/>
          <w:rtl/>
        </w:rPr>
        <w:t xml:space="preserve">, שמר </w:t>
      </w:r>
      <w:bookmarkStart w:id="52093" w:name="_ETM_Q98_753510"/>
      <w:bookmarkEnd w:id="52093"/>
      <w:r>
        <w:rPr>
          <w:rFonts w:hint="cs"/>
          <w:rtl/>
        </w:rPr>
        <w:t xml:space="preserve">לה אמונים </w:t>
      </w:r>
      <w:bookmarkStart w:id="52094" w:name="_ETM_Q98_754080"/>
      <w:bookmarkEnd w:id="52094"/>
      <w:r>
        <w:rPr>
          <w:rFonts w:hint="cs"/>
          <w:rtl/>
        </w:rPr>
        <w:t xml:space="preserve">בכל </w:t>
      </w:r>
      <w:bookmarkStart w:id="52095" w:name="_ETM_Q98_754710"/>
      <w:bookmarkEnd w:id="52095"/>
      <w:r>
        <w:rPr>
          <w:rFonts w:hint="cs"/>
          <w:rtl/>
        </w:rPr>
        <w:t xml:space="preserve">ארצות </w:t>
      </w:r>
      <w:bookmarkStart w:id="52096" w:name="_ETM_Q98_755160"/>
      <w:bookmarkEnd w:id="52096"/>
      <w:r>
        <w:rPr>
          <w:rFonts w:hint="cs"/>
          <w:rtl/>
        </w:rPr>
        <w:t>פזור</w:t>
      </w:r>
      <w:bookmarkStart w:id="52097" w:name="_ETM_Q98_755910"/>
      <w:bookmarkStart w:id="52098" w:name="_ETM_Q98_756449"/>
      <w:bookmarkEnd w:id="52097"/>
      <w:bookmarkEnd w:id="52098"/>
      <w:r>
        <w:rPr>
          <w:rFonts w:hint="cs"/>
          <w:rtl/>
        </w:rPr>
        <w:t xml:space="preserve">יו, </w:t>
      </w:r>
      <w:bookmarkStart w:id="52099" w:name="_ETM_Q98_757020"/>
      <w:bookmarkEnd w:id="52099"/>
      <w:r>
        <w:rPr>
          <w:rFonts w:hint="cs"/>
          <w:rtl/>
        </w:rPr>
        <w:t xml:space="preserve">ולא </w:t>
      </w:r>
      <w:bookmarkStart w:id="52100" w:name="_ETM_Q98_757290"/>
      <w:bookmarkEnd w:id="52100"/>
      <w:r>
        <w:rPr>
          <w:rFonts w:hint="cs"/>
          <w:rtl/>
        </w:rPr>
        <w:t xml:space="preserve">חדל </w:t>
      </w:r>
      <w:bookmarkStart w:id="52101" w:name="_ETM_Q98_757710"/>
      <w:bookmarkEnd w:id="52101"/>
      <w:r>
        <w:rPr>
          <w:rFonts w:hint="cs"/>
          <w:rtl/>
        </w:rPr>
        <w:t xml:space="preserve">מתפילה </w:t>
      </w:r>
      <w:bookmarkStart w:id="52102" w:name="_ETM_Q98_758809"/>
      <w:bookmarkEnd w:id="52102"/>
      <w:r>
        <w:rPr>
          <w:rFonts w:hint="cs"/>
          <w:rtl/>
        </w:rPr>
        <w:t xml:space="preserve">ומתקווה </w:t>
      </w:r>
      <w:bookmarkStart w:id="52103" w:name="_ETM_Q98_759380"/>
      <w:bookmarkEnd w:id="52103"/>
      <w:r>
        <w:rPr>
          <w:rFonts w:hint="cs"/>
          <w:rtl/>
        </w:rPr>
        <w:t xml:space="preserve">לשוב </w:t>
      </w:r>
      <w:bookmarkStart w:id="52104" w:name="_ETM_Q98_759740"/>
      <w:bookmarkEnd w:id="52104"/>
      <w:r>
        <w:rPr>
          <w:rFonts w:hint="cs"/>
          <w:rtl/>
        </w:rPr>
        <w:t xml:space="preserve">לארצו </w:t>
      </w:r>
      <w:bookmarkStart w:id="52105" w:name="_ETM_Q98_760850"/>
      <w:bookmarkEnd w:id="52105"/>
      <w:r>
        <w:rPr>
          <w:rFonts w:hint="cs"/>
          <w:rtl/>
        </w:rPr>
        <w:t xml:space="preserve">ולחדש בתוכה </w:t>
      </w:r>
      <w:bookmarkStart w:id="52106" w:name="_ETM_Q98_762940"/>
      <w:bookmarkEnd w:id="52106"/>
      <w:r>
        <w:rPr>
          <w:rFonts w:hint="cs"/>
          <w:rtl/>
        </w:rPr>
        <w:t xml:space="preserve">את </w:t>
      </w:r>
      <w:bookmarkStart w:id="52107" w:name="_ETM_Q98_763030"/>
      <w:bookmarkEnd w:id="52107"/>
      <w:r>
        <w:rPr>
          <w:rFonts w:hint="cs"/>
          <w:rtl/>
        </w:rPr>
        <w:t xml:space="preserve">חירותו </w:t>
      </w:r>
      <w:bookmarkStart w:id="52108" w:name="_ETM_Q98_763509"/>
      <w:bookmarkEnd w:id="52108"/>
      <w:r>
        <w:rPr>
          <w:rFonts w:hint="cs"/>
          <w:rtl/>
        </w:rPr>
        <w:t>המדינית</w:t>
      </w:r>
      <w:bookmarkStart w:id="52109" w:name="_ETM_Q98_764639"/>
      <w:bookmarkEnd w:id="52109"/>
      <w:r>
        <w:rPr>
          <w:rFonts w:hint="cs"/>
          <w:rtl/>
        </w:rPr>
        <w:t xml:space="preserve">. </w:t>
      </w:r>
      <w:bookmarkStart w:id="52110" w:name="_ETM_Q98_648000"/>
      <w:bookmarkStart w:id="52111" w:name="TOR_Q99"/>
      <w:bookmarkEnd w:id="52110"/>
      <w:bookmarkEnd w:id="52111"/>
      <w:r>
        <w:rPr>
          <w:rFonts w:hint="cs"/>
          <w:rtl/>
          <w:lang w:eastAsia="he-IL"/>
        </w:rPr>
        <w:t>מתוך קשר היסטורי ומס</w:t>
      </w:r>
      <w:bookmarkStart w:id="52112" w:name="_ETM_Q99_165989"/>
      <w:bookmarkEnd w:id="52112"/>
      <w:r>
        <w:rPr>
          <w:rFonts w:hint="cs"/>
          <w:rtl/>
          <w:lang w:eastAsia="he-IL"/>
        </w:rPr>
        <w:t xml:space="preserve">ורתי זה חתרו היהודים בכל </w:t>
      </w:r>
      <w:bookmarkStart w:id="52113" w:name="_ETM_Q99_171770"/>
      <w:bookmarkEnd w:id="52113"/>
      <w:r>
        <w:rPr>
          <w:rFonts w:hint="cs"/>
          <w:rtl/>
          <w:lang w:eastAsia="he-IL"/>
        </w:rPr>
        <w:t xml:space="preserve">דור לשוב </w:t>
      </w:r>
      <w:bookmarkStart w:id="52114" w:name="_ETM_Q99_167889"/>
      <w:bookmarkEnd w:id="52114"/>
      <w:r>
        <w:rPr>
          <w:rFonts w:hint="cs"/>
          <w:rtl/>
          <w:lang w:eastAsia="he-IL"/>
        </w:rPr>
        <w:t>ולהיאחז במולדתם העתיקה</w:t>
      </w:r>
      <w:bookmarkStart w:id="52115" w:name="_ETM_Q99_175772"/>
      <w:bookmarkEnd w:id="52115"/>
      <w:r>
        <w:rPr>
          <w:rFonts w:hint="cs"/>
          <w:rtl/>
          <w:lang w:eastAsia="he-IL"/>
        </w:rPr>
        <w:t>; וב</w:t>
      </w:r>
      <w:bookmarkStart w:id="52116" w:name="_ETM_Q99_172439"/>
      <w:bookmarkEnd w:id="52116"/>
      <w:r>
        <w:rPr>
          <w:rFonts w:hint="cs"/>
          <w:rtl/>
          <w:lang w:eastAsia="he-IL"/>
        </w:rPr>
        <w:t xml:space="preserve">דורות האחרונים שבו לארצם </w:t>
      </w:r>
      <w:bookmarkStart w:id="52117" w:name="_ETM_Q99_178000"/>
      <w:bookmarkEnd w:id="52117"/>
      <w:r>
        <w:rPr>
          <w:rFonts w:hint="cs"/>
          <w:rtl/>
          <w:lang w:eastAsia="he-IL"/>
        </w:rPr>
        <w:t>בהמונים</w:t>
      </w:r>
      <w:bookmarkStart w:id="52118" w:name="_ETM_Q99_174431"/>
      <w:bookmarkEnd w:id="52118"/>
      <w:r>
        <w:rPr>
          <w:rFonts w:hint="cs"/>
          <w:rtl/>
          <w:lang w:eastAsia="he-IL"/>
        </w:rPr>
        <w:t>, וחלוצים</w:t>
      </w:r>
      <w:bookmarkStart w:id="52119" w:name="_ETM_Q99_175881"/>
      <w:bookmarkEnd w:id="52119"/>
      <w:r>
        <w:rPr>
          <w:rFonts w:hint="cs"/>
          <w:rtl/>
          <w:lang w:eastAsia="he-IL"/>
        </w:rPr>
        <w:t xml:space="preserve">, מעפילים ומגינים, הפריחו </w:t>
      </w:r>
      <w:bookmarkStart w:id="52120" w:name="_ETM_Q99_177311"/>
      <w:bookmarkEnd w:id="52120"/>
      <w:r>
        <w:rPr>
          <w:rFonts w:hint="cs"/>
          <w:rtl/>
          <w:lang w:eastAsia="he-IL"/>
        </w:rPr>
        <w:t>שממות, החיו שפתם העברית</w:t>
      </w:r>
      <w:bookmarkStart w:id="52121" w:name="_ETM_Q99_178902"/>
      <w:bookmarkEnd w:id="52121"/>
      <w:r>
        <w:rPr>
          <w:rFonts w:hint="cs"/>
          <w:rtl/>
          <w:lang w:eastAsia="he-IL"/>
        </w:rPr>
        <w:t>, בנו כפרים וערים והקימו יישוב גדל והול</w:t>
      </w:r>
      <w:bookmarkStart w:id="52122" w:name="_ETM_Q99_183801"/>
      <w:bookmarkEnd w:id="52122"/>
      <w:r>
        <w:rPr>
          <w:rFonts w:hint="cs"/>
          <w:rtl/>
          <w:lang w:eastAsia="he-IL"/>
        </w:rPr>
        <w:t>ך</w:t>
      </w:r>
      <w:bookmarkStart w:id="52123" w:name="_ETM_Q99_23608"/>
      <w:bookmarkStart w:id="52124" w:name="_ETM_Q99_23642"/>
      <w:bookmarkStart w:id="52125" w:name="_ETM_Q99_19399"/>
      <w:bookmarkStart w:id="52126" w:name="_ETM_Q99_19488"/>
      <w:bookmarkStart w:id="52127" w:name="_ETM_Q99_19543"/>
      <w:bookmarkStart w:id="52128" w:name="_ETM_Q99_19590"/>
      <w:bookmarkStart w:id="52129" w:name="_ETM_Q99_180299"/>
      <w:bookmarkStart w:id="52130" w:name="_ETM_Q99_180870"/>
      <w:bookmarkStart w:id="52131" w:name="_ETM_Q99_181410"/>
      <w:bookmarkStart w:id="52132" w:name="_ETM_Q99_181650"/>
      <w:bookmarkStart w:id="52133" w:name="_ETM_Q99_182159"/>
      <w:bookmarkStart w:id="52134" w:name="_ETM_Q99_183129"/>
      <w:bookmarkStart w:id="52135" w:name="_ETM_Q99_183610"/>
      <w:bookmarkStart w:id="52136" w:name="_ETM_Q99_186201"/>
      <w:bookmarkStart w:id="52137" w:name="_ETM_Q99_184000"/>
      <w:bookmarkStart w:id="52138" w:name="_ETM_Q99_184390"/>
      <w:bookmarkStart w:id="52139" w:name="_ETM_Q99_181400"/>
      <w:bookmarkEnd w:id="52123"/>
      <w:bookmarkEnd w:id="52124"/>
      <w:bookmarkEnd w:id="52125"/>
      <w:bookmarkEnd w:id="52126"/>
      <w:bookmarkEnd w:id="52127"/>
      <w:bookmarkEnd w:id="52128"/>
      <w:bookmarkEnd w:id="52129"/>
      <w:bookmarkEnd w:id="52130"/>
      <w:bookmarkEnd w:id="52131"/>
      <w:bookmarkEnd w:id="52132"/>
      <w:bookmarkEnd w:id="52133"/>
      <w:bookmarkEnd w:id="52134"/>
      <w:bookmarkEnd w:id="52135"/>
      <w:bookmarkEnd w:id="52136"/>
      <w:bookmarkEnd w:id="52137"/>
      <w:bookmarkEnd w:id="52138"/>
      <w:bookmarkEnd w:id="52139"/>
      <w:r>
        <w:rPr>
          <w:rFonts w:hint="cs"/>
          <w:rtl/>
        </w:rPr>
        <w:t xml:space="preserve"> </w:t>
      </w:r>
      <w:bookmarkStart w:id="52140" w:name="_ETM_Q99_185649"/>
      <w:bookmarkEnd w:id="52140"/>
      <w:r>
        <w:rPr>
          <w:rFonts w:hint="cs"/>
          <w:rtl/>
        </w:rPr>
        <w:t xml:space="preserve">השליט </w:t>
      </w:r>
      <w:bookmarkStart w:id="52141" w:name="_ETM_Q99_186309"/>
      <w:bookmarkEnd w:id="52141"/>
      <w:r>
        <w:rPr>
          <w:rFonts w:hint="cs"/>
          <w:rtl/>
        </w:rPr>
        <w:t xml:space="preserve">על </w:t>
      </w:r>
      <w:bookmarkStart w:id="52142" w:name="_ETM_Q99_186430"/>
      <w:bookmarkEnd w:id="52142"/>
      <w:r>
        <w:rPr>
          <w:rFonts w:hint="cs"/>
          <w:rtl/>
        </w:rPr>
        <w:t xml:space="preserve">משקו </w:t>
      </w:r>
      <w:bookmarkStart w:id="52143" w:name="_ETM_Q99_187059"/>
      <w:bookmarkEnd w:id="52143"/>
      <w:r>
        <w:rPr>
          <w:rFonts w:hint="cs"/>
          <w:rtl/>
        </w:rPr>
        <w:t xml:space="preserve">ותרבותו, </w:t>
      </w:r>
      <w:bookmarkStart w:id="52144" w:name="_ETM_Q99_188260"/>
      <w:bookmarkEnd w:id="52144"/>
      <w:r>
        <w:rPr>
          <w:rFonts w:hint="cs"/>
          <w:rtl/>
        </w:rPr>
        <w:t xml:space="preserve">שוחר </w:t>
      </w:r>
      <w:bookmarkStart w:id="52145" w:name="_ETM_Q99_188650"/>
      <w:bookmarkEnd w:id="52145"/>
      <w:r>
        <w:rPr>
          <w:rFonts w:hint="cs"/>
          <w:rtl/>
        </w:rPr>
        <w:t xml:space="preserve">שלום </w:t>
      </w:r>
      <w:bookmarkStart w:id="52146" w:name="_ETM_Q99_189100"/>
      <w:bookmarkEnd w:id="52146"/>
      <w:r>
        <w:rPr>
          <w:rFonts w:hint="cs"/>
          <w:rtl/>
        </w:rPr>
        <w:t xml:space="preserve">ומגן </w:t>
      </w:r>
      <w:bookmarkStart w:id="52147" w:name="_ETM_Q99_189580"/>
      <w:bookmarkEnd w:id="52147"/>
      <w:r>
        <w:rPr>
          <w:rFonts w:hint="cs"/>
          <w:rtl/>
        </w:rPr>
        <w:t xml:space="preserve">על </w:t>
      </w:r>
      <w:bookmarkStart w:id="52148" w:name="_ETM_Q99_189700"/>
      <w:bookmarkEnd w:id="52148"/>
      <w:r>
        <w:rPr>
          <w:rFonts w:hint="cs"/>
          <w:rtl/>
        </w:rPr>
        <w:t xml:space="preserve">עצמו, </w:t>
      </w:r>
      <w:bookmarkStart w:id="52149" w:name="_ETM_Q99_190480"/>
      <w:bookmarkEnd w:id="52149"/>
      <w:r>
        <w:rPr>
          <w:rFonts w:hint="cs"/>
          <w:rtl/>
        </w:rPr>
        <w:t xml:space="preserve">מביא </w:t>
      </w:r>
      <w:bookmarkStart w:id="52150" w:name="_ETM_Q99_191110"/>
      <w:bookmarkEnd w:id="52150"/>
      <w:r>
        <w:rPr>
          <w:rFonts w:hint="cs"/>
          <w:rtl/>
        </w:rPr>
        <w:t xml:space="preserve">ברכת </w:t>
      </w:r>
      <w:bookmarkStart w:id="52151" w:name="_ETM_Q99_191889"/>
      <w:bookmarkEnd w:id="52151"/>
      <w:r>
        <w:rPr>
          <w:rFonts w:hint="cs"/>
          <w:rtl/>
        </w:rPr>
        <w:t>הק</w:t>
      </w:r>
      <w:bookmarkStart w:id="52152" w:name="_ETM_Q99_190981"/>
      <w:bookmarkEnd w:id="52152"/>
      <w:r>
        <w:rPr>
          <w:rFonts w:hint="cs"/>
          <w:rtl/>
        </w:rPr>
        <w:t xml:space="preserve">דמה </w:t>
      </w:r>
      <w:bookmarkStart w:id="52153" w:name="_ETM_Q99_192850"/>
      <w:bookmarkEnd w:id="52153"/>
      <w:r>
        <w:rPr>
          <w:rFonts w:hint="cs"/>
          <w:rtl/>
        </w:rPr>
        <w:t xml:space="preserve">לכל </w:t>
      </w:r>
      <w:bookmarkStart w:id="52154" w:name="_ETM_Q99_193390"/>
      <w:bookmarkEnd w:id="52154"/>
      <w:r>
        <w:rPr>
          <w:rFonts w:hint="cs"/>
          <w:rtl/>
        </w:rPr>
        <w:t xml:space="preserve">תושבי </w:t>
      </w:r>
      <w:bookmarkStart w:id="52155" w:name="_ETM_Q99_193960"/>
      <w:bookmarkEnd w:id="52155"/>
      <w:r>
        <w:rPr>
          <w:rFonts w:hint="cs"/>
          <w:rtl/>
        </w:rPr>
        <w:t xml:space="preserve">הארץ </w:t>
      </w:r>
      <w:bookmarkStart w:id="52156" w:name="_ETM_Q99_194530"/>
      <w:bookmarkEnd w:id="52156"/>
      <w:r>
        <w:rPr>
          <w:rFonts w:hint="cs"/>
          <w:rtl/>
        </w:rPr>
        <w:t xml:space="preserve">ונושא </w:t>
      </w:r>
      <w:bookmarkStart w:id="52157" w:name="_ETM_Q99_194890"/>
      <w:bookmarkEnd w:id="52157"/>
      <w:r>
        <w:rPr>
          <w:rFonts w:hint="cs"/>
          <w:rtl/>
        </w:rPr>
        <w:t xml:space="preserve">נפשו </w:t>
      </w:r>
      <w:bookmarkStart w:id="52158" w:name="_ETM_Q99_195340"/>
      <w:bookmarkEnd w:id="52158"/>
      <w:r>
        <w:rPr>
          <w:rFonts w:hint="cs"/>
          <w:rtl/>
        </w:rPr>
        <w:t xml:space="preserve">לעצמאות </w:t>
      </w:r>
      <w:bookmarkStart w:id="52159" w:name="_ETM_Q99_195820"/>
      <w:bookmarkEnd w:id="52159"/>
      <w:r>
        <w:rPr>
          <w:rFonts w:hint="cs"/>
          <w:rtl/>
        </w:rPr>
        <w:t>ממלכתית.</w:t>
      </w:r>
      <w:bookmarkStart w:id="52160" w:name="_ETM_Q99_197589"/>
      <w:bookmarkEnd w:id="52160"/>
      <w:r>
        <w:rPr>
          <w:rFonts w:hint="cs"/>
          <w:rtl/>
        </w:rPr>
        <w:t xml:space="preserve"> </w:t>
      </w:r>
      <w:bookmarkStart w:id="52161" w:name="_ETM_Q99_200570"/>
      <w:bookmarkStart w:id="52162" w:name="_ETM_Q99_200636"/>
      <w:bookmarkStart w:id="52163" w:name="_ETM_Q99_200739"/>
      <w:bookmarkStart w:id="52164" w:name="_ETM_Q99_200787"/>
      <w:bookmarkEnd w:id="52161"/>
      <w:bookmarkEnd w:id="52162"/>
      <w:bookmarkEnd w:id="52163"/>
      <w:bookmarkEnd w:id="52164"/>
      <w:r>
        <w:rPr>
          <w:rFonts w:hint="cs"/>
          <w:rtl/>
        </w:rPr>
        <w:t xml:space="preserve">בשנת </w:t>
      </w:r>
      <w:bookmarkStart w:id="52165" w:name="_ETM_Q99_198310"/>
      <w:bookmarkEnd w:id="52165"/>
      <w:r>
        <w:rPr>
          <w:rFonts w:hint="cs"/>
          <w:rtl/>
        </w:rPr>
        <w:t>ת</w:t>
      </w:r>
      <w:bookmarkStart w:id="52166" w:name="_ETM_Q99_196501"/>
      <w:bookmarkEnd w:id="52166"/>
      <w:r>
        <w:rPr>
          <w:rFonts w:hint="cs"/>
          <w:rtl/>
        </w:rPr>
        <w:t>רנ"ז</w:t>
      </w:r>
      <w:bookmarkStart w:id="52167" w:name="_ETM_Q99_197685"/>
      <w:bookmarkEnd w:id="52167"/>
      <w:r>
        <w:rPr>
          <w:rFonts w:hint="cs"/>
          <w:rtl/>
        </w:rPr>
        <w:t xml:space="preserve"> (</w:t>
      </w:r>
      <w:bookmarkStart w:id="52168" w:name="_ETM_Q99_199089"/>
      <w:bookmarkEnd w:id="52168"/>
      <w:r>
        <w:rPr>
          <w:rFonts w:hint="cs"/>
          <w:rtl/>
        </w:rPr>
        <w:t xml:space="preserve">1897) </w:t>
      </w:r>
      <w:bookmarkStart w:id="52169" w:name="_ETM_Q99_200559"/>
      <w:bookmarkEnd w:id="52169"/>
      <w:r>
        <w:rPr>
          <w:rFonts w:hint="cs"/>
          <w:rtl/>
        </w:rPr>
        <w:t xml:space="preserve">נתכנס </w:t>
      </w:r>
      <w:bookmarkStart w:id="52170" w:name="_ETM_Q99_201039"/>
      <w:bookmarkEnd w:id="52170"/>
      <w:r>
        <w:rPr>
          <w:rFonts w:hint="cs"/>
          <w:rtl/>
        </w:rPr>
        <w:t xml:space="preserve">הקונגרס </w:t>
      </w:r>
      <w:bookmarkStart w:id="52171" w:name="_ETM_Q99_201579"/>
      <w:bookmarkEnd w:id="52171"/>
      <w:r>
        <w:rPr>
          <w:rFonts w:hint="cs"/>
          <w:rtl/>
        </w:rPr>
        <w:t xml:space="preserve">הציוני </w:t>
      </w:r>
      <w:bookmarkStart w:id="52172" w:name="_ETM_Q99_202699"/>
      <w:bookmarkEnd w:id="52172"/>
      <w:r>
        <w:rPr>
          <w:rFonts w:hint="cs"/>
          <w:rtl/>
        </w:rPr>
        <w:t xml:space="preserve">לקול </w:t>
      </w:r>
      <w:bookmarkStart w:id="52173" w:name="_ETM_Q99_203239"/>
      <w:bookmarkEnd w:id="52173"/>
      <w:r>
        <w:rPr>
          <w:rFonts w:hint="cs"/>
          <w:rtl/>
        </w:rPr>
        <w:t>קר</w:t>
      </w:r>
      <w:bookmarkStart w:id="52174" w:name="_ETM_Q99_202261"/>
      <w:bookmarkEnd w:id="52174"/>
      <w:r>
        <w:rPr>
          <w:rFonts w:hint="cs"/>
          <w:rtl/>
        </w:rPr>
        <w:t xml:space="preserve">יאתו </w:t>
      </w:r>
      <w:bookmarkStart w:id="52175" w:name="_ETM_Q99_203749"/>
      <w:bookmarkEnd w:id="52175"/>
      <w:r>
        <w:rPr>
          <w:rFonts w:hint="cs"/>
          <w:rtl/>
        </w:rPr>
        <w:t xml:space="preserve">של </w:t>
      </w:r>
      <w:bookmarkStart w:id="52176" w:name="_ETM_Q99_203960"/>
      <w:bookmarkEnd w:id="52176"/>
      <w:r>
        <w:rPr>
          <w:rFonts w:hint="cs"/>
          <w:rtl/>
        </w:rPr>
        <w:t xml:space="preserve">הוגה </w:t>
      </w:r>
      <w:bookmarkStart w:id="52177" w:name="_ETM_Q99_204259"/>
      <w:bookmarkEnd w:id="52177"/>
      <w:r>
        <w:rPr>
          <w:rFonts w:hint="cs"/>
          <w:rtl/>
        </w:rPr>
        <w:t xml:space="preserve">חזון </w:t>
      </w:r>
      <w:bookmarkStart w:id="52178" w:name="_ETM_Q99_204650"/>
      <w:bookmarkEnd w:id="52178"/>
      <w:r>
        <w:rPr>
          <w:rFonts w:hint="cs"/>
          <w:rtl/>
        </w:rPr>
        <w:t xml:space="preserve">המדינה </w:t>
      </w:r>
      <w:bookmarkStart w:id="52179" w:name="_ETM_Q99_205099"/>
      <w:bookmarkEnd w:id="52179"/>
      <w:r>
        <w:rPr>
          <w:rFonts w:hint="cs"/>
          <w:rtl/>
        </w:rPr>
        <w:t xml:space="preserve">היהודי, </w:t>
      </w:r>
      <w:bookmarkStart w:id="52180" w:name="_ETM_Q99_205609"/>
      <w:bookmarkEnd w:id="52180"/>
      <w:r>
        <w:rPr>
          <w:rFonts w:hint="cs"/>
          <w:rtl/>
        </w:rPr>
        <w:t xml:space="preserve">תיאודור </w:t>
      </w:r>
      <w:bookmarkStart w:id="52181" w:name="_ETM_Q99_205999"/>
      <w:bookmarkEnd w:id="52181"/>
      <w:r>
        <w:rPr>
          <w:rFonts w:hint="cs"/>
          <w:rtl/>
        </w:rPr>
        <w:t>הרצל</w:t>
      </w:r>
      <w:bookmarkStart w:id="52182" w:name="_ETM_Q99_204661"/>
      <w:bookmarkEnd w:id="52182"/>
      <w:r>
        <w:rPr>
          <w:rFonts w:hint="cs"/>
          <w:rtl/>
        </w:rPr>
        <w:t xml:space="preserve"> </w:t>
      </w:r>
      <w:bookmarkStart w:id="52183" w:name="_ETM_Q99_206960"/>
      <w:bookmarkEnd w:id="52183"/>
      <w:r>
        <w:rPr>
          <w:rFonts w:hint="cs"/>
          <w:rtl/>
        </w:rPr>
        <w:t xml:space="preserve">והכריז </w:t>
      </w:r>
      <w:bookmarkStart w:id="52184" w:name="_ETM_Q99_207559"/>
      <w:bookmarkEnd w:id="52184"/>
      <w:r>
        <w:rPr>
          <w:rFonts w:hint="cs"/>
          <w:rtl/>
        </w:rPr>
        <w:t xml:space="preserve">על </w:t>
      </w:r>
      <w:bookmarkStart w:id="52185" w:name="_ETM_Q99_207679"/>
      <w:bookmarkEnd w:id="52185"/>
      <w:r>
        <w:rPr>
          <w:rFonts w:hint="cs"/>
          <w:rtl/>
        </w:rPr>
        <w:t xml:space="preserve">זכות </w:t>
      </w:r>
      <w:bookmarkStart w:id="52186" w:name="_ETM_Q99_208009"/>
      <w:bookmarkEnd w:id="52186"/>
      <w:r>
        <w:rPr>
          <w:rFonts w:hint="cs"/>
          <w:rtl/>
        </w:rPr>
        <w:t xml:space="preserve">העם </w:t>
      </w:r>
      <w:bookmarkStart w:id="52187" w:name="_ETM_Q99_208249"/>
      <w:bookmarkEnd w:id="52187"/>
      <w:r>
        <w:rPr>
          <w:rFonts w:hint="cs"/>
          <w:rtl/>
        </w:rPr>
        <w:t xml:space="preserve">היהודי </w:t>
      </w:r>
      <w:bookmarkStart w:id="52188" w:name="_ETM_Q99_208759"/>
      <w:bookmarkEnd w:id="52188"/>
      <w:r>
        <w:rPr>
          <w:rFonts w:hint="cs"/>
          <w:rtl/>
        </w:rPr>
        <w:t xml:space="preserve">לתקומה </w:t>
      </w:r>
      <w:bookmarkStart w:id="52189" w:name="_ETM_Q99_209300"/>
      <w:bookmarkEnd w:id="52189"/>
      <w:r>
        <w:rPr>
          <w:rFonts w:hint="cs"/>
          <w:rtl/>
        </w:rPr>
        <w:t xml:space="preserve">לאומית </w:t>
      </w:r>
      <w:bookmarkStart w:id="52190" w:name="_ETM_Q99_209749"/>
      <w:bookmarkEnd w:id="52190"/>
      <w:r>
        <w:rPr>
          <w:rFonts w:hint="cs"/>
          <w:rtl/>
        </w:rPr>
        <w:t>בארצו.</w:t>
      </w:r>
      <w:bookmarkStart w:id="52191" w:name="_ETM_Q99_209031"/>
      <w:bookmarkEnd w:id="52191"/>
      <w:r>
        <w:rPr>
          <w:rFonts w:hint="cs"/>
          <w:rtl/>
        </w:rPr>
        <w:t xml:space="preserve"> </w:t>
      </w:r>
      <w:bookmarkStart w:id="52192" w:name="_ETM_Q99_211230"/>
      <w:bookmarkEnd w:id="52192"/>
      <w:r>
        <w:rPr>
          <w:rFonts w:hint="cs"/>
          <w:rtl/>
        </w:rPr>
        <w:t xml:space="preserve">זכות </w:t>
      </w:r>
      <w:bookmarkStart w:id="52193" w:name="_ETM_Q99_211529"/>
      <w:bookmarkEnd w:id="52193"/>
      <w:r>
        <w:rPr>
          <w:rFonts w:hint="cs"/>
          <w:rtl/>
        </w:rPr>
        <w:t xml:space="preserve">זו </w:t>
      </w:r>
      <w:bookmarkStart w:id="52194" w:name="_ETM_Q99_211800"/>
      <w:bookmarkEnd w:id="52194"/>
      <w:r>
        <w:rPr>
          <w:rFonts w:hint="cs"/>
          <w:rtl/>
        </w:rPr>
        <w:t xml:space="preserve">הוכרה </w:t>
      </w:r>
      <w:bookmarkStart w:id="52195" w:name="_ETM_Q99_212190"/>
      <w:bookmarkEnd w:id="52195"/>
      <w:r>
        <w:rPr>
          <w:rFonts w:hint="cs"/>
          <w:rtl/>
        </w:rPr>
        <w:t xml:space="preserve">בהצהרת </w:t>
      </w:r>
      <w:bookmarkStart w:id="52196" w:name="_ETM_Q99_212790"/>
      <w:bookmarkEnd w:id="52196"/>
      <w:r>
        <w:rPr>
          <w:rFonts w:hint="cs"/>
          <w:rtl/>
        </w:rPr>
        <w:t xml:space="preserve">בלפור </w:t>
      </w:r>
      <w:bookmarkStart w:id="52197" w:name="_ETM_Q99_213750"/>
      <w:bookmarkEnd w:id="52197"/>
      <w:r>
        <w:rPr>
          <w:rFonts w:hint="cs"/>
          <w:rtl/>
        </w:rPr>
        <w:t xml:space="preserve">מיום </w:t>
      </w:r>
      <w:bookmarkStart w:id="52198" w:name="_ETM_Q99_214110"/>
      <w:bookmarkEnd w:id="52198"/>
      <w:r>
        <w:rPr>
          <w:rFonts w:hint="cs"/>
          <w:rtl/>
        </w:rPr>
        <w:t>ב</w:t>
      </w:r>
      <w:bookmarkStart w:id="52199" w:name="_ETM_Q99_213020"/>
      <w:bookmarkEnd w:id="52199"/>
      <w:r>
        <w:rPr>
          <w:rFonts w:hint="cs"/>
          <w:rtl/>
        </w:rPr>
        <w:t xml:space="preserve">' </w:t>
      </w:r>
      <w:bookmarkStart w:id="52200" w:name="_ETM_Q99_214470"/>
      <w:bookmarkEnd w:id="52200"/>
      <w:r>
        <w:rPr>
          <w:rFonts w:hint="cs"/>
          <w:rtl/>
        </w:rPr>
        <w:t xml:space="preserve">בנובמבר </w:t>
      </w:r>
      <w:bookmarkStart w:id="52201" w:name="_ETM_Q99_215610"/>
      <w:bookmarkEnd w:id="52201"/>
      <w:r>
        <w:rPr>
          <w:rFonts w:hint="cs"/>
          <w:rtl/>
        </w:rPr>
        <w:t xml:space="preserve">1917 </w:t>
      </w:r>
      <w:bookmarkStart w:id="52202" w:name="_ETM_Q99_217409"/>
      <w:bookmarkEnd w:id="52202"/>
      <w:r>
        <w:rPr>
          <w:rFonts w:hint="cs"/>
          <w:rtl/>
        </w:rPr>
        <w:t xml:space="preserve">ואושרה </w:t>
      </w:r>
      <w:bookmarkStart w:id="52203" w:name="_ETM_Q99_217920"/>
      <w:bookmarkEnd w:id="52203"/>
      <w:r>
        <w:rPr>
          <w:rFonts w:hint="cs"/>
          <w:rtl/>
        </w:rPr>
        <w:t xml:space="preserve">במנדט </w:t>
      </w:r>
      <w:bookmarkStart w:id="52204" w:name="_ETM_Q99_218640"/>
      <w:bookmarkEnd w:id="52204"/>
      <w:r>
        <w:rPr>
          <w:rFonts w:hint="cs"/>
          <w:rtl/>
        </w:rPr>
        <w:t xml:space="preserve">מטעם </w:t>
      </w:r>
      <w:bookmarkStart w:id="52205" w:name="_ETM_Q99_219090"/>
      <w:bookmarkEnd w:id="52205"/>
      <w:r>
        <w:rPr>
          <w:rFonts w:hint="cs"/>
          <w:rtl/>
        </w:rPr>
        <w:t xml:space="preserve">חבר </w:t>
      </w:r>
      <w:bookmarkStart w:id="52206" w:name="_ETM_Q99_219390"/>
      <w:bookmarkEnd w:id="52206"/>
      <w:r>
        <w:rPr>
          <w:rFonts w:hint="cs"/>
          <w:rtl/>
        </w:rPr>
        <w:t xml:space="preserve">הלאומים, אשר </w:t>
      </w:r>
      <w:bookmarkStart w:id="52207" w:name="_ETM_Q99_220470"/>
      <w:bookmarkEnd w:id="52207"/>
      <w:r>
        <w:rPr>
          <w:rFonts w:hint="cs"/>
          <w:rtl/>
        </w:rPr>
        <w:t xml:space="preserve">נתן </w:t>
      </w:r>
      <w:bookmarkStart w:id="52208" w:name="_ETM_Q99_221400"/>
      <w:bookmarkEnd w:id="52208"/>
      <w:r>
        <w:rPr>
          <w:rFonts w:hint="cs"/>
          <w:rtl/>
        </w:rPr>
        <w:t xml:space="preserve">במיוחד </w:t>
      </w:r>
      <w:bookmarkStart w:id="52209" w:name="_ETM_Q99_221940"/>
      <w:bookmarkEnd w:id="52209"/>
      <w:r>
        <w:rPr>
          <w:rFonts w:hint="cs"/>
          <w:rtl/>
        </w:rPr>
        <w:t xml:space="preserve">תוקף </w:t>
      </w:r>
      <w:bookmarkStart w:id="52210" w:name="_ETM_Q99_222270"/>
      <w:bookmarkEnd w:id="52210"/>
      <w:r>
        <w:rPr>
          <w:rFonts w:hint="cs"/>
          <w:rtl/>
        </w:rPr>
        <w:t xml:space="preserve">בין-לאומי </w:t>
      </w:r>
      <w:bookmarkStart w:id="52211" w:name="_ETM_Q99_223380"/>
      <w:bookmarkEnd w:id="52211"/>
      <w:r>
        <w:rPr>
          <w:rFonts w:hint="cs"/>
          <w:rtl/>
        </w:rPr>
        <w:t xml:space="preserve">לקשר </w:t>
      </w:r>
      <w:bookmarkStart w:id="52212" w:name="_ETM_Q99_223920"/>
      <w:bookmarkEnd w:id="52212"/>
      <w:r>
        <w:rPr>
          <w:rFonts w:hint="cs"/>
          <w:rtl/>
        </w:rPr>
        <w:t xml:space="preserve">ההיסטורי </w:t>
      </w:r>
      <w:bookmarkStart w:id="52213" w:name="_ETM_Q99_224460"/>
      <w:bookmarkEnd w:id="52213"/>
      <w:r>
        <w:rPr>
          <w:rFonts w:hint="cs"/>
          <w:rtl/>
        </w:rPr>
        <w:t xml:space="preserve">שבין </w:t>
      </w:r>
      <w:bookmarkStart w:id="52214" w:name="_ETM_Q99_224850"/>
      <w:bookmarkEnd w:id="52214"/>
      <w:r>
        <w:rPr>
          <w:rFonts w:hint="cs"/>
          <w:rtl/>
        </w:rPr>
        <w:t xml:space="preserve">העם </w:t>
      </w:r>
      <w:bookmarkStart w:id="52215" w:name="_ETM_Q99_225570"/>
      <w:bookmarkEnd w:id="52215"/>
      <w:r>
        <w:rPr>
          <w:rFonts w:hint="cs"/>
          <w:rtl/>
        </w:rPr>
        <w:t xml:space="preserve">היהודי </w:t>
      </w:r>
      <w:bookmarkStart w:id="52216" w:name="_ETM_Q99_226050"/>
      <w:bookmarkEnd w:id="52216"/>
      <w:r>
        <w:rPr>
          <w:rFonts w:hint="cs"/>
          <w:rtl/>
        </w:rPr>
        <w:t xml:space="preserve">לבין </w:t>
      </w:r>
      <w:bookmarkStart w:id="52217" w:name="_ETM_Q99_226320"/>
      <w:bookmarkEnd w:id="52217"/>
      <w:r>
        <w:rPr>
          <w:rFonts w:hint="cs"/>
          <w:rtl/>
        </w:rPr>
        <w:t xml:space="preserve">ארץ </w:t>
      </w:r>
      <w:bookmarkStart w:id="52218" w:name="_ETM_Q99_226800"/>
      <w:bookmarkEnd w:id="52218"/>
      <w:r>
        <w:rPr>
          <w:rFonts w:hint="cs"/>
          <w:rtl/>
        </w:rPr>
        <w:t>ישראל</w:t>
      </w:r>
      <w:bookmarkStart w:id="52219" w:name="_ETM_Q99_225450"/>
      <w:bookmarkEnd w:id="52219"/>
      <w:r>
        <w:rPr>
          <w:rFonts w:hint="cs"/>
          <w:rtl/>
        </w:rPr>
        <w:t xml:space="preserve"> </w:t>
      </w:r>
      <w:bookmarkStart w:id="52220" w:name="_ETM_Q99_227640"/>
      <w:bookmarkEnd w:id="52220"/>
      <w:r>
        <w:rPr>
          <w:rFonts w:hint="cs"/>
          <w:rtl/>
        </w:rPr>
        <w:t xml:space="preserve">ולזכות </w:t>
      </w:r>
      <w:bookmarkStart w:id="52221" w:name="_ETM_Q99_228210"/>
      <w:bookmarkEnd w:id="52221"/>
      <w:r>
        <w:rPr>
          <w:rFonts w:hint="cs"/>
          <w:rtl/>
        </w:rPr>
        <w:t xml:space="preserve">העם </w:t>
      </w:r>
      <w:bookmarkStart w:id="52222" w:name="_ETM_Q99_228450"/>
      <w:bookmarkEnd w:id="52222"/>
      <w:r>
        <w:rPr>
          <w:rFonts w:hint="cs"/>
          <w:rtl/>
        </w:rPr>
        <w:t xml:space="preserve">היהודי </w:t>
      </w:r>
      <w:bookmarkStart w:id="52223" w:name="_ETM_Q99_228870"/>
      <w:bookmarkEnd w:id="52223"/>
      <w:r>
        <w:rPr>
          <w:rFonts w:hint="cs"/>
          <w:rtl/>
        </w:rPr>
        <w:t xml:space="preserve">להקים </w:t>
      </w:r>
      <w:bookmarkStart w:id="52224" w:name="_ETM_Q99_229229"/>
      <w:bookmarkEnd w:id="52224"/>
      <w:r>
        <w:rPr>
          <w:rFonts w:hint="cs"/>
          <w:rtl/>
        </w:rPr>
        <w:t xml:space="preserve">מחדש </w:t>
      </w:r>
      <w:bookmarkStart w:id="52225" w:name="_ETM_Q99_230449"/>
      <w:bookmarkEnd w:id="52225"/>
      <w:r>
        <w:rPr>
          <w:rFonts w:hint="cs"/>
          <w:rtl/>
        </w:rPr>
        <w:t xml:space="preserve">את </w:t>
      </w:r>
      <w:bookmarkStart w:id="52226" w:name="_ETM_Q99_230690"/>
      <w:bookmarkEnd w:id="52226"/>
      <w:r>
        <w:rPr>
          <w:rFonts w:hint="cs"/>
          <w:rtl/>
        </w:rPr>
        <w:t xml:space="preserve">ביתו </w:t>
      </w:r>
      <w:bookmarkStart w:id="52227" w:name="_ETM_Q99_231140"/>
      <w:bookmarkEnd w:id="52227"/>
      <w:r>
        <w:rPr>
          <w:rFonts w:hint="cs"/>
          <w:rtl/>
        </w:rPr>
        <w:t>הלאומי.</w:t>
      </w:r>
      <w:bookmarkStart w:id="52228" w:name="_ETM_Q99_232609"/>
      <w:bookmarkEnd w:id="52228"/>
    </w:p>
    <w:p w:rsidR="00BB59CD" w:rsidRDefault="00BB59CD" w:rsidP="00BB59CD">
      <w:pPr>
        <w:rPr>
          <w:rtl/>
        </w:rPr>
      </w:pPr>
      <w:bookmarkStart w:id="52229" w:name="_ETM_Q99_231946"/>
      <w:bookmarkStart w:id="52230" w:name="_ETM_Q99_232013"/>
      <w:bookmarkEnd w:id="52229"/>
      <w:bookmarkEnd w:id="52230"/>
    </w:p>
    <w:p w:rsidR="00BB59CD" w:rsidRDefault="00374B1A" w:rsidP="00BB59CD">
      <w:pPr>
        <w:rPr>
          <w:rtl/>
        </w:rPr>
      </w:pPr>
      <w:bookmarkStart w:id="52231" w:name="_ETM_Q99_232129"/>
      <w:bookmarkStart w:id="52232" w:name="_ETM_Q99_232183"/>
      <w:bookmarkEnd w:id="52231"/>
      <w:bookmarkEnd w:id="52232"/>
      <w:r>
        <w:rPr>
          <w:rFonts w:hint="cs"/>
          <w:rtl/>
        </w:rPr>
        <w:t>"</w:t>
      </w:r>
      <w:r w:rsidR="00BB59CD">
        <w:rPr>
          <w:rFonts w:hint="cs"/>
          <w:rtl/>
        </w:rPr>
        <w:t xml:space="preserve">השואה </w:t>
      </w:r>
      <w:bookmarkStart w:id="52233" w:name="_ETM_Q99_233269"/>
      <w:bookmarkEnd w:id="52233"/>
      <w:r w:rsidR="00BB59CD">
        <w:rPr>
          <w:rFonts w:hint="cs"/>
          <w:rtl/>
        </w:rPr>
        <w:t>שנ</w:t>
      </w:r>
      <w:bookmarkStart w:id="52234" w:name="_ETM_Q99_231420"/>
      <w:bookmarkEnd w:id="52234"/>
      <w:r w:rsidR="00BB59CD">
        <w:rPr>
          <w:rFonts w:hint="cs"/>
          <w:rtl/>
        </w:rPr>
        <w:t xml:space="preserve">תחוללה </w:t>
      </w:r>
      <w:bookmarkStart w:id="52235" w:name="_ETM_Q99_234109"/>
      <w:bookmarkEnd w:id="52235"/>
      <w:r w:rsidR="00BB59CD">
        <w:rPr>
          <w:rFonts w:hint="cs"/>
          <w:rtl/>
        </w:rPr>
        <w:t xml:space="preserve">על עם </w:t>
      </w:r>
      <w:bookmarkStart w:id="52236" w:name="_ETM_Q99_234379"/>
      <w:bookmarkEnd w:id="52236"/>
      <w:r w:rsidR="00BB59CD">
        <w:rPr>
          <w:rFonts w:hint="cs"/>
          <w:rtl/>
        </w:rPr>
        <w:t xml:space="preserve">ישראל </w:t>
      </w:r>
      <w:bookmarkStart w:id="52237" w:name="_ETM_Q99_234800"/>
      <w:bookmarkEnd w:id="52237"/>
      <w:r w:rsidR="00BB59CD">
        <w:rPr>
          <w:rFonts w:hint="cs"/>
          <w:rtl/>
        </w:rPr>
        <w:t xml:space="preserve">בזמן </w:t>
      </w:r>
      <w:bookmarkStart w:id="52238" w:name="_ETM_Q99_235159"/>
      <w:bookmarkEnd w:id="52238"/>
      <w:r w:rsidR="00BB59CD">
        <w:rPr>
          <w:rFonts w:hint="cs"/>
          <w:rtl/>
        </w:rPr>
        <w:t xml:space="preserve">האחרון, </w:t>
      </w:r>
      <w:bookmarkStart w:id="52239" w:name="_ETM_Q99_236329"/>
      <w:bookmarkStart w:id="52240" w:name="_ETM_Q99_235369"/>
      <w:bookmarkStart w:id="52241" w:name="_ETM_Q99_238400"/>
      <w:bookmarkEnd w:id="52239"/>
      <w:bookmarkEnd w:id="52240"/>
      <w:bookmarkEnd w:id="52241"/>
      <w:r w:rsidR="00BB59CD">
        <w:rPr>
          <w:rFonts w:hint="cs"/>
          <w:rtl/>
        </w:rPr>
        <w:t xml:space="preserve">בה </w:t>
      </w:r>
      <w:bookmarkStart w:id="52242" w:name="_ETM_Q99_236539"/>
      <w:bookmarkEnd w:id="52242"/>
      <w:r w:rsidR="00BB59CD">
        <w:rPr>
          <w:rFonts w:hint="cs"/>
          <w:rtl/>
        </w:rPr>
        <w:t xml:space="preserve">הוכרעו </w:t>
      </w:r>
      <w:bookmarkStart w:id="52243" w:name="_ETM_Q99_237019"/>
      <w:bookmarkEnd w:id="52243"/>
      <w:r w:rsidR="00BB59CD">
        <w:rPr>
          <w:rFonts w:hint="cs"/>
          <w:rtl/>
        </w:rPr>
        <w:t xml:space="preserve">לטבח </w:t>
      </w:r>
      <w:bookmarkStart w:id="52244" w:name="_ETM_Q99_238449"/>
      <w:bookmarkEnd w:id="52244"/>
      <w:r w:rsidR="00BB59CD">
        <w:rPr>
          <w:rFonts w:hint="cs"/>
          <w:rtl/>
        </w:rPr>
        <w:t>מי</w:t>
      </w:r>
      <w:bookmarkStart w:id="52245" w:name="_ETM_Q99_235470"/>
      <w:bookmarkEnd w:id="52245"/>
      <w:r w:rsidR="00BB59CD">
        <w:rPr>
          <w:rFonts w:hint="cs"/>
          <w:rtl/>
        </w:rPr>
        <w:t>ליוני</w:t>
      </w:r>
      <w:bookmarkStart w:id="52246" w:name="_ETM_Q99_239469"/>
      <w:bookmarkStart w:id="52247" w:name="_ETM_Q99_238601"/>
      <w:bookmarkEnd w:id="52246"/>
      <w:bookmarkEnd w:id="52247"/>
      <w:r w:rsidR="00BB59CD">
        <w:rPr>
          <w:rFonts w:hint="cs"/>
          <w:rtl/>
        </w:rPr>
        <w:t xml:space="preserve">ם </w:t>
      </w:r>
      <w:bookmarkStart w:id="52248" w:name="_ETM_Q99_240039"/>
      <w:bookmarkEnd w:id="52248"/>
      <w:r w:rsidR="00BB59CD">
        <w:rPr>
          <w:rFonts w:hint="cs"/>
          <w:rtl/>
        </w:rPr>
        <w:t xml:space="preserve">יהודים </w:t>
      </w:r>
      <w:bookmarkStart w:id="52249" w:name="_ETM_Q99_240489"/>
      <w:bookmarkEnd w:id="52249"/>
      <w:r w:rsidR="00BB59CD">
        <w:rPr>
          <w:rFonts w:hint="cs"/>
          <w:rtl/>
        </w:rPr>
        <w:t xml:space="preserve">באירופה, </w:t>
      </w:r>
      <w:bookmarkStart w:id="52250" w:name="_ETM_Q99_241539"/>
      <w:bookmarkEnd w:id="52250"/>
      <w:r w:rsidR="00BB59CD">
        <w:rPr>
          <w:rFonts w:hint="cs"/>
          <w:rtl/>
        </w:rPr>
        <w:t xml:space="preserve">הוכיחה </w:t>
      </w:r>
      <w:bookmarkStart w:id="52251" w:name="_ETM_Q99_241960"/>
      <w:bookmarkEnd w:id="52251"/>
      <w:r w:rsidR="00BB59CD">
        <w:rPr>
          <w:rFonts w:hint="cs"/>
          <w:rtl/>
        </w:rPr>
        <w:t xml:space="preserve">מחדש </w:t>
      </w:r>
      <w:bookmarkStart w:id="52252" w:name="_ETM_Q99_242499"/>
      <w:bookmarkEnd w:id="52252"/>
      <w:r w:rsidR="00BB59CD">
        <w:rPr>
          <w:rFonts w:hint="cs"/>
          <w:rtl/>
        </w:rPr>
        <w:t xml:space="preserve">בעליל </w:t>
      </w:r>
      <w:bookmarkStart w:id="52253" w:name="_ETM_Q99_243609"/>
      <w:bookmarkEnd w:id="52253"/>
      <w:r w:rsidR="00BB59CD">
        <w:rPr>
          <w:rFonts w:hint="cs"/>
          <w:rtl/>
        </w:rPr>
        <w:t xml:space="preserve">את </w:t>
      </w:r>
      <w:bookmarkStart w:id="52254" w:name="_ETM_Q99_243760"/>
      <w:bookmarkEnd w:id="52254"/>
      <w:r w:rsidR="00BB59CD">
        <w:rPr>
          <w:rFonts w:hint="cs"/>
          <w:rtl/>
        </w:rPr>
        <w:t xml:space="preserve">ההכרח </w:t>
      </w:r>
      <w:bookmarkStart w:id="52255" w:name="_ETM_Q99_244420"/>
      <w:bookmarkEnd w:id="52255"/>
      <w:r w:rsidR="00BB59CD">
        <w:rPr>
          <w:rFonts w:hint="cs"/>
          <w:rtl/>
        </w:rPr>
        <w:t xml:space="preserve">בפתרון </w:t>
      </w:r>
      <w:bookmarkStart w:id="52256" w:name="_ETM_Q99_245140"/>
      <w:bookmarkEnd w:id="52256"/>
      <w:r w:rsidR="00BB59CD">
        <w:rPr>
          <w:rFonts w:hint="cs"/>
          <w:rtl/>
        </w:rPr>
        <w:t xml:space="preserve">בעיית </w:t>
      </w:r>
      <w:bookmarkStart w:id="52257" w:name="_ETM_Q99_245530"/>
      <w:bookmarkEnd w:id="52257"/>
      <w:r w:rsidR="00BB59CD">
        <w:rPr>
          <w:rFonts w:hint="cs"/>
          <w:rtl/>
        </w:rPr>
        <w:t xml:space="preserve">העם </w:t>
      </w:r>
      <w:bookmarkStart w:id="52258" w:name="_ETM_Q99_245740"/>
      <w:bookmarkEnd w:id="52258"/>
      <w:r w:rsidR="00BB59CD">
        <w:rPr>
          <w:rFonts w:hint="cs"/>
          <w:rtl/>
        </w:rPr>
        <w:t xml:space="preserve">היהודי </w:t>
      </w:r>
      <w:bookmarkStart w:id="52259" w:name="_ETM_Q99_246640"/>
      <w:bookmarkEnd w:id="52259"/>
      <w:r w:rsidR="00BB59CD">
        <w:rPr>
          <w:rFonts w:hint="cs"/>
          <w:rtl/>
        </w:rPr>
        <w:t xml:space="preserve">מחוסר </w:t>
      </w:r>
      <w:bookmarkStart w:id="52260" w:name="_ETM_Q99_247329"/>
      <w:bookmarkEnd w:id="52260"/>
      <w:r w:rsidR="00BB59CD">
        <w:rPr>
          <w:rFonts w:hint="cs"/>
          <w:rtl/>
        </w:rPr>
        <w:t xml:space="preserve">המולדת </w:t>
      </w:r>
      <w:bookmarkStart w:id="52261" w:name="_ETM_Q99_247840"/>
      <w:bookmarkEnd w:id="52261"/>
      <w:r w:rsidR="00BB59CD">
        <w:rPr>
          <w:rFonts w:hint="cs"/>
          <w:rtl/>
        </w:rPr>
        <w:t>והעצ</w:t>
      </w:r>
      <w:bookmarkStart w:id="52262" w:name="_ETM_Q99_245940"/>
      <w:bookmarkEnd w:id="52262"/>
      <w:r w:rsidR="00BB59CD">
        <w:rPr>
          <w:rFonts w:hint="cs"/>
          <w:rtl/>
        </w:rPr>
        <w:t>מאו</w:t>
      </w:r>
      <w:bookmarkStart w:id="52263" w:name="_ETM_Q99_243090"/>
      <w:bookmarkEnd w:id="52263"/>
      <w:r w:rsidR="00BB59CD">
        <w:rPr>
          <w:rFonts w:hint="cs"/>
          <w:rtl/>
        </w:rPr>
        <w:t xml:space="preserve">ת </w:t>
      </w:r>
      <w:bookmarkStart w:id="52264" w:name="_ETM_Q99_248979"/>
      <w:bookmarkEnd w:id="52264"/>
      <w:r w:rsidR="00BB59CD">
        <w:rPr>
          <w:rFonts w:hint="cs"/>
          <w:rtl/>
        </w:rPr>
        <w:t xml:space="preserve">על ידי </w:t>
      </w:r>
      <w:bookmarkStart w:id="52265" w:name="_ETM_Q99_249220"/>
      <w:bookmarkEnd w:id="52265"/>
      <w:r w:rsidR="00BB59CD">
        <w:rPr>
          <w:rFonts w:hint="cs"/>
          <w:rtl/>
        </w:rPr>
        <w:t xml:space="preserve">חידוש </w:t>
      </w:r>
      <w:bookmarkStart w:id="52266" w:name="_ETM_Q99_249670"/>
      <w:bookmarkEnd w:id="52266"/>
      <w:r w:rsidR="00BB59CD">
        <w:rPr>
          <w:rFonts w:hint="cs"/>
          <w:rtl/>
        </w:rPr>
        <w:t xml:space="preserve">המדינה </w:t>
      </w:r>
      <w:bookmarkStart w:id="52267" w:name="_ETM_Q99_250149"/>
      <w:bookmarkEnd w:id="52267"/>
      <w:r w:rsidR="00BB59CD">
        <w:rPr>
          <w:rFonts w:hint="cs"/>
          <w:rtl/>
        </w:rPr>
        <w:t xml:space="preserve">היהודית </w:t>
      </w:r>
      <w:bookmarkStart w:id="52268" w:name="_ETM_Q99_250569"/>
      <w:bookmarkEnd w:id="52268"/>
      <w:r w:rsidR="00BB59CD">
        <w:rPr>
          <w:rFonts w:hint="cs"/>
          <w:rtl/>
        </w:rPr>
        <w:t xml:space="preserve">בארץ </w:t>
      </w:r>
      <w:bookmarkStart w:id="52269" w:name="_ETM_Q99_251095"/>
      <w:bookmarkEnd w:id="52269"/>
      <w:r w:rsidR="00BB59CD">
        <w:rPr>
          <w:rFonts w:hint="cs"/>
          <w:rtl/>
        </w:rPr>
        <w:t>ישראל</w:t>
      </w:r>
      <w:bookmarkStart w:id="52270" w:name="_ETM_Q99_252229"/>
      <w:bookmarkStart w:id="52271" w:name="_ETM_Q99_250429"/>
      <w:bookmarkEnd w:id="52270"/>
      <w:bookmarkEnd w:id="52271"/>
      <w:r w:rsidR="00BB59CD">
        <w:rPr>
          <w:rFonts w:hint="cs"/>
          <w:rtl/>
        </w:rPr>
        <w:t xml:space="preserve"> אשר </w:t>
      </w:r>
      <w:bookmarkStart w:id="52272" w:name="_ETM_Q99_252590"/>
      <w:bookmarkEnd w:id="52272"/>
      <w:r w:rsidR="00BB59CD">
        <w:rPr>
          <w:rFonts w:hint="cs"/>
          <w:rtl/>
        </w:rPr>
        <w:t xml:space="preserve">תפתח </w:t>
      </w:r>
      <w:bookmarkStart w:id="52273" w:name="_ETM_Q99_253009"/>
      <w:bookmarkEnd w:id="52273"/>
      <w:r w:rsidR="00BB59CD">
        <w:rPr>
          <w:rFonts w:hint="cs"/>
          <w:rtl/>
        </w:rPr>
        <w:t xml:space="preserve">לרווחה </w:t>
      </w:r>
      <w:bookmarkStart w:id="52274" w:name="_ETM_Q99_253520"/>
      <w:bookmarkEnd w:id="52274"/>
      <w:r w:rsidR="00BB59CD">
        <w:rPr>
          <w:rFonts w:hint="cs"/>
          <w:rtl/>
        </w:rPr>
        <w:t xml:space="preserve">את </w:t>
      </w:r>
      <w:bookmarkStart w:id="52275" w:name="_ETM_Q99_253640"/>
      <w:bookmarkEnd w:id="52275"/>
      <w:r w:rsidR="00BB59CD">
        <w:rPr>
          <w:rFonts w:hint="cs"/>
          <w:rtl/>
        </w:rPr>
        <w:t xml:space="preserve">שערי </w:t>
      </w:r>
      <w:bookmarkStart w:id="52276" w:name="_ETM_Q99_253969"/>
      <w:bookmarkEnd w:id="52276"/>
      <w:r w:rsidR="00BB59CD">
        <w:rPr>
          <w:rFonts w:hint="cs"/>
          <w:rtl/>
        </w:rPr>
        <w:t xml:space="preserve">המולדת </w:t>
      </w:r>
      <w:bookmarkStart w:id="52277" w:name="_ETM_Q99_254420"/>
      <w:bookmarkEnd w:id="52277"/>
      <w:r w:rsidR="00BB59CD">
        <w:rPr>
          <w:rFonts w:hint="cs"/>
          <w:rtl/>
        </w:rPr>
        <w:t xml:space="preserve">לכל </w:t>
      </w:r>
      <w:bookmarkStart w:id="52278" w:name="_ETM_Q99_254930"/>
      <w:bookmarkEnd w:id="52278"/>
      <w:r w:rsidR="00BB59CD">
        <w:rPr>
          <w:rFonts w:hint="cs"/>
          <w:rtl/>
        </w:rPr>
        <w:t xml:space="preserve">יהודי, </w:t>
      </w:r>
      <w:bookmarkStart w:id="52279" w:name="_ETM_Q99_255950"/>
      <w:bookmarkEnd w:id="52279"/>
      <w:r w:rsidR="00BB59CD">
        <w:rPr>
          <w:rFonts w:hint="cs"/>
          <w:rtl/>
        </w:rPr>
        <w:t xml:space="preserve">ותעניק </w:t>
      </w:r>
      <w:bookmarkStart w:id="52280" w:name="_ETM_Q99_256399"/>
      <w:bookmarkEnd w:id="52280"/>
      <w:r w:rsidR="00BB59CD">
        <w:rPr>
          <w:rFonts w:hint="cs"/>
          <w:rtl/>
        </w:rPr>
        <w:t xml:space="preserve">לעם </w:t>
      </w:r>
      <w:bookmarkStart w:id="52281" w:name="_ETM_Q99_256670"/>
      <w:bookmarkEnd w:id="52281"/>
      <w:r w:rsidR="00BB59CD">
        <w:rPr>
          <w:rFonts w:hint="cs"/>
          <w:rtl/>
        </w:rPr>
        <w:t xml:space="preserve">היהודי </w:t>
      </w:r>
      <w:bookmarkStart w:id="52282" w:name="_ETM_Q99_257030"/>
      <w:bookmarkEnd w:id="52282"/>
      <w:r w:rsidR="00BB59CD">
        <w:rPr>
          <w:rFonts w:hint="cs"/>
          <w:rtl/>
        </w:rPr>
        <w:t xml:space="preserve">מעמד </w:t>
      </w:r>
      <w:bookmarkStart w:id="52283" w:name="_ETM_Q99_257509"/>
      <w:bookmarkEnd w:id="52283"/>
      <w:r w:rsidR="00BB59CD">
        <w:rPr>
          <w:rFonts w:hint="cs"/>
          <w:rtl/>
        </w:rPr>
        <w:t xml:space="preserve">של </w:t>
      </w:r>
      <w:bookmarkStart w:id="52284" w:name="_ETM_Q99_257689"/>
      <w:bookmarkEnd w:id="52284"/>
      <w:r w:rsidR="00BB59CD">
        <w:rPr>
          <w:rFonts w:hint="cs"/>
          <w:rtl/>
        </w:rPr>
        <w:t xml:space="preserve">אומה </w:t>
      </w:r>
      <w:bookmarkStart w:id="52285" w:name="_ETM_Q99_258020"/>
      <w:bookmarkEnd w:id="52285"/>
      <w:r w:rsidR="00BB59CD">
        <w:rPr>
          <w:rFonts w:hint="cs"/>
          <w:rtl/>
        </w:rPr>
        <w:t>שוו</w:t>
      </w:r>
      <w:bookmarkStart w:id="52286" w:name="_ETM_Q99_257869"/>
      <w:bookmarkEnd w:id="52286"/>
      <w:r w:rsidR="00BB59CD">
        <w:rPr>
          <w:rFonts w:hint="cs"/>
          <w:rtl/>
        </w:rPr>
        <w:t xml:space="preserve">ת </w:t>
      </w:r>
      <w:bookmarkStart w:id="52287" w:name="_ETM_Q99_258380"/>
      <w:bookmarkEnd w:id="52287"/>
      <w:r w:rsidR="00BB59CD">
        <w:rPr>
          <w:rFonts w:hint="cs"/>
          <w:rtl/>
        </w:rPr>
        <w:t xml:space="preserve">זכויות </w:t>
      </w:r>
      <w:bookmarkStart w:id="52288" w:name="_ETM_Q99_259649"/>
      <w:bookmarkEnd w:id="52288"/>
      <w:r w:rsidR="00BB59CD">
        <w:rPr>
          <w:rFonts w:hint="cs"/>
          <w:rtl/>
        </w:rPr>
        <w:t xml:space="preserve">בתוך </w:t>
      </w:r>
      <w:bookmarkStart w:id="52289" w:name="_ETM_Q99_260009"/>
      <w:bookmarkEnd w:id="52289"/>
      <w:r w:rsidR="00BB59CD">
        <w:rPr>
          <w:rFonts w:hint="cs"/>
          <w:rtl/>
        </w:rPr>
        <w:t xml:space="preserve">משפחת </w:t>
      </w:r>
      <w:bookmarkStart w:id="52290" w:name="_ETM_Q99_260549"/>
      <w:bookmarkEnd w:id="52290"/>
      <w:r w:rsidR="00BB59CD">
        <w:rPr>
          <w:rFonts w:hint="cs"/>
          <w:rtl/>
        </w:rPr>
        <w:t>העמים.</w:t>
      </w:r>
      <w:bookmarkStart w:id="52291" w:name="_ETM_Q99_261780"/>
      <w:bookmarkEnd w:id="52291"/>
      <w:r w:rsidR="00BB59CD">
        <w:rPr>
          <w:rFonts w:hint="cs"/>
          <w:rtl/>
        </w:rPr>
        <w:t xml:space="preserve"> </w:t>
      </w:r>
      <w:bookmarkStart w:id="52292" w:name="_ETM_Q99_265609"/>
      <w:bookmarkEnd w:id="52292"/>
      <w:r w:rsidR="00BB59CD">
        <w:rPr>
          <w:rFonts w:hint="cs"/>
          <w:rtl/>
        </w:rPr>
        <w:t xml:space="preserve">שארית </w:t>
      </w:r>
      <w:bookmarkStart w:id="52293" w:name="_ETM_Q99_262229"/>
      <w:bookmarkEnd w:id="52293"/>
      <w:r w:rsidR="00BB59CD">
        <w:rPr>
          <w:rFonts w:hint="cs"/>
          <w:rtl/>
        </w:rPr>
        <w:t xml:space="preserve">הפליטה </w:t>
      </w:r>
      <w:bookmarkStart w:id="52294" w:name="_ETM_Q99_262709"/>
      <w:bookmarkEnd w:id="52294"/>
      <w:r w:rsidR="00BB59CD">
        <w:rPr>
          <w:rFonts w:hint="cs"/>
          <w:rtl/>
        </w:rPr>
        <w:t xml:space="preserve">שניצלה </w:t>
      </w:r>
      <w:bookmarkStart w:id="52295" w:name="_ETM_Q99_263340"/>
      <w:bookmarkEnd w:id="52295"/>
      <w:r w:rsidR="00BB59CD">
        <w:rPr>
          <w:rFonts w:hint="cs"/>
          <w:rtl/>
        </w:rPr>
        <w:t xml:space="preserve">מהטבח </w:t>
      </w:r>
      <w:bookmarkStart w:id="52296" w:name="_ETM_Q99_263969"/>
      <w:bookmarkEnd w:id="52296"/>
      <w:r w:rsidR="00BB59CD">
        <w:rPr>
          <w:rFonts w:hint="cs"/>
          <w:rtl/>
        </w:rPr>
        <w:t>הנאצי</w:t>
      </w:r>
      <w:bookmarkStart w:id="52297" w:name="_ETM_Q99_262999"/>
      <w:bookmarkStart w:id="52298" w:name="_ETM_Q99_268029"/>
      <w:bookmarkEnd w:id="52297"/>
      <w:bookmarkEnd w:id="52298"/>
      <w:r w:rsidR="00BB59CD">
        <w:rPr>
          <w:rFonts w:hint="cs"/>
          <w:rtl/>
        </w:rPr>
        <w:t xml:space="preserve"> </w:t>
      </w:r>
      <w:bookmarkStart w:id="52299" w:name="_ETM_Q99_264990"/>
      <w:bookmarkEnd w:id="52299"/>
      <w:r w:rsidR="00BB59CD">
        <w:rPr>
          <w:rFonts w:hint="cs"/>
          <w:rtl/>
        </w:rPr>
        <w:t xml:space="preserve">האיום </w:t>
      </w:r>
      <w:bookmarkStart w:id="52300" w:name="_ETM_Q99_265469"/>
      <w:bookmarkEnd w:id="52300"/>
      <w:r w:rsidR="00BB59CD">
        <w:rPr>
          <w:rFonts w:hint="cs"/>
          <w:rtl/>
        </w:rPr>
        <w:t>באירופ</w:t>
      </w:r>
      <w:bookmarkStart w:id="52301" w:name="_ETM_Q99_265729"/>
      <w:bookmarkEnd w:id="52301"/>
      <w:r w:rsidR="00BB59CD">
        <w:rPr>
          <w:rFonts w:hint="cs"/>
          <w:rtl/>
        </w:rPr>
        <w:t xml:space="preserve">ה </w:t>
      </w:r>
      <w:bookmarkStart w:id="52302" w:name="_ETM_Q99_266069"/>
      <w:bookmarkEnd w:id="52302"/>
      <w:r w:rsidR="00BB59CD">
        <w:rPr>
          <w:rFonts w:hint="cs"/>
          <w:rtl/>
        </w:rPr>
        <w:t xml:space="preserve">ויהודי </w:t>
      </w:r>
      <w:bookmarkStart w:id="52303" w:name="_ETM_Q99_266609"/>
      <w:bookmarkEnd w:id="52303"/>
      <w:r w:rsidR="00BB59CD">
        <w:rPr>
          <w:rFonts w:hint="cs"/>
          <w:rtl/>
        </w:rPr>
        <w:t xml:space="preserve">ארצות </w:t>
      </w:r>
      <w:bookmarkStart w:id="52304" w:name="_ETM_Q99_266999"/>
      <w:bookmarkEnd w:id="52304"/>
      <w:r w:rsidR="00BB59CD">
        <w:rPr>
          <w:rFonts w:hint="cs"/>
          <w:rtl/>
        </w:rPr>
        <w:t xml:space="preserve">האחרות </w:t>
      </w:r>
      <w:bookmarkStart w:id="52305" w:name="_ETM_Q99_267899"/>
      <w:bookmarkEnd w:id="52305"/>
      <w:r w:rsidR="00BB59CD">
        <w:rPr>
          <w:rFonts w:hint="cs"/>
          <w:rtl/>
        </w:rPr>
        <w:t xml:space="preserve">לא </w:t>
      </w:r>
      <w:bookmarkStart w:id="52306" w:name="_ETM_Q99_268140"/>
      <w:bookmarkEnd w:id="52306"/>
      <w:r w:rsidR="00BB59CD">
        <w:rPr>
          <w:rFonts w:hint="cs"/>
          <w:rtl/>
        </w:rPr>
        <w:t xml:space="preserve">חדלו </w:t>
      </w:r>
      <w:bookmarkStart w:id="52307" w:name="_ETM_Q99_268469"/>
      <w:bookmarkEnd w:id="52307"/>
      <w:r w:rsidR="00BB59CD">
        <w:rPr>
          <w:rFonts w:hint="cs"/>
          <w:rtl/>
        </w:rPr>
        <w:t xml:space="preserve">להעפיל </w:t>
      </w:r>
      <w:bookmarkStart w:id="52308" w:name="_ETM_Q99_268979"/>
      <w:bookmarkEnd w:id="52308"/>
      <w:r w:rsidR="00BB59CD">
        <w:rPr>
          <w:rFonts w:hint="cs"/>
          <w:rtl/>
        </w:rPr>
        <w:t xml:space="preserve">בארץ </w:t>
      </w:r>
      <w:bookmarkStart w:id="52309" w:name="_ETM_Q99_269429"/>
      <w:bookmarkEnd w:id="52309"/>
      <w:r w:rsidR="00BB59CD">
        <w:rPr>
          <w:rFonts w:hint="cs"/>
          <w:rtl/>
        </w:rPr>
        <w:t>ישראל</w:t>
      </w:r>
      <w:bookmarkStart w:id="52310" w:name="_ETM_Q99_269129"/>
      <w:bookmarkEnd w:id="52310"/>
      <w:r w:rsidR="00BB59CD">
        <w:rPr>
          <w:rFonts w:hint="cs"/>
          <w:rtl/>
        </w:rPr>
        <w:t xml:space="preserve">, </w:t>
      </w:r>
      <w:bookmarkStart w:id="52311" w:name="_ETM_Q99_270319"/>
      <w:bookmarkEnd w:id="52311"/>
      <w:r w:rsidR="00BB59CD">
        <w:rPr>
          <w:rFonts w:hint="cs"/>
          <w:rtl/>
        </w:rPr>
        <w:t xml:space="preserve">על אף </w:t>
      </w:r>
      <w:bookmarkStart w:id="52312" w:name="_ETM_Q99_270770"/>
      <w:bookmarkEnd w:id="52312"/>
      <w:r w:rsidR="00BB59CD">
        <w:rPr>
          <w:rFonts w:hint="cs"/>
          <w:rtl/>
        </w:rPr>
        <w:t xml:space="preserve">כל </w:t>
      </w:r>
      <w:bookmarkStart w:id="52313" w:name="_ETM_Q99_270979"/>
      <w:bookmarkEnd w:id="52313"/>
      <w:r w:rsidR="00BB59CD">
        <w:rPr>
          <w:rFonts w:hint="cs"/>
          <w:rtl/>
        </w:rPr>
        <w:t>קושי,</w:t>
      </w:r>
      <w:bookmarkStart w:id="52314" w:name="_ETM_Q99_270970"/>
      <w:bookmarkEnd w:id="52314"/>
      <w:r w:rsidR="00BB59CD">
        <w:rPr>
          <w:rFonts w:hint="cs"/>
          <w:rtl/>
        </w:rPr>
        <w:t xml:space="preserve"> </w:t>
      </w:r>
      <w:bookmarkStart w:id="52315" w:name="_ETM_Q99_271429"/>
      <w:bookmarkEnd w:id="52315"/>
      <w:r w:rsidR="00BB59CD">
        <w:rPr>
          <w:rFonts w:hint="cs"/>
          <w:rtl/>
        </w:rPr>
        <w:t xml:space="preserve">מניעה </w:t>
      </w:r>
      <w:bookmarkStart w:id="52316" w:name="_ETM_Q99_271850"/>
      <w:bookmarkEnd w:id="52316"/>
      <w:r w:rsidR="00BB59CD">
        <w:rPr>
          <w:rFonts w:hint="cs"/>
          <w:rtl/>
        </w:rPr>
        <w:t xml:space="preserve">וסכנה, </w:t>
      </w:r>
      <w:bookmarkStart w:id="52317" w:name="_ETM_Q99_273520"/>
      <w:bookmarkEnd w:id="52317"/>
      <w:r w:rsidR="00BB59CD">
        <w:rPr>
          <w:rFonts w:hint="cs"/>
          <w:rtl/>
        </w:rPr>
        <w:t xml:space="preserve">ולא </w:t>
      </w:r>
      <w:bookmarkStart w:id="52318" w:name="_ETM_Q99_273790"/>
      <w:bookmarkEnd w:id="52318"/>
      <w:r w:rsidR="00BB59CD">
        <w:rPr>
          <w:rFonts w:hint="cs"/>
          <w:rtl/>
        </w:rPr>
        <w:t xml:space="preserve">פסקו </w:t>
      </w:r>
      <w:bookmarkStart w:id="52319" w:name="_ETM_Q99_274209"/>
      <w:bookmarkEnd w:id="52319"/>
      <w:r w:rsidR="00BB59CD">
        <w:rPr>
          <w:rFonts w:hint="cs"/>
          <w:rtl/>
        </w:rPr>
        <w:t xml:space="preserve">לתבוע </w:t>
      </w:r>
      <w:bookmarkStart w:id="52320" w:name="_ETM_Q99_274690"/>
      <w:bookmarkEnd w:id="52320"/>
      <w:r w:rsidR="00BB59CD">
        <w:rPr>
          <w:rFonts w:hint="cs"/>
          <w:rtl/>
        </w:rPr>
        <w:t xml:space="preserve">את </w:t>
      </w:r>
      <w:bookmarkStart w:id="52321" w:name="_ETM_Q99_274750"/>
      <w:bookmarkEnd w:id="52321"/>
      <w:r w:rsidR="00BB59CD">
        <w:rPr>
          <w:rFonts w:hint="cs"/>
          <w:rtl/>
        </w:rPr>
        <w:t xml:space="preserve">זכותם </w:t>
      </w:r>
      <w:bookmarkStart w:id="52322" w:name="_ETM_Q99_275830"/>
      <w:bookmarkEnd w:id="52322"/>
      <w:r w:rsidR="00BB59CD">
        <w:rPr>
          <w:rFonts w:hint="cs"/>
          <w:rtl/>
        </w:rPr>
        <w:t xml:space="preserve">לחיי </w:t>
      </w:r>
      <w:bookmarkStart w:id="52323" w:name="_ETM_Q99_276220"/>
      <w:bookmarkEnd w:id="52323"/>
      <w:r w:rsidR="00BB59CD">
        <w:rPr>
          <w:rFonts w:hint="cs"/>
          <w:rtl/>
        </w:rPr>
        <w:t xml:space="preserve">כבוד, </w:t>
      </w:r>
      <w:bookmarkStart w:id="52324" w:name="_ETM_Q99_277240"/>
      <w:bookmarkEnd w:id="52324"/>
      <w:r w:rsidR="00BB59CD">
        <w:rPr>
          <w:rFonts w:hint="cs"/>
          <w:rtl/>
        </w:rPr>
        <w:t xml:space="preserve">חירות </w:t>
      </w:r>
      <w:bookmarkStart w:id="52325" w:name="_ETM_Q99_278560"/>
      <w:bookmarkEnd w:id="52325"/>
      <w:r w:rsidR="00BB59CD">
        <w:rPr>
          <w:rFonts w:hint="cs"/>
          <w:rtl/>
        </w:rPr>
        <w:t>ו</w:t>
      </w:r>
      <w:bookmarkStart w:id="52326" w:name="_ETM_Q99_278920"/>
      <w:bookmarkStart w:id="52327" w:name="_ETM_Q99_276676"/>
      <w:bookmarkEnd w:id="52326"/>
      <w:bookmarkEnd w:id="52327"/>
      <w:r w:rsidR="00BB59CD">
        <w:rPr>
          <w:rFonts w:hint="cs"/>
          <w:rtl/>
        </w:rPr>
        <w:t xml:space="preserve">עמל </w:t>
      </w:r>
      <w:bookmarkStart w:id="52328" w:name="_ETM_Q99_279010"/>
      <w:bookmarkEnd w:id="52328"/>
      <w:r w:rsidR="00BB59CD">
        <w:rPr>
          <w:rFonts w:hint="cs"/>
          <w:rtl/>
        </w:rPr>
        <w:t xml:space="preserve">ישרים </w:t>
      </w:r>
      <w:bookmarkStart w:id="52329" w:name="_ETM_Q99_280000"/>
      <w:bookmarkEnd w:id="52329"/>
      <w:r w:rsidR="00BB59CD">
        <w:rPr>
          <w:rFonts w:hint="cs"/>
          <w:rtl/>
        </w:rPr>
        <w:t xml:space="preserve">במולדת </w:t>
      </w:r>
      <w:bookmarkStart w:id="52330" w:name="_ETM_Q99_280569"/>
      <w:bookmarkEnd w:id="52330"/>
      <w:r w:rsidR="00BB59CD">
        <w:rPr>
          <w:rFonts w:hint="cs"/>
          <w:rtl/>
        </w:rPr>
        <w:t>עמם.</w:t>
      </w:r>
      <w:bookmarkStart w:id="52331" w:name="_ETM_Q99_282039"/>
      <w:bookmarkStart w:id="52332" w:name="_ETM_Q99_277920"/>
      <w:bookmarkEnd w:id="52331"/>
      <w:bookmarkEnd w:id="52332"/>
      <w:r w:rsidR="00BB59CD">
        <w:rPr>
          <w:rFonts w:hint="cs"/>
          <w:rtl/>
        </w:rPr>
        <w:t xml:space="preserve"> במלחמת </w:t>
      </w:r>
      <w:bookmarkStart w:id="52333" w:name="_ETM_Q99_282579"/>
      <w:bookmarkEnd w:id="52333"/>
      <w:r w:rsidR="00BB59CD">
        <w:rPr>
          <w:rFonts w:hint="cs"/>
          <w:rtl/>
        </w:rPr>
        <w:t xml:space="preserve">העולם </w:t>
      </w:r>
      <w:bookmarkStart w:id="52334" w:name="_ETM_Q99_282849"/>
      <w:bookmarkEnd w:id="52334"/>
      <w:r w:rsidR="00BB59CD">
        <w:rPr>
          <w:rFonts w:hint="cs"/>
          <w:rtl/>
        </w:rPr>
        <w:t xml:space="preserve">השנייה </w:t>
      </w:r>
      <w:bookmarkStart w:id="52335" w:name="_ETM_Q99_283240"/>
      <w:bookmarkEnd w:id="52335"/>
      <w:r w:rsidR="00BB59CD">
        <w:rPr>
          <w:rFonts w:hint="cs"/>
          <w:rtl/>
        </w:rPr>
        <w:t>ת</w:t>
      </w:r>
      <w:bookmarkStart w:id="52336" w:name="_ETM_Q99_283359"/>
      <w:bookmarkEnd w:id="52336"/>
      <w:r w:rsidR="00BB59CD">
        <w:rPr>
          <w:rFonts w:hint="cs"/>
          <w:rtl/>
        </w:rPr>
        <w:t>ר</w:t>
      </w:r>
      <w:bookmarkStart w:id="52337" w:name="_ETM_Q99_281930"/>
      <w:bookmarkEnd w:id="52337"/>
      <w:r w:rsidR="00BB59CD">
        <w:rPr>
          <w:rFonts w:hint="cs"/>
          <w:rtl/>
        </w:rPr>
        <w:t xml:space="preserve">ם </w:t>
      </w:r>
      <w:bookmarkStart w:id="52338" w:name="_ETM_Q99_283659"/>
      <w:bookmarkEnd w:id="52338"/>
      <w:r w:rsidR="00BB59CD">
        <w:rPr>
          <w:rFonts w:hint="cs"/>
          <w:rtl/>
        </w:rPr>
        <w:t xml:space="preserve">היישוב </w:t>
      </w:r>
      <w:bookmarkStart w:id="52339" w:name="_ETM_Q99_283990"/>
      <w:bookmarkEnd w:id="52339"/>
      <w:r w:rsidR="00BB59CD">
        <w:rPr>
          <w:rFonts w:hint="cs"/>
          <w:rtl/>
        </w:rPr>
        <w:t xml:space="preserve">העברי </w:t>
      </w:r>
      <w:bookmarkStart w:id="52340" w:name="_ETM_Q99_284409"/>
      <w:bookmarkEnd w:id="52340"/>
      <w:r w:rsidR="00BB59CD">
        <w:rPr>
          <w:rFonts w:hint="cs"/>
          <w:rtl/>
        </w:rPr>
        <w:t xml:space="preserve">בארץ </w:t>
      </w:r>
      <w:bookmarkStart w:id="52341" w:name="_ETM_Q99_285009"/>
      <w:bookmarkEnd w:id="52341"/>
      <w:r w:rsidR="00BB59CD">
        <w:rPr>
          <w:rFonts w:hint="cs"/>
          <w:rtl/>
        </w:rPr>
        <w:t xml:space="preserve">את </w:t>
      </w:r>
      <w:bookmarkStart w:id="52342" w:name="_ETM_Q99_285159"/>
      <w:bookmarkEnd w:id="52342"/>
      <w:r w:rsidR="00BB59CD">
        <w:rPr>
          <w:rFonts w:hint="cs"/>
          <w:rtl/>
        </w:rPr>
        <w:t xml:space="preserve">מלוא </w:t>
      </w:r>
      <w:bookmarkStart w:id="52343" w:name="_ETM_Q99_285459"/>
      <w:bookmarkEnd w:id="52343"/>
      <w:r w:rsidR="00BB59CD">
        <w:rPr>
          <w:rFonts w:hint="cs"/>
          <w:rtl/>
        </w:rPr>
        <w:t xml:space="preserve">חלקו </w:t>
      </w:r>
      <w:bookmarkStart w:id="52344" w:name="_ETM_Q99_286650"/>
      <w:bookmarkEnd w:id="52344"/>
      <w:r w:rsidR="00BB59CD">
        <w:rPr>
          <w:rFonts w:hint="cs"/>
          <w:rtl/>
        </w:rPr>
        <w:t xml:space="preserve">למאבק </w:t>
      </w:r>
      <w:bookmarkStart w:id="52345" w:name="_ETM_Q99_287340"/>
      <w:bookmarkEnd w:id="52345"/>
      <w:r w:rsidR="00BB59CD">
        <w:rPr>
          <w:rFonts w:hint="cs"/>
          <w:rtl/>
        </w:rPr>
        <w:t xml:space="preserve">האומות </w:t>
      </w:r>
      <w:bookmarkStart w:id="52346" w:name="_ETM_Q99_287729"/>
      <w:bookmarkEnd w:id="52346"/>
      <w:r w:rsidR="00BB59CD">
        <w:rPr>
          <w:rFonts w:hint="cs"/>
          <w:rtl/>
        </w:rPr>
        <w:t xml:space="preserve">השוחרות </w:t>
      </w:r>
      <w:bookmarkStart w:id="52347" w:name="_ETM_Q99_288540"/>
      <w:bookmarkEnd w:id="52347"/>
      <w:r w:rsidR="00BB59CD">
        <w:rPr>
          <w:rFonts w:hint="cs"/>
          <w:rtl/>
        </w:rPr>
        <w:t xml:space="preserve">חירות </w:t>
      </w:r>
      <w:bookmarkStart w:id="52348" w:name="_ETM_Q99_289320"/>
      <w:bookmarkEnd w:id="52348"/>
      <w:r w:rsidR="00BB59CD">
        <w:rPr>
          <w:rFonts w:hint="cs"/>
          <w:rtl/>
        </w:rPr>
        <w:t xml:space="preserve">ושלום, </w:t>
      </w:r>
      <w:bookmarkStart w:id="52349" w:name="_ETM_Q99_290430"/>
      <w:bookmarkEnd w:id="52349"/>
      <w:r w:rsidR="00BB59CD">
        <w:rPr>
          <w:rFonts w:hint="cs"/>
          <w:rtl/>
        </w:rPr>
        <w:t xml:space="preserve">נגד </w:t>
      </w:r>
      <w:bookmarkStart w:id="52350" w:name="_ETM_Q99_290729"/>
      <w:bookmarkEnd w:id="52350"/>
      <w:r w:rsidR="00BB59CD">
        <w:rPr>
          <w:rFonts w:hint="cs"/>
          <w:rtl/>
        </w:rPr>
        <w:t xml:space="preserve">כוחות </w:t>
      </w:r>
      <w:bookmarkStart w:id="52351" w:name="_ETM_Q99_291119"/>
      <w:bookmarkEnd w:id="52351"/>
      <w:r w:rsidR="00BB59CD">
        <w:rPr>
          <w:rFonts w:hint="cs"/>
          <w:rtl/>
        </w:rPr>
        <w:t xml:space="preserve">הרשע </w:t>
      </w:r>
      <w:bookmarkStart w:id="52352" w:name="_ETM_Q99_291540"/>
      <w:bookmarkEnd w:id="52352"/>
      <w:r w:rsidR="00BB59CD">
        <w:rPr>
          <w:rFonts w:hint="cs"/>
          <w:rtl/>
        </w:rPr>
        <w:t>הנאצי</w:t>
      </w:r>
      <w:bookmarkStart w:id="52353" w:name="_ETM_Q99_291590"/>
      <w:bookmarkEnd w:id="52353"/>
      <w:r w:rsidR="00BB59CD">
        <w:rPr>
          <w:rFonts w:hint="cs"/>
          <w:rtl/>
        </w:rPr>
        <w:t>,</w:t>
      </w:r>
      <w:bookmarkStart w:id="52354" w:name="_ETM_Q99_292499"/>
      <w:bookmarkEnd w:id="52354"/>
      <w:r w:rsidR="00BB59CD">
        <w:rPr>
          <w:rFonts w:hint="cs"/>
          <w:rtl/>
        </w:rPr>
        <w:t xml:space="preserve"> ובדם חייליו ובמאמצו המלחמתי קנה לו את הזכות להי</w:t>
      </w:r>
      <w:bookmarkStart w:id="52355" w:name="_ETM_Q99_316240"/>
      <w:bookmarkEnd w:id="52355"/>
      <w:r w:rsidR="00BB59CD">
        <w:rPr>
          <w:rFonts w:hint="cs"/>
          <w:rtl/>
        </w:rPr>
        <w:t>מנות עם העמים מייסדי ברית האומות המאוחדות. ב-29 בנובמבר 1947 קיבלה עצרת האומות המאוחדות החלטה המחייבת הקמת מדינה יהודית בארץ ישראל; העצרת תבעה מאת תושבי ארץ ישראל לאחוז בעצמם בכל הצעדים הנדרשים מצידם הם לביצוע ההחלטה. הכרה זו של האומות המאוחדות בזכות העם היהודי להקים את מדינתו אינה ניתנת להפקעה.</w:t>
      </w:r>
      <w:bookmarkStart w:id="52356" w:name="_ETM_Q99_329310"/>
      <w:bookmarkEnd w:id="52356"/>
      <w:r w:rsidR="00BB59CD">
        <w:rPr>
          <w:rFonts w:hint="cs"/>
          <w:rtl/>
        </w:rPr>
        <w:t xml:space="preserve"> זוהי זכותו הטבעית של העם היהודי להיות ככל עם ועם עומד ברשות עצמו במדינתו הריבונית.</w:t>
      </w:r>
    </w:p>
    <w:p w:rsidR="00BB59CD" w:rsidRDefault="00BB59CD" w:rsidP="00BB59CD">
      <w:pPr>
        <w:rPr>
          <w:rtl/>
        </w:rPr>
      </w:pPr>
    </w:p>
    <w:p w:rsidR="00BB59CD" w:rsidRDefault="00374B1A" w:rsidP="00374B1A">
      <w:pPr>
        <w:rPr>
          <w:rtl/>
        </w:rPr>
      </w:pPr>
      <w:r>
        <w:rPr>
          <w:rFonts w:hint="cs"/>
          <w:rtl/>
        </w:rPr>
        <w:t>"</w:t>
      </w:r>
      <w:r w:rsidR="00BB59CD">
        <w:rPr>
          <w:rFonts w:hint="cs"/>
          <w:rtl/>
        </w:rPr>
        <w:t>לפיכך נתכנסנו, אנו חברי מועצת העם, נציגי היישוב העברי והתנועה הציונית, ביום סיום המנדט הבריטי על ארץ ישראל, ובתוקף זכותנו הטבעית וההיסטורית ועל יסוד החלטת עצרת האומות המאוחדות אנו מכריזים בזאת על הקמת מדינה יהודית בארץ ישראל, היא מדינת ישראל.</w:t>
      </w:r>
      <w:r>
        <w:rPr>
          <w:rFonts w:hint="cs"/>
          <w:rtl/>
        </w:rPr>
        <w:t xml:space="preserve">  </w:t>
      </w:r>
      <w:r w:rsidR="00BB59CD">
        <w:rPr>
          <w:rFonts w:hint="cs"/>
          <w:rtl/>
        </w:rPr>
        <w:t>אנו קובעים שהחל מרגע סיום המנדט, הלילה, אור ליום שבת ו' אייר תש"ח, 15 במאי 1948, ועד להקמת השלטונות הנבחרים והסדירים של המדינה בהתאם לחוקה שתיקבע ​על-ידי האספה המכוננת הנבחרת לא יאוחר מ-1 באוקטובר 1948 –</w:t>
      </w:r>
      <w:bookmarkStart w:id="52357" w:name="_ETM_Q99_387540"/>
      <w:bookmarkEnd w:id="52357"/>
      <w:r w:rsidR="00BB59CD">
        <w:rPr>
          <w:rFonts w:hint="cs"/>
          <w:rtl/>
        </w:rPr>
        <w:t xml:space="preserve"> תפעל מועצת העם כמועצת מדינה זמנית, ומוסד הביצוע שלה, מינהלת העם, יהווה את הממשלה הזמנית של המדינה היהודית, אשר תיקר​א בשם ישראל.</w:t>
      </w:r>
    </w:p>
    <w:p w:rsidR="00BB59CD" w:rsidRDefault="00BB59CD" w:rsidP="00BB59CD">
      <w:pPr>
        <w:rPr>
          <w:rtl/>
        </w:rPr>
      </w:pPr>
    </w:p>
    <w:p w:rsidR="00BB59CD" w:rsidRDefault="00374B1A" w:rsidP="00374B1A">
      <w:pPr>
        <w:rPr>
          <w:rtl/>
        </w:rPr>
      </w:pPr>
      <w:r>
        <w:rPr>
          <w:rFonts w:hint="cs"/>
          <w:rtl/>
        </w:rPr>
        <w:t>"</w:t>
      </w:r>
      <w:r w:rsidR="00BB59CD">
        <w:rPr>
          <w:rFonts w:hint="cs"/>
          <w:rtl/>
        </w:rPr>
        <w:t>מדינת ישראל תהא פתוחה לעלייה יהודית ולקיבוץ גלויות; תשקוד על פיתוח הארץ לטובת כל תושביה; תהא מושתתה על יסודות החירות, הצדק והשלום לאור חזונם של נביאי ישראל; תקיים שוויון זכויות</w:t>
      </w:r>
      <w:bookmarkStart w:id="52358" w:name="_ETM_Q99_414241"/>
      <w:bookmarkEnd w:id="52358"/>
      <w:r w:rsidR="00BB59CD">
        <w:rPr>
          <w:rFonts w:hint="cs"/>
          <w:rtl/>
        </w:rPr>
        <w:t xml:space="preserve"> חברתי ומדיני גמור לכל אזרחיה בלי הבדל דת, גזע ומין; תבטיח חופש דת, מצפון, לשון, חינוך ותרבות; תשמור על המקומות הקדושים של כל הדתות; ותהיה נאמנה לעקרונותיה של מגילת האומות המאוחדות. מדינת ישראל תהא מוכנה לשתף פעולה עם המוסדות והנציגים של האומות המאוחדות בהגשמת החלטת העצרת מיום 29 בנובמבר 1947 ותפעל להקמת האחדות הכלכלית של ארץ ישראל בשלמותה.</w:t>
      </w:r>
      <w:r>
        <w:rPr>
          <w:rFonts w:hint="cs"/>
          <w:rtl/>
        </w:rPr>
        <w:t xml:space="preserve"> </w:t>
      </w:r>
      <w:r w:rsidR="00BB59CD">
        <w:rPr>
          <w:rFonts w:hint="cs"/>
          <w:rtl/>
        </w:rPr>
        <w:t>אנו קוראים לאומות המאוחדות לתת יד לעם היהודי בבניין מדינתו ולקבל את מדינת ישראל לתוך משפחת העמים. אנו קוראים</w:t>
      </w:r>
      <w:bookmarkStart w:id="52359" w:name="_ETM_Q99_463490"/>
      <w:bookmarkEnd w:id="52359"/>
      <w:r w:rsidR="00BB59CD">
        <w:rPr>
          <w:rFonts w:hint="cs"/>
          <w:rtl/>
        </w:rPr>
        <w:t xml:space="preserve"> </w:t>
      </w:r>
      <w:bookmarkStart w:id="52360" w:name="_ETM_Q99_460080"/>
      <w:bookmarkEnd w:id="52360"/>
      <w:r w:rsidR="00BB59CD">
        <w:rPr>
          <w:rFonts w:hint="cs"/>
          <w:rtl/>
        </w:rPr>
        <w:t>– גם בתוך התקפת הדמים הנערכת עלינו זה חודשים – לבני העם הערבי תושבי מדינת ישראל לשמור על שלום וליטול חלקם בבניין המדינה על יסוד אזרחות מלאה ושווה ועל יסוד נציגות מתאימה בכל מוסדותיה, הזמניים והקבועים. אנו מושיטים יד שלום ושכנות טובה לכל המדינות השכנות ועמיהן, וקוראים להם לשיתוף פעולה ועזרה הדדית עם העם העברי העצמאי בארצו. מדינת ישראל מוכנה לתרום חלקה במאמץ משותף לקדמת המזרח התיכון כולו.</w:t>
      </w:r>
      <w:r>
        <w:rPr>
          <w:rFonts w:hint="cs"/>
          <w:rtl/>
        </w:rPr>
        <w:t xml:space="preserve"> </w:t>
      </w:r>
      <w:r w:rsidR="00BB59CD">
        <w:rPr>
          <w:rFonts w:hint="cs"/>
          <w:rtl/>
        </w:rPr>
        <w:t>אנו קוראים אל העם היהודי בכל התפוצות להתלכד סביב היישוב בעלייה ובבני</w:t>
      </w:r>
      <w:bookmarkStart w:id="52361" w:name="_ETM_Q99_504455"/>
      <w:bookmarkEnd w:id="52361"/>
      <w:r w:rsidR="00BB59CD">
        <w:rPr>
          <w:rFonts w:hint="cs"/>
          <w:rtl/>
        </w:rPr>
        <w:t xml:space="preserve">ין ולעמוד לימינו במערכה הגדולה על הגשמת שאיפת הדורות לגאולת ישראל. </w:t>
      </w:r>
    </w:p>
    <w:p w:rsidR="00BB59CD" w:rsidRDefault="00BB59CD" w:rsidP="00BB59CD">
      <w:pPr>
        <w:rPr>
          <w:rtl/>
        </w:rPr>
      </w:pPr>
    </w:p>
    <w:p w:rsidR="00BB59CD" w:rsidRDefault="00374B1A" w:rsidP="00BB59CD">
      <w:pPr>
        <w:rPr>
          <w:rtl/>
        </w:rPr>
      </w:pPr>
      <w:r>
        <w:rPr>
          <w:rFonts w:hint="cs"/>
          <w:rtl/>
        </w:rPr>
        <w:t>"</w:t>
      </w:r>
      <w:r w:rsidR="00BB59CD">
        <w:rPr>
          <w:rFonts w:hint="cs"/>
          <w:rtl/>
        </w:rPr>
        <w:t>מתוך ביטחון בצור ישראל היננו חותמים בחתימת ידינו לעדות על הכרזה זו, במושב מועצת המדינה הזמנית, על אדמת המולדת, בעיר תל אביב, היום הזה, ערב שבת, ה' אייר התש"ח, 14 במאי 1948".</w:t>
      </w:r>
      <w:bookmarkStart w:id="52362" w:name="_ETM_Q99_289731"/>
      <w:bookmarkEnd w:id="52362"/>
    </w:p>
    <w:p w:rsidR="00BB59CD" w:rsidRDefault="00BB59CD" w:rsidP="00BB59CD">
      <w:pPr>
        <w:rPr>
          <w:rtl/>
        </w:rPr>
      </w:pPr>
    </w:p>
    <w:p w:rsidR="00BB59CD" w:rsidRDefault="00BB59CD" w:rsidP="00BB59CD">
      <w:pPr>
        <w:rPr>
          <w:rtl/>
        </w:rPr>
      </w:pPr>
      <w:bookmarkStart w:id="52363" w:name="_ETM_Q99_532430"/>
      <w:bookmarkStart w:id="52364" w:name="_ETM_Q99_534160"/>
      <w:bookmarkStart w:id="52365" w:name="_ETM_Q99_534502"/>
      <w:bookmarkStart w:id="52366" w:name="_ETM_Q99_536239"/>
      <w:bookmarkStart w:id="52367" w:name="_ETM_Q99_533890"/>
      <w:bookmarkEnd w:id="52363"/>
      <w:bookmarkEnd w:id="52364"/>
      <w:bookmarkEnd w:id="52365"/>
      <w:bookmarkEnd w:id="52366"/>
      <w:bookmarkEnd w:id="52367"/>
      <w:r>
        <w:rPr>
          <w:rFonts w:hint="cs"/>
          <w:rtl/>
        </w:rPr>
        <w:t xml:space="preserve">כך </w:t>
      </w:r>
      <w:bookmarkStart w:id="52368" w:name="_ETM_Q99_536600"/>
      <w:bookmarkEnd w:id="52368"/>
      <w:r>
        <w:rPr>
          <w:rFonts w:hint="cs"/>
          <w:rtl/>
        </w:rPr>
        <w:t xml:space="preserve">חתמו </w:t>
      </w:r>
      <w:bookmarkStart w:id="52369" w:name="_ETM_Q99_537809"/>
      <w:bookmarkEnd w:id="52369"/>
      <w:r>
        <w:rPr>
          <w:rFonts w:hint="cs"/>
          <w:rtl/>
        </w:rPr>
        <w:t xml:space="preserve">נציגי </w:t>
      </w:r>
      <w:bookmarkStart w:id="52370" w:name="_ETM_Q99_539100"/>
      <w:bookmarkEnd w:id="52370"/>
      <w:r>
        <w:rPr>
          <w:rFonts w:hint="cs"/>
          <w:rtl/>
        </w:rPr>
        <w:t>היישוב,</w:t>
      </w:r>
      <w:bookmarkStart w:id="52371" w:name="_ETM_Q99_537751"/>
      <w:bookmarkEnd w:id="52371"/>
      <w:r>
        <w:rPr>
          <w:rFonts w:hint="cs"/>
          <w:rtl/>
        </w:rPr>
        <w:t xml:space="preserve"> </w:t>
      </w:r>
      <w:bookmarkStart w:id="52372" w:name="_ETM_Q99_539850"/>
      <w:bookmarkEnd w:id="52372"/>
      <w:r>
        <w:rPr>
          <w:rFonts w:hint="cs"/>
          <w:rtl/>
        </w:rPr>
        <w:t xml:space="preserve">הנהלת </w:t>
      </w:r>
      <w:bookmarkStart w:id="52373" w:name="_ETM_Q99_540239"/>
      <w:bookmarkEnd w:id="52373"/>
      <w:r>
        <w:rPr>
          <w:rFonts w:hint="cs"/>
          <w:rtl/>
        </w:rPr>
        <w:t>היישוב,</w:t>
      </w:r>
      <w:bookmarkStart w:id="52374" w:name="_ETM_Q99_540389"/>
      <w:bookmarkStart w:id="52375" w:name="_ETM_Q99_539000"/>
      <w:bookmarkEnd w:id="52374"/>
      <w:bookmarkEnd w:id="52375"/>
      <w:r>
        <w:rPr>
          <w:rFonts w:hint="cs"/>
          <w:rtl/>
        </w:rPr>
        <w:t xml:space="preserve"> </w:t>
      </w:r>
      <w:bookmarkStart w:id="52376" w:name="_ETM_Q99_541550"/>
      <w:bookmarkEnd w:id="52376"/>
      <w:r>
        <w:rPr>
          <w:rFonts w:hint="cs"/>
          <w:rtl/>
        </w:rPr>
        <w:t xml:space="preserve">ואדוני </w:t>
      </w:r>
      <w:bookmarkStart w:id="52377" w:name="_ETM_Q99_542390"/>
      <w:bookmarkEnd w:id="52377"/>
      <w:r>
        <w:rPr>
          <w:rFonts w:hint="cs"/>
          <w:rtl/>
        </w:rPr>
        <w:t xml:space="preserve">היושב-ראש, </w:t>
      </w:r>
      <w:bookmarkStart w:id="52378" w:name="_ETM_Q99_543410"/>
      <w:bookmarkEnd w:id="52378"/>
      <w:r>
        <w:rPr>
          <w:rFonts w:hint="cs"/>
          <w:rtl/>
        </w:rPr>
        <w:t xml:space="preserve">אני </w:t>
      </w:r>
      <w:bookmarkStart w:id="52379" w:name="_ETM_Q99_543589"/>
      <w:bookmarkEnd w:id="52379"/>
      <w:r>
        <w:rPr>
          <w:rFonts w:hint="cs"/>
          <w:rtl/>
        </w:rPr>
        <w:t xml:space="preserve">בספק </w:t>
      </w:r>
      <w:bookmarkStart w:id="52380" w:name="_ETM_Q99_544070"/>
      <w:bookmarkEnd w:id="52380"/>
      <w:r>
        <w:rPr>
          <w:rFonts w:hint="cs"/>
          <w:rtl/>
        </w:rPr>
        <w:t xml:space="preserve">אם </w:t>
      </w:r>
      <w:bookmarkStart w:id="52381" w:name="_ETM_Q99_544190"/>
      <w:bookmarkEnd w:id="52381"/>
      <w:r>
        <w:rPr>
          <w:rFonts w:hint="cs"/>
          <w:rtl/>
        </w:rPr>
        <w:t xml:space="preserve">כל </w:t>
      </w:r>
      <w:bookmarkStart w:id="52382" w:name="_ETM_Q99_544490"/>
      <w:bookmarkEnd w:id="52382"/>
      <w:r>
        <w:rPr>
          <w:rFonts w:hint="cs"/>
          <w:rtl/>
        </w:rPr>
        <w:t xml:space="preserve">120 </w:t>
      </w:r>
      <w:bookmarkStart w:id="52383" w:name="_ETM_Q99_545150"/>
      <w:bookmarkEnd w:id="52383"/>
      <w:r>
        <w:rPr>
          <w:rFonts w:hint="cs"/>
          <w:rtl/>
        </w:rPr>
        <w:t xml:space="preserve">חברי </w:t>
      </w:r>
      <w:bookmarkStart w:id="52384" w:name="_ETM_Q99_545450"/>
      <w:bookmarkEnd w:id="52384"/>
      <w:r>
        <w:rPr>
          <w:rFonts w:hint="cs"/>
          <w:rtl/>
        </w:rPr>
        <w:t xml:space="preserve">הכנסת </w:t>
      </w:r>
      <w:bookmarkStart w:id="52385" w:name="_ETM_Q99_546080"/>
      <w:bookmarkEnd w:id="52385"/>
      <w:r>
        <w:rPr>
          <w:rFonts w:hint="cs"/>
          <w:rtl/>
        </w:rPr>
        <w:t xml:space="preserve">בבניין </w:t>
      </w:r>
      <w:bookmarkStart w:id="52386" w:name="_ETM_Q99_546619"/>
      <w:bookmarkEnd w:id="52386"/>
      <w:r>
        <w:rPr>
          <w:rFonts w:hint="cs"/>
          <w:rtl/>
        </w:rPr>
        <w:t xml:space="preserve">הזה </w:t>
      </w:r>
      <w:bookmarkStart w:id="52387" w:name="_ETM_Q99_547839"/>
      <w:bookmarkEnd w:id="52387"/>
      <w:r>
        <w:rPr>
          <w:rFonts w:hint="cs"/>
          <w:rtl/>
        </w:rPr>
        <w:t xml:space="preserve">– לדאבוני, </w:t>
      </w:r>
      <w:bookmarkStart w:id="52388" w:name="_ETM_Q99_548560"/>
      <w:bookmarkEnd w:id="52388"/>
      <w:r>
        <w:rPr>
          <w:rFonts w:hint="cs"/>
          <w:rtl/>
        </w:rPr>
        <w:t xml:space="preserve">אני </w:t>
      </w:r>
      <w:bookmarkStart w:id="52389" w:name="_ETM_Q99_548770"/>
      <w:bookmarkEnd w:id="52389"/>
      <w:r>
        <w:rPr>
          <w:rFonts w:hint="cs"/>
          <w:rtl/>
        </w:rPr>
        <w:t xml:space="preserve">אומר </w:t>
      </w:r>
      <w:bookmarkStart w:id="52390" w:name="_ETM_Q99_549039"/>
      <w:bookmarkEnd w:id="52390"/>
      <w:r>
        <w:rPr>
          <w:rFonts w:hint="cs"/>
          <w:rtl/>
        </w:rPr>
        <w:t xml:space="preserve">את </w:t>
      </w:r>
      <w:bookmarkStart w:id="52391" w:name="_ETM_Q99_549130"/>
      <w:bookmarkEnd w:id="52391"/>
      <w:r>
        <w:rPr>
          <w:rFonts w:hint="cs"/>
          <w:rtl/>
        </w:rPr>
        <w:t>זה</w:t>
      </w:r>
      <w:bookmarkStart w:id="52392" w:name="_ETM_Q99_549430"/>
      <w:bookmarkEnd w:id="52392"/>
      <w:r>
        <w:rPr>
          <w:rFonts w:hint="cs"/>
          <w:rtl/>
        </w:rPr>
        <w:t xml:space="preserve"> </w:t>
      </w:r>
      <w:bookmarkStart w:id="52393" w:name="_ETM_Q99_549820"/>
      <w:bookmarkEnd w:id="52393"/>
      <w:r>
        <w:rPr>
          <w:rFonts w:hint="cs"/>
          <w:rtl/>
        </w:rPr>
        <w:t xml:space="preserve">– יהיו </w:t>
      </w:r>
      <w:bookmarkStart w:id="52394" w:name="_ETM_Q99_550000"/>
      <w:bookmarkEnd w:id="52394"/>
      <w:r>
        <w:rPr>
          <w:rFonts w:hint="cs"/>
          <w:rtl/>
        </w:rPr>
        <w:t xml:space="preserve">מוכנים </w:t>
      </w:r>
      <w:bookmarkStart w:id="52395" w:name="_ETM_Q99_550450"/>
      <w:bookmarkEnd w:id="52395"/>
      <w:r>
        <w:rPr>
          <w:rFonts w:hint="cs"/>
          <w:rtl/>
        </w:rPr>
        <w:t xml:space="preserve">לחתום </w:t>
      </w:r>
      <w:bookmarkStart w:id="52396" w:name="_ETM_Q99_551589"/>
      <w:bookmarkEnd w:id="52396"/>
      <w:r>
        <w:rPr>
          <w:rFonts w:hint="cs"/>
          <w:rtl/>
        </w:rPr>
        <w:t xml:space="preserve">על </w:t>
      </w:r>
      <w:bookmarkStart w:id="52397" w:name="_ETM_Q99_551770"/>
      <w:bookmarkEnd w:id="52397"/>
      <w:r>
        <w:rPr>
          <w:rFonts w:hint="cs"/>
          <w:rtl/>
        </w:rPr>
        <w:t xml:space="preserve">אותה </w:t>
      </w:r>
      <w:bookmarkStart w:id="52398" w:name="_ETM_Q99_552039"/>
      <w:bookmarkEnd w:id="52398"/>
      <w:r>
        <w:rPr>
          <w:rFonts w:hint="cs"/>
          <w:rtl/>
        </w:rPr>
        <w:t xml:space="preserve">הצהרת </w:t>
      </w:r>
      <w:bookmarkStart w:id="52399" w:name="_ETM_Q99_552399"/>
      <w:bookmarkEnd w:id="52399"/>
      <w:r>
        <w:rPr>
          <w:rFonts w:hint="cs"/>
          <w:rtl/>
        </w:rPr>
        <w:t xml:space="preserve">עצמאות </w:t>
      </w:r>
      <w:bookmarkStart w:id="52400" w:name="_ETM_Q99_553610"/>
      <w:bookmarkEnd w:id="52400"/>
      <w:r>
        <w:rPr>
          <w:rFonts w:hint="cs"/>
          <w:rtl/>
        </w:rPr>
        <w:t xml:space="preserve">שעל בסיסה </w:t>
      </w:r>
      <w:bookmarkStart w:id="52401" w:name="_ETM_Q99_554630"/>
      <w:bookmarkStart w:id="52402" w:name="_ETM_Q99_555290"/>
      <w:bookmarkEnd w:id="52401"/>
      <w:bookmarkEnd w:id="52402"/>
      <w:r>
        <w:rPr>
          <w:rFonts w:hint="cs"/>
          <w:rtl/>
        </w:rPr>
        <w:t xml:space="preserve">הוקמה </w:t>
      </w:r>
      <w:bookmarkStart w:id="52403" w:name="_ETM_Q99_555620"/>
      <w:bookmarkEnd w:id="52403"/>
      <w:r>
        <w:rPr>
          <w:rFonts w:hint="cs"/>
          <w:rtl/>
        </w:rPr>
        <w:t xml:space="preserve">מדינת </w:t>
      </w:r>
      <w:bookmarkStart w:id="52404" w:name="_ETM_Q99_556040"/>
      <w:bookmarkEnd w:id="52404"/>
      <w:r>
        <w:rPr>
          <w:rFonts w:hint="cs"/>
          <w:rtl/>
        </w:rPr>
        <w:t>ישראל.</w:t>
      </w:r>
      <w:bookmarkStart w:id="52405" w:name="_ETM_Q99_556689"/>
      <w:bookmarkEnd w:id="52405"/>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2406" w:name="_ETM_Q99_555359"/>
      <w:bookmarkStart w:id="52407" w:name="_ETM_Q99_551989"/>
      <w:bookmarkEnd w:id="52406"/>
      <w:bookmarkEnd w:id="52407"/>
      <w:r>
        <w:rPr>
          <w:rFonts w:hint="cs"/>
          <w:rtl/>
        </w:rPr>
        <w:t xml:space="preserve">איזו </w:t>
      </w:r>
      <w:bookmarkStart w:id="52408" w:name="_ETM_Q99_556990"/>
      <w:bookmarkEnd w:id="52408"/>
      <w:r>
        <w:rPr>
          <w:rFonts w:hint="cs"/>
          <w:rtl/>
        </w:rPr>
        <w:t xml:space="preserve">מילה </w:t>
      </w:r>
      <w:bookmarkStart w:id="52409" w:name="_ETM_Q99_557289"/>
      <w:bookmarkEnd w:id="52409"/>
      <w:r>
        <w:rPr>
          <w:rFonts w:hint="cs"/>
          <w:rtl/>
        </w:rPr>
        <w:t xml:space="preserve">חסרה </w:t>
      </w:r>
      <w:bookmarkStart w:id="52410" w:name="_ETM_Q99_557799"/>
      <w:bookmarkEnd w:id="52410"/>
      <w:r>
        <w:rPr>
          <w:rFonts w:hint="cs"/>
          <w:rtl/>
        </w:rPr>
        <w:t>במגילה?</w:t>
      </w:r>
      <w:bookmarkStart w:id="52411" w:name="_ETM_Q99_559260"/>
      <w:bookmarkEnd w:id="52411"/>
    </w:p>
    <w:p w:rsidR="00BB59CD" w:rsidRDefault="00BB59CD" w:rsidP="00BB59CD">
      <w:pPr>
        <w:rPr>
          <w:rtl/>
        </w:rPr>
      </w:pPr>
    </w:p>
    <w:p w:rsidR="00BB59CD" w:rsidRDefault="00BB59CD" w:rsidP="00BB59CD">
      <w:pPr>
        <w:pStyle w:val="-"/>
        <w:keepNext/>
        <w:rPr>
          <w:rtl/>
        </w:rPr>
      </w:pPr>
      <w:bookmarkStart w:id="52412" w:name="ET_speakercontinue_5787_4"/>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52412"/>
    </w:p>
    <w:p w:rsidR="00BB59CD" w:rsidRDefault="00BB59CD" w:rsidP="00337201">
      <w:pPr>
        <w:rPr>
          <w:rtl/>
        </w:rPr>
      </w:pPr>
    </w:p>
    <w:p w:rsidR="00BB59CD" w:rsidRDefault="00BB59CD" w:rsidP="00BB59CD">
      <w:pPr>
        <w:rPr>
          <w:rtl/>
        </w:rPr>
      </w:pPr>
      <w:bookmarkStart w:id="52413" w:name="_ETM_Q99_556999"/>
      <w:bookmarkEnd w:id="52413"/>
      <w:r>
        <w:rPr>
          <w:rFonts w:hint="cs"/>
          <w:rtl/>
        </w:rPr>
        <w:t>איז</w:t>
      </w:r>
      <w:bookmarkStart w:id="52414" w:name="_ETM_Q99_559470"/>
      <w:bookmarkStart w:id="52415" w:name="_ETM_Q99_559839"/>
      <w:bookmarkEnd w:id="52414"/>
      <w:bookmarkEnd w:id="52415"/>
      <w:r>
        <w:rPr>
          <w:rFonts w:hint="cs"/>
          <w:rtl/>
        </w:rPr>
        <w:t>ו</w:t>
      </w:r>
      <w:bookmarkStart w:id="52416" w:name="_ETM_Q99_559139"/>
      <w:bookmarkEnd w:id="52416"/>
      <w:r>
        <w:rPr>
          <w:rFonts w:hint="cs"/>
          <w:rtl/>
        </w:rPr>
        <w:t xml:space="preserve"> </w:t>
      </w:r>
      <w:bookmarkStart w:id="52417" w:name="_ETM_Q99_559990"/>
      <w:bookmarkEnd w:id="52417"/>
      <w:r>
        <w:rPr>
          <w:rFonts w:hint="cs"/>
          <w:rtl/>
        </w:rPr>
        <w:t xml:space="preserve">מילה </w:t>
      </w:r>
      <w:bookmarkStart w:id="52418" w:name="_ETM_Q99_560170"/>
      <w:bookmarkEnd w:id="52418"/>
      <w:r>
        <w:rPr>
          <w:rFonts w:hint="cs"/>
          <w:rtl/>
        </w:rPr>
        <w:t xml:space="preserve">חסרה, </w:t>
      </w:r>
      <w:bookmarkStart w:id="52419" w:name="_ETM_Q99_560770"/>
      <w:bookmarkEnd w:id="52419"/>
      <w:r>
        <w:rPr>
          <w:rFonts w:hint="cs"/>
          <w:rtl/>
        </w:rPr>
        <w:t>לשיטתך?</w:t>
      </w:r>
      <w:bookmarkStart w:id="52420" w:name="_ETM_Q99_561740"/>
      <w:bookmarkEnd w:id="52420"/>
    </w:p>
    <w:p w:rsidR="00BB59CD" w:rsidRDefault="00BB59CD" w:rsidP="00BB59CD">
      <w:pPr>
        <w:rPr>
          <w:rtl/>
        </w:rPr>
      </w:pPr>
      <w:bookmarkStart w:id="52421" w:name="_ETM_Q99_564016"/>
      <w:bookmarkStart w:id="52422" w:name="_ETM_Q99_564091"/>
      <w:bookmarkStart w:id="52423" w:name="_ETM_Q99_559499"/>
      <w:bookmarkEnd w:id="52421"/>
      <w:bookmarkEnd w:id="52422"/>
      <w:bookmarkEnd w:id="52423"/>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2424" w:name="_ETM_Q99_561557"/>
      <w:bookmarkStart w:id="52425" w:name="_ETM_Q99_564192"/>
      <w:bookmarkStart w:id="52426" w:name="_ETM_Q99_564261"/>
      <w:bookmarkEnd w:id="52424"/>
      <w:bookmarkEnd w:id="52425"/>
      <w:bookmarkEnd w:id="52426"/>
      <w:r>
        <w:rPr>
          <w:rFonts w:hint="cs"/>
          <w:rtl/>
        </w:rPr>
        <w:t>"דמוקרטיה".</w:t>
      </w:r>
      <w:bookmarkStart w:id="52427" w:name="_ETM_Q99_563790"/>
      <w:bookmarkEnd w:id="52427"/>
    </w:p>
    <w:p w:rsidR="00BB59CD" w:rsidRDefault="00BB59CD" w:rsidP="00BB59CD">
      <w:pPr>
        <w:rPr>
          <w:rtl/>
        </w:rPr>
      </w:pPr>
      <w:bookmarkStart w:id="52428" w:name="_ETM_Q99_564833"/>
      <w:bookmarkStart w:id="52429" w:name="_ETM_Q99_564894"/>
      <w:bookmarkEnd w:id="52428"/>
      <w:bookmarkEnd w:id="52429"/>
    </w:p>
    <w:p w:rsidR="00BB59CD" w:rsidRDefault="00BB59CD" w:rsidP="00BB59CD">
      <w:pPr>
        <w:pStyle w:val="-"/>
        <w:keepNext/>
        <w:rPr>
          <w:rtl/>
        </w:rPr>
      </w:pPr>
      <w:bookmarkStart w:id="52430" w:name="ET_speakercontinue_5787_6"/>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52430"/>
    </w:p>
    <w:p w:rsidR="00BB59CD" w:rsidRDefault="00BB59CD" w:rsidP="00337201">
      <w:pPr>
        <w:rPr>
          <w:rtl/>
        </w:rPr>
      </w:pPr>
    </w:p>
    <w:p w:rsidR="00BB59CD" w:rsidRDefault="00BB59CD" w:rsidP="00BB59CD">
      <w:pPr>
        <w:rPr>
          <w:rtl/>
        </w:rPr>
      </w:pPr>
      <w:bookmarkStart w:id="52431" w:name="_ETM_Q99_567468"/>
      <w:bookmarkStart w:id="52432" w:name="_ETM_Q99_565025"/>
      <w:bookmarkStart w:id="52433" w:name="_ETM_Q99_565094"/>
      <w:bookmarkEnd w:id="52431"/>
      <w:bookmarkEnd w:id="52432"/>
      <w:bookmarkEnd w:id="52433"/>
      <w:r>
        <w:rPr>
          <w:rFonts w:hint="cs"/>
          <w:rtl/>
        </w:rPr>
        <w:t>נכון</w:t>
      </w:r>
      <w:bookmarkStart w:id="52434" w:name="_ETM_Q99_563149"/>
      <w:bookmarkEnd w:id="52434"/>
      <w:r>
        <w:rPr>
          <w:rFonts w:hint="cs"/>
          <w:rtl/>
        </w:rPr>
        <w:t xml:space="preserve">, </w:t>
      </w:r>
      <w:bookmarkStart w:id="52435" w:name="_ETM_Q99_564810"/>
      <w:bookmarkEnd w:id="52435"/>
      <w:r>
        <w:rPr>
          <w:rFonts w:hint="cs"/>
          <w:rtl/>
        </w:rPr>
        <w:t xml:space="preserve">אבל </w:t>
      </w:r>
      <w:bookmarkStart w:id="52436" w:name="_ETM_Q99_565020"/>
      <w:bookmarkEnd w:id="52436"/>
      <w:r>
        <w:rPr>
          <w:rFonts w:hint="cs"/>
          <w:rtl/>
        </w:rPr>
        <w:t xml:space="preserve">כל </w:t>
      </w:r>
      <w:bookmarkStart w:id="52437" w:name="_ETM_Q99_565290"/>
      <w:bookmarkEnd w:id="52437"/>
      <w:r>
        <w:rPr>
          <w:rFonts w:hint="cs"/>
          <w:rtl/>
        </w:rPr>
        <w:t xml:space="preserve">הערכים </w:t>
      </w:r>
      <w:bookmarkStart w:id="52438" w:name="_ETM_Q99_565740"/>
      <w:bookmarkEnd w:id="52438"/>
      <w:r>
        <w:rPr>
          <w:rFonts w:hint="cs"/>
          <w:rtl/>
        </w:rPr>
        <w:t>ש</w:t>
      </w:r>
      <w:bookmarkStart w:id="52439" w:name="_ETM_Q99_565890"/>
      <w:bookmarkEnd w:id="52439"/>
      <w:r>
        <w:rPr>
          <w:rFonts w:hint="cs"/>
          <w:rtl/>
        </w:rPr>
        <w:t xml:space="preserve">דמוקרטיה </w:t>
      </w:r>
      <w:bookmarkStart w:id="52440" w:name="_ETM_Q99_566490"/>
      <w:bookmarkEnd w:id="52440"/>
      <w:r>
        <w:rPr>
          <w:rFonts w:hint="cs"/>
          <w:rtl/>
        </w:rPr>
        <w:t xml:space="preserve">מסמלת </w:t>
      </w:r>
      <w:bookmarkStart w:id="52441" w:name="_ETM_Q99_567000"/>
      <w:bookmarkEnd w:id="52441"/>
      <w:r>
        <w:rPr>
          <w:rFonts w:hint="cs"/>
          <w:rtl/>
        </w:rPr>
        <w:t xml:space="preserve">ומגלמת </w:t>
      </w:r>
      <w:bookmarkStart w:id="52442" w:name="_ETM_Q99_568139"/>
      <w:bookmarkEnd w:id="52442"/>
      <w:r>
        <w:rPr>
          <w:rFonts w:hint="cs"/>
          <w:rtl/>
        </w:rPr>
        <w:t xml:space="preserve">מופיעים </w:t>
      </w:r>
      <w:bookmarkStart w:id="52443" w:name="_ETM_Q99_568709"/>
      <w:bookmarkEnd w:id="52443"/>
      <w:r>
        <w:rPr>
          <w:rFonts w:hint="cs"/>
          <w:rtl/>
        </w:rPr>
        <w:t xml:space="preserve">במגילה. </w:t>
      </w:r>
      <w:bookmarkStart w:id="52444" w:name="_ETM_Q99_569609"/>
      <w:bookmarkEnd w:id="52444"/>
      <w:r>
        <w:rPr>
          <w:rFonts w:hint="cs"/>
          <w:rtl/>
        </w:rPr>
        <w:t xml:space="preserve">אתה </w:t>
      </w:r>
      <w:bookmarkStart w:id="52445" w:name="_ETM_Q99_569819"/>
      <w:bookmarkEnd w:id="52445"/>
      <w:r>
        <w:rPr>
          <w:rFonts w:hint="cs"/>
          <w:rtl/>
        </w:rPr>
        <w:t xml:space="preserve">מוכן </w:t>
      </w:r>
      <w:bookmarkStart w:id="52446" w:name="_ETM_Q99_570119"/>
      <w:bookmarkEnd w:id="52446"/>
      <w:r>
        <w:rPr>
          <w:rFonts w:hint="cs"/>
          <w:rtl/>
        </w:rPr>
        <w:t xml:space="preserve">לחתום </w:t>
      </w:r>
      <w:bookmarkStart w:id="52447" w:name="_ETM_Q99_570420"/>
      <w:bookmarkEnd w:id="52447"/>
      <w:r>
        <w:rPr>
          <w:rFonts w:hint="cs"/>
          <w:rtl/>
        </w:rPr>
        <w:t xml:space="preserve">על </w:t>
      </w:r>
      <w:bookmarkStart w:id="52448" w:name="_ETM_Q99_570479"/>
      <w:bookmarkEnd w:id="52448"/>
      <w:r>
        <w:rPr>
          <w:rFonts w:hint="cs"/>
          <w:rtl/>
        </w:rPr>
        <w:t xml:space="preserve">המגילה, </w:t>
      </w:r>
      <w:bookmarkStart w:id="52449" w:name="_ETM_Q99_571580"/>
      <w:bookmarkEnd w:id="52449"/>
      <w:r>
        <w:rPr>
          <w:rFonts w:hint="cs"/>
          <w:rtl/>
        </w:rPr>
        <w:t xml:space="preserve">מגילת </w:t>
      </w:r>
      <w:bookmarkStart w:id="52450" w:name="_ETM_Q99_572000"/>
      <w:bookmarkEnd w:id="52450"/>
      <w:r>
        <w:rPr>
          <w:rFonts w:hint="cs"/>
          <w:rtl/>
        </w:rPr>
        <w:t>העצמאות?</w:t>
      </w:r>
      <w:bookmarkStart w:id="52451" w:name="_ETM_Q99_572859"/>
      <w:bookmarkEnd w:id="52451"/>
    </w:p>
    <w:p w:rsidR="00BB59CD" w:rsidRDefault="00BB59CD" w:rsidP="00BB59CD">
      <w:pPr>
        <w:rPr>
          <w:rtl/>
        </w:rPr>
      </w:pPr>
    </w:p>
    <w:p w:rsidR="00BB59CD" w:rsidRDefault="00BB59CD" w:rsidP="00BB59CD">
      <w:pPr>
        <w:pStyle w:val="af9"/>
        <w:keepNext/>
        <w:rPr>
          <w:rtl/>
        </w:rPr>
      </w:pPr>
      <w:bookmarkStart w:id="52452" w:name="ET_yor_6129_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2452"/>
    </w:p>
    <w:p w:rsidR="00BB59CD" w:rsidRDefault="00BB59CD" w:rsidP="00337201">
      <w:pPr>
        <w:rPr>
          <w:rtl/>
        </w:rPr>
      </w:pPr>
    </w:p>
    <w:p w:rsidR="00BB59CD" w:rsidRDefault="00BB59CD" w:rsidP="00BB59CD">
      <w:pPr>
        <w:rPr>
          <w:rtl/>
        </w:rPr>
      </w:pPr>
      <w:bookmarkStart w:id="52453" w:name="_ETM_Q99_570938"/>
      <w:bookmarkEnd w:id="52453"/>
      <w:r>
        <w:rPr>
          <w:rFonts w:hint="cs"/>
          <w:rtl/>
        </w:rPr>
        <w:t xml:space="preserve">אני </w:t>
      </w:r>
      <w:bookmarkStart w:id="52454" w:name="_ETM_Q99_573130"/>
      <w:bookmarkEnd w:id="52454"/>
      <w:r>
        <w:rPr>
          <w:rFonts w:hint="cs"/>
          <w:rtl/>
        </w:rPr>
        <w:t xml:space="preserve">אחתום </w:t>
      </w:r>
      <w:bookmarkStart w:id="52455" w:name="_ETM_Q99_573520"/>
      <w:bookmarkEnd w:id="52455"/>
      <w:r>
        <w:rPr>
          <w:rFonts w:hint="cs"/>
          <w:rtl/>
        </w:rPr>
        <w:t xml:space="preserve">על </w:t>
      </w:r>
      <w:bookmarkStart w:id="52456" w:name="_ETM_Q99_573639"/>
      <w:bookmarkEnd w:id="52456"/>
      <w:r>
        <w:rPr>
          <w:rFonts w:hint="cs"/>
          <w:rtl/>
        </w:rPr>
        <w:t xml:space="preserve">מסמך </w:t>
      </w:r>
      <w:bookmarkStart w:id="52457" w:name="_ETM_Q99_574029"/>
      <w:bookmarkEnd w:id="52457"/>
      <w:r>
        <w:rPr>
          <w:rFonts w:hint="cs"/>
          <w:rtl/>
        </w:rPr>
        <w:t xml:space="preserve">שאין </w:t>
      </w:r>
      <w:bookmarkStart w:id="52458" w:name="_ETM_Q99_574299"/>
      <w:bookmarkEnd w:id="52458"/>
      <w:r>
        <w:rPr>
          <w:rFonts w:hint="cs"/>
          <w:rtl/>
        </w:rPr>
        <w:t>בו דמוקרטיה?</w:t>
      </w:r>
      <w:bookmarkStart w:id="52459" w:name="_ETM_Q99_577410"/>
      <w:bookmarkStart w:id="52460" w:name="_ETM_Q99_579870"/>
      <w:bookmarkEnd w:id="52459"/>
      <w:bookmarkEnd w:id="52460"/>
    </w:p>
    <w:p w:rsidR="00BB59CD" w:rsidRDefault="00BB59CD" w:rsidP="00BB59CD">
      <w:pPr>
        <w:rPr>
          <w:rtl/>
        </w:rPr>
      </w:pPr>
      <w:bookmarkStart w:id="52461" w:name="_ETM_Q99_579931"/>
      <w:bookmarkEnd w:id="52461"/>
    </w:p>
    <w:p w:rsidR="00BB59CD" w:rsidRDefault="00BB59CD" w:rsidP="00BB59CD">
      <w:pPr>
        <w:pStyle w:val="-"/>
        <w:keepNext/>
        <w:rPr>
          <w:rtl/>
        </w:rPr>
      </w:pPr>
      <w:bookmarkStart w:id="52462" w:name="ET_speakercontinue_5787_8"/>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52462"/>
    </w:p>
    <w:p w:rsidR="00BB59CD" w:rsidRDefault="00BB59CD" w:rsidP="00337201">
      <w:pPr>
        <w:rPr>
          <w:rtl/>
        </w:rPr>
      </w:pPr>
    </w:p>
    <w:p w:rsidR="00BB59CD" w:rsidRDefault="00BB59CD" w:rsidP="00374B1A">
      <w:pPr>
        <w:rPr>
          <w:rtl/>
        </w:rPr>
      </w:pPr>
      <w:bookmarkStart w:id="52463" w:name="_ETM_Q99_577513"/>
      <w:bookmarkStart w:id="52464" w:name="_ETM_Q99_580039"/>
      <w:bookmarkStart w:id="52465" w:name="_ETM_Q99_580099"/>
      <w:bookmarkStart w:id="52466" w:name="_ETM_Q99_575377"/>
      <w:bookmarkEnd w:id="52463"/>
      <w:bookmarkEnd w:id="52464"/>
      <w:bookmarkEnd w:id="52465"/>
      <w:bookmarkEnd w:id="52466"/>
      <w:r>
        <w:rPr>
          <w:rFonts w:hint="cs"/>
          <w:rtl/>
        </w:rPr>
        <w:t xml:space="preserve">אפרופו </w:t>
      </w:r>
      <w:bookmarkStart w:id="52467" w:name="_ETM_Q99_578070"/>
      <w:bookmarkEnd w:id="52467"/>
      <w:r>
        <w:rPr>
          <w:rFonts w:hint="cs"/>
          <w:rtl/>
        </w:rPr>
        <w:t xml:space="preserve">ההערה </w:t>
      </w:r>
      <w:bookmarkStart w:id="52468" w:name="_ETM_Q99_578460"/>
      <w:bookmarkEnd w:id="52468"/>
      <w:r>
        <w:rPr>
          <w:rFonts w:hint="cs"/>
          <w:rtl/>
        </w:rPr>
        <w:t xml:space="preserve">שלך </w:t>
      </w:r>
      <w:bookmarkStart w:id="52469" w:name="_ETM_Q99_578940"/>
      <w:bookmarkEnd w:id="52469"/>
      <w:r>
        <w:rPr>
          <w:rFonts w:hint="cs"/>
          <w:rtl/>
        </w:rPr>
        <w:t xml:space="preserve">על </w:t>
      </w:r>
      <w:bookmarkStart w:id="52470" w:name="_ETM_Q99_579029"/>
      <w:bookmarkEnd w:id="52470"/>
      <w:r>
        <w:rPr>
          <w:rFonts w:hint="cs"/>
          <w:rtl/>
        </w:rPr>
        <w:t xml:space="preserve">מסמך </w:t>
      </w:r>
      <w:bookmarkStart w:id="52471" w:name="_ETM_Q99_579390"/>
      <w:bookmarkEnd w:id="52471"/>
      <w:r>
        <w:rPr>
          <w:rFonts w:hint="cs"/>
          <w:rtl/>
        </w:rPr>
        <w:t xml:space="preserve">שאין </w:t>
      </w:r>
      <w:bookmarkStart w:id="52472" w:name="_ETM_Q99_579630"/>
      <w:bookmarkEnd w:id="52472"/>
      <w:r>
        <w:rPr>
          <w:rFonts w:hint="cs"/>
          <w:rtl/>
        </w:rPr>
        <w:t xml:space="preserve">בו </w:t>
      </w:r>
      <w:bookmarkStart w:id="52473" w:name="_ETM_Q99_579750"/>
      <w:bookmarkEnd w:id="52473"/>
      <w:r>
        <w:rPr>
          <w:rFonts w:hint="cs"/>
          <w:rtl/>
        </w:rPr>
        <w:t xml:space="preserve">דמוקרטיה, </w:t>
      </w:r>
      <w:bookmarkStart w:id="52474" w:name="_ETM_Q99_581040"/>
      <w:bookmarkEnd w:id="52474"/>
      <w:r>
        <w:rPr>
          <w:rFonts w:hint="cs"/>
          <w:rtl/>
        </w:rPr>
        <w:t xml:space="preserve">אני </w:t>
      </w:r>
      <w:bookmarkStart w:id="52475" w:name="_ETM_Q99_581279"/>
      <w:bookmarkEnd w:id="52475"/>
      <w:r>
        <w:rPr>
          <w:rFonts w:hint="cs"/>
          <w:rtl/>
        </w:rPr>
        <w:t xml:space="preserve">אולי </w:t>
      </w:r>
      <w:bookmarkStart w:id="52476" w:name="_ETM_Q99_581520"/>
      <w:bookmarkEnd w:id="52476"/>
      <w:r>
        <w:rPr>
          <w:rFonts w:hint="cs"/>
          <w:rtl/>
        </w:rPr>
        <w:t xml:space="preserve">אסיים </w:t>
      </w:r>
      <w:bookmarkStart w:id="52477" w:name="_ETM_Q99_581910"/>
      <w:bookmarkEnd w:id="52477"/>
      <w:r>
        <w:rPr>
          <w:rFonts w:hint="cs"/>
          <w:rtl/>
        </w:rPr>
        <w:t xml:space="preserve">את </w:t>
      </w:r>
      <w:bookmarkStart w:id="52478" w:name="_ETM_Q99_582060"/>
      <w:bookmarkEnd w:id="52478"/>
      <w:r>
        <w:rPr>
          <w:rFonts w:hint="cs"/>
          <w:rtl/>
        </w:rPr>
        <w:t xml:space="preserve">הנאום </w:t>
      </w:r>
      <w:bookmarkStart w:id="52479" w:name="_ETM_Q99_583829"/>
      <w:bookmarkEnd w:id="52479"/>
      <w:r>
        <w:rPr>
          <w:rFonts w:hint="cs"/>
          <w:rtl/>
        </w:rPr>
        <w:t xml:space="preserve">שלי </w:t>
      </w:r>
      <w:bookmarkStart w:id="52480" w:name="_ETM_Q99_585619"/>
      <w:bookmarkEnd w:id="52480"/>
      <w:r>
        <w:rPr>
          <w:rFonts w:hint="cs"/>
          <w:rtl/>
        </w:rPr>
        <w:t xml:space="preserve">עם </w:t>
      </w:r>
      <w:bookmarkStart w:id="52481" w:name="_ETM_Q99_586460"/>
      <w:bookmarkEnd w:id="52481"/>
      <w:r>
        <w:rPr>
          <w:rFonts w:hint="cs"/>
          <w:rtl/>
        </w:rPr>
        <w:t xml:space="preserve">עוד </w:t>
      </w:r>
      <w:bookmarkStart w:id="52482" w:name="_ETM_Q99_587089"/>
      <w:bookmarkEnd w:id="52482"/>
      <w:r>
        <w:rPr>
          <w:rFonts w:hint="cs"/>
          <w:rtl/>
        </w:rPr>
        <w:t xml:space="preserve">נאום </w:t>
      </w:r>
      <w:bookmarkStart w:id="52483" w:name="_ETM_Q99_587479"/>
      <w:bookmarkEnd w:id="52483"/>
      <w:r>
        <w:rPr>
          <w:rFonts w:hint="cs"/>
          <w:rtl/>
        </w:rPr>
        <w:t>ק</w:t>
      </w:r>
      <w:r w:rsidR="00374B1A">
        <w:rPr>
          <w:rFonts w:hint="cs"/>
          <w:rtl/>
        </w:rPr>
        <w:t>א</w:t>
      </w:r>
      <w:r>
        <w:rPr>
          <w:rFonts w:hint="cs"/>
          <w:rtl/>
        </w:rPr>
        <w:t>נוני</w:t>
      </w:r>
      <w:bookmarkStart w:id="52484" w:name="_ETM_Q99_585977"/>
      <w:bookmarkEnd w:id="52484"/>
      <w:r>
        <w:rPr>
          <w:rFonts w:hint="cs"/>
          <w:rtl/>
        </w:rPr>
        <w:t>,</w:t>
      </w:r>
      <w:bookmarkStart w:id="52485" w:name="_ETM_Q99_587257"/>
      <w:bookmarkEnd w:id="52485"/>
      <w:r>
        <w:rPr>
          <w:rFonts w:hint="cs"/>
          <w:rtl/>
        </w:rPr>
        <w:t xml:space="preserve"> </w:t>
      </w:r>
      <w:bookmarkStart w:id="52486" w:name="_ETM_Q99_587960"/>
      <w:bookmarkEnd w:id="52486"/>
      <w:r>
        <w:rPr>
          <w:rFonts w:hint="cs"/>
          <w:rtl/>
        </w:rPr>
        <w:t xml:space="preserve">בעיניי, </w:t>
      </w:r>
      <w:bookmarkStart w:id="52487" w:name="_ETM_Q99_589329"/>
      <w:bookmarkEnd w:id="52487"/>
      <w:r>
        <w:rPr>
          <w:rFonts w:hint="cs"/>
          <w:rtl/>
        </w:rPr>
        <w:t>שה</w:t>
      </w:r>
      <w:bookmarkStart w:id="52488" w:name="_ETM_Q99_589810"/>
      <w:bookmarkEnd w:id="52488"/>
      <w:r>
        <w:rPr>
          <w:rFonts w:hint="cs"/>
          <w:rtl/>
        </w:rPr>
        <w:t>קר</w:t>
      </w:r>
      <w:r w:rsidR="00374B1A">
        <w:rPr>
          <w:rFonts w:hint="cs"/>
          <w:rtl/>
        </w:rPr>
        <w:t>י</w:t>
      </w:r>
      <w:r>
        <w:rPr>
          <w:rFonts w:hint="cs"/>
          <w:rtl/>
        </w:rPr>
        <w:t xml:space="preserve">א </w:t>
      </w:r>
      <w:bookmarkStart w:id="52489" w:name="_ETM_Q99_590109"/>
      <w:bookmarkEnd w:id="52489"/>
      <w:r>
        <w:rPr>
          <w:rFonts w:hint="cs"/>
          <w:rtl/>
        </w:rPr>
        <w:t xml:space="preserve">מעל </w:t>
      </w:r>
      <w:bookmarkStart w:id="52490" w:name="_ETM_Q99_590380"/>
      <w:bookmarkEnd w:id="52490"/>
      <w:r>
        <w:rPr>
          <w:rFonts w:hint="cs"/>
          <w:rtl/>
        </w:rPr>
        <w:t xml:space="preserve">הבימה </w:t>
      </w:r>
      <w:bookmarkStart w:id="52491" w:name="_ETM_Q99_591640"/>
      <w:bookmarkStart w:id="52492" w:name="_ETM_Q99_590297"/>
      <w:bookmarkEnd w:id="52491"/>
      <w:bookmarkEnd w:id="52492"/>
      <w:r>
        <w:rPr>
          <w:rFonts w:hint="cs"/>
          <w:rtl/>
        </w:rPr>
        <w:t xml:space="preserve">ונאם </w:t>
      </w:r>
      <w:bookmarkStart w:id="52493" w:name="_ETM_Q99_592240"/>
      <w:bookmarkEnd w:id="52493"/>
      <w:r>
        <w:rPr>
          <w:rFonts w:hint="cs"/>
          <w:rtl/>
        </w:rPr>
        <w:t xml:space="preserve">מעל </w:t>
      </w:r>
      <w:bookmarkStart w:id="52494" w:name="_ETM_Q99_592479"/>
      <w:bookmarkEnd w:id="52494"/>
      <w:r>
        <w:rPr>
          <w:rFonts w:hint="cs"/>
          <w:rtl/>
        </w:rPr>
        <w:t xml:space="preserve">הבימה </w:t>
      </w:r>
      <w:bookmarkStart w:id="52495" w:name="_ETM_Q99_592810"/>
      <w:bookmarkEnd w:id="52495"/>
      <w:r>
        <w:rPr>
          <w:rFonts w:hint="cs"/>
          <w:rtl/>
        </w:rPr>
        <w:t>הזאת</w:t>
      </w:r>
      <w:bookmarkStart w:id="52496" w:name="_ETM_Q99_590777"/>
      <w:bookmarkEnd w:id="52496"/>
      <w:r>
        <w:rPr>
          <w:rFonts w:hint="cs"/>
          <w:rtl/>
        </w:rPr>
        <w:t xml:space="preserve"> </w:t>
      </w:r>
      <w:bookmarkStart w:id="52497" w:name="_ETM_Q99_593170"/>
      <w:bookmarkEnd w:id="52497"/>
      <w:r>
        <w:rPr>
          <w:rFonts w:hint="cs"/>
          <w:rtl/>
        </w:rPr>
        <w:t xml:space="preserve">חבר </w:t>
      </w:r>
      <w:bookmarkStart w:id="52498" w:name="_ETM_Q99_593470"/>
      <w:bookmarkEnd w:id="52498"/>
      <w:r>
        <w:rPr>
          <w:rFonts w:hint="cs"/>
          <w:rtl/>
        </w:rPr>
        <w:t xml:space="preserve">הכנסת </w:t>
      </w:r>
      <w:bookmarkStart w:id="52499" w:name="_ETM_Q99_594369"/>
      <w:bookmarkEnd w:id="52499"/>
      <w:r>
        <w:rPr>
          <w:rFonts w:hint="cs"/>
          <w:rtl/>
        </w:rPr>
        <w:t xml:space="preserve">אמנון </w:t>
      </w:r>
      <w:bookmarkStart w:id="52500" w:name="_ETM_Q99_594759"/>
      <w:bookmarkEnd w:id="52500"/>
      <w:r>
        <w:rPr>
          <w:rFonts w:hint="cs"/>
          <w:rtl/>
        </w:rPr>
        <w:t xml:space="preserve">רובינשטיין </w:t>
      </w:r>
      <w:bookmarkStart w:id="52501" w:name="_ETM_Q99_596159"/>
      <w:bookmarkEnd w:id="52501"/>
      <w:r>
        <w:rPr>
          <w:rFonts w:hint="cs"/>
          <w:rtl/>
        </w:rPr>
        <w:t>מ</w:t>
      </w:r>
      <w:bookmarkStart w:id="52502" w:name="_ETM_Q99_594827"/>
      <w:bookmarkEnd w:id="52502"/>
      <w:r>
        <w:rPr>
          <w:rFonts w:hint="cs"/>
          <w:rtl/>
        </w:rPr>
        <w:t xml:space="preserve">מפלגת </w:t>
      </w:r>
      <w:bookmarkStart w:id="52503" w:name="_ETM_Q99_596670"/>
      <w:bookmarkEnd w:id="52503"/>
      <w:r>
        <w:rPr>
          <w:rFonts w:hint="cs"/>
          <w:rtl/>
        </w:rPr>
        <w:t>שינוי. הוא</w:t>
      </w:r>
      <w:bookmarkStart w:id="52504" w:name="_ETM_Q99_595118"/>
      <w:bookmarkEnd w:id="52504"/>
      <w:r>
        <w:rPr>
          <w:rFonts w:hint="cs"/>
          <w:rtl/>
        </w:rPr>
        <w:t xml:space="preserve"> </w:t>
      </w:r>
      <w:bookmarkStart w:id="52505" w:name="_ETM_Q99_597779"/>
      <w:bookmarkStart w:id="52506" w:name="_ETM_Q99_598170"/>
      <w:bookmarkEnd w:id="52505"/>
      <w:bookmarkEnd w:id="52506"/>
      <w:r>
        <w:rPr>
          <w:rFonts w:hint="cs"/>
          <w:rtl/>
        </w:rPr>
        <w:t xml:space="preserve">נאם אותו </w:t>
      </w:r>
      <w:bookmarkStart w:id="52507" w:name="_ETM_Q99_598390"/>
      <w:bookmarkEnd w:id="52507"/>
      <w:r>
        <w:rPr>
          <w:rFonts w:hint="cs"/>
          <w:rtl/>
        </w:rPr>
        <w:t xml:space="preserve">כאן </w:t>
      </w:r>
      <w:bookmarkStart w:id="52508" w:name="_ETM_Q99_598900"/>
      <w:bookmarkEnd w:id="52508"/>
      <w:r>
        <w:rPr>
          <w:rFonts w:hint="cs"/>
          <w:rtl/>
        </w:rPr>
        <w:t xml:space="preserve">בכ"ג </w:t>
      </w:r>
      <w:bookmarkStart w:id="52509" w:name="_ETM_Q99_599589"/>
      <w:bookmarkEnd w:id="52509"/>
      <w:r>
        <w:rPr>
          <w:rFonts w:hint="cs"/>
          <w:rtl/>
        </w:rPr>
        <w:t xml:space="preserve">בשבט </w:t>
      </w:r>
      <w:bookmarkStart w:id="52510" w:name="_ETM_Q99_600430"/>
      <w:bookmarkEnd w:id="52510"/>
      <w:r>
        <w:rPr>
          <w:rFonts w:hint="cs"/>
          <w:rtl/>
        </w:rPr>
        <w:t xml:space="preserve">התשנ"ב, 28 בינואר </w:t>
      </w:r>
      <w:bookmarkStart w:id="52511" w:name="_ETM_Q99_598778"/>
      <w:bookmarkStart w:id="52512" w:name="_ETM_Q99_601089"/>
      <w:bookmarkEnd w:id="52511"/>
      <w:bookmarkEnd w:id="52512"/>
      <w:r>
        <w:rPr>
          <w:rFonts w:hint="cs"/>
          <w:rtl/>
        </w:rPr>
        <w:t xml:space="preserve">1992, </w:t>
      </w:r>
      <w:bookmarkStart w:id="52513" w:name="_ETM_Q99_605339"/>
      <w:bookmarkEnd w:id="52513"/>
      <w:r>
        <w:rPr>
          <w:rFonts w:hint="cs"/>
          <w:rtl/>
        </w:rPr>
        <w:t xml:space="preserve">כשהכנסת </w:t>
      </w:r>
      <w:bookmarkStart w:id="52514" w:name="_ETM_Q99_606089"/>
      <w:bookmarkEnd w:id="52514"/>
      <w:r>
        <w:rPr>
          <w:rFonts w:hint="cs"/>
          <w:rtl/>
        </w:rPr>
        <w:t xml:space="preserve">חוקקה </w:t>
      </w:r>
      <w:bookmarkStart w:id="52515" w:name="_ETM_Q99_606539"/>
      <w:bookmarkEnd w:id="52515"/>
      <w:r>
        <w:rPr>
          <w:rFonts w:hint="cs"/>
          <w:rtl/>
        </w:rPr>
        <w:t xml:space="preserve">את </w:t>
      </w:r>
      <w:bookmarkStart w:id="52516" w:name="_ETM_Q99_606689"/>
      <w:bookmarkEnd w:id="52516"/>
      <w:r>
        <w:rPr>
          <w:rFonts w:hint="cs"/>
          <w:rtl/>
        </w:rPr>
        <w:t>חוק</w:t>
      </w:r>
      <w:bookmarkStart w:id="52517" w:name="_ETM_Q99_606899"/>
      <w:bookmarkEnd w:id="52517"/>
      <w:r>
        <w:rPr>
          <w:rFonts w:hint="cs"/>
          <w:rtl/>
        </w:rPr>
        <w:t>-יסוד:</w:t>
      </w:r>
      <w:bookmarkStart w:id="52518" w:name="_ETM_Q99_603958"/>
      <w:bookmarkEnd w:id="52518"/>
      <w:r>
        <w:rPr>
          <w:rFonts w:hint="cs"/>
          <w:rtl/>
        </w:rPr>
        <w:t xml:space="preserve"> </w:t>
      </w:r>
      <w:bookmarkStart w:id="52519" w:name="_ETM_Q99_607200"/>
      <w:bookmarkEnd w:id="52519"/>
      <w:r>
        <w:rPr>
          <w:rFonts w:hint="cs"/>
          <w:rtl/>
        </w:rPr>
        <w:t xml:space="preserve">כבוד </w:t>
      </w:r>
      <w:bookmarkStart w:id="52520" w:name="_ETM_Q99_607529"/>
      <w:bookmarkEnd w:id="52520"/>
      <w:r>
        <w:rPr>
          <w:rFonts w:hint="cs"/>
          <w:rtl/>
        </w:rPr>
        <w:t xml:space="preserve">האדם </w:t>
      </w:r>
      <w:bookmarkStart w:id="52521" w:name="_ETM_Q99_607890"/>
      <w:bookmarkEnd w:id="52521"/>
      <w:r>
        <w:rPr>
          <w:rFonts w:hint="cs"/>
          <w:rtl/>
        </w:rPr>
        <w:t>וחירותו.</w:t>
      </w:r>
      <w:bookmarkStart w:id="52522" w:name="_ETM_Q99_610188"/>
      <w:bookmarkStart w:id="52523" w:name="_ETM_Q99_606269"/>
      <w:bookmarkStart w:id="52524" w:name="_ETM_Q99_610430"/>
      <w:bookmarkEnd w:id="52522"/>
      <w:bookmarkEnd w:id="52523"/>
      <w:bookmarkEnd w:id="52524"/>
    </w:p>
    <w:p w:rsidR="00BB59CD" w:rsidRDefault="00BB59CD" w:rsidP="00BB59CD">
      <w:pPr>
        <w:rPr>
          <w:rtl/>
        </w:rPr>
      </w:pPr>
      <w:bookmarkStart w:id="52525" w:name="_ETM_Q99_607003"/>
      <w:bookmarkStart w:id="52526" w:name="_ETM_Q99_607075"/>
      <w:bookmarkStart w:id="52527" w:name="_ETM_Q99_604259"/>
      <w:bookmarkEnd w:id="52525"/>
      <w:bookmarkEnd w:id="52526"/>
      <w:bookmarkEnd w:id="52527"/>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2528" w:name="_ETM_Q99_607399"/>
      <w:bookmarkEnd w:id="52528"/>
      <w:r>
        <w:rPr>
          <w:rFonts w:hint="cs"/>
          <w:rtl/>
        </w:rPr>
        <w:t>תשנ"ב</w:t>
      </w:r>
      <w:bookmarkStart w:id="52529" w:name="_ETM_Q99_607508"/>
      <w:bookmarkEnd w:id="52529"/>
      <w:r>
        <w:rPr>
          <w:rFonts w:hint="cs"/>
          <w:rtl/>
        </w:rPr>
        <w:t xml:space="preserve"> זה - - -</w:t>
      </w:r>
    </w:p>
    <w:p w:rsidR="00BB59CD" w:rsidRDefault="00BB59CD" w:rsidP="00BB59CD">
      <w:pPr>
        <w:rPr>
          <w:rtl/>
        </w:rPr>
      </w:pPr>
      <w:bookmarkStart w:id="52530" w:name="_ETM_Q99_609866"/>
      <w:bookmarkStart w:id="52531" w:name="_ETM_Q99_609949"/>
      <w:bookmarkEnd w:id="52530"/>
      <w:bookmarkEnd w:id="52531"/>
    </w:p>
    <w:p w:rsidR="00BB59CD" w:rsidRDefault="00BB59CD" w:rsidP="00BB59CD">
      <w:pPr>
        <w:pStyle w:val="-"/>
        <w:keepNext/>
        <w:rPr>
          <w:rtl/>
        </w:rPr>
      </w:pPr>
      <w:bookmarkStart w:id="52532" w:name="ET_speakercontinue_5787_10"/>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52532"/>
    </w:p>
    <w:p w:rsidR="00BB59CD" w:rsidRDefault="00BB59CD" w:rsidP="00337201">
      <w:pPr>
        <w:rPr>
          <w:rtl/>
        </w:rPr>
      </w:pPr>
    </w:p>
    <w:p w:rsidR="00BB59CD" w:rsidRDefault="00BB59CD" w:rsidP="00BB59CD">
      <w:pPr>
        <w:rPr>
          <w:rtl/>
        </w:rPr>
      </w:pPr>
      <w:bookmarkStart w:id="52533" w:name="_ETM_Q99_613010"/>
      <w:bookmarkStart w:id="52534" w:name="_ETM_Q99_607188"/>
      <w:bookmarkStart w:id="52535" w:name="_ETM_Q99_607254"/>
      <w:bookmarkEnd w:id="52533"/>
      <w:bookmarkEnd w:id="52534"/>
      <w:bookmarkEnd w:id="52535"/>
      <w:r>
        <w:rPr>
          <w:rFonts w:hint="cs"/>
          <w:rtl/>
        </w:rPr>
        <w:t xml:space="preserve">תשנ"ב </w:t>
      </w:r>
      <w:bookmarkStart w:id="52536" w:name="_ETM_Q99_610970"/>
      <w:bookmarkStart w:id="52537" w:name="_ETM_Q99_611270"/>
      <w:bookmarkStart w:id="52538" w:name="_ETM_Q99_613849"/>
      <w:bookmarkEnd w:id="52536"/>
      <w:bookmarkEnd w:id="52537"/>
      <w:bookmarkEnd w:id="52538"/>
      <w:r>
        <w:rPr>
          <w:rFonts w:hint="cs"/>
          <w:rtl/>
        </w:rPr>
        <w:t>זה</w:t>
      </w:r>
      <w:bookmarkStart w:id="52539" w:name="_ETM_Q99_615088"/>
      <w:bookmarkEnd w:id="52539"/>
      <w:r>
        <w:rPr>
          <w:rFonts w:hint="cs"/>
          <w:rtl/>
        </w:rPr>
        <w:t xml:space="preserve"> 1992. מה </w:t>
      </w:r>
      <w:bookmarkStart w:id="52540" w:name="_ETM_Q99_613052"/>
      <w:bookmarkEnd w:id="52540"/>
      <w:r>
        <w:rPr>
          <w:rFonts w:hint="cs"/>
          <w:rtl/>
        </w:rPr>
        <w:t>אמרתי?</w:t>
      </w:r>
      <w:bookmarkStart w:id="52541" w:name="_ETM_Q99_609838"/>
      <w:bookmarkEnd w:id="52541"/>
    </w:p>
    <w:p w:rsidR="00BB59CD" w:rsidRDefault="00BB59CD" w:rsidP="00BB59CD">
      <w:pPr>
        <w:rPr>
          <w:rtl/>
        </w:rPr>
      </w:pPr>
      <w:bookmarkStart w:id="52542" w:name="_ETM_Q99_610424"/>
      <w:bookmarkStart w:id="52543" w:name="_ETM_Q99_610500"/>
      <w:bookmarkEnd w:id="52542"/>
      <w:bookmarkEnd w:id="52543"/>
    </w:p>
    <w:p w:rsidR="00BB59CD" w:rsidRDefault="00BB59CD" w:rsidP="00BB59CD">
      <w:pPr>
        <w:pStyle w:val="af9"/>
        <w:keepNext/>
        <w:rPr>
          <w:rtl/>
        </w:rPr>
      </w:pPr>
      <w:bookmarkStart w:id="52544" w:name="ET_yor_6129_1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2544"/>
    </w:p>
    <w:p w:rsidR="00BB59CD" w:rsidRDefault="00BB59CD" w:rsidP="00337201">
      <w:pPr>
        <w:rPr>
          <w:rtl/>
        </w:rPr>
      </w:pPr>
    </w:p>
    <w:p w:rsidR="00BB59CD" w:rsidRDefault="00BB59CD" w:rsidP="00BB59CD">
      <w:pPr>
        <w:rPr>
          <w:rtl/>
        </w:rPr>
      </w:pPr>
      <w:bookmarkStart w:id="52545" w:name="_ETM_Q99_612464"/>
      <w:bookmarkStart w:id="52546" w:name="_ETM_Q99_613067"/>
      <w:bookmarkEnd w:id="52545"/>
      <w:bookmarkEnd w:id="52546"/>
      <w:r>
        <w:rPr>
          <w:rFonts w:hint="cs"/>
          <w:rtl/>
        </w:rPr>
        <w:t>חשבתי שאמרת 1962</w:t>
      </w:r>
      <w:bookmarkStart w:id="52547" w:name="_ETM_Q99_613467"/>
      <w:bookmarkEnd w:id="52547"/>
      <w:r>
        <w:rPr>
          <w:rFonts w:hint="cs"/>
          <w:rtl/>
        </w:rPr>
        <w:t>.</w:t>
      </w:r>
    </w:p>
    <w:p w:rsidR="00BB59CD" w:rsidRDefault="00BB59CD" w:rsidP="00BB59CD">
      <w:pPr>
        <w:rPr>
          <w:rtl/>
        </w:rPr>
      </w:pPr>
      <w:bookmarkStart w:id="52548" w:name="_ETM_Q99_618971"/>
      <w:bookmarkStart w:id="52549" w:name="_ETM_Q99_619054"/>
      <w:bookmarkEnd w:id="52548"/>
      <w:bookmarkEnd w:id="52549"/>
    </w:p>
    <w:p w:rsidR="00BB59CD" w:rsidRDefault="00BB59CD" w:rsidP="00BB59CD">
      <w:pPr>
        <w:pStyle w:val="-"/>
        <w:keepNext/>
        <w:rPr>
          <w:rtl/>
        </w:rPr>
      </w:pPr>
      <w:bookmarkStart w:id="52550" w:name="ET_speakercontinue_5787_12"/>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52550"/>
    </w:p>
    <w:p w:rsidR="00BB59CD" w:rsidRDefault="00BB59CD" w:rsidP="00337201">
      <w:pPr>
        <w:rPr>
          <w:rtl/>
        </w:rPr>
      </w:pPr>
    </w:p>
    <w:p w:rsidR="00BB59CD" w:rsidRDefault="00BB59CD" w:rsidP="00BB59CD">
      <w:pPr>
        <w:rPr>
          <w:rtl/>
        </w:rPr>
      </w:pPr>
      <w:bookmarkStart w:id="52551" w:name="_ETM_Q99_621342"/>
      <w:bookmarkEnd w:id="52551"/>
      <w:r>
        <w:rPr>
          <w:rFonts w:hint="cs"/>
          <w:rtl/>
        </w:rPr>
        <w:t>לא, לא. 1992</w:t>
      </w:r>
      <w:bookmarkStart w:id="52552" w:name="_ETM_Q99_617513"/>
      <w:bookmarkEnd w:id="52552"/>
      <w:r>
        <w:rPr>
          <w:rFonts w:hint="cs"/>
          <w:rtl/>
        </w:rPr>
        <w:t>.</w:t>
      </w:r>
    </w:p>
    <w:p w:rsidR="00BB59CD" w:rsidRDefault="00BB59CD" w:rsidP="00BB59CD">
      <w:pPr>
        <w:rPr>
          <w:rtl/>
        </w:rPr>
      </w:pPr>
      <w:bookmarkStart w:id="52553" w:name="_ETM_Q99_620242"/>
      <w:bookmarkStart w:id="52554" w:name="_ETM_Q99_620321"/>
      <w:bookmarkStart w:id="52555" w:name="_ETM_Q99_620443"/>
      <w:bookmarkEnd w:id="52553"/>
      <w:bookmarkEnd w:id="52554"/>
      <w:bookmarkEnd w:id="52555"/>
    </w:p>
    <w:p w:rsidR="00BB59CD" w:rsidRDefault="00BB59CD" w:rsidP="00374B1A">
      <w:pPr>
        <w:rPr>
          <w:rtl/>
        </w:rPr>
      </w:pPr>
      <w:bookmarkStart w:id="52556" w:name="_ETM_Q99_620515"/>
      <w:bookmarkStart w:id="52557" w:name="_ETM_Q99_614180"/>
      <w:bookmarkStart w:id="52558" w:name="_ETM_Q99_614287"/>
      <w:bookmarkStart w:id="52559" w:name="_ETM_Q99_610623"/>
      <w:bookmarkStart w:id="52560" w:name="_ETM_Q99_610685"/>
      <w:bookmarkStart w:id="52561" w:name="_ETM_Q99_610822"/>
      <w:bookmarkStart w:id="52562" w:name="_ETM_Q99_610889"/>
      <w:bookmarkStart w:id="52563" w:name="_ETM_Q99_613069"/>
      <w:bookmarkStart w:id="52564" w:name="_ETM_Q99_614599"/>
      <w:bookmarkStart w:id="52565" w:name="_ETM_Q99_614779"/>
      <w:bookmarkStart w:id="52566" w:name="_ETM_Q99_617060"/>
      <w:bookmarkStart w:id="52567" w:name="_ETM_Q99_617360"/>
      <w:bookmarkStart w:id="52568" w:name="_ETM_Q99_617590"/>
      <w:bookmarkStart w:id="52569" w:name="_ETM_Q99_619249"/>
      <w:bookmarkStart w:id="52570" w:name="_ETM_Q99_624215"/>
      <w:bookmarkEnd w:id="52556"/>
      <w:bookmarkEnd w:id="52557"/>
      <w:bookmarkEnd w:id="52558"/>
      <w:bookmarkEnd w:id="52559"/>
      <w:bookmarkEnd w:id="52560"/>
      <w:bookmarkEnd w:id="52561"/>
      <w:bookmarkEnd w:id="52562"/>
      <w:bookmarkEnd w:id="52563"/>
      <w:bookmarkEnd w:id="52564"/>
      <w:bookmarkEnd w:id="52565"/>
      <w:bookmarkEnd w:id="52566"/>
      <w:bookmarkEnd w:id="52567"/>
      <w:bookmarkEnd w:id="52568"/>
      <w:bookmarkEnd w:id="52569"/>
      <w:bookmarkEnd w:id="52570"/>
      <w:r>
        <w:rPr>
          <w:rFonts w:hint="cs"/>
          <w:rtl/>
        </w:rPr>
        <w:t>ו</w:t>
      </w:r>
      <w:bookmarkStart w:id="52571" w:name="_ETM_Q99_620186"/>
      <w:bookmarkEnd w:id="52571"/>
      <w:r>
        <w:rPr>
          <w:rFonts w:hint="cs"/>
          <w:rtl/>
        </w:rPr>
        <w:t xml:space="preserve">כך </w:t>
      </w:r>
      <w:bookmarkStart w:id="52572" w:name="_ETM_Q99_619700"/>
      <w:bookmarkEnd w:id="52572"/>
      <w:r>
        <w:rPr>
          <w:rFonts w:hint="cs"/>
          <w:rtl/>
        </w:rPr>
        <w:t xml:space="preserve">אמר </w:t>
      </w:r>
      <w:bookmarkStart w:id="52573" w:name="_ETM_Q99_620389"/>
      <w:bookmarkEnd w:id="52573"/>
      <w:r>
        <w:rPr>
          <w:rFonts w:hint="cs"/>
          <w:rtl/>
        </w:rPr>
        <w:t xml:space="preserve">חבר </w:t>
      </w:r>
      <w:bookmarkStart w:id="52574" w:name="_ETM_Q99_620749"/>
      <w:bookmarkEnd w:id="52574"/>
      <w:r>
        <w:rPr>
          <w:rFonts w:hint="cs"/>
          <w:rtl/>
        </w:rPr>
        <w:t xml:space="preserve">הכנסת </w:t>
      </w:r>
      <w:bookmarkStart w:id="52575" w:name="_ETM_Q99_621439"/>
      <w:bookmarkEnd w:id="52575"/>
      <w:r>
        <w:rPr>
          <w:rFonts w:hint="cs"/>
          <w:rtl/>
        </w:rPr>
        <w:t xml:space="preserve">רובינשטיין </w:t>
      </w:r>
      <w:bookmarkStart w:id="52576" w:name="_ETM_Q99_622040"/>
      <w:bookmarkEnd w:id="52576"/>
      <w:r>
        <w:rPr>
          <w:rFonts w:hint="cs"/>
          <w:rtl/>
        </w:rPr>
        <w:t xml:space="preserve">מעל </w:t>
      </w:r>
      <w:bookmarkStart w:id="52577" w:name="_ETM_Q99_622219"/>
      <w:bookmarkEnd w:id="52577"/>
      <w:r>
        <w:rPr>
          <w:rFonts w:hint="cs"/>
          <w:rtl/>
        </w:rPr>
        <w:t xml:space="preserve">הדוכן </w:t>
      </w:r>
      <w:bookmarkStart w:id="52578" w:name="_ETM_Q99_622609"/>
      <w:bookmarkEnd w:id="52578"/>
      <w:r>
        <w:rPr>
          <w:rFonts w:hint="cs"/>
          <w:rtl/>
        </w:rPr>
        <w:t xml:space="preserve">הזה </w:t>
      </w:r>
      <w:bookmarkStart w:id="52579" w:name="_ETM_Q99_623820"/>
      <w:bookmarkEnd w:id="52579"/>
      <w:r>
        <w:rPr>
          <w:rFonts w:hint="cs"/>
          <w:rtl/>
        </w:rPr>
        <w:t xml:space="preserve">בינואר </w:t>
      </w:r>
      <w:bookmarkStart w:id="52580" w:name="_ETM_Q99_625350"/>
      <w:bookmarkEnd w:id="52580"/>
      <w:r>
        <w:rPr>
          <w:rFonts w:hint="cs"/>
          <w:rtl/>
        </w:rPr>
        <w:t>1992.</w:t>
      </w:r>
      <w:bookmarkStart w:id="52581" w:name="_ETM_Q99_625027"/>
      <w:bookmarkEnd w:id="52581"/>
      <w:r>
        <w:rPr>
          <w:rFonts w:hint="cs"/>
          <w:rtl/>
        </w:rPr>
        <w:t xml:space="preserve"> </w:t>
      </w:r>
      <w:bookmarkStart w:id="52582" w:name="_ETM_Q99_626920"/>
      <w:bookmarkStart w:id="52583" w:name="_ETM_Q99_627099"/>
      <w:bookmarkStart w:id="52584" w:name="_ETM_Q99_627609"/>
      <w:bookmarkEnd w:id="52582"/>
      <w:bookmarkEnd w:id="52583"/>
      <w:bookmarkEnd w:id="52584"/>
      <w:r>
        <w:rPr>
          <w:rFonts w:hint="cs"/>
          <w:rtl/>
        </w:rPr>
        <w:t xml:space="preserve">כאמור, זה </w:t>
      </w:r>
      <w:bookmarkStart w:id="52585" w:name="_ETM_Q99_627969"/>
      <w:bookmarkEnd w:id="52585"/>
      <w:r>
        <w:rPr>
          <w:rFonts w:hint="cs"/>
          <w:rtl/>
        </w:rPr>
        <w:t xml:space="preserve">היה </w:t>
      </w:r>
      <w:bookmarkStart w:id="52586" w:name="_ETM_Q99_628060"/>
      <w:bookmarkEnd w:id="52586"/>
      <w:r>
        <w:rPr>
          <w:rFonts w:hint="cs"/>
          <w:rtl/>
        </w:rPr>
        <w:t xml:space="preserve">בשעת </w:t>
      </w:r>
      <w:bookmarkStart w:id="52587" w:name="_ETM_Q99_628480"/>
      <w:bookmarkEnd w:id="52587"/>
      <w:r>
        <w:rPr>
          <w:rFonts w:hint="cs"/>
          <w:rtl/>
        </w:rPr>
        <w:t xml:space="preserve">לילה </w:t>
      </w:r>
      <w:bookmarkStart w:id="52588" w:name="_ETM_Q99_628749"/>
      <w:bookmarkEnd w:id="52588"/>
      <w:r>
        <w:rPr>
          <w:rFonts w:hint="cs"/>
          <w:rtl/>
        </w:rPr>
        <w:t>מאוחרת,</w:t>
      </w:r>
      <w:bookmarkStart w:id="52589" w:name="_ETM_Q99_628635"/>
      <w:bookmarkEnd w:id="52589"/>
      <w:r>
        <w:rPr>
          <w:rFonts w:hint="cs"/>
          <w:rtl/>
        </w:rPr>
        <w:t xml:space="preserve"> </w:t>
      </w:r>
      <w:bookmarkStart w:id="52590" w:name="_ETM_Q99_629290"/>
      <w:bookmarkEnd w:id="52590"/>
      <w:r>
        <w:rPr>
          <w:rFonts w:hint="cs"/>
          <w:rtl/>
        </w:rPr>
        <w:t xml:space="preserve">אם </w:t>
      </w:r>
      <w:bookmarkStart w:id="52591" w:name="_ETM_Q99_629439"/>
      <w:bookmarkEnd w:id="52591"/>
      <w:r>
        <w:rPr>
          <w:rFonts w:hint="cs"/>
          <w:rtl/>
        </w:rPr>
        <w:t xml:space="preserve">אני </w:t>
      </w:r>
      <w:bookmarkStart w:id="52592" w:name="_ETM_Q99_629560"/>
      <w:bookmarkEnd w:id="52592"/>
      <w:r>
        <w:rPr>
          <w:rFonts w:hint="cs"/>
          <w:rtl/>
        </w:rPr>
        <w:t xml:space="preserve">לא </w:t>
      </w:r>
      <w:bookmarkStart w:id="52593" w:name="_ETM_Q99_630219"/>
      <w:bookmarkEnd w:id="52593"/>
      <w:r>
        <w:rPr>
          <w:rFonts w:hint="cs"/>
          <w:rtl/>
        </w:rPr>
        <w:t>טועה,</w:t>
      </w:r>
      <w:bookmarkStart w:id="52594" w:name="_ETM_Q99_628346"/>
      <w:bookmarkEnd w:id="52594"/>
      <w:r>
        <w:rPr>
          <w:rFonts w:hint="cs"/>
          <w:rtl/>
        </w:rPr>
        <w:t xml:space="preserve"> </w:t>
      </w:r>
      <w:bookmarkStart w:id="52595" w:name="_ETM_Q99_631060"/>
      <w:bookmarkEnd w:id="52595"/>
      <w:r>
        <w:rPr>
          <w:rFonts w:hint="cs"/>
          <w:rtl/>
        </w:rPr>
        <w:t xml:space="preserve">אבל </w:t>
      </w:r>
      <w:bookmarkStart w:id="52596" w:name="_ETM_Q99_631269"/>
      <w:bookmarkEnd w:id="52596"/>
      <w:r>
        <w:rPr>
          <w:rFonts w:hint="cs"/>
          <w:rtl/>
        </w:rPr>
        <w:t xml:space="preserve">כך </w:t>
      </w:r>
      <w:bookmarkStart w:id="52597" w:name="_ETM_Q99_631540"/>
      <w:bookmarkEnd w:id="52597"/>
      <w:r>
        <w:rPr>
          <w:rFonts w:hint="cs"/>
          <w:rtl/>
        </w:rPr>
        <w:t xml:space="preserve">הוא </w:t>
      </w:r>
      <w:bookmarkStart w:id="52598" w:name="_ETM_Q99_631659"/>
      <w:bookmarkEnd w:id="52598"/>
      <w:r>
        <w:rPr>
          <w:rFonts w:hint="cs"/>
          <w:rtl/>
        </w:rPr>
        <w:t xml:space="preserve">אמר: </w:t>
      </w:r>
      <w:bookmarkStart w:id="52599" w:name="_ETM_Q99_632420"/>
      <w:bookmarkEnd w:id="52599"/>
      <w:r>
        <w:rPr>
          <w:rFonts w:hint="cs"/>
          <w:rtl/>
        </w:rPr>
        <w:t xml:space="preserve">"אדוני </w:t>
      </w:r>
      <w:bookmarkStart w:id="52600" w:name="_ETM_Q99_632690"/>
      <w:bookmarkEnd w:id="52600"/>
      <w:r>
        <w:rPr>
          <w:rFonts w:hint="cs"/>
          <w:rtl/>
        </w:rPr>
        <w:t>היושב</w:t>
      </w:r>
      <w:bookmarkStart w:id="52601" w:name="_ETM_Q99_632990"/>
      <w:bookmarkEnd w:id="52601"/>
      <w:r>
        <w:rPr>
          <w:rFonts w:hint="cs"/>
          <w:rtl/>
        </w:rPr>
        <w:t>-ראש,</w:t>
      </w:r>
      <w:bookmarkStart w:id="52602" w:name="_ETM_Q99_631885"/>
      <w:bookmarkEnd w:id="52602"/>
      <w:r>
        <w:rPr>
          <w:rFonts w:hint="cs"/>
          <w:rtl/>
        </w:rPr>
        <w:t xml:space="preserve"> </w:t>
      </w:r>
      <w:bookmarkStart w:id="52603" w:name="_ETM_Q99_633260"/>
      <w:bookmarkEnd w:id="52603"/>
      <w:r>
        <w:rPr>
          <w:rFonts w:hint="cs"/>
          <w:rtl/>
        </w:rPr>
        <w:t xml:space="preserve">כנסת </w:t>
      </w:r>
      <w:bookmarkStart w:id="52604" w:name="_ETM_Q99_633560"/>
      <w:bookmarkEnd w:id="52604"/>
      <w:r>
        <w:rPr>
          <w:rFonts w:hint="cs"/>
          <w:rtl/>
        </w:rPr>
        <w:t xml:space="preserve">נכבדה, </w:t>
      </w:r>
      <w:bookmarkStart w:id="52605" w:name="_ETM_Q99_634220"/>
      <w:bookmarkEnd w:id="52605"/>
      <w:r>
        <w:rPr>
          <w:rFonts w:hint="cs"/>
          <w:rtl/>
        </w:rPr>
        <w:t xml:space="preserve">הצעת </w:t>
      </w:r>
      <w:bookmarkStart w:id="52606" w:name="_ETM_Q99_634640"/>
      <w:bookmarkEnd w:id="52606"/>
      <w:r>
        <w:rPr>
          <w:rFonts w:hint="cs"/>
          <w:rtl/>
        </w:rPr>
        <w:t xml:space="preserve">החוק </w:t>
      </w:r>
      <w:bookmarkStart w:id="52607" w:name="_ETM_Q99_634880"/>
      <w:bookmarkEnd w:id="52607"/>
      <w:r>
        <w:rPr>
          <w:rFonts w:hint="cs"/>
          <w:rtl/>
        </w:rPr>
        <w:t xml:space="preserve">שאני </w:t>
      </w:r>
      <w:bookmarkStart w:id="52608" w:name="_ETM_Q99_635060"/>
      <w:bookmarkEnd w:id="52608"/>
      <w:r>
        <w:rPr>
          <w:rFonts w:hint="cs"/>
          <w:rtl/>
        </w:rPr>
        <w:t xml:space="preserve">מביא </w:t>
      </w:r>
      <w:bookmarkStart w:id="52609" w:name="_ETM_Q99_635330"/>
      <w:bookmarkEnd w:id="52609"/>
      <w:r>
        <w:rPr>
          <w:rFonts w:hint="cs"/>
          <w:rtl/>
        </w:rPr>
        <w:t xml:space="preserve">כאן </w:t>
      </w:r>
      <w:bookmarkStart w:id="52610" w:name="_ETM_Q99_635480"/>
      <w:bookmarkEnd w:id="52610"/>
      <w:r>
        <w:rPr>
          <w:rFonts w:hint="cs"/>
          <w:rtl/>
        </w:rPr>
        <w:t xml:space="preserve">לקריאה </w:t>
      </w:r>
      <w:bookmarkStart w:id="52611" w:name="_ETM_Q99_636020"/>
      <w:bookmarkEnd w:id="52611"/>
      <w:r>
        <w:rPr>
          <w:rFonts w:hint="cs"/>
          <w:rtl/>
        </w:rPr>
        <w:t xml:space="preserve">הראשונה </w:t>
      </w:r>
      <w:bookmarkStart w:id="52612" w:name="_ETM_Q99_636590"/>
      <w:bookmarkEnd w:id="52612"/>
      <w:r>
        <w:rPr>
          <w:rFonts w:hint="cs"/>
          <w:rtl/>
        </w:rPr>
        <w:t xml:space="preserve">היא </w:t>
      </w:r>
      <w:bookmarkStart w:id="52613" w:name="_ETM_Q99_636740"/>
      <w:bookmarkEnd w:id="52613"/>
      <w:r>
        <w:rPr>
          <w:rFonts w:hint="cs"/>
          <w:rtl/>
        </w:rPr>
        <w:t xml:space="preserve">הצעת </w:t>
      </w:r>
      <w:bookmarkStart w:id="52614" w:name="_ETM_Q99_637010"/>
      <w:bookmarkEnd w:id="52614"/>
      <w:r>
        <w:rPr>
          <w:rFonts w:hint="cs"/>
          <w:rtl/>
        </w:rPr>
        <w:t xml:space="preserve">חוק </w:t>
      </w:r>
      <w:bookmarkStart w:id="52615" w:name="_ETM_Q99_637220"/>
      <w:bookmarkEnd w:id="52615"/>
      <w:r>
        <w:rPr>
          <w:rFonts w:hint="cs"/>
          <w:rtl/>
        </w:rPr>
        <w:t>ק</w:t>
      </w:r>
      <w:bookmarkStart w:id="52616" w:name="_ETM_Q99_635385"/>
      <w:bookmarkEnd w:id="52616"/>
      <w:r>
        <w:rPr>
          <w:rFonts w:hint="cs"/>
          <w:rtl/>
        </w:rPr>
        <w:t xml:space="preserve">צרה, </w:t>
      </w:r>
      <w:bookmarkStart w:id="52617" w:name="_ETM_Q99_638120"/>
      <w:bookmarkEnd w:id="52617"/>
      <w:r>
        <w:rPr>
          <w:rFonts w:hint="cs"/>
          <w:rtl/>
        </w:rPr>
        <w:t>כ</w:t>
      </w:r>
      <w:bookmarkStart w:id="52618" w:name="_ETM_Q99_638600"/>
      <w:bookmarkEnd w:id="52618"/>
      <w:r>
        <w:rPr>
          <w:rFonts w:hint="cs"/>
          <w:rtl/>
        </w:rPr>
        <w:t xml:space="preserve">יאה </w:t>
      </w:r>
      <w:bookmarkStart w:id="52619" w:name="_ETM_Q99_640346"/>
      <w:bookmarkEnd w:id="52619"/>
      <w:r>
        <w:rPr>
          <w:rFonts w:hint="cs"/>
          <w:rtl/>
        </w:rPr>
        <w:t xml:space="preserve">לחוק </w:t>
      </w:r>
      <w:bookmarkStart w:id="52620" w:name="_ETM_Q99_638780"/>
      <w:bookmarkEnd w:id="52620"/>
      <w:r>
        <w:rPr>
          <w:rFonts w:hint="cs"/>
          <w:rtl/>
        </w:rPr>
        <w:t>חוקתי,</w:t>
      </w:r>
      <w:bookmarkStart w:id="52621" w:name="_ETM_Q99_636784"/>
      <w:bookmarkEnd w:id="52621"/>
      <w:r>
        <w:rPr>
          <w:rFonts w:hint="cs"/>
          <w:rtl/>
        </w:rPr>
        <w:t xml:space="preserve"> </w:t>
      </w:r>
      <w:bookmarkStart w:id="52622" w:name="_ETM_Q99_639830"/>
      <w:bookmarkEnd w:id="52622"/>
      <w:r>
        <w:rPr>
          <w:rFonts w:hint="cs"/>
          <w:rtl/>
        </w:rPr>
        <w:t xml:space="preserve">אבל </w:t>
      </w:r>
      <w:bookmarkStart w:id="52623" w:name="_ETM_Q99_640250"/>
      <w:bookmarkEnd w:id="52623"/>
      <w:r>
        <w:rPr>
          <w:rFonts w:hint="cs"/>
          <w:rtl/>
        </w:rPr>
        <w:t xml:space="preserve">כמו </w:t>
      </w:r>
      <w:bookmarkStart w:id="52624" w:name="_ETM_Q99_640490"/>
      <w:bookmarkEnd w:id="52624"/>
      <w:r>
        <w:rPr>
          <w:rFonts w:hint="cs"/>
          <w:rtl/>
        </w:rPr>
        <w:t xml:space="preserve">כל </w:t>
      </w:r>
      <w:bookmarkStart w:id="52625" w:name="_ETM_Q99_640760"/>
      <w:bookmarkEnd w:id="52625"/>
      <w:r>
        <w:rPr>
          <w:rFonts w:hint="cs"/>
          <w:rtl/>
        </w:rPr>
        <w:t xml:space="preserve">חוק </w:t>
      </w:r>
      <w:bookmarkStart w:id="52626" w:name="_ETM_Q99_640970"/>
      <w:bookmarkEnd w:id="52626"/>
      <w:r>
        <w:rPr>
          <w:rFonts w:hint="cs"/>
          <w:rtl/>
        </w:rPr>
        <w:t>חוקתי</w:t>
      </w:r>
      <w:bookmarkStart w:id="52627" w:name="_ETM_Q99_639794"/>
      <w:bookmarkEnd w:id="52627"/>
      <w:r>
        <w:rPr>
          <w:rFonts w:hint="cs"/>
          <w:rtl/>
        </w:rPr>
        <w:t xml:space="preserve"> </w:t>
      </w:r>
      <w:bookmarkStart w:id="52628" w:name="_ETM_Q99_641930"/>
      <w:bookmarkEnd w:id="52628"/>
      <w:r>
        <w:rPr>
          <w:rFonts w:hint="cs"/>
          <w:rtl/>
        </w:rPr>
        <w:t xml:space="preserve">היא </w:t>
      </w:r>
      <w:bookmarkStart w:id="52629" w:name="_ETM_Q99_642110"/>
      <w:bookmarkEnd w:id="52629"/>
      <w:r>
        <w:rPr>
          <w:rFonts w:hint="cs"/>
          <w:rtl/>
        </w:rPr>
        <w:t xml:space="preserve">מעט </w:t>
      </w:r>
      <w:bookmarkStart w:id="52630" w:name="_ETM_Q99_642940"/>
      <w:bookmarkEnd w:id="52630"/>
      <w:r>
        <w:rPr>
          <w:rFonts w:hint="cs"/>
          <w:rtl/>
        </w:rPr>
        <w:t xml:space="preserve">המכיל </w:t>
      </w:r>
      <w:bookmarkStart w:id="52631" w:name="_ETM_Q99_643390"/>
      <w:bookmarkEnd w:id="52631"/>
      <w:r>
        <w:rPr>
          <w:rFonts w:hint="cs"/>
          <w:rtl/>
        </w:rPr>
        <w:t xml:space="preserve">את </w:t>
      </w:r>
      <w:bookmarkStart w:id="52632" w:name="_ETM_Q99_643510"/>
      <w:bookmarkEnd w:id="52632"/>
      <w:r>
        <w:rPr>
          <w:rFonts w:hint="cs"/>
          <w:rtl/>
        </w:rPr>
        <w:t>המרובה.</w:t>
      </w:r>
      <w:bookmarkStart w:id="52633" w:name="_ETM_Q99_643494"/>
      <w:bookmarkEnd w:id="52633"/>
      <w:r>
        <w:rPr>
          <w:rFonts w:hint="cs"/>
          <w:rtl/>
        </w:rPr>
        <w:t xml:space="preserve"> </w:t>
      </w:r>
      <w:bookmarkStart w:id="52634" w:name="_ETM_Q99_644819"/>
      <w:bookmarkEnd w:id="52634"/>
      <w:r>
        <w:rPr>
          <w:rFonts w:hint="cs"/>
          <w:rtl/>
        </w:rPr>
        <w:t xml:space="preserve">עד </w:t>
      </w:r>
      <w:bookmarkStart w:id="52635" w:name="_ETM_Q99_645060"/>
      <w:bookmarkEnd w:id="52635"/>
      <w:r>
        <w:rPr>
          <w:rFonts w:hint="cs"/>
          <w:rtl/>
        </w:rPr>
        <w:t xml:space="preserve">שאני </w:t>
      </w:r>
      <w:bookmarkStart w:id="52636" w:name="_ETM_Q99_645330"/>
      <w:bookmarkEnd w:id="52636"/>
      <w:r>
        <w:rPr>
          <w:rFonts w:hint="cs"/>
          <w:rtl/>
        </w:rPr>
        <w:t xml:space="preserve">בא </w:t>
      </w:r>
      <w:bookmarkStart w:id="52637" w:name="_ETM_Q99_645510"/>
      <w:bookmarkEnd w:id="52637"/>
      <w:r>
        <w:rPr>
          <w:rFonts w:hint="cs"/>
          <w:rtl/>
        </w:rPr>
        <w:t xml:space="preserve">לומר </w:t>
      </w:r>
      <w:bookmarkStart w:id="52638" w:name="_ETM_Q99_645870"/>
      <w:bookmarkEnd w:id="52638"/>
      <w:r>
        <w:rPr>
          <w:rFonts w:hint="cs"/>
          <w:rtl/>
        </w:rPr>
        <w:t xml:space="preserve">כמה </w:t>
      </w:r>
      <w:bookmarkStart w:id="52639" w:name="_ETM_Q99_646140"/>
      <w:bookmarkEnd w:id="52639"/>
      <w:r>
        <w:rPr>
          <w:rFonts w:hint="cs"/>
          <w:rtl/>
        </w:rPr>
        <w:t xml:space="preserve">דברים </w:t>
      </w:r>
      <w:bookmarkStart w:id="52640" w:name="_ETM_Q99_646560"/>
      <w:bookmarkEnd w:id="52640"/>
      <w:r>
        <w:rPr>
          <w:rFonts w:hint="cs"/>
          <w:rtl/>
        </w:rPr>
        <w:t xml:space="preserve">בזכות </w:t>
      </w:r>
      <w:bookmarkStart w:id="52641" w:name="_ETM_Q99_647099"/>
      <w:bookmarkEnd w:id="52641"/>
      <w:r>
        <w:rPr>
          <w:rFonts w:hint="cs"/>
          <w:rtl/>
        </w:rPr>
        <w:t xml:space="preserve">ההצעה </w:t>
      </w:r>
      <w:bookmarkStart w:id="52642" w:name="_ETM_Q99_647580"/>
      <w:bookmarkEnd w:id="52642"/>
      <w:r>
        <w:rPr>
          <w:rFonts w:hint="cs"/>
          <w:rtl/>
        </w:rPr>
        <w:t xml:space="preserve">הזאת, </w:t>
      </w:r>
      <w:bookmarkStart w:id="52643" w:name="_ETM_Q99_648000"/>
      <w:bookmarkEnd w:id="52643"/>
      <w:r>
        <w:rPr>
          <w:rFonts w:hint="cs"/>
          <w:rtl/>
        </w:rPr>
        <w:t xml:space="preserve">אני </w:t>
      </w:r>
      <w:bookmarkStart w:id="52644" w:name="_ETM_Q99_648150"/>
      <w:bookmarkEnd w:id="52644"/>
      <w:r>
        <w:rPr>
          <w:rFonts w:hint="cs"/>
          <w:rtl/>
        </w:rPr>
        <w:t xml:space="preserve">רוצה </w:t>
      </w:r>
      <w:bookmarkStart w:id="52645" w:name="_ETM_Q99_648420"/>
      <w:bookmarkEnd w:id="52645"/>
      <w:r>
        <w:rPr>
          <w:rFonts w:hint="cs"/>
          <w:rtl/>
        </w:rPr>
        <w:t xml:space="preserve">להסביר </w:t>
      </w:r>
      <w:bookmarkStart w:id="52646" w:name="_ETM_Q99_649319"/>
      <w:bookmarkEnd w:id="52646"/>
      <w:r>
        <w:rPr>
          <w:rFonts w:hint="cs"/>
          <w:rtl/>
        </w:rPr>
        <w:t xml:space="preserve">שהצעות </w:t>
      </w:r>
      <w:bookmarkStart w:id="52647" w:name="_ETM_Q99_649799"/>
      <w:bookmarkEnd w:id="52647"/>
      <w:r>
        <w:rPr>
          <w:rFonts w:hint="cs"/>
          <w:rtl/>
        </w:rPr>
        <w:t>חוק</w:t>
      </w:r>
      <w:bookmarkStart w:id="52648" w:name="_ETM_Q99_650190"/>
      <w:bookmarkEnd w:id="52648"/>
      <w:r>
        <w:rPr>
          <w:rFonts w:hint="cs"/>
          <w:rtl/>
        </w:rPr>
        <w:t>-</w:t>
      </w:r>
      <w:bookmarkStart w:id="52649" w:name="_ETM_Q99_647054"/>
      <w:bookmarkEnd w:id="52649"/>
      <w:r>
        <w:rPr>
          <w:rFonts w:hint="cs"/>
          <w:rtl/>
        </w:rPr>
        <w:t xml:space="preserve">יסוד </w:t>
      </w:r>
      <w:bookmarkStart w:id="52650" w:name="_ETM_Q99_650549"/>
      <w:bookmarkEnd w:id="52650"/>
      <w:r>
        <w:rPr>
          <w:rFonts w:hint="cs"/>
          <w:rtl/>
        </w:rPr>
        <w:t xml:space="preserve">אלה </w:t>
      </w:r>
      <w:bookmarkStart w:id="52651" w:name="_ETM_Q99_650760"/>
      <w:bookmarkEnd w:id="52651"/>
      <w:r>
        <w:rPr>
          <w:rFonts w:hint="cs"/>
          <w:rtl/>
        </w:rPr>
        <w:t xml:space="preserve">שאני </w:t>
      </w:r>
      <w:bookmarkStart w:id="52652" w:name="_ETM_Q99_650970"/>
      <w:bookmarkEnd w:id="52652"/>
      <w:r>
        <w:rPr>
          <w:rFonts w:hint="cs"/>
          <w:rtl/>
        </w:rPr>
        <w:t xml:space="preserve">מביא </w:t>
      </w:r>
      <w:bookmarkStart w:id="52653" w:name="_ETM_Q99_651209"/>
      <w:bookmarkEnd w:id="52653"/>
      <w:r>
        <w:rPr>
          <w:rFonts w:hint="cs"/>
          <w:rtl/>
        </w:rPr>
        <w:t xml:space="preserve">בפני </w:t>
      </w:r>
      <w:bookmarkStart w:id="52654" w:name="_ETM_Q99_651569"/>
      <w:bookmarkEnd w:id="52654"/>
      <w:r>
        <w:rPr>
          <w:rFonts w:hint="cs"/>
          <w:rtl/>
        </w:rPr>
        <w:t>הכנסת</w:t>
      </w:r>
      <w:bookmarkStart w:id="52655" w:name="_ETM_Q99_651524"/>
      <w:bookmarkEnd w:id="52655"/>
      <w:r>
        <w:rPr>
          <w:rFonts w:hint="cs"/>
          <w:rtl/>
        </w:rPr>
        <w:t xml:space="preserve"> </w:t>
      </w:r>
      <w:bookmarkStart w:id="52656" w:name="_ETM_Q99_652049"/>
      <w:bookmarkEnd w:id="52656"/>
      <w:r>
        <w:rPr>
          <w:rFonts w:hint="cs"/>
          <w:rtl/>
        </w:rPr>
        <w:t xml:space="preserve">נועדו </w:t>
      </w:r>
      <w:bookmarkStart w:id="52657" w:name="_ETM_Q99_652349"/>
      <w:bookmarkEnd w:id="52657"/>
      <w:r>
        <w:rPr>
          <w:rFonts w:hint="cs"/>
          <w:rtl/>
        </w:rPr>
        <w:t xml:space="preserve">לעקוף </w:t>
      </w:r>
      <w:bookmarkStart w:id="52658" w:name="_ETM_Q99_653440"/>
      <w:bookmarkEnd w:id="52658"/>
      <w:r>
        <w:rPr>
          <w:rFonts w:hint="cs"/>
          <w:rtl/>
        </w:rPr>
        <w:t xml:space="preserve">את </w:t>
      </w:r>
      <w:bookmarkStart w:id="52659" w:name="_ETM_Q99_653620"/>
      <w:bookmarkEnd w:id="52659"/>
      <w:r>
        <w:rPr>
          <w:rFonts w:hint="cs"/>
          <w:rtl/>
        </w:rPr>
        <w:t xml:space="preserve">המכשלה </w:t>
      </w:r>
      <w:bookmarkStart w:id="52660" w:name="_ETM_Q99_654280"/>
      <w:bookmarkEnd w:id="52660"/>
      <w:r>
        <w:rPr>
          <w:rFonts w:hint="cs"/>
          <w:rtl/>
        </w:rPr>
        <w:t xml:space="preserve">הגדולה </w:t>
      </w:r>
      <w:bookmarkStart w:id="52661" w:name="_ETM_Q99_654700"/>
      <w:bookmarkEnd w:id="52661"/>
      <w:r>
        <w:rPr>
          <w:rFonts w:hint="cs"/>
          <w:rtl/>
        </w:rPr>
        <w:t xml:space="preserve">שמנעה </w:t>
      </w:r>
      <w:bookmarkStart w:id="52662" w:name="_ETM_Q99_655210"/>
      <w:bookmarkEnd w:id="52662"/>
      <w:r>
        <w:rPr>
          <w:rFonts w:hint="cs"/>
          <w:rtl/>
        </w:rPr>
        <w:t xml:space="preserve">קבלת </w:t>
      </w:r>
      <w:bookmarkStart w:id="52663" w:name="_ETM_Q99_655630"/>
      <w:bookmarkEnd w:id="52663"/>
      <w:r>
        <w:rPr>
          <w:rFonts w:hint="cs"/>
          <w:rtl/>
        </w:rPr>
        <w:t>חוק</w:t>
      </w:r>
      <w:bookmarkStart w:id="52664" w:name="_ETM_Q99_655870"/>
      <w:bookmarkStart w:id="52665" w:name="_ETM_Q99_653057"/>
      <w:bookmarkEnd w:id="52664"/>
      <w:bookmarkEnd w:id="52665"/>
      <w:r>
        <w:rPr>
          <w:rFonts w:hint="cs"/>
          <w:rtl/>
        </w:rPr>
        <w:t xml:space="preserve">-יסוד: </w:t>
      </w:r>
      <w:bookmarkStart w:id="52666" w:name="_ETM_Q99_656740"/>
      <w:bookmarkEnd w:id="52666"/>
      <w:r>
        <w:rPr>
          <w:rFonts w:hint="cs"/>
          <w:rtl/>
        </w:rPr>
        <w:t xml:space="preserve">זכויות </w:t>
      </w:r>
      <w:bookmarkStart w:id="52667" w:name="_ETM_Q99_657190"/>
      <w:bookmarkEnd w:id="52667"/>
      <w:r>
        <w:rPr>
          <w:rFonts w:hint="cs"/>
          <w:rtl/>
        </w:rPr>
        <w:t>האדם.</w:t>
      </w:r>
      <w:bookmarkStart w:id="52668" w:name="_ETM_Q99_658390"/>
      <w:bookmarkStart w:id="52669" w:name="_ETM_Q99_659358"/>
      <w:bookmarkStart w:id="52670" w:name="_ETM_Q99_659438"/>
      <w:bookmarkStart w:id="52671" w:name="_ETM_Q99_659519"/>
      <w:bookmarkStart w:id="52672" w:name="_ETM_Q99_659600"/>
      <w:bookmarkEnd w:id="52668"/>
      <w:bookmarkEnd w:id="52669"/>
      <w:bookmarkEnd w:id="52670"/>
      <w:bookmarkEnd w:id="52671"/>
      <w:bookmarkEnd w:id="52672"/>
      <w:r>
        <w:rPr>
          <w:rFonts w:hint="cs"/>
          <w:rtl/>
        </w:rPr>
        <w:t xml:space="preserve"> חסר </w:t>
      </w:r>
      <w:bookmarkStart w:id="52673" w:name="_ETM_Q99_658810"/>
      <w:bookmarkEnd w:id="52673"/>
      <w:r>
        <w:rPr>
          <w:rFonts w:hint="cs"/>
          <w:rtl/>
        </w:rPr>
        <w:t xml:space="preserve">גדול </w:t>
      </w:r>
      <w:bookmarkStart w:id="52674" w:name="_ETM_Q99_659140"/>
      <w:bookmarkEnd w:id="52674"/>
      <w:r>
        <w:rPr>
          <w:rFonts w:hint="cs"/>
          <w:rtl/>
        </w:rPr>
        <w:t xml:space="preserve">מאוד, </w:t>
      </w:r>
      <w:bookmarkStart w:id="52675" w:name="_ETM_Q99_659800"/>
      <w:bookmarkEnd w:id="52675"/>
      <w:r>
        <w:rPr>
          <w:rFonts w:hint="cs"/>
          <w:rtl/>
        </w:rPr>
        <w:t>חור,</w:t>
      </w:r>
      <w:bookmarkStart w:id="52676" w:name="_ETM_Q99_657814"/>
      <w:bookmarkEnd w:id="52676"/>
      <w:r>
        <w:rPr>
          <w:rFonts w:hint="cs"/>
          <w:rtl/>
        </w:rPr>
        <w:t xml:space="preserve"> </w:t>
      </w:r>
      <w:bookmarkStart w:id="52677" w:name="_ETM_Q99_660730"/>
      <w:bookmarkEnd w:id="52677"/>
      <w:r>
        <w:rPr>
          <w:rFonts w:hint="cs"/>
          <w:rtl/>
        </w:rPr>
        <w:t xml:space="preserve">מורגש </w:t>
      </w:r>
      <w:bookmarkStart w:id="52678" w:name="_ETM_Q99_661269"/>
      <w:bookmarkEnd w:id="52678"/>
      <w:r>
        <w:rPr>
          <w:rFonts w:hint="cs"/>
          <w:rtl/>
        </w:rPr>
        <w:t xml:space="preserve">במערכת </w:t>
      </w:r>
      <w:bookmarkStart w:id="52679" w:name="_ETM_Q99_661720"/>
      <w:bookmarkEnd w:id="52679"/>
      <w:r>
        <w:rPr>
          <w:rFonts w:hint="cs"/>
          <w:rtl/>
        </w:rPr>
        <w:t xml:space="preserve">החוקתית </w:t>
      </w:r>
      <w:bookmarkStart w:id="52680" w:name="_ETM_Q99_662200"/>
      <w:bookmarkEnd w:id="52680"/>
      <w:r>
        <w:rPr>
          <w:rFonts w:hint="cs"/>
          <w:rtl/>
        </w:rPr>
        <w:t xml:space="preserve">שלנו, </w:t>
      </w:r>
      <w:bookmarkStart w:id="52681" w:name="_ETM_Q99_662830"/>
      <w:bookmarkEnd w:id="52681"/>
      <w:r>
        <w:rPr>
          <w:rFonts w:hint="cs"/>
          <w:rtl/>
        </w:rPr>
        <w:t xml:space="preserve">דבר </w:t>
      </w:r>
      <w:bookmarkStart w:id="52682" w:name="_ETM_Q99_663159"/>
      <w:bookmarkEnd w:id="52682"/>
      <w:r>
        <w:rPr>
          <w:rFonts w:hint="cs"/>
          <w:rtl/>
        </w:rPr>
        <w:t xml:space="preserve">שאנחנו </w:t>
      </w:r>
      <w:bookmarkStart w:id="52683" w:name="_ETM_Q99_663489"/>
      <w:bookmarkEnd w:id="52683"/>
      <w:r>
        <w:rPr>
          <w:rFonts w:hint="cs"/>
          <w:rtl/>
        </w:rPr>
        <w:t xml:space="preserve">לא </w:t>
      </w:r>
      <w:bookmarkStart w:id="52684" w:name="_ETM_Q99_663640"/>
      <w:bookmarkEnd w:id="52684"/>
      <w:r>
        <w:rPr>
          <w:rFonts w:hint="cs"/>
          <w:rtl/>
        </w:rPr>
        <w:t xml:space="preserve">גאים </w:t>
      </w:r>
      <w:bookmarkStart w:id="52685" w:name="_ETM_Q99_663940"/>
      <w:bookmarkEnd w:id="52685"/>
      <w:r>
        <w:rPr>
          <w:rFonts w:hint="cs"/>
          <w:rtl/>
        </w:rPr>
        <w:t xml:space="preserve">בו, </w:t>
      </w:r>
      <w:bookmarkStart w:id="52686" w:name="_ETM_Q99_664690"/>
      <w:bookmarkEnd w:id="52686"/>
      <w:r>
        <w:rPr>
          <w:rFonts w:hint="cs"/>
          <w:rtl/>
        </w:rPr>
        <w:t xml:space="preserve">אבל </w:t>
      </w:r>
      <w:bookmarkStart w:id="52687" w:name="_ETM_Q99_664930"/>
      <w:bookmarkEnd w:id="52687"/>
      <w:r>
        <w:rPr>
          <w:rFonts w:hint="cs"/>
          <w:rtl/>
        </w:rPr>
        <w:t xml:space="preserve">מוטב </w:t>
      </w:r>
      <w:bookmarkStart w:id="52688" w:name="_ETM_Q99_665290"/>
      <w:bookmarkEnd w:id="52688"/>
      <w:r>
        <w:rPr>
          <w:rFonts w:hint="cs"/>
          <w:rtl/>
        </w:rPr>
        <w:t xml:space="preserve">מערכת </w:t>
      </w:r>
      <w:bookmarkStart w:id="52689" w:name="_ETM_Q99_665710"/>
      <w:bookmarkEnd w:id="52689"/>
      <w:r>
        <w:rPr>
          <w:rFonts w:hint="cs"/>
          <w:rtl/>
        </w:rPr>
        <w:t xml:space="preserve">של </w:t>
      </w:r>
      <w:bookmarkStart w:id="52690" w:name="_ETM_Q99_665830"/>
      <w:bookmarkEnd w:id="52690"/>
      <w:r>
        <w:rPr>
          <w:rFonts w:hint="cs"/>
          <w:rtl/>
        </w:rPr>
        <w:t>חוקי</w:t>
      </w:r>
      <w:bookmarkStart w:id="52691" w:name="_ETM_Q99_666070"/>
      <w:bookmarkEnd w:id="52691"/>
      <w:r>
        <w:rPr>
          <w:rFonts w:hint="cs"/>
          <w:rtl/>
        </w:rPr>
        <w:t>-</w:t>
      </w:r>
      <w:bookmarkStart w:id="52692" w:name="_ETM_Q99_663645"/>
      <w:bookmarkEnd w:id="52692"/>
      <w:r>
        <w:rPr>
          <w:rFonts w:hint="cs"/>
          <w:rtl/>
        </w:rPr>
        <w:t xml:space="preserve">יסוד </w:t>
      </w:r>
      <w:bookmarkStart w:id="52693" w:name="_ETM_Q99_666340"/>
      <w:bookmarkEnd w:id="52693"/>
      <w:r>
        <w:rPr>
          <w:rFonts w:hint="cs"/>
          <w:rtl/>
        </w:rPr>
        <w:t xml:space="preserve">נפרדים </w:t>
      </w:r>
      <w:bookmarkStart w:id="52694" w:name="_ETM_Q99_667390"/>
      <w:bookmarkEnd w:id="52694"/>
      <w:r>
        <w:rPr>
          <w:rFonts w:hint="cs"/>
          <w:rtl/>
        </w:rPr>
        <w:t xml:space="preserve">שלגביהם, </w:t>
      </w:r>
      <w:bookmarkStart w:id="52695" w:name="_ETM_Q99_668050"/>
      <w:bookmarkEnd w:id="52695"/>
      <w:r>
        <w:rPr>
          <w:rFonts w:hint="cs"/>
          <w:rtl/>
        </w:rPr>
        <w:t>כך</w:t>
      </w:r>
      <w:bookmarkStart w:id="52696" w:name="_ETM_Q99_666115"/>
      <w:bookmarkEnd w:id="52696"/>
      <w:r>
        <w:rPr>
          <w:rFonts w:hint="cs"/>
          <w:rtl/>
        </w:rPr>
        <w:t xml:space="preserve"> </w:t>
      </w:r>
      <w:bookmarkStart w:id="52697" w:name="_ETM_Q99_668290"/>
      <w:bookmarkEnd w:id="52697"/>
      <w:r>
        <w:rPr>
          <w:rFonts w:hint="cs"/>
          <w:rtl/>
        </w:rPr>
        <w:t xml:space="preserve">אני </w:t>
      </w:r>
      <w:bookmarkStart w:id="52698" w:name="_ETM_Q99_668410"/>
      <w:bookmarkEnd w:id="52698"/>
      <w:r>
        <w:rPr>
          <w:rFonts w:hint="cs"/>
          <w:rtl/>
        </w:rPr>
        <w:t>מאמין</w:t>
      </w:r>
      <w:bookmarkStart w:id="52699" w:name="_ETM_Q99_669370"/>
      <w:bookmarkStart w:id="52700" w:name="_ETM_Q99_667395"/>
      <w:bookmarkEnd w:id="52699"/>
      <w:bookmarkEnd w:id="52700"/>
      <w:r>
        <w:rPr>
          <w:rFonts w:hint="cs"/>
          <w:rtl/>
        </w:rPr>
        <w:t xml:space="preserve">, </w:t>
      </w:r>
      <w:bookmarkStart w:id="52701" w:name="_ETM_Q99_669550"/>
      <w:bookmarkStart w:id="52702" w:name="_ETM_Q99_669760"/>
      <w:bookmarkEnd w:id="52701"/>
      <w:bookmarkEnd w:id="52702"/>
      <w:r>
        <w:rPr>
          <w:rFonts w:hint="cs"/>
          <w:rtl/>
        </w:rPr>
        <w:t xml:space="preserve">יש </w:t>
      </w:r>
      <w:bookmarkStart w:id="52703" w:name="_ETM_Q99_669970"/>
      <w:bookmarkEnd w:id="52703"/>
      <w:r>
        <w:rPr>
          <w:rFonts w:hint="cs"/>
          <w:rtl/>
        </w:rPr>
        <w:t xml:space="preserve">הסכמה </w:t>
      </w:r>
      <w:bookmarkStart w:id="52704" w:name="_ETM_Q99_670390"/>
      <w:bookmarkEnd w:id="52704"/>
      <w:r>
        <w:rPr>
          <w:rFonts w:hint="cs"/>
          <w:rtl/>
        </w:rPr>
        <w:t>בבית,</w:t>
      </w:r>
      <w:bookmarkStart w:id="52705" w:name="_ETM_Q99_672815"/>
      <w:bookmarkEnd w:id="52705"/>
      <w:r>
        <w:rPr>
          <w:rFonts w:hint="cs"/>
          <w:rtl/>
        </w:rPr>
        <w:t xml:space="preserve"> </w:t>
      </w:r>
      <w:bookmarkStart w:id="52706" w:name="_ETM_Q99_671489"/>
      <w:bookmarkEnd w:id="52706"/>
      <w:r>
        <w:rPr>
          <w:rFonts w:hint="cs"/>
          <w:rtl/>
        </w:rPr>
        <w:t xml:space="preserve">מאשר </w:t>
      </w:r>
      <w:bookmarkStart w:id="52707" w:name="_ETM_Q99_671969"/>
      <w:bookmarkEnd w:id="52707"/>
      <w:r>
        <w:rPr>
          <w:rFonts w:hint="cs"/>
          <w:rtl/>
        </w:rPr>
        <w:t>הי</w:t>
      </w:r>
      <w:bookmarkStart w:id="52708" w:name="_ETM_Q99_671045"/>
      <w:bookmarkEnd w:id="52708"/>
      <w:r>
        <w:rPr>
          <w:rFonts w:hint="cs"/>
          <w:rtl/>
        </w:rPr>
        <w:t xml:space="preserve">עדר </w:t>
      </w:r>
      <w:bookmarkStart w:id="52709" w:name="_ETM_Q99_672419"/>
      <w:bookmarkEnd w:id="52709"/>
      <w:r>
        <w:rPr>
          <w:rFonts w:hint="cs"/>
          <w:rtl/>
        </w:rPr>
        <w:t xml:space="preserve">כל </w:t>
      </w:r>
      <w:bookmarkStart w:id="52710" w:name="_ETM_Q99_672689"/>
      <w:bookmarkEnd w:id="52710"/>
      <w:r>
        <w:rPr>
          <w:rFonts w:hint="cs"/>
          <w:rtl/>
        </w:rPr>
        <w:t xml:space="preserve">שריון </w:t>
      </w:r>
      <w:bookmarkStart w:id="52711" w:name="_ETM_Q99_673260"/>
      <w:bookmarkEnd w:id="52711"/>
      <w:r>
        <w:rPr>
          <w:rFonts w:hint="cs"/>
          <w:rtl/>
        </w:rPr>
        <w:t xml:space="preserve">של זכויות </w:t>
      </w:r>
      <w:bookmarkStart w:id="52712" w:name="_ETM_Q99_673769"/>
      <w:bookmarkEnd w:id="52712"/>
      <w:r>
        <w:rPr>
          <w:rFonts w:hint="cs"/>
          <w:rtl/>
        </w:rPr>
        <w:t xml:space="preserve">האדם </w:t>
      </w:r>
      <w:bookmarkStart w:id="52713" w:name="_ETM_Q99_674069"/>
      <w:bookmarkEnd w:id="52713"/>
      <w:r>
        <w:rPr>
          <w:rFonts w:hint="cs"/>
          <w:rtl/>
        </w:rPr>
        <w:t xml:space="preserve">במדינת </w:t>
      </w:r>
      <w:bookmarkStart w:id="52714" w:name="_ETM_Q99_674579"/>
      <w:bookmarkEnd w:id="52714"/>
      <w:r>
        <w:rPr>
          <w:rFonts w:hint="cs"/>
          <w:rtl/>
        </w:rPr>
        <w:t>ישראל</w:t>
      </w:r>
      <w:bookmarkStart w:id="52715" w:name="_ETM_Q99_675860"/>
      <w:bookmarkEnd w:id="52715"/>
      <w:r>
        <w:rPr>
          <w:rFonts w:hint="cs"/>
          <w:rtl/>
        </w:rPr>
        <w:t xml:space="preserve"> - - - </w:t>
      </w:r>
      <w:bookmarkStart w:id="52716" w:name="_ETM_Q99_672485"/>
      <w:bookmarkEnd w:id="52716"/>
      <w:r>
        <w:rPr>
          <w:rFonts w:hint="cs"/>
          <w:rtl/>
        </w:rPr>
        <w:t xml:space="preserve">רבותיי </w:t>
      </w:r>
      <w:bookmarkStart w:id="52717" w:name="_ETM_Q99_676310"/>
      <w:bookmarkEnd w:id="52717"/>
      <w:r>
        <w:rPr>
          <w:rFonts w:hint="cs"/>
          <w:rtl/>
        </w:rPr>
        <w:t xml:space="preserve">חברי </w:t>
      </w:r>
      <w:bookmarkStart w:id="52718" w:name="_ETM_Q99_676610"/>
      <w:bookmarkEnd w:id="52718"/>
      <w:r>
        <w:rPr>
          <w:rFonts w:hint="cs"/>
          <w:rtl/>
        </w:rPr>
        <w:t xml:space="preserve">הכנסת, </w:t>
      </w:r>
      <w:bookmarkStart w:id="52719" w:name="_ETM_Q99_677060"/>
      <w:bookmarkEnd w:id="52719"/>
      <w:r>
        <w:rPr>
          <w:rFonts w:hint="cs"/>
          <w:rtl/>
        </w:rPr>
        <w:t xml:space="preserve">אין </w:t>
      </w:r>
      <w:bookmarkStart w:id="52720" w:name="_ETM_Q99_677210"/>
      <w:bookmarkEnd w:id="52720"/>
      <w:r>
        <w:rPr>
          <w:rFonts w:hint="cs"/>
          <w:rtl/>
        </w:rPr>
        <w:t xml:space="preserve">היום </w:t>
      </w:r>
      <w:bookmarkStart w:id="52721" w:name="_ETM_Q99_677390"/>
      <w:bookmarkEnd w:id="52721"/>
      <w:r>
        <w:rPr>
          <w:rFonts w:hint="cs"/>
          <w:rtl/>
        </w:rPr>
        <w:t xml:space="preserve">כמעט </w:t>
      </w:r>
      <w:bookmarkStart w:id="52722" w:name="_ETM_Q99_677660"/>
      <w:bookmarkEnd w:id="52722"/>
      <w:r>
        <w:rPr>
          <w:rFonts w:hint="cs"/>
          <w:rtl/>
        </w:rPr>
        <w:t xml:space="preserve">מדינה </w:t>
      </w:r>
      <w:bookmarkStart w:id="52723" w:name="_ETM_Q99_678050"/>
      <w:bookmarkEnd w:id="52723"/>
      <w:r>
        <w:rPr>
          <w:rFonts w:hint="cs"/>
          <w:rtl/>
        </w:rPr>
        <w:t xml:space="preserve">שאין </w:t>
      </w:r>
      <w:bookmarkStart w:id="52724" w:name="_ETM_Q99_678290"/>
      <w:bookmarkEnd w:id="52724"/>
      <w:r>
        <w:rPr>
          <w:rFonts w:hint="cs"/>
          <w:rtl/>
        </w:rPr>
        <w:t xml:space="preserve">בה </w:t>
      </w:r>
      <w:bookmarkStart w:id="52725" w:name="_ETM_Q99_678410"/>
      <w:bookmarkEnd w:id="52725"/>
      <w:r>
        <w:rPr>
          <w:rFonts w:hint="cs"/>
          <w:rtl/>
        </w:rPr>
        <w:t>ה</w:t>
      </w:r>
      <w:bookmarkStart w:id="52726" w:name="_ETM_Q99_676475"/>
      <w:bookmarkEnd w:id="52726"/>
      <w:r>
        <w:rPr>
          <w:rFonts w:hint="cs"/>
          <w:rtl/>
        </w:rPr>
        <w:t xml:space="preserve">גנה </w:t>
      </w:r>
      <w:bookmarkStart w:id="52727" w:name="_ETM_Q99_678710"/>
      <w:bookmarkEnd w:id="52727"/>
      <w:r>
        <w:rPr>
          <w:rFonts w:hint="cs"/>
          <w:rtl/>
        </w:rPr>
        <w:t xml:space="preserve">חוקתית </w:t>
      </w:r>
      <w:bookmarkStart w:id="52728" w:name="_ETM_Q99_679160"/>
      <w:bookmarkEnd w:id="52728"/>
      <w:r>
        <w:rPr>
          <w:rFonts w:hint="cs"/>
          <w:rtl/>
        </w:rPr>
        <w:t>כזאת</w:t>
      </w:r>
      <w:bookmarkStart w:id="52729" w:name="_ETM_Q99_679980"/>
      <w:bookmarkEnd w:id="52729"/>
      <w:r>
        <w:rPr>
          <w:rFonts w:hint="cs"/>
          <w:rtl/>
        </w:rPr>
        <w:t xml:space="preserve"> על זכויות האדם - - - מי שטוען</w:t>
      </w:r>
      <w:bookmarkStart w:id="52730" w:name="_ETM_Q99_680615"/>
      <w:bookmarkStart w:id="52731" w:name="_ETM_Q99_680129"/>
      <w:bookmarkStart w:id="52732" w:name="_ETM_Q99_680519"/>
      <w:bookmarkStart w:id="52733" w:name="_ETM_Q99_681989"/>
      <w:bookmarkStart w:id="52734" w:name="_ETM_Q99_682200"/>
      <w:bookmarkStart w:id="52735" w:name="_ETM_Q99_683310"/>
      <w:bookmarkStart w:id="52736" w:name="_ETM_Q99_683580"/>
      <w:bookmarkEnd w:id="52730"/>
      <w:bookmarkEnd w:id="52731"/>
      <w:bookmarkEnd w:id="52732"/>
      <w:bookmarkEnd w:id="52733"/>
      <w:bookmarkEnd w:id="52734"/>
      <w:bookmarkEnd w:id="52735"/>
      <w:bookmarkEnd w:id="52736"/>
      <w:r>
        <w:rPr>
          <w:rFonts w:hint="cs"/>
          <w:rtl/>
        </w:rPr>
        <w:t xml:space="preserve">, </w:t>
      </w:r>
      <w:bookmarkStart w:id="52737" w:name="_ETM_Q99_681125"/>
      <w:bookmarkEnd w:id="52737"/>
      <w:r>
        <w:rPr>
          <w:rFonts w:hint="cs"/>
          <w:rtl/>
        </w:rPr>
        <w:t>כמו חבר הכנס</w:t>
      </w:r>
      <w:bookmarkStart w:id="52738" w:name="_ETM_Q99_683849"/>
      <w:bookmarkEnd w:id="52738"/>
      <w:r>
        <w:rPr>
          <w:rFonts w:hint="cs"/>
          <w:rtl/>
        </w:rPr>
        <w:t xml:space="preserve">ת </w:t>
      </w:r>
      <w:bookmarkStart w:id="52739" w:name="_ETM_Q99_684120"/>
      <w:bookmarkEnd w:id="52739"/>
      <w:r>
        <w:rPr>
          <w:rFonts w:hint="cs"/>
          <w:rtl/>
        </w:rPr>
        <w:t xml:space="preserve">מיכאל </w:t>
      </w:r>
      <w:bookmarkStart w:id="52740" w:name="_ETM_Q99_684450"/>
      <w:bookmarkEnd w:id="52740"/>
      <w:r>
        <w:rPr>
          <w:rFonts w:hint="cs"/>
          <w:rtl/>
        </w:rPr>
        <w:t xml:space="preserve">איתן </w:t>
      </w:r>
      <w:bookmarkStart w:id="52741" w:name="_ETM_Q99_685470"/>
      <w:bookmarkEnd w:id="52741"/>
      <w:r>
        <w:rPr>
          <w:rFonts w:hint="cs"/>
          <w:rtl/>
        </w:rPr>
        <w:t>מהליכוד,</w:t>
      </w:r>
      <w:bookmarkStart w:id="52742" w:name="_ETM_Q99_682586"/>
      <w:bookmarkEnd w:id="52742"/>
      <w:r>
        <w:rPr>
          <w:rFonts w:hint="cs"/>
          <w:rtl/>
        </w:rPr>
        <w:t xml:space="preserve"> </w:t>
      </w:r>
      <w:bookmarkStart w:id="52743" w:name="_ETM_Q99_686129"/>
      <w:bookmarkEnd w:id="52743"/>
      <w:r>
        <w:rPr>
          <w:rFonts w:hint="cs"/>
          <w:rtl/>
        </w:rPr>
        <w:t xml:space="preserve">שמוכרחים </w:t>
      </w:r>
      <w:bookmarkStart w:id="52744" w:name="_ETM_Q99_686730"/>
      <w:bookmarkEnd w:id="52744"/>
      <w:r>
        <w:rPr>
          <w:rFonts w:hint="cs"/>
          <w:rtl/>
        </w:rPr>
        <w:t xml:space="preserve">לשמר </w:t>
      </w:r>
      <w:bookmarkStart w:id="52745" w:name="_ETM_Q99_687329"/>
      <w:bookmarkEnd w:id="52745"/>
      <w:r>
        <w:rPr>
          <w:rFonts w:hint="cs"/>
          <w:rtl/>
        </w:rPr>
        <w:t xml:space="preserve">את </w:t>
      </w:r>
      <w:bookmarkStart w:id="52746" w:name="_ETM_Q99_687450"/>
      <w:bookmarkEnd w:id="52746"/>
      <w:r>
        <w:rPr>
          <w:rFonts w:hint="cs"/>
          <w:rtl/>
        </w:rPr>
        <w:t xml:space="preserve">ריבונות </w:t>
      </w:r>
      <w:bookmarkStart w:id="52747" w:name="_ETM_Q99_687810"/>
      <w:bookmarkEnd w:id="52747"/>
      <w:r>
        <w:rPr>
          <w:rFonts w:hint="cs"/>
          <w:rtl/>
        </w:rPr>
        <w:t xml:space="preserve">הכנסת </w:t>
      </w:r>
      <w:bookmarkStart w:id="52748" w:name="_ETM_Q99_688140"/>
      <w:bookmarkEnd w:id="52748"/>
      <w:r>
        <w:rPr>
          <w:rFonts w:hint="cs"/>
          <w:rtl/>
        </w:rPr>
        <w:t xml:space="preserve">בכל </w:t>
      </w:r>
      <w:bookmarkStart w:id="52749" w:name="_ETM_Q99_688590"/>
      <w:bookmarkEnd w:id="52749"/>
      <w:r>
        <w:rPr>
          <w:rFonts w:hint="cs"/>
          <w:rtl/>
        </w:rPr>
        <w:t>מחיר</w:t>
      </w:r>
      <w:bookmarkStart w:id="52750" w:name="_ETM_Q99_689750"/>
      <w:bookmarkEnd w:id="52750"/>
      <w:r>
        <w:rPr>
          <w:rFonts w:hint="cs"/>
          <w:rtl/>
        </w:rPr>
        <w:t xml:space="preserve">, </w:t>
      </w:r>
      <w:bookmarkStart w:id="52751" w:name="_ETM_Q99_689148"/>
      <w:bookmarkEnd w:id="52751"/>
      <w:r>
        <w:rPr>
          <w:rFonts w:hint="cs"/>
          <w:rtl/>
        </w:rPr>
        <w:t>מ</w:t>
      </w:r>
      <w:bookmarkStart w:id="52752" w:name="_ETM_Q99_687136"/>
      <w:bookmarkEnd w:id="52752"/>
      <w:r>
        <w:rPr>
          <w:rFonts w:hint="cs"/>
          <w:rtl/>
        </w:rPr>
        <w:t xml:space="preserve">תנכר </w:t>
      </w:r>
      <w:bookmarkStart w:id="52753" w:name="_ETM_Q99_690440"/>
      <w:bookmarkEnd w:id="52753"/>
      <w:r>
        <w:rPr>
          <w:rFonts w:hint="cs"/>
          <w:rtl/>
        </w:rPr>
        <w:t xml:space="preserve">לא </w:t>
      </w:r>
      <w:bookmarkStart w:id="52754" w:name="_ETM_Q99_690620"/>
      <w:bookmarkEnd w:id="52754"/>
      <w:r>
        <w:rPr>
          <w:rFonts w:hint="cs"/>
          <w:rtl/>
        </w:rPr>
        <w:t xml:space="preserve">רק </w:t>
      </w:r>
      <w:bookmarkStart w:id="52755" w:name="_ETM_Q99_690800"/>
      <w:bookmarkEnd w:id="52755"/>
      <w:r>
        <w:rPr>
          <w:rFonts w:hint="cs"/>
          <w:rtl/>
        </w:rPr>
        <w:t xml:space="preserve">לעקרונות </w:t>
      </w:r>
      <w:bookmarkStart w:id="52756" w:name="_ETM_Q99_691250"/>
      <w:bookmarkEnd w:id="52756"/>
      <w:r>
        <w:rPr>
          <w:rFonts w:hint="cs"/>
          <w:rtl/>
        </w:rPr>
        <w:t xml:space="preserve">האוניברסליים </w:t>
      </w:r>
      <w:bookmarkStart w:id="52757" w:name="_ETM_Q99_692059"/>
      <w:bookmarkEnd w:id="52757"/>
      <w:r>
        <w:rPr>
          <w:rFonts w:hint="cs"/>
          <w:rtl/>
        </w:rPr>
        <w:t xml:space="preserve">של </w:t>
      </w:r>
      <w:bookmarkStart w:id="52758" w:name="_ETM_Q99_692269"/>
      <w:bookmarkEnd w:id="52758"/>
      <w:r>
        <w:rPr>
          <w:rFonts w:hint="cs"/>
          <w:rtl/>
        </w:rPr>
        <w:t>זכויות</w:t>
      </w:r>
      <w:bookmarkStart w:id="52759" w:name="_ETM_Q99_692780"/>
      <w:bookmarkEnd w:id="52759"/>
      <w:r>
        <w:rPr>
          <w:rFonts w:hint="cs"/>
          <w:rtl/>
        </w:rPr>
        <w:t xml:space="preserve"> אדם</w:t>
      </w:r>
      <w:bookmarkStart w:id="52760" w:name="_ETM_Q99_693709"/>
      <w:bookmarkStart w:id="52761" w:name="_ETM_Q99_693860"/>
      <w:bookmarkStart w:id="52762" w:name="_ETM_Q99_694099"/>
      <w:bookmarkStart w:id="52763" w:name="_ETM_Q99_694309"/>
      <w:bookmarkEnd w:id="52760"/>
      <w:bookmarkEnd w:id="52761"/>
      <w:bookmarkEnd w:id="52762"/>
      <w:bookmarkEnd w:id="52763"/>
      <w:r>
        <w:rPr>
          <w:rFonts w:hint="cs"/>
          <w:rtl/>
        </w:rPr>
        <w:t xml:space="preserve"> מ</w:t>
      </w:r>
      <w:bookmarkStart w:id="52764" w:name="_ETM_Q99_692596"/>
      <w:bookmarkEnd w:id="52764"/>
      <w:r>
        <w:rPr>
          <w:rFonts w:hint="cs"/>
          <w:rtl/>
        </w:rPr>
        <w:t xml:space="preserve">שוריינות </w:t>
      </w:r>
      <w:bookmarkStart w:id="52765" w:name="_ETM_Q99_695829"/>
      <w:bookmarkEnd w:id="52765"/>
      <w:r>
        <w:rPr>
          <w:rFonts w:hint="cs"/>
          <w:rtl/>
        </w:rPr>
        <w:t xml:space="preserve">אלא </w:t>
      </w:r>
      <w:bookmarkStart w:id="52766" w:name="_ETM_Q99_696159"/>
      <w:bookmarkEnd w:id="52766"/>
      <w:r>
        <w:rPr>
          <w:rFonts w:hint="cs"/>
          <w:rtl/>
        </w:rPr>
        <w:t xml:space="preserve">גם </w:t>
      </w:r>
      <w:bookmarkStart w:id="52767" w:name="_ETM_Q99_696459"/>
      <w:bookmarkEnd w:id="52767"/>
      <w:r>
        <w:rPr>
          <w:rFonts w:hint="cs"/>
          <w:rtl/>
        </w:rPr>
        <w:t xml:space="preserve">לעמדה </w:t>
      </w:r>
      <w:bookmarkStart w:id="52768" w:name="_ETM_Q99_697059"/>
      <w:bookmarkEnd w:id="52768"/>
      <w:r>
        <w:rPr>
          <w:rFonts w:hint="cs"/>
          <w:rtl/>
        </w:rPr>
        <w:t xml:space="preserve">של </w:t>
      </w:r>
      <w:bookmarkStart w:id="52769" w:name="_ETM_Q99_697239"/>
      <w:bookmarkEnd w:id="52769"/>
      <w:r>
        <w:rPr>
          <w:rFonts w:hint="cs"/>
          <w:rtl/>
        </w:rPr>
        <w:t>רוב</w:t>
      </w:r>
      <w:bookmarkStart w:id="52770" w:name="_ETM_Q99_697569"/>
      <w:bookmarkEnd w:id="52770"/>
      <w:r>
        <w:rPr>
          <w:rFonts w:hint="cs"/>
          <w:rtl/>
        </w:rPr>
        <w:t>-</w:t>
      </w:r>
      <w:bookmarkStart w:id="52771" w:name="_ETM_Q99_695005"/>
      <w:bookmarkEnd w:id="52771"/>
      <w:r>
        <w:rPr>
          <w:rFonts w:hint="cs"/>
          <w:rtl/>
        </w:rPr>
        <w:t xml:space="preserve">רובה </w:t>
      </w:r>
      <w:bookmarkStart w:id="52772" w:name="_ETM_Q99_697870"/>
      <w:bookmarkEnd w:id="52772"/>
      <w:r>
        <w:rPr>
          <w:rFonts w:hint="cs"/>
          <w:rtl/>
        </w:rPr>
        <w:t xml:space="preserve">של </w:t>
      </w:r>
      <w:bookmarkStart w:id="52773" w:name="_ETM_Q99_698049"/>
      <w:bookmarkEnd w:id="52773"/>
      <w:r>
        <w:rPr>
          <w:rFonts w:hint="cs"/>
          <w:rtl/>
        </w:rPr>
        <w:t xml:space="preserve">הכנסת, </w:t>
      </w:r>
      <w:bookmarkStart w:id="52774" w:name="_ETM_Q99_698499"/>
      <w:bookmarkEnd w:id="52774"/>
      <w:r>
        <w:rPr>
          <w:rFonts w:hint="cs"/>
          <w:rtl/>
        </w:rPr>
        <w:t xml:space="preserve">בעצם </w:t>
      </w:r>
      <w:bookmarkStart w:id="52775" w:name="_ETM_Q99_698859"/>
      <w:bookmarkEnd w:id="52775"/>
      <w:r>
        <w:rPr>
          <w:rFonts w:hint="cs"/>
          <w:rtl/>
        </w:rPr>
        <w:t>מ-</w:t>
      </w:r>
      <w:bookmarkStart w:id="52776" w:name="_ETM_Q99_697415"/>
      <w:bookmarkEnd w:id="52776"/>
      <w:r>
        <w:rPr>
          <w:rFonts w:hint="cs"/>
          <w:rtl/>
        </w:rPr>
        <w:t xml:space="preserve">1977, </w:t>
      </w:r>
      <w:bookmarkStart w:id="52777" w:name="_ETM_Q99_697474"/>
      <w:bookmarkStart w:id="52778" w:name="_ETM_Q99_700730"/>
      <w:bookmarkEnd w:id="52777"/>
      <w:bookmarkEnd w:id="52778"/>
      <w:r>
        <w:rPr>
          <w:rFonts w:hint="cs"/>
          <w:rtl/>
        </w:rPr>
        <w:t xml:space="preserve">לרבות </w:t>
      </w:r>
      <w:bookmarkStart w:id="52779" w:name="_ETM_Q99_701179"/>
      <w:bookmarkEnd w:id="52779"/>
      <w:r>
        <w:rPr>
          <w:rFonts w:hint="cs"/>
          <w:rtl/>
        </w:rPr>
        <w:t>עמד</w:t>
      </w:r>
      <w:bookmarkStart w:id="52780" w:name="_ETM_Q99_700824"/>
      <w:bookmarkEnd w:id="52780"/>
      <w:r>
        <w:rPr>
          <w:rFonts w:hint="cs"/>
          <w:rtl/>
        </w:rPr>
        <w:t xml:space="preserve">ת </w:t>
      </w:r>
      <w:bookmarkStart w:id="52781" w:name="_ETM_Q99_701569"/>
      <w:bookmarkEnd w:id="52781"/>
      <w:r>
        <w:rPr>
          <w:rFonts w:hint="cs"/>
          <w:rtl/>
        </w:rPr>
        <w:t xml:space="preserve">מפלגתו </w:t>
      </w:r>
      <w:bookmarkStart w:id="52782" w:name="_ETM_Q99_702109"/>
      <w:bookmarkEnd w:id="52782"/>
      <w:r>
        <w:rPr>
          <w:rFonts w:hint="cs"/>
          <w:rtl/>
        </w:rPr>
        <w:t>המובהקת</w:t>
      </w:r>
      <w:bookmarkStart w:id="52783" w:name="_ETM_Q99_703950"/>
      <w:bookmarkEnd w:id="52783"/>
      <w:r>
        <w:rPr>
          <w:rFonts w:hint="cs"/>
          <w:rtl/>
        </w:rPr>
        <w:t xml:space="preserve">. </w:t>
      </w:r>
      <w:bookmarkStart w:id="52784" w:name="_ETM_Q99_704309"/>
      <w:bookmarkStart w:id="52785" w:name="_ETM_Q99_704730"/>
      <w:bookmarkStart w:id="52786" w:name="_ETM_Q99_705720"/>
      <w:bookmarkStart w:id="52787" w:name="_ETM_Q99_703343"/>
      <w:bookmarkEnd w:id="52784"/>
      <w:bookmarkEnd w:id="52785"/>
      <w:bookmarkEnd w:id="52786"/>
      <w:bookmarkEnd w:id="52787"/>
    </w:p>
    <w:p w:rsidR="00BB59CD" w:rsidRDefault="00BB59CD" w:rsidP="00BB59CD">
      <w:pPr>
        <w:rPr>
          <w:rtl/>
        </w:rPr>
      </w:pPr>
    </w:p>
    <w:p w:rsidR="00BB59CD" w:rsidRDefault="00BB59CD" w:rsidP="00374B1A">
      <w:pPr>
        <w:rPr>
          <w:rtl/>
        </w:rPr>
      </w:pPr>
      <w:r>
        <w:rPr>
          <w:rFonts w:hint="cs"/>
          <w:rtl/>
        </w:rPr>
        <w:t xml:space="preserve">"מה </w:t>
      </w:r>
      <w:bookmarkStart w:id="52788" w:name="_ETM_Q99_705930"/>
      <w:bookmarkEnd w:id="52788"/>
      <w:r>
        <w:rPr>
          <w:rFonts w:hint="cs"/>
          <w:rtl/>
        </w:rPr>
        <w:t xml:space="preserve">אומר </w:t>
      </w:r>
      <w:bookmarkStart w:id="52789" w:name="_ETM_Q99_706200"/>
      <w:bookmarkEnd w:id="52789"/>
      <w:r>
        <w:rPr>
          <w:rFonts w:hint="cs"/>
          <w:rtl/>
        </w:rPr>
        <w:t xml:space="preserve">החוק? </w:t>
      </w:r>
      <w:bookmarkStart w:id="52790" w:name="_ETM_Q99_707050"/>
      <w:bookmarkEnd w:id="52790"/>
      <w:r>
        <w:rPr>
          <w:rFonts w:hint="cs"/>
          <w:rtl/>
        </w:rPr>
        <w:t xml:space="preserve">'אין </w:t>
      </w:r>
      <w:bookmarkStart w:id="52791" w:name="_ETM_Q99_707260"/>
      <w:bookmarkEnd w:id="52791"/>
      <w:r>
        <w:rPr>
          <w:rFonts w:hint="cs"/>
          <w:rtl/>
        </w:rPr>
        <w:t>מ</w:t>
      </w:r>
      <w:bookmarkStart w:id="52792" w:name="_ETM_Q99_706483"/>
      <w:bookmarkEnd w:id="52792"/>
      <w:r>
        <w:rPr>
          <w:rFonts w:hint="cs"/>
          <w:rtl/>
        </w:rPr>
        <w:t xml:space="preserve">גבילים </w:t>
      </w:r>
      <w:bookmarkStart w:id="52793" w:name="_ETM_Q99_707709"/>
      <w:bookmarkEnd w:id="52793"/>
      <w:r>
        <w:rPr>
          <w:rFonts w:hint="cs"/>
          <w:rtl/>
        </w:rPr>
        <w:t xml:space="preserve">זכות </w:t>
      </w:r>
      <w:bookmarkStart w:id="52794" w:name="_ETM_Q99_707980"/>
      <w:bookmarkEnd w:id="52794"/>
      <w:r>
        <w:rPr>
          <w:rFonts w:hint="cs"/>
          <w:rtl/>
        </w:rPr>
        <w:t xml:space="preserve">זו </w:t>
      </w:r>
      <w:bookmarkStart w:id="52795" w:name="_ETM_Q99_709030"/>
      <w:bookmarkEnd w:id="52795"/>
      <w:r>
        <w:rPr>
          <w:rFonts w:hint="cs"/>
          <w:rtl/>
        </w:rPr>
        <w:t xml:space="preserve">אלא </w:t>
      </w:r>
      <w:bookmarkStart w:id="52796" w:name="_ETM_Q99_709360"/>
      <w:bookmarkEnd w:id="52796"/>
      <w:r>
        <w:rPr>
          <w:rFonts w:hint="cs"/>
          <w:rtl/>
        </w:rPr>
        <w:t xml:space="preserve">בחוק </w:t>
      </w:r>
      <w:bookmarkStart w:id="52797" w:name="_ETM_Q99_709780"/>
      <w:bookmarkEnd w:id="52797"/>
      <w:r>
        <w:rPr>
          <w:rFonts w:hint="cs"/>
          <w:rtl/>
        </w:rPr>
        <w:t>ו</w:t>
      </w:r>
      <w:bookmarkStart w:id="52798" w:name="_ETM_Q99_706983"/>
      <w:bookmarkEnd w:id="52798"/>
      <w:r>
        <w:rPr>
          <w:rFonts w:hint="cs"/>
          <w:rtl/>
        </w:rPr>
        <w:t xml:space="preserve">מטעמים </w:t>
      </w:r>
      <w:bookmarkStart w:id="52799" w:name="_ETM_Q99_710260"/>
      <w:bookmarkEnd w:id="52799"/>
      <w:r>
        <w:rPr>
          <w:rFonts w:hint="cs"/>
          <w:rtl/>
        </w:rPr>
        <w:t xml:space="preserve">ברורים </w:t>
      </w:r>
      <w:bookmarkStart w:id="52800" w:name="_ETM_Q99_710679"/>
      <w:bookmarkEnd w:id="52800"/>
      <w:r>
        <w:rPr>
          <w:rFonts w:hint="cs"/>
          <w:rtl/>
        </w:rPr>
        <w:t xml:space="preserve">של </w:t>
      </w:r>
      <w:bookmarkStart w:id="52801" w:name="_ETM_Q99_710860"/>
      <w:bookmarkEnd w:id="52801"/>
      <w:r>
        <w:rPr>
          <w:rFonts w:hint="cs"/>
          <w:rtl/>
        </w:rPr>
        <w:t xml:space="preserve">טובת </w:t>
      </w:r>
      <w:bookmarkStart w:id="52802" w:name="_ETM_Q99_711190"/>
      <w:bookmarkEnd w:id="52802"/>
      <w:r>
        <w:rPr>
          <w:rFonts w:hint="cs"/>
          <w:rtl/>
        </w:rPr>
        <w:t xml:space="preserve">הכלל'. </w:t>
      </w:r>
      <w:bookmarkStart w:id="52803" w:name="_ETM_Q99_712090"/>
      <w:bookmarkEnd w:id="52803"/>
      <w:r>
        <w:rPr>
          <w:rFonts w:hint="cs"/>
          <w:rtl/>
        </w:rPr>
        <w:t xml:space="preserve">אני </w:t>
      </w:r>
      <w:bookmarkStart w:id="52804" w:name="_ETM_Q99_712270"/>
      <w:bookmarkEnd w:id="52804"/>
      <w:r>
        <w:rPr>
          <w:rFonts w:hint="cs"/>
          <w:rtl/>
        </w:rPr>
        <w:t xml:space="preserve">רוצה </w:t>
      </w:r>
      <w:bookmarkStart w:id="52805" w:name="_ETM_Q99_712450"/>
      <w:bookmarkEnd w:id="52805"/>
      <w:r>
        <w:rPr>
          <w:rFonts w:hint="cs"/>
          <w:rtl/>
        </w:rPr>
        <w:t xml:space="preserve">להסביר </w:t>
      </w:r>
      <w:bookmarkStart w:id="52806" w:name="_ETM_Q99_712900"/>
      <w:bookmarkEnd w:id="52806"/>
      <w:r>
        <w:rPr>
          <w:rFonts w:hint="cs"/>
          <w:rtl/>
        </w:rPr>
        <w:t xml:space="preserve">למה </w:t>
      </w:r>
      <w:bookmarkStart w:id="52807" w:name="_ETM_Q99_713140"/>
      <w:bookmarkEnd w:id="52807"/>
      <w:r>
        <w:rPr>
          <w:rFonts w:hint="cs"/>
          <w:rtl/>
        </w:rPr>
        <w:t xml:space="preserve">ועדת </w:t>
      </w:r>
      <w:bookmarkStart w:id="52808" w:name="_ETM_Q99_713470"/>
      <w:bookmarkEnd w:id="52808"/>
      <w:r>
        <w:rPr>
          <w:rFonts w:hint="cs"/>
          <w:rtl/>
        </w:rPr>
        <w:t>החוקה,</w:t>
      </w:r>
      <w:bookmarkStart w:id="52809" w:name="_ETM_Q99_710553"/>
      <w:bookmarkEnd w:id="52809"/>
      <w:r>
        <w:rPr>
          <w:rFonts w:hint="cs"/>
          <w:rtl/>
        </w:rPr>
        <w:t xml:space="preserve"> </w:t>
      </w:r>
      <w:bookmarkStart w:id="52810" w:name="_ETM_Q99_713800"/>
      <w:bookmarkEnd w:id="52810"/>
      <w:r>
        <w:rPr>
          <w:rFonts w:hint="cs"/>
          <w:rtl/>
        </w:rPr>
        <w:t xml:space="preserve">חוק </w:t>
      </w:r>
      <w:bookmarkStart w:id="52811" w:name="_ETM_Q99_714010"/>
      <w:bookmarkEnd w:id="52811"/>
      <w:r>
        <w:rPr>
          <w:rFonts w:hint="cs"/>
          <w:rtl/>
        </w:rPr>
        <w:t xml:space="preserve">ומשפט </w:t>
      </w:r>
      <w:bookmarkStart w:id="52812" w:name="_ETM_Q99_715270"/>
      <w:bookmarkEnd w:id="52812"/>
      <w:r>
        <w:rPr>
          <w:rFonts w:hint="cs"/>
          <w:rtl/>
        </w:rPr>
        <w:t xml:space="preserve">מציעה </w:t>
      </w:r>
      <w:bookmarkStart w:id="52813" w:name="_ETM_Q99_715809"/>
      <w:bookmarkEnd w:id="52813"/>
      <w:r>
        <w:rPr>
          <w:rFonts w:hint="cs"/>
          <w:rtl/>
        </w:rPr>
        <w:t xml:space="preserve">את </w:t>
      </w:r>
      <w:bookmarkStart w:id="52814" w:name="_ETM_Q99_715930"/>
      <w:bookmarkEnd w:id="52814"/>
      <w:r>
        <w:rPr>
          <w:rFonts w:hint="cs"/>
          <w:rtl/>
        </w:rPr>
        <w:t xml:space="preserve">הנושא </w:t>
      </w:r>
      <w:bookmarkStart w:id="52815" w:name="_ETM_Q99_716290"/>
      <w:bookmarkEnd w:id="52815"/>
      <w:r>
        <w:rPr>
          <w:rFonts w:hint="cs"/>
          <w:rtl/>
        </w:rPr>
        <w:t xml:space="preserve">הזה </w:t>
      </w:r>
      <w:bookmarkStart w:id="52816" w:name="_ETM_Q99_716969"/>
      <w:bookmarkEnd w:id="52816"/>
      <w:r>
        <w:rPr>
          <w:rFonts w:hint="cs"/>
          <w:rtl/>
        </w:rPr>
        <w:t xml:space="preserve">בנוסח </w:t>
      </w:r>
      <w:bookmarkStart w:id="52817" w:name="_ETM_Q99_717659"/>
      <w:bookmarkEnd w:id="52817"/>
      <w:r>
        <w:rPr>
          <w:rFonts w:hint="cs"/>
          <w:rtl/>
        </w:rPr>
        <w:t xml:space="preserve">כזה </w:t>
      </w:r>
      <w:bookmarkStart w:id="52818" w:name="_ETM_Q99_718079"/>
      <w:bookmarkEnd w:id="52818"/>
      <w:r>
        <w:rPr>
          <w:rFonts w:hint="cs"/>
          <w:rtl/>
        </w:rPr>
        <w:t xml:space="preserve">ולא </w:t>
      </w:r>
      <w:bookmarkStart w:id="52819" w:name="_ETM_Q99_718290"/>
      <w:bookmarkEnd w:id="52819"/>
      <w:r>
        <w:rPr>
          <w:rFonts w:hint="cs"/>
          <w:rtl/>
        </w:rPr>
        <w:t xml:space="preserve">בנוסח </w:t>
      </w:r>
      <w:bookmarkStart w:id="52820" w:name="_ETM_Q99_718739"/>
      <w:bookmarkEnd w:id="52820"/>
      <w:r>
        <w:rPr>
          <w:rFonts w:hint="cs"/>
          <w:rtl/>
        </w:rPr>
        <w:t>אחר.</w:t>
      </w:r>
      <w:bookmarkStart w:id="52821" w:name="_ETM_Q99_716973"/>
      <w:bookmarkStart w:id="52822" w:name="_ETM_Q99_718461"/>
      <w:bookmarkStart w:id="52823" w:name="_ETM_Q99_718527"/>
      <w:bookmarkStart w:id="52824" w:name="_ETM_Q99_718773"/>
      <w:bookmarkStart w:id="52825" w:name="_ETM_Q99_718829"/>
      <w:bookmarkStart w:id="52826" w:name="_ETM_Q99_719830"/>
      <w:bookmarkEnd w:id="52821"/>
      <w:bookmarkEnd w:id="52822"/>
      <w:bookmarkEnd w:id="52823"/>
      <w:bookmarkEnd w:id="52824"/>
      <w:bookmarkEnd w:id="52825"/>
      <w:bookmarkEnd w:id="52826"/>
      <w:r>
        <w:rPr>
          <w:rFonts w:hint="cs"/>
          <w:rtl/>
        </w:rPr>
        <w:t xml:space="preserve"> 'מטעמים </w:t>
      </w:r>
      <w:bookmarkStart w:id="52827" w:name="_ETM_Q99_720370"/>
      <w:bookmarkEnd w:id="52827"/>
      <w:r>
        <w:rPr>
          <w:rFonts w:hint="cs"/>
          <w:rtl/>
        </w:rPr>
        <w:t xml:space="preserve">ברורים </w:t>
      </w:r>
      <w:bookmarkStart w:id="52828" w:name="_ETM_Q99_720730"/>
      <w:bookmarkEnd w:id="52828"/>
      <w:r>
        <w:rPr>
          <w:rFonts w:hint="cs"/>
          <w:rtl/>
        </w:rPr>
        <w:t xml:space="preserve">של </w:t>
      </w:r>
      <w:bookmarkStart w:id="52829" w:name="_ETM_Q99_720879"/>
      <w:bookmarkEnd w:id="52829"/>
      <w:r>
        <w:rPr>
          <w:rFonts w:hint="cs"/>
          <w:rtl/>
        </w:rPr>
        <w:t xml:space="preserve">טובת </w:t>
      </w:r>
      <w:bookmarkStart w:id="52830" w:name="_ETM_Q99_721179"/>
      <w:bookmarkEnd w:id="52830"/>
      <w:r>
        <w:rPr>
          <w:rFonts w:hint="cs"/>
          <w:rtl/>
        </w:rPr>
        <w:t xml:space="preserve">הכלל' </w:t>
      </w:r>
      <w:bookmarkStart w:id="52831" w:name="_ETM_Q99_722150"/>
      <w:bookmarkEnd w:id="52831"/>
      <w:r>
        <w:rPr>
          <w:rFonts w:hint="cs"/>
          <w:rtl/>
        </w:rPr>
        <w:t xml:space="preserve">– פירושו </w:t>
      </w:r>
      <w:bookmarkStart w:id="52832" w:name="_ETM_Q99_722569"/>
      <w:bookmarkEnd w:id="52832"/>
      <w:r>
        <w:rPr>
          <w:rFonts w:hint="cs"/>
          <w:rtl/>
        </w:rPr>
        <w:t xml:space="preserve">של </w:t>
      </w:r>
      <w:bookmarkStart w:id="52833" w:name="_ETM_Q99_722749"/>
      <w:bookmarkEnd w:id="52833"/>
      <w:r>
        <w:rPr>
          <w:rFonts w:hint="cs"/>
          <w:rtl/>
        </w:rPr>
        <w:t>דבר</w:t>
      </w:r>
      <w:bookmarkStart w:id="52834" w:name="_ETM_Q99_720192"/>
      <w:bookmarkEnd w:id="52834"/>
      <w:r>
        <w:rPr>
          <w:rFonts w:hint="cs"/>
          <w:rtl/>
        </w:rPr>
        <w:t xml:space="preserve"> </w:t>
      </w:r>
      <w:bookmarkStart w:id="52835" w:name="_ETM_Q99_723590"/>
      <w:bookmarkEnd w:id="52835"/>
      <w:r>
        <w:rPr>
          <w:rFonts w:hint="cs"/>
          <w:rtl/>
        </w:rPr>
        <w:t xml:space="preserve">שאתה </w:t>
      </w:r>
      <w:bookmarkStart w:id="52836" w:name="_ETM_Q99_723859"/>
      <w:bookmarkEnd w:id="52836"/>
      <w:r>
        <w:rPr>
          <w:rFonts w:hint="cs"/>
          <w:rtl/>
        </w:rPr>
        <w:t xml:space="preserve">מגביל </w:t>
      </w:r>
      <w:bookmarkStart w:id="52837" w:name="_ETM_Q99_724340"/>
      <w:bookmarkEnd w:id="52837"/>
      <w:r>
        <w:rPr>
          <w:rFonts w:hint="cs"/>
          <w:rtl/>
        </w:rPr>
        <w:t xml:space="preserve">את </w:t>
      </w:r>
      <w:bookmarkStart w:id="52838" w:name="_ETM_Q99_724429"/>
      <w:bookmarkEnd w:id="52838"/>
      <w:r>
        <w:rPr>
          <w:rFonts w:hint="cs"/>
          <w:rtl/>
        </w:rPr>
        <w:t xml:space="preserve">חופש </w:t>
      </w:r>
      <w:bookmarkStart w:id="52839" w:name="_ETM_Q99_724760"/>
      <w:bookmarkEnd w:id="52839"/>
      <w:r>
        <w:rPr>
          <w:rFonts w:hint="cs"/>
          <w:rtl/>
        </w:rPr>
        <w:t xml:space="preserve">העיסוק </w:t>
      </w:r>
      <w:bookmarkStart w:id="52840" w:name="_ETM_Q99_725090"/>
      <w:bookmarkEnd w:id="52840"/>
      <w:r>
        <w:rPr>
          <w:rFonts w:hint="cs"/>
          <w:rtl/>
        </w:rPr>
        <w:t xml:space="preserve">של </w:t>
      </w:r>
      <w:bookmarkStart w:id="52841" w:name="_ETM_Q99_725269"/>
      <w:bookmarkEnd w:id="52841"/>
      <w:r>
        <w:rPr>
          <w:rFonts w:hint="cs"/>
          <w:rtl/>
        </w:rPr>
        <w:t xml:space="preserve">אדם </w:t>
      </w:r>
      <w:bookmarkStart w:id="52842" w:name="_ETM_Q99_726220"/>
      <w:bookmarkEnd w:id="52842"/>
      <w:r>
        <w:rPr>
          <w:rFonts w:hint="cs"/>
          <w:rtl/>
        </w:rPr>
        <w:t xml:space="preserve">אך </w:t>
      </w:r>
      <w:bookmarkStart w:id="52843" w:name="_ETM_Q99_726459"/>
      <w:bookmarkEnd w:id="52843"/>
      <w:r>
        <w:rPr>
          <w:rFonts w:hint="cs"/>
          <w:rtl/>
        </w:rPr>
        <w:t xml:space="preserve">ורק </w:t>
      </w:r>
      <w:bookmarkStart w:id="52844" w:name="_ETM_Q99_728140"/>
      <w:bookmarkEnd w:id="52844"/>
      <w:r>
        <w:rPr>
          <w:rFonts w:hint="cs"/>
          <w:rtl/>
        </w:rPr>
        <w:t xml:space="preserve">אם </w:t>
      </w:r>
      <w:bookmarkStart w:id="52845" w:name="_ETM_Q99_728349"/>
      <w:bookmarkEnd w:id="52845"/>
      <w:r>
        <w:rPr>
          <w:rFonts w:hint="cs"/>
          <w:rtl/>
        </w:rPr>
        <w:t xml:space="preserve">זה </w:t>
      </w:r>
      <w:bookmarkStart w:id="52846" w:name="_ETM_Q99_728739"/>
      <w:bookmarkEnd w:id="52846"/>
      <w:r>
        <w:rPr>
          <w:rFonts w:hint="cs"/>
          <w:rtl/>
        </w:rPr>
        <w:t>ל</w:t>
      </w:r>
      <w:bookmarkStart w:id="52847" w:name="_ETM_Q99_726224"/>
      <w:bookmarkEnd w:id="52847"/>
      <w:r>
        <w:rPr>
          <w:rFonts w:hint="cs"/>
          <w:rtl/>
        </w:rPr>
        <w:t xml:space="preserve">טובת </w:t>
      </w:r>
      <w:bookmarkStart w:id="52848" w:name="_ETM_Q99_729249"/>
      <w:bookmarkEnd w:id="52848"/>
      <w:r>
        <w:rPr>
          <w:rFonts w:hint="cs"/>
          <w:rtl/>
        </w:rPr>
        <w:t>גיל</w:t>
      </w:r>
      <w:bookmarkStart w:id="52849" w:name="_ETM_Q99_729459"/>
      <w:bookmarkEnd w:id="52849"/>
      <w:r>
        <w:rPr>
          <w:rFonts w:hint="cs"/>
          <w:rtl/>
        </w:rPr>
        <w:t xml:space="preserve">דה </w:t>
      </w:r>
      <w:bookmarkStart w:id="52850" w:name="_ETM_Q99_729609"/>
      <w:bookmarkEnd w:id="52850"/>
      <w:r>
        <w:rPr>
          <w:rFonts w:hint="cs"/>
          <w:rtl/>
        </w:rPr>
        <w:t xml:space="preserve">מסוימת </w:t>
      </w:r>
      <w:bookmarkStart w:id="52851" w:name="_ETM_Q99_730120"/>
      <w:bookmarkStart w:id="52852" w:name="_ETM_Q99_727333"/>
      <w:bookmarkEnd w:id="52851"/>
      <w:bookmarkEnd w:id="52852"/>
      <w:r>
        <w:rPr>
          <w:rFonts w:hint="cs"/>
          <w:rtl/>
        </w:rPr>
        <w:t xml:space="preserve">או </w:t>
      </w:r>
      <w:bookmarkStart w:id="52853" w:name="_ETM_Q99_730209"/>
      <w:bookmarkEnd w:id="52853"/>
      <w:r>
        <w:rPr>
          <w:rFonts w:hint="cs"/>
          <w:rtl/>
        </w:rPr>
        <w:t xml:space="preserve">אינטרס </w:t>
      </w:r>
      <w:bookmarkStart w:id="52854" w:name="_ETM_Q99_730569"/>
      <w:bookmarkEnd w:id="52854"/>
      <w:r>
        <w:rPr>
          <w:rFonts w:hint="cs"/>
          <w:rtl/>
        </w:rPr>
        <w:t xml:space="preserve">מסוים, </w:t>
      </w:r>
      <w:bookmarkStart w:id="52855" w:name="_ETM_Q99_731079"/>
      <w:bookmarkEnd w:id="52855"/>
      <w:r>
        <w:rPr>
          <w:rFonts w:hint="cs"/>
          <w:rtl/>
        </w:rPr>
        <w:t xml:space="preserve">או </w:t>
      </w:r>
      <w:bookmarkStart w:id="52856" w:name="_ETM_Q99_731139"/>
      <w:bookmarkEnd w:id="52856"/>
      <w:r>
        <w:rPr>
          <w:rFonts w:hint="cs"/>
          <w:rtl/>
        </w:rPr>
        <w:t xml:space="preserve">סקטור </w:t>
      </w:r>
      <w:bookmarkStart w:id="52857" w:name="_ETM_Q99_731530"/>
      <w:bookmarkEnd w:id="52857"/>
      <w:r>
        <w:rPr>
          <w:rFonts w:hint="cs"/>
          <w:rtl/>
        </w:rPr>
        <w:t xml:space="preserve">מסוים </w:t>
      </w:r>
      <w:bookmarkStart w:id="52858" w:name="_ETM_Q99_732069"/>
      <w:bookmarkEnd w:id="52858"/>
      <w:r>
        <w:rPr>
          <w:rFonts w:hint="cs"/>
          <w:rtl/>
        </w:rPr>
        <w:t xml:space="preserve">או </w:t>
      </w:r>
      <w:bookmarkStart w:id="52859" w:name="_ETM_Q99_730883"/>
      <w:bookmarkEnd w:id="52859"/>
      <w:r>
        <w:rPr>
          <w:rFonts w:hint="cs"/>
          <w:rtl/>
        </w:rPr>
        <w:t xml:space="preserve">מונופול </w:t>
      </w:r>
      <w:bookmarkStart w:id="52860" w:name="_ETM_Q99_732639"/>
      <w:bookmarkEnd w:id="52860"/>
      <w:r>
        <w:rPr>
          <w:rFonts w:hint="cs"/>
          <w:rtl/>
        </w:rPr>
        <w:t xml:space="preserve">מסוים, </w:t>
      </w:r>
      <w:bookmarkStart w:id="52861" w:name="_ETM_Q99_733659"/>
      <w:bookmarkEnd w:id="52861"/>
      <w:r>
        <w:rPr>
          <w:rFonts w:hint="cs"/>
          <w:rtl/>
        </w:rPr>
        <w:t xml:space="preserve">או </w:t>
      </w:r>
      <w:bookmarkStart w:id="52862" w:name="_ETM_Q99_733780"/>
      <w:bookmarkStart w:id="52863" w:name="_ETM_Q99_735370"/>
      <w:bookmarkEnd w:id="52862"/>
      <w:bookmarkEnd w:id="52863"/>
      <w:r>
        <w:rPr>
          <w:rFonts w:hint="cs"/>
          <w:rtl/>
        </w:rPr>
        <w:t>פרוטקציוני</w:t>
      </w:r>
      <w:bookmarkStart w:id="52864" w:name="_ETM_Q99_733062"/>
      <w:bookmarkEnd w:id="52864"/>
      <w:r>
        <w:rPr>
          <w:rFonts w:hint="cs"/>
          <w:rtl/>
        </w:rPr>
        <w:t xml:space="preserve">סט </w:t>
      </w:r>
      <w:bookmarkStart w:id="52865" w:name="_ETM_Q99_736900"/>
      <w:bookmarkEnd w:id="52865"/>
      <w:r>
        <w:rPr>
          <w:rFonts w:hint="cs"/>
          <w:rtl/>
        </w:rPr>
        <w:t>מסוים,</w:t>
      </w:r>
      <w:bookmarkStart w:id="52866" w:name="_ETM_Q99_736692"/>
      <w:bookmarkEnd w:id="52866"/>
      <w:r>
        <w:rPr>
          <w:rFonts w:hint="cs"/>
          <w:rtl/>
        </w:rPr>
        <w:t xml:space="preserve"> </w:t>
      </w:r>
      <w:bookmarkStart w:id="52867" w:name="_ETM_Q99_737830"/>
      <w:bookmarkEnd w:id="52867"/>
      <w:r>
        <w:rPr>
          <w:rFonts w:hint="cs"/>
          <w:rtl/>
        </w:rPr>
        <w:t xml:space="preserve">או </w:t>
      </w:r>
      <w:bookmarkStart w:id="52868" w:name="_ETM_Q99_737949"/>
      <w:bookmarkEnd w:id="52868"/>
      <w:r>
        <w:rPr>
          <w:rFonts w:hint="cs"/>
          <w:rtl/>
        </w:rPr>
        <w:t xml:space="preserve">מישהו </w:t>
      </w:r>
      <w:bookmarkStart w:id="52869" w:name="_ETM_Q99_738250"/>
      <w:bookmarkEnd w:id="52869"/>
      <w:r>
        <w:rPr>
          <w:rFonts w:hint="cs"/>
          <w:rtl/>
        </w:rPr>
        <w:t xml:space="preserve">שמקורב </w:t>
      </w:r>
      <w:bookmarkStart w:id="52870" w:name="_ETM_Q99_738729"/>
      <w:bookmarkEnd w:id="52870"/>
      <w:r>
        <w:rPr>
          <w:rFonts w:hint="cs"/>
          <w:rtl/>
        </w:rPr>
        <w:t>לשלטון.</w:t>
      </w:r>
      <w:bookmarkStart w:id="52871" w:name="_ETM_Q99_739850"/>
      <w:bookmarkStart w:id="52872" w:name="_ETM_Q99_738604"/>
      <w:bookmarkEnd w:id="52871"/>
      <w:bookmarkEnd w:id="52872"/>
      <w:r>
        <w:rPr>
          <w:rFonts w:hint="cs"/>
          <w:rtl/>
        </w:rPr>
        <w:t xml:space="preserve"> אתה </w:t>
      </w:r>
      <w:bookmarkStart w:id="52873" w:name="_ETM_Q99_740030"/>
      <w:bookmarkEnd w:id="52873"/>
      <w:r>
        <w:rPr>
          <w:rFonts w:hint="cs"/>
          <w:rtl/>
        </w:rPr>
        <w:t xml:space="preserve">יכול </w:t>
      </w:r>
      <w:bookmarkStart w:id="52874" w:name="_ETM_Q99_740270"/>
      <w:bookmarkEnd w:id="52874"/>
      <w:r>
        <w:rPr>
          <w:rFonts w:hint="cs"/>
          <w:rtl/>
        </w:rPr>
        <w:t xml:space="preserve">להגביל </w:t>
      </w:r>
      <w:bookmarkStart w:id="52875" w:name="_ETM_Q99_740630"/>
      <w:bookmarkEnd w:id="52875"/>
      <w:r>
        <w:rPr>
          <w:rFonts w:hint="cs"/>
          <w:rtl/>
        </w:rPr>
        <w:t xml:space="preserve">את </w:t>
      </w:r>
      <w:bookmarkStart w:id="52876" w:name="_ETM_Q99_740690"/>
      <w:bookmarkEnd w:id="52876"/>
      <w:r>
        <w:rPr>
          <w:rFonts w:hint="cs"/>
          <w:rtl/>
        </w:rPr>
        <w:t>הזכות</w:t>
      </w:r>
      <w:bookmarkStart w:id="52877" w:name="_ETM_Q99_738653"/>
      <w:bookmarkEnd w:id="52877"/>
      <w:r>
        <w:rPr>
          <w:rFonts w:hint="cs"/>
          <w:rtl/>
        </w:rPr>
        <w:t xml:space="preserve"> </w:t>
      </w:r>
      <w:bookmarkStart w:id="52878" w:name="_ETM_Q99_740990"/>
      <w:bookmarkStart w:id="52879" w:name="_ETM_Q99_738714"/>
      <w:bookmarkEnd w:id="52878"/>
      <w:bookmarkEnd w:id="52879"/>
      <w:r>
        <w:rPr>
          <w:rFonts w:hint="cs"/>
          <w:rtl/>
        </w:rPr>
        <w:t xml:space="preserve">אם </w:t>
      </w:r>
      <w:bookmarkStart w:id="52880" w:name="_ETM_Q99_741110"/>
      <w:bookmarkEnd w:id="52880"/>
      <w:r>
        <w:rPr>
          <w:rFonts w:hint="cs"/>
          <w:rtl/>
        </w:rPr>
        <w:t xml:space="preserve">אתה </w:t>
      </w:r>
      <w:bookmarkStart w:id="52881" w:name="_ETM_Q99_741290"/>
      <w:bookmarkEnd w:id="52881"/>
      <w:r>
        <w:rPr>
          <w:rFonts w:hint="cs"/>
          <w:rtl/>
        </w:rPr>
        <w:t xml:space="preserve">מוכיח </w:t>
      </w:r>
      <w:bookmarkStart w:id="52882" w:name="_ETM_Q99_741800"/>
      <w:bookmarkEnd w:id="52882"/>
      <w:r>
        <w:rPr>
          <w:rFonts w:hint="cs"/>
          <w:rtl/>
        </w:rPr>
        <w:t xml:space="preserve">שההגנה </w:t>
      </w:r>
      <w:bookmarkStart w:id="52883" w:name="_ETM_Q99_742280"/>
      <w:bookmarkEnd w:id="52883"/>
      <w:r>
        <w:rPr>
          <w:rFonts w:hint="cs"/>
          <w:rtl/>
        </w:rPr>
        <w:t xml:space="preserve">על </w:t>
      </w:r>
      <w:bookmarkStart w:id="52884" w:name="_ETM_Q99_739084"/>
      <w:bookmarkStart w:id="52885" w:name="_ETM_Q99_736583"/>
      <w:bookmarkEnd w:id="52884"/>
      <w:bookmarkEnd w:id="52885"/>
      <w:r>
        <w:rPr>
          <w:rFonts w:hint="cs"/>
          <w:rtl/>
        </w:rPr>
        <w:t xml:space="preserve">כלל </w:t>
      </w:r>
      <w:bookmarkStart w:id="52886" w:name="_ETM_Q99_742670"/>
      <w:bookmarkEnd w:id="52886"/>
      <w:r>
        <w:rPr>
          <w:rFonts w:hint="cs"/>
          <w:rtl/>
        </w:rPr>
        <w:t xml:space="preserve">הציבור </w:t>
      </w:r>
      <w:bookmarkStart w:id="52887" w:name="_ETM_Q99_743150"/>
      <w:bookmarkEnd w:id="52887"/>
      <w:r>
        <w:rPr>
          <w:rFonts w:hint="cs"/>
          <w:rtl/>
        </w:rPr>
        <w:t xml:space="preserve">דורשת </w:t>
      </w:r>
      <w:bookmarkStart w:id="52888" w:name="_ETM_Q99_743540"/>
      <w:bookmarkEnd w:id="52888"/>
      <w:r>
        <w:rPr>
          <w:rFonts w:hint="cs"/>
          <w:rtl/>
        </w:rPr>
        <w:t>ש</w:t>
      </w:r>
      <w:bookmarkStart w:id="52889" w:name="_ETM_Q99_743824"/>
      <w:bookmarkEnd w:id="52889"/>
      <w:r>
        <w:rPr>
          <w:rFonts w:hint="cs"/>
          <w:rtl/>
        </w:rPr>
        <w:t xml:space="preserve">אדם </w:t>
      </w:r>
      <w:bookmarkStart w:id="52890" w:name="_ETM_Q99_743929"/>
      <w:bookmarkEnd w:id="52890"/>
      <w:r>
        <w:rPr>
          <w:rFonts w:hint="cs"/>
          <w:rtl/>
        </w:rPr>
        <w:t xml:space="preserve">המתיימר </w:t>
      </w:r>
      <w:bookmarkStart w:id="52891" w:name="_ETM_Q99_744470"/>
      <w:bookmarkEnd w:id="52891"/>
      <w:r>
        <w:rPr>
          <w:rFonts w:hint="cs"/>
          <w:rtl/>
        </w:rPr>
        <w:t xml:space="preserve">להיות </w:t>
      </w:r>
      <w:bookmarkStart w:id="52892" w:name="_ETM_Q99_745220"/>
      <w:bookmarkEnd w:id="52892"/>
      <w:r>
        <w:rPr>
          <w:rFonts w:hint="cs"/>
          <w:rtl/>
        </w:rPr>
        <w:t xml:space="preserve">רואה </w:t>
      </w:r>
      <w:bookmarkStart w:id="52893" w:name="_ETM_Q99_745490"/>
      <w:bookmarkEnd w:id="52893"/>
      <w:r>
        <w:rPr>
          <w:rFonts w:hint="cs"/>
          <w:rtl/>
        </w:rPr>
        <w:t xml:space="preserve">החשבון </w:t>
      </w:r>
      <w:bookmarkStart w:id="52894" w:name="_ETM_Q99_746000"/>
      <w:bookmarkEnd w:id="52894"/>
      <w:r>
        <w:rPr>
          <w:rFonts w:hint="cs"/>
          <w:rtl/>
        </w:rPr>
        <w:t xml:space="preserve">אכן </w:t>
      </w:r>
      <w:bookmarkStart w:id="52895" w:name="_ETM_Q99_746330"/>
      <w:bookmarkEnd w:id="52895"/>
      <w:r>
        <w:rPr>
          <w:rFonts w:hint="cs"/>
          <w:rtl/>
        </w:rPr>
        <w:t xml:space="preserve">יהיה </w:t>
      </w:r>
      <w:bookmarkStart w:id="52896" w:name="_ETM_Q99_746510"/>
      <w:bookmarkEnd w:id="52896"/>
      <w:r>
        <w:rPr>
          <w:rFonts w:hint="cs"/>
          <w:rtl/>
        </w:rPr>
        <w:t xml:space="preserve">רואה </w:t>
      </w:r>
      <w:bookmarkStart w:id="52897" w:name="_ETM_Q99_746720"/>
      <w:bookmarkEnd w:id="52897"/>
      <w:r>
        <w:rPr>
          <w:rFonts w:hint="cs"/>
          <w:rtl/>
        </w:rPr>
        <w:t>חשבון,</w:t>
      </w:r>
      <w:bookmarkStart w:id="52898" w:name="_ETM_Q99_746274"/>
      <w:bookmarkEnd w:id="52898"/>
      <w:r>
        <w:rPr>
          <w:rFonts w:hint="cs"/>
          <w:rtl/>
        </w:rPr>
        <w:t xml:space="preserve"> </w:t>
      </w:r>
      <w:bookmarkStart w:id="52899" w:name="_ETM_Q99_747650"/>
      <w:bookmarkEnd w:id="52899"/>
      <w:r>
        <w:rPr>
          <w:rFonts w:hint="cs"/>
          <w:rtl/>
        </w:rPr>
        <w:t xml:space="preserve">אבל </w:t>
      </w:r>
      <w:bookmarkStart w:id="52900" w:name="_ETM_Q99_748370"/>
      <w:bookmarkEnd w:id="52900"/>
      <w:r>
        <w:rPr>
          <w:rFonts w:hint="cs"/>
          <w:rtl/>
        </w:rPr>
        <w:t xml:space="preserve">אתה </w:t>
      </w:r>
      <w:bookmarkStart w:id="52901" w:name="_ETM_Q99_748580"/>
      <w:bookmarkEnd w:id="52901"/>
      <w:r>
        <w:rPr>
          <w:rFonts w:hint="cs"/>
          <w:rtl/>
        </w:rPr>
        <w:t xml:space="preserve">לא </w:t>
      </w:r>
      <w:bookmarkStart w:id="52902" w:name="_ETM_Q99_748699"/>
      <w:bookmarkEnd w:id="52902"/>
      <w:r>
        <w:rPr>
          <w:rFonts w:hint="cs"/>
          <w:rtl/>
        </w:rPr>
        <w:t xml:space="preserve">יכול </w:t>
      </w:r>
      <w:bookmarkStart w:id="52903" w:name="_ETM_Q99_749000"/>
      <w:bookmarkEnd w:id="52903"/>
      <w:r>
        <w:rPr>
          <w:rFonts w:hint="cs"/>
          <w:rtl/>
        </w:rPr>
        <w:t xml:space="preserve">לומר </w:t>
      </w:r>
      <w:bookmarkStart w:id="52904" w:name="_ETM_Q99_749330"/>
      <w:bookmarkEnd w:id="52904"/>
      <w:r>
        <w:rPr>
          <w:rFonts w:hint="cs"/>
          <w:rtl/>
        </w:rPr>
        <w:t xml:space="preserve">שאתה </w:t>
      </w:r>
      <w:bookmarkStart w:id="52905" w:name="_ETM_Q99_749570"/>
      <w:bookmarkEnd w:id="52905"/>
      <w:r>
        <w:rPr>
          <w:rFonts w:hint="cs"/>
          <w:rtl/>
        </w:rPr>
        <w:t xml:space="preserve">מגביל </w:t>
      </w:r>
      <w:bookmarkStart w:id="52906" w:name="_ETM_Q99_750020"/>
      <w:bookmarkEnd w:id="52906"/>
      <w:r>
        <w:rPr>
          <w:rFonts w:hint="cs"/>
          <w:rtl/>
        </w:rPr>
        <w:t xml:space="preserve">עסק </w:t>
      </w:r>
      <w:bookmarkStart w:id="52907" w:name="_ETM_Q99_750320"/>
      <w:bookmarkEnd w:id="52907"/>
      <w:r>
        <w:rPr>
          <w:rFonts w:hint="cs"/>
          <w:rtl/>
        </w:rPr>
        <w:t xml:space="preserve">מסוים </w:t>
      </w:r>
      <w:bookmarkStart w:id="52908" w:name="_ETM_Q99_751679"/>
      <w:bookmarkEnd w:id="52908"/>
      <w:r>
        <w:rPr>
          <w:rFonts w:hint="cs"/>
          <w:rtl/>
        </w:rPr>
        <w:t xml:space="preserve">מפני </w:t>
      </w:r>
      <w:bookmarkStart w:id="52909" w:name="_ETM_Q99_752009"/>
      <w:bookmarkEnd w:id="52909"/>
      <w:r>
        <w:rPr>
          <w:rFonts w:hint="cs"/>
          <w:rtl/>
        </w:rPr>
        <w:t xml:space="preserve">שהוא </w:t>
      </w:r>
      <w:bookmarkStart w:id="52910" w:name="_ETM_Q99_752220"/>
      <w:bookmarkEnd w:id="52910"/>
      <w:r>
        <w:rPr>
          <w:rFonts w:hint="cs"/>
          <w:rtl/>
        </w:rPr>
        <w:t xml:space="preserve">פוגע </w:t>
      </w:r>
      <w:bookmarkStart w:id="52911" w:name="_ETM_Q99_752699"/>
      <w:bookmarkEnd w:id="52911"/>
      <w:r>
        <w:rPr>
          <w:rFonts w:hint="cs"/>
          <w:rtl/>
        </w:rPr>
        <w:t xml:space="preserve">באיזה </w:t>
      </w:r>
      <w:bookmarkStart w:id="52912" w:name="_ETM_Q99_752970"/>
      <w:bookmarkEnd w:id="52912"/>
      <w:r>
        <w:rPr>
          <w:rFonts w:hint="cs"/>
          <w:rtl/>
        </w:rPr>
        <w:t xml:space="preserve">מפעל </w:t>
      </w:r>
      <w:bookmarkStart w:id="52913" w:name="_ETM_Q99_753449"/>
      <w:bookmarkEnd w:id="52913"/>
      <w:r>
        <w:rPr>
          <w:rFonts w:hint="cs"/>
          <w:rtl/>
        </w:rPr>
        <w:t xml:space="preserve">מונופוליסטי </w:t>
      </w:r>
      <w:bookmarkStart w:id="52914" w:name="_ETM_Q99_754139"/>
      <w:bookmarkEnd w:id="52914"/>
      <w:r>
        <w:rPr>
          <w:rFonts w:hint="cs"/>
          <w:rtl/>
        </w:rPr>
        <w:t xml:space="preserve">שאתה </w:t>
      </w:r>
      <w:bookmarkStart w:id="52915" w:name="_ETM_Q99_754410"/>
      <w:bookmarkEnd w:id="52915"/>
      <w:r>
        <w:rPr>
          <w:rFonts w:hint="cs"/>
          <w:rtl/>
        </w:rPr>
        <w:t xml:space="preserve">מעוניין </w:t>
      </w:r>
      <w:bookmarkStart w:id="52916" w:name="_ETM_Q99_754889"/>
      <w:bookmarkEnd w:id="52916"/>
      <w:r>
        <w:rPr>
          <w:rFonts w:hint="cs"/>
          <w:rtl/>
        </w:rPr>
        <w:t>בו.</w:t>
      </w:r>
      <w:bookmarkStart w:id="52917" w:name="_ETM_Q99_755570"/>
      <w:bookmarkStart w:id="52918" w:name="_ETM_Q99_753893"/>
      <w:bookmarkEnd w:id="52917"/>
      <w:bookmarkEnd w:id="52918"/>
      <w:r>
        <w:rPr>
          <w:rFonts w:hint="cs"/>
          <w:rtl/>
        </w:rPr>
        <w:t xml:space="preserve"> </w:t>
      </w:r>
      <w:bookmarkStart w:id="52919" w:name="_ETM_Q99_758014"/>
      <w:bookmarkStart w:id="52920" w:name="_ETM_Q99_758081"/>
      <w:bookmarkStart w:id="52921" w:name="_ETM_Q99_758174"/>
      <w:bookmarkStart w:id="52922" w:name="_ETM_Q99_758225"/>
      <w:bookmarkEnd w:id="52919"/>
      <w:bookmarkEnd w:id="52920"/>
      <w:bookmarkEnd w:id="52921"/>
      <w:bookmarkEnd w:id="52922"/>
      <w:r>
        <w:rPr>
          <w:rFonts w:hint="cs"/>
          <w:rtl/>
        </w:rPr>
        <w:t xml:space="preserve">רבותיי, </w:t>
      </w:r>
      <w:bookmarkStart w:id="52923" w:name="_ETM_Q99_756559"/>
      <w:bookmarkEnd w:id="52923"/>
      <w:r>
        <w:rPr>
          <w:rFonts w:hint="cs"/>
          <w:rtl/>
        </w:rPr>
        <w:t xml:space="preserve">היו </w:t>
      </w:r>
      <w:bookmarkStart w:id="52924" w:name="_ETM_Q99_756890"/>
      <w:bookmarkEnd w:id="52924"/>
      <w:r>
        <w:rPr>
          <w:rFonts w:hint="cs"/>
          <w:rtl/>
        </w:rPr>
        <w:t xml:space="preserve">דברים </w:t>
      </w:r>
      <w:bookmarkStart w:id="52925" w:name="_ETM_Q99_757340"/>
      <w:bookmarkEnd w:id="52925"/>
      <w:r>
        <w:rPr>
          <w:rFonts w:hint="cs"/>
          <w:rtl/>
        </w:rPr>
        <w:t>מעולם.</w:t>
      </w:r>
      <w:bookmarkStart w:id="52926" w:name="_ETM_Q99_758500"/>
      <w:bookmarkEnd w:id="52926"/>
    </w:p>
    <w:p w:rsidR="00BB59CD" w:rsidRDefault="00BB59CD" w:rsidP="00BB59CD">
      <w:pPr>
        <w:rPr>
          <w:rtl/>
        </w:rPr>
      </w:pPr>
    </w:p>
    <w:p w:rsidR="00BB59CD" w:rsidRDefault="00BB59CD" w:rsidP="00337201">
      <w:pPr>
        <w:rPr>
          <w:rtl/>
        </w:rPr>
      </w:pPr>
      <w:bookmarkStart w:id="52927" w:name="TOR_Q100"/>
      <w:bookmarkEnd w:id="52927"/>
      <w:r>
        <w:rPr>
          <w:rFonts w:hint="cs"/>
          <w:rtl/>
        </w:rPr>
        <w:t>"שתי הערות אחרונו</w:t>
      </w:r>
      <w:bookmarkStart w:id="52928" w:name="_ETM_Q100_155806"/>
      <w:bookmarkEnd w:id="52928"/>
      <w:r>
        <w:rPr>
          <w:rFonts w:hint="cs"/>
          <w:rtl/>
        </w:rPr>
        <w:t>ת, אדוני היושב-ראש. א</w:t>
      </w:r>
      <w:bookmarkStart w:id="52929" w:name="_ETM_Q100_158396"/>
      <w:bookmarkEnd w:id="52929"/>
      <w:r>
        <w:rPr>
          <w:rFonts w:hint="cs"/>
          <w:rtl/>
        </w:rPr>
        <w:t xml:space="preserve">נחנו מציעים כאן </w:t>
      </w:r>
      <w:bookmarkStart w:id="52930" w:name="_ETM_Q100_161365"/>
      <w:bookmarkEnd w:id="52930"/>
      <w:r>
        <w:rPr>
          <w:rFonts w:hint="cs"/>
          <w:rtl/>
        </w:rPr>
        <w:t>שאת החוק הזה אין לשנות אלא בר</w:t>
      </w:r>
      <w:bookmarkStart w:id="52931" w:name="_ETM_Q100_163175"/>
      <w:bookmarkEnd w:id="52931"/>
      <w:r>
        <w:rPr>
          <w:rFonts w:hint="cs"/>
          <w:rtl/>
        </w:rPr>
        <w:t>וב של חברי הכנסת</w:t>
      </w:r>
      <w:bookmarkStart w:id="52932" w:name="_ETM_Q100_162756"/>
      <w:bookmarkStart w:id="52933" w:name="_ETM_Q100_163505"/>
      <w:bookmarkEnd w:id="52932"/>
      <w:bookmarkEnd w:id="52933"/>
      <w:r>
        <w:rPr>
          <w:rFonts w:hint="cs"/>
          <w:rtl/>
        </w:rPr>
        <w:t>. זה לא רוב משוריין</w:t>
      </w:r>
      <w:bookmarkStart w:id="52934" w:name="_ETM_Q100_166514"/>
      <w:bookmarkEnd w:id="52934"/>
      <w:r>
        <w:rPr>
          <w:rFonts w:hint="cs"/>
          <w:rtl/>
        </w:rPr>
        <w:t xml:space="preserve">, אין </w:t>
      </w:r>
      <w:bookmarkStart w:id="52935" w:name="_ETM_Q100_168235"/>
      <w:bookmarkEnd w:id="52935"/>
      <w:r>
        <w:rPr>
          <w:rFonts w:hint="cs"/>
          <w:rtl/>
        </w:rPr>
        <w:t>כאן ש</w:t>
      </w:r>
      <w:bookmarkStart w:id="52936" w:name="_ETM_Q100_168575"/>
      <w:bookmarkEnd w:id="52936"/>
      <w:r>
        <w:rPr>
          <w:rFonts w:hint="cs"/>
          <w:rtl/>
        </w:rPr>
        <w:t>ריון</w:t>
      </w:r>
      <w:bookmarkStart w:id="52937" w:name="_ETM_Q100_169706"/>
      <w:bookmarkStart w:id="52938" w:name="_ETM_Q100_165894"/>
      <w:bookmarkEnd w:id="52937"/>
      <w:bookmarkEnd w:id="52938"/>
      <w:r>
        <w:rPr>
          <w:rFonts w:hint="cs"/>
          <w:rtl/>
        </w:rPr>
        <w:t>. לדע</w:t>
      </w:r>
      <w:bookmarkStart w:id="52939" w:name="_ETM_Q100_165475"/>
      <w:bookmarkEnd w:id="52939"/>
      <w:r>
        <w:rPr>
          <w:rFonts w:hint="cs"/>
          <w:rtl/>
        </w:rPr>
        <w:t xml:space="preserve">תי צריך שיהיה שריון לאחר </w:t>
      </w:r>
      <w:bookmarkStart w:id="52940" w:name="_ETM_Q100_168655"/>
      <w:bookmarkStart w:id="52941" w:name="_ETM_Q100_168974"/>
      <w:bookmarkEnd w:id="52940"/>
      <w:bookmarkEnd w:id="52941"/>
      <w:r>
        <w:rPr>
          <w:rFonts w:hint="cs"/>
          <w:rtl/>
        </w:rPr>
        <w:t>שיתקבל חוק שיסדיר</w:t>
      </w:r>
      <w:bookmarkStart w:id="52942" w:name="_ETM_Q100_171513"/>
      <w:bookmarkEnd w:id="52942"/>
      <w:r>
        <w:rPr>
          <w:rFonts w:hint="cs"/>
          <w:rtl/>
        </w:rPr>
        <w:t xml:space="preserve"> </w:t>
      </w:r>
      <w:bookmarkStart w:id="52943" w:name="_ETM_Q100_167773"/>
      <w:bookmarkEnd w:id="52943"/>
      <w:r>
        <w:rPr>
          <w:rFonts w:hint="cs"/>
          <w:rtl/>
        </w:rPr>
        <w:t>את העניין ה</w:t>
      </w:r>
      <w:bookmarkStart w:id="52944" w:name="_ETM_Q100_170035"/>
      <w:bookmarkEnd w:id="52944"/>
      <w:r>
        <w:rPr>
          <w:rFonts w:hint="cs"/>
          <w:rtl/>
        </w:rPr>
        <w:t xml:space="preserve">זה, כמו </w:t>
      </w:r>
      <w:bookmarkStart w:id="52945" w:name="_ETM_Q100_174460"/>
      <w:bookmarkEnd w:id="52945"/>
      <w:r>
        <w:rPr>
          <w:rFonts w:hint="cs"/>
          <w:rtl/>
        </w:rPr>
        <w:t>חוק-יסוד: החקיקה</w:t>
      </w:r>
      <w:bookmarkStart w:id="52946" w:name="_ETM_Q100_172745"/>
      <w:bookmarkEnd w:id="52946"/>
      <w:r>
        <w:rPr>
          <w:rFonts w:hint="cs"/>
          <w:rtl/>
        </w:rPr>
        <w:t xml:space="preserve">. </w:t>
      </w:r>
      <w:bookmarkStart w:id="52947" w:name="_ETM_Q100_177330"/>
      <w:bookmarkStart w:id="52948" w:name="_ETM_Q100_177429"/>
      <w:bookmarkStart w:id="52949" w:name="_ETM_Q100_177522"/>
      <w:bookmarkStart w:id="52950" w:name="_ETM_Q100_177572"/>
      <w:bookmarkEnd w:id="52947"/>
      <w:bookmarkEnd w:id="52948"/>
      <w:bookmarkEnd w:id="52949"/>
      <w:bookmarkEnd w:id="52950"/>
      <w:r>
        <w:rPr>
          <w:rFonts w:hint="cs"/>
          <w:rtl/>
        </w:rPr>
        <w:t>הדרישה</w:t>
      </w:r>
      <w:bookmarkStart w:id="52951" w:name="_ETM_Q100_174464"/>
      <w:bookmarkEnd w:id="52951"/>
      <w:r>
        <w:rPr>
          <w:rFonts w:hint="cs"/>
          <w:rtl/>
        </w:rPr>
        <w:t xml:space="preserve"> לר</w:t>
      </w:r>
      <w:bookmarkStart w:id="52952" w:name="_ETM_Q100_174234"/>
      <w:bookmarkEnd w:id="52952"/>
      <w:r>
        <w:rPr>
          <w:rFonts w:hint="cs"/>
          <w:rtl/>
        </w:rPr>
        <w:t>וב מוחלט שהוא לא רוב משוריין</w:t>
      </w:r>
      <w:bookmarkStart w:id="52953" w:name="_ETM_Q100_176154"/>
      <w:bookmarkEnd w:id="52953"/>
      <w:r>
        <w:rPr>
          <w:rFonts w:hint="cs"/>
          <w:rtl/>
        </w:rPr>
        <w:t xml:space="preserve"> בעצם אומרת </w:t>
      </w:r>
      <w:bookmarkStart w:id="52954" w:name="_ETM_Q100_178793"/>
      <w:bookmarkEnd w:id="52954"/>
      <w:r>
        <w:rPr>
          <w:rFonts w:hint="cs"/>
          <w:rtl/>
        </w:rPr>
        <w:t>לכנסת דבר אחד:</w:t>
      </w:r>
      <w:bookmarkStart w:id="52955" w:name="_ETM_Q100_183456"/>
      <w:bookmarkStart w:id="52956" w:name="_ETM_Q100_178884"/>
      <w:bookmarkEnd w:id="52955"/>
      <w:bookmarkEnd w:id="52956"/>
      <w:r>
        <w:rPr>
          <w:rFonts w:hint="cs"/>
          <w:rtl/>
        </w:rPr>
        <w:t xml:space="preserve"> את לא יכולה </w:t>
      </w:r>
      <w:bookmarkStart w:id="52957" w:name="_ETM_Q100_181075"/>
      <w:bookmarkEnd w:id="52957"/>
      <w:r>
        <w:rPr>
          <w:rFonts w:hint="cs"/>
          <w:rtl/>
        </w:rPr>
        <w:t xml:space="preserve">לקבל </w:t>
      </w:r>
      <w:bookmarkStart w:id="52958" w:name="_ETM_Q100_182414"/>
      <w:bookmarkEnd w:id="52958"/>
      <w:r>
        <w:rPr>
          <w:rFonts w:hint="cs"/>
          <w:rtl/>
        </w:rPr>
        <w:t>חוק כזה</w:t>
      </w:r>
      <w:bookmarkStart w:id="52959" w:name="_ETM_Q100_180444"/>
      <w:bookmarkEnd w:id="52959"/>
      <w:r>
        <w:rPr>
          <w:rFonts w:hint="cs"/>
          <w:rtl/>
        </w:rPr>
        <w:t xml:space="preserve"> </w:t>
      </w:r>
      <w:bookmarkStart w:id="52960" w:name="_ETM_Q100_180816"/>
      <w:bookmarkEnd w:id="52960"/>
      <w:r>
        <w:rPr>
          <w:rFonts w:hint="cs"/>
          <w:rtl/>
        </w:rPr>
        <w:t>ברוב מ</w:t>
      </w:r>
      <w:bookmarkStart w:id="52961" w:name="_ETM_Q100_180124"/>
      <w:bookmarkEnd w:id="52961"/>
      <w:r>
        <w:rPr>
          <w:rFonts w:hint="cs"/>
          <w:rtl/>
        </w:rPr>
        <w:t>קרי, את חייבת לקבל זא</w:t>
      </w:r>
      <w:bookmarkStart w:id="52962" w:name="_ETM_Q100_182953"/>
      <w:bookmarkEnd w:id="52962"/>
      <w:r>
        <w:rPr>
          <w:rFonts w:hint="cs"/>
          <w:rtl/>
        </w:rPr>
        <w:t>ת ברוב מוחלט</w:t>
      </w:r>
      <w:bookmarkStart w:id="52963" w:name="_ETM_Q100_182344"/>
      <w:bookmarkEnd w:id="52963"/>
      <w:r>
        <w:rPr>
          <w:rFonts w:hint="cs"/>
          <w:rtl/>
        </w:rPr>
        <w:t xml:space="preserve"> של כלל </w:t>
      </w:r>
      <w:bookmarkStart w:id="52964" w:name="_ETM_Q100_188062"/>
      <w:bookmarkEnd w:id="52964"/>
      <w:r>
        <w:rPr>
          <w:rFonts w:hint="cs"/>
          <w:rtl/>
        </w:rPr>
        <w:t>החברים.</w:t>
      </w:r>
      <w:bookmarkStart w:id="52965" w:name="_ETM_Q100_184724"/>
      <w:bookmarkStart w:id="52966" w:name="_ETM_Q100_185508"/>
      <w:bookmarkStart w:id="52967" w:name="_ETM_Q100_185574"/>
      <w:bookmarkEnd w:id="52965"/>
      <w:bookmarkEnd w:id="52966"/>
      <w:bookmarkEnd w:id="52967"/>
      <w:r>
        <w:rPr>
          <w:rFonts w:hint="cs"/>
          <w:rtl/>
        </w:rPr>
        <w:t xml:space="preserve"> אני</w:t>
      </w:r>
      <w:bookmarkStart w:id="52968" w:name="_ETM_Q100_188316"/>
      <w:bookmarkStart w:id="52969" w:name="_ETM_Q100_188394"/>
      <w:bookmarkStart w:id="52970" w:name="_ETM_Q100_188941"/>
      <w:bookmarkStart w:id="52971" w:name="_ETM_Q100_189012"/>
      <w:bookmarkStart w:id="52972" w:name="_ETM_Q100_187709"/>
      <w:bookmarkEnd w:id="52968"/>
      <w:bookmarkEnd w:id="52969"/>
      <w:bookmarkEnd w:id="52970"/>
      <w:bookmarkEnd w:id="52971"/>
      <w:bookmarkEnd w:id="52972"/>
      <w:r>
        <w:rPr>
          <w:rFonts w:hint="cs"/>
          <w:rtl/>
        </w:rPr>
        <w:t xml:space="preserve"> </w:t>
      </w:r>
      <w:bookmarkStart w:id="52973" w:name="_ETM_Q100_187919"/>
      <w:bookmarkStart w:id="52974" w:name="_ETM_Q100_189264"/>
      <w:bookmarkEnd w:id="52973"/>
      <w:bookmarkEnd w:id="52974"/>
      <w:r>
        <w:rPr>
          <w:rFonts w:hint="cs"/>
          <w:rtl/>
        </w:rPr>
        <w:t xml:space="preserve">רוצה </w:t>
      </w:r>
      <w:bookmarkStart w:id="52975" w:name="_ETM_Q100_188219"/>
      <w:bookmarkEnd w:id="52975"/>
      <w:r>
        <w:rPr>
          <w:rFonts w:hint="cs"/>
          <w:rtl/>
        </w:rPr>
        <w:t xml:space="preserve">להדגיש </w:t>
      </w:r>
      <w:bookmarkStart w:id="52976" w:name="_ETM_Q100_189269"/>
      <w:bookmarkEnd w:id="52976"/>
      <w:r>
        <w:rPr>
          <w:rFonts w:hint="cs"/>
          <w:rtl/>
        </w:rPr>
        <w:t xml:space="preserve">שבהרבה </w:t>
      </w:r>
      <w:bookmarkStart w:id="52977" w:name="_ETM_Q100_189869"/>
      <w:bookmarkStart w:id="52978" w:name="_ETM_Q100_190740"/>
      <w:bookmarkStart w:id="52979" w:name="_ETM_Q100_188885"/>
      <w:bookmarkEnd w:id="52977"/>
      <w:bookmarkEnd w:id="52978"/>
      <w:bookmarkEnd w:id="52979"/>
      <w:r>
        <w:rPr>
          <w:rFonts w:hint="cs"/>
          <w:rtl/>
        </w:rPr>
        <w:t xml:space="preserve">סוכנויות </w:t>
      </w:r>
      <w:bookmarkStart w:id="52980" w:name="_ETM_Q100_191549"/>
      <w:bookmarkEnd w:id="52980"/>
      <w:r>
        <w:rPr>
          <w:rFonts w:hint="cs"/>
          <w:rtl/>
        </w:rPr>
        <w:t xml:space="preserve">ובהרבה </w:t>
      </w:r>
      <w:bookmarkStart w:id="52981" w:name="_ETM_Q100_192059"/>
      <w:bookmarkEnd w:id="52981"/>
      <w:r>
        <w:rPr>
          <w:rFonts w:hint="cs"/>
          <w:rtl/>
        </w:rPr>
        <w:t xml:space="preserve">הוראות </w:t>
      </w:r>
      <w:bookmarkStart w:id="52982" w:name="_ETM_Q100_192389"/>
      <w:bookmarkEnd w:id="52982"/>
      <w:r>
        <w:rPr>
          <w:rFonts w:hint="cs"/>
          <w:rtl/>
        </w:rPr>
        <w:t xml:space="preserve">שחלות </w:t>
      </w:r>
      <w:bookmarkStart w:id="52983" w:name="_ETM_Q100_192780"/>
      <w:bookmarkEnd w:id="52983"/>
      <w:r>
        <w:rPr>
          <w:rFonts w:hint="cs"/>
          <w:rtl/>
        </w:rPr>
        <w:t xml:space="preserve">על </w:t>
      </w:r>
      <w:bookmarkStart w:id="52984" w:name="_ETM_Q100_192869"/>
      <w:bookmarkEnd w:id="52984"/>
      <w:r>
        <w:rPr>
          <w:rFonts w:hint="cs"/>
          <w:rtl/>
        </w:rPr>
        <w:t xml:space="preserve">גופים </w:t>
      </w:r>
      <w:bookmarkStart w:id="52985" w:name="_ETM_Q100_193170"/>
      <w:bookmarkEnd w:id="52985"/>
      <w:r>
        <w:rPr>
          <w:rFonts w:hint="cs"/>
          <w:rtl/>
        </w:rPr>
        <w:t>אחרים</w:t>
      </w:r>
      <w:bookmarkStart w:id="52986" w:name="_ETM_Q100_194294"/>
      <w:bookmarkEnd w:id="52986"/>
      <w:r>
        <w:rPr>
          <w:rFonts w:hint="cs"/>
          <w:rtl/>
        </w:rPr>
        <w:t xml:space="preserve"> </w:t>
      </w:r>
      <w:bookmarkStart w:id="52987" w:name="_ETM_Q100_194309"/>
      <w:bookmarkEnd w:id="52987"/>
      <w:r>
        <w:rPr>
          <w:rFonts w:hint="cs"/>
          <w:rtl/>
        </w:rPr>
        <w:t xml:space="preserve">זהו </w:t>
      </w:r>
      <w:bookmarkStart w:id="52988" w:name="_ETM_Q100_194580"/>
      <w:bookmarkEnd w:id="52988"/>
      <w:r>
        <w:rPr>
          <w:rFonts w:hint="cs"/>
          <w:rtl/>
        </w:rPr>
        <w:t xml:space="preserve">בכלל </w:t>
      </w:r>
      <w:bookmarkStart w:id="52989" w:name="_ETM_Q100_194910"/>
      <w:bookmarkEnd w:id="52989"/>
      <w:r>
        <w:rPr>
          <w:rFonts w:hint="cs"/>
          <w:rtl/>
        </w:rPr>
        <w:t xml:space="preserve">הקוורום, </w:t>
      </w:r>
      <w:bookmarkStart w:id="52990" w:name="_ETM_Q100_195980"/>
      <w:bookmarkEnd w:id="52990"/>
      <w:r>
        <w:rPr>
          <w:rFonts w:hint="cs"/>
          <w:rtl/>
        </w:rPr>
        <w:t xml:space="preserve">הקוורום </w:t>
      </w:r>
      <w:bookmarkStart w:id="52991" w:name="_ETM_Q100_196579"/>
      <w:bookmarkEnd w:id="52991"/>
      <w:r>
        <w:rPr>
          <w:rFonts w:hint="cs"/>
          <w:rtl/>
        </w:rPr>
        <w:t xml:space="preserve">הוא </w:t>
      </w:r>
      <w:bookmarkStart w:id="52992" w:name="_ETM_Q100_194344"/>
      <w:bookmarkEnd w:id="52992"/>
      <w:r>
        <w:rPr>
          <w:rFonts w:hint="cs"/>
          <w:rtl/>
        </w:rPr>
        <w:t xml:space="preserve">רוב </w:t>
      </w:r>
      <w:bookmarkStart w:id="52993" w:name="_ETM_Q100_196880"/>
      <w:bookmarkEnd w:id="52993"/>
      <w:r>
        <w:rPr>
          <w:rFonts w:hint="cs"/>
          <w:rtl/>
        </w:rPr>
        <w:t xml:space="preserve">מוחלט. </w:t>
      </w:r>
      <w:bookmarkStart w:id="52994" w:name="_ETM_Q100_197630"/>
      <w:bookmarkEnd w:id="52994"/>
      <w:r>
        <w:rPr>
          <w:rFonts w:hint="cs"/>
          <w:rtl/>
        </w:rPr>
        <w:t xml:space="preserve">בכנסת </w:t>
      </w:r>
      <w:bookmarkStart w:id="52995" w:name="_ETM_Q100_198200"/>
      <w:bookmarkEnd w:id="52995"/>
      <w:r>
        <w:rPr>
          <w:rFonts w:hint="cs"/>
          <w:rtl/>
        </w:rPr>
        <w:t xml:space="preserve">אין </w:t>
      </w:r>
      <w:bookmarkStart w:id="52996" w:name="_ETM_Q100_198380"/>
      <w:bookmarkEnd w:id="52996"/>
      <w:r>
        <w:rPr>
          <w:rFonts w:hint="cs"/>
          <w:rtl/>
        </w:rPr>
        <w:t xml:space="preserve">הוראה </w:t>
      </w:r>
      <w:bookmarkStart w:id="52997" w:name="_ETM_Q100_198710"/>
      <w:bookmarkEnd w:id="52997"/>
      <w:r>
        <w:rPr>
          <w:rFonts w:hint="cs"/>
          <w:rtl/>
        </w:rPr>
        <w:t xml:space="preserve">כזאת, </w:t>
      </w:r>
      <w:bookmarkStart w:id="52998" w:name="_ETM_Q100_199189"/>
      <w:bookmarkEnd w:id="52998"/>
      <w:r>
        <w:rPr>
          <w:rFonts w:hint="cs"/>
          <w:rtl/>
        </w:rPr>
        <w:t>בצדק,</w:t>
      </w:r>
      <w:bookmarkStart w:id="52999" w:name="_ETM_Q100_198304"/>
      <w:bookmarkEnd w:id="52999"/>
      <w:r>
        <w:rPr>
          <w:rFonts w:hint="cs"/>
          <w:rtl/>
        </w:rPr>
        <w:t xml:space="preserve"> </w:t>
      </w:r>
      <w:bookmarkStart w:id="53000" w:name="_ETM_Q100_200280"/>
      <w:bookmarkEnd w:id="53000"/>
      <w:r>
        <w:rPr>
          <w:rFonts w:hint="cs"/>
          <w:rtl/>
        </w:rPr>
        <w:t xml:space="preserve">משום </w:t>
      </w:r>
      <w:bookmarkStart w:id="53001" w:name="_ETM_Q100_200520"/>
      <w:bookmarkEnd w:id="53001"/>
      <w:r>
        <w:rPr>
          <w:rFonts w:hint="cs"/>
          <w:rtl/>
        </w:rPr>
        <w:t xml:space="preserve">שאחרת </w:t>
      </w:r>
      <w:bookmarkStart w:id="53002" w:name="_ETM_Q100_197283"/>
      <w:bookmarkEnd w:id="53002"/>
      <w:r>
        <w:rPr>
          <w:rFonts w:hint="cs"/>
          <w:rtl/>
        </w:rPr>
        <w:t>יהיה</w:t>
      </w:r>
      <w:bookmarkStart w:id="53003" w:name="_ETM_Q100_195393"/>
      <w:bookmarkEnd w:id="53003"/>
      <w:r>
        <w:rPr>
          <w:rFonts w:hint="cs"/>
          <w:rtl/>
        </w:rPr>
        <w:t xml:space="preserve"> </w:t>
      </w:r>
      <w:bookmarkStart w:id="53004" w:name="_ETM_Q100_200940"/>
      <w:bookmarkStart w:id="53005" w:name="_ETM_Q100_192243"/>
      <w:bookmarkEnd w:id="53004"/>
      <w:bookmarkEnd w:id="53005"/>
      <w:r>
        <w:rPr>
          <w:rFonts w:hint="cs"/>
          <w:rtl/>
        </w:rPr>
        <w:t>א</w:t>
      </w:r>
      <w:bookmarkStart w:id="53006" w:name="_ETM_Q100_201030"/>
      <w:bookmarkStart w:id="53007" w:name="_ETM_Q100_198174"/>
      <w:bookmarkEnd w:id="53006"/>
      <w:bookmarkEnd w:id="53007"/>
      <w:r>
        <w:rPr>
          <w:rFonts w:hint="cs"/>
          <w:rtl/>
        </w:rPr>
        <w:t xml:space="preserve">פשר </w:t>
      </w:r>
      <w:bookmarkStart w:id="53008" w:name="_ETM_Q100_201300"/>
      <w:bookmarkEnd w:id="53008"/>
      <w:r>
        <w:rPr>
          <w:rFonts w:hint="cs"/>
          <w:rtl/>
        </w:rPr>
        <w:t xml:space="preserve">להיתקל </w:t>
      </w:r>
      <w:bookmarkStart w:id="53009" w:name="_ETM_Q100_201690"/>
      <w:bookmarkEnd w:id="53009"/>
      <w:r>
        <w:rPr>
          <w:rFonts w:hint="cs"/>
          <w:rtl/>
        </w:rPr>
        <w:t xml:space="preserve">יום-יום </w:t>
      </w:r>
      <w:bookmarkStart w:id="53010" w:name="_ETM_Q100_202230"/>
      <w:bookmarkEnd w:id="53010"/>
      <w:r>
        <w:rPr>
          <w:rFonts w:hint="cs"/>
          <w:rtl/>
        </w:rPr>
        <w:t>במכשולים.</w:t>
      </w:r>
      <w:bookmarkStart w:id="53011" w:name="_ETM_Q100_201993"/>
      <w:bookmarkEnd w:id="53011"/>
      <w:r>
        <w:rPr>
          <w:rFonts w:hint="cs"/>
          <w:rtl/>
        </w:rPr>
        <w:t xml:space="preserve"> </w:t>
      </w:r>
      <w:bookmarkStart w:id="53012" w:name="_ETM_Q100_203450"/>
      <w:bookmarkEnd w:id="53012"/>
      <w:r>
        <w:rPr>
          <w:rFonts w:hint="cs"/>
          <w:rtl/>
        </w:rPr>
        <w:t xml:space="preserve">אבל </w:t>
      </w:r>
      <w:bookmarkStart w:id="53013" w:name="_ETM_Q100_203720"/>
      <w:bookmarkEnd w:id="53013"/>
      <w:r>
        <w:rPr>
          <w:rFonts w:hint="cs"/>
          <w:rtl/>
        </w:rPr>
        <w:t xml:space="preserve">הקביעה </w:t>
      </w:r>
      <w:bookmarkStart w:id="53014" w:name="_ETM_Q100_204140"/>
      <w:bookmarkEnd w:id="53014"/>
      <w:r>
        <w:rPr>
          <w:rFonts w:hint="cs"/>
          <w:rtl/>
        </w:rPr>
        <w:t xml:space="preserve">שלנו </w:t>
      </w:r>
      <w:bookmarkStart w:id="53015" w:name="_ETM_Q100_205160"/>
      <w:bookmarkEnd w:id="53015"/>
      <w:r>
        <w:rPr>
          <w:rFonts w:hint="cs"/>
          <w:rtl/>
        </w:rPr>
        <w:t xml:space="preserve">היא </w:t>
      </w:r>
      <w:bookmarkStart w:id="53016" w:name="_ETM_Q100_205250"/>
      <w:bookmarkEnd w:id="53016"/>
      <w:r>
        <w:rPr>
          <w:rFonts w:hint="cs"/>
          <w:rtl/>
        </w:rPr>
        <w:t xml:space="preserve">קביעה </w:t>
      </w:r>
      <w:bookmarkStart w:id="53017" w:name="_ETM_Q100_205730"/>
      <w:bookmarkEnd w:id="53017"/>
      <w:r>
        <w:rPr>
          <w:rFonts w:hint="cs"/>
          <w:rtl/>
        </w:rPr>
        <w:t>מינימליסטית,</w:t>
      </w:r>
      <w:bookmarkStart w:id="53018" w:name="_ETM_Q100_204314"/>
      <w:bookmarkEnd w:id="53018"/>
      <w:r>
        <w:rPr>
          <w:rFonts w:hint="cs"/>
          <w:rtl/>
        </w:rPr>
        <w:t xml:space="preserve"> </w:t>
      </w:r>
      <w:bookmarkStart w:id="53019" w:name="_ETM_Q100_207410"/>
      <w:bookmarkEnd w:id="53019"/>
      <w:r>
        <w:rPr>
          <w:rFonts w:hint="cs"/>
          <w:rtl/>
        </w:rPr>
        <w:t>צ</w:t>
      </w:r>
      <w:bookmarkStart w:id="53020" w:name="_ETM_Q100_208544"/>
      <w:bookmarkEnd w:id="53020"/>
      <w:r>
        <w:rPr>
          <w:rFonts w:hint="cs"/>
          <w:rtl/>
        </w:rPr>
        <w:t xml:space="preserve">נועה </w:t>
      </w:r>
      <w:bookmarkStart w:id="53021" w:name="_ETM_Q100_207800"/>
      <w:bookmarkEnd w:id="53021"/>
      <w:r>
        <w:rPr>
          <w:rFonts w:hint="cs"/>
          <w:rtl/>
        </w:rPr>
        <w:t>לגמרי, היא</w:t>
      </w:r>
      <w:bookmarkStart w:id="53022" w:name="_ETM_Q100_205385"/>
      <w:bookmarkEnd w:id="53022"/>
      <w:r>
        <w:rPr>
          <w:rFonts w:hint="cs"/>
          <w:rtl/>
        </w:rPr>
        <w:t xml:space="preserve"> </w:t>
      </w:r>
      <w:bookmarkStart w:id="53023" w:name="_ETM_Q100_208430"/>
      <w:bookmarkEnd w:id="53023"/>
      <w:r>
        <w:rPr>
          <w:rFonts w:hint="cs"/>
          <w:rtl/>
        </w:rPr>
        <w:t xml:space="preserve">לא </w:t>
      </w:r>
      <w:bookmarkStart w:id="53024" w:name="_ETM_Q100_208580"/>
      <w:bookmarkEnd w:id="53024"/>
      <w:r>
        <w:rPr>
          <w:rFonts w:hint="cs"/>
          <w:rtl/>
        </w:rPr>
        <w:t xml:space="preserve">דורשת </w:t>
      </w:r>
      <w:bookmarkStart w:id="53025" w:name="_ETM_Q100_209000"/>
      <w:bookmarkEnd w:id="53025"/>
      <w:r>
        <w:rPr>
          <w:rFonts w:hint="cs"/>
          <w:rtl/>
        </w:rPr>
        <w:t xml:space="preserve">שריון, </w:t>
      </w:r>
      <w:bookmarkStart w:id="53026" w:name="_ETM_Q100_210020"/>
      <w:bookmarkEnd w:id="53026"/>
      <w:r>
        <w:rPr>
          <w:rFonts w:hint="cs"/>
          <w:rtl/>
        </w:rPr>
        <w:t xml:space="preserve">אלא </w:t>
      </w:r>
      <w:bookmarkStart w:id="53027" w:name="_ETM_Q100_210260"/>
      <w:bookmarkEnd w:id="53027"/>
      <w:r>
        <w:rPr>
          <w:rFonts w:hint="cs"/>
          <w:rtl/>
        </w:rPr>
        <w:t xml:space="preserve">רוב </w:t>
      </w:r>
      <w:bookmarkStart w:id="53028" w:name="_ETM_Q100_210529"/>
      <w:bookmarkEnd w:id="53028"/>
      <w:r>
        <w:rPr>
          <w:rFonts w:hint="cs"/>
          <w:rtl/>
        </w:rPr>
        <w:t>מוחלט.</w:t>
      </w:r>
      <w:bookmarkStart w:id="53029" w:name="_ETM_Q100_211640"/>
      <w:bookmarkEnd w:id="53029"/>
    </w:p>
    <w:p w:rsidR="00BB59CD" w:rsidRDefault="00BB59CD" w:rsidP="00BB59CD">
      <w:pPr>
        <w:rPr>
          <w:rtl/>
        </w:rPr>
      </w:pPr>
      <w:bookmarkStart w:id="53030" w:name="_ETM_Q100_214238"/>
      <w:bookmarkStart w:id="53031" w:name="_ETM_Q100_214308"/>
      <w:bookmarkEnd w:id="53030"/>
      <w:bookmarkEnd w:id="53031"/>
    </w:p>
    <w:p w:rsidR="00BB59CD" w:rsidRDefault="00BB59CD" w:rsidP="00374B1A">
      <w:pPr>
        <w:rPr>
          <w:rtl/>
        </w:rPr>
      </w:pPr>
      <w:bookmarkStart w:id="53032" w:name="_ETM_Q100_214404"/>
      <w:bookmarkStart w:id="53033" w:name="_ETM_Q100_214451"/>
      <w:bookmarkStart w:id="53034" w:name="_ETM_Q100_209665"/>
      <w:bookmarkEnd w:id="53032"/>
      <w:bookmarkEnd w:id="53033"/>
      <w:bookmarkEnd w:id="53034"/>
      <w:r>
        <w:rPr>
          <w:rFonts w:hint="cs"/>
          <w:rtl/>
        </w:rPr>
        <w:t xml:space="preserve">"דבר </w:t>
      </w:r>
      <w:bookmarkStart w:id="53035" w:name="_ETM_Q100_212120"/>
      <w:bookmarkEnd w:id="53035"/>
      <w:r>
        <w:rPr>
          <w:rFonts w:hint="cs"/>
          <w:rtl/>
        </w:rPr>
        <w:t xml:space="preserve">נוסף </w:t>
      </w:r>
      <w:bookmarkStart w:id="53036" w:name="_ETM_Q100_212510"/>
      <w:bookmarkEnd w:id="53036"/>
      <w:r>
        <w:rPr>
          <w:rFonts w:hint="cs"/>
          <w:rtl/>
        </w:rPr>
        <w:t xml:space="preserve">שאני </w:t>
      </w:r>
      <w:bookmarkStart w:id="53037" w:name="_ETM_Q100_212750"/>
      <w:bookmarkEnd w:id="53037"/>
      <w:r>
        <w:rPr>
          <w:rFonts w:hint="cs"/>
          <w:rtl/>
        </w:rPr>
        <w:t xml:space="preserve">רוצה </w:t>
      </w:r>
      <w:bookmarkStart w:id="53038" w:name="_ETM_Q100_213050"/>
      <w:bookmarkEnd w:id="53038"/>
      <w:r>
        <w:rPr>
          <w:rFonts w:hint="cs"/>
          <w:rtl/>
        </w:rPr>
        <w:t xml:space="preserve">להזכיר, </w:t>
      </w:r>
      <w:bookmarkStart w:id="53039" w:name="_ETM_Q100_213590"/>
      <w:bookmarkEnd w:id="53039"/>
      <w:r>
        <w:rPr>
          <w:rFonts w:hint="cs"/>
          <w:rtl/>
        </w:rPr>
        <w:t xml:space="preserve">ברשותך, </w:t>
      </w:r>
      <w:bookmarkStart w:id="53040" w:name="_ETM_Q100_214190"/>
      <w:bookmarkEnd w:id="53040"/>
      <w:r>
        <w:rPr>
          <w:rFonts w:hint="cs"/>
          <w:rtl/>
        </w:rPr>
        <w:t xml:space="preserve">אדוני </w:t>
      </w:r>
      <w:bookmarkStart w:id="53041" w:name="_ETM_Q100_214460"/>
      <w:bookmarkEnd w:id="53041"/>
      <w:r>
        <w:rPr>
          <w:rFonts w:hint="cs"/>
          <w:rtl/>
        </w:rPr>
        <w:t>היושב-ראש,</w:t>
      </w:r>
      <w:bookmarkStart w:id="53042" w:name="_ETM_Q100_213485"/>
      <w:bookmarkEnd w:id="53042"/>
      <w:r>
        <w:rPr>
          <w:rFonts w:hint="cs"/>
          <w:rtl/>
        </w:rPr>
        <w:t xml:space="preserve"> </w:t>
      </w:r>
      <w:bookmarkStart w:id="53043" w:name="_ETM_Q100_215479"/>
      <w:bookmarkEnd w:id="53043"/>
      <w:r>
        <w:rPr>
          <w:rFonts w:hint="cs"/>
          <w:rtl/>
        </w:rPr>
        <w:t xml:space="preserve">הוא שהחוק </w:t>
      </w:r>
      <w:bookmarkStart w:id="53044" w:name="_ETM_Q100_215870"/>
      <w:bookmarkEnd w:id="53044"/>
      <w:r>
        <w:rPr>
          <w:rFonts w:hint="cs"/>
          <w:rtl/>
        </w:rPr>
        <w:t xml:space="preserve">הזה </w:t>
      </w:r>
      <w:bookmarkStart w:id="53045" w:name="_ETM_Q100_216050"/>
      <w:bookmarkEnd w:id="53045"/>
      <w:r>
        <w:rPr>
          <w:rFonts w:hint="cs"/>
          <w:rtl/>
        </w:rPr>
        <w:t xml:space="preserve">הוא </w:t>
      </w:r>
      <w:bookmarkStart w:id="53046" w:name="_ETM_Q100_216110"/>
      <w:bookmarkEnd w:id="53046"/>
      <w:r>
        <w:rPr>
          <w:rFonts w:hint="cs"/>
          <w:rtl/>
        </w:rPr>
        <w:t xml:space="preserve">אחד </w:t>
      </w:r>
      <w:bookmarkStart w:id="53047" w:name="_ETM_Q100_216380"/>
      <w:bookmarkEnd w:id="53047"/>
      <w:r>
        <w:rPr>
          <w:rFonts w:hint="cs"/>
          <w:rtl/>
        </w:rPr>
        <w:t xml:space="preserve">מסדרה </w:t>
      </w:r>
      <w:bookmarkStart w:id="53048" w:name="_ETM_Q100_216770"/>
      <w:bookmarkEnd w:id="53048"/>
      <w:r>
        <w:rPr>
          <w:rFonts w:hint="cs"/>
          <w:rtl/>
        </w:rPr>
        <w:t xml:space="preserve">של </w:t>
      </w:r>
      <w:bookmarkStart w:id="53049" w:name="_ETM_Q100_216950"/>
      <w:bookmarkEnd w:id="53049"/>
      <w:r>
        <w:rPr>
          <w:rFonts w:hint="cs"/>
          <w:rtl/>
        </w:rPr>
        <w:t>ארבעה</w:t>
      </w:r>
      <w:bookmarkStart w:id="53050" w:name="_ETM_Q100_215245"/>
      <w:bookmarkEnd w:id="53050"/>
      <w:r>
        <w:rPr>
          <w:rFonts w:hint="cs"/>
          <w:rtl/>
        </w:rPr>
        <w:t xml:space="preserve"> </w:t>
      </w:r>
      <w:bookmarkStart w:id="53051" w:name="_ETM_Q100_217460"/>
      <w:bookmarkEnd w:id="53051"/>
      <w:r>
        <w:rPr>
          <w:rFonts w:hint="cs"/>
          <w:rtl/>
        </w:rPr>
        <w:t>חוקים.</w:t>
      </w:r>
      <w:bookmarkStart w:id="53052" w:name="_ETM_Q100_216525"/>
      <w:bookmarkEnd w:id="53052"/>
      <w:r>
        <w:rPr>
          <w:rFonts w:hint="cs"/>
          <w:rtl/>
        </w:rPr>
        <w:t xml:space="preserve"> </w:t>
      </w:r>
      <w:bookmarkStart w:id="53053" w:name="_ETM_Q100_218510"/>
      <w:bookmarkEnd w:id="53053"/>
      <w:r>
        <w:rPr>
          <w:rFonts w:hint="cs"/>
          <w:rtl/>
        </w:rPr>
        <w:t xml:space="preserve">החוק </w:t>
      </w:r>
      <w:bookmarkStart w:id="53054" w:name="_ETM_Q100_218750"/>
      <w:bookmarkEnd w:id="53054"/>
      <w:r>
        <w:rPr>
          <w:rFonts w:hint="cs"/>
          <w:rtl/>
        </w:rPr>
        <w:t xml:space="preserve">הראשון </w:t>
      </w:r>
      <w:bookmarkStart w:id="53055" w:name="_ETM_Q100_219110"/>
      <w:bookmarkEnd w:id="53055"/>
      <w:r>
        <w:rPr>
          <w:rFonts w:hint="cs"/>
          <w:rtl/>
        </w:rPr>
        <w:t xml:space="preserve">והחשוב </w:t>
      </w:r>
      <w:bookmarkStart w:id="53056" w:name="_ETM_Q100_219590"/>
      <w:bookmarkEnd w:id="53056"/>
      <w:r>
        <w:rPr>
          <w:rFonts w:hint="cs"/>
          <w:rtl/>
        </w:rPr>
        <w:t xml:space="preserve">ביותר" </w:t>
      </w:r>
      <w:bookmarkStart w:id="53057" w:name="_ETM_Q100_220550"/>
      <w:bookmarkEnd w:id="53057"/>
      <w:r>
        <w:rPr>
          <w:rFonts w:hint="cs"/>
          <w:rtl/>
        </w:rPr>
        <w:t xml:space="preserve">– כך </w:t>
      </w:r>
      <w:bookmarkStart w:id="53058" w:name="_ETM_Q100_222059"/>
      <w:bookmarkEnd w:id="53058"/>
      <w:r>
        <w:rPr>
          <w:rFonts w:hint="cs"/>
          <w:rtl/>
        </w:rPr>
        <w:t xml:space="preserve">אמר </w:t>
      </w:r>
      <w:bookmarkStart w:id="53059" w:name="_ETM_Q100_222420"/>
      <w:bookmarkEnd w:id="53059"/>
      <w:r>
        <w:rPr>
          <w:rFonts w:hint="cs"/>
          <w:rtl/>
        </w:rPr>
        <w:t xml:space="preserve">חבר </w:t>
      </w:r>
      <w:bookmarkStart w:id="53060" w:name="_ETM_Q100_222690"/>
      <w:bookmarkEnd w:id="53060"/>
      <w:r>
        <w:rPr>
          <w:rFonts w:hint="cs"/>
          <w:rtl/>
        </w:rPr>
        <w:t xml:space="preserve">הכנסת </w:t>
      </w:r>
      <w:bookmarkStart w:id="53061" w:name="_ETM_Q100_223019"/>
      <w:bookmarkEnd w:id="53061"/>
      <w:r>
        <w:rPr>
          <w:rFonts w:hint="cs"/>
          <w:rtl/>
        </w:rPr>
        <w:t xml:space="preserve">אמנון </w:t>
      </w:r>
      <w:bookmarkStart w:id="53062" w:name="_ETM_Q100_223289"/>
      <w:bookmarkEnd w:id="53062"/>
      <w:r>
        <w:rPr>
          <w:rFonts w:hint="cs"/>
          <w:rtl/>
        </w:rPr>
        <w:t>רובינשטיין</w:t>
      </w:r>
      <w:bookmarkStart w:id="53063" w:name="_ETM_Q100_222084"/>
      <w:bookmarkEnd w:id="53063"/>
      <w:r>
        <w:rPr>
          <w:rFonts w:hint="cs"/>
          <w:rtl/>
        </w:rPr>
        <w:t xml:space="preserve"> – </w:t>
      </w:r>
      <w:bookmarkStart w:id="53064" w:name="_ETM_Q100_224519"/>
      <w:bookmarkEnd w:id="53064"/>
      <w:r>
        <w:rPr>
          <w:rFonts w:hint="cs"/>
          <w:rtl/>
        </w:rPr>
        <w:t>"חוק</w:t>
      </w:r>
      <w:bookmarkStart w:id="53065" w:name="_ETM_Q100_224760"/>
      <w:bookmarkEnd w:id="53065"/>
      <w:r>
        <w:rPr>
          <w:rFonts w:hint="cs"/>
          <w:rtl/>
        </w:rPr>
        <w:t>-יסוד: כבוד</w:t>
      </w:r>
      <w:bookmarkStart w:id="53066" w:name="_ETM_Q100_221615"/>
      <w:bookmarkStart w:id="53067" w:name="_ETM_Q100_224969"/>
      <w:bookmarkEnd w:id="53066"/>
      <w:bookmarkEnd w:id="53067"/>
      <w:r>
        <w:rPr>
          <w:rFonts w:hint="cs"/>
          <w:rtl/>
        </w:rPr>
        <w:t xml:space="preserve"> </w:t>
      </w:r>
      <w:bookmarkStart w:id="53068" w:name="_ETM_Q100_225239"/>
      <w:bookmarkEnd w:id="53068"/>
      <w:r>
        <w:rPr>
          <w:rFonts w:hint="cs"/>
          <w:rtl/>
        </w:rPr>
        <w:t xml:space="preserve">האדם </w:t>
      </w:r>
      <w:bookmarkStart w:id="53069" w:name="_ETM_Q100_225570"/>
      <w:bookmarkEnd w:id="53069"/>
      <w:r>
        <w:rPr>
          <w:rFonts w:hint="cs"/>
          <w:rtl/>
        </w:rPr>
        <w:t xml:space="preserve">וחירותו, </w:t>
      </w:r>
      <w:bookmarkStart w:id="53070" w:name="_ETM_Q100_226170"/>
      <w:bookmarkEnd w:id="53070"/>
      <w:r>
        <w:rPr>
          <w:rFonts w:hint="cs"/>
          <w:rtl/>
        </w:rPr>
        <w:t xml:space="preserve">עבר </w:t>
      </w:r>
      <w:bookmarkStart w:id="53071" w:name="_ETM_Q100_226379"/>
      <w:bookmarkEnd w:id="53071"/>
      <w:r>
        <w:rPr>
          <w:rFonts w:hint="cs"/>
          <w:rtl/>
        </w:rPr>
        <w:t xml:space="preserve">קריאה </w:t>
      </w:r>
      <w:bookmarkStart w:id="53072" w:name="_ETM_Q100_226649"/>
      <w:bookmarkEnd w:id="53072"/>
      <w:r>
        <w:rPr>
          <w:rFonts w:hint="cs"/>
          <w:rtl/>
        </w:rPr>
        <w:t xml:space="preserve">ראשונה, </w:t>
      </w:r>
      <w:bookmarkStart w:id="53073" w:name="_ETM_Q100_227699"/>
      <w:bookmarkEnd w:id="53073"/>
      <w:r>
        <w:rPr>
          <w:rFonts w:hint="cs"/>
          <w:rtl/>
        </w:rPr>
        <w:t xml:space="preserve">ואני </w:t>
      </w:r>
      <w:bookmarkStart w:id="53074" w:name="_ETM_Q100_227850"/>
      <w:bookmarkEnd w:id="53074"/>
      <w:r>
        <w:rPr>
          <w:rFonts w:hint="cs"/>
          <w:rtl/>
        </w:rPr>
        <w:t xml:space="preserve">מקווה </w:t>
      </w:r>
      <w:bookmarkStart w:id="53075" w:name="_ETM_Q100_228210"/>
      <w:bookmarkEnd w:id="53075"/>
      <w:r>
        <w:rPr>
          <w:rFonts w:hint="cs"/>
          <w:rtl/>
        </w:rPr>
        <w:t>ש</w:t>
      </w:r>
      <w:bookmarkStart w:id="53076" w:name="_ETM_Q100_228960"/>
      <w:bookmarkStart w:id="53077" w:name="_ETM_Q100_226744"/>
      <w:bookmarkEnd w:id="53076"/>
      <w:bookmarkEnd w:id="53077"/>
      <w:r>
        <w:rPr>
          <w:rFonts w:hint="cs"/>
          <w:rtl/>
        </w:rPr>
        <w:t xml:space="preserve">יחזור </w:t>
      </w:r>
      <w:bookmarkStart w:id="53078" w:name="_ETM_Q100_229320"/>
      <w:bookmarkEnd w:id="53078"/>
      <w:r>
        <w:rPr>
          <w:rFonts w:hint="cs"/>
          <w:rtl/>
        </w:rPr>
        <w:t xml:space="preserve">בקרוב </w:t>
      </w:r>
      <w:bookmarkStart w:id="53079" w:name="_ETM_Q100_229710"/>
      <w:bookmarkEnd w:id="53079"/>
      <w:r>
        <w:rPr>
          <w:rFonts w:hint="cs"/>
          <w:rtl/>
        </w:rPr>
        <w:t xml:space="preserve">לכנסת </w:t>
      </w:r>
      <w:bookmarkStart w:id="53080" w:name="_ETM_Q100_230100"/>
      <w:bookmarkEnd w:id="53080"/>
      <w:r>
        <w:rPr>
          <w:rFonts w:hint="cs"/>
          <w:rtl/>
        </w:rPr>
        <w:t xml:space="preserve">לקריאה </w:t>
      </w:r>
      <w:bookmarkStart w:id="53081" w:name="_ETM_Q100_230370"/>
      <w:bookmarkEnd w:id="53081"/>
      <w:r>
        <w:rPr>
          <w:rFonts w:hint="cs"/>
          <w:rtl/>
        </w:rPr>
        <w:t>שנייה</w:t>
      </w:r>
      <w:bookmarkStart w:id="53082" w:name="_ETM_Q100_231190"/>
      <w:bookmarkStart w:id="53083" w:name="_ETM_Q100_231370"/>
      <w:bookmarkEnd w:id="53082"/>
      <w:bookmarkEnd w:id="53083"/>
      <w:r>
        <w:rPr>
          <w:rFonts w:hint="cs"/>
          <w:rtl/>
        </w:rPr>
        <w:t xml:space="preserve"> ו</w:t>
      </w:r>
      <w:bookmarkStart w:id="53084" w:name="_ETM_Q100_230344"/>
      <w:bookmarkEnd w:id="53084"/>
      <w:r>
        <w:rPr>
          <w:rFonts w:hint="cs"/>
          <w:rtl/>
        </w:rPr>
        <w:t xml:space="preserve">לקריאה </w:t>
      </w:r>
      <w:bookmarkStart w:id="53085" w:name="_ETM_Q100_231699"/>
      <w:bookmarkEnd w:id="53085"/>
      <w:r>
        <w:rPr>
          <w:rFonts w:hint="cs"/>
          <w:rtl/>
        </w:rPr>
        <w:t>שלישית.</w:t>
      </w:r>
      <w:bookmarkStart w:id="53086" w:name="_ETM_Q100_233179"/>
      <w:bookmarkEnd w:id="53086"/>
      <w:r>
        <w:rPr>
          <w:rFonts w:hint="cs"/>
          <w:rtl/>
        </w:rPr>
        <w:t xml:space="preserve"> </w:t>
      </w:r>
      <w:bookmarkStart w:id="53087" w:name="_ETM_Q100_230084"/>
      <w:bookmarkEnd w:id="53087"/>
      <w:r>
        <w:rPr>
          <w:rFonts w:hint="cs"/>
          <w:rtl/>
        </w:rPr>
        <w:t xml:space="preserve">החוק </w:t>
      </w:r>
      <w:bookmarkStart w:id="53088" w:name="_ETM_Q100_233420"/>
      <w:bookmarkEnd w:id="53088"/>
      <w:r>
        <w:rPr>
          <w:rFonts w:hint="cs"/>
          <w:rtl/>
        </w:rPr>
        <w:t xml:space="preserve">השלישי </w:t>
      </w:r>
      <w:bookmarkStart w:id="53089" w:name="_ETM_Q100_233780"/>
      <w:bookmarkEnd w:id="53089"/>
      <w:r>
        <w:rPr>
          <w:rFonts w:hint="cs"/>
          <w:rtl/>
        </w:rPr>
        <w:t xml:space="preserve">הוא </w:t>
      </w:r>
      <w:bookmarkStart w:id="53090" w:name="_ETM_Q100_233899"/>
      <w:bookmarkEnd w:id="53090"/>
      <w:r>
        <w:rPr>
          <w:rFonts w:hint="cs"/>
          <w:rtl/>
        </w:rPr>
        <w:t>חוק-יסוד:</w:t>
      </w:r>
      <w:bookmarkStart w:id="53091" w:name="_ETM_Q100_233814"/>
      <w:bookmarkEnd w:id="53091"/>
      <w:r>
        <w:rPr>
          <w:rFonts w:hint="cs"/>
          <w:rtl/>
        </w:rPr>
        <w:t xml:space="preserve"> </w:t>
      </w:r>
      <w:bookmarkStart w:id="53092" w:name="_ETM_Q100_234350"/>
      <w:bookmarkEnd w:id="53092"/>
      <w:r>
        <w:rPr>
          <w:rFonts w:hint="cs"/>
          <w:rtl/>
        </w:rPr>
        <w:t xml:space="preserve">חופש </w:t>
      </w:r>
      <w:bookmarkStart w:id="53093" w:name="_ETM_Q100_234649"/>
      <w:bookmarkEnd w:id="53093"/>
      <w:r>
        <w:rPr>
          <w:rFonts w:hint="cs"/>
          <w:rtl/>
        </w:rPr>
        <w:t xml:space="preserve">ההפגנה, </w:t>
      </w:r>
      <w:bookmarkStart w:id="53094" w:name="_ETM_Q100_235760"/>
      <w:bookmarkEnd w:id="53094"/>
      <w:r>
        <w:rPr>
          <w:rFonts w:hint="cs"/>
          <w:rtl/>
        </w:rPr>
        <w:t xml:space="preserve">והחוק </w:t>
      </w:r>
      <w:bookmarkStart w:id="53095" w:name="_ETM_Q100_236089"/>
      <w:bookmarkEnd w:id="53095"/>
      <w:r>
        <w:rPr>
          <w:rFonts w:hint="cs"/>
          <w:rtl/>
        </w:rPr>
        <w:t xml:space="preserve">הרביעי </w:t>
      </w:r>
      <w:bookmarkStart w:id="53096" w:name="_ETM_Q100_236389"/>
      <w:bookmarkEnd w:id="53096"/>
      <w:r>
        <w:rPr>
          <w:rFonts w:hint="cs"/>
          <w:rtl/>
        </w:rPr>
        <w:t xml:space="preserve">הוא </w:t>
      </w:r>
      <w:bookmarkStart w:id="53097" w:name="_ETM_Q100_236479"/>
      <w:bookmarkEnd w:id="53097"/>
      <w:r>
        <w:rPr>
          <w:rFonts w:hint="cs"/>
          <w:rtl/>
        </w:rPr>
        <w:t>חוק</w:t>
      </w:r>
      <w:bookmarkStart w:id="53098" w:name="_ETM_Q100_236690"/>
      <w:bookmarkStart w:id="53099" w:name="_ETM_Q100_233824"/>
      <w:bookmarkEnd w:id="53098"/>
      <w:bookmarkEnd w:id="53099"/>
      <w:r>
        <w:rPr>
          <w:rFonts w:hint="cs"/>
          <w:rtl/>
        </w:rPr>
        <w:t>-יסו</w:t>
      </w:r>
      <w:bookmarkStart w:id="53100" w:name="_ETM_Q100_234934"/>
      <w:bookmarkEnd w:id="53100"/>
      <w:r>
        <w:rPr>
          <w:rFonts w:hint="cs"/>
          <w:rtl/>
        </w:rPr>
        <w:t xml:space="preserve">ד: </w:t>
      </w:r>
      <w:bookmarkStart w:id="53101" w:name="_ETM_Q100_236960"/>
      <w:bookmarkEnd w:id="53101"/>
      <w:r>
        <w:rPr>
          <w:rFonts w:hint="cs"/>
          <w:rtl/>
        </w:rPr>
        <w:t xml:space="preserve">חופש </w:t>
      </w:r>
      <w:bookmarkStart w:id="53102" w:name="_ETM_Q100_237229"/>
      <w:bookmarkEnd w:id="53102"/>
      <w:r>
        <w:rPr>
          <w:rFonts w:hint="cs"/>
          <w:rtl/>
        </w:rPr>
        <w:t xml:space="preserve">הביטוי. </w:t>
      </w:r>
      <w:bookmarkStart w:id="53103" w:name="_ETM_Q100_238339"/>
      <w:bookmarkEnd w:id="53103"/>
      <w:r>
        <w:rPr>
          <w:rFonts w:hint="cs"/>
          <w:rtl/>
        </w:rPr>
        <w:t xml:space="preserve">שני </w:t>
      </w:r>
      <w:bookmarkStart w:id="53104" w:name="_ETM_Q100_238640"/>
      <w:bookmarkEnd w:id="53104"/>
      <w:r>
        <w:rPr>
          <w:rFonts w:hint="cs"/>
          <w:rtl/>
        </w:rPr>
        <w:t xml:space="preserve">החוקים </w:t>
      </w:r>
      <w:bookmarkStart w:id="53105" w:name="_ETM_Q100_238999"/>
      <w:bookmarkEnd w:id="53105"/>
      <w:r>
        <w:rPr>
          <w:rFonts w:hint="cs"/>
          <w:rtl/>
        </w:rPr>
        <w:t xml:space="preserve">האלה </w:t>
      </w:r>
      <w:bookmarkStart w:id="53106" w:name="_ETM_Q100_239179"/>
      <w:bookmarkEnd w:id="53106"/>
      <w:r>
        <w:rPr>
          <w:rFonts w:hint="cs"/>
          <w:rtl/>
        </w:rPr>
        <w:t xml:space="preserve">טרם </w:t>
      </w:r>
      <w:bookmarkStart w:id="53107" w:name="_ETM_Q100_239479"/>
      <w:bookmarkEnd w:id="53107"/>
      <w:r>
        <w:rPr>
          <w:rFonts w:hint="cs"/>
          <w:rtl/>
        </w:rPr>
        <w:t xml:space="preserve">עברו </w:t>
      </w:r>
      <w:bookmarkStart w:id="53108" w:name="_ETM_Q100_239690"/>
      <w:bookmarkEnd w:id="53108"/>
      <w:r>
        <w:rPr>
          <w:rFonts w:hint="cs"/>
          <w:rtl/>
        </w:rPr>
        <w:t xml:space="preserve">קריאה </w:t>
      </w:r>
      <w:bookmarkStart w:id="53109" w:name="_ETM_Q100_240019"/>
      <w:bookmarkEnd w:id="53109"/>
      <w:r>
        <w:rPr>
          <w:rFonts w:hint="cs"/>
          <w:rtl/>
        </w:rPr>
        <w:t>ראשונה</w:t>
      </w:r>
      <w:bookmarkStart w:id="53110" w:name="_ETM_Q100_240104"/>
      <w:bookmarkEnd w:id="53110"/>
      <w:r>
        <w:rPr>
          <w:rFonts w:hint="cs"/>
          <w:rtl/>
        </w:rPr>
        <w:t xml:space="preserve">. </w:t>
      </w:r>
      <w:bookmarkStart w:id="53111" w:name="_ETM_Q100_240989"/>
      <w:bookmarkEnd w:id="53111"/>
      <w:r>
        <w:rPr>
          <w:rFonts w:hint="cs"/>
          <w:rtl/>
        </w:rPr>
        <w:t xml:space="preserve">אני </w:t>
      </w:r>
      <w:bookmarkStart w:id="53112" w:name="_ETM_Q100_241229"/>
      <w:bookmarkEnd w:id="53112"/>
      <w:r>
        <w:rPr>
          <w:rFonts w:hint="cs"/>
          <w:rtl/>
        </w:rPr>
        <w:t xml:space="preserve">מקווה </w:t>
      </w:r>
      <w:bookmarkStart w:id="53113" w:name="_ETM_Q100_241530"/>
      <w:bookmarkEnd w:id="53113"/>
      <w:r>
        <w:rPr>
          <w:rFonts w:hint="cs"/>
          <w:rtl/>
        </w:rPr>
        <w:t xml:space="preserve">שלאחר </w:t>
      </w:r>
      <w:bookmarkStart w:id="53114" w:name="_ETM_Q100_241979"/>
      <w:bookmarkEnd w:id="53114"/>
      <w:r>
        <w:rPr>
          <w:rFonts w:hint="cs"/>
          <w:rtl/>
        </w:rPr>
        <w:t xml:space="preserve">שיעברו </w:t>
      </w:r>
      <w:bookmarkStart w:id="53115" w:name="_ETM_Q100_242399"/>
      <w:bookmarkEnd w:id="53115"/>
      <w:r>
        <w:rPr>
          <w:rFonts w:hint="cs"/>
          <w:rtl/>
        </w:rPr>
        <w:t xml:space="preserve">קריאה </w:t>
      </w:r>
      <w:bookmarkStart w:id="53116" w:name="_ETM_Q100_242699"/>
      <w:bookmarkEnd w:id="53116"/>
      <w:r>
        <w:rPr>
          <w:rFonts w:hint="cs"/>
          <w:rtl/>
        </w:rPr>
        <w:t>ראשונה</w:t>
      </w:r>
      <w:bookmarkStart w:id="53117" w:name="_ETM_Q100_244744"/>
      <w:bookmarkStart w:id="53118" w:name="_ETM_Q100_244950"/>
      <w:bookmarkStart w:id="53119" w:name="_ETM_Q100_243114"/>
      <w:bookmarkEnd w:id="53117"/>
      <w:bookmarkEnd w:id="53118"/>
      <w:bookmarkEnd w:id="53119"/>
      <w:r>
        <w:rPr>
          <w:rFonts w:hint="cs"/>
          <w:rtl/>
        </w:rPr>
        <w:t xml:space="preserve">, וכל </w:t>
      </w:r>
      <w:bookmarkStart w:id="53120" w:name="_ETM_Q100_245459"/>
      <w:bookmarkEnd w:id="53120"/>
      <w:r>
        <w:rPr>
          <w:rFonts w:hint="cs"/>
          <w:rtl/>
        </w:rPr>
        <w:t xml:space="preserve">החוקים </w:t>
      </w:r>
      <w:bookmarkStart w:id="53121" w:name="_ETM_Q100_245819"/>
      <w:bookmarkEnd w:id="53121"/>
      <w:r>
        <w:rPr>
          <w:rFonts w:hint="cs"/>
          <w:rtl/>
        </w:rPr>
        <w:t xml:space="preserve">האלה </w:t>
      </w:r>
      <w:bookmarkStart w:id="53122" w:name="_ETM_Q100_246060"/>
      <w:bookmarkEnd w:id="53122"/>
      <w:r>
        <w:rPr>
          <w:rFonts w:hint="cs"/>
          <w:rtl/>
        </w:rPr>
        <w:t xml:space="preserve">יובאו </w:t>
      </w:r>
      <w:bookmarkStart w:id="53123" w:name="_ETM_Q100_246569"/>
      <w:bookmarkEnd w:id="53123"/>
      <w:r>
        <w:rPr>
          <w:rFonts w:hint="cs"/>
          <w:rtl/>
        </w:rPr>
        <w:t xml:space="preserve">לקריאה </w:t>
      </w:r>
      <w:bookmarkStart w:id="53124" w:name="_ETM_Q100_246900"/>
      <w:bookmarkEnd w:id="53124"/>
      <w:r>
        <w:rPr>
          <w:rFonts w:hint="cs"/>
          <w:rtl/>
        </w:rPr>
        <w:t xml:space="preserve">השנייה </w:t>
      </w:r>
      <w:bookmarkStart w:id="53125" w:name="_ETM_Q100_247229"/>
      <w:bookmarkEnd w:id="53125"/>
      <w:r>
        <w:rPr>
          <w:rFonts w:hint="cs"/>
          <w:rtl/>
        </w:rPr>
        <w:t xml:space="preserve">ולקריאה </w:t>
      </w:r>
      <w:bookmarkStart w:id="53126" w:name="_ETM_Q100_247560"/>
      <w:bookmarkEnd w:id="53126"/>
      <w:r>
        <w:rPr>
          <w:rFonts w:hint="cs"/>
          <w:rtl/>
        </w:rPr>
        <w:t>השלישית,</w:t>
      </w:r>
      <w:bookmarkStart w:id="53127" w:name="_ETM_Q100_245244"/>
      <w:bookmarkEnd w:id="53127"/>
      <w:r>
        <w:rPr>
          <w:rFonts w:hint="cs"/>
          <w:rtl/>
        </w:rPr>
        <w:t xml:space="preserve"> </w:t>
      </w:r>
      <w:bookmarkStart w:id="53128" w:name="_ETM_Q100_247950"/>
      <w:bookmarkEnd w:id="53128"/>
      <w:r>
        <w:rPr>
          <w:rFonts w:hint="cs"/>
          <w:rtl/>
        </w:rPr>
        <w:t xml:space="preserve">נפתח </w:t>
      </w:r>
      <w:bookmarkStart w:id="53129" w:name="_ETM_Q100_248340"/>
      <w:bookmarkEnd w:id="53129"/>
      <w:r>
        <w:rPr>
          <w:rFonts w:hint="cs"/>
          <w:rtl/>
        </w:rPr>
        <w:t xml:space="preserve">דף </w:t>
      </w:r>
      <w:bookmarkStart w:id="53130" w:name="_ETM_Q100_248610"/>
      <w:bookmarkEnd w:id="53130"/>
      <w:r>
        <w:rPr>
          <w:rFonts w:hint="cs"/>
          <w:rtl/>
        </w:rPr>
        <w:t xml:space="preserve">חדש </w:t>
      </w:r>
      <w:bookmarkStart w:id="53131" w:name="_ETM_Q100_250160"/>
      <w:bookmarkEnd w:id="53131"/>
      <w:r>
        <w:rPr>
          <w:rFonts w:hint="cs"/>
          <w:rtl/>
        </w:rPr>
        <w:t xml:space="preserve">במשפט </w:t>
      </w:r>
      <w:bookmarkStart w:id="53132" w:name="_ETM_Q100_250880"/>
      <w:bookmarkEnd w:id="53132"/>
      <w:r>
        <w:rPr>
          <w:rFonts w:hint="cs"/>
          <w:rtl/>
        </w:rPr>
        <w:t xml:space="preserve">של </w:t>
      </w:r>
      <w:bookmarkStart w:id="53133" w:name="_ETM_Q100_251000"/>
      <w:bookmarkEnd w:id="53133"/>
      <w:r>
        <w:rPr>
          <w:rFonts w:hint="cs"/>
          <w:rtl/>
        </w:rPr>
        <w:t xml:space="preserve">מדינת </w:t>
      </w:r>
      <w:bookmarkStart w:id="53134" w:name="_ETM_Q100_251360"/>
      <w:bookmarkEnd w:id="53134"/>
      <w:r>
        <w:rPr>
          <w:rFonts w:hint="cs"/>
          <w:rtl/>
        </w:rPr>
        <w:t xml:space="preserve">ישראל, </w:t>
      </w:r>
      <w:bookmarkStart w:id="53135" w:name="_ETM_Q100_251780"/>
      <w:bookmarkEnd w:id="53135"/>
      <w:r>
        <w:rPr>
          <w:rFonts w:hint="cs"/>
          <w:rtl/>
        </w:rPr>
        <w:t xml:space="preserve">דף </w:t>
      </w:r>
      <w:bookmarkStart w:id="53136" w:name="_ETM_Q100_252020"/>
      <w:bookmarkEnd w:id="53136"/>
      <w:r>
        <w:rPr>
          <w:rFonts w:hint="cs"/>
          <w:rtl/>
        </w:rPr>
        <w:t xml:space="preserve">חוקתי </w:t>
      </w:r>
      <w:bookmarkStart w:id="53137" w:name="_ETM_Q100_253069"/>
      <w:bookmarkEnd w:id="53137"/>
      <w:r>
        <w:rPr>
          <w:rFonts w:hint="cs"/>
          <w:rtl/>
        </w:rPr>
        <w:t xml:space="preserve">המגן </w:t>
      </w:r>
      <w:bookmarkStart w:id="53138" w:name="_ETM_Q100_254319"/>
      <w:bookmarkEnd w:id="53138"/>
      <w:r>
        <w:rPr>
          <w:rFonts w:hint="cs"/>
          <w:rtl/>
        </w:rPr>
        <w:t xml:space="preserve">על </w:t>
      </w:r>
      <w:bookmarkStart w:id="53139" w:name="_ETM_Q100_254499"/>
      <w:bookmarkEnd w:id="53139"/>
      <w:r>
        <w:rPr>
          <w:rFonts w:hint="cs"/>
          <w:rtl/>
        </w:rPr>
        <w:t xml:space="preserve">אדם </w:t>
      </w:r>
      <w:bookmarkStart w:id="53140" w:name="_ETM_Q100_254890"/>
      <w:bookmarkEnd w:id="53140"/>
      <w:r>
        <w:rPr>
          <w:rFonts w:hint="cs"/>
          <w:rtl/>
        </w:rPr>
        <w:t xml:space="preserve">באשר </w:t>
      </w:r>
      <w:bookmarkStart w:id="53141" w:name="_ETM_Q100_255340"/>
      <w:bookmarkEnd w:id="53141"/>
      <w:r>
        <w:rPr>
          <w:rFonts w:hint="cs"/>
          <w:rtl/>
        </w:rPr>
        <w:t xml:space="preserve">הוא </w:t>
      </w:r>
      <w:bookmarkStart w:id="53142" w:name="_ETM_Q100_255459"/>
      <w:bookmarkEnd w:id="53142"/>
      <w:r>
        <w:rPr>
          <w:rFonts w:hint="cs"/>
          <w:rtl/>
        </w:rPr>
        <w:t>אדם</w:t>
      </w:r>
      <w:bookmarkStart w:id="53143" w:name="_ETM_Q100_254874"/>
      <w:bookmarkEnd w:id="53143"/>
      <w:r>
        <w:rPr>
          <w:rFonts w:hint="cs"/>
          <w:rtl/>
        </w:rPr>
        <w:t xml:space="preserve">, </w:t>
      </w:r>
      <w:bookmarkStart w:id="53144" w:name="_ETM_Q100_256329"/>
      <w:bookmarkEnd w:id="53144"/>
      <w:r>
        <w:rPr>
          <w:rFonts w:hint="cs"/>
          <w:rtl/>
        </w:rPr>
        <w:t xml:space="preserve">המגן </w:t>
      </w:r>
      <w:bookmarkStart w:id="53145" w:name="_ETM_Q100_256810"/>
      <w:bookmarkEnd w:id="53145"/>
      <w:r>
        <w:rPr>
          <w:rFonts w:hint="cs"/>
          <w:rtl/>
        </w:rPr>
        <w:t xml:space="preserve">על </w:t>
      </w:r>
      <w:bookmarkStart w:id="53146" w:name="_ETM_Q100_256929"/>
      <w:bookmarkEnd w:id="53146"/>
      <w:r>
        <w:rPr>
          <w:rFonts w:hint="cs"/>
          <w:rtl/>
        </w:rPr>
        <w:t xml:space="preserve">אזרח </w:t>
      </w:r>
      <w:bookmarkStart w:id="53147" w:name="_ETM_Q100_257469"/>
      <w:bookmarkEnd w:id="53147"/>
      <w:r>
        <w:rPr>
          <w:rFonts w:hint="cs"/>
          <w:rtl/>
        </w:rPr>
        <w:t xml:space="preserve">מפני </w:t>
      </w:r>
      <w:bookmarkStart w:id="53148" w:name="_ETM_Q100_257829"/>
      <w:bookmarkEnd w:id="53148"/>
      <w:r>
        <w:rPr>
          <w:rFonts w:hint="cs"/>
          <w:rtl/>
        </w:rPr>
        <w:t xml:space="preserve">שרירות, </w:t>
      </w:r>
      <w:bookmarkStart w:id="53149" w:name="_ETM_Q100_259280"/>
      <w:bookmarkEnd w:id="53149"/>
      <w:r>
        <w:rPr>
          <w:rFonts w:hint="cs"/>
          <w:rtl/>
        </w:rPr>
        <w:t xml:space="preserve">גם </w:t>
      </w:r>
      <w:bookmarkStart w:id="53150" w:name="_ETM_Q100_259640"/>
      <w:bookmarkEnd w:id="53150"/>
      <w:r>
        <w:rPr>
          <w:rFonts w:hint="cs"/>
          <w:rtl/>
        </w:rPr>
        <w:t xml:space="preserve">של </w:t>
      </w:r>
      <w:bookmarkStart w:id="53151" w:name="_ETM_Q100_259850"/>
      <w:bookmarkEnd w:id="53151"/>
      <w:r>
        <w:rPr>
          <w:rFonts w:hint="cs"/>
          <w:rtl/>
        </w:rPr>
        <w:t>הכנסת.</w:t>
      </w:r>
      <w:bookmarkStart w:id="53152" w:name="_ETM_Q100_260810"/>
      <w:bookmarkEnd w:id="53152"/>
    </w:p>
    <w:p w:rsidR="00BB59CD" w:rsidRDefault="00BB59CD" w:rsidP="00BB59CD">
      <w:pPr>
        <w:rPr>
          <w:rtl/>
        </w:rPr>
      </w:pPr>
    </w:p>
    <w:p w:rsidR="00BB59CD" w:rsidRDefault="00BB59CD" w:rsidP="00BB59CD">
      <w:pPr>
        <w:rPr>
          <w:rtl/>
        </w:rPr>
      </w:pPr>
      <w:r>
        <w:rPr>
          <w:rFonts w:hint="cs"/>
          <w:rtl/>
        </w:rPr>
        <w:t xml:space="preserve">"אדוני </w:t>
      </w:r>
      <w:bookmarkStart w:id="53153" w:name="_ETM_Q100_261260"/>
      <w:bookmarkEnd w:id="53153"/>
      <w:r>
        <w:rPr>
          <w:rFonts w:hint="cs"/>
          <w:rtl/>
        </w:rPr>
        <w:t>היושב</w:t>
      </w:r>
      <w:bookmarkStart w:id="53154" w:name="_ETM_Q100_261530"/>
      <w:bookmarkEnd w:id="53154"/>
      <w:r>
        <w:rPr>
          <w:rFonts w:hint="cs"/>
          <w:rtl/>
        </w:rPr>
        <w:t>-ראש,</w:t>
      </w:r>
      <w:bookmarkStart w:id="53155" w:name="_ETM_Q100_258573"/>
      <w:bookmarkEnd w:id="53155"/>
      <w:r>
        <w:rPr>
          <w:rFonts w:hint="cs"/>
          <w:rtl/>
        </w:rPr>
        <w:t xml:space="preserve"> </w:t>
      </w:r>
      <w:bookmarkStart w:id="53156" w:name="_ETM_Q100_261800"/>
      <w:bookmarkEnd w:id="53156"/>
      <w:r>
        <w:rPr>
          <w:rFonts w:hint="cs"/>
          <w:rtl/>
        </w:rPr>
        <w:t xml:space="preserve">כאשר </w:t>
      </w:r>
      <w:bookmarkStart w:id="53157" w:name="_ETM_Q100_262280"/>
      <w:bookmarkEnd w:id="53157"/>
      <w:r>
        <w:rPr>
          <w:rFonts w:hint="cs"/>
          <w:rtl/>
        </w:rPr>
        <w:t xml:space="preserve">הצגתי </w:t>
      </w:r>
      <w:bookmarkStart w:id="53158" w:name="_ETM_Q100_262760"/>
      <w:bookmarkEnd w:id="53158"/>
      <w:r>
        <w:rPr>
          <w:rFonts w:hint="cs"/>
          <w:rtl/>
        </w:rPr>
        <w:t xml:space="preserve">את </w:t>
      </w:r>
      <w:bookmarkStart w:id="53159" w:name="_ETM_Q100_262819"/>
      <w:bookmarkEnd w:id="53159"/>
      <w:r>
        <w:rPr>
          <w:rFonts w:hint="cs"/>
          <w:rtl/>
        </w:rPr>
        <w:t xml:space="preserve">החוק </w:t>
      </w:r>
      <w:bookmarkStart w:id="53160" w:name="_ETM_Q100_263090"/>
      <w:bookmarkEnd w:id="53160"/>
      <w:r>
        <w:rPr>
          <w:rFonts w:hint="cs"/>
          <w:rtl/>
        </w:rPr>
        <w:t xml:space="preserve">הזה </w:t>
      </w:r>
      <w:bookmarkStart w:id="53161" w:name="_ETM_Q100_263390"/>
      <w:bookmarkEnd w:id="53161"/>
      <w:r>
        <w:rPr>
          <w:rFonts w:hint="cs"/>
          <w:rtl/>
        </w:rPr>
        <w:t xml:space="preserve">ואת </w:t>
      </w:r>
      <w:bookmarkStart w:id="53162" w:name="_ETM_Q100_263540"/>
      <w:bookmarkEnd w:id="53162"/>
      <w:r>
        <w:rPr>
          <w:rFonts w:hint="cs"/>
          <w:rtl/>
        </w:rPr>
        <w:t xml:space="preserve">החוקים </w:t>
      </w:r>
      <w:bookmarkStart w:id="53163" w:name="_ETM_Q100_263900"/>
      <w:bookmarkEnd w:id="53163"/>
      <w:r>
        <w:rPr>
          <w:rFonts w:hint="cs"/>
          <w:rtl/>
        </w:rPr>
        <w:t xml:space="preserve">האחרים </w:t>
      </w:r>
      <w:bookmarkStart w:id="53164" w:name="_ETM_Q100_264319"/>
      <w:bookmarkEnd w:id="53164"/>
      <w:r>
        <w:rPr>
          <w:rFonts w:hint="cs"/>
          <w:rtl/>
        </w:rPr>
        <w:t xml:space="preserve">בקריאה </w:t>
      </w:r>
      <w:bookmarkStart w:id="53165" w:name="_ETM_Q100_264620"/>
      <w:bookmarkEnd w:id="53165"/>
      <w:r>
        <w:rPr>
          <w:rFonts w:hint="cs"/>
          <w:rtl/>
        </w:rPr>
        <w:t>מוקדמת</w:t>
      </w:r>
      <w:bookmarkStart w:id="53166" w:name="_ETM_Q100_263343"/>
      <w:bookmarkEnd w:id="53166"/>
      <w:r>
        <w:rPr>
          <w:rFonts w:hint="cs"/>
          <w:rtl/>
        </w:rPr>
        <w:t xml:space="preserve">, </w:t>
      </w:r>
      <w:bookmarkStart w:id="53167" w:name="_ETM_Q100_266170"/>
      <w:bookmarkEnd w:id="53167"/>
      <w:r>
        <w:rPr>
          <w:rFonts w:hint="cs"/>
          <w:rtl/>
        </w:rPr>
        <w:t xml:space="preserve">חוק-יסוד: </w:t>
      </w:r>
      <w:bookmarkStart w:id="53168" w:name="_ETM_Q100_266650"/>
      <w:bookmarkEnd w:id="53168"/>
      <w:r>
        <w:rPr>
          <w:rFonts w:hint="cs"/>
          <w:rtl/>
        </w:rPr>
        <w:t xml:space="preserve">כבוד </w:t>
      </w:r>
      <w:bookmarkStart w:id="53169" w:name="_ETM_Q100_266920"/>
      <w:bookmarkEnd w:id="53169"/>
      <w:r>
        <w:rPr>
          <w:rFonts w:hint="cs"/>
          <w:rtl/>
        </w:rPr>
        <w:t xml:space="preserve">האדם </w:t>
      </w:r>
      <w:bookmarkStart w:id="53170" w:name="_ETM_Q100_267190"/>
      <w:bookmarkEnd w:id="53170"/>
      <w:r>
        <w:rPr>
          <w:rFonts w:hint="cs"/>
          <w:rtl/>
        </w:rPr>
        <w:t>וחירותו,</w:t>
      </w:r>
      <w:bookmarkStart w:id="53171" w:name="_ETM_Q100_265374"/>
      <w:bookmarkEnd w:id="53171"/>
      <w:r>
        <w:rPr>
          <w:rFonts w:hint="cs"/>
          <w:rtl/>
        </w:rPr>
        <w:t xml:space="preserve"> </w:t>
      </w:r>
      <w:bookmarkStart w:id="53172" w:name="_ETM_Q100_267670"/>
      <w:bookmarkEnd w:id="53172"/>
      <w:r>
        <w:rPr>
          <w:rFonts w:hint="cs"/>
          <w:rtl/>
        </w:rPr>
        <w:t xml:space="preserve">אמרתי </w:t>
      </w:r>
      <w:bookmarkStart w:id="53173" w:name="_ETM_Q100_268030"/>
      <w:bookmarkEnd w:id="53173"/>
      <w:r>
        <w:rPr>
          <w:rFonts w:hint="cs"/>
          <w:rtl/>
        </w:rPr>
        <w:t xml:space="preserve">שאני </w:t>
      </w:r>
      <w:bookmarkStart w:id="53174" w:name="_ETM_Q100_268300"/>
      <w:bookmarkEnd w:id="53174"/>
      <w:r>
        <w:rPr>
          <w:rFonts w:hint="cs"/>
          <w:rtl/>
        </w:rPr>
        <w:t xml:space="preserve">גאה </w:t>
      </w:r>
      <w:bookmarkStart w:id="53175" w:name="_ETM_Q100_269080"/>
      <w:bookmarkEnd w:id="53175"/>
      <w:r>
        <w:rPr>
          <w:rFonts w:hint="cs"/>
          <w:rtl/>
        </w:rPr>
        <w:t xml:space="preserve">בכך, </w:t>
      </w:r>
      <w:bookmarkStart w:id="53176" w:name="_ETM_Q100_269470"/>
      <w:bookmarkEnd w:id="53176"/>
      <w:r>
        <w:rPr>
          <w:rFonts w:hint="cs"/>
          <w:rtl/>
        </w:rPr>
        <w:t>כיהודי</w:t>
      </w:r>
      <w:bookmarkStart w:id="53177" w:name="_ETM_Q100_268834"/>
      <w:bookmarkEnd w:id="53177"/>
      <w:r>
        <w:rPr>
          <w:rFonts w:hint="cs"/>
          <w:rtl/>
        </w:rPr>
        <w:t xml:space="preserve">, </w:t>
      </w:r>
      <w:bookmarkStart w:id="53178" w:name="_ETM_Q100_270700"/>
      <w:bookmarkEnd w:id="53178"/>
      <w:r>
        <w:rPr>
          <w:rFonts w:hint="cs"/>
          <w:rtl/>
        </w:rPr>
        <w:t xml:space="preserve">שהיהדות </w:t>
      </w:r>
      <w:bookmarkStart w:id="53179" w:name="_ETM_Q100_271360"/>
      <w:bookmarkEnd w:id="53179"/>
      <w:r>
        <w:rPr>
          <w:rFonts w:hint="cs"/>
          <w:rtl/>
        </w:rPr>
        <w:t xml:space="preserve">נתנה </w:t>
      </w:r>
      <w:bookmarkStart w:id="53180" w:name="_ETM_Q100_271750"/>
      <w:bookmarkEnd w:id="53180"/>
      <w:r>
        <w:rPr>
          <w:rFonts w:hint="cs"/>
          <w:rtl/>
        </w:rPr>
        <w:t xml:space="preserve">לעולם </w:t>
      </w:r>
      <w:bookmarkStart w:id="53181" w:name="_ETM_Q100_272950"/>
      <w:bookmarkEnd w:id="53181"/>
      <w:r>
        <w:rPr>
          <w:rFonts w:hint="cs"/>
          <w:rtl/>
        </w:rPr>
        <w:t xml:space="preserve">את </w:t>
      </w:r>
      <w:bookmarkStart w:id="53182" w:name="_ETM_Q100_273159"/>
      <w:bookmarkEnd w:id="53182"/>
      <w:r>
        <w:rPr>
          <w:rFonts w:hint="cs"/>
          <w:rtl/>
        </w:rPr>
        <w:t xml:space="preserve">המושג </w:t>
      </w:r>
      <w:bookmarkStart w:id="53183" w:name="_ETM_Q100_273520"/>
      <w:bookmarkEnd w:id="53183"/>
      <w:r>
        <w:rPr>
          <w:rFonts w:hint="cs"/>
          <w:rtl/>
        </w:rPr>
        <w:t xml:space="preserve">של </w:t>
      </w:r>
      <w:bookmarkStart w:id="53184" w:name="_ETM_Q100_273639"/>
      <w:bookmarkEnd w:id="53184"/>
      <w:r>
        <w:rPr>
          <w:rFonts w:hint="cs"/>
          <w:rtl/>
        </w:rPr>
        <w:t xml:space="preserve">זכויות </w:t>
      </w:r>
      <w:bookmarkStart w:id="53185" w:name="_ETM_Q100_274030"/>
      <w:bookmarkEnd w:id="53185"/>
      <w:r>
        <w:rPr>
          <w:rFonts w:hint="cs"/>
          <w:rtl/>
        </w:rPr>
        <w:t xml:space="preserve">היסוד </w:t>
      </w:r>
      <w:bookmarkStart w:id="53186" w:name="_ETM_Q100_274420"/>
      <w:bookmarkEnd w:id="53186"/>
      <w:r>
        <w:rPr>
          <w:rFonts w:hint="cs"/>
          <w:rtl/>
        </w:rPr>
        <w:t xml:space="preserve">של </w:t>
      </w:r>
      <w:bookmarkStart w:id="53187" w:name="_ETM_Q100_274600"/>
      <w:bookmarkEnd w:id="53187"/>
      <w:r>
        <w:rPr>
          <w:rFonts w:hint="cs"/>
          <w:rtl/>
        </w:rPr>
        <w:t xml:space="preserve">אדם </w:t>
      </w:r>
      <w:bookmarkStart w:id="53188" w:name="_ETM_Q100_274869"/>
      <w:bookmarkEnd w:id="53188"/>
      <w:r>
        <w:rPr>
          <w:rFonts w:hint="cs"/>
          <w:rtl/>
        </w:rPr>
        <w:t xml:space="preserve">שנברא </w:t>
      </w:r>
      <w:bookmarkStart w:id="53189" w:name="_ETM_Q100_275350"/>
      <w:bookmarkEnd w:id="53189"/>
      <w:r>
        <w:rPr>
          <w:rFonts w:hint="cs"/>
          <w:rtl/>
        </w:rPr>
        <w:t>בצלם,</w:t>
      </w:r>
      <w:bookmarkStart w:id="53190" w:name="_ETM_Q100_272344"/>
      <w:bookmarkStart w:id="53191" w:name="_ETM_Q100_267584"/>
      <w:bookmarkEnd w:id="53190"/>
      <w:bookmarkEnd w:id="53191"/>
      <w:r>
        <w:rPr>
          <w:rFonts w:hint="cs"/>
          <w:rtl/>
        </w:rPr>
        <w:t xml:space="preserve"> </w:t>
      </w:r>
      <w:bookmarkStart w:id="53192" w:name="_ETM_Q100_276600"/>
      <w:bookmarkEnd w:id="53192"/>
      <w:r>
        <w:rPr>
          <w:rFonts w:hint="cs"/>
          <w:rtl/>
        </w:rPr>
        <w:t>וציט</w:t>
      </w:r>
      <w:bookmarkStart w:id="53193" w:name="_ETM_Q100_270330"/>
      <w:bookmarkEnd w:id="53193"/>
      <w:r>
        <w:rPr>
          <w:rFonts w:hint="cs"/>
          <w:rtl/>
        </w:rPr>
        <w:t xml:space="preserve">טתי </w:t>
      </w:r>
      <w:bookmarkStart w:id="53194" w:name="_ETM_Q100_277230"/>
      <w:bookmarkEnd w:id="53194"/>
      <w:r>
        <w:rPr>
          <w:rFonts w:hint="cs"/>
          <w:rtl/>
        </w:rPr>
        <w:t xml:space="preserve">את </w:t>
      </w:r>
      <w:bookmarkStart w:id="53195" w:name="_ETM_Q100_277290"/>
      <w:bookmarkEnd w:id="53195"/>
      <w:r>
        <w:rPr>
          <w:rFonts w:hint="cs"/>
          <w:rtl/>
        </w:rPr>
        <w:t xml:space="preserve">המשפטן </w:t>
      </w:r>
      <w:bookmarkStart w:id="53196" w:name="_ETM_Q100_279439"/>
      <w:bookmarkStart w:id="53197" w:name="_ETM_Q100_281290"/>
      <w:bookmarkStart w:id="53198" w:name="_ETM_Q100_281860"/>
      <w:bookmarkStart w:id="53199" w:name="_ETM_Q100_282390"/>
      <w:bookmarkStart w:id="53200" w:name="_ETM_Q100_282930"/>
      <w:bookmarkStart w:id="53201" w:name="_ETM_Q100_283290"/>
      <w:bookmarkStart w:id="53202" w:name="_ETM_Q100_283380"/>
      <w:bookmarkStart w:id="53203" w:name="_ETM_Q100_283890"/>
      <w:bookmarkStart w:id="53204" w:name="_ETM_Q100_284130"/>
      <w:bookmarkStart w:id="53205" w:name="_ETM_Q100_285000"/>
      <w:bookmarkStart w:id="53206" w:name="_ETM_Q100_285569"/>
      <w:bookmarkStart w:id="53207" w:name="_ETM_Q100_282970"/>
      <w:bookmarkEnd w:id="53196"/>
      <w:bookmarkEnd w:id="53197"/>
      <w:bookmarkEnd w:id="53198"/>
      <w:bookmarkEnd w:id="53199"/>
      <w:bookmarkEnd w:id="53200"/>
      <w:bookmarkEnd w:id="53201"/>
      <w:bookmarkEnd w:id="53202"/>
      <w:bookmarkEnd w:id="53203"/>
      <w:bookmarkEnd w:id="53204"/>
      <w:bookmarkEnd w:id="53205"/>
      <w:bookmarkEnd w:id="53206"/>
      <w:bookmarkEnd w:id="53207"/>
      <w:r>
        <w:rPr>
          <w:rFonts w:hint="cs"/>
          <w:rtl/>
        </w:rPr>
        <w:t>רנה קאסן</w:t>
      </w:r>
      <w:bookmarkStart w:id="53208" w:name="_ETM_Q100_285959"/>
      <w:bookmarkEnd w:id="53208"/>
      <w:r>
        <w:rPr>
          <w:rFonts w:hint="cs"/>
          <w:rtl/>
        </w:rPr>
        <w:t>, המשפטן היהודי-צר</w:t>
      </w:r>
      <w:bookmarkStart w:id="53209" w:name="_ETM_Q100_286091"/>
      <w:bookmarkEnd w:id="53209"/>
      <w:r>
        <w:rPr>
          <w:rFonts w:hint="cs"/>
          <w:rtl/>
        </w:rPr>
        <w:t>פתי, שכאשר הוא ניסח את ההצהרה האוניבר</w:t>
      </w:r>
      <w:bookmarkStart w:id="53210" w:name="_ETM_Q100_290451"/>
      <w:bookmarkEnd w:id="53210"/>
      <w:r>
        <w:rPr>
          <w:rFonts w:hint="cs"/>
          <w:rtl/>
        </w:rPr>
        <w:t xml:space="preserve">סלית על </w:t>
      </w:r>
      <w:bookmarkStart w:id="53211" w:name="_ETM_Q100_293685"/>
      <w:bookmarkEnd w:id="53211"/>
      <w:r>
        <w:rPr>
          <w:rFonts w:hint="cs"/>
          <w:rtl/>
        </w:rPr>
        <w:t>זכויות ה</w:t>
      </w:r>
      <w:bookmarkStart w:id="53212" w:name="_ETM_Q100_293351"/>
      <w:bookmarkEnd w:id="53212"/>
      <w:r>
        <w:rPr>
          <w:rFonts w:hint="cs"/>
          <w:rtl/>
        </w:rPr>
        <w:t>אדם</w:t>
      </w:r>
      <w:bookmarkStart w:id="53213" w:name="_ETM_Q100_290590"/>
      <w:bookmarkEnd w:id="53213"/>
      <w:r>
        <w:rPr>
          <w:rFonts w:hint="cs"/>
          <w:rtl/>
        </w:rPr>
        <w:t>, הוא אמר</w:t>
      </w:r>
      <w:bookmarkStart w:id="53214" w:name="_ETM_Q100_291250"/>
      <w:bookmarkEnd w:id="53214"/>
      <w:r>
        <w:rPr>
          <w:rFonts w:hint="cs"/>
          <w:rtl/>
        </w:rPr>
        <w:t>: נתתי ניסוח עדכני לעשרת הדיברות.</w:t>
      </w:r>
      <w:bookmarkStart w:id="53215" w:name="_ETM_Q100_294240"/>
      <w:bookmarkEnd w:id="53215"/>
      <w:r>
        <w:rPr>
          <w:rFonts w:hint="cs"/>
          <w:rtl/>
        </w:rPr>
        <w:t xml:space="preserve"> </w:t>
      </w:r>
      <w:bookmarkStart w:id="53216" w:name="_ETM_Q100_294774"/>
      <w:bookmarkStart w:id="53217" w:name="_ETM_Q100_294856"/>
      <w:bookmarkStart w:id="53218" w:name="_ETM_Q100_294991"/>
      <w:bookmarkStart w:id="53219" w:name="_ETM_Q100_295058"/>
      <w:bookmarkEnd w:id="53216"/>
      <w:bookmarkEnd w:id="53217"/>
      <w:bookmarkEnd w:id="53218"/>
      <w:bookmarkEnd w:id="53219"/>
      <w:r>
        <w:rPr>
          <w:rFonts w:hint="cs"/>
          <w:rtl/>
        </w:rPr>
        <w:t xml:space="preserve">אני </w:t>
      </w:r>
      <w:bookmarkStart w:id="53220" w:name="_ETM_Q100_296103"/>
      <w:bookmarkEnd w:id="53220"/>
      <w:r>
        <w:rPr>
          <w:rFonts w:hint="cs"/>
          <w:rtl/>
        </w:rPr>
        <w:t>בהחלט חושב שלנו, כפרלמנט של ה</w:t>
      </w:r>
      <w:bookmarkStart w:id="53221" w:name="_ETM_Q100_299749"/>
      <w:bookmarkEnd w:id="53221"/>
      <w:r>
        <w:rPr>
          <w:rFonts w:hint="cs"/>
          <w:rtl/>
        </w:rPr>
        <w:t xml:space="preserve">מדינה היהודית, יש חובה </w:t>
      </w:r>
      <w:bookmarkStart w:id="53222" w:name="_ETM_Q100_305797"/>
      <w:bookmarkStart w:id="53223" w:name="_ETM_Q100_301020"/>
      <w:bookmarkEnd w:id="53222"/>
      <w:bookmarkEnd w:id="53223"/>
      <w:r>
        <w:rPr>
          <w:rFonts w:hint="cs"/>
          <w:rtl/>
        </w:rPr>
        <w:t>לסתום את החור המביש הזה</w:t>
      </w:r>
      <w:bookmarkStart w:id="53224" w:name="_ETM_Q100_302221"/>
      <w:bookmarkStart w:id="53225" w:name="_ETM_Q100_304639"/>
      <w:bookmarkStart w:id="53226" w:name="_ETM_Q100_304550"/>
      <w:bookmarkStart w:id="53227" w:name="_ETM_Q100_303223"/>
      <w:bookmarkStart w:id="53228" w:name="_ETM_Q100_303571"/>
      <w:bookmarkStart w:id="53229" w:name="_ETM_Q100_303752"/>
      <w:bookmarkStart w:id="53230" w:name="_ETM_Q100_304000"/>
      <w:bookmarkEnd w:id="53224"/>
      <w:bookmarkEnd w:id="53225"/>
      <w:bookmarkEnd w:id="53226"/>
      <w:bookmarkEnd w:id="53227"/>
      <w:bookmarkEnd w:id="53228"/>
      <w:bookmarkEnd w:id="53229"/>
      <w:bookmarkEnd w:id="53230"/>
      <w:r>
        <w:rPr>
          <w:rFonts w:hint="cs"/>
          <w:rtl/>
        </w:rPr>
        <w:t xml:space="preserve">, שבו אין לנו </w:t>
      </w:r>
      <w:bookmarkStart w:id="53231" w:name="_ETM_Q100_305029"/>
      <w:bookmarkEnd w:id="53231"/>
      <w:r>
        <w:rPr>
          <w:rFonts w:hint="cs"/>
          <w:rtl/>
        </w:rPr>
        <w:t xml:space="preserve">שום </w:t>
      </w:r>
      <w:bookmarkStart w:id="53232" w:name="_ETM_Q100_305420"/>
      <w:bookmarkEnd w:id="53232"/>
      <w:r>
        <w:rPr>
          <w:rFonts w:hint="cs"/>
          <w:rtl/>
        </w:rPr>
        <w:t>הגנה</w:t>
      </w:r>
      <w:bookmarkStart w:id="53233" w:name="_ETM_Q100_311699"/>
      <w:bookmarkEnd w:id="53233"/>
      <w:r>
        <w:rPr>
          <w:rFonts w:hint="cs"/>
          <w:rtl/>
        </w:rPr>
        <w:t xml:space="preserve"> </w:t>
      </w:r>
      <w:bookmarkStart w:id="53234" w:name="_ETM_Q100_306510"/>
      <w:bookmarkEnd w:id="53234"/>
      <w:r>
        <w:rPr>
          <w:rFonts w:hint="cs"/>
          <w:rtl/>
        </w:rPr>
        <w:t xml:space="preserve">על זכויות </w:t>
      </w:r>
      <w:bookmarkStart w:id="53235" w:name="_ETM_Q100_307050"/>
      <w:bookmarkEnd w:id="53235"/>
      <w:r>
        <w:rPr>
          <w:rFonts w:hint="cs"/>
          <w:rtl/>
        </w:rPr>
        <w:t>האדם".</w:t>
      </w:r>
      <w:bookmarkStart w:id="53236" w:name="_ETM_Q100_308739"/>
      <w:bookmarkEnd w:id="53236"/>
    </w:p>
    <w:p w:rsidR="00BB59CD" w:rsidRDefault="00BB59CD" w:rsidP="00BB59CD">
      <w:pPr>
        <w:rPr>
          <w:rtl/>
        </w:rPr>
      </w:pPr>
    </w:p>
    <w:p w:rsidR="00BB59CD" w:rsidRDefault="00BB59CD" w:rsidP="00BB59CD">
      <w:pPr>
        <w:rPr>
          <w:rtl/>
        </w:rPr>
      </w:pPr>
      <w:r>
        <w:rPr>
          <w:rFonts w:hint="cs"/>
          <w:rtl/>
        </w:rPr>
        <w:t xml:space="preserve">עכשיו, </w:t>
      </w:r>
      <w:bookmarkStart w:id="53237" w:name="_ETM_Q100_309610"/>
      <w:bookmarkEnd w:id="53237"/>
      <w:r>
        <w:rPr>
          <w:rFonts w:hint="cs"/>
          <w:rtl/>
        </w:rPr>
        <w:t xml:space="preserve">אדוני </w:t>
      </w:r>
      <w:bookmarkStart w:id="53238" w:name="_ETM_Q100_309909"/>
      <w:bookmarkEnd w:id="53238"/>
      <w:r>
        <w:rPr>
          <w:rFonts w:hint="cs"/>
          <w:rtl/>
        </w:rPr>
        <w:t>ה</w:t>
      </w:r>
      <w:bookmarkStart w:id="53239" w:name="_ETM_Q100_317481"/>
      <w:bookmarkEnd w:id="53239"/>
      <w:r>
        <w:rPr>
          <w:rFonts w:hint="cs"/>
          <w:rtl/>
        </w:rPr>
        <w:t>יושב</w:t>
      </w:r>
      <w:bookmarkStart w:id="53240" w:name="_ETM_Q100_310209"/>
      <w:bookmarkEnd w:id="53240"/>
      <w:r>
        <w:rPr>
          <w:rFonts w:hint="cs"/>
          <w:rtl/>
        </w:rPr>
        <w:t xml:space="preserve">-ראש, </w:t>
      </w:r>
      <w:bookmarkStart w:id="53241" w:name="_ETM_Q100_313249"/>
      <w:bookmarkEnd w:id="53241"/>
      <w:r>
        <w:rPr>
          <w:rFonts w:hint="cs"/>
          <w:rtl/>
        </w:rPr>
        <w:t xml:space="preserve">אני </w:t>
      </w:r>
      <w:bookmarkStart w:id="53242" w:name="_ETM_Q100_313579"/>
      <w:bookmarkEnd w:id="53242"/>
      <w:r>
        <w:rPr>
          <w:rFonts w:hint="cs"/>
          <w:rtl/>
        </w:rPr>
        <w:t xml:space="preserve">רוצה </w:t>
      </w:r>
      <w:bookmarkStart w:id="53243" w:name="_ETM_Q100_315060"/>
      <w:bookmarkEnd w:id="53243"/>
      <w:r>
        <w:rPr>
          <w:rFonts w:hint="cs"/>
          <w:rtl/>
        </w:rPr>
        <w:t xml:space="preserve">לקרוא </w:t>
      </w:r>
      <w:bookmarkStart w:id="53244" w:name="_ETM_Q100_315630"/>
      <w:bookmarkEnd w:id="53244"/>
      <w:r>
        <w:rPr>
          <w:rFonts w:hint="cs"/>
          <w:rtl/>
        </w:rPr>
        <w:t xml:space="preserve">את </w:t>
      </w:r>
      <w:bookmarkStart w:id="53245" w:name="_ETM_Q100_315750"/>
      <w:bookmarkEnd w:id="53245"/>
      <w:r>
        <w:rPr>
          <w:rFonts w:hint="cs"/>
          <w:rtl/>
        </w:rPr>
        <w:t xml:space="preserve">התשובה </w:t>
      </w:r>
      <w:bookmarkStart w:id="53246" w:name="_ETM_Q100_317230"/>
      <w:bookmarkEnd w:id="53246"/>
      <w:r>
        <w:rPr>
          <w:rFonts w:hint="cs"/>
          <w:rtl/>
        </w:rPr>
        <w:t xml:space="preserve">של </w:t>
      </w:r>
      <w:bookmarkStart w:id="53247" w:name="_ETM_Q100_317950"/>
      <w:bookmarkEnd w:id="53247"/>
      <w:r>
        <w:rPr>
          <w:rFonts w:hint="cs"/>
          <w:rtl/>
        </w:rPr>
        <w:t xml:space="preserve">שר </w:t>
      </w:r>
      <w:bookmarkStart w:id="53248" w:name="_ETM_Q100_318340"/>
      <w:bookmarkEnd w:id="53248"/>
      <w:r>
        <w:rPr>
          <w:rFonts w:hint="cs"/>
          <w:rtl/>
        </w:rPr>
        <w:t xml:space="preserve">המשפטים </w:t>
      </w:r>
      <w:bookmarkStart w:id="53249" w:name="_ETM_Q100_319180"/>
      <w:bookmarkEnd w:id="53249"/>
      <w:r>
        <w:rPr>
          <w:rFonts w:hint="cs"/>
          <w:rtl/>
        </w:rPr>
        <w:t xml:space="preserve">מהליכוד, </w:t>
      </w:r>
      <w:bookmarkStart w:id="53250" w:name="_ETM_Q100_320200"/>
      <w:bookmarkEnd w:id="53250"/>
      <w:r>
        <w:rPr>
          <w:rFonts w:hint="cs"/>
          <w:rtl/>
        </w:rPr>
        <w:t xml:space="preserve">חבר </w:t>
      </w:r>
      <w:bookmarkStart w:id="53251" w:name="_ETM_Q100_320620"/>
      <w:bookmarkEnd w:id="53251"/>
      <w:r>
        <w:rPr>
          <w:rFonts w:hint="cs"/>
          <w:rtl/>
        </w:rPr>
        <w:t xml:space="preserve">הכנסת </w:t>
      </w:r>
      <w:bookmarkStart w:id="53252" w:name="_ETM_Q100_320950"/>
      <w:bookmarkEnd w:id="53252"/>
      <w:r>
        <w:rPr>
          <w:rFonts w:hint="cs"/>
          <w:rtl/>
        </w:rPr>
        <w:t xml:space="preserve">דן </w:t>
      </w:r>
      <w:bookmarkStart w:id="53253" w:name="_ETM_Q100_321159"/>
      <w:bookmarkEnd w:id="53253"/>
      <w:r>
        <w:rPr>
          <w:rFonts w:hint="cs"/>
          <w:rtl/>
        </w:rPr>
        <w:t xml:space="preserve">מרידור, </w:t>
      </w:r>
      <w:bookmarkStart w:id="53254" w:name="_ETM_Q100_323840"/>
      <w:bookmarkEnd w:id="53254"/>
      <w:r>
        <w:rPr>
          <w:rFonts w:hint="cs"/>
          <w:rtl/>
        </w:rPr>
        <w:t xml:space="preserve">שניתנה </w:t>
      </w:r>
      <w:bookmarkStart w:id="53255" w:name="_ETM_Q100_325270"/>
      <w:bookmarkEnd w:id="53255"/>
      <w:r>
        <w:rPr>
          <w:rFonts w:hint="cs"/>
          <w:rtl/>
        </w:rPr>
        <w:t xml:space="preserve">באותו </w:t>
      </w:r>
      <w:bookmarkStart w:id="53256" w:name="_ETM_Q100_325810"/>
      <w:bookmarkEnd w:id="53256"/>
      <w:r>
        <w:rPr>
          <w:rFonts w:hint="cs"/>
          <w:rtl/>
        </w:rPr>
        <w:t xml:space="preserve">תאריך </w:t>
      </w:r>
      <w:bookmarkStart w:id="53257" w:name="_ETM_Q100_327129"/>
      <w:bookmarkEnd w:id="53257"/>
      <w:r>
        <w:rPr>
          <w:rFonts w:hint="cs"/>
          <w:rtl/>
        </w:rPr>
        <w:t>ב-92'</w:t>
      </w:r>
      <w:bookmarkStart w:id="53258" w:name="_ETM_Q100_327982"/>
      <w:bookmarkEnd w:id="53258"/>
      <w:r>
        <w:rPr>
          <w:rFonts w:hint="cs"/>
          <w:rtl/>
        </w:rPr>
        <w:t>.</w:t>
      </w:r>
      <w:bookmarkStart w:id="53259" w:name="_ETM_Q100_330120"/>
      <w:bookmarkEnd w:id="53259"/>
    </w:p>
    <w:p w:rsidR="00BB59CD" w:rsidRDefault="00BB59CD" w:rsidP="00BB59CD">
      <w:pPr>
        <w:rPr>
          <w:rtl/>
        </w:rPr>
      </w:pPr>
      <w:bookmarkStart w:id="53260" w:name="_ETM_Q100_329659"/>
      <w:bookmarkStart w:id="53261" w:name="_ETM_Q100_329738"/>
      <w:bookmarkEnd w:id="53260"/>
      <w:bookmarkEnd w:id="53261"/>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3262" w:name="_ETM_Q100_325692"/>
      <w:bookmarkEnd w:id="53262"/>
      <w:r>
        <w:rPr>
          <w:rFonts w:hint="cs"/>
          <w:rtl/>
        </w:rPr>
        <w:t>הם היו שותפים</w:t>
      </w:r>
      <w:bookmarkStart w:id="53263" w:name="_ETM_Q100_328182"/>
      <w:bookmarkEnd w:id="53263"/>
      <w:r>
        <w:rPr>
          <w:rFonts w:hint="cs"/>
          <w:rtl/>
        </w:rPr>
        <w:t xml:space="preserve"> - - -</w:t>
      </w:r>
      <w:bookmarkStart w:id="53264" w:name="_ETM_Q100_324452"/>
      <w:bookmarkEnd w:id="53264"/>
    </w:p>
    <w:p w:rsidR="00BB59CD" w:rsidRDefault="00BB59CD" w:rsidP="00BB59CD">
      <w:pPr>
        <w:rPr>
          <w:rtl/>
        </w:rPr>
      </w:pPr>
      <w:bookmarkStart w:id="53265" w:name="_ETM_Q100_324988"/>
      <w:bookmarkStart w:id="53266" w:name="_ETM_Q100_325055"/>
      <w:bookmarkEnd w:id="53265"/>
      <w:bookmarkEnd w:id="53266"/>
    </w:p>
    <w:p w:rsidR="00BB59CD" w:rsidRDefault="00BB59CD" w:rsidP="00BB59CD">
      <w:pPr>
        <w:pStyle w:val="-"/>
        <w:keepNext/>
        <w:rPr>
          <w:rtl/>
        </w:rPr>
      </w:pPr>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53267" w:name="_ETM_Q100_326990"/>
      <w:bookmarkEnd w:id="53267"/>
      <w:r>
        <w:rPr>
          <w:rFonts w:hint="cs"/>
          <w:rtl/>
        </w:rPr>
        <w:t xml:space="preserve">נכון. הם היו </w:t>
      </w:r>
      <w:bookmarkStart w:id="53268" w:name="_ETM_Q100_333892"/>
      <w:bookmarkEnd w:id="53268"/>
      <w:r>
        <w:rPr>
          <w:rFonts w:hint="cs"/>
          <w:rtl/>
        </w:rPr>
        <w:t>שותפים, והביאו את החוק ה</w:t>
      </w:r>
      <w:bookmarkStart w:id="53269" w:name="_ETM_Q100_333872"/>
      <w:bookmarkEnd w:id="53269"/>
      <w:r>
        <w:rPr>
          <w:rFonts w:hint="cs"/>
          <w:rtl/>
        </w:rPr>
        <w:t>זה, בניגוד לנטען לאחרונה</w:t>
      </w:r>
      <w:bookmarkStart w:id="53270" w:name="_ETM_Q100_335142"/>
      <w:bookmarkEnd w:id="53270"/>
      <w:r>
        <w:rPr>
          <w:rFonts w:hint="cs"/>
          <w:rtl/>
        </w:rPr>
        <w:t xml:space="preserve">, שלא היה </w:t>
      </w:r>
      <w:bookmarkStart w:id="53271" w:name="_ETM_Q100_339082"/>
      <w:bookmarkEnd w:id="53271"/>
      <w:r>
        <w:rPr>
          <w:rFonts w:hint="cs"/>
          <w:rtl/>
        </w:rPr>
        <w:t>קונסנ</w:t>
      </w:r>
      <w:bookmarkStart w:id="53272" w:name="_ETM_Q100_339542"/>
      <w:bookmarkEnd w:id="53272"/>
      <w:r>
        <w:rPr>
          <w:rFonts w:hint="cs"/>
          <w:rtl/>
        </w:rPr>
        <w:t>זוס</w:t>
      </w:r>
      <w:bookmarkStart w:id="53273" w:name="_ETM_Q100_344132"/>
      <w:bookmarkEnd w:id="53273"/>
      <w:r>
        <w:rPr>
          <w:rFonts w:hint="cs"/>
          <w:rtl/>
        </w:rPr>
        <w:t xml:space="preserve"> וזה נתקבל באי</w:t>
      </w:r>
      <w:bookmarkStart w:id="53274" w:name="_ETM_Q100_340772"/>
      <w:bookmarkEnd w:id="53274"/>
      <w:r>
        <w:rPr>
          <w:rFonts w:hint="cs"/>
          <w:rtl/>
        </w:rPr>
        <w:t>שון לילה במחטף. לא.</w:t>
      </w:r>
      <w:bookmarkStart w:id="53275" w:name="_ETM_Q100_347180"/>
      <w:bookmarkEnd w:id="53275"/>
      <w:r>
        <w:rPr>
          <w:rFonts w:hint="cs"/>
          <w:rtl/>
        </w:rPr>
        <w:t xml:space="preserve"> </w:t>
      </w:r>
      <w:bookmarkStart w:id="53276" w:name="_ETM_Q100_343103"/>
      <w:bookmarkEnd w:id="53276"/>
      <w:r>
        <w:rPr>
          <w:rFonts w:hint="cs"/>
          <w:rtl/>
        </w:rPr>
        <w:t>חוק-יסוד: כבוד האדם וחירותו</w:t>
      </w:r>
      <w:bookmarkStart w:id="53277" w:name="_ETM_Q100_343153"/>
      <w:bookmarkEnd w:id="53277"/>
      <w:r>
        <w:rPr>
          <w:rFonts w:hint="cs"/>
          <w:rtl/>
        </w:rPr>
        <w:t>, ו</w:t>
      </w:r>
      <w:bookmarkStart w:id="53278" w:name="_ETM_Q100_346251"/>
      <w:bookmarkEnd w:id="53278"/>
      <w:r>
        <w:rPr>
          <w:rFonts w:hint="cs"/>
          <w:rtl/>
        </w:rPr>
        <w:t>כך גם חוק-יסוד</w:t>
      </w:r>
      <w:bookmarkStart w:id="53279" w:name="_ETM_Q100_344891"/>
      <w:bookmarkEnd w:id="53279"/>
      <w:r>
        <w:rPr>
          <w:rFonts w:hint="cs"/>
          <w:rtl/>
        </w:rPr>
        <w:t>: חופש</w:t>
      </w:r>
      <w:bookmarkStart w:id="53280" w:name="_ETM_Q100_347690"/>
      <w:bookmarkEnd w:id="53280"/>
      <w:r>
        <w:rPr>
          <w:rFonts w:hint="cs"/>
          <w:rtl/>
        </w:rPr>
        <w:t xml:space="preserve"> העיסוק</w:t>
      </w:r>
      <w:bookmarkStart w:id="53281" w:name="_ETM_Q100_350304"/>
      <w:bookmarkEnd w:id="53281"/>
      <w:r>
        <w:rPr>
          <w:rFonts w:hint="cs"/>
          <w:rtl/>
        </w:rPr>
        <w:t xml:space="preserve"> – שני החוקים הללו נתקבלו כאן בכנסת</w:t>
      </w:r>
      <w:bookmarkStart w:id="53282" w:name="_ETM_Q100_352131"/>
      <w:bookmarkEnd w:id="53282"/>
      <w:r>
        <w:rPr>
          <w:rFonts w:hint="cs"/>
          <w:rtl/>
        </w:rPr>
        <w:t xml:space="preserve"> </w:t>
      </w:r>
      <w:bookmarkStart w:id="53283" w:name="_ETM_Q100_352354"/>
      <w:bookmarkEnd w:id="53283"/>
      <w:r>
        <w:rPr>
          <w:rFonts w:hint="cs"/>
          <w:rtl/>
        </w:rPr>
        <w:t>בהסכמה רחבה מאוד, כפי שצריך להיות כשמדברים על שינוי בשיטת המשטר.</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bookmarkStart w:id="53284" w:name="_ETM_Q100_359541"/>
      <w:bookmarkEnd w:id="53284"/>
    </w:p>
    <w:p w:rsidR="00BB59CD" w:rsidRDefault="00BB59CD" w:rsidP="00BB59CD">
      <w:pPr>
        <w:rPr>
          <w:rtl/>
        </w:rPr>
      </w:pPr>
      <w:bookmarkStart w:id="53285" w:name="_ETM_Q100_329236"/>
      <w:bookmarkStart w:id="53286" w:name="_ETM_Q100_329310"/>
      <w:bookmarkStart w:id="53287" w:name="_ETM_Q100_330187"/>
      <w:bookmarkStart w:id="53288" w:name="_ETM_Q100_330249"/>
      <w:bookmarkStart w:id="53289" w:name="_ETM_Q100_362329"/>
      <w:bookmarkEnd w:id="53285"/>
      <w:bookmarkEnd w:id="53286"/>
      <w:bookmarkEnd w:id="53287"/>
      <w:bookmarkEnd w:id="53288"/>
      <w:bookmarkEnd w:id="53289"/>
      <w:r>
        <w:rPr>
          <w:rFonts w:hint="cs"/>
          <w:rtl/>
        </w:rPr>
        <w:t xml:space="preserve">אם </w:t>
      </w:r>
      <w:bookmarkStart w:id="53290" w:name="_ETM_Q100_362450"/>
      <w:bookmarkEnd w:id="53290"/>
      <w:r>
        <w:rPr>
          <w:rFonts w:hint="cs"/>
          <w:rtl/>
        </w:rPr>
        <w:t xml:space="preserve">אתה </w:t>
      </w:r>
      <w:bookmarkStart w:id="53291" w:name="_ETM_Q100_362629"/>
      <w:bookmarkEnd w:id="53291"/>
      <w:r>
        <w:rPr>
          <w:rFonts w:hint="cs"/>
          <w:rtl/>
        </w:rPr>
        <w:t xml:space="preserve">שואל </w:t>
      </w:r>
      <w:bookmarkStart w:id="53292" w:name="_ETM_Q100_362989"/>
      <w:bookmarkEnd w:id="53292"/>
      <w:r>
        <w:rPr>
          <w:rFonts w:hint="cs"/>
          <w:rtl/>
        </w:rPr>
        <w:t xml:space="preserve">אותי, </w:t>
      </w:r>
      <w:bookmarkStart w:id="53293" w:name="_ETM_Q100_363439"/>
      <w:bookmarkEnd w:id="53293"/>
      <w:r>
        <w:rPr>
          <w:rFonts w:hint="cs"/>
          <w:rtl/>
        </w:rPr>
        <w:t xml:space="preserve">זו הייתה </w:t>
      </w:r>
      <w:bookmarkStart w:id="53294" w:name="_ETM_Q100_363859"/>
      <w:bookmarkEnd w:id="53294"/>
      <w:r>
        <w:rPr>
          <w:rFonts w:hint="cs"/>
          <w:rtl/>
        </w:rPr>
        <w:t xml:space="preserve">ההונאה </w:t>
      </w:r>
      <w:bookmarkStart w:id="53295" w:name="_ETM_Q100_364250"/>
      <w:bookmarkEnd w:id="53295"/>
      <w:r>
        <w:rPr>
          <w:rFonts w:hint="cs"/>
          <w:rtl/>
        </w:rPr>
        <w:t xml:space="preserve">הגדולה </w:t>
      </w:r>
      <w:bookmarkStart w:id="53296" w:name="_ETM_Q100_364669"/>
      <w:bookmarkEnd w:id="53296"/>
      <w:r>
        <w:rPr>
          <w:rFonts w:hint="cs"/>
          <w:rtl/>
        </w:rPr>
        <w:t>ביותר.</w:t>
      </w:r>
      <w:bookmarkStart w:id="53297" w:name="_ETM_Q100_364531"/>
      <w:bookmarkEnd w:id="53297"/>
      <w:r>
        <w:rPr>
          <w:rFonts w:hint="cs"/>
          <w:rtl/>
        </w:rPr>
        <w:t xml:space="preserve"> </w:t>
      </w:r>
      <w:bookmarkStart w:id="53298" w:name="_ETM_Q100_365120"/>
      <w:bookmarkEnd w:id="53298"/>
      <w:r>
        <w:rPr>
          <w:rFonts w:hint="cs"/>
          <w:rtl/>
        </w:rPr>
        <w:t xml:space="preserve">תקרא </w:t>
      </w:r>
      <w:bookmarkStart w:id="53299" w:name="_ETM_Q100_365419"/>
      <w:bookmarkEnd w:id="53299"/>
      <w:r>
        <w:rPr>
          <w:rFonts w:hint="cs"/>
          <w:rtl/>
        </w:rPr>
        <w:t xml:space="preserve">את </w:t>
      </w:r>
      <w:bookmarkStart w:id="53300" w:name="_ETM_Q100_365480"/>
      <w:bookmarkEnd w:id="53300"/>
      <w:r>
        <w:rPr>
          <w:rFonts w:hint="cs"/>
          <w:rtl/>
        </w:rPr>
        <w:t xml:space="preserve">הספר </w:t>
      </w:r>
      <w:bookmarkStart w:id="53301" w:name="_ETM_Q100_365870"/>
      <w:bookmarkEnd w:id="53301"/>
      <w:r>
        <w:rPr>
          <w:rFonts w:hint="cs"/>
          <w:rtl/>
        </w:rPr>
        <w:t>של אוריאל לין.</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53302" w:name="_ETM_Q100_368562"/>
      <w:bookmarkStart w:id="53303" w:name="_ETM_Q100_365450"/>
      <w:bookmarkStart w:id="53304" w:name="_ETM_Q100_366169"/>
      <w:bookmarkStart w:id="53305" w:name="_ETM_Q100_368100"/>
      <w:bookmarkEnd w:id="53302"/>
      <w:bookmarkEnd w:id="53303"/>
      <w:bookmarkEnd w:id="53304"/>
      <w:bookmarkEnd w:id="53305"/>
      <w:r>
        <w:rPr>
          <w:rFonts w:hint="cs"/>
          <w:rtl/>
        </w:rPr>
        <w:t xml:space="preserve">אני </w:t>
      </w:r>
      <w:bookmarkStart w:id="53306" w:name="_ETM_Q100_368340"/>
      <w:bookmarkEnd w:id="53306"/>
      <w:r>
        <w:rPr>
          <w:rFonts w:hint="cs"/>
          <w:rtl/>
        </w:rPr>
        <w:t xml:space="preserve">אקרא </w:t>
      </w:r>
      <w:bookmarkStart w:id="53307" w:name="_ETM_Q100_368550"/>
      <w:bookmarkEnd w:id="53307"/>
      <w:r>
        <w:rPr>
          <w:rFonts w:hint="cs"/>
          <w:rtl/>
        </w:rPr>
        <w:t xml:space="preserve">את </w:t>
      </w:r>
      <w:bookmarkStart w:id="53308" w:name="_ETM_Q100_368760"/>
      <w:bookmarkEnd w:id="53308"/>
      <w:r>
        <w:rPr>
          <w:rFonts w:hint="cs"/>
          <w:rtl/>
        </w:rPr>
        <w:t>הספר.</w:t>
      </w:r>
      <w:bookmarkStart w:id="53309" w:name="_ETM_Q100_369780"/>
      <w:bookmarkEnd w:id="53309"/>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3310" w:name="_ETM_Q100_367931"/>
      <w:bookmarkEnd w:id="53310"/>
      <w:r>
        <w:rPr>
          <w:rFonts w:hint="cs"/>
          <w:rtl/>
        </w:rPr>
        <w:t>הוא היה יושב-ראש ועדת החוקה אז.</w:t>
      </w:r>
    </w:p>
    <w:p w:rsidR="00BB59CD" w:rsidRDefault="00BB59CD" w:rsidP="00BB59CD">
      <w:pPr>
        <w:rPr>
          <w:rtl/>
        </w:rPr>
      </w:pPr>
      <w:bookmarkStart w:id="53311" w:name="_ETM_Q100_374924"/>
      <w:bookmarkStart w:id="53312" w:name="_ETM_Q100_374992"/>
      <w:bookmarkEnd w:id="53311"/>
      <w:bookmarkEnd w:id="53312"/>
    </w:p>
    <w:p w:rsidR="00BB59CD" w:rsidRDefault="00BB59CD" w:rsidP="00BB59CD">
      <w:pPr>
        <w:pStyle w:val="-"/>
        <w:keepNext/>
        <w:rPr>
          <w:rtl/>
        </w:rPr>
      </w:pPr>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53313" w:name="_ETM_Q100_375729"/>
      <w:bookmarkStart w:id="53314" w:name="_ETM_Q100_371393"/>
      <w:bookmarkStart w:id="53315" w:name="_ETM_Q100_369960"/>
      <w:bookmarkStart w:id="53316" w:name="_ETM_Q100_370260"/>
      <w:bookmarkStart w:id="53317" w:name="_ETM_Q100_370380"/>
      <w:bookmarkStart w:id="53318" w:name="_ETM_Q100_370620"/>
      <w:bookmarkStart w:id="53319" w:name="_ETM_Q100_371010"/>
      <w:bookmarkStart w:id="53320" w:name="_ETM_Q100_371310"/>
      <w:bookmarkStart w:id="53321" w:name="_ETM_Q100_371790"/>
      <w:bookmarkStart w:id="53322" w:name="_ETM_Q100_372450"/>
      <w:bookmarkStart w:id="53323" w:name="_ETM_Q100_371172"/>
      <w:bookmarkEnd w:id="53313"/>
      <w:bookmarkEnd w:id="53314"/>
      <w:bookmarkEnd w:id="53315"/>
      <w:bookmarkEnd w:id="53316"/>
      <w:bookmarkEnd w:id="53317"/>
      <w:bookmarkEnd w:id="53318"/>
      <w:bookmarkEnd w:id="53319"/>
      <w:bookmarkEnd w:id="53320"/>
      <w:bookmarkEnd w:id="53321"/>
      <w:bookmarkEnd w:id="53322"/>
      <w:bookmarkEnd w:id="53323"/>
      <w:r>
        <w:rPr>
          <w:rFonts w:hint="cs"/>
          <w:rtl/>
        </w:rPr>
        <w:t xml:space="preserve">שמעתי </w:t>
      </w:r>
      <w:bookmarkStart w:id="53324" w:name="_ETM_Q100_372900"/>
      <w:bookmarkEnd w:id="53324"/>
      <w:r>
        <w:rPr>
          <w:rFonts w:hint="cs"/>
          <w:rtl/>
        </w:rPr>
        <w:t xml:space="preserve">אותו </w:t>
      </w:r>
      <w:bookmarkStart w:id="53325" w:name="_ETM_Q100_373139"/>
      <w:bookmarkEnd w:id="53325"/>
      <w:r>
        <w:rPr>
          <w:rFonts w:hint="cs"/>
          <w:rtl/>
        </w:rPr>
        <w:t xml:space="preserve">בוועדת </w:t>
      </w:r>
      <w:bookmarkStart w:id="53326" w:name="_ETM_Q100_373620"/>
      <w:bookmarkEnd w:id="53326"/>
      <w:r>
        <w:rPr>
          <w:rFonts w:hint="cs"/>
          <w:rtl/>
        </w:rPr>
        <w:t>החוקה.</w:t>
      </w:r>
      <w:bookmarkStart w:id="53327" w:name="_ETM_Q100_372111"/>
      <w:bookmarkEnd w:id="53327"/>
      <w:r>
        <w:rPr>
          <w:rFonts w:hint="cs"/>
          <w:rtl/>
        </w:rPr>
        <w:t xml:space="preserve"> </w:t>
      </w:r>
      <w:bookmarkStart w:id="53328" w:name="_ETM_Q100_374669"/>
      <w:bookmarkStart w:id="53329" w:name="_ETM_Q100_374760"/>
      <w:bookmarkEnd w:id="53328"/>
      <w:bookmarkEnd w:id="53329"/>
      <w:r>
        <w:rPr>
          <w:rFonts w:hint="cs"/>
          <w:rtl/>
        </w:rPr>
        <w:t xml:space="preserve">הוא </w:t>
      </w:r>
      <w:bookmarkStart w:id="53330" w:name="_ETM_Q100_374445"/>
      <w:bookmarkEnd w:id="53330"/>
      <w:r>
        <w:rPr>
          <w:rFonts w:hint="cs"/>
          <w:rtl/>
        </w:rPr>
        <w:t>ביר</w:t>
      </w:r>
      <w:bookmarkStart w:id="53331" w:name="_ETM_Q100_372610"/>
      <w:bookmarkEnd w:id="53331"/>
      <w:r>
        <w:rPr>
          <w:rFonts w:hint="cs"/>
          <w:rtl/>
        </w:rPr>
        <w:t xml:space="preserve">ך דווקא </w:t>
      </w:r>
      <w:bookmarkStart w:id="53332" w:name="_ETM_Q100_375180"/>
      <w:bookmarkEnd w:id="53332"/>
      <w:r>
        <w:rPr>
          <w:rFonts w:hint="cs"/>
          <w:rtl/>
        </w:rPr>
        <w:t xml:space="preserve">על </w:t>
      </w:r>
      <w:bookmarkStart w:id="53333" w:name="_ETM_Q100_375300"/>
      <w:bookmarkEnd w:id="53333"/>
      <w:r>
        <w:rPr>
          <w:rFonts w:hint="cs"/>
          <w:rtl/>
        </w:rPr>
        <w:t>הח</w:t>
      </w:r>
      <w:bookmarkStart w:id="53334" w:name="_ETM_Q100_373379"/>
      <w:bookmarkEnd w:id="53334"/>
      <w:r>
        <w:rPr>
          <w:rFonts w:hint="cs"/>
          <w:rtl/>
        </w:rPr>
        <w:t>וק הזה.</w:t>
      </w:r>
    </w:p>
    <w:p w:rsidR="00BB59CD" w:rsidRDefault="00BB59CD" w:rsidP="00BB59CD">
      <w:pPr>
        <w:rPr>
          <w:rtl/>
        </w:rPr>
      </w:pPr>
      <w:bookmarkStart w:id="53335" w:name="_ETM_Q100_375062"/>
      <w:bookmarkStart w:id="53336" w:name="_ETM_Q100_375141"/>
      <w:bookmarkEnd w:id="53335"/>
      <w:bookmarkEnd w:id="53336"/>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3337" w:name="_ETM_Q100_376985"/>
      <w:bookmarkEnd w:id="53337"/>
      <w:r>
        <w:rPr>
          <w:rFonts w:hint="cs"/>
          <w:rtl/>
        </w:rPr>
        <w:t>הוא בירך, אבל הוא ס</w:t>
      </w:r>
      <w:bookmarkStart w:id="53338" w:name="_ETM_Q100_376150"/>
      <w:bookmarkEnd w:id="53338"/>
      <w:r>
        <w:rPr>
          <w:rFonts w:hint="cs"/>
          <w:rtl/>
        </w:rPr>
        <w:t xml:space="preserve">יפר איך שהם הונו </w:t>
      </w:r>
      <w:bookmarkStart w:id="53339" w:name="_ETM_Q100_376143"/>
      <w:bookmarkEnd w:id="53339"/>
      <w:r>
        <w:rPr>
          <w:rFonts w:hint="cs"/>
          <w:rtl/>
        </w:rPr>
        <w:t xml:space="preserve">את הציבור </w:t>
      </w:r>
      <w:bookmarkStart w:id="53340" w:name="_ETM_Q100_375246"/>
      <w:bookmarkStart w:id="53341" w:name="_ETM_Q100_375306"/>
      <w:bookmarkStart w:id="53342" w:name="_ETM_Q100_376110"/>
      <w:bookmarkStart w:id="53343" w:name="_ETM_Q100_376350"/>
      <w:bookmarkStart w:id="53344" w:name="_ETM_Q100_376410"/>
      <w:bookmarkStart w:id="53345" w:name="_ETM_Q100_377010"/>
      <w:bookmarkStart w:id="53346" w:name="_ETM_Q100_377190"/>
      <w:bookmarkStart w:id="53347" w:name="_ETM_Q100_377820"/>
      <w:bookmarkStart w:id="53348" w:name="_ETM_Q100_378000"/>
      <w:bookmarkStart w:id="53349" w:name="_ETM_Q100_378750"/>
      <w:bookmarkStart w:id="53350" w:name="_ETM_Q100_378770"/>
      <w:bookmarkEnd w:id="53340"/>
      <w:bookmarkEnd w:id="53341"/>
      <w:bookmarkEnd w:id="53342"/>
      <w:bookmarkEnd w:id="53343"/>
      <w:bookmarkEnd w:id="53344"/>
      <w:bookmarkEnd w:id="53345"/>
      <w:bookmarkEnd w:id="53346"/>
      <w:bookmarkEnd w:id="53347"/>
      <w:bookmarkEnd w:id="53348"/>
      <w:bookmarkEnd w:id="53349"/>
      <w:bookmarkEnd w:id="53350"/>
      <w:r>
        <w:rPr>
          <w:rFonts w:hint="cs"/>
          <w:rtl/>
        </w:rPr>
        <w:t xml:space="preserve">לחשוב </w:t>
      </w:r>
      <w:bookmarkStart w:id="53351" w:name="_ETM_Q100_379139"/>
      <w:bookmarkEnd w:id="53351"/>
      <w:r>
        <w:rPr>
          <w:rFonts w:hint="cs"/>
          <w:rtl/>
        </w:rPr>
        <w:t xml:space="preserve">שזה </w:t>
      </w:r>
      <w:bookmarkStart w:id="53352" w:name="_ETM_Q100_379500"/>
      <w:bookmarkEnd w:id="53352"/>
      <w:r>
        <w:rPr>
          <w:rFonts w:hint="cs"/>
          <w:rtl/>
        </w:rPr>
        <w:t xml:space="preserve">לא </w:t>
      </w:r>
      <w:bookmarkStart w:id="53353" w:name="_ETM_Q100_379650"/>
      <w:bookmarkEnd w:id="53353"/>
      <w:r>
        <w:rPr>
          <w:rFonts w:hint="cs"/>
          <w:rtl/>
        </w:rPr>
        <w:t xml:space="preserve">חוקה </w:t>
      </w:r>
      <w:bookmarkStart w:id="53354" w:name="_ETM_Q100_380070"/>
      <w:bookmarkEnd w:id="53354"/>
      <w:r>
        <w:rPr>
          <w:rFonts w:hint="cs"/>
          <w:rtl/>
        </w:rPr>
        <w:t xml:space="preserve">ולא </w:t>
      </w:r>
      <w:bookmarkStart w:id="53355" w:name="_ETM_Q100_380280"/>
      <w:bookmarkEnd w:id="53355"/>
      <w:r>
        <w:rPr>
          <w:rFonts w:hint="cs"/>
          <w:rtl/>
        </w:rPr>
        <w:t xml:space="preserve">שום </w:t>
      </w:r>
      <w:bookmarkStart w:id="53356" w:name="_ETM_Q100_380460"/>
      <w:bookmarkEnd w:id="53356"/>
      <w:r>
        <w:rPr>
          <w:rFonts w:hint="cs"/>
          <w:rtl/>
        </w:rPr>
        <w:t xml:space="preserve">דבר, רק סתם </w:t>
      </w:r>
      <w:bookmarkStart w:id="53357" w:name="_ETM_Q100_385268"/>
      <w:bookmarkStart w:id="53358" w:name="_ETM_Q100_380820"/>
      <w:bookmarkStart w:id="53359" w:name="_ETM_Q100_381870"/>
      <w:bookmarkEnd w:id="53357"/>
      <w:bookmarkEnd w:id="53358"/>
      <w:bookmarkEnd w:id="53359"/>
      <w:r>
        <w:rPr>
          <w:rFonts w:hint="cs"/>
          <w:rtl/>
        </w:rPr>
        <w:t xml:space="preserve">שמירה </w:t>
      </w:r>
      <w:bookmarkStart w:id="53360" w:name="_ETM_Q100_382230"/>
      <w:bookmarkEnd w:id="53360"/>
      <w:r>
        <w:rPr>
          <w:rFonts w:hint="cs"/>
          <w:rtl/>
        </w:rPr>
        <w:t xml:space="preserve">על </w:t>
      </w:r>
      <w:bookmarkStart w:id="53361" w:name="_ETM_Q100_381840"/>
      <w:bookmarkEnd w:id="53361"/>
      <w:r>
        <w:rPr>
          <w:rFonts w:hint="cs"/>
          <w:rtl/>
        </w:rPr>
        <w:t>זכויות.</w:t>
      </w:r>
      <w:bookmarkStart w:id="53362" w:name="_ETM_Q100_382740"/>
      <w:bookmarkStart w:id="53363" w:name="_ETM_Q100_386019"/>
      <w:bookmarkEnd w:id="53362"/>
      <w:bookmarkEnd w:id="53363"/>
    </w:p>
    <w:p w:rsidR="00BB59CD" w:rsidRDefault="00BB59CD" w:rsidP="00BB59CD">
      <w:pPr>
        <w:rPr>
          <w:rtl/>
        </w:rPr>
      </w:pPr>
      <w:bookmarkStart w:id="53364" w:name="_ETM_Q100_386076"/>
      <w:bookmarkEnd w:id="53364"/>
    </w:p>
    <w:p w:rsidR="00BB59CD" w:rsidRDefault="00BB59CD" w:rsidP="00BB59CD">
      <w:pPr>
        <w:pStyle w:val="-"/>
        <w:keepNext/>
        <w:rPr>
          <w:rtl/>
        </w:rPr>
      </w:pPr>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53365" w:name="_ETM_Q100_387583"/>
      <w:bookmarkStart w:id="53366" w:name="_ETM_Q100_383220"/>
      <w:bookmarkStart w:id="53367" w:name="_ETM_Q100_386178"/>
      <w:bookmarkStart w:id="53368" w:name="_ETM_Q100_386224"/>
      <w:bookmarkStart w:id="53369" w:name="_ETM_Q100_383610"/>
      <w:bookmarkEnd w:id="53365"/>
      <w:bookmarkEnd w:id="53366"/>
      <w:bookmarkEnd w:id="53367"/>
      <w:bookmarkEnd w:id="53368"/>
      <w:bookmarkEnd w:id="53369"/>
      <w:r>
        <w:rPr>
          <w:rFonts w:hint="cs"/>
          <w:rtl/>
        </w:rPr>
        <w:t xml:space="preserve">קראתי </w:t>
      </w:r>
      <w:bookmarkStart w:id="53370" w:name="_ETM_Q100_384060"/>
      <w:bookmarkEnd w:id="53370"/>
      <w:r>
        <w:rPr>
          <w:rFonts w:hint="cs"/>
          <w:rtl/>
        </w:rPr>
        <w:t xml:space="preserve">עכשיו </w:t>
      </w:r>
      <w:bookmarkStart w:id="53371" w:name="_ETM_Q100_384270"/>
      <w:bookmarkEnd w:id="53371"/>
      <w:r>
        <w:rPr>
          <w:rFonts w:hint="cs"/>
          <w:rtl/>
        </w:rPr>
        <w:t xml:space="preserve">את </w:t>
      </w:r>
      <w:bookmarkStart w:id="53372" w:name="_ETM_Q100_384360"/>
      <w:bookmarkEnd w:id="53372"/>
      <w:r>
        <w:rPr>
          <w:rFonts w:hint="cs"/>
          <w:rtl/>
        </w:rPr>
        <w:t>ה</w:t>
      </w:r>
      <w:bookmarkStart w:id="53373" w:name="_ETM_Q100_385200"/>
      <w:bookmarkStart w:id="53374" w:name="_ETM_Q100_385410"/>
      <w:bookmarkStart w:id="53375" w:name="_ETM_Q100_382910"/>
      <w:bookmarkEnd w:id="53373"/>
      <w:bookmarkEnd w:id="53374"/>
      <w:bookmarkEnd w:id="53375"/>
      <w:r>
        <w:rPr>
          <w:rFonts w:hint="cs"/>
          <w:rtl/>
        </w:rPr>
        <w:t xml:space="preserve">דברים </w:t>
      </w:r>
      <w:bookmarkStart w:id="53376" w:name="_ETM_Q100_385830"/>
      <w:bookmarkEnd w:id="53376"/>
      <w:r>
        <w:rPr>
          <w:rFonts w:hint="cs"/>
          <w:rtl/>
        </w:rPr>
        <w:t xml:space="preserve">של </w:t>
      </w:r>
      <w:bookmarkStart w:id="53377" w:name="_ETM_Q100_386040"/>
      <w:bookmarkEnd w:id="53377"/>
      <w:r>
        <w:rPr>
          <w:rFonts w:hint="cs"/>
          <w:rtl/>
        </w:rPr>
        <w:t xml:space="preserve">חבר הכנסת </w:t>
      </w:r>
      <w:bookmarkStart w:id="53378" w:name="_ETM_Q100_386490"/>
      <w:bookmarkEnd w:id="53378"/>
      <w:r>
        <w:rPr>
          <w:rFonts w:hint="cs"/>
          <w:rtl/>
        </w:rPr>
        <w:t>רובינשטיין</w:t>
      </w:r>
      <w:bookmarkStart w:id="53379" w:name="_ETM_Q100_387060"/>
      <w:bookmarkEnd w:id="53379"/>
      <w:r>
        <w:rPr>
          <w:rFonts w:hint="cs"/>
          <w:rtl/>
        </w:rPr>
        <w:t>, ש</w:t>
      </w:r>
      <w:bookmarkStart w:id="53380" w:name="_ETM_Q100_387720"/>
      <w:bookmarkStart w:id="53381" w:name="_ETM_Q100_386570"/>
      <w:bookmarkEnd w:id="53380"/>
      <w:bookmarkEnd w:id="53381"/>
      <w:r>
        <w:rPr>
          <w:rFonts w:hint="cs"/>
          <w:rtl/>
        </w:rPr>
        <w:t xml:space="preserve">דיבר </w:t>
      </w:r>
      <w:bookmarkStart w:id="53382" w:name="_ETM_Q100_388020"/>
      <w:bookmarkEnd w:id="53382"/>
      <w:r>
        <w:rPr>
          <w:rFonts w:hint="cs"/>
          <w:rtl/>
        </w:rPr>
        <w:t xml:space="preserve">כאן </w:t>
      </w:r>
      <w:bookmarkStart w:id="53383" w:name="_ETM_Q100_388230"/>
      <w:bookmarkEnd w:id="53383"/>
      <w:r>
        <w:rPr>
          <w:rFonts w:hint="cs"/>
          <w:rtl/>
        </w:rPr>
        <w:t xml:space="preserve">על </w:t>
      </w:r>
      <w:bookmarkStart w:id="53384" w:name="_ETM_Q100_388590"/>
      <w:bookmarkEnd w:id="53384"/>
      <w:r>
        <w:rPr>
          <w:rFonts w:hint="cs"/>
          <w:rtl/>
        </w:rPr>
        <w:t xml:space="preserve">מהלך </w:t>
      </w:r>
      <w:bookmarkStart w:id="53385" w:name="_ETM_Q100_389010"/>
      <w:bookmarkEnd w:id="53385"/>
      <w:r>
        <w:rPr>
          <w:rFonts w:hint="cs"/>
          <w:rtl/>
        </w:rPr>
        <w:t>חשוב.</w:t>
      </w:r>
      <w:bookmarkStart w:id="53386" w:name="_ETM_Q100_389639"/>
      <w:bookmarkStart w:id="53387" w:name="_ETM_Q100_391624"/>
      <w:bookmarkEnd w:id="53386"/>
      <w:bookmarkEnd w:id="53387"/>
    </w:p>
    <w:p w:rsidR="00BB59CD" w:rsidRDefault="00BB59CD" w:rsidP="00BB59CD">
      <w:pPr>
        <w:rPr>
          <w:rtl/>
        </w:rPr>
      </w:pPr>
      <w:bookmarkStart w:id="53388" w:name="_ETM_Q100_391681"/>
      <w:bookmarkEnd w:id="53388"/>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3389" w:name="_ETM_Q100_392752"/>
      <w:bookmarkStart w:id="53390" w:name="_ETM_Q100_391777"/>
      <w:bookmarkStart w:id="53391" w:name="_ETM_Q100_391823"/>
      <w:bookmarkEnd w:id="53389"/>
      <w:bookmarkEnd w:id="53390"/>
      <w:bookmarkEnd w:id="53391"/>
      <w:r>
        <w:rPr>
          <w:rFonts w:hint="cs"/>
          <w:rtl/>
        </w:rPr>
        <w:t xml:space="preserve">הוא </w:t>
      </w:r>
      <w:bookmarkStart w:id="53392" w:name="_ETM_Q100_389880"/>
      <w:bookmarkEnd w:id="53392"/>
      <w:r>
        <w:rPr>
          <w:rFonts w:hint="cs"/>
          <w:rtl/>
        </w:rPr>
        <w:t xml:space="preserve">חשב </w:t>
      </w:r>
      <w:bookmarkStart w:id="53393" w:name="_ETM_Q100_390360"/>
      <w:bookmarkEnd w:id="53393"/>
      <w:r>
        <w:rPr>
          <w:rFonts w:hint="cs"/>
          <w:rtl/>
        </w:rPr>
        <w:t>כך,</w:t>
      </w:r>
      <w:bookmarkStart w:id="53394" w:name="_ETM_Q100_389610"/>
      <w:bookmarkEnd w:id="53394"/>
      <w:r>
        <w:rPr>
          <w:rFonts w:hint="cs"/>
          <w:rtl/>
        </w:rPr>
        <w:t xml:space="preserve"> </w:t>
      </w:r>
      <w:bookmarkStart w:id="53395" w:name="_ETM_Q100_390750"/>
      <w:bookmarkStart w:id="53396" w:name="_ETM_Q100_391230"/>
      <w:bookmarkStart w:id="53397" w:name="_ETM_Q100_391470"/>
      <w:bookmarkEnd w:id="53395"/>
      <w:bookmarkEnd w:id="53396"/>
      <w:bookmarkEnd w:id="53397"/>
      <w:r>
        <w:rPr>
          <w:rFonts w:hint="cs"/>
          <w:rtl/>
        </w:rPr>
        <w:t xml:space="preserve">אבל </w:t>
      </w:r>
      <w:bookmarkStart w:id="53398" w:name="_ETM_Q100_392100"/>
      <w:bookmarkEnd w:id="53398"/>
      <w:r>
        <w:rPr>
          <w:rFonts w:hint="cs"/>
          <w:rtl/>
        </w:rPr>
        <w:t xml:space="preserve">תקרא </w:t>
      </w:r>
      <w:bookmarkStart w:id="53399" w:name="_ETM_Q100_392400"/>
      <w:bookmarkEnd w:id="53399"/>
      <w:r>
        <w:rPr>
          <w:rFonts w:hint="cs"/>
          <w:rtl/>
        </w:rPr>
        <w:t xml:space="preserve">את </w:t>
      </w:r>
      <w:bookmarkStart w:id="53400" w:name="_ETM_Q100_392460"/>
      <w:bookmarkEnd w:id="53400"/>
      <w:r>
        <w:rPr>
          <w:rFonts w:hint="cs"/>
          <w:rtl/>
        </w:rPr>
        <w:t xml:space="preserve">הפרוטוקול </w:t>
      </w:r>
      <w:bookmarkStart w:id="53401" w:name="_ETM_Q100_392970"/>
      <w:bookmarkEnd w:id="53401"/>
      <w:r>
        <w:rPr>
          <w:rFonts w:hint="cs"/>
          <w:rtl/>
        </w:rPr>
        <w:t>- - -</w:t>
      </w:r>
      <w:bookmarkStart w:id="53402" w:name="_ETM_Q100_392630"/>
      <w:bookmarkEnd w:id="53402"/>
    </w:p>
    <w:p w:rsidR="00BB59CD" w:rsidRDefault="00BB59CD" w:rsidP="00BB59CD">
      <w:pPr>
        <w:rPr>
          <w:rtl/>
        </w:rPr>
      </w:pPr>
      <w:bookmarkStart w:id="53403" w:name="_ETM_Q100_392835"/>
      <w:bookmarkStart w:id="53404" w:name="_ETM_Q100_392935"/>
      <w:bookmarkEnd w:id="53403"/>
      <w:bookmarkEnd w:id="53404"/>
    </w:p>
    <w:p w:rsidR="00BB59CD" w:rsidRDefault="00BB59CD" w:rsidP="00BB59CD">
      <w:pPr>
        <w:pStyle w:val="-"/>
        <w:keepNext/>
        <w:rPr>
          <w:rtl/>
        </w:rPr>
      </w:pPr>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374B1A">
      <w:pPr>
        <w:rPr>
          <w:rtl/>
        </w:rPr>
      </w:pPr>
      <w:bookmarkStart w:id="53405" w:name="_ETM_Q100_396842"/>
      <w:bookmarkEnd w:id="53405"/>
      <w:r>
        <w:rPr>
          <w:rFonts w:hint="cs"/>
          <w:rtl/>
        </w:rPr>
        <w:t xml:space="preserve">בסדר, </w:t>
      </w:r>
      <w:bookmarkStart w:id="53406" w:name="_ETM_Q100_393990"/>
      <w:bookmarkStart w:id="53407" w:name="_ETM_Q100_392983"/>
      <w:bookmarkStart w:id="53408" w:name="_ETM_Q100_393033"/>
      <w:bookmarkStart w:id="53409" w:name="_ETM_Q100_393130"/>
      <w:bookmarkStart w:id="53410" w:name="_ETM_Q100_393198"/>
      <w:bookmarkStart w:id="53411" w:name="_ETM_Q100_393480"/>
      <w:bookmarkStart w:id="53412" w:name="_ETM_Q100_393720"/>
      <w:bookmarkStart w:id="53413" w:name="_ETM_Q100_393900"/>
      <w:bookmarkStart w:id="53414" w:name="_ETM_Q100_394020"/>
      <w:bookmarkEnd w:id="53406"/>
      <w:bookmarkEnd w:id="53407"/>
      <w:bookmarkEnd w:id="53408"/>
      <w:bookmarkEnd w:id="53409"/>
      <w:bookmarkEnd w:id="53410"/>
      <w:bookmarkEnd w:id="53411"/>
      <w:bookmarkEnd w:id="53412"/>
      <w:bookmarkEnd w:id="53413"/>
      <w:bookmarkEnd w:id="53414"/>
      <w:r>
        <w:rPr>
          <w:rFonts w:hint="cs"/>
          <w:rtl/>
        </w:rPr>
        <w:t xml:space="preserve">זה </w:t>
      </w:r>
      <w:bookmarkStart w:id="53415" w:name="_ETM_Q100_394500"/>
      <w:bookmarkEnd w:id="53415"/>
      <w:r>
        <w:rPr>
          <w:rFonts w:hint="cs"/>
          <w:rtl/>
        </w:rPr>
        <w:t xml:space="preserve">הפרוטוקול </w:t>
      </w:r>
      <w:bookmarkStart w:id="53416" w:name="_ETM_Q100_395010"/>
      <w:bookmarkEnd w:id="53416"/>
      <w:r>
        <w:rPr>
          <w:rFonts w:hint="cs"/>
          <w:rtl/>
        </w:rPr>
        <w:t xml:space="preserve">מדברי </w:t>
      </w:r>
      <w:bookmarkStart w:id="53417" w:name="_ETM_Q100_395370"/>
      <w:bookmarkStart w:id="53418" w:name="_ETM_Q100_395550"/>
      <w:bookmarkStart w:id="53419" w:name="_ETM_Q100_395700"/>
      <w:bookmarkEnd w:id="53417"/>
      <w:bookmarkEnd w:id="53418"/>
      <w:bookmarkEnd w:id="53419"/>
      <w:r w:rsidR="00374B1A">
        <w:rPr>
          <w:rFonts w:hint="cs"/>
          <w:rtl/>
        </w:rPr>
        <w:t xml:space="preserve">הימים של </w:t>
      </w:r>
      <w:r>
        <w:rPr>
          <w:rFonts w:hint="cs"/>
          <w:rtl/>
        </w:rPr>
        <w:t>הכנסת.</w:t>
      </w:r>
      <w:bookmarkStart w:id="53420" w:name="_ETM_Q100_395860"/>
      <w:bookmarkEnd w:id="53420"/>
    </w:p>
    <w:p w:rsidR="00BB59CD" w:rsidRDefault="00BB59CD" w:rsidP="00BB59CD">
      <w:pPr>
        <w:rPr>
          <w:rtl/>
        </w:rPr>
      </w:pPr>
      <w:bookmarkStart w:id="53421" w:name="_ETM_Q100_396166"/>
      <w:bookmarkStart w:id="53422" w:name="_ETM_Q100_396258"/>
      <w:bookmarkEnd w:id="53421"/>
      <w:bookmarkEnd w:id="53422"/>
    </w:p>
    <w:p w:rsidR="00BB59CD" w:rsidRDefault="00BB59CD" w:rsidP="00BB59CD">
      <w:pPr>
        <w:pStyle w:val="af9"/>
        <w:keepNext/>
        <w:rPr>
          <w:rtl/>
        </w:rPr>
      </w:pPr>
      <w:bookmarkStart w:id="53423" w:name="ET_yor_6129_1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3423"/>
    </w:p>
    <w:p w:rsidR="00BB59CD" w:rsidRDefault="00BB59CD" w:rsidP="00337201">
      <w:pPr>
        <w:rPr>
          <w:rtl/>
        </w:rPr>
      </w:pPr>
    </w:p>
    <w:p w:rsidR="00BB59CD" w:rsidRDefault="00BB59CD" w:rsidP="00BB59CD">
      <w:pPr>
        <w:rPr>
          <w:rtl/>
        </w:rPr>
      </w:pPr>
      <w:bookmarkStart w:id="53424" w:name="_ETM_Q100_398206"/>
      <w:bookmarkStart w:id="53425" w:name="_ETM_Q100_396349"/>
      <w:bookmarkStart w:id="53426" w:name="_ETM_Q100_396420"/>
      <w:bookmarkStart w:id="53427" w:name="_ETM_Q100_396600"/>
      <w:bookmarkEnd w:id="53424"/>
      <w:bookmarkEnd w:id="53425"/>
      <w:bookmarkEnd w:id="53426"/>
      <w:bookmarkEnd w:id="53427"/>
      <w:r>
        <w:rPr>
          <w:rFonts w:hint="cs"/>
          <w:rtl/>
        </w:rPr>
        <w:t>כן,</w:t>
      </w:r>
      <w:bookmarkStart w:id="53428" w:name="_ETM_Q100_395511"/>
      <w:bookmarkEnd w:id="53428"/>
      <w:r>
        <w:rPr>
          <w:rFonts w:hint="cs"/>
          <w:rtl/>
        </w:rPr>
        <w:t xml:space="preserve"> </w:t>
      </w:r>
      <w:bookmarkStart w:id="53429" w:name="_ETM_Q100_396990"/>
      <w:bookmarkEnd w:id="53429"/>
      <w:r>
        <w:rPr>
          <w:rFonts w:hint="cs"/>
          <w:rtl/>
        </w:rPr>
        <w:t xml:space="preserve">אבל </w:t>
      </w:r>
      <w:bookmarkStart w:id="53430" w:name="_ETM_Q100_397170"/>
      <w:bookmarkEnd w:id="53430"/>
      <w:r>
        <w:rPr>
          <w:rFonts w:hint="cs"/>
          <w:rtl/>
        </w:rPr>
        <w:t xml:space="preserve">תקרא </w:t>
      </w:r>
      <w:bookmarkStart w:id="53431" w:name="_ETM_Q100_397470"/>
      <w:bookmarkEnd w:id="53431"/>
      <w:r>
        <w:rPr>
          <w:rFonts w:hint="cs"/>
          <w:rtl/>
        </w:rPr>
        <w:t xml:space="preserve">את </w:t>
      </w:r>
      <w:bookmarkStart w:id="53432" w:name="_ETM_Q100_397830"/>
      <w:bookmarkEnd w:id="53432"/>
      <w:r>
        <w:rPr>
          <w:rFonts w:hint="cs"/>
          <w:rtl/>
        </w:rPr>
        <w:t xml:space="preserve">הפרוטוקול </w:t>
      </w:r>
      <w:bookmarkStart w:id="53433" w:name="_ETM_Q100_398280"/>
      <w:bookmarkEnd w:id="53433"/>
      <w:r>
        <w:rPr>
          <w:rFonts w:hint="cs"/>
          <w:rtl/>
        </w:rPr>
        <w:t xml:space="preserve">של מה </w:t>
      </w:r>
      <w:bookmarkStart w:id="53434" w:name="_ETM_Q100_398400"/>
      <w:bookmarkEnd w:id="53434"/>
      <w:r>
        <w:rPr>
          <w:rFonts w:hint="cs"/>
          <w:rtl/>
        </w:rPr>
        <w:t xml:space="preserve">שהלך </w:t>
      </w:r>
      <w:bookmarkStart w:id="53435" w:name="_ETM_Q100_398790"/>
      <w:bookmarkEnd w:id="53435"/>
      <w:r>
        <w:rPr>
          <w:rFonts w:hint="cs"/>
          <w:rtl/>
        </w:rPr>
        <w:t xml:space="preserve">סביב זה. לא משנה, אני </w:t>
      </w:r>
      <w:bookmarkStart w:id="53436" w:name="_ETM_Q100_398030"/>
      <w:bookmarkStart w:id="53437" w:name="_ETM_Q100_399300"/>
      <w:bookmarkStart w:id="53438" w:name="_ETM_Q100_399450"/>
      <w:bookmarkStart w:id="53439" w:name="_ETM_Q100_400140"/>
      <w:bookmarkStart w:id="53440" w:name="_ETM_Q100_400410"/>
      <w:bookmarkEnd w:id="53436"/>
      <w:bookmarkEnd w:id="53437"/>
      <w:bookmarkEnd w:id="53438"/>
      <w:bookmarkEnd w:id="53439"/>
      <w:bookmarkEnd w:id="53440"/>
      <w:r>
        <w:rPr>
          <w:rFonts w:hint="cs"/>
          <w:rtl/>
        </w:rPr>
        <w:t xml:space="preserve">לא </w:t>
      </w:r>
      <w:bookmarkStart w:id="53441" w:name="_ETM_Q100_400530"/>
      <w:bookmarkEnd w:id="53441"/>
      <w:r>
        <w:rPr>
          <w:rFonts w:hint="cs"/>
          <w:rtl/>
        </w:rPr>
        <w:t xml:space="preserve">רוצה </w:t>
      </w:r>
      <w:bookmarkStart w:id="53442" w:name="_ETM_Q100_400800"/>
      <w:bookmarkEnd w:id="53442"/>
      <w:r>
        <w:rPr>
          <w:rFonts w:hint="cs"/>
          <w:rtl/>
        </w:rPr>
        <w:t xml:space="preserve">להתערב </w:t>
      </w:r>
      <w:bookmarkStart w:id="53443" w:name="_ETM_Q100_401340"/>
      <w:bookmarkEnd w:id="53443"/>
      <w:r>
        <w:rPr>
          <w:rFonts w:hint="cs"/>
          <w:rtl/>
        </w:rPr>
        <w:t>לך.</w:t>
      </w:r>
    </w:p>
    <w:p w:rsidR="00BB59CD" w:rsidRDefault="00BB59CD" w:rsidP="00BB59CD">
      <w:pPr>
        <w:rPr>
          <w:rtl/>
        </w:rPr>
      </w:pPr>
    </w:p>
    <w:p w:rsidR="00BB59CD" w:rsidRDefault="00BB59CD" w:rsidP="00BB59CD">
      <w:pPr>
        <w:pStyle w:val="-"/>
        <w:keepNext/>
        <w:rPr>
          <w:rtl/>
        </w:rPr>
      </w:pPr>
      <w:bookmarkStart w:id="53444" w:name="ET_speakercontinue_5787_14"/>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53444"/>
    </w:p>
    <w:p w:rsidR="00BB59CD" w:rsidRDefault="00BB59CD" w:rsidP="00337201">
      <w:pPr>
        <w:rPr>
          <w:rtl/>
        </w:rPr>
      </w:pPr>
    </w:p>
    <w:p w:rsidR="00BB59CD" w:rsidRDefault="00BB59CD" w:rsidP="00BB59CD">
      <w:pPr>
        <w:rPr>
          <w:rtl/>
        </w:rPr>
      </w:pPr>
      <w:bookmarkStart w:id="53445" w:name="_ETM_Q100_404035"/>
      <w:bookmarkEnd w:id="53445"/>
      <w:r>
        <w:rPr>
          <w:rFonts w:hint="cs"/>
          <w:rtl/>
        </w:rPr>
        <w:t xml:space="preserve">לא, לא. </w:t>
      </w:r>
      <w:bookmarkStart w:id="53446" w:name="_ETM_Q100_401400"/>
      <w:bookmarkEnd w:id="53446"/>
      <w:r>
        <w:rPr>
          <w:rFonts w:hint="cs"/>
          <w:rtl/>
        </w:rPr>
        <w:t>מאה אחוז, אני מודה לך על הדיו</w:t>
      </w:r>
      <w:bookmarkStart w:id="53447" w:name="_ETM_Q100_402441"/>
      <w:bookmarkEnd w:id="53447"/>
      <w:r>
        <w:rPr>
          <w:rFonts w:hint="cs"/>
          <w:rtl/>
        </w:rPr>
        <w:t>ן.</w:t>
      </w:r>
    </w:p>
    <w:p w:rsidR="00BB59CD" w:rsidRDefault="00BB59CD" w:rsidP="00BB59CD">
      <w:pPr>
        <w:rPr>
          <w:rtl/>
        </w:rPr>
      </w:pPr>
      <w:bookmarkStart w:id="53448" w:name="_ETM_Q100_403443"/>
      <w:bookmarkStart w:id="53449" w:name="_ETM_Q100_403524"/>
      <w:bookmarkEnd w:id="53448"/>
      <w:bookmarkEnd w:id="53449"/>
    </w:p>
    <w:p w:rsidR="00BB59CD" w:rsidRDefault="00BB59CD" w:rsidP="00BB59CD">
      <w:pPr>
        <w:rPr>
          <w:rtl/>
        </w:rPr>
      </w:pPr>
      <w:bookmarkStart w:id="53450" w:name="_ETM_Q100_409547"/>
      <w:bookmarkStart w:id="53451" w:name="_ETM_Q100_409611"/>
      <w:bookmarkEnd w:id="53450"/>
      <w:bookmarkEnd w:id="53451"/>
      <w:r>
        <w:rPr>
          <w:rFonts w:hint="cs"/>
          <w:rtl/>
        </w:rPr>
        <w:t xml:space="preserve">עכשיו </w:t>
      </w:r>
      <w:bookmarkStart w:id="53452" w:name="_ETM_Q100_410633"/>
      <w:bookmarkStart w:id="53453" w:name="_ETM_Q100_405741"/>
      <w:bookmarkEnd w:id="53452"/>
      <w:bookmarkEnd w:id="53453"/>
      <w:r>
        <w:rPr>
          <w:rFonts w:hint="cs"/>
          <w:rtl/>
        </w:rPr>
        <w:t xml:space="preserve">נקרא את הדברים של חבר הכנסת </w:t>
      </w:r>
      <w:bookmarkStart w:id="53454" w:name="_ETM_Q100_407252"/>
      <w:bookmarkStart w:id="53455" w:name="_ETM_Q100_403595"/>
      <w:bookmarkStart w:id="53456" w:name="_ETM_Q100_403673"/>
      <w:bookmarkStart w:id="53457" w:name="_ETM_Q100_400991"/>
      <w:bookmarkStart w:id="53458" w:name="_ETM_Q100_400911"/>
      <w:bookmarkStart w:id="53459" w:name="_ETM_Q100_402090"/>
      <w:bookmarkStart w:id="53460" w:name="_ETM_Q100_402660"/>
      <w:bookmarkStart w:id="53461" w:name="_ETM_Q100_403290"/>
      <w:bookmarkStart w:id="53462" w:name="_ETM_Q100_403590"/>
      <w:bookmarkStart w:id="53463" w:name="_ETM_Q100_403860"/>
      <w:bookmarkStart w:id="53464" w:name="_ETM_Q100_403950"/>
      <w:bookmarkStart w:id="53465" w:name="_ETM_Q100_405100"/>
      <w:bookmarkStart w:id="53466" w:name="_ETM_Q100_405310"/>
      <w:bookmarkStart w:id="53467" w:name="_ETM_Q100_405400"/>
      <w:bookmarkStart w:id="53468" w:name="_ETM_Q100_405640"/>
      <w:bookmarkStart w:id="53469" w:name="_ETM_Q100_405790"/>
      <w:bookmarkStart w:id="53470" w:name="_ETM_Q100_406180"/>
      <w:bookmarkStart w:id="53471" w:name="_ETM_Q100_406330"/>
      <w:bookmarkStart w:id="53472" w:name="_ETM_Q100_406690"/>
      <w:bookmarkStart w:id="53473" w:name="_ETM_Q100_407020"/>
      <w:bookmarkStart w:id="53474" w:name="_ETM_Q100_407440"/>
      <w:bookmarkStart w:id="53475" w:name="_ETM_Q100_407740"/>
      <w:bookmarkStart w:id="53476" w:name="_ETM_Q100_408010"/>
      <w:bookmarkStart w:id="53477" w:name="_ETM_Q100_408280"/>
      <w:bookmarkStart w:id="53478" w:name="_ETM_Q100_405892"/>
      <w:bookmarkEnd w:id="53454"/>
      <w:bookmarkEnd w:id="53455"/>
      <w:bookmarkEnd w:id="53456"/>
      <w:bookmarkEnd w:id="53457"/>
      <w:bookmarkEnd w:id="53458"/>
      <w:bookmarkEnd w:id="53459"/>
      <w:bookmarkEnd w:id="53460"/>
      <w:bookmarkEnd w:id="53461"/>
      <w:bookmarkEnd w:id="53462"/>
      <w:bookmarkEnd w:id="53463"/>
      <w:bookmarkEnd w:id="53464"/>
      <w:bookmarkEnd w:id="53465"/>
      <w:bookmarkEnd w:id="53466"/>
      <w:bookmarkEnd w:id="53467"/>
      <w:bookmarkEnd w:id="53468"/>
      <w:bookmarkEnd w:id="53469"/>
      <w:bookmarkEnd w:id="53470"/>
      <w:bookmarkEnd w:id="53471"/>
      <w:bookmarkEnd w:id="53472"/>
      <w:bookmarkEnd w:id="53473"/>
      <w:bookmarkEnd w:id="53474"/>
      <w:bookmarkEnd w:id="53475"/>
      <w:bookmarkEnd w:id="53476"/>
      <w:bookmarkEnd w:id="53477"/>
      <w:bookmarkEnd w:id="53478"/>
      <w:r>
        <w:rPr>
          <w:rFonts w:hint="cs"/>
          <w:rtl/>
        </w:rPr>
        <w:t xml:space="preserve">דן </w:t>
      </w:r>
      <w:bookmarkStart w:id="53479" w:name="_ETM_Q100_408430"/>
      <w:bookmarkEnd w:id="53479"/>
      <w:r>
        <w:rPr>
          <w:rFonts w:hint="cs"/>
          <w:rtl/>
        </w:rPr>
        <w:t xml:space="preserve">מרידור, </w:t>
      </w:r>
      <w:bookmarkStart w:id="53480" w:name="_ETM_Q100_408850"/>
      <w:bookmarkEnd w:id="53480"/>
      <w:r>
        <w:rPr>
          <w:rFonts w:hint="cs"/>
          <w:rtl/>
        </w:rPr>
        <w:t xml:space="preserve">ששימש </w:t>
      </w:r>
      <w:bookmarkStart w:id="53481" w:name="_ETM_Q100_409240"/>
      <w:bookmarkEnd w:id="53481"/>
      <w:r>
        <w:rPr>
          <w:rFonts w:hint="cs"/>
          <w:rtl/>
        </w:rPr>
        <w:t xml:space="preserve">כשר </w:t>
      </w:r>
      <w:bookmarkStart w:id="53482" w:name="_ETM_Q100_409600"/>
      <w:bookmarkEnd w:id="53482"/>
      <w:r>
        <w:rPr>
          <w:rFonts w:hint="cs"/>
          <w:rtl/>
        </w:rPr>
        <w:t xml:space="preserve">המשפטים, </w:t>
      </w:r>
      <w:bookmarkStart w:id="53483" w:name="_ETM_Q100_410980"/>
      <w:bookmarkStart w:id="53484" w:name="_ETM_Q100_411400"/>
      <w:bookmarkStart w:id="53485" w:name="_ETM_Q100_412120"/>
      <w:bookmarkStart w:id="53486" w:name="_ETM_Q100_409602"/>
      <w:bookmarkEnd w:id="53483"/>
      <w:bookmarkEnd w:id="53484"/>
      <w:bookmarkEnd w:id="53485"/>
      <w:bookmarkEnd w:id="53486"/>
      <w:r>
        <w:rPr>
          <w:rFonts w:hint="cs"/>
          <w:rtl/>
        </w:rPr>
        <w:t xml:space="preserve">בדיון </w:t>
      </w:r>
      <w:bookmarkStart w:id="53487" w:name="_ETM_Q100_412540"/>
      <w:bookmarkEnd w:id="53487"/>
      <w:r>
        <w:rPr>
          <w:rFonts w:hint="cs"/>
          <w:rtl/>
        </w:rPr>
        <w:t xml:space="preserve">על </w:t>
      </w:r>
      <w:bookmarkStart w:id="53488" w:name="_ETM_Q100_412659"/>
      <w:bookmarkEnd w:id="53488"/>
      <w:r>
        <w:rPr>
          <w:rFonts w:hint="cs"/>
          <w:rtl/>
        </w:rPr>
        <w:t>חוק-יסוד</w:t>
      </w:r>
      <w:bookmarkStart w:id="53489" w:name="_ETM_Q100_411123"/>
      <w:bookmarkStart w:id="53490" w:name="_ETM_Q100_412840"/>
      <w:bookmarkEnd w:id="53489"/>
      <w:bookmarkEnd w:id="53490"/>
      <w:r>
        <w:rPr>
          <w:rFonts w:hint="cs"/>
          <w:rtl/>
        </w:rPr>
        <w:t xml:space="preserve">: </w:t>
      </w:r>
      <w:bookmarkStart w:id="53491" w:name="_ETM_Q100_413110"/>
      <w:bookmarkEnd w:id="53491"/>
      <w:r>
        <w:rPr>
          <w:rFonts w:hint="cs"/>
          <w:rtl/>
        </w:rPr>
        <w:t xml:space="preserve">חופש </w:t>
      </w:r>
      <w:bookmarkStart w:id="53492" w:name="_ETM_Q100_413620"/>
      <w:bookmarkEnd w:id="53492"/>
      <w:r>
        <w:rPr>
          <w:rFonts w:hint="cs"/>
          <w:rtl/>
        </w:rPr>
        <w:t xml:space="preserve">העיסוק </w:t>
      </w:r>
      <w:bookmarkStart w:id="53493" w:name="_ETM_Q100_414220"/>
      <w:bookmarkEnd w:id="53493"/>
      <w:r>
        <w:rPr>
          <w:rFonts w:hint="cs"/>
          <w:rtl/>
        </w:rPr>
        <w:t>וחוק</w:t>
      </w:r>
      <w:bookmarkStart w:id="53494" w:name="_ETM_Q100_414519"/>
      <w:bookmarkEnd w:id="53494"/>
      <w:r>
        <w:rPr>
          <w:rFonts w:hint="cs"/>
          <w:rtl/>
        </w:rPr>
        <w:t>-יסוד</w:t>
      </w:r>
      <w:bookmarkStart w:id="53495" w:name="_ETM_Q100_411553"/>
      <w:bookmarkEnd w:id="53495"/>
      <w:r>
        <w:rPr>
          <w:rFonts w:hint="cs"/>
          <w:rtl/>
        </w:rPr>
        <w:t xml:space="preserve">: </w:t>
      </w:r>
      <w:bookmarkStart w:id="53496" w:name="_ETM_Q100_414760"/>
      <w:bookmarkEnd w:id="53496"/>
      <w:r>
        <w:rPr>
          <w:rFonts w:hint="cs"/>
          <w:rtl/>
        </w:rPr>
        <w:t xml:space="preserve">כבוד </w:t>
      </w:r>
      <w:bookmarkStart w:id="53497" w:name="_ETM_Q100_415030"/>
      <w:bookmarkEnd w:id="53497"/>
      <w:r>
        <w:rPr>
          <w:rFonts w:hint="cs"/>
          <w:rtl/>
        </w:rPr>
        <w:t xml:space="preserve">האדם </w:t>
      </w:r>
      <w:bookmarkStart w:id="53498" w:name="_ETM_Q100_415569"/>
      <w:bookmarkEnd w:id="53498"/>
      <w:r>
        <w:rPr>
          <w:rFonts w:hint="cs"/>
          <w:rtl/>
        </w:rPr>
        <w:t>וחירותו.</w:t>
      </w:r>
      <w:bookmarkStart w:id="53499" w:name="_ETM_Q100_417079"/>
      <w:bookmarkEnd w:id="53499"/>
    </w:p>
    <w:p w:rsidR="00BB59CD" w:rsidRDefault="00BB59CD" w:rsidP="00BB59CD">
      <w:pPr>
        <w:rPr>
          <w:rtl/>
        </w:rPr>
      </w:pPr>
    </w:p>
    <w:p w:rsidR="00BB59CD" w:rsidRDefault="00BB59CD" w:rsidP="00BB59CD">
      <w:pPr>
        <w:rPr>
          <w:rtl/>
        </w:rPr>
      </w:pPr>
      <w:bookmarkStart w:id="53500" w:name="_ETM_Q100_414122"/>
      <w:bookmarkEnd w:id="53500"/>
      <w:r>
        <w:rPr>
          <w:rFonts w:hint="cs"/>
          <w:rtl/>
        </w:rPr>
        <w:t xml:space="preserve">"אדוני </w:t>
      </w:r>
      <w:bookmarkStart w:id="53501" w:name="_ETM_Q100_417349"/>
      <w:bookmarkEnd w:id="53501"/>
      <w:r>
        <w:rPr>
          <w:rFonts w:hint="cs"/>
          <w:rtl/>
        </w:rPr>
        <w:t>יושב</w:t>
      </w:r>
      <w:bookmarkStart w:id="53502" w:name="_ETM_Q100_417590"/>
      <w:bookmarkEnd w:id="53502"/>
      <w:r>
        <w:rPr>
          <w:rFonts w:hint="cs"/>
          <w:rtl/>
        </w:rPr>
        <w:t>-</w:t>
      </w:r>
      <w:bookmarkStart w:id="53503" w:name="_ETM_Q100_414402"/>
      <w:bookmarkEnd w:id="53503"/>
      <w:r>
        <w:rPr>
          <w:rFonts w:hint="cs"/>
          <w:rtl/>
        </w:rPr>
        <w:t xml:space="preserve">הראש, </w:t>
      </w:r>
      <w:bookmarkStart w:id="53504" w:name="_ETM_Q100_417919"/>
      <w:bookmarkEnd w:id="53504"/>
      <w:r>
        <w:rPr>
          <w:rFonts w:hint="cs"/>
          <w:rtl/>
        </w:rPr>
        <w:t xml:space="preserve">כנסת </w:t>
      </w:r>
      <w:bookmarkStart w:id="53505" w:name="_ETM_Q100_418189"/>
      <w:bookmarkEnd w:id="53505"/>
      <w:r>
        <w:rPr>
          <w:rFonts w:hint="cs"/>
          <w:rtl/>
        </w:rPr>
        <w:t>נכבדה,</w:t>
      </w:r>
      <w:bookmarkStart w:id="53506" w:name="_ETM_Q100_416713"/>
      <w:bookmarkEnd w:id="53506"/>
      <w:r>
        <w:rPr>
          <w:rFonts w:hint="cs"/>
          <w:rtl/>
        </w:rPr>
        <w:t xml:space="preserve"> </w:t>
      </w:r>
      <w:bookmarkStart w:id="53507" w:name="_ETM_Q100_418730"/>
      <w:bookmarkEnd w:id="53507"/>
      <w:r>
        <w:rPr>
          <w:rFonts w:hint="cs"/>
          <w:rtl/>
        </w:rPr>
        <w:t xml:space="preserve">אני </w:t>
      </w:r>
      <w:bookmarkStart w:id="53508" w:name="_ETM_Q100_418879"/>
      <w:bookmarkEnd w:id="53508"/>
      <w:r>
        <w:rPr>
          <w:rFonts w:hint="cs"/>
          <w:rtl/>
        </w:rPr>
        <w:t xml:space="preserve">מבקש </w:t>
      </w:r>
      <w:bookmarkStart w:id="53509" w:name="_ETM_Q100_419269"/>
      <w:bookmarkEnd w:id="53509"/>
      <w:r>
        <w:rPr>
          <w:rFonts w:hint="cs"/>
          <w:rtl/>
        </w:rPr>
        <w:t xml:space="preserve">לברך </w:t>
      </w:r>
      <w:bookmarkStart w:id="53510" w:name="_ETM_Q100_419840"/>
      <w:bookmarkEnd w:id="53510"/>
      <w:r>
        <w:rPr>
          <w:rFonts w:hint="cs"/>
          <w:rtl/>
        </w:rPr>
        <w:t xml:space="preserve">את </w:t>
      </w:r>
      <w:bookmarkStart w:id="53511" w:name="_ETM_Q100_419959"/>
      <w:bookmarkEnd w:id="53511"/>
      <w:r>
        <w:rPr>
          <w:rFonts w:hint="cs"/>
          <w:rtl/>
        </w:rPr>
        <w:t xml:space="preserve">חבר </w:t>
      </w:r>
      <w:bookmarkStart w:id="53512" w:name="_ETM_Q100_420200"/>
      <w:bookmarkEnd w:id="53512"/>
      <w:r>
        <w:rPr>
          <w:rFonts w:hint="cs"/>
          <w:rtl/>
        </w:rPr>
        <w:t xml:space="preserve">הכנסת </w:t>
      </w:r>
      <w:bookmarkStart w:id="53513" w:name="_ETM_Q100_420439"/>
      <w:bookmarkEnd w:id="53513"/>
      <w:r>
        <w:rPr>
          <w:rFonts w:hint="cs"/>
          <w:rtl/>
        </w:rPr>
        <w:t xml:space="preserve">רובינשטיין </w:t>
      </w:r>
      <w:bookmarkStart w:id="53514" w:name="_ETM_Q100_421189"/>
      <w:bookmarkEnd w:id="53514"/>
      <w:r>
        <w:rPr>
          <w:rFonts w:hint="cs"/>
          <w:rtl/>
        </w:rPr>
        <w:t>ו</w:t>
      </w:r>
      <w:bookmarkStart w:id="53515" w:name="_ETM_Q100_422230"/>
      <w:bookmarkEnd w:id="53515"/>
      <w:r>
        <w:rPr>
          <w:rFonts w:hint="cs"/>
          <w:rtl/>
        </w:rPr>
        <w:t>את יושב-ר</w:t>
      </w:r>
      <w:bookmarkStart w:id="53516" w:name="_ETM_Q100_419923"/>
      <w:bookmarkEnd w:id="53516"/>
      <w:r>
        <w:rPr>
          <w:rFonts w:hint="cs"/>
          <w:rtl/>
        </w:rPr>
        <w:t>א</w:t>
      </w:r>
      <w:bookmarkStart w:id="53517" w:name="_ETM_Q100_422963"/>
      <w:bookmarkEnd w:id="53517"/>
      <w:r>
        <w:rPr>
          <w:rFonts w:hint="cs"/>
          <w:rtl/>
        </w:rPr>
        <w:t xml:space="preserve">ש </w:t>
      </w:r>
      <w:bookmarkStart w:id="53518" w:name="_ETM_Q100_422529"/>
      <w:bookmarkEnd w:id="53518"/>
      <w:r>
        <w:rPr>
          <w:rFonts w:hint="cs"/>
          <w:rtl/>
        </w:rPr>
        <w:t xml:space="preserve">ועדת </w:t>
      </w:r>
      <w:bookmarkStart w:id="53519" w:name="_ETM_Q100_422920"/>
      <w:bookmarkStart w:id="53520" w:name="_ETM_Q100_423129"/>
      <w:bookmarkEnd w:id="53519"/>
      <w:bookmarkEnd w:id="53520"/>
      <w:r>
        <w:rPr>
          <w:rFonts w:hint="cs"/>
          <w:rtl/>
        </w:rPr>
        <w:t>החוקה, חוק</w:t>
      </w:r>
      <w:bookmarkStart w:id="53521" w:name="_ETM_Q100_421423"/>
      <w:bookmarkEnd w:id="53521"/>
      <w:r>
        <w:rPr>
          <w:rFonts w:hint="cs"/>
          <w:rtl/>
        </w:rPr>
        <w:t xml:space="preserve"> </w:t>
      </w:r>
      <w:bookmarkStart w:id="53522" w:name="_ETM_Q100_423430"/>
      <w:bookmarkEnd w:id="53522"/>
      <w:r>
        <w:rPr>
          <w:rFonts w:hint="cs"/>
          <w:rtl/>
        </w:rPr>
        <w:t xml:space="preserve">ומשפט, </w:t>
      </w:r>
      <w:bookmarkStart w:id="53523" w:name="_ETM_Q100_424060"/>
      <w:bookmarkEnd w:id="53523"/>
      <w:r>
        <w:rPr>
          <w:rFonts w:hint="cs"/>
          <w:rtl/>
        </w:rPr>
        <w:t>ח</w:t>
      </w:r>
      <w:bookmarkStart w:id="53524" w:name="_ETM_Q100_424299"/>
      <w:bookmarkStart w:id="53525" w:name="_ETM_Q100_424659"/>
      <w:bookmarkStart w:id="53526" w:name="_ETM_Q100_421933"/>
      <w:bookmarkEnd w:id="53524"/>
      <w:bookmarkEnd w:id="53525"/>
      <w:bookmarkEnd w:id="53526"/>
      <w:r>
        <w:rPr>
          <w:rFonts w:hint="cs"/>
          <w:rtl/>
        </w:rPr>
        <w:t xml:space="preserve">בר הכנסת </w:t>
      </w:r>
      <w:bookmarkStart w:id="53527" w:name="_ETM_Q100_423405"/>
      <w:bookmarkEnd w:id="53527"/>
      <w:r>
        <w:rPr>
          <w:rFonts w:hint="cs"/>
          <w:rtl/>
        </w:rPr>
        <w:t xml:space="preserve">אוריאל </w:t>
      </w:r>
      <w:bookmarkStart w:id="53528" w:name="_ETM_Q100_421114"/>
      <w:bookmarkEnd w:id="53528"/>
      <w:r>
        <w:rPr>
          <w:rFonts w:hint="cs"/>
          <w:rtl/>
        </w:rPr>
        <w:t>לין</w:t>
      </w:r>
      <w:bookmarkStart w:id="53529" w:name="_ETM_Q100_425910"/>
      <w:bookmarkEnd w:id="53529"/>
      <w:r>
        <w:rPr>
          <w:rFonts w:hint="cs"/>
          <w:rtl/>
        </w:rPr>
        <w:t xml:space="preserve"> </w:t>
      </w:r>
      <w:bookmarkStart w:id="53530" w:name="_ETM_Q100_426660"/>
      <w:bookmarkEnd w:id="53530"/>
      <w:r>
        <w:rPr>
          <w:rFonts w:hint="cs"/>
          <w:rtl/>
        </w:rPr>
        <w:t xml:space="preserve">- - - על </w:t>
      </w:r>
      <w:bookmarkStart w:id="53531" w:name="_ETM_Q100_426840"/>
      <w:bookmarkEnd w:id="53531"/>
      <w:r>
        <w:rPr>
          <w:rFonts w:hint="cs"/>
          <w:rtl/>
        </w:rPr>
        <w:t xml:space="preserve">יוזמתו </w:t>
      </w:r>
      <w:bookmarkStart w:id="53532" w:name="_ETM_Q100_427530"/>
      <w:bookmarkEnd w:id="53532"/>
      <w:r>
        <w:rPr>
          <w:rFonts w:hint="cs"/>
          <w:rtl/>
        </w:rPr>
        <w:t xml:space="preserve">ועל </w:t>
      </w:r>
      <w:bookmarkStart w:id="53533" w:name="_ETM_Q100_428190"/>
      <w:bookmarkEnd w:id="53533"/>
      <w:r>
        <w:rPr>
          <w:rFonts w:hint="cs"/>
          <w:rtl/>
        </w:rPr>
        <w:t xml:space="preserve">טיפולו </w:t>
      </w:r>
      <w:bookmarkStart w:id="53534" w:name="_ETM_Q100_428670"/>
      <w:bookmarkEnd w:id="53534"/>
      <w:r>
        <w:rPr>
          <w:rFonts w:hint="cs"/>
          <w:rtl/>
        </w:rPr>
        <w:t xml:space="preserve">המסור </w:t>
      </w:r>
      <w:bookmarkStart w:id="53535" w:name="_ETM_Q100_429090"/>
      <w:bookmarkEnd w:id="53535"/>
      <w:r>
        <w:rPr>
          <w:rFonts w:hint="cs"/>
          <w:rtl/>
        </w:rPr>
        <w:t xml:space="preserve">והרציני </w:t>
      </w:r>
      <w:bookmarkStart w:id="53536" w:name="_ETM_Q100_429569"/>
      <w:bookmarkEnd w:id="53536"/>
      <w:r>
        <w:rPr>
          <w:rFonts w:hint="cs"/>
          <w:rtl/>
        </w:rPr>
        <w:t xml:space="preserve">בהצעות </w:t>
      </w:r>
      <w:bookmarkStart w:id="53537" w:name="_ETM_Q100_430080"/>
      <w:bookmarkEnd w:id="53537"/>
      <w:r>
        <w:rPr>
          <w:rFonts w:hint="cs"/>
          <w:rtl/>
        </w:rPr>
        <w:t xml:space="preserve">החוק </w:t>
      </w:r>
      <w:bookmarkStart w:id="53538" w:name="_ETM_Q100_430880"/>
      <w:bookmarkEnd w:id="53538"/>
      <w:r>
        <w:rPr>
          <w:rFonts w:hint="cs"/>
          <w:rtl/>
        </w:rPr>
        <w:t xml:space="preserve">המונחות </w:t>
      </w:r>
      <w:bookmarkStart w:id="53539" w:name="_ETM_Q100_431390"/>
      <w:bookmarkEnd w:id="53539"/>
      <w:r>
        <w:rPr>
          <w:rFonts w:hint="cs"/>
          <w:rtl/>
        </w:rPr>
        <w:t xml:space="preserve">לפנינו, </w:t>
      </w:r>
      <w:bookmarkStart w:id="53540" w:name="_ETM_Q100_431930"/>
      <w:bookmarkEnd w:id="53540"/>
      <w:r>
        <w:rPr>
          <w:rFonts w:hint="cs"/>
          <w:rtl/>
        </w:rPr>
        <w:t>ש</w:t>
      </w:r>
      <w:bookmarkStart w:id="53541" w:name="_ETM_Q100_432080"/>
      <w:bookmarkStart w:id="53542" w:name="_ETM_Q100_430154"/>
      <w:bookmarkEnd w:id="53541"/>
      <w:bookmarkEnd w:id="53542"/>
      <w:r>
        <w:rPr>
          <w:rFonts w:hint="cs"/>
          <w:rtl/>
        </w:rPr>
        <w:t xml:space="preserve">לפי </w:t>
      </w:r>
      <w:bookmarkStart w:id="53543" w:name="_ETM_Q100_432260"/>
      <w:bookmarkEnd w:id="53543"/>
      <w:r>
        <w:rPr>
          <w:rFonts w:hint="cs"/>
          <w:rtl/>
        </w:rPr>
        <w:t>הערכתי</w:t>
      </w:r>
      <w:bookmarkStart w:id="53544" w:name="_ETM_Q100_432680"/>
      <w:bookmarkEnd w:id="53544"/>
      <w:r>
        <w:rPr>
          <w:rFonts w:hint="cs"/>
          <w:rtl/>
        </w:rPr>
        <w:t xml:space="preserve"> היא אחת </w:t>
      </w:r>
      <w:bookmarkStart w:id="53545" w:name="_ETM_Q100_432950"/>
      <w:bookmarkEnd w:id="53545"/>
      <w:r>
        <w:rPr>
          <w:rFonts w:hint="cs"/>
          <w:rtl/>
        </w:rPr>
        <w:t xml:space="preserve">מהצעות </w:t>
      </w:r>
      <w:bookmarkStart w:id="53546" w:name="_ETM_Q100_433280"/>
      <w:bookmarkEnd w:id="53546"/>
      <w:r>
        <w:rPr>
          <w:rFonts w:hint="cs"/>
          <w:rtl/>
        </w:rPr>
        <w:t xml:space="preserve">החוק </w:t>
      </w:r>
      <w:bookmarkStart w:id="53547" w:name="_ETM_Q100_433490"/>
      <w:bookmarkEnd w:id="53547"/>
      <w:r>
        <w:rPr>
          <w:rFonts w:hint="cs"/>
          <w:rtl/>
        </w:rPr>
        <w:t xml:space="preserve">החשובות </w:t>
      </w:r>
      <w:bookmarkStart w:id="53548" w:name="_ETM_Q100_435000"/>
      <w:bookmarkEnd w:id="53548"/>
      <w:r>
        <w:rPr>
          <w:rFonts w:hint="cs"/>
          <w:rtl/>
        </w:rPr>
        <w:t xml:space="preserve">שהבית </w:t>
      </w:r>
      <w:bookmarkStart w:id="53549" w:name="_ETM_Q100_435510"/>
      <w:bookmarkEnd w:id="53549"/>
      <w:r>
        <w:rPr>
          <w:rFonts w:hint="cs"/>
          <w:rtl/>
        </w:rPr>
        <w:t xml:space="preserve">הזה </w:t>
      </w:r>
      <w:bookmarkStart w:id="53550" w:name="_ETM_Q100_435720"/>
      <w:bookmarkEnd w:id="53550"/>
      <w:r>
        <w:rPr>
          <w:rFonts w:hint="cs"/>
          <w:rtl/>
        </w:rPr>
        <w:t xml:space="preserve">עומד </w:t>
      </w:r>
      <w:bookmarkStart w:id="53551" w:name="_ETM_Q100_435989"/>
      <w:bookmarkEnd w:id="53551"/>
      <w:r>
        <w:rPr>
          <w:rFonts w:hint="cs"/>
          <w:rtl/>
        </w:rPr>
        <w:t xml:space="preserve">לקבל, </w:t>
      </w:r>
      <w:bookmarkStart w:id="53552" w:name="_ETM_Q100_436939"/>
      <w:bookmarkEnd w:id="53552"/>
      <w:r>
        <w:rPr>
          <w:rFonts w:hint="cs"/>
          <w:rtl/>
        </w:rPr>
        <w:t>כ</w:t>
      </w:r>
      <w:bookmarkStart w:id="53553" w:name="_ETM_Q100_437210"/>
      <w:bookmarkStart w:id="53554" w:name="_ETM_Q100_434954"/>
      <w:bookmarkEnd w:id="53553"/>
      <w:bookmarkEnd w:id="53554"/>
      <w:r>
        <w:rPr>
          <w:rFonts w:hint="cs"/>
          <w:rtl/>
        </w:rPr>
        <w:t xml:space="preserve">ך אני </w:t>
      </w:r>
      <w:bookmarkStart w:id="53555" w:name="_ETM_Q100_437330"/>
      <w:bookmarkEnd w:id="53555"/>
      <w:r>
        <w:rPr>
          <w:rFonts w:hint="cs"/>
          <w:rtl/>
        </w:rPr>
        <w:t>מקווה.</w:t>
      </w:r>
      <w:bookmarkStart w:id="53556" w:name="_ETM_Q100_438110"/>
      <w:bookmarkStart w:id="53557" w:name="_ETM_Q100_440059"/>
      <w:bookmarkStart w:id="53558" w:name="_ETM_Q100_440118"/>
      <w:bookmarkStart w:id="53559" w:name="_ETM_Q100_440227"/>
      <w:bookmarkStart w:id="53560" w:name="_ETM_Q100_440282"/>
      <w:bookmarkStart w:id="53561" w:name="_ETM_Q100_436534"/>
      <w:bookmarkEnd w:id="53556"/>
      <w:bookmarkEnd w:id="53557"/>
      <w:bookmarkEnd w:id="53558"/>
      <w:bookmarkEnd w:id="53559"/>
      <w:bookmarkEnd w:id="53560"/>
      <w:bookmarkEnd w:id="53561"/>
      <w:r>
        <w:rPr>
          <w:rFonts w:hint="cs"/>
          <w:rtl/>
        </w:rPr>
        <w:t xml:space="preserve"> במידה </w:t>
      </w:r>
      <w:bookmarkStart w:id="53562" w:name="_ETM_Q100_438589"/>
      <w:bookmarkEnd w:id="53562"/>
      <w:r>
        <w:rPr>
          <w:rFonts w:hint="cs"/>
          <w:rtl/>
        </w:rPr>
        <w:t xml:space="preserve">רבה, </w:t>
      </w:r>
      <w:bookmarkStart w:id="53563" w:name="_ETM_Q100_438860"/>
      <w:bookmarkEnd w:id="53563"/>
      <w:r>
        <w:rPr>
          <w:rFonts w:hint="cs"/>
          <w:rtl/>
        </w:rPr>
        <w:t xml:space="preserve">היא </w:t>
      </w:r>
      <w:bookmarkStart w:id="53564" w:name="_ETM_Q100_438919"/>
      <w:bookmarkEnd w:id="53564"/>
      <w:r>
        <w:rPr>
          <w:rFonts w:hint="cs"/>
          <w:rtl/>
        </w:rPr>
        <w:t xml:space="preserve">תתקן </w:t>
      </w:r>
      <w:bookmarkStart w:id="53565" w:name="_ETM_Q100_439400"/>
      <w:bookmarkEnd w:id="53565"/>
      <w:r>
        <w:rPr>
          <w:rFonts w:hint="cs"/>
          <w:rtl/>
        </w:rPr>
        <w:t xml:space="preserve">כמה </w:t>
      </w:r>
      <w:bookmarkStart w:id="53566" w:name="_ETM_Q100_439759"/>
      <w:bookmarkEnd w:id="53566"/>
      <w:r>
        <w:rPr>
          <w:rFonts w:hint="cs"/>
          <w:rtl/>
        </w:rPr>
        <w:t xml:space="preserve">קלקולים </w:t>
      </w:r>
      <w:bookmarkStart w:id="53567" w:name="_ETM_Q100_440240"/>
      <w:bookmarkEnd w:id="53567"/>
      <w:r>
        <w:rPr>
          <w:rFonts w:hint="cs"/>
          <w:rtl/>
        </w:rPr>
        <w:t xml:space="preserve">שקלקלנו </w:t>
      </w:r>
      <w:bookmarkStart w:id="53568" w:name="_ETM_Q100_440870"/>
      <w:bookmarkEnd w:id="53568"/>
      <w:r>
        <w:rPr>
          <w:rFonts w:hint="cs"/>
          <w:rtl/>
        </w:rPr>
        <w:t xml:space="preserve">בעת </w:t>
      </w:r>
      <w:bookmarkStart w:id="53569" w:name="_ETM_Q100_441169"/>
      <w:bookmarkEnd w:id="53569"/>
      <w:r>
        <w:rPr>
          <w:rFonts w:hint="cs"/>
          <w:rtl/>
        </w:rPr>
        <w:t xml:space="preserve">האחרונה, </w:t>
      </w:r>
      <w:bookmarkStart w:id="53570" w:name="_ETM_Q100_442249"/>
      <w:bookmarkEnd w:id="53570"/>
      <w:r>
        <w:rPr>
          <w:rFonts w:hint="cs"/>
          <w:rtl/>
        </w:rPr>
        <w:t xml:space="preserve">עם </w:t>
      </w:r>
      <w:bookmarkStart w:id="53571" w:name="_ETM_Q100_442460"/>
      <w:bookmarkEnd w:id="53571"/>
      <w:r>
        <w:rPr>
          <w:rFonts w:hint="cs"/>
          <w:rtl/>
        </w:rPr>
        <w:t xml:space="preserve">כל </w:t>
      </w:r>
      <w:bookmarkStart w:id="53572" w:name="_ETM_Q100_443180"/>
      <w:bookmarkEnd w:id="53572"/>
      <w:r>
        <w:rPr>
          <w:rFonts w:hint="cs"/>
          <w:rtl/>
        </w:rPr>
        <w:t>הכבוד,</w:t>
      </w:r>
      <w:bookmarkStart w:id="53573" w:name="_ETM_Q100_441303"/>
      <w:bookmarkEnd w:id="53573"/>
      <w:r>
        <w:rPr>
          <w:rFonts w:hint="cs"/>
          <w:rtl/>
        </w:rPr>
        <w:t xml:space="preserve"> </w:t>
      </w:r>
      <w:bookmarkStart w:id="53574" w:name="_ETM_Q100_443539"/>
      <w:bookmarkEnd w:id="53574"/>
      <w:r>
        <w:rPr>
          <w:rFonts w:hint="cs"/>
          <w:rtl/>
        </w:rPr>
        <w:t xml:space="preserve">גם </w:t>
      </w:r>
      <w:bookmarkStart w:id="53575" w:name="_ETM_Q100_443749"/>
      <w:bookmarkEnd w:id="53575"/>
      <w:r>
        <w:rPr>
          <w:rFonts w:hint="cs"/>
          <w:rtl/>
        </w:rPr>
        <w:t xml:space="preserve">היום </w:t>
      </w:r>
      <w:bookmarkStart w:id="53576" w:name="_ETM_Q100_444110"/>
      <w:bookmarkEnd w:id="53576"/>
      <w:r>
        <w:rPr>
          <w:rFonts w:hint="cs"/>
          <w:rtl/>
        </w:rPr>
        <w:t xml:space="preserve">בחוקים </w:t>
      </w:r>
      <w:bookmarkStart w:id="53577" w:name="_ETM_Q100_444469"/>
      <w:bookmarkEnd w:id="53577"/>
      <w:r>
        <w:rPr>
          <w:rFonts w:hint="cs"/>
          <w:rtl/>
        </w:rPr>
        <w:t>שנצטר</w:t>
      </w:r>
      <w:bookmarkStart w:id="53578" w:name="_ETM_Q100_443842"/>
      <w:bookmarkEnd w:id="53578"/>
      <w:r>
        <w:rPr>
          <w:rFonts w:hint="cs"/>
          <w:rtl/>
        </w:rPr>
        <w:t xml:space="preserve">ך </w:t>
      </w:r>
      <w:bookmarkStart w:id="53579" w:name="_ETM_Q100_444979"/>
      <w:bookmarkEnd w:id="53579"/>
      <w:r>
        <w:rPr>
          <w:rFonts w:hint="cs"/>
          <w:rtl/>
        </w:rPr>
        <w:t xml:space="preserve">הרבה </w:t>
      </w:r>
      <w:bookmarkStart w:id="53580" w:name="_ETM_Q100_445249"/>
      <w:bookmarkEnd w:id="53580"/>
      <w:r>
        <w:rPr>
          <w:rFonts w:hint="cs"/>
          <w:rtl/>
        </w:rPr>
        <w:t xml:space="preserve">זמן </w:t>
      </w:r>
      <w:bookmarkStart w:id="53581" w:name="_ETM_Q100_445460"/>
      <w:bookmarkEnd w:id="53581"/>
      <w:r>
        <w:rPr>
          <w:rFonts w:hint="cs"/>
          <w:rtl/>
        </w:rPr>
        <w:t xml:space="preserve">לחפש </w:t>
      </w:r>
      <w:bookmarkStart w:id="53582" w:name="_ETM_Q100_445849"/>
      <w:bookmarkEnd w:id="53582"/>
      <w:r>
        <w:rPr>
          <w:rFonts w:hint="cs"/>
          <w:rtl/>
        </w:rPr>
        <w:t xml:space="preserve">דרכים </w:t>
      </w:r>
      <w:bookmarkStart w:id="53583" w:name="_ETM_Q100_446779"/>
      <w:bookmarkEnd w:id="53583"/>
      <w:r>
        <w:rPr>
          <w:rFonts w:hint="cs"/>
          <w:rtl/>
        </w:rPr>
        <w:t xml:space="preserve">לתקן </w:t>
      </w:r>
      <w:bookmarkStart w:id="53584" w:name="_ETM_Q100_447199"/>
      <w:bookmarkEnd w:id="53584"/>
      <w:r>
        <w:rPr>
          <w:rFonts w:hint="cs"/>
          <w:rtl/>
        </w:rPr>
        <w:t xml:space="preserve">אותם. </w:t>
      </w:r>
      <w:bookmarkStart w:id="53585" w:name="_ETM_Q100_448029"/>
      <w:bookmarkEnd w:id="53585"/>
    </w:p>
    <w:p w:rsidR="00BB59CD" w:rsidRDefault="00BB59CD" w:rsidP="00BB59CD">
      <w:pPr>
        <w:rPr>
          <w:rtl/>
        </w:rPr>
      </w:pPr>
    </w:p>
    <w:p w:rsidR="00BB59CD" w:rsidRDefault="00BB59CD" w:rsidP="00BB59CD">
      <w:pPr>
        <w:rPr>
          <w:rtl/>
        </w:rPr>
      </w:pPr>
      <w:r>
        <w:rPr>
          <w:rFonts w:hint="cs"/>
          <w:rtl/>
        </w:rPr>
        <w:t xml:space="preserve">"תפקידה </w:t>
      </w:r>
      <w:bookmarkStart w:id="53586" w:name="_ETM_Q100_448390"/>
      <w:bookmarkEnd w:id="53586"/>
      <w:r>
        <w:rPr>
          <w:rFonts w:hint="cs"/>
          <w:rtl/>
        </w:rPr>
        <w:t xml:space="preserve">של </w:t>
      </w:r>
      <w:bookmarkStart w:id="53587" w:name="_ETM_Q100_448540"/>
      <w:bookmarkEnd w:id="53587"/>
      <w:r>
        <w:rPr>
          <w:rFonts w:hint="cs"/>
          <w:rtl/>
        </w:rPr>
        <w:t xml:space="preserve">הכנסת </w:t>
      </w:r>
      <w:bookmarkStart w:id="53588" w:name="_ETM_Q100_448960"/>
      <w:bookmarkEnd w:id="53588"/>
      <w:r>
        <w:rPr>
          <w:rFonts w:hint="cs"/>
          <w:rtl/>
        </w:rPr>
        <w:t>אינו</w:t>
      </w:r>
      <w:bookmarkStart w:id="53589" w:name="_ETM_Q100_445383"/>
      <w:bookmarkEnd w:id="53589"/>
      <w:r>
        <w:rPr>
          <w:rFonts w:hint="cs"/>
          <w:rtl/>
        </w:rPr>
        <w:t xml:space="preserve"> </w:t>
      </w:r>
      <w:bookmarkStart w:id="53590" w:name="_ETM_Q100_450070"/>
      <w:bookmarkEnd w:id="53590"/>
      <w:r>
        <w:rPr>
          <w:rFonts w:hint="cs"/>
          <w:rtl/>
        </w:rPr>
        <w:t xml:space="preserve">רק </w:t>
      </w:r>
      <w:bookmarkStart w:id="53591" w:name="_ETM_Q100_450460"/>
      <w:bookmarkEnd w:id="53591"/>
      <w:r>
        <w:rPr>
          <w:rFonts w:hint="cs"/>
          <w:rtl/>
        </w:rPr>
        <w:t xml:space="preserve">לדאוג </w:t>
      </w:r>
      <w:bookmarkStart w:id="53592" w:name="_ETM_Q100_451300"/>
      <w:bookmarkEnd w:id="53592"/>
      <w:r>
        <w:rPr>
          <w:rFonts w:hint="cs"/>
          <w:rtl/>
        </w:rPr>
        <w:t xml:space="preserve">לניהול </w:t>
      </w:r>
      <w:bookmarkStart w:id="53593" w:name="_ETM_Q100_451930"/>
      <w:bookmarkEnd w:id="53593"/>
      <w:r>
        <w:rPr>
          <w:rFonts w:hint="cs"/>
          <w:rtl/>
        </w:rPr>
        <w:t xml:space="preserve">השלטון </w:t>
      </w:r>
      <w:bookmarkStart w:id="53594" w:name="_ETM_Q100_452320"/>
      <w:bookmarkEnd w:id="53594"/>
      <w:r>
        <w:rPr>
          <w:rFonts w:hint="cs"/>
          <w:rtl/>
        </w:rPr>
        <w:t>במדינה.</w:t>
      </w:r>
      <w:bookmarkStart w:id="53595" w:name="_ETM_Q100_454283"/>
      <w:bookmarkEnd w:id="53595"/>
      <w:r>
        <w:rPr>
          <w:rFonts w:hint="cs"/>
          <w:rtl/>
        </w:rPr>
        <w:t xml:space="preserve"> </w:t>
      </w:r>
      <w:bookmarkStart w:id="53596" w:name="_ETM_Q100_453339"/>
      <w:bookmarkEnd w:id="53596"/>
      <w:r>
        <w:rPr>
          <w:rFonts w:hint="cs"/>
          <w:rtl/>
        </w:rPr>
        <w:t xml:space="preserve">את </w:t>
      </w:r>
      <w:bookmarkStart w:id="53597" w:name="_ETM_Q100_453490"/>
      <w:bookmarkEnd w:id="53597"/>
      <w:r>
        <w:rPr>
          <w:rFonts w:hint="cs"/>
          <w:rtl/>
        </w:rPr>
        <w:t xml:space="preserve">זה </w:t>
      </w:r>
      <w:bookmarkStart w:id="53598" w:name="_ETM_Q100_453640"/>
      <w:bookmarkEnd w:id="53598"/>
      <w:r>
        <w:rPr>
          <w:rFonts w:hint="cs"/>
          <w:rtl/>
        </w:rPr>
        <w:t xml:space="preserve">היא </w:t>
      </w:r>
      <w:bookmarkStart w:id="53599" w:name="_ETM_Q100_453700"/>
      <w:bookmarkEnd w:id="53599"/>
      <w:r>
        <w:rPr>
          <w:rFonts w:hint="cs"/>
          <w:rtl/>
        </w:rPr>
        <w:t xml:space="preserve">עושה </w:t>
      </w:r>
      <w:bookmarkStart w:id="53600" w:name="_ETM_Q100_454000"/>
      <w:bookmarkEnd w:id="53600"/>
      <w:r>
        <w:rPr>
          <w:rFonts w:hint="cs"/>
          <w:rtl/>
        </w:rPr>
        <w:t xml:space="preserve">באופן </w:t>
      </w:r>
      <w:bookmarkStart w:id="53601" w:name="_ETM_Q100_454360"/>
      <w:bookmarkEnd w:id="53601"/>
      <w:r>
        <w:rPr>
          <w:rFonts w:hint="cs"/>
          <w:rtl/>
        </w:rPr>
        <w:t xml:space="preserve">די </w:t>
      </w:r>
      <w:bookmarkStart w:id="53602" w:name="_ETM_Q100_454510"/>
      <w:bookmarkEnd w:id="53602"/>
      <w:r>
        <w:rPr>
          <w:rFonts w:hint="cs"/>
          <w:rtl/>
        </w:rPr>
        <w:t xml:space="preserve">מוצלח. </w:t>
      </w:r>
      <w:bookmarkStart w:id="53603" w:name="_ETM_Q100_455759"/>
      <w:bookmarkEnd w:id="53603"/>
      <w:r>
        <w:rPr>
          <w:rFonts w:hint="cs"/>
          <w:rtl/>
        </w:rPr>
        <w:t xml:space="preserve">הרבה </w:t>
      </w:r>
      <w:bookmarkStart w:id="53604" w:name="_ETM_Q100_456059"/>
      <w:bookmarkEnd w:id="53604"/>
      <w:r>
        <w:rPr>
          <w:rFonts w:hint="cs"/>
          <w:rtl/>
        </w:rPr>
        <w:t>חוקי</w:t>
      </w:r>
      <w:bookmarkStart w:id="53605" w:name="_ETM_Q100_456360"/>
      <w:bookmarkStart w:id="53606" w:name="_ETM_Q100_453653"/>
      <w:bookmarkEnd w:id="53605"/>
      <w:bookmarkEnd w:id="53606"/>
      <w:r>
        <w:rPr>
          <w:rFonts w:hint="cs"/>
          <w:rtl/>
        </w:rPr>
        <w:t xml:space="preserve">-יסוד </w:t>
      </w:r>
      <w:bookmarkStart w:id="53607" w:name="_ETM_Q100_456719"/>
      <w:bookmarkEnd w:id="53607"/>
      <w:r>
        <w:rPr>
          <w:rFonts w:hint="cs"/>
          <w:rtl/>
        </w:rPr>
        <w:t xml:space="preserve">וחוקים </w:t>
      </w:r>
      <w:bookmarkStart w:id="53608" w:name="_ETM_Q100_457080"/>
      <w:bookmarkEnd w:id="53608"/>
      <w:r>
        <w:rPr>
          <w:rFonts w:hint="cs"/>
          <w:rtl/>
        </w:rPr>
        <w:t xml:space="preserve">אחרים </w:t>
      </w:r>
      <w:bookmarkStart w:id="53609" w:name="_ETM_Q100_457499"/>
      <w:bookmarkEnd w:id="53609"/>
      <w:r>
        <w:rPr>
          <w:rFonts w:hint="cs"/>
          <w:rtl/>
        </w:rPr>
        <w:t xml:space="preserve">דואגים </w:t>
      </w:r>
      <w:bookmarkStart w:id="53610" w:name="_ETM_Q100_457889"/>
      <w:bookmarkEnd w:id="53610"/>
      <w:r>
        <w:rPr>
          <w:rFonts w:hint="cs"/>
          <w:rtl/>
        </w:rPr>
        <w:t>לממשלה,</w:t>
      </w:r>
      <w:bookmarkStart w:id="53611" w:name="_ETM_Q100_458894"/>
      <w:bookmarkEnd w:id="53611"/>
      <w:r>
        <w:rPr>
          <w:rFonts w:hint="cs"/>
          <w:rtl/>
        </w:rPr>
        <w:t xml:space="preserve"> </w:t>
      </w:r>
      <w:bookmarkStart w:id="53612" w:name="_ETM_Q100_458999"/>
      <w:bookmarkEnd w:id="53612"/>
      <w:r>
        <w:rPr>
          <w:rFonts w:hint="cs"/>
          <w:rtl/>
        </w:rPr>
        <w:t xml:space="preserve">דואגים </w:t>
      </w:r>
      <w:bookmarkStart w:id="53613" w:name="_ETM_Q100_459360"/>
      <w:bookmarkEnd w:id="53613"/>
      <w:r>
        <w:rPr>
          <w:rFonts w:hint="cs"/>
          <w:rtl/>
        </w:rPr>
        <w:t xml:space="preserve">לדרכי </w:t>
      </w:r>
      <w:bookmarkStart w:id="53614" w:name="_ETM_Q100_459719"/>
      <w:bookmarkEnd w:id="53614"/>
      <w:r>
        <w:rPr>
          <w:rFonts w:hint="cs"/>
          <w:rtl/>
        </w:rPr>
        <w:t xml:space="preserve">תפקודה </w:t>
      </w:r>
      <w:bookmarkStart w:id="53615" w:name="_ETM_Q100_460790"/>
      <w:bookmarkEnd w:id="53615"/>
      <w:r>
        <w:rPr>
          <w:rFonts w:hint="cs"/>
          <w:rtl/>
        </w:rPr>
        <w:t xml:space="preserve">ותפעולה. </w:t>
      </w:r>
      <w:bookmarkStart w:id="53616" w:name="_ETM_Q100_462100"/>
      <w:bookmarkEnd w:id="53616"/>
      <w:r>
        <w:rPr>
          <w:rFonts w:hint="cs"/>
          <w:rtl/>
        </w:rPr>
        <w:t xml:space="preserve">תפקידה </w:t>
      </w:r>
      <w:bookmarkStart w:id="53617" w:name="_ETM_Q100_462639"/>
      <w:bookmarkEnd w:id="53617"/>
      <w:r>
        <w:rPr>
          <w:rFonts w:hint="cs"/>
          <w:rtl/>
        </w:rPr>
        <w:t xml:space="preserve">של </w:t>
      </w:r>
      <w:bookmarkStart w:id="53618" w:name="_ETM_Q100_462820"/>
      <w:bookmarkEnd w:id="53618"/>
      <w:r>
        <w:rPr>
          <w:rFonts w:hint="cs"/>
          <w:rtl/>
        </w:rPr>
        <w:t xml:space="preserve">הכנסת </w:t>
      </w:r>
      <w:bookmarkStart w:id="53619" w:name="_ETM_Q100_463180"/>
      <w:bookmarkEnd w:id="53619"/>
      <w:r>
        <w:rPr>
          <w:rFonts w:hint="cs"/>
          <w:rtl/>
        </w:rPr>
        <w:t xml:space="preserve">איננו </w:t>
      </w:r>
      <w:bookmarkStart w:id="53620" w:name="_ETM_Q100_464110"/>
      <w:bookmarkEnd w:id="53620"/>
      <w:r>
        <w:rPr>
          <w:rFonts w:hint="cs"/>
          <w:rtl/>
        </w:rPr>
        <w:t xml:space="preserve">רק </w:t>
      </w:r>
      <w:bookmarkStart w:id="53621" w:name="_ETM_Q100_464440"/>
      <w:bookmarkEnd w:id="53621"/>
      <w:r>
        <w:rPr>
          <w:rFonts w:hint="cs"/>
          <w:rtl/>
        </w:rPr>
        <w:t xml:space="preserve">לשרת </w:t>
      </w:r>
      <w:bookmarkStart w:id="53622" w:name="_ETM_Q100_464860"/>
      <w:bookmarkEnd w:id="53622"/>
      <w:r>
        <w:rPr>
          <w:rFonts w:hint="cs"/>
          <w:rtl/>
        </w:rPr>
        <w:t xml:space="preserve">את </w:t>
      </w:r>
      <w:bookmarkStart w:id="53623" w:name="_ETM_Q100_465009"/>
      <w:bookmarkEnd w:id="53623"/>
      <w:r>
        <w:rPr>
          <w:rFonts w:hint="cs"/>
          <w:rtl/>
        </w:rPr>
        <w:t>רוב העם.</w:t>
      </w:r>
      <w:bookmarkStart w:id="53624" w:name="_ETM_Q100_463793"/>
      <w:bookmarkEnd w:id="53624"/>
      <w:r>
        <w:rPr>
          <w:rFonts w:hint="cs"/>
          <w:rtl/>
        </w:rPr>
        <w:t xml:space="preserve"> </w:t>
      </w:r>
      <w:bookmarkStart w:id="53625" w:name="_ETM_Q100_466240"/>
      <w:bookmarkEnd w:id="53625"/>
      <w:r>
        <w:rPr>
          <w:rFonts w:hint="cs"/>
          <w:rtl/>
        </w:rPr>
        <w:t xml:space="preserve">גם </w:t>
      </w:r>
      <w:bookmarkStart w:id="53626" w:name="_ETM_Q100_466509"/>
      <w:bookmarkEnd w:id="53626"/>
      <w:r>
        <w:rPr>
          <w:rFonts w:hint="cs"/>
          <w:rtl/>
        </w:rPr>
        <w:t xml:space="preserve">סמכותה </w:t>
      </w:r>
      <w:bookmarkStart w:id="53627" w:name="_ETM_Q100_466990"/>
      <w:bookmarkEnd w:id="53627"/>
      <w:r>
        <w:rPr>
          <w:rFonts w:hint="cs"/>
          <w:rtl/>
        </w:rPr>
        <w:t xml:space="preserve">של </w:t>
      </w:r>
      <w:bookmarkStart w:id="53628" w:name="_ETM_Q100_467169"/>
      <w:bookmarkEnd w:id="53628"/>
      <w:r>
        <w:rPr>
          <w:rFonts w:hint="cs"/>
          <w:rtl/>
        </w:rPr>
        <w:t xml:space="preserve">הכנסת </w:t>
      </w:r>
      <w:bookmarkStart w:id="53629" w:name="_ETM_Q100_467500"/>
      <w:bookmarkEnd w:id="53629"/>
      <w:r>
        <w:rPr>
          <w:rFonts w:hint="cs"/>
          <w:rtl/>
        </w:rPr>
        <w:t xml:space="preserve">לחוקק </w:t>
      </w:r>
      <w:bookmarkStart w:id="53630" w:name="_ETM_Q100_468100"/>
      <w:bookmarkEnd w:id="53630"/>
      <w:r>
        <w:rPr>
          <w:rFonts w:hint="cs"/>
          <w:rtl/>
        </w:rPr>
        <w:t xml:space="preserve">איננה </w:t>
      </w:r>
      <w:bookmarkStart w:id="53631" w:name="_ETM_Q100_469370"/>
      <w:bookmarkEnd w:id="53631"/>
      <w:r>
        <w:rPr>
          <w:rFonts w:hint="cs"/>
          <w:rtl/>
        </w:rPr>
        <w:t xml:space="preserve">בלתי </w:t>
      </w:r>
      <w:bookmarkStart w:id="53632" w:name="_ETM_Q100_469729"/>
      <w:bookmarkEnd w:id="53632"/>
      <w:r>
        <w:rPr>
          <w:rFonts w:hint="cs"/>
          <w:rtl/>
        </w:rPr>
        <w:t xml:space="preserve">מוגבלת, </w:t>
      </w:r>
      <w:bookmarkStart w:id="53633" w:name="_ETM_Q100_470990"/>
      <w:bookmarkEnd w:id="53633"/>
      <w:r>
        <w:rPr>
          <w:rFonts w:hint="cs"/>
          <w:rtl/>
        </w:rPr>
        <w:t xml:space="preserve">מפני </w:t>
      </w:r>
      <w:bookmarkStart w:id="53634" w:name="_ETM_Q100_471199"/>
      <w:bookmarkEnd w:id="53634"/>
      <w:r>
        <w:rPr>
          <w:rFonts w:hint="cs"/>
          <w:rtl/>
        </w:rPr>
        <w:t xml:space="preserve">שבכל </w:t>
      </w:r>
      <w:bookmarkStart w:id="53635" w:name="_ETM_Q100_471740"/>
      <w:bookmarkEnd w:id="53635"/>
      <w:r>
        <w:rPr>
          <w:rFonts w:hint="cs"/>
          <w:rtl/>
        </w:rPr>
        <w:t xml:space="preserve">משטר </w:t>
      </w:r>
      <w:bookmarkStart w:id="53636" w:name="_ETM_Q100_472039"/>
      <w:bookmarkEnd w:id="53636"/>
      <w:r>
        <w:rPr>
          <w:rFonts w:hint="cs"/>
          <w:rtl/>
        </w:rPr>
        <w:t xml:space="preserve">דמוקרטי </w:t>
      </w:r>
      <w:bookmarkStart w:id="53637" w:name="_ETM_Q100_472639"/>
      <w:bookmarkEnd w:id="53637"/>
      <w:r>
        <w:rPr>
          <w:rFonts w:hint="cs"/>
          <w:rtl/>
        </w:rPr>
        <w:t xml:space="preserve">יש </w:t>
      </w:r>
      <w:bookmarkStart w:id="53638" w:name="_ETM_Q100_472819"/>
      <w:bookmarkEnd w:id="53638"/>
      <w:r>
        <w:rPr>
          <w:rFonts w:hint="cs"/>
          <w:rtl/>
        </w:rPr>
        <w:t xml:space="preserve">גבול </w:t>
      </w:r>
      <w:bookmarkStart w:id="53639" w:name="_ETM_Q100_473810"/>
      <w:bookmarkEnd w:id="53639"/>
      <w:r>
        <w:rPr>
          <w:rFonts w:hint="cs"/>
          <w:rtl/>
        </w:rPr>
        <w:t xml:space="preserve">למה </w:t>
      </w:r>
      <w:bookmarkStart w:id="53640" w:name="_ETM_Q100_474139"/>
      <w:bookmarkEnd w:id="53640"/>
      <w:r>
        <w:rPr>
          <w:rFonts w:hint="cs"/>
          <w:rtl/>
        </w:rPr>
        <w:t xml:space="preserve">שמותר </w:t>
      </w:r>
      <w:bookmarkStart w:id="53641" w:name="_ETM_Q100_474680"/>
      <w:bookmarkEnd w:id="53641"/>
      <w:r>
        <w:rPr>
          <w:rFonts w:hint="cs"/>
          <w:rtl/>
        </w:rPr>
        <w:t xml:space="preserve">לרוב </w:t>
      </w:r>
      <w:bookmarkStart w:id="53642" w:name="_ETM_Q100_475069"/>
      <w:bookmarkEnd w:id="53642"/>
      <w:r>
        <w:rPr>
          <w:rFonts w:hint="cs"/>
          <w:rtl/>
        </w:rPr>
        <w:t>לעשות</w:t>
      </w:r>
      <w:bookmarkStart w:id="53643" w:name="_ETM_Q100_479123"/>
      <w:bookmarkEnd w:id="53643"/>
      <w:r>
        <w:rPr>
          <w:rFonts w:hint="cs"/>
          <w:rtl/>
        </w:rPr>
        <w:t xml:space="preserve">, </w:t>
      </w:r>
      <w:bookmarkStart w:id="53644" w:name="_ETM_Q100_476830"/>
      <w:bookmarkEnd w:id="53644"/>
      <w:r>
        <w:rPr>
          <w:rFonts w:hint="cs"/>
          <w:rtl/>
        </w:rPr>
        <w:t xml:space="preserve">מפני </w:t>
      </w:r>
      <w:bookmarkStart w:id="53645" w:name="_ETM_Q100_477130"/>
      <w:bookmarkEnd w:id="53645"/>
      <w:r>
        <w:rPr>
          <w:rFonts w:hint="cs"/>
          <w:rtl/>
        </w:rPr>
        <w:t xml:space="preserve">שבכל </w:t>
      </w:r>
      <w:bookmarkStart w:id="53646" w:name="_ETM_Q100_477669"/>
      <w:bookmarkEnd w:id="53646"/>
      <w:r>
        <w:rPr>
          <w:rFonts w:hint="cs"/>
          <w:rtl/>
        </w:rPr>
        <w:t xml:space="preserve">משטר </w:t>
      </w:r>
      <w:bookmarkStart w:id="53647" w:name="_ETM_Q100_477940"/>
      <w:bookmarkEnd w:id="53647"/>
      <w:r>
        <w:rPr>
          <w:rFonts w:hint="cs"/>
          <w:rtl/>
        </w:rPr>
        <w:t xml:space="preserve">דמוקרטי </w:t>
      </w:r>
      <w:bookmarkStart w:id="53648" w:name="_ETM_Q100_478449"/>
      <w:bookmarkEnd w:id="53648"/>
      <w:r>
        <w:rPr>
          <w:rFonts w:hint="cs"/>
          <w:rtl/>
        </w:rPr>
        <w:t xml:space="preserve">יש </w:t>
      </w:r>
      <w:bookmarkStart w:id="53649" w:name="_ETM_Q100_478569"/>
      <w:bookmarkEnd w:id="53649"/>
      <w:r>
        <w:rPr>
          <w:rFonts w:hint="cs"/>
          <w:rtl/>
        </w:rPr>
        <w:t xml:space="preserve">גבול </w:t>
      </w:r>
      <w:bookmarkStart w:id="53650" w:name="_ETM_Q100_479770"/>
      <w:bookmarkEnd w:id="53650"/>
      <w:r>
        <w:rPr>
          <w:rFonts w:hint="cs"/>
          <w:rtl/>
        </w:rPr>
        <w:t xml:space="preserve">למה </w:t>
      </w:r>
      <w:bookmarkStart w:id="53651" w:name="_ETM_Q100_480159"/>
      <w:bookmarkEnd w:id="53651"/>
      <w:r>
        <w:rPr>
          <w:rFonts w:hint="cs"/>
          <w:rtl/>
        </w:rPr>
        <w:t xml:space="preserve">שמותר </w:t>
      </w:r>
      <w:bookmarkStart w:id="53652" w:name="_ETM_Q100_480729"/>
      <w:bookmarkEnd w:id="53652"/>
      <w:r>
        <w:rPr>
          <w:rFonts w:hint="cs"/>
          <w:rtl/>
        </w:rPr>
        <w:t xml:space="preserve">לרוב </w:t>
      </w:r>
      <w:bookmarkStart w:id="53653" w:name="_ETM_Q100_480000"/>
      <w:bookmarkStart w:id="53654" w:name="_ETM_Q100_480539"/>
      <w:bookmarkStart w:id="53655" w:name="_ETM_Q100_480960"/>
      <w:bookmarkEnd w:id="53653"/>
      <w:bookmarkEnd w:id="53654"/>
      <w:bookmarkEnd w:id="53655"/>
      <w:r>
        <w:rPr>
          <w:rFonts w:hint="cs"/>
          <w:rtl/>
        </w:rPr>
        <w:t>לעשות</w:t>
      </w:r>
      <w:bookmarkStart w:id="53656" w:name="_ETM_Q100_482129"/>
      <w:bookmarkStart w:id="53657" w:name="_ETM_Q100_483582"/>
      <w:bookmarkEnd w:id="53656"/>
      <w:bookmarkEnd w:id="53657"/>
      <w:r>
        <w:rPr>
          <w:rFonts w:hint="cs"/>
          <w:rtl/>
        </w:rPr>
        <w:t xml:space="preserve">, והיא </w:t>
      </w:r>
      <w:bookmarkStart w:id="53658" w:name="_ETM_Q100_482279"/>
      <w:bookmarkEnd w:id="53658"/>
      <w:r>
        <w:rPr>
          <w:rFonts w:hint="cs"/>
          <w:rtl/>
        </w:rPr>
        <w:t xml:space="preserve">לא </w:t>
      </w:r>
      <w:bookmarkStart w:id="53659" w:name="_ETM_Q100_482879"/>
      <w:bookmarkStart w:id="53660" w:name="_ETM_Q100_483000"/>
      <w:bookmarkStart w:id="53661" w:name="_ETM_Q100_483210"/>
      <w:bookmarkEnd w:id="53659"/>
      <w:bookmarkEnd w:id="53660"/>
      <w:bookmarkEnd w:id="53661"/>
      <w:r>
        <w:rPr>
          <w:rFonts w:hint="cs"/>
          <w:rtl/>
        </w:rPr>
        <w:t xml:space="preserve">מילאה </w:t>
      </w:r>
      <w:bookmarkStart w:id="53662" w:name="_ETM_Q100_483510"/>
      <w:bookmarkEnd w:id="53662"/>
      <w:r>
        <w:rPr>
          <w:rFonts w:hint="cs"/>
          <w:rtl/>
        </w:rPr>
        <w:t xml:space="preserve">אותו </w:t>
      </w:r>
      <w:bookmarkStart w:id="53663" w:name="_ETM_Q100_483689"/>
      <w:bookmarkEnd w:id="53663"/>
      <w:r>
        <w:rPr>
          <w:rFonts w:hint="cs"/>
          <w:rtl/>
        </w:rPr>
        <w:t xml:space="preserve">בצורה </w:t>
      </w:r>
      <w:bookmarkStart w:id="53664" w:name="_ETM_Q100_484020"/>
      <w:bookmarkEnd w:id="53664"/>
      <w:r>
        <w:rPr>
          <w:rFonts w:hint="cs"/>
          <w:rtl/>
        </w:rPr>
        <w:t>מפו</w:t>
      </w:r>
      <w:bookmarkStart w:id="53665" w:name="_ETM_Q100_482413"/>
      <w:bookmarkEnd w:id="53665"/>
      <w:r>
        <w:rPr>
          <w:rFonts w:hint="cs"/>
          <w:rtl/>
        </w:rPr>
        <w:t xml:space="preserve">ארת, </w:t>
      </w:r>
      <w:bookmarkStart w:id="53666" w:name="_ETM_Q100_484920"/>
      <w:bookmarkEnd w:id="53666"/>
      <w:r>
        <w:rPr>
          <w:rFonts w:hint="cs"/>
          <w:rtl/>
        </w:rPr>
        <w:t xml:space="preserve">הוא </w:t>
      </w:r>
      <w:bookmarkStart w:id="53667" w:name="_ETM_Q100_485100"/>
      <w:bookmarkEnd w:id="53667"/>
      <w:r>
        <w:rPr>
          <w:rFonts w:hint="cs"/>
          <w:rtl/>
        </w:rPr>
        <w:t xml:space="preserve">לדאוג </w:t>
      </w:r>
      <w:bookmarkStart w:id="53668" w:name="_ETM_Q100_486089"/>
      <w:bookmarkEnd w:id="53668"/>
      <w:r>
        <w:rPr>
          <w:rFonts w:hint="cs"/>
          <w:rtl/>
        </w:rPr>
        <w:t xml:space="preserve">לזכויות </w:t>
      </w:r>
      <w:bookmarkStart w:id="53669" w:name="_ETM_Q100_486660"/>
      <w:bookmarkEnd w:id="53669"/>
      <w:r>
        <w:rPr>
          <w:rFonts w:hint="cs"/>
          <w:rtl/>
        </w:rPr>
        <w:t>האדם.</w:t>
      </w:r>
      <w:bookmarkStart w:id="53670" w:name="_ETM_Q100_487769"/>
      <w:bookmarkStart w:id="53671" w:name="_ETM_Q100_485432"/>
      <w:bookmarkEnd w:id="53670"/>
      <w:bookmarkEnd w:id="53671"/>
      <w:r>
        <w:rPr>
          <w:rFonts w:hint="cs"/>
          <w:rtl/>
        </w:rPr>
        <w:t xml:space="preserve"> הייתי </w:t>
      </w:r>
      <w:bookmarkStart w:id="53672" w:name="_ETM_Q100_488009"/>
      <w:bookmarkEnd w:id="53672"/>
      <w:r>
        <w:rPr>
          <w:rFonts w:hint="cs"/>
          <w:rtl/>
        </w:rPr>
        <w:t xml:space="preserve">שמח </w:t>
      </w:r>
      <w:bookmarkStart w:id="53673" w:name="_ETM_Q100_488400"/>
      <w:bookmarkEnd w:id="53673"/>
      <w:r>
        <w:rPr>
          <w:rFonts w:hint="cs"/>
          <w:rtl/>
        </w:rPr>
        <w:t xml:space="preserve">יותר </w:t>
      </w:r>
      <w:bookmarkStart w:id="53674" w:name="_ETM_Q100_488759"/>
      <w:bookmarkEnd w:id="53674"/>
      <w:r>
        <w:rPr>
          <w:rFonts w:hint="cs"/>
          <w:rtl/>
        </w:rPr>
        <w:t xml:space="preserve">אילו </w:t>
      </w:r>
      <w:bookmarkStart w:id="53675" w:name="_ETM_Q100_489000"/>
      <w:bookmarkEnd w:id="53675"/>
      <w:r>
        <w:rPr>
          <w:rFonts w:hint="cs"/>
          <w:rtl/>
        </w:rPr>
        <w:t xml:space="preserve">הבאנו </w:t>
      </w:r>
      <w:bookmarkStart w:id="53676" w:name="_ETM_Q100_489330"/>
      <w:bookmarkEnd w:id="53676"/>
      <w:r>
        <w:rPr>
          <w:rFonts w:hint="cs"/>
          <w:rtl/>
        </w:rPr>
        <w:t xml:space="preserve">היום </w:t>
      </w:r>
      <w:bookmarkStart w:id="53677" w:name="_ETM_Q100_489540"/>
      <w:bookmarkEnd w:id="53677"/>
      <w:r>
        <w:rPr>
          <w:rFonts w:hint="cs"/>
          <w:rtl/>
        </w:rPr>
        <w:t xml:space="preserve">לכאן </w:t>
      </w:r>
      <w:bookmarkStart w:id="53678" w:name="_ETM_Q100_489809"/>
      <w:bookmarkEnd w:id="53678"/>
      <w:r>
        <w:rPr>
          <w:rFonts w:hint="cs"/>
          <w:rtl/>
        </w:rPr>
        <w:t xml:space="preserve">הצעת </w:t>
      </w:r>
      <w:bookmarkStart w:id="53679" w:name="_ETM_Q100_490080"/>
      <w:bookmarkEnd w:id="53679"/>
      <w:r>
        <w:rPr>
          <w:rFonts w:hint="cs"/>
          <w:rtl/>
        </w:rPr>
        <w:t xml:space="preserve">חוק-יסוד: </w:t>
      </w:r>
      <w:bookmarkStart w:id="53680" w:name="_ETM_Q100_490980"/>
      <w:bookmarkEnd w:id="53680"/>
      <w:r>
        <w:rPr>
          <w:rFonts w:hint="cs"/>
          <w:rtl/>
        </w:rPr>
        <w:t xml:space="preserve">זכויות </w:t>
      </w:r>
      <w:bookmarkStart w:id="53681" w:name="_ETM_Q100_491490"/>
      <w:bookmarkEnd w:id="53681"/>
      <w:r>
        <w:rPr>
          <w:rFonts w:hint="cs"/>
          <w:rtl/>
        </w:rPr>
        <w:t xml:space="preserve">היסוד </w:t>
      </w:r>
      <w:bookmarkStart w:id="53682" w:name="_ETM_Q100_492029"/>
      <w:bookmarkEnd w:id="53682"/>
      <w:r>
        <w:rPr>
          <w:rFonts w:hint="cs"/>
          <w:rtl/>
        </w:rPr>
        <w:t xml:space="preserve">של </w:t>
      </w:r>
      <w:bookmarkStart w:id="53683" w:name="_ETM_Q100_492209"/>
      <w:bookmarkEnd w:id="53683"/>
      <w:r>
        <w:rPr>
          <w:rFonts w:hint="cs"/>
          <w:rtl/>
        </w:rPr>
        <w:t xml:space="preserve">האדם. </w:t>
      </w:r>
      <w:bookmarkStart w:id="53684" w:name="_ETM_Q100_493699"/>
      <w:bookmarkEnd w:id="53684"/>
      <w:r>
        <w:rPr>
          <w:rFonts w:hint="cs"/>
          <w:rtl/>
        </w:rPr>
        <w:t>לצערי,</w:t>
      </w:r>
      <w:bookmarkStart w:id="53685" w:name="_ETM_Q100_492503"/>
      <w:bookmarkEnd w:id="53685"/>
      <w:r>
        <w:rPr>
          <w:rFonts w:hint="cs"/>
          <w:rtl/>
        </w:rPr>
        <w:t xml:space="preserve"> </w:t>
      </w:r>
      <w:bookmarkStart w:id="53686" w:name="_ETM_Q100_494179"/>
      <w:bookmarkEnd w:id="53686"/>
      <w:r>
        <w:rPr>
          <w:rFonts w:hint="cs"/>
          <w:rtl/>
        </w:rPr>
        <w:t xml:space="preserve">נתקלה </w:t>
      </w:r>
      <w:bookmarkStart w:id="53687" w:name="_ETM_Q100_494599"/>
      <w:bookmarkEnd w:id="53687"/>
      <w:r>
        <w:rPr>
          <w:rFonts w:hint="cs"/>
          <w:rtl/>
        </w:rPr>
        <w:t xml:space="preserve">ההצעה </w:t>
      </w:r>
      <w:bookmarkStart w:id="53688" w:name="_ETM_Q100_495049"/>
      <w:bookmarkEnd w:id="53688"/>
      <w:r>
        <w:rPr>
          <w:rFonts w:hint="cs"/>
          <w:rtl/>
        </w:rPr>
        <w:t xml:space="preserve">היא </w:t>
      </w:r>
      <w:bookmarkStart w:id="53689" w:name="_ETM_Q100_495199"/>
      <w:bookmarkEnd w:id="53689"/>
      <w:r>
        <w:rPr>
          <w:rFonts w:hint="cs"/>
          <w:rtl/>
        </w:rPr>
        <w:t xml:space="preserve">בקשיים </w:t>
      </w:r>
      <w:bookmarkStart w:id="53690" w:name="_ETM_Q100_496470"/>
      <w:bookmarkEnd w:id="53690"/>
      <w:r>
        <w:rPr>
          <w:rFonts w:hint="cs"/>
          <w:rtl/>
        </w:rPr>
        <w:t xml:space="preserve">שלא </w:t>
      </w:r>
      <w:bookmarkStart w:id="53691" w:name="_ETM_Q100_496710"/>
      <w:bookmarkEnd w:id="53691"/>
      <w:r>
        <w:rPr>
          <w:rFonts w:hint="cs"/>
          <w:rtl/>
        </w:rPr>
        <w:t xml:space="preserve">הסכמתי </w:t>
      </w:r>
      <w:bookmarkStart w:id="53692" w:name="_ETM_Q100_497220"/>
      <w:bookmarkEnd w:id="53692"/>
      <w:r>
        <w:rPr>
          <w:rFonts w:hint="cs"/>
          <w:rtl/>
        </w:rPr>
        <w:t xml:space="preserve">איתם, </w:t>
      </w:r>
      <w:bookmarkStart w:id="53693" w:name="_ETM_Q100_497850"/>
      <w:bookmarkEnd w:id="53693"/>
      <w:r>
        <w:rPr>
          <w:rFonts w:hint="cs"/>
          <w:rtl/>
        </w:rPr>
        <w:t xml:space="preserve">ואנחנו </w:t>
      </w:r>
      <w:bookmarkStart w:id="53694" w:name="_ETM_Q100_498180"/>
      <w:bookmarkStart w:id="53695" w:name="_ETM_Q100_496322"/>
      <w:bookmarkEnd w:id="53694"/>
      <w:bookmarkEnd w:id="53695"/>
      <w:r>
        <w:rPr>
          <w:rFonts w:hint="cs"/>
          <w:rtl/>
        </w:rPr>
        <w:t xml:space="preserve">עומדים </w:t>
      </w:r>
      <w:bookmarkStart w:id="53696" w:name="_ETM_Q100_498540"/>
      <w:bookmarkEnd w:id="53696"/>
      <w:r>
        <w:rPr>
          <w:rFonts w:hint="cs"/>
          <w:rtl/>
        </w:rPr>
        <w:t xml:space="preserve">היום </w:t>
      </w:r>
      <w:bookmarkStart w:id="53697" w:name="_ETM_Q100_498750"/>
      <w:bookmarkStart w:id="53698" w:name="_ETM_Q100_499140"/>
      <w:bookmarkEnd w:id="53697"/>
      <w:bookmarkEnd w:id="53698"/>
      <w:r>
        <w:rPr>
          <w:rFonts w:hint="cs"/>
          <w:rtl/>
        </w:rPr>
        <w:t xml:space="preserve">עם הצעה מצומצמת </w:t>
      </w:r>
      <w:bookmarkStart w:id="53699" w:name="_ETM_Q100_499830"/>
      <w:bookmarkEnd w:id="53699"/>
      <w:r>
        <w:rPr>
          <w:rFonts w:hint="cs"/>
          <w:rtl/>
        </w:rPr>
        <w:t xml:space="preserve">הרבה </w:t>
      </w:r>
      <w:bookmarkStart w:id="53700" w:name="_ETM_Q100_500100"/>
      <w:bookmarkEnd w:id="53700"/>
      <w:r>
        <w:rPr>
          <w:rFonts w:hint="cs"/>
          <w:rtl/>
        </w:rPr>
        <w:t xml:space="preserve">יותר </w:t>
      </w:r>
      <w:bookmarkStart w:id="53701" w:name="_ETM_Q100_500610"/>
      <w:bookmarkEnd w:id="53701"/>
      <w:r>
        <w:rPr>
          <w:rFonts w:hint="cs"/>
          <w:rtl/>
        </w:rPr>
        <w:t xml:space="preserve">שהושגה, </w:t>
      </w:r>
      <w:bookmarkStart w:id="53702" w:name="_ETM_Q100_501779"/>
      <w:bookmarkEnd w:id="53702"/>
      <w:r>
        <w:rPr>
          <w:rFonts w:hint="cs"/>
          <w:rtl/>
        </w:rPr>
        <w:t xml:space="preserve">כפי </w:t>
      </w:r>
      <w:bookmarkStart w:id="53703" w:name="_ETM_Q100_502050"/>
      <w:bookmarkEnd w:id="53703"/>
      <w:r>
        <w:rPr>
          <w:rFonts w:hint="cs"/>
          <w:rtl/>
        </w:rPr>
        <w:t xml:space="preserve">שאמר </w:t>
      </w:r>
      <w:bookmarkStart w:id="53704" w:name="_ETM_Q100_502349"/>
      <w:bookmarkEnd w:id="53704"/>
      <w:r>
        <w:rPr>
          <w:rFonts w:hint="cs"/>
          <w:rtl/>
        </w:rPr>
        <w:t xml:space="preserve">יושב-ראש </w:t>
      </w:r>
      <w:bookmarkStart w:id="53705" w:name="_ETM_Q100_502710"/>
      <w:bookmarkEnd w:id="53705"/>
      <w:r>
        <w:rPr>
          <w:rFonts w:hint="cs"/>
          <w:rtl/>
        </w:rPr>
        <w:t>ו</w:t>
      </w:r>
      <w:bookmarkStart w:id="53706" w:name="_ETM_Q100_501813"/>
      <w:bookmarkEnd w:id="53706"/>
      <w:r>
        <w:rPr>
          <w:rFonts w:hint="cs"/>
          <w:rtl/>
        </w:rPr>
        <w:t xml:space="preserve">עדת </w:t>
      </w:r>
      <w:bookmarkStart w:id="53707" w:name="_ETM_Q100_503070"/>
      <w:bookmarkEnd w:id="53707"/>
      <w:r>
        <w:rPr>
          <w:rFonts w:hint="cs"/>
          <w:rtl/>
        </w:rPr>
        <w:t xml:space="preserve">החוקה, </w:t>
      </w:r>
      <w:bookmarkStart w:id="53708" w:name="_ETM_Q100_503999"/>
      <w:bookmarkEnd w:id="53708"/>
      <w:r>
        <w:rPr>
          <w:rFonts w:hint="cs"/>
          <w:rtl/>
        </w:rPr>
        <w:t xml:space="preserve">מתוך </w:t>
      </w:r>
      <w:bookmarkStart w:id="53709" w:name="_ETM_Q100_504269"/>
      <w:bookmarkEnd w:id="53709"/>
      <w:r>
        <w:rPr>
          <w:rFonts w:hint="cs"/>
          <w:rtl/>
        </w:rPr>
        <w:t xml:space="preserve">רצון </w:t>
      </w:r>
      <w:bookmarkStart w:id="53710" w:name="_ETM_Q100_504599"/>
      <w:bookmarkEnd w:id="53710"/>
      <w:r>
        <w:rPr>
          <w:rFonts w:hint="cs"/>
          <w:rtl/>
        </w:rPr>
        <w:t xml:space="preserve">להגיע </w:t>
      </w:r>
      <w:bookmarkStart w:id="53711" w:name="_ETM_Q100_504989"/>
      <w:bookmarkEnd w:id="53711"/>
      <w:r>
        <w:rPr>
          <w:rFonts w:hint="cs"/>
          <w:rtl/>
        </w:rPr>
        <w:t xml:space="preserve">להסכמה </w:t>
      </w:r>
      <w:bookmarkStart w:id="53712" w:name="_ETM_Q100_505470"/>
      <w:bookmarkEnd w:id="53712"/>
      <w:r>
        <w:rPr>
          <w:rFonts w:hint="cs"/>
          <w:rtl/>
        </w:rPr>
        <w:t xml:space="preserve">רחבה </w:t>
      </w:r>
      <w:bookmarkStart w:id="53713" w:name="_ETM_Q100_506529"/>
      <w:bookmarkEnd w:id="53713"/>
      <w:r>
        <w:rPr>
          <w:rFonts w:hint="cs"/>
          <w:rtl/>
        </w:rPr>
        <w:t>מאוד,</w:t>
      </w:r>
      <w:bookmarkStart w:id="53714" w:name="_ETM_Q100_505593"/>
      <w:bookmarkEnd w:id="53714"/>
      <w:r>
        <w:rPr>
          <w:rFonts w:hint="cs"/>
          <w:rtl/>
        </w:rPr>
        <w:t xml:space="preserve"> </w:t>
      </w:r>
      <w:bookmarkStart w:id="53715" w:name="_ETM_Q100_507660"/>
      <w:bookmarkEnd w:id="53715"/>
      <w:r>
        <w:rPr>
          <w:rFonts w:hint="cs"/>
          <w:rtl/>
        </w:rPr>
        <w:t xml:space="preserve">גם </w:t>
      </w:r>
      <w:bookmarkStart w:id="53716" w:name="_ETM_Q100_508109"/>
      <w:bookmarkEnd w:id="53716"/>
      <w:r>
        <w:rPr>
          <w:rFonts w:hint="cs"/>
          <w:rtl/>
        </w:rPr>
        <w:t xml:space="preserve">מתוך </w:t>
      </w:r>
      <w:bookmarkStart w:id="53717" w:name="_ETM_Q100_508740"/>
      <w:bookmarkEnd w:id="53717"/>
      <w:r>
        <w:rPr>
          <w:rFonts w:hint="cs"/>
          <w:rtl/>
        </w:rPr>
        <w:t xml:space="preserve">ויתור </w:t>
      </w:r>
      <w:bookmarkStart w:id="53718" w:name="_ETM_Q100_509250"/>
      <w:bookmarkEnd w:id="53718"/>
      <w:r>
        <w:rPr>
          <w:rFonts w:hint="cs"/>
          <w:rtl/>
        </w:rPr>
        <w:t xml:space="preserve">על </w:t>
      </w:r>
      <w:bookmarkStart w:id="53719" w:name="_ETM_Q100_509339"/>
      <w:bookmarkEnd w:id="53719"/>
      <w:r>
        <w:rPr>
          <w:rFonts w:hint="cs"/>
          <w:rtl/>
        </w:rPr>
        <w:t xml:space="preserve">עניינים </w:t>
      </w:r>
      <w:bookmarkStart w:id="53720" w:name="_ETM_Q100_509699"/>
      <w:bookmarkEnd w:id="53720"/>
      <w:r>
        <w:rPr>
          <w:rFonts w:hint="cs"/>
          <w:rtl/>
        </w:rPr>
        <w:t xml:space="preserve">שלדעתי, </w:t>
      </w:r>
      <w:bookmarkStart w:id="53721" w:name="_ETM_Q100_511029"/>
      <w:bookmarkEnd w:id="53721"/>
      <w:r>
        <w:rPr>
          <w:rFonts w:hint="cs"/>
          <w:rtl/>
        </w:rPr>
        <w:t xml:space="preserve">אפשר </w:t>
      </w:r>
      <w:bookmarkStart w:id="53722" w:name="_ETM_Q100_511359"/>
      <w:bookmarkEnd w:id="53722"/>
      <w:r>
        <w:rPr>
          <w:rFonts w:hint="cs"/>
          <w:rtl/>
        </w:rPr>
        <w:t xml:space="preserve">היה </w:t>
      </w:r>
      <w:bookmarkStart w:id="53723" w:name="_ETM_Q100_511510"/>
      <w:bookmarkEnd w:id="53723"/>
      <w:r>
        <w:rPr>
          <w:rFonts w:hint="cs"/>
          <w:rtl/>
        </w:rPr>
        <w:t xml:space="preserve">לעמוד </w:t>
      </w:r>
      <w:bookmarkStart w:id="53724" w:name="_ETM_Q100_512020"/>
      <w:bookmarkEnd w:id="53724"/>
      <w:r>
        <w:rPr>
          <w:rFonts w:hint="cs"/>
          <w:rtl/>
        </w:rPr>
        <w:t xml:space="preserve">עליהם </w:t>
      </w:r>
      <w:bookmarkStart w:id="53725" w:name="_ETM_Q100_512410"/>
      <w:bookmarkEnd w:id="53725"/>
      <w:r>
        <w:rPr>
          <w:rFonts w:hint="cs"/>
          <w:rtl/>
        </w:rPr>
        <w:t>עוד.</w:t>
      </w:r>
      <w:bookmarkStart w:id="53726" w:name="_ETM_Q100_513190"/>
      <w:bookmarkStart w:id="53727" w:name="_ETM_Q100_516428"/>
      <w:bookmarkStart w:id="53728" w:name="_ETM_Q100_516511"/>
      <w:bookmarkStart w:id="53729" w:name="_ETM_Q100_516620"/>
      <w:bookmarkStart w:id="53730" w:name="_ETM_Q100_516686"/>
      <w:bookmarkStart w:id="53731" w:name="_ETM_Q100_511943"/>
      <w:bookmarkEnd w:id="53726"/>
      <w:bookmarkEnd w:id="53727"/>
      <w:bookmarkEnd w:id="53728"/>
      <w:bookmarkEnd w:id="53729"/>
      <w:bookmarkEnd w:id="53730"/>
      <w:bookmarkEnd w:id="53731"/>
      <w:r>
        <w:rPr>
          <w:rFonts w:hint="cs"/>
          <w:rtl/>
        </w:rPr>
        <w:t xml:space="preserve"> אבל </w:t>
      </w:r>
      <w:bookmarkStart w:id="53732" w:name="_ETM_Q100_513430"/>
      <w:bookmarkEnd w:id="53732"/>
      <w:r>
        <w:rPr>
          <w:rFonts w:hint="cs"/>
          <w:rtl/>
        </w:rPr>
        <w:t xml:space="preserve">זו </w:t>
      </w:r>
      <w:bookmarkStart w:id="53733" w:name="_ETM_Q100_513579"/>
      <w:bookmarkEnd w:id="53733"/>
      <w:r>
        <w:rPr>
          <w:rFonts w:hint="cs"/>
          <w:rtl/>
        </w:rPr>
        <w:t xml:space="preserve">ההצעה </w:t>
      </w:r>
      <w:bookmarkStart w:id="53734" w:name="_ETM_Q100_513880"/>
      <w:bookmarkEnd w:id="53734"/>
      <w:r>
        <w:rPr>
          <w:rFonts w:hint="cs"/>
          <w:rtl/>
        </w:rPr>
        <w:t xml:space="preserve">שלפנינו. </w:t>
      </w:r>
      <w:bookmarkStart w:id="53735" w:name="_ETM_Q100_514900"/>
      <w:bookmarkEnd w:id="53735"/>
    </w:p>
    <w:p w:rsidR="00BB59CD" w:rsidRDefault="00BB59CD" w:rsidP="00BB59CD">
      <w:pPr>
        <w:rPr>
          <w:rtl/>
        </w:rPr>
      </w:pPr>
    </w:p>
    <w:p w:rsidR="00BB59CD" w:rsidRDefault="00BB59CD" w:rsidP="00BB59CD">
      <w:pPr>
        <w:rPr>
          <w:rtl/>
        </w:rPr>
      </w:pPr>
      <w:r>
        <w:rPr>
          <w:rFonts w:hint="cs"/>
          <w:rtl/>
        </w:rPr>
        <w:t xml:space="preserve">"היא </w:t>
      </w:r>
      <w:bookmarkStart w:id="53736" w:name="_ETM_Q100_515020"/>
      <w:bookmarkEnd w:id="53736"/>
      <w:r>
        <w:rPr>
          <w:rFonts w:hint="cs"/>
          <w:rtl/>
        </w:rPr>
        <w:t xml:space="preserve">חשובה </w:t>
      </w:r>
      <w:bookmarkStart w:id="53737" w:name="_ETM_Q100_515559"/>
      <w:bookmarkEnd w:id="53737"/>
      <w:r>
        <w:rPr>
          <w:rFonts w:hint="cs"/>
          <w:rtl/>
        </w:rPr>
        <w:t xml:space="preserve">מאוד, </w:t>
      </w:r>
      <w:bookmarkStart w:id="53738" w:name="_ETM_Q100_516579"/>
      <w:bookmarkEnd w:id="53738"/>
      <w:r>
        <w:rPr>
          <w:rFonts w:hint="cs"/>
          <w:rtl/>
        </w:rPr>
        <w:t xml:space="preserve">מאחר </w:t>
      </w:r>
      <w:bookmarkStart w:id="53739" w:name="_ETM_Q100_517120"/>
      <w:bookmarkEnd w:id="53739"/>
      <w:r>
        <w:rPr>
          <w:rFonts w:hint="cs"/>
          <w:rtl/>
        </w:rPr>
        <w:t xml:space="preserve">שהיא </w:t>
      </w:r>
      <w:bookmarkStart w:id="53740" w:name="_ETM_Q100_517360"/>
      <w:bookmarkEnd w:id="53740"/>
      <w:r>
        <w:rPr>
          <w:rFonts w:hint="cs"/>
          <w:rtl/>
        </w:rPr>
        <w:t xml:space="preserve">קובעת </w:t>
      </w:r>
      <w:bookmarkStart w:id="53741" w:name="_ETM_Q100_517779"/>
      <w:bookmarkEnd w:id="53741"/>
      <w:r>
        <w:rPr>
          <w:rFonts w:hint="cs"/>
          <w:rtl/>
        </w:rPr>
        <w:t xml:space="preserve">איזון </w:t>
      </w:r>
      <w:bookmarkStart w:id="53742" w:name="_ETM_Q100_518170"/>
      <w:bookmarkEnd w:id="53742"/>
      <w:r>
        <w:rPr>
          <w:rFonts w:hint="cs"/>
          <w:rtl/>
        </w:rPr>
        <w:t xml:space="preserve">בין </w:t>
      </w:r>
      <w:bookmarkStart w:id="53743" w:name="_ETM_Q100_518290"/>
      <w:bookmarkEnd w:id="53743"/>
      <w:r>
        <w:rPr>
          <w:rFonts w:hint="cs"/>
          <w:rtl/>
        </w:rPr>
        <w:t xml:space="preserve">הרשויות </w:t>
      </w:r>
      <w:bookmarkStart w:id="53744" w:name="_ETM_Q100_518770"/>
      <w:bookmarkEnd w:id="53744"/>
      <w:r>
        <w:rPr>
          <w:rFonts w:hint="cs"/>
          <w:rtl/>
        </w:rPr>
        <w:t>בישראל,</w:t>
      </w:r>
      <w:bookmarkStart w:id="53745" w:name="_ETM_Q100_517583"/>
      <w:bookmarkEnd w:id="53745"/>
      <w:r>
        <w:rPr>
          <w:rFonts w:hint="cs"/>
          <w:rtl/>
        </w:rPr>
        <w:t xml:space="preserve"> </w:t>
      </w:r>
      <w:bookmarkStart w:id="53746" w:name="_ETM_Q100_519879"/>
      <w:bookmarkEnd w:id="53746"/>
      <w:r>
        <w:rPr>
          <w:rFonts w:hint="cs"/>
          <w:rtl/>
        </w:rPr>
        <w:t xml:space="preserve">היא </w:t>
      </w:r>
      <w:bookmarkStart w:id="53747" w:name="_ETM_Q100_520000"/>
      <w:bookmarkEnd w:id="53747"/>
      <w:r>
        <w:rPr>
          <w:rFonts w:hint="cs"/>
          <w:rtl/>
        </w:rPr>
        <w:t xml:space="preserve">קובעת </w:t>
      </w:r>
      <w:bookmarkStart w:id="53748" w:name="_ETM_Q100_520570"/>
      <w:bookmarkEnd w:id="53748"/>
      <w:r>
        <w:rPr>
          <w:rFonts w:hint="cs"/>
          <w:rtl/>
        </w:rPr>
        <w:t xml:space="preserve">בהחלט </w:t>
      </w:r>
      <w:bookmarkStart w:id="53749" w:name="_ETM_Q100_521050"/>
      <w:bookmarkEnd w:id="53749"/>
      <w:r>
        <w:rPr>
          <w:rFonts w:hint="cs"/>
          <w:rtl/>
        </w:rPr>
        <w:t xml:space="preserve">תחום </w:t>
      </w:r>
      <w:bookmarkStart w:id="53750" w:name="_ETM_Q100_521470"/>
      <w:bookmarkEnd w:id="53750"/>
      <w:r>
        <w:rPr>
          <w:rFonts w:hint="cs"/>
          <w:rtl/>
        </w:rPr>
        <w:t xml:space="preserve">או גבול </w:t>
      </w:r>
      <w:bookmarkStart w:id="53751" w:name="_ETM_Q100_522529"/>
      <w:bookmarkEnd w:id="53751"/>
      <w:r>
        <w:rPr>
          <w:rFonts w:hint="cs"/>
          <w:rtl/>
        </w:rPr>
        <w:t xml:space="preserve">שמעבר </w:t>
      </w:r>
      <w:bookmarkStart w:id="53752" w:name="_ETM_Q100_523129"/>
      <w:bookmarkEnd w:id="53752"/>
      <w:r>
        <w:rPr>
          <w:rFonts w:hint="cs"/>
          <w:rtl/>
        </w:rPr>
        <w:t xml:space="preserve">לו </w:t>
      </w:r>
      <w:bookmarkStart w:id="53753" w:name="_ETM_Q100_523399"/>
      <w:bookmarkEnd w:id="53753"/>
      <w:r>
        <w:rPr>
          <w:rFonts w:hint="cs"/>
          <w:rtl/>
        </w:rPr>
        <w:t xml:space="preserve">אין </w:t>
      </w:r>
      <w:bookmarkStart w:id="53754" w:name="_ETM_Q100_523640"/>
      <w:bookmarkEnd w:id="53754"/>
      <w:r>
        <w:rPr>
          <w:rFonts w:hint="cs"/>
          <w:rtl/>
        </w:rPr>
        <w:t xml:space="preserve">לפגוע </w:t>
      </w:r>
      <w:bookmarkStart w:id="53755" w:name="_ETM_Q100_524570"/>
      <w:bookmarkEnd w:id="53755"/>
      <w:r>
        <w:rPr>
          <w:rFonts w:hint="cs"/>
          <w:rtl/>
        </w:rPr>
        <w:t xml:space="preserve">בזכויות </w:t>
      </w:r>
      <w:bookmarkStart w:id="53756" w:name="_ETM_Q100_525260"/>
      <w:bookmarkEnd w:id="53756"/>
      <w:r>
        <w:rPr>
          <w:rFonts w:hint="cs"/>
          <w:rtl/>
        </w:rPr>
        <w:t>האדם. ההצעה</w:t>
      </w:r>
      <w:bookmarkStart w:id="53757" w:name="_ETM_Q100_525293"/>
      <w:bookmarkStart w:id="53758" w:name="_ETM_Q100_526579"/>
      <w:bookmarkEnd w:id="53757"/>
      <w:bookmarkEnd w:id="53758"/>
      <w:r>
        <w:rPr>
          <w:rFonts w:hint="cs"/>
          <w:rtl/>
        </w:rPr>
        <w:t xml:space="preserve"> </w:t>
      </w:r>
      <w:bookmarkStart w:id="53759" w:name="_ETM_Q100_527000"/>
      <w:bookmarkEnd w:id="53759"/>
      <w:r>
        <w:rPr>
          <w:rFonts w:hint="cs"/>
          <w:rtl/>
        </w:rPr>
        <w:t xml:space="preserve">איננה </w:t>
      </w:r>
      <w:bookmarkStart w:id="53760" w:name="_ETM_Q100_527329"/>
      <w:bookmarkEnd w:id="53760"/>
      <w:r>
        <w:rPr>
          <w:rFonts w:hint="cs"/>
          <w:rtl/>
        </w:rPr>
        <w:t xml:space="preserve">מהפכנית </w:t>
      </w:r>
      <w:bookmarkStart w:id="53761" w:name="_ETM_Q100_527899"/>
      <w:bookmarkEnd w:id="53761"/>
      <w:r>
        <w:rPr>
          <w:rFonts w:hint="cs"/>
          <w:rtl/>
        </w:rPr>
        <w:t xml:space="preserve">במובן </w:t>
      </w:r>
      <w:bookmarkStart w:id="53762" w:name="_ETM_Q100_528289"/>
      <w:bookmarkEnd w:id="53762"/>
      <w:r>
        <w:rPr>
          <w:rFonts w:hint="cs"/>
          <w:rtl/>
        </w:rPr>
        <w:t xml:space="preserve">הזה </w:t>
      </w:r>
      <w:bookmarkStart w:id="53763" w:name="_ETM_Q100_528469"/>
      <w:bookmarkEnd w:id="53763"/>
      <w:r>
        <w:rPr>
          <w:rFonts w:hint="cs"/>
          <w:rtl/>
        </w:rPr>
        <w:t xml:space="preserve">שהיא </w:t>
      </w:r>
      <w:bookmarkStart w:id="53764" w:name="_ETM_Q100_528620"/>
      <w:bookmarkEnd w:id="53764"/>
      <w:r>
        <w:rPr>
          <w:rFonts w:hint="cs"/>
          <w:rtl/>
        </w:rPr>
        <w:t xml:space="preserve">קובעת </w:t>
      </w:r>
      <w:bookmarkStart w:id="53765" w:name="_ETM_Q100_529610"/>
      <w:bookmarkEnd w:id="53765"/>
      <w:r>
        <w:rPr>
          <w:rFonts w:hint="cs"/>
          <w:rtl/>
        </w:rPr>
        <w:t xml:space="preserve">שגם </w:t>
      </w:r>
      <w:bookmarkStart w:id="53766" w:name="_ETM_Q100_529970"/>
      <w:bookmarkEnd w:id="53766"/>
      <w:r>
        <w:rPr>
          <w:rFonts w:hint="cs"/>
          <w:rtl/>
        </w:rPr>
        <w:t xml:space="preserve">בזכויות </w:t>
      </w:r>
      <w:bookmarkStart w:id="53767" w:name="_ETM_Q100_530420"/>
      <w:bookmarkEnd w:id="53767"/>
      <w:r>
        <w:rPr>
          <w:rFonts w:hint="cs"/>
          <w:rtl/>
        </w:rPr>
        <w:t>האלה,</w:t>
      </w:r>
      <w:bookmarkStart w:id="53768" w:name="_ETM_Q100_528503"/>
      <w:bookmarkEnd w:id="53768"/>
      <w:r>
        <w:rPr>
          <w:rFonts w:hint="cs"/>
          <w:rtl/>
        </w:rPr>
        <w:t xml:space="preserve"> </w:t>
      </w:r>
      <w:bookmarkStart w:id="53769" w:name="_ETM_Q100_530899"/>
      <w:bookmarkEnd w:id="53769"/>
      <w:r>
        <w:rPr>
          <w:rFonts w:hint="cs"/>
          <w:rtl/>
        </w:rPr>
        <w:t xml:space="preserve">הקבועות </w:t>
      </w:r>
      <w:bookmarkStart w:id="53770" w:name="_ETM_Q100_531380"/>
      <w:bookmarkEnd w:id="53770"/>
      <w:r>
        <w:rPr>
          <w:rFonts w:hint="cs"/>
          <w:rtl/>
        </w:rPr>
        <w:t xml:space="preserve">כאן, </w:t>
      </w:r>
      <w:bookmarkStart w:id="53771" w:name="_ETM_Q100_532370"/>
      <w:bookmarkEnd w:id="53771"/>
      <w:r>
        <w:rPr>
          <w:rFonts w:hint="cs"/>
          <w:rtl/>
        </w:rPr>
        <w:t xml:space="preserve">ניתן </w:t>
      </w:r>
      <w:bookmarkStart w:id="53772" w:name="_ETM_Q100_532910"/>
      <w:bookmarkEnd w:id="53772"/>
      <w:r>
        <w:rPr>
          <w:rFonts w:hint="cs"/>
          <w:rtl/>
        </w:rPr>
        <w:t xml:space="preserve">לפגוע, </w:t>
      </w:r>
      <w:bookmarkStart w:id="53773" w:name="_ETM_Q100_533420"/>
      <w:bookmarkEnd w:id="53773"/>
      <w:r>
        <w:rPr>
          <w:rFonts w:hint="cs"/>
          <w:rtl/>
        </w:rPr>
        <w:t xml:space="preserve">ניתן </w:t>
      </w:r>
      <w:bookmarkStart w:id="53774" w:name="_ETM_Q100_533720"/>
      <w:bookmarkEnd w:id="53774"/>
      <w:r>
        <w:rPr>
          <w:rFonts w:hint="cs"/>
          <w:rtl/>
        </w:rPr>
        <w:t xml:space="preserve">להגביל </w:t>
      </w:r>
      <w:bookmarkStart w:id="53775" w:name="_ETM_Q100_534230"/>
      <w:bookmarkEnd w:id="53775"/>
      <w:r>
        <w:rPr>
          <w:rFonts w:hint="cs"/>
          <w:rtl/>
        </w:rPr>
        <w:t xml:space="preserve">אותן. </w:t>
      </w:r>
      <w:bookmarkStart w:id="53776" w:name="_ETM_Q100_534770"/>
      <w:bookmarkEnd w:id="53776"/>
      <w:r>
        <w:rPr>
          <w:rFonts w:hint="cs"/>
          <w:rtl/>
        </w:rPr>
        <w:t>איך?</w:t>
      </w:r>
      <w:bookmarkStart w:id="53777" w:name="_ETM_Q100_534094"/>
      <w:bookmarkEnd w:id="53777"/>
      <w:r>
        <w:rPr>
          <w:rFonts w:hint="cs"/>
          <w:rtl/>
        </w:rPr>
        <w:t xml:space="preserve"> </w:t>
      </w:r>
      <w:bookmarkStart w:id="53778" w:name="_ETM_Q100_535739"/>
      <w:bookmarkEnd w:id="53778"/>
      <w:r>
        <w:rPr>
          <w:rFonts w:hint="cs"/>
          <w:rtl/>
        </w:rPr>
        <w:t xml:space="preserve">בחוק </w:t>
      </w:r>
      <w:bookmarkStart w:id="53779" w:name="_ETM_Q100_536190"/>
      <w:bookmarkEnd w:id="53779"/>
      <w:r>
        <w:rPr>
          <w:rFonts w:hint="cs"/>
          <w:rtl/>
        </w:rPr>
        <w:t xml:space="preserve">ההולם </w:t>
      </w:r>
      <w:bookmarkStart w:id="53780" w:name="_ETM_Q100_536670"/>
      <w:bookmarkEnd w:id="53780"/>
      <w:r>
        <w:rPr>
          <w:rFonts w:hint="cs"/>
          <w:rtl/>
        </w:rPr>
        <w:t xml:space="preserve">את </w:t>
      </w:r>
      <w:bookmarkStart w:id="53781" w:name="_ETM_Q100_536760"/>
      <w:bookmarkEnd w:id="53781"/>
      <w:r>
        <w:rPr>
          <w:rFonts w:hint="cs"/>
          <w:rtl/>
        </w:rPr>
        <w:t xml:space="preserve">ערכיה </w:t>
      </w:r>
      <w:bookmarkStart w:id="53782" w:name="_ETM_Q100_537210"/>
      <w:bookmarkEnd w:id="53782"/>
      <w:r>
        <w:rPr>
          <w:rFonts w:hint="cs"/>
          <w:rtl/>
        </w:rPr>
        <w:t xml:space="preserve">של </w:t>
      </w:r>
      <w:bookmarkStart w:id="53783" w:name="_ETM_Q100_537420"/>
      <w:bookmarkEnd w:id="53783"/>
      <w:r>
        <w:rPr>
          <w:rFonts w:hint="cs"/>
          <w:rtl/>
        </w:rPr>
        <w:t xml:space="preserve">המדינה, </w:t>
      </w:r>
      <w:bookmarkStart w:id="53784" w:name="_ETM_Q100_538470"/>
      <w:bookmarkEnd w:id="53784"/>
      <w:r>
        <w:rPr>
          <w:rFonts w:hint="cs"/>
          <w:rtl/>
        </w:rPr>
        <w:t xml:space="preserve">בחוק </w:t>
      </w:r>
      <w:bookmarkStart w:id="53785" w:name="_ETM_Q100_538829"/>
      <w:bookmarkEnd w:id="53785"/>
      <w:r>
        <w:rPr>
          <w:rFonts w:hint="cs"/>
          <w:rtl/>
        </w:rPr>
        <w:t xml:space="preserve">שנועד </w:t>
      </w:r>
      <w:bookmarkStart w:id="53786" w:name="_ETM_Q100_539190"/>
      <w:bookmarkEnd w:id="53786"/>
      <w:r>
        <w:rPr>
          <w:rFonts w:hint="cs"/>
          <w:rtl/>
        </w:rPr>
        <w:t xml:space="preserve">לתכלית </w:t>
      </w:r>
      <w:bookmarkStart w:id="53787" w:name="_ETM_Q100_539610"/>
      <w:bookmarkEnd w:id="53787"/>
      <w:r>
        <w:rPr>
          <w:rFonts w:hint="cs"/>
          <w:rtl/>
        </w:rPr>
        <w:t xml:space="preserve">ראויה </w:t>
      </w:r>
      <w:bookmarkStart w:id="53788" w:name="_ETM_Q100_540690"/>
      <w:bookmarkEnd w:id="53788"/>
      <w:r>
        <w:rPr>
          <w:rFonts w:hint="cs"/>
          <w:rtl/>
        </w:rPr>
        <w:t xml:space="preserve">ובמידה </w:t>
      </w:r>
      <w:bookmarkStart w:id="53789" w:name="_ETM_Q100_541200"/>
      <w:bookmarkEnd w:id="53789"/>
      <w:r>
        <w:rPr>
          <w:rFonts w:hint="cs"/>
          <w:rtl/>
        </w:rPr>
        <w:t xml:space="preserve">שאינה </w:t>
      </w:r>
      <w:bookmarkStart w:id="53790" w:name="_ETM_Q100_541650"/>
      <w:bookmarkEnd w:id="53790"/>
      <w:r>
        <w:rPr>
          <w:rFonts w:hint="cs"/>
          <w:rtl/>
        </w:rPr>
        <w:t xml:space="preserve">עולה </w:t>
      </w:r>
      <w:bookmarkStart w:id="53791" w:name="_ETM_Q100_541950"/>
      <w:bookmarkEnd w:id="53791"/>
      <w:r>
        <w:rPr>
          <w:rFonts w:hint="cs"/>
          <w:rtl/>
        </w:rPr>
        <w:t xml:space="preserve">על </w:t>
      </w:r>
      <w:bookmarkStart w:id="53792" w:name="_ETM_Q100_542040"/>
      <w:bookmarkEnd w:id="53792"/>
      <w:r>
        <w:rPr>
          <w:rFonts w:hint="cs"/>
          <w:rtl/>
        </w:rPr>
        <w:t>הנדרש.</w:t>
      </w:r>
      <w:bookmarkStart w:id="53793" w:name="_ETM_Q100_543430"/>
      <w:bookmarkStart w:id="53794" w:name="_ETM_Q100_540481"/>
      <w:bookmarkEnd w:id="53793"/>
      <w:bookmarkEnd w:id="53794"/>
      <w:r>
        <w:rPr>
          <w:rFonts w:hint="cs"/>
          <w:rtl/>
        </w:rPr>
        <w:t xml:space="preserve"> ההצעה </w:t>
      </w:r>
      <w:bookmarkStart w:id="53795" w:name="_ETM_Q100_543940"/>
      <w:bookmarkEnd w:id="53795"/>
      <w:r>
        <w:rPr>
          <w:rFonts w:hint="cs"/>
          <w:rtl/>
        </w:rPr>
        <w:t xml:space="preserve">אינה </w:t>
      </w:r>
      <w:bookmarkStart w:id="53796" w:name="_ETM_Q100_544270"/>
      <w:bookmarkEnd w:id="53796"/>
      <w:r>
        <w:rPr>
          <w:rFonts w:hint="cs"/>
          <w:rtl/>
        </w:rPr>
        <w:t xml:space="preserve">מהפכנית </w:t>
      </w:r>
      <w:bookmarkStart w:id="53797" w:name="_ETM_Q100_544960"/>
      <w:bookmarkEnd w:id="53797"/>
      <w:r>
        <w:rPr>
          <w:rFonts w:hint="cs"/>
          <w:rtl/>
        </w:rPr>
        <w:t xml:space="preserve">גם </w:t>
      </w:r>
      <w:bookmarkStart w:id="53798" w:name="_ETM_Q100_545200"/>
      <w:bookmarkEnd w:id="53798"/>
      <w:r>
        <w:rPr>
          <w:rFonts w:hint="cs"/>
          <w:rtl/>
        </w:rPr>
        <w:t xml:space="preserve">במובן </w:t>
      </w:r>
      <w:bookmarkStart w:id="53799" w:name="_ETM_Q100_545770"/>
      <w:bookmarkEnd w:id="53799"/>
      <w:r>
        <w:rPr>
          <w:rFonts w:hint="cs"/>
          <w:rtl/>
        </w:rPr>
        <w:t xml:space="preserve">זה </w:t>
      </w:r>
      <w:bookmarkStart w:id="53800" w:name="_ETM_Q100_546850"/>
      <w:bookmarkEnd w:id="53800"/>
      <w:r>
        <w:rPr>
          <w:rFonts w:hint="cs"/>
          <w:rtl/>
        </w:rPr>
        <w:t xml:space="preserve">שהיא </w:t>
      </w:r>
      <w:bookmarkStart w:id="53801" w:name="_ETM_Q100_547300"/>
      <w:bookmarkEnd w:id="53801"/>
      <w:r>
        <w:rPr>
          <w:rFonts w:hint="cs"/>
          <w:rtl/>
        </w:rPr>
        <w:t xml:space="preserve">משמרת </w:t>
      </w:r>
      <w:bookmarkStart w:id="53802" w:name="_ETM_Q100_547960"/>
      <w:bookmarkEnd w:id="53802"/>
      <w:r>
        <w:rPr>
          <w:rFonts w:hint="cs"/>
          <w:rtl/>
        </w:rPr>
        <w:t>א</w:t>
      </w:r>
      <w:bookmarkStart w:id="53803" w:name="_ETM_Q100_539312"/>
      <w:bookmarkEnd w:id="53803"/>
      <w:r>
        <w:rPr>
          <w:rFonts w:hint="cs"/>
          <w:rtl/>
        </w:rPr>
        <w:t xml:space="preserve">ת </w:t>
      </w:r>
      <w:bookmarkStart w:id="53804" w:name="_ETM_Q100_548020"/>
      <w:bookmarkEnd w:id="53804"/>
      <w:r>
        <w:rPr>
          <w:rFonts w:hint="cs"/>
          <w:rtl/>
        </w:rPr>
        <w:t>הסטטוס</w:t>
      </w:r>
      <w:bookmarkStart w:id="53805" w:name="_ETM_Q100_548470"/>
      <w:bookmarkEnd w:id="53805"/>
      <w:r>
        <w:rPr>
          <w:rFonts w:hint="cs"/>
          <w:rtl/>
        </w:rPr>
        <w:t xml:space="preserve">-קוו </w:t>
      </w:r>
      <w:bookmarkStart w:id="53806" w:name="_ETM_Q100_548800"/>
      <w:bookmarkEnd w:id="53806"/>
      <w:r>
        <w:rPr>
          <w:rFonts w:hint="cs"/>
          <w:rtl/>
        </w:rPr>
        <w:t xml:space="preserve">לגבי </w:t>
      </w:r>
      <w:bookmarkStart w:id="53807" w:name="_ETM_Q100_549640"/>
      <w:bookmarkEnd w:id="53807"/>
      <w:r>
        <w:rPr>
          <w:rFonts w:hint="cs"/>
          <w:rtl/>
        </w:rPr>
        <w:t xml:space="preserve">כל </w:t>
      </w:r>
      <w:bookmarkStart w:id="53808" w:name="_ETM_Q100_549970"/>
      <w:bookmarkEnd w:id="53808"/>
      <w:r>
        <w:rPr>
          <w:rFonts w:hint="cs"/>
          <w:rtl/>
        </w:rPr>
        <w:t xml:space="preserve">דין </w:t>
      </w:r>
      <w:bookmarkStart w:id="53809" w:name="_ETM_Q100_550390"/>
      <w:bookmarkEnd w:id="53809"/>
      <w:r>
        <w:rPr>
          <w:rFonts w:hint="cs"/>
          <w:rtl/>
        </w:rPr>
        <w:t xml:space="preserve">קיים. </w:t>
      </w:r>
      <w:bookmarkStart w:id="53810" w:name="_ETM_Q100_551590"/>
      <w:bookmarkEnd w:id="53810"/>
    </w:p>
    <w:p w:rsidR="00BB59CD" w:rsidRDefault="00BB59CD" w:rsidP="00BB59CD">
      <w:pPr>
        <w:rPr>
          <w:rtl/>
        </w:rPr>
      </w:pPr>
    </w:p>
    <w:p w:rsidR="00BB59CD" w:rsidRDefault="00BB59CD" w:rsidP="00BB59CD">
      <w:pPr>
        <w:rPr>
          <w:rtl/>
        </w:rPr>
      </w:pPr>
      <w:r>
        <w:rPr>
          <w:rFonts w:hint="cs"/>
          <w:rtl/>
        </w:rPr>
        <w:t xml:space="preserve">"יש </w:t>
      </w:r>
      <w:bookmarkStart w:id="53811" w:name="_ETM_Q100_551890"/>
      <w:bookmarkEnd w:id="53811"/>
      <w:r>
        <w:rPr>
          <w:rFonts w:hint="cs"/>
          <w:rtl/>
        </w:rPr>
        <w:t xml:space="preserve">נקודה </w:t>
      </w:r>
      <w:bookmarkStart w:id="53812" w:name="_ETM_Q100_552310"/>
      <w:bookmarkEnd w:id="53812"/>
      <w:r>
        <w:rPr>
          <w:rFonts w:hint="cs"/>
          <w:rtl/>
        </w:rPr>
        <w:t>אח</w:t>
      </w:r>
      <w:bookmarkStart w:id="53813" w:name="_ETM_Q100_550751"/>
      <w:bookmarkEnd w:id="53813"/>
      <w:r>
        <w:rPr>
          <w:rFonts w:hint="cs"/>
          <w:rtl/>
        </w:rPr>
        <w:t xml:space="preserve">ת </w:t>
      </w:r>
      <w:bookmarkStart w:id="53814" w:name="_ETM_Q100_552670"/>
      <w:bookmarkEnd w:id="53814"/>
      <w:r>
        <w:rPr>
          <w:rFonts w:hint="cs"/>
          <w:rtl/>
        </w:rPr>
        <w:t xml:space="preserve">שעלתה, </w:t>
      </w:r>
      <w:bookmarkStart w:id="53815" w:name="_ETM_Q100_553330"/>
      <w:bookmarkEnd w:id="53815"/>
      <w:r>
        <w:rPr>
          <w:rFonts w:hint="cs"/>
          <w:rtl/>
        </w:rPr>
        <w:t xml:space="preserve">ואני </w:t>
      </w:r>
      <w:bookmarkStart w:id="53816" w:name="_ETM_Q100_553540"/>
      <w:bookmarkEnd w:id="53816"/>
      <w:r>
        <w:rPr>
          <w:rFonts w:hint="cs"/>
          <w:rtl/>
        </w:rPr>
        <w:t xml:space="preserve">רוצה </w:t>
      </w:r>
      <w:bookmarkStart w:id="53817" w:name="_ETM_Q100_553750"/>
      <w:bookmarkEnd w:id="53817"/>
      <w:r>
        <w:rPr>
          <w:rFonts w:hint="cs"/>
          <w:rtl/>
        </w:rPr>
        <w:t xml:space="preserve">להתייחס </w:t>
      </w:r>
      <w:bookmarkStart w:id="53818" w:name="_ETM_Q100_554200"/>
      <w:bookmarkEnd w:id="53818"/>
      <w:r>
        <w:rPr>
          <w:rFonts w:hint="cs"/>
          <w:rtl/>
        </w:rPr>
        <w:t>אליה</w:t>
      </w:r>
      <w:bookmarkStart w:id="53819" w:name="_ETM_Q100_552281"/>
      <w:bookmarkEnd w:id="53819"/>
      <w:r>
        <w:rPr>
          <w:rFonts w:hint="cs"/>
          <w:rtl/>
        </w:rPr>
        <w:t xml:space="preserve">: </w:t>
      </w:r>
      <w:bookmarkStart w:id="53820" w:name="_ETM_Q100_554590"/>
      <w:bookmarkEnd w:id="53820"/>
      <w:r>
        <w:rPr>
          <w:rFonts w:hint="cs"/>
          <w:rtl/>
        </w:rPr>
        <w:t xml:space="preserve">האם </w:t>
      </w:r>
      <w:bookmarkStart w:id="53821" w:name="_ETM_Q100_554740"/>
      <w:bookmarkEnd w:id="53821"/>
      <w:r>
        <w:rPr>
          <w:rFonts w:hint="cs"/>
          <w:rtl/>
        </w:rPr>
        <w:t xml:space="preserve">ראוי </w:t>
      </w:r>
      <w:bookmarkStart w:id="53822" w:name="_ETM_Q100_555010"/>
      <w:bookmarkEnd w:id="53822"/>
      <w:r>
        <w:rPr>
          <w:rFonts w:hint="cs"/>
          <w:rtl/>
        </w:rPr>
        <w:t xml:space="preserve">שחוק </w:t>
      </w:r>
      <w:bookmarkStart w:id="53823" w:name="_ETM_Q100_555460"/>
      <w:bookmarkEnd w:id="53823"/>
      <w:r>
        <w:rPr>
          <w:rFonts w:hint="cs"/>
          <w:rtl/>
        </w:rPr>
        <w:t>כזה</w:t>
      </w:r>
      <w:bookmarkStart w:id="53824" w:name="_ETM_Q100_556300"/>
      <w:bookmarkEnd w:id="53824"/>
      <w:r>
        <w:rPr>
          <w:rFonts w:hint="cs"/>
          <w:rtl/>
        </w:rPr>
        <w:t xml:space="preserve"> </w:t>
      </w:r>
      <w:bookmarkStart w:id="53825" w:name="_ETM_Q100_556733"/>
      <w:bookmarkEnd w:id="53825"/>
      <w:r>
        <w:rPr>
          <w:rFonts w:hint="cs"/>
          <w:rtl/>
        </w:rPr>
        <w:t xml:space="preserve">הבא </w:t>
      </w:r>
      <w:bookmarkStart w:id="53826" w:name="_ETM_Q100_556660"/>
      <w:bookmarkEnd w:id="53826"/>
      <w:r>
        <w:rPr>
          <w:rFonts w:hint="cs"/>
          <w:rtl/>
        </w:rPr>
        <w:t xml:space="preserve">להגביל </w:t>
      </w:r>
      <w:bookmarkStart w:id="53827" w:name="_ETM_Q100_557830"/>
      <w:bookmarkEnd w:id="53827"/>
      <w:r>
        <w:rPr>
          <w:rFonts w:hint="cs"/>
          <w:rtl/>
        </w:rPr>
        <w:t xml:space="preserve">את </w:t>
      </w:r>
      <w:bookmarkStart w:id="53828" w:name="_ETM_Q100_557979"/>
      <w:bookmarkEnd w:id="53828"/>
      <w:r>
        <w:rPr>
          <w:rFonts w:hint="cs"/>
          <w:rtl/>
        </w:rPr>
        <w:t xml:space="preserve">סמכות </w:t>
      </w:r>
      <w:bookmarkStart w:id="53829" w:name="_ETM_Q100_558430"/>
      <w:bookmarkEnd w:id="53829"/>
      <w:r>
        <w:rPr>
          <w:rFonts w:hint="cs"/>
          <w:rtl/>
        </w:rPr>
        <w:t xml:space="preserve">הרוב </w:t>
      </w:r>
      <w:bookmarkStart w:id="53830" w:name="_ETM_Q100_558759"/>
      <w:bookmarkEnd w:id="53830"/>
      <w:r>
        <w:rPr>
          <w:rFonts w:hint="cs"/>
          <w:rtl/>
        </w:rPr>
        <w:t xml:space="preserve">לפגוע </w:t>
      </w:r>
      <w:bookmarkStart w:id="53831" w:name="_ETM_Q100_559240"/>
      <w:bookmarkEnd w:id="53831"/>
      <w:r>
        <w:rPr>
          <w:rFonts w:hint="cs"/>
          <w:rtl/>
        </w:rPr>
        <w:t xml:space="preserve">במיעוט </w:t>
      </w:r>
      <w:bookmarkStart w:id="53832" w:name="_ETM_Q100_559750"/>
      <w:bookmarkEnd w:id="53832"/>
      <w:r>
        <w:rPr>
          <w:rFonts w:hint="cs"/>
          <w:rtl/>
        </w:rPr>
        <w:t xml:space="preserve">או </w:t>
      </w:r>
      <w:bookmarkStart w:id="53833" w:name="_ETM_Q100_559839"/>
      <w:bookmarkEnd w:id="53833"/>
      <w:r>
        <w:rPr>
          <w:rFonts w:hint="cs"/>
          <w:rtl/>
        </w:rPr>
        <w:t>ביחיד,</w:t>
      </w:r>
      <w:bookmarkStart w:id="53834" w:name="_ETM_Q100_558361"/>
      <w:bookmarkEnd w:id="53834"/>
      <w:r>
        <w:rPr>
          <w:rFonts w:hint="cs"/>
          <w:rtl/>
        </w:rPr>
        <w:t xml:space="preserve"> </w:t>
      </w:r>
      <w:bookmarkStart w:id="53835" w:name="_ETM_Q100_560860"/>
      <w:bookmarkEnd w:id="53835"/>
      <w:r>
        <w:rPr>
          <w:rFonts w:hint="cs"/>
          <w:rtl/>
        </w:rPr>
        <w:t xml:space="preserve">יתקבל </w:t>
      </w:r>
      <w:bookmarkStart w:id="53836" w:name="_ETM_Q100_561339"/>
      <w:bookmarkEnd w:id="53836"/>
      <w:r>
        <w:rPr>
          <w:rFonts w:hint="cs"/>
          <w:rtl/>
        </w:rPr>
        <w:t xml:space="preserve">ברוב </w:t>
      </w:r>
      <w:bookmarkStart w:id="53837" w:name="_ETM_Q100_561700"/>
      <w:bookmarkEnd w:id="53837"/>
      <w:r>
        <w:rPr>
          <w:rFonts w:hint="cs"/>
          <w:rtl/>
        </w:rPr>
        <w:t xml:space="preserve">שאינו </w:t>
      </w:r>
      <w:bookmarkStart w:id="53838" w:name="_ETM_Q100_562119"/>
      <w:bookmarkEnd w:id="53838"/>
      <w:r>
        <w:rPr>
          <w:rFonts w:hint="cs"/>
          <w:rtl/>
        </w:rPr>
        <w:t xml:space="preserve">רוב </w:t>
      </w:r>
      <w:bookmarkStart w:id="53839" w:name="_ETM_Q100_562450"/>
      <w:bookmarkEnd w:id="53839"/>
      <w:r>
        <w:rPr>
          <w:rFonts w:hint="cs"/>
          <w:rtl/>
        </w:rPr>
        <w:t xml:space="preserve">גדול </w:t>
      </w:r>
      <w:bookmarkStart w:id="53840" w:name="_ETM_Q100_562839"/>
      <w:bookmarkEnd w:id="53840"/>
      <w:r>
        <w:rPr>
          <w:rFonts w:hint="cs"/>
          <w:rtl/>
        </w:rPr>
        <w:t>מאוד?</w:t>
      </w:r>
      <w:bookmarkStart w:id="53841" w:name="_ETM_Q100_561131"/>
      <w:bookmarkEnd w:id="53841"/>
      <w:r>
        <w:rPr>
          <w:rFonts w:hint="cs"/>
          <w:rtl/>
        </w:rPr>
        <w:t xml:space="preserve"> </w:t>
      </w:r>
      <w:bookmarkStart w:id="53842" w:name="_ETM_Q100_564009"/>
      <w:bookmarkEnd w:id="53842"/>
      <w:r>
        <w:rPr>
          <w:rFonts w:hint="cs"/>
          <w:rtl/>
        </w:rPr>
        <w:t xml:space="preserve">אני </w:t>
      </w:r>
      <w:bookmarkStart w:id="53843" w:name="_ETM_Q100_564250"/>
      <w:bookmarkEnd w:id="53843"/>
      <w:r>
        <w:rPr>
          <w:rFonts w:hint="cs"/>
          <w:rtl/>
        </w:rPr>
        <w:t xml:space="preserve">סברתי </w:t>
      </w:r>
      <w:bookmarkStart w:id="53844" w:name="_ETM_Q100_564820"/>
      <w:bookmarkEnd w:id="53844"/>
      <w:r>
        <w:rPr>
          <w:rFonts w:hint="cs"/>
          <w:rtl/>
        </w:rPr>
        <w:t>שאת</w:t>
      </w:r>
      <w:bookmarkStart w:id="53845" w:name="_ETM_Q100_564491"/>
      <w:bookmarkEnd w:id="53845"/>
      <w:r>
        <w:rPr>
          <w:rFonts w:hint="cs"/>
          <w:rtl/>
        </w:rPr>
        <w:t xml:space="preserve"> </w:t>
      </w:r>
      <w:bookmarkStart w:id="53846" w:name="_ETM_Q100_565000"/>
      <w:bookmarkEnd w:id="53846"/>
      <w:r>
        <w:rPr>
          <w:rFonts w:hint="cs"/>
          <w:rtl/>
        </w:rPr>
        <w:t>חוקי</w:t>
      </w:r>
      <w:bookmarkStart w:id="53847" w:name="_ETM_Q100_565329"/>
      <w:bookmarkEnd w:id="53847"/>
      <w:r>
        <w:rPr>
          <w:rFonts w:hint="cs"/>
          <w:rtl/>
        </w:rPr>
        <w:t xml:space="preserve">-היסוד </w:t>
      </w:r>
      <w:bookmarkStart w:id="53848" w:name="_ETM_Q100_566909"/>
      <w:bookmarkEnd w:id="53848"/>
      <w:r>
        <w:rPr>
          <w:rFonts w:hint="cs"/>
          <w:rtl/>
        </w:rPr>
        <w:t xml:space="preserve">צריך </w:t>
      </w:r>
      <w:bookmarkStart w:id="53849" w:name="_ETM_Q100_567479"/>
      <w:bookmarkEnd w:id="53849"/>
      <w:r>
        <w:rPr>
          <w:rFonts w:hint="cs"/>
          <w:rtl/>
        </w:rPr>
        <w:t>לקבל</w:t>
      </w:r>
      <w:bookmarkStart w:id="53850" w:name="_ETM_Q100_567959"/>
      <w:bookmarkEnd w:id="53850"/>
      <w:r>
        <w:rPr>
          <w:rFonts w:hint="cs"/>
          <w:rtl/>
        </w:rPr>
        <w:t xml:space="preserve">, </w:t>
      </w:r>
      <w:bookmarkStart w:id="53851" w:name="_ETM_Q100_566791"/>
      <w:bookmarkEnd w:id="53851"/>
      <w:r>
        <w:rPr>
          <w:rFonts w:hint="cs"/>
          <w:rtl/>
        </w:rPr>
        <w:t xml:space="preserve">וגם </w:t>
      </w:r>
      <w:bookmarkStart w:id="53852" w:name="_ETM_Q100_568200"/>
      <w:bookmarkEnd w:id="53852"/>
      <w:r>
        <w:rPr>
          <w:rFonts w:hint="cs"/>
          <w:rtl/>
        </w:rPr>
        <w:t xml:space="preserve">מותר </w:t>
      </w:r>
      <w:bookmarkStart w:id="53853" w:name="_ETM_Q100_568499"/>
      <w:bookmarkEnd w:id="53853"/>
      <w:r>
        <w:rPr>
          <w:rFonts w:hint="cs"/>
          <w:rtl/>
        </w:rPr>
        <w:t xml:space="preserve">לשנות, </w:t>
      </w:r>
      <w:bookmarkStart w:id="53854" w:name="_ETM_Q100_568889"/>
      <w:bookmarkEnd w:id="53854"/>
      <w:r>
        <w:rPr>
          <w:rFonts w:hint="cs"/>
          <w:rtl/>
        </w:rPr>
        <w:t xml:space="preserve">רק </w:t>
      </w:r>
      <w:bookmarkStart w:id="53855" w:name="_ETM_Q100_569130"/>
      <w:bookmarkEnd w:id="53855"/>
      <w:r>
        <w:rPr>
          <w:rFonts w:hint="cs"/>
          <w:rtl/>
        </w:rPr>
        <w:t xml:space="preserve">ברוב </w:t>
      </w:r>
      <w:bookmarkStart w:id="53856" w:name="_ETM_Q100_569459"/>
      <w:bookmarkEnd w:id="53856"/>
      <w:r>
        <w:rPr>
          <w:rFonts w:hint="cs"/>
          <w:rtl/>
        </w:rPr>
        <w:t xml:space="preserve">גדול. </w:t>
      </w:r>
      <w:bookmarkStart w:id="53857" w:name="_ETM_Q100_570389"/>
      <w:bookmarkEnd w:id="53857"/>
      <w:r>
        <w:rPr>
          <w:rFonts w:hint="cs"/>
          <w:rtl/>
        </w:rPr>
        <w:t xml:space="preserve">הצעתי </w:t>
      </w:r>
      <w:bookmarkStart w:id="53858" w:name="_ETM_Q100_570749"/>
      <w:bookmarkEnd w:id="53858"/>
      <w:r>
        <w:rPr>
          <w:rFonts w:hint="cs"/>
          <w:rtl/>
        </w:rPr>
        <w:t xml:space="preserve">80 </w:t>
      </w:r>
      <w:bookmarkStart w:id="53859" w:name="_ETM_Q100_571109"/>
      <w:bookmarkEnd w:id="53859"/>
      <w:r>
        <w:rPr>
          <w:rFonts w:hint="cs"/>
          <w:rtl/>
        </w:rPr>
        <w:t xml:space="preserve">חברי </w:t>
      </w:r>
      <w:bookmarkStart w:id="53860" w:name="_ETM_Q100_571439"/>
      <w:bookmarkEnd w:id="53860"/>
      <w:r>
        <w:rPr>
          <w:rFonts w:hint="cs"/>
          <w:rtl/>
        </w:rPr>
        <w:t xml:space="preserve">כנסת. </w:t>
      </w:r>
      <w:bookmarkStart w:id="53861" w:name="_ETM_Q100_574229"/>
      <w:bookmarkEnd w:id="53861"/>
      <w:r>
        <w:rPr>
          <w:rFonts w:hint="cs"/>
          <w:rtl/>
        </w:rPr>
        <w:t xml:space="preserve">הגשתי </w:t>
      </w:r>
      <w:bookmarkStart w:id="53862" w:name="_ETM_Q100_574680"/>
      <w:bookmarkEnd w:id="53862"/>
      <w:r>
        <w:rPr>
          <w:rFonts w:hint="cs"/>
          <w:rtl/>
        </w:rPr>
        <w:t xml:space="preserve">הצעת </w:t>
      </w:r>
      <w:bookmarkStart w:id="53863" w:name="_ETM_Q100_574950"/>
      <w:bookmarkEnd w:id="53863"/>
      <w:r>
        <w:rPr>
          <w:rFonts w:hint="cs"/>
          <w:rtl/>
        </w:rPr>
        <w:t xml:space="preserve">חוק </w:t>
      </w:r>
      <w:bookmarkStart w:id="53864" w:name="_ETM_Q100_575159"/>
      <w:bookmarkEnd w:id="53864"/>
      <w:r>
        <w:rPr>
          <w:rFonts w:hint="cs"/>
          <w:rtl/>
        </w:rPr>
        <w:t xml:space="preserve">כזאת, </w:t>
      </w:r>
      <w:bookmarkStart w:id="53865" w:name="_ETM_Q100_575870"/>
      <w:bookmarkEnd w:id="53865"/>
      <w:r>
        <w:rPr>
          <w:rFonts w:hint="cs"/>
          <w:rtl/>
        </w:rPr>
        <w:t xml:space="preserve">אבל </w:t>
      </w:r>
      <w:bookmarkStart w:id="53866" w:name="_ETM_Q100_576260"/>
      <w:bookmarkEnd w:id="53866"/>
      <w:r>
        <w:rPr>
          <w:rFonts w:hint="cs"/>
          <w:rtl/>
        </w:rPr>
        <w:t xml:space="preserve">המעניין </w:t>
      </w:r>
      <w:bookmarkStart w:id="53867" w:name="_ETM_Q100_576710"/>
      <w:bookmarkEnd w:id="53867"/>
      <w:r>
        <w:rPr>
          <w:rFonts w:hint="cs"/>
          <w:rtl/>
        </w:rPr>
        <w:t xml:space="preserve">הוא </w:t>
      </w:r>
      <w:bookmarkStart w:id="53868" w:name="_ETM_Q100_576770"/>
      <w:bookmarkEnd w:id="53868"/>
      <w:r>
        <w:rPr>
          <w:rFonts w:hint="cs"/>
          <w:rtl/>
        </w:rPr>
        <w:t xml:space="preserve">שאותם </w:t>
      </w:r>
      <w:bookmarkStart w:id="53869" w:name="_ETM_Q100_577160"/>
      <w:bookmarkEnd w:id="53869"/>
      <w:r>
        <w:rPr>
          <w:rFonts w:hint="cs"/>
          <w:rtl/>
        </w:rPr>
        <w:t xml:space="preserve">חברי </w:t>
      </w:r>
      <w:bookmarkStart w:id="53870" w:name="_ETM_Q100_577490"/>
      <w:bookmarkEnd w:id="53870"/>
      <w:r>
        <w:rPr>
          <w:rFonts w:hint="cs"/>
          <w:rtl/>
        </w:rPr>
        <w:t xml:space="preserve">כנסת </w:t>
      </w:r>
      <w:bookmarkStart w:id="53871" w:name="_ETM_Q100_577760"/>
      <w:bookmarkEnd w:id="53871"/>
      <w:r>
        <w:rPr>
          <w:rFonts w:hint="cs"/>
          <w:rtl/>
        </w:rPr>
        <w:t xml:space="preserve">שזעקו </w:t>
      </w:r>
      <w:bookmarkStart w:id="53872" w:name="_ETM_Q100_578810"/>
      <w:bookmarkEnd w:id="53872"/>
      <w:r>
        <w:rPr>
          <w:rFonts w:hint="cs"/>
          <w:rtl/>
        </w:rPr>
        <w:t xml:space="preserve">לרגל </w:t>
      </w:r>
      <w:bookmarkStart w:id="53873" w:name="_ETM_Q100_579260"/>
      <w:bookmarkEnd w:id="53873"/>
      <w:r>
        <w:rPr>
          <w:rFonts w:hint="cs"/>
          <w:rtl/>
        </w:rPr>
        <w:t xml:space="preserve">ניסיוני </w:t>
      </w:r>
      <w:bookmarkStart w:id="53874" w:name="_ETM_Q100_579740"/>
      <w:bookmarkEnd w:id="53874"/>
      <w:r>
        <w:rPr>
          <w:rFonts w:hint="cs"/>
          <w:rtl/>
        </w:rPr>
        <w:t xml:space="preserve">להסדיר </w:t>
      </w:r>
      <w:bookmarkStart w:id="53875" w:name="_ETM_Q100_580160"/>
      <w:bookmarkEnd w:id="53875"/>
      <w:r>
        <w:rPr>
          <w:rFonts w:hint="cs"/>
          <w:rtl/>
        </w:rPr>
        <w:t xml:space="preserve">את </w:t>
      </w:r>
      <w:bookmarkStart w:id="53876" w:name="_ETM_Q100_580250"/>
      <w:bookmarkEnd w:id="53876"/>
      <w:r>
        <w:rPr>
          <w:rFonts w:hint="cs"/>
          <w:rtl/>
        </w:rPr>
        <w:t xml:space="preserve">ענייני </w:t>
      </w:r>
      <w:bookmarkStart w:id="53877" w:name="_ETM_Q100_580610"/>
      <w:bookmarkEnd w:id="53877"/>
      <w:r>
        <w:rPr>
          <w:rFonts w:hint="cs"/>
          <w:rtl/>
        </w:rPr>
        <w:t xml:space="preserve">החקיקה </w:t>
      </w:r>
      <w:bookmarkStart w:id="53878" w:name="_ETM_Q100_581029"/>
      <w:bookmarkEnd w:id="53878"/>
      <w:r>
        <w:rPr>
          <w:rFonts w:hint="cs"/>
          <w:rtl/>
        </w:rPr>
        <w:t xml:space="preserve">ולקבוע </w:t>
      </w:r>
      <w:bookmarkStart w:id="53879" w:name="_ETM_Q100_581690"/>
      <w:bookmarkEnd w:id="53879"/>
      <w:r>
        <w:rPr>
          <w:rFonts w:hint="cs"/>
          <w:rtl/>
        </w:rPr>
        <w:t xml:space="preserve">איך </w:t>
      </w:r>
      <w:bookmarkStart w:id="53880" w:name="_ETM_Q100_582410"/>
      <w:bookmarkEnd w:id="53880"/>
      <w:r>
        <w:rPr>
          <w:rFonts w:hint="cs"/>
          <w:rtl/>
        </w:rPr>
        <w:t xml:space="preserve">מקבלים </w:t>
      </w:r>
      <w:bookmarkStart w:id="53881" w:name="_ETM_Q100_582830"/>
      <w:bookmarkEnd w:id="53881"/>
      <w:r>
        <w:rPr>
          <w:rFonts w:hint="cs"/>
          <w:rtl/>
        </w:rPr>
        <w:t>חוקי</w:t>
      </w:r>
      <w:bookmarkStart w:id="53882" w:name="_ETM_Q100_583130"/>
      <w:bookmarkStart w:id="53883" w:name="_ETM_Q100_580631"/>
      <w:bookmarkEnd w:id="53882"/>
      <w:bookmarkEnd w:id="53883"/>
      <w:r>
        <w:rPr>
          <w:rFonts w:hint="cs"/>
          <w:rtl/>
        </w:rPr>
        <w:t xml:space="preserve">-יסוד, </w:t>
      </w:r>
      <w:bookmarkStart w:id="53884" w:name="_ETM_Q100_584000"/>
      <w:bookmarkEnd w:id="53884"/>
      <w:r>
        <w:rPr>
          <w:rFonts w:hint="cs"/>
          <w:rtl/>
        </w:rPr>
        <w:t xml:space="preserve">גם אם </w:t>
      </w:r>
      <w:bookmarkStart w:id="53885" w:name="_ETM_Q100_583761"/>
      <w:bookmarkEnd w:id="53885"/>
      <w:r>
        <w:rPr>
          <w:rFonts w:hint="cs"/>
          <w:rtl/>
        </w:rPr>
        <w:t xml:space="preserve">היו עליהם </w:t>
      </w:r>
      <w:bookmarkStart w:id="53886" w:name="_ETM_Q100_584420"/>
      <w:bookmarkStart w:id="53887" w:name="_ETM_Q100_584660"/>
      <w:bookmarkStart w:id="53888" w:name="_ETM_Q100_582161"/>
      <w:bookmarkEnd w:id="53886"/>
      <w:bookmarkEnd w:id="53887"/>
      <w:bookmarkEnd w:id="53888"/>
      <w:r>
        <w:rPr>
          <w:rFonts w:hint="cs"/>
          <w:rtl/>
        </w:rPr>
        <w:t>מחלוקות</w:t>
      </w:r>
      <w:bookmarkStart w:id="53889" w:name="_ETM_Q100_585230"/>
      <w:bookmarkStart w:id="53890" w:name="_ETM_Q100_585290"/>
      <w:bookmarkEnd w:id="53889"/>
      <w:bookmarkEnd w:id="53890"/>
      <w:r>
        <w:rPr>
          <w:rFonts w:hint="cs"/>
          <w:rtl/>
        </w:rPr>
        <w:t xml:space="preserve"> על </w:t>
      </w:r>
      <w:bookmarkStart w:id="53891" w:name="_ETM_Q100_582531"/>
      <w:bookmarkEnd w:id="53891"/>
      <w:r>
        <w:rPr>
          <w:rFonts w:hint="cs"/>
          <w:rtl/>
        </w:rPr>
        <w:t xml:space="preserve">נושאים </w:t>
      </w:r>
      <w:bookmarkStart w:id="53892" w:name="_ETM_Q100_585620"/>
      <w:bookmarkEnd w:id="53892"/>
      <w:r>
        <w:rPr>
          <w:rFonts w:hint="cs"/>
          <w:rtl/>
        </w:rPr>
        <w:t xml:space="preserve">שונים, </w:t>
      </w:r>
      <w:bookmarkStart w:id="53893" w:name="_ETM_Q100_586430"/>
      <w:bookmarkEnd w:id="53893"/>
      <w:r>
        <w:rPr>
          <w:rFonts w:hint="cs"/>
          <w:rtl/>
        </w:rPr>
        <w:t xml:space="preserve">אלה </w:t>
      </w:r>
      <w:bookmarkStart w:id="53894" w:name="_ETM_Q100_586640"/>
      <w:bookmarkEnd w:id="53894"/>
      <w:r>
        <w:rPr>
          <w:rFonts w:hint="cs"/>
          <w:rtl/>
        </w:rPr>
        <w:t xml:space="preserve">אותם </w:t>
      </w:r>
      <w:bookmarkStart w:id="53895" w:name="_ETM_Q100_586940"/>
      <w:bookmarkEnd w:id="53895"/>
      <w:r>
        <w:rPr>
          <w:rFonts w:hint="cs"/>
          <w:rtl/>
        </w:rPr>
        <w:t xml:space="preserve">חברי </w:t>
      </w:r>
      <w:bookmarkStart w:id="53896" w:name="_ETM_Q100_587300"/>
      <w:bookmarkEnd w:id="53896"/>
      <w:r>
        <w:rPr>
          <w:rFonts w:hint="cs"/>
          <w:rtl/>
        </w:rPr>
        <w:t xml:space="preserve">כנסת </w:t>
      </w:r>
      <w:bookmarkStart w:id="53897" w:name="_ETM_Q100_587779"/>
      <w:bookmarkEnd w:id="53897"/>
      <w:r>
        <w:rPr>
          <w:rFonts w:hint="cs"/>
          <w:rtl/>
        </w:rPr>
        <w:t xml:space="preserve">שטוענים </w:t>
      </w:r>
      <w:bookmarkStart w:id="53898" w:name="_ETM_Q100_588230"/>
      <w:bookmarkEnd w:id="53898"/>
      <w:r>
        <w:rPr>
          <w:rFonts w:hint="cs"/>
          <w:rtl/>
        </w:rPr>
        <w:t xml:space="preserve">עכשיו </w:t>
      </w:r>
      <w:bookmarkStart w:id="53899" w:name="_ETM_Q100_589210"/>
      <w:bookmarkEnd w:id="53899"/>
      <w:r>
        <w:rPr>
          <w:rFonts w:hint="cs"/>
          <w:rtl/>
        </w:rPr>
        <w:t xml:space="preserve">מדוע </w:t>
      </w:r>
      <w:bookmarkStart w:id="53900" w:name="_ETM_Q100_590229"/>
      <w:bookmarkEnd w:id="53900"/>
      <w:r>
        <w:rPr>
          <w:rFonts w:hint="cs"/>
          <w:rtl/>
        </w:rPr>
        <w:t xml:space="preserve">יקבלו </w:t>
      </w:r>
      <w:bookmarkStart w:id="53901" w:name="_ETM_Q100_590649"/>
      <w:bookmarkEnd w:id="53901"/>
      <w:r>
        <w:rPr>
          <w:rFonts w:hint="cs"/>
          <w:rtl/>
        </w:rPr>
        <w:t xml:space="preserve">את </w:t>
      </w:r>
      <w:bookmarkStart w:id="53902" w:name="_ETM_Q100_590799"/>
      <w:bookmarkEnd w:id="53902"/>
      <w:r>
        <w:rPr>
          <w:rFonts w:hint="cs"/>
          <w:rtl/>
        </w:rPr>
        <w:t xml:space="preserve">החוק </w:t>
      </w:r>
      <w:bookmarkStart w:id="53903" w:name="_ETM_Q100_591930"/>
      <w:bookmarkStart w:id="53904" w:name="_ETM_Q100_592170"/>
      <w:bookmarkStart w:id="53905" w:name="_ETM_Q100_592290"/>
      <w:bookmarkEnd w:id="53903"/>
      <w:bookmarkEnd w:id="53904"/>
      <w:bookmarkEnd w:id="53905"/>
      <w:r>
        <w:rPr>
          <w:rFonts w:hint="cs"/>
          <w:rtl/>
        </w:rPr>
        <w:t xml:space="preserve">הזה ברוב </w:t>
      </w:r>
      <w:bookmarkStart w:id="53906" w:name="_ETM_Q100_592650"/>
      <w:bookmarkEnd w:id="53906"/>
      <w:r>
        <w:rPr>
          <w:rFonts w:hint="cs"/>
          <w:rtl/>
        </w:rPr>
        <w:t xml:space="preserve">נמוך" </w:t>
      </w:r>
      <w:bookmarkStart w:id="53907" w:name="_ETM_Q100_593460"/>
      <w:bookmarkEnd w:id="53907"/>
      <w:r>
        <w:rPr>
          <w:rFonts w:hint="cs"/>
          <w:rtl/>
        </w:rPr>
        <w:t>יותר.</w:t>
      </w:r>
      <w:bookmarkStart w:id="53908" w:name="_ETM_Q100_594540"/>
      <w:bookmarkEnd w:id="53908"/>
    </w:p>
    <w:p w:rsidR="00BB59CD" w:rsidRDefault="00BB59CD" w:rsidP="00BB59CD">
      <w:pPr>
        <w:rPr>
          <w:rtl/>
        </w:rPr>
      </w:pPr>
    </w:p>
    <w:p w:rsidR="00BB59CD" w:rsidRDefault="00BB59CD" w:rsidP="00374B1A">
      <w:pPr>
        <w:rPr>
          <w:rtl/>
        </w:rPr>
      </w:pPr>
      <w:bookmarkStart w:id="53909" w:name="_ETM_Q100_592001"/>
      <w:bookmarkEnd w:id="53909"/>
      <w:r>
        <w:rPr>
          <w:rFonts w:hint="cs"/>
          <w:rtl/>
        </w:rPr>
        <w:t xml:space="preserve">אדוני </w:t>
      </w:r>
      <w:bookmarkStart w:id="53910" w:name="_ETM_Q100_594870"/>
      <w:bookmarkEnd w:id="53910"/>
      <w:r>
        <w:rPr>
          <w:rFonts w:hint="cs"/>
          <w:rtl/>
        </w:rPr>
        <w:t xml:space="preserve">היושב-ראש, </w:t>
      </w:r>
      <w:bookmarkStart w:id="53911" w:name="_ETM_Q100_595440"/>
      <w:bookmarkEnd w:id="53911"/>
      <w:r>
        <w:rPr>
          <w:rFonts w:hint="cs"/>
          <w:rtl/>
        </w:rPr>
        <w:t xml:space="preserve">אני </w:t>
      </w:r>
      <w:bookmarkStart w:id="53912" w:name="_ETM_Q100_595560"/>
      <w:bookmarkStart w:id="53913" w:name="_ETM_Q100_595770"/>
      <w:bookmarkStart w:id="53914" w:name="_ETM_Q100_595980"/>
      <w:bookmarkStart w:id="53915" w:name="_ETM_Q100_596159"/>
      <w:bookmarkStart w:id="53916" w:name="_ETM_Q100_594070"/>
      <w:bookmarkEnd w:id="53912"/>
      <w:bookmarkEnd w:id="53913"/>
      <w:bookmarkEnd w:id="53914"/>
      <w:bookmarkEnd w:id="53915"/>
      <w:bookmarkEnd w:id="53916"/>
      <w:r>
        <w:rPr>
          <w:rFonts w:hint="cs"/>
          <w:rtl/>
        </w:rPr>
        <w:t xml:space="preserve">בחרתי </w:t>
      </w:r>
      <w:bookmarkStart w:id="53917" w:name="_ETM_Q100_596670"/>
      <w:bookmarkEnd w:id="53917"/>
      <w:r>
        <w:rPr>
          <w:rFonts w:hint="cs"/>
          <w:rtl/>
        </w:rPr>
        <w:t xml:space="preserve">לסכם </w:t>
      </w:r>
      <w:bookmarkStart w:id="53918" w:name="_ETM_Q100_597089"/>
      <w:bookmarkEnd w:id="53918"/>
      <w:r>
        <w:rPr>
          <w:rFonts w:hint="cs"/>
          <w:rtl/>
        </w:rPr>
        <w:t xml:space="preserve">עם </w:t>
      </w:r>
      <w:bookmarkStart w:id="53919" w:name="_ETM_Q100_597240"/>
      <w:bookmarkEnd w:id="53919"/>
      <w:r>
        <w:rPr>
          <w:rFonts w:hint="cs"/>
          <w:rtl/>
        </w:rPr>
        <w:t xml:space="preserve">הדברים </w:t>
      </w:r>
      <w:bookmarkStart w:id="53920" w:name="_ETM_Q100_597600"/>
      <w:bookmarkEnd w:id="53920"/>
      <w:r>
        <w:rPr>
          <w:rFonts w:hint="cs"/>
          <w:rtl/>
        </w:rPr>
        <w:t xml:space="preserve">החשובים </w:t>
      </w:r>
      <w:bookmarkStart w:id="53921" w:name="_ETM_Q100_598050"/>
      <w:bookmarkEnd w:id="53921"/>
      <w:r>
        <w:rPr>
          <w:rFonts w:hint="cs"/>
          <w:rtl/>
        </w:rPr>
        <w:t xml:space="preserve">של שר </w:t>
      </w:r>
      <w:bookmarkStart w:id="53922" w:name="_ETM_Q100_598440"/>
      <w:bookmarkEnd w:id="53922"/>
      <w:r>
        <w:rPr>
          <w:rFonts w:hint="cs"/>
          <w:rtl/>
        </w:rPr>
        <w:t xml:space="preserve">המשפטים </w:t>
      </w:r>
      <w:bookmarkStart w:id="53923" w:name="_ETM_Q100_598920"/>
      <w:bookmarkEnd w:id="53923"/>
      <w:r>
        <w:rPr>
          <w:rFonts w:hint="cs"/>
          <w:rtl/>
        </w:rPr>
        <w:t xml:space="preserve">מטעם </w:t>
      </w:r>
      <w:bookmarkStart w:id="53924" w:name="_ETM_Q100_599220"/>
      <w:bookmarkEnd w:id="53924"/>
      <w:r>
        <w:rPr>
          <w:rFonts w:hint="cs"/>
          <w:rtl/>
        </w:rPr>
        <w:t xml:space="preserve">הליכוד </w:t>
      </w:r>
      <w:bookmarkStart w:id="53925" w:name="_ETM_Q100_600089"/>
      <w:bookmarkEnd w:id="53925"/>
      <w:r>
        <w:rPr>
          <w:rFonts w:hint="cs"/>
          <w:rtl/>
        </w:rPr>
        <w:t xml:space="preserve">חבר </w:t>
      </w:r>
      <w:bookmarkStart w:id="53926" w:name="_ETM_Q100_600420"/>
      <w:bookmarkEnd w:id="53926"/>
      <w:r>
        <w:rPr>
          <w:rFonts w:hint="cs"/>
          <w:rtl/>
        </w:rPr>
        <w:t xml:space="preserve">הכנסת </w:t>
      </w:r>
      <w:bookmarkStart w:id="53927" w:name="_ETM_Q100_600779"/>
      <w:bookmarkEnd w:id="53927"/>
      <w:r>
        <w:rPr>
          <w:rFonts w:hint="cs"/>
          <w:rtl/>
        </w:rPr>
        <w:t xml:space="preserve">דן </w:t>
      </w:r>
      <w:bookmarkStart w:id="53928" w:name="_ETM_Q100_600960"/>
      <w:bookmarkEnd w:id="53928"/>
      <w:r>
        <w:rPr>
          <w:rFonts w:hint="cs"/>
          <w:rtl/>
        </w:rPr>
        <w:t>מרידור,</w:t>
      </w:r>
      <w:bookmarkStart w:id="53929" w:name="_ETM_Q100_600630"/>
      <w:bookmarkEnd w:id="53929"/>
      <w:r>
        <w:rPr>
          <w:rFonts w:hint="cs"/>
          <w:rtl/>
        </w:rPr>
        <w:t xml:space="preserve"> </w:t>
      </w:r>
      <w:bookmarkStart w:id="53930" w:name="_ETM_Q100_601799"/>
      <w:bookmarkEnd w:id="53930"/>
      <w:r>
        <w:rPr>
          <w:rFonts w:hint="cs"/>
          <w:rtl/>
        </w:rPr>
        <w:t xml:space="preserve">מאחר </w:t>
      </w:r>
      <w:bookmarkStart w:id="53931" w:name="_ETM_Q100_602310"/>
      <w:bookmarkEnd w:id="53931"/>
      <w:r>
        <w:rPr>
          <w:rFonts w:hint="cs"/>
          <w:rtl/>
        </w:rPr>
        <w:t xml:space="preserve">שהוא </w:t>
      </w:r>
      <w:bookmarkStart w:id="53932" w:name="_ETM_Q100_602460"/>
      <w:bookmarkEnd w:id="53932"/>
      <w:r>
        <w:rPr>
          <w:rFonts w:hint="cs"/>
          <w:rtl/>
        </w:rPr>
        <w:t xml:space="preserve">מדבר </w:t>
      </w:r>
      <w:bookmarkStart w:id="53933" w:name="_ETM_Q100_603000"/>
      <w:bookmarkEnd w:id="53933"/>
      <w:r>
        <w:rPr>
          <w:rFonts w:hint="cs"/>
          <w:rtl/>
        </w:rPr>
        <w:t xml:space="preserve">על </w:t>
      </w:r>
      <w:bookmarkStart w:id="53934" w:name="_ETM_Q100_603089"/>
      <w:bookmarkEnd w:id="53934"/>
      <w:r>
        <w:rPr>
          <w:rFonts w:hint="cs"/>
          <w:rtl/>
        </w:rPr>
        <w:t xml:space="preserve">העקרונות </w:t>
      </w:r>
      <w:bookmarkStart w:id="53935" w:name="_ETM_Q100_603570"/>
      <w:bookmarkEnd w:id="53935"/>
      <w:r>
        <w:rPr>
          <w:rFonts w:hint="cs"/>
          <w:rtl/>
        </w:rPr>
        <w:t>הכל</w:t>
      </w:r>
      <w:bookmarkStart w:id="53936" w:name="_ETM_Q100_603930"/>
      <w:bookmarkStart w:id="53937" w:name="_ETM_Q100_601880"/>
      <w:bookmarkEnd w:id="53936"/>
      <w:bookmarkEnd w:id="53937"/>
      <w:r w:rsidR="00374B1A">
        <w:rPr>
          <w:rFonts w:hint="cs"/>
          <w:rtl/>
        </w:rPr>
        <w:t>-</w:t>
      </w:r>
      <w:r>
        <w:rPr>
          <w:rFonts w:hint="cs"/>
          <w:rtl/>
        </w:rPr>
        <w:t xml:space="preserve">כך </w:t>
      </w:r>
      <w:bookmarkStart w:id="53938" w:name="_ETM_Q100_604140"/>
      <w:bookmarkEnd w:id="53938"/>
      <w:r>
        <w:rPr>
          <w:rFonts w:hint="cs"/>
          <w:rtl/>
        </w:rPr>
        <w:t>חשובי</w:t>
      </w:r>
      <w:bookmarkStart w:id="53939" w:name="_ETM_Q100_613008"/>
      <w:bookmarkEnd w:id="53939"/>
      <w:r>
        <w:rPr>
          <w:rFonts w:hint="cs"/>
          <w:rtl/>
        </w:rPr>
        <w:t>ם</w:t>
      </w:r>
      <w:bookmarkStart w:id="53940" w:name="_ETM_Q100_610399"/>
      <w:bookmarkStart w:id="53941" w:name="_ETM_Q100_607219"/>
      <w:bookmarkStart w:id="53942" w:name="_ETM_Q100_604919"/>
      <w:bookmarkStart w:id="53943" w:name="_ETM_Q100_604090"/>
      <w:bookmarkEnd w:id="53940"/>
      <w:bookmarkEnd w:id="53941"/>
      <w:bookmarkEnd w:id="53942"/>
      <w:bookmarkEnd w:id="53943"/>
      <w:r>
        <w:rPr>
          <w:rFonts w:hint="cs"/>
          <w:rtl/>
        </w:rPr>
        <w:t xml:space="preserve">, </w:t>
      </w:r>
      <w:bookmarkStart w:id="53944" w:name="_ETM_Q100_605609"/>
      <w:bookmarkEnd w:id="53944"/>
      <w:r>
        <w:rPr>
          <w:rFonts w:hint="cs"/>
          <w:rtl/>
        </w:rPr>
        <w:t>הדמוקרטיים,</w:t>
      </w:r>
      <w:bookmarkStart w:id="53945" w:name="_ETM_Q100_606060"/>
      <w:bookmarkEnd w:id="53945"/>
      <w:r>
        <w:rPr>
          <w:rFonts w:hint="cs"/>
          <w:rtl/>
        </w:rPr>
        <w:t xml:space="preserve"> </w:t>
      </w:r>
      <w:bookmarkStart w:id="53946" w:name="_ETM_Q100_606950"/>
      <w:bookmarkEnd w:id="53946"/>
      <w:r>
        <w:rPr>
          <w:rFonts w:hint="cs"/>
          <w:rtl/>
        </w:rPr>
        <w:t xml:space="preserve">של </w:t>
      </w:r>
      <w:bookmarkStart w:id="53947" w:name="_ETM_Q100_607190"/>
      <w:bookmarkEnd w:id="53947"/>
      <w:r>
        <w:rPr>
          <w:rFonts w:hint="cs"/>
          <w:rtl/>
        </w:rPr>
        <w:t xml:space="preserve">שינוי </w:t>
      </w:r>
      <w:bookmarkStart w:id="53948" w:name="_ETM_Q100_608390"/>
      <w:bookmarkEnd w:id="53948"/>
      <w:r>
        <w:rPr>
          <w:rFonts w:hint="cs"/>
          <w:rtl/>
        </w:rPr>
        <w:t xml:space="preserve">או </w:t>
      </w:r>
      <w:bookmarkStart w:id="53949" w:name="_ETM_Q100_608630"/>
      <w:bookmarkEnd w:id="53949"/>
      <w:r>
        <w:rPr>
          <w:rFonts w:hint="cs"/>
          <w:rtl/>
        </w:rPr>
        <w:t xml:space="preserve">של </w:t>
      </w:r>
      <w:bookmarkStart w:id="53950" w:name="_ETM_Q100_608810"/>
      <w:bookmarkEnd w:id="53950"/>
      <w:r>
        <w:rPr>
          <w:rFonts w:hint="cs"/>
          <w:rtl/>
        </w:rPr>
        <w:t xml:space="preserve">טיפול </w:t>
      </w:r>
      <w:bookmarkStart w:id="53951" w:name="_ETM_Q100_609170"/>
      <w:bookmarkEnd w:id="53951"/>
      <w:r>
        <w:rPr>
          <w:rFonts w:hint="cs"/>
          <w:rtl/>
        </w:rPr>
        <w:t>בחוקי</w:t>
      </w:r>
      <w:bookmarkStart w:id="53952" w:name="_ETM_Q100_609530"/>
      <w:bookmarkEnd w:id="53952"/>
      <w:r>
        <w:rPr>
          <w:rFonts w:hint="cs"/>
          <w:rtl/>
        </w:rPr>
        <w:t>-</w:t>
      </w:r>
      <w:bookmarkStart w:id="53953" w:name="_ETM_Q100_606689"/>
      <w:bookmarkEnd w:id="53953"/>
      <w:r>
        <w:rPr>
          <w:rFonts w:hint="cs"/>
          <w:rtl/>
        </w:rPr>
        <w:t xml:space="preserve">יסוד, </w:t>
      </w:r>
      <w:bookmarkStart w:id="53954" w:name="_ETM_Q100_609950"/>
      <w:bookmarkEnd w:id="53954"/>
      <w:r>
        <w:rPr>
          <w:rFonts w:hint="cs"/>
          <w:rtl/>
        </w:rPr>
        <w:t xml:space="preserve">בדיוק </w:t>
      </w:r>
      <w:bookmarkStart w:id="53955" w:name="_ETM_Q100_610280"/>
      <w:bookmarkEnd w:id="53955"/>
      <w:r>
        <w:rPr>
          <w:rFonts w:hint="cs"/>
          <w:rtl/>
        </w:rPr>
        <w:t xml:space="preserve">כפי </w:t>
      </w:r>
      <w:bookmarkStart w:id="53956" w:name="_ETM_Q100_610490"/>
      <w:bookmarkEnd w:id="53956"/>
      <w:r>
        <w:rPr>
          <w:rFonts w:hint="cs"/>
          <w:rtl/>
        </w:rPr>
        <w:t xml:space="preserve">שמבקשים </w:t>
      </w:r>
      <w:bookmarkStart w:id="53957" w:name="_ETM_Q100_611950"/>
      <w:bookmarkEnd w:id="53957"/>
      <w:r>
        <w:rPr>
          <w:rFonts w:hint="cs"/>
          <w:rtl/>
        </w:rPr>
        <w:t xml:space="preserve">כעת </w:t>
      </w:r>
      <w:bookmarkStart w:id="53958" w:name="_ETM_Q100_612250"/>
      <w:bookmarkEnd w:id="53958"/>
      <w:r>
        <w:rPr>
          <w:rFonts w:hint="cs"/>
          <w:rtl/>
        </w:rPr>
        <w:t xml:space="preserve">לעשות </w:t>
      </w:r>
      <w:bookmarkStart w:id="53959" w:name="_ETM_Q100_612579"/>
      <w:bookmarkEnd w:id="53959"/>
      <w:r>
        <w:rPr>
          <w:rFonts w:hint="cs"/>
          <w:rtl/>
        </w:rPr>
        <w:t>בממשלה הזו</w:t>
      </w:r>
      <w:bookmarkStart w:id="53960" w:name="_ETM_Q100_612448"/>
      <w:bookmarkEnd w:id="53960"/>
      <w:r>
        <w:rPr>
          <w:rFonts w:hint="cs"/>
          <w:rtl/>
        </w:rPr>
        <w:t>.</w:t>
      </w:r>
      <w:bookmarkStart w:id="53961" w:name="_ETM_Q100_608418"/>
      <w:bookmarkEnd w:id="53961"/>
      <w:r>
        <w:rPr>
          <w:rFonts w:hint="cs"/>
          <w:rtl/>
        </w:rPr>
        <w:t xml:space="preserve"> </w:t>
      </w:r>
      <w:bookmarkStart w:id="53962" w:name="_ETM_Q100_613150"/>
      <w:bookmarkStart w:id="53963" w:name="_ETM_Q100_613540"/>
      <w:bookmarkStart w:id="53964" w:name="_ETM_Q100_611520"/>
      <w:bookmarkEnd w:id="53962"/>
      <w:bookmarkEnd w:id="53963"/>
      <w:bookmarkEnd w:id="53964"/>
      <w:r>
        <w:rPr>
          <w:rFonts w:hint="cs"/>
          <w:rtl/>
        </w:rPr>
        <w:t xml:space="preserve">רק </w:t>
      </w:r>
      <w:bookmarkStart w:id="53965" w:name="_ETM_Q100_613840"/>
      <w:bookmarkEnd w:id="53965"/>
      <w:r>
        <w:rPr>
          <w:rFonts w:hint="cs"/>
          <w:rtl/>
        </w:rPr>
        <w:t xml:space="preserve">שבניגוד </w:t>
      </w:r>
      <w:bookmarkStart w:id="53966" w:name="_ETM_Q100_614260"/>
      <w:bookmarkEnd w:id="53966"/>
      <w:r>
        <w:rPr>
          <w:rFonts w:hint="cs"/>
          <w:rtl/>
        </w:rPr>
        <w:t xml:space="preserve">לדברים </w:t>
      </w:r>
      <w:bookmarkStart w:id="53967" w:name="_ETM_Q100_614650"/>
      <w:bookmarkEnd w:id="53967"/>
      <w:r>
        <w:rPr>
          <w:rFonts w:hint="cs"/>
          <w:rtl/>
        </w:rPr>
        <w:t xml:space="preserve">של </w:t>
      </w:r>
      <w:bookmarkStart w:id="53968" w:name="_ETM_Q100_614950"/>
      <w:bookmarkEnd w:id="53968"/>
      <w:r>
        <w:rPr>
          <w:rFonts w:hint="cs"/>
          <w:rtl/>
        </w:rPr>
        <w:t xml:space="preserve">שר </w:t>
      </w:r>
      <w:bookmarkStart w:id="53969" w:name="_ETM_Q100_615250"/>
      <w:bookmarkEnd w:id="53969"/>
      <w:r>
        <w:rPr>
          <w:rFonts w:hint="cs"/>
          <w:rtl/>
        </w:rPr>
        <w:t xml:space="preserve">המשפטים, </w:t>
      </w:r>
      <w:bookmarkStart w:id="53970" w:name="_ETM_Q100_615909"/>
      <w:bookmarkEnd w:id="53970"/>
      <w:r>
        <w:rPr>
          <w:rFonts w:hint="cs"/>
          <w:rtl/>
        </w:rPr>
        <w:t xml:space="preserve">שמדבר </w:t>
      </w:r>
      <w:bookmarkStart w:id="53971" w:name="_ETM_Q100_616870"/>
      <w:bookmarkEnd w:id="53971"/>
      <w:r>
        <w:rPr>
          <w:rFonts w:hint="cs"/>
          <w:rtl/>
        </w:rPr>
        <w:t xml:space="preserve">על </w:t>
      </w:r>
      <w:bookmarkStart w:id="53972" w:name="_ETM_Q100_617019"/>
      <w:bookmarkEnd w:id="53972"/>
      <w:r>
        <w:rPr>
          <w:rFonts w:hint="cs"/>
          <w:rtl/>
        </w:rPr>
        <w:t xml:space="preserve">הצורך </w:t>
      </w:r>
      <w:bookmarkStart w:id="53973" w:name="_ETM_Q100_617349"/>
      <w:bookmarkEnd w:id="53973"/>
      <w:r>
        <w:rPr>
          <w:rFonts w:hint="cs"/>
          <w:rtl/>
        </w:rPr>
        <w:t xml:space="preserve">לשנות </w:t>
      </w:r>
      <w:bookmarkStart w:id="53974" w:name="_ETM_Q100_618099"/>
      <w:bookmarkEnd w:id="53974"/>
      <w:r>
        <w:rPr>
          <w:rFonts w:hint="cs"/>
          <w:rtl/>
        </w:rPr>
        <w:t xml:space="preserve">חוקי-יסוד </w:t>
      </w:r>
      <w:bookmarkStart w:id="53975" w:name="_ETM_Q100_619239"/>
      <w:bookmarkEnd w:id="53975"/>
      <w:r>
        <w:rPr>
          <w:rFonts w:hint="cs"/>
          <w:rtl/>
        </w:rPr>
        <w:t xml:space="preserve">בהסכמה </w:t>
      </w:r>
      <w:bookmarkStart w:id="53976" w:name="_ETM_Q100_619840"/>
      <w:bookmarkEnd w:id="53976"/>
      <w:r>
        <w:rPr>
          <w:rFonts w:hint="cs"/>
          <w:rtl/>
        </w:rPr>
        <w:t xml:space="preserve">לאומית </w:t>
      </w:r>
      <w:bookmarkStart w:id="53977" w:name="_ETM_Q100_620200"/>
      <w:bookmarkEnd w:id="53977"/>
      <w:r>
        <w:rPr>
          <w:rFonts w:hint="cs"/>
          <w:rtl/>
        </w:rPr>
        <w:t xml:space="preserve">רחבה </w:t>
      </w:r>
      <w:bookmarkStart w:id="53978" w:name="_ETM_Q100_621440"/>
      <w:bookmarkEnd w:id="53978"/>
      <w:r>
        <w:rPr>
          <w:rFonts w:hint="cs"/>
          <w:rtl/>
        </w:rPr>
        <w:t xml:space="preserve">באופן </w:t>
      </w:r>
      <w:bookmarkStart w:id="53979" w:name="_ETM_Q100_621920"/>
      <w:bookmarkEnd w:id="53979"/>
      <w:r>
        <w:rPr>
          <w:rFonts w:hint="cs"/>
          <w:rtl/>
        </w:rPr>
        <w:t xml:space="preserve">שמגביל </w:t>
      </w:r>
      <w:bookmarkStart w:id="53980" w:name="_ETM_Q100_623280"/>
      <w:bookmarkEnd w:id="53980"/>
      <w:r>
        <w:rPr>
          <w:rFonts w:hint="cs"/>
          <w:rtl/>
        </w:rPr>
        <w:t xml:space="preserve">את </w:t>
      </w:r>
      <w:bookmarkStart w:id="53981" w:name="_ETM_Q100_623370"/>
      <w:bookmarkEnd w:id="53981"/>
      <w:r>
        <w:rPr>
          <w:rFonts w:hint="cs"/>
          <w:rtl/>
        </w:rPr>
        <w:t xml:space="preserve">יכולתו </w:t>
      </w:r>
      <w:bookmarkStart w:id="53982" w:name="_ETM_Q100_623910"/>
      <w:bookmarkEnd w:id="53982"/>
      <w:r>
        <w:rPr>
          <w:rFonts w:hint="cs"/>
          <w:rtl/>
        </w:rPr>
        <w:t xml:space="preserve">של </w:t>
      </w:r>
      <w:bookmarkStart w:id="53983" w:name="_ETM_Q100_624150"/>
      <w:bookmarkEnd w:id="53983"/>
      <w:r>
        <w:rPr>
          <w:rFonts w:hint="cs"/>
          <w:rtl/>
        </w:rPr>
        <w:t xml:space="preserve">הרוב </w:t>
      </w:r>
      <w:bookmarkStart w:id="53984" w:name="_ETM_Q100_625650"/>
      <w:bookmarkEnd w:id="53984"/>
      <w:r>
        <w:rPr>
          <w:rFonts w:hint="cs"/>
          <w:rtl/>
        </w:rPr>
        <w:t xml:space="preserve">לפגוע </w:t>
      </w:r>
      <w:bookmarkStart w:id="53985" w:name="_ETM_Q100_626370"/>
      <w:bookmarkEnd w:id="53985"/>
      <w:r>
        <w:rPr>
          <w:rFonts w:hint="cs"/>
          <w:rtl/>
        </w:rPr>
        <w:t xml:space="preserve">בזכויות </w:t>
      </w:r>
      <w:bookmarkStart w:id="53986" w:name="_ETM_Q100_626910"/>
      <w:bookmarkEnd w:id="53986"/>
      <w:r>
        <w:rPr>
          <w:rFonts w:hint="cs"/>
          <w:rtl/>
        </w:rPr>
        <w:t xml:space="preserve">של </w:t>
      </w:r>
      <w:bookmarkStart w:id="53987" w:name="_ETM_Q100_627060"/>
      <w:bookmarkEnd w:id="53987"/>
      <w:r>
        <w:rPr>
          <w:rFonts w:hint="cs"/>
          <w:rtl/>
        </w:rPr>
        <w:t xml:space="preserve">מיעוטים, </w:t>
      </w:r>
      <w:bookmarkStart w:id="53988" w:name="_ETM_Q100_628650"/>
      <w:bookmarkEnd w:id="53988"/>
      <w:r>
        <w:rPr>
          <w:rFonts w:hint="cs"/>
          <w:rtl/>
        </w:rPr>
        <w:t xml:space="preserve">באיזון </w:t>
      </w:r>
      <w:bookmarkStart w:id="53989" w:name="_ETM_Q100_630190"/>
      <w:bookmarkEnd w:id="53989"/>
      <w:r>
        <w:rPr>
          <w:rFonts w:hint="cs"/>
          <w:rtl/>
        </w:rPr>
        <w:t xml:space="preserve">העדין </w:t>
      </w:r>
      <w:bookmarkStart w:id="53990" w:name="_ETM_Q100_630850"/>
      <w:bookmarkEnd w:id="53990"/>
      <w:r>
        <w:rPr>
          <w:rFonts w:hint="cs"/>
          <w:rtl/>
        </w:rPr>
        <w:t xml:space="preserve">שבין </w:t>
      </w:r>
      <w:bookmarkStart w:id="53991" w:name="_ETM_Q100_631180"/>
      <w:bookmarkEnd w:id="53991"/>
      <w:r>
        <w:rPr>
          <w:rFonts w:hint="cs"/>
          <w:rtl/>
        </w:rPr>
        <w:t>שלו</w:t>
      </w:r>
      <w:bookmarkStart w:id="53992" w:name="_ETM_Q100_628939"/>
      <w:bookmarkEnd w:id="53992"/>
      <w:r>
        <w:rPr>
          <w:rFonts w:hint="cs"/>
          <w:rtl/>
        </w:rPr>
        <w:t xml:space="preserve"> </w:t>
      </w:r>
      <w:bookmarkStart w:id="53993" w:name="_ETM_Q100_631450"/>
      <w:bookmarkEnd w:id="53993"/>
      <w:r>
        <w:rPr>
          <w:rFonts w:hint="cs"/>
          <w:rtl/>
        </w:rPr>
        <w:t xml:space="preserve">רשויות </w:t>
      </w:r>
      <w:bookmarkStart w:id="53994" w:name="_ETM_Q100_631900"/>
      <w:bookmarkEnd w:id="53994"/>
      <w:r>
        <w:rPr>
          <w:rFonts w:hint="cs"/>
          <w:rtl/>
        </w:rPr>
        <w:t xml:space="preserve">השלטון </w:t>
      </w:r>
      <w:bookmarkStart w:id="53995" w:name="_ETM_Q100_634250"/>
      <w:bookmarkEnd w:id="53995"/>
      <w:r>
        <w:rPr>
          <w:rFonts w:hint="cs"/>
          <w:rtl/>
        </w:rPr>
        <w:t xml:space="preserve">– </w:t>
      </w:r>
      <w:bookmarkStart w:id="53996" w:name="_ETM_Q100_632823"/>
      <w:bookmarkEnd w:id="53996"/>
      <w:r>
        <w:rPr>
          <w:rFonts w:hint="cs"/>
          <w:rtl/>
        </w:rPr>
        <w:t xml:space="preserve">פה </w:t>
      </w:r>
      <w:bookmarkStart w:id="53997" w:name="_ETM_Q100_634549"/>
      <w:bookmarkEnd w:id="53997"/>
      <w:r>
        <w:rPr>
          <w:rFonts w:hint="cs"/>
          <w:rtl/>
        </w:rPr>
        <w:t xml:space="preserve">אנחנו </w:t>
      </w:r>
      <w:bookmarkStart w:id="53998" w:name="_ETM_Q100_634819"/>
      <w:bookmarkEnd w:id="53998"/>
      <w:r>
        <w:rPr>
          <w:rFonts w:hint="cs"/>
          <w:rtl/>
        </w:rPr>
        <w:t xml:space="preserve">רואים </w:t>
      </w:r>
      <w:bookmarkStart w:id="53999" w:name="_ETM_Q100_635269"/>
      <w:bookmarkEnd w:id="53999"/>
      <w:r>
        <w:rPr>
          <w:rFonts w:hint="cs"/>
          <w:rtl/>
        </w:rPr>
        <w:t xml:space="preserve">התנהלות </w:t>
      </w:r>
      <w:bookmarkStart w:id="54000" w:name="_ETM_Q100_635720"/>
      <w:bookmarkEnd w:id="54000"/>
      <w:r>
        <w:rPr>
          <w:rFonts w:hint="cs"/>
          <w:rtl/>
        </w:rPr>
        <w:t xml:space="preserve">שונה </w:t>
      </w:r>
      <w:bookmarkStart w:id="54001" w:name="_ETM_Q100_636140"/>
      <w:bookmarkEnd w:id="54001"/>
      <w:r>
        <w:rPr>
          <w:rFonts w:hint="cs"/>
          <w:rtl/>
        </w:rPr>
        <w:t xml:space="preserve">בתכלית </w:t>
      </w:r>
      <w:bookmarkStart w:id="54002" w:name="_ETM_Q100_637550"/>
      <w:bookmarkEnd w:id="54002"/>
      <w:r>
        <w:rPr>
          <w:rFonts w:hint="cs"/>
          <w:rtl/>
        </w:rPr>
        <w:t xml:space="preserve">של </w:t>
      </w:r>
      <w:bookmarkStart w:id="54003" w:name="_ETM_Q100_638530"/>
      <w:bookmarkEnd w:id="54003"/>
      <w:r>
        <w:rPr>
          <w:rFonts w:hint="cs"/>
          <w:rtl/>
        </w:rPr>
        <w:t>דר</w:t>
      </w:r>
      <w:bookmarkStart w:id="54004" w:name="_ETM_Q100_634849"/>
      <w:bookmarkEnd w:id="54004"/>
      <w:r>
        <w:rPr>
          <w:rFonts w:hint="cs"/>
          <w:rtl/>
        </w:rPr>
        <w:t>יס</w:t>
      </w:r>
      <w:bookmarkStart w:id="54005" w:name="_ETM_Q100_639040"/>
      <w:bookmarkEnd w:id="54005"/>
      <w:r>
        <w:rPr>
          <w:rFonts w:hint="cs"/>
          <w:rtl/>
        </w:rPr>
        <w:t xml:space="preserve">ת </w:t>
      </w:r>
      <w:bookmarkStart w:id="54006" w:name="_ETM_Q100_639159"/>
      <w:bookmarkEnd w:id="54006"/>
      <w:r>
        <w:rPr>
          <w:rFonts w:hint="cs"/>
          <w:rtl/>
        </w:rPr>
        <w:t xml:space="preserve">הרוב </w:t>
      </w:r>
      <w:bookmarkStart w:id="54007" w:name="_ETM_Q100_640760"/>
      <w:bookmarkEnd w:id="54007"/>
      <w:r>
        <w:rPr>
          <w:rFonts w:hint="cs"/>
          <w:rtl/>
        </w:rPr>
        <w:t xml:space="preserve">את </w:t>
      </w:r>
      <w:bookmarkStart w:id="54008" w:name="_ETM_Q100_641030"/>
      <w:bookmarkEnd w:id="54008"/>
      <w:r>
        <w:rPr>
          <w:rFonts w:hint="cs"/>
          <w:rtl/>
        </w:rPr>
        <w:t xml:space="preserve">המיעוט, </w:t>
      </w:r>
      <w:bookmarkStart w:id="54009" w:name="_ETM_Q100_641989"/>
      <w:bookmarkStart w:id="54010" w:name="_ETM_Q100_640869"/>
      <w:bookmarkEnd w:id="54009"/>
      <w:bookmarkEnd w:id="54010"/>
      <w:r>
        <w:rPr>
          <w:rFonts w:hint="cs"/>
          <w:rtl/>
        </w:rPr>
        <w:t xml:space="preserve">של </w:t>
      </w:r>
      <w:bookmarkStart w:id="54011" w:name="_ETM_Q100_642260"/>
      <w:bookmarkEnd w:id="54011"/>
      <w:r>
        <w:rPr>
          <w:rFonts w:hint="cs"/>
          <w:rtl/>
        </w:rPr>
        <w:t xml:space="preserve">התעלמות </w:t>
      </w:r>
      <w:bookmarkStart w:id="54012" w:name="_ETM_Q100_643460"/>
      <w:bookmarkEnd w:id="54012"/>
      <w:r>
        <w:rPr>
          <w:rFonts w:hint="cs"/>
          <w:rtl/>
        </w:rPr>
        <w:t>מ</w:t>
      </w:r>
      <w:bookmarkStart w:id="54013" w:name="_ETM_Q100_643790"/>
      <w:bookmarkEnd w:id="54013"/>
      <w:r>
        <w:rPr>
          <w:rFonts w:hint="cs"/>
          <w:rtl/>
        </w:rPr>
        <w:t xml:space="preserve">חצי </w:t>
      </w:r>
      <w:bookmarkStart w:id="54014" w:name="_ETM_Q100_644180"/>
      <w:bookmarkEnd w:id="54014"/>
      <w:r>
        <w:rPr>
          <w:rFonts w:hint="cs"/>
          <w:rtl/>
        </w:rPr>
        <w:t>מהעם</w:t>
      </w:r>
      <w:r w:rsidR="00374B1A">
        <w:rPr>
          <w:rFonts w:hint="cs"/>
          <w:rtl/>
        </w:rPr>
        <w:t>.</w:t>
      </w:r>
      <w:r>
        <w:rPr>
          <w:rFonts w:hint="cs"/>
          <w:rtl/>
        </w:rPr>
        <w:t xml:space="preserve"> </w:t>
      </w:r>
      <w:bookmarkStart w:id="54015" w:name="_ETM_Q100_645290"/>
      <w:bookmarkEnd w:id="54015"/>
      <w:r>
        <w:rPr>
          <w:rFonts w:hint="cs"/>
          <w:rtl/>
        </w:rPr>
        <w:t xml:space="preserve">כרגע </w:t>
      </w:r>
      <w:bookmarkStart w:id="54016" w:name="_ETM_Q100_646209"/>
      <w:bookmarkEnd w:id="54016"/>
      <w:r>
        <w:rPr>
          <w:rFonts w:hint="cs"/>
          <w:rtl/>
        </w:rPr>
        <w:t xml:space="preserve">חונים </w:t>
      </w:r>
      <w:bookmarkStart w:id="54017" w:name="_ETM_Q100_647590"/>
      <w:bookmarkEnd w:id="54017"/>
      <w:r>
        <w:rPr>
          <w:rFonts w:hint="cs"/>
          <w:rtl/>
        </w:rPr>
        <w:t>עשרות</w:t>
      </w:r>
      <w:bookmarkStart w:id="54018" w:name="_ETM_Q100_647959"/>
      <w:bookmarkEnd w:id="54018"/>
      <w:r>
        <w:rPr>
          <w:rFonts w:hint="cs"/>
          <w:rtl/>
        </w:rPr>
        <w:t xml:space="preserve"> – </w:t>
      </w:r>
      <w:bookmarkStart w:id="54019" w:name="_ETM_Q100_649000"/>
      <w:bookmarkStart w:id="54020" w:name="_ETM_Q100_649150"/>
      <w:bookmarkStart w:id="54021" w:name="_ETM_Q100_649830"/>
      <w:bookmarkStart w:id="54022" w:name="_ETM_Q100_648069"/>
      <w:bookmarkEnd w:id="54019"/>
      <w:bookmarkEnd w:id="54020"/>
      <w:bookmarkEnd w:id="54021"/>
      <w:bookmarkEnd w:id="54022"/>
      <w:r>
        <w:rPr>
          <w:rFonts w:hint="cs"/>
          <w:rtl/>
        </w:rPr>
        <w:t xml:space="preserve">אני </w:t>
      </w:r>
      <w:bookmarkStart w:id="54023" w:name="_ETM_Q100_649980"/>
      <w:bookmarkEnd w:id="54023"/>
      <w:r>
        <w:rPr>
          <w:rFonts w:hint="cs"/>
          <w:rtl/>
        </w:rPr>
        <w:t xml:space="preserve">לא </w:t>
      </w:r>
      <w:bookmarkStart w:id="54024" w:name="_ETM_Q100_650040"/>
      <w:bookmarkEnd w:id="54024"/>
      <w:r>
        <w:rPr>
          <w:rFonts w:hint="cs"/>
          <w:rtl/>
        </w:rPr>
        <w:t xml:space="preserve">יודע </w:t>
      </w:r>
      <w:bookmarkStart w:id="54025" w:name="_ETM_Q100_650340"/>
      <w:bookmarkEnd w:id="54025"/>
      <w:r>
        <w:rPr>
          <w:rFonts w:hint="cs"/>
          <w:rtl/>
        </w:rPr>
        <w:t xml:space="preserve">אם </w:t>
      </w:r>
      <w:bookmarkStart w:id="54026" w:name="_ETM_Q100_650489"/>
      <w:bookmarkEnd w:id="54026"/>
      <w:r>
        <w:rPr>
          <w:rFonts w:hint="cs"/>
          <w:rtl/>
        </w:rPr>
        <w:t xml:space="preserve">עשרות </w:t>
      </w:r>
      <w:bookmarkStart w:id="54027" w:name="_ETM_Q100_650790"/>
      <w:bookmarkEnd w:id="54027"/>
      <w:r>
        <w:rPr>
          <w:rFonts w:hint="cs"/>
          <w:rtl/>
        </w:rPr>
        <w:t xml:space="preserve">אלפים, </w:t>
      </w:r>
      <w:bookmarkStart w:id="54028" w:name="_ETM_Q100_651120"/>
      <w:bookmarkEnd w:id="54028"/>
      <w:r>
        <w:rPr>
          <w:rFonts w:hint="cs"/>
          <w:rtl/>
        </w:rPr>
        <w:t xml:space="preserve">אבל </w:t>
      </w:r>
      <w:bookmarkStart w:id="54029" w:name="_ETM_Q100_651330"/>
      <w:bookmarkEnd w:id="54029"/>
      <w:r>
        <w:rPr>
          <w:rFonts w:hint="cs"/>
          <w:rtl/>
        </w:rPr>
        <w:t xml:space="preserve">אלפים </w:t>
      </w:r>
      <w:bookmarkStart w:id="54030" w:name="_ETM_Q100_651629"/>
      <w:bookmarkEnd w:id="54030"/>
      <w:r>
        <w:rPr>
          <w:rFonts w:hint="cs"/>
          <w:rtl/>
        </w:rPr>
        <w:t xml:space="preserve">רבים </w:t>
      </w:r>
      <w:bookmarkStart w:id="54031" w:name="_ETM_Q100_651959"/>
      <w:bookmarkEnd w:id="54031"/>
      <w:r>
        <w:rPr>
          <w:rFonts w:hint="cs"/>
          <w:rtl/>
        </w:rPr>
        <w:t xml:space="preserve">חונים </w:t>
      </w:r>
      <w:bookmarkStart w:id="54032" w:name="_ETM_Q100_652290"/>
      <w:bookmarkEnd w:id="54032"/>
      <w:r>
        <w:rPr>
          <w:rFonts w:hint="cs"/>
          <w:rtl/>
        </w:rPr>
        <w:t xml:space="preserve">כעת </w:t>
      </w:r>
      <w:bookmarkStart w:id="54033" w:name="_ETM_Q100_652969"/>
      <w:bookmarkStart w:id="54034" w:name="_ETM_Q100_651539"/>
      <w:bookmarkEnd w:id="54033"/>
      <w:bookmarkEnd w:id="54034"/>
      <w:r>
        <w:rPr>
          <w:rFonts w:hint="cs"/>
          <w:rtl/>
        </w:rPr>
        <w:t xml:space="preserve">ולנים </w:t>
      </w:r>
      <w:bookmarkStart w:id="54035" w:name="_ETM_Q100_654079"/>
      <w:bookmarkEnd w:id="54035"/>
      <w:r>
        <w:rPr>
          <w:rFonts w:hint="cs"/>
          <w:rtl/>
        </w:rPr>
        <w:t xml:space="preserve">בגן </w:t>
      </w:r>
      <w:bookmarkStart w:id="54036" w:name="_ETM_Q100_654409"/>
      <w:bookmarkEnd w:id="54036"/>
      <w:r>
        <w:rPr>
          <w:rFonts w:hint="cs"/>
          <w:rtl/>
        </w:rPr>
        <w:t xml:space="preserve">סאקר </w:t>
      </w:r>
      <w:bookmarkStart w:id="54037" w:name="_ETM_Q100_654769"/>
      <w:bookmarkEnd w:id="54037"/>
      <w:r>
        <w:rPr>
          <w:rFonts w:hint="cs"/>
          <w:rtl/>
        </w:rPr>
        <w:t xml:space="preserve">פה, </w:t>
      </w:r>
      <w:bookmarkStart w:id="54038" w:name="_ETM_Q100_655459"/>
      <w:bookmarkEnd w:id="54038"/>
      <w:r>
        <w:rPr>
          <w:rFonts w:hint="cs"/>
          <w:rtl/>
        </w:rPr>
        <w:t xml:space="preserve">מחוץ </w:t>
      </w:r>
      <w:bookmarkStart w:id="54039" w:name="_ETM_Q100_655819"/>
      <w:bookmarkEnd w:id="54039"/>
      <w:r>
        <w:rPr>
          <w:rFonts w:hint="cs"/>
          <w:rtl/>
        </w:rPr>
        <w:t>לכנסת,</w:t>
      </w:r>
      <w:bookmarkStart w:id="54040" w:name="_ETM_Q100_655930"/>
      <w:bookmarkEnd w:id="54040"/>
      <w:r>
        <w:rPr>
          <w:rFonts w:hint="cs"/>
          <w:rtl/>
        </w:rPr>
        <w:t xml:space="preserve"> </w:t>
      </w:r>
      <w:bookmarkStart w:id="54041" w:name="_ETM_Q100_656390"/>
      <w:bookmarkEnd w:id="54041"/>
      <w:r>
        <w:rPr>
          <w:rFonts w:hint="cs"/>
          <w:rtl/>
        </w:rPr>
        <w:t>בירושלים,</w:t>
      </w:r>
      <w:bookmarkStart w:id="54042" w:name="_ETM_Q100_654131"/>
      <w:bookmarkEnd w:id="54042"/>
      <w:r>
        <w:rPr>
          <w:rFonts w:hint="cs"/>
          <w:rtl/>
        </w:rPr>
        <w:t xml:space="preserve"> </w:t>
      </w:r>
      <w:bookmarkStart w:id="54043" w:name="_ETM_Q100_658459"/>
      <w:bookmarkEnd w:id="54043"/>
      <w:r>
        <w:rPr>
          <w:rFonts w:hint="cs"/>
          <w:rtl/>
        </w:rPr>
        <w:t xml:space="preserve">עם </w:t>
      </w:r>
      <w:bookmarkStart w:id="54044" w:name="_ETM_Q100_658579"/>
      <w:bookmarkEnd w:id="54044"/>
      <w:r>
        <w:rPr>
          <w:rFonts w:hint="cs"/>
          <w:rtl/>
        </w:rPr>
        <w:t xml:space="preserve">דרישה </w:t>
      </w:r>
      <w:bookmarkStart w:id="54045" w:name="_ETM_Q100_658969"/>
      <w:bookmarkEnd w:id="54045"/>
      <w:r>
        <w:rPr>
          <w:rFonts w:hint="cs"/>
          <w:rtl/>
        </w:rPr>
        <w:t xml:space="preserve">אחת: </w:t>
      </w:r>
      <w:bookmarkStart w:id="54046" w:name="_ETM_Q100_660220"/>
      <w:bookmarkEnd w:id="54046"/>
      <w:r>
        <w:rPr>
          <w:rFonts w:hint="cs"/>
          <w:rtl/>
        </w:rPr>
        <w:t xml:space="preserve">תראו </w:t>
      </w:r>
      <w:bookmarkStart w:id="54047" w:name="_ETM_Q100_660610"/>
      <w:bookmarkEnd w:id="54047"/>
      <w:r>
        <w:rPr>
          <w:rFonts w:hint="cs"/>
          <w:rtl/>
        </w:rPr>
        <w:t xml:space="preserve">אותנו, </w:t>
      </w:r>
      <w:bookmarkStart w:id="54048" w:name="_ETM_Q100_662120"/>
      <w:bookmarkEnd w:id="54048"/>
      <w:r>
        <w:rPr>
          <w:rFonts w:hint="cs"/>
          <w:rtl/>
        </w:rPr>
        <w:t xml:space="preserve">תתחשבו </w:t>
      </w:r>
      <w:bookmarkStart w:id="54049" w:name="_ETM_Q100_662690"/>
      <w:bookmarkEnd w:id="54049"/>
      <w:r>
        <w:rPr>
          <w:rFonts w:hint="cs"/>
          <w:rtl/>
        </w:rPr>
        <w:t xml:space="preserve">בנו, </w:t>
      </w:r>
      <w:bookmarkStart w:id="54050" w:name="_ETM_Q100_664249"/>
      <w:bookmarkEnd w:id="54050"/>
      <w:r>
        <w:rPr>
          <w:rFonts w:hint="cs"/>
          <w:rtl/>
        </w:rPr>
        <w:t xml:space="preserve">אנחנו </w:t>
      </w:r>
      <w:bookmarkStart w:id="54051" w:name="_ETM_Q100_664519"/>
      <w:bookmarkEnd w:id="54051"/>
      <w:r>
        <w:rPr>
          <w:rFonts w:hint="cs"/>
          <w:rtl/>
        </w:rPr>
        <w:t xml:space="preserve">גם </w:t>
      </w:r>
      <w:bookmarkStart w:id="54052" w:name="_ETM_Q100_664760"/>
      <w:bookmarkEnd w:id="54052"/>
      <w:r>
        <w:rPr>
          <w:rFonts w:hint="cs"/>
          <w:rtl/>
        </w:rPr>
        <w:t xml:space="preserve">חלק </w:t>
      </w:r>
      <w:bookmarkStart w:id="54053" w:name="_ETM_Q100_665090"/>
      <w:bookmarkEnd w:id="54053"/>
      <w:r>
        <w:rPr>
          <w:rFonts w:hint="cs"/>
          <w:rtl/>
        </w:rPr>
        <w:t xml:space="preserve">מהעם </w:t>
      </w:r>
      <w:bookmarkStart w:id="54054" w:name="_ETM_Q100_665540"/>
      <w:bookmarkEnd w:id="54054"/>
      <w:r>
        <w:rPr>
          <w:rFonts w:hint="cs"/>
          <w:rtl/>
        </w:rPr>
        <w:t xml:space="preserve">הזה, </w:t>
      </w:r>
      <w:bookmarkStart w:id="54055" w:name="_ETM_Q100_665840"/>
      <w:bookmarkEnd w:id="54055"/>
      <w:r>
        <w:rPr>
          <w:rFonts w:hint="cs"/>
          <w:rtl/>
        </w:rPr>
        <w:t xml:space="preserve">גם </w:t>
      </w:r>
      <w:bookmarkStart w:id="54056" w:name="_ETM_Q100_666260"/>
      <w:bookmarkEnd w:id="54056"/>
      <w:r>
        <w:rPr>
          <w:rFonts w:hint="cs"/>
          <w:rtl/>
        </w:rPr>
        <w:t xml:space="preserve">לנו </w:t>
      </w:r>
      <w:bookmarkStart w:id="54057" w:name="_ETM_Q100_667160"/>
      <w:bookmarkEnd w:id="54057"/>
      <w:r>
        <w:rPr>
          <w:rFonts w:hint="cs"/>
          <w:rtl/>
        </w:rPr>
        <w:t xml:space="preserve">יש </w:t>
      </w:r>
      <w:bookmarkStart w:id="54058" w:name="_ETM_Q100_667400"/>
      <w:bookmarkEnd w:id="54058"/>
      <w:r>
        <w:rPr>
          <w:rFonts w:hint="cs"/>
          <w:rtl/>
        </w:rPr>
        <w:t xml:space="preserve">מקום </w:t>
      </w:r>
      <w:bookmarkStart w:id="54059" w:name="_ETM_Q100_668269"/>
      <w:bookmarkEnd w:id="54059"/>
      <w:r>
        <w:rPr>
          <w:rFonts w:hint="cs"/>
          <w:rtl/>
        </w:rPr>
        <w:t xml:space="preserve">בבית </w:t>
      </w:r>
      <w:bookmarkStart w:id="54060" w:name="_ETM_Q100_668930"/>
      <w:bookmarkEnd w:id="54060"/>
      <w:r>
        <w:rPr>
          <w:rFonts w:hint="cs"/>
          <w:rtl/>
        </w:rPr>
        <w:t xml:space="preserve">הזה, </w:t>
      </w:r>
      <w:bookmarkStart w:id="54061" w:name="_ETM_Q100_670680"/>
      <w:bookmarkEnd w:id="54061"/>
      <w:r>
        <w:rPr>
          <w:rFonts w:hint="cs"/>
          <w:rtl/>
        </w:rPr>
        <w:t xml:space="preserve">בבניין </w:t>
      </w:r>
      <w:bookmarkStart w:id="54062" w:name="_ETM_Q100_671309"/>
      <w:bookmarkEnd w:id="54062"/>
      <w:r>
        <w:rPr>
          <w:rFonts w:hint="cs"/>
          <w:rtl/>
        </w:rPr>
        <w:t xml:space="preserve">שלו, </w:t>
      </w:r>
      <w:bookmarkStart w:id="54063" w:name="_ETM_Q100_671609"/>
      <w:bookmarkEnd w:id="54063"/>
      <w:r>
        <w:rPr>
          <w:rFonts w:hint="cs"/>
          <w:rtl/>
        </w:rPr>
        <w:t xml:space="preserve">בהתפתחות </w:t>
      </w:r>
      <w:bookmarkStart w:id="54064" w:name="_ETM_Q100_672269"/>
      <w:bookmarkEnd w:id="54064"/>
      <w:r>
        <w:rPr>
          <w:rFonts w:hint="cs"/>
          <w:rtl/>
        </w:rPr>
        <w:t>שלו.</w:t>
      </w:r>
      <w:bookmarkStart w:id="54065" w:name="_ETM_Q100_673700"/>
      <w:bookmarkEnd w:id="54065"/>
    </w:p>
    <w:p w:rsidR="00BB59CD" w:rsidRDefault="00BB59CD" w:rsidP="00BB59CD">
      <w:pPr>
        <w:rPr>
          <w:rtl/>
        </w:rPr>
      </w:pPr>
    </w:p>
    <w:p w:rsidR="00BB59CD" w:rsidRDefault="00BB59CD" w:rsidP="00BB59CD">
      <w:pPr>
        <w:rPr>
          <w:rtl/>
        </w:rPr>
      </w:pPr>
      <w:r>
        <w:rPr>
          <w:rFonts w:hint="cs"/>
          <w:rtl/>
        </w:rPr>
        <w:t>ולכן</w:t>
      </w:r>
      <w:bookmarkStart w:id="54066" w:name="_ETM_Q100_670992"/>
      <w:bookmarkEnd w:id="54066"/>
      <w:r>
        <w:rPr>
          <w:rFonts w:hint="cs"/>
          <w:rtl/>
        </w:rPr>
        <w:t xml:space="preserve"> </w:t>
      </w:r>
      <w:bookmarkStart w:id="54067" w:name="_ETM_Q100_674150"/>
      <w:bookmarkEnd w:id="54067"/>
      <w:r>
        <w:rPr>
          <w:rFonts w:hint="cs"/>
          <w:rtl/>
        </w:rPr>
        <w:t xml:space="preserve">אני שב </w:t>
      </w:r>
      <w:bookmarkStart w:id="54068" w:name="_ETM_Q100_674599"/>
      <w:bookmarkEnd w:id="54068"/>
      <w:r>
        <w:rPr>
          <w:rFonts w:hint="cs"/>
          <w:rtl/>
        </w:rPr>
        <w:t xml:space="preserve">ואני </w:t>
      </w:r>
      <w:bookmarkStart w:id="54069" w:name="_ETM_Q100_674870"/>
      <w:bookmarkEnd w:id="54069"/>
      <w:r>
        <w:rPr>
          <w:rFonts w:hint="cs"/>
          <w:rtl/>
        </w:rPr>
        <w:t xml:space="preserve">קורא </w:t>
      </w:r>
      <w:bookmarkStart w:id="54070" w:name="_ETM_Q100_675200"/>
      <w:bookmarkStart w:id="54071" w:name="_ETM_Q100_672932"/>
      <w:bookmarkStart w:id="54072" w:name="_ETM_Q100_677231"/>
      <w:bookmarkStart w:id="54073" w:name="_ETM_Q100_673561"/>
      <w:bookmarkEnd w:id="54070"/>
      <w:bookmarkEnd w:id="54071"/>
      <w:bookmarkEnd w:id="54072"/>
      <w:bookmarkEnd w:id="54073"/>
      <w:r>
        <w:rPr>
          <w:rFonts w:hint="cs"/>
          <w:rtl/>
        </w:rPr>
        <w:t>את</w:t>
      </w:r>
      <w:bookmarkStart w:id="54074" w:name="_ETM_Q100_675321"/>
      <w:bookmarkEnd w:id="54074"/>
      <w:r>
        <w:rPr>
          <w:rFonts w:hint="cs"/>
          <w:rtl/>
        </w:rPr>
        <w:t xml:space="preserve"> </w:t>
      </w:r>
      <w:bookmarkStart w:id="54075" w:name="_ETM_Q100_675349"/>
      <w:bookmarkEnd w:id="54075"/>
      <w:r>
        <w:rPr>
          <w:rFonts w:hint="cs"/>
          <w:rtl/>
        </w:rPr>
        <w:t xml:space="preserve">הדרישה </w:t>
      </w:r>
      <w:bookmarkStart w:id="54076" w:name="_ETM_Q100_676519"/>
      <w:bookmarkEnd w:id="54076"/>
      <w:r>
        <w:rPr>
          <w:rFonts w:hint="cs"/>
          <w:rtl/>
        </w:rPr>
        <w:t xml:space="preserve">הבסיסית </w:t>
      </w:r>
      <w:bookmarkStart w:id="54077" w:name="_ETM_Q100_677239"/>
      <w:bookmarkEnd w:id="54077"/>
      <w:r>
        <w:rPr>
          <w:rFonts w:hint="cs"/>
          <w:rtl/>
        </w:rPr>
        <w:t xml:space="preserve">ביותר </w:t>
      </w:r>
      <w:bookmarkStart w:id="54078" w:name="_ETM_Q100_679230"/>
      <w:bookmarkEnd w:id="54078"/>
      <w:r>
        <w:rPr>
          <w:rFonts w:hint="cs"/>
          <w:rtl/>
        </w:rPr>
        <w:t xml:space="preserve">לראש </w:t>
      </w:r>
      <w:bookmarkStart w:id="54079" w:name="_ETM_Q100_679709"/>
      <w:bookmarkEnd w:id="54079"/>
      <w:r>
        <w:rPr>
          <w:rFonts w:hint="cs"/>
          <w:rtl/>
        </w:rPr>
        <w:t xml:space="preserve">הממשלה </w:t>
      </w:r>
      <w:bookmarkStart w:id="54080" w:name="_ETM_Q100_680220"/>
      <w:bookmarkEnd w:id="54080"/>
      <w:r>
        <w:rPr>
          <w:rFonts w:hint="cs"/>
          <w:rtl/>
        </w:rPr>
        <w:t xml:space="preserve">בנימין </w:t>
      </w:r>
      <w:bookmarkStart w:id="54081" w:name="_ETM_Q100_680610"/>
      <w:bookmarkEnd w:id="54081"/>
      <w:r>
        <w:rPr>
          <w:rFonts w:hint="cs"/>
          <w:rtl/>
        </w:rPr>
        <w:t xml:space="preserve">נתניהו: </w:t>
      </w:r>
      <w:bookmarkStart w:id="54082" w:name="_ETM_Q100_681239"/>
      <w:bookmarkEnd w:id="54082"/>
      <w:r>
        <w:rPr>
          <w:rFonts w:hint="cs"/>
          <w:rtl/>
        </w:rPr>
        <w:t xml:space="preserve">עצור </w:t>
      </w:r>
      <w:bookmarkStart w:id="54083" w:name="_ETM_Q100_682349"/>
      <w:bookmarkEnd w:id="54083"/>
      <w:r>
        <w:rPr>
          <w:rFonts w:hint="cs"/>
          <w:rtl/>
        </w:rPr>
        <w:t xml:space="preserve">את </w:t>
      </w:r>
      <w:bookmarkStart w:id="54084" w:name="_ETM_Q100_682499"/>
      <w:bookmarkEnd w:id="54084"/>
      <w:r>
        <w:rPr>
          <w:rFonts w:hint="cs"/>
          <w:rtl/>
        </w:rPr>
        <w:t xml:space="preserve">החקיקה. </w:t>
      </w:r>
      <w:bookmarkStart w:id="54085" w:name="_ETM_Q100_683579"/>
      <w:bookmarkEnd w:id="54085"/>
      <w:r>
        <w:rPr>
          <w:rFonts w:hint="cs"/>
          <w:rtl/>
        </w:rPr>
        <w:t xml:space="preserve">עוד </w:t>
      </w:r>
      <w:bookmarkStart w:id="54086" w:name="_ETM_Q100_683819"/>
      <w:bookmarkEnd w:id="54086"/>
      <w:r>
        <w:rPr>
          <w:rFonts w:hint="cs"/>
          <w:rtl/>
        </w:rPr>
        <w:t xml:space="preserve">לא </w:t>
      </w:r>
      <w:bookmarkStart w:id="54087" w:name="_ETM_Q100_683969"/>
      <w:bookmarkEnd w:id="54087"/>
      <w:r>
        <w:rPr>
          <w:rFonts w:hint="cs"/>
          <w:rtl/>
        </w:rPr>
        <w:t xml:space="preserve">מאוחר </w:t>
      </w:r>
      <w:bookmarkStart w:id="54088" w:name="_ETM_Q100_685310"/>
      <w:bookmarkEnd w:id="54088"/>
      <w:r>
        <w:rPr>
          <w:rFonts w:hint="cs"/>
          <w:rtl/>
        </w:rPr>
        <w:t xml:space="preserve">ללחוץ </w:t>
      </w:r>
      <w:bookmarkStart w:id="54089" w:name="_ETM_Q100_685730"/>
      <w:bookmarkEnd w:id="54089"/>
      <w:r>
        <w:rPr>
          <w:rFonts w:hint="cs"/>
          <w:rtl/>
        </w:rPr>
        <w:t xml:space="preserve">על </w:t>
      </w:r>
      <w:bookmarkStart w:id="54090" w:name="_ETM_Q100_685849"/>
      <w:bookmarkEnd w:id="54090"/>
      <w:r>
        <w:rPr>
          <w:rFonts w:hint="cs"/>
          <w:rtl/>
        </w:rPr>
        <w:t xml:space="preserve">הבלמים, </w:t>
      </w:r>
      <w:bookmarkStart w:id="54091" w:name="_ETM_Q100_687209"/>
      <w:bookmarkEnd w:id="54091"/>
      <w:r>
        <w:rPr>
          <w:rFonts w:hint="cs"/>
          <w:rtl/>
        </w:rPr>
        <w:t xml:space="preserve">לגשת </w:t>
      </w:r>
      <w:bookmarkStart w:id="54092" w:name="_ETM_Q100_687810"/>
      <w:bookmarkEnd w:id="54092"/>
      <w:r>
        <w:rPr>
          <w:rFonts w:hint="cs"/>
          <w:rtl/>
        </w:rPr>
        <w:t xml:space="preserve">לבית </w:t>
      </w:r>
      <w:bookmarkStart w:id="54093" w:name="_ETM_Q100_688110"/>
      <w:bookmarkEnd w:id="54093"/>
      <w:r>
        <w:rPr>
          <w:rFonts w:hint="cs"/>
          <w:rtl/>
        </w:rPr>
        <w:t xml:space="preserve">הנשיא, </w:t>
      </w:r>
      <w:bookmarkStart w:id="54094" w:name="_ETM_Q100_689129"/>
      <w:bookmarkEnd w:id="54094"/>
      <w:r>
        <w:rPr>
          <w:rFonts w:hint="cs"/>
          <w:rtl/>
        </w:rPr>
        <w:t xml:space="preserve">לדון </w:t>
      </w:r>
      <w:bookmarkStart w:id="54095" w:name="_ETM_Q100_691080"/>
      <w:bookmarkEnd w:id="54095"/>
      <w:r>
        <w:rPr>
          <w:rFonts w:hint="cs"/>
          <w:rtl/>
        </w:rPr>
        <w:t xml:space="preserve">בחוק </w:t>
      </w:r>
      <w:bookmarkStart w:id="54096" w:name="_ETM_Q100_691650"/>
      <w:bookmarkEnd w:id="54096"/>
      <w:r>
        <w:rPr>
          <w:rFonts w:hint="cs"/>
          <w:rtl/>
        </w:rPr>
        <w:t xml:space="preserve">הזה, </w:t>
      </w:r>
      <w:bookmarkStart w:id="54097" w:name="_ETM_Q100_692160"/>
      <w:bookmarkEnd w:id="54097"/>
      <w:r>
        <w:rPr>
          <w:rFonts w:hint="cs"/>
          <w:rtl/>
        </w:rPr>
        <w:t xml:space="preserve">בסדרת </w:t>
      </w:r>
      <w:bookmarkStart w:id="54098" w:name="_ETM_Q100_693330"/>
      <w:bookmarkEnd w:id="54098"/>
      <w:r>
        <w:rPr>
          <w:rFonts w:hint="cs"/>
          <w:rtl/>
        </w:rPr>
        <w:t xml:space="preserve">החוקים, </w:t>
      </w:r>
      <w:bookmarkStart w:id="54099" w:name="_ETM_Q100_695380"/>
      <w:bookmarkEnd w:id="54099"/>
      <w:r>
        <w:rPr>
          <w:rFonts w:hint="cs"/>
          <w:rtl/>
        </w:rPr>
        <w:t xml:space="preserve">להגיע </w:t>
      </w:r>
      <w:bookmarkStart w:id="54100" w:name="_ETM_Q100_695860"/>
      <w:bookmarkEnd w:id="54100"/>
      <w:r>
        <w:rPr>
          <w:rFonts w:hint="cs"/>
          <w:rtl/>
        </w:rPr>
        <w:t xml:space="preserve">להבנות </w:t>
      </w:r>
      <w:bookmarkStart w:id="54101" w:name="_ETM_Q100_696429"/>
      <w:bookmarkEnd w:id="54101"/>
      <w:r>
        <w:rPr>
          <w:rFonts w:hint="cs"/>
          <w:rtl/>
        </w:rPr>
        <w:t xml:space="preserve">לאומיות </w:t>
      </w:r>
      <w:bookmarkStart w:id="54102" w:name="_ETM_Q100_696849"/>
      <w:bookmarkEnd w:id="54102"/>
      <w:r>
        <w:rPr>
          <w:rFonts w:hint="cs"/>
          <w:rtl/>
        </w:rPr>
        <w:t xml:space="preserve">רחבות, </w:t>
      </w:r>
      <w:bookmarkStart w:id="54103" w:name="_ETM_Q100_697450"/>
      <w:bookmarkStart w:id="54104" w:name="_ETM_Q100_697231"/>
      <w:bookmarkEnd w:id="54103"/>
      <w:bookmarkEnd w:id="54104"/>
      <w:r>
        <w:rPr>
          <w:rFonts w:hint="cs"/>
          <w:rtl/>
        </w:rPr>
        <w:t xml:space="preserve">וזאת </w:t>
      </w:r>
      <w:bookmarkStart w:id="54105" w:name="_ETM_Q100_697840"/>
      <w:bookmarkEnd w:id="54105"/>
      <w:r>
        <w:rPr>
          <w:rFonts w:hint="cs"/>
          <w:rtl/>
        </w:rPr>
        <w:t xml:space="preserve">הדרך </w:t>
      </w:r>
      <w:bookmarkStart w:id="54106" w:name="_ETM_Q100_698140"/>
      <w:bookmarkEnd w:id="54106"/>
      <w:r>
        <w:rPr>
          <w:rFonts w:hint="cs"/>
          <w:rtl/>
        </w:rPr>
        <w:t xml:space="preserve">היחידה </w:t>
      </w:r>
      <w:bookmarkStart w:id="54107" w:name="_ETM_Q100_699660"/>
      <w:bookmarkEnd w:id="54107"/>
      <w:r>
        <w:rPr>
          <w:rFonts w:hint="cs"/>
          <w:rtl/>
        </w:rPr>
        <w:t>ל</w:t>
      </w:r>
      <w:bookmarkStart w:id="54108" w:name="_ETM_Q100_700170"/>
      <w:bookmarkStart w:id="54109" w:name="_ETM_Q100_704126"/>
      <w:bookmarkStart w:id="54110" w:name="_ETM_Q100_699642"/>
      <w:bookmarkEnd w:id="54108"/>
      <w:bookmarkEnd w:id="54109"/>
      <w:bookmarkEnd w:id="54110"/>
      <w:r>
        <w:rPr>
          <w:rFonts w:hint="cs"/>
          <w:rtl/>
        </w:rPr>
        <w:t xml:space="preserve">הניע </w:t>
      </w:r>
      <w:bookmarkStart w:id="54111" w:name="_ETM_Q100_697662"/>
      <w:bookmarkEnd w:id="54111"/>
      <w:r>
        <w:rPr>
          <w:rFonts w:hint="cs"/>
          <w:rtl/>
        </w:rPr>
        <w:t xml:space="preserve">תהליכים </w:t>
      </w:r>
      <w:bookmarkStart w:id="54112" w:name="_ETM_Q100_700860"/>
      <w:bookmarkEnd w:id="54112"/>
      <w:r>
        <w:rPr>
          <w:rFonts w:hint="cs"/>
          <w:rtl/>
        </w:rPr>
        <w:t xml:space="preserve">שמשנים </w:t>
      </w:r>
      <w:bookmarkStart w:id="54113" w:name="_ETM_Q100_701429"/>
      <w:bookmarkEnd w:id="54113"/>
      <w:r>
        <w:rPr>
          <w:rFonts w:hint="cs"/>
          <w:rtl/>
        </w:rPr>
        <w:t xml:space="preserve">את </w:t>
      </w:r>
      <w:bookmarkStart w:id="54114" w:name="_ETM_Q100_701520"/>
      <w:bookmarkEnd w:id="54114"/>
      <w:r>
        <w:rPr>
          <w:rFonts w:hint="cs"/>
          <w:rtl/>
        </w:rPr>
        <w:t xml:space="preserve">כללי </w:t>
      </w:r>
      <w:bookmarkStart w:id="54115" w:name="_ETM_Q100_701880"/>
      <w:bookmarkEnd w:id="54115"/>
      <w:r>
        <w:rPr>
          <w:rFonts w:hint="cs"/>
          <w:rtl/>
        </w:rPr>
        <w:t>המשחק,</w:t>
      </w:r>
      <w:bookmarkStart w:id="54116" w:name="_ETM_Q100_701702"/>
      <w:bookmarkEnd w:id="54116"/>
      <w:r>
        <w:rPr>
          <w:rFonts w:hint="cs"/>
          <w:rtl/>
        </w:rPr>
        <w:t xml:space="preserve"> </w:t>
      </w:r>
      <w:bookmarkStart w:id="54117" w:name="_ETM_Q100_702510"/>
      <w:bookmarkEnd w:id="54117"/>
      <w:r>
        <w:rPr>
          <w:rFonts w:hint="cs"/>
          <w:rtl/>
        </w:rPr>
        <w:t xml:space="preserve">את </w:t>
      </w:r>
      <w:bookmarkStart w:id="54118" w:name="_ETM_Q100_702630"/>
      <w:bookmarkEnd w:id="54118"/>
      <w:r>
        <w:rPr>
          <w:rFonts w:hint="cs"/>
          <w:rtl/>
        </w:rPr>
        <w:t xml:space="preserve">הכללים, </w:t>
      </w:r>
      <w:bookmarkStart w:id="54119" w:name="_ETM_Q100_703679"/>
      <w:bookmarkStart w:id="54120" w:name="_ETM_Q100_701612"/>
      <w:bookmarkEnd w:id="54119"/>
      <w:bookmarkEnd w:id="54120"/>
      <w:r>
        <w:rPr>
          <w:rFonts w:hint="cs"/>
          <w:rtl/>
        </w:rPr>
        <w:t xml:space="preserve">את כללי </w:t>
      </w:r>
      <w:bookmarkStart w:id="54121" w:name="_ETM_Q100_704129"/>
      <w:bookmarkEnd w:id="54121"/>
      <w:r>
        <w:rPr>
          <w:rFonts w:hint="cs"/>
          <w:rtl/>
        </w:rPr>
        <w:t xml:space="preserve">יסוד </w:t>
      </w:r>
      <w:bookmarkStart w:id="54122" w:name="_ETM_Q100_704459"/>
      <w:bookmarkEnd w:id="54122"/>
      <w:r>
        <w:rPr>
          <w:rFonts w:hint="cs"/>
          <w:rtl/>
        </w:rPr>
        <w:t xml:space="preserve">של </w:t>
      </w:r>
      <w:bookmarkStart w:id="54123" w:name="_ETM_Q100_704609"/>
      <w:bookmarkEnd w:id="54123"/>
      <w:r>
        <w:rPr>
          <w:rFonts w:hint="cs"/>
          <w:rtl/>
        </w:rPr>
        <w:t xml:space="preserve">המשטר </w:t>
      </w:r>
      <w:bookmarkStart w:id="54124" w:name="_ETM_Q100_705150"/>
      <w:bookmarkEnd w:id="54124"/>
      <w:r>
        <w:rPr>
          <w:rFonts w:hint="cs"/>
          <w:rtl/>
        </w:rPr>
        <w:t>שלנו</w:t>
      </w:r>
      <w:bookmarkStart w:id="54125" w:name="_ETM_Q100_704052"/>
      <w:bookmarkEnd w:id="54125"/>
      <w:r>
        <w:rPr>
          <w:rFonts w:hint="cs"/>
          <w:rtl/>
        </w:rPr>
        <w:t xml:space="preserve">, </w:t>
      </w:r>
      <w:bookmarkStart w:id="54126" w:name="_ETM_Q100_706370"/>
      <w:bookmarkEnd w:id="54126"/>
      <w:r>
        <w:rPr>
          <w:rFonts w:hint="cs"/>
          <w:rtl/>
        </w:rPr>
        <w:t>לא</w:t>
      </w:r>
      <w:bookmarkStart w:id="54127" w:name="_ETM_Q100_706969"/>
      <w:bookmarkStart w:id="54128" w:name="_ETM_Q100_707090"/>
      <w:bookmarkStart w:id="54129" w:name="_ETM_Q100_707190"/>
      <w:bookmarkStart w:id="54130" w:name="_ETM_Q100_708209"/>
      <w:bookmarkEnd w:id="54127"/>
      <w:bookmarkEnd w:id="54128"/>
      <w:bookmarkEnd w:id="54129"/>
      <w:bookmarkEnd w:id="54130"/>
      <w:r>
        <w:rPr>
          <w:rFonts w:hint="cs"/>
          <w:rtl/>
        </w:rPr>
        <w:t xml:space="preserve">חות את הקרעים </w:t>
      </w:r>
      <w:bookmarkStart w:id="54131" w:name="_ETM_Q100_707042"/>
      <w:bookmarkEnd w:id="54131"/>
      <w:r>
        <w:rPr>
          <w:rFonts w:hint="cs"/>
          <w:rtl/>
        </w:rPr>
        <w:t>הכל</w:t>
      </w:r>
      <w:bookmarkStart w:id="54132" w:name="_ETM_Q100_708720"/>
      <w:bookmarkEnd w:id="54132"/>
      <w:r>
        <w:rPr>
          <w:rFonts w:hint="cs"/>
          <w:rtl/>
        </w:rPr>
        <w:t xml:space="preserve">-כך </w:t>
      </w:r>
      <w:bookmarkStart w:id="54133" w:name="_ETM_Q100_708929"/>
      <w:bookmarkEnd w:id="54133"/>
      <w:r>
        <w:rPr>
          <w:rFonts w:hint="cs"/>
          <w:rtl/>
        </w:rPr>
        <w:t>עמוקי</w:t>
      </w:r>
      <w:bookmarkStart w:id="54134" w:name="_ETM_Q100_706572"/>
      <w:bookmarkEnd w:id="54134"/>
      <w:r>
        <w:rPr>
          <w:rFonts w:hint="cs"/>
          <w:rtl/>
        </w:rPr>
        <w:t xml:space="preserve">ם </w:t>
      </w:r>
      <w:bookmarkStart w:id="54135" w:name="_ETM_Q100_709440"/>
      <w:bookmarkEnd w:id="54135"/>
      <w:r>
        <w:rPr>
          <w:rFonts w:hint="cs"/>
          <w:rtl/>
        </w:rPr>
        <w:t xml:space="preserve">שנפערו, </w:t>
      </w:r>
      <w:bookmarkStart w:id="54136" w:name="_ETM_Q100_710220"/>
      <w:bookmarkEnd w:id="54136"/>
      <w:r>
        <w:rPr>
          <w:rFonts w:hint="cs"/>
          <w:rtl/>
        </w:rPr>
        <w:t xml:space="preserve">שפערתם, </w:t>
      </w:r>
      <w:bookmarkStart w:id="54137" w:name="_ETM_Q100_712329"/>
      <w:bookmarkEnd w:id="54137"/>
      <w:r>
        <w:rPr>
          <w:rFonts w:hint="cs"/>
          <w:rtl/>
        </w:rPr>
        <w:t xml:space="preserve">באחדות </w:t>
      </w:r>
      <w:bookmarkStart w:id="54138" w:name="_ETM_Q100_712929"/>
      <w:bookmarkEnd w:id="54138"/>
      <w:r>
        <w:rPr>
          <w:rFonts w:hint="cs"/>
          <w:rtl/>
        </w:rPr>
        <w:t xml:space="preserve">עם </w:t>
      </w:r>
      <w:bookmarkStart w:id="54139" w:name="_ETM_Q100_713109"/>
      <w:bookmarkEnd w:id="54139"/>
      <w:r>
        <w:rPr>
          <w:rFonts w:hint="cs"/>
          <w:rtl/>
        </w:rPr>
        <w:t>ישראל</w:t>
      </w:r>
      <w:bookmarkStart w:id="54140" w:name="_ETM_Q100_713141"/>
      <w:bookmarkEnd w:id="54140"/>
      <w:r>
        <w:rPr>
          <w:rFonts w:hint="cs"/>
          <w:rtl/>
        </w:rPr>
        <w:t xml:space="preserve">, </w:t>
      </w:r>
      <w:bookmarkStart w:id="54141" w:name="_ETM_Q100_714220"/>
      <w:bookmarkEnd w:id="54141"/>
      <w:r>
        <w:rPr>
          <w:rFonts w:hint="cs"/>
          <w:rtl/>
        </w:rPr>
        <w:t>ל</w:t>
      </w:r>
      <w:bookmarkStart w:id="54142" w:name="_ETM_Q100_714519"/>
      <w:bookmarkEnd w:id="54142"/>
      <w:r>
        <w:rPr>
          <w:rFonts w:hint="cs"/>
          <w:rtl/>
        </w:rPr>
        <w:t xml:space="preserve">אושש את </w:t>
      </w:r>
      <w:bookmarkStart w:id="54143" w:name="_ETM_Q100_714879"/>
      <w:bookmarkEnd w:id="54143"/>
      <w:r>
        <w:rPr>
          <w:rFonts w:hint="cs"/>
          <w:rtl/>
        </w:rPr>
        <w:t xml:space="preserve">הכלכלה, </w:t>
      </w:r>
      <w:bookmarkStart w:id="54144" w:name="_ETM_Q100_715989"/>
      <w:bookmarkEnd w:id="54144"/>
      <w:r>
        <w:rPr>
          <w:rFonts w:hint="cs"/>
          <w:rtl/>
        </w:rPr>
        <w:t xml:space="preserve">להשיב </w:t>
      </w:r>
      <w:bookmarkStart w:id="54145" w:name="_ETM_Q100_716500"/>
      <w:bookmarkEnd w:id="54145"/>
      <w:r>
        <w:rPr>
          <w:rFonts w:hint="cs"/>
          <w:rtl/>
        </w:rPr>
        <w:t xml:space="preserve">את </w:t>
      </w:r>
      <w:bookmarkStart w:id="54146" w:name="_ETM_Q100_716620"/>
      <w:bookmarkEnd w:id="54146"/>
      <w:r>
        <w:rPr>
          <w:rFonts w:hint="cs"/>
          <w:rtl/>
        </w:rPr>
        <w:t xml:space="preserve">הביטחון </w:t>
      </w:r>
      <w:bookmarkStart w:id="54147" w:name="_ETM_Q100_717189"/>
      <w:bookmarkEnd w:id="54147"/>
      <w:r>
        <w:rPr>
          <w:rFonts w:hint="cs"/>
          <w:rtl/>
        </w:rPr>
        <w:t xml:space="preserve">הלאומי, </w:t>
      </w:r>
      <w:bookmarkStart w:id="54148" w:name="_ETM_Q100_718929"/>
      <w:bookmarkEnd w:id="54148"/>
      <w:r>
        <w:rPr>
          <w:rFonts w:hint="cs"/>
          <w:rtl/>
        </w:rPr>
        <w:t xml:space="preserve">לוודא </w:t>
      </w:r>
      <w:bookmarkStart w:id="54149" w:name="_ETM_Q100_720010"/>
      <w:bookmarkEnd w:id="54149"/>
      <w:r>
        <w:rPr>
          <w:rFonts w:hint="cs"/>
          <w:rtl/>
        </w:rPr>
        <w:t xml:space="preserve">שמהמשבר </w:t>
      </w:r>
      <w:bookmarkStart w:id="54150" w:name="_ETM_Q100_720760"/>
      <w:bookmarkEnd w:id="54150"/>
      <w:r>
        <w:rPr>
          <w:rFonts w:hint="cs"/>
          <w:rtl/>
        </w:rPr>
        <w:t xml:space="preserve">הזה </w:t>
      </w:r>
      <w:bookmarkStart w:id="54151" w:name="_ETM_Q100_722209"/>
      <w:bookmarkStart w:id="54152" w:name="_ETM_Q100_722171"/>
      <w:bookmarkEnd w:id="54151"/>
      <w:bookmarkEnd w:id="54152"/>
      <w:r>
        <w:rPr>
          <w:rFonts w:hint="cs"/>
          <w:rtl/>
        </w:rPr>
        <w:t xml:space="preserve">אנחנו </w:t>
      </w:r>
      <w:bookmarkStart w:id="54153" w:name="_ETM_Q100_722599"/>
      <w:bookmarkEnd w:id="54153"/>
      <w:r>
        <w:rPr>
          <w:rFonts w:hint="cs"/>
          <w:rtl/>
        </w:rPr>
        <w:t>יוצאים</w:t>
      </w:r>
      <w:bookmarkStart w:id="54154" w:name="_ETM_Q100_722870"/>
      <w:bookmarkEnd w:id="54154"/>
      <w:r>
        <w:rPr>
          <w:rFonts w:hint="cs"/>
          <w:rtl/>
        </w:rPr>
        <w:t xml:space="preserve"> </w:t>
      </w:r>
      <w:bookmarkStart w:id="54155" w:name="_ETM_Q100_723900"/>
      <w:bookmarkEnd w:id="54155"/>
      <w:r>
        <w:rPr>
          <w:rFonts w:hint="cs"/>
          <w:rtl/>
        </w:rPr>
        <w:t xml:space="preserve">כעם </w:t>
      </w:r>
      <w:bookmarkStart w:id="54156" w:name="_ETM_Q100_724440"/>
      <w:bookmarkEnd w:id="54156"/>
      <w:r>
        <w:rPr>
          <w:rFonts w:hint="cs"/>
          <w:rtl/>
        </w:rPr>
        <w:t>אחד</w:t>
      </w:r>
      <w:bookmarkStart w:id="54157" w:name="_ETM_Q100_724341"/>
      <w:bookmarkEnd w:id="54157"/>
      <w:r>
        <w:rPr>
          <w:rFonts w:hint="cs"/>
          <w:rtl/>
        </w:rPr>
        <w:t>.</w:t>
      </w:r>
      <w:bookmarkStart w:id="54158" w:name="_ETM_Q100_726380"/>
      <w:bookmarkEnd w:id="54158"/>
    </w:p>
    <w:p w:rsidR="00BB59CD" w:rsidRDefault="00BB59CD" w:rsidP="00BB59CD">
      <w:pPr>
        <w:rPr>
          <w:rtl/>
        </w:rPr>
      </w:pPr>
      <w:bookmarkStart w:id="54159" w:name="_ETM_Q100_725401"/>
      <w:bookmarkStart w:id="54160" w:name="_ETM_Q100_725468"/>
      <w:bookmarkEnd w:id="54159"/>
      <w:bookmarkEnd w:id="54160"/>
    </w:p>
    <w:p w:rsidR="00BB59CD" w:rsidRDefault="00BB59CD" w:rsidP="00BB59CD">
      <w:pPr>
        <w:rPr>
          <w:rtl/>
        </w:rPr>
      </w:pPr>
      <w:bookmarkStart w:id="54161" w:name="_ETM_Q100_725553"/>
      <w:bookmarkStart w:id="54162" w:name="_ETM_Q100_725624"/>
      <w:bookmarkStart w:id="54163" w:name="_ETM_Q100_722311"/>
      <w:bookmarkEnd w:id="54161"/>
      <w:bookmarkEnd w:id="54162"/>
      <w:bookmarkEnd w:id="54163"/>
      <w:r>
        <w:rPr>
          <w:rFonts w:hint="cs"/>
          <w:rtl/>
        </w:rPr>
        <w:t xml:space="preserve">בואו </w:t>
      </w:r>
      <w:bookmarkStart w:id="54164" w:name="_ETM_Q100_726740"/>
      <w:bookmarkEnd w:id="54164"/>
      <w:r>
        <w:rPr>
          <w:rFonts w:hint="cs"/>
          <w:rtl/>
        </w:rPr>
        <w:t xml:space="preserve">ננצל </w:t>
      </w:r>
      <w:bookmarkStart w:id="54165" w:name="_ETM_Q100_727250"/>
      <w:bookmarkEnd w:id="54165"/>
      <w:r>
        <w:rPr>
          <w:rFonts w:hint="cs"/>
          <w:rtl/>
        </w:rPr>
        <w:t xml:space="preserve">את </w:t>
      </w:r>
      <w:bookmarkStart w:id="54166" w:name="_ETM_Q100_727340"/>
      <w:bookmarkEnd w:id="54166"/>
      <w:r>
        <w:rPr>
          <w:rFonts w:hint="cs"/>
          <w:rtl/>
        </w:rPr>
        <w:t xml:space="preserve">המשבר </w:t>
      </w:r>
      <w:bookmarkStart w:id="54167" w:name="_ETM_Q100_727790"/>
      <w:bookmarkEnd w:id="54167"/>
      <w:r>
        <w:rPr>
          <w:rFonts w:hint="cs"/>
          <w:rtl/>
        </w:rPr>
        <w:t xml:space="preserve">הזה </w:t>
      </w:r>
      <w:bookmarkStart w:id="54168" w:name="_ETM_Q100_728210"/>
      <w:bookmarkEnd w:id="54168"/>
      <w:r>
        <w:rPr>
          <w:rFonts w:hint="cs"/>
          <w:rtl/>
        </w:rPr>
        <w:t xml:space="preserve">להזדמנות </w:t>
      </w:r>
      <w:bookmarkStart w:id="54169" w:name="_ETM_Q100_729500"/>
      <w:bookmarkEnd w:id="54169"/>
      <w:r>
        <w:rPr>
          <w:rFonts w:hint="cs"/>
          <w:rtl/>
        </w:rPr>
        <w:t xml:space="preserve">גדולה </w:t>
      </w:r>
      <w:bookmarkStart w:id="54170" w:name="_ETM_Q100_730819"/>
      <w:bookmarkEnd w:id="54170"/>
      <w:r>
        <w:rPr>
          <w:rFonts w:hint="cs"/>
          <w:rtl/>
        </w:rPr>
        <w:t xml:space="preserve">לשוב </w:t>
      </w:r>
      <w:bookmarkStart w:id="54171" w:name="_ETM_Q100_731659"/>
      <w:bookmarkEnd w:id="54171"/>
      <w:r>
        <w:rPr>
          <w:rFonts w:hint="cs"/>
          <w:rtl/>
        </w:rPr>
        <w:t xml:space="preserve">ולתקף </w:t>
      </w:r>
      <w:bookmarkStart w:id="54172" w:name="_ETM_Q100_733080"/>
      <w:bookmarkEnd w:id="54172"/>
      <w:r>
        <w:rPr>
          <w:rFonts w:hint="cs"/>
          <w:rtl/>
        </w:rPr>
        <w:t xml:space="preserve">את </w:t>
      </w:r>
      <w:bookmarkStart w:id="54173" w:name="_ETM_Q100_733230"/>
      <w:bookmarkStart w:id="54174" w:name="_ETM_Q100_733349"/>
      <w:bookmarkStart w:id="54175" w:name="_ETM_Q100_731091"/>
      <w:bookmarkEnd w:id="54173"/>
      <w:bookmarkEnd w:id="54174"/>
      <w:bookmarkEnd w:id="54175"/>
      <w:r>
        <w:rPr>
          <w:rFonts w:hint="cs"/>
          <w:rtl/>
        </w:rPr>
        <w:t xml:space="preserve">היותנו </w:t>
      </w:r>
      <w:bookmarkStart w:id="54176" w:name="_ETM_Q100_733709"/>
      <w:bookmarkEnd w:id="54176"/>
      <w:r>
        <w:rPr>
          <w:rFonts w:hint="cs"/>
          <w:rtl/>
        </w:rPr>
        <w:t xml:space="preserve">עם </w:t>
      </w:r>
      <w:bookmarkStart w:id="54177" w:name="_ETM_Q100_733980"/>
      <w:bookmarkEnd w:id="54177"/>
      <w:r>
        <w:rPr>
          <w:rFonts w:hint="cs"/>
          <w:rtl/>
        </w:rPr>
        <w:t>אחד</w:t>
      </w:r>
      <w:bookmarkStart w:id="54178" w:name="_ETM_Q100_733511"/>
      <w:bookmarkEnd w:id="54178"/>
      <w:r>
        <w:rPr>
          <w:rFonts w:hint="cs"/>
          <w:rtl/>
        </w:rPr>
        <w:t xml:space="preserve">, </w:t>
      </w:r>
      <w:bookmarkStart w:id="54179" w:name="_ETM_Q100_734429"/>
      <w:bookmarkEnd w:id="54179"/>
      <w:r>
        <w:rPr>
          <w:rFonts w:hint="cs"/>
          <w:rtl/>
        </w:rPr>
        <w:t xml:space="preserve">מאוחד, </w:t>
      </w:r>
      <w:bookmarkStart w:id="54180" w:name="_ETM_Q100_735179"/>
      <w:bookmarkEnd w:id="54180"/>
      <w:r>
        <w:rPr>
          <w:rFonts w:hint="cs"/>
          <w:rtl/>
        </w:rPr>
        <w:t xml:space="preserve">ולמרות </w:t>
      </w:r>
      <w:bookmarkStart w:id="54181" w:name="_ETM_Q100_736550"/>
      <w:bookmarkEnd w:id="54181"/>
      <w:r>
        <w:rPr>
          <w:rFonts w:hint="cs"/>
          <w:rtl/>
        </w:rPr>
        <w:t xml:space="preserve">שאנחנו </w:t>
      </w:r>
      <w:bookmarkStart w:id="54182" w:name="_ETM_Q100_736910"/>
      <w:bookmarkEnd w:id="54182"/>
      <w:r>
        <w:rPr>
          <w:rFonts w:hint="cs"/>
          <w:rtl/>
        </w:rPr>
        <w:t xml:space="preserve">שונים </w:t>
      </w:r>
      <w:bookmarkStart w:id="54183" w:name="_ETM_Q100_737300"/>
      <w:bookmarkEnd w:id="54183"/>
      <w:r>
        <w:rPr>
          <w:rFonts w:hint="cs"/>
          <w:rtl/>
        </w:rPr>
        <w:t>אחד</w:t>
      </w:r>
      <w:bookmarkStart w:id="54184" w:name="_ETM_Q100_735801"/>
      <w:bookmarkEnd w:id="54184"/>
      <w:r>
        <w:rPr>
          <w:rFonts w:hint="cs"/>
          <w:rtl/>
        </w:rPr>
        <w:t xml:space="preserve"> </w:t>
      </w:r>
      <w:bookmarkStart w:id="54185" w:name="_ETM_Q100_737600"/>
      <w:bookmarkEnd w:id="54185"/>
      <w:r>
        <w:rPr>
          <w:rFonts w:hint="cs"/>
          <w:rtl/>
        </w:rPr>
        <w:t xml:space="preserve">מהשני, </w:t>
      </w:r>
      <w:bookmarkStart w:id="54186" w:name="_ETM_Q100_738650"/>
      <w:bookmarkEnd w:id="54186"/>
      <w:r>
        <w:rPr>
          <w:rFonts w:hint="cs"/>
          <w:rtl/>
        </w:rPr>
        <w:t xml:space="preserve">חושבים </w:t>
      </w:r>
      <w:bookmarkStart w:id="54187" w:name="_ETM_Q100_739280"/>
      <w:bookmarkEnd w:id="54187"/>
      <w:r>
        <w:rPr>
          <w:rFonts w:hint="cs"/>
          <w:rtl/>
        </w:rPr>
        <w:t xml:space="preserve">אחרת, </w:t>
      </w:r>
      <w:bookmarkStart w:id="54188" w:name="_ETM_Q100_740220"/>
      <w:bookmarkEnd w:id="54188"/>
      <w:r>
        <w:rPr>
          <w:rFonts w:hint="cs"/>
          <w:rtl/>
        </w:rPr>
        <w:t>אחי</w:t>
      </w:r>
      <w:bookmarkStart w:id="54189" w:name="_ETM_Q100_740580"/>
      <w:bookmarkEnd w:id="54189"/>
      <w:r>
        <w:rPr>
          <w:rFonts w:hint="cs"/>
          <w:rtl/>
        </w:rPr>
        <w:t xml:space="preserve">ם </w:t>
      </w:r>
      <w:bookmarkStart w:id="54190" w:name="_ETM_Q100_740669"/>
      <w:bookmarkEnd w:id="54190"/>
      <w:r>
        <w:rPr>
          <w:rFonts w:hint="cs"/>
          <w:rtl/>
        </w:rPr>
        <w:t>אנחנו</w:t>
      </w:r>
      <w:bookmarkStart w:id="54191" w:name="_ETM_Q100_739430"/>
      <w:bookmarkEnd w:id="54191"/>
      <w:r>
        <w:rPr>
          <w:rFonts w:hint="cs"/>
          <w:rtl/>
        </w:rPr>
        <w:t xml:space="preserve">. </w:t>
      </w:r>
      <w:bookmarkStart w:id="54192" w:name="_ETM_Q100_741630"/>
      <w:bookmarkEnd w:id="54192"/>
      <w:r>
        <w:rPr>
          <w:rFonts w:hint="cs"/>
          <w:rtl/>
        </w:rPr>
        <w:t xml:space="preserve">אנחנו </w:t>
      </w:r>
      <w:bookmarkStart w:id="54193" w:name="_ETM_Q100_741929"/>
      <w:bookmarkEnd w:id="54193"/>
      <w:r>
        <w:rPr>
          <w:rFonts w:hint="cs"/>
          <w:rtl/>
        </w:rPr>
        <w:t xml:space="preserve">יודעים </w:t>
      </w:r>
      <w:bookmarkStart w:id="54194" w:name="_ETM_Q100_742290"/>
      <w:bookmarkEnd w:id="54194"/>
      <w:r>
        <w:rPr>
          <w:rFonts w:hint="cs"/>
          <w:rtl/>
        </w:rPr>
        <w:t>לנהל את</w:t>
      </w:r>
      <w:bookmarkStart w:id="54195" w:name="_ETM_Q100_741389"/>
      <w:bookmarkEnd w:id="54195"/>
      <w:r>
        <w:rPr>
          <w:rFonts w:hint="cs"/>
          <w:rtl/>
        </w:rPr>
        <w:t xml:space="preserve"> </w:t>
      </w:r>
      <w:bookmarkStart w:id="54196" w:name="_ETM_Q100_742590"/>
      <w:bookmarkEnd w:id="54196"/>
      <w:r>
        <w:rPr>
          <w:rFonts w:hint="cs"/>
          <w:rtl/>
        </w:rPr>
        <w:t xml:space="preserve">המחלוקות </w:t>
      </w:r>
      <w:bookmarkStart w:id="54197" w:name="_ETM_Q100_743100"/>
      <w:bookmarkEnd w:id="54197"/>
      <w:r>
        <w:rPr>
          <w:rFonts w:hint="cs"/>
          <w:rtl/>
        </w:rPr>
        <w:t xml:space="preserve">שלנו </w:t>
      </w:r>
      <w:bookmarkStart w:id="54198" w:name="_ETM_Q100_743460"/>
      <w:bookmarkEnd w:id="54198"/>
      <w:r>
        <w:rPr>
          <w:rFonts w:hint="cs"/>
          <w:rtl/>
        </w:rPr>
        <w:t xml:space="preserve">ברעות, </w:t>
      </w:r>
      <w:bookmarkStart w:id="54199" w:name="_ETM_Q100_745559"/>
      <w:bookmarkEnd w:id="54199"/>
      <w:r>
        <w:rPr>
          <w:rFonts w:hint="cs"/>
          <w:rtl/>
        </w:rPr>
        <w:t xml:space="preserve">בכבוד </w:t>
      </w:r>
      <w:bookmarkStart w:id="54200" w:name="_ETM_Q100_746279"/>
      <w:bookmarkEnd w:id="54200"/>
      <w:r>
        <w:rPr>
          <w:rFonts w:hint="cs"/>
          <w:rtl/>
        </w:rPr>
        <w:t xml:space="preserve">הדדי, </w:t>
      </w:r>
      <w:bookmarkStart w:id="54201" w:name="_ETM_Q100_747150"/>
      <w:bookmarkEnd w:id="54201"/>
      <w:r>
        <w:rPr>
          <w:rFonts w:hint="cs"/>
          <w:rtl/>
        </w:rPr>
        <w:t xml:space="preserve">לא </w:t>
      </w:r>
      <w:bookmarkStart w:id="54202" w:name="_ETM_Q100_747419"/>
      <w:bookmarkEnd w:id="54202"/>
      <w:r>
        <w:rPr>
          <w:rFonts w:hint="cs"/>
          <w:rtl/>
        </w:rPr>
        <w:t xml:space="preserve">בדורסנות </w:t>
      </w:r>
      <w:bookmarkStart w:id="54203" w:name="_ETM_Q100_748940"/>
      <w:bookmarkEnd w:id="54203"/>
      <w:r>
        <w:rPr>
          <w:rFonts w:hint="cs"/>
          <w:rtl/>
        </w:rPr>
        <w:t>ו</w:t>
      </w:r>
      <w:bookmarkStart w:id="54204" w:name="_ETM_Q100_747989"/>
      <w:bookmarkEnd w:id="54204"/>
      <w:r>
        <w:rPr>
          <w:rFonts w:hint="cs"/>
          <w:rtl/>
        </w:rPr>
        <w:t xml:space="preserve">באופן </w:t>
      </w:r>
      <w:bookmarkStart w:id="54205" w:name="_ETM_Q100_749330"/>
      <w:bookmarkEnd w:id="54205"/>
      <w:r>
        <w:rPr>
          <w:rFonts w:hint="cs"/>
          <w:rtl/>
        </w:rPr>
        <w:t xml:space="preserve">חד </w:t>
      </w:r>
      <w:bookmarkStart w:id="54206" w:name="_ETM_Q100_749569"/>
      <w:bookmarkEnd w:id="54206"/>
      <w:r>
        <w:rPr>
          <w:rFonts w:hint="cs"/>
          <w:rtl/>
        </w:rPr>
        <w:t xml:space="preserve">צדדי, </w:t>
      </w:r>
      <w:bookmarkStart w:id="54207" w:name="_ETM_Q100_750499"/>
      <w:bookmarkEnd w:id="54207"/>
      <w:r>
        <w:rPr>
          <w:rFonts w:hint="cs"/>
          <w:rtl/>
        </w:rPr>
        <w:t xml:space="preserve">בחיפזון. </w:t>
      </w:r>
      <w:bookmarkStart w:id="54208" w:name="_ETM_Q100_754439"/>
      <w:bookmarkEnd w:id="54208"/>
      <w:r>
        <w:rPr>
          <w:rFonts w:hint="cs"/>
          <w:rtl/>
        </w:rPr>
        <w:t xml:space="preserve">עצור </w:t>
      </w:r>
      <w:bookmarkStart w:id="54209" w:name="_ETM_Q100_754979"/>
      <w:bookmarkEnd w:id="54209"/>
      <w:r>
        <w:rPr>
          <w:rFonts w:hint="cs"/>
          <w:rtl/>
        </w:rPr>
        <w:t xml:space="preserve">את </w:t>
      </w:r>
      <w:bookmarkStart w:id="54210" w:name="_ETM_Q100_755099"/>
      <w:bookmarkEnd w:id="54210"/>
      <w:r>
        <w:rPr>
          <w:rFonts w:hint="cs"/>
          <w:rtl/>
        </w:rPr>
        <w:t xml:space="preserve">החקיקה, </w:t>
      </w:r>
      <w:bookmarkStart w:id="54211" w:name="_ETM_Q100_757520"/>
      <w:bookmarkEnd w:id="54211"/>
      <w:r>
        <w:rPr>
          <w:rFonts w:hint="cs"/>
          <w:rtl/>
        </w:rPr>
        <w:t xml:space="preserve">ובואו </w:t>
      </w:r>
      <w:bookmarkStart w:id="54212" w:name="_ETM_Q100_757910"/>
      <w:bookmarkEnd w:id="54212"/>
      <w:r>
        <w:rPr>
          <w:rFonts w:hint="cs"/>
          <w:rtl/>
        </w:rPr>
        <w:t xml:space="preserve">נתכנס </w:t>
      </w:r>
      <w:bookmarkStart w:id="54213" w:name="_ETM_Q100_758419"/>
      <w:bookmarkEnd w:id="54213"/>
      <w:r>
        <w:rPr>
          <w:rFonts w:hint="cs"/>
          <w:rtl/>
        </w:rPr>
        <w:t xml:space="preserve">יחד </w:t>
      </w:r>
      <w:bookmarkStart w:id="54214" w:name="_ETM_Q100_759020"/>
      <w:bookmarkEnd w:id="54214"/>
      <w:r>
        <w:rPr>
          <w:rFonts w:hint="cs"/>
          <w:rtl/>
        </w:rPr>
        <w:t xml:space="preserve">בבית </w:t>
      </w:r>
      <w:bookmarkStart w:id="54215" w:name="_ETM_Q100_759350"/>
      <w:bookmarkEnd w:id="54215"/>
      <w:r>
        <w:rPr>
          <w:rFonts w:hint="cs"/>
          <w:rtl/>
        </w:rPr>
        <w:t xml:space="preserve">הנשיא </w:t>
      </w:r>
      <w:bookmarkStart w:id="54216" w:name="_ETM_Q100_760140"/>
      <w:bookmarkEnd w:id="54216"/>
      <w:r>
        <w:rPr>
          <w:rFonts w:hint="cs"/>
          <w:rtl/>
        </w:rPr>
        <w:t xml:space="preserve">כדי </w:t>
      </w:r>
      <w:bookmarkStart w:id="54217" w:name="_ETM_Q100_760500"/>
      <w:bookmarkEnd w:id="54217"/>
      <w:r>
        <w:rPr>
          <w:rFonts w:hint="cs"/>
          <w:rtl/>
        </w:rPr>
        <w:t xml:space="preserve">לשוב </w:t>
      </w:r>
      <w:bookmarkStart w:id="54218" w:name="_ETM_Q100_761630"/>
      <w:bookmarkEnd w:id="54218"/>
      <w:r>
        <w:rPr>
          <w:rFonts w:hint="cs"/>
          <w:rtl/>
        </w:rPr>
        <w:t>ולהי</w:t>
      </w:r>
      <w:bookmarkStart w:id="54219" w:name="_ETM_Q100_761979"/>
      <w:bookmarkEnd w:id="54219"/>
      <w:r>
        <w:rPr>
          <w:rFonts w:hint="cs"/>
          <w:rtl/>
        </w:rPr>
        <w:t xml:space="preserve">דבר </w:t>
      </w:r>
      <w:bookmarkStart w:id="54220" w:name="_ETM_Q100_763270"/>
      <w:bookmarkEnd w:id="54220"/>
      <w:r>
        <w:rPr>
          <w:rFonts w:hint="cs"/>
          <w:rtl/>
        </w:rPr>
        <w:t xml:space="preserve">על </w:t>
      </w:r>
      <w:bookmarkStart w:id="54221" w:name="_ETM_Q100_763389"/>
      <w:bookmarkEnd w:id="54221"/>
      <w:r>
        <w:rPr>
          <w:rFonts w:hint="cs"/>
          <w:rtl/>
        </w:rPr>
        <w:t xml:space="preserve">איך </w:t>
      </w:r>
      <w:bookmarkStart w:id="54222" w:name="_ETM_Q100_763539"/>
      <w:bookmarkEnd w:id="54222"/>
      <w:r>
        <w:rPr>
          <w:rFonts w:hint="cs"/>
          <w:rtl/>
        </w:rPr>
        <w:t xml:space="preserve">מתקדמים </w:t>
      </w:r>
      <w:bookmarkStart w:id="54223" w:name="_ETM_Q100_764050"/>
      <w:bookmarkEnd w:id="54223"/>
      <w:r>
        <w:rPr>
          <w:rFonts w:hint="cs"/>
          <w:rtl/>
        </w:rPr>
        <w:t xml:space="preserve">יחד </w:t>
      </w:r>
      <w:bookmarkStart w:id="54224" w:name="_ETM_Q100_764500"/>
      <w:bookmarkEnd w:id="54224"/>
      <w:r>
        <w:rPr>
          <w:rFonts w:hint="cs"/>
          <w:rtl/>
        </w:rPr>
        <w:t xml:space="preserve">כעם </w:t>
      </w:r>
      <w:bookmarkStart w:id="54225" w:name="_ETM_Q100_765129"/>
      <w:bookmarkEnd w:id="54225"/>
      <w:r>
        <w:rPr>
          <w:rFonts w:hint="cs"/>
          <w:rtl/>
        </w:rPr>
        <w:t xml:space="preserve">אחד, </w:t>
      </w:r>
      <w:bookmarkStart w:id="54226" w:name="_ETM_Q100_765940"/>
      <w:bookmarkEnd w:id="54226"/>
      <w:r>
        <w:rPr>
          <w:rFonts w:hint="cs"/>
          <w:rtl/>
        </w:rPr>
        <w:t xml:space="preserve">מאוחד, </w:t>
      </w:r>
      <w:bookmarkStart w:id="54227" w:name="_ETM_Q100_767569"/>
      <w:bookmarkEnd w:id="54227"/>
      <w:r>
        <w:rPr>
          <w:rFonts w:hint="cs"/>
          <w:rtl/>
        </w:rPr>
        <w:t xml:space="preserve">שמכיר </w:t>
      </w:r>
      <w:bookmarkStart w:id="54228" w:name="_ETM_Q100_769120"/>
      <w:bookmarkEnd w:id="54228"/>
      <w:r>
        <w:rPr>
          <w:rFonts w:hint="cs"/>
          <w:rtl/>
        </w:rPr>
        <w:t xml:space="preserve">בעבר </w:t>
      </w:r>
      <w:bookmarkStart w:id="54229" w:name="_ETM_Q100_770259"/>
      <w:bookmarkEnd w:id="54229"/>
      <w:r>
        <w:rPr>
          <w:rFonts w:hint="cs"/>
          <w:rtl/>
        </w:rPr>
        <w:t xml:space="preserve">אבל </w:t>
      </w:r>
      <w:bookmarkStart w:id="54230" w:name="_ETM_Q100_770439"/>
      <w:bookmarkEnd w:id="54230"/>
      <w:r>
        <w:rPr>
          <w:rFonts w:hint="cs"/>
          <w:rtl/>
        </w:rPr>
        <w:t xml:space="preserve">בעיקר </w:t>
      </w:r>
      <w:bookmarkStart w:id="54231" w:name="_ETM_Q100_771069"/>
      <w:bookmarkEnd w:id="54231"/>
      <w:r>
        <w:rPr>
          <w:rFonts w:hint="cs"/>
          <w:rtl/>
        </w:rPr>
        <w:t xml:space="preserve">מכיר </w:t>
      </w:r>
      <w:bookmarkStart w:id="54232" w:name="_ETM_Q100_772210"/>
      <w:bookmarkEnd w:id="54232"/>
      <w:r>
        <w:rPr>
          <w:rFonts w:hint="cs"/>
          <w:rtl/>
        </w:rPr>
        <w:t xml:space="preserve">בעתיד </w:t>
      </w:r>
      <w:bookmarkStart w:id="54233" w:name="_ETM_Q100_772929"/>
      <w:bookmarkEnd w:id="54233"/>
      <w:r>
        <w:rPr>
          <w:rFonts w:hint="cs"/>
          <w:rtl/>
        </w:rPr>
        <w:t xml:space="preserve">הגדול </w:t>
      </w:r>
      <w:bookmarkStart w:id="54234" w:name="_ETM_Q100_773320"/>
      <w:bookmarkEnd w:id="54234"/>
      <w:r>
        <w:rPr>
          <w:rFonts w:hint="cs"/>
          <w:rtl/>
        </w:rPr>
        <w:t xml:space="preserve">שעוד </w:t>
      </w:r>
      <w:bookmarkStart w:id="54235" w:name="_ETM_Q100_776129"/>
      <w:bookmarkEnd w:id="54235"/>
      <w:r>
        <w:rPr>
          <w:rFonts w:hint="cs"/>
          <w:rtl/>
        </w:rPr>
        <w:t xml:space="preserve">צופה </w:t>
      </w:r>
      <w:bookmarkStart w:id="54236" w:name="_ETM_Q100_776490"/>
      <w:bookmarkEnd w:id="54236"/>
      <w:r>
        <w:rPr>
          <w:rFonts w:hint="cs"/>
          <w:rtl/>
        </w:rPr>
        <w:t xml:space="preserve">לנו </w:t>
      </w:r>
      <w:bookmarkStart w:id="54237" w:name="_ETM_Q100_777479"/>
      <w:bookmarkEnd w:id="54237"/>
      <w:r>
        <w:rPr>
          <w:rFonts w:hint="cs"/>
          <w:rtl/>
        </w:rPr>
        <w:t xml:space="preserve">יחד. </w:t>
      </w:r>
      <w:bookmarkStart w:id="54238" w:name="_ETM_Q100_778070"/>
      <w:bookmarkEnd w:id="54238"/>
      <w:r>
        <w:rPr>
          <w:rFonts w:hint="cs"/>
          <w:rtl/>
        </w:rPr>
        <w:t xml:space="preserve">תודה </w:t>
      </w:r>
      <w:bookmarkStart w:id="54239" w:name="_ETM_Q100_778370"/>
      <w:bookmarkEnd w:id="54239"/>
      <w:r>
        <w:rPr>
          <w:rFonts w:hint="cs"/>
          <w:rtl/>
        </w:rPr>
        <w:t>רבה.</w:t>
      </w:r>
      <w:bookmarkStart w:id="54240" w:name="_ETM_Q100_779360"/>
      <w:bookmarkEnd w:id="54240"/>
    </w:p>
    <w:p w:rsidR="00BB59CD" w:rsidRDefault="00BB59CD" w:rsidP="00BB59CD">
      <w:pPr>
        <w:rPr>
          <w:rtl/>
        </w:rPr>
      </w:pPr>
    </w:p>
    <w:p w:rsidR="00BB59CD" w:rsidRDefault="00BB59CD" w:rsidP="00BB59C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rPr>
      </w:pPr>
      <w:r>
        <w:rPr>
          <w:rFonts w:hint="cs"/>
          <w:rtl/>
          <w:lang w:eastAsia="he-IL"/>
        </w:rPr>
        <w:t>תודה רבה. שעה שלמה, כל הכבוד</w:t>
      </w:r>
      <w:r>
        <w:rPr>
          <w:rFonts w:hint="cs"/>
          <w:rtl/>
        </w:rPr>
        <w:t xml:space="preserve">. </w:t>
      </w:r>
      <w:bookmarkStart w:id="54241" w:name="_ETM_Q101_1746"/>
      <w:bookmarkStart w:id="54242" w:name="_ETM_Q101_1869"/>
      <w:bookmarkStart w:id="54243" w:name="_ETM_Q101_2100"/>
      <w:bookmarkStart w:id="54244" w:name="_ETM_Q101_2169"/>
      <w:bookmarkStart w:id="54245" w:name="_ETM_Q101_180359"/>
      <w:bookmarkStart w:id="54246" w:name="_ETM_Q101_182790"/>
      <w:bookmarkStart w:id="54247" w:name="_ETM_Q101_183120"/>
      <w:bookmarkStart w:id="54248" w:name="_ETM_Q101_183600"/>
      <w:bookmarkStart w:id="54249" w:name="_ETM_Q101_183839"/>
      <w:bookmarkStart w:id="54250" w:name="_ETM_Q101_184740"/>
      <w:bookmarkEnd w:id="54241"/>
      <w:bookmarkEnd w:id="54242"/>
      <w:bookmarkEnd w:id="54243"/>
      <w:bookmarkEnd w:id="54244"/>
      <w:bookmarkEnd w:id="54245"/>
      <w:bookmarkEnd w:id="54246"/>
      <w:bookmarkEnd w:id="54247"/>
      <w:bookmarkEnd w:id="54248"/>
      <w:bookmarkEnd w:id="54249"/>
      <w:bookmarkEnd w:id="54250"/>
      <w:r>
        <w:rPr>
          <w:rFonts w:hint="cs"/>
          <w:rtl/>
        </w:rPr>
        <w:t xml:space="preserve">אבל </w:t>
      </w:r>
      <w:bookmarkStart w:id="54251" w:name="_ETM_Q101_185970"/>
      <w:bookmarkEnd w:id="54251"/>
      <w:r>
        <w:rPr>
          <w:rFonts w:hint="cs"/>
          <w:rtl/>
        </w:rPr>
        <w:t xml:space="preserve">אתה </w:t>
      </w:r>
      <w:bookmarkStart w:id="54252" w:name="_ETM_Q101_186240"/>
      <w:bookmarkEnd w:id="54252"/>
      <w:r>
        <w:rPr>
          <w:rFonts w:hint="cs"/>
          <w:rtl/>
        </w:rPr>
        <w:t xml:space="preserve">צריך </w:t>
      </w:r>
      <w:bookmarkStart w:id="54253" w:name="_ETM_Q101_186509"/>
      <w:bookmarkEnd w:id="54253"/>
      <w:r>
        <w:rPr>
          <w:rFonts w:hint="cs"/>
          <w:rtl/>
        </w:rPr>
        <w:t xml:space="preserve">לדעת </w:t>
      </w:r>
      <w:bookmarkStart w:id="54254" w:name="_ETM_Q101_186930"/>
      <w:bookmarkEnd w:id="54254"/>
      <w:r>
        <w:rPr>
          <w:rFonts w:hint="cs"/>
          <w:rtl/>
        </w:rPr>
        <w:t xml:space="preserve">את האמת, </w:t>
      </w:r>
      <w:bookmarkStart w:id="54255" w:name="_ETM_Q101_187350"/>
      <w:bookmarkEnd w:id="54255"/>
      <w:r>
        <w:rPr>
          <w:rFonts w:hint="cs"/>
          <w:rtl/>
        </w:rPr>
        <w:t xml:space="preserve">שהם </w:t>
      </w:r>
      <w:bookmarkStart w:id="54256" w:name="_ETM_Q101_187560"/>
      <w:bookmarkEnd w:id="54256"/>
      <w:r>
        <w:rPr>
          <w:rFonts w:hint="cs"/>
          <w:rtl/>
        </w:rPr>
        <w:t xml:space="preserve">הבטיחו </w:t>
      </w:r>
      <w:bookmarkStart w:id="54257" w:name="_ETM_Q101_188160"/>
      <w:bookmarkEnd w:id="54257"/>
      <w:r>
        <w:rPr>
          <w:rFonts w:hint="cs"/>
          <w:rtl/>
        </w:rPr>
        <w:t xml:space="preserve">אז </w:t>
      </w:r>
      <w:bookmarkStart w:id="54258" w:name="_ETM_Q101_188429"/>
      <w:bookmarkEnd w:id="54258"/>
      <w:r>
        <w:rPr>
          <w:rFonts w:hint="cs"/>
          <w:rtl/>
        </w:rPr>
        <w:t xml:space="preserve">בהן </w:t>
      </w:r>
      <w:bookmarkStart w:id="54259" w:name="_ETM_Q101_188849"/>
      <w:bookmarkEnd w:id="54259"/>
      <w:r>
        <w:rPr>
          <w:rFonts w:hint="cs"/>
          <w:rtl/>
        </w:rPr>
        <w:t xml:space="preserve">צדק </w:t>
      </w:r>
      <w:bookmarkStart w:id="54260" w:name="_ETM_Q101_189570"/>
      <w:bookmarkEnd w:id="54260"/>
      <w:r>
        <w:rPr>
          <w:rFonts w:hint="cs"/>
          <w:rtl/>
        </w:rPr>
        <w:t xml:space="preserve">ורימו </w:t>
      </w:r>
      <w:bookmarkStart w:id="54261" w:name="_ETM_Q101_190050"/>
      <w:bookmarkEnd w:id="54261"/>
      <w:r>
        <w:rPr>
          <w:rFonts w:hint="cs"/>
          <w:rtl/>
        </w:rPr>
        <w:t xml:space="preserve">את </w:t>
      </w:r>
      <w:bookmarkStart w:id="54262" w:name="_ETM_Q101_190170"/>
      <w:bookmarkEnd w:id="54262"/>
      <w:r>
        <w:rPr>
          <w:rFonts w:hint="cs"/>
          <w:rtl/>
        </w:rPr>
        <w:t xml:space="preserve">כולם </w:t>
      </w:r>
      <w:bookmarkStart w:id="54263" w:name="_ETM_Q101_190740"/>
      <w:bookmarkEnd w:id="54263"/>
      <w:r>
        <w:rPr>
          <w:rFonts w:hint="cs"/>
          <w:rtl/>
        </w:rPr>
        <w:t>- -</w:t>
      </w:r>
    </w:p>
    <w:p w:rsidR="00BB59CD" w:rsidRDefault="00BB59CD" w:rsidP="00BB59CD">
      <w:pPr>
        <w:rPr>
          <w:rtl/>
        </w:rPr>
      </w:pPr>
    </w:p>
    <w:p w:rsidR="00BB59CD" w:rsidRDefault="00BB59CD" w:rsidP="00BB59CD">
      <w:pPr>
        <w:pStyle w:val="af8"/>
        <w:keepNext/>
        <w:rPr>
          <w:rtl/>
        </w:rPr>
      </w:pPr>
      <w:bookmarkStart w:id="54264" w:name="_ETM_Q101_194075"/>
      <w:bookmarkStart w:id="54265" w:name="_ETM_Q101_194169"/>
      <w:bookmarkStart w:id="54266" w:name="ET_interruption_6044_27"/>
      <w:bookmarkEnd w:id="54264"/>
      <w:bookmarkEnd w:id="54265"/>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54266"/>
    </w:p>
    <w:p w:rsidR="00BB59CD" w:rsidRDefault="00BB59CD" w:rsidP="00BB59CD">
      <w:pPr>
        <w:rPr>
          <w:rtl/>
        </w:rPr>
      </w:pPr>
    </w:p>
    <w:p w:rsidR="00BB59CD" w:rsidRDefault="00BB59CD" w:rsidP="00BB59CD">
      <w:pPr>
        <w:rPr>
          <w:rtl/>
        </w:rPr>
      </w:pPr>
      <w:bookmarkStart w:id="54267" w:name="_ETM_Q101_187709"/>
      <w:bookmarkStart w:id="54268" w:name="_ETM_Q101_187869"/>
      <w:bookmarkEnd w:id="54267"/>
      <w:bookmarkEnd w:id="54268"/>
      <w:r>
        <w:rPr>
          <w:rFonts w:hint="cs"/>
          <w:rtl/>
        </w:rPr>
        <w:t xml:space="preserve">לא אנחנו - - - </w:t>
      </w:r>
    </w:p>
    <w:p w:rsidR="00BB59CD" w:rsidRDefault="00BB59CD" w:rsidP="00BB59CD">
      <w:pPr>
        <w:rPr>
          <w:rtl/>
        </w:rPr>
      </w:pPr>
    </w:p>
    <w:p w:rsidR="00BB59CD" w:rsidRDefault="00BB59CD" w:rsidP="00BB59CD">
      <w:pPr>
        <w:pStyle w:val="af9"/>
        <w:keepNext/>
        <w:rPr>
          <w:rtl/>
        </w:rPr>
      </w:pPr>
      <w:bookmarkStart w:id="54269" w:name="ET_yor_6129_28"/>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269"/>
    </w:p>
    <w:p w:rsidR="00BB59CD" w:rsidRDefault="00BB59CD" w:rsidP="00337201">
      <w:pPr>
        <w:rPr>
          <w:rtl/>
        </w:rPr>
      </w:pPr>
    </w:p>
    <w:p w:rsidR="00BB59CD" w:rsidRDefault="00BB59CD" w:rsidP="00BB59CD">
      <w:pPr>
        <w:rPr>
          <w:rtl/>
        </w:rPr>
      </w:pPr>
      <w:bookmarkStart w:id="54270" w:name="_ETM_Q101_189726"/>
      <w:bookmarkStart w:id="54271" w:name="_ETM_Q101_191083"/>
      <w:bookmarkStart w:id="54272" w:name="_ETM_Q101_191156"/>
      <w:bookmarkEnd w:id="54270"/>
      <w:bookmarkEnd w:id="54271"/>
      <w:bookmarkEnd w:id="54272"/>
      <w:r>
        <w:rPr>
          <w:rFonts w:hint="cs"/>
          <w:rtl/>
        </w:rPr>
        <w:t xml:space="preserve">- - </w:t>
      </w:r>
      <w:bookmarkStart w:id="54273" w:name="_ETM_Q101_196569"/>
      <w:bookmarkEnd w:id="54273"/>
      <w:r>
        <w:rPr>
          <w:rFonts w:hint="cs"/>
          <w:rtl/>
        </w:rPr>
        <w:t xml:space="preserve">שבג"ץ </w:t>
      </w:r>
      <w:bookmarkStart w:id="54274" w:name="_ETM_Q101_192330"/>
      <w:bookmarkEnd w:id="54274"/>
      <w:r>
        <w:rPr>
          <w:rFonts w:hint="cs"/>
          <w:rtl/>
        </w:rPr>
        <w:t xml:space="preserve">לא </w:t>
      </w:r>
      <w:bookmarkStart w:id="54275" w:name="_ETM_Q101_192570"/>
      <w:bookmarkEnd w:id="54275"/>
      <w:r>
        <w:rPr>
          <w:rFonts w:hint="cs"/>
          <w:rtl/>
        </w:rPr>
        <w:t xml:space="preserve">יוכל </w:t>
      </w:r>
      <w:bookmarkStart w:id="54276" w:name="_ETM_Q101_193260"/>
      <w:bookmarkEnd w:id="54276"/>
      <w:r>
        <w:rPr>
          <w:rFonts w:hint="cs"/>
          <w:rtl/>
        </w:rPr>
        <w:t xml:space="preserve">לפסול </w:t>
      </w:r>
      <w:bookmarkStart w:id="54277" w:name="_ETM_Q101_193769"/>
      <w:bookmarkEnd w:id="54277"/>
      <w:r>
        <w:rPr>
          <w:rFonts w:hint="cs"/>
          <w:rtl/>
        </w:rPr>
        <w:t xml:space="preserve">חוקים </w:t>
      </w:r>
      <w:bookmarkStart w:id="54278" w:name="_ETM_Q101_194190"/>
      <w:bookmarkEnd w:id="54278"/>
      <w:r>
        <w:rPr>
          <w:rFonts w:hint="cs"/>
          <w:rtl/>
        </w:rPr>
        <w:t xml:space="preserve">על ידי </w:t>
      </w:r>
      <w:bookmarkStart w:id="54279" w:name="_ETM_Q101_194550"/>
      <w:bookmarkEnd w:id="54279"/>
      <w:r>
        <w:rPr>
          <w:rFonts w:hint="cs"/>
          <w:rtl/>
        </w:rPr>
        <w:t xml:space="preserve">החוק </w:t>
      </w:r>
      <w:bookmarkStart w:id="54280" w:name="_ETM_Q101_194820"/>
      <w:bookmarkEnd w:id="54280"/>
      <w:r>
        <w:rPr>
          <w:rFonts w:hint="cs"/>
          <w:rtl/>
        </w:rPr>
        <w:t xml:space="preserve">הזה, </w:t>
      </w:r>
      <w:bookmarkStart w:id="54281" w:name="_ETM_Q101_195709"/>
      <w:bookmarkEnd w:id="54281"/>
      <w:r>
        <w:rPr>
          <w:rFonts w:hint="cs"/>
          <w:rtl/>
        </w:rPr>
        <w:t xml:space="preserve">וביום </w:t>
      </w:r>
      <w:bookmarkStart w:id="54282" w:name="_ETM_Q101_196430"/>
      <w:bookmarkEnd w:id="54282"/>
      <w:r>
        <w:rPr>
          <w:rFonts w:hint="cs"/>
          <w:rtl/>
        </w:rPr>
        <w:t xml:space="preserve">שלמוחרת </w:t>
      </w:r>
      <w:bookmarkStart w:id="54283" w:name="_ETM_Q101_197329"/>
      <w:bookmarkEnd w:id="54283"/>
      <w:r>
        <w:rPr>
          <w:rFonts w:hint="cs"/>
          <w:rtl/>
        </w:rPr>
        <w:t xml:space="preserve">הודיע </w:t>
      </w:r>
      <w:bookmarkStart w:id="54284" w:name="_ETM_Q101_197720"/>
      <w:bookmarkEnd w:id="54284"/>
      <w:r>
        <w:rPr>
          <w:rFonts w:hint="cs"/>
          <w:rtl/>
        </w:rPr>
        <w:t xml:space="preserve">אהרן </w:t>
      </w:r>
      <w:bookmarkStart w:id="54285" w:name="_ETM_Q101_198050"/>
      <w:bookmarkEnd w:id="54285"/>
      <w:r>
        <w:rPr>
          <w:rFonts w:hint="cs"/>
          <w:rtl/>
        </w:rPr>
        <w:t xml:space="preserve">ברק: </w:t>
      </w:r>
      <w:bookmarkStart w:id="54286" w:name="_ETM_Q101_198619"/>
      <w:bookmarkEnd w:id="54286"/>
      <w:r>
        <w:rPr>
          <w:rFonts w:hint="cs"/>
          <w:rtl/>
        </w:rPr>
        <w:t xml:space="preserve">מהיום </w:t>
      </w:r>
      <w:bookmarkStart w:id="54287" w:name="_ETM_Q101_199430"/>
      <w:bookmarkEnd w:id="54287"/>
      <w:r>
        <w:rPr>
          <w:rFonts w:hint="cs"/>
          <w:rtl/>
        </w:rPr>
        <w:t xml:space="preserve">אני </w:t>
      </w:r>
      <w:bookmarkStart w:id="54288" w:name="_ETM_Q101_199609"/>
      <w:bookmarkEnd w:id="54288"/>
      <w:r>
        <w:rPr>
          <w:rFonts w:hint="cs"/>
          <w:rtl/>
        </w:rPr>
        <w:t xml:space="preserve">יכול </w:t>
      </w:r>
      <w:bookmarkStart w:id="54289" w:name="_ETM_Q101_199849"/>
      <w:bookmarkEnd w:id="54289"/>
      <w:r>
        <w:rPr>
          <w:rFonts w:hint="cs"/>
          <w:rtl/>
        </w:rPr>
        <w:t xml:space="preserve">לפסול </w:t>
      </w:r>
      <w:bookmarkStart w:id="54290" w:name="_ETM_Q101_200210"/>
      <w:bookmarkEnd w:id="54290"/>
      <w:r>
        <w:rPr>
          <w:rFonts w:hint="cs"/>
          <w:rtl/>
        </w:rPr>
        <w:t xml:space="preserve">כל </w:t>
      </w:r>
      <w:bookmarkStart w:id="54291" w:name="_ETM_Q101_200480"/>
      <w:bookmarkEnd w:id="54291"/>
      <w:r>
        <w:rPr>
          <w:rFonts w:hint="cs"/>
          <w:rtl/>
        </w:rPr>
        <w:t xml:space="preserve">חוק. </w:t>
      </w:r>
      <w:bookmarkStart w:id="54292" w:name="_ETM_Q101_201630"/>
      <w:bookmarkEnd w:id="54292"/>
      <w:r>
        <w:rPr>
          <w:rFonts w:hint="cs"/>
          <w:rtl/>
        </w:rPr>
        <w:t xml:space="preserve">זו </w:t>
      </w:r>
      <w:bookmarkStart w:id="54293" w:name="_ETM_Q101_201750"/>
      <w:bookmarkEnd w:id="54293"/>
      <w:r>
        <w:rPr>
          <w:rFonts w:hint="cs"/>
          <w:rtl/>
        </w:rPr>
        <w:t xml:space="preserve">הייתה </w:t>
      </w:r>
      <w:bookmarkStart w:id="54294" w:name="_ETM_Q101_201960"/>
      <w:bookmarkEnd w:id="54294"/>
      <w:r>
        <w:rPr>
          <w:rFonts w:hint="cs"/>
          <w:rtl/>
        </w:rPr>
        <w:t xml:space="preserve">ההונאה </w:t>
      </w:r>
      <w:bookmarkStart w:id="54295" w:name="_ETM_Q101_202289"/>
      <w:bookmarkEnd w:id="54295"/>
      <w:r>
        <w:rPr>
          <w:rFonts w:hint="cs"/>
          <w:rtl/>
        </w:rPr>
        <w:t xml:space="preserve">הגדולה </w:t>
      </w:r>
      <w:bookmarkStart w:id="54296" w:name="_ETM_Q101_202739"/>
      <w:bookmarkEnd w:id="54296"/>
      <w:r>
        <w:rPr>
          <w:rFonts w:hint="cs"/>
          <w:rtl/>
        </w:rPr>
        <w:t xml:space="preserve">ביותר. </w:t>
      </w:r>
      <w:bookmarkStart w:id="54297" w:name="_ETM_Q101_203189"/>
      <w:bookmarkEnd w:id="54297"/>
      <w:r>
        <w:rPr>
          <w:rFonts w:hint="cs"/>
          <w:rtl/>
        </w:rPr>
        <w:t xml:space="preserve">אבל </w:t>
      </w:r>
      <w:bookmarkStart w:id="54298" w:name="_ETM_Q101_203429"/>
      <w:bookmarkEnd w:id="54298"/>
      <w:r>
        <w:rPr>
          <w:rFonts w:hint="cs"/>
          <w:rtl/>
        </w:rPr>
        <w:t xml:space="preserve">נדבר </w:t>
      </w:r>
      <w:bookmarkStart w:id="54299" w:name="_ETM_Q101_203820"/>
      <w:bookmarkEnd w:id="54299"/>
      <w:r>
        <w:rPr>
          <w:rFonts w:hint="cs"/>
          <w:rtl/>
        </w:rPr>
        <w:t xml:space="preserve">על </w:t>
      </w:r>
      <w:bookmarkStart w:id="54300" w:name="_ETM_Q101_203880"/>
      <w:bookmarkEnd w:id="54300"/>
      <w:r>
        <w:rPr>
          <w:rFonts w:hint="cs"/>
          <w:rtl/>
        </w:rPr>
        <w:t xml:space="preserve">זה </w:t>
      </w:r>
      <w:bookmarkStart w:id="54301" w:name="_ETM_Q101_204000"/>
      <w:bookmarkEnd w:id="54301"/>
      <w:r>
        <w:rPr>
          <w:rFonts w:hint="cs"/>
          <w:rtl/>
        </w:rPr>
        <w:t xml:space="preserve">פעם </w:t>
      </w:r>
      <w:bookmarkStart w:id="54302" w:name="_ETM_Q101_204239"/>
      <w:bookmarkEnd w:id="54302"/>
      <w:r>
        <w:rPr>
          <w:rFonts w:hint="cs"/>
          <w:rtl/>
        </w:rPr>
        <w:t xml:space="preserve">כשיהיה </w:t>
      </w:r>
      <w:bookmarkStart w:id="54303" w:name="_ETM_Q101_204509"/>
      <w:bookmarkEnd w:id="54303"/>
      <w:r>
        <w:rPr>
          <w:rFonts w:hint="cs"/>
          <w:rtl/>
        </w:rPr>
        <w:t xml:space="preserve">לך </w:t>
      </w:r>
      <w:bookmarkStart w:id="54304" w:name="_ETM_Q101_204630"/>
      <w:bookmarkEnd w:id="54304"/>
      <w:r>
        <w:rPr>
          <w:rFonts w:hint="cs"/>
          <w:rtl/>
        </w:rPr>
        <w:t>זמן.</w:t>
      </w:r>
    </w:p>
    <w:p w:rsidR="00BB59CD" w:rsidRDefault="00BB59CD" w:rsidP="00BB59CD">
      <w:pPr>
        <w:rPr>
          <w:rtl/>
        </w:rPr>
      </w:pPr>
      <w:bookmarkStart w:id="54305" w:name="_ETM_Q101_206390"/>
      <w:bookmarkStart w:id="54306" w:name="_ETM_Q101_206533"/>
      <w:bookmarkEnd w:id="54305"/>
      <w:bookmarkEnd w:id="54306"/>
    </w:p>
    <w:p w:rsidR="00BB59CD" w:rsidRDefault="00BB59CD" w:rsidP="00BB59CD">
      <w:pPr>
        <w:pStyle w:val="-"/>
        <w:keepNext/>
        <w:rPr>
          <w:rtl/>
        </w:rPr>
      </w:pPr>
      <w:bookmarkStart w:id="54307" w:name="ET_speakercontinue_5787_3"/>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54307"/>
    </w:p>
    <w:p w:rsidR="00BB59CD" w:rsidRDefault="00BB59CD" w:rsidP="00337201">
      <w:pPr>
        <w:rPr>
          <w:rtl/>
        </w:rPr>
      </w:pPr>
    </w:p>
    <w:p w:rsidR="00BB59CD" w:rsidRDefault="00BB59CD" w:rsidP="00BB59CD">
      <w:pPr>
        <w:rPr>
          <w:rtl/>
        </w:rPr>
      </w:pPr>
      <w:bookmarkStart w:id="54308" w:name="_ETM_Q101_204960"/>
      <w:bookmarkEnd w:id="54308"/>
      <w:r>
        <w:rPr>
          <w:rFonts w:hint="cs"/>
          <w:rtl/>
        </w:rPr>
        <w:t xml:space="preserve">אבל </w:t>
      </w:r>
      <w:bookmarkStart w:id="54309" w:name="_ETM_Q101_205670"/>
      <w:bookmarkEnd w:id="54309"/>
      <w:r>
        <w:rPr>
          <w:rFonts w:hint="cs"/>
          <w:rtl/>
        </w:rPr>
        <w:t xml:space="preserve">כבר </w:t>
      </w:r>
      <w:bookmarkStart w:id="54310" w:name="_ETM_Q101_205880"/>
      <w:bookmarkEnd w:id="54310"/>
      <w:r>
        <w:rPr>
          <w:rFonts w:hint="cs"/>
          <w:rtl/>
        </w:rPr>
        <w:t>ב-</w:t>
      </w:r>
      <w:bookmarkStart w:id="54311" w:name="_ETM_Q101_206000"/>
      <w:bookmarkEnd w:id="54311"/>
      <w:r>
        <w:rPr>
          <w:rFonts w:hint="cs"/>
          <w:rtl/>
        </w:rPr>
        <w:t xml:space="preserve">1961 </w:t>
      </w:r>
      <w:bookmarkStart w:id="54312" w:name="_ETM_Q101_206630"/>
      <w:bookmarkEnd w:id="54312"/>
      <w:r>
        <w:rPr>
          <w:rFonts w:hint="cs"/>
          <w:rtl/>
        </w:rPr>
        <w:t xml:space="preserve">נפסל </w:t>
      </w:r>
      <w:bookmarkStart w:id="54313" w:name="_ETM_Q101_206990"/>
      <w:bookmarkEnd w:id="54313"/>
      <w:r>
        <w:rPr>
          <w:rFonts w:hint="cs"/>
          <w:rtl/>
        </w:rPr>
        <w:t xml:space="preserve">חוק </w:t>
      </w:r>
      <w:bookmarkStart w:id="54314" w:name="_ETM_Q101_208480"/>
      <w:bookmarkEnd w:id="54314"/>
      <w:r>
        <w:rPr>
          <w:rFonts w:hint="cs"/>
          <w:rtl/>
        </w:rPr>
        <w:t xml:space="preserve">בשימוש </w:t>
      </w:r>
      <w:bookmarkStart w:id="54315" w:name="_ETM_Q101_209050"/>
      <w:bookmarkEnd w:id="54315"/>
      <w:r>
        <w:rPr>
          <w:rFonts w:hint="cs"/>
          <w:rtl/>
        </w:rPr>
        <w:t>בחוק</w:t>
      </w:r>
      <w:bookmarkStart w:id="54316" w:name="_ETM_Q101_209380"/>
      <w:bookmarkEnd w:id="54316"/>
      <w:r>
        <w:rPr>
          <w:rFonts w:hint="cs"/>
          <w:rtl/>
        </w:rPr>
        <w:t xml:space="preserve">-יסוד. </w:t>
      </w:r>
      <w:bookmarkStart w:id="54317" w:name="_ETM_Q101_210560"/>
      <w:bookmarkEnd w:id="54317"/>
    </w:p>
    <w:p w:rsidR="00BB59CD" w:rsidRDefault="00BB59CD" w:rsidP="00BB59CD">
      <w:pPr>
        <w:rPr>
          <w:rtl/>
        </w:rPr>
      </w:pPr>
      <w:bookmarkStart w:id="54318" w:name="_ETM_Q101_210407"/>
      <w:bookmarkStart w:id="54319" w:name="_ETM_Q101_210487"/>
      <w:bookmarkEnd w:id="54318"/>
      <w:bookmarkEnd w:id="54319"/>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374B1A">
      <w:pPr>
        <w:rPr>
          <w:rtl/>
        </w:rPr>
      </w:pPr>
      <w:bookmarkStart w:id="54320" w:name="_ETM_Q101_212104"/>
      <w:bookmarkStart w:id="54321" w:name="_ETM_Q101_211099"/>
      <w:bookmarkEnd w:id="54320"/>
      <w:bookmarkEnd w:id="54321"/>
      <w:r>
        <w:rPr>
          <w:rFonts w:hint="cs"/>
          <w:rtl/>
        </w:rPr>
        <w:t xml:space="preserve">את </w:t>
      </w:r>
      <w:bookmarkStart w:id="54322" w:name="_ETM_Q101_211249"/>
      <w:bookmarkEnd w:id="54322"/>
      <w:r>
        <w:rPr>
          <w:rFonts w:hint="cs"/>
          <w:rtl/>
        </w:rPr>
        <w:t xml:space="preserve">זה </w:t>
      </w:r>
      <w:bookmarkStart w:id="54323" w:name="_ETM_Q101_211400"/>
      <w:bookmarkEnd w:id="54323"/>
      <w:r>
        <w:rPr>
          <w:rFonts w:hint="cs"/>
          <w:rtl/>
        </w:rPr>
        <w:t xml:space="preserve">אני </w:t>
      </w:r>
      <w:bookmarkStart w:id="54324" w:name="_ETM_Q101_211550"/>
      <w:bookmarkEnd w:id="54324"/>
      <w:r>
        <w:rPr>
          <w:rFonts w:hint="cs"/>
          <w:rtl/>
        </w:rPr>
        <w:t xml:space="preserve">לא </w:t>
      </w:r>
      <w:bookmarkStart w:id="54325" w:name="_ETM_Q101_211699"/>
      <w:bookmarkEnd w:id="54325"/>
      <w:r>
        <w:rPr>
          <w:rFonts w:hint="cs"/>
          <w:rtl/>
        </w:rPr>
        <w:t xml:space="preserve">יודע. </w:t>
      </w:r>
      <w:bookmarkStart w:id="54326" w:name="_ETM_Q101_212719"/>
      <w:bookmarkEnd w:id="54326"/>
      <w:r>
        <w:rPr>
          <w:rFonts w:hint="cs"/>
          <w:rtl/>
        </w:rPr>
        <w:t xml:space="preserve">אני </w:t>
      </w:r>
      <w:bookmarkStart w:id="54327" w:name="_ETM_Q101_212870"/>
      <w:bookmarkEnd w:id="54327"/>
      <w:r>
        <w:rPr>
          <w:rFonts w:hint="cs"/>
          <w:rtl/>
        </w:rPr>
        <w:t xml:space="preserve">אבדוק </w:t>
      </w:r>
      <w:bookmarkStart w:id="54328" w:name="_ETM_Q101_213199"/>
      <w:bookmarkEnd w:id="54328"/>
      <w:r>
        <w:rPr>
          <w:rFonts w:hint="cs"/>
          <w:rtl/>
        </w:rPr>
        <w:t xml:space="preserve">את </w:t>
      </w:r>
      <w:bookmarkStart w:id="54329" w:name="_ETM_Q101_213289"/>
      <w:bookmarkEnd w:id="54329"/>
      <w:r>
        <w:rPr>
          <w:rFonts w:hint="cs"/>
          <w:rtl/>
        </w:rPr>
        <w:t xml:space="preserve">זה. </w:t>
      </w:r>
      <w:bookmarkStart w:id="54330" w:name="_ETM_Q101_213829"/>
      <w:bookmarkEnd w:id="54330"/>
      <w:r>
        <w:rPr>
          <w:rFonts w:hint="cs"/>
          <w:rtl/>
        </w:rPr>
        <w:t xml:space="preserve">אבל </w:t>
      </w:r>
      <w:bookmarkStart w:id="54331" w:name="_ETM_Q101_214519"/>
      <w:bookmarkStart w:id="54332" w:name="_ETM_Q101_215510"/>
      <w:bookmarkEnd w:id="54331"/>
      <w:bookmarkEnd w:id="54332"/>
      <w:r>
        <w:rPr>
          <w:rFonts w:hint="cs"/>
          <w:rtl/>
        </w:rPr>
        <w:t xml:space="preserve">עד </w:t>
      </w:r>
      <w:bookmarkStart w:id="54333" w:name="_ETM_Q101_215809"/>
      <w:bookmarkEnd w:id="54333"/>
      <w:r>
        <w:rPr>
          <w:rFonts w:hint="cs"/>
          <w:rtl/>
        </w:rPr>
        <w:t xml:space="preserve">אז </w:t>
      </w:r>
      <w:bookmarkStart w:id="54334" w:name="_ETM_Q101_215989"/>
      <w:bookmarkEnd w:id="54334"/>
      <w:r>
        <w:rPr>
          <w:rFonts w:hint="cs"/>
          <w:rtl/>
        </w:rPr>
        <w:t xml:space="preserve">לא </w:t>
      </w:r>
      <w:bookmarkStart w:id="54335" w:name="_ETM_Q101_216110"/>
      <w:bookmarkEnd w:id="54335"/>
      <w:r>
        <w:rPr>
          <w:rFonts w:hint="cs"/>
          <w:rtl/>
        </w:rPr>
        <w:t xml:space="preserve">היה </w:t>
      </w:r>
      <w:bookmarkStart w:id="54336" w:name="_ETM_Q101_216199"/>
      <w:bookmarkEnd w:id="54336"/>
      <w:r>
        <w:rPr>
          <w:rFonts w:hint="cs"/>
          <w:rtl/>
        </w:rPr>
        <w:t xml:space="preserve">שייך – </w:t>
      </w:r>
      <w:bookmarkStart w:id="54337" w:name="_ETM_Q101_216590"/>
      <w:bookmarkEnd w:id="54337"/>
      <w:r>
        <w:rPr>
          <w:rFonts w:hint="cs"/>
          <w:rtl/>
        </w:rPr>
        <w:t xml:space="preserve">לא </w:t>
      </w:r>
      <w:bookmarkStart w:id="54338" w:name="_ETM_Q101_216800"/>
      <w:bookmarkEnd w:id="54338"/>
      <w:r>
        <w:rPr>
          <w:rFonts w:hint="cs"/>
          <w:rtl/>
        </w:rPr>
        <w:t xml:space="preserve">רק </w:t>
      </w:r>
      <w:bookmarkStart w:id="54339" w:name="_ETM_Q101_216979"/>
      <w:bookmarkEnd w:id="54339"/>
      <w:r>
        <w:rPr>
          <w:rFonts w:hint="cs"/>
          <w:rtl/>
        </w:rPr>
        <w:t xml:space="preserve">שלא </w:t>
      </w:r>
      <w:bookmarkStart w:id="54340" w:name="_ETM_Q101_217309"/>
      <w:bookmarkEnd w:id="54340"/>
      <w:r>
        <w:rPr>
          <w:rFonts w:hint="cs"/>
          <w:rtl/>
        </w:rPr>
        <w:t xml:space="preserve">היה שייך, </w:t>
      </w:r>
      <w:bookmarkStart w:id="54341" w:name="_ETM_Q101_218680"/>
      <w:bookmarkEnd w:id="54341"/>
      <w:r>
        <w:rPr>
          <w:rFonts w:hint="cs"/>
          <w:rtl/>
        </w:rPr>
        <w:t xml:space="preserve">הם </w:t>
      </w:r>
      <w:bookmarkStart w:id="54342" w:name="_ETM_Q101_218860"/>
      <w:bookmarkEnd w:id="54342"/>
      <w:r>
        <w:rPr>
          <w:rFonts w:hint="cs"/>
          <w:rtl/>
        </w:rPr>
        <w:t xml:space="preserve">אמרו </w:t>
      </w:r>
      <w:bookmarkStart w:id="54343" w:name="_ETM_Q101_219130"/>
      <w:bookmarkEnd w:id="54343"/>
      <w:r>
        <w:rPr>
          <w:rFonts w:hint="cs"/>
          <w:rtl/>
        </w:rPr>
        <w:t xml:space="preserve">בפירוש </w:t>
      </w:r>
      <w:bookmarkStart w:id="54344" w:name="_ETM_Q101_219670"/>
      <w:bookmarkEnd w:id="54344"/>
      <w:r>
        <w:rPr>
          <w:rFonts w:hint="cs"/>
          <w:rtl/>
        </w:rPr>
        <w:t xml:space="preserve">שזה </w:t>
      </w:r>
      <w:bookmarkStart w:id="54345" w:name="_ETM_Q101_219850"/>
      <w:bookmarkEnd w:id="54345"/>
      <w:r>
        <w:rPr>
          <w:rFonts w:hint="cs"/>
          <w:rtl/>
        </w:rPr>
        <w:t xml:space="preserve">לא </w:t>
      </w:r>
      <w:bookmarkStart w:id="54346" w:name="_ETM_Q101_220000"/>
      <w:bookmarkEnd w:id="54346"/>
      <w:r>
        <w:rPr>
          <w:rFonts w:hint="cs"/>
          <w:rtl/>
        </w:rPr>
        <w:t xml:space="preserve">יהיה. </w:t>
      </w:r>
      <w:bookmarkStart w:id="54347" w:name="_ETM_Q101_220600"/>
      <w:bookmarkEnd w:id="54347"/>
      <w:r>
        <w:rPr>
          <w:rFonts w:hint="cs"/>
          <w:rtl/>
        </w:rPr>
        <w:t xml:space="preserve">זה </w:t>
      </w:r>
      <w:bookmarkStart w:id="54348" w:name="_ETM_Q101_220720"/>
      <w:bookmarkEnd w:id="54348"/>
      <w:r>
        <w:rPr>
          <w:rFonts w:hint="cs"/>
          <w:rtl/>
        </w:rPr>
        <w:t xml:space="preserve">היה </w:t>
      </w:r>
      <w:bookmarkStart w:id="54349" w:name="_ETM_Q101_220840"/>
      <w:bookmarkEnd w:id="54349"/>
      <w:r>
        <w:rPr>
          <w:rFonts w:hint="cs"/>
          <w:rtl/>
        </w:rPr>
        <w:t xml:space="preserve">בוועדת </w:t>
      </w:r>
      <w:bookmarkStart w:id="54350" w:name="_ETM_Q101_221229"/>
      <w:bookmarkEnd w:id="54350"/>
      <w:r>
        <w:rPr>
          <w:rFonts w:hint="cs"/>
          <w:rtl/>
        </w:rPr>
        <w:t xml:space="preserve">החוקה </w:t>
      </w:r>
      <w:bookmarkStart w:id="54351" w:name="_ETM_Q101_221710"/>
      <w:bookmarkEnd w:id="54351"/>
      <w:r>
        <w:rPr>
          <w:rFonts w:hint="cs"/>
          <w:rtl/>
        </w:rPr>
        <w:t xml:space="preserve">וזה </w:t>
      </w:r>
      <w:bookmarkStart w:id="54352" w:name="_ETM_Q101_221950"/>
      <w:bookmarkEnd w:id="54352"/>
      <w:r>
        <w:rPr>
          <w:rFonts w:hint="cs"/>
          <w:rtl/>
        </w:rPr>
        <w:t xml:space="preserve">היה </w:t>
      </w:r>
      <w:bookmarkStart w:id="54353" w:name="_ETM_Q101_222159"/>
      <w:bookmarkEnd w:id="54353"/>
      <w:r>
        <w:rPr>
          <w:rFonts w:hint="cs"/>
          <w:rtl/>
        </w:rPr>
        <w:t xml:space="preserve">פה </w:t>
      </w:r>
      <w:bookmarkStart w:id="54354" w:name="_ETM_Q101_222340"/>
      <w:bookmarkEnd w:id="54354"/>
      <w:r>
        <w:rPr>
          <w:rFonts w:hint="cs"/>
          <w:rtl/>
        </w:rPr>
        <w:t xml:space="preserve">במליאה. </w:t>
      </w:r>
      <w:bookmarkStart w:id="54355" w:name="_ETM_Q101_223340"/>
      <w:bookmarkStart w:id="54356" w:name="_ETM_Q101_223760"/>
      <w:bookmarkStart w:id="54357" w:name="_ETM_Q101_224000"/>
      <w:bookmarkEnd w:id="54355"/>
      <w:bookmarkEnd w:id="54356"/>
      <w:bookmarkEnd w:id="54357"/>
      <w:r>
        <w:rPr>
          <w:rFonts w:hint="cs"/>
          <w:rtl/>
        </w:rPr>
        <w:t xml:space="preserve">ההפך, </w:t>
      </w:r>
      <w:bookmarkStart w:id="54358" w:name="_ETM_Q101_224450"/>
      <w:bookmarkEnd w:id="54358"/>
      <w:r>
        <w:rPr>
          <w:rFonts w:hint="cs"/>
          <w:rtl/>
        </w:rPr>
        <w:t xml:space="preserve">הם </w:t>
      </w:r>
      <w:bookmarkStart w:id="54359" w:name="_ETM_Q101_224540"/>
      <w:bookmarkEnd w:id="54359"/>
      <w:r>
        <w:rPr>
          <w:rFonts w:hint="cs"/>
          <w:rtl/>
        </w:rPr>
        <w:t xml:space="preserve">באו </w:t>
      </w:r>
      <w:bookmarkStart w:id="54360" w:name="_ETM_Q101_224750"/>
      <w:bookmarkEnd w:id="54360"/>
      <w:r>
        <w:rPr>
          <w:rFonts w:hint="cs"/>
          <w:rtl/>
        </w:rPr>
        <w:t xml:space="preserve">בטענה: </w:t>
      </w:r>
      <w:bookmarkStart w:id="54361" w:name="_ETM_Q101_225110"/>
      <w:bookmarkEnd w:id="54361"/>
      <w:r>
        <w:rPr>
          <w:rFonts w:hint="cs"/>
          <w:rtl/>
        </w:rPr>
        <w:t xml:space="preserve">למה </w:t>
      </w:r>
      <w:bookmarkStart w:id="54362" w:name="_ETM_Q101_225440"/>
      <w:bookmarkEnd w:id="54362"/>
      <w:r>
        <w:rPr>
          <w:rFonts w:hint="cs"/>
          <w:rtl/>
        </w:rPr>
        <w:t xml:space="preserve">אתם </w:t>
      </w:r>
      <w:bookmarkStart w:id="54363" w:name="_ETM_Q101_225649"/>
      <w:bookmarkEnd w:id="54363"/>
      <w:r>
        <w:rPr>
          <w:rFonts w:hint="cs"/>
          <w:rtl/>
        </w:rPr>
        <w:t xml:space="preserve">אומרים </w:t>
      </w:r>
      <w:bookmarkStart w:id="54364" w:name="_ETM_Q101_225920"/>
      <w:bookmarkEnd w:id="54364"/>
      <w:r>
        <w:rPr>
          <w:rFonts w:hint="cs"/>
          <w:rtl/>
        </w:rPr>
        <w:t xml:space="preserve">עלינו </w:t>
      </w:r>
      <w:bookmarkStart w:id="54365" w:name="_ETM_Q101_226250"/>
      <w:bookmarkEnd w:id="54365"/>
      <w:r>
        <w:rPr>
          <w:rFonts w:hint="cs"/>
          <w:rtl/>
        </w:rPr>
        <w:t xml:space="preserve">דברים </w:t>
      </w:r>
      <w:bookmarkStart w:id="54366" w:name="_ETM_Q101_226579"/>
      <w:bookmarkEnd w:id="54366"/>
      <w:r>
        <w:rPr>
          <w:rFonts w:hint="cs"/>
          <w:rtl/>
        </w:rPr>
        <w:t xml:space="preserve">כאלה? </w:t>
      </w:r>
      <w:bookmarkStart w:id="54367" w:name="_ETM_Q101_227850"/>
      <w:bookmarkEnd w:id="54367"/>
      <w:r>
        <w:rPr>
          <w:rFonts w:hint="cs"/>
          <w:rtl/>
        </w:rPr>
        <w:t xml:space="preserve">כל </w:t>
      </w:r>
      <w:bookmarkStart w:id="54368" w:name="_ETM_Q101_228060"/>
      <w:bookmarkStart w:id="54369" w:name="_ETM_Q101_228300"/>
      <w:bookmarkEnd w:id="54368"/>
      <w:bookmarkEnd w:id="54369"/>
      <w:r>
        <w:rPr>
          <w:rFonts w:hint="cs"/>
          <w:rtl/>
        </w:rPr>
        <w:t xml:space="preserve">העניין הזה של </w:t>
      </w:r>
      <w:bookmarkStart w:id="54370" w:name="_ETM_Q101_228570"/>
      <w:bookmarkEnd w:id="54370"/>
      <w:r>
        <w:rPr>
          <w:rFonts w:hint="cs"/>
          <w:rtl/>
        </w:rPr>
        <w:t xml:space="preserve">לפסול </w:t>
      </w:r>
      <w:bookmarkStart w:id="54371" w:name="_ETM_Q101_228900"/>
      <w:bookmarkEnd w:id="54371"/>
      <w:r>
        <w:rPr>
          <w:rFonts w:hint="cs"/>
          <w:rtl/>
        </w:rPr>
        <w:t xml:space="preserve">חוק </w:t>
      </w:r>
      <w:bookmarkStart w:id="54372" w:name="_ETM_Q101_229110"/>
      <w:bookmarkEnd w:id="54372"/>
      <w:r>
        <w:rPr>
          <w:rFonts w:hint="cs"/>
          <w:rtl/>
        </w:rPr>
        <w:t xml:space="preserve">של </w:t>
      </w:r>
      <w:bookmarkStart w:id="54373" w:name="_ETM_Q101_229290"/>
      <w:bookmarkEnd w:id="54373"/>
      <w:r>
        <w:rPr>
          <w:rFonts w:hint="cs"/>
          <w:rtl/>
        </w:rPr>
        <w:t xml:space="preserve">הכנסת </w:t>
      </w:r>
      <w:bookmarkStart w:id="54374" w:name="_ETM_Q101_229890"/>
      <w:bookmarkEnd w:id="54374"/>
      <w:r>
        <w:rPr>
          <w:rFonts w:hint="cs"/>
          <w:rtl/>
        </w:rPr>
        <w:t xml:space="preserve">התחיל </w:t>
      </w:r>
      <w:bookmarkStart w:id="54375" w:name="_ETM_Q101_230370"/>
      <w:bookmarkEnd w:id="54375"/>
      <w:r>
        <w:rPr>
          <w:rFonts w:hint="cs"/>
          <w:rtl/>
        </w:rPr>
        <w:t xml:space="preserve">אז. </w:t>
      </w:r>
      <w:bookmarkStart w:id="54376" w:name="_ETM_Q101_230970"/>
      <w:bookmarkEnd w:id="54376"/>
      <w:r>
        <w:rPr>
          <w:rFonts w:hint="cs"/>
          <w:rtl/>
        </w:rPr>
        <w:t xml:space="preserve">טוב, אני </w:t>
      </w:r>
      <w:bookmarkStart w:id="54377" w:name="_ETM_Q101_231150"/>
      <w:bookmarkEnd w:id="54377"/>
      <w:r>
        <w:rPr>
          <w:rFonts w:hint="cs"/>
          <w:rtl/>
        </w:rPr>
        <w:t xml:space="preserve">לא </w:t>
      </w:r>
      <w:bookmarkStart w:id="54378" w:name="_ETM_Q101_231210"/>
      <w:bookmarkEnd w:id="54378"/>
      <w:r>
        <w:rPr>
          <w:rFonts w:hint="cs"/>
          <w:rtl/>
        </w:rPr>
        <w:t xml:space="preserve">רוצה </w:t>
      </w:r>
      <w:bookmarkStart w:id="54379" w:name="_ETM_Q101_231420"/>
      <w:bookmarkEnd w:id="54379"/>
      <w:r>
        <w:rPr>
          <w:rFonts w:hint="cs"/>
          <w:rtl/>
        </w:rPr>
        <w:t xml:space="preserve">להפריע </w:t>
      </w:r>
      <w:bookmarkStart w:id="54380" w:name="_ETM_Q101_231810"/>
      <w:bookmarkEnd w:id="54380"/>
      <w:r>
        <w:rPr>
          <w:rFonts w:hint="cs"/>
          <w:rtl/>
        </w:rPr>
        <w:t xml:space="preserve">לנואמת </w:t>
      </w:r>
      <w:bookmarkStart w:id="54381" w:name="_ETM_Q101_233002"/>
      <w:bookmarkEnd w:id="54381"/>
      <w:r>
        <w:rPr>
          <w:rFonts w:hint="cs"/>
          <w:rtl/>
        </w:rPr>
        <w:t xml:space="preserve">הבאה. </w:t>
      </w:r>
      <w:bookmarkStart w:id="54382" w:name="_ETM_Q101_232470"/>
      <w:bookmarkEnd w:id="54382"/>
    </w:p>
    <w:p w:rsidR="00BB59CD" w:rsidRDefault="00BB59CD" w:rsidP="00BB59CD">
      <w:pPr>
        <w:rPr>
          <w:rtl/>
        </w:rPr>
      </w:pPr>
      <w:bookmarkStart w:id="54383" w:name="_ETM_Q101_233083"/>
      <w:bookmarkStart w:id="54384" w:name="_ETM_Q101_233170"/>
      <w:bookmarkEnd w:id="54383"/>
      <w:bookmarkEnd w:id="54384"/>
    </w:p>
    <w:p w:rsidR="00BB59CD" w:rsidRDefault="00BB59CD" w:rsidP="00BB59CD">
      <w:pPr>
        <w:pStyle w:val="-"/>
        <w:keepNext/>
        <w:rPr>
          <w:rtl/>
        </w:rPr>
      </w:pPr>
      <w:bookmarkStart w:id="54385" w:name="ET_speakercontinue_5787_5"/>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54385"/>
    </w:p>
    <w:p w:rsidR="00BB59CD" w:rsidRDefault="00BB59CD" w:rsidP="00337201">
      <w:pPr>
        <w:rPr>
          <w:rtl/>
        </w:rPr>
      </w:pPr>
    </w:p>
    <w:p w:rsidR="00BB59CD" w:rsidRDefault="00BB59CD" w:rsidP="00BB59CD">
      <w:pPr>
        <w:rPr>
          <w:rtl/>
        </w:rPr>
      </w:pPr>
      <w:bookmarkStart w:id="54386" w:name="_ETM_Q101_234627"/>
      <w:bookmarkEnd w:id="54386"/>
      <w:r>
        <w:rPr>
          <w:rFonts w:hint="cs"/>
          <w:rtl/>
        </w:rPr>
        <w:t xml:space="preserve">תודה רבה. </w:t>
      </w:r>
    </w:p>
    <w:p w:rsidR="00BB59CD" w:rsidRDefault="00BB59CD" w:rsidP="00BB59CD">
      <w:pPr>
        <w:rPr>
          <w:rtl/>
        </w:rPr>
      </w:pPr>
      <w:bookmarkStart w:id="54387" w:name="_ETM_Q101_237659"/>
      <w:bookmarkStart w:id="54388" w:name="_ETM_Q101_237737"/>
      <w:bookmarkEnd w:id="54387"/>
      <w:bookmarkEnd w:id="54388"/>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חברת ה</w:t>
      </w:r>
      <w:bookmarkStart w:id="54389" w:name="_ETM_Q101_234789"/>
      <w:bookmarkEnd w:id="54389"/>
      <w:r>
        <w:rPr>
          <w:rFonts w:hint="cs"/>
          <w:rtl/>
        </w:rPr>
        <w:t xml:space="preserve">כנסת </w:t>
      </w:r>
      <w:bookmarkStart w:id="54390" w:name="_ETM_Q101_235420"/>
      <w:bookmarkEnd w:id="54390"/>
      <w:r>
        <w:rPr>
          <w:rFonts w:hint="cs"/>
          <w:rtl/>
        </w:rPr>
        <w:t xml:space="preserve">שלי </w:t>
      </w:r>
      <w:bookmarkStart w:id="54391" w:name="_ETM_Q101_235899"/>
      <w:bookmarkEnd w:id="54391"/>
      <w:r>
        <w:rPr>
          <w:rFonts w:hint="cs"/>
          <w:rtl/>
        </w:rPr>
        <w:t xml:space="preserve">טל מירון, </w:t>
      </w:r>
      <w:bookmarkStart w:id="54392" w:name="_ETM_Q101_236739"/>
      <w:bookmarkEnd w:id="54392"/>
      <w:r>
        <w:rPr>
          <w:rFonts w:hint="cs"/>
          <w:rtl/>
        </w:rPr>
        <w:t>בבקשה</w:t>
      </w:r>
      <w:bookmarkStart w:id="54393" w:name="_ETM_Q101_243229"/>
      <w:bookmarkEnd w:id="54393"/>
      <w:r>
        <w:rPr>
          <w:rFonts w:hint="cs"/>
          <w:rtl/>
        </w:rPr>
        <w:t xml:space="preserve">. בבקשה, 25 דקות. </w:t>
      </w:r>
    </w:p>
    <w:p w:rsidR="00BB59CD" w:rsidRDefault="00BB59CD" w:rsidP="00BB59CD">
      <w:pPr>
        <w:rPr>
          <w:rtl/>
        </w:rPr>
      </w:pPr>
    </w:p>
    <w:p w:rsidR="00BB59CD" w:rsidRDefault="00BB59CD" w:rsidP="00BB59CD">
      <w:pPr>
        <w:pStyle w:val="a5"/>
        <w:keepNext/>
        <w:rPr>
          <w:rtl/>
        </w:rPr>
      </w:pPr>
      <w:bookmarkStart w:id="54394" w:name="ET_speaker_6507_33"/>
      <w:r>
        <w:rPr>
          <w:rStyle w:val="TagStyle"/>
          <w:rFonts w:hint="cs"/>
          <w:rtl/>
        </w:rPr>
        <w:t xml:space="preserve">&lt;&lt; דובר &gt;&gt; </w:t>
      </w:r>
      <w:bookmarkStart w:id="54395" w:name="_Toc141197176"/>
      <w:bookmarkStart w:id="54396" w:name="_Toc141196912"/>
      <w:r>
        <w:rPr>
          <w:rFonts w:hint="cs"/>
          <w:rtl/>
        </w:rPr>
        <w:t>שלי טל מירון (יש עתיד):</w:t>
      </w:r>
      <w:bookmarkEnd w:id="54395"/>
      <w:bookmarkEnd w:id="54396"/>
      <w:r>
        <w:rPr>
          <w:rStyle w:val="TagStyle"/>
          <w:rFonts w:hint="cs"/>
          <w:rtl/>
        </w:rPr>
        <w:t xml:space="preserve"> &lt;&lt; דובר &gt;&gt;</w:t>
      </w:r>
      <w:r>
        <w:rPr>
          <w:rFonts w:hint="cs"/>
          <w:rtl/>
        </w:rPr>
        <w:t xml:space="preserve"> </w:t>
      </w:r>
      <w:bookmarkEnd w:id="54394"/>
    </w:p>
    <w:p w:rsidR="00BB59CD" w:rsidRDefault="00BB59CD" w:rsidP="00337201">
      <w:pPr>
        <w:rPr>
          <w:rtl/>
        </w:rPr>
      </w:pPr>
    </w:p>
    <w:p w:rsidR="00BB59CD" w:rsidRDefault="00BB59CD" w:rsidP="00BB59CD">
      <w:pPr>
        <w:rPr>
          <w:rtl/>
        </w:rPr>
      </w:pPr>
      <w:r>
        <w:rPr>
          <w:rFonts w:hint="cs"/>
          <w:rtl/>
        </w:rPr>
        <w:t xml:space="preserve">לא, </w:t>
      </w:r>
      <w:bookmarkStart w:id="54397" w:name="_ETM_Q101_249848"/>
      <w:bookmarkEnd w:id="54397"/>
      <w:r>
        <w:rPr>
          <w:rFonts w:hint="cs"/>
          <w:rtl/>
        </w:rPr>
        <w:t xml:space="preserve">שעה. </w:t>
      </w:r>
      <w:bookmarkStart w:id="54398" w:name="_ETM_Q101_251400"/>
      <w:bookmarkEnd w:id="54398"/>
    </w:p>
    <w:p w:rsidR="00BB59CD" w:rsidRDefault="00BB59CD" w:rsidP="00BB59CD">
      <w:pPr>
        <w:rPr>
          <w:rtl/>
        </w:rPr>
      </w:pPr>
      <w:bookmarkStart w:id="54399" w:name="_ETM_Q101_250912"/>
      <w:bookmarkStart w:id="54400" w:name="_ETM_Q101_251007"/>
      <w:bookmarkEnd w:id="54399"/>
      <w:bookmarkEnd w:id="54400"/>
    </w:p>
    <w:p w:rsidR="00BB59CD" w:rsidRDefault="00BB59CD" w:rsidP="00BB59CD">
      <w:pPr>
        <w:pStyle w:val="af9"/>
        <w:keepNext/>
        <w:rPr>
          <w:rtl/>
        </w:rPr>
      </w:pPr>
      <w:bookmarkStart w:id="54401" w:name="ET_yor_6129_8"/>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401"/>
    </w:p>
    <w:p w:rsidR="00BB59CD" w:rsidRDefault="00BB59CD" w:rsidP="00337201">
      <w:pPr>
        <w:rPr>
          <w:rtl/>
        </w:rPr>
      </w:pPr>
    </w:p>
    <w:p w:rsidR="00BB59CD" w:rsidRDefault="00BB59CD" w:rsidP="00374B1A">
      <w:pPr>
        <w:rPr>
          <w:rtl/>
        </w:rPr>
      </w:pPr>
      <w:bookmarkStart w:id="54402" w:name="_ETM_Q101_252223"/>
      <w:bookmarkEnd w:id="54402"/>
      <w:r>
        <w:rPr>
          <w:rFonts w:hint="cs"/>
          <w:rtl/>
        </w:rPr>
        <w:t xml:space="preserve">מה? </w:t>
      </w:r>
      <w:bookmarkStart w:id="54403" w:name="_ETM_Q101_255258"/>
      <w:bookmarkEnd w:id="54403"/>
      <w:r>
        <w:rPr>
          <w:rFonts w:hint="cs"/>
          <w:rtl/>
        </w:rPr>
        <w:t xml:space="preserve">למה כתוב אצלי 25 </w:t>
      </w:r>
      <w:bookmarkStart w:id="54404" w:name="_ETM_Q101_256370"/>
      <w:bookmarkEnd w:id="54404"/>
      <w:r>
        <w:rPr>
          <w:rFonts w:hint="cs"/>
          <w:rtl/>
        </w:rPr>
        <w:t xml:space="preserve">דקות? </w:t>
      </w:r>
    </w:p>
    <w:p w:rsidR="00BB59CD" w:rsidRDefault="00BB59CD" w:rsidP="00BB59CD">
      <w:pPr>
        <w:rPr>
          <w:rtl/>
        </w:rPr>
      </w:pPr>
    </w:p>
    <w:p w:rsidR="00BB59CD" w:rsidRDefault="00BB59CD" w:rsidP="00BB59CD">
      <w:pPr>
        <w:pStyle w:val="-"/>
        <w:keepNext/>
        <w:rPr>
          <w:rtl/>
        </w:rPr>
      </w:pPr>
      <w:bookmarkStart w:id="54405" w:name="ET_speakercontinue_6507_31"/>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54405"/>
    </w:p>
    <w:p w:rsidR="00BB59CD" w:rsidRDefault="00BB59CD" w:rsidP="00337201">
      <w:pPr>
        <w:rPr>
          <w:rtl/>
        </w:rPr>
      </w:pPr>
    </w:p>
    <w:p w:rsidR="00BB59CD" w:rsidRDefault="00BB59CD" w:rsidP="00BB59CD">
      <w:pPr>
        <w:rPr>
          <w:rtl/>
        </w:rPr>
      </w:pPr>
      <w:bookmarkStart w:id="54406" w:name="_ETM_Q101_258784"/>
      <w:bookmarkEnd w:id="54406"/>
      <w:r>
        <w:rPr>
          <w:rFonts w:hint="cs"/>
          <w:rtl/>
        </w:rPr>
        <w:t xml:space="preserve">לא הפכנו? </w:t>
      </w:r>
    </w:p>
    <w:p w:rsidR="00BB59CD" w:rsidRDefault="00BB59CD" w:rsidP="00BB59CD">
      <w:pPr>
        <w:rPr>
          <w:rtl/>
        </w:rPr>
      </w:pPr>
    </w:p>
    <w:p w:rsidR="00BB59CD" w:rsidRDefault="00BB59CD" w:rsidP="00BB59CD">
      <w:pPr>
        <w:pStyle w:val="af9"/>
        <w:keepNext/>
        <w:rPr>
          <w:rtl/>
        </w:rPr>
      </w:pPr>
      <w:bookmarkStart w:id="54407" w:name="_ETM_Q101_259432"/>
      <w:bookmarkStart w:id="54408" w:name="_ETM_Q101_259542"/>
      <w:bookmarkStart w:id="54409" w:name="_ETM_Q101_261296"/>
      <w:bookmarkStart w:id="54410" w:name="_ETM_Q101_261378"/>
      <w:bookmarkStart w:id="54411" w:name="_ETM_Q101_265469"/>
      <w:bookmarkStart w:id="54412" w:name="ET_yor_6129_12"/>
      <w:bookmarkEnd w:id="54407"/>
      <w:bookmarkEnd w:id="54408"/>
      <w:bookmarkEnd w:id="54409"/>
      <w:bookmarkEnd w:id="54410"/>
      <w:bookmarkEnd w:id="5441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412"/>
    </w:p>
    <w:p w:rsidR="00BB59CD" w:rsidRDefault="00BB59CD" w:rsidP="00337201">
      <w:pPr>
        <w:rPr>
          <w:rtl/>
        </w:rPr>
      </w:pPr>
    </w:p>
    <w:p w:rsidR="00BB59CD" w:rsidRDefault="00BB59CD" w:rsidP="00BB59CD">
      <w:pPr>
        <w:rPr>
          <w:rtl/>
        </w:rPr>
      </w:pPr>
      <w:bookmarkStart w:id="54413" w:name="_ETM_Q101_261823"/>
      <w:bookmarkStart w:id="54414" w:name="_ETM_Q101_253091"/>
      <w:bookmarkStart w:id="54415" w:name="_ETM_Q101_253196"/>
      <w:bookmarkEnd w:id="54413"/>
      <w:bookmarkEnd w:id="54414"/>
      <w:bookmarkEnd w:id="54415"/>
      <w:r>
        <w:rPr>
          <w:rFonts w:hint="cs"/>
          <w:rtl/>
        </w:rPr>
        <w:t xml:space="preserve">אה. רגע, </w:t>
      </w:r>
      <w:bookmarkStart w:id="54416" w:name="_ETM_Q101_261458"/>
      <w:bookmarkStart w:id="54417" w:name="_ETM_Q101_257130"/>
      <w:bookmarkStart w:id="54418" w:name="_ETM_Q101_259350"/>
      <w:bookmarkStart w:id="54419" w:name="_ETM_Q101_259770"/>
      <w:bookmarkStart w:id="54420" w:name="_ETM_Q101_260000"/>
      <w:bookmarkStart w:id="54421" w:name="_ETM_Q101_261630"/>
      <w:bookmarkStart w:id="54422" w:name="_ETM_Q101_262079"/>
      <w:bookmarkStart w:id="54423" w:name="_ETM_Q101_262409"/>
      <w:bookmarkEnd w:id="54416"/>
      <w:bookmarkEnd w:id="54417"/>
      <w:bookmarkEnd w:id="54418"/>
      <w:bookmarkEnd w:id="54419"/>
      <w:bookmarkEnd w:id="54420"/>
      <w:bookmarkEnd w:id="54421"/>
      <w:bookmarkEnd w:id="54422"/>
      <w:bookmarkEnd w:id="54423"/>
      <w:r>
        <w:rPr>
          <w:rFonts w:hint="cs"/>
          <w:rtl/>
        </w:rPr>
        <w:t xml:space="preserve">עידן </w:t>
      </w:r>
      <w:bookmarkStart w:id="54424" w:name="_ETM_Q101_262770"/>
      <w:bookmarkEnd w:id="54424"/>
      <w:r>
        <w:rPr>
          <w:rFonts w:hint="cs"/>
          <w:rtl/>
        </w:rPr>
        <w:t xml:space="preserve">רול </w:t>
      </w:r>
      <w:bookmarkStart w:id="54425" w:name="_ETM_Q101_262950"/>
      <w:bookmarkEnd w:id="54425"/>
      <w:r>
        <w:rPr>
          <w:rFonts w:hint="cs"/>
          <w:rtl/>
        </w:rPr>
        <w:t xml:space="preserve">אחרייך, </w:t>
      </w:r>
      <w:bookmarkStart w:id="54426" w:name="_ETM_Q101_263369"/>
      <w:bookmarkEnd w:id="54426"/>
      <w:r>
        <w:rPr>
          <w:rFonts w:hint="cs"/>
          <w:rtl/>
        </w:rPr>
        <w:t xml:space="preserve">60 </w:t>
      </w:r>
      <w:bookmarkStart w:id="54427" w:name="_ETM_Q101_263715"/>
      <w:bookmarkEnd w:id="54427"/>
      <w:r>
        <w:rPr>
          <w:rFonts w:hint="cs"/>
          <w:rtl/>
        </w:rPr>
        <w:t xml:space="preserve">דקות. את </w:t>
      </w:r>
      <w:bookmarkStart w:id="54428" w:name="_ETM_Q101_264060"/>
      <w:bookmarkStart w:id="54429" w:name="_ETM_Q101_264539"/>
      <w:bookmarkStart w:id="54430" w:name="_ETM_Q101_264659"/>
      <w:bookmarkEnd w:id="54428"/>
      <w:bookmarkEnd w:id="54429"/>
      <w:bookmarkEnd w:id="54430"/>
      <w:r>
        <w:rPr>
          <w:rFonts w:hint="cs"/>
          <w:rtl/>
        </w:rPr>
        <w:t xml:space="preserve">מחליפה </w:t>
      </w:r>
      <w:bookmarkStart w:id="54431" w:name="_ETM_Q101_265079"/>
      <w:bookmarkEnd w:id="54431"/>
      <w:r>
        <w:rPr>
          <w:rFonts w:hint="cs"/>
          <w:rtl/>
        </w:rPr>
        <w:t>איתו?</w:t>
      </w:r>
    </w:p>
    <w:p w:rsidR="00BB59CD" w:rsidRDefault="00BB59CD" w:rsidP="00BB59CD">
      <w:pPr>
        <w:rPr>
          <w:rtl/>
        </w:rPr>
      </w:pPr>
      <w:bookmarkStart w:id="54432" w:name="_ETM_Q101_264098"/>
      <w:bookmarkStart w:id="54433" w:name="_ETM_Q101_264209"/>
      <w:bookmarkEnd w:id="54432"/>
      <w:bookmarkEnd w:id="54433"/>
    </w:p>
    <w:p w:rsidR="00BB59CD" w:rsidRDefault="00BB59CD" w:rsidP="00BB59CD">
      <w:pPr>
        <w:pStyle w:val="-"/>
        <w:keepNext/>
        <w:rPr>
          <w:rtl/>
        </w:rPr>
      </w:pPr>
      <w:bookmarkStart w:id="54434" w:name="ET_speakercontinue_6507_13"/>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54434"/>
    </w:p>
    <w:p w:rsidR="00BB59CD" w:rsidRDefault="00BB59CD" w:rsidP="00337201">
      <w:pPr>
        <w:rPr>
          <w:rtl/>
        </w:rPr>
      </w:pPr>
    </w:p>
    <w:p w:rsidR="00BB59CD" w:rsidRDefault="00BB59CD" w:rsidP="00374B1A">
      <w:pPr>
        <w:rPr>
          <w:rtl/>
        </w:rPr>
      </w:pPr>
      <w:bookmarkStart w:id="54435" w:name="_ETM_Q101_265556"/>
      <w:bookmarkEnd w:id="54435"/>
      <w:r>
        <w:rPr>
          <w:rFonts w:hint="cs"/>
          <w:rtl/>
        </w:rPr>
        <w:t xml:space="preserve">עידן רול יעשה </w:t>
      </w:r>
      <w:bookmarkStart w:id="54436" w:name="_ETM_Q101_265200"/>
      <w:bookmarkStart w:id="54437" w:name="_ETM_Q101_266249"/>
      <w:bookmarkEnd w:id="54436"/>
      <w:bookmarkEnd w:id="54437"/>
      <w:r>
        <w:rPr>
          <w:rFonts w:hint="cs"/>
          <w:rtl/>
        </w:rPr>
        <w:t xml:space="preserve">25 </w:t>
      </w:r>
      <w:bookmarkStart w:id="54438" w:name="_ETM_Q101_266700"/>
      <w:bookmarkEnd w:id="54438"/>
      <w:r>
        <w:rPr>
          <w:rFonts w:hint="cs"/>
          <w:rtl/>
        </w:rPr>
        <w:t>דקות, ואני - - -</w:t>
      </w:r>
      <w:bookmarkStart w:id="54439" w:name="_ETM_Q101_269400"/>
      <w:bookmarkStart w:id="54440" w:name="_ETM_Q101_269621"/>
      <w:bookmarkEnd w:id="54439"/>
      <w:bookmarkEnd w:id="54440"/>
      <w:r w:rsidR="00374B1A">
        <w:rPr>
          <w:rFonts w:hint="cs"/>
          <w:rtl/>
        </w:rPr>
        <w:t xml:space="preserve"> </w:t>
      </w:r>
      <w:bookmarkStart w:id="54441" w:name="_ETM_Q101_269454"/>
      <w:bookmarkEnd w:id="54441"/>
      <w:r>
        <w:rPr>
          <w:rFonts w:hint="cs"/>
          <w:rtl/>
        </w:rPr>
        <w:t xml:space="preserve">סליחה, לא עידן רול, לא עידן רול, רון כץ. </w:t>
      </w:r>
      <w:bookmarkStart w:id="54442" w:name="_ETM_Q101_269398"/>
      <w:bookmarkEnd w:id="54442"/>
      <w:r>
        <w:rPr>
          <w:rFonts w:hint="cs"/>
          <w:rtl/>
        </w:rPr>
        <w:t xml:space="preserve">רון כץ יעשה - - - </w:t>
      </w:r>
      <w:bookmarkStart w:id="54443" w:name="_ETM_Q101_269294"/>
      <w:bookmarkEnd w:id="54443"/>
    </w:p>
    <w:p w:rsidR="00BB59CD" w:rsidRDefault="00BB59CD" w:rsidP="00BB59CD">
      <w:pPr>
        <w:rPr>
          <w:rtl/>
        </w:rPr>
      </w:pPr>
      <w:bookmarkStart w:id="54444" w:name="_ETM_Q101_274700"/>
      <w:bookmarkStart w:id="54445" w:name="_ETM_Q101_274804"/>
      <w:bookmarkEnd w:id="54444"/>
      <w:bookmarkEnd w:id="54445"/>
    </w:p>
    <w:p w:rsidR="00BB59CD" w:rsidRDefault="00BB59CD" w:rsidP="00BB59CD">
      <w:pPr>
        <w:pStyle w:val="af9"/>
        <w:keepNext/>
        <w:rPr>
          <w:rtl/>
        </w:rPr>
      </w:pPr>
      <w:bookmarkStart w:id="54446" w:name="ET_yor_6129_1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446"/>
    </w:p>
    <w:p w:rsidR="00BB59CD" w:rsidRDefault="00BB59CD" w:rsidP="00337201">
      <w:pPr>
        <w:rPr>
          <w:rtl/>
        </w:rPr>
      </w:pPr>
    </w:p>
    <w:p w:rsidR="00BB59CD" w:rsidRDefault="00BB59CD" w:rsidP="00BB59CD">
      <w:pPr>
        <w:rPr>
          <w:rtl/>
        </w:rPr>
      </w:pPr>
      <w:bookmarkStart w:id="54447" w:name="_ETM_Q101_276088"/>
      <w:bookmarkEnd w:id="54447"/>
      <w:r>
        <w:rPr>
          <w:rFonts w:hint="cs"/>
          <w:rtl/>
        </w:rPr>
        <w:t xml:space="preserve">אז </w:t>
      </w:r>
      <w:bookmarkStart w:id="54448" w:name="_ETM_Q101_268560"/>
      <w:bookmarkStart w:id="54449" w:name="_ETM_Q101_269819"/>
      <w:bookmarkStart w:id="54450" w:name="_ETM_Q101_272310"/>
      <w:bookmarkStart w:id="54451" w:name="_ETM_Q101_272520"/>
      <w:bookmarkEnd w:id="54448"/>
      <w:bookmarkEnd w:id="54449"/>
      <w:bookmarkEnd w:id="54450"/>
      <w:bookmarkEnd w:id="54451"/>
      <w:r>
        <w:rPr>
          <w:rFonts w:hint="cs"/>
          <w:rtl/>
        </w:rPr>
        <w:t xml:space="preserve">בבקשה </w:t>
      </w:r>
      <w:bookmarkStart w:id="54452" w:name="_ETM_Q101_273090"/>
      <w:bookmarkEnd w:id="54452"/>
      <w:r>
        <w:rPr>
          <w:rFonts w:hint="cs"/>
          <w:rtl/>
        </w:rPr>
        <w:t xml:space="preserve">לעדכן </w:t>
      </w:r>
      <w:bookmarkStart w:id="54453" w:name="_ETM_Q101_273479"/>
      <w:bookmarkEnd w:id="54453"/>
      <w:r>
        <w:rPr>
          <w:rFonts w:hint="cs"/>
          <w:rtl/>
        </w:rPr>
        <w:t xml:space="preserve">את </w:t>
      </w:r>
      <w:bookmarkStart w:id="54454" w:name="_ETM_Q101_273539"/>
      <w:bookmarkEnd w:id="54454"/>
      <w:r>
        <w:rPr>
          <w:rFonts w:hint="cs"/>
          <w:rtl/>
        </w:rPr>
        <w:t xml:space="preserve">הרשימה, </w:t>
      </w:r>
      <w:bookmarkStart w:id="54455" w:name="_ETM_Q101_274079"/>
      <w:bookmarkEnd w:id="54455"/>
      <w:r>
        <w:rPr>
          <w:rFonts w:hint="cs"/>
          <w:rtl/>
        </w:rPr>
        <w:t xml:space="preserve">אני </w:t>
      </w:r>
      <w:bookmarkStart w:id="54456" w:name="_ETM_Q101_274409"/>
      <w:bookmarkStart w:id="54457" w:name="_ETM_Q101_275130"/>
      <w:bookmarkStart w:id="54458" w:name="_ETM_Q101_275279"/>
      <w:bookmarkEnd w:id="54456"/>
      <w:bookmarkEnd w:id="54457"/>
      <w:bookmarkEnd w:id="54458"/>
      <w:r>
        <w:rPr>
          <w:rFonts w:hint="cs"/>
          <w:rtl/>
        </w:rPr>
        <w:t>פועל לפי הרשימה.</w:t>
      </w:r>
    </w:p>
    <w:p w:rsidR="00BB59CD" w:rsidRDefault="00BB59CD" w:rsidP="00BB59CD">
      <w:pPr>
        <w:rPr>
          <w:rtl/>
        </w:rPr>
      </w:pPr>
      <w:bookmarkStart w:id="54459" w:name="_ETM_Q101_282294"/>
      <w:bookmarkStart w:id="54460" w:name="_ETM_Q101_282442"/>
      <w:bookmarkEnd w:id="54459"/>
      <w:bookmarkEnd w:id="54460"/>
    </w:p>
    <w:p w:rsidR="00BB59CD" w:rsidRDefault="00BB59CD" w:rsidP="00BB59CD">
      <w:pPr>
        <w:pStyle w:val="af8"/>
        <w:keepNext/>
        <w:rPr>
          <w:rtl/>
        </w:rPr>
      </w:pPr>
      <w:bookmarkStart w:id="54461" w:name="ET_interruption_קר_אה_17"/>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54461"/>
    </w:p>
    <w:p w:rsidR="00BB59CD" w:rsidRDefault="00BB59CD" w:rsidP="00337201">
      <w:pPr>
        <w:rPr>
          <w:rtl/>
        </w:rPr>
      </w:pPr>
    </w:p>
    <w:p w:rsidR="00BB59CD" w:rsidRDefault="00BB59CD" w:rsidP="00BB59CD">
      <w:pPr>
        <w:rPr>
          <w:rtl/>
        </w:rPr>
      </w:pPr>
      <w:r>
        <w:rPr>
          <w:rFonts w:hint="cs"/>
          <w:rtl/>
        </w:rPr>
        <w:t xml:space="preserve">- </w:t>
      </w:r>
      <w:bookmarkStart w:id="54462" w:name="_ETM_Q101_279671"/>
      <w:bookmarkEnd w:id="54462"/>
      <w:r>
        <w:rPr>
          <w:rFonts w:hint="cs"/>
          <w:rtl/>
        </w:rPr>
        <w:t xml:space="preserve">- - </w:t>
      </w:r>
    </w:p>
    <w:p w:rsidR="00BB59CD" w:rsidRDefault="00BB59CD" w:rsidP="00BB59CD">
      <w:pPr>
        <w:rPr>
          <w:rtl/>
        </w:rPr>
      </w:pPr>
      <w:bookmarkStart w:id="54463" w:name="_ETM_Q101_280520"/>
      <w:bookmarkStart w:id="54464" w:name="_ETM_Q101_280226"/>
      <w:bookmarkStart w:id="54465" w:name="_ETM_Q101_280340"/>
      <w:bookmarkEnd w:id="54463"/>
      <w:bookmarkEnd w:id="54464"/>
      <w:bookmarkEnd w:id="54465"/>
    </w:p>
    <w:p w:rsidR="00BB59CD" w:rsidRDefault="00BB59CD" w:rsidP="00BB59CD">
      <w:pPr>
        <w:pStyle w:val="af9"/>
        <w:keepNext/>
        <w:rPr>
          <w:rtl/>
        </w:rPr>
      </w:pPr>
      <w:bookmarkStart w:id="54466" w:name="ET_yor_6129_21"/>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bookmarkEnd w:id="54466"/>
    </w:p>
    <w:p w:rsidR="00BB59CD" w:rsidRDefault="00BB59CD" w:rsidP="00337201">
      <w:pPr>
        <w:rPr>
          <w:rtl/>
        </w:rPr>
      </w:pPr>
    </w:p>
    <w:p w:rsidR="00BB59CD" w:rsidRDefault="00BB59CD" w:rsidP="00BB59CD">
      <w:pPr>
        <w:rPr>
          <w:rtl/>
        </w:rPr>
      </w:pPr>
      <w:bookmarkStart w:id="54467" w:name="_ETM_Q101_291560"/>
      <w:bookmarkStart w:id="54468" w:name="_ETM_Q101_290520"/>
      <w:bookmarkEnd w:id="54467"/>
      <w:bookmarkEnd w:id="54468"/>
      <w:r>
        <w:rPr>
          <w:rFonts w:hint="cs"/>
          <w:rtl/>
        </w:rPr>
        <w:t xml:space="preserve">עכשיו </w:t>
      </w:r>
      <w:bookmarkStart w:id="54469" w:name="_ETM_Q101_290850"/>
      <w:bookmarkEnd w:id="54469"/>
      <w:r>
        <w:rPr>
          <w:rFonts w:hint="cs"/>
          <w:rtl/>
        </w:rPr>
        <w:t xml:space="preserve">זה </w:t>
      </w:r>
      <w:bookmarkStart w:id="54470" w:name="_ETM_Q101_290940"/>
      <w:bookmarkEnd w:id="54470"/>
      <w:r>
        <w:rPr>
          <w:rFonts w:hint="cs"/>
          <w:rtl/>
        </w:rPr>
        <w:t xml:space="preserve">מסודר? </w:t>
      </w:r>
      <w:bookmarkStart w:id="54471" w:name="_ETM_Q101_293970"/>
      <w:bookmarkStart w:id="54472" w:name="_ETM_Q101_295050"/>
      <w:bookmarkStart w:id="54473" w:name="_ETM_Q101_295350"/>
      <w:bookmarkEnd w:id="54471"/>
      <w:bookmarkEnd w:id="54472"/>
      <w:bookmarkEnd w:id="54473"/>
      <w:r>
        <w:rPr>
          <w:rFonts w:hint="cs"/>
          <w:rtl/>
        </w:rPr>
        <w:t xml:space="preserve">בסדר. </w:t>
      </w:r>
      <w:bookmarkStart w:id="54474" w:name="_ETM_Q101_298200"/>
      <w:bookmarkStart w:id="54475" w:name="_ETM_Q101_298284"/>
      <w:bookmarkStart w:id="54476" w:name="_ETM_Q101_299352"/>
      <w:bookmarkStart w:id="54477" w:name="_ETM_Q101_296110"/>
      <w:bookmarkEnd w:id="54474"/>
      <w:bookmarkEnd w:id="54475"/>
      <w:bookmarkEnd w:id="54476"/>
      <w:bookmarkEnd w:id="54477"/>
      <w:r>
        <w:rPr>
          <w:rFonts w:hint="cs"/>
          <w:rtl/>
        </w:rPr>
        <w:t xml:space="preserve">בבקשה. </w:t>
      </w:r>
      <w:bookmarkStart w:id="54478" w:name="_ETM_Q101_298170"/>
      <w:bookmarkStart w:id="54479" w:name="_ETM_Q101_299450"/>
      <w:bookmarkEnd w:id="54478"/>
      <w:bookmarkEnd w:id="54479"/>
      <w:r>
        <w:rPr>
          <w:rFonts w:hint="cs"/>
          <w:rtl/>
        </w:rPr>
        <w:t xml:space="preserve">לך עשיתי </w:t>
      </w:r>
      <w:bookmarkStart w:id="54480" w:name="_ETM_Q101_299900"/>
      <w:bookmarkEnd w:id="54480"/>
      <w:r>
        <w:rPr>
          <w:rFonts w:hint="cs"/>
          <w:rtl/>
        </w:rPr>
        <w:t xml:space="preserve">שעה. </w:t>
      </w:r>
      <w:bookmarkStart w:id="54481" w:name="_ETM_Q101_305762"/>
      <w:bookmarkEnd w:id="54481"/>
      <w:r>
        <w:rPr>
          <w:rFonts w:hint="cs"/>
          <w:rtl/>
        </w:rPr>
        <w:t xml:space="preserve">הינה, יש לך שעה. </w:t>
      </w:r>
    </w:p>
    <w:p w:rsidR="00BB59CD" w:rsidRDefault="00BB59CD" w:rsidP="00BB59CD">
      <w:pPr>
        <w:rPr>
          <w:rtl/>
        </w:rPr>
      </w:pPr>
      <w:bookmarkStart w:id="54482" w:name="_ETM_Q101_306434"/>
      <w:bookmarkStart w:id="54483" w:name="_ETM_Q101_306560"/>
      <w:bookmarkEnd w:id="54482"/>
      <w:bookmarkEnd w:id="54483"/>
    </w:p>
    <w:p w:rsidR="00BB59CD" w:rsidRDefault="00BB59CD" w:rsidP="00BB59CD">
      <w:pPr>
        <w:pStyle w:val="-"/>
        <w:keepNext/>
        <w:rPr>
          <w:rtl/>
        </w:rPr>
      </w:pPr>
      <w:bookmarkStart w:id="54484" w:name="ET_speakercontinue_6507_24"/>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54484"/>
    </w:p>
    <w:p w:rsidR="00BB59CD" w:rsidRDefault="00BB59CD" w:rsidP="00337201">
      <w:pPr>
        <w:rPr>
          <w:rtl/>
        </w:rPr>
      </w:pPr>
    </w:p>
    <w:p w:rsidR="00BB59CD" w:rsidRDefault="00BB59CD" w:rsidP="00BB59CD">
      <w:pPr>
        <w:rPr>
          <w:rtl/>
        </w:rPr>
      </w:pPr>
      <w:bookmarkStart w:id="54485" w:name="_ETM_Q101_309929"/>
      <w:bookmarkStart w:id="54486" w:name="_ETM_Q101_301250"/>
      <w:bookmarkEnd w:id="54485"/>
      <w:bookmarkEnd w:id="54486"/>
      <w:r>
        <w:rPr>
          <w:rFonts w:hint="cs"/>
          <w:rtl/>
        </w:rPr>
        <w:t xml:space="preserve">תודה </w:t>
      </w:r>
      <w:bookmarkStart w:id="54487" w:name="_ETM_Q101_301549"/>
      <w:bookmarkEnd w:id="54487"/>
      <w:r>
        <w:rPr>
          <w:rFonts w:hint="cs"/>
          <w:rtl/>
        </w:rPr>
        <w:t xml:space="preserve">רבה, </w:t>
      </w:r>
      <w:bookmarkStart w:id="54488" w:name="_ETM_Q101_312750"/>
      <w:bookmarkEnd w:id="54488"/>
      <w:r>
        <w:rPr>
          <w:rFonts w:hint="cs"/>
          <w:rtl/>
        </w:rPr>
        <w:t xml:space="preserve">אדוני </w:t>
      </w:r>
      <w:bookmarkStart w:id="54489" w:name="_ETM_Q101_313050"/>
      <w:bookmarkEnd w:id="54489"/>
      <w:r>
        <w:rPr>
          <w:rFonts w:hint="cs"/>
          <w:rtl/>
        </w:rPr>
        <w:t>היושב</w:t>
      </w:r>
      <w:bookmarkStart w:id="54490" w:name="_ETM_Q101_313620"/>
      <w:bookmarkEnd w:id="54490"/>
      <w:r>
        <w:rPr>
          <w:rFonts w:hint="cs"/>
          <w:rtl/>
        </w:rPr>
        <w:t xml:space="preserve"> בראש. </w:t>
      </w:r>
      <w:bookmarkStart w:id="54491" w:name="_ETM_Q101_314370"/>
      <w:bookmarkEnd w:id="54491"/>
      <w:r>
        <w:rPr>
          <w:rFonts w:hint="cs"/>
          <w:rtl/>
        </w:rPr>
        <w:t xml:space="preserve">חבריי </w:t>
      </w:r>
      <w:bookmarkStart w:id="54492" w:name="_ETM_Q101_314790"/>
      <w:bookmarkEnd w:id="54492"/>
      <w:r>
        <w:rPr>
          <w:rFonts w:hint="cs"/>
          <w:rtl/>
        </w:rPr>
        <w:t xml:space="preserve">חברי </w:t>
      </w:r>
      <w:bookmarkStart w:id="54493" w:name="_ETM_Q101_315090"/>
      <w:bookmarkEnd w:id="54493"/>
      <w:r>
        <w:rPr>
          <w:rFonts w:hint="cs"/>
          <w:rtl/>
        </w:rPr>
        <w:t xml:space="preserve">הכנסת, </w:t>
      </w:r>
      <w:bookmarkStart w:id="54494" w:name="_ETM_Q101_316750"/>
      <w:bookmarkEnd w:id="54494"/>
      <w:r>
        <w:rPr>
          <w:rFonts w:hint="cs"/>
          <w:rtl/>
        </w:rPr>
        <w:t xml:space="preserve">אדוני </w:t>
      </w:r>
      <w:bookmarkStart w:id="54495" w:name="_ETM_Q101_317139"/>
      <w:bookmarkEnd w:id="54495"/>
      <w:r>
        <w:rPr>
          <w:rFonts w:hint="cs"/>
          <w:rtl/>
        </w:rPr>
        <w:t xml:space="preserve">השר, </w:t>
      </w:r>
      <w:bookmarkStart w:id="54496" w:name="_ETM_Q101_318469"/>
      <w:bookmarkEnd w:id="54496"/>
      <w:r>
        <w:rPr>
          <w:rFonts w:hint="cs"/>
          <w:rtl/>
        </w:rPr>
        <w:t xml:space="preserve">לילה </w:t>
      </w:r>
      <w:bookmarkStart w:id="54497" w:name="_ETM_Q101_318859"/>
      <w:bookmarkEnd w:id="54497"/>
      <w:r>
        <w:rPr>
          <w:rFonts w:hint="cs"/>
          <w:rtl/>
        </w:rPr>
        <w:t xml:space="preserve">טוב </w:t>
      </w:r>
      <w:bookmarkStart w:id="54498" w:name="_ETM_Q101_319700"/>
      <w:bookmarkEnd w:id="54498"/>
      <w:r>
        <w:rPr>
          <w:rFonts w:hint="cs"/>
          <w:rtl/>
        </w:rPr>
        <w:t xml:space="preserve">לכם </w:t>
      </w:r>
      <w:bookmarkStart w:id="54499" w:name="_ETM_Q101_320239"/>
      <w:bookmarkEnd w:id="54499"/>
      <w:r>
        <w:rPr>
          <w:rFonts w:hint="cs"/>
          <w:rtl/>
        </w:rPr>
        <w:t xml:space="preserve">ולכל </w:t>
      </w:r>
      <w:bookmarkStart w:id="54500" w:name="_ETM_Q101_320719"/>
      <w:bookmarkEnd w:id="54500"/>
      <w:r>
        <w:rPr>
          <w:rFonts w:hint="cs"/>
          <w:rtl/>
        </w:rPr>
        <w:t xml:space="preserve">עם </w:t>
      </w:r>
      <w:bookmarkStart w:id="54501" w:name="_ETM_Q101_320840"/>
      <w:bookmarkEnd w:id="54501"/>
      <w:r>
        <w:rPr>
          <w:rFonts w:hint="cs"/>
          <w:rtl/>
        </w:rPr>
        <w:t xml:space="preserve">ישראל. </w:t>
      </w:r>
      <w:bookmarkStart w:id="54502" w:name="_ETM_Q101_322870"/>
      <w:bookmarkEnd w:id="54502"/>
      <w:r>
        <w:rPr>
          <w:rFonts w:hint="cs"/>
          <w:rtl/>
        </w:rPr>
        <w:t xml:space="preserve">זה </w:t>
      </w:r>
      <w:bookmarkStart w:id="54503" w:name="_ETM_Q101_323050"/>
      <w:bookmarkEnd w:id="54503"/>
      <w:r>
        <w:rPr>
          <w:rFonts w:hint="cs"/>
          <w:rtl/>
        </w:rPr>
        <w:t xml:space="preserve">לא </w:t>
      </w:r>
      <w:bookmarkStart w:id="54504" w:name="_ETM_Q101_323139"/>
      <w:bookmarkEnd w:id="54504"/>
      <w:r>
        <w:rPr>
          <w:rFonts w:hint="cs"/>
          <w:rtl/>
        </w:rPr>
        <w:t xml:space="preserve">לילה </w:t>
      </w:r>
      <w:bookmarkStart w:id="54505" w:name="_ETM_Q101_323440"/>
      <w:bookmarkEnd w:id="54505"/>
      <w:r>
        <w:rPr>
          <w:rFonts w:hint="cs"/>
          <w:rtl/>
        </w:rPr>
        <w:t xml:space="preserve">רגיל. </w:t>
      </w:r>
      <w:bookmarkStart w:id="54506" w:name="_ETM_Q101_325430"/>
      <w:bookmarkEnd w:id="54506"/>
      <w:r>
        <w:rPr>
          <w:rFonts w:hint="cs"/>
          <w:rtl/>
        </w:rPr>
        <w:t xml:space="preserve">אני </w:t>
      </w:r>
      <w:bookmarkStart w:id="54507" w:name="_ETM_Q101_325639"/>
      <w:bookmarkEnd w:id="54507"/>
      <w:r>
        <w:rPr>
          <w:rFonts w:hint="cs"/>
          <w:rtl/>
        </w:rPr>
        <w:t xml:space="preserve">מניחה </w:t>
      </w:r>
      <w:bookmarkStart w:id="54508" w:name="_ETM_Q101_326060"/>
      <w:bookmarkEnd w:id="54508"/>
      <w:r>
        <w:rPr>
          <w:rFonts w:hint="cs"/>
          <w:rtl/>
        </w:rPr>
        <w:t xml:space="preserve">שדווקא </w:t>
      </w:r>
      <w:bookmarkStart w:id="54509" w:name="_ETM_Q101_327139"/>
      <w:bookmarkEnd w:id="54509"/>
      <w:r>
        <w:rPr>
          <w:rFonts w:hint="cs"/>
          <w:rtl/>
        </w:rPr>
        <w:t xml:space="preserve">הלילה </w:t>
      </w:r>
      <w:bookmarkStart w:id="54510" w:name="_ETM_Q101_327529"/>
      <w:bookmarkEnd w:id="54510"/>
      <w:r>
        <w:rPr>
          <w:rFonts w:hint="cs"/>
          <w:rtl/>
        </w:rPr>
        <w:t xml:space="preserve">הזה </w:t>
      </w:r>
      <w:bookmarkStart w:id="54511" w:name="_ETM_Q101_328700"/>
      <w:bookmarkEnd w:id="54511"/>
      <w:r>
        <w:rPr>
          <w:rFonts w:hint="cs"/>
          <w:rtl/>
        </w:rPr>
        <w:t xml:space="preserve">רבים </w:t>
      </w:r>
      <w:bookmarkStart w:id="54512" w:name="_ETM_Q101_329810"/>
      <w:bookmarkEnd w:id="54512"/>
      <w:r>
        <w:rPr>
          <w:rFonts w:hint="cs"/>
          <w:rtl/>
        </w:rPr>
        <w:t xml:space="preserve">לא </w:t>
      </w:r>
      <w:bookmarkStart w:id="54513" w:name="_ETM_Q101_329989"/>
      <w:bookmarkEnd w:id="54513"/>
      <w:r>
        <w:rPr>
          <w:rFonts w:hint="cs"/>
          <w:rtl/>
        </w:rPr>
        <w:t xml:space="preserve">ישנים, </w:t>
      </w:r>
      <w:bookmarkStart w:id="54514" w:name="_ETM_Q101_332159"/>
      <w:bookmarkEnd w:id="54514"/>
      <w:r>
        <w:rPr>
          <w:rFonts w:hint="cs"/>
          <w:rtl/>
        </w:rPr>
        <w:t xml:space="preserve">אולי </w:t>
      </w:r>
      <w:bookmarkStart w:id="54515" w:name="_ETM_Q101_332459"/>
      <w:bookmarkEnd w:id="54515"/>
      <w:r>
        <w:rPr>
          <w:rFonts w:hint="cs"/>
          <w:rtl/>
        </w:rPr>
        <w:t xml:space="preserve">צופים </w:t>
      </w:r>
      <w:bookmarkStart w:id="54516" w:name="_ETM_Q101_332819"/>
      <w:bookmarkEnd w:id="54516"/>
      <w:r>
        <w:rPr>
          <w:rFonts w:hint="cs"/>
          <w:rtl/>
        </w:rPr>
        <w:t xml:space="preserve">בנו </w:t>
      </w:r>
      <w:bookmarkStart w:id="54517" w:name="_ETM_Q101_333060"/>
      <w:bookmarkEnd w:id="54517"/>
      <w:r>
        <w:rPr>
          <w:rFonts w:hint="cs"/>
          <w:rtl/>
        </w:rPr>
        <w:t xml:space="preserve">בערוץ </w:t>
      </w:r>
      <w:bookmarkStart w:id="54518" w:name="_ETM_Q101_333450"/>
      <w:bookmarkEnd w:id="54518"/>
      <w:r>
        <w:rPr>
          <w:rFonts w:hint="cs"/>
          <w:rtl/>
        </w:rPr>
        <w:t xml:space="preserve">הכנסת, </w:t>
      </w:r>
      <w:bookmarkStart w:id="54519" w:name="_ETM_Q101_334079"/>
      <w:bookmarkEnd w:id="54519"/>
      <w:r>
        <w:rPr>
          <w:rFonts w:hint="cs"/>
          <w:rtl/>
        </w:rPr>
        <w:t xml:space="preserve">אולי </w:t>
      </w:r>
      <w:bookmarkStart w:id="54520" w:name="_ETM_Q101_336090"/>
      <w:bookmarkEnd w:id="54520"/>
      <w:r>
        <w:rPr>
          <w:rFonts w:hint="cs"/>
          <w:rtl/>
        </w:rPr>
        <w:t xml:space="preserve">פשוט </w:t>
      </w:r>
      <w:bookmarkStart w:id="54521" w:name="_ETM_Q101_336389"/>
      <w:bookmarkEnd w:id="54521"/>
      <w:r>
        <w:rPr>
          <w:rFonts w:hint="cs"/>
          <w:rtl/>
        </w:rPr>
        <w:t xml:space="preserve">לא </w:t>
      </w:r>
      <w:bookmarkStart w:id="54522" w:name="_ETM_Q101_336480"/>
      <w:bookmarkEnd w:id="54522"/>
      <w:r>
        <w:rPr>
          <w:rFonts w:hint="cs"/>
          <w:rtl/>
        </w:rPr>
        <w:t xml:space="preserve">מצליחים </w:t>
      </w:r>
      <w:bookmarkStart w:id="54523" w:name="_ETM_Q101_336959"/>
      <w:bookmarkEnd w:id="54523"/>
      <w:r>
        <w:rPr>
          <w:rFonts w:hint="cs"/>
          <w:rtl/>
        </w:rPr>
        <w:t xml:space="preserve">להירדם. </w:t>
      </w:r>
      <w:bookmarkStart w:id="54524" w:name="_ETM_Q101_337830"/>
      <w:bookmarkEnd w:id="54524"/>
    </w:p>
    <w:p w:rsidR="00BB59CD" w:rsidRDefault="00BB59CD" w:rsidP="00BB59CD">
      <w:pPr>
        <w:rPr>
          <w:rtl/>
        </w:rPr>
      </w:pPr>
      <w:bookmarkStart w:id="54525" w:name="_ETM_Q101_338663"/>
      <w:bookmarkStart w:id="54526" w:name="_ETM_Q101_338776"/>
      <w:bookmarkEnd w:id="54525"/>
      <w:bookmarkEnd w:id="54526"/>
    </w:p>
    <w:p w:rsidR="00BB59CD" w:rsidRDefault="00BB59CD" w:rsidP="00BB59CD">
      <w:pPr>
        <w:pStyle w:val="af9"/>
        <w:keepNext/>
        <w:rPr>
          <w:rtl/>
        </w:rPr>
      </w:pPr>
      <w:bookmarkStart w:id="54527" w:name="ET_yor_6129_25"/>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54527"/>
    </w:p>
    <w:p w:rsidR="00BB59CD" w:rsidRDefault="00BB59CD" w:rsidP="00337201">
      <w:pPr>
        <w:rPr>
          <w:rtl/>
        </w:rPr>
      </w:pPr>
    </w:p>
    <w:p w:rsidR="00BB59CD" w:rsidRDefault="00BB59CD" w:rsidP="00BB59CD">
      <w:pPr>
        <w:rPr>
          <w:rtl/>
        </w:rPr>
      </w:pPr>
      <w:bookmarkStart w:id="54528" w:name="_ETM_Q101_339930"/>
      <w:bookmarkEnd w:id="54528"/>
      <w:r>
        <w:rPr>
          <w:rFonts w:hint="cs"/>
          <w:rtl/>
        </w:rPr>
        <w:t xml:space="preserve">אולי </w:t>
      </w:r>
      <w:bookmarkStart w:id="54529" w:name="_ETM_Q101_338129"/>
      <w:bookmarkEnd w:id="54529"/>
      <w:r>
        <w:rPr>
          <w:rFonts w:hint="cs"/>
          <w:rtl/>
        </w:rPr>
        <w:t xml:space="preserve">הם מנהלים </w:t>
      </w:r>
      <w:bookmarkStart w:id="54530" w:name="_ETM_Q101_338430"/>
      <w:bookmarkEnd w:id="54530"/>
      <w:r>
        <w:rPr>
          <w:rFonts w:hint="cs"/>
          <w:rtl/>
        </w:rPr>
        <w:t>משא ומתן.</w:t>
      </w:r>
    </w:p>
    <w:p w:rsidR="00BB59CD" w:rsidRDefault="00BB59CD" w:rsidP="00BB59CD">
      <w:pPr>
        <w:rPr>
          <w:rtl/>
        </w:rPr>
      </w:pPr>
      <w:bookmarkStart w:id="54531" w:name="_ETM_Q101_342119"/>
      <w:bookmarkStart w:id="54532" w:name="_ETM_Q101_342247"/>
      <w:bookmarkEnd w:id="54531"/>
      <w:bookmarkEnd w:id="54532"/>
    </w:p>
    <w:p w:rsidR="00BB59CD" w:rsidRDefault="00BB59CD" w:rsidP="00BB59CD">
      <w:pPr>
        <w:pStyle w:val="-"/>
        <w:keepNext/>
        <w:rPr>
          <w:rtl/>
        </w:rPr>
      </w:pPr>
      <w:bookmarkStart w:id="54533" w:name="ET_speakercontinue_6507_26"/>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54533"/>
    </w:p>
    <w:p w:rsidR="00BB59CD" w:rsidRDefault="00BB59CD" w:rsidP="00337201">
      <w:pPr>
        <w:rPr>
          <w:rtl/>
        </w:rPr>
      </w:pPr>
    </w:p>
    <w:p w:rsidR="00BB59CD" w:rsidRDefault="00BB59CD" w:rsidP="002B7F77">
      <w:pPr>
        <w:rPr>
          <w:rtl/>
        </w:rPr>
      </w:pPr>
      <w:bookmarkStart w:id="54534" w:name="_ETM_Q101_343206"/>
      <w:bookmarkStart w:id="54535" w:name="_ETM_Q101_339419"/>
      <w:bookmarkEnd w:id="54534"/>
      <w:bookmarkEnd w:id="54535"/>
      <w:r>
        <w:rPr>
          <w:rFonts w:hint="cs"/>
          <w:rtl/>
        </w:rPr>
        <w:t xml:space="preserve">אולי </w:t>
      </w:r>
      <w:bookmarkStart w:id="54536" w:name="_ETM_Q101_339780"/>
      <w:bookmarkEnd w:id="54536"/>
      <w:r>
        <w:rPr>
          <w:rFonts w:hint="cs"/>
          <w:rtl/>
        </w:rPr>
        <w:t xml:space="preserve">משא ומתן. </w:t>
      </w:r>
      <w:bookmarkStart w:id="54537" w:name="_ETM_Q101_341190"/>
      <w:bookmarkEnd w:id="54537"/>
      <w:r>
        <w:rPr>
          <w:rFonts w:hint="cs"/>
          <w:rtl/>
        </w:rPr>
        <w:t xml:space="preserve">בהחלט </w:t>
      </w:r>
      <w:bookmarkStart w:id="54538" w:name="_ETM_Q101_341669"/>
      <w:bookmarkEnd w:id="54538"/>
      <w:r>
        <w:rPr>
          <w:rFonts w:hint="cs"/>
          <w:rtl/>
        </w:rPr>
        <w:t xml:space="preserve">לילה </w:t>
      </w:r>
      <w:bookmarkStart w:id="54539" w:name="_ETM_Q101_343290"/>
      <w:bookmarkEnd w:id="54539"/>
      <w:r>
        <w:rPr>
          <w:rFonts w:hint="cs"/>
          <w:rtl/>
        </w:rPr>
        <w:t xml:space="preserve">קריטי, </w:t>
      </w:r>
      <w:bookmarkStart w:id="54540" w:name="_ETM_Q101_343709"/>
      <w:bookmarkEnd w:id="54540"/>
      <w:r>
        <w:rPr>
          <w:rFonts w:hint="cs"/>
          <w:rtl/>
        </w:rPr>
        <w:t xml:space="preserve">חשוב </w:t>
      </w:r>
      <w:bookmarkStart w:id="54541" w:name="_ETM_Q101_344129"/>
      <w:bookmarkEnd w:id="54541"/>
      <w:r>
        <w:rPr>
          <w:rFonts w:hint="cs"/>
          <w:rtl/>
        </w:rPr>
        <w:t xml:space="preserve">ומותח. </w:t>
      </w:r>
      <w:bookmarkStart w:id="54542" w:name="_ETM_Q101_346790"/>
      <w:bookmarkEnd w:id="54542"/>
      <w:r>
        <w:rPr>
          <w:rFonts w:hint="cs"/>
          <w:rtl/>
        </w:rPr>
        <w:t xml:space="preserve">אני </w:t>
      </w:r>
      <w:bookmarkStart w:id="54543" w:name="_ETM_Q101_346939"/>
      <w:bookmarkEnd w:id="54543"/>
      <w:r>
        <w:rPr>
          <w:rFonts w:hint="cs"/>
          <w:rtl/>
        </w:rPr>
        <w:t xml:space="preserve">רוצה </w:t>
      </w:r>
      <w:bookmarkStart w:id="54544" w:name="_ETM_Q101_347239"/>
      <w:bookmarkEnd w:id="54544"/>
      <w:r>
        <w:rPr>
          <w:rFonts w:hint="cs"/>
          <w:rtl/>
        </w:rPr>
        <w:t xml:space="preserve">מפה </w:t>
      </w:r>
      <w:bookmarkStart w:id="54545" w:name="_ETM_Q101_347870"/>
      <w:bookmarkEnd w:id="54545"/>
      <w:r>
        <w:rPr>
          <w:rFonts w:hint="cs"/>
          <w:rtl/>
        </w:rPr>
        <w:t xml:space="preserve">להגיד </w:t>
      </w:r>
      <w:bookmarkStart w:id="54546" w:name="_ETM_Q101_348349"/>
      <w:bookmarkEnd w:id="54546"/>
      <w:r>
        <w:rPr>
          <w:rFonts w:hint="cs"/>
          <w:rtl/>
        </w:rPr>
        <w:t xml:space="preserve">לכל </w:t>
      </w:r>
      <w:bookmarkStart w:id="54547" w:name="_ETM_Q101_348709"/>
      <w:bookmarkEnd w:id="54547"/>
      <w:r>
        <w:rPr>
          <w:rFonts w:hint="cs"/>
          <w:rtl/>
        </w:rPr>
        <w:t xml:space="preserve">אותם </w:t>
      </w:r>
      <w:bookmarkStart w:id="54548" w:name="_ETM_Q101_349909"/>
      <w:bookmarkEnd w:id="54548"/>
      <w:r>
        <w:rPr>
          <w:rFonts w:hint="cs"/>
          <w:rtl/>
        </w:rPr>
        <w:t xml:space="preserve">האנשים </w:t>
      </w:r>
      <w:bookmarkStart w:id="54549" w:name="_ETM_Q101_350359"/>
      <w:bookmarkEnd w:id="54549"/>
      <w:r>
        <w:rPr>
          <w:rFonts w:hint="cs"/>
          <w:rtl/>
        </w:rPr>
        <w:t xml:space="preserve">בבית </w:t>
      </w:r>
      <w:bookmarkStart w:id="54550" w:name="_ETM_Q101_352810"/>
      <w:bookmarkEnd w:id="54550"/>
      <w:r>
        <w:rPr>
          <w:rFonts w:hint="cs"/>
          <w:rtl/>
        </w:rPr>
        <w:t xml:space="preserve">שלא </w:t>
      </w:r>
      <w:bookmarkStart w:id="54551" w:name="_ETM_Q101_353169"/>
      <w:bookmarkEnd w:id="54551"/>
      <w:r>
        <w:rPr>
          <w:rFonts w:hint="cs"/>
          <w:rtl/>
        </w:rPr>
        <w:t xml:space="preserve">מצליחים </w:t>
      </w:r>
      <w:bookmarkStart w:id="54552" w:name="_ETM_Q101_353650"/>
      <w:bookmarkEnd w:id="54552"/>
      <w:r>
        <w:rPr>
          <w:rFonts w:hint="cs"/>
          <w:rtl/>
        </w:rPr>
        <w:t xml:space="preserve">לישון </w:t>
      </w:r>
      <w:bookmarkStart w:id="54553" w:name="_ETM_Q101_353980"/>
      <w:bookmarkEnd w:id="54553"/>
      <w:r>
        <w:rPr>
          <w:rFonts w:hint="cs"/>
          <w:rtl/>
        </w:rPr>
        <w:t xml:space="preserve">כי </w:t>
      </w:r>
      <w:bookmarkStart w:id="54554" w:name="_ETM_Q101_354100"/>
      <w:bookmarkEnd w:id="54554"/>
      <w:r>
        <w:rPr>
          <w:rFonts w:hint="cs"/>
          <w:rtl/>
        </w:rPr>
        <w:t xml:space="preserve">הם </w:t>
      </w:r>
      <w:bookmarkStart w:id="54555" w:name="_ETM_Q101_354190"/>
      <w:bookmarkEnd w:id="54555"/>
      <w:r>
        <w:rPr>
          <w:rFonts w:hint="cs"/>
          <w:rtl/>
        </w:rPr>
        <w:t xml:space="preserve">חרדים </w:t>
      </w:r>
      <w:bookmarkStart w:id="54556" w:name="_ETM_Q101_354910"/>
      <w:bookmarkEnd w:id="54556"/>
      <w:r>
        <w:rPr>
          <w:rFonts w:hint="cs"/>
          <w:rtl/>
        </w:rPr>
        <w:t xml:space="preserve">למה </w:t>
      </w:r>
      <w:bookmarkStart w:id="54557" w:name="_ETM_Q101_355270"/>
      <w:bookmarkEnd w:id="54557"/>
      <w:r>
        <w:rPr>
          <w:rFonts w:hint="cs"/>
          <w:rtl/>
        </w:rPr>
        <w:t xml:space="preserve">שהולך </w:t>
      </w:r>
      <w:bookmarkStart w:id="54558" w:name="_ETM_Q101_356230"/>
      <w:bookmarkEnd w:id="54558"/>
      <w:r>
        <w:rPr>
          <w:rFonts w:hint="cs"/>
          <w:rtl/>
        </w:rPr>
        <w:t xml:space="preserve">לקרות </w:t>
      </w:r>
      <w:bookmarkStart w:id="54559" w:name="_ETM_Q101_356650"/>
      <w:bookmarkEnd w:id="54559"/>
      <w:r>
        <w:rPr>
          <w:rFonts w:hint="cs"/>
          <w:rtl/>
        </w:rPr>
        <w:t xml:space="preserve">למדינה </w:t>
      </w:r>
      <w:bookmarkStart w:id="54560" w:name="_ETM_Q101_357830"/>
      <w:bookmarkEnd w:id="54560"/>
      <w:r w:rsidR="002B7F77">
        <w:rPr>
          <w:rFonts w:hint="cs"/>
          <w:rtl/>
        </w:rPr>
        <w:t>ש</w:t>
      </w:r>
      <w:r>
        <w:rPr>
          <w:rFonts w:hint="cs"/>
          <w:rtl/>
        </w:rPr>
        <w:t xml:space="preserve">קודם </w:t>
      </w:r>
      <w:bookmarkStart w:id="54561" w:name="_ETM_Q101_358220"/>
      <w:bookmarkEnd w:id="54561"/>
      <w:r>
        <w:rPr>
          <w:rFonts w:hint="cs"/>
          <w:rtl/>
        </w:rPr>
        <w:t xml:space="preserve">כול </w:t>
      </w:r>
      <w:bookmarkStart w:id="54562" w:name="_ETM_Q101_358430"/>
      <w:bookmarkEnd w:id="54562"/>
      <w:r>
        <w:rPr>
          <w:rFonts w:hint="cs"/>
          <w:rtl/>
        </w:rPr>
        <w:t xml:space="preserve">ליבי </w:t>
      </w:r>
      <w:bookmarkStart w:id="54563" w:name="_ETM_Q101_358879"/>
      <w:bookmarkEnd w:id="54563"/>
      <w:r>
        <w:rPr>
          <w:rFonts w:hint="cs"/>
          <w:rtl/>
        </w:rPr>
        <w:t xml:space="preserve">איתם </w:t>
      </w:r>
      <w:bookmarkStart w:id="54564" w:name="_ETM_Q101_359330"/>
      <w:bookmarkEnd w:id="54564"/>
      <w:r>
        <w:rPr>
          <w:rFonts w:hint="cs"/>
          <w:rtl/>
        </w:rPr>
        <w:t xml:space="preserve">ואני </w:t>
      </w:r>
      <w:bookmarkStart w:id="54565" w:name="_ETM_Q101_359569"/>
      <w:bookmarkEnd w:id="54565"/>
      <w:r>
        <w:rPr>
          <w:rFonts w:hint="cs"/>
          <w:rtl/>
        </w:rPr>
        <w:t xml:space="preserve">מחזקת </w:t>
      </w:r>
      <w:bookmarkStart w:id="54566" w:name="_ETM_Q101_360139"/>
      <w:bookmarkEnd w:id="54566"/>
      <w:r>
        <w:rPr>
          <w:rFonts w:hint="cs"/>
          <w:rtl/>
        </w:rPr>
        <w:t xml:space="preserve">אותם. </w:t>
      </w:r>
      <w:bookmarkStart w:id="54567" w:name="_ETM_Q101_361859"/>
      <w:bookmarkEnd w:id="54567"/>
      <w:r>
        <w:rPr>
          <w:rFonts w:hint="cs"/>
          <w:rtl/>
        </w:rPr>
        <w:t xml:space="preserve">אני </w:t>
      </w:r>
      <w:bookmarkStart w:id="54568" w:name="_ETM_Q101_361950"/>
      <w:bookmarkEnd w:id="54568"/>
      <w:r>
        <w:rPr>
          <w:rFonts w:hint="cs"/>
          <w:rtl/>
        </w:rPr>
        <w:t xml:space="preserve">חושבת </w:t>
      </w:r>
      <w:bookmarkStart w:id="54569" w:name="_ETM_Q101_362279"/>
      <w:bookmarkEnd w:id="54569"/>
      <w:r>
        <w:rPr>
          <w:rFonts w:hint="cs"/>
          <w:rtl/>
        </w:rPr>
        <w:t xml:space="preserve">שמה </w:t>
      </w:r>
      <w:bookmarkStart w:id="54570" w:name="_ETM_Q101_362579"/>
      <w:bookmarkEnd w:id="54570"/>
      <w:r>
        <w:rPr>
          <w:rFonts w:hint="cs"/>
          <w:rtl/>
        </w:rPr>
        <w:t xml:space="preserve">שקורה </w:t>
      </w:r>
      <w:bookmarkStart w:id="54571" w:name="_ETM_Q101_363060"/>
      <w:bookmarkEnd w:id="54571"/>
      <w:r>
        <w:rPr>
          <w:rFonts w:hint="cs"/>
          <w:rtl/>
        </w:rPr>
        <w:t xml:space="preserve">פה </w:t>
      </w:r>
      <w:bookmarkStart w:id="54572" w:name="_ETM_Q101_363209"/>
      <w:bookmarkEnd w:id="54572"/>
      <w:r>
        <w:rPr>
          <w:rFonts w:hint="cs"/>
          <w:rtl/>
        </w:rPr>
        <w:t xml:space="preserve">בימים </w:t>
      </w:r>
      <w:bookmarkStart w:id="54573" w:name="_ETM_Q101_363659"/>
      <w:bookmarkEnd w:id="54573"/>
      <w:r>
        <w:rPr>
          <w:rFonts w:hint="cs"/>
          <w:rtl/>
        </w:rPr>
        <w:t xml:space="preserve">האחרונים </w:t>
      </w:r>
      <w:bookmarkStart w:id="54574" w:name="_ETM_Q101_365510"/>
      <w:bookmarkEnd w:id="54574"/>
      <w:r>
        <w:rPr>
          <w:rFonts w:hint="cs"/>
          <w:rtl/>
        </w:rPr>
        <w:t xml:space="preserve">זה </w:t>
      </w:r>
      <w:bookmarkStart w:id="54575" w:name="_ETM_Q101_365810"/>
      <w:bookmarkEnd w:id="54575"/>
      <w:r>
        <w:rPr>
          <w:rFonts w:hint="cs"/>
          <w:rtl/>
        </w:rPr>
        <w:t xml:space="preserve">באמת </w:t>
      </w:r>
      <w:bookmarkStart w:id="54576" w:name="_ETM_Q101_366620"/>
      <w:bookmarkEnd w:id="54576"/>
      <w:r>
        <w:rPr>
          <w:rFonts w:hint="cs"/>
          <w:rtl/>
        </w:rPr>
        <w:t xml:space="preserve">מחזה </w:t>
      </w:r>
      <w:bookmarkStart w:id="54577" w:name="_ETM_Q101_367400"/>
      <w:bookmarkEnd w:id="54577"/>
      <w:r>
        <w:rPr>
          <w:rFonts w:hint="cs"/>
          <w:rtl/>
        </w:rPr>
        <w:t xml:space="preserve">יוצא </w:t>
      </w:r>
      <w:bookmarkStart w:id="54578" w:name="_ETM_Q101_367880"/>
      <w:bookmarkEnd w:id="54578"/>
      <w:r>
        <w:rPr>
          <w:rFonts w:hint="cs"/>
          <w:rtl/>
        </w:rPr>
        <w:t xml:space="preserve">דופן. </w:t>
      </w:r>
      <w:bookmarkStart w:id="54579" w:name="_ETM_Q101_368960"/>
      <w:bookmarkEnd w:id="54579"/>
      <w:r>
        <w:rPr>
          <w:rFonts w:hint="cs"/>
          <w:rtl/>
        </w:rPr>
        <w:t xml:space="preserve">בדרכי </w:t>
      </w:r>
      <w:bookmarkStart w:id="54580" w:name="_ETM_Q101_369440"/>
      <w:bookmarkEnd w:id="54580"/>
      <w:r>
        <w:rPr>
          <w:rFonts w:hint="cs"/>
          <w:rtl/>
        </w:rPr>
        <w:t xml:space="preserve">לכנסת </w:t>
      </w:r>
      <w:bookmarkStart w:id="54581" w:name="_ETM_Q101_369950"/>
      <w:bookmarkEnd w:id="54581"/>
      <w:r>
        <w:rPr>
          <w:rFonts w:hint="cs"/>
          <w:rtl/>
        </w:rPr>
        <w:t xml:space="preserve">כמובן </w:t>
      </w:r>
      <w:bookmarkStart w:id="54582" w:name="_ETM_Q101_370669"/>
      <w:bookmarkEnd w:id="54582"/>
      <w:r>
        <w:rPr>
          <w:rFonts w:hint="cs"/>
          <w:rtl/>
        </w:rPr>
        <w:t xml:space="preserve">עברתי </w:t>
      </w:r>
      <w:bookmarkStart w:id="54583" w:name="_ETM_Q101_372540"/>
      <w:bookmarkEnd w:id="54583"/>
      <w:r>
        <w:rPr>
          <w:rFonts w:hint="cs"/>
          <w:rtl/>
        </w:rPr>
        <w:t xml:space="preserve">דרך </w:t>
      </w:r>
      <w:bookmarkStart w:id="54584" w:name="_ETM_Q101_372930"/>
      <w:bookmarkEnd w:id="54584"/>
      <w:r>
        <w:rPr>
          <w:rFonts w:hint="cs"/>
          <w:rtl/>
        </w:rPr>
        <w:t xml:space="preserve">המאהל </w:t>
      </w:r>
      <w:bookmarkStart w:id="54585" w:name="_ETM_Q101_373620"/>
      <w:bookmarkEnd w:id="54585"/>
      <w:r>
        <w:rPr>
          <w:rFonts w:hint="cs"/>
          <w:rtl/>
        </w:rPr>
        <w:t xml:space="preserve">בגן </w:t>
      </w:r>
      <w:bookmarkStart w:id="54586" w:name="_ETM_Q101_374370"/>
      <w:bookmarkEnd w:id="54586"/>
      <w:r>
        <w:rPr>
          <w:rFonts w:hint="cs"/>
          <w:rtl/>
        </w:rPr>
        <w:t xml:space="preserve">סאקר. </w:t>
      </w:r>
      <w:bookmarkStart w:id="54587" w:name="_ETM_Q101_375050"/>
      <w:bookmarkEnd w:id="54587"/>
      <w:r>
        <w:rPr>
          <w:rFonts w:hint="cs"/>
          <w:rtl/>
        </w:rPr>
        <w:t xml:space="preserve">זה </w:t>
      </w:r>
      <w:bookmarkStart w:id="54588" w:name="_ETM_Q101_375320"/>
      <w:bookmarkEnd w:id="54588"/>
      <w:r>
        <w:rPr>
          <w:rFonts w:hint="cs"/>
          <w:rtl/>
        </w:rPr>
        <w:t xml:space="preserve">באמת </w:t>
      </w:r>
      <w:bookmarkStart w:id="54589" w:name="_ETM_Q101_375889"/>
      <w:bookmarkEnd w:id="54589"/>
      <w:r>
        <w:rPr>
          <w:rFonts w:hint="cs"/>
          <w:rtl/>
        </w:rPr>
        <w:t xml:space="preserve">מחזה </w:t>
      </w:r>
      <w:bookmarkStart w:id="54590" w:name="_ETM_Q101_377180"/>
      <w:bookmarkEnd w:id="54590"/>
      <w:r>
        <w:rPr>
          <w:rFonts w:hint="cs"/>
          <w:rtl/>
        </w:rPr>
        <w:t xml:space="preserve">שקשה </w:t>
      </w:r>
      <w:bookmarkStart w:id="54591" w:name="_ETM_Q101_377749"/>
      <w:bookmarkEnd w:id="54591"/>
      <w:r>
        <w:rPr>
          <w:rFonts w:hint="cs"/>
          <w:rtl/>
        </w:rPr>
        <w:t xml:space="preserve">לתאר </w:t>
      </w:r>
      <w:bookmarkStart w:id="54592" w:name="_ETM_Q101_378169"/>
      <w:bookmarkStart w:id="54593" w:name="_ETM_Q101_378859"/>
      <w:bookmarkEnd w:id="54592"/>
      <w:bookmarkEnd w:id="54593"/>
      <w:r>
        <w:rPr>
          <w:rFonts w:hint="cs"/>
          <w:rtl/>
        </w:rPr>
        <w:t xml:space="preserve">במילים </w:t>
      </w:r>
      <w:bookmarkStart w:id="54594" w:name="_ETM_Q101_379340"/>
      <w:bookmarkEnd w:id="54594"/>
      <w:r>
        <w:rPr>
          <w:rFonts w:hint="cs"/>
          <w:rtl/>
        </w:rPr>
        <w:t xml:space="preserve">למי </w:t>
      </w:r>
      <w:bookmarkStart w:id="54595" w:name="_ETM_Q101_379549"/>
      <w:bookmarkEnd w:id="54595"/>
      <w:r>
        <w:rPr>
          <w:rFonts w:hint="cs"/>
          <w:rtl/>
        </w:rPr>
        <w:t xml:space="preserve">שלא </w:t>
      </w:r>
      <w:bookmarkStart w:id="54596" w:name="_ETM_Q101_379819"/>
      <w:bookmarkEnd w:id="54596"/>
      <w:r>
        <w:rPr>
          <w:rFonts w:hint="cs"/>
          <w:rtl/>
        </w:rPr>
        <w:t xml:space="preserve">עבר </w:t>
      </w:r>
      <w:bookmarkStart w:id="54597" w:name="_ETM_Q101_380150"/>
      <w:bookmarkEnd w:id="54597"/>
      <w:r>
        <w:rPr>
          <w:rFonts w:hint="cs"/>
          <w:rtl/>
        </w:rPr>
        <w:t xml:space="preserve">שם </w:t>
      </w:r>
      <w:bookmarkStart w:id="54598" w:name="_ETM_Q101_380389"/>
      <w:bookmarkEnd w:id="54598"/>
      <w:r>
        <w:rPr>
          <w:rFonts w:hint="cs"/>
          <w:rtl/>
        </w:rPr>
        <w:t xml:space="preserve">וראה. </w:t>
      </w:r>
      <w:bookmarkStart w:id="54599" w:name="_ETM_Q101_382760"/>
      <w:bookmarkEnd w:id="54599"/>
      <w:r>
        <w:rPr>
          <w:rFonts w:hint="cs"/>
          <w:rtl/>
        </w:rPr>
        <w:t xml:space="preserve">ממש </w:t>
      </w:r>
      <w:bookmarkStart w:id="54600" w:name="_ETM_Q101_383419"/>
      <w:bookmarkEnd w:id="54600"/>
      <w:r>
        <w:rPr>
          <w:rFonts w:hint="cs"/>
          <w:rtl/>
        </w:rPr>
        <w:t xml:space="preserve">עשרות </w:t>
      </w:r>
      <w:bookmarkStart w:id="54601" w:name="_ETM_Q101_383989"/>
      <w:bookmarkEnd w:id="54601"/>
      <w:r>
        <w:rPr>
          <w:rFonts w:hint="cs"/>
          <w:rtl/>
        </w:rPr>
        <w:t xml:space="preserve">רבות, </w:t>
      </w:r>
      <w:bookmarkStart w:id="54602" w:name="_ETM_Q101_384349"/>
      <w:bookmarkEnd w:id="54602"/>
      <w:r>
        <w:rPr>
          <w:rFonts w:hint="cs"/>
          <w:rtl/>
        </w:rPr>
        <w:t xml:space="preserve">אם </w:t>
      </w:r>
      <w:bookmarkStart w:id="54603" w:name="_ETM_Q101_384469"/>
      <w:bookmarkEnd w:id="54603"/>
      <w:r>
        <w:rPr>
          <w:rFonts w:hint="cs"/>
          <w:rtl/>
        </w:rPr>
        <w:t xml:space="preserve">לא </w:t>
      </w:r>
      <w:bookmarkStart w:id="54604" w:name="_ETM_Q101_384560"/>
      <w:bookmarkEnd w:id="54604"/>
      <w:r>
        <w:rPr>
          <w:rFonts w:hint="cs"/>
          <w:rtl/>
        </w:rPr>
        <w:t xml:space="preserve">מאות, </w:t>
      </w:r>
      <w:bookmarkStart w:id="54605" w:name="_ETM_Q101_384950"/>
      <w:bookmarkEnd w:id="54605"/>
      <w:r>
        <w:rPr>
          <w:rFonts w:hint="cs"/>
          <w:rtl/>
        </w:rPr>
        <w:t xml:space="preserve">של </w:t>
      </w:r>
      <w:bookmarkStart w:id="54606" w:name="_ETM_Q101_385219"/>
      <w:bookmarkEnd w:id="54606"/>
      <w:r>
        <w:rPr>
          <w:rFonts w:hint="cs"/>
          <w:rtl/>
        </w:rPr>
        <w:t xml:space="preserve">אוהלים, </w:t>
      </w:r>
      <w:bookmarkStart w:id="54607" w:name="_ETM_Q101_386630"/>
      <w:bookmarkEnd w:id="54607"/>
      <w:r>
        <w:rPr>
          <w:rFonts w:hint="cs"/>
          <w:rtl/>
        </w:rPr>
        <w:t xml:space="preserve">מפגן </w:t>
      </w:r>
      <w:bookmarkStart w:id="54608" w:name="_ETM_Q101_387380"/>
      <w:bookmarkEnd w:id="54608"/>
      <w:r>
        <w:rPr>
          <w:rFonts w:hint="cs"/>
          <w:rtl/>
        </w:rPr>
        <w:t xml:space="preserve">אחדות </w:t>
      </w:r>
      <w:bookmarkStart w:id="54609" w:name="_ETM_Q101_388590"/>
      <w:bookmarkEnd w:id="54609"/>
      <w:r>
        <w:rPr>
          <w:rFonts w:hint="cs"/>
          <w:rtl/>
        </w:rPr>
        <w:t xml:space="preserve">ממש </w:t>
      </w:r>
      <w:bookmarkStart w:id="54610" w:name="_ETM_Q101_389099"/>
      <w:bookmarkEnd w:id="54610"/>
      <w:r>
        <w:rPr>
          <w:rFonts w:hint="cs"/>
          <w:rtl/>
        </w:rPr>
        <w:t xml:space="preserve">מרהיב </w:t>
      </w:r>
      <w:bookmarkStart w:id="54611" w:name="_ETM_Q101_390349"/>
      <w:bookmarkEnd w:id="54611"/>
      <w:r>
        <w:rPr>
          <w:rFonts w:hint="cs"/>
          <w:rtl/>
        </w:rPr>
        <w:t xml:space="preserve">ומאוד </w:t>
      </w:r>
      <w:bookmarkStart w:id="54612" w:name="_ETM_Q101_391519"/>
      <w:bookmarkEnd w:id="54612"/>
      <w:r>
        <w:rPr>
          <w:rFonts w:hint="cs"/>
          <w:rtl/>
        </w:rPr>
        <w:t xml:space="preserve">מרגש. </w:t>
      </w:r>
      <w:bookmarkStart w:id="54613" w:name="_ETM_Q101_394139"/>
      <w:bookmarkStart w:id="54614" w:name="_ETM_Q101_398696"/>
      <w:bookmarkStart w:id="54615" w:name="_ETM_Q101_398798"/>
      <w:bookmarkStart w:id="54616" w:name="_ETM_Q101_398855"/>
      <w:bookmarkStart w:id="54617" w:name="_ETM_Q101_398926"/>
      <w:bookmarkEnd w:id="54613"/>
      <w:bookmarkEnd w:id="54614"/>
      <w:bookmarkEnd w:id="54615"/>
      <w:bookmarkEnd w:id="54616"/>
      <w:bookmarkEnd w:id="54617"/>
      <w:r>
        <w:rPr>
          <w:rFonts w:hint="cs"/>
          <w:rtl/>
        </w:rPr>
        <w:t xml:space="preserve">גם </w:t>
      </w:r>
      <w:bookmarkStart w:id="54618" w:name="_ETM_Q101_394439"/>
      <w:bookmarkEnd w:id="54618"/>
      <w:r>
        <w:rPr>
          <w:rFonts w:hint="cs"/>
          <w:rtl/>
        </w:rPr>
        <w:t xml:space="preserve">הצעדה </w:t>
      </w:r>
      <w:bookmarkStart w:id="54619" w:name="_ETM_Q101_395040"/>
      <w:bookmarkEnd w:id="54619"/>
      <w:r>
        <w:rPr>
          <w:rFonts w:hint="cs"/>
          <w:rtl/>
        </w:rPr>
        <w:t xml:space="preserve">שהתרחשה </w:t>
      </w:r>
      <w:bookmarkStart w:id="54620" w:name="_ETM_Q101_396689"/>
      <w:bookmarkEnd w:id="54620"/>
      <w:r>
        <w:rPr>
          <w:rFonts w:hint="cs"/>
          <w:rtl/>
        </w:rPr>
        <w:t xml:space="preserve">בימים </w:t>
      </w:r>
      <w:bookmarkStart w:id="54621" w:name="_ETM_Q101_397079"/>
      <w:bookmarkEnd w:id="54621"/>
      <w:r>
        <w:rPr>
          <w:rFonts w:hint="cs"/>
          <w:rtl/>
        </w:rPr>
        <w:t xml:space="preserve">האחרונים </w:t>
      </w:r>
      <w:bookmarkStart w:id="54622" w:name="_ETM_Q101_398069"/>
      <w:bookmarkEnd w:id="54622"/>
      <w:r>
        <w:rPr>
          <w:rFonts w:hint="cs"/>
          <w:rtl/>
        </w:rPr>
        <w:t xml:space="preserve">לירושלים </w:t>
      </w:r>
      <w:bookmarkStart w:id="54623" w:name="_ETM_Q101_399030"/>
      <w:bookmarkEnd w:id="54623"/>
      <w:r>
        <w:rPr>
          <w:rFonts w:hint="cs"/>
          <w:rtl/>
        </w:rPr>
        <w:t xml:space="preserve">הייתה </w:t>
      </w:r>
      <w:bookmarkStart w:id="54624" w:name="_ETM_Q101_399329"/>
      <w:bookmarkEnd w:id="54624"/>
      <w:r>
        <w:rPr>
          <w:rFonts w:hint="cs"/>
          <w:rtl/>
        </w:rPr>
        <w:t xml:space="preserve">פשוט </w:t>
      </w:r>
      <w:bookmarkStart w:id="54625" w:name="_ETM_Q101_400580"/>
      <w:bookmarkEnd w:id="54625"/>
      <w:r>
        <w:rPr>
          <w:rFonts w:hint="cs"/>
          <w:rtl/>
        </w:rPr>
        <w:t xml:space="preserve">מרגשת. </w:t>
      </w:r>
      <w:bookmarkStart w:id="54626" w:name="_ETM_Q101_401300"/>
      <w:bookmarkEnd w:id="54626"/>
      <w:r>
        <w:rPr>
          <w:rFonts w:hint="cs"/>
          <w:rtl/>
        </w:rPr>
        <w:t xml:space="preserve">לראות </w:t>
      </w:r>
      <w:bookmarkStart w:id="54627" w:name="_ETM_Q101_401629"/>
      <w:bookmarkEnd w:id="54627"/>
      <w:r>
        <w:rPr>
          <w:rFonts w:hint="cs"/>
          <w:rtl/>
        </w:rPr>
        <w:t xml:space="preserve">משפחות </w:t>
      </w:r>
      <w:bookmarkStart w:id="54628" w:name="_ETM_Q101_402230"/>
      <w:bookmarkEnd w:id="54628"/>
      <w:r>
        <w:rPr>
          <w:rFonts w:hint="cs"/>
          <w:rtl/>
        </w:rPr>
        <w:t xml:space="preserve">שלמות </w:t>
      </w:r>
      <w:bookmarkStart w:id="54629" w:name="_ETM_Q101_402860"/>
      <w:bookmarkEnd w:id="54629"/>
      <w:r>
        <w:rPr>
          <w:rFonts w:hint="cs"/>
          <w:rtl/>
        </w:rPr>
        <w:t xml:space="preserve">עם </w:t>
      </w:r>
      <w:bookmarkStart w:id="54630" w:name="_ETM_Q101_403040"/>
      <w:bookmarkEnd w:id="54630"/>
      <w:r>
        <w:rPr>
          <w:rFonts w:hint="cs"/>
          <w:rtl/>
        </w:rPr>
        <w:t xml:space="preserve">ילדים </w:t>
      </w:r>
      <w:bookmarkStart w:id="54631" w:name="_ETM_Q101_403519"/>
      <w:bookmarkEnd w:id="54631"/>
      <w:r>
        <w:rPr>
          <w:rFonts w:hint="cs"/>
          <w:rtl/>
        </w:rPr>
        <w:t xml:space="preserve">קטנים, </w:t>
      </w:r>
      <w:bookmarkStart w:id="54632" w:name="_ETM_Q101_404780"/>
      <w:bookmarkEnd w:id="54632"/>
      <w:r>
        <w:rPr>
          <w:rFonts w:hint="cs"/>
          <w:rtl/>
        </w:rPr>
        <w:t xml:space="preserve">נשים </w:t>
      </w:r>
      <w:bookmarkStart w:id="54633" w:name="_ETM_Q101_405290"/>
      <w:bookmarkEnd w:id="54633"/>
      <w:r>
        <w:rPr>
          <w:rFonts w:hint="cs"/>
          <w:rtl/>
        </w:rPr>
        <w:t>מ</w:t>
      </w:r>
      <w:r w:rsidR="002B7F77">
        <w:rPr>
          <w:rFonts w:hint="cs"/>
          <w:rtl/>
        </w:rPr>
        <w:t>י</w:t>
      </w:r>
      <w:r>
        <w:rPr>
          <w:rFonts w:hint="cs"/>
          <w:rtl/>
        </w:rPr>
        <w:t xml:space="preserve">ניקות </w:t>
      </w:r>
      <w:bookmarkStart w:id="54634" w:name="_ETM_Q101_406010"/>
      <w:bookmarkEnd w:id="54634"/>
      <w:r>
        <w:rPr>
          <w:rFonts w:hint="cs"/>
          <w:rtl/>
        </w:rPr>
        <w:t xml:space="preserve">שעוצרות </w:t>
      </w:r>
      <w:bookmarkStart w:id="54635" w:name="_ETM_Q101_406430"/>
      <w:bookmarkEnd w:id="54635"/>
      <w:r>
        <w:rPr>
          <w:rFonts w:hint="cs"/>
          <w:rtl/>
        </w:rPr>
        <w:t xml:space="preserve">בדרך – </w:t>
      </w:r>
      <w:bookmarkStart w:id="54636" w:name="_ETM_Q101_407830"/>
      <w:bookmarkEnd w:id="54636"/>
      <w:r>
        <w:rPr>
          <w:rFonts w:hint="cs"/>
          <w:rtl/>
        </w:rPr>
        <w:t xml:space="preserve">באמת </w:t>
      </w:r>
      <w:bookmarkStart w:id="54637" w:name="_ETM_Q101_408310"/>
      <w:bookmarkEnd w:id="54637"/>
      <w:r>
        <w:rPr>
          <w:rFonts w:hint="cs"/>
          <w:rtl/>
        </w:rPr>
        <w:t xml:space="preserve">מחזה </w:t>
      </w:r>
      <w:bookmarkStart w:id="54638" w:name="_ETM_Q101_409120"/>
      <w:bookmarkEnd w:id="54638"/>
      <w:r>
        <w:rPr>
          <w:rFonts w:hint="cs"/>
          <w:rtl/>
        </w:rPr>
        <w:t xml:space="preserve">יוצא </w:t>
      </w:r>
      <w:bookmarkStart w:id="54639" w:name="_ETM_Q101_409510"/>
      <w:bookmarkEnd w:id="54639"/>
      <w:r>
        <w:rPr>
          <w:rFonts w:hint="cs"/>
          <w:rtl/>
        </w:rPr>
        <w:t xml:space="preserve">דופן. </w:t>
      </w:r>
      <w:bookmarkStart w:id="54640" w:name="_ETM_Q101_410230"/>
      <w:bookmarkEnd w:id="54640"/>
      <w:r>
        <w:rPr>
          <w:rFonts w:hint="cs"/>
          <w:rtl/>
        </w:rPr>
        <w:t xml:space="preserve">כל </w:t>
      </w:r>
      <w:bookmarkStart w:id="54641" w:name="_ETM_Q101_410470"/>
      <w:bookmarkEnd w:id="54641"/>
      <w:r>
        <w:rPr>
          <w:rFonts w:hint="cs"/>
          <w:rtl/>
        </w:rPr>
        <w:t xml:space="preserve">כך </w:t>
      </w:r>
      <w:bookmarkStart w:id="54642" w:name="_ETM_Q101_410740"/>
      <w:bookmarkEnd w:id="54642"/>
      <w:r>
        <w:rPr>
          <w:rFonts w:hint="cs"/>
          <w:rtl/>
        </w:rPr>
        <w:t xml:space="preserve">הרבה </w:t>
      </w:r>
      <w:bookmarkStart w:id="54643" w:name="_ETM_Q101_411190"/>
      <w:bookmarkEnd w:id="54643"/>
      <w:r>
        <w:rPr>
          <w:rFonts w:hint="cs"/>
          <w:rtl/>
        </w:rPr>
        <w:t xml:space="preserve">ערבות </w:t>
      </w:r>
      <w:bookmarkStart w:id="54644" w:name="_ETM_Q101_411640"/>
      <w:bookmarkEnd w:id="54644"/>
      <w:r>
        <w:rPr>
          <w:rFonts w:hint="cs"/>
          <w:rtl/>
        </w:rPr>
        <w:t xml:space="preserve">הדדית </w:t>
      </w:r>
      <w:bookmarkStart w:id="54645" w:name="_ETM_Q101_412150"/>
      <w:bookmarkEnd w:id="54645"/>
      <w:r>
        <w:rPr>
          <w:rFonts w:hint="cs"/>
          <w:rtl/>
        </w:rPr>
        <w:t xml:space="preserve">ועזרה </w:t>
      </w:r>
      <w:bookmarkStart w:id="54646" w:name="_ETM_Q101_412780"/>
      <w:bookmarkEnd w:id="54646"/>
      <w:r>
        <w:rPr>
          <w:rFonts w:hint="cs"/>
          <w:rtl/>
        </w:rPr>
        <w:t xml:space="preserve">הדדית. </w:t>
      </w:r>
      <w:bookmarkStart w:id="54647" w:name="_ETM_Q101_415019"/>
      <w:bookmarkStart w:id="54648" w:name="_ETM_Q101_416319"/>
      <w:bookmarkEnd w:id="54647"/>
      <w:bookmarkEnd w:id="54648"/>
      <w:r>
        <w:rPr>
          <w:rFonts w:hint="cs"/>
          <w:rtl/>
        </w:rPr>
        <w:t xml:space="preserve">אותי </w:t>
      </w:r>
      <w:bookmarkStart w:id="54649" w:name="_ETM_Q101_416739"/>
      <w:bookmarkEnd w:id="54649"/>
      <w:r>
        <w:rPr>
          <w:rFonts w:hint="cs"/>
          <w:rtl/>
        </w:rPr>
        <w:t xml:space="preserve">זה </w:t>
      </w:r>
      <w:bookmarkStart w:id="54650" w:name="_ETM_Q101_416890"/>
      <w:bookmarkEnd w:id="54650"/>
      <w:r>
        <w:rPr>
          <w:rFonts w:hint="cs"/>
          <w:rtl/>
        </w:rPr>
        <w:t xml:space="preserve">ריגש </w:t>
      </w:r>
      <w:bookmarkStart w:id="54651" w:name="_ETM_Q101_417250"/>
      <w:bookmarkEnd w:id="54651"/>
      <w:r>
        <w:rPr>
          <w:rFonts w:hint="cs"/>
          <w:rtl/>
        </w:rPr>
        <w:t xml:space="preserve">בצורה </w:t>
      </w:r>
      <w:bookmarkStart w:id="54652" w:name="_ETM_Q101_418330"/>
      <w:bookmarkEnd w:id="54652"/>
      <w:r>
        <w:rPr>
          <w:rFonts w:hint="cs"/>
          <w:rtl/>
        </w:rPr>
        <w:t xml:space="preserve">יוצאת </w:t>
      </w:r>
      <w:bookmarkStart w:id="54653" w:name="_ETM_Q101_418720"/>
      <w:bookmarkEnd w:id="54653"/>
      <w:r>
        <w:rPr>
          <w:rFonts w:hint="cs"/>
          <w:rtl/>
        </w:rPr>
        <w:t xml:space="preserve">דופן. </w:t>
      </w:r>
      <w:bookmarkStart w:id="54654" w:name="_ETM_Q101_419080"/>
      <w:bookmarkStart w:id="54655" w:name="_ETM_Q101_419319"/>
      <w:bookmarkEnd w:id="54654"/>
      <w:bookmarkEnd w:id="54655"/>
    </w:p>
    <w:p w:rsidR="00BB59CD" w:rsidRDefault="00BB59CD" w:rsidP="00BB59CD">
      <w:pPr>
        <w:rPr>
          <w:rtl/>
        </w:rPr>
      </w:pPr>
    </w:p>
    <w:p w:rsidR="00BB59CD" w:rsidRDefault="00BB59CD" w:rsidP="00BB59CD">
      <w:pPr>
        <w:rPr>
          <w:rtl/>
        </w:rPr>
      </w:pPr>
      <w:bookmarkStart w:id="54656" w:name="_ETM_Q101_419500"/>
      <w:bookmarkEnd w:id="54656"/>
      <w:r>
        <w:rPr>
          <w:rFonts w:hint="cs"/>
          <w:rtl/>
        </w:rPr>
        <w:t xml:space="preserve">לפני </w:t>
      </w:r>
      <w:bookmarkStart w:id="54657" w:name="_ETM_Q101_419830"/>
      <w:bookmarkEnd w:id="54657"/>
      <w:r>
        <w:rPr>
          <w:rFonts w:hint="cs"/>
          <w:rtl/>
        </w:rPr>
        <w:t xml:space="preserve">שאני </w:t>
      </w:r>
      <w:bookmarkStart w:id="54658" w:name="_ETM_Q101_420760"/>
      <w:bookmarkEnd w:id="54658"/>
      <w:r>
        <w:rPr>
          <w:rFonts w:hint="cs"/>
          <w:rtl/>
        </w:rPr>
        <w:t xml:space="preserve">אפנה </w:t>
      </w:r>
      <w:bookmarkStart w:id="54659" w:name="_ETM_Q101_421120"/>
      <w:bookmarkEnd w:id="54659"/>
      <w:r>
        <w:rPr>
          <w:rFonts w:hint="cs"/>
          <w:rtl/>
        </w:rPr>
        <w:t xml:space="preserve">לכל </w:t>
      </w:r>
      <w:bookmarkStart w:id="54660" w:name="_ETM_Q101_421420"/>
      <w:bookmarkEnd w:id="54660"/>
      <w:r>
        <w:rPr>
          <w:rFonts w:hint="cs"/>
          <w:rtl/>
        </w:rPr>
        <w:t xml:space="preserve">הדברים </w:t>
      </w:r>
      <w:bookmarkStart w:id="54661" w:name="_ETM_Q101_421750"/>
      <w:bookmarkEnd w:id="54661"/>
      <w:r>
        <w:rPr>
          <w:rFonts w:hint="cs"/>
          <w:rtl/>
        </w:rPr>
        <w:t xml:space="preserve">האחרים </w:t>
      </w:r>
      <w:bookmarkStart w:id="54662" w:name="_ETM_Q101_422110"/>
      <w:bookmarkEnd w:id="54662"/>
      <w:r>
        <w:rPr>
          <w:rFonts w:hint="cs"/>
          <w:rtl/>
        </w:rPr>
        <w:t xml:space="preserve">שאני </w:t>
      </w:r>
      <w:bookmarkStart w:id="54663" w:name="_ETM_Q101_422319"/>
      <w:bookmarkEnd w:id="54663"/>
      <w:r>
        <w:rPr>
          <w:rFonts w:hint="cs"/>
          <w:rtl/>
        </w:rPr>
        <w:t xml:space="preserve">רוצה </w:t>
      </w:r>
      <w:bookmarkStart w:id="54664" w:name="_ETM_Q101_422620"/>
      <w:bookmarkEnd w:id="54664"/>
      <w:r>
        <w:rPr>
          <w:rFonts w:hint="cs"/>
          <w:rtl/>
        </w:rPr>
        <w:t xml:space="preserve">להתייחס </w:t>
      </w:r>
      <w:bookmarkStart w:id="54665" w:name="_ETM_Q101_423129"/>
      <w:bookmarkEnd w:id="54665"/>
      <w:r>
        <w:rPr>
          <w:rFonts w:hint="cs"/>
          <w:rtl/>
        </w:rPr>
        <w:t xml:space="preserve">אליהם </w:t>
      </w:r>
      <w:bookmarkStart w:id="54666" w:name="_ETM_Q101_423430"/>
      <w:bookmarkEnd w:id="54666"/>
      <w:r>
        <w:rPr>
          <w:rFonts w:hint="cs"/>
          <w:rtl/>
        </w:rPr>
        <w:t xml:space="preserve">בשעה </w:t>
      </w:r>
      <w:bookmarkStart w:id="54667" w:name="_ETM_Q101_423760"/>
      <w:bookmarkEnd w:id="54667"/>
      <w:r>
        <w:rPr>
          <w:rFonts w:hint="cs"/>
          <w:rtl/>
        </w:rPr>
        <w:t xml:space="preserve">הקרובה, </w:t>
      </w:r>
      <w:bookmarkStart w:id="54668" w:name="_ETM_Q101_424150"/>
      <w:bookmarkEnd w:id="54668"/>
      <w:r>
        <w:rPr>
          <w:rFonts w:hint="cs"/>
          <w:rtl/>
        </w:rPr>
        <w:t xml:space="preserve">אני </w:t>
      </w:r>
      <w:bookmarkStart w:id="54669" w:name="_ETM_Q101_424269"/>
      <w:bookmarkEnd w:id="54669"/>
      <w:r>
        <w:rPr>
          <w:rFonts w:hint="cs"/>
          <w:rtl/>
        </w:rPr>
        <w:t xml:space="preserve">רוצה </w:t>
      </w:r>
      <w:bookmarkStart w:id="54670" w:name="_ETM_Q101_424540"/>
      <w:bookmarkEnd w:id="54670"/>
      <w:r>
        <w:rPr>
          <w:rFonts w:hint="cs"/>
          <w:rtl/>
        </w:rPr>
        <w:t xml:space="preserve">לספר </w:t>
      </w:r>
      <w:bookmarkStart w:id="54671" w:name="_ETM_Q101_425110"/>
      <w:bookmarkEnd w:id="54671"/>
      <w:r>
        <w:rPr>
          <w:rFonts w:hint="cs"/>
          <w:rtl/>
        </w:rPr>
        <w:t xml:space="preserve">על </w:t>
      </w:r>
      <w:bookmarkStart w:id="54672" w:name="_ETM_Q101_425379"/>
      <w:bookmarkEnd w:id="54672"/>
      <w:r>
        <w:rPr>
          <w:rFonts w:hint="cs"/>
          <w:rtl/>
        </w:rPr>
        <w:t xml:space="preserve">מה </w:t>
      </w:r>
      <w:bookmarkStart w:id="54673" w:name="_ETM_Q101_425560"/>
      <w:bookmarkEnd w:id="54673"/>
      <w:r>
        <w:rPr>
          <w:rFonts w:hint="cs"/>
          <w:rtl/>
        </w:rPr>
        <w:t xml:space="preserve">שקרה </w:t>
      </w:r>
      <w:bookmarkStart w:id="54674" w:name="_ETM_Q101_426220"/>
      <w:bookmarkEnd w:id="54674"/>
      <w:r>
        <w:rPr>
          <w:rFonts w:hint="cs"/>
          <w:rtl/>
        </w:rPr>
        <w:t xml:space="preserve">ביום </w:t>
      </w:r>
      <w:bookmarkStart w:id="54675" w:name="_ETM_Q101_426549"/>
      <w:bookmarkEnd w:id="54675"/>
      <w:r>
        <w:rPr>
          <w:rFonts w:hint="cs"/>
          <w:rtl/>
        </w:rPr>
        <w:t xml:space="preserve">חמישי. ביום </w:t>
      </w:r>
      <w:bookmarkStart w:id="54676" w:name="_ETM_Q101_428370"/>
      <w:bookmarkStart w:id="54677" w:name="_ETM_Q101_428640"/>
      <w:bookmarkEnd w:id="54676"/>
      <w:bookmarkEnd w:id="54677"/>
      <w:r>
        <w:rPr>
          <w:rFonts w:hint="cs"/>
          <w:rtl/>
        </w:rPr>
        <w:t xml:space="preserve">חמישי </w:t>
      </w:r>
      <w:bookmarkStart w:id="54678" w:name="_ETM_Q101_429030"/>
      <w:bookmarkEnd w:id="54678"/>
      <w:r>
        <w:rPr>
          <w:rFonts w:hint="cs"/>
          <w:rtl/>
        </w:rPr>
        <w:t xml:space="preserve">קיבלתי </w:t>
      </w:r>
      <w:bookmarkStart w:id="54679" w:name="_ETM_Q101_429480"/>
      <w:bookmarkEnd w:id="54679"/>
      <w:r>
        <w:rPr>
          <w:rFonts w:hint="cs"/>
          <w:rtl/>
        </w:rPr>
        <w:t>טלפון</w:t>
      </w:r>
      <w:bookmarkStart w:id="54680" w:name="_ETM_Q101_429959"/>
      <w:bookmarkEnd w:id="54680"/>
      <w:r>
        <w:rPr>
          <w:rFonts w:hint="cs"/>
          <w:rtl/>
        </w:rPr>
        <w:t xml:space="preserve"> </w:t>
      </w:r>
      <w:bookmarkStart w:id="54681" w:name="_ETM_Q101_430799"/>
      <w:bookmarkEnd w:id="54681"/>
      <w:r>
        <w:rPr>
          <w:rFonts w:hint="cs"/>
          <w:rtl/>
        </w:rPr>
        <w:t xml:space="preserve">סביב </w:t>
      </w:r>
      <w:bookmarkStart w:id="54682" w:name="_ETM_Q101_431159"/>
      <w:bookmarkEnd w:id="54682"/>
      <w:r>
        <w:rPr>
          <w:rFonts w:hint="cs"/>
          <w:rtl/>
        </w:rPr>
        <w:t xml:space="preserve">שעה </w:t>
      </w:r>
      <w:bookmarkStart w:id="54683" w:name="_ETM_Q101_431370"/>
      <w:bookmarkEnd w:id="54683"/>
      <w:r>
        <w:rPr>
          <w:rFonts w:hint="cs"/>
          <w:rtl/>
        </w:rPr>
        <w:t xml:space="preserve">24:00 </w:t>
      </w:r>
      <w:bookmarkStart w:id="54684" w:name="_ETM_Q101_431909"/>
      <w:bookmarkEnd w:id="54684"/>
      <w:r>
        <w:rPr>
          <w:rFonts w:hint="cs"/>
          <w:rtl/>
        </w:rPr>
        <w:t xml:space="preserve">בלילה </w:t>
      </w:r>
      <w:bookmarkStart w:id="54685" w:name="_ETM_Q101_433529"/>
      <w:bookmarkEnd w:id="54685"/>
      <w:r>
        <w:rPr>
          <w:rFonts w:hint="cs"/>
          <w:rtl/>
        </w:rPr>
        <w:t xml:space="preserve">לגבי </w:t>
      </w:r>
      <w:bookmarkStart w:id="54686" w:name="_ETM_Q101_434400"/>
      <w:bookmarkEnd w:id="54686"/>
      <w:r>
        <w:rPr>
          <w:rFonts w:hint="cs"/>
          <w:rtl/>
        </w:rPr>
        <w:t xml:space="preserve">עצורים </w:t>
      </w:r>
      <w:bookmarkStart w:id="54687" w:name="_ETM_Q101_436270"/>
      <w:bookmarkEnd w:id="54687"/>
      <w:r>
        <w:rPr>
          <w:rFonts w:hint="cs"/>
          <w:rtl/>
        </w:rPr>
        <w:t xml:space="preserve">בתחנת </w:t>
      </w:r>
      <w:bookmarkStart w:id="54688" w:name="_ETM_Q101_436990"/>
      <w:bookmarkEnd w:id="54688"/>
      <w:r>
        <w:rPr>
          <w:rFonts w:hint="cs"/>
          <w:rtl/>
        </w:rPr>
        <w:t xml:space="preserve">המשטרה </w:t>
      </w:r>
      <w:bookmarkStart w:id="54689" w:name="_ETM_Q101_437529"/>
      <w:bookmarkEnd w:id="54689"/>
      <w:r>
        <w:rPr>
          <w:rFonts w:hint="cs"/>
          <w:rtl/>
        </w:rPr>
        <w:t xml:space="preserve">בטייבה. </w:t>
      </w:r>
      <w:bookmarkStart w:id="54690" w:name="_ETM_Q101_438099"/>
      <w:bookmarkEnd w:id="54690"/>
      <w:r>
        <w:rPr>
          <w:rFonts w:hint="cs"/>
          <w:rtl/>
        </w:rPr>
        <w:t xml:space="preserve">היה </w:t>
      </w:r>
      <w:bookmarkStart w:id="54691" w:name="_ETM_Q101_438279"/>
      <w:bookmarkEnd w:id="54691"/>
      <w:r>
        <w:rPr>
          <w:rFonts w:hint="cs"/>
          <w:rtl/>
        </w:rPr>
        <w:t xml:space="preserve">מדובר </w:t>
      </w:r>
      <w:bookmarkStart w:id="54692" w:name="_ETM_Q101_438819"/>
      <w:bookmarkEnd w:id="54692"/>
      <w:r>
        <w:rPr>
          <w:rFonts w:hint="cs"/>
          <w:rtl/>
        </w:rPr>
        <w:t xml:space="preserve">בעצורים </w:t>
      </w:r>
      <w:bookmarkStart w:id="54693" w:name="_ETM_Q101_440199"/>
      <w:bookmarkEnd w:id="54693"/>
      <w:r>
        <w:rPr>
          <w:rFonts w:hint="cs"/>
          <w:rtl/>
        </w:rPr>
        <w:t xml:space="preserve">שהפגינו </w:t>
      </w:r>
      <w:bookmarkStart w:id="54694" w:name="_ETM_Q101_441550"/>
      <w:bookmarkEnd w:id="54694"/>
      <w:r>
        <w:rPr>
          <w:rFonts w:hint="cs"/>
          <w:rtl/>
        </w:rPr>
        <w:t xml:space="preserve">בצומת </w:t>
      </w:r>
      <w:bookmarkStart w:id="54695" w:name="_ETM_Q101_442539"/>
      <w:bookmarkEnd w:id="54695"/>
      <w:r>
        <w:rPr>
          <w:rFonts w:hint="cs"/>
          <w:rtl/>
        </w:rPr>
        <w:t xml:space="preserve">כפר </w:t>
      </w:r>
      <w:bookmarkStart w:id="54696" w:name="_ETM_Q101_442810"/>
      <w:bookmarkEnd w:id="54696"/>
      <w:r>
        <w:rPr>
          <w:rFonts w:hint="cs"/>
          <w:rtl/>
        </w:rPr>
        <w:t>סבא</w:t>
      </w:r>
      <w:bookmarkStart w:id="54697" w:name="_ETM_Q101_445539"/>
      <w:bookmarkEnd w:id="54697"/>
      <w:r>
        <w:rPr>
          <w:rFonts w:hint="cs"/>
          <w:rtl/>
        </w:rPr>
        <w:t xml:space="preserve">, </w:t>
      </w:r>
      <w:bookmarkStart w:id="54698" w:name="_ETM_Q101_447026"/>
      <w:bookmarkEnd w:id="54698"/>
      <w:r>
        <w:rPr>
          <w:rFonts w:hint="cs"/>
          <w:rtl/>
        </w:rPr>
        <w:t xml:space="preserve">רעננה, </w:t>
      </w:r>
      <w:bookmarkStart w:id="54699" w:name="_ETM_Q101_446289"/>
      <w:bookmarkEnd w:id="54699"/>
      <w:r>
        <w:rPr>
          <w:rFonts w:hint="cs"/>
          <w:rtl/>
        </w:rPr>
        <w:t xml:space="preserve">הרצליה, </w:t>
      </w:r>
      <w:bookmarkStart w:id="54700" w:name="_ETM_Q101_446860"/>
      <w:bookmarkEnd w:id="54700"/>
      <w:r>
        <w:rPr>
          <w:rFonts w:hint="cs"/>
          <w:rtl/>
        </w:rPr>
        <w:t xml:space="preserve">שם </w:t>
      </w:r>
      <w:bookmarkStart w:id="54701" w:name="_ETM_Q101_447129"/>
      <w:bookmarkEnd w:id="54701"/>
      <w:r>
        <w:rPr>
          <w:rFonts w:hint="cs"/>
          <w:rtl/>
        </w:rPr>
        <w:t>באזור</w:t>
      </w:r>
      <w:bookmarkStart w:id="54702" w:name="_ETM_Q101_448559"/>
      <w:bookmarkEnd w:id="54702"/>
      <w:r>
        <w:rPr>
          <w:rFonts w:hint="cs"/>
          <w:rtl/>
        </w:rPr>
        <w:t xml:space="preserve">. </w:t>
      </w:r>
      <w:bookmarkStart w:id="54703" w:name="_ETM_Q101_447890"/>
      <w:bookmarkEnd w:id="54703"/>
      <w:r>
        <w:rPr>
          <w:rFonts w:hint="cs"/>
          <w:rtl/>
        </w:rPr>
        <w:t xml:space="preserve">התקשרו </w:t>
      </w:r>
      <w:bookmarkStart w:id="54704" w:name="_ETM_Q101_450629"/>
      <w:bookmarkEnd w:id="54704"/>
      <w:r>
        <w:rPr>
          <w:rFonts w:hint="cs"/>
          <w:rtl/>
        </w:rPr>
        <w:t xml:space="preserve">להגיד </w:t>
      </w:r>
      <w:bookmarkStart w:id="54705" w:name="_ETM_Q101_450930"/>
      <w:bookmarkEnd w:id="54705"/>
      <w:r>
        <w:rPr>
          <w:rFonts w:hint="cs"/>
          <w:rtl/>
        </w:rPr>
        <w:t xml:space="preserve">לי </w:t>
      </w:r>
      <w:bookmarkStart w:id="54706" w:name="_ETM_Q101_450990"/>
      <w:bookmarkEnd w:id="54706"/>
      <w:r>
        <w:rPr>
          <w:rFonts w:hint="cs"/>
          <w:rtl/>
        </w:rPr>
        <w:t xml:space="preserve">שיש שבעה </w:t>
      </w:r>
      <w:bookmarkStart w:id="54707" w:name="_ETM_Q101_451529"/>
      <w:bookmarkEnd w:id="54707"/>
      <w:r>
        <w:rPr>
          <w:rFonts w:hint="cs"/>
          <w:rtl/>
        </w:rPr>
        <w:t xml:space="preserve">עצורים, </w:t>
      </w:r>
      <w:bookmarkStart w:id="54708" w:name="_ETM_Q101_451889"/>
      <w:bookmarkEnd w:id="54708"/>
      <w:r>
        <w:rPr>
          <w:rFonts w:hint="cs"/>
          <w:rtl/>
        </w:rPr>
        <w:t xml:space="preserve">וכמובן </w:t>
      </w:r>
      <w:bookmarkStart w:id="54709" w:name="_ETM_Q101_452400"/>
      <w:bookmarkEnd w:id="54709"/>
      <w:r>
        <w:rPr>
          <w:rFonts w:hint="cs"/>
          <w:rtl/>
        </w:rPr>
        <w:t xml:space="preserve">מייד </w:t>
      </w:r>
      <w:bookmarkStart w:id="54710" w:name="_ETM_Q101_452699"/>
      <w:bookmarkEnd w:id="54710"/>
      <w:r>
        <w:rPr>
          <w:rFonts w:hint="cs"/>
          <w:rtl/>
        </w:rPr>
        <w:t xml:space="preserve">נסעתי </w:t>
      </w:r>
      <w:bookmarkStart w:id="54711" w:name="_ETM_Q101_453150"/>
      <w:bookmarkEnd w:id="54711"/>
      <w:r>
        <w:rPr>
          <w:rFonts w:hint="cs"/>
          <w:rtl/>
        </w:rPr>
        <w:t xml:space="preserve">לשם. </w:t>
      </w:r>
      <w:bookmarkStart w:id="54712" w:name="_ETM_Q101_453479"/>
      <w:bookmarkEnd w:id="54712"/>
      <w:r>
        <w:rPr>
          <w:rFonts w:hint="cs"/>
          <w:rtl/>
        </w:rPr>
        <w:t xml:space="preserve">זה </w:t>
      </w:r>
      <w:bookmarkStart w:id="54713" w:name="_ETM_Q101_453629"/>
      <w:bookmarkEnd w:id="54713"/>
      <w:r>
        <w:rPr>
          <w:rFonts w:hint="cs"/>
          <w:rtl/>
        </w:rPr>
        <w:t xml:space="preserve">כמובן </w:t>
      </w:r>
      <w:bookmarkStart w:id="54714" w:name="_ETM_Q101_454050"/>
      <w:bookmarkEnd w:id="54714"/>
      <w:r>
        <w:rPr>
          <w:rFonts w:hint="cs"/>
          <w:rtl/>
        </w:rPr>
        <w:t xml:space="preserve">היה </w:t>
      </w:r>
      <w:bookmarkStart w:id="54715" w:name="_ETM_Q101_454289"/>
      <w:bookmarkEnd w:id="54715"/>
      <w:r>
        <w:rPr>
          <w:rFonts w:hint="cs"/>
          <w:rtl/>
        </w:rPr>
        <w:t xml:space="preserve">אחרי </w:t>
      </w:r>
      <w:bookmarkStart w:id="54716" w:name="_ETM_Q101_454559"/>
      <w:bookmarkEnd w:id="54716"/>
      <w:r>
        <w:rPr>
          <w:rFonts w:hint="cs"/>
          <w:rtl/>
        </w:rPr>
        <w:t xml:space="preserve">שהייתי </w:t>
      </w:r>
      <w:bookmarkStart w:id="54717" w:name="_ETM_Q101_455699"/>
      <w:bookmarkEnd w:id="54717"/>
      <w:r>
        <w:rPr>
          <w:rFonts w:hint="cs"/>
          <w:rtl/>
        </w:rPr>
        <w:t xml:space="preserve">בכנסת </w:t>
      </w:r>
      <w:bookmarkStart w:id="54718" w:name="_ETM_Q101_456180"/>
      <w:bookmarkEnd w:id="54718"/>
      <w:r>
        <w:rPr>
          <w:rFonts w:hint="cs"/>
          <w:rtl/>
        </w:rPr>
        <w:t xml:space="preserve">כל </w:t>
      </w:r>
      <w:bookmarkStart w:id="54719" w:name="_ETM_Q101_456389"/>
      <w:bookmarkEnd w:id="54719"/>
      <w:r>
        <w:rPr>
          <w:rFonts w:hint="cs"/>
          <w:rtl/>
        </w:rPr>
        <w:t xml:space="preserve">השבוע, </w:t>
      </w:r>
      <w:bookmarkStart w:id="54720" w:name="_ETM_Q101_456990"/>
      <w:bookmarkEnd w:id="54720"/>
      <w:r>
        <w:rPr>
          <w:rFonts w:hint="cs"/>
          <w:rtl/>
        </w:rPr>
        <w:t xml:space="preserve">והייתי </w:t>
      </w:r>
      <w:bookmarkStart w:id="54721" w:name="_ETM_Q101_457469"/>
      <w:bookmarkEnd w:id="54721"/>
      <w:r>
        <w:rPr>
          <w:rFonts w:hint="cs"/>
          <w:rtl/>
        </w:rPr>
        <w:t xml:space="preserve">פה </w:t>
      </w:r>
      <w:bookmarkStart w:id="54722" w:name="_ETM_Q101_457619"/>
      <w:bookmarkEnd w:id="54722"/>
      <w:r>
        <w:rPr>
          <w:rFonts w:hint="cs"/>
          <w:rtl/>
        </w:rPr>
        <w:t xml:space="preserve">בלילות </w:t>
      </w:r>
      <w:bookmarkStart w:id="54723" w:name="_ETM_Q101_458099"/>
      <w:bookmarkEnd w:id="54723"/>
      <w:r>
        <w:rPr>
          <w:rFonts w:hint="cs"/>
          <w:rtl/>
        </w:rPr>
        <w:t xml:space="preserve">גם </w:t>
      </w:r>
      <w:bookmarkStart w:id="54724" w:name="_ETM_Q101_458339"/>
      <w:bookmarkEnd w:id="54724"/>
      <w:r>
        <w:rPr>
          <w:rFonts w:hint="cs"/>
          <w:rtl/>
        </w:rPr>
        <w:t xml:space="preserve">ביום </w:t>
      </w:r>
      <w:bookmarkStart w:id="54725" w:name="_ETM_Q101_458580"/>
      <w:bookmarkEnd w:id="54725"/>
      <w:r>
        <w:rPr>
          <w:rFonts w:hint="cs"/>
          <w:rtl/>
        </w:rPr>
        <w:t xml:space="preserve">שני </w:t>
      </w:r>
      <w:bookmarkStart w:id="54726" w:name="_ETM_Q101_459029"/>
      <w:bookmarkEnd w:id="54726"/>
      <w:r>
        <w:rPr>
          <w:rFonts w:hint="cs"/>
          <w:rtl/>
        </w:rPr>
        <w:t xml:space="preserve">וגם </w:t>
      </w:r>
      <w:bookmarkStart w:id="54727" w:name="_ETM_Q101_459330"/>
      <w:bookmarkEnd w:id="54727"/>
      <w:r>
        <w:rPr>
          <w:rFonts w:hint="cs"/>
          <w:rtl/>
        </w:rPr>
        <w:t xml:space="preserve">ביום </w:t>
      </w:r>
      <w:bookmarkStart w:id="54728" w:name="_ETM_Q101_459539"/>
      <w:bookmarkEnd w:id="54728"/>
      <w:r>
        <w:rPr>
          <w:rFonts w:hint="cs"/>
          <w:rtl/>
        </w:rPr>
        <w:t xml:space="preserve">שלישי </w:t>
      </w:r>
      <w:bookmarkStart w:id="54729" w:name="_ETM_Q101_460020"/>
      <w:bookmarkEnd w:id="54729"/>
      <w:r>
        <w:rPr>
          <w:rFonts w:hint="cs"/>
          <w:rtl/>
        </w:rPr>
        <w:t xml:space="preserve">וגם </w:t>
      </w:r>
      <w:bookmarkStart w:id="54730" w:name="_ETM_Q101_460319"/>
      <w:bookmarkEnd w:id="54730"/>
      <w:r>
        <w:rPr>
          <w:rFonts w:hint="cs"/>
          <w:rtl/>
        </w:rPr>
        <w:t xml:space="preserve">ביום </w:t>
      </w:r>
      <w:bookmarkStart w:id="54731" w:name="_ETM_Q101_460529"/>
      <w:bookmarkEnd w:id="54731"/>
      <w:r>
        <w:rPr>
          <w:rFonts w:hint="cs"/>
          <w:rtl/>
        </w:rPr>
        <w:t xml:space="preserve">רביעי </w:t>
      </w:r>
      <w:bookmarkStart w:id="54732" w:name="_ETM_Q101_462029"/>
      <w:bookmarkEnd w:id="54732"/>
      <w:r>
        <w:rPr>
          <w:rFonts w:hint="cs"/>
          <w:rtl/>
        </w:rPr>
        <w:t xml:space="preserve">בוועדת </w:t>
      </w:r>
      <w:bookmarkStart w:id="54733" w:name="_ETM_Q101_462539"/>
      <w:bookmarkEnd w:id="54733"/>
      <w:r w:rsidR="0018073C">
        <w:rPr>
          <w:rFonts w:hint="cs"/>
          <w:rtl/>
        </w:rPr>
        <w:t>ה</w:t>
      </w:r>
      <w:r>
        <w:rPr>
          <w:rFonts w:hint="cs"/>
          <w:rtl/>
        </w:rPr>
        <w:t xml:space="preserve">חוקה, </w:t>
      </w:r>
      <w:bookmarkStart w:id="54734" w:name="_ETM_Q101_463169"/>
      <w:bookmarkEnd w:id="54734"/>
      <w:r>
        <w:rPr>
          <w:rFonts w:hint="cs"/>
          <w:rtl/>
        </w:rPr>
        <w:t xml:space="preserve">במליאה, </w:t>
      </w:r>
      <w:bookmarkStart w:id="54735" w:name="_ETM_Q101_464009"/>
      <w:bookmarkEnd w:id="54735"/>
      <w:r>
        <w:rPr>
          <w:rFonts w:hint="cs"/>
          <w:rtl/>
        </w:rPr>
        <w:t xml:space="preserve">במחאה. </w:t>
      </w:r>
      <w:bookmarkStart w:id="54736" w:name="_ETM_Q101_465740"/>
      <w:bookmarkEnd w:id="54736"/>
      <w:r>
        <w:rPr>
          <w:rFonts w:hint="cs"/>
          <w:rtl/>
        </w:rPr>
        <w:t xml:space="preserve">ונסעתי </w:t>
      </w:r>
      <w:bookmarkStart w:id="54737" w:name="_ETM_Q101_466310"/>
      <w:bookmarkEnd w:id="54737"/>
      <w:r>
        <w:rPr>
          <w:rFonts w:hint="cs"/>
          <w:rtl/>
        </w:rPr>
        <w:t xml:space="preserve">לשם. </w:t>
      </w:r>
      <w:bookmarkStart w:id="54738" w:name="_ETM_Q101_467389"/>
      <w:bookmarkEnd w:id="54738"/>
    </w:p>
    <w:p w:rsidR="00BB59CD" w:rsidRDefault="00BB59CD" w:rsidP="00BB59CD">
      <w:pPr>
        <w:rPr>
          <w:rtl/>
        </w:rPr>
      </w:pPr>
      <w:bookmarkStart w:id="54739" w:name="_ETM_Q101_469853"/>
      <w:bookmarkStart w:id="54740" w:name="_ETM_Q101_469953"/>
      <w:bookmarkStart w:id="54741" w:name="_ETM_Q101_470060"/>
      <w:bookmarkEnd w:id="54739"/>
      <w:bookmarkEnd w:id="54740"/>
      <w:bookmarkEnd w:id="54741"/>
    </w:p>
    <w:p w:rsidR="00BB59CD" w:rsidRDefault="00BB59CD" w:rsidP="0018073C">
      <w:pPr>
        <w:rPr>
          <w:rtl/>
        </w:rPr>
      </w:pPr>
      <w:bookmarkStart w:id="54742" w:name="_ETM_Q101_470135"/>
      <w:bookmarkEnd w:id="54742"/>
      <w:r>
        <w:rPr>
          <w:rFonts w:hint="cs"/>
          <w:rtl/>
        </w:rPr>
        <w:t xml:space="preserve">קודם </w:t>
      </w:r>
      <w:bookmarkStart w:id="54743" w:name="_ETM_Q101_467779"/>
      <w:bookmarkEnd w:id="54743"/>
      <w:r>
        <w:rPr>
          <w:rFonts w:hint="cs"/>
          <w:rtl/>
        </w:rPr>
        <w:t xml:space="preserve">כול, </w:t>
      </w:r>
      <w:bookmarkStart w:id="54744" w:name="_ETM_Q101_468800"/>
      <w:bookmarkEnd w:id="54744"/>
      <w:r>
        <w:rPr>
          <w:rFonts w:hint="cs"/>
          <w:rtl/>
        </w:rPr>
        <w:t xml:space="preserve">בחוץ </w:t>
      </w:r>
      <w:bookmarkStart w:id="54745" w:name="_ETM_Q101_469740"/>
      <w:bookmarkEnd w:id="54745"/>
      <w:r>
        <w:rPr>
          <w:rFonts w:hint="cs"/>
          <w:rtl/>
        </w:rPr>
        <w:t xml:space="preserve">חיכו </w:t>
      </w:r>
      <w:bookmarkStart w:id="54746" w:name="_ETM_Q101_470490"/>
      <w:bookmarkEnd w:id="54746"/>
      <w:r>
        <w:rPr>
          <w:rFonts w:hint="cs"/>
          <w:rtl/>
        </w:rPr>
        <w:t xml:space="preserve">עשרות </w:t>
      </w:r>
      <w:bookmarkStart w:id="54747" w:name="_ETM_Q101_471060"/>
      <w:bookmarkEnd w:id="54747"/>
      <w:r>
        <w:rPr>
          <w:rFonts w:hint="cs"/>
          <w:rtl/>
        </w:rPr>
        <w:t xml:space="preserve">רבות </w:t>
      </w:r>
      <w:bookmarkStart w:id="54748" w:name="_ETM_Q101_471450"/>
      <w:bookmarkEnd w:id="54748"/>
      <w:r>
        <w:rPr>
          <w:rFonts w:hint="cs"/>
          <w:rtl/>
        </w:rPr>
        <w:t xml:space="preserve">של </w:t>
      </w:r>
      <w:bookmarkStart w:id="54749" w:name="_ETM_Q101_471990"/>
      <w:bookmarkEnd w:id="54749"/>
      <w:r>
        <w:rPr>
          <w:rFonts w:hint="cs"/>
          <w:rtl/>
        </w:rPr>
        <w:t xml:space="preserve">מפגינים </w:t>
      </w:r>
      <w:bookmarkStart w:id="54750" w:name="_ETM_Q101_472529"/>
      <w:bookmarkEnd w:id="54750"/>
      <w:r>
        <w:rPr>
          <w:rFonts w:hint="cs"/>
          <w:rtl/>
        </w:rPr>
        <w:t xml:space="preserve">שבאו </w:t>
      </w:r>
      <w:bookmarkStart w:id="54751" w:name="_ETM_Q101_472920"/>
      <w:bookmarkEnd w:id="54751"/>
      <w:r>
        <w:rPr>
          <w:rFonts w:hint="cs"/>
          <w:rtl/>
        </w:rPr>
        <w:t xml:space="preserve">לחזק </w:t>
      </w:r>
      <w:bookmarkStart w:id="54752" w:name="_ETM_Q101_473339"/>
      <w:bookmarkEnd w:id="54752"/>
      <w:r>
        <w:rPr>
          <w:rFonts w:hint="cs"/>
          <w:rtl/>
        </w:rPr>
        <w:t xml:space="preserve">את </w:t>
      </w:r>
      <w:bookmarkStart w:id="54753" w:name="_ETM_Q101_473460"/>
      <w:bookmarkEnd w:id="54753"/>
      <w:r>
        <w:rPr>
          <w:rFonts w:hint="cs"/>
          <w:rtl/>
        </w:rPr>
        <w:t xml:space="preserve">העצורים </w:t>
      </w:r>
      <w:bookmarkStart w:id="54754" w:name="_ETM_Q101_474029"/>
      <w:bookmarkEnd w:id="54754"/>
      <w:r>
        <w:rPr>
          <w:rFonts w:hint="cs"/>
          <w:rtl/>
        </w:rPr>
        <w:t xml:space="preserve">ולהמתין </w:t>
      </w:r>
      <w:bookmarkStart w:id="54755" w:name="_ETM_Q101_474510"/>
      <w:bookmarkEnd w:id="54755"/>
      <w:r>
        <w:rPr>
          <w:rFonts w:hint="cs"/>
          <w:rtl/>
        </w:rPr>
        <w:t xml:space="preserve">להם עד </w:t>
      </w:r>
      <w:bookmarkStart w:id="54756" w:name="_ETM_Q101_474990"/>
      <w:bookmarkEnd w:id="54756"/>
      <w:r>
        <w:rPr>
          <w:rFonts w:hint="cs"/>
          <w:rtl/>
        </w:rPr>
        <w:t xml:space="preserve">יציאתם, </w:t>
      </w:r>
      <w:bookmarkStart w:id="54757" w:name="_ETM_Q101_476880"/>
      <w:bookmarkEnd w:id="54757"/>
      <w:r>
        <w:rPr>
          <w:rFonts w:hint="cs"/>
          <w:rtl/>
        </w:rPr>
        <w:t xml:space="preserve">מלווים </w:t>
      </w:r>
      <w:bookmarkStart w:id="54758" w:name="_ETM_Q101_477360"/>
      <w:bookmarkEnd w:id="54758"/>
      <w:r>
        <w:rPr>
          <w:rFonts w:hint="cs"/>
          <w:rtl/>
        </w:rPr>
        <w:t xml:space="preserve">בדגלי </w:t>
      </w:r>
      <w:bookmarkStart w:id="54759" w:name="_ETM_Q101_477810"/>
      <w:bookmarkEnd w:id="54759"/>
      <w:r>
        <w:rPr>
          <w:rFonts w:hint="cs"/>
          <w:rtl/>
        </w:rPr>
        <w:t xml:space="preserve">ישראל </w:t>
      </w:r>
      <w:bookmarkStart w:id="54760" w:name="_ETM_Q101_478470"/>
      <w:bookmarkEnd w:id="54760"/>
      <w:r>
        <w:rPr>
          <w:rFonts w:hint="cs"/>
          <w:rtl/>
        </w:rPr>
        <w:t xml:space="preserve">והרבה </w:t>
      </w:r>
      <w:bookmarkStart w:id="54761" w:name="_ETM_Q101_478800"/>
      <w:bookmarkEnd w:id="54761"/>
      <w:r>
        <w:rPr>
          <w:rFonts w:hint="cs"/>
          <w:rtl/>
        </w:rPr>
        <w:t xml:space="preserve">מאוד </w:t>
      </w:r>
      <w:bookmarkStart w:id="54762" w:name="_ETM_Q101_479010"/>
      <w:bookmarkEnd w:id="54762"/>
      <w:r>
        <w:rPr>
          <w:rFonts w:hint="cs"/>
          <w:rtl/>
        </w:rPr>
        <w:t xml:space="preserve">נחישות </w:t>
      </w:r>
      <w:bookmarkStart w:id="54763" w:name="_ETM_Q101_479460"/>
      <w:bookmarkEnd w:id="54763"/>
      <w:r>
        <w:rPr>
          <w:rFonts w:hint="cs"/>
          <w:rtl/>
        </w:rPr>
        <w:t xml:space="preserve">וכוח </w:t>
      </w:r>
      <w:bookmarkStart w:id="54764" w:name="_ETM_Q101_479820"/>
      <w:bookmarkEnd w:id="54764"/>
      <w:r>
        <w:rPr>
          <w:rFonts w:hint="cs"/>
          <w:rtl/>
        </w:rPr>
        <w:t xml:space="preserve">רצון, </w:t>
      </w:r>
      <w:bookmarkStart w:id="54765" w:name="_ETM_Q101_480330"/>
      <w:bookmarkEnd w:id="54765"/>
      <w:r>
        <w:rPr>
          <w:rFonts w:hint="cs"/>
          <w:rtl/>
        </w:rPr>
        <w:t xml:space="preserve">למרות </w:t>
      </w:r>
      <w:bookmarkStart w:id="54766" w:name="_ETM_Q101_480660"/>
      <w:bookmarkEnd w:id="54766"/>
      <w:r>
        <w:rPr>
          <w:rFonts w:hint="cs"/>
          <w:rtl/>
        </w:rPr>
        <w:t xml:space="preserve">השעה </w:t>
      </w:r>
      <w:bookmarkStart w:id="54767" w:name="_ETM_Q101_480990"/>
      <w:bookmarkEnd w:id="54767"/>
      <w:r>
        <w:rPr>
          <w:rFonts w:hint="cs"/>
          <w:rtl/>
        </w:rPr>
        <w:t xml:space="preserve">המאוחרת </w:t>
      </w:r>
      <w:bookmarkStart w:id="54768" w:name="_ETM_Q101_480000"/>
      <w:bookmarkStart w:id="54769" w:name="_ETM_Q101_480210"/>
      <w:bookmarkStart w:id="54770" w:name="_ETM_Q101_480539"/>
      <w:bookmarkStart w:id="54771" w:name="_ETM_Q101_481260"/>
      <w:bookmarkEnd w:id="54768"/>
      <w:bookmarkEnd w:id="54769"/>
      <w:bookmarkEnd w:id="54770"/>
      <w:bookmarkEnd w:id="54771"/>
      <w:r>
        <w:rPr>
          <w:rFonts w:hint="cs"/>
          <w:rtl/>
        </w:rPr>
        <w:t xml:space="preserve">ולמרות </w:t>
      </w:r>
      <w:bookmarkStart w:id="54772" w:name="_ETM_Q101_481650"/>
      <w:bookmarkEnd w:id="54772"/>
      <w:r>
        <w:rPr>
          <w:rFonts w:hint="cs"/>
          <w:rtl/>
        </w:rPr>
        <w:t xml:space="preserve">שהם </w:t>
      </w:r>
      <w:bookmarkStart w:id="54773" w:name="_ETM_Q101_481890"/>
      <w:bookmarkEnd w:id="54773"/>
      <w:r>
        <w:rPr>
          <w:rFonts w:hint="cs"/>
          <w:rtl/>
        </w:rPr>
        <w:t xml:space="preserve">עברו </w:t>
      </w:r>
      <w:bookmarkStart w:id="54774" w:name="_ETM_Q101_482370"/>
      <w:bookmarkEnd w:id="54774"/>
      <w:r>
        <w:rPr>
          <w:rFonts w:hint="cs"/>
          <w:rtl/>
        </w:rPr>
        <w:t xml:space="preserve">יום </w:t>
      </w:r>
      <w:bookmarkStart w:id="54775" w:name="_ETM_Q101_482639"/>
      <w:bookmarkEnd w:id="54775"/>
      <w:r>
        <w:rPr>
          <w:rFonts w:hint="cs"/>
          <w:rtl/>
        </w:rPr>
        <w:t xml:space="preserve">מאוד </w:t>
      </w:r>
      <w:bookmarkStart w:id="54776" w:name="_ETM_Q101_482909"/>
      <w:bookmarkEnd w:id="54776"/>
      <w:r>
        <w:rPr>
          <w:rFonts w:hint="cs"/>
          <w:rtl/>
        </w:rPr>
        <w:t xml:space="preserve">ארוך. </w:t>
      </w:r>
      <w:bookmarkStart w:id="54777" w:name="_ETM_Q101_485439"/>
      <w:bookmarkEnd w:id="54777"/>
      <w:r>
        <w:rPr>
          <w:rFonts w:hint="cs"/>
          <w:rtl/>
        </w:rPr>
        <w:t xml:space="preserve">כמובן </w:t>
      </w:r>
      <w:bookmarkStart w:id="54778" w:name="_ETM_Q101_486910"/>
      <w:bookmarkEnd w:id="54778"/>
      <w:r>
        <w:rPr>
          <w:rFonts w:hint="cs"/>
          <w:rtl/>
        </w:rPr>
        <w:t xml:space="preserve">אמרתי </w:t>
      </w:r>
      <w:bookmarkStart w:id="54779" w:name="_ETM_Q101_487359"/>
      <w:bookmarkEnd w:id="54779"/>
      <w:r>
        <w:rPr>
          <w:rFonts w:hint="cs"/>
          <w:rtl/>
        </w:rPr>
        <w:t xml:space="preserve">שלום </w:t>
      </w:r>
      <w:bookmarkStart w:id="54780" w:name="_ETM_Q101_487689"/>
      <w:bookmarkEnd w:id="54780"/>
      <w:r>
        <w:rPr>
          <w:rFonts w:hint="cs"/>
          <w:rtl/>
        </w:rPr>
        <w:t xml:space="preserve">ומייד </w:t>
      </w:r>
      <w:bookmarkStart w:id="54781" w:name="_ETM_Q101_488019"/>
      <w:bookmarkEnd w:id="54781"/>
      <w:r>
        <w:rPr>
          <w:rFonts w:hint="cs"/>
          <w:rtl/>
        </w:rPr>
        <w:t xml:space="preserve">נכנסתי </w:t>
      </w:r>
      <w:bookmarkStart w:id="54782" w:name="_ETM_Q101_488589"/>
      <w:bookmarkEnd w:id="54782"/>
      <w:r>
        <w:rPr>
          <w:rFonts w:hint="cs"/>
          <w:rtl/>
        </w:rPr>
        <w:t xml:space="preserve">לתחנה </w:t>
      </w:r>
      <w:bookmarkStart w:id="54783" w:name="_ETM_Q101_489190"/>
      <w:bookmarkEnd w:id="54783"/>
      <w:r>
        <w:rPr>
          <w:rFonts w:hint="cs"/>
          <w:rtl/>
        </w:rPr>
        <w:t xml:space="preserve">לדבר </w:t>
      </w:r>
      <w:bookmarkStart w:id="54784" w:name="_ETM_Q101_489610"/>
      <w:bookmarkStart w:id="54785" w:name="_ETM_Q101_489910"/>
      <w:bookmarkStart w:id="54786" w:name="_ETM_Q101_490480"/>
      <w:bookmarkEnd w:id="54784"/>
      <w:bookmarkEnd w:id="54785"/>
      <w:bookmarkEnd w:id="54786"/>
      <w:r>
        <w:rPr>
          <w:rFonts w:hint="cs"/>
          <w:rtl/>
        </w:rPr>
        <w:t xml:space="preserve">עם </w:t>
      </w:r>
      <w:bookmarkStart w:id="54787" w:name="_ETM_Q101_490660"/>
      <w:bookmarkEnd w:id="54787"/>
      <w:r>
        <w:rPr>
          <w:rFonts w:hint="cs"/>
          <w:rtl/>
        </w:rPr>
        <w:t xml:space="preserve">המפקד </w:t>
      </w:r>
      <w:bookmarkStart w:id="54788" w:name="_ETM_Q101_491139"/>
      <w:bookmarkEnd w:id="54788"/>
      <w:r>
        <w:rPr>
          <w:rFonts w:hint="cs"/>
          <w:rtl/>
        </w:rPr>
        <w:t xml:space="preserve">התורן, </w:t>
      </w:r>
      <w:bookmarkStart w:id="54789" w:name="_ETM_Q101_491559"/>
      <w:bookmarkEnd w:id="54789"/>
      <w:r>
        <w:rPr>
          <w:rFonts w:hint="cs"/>
          <w:rtl/>
        </w:rPr>
        <w:t xml:space="preserve">כדי </w:t>
      </w:r>
      <w:bookmarkStart w:id="54790" w:name="_ETM_Q101_491799"/>
      <w:bookmarkEnd w:id="54790"/>
      <w:r>
        <w:rPr>
          <w:rFonts w:hint="cs"/>
          <w:rtl/>
        </w:rPr>
        <w:t xml:space="preserve">לוודא </w:t>
      </w:r>
      <w:bookmarkStart w:id="54791" w:name="_ETM_Q101_492190"/>
      <w:bookmarkEnd w:id="54791"/>
      <w:r>
        <w:rPr>
          <w:rFonts w:hint="cs"/>
          <w:rtl/>
        </w:rPr>
        <w:t xml:space="preserve">שהעצורים </w:t>
      </w:r>
      <w:bookmarkStart w:id="54792" w:name="_ETM_Q101_494129"/>
      <w:bookmarkStart w:id="54793" w:name="_ETM_Q101_494759"/>
      <w:bookmarkEnd w:id="54792"/>
      <w:bookmarkEnd w:id="54793"/>
      <w:r>
        <w:rPr>
          <w:rFonts w:hint="cs"/>
          <w:rtl/>
        </w:rPr>
        <w:t xml:space="preserve">מקבלים </w:t>
      </w:r>
      <w:bookmarkStart w:id="54794" w:name="_ETM_Q101_495240"/>
      <w:bookmarkEnd w:id="54794"/>
      <w:r>
        <w:rPr>
          <w:rFonts w:hint="cs"/>
          <w:rtl/>
        </w:rPr>
        <w:t xml:space="preserve">ייעוץ </w:t>
      </w:r>
      <w:bookmarkStart w:id="54795" w:name="_ETM_Q101_495509"/>
      <w:bookmarkEnd w:id="54795"/>
      <w:r>
        <w:rPr>
          <w:rFonts w:hint="cs"/>
          <w:rtl/>
        </w:rPr>
        <w:t xml:space="preserve">משפטי </w:t>
      </w:r>
      <w:bookmarkStart w:id="54796" w:name="_ETM_Q101_496589"/>
      <w:bookmarkEnd w:id="54796"/>
      <w:r>
        <w:rPr>
          <w:rFonts w:hint="cs"/>
          <w:rtl/>
        </w:rPr>
        <w:t xml:space="preserve">ושכל </w:t>
      </w:r>
      <w:bookmarkStart w:id="54797" w:name="_ETM_Q101_497070"/>
      <w:bookmarkEnd w:id="54797"/>
      <w:r>
        <w:rPr>
          <w:rFonts w:hint="cs"/>
          <w:rtl/>
        </w:rPr>
        <w:t xml:space="preserve">זכויותיהם </w:t>
      </w:r>
      <w:bookmarkStart w:id="54798" w:name="_ETM_Q101_499380"/>
      <w:bookmarkEnd w:id="54798"/>
      <w:r>
        <w:rPr>
          <w:rFonts w:hint="cs"/>
          <w:rtl/>
        </w:rPr>
        <w:t xml:space="preserve">נשמרות </w:t>
      </w:r>
      <w:bookmarkStart w:id="54799" w:name="_ETM_Q101_499919"/>
      <w:bookmarkEnd w:id="54799"/>
      <w:r>
        <w:rPr>
          <w:rFonts w:hint="cs"/>
          <w:rtl/>
        </w:rPr>
        <w:t xml:space="preserve">ושהם </w:t>
      </w:r>
      <w:bookmarkStart w:id="54800" w:name="_ETM_Q101_500159"/>
      <w:bookmarkEnd w:id="54800"/>
      <w:r>
        <w:rPr>
          <w:rFonts w:hint="cs"/>
          <w:rtl/>
        </w:rPr>
        <w:t xml:space="preserve">מקבלים </w:t>
      </w:r>
      <w:bookmarkStart w:id="54801" w:name="_ETM_Q101_500519"/>
      <w:bookmarkEnd w:id="54801"/>
      <w:r>
        <w:rPr>
          <w:rFonts w:hint="cs"/>
          <w:rtl/>
        </w:rPr>
        <w:t xml:space="preserve">את </w:t>
      </w:r>
      <w:bookmarkStart w:id="54802" w:name="_ETM_Q101_500609"/>
      <w:bookmarkEnd w:id="54802"/>
      <w:r>
        <w:rPr>
          <w:rFonts w:hint="cs"/>
          <w:rtl/>
        </w:rPr>
        <w:t xml:space="preserve">כל </w:t>
      </w:r>
      <w:bookmarkStart w:id="54803" w:name="_ETM_Q101_500759"/>
      <w:bookmarkEnd w:id="54803"/>
      <w:r>
        <w:rPr>
          <w:rFonts w:hint="cs"/>
          <w:rtl/>
        </w:rPr>
        <w:t xml:space="preserve">הדברים </w:t>
      </w:r>
      <w:bookmarkStart w:id="54804" w:name="_ETM_Q101_501029"/>
      <w:bookmarkEnd w:id="54804"/>
      <w:r>
        <w:rPr>
          <w:rFonts w:hint="cs"/>
          <w:rtl/>
        </w:rPr>
        <w:t xml:space="preserve">שהם </w:t>
      </w:r>
      <w:bookmarkStart w:id="54805" w:name="_ETM_Q101_501269"/>
      <w:bookmarkEnd w:id="54805"/>
      <w:r>
        <w:rPr>
          <w:rFonts w:hint="cs"/>
          <w:rtl/>
        </w:rPr>
        <w:t xml:space="preserve">אמורים, </w:t>
      </w:r>
      <w:bookmarkStart w:id="54806" w:name="_ETM_Q101_501689"/>
      <w:bookmarkEnd w:id="54806"/>
      <w:r>
        <w:rPr>
          <w:rFonts w:hint="cs"/>
          <w:rtl/>
        </w:rPr>
        <w:t>ו</w:t>
      </w:r>
      <w:bookmarkStart w:id="54807" w:name="_ETM_Q101_502720"/>
      <w:bookmarkEnd w:id="54807"/>
      <w:r>
        <w:rPr>
          <w:rFonts w:hint="cs"/>
          <w:rtl/>
        </w:rPr>
        <w:t xml:space="preserve">שישתחררו </w:t>
      </w:r>
      <w:bookmarkStart w:id="54808" w:name="_ETM_Q101_503529"/>
      <w:bookmarkEnd w:id="54808"/>
      <w:r>
        <w:rPr>
          <w:rFonts w:hint="cs"/>
          <w:rtl/>
        </w:rPr>
        <w:t xml:space="preserve">כמה </w:t>
      </w:r>
      <w:bookmarkStart w:id="54809" w:name="_ETM_Q101_503800"/>
      <w:bookmarkEnd w:id="54809"/>
      <w:r>
        <w:rPr>
          <w:rFonts w:hint="cs"/>
          <w:rtl/>
        </w:rPr>
        <w:t xml:space="preserve">שיותר </w:t>
      </w:r>
      <w:bookmarkStart w:id="54810" w:name="_ETM_Q101_504849"/>
      <w:bookmarkEnd w:id="54810"/>
      <w:r>
        <w:rPr>
          <w:rFonts w:hint="cs"/>
          <w:rtl/>
        </w:rPr>
        <w:t xml:space="preserve">מהר, </w:t>
      </w:r>
      <w:bookmarkStart w:id="54811" w:name="_ETM_Q101_505330"/>
      <w:bookmarkEnd w:id="54811"/>
      <w:r>
        <w:rPr>
          <w:rFonts w:hint="cs"/>
          <w:rtl/>
        </w:rPr>
        <w:t xml:space="preserve">כמובן </w:t>
      </w:r>
      <w:bookmarkStart w:id="54812" w:name="_ETM_Q101_505720"/>
      <w:bookmarkEnd w:id="54812"/>
      <w:r>
        <w:rPr>
          <w:rFonts w:hint="cs"/>
          <w:rtl/>
        </w:rPr>
        <w:t xml:space="preserve">לפי </w:t>
      </w:r>
      <w:bookmarkStart w:id="54813" w:name="_ETM_Q101_505930"/>
      <w:bookmarkEnd w:id="54813"/>
      <w:r>
        <w:rPr>
          <w:rFonts w:hint="cs"/>
          <w:rtl/>
        </w:rPr>
        <w:t xml:space="preserve">חוק. </w:t>
      </w:r>
      <w:bookmarkStart w:id="54814" w:name="_ETM_Q101_507289"/>
      <w:bookmarkEnd w:id="54814"/>
      <w:r>
        <w:rPr>
          <w:rFonts w:hint="cs"/>
          <w:rtl/>
        </w:rPr>
        <w:t xml:space="preserve">ביליתי </w:t>
      </w:r>
      <w:bookmarkStart w:id="54815" w:name="_ETM_Q101_507890"/>
      <w:bookmarkEnd w:id="54815"/>
      <w:r>
        <w:rPr>
          <w:rFonts w:hint="cs"/>
          <w:rtl/>
        </w:rPr>
        <w:t xml:space="preserve">שם </w:t>
      </w:r>
      <w:bookmarkStart w:id="54816" w:name="_ETM_Q101_508099"/>
      <w:bookmarkEnd w:id="54816"/>
      <w:r>
        <w:rPr>
          <w:rFonts w:hint="cs"/>
          <w:rtl/>
        </w:rPr>
        <w:t xml:space="preserve">בעצם </w:t>
      </w:r>
      <w:bookmarkStart w:id="54817" w:name="_ETM_Q101_508730"/>
      <w:bookmarkEnd w:id="54817"/>
      <w:r>
        <w:rPr>
          <w:rFonts w:hint="cs"/>
          <w:rtl/>
        </w:rPr>
        <w:t xml:space="preserve">עד </w:t>
      </w:r>
      <w:bookmarkStart w:id="54818" w:name="_ETM_Q101_508970"/>
      <w:bookmarkEnd w:id="54818"/>
      <w:r>
        <w:rPr>
          <w:rFonts w:hint="cs"/>
          <w:rtl/>
        </w:rPr>
        <w:t xml:space="preserve">סביב </w:t>
      </w:r>
      <w:bookmarkStart w:id="54819" w:name="_ETM_Q101_509269"/>
      <w:bookmarkStart w:id="54820" w:name="_ETM_Q101_509599"/>
      <w:bookmarkEnd w:id="54819"/>
      <w:bookmarkEnd w:id="54820"/>
      <w:r>
        <w:rPr>
          <w:rFonts w:hint="cs"/>
          <w:rtl/>
        </w:rPr>
        <w:t xml:space="preserve">03:00, </w:t>
      </w:r>
      <w:bookmarkStart w:id="54821" w:name="_ETM_Q101_510259"/>
      <w:bookmarkEnd w:id="54821"/>
      <w:r>
        <w:rPr>
          <w:rFonts w:hint="cs"/>
          <w:rtl/>
        </w:rPr>
        <w:t xml:space="preserve">עד </w:t>
      </w:r>
      <w:bookmarkStart w:id="54822" w:name="_ETM_Q101_510380"/>
      <w:bookmarkEnd w:id="54822"/>
      <w:r>
        <w:rPr>
          <w:rFonts w:hint="cs"/>
          <w:rtl/>
        </w:rPr>
        <w:t xml:space="preserve">שאחרון </w:t>
      </w:r>
      <w:bookmarkStart w:id="54823" w:name="_ETM_Q101_510859"/>
      <w:bookmarkEnd w:id="54823"/>
      <w:r>
        <w:rPr>
          <w:rFonts w:hint="cs"/>
          <w:rtl/>
        </w:rPr>
        <w:t xml:space="preserve">העצורים </w:t>
      </w:r>
      <w:bookmarkStart w:id="54824" w:name="_ETM_Q101_511369"/>
      <w:bookmarkEnd w:id="54824"/>
      <w:r>
        <w:rPr>
          <w:rFonts w:hint="cs"/>
          <w:rtl/>
        </w:rPr>
        <w:t xml:space="preserve">יצא. </w:t>
      </w:r>
      <w:bookmarkStart w:id="54825" w:name="_ETM_Q101_511849"/>
      <w:bookmarkEnd w:id="54825"/>
      <w:r>
        <w:rPr>
          <w:rFonts w:hint="cs"/>
          <w:rtl/>
        </w:rPr>
        <w:t xml:space="preserve">ליוויתי </w:t>
      </w:r>
      <w:bookmarkStart w:id="54826" w:name="_ETM_Q101_512210"/>
      <w:bookmarkEnd w:id="54826"/>
      <w:r>
        <w:rPr>
          <w:rFonts w:hint="cs"/>
          <w:rtl/>
        </w:rPr>
        <w:t xml:space="preserve">אותם </w:t>
      </w:r>
      <w:bookmarkStart w:id="54827" w:name="_ETM_Q101_512449"/>
      <w:bookmarkEnd w:id="54827"/>
      <w:r>
        <w:rPr>
          <w:rFonts w:hint="cs"/>
          <w:rtl/>
        </w:rPr>
        <w:t xml:space="preserve">אחד-אחד </w:t>
      </w:r>
      <w:bookmarkStart w:id="54828" w:name="_ETM_Q101_513050"/>
      <w:bookmarkEnd w:id="54828"/>
      <w:r>
        <w:rPr>
          <w:rFonts w:hint="cs"/>
          <w:rtl/>
        </w:rPr>
        <w:t xml:space="preserve">החוצה. </w:t>
      </w:r>
      <w:bookmarkStart w:id="54829" w:name="_ETM_Q101_515480"/>
      <w:bookmarkEnd w:id="54829"/>
      <w:r>
        <w:rPr>
          <w:rFonts w:hint="cs"/>
          <w:rtl/>
        </w:rPr>
        <w:t xml:space="preserve">העצור </w:t>
      </w:r>
      <w:bookmarkStart w:id="54830" w:name="_ETM_Q101_515930"/>
      <w:bookmarkStart w:id="54831" w:name="_ETM_Q101_518142"/>
      <w:bookmarkEnd w:id="54830"/>
      <w:bookmarkEnd w:id="54831"/>
      <w:r>
        <w:rPr>
          <w:rFonts w:hint="cs"/>
          <w:rtl/>
        </w:rPr>
        <w:t xml:space="preserve">הראשון </w:t>
      </w:r>
      <w:bookmarkStart w:id="54832" w:name="_ETM_Q101_516470"/>
      <w:bookmarkStart w:id="54833" w:name="_ETM_Q101_520636"/>
      <w:bookmarkEnd w:id="54832"/>
      <w:bookmarkEnd w:id="54833"/>
      <w:r>
        <w:rPr>
          <w:rFonts w:hint="cs"/>
          <w:rtl/>
        </w:rPr>
        <w:t xml:space="preserve">שיצא </w:t>
      </w:r>
      <w:bookmarkStart w:id="54834" w:name="_ETM_Q101_517339"/>
      <w:bookmarkEnd w:id="54834"/>
      <w:r>
        <w:rPr>
          <w:rFonts w:hint="cs"/>
          <w:rtl/>
        </w:rPr>
        <w:t xml:space="preserve">היה </w:t>
      </w:r>
      <w:bookmarkStart w:id="54835" w:name="_ETM_Q101_517580"/>
      <w:bookmarkEnd w:id="54835"/>
      <w:r>
        <w:rPr>
          <w:rFonts w:hint="cs"/>
          <w:rtl/>
        </w:rPr>
        <w:t xml:space="preserve">בחור </w:t>
      </w:r>
      <w:bookmarkStart w:id="54836" w:name="_ETM_Q101_517940"/>
      <w:bookmarkEnd w:id="54836"/>
      <w:r>
        <w:rPr>
          <w:rFonts w:hint="cs"/>
          <w:rtl/>
        </w:rPr>
        <w:t xml:space="preserve">צעיר </w:t>
      </w:r>
      <w:bookmarkStart w:id="54837" w:name="_ETM_Q101_518330"/>
      <w:bookmarkEnd w:id="54837"/>
      <w:r>
        <w:rPr>
          <w:rFonts w:hint="cs"/>
          <w:rtl/>
        </w:rPr>
        <w:t xml:space="preserve">מאוד </w:t>
      </w:r>
      <w:bookmarkStart w:id="54838" w:name="_ETM_Q101_518690"/>
      <w:bookmarkEnd w:id="54838"/>
      <w:r>
        <w:rPr>
          <w:rFonts w:hint="cs"/>
          <w:rtl/>
        </w:rPr>
        <w:t xml:space="preserve">מאוד </w:t>
      </w:r>
      <w:bookmarkStart w:id="54839" w:name="_ETM_Q101_520760"/>
      <w:bookmarkEnd w:id="54839"/>
      <w:r>
        <w:rPr>
          <w:rFonts w:hint="cs"/>
          <w:rtl/>
        </w:rPr>
        <w:t xml:space="preserve">ששמו </w:t>
      </w:r>
      <w:bookmarkStart w:id="54840" w:name="_ETM_Q101_521210"/>
      <w:bookmarkEnd w:id="54840"/>
      <w:r>
        <w:rPr>
          <w:rFonts w:hint="cs"/>
          <w:rtl/>
        </w:rPr>
        <w:t xml:space="preserve">היה </w:t>
      </w:r>
      <w:bookmarkStart w:id="54841" w:name="_ETM_Q101_521390"/>
      <w:bookmarkEnd w:id="54841"/>
      <w:r>
        <w:rPr>
          <w:rFonts w:hint="cs"/>
          <w:rtl/>
        </w:rPr>
        <w:t xml:space="preserve">מעיין, </w:t>
      </w:r>
      <w:bookmarkStart w:id="54842" w:name="_ETM_Q101_521540"/>
      <w:bookmarkStart w:id="54843" w:name="_ETM_Q101_522610"/>
      <w:bookmarkEnd w:id="54842"/>
      <w:bookmarkEnd w:id="54843"/>
      <w:r>
        <w:rPr>
          <w:rFonts w:hint="cs"/>
          <w:rtl/>
        </w:rPr>
        <w:t xml:space="preserve">הוא </w:t>
      </w:r>
      <w:bookmarkStart w:id="54844" w:name="_ETM_Q101_522850"/>
      <w:bookmarkEnd w:id="54844"/>
      <w:r>
        <w:rPr>
          <w:rFonts w:hint="cs"/>
          <w:rtl/>
        </w:rPr>
        <w:t xml:space="preserve">היה </w:t>
      </w:r>
      <w:bookmarkStart w:id="54845" w:name="_ETM_Q101_523029"/>
      <w:bookmarkEnd w:id="54845"/>
      <w:r>
        <w:rPr>
          <w:rFonts w:hint="cs"/>
          <w:rtl/>
        </w:rPr>
        <w:t xml:space="preserve">קצת </w:t>
      </w:r>
      <w:bookmarkStart w:id="54846" w:name="_ETM_Q101_523510"/>
      <w:bookmarkEnd w:id="54846"/>
      <w:r>
        <w:rPr>
          <w:rFonts w:hint="cs"/>
          <w:rtl/>
        </w:rPr>
        <w:t xml:space="preserve">מבוהל </w:t>
      </w:r>
      <w:bookmarkStart w:id="54847" w:name="_ETM_Q101_523989"/>
      <w:bookmarkEnd w:id="54847"/>
      <w:r>
        <w:rPr>
          <w:rFonts w:hint="cs"/>
          <w:rtl/>
        </w:rPr>
        <w:t xml:space="preserve">מכל </w:t>
      </w:r>
      <w:bookmarkStart w:id="54848" w:name="_ETM_Q101_524320"/>
      <w:bookmarkEnd w:id="54848"/>
      <w:r>
        <w:rPr>
          <w:rFonts w:hint="cs"/>
          <w:rtl/>
        </w:rPr>
        <w:t xml:space="preserve">הסיטואציה. </w:t>
      </w:r>
      <w:bookmarkStart w:id="54849" w:name="_ETM_Q101_526329"/>
      <w:bookmarkStart w:id="54850" w:name="_ETM_Q101_526809"/>
      <w:bookmarkEnd w:id="54849"/>
      <w:bookmarkEnd w:id="54850"/>
      <w:r>
        <w:rPr>
          <w:rFonts w:hint="cs"/>
          <w:rtl/>
        </w:rPr>
        <w:t xml:space="preserve">כשליוויתי </w:t>
      </w:r>
      <w:bookmarkStart w:id="54851" w:name="_ETM_Q101_527079"/>
      <w:bookmarkEnd w:id="54851"/>
      <w:r>
        <w:rPr>
          <w:rFonts w:hint="cs"/>
          <w:rtl/>
        </w:rPr>
        <w:t xml:space="preserve">אותו </w:t>
      </w:r>
      <w:bookmarkStart w:id="54852" w:name="_ETM_Q101_527320"/>
      <w:bookmarkEnd w:id="54852"/>
      <w:r>
        <w:rPr>
          <w:rFonts w:hint="cs"/>
          <w:rtl/>
        </w:rPr>
        <w:t xml:space="preserve">החוצה </w:t>
      </w:r>
      <w:bookmarkStart w:id="54853" w:name="_ETM_Q101_528610"/>
      <w:bookmarkEnd w:id="54853"/>
      <w:r>
        <w:rPr>
          <w:rFonts w:hint="cs"/>
          <w:rtl/>
        </w:rPr>
        <w:t xml:space="preserve">אימא </w:t>
      </w:r>
      <w:bookmarkStart w:id="54854" w:name="_ETM_Q101_528820"/>
      <w:bookmarkEnd w:id="54854"/>
      <w:r>
        <w:rPr>
          <w:rFonts w:hint="cs"/>
          <w:rtl/>
        </w:rPr>
        <w:t xml:space="preserve">שלו </w:t>
      </w:r>
      <w:bookmarkStart w:id="54855" w:name="_ETM_Q101_529060"/>
      <w:bookmarkStart w:id="54856" w:name="_ETM_Q101_529120"/>
      <w:bookmarkEnd w:id="54855"/>
      <w:bookmarkEnd w:id="54856"/>
      <w:r>
        <w:rPr>
          <w:rFonts w:hint="cs"/>
          <w:rtl/>
        </w:rPr>
        <w:t xml:space="preserve">חיכתה </w:t>
      </w:r>
      <w:bookmarkStart w:id="54857" w:name="_ETM_Q101_529480"/>
      <w:bookmarkEnd w:id="54857"/>
      <w:r>
        <w:rPr>
          <w:rFonts w:hint="cs"/>
          <w:rtl/>
        </w:rPr>
        <w:t xml:space="preserve">לו </w:t>
      </w:r>
      <w:bookmarkStart w:id="54858" w:name="_ETM_Q101_529570"/>
      <w:bookmarkEnd w:id="54858"/>
      <w:r>
        <w:rPr>
          <w:rFonts w:hint="cs"/>
          <w:rtl/>
        </w:rPr>
        <w:t xml:space="preserve">בחוץ – </w:t>
      </w:r>
      <w:bookmarkStart w:id="54859" w:name="_ETM_Q101_531559"/>
      <w:bookmarkEnd w:id="54859"/>
      <w:r>
        <w:rPr>
          <w:rFonts w:hint="cs"/>
          <w:rtl/>
        </w:rPr>
        <w:t xml:space="preserve">אגב, אפשר </w:t>
      </w:r>
      <w:bookmarkStart w:id="54860" w:name="_ETM_Q101_532309"/>
      <w:bookmarkEnd w:id="54860"/>
      <w:r>
        <w:rPr>
          <w:rFonts w:hint="cs"/>
          <w:rtl/>
        </w:rPr>
        <w:t xml:space="preserve">לזהות </w:t>
      </w:r>
      <w:bookmarkStart w:id="54861" w:name="_ETM_Q101_532850"/>
      <w:bookmarkEnd w:id="54861"/>
      <w:r>
        <w:rPr>
          <w:rFonts w:hint="cs"/>
          <w:rtl/>
        </w:rPr>
        <w:t xml:space="preserve">בחוץ את </w:t>
      </w:r>
      <w:bookmarkStart w:id="54862" w:name="_ETM_Q101_533029"/>
      <w:bookmarkStart w:id="54863" w:name="_ETM_Q101_533629"/>
      <w:bookmarkStart w:id="54864" w:name="_ETM_Q101_533809"/>
      <w:bookmarkEnd w:id="54862"/>
      <w:bookmarkEnd w:id="54863"/>
      <w:bookmarkEnd w:id="54864"/>
      <w:r>
        <w:rPr>
          <w:rFonts w:hint="cs"/>
          <w:rtl/>
        </w:rPr>
        <w:t xml:space="preserve">בני </w:t>
      </w:r>
      <w:bookmarkStart w:id="54865" w:name="_ETM_Q101_534050"/>
      <w:bookmarkEnd w:id="54865"/>
      <w:r>
        <w:rPr>
          <w:rFonts w:hint="cs"/>
          <w:rtl/>
        </w:rPr>
        <w:t xml:space="preserve">המשפחה </w:t>
      </w:r>
      <w:bookmarkStart w:id="54866" w:name="_ETM_Q101_534769"/>
      <w:bookmarkStart w:id="54867" w:name="_ETM_Q101_535190"/>
      <w:bookmarkEnd w:id="54866"/>
      <w:bookmarkEnd w:id="54867"/>
      <w:r>
        <w:rPr>
          <w:rFonts w:hint="cs"/>
          <w:rtl/>
        </w:rPr>
        <w:t xml:space="preserve">שממתינים </w:t>
      </w:r>
      <w:bookmarkStart w:id="54868" w:name="_ETM_Q101_535879"/>
      <w:bookmarkEnd w:id="54868"/>
      <w:r>
        <w:rPr>
          <w:rFonts w:hint="cs"/>
          <w:rtl/>
        </w:rPr>
        <w:t xml:space="preserve">בקלות </w:t>
      </w:r>
      <w:bookmarkStart w:id="54869" w:name="_ETM_Q101_536329"/>
      <w:bookmarkEnd w:id="54869"/>
      <w:r>
        <w:rPr>
          <w:rFonts w:hint="cs"/>
          <w:rtl/>
        </w:rPr>
        <w:t xml:space="preserve">רבה, </w:t>
      </w:r>
      <w:bookmarkStart w:id="54870" w:name="_ETM_Q101_536750"/>
      <w:bookmarkEnd w:id="54870"/>
      <w:r>
        <w:rPr>
          <w:rFonts w:hint="cs"/>
          <w:rtl/>
        </w:rPr>
        <w:t xml:space="preserve">רואים </w:t>
      </w:r>
      <w:bookmarkStart w:id="54871" w:name="_ETM_Q101_537050"/>
      <w:bookmarkEnd w:id="54871"/>
      <w:r>
        <w:rPr>
          <w:rFonts w:hint="cs"/>
          <w:rtl/>
        </w:rPr>
        <w:t xml:space="preserve">את </w:t>
      </w:r>
      <w:bookmarkStart w:id="54872" w:name="_ETM_Q101_537199"/>
      <w:bookmarkEnd w:id="54872"/>
      <w:r>
        <w:rPr>
          <w:rFonts w:hint="cs"/>
          <w:rtl/>
        </w:rPr>
        <w:t xml:space="preserve">המבט </w:t>
      </w:r>
      <w:bookmarkStart w:id="54873" w:name="_ETM_Q101_537890"/>
      <w:bookmarkEnd w:id="54873"/>
      <w:r>
        <w:rPr>
          <w:rFonts w:hint="cs"/>
          <w:rtl/>
        </w:rPr>
        <w:t xml:space="preserve">המודאג </w:t>
      </w:r>
      <w:bookmarkStart w:id="54874" w:name="_ETM_Q101_538430"/>
      <w:bookmarkEnd w:id="54874"/>
      <w:r>
        <w:rPr>
          <w:rFonts w:hint="cs"/>
          <w:rtl/>
        </w:rPr>
        <w:t xml:space="preserve">בעיניים. </w:t>
      </w:r>
      <w:bookmarkStart w:id="54875" w:name="_ETM_Q101_539579"/>
      <w:bookmarkEnd w:id="54875"/>
      <w:r>
        <w:rPr>
          <w:rFonts w:hint="cs"/>
          <w:rtl/>
        </w:rPr>
        <w:t xml:space="preserve">היו </w:t>
      </w:r>
      <w:bookmarkStart w:id="54876" w:name="_ETM_Q101_539820"/>
      <w:bookmarkEnd w:id="54876"/>
      <w:r>
        <w:rPr>
          <w:rFonts w:hint="cs"/>
          <w:rtl/>
        </w:rPr>
        <w:t xml:space="preserve">שם </w:t>
      </w:r>
      <w:bookmarkStart w:id="54877" w:name="_ETM_Q101_540029"/>
      <w:bookmarkEnd w:id="54877"/>
      <w:r>
        <w:rPr>
          <w:rFonts w:hint="cs"/>
          <w:rtl/>
        </w:rPr>
        <w:t xml:space="preserve">עוד </w:t>
      </w:r>
      <w:bookmarkStart w:id="54878" w:name="_ETM_Q101_540180"/>
      <w:bookmarkEnd w:id="54878"/>
      <w:r>
        <w:rPr>
          <w:rFonts w:hint="cs"/>
          <w:rtl/>
        </w:rPr>
        <w:t xml:space="preserve">כמה </w:t>
      </w:r>
      <w:bookmarkStart w:id="54879" w:name="_ETM_Q101_540480"/>
      <w:bookmarkEnd w:id="54879"/>
      <w:r>
        <w:rPr>
          <w:rFonts w:hint="cs"/>
          <w:rtl/>
        </w:rPr>
        <w:t>כאלה</w:t>
      </w:r>
      <w:r w:rsidR="0018073C">
        <w:rPr>
          <w:rFonts w:hint="cs"/>
          <w:rtl/>
        </w:rPr>
        <w:t>.</w:t>
      </w:r>
      <w:r>
        <w:rPr>
          <w:rFonts w:hint="cs"/>
          <w:rtl/>
        </w:rPr>
        <w:t xml:space="preserve"> </w:t>
      </w:r>
      <w:bookmarkStart w:id="54880" w:name="_ETM_Q101_542600"/>
      <w:bookmarkEnd w:id="54880"/>
      <w:r>
        <w:rPr>
          <w:rFonts w:hint="cs"/>
          <w:rtl/>
        </w:rPr>
        <w:t xml:space="preserve">היא </w:t>
      </w:r>
      <w:bookmarkStart w:id="54881" w:name="_ETM_Q101_542870"/>
      <w:bookmarkEnd w:id="54881"/>
      <w:r>
        <w:rPr>
          <w:rFonts w:hint="cs"/>
          <w:rtl/>
        </w:rPr>
        <w:t xml:space="preserve">כמובן </w:t>
      </w:r>
      <w:bookmarkStart w:id="54882" w:name="_ETM_Q101_543289"/>
      <w:bookmarkEnd w:id="54882"/>
      <w:r>
        <w:rPr>
          <w:rFonts w:hint="cs"/>
          <w:rtl/>
        </w:rPr>
        <w:t xml:space="preserve">חיבקה </w:t>
      </w:r>
      <w:bookmarkStart w:id="54883" w:name="_ETM_Q101_543710"/>
      <w:bookmarkEnd w:id="54883"/>
      <w:r>
        <w:rPr>
          <w:rFonts w:hint="cs"/>
          <w:rtl/>
        </w:rPr>
        <w:t xml:space="preserve">אותו </w:t>
      </w:r>
      <w:bookmarkStart w:id="54884" w:name="_ETM_Q101_543890"/>
      <w:bookmarkEnd w:id="54884"/>
      <w:r>
        <w:rPr>
          <w:rFonts w:hint="cs"/>
          <w:rtl/>
        </w:rPr>
        <w:t xml:space="preserve">ושמחה </w:t>
      </w:r>
      <w:bookmarkStart w:id="54885" w:name="_ETM_Q101_544430"/>
      <w:bookmarkEnd w:id="54885"/>
      <w:r>
        <w:rPr>
          <w:rFonts w:hint="cs"/>
          <w:rtl/>
        </w:rPr>
        <w:t xml:space="preserve">מאוד </w:t>
      </w:r>
      <w:bookmarkStart w:id="54886" w:name="_ETM_Q101_545600"/>
      <w:bookmarkEnd w:id="54886"/>
      <w:r>
        <w:rPr>
          <w:rFonts w:hint="cs"/>
          <w:rtl/>
        </w:rPr>
        <w:t xml:space="preserve">שהוא </w:t>
      </w:r>
      <w:bookmarkStart w:id="54887" w:name="_ETM_Q101_545960"/>
      <w:bookmarkEnd w:id="54887"/>
      <w:r>
        <w:rPr>
          <w:rFonts w:hint="cs"/>
          <w:rtl/>
        </w:rPr>
        <w:t xml:space="preserve">יצא. </w:t>
      </w:r>
      <w:bookmarkStart w:id="54888" w:name="_ETM_Q101_547119"/>
      <w:bookmarkEnd w:id="54888"/>
      <w:r>
        <w:rPr>
          <w:rFonts w:hint="cs"/>
          <w:rtl/>
        </w:rPr>
        <w:t xml:space="preserve">חזרתי </w:t>
      </w:r>
      <w:bookmarkStart w:id="54889" w:name="_ETM_Q101_547720"/>
      <w:bookmarkEnd w:id="54889"/>
      <w:r>
        <w:rPr>
          <w:rFonts w:hint="cs"/>
          <w:rtl/>
        </w:rPr>
        <w:t xml:space="preserve">פנימה </w:t>
      </w:r>
      <w:bookmarkStart w:id="54890" w:name="_ETM_Q101_548049"/>
      <w:bookmarkEnd w:id="54890"/>
      <w:r>
        <w:rPr>
          <w:rFonts w:hint="cs"/>
          <w:rtl/>
        </w:rPr>
        <w:t xml:space="preserve">לתוך </w:t>
      </w:r>
      <w:bookmarkStart w:id="54891" w:name="_ETM_Q101_549070"/>
      <w:bookmarkEnd w:id="54891"/>
      <w:r>
        <w:rPr>
          <w:rFonts w:hint="cs"/>
          <w:rtl/>
        </w:rPr>
        <w:t xml:space="preserve">התחנה </w:t>
      </w:r>
      <w:bookmarkStart w:id="54892" w:name="_ETM_Q101_549460"/>
      <w:bookmarkEnd w:id="54892"/>
      <w:r>
        <w:rPr>
          <w:rFonts w:hint="cs"/>
          <w:rtl/>
        </w:rPr>
        <w:t xml:space="preserve">והמשכתי </w:t>
      </w:r>
      <w:bookmarkStart w:id="54893" w:name="_ETM_Q101_549970"/>
      <w:bookmarkEnd w:id="54893"/>
      <w:r>
        <w:rPr>
          <w:rFonts w:hint="cs"/>
          <w:rtl/>
        </w:rPr>
        <w:t xml:space="preserve">ללוות </w:t>
      </w:r>
      <w:bookmarkStart w:id="54894" w:name="_ETM_Q101_550390"/>
      <w:bookmarkEnd w:id="54894"/>
      <w:r>
        <w:rPr>
          <w:rFonts w:hint="cs"/>
          <w:rtl/>
        </w:rPr>
        <w:t xml:space="preserve">את </w:t>
      </w:r>
      <w:bookmarkStart w:id="54895" w:name="_ETM_Q101_550510"/>
      <w:bookmarkEnd w:id="54895"/>
      <w:r>
        <w:rPr>
          <w:rFonts w:hint="cs"/>
          <w:rtl/>
        </w:rPr>
        <w:t xml:space="preserve">העצורים </w:t>
      </w:r>
      <w:bookmarkStart w:id="54896" w:name="_ETM_Q101_550960"/>
      <w:bookmarkEnd w:id="54896"/>
      <w:r>
        <w:rPr>
          <w:rFonts w:hint="cs"/>
          <w:rtl/>
        </w:rPr>
        <w:t xml:space="preserve">אחד-אחד </w:t>
      </w:r>
      <w:bookmarkStart w:id="54897" w:name="_ETM_Q101_551529"/>
      <w:bookmarkEnd w:id="54897"/>
      <w:r>
        <w:rPr>
          <w:rFonts w:hint="cs"/>
          <w:rtl/>
        </w:rPr>
        <w:t xml:space="preserve">אחרי </w:t>
      </w:r>
      <w:bookmarkStart w:id="54898" w:name="_ETM_Q101_551770"/>
      <w:bookmarkEnd w:id="54898"/>
      <w:r>
        <w:rPr>
          <w:rFonts w:hint="cs"/>
          <w:rtl/>
        </w:rPr>
        <w:t xml:space="preserve">שהם </w:t>
      </w:r>
      <w:bookmarkStart w:id="54899" w:name="_ETM_Q101_552220"/>
      <w:bookmarkEnd w:id="54899"/>
      <w:r>
        <w:rPr>
          <w:rFonts w:hint="cs"/>
          <w:rtl/>
        </w:rPr>
        <w:t xml:space="preserve">השתחררו. </w:t>
      </w:r>
      <w:bookmarkStart w:id="54900" w:name="_ETM_Q101_553779"/>
      <w:bookmarkEnd w:id="54900"/>
    </w:p>
    <w:p w:rsidR="00BB59CD" w:rsidRDefault="00BB59CD" w:rsidP="00BB59CD">
      <w:pPr>
        <w:rPr>
          <w:rtl/>
        </w:rPr>
      </w:pPr>
    </w:p>
    <w:p w:rsidR="00BB59CD" w:rsidRDefault="00BB59CD" w:rsidP="0018073C">
      <w:pPr>
        <w:rPr>
          <w:rtl/>
        </w:rPr>
      </w:pPr>
      <w:r>
        <w:rPr>
          <w:rFonts w:hint="cs"/>
          <w:rtl/>
        </w:rPr>
        <w:t xml:space="preserve">עצור </w:t>
      </w:r>
      <w:bookmarkStart w:id="54901" w:name="_ETM_Q101_554590"/>
      <w:bookmarkEnd w:id="54901"/>
      <w:r>
        <w:rPr>
          <w:rFonts w:hint="cs"/>
          <w:rtl/>
        </w:rPr>
        <w:t xml:space="preserve">אחד </w:t>
      </w:r>
      <w:bookmarkStart w:id="54902" w:name="_ETM_Q101_554920"/>
      <w:bookmarkEnd w:id="54902"/>
      <w:r>
        <w:rPr>
          <w:rFonts w:hint="cs"/>
          <w:rtl/>
        </w:rPr>
        <w:t xml:space="preserve">לפני </w:t>
      </w:r>
      <w:bookmarkStart w:id="54903" w:name="_ETM_Q101_555250"/>
      <w:bookmarkEnd w:id="54903"/>
      <w:r>
        <w:rPr>
          <w:rFonts w:hint="cs"/>
          <w:rtl/>
        </w:rPr>
        <w:t xml:space="preserve">האחרון, </w:t>
      </w:r>
      <w:bookmarkStart w:id="54904" w:name="_ETM_Q101_557759"/>
      <w:bookmarkEnd w:id="54904"/>
      <w:r>
        <w:rPr>
          <w:rFonts w:hint="cs"/>
          <w:rtl/>
        </w:rPr>
        <w:t xml:space="preserve">ששמו </w:t>
      </w:r>
      <w:bookmarkStart w:id="54905" w:name="_ETM_Q101_558180"/>
      <w:bookmarkEnd w:id="54905"/>
      <w:r>
        <w:rPr>
          <w:rFonts w:hint="cs"/>
          <w:rtl/>
        </w:rPr>
        <w:t xml:space="preserve">היה </w:t>
      </w:r>
      <w:bookmarkStart w:id="54906" w:name="_ETM_Q101_558390"/>
      <w:bookmarkEnd w:id="54906"/>
      <w:r>
        <w:rPr>
          <w:rFonts w:hint="cs"/>
          <w:rtl/>
        </w:rPr>
        <w:t xml:space="preserve">דותן, </w:t>
      </w:r>
      <w:bookmarkStart w:id="54907" w:name="_ETM_Q101_560240"/>
      <w:bookmarkEnd w:id="54907"/>
      <w:r>
        <w:rPr>
          <w:rFonts w:hint="cs"/>
          <w:rtl/>
        </w:rPr>
        <w:t xml:space="preserve">יצא. </w:t>
      </w:r>
      <w:bookmarkStart w:id="54908" w:name="_ETM_Q101_561200"/>
      <w:bookmarkEnd w:id="54908"/>
      <w:r>
        <w:rPr>
          <w:rFonts w:hint="cs"/>
          <w:rtl/>
        </w:rPr>
        <w:t xml:space="preserve">קודם </w:t>
      </w:r>
      <w:bookmarkStart w:id="54909" w:name="_ETM_Q101_561500"/>
      <w:bookmarkEnd w:id="54909"/>
      <w:r>
        <w:rPr>
          <w:rFonts w:hint="cs"/>
          <w:rtl/>
        </w:rPr>
        <w:t xml:space="preserve">כול, </w:t>
      </w:r>
      <w:bookmarkStart w:id="54910" w:name="_ETM_Q101_561679"/>
      <w:bookmarkEnd w:id="54910"/>
      <w:r>
        <w:rPr>
          <w:rFonts w:hint="cs"/>
          <w:rtl/>
        </w:rPr>
        <w:t xml:space="preserve">הוא </w:t>
      </w:r>
      <w:bookmarkStart w:id="54911" w:name="_ETM_Q101_561740"/>
      <w:bookmarkEnd w:id="54911"/>
      <w:r>
        <w:rPr>
          <w:rFonts w:hint="cs"/>
          <w:rtl/>
        </w:rPr>
        <w:t xml:space="preserve">היה </w:t>
      </w:r>
      <w:bookmarkStart w:id="54912" w:name="_ETM_Q101_562070"/>
      <w:bookmarkEnd w:id="54912"/>
      <w:r>
        <w:rPr>
          <w:rFonts w:hint="cs"/>
          <w:rtl/>
        </w:rPr>
        <w:t xml:space="preserve">יחף, </w:t>
      </w:r>
      <w:bookmarkStart w:id="54913" w:name="_ETM_Q101_564800"/>
      <w:bookmarkEnd w:id="54913"/>
      <w:r>
        <w:rPr>
          <w:rFonts w:hint="cs"/>
          <w:rtl/>
        </w:rPr>
        <w:t xml:space="preserve">והשאלה </w:t>
      </w:r>
      <w:bookmarkStart w:id="54914" w:name="_ETM_Q101_565279"/>
      <w:bookmarkEnd w:id="54914"/>
      <w:r>
        <w:rPr>
          <w:rFonts w:hint="cs"/>
          <w:rtl/>
        </w:rPr>
        <w:t xml:space="preserve">הראשונה </w:t>
      </w:r>
      <w:bookmarkStart w:id="54915" w:name="_ETM_Q101_565670"/>
      <w:bookmarkEnd w:id="54915"/>
      <w:r>
        <w:rPr>
          <w:rFonts w:hint="cs"/>
          <w:rtl/>
        </w:rPr>
        <w:t xml:space="preserve">שהוא </w:t>
      </w:r>
      <w:bookmarkStart w:id="54916" w:name="_ETM_Q101_565850"/>
      <w:bookmarkEnd w:id="54916"/>
      <w:r>
        <w:rPr>
          <w:rFonts w:hint="cs"/>
          <w:rtl/>
        </w:rPr>
        <w:t xml:space="preserve">שאל </w:t>
      </w:r>
      <w:bookmarkStart w:id="54917" w:name="_ETM_Q101_566210"/>
      <w:bookmarkEnd w:id="54917"/>
      <w:r>
        <w:rPr>
          <w:rFonts w:hint="cs"/>
          <w:rtl/>
        </w:rPr>
        <w:t xml:space="preserve">אותי </w:t>
      </w:r>
      <w:bookmarkStart w:id="54918" w:name="_ETM_Q101_566960"/>
      <w:bookmarkEnd w:id="54918"/>
      <w:r>
        <w:rPr>
          <w:rFonts w:hint="cs"/>
          <w:rtl/>
        </w:rPr>
        <w:t xml:space="preserve">זה: </w:t>
      </w:r>
      <w:bookmarkStart w:id="54919" w:name="_ETM_Q101_567290"/>
      <w:bookmarkEnd w:id="54919"/>
      <w:r>
        <w:rPr>
          <w:rFonts w:hint="cs"/>
          <w:rtl/>
        </w:rPr>
        <w:t xml:space="preserve">איפה </w:t>
      </w:r>
      <w:bookmarkStart w:id="54920" w:name="_ETM_Q101_567529"/>
      <w:bookmarkEnd w:id="54920"/>
      <w:r>
        <w:rPr>
          <w:rFonts w:hint="cs"/>
          <w:rtl/>
        </w:rPr>
        <w:t xml:space="preserve">הבן </w:t>
      </w:r>
      <w:bookmarkStart w:id="54921" w:name="_ETM_Q101_567800"/>
      <w:bookmarkEnd w:id="54921"/>
      <w:r>
        <w:rPr>
          <w:rFonts w:hint="cs"/>
          <w:rtl/>
        </w:rPr>
        <w:t xml:space="preserve">שלי? </w:t>
      </w:r>
      <w:bookmarkStart w:id="54922" w:name="_ETM_Q101_568370"/>
      <w:bookmarkEnd w:id="54922"/>
      <w:r>
        <w:rPr>
          <w:rFonts w:hint="cs"/>
          <w:rtl/>
        </w:rPr>
        <w:t xml:space="preserve">גם </w:t>
      </w:r>
      <w:bookmarkStart w:id="54923" w:name="_ETM_Q101_568730"/>
      <w:bookmarkEnd w:id="54923"/>
      <w:r>
        <w:rPr>
          <w:rFonts w:hint="cs"/>
          <w:rtl/>
        </w:rPr>
        <w:t xml:space="preserve">הבן </w:t>
      </w:r>
      <w:bookmarkStart w:id="54924" w:name="_ETM_Q101_569000"/>
      <w:bookmarkEnd w:id="54924"/>
      <w:r>
        <w:rPr>
          <w:rFonts w:hint="cs"/>
          <w:rtl/>
        </w:rPr>
        <w:t xml:space="preserve">שלי </w:t>
      </w:r>
      <w:bookmarkStart w:id="54925" w:name="_ETM_Q101_569480"/>
      <w:bookmarkEnd w:id="54925"/>
      <w:r>
        <w:rPr>
          <w:rFonts w:hint="cs"/>
          <w:rtl/>
        </w:rPr>
        <w:t xml:space="preserve">נעצר </w:t>
      </w:r>
      <w:bookmarkStart w:id="54926" w:name="_ETM_Q101_569930"/>
      <w:bookmarkEnd w:id="54926"/>
      <w:r>
        <w:rPr>
          <w:rFonts w:hint="cs"/>
          <w:rtl/>
        </w:rPr>
        <w:t xml:space="preserve">ואני </w:t>
      </w:r>
      <w:bookmarkStart w:id="54927" w:name="_ETM_Q101_570140"/>
      <w:bookmarkEnd w:id="54927"/>
      <w:r>
        <w:rPr>
          <w:rFonts w:hint="cs"/>
          <w:rtl/>
        </w:rPr>
        <w:t xml:space="preserve">רוצה </w:t>
      </w:r>
      <w:bookmarkStart w:id="54928" w:name="_ETM_Q101_570350"/>
      <w:bookmarkEnd w:id="54928"/>
      <w:r>
        <w:rPr>
          <w:rFonts w:hint="cs"/>
          <w:rtl/>
        </w:rPr>
        <w:t xml:space="preserve">לדעת </w:t>
      </w:r>
      <w:bookmarkStart w:id="54929" w:name="_ETM_Q101_570650"/>
      <w:bookmarkEnd w:id="54929"/>
      <w:r>
        <w:rPr>
          <w:rFonts w:hint="cs"/>
          <w:rtl/>
        </w:rPr>
        <w:t xml:space="preserve">שהוא </w:t>
      </w:r>
      <w:bookmarkStart w:id="54930" w:name="_ETM_Q101_570800"/>
      <w:bookmarkEnd w:id="54930"/>
      <w:r>
        <w:rPr>
          <w:rFonts w:hint="cs"/>
          <w:rtl/>
        </w:rPr>
        <w:t xml:space="preserve">בסדר. </w:t>
      </w:r>
      <w:bookmarkStart w:id="54931" w:name="_ETM_Q101_572469"/>
      <w:bookmarkEnd w:id="54931"/>
      <w:r>
        <w:rPr>
          <w:rFonts w:hint="cs"/>
          <w:rtl/>
        </w:rPr>
        <w:t xml:space="preserve">הוא </w:t>
      </w:r>
      <w:bookmarkStart w:id="54932" w:name="_ETM_Q101_572589"/>
      <w:bookmarkEnd w:id="54932"/>
      <w:r>
        <w:rPr>
          <w:rFonts w:hint="cs"/>
          <w:rtl/>
        </w:rPr>
        <w:t xml:space="preserve">אמר </w:t>
      </w:r>
      <w:bookmarkStart w:id="54933" w:name="_ETM_Q101_572829"/>
      <w:bookmarkEnd w:id="54933"/>
      <w:r>
        <w:rPr>
          <w:rFonts w:hint="cs"/>
          <w:rtl/>
        </w:rPr>
        <w:t xml:space="preserve">לי </w:t>
      </w:r>
      <w:bookmarkStart w:id="54934" w:name="_ETM_Q101_572950"/>
      <w:bookmarkEnd w:id="54934"/>
      <w:r>
        <w:rPr>
          <w:rFonts w:hint="cs"/>
          <w:rtl/>
        </w:rPr>
        <w:t xml:space="preserve">את </w:t>
      </w:r>
      <w:bookmarkStart w:id="54935" w:name="_ETM_Q101_573039"/>
      <w:bookmarkEnd w:id="54935"/>
      <w:r>
        <w:rPr>
          <w:rFonts w:hint="cs"/>
          <w:rtl/>
        </w:rPr>
        <w:t xml:space="preserve">השם </w:t>
      </w:r>
      <w:bookmarkStart w:id="54936" w:name="_ETM_Q101_573339"/>
      <w:bookmarkEnd w:id="54936"/>
      <w:r>
        <w:rPr>
          <w:rFonts w:hint="cs"/>
          <w:rtl/>
        </w:rPr>
        <w:t xml:space="preserve">שלו, </w:t>
      </w:r>
      <w:bookmarkStart w:id="54937" w:name="_ETM_Q101_573640"/>
      <w:bookmarkEnd w:id="54937"/>
      <w:r>
        <w:rPr>
          <w:rFonts w:hint="cs"/>
          <w:rtl/>
        </w:rPr>
        <w:t xml:space="preserve">הוא </w:t>
      </w:r>
      <w:bookmarkStart w:id="54938" w:name="_ETM_Q101_573700"/>
      <w:bookmarkEnd w:id="54938"/>
      <w:r>
        <w:rPr>
          <w:rFonts w:hint="cs"/>
          <w:rtl/>
        </w:rPr>
        <w:t xml:space="preserve">אמר </w:t>
      </w:r>
      <w:bookmarkStart w:id="54939" w:name="_ETM_Q101_573909"/>
      <w:bookmarkEnd w:id="54939"/>
      <w:r>
        <w:rPr>
          <w:rFonts w:hint="cs"/>
          <w:rtl/>
        </w:rPr>
        <w:t xml:space="preserve">לי </w:t>
      </w:r>
      <w:bookmarkStart w:id="54940" w:name="_ETM_Q101_574029"/>
      <w:bookmarkEnd w:id="54940"/>
      <w:r>
        <w:rPr>
          <w:rFonts w:hint="cs"/>
          <w:rtl/>
        </w:rPr>
        <w:t xml:space="preserve">ששמו </w:t>
      </w:r>
      <w:bookmarkStart w:id="54941" w:name="_ETM_Q101_574600"/>
      <w:bookmarkEnd w:id="54941"/>
      <w:r>
        <w:rPr>
          <w:rFonts w:hint="cs"/>
          <w:rtl/>
        </w:rPr>
        <w:t xml:space="preserve">מעיין, </w:t>
      </w:r>
      <w:bookmarkStart w:id="54942" w:name="_ETM_Q101_576369"/>
      <w:bookmarkEnd w:id="54942"/>
      <w:r>
        <w:rPr>
          <w:rFonts w:hint="cs"/>
          <w:rtl/>
        </w:rPr>
        <w:t xml:space="preserve">ומייד </w:t>
      </w:r>
      <w:bookmarkStart w:id="54943" w:name="_ETM_Q101_577240"/>
      <w:bookmarkEnd w:id="54943"/>
      <w:r>
        <w:rPr>
          <w:rFonts w:hint="cs"/>
          <w:rtl/>
        </w:rPr>
        <w:t xml:space="preserve">אמרתי </w:t>
      </w:r>
      <w:bookmarkStart w:id="54944" w:name="_ETM_Q101_577659"/>
      <w:bookmarkEnd w:id="54944"/>
      <w:r>
        <w:rPr>
          <w:rFonts w:hint="cs"/>
          <w:rtl/>
        </w:rPr>
        <w:t xml:space="preserve">לו: מעיין </w:t>
      </w:r>
      <w:bookmarkStart w:id="54945" w:name="_ETM_Q101_577810"/>
      <w:bookmarkStart w:id="54946" w:name="_ETM_Q101_577960"/>
      <w:bookmarkStart w:id="54947" w:name="_ETM_Q101_578200"/>
      <w:bookmarkEnd w:id="54945"/>
      <w:bookmarkEnd w:id="54946"/>
      <w:bookmarkEnd w:id="54947"/>
      <w:r>
        <w:rPr>
          <w:rFonts w:hint="cs"/>
          <w:rtl/>
        </w:rPr>
        <w:t xml:space="preserve">כבר </w:t>
      </w:r>
      <w:bookmarkStart w:id="54948" w:name="_ETM_Q101_578439"/>
      <w:bookmarkEnd w:id="54948"/>
      <w:r>
        <w:rPr>
          <w:rFonts w:hint="cs"/>
          <w:rtl/>
        </w:rPr>
        <w:t xml:space="preserve">בחוץ, </w:t>
      </w:r>
      <w:bookmarkStart w:id="54949" w:name="_ETM_Q101_579039"/>
      <w:bookmarkEnd w:id="54949"/>
      <w:r>
        <w:rPr>
          <w:rFonts w:hint="cs"/>
          <w:rtl/>
        </w:rPr>
        <w:t xml:space="preserve">והוא </w:t>
      </w:r>
      <w:bookmarkStart w:id="54950" w:name="_ETM_Q101_579670"/>
      <w:bookmarkEnd w:id="54950"/>
      <w:r>
        <w:rPr>
          <w:rFonts w:hint="cs"/>
          <w:rtl/>
        </w:rPr>
        <w:t xml:space="preserve">ואשתך </w:t>
      </w:r>
      <w:bookmarkStart w:id="54951" w:name="_ETM_Q101_580240"/>
      <w:bookmarkEnd w:id="54951"/>
      <w:r>
        <w:rPr>
          <w:rFonts w:hint="cs"/>
          <w:rtl/>
        </w:rPr>
        <w:t xml:space="preserve">מחכים </w:t>
      </w:r>
      <w:bookmarkStart w:id="54952" w:name="_ETM_Q101_580659"/>
      <w:bookmarkEnd w:id="54952"/>
      <w:r>
        <w:rPr>
          <w:rFonts w:hint="cs"/>
          <w:rtl/>
        </w:rPr>
        <w:t xml:space="preserve">לך </w:t>
      </w:r>
      <w:bookmarkStart w:id="54953" w:name="_ETM_Q101_581200"/>
      <w:bookmarkEnd w:id="54953"/>
      <w:r>
        <w:rPr>
          <w:rFonts w:hint="cs"/>
          <w:rtl/>
        </w:rPr>
        <w:t xml:space="preserve">בחוץ. </w:t>
      </w:r>
      <w:bookmarkStart w:id="54954" w:name="_ETM_Q101_581560"/>
      <w:bookmarkEnd w:id="54954"/>
      <w:r>
        <w:rPr>
          <w:rFonts w:hint="cs"/>
          <w:rtl/>
        </w:rPr>
        <w:t xml:space="preserve">הכול </w:t>
      </w:r>
      <w:bookmarkStart w:id="54955" w:name="_ETM_Q101_581799"/>
      <w:bookmarkEnd w:id="54955"/>
      <w:r>
        <w:rPr>
          <w:rFonts w:hint="cs"/>
          <w:rtl/>
        </w:rPr>
        <w:t xml:space="preserve">בסדר, </w:t>
      </w:r>
      <w:bookmarkStart w:id="54956" w:name="_ETM_Q101_582279"/>
      <w:bookmarkEnd w:id="54956"/>
      <w:r>
        <w:rPr>
          <w:rFonts w:hint="cs"/>
          <w:rtl/>
        </w:rPr>
        <w:t xml:space="preserve">אל </w:t>
      </w:r>
      <w:bookmarkStart w:id="54957" w:name="_ETM_Q101_582399"/>
      <w:bookmarkEnd w:id="54957"/>
      <w:r>
        <w:rPr>
          <w:rFonts w:hint="cs"/>
          <w:rtl/>
        </w:rPr>
        <w:t xml:space="preserve">תדאג. </w:t>
      </w:r>
      <w:bookmarkStart w:id="54958" w:name="_ETM_Q101_583799"/>
      <w:bookmarkEnd w:id="54958"/>
      <w:r>
        <w:rPr>
          <w:rFonts w:hint="cs"/>
          <w:rtl/>
        </w:rPr>
        <w:t xml:space="preserve">ליוויתי </w:t>
      </w:r>
      <w:bookmarkStart w:id="54959" w:name="_ETM_Q101_584219"/>
      <w:bookmarkEnd w:id="54959"/>
      <w:r>
        <w:rPr>
          <w:rFonts w:hint="cs"/>
          <w:rtl/>
        </w:rPr>
        <w:t xml:space="preserve">אותו </w:t>
      </w:r>
      <w:bookmarkStart w:id="54960" w:name="_ETM_Q101_584399"/>
      <w:bookmarkEnd w:id="54960"/>
      <w:r>
        <w:rPr>
          <w:rFonts w:hint="cs"/>
          <w:rtl/>
        </w:rPr>
        <w:t xml:space="preserve">החוצה, </w:t>
      </w:r>
      <w:bookmarkStart w:id="54961" w:name="_ETM_Q101_586150"/>
      <w:bookmarkEnd w:id="54961"/>
      <w:r>
        <w:rPr>
          <w:rFonts w:hint="cs"/>
          <w:rtl/>
        </w:rPr>
        <w:t xml:space="preserve">ובאמת </w:t>
      </w:r>
      <w:bookmarkStart w:id="54962" w:name="_ETM_Q101_586839"/>
      <w:bookmarkEnd w:id="54962"/>
      <w:r>
        <w:rPr>
          <w:rFonts w:hint="cs"/>
          <w:rtl/>
        </w:rPr>
        <w:t xml:space="preserve">שהרגע </w:t>
      </w:r>
      <w:bookmarkStart w:id="54963" w:name="_ETM_Q101_587680"/>
      <w:bookmarkEnd w:id="54963"/>
      <w:r>
        <w:rPr>
          <w:rFonts w:hint="cs"/>
          <w:rtl/>
        </w:rPr>
        <w:t xml:space="preserve">הזה, </w:t>
      </w:r>
      <w:bookmarkStart w:id="54964" w:name="_ETM_Q101_588279"/>
      <w:bookmarkEnd w:id="54964"/>
      <w:r>
        <w:rPr>
          <w:rFonts w:hint="cs"/>
          <w:rtl/>
        </w:rPr>
        <w:t xml:space="preserve">הרגע </w:t>
      </w:r>
      <w:bookmarkStart w:id="54965" w:name="_ETM_Q101_588730"/>
      <w:bookmarkEnd w:id="54965"/>
      <w:r>
        <w:rPr>
          <w:rFonts w:hint="cs"/>
          <w:rtl/>
        </w:rPr>
        <w:t xml:space="preserve">הזה </w:t>
      </w:r>
      <w:bookmarkStart w:id="54966" w:name="_ETM_Q101_588970"/>
      <w:bookmarkEnd w:id="54966"/>
      <w:r>
        <w:rPr>
          <w:rFonts w:hint="cs"/>
          <w:rtl/>
        </w:rPr>
        <w:t xml:space="preserve">של </w:t>
      </w:r>
      <w:bookmarkStart w:id="54967" w:name="_ETM_Q101_589180"/>
      <w:bookmarkEnd w:id="54967"/>
      <w:r>
        <w:rPr>
          <w:rFonts w:hint="cs"/>
          <w:rtl/>
        </w:rPr>
        <w:t xml:space="preserve">המפגש </w:t>
      </w:r>
      <w:bookmarkStart w:id="54968" w:name="_ETM_Q101_589720"/>
      <w:bookmarkEnd w:id="54968"/>
      <w:r>
        <w:rPr>
          <w:rFonts w:hint="cs"/>
          <w:rtl/>
        </w:rPr>
        <w:t xml:space="preserve">של </w:t>
      </w:r>
      <w:bookmarkStart w:id="54969" w:name="_ETM_Q101_589870"/>
      <w:bookmarkEnd w:id="54969"/>
      <w:r>
        <w:rPr>
          <w:rFonts w:hint="cs"/>
          <w:rtl/>
        </w:rPr>
        <w:t xml:space="preserve">שלושתם, </w:t>
      </w:r>
      <w:bookmarkStart w:id="54970" w:name="_ETM_Q101_591719"/>
      <w:bookmarkEnd w:id="54970"/>
      <w:r>
        <w:rPr>
          <w:rFonts w:hint="cs"/>
          <w:rtl/>
        </w:rPr>
        <w:t xml:space="preserve">שהם </w:t>
      </w:r>
      <w:bookmarkStart w:id="54971" w:name="_ETM_Q101_592079"/>
      <w:bookmarkEnd w:id="54971"/>
      <w:r>
        <w:rPr>
          <w:rFonts w:hint="cs"/>
          <w:rtl/>
        </w:rPr>
        <w:t xml:space="preserve">עמדו </w:t>
      </w:r>
      <w:bookmarkStart w:id="54972" w:name="_ETM_Q101_592380"/>
      <w:bookmarkEnd w:id="54972"/>
      <w:r>
        <w:rPr>
          <w:rFonts w:hint="cs"/>
          <w:rtl/>
        </w:rPr>
        <w:t xml:space="preserve">שם </w:t>
      </w:r>
      <w:bookmarkStart w:id="54973" w:name="_ETM_Q101_592560"/>
      <w:bookmarkEnd w:id="54973"/>
      <w:r>
        <w:rPr>
          <w:rFonts w:hint="cs"/>
          <w:rtl/>
        </w:rPr>
        <w:t xml:space="preserve">מחוץ </w:t>
      </w:r>
      <w:bookmarkStart w:id="54974" w:name="_ETM_Q101_592919"/>
      <w:bookmarkEnd w:id="54974"/>
      <w:r>
        <w:rPr>
          <w:rFonts w:hint="cs"/>
          <w:rtl/>
        </w:rPr>
        <w:t xml:space="preserve">לתחנה </w:t>
      </w:r>
      <w:bookmarkStart w:id="54975" w:name="_ETM_Q101_593459"/>
      <w:bookmarkEnd w:id="54975"/>
      <w:r>
        <w:rPr>
          <w:rFonts w:hint="cs"/>
          <w:rtl/>
        </w:rPr>
        <w:t xml:space="preserve">והתחבקו, </w:t>
      </w:r>
      <w:bookmarkStart w:id="54976" w:name="_ETM_Q101_594359"/>
      <w:bookmarkEnd w:id="54976"/>
      <w:r>
        <w:rPr>
          <w:rFonts w:hint="cs"/>
          <w:rtl/>
        </w:rPr>
        <w:t xml:space="preserve">אימא, </w:t>
      </w:r>
      <w:bookmarkStart w:id="54977" w:name="_ETM_Q101_594719"/>
      <w:bookmarkEnd w:id="54977"/>
      <w:r>
        <w:rPr>
          <w:rFonts w:hint="cs"/>
          <w:rtl/>
        </w:rPr>
        <w:t xml:space="preserve">אבא </w:t>
      </w:r>
      <w:bookmarkStart w:id="54978" w:name="_ETM_Q101_595020"/>
      <w:bookmarkEnd w:id="54978"/>
      <w:r>
        <w:rPr>
          <w:rFonts w:hint="cs"/>
          <w:rtl/>
        </w:rPr>
        <w:t xml:space="preserve">ובן, </w:t>
      </w:r>
      <w:bookmarkStart w:id="54979" w:name="_ETM_Q101_596950"/>
      <w:bookmarkEnd w:id="54979"/>
      <w:r>
        <w:rPr>
          <w:rFonts w:hint="cs"/>
          <w:rtl/>
        </w:rPr>
        <w:t xml:space="preserve">היה </w:t>
      </w:r>
      <w:bookmarkStart w:id="54980" w:name="_ETM_Q101_597249"/>
      <w:bookmarkEnd w:id="54980"/>
      <w:r>
        <w:rPr>
          <w:rFonts w:hint="cs"/>
          <w:rtl/>
        </w:rPr>
        <w:t xml:space="preserve">רגע </w:t>
      </w:r>
      <w:bookmarkStart w:id="54981" w:name="_ETM_Q101_597819"/>
      <w:bookmarkEnd w:id="54981"/>
      <w:r>
        <w:rPr>
          <w:rFonts w:hint="cs"/>
          <w:rtl/>
        </w:rPr>
        <w:t xml:space="preserve">מרגש </w:t>
      </w:r>
      <w:bookmarkStart w:id="54982" w:name="_ETM_Q101_598420"/>
      <w:bookmarkEnd w:id="54982"/>
      <w:r>
        <w:rPr>
          <w:rFonts w:hint="cs"/>
          <w:rtl/>
        </w:rPr>
        <w:t xml:space="preserve">בצורה </w:t>
      </w:r>
      <w:bookmarkStart w:id="54983" w:name="_ETM_Q101_599170"/>
      <w:bookmarkEnd w:id="54983"/>
      <w:r>
        <w:rPr>
          <w:rFonts w:hint="cs"/>
          <w:rtl/>
        </w:rPr>
        <w:t xml:space="preserve">בלתי </w:t>
      </w:r>
      <w:bookmarkStart w:id="54984" w:name="_ETM_Q101_599560"/>
      <w:bookmarkEnd w:id="54984"/>
      <w:r>
        <w:rPr>
          <w:rFonts w:hint="cs"/>
          <w:rtl/>
        </w:rPr>
        <w:t xml:space="preserve">רגילה, </w:t>
      </w:r>
      <w:bookmarkStart w:id="54985" w:name="_ETM_Q101_601060"/>
      <w:bookmarkEnd w:id="54985"/>
      <w:r>
        <w:rPr>
          <w:rFonts w:hint="cs"/>
          <w:rtl/>
        </w:rPr>
        <w:t xml:space="preserve">רגע </w:t>
      </w:r>
      <w:bookmarkStart w:id="54986" w:name="_ETM_Q101_602589"/>
      <w:bookmarkEnd w:id="54986"/>
      <w:r>
        <w:rPr>
          <w:rFonts w:hint="cs"/>
          <w:rtl/>
        </w:rPr>
        <w:t xml:space="preserve">שילווה </w:t>
      </w:r>
      <w:bookmarkStart w:id="54987" w:name="_ETM_Q101_603160"/>
      <w:bookmarkEnd w:id="54987"/>
      <w:r>
        <w:rPr>
          <w:rFonts w:hint="cs"/>
          <w:rtl/>
        </w:rPr>
        <w:t xml:space="preserve">אותי </w:t>
      </w:r>
      <w:bookmarkStart w:id="54988" w:name="_ETM_Q101_603460"/>
      <w:bookmarkEnd w:id="54988"/>
      <w:r>
        <w:rPr>
          <w:rFonts w:hint="cs"/>
          <w:rtl/>
        </w:rPr>
        <w:t xml:space="preserve">עוד </w:t>
      </w:r>
      <w:bookmarkStart w:id="54989" w:name="_ETM_Q101_603670"/>
      <w:bookmarkEnd w:id="54989"/>
      <w:r>
        <w:rPr>
          <w:rFonts w:hint="cs"/>
          <w:rtl/>
        </w:rPr>
        <w:t xml:space="preserve">זמן </w:t>
      </w:r>
      <w:bookmarkStart w:id="54990" w:name="_ETM_Q101_604089"/>
      <w:bookmarkEnd w:id="54990"/>
      <w:r>
        <w:rPr>
          <w:rFonts w:hint="cs"/>
          <w:rtl/>
        </w:rPr>
        <w:t xml:space="preserve">רב. </w:t>
      </w:r>
      <w:bookmarkStart w:id="54991" w:name="_ETM_Q101_604940"/>
      <w:bookmarkStart w:id="54992" w:name="_ETM_Q101_610082"/>
      <w:bookmarkStart w:id="54993" w:name="_ETM_Q101_610200"/>
      <w:bookmarkStart w:id="54994" w:name="_ETM_Q101_610238"/>
      <w:bookmarkStart w:id="54995" w:name="_ETM_Q101_610349"/>
      <w:bookmarkEnd w:id="54991"/>
      <w:bookmarkEnd w:id="54992"/>
      <w:bookmarkEnd w:id="54993"/>
      <w:bookmarkEnd w:id="54994"/>
      <w:bookmarkEnd w:id="54995"/>
      <w:r>
        <w:rPr>
          <w:rFonts w:hint="cs"/>
          <w:rtl/>
        </w:rPr>
        <w:t xml:space="preserve">משפחה </w:t>
      </w:r>
      <w:bookmarkStart w:id="54996" w:name="_ETM_Q101_605990"/>
      <w:bookmarkEnd w:id="54996"/>
      <w:r>
        <w:rPr>
          <w:rFonts w:hint="cs"/>
          <w:rtl/>
        </w:rPr>
        <w:t xml:space="preserve">מקסימה, </w:t>
      </w:r>
      <w:bookmarkStart w:id="54997" w:name="_ETM_Q101_607290"/>
      <w:bookmarkEnd w:id="54997"/>
      <w:r>
        <w:rPr>
          <w:rFonts w:hint="cs"/>
          <w:rtl/>
        </w:rPr>
        <w:t xml:space="preserve">נורמטיבית </w:t>
      </w:r>
      <w:bookmarkStart w:id="54998" w:name="_ETM_Q101_608040"/>
      <w:bookmarkEnd w:id="54998"/>
      <w:r>
        <w:rPr>
          <w:rFonts w:hint="cs"/>
          <w:rtl/>
        </w:rPr>
        <w:t xml:space="preserve">לחלוטין, </w:t>
      </w:r>
      <w:bookmarkStart w:id="54999" w:name="_ETM_Q101_609300"/>
      <w:bookmarkEnd w:id="54999"/>
      <w:r>
        <w:rPr>
          <w:rFonts w:hint="cs"/>
          <w:rtl/>
        </w:rPr>
        <w:t xml:space="preserve">שומרת </w:t>
      </w:r>
      <w:bookmarkStart w:id="55000" w:name="_ETM_Q101_609840"/>
      <w:bookmarkEnd w:id="55000"/>
      <w:r>
        <w:rPr>
          <w:rFonts w:hint="cs"/>
          <w:rtl/>
        </w:rPr>
        <w:t xml:space="preserve">חוק, </w:t>
      </w:r>
      <w:bookmarkStart w:id="55001" w:name="_ETM_Q101_610680"/>
      <w:bookmarkEnd w:id="55001"/>
      <w:r>
        <w:rPr>
          <w:rFonts w:hint="cs"/>
          <w:rtl/>
        </w:rPr>
        <w:t xml:space="preserve">אנשים </w:t>
      </w:r>
      <w:bookmarkStart w:id="55002" w:name="_ETM_Q101_612080"/>
      <w:bookmarkEnd w:id="55002"/>
      <w:r>
        <w:rPr>
          <w:rFonts w:hint="cs"/>
          <w:rtl/>
        </w:rPr>
        <w:t xml:space="preserve">כמו </w:t>
      </w:r>
      <w:bookmarkStart w:id="55003" w:name="_ETM_Q101_612350"/>
      <w:bookmarkEnd w:id="55003"/>
      <w:r>
        <w:rPr>
          <w:rFonts w:hint="cs"/>
          <w:rtl/>
        </w:rPr>
        <w:t xml:space="preserve">כולנו, </w:t>
      </w:r>
      <w:bookmarkStart w:id="55004" w:name="_ETM_Q101_612920"/>
      <w:bookmarkEnd w:id="55004"/>
      <w:r>
        <w:rPr>
          <w:rFonts w:hint="cs"/>
          <w:rtl/>
        </w:rPr>
        <w:t xml:space="preserve">שקמים </w:t>
      </w:r>
      <w:bookmarkStart w:id="55005" w:name="_ETM_Q101_613400"/>
      <w:bookmarkEnd w:id="55005"/>
      <w:r>
        <w:rPr>
          <w:rFonts w:hint="cs"/>
          <w:rtl/>
        </w:rPr>
        <w:t xml:space="preserve">בבוקר </w:t>
      </w:r>
      <w:bookmarkStart w:id="55006" w:name="_ETM_Q101_613910"/>
      <w:bookmarkEnd w:id="55006"/>
      <w:r>
        <w:rPr>
          <w:rFonts w:hint="cs"/>
          <w:rtl/>
        </w:rPr>
        <w:t xml:space="preserve">והולכים </w:t>
      </w:r>
      <w:bookmarkStart w:id="55007" w:name="_ETM_Q101_614330"/>
      <w:bookmarkEnd w:id="55007"/>
      <w:r>
        <w:rPr>
          <w:rFonts w:hint="cs"/>
          <w:rtl/>
        </w:rPr>
        <w:t xml:space="preserve">לעבודה </w:t>
      </w:r>
      <w:bookmarkStart w:id="55008" w:name="_ETM_Q101_615080"/>
      <w:bookmarkEnd w:id="55008"/>
      <w:r>
        <w:rPr>
          <w:rFonts w:hint="cs"/>
          <w:rtl/>
        </w:rPr>
        <w:t xml:space="preserve">ומשלמים </w:t>
      </w:r>
      <w:bookmarkStart w:id="55009" w:name="_ETM_Q101_615680"/>
      <w:bookmarkEnd w:id="55009"/>
      <w:r>
        <w:rPr>
          <w:rFonts w:hint="cs"/>
          <w:rtl/>
        </w:rPr>
        <w:t xml:space="preserve">מיסים </w:t>
      </w:r>
      <w:bookmarkStart w:id="55010" w:name="_ETM_Q101_616100"/>
      <w:bookmarkEnd w:id="55010"/>
      <w:r>
        <w:rPr>
          <w:rFonts w:hint="cs"/>
          <w:rtl/>
        </w:rPr>
        <w:t xml:space="preserve">ומשרתים </w:t>
      </w:r>
      <w:bookmarkStart w:id="55011" w:name="_ETM_Q101_616610"/>
      <w:bookmarkEnd w:id="55011"/>
      <w:r>
        <w:rPr>
          <w:rFonts w:hint="cs"/>
          <w:rtl/>
        </w:rPr>
        <w:t xml:space="preserve">בצבא </w:t>
      </w:r>
      <w:bookmarkStart w:id="55012" w:name="_ETM_Q101_617120"/>
      <w:bookmarkEnd w:id="55012"/>
      <w:r>
        <w:rPr>
          <w:rFonts w:hint="cs"/>
          <w:rtl/>
        </w:rPr>
        <w:t xml:space="preserve">ומשרתים </w:t>
      </w:r>
      <w:bookmarkStart w:id="55013" w:name="_ETM_Q101_617690"/>
      <w:bookmarkEnd w:id="55013"/>
      <w:r>
        <w:rPr>
          <w:rFonts w:hint="cs"/>
          <w:rtl/>
        </w:rPr>
        <w:t xml:space="preserve">במילואים, </w:t>
      </w:r>
      <w:bookmarkStart w:id="55014" w:name="_ETM_Q101_618080"/>
      <w:bookmarkEnd w:id="55014"/>
      <w:r>
        <w:rPr>
          <w:rFonts w:hint="cs"/>
          <w:rtl/>
        </w:rPr>
        <w:t xml:space="preserve">באמת </w:t>
      </w:r>
      <w:bookmarkStart w:id="55015" w:name="_ETM_Q101_618530"/>
      <w:bookmarkEnd w:id="55015"/>
      <w:r>
        <w:rPr>
          <w:rFonts w:hint="cs"/>
          <w:rtl/>
        </w:rPr>
        <w:t xml:space="preserve">אנשים </w:t>
      </w:r>
      <w:bookmarkStart w:id="55016" w:name="_ETM_Q101_619940"/>
      <w:bookmarkEnd w:id="55016"/>
      <w:r>
        <w:rPr>
          <w:rFonts w:hint="cs"/>
          <w:rtl/>
        </w:rPr>
        <w:t xml:space="preserve">מצוינים </w:t>
      </w:r>
      <w:bookmarkStart w:id="55017" w:name="_ETM_Q101_620690"/>
      <w:bookmarkEnd w:id="55017"/>
      <w:r>
        <w:rPr>
          <w:rFonts w:hint="cs"/>
          <w:rtl/>
        </w:rPr>
        <w:t xml:space="preserve">וטובים, </w:t>
      </w:r>
      <w:bookmarkStart w:id="55018" w:name="_ETM_Q101_622330"/>
      <w:bookmarkEnd w:id="55018"/>
      <w:r>
        <w:rPr>
          <w:rFonts w:hint="cs"/>
          <w:rtl/>
        </w:rPr>
        <w:t xml:space="preserve">שהחליטו </w:t>
      </w:r>
      <w:bookmarkStart w:id="55019" w:name="_ETM_Q101_623320"/>
      <w:bookmarkEnd w:id="55019"/>
      <w:r>
        <w:rPr>
          <w:rFonts w:hint="cs"/>
          <w:rtl/>
        </w:rPr>
        <w:t xml:space="preserve">לממש </w:t>
      </w:r>
      <w:bookmarkStart w:id="55020" w:name="_ETM_Q101_623680"/>
      <w:bookmarkEnd w:id="55020"/>
      <w:r>
        <w:rPr>
          <w:rFonts w:hint="cs"/>
          <w:rtl/>
        </w:rPr>
        <w:t xml:space="preserve">את </w:t>
      </w:r>
      <w:bookmarkStart w:id="55021" w:name="_ETM_Q101_623770"/>
      <w:bookmarkEnd w:id="55021"/>
      <w:r>
        <w:rPr>
          <w:rFonts w:hint="cs"/>
          <w:rtl/>
        </w:rPr>
        <w:t xml:space="preserve">זכותם </w:t>
      </w:r>
      <w:bookmarkStart w:id="55022" w:name="_ETM_Q101_624220"/>
      <w:bookmarkEnd w:id="55022"/>
      <w:r>
        <w:rPr>
          <w:rFonts w:hint="cs"/>
          <w:rtl/>
        </w:rPr>
        <w:t xml:space="preserve">הדמוקרטית </w:t>
      </w:r>
      <w:bookmarkStart w:id="55023" w:name="_ETM_Q101_625150"/>
      <w:bookmarkEnd w:id="55023"/>
      <w:r>
        <w:rPr>
          <w:rFonts w:hint="cs"/>
          <w:rtl/>
        </w:rPr>
        <w:t xml:space="preserve">ללכת </w:t>
      </w:r>
      <w:bookmarkStart w:id="55024" w:name="_ETM_Q101_625630"/>
      <w:bookmarkEnd w:id="55024"/>
      <w:r>
        <w:rPr>
          <w:rFonts w:hint="cs"/>
          <w:rtl/>
        </w:rPr>
        <w:t xml:space="preserve">להפגין, </w:t>
      </w:r>
      <w:bookmarkStart w:id="55025" w:name="_ETM_Q101_626080"/>
      <w:bookmarkEnd w:id="55025"/>
      <w:r>
        <w:rPr>
          <w:rFonts w:hint="cs"/>
          <w:rtl/>
        </w:rPr>
        <w:t xml:space="preserve">והם </w:t>
      </w:r>
      <w:bookmarkStart w:id="55026" w:name="_ETM_Q101_626230"/>
      <w:bookmarkEnd w:id="55026"/>
      <w:r>
        <w:rPr>
          <w:rFonts w:hint="cs"/>
          <w:rtl/>
        </w:rPr>
        <w:t xml:space="preserve">מוצאים </w:t>
      </w:r>
      <w:bookmarkStart w:id="55027" w:name="_ETM_Q101_626530"/>
      <w:bookmarkEnd w:id="55027"/>
      <w:r>
        <w:rPr>
          <w:rFonts w:hint="cs"/>
          <w:rtl/>
        </w:rPr>
        <w:t xml:space="preserve">את </w:t>
      </w:r>
      <w:bookmarkStart w:id="55028" w:name="_ETM_Q101_626590"/>
      <w:bookmarkEnd w:id="55028"/>
      <w:r>
        <w:rPr>
          <w:rFonts w:hint="cs"/>
          <w:rtl/>
        </w:rPr>
        <w:t xml:space="preserve">עצמם </w:t>
      </w:r>
      <w:bookmarkStart w:id="55029" w:name="_ETM_Q101_627010"/>
      <w:bookmarkEnd w:id="55029"/>
      <w:r>
        <w:rPr>
          <w:rFonts w:hint="cs"/>
          <w:rtl/>
        </w:rPr>
        <w:t xml:space="preserve">חצי </w:t>
      </w:r>
      <w:bookmarkStart w:id="55030" w:name="_ETM_Q101_627370"/>
      <w:bookmarkEnd w:id="55030"/>
      <w:r>
        <w:rPr>
          <w:rFonts w:hint="cs"/>
          <w:rtl/>
        </w:rPr>
        <w:t xml:space="preserve">משפחה </w:t>
      </w:r>
      <w:bookmarkStart w:id="55031" w:name="_ETM_Q101_628090"/>
      <w:bookmarkEnd w:id="55031"/>
      <w:r>
        <w:rPr>
          <w:rFonts w:hint="cs"/>
          <w:rtl/>
        </w:rPr>
        <w:t xml:space="preserve">עצורה, </w:t>
      </w:r>
      <w:bookmarkStart w:id="55032" w:name="_ETM_Q101_628510"/>
      <w:bookmarkEnd w:id="55032"/>
      <w:r>
        <w:rPr>
          <w:rFonts w:hint="cs"/>
          <w:rtl/>
        </w:rPr>
        <w:t xml:space="preserve">באמת </w:t>
      </w:r>
      <w:bookmarkStart w:id="55033" w:name="_ETM_Q101_628750"/>
      <w:bookmarkEnd w:id="55033"/>
      <w:r>
        <w:rPr>
          <w:rFonts w:hint="cs"/>
          <w:rtl/>
        </w:rPr>
        <w:t xml:space="preserve">סיטואציה </w:t>
      </w:r>
      <w:bookmarkStart w:id="55034" w:name="_ETM_Q101_629290"/>
      <w:bookmarkEnd w:id="55034"/>
      <w:r>
        <w:rPr>
          <w:rFonts w:hint="cs"/>
          <w:rtl/>
        </w:rPr>
        <w:t xml:space="preserve">יוצאת </w:t>
      </w:r>
      <w:bookmarkStart w:id="55035" w:name="_ETM_Q101_629560"/>
      <w:bookmarkEnd w:id="55035"/>
      <w:r>
        <w:rPr>
          <w:rFonts w:hint="cs"/>
          <w:rtl/>
        </w:rPr>
        <w:t xml:space="preserve">דופן. </w:t>
      </w:r>
      <w:bookmarkStart w:id="55036" w:name="_ETM_Q101_631099"/>
      <w:bookmarkEnd w:id="55036"/>
      <w:r>
        <w:rPr>
          <w:rFonts w:hint="cs"/>
          <w:rtl/>
        </w:rPr>
        <w:t xml:space="preserve">הרגע </w:t>
      </w:r>
      <w:bookmarkStart w:id="55037" w:name="_ETM_Q101_632359"/>
      <w:bookmarkEnd w:id="55037"/>
      <w:r>
        <w:rPr>
          <w:rFonts w:hint="cs"/>
          <w:rtl/>
        </w:rPr>
        <w:t xml:space="preserve">הזה </w:t>
      </w:r>
      <w:bookmarkStart w:id="55038" w:name="_ETM_Q101_634330"/>
      <w:bookmarkEnd w:id="55038"/>
      <w:r>
        <w:rPr>
          <w:rFonts w:hint="cs"/>
          <w:rtl/>
        </w:rPr>
        <w:t xml:space="preserve">הוא משהו </w:t>
      </w:r>
      <w:bookmarkStart w:id="55039" w:name="_ETM_Q101_634720"/>
      <w:bookmarkEnd w:id="55039"/>
      <w:r>
        <w:rPr>
          <w:rFonts w:hint="cs"/>
          <w:rtl/>
        </w:rPr>
        <w:t xml:space="preserve">שילך </w:t>
      </w:r>
      <w:bookmarkStart w:id="55040" w:name="_ETM_Q101_635200"/>
      <w:bookmarkEnd w:id="55040"/>
      <w:r>
        <w:rPr>
          <w:rFonts w:hint="cs"/>
          <w:rtl/>
        </w:rPr>
        <w:t xml:space="preserve">איתי </w:t>
      </w:r>
      <w:bookmarkStart w:id="55041" w:name="_ETM_Q101_635950"/>
      <w:bookmarkEnd w:id="55041"/>
      <w:r>
        <w:rPr>
          <w:rFonts w:hint="cs"/>
          <w:rtl/>
        </w:rPr>
        <w:t xml:space="preserve">עוד </w:t>
      </w:r>
      <w:bookmarkStart w:id="55042" w:name="_ETM_Q101_636160"/>
      <w:bookmarkEnd w:id="55042"/>
      <w:r>
        <w:rPr>
          <w:rFonts w:hint="cs"/>
          <w:rtl/>
        </w:rPr>
        <w:t xml:space="preserve">הרבה </w:t>
      </w:r>
      <w:bookmarkStart w:id="55043" w:name="_ETM_Q101_636430"/>
      <w:bookmarkEnd w:id="55043"/>
      <w:r>
        <w:rPr>
          <w:rFonts w:hint="cs"/>
          <w:rtl/>
        </w:rPr>
        <w:t xml:space="preserve">זמן. </w:t>
      </w:r>
      <w:bookmarkStart w:id="55044" w:name="_ETM_Q101_637530"/>
      <w:bookmarkEnd w:id="55044"/>
      <w:r>
        <w:rPr>
          <w:rFonts w:hint="cs"/>
          <w:rtl/>
        </w:rPr>
        <w:t xml:space="preserve">הבטתי </w:t>
      </w:r>
      <w:bookmarkStart w:id="55045" w:name="_ETM_Q101_638340"/>
      <w:bookmarkEnd w:id="55045"/>
      <w:r>
        <w:rPr>
          <w:rFonts w:hint="cs"/>
          <w:rtl/>
        </w:rPr>
        <w:t xml:space="preserve">בהם </w:t>
      </w:r>
      <w:bookmarkStart w:id="55046" w:name="_ETM_Q101_638640"/>
      <w:bookmarkEnd w:id="55046"/>
      <w:r>
        <w:rPr>
          <w:rFonts w:hint="cs"/>
          <w:rtl/>
        </w:rPr>
        <w:t xml:space="preserve">ככה </w:t>
      </w:r>
      <w:bookmarkStart w:id="55047" w:name="_ETM_Q101_639270"/>
      <w:bookmarkEnd w:id="55047"/>
      <w:r>
        <w:rPr>
          <w:rFonts w:hint="cs"/>
          <w:rtl/>
        </w:rPr>
        <w:t xml:space="preserve">מהצד </w:t>
      </w:r>
      <w:bookmarkStart w:id="55048" w:name="_ETM_Q101_640930"/>
      <w:bookmarkEnd w:id="55048"/>
      <w:r>
        <w:rPr>
          <w:rFonts w:hint="cs"/>
          <w:rtl/>
        </w:rPr>
        <w:t xml:space="preserve">ושמחתי </w:t>
      </w:r>
      <w:bookmarkStart w:id="55049" w:name="_ETM_Q101_642190"/>
      <w:bookmarkEnd w:id="55049"/>
      <w:r>
        <w:rPr>
          <w:rFonts w:hint="cs"/>
          <w:rtl/>
        </w:rPr>
        <w:t xml:space="preserve">לפחות </w:t>
      </w:r>
      <w:bookmarkStart w:id="55050" w:name="_ETM_Q101_642700"/>
      <w:bookmarkEnd w:id="55050"/>
      <w:r>
        <w:rPr>
          <w:rFonts w:hint="cs"/>
          <w:rtl/>
        </w:rPr>
        <w:t xml:space="preserve">ברגע </w:t>
      </w:r>
      <w:bookmarkStart w:id="55051" w:name="_ETM_Q101_643150"/>
      <w:bookmarkEnd w:id="55051"/>
      <w:r>
        <w:rPr>
          <w:rFonts w:hint="cs"/>
          <w:rtl/>
        </w:rPr>
        <w:t xml:space="preserve">הזה </w:t>
      </w:r>
      <w:bookmarkStart w:id="55052" w:name="_ETM_Q101_643510"/>
      <w:bookmarkEnd w:id="55052"/>
      <w:r>
        <w:rPr>
          <w:rFonts w:hint="cs"/>
          <w:rtl/>
        </w:rPr>
        <w:t xml:space="preserve">שהם </w:t>
      </w:r>
      <w:bookmarkStart w:id="55053" w:name="_ETM_Q101_643959"/>
      <w:bookmarkEnd w:id="55053"/>
      <w:r>
        <w:rPr>
          <w:rFonts w:hint="cs"/>
          <w:rtl/>
        </w:rPr>
        <w:t xml:space="preserve">התאחדו </w:t>
      </w:r>
      <w:bookmarkStart w:id="55054" w:name="_ETM_Q101_644500"/>
      <w:bookmarkEnd w:id="55054"/>
      <w:r>
        <w:rPr>
          <w:rFonts w:hint="cs"/>
          <w:rtl/>
        </w:rPr>
        <w:t xml:space="preserve">ככה </w:t>
      </w:r>
      <w:bookmarkStart w:id="55055" w:name="_ETM_Q101_645459"/>
      <w:bookmarkEnd w:id="55055"/>
      <w:r>
        <w:rPr>
          <w:rFonts w:hint="cs"/>
          <w:rtl/>
        </w:rPr>
        <w:t xml:space="preserve">ביחד. </w:t>
      </w:r>
      <w:bookmarkStart w:id="55056" w:name="_ETM_Q101_647800"/>
      <w:bookmarkEnd w:id="55056"/>
    </w:p>
    <w:p w:rsidR="00BB59CD" w:rsidRDefault="00BB59CD" w:rsidP="00BB59CD">
      <w:pPr>
        <w:rPr>
          <w:rtl/>
        </w:rPr>
      </w:pPr>
      <w:bookmarkStart w:id="55057" w:name="_ETM_Q101_647998"/>
      <w:bookmarkStart w:id="55058" w:name="_ETM_Q101_648113"/>
      <w:bookmarkStart w:id="55059" w:name="_ETM_Q101_648262"/>
      <w:bookmarkEnd w:id="55057"/>
      <w:bookmarkEnd w:id="55058"/>
      <w:bookmarkEnd w:id="55059"/>
    </w:p>
    <w:p w:rsidR="00BB59CD" w:rsidRDefault="00BB59CD" w:rsidP="0018073C">
      <w:pPr>
        <w:rPr>
          <w:rtl/>
        </w:rPr>
      </w:pPr>
      <w:bookmarkStart w:id="55060" w:name="_ETM_Q101_648341"/>
      <w:bookmarkEnd w:id="55060"/>
      <w:r>
        <w:rPr>
          <w:rFonts w:hint="cs"/>
          <w:rtl/>
        </w:rPr>
        <w:t xml:space="preserve">חזרתי </w:t>
      </w:r>
      <w:bookmarkStart w:id="55061" w:name="_ETM_Q101_648250"/>
      <w:bookmarkEnd w:id="55061"/>
      <w:r w:rsidR="0018073C">
        <w:rPr>
          <w:rFonts w:hint="cs"/>
          <w:rtl/>
        </w:rPr>
        <w:t>ב</w:t>
      </w:r>
      <w:r>
        <w:rPr>
          <w:rFonts w:hint="cs"/>
          <w:rtl/>
        </w:rPr>
        <w:t xml:space="preserve">חזרה </w:t>
      </w:r>
      <w:bookmarkStart w:id="55062" w:name="_ETM_Q101_649150"/>
      <w:bookmarkEnd w:id="55062"/>
      <w:r>
        <w:rPr>
          <w:rFonts w:hint="cs"/>
          <w:rtl/>
        </w:rPr>
        <w:t xml:space="preserve">לתוך </w:t>
      </w:r>
      <w:bookmarkStart w:id="55063" w:name="_ETM_Q101_649599"/>
      <w:bookmarkEnd w:id="55063"/>
      <w:r>
        <w:rPr>
          <w:rFonts w:hint="cs"/>
          <w:rtl/>
        </w:rPr>
        <w:t xml:space="preserve">התחנה, </w:t>
      </w:r>
      <w:bookmarkStart w:id="55064" w:name="_ETM_Q101_650769"/>
      <w:bookmarkEnd w:id="55064"/>
      <w:r>
        <w:rPr>
          <w:rFonts w:hint="cs"/>
          <w:rtl/>
        </w:rPr>
        <w:t xml:space="preserve">ולמעשה </w:t>
      </w:r>
      <w:bookmarkStart w:id="55065" w:name="_ETM_Q101_653680"/>
      <w:bookmarkEnd w:id="55065"/>
      <w:r>
        <w:rPr>
          <w:rFonts w:hint="cs"/>
          <w:rtl/>
        </w:rPr>
        <w:t xml:space="preserve">נשאר </w:t>
      </w:r>
      <w:bookmarkStart w:id="55066" w:name="_ETM_Q101_654099"/>
      <w:bookmarkEnd w:id="55066"/>
      <w:r>
        <w:rPr>
          <w:rFonts w:hint="cs"/>
          <w:rtl/>
        </w:rPr>
        <w:t xml:space="preserve">העצור </w:t>
      </w:r>
      <w:bookmarkStart w:id="55067" w:name="_ETM_Q101_654520"/>
      <w:bookmarkEnd w:id="55067"/>
      <w:r>
        <w:rPr>
          <w:rFonts w:hint="cs"/>
          <w:rtl/>
        </w:rPr>
        <w:t xml:space="preserve">האחרון. </w:t>
      </w:r>
      <w:bookmarkStart w:id="55068" w:name="_ETM_Q101_655920"/>
      <w:bookmarkEnd w:id="55068"/>
      <w:r>
        <w:rPr>
          <w:rFonts w:hint="cs"/>
          <w:rtl/>
        </w:rPr>
        <w:t xml:space="preserve">כשהוא </w:t>
      </w:r>
      <w:bookmarkStart w:id="55069" w:name="_ETM_Q101_656640"/>
      <w:bookmarkEnd w:id="55069"/>
      <w:r>
        <w:rPr>
          <w:rFonts w:hint="cs"/>
          <w:rtl/>
        </w:rPr>
        <w:t xml:space="preserve">השתחרר </w:t>
      </w:r>
      <w:bookmarkStart w:id="55070" w:name="_ETM_Q101_657150"/>
      <w:bookmarkEnd w:id="55070"/>
      <w:r>
        <w:rPr>
          <w:rFonts w:hint="cs"/>
          <w:rtl/>
        </w:rPr>
        <w:t xml:space="preserve">וליוויתי </w:t>
      </w:r>
      <w:bookmarkStart w:id="55071" w:name="_ETM_Q101_657659"/>
      <w:bookmarkEnd w:id="55071"/>
      <w:r>
        <w:rPr>
          <w:rFonts w:hint="cs"/>
          <w:rtl/>
        </w:rPr>
        <w:t xml:space="preserve">אותו </w:t>
      </w:r>
      <w:bookmarkStart w:id="55072" w:name="_ETM_Q101_658290"/>
      <w:bookmarkEnd w:id="55072"/>
      <w:r>
        <w:rPr>
          <w:rFonts w:hint="cs"/>
          <w:rtl/>
        </w:rPr>
        <w:t xml:space="preserve">החוצה, </w:t>
      </w:r>
      <w:bookmarkStart w:id="55073" w:name="_ETM_Q101_659670"/>
      <w:bookmarkEnd w:id="55073"/>
      <w:r>
        <w:rPr>
          <w:rFonts w:hint="cs"/>
          <w:rtl/>
        </w:rPr>
        <w:t xml:space="preserve">קודם </w:t>
      </w:r>
      <w:bookmarkStart w:id="55074" w:name="_ETM_Q101_660000"/>
      <w:bookmarkEnd w:id="55074"/>
      <w:r>
        <w:rPr>
          <w:rFonts w:hint="cs"/>
          <w:rtl/>
        </w:rPr>
        <w:t xml:space="preserve">כול </w:t>
      </w:r>
      <w:bookmarkStart w:id="55075" w:name="_ETM_Q101_660239"/>
      <w:bookmarkEnd w:id="55075"/>
      <w:r>
        <w:rPr>
          <w:rFonts w:hint="cs"/>
          <w:rtl/>
        </w:rPr>
        <w:t xml:space="preserve">חיכו </w:t>
      </w:r>
      <w:bookmarkStart w:id="55076" w:name="_ETM_Q101_660629"/>
      <w:bookmarkEnd w:id="55076"/>
      <w:r>
        <w:rPr>
          <w:rFonts w:hint="cs"/>
          <w:rtl/>
        </w:rPr>
        <w:t xml:space="preserve">לו </w:t>
      </w:r>
      <w:bookmarkStart w:id="55077" w:name="_ETM_Q101_661050"/>
      <w:bookmarkEnd w:id="55077"/>
      <w:r>
        <w:rPr>
          <w:rFonts w:hint="cs"/>
          <w:rtl/>
        </w:rPr>
        <w:t xml:space="preserve">עדיין </w:t>
      </w:r>
      <w:bookmarkStart w:id="55078" w:name="_ETM_Q101_661739"/>
      <w:bookmarkEnd w:id="55078"/>
      <w:r>
        <w:rPr>
          <w:rFonts w:hint="cs"/>
          <w:rtl/>
        </w:rPr>
        <w:t xml:space="preserve">עשרות </w:t>
      </w:r>
      <w:bookmarkStart w:id="55079" w:name="_ETM_Q101_662220"/>
      <w:bookmarkEnd w:id="55079"/>
      <w:r>
        <w:rPr>
          <w:rFonts w:hint="cs"/>
          <w:rtl/>
        </w:rPr>
        <w:t xml:space="preserve">רבות </w:t>
      </w:r>
      <w:bookmarkStart w:id="55080" w:name="_ETM_Q101_662580"/>
      <w:bookmarkEnd w:id="55080"/>
      <w:r>
        <w:rPr>
          <w:rFonts w:hint="cs"/>
          <w:rtl/>
        </w:rPr>
        <w:t xml:space="preserve">של </w:t>
      </w:r>
      <w:bookmarkStart w:id="55081" w:name="_ETM_Q101_662730"/>
      <w:bookmarkEnd w:id="55081"/>
      <w:r>
        <w:rPr>
          <w:rFonts w:hint="cs"/>
          <w:rtl/>
        </w:rPr>
        <w:t xml:space="preserve">מפגינים </w:t>
      </w:r>
      <w:bookmarkStart w:id="55082" w:name="_ETM_Q101_663209"/>
      <w:bookmarkEnd w:id="55082"/>
      <w:r>
        <w:rPr>
          <w:rFonts w:hint="cs"/>
          <w:rtl/>
        </w:rPr>
        <w:t xml:space="preserve">בחוץ. </w:t>
      </w:r>
      <w:bookmarkStart w:id="55083" w:name="_ETM_Q101_663599"/>
      <w:bookmarkEnd w:id="55083"/>
      <w:r>
        <w:rPr>
          <w:rFonts w:hint="cs"/>
          <w:rtl/>
        </w:rPr>
        <w:t xml:space="preserve">הם </w:t>
      </w:r>
      <w:bookmarkStart w:id="55084" w:name="_ETM_Q101_663750"/>
      <w:bookmarkEnd w:id="55084"/>
      <w:r>
        <w:rPr>
          <w:rFonts w:hint="cs"/>
          <w:rtl/>
        </w:rPr>
        <w:t xml:space="preserve">לא </w:t>
      </w:r>
      <w:bookmarkStart w:id="55085" w:name="_ETM_Q101_663870"/>
      <w:bookmarkEnd w:id="55085"/>
      <w:r>
        <w:rPr>
          <w:rFonts w:hint="cs"/>
          <w:rtl/>
        </w:rPr>
        <w:t xml:space="preserve">ויתרו, </w:t>
      </w:r>
      <w:bookmarkStart w:id="55086" w:name="_ETM_Q101_664470"/>
      <w:bookmarkEnd w:id="55086"/>
      <w:r>
        <w:rPr>
          <w:rFonts w:hint="cs"/>
          <w:rtl/>
        </w:rPr>
        <w:t xml:space="preserve">הם </w:t>
      </w:r>
      <w:bookmarkStart w:id="55087" w:name="_ETM_Q101_664620"/>
      <w:bookmarkEnd w:id="55087"/>
      <w:r>
        <w:rPr>
          <w:rFonts w:hint="cs"/>
          <w:rtl/>
        </w:rPr>
        <w:t xml:space="preserve">לא </w:t>
      </w:r>
      <w:bookmarkStart w:id="55088" w:name="_ETM_Q101_664769"/>
      <w:bookmarkEnd w:id="55088"/>
      <w:r>
        <w:rPr>
          <w:rFonts w:hint="cs"/>
          <w:rtl/>
        </w:rPr>
        <w:t xml:space="preserve">התייאשו, </w:t>
      </w:r>
      <w:bookmarkStart w:id="55089" w:name="_ETM_Q101_666040"/>
      <w:bookmarkEnd w:id="55089"/>
      <w:r>
        <w:rPr>
          <w:rFonts w:hint="cs"/>
          <w:rtl/>
        </w:rPr>
        <w:t xml:space="preserve">הם </w:t>
      </w:r>
      <w:bookmarkStart w:id="55090" w:name="_ETM_Q101_666219"/>
      <w:bookmarkEnd w:id="55090"/>
      <w:r>
        <w:rPr>
          <w:rFonts w:hint="cs"/>
          <w:rtl/>
        </w:rPr>
        <w:t xml:space="preserve">חיכו </w:t>
      </w:r>
      <w:bookmarkStart w:id="55091" w:name="_ETM_Q101_666609"/>
      <w:bookmarkEnd w:id="55091"/>
      <w:r>
        <w:rPr>
          <w:rFonts w:hint="cs"/>
          <w:rtl/>
        </w:rPr>
        <w:t xml:space="preserve">שם </w:t>
      </w:r>
      <w:bookmarkStart w:id="55092" w:name="_ETM_Q101_666939"/>
      <w:bookmarkEnd w:id="55092"/>
      <w:r>
        <w:rPr>
          <w:rFonts w:hint="cs"/>
          <w:rtl/>
        </w:rPr>
        <w:t xml:space="preserve">עד </w:t>
      </w:r>
      <w:bookmarkStart w:id="55093" w:name="_ETM_Q101_667180"/>
      <w:bookmarkEnd w:id="55093"/>
      <w:r>
        <w:rPr>
          <w:rFonts w:hint="cs"/>
          <w:rtl/>
        </w:rPr>
        <w:t xml:space="preserve">שהאחרון </w:t>
      </w:r>
      <w:bookmarkStart w:id="55094" w:name="_ETM_Q101_667840"/>
      <w:bookmarkEnd w:id="55094"/>
      <w:r>
        <w:rPr>
          <w:rFonts w:hint="cs"/>
          <w:rtl/>
        </w:rPr>
        <w:t xml:space="preserve">יצא. </w:t>
      </w:r>
      <w:bookmarkStart w:id="55095" w:name="_ETM_Q101_669260"/>
      <w:bookmarkEnd w:id="55095"/>
      <w:r>
        <w:rPr>
          <w:rFonts w:hint="cs"/>
          <w:rtl/>
        </w:rPr>
        <w:t xml:space="preserve">כשהוא </w:t>
      </w:r>
      <w:bookmarkStart w:id="55096" w:name="_ETM_Q101_670580"/>
      <w:bookmarkEnd w:id="55096"/>
      <w:r>
        <w:rPr>
          <w:rFonts w:hint="cs"/>
          <w:rtl/>
        </w:rPr>
        <w:t xml:space="preserve">יצא </w:t>
      </w:r>
      <w:bookmarkStart w:id="55097" w:name="_ETM_Q101_670940"/>
      <w:bookmarkEnd w:id="55097"/>
      <w:r>
        <w:rPr>
          <w:rFonts w:hint="cs"/>
          <w:rtl/>
        </w:rPr>
        <w:t xml:space="preserve">החוצה </w:t>
      </w:r>
      <w:bookmarkStart w:id="55098" w:name="_ETM_Q101_671420"/>
      <w:bookmarkEnd w:id="55098"/>
      <w:r>
        <w:rPr>
          <w:rFonts w:hint="cs"/>
          <w:rtl/>
        </w:rPr>
        <w:t xml:space="preserve">קיבלו </w:t>
      </w:r>
      <w:bookmarkStart w:id="55099" w:name="_ETM_Q101_671780"/>
      <w:bookmarkEnd w:id="55099"/>
      <w:r>
        <w:rPr>
          <w:rFonts w:hint="cs"/>
          <w:rtl/>
        </w:rPr>
        <w:t xml:space="preserve">אותו </w:t>
      </w:r>
      <w:bookmarkStart w:id="55100" w:name="_ETM_Q101_672530"/>
      <w:bookmarkEnd w:id="55100"/>
      <w:r>
        <w:rPr>
          <w:rFonts w:hint="cs"/>
          <w:rtl/>
        </w:rPr>
        <w:t xml:space="preserve">בחיבוקים </w:t>
      </w:r>
      <w:bookmarkStart w:id="55101" w:name="_ETM_Q101_673340"/>
      <w:bookmarkEnd w:id="55101"/>
      <w:r>
        <w:rPr>
          <w:rFonts w:hint="cs"/>
          <w:rtl/>
        </w:rPr>
        <w:t xml:space="preserve">ובאהבה </w:t>
      </w:r>
      <w:bookmarkStart w:id="55102" w:name="_ETM_Q101_673909"/>
      <w:bookmarkEnd w:id="55102"/>
      <w:r>
        <w:rPr>
          <w:rFonts w:hint="cs"/>
          <w:rtl/>
        </w:rPr>
        <w:t xml:space="preserve">ובזרועות </w:t>
      </w:r>
      <w:bookmarkStart w:id="55103" w:name="_ETM_Q101_674480"/>
      <w:bookmarkEnd w:id="55103"/>
      <w:r>
        <w:rPr>
          <w:rFonts w:hint="cs"/>
          <w:rtl/>
        </w:rPr>
        <w:t xml:space="preserve">פתוחות. </w:t>
      </w:r>
      <w:bookmarkStart w:id="55104" w:name="_ETM_Q101_675690"/>
      <w:bookmarkEnd w:id="55104"/>
      <w:r>
        <w:rPr>
          <w:rFonts w:hint="cs"/>
          <w:rtl/>
        </w:rPr>
        <w:t xml:space="preserve">בדיוק </w:t>
      </w:r>
      <w:bookmarkStart w:id="55105" w:name="_ETM_Q101_676260"/>
      <w:bookmarkEnd w:id="55105"/>
      <w:r>
        <w:rPr>
          <w:rFonts w:hint="cs"/>
          <w:rtl/>
        </w:rPr>
        <w:t xml:space="preserve">כשהוא </w:t>
      </w:r>
      <w:bookmarkStart w:id="55106" w:name="_ETM_Q101_676530"/>
      <w:bookmarkEnd w:id="55106"/>
      <w:r>
        <w:rPr>
          <w:rFonts w:hint="cs"/>
          <w:rtl/>
        </w:rPr>
        <w:t xml:space="preserve">יצא </w:t>
      </w:r>
      <w:bookmarkStart w:id="55107" w:name="_ETM_Q101_677310"/>
      <w:bookmarkEnd w:id="55107"/>
      <w:r>
        <w:rPr>
          <w:rFonts w:hint="cs"/>
          <w:rtl/>
        </w:rPr>
        <w:t xml:space="preserve">כל </w:t>
      </w:r>
      <w:bookmarkStart w:id="55108" w:name="_ETM_Q101_677580"/>
      <w:bookmarkEnd w:id="55108"/>
      <w:r>
        <w:rPr>
          <w:rFonts w:hint="cs"/>
          <w:rtl/>
        </w:rPr>
        <w:t xml:space="preserve">הקהל </w:t>
      </w:r>
      <w:bookmarkStart w:id="55109" w:name="_ETM_Q101_677940"/>
      <w:bookmarkEnd w:id="55109"/>
      <w:r>
        <w:rPr>
          <w:rFonts w:hint="cs"/>
          <w:rtl/>
        </w:rPr>
        <w:t xml:space="preserve">בחוץ </w:t>
      </w:r>
      <w:bookmarkStart w:id="55110" w:name="_ETM_Q101_678390"/>
      <w:bookmarkEnd w:id="55110"/>
      <w:r>
        <w:rPr>
          <w:rFonts w:hint="cs"/>
          <w:rtl/>
        </w:rPr>
        <w:t xml:space="preserve">שר </w:t>
      </w:r>
      <w:bookmarkStart w:id="55111" w:name="_ETM_Q101_679020"/>
      <w:bookmarkEnd w:id="55111"/>
      <w:r>
        <w:rPr>
          <w:rFonts w:hint="cs"/>
          <w:rtl/>
        </w:rPr>
        <w:t xml:space="preserve">את </w:t>
      </w:r>
      <w:bookmarkStart w:id="55112" w:name="_ETM_Q101_679230"/>
      <w:bookmarkEnd w:id="55112"/>
      <w:r>
        <w:rPr>
          <w:rFonts w:hint="cs"/>
          <w:rtl/>
        </w:rPr>
        <w:t xml:space="preserve">השיר </w:t>
      </w:r>
      <w:bookmarkStart w:id="55113" w:name="_ETM_Q101_679530"/>
      <w:bookmarkEnd w:id="55113"/>
      <w:r>
        <w:rPr>
          <w:rFonts w:hint="cs"/>
          <w:rtl/>
        </w:rPr>
        <w:t xml:space="preserve">של </w:t>
      </w:r>
      <w:bookmarkStart w:id="55114" w:name="_ETM_Q101_680160"/>
      <w:bookmarkEnd w:id="55114"/>
      <w:r>
        <w:rPr>
          <w:rFonts w:hint="cs"/>
          <w:rtl/>
        </w:rPr>
        <w:t xml:space="preserve">אריק </w:t>
      </w:r>
      <w:bookmarkStart w:id="55115" w:name="_ETM_Q101_680490"/>
      <w:bookmarkEnd w:id="55115"/>
      <w:r>
        <w:rPr>
          <w:rFonts w:hint="cs"/>
          <w:rtl/>
        </w:rPr>
        <w:t xml:space="preserve">איינשטיין </w:t>
      </w:r>
      <w:bookmarkStart w:id="55116" w:name="_ETM_Q101_681030"/>
      <w:bookmarkEnd w:id="55116"/>
      <w:r>
        <w:rPr>
          <w:rFonts w:hint="cs"/>
          <w:rtl/>
        </w:rPr>
        <w:t xml:space="preserve">"אני </w:t>
      </w:r>
      <w:bookmarkStart w:id="55117" w:name="_ETM_Q101_681240"/>
      <w:bookmarkEnd w:id="55117"/>
      <w:r>
        <w:rPr>
          <w:rFonts w:hint="cs"/>
          <w:rtl/>
        </w:rPr>
        <w:t xml:space="preserve">ואתה </w:t>
      </w:r>
      <w:bookmarkStart w:id="55118" w:name="_ETM_Q101_681600"/>
      <w:bookmarkEnd w:id="55118"/>
      <w:r>
        <w:rPr>
          <w:rFonts w:hint="cs"/>
          <w:rtl/>
        </w:rPr>
        <w:t xml:space="preserve">נשנה </w:t>
      </w:r>
      <w:bookmarkStart w:id="55119" w:name="_ETM_Q101_682020"/>
      <w:bookmarkEnd w:id="55119"/>
      <w:r>
        <w:rPr>
          <w:rFonts w:hint="cs"/>
          <w:rtl/>
        </w:rPr>
        <w:t xml:space="preserve">את </w:t>
      </w:r>
      <w:bookmarkStart w:id="55120" w:name="_ETM_Q101_682110"/>
      <w:bookmarkEnd w:id="55120"/>
      <w:r>
        <w:rPr>
          <w:rFonts w:hint="cs"/>
          <w:rtl/>
        </w:rPr>
        <w:t xml:space="preserve">העולם". </w:t>
      </w:r>
      <w:bookmarkStart w:id="55121" w:name="_ETM_Q101_682620"/>
      <w:bookmarkEnd w:id="55121"/>
      <w:r>
        <w:rPr>
          <w:rFonts w:hint="cs"/>
          <w:rtl/>
        </w:rPr>
        <w:t xml:space="preserve">בפני </w:t>
      </w:r>
      <w:bookmarkStart w:id="55122" w:name="_ETM_Q101_683010"/>
      <w:bookmarkEnd w:id="55122"/>
      <w:r>
        <w:rPr>
          <w:rFonts w:hint="cs"/>
          <w:rtl/>
        </w:rPr>
        <w:t xml:space="preserve">עצמו </w:t>
      </w:r>
      <w:bookmarkStart w:id="55123" w:name="_ETM_Q101_683250"/>
      <w:bookmarkEnd w:id="55123"/>
      <w:r>
        <w:rPr>
          <w:rFonts w:hint="cs"/>
          <w:rtl/>
        </w:rPr>
        <w:t xml:space="preserve">זה </w:t>
      </w:r>
      <w:bookmarkStart w:id="55124" w:name="_ETM_Q101_683430"/>
      <w:bookmarkEnd w:id="55124"/>
      <w:r>
        <w:rPr>
          <w:rFonts w:hint="cs"/>
          <w:rtl/>
        </w:rPr>
        <w:t xml:space="preserve">היה </w:t>
      </w:r>
      <w:bookmarkStart w:id="55125" w:name="_ETM_Q101_683700"/>
      <w:bookmarkEnd w:id="55125"/>
      <w:r>
        <w:rPr>
          <w:rFonts w:hint="cs"/>
          <w:rtl/>
        </w:rPr>
        <w:t xml:space="preserve">מאוד </w:t>
      </w:r>
      <w:bookmarkStart w:id="55126" w:name="_ETM_Q101_683970"/>
      <w:bookmarkEnd w:id="55126"/>
      <w:r>
        <w:rPr>
          <w:rFonts w:hint="cs"/>
          <w:rtl/>
        </w:rPr>
        <w:t xml:space="preserve">מאוד </w:t>
      </w:r>
      <w:bookmarkStart w:id="55127" w:name="_ETM_Q101_684450"/>
      <w:bookmarkEnd w:id="55127"/>
      <w:r>
        <w:rPr>
          <w:rFonts w:hint="cs"/>
          <w:rtl/>
        </w:rPr>
        <w:t xml:space="preserve">מרגש. </w:t>
      </w:r>
      <w:bookmarkStart w:id="55128" w:name="_ETM_Q101_686510"/>
      <w:bookmarkEnd w:id="55128"/>
      <w:r>
        <w:rPr>
          <w:rFonts w:hint="cs"/>
          <w:rtl/>
        </w:rPr>
        <w:t xml:space="preserve">אחרי </w:t>
      </w:r>
      <w:bookmarkStart w:id="55129" w:name="_ETM_Q101_687079"/>
      <w:bookmarkEnd w:id="55129"/>
      <w:r>
        <w:rPr>
          <w:rFonts w:hint="cs"/>
          <w:rtl/>
        </w:rPr>
        <w:t xml:space="preserve">שהוא </w:t>
      </w:r>
      <w:bookmarkStart w:id="55130" w:name="_ETM_Q101_687349"/>
      <w:bookmarkEnd w:id="55130"/>
      <w:r>
        <w:rPr>
          <w:rFonts w:hint="cs"/>
          <w:rtl/>
        </w:rPr>
        <w:t xml:space="preserve">יצא </w:t>
      </w:r>
      <w:bookmarkStart w:id="55131" w:name="_ETM_Q101_687980"/>
      <w:bookmarkEnd w:id="55131"/>
      <w:r>
        <w:rPr>
          <w:rFonts w:hint="cs"/>
          <w:rtl/>
        </w:rPr>
        <w:t xml:space="preserve">נעמדו </w:t>
      </w:r>
      <w:bookmarkStart w:id="55132" w:name="_ETM_Q101_688430"/>
      <w:bookmarkEnd w:id="55132"/>
      <w:r>
        <w:rPr>
          <w:rFonts w:hint="cs"/>
          <w:rtl/>
        </w:rPr>
        <w:t xml:space="preserve">כולם </w:t>
      </w:r>
      <w:bookmarkStart w:id="55133" w:name="_ETM_Q101_689430"/>
      <w:bookmarkEnd w:id="55133"/>
      <w:r>
        <w:rPr>
          <w:rFonts w:hint="cs"/>
          <w:rtl/>
        </w:rPr>
        <w:t xml:space="preserve">ושרו </w:t>
      </w:r>
      <w:bookmarkStart w:id="55134" w:name="_ETM_Q101_690090"/>
      <w:bookmarkEnd w:id="55134"/>
      <w:r>
        <w:rPr>
          <w:rFonts w:hint="cs"/>
          <w:rtl/>
        </w:rPr>
        <w:t xml:space="preserve">את </w:t>
      </w:r>
      <w:bookmarkStart w:id="55135" w:name="_ETM_Q101_690269"/>
      <w:bookmarkEnd w:id="55135"/>
      <w:r>
        <w:rPr>
          <w:rFonts w:hint="cs"/>
          <w:rtl/>
        </w:rPr>
        <w:t xml:space="preserve">"התקווה" </w:t>
      </w:r>
      <w:bookmarkStart w:id="55136" w:name="_ETM_Q101_691080"/>
      <w:bookmarkEnd w:id="55136"/>
      <w:r>
        <w:rPr>
          <w:rFonts w:hint="cs"/>
          <w:rtl/>
        </w:rPr>
        <w:t xml:space="preserve">עם </w:t>
      </w:r>
      <w:bookmarkStart w:id="55137" w:name="_ETM_Q101_691290"/>
      <w:bookmarkEnd w:id="55137"/>
      <w:r>
        <w:rPr>
          <w:rFonts w:hint="cs"/>
          <w:rtl/>
        </w:rPr>
        <w:t xml:space="preserve">דגלי </w:t>
      </w:r>
      <w:bookmarkStart w:id="55138" w:name="_ETM_Q101_691650"/>
      <w:bookmarkEnd w:id="55138"/>
      <w:r>
        <w:rPr>
          <w:rFonts w:hint="cs"/>
          <w:rtl/>
        </w:rPr>
        <w:t xml:space="preserve">ישראל </w:t>
      </w:r>
      <w:bookmarkStart w:id="55139" w:name="_ETM_Q101_692309"/>
      <w:bookmarkEnd w:id="55139"/>
      <w:r>
        <w:rPr>
          <w:rFonts w:hint="cs"/>
          <w:rtl/>
        </w:rPr>
        <w:t xml:space="preserve">מסביב. </w:t>
      </w:r>
      <w:bookmarkStart w:id="55140" w:name="_ETM_Q101_694799"/>
      <w:bookmarkStart w:id="55141" w:name="_ETM_Q101_700378"/>
      <w:bookmarkStart w:id="55142" w:name="_ETM_Q101_700459"/>
      <w:bookmarkStart w:id="55143" w:name="_ETM_Q101_700538"/>
      <w:bookmarkStart w:id="55144" w:name="_ETM_Q101_700602"/>
      <w:bookmarkEnd w:id="55140"/>
      <w:bookmarkEnd w:id="55141"/>
      <w:bookmarkEnd w:id="55142"/>
      <w:bookmarkEnd w:id="55143"/>
      <w:bookmarkEnd w:id="55144"/>
      <w:r>
        <w:rPr>
          <w:rFonts w:hint="cs"/>
          <w:rtl/>
        </w:rPr>
        <w:t xml:space="preserve">באמת </w:t>
      </w:r>
      <w:bookmarkStart w:id="55145" w:name="_ETM_Q101_695189"/>
      <w:bookmarkStart w:id="55146" w:name="_ETM_Q101_696299"/>
      <w:bookmarkEnd w:id="55145"/>
      <w:bookmarkEnd w:id="55146"/>
      <w:r>
        <w:rPr>
          <w:rFonts w:hint="cs"/>
          <w:rtl/>
        </w:rPr>
        <w:t xml:space="preserve">קשה </w:t>
      </w:r>
      <w:bookmarkStart w:id="55147" w:name="_ETM_Q101_696659"/>
      <w:bookmarkEnd w:id="55147"/>
      <w:r>
        <w:rPr>
          <w:rFonts w:hint="cs"/>
          <w:rtl/>
        </w:rPr>
        <w:t xml:space="preserve">לתאר </w:t>
      </w:r>
      <w:bookmarkStart w:id="55148" w:name="_ETM_Q101_697109"/>
      <w:bookmarkEnd w:id="55148"/>
      <w:r>
        <w:rPr>
          <w:rFonts w:hint="cs"/>
          <w:rtl/>
        </w:rPr>
        <w:t xml:space="preserve">במילים </w:t>
      </w:r>
      <w:bookmarkStart w:id="55149" w:name="_ETM_Q101_697589"/>
      <w:bookmarkEnd w:id="55149"/>
      <w:r>
        <w:rPr>
          <w:rFonts w:hint="cs"/>
          <w:rtl/>
        </w:rPr>
        <w:t>את</w:t>
      </w:r>
      <w:bookmarkStart w:id="55150" w:name="_ETM_Q101_697709"/>
      <w:bookmarkStart w:id="55151" w:name="_ETM_Q101_698129"/>
      <w:bookmarkEnd w:id="55150"/>
      <w:bookmarkEnd w:id="55151"/>
      <w:r>
        <w:rPr>
          <w:rFonts w:hint="cs"/>
          <w:rtl/>
        </w:rPr>
        <w:t xml:space="preserve"> </w:t>
      </w:r>
      <w:bookmarkStart w:id="55152" w:name="_ETM_Q101_698279"/>
      <w:bookmarkEnd w:id="55152"/>
      <w:r>
        <w:rPr>
          <w:rFonts w:hint="cs"/>
          <w:rtl/>
        </w:rPr>
        <w:t xml:space="preserve">התחושה </w:t>
      </w:r>
      <w:bookmarkStart w:id="55153" w:name="_ETM_Q101_698790"/>
      <w:bookmarkEnd w:id="55153"/>
      <w:r>
        <w:rPr>
          <w:rFonts w:hint="cs"/>
          <w:rtl/>
        </w:rPr>
        <w:t xml:space="preserve">של </w:t>
      </w:r>
      <w:bookmarkStart w:id="55154" w:name="_ETM_Q101_699179"/>
      <w:bookmarkEnd w:id="55154"/>
      <w:r>
        <w:rPr>
          <w:rFonts w:hint="cs"/>
          <w:rtl/>
        </w:rPr>
        <w:t xml:space="preserve">לחוות </w:t>
      </w:r>
      <w:bookmarkStart w:id="55155" w:name="_ETM_Q101_699659"/>
      <w:bookmarkEnd w:id="55155"/>
      <w:r>
        <w:rPr>
          <w:rFonts w:hint="cs"/>
          <w:rtl/>
        </w:rPr>
        <w:t xml:space="preserve">את </w:t>
      </w:r>
      <w:bookmarkStart w:id="55156" w:name="_ETM_Q101_699839"/>
      <w:bookmarkStart w:id="55157" w:name="_ETM_Q101_700379"/>
      <w:bookmarkStart w:id="55158" w:name="_ETM_Q101_700529"/>
      <w:bookmarkEnd w:id="55156"/>
      <w:bookmarkEnd w:id="55157"/>
      <w:bookmarkEnd w:id="55158"/>
      <w:r>
        <w:rPr>
          <w:rFonts w:hint="cs"/>
          <w:rtl/>
        </w:rPr>
        <w:t xml:space="preserve">החוויה </w:t>
      </w:r>
      <w:bookmarkStart w:id="55159" w:name="_ETM_Q101_701069"/>
      <w:bookmarkEnd w:id="55159"/>
      <w:r>
        <w:rPr>
          <w:rFonts w:hint="cs"/>
          <w:rtl/>
        </w:rPr>
        <w:t xml:space="preserve">הזאת </w:t>
      </w:r>
      <w:bookmarkStart w:id="55160" w:name="_ETM_Q101_701339"/>
      <w:bookmarkEnd w:id="55160"/>
      <w:r>
        <w:rPr>
          <w:rFonts w:hint="cs"/>
          <w:rtl/>
        </w:rPr>
        <w:t xml:space="preserve">ב-03:00 </w:t>
      </w:r>
      <w:bookmarkStart w:id="55161" w:name="_ETM_Q101_699177"/>
      <w:bookmarkStart w:id="55162" w:name="_ETM_Q101_701790"/>
      <w:bookmarkStart w:id="55163" w:name="_ETM_Q101_702419"/>
      <w:bookmarkEnd w:id="55161"/>
      <w:bookmarkEnd w:id="55162"/>
      <w:bookmarkEnd w:id="55163"/>
      <w:r>
        <w:rPr>
          <w:rFonts w:hint="cs"/>
          <w:rtl/>
        </w:rPr>
        <w:t xml:space="preserve">מחוץ </w:t>
      </w:r>
      <w:bookmarkStart w:id="55164" w:name="_ETM_Q101_702719"/>
      <w:bookmarkEnd w:id="55164"/>
      <w:r>
        <w:rPr>
          <w:rFonts w:hint="cs"/>
          <w:rtl/>
        </w:rPr>
        <w:t xml:space="preserve">לתחנת </w:t>
      </w:r>
      <w:bookmarkStart w:id="55165" w:name="_ETM_Q101_703290"/>
      <w:bookmarkEnd w:id="55165"/>
      <w:r>
        <w:rPr>
          <w:rFonts w:hint="cs"/>
          <w:rtl/>
        </w:rPr>
        <w:t xml:space="preserve">משטרה. </w:t>
      </w:r>
      <w:bookmarkStart w:id="55166" w:name="_ETM_Q101_704390"/>
      <w:bookmarkEnd w:id="55166"/>
      <w:r>
        <w:rPr>
          <w:rFonts w:hint="cs"/>
          <w:rtl/>
        </w:rPr>
        <w:t xml:space="preserve">אבל </w:t>
      </w:r>
      <w:bookmarkStart w:id="55167" w:name="_ETM_Q101_704660"/>
      <w:bookmarkEnd w:id="55167"/>
      <w:r>
        <w:rPr>
          <w:rFonts w:hint="cs"/>
          <w:rtl/>
        </w:rPr>
        <w:t xml:space="preserve">הרגע </w:t>
      </w:r>
      <w:bookmarkStart w:id="55168" w:name="_ETM_Q101_704960"/>
      <w:bookmarkEnd w:id="55168"/>
      <w:r>
        <w:rPr>
          <w:rFonts w:hint="cs"/>
          <w:rtl/>
        </w:rPr>
        <w:t xml:space="preserve">הזה </w:t>
      </w:r>
      <w:bookmarkStart w:id="55169" w:name="_ETM_Q101_705290"/>
      <w:bookmarkEnd w:id="55169"/>
      <w:r>
        <w:rPr>
          <w:rFonts w:hint="cs"/>
          <w:rtl/>
        </w:rPr>
        <w:t xml:space="preserve">הפיח </w:t>
      </w:r>
      <w:bookmarkStart w:id="55170" w:name="_ETM_Q101_705679"/>
      <w:bookmarkEnd w:id="55170"/>
      <w:r>
        <w:rPr>
          <w:rFonts w:hint="cs"/>
          <w:rtl/>
        </w:rPr>
        <w:t xml:space="preserve">בי הרבה </w:t>
      </w:r>
      <w:bookmarkStart w:id="55171" w:name="_ETM_Q101_706069"/>
      <w:bookmarkEnd w:id="55171"/>
      <w:r>
        <w:rPr>
          <w:rFonts w:hint="cs"/>
          <w:rtl/>
        </w:rPr>
        <w:t xml:space="preserve">מאוד </w:t>
      </w:r>
      <w:bookmarkStart w:id="55172" w:name="_ETM_Q101_706250"/>
      <w:bookmarkEnd w:id="55172"/>
      <w:r>
        <w:rPr>
          <w:rFonts w:hint="cs"/>
          <w:rtl/>
        </w:rPr>
        <w:t xml:space="preserve">תקווה </w:t>
      </w:r>
      <w:bookmarkStart w:id="55173" w:name="_ETM_Q101_706790"/>
      <w:bookmarkEnd w:id="55173"/>
      <w:r>
        <w:rPr>
          <w:rFonts w:hint="cs"/>
          <w:rtl/>
        </w:rPr>
        <w:t xml:space="preserve">והרבה </w:t>
      </w:r>
      <w:bookmarkStart w:id="55174" w:name="_ETM_Q101_707150"/>
      <w:bookmarkEnd w:id="55174"/>
      <w:r>
        <w:rPr>
          <w:rFonts w:hint="cs"/>
          <w:rtl/>
        </w:rPr>
        <w:t xml:space="preserve">מאוד </w:t>
      </w:r>
      <w:bookmarkStart w:id="55175" w:name="_ETM_Q101_707360"/>
      <w:bookmarkEnd w:id="55175"/>
      <w:r>
        <w:rPr>
          <w:rFonts w:hint="cs"/>
          <w:rtl/>
        </w:rPr>
        <w:t xml:space="preserve">תחושה </w:t>
      </w:r>
      <w:bookmarkStart w:id="55176" w:name="_ETM_Q101_707840"/>
      <w:bookmarkEnd w:id="55176"/>
      <w:r>
        <w:rPr>
          <w:rFonts w:hint="cs"/>
          <w:rtl/>
        </w:rPr>
        <w:t xml:space="preserve">של </w:t>
      </w:r>
      <w:bookmarkStart w:id="55177" w:name="_ETM_Q101_709010"/>
      <w:bookmarkEnd w:id="55177"/>
      <w:r>
        <w:rPr>
          <w:rFonts w:hint="cs"/>
          <w:rtl/>
        </w:rPr>
        <w:t xml:space="preserve">הערבות </w:t>
      </w:r>
      <w:bookmarkStart w:id="55178" w:name="_ETM_Q101_709760"/>
      <w:bookmarkEnd w:id="55178"/>
      <w:r>
        <w:rPr>
          <w:rFonts w:hint="cs"/>
          <w:rtl/>
        </w:rPr>
        <w:t xml:space="preserve">ההדדית </w:t>
      </w:r>
      <w:bookmarkStart w:id="55179" w:name="_ETM_Q101_710239"/>
      <w:bookmarkEnd w:id="55179"/>
      <w:r>
        <w:rPr>
          <w:rFonts w:hint="cs"/>
          <w:rtl/>
        </w:rPr>
        <w:t xml:space="preserve">שיש </w:t>
      </w:r>
      <w:bookmarkStart w:id="55180" w:name="_ETM_Q101_710569"/>
      <w:bookmarkEnd w:id="55180"/>
      <w:r>
        <w:rPr>
          <w:rFonts w:hint="cs"/>
          <w:rtl/>
        </w:rPr>
        <w:t xml:space="preserve">אצלנו </w:t>
      </w:r>
      <w:bookmarkStart w:id="55181" w:name="_ETM_Q101_711049"/>
      <w:bookmarkEnd w:id="55181"/>
      <w:r>
        <w:rPr>
          <w:rFonts w:hint="cs"/>
          <w:rtl/>
        </w:rPr>
        <w:t xml:space="preserve">בעם, </w:t>
      </w:r>
      <w:bookmarkStart w:id="55182" w:name="_ETM_Q101_712840"/>
      <w:bookmarkEnd w:id="55182"/>
      <w:r>
        <w:rPr>
          <w:rFonts w:hint="cs"/>
          <w:rtl/>
        </w:rPr>
        <w:t xml:space="preserve">האחווה </w:t>
      </w:r>
      <w:bookmarkStart w:id="55183" w:name="_ETM_Q101_715230"/>
      <w:bookmarkEnd w:id="55183"/>
      <w:r>
        <w:rPr>
          <w:rFonts w:hint="cs"/>
          <w:rtl/>
        </w:rPr>
        <w:t xml:space="preserve">והרצון </w:t>
      </w:r>
      <w:bookmarkStart w:id="55184" w:name="_ETM_Q101_718719"/>
      <w:bookmarkEnd w:id="55184"/>
      <w:r>
        <w:rPr>
          <w:rFonts w:hint="cs"/>
          <w:rtl/>
        </w:rPr>
        <w:t xml:space="preserve">שנצליח, </w:t>
      </w:r>
      <w:bookmarkStart w:id="55185" w:name="_ETM_Q101_719989"/>
      <w:bookmarkEnd w:id="55185"/>
      <w:r>
        <w:rPr>
          <w:rFonts w:hint="cs"/>
          <w:rtl/>
        </w:rPr>
        <w:t xml:space="preserve">נצליח </w:t>
      </w:r>
      <w:bookmarkStart w:id="55186" w:name="_ETM_Q101_720620"/>
      <w:bookmarkEnd w:id="55186"/>
      <w:r>
        <w:rPr>
          <w:rFonts w:hint="cs"/>
          <w:rtl/>
        </w:rPr>
        <w:t xml:space="preserve">במאבק </w:t>
      </w:r>
      <w:bookmarkStart w:id="55187" w:name="_ETM_Q101_721189"/>
      <w:bookmarkEnd w:id="55187"/>
      <w:r>
        <w:rPr>
          <w:rFonts w:hint="cs"/>
          <w:rtl/>
        </w:rPr>
        <w:t xml:space="preserve">הזה </w:t>
      </w:r>
      <w:bookmarkStart w:id="55188" w:name="_ETM_Q101_721609"/>
      <w:bookmarkEnd w:id="55188"/>
      <w:r>
        <w:rPr>
          <w:rFonts w:hint="cs"/>
          <w:rtl/>
        </w:rPr>
        <w:t xml:space="preserve">לשמור </w:t>
      </w:r>
      <w:bookmarkStart w:id="55189" w:name="_ETM_Q101_721999"/>
      <w:bookmarkEnd w:id="55189"/>
      <w:r>
        <w:rPr>
          <w:rFonts w:hint="cs"/>
          <w:rtl/>
        </w:rPr>
        <w:t xml:space="preserve">על </w:t>
      </w:r>
      <w:bookmarkStart w:id="55190" w:name="_ETM_Q101_722090"/>
      <w:bookmarkEnd w:id="55190"/>
      <w:r>
        <w:rPr>
          <w:rFonts w:hint="cs"/>
          <w:rtl/>
        </w:rPr>
        <w:t xml:space="preserve">הדמוקרטיה. </w:t>
      </w:r>
      <w:bookmarkStart w:id="55191" w:name="_ETM_Q101_723110"/>
      <w:bookmarkEnd w:id="55191"/>
      <w:r>
        <w:rPr>
          <w:rFonts w:hint="cs"/>
          <w:rtl/>
        </w:rPr>
        <w:t xml:space="preserve">אז </w:t>
      </w:r>
      <w:bookmarkStart w:id="55192" w:name="_ETM_Q101_723290"/>
      <w:bookmarkEnd w:id="55192"/>
      <w:r>
        <w:rPr>
          <w:rFonts w:hint="cs"/>
          <w:rtl/>
        </w:rPr>
        <w:t>זה</w:t>
      </w:r>
      <w:r w:rsidR="0018073C">
        <w:rPr>
          <w:rFonts w:hint="cs"/>
          <w:rtl/>
        </w:rPr>
        <w:t>,</w:t>
      </w:r>
      <w:r>
        <w:rPr>
          <w:rFonts w:hint="cs"/>
          <w:rtl/>
        </w:rPr>
        <w:t xml:space="preserve"> </w:t>
      </w:r>
      <w:bookmarkStart w:id="55193" w:name="_ETM_Q101_723410"/>
      <w:bookmarkEnd w:id="55193"/>
      <w:r>
        <w:rPr>
          <w:rFonts w:hint="cs"/>
          <w:rtl/>
        </w:rPr>
        <w:t>ככה</w:t>
      </w:r>
      <w:r w:rsidR="0018073C">
        <w:rPr>
          <w:rFonts w:hint="cs"/>
          <w:rtl/>
        </w:rPr>
        <w:t>,</w:t>
      </w:r>
      <w:r>
        <w:rPr>
          <w:rFonts w:hint="cs"/>
          <w:rtl/>
        </w:rPr>
        <w:t xml:space="preserve"> </w:t>
      </w:r>
      <w:bookmarkStart w:id="55194" w:name="_ETM_Q101_723980"/>
      <w:bookmarkEnd w:id="55194"/>
      <w:r>
        <w:rPr>
          <w:rFonts w:hint="cs"/>
          <w:rtl/>
        </w:rPr>
        <w:t xml:space="preserve">סיפור </w:t>
      </w:r>
      <w:bookmarkStart w:id="55195" w:name="_ETM_Q101_726549"/>
      <w:bookmarkEnd w:id="55195"/>
      <w:r>
        <w:rPr>
          <w:rFonts w:hint="cs"/>
          <w:rtl/>
        </w:rPr>
        <w:t xml:space="preserve">לפני </w:t>
      </w:r>
      <w:bookmarkStart w:id="55196" w:name="_ETM_Q101_726909"/>
      <w:bookmarkEnd w:id="55196"/>
      <w:r>
        <w:rPr>
          <w:rFonts w:hint="cs"/>
          <w:rtl/>
        </w:rPr>
        <w:t xml:space="preserve">שאני </w:t>
      </w:r>
      <w:bookmarkStart w:id="55197" w:name="_ETM_Q101_728169"/>
      <w:bookmarkEnd w:id="55197"/>
      <w:r>
        <w:rPr>
          <w:rFonts w:hint="cs"/>
          <w:rtl/>
        </w:rPr>
        <w:t xml:space="preserve">מתחילה </w:t>
      </w:r>
      <w:bookmarkStart w:id="55198" w:name="_ETM_Q101_728679"/>
      <w:bookmarkEnd w:id="55198"/>
      <w:r>
        <w:rPr>
          <w:rFonts w:hint="cs"/>
          <w:rtl/>
        </w:rPr>
        <w:t xml:space="preserve">את </w:t>
      </w:r>
      <w:bookmarkStart w:id="55199" w:name="_ETM_Q101_728769"/>
      <w:bookmarkEnd w:id="55199"/>
      <w:r>
        <w:rPr>
          <w:rFonts w:hint="cs"/>
          <w:rtl/>
        </w:rPr>
        <w:t xml:space="preserve">דבריי. </w:t>
      </w:r>
      <w:bookmarkStart w:id="55200" w:name="_ETM_Q101_733010"/>
      <w:bookmarkEnd w:id="55200"/>
    </w:p>
    <w:p w:rsidR="00BB59CD" w:rsidRDefault="00BB59CD" w:rsidP="00BB59CD">
      <w:pPr>
        <w:rPr>
          <w:rtl/>
        </w:rPr>
      </w:pPr>
      <w:bookmarkStart w:id="55201" w:name="_ETM_Q101_731927"/>
      <w:bookmarkStart w:id="55202" w:name="_ETM_Q101_731987"/>
      <w:bookmarkEnd w:id="55201"/>
      <w:bookmarkEnd w:id="55202"/>
    </w:p>
    <w:p w:rsidR="00BB59CD" w:rsidRDefault="00BB59CD" w:rsidP="00BB59CD">
      <w:pPr>
        <w:rPr>
          <w:rtl/>
        </w:rPr>
      </w:pPr>
      <w:bookmarkStart w:id="55203" w:name="_ETM_Q101_732102"/>
      <w:bookmarkStart w:id="55204" w:name="_ETM_Q101_732151"/>
      <w:bookmarkEnd w:id="55203"/>
      <w:bookmarkEnd w:id="55204"/>
      <w:r>
        <w:rPr>
          <w:rFonts w:hint="cs"/>
          <w:rtl/>
        </w:rPr>
        <w:t xml:space="preserve">הציבור </w:t>
      </w:r>
      <w:bookmarkStart w:id="55205" w:name="_ETM_Q101_733519"/>
      <w:bookmarkEnd w:id="55205"/>
      <w:r>
        <w:rPr>
          <w:rFonts w:hint="cs"/>
          <w:rtl/>
        </w:rPr>
        <w:t xml:space="preserve">הישראלי </w:t>
      </w:r>
      <w:bookmarkStart w:id="55206" w:name="_ETM_Q101_734209"/>
      <w:bookmarkEnd w:id="55206"/>
      <w:r>
        <w:rPr>
          <w:rFonts w:hint="cs"/>
          <w:rtl/>
        </w:rPr>
        <w:t xml:space="preserve">כולו </w:t>
      </w:r>
      <w:bookmarkStart w:id="55207" w:name="_ETM_Q101_734629"/>
      <w:bookmarkEnd w:id="55207"/>
      <w:r>
        <w:rPr>
          <w:rFonts w:hint="cs"/>
          <w:rtl/>
        </w:rPr>
        <w:t xml:space="preserve">חרד </w:t>
      </w:r>
      <w:bookmarkStart w:id="55208" w:name="_ETM_Q101_735530"/>
      <w:bookmarkEnd w:id="55208"/>
      <w:r>
        <w:rPr>
          <w:rFonts w:hint="cs"/>
          <w:rtl/>
        </w:rPr>
        <w:t xml:space="preserve">ממה </w:t>
      </w:r>
      <w:bookmarkStart w:id="55209" w:name="_ETM_Q101_735890"/>
      <w:bookmarkEnd w:id="55209"/>
      <w:r>
        <w:rPr>
          <w:rFonts w:hint="cs"/>
          <w:rtl/>
        </w:rPr>
        <w:t xml:space="preserve">שעשוי </w:t>
      </w:r>
      <w:bookmarkStart w:id="55210" w:name="_ETM_Q101_736340"/>
      <w:bookmarkEnd w:id="55210"/>
      <w:r>
        <w:rPr>
          <w:rFonts w:hint="cs"/>
          <w:rtl/>
        </w:rPr>
        <w:t xml:space="preserve">להתרחש </w:t>
      </w:r>
      <w:bookmarkStart w:id="55211" w:name="_ETM_Q101_737270"/>
      <w:bookmarkEnd w:id="55211"/>
      <w:r>
        <w:rPr>
          <w:rFonts w:hint="cs"/>
          <w:rtl/>
        </w:rPr>
        <w:t xml:space="preserve">ממש </w:t>
      </w:r>
      <w:bookmarkStart w:id="55212" w:name="_ETM_Q101_737780"/>
      <w:bookmarkEnd w:id="55212"/>
      <w:r>
        <w:rPr>
          <w:rFonts w:hint="cs"/>
          <w:rtl/>
        </w:rPr>
        <w:t xml:space="preserve">בעוד </w:t>
      </w:r>
      <w:bookmarkStart w:id="55213" w:name="_ETM_Q101_738080"/>
      <w:bookmarkEnd w:id="55213"/>
      <w:r>
        <w:rPr>
          <w:rFonts w:hint="cs"/>
          <w:rtl/>
        </w:rPr>
        <w:t xml:space="preserve">זמן </w:t>
      </w:r>
      <w:bookmarkStart w:id="55214" w:name="_ETM_Q101_738350"/>
      <w:bookmarkEnd w:id="55214"/>
      <w:r>
        <w:rPr>
          <w:rFonts w:hint="cs"/>
          <w:rtl/>
        </w:rPr>
        <w:t xml:space="preserve">קצר. </w:t>
      </w:r>
      <w:bookmarkStart w:id="55215" w:name="_ETM_Q101_739889"/>
      <w:bookmarkEnd w:id="55215"/>
      <w:r>
        <w:rPr>
          <w:rFonts w:hint="cs"/>
          <w:rtl/>
        </w:rPr>
        <w:t xml:space="preserve">"בארץ </w:t>
      </w:r>
      <w:bookmarkStart w:id="55216" w:name="_ETM_Q101_740354"/>
      <w:bookmarkEnd w:id="55216"/>
      <w:r>
        <w:rPr>
          <w:rFonts w:hint="cs"/>
          <w:rtl/>
        </w:rPr>
        <w:t xml:space="preserve">ישראל </w:t>
      </w:r>
      <w:bookmarkStart w:id="55217" w:name="_ETM_Q101_740850"/>
      <w:bookmarkEnd w:id="55217"/>
      <w:r>
        <w:rPr>
          <w:rFonts w:hint="cs"/>
          <w:rtl/>
        </w:rPr>
        <w:t xml:space="preserve">קם </w:t>
      </w:r>
      <w:bookmarkStart w:id="55218" w:name="_ETM_Q101_741240"/>
      <w:bookmarkEnd w:id="55218"/>
      <w:r>
        <w:rPr>
          <w:rFonts w:hint="cs"/>
          <w:rtl/>
        </w:rPr>
        <w:t xml:space="preserve">העם </w:t>
      </w:r>
      <w:bookmarkStart w:id="55219" w:name="_ETM_Q101_741570"/>
      <w:bookmarkEnd w:id="55219"/>
      <w:r>
        <w:rPr>
          <w:rFonts w:hint="cs"/>
          <w:rtl/>
        </w:rPr>
        <w:t xml:space="preserve">היהודי, </w:t>
      </w:r>
      <w:bookmarkStart w:id="55220" w:name="_ETM_Q101_742389"/>
      <w:bookmarkEnd w:id="55220"/>
      <w:r>
        <w:rPr>
          <w:rFonts w:hint="cs"/>
          <w:rtl/>
        </w:rPr>
        <w:t xml:space="preserve">בה </w:t>
      </w:r>
      <w:bookmarkStart w:id="55221" w:name="_ETM_Q101_742569"/>
      <w:bookmarkEnd w:id="55221"/>
      <w:r>
        <w:rPr>
          <w:rFonts w:hint="cs"/>
          <w:rtl/>
        </w:rPr>
        <w:t xml:space="preserve">עוצבה </w:t>
      </w:r>
      <w:bookmarkStart w:id="55222" w:name="_ETM_Q101_743110"/>
      <w:bookmarkEnd w:id="55222"/>
      <w:r>
        <w:rPr>
          <w:rFonts w:hint="cs"/>
          <w:rtl/>
        </w:rPr>
        <w:t xml:space="preserve">דמותו </w:t>
      </w:r>
      <w:bookmarkStart w:id="55223" w:name="_ETM_Q101_743650"/>
      <w:bookmarkEnd w:id="55223"/>
      <w:r>
        <w:rPr>
          <w:rFonts w:hint="cs"/>
          <w:rtl/>
        </w:rPr>
        <w:t xml:space="preserve">הרוחנית, </w:t>
      </w:r>
      <w:bookmarkStart w:id="55224" w:name="_ETM_Q101_744580"/>
      <w:bookmarkEnd w:id="55224"/>
      <w:r>
        <w:rPr>
          <w:rFonts w:hint="cs"/>
          <w:rtl/>
        </w:rPr>
        <w:t xml:space="preserve">הדתית </w:t>
      </w:r>
      <w:bookmarkStart w:id="55225" w:name="_ETM_Q101_745179"/>
      <w:bookmarkEnd w:id="55225"/>
      <w:r>
        <w:rPr>
          <w:rFonts w:hint="cs"/>
          <w:rtl/>
        </w:rPr>
        <w:t xml:space="preserve">והמדינית, </w:t>
      </w:r>
      <w:bookmarkStart w:id="55226" w:name="_ETM_Q101_746259"/>
      <w:bookmarkEnd w:id="55226"/>
      <w:r>
        <w:rPr>
          <w:rFonts w:hint="cs"/>
          <w:rtl/>
        </w:rPr>
        <w:t xml:space="preserve">בה חי </w:t>
      </w:r>
      <w:bookmarkStart w:id="55227" w:name="_ETM_Q101_746919"/>
      <w:bookmarkEnd w:id="55227"/>
      <w:r>
        <w:rPr>
          <w:rFonts w:hint="cs"/>
          <w:rtl/>
        </w:rPr>
        <w:t xml:space="preserve">חיי </w:t>
      </w:r>
      <w:bookmarkStart w:id="55228" w:name="_ETM_Q101_747309"/>
      <w:bookmarkEnd w:id="55228"/>
      <w:r>
        <w:rPr>
          <w:rFonts w:hint="cs"/>
          <w:rtl/>
        </w:rPr>
        <w:t xml:space="preserve">קוממיות </w:t>
      </w:r>
      <w:bookmarkStart w:id="55229" w:name="_ETM_Q101_748030"/>
      <w:bookmarkEnd w:id="55229"/>
      <w:r>
        <w:rPr>
          <w:rFonts w:hint="cs"/>
          <w:rtl/>
        </w:rPr>
        <w:t xml:space="preserve">ממלכתית". </w:t>
      </w:r>
      <w:bookmarkStart w:id="55230" w:name="_ETM_Q101_749300"/>
      <w:bookmarkEnd w:id="55230"/>
      <w:r>
        <w:rPr>
          <w:rFonts w:hint="cs"/>
          <w:rtl/>
        </w:rPr>
        <w:t xml:space="preserve">במשפט </w:t>
      </w:r>
      <w:bookmarkStart w:id="55231" w:name="_ETM_Q101_749900"/>
      <w:bookmarkEnd w:id="55231"/>
      <w:r>
        <w:rPr>
          <w:rFonts w:hint="cs"/>
          <w:rtl/>
        </w:rPr>
        <w:t xml:space="preserve">הזה </w:t>
      </w:r>
      <w:bookmarkStart w:id="55232" w:name="_ETM_Q101_750259"/>
      <w:bookmarkEnd w:id="55232"/>
      <w:r>
        <w:rPr>
          <w:rFonts w:hint="cs"/>
          <w:rtl/>
        </w:rPr>
        <w:t>נפתח</w:t>
      </w:r>
      <w:bookmarkStart w:id="55233" w:name="_ETM_Q101_750650"/>
      <w:bookmarkEnd w:id="55233"/>
      <w:r>
        <w:rPr>
          <w:rFonts w:hint="cs"/>
          <w:rtl/>
        </w:rPr>
        <w:t xml:space="preserve">ת </w:t>
      </w:r>
      <w:bookmarkStart w:id="55234" w:name="_ETM_Q101_750770"/>
      <w:bookmarkEnd w:id="55234"/>
      <w:r>
        <w:rPr>
          <w:rFonts w:hint="cs"/>
          <w:rtl/>
        </w:rPr>
        <w:t xml:space="preserve">הצהרת </w:t>
      </w:r>
      <w:bookmarkStart w:id="55235" w:name="_ETM_Q101_751220"/>
      <w:bookmarkEnd w:id="55235"/>
      <w:r>
        <w:rPr>
          <w:rFonts w:hint="cs"/>
          <w:rtl/>
        </w:rPr>
        <w:t xml:space="preserve">העצמאות </w:t>
      </w:r>
      <w:bookmarkStart w:id="55236" w:name="_ETM_Q101_751789"/>
      <w:bookmarkEnd w:id="55236"/>
      <w:r>
        <w:rPr>
          <w:rFonts w:hint="cs"/>
          <w:rtl/>
        </w:rPr>
        <w:t xml:space="preserve">של </w:t>
      </w:r>
      <w:bookmarkStart w:id="55237" w:name="_ETM_Q101_751940"/>
      <w:bookmarkEnd w:id="55237"/>
      <w:r>
        <w:rPr>
          <w:rFonts w:hint="cs"/>
          <w:rtl/>
        </w:rPr>
        <w:t xml:space="preserve">מדינת </w:t>
      </w:r>
      <w:bookmarkStart w:id="55238" w:name="_ETM_Q101_752360"/>
      <w:bookmarkEnd w:id="55238"/>
      <w:r>
        <w:rPr>
          <w:rFonts w:hint="cs"/>
          <w:rtl/>
        </w:rPr>
        <w:t xml:space="preserve">ישראל </w:t>
      </w:r>
      <w:bookmarkStart w:id="55239" w:name="_ETM_Q101_753470"/>
      <w:bookmarkEnd w:id="55239"/>
      <w:r>
        <w:rPr>
          <w:rFonts w:hint="cs"/>
          <w:rtl/>
        </w:rPr>
        <w:t xml:space="preserve">– מגילת </w:t>
      </w:r>
      <w:bookmarkStart w:id="55240" w:name="_ETM_Q101_753979"/>
      <w:bookmarkEnd w:id="55240"/>
      <w:r>
        <w:rPr>
          <w:rFonts w:hint="cs"/>
          <w:rtl/>
        </w:rPr>
        <w:t xml:space="preserve">העצמאות. </w:t>
      </w:r>
      <w:bookmarkStart w:id="55241" w:name="_ETM_Q101_755559"/>
      <w:bookmarkStart w:id="55242" w:name="TOR_Q102"/>
      <w:bookmarkStart w:id="55243" w:name="_ETM_Q102_180000"/>
      <w:bookmarkEnd w:id="55241"/>
      <w:bookmarkEnd w:id="55242"/>
      <w:bookmarkEnd w:id="55243"/>
      <w:r>
        <w:rPr>
          <w:rFonts w:hint="cs"/>
          <w:rtl/>
        </w:rPr>
        <w:t xml:space="preserve">בשבועות </w:t>
      </w:r>
      <w:bookmarkStart w:id="55244" w:name="_ETM_Q101_756190"/>
      <w:bookmarkEnd w:id="55244"/>
      <w:r>
        <w:rPr>
          <w:rFonts w:hint="cs"/>
          <w:rtl/>
        </w:rPr>
        <w:t xml:space="preserve">האחרונים </w:t>
      </w:r>
      <w:bookmarkStart w:id="55245" w:name="_ETM_Q101_757030"/>
      <w:bookmarkEnd w:id="55245"/>
      <w:r>
        <w:rPr>
          <w:rFonts w:hint="cs"/>
          <w:rtl/>
        </w:rPr>
        <w:t xml:space="preserve">אתם, </w:t>
      </w:r>
      <w:bookmarkStart w:id="55246" w:name="_ETM_Q101_757510"/>
      <w:bookmarkEnd w:id="55246"/>
      <w:r>
        <w:rPr>
          <w:rFonts w:hint="cs"/>
          <w:rtl/>
        </w:rPr>
        <w:t xml:space="preserve">חברי </w:t>
      </w:r>
      <w:bookmarkStart w:id="55247" w:name="_ETM_Q101_757900"/>
      <w:bookmarkEnd w:id="55247"/>
      <w:r>
        <w:rPr>
          <w:rFonts w:hint="cs"/>
          <w:rtl/>
        </w:rPr>
        <w:t xml:space="preserve">הממשלה </w:t>
      </w:r>
      <w:bookmarkStart w:id="55248" w:name="_ETM_Q101_758500"/>
      <w:bookmarkEnd w:id="55248"/>
      <w:r>
        <w:rPr>
          <w:rFonts w:hint="cs"/>
          <w:rtl/>
        </w:rPr>
        <w:t xml:space="preserve">והקואליציה, </w:t>
      </w:r>
      <w:bookmarkStart w:id="55249" w:name="_ETM_Q101_759910"/>
      <w:bookmarkEnd w:id="55249"/>
      <w:r>
        <w:rPr>
          <w:rFonts w:hint="cs"/>
          <w:rtl/>
        </w:rPr>
        <w:t xml:space="preserve">מאפשרים </w:t>
      </w:r>
      <w:bookmarkStart w:id="55250" w:name="_ETM_Q101_760690"/>
      <w:bookmarkEnd w:id="55250"/>
      <w:r>
        <w:rPr>
          <w:rFonts w:hint="cs"/>
          <w:rtl/>
        </w:rPr>
        <w:t xml:space="preserve">הפרה </w:t>
      </w:r>
      <w:bookmarkStart w:id="55251" w:name="_ETM_Q101_761449"/>
      <w:bookmarkEnd w:id="55251"/>
      <w:r>
        <w:rPr>
          <w:rFonts w:hint="cs"/>
          <w:rtl/>
        </w:rPr>
        <w:t xml:space="preserve">של </w:t>
      </w:r>
      <w:bookmarkStart w:id="55252" w:name="_ETM_Q101_761870"/>
      <w:bookmarkEnd w:id="55252"/>
      <w:r>
        <w:rPr>
          <w:rFonts w:hint="cs"/>
          <w:rtl/>
        </w:rPr>
        <w:t xml:space="preserve">מה </w:t>
      </w:r>
      <w:bookmarkStart w:id="55253" w:name="_ETM_Q101_762020"/>
      <w:bookmarkEnd w:id="55253"/>
      <w:r>
        <w:rPr>
          <w:rFonts w:hint="cs"/>
          <w:rtl/>
        </w:rPr>
        <w:t xml:space="preserve">שנאמר </w:t>
      </w:r>
      <w:bookmarkStart w:id="55254" w:name="_ETM_Q101_762620"/>
      <w:bookmarkEnd w:id="55254"/>
      <w:r>
        <w:rPr>
          <w:rFonts w:hint="cs"/>
          <w:rtl/>
        </w:rPr>
        <w:t xml:space="preserve">במסמך </w:t>
      </w:r>
      <w:bookmarkStart w:id="55255" w:name="_ETM_Q101_763219"/>
      <w:bookmarkEnd w:id="55255"/>
      <w:r>
        <w:rPr>
          <w:rFonts w:hint="cs"/>
          <w:rtl/>
        </w:rPr>
        <w:t xml:space="preserve">המכונן </w:t>
      </w:r>
      <w:bookmarkStart w:id="55256" w:name="_ETM_Q101_763729"/>
      <w:bookmarkEnd w:id="55256"/>
      <w:r>
        <w:rPr>
          <w:rFonts w:hint="cs"/>
          <w:rtl/>
        </w:rPr>
        <w:t xml:space="preserve">של </w:t>
      </w:r>
      <w:bookmarkStart w:id="55257" w:name="_ETM_Q101_763909"/>
      <w:bookmarkEnd w:id="55257"/>
      <w:r>
        <w:rPr>
          <w:rFonts w:hint="cs"/>
          <w:rtl/>
        </w:rPr>
        <w:t xml:space="preserve">המדינה, </w:t>
      </w:r>
      <w:bookmarkStart w:id="55258" w:name="_ETM_Q101_765069"/>
      <w:bookmarkEnd w:id="55258"/>
      <w:r>
        <w:rPr>
          <w:rFonts w:hint="cs"/>
          <w:rtl/>
        </w:rPr>
        <w:t xml:space="preserve">המסמך </w:t>
      </w:r>
      <w:bookmarkStart w:id="55259" w:name="_ETM_Q101_765819"/>
      <w:bookmarkEnd w:id="55259"/>
      <w:r>
        <w:rPr>
          <w:rFonts w:hint="cs"/>
          <w:rtl/>
        </w:rPr>
        <w:t xml:space="preserve">שמגדיר </w:t>
      </w:r>
      <w:bookmarkStart w:id="55260" w:name="_ETM_Q101_766629"/>
      <w:bookmarkEnd w:id="55260"/>
      <w:r>
        <w:rPr>
          <w:rFonts w:hint="cs"/>
          <w:rtl/>
        </w:rPr>
        <w:t xml:space="preserve">את </w:t>
      </w:r>
      <w:bookmarkStart w:id="55261" w:name="_ETM_Q101_766780"/>
      <w:bookmarkEnd w:id="55261"/>
      <w:r>
        <w:rPr>
          <w:rFonts w:hint="cs"/>
          <w:rtl/>
        </w:rPr>
        <w:t xml:space="preserve">אישיותה </w:t>
      </w:r>
      <w:bookmarkStart w:id="55262" w:name="_ETM_Q101_767289"/>
      <w:bookmarkEnd w:id="55262"/>
      <w:r>
        <w:rPr>
          <w:rFonts w:hint="cs"/>
          <w:rtl/>
        </w:rPr>
        <w:t xml:space="preserve">של </w:t>
      </w:r>
      <w:bookmarkStart w:id="55263" w:name="_ETM_Q101_767499"/>
      <w:bookmarkEnd w:id="55263"/>
      <w:r>
        <w:rPr>
          <w:rFonts w:hint="cs"/>
          <w:rtl/>
        </w:rPr>
        <w:t xml:space="preserve">המדינה. </w:t>
      </w:r>
      <w:bookmarkStart w:id="55264" w:name="_ETM_Q101_768929"/>
      <w:bookmarkEnd w:id="55264"/>
      <w:r>
        <w:rPr>
          <w:rFonts w:hint="cs"/>
          <w:rtl/>
        </w:rPr>
        <w:t xml:space="preserve">המשבר </w:t>
      </w:r>
      <w:bookmarkStart w:id="55265" w:name="_ETM_Q101_769620"/>
      <w:bookmarkEnd w:id="55265"/>
      <w:r>
        <w:rPr>
          <w:rFonts w:hint="cs"/>
          <w:rtl/>
        </w:rPr>
        <w:t xml:space="preserve">שהממשלה </w:t>
      </w:r>
      <w:bookmarkStart w:id="55266" w:name="_ETM_Q101_770400"/>
      <w:bookmarkEnd w:id="55266"/>
      <w:r>
        <w:rPr>
          <w:rFonts w:hint="cs"/>
          <w:rtl/>
        </w:rPr>
        <w:t xml:space="preserve">הזאת </w:t>
      </w:r>
      <w:bookmarkStart w:id="55267" w:name="_ETM_Q101_770730"/>
      <w:bookmarkEnd w:id="55267"/>
      <w:r>
        <w:rPr>
          <w:rFonts w:hint="cs"/>
          <w:rtl/>
        </w:rPr>
        <w:t xml:space="preserve">מובילה </w:t>
      </w:r>
      <w:bookmarkStart w:id="55268" w:name="_ETM_Q101_771210"/>
      <w:bookmarkEnd w:id="55268"/>
      <w:r>
        <w:rPr>
          <w:rFonts w:hint="cs"/>
          <w:rtl/>
        </w:rPr>
        <w:t xml:space="preserve">אותנו </w:t>
      </w:r>
      <w:bookmarkStart w:id="55269" w:name="_ETM_Q101_771600"/>
      <w:bookmarkEnd w:id="55269"/>
      <w:r>
        <w:rPr>
          <w:rFonts w:hint="cs"/>
          <w:rtl/>
        </w:rPr>
        <w:t xml:space="preserve">לקראתו </w:t>
      </w:r>
      <w:bookmarkStart w:id="55270" w:name="_ETM_Q101_772710"/>
      <w:bookmarkEnd w:id="55270"/>
      <w:r>
        <w:rPr>
          <w:rFonts w:hint="cs"/>
          <w:rtl/>
        </w:rPr>
        <w:t xml:space="preserve">הוא </w:t>
      </w:r>
      <w:bookmarkStart w:id="55271" w:name="_ETM_Q101_772860"/>
      <w:bookmarkEnd w:id="55271"/>
      <w:r>
        <w:rPr>
          <w:rFonts w:hint="cs"/>
          <w:rtl/>
        </w:rPr>
        <w:t xml:space="preserve">לא </w:t>
      </w:r>
      <w:bookmarkStart w:id="55272" w:name="_ETM_Q101_773100"/>
      <w:bookmarkEnd w:id="55272"/>
      <w:r>
        <w:rPr>
          <w:rFonts w:hint="cs"/>
          <w:rtl/>
        </w:rPr>
        <w:t xml:space="preserve">רק </w:t>
      </w:r>
      <w:bookmarkStart w:id="55273" w:name="_ETM_Q101_773280"/>
      <w:bookmarkEnd w:id="55273"/>
      <w:r>
        <w:rPr>
          <w:rFonts w:hint="cs"/>
          <w:rtl/>
        </w:rPr>
        <w:t xml:space="preserve">משבר </w:t>
      </w:r>
      <w:bookmarkStart w:id="55274" w:name="_ETM_Q101_773670"/>
      <w:bookmarkEnd w:id="55274"/>
      <w:r>
        <w:rPr>
          <w:rFonts w:hint="cs"/>
          <w:rtl/>
        </w:rPr>
        <w:t xml:space="preserve">חוקתי </w:t>
      </w:r>
      <w:bookmarkStart w:id="55275" w:name="_ETM_Q101_774510"/>
      <w:bookmarkEnd w:id="55275"/>
      <w:r>
        <w:rPr>
          <w:rFonts w:hint="cs"/>
          <w:rtl/>
        </w:rPr>
        <w:t xml:space="preserve">או </w:t>
      </w:r>
      <w:bookmarkStart w:id="55276" w:name="_ETM_Q101_774630"/>
      <w:bookmarkEnd w:id="55276"/>
      <w:r>
        <w:rPr>
          <w:rFonts w:hint="cs"/>
          <w:rtl/>
        </w:rPr>
        <w:t xml:space="preserve">משפטי, </w:t>
      </w:r>
      <w:bookmarkStart w:id="55277" w:name="_ETM_Q101_775840"/>
      <w:bookmarkEnd w:id="55277"/>
      <w:r>
        <w:rPr>
          <w:rFonts w:hint="cs"/>
          <w:rtl/>
        </w:rPr>
        <w:t xml:space="preserve">זה </w:t>
      </w:r>
      <w:bookmarkStart w:id="55278" w:name="_ETM_Q101_776110"/>
      <w:bookmarkEnd w:id="55278"/>
      <w:r>
        <w:rPr>
          <w:rFonts w:hint="cs"/>
          <w:rtl/>
        </w:rPr>
        <w:t xml:space="preserve">משבר </w:t>
      </w:r>
      <w:bookmarkStart w:id="55279" w:name="_ETM_Q101_776530"/>
      <w:bookmarkEnd w:id="55279"/>
      <w:r>
        <w:rPr>
          <w:rFonts w:hint="cs"/>
          <w:rtl/>
        </w:rPr>
        <w:t xml:space="preserve">היסטורי – </w:t>
      </w:r>
      <w:bookmarkStart w:id="55280" w:name="_ETM_Q101_777970"/>
      <w:bookmarkEnd w:id="55280"/>
      <w:r>
        <w:rPr>
          <w:rFonts w:hint="cs"/>
          <w:rtl/>
        </w:rPr>
        <w:t xml:space="preserve">שִׁכְחַת </w:t>
      </w:r>
      <w:bookmarkStart w:id="55281" w:name="_ETM_Q101_778600"/>
      <w:bookmarkEnd w:id="55281"/>
      <w:r>
        <w:rPr>
          <w:rFonts w:hint="cs"/>
          <w:rtl/>
        </w:rPr>
        <w:t xml:space="preserve">ההיסטוריה, </w:t>
      </w:r>
      <w:bookmarkStart w:id="55282" w:name="_ETM_Q101_779559"/>
      <w:bookmarkEnd w:id="55282"/>
      <w:r>
        <w:rPr>
          <w:rFonts w:hint="cs"/>
          <w:rtl/>
        </w:rPr>
        <w:t xml:space="preserve">ההתכחשות </w:t>
      </w:r>
      <w:bookmarkStart w:id="55283" w:name="_ETM_Q101_780340"/>
      <w:bookmarkEnd w:id="55283"/>
      <w:r>
        <w:rPr>
          <w:rFonts w:hint="cs"/>
          <w:rtl/>
        </w:rPr>
        <w:t>לה ובעיק</w:t>
      </w:r>
      <w:bookmarkStart w:id="55284" w:name="_ETM_Q101_781050"/>
      <w:bookmarkEnd w:id="55284"/>
      <w:r>
        <w:rPr>
          <w:rFonts w:hint="cs"/>
          <w:rtl/>
        </w:rPr>
        <w:t xml:space="preserve">ר </w:t>
      </w:r>
      <w:bookmarkStart w:id="55285" w:name="_ETM_Q102_180329"/>
      <w:bookmarkStart w:id="55286" w:name="_ETM_Q102_181110"/>
      <w:bookmarkStart w:id="55287" w:name="_ETM_Q102_181680"/>
      <w:bookmarkStart w:id="55288" w:name="_ETM_Q102_182520"/>
      <w:bookmarkStart w:id="55289" w:name="_ETM_Q102_182700"/>
      <w:bookmarkStart w:id="55290" w:name="_ETM_Q102_182850"/>
      <w:bookmarkStart w:id="55291" w:name="_ETM_Q102_184229"/>
      <w:bookmarkEnd w:id="55285"/>
      <w:bookmarkEnd w:id="55286"/>
      <w:bookmarkEnd w:id="55287"/>
      <w:bookmarkEnd w:id="55288"/>
      <w:bookmarkEnd w:id="55289"/>
      <w:bookmarkEnd w:id="55290"/>
      <w:bookmarkEnd w:id="55291"/>
      <w:r>
        <w:rPr>
          <w:rFonts w:hint="cs"/>
          <w:rtl/>
        </w:rPr>
        <w:t xml:space="preserve">הכתמתה. </w:t>
      </w:r>
    </w:p>
    <w:p w:rsidR="00BB59CD" w:rsidRDefault="00BB59CD" w:rsidP="00BB59CD">
      <w:pPr>
        <w:rPr>
          <w:rtl/>
        </w:rPr>
      </w:pPr>
      <w:bookmarkStart w:id="55292" w:name="_ETM_Q102_185368"/>
      <w:bookmarkStart w:id="55293" w:name="_ETM_Q102_185517"/>
      <w:bookmarkEnd w:id="55292"/>
      <w:bookmarkEnd w:id="55293"/>
    </w:p>
    <w:p w:rsidR="00BB59CD" w:rsidRDefault="00BB59CD" w:rsidP="00BB59CD">
      <w:pPr>
        <w:rPr>
          <w:rtl/>
        </w:rPr>
      </w:pPr>
      <w:bookmarkStart w:id="55294" w:name="_ETM_Q102_185619"/>
      <w:bookmarkStart w:id="55295" w:name="_ETM_Q102_185698"/>
      <w:bookmarkEnd w:id="55294"/>
      <w:bookmarkEnd w:id="55295"/>
      <w:r>
        <w:rPr>
          <w:rFonts w:hint="cs"/>
          <w:rtl/>
        </w:rPr>
        <w:t xml:space="preserve">אני </w:t>
      </w:r>
      <w:bookmarkStart w:id="55296" w:name="_ETM_Q102_184470"/>
      <w:bookmarkEnd w:id="55296"/>
      <w:r>
        <w:rPr>
          <w:rFonts w:hint="cs"/>
          <w:rtl/>
        </w:rPr>
        <w:t xml:space="preserve">רוצה </w:t>
      </w:r>
      <w:bookmarkStart w:id="55297" w:name="_ETM_Q102_184799"/>
      <w:bookmarkEnd w:id="55297"/>
      <w:r>
        <w:rPr>
          <w:rFonts w:hint="cs"/>
          <w:rtl/>
        </w:rPr>
        <w:t xml:space="preserve">להזכיר </w:t>
      </w:r>
      <w:bookmarkStart w:id="55298" w:name="_ETM_Q102_185309"/>
      <w:bookmarkEnd w:id="55298"/>
      <w:r>
        <w:rPr>
          <w:rFonts w:hint="cs"/>
          <w:rtl/>
        </w:rPr>
        <w:t xml:space="preserve">לכם </w:t>
      </w:r>
      <w:bookmarkStart w:id="55299" w:name="_ETM_Q102_186480"/>
      <w:bookmarkEnd w:id="55299"/>
      <w:r>
        <w:rPr>
          <w:rFonts w:hint="cs"/>
          <w:rtl/>
        </w:rPr>
        <w:t xml:space="preserve">שההתחלה </w:t>
      </w:r>
      <w:bookmarkStart w:id="55300" w:name="_ETM_Q102_187230"/>
      <w:bookmarkEnd w:id="55300"/>
      <w:r>
        <w:rPr>
          <w:rFonts w:hint="cs"/>
          <w:rtl/>
        </w:rPr>
        <w:t xml:space="preserve">שלנו </w:t>
      </w:r>
      <w:bookmarkStart w:id="55301" w:name="_ETM_Q102_187649"/>
      <w:bookmarkEnd w:id="55301"/>
      <w:r>
        <w:rPr>
          <w:rFonts w:hint="cs"/>
          <w:rtl/>
        </w:rPr>
        <w:t xml:space="preserve">כמדינה </w:t>
      </w:r>
      <w:bookmarkStart w:id="55302" w:name="_ETM_Q102_188610"/>
      <w:bookmarkEnd w:id="55302"/>
      <w:r>
        <w:rPr>
          <w:rFonts w:hint="cs"/>
          <w:rtl/>
        </w:rPr>
        <w:t xml:space="preserve">הייתה </w:t>
      </w:r>
      <w:bookmarkStart w:id="55303" w:name="_ETM_Q102_189240"/>
      <w:bookmarkEnd w:id="55303"/>
      <w:r>
        <w:rPr>
          <w:rFonts w:hint="cs"/>
          <w:rtl/>
        </w:rPr>
        <w:t xml:space="preserve">קשה </w:t>
      </w:r>
      <w:bookmarkStart w:id="55304" w:name="_ETM_Q102_189630"/>
      <w:bookmarkEnd w:id="55304"/>
      <w:r>
        <w:rPr>
          <w:rFonts w:hint="cs"/>
          <w:rtl/>
        </w:rPr>
        <w:t xml:space="preserve">מנשוא, </w:t>
      </w:r>
      <w:bookmarkStart w:id="55305" w:name="_ETM_Q102_190860"/>
      <w:bookmarkEnd w:id="55305"/>
      <w:r>
        <w:rPr>
          <w:rFonts w:hint="cs"/>
          <w:rtl/>
        </w:rPr>
        <w:t xml:space="preserve">אולי </w:t>
      </w:r>
      <w:bookmarkStart w:id="55306" w:name="_ETM_Q102_191220"/>
      <w:bookmarkEnd w:id="55306"/>
      <w:r>
        <w:rPr>
          <w:rFonts w:hint="cs"/>
          <w:rtl/>
        </w:rPr>
        <w:t xml:space="preserve">קשה </w:t>
      </w:r>
      <w:bookmarkStart w:id="55307" w:name="_ETM_Q102_191520"/>
      <w:bookmarkEnd w:id="55307"/>
      <w:r>
        <w:rPr>
          <w:rFonts w:hint="cs"/>
          <w:rtl/>
        </w:rPr>
        <w:t xml:space="preserve">יותר </w:t>
      </w:r>
      <w:bookmarkStart w:id="55308" w:name="_ETM_Q102_191910"/>
      <w:bookmarkEnd w:id="55308"/>
      <w:r>
        <w:rPr>
          <w:rFonts w:hint="cs"/>
          <w:rtl/>
        </w:rPr>
        <w:t xml:space="preserve">משל </w:t>
      </w:r>
      <w:bookmarkStart w:id="55309" w:name="_ETM_Q102_192300"/>
      <w:bookmarkEnd w:id="55309"/>
      <w:r>
        <w:rPr>
          <w:rFonts w:hint="cs"/>
          <w:rtl/>
        </w:rPr>
        <w:t xml:space="preserve">עמים </w:t>
      </w:r>
      <w:bookmarkStart w:id="55310" w:name="_ETM_Q102_192630"/>
      <w:bookmarkEnd w:id="55310"/>
      <w:r>
        <w:rPr>
          <w:rFonts w:hint="cs"/>
          <w:rtl/>
        </w:rPr>
        <w:t xml:space="preserve">ומדינות </w:t>
      </w:r>
      <w:bookmarkStart w:id="55311" w:name="_ETM_Q102_193200"/>
      <w:bookmarkEnd w:id="55311"/>
      <w:r>
        <w:rPr>
          <w:rFonts w:hint="cs"/>
          <w:rtl/>
        </w:rPr>
        <w:t xml:space="preserve">אחרים. </w:t>
      </w:r>
      <w:bookmarkStart w:id="55312" w:name="_ETM_Q102_194669"/>
      <w:bookmarkEnd w:id="55312"/>
      <w:r>
        <w:rPr>
          <w:rFonts w:hint="cs"/>
          <w:rtl/>
        </w:rPr>
        <w:t xml:space="preserve">שארית </w:t>
      </w:r>
      <w:bookmarkStart w:id="55313" w:name="_ETM_Q102_195240"/>
      <w:bookmarkEnd w:id="55313"/>
      <w:r>
        <w:rPr>
          <w:rFonts w:hint="cs"/>
          <w:rtl/>
        </w:rPr>
        <w:t xml:space="preserve">הפליטה </w:t>
      </w:r>
      <w:bookmarkStart w:id="55314" w:name="_ETM_Q102_195749"/>
      <w:bookmarkEnd w:id="55314"/>
      <w:r>
        <w:rPr>
          <w:rFonts w:hint="cs"/>
          <w:rtl/>
        </w:rPr>
        <w:t xml:space="preserve">היהודית </w:t>
      </w:r>
      <w:bookmarkStart w:id="55315" w:name="_ETM_Q102_196259"/>
      <w:bookmarkEnd w:id="55315"/>
      <w:r>
        <w:rPr>
          <w:rFonts w:hint="cs"/>
          <w:rtl/>
        </w:rPr>
        <w:t xml:space="preserve">באירופה </w:t>
      </w:r>
      <w:bookmarkStart w:id="55316" w:name="_ETM_Q102_197160"/>
      <w:bookmarkEnd w:id="55316"/>
      <w:r>
        <w:rPr>
          <w:rFonts w:hint="cs"/>
          <w:rtl/>
        </w:rPr>
        <w:t xml:space="preserve">עלתה </w:t>
      </w:r>
      <w:bookmarkStart w:id="55317" w:name="_ETM_Q102_197550"/>
      <w:bookmarkEnd w:id="55317"/>
      <w:r>
        <w:rPr>
          <w:rFonts w:hint="cs"/>
          <w:rtl/>
        </w:rPr>
        <w:t xml:space="preserve">לארץ </w:t>
      </w:r>
      <w:bookmarkStart w:id="55318" w:name="_ETM_Q102_198060"/>
      <w:bookmarkEnd w:id="55318"/>
      <w:r>
        <w:rPr>
          <w:rFonts w:hint="cs"/>
          <w:rtl/>
        </w:rPr>
        <w:t xml:space="preserve">מתוך </w:t>
      </w:r>
      <w:bookmarkStart w:id="55319" w:name="_ETM_Q102_198449"/>
      <w:bookmarkEnd w:id="55319"/>
      <w:r>
        <w:rPr>
          <w:rFonts w:hint="cs"/>
          <w:rtl/>
        </w:rPr>
        <w:t xml:space="preserve">כוונה </w:t>
      </w:r>
      <w:bookmarkStart w:id="55320" w:name="_ETM_Q102_199189"/>
      <w:bookmarkEnd w:id="55320"/>
      <w:r>
        <w:rPr>
          <w:rFonts w:hint="cs"/>
          <w:rtl/>
        </w:rPr>
        <w:t xml:space="preserve">למצוא </w:t>
      </w:r>
      <w:bookmarkStart w:id="55321" w:name="_ETM_Q102_199759"/>
      <w:bookmarkEnd w:id="55321"/>
      <w:r>
        <w:rPr>
          <w:rFonts w:hint="cs"/>
          <w:rtl/>
        </w:rPr>
        <w:t xml:space="preserve">כאן </w:t>
      </w:r>
      <w:bookmarkStart w:id="55322" w:name="_ETM_Q102_199970"/>
      <w:bookmarkEnd w:id="55322"/>
      <w:r>
        <w:rPr>
          <w:rFonts w:hint="cs"/>
          <w:rtl/>
        </w:rPr>
        <w:t xml:space="preserve">מפלט </w:t>
      </w:r>
      <w:bookmarkStart w:id="55323" w:name="_ETM_Q102_200509"/>
      <w:bookmarkEnd w:id="55323"/>
      <w:r>
        <w:rPr>
          <w:rFonts w:hint="cs"/>
          <w:rtl/>
        </w:rPr>
        <w:t xml:space="preserve">מפני </w:t>
      </w:r>
      <w:bookmarkStart w:id="55324" w:name="_ETM_Q102_201140"/>
      <w:bookmarkEnd w:id="55324"/>
      <w:r>
        <w:rPr>
          <w:rFonts w:hint="cs"/>
          <w:rtl/>
        </w:rPr>
        <w:t xml:space="preserve">מדיניות </w:t>
      </w:r>
      <w:bookmarkStart w:id="55325" w:name="_ETM_Q102_201800"/>
      <w:bookmarkEnd w:id="55325"/>
      <w:r>
        <w:rPr>
          <w:rFonts w:hint="cs"/>
          <w:rtl/>
        </w:rPr>
        <w:t xml:space="preserve">שריכזה </w:t>
      </w:r>
      <w:bookmarkStart w:id="55326" w:name="_ETM_Q102_202369"/>
      <w:bookmarkEnd w:id="55326"/>
      <w:r>
        <w:rPr>
          <w:rFonts w:hint="cs"/>
          <w:rtl/>
        </w:rPr>
        <w:t xml:space="preserve">את </w:t>
      </w:r>
      <w:bookmarkStart w:id="55327" w:name="_ETM_Q102_202519"/>
      <w:bookmarkEnd w:id="55327"/>
      <w:r>
        <w:rPr>
          <w:rFonts w:hint="cs"/>
          <w:rtl/>
        </w:rPr>
        <w:t xml:space="preserve">הכוח </w:t>
      </w:r>
      <w:bookmarkStart w:id="55328" w:name="_ETM_Q102_202909"/>
      <w:bookmarkEnd w:id="55328"/>
      <w:r>
        <w:rPr>
          <w:rFonts w:hint="cs"/>
          <w:rtl/>
        </w:rPr>
        <w:t xml:space="preserve">המוחלט </w:t>
      </w:r>
      <w:bookmarkStart w:id="55329" w:name="_ETM_Q102_203509"/>
      <w:bookmarkEnd w:id="55329"/>
      <w:r>
        <w:rPr>
          <w:rFonts w:hint="cs"/>
          <w:rtl/>
        </w:rPr>
        <w:t xml:space="preserve">בידי </w:t>
      </w:r>
      <w:bookmarkStart w:id="55330" w:name="_ETM_Q102_203839"/>
      <w:bookmarkEnd w:id="55330"/>
      <w:r>
        <w:rPr>
          <w:rFonts w:hint="cs"/>
          <w:rtl/>
        </w:rPr>
        <w:t xml:space="preserve">השלטון, </w:t>
      </w:r>
      <w:bookmarkStart w:id="55331" w:name="_ETM_Q102_205260"/>
      <w:bookmarkEnd w:id="55331"/>
      <w:r>
        <w:rPr>
          <w:rFonts w:hint="cs"/>
          <w:rtl/>
        </w:rPr>
        <w:t xml:space="preserve">שהפקידה </w:t>
      </w:r>
      <w:bookmarkStart w:id="55332" w:name="_ETM_Q102_206160"/>
      <w:bookmarkEnd w:id="55332"/>
      <w:r>
        <w:rPr>
          <w:rFonts w:hint="cs"/>
          <w:rtl/>
        </w:rPr>
        <w:t xml:space="preserve">את </w:t>
      </w:r>
      <w:bookmarkStart w:id="55333" w:name="_ETM_Q102_206310"/>
      <w:bookmarkEnd w:id="55333"/>
      <w:r>
        <w:rPr>
          <w:rFonts w:hint="cs"/>
          <w:rtl/>
        </w:rPr>
        <w:t xml:space="preserve">קבלת </w:t>
      </w:r>
      <w:bookmarkStart w:id="55334" w:name="_ETM_Q102_206789"/>
      <w:bookmarkEnd w:id="55334"/>
      <w:r>
        <w:rPr>
          <w:rFonts w:hint="cs"/>
          <w:rtl/>
        </w:rPr>
        <w:t xml:space="preserve">ההחלטות </w:t>
      </w:r>
      <w:bookmarkStart w:id="55335" w:name="_ETM_Q102_207480"/>
      <w:bookmarkEnd w:id="55335"/>
      <w:r>
        <w:rPr>
          <w:rFonts w:hint="cs"/>
          <w:rtl/>
        </w:rPr>
        <w:t xml:space="preserve">בידיהם </w:t>
      </w:r>
      <w:bookmarkStart w:id="55336" w:name="_ETM_Q102_207930"/>
      <w:bookmarkEnd w:id="55336"/>
      <w:r>
        <w:rPr>
          <w:rFonts w:hint="cs"/>
          <w:rtl/>
        </w:rPr>
        <w:t xml:space="preserve">של </w:t>
      </w:r>
      <w:bookmarkStart w:id="55337" w:name="_ETM_Q102_208109"/>
      <w:bookmarkEnd w:id="55337"/>
      <w:r>
        <w:rPr>
          <w:rFonts w:hint="cs"/>
          <w:rtl/>
        </w:rPr>
        <w:t xml:space="preserve">אנשים </w:t>
      </w:r>
      <w:bookmarkStart w:id="55338" w:name="_ETM_Q102_208590"/>
      <w:bookmarkEnd w:id="55338"/>
      <w:r>
        <w:rPr>
          <w:rFonts w:hint="cs"/>
          <w:rtl/>
        </w:rPr>
        <w:t xml:space="preserve">לא </w:t>
      </w:r>
      <w:bookmarkStart w:id="55339" w:name="_ETM_Q102_208740"/>
      <w:bookmarkEnd w:id="55339"/>
      <w:r>
        <w:rPr>
          <w:rFonts w:hint="cs"/>
          <w:rtl/>
        </w:rPr>
        <w:t xml:space="preserve">ראויים, </w:t>
      </w:r>
      <w:bookmarkStart w:id="55340" w:name="_ETM_Q102_209880"/>
      <w:bookmarkEnd w:id="55340"/>
      <w:r>
        <w:rPr>
          <w:rFonts w:hint="cs"/>
          <w:rtl/>
        </w:rPr>
        <w:t xml:space="preserve">גזענים </w:t>
      </w:r>
      <w:bookmarkStart w:id="55341" w:name="_ETM_Q102_211080"/>
      <w:bookmarkEnd w:id="55341"/>
      <w:r>
        <w:rPr>
          <w:rFonts w:hint="cs"/>
          <w:rtl/>
        </w:rPr>
        <w:t xml:space="preserve">ועם </w:t>
      </w:r>
      <w:bookmarkStart w:id="55342" w:name="_ETM_Q102_211500"/>
      <w:bookmarkEnd w:id="55342"/>
      <w:r>
        <w:rPr>
          <w:rFonts w:hint="cs"/>
          <w:rtl/>
        </w:rPr>
        <w:t xml:space="preserve">שיגעון </w:t>
      </w:r>
      <w:bookmarkStart w:id="55343" w:name="_ETM_Q102_212010"/>
      <w:bookmarkEnd w:id="55343"/>
      <w:r>
        <w:rPr>
          <w:rFonts w:hint="cs"/>
          <w:rtl/>
        </w:rPr>
        <w:t xml:space="preserve">גדלות </w:t>
      </w:r>
      <w:bookmarkStart w:id="55344" w:name="_ETM_Q102_212850"/>
      <w:bookmarkEnd w:id="55344"/>
      <w:r>
        <w:rPr>
          <w:rFonts w:hint="cs"/>
          <w:rtl/>
        </w:rPr>
        <w:t xml:space="preserve">בלתי </w:t>
      </w:r>
      <w:bookmarkStart w:id="55345" w:name="_ETM_Q102_213300"/>
      <w:bookmarkEnd w:id="55345"/>
      <w:r>
        <w:rPr>
          <w:rFonts w:hint="cs"/>
          <w:rtl/>
        </w:rPr>
        <w:t xml:space="preserve">נסבל. </w:t>
      </w:r>
      <w:bookmarkStart w:id="55346" w:name="_ETM_Q102_214729"/>
      <w:bookmarkEnd w:id="55346"/>
      <w:r>
        <w:rPr>
          <w:rFonts w:hint="cs"/>
          <w:rtl/>
        </w:rPr>
        <w:t xml:space="preserve">יהודי </w:t>
      </w:r>
      <w:bookmarkStart w:id="55347" w:name="_ETM_Q102_215270"/>
      <w:bookmarkEnd w:id="55347"/>
      <w:r>
        <w:rPr>
          <w:rFonts w:hint="cs"/>
          <w:rtl/>
        </w:rPr>
        <w:t xml:space="preserve">ארצות </w:t>
      </w:r>
      <w:bookmarkStart w:id="55348" w:name="_ETM_Q102_215659"/>
      <w:bookmarkEnd w:id="55348"/>
      <w:r>
        <w:rPr>
          <w:rFonts w:hint="cs"/>
          <w:rtl/>
        </w:rPr>
        <w:t xml:space="preserve">האסלאם </w:t>
      </w:r>
      <w:bookmarkStart w:id="55349" w:name="_ETM_Q102_216199"/>
      <w:bookmarkEnd w:id="55349"/>
      <w:r>
        <w:rPr>
          <w:rFonts w:hint="cs"/>
          <w:rtl/>
        </w:rPr>
        <w:t xml:space="preserve">והמזרח </w:t>
      </w:r>
      <w:bookmarkStart w:id="55350" w:name="_ETM_Q102_217280"/>
      <w:bookmarkEnd w:id="55350"/>
      <w:r>
        <w:rPr>
          <w:rFonts w:hint="cs"/>
          <w:rtl/>
        </w:rPr>
        <w:t xml:space="preserve">הגיעו </w:t>
      </w:r>
      <w:bookmarkStart w:id="55351" w:name="_ETM_Q102_217640"/>
      <w:bookmarkEnd w:id="55351"/>
      <w:r>
        <w:rPr>
          <w:rFonts w:hint="cs"/>
          <w:rtl/>
        </w:rPr>
        <w:t xml:space="preserve">לכאן </w:t>
      </w:r>
      <w:bookmarkStart w:id="55352" w:name="_ETM_Q102_218059"/>
      <w:bookmarkEnd w:id="55352"/>
      <w:r>
        <w:rPr>
          <w:rFonts w:hint="cs"/>
          <w:rtl/>
        </w:rPr>
        <w:t xml:space="preserve">מתוך </w:t>
      </w:r>
      <w:bookmarkStart w:id="55353" w:name="_ETM_Q102_218360"/>
      <w:bookmarkEnd w:id="55353"/>
      <w:r>
        <w:rPr>
          <w:rFonts w:hint="cs"/>
          <w:rtl/>
        </w:rPr>
        <w:t xml:space="preserve">כוונה </w:t>
      </w:r>
      <w:bookmarkStart w:id="55354" w:name="_ETM_Q102_218899"/>
      <w:bookmarkEnd w:id="55354"/>
      <w:r>
        <w:rPr>
          <w:rFonts w:hint="cs"/>
          <w:rtl/>
        </w:rPr>
        <w:t xml:space="preserve">לתת </w:t>
      </w:r>
      <w:bookmarkStart w:id="55355" w:name="_ETM_Q102_219289"/>
      <w:bookmarkEnd w:id="55355"/>
      <w:r>
        <w:rPr>
          <w:rFonts w:hint="cs"/>
          <w:rtl/>
        </w:rPr>
        <w:t xml:space="preserve">יד </w:t>
      </w:r>
      <w:bookmarkStart w:id="55356" w:name="_ETM_Q102_219890"/>
      <w:bookmarkEnd w:id="55356"/>
      <w:r>
        <w:rPr>
          <w:rFonts w:hint="cs"/>
          <w:rtl/>
        </w:rPr>
        <w:t xml:space="preserve">בהקמת </w:t>
      </w:r>
      <w:bookmarkStart w:id="55357" w:name="_ETM_Q102_220489"/>
      <w:bookmarkEnd w:id="55357"/>
      <w:r>
        <w:rPr>
          <w:rFonts w:hint="cs"/>
          <w:rtl/>
        </w:rPr>
        <w:t xml:space="preserve">הארץ, </w:t>
      </w:r>
      <w:bookmarkStart w:id="55358" w:name="_ETM_Q102_221270"/>
      <w:bookmarkEnd w:id="55358"/>
      <w:r>
        <w:rPr>
          <w:rFonts w:hint="cs"/>
          <w:rtl/>
        </w:rPr>
        <w:t xml:space="preserve">בקירוב </w:t>
      </w:r>
      <w:bookmarkStart w:id="55359" w:name="_ETM_Q102_221960"/>
      <w:bookmarkEnd w:id="55359"/>
      <w:r>
        <w:rPr>
          <w:rFonts w:hint="cs"/>
          <w:rtl/>
        </w:rPr>
        <w:t xml:space="preserve">הגאולה, </w:t>
      </w:r>
      <w:bookmarkStart w:id="55360" w:name="_ETM_Q102_223100"/>
      <w:bookmarkEnd w:id="55360"/>
      <w:r>
        <w:rPr>
          <w:rFonts w:hint="cs"/>
          <w:rtl/>
        </w:rPr>
        <w:t xml:space="preserve">ומתוך </w:t>
      </w:r>
      <w:bookmarkStart w:id="55361" w:name="_ETM_Q102_223699"/>
      <w:bookmarkEnd w:id="55361"/>
      <w:r>
        <w:rPr>
          <w:rFonts w:hint="cs"/>
          <w:rtl/>
        </w:rPr>
        <w:t xml:space="preserve">ציונות </w:t>
      </w:r>
      <w:bookmarkStart w:id="55362" w:name="_ETM_Q102_224270"/>
      <w:bookmarkEnd w:id="55362"/>
      <w:r>
        <w:rPr>
          <w:rFonts w:hint="cs"/>
          <w:rtl/>
        </w:rPr>
        <w:t xml:space="preserve">אמיתית </w:t>
      </w:r>
      <w:bookmarkStart w:id="55363" w:name="_ETM_Q102_226270"/>
      <w:bookmarkEnd w:id="55363"/>
      <w:r>
        <w:rPr>
          <w:rFonts w:hint="cs"/>
          <w:rtl/>
        </w:rPr>
        <w:t xml:space="preserve">שטבועה </w:t>
      </w:r>
      <w:bookmarkStart w:id="55364" w:name="_ETM_Q102_227020"/>
      <w:bookmarkEnd w:id="55364"/>
      <w:r>
        <w:rPr>
          <w:rFonts w:hint="cs"/>
          <w:rtl/>
        </w:rPr>
        <w:t xml:space="preserve">בלב </w:t>
      </w:r>
      <w:bookmarkStart w:id="55365" w:name="_ETM_Q102_227440"/>
      <w:bookmarkEnd w:id="55365"/>
      <w:r>
        <w:rPr>
          <w:rFonts w:hint="cs"/>
          <w:rtl/>
        </w:rPr>
        <w:t xml:space="preserve">משפחות </w:t>
      </w:r>
      <w:bookmarkStart w:id="55366" w:name="_ETM_Q102_228010"/>
      <w:bookmarkEnd w:id="55366"/>
      <w:r>
        <w:rPr>
          <w:rFonts w:hint="cs"/>
          <w:rtl/>
        </w:rPr>
        <w:t xml:space="preserve">העולים </w:t>
      </w:r>
      <w:bookmarkStart w:id="55367" w:name="_ETM_Q102_228579"/>
      <w:bookmarkEnd w:id="55367"/>
      <w:r>
        <w:rPr>
          <w:rFonts w:hint="cs"/>
          <w:rtl/>
        </w:rPr>
        <w:t xml:space="preserve">עד </w:t>
      </w:r>
      <w:bookmarkStart w:id="55368" w:name="_ETM_Q102_228790"/>
      <w:bookmarkEnd w:id="55368"/>
      <w:r>
        <w:rPr>
          <w:rFonts w:hint="cs"/>
          <w:rtl/>
        </w:rPr>
        <w:t xml:space="preserve">היום. </w:t>
      </w:r>
      <w:bookmarkStart w:id="55369" w:name="_ETM_Q102_230170"/>
      <w:bookmarkStart w:id="55370" w:name="_ETM_Q102_232198"/>
      <w:bookmarkStart w:id="55371" w:name="_ETM_Q102_232326"/>
      <w:bookmarkStart w:id="55372" w:name="_ETM_Q102_232403"/>
      <w:bookmarkStart w:id="55373" w:name="_ETM_Q102_232503"/>
      <w:bookmarkEnd w:id="55369"/>
      <w:bookmarkEnd w:id="55370"/>
      <w:bookmarkEnd w:id="55371"/>
      <w:bookmarkEnd w:id="55372"/>
      <w:bookmarkEnd w:id="55373"/>
    </w:p>
    <w:p w:rsidR="00BB59CD" w:rsidRDefault="00BB59CD" w:rsidP="00BB59CD">
      <w:pPr>
        <w:rPr>
          <w:rtl/>
        </w:rPr>
      </w:pPr>
    </w:p>
    <w:p w:rsidR="0018073C" w:rsidRDefault="00BB59CD" w:rsidP="0018073C">
      <w:pPr>
        <w:rPr>
          <w:rtl/>
        </w:rPr>
      </w:pPr>
      <w:r>
        <w:rPr>
          <w:rFonts w:hint="cs"/>
          <w:rtl/>
        </w:rPr>
        <w:t xml:space="preserve">ההתחלה </w:t>
      </w:r>
      <w:bookmarkStart w:id="55374" w:name="_ETM_Q102_230770"/>
      <w:bookmarkEnd w:id="55374"/>
      <w:r>
        <w:rPr>
          <w:rFonts w:hint="cs"/>
          <w:rtl/>
        </w:rPr>
        <w:t xml:space="preserve">של </w:t>
      </w:r>
      <w:bookmarkStart w:id="55375" w:name="_ETM_Q102_230979"/>
      <w:bookmarkEnd w:id="55375"/>
      <w:r>
        <w:rPr>
          <w:rFonts w:hint="cs"/>
          <w:rtl/>
        </w:rPr>
        <w:t xml:space="preserve">תקומת </w:t>
      </w:r>
      <w:bookmarkStart w:id="55376" w:name="_ETM_Q102_231520"/>
      <w:bookmarkEnd w:id="55376"/>
      <w:r>
        <w:rPr>
          <w:rFonts w:hint="cs"/>
          <w:rtl/>
        </w:rPr>
        <w:t xml:space="preserve">העם </w:t>
      </w:r>
      <w:bookmarkStart w:id="55377" w:name="_ETM_Q102_231790"/>
      <w:bookmarkEnd w:id="55377"/>
      <w:r>
        <w:rPr>
          <w:rFonts w:hint="cs"/>
          <w:rtl/>
        </w:rPr>
        <w:t xml:space="preserve">היהודי </w:t>
      </w:r>
      <w:bookmarkStart w:id="55378" w:name="_ETM_Q102_232450"/>
      <w:bookmarkEnd w:id="55378"/>
      <w:r>
        <w:rPr>
          <w:rFonts w:hint="cs"/>
          <w:rtl/>
        </w:rPr>
        <w:t xml:space="preserve">ובניין </w:t>
      </w:r>
      <w:bookmarkStart w:id="55379" w:name="_ETM_Q102_232960"/>
      <w:bookmarkEnd w:id="55379"/>
      <w:r>
        <w:rPr>
          <w:rFonts w:hint="cs"/>
          <w:rtl/>
        </w:rPr>
        <w:t xml:space="preserve">הארץ </w:t>
      </w:r>
      <w:bookmarkStart w:id="55380" w:name="_ETM_Q102_233409"/>
      <w:bookmarkEnd w:id="55380"/>
      <w:r>
        <w:rPr>
          <w:rFonts w:hint="cs"/>
          <w:rtl/>
        </w:rPr>
        <w:t xml:space="preserve">הייתה </w:t>
      </w:r>
      <w:bookmarkStart w:id="55381" w:name="_ETM_Q102_233739"/>
      <w:bookmarkEnd w:id="55381"/>
      <w:r>
        <w:rPr>
          <w:rFonts w:hint="cs"/>
          <w:rtl/>
        </w:rPr>
        <w:t xml:space="preserve">עקובה </w:t>
      </w:r>
      <w:bookmarkStart w:id="55382" w:name="_ETM_Q102_234160"/>
      <w:bookmarkEnd w:id="55382"/>
      <w:r>
        <w:rPr>
          <w:rFonts w:hint="cs"/>
          <w:rtl/>
        </w:rPr>
        <w:t xml:space="preserve">מדם, </w:t>
      </w:r>
      <w:bookmarkStart w:id="55383" w:name="_ETM_Q102_235079"/>
      <w:bookmarkEnd w:id="55383"/>
      <w:r>
        <w:rPr>
          <w:rFonts w:hint="cs"/>
          <w:rtl/>
        </w:rPr>
        <w:t xml:space="preserve">והקמתה </w:t>
      </w:r>
      <w:bookmarkStart w:id="55384" w:name="_ETM_Q102_236010"/>
      <w:bookmarkEnd w:id="55384"/>
      <w:r>
        <w:rPr>
          <w:rFonts w:hint="cs"/>
          <w:rtl/>
        </w:rPr>
        <w:t xml:space="preserve">עלתה </w:t>
      </w:r>
      <w:bookmarkStart w:id="55385" w:name="_ETM_Q102_236399"/>
      <w:bookmarkEnd w:id="55385"/>
      <w:r>
        <w:rPr>
          <w:rFonts w:hint="cs"/>
          <w:rtl/>
        </w:rPr>
        <w:t xml:space="preserve">בקורבנות </w:t>
      </w:r>
      <w:bookmarkStart w:id="55386" w:name="_ETM_Q102_237119"/>
      <w:bookmarkEnd w:id="55386"/>
      <w:r>
        <w:rPr>
          <w:rFonts w:hint="cs"/>
          <w:rtl/>
        </w:rPr>
        <w:t xml:space="preserve">רבים </w:t>
      </w:r>
      <w:bookmarkStart w:id="55387" w:name="_ETM_Q102_238420"/>
      <w:bookmarkEnd w:id="55387"/>
      <w:r>
        <w:rPr>
          <w:rFonts w:hint="cs"/>
          <w:rtl/>
        </w:rPr>
        <w:t xml:space="preserve">שקורבנם </w:t>
      </w:r>
      <w:bookmarkStart w:id="55388" w:name="_ETM_Q102_239170"/>
      <w:bookmarkEnd w:id="55388"/>
      <w:r>
        <w:rPr>
          <w:rFonts w:hint="cs"/>
          <w:rtl/>
        </w:rPr>
        <w:t>נחר</w:t>
      </w:r>
      <w:r w:rsidR="0018073C">
        <w:rPr>
          <w:rFonts w:hint="cs"/>
          <w:rtl/>
        </w:rPr>
        <w:t>ת</w:t>
      </w:r>
      <w:r>
        <w:rPr>
          <w:rFonts w:hint="cs"/>
          <w:rtl/>
        </w:rPr>
        <w:t xml:space="preserve"> </w:t>
      </w:r>
      <w:bookmarkStart w:id="55389" w:name="_ETM_Q102_239680"/>
      <w:bookmarkEnd w:id="55389"/>
      <w:r>
        <w:rPr>
          <w:rFonts w:hint="cs"/>
          <w:rtl/>
        </w:rPr>
        <w:t xml:space="preserve">לעד </w:t>
      </w:r>
      <w:bookmarkStart w:id="55390" w:name="_ETM_Q102_240010"/>
      <w:bookmarkEnd w:id="55390"/>
      <w:r>
        <w:rPr>
          <w:rFonts w:hint="cs"/>
          <w:rtl/>
        </w:rPr>
        <w:t xml:space="preserve">בהיסטוריה </w:t>
      </w:r>
      <w:bookmarkStart w:id="55391" w:name="_ETM_Q102_240579"/>
      <w:bookmarkEnd w:id="55391"/>
      <w:r>
        <w:rPr>
          <w:rFonts w:hint="cs"/>
          <w:rtl/>
        </w:rPr>
        <w:t xml:space="preserve">של </w:t>
      </w:r>
      <w:bookmarkStart w:id="55392" w:name="_ETM_Q102_240760"/>
      <w:bookmarkEnd w:id="55392"/>
      <w:r>
        <w:rPr>
          <w:rFonts w:hint="cs"/>
          <w:rtl/>
        </w:rPr>
        <w:t xml:space="preserve">המדינה. </w:t>
      </w:r>
      <w:bookmarkStart w:id="55393" w:name="_ETM_Q102_241960"/>
      <w:bookmarkEnd w:id="55393"/>
      <w:r>
        <w:rPr>
          <w:rFonts w:hint="cs"/>
          <w:rtl/>
        </w:rPr>
        <w:t xml:space="preserve">הם </w:t>
      </w:r>
      <w:bookmarkStart w:id="55394" w:name="_ETM_Q102_242230"/>
      <w:bookmarkEnd w:id="55394"/>
      <w:r>
        <w:rPr>
          <w:rFonts w:hint="cs"/>
          <w:rtl/>
        </w:rPr>
        <w:t xml:space="preserve">היו </w:t>
      </w:r>
      <w:bookmarkStart w:id="55395" w:name="_ETM_Q102_242920"/>
      <w:bookmarkEnd w:id="55395"/>
      <w:r>
        <w:rPr>
          <w:rFonts w:hint="cs"/>
          <w:rtl/>
        </w:rPr>
        <w:t xml:space="preserve">והם </w:t>
      </w:r>
      <w:bookmarkStart w:id="55396" w:name="_ETM_Q102_243400"/>
      <w:bookmarkEnd w:id="55396"/>
      <w:r>
        <w:rPr>
          <w:rFonts w:hint="cs"/>
          <w:rtl/>
        </w:rPr>
        <w:t xml:space="preserve">עודם </w:t>
      </w:r>
      <w:bookmarkStart w:id="55397" w:name="_ETM_Q102_244180"/>
      <w:bookmarkEnd w:id="55397"/>
      <w:r>
        <w:rPr>
          <w:rFonts w:hint="cs"/>
          <w:rtl/>
        </w:rPr>
        <w:t xml:space="preserve">מגש </w:t>
      </w:r>
      <w:bookmarkStart w:id="55398" w:name="_ETM_Q102_244690"/>
      <w:bookmarkEnd w:id="55398"/>
      <w:r>
        <w:rPr>
          <w:rFonts w:hint="cs"/>
          <w:rtl/>
        </w:rPr>
        <w:t xml:space="preserve">הכסף </w:t>
      </w:r>
      <w:bookmarkStart w:id="55399" w:name="_ETM_Q102_245319"/>
      <w:bookmarkEnd w:id="55399"/>
      <w:r>
        <w:rPr>
          <w:rFonts w:hint="cs"/>
          <w:rtl/>
        </w:rPr>
        <w:t xml:space="preserve">שעליו </w:t>
      </w:r>
      <w:bookmarkStart w:id="55400" w:name="_ETM_Q102_245740"/>
      <w:bookmarkEnd w:id="55400"/>
      <w:r>
        <w:rPr>
          <w:rFonts w:hint="cs"/>
          <w:rtl/>
        </w:rPr>
        <w:t xml:space="preserve">ניתנה </w:t>
      </w:r>
      <w:bookmarkStart w:id="55401" w:name="_ETM_Q102_246100"/>
      <w:bookmarkEnd w:id="55401"/>
      <w:r>
        <w:rPr>
          <w:rFonts w:hint="cs"/>
          <w:rtl/>
        </w:rPr>
        <w:t xml:space="preserve">לנו </w:t>
      </w:r>
      <w:bookmarkStart w:id="55402" w:name="_ETM_Q102_246700"/>
      <w:bookmarkEnd w:id="55402"/>
      <w:r>
        <w:rPr>
          <w:rFonts w:hint="cs"/>
          <w:rtl/>
        </w:rPr>
        <w:t xml:space="preserve">המדינה. </w:t>
      </w:r>
      <w:bookmarkStart w:id="55403" w:name="_ETM_Q102_248319"/>
      <w:bookmarkEnd w:id="55403"/>
      <w:r>
        <w:rPr>
          <w:rFonts w:hint="cs"/>
          <w:rtl/>
        </w:rPr>
        <w:t>אי</w:t>
      </w:r>
      <w:bookmarkStart w:id="55404" w:name="_ETM_Q102_248500"/>
      <w:bookmarkEnd w:id="55404"/>
      <w:r>
        <w:rPr>
          <w:rFonts w:hint="cs"/>
          <w:rtl/>
        </w:rPr>
        <w:t xml:space="preserve">-אפשר </w:t>
      </w:r>
      <w:bookmarkStart w:id="55405" w:name="_ETM_Q102_248890"/>
      <w:bookmarkEnd w:id="55405"/>
      <w:r>
        <w:rPr>
          <w:rFonts w:hint="cs"/>
          <w:rtl/>
        </w:rPr>
        <w:t xml:space="preserve">להגיד </w:t>
      </w:r>
      <w:bookmarkStart w:id="55406" w:name="_ETM_Q102_249399"/>
      <w:bookmarkEnd w:id="55406"/>
      <w:r>
        <w:rPr>
          <w:rFonts w:hint="cs"/>
          <w:rtl/>
        </w:rPr>
        <w:t xml:space="preserve">שעם שוך </w:t>
      </w:r>
      <w:bookmarkStart w:id="55407" w:name="_ETM_Q102_249969"/>
      <w:bookmarkEnd w:id="55407"/>
      <w:r>
        <w:rPr>
          <w:rFonts w:hint="cs"/>
          <w:rtl/>
        </w:rPr>
        <w:t xml:space="preserve">הקרבות </w:t>
      </w:r>
      <w:bookmarkStart w:id="55408" w:name="_ETM_Q102_250400"/>
      <w:bookmarkStart w:id="55409" w:name="_ETM_Q102_250819"/>
      <w:bookmarkEnd w:id="55408"/>
      <w:bookmarkEnd w:id="55409"/>
      <w:r>
        <w:rPr>
          <w:rFonts w:hint="cs"/>
          <w:rtl/>
        </w:rPr>
        <w:t xml:space="preserve">פרץ </w:t>
      </w:r>
      <w:bookmarkStart w:id="55410" w:name="_ETM_Q102_251240"/>
      <w:bookmarkEnd w:id="55410"/>
      <w:r>
        <w:rPr>
          <w:rFonts w:hint="cs"/>
          <w:rtl/>
        </w:rPr>
        <w:t xml:space="preserve">השלום, </w:t>
      </w:r>
      <w:bookmarkStart w:id="55411" w:name="_ETM_Q102_252709"/>
      <w:bookmarkEnd w:id="55411"/>
      <w:r>
        <w:rPr>
          <w:rFonts w:hint="cs"/>
          <w:rtl/>
        </w:rPr>
        <w:t xml:space="preserve">לא </w:t>
      </w:r>
      <w:bookmarkStart w:id="55412" w:name="_ETM_Q102_252980"/>
      <w:bookmarkEnd w:id="55412"/>
      <w:r>
        <w:rPr>
          <w:rFonts w:hint="cs"/>
          <w:rtl/>
        </w:rPr>
        <w:t xml:space="preserve">סביבנו </w:t>
      </w:r>
      <w:bookmarkStart w:id="55413" w:name="_ETM_Q102_254060"/>
      <w:bookmarkEnd w:id="55413"/>
      <w:r>
        <w:rPr>
          <w:rFonts w:hint="cs"/>
          <w:rtl/>
        </w:rPr>
        <w:t xml:space="preserve">ולא </w:t>
      </w:r>
      <w:bookmarkStart w:id="55414" w:name="_ETM_Q102_254390"/>
      <w:bookmarkEnd w:id="55414"/>
      <w:r>
        <w:rPr>
          <w:rFonts w:hint="cs"/>
          <w:rtl/>
        </w:rPr>
        <w:t xml:space="preserve">בקרבנו. </w:t>
      </w:r>
      <w:bookmarkStart w:id="55415" w:name="_ETM_Q102_255869"/>
      <w:bookmarkEnd w:id="55415"/>
      <w:r>
        <w:rPr>
          <w:rFonts w:hint="cs"/>
          <w:rtl/>
        </w:rPr>
        <w:t xml:space="preserve">נעשו </w:t>
      </w:r>
      <w:bookmarkStart w:id="55416" w:name="_ETM_Q102_256290"/>
      <w:bookmarkEnd w:id="55416"/>
      <w:r>
        <w:rPr>
          <w:rFonts w:hint="cs"/>
          <w:rtl/>
        </w:rPr>
        <w:t xml:space="preserve">טעויות, </w:t>
      </w:r>
      <w:bookmarkStart w:id="55417" w:name="_ETM_Q102_257200"/>
      <w:bookmarkEnd w:id="55417"/>
      <w:r>
        <w:rPr>
          <w:rFonts w:hint="cs"/>
          <w:rtl/>
        </w:rPr>
        <w:t xml:space="preserve">נעשו </w:t>
      </w:r>
      <w:bookmarkStart w:id="55418" w:name="_ETM_Q102_257770"/>
      <w:bookmarkEnd w:id="55418"/>
      <w:r>
        <w:rPr>
          <w:rFonts w:hint="cs"/>
          <w:rtl/>
        </w:rPr>
        <w:t xml:space="preserve">עוולות, </w:t>
      </w:r>
      <w:bookmarkStart w:id="55419" w:name="_ETM_Q102_258729"/>
      <w:bookmarkEnd w:id="55419"/>
      <w:r>
        <w:rPr>
          <w:rFonts w:hint="cs"/>
          <w:rtl/>
        </w:rPr>
        <w:t xml:space="preserve">נוצרו </w:t>
      </w:r>
      <w:bookmarkStart w:id="55420" w:name="_ETM_Q102_259299"/>
      <w:bookmarkEnd w:id="55420"/>
      <w:r>
        <w:rPr>
          <w:rFonts w:hint="cs"/>
          <w:rtl/>
        </w:rPr>
        <w:t xml:space="preserve">בידול </w:t>
      </w:r>
      <w:bookmarkStart w:id="55421" w:name="_ETM_Q102_259959"/>
      <w:bookmarkEnd w:id="55421"/>
      <w:r>
        <w:rPr>
          <w:rFonts w:hint="cs"/>
          <w:rtl/>
        </w:rPr>
        <w:t xml:space="preserve">וקיטוב. </w:t>
      </w:r>
      <w:bookmarkStart w:id="55422" w:name="_ETM_Q102_261619"/>
      <w:bookmarkEnd w:id="55422"/>
      <w:r>
        <w:rPr>
          <w:rFonts w:hint="cs"/>
          <w:rtl/>
        </w:rPr>
        <w:t xml:space="preserve">דבר </w:t>
      </w:r>
      <w:bookmarkStart w:id="55423" w:name="_ETM_Q102_262220"/>
      <w:bookmarkEnd w:id="55423"/>
      <w:r>
        <w:rPr>
          <w:rFonts w:hint="cs"/>
          <w:rtl/>
        </w:rPr>
        <w:t xml:space="preserve">לא </w:t>
      </w:r>
      <w:bookmarkStart w:id="55424" w:name="_ETM_Q102_262430"/>
      <w:bookmarkEnd w:id="55424"/>
      <w:r>
        <w:rPr>
          <w:rFonts w:hint="cs"/>
          <w:rtl/>
        </w:rPr>
        <w:t xml:space="preserve">השתפר </w:t>
      </w:r>
      <w:bookmarkStart w:id="55425" w:name="_ETM_Q102_263090"/>
      <w:bookmarkEnd w:id="55425"/>
      <w:r>
        <w:rPr>
          <w:rFonts w:hint="cs"/>
          <w:rtl/>
        </w:rPr>
        <w:t xml:space="preserve">עם </w:t>
      </w:r>
      <w:bookmarkStart w:id="55426" w:name="_ETM_Q102_263240"/>
      <w:bookmarkEnd w:id="55426"/>
      <w:r>
        <w:rPr>
          <w:rFonts w:hint="cs"/>
          <w:rtl/>
        </w:rPr>
        <w:t xml:space="preserve">הגעת </w:t>
      </w:r>
      <w:bookmarkStart w:id="55427" w:name="_ETM_Q102_263720"/>
      <w:bookmarkEnd w:id="55427"/>
      <w:r>
        <w:rPr>
          <w:rFonts w:hint="cs"/>
          <w:rtl/>
        </w:rPr>
        <w:t xml:space="preserve">העליות </w:t>
      </w:r>
      <w:bookmarkStart w:id="55428" w:name="_ETM_Q102_264259"/>
      <w:bookmarkEnd w:id="55428"/>
      <w:r>
        <w:rPr>
          <w:rFonts w:hint="cs"/>
          <w:rtl/>
        </w:rPr>
        <w:t xml:space="preserve">המאוחרות – </w:t>
      </w:r>
      <w:bookmarkStart w:id="55429" w:name="_ETM_Q102_265670"/>
      <w:bookmarkEnd w:id="55429"/>
      <w:r>
        <w:rPr>
          <w:rFonts w:hint="cs"/>
          <w:rtl/>
        </w:rPr>
        <w:t xml:space="preserve">העלייה </w:t>
      </w:r>
      <w:bookmarkStart w:id="55430" w:name="_ETM_Q102_266150"/>
      <w:bookmarkEnd w:id="55430"/>
      <w:r>
        <w:rPr>
          <w:rFonts w:hint="cs"/>
          <w:rtl/>
        </w:rPr>
        <w:t xml:space="preserve">מאתיופיה </w:t>
      </w:r>
      <w:bookmarkStart w:id="55431" w:name="_ETM_Q102_267020"/>
      <w:bookmarkEnd w:id="55431"/>
      <w:r>
        <w:rPr>
          <w:rFonts w:hint="cs"/>
          <w:rtl/>
        </w:rPr>
        <w:t xml:space="preserve">ומברית המועצות </w:t>
      </w:r>
      <w:bookmarkStart w:id="55432" w:name="_ETM_Q102_268040"/>
      <w:bookmarkEnd w:id="55432"/>
      <w:r>
        <w:rPr>
          <w:rFonts w:hint="cs"/>
          <w:rtl/>
        </w:rPr>
        <w:t xml:space="preserve">שהתפרקה. </w:t>
      </w:r>
      <w:bookmarkStart w:id="55433" w:name="_ETM_Q102_269709"/>
      <w:bookmarkStart w:id="55434" w:name="_ETM_Q102_269769"/>
      <w:bookmarkStart w:id="55435" w:name="_ETM_Q102_269891"/>
      <w:bookmarkStart w:id="55436" w:name="_ETM_Q102_269976"/>
      <w:bookmarkStart w:id="55437" w:name="_ETM_Q102_270055"/>
      <w:bookmarkStart w:id="55438" w:name="_ETM_Q102_270160"/>
      <w:bookmarkStart w:id="55439" w:name="_ETM_Q102_270246"/>
      <w:bookmarkEnd w:id="55433"/>
      <w:bookmarkEnd w:id="55434"/>
      <w:bookmarkEnd w:id="55435"/>
      <w:bookmarkEnd w:id="55436"/>
      <w:bookmarkEnd w:id="55437"/>
      <w:bookmarkEnd w:id="55438"/>
      <w:bookmarkEnd w:id="55439"/>
      <w:r>
        <w:rPr>
          <w:rFonts w:hint="cs"/>
          <w:rtl/>
        </w:rPr>
        <w:t xml:space="preserve">אבל </w:t>
      </w:r>
      <w:bookmarkStart w:id="55440" w:name="_ETM_Q102_270039"/>
      <w:bookmarkEnd w:id="55440"/>
      <w:r>
        <w:rPr>
          <w:rFonts w:hint="cs"/>
          <w:rtl/>
        </w:rPr>
        <w:t xml:space="preserve">כמו </w:t>
      </w:r>
      <w:bookmarkStart w:id="55441" w:name="_ETM_Q102_270399"/>
      <w:bookmarkEnd w:id="55441"/>
      <w:r>
        <w:rPr>
          <w:rFonts w:hint="cs"/>
          <w:rtl/>
        </w:rPr>
        <w:t xml:space="preserve">בכל </w:t>
      </w:r>
      <w:bookmarkStart w:id="55442" w:name="_ETM_Q102_270729"/>
      <w:bookmarkEnd w:id="55442"/>
      <w:r>
        <w:rPr>
          <w:rFonts w:hint="cs"/>
          <w:rtl/>
        </w:rPr>
        <w:t xml:space="preserve">כך </w:t>
      </w:r>
      <w:bookmarkStart w:id="55443" w:name="_ETM_Q102_270939"/>
      <w:bookmarkEnd w:id="55443"/>
      <w:r>
        <w:rPr>
          <w:rFonts w:hint="cs"/>
          <w:rtl/>
        </w:rPr>
        <w:t xml:space="preserve">הרבה </w:t>
      </w:r>
      <w:bookmarkStart w:id="55444" w:name="_ETM_Q102_271179"/>
      <w:bookmarkEnd w:id="55444"/>
      <w:r>
        <w:rPr>
          <w:rFonts w:hint="cs"/>
          <w:rtl/>
        </w:rPr>
        <w:t xml:space="preserve">פעמים </w:t>
      </w:r>
      <w:bookmarkStart w:id="55445" w:name="_ETM_Q102_271659"/>
      <w:bookmarkEnd w:id="55445"/>
      <w:r>
        <w:rPr>
          <w:rFonts w:hint="cs"/>
          <w:rtl/>
        </w:rPr>
        <w:t xml:space="preserve">בהיסטוריה </w:t>
      </w:r>
      <w:bookmarkStart w:id="55446" w:name="_ETM_Q102_272229"/>
      <w:bookmarkEnd w:id="55446"/>
      <w:r>
        <w:rPr>
          <w:rFonts w:hint="cs"/>
          <w:rtl/>
        </w:rPr>
        <w:t xml:space="preserve">של </w:t>
      </w:r>
      <w:bookmarkStart w:id="55447" w:name="_ETM_Q102_272530"/>
      <w:bookmarkEnd w:id="55447"/>
      <w:r>
        <w:rPr>
          <w:rFonts w:hint="cs"/>
          <w:rtl/>
        </w:rPr>
        <w:t xml:space="preserve">העם </w:t>
      </w:r>
      <w:bookmarkStart w:id="55448" w:name="_ETM_Q102_272679"/>
      <w:bookmarkEnd w:id="55448"/>
      <w:r>
        <w:rPr>
          <w:rFonts w:hint="cs"/>
          <w:rtl/>
        </w:rPr>
        <w:t xml:space="preserve">היהודי, </w:t>
      </w:r>
      <w:bookmarkStart w:id="55449" w:name="_ETM_Q102_273819"/>
      <w:bookmarkEnd w:id="55449"/>
      <w:r>
        <w:rPr>
          <w:rFonts w:hint="cs"/>
          <w:rtl/>
        </w:rPr>
        <w:t xml:space="preserve">אם </w:t>
      </w:r>
      <w:bookmarkStart w:id="55450" w:name="_ETM_Q102_274030"/>
      <w:bookmarkEnd w:id="55450"/>
      <w:r>
        <w:rPr>
          <w:rFonts w:hint="cs"/>
          <w:rtl/>
        </w:rPr>
        <w:t xml:space="preserve">יימצא </w:t>
      </w:r>
      <w:bookmarkStart w:id="55451" w:name="_ETM_Q102_274479"/>
      <w:bookmarkEnd w:id="55451"/>
      <w:r>
        <w:rPr>
          <w:rFonts w:hint="cs"/>
          <w:rtl/>
        </w:rPr>
        <w:t>הרצון</w:t>
      </w:r>
      <w:r w:rsidR="0018073C">
        <w:rPr>
          <w:rFonts w:hint="cs"/>
          <w:rtl/>
        </w:rPr>
        <w:t>,</w:t>
      </w:r>
      <w:r>
        <w:rPr>
          <w:rFonts w:hint="cs"/>
          <w:rtl/>
        </w:rPr>
        <w:t xml:space="preserve"> </w:t>
      </w:r>
      <w:bookmarkStart w:id="55452" w:name="_ETM_Q102_275319"/>
      <w:bookmarkEnd w:id="55452"/>
      <w:r>
        <w:rPr>
          <w:rFonts w:hint="cs"/>
          <w:rtl/>
        </w:rPr>
        <w:t xml:space="preserve">תימצא </w:t>
      </w:r>
      <w:bookmarkStart w:id="55453" w:name="_ETM_Q102_275829"/>
      <w:bookmarkEnd w:id="55453"/>
      <w:r>
        <w:rPr>
          <w:rFonts w:hint="cs"/>
          <w:rtl/>
        </w:rPr>
        <w:t xml:space="preserve">הדרך. </w:t>
      </w:r>
      <w:bookmarkStart w:id="55454" w:name="_ETM_Q102_276679"/>
      <w:bookmarkEnd w:id="55454"/>
    </w:p>
    <w:p w:rsidR="0018073C" w:rsidRDefault="0018073C" w:rsidP="0018073C">
      <w:pPr>
        <w:rPr>
          <w:rtl/>
        </w:rPr>
      </w:pPr>
    </w:p>
    <w:p w:rsidR="00BB59CD" w:rsidRDefault="00BB59CD" w:rsidP="0018073C">
      <w:pPr>
        <w:rPr>
          <w:rtl/>
        </w:rPr>
      </w:pPr>
      <w:r>
        <w:rPr>
          <w:rFonts w:hint="cs"/>
          <w:rtl/>
        </w:rPr>
        <w:t xml:space="preserve">והדרך </w:t>
      </w:r>
      <w:bookmarkStart w:id="55455" w:name="_ETM_Q102_277700"/>
      <w:bookmarkEnd w:id="55455"/>
      <w:r>
        <w:rPr>
          <w:rFonts w:hint="cs"/>
          <w:rtl/>
        </w:rPr>
        <w:t xml:space="preserve">נמצאה. </w:t>
      </w:r>
      <w:bookmarkStart w:id="55456" w:name="_ETM_Q102_280400"/>
      <w:bookmarkStart w:id="55457" w:name="_ETM_Q102_280947"/>
      <w:bookmarkStart w:id="55458" w:name="_ETM_Q102_281048"/>
      <w:bookmarkStart w:id="55459" w:name="_ETM_Q102_281153"/>
      <w:bookmarkStart w:id="55460" w:name="_ETM_Q102_281232"/>
      <w:bookmarkEnd w:id="55456"/>
      <w:bookmarkEnd w:id="55457"/>
      <w:bookmarkEnd w:id="55458"/>
      <w:bookmarkEnd w:id="55459"/>
      <w:bookmarkEnd w:id="55460"/>
      <w:r>
        <w:rPr>
          <w:rFonts w:hint="cs"/>
          <w:rtl/>
        </w:rPr>
        <w:t xml:space="preserve">במשך </w:t>
      </w:r>
      <w:bookmarkStart w:id="55461" w:name="_ETM_Q102_280880"/>
      <w:bookmarkEnd w:id="55461"/>
      <w:r>
        <w:rPr>
          <w:rFonts w:hint="cs"/>
          <w:rtl/>
        </w:rPr>
        <w:t xml:space="preserve">75 </w:t>
      </w:r>
      <w:bookmarkStart w:id="55462" w:name="_ETM_Q102_281780"/>
      <w:bookmarkEnd w:id="55462"/>
      <w:r>
        <w:rPr>
          <w:rFonts w:hint="cs"/>
          <w:rtl/>
        </w:rPr>
        <w:t xml:space="preserve">שנים </w:t>
      </w:r>
      <w:bookmarkStart w:id="55463" w:name="_ETM_Q102_282240"/>
      <w:bookmarkEnd w:id="55463"/>
      <w:r>
        <w:rPr>
          <w:rFonts w:hint="cs"/>
          <w:rtl/>
        </w:rPr>
        <w:t xml:space="preserve">מצאנו </w:t>
      </w:r>
      <w:bookmarkStart w:id="55464" w:name="_ETM_Q102_282869"/>
      <w:bookmarkEnd w:id="55464"/>
      <w:r>
        <w:rPr>
          <w:rFonts w:hint="cs"/>
          <w:rtl/>
        </w:rPr>
        <w:t xml:space="preserve">את </w:t>
      </w:r>
      <w:bookmarkStart w:id="55465" w:name="_ETM_Q102_283020"/>
      <w:bookmarkEnd w:id="55465"/>
      <w:r>
        <w:rPr>
          <w:rFonts w:hint="cs"/>
          <w:rtl/>
        </w:rPr>
        <w:t xml:space="preserve">הדרך </w:t>
      </w:r>
      <w:bookmarkStart w:id="55466" w:name="_ETM_Q102_283560"/>
      <w:bookmarkEnd w:id="55466"/>
      <w:r>
        <w:rPr>
          <w:rFonts w:hint="cs"/>
          <w:rtl/>
        </w:rPr>
        <w:t xml:space="preserve">לחיות </w:t>
      </w:r>
      <w:bookmarkStart w:id="55467" w:name="_ETM_Q102_284040"/>
      <w:bookmarkEnd w:id="55467"/>
      <w:r>
        <w:rPr>
          <w:rFonts w:hint="cs"/>
          <w:rtl/>
        </w:rPr>
        <w:t xml:space="preserve">יחד, </w:t>
      </w:r>
      <w:bookmarkStart w:id="55468" w:name="_ETM_Q102_285539"/>
      <w:bookmarkEnd w:id="55468"/>
      <w:r>
        <w:rPr>
          <w:rFonts w:hint="cs"/>
          <w:rtl/>
        </w:rPr>
        <w:t xml:space="preserve">לפעול </w:t>
      </w:r>
      <w:bookmarkStart w:id="55469" w:name="_ETM_Q102_286109"/>
      <w:bookmarkEnd w:id="55469"/>
      <w:r>
        <w:rPr>
          <w:rFonts w:hint="cs"/>
          <w:rtl/>
        </w:rPr>
        <w:t xml:space="preserve">ביחד </w:t>
      </w:r>
      <w:bookmarkStart w:id="55470" w:name="_ETM_Q102_286619"/>
      <w:bookmarkEnd w:id="55470"/>
      <w:r>
        <w:rPr>
          <w:rFonts w:hint="cs"/>
          <w:rtl/>
        </w:rPr>
        <w:t xml:space="preserve">להצלחה </w:t>
      </w:r>
      <w:bookmarkStart w:id="55471" w:name="_ETM_Q102_287249"/>
      <w:bookmarkEnd w:id="55471"/>
      <w:r>
        <w:rPr>
          <w:rFonts w:hint="cs"/>
          <w:rtl/>
        </w:rPr>
        <w:t xml:space="preserve">קולקטיבית, </w:t>
      </w:r>
      <w:bookmarkStart w:id="55472" w:name="_ETM_Q102_288899"/>
      <w:bookmarkEnd w:id="55472"/>
      <w:r>
        <w:rPr>
          <w:rFonts w:hint="cs"/>
          <w:rtl/>
        </w:rPr>
        <w:t xml:space="preserve">ראינו </w:t>
      </w:r>
      <w:bookmarkStart w:id="55473" w:name="_ETM_Q102_289500"/>
      <w:bookmarkEnd w:id="55473"/>
      <w:r>
        <w:rPr>
          <w:rFonts w:hint="cs"/>
          <w:rtl/>
        </w:rPr>
        <w:t xml:space="preserve">איש </w:t>
      </w:r>
      <w:bookmarkStart w:id="55474" w:name="_ETM_Q102_289770"/>
      <w:bookmarkEnd w:id="55474"/>
      <w:r>
        <w:rPr>
          <w:rFonts w:hint="cs"/>
          <w:rtl/>
        </w:rPr>
        <w:t xml:space="preserve">ברעהו </w:t>
      </w:r>
      <w:bookmarkStart w:id="55475" w:name="_ETM_Q102_290759"/>
      <w:bookmarkEnd w:id="55475"/>
      <w:r>
        <w:rPr>
          <w:rFonts w:hint="cs"/>
          <w:rtl/>
        </w:rPr>
        <w:t xml:space="preserve">אחים </w:t>
      </w:r>
      <w:bookmarkStart w:id="55476" w:name="_ETM_Q102_291659"/>
      <w:bookmarkEnd w:id="55476"/>
      <w:r>
        <w:rPr>
          <w:rFonts w:hint="cs"/>
          <w:rtl/>
        </w:rPr>
        <w:t>ואח</w:t>
      </w:r>
      <w:bookmarkStart w:id="55477" w:name="_ETM_Q102_292000"/>
      <w:bookmarkEnd w:id="55477"/>
      <w:r>
        <w:rPr>
          <w:rFonts w:hint="cs"/>
          <w:rtl/>
        </w:rPr>
        <w:t xml:space="preserve">יות. </w:t>
      </w:r>
      <w:bookmarkStart w:id="55478" w:name="_ETM_Q102_294520"/>
      <w:bookmarkEnd w:id="55478"/>
      <w:r>
        <w:rPr>
          <w:rFonts w:hint="cs"/>
          <w:rtl/>
        </w:rPr>
        <w:t xml:space="preserve">היו </w:t>
      </w:r>
      <w:bookmarkStart w:id="55479" w:name="_ETM_Q102_294820"/>
      <w:bookmarkEnd w:id="55479"/>
      <w:r>
        <w:rPr>
          <w:rFonts w:hint="cs"/>
          <w:rtl/>
        </w:rPr>
        <w:t xml:space="preserve">מחלוקות, </w:t>
      </w:r>
      <w:bookmarkStart w:id="55480" w:name="_ETM_Q102_295900"/>
      <w:bookmarkEnd w:id="55480"/>
      <w:r>
        <w:rPr>
          <w:rFonts w:hint="cs"/>
          <w:rtl/>
        </w:rPr>
        <w:t xml:space="preserve">הייתה </w:t>
      </w:r>
      <w:bookmarkStart w:id="55481" w:name="_ETM_Q102_296530"/>
      <w:bookmarkEnd w:id="55481"/>
      <w:r>
        <w:rPr>
          <w:rFonts w:hint="cs"/>
          <w:rtl/>
        </w:rPr>
        <w:t xml:space="preserve">אלימות, </w:t>
      </w:r>
      <w:bookmarkStart w:id="55482" w:name="_ETM_Q102_298140"/>
      <w:bookmarkEnd w:id="55482"/>
      <w:r>
        <w:rPr>
          <w:rFonts w:hint="cs"/>
          <w:rtl/>
        </w:rPr>
        <w:t xml:space="preserve">לא </w:t>
      </w:r>
      <w:bookmarkStart w:id="55483" w:name="_ETM_Q102_298439"/>
      <w:bookmarkEnd w:id="55483"/>
      <w:r>
        <w:rPr>
          <w:rFonts w:hint="cs"/>
          <w:rtl/>
        </w:rPr>
        <w:t xml:space="preserve">הכול </w:t>
      </w:r>
      <w:bookmarkStart w:id="55484" w:name="_ETM_Q102_298770"/>
      <w:bookmarkEnd w:id="55484"/>
      <w:r>
        <w:rPr>
          <w:rFonts w:hint="cs"/>
          <w:rtl/>
        </w:rPr>
        <w:t xml:space="preserve">היה </w:t>
      </w:r>
      <w:bookmarkStart w:id="55485" w:name="_ETM_Q102_298950"/>
      <w:bookmarkEnd w:id="55485"/>
      <w:r>
        <w:rPr>
          <w:rFonts w:hint="cs"/>
          <w:rtl/>
        </w:rPr>
        <w:t xml:space="preserve">מושלם, </w:t>
      </w:r>
      <w:bookmarkStart w:id="55486" w:name="_ETM_Q102_300070"/>
      <w:bookmarkEnd w:id="55486"/>
      <w:r>
        <w:rPr>
          <w:rFonts w:hint="cs"/>
          <w:rtl/>
        </w:rPr>
        <w:t xml:space="preserve">אבל </w:t>
      </w:r>
      <w:bookmarkStart w:id="55487" w:name="_ETM_Q102_300340"/>
      <w:bookmarkEnd w:id="55487"/>
      <w:r>
        <w:rPr>
          <w:rFonts w:hint="cs"/>
          <w:rtl/>
        </w:rPr>
        <w:t xml:space="preserve">הצלחנו </w:t>
      </w:r>
      <w:bookmarkStart w:id="55488" w:name="_ETM_Q102_300909"/>
      <w:bookmarkEnd w:id="55488"/>
      <w:r>
        <w:rPr>
          <w:rFonts w:hint="cs"/>
          <w:rtl/>
        </w:rPr>
        <w:t xml:space="preserve">ללמוד </w:t>
      </w:r>
      <w:bookmarkStart w:id="55489" w:name="_ETM_Q102_301509"/>
      <w:bookmarkEnd w:id="55489"/>
      <w:r>
        <w:rPr>
          <w:rFonts w:hint="cs"/>
          <w:rtl/>
        </w:rPr>
        <w:t xml:space="preserve">ולהכיר </w:t>
      </w:r>
      <w:bookmarkStart w:id="55490" w:name="_ETM_Q102_302110"/>
      <w:bookmarkEnd w:id="55490"/>
      <w:r>
        <w:rPr>
          <w:rFonts w:hint="cs"/>
          <w:rtl/>
        </w:rPr>
        <w:t xml:space="preserve">בכאבו </w:t>
      </w:r>
      <w:bookmarkStart w:id="55491" w:name="_ETM_Q102_302740"/>
      <w:bookmarkEnd w:id="55491"/>
      <w:r>
        <w:rPr>
          <w:rFonts w:hint="cs"/>
          <w:rtl/>
        </w:rPr>
        <w:t xml:space="preserve">של האחר </w:t>
      </w:r>
      <w:bookmarkStart w:id="55492" w:name="_ETM_Q102_303820"/>
      <w:bookmarkEnd w:id="55492"/>
      <w:r>
        <w:rPr>
          <w:rFonts w:hint="cs"/>
          <w:rtl/>
        </w:rPr>
        <w:t xml:space="preserve">ולחוש </w:t>
      </w:r>
      <w:bookmarkStart w:id="55493" w:name="_ETM_Q102_304329"/>
      <w:bookmarkEnd w:id="55493"/>
      <w:r>
        <w:rPr>
          <w:rFonts w:hint="cs"/>
          <w:rtl/>
        </w:rPr>
        <w:t xml:space="preserve">אמפתיה, </w:t>
      </w:r>
      <w:bookmarkStart w:id="55494" w:name="_ETM_Q102_305320"/>
      <w:bookmarkEnd w:id="55494"/>
      <w:r>
        <w:rPr>
          <w:rFonts w:hint="cs"/>
          <w:rtl/>
        </w:rPr>
        <w:t xml:space="preserve">ולו </w:t>
      </w:r>
      <w:bookmarkStart w:id="55495" w:name="_ETM_Q102_305950"/>
      <w:bookmarkEnd w:id="55495"/>
      <w:r>
        <w:rPr>
          <w:rFonts w:hint="cs"/>
          <w:rtl/>
        </w:rPr>
        <w:t xml:space="preserve">הבסיסית </w:t>
      </w:r>
      <w:bookmarkStart w:id="55496" w:name="_ETM_Q102_306759"/>
      <w:bookmarkEnd w:id="55496"/>
      <w:r>
        <w:rPr>
          <w:rFonts w:hint="cs"/>
          <w:rtl/>
        </w:rPr>
        <w:t xml:space="preserve">ביותר, </w:t>
      </w:r>
      <w:bookmarkStart w:id="55497" w:name="_ETM_Q102_307600"/>
      <w:bookmarkEnd w:id="55497"/>
      <w:r>
        <w:rPr>
          <w:rFonts w:hint="cs"/>
          <w:rtl/>
        </w:rPr>
        <w:t xml:space="preserve">לצערו. </w:t>
      </w:r>
      <w:bookmarkStart w:id="55498" w:name="_ETM_Q102_309300"/>
      <w:bookmarkEnd w:id="55498"/>
      <w:r>
        <w:rPr>
          <w:rFonts w:hint="cs"/>
          <w:rtl/>
        </w:rPr>
        <w:t xml:space="preserve">היכולת </w:t>
      </w:r>
      <w:bookmarkStart w:id="55499" w:name="_ETM_Q102_309900"/>
      <w:bookmarkEnd w:id="55499"/>
      <w:r>
        <w:rPr>
          <w:rFonts w:hint="cs"/>
          <w:rtl/>
        </w:rPr>
        <w:t xml:space="preserve">להקשיב, </w:t>
      </w:r>
      <w:bookmarkStart w:id="55500" w:name="_ETM_Q102_310680"/>
      <w:bookmarkEnd w:id="55500"/>
      <w:r>
        <w:rPr>
          <w:rFonts w:hint="cs"/>
          <w:rtl/>
        </w:rPr>
        <w:t xml:space="preserve">להכיל </w:t>
      </w:r>
      <w:bookmarkStart w:id="55501" w:name="_ETM_Q102_311550"/>
      <w:bookmarkEnd w:id="55501"/>
      <w:r>
        <w:rPr>
          <w:rFonts w:hint="cs"/>
          <w:rtl/>
        </w:rPr>
        <w:t xml:space="preserve">ולהבין, </w:t>
      </w:r>
      <w:bookmarkStart w:id="55502" w:name="_ETM_Q102_312630"/>
      <w:bookmarkEnd w:id="55502"/>
      <w:r>
        <w:rPr>
          <w:rFonts w:hint="cs"/>
          <w:rtl/>
        </w:rPr>
        <w:t xml:space="preserve">לעמוד </w:t>
      </w:r>
      <w:bookmarkStart w:id="55503" w:name="_ETM_Q102_313110"/>
      <w:bookmarkEnd w:id="55503"/>
      <w:r>
        <w:rPr>
          <w:rFonts w:hint="cs"/>
          <w:rtl/>
        </w:rPr>
        <w:t xml:space="preserve">בסולידריות </w:t>
      </w:r>
      <w:bookmarkStart w:id="55504" w:name="_ETM_Q102_314070"/>
      <w:bookmarkEnd w:id="55504"/>
      <w:r>
        <w:rPr>
          <w:rFonts w:hint="cs"/>
          <w:rtl/>
        </w:rPr>
        <w:t xml:space="preserve">לצידם </w:t>
      </w:r>
      <w:bookmarkStart w:id="55505" w:name="_ETM_Q102_314550"/>
      <w:bookmarkEnd w:id="55505"/>
      <w:r>
        <w:rPr>
          <w:rFonts w:hint="cs"/>
          <w:rtl/>
        </w:rPr>
        <w:t xml:space="preserve">של </w:t>
      </w:r>
      <w:bookmarkStart w:id="55506" w:name="_ETM_Q102_314760"/>
      <w:bookmarkEnd w:id="55506"/>
      <w:r>
        <w:rPr>
          <w:rFonts w:hint="cs"/>
          <w:rtl/>
        </w:rPr>
        <w:t xml:space="preserve">אנשים, </w:t>
      </w:r>
      <w:bookmarkStart w:id="55507" w:name="_ETM_Q102_315730"/>
      <w:bookmarkEnd w:id="55507"/>
      <w:r>
        <w:rPr>
          <w:rFonts w:hint="cs"/>
          <w:rtl/>
        </w:rPr>
        <w:t xml:space="preserve">אפילו </w:t>
      </w:r>
      <w:bookmarkStart w:id="55508" w:name="_ETM_Q102_316150"/>
      <w:bookmarkEnd w:id="55508"/>
      <w:r>
        <w:rPr>
          <w:rFonts w:hint="cs"/>
          <w:rtl/>
        </w:rPr>
        <w:t xml:space="preserve">אם </w:t>
      </w:r>
      <w:bookmarkStart w:id="55509" w:name="_ETM_Q102_316269"/>
      <w:bookmarkEnd w:id="55509"/>
      <w:r>
        <w:rPr>
          <w:rFonts w:hint="cs"/>
          <w:rtl/>
        </w:rPr>
        <w:t xml:space="preserve">הם </w:t>
      </w:r>
      <w:bookmarkStart w:id="55510" w:name="_ETM_Q102_316389"/>
      <w:bookmarkEnd w:id="55510"/>
      <w:r>
        <w:rPr>
          <w:rFonts w:hint="cs"/>
          <w:rtl/>
        </w:rPr>
        <w:t xml:space="preserve">שונים </w:t>
      </w:r>
      <w:bookmarkStart w:id="55511" w:name="_ETM_Q102_316840"/>
      <w:bookmarkEnd w:id="55511"/>
      <w:r>
        <w:rPr>
          <w:rFonts w:hint="cs"/>
          <w:rtl/>
        </w:rPr>
        <w:t xml:space="preserve">מאיתנו </w:t>
      </w:r>
      <w:bookmarkStart w:id="55512" w:name="_ETM_Q102_317569"/>
      <w:bookmarkEnd w:id="55512"/>
      <w:r>
        <w:rPr>
          <w:rFonts w:hint="cs"/>
          <w:rtl/>
        </w:rPr>
        <w:t xml:space="preserve">או </w:t>
      </w:r>
      <w:bookmarkStart w:id="55513" w:name="_ETM_Q102_317810"/>
      <w:bookmarkEnd w:id="55513"/>
      <w:r>
        <w:rPr>
          <w:rFonts w:hint="cs"/>
          <w:rtl/>
        </w:rPr>
        <w:t xml:space="preserve">שיש </w:t>
      </w:r>
      <w:bookmarkStart w:id="55514" w:name="_ETM_Q102_318230"/>
      <w:bookmarkEnd w:id="55514"/>
      <w:r>
        <w:rPr>
          <w:rFonts w:hint="cs"/>
          <w:rtl/>
        </w:rPr>
        <w:t xml:space="preserve">להם </w:t>
      </w:r>
      <w:bookmarkStart w:id="55515" w:name="_ETM_Q102_318709"/>
      <w:bookmarkEnd w:id="55515"/>
      <w:r>
        <w:rPr>
          <w:rFonts w:hint="cs"/>
          <w:rtl/>
        </w:rPr>
        <w:t xml:space="preserve">דעות </w:t>
      </w:r>
      <w:bookmarkStart w:id="55516" w:name="_ETM_Q102_319099"/>
      <w:bookmarkEnd w:id="55516"/>
      <w:r>
        <w:rPr>
          <w:rFonts w:hint="cs"/>
          <w:rtl/>
        </w:rPr>
        <w:t xml:space="preserve">אחרות </w:t>
      </w:r>
      <w:bookmarkStart w:id="55517" w:name="_ETM_Q102_319519"/>
      <w:bookmarkEnd w:id="55517"/>
      <w:r>
        <w:rPr>
          <w:rFonts w:hint="cs"/>
          <w:rtl/>
        </w:rPr>
        <w:t>מ</w:t>
      </w:r>
      <w:bookmarkStart w:id="55518" w:name="_ETM_Q102_319639"/>
      <w:bookmarkEnd w:id="55518"/>
      <w:r>
        <w:rPr>
          <w:rFonts w:hint="cs"/>
          <w:rtl/>
        </w:rPr>
        <w:t xml:space="preserve">שלנו, </w:t>
      </w:r>
      <w:bookmarkStart w:id="55519" w:name="_ETM_Q102_320760"/>
      <w:bookmarkEnd w:id="55519"/>
      <w:r>
        <w:rPr>
          <w:rFonts w:hint="cs"/>
          <w:rtl/>
        </w:rPr>
        <w:t xml:space="preserve">אפשרה </w:t>
      </w:r>
      <w:bookmarkStart w:id="55520" w:name="_ETM_Q102_321389"/>
      <w:bookmarkEnd w:id="55520"/>
      <w:r>
        <w:rPr>
          <w:rFonts w:hint="cs"/>
          <w:rtl/>
        </w:rPr>
        <w:t xml:space="preserve">לנו </w:t>
      </w:r>
      <w:bookmarkStart w:id="55521" w:name="_ETM_Q102_321810"/>
      <w:bookmarkEnd w:id="55521"/>
      <w:r>
        <w:rPr>
          <w:rFonts w:hint="cs"/>
          <w:rtl/>
        </w:rPr>
        <w:t xml:space="preserve">להמשיך </w:t>
      </w:r>
      <w:bookmarkStart w:id="55522" w:name="_ETM_Q102_322469"/>
      <w:bookmarkEnd w:id="55522"/>
      <w:r>
        <w:rPr>
          <w:rFonts w:hint="cs"/>
          <w:rtl/>
        </w:rPr>
        <w:t xml:space="preserve">ולחיות </w:t>
      </w:r>
      <w:bookmarkStart w:id="55523" w:name="_ETM_Q102_322980"/>
      <w:bookmarkEnd w:id="55523"/>
      <w:r>
        <w:rPr>
          <w:rFonts w:hint="cs"/>
          <w:rtl/>
        </w:rPr>
        <w:t xml:space="preserve">ביחד </w:t>
      </w:r>
      <w:bookmarkStart w:id="55524" w:name="_ETM_Q102_324040"/>
      <w:bookmarkEnd w:id="55524"/>
      <w:r>
        <w:rPr>
          <w:rFonts w:hint="cs"/>
          <w:rtl/>
        </w:rPr>
        <w:t xml:space="preserve">גם </w:t>
      </w:r>
      <w:bookmarkStart w:id="55525" w:name="_ETM_Q102_324370"/>
      <w:bookmarkEnd w:id="55525"/>
      <w:r>
        <w:rPr>
          <w:rFonts w:hint="cs"/>
          <w:rtl/>
        </w:rPr>
        <w:t xml:space="preserve">אחרי </w:t>
      </w:r>
      <w:bookmarkStart w:id="55526" w:name="_ETM_Q102_324700"/>
      <w:bookmarkEnd w:id="55526"/>
      <w:r>
        <w:rPr>
          <w:rFonts w:hint="cs"/>
          <w:rtl/>
        </w:rPr>
        <w:t xml:space="preserve">שעברנו </w:t>
      </w:r>
      <w:bookmarkStart w:id="55527" w:name="_ETM_Q102_325450"/>
      <w:bookmarkEnd w:id="55527"/>
      <w:r>
        <w:rPr>
          <w:rFonts w:hint="cs"/>
          <w:rtl/>
        </w:rPr>
        <w:t xml:space="preserve">בצמתים </w:t>
      </w:r>
      <w:bookmarkStart w:id="55528" w:name="_ETM_Q102_326470"/>
      <w:bookmarkEnd w:id="55528"/>
      <w:r>
        <w:rPr>
          <w:rFonts w:hint="cs"/>
          <w:rtl/>
        </w:rPr>
        <w:t xml:space="preserve">שכאבו </w:t>
      </w:r>
      <w:bookmarkStart w:id="55529" w:name="_ETM_Q102_327130"/>
      <w:bookmarkEnd w:id="55529"/>
      <w:r>
        <w:rPr>
          <w:rFonts w:hint="cs"/>
          <w:rtl/>
        </w:rPr>
        <w:t xml:space="preserve">לנו </w:t>
      </w:r>
      <w:bookmarkStart w:id="55530" w:name="_ETM_Q102_327550"/>
      <w:bookmarkEnd w:id="55530"/>
      <w:r>
        <w:rPr>
          <w:rFonts w:hint="cs"/>
          <w:rtl/>
        </w:rPr>
        <w:t xml:space="preserve">יותר </w:t>
      </w:r>
      <w:bookmarkStart w:id="55531" w:name="_ETM_Q102_328150"/>
      <w:bookmarkEnd w:id="55531"/>
      <w:r>
        <w:rPr>
          <w:rFonts w:hint="cs"/>
          <w:rtl/>
        </w:rPr>
        <w:t xml:space="preserve">מכול. </w:t>
      </w:r>
      <w:bookmarkStart w:id="55532" w:name="_ETM_Q102_329779"/>
      <w:bookmarkEnd w:id="55532"/>
      <w:r>
        <w:rPr>
          <w:rFonts w:hint="cs"/>
          <w:rtl/>
        </w:rPr>
        <w:t xml:space="preserve">התקומה </w:t>
      </w:r>
      <w:bookmarkStart w:id="55533" w:name="_ETM_Q102_330499"/>
      <w:bookmarkEnd w:id="55533"/>
      <w:r>
        <w:rPr>
          <w:rFonts w:hint="cs"/>
          <w:rtl/>
        </w:rPr>
        <w:t xml:space="preserve">היהודית </w:t>
      </w:r>
      <w:bookmarkStart w:id="55534" w:name="_ETM_Q102_331099"/>
      <w:bookmarkEnd w:id="55534"/>
      <w:r>
        <w:rPr>
          <w:rFonts w:hint="cs"/>
          <w:rtl/>
        </w:rPr>
        <w:t xml:space="preserve">והישראלית </w:t>
      </w:r>
      <w:bookmarkStart w:id="55535" w:name="_ETM_Q102_332120"/>
      <w:bookmarkStart w:id="55536" w:name="_ETM_Q102_333349"/>
      <w:bookmarkEnd w:id="55535"/>
      <w:bookmarkEnd w:id="55536"/>
      <w:r>
        <w:rPr>
          <w:rFonts w:hint="cs"/>
          <w:rtl/>
        </w:rPr>
        <w:t xml:space="preserve">תלויה </w:t>
      </w:r>
      <w:bookmarkStart w:id="55537" w:name="_ETM_Q102_333980"/>
      <w:bookmarkEnd w:id="55537"/>
      <w:r>
        <w:rPr>
          <w:rFonts w:hint="cs"/>
          <w:rtl/>
        </w:rPr>
        <w:t xml:space="preserve">במידה </w:t>
      </w:r>
      <w:bookmarkStart w:id="55538" w:name="_ETM_Q102_332569"/>
      <w:bookmarkEnd w:id="55538"/>
      <w:r>
        <w:rPr>
          <w:rFonts w:hint="cs"/>
          <w:rtl/>
        </w:rPr>
        <w:t xml:space="preserve">רבה ביכולת </w:t>
      </w:r>
      <w:bookmarkStart w:id="55539" w:name="_ETM_Q102_334549"/>
      <w:bookmarkEnd w:id="55539"/>
      <w:r>
        <w:rPr>
          <w:rFonts w:hint="cs"/>
          <w:rtl/>
        </w:rPr>
        <w:t xml:space="preserve">של </w:t>
      </w:r>
      <w:bookmarkStart w:id="55540" w:name="_ETM_Q102_334700"/>
      <w:bookmarkEnd w:id="55540"/>
      <w:r>
        <w:rPr>
          <w:rFonts w:hint="cs"/>
          <w:rtl/>
        </w:rPr>
        <w:t xml:space="preserve">הפסיפס </w:t>
      </w:r>
      <w:bookmarkStart w:id="55541" w:name="_ETM_Q102_335359"/>
      <w:bookmarkEnd w:id="55541"/>
      <w:r>
        <w:rPr>
          <w:rFonts w:hint="cs"/>
          <w:rtl/>
        </w:rPr>
        <w:t xml:space="preserve">האנושי </w:t>
      </w:r>
      <w:bookmarkStart w:id="55542" w:name="_ETM_Q102_335840"/>
      <w:bookmarkEnd w:id="55542"/>
      <w:r>
        <w:rPr>
          <w:rFonts w:hint="cs"/>
          <w:rtl/>
        </w:rPr>
        <w:t xml:space="preserve">הזה, </w:t>
      </w:r>
      <w:bookmarkStart w:id="55543" w:name="_ETM_Q102_336590"/>
      <w:bookmarkEnd w:id="55543"/>
      <w:r>
        <w:rPr>
          <w:rFonts w:hint="cs"/>
          <w:rtl/>
        </w:rPr>
        <w:t xml:space="preserve">המגוון </w:t>
      </w:r>
      <w:bookmarkStart w:id="55544" w:name="_ETM_Q102_337400"/>
      <w:bookmarkEnd w:id="55544"/>
      <w:r>
        <w:rPr>
          <w:rFonts w:hint="cs"/>
          <w:rtl/>
        </w:rPr>
        <w:t xml:space="preserve">האין-סופי </w:t>
      </w:r>
      <w:bookmarkStart w:id="55545" w:name="_ETM_Q102_338060"/>
      <w:bookmarkEnd w:id="55545"/>
      <w:r>
        <w:rPr>
          <w:rFonts w:hint="cs"/>
          <w:rtl/>
        </w:rPr>
        <w:t xml:space="preserve">של </w:t>
      </w:r>
      <w:bookmarkStart w:id="55546" w:name="_ETM_Q102_338269"/>
      <w:bookmarkEnd w:id="55546"/>
      <w:r>
        <w:rPr>
          <w:rFonts w:hint="cs"/>
          <w:rtl/>
        </w:rPr>
        <w:t xml:space="preserve">אנשים, </w:t>
      </w:r>
      <w:bookmarkStart w:id="55547" w:name="_ETM_Q102_339019"/>
      <w:bookmarkEnd w:id="55547"/>
      <w:r>
        <w:rPr>
          <w:rFonts w:hint="cs"/>
          <w:rtl/>
        </w:rPr>
        <w:t xml:space="preserve">דעות, </w:t>
      </w:r>
      <w:bookmarkStart w:id="55548" w:name="_ETM_Q102_339829"/>
      <w:bookmarkEnd w:id="55548"/>
      <w:r>
        <w:rPr>
          <w:rFonts w:hint="cs"/>
          <w:rtl/>
        </w:rPr>
        <w:t xml:space="preserve">רעיונות </w:t>
      </w:r>
      <w:bookmarkStart w:id="55549" w:name="_ETM_Q102_340519"/>
      <w:bookmarkEnd w:id="55549"/>
      <w:r>
        <w:rPr>
          <w:rFonts w:hint="cs"/>
          <w:rtl/>
        </w:rPr>
        <w:t xml:space="preserve">ומקורות, </w:t>
      </w:r>
      <w:bookmarkStart w:id="55550" w:name="_ETM_Q102_341580"/>
      <w:bookmarkEnd w:id="55550"/>
      <w:r>
        <w:rPr>
          <w:rFonts w:hint="cs"/>
          <w:rtl/>
        </w:rPr>
        <w:t xml:space="preserve">להמשיך </w:t>
      </w:r>
      <w:bookmarkStart w:id="55551" w:name="_ETM_Q102_342180"/>
      <w:bookmarkEnd w:id="55551"/>
      <w:r>
        <w:rPr>
          <w:rFonts w:hint="cs"/>
          <w:rtl/>
        </w:rPr>
        <w:t xml:space="preserve">להיות </w:t>
      </w:r>
      <w:bookmarkStart w:id="55552" w:name="_ETM_Q102_342720"/>
      <w:bookmarkEnd w:id="55552"/>
      <w:r>
        <w:rPr>
          <w:rFonts w:hint="cs"/>
          <w:rtl/>
        </w:rPr>
        <w:t xml:space="preserve">ציור </w:t>
      </w:r>
      <w:bookmarkStart w:id="55553" w:name="_ETM_Q102_343560"/>
      <w:bookmarkEnd w:id="55553"/>
      <w:r>
        <w:rPr>
          <w:rFonts w:hint="cs"/>
          <w:rtl/>
        </w:rPr>
        <w:t xml:space="preserve">אחד </w:t>
      </w:r>
      <w:bookmarkStart w:id="55554" w:name="_ETM_Q102_344220"/>
      <w:bookmarkEnd w:id="55554"/>
      <w:r>
        <w:rPr>
          <w:rFonts w:hint="cs"/>
          <w:rtl/>
        </w:rPr>
        <w:t xml:space="preserve">יפה </w:t>
      </w:r>
      <w:bookmarkStart w:id="55555" w:name="_ETM_Q102_344879"/>
      <w:bookmarkEnd w:id="55555"/>
      <w:r>
        <w:rPr>
          <w:rFonts w:hint="cs"/>
          <w:rtl/>
        </w:rPr>
        <w:t xml:space="preserve">ומרשים. </w:t>
      </w:r>
      <w:bookmarkStart w:id="55556" w:name="_ETM_Q102_346340"/>
      <w:bookmarkStart w:id="55557" w:name="_ETM_Q102_345175"/>
      <w:bookmarkStart w:id="55558" w:name="_ETM_Q102_345290"/>
      <w:bookmarkStart w:id="55559" w:name="_ETM_Q102_345405"/>
      <w:bookmarkStart w:id="55560" w:name="_ETM_Q102_345481"/>
      <w:bookmarkEnd w:id="55556"/>
      <w:bookmarkEnd w:id="55557"/>
      <w:bookmarkEnd w:id="55558"/>
      <w:bookmarkEnd w:id="55559"/>
      <w:bookmarkEnd w:id="55560"/>
      <w:r>
        <w:rPr>
          <w:rFonts w:hint="cs"/>
          <w:rtl/>
        </w:rPr>
        <w:t xml:space="preserve">נכון, </w:t>
      </w:r>
      <w:bookmarkStart w:id="55561" w:name="_ETM_Q102_347620"/>
      <w:bookmarkEnd w:id="55561"/>
      <w:r>
        <w:rPr>
          <w:rFonts w:hint="cs"/>
          <w:rtl/>
        </w:rPr>
        <w:t xml:space="preserve">אם </w:t>
      </w:r>
      <w:bookmarkStart w:id="55562" w:name="_ETM_Q102_347799"/>
      <w:bookmarkEnd w:id="55562"/>
      <w:r>
        <w:rPr>
          <w:rFonts w:hint="cs"/>
          <w:rtl/>
        </w:rPr>
        <w:t xml:space="preserve">תסתכל </w:t>
      </w:r>
      <w:bookmarkStart w:id="55563" w:name="_ETM_Q102_348310"/>
      <w:bookmarkEnd w:id="55563"/>
      <w:r>
        <w:rPr>
          <w:rFonts w:hint="cs"/>
          <w:rtl/>
        </w:rPr>
        <w:t xml:space="preserve">על </w:t>
      </w:r>
      <w:bookmarkStart w:id="55564" w:name="_ETM_Q102_348430"/>
      <w:bookmarkEnd w:id="55564"/>
      <w:r>
        <w:rPr>
          <w:rFonts w:hint="cs"/>
          <w:rtl/>
        </w:rPr>
        <w:t xml:space="preserve">כל </w:t>
      </w:r>
      <w:bookmarkStart w:id="55565" w:name="_ETM_Q102_348730"/>
      <w:bookmarkEnd w:id="55565"/>
      <w:r>
        <w:rPr>
          <w:rFonts w:hint="cs"/>
          <w:rtl/>
        </w:rPr>
        <w:t xml:space="preserve">אבן </w:t>
      </w:r>
      <w:bookmarkStart w:id="55566" w:name="_ETM_Q102_349060"/>
      <w:bookmarkEnd w:id="55566"/>
      <w:r>
        <w:rPr>
          <w:rFonts w:hint="cs"/>
          <w:rtl/>
        </w:rPr>
        <w:t xml:space="preserve">בנפרד </w:t>
      </w:r>
      <w:bookmarkStart w:id="55567" w:name="_ETM_Q102_350069"/>
      <w:bookmarkEnd w:id="55567"/>
      <w:r>
        <w:rPr>
          <w:rFonts w:hint="cs"/>
          <w:rtl/>
        </w:rPr>
        <w:t xml:space="preserve">היא </w:t>
      </w:r>
      <w:bookmarkStart w:id="55568" w:name="_ETM_Q102_350189"/>
      <w:bookmarkEnd w:id="55568"/>
      <w:r>
        <w:rPr>
          <w:rFonts w:hint="cs"/>
          <w:rtl/>
        </w:rPr>
        <w:t xml:space="preserve">תיראה </w:t>
      </w:r>
      <w:bookmarkStart w:id="55569" w:name="_ETM_Q102_350639"/>
      <w:bookmarkEnd w:id="55569"/>
      <w:r>
        <w:rPr>
          <w:rFonts w:hint="cs"/>
          <w:rtl/>
        </w:rPr>
        <w:t xml:space="preserve">לך </w:t>
      </w:r>
      <w:bookmarkStart w:id="55570" w:name="_ETM_Q102_350909"/>
      <w:bookmarkEnd w:id="55570"/>
      <w:r>
        <w:rPr>
          <w:rFonts w:hint="cs"/>
          <w:rtl/>
        </w:rPr>
        <w:t xml:space="preserve">שונה </w:t>
      </w:r>
      <w:bookmarkStart w:id="55571" w:name="_ETM_Q102_351359"/>
      <w:bookmarkEnd w:id="55571"/>
      <w:r>
        <w:rPr>
          <w:rFonts w:hint="cs"/>
          <w:rtl/>
        </w:rPr>
        <w:t xml:space="preserve">שנות </w:t>
      </w:r>
      <w:bookmarkStart w:id="55572" w:name="_ETM_Q102_351870"/>
      <w:bookmarkEnd w:id="55572"/>
      <w:r>
        <w:rPr>
          <w:rFonts w:hint="cs"/>
          <w:rtl/>
        </w:rPr>
        <w:t xml:space="preserve">אור </w:t>
      </w:r>
      <w:bookmarkStart w:id="55573" w:name="_ETM_Q102_352139"/>
      <w:bookmarkEnd w:id="55573"/>
      <w:r>
        <w:rPr>
          <w:rFonts w:hint="cs"/>
          <w:rtl/>
        </w:rPr>
        <w:t xml:space="preserve">מזו </w:t>
      </w:r>
      <w:bookmarkStart w:id="55574" w:name="_ETM_Q102_352499"/>
      <w:bookmarkEnd w:id="55574"/>
      <w:r>
        <w:rPr>
          <w:rFonts w:hint="cs"/>
          <w:rtl/>
        </w:rPr>
        <w:t xml:space="preserve">הסמוכה </w:t>
      </w:r>
      <w:bookmarkStart w:id="55575" w:name="_ETM_Q102_353010"/>
      <w:bookmarkEnd w:id="55575"/>
      <w:r>
        <w:rPr>
          <w:rFonts w:hint="cs"/>
          <w:rtl/>
        </w:rPr>
        <w:t xml:space="preserve">לה, </w:t>
      </w:r>
      <w:bookmarkStart w:id="55576" w:name="_ETM_Q102_353860"/>
      <w:bookmarkEnd w:id="55576"/>
      <w:r>
        <w:rPr>
          <w:rFonts w:hint="cs"/>
          <w:rtl/>
        </w:rPr>
        <w:t xml:space="preserve">אך </w:t>
      </w:r>
      <w:bookmarkStart w:id="55577" w:name="_ETM_Q102_354040"/>
      <w:bookmarkEnd w:id="55577"/>
      <w:r>
        <w:rPr>
          <w:rFonts w:hint="cs"/>
          <w:rtl/>
        </w:rPr>
        <w:t xml:space="preserve">כשתלך </w:t>
      </w:r>
      <w:bookmarkStart w:id="55578" w:name="_ETM_Q102_354700"/>
      <w:bookmarkEnd w:id="55578"/>
      <w:r>
        <w:rPr>
          <w:rFonts w:hint="cs"/>
          <w:rtl/>
        </w:rPr>
        <w:t xml:space="preserve">לאחור </w:t>
      </w:r>
      <w:bookmarkStart w:id="55579" w:name="_ETM_Q102_355330"/>
      <w:bookmarkEnd w:id="55579"/>
      <w:r>
        <w:rPr>
          <w:rFonts w:hint="cs"/>
          <w:rtl/>
        </w:rPr>
        <w:t xml:space="preserve">ותביט </w:t>
      </w:r>
      <w:bookmarkStart w:id="55580" w:name="_ETM_Q102_355900"/>
      <w:bookmarkEnd w:id="55580"/>
      <w:r>
        <w:rPr>
          <w:rFonts w:hint="cs"/>
          <w:rtl/>
        </w:rPr>
        <w:t xml:space="preserve">על </w:t>
      </w:r>
      <w:bookmarkStart w:id="55581" w:name="_ETM_Q102_356020"/>
      <w:bookmarkEnd w:id="55581"/>
      <w:r>
        <w:rPr>
          <w:rFonts w:hint="cs"/>
          <w:rtl/>
        </w:rPr>
        <w:t xml:space="preserve">התמונה </w:t>
      </w:r>
      <w:bookmarkStart w:id="55582" w:name="_ETM_Q102_356530"/>
      <w:bookmarkEnd w:id="55582"/>
      <w:r>
        <w:rPr>
          <w:rFonts w:hint="cs"/>
          <w:rtl/>
        </w:rPr>
        <w:t xml:space="preserve">הגדולה – </w:t>
      </w:r>
      <w:bookmarkStart w:id="55583" w:name="_ETM_Q102_357490"/>
      <w:bookmarkEnd w:id="55583"/>
      <w:r>
        <w:rPr>
          <w:rFonts w:hint="cs"/>
          <w:rtl/>
        </w:rPr>
        <w:t xml:space="preserve">הנשימה </w:t>
      </w:r>
      <w:bookmarkStart w:id="55584" w:name="_ETM_Q102_358419"/>
      <w:bookmarkEnd w:id="55584"/>
      <w:r>
        <w:rPr>
          <w:rFonts w:hint="cs"/>
          <w:rtl/>
        </w:rPr>
        <w:t xml:space="preserve">נעתקת </w:t>
      </w:r>
      <w:bookmarkStart w:id="55585" w:name="_ETM_Q102_359500"/>
      <w:bookmarkEnd w:id="55585"/>
      <w:r>
        <w:rPr>
          <w:rFonts w:hint="cs"/>
          <w:rtl/>
        </w:rPr>
        <w:t xml:space="preserve">אל </w:t>
      </w:r>
      <w:bookmarkStart w:id="55586" w:name="_ETM_Q102_359710"/>
      <w:bookmarkEnd w:id="55586"/>
      <w:r>
        <w:rPr>
          <w:rFonts w:hint="cs"/>
          <w:rtl/>
        </w:rPr>
        <w:t xml:space="preserve">מול </w:t>
      </w:r>
      <w:bookmarkStart w:id="55587" w:name="_ETM_Q102_360070"/>
      <w:bookmarkEnd w:id="55587"/>
      <w:r>
        <w:rPr>
          <w:rFonts w:hint="cs"/>
          <w:rtl/>
        </w:rPr>
        <w:t xml:space="preserve">הנס </w:t>
      </w:r>
      <w:bookmarkStart w:id="55588" w:name="_ETM_Q102_360610"/>
      <w:bookmarkEnd w:id="55588"/>
      <w:r>
        <w:rPr>
          <w:rFonts w:hint="cs"/>
          <w:rtl/>
        </w:rPr>
        <w:t xml:space="preserve">הגלוי </w:t>
      </w:r>
      <w:bookmarkStart w:id="55589" w:name="_ETM_Q102_361150"/>
      <w:bookmarkEnd w:id="55589"/>
      <w:r>
        <w:rPr>
          <w:rFonts w:hint="cs"/>
          <w:rtl/>
        </w:rPr>
        <w:t xml:space="preserve">הזה </w:t>
      </w:r>
      <w:bookmarkStart w:id="55590" w:name="_ETM_Q102_361960"/>
      <w:bookmarkEnd w:id="55590"/>
      <w:r>
        <w:rPr>
          <w:rFonts w:hint="cs"/>
          <w:rtl/>
        </w:rPr>
        <w:t xml:space="preserve">שבהקמת </w:t>
      </w:r>
      <w:bookmarkStart w:id="55591" w:name="_ETM_Q102_362889"/>
      <w:bookmarkEnd w:id="55591"/>
      <w:r>
        <w:rPr>
          <w:rFonts w:hint="cs"/>
          <w:rtl/>
        </w:rPr>
        <w:t xml:space="preserve">המדינה </w:t>
      </w:r>
      <w:bookmarkStart w:id="55592" w:name="_ETM_Q102_363370"/>
      <w:bookmarkEnd w:id="55592"/>
      <w:r>
        <w:rPr>
          <w:rFonts w:hint="cs"/>
          <w:rtl/>
        </w:rPr>
        <w:t xml:space="preserve">שלנו. </w:t>
      </w:r>
      <w:bookmarkStart w:id="55593" w:name="_ETM_Q102_364590"/>
      <w:bookmarkEnd w:id="55593"/>
    </w:p>
    <w:p w:rsidR="00BB59CD" w:rsidRDefault="00BB59CD" w:rsidP="00BB59CD">
      <w:pPr>
        <w:rPr>
          <w:rtl/>
        </w:rPr>
      </w:pPr>
      <w:bookmarkStart w:id="55594" w:name="_ETM_Q102_365109"/>
      <w:bookmarkStart w:id="55595" w:name="_ETM_Q102_365232"/>
      <w:bookmarkEnd w:id="55594"/>
      <w:bookmarkEnd w:id="55595"/>
    </w:p>
    <w:p w:rsidR="00BB59CD" w:rsidRDefault="00BB59CD" w:rsidP="0018073C">
      <w:pPr>
        <w:rPr>
          <w:rtl/>
        </w:rPr>
      </w:pPr>
      <w:bookmarkStart w:id="55596" w:name="_ETM_Q102_365314"/>
      <w:bookmarkStart w:id="55597" w:name="_ETM_Q102_365415"/>
      <w:bookmarkEnd w:id="55596"/>
      <w:bookmarkEnd w:id="55597"/>
      <w:r>
        <w:rPr>
          <w:rFonts w:hint="cs"/>
          <w:rtl/>
        </w:rPr>
        <w:t xml:space="preserve">אבל </w:t>
      </w:r>
      <w:bookmarkStart w:id="55598" w:name="_ETM_Q102_365160"/>
      <w:bookmarkEnd w:id="55598"/>
      <w:r>
        <w:rPr>
          <w:rFonts w:hint="cs"/>
          <w:rtl/>
        </w:rPr>
        <w:t xml:space="preserve">בשנים </w:t>
      </w:r>
      <w:bookmarkStart w:id="55599" w:name="_ETM_Q102_365639"/>
      <w:bookmarkEnd w:id="55599"/>
      <w:r>
        <w:rPr>
          <w:rFonts w:hint="cs"/>
          <w:rtl/>
        </w:rPr>
        <w:t xml:space="preserve">האחרונות, </w:t>
      </w:r>
      <w:bookmarkStart w:id="55600" w:name="_ETM_Q102_366540"/>
      <w:bookmarkEnd w:id="55600"/>
      <w:r>
        <w:rPr>
          <w:rFonts w:hint="cs"/>
          <w:rtl/>
        </w:rPr>
        <w:t xml:space="preserve">אדוני </w:t>
      </w:r>
      <w:bookmarkStart w:id="55601" w:name="_ETM_Q102_366900"/>
      <w:bookmarkEnd w:id="55601"/>
      <w:r>
        <w:rPr>
          <w:rFonts w:hint="cs"/>
          <w:rtl/>
        </w:rPr>
        <w:t>היושב</w:t>
      </w:r>
      <w:bookmarkStart w:id="55602" w:name="_ETM_Q102_367320"/>
      <w:bookmarkEnd w:id="55602"/>
      <w:r>
        <w:rPr>
          <w:rFonts w:hint="cs"/>
          <w:rtl/>
        </w:rPr>
        <w:t xml:space="preserve"> ב</w:t>
      </w:r>
      <w:bookmarkStart w:id="55603" w:name="_ETM_Q102_376452"/>
      <w:bookmarkEnd w:id="55603"/>
      <w:r>
        <w:rPr>
          <w:rFonts w:hint="cs"/>
          <w:rtl/>
        </w:rPr>
        <w:t xml:space="preserve">ראש, </w:t>
      </w:r>
      <w:bookmarkStart w:id="55604" w:name="_ETM_Q102_368410"/>
      <w:bookmarkEnd w:id="55604"/>
      <w:r>
        <w:rPr>
          <w:rFonts w:hint="cs"/>
          <w:rtl/>
        </w:rPr>
        <w:t xml:space="preserve">ישנם </w:t>
      </w:r>
      <w:bookmarkStart w:id="55605" w:name="_ETM_Q102_369130"/>
      <w:bookmarkEnd w:id="55605"/>
      <w:r>
        <w:rPr>
          <w:rFonts w:hint="cs"/>
          <w:rtl/>
        </w:rPr>
        <w:t xml:space="preserve">לא </w:t>
      </w:r>
      <w:bookmarkStart w:id="55606" w:name="_ETM_Q102_369490"/>
      <w:bookmarkEnd w:id="55606"/>
      <w:r>
        <w:rPr>
          <w:rFonts w:hint="cs"/>
          <w:rtl/>
        </w:rPr>
        <w:t xml:space="preserve">מעט </w:t>
      </w:r>
      <w:bookmarkStart w:id="55607" w:name="_ETM_Q102_369880"/>
      <w:bookmarkEnd w:id="55607"/>
      <w:r>
        <w:rPr>
          <w:rFonts w:hint="cs"/>
          <w:rtl/>
        </w:rPr>
        <w:t xml:space="preserve">סוכני </w:t>
      </w:r>
      <w:bookmarkStart w:id="55608" w:name="_ETM_Q102_370330"/>
      <w:bookmarkEnd w:id="55608"/>
      <w:r>
        <w:rPr>
          <w:rFonts w:hint="cs"/>
          <w:rtl/>
        </w:rPr>
        <w:t xml:space="preserve">כאוס </w:t>
      </w:r>
      <w:bookmarkStart w:id="55609" w:name="_ETM_Q102_371200"/>
      <w:bookmarkEnd w:id="55609"/>
      <w:r>
        <w:rPr>
          <w:rFonts w:hint="cs"/>
          <w:rtl/>
        </w:rPr>
        <w:t xml:space="preserve">המנסים </w:t>
      </w:r>
      <w:bookmarkStart w:id="55610" w:name="_ETM_Q102_371830"/>
      <w:bookmarkEnd w:id="55610"/>
      <w:r>
        <w:rPr>
          <w:rFonts w:hint="cs"/>
          <w:rtl/>
        </w:rPr>
        <w:t xml:space="preserve">לגרום </w:t>
      </w:r>
      <w:bookmarkStart w:id="55611" w:name="_ETM_Q102_372280"/>
      <w:bookmarkEnd w:id="55611"/>
      <w:r>
        <w:rPr>
          <w:rFonts w:hint="cs"/>
          <w:rtl/>
        </w:rPr>
        <w:t xml:space="preserve">לנו </w:t>
      </w:r>
      <w:bookmarkStart w:id="55612" w:name="_ETM_Q102_372520"/>
      <w:bookmarkEnd w:id="55612"/>
      <w:r>
        <w:rPr>
          <w:rFonts w:hint="cs"/>
          <w:rtl/>
        </w:rPr>
        <w:t xml:space="preserve">לחשוב </w:t>
      </w:r>
      <w:bookmarkStart w:id="55613" w:name="_ETM_Q102_373430"/>
      <w:bookmarkEnd w:id="55613"/>
      <w:r>
        <w:rPr>
          <w:rFonts w:hint="cs"/>
          <w:rtl/>
        </w:rPr>
        <w:t xml:space="preserve">על </w:t>
      </w:r>
      <w:bookmarkStart w:id="55614" w:name="_ETM_Q102_373730"/>
      <w:bookmarkEnd w:id="55614"/>
      <w:r>
        <w:rPr>
          <w:rFonts w:hint="cs"/>
          <w:rtl/>
        </w:rPr>
        <w:t xml:space="preserve">הפסיפס </w:t>
      </w:r>
      <w:bookmarkStart w:id="55615" w:name="_ETM_Q102_374330"/>
      <w:bookmarkEnd w:id="55615"/>
      <w:r>
        <w:rPr>
          <w:rFonts w:hint="cs"/>
          <w:rtl/>
        </w:rPr>
        <w:t xml:space="preserve">המדהים </w:t>
      </w:r>
      <w:bookmarkStart w:id="55616" w:name="_ETM_Q102_374720"/>
      <w:bookmarkEnd w:id="55616"/>
      <w:r>
        <w:rPr>
          <w:rFonts w:hint="cs"/>
          <w:rtl/>
        </w:rPr>
        <w:t xml:space="preserve">הזה </w:t>
      </w:r>
      <w:bookmarkStart w:id="55617" w:name="_ETM_Q102_375540"/>
      <w:bookmarkEnd w:id="55617"/>
      <w:r>
        <w:rPr>
          <w:rFonts w:hint="cs"/>
          <w:rtl/>
        </w:rPr>
        <w:t xml:space="preserve">יותר </w:t>
      </w:r>
      <w:bookmarkStart w:id="55618" w:name="_ETM_Q102_375960"/>
      <w:bookmarkEnd w:id="55618"/>
      <w:r>
        <w:rPr>
          <w:rFonts w:hint="cs"/>
          <w:rtl/>
        </w:rPr>
        <w:t xml:space="preserve">כמו </w:t>
      </w:r>
      <w:bookmarkStart w:id="55619" w:name="_ETM_Q102_376740"/>
      <w:bookmarkEnd w:id="55619"/>
      <w:r>
        <w:rPr>
          <w:rFonts w:hint="cs"/>
          <w:rtl/>
        </w:rPr>
        <w:t xml:space="preserve">קובייה </w:t>
      </w:r>
      <w:bookmarkStart w:id="55620" w:name="_ETM_Q102_377190"/>
      <w:bookmarkEnd w:id="55620"/>
      <w:r>
        <w:rPr>
          <w:rFonts w:hint="cs"/>
          <w:rtl/>
        </w:rPr>
        <w:t xml:space="preserve">הונגרית. </w:t>
      </w:r>
      <w:bookmarkStart w:id="55621" w:name="_ETM_Q102_378659"/>
      <w:bookmarkEnd w:id="55621"/>
      <w:r>
        <w:rPr>
          <w:rFonts w:hint="cs"/>
          <w:rtl/>
        </w:rPr>
        <w:t xml:space="preserve">לכל </w:t>
      </w:r>
      <w:bookmarkStart w:id="55622" w:name="_ETM_Q102_379050"/>
      <w:bookmarkEnd w:id="55622"/>
      <w:r>
        <w:rPr>
          <w:rFonts w:hint="cs"/>
          <w:rtl/>
        </w:rPr>
        <w:t xml:space="preserve">צבע </w:t>
      </w:r>
      <w:bookmarkStart w:id="55623" w:name="_ETM_Q102_379709"/>
      <w:bookmarkEnd w:id="55623"/>
      <w:r>
        <w:rPr>
          <w:rFonts w:hint="cs"/>
          <w:rtl/>
        </w:rPr>
        <w:t xml:space="preserve">המקום </w:t>
      </w:r>
      <w:bookmarkStart w:id="55624" w:name="_ETM_Q102_380190"/>
      <w:bookmarkEnd w:id="55624"/>
      <w:r>
        <w:rPr>
          <w:rFonts w:hint="cs"/>
          <w:rtl/>
        </w:rPr>
        <w:t xml:space="preserve">שלו </w:t>
      </w:r>
      <w:bookmarkStart w:id="55625" w:name="_ETM_Q102_381120"/>
      <w:bookmarkEnd w:id="55625"/>
      <w:r>
        <w:rPr>
          <w:rFonts w:hint="cs"/>
          <w:rtl/>
        </w:rPr>
        <w:t xml:space="preserve">וכל </w:t>
      </w:r>
      <w:bookmarkStart w:id="55626" w:name="_ETM_Q102_381590"/>
      <w:bookmarkEnd w:id="55626"/>
      <w:r>
        <w:rPr>
          <w:rFonts w:hint="cs"/>
          <w:rtl/>
        </w:rPr>
        <w:t xml:space="preserve">צבע </w:t>
      </w:r>
      <w:bookmarkStart w:id="55627" w:name="_ETM_Q102_382250"/>
      <w:bookmarkEnd w:id="55627"/>
      <w:r>
        <w:rPr>
          <w:rFonts w:hint="cs"/>
          <w:rtl/>
        </w:rPr>
        <w:t xml:space="preserve">יחיה </w:t>
      </w:r>
      <w:bookmarkStart w:id="55628" w:name="_ETM_Q102_382819"/>
      <w:bookmarkEnd w:id="55628"/>
      <w:r>
        <w:rPr>
          <w:rFonts w:hint="cs"/>
          <w:rtl/>
        </w:rPr>
        <w:t xml:space="preserve">בנפרד </w:t>
      </w:r>
      <w:bookmarkStart w:id="55629" w:name="_ETM_Q102_383650"/>
      <w:bookmarkEnd w:id="55629"/>
      <w:r>
        <w:rPr>
          <w:rFonts w:hint="cs"/>
          <w:rtl/>
        </w:rPr>
        <w:t xml:space="preserve">מהאחרים. </w:t>
      </w:r>
      <w:bookmarkStart w:id="55630" w:name="_ETM_Q102_385609"/>
      <w:bookmarkEnd w:id="55630"/>
      <w:r>
        <w:rPr>
          <w:rFonts w:hint="cs"/>
          <w:rtl/>
        </w:rPr>
        <w:t xml:space="preserve">אין </w:t>
      </w:r>
      <w:bookmarkStart w:id="55631" w:name="_ETM_Q102_385819"/>
      <w:bookmarkEnd w:id="55631"/>
      <w:r>
        <w:rPr>
          <w:rFonts w:hint="cs"/>
          <w:rtl/>
        </w:rPr>
        <w:t xml:space="preserve">מפגש, </w:t>
      </w:r>
      <w:bookmarkStart w:id="55632" w:name="_ETM_Q102_386659"/>
      <w:bookmarkEnd w:id="55632"/>
      <w:r>
        <w:rPr>
          <w:rFonts w:hint="cs"/>
          <w:rtl/>
        </w:rPr>
        <w:t xml:space="preserve">וכך </w:t>
      </w:r>
      <w:bookmarkStart w:id="55633" w:name="_ETM_Q102_387379"/>
      <w:bookmarkEnd w:id="55633"/>
      <w:r>
        <w:rPr>
          <w:rFonts w:hint="cs"/>
          <w:rtl/>
        </w:rPr>
        <w:t xml:space="preserve">גם </w:t>
      </w:r>
      <w:bookmarkStart w:id="55634" w:name="_ETM_Q102_387650"/>
      <w:bookmarkEnd w:id="55634"/>
      <w:r>
        <w:rPr>
          <w:rFonts w:hint="cs"/>
          <w:rtl/>
        </w:rPr>
        <w:t xml:space="preserve">אין </w:t>
      </w:r>
      <w:bookmarkStart w:id="55635" w:name="_ETM_Q102_387829"/>
      <w:bookmarkEnd w:id="55635"/>
      <w:r>
        <w:rPr>
          <w:rFonts w:hint="cs"/>
          <w:rtl/>
        </w:rPr>
        <w:t xml:space="preserve">ציור. </w:t>
      </w:r>
      <w:bookmarkStart w:id="55636" w:name="_ETM_Q102_389320"/>
      <w:bookmarkStart w:id="55637" w:name="_ETM_Q102_390380"/>
      <w:bookmarkStart w:id="55638" w:name="_ETM_Q102_390517"/>
      <w:bookmarkStart w:id="55639" w:name="_ETM_Q102_390943"/>
      <w:bookmarkStart w:id="55640" w:name="_ETM_Q102_391035"/>
      <w:bookmarkEnd w:id="55636"/>
      <w:bookmarkEnd w:id="55637"/>
      <w:bookmarkEnd w:id="55638"/>
      <w:bookmarkEnd w:id="55639"/>
      <w:bookmarkEnd w:id="55640"/>
      <w:r>
        <w:rPr>
          <w:rFonts w:hint="cs"/>
          <w:rtl/>
        </w:rPr>
        <w:t xml:space="preserve">כמעט </w:t>
      </w:r>
      <w:bookmarkStart w:id="55641" w:name="_ETM_Q102_389919"/>
      <w:bookmarkEnd w:id="55641"/>
      <w:r>
        <w:rPr>
          <w:rFonts w:hint="cs"/>
          <w:rtl/>
        </w:rPr>
        <w:t xml:space="preserve">חצי </w:t>
      </w:r>
      <w:bookmarkStart w:id="55642" w:name="_ETM_Q102_390280"/>
      <w:bookmarkEnd w:id="55642"/>
      <w:r>
        <w:rPr>
          <w:rFonts w:hint="cs"/>
          <w:rtl/>
        </w:rPr>
        <w:t xml:space="preserve">שנה </w:t>
      </w:r>
      <w:bookmarkStart w:id="55643" w:name="_ETM_Q102_390790"/>
      <w:bookmarkEnd w:id="55643"/>
      <w:r>
        <w:rPr>
          <w:rFonts w:hint="cs"/>
          <w:rtl/>
        </w:rPr>
        <w:t xml:space="preserve">שממשלת </w:t>
      </w:r>
      <w:bookmarkStart w:id="55644" w:name="_ETM_Q102_391570"/>
      <w:bookmarkEnd w:id="55644"/>
      <w:r>
        <w:rPr>
          <w:rFonts w:hint="cs"/>
          <w:rtl/>
        </w:rPr>
        <w:t>ה</w:t>
      </w:r>
      <w:bookmarkStart w:id="55645" w:name="_ETM_Q102_391840"/>
      <w:bookmarkStart w:id="55646" w:name="_ETM_Q102_392670"/>
      <w:bookmarkEnd w:id="55645"/>
      <w:bookmarkEnd w:id="55646"/>
      <w:r>
        <w:rPr>
          <w:rFonts w:hint="cs"/>
          <w:rtl/>
        </w:rPr>
        <w:t>מלא</w:t>
      </w:r>
      <w:bookmarkStart w:id="55647" w:name="_ETM_Q102_392410"/>
      <w:bookmarkEnd w:id="55647"/>
      <w:r w:rsidR="0018073C">
        <w:rPr>
          <w:rFonts w:hint="cs"/>
          <w:rtl/>
        </w:rPr>
        <w:t xml:space="preserve"> </w:t>
      </w:r>
      <w:r>
        <w:rPr>
          <w:rFonts w:hint="cs"/>
          <w:rtl/>
        </w:rPr>
        <w:t xml:space="preserve">מלא </w:t>
      </w:r>
      <w:bookmarkStart w:id="55648" w:name="_ETM_Q102_392770"/>
      <w:bookmarkEnd w:id="55648"/>
      <w:r>
        <w:rPr>
          <w:rFonts w:hint="cs"/>
          <w:rtl/>
        </w:rPr>
        <w:t xml:space="preserve">ימין </w:t>
      </w:r>
      <w:bookmarkStart w:id="55649" w:name="_ETM_Q102_393160"/>
      <w:bookmarkEnd w:id="55649"/>
      <w:r>
        <w:rPr>
          <w:rFonts w:hint="cs"/>
          <w:rtl/>
        </w:rPr>
        <w:t xml:space="preserve">שלכם </w:t>
      </w:r>
      <w:bookmarkStart w:id="55650" w:name="_ETM_Q102_394180"/>
      <w:bookmarkEnd w:id="55650"/>
      <w:r>
        <w:rPr>
          <w:rFonts w:hint="cs"/>
          <w:rtl/>
        </w:rPr>
        <w:t xml:space="preserve">מנסה </w:t>
      </w:r>
      <w:bookmarkStart w:id="55651" w:name="_ETM_Q102_394690"/>
      <w:bookmarkEnd w:id="55651"/>
      <w:r>
        <w:rPr>
          <w:rFonts w:hint="cs"/>
          <w:rtl/>
        </w:rPr>
        <w:t xml:space="preserve">לדחוק </w:t>
      </w:r>
      <w:bookmarkStart w:id="55652" w:name="_ETM_Q102_395350"/>
      <w:bookmarkEnd w:id="55652"/>
      <w:r>
        <w:rPr>
          <w:rFonts w:hint="cs"/>
          <w:rtl/>
        </w:rPr>
        <w:t xml:space="preserve">כל </w:t>
      </w:r>
      <w:bookmarkStart w:id="55653" w:name="_ETM_Q102_395740"/>
      <w:bookmarkEnd w:id="55653"/>
      <w:r>
        <w:rPr>
          <w:rFonts w:hint="cs"/>
          <w:rtl/>
        </w:rPr>
        <w:t xml:space="preserve">אזרח </w:t>
      </w:r>
      <w:bookmarkStart w:id="55654" w:name="_ETM_Q102_396190"/>
      <w:bookmarkEnd w:id="55654"/>
      <w:r>
        <w:rPr>
          <w:rFonts w:hint="cs"/>
          <w:rtl/>
        </w:rPr>
        <w:t xml:space="preserve">ואזרחית </w:t>
      </w:r>
      <w:bookmarkStart w:id="55655" w:name="_ETM_Q102_396850"/>
      <w:bookmarkEnd w:id="55655"/>
      <w:r>
        <w:rPr>
          <w:rFonts w:hint="cs"/>
          <w:rtl/>
        </w:rPr>
        <w:t xml:space="preserve">במדינה </w:t>
      </w:r>
      <w:bookmarkStart w:id="55656" w:name="_ETM_Q102_397740"/>
      <w:bookmarkEnd w:id="55656"/>
      <w:r>
        <w:rPr>
          <w:rFonts w:hint="cs"/>
          <w:rtl/>
        </w:rPr>
        <w:t xml:space="preserve">לתוך </w:t>
      </w:r>
      <w:bookmarkStart w:id="55657" w:name="_ETM_Q102_398190"/>
      <w:bookmarkEnd w:id="55657"/>
      <w:r>
        <w:rPr>
          <w:rFonts w:hint="cs"/>
          <w:rtl/>
        </w:rPr>
        <w:t xml:space="preserve">משבצת אחת, </w:t>
      </w:r>
      <w:bookmarkStart w:id="55658" w:name="_ETM_Q102_399510"/>
      <w:bookmarkEnd w:id="55658"/>
      <w:r>
        <w:rPr>
          <w:rFonts w:hint="cs"/>
          <w:rtl/>
        </w:rPr>
        <w:t xml:space="preserve">לתוך </w:t>
      </w:r>
      <w:bookmarkStart w:id="55659" w:name="_ETM_Q102_400080"/>
      <w:bookmarkEnd w:id="55659"/>
      <w:r>
        <w:rPr>
          <w:rFonts w:hint="cs"/>
          <w:rtl/>
        </w:rPr>
        <w:t xml:space="preserve">צבע </w:t>
      </w:r>
      <w:bookmarkStart w:id="55660" w:name="_ETM_Q102_400500"/>
      <w:bookmarkEnd w:id="55660"/>
      <w:r>
        <w:rPr>
          <w:rFonts w:hint="cs"/>
          <w:rtl/>
        </w:rPr>
        <w:t xml:space="preserve">אחד </w:t>
      </w:r>
      <w:bookmarkStart w:id="55661" w:name="_ETM_Q102_401180"/>
      <w:bookmarkEnd w:id="55661"/>
      <w:r>
        <w:rPr>
          <w:rFonts w:hint="cs"/>
          <w:rtl/>
        </w:rPr>
        <w:t xml:space="preserve">ותחת </w:t>
      </w:r>
      <w:bookmarkStart w:id="55662" w:name="_ETM_Q102_401689"/>
      <w:bookmarkEnd w:id="55662"/>
      <w:r>
        <w:rPr>
          <w:rFonts w:hint="cs"/>
          <w:rtl/>
        </w:rPr>
        <w:t xml:space="preserve">כותרת </w:t>
      </w:r>
      <w:bookmarkStart w:id="55663" w:name="_ETM_Q102_402199"/>
      <w:bookmarkEnd w:id="55663"/>
      <w:r>
        <w:rPr>
          <w:rFonts w:hint="cs"/>
          <w:rtl/>
        </w:rPr>
        <w:t xml:space="preserve">אחת, </w:t>
      </w:r>
      <w:bookmarkStart w:id="55664" w:name="_ETM_Q102_403209"/>
      <w:bookmarkEnd w:id="55664"/>
      <w:r>
        <w:rPr>
          <w:rFonts w:hint="cs"/>
          <w:rtl/>
        </w:rPr>
        <w:t xml:space="preserve">לגרום </w:t>
      </w:r>
      <w:bookmarkStart w:id="55665" w:name="_ETM_Q102_403840"/>
      <w:bookmarkEnd w:id="55665"/>
      <w:r>
        <w:rPr>
          <w:rFonts w:hint="cs"/>
          <w:rtl/>
        </w:rPr>
        <w:t xml:space="preserve">לנו </w:t>
      </w:r>
      <w:bookmarkStart w:id="55666" w:name="_ETM_Q102_404230"/>
      <w:bookmarkEnd w:id="55666"/>
      <w:r>
        <w:rPr>
          <w:rFonts w:hint="cs"/>
          <w:rtl/>
        </w:rPr>
        <w:t xml:space="preserve">להאמין </w:t>
      </w:r>
      <w:bookmarkStart w:id="55667" w:name="_ETM_Q102_405270"/>
      <w:bookmarkEnd w:id="55667"/>
      <w:r>
        <w:rPr>
          <w:rFonts w:hint="cs"/>
          <w:rtl/>
        </w:rPr>
        <w:t xml:space="preserve">שאין </w:t>
      </w:r>
      <w:bookmarkStart w:id="55668" w:name="_ETM_Q102_405870"/>
      <w:bookmarkEnd w:id="55668"/>
      <w:r>
        <w:rPr>
          <w:rFonts w:hint="cs"/>
          <w:rtl/>
        </w:rPr>
        <w:t xml:space="preserve">ולא </w:t>
      </w:r>
      <w:bookmarkStart w:id="55669" w:name="_ETM_Q102_406200"/>
      <w:bookmarkEnd w:id="55669"/>
      <w:r>
        <w:rPr>
          <w:rFonts w:hint="cs"/>
          <w:rtl/>
        </w:rPr>
        <w:t xml:space="preserve">יהיה </w:t>
      </w:r>
      <w:bookmarkStart w:id="55670" w:name="_ETM_Q102_406920"/>
      <w:bookmarkEnd w:id="55670"/>
      <w:r>
        <w:rPr>
          <w:rFonts w:hint="cs"/>
          <w:rtl/>
        </w:rPr>
        <w:t xml:space="preserve">מפגש </w:t>
      </w:r>
      <w:bookmarkStart w:id="55671" w:name="_ETM_Q102_407610"/>
      <w:bookmarkEnd w:id="55671"/>
      <w:r>
        <w:rPr>
          <w:rFonts w:hint="cs"/>
          <w:rtl/>
        </w:rPr>
        <w:t xml:space="preserve">עם </w:t>
      </w:r>
      <w:bookmarkStart w:id="55672" w:name="_ETM_Q102_407790"/>
      <w:bookmarkEnd w:id="55672"/>
      <w:r>
        <w:rPr>
          <w:rFonts w:hint="cs"/>
          <w:rtl/>
        </w:rPr>
        <w:t xml:space="preserve">האנשים </w:t>
      </w:r>
      <w:bookmarkStart w:id="55673" w:name="_ETM_Q102_408270"/>
      <w:bookmarkEnd w:id="55673"/>
      <w:r>
        <w:rPr>
          <w:rFonts w:hint="cs"/>
          <w:rtl/>
        </w:rPr>
        <w:t xml:space="preserve">האחרים. </w:t>
      </w:r>
      <w:bookmarkStart w:id="55674" w:name="_ETM_Q102_409849"/>
      <w:bookmarkEnd w:id="55674"/>
      <w:r>
        <w:rPr>
          <w:rFonts w:hint="cs"/>
          <w:rtl/>
        </w:rPr>
        <w:t xml:space="preserve">הקיטוב </w:t>
      </w:r>
      <w:bookmarkStart w:id="55675" w:name="_ETM_Q102_410180"/>
      <w:bookmarkStart w:id="55676" w:name="_ETM_Q102_410599"/>
      <w:bookmarkEnd w:id="55675"/>
      <w:bookmarkEnd w:id="55676"/>
      <w:r>
        <w:rPr>
          <w:rFonts w:hint="cs"/>
          <w:rtl/>
        </w:rPr>
        <w:t xml:space="preserve">בישראל </w:t>
      </w:r>
      <w:bookmarkStart w:id="55677" w:name="_ETM_Q102_411319"/>
      <w:bookmarkEnd w:id="55677"/>
      <w:r>
        <w:rPr>
          <w:rFonts w:hint="cs"/>
          <w:rtl/>
        </w:rPr>
        <w:t xml:space="preserve">גואה </w:t>
      </w:r>
      <w:bookmarkStart w:id="55678" w:name="_ETM_Q102_411920"/>
      <w:bookmarkEnd w:id="55678"/>
      <w:r>
        <w:rPr>
          <w:rFonts w:hint="cs"/>
          <w:rtl/>
        </w:rPr>
        <w:t xml:space="preserve">ועולה, </w:t>
      </w:r>
      <w:bookmarkStart w:id="55679" w:name="_ETM_Q102_412939"/>
      <w:bookmarkEnd w:id="55679"/>
      <w:r>
        <w:rPr>
          <w:rFonts w:hint="cs"/>
          <w:rtl/>
        </w:rPr>
        <w:t xml:space="preserve">והתחושה </w:t>
      </w:r>
      <w:bookmarkStart w:id="55680" w:name="_ETM_Q102_413689"/>
      <w:bookmarkEnd w:id="55680"/>
      <w:r>
        <w:rPr>
          <w:rFonts w:hint="cs"/>
          <w:rtl/>
        </w:rPr>
        <w:t xml:space="preserve">היא </w:t>
      </w:r>
      <w:bookmarkStart w:id="55681" w:name="_ETM_Q102_413959"/>
      <w:bookmarkEnd w:id="55681"/>
      <w:r>
        <w:rPr>
          <w:rFonts w:hint="cs"/>
          <w:rtl/>
        </w:rPr>
        <w:t xml:space="preserve">שאנחנו </w:t>
      </w:r>
      <w:bookmarkStart w:id="55682" w:name="_ETM_Q102_414530"/>
      <w:bookmarkEnd w:id="55682"/>
      <w:r>
        <w:rPr>
          <w:rFonts w:hint="cs"/>
          <w:rtl/>
        </w:rPr>
        <w:t xml:space="preserve">על </w:t>
      </w:r>
      <w:bookmarkStart w:id="55683" w:name="_ETM_Q102_414650"/>
      <w:bookmarkStart w:id="55684" w:name="_ETM_Q102_415159"/>
      <w:bookmarkEnd w:id="55683"/>
      <w:bookmarkEnd w:id="55684"/>
      <w:r>
        <w:rPr>
          <w:rFonts w:hint="cs"/>
          <w:rtl/>
        </w:rPr>
        <w:t xml:space="preserve">סיפו של </w:t>
      </w:r>
      <w:bookmarkStart w:id="55685" w:name="_ETM_Q102_415489"/>
      <w:bookmarkEnd w:id="55685"/>
      <w:r>
        <w:rPr>
          <w:rFonts w:hint="cs"/>
          <w:rtl/>
        </w:rPr>
        <w:t xml:space="preserve">לא </w:t>
      </w:r>
      <w:bookmarkStart w:id="55686" w:name="_ETM_Q102_415579"/>
      <w:bookmarkEnd w:id="55686"/>
      <w:r>
        <w:rPr>
          <w:rFonts w:hint="cs"/>
          <w:rtl/>
        </w:rPr>
        <w:t xml:space="preserve">פחות </w:t>
      </w:r>
      <w:bookmarkStart w:id="55687" w:name="_ETM_Q102_416120"/>
      <w:bookmarkEnd w:id="55687"/>
      <w:r>
        <w:rPr>
          <w:rFonts w:hint="cs"/>
          <w:rtl/>
        </w:rPr>
        <w:t xml:space="preserve">מאשר </w:t>
      </w:r>
      <w:bookmarkStart w:id="55688" w:name="_ETM_Q102_416540"/>
      <w:bookmarkEnd w:id="55688"/>
      <w:r>
        <w:rPr>
          <w:rFonts w:hint="cs"/>
          <w:rtl/>
        </w:rPr>
        <w:t xml:space="preserve">פיצוץ </w:t>
      </w:r>
      <w:bookmarkStart w:id="55689" w:name="_ETM_Q102_417260"/>
      <w:bookmarkEnd w:id="55689"/>
      <w:r>
        <w:rPr>
          <w:rFonts w:hint="cs"/>
          <w:rtl/>
        </w:rPr>
        <w:t>גרעיני</w:t>
      </w:r>
      <w:bookmarkStart w:id="55690" w:name="_ETM_Q102_417829"/>
      <w:bookmarkEnd w:id="55690"/>
      <w:r>
        <w:rPr>
          <w:rFonts w:hint="cs"/>
          <w:rtl/>
        </w:rPr>
        <w:t xml:space="preserve"> פנימי, </w:t>
      </w:r>
      <w:bookmarkStart w:id="55691" w:name="_ETM_Q102_418840"/>
      <w:bookmarkEnd w:id="55691"/>
      <w:r>
        <w:rPr>
          <w:rFonts w:hint="cs"/>
          <w:rtl/>
        </w:rPr>
        <w:t xml:space="preserve">שלא </w:t>
      </w:r>
      <w:bookmarkStart w:id="55692" w:name="_ETM_Q102_419260"/>
      <w:bookmarkEnd w:id="55692"/>
      <w:r>
        <w:rPr>
          <w:rFonts w:hint="cs"/>
          <w:rtl/>
        </w:rPr>
        <w:t xml:space="preserve">יותיר </w:t>
      </w:r>
      <w:bookmarkStart w:id="55693" w:name="_ETM_Q102_419799"/>
      <w:bookmarkEnd w:id="55693"/>
      <w:r>
        <w:rPr>
          <w:rFonts w:hint="cs"/>
          <w:rtl/>
        </w:rPr>
        <w:t xml:space="preserve">לנו </w:t>
      </w:r>
      <w:bookmarkStart w:id="55694" w:name="_ETM_Q102_420069"/>
      <w:bookmarkEnd w:id="55694"/>
      <w:r>
        <w:rPr>
          <w:rFonts w:hint="cs"/>
          <w:rtl/>
        </w:rPr>
        <w:t xml:space="preserve">סיכוי </w:t>
      </w:r>
      <w:bookmarkStart w:id="55695" w:name="_ETM_Q102_420879"/>
      <w:bookmarkEnd w:id="55695"/>
      <w:r>
        <w:rPr>
          <w:rFonts w:hint="cs"/>
          <w:rtl/>
        </w:rPr>
        <w:t xml:space="preserve">לתקומה </w:t>
      </w:r>
      <w:bookmarkStart w:id="55696" w:name="_ETM_Q102_421689"/>
      <w:bookmarkEnd w:id="55696"/>
      <w:r>
        <w:rPr>
          <w:rFonts w:hint="cs"/>
          <w:rtl/>
        </w:rPr>
        <w:t xml:space="preserve">נוספת </w:t>
      </w:r>
      <w:bookmarkStart w:id="55697" w:name="_ETM_Q102_422290"/>
      <w:bookmarkEnd w:id="55697"/>
      <w:r>
        <w:rPr>
          <w:rFonts w:hint="cs"/>
          <w:rtl/>
        </w:rPr>
        <w:t xml:space="preserve">בארצנו. </w:t>
      </w:r>
      <w:bookmarkStart w:id="55698" w:name="_ETM_Q102_423860"/>
      <w:bookmarkEnd w:id="55698"/>
    </w:p>
    <w:p w:rsidR="00BB59CD" w:rsidRDefault="00BB59CD" w:rsidP="00BB59CD">
      <w:pPr>
        <w:rPr>
          <w:rtl/>
        </w:rPr>
      </w:pPr>
      <w:bookmarkStart w:id="55699" w:name="_ETM_Q102_424291"/>
      <w:bookmarkStart w:id="55700" w:name="_ETM_Q102_424409"/>
      <w:bookmarkEnd w:id="55699"/>
      <w:bookmarkEnd w:id="55700"/>
    </w:p>
    <w:p w:rsidR="00BB59CD" w:rsidRDefault="00BB59CD" w:rsidP="00BB59CD">
      <w:pPr>
        <w:rPr>
          <w:rtl/>
        </w:rPr>
      </w:pPr>
      <w:bookmarkStart w:id="55701" w:name="_ETM_Q102_424601"/>
      <w:bookmarkStart w:id="55702" w:name="_ETM_Q102_424693"/>
      <w:bookmarkEnd w:id="55701"/>
      <w:bookmarkEnd w:id="55702"/>
      <w:r>
        <w:rPr>
          <w:rFonts w:hint="cs"/>
          <w:rtl/>
        </w:rPr>
        <w:t xml:space="preserve">עמיתיי </w:t>
      </w:r>
      <w:bookmarkStart w:id="55703" w:name="_ETM_Q102_424519"/>
      <w:bookmarkEnd w:id="55703"/>
      <w:r>
        <w:rPr>
          <w:rFonts w:hint="cs"/>
          <w:rtl/>
        </w:rPr>
        <w:t xml:space="preserve">חברי </w:t>
      </w:r>
      <w:bookmarkStart w:id="55704" w:name="_ETM_Q102_424910"/>
      <w:bookmarkEnd w:id="55704"/>
      <w:r>
        <w:rPr>
          <w:rFonts w:hint="cs"/>
          <w:rtl/>
        </w:rPr>
        <w:t xml:space="preserve">הכנסת </w:t>
      </w:r>
      <w:bookmarkStart w:id="55705" w:name="_ETM_Q102_425390"/>
      <w:bookmarkEnd w:id="55705"/>
      <w:r>
        <w:rPr>
          <w:rFonts w:hint="cs"/>
          <w:rtl/>
        </w:rPr>
        <w:t xml:space="preserve">מהקואליציה </w:t>
      </w:r>
      <w:bookmarkStart w:id="55706" w:name="_ETM_Q102_426870"/>
      <w:bookmarkEnd w:id="55706"/>
      <w:r>
        <w:rPr>
          <w:rFonts w:hint="cs"/>
          <w:rtl/>
        </w:rPr>
        <w:t xml:space="preserve">וחברי </w:t>
      </w:r>
      <w:bookmarkStart w:id="55707" w:name="_ETM_Q102_427409"/>
      <w:bookmarkEnd w:id="55707"/>
      <w:r>
        <w:rPr>
          <w:rFonts w:hint="cs"/>
          <w:rtl/>
        </w:rPr>
        <w:t xml:space="preserve">הממשלה, </w:t>
      </w:r>
      <w:bookmarkStart w:id="55708" w:name="_ETM_Q102_428420"/>
      <w:bookmarkEnd w:id="55708"/>
      <w:r>
        <w:rPr>
          <w:rFonts w:hint="cs"/>
          <w:rtl/>
        </w:rPr>
        <w:t xml:space="preserve">בראיונות </w:t>
      </w:r>
      <w:bookmarkStart w:id="55709" w:name="_ETM_Q102_429260"/>
      <w:bookmarkEnd w:id="55709"/>
      <w:r>
        <w:rPr>
          <w:rFonts w:hint="cs"/>
          <w:rtl/>
        </w:rPr>
        <w:t xml:space="preserve">ובהצהרות </w:t>
      </w:r>
      <w:bookmarkStart w:id="55710" w:name="_ETM_Q102_429950"/>
      <w:bookmarkEnd w:id="55710"/>
      <w:r>
        <w:rPr>
          <w:rFonts w:hint="cs"/>
          <w:rtl/>
        </w:rPr>
        <w:t xml:space="preserve">רבים, </w:t>
      </w:r>
      <w:bookmarkStart w:id="55711" w:name="_ETM_Q102_430400"/>
      <w:bookmarkEnd w:id="55711"/>
      <w:r>
        <w:rPr>
          <w:rFonts w:hint="cs"/>
          <w:rtl/>
        </w:rPr>
        <w:t xml:space="preserve">שבהם </w:t>
      </w:r>
      <w:bookmarkStart w:id="55712" w:name="_ETM_Q102_430700"/>
      <w:bookmarkEnd w:id="55712"/>
      <w:r>
        <w:rPr>
          <w:rFonts w:hint="cs"/>
          <w:rtl/>
        </w:rPr>
        <w:t xml:space="preserve">קידמתם </w:t>
      </w:r>
      <w:bookmarkStart w:id="55713" w:name="_ETM_Q102_431480"/>
      <w:bookmarkEnd w:id="55713"/>
      <w:r>
        <w:rPr>
          <w:rFonts w:hint="cs"/>
          <w:rtl/>
        </w:rPr>
        <w:t xml:space="preserve">את </w:t>
      </w:r>
      <w:bookmarkStart w:id="55714" w:name="_ETM_Q102_431629"/>
      <w:bookmarkEnd w:id="55714"/>
      <w:r>
        <w:rPr>
          <w:rFonts w:hint="cs"/>
          <w:rtl/>
        </w:rPr>
        <w:t xml:space="preserve">ההפיכה </w:t>
      </w:r>
      <w:bookmarkStart w:id="55715" w:name="_ETM_Q102_432170"/>
      <w:bookmarkEnd w:id="55715"/>
      <w:r>
        <w:rPr>
          <w:rFonts w:hint="cs"/>
          <w:rtl/>
        </w:rPr>
        <w:t xml:space="preserve">המשטרית </w:t>
      </w:r>
      <w:bookmarkStart w:id="55716" w:name="_ETM_Q102_432709"/>
      <w:bookmarkEnd w:id="55716"/>
      <w:r>
        <w:rPr>
          <w:rFonts w:hint="cs"/>
          <w:rtl/>
        </w:rPr>
        <w:t xml:space="preserve">המובאת </w:t>
      </w:r>
      <w:bookmarkStart w:id="55717" w:name="_ETM_Q102_433159"/>
      <w:bookmarkEnd w:id="55717"/>
      <w:r>
        <w:rPr>
          <w:rFonts w:hint="cs"/>
          <w:rtl/>
        </w:rPr>
        <w:t xml:space="preserve">לפתחנו </w:t>
      </w:r>
      <w:bookmarkStart w:id="55718" w:name="_ETM_Q102_433760"/>
      <w:bookmarkEnd w:id="55718"/>
      <w:r>
        <w:rPr>
          <w:rFonts w:hint="cs"/>
          <w:rtl/>
        </w:rPr>
        <w:t xml:space="preserve">היום, </w:t>
      </w:r>
      <w:bookmarkStart w:id="55719" w:name="_ETM_Q102_434780"/>
      <w:bookmarkEnd w:id="55719"/>
      <w:r>
        <w:rPr>
          <w:rFonts w:hint="cs"/>
          <w:rtl/>
        </w:rPr>
        <w:t xml:space="preserve">זעמתם </w:t>
      </w:r>
      <w:bookmarkStart w:id="55720" w:name="_ETM_Q102_435860"/>
      <w:bookmarkEnd w:id="55720"/>
      <w:r>
        <w:rPr>
          <w:rFonts w:hint="cs"/>
          <w:rtl/>
        </w:rPr>
        <w:t xml:space="preserve">על </w:t>
      </w:r>
      <w:bookmarkStart w:id="55721" w:name="_ETM_Q102_436040"/>
      <w:bookmarkEnd w:id="55721"/>
      <w:r>
        <w:rPr>
          <w:rFonts w:hint="cs"/>
          <w:rtl/>
        </w:rPr>
        <w:t xml:space="preserve">בית </w:t>
      </w:r>
      <w:bookmarkStart w:id="55722" w:name="_ETM_Q102_436310"/>
      <w:bookmarkEnd w:id="55722"/>
      <w:r>
        <w:rPr>
          <w:rFonts w:hint="cs"/>
          <w:rtl/>
        </w:rPr>
        <w:t xml:space="preserve">המשפט </w:t>
      </w:r>
      <w:bookmarkStart w:id="55723" w:name="_ETM_Q102_436850"/>
      <w:bookmarkEnd w:id="55723"/>
      <w:r>
        <w:rPr>
          <w:rFonts w:hint="cs"/>
          <w:rtl/>
        </w:rPr>
        <w:t xml:space="preserve">העליון </w:t>
      </w:r>
      <w:bookmarkStart w:id="55724" w:name="_ETM_Q102_437779"/>
      <w:bookmarkEnd w:id="55724"/>
      <w:r>
        <w:rPr>
          <w:rFonts w:hint="cs"/>
          <w:rtl/>
        </w:rPr>
        <w:t xml:space="preserve">מאחר </w:t>
      </w:r>
      <w:bookmarkStart w:id="55725" w:name="_ETM_Q102_438500"/>
      <w:bookmarkEnd w:id="55725"/>
      <w:r>
        <w:rPr>
          <w:rFonts w:hint="cs"/>
          <w:rtl/>
        </w:rPr>
        <w:t xml:space="preserve">שהוא </w:t>
      </w:r>
      <w:bookmarkStart w:id="55726" w:name="_ETM_Q102_438680"/>
      <w:bookmarkEnd w:id="55726"/>
      <w:r>
        <w:rPr>
          <w:rFonts w:hint="cs"/>
          <w:rtl/>
        </w:rPr>
        <w:t xml:space="preserve">מקבל </w:t>
      </w:r>
      <w:bookmarkStart w:id="55727" w:name="_ETM_Q102_439130"/>
      <w:bookmarkEnd w:id="55727"/>
      <w:r>
        <w:rPr>
          <w:rFonts w:hint="cs"/>
          <w:rtl/>
        </w:rPr>
        <w:t xml:space="preserve">החלטות </w:t>
      </w:r>
      <w:bookmarkStart w:id="55728" w:name="_ETM_Q102_440270"/>
      <w:bookmarkEnd w:id="55728"/>
      <w:r>
        <w:rPr>
          <w:rFonts w:hint="cs"/>
          <w:rtl/>
        </w:rPr>
        <w:t xml:space="preserve">אך </w:t>
      </w:r>
      <w:bookmarkStart w:id="55729" w:name="_ETM_Q102_440510"/>
      <w:bookmarkEnd w:id="55729"/>
      <w:r>
        <w:rPr>
          <w:rFonts w:hint="cs"/>
          <w:rtl/>
        </w:rPr>
        <w:t xml:space="preserve">לא </w:t>
      </w:r>
      <w:bookmarkStart w:id="55730" w:name="_ETM_Q102_440720"/>
      <w:bookmarkEnd w:id="55730"/>
      <w:r>
        <w:rPr>
          <w:rFonts w:hint="cs"/>
          <w:rtl/>
        </w:rPr>
        <w:t xml:space="preserve">מקבל </w:t>
      </w:r>
      <w:bookmarkStart w:id="55731" w:name="_ETM_Q102_441470"/>
      <w:bookmarkEnd w:id="55731"/>
      <w:r>
        <w:rPr>
          <w:rFonts w:hint="cs"/>
          <w:rtl/>
        </w:rPr>
        <w:t xml:space="preserve">את </w:t>
      </w:r>
      <w:bookmarkStart w:id="55732" w:name="_ETM_Q102_441680"/>
      <w:bookmarkEnd w:id="55732"/>
      <w:r>
        <w:rPr>
          <w:rFonts w:hint="cs"/>
          <w:rtl/>
        </w:rPr>
        <w:t xml:space="preserve">אמון </w:t>
      </w:r>
      <w:bookmarkStart w:id="55733" w:name="_ETM_Q102_442040"/>
      <w:bookmarkEnd w:id="55733"/>
      <w:r>
        <w:rPr>
          <w:rFonts w:hint="cs"/>
          <w:rtl/>
        </w:rPr>
        <w:t xml:space="preserve">הציבור. </w:t>
      </w:r>
      <w:bookmarkStart w:id="55734" w:name="_ETM_Q102_443620"/>
      <w:bookmarkEnd w:id="55734"/>
      <w:r>
        <w:rPr>
          <w:rFonts w:hint="cs"/>
          <w:rtl/>
        </w:rPr>
        <w:t xml:space="preserve">אתם </w:t>
      </w:r>
      <w:bookmarkStart w:id="55735" w:name="_ETM_Q102_443919"/>
      <w:bookmarkEnd w:id="55735"/>
      <w:r>
        <w:rPr>
          <w:rFonts w:hint="cs"/>
          <w:rtl/>
        </w:rPr>
        <w:t xml:space="preserve">מסתמכים </w:t>
      </w:r>
      <w:bookmarkStart w:id="55736" w:name="_ETM_Q102_444550"/>
      <w:bookmarkEnd w:id="55736"/>
      <w:r>
        <w:rPr>
          <w:rFonts w:hint="cs"/>
          <w:rtl/>
        </w:rPr>
        <w:t xml:space="preserve">על </w:t>
      </w:r>
      <w:bookmarkStart w:id="55737" w:name="_ETM_Q102_444669"/>
      <w:bookmarkEnd w:id="55737"/>
      <w:r>
        <w:rPr>
          <w:rFonts w:hint="cs"/>
          <w:rtl/>
        </w:rPr>
        <w:t xml:space="preserve">סקרי </w:t>
      </w:r>
      <w:bookmarkStart w:id="55738" w:name="_ETM_Q102_445180"/>
      <w:bookmarkEnd w:id="55738"/>
      <w:r>
        <w:rPr>
          <w:rFonts w:hint="cs"/>
          <w:rtl/>
        </w:rPr>
        <w:t xml:space="preserve">דעת </w:t>
      </w:r>
      <w:bookmarkStart w:id="55739" w:name="_ETM_Q102_445540"/>
      <w:bookmarkEnd w:id="55739"/>
      <w:r>
        <w:rPr>
          <w:rFonts w:hint="cs"/>
          <w:rtl/>
        </w:rPr>
        <w:t xml:space="preserve">הקהל </w:t>
      </w:r>
      <w:bookmarkStart w:id="55740" w:name="_ETM_Q102_446050"/>
      <w:bookmarkEnd w:id="55740"/>
      <w:r>
        <w:rPr>
          <w:rFonts w:hint="cs"/>
          <w:rtl/>
        </w:rPr>
        <w:t xml:space="preserve">המפורסמים </w:t>
      </w:r>
      <w:bookmarkStart w:id="55741" w:name="_ETM_Q102_446919"/>
      <w:bookmarkEnd w:id="55741"/>
      <w:r>
        <w:rPr>
          <w:rFonts w:hint="cs"/>
          <w:rtl/>
        </w:rPr>
        <w:t xml:space="preserve">כל </w:t>
      </w:r>
      <w:bookmarkStart w:id="55742" w:name="_ETM_Q102_447190"/>
      <w:bookmarkEnd w:id="55742"/>
      <w:r>
        <w:rPr>
          <w:rFonts w:hint="cs"/>
          <w:rtl/>
        </w:rPr>
        <w:t xml:space="preserve">שנה, </w:t>
      </w:r>
      <w:bookmarkStart w:id="55743" w:name="_ETM_Q102_448159"/>
      <w:bookmarkEnd w:id="55743"/>
      <w:r>
        <w:rPr>
          <w:rFonts w:hint="cs"/>
          <w:rtl/>
        </w:rPr>
        <w:t xml:space="preserve">אך </w:t>
      </w:r>
      <w:bookmarkStart w:id="55744" w:name="_ETM_Q102_448550"/>
      <w:bookmarkEnd w:id="55744"/>
      <w:r>
        <w:rPr>
          <w:rFonts w:hint="cs"/>
          <w:rtl/>
        </w:rPr>
        <w:t xml:space="preserve">כמנהגכם </w:t>
      </w:r>
      <w:bookmarkStart w:id="55745" w:name="_ETM_Q102_449330"/>
      <w:bookmarkEnd w:id="55745"/>
      <w:r>
        <w:rPr>
          <w:rFonts w:hint="cs"/>
          <w:rtl/>
        </w:rPr>
        <w:t xml:space="preserve">בקודש </w:t>
      </w:r>
      <w:bookmarkStart w:id="55746" w:name="_ETM_Q102_450020"/>
      <w:bookmarkEnd w:id="55746"/>
      <w:r>
        <w:rPr>
          <w:rFonts w:hint="cs"/>
          <w:rtl/>
        </w:rPr>
        <w:t xml:space="preserve">מאז </w:t>
      </w:r>
      <w:bookmarkStart w:id="55747" w:name="_ETM_Q102_450319"/>
      <w:bookmarkEnd w:id="55747"/>
      <w:r>
        <w:rPr>
          <w:rFonts w:hint="cs"/>
          <w:rtl/>
        </w:rPr>
        <w:t xml:space="preserve">הקמת </w:t>
      </w:r>
      <w:bookmarkStart w:id="55748" w:name="_ETM_Q102_450740"/>
      <w:bookmarkEnd w:id="55748"/>
      <w:r>
        <w:rPr>
          <w:rFonts w:hint="cs"/>
          <w:rtl/>
        </w:rPr>
        <w:t xml:space="preserve">הממשלה </w:t>
      </w:r>
      <w:bookmarkStart w:id="55749" w:name="_ETM_Q102_452029"/>
      <w:bookmarkEnd w:id="55749"/>
      <w:r>
        <w:rPr>
          <w:rFonts w:hint="cs"/>
          <w:rtl/>
        </w:rPr>
        <w:t xml:space="preserve">אתם </w:t>
      </w:r>
      <w:bookmarkStart w:id="55750" w:name="_ETM_Q102_452389"/>
      <w:bookmarkEnd w:id="55750"/>
      <w:r>
        <w:rPr>
          <w:rFonts w:hint="cs"/>
          <w:rtl/>
        </w:rPr>
        <w:t xml:space="preserve">בוחרים </w:t>
      </w:r>
      <w:bookmarkStart w:id="55751" w:name="_ETM_Q102_453500"/>
      <w:bookmarkEnd w:id="55751"/>
      <w:r>
        <w:rPr>
          <w:rFonts w:hint="cs"/>
          <w:rtl/>
        </w:rPr>
        <w:t xml:space="preserve">להתעלם </w:t>
      </w:r>
      <w:bookmarkStart w:id="55752" w:name="_ETM_Q102_454250"/>
      <w:bookmarkEnd w:id="55752"/>
      <w:r>
        <w:rPr>
          <w:rFonts w:hint="cs"/>
          <w:rtl/>
        </w:rPr>
        <w:t xml:space="preserve">מהנתונים </w:t>
      </w:r>
      <w:bookmarkStart w:id="55753" w:name="_ETM_Q102_455120"/>
      <w:bookmarkEnd w:id="55753"/>
      <w:r>
        <w:rPr>
          <w:rFonts w:hint="cs"/>
          <w:rtl/>
        </w:rPr>
        <w:t xml:space="preserve">הפוגעים </w:t>
      </w:r>
      <w:bookmarkStart w:id="55754" w:name="_ETM_Q102_456050"/>
      <w:bookmarkEnd w:id="55754"/>
      <w:r>
        <w:rPr>
          <w:rFonts w:hint="cs"/>
          <w:rtl/>
        </w:rPr>
        <w:t xml:space="preserve">בסיפור </w:t>
      </w:r>
      <w:bookmarkStart w:id="55755" w:name="_ETM_Q102_456620"/>
      <w:bookmarkEnd w:id="55755"/>
      <w:r>
        <w:rPr>
          <w:rFonts w:hint="cs"/>
          <w:rtl/>
        </w:rPr>
        <w:t xml:space="preserve">שלכם. </w:t>
      </w:r>
      <w:bookmarkStart w:id="55756" w:name="_ETM_Q102_458199"/>
      <w:bookmarkEnd w:id="55756"/>
      <w:r>
        <w:rPr>
          <w:rFonts w:hint="cs"/>
          <w:rtl/>
        </w:rPr>
        <w:t xml:space="preserve">כי </w:t>
      </w:r>
      <w:bookmarkStart w:id="55757" w:name="_ETM_Q102_458409"/>
      <w:bookmarkEnd w:id="55757"/>
      <w:r>
        <w:rPr>
          <w:rFonts w:hint="cs"/>
          <w:rtl/>
        </w:rPr>
        <w:t xml:space="preserve">אומנם </w:t>
      </w:r>
      <w:bookmarkStart w:id="55758" w:name="_ETM_Q102_459449"/>
      <w:bookmarkEnd w:id="55758"/>
      <w:r>
        <w:rPr>
          <w:rFonts w:hint="cs"/>
          <w:rtl/>
        </w:rPr>
        <w:t xml:space="preserve">יש </w:t>
      </w:r>
      <w:bookmarkStart w:id="55759" w:name="_ETM_Q102_459809"/>
      <w:bookmarkEnd w:id="55759"/>
      <w:r>
        <w:rPr>
          <w:rFonts w:hint="cs"/>
          <w:rtl/>
        </w:rPr>
        <w:t xml:space="preserve">שחיקה </w:t>
      </w:r>
      <w:bookmarkStart w:id="55760" w:name="_ETM_Q102_460229"/>
      <w:bookmarkEnd w:id="55760"/>
      <w:r>
        <w:rPr>
          <w:rFonts w:hint="cs"/>
          <w:rtl/>
        </w:rPr>
        <w:t xml:space="preserve">באמון </w:t>
      </w:r>
      <w:bookmarkStart w:id="55761" w:name="_ETM_Q102_460619"/>
      <w:bookmarkEnd w:id="55761"/>
      <w:r>
        <w:rPr>
          <w:rFonts w:hint="cs"/>
          <w:rtl/>
        </w:rPr>
        <w:t xml:space="preserve">הציבור </w:t>
      </w:r>
      <w:bookmarkStart w:id="55762" w:name="_ETM_Q102_461189"/>
      <w:bookmarkEnd w:id="55762"/>
      <w:r>
        <w:rPr>
          <w:rFonts w:hint="cs"/>
          <w:rtl/>
        </w:rPr>
        <w:t xml:space="preserve">בבית </w:t>
      </w:r>
      <w:bookmarkStart w:id="55763" w:name="_ETM_Q102_461550"/>
      <w:bookmarkEnd w:id="55763"/>
      <w:r>
        <w:rPr>
          <w:rFonts w:hint="cs"/>
          <w:rtl/>
        </w:rPr>
        <w:t xml:space="preserve">המשפט </w:t>
      </w:r>
      <w:bookmarkStart w:id="55764" w:name="_ETM_Q102_462059"/>
      <w:bookmarkEnd w:id="55764"/>
      <w:r>
        <w:rPr>
          <w:rFonts w:hint="cs"/>
          <w:rtl/>
        </w:rPr>
        <w:t xml:space="preserve">העליון </w:t>
      </w:r>
      <w:bookmarkStart w:id="55765" w:name="_ETM_Q102_462960"/>
      <w:bookmarkEnd w:id="55765"/>
      <w:r>
        <w:rPr>
          <w:rFonts w:hint="cs"/>
          <w:rtl/>
        </w:rPr>
        <w:t xml:space="preserve">ובפרקליטות, </w:t>
      </w:r>
      <w:bookmarkStart w:id="55766" w:name="_ETM_Q102_464400"/>
      <w:bookmarkEnd w:id="55766"/>
      <w:r>
        <w:rPr>
          <w:rFonts w:hint="cs"/>
          <w:rtl/>
        </w:rPr>
        <w:t xml:space="preserve">ובכלל </w:t>
      </w:r>
      <w:bookmarkStart w:id="55767" w:name="_ETM_Q102_464969"/>
      <w:bookmarkEnd w:id="55767"/>
      <w:r>
        <w:rPr>
          <w:rFonts w:hint="cs"/>
          <w:rtl/>
        </w:rPr>
        <w:t xml:space="preserve">במערכת </w:t>
      </w:r>
      <w:bookmarkStart w:id="55768" w:name="_ETM_Q102_465569"/>
      <w:bookmarkEnd w:id="55768"/>
      <w:r>
        <w:rPr>
          <w:rFonts w:hint="cs"/>
          <w:rtl/>
        </w:rPr>
        <w:t xml:space="preserve">המשפט </w:t>
      </w:r>
      <w:bookmarkStart w:id="55769" w:name="_ETM_Q102_466020"/>
      <w:bookmarkEnd w:id="55769"/>
      <w:r>
        <w:rPr>
          <w:rFonts w:hint="cs"/>
          <w:rtl/>
        </w:rPr>
        <w:t xml:space="preserve">בישראל, </w:t>
      </w:r>
      <w:bookmarkStart w:id="55770" w:name="_ETM_Q102_467630"/>
      <w:bookmarkEnd w:id="55770"/>
      <w:r>
        <w:rPr>
          <w:rFonts w:hint="cs"/>
          <w:rtl/>
        </w:rPr>
        <w:t xml:space="preserve">אך </w:t>
      </w:r>
      <w:bookmarkStart w:id="55771" w:name="_ETM_Q102_467839"/>
      <w:bookmarkEnd w:id="55771"/>
      <w:r>
        <w:rPr>
          <w:rFonts w:hint="cs"/>
          <w:rtl/>
        </w:rPr>
        <w:t xml:space="preserve">השחיקה </w:t>
      </w:r>
      <w:bookmarkStart w:id="55772" w:name="_ETM_Q102_468500"/>
      <w:bookmarkEnd w:id="55772"/>
      <w:r>
        <w:rPr>
          <w:rFonts w:hint="cs"/>
          <w:rtl/>
        </w:rPr>
        <w:t xml:space="preserve">החלה </w:t>
      </w:r>
      <w:bookmarkStart w:id="55773" w:name="_ETM_Q102_469310"/>
      <w:bookmarkEnd w:id="55773"/>
      <w:r>
        <w:rPr>
          <w:rFonts w:hint="cs"/>
          <w:rtl/>
        </w:rPr>
        <w:t xml:space="preserve">רק </w:t>
      </w:r>
      <w:bookmarkStart w:id="55774" w:name="_ETM_Q102_469669"/>
      <w:bookmarkEnd w:id="55774"/>
      <w:r>
        <w:rPr>
          <w:rFonts w:hint="cs"/>
          <w:rtl/>
        </w:rPr>
        <w:t xml:space="preserve">לאחרונה, </w:t>
      </w:r>
      <w:bookmarkStart w:id="55775" w:name="_ETM_Q102_470730"/>
      <w:bookmarkEnd w:id="55775"/>
      <w:r>
        <w:rPr>
          <w:rFonts w:hint="cs"/>
          <w:rtl/>
        </w:rPr>
        <w:t xml:space="preserve">מרגע </w:t>
      </w:r>
      <w:bookmarkStart w:id="55776" w:name="_ETM_Q102_471389"/>
      <w:bookmarkEnd w:id="55776"/>
      <w:r>
        <w:rPr>
          <w:rFonts w:hint="cs"/>
          <w:rtl/>
        </w:rPr>
        <w:t xml:space="preserve">שבו </w:t>
      </w:r>
      <w:bookmarkStart w:id="55777" w:name="_ETM_Q102_471600"/>
      <w:bookmarkEnd w:id="55777"/>
      <w:r>
        <w:rPr>
          <w:rFonts w:hint="cs"/>
          <w:rtl/>
        </w:rPr>
        <w:t xml:space="preserve">אתם </w:t>
      </w:r>
      <w:bookmarkStart w:id="55778" w:name="_ETM_Q102_471960"/>
      <w:bookmarkEnd w:id="55778"/>
      <w:r>
        <w:rPr>
          <w:rFonts w:hint="cs"/>
          <w:rtl/>
        </w:rPr>
        <w:t xml:space="preserve">הפניתם </w:t>
      </w:r>
      <w:bookmarkStart w:id="55779" w:name="_ETM_Q102_472800"/>
      <w:bookmarkEnd w:id="55779"/>
      <w:r>
        <w:rPr>
          <w:rFonts w:hint="cs"/>
          <w:rtl/>
        </w:rPr>
        <w:t xml:space="preserve">את </w:t>
      </w:r>
      <w:bookmarkStart w:id="55780" w:name="_ETM_Q102_472980"/>
      <w:bookmarkEnd w:id="55780"/>
      <w:r>
        <w:rPr>
          <w:rFonts w:hint="cs"/>
          <w:rtl/>
        </w:rPr>
        <w:t xml:space="preserve">החיצים </w:t>
      </w:r>
      <w:bookmarkStart w:id="55781" w:name="_ETM_Q102_473460"/>
      <w:bookmarkEnd w:id="55781"/>
      <w:r>
        <w:rPr>
          <w:rFonts w:hint="cs"/>
          <w:rtl/>
        </w:rPr>
        <w:t xml:space="preserve">שלכם </w:t>
      </w:r>
      <w:bookmarkStart w:id="55782" w:name="_ETM_Q102_474120"/>
      <w:bookmarkEnd w:id="55782"/>
      <w:r>
        <w:rPr>
          <w:rFonts w:hint="cs"/>
          <w:rtl/>
        </w:rPr>
        <w:t xml:space="preserve">אל </w:t>
      </w:r>
      <w:bookmarkStart w:id="55783" w:name="_ETM_Q102_474330"/>
      <w:bookmarkEnd w:id="55783"/>
      <w:r>
        <w:rPr>
          <w:rFonts w:hint="cs"/>
          <w:rtl/>
        </w:rPr>
        <w:t xml:space="preserve">עבר </w:t>
      </w:r>
      <w:bookmarkStart w:id="55784" w:name="_ETM_Q102_474600"/>
      <w:bookmarkEnd w:id="55784"/>
      <w:r>
        <w:rPr>
          <w:rFonts w:hint="cs"/>
          <w:rtl/>
        </w:rPr>
        <w:t xml:space="preserve">כל </w:t>
      </w:r>
      <w:bookmarkStart w:id="55785" w:name="_ETM_Q102_474930"/>
      <w:bookmarkEnd w:id="55785"/>
      <w:r>
        <w:rPr>
          <w:rFonts w:hint="cs"/>
          <w:rtl/>
        </w:rPr>
        <w:t>מוסד</w:t>
      </w:r>
      <w:bookmarkStart w:id="55786" w:name="_ETM_Q102_475830"/>
      <w:bookmarkEnd w:id="55786"/>
      <w:r>
        <w:rPr>
          <w:rFonts w:hint="cs"/>
          <w:rtl/>
        </w:rPr>
        <w:t xml:space="preserve"> וכל </w:t>
      </w:r>
      <w:bookmarkStart w:id="55787" w:name="_ETM_Q102_476279"/>
      <w:bookmarkEnd w:id="55787"/>
      <w:r>
        <w:rPr>
          <w:rFonts w:hint="cs"/>
          <w:rtl/>
        </w:rPr>
        <w:t xml:space="preserve">פיסת </w:t>
      </w:r>
      <w:bookmarkStart w:id="55788" w:name="_ETM_Q102_476730"/>
      <w:bookmarkEnd w:id="55788"/>
      <w:r>
        <w:rPr>
          <w:rFonts w:hint="cs"/>
          <w:rtl/>
        </w:rPr>
        <w:t xml:space="preserve">ממלכתיות </w:t>
      </w:r>
      <w:bookmarkStart w:id="55789" w:name="_ETM_Q102_477940"/>
      <w:bookmarkEnd w:id="55789"/>
      <w:r>
        <w:rPr>
          <w:rFonts w:hint="cs"/>
          <w:rtl/>
        </w:rPr>
        <w:t xml:space="preserve">שעוד </w:t>
      </w:r>
      <w:bookmarkStart w:id="55790" w:name="_ETM_Q102_478330"/>
      <w:bookmarkEnd w:id="55790"/>
      <w:r>
        <w:rPr>
          <w:rFonts w:hint="cs"/>
          <w:rtl/>
        </w:rPr>
        <w:t xml:space="preserve">נותרה </w:t>
      </w:r>
      <w:bookmarkStart w:id="55791" w:name="_ETM_Q102_478750"/>
      <w:bookmarkEnd w:id="55791"/>
      <w:r>
        <w:rPr>
          <w:rFonts w:hint="cs"/>
          <w:rtl/>
        </w:rPr>
        <w:t xml:space="preserve">כאן. </w:t>
      </w:r>
      <w:bookmarkStart w:id="55792" w:name="_ETM_Q102_480020"/>
      <w:bookmarkStart w:id="55793" w:name="_ETM_Q102_481745"/>
      <w:bookmarkStart w:id="55794" w:name="_ETM_Q102_481871"/>
      <w:bookmarkStart w:id="55795" w:name="_ETM_Q102_482016"/>
      <w:bookmarkStart w:id="55796" w:name="_ETM_Q102_482104"/>
      <w:bookmarkEnd w:id="55792"/>
      <w:bookmarkEnd w:id="55793"/>
      <w:bookmarkEnd w:id="55794"/>
      <w:bookmarkEnd w:id="55795"/>
      <w:bookmarkEnd w:id="55796"/>
      <w:r>
        <w:rPr>
          <w:rFonts w:hint="cs"/>
          <w:rtl/>
        </w:rPr>
        <w:t xml:space="preserve">כדאי </w:t>
      </w:r>
      <w:bookmarkStart w:id="55797" w:name="_ETM_Q102_480410"/>
      <w:bookmarkEnd w:id="55797"/>
      <w:r>
        <w:rPr>
          <w:rFonts w:hint="cs"/>
          <w:rtl/>
        </w:rPr>
        <w:t xml:space="preserve">שתזכרו, </w:t>
      </w:r>
      <w:bookmarkStart w:id="55798" w:name="_ETM_Q102_481940"/>
      <w:bookmarkEnd w:id="55798"/>
      <w:r>
        <w:rPr>
          <w:rFonts w:hint="cs"/>
          <w:rtl/>
        </w:rPr>
        <w:t xml:space="preserve">גם </w:t>
      </w:r>
      <w:bookmarkStart w:id="55799" w:name="_ETM_Q102_482270"/>
      <w:bookmarkEnd w:id="55799"/>
      <w:r>
        <w:rPr>
          <w:rFonts w:hint="cs"/>
          <w:rtl/>
        </w:rPr>
        <w:t xml:space="preserve">אם </w:t>
      </w:r>
      <w:bookmarkStart w:id="55800" w:name="_ETM_Q102_482420"/>
      <w:bookmarkEnd w:id="55800"/>
      <w:r>
        <w:rPr>
          <w:rFonts w:hint="cs"/>
          <w:rtl/>
        </w:rPr>
        <w:t xml:space="preserve">רק </w:t>
      </w:r>
      <w:bookmarkStart w:id="55801" w:name="_ETM_Q102_482720"/>
      <w:bookmarkEnd w:id="55801"/>
      <w:r>
        <w:rPr>
          <w:rFonts w:hint="cs"/>
          <w:rtl/>
        </w:rPr>
        <w:t xml:space="preserve">בלב </w:t>
      </w:r>
      <w:bookmarkStart w:id="55802" w:name="_ETM_Q102_483080"/>
      <w:bookmarkEnd w:id="55802"/>
      <w:r>
        <w:rPr>
          <w:rFonts w:hint="cs"/>
          <w:rtl/>
        </w:rPr>
        <w:t xml:space="preserve">שלכם, </w:t>
      </w:r>
      <w:bookmarkStart w:id="55803" w:name="_ETM_Q102_483500"/>
      <w:bookmarkStart w:id="55804" w:name="_ETM_Q102_483890"/>
      <w:bookmarkStart w:id="55805" w:name="_ETM_Q102_485040"/>
      <w:bookmarkEnd w:id="55803"/>
      <w:bookmarkEnd w:id="55804"/>
      <w:bookmarkEnd w:id="55805"/>
      <w:r>
        <w:rPr>
          <w:rFonts w:hint="cs"/>
          <w:rtl/>
        </w:rPr>
        <w:t xml:space="preserve">שהמוסד </w:t>
      </w:r>
      <w:bookmarkStart w:id="55806" w:name="_ETM_Q102_485760"/>
      <w:bookmarkEnd w:id="55806"/>
      <w:r>
        <w:rPr>
          <w:rFonts w:hint="cs"/>
          <w:rtl/>
        </w:rPr>
        <w:t xml:space="preserve">שמקבל </w:t>
      </w:r>
      <w:bookmarkStart w:id="55807" w:name="_ETM_Q102_486450"/>
      <w:bookmarkEnd w:id="55807"/>
      <w:r>
        <w:rPr>
          <w:rFonts w:hint="cs"/>
          <w:rtl/>
        </w:rPr>
        <w:t xml:space="preserve">הכי </w:t>
      </w:r>
      <w:bookmarkStart w:id="55808" w:name="_ETM_Q102_486930"/>
      <w:bookmarkEnd w:id="55808"/>
      <w:r>
        <w:rPr>
          <w:rFonts w:hint="cs"/>
          <w:rtl/>
        </w:rPr>
        <w:t xml:space="preserve">פחות </w:t>
      </w:r>
      <w:bookmarkStart w:id="55809" w:name="_ETM_Q102_487440"/>
      <w:bookmarkEnd w:id="55809"/>
      <w:r>
        <w:rPr>
          <w:rFonts w:hint="cs"/>
          <w:rtl/>
        </w:rPr>
        <w:t xml:space="preserve">אמון </w:t>
      </w:r>
      <w:bookmarkStart w:id="55810" w:name="_ETM_Q102_487800"/>
      <w:bookmarkEnd w:id="55810"/>
      <w:r>
        <w:rPr>
          <w:rFonts w:hint="cs"/>
          <w:rtl/>
        </w:rPr>
        <w:t xml:space="preserve">מהציבור </w:t>
      </w:r>
      <w:bookmarkStart w:id="55811" w:name="_ETM_Q102_489120"/>
      <w:bookmarkStart w:id="55812" w:name="_ETM_Q102_489389"/>
      <w:bookmarkEnd w:id="55811"/>
      <w:bookmarkEnd w:id="55812"/>
      <w:r>
        <w:rPr>
          <w:rFonts w:hint="cs"/>
          <w:rtl/>
        </w:rPr>
        <w:t xml:space="preserve">הוא המפלגות </w:t>
      </w:r>
      <w:bookmarkStart w:id="55813" w:name="_ETM_Q102_490019"/>
      <w:bookmarkEnd w:id="55813"/>
      <w:r>
        <w:rPr>
          <w:rFonts w:hint="cs"/>
          <w:rtl/>
        </w:rPr>
        <w:t>הפוליטיות</w:t>
      </w:r>
      <w:bookmarkStart w:id="55814" w:name="_ETM_Q102_491269"/>
      <w:bookmarkStart w:id="55815" w:name="_ETM_Q102_491420"/>
      <w:bookmarkEnd w:id="55814"/>
      <w:bookmarkEnd w:id="55815"/>
      <w:r>
        <w:rPr>
          <w:rFonts w:hint="cs"/>
          <w:rtl/>
        </w:rPr>
        <w:t xml:space="preserve">, ובמצב </w:t>
      </w:r>
      <w:bookmarkStart w:id="55816" w:name="_ETM_Q102_492139"/>
      <w:bookmarkEnd w:id="55816"/>
      <w:r>
        <w:rPr>
          <w:rFonts w:hint="cs"/>
          <w:rtl/>
        </w:rPr>
        <w:t xml:space="preserve">לא </w:t>
      </w:r>
      <w:bookmarkStart w:id="55817" w:name="_ETM_Q102_492410"/>
      <w:bookmarkEnd w:id="55817"/>
      <w:r>
        <w:rPr>
          <w:rFonts w:hint="cs"/>
          <w:rtl/>
        </w:rPr>
        <w:t xml:space="preserve">הרבה </w:t>
      </w:r>
      <w:bookmarkStart w:id="55818" w:name="_ETM_Q102_492710"/>
      <w:bookmarkEnd w:id="55818"/>
      <w:r>
        <w:rPr>
          <w:rFonts w:hint="cs"/>
          <w:rtl/>
        </w:rPr>
        <w:t xml:space="preserve">יותר </w:t>
      </w:r>
      <w:bookmarkStart w:id="55819" w:name="_ETM_Q102_493010"/>
      <w:bookmarkEnd w:id="55819"/>
      <w:r>
        <w:rPr>
          <w:rFonts w:hint="cs"/>
          <w:rtl/>
        </w:rPr>
        <w:t xml:space="preserve">טוב </w:t>
      </w:r>
      <w:bookmarkStart w:id="55820" w:name="_ETM_Q102_493940"/>
      <w:bookmarkEnd w:id="55820"/>
      <w:r>
        <w:rPr>
          <w:rFonts w:hint="cs"/>
          <w:rtl/>
        </w:rPr>
        <w:t xml:space="preserve">– מוסד </w:t>
      </w:r>
      <w:bookmarkStart w:id="55821" w:name="_ETM_Q102_494420"/>
      <w:bookmarkEnd w:id="55821"/>
      <w:r>
        <w:rPr>
          <w:rFonts w:hint="cs"/>
          <w:rtl/>
        </w:rPr>
        <w:t xml:space="preserve">הכנסת. </w:t>
      </w:r>
      <w:bookmarkStart w:id="55822" w:name="_ETM_Q102_496390"/>
      <w:bookmarkStart w:id="55823" w:name="_ETM_Q102_503942"/>
      <w:bookmarkStart w:id="55824" w:name="_ETM_Q102_504055"/>
      <w:bookmarkStart w:id="55825" w:name="_ETM_Q102_504106"/>
      <w:bookmarkStart w:id="55826" w:name="_ETM_Q102_504198"/>
      <w:bookmarkEnd w:id="55822"/>
      <w:bookmarkEnd w:id="55823"/>
      <w:bookmarkEnd w:id="55824"/>
      <w:bookmarkEnd w:id="55825"/>
      <w:bookmarkEnd w:id="55826"/>
      <w:r>
        <w:rPr>
          <w:rFonts w:hint="cs"/>
          <w:rtl/>
        </w:rPr>
        <w:t xml:space="preserve">אני </w:t>
      </w:r>
      <w:bookmarkStart w:id="55827" w:name="_ETM_Q102_496660"/>
      <w:bookmarkEnd w:id="55827"/>
      <w:r>
        <w:rPr>
          <w:rFonts w:hint="cs"/>
          <w:rtl/>
        </w:rPr>
        <w:t xml:space="preserve">מאוד </w:t>
      </w:r>
      <w:bookmarkStart w:id="55828" w:name="_ETM_Q102_497110"/>
      <w:bookmarkEnd w:id="55828"/>
      <w:r>
        <w:rPr>
          <w:rFonts w:hint="cs"/>
          <w:rtl/>
        </w:rPr>
        <w:t xml:space="preserve">מקווה </w:t>
      </w:r>
      <w:bookmarkStart w:id="55829" w:name="_ETM_Q102_497710"/>
      <w:bookmarkEnd w:id="55829"/>
      <w:r>
        <w:rPr>
          <w:rFonts w:hint="cs"/>
          <w:rtl/>
        </w:rPr>
        <w:t xml:space="preserve">שלא </w:t>
      </w:r>
      <w:bookmarkStart w:id="55830" w:name="_ETM_Q102_498010"/>
      <w:bookmarkEnd w:id="55830"/>
      <w:r>
        <w:rPr>
          <w:rFonts w:hint="cs"/>
          <w:rtl/>
        </w:rPr>
        <w:t xml:space="preserve">תשתמשו </w:t>
      </w:r>
      <w:bookmarkStart w:id="55831" w:name="_ETM_Q102_498640"/>
      <w:bookmarkEnd w:id="55831"/>
      <w:r>
        <w:rPr>
          <w:rFonts w:hint="cs"/>
          <w:rtl/>
        </w:rPr>
        <w:t xml:space="preserve">בנתון </w:t>
      </w:r>
      <w:bookmarkStart w:id="55832" w:name="_ETM_Q102_499089"/>
      <w:bookmarkEnd w:id="55832"/>
      <w:r>
        <w:rPr>
          <w:rFonts w:hint="cs"/>
          <w:rtl/>
        </w:rPr>
        <w:t xml:space="preserve">הזה </w:t>
      </w:r>
      <w:bookmarkStart w:id="55833" w:name="_ETM_Q102_499420"/>
      <w:bookmarkEnd w:id="55833"/>
      <w:r>
        <w:rPr>
          <w:rFonts w:hint="cs"/>
          <w:rtl/>
        </w:rPr>
        <w:t xml:space="preserve">כדי </w:t>
      </w:r>
      <w:bookmarkStart w:id="55834" w:name="_ETM_Q102_499750"/>
      <w:bookmarkEnd w:id="55834"/>
      <w:r>
        <w:rPr>
          <w:rFonts w:hint="cs"/>
          <w:rtl/>
        </w:rPr>
        <w:t xml:space="preserve">להציע </w:t>
      </w:r>
      <w:bookmarkStart w:id="55835" w:name="_ETM_Q102_500290"/>
      <w:bookmarkEnd w:id="55835"/>
      <w:r>
        <w:rPr>
          <w:rFonts w:hint="cs"/>
          <w:rtl/>
        </w:rPr>
        <w:t xml:space="preserve">כעת </w:t>
      </w:r>
      <w:bookmarkStart w:id="55836" w:name="_ETM_Q102_500860"/>
      <w:bookmarkEnd w:id="55836"/>
      <w:r>
        <w:rPr>
          <w:rFonts w:hint="cs"/>
          <w:rtl/>
        </w:rPr>
        <w:t xml:space="preserve">רפורמה </w:t>
      </w:r>
      <w:bookmarkStart w:id="55837" w:name="_ETM_Q102_501460"/>
      <w:bookmarkEnd w:id="55837"/>
      <w:r>
        <w:rPr>
          <w:rFonts w:hint="cs"/>
          <w:rtl/>
        </w:rPr>
        <w:t xml:space="preserve">נרחבת </w:t>
      </w:r>
      <w:bookmarkStart w:id="55838" w:name="_ETM_Q102_502150"/>
      <w:bookmarkEnd w:id="55838"/>
      <w:r>
        <w:rPr>
          <w:rFonts w:hint="cs"/>
          <w:rtl/>
        </w:rPr>
        <w:t xml:space="preserve">כנגד </w:t>
      </w:r>
      <w:bookmarkStart w:id="55839" w:name="_ETM_Q102_502600"/>
      <w:bookmarkEnd w:id="55839"/>
      <w:r>
        <w:rPr>
          <w:rFonts w:hint="cs"/>
          <w:rtl/>
        </w:rPr>
        <w:t xml:space="preserve">המפלגות, </w:t>
      </w:r>
      <w:bookmarkStart w:id="55840" w:name="_ETM_Q102_503990"/>
      <w:bookmarkEnd w:id="55840"/>
      <w:r>
        <w:rPr>
          <w:rFonts w:hint="cs"/>
          <w:rtl/>
        </w:rPr>
        <w:t xml:space="preserve">או </w:t>
      </w:r>
      <w:bookmarkStart w:id="55841" w:name="_ETM_Q102_504170"/>
      <w:bookmarkEnd w:id="55841"/>
      <w:r>
        <w:rPr>
          <w:rFonts w:hint="cs"/>
          <w:rtl/>
        </w:rPr>
        <w:t xml:space="preserve">חלילה </w:t>
      </w:r>
      <w:bookmarkStart w:id="55842" w:name="_ETM_Q102_504740"/>
      <w:bookmarkEnd w:id="55842"/>
      <w:r>
        <w:rPr>
          <w:rFonts w:hint="cs"/>
          <w:rtl/>
        </w:rPr>
        <w:t xml:space="preserve">כנגד </w:t>
      </w:r>
      <w:bookmarkStart w:id="55843" w:name="_ETM_Q102_505190"/>
      <w:bookmarkEnd w:id="55843"/>
      <w:r>
        <w:rPr>
          <w:rFonts w:hint="cs"/>
          <w:rtl/>
        </w:rPr>
        <w:t xml:space="preserve">מעמד </w:t>
      </w:r>
      <w:bookmarkStart w:id="55844" w:name="_ETM_Q102_505610"/>
      <w:bookmarkEnd w:id="55844"/>
      <w:r>
        <w:rPr>
          <w:rFonts w:hint="cs"/>
          <w:rtl/>
        </w:rPr>
        <w:t xml:space="preserve">הכנסת. </w:t>
      </w:r>
      <w:bookmarkStart w:id="55845" w:name="_ETM_Q102_507390"/>
      <w:bookmarkEnd w:id="55845"/>
    </w:p>
    <w:p w:rsidR="00BB59CD" w:rsidRDefault="00BB59CD" w:rsidP="00BB59CD">
      <w:pPr>
        <w:rPr>
          <w:rtl/>
        </w:rPr>
      </w:pPr>
      <w:bookmarkStart w:id="55846" w:name="_ETM_Q102_506325"/>
      <w:bookmarkStart w:id="55847" w:name="_ETM_Q102_506449"/>
      <w:bookmarkEnd w:id="55846"/>
      <w:bookmarkEnd w:id="55847"/>
    </w:p>
    <w:p w:rsidR="00BB59CD" w:rsidRDefault="00BB59CD" w:rsidP="00942E30">
      <w:pPr>
        <w:rPr>
          <w:rtl/>
        </w:rPr>
      </w:pPr>
      <w:bookmarkStart w:id="55848" w:name="_ETM_Q102_506595"/>
      <w:bookmarkStart w:id="55849" w:name="_ETM_Q102_506669"/>
      <w:bookmarkEnd w:id="55848"/>
      <w:bookmarkEnd w:id="55849"/>
      <w:r>
        <w:rPr>
          <w:rFonts w:hint="cs"/>
          <w:rtl/>
        </w:rPr>
        <w:t xml:space="preserve">אבל </w:t>
      </w:r>
      <w:bookmarkStart w:id="55850" w:name="_ETM_Q102_507689"/>
      <w:bookmarkEnd w:id="55850"/>
      <w:r>
        <w:rPr>
          <w:rFonts w:hint="cs"/>
          <w:rtl/>
        </w:rPr>
        <w:t xml:space="preserve">אם </w:t>
      </w:r>
      <w:bookmarkStart w:id="55851" w:name="_ETM_Q102_507839"/>
      <w:bookmarkEnd w:id="55851"/>
      <w:r>
        <w:rPr>
          <w:rFonts w:hint="cs"/>
          <w:rtl/>
        </w:rPr>
        <w:t xml:space="preserve">למדנו </w:t>
      </w:r>
      <w:bookmarkStart w:id="55852" w:name="_ETM_Q102_508289"/>
      <w:bookmarkEnd w:id="55852"/>
      <w:r>
        <w:rPr>
          <w:rFonts w:hint="cs"/>
          <w:rtl/>
        </w:rPr>
        <w:t xml:space="preserve">משהו </w:t>
      </w:r>
      <w:bookmarkStart w:id="55853" w:name="_ETM_Q102_508680"/>
      <w:bookmarkEnd w:id="55853"/>
      <w:r>
        <w:rPr>
          <w:rFonts w:hint="cs"/>
          <w:rtl/>
        </w:rPr>
        <w:t xml:space="preserve">בששת </w:t>
      </w:r>
      <w:bookmarkStart w:id="55854" w:name="_ETM_Q102_509160"/>
      <w:bookmarkEnd w:id="55854"/>
      <w:r>
        <w:rPr>
          <w:rFonts w:hint="cs"/>
          <w:rtl/>
        </w:rPr>
        <w:t xml:space="preserve">החודשים </w:t>
      </w:r>
      <w:bookmarkStart w:id="55855" w:name="_ETM_Q102_509699"/>
      <w:bookmarkEnd w:id="55855"/>
      <w:r>
        <w:rPr>
          <w:rFonts w:hint="cs"/>
          <w:rtl/>
        </w:rPr>
        <w:t xml:space="preserve">האחרונים </w:t>
      </w:r>
      <w:bookmarkStart w:id="55856" w:name="_ETM_Q102_510810"/>
      <w:bookmarkEnd w:id="55856"/>
      <w:r>
        <w:rPr>
          <w:rFonts w:hint="cs"/>
          <w:rtl/>
        </w:rPr>
        <w:t xml:space="preserve">זה </w:t>
      </w:r>
      <w:bookmarkStart w:id="55857" w:name="_ETM_Q102_511050"/>
      <w:bookmarkStart w:id="55858" w:name="_ETM_Q102_511410"/>
      <w:bookmarkEnd w:id="55857"/>
      <w:bookmarkEnd w:id="55858"/>
      <w:r>
        <w:rPr>
          <w:rFonts w:hint="cs"/>
          <w:rtl/>
        </w:rPr>
        <w:t xml:space="preserve">שאיתכם </w:t>
      </w:r>
      <w:bookmarkStart w:id="55859" w:name="_ETM_Q102_512400"/>
      <w:bookmarkEnd w:id="55859"/>
      <w:r>
        <w:rPr>
          <w:rFonts w:hint="cs"/>
          <w:rtl/>
        </w:rPr>
        <w:t xml:space="preserve">באמת </w:t>
      </w:r>
      <w:bookmarkStart w:id="55860" w:name="_ETM_Q102_513150"/>
      <w:bookmarkEnd w:id="55860"/>
      <w:r>
        <w:rPr>
          <w:rFonts w:hint="cs"/>
          <w:rtl/>
        </w:rPr>
        <w:t xml:space="preserve">אין </w:t>
      </w:r>
      <w:bookmarkStart w:id="55861" w:name="_ETM_Q102_513360"/>
      <w:bookmarkEnd w:id="55861"/>
      <w:r>
        <w:rPr>
          <w:rFonts w:hint="cs"/>
          <w:rtl/>
        </w:rPr>
        <w:t xml:space="preserve">לדעת. </w:t>
      </w:r>
      <w:bookmarkStart w:id="55862" w:name="_ETM_Q102_514879"/>
      <w:bookmarkEnd w:id="55862"/>
      <w:r>
        <w:rPr>
          <w:rFonts w:hint="cs"/>
          <w:rtl/>
        </w:rPr>
        <w:t xml:space="preserve">במשך </w:t>
      </w:r>
      <w:bookmarkStart w:id="55863" w:name="_ETM_Q102_515390"/>
      <w:bookmarkEnd w:id="55863"/>
      <w:r>
        <w:rPr>
          <w:rFonts w:hint="cs"/>
          <w:rtl/>
        </w:rPr>
        <w:t xml:space="preserve">שבועות </w:t>
      </w:r>
      <w:bookmarkStart w:id="55864" w:name="_ETM_Q102_515929"/>
      <w:bookmarkEnd w:id="55864"/>
      <w:r>
        <w:rPr>
          <w:rFonts w:hint="cs"/>
          <w:rtl/>
        </w:rPr>
        <w:t xml:space="preserve">ארוכים </w:t>
      </w:r>
      <w:bookmarkStart w:id="55865" w:name="_ETM_Q102_516440"/>
      <w:bookmarkEnd w:id="55865"/>
      <w:r>
        <w:rPr>
          <w:rFonts w:hint="cs"/>
          <w:rtl/>
        </w:rPr>
        <w:t xml:space="preserve">ורבים </w:t>
      </w:r>
      <w:bookmarkStart w:id="55866" w:name="_ETM_Q102_517279"/>
      <w:bookmarkEnd w:id="55866"/>
      <w:r>
        <w:rPr>
          <w:rFonts w:hint="cs"/>
          <w:rtl/>
        </w:rPr>
        <w:t xml:space="preserve">אתם </w:t>
      </w:r>
      <w:bookmarkStart w:id="55867" w:name="_ETM_Q102_517579"/>
      <w:bookmarkEnd w:id="55867"/>
      <w:r>
        <w:rPr>
          <w:rFonts w:hint="cs"/>
          <w:rtl/>
        </w:rPr>
        <w:t xml:space="preserve">מצהירים </w:t>
      </w:r>
      <w:bookmarkStart w:id="55868" w:name="_ETM_Q102_518089"/>
      <w:bookmarkEnd w:id="55868"/>
      <w:r>
        <w:rPr>
          <w:rFonts w:hint="cs"/>
          <w:rtl/>
        </w:rPr>
        <w:t xml:space="preserve">שאתם </w:t>
      </w:r>
      <w:bookmarkStart w:id="55869" w:name="_ETM_Q102_518449"/>
      <w:bookmarkEnd w:id="55869"/>
      <w:r>
        <w:rPr>
          <w:rFonts w:hint="cs"/>
          <w:rtl/>
        </w:rPr>
        <w:t xml:space="preserve">מבקשים </w:t>
      </w:r>
      <w:bookmarkStart w:id="55870" w:name="_ETM_Q102_518960"/>
      <w:bookmarkEnd w:id="55870"/>
      <w:r>
        <w:rPr>
          <w:rFonts w:hint="cs"/>
          <w:rtl/>
        </w:rPr>
        <w:t xml:space="preserve">לבטל </w:t>
      </w:r>
      <w:bookmarkStart w:id="55871" w:name="_ETM_Q102_519440"/>
      <w:bookmarkEnd w:id="55871"/>
      <w:r>
        <w:rPr>
          <w:rFonts w:hint="cs"/>
          <w:rtl/>
        </w:rPr>
        <w:t xml:space="preserve">את </w:t>
      </w:r>
      <w:bookmarkStart w:id="55872" w:name="_ETM_Q102_519559"/>
      <w:bookmarkEnd w:id="55872"/>
      <w:r>
        <w:rPr>
          <w:rFonts w:hint="cs"/>
          <w:rtl/>
        </w:rPr>
        <w:t xml:space="preserve">עילת </w:t>
      </w:r>
      <w:bookmarkStart w:id="55873" w:name="_ETM_Q102_519859"/>
      <w:bookmarkEnd w:id="55873"/>
      <w:r>
        <w:rPr>
          <w:rFonts w:hint="cs"/>
          <w:rtl/>
        </w:rPr>
        <w:t xml:space="preserve">הסבירות, </w:t>
      </w:r>
      <w:bookmarkStart w:id="55874" w:name="_ETM_Q102_520760"/>
      <w:bookmarkEnd w:id="55874"/>
      <w:r>
        <w:rPr>
          <w:rFonts w:hint="cs"/>
          <w:rtl/>
        </w:rPr>
        <w:t xml:space="preserve">כדי </w:t>
      </w:r>
      <w:bookmarkStart w:id="55875" w:name="_ETM_Q102_521120"/>
      <w:bookmarkEnd w:id="55875"/>
      <w:r>
        <w:rPr>
          <w:rFonts w:hint="cs"/>
          <w:rtl/>
        </w:rPr>
        <w:t xml:space="preserve">שתוכלו </w:t>
      </w:r>
      <w:bookmarkStart w:id="55876" w:name="_ETM_Q102_521659"/>
      <w:bookmarkEnd w:id="55876"/>
      <w:r>
        <w:rPr>
          <w:rFonts w:hint="cs"/>
          <w:rtl/>
        </w:rPr>
        <w:t xml:space="preserve">להציף </w:t>
      </w:r>
      <w:bookmarkStart w:id="55877" w:name="_ETM_Q102_522140"/>
      <w:bookmarkEnd w:id="55877"/>
      <w:r>
        <w:rPr>
          <w:rFonts w:hint="cs"/>
          <w:rtl/>
        </w:rPr>
        <w:t xml:space="preserve">את </w:t>
      </w:r>
      <w:bookmarkStart w:id="55878" w:name="_ETM_Q102_522260"/>
      <w:bookmarkEnd w:id="55878"/>
      <w:r>
        <w:rPr>
          <w:rFonts w:hint="cs"/>
          <w:rtl/>
        </w:rPr>
        <w:t xml:space="preserve">המדינה </w:t>
      </w:r>
      <w:bookmarkStart w:id="55879" w:name="_ETM_Q102_523339"/>
      <w:bookmarkEnd w:id="55879"/>
      <w:r>
        <w:rPr>
          <w:rFonts w:hint="cs"/>
          <w:rtl/>
        </w:rPr>
        <w:t xml:space="preserve">בג'ובים </w:t>
      </w:r>
      <w:bookmarkStart w:id="55880" w:name="_ETM_Q102_524149"/>
      <w:bookmarkEnd w:id="55880"/>
      <w:r>
        <w:rPr>
          <w:rFonts w:hint="cs"/>
          <w:rtl/>
        </w:rPr>
        <w:t xml:space="preserve">ומינויים </w:t>
      </w:r>
      <w:bookmarkStart w:id="55881" w:name="_ETM_Q102_524719"/>
      <w:bookmarkEnd w:id="55881"/>
      <w:r>
        <w:rPr>
          <w:rFonts w:hint="cs"/>
          <w:rtl/>
        </w:rPr>
        <w:t xml:space="preserve">הזויים, </w:t>
      </w:r>
      <w:bookmarkStart w:id="55882" w:name="_ETM_Q102_525620"/>
      <w:bookmarkEnd w:id="55882"/>
      <w:r w:rsidR="00942E30">
        <w:rPr>
          <w:rFonts w:hint="cs"/>
          <w:rtl/>
        </w:rPr>
        <w:t>כש</w:t>
      </w:r>
      <w:r>
        <w:rPr>
          <w:rFonts w:hint="cs"/>
          <w:rtl/>
        </w:rPr>
        <w:t xml:space="preserve">אתם </w:t>
      </w:r>
      <w:bookmarkStart w:id="55883" w:name="_ETM_Q102_526069"/>
      <w:bookmarkEnd w:id="55883"/>
      <w:r>
        <w:rPr>
          <w:rFonts w:hint="cs"/>
          <w:rtl/>
        </w:rPr>
        <w:t xml:space="preserve">מבינים </w:t>
      </w:r>
      <w:bookmarkStart w:id="55884" w:name="_ETM_Q102_526729"/>
      <w:bookmarkEnd w:id="55884"/>
      <w:r>
        <w:rPr>
          <w:rFonts w:hint="cs"/>
          <w:rtl/>
        </w:rPr>
        <w:t xml:space="preserve">שהם </w:t>
      </w:r>
      <w:bookmarkStart w:id="55885" w:name="_ETM_Q102_527059"/>
      <w:bookmarkEnd w:id="55885"/>
      <w:r>
        <w:rPr>
          <w:rFonts w:hint="cs"/>
          <w:rtl/>
        </w:rPr>
        <w:t xml:space="preserve">לא </w:t>
      </w:r>
      <w:bookmarkStart w:id="55886" w:name="_ETM_Q102_527210"/>
      <w:bookmarkEnd w:id="55886"/>
      <w:r>
        <w:rPr>
          <w:rFonts w:hint="cs"/>
          <w:rtl/>
        </w:rPr>
        <w:t xml:space="preserve">לגיטימיים </w:t>
      </w:r>
      <w:bookmarkStart w:id="55887" w:name="_ETM_Q102_528260"/>
      <w:bookmarkEnd w:id="55887"/>
      <w:r>
        <w:rPr>
          <w:rFonts w:hint="cs"/>
          <w:rtl/>
        </w:rPr>
        <w:t xml:space="preserve">אבל </w:t>
      </w:r>
      <w:bookmarkStart w:id="55888" w:name="_ETM_Q102_528589"/>
      <w:bookmarkEnd w:id="55888"/>
      <w:r>
        <w:rPr>
          <w:rFonts w:hint="cs"/>
          <w:rtl/>
        </w:rPr>
        <w:t xml:space="preserve">מתעקשים </w:t>
      </w:r>
      <w:bookmarkStart w:id="55889" w:name="_ETM_Q102_529129"/>
      <w:bookmarkEnd w:id="55889"/>
      <w:r>
        <w:rPr>
          <w:rFonts w:hint="cs"/>
          <w:rtl/>
        </w:rPr>
        <w:t xml:space="preserve">לעשות </w:t>
      </w:r>
      <w:bookmarkStart w:id="55890" w:name="_ETM_Q102_529519"/>
      <w:bookmarkEnd w:id="55890"/>
      <w:r>
        <w:rPr>
          <w:rFonts w:hint="cs"/>
          <w:rtl/>
        </w:rPr>
        <w:t xml:space="preserve">זאת. </w:t>
      </w:r>
      <w:bookmarkStart w:id="55891" w:name="_ETM_Q102_530489"/>
      <w:bookmarkEnd w:id="55891"/>
      <w:r>
        <w:rPr>
          <w:rFonts w:hint="cs"/>
          <w:rtl/>
        </w:rPr>
        <w:t xml:space="preserve">ובאמת </w:t>
      </w:r>
      <w:bookmarkStart w:id="55892" w:name="_ETM_Q102_531129"/>
      <w:bookmarkEnd w:id="55892"/>
      <w:r>
        <w:rPr>
          <w:rFonts w:hint="cs"/>
          <w:rtl/>
        </w:rPr>
        <w:t xml:space="preserve">הבאתם </w:t>
      </w:r>
      <w:bookmarkStart w:id="55893" w:name="_ETM_Q102_531909"/>
      <w:bookmarkEnd w:id="55893"/>
      <w:r>
        <w:rPr>
          <w:rFonts w:hint="cs"/>
          <w:rtl/>
        </w:rPr>
        <w:t xml:space="preserve">כמה </w:t>
      </w:r>
      <w:bookmarkStart w:id="55894" w:name="_ETM_Q102_532210"/>
      <w:bookmarkEnd w:id="55894"/>
      <w:r>
        <w:rPr>
          <w:rFonts w:hint="cs"/>
          <w:rtl/>
        </w:rPr>
        <w:t xml:space="preserve">וכמה </w:t>
      </w:r>
      <w:bookmarkStart w:id="55895" w:name="_ETM_Q102_532629"/>
      <w:bookmarkEnd w:id="55895"/>
      <w:r>
        <w:rPr>
          <w:rFonts w:hint="cs"/>
          <w:rtl/>
        </w:rPr>
        <w:t xml:space="preserve">מינויים </w:t>
      </w:r>
      <w:bookmarkStart w:id="55896" w:name="_ETM_Q102_533940"/>
      <w:bookmarkEnd w:id="55896"/>
      <w:r>
        <w:rPr>
          <w:rFonts w:hint="cs"/>
          <w:rtl/>
        </w:rPr>
        <w:t xml:space="preserve">באמת </w:t>
      </w:r>
      <w:bookmarkStart w:id="55897" w:name="_ETM_Q102_534480"/>
      <w:bookmarkEnd w:id="55897"/>
      <w:r>
        <w:rPr>
          <w:rFonts w:hint="cs"/>
          <w:rtl/>
        </w:rPr>
        <w:t xml:space="preserve">הזויים, </w:t>
      </w:r>
      <w:bookmarkStart w:id="55898" w:name="_ETM_Q102_534900"/>
      <w:bookmarkEnd w:id="55898"/>
      <w:r>
        <w:rPr>
          <w:rFonts w:hint="cs"/>
          <w:rtl/>
        </w:rPr>
        <w:t xml:space="preserve">שמעידים </w:t>
      </w:r>
      <w:bookmarkStart w:id="55899" w:name="_ETM_Q102_535560"/>
      <w:bookmarkEnd w:id="55899"/>
      <w:r>
        <w:rPr>
          <w:rFonts w:hint="cs"/>
          <w:rtl/>
        </w:rPr>
        <w:t xml:space="preserve">על </w:t>
      </w:r>
      <w:bookmarkStart w:id="55900" w:name="_ETM_Q102_535680"/>
      <w:bookmarkEnd w:id="55900"/>
      <w:r>
        <w:rPr>
          <w:rFonts w:hint="cs"/>
          <w:rtl/>
        </w:rPr>
        <w:t xml:space="preserve">יכולתכם </w:t>
      </w:r>
      <w:bookmarkStart w:id="55901" w:name="_ETM_Q102_536250"/>
      <w:bookmarkEnd w:id="55901"/>
      <w:r>
        <w:rPr>
          <w:rFonts w:hint="cs"/>
          <w:rtl/>
        </w:rPr>
        <w:t xml:space="preserve">לקבל </w:t>
      </w:r>
      <w:bookmarkStart w:id="55902" w:name="_ETM_Q102_536640"/>
      <w:bookmarkEnd w:id="55902"/>
      <w:r>
        <w:rPr>
          <w:rFonts w:hint="cs"/>
          <w:rtl/>
        </w:rPr>
        <w:t xml:space="preserve">החלטות. </w:t>
      </w:r>
      <w:bookmarkStart w:id="55903" w:name="_ETM_Q102_538260"/>
      <w:bookmarkEnd w:id="55903"/>
      <w:r>
        <w:rPr>
          <w:rFonts w:hint="cs"/>
          <w:rtl/>
        </w:rPr>
        <w:t xml:space="preserve">נכנסתם </w:t>
      </w:r>
      <w:bookmarkStart w:id="55904" w:name="_ETM_Q102_538949"/>
      <w:bookmarkEnd w:id="55904"/>
      <w:r>
        <w:rPr>
          <w:rFonts w:hint="cs"/>
          <w:rtl/>
        </w:rPr>
        <w:t>לטנ</w:t>
      </w:r>
      <w:bookmarkStart w:id="55905" w:name="_ETM_Q102_539339"/>
      <w:bookmarkEnd w:id="55905"/>
      <w:r>
        <w:rPr>
          <w:rFonts w:hint="cs"/>
          <w:rtl/>
        </w:rPr>
        <w:t xml:space="preserve">טרום </w:t>
      </w:r>
      <w:bookmarkStart w:id="55906" w:name="_ETM_Q102_539670"/>
      <w:bookmarkEnd w:id="55906"/>
      <w:r>
        <w:rPr>
          <w:rFonts w:hint="cs"/>
          <w:rtl/>
        </w:rPr>
        <w:t xml:space="preserve">כדי </w:t>
      </w:r>
      <w:bookmarkStart w:id="55907" w:name="_ETM_Q102_539940"/>
      <w:bookmarkStart w:id="55908" w:name="_ETM_Q102_540390"/>
      <w:bookmarkEnd w:id="55907"/>
      <w:bookmarkEnd w:id="55908"/>
      <w:r>
        <w:rPr>
          <w:rFonts w:hint="cs"/>
          <w:rtl/>
        </w:rPr>
        <w:t xml:space="preserve">לפטר </w:t>
      </w:r>
      <w:bookmarkStart w:id="55909" w:name="_ETM_Q102_541079"/>
      <w:bookmarkStart w:id="55910" w:name="_ETM_Q102_541589"/>
      <w:bookmarkEnd w:id="55909"/>
      <w:bookmarkEnd w:id="55910"/>
      <w:r>
        <w:rPr>
          <w:rFonts w:hint="cs"/>
          <w:rtl/>
        </w:rPr>
        <w:t xml:space="preserve">משרתי </w:t>
      </w:r>
      <w:bookmarkStart w:id="55911" w:name="_ETM_Q102_542249"/>
      <w:bookmarkEnd w:id="55911"/>
      <w:r>
        <w:rPr>
          <w:rFonts w:hint="cs"/>
          <w:rtl/>
        </w:rPr>
        <w:t xml:space="preserve">ציבור </w:t>
      </w:r>
      <w:bookmarkStart w:id="55912" w:name="_ETM_Q102_543239"/>
      <w:bookmarkEnd w:id="55912"/>
      <w:r>
        <w:rPr>
          <w:rFonts w:hint="cs"/>
          <w:rtl/>
        </w:rPr>
        <w:t xml:space="preserve">ולמנות </w:t>
      </w:r>
      <w:bookmarkStart w:id="55913" w:name="_ETM_Q102_543870"/>
      <w:bookmarkEnd w:id="55913"/>
      <w:r>
        <w:rPr>
          <w:rFonts w:hint="cs"/>
          <w:rtl/>
        </w:rPr>
        <w:t xml:space="preserve">את </w:t>
      </w:r>
      <w:bookmarkStart w:id="55914" w:name="_ETM_Q102_544020"/>
      <w:bookmarkEnd w:id="55914"/>
      <w:r>
        <w:rPr>
          <w:rFonts w:hint="cs"/>
          <w:rtl/>
        </w:rPr>
        <w:t xml:space="preserve">עושי </w:t>
      </w:r>
      <w:bookmarkStart w:id="55915" w:name="_ETM_Q102_544409"/>
      <w:bookmarkEnd w:id="55915"/>
      <w:r>
        <w:rPr>
          <w:rFonts w:hint="cs"/>
          <w:rtl/>
        </w:rPr>
        <w:t xml:space="preserve">דברכם </w:t>
      </w:r>
      <w:bookmarkStart w:id="55916" w:name="_ETM_Q102_545189"/>
      <w:bookmarkEnd w:id="55916"/>
      <w:r>
        <w:rPr>
          <w:rFonts w:hint="cs"/>
          <w:rtl/>
        </w:rPr>
        <w:t xml:space="preserve">במקומם, </w:t>
      </w:r>
      <w:bookmarkStart w:id="55917" w:name="_ETM_Q102_546060"/>
      <w:bookmarkEnd w:id="55917"/>
      <w:r>
        <w:rPr>
          <w:rFonts w:hint="cs"/>
          <w:rtl/>
        </w:rPr>
        <w:t xml:space="preserve">עד </w:t>
      </w:r>
      <w:bookmarkStart w:id="55918" w:name="_ETM_Q102_546240"/>
      <w:bookmarkEnd w:id="55918"/>
      <w:r>
        <w:rPr>
          <w:rFonts w:hint="cs"/>
          <w:rtl/>
        </w:rPr>
        <w:t xml:space="preserve">שבקרוב </w:t>
      </w:r>
      <w:bookmarkStart w:id="55919" w:name="_ETM_Q102_547329"/>
      <w:bookmarkEnd w:id="55919"/>
      <w:r>
        <w:rPr>
          <w:rFonts w:hint="cs"/>
          <w:rtl/>
        </w:rPr>
        <w:t xml:space="preserve">עשויות </w:t>
      </w:r>
      <w:bookmarkStart w:id="55920" w:name="_ETM_Q102_547779"/>
      <w:bookmarkEnd w:id="55920"/>
      <w:r>
        <w:rPr>
          <w:rFonts w:hint="cs"/>
          <w:rtl/>
        </w:rPr>
        <w:t xml:space="preserve">להיגמר </w:t>
      </w:r>
      <w:bookmarkStart w:id="55921" w:name="_ETM_Q102_548229"/>
      <w:bookmarkEnd w:id="55921"/>
      <w:r>
        <w:rPr>
          <w:rFonts w:hint="cs"/>
          <w:rtl/>
        </w:rPr>
        <w:t xml:space="preserve">לכם </w:t>
      </w:r>
      <w:bookmarkStart w:id="55922" w:name="_ETM_Q102_548529"/>
      <w:bookmarkEnd w:id="55922"/>
      <w:r>
        <w:rPr>
          <w:rFonts w:hint="cs"/>
          <w:rtl/>
        </w:rPr>
        <w:t xml:space="preserve">ההברקות. </w:t>
      </w:r>
      <w:bookmarkStart w:id="55923" w:name="_ETM_Q102_550040"/>
      <w:bookmarkEnd w:id="55923"/>
    </w:p>
    <w:p w:rsidR="00BB59CD" w:rsidRDefault="00BB59CD" w:rsidP="00BB59CD">
      <w:pPr>
        <w:rPr>
          <w:rtl/>
        </w:rPr>
      </w:pPr>
      <w:bookmarkStart w:id="55924" w:name="_ETM_Q102_551392"/>
      <w:bookmarkStart w:id="55925" w:name="_ETM_Q102_551492"/>
      <w:bookmarkEnd w:id="55924"/>
      <w:bookmarkEnd w:id="55925"/>
    </w:p>
    <w:p w:rsidR="00BB59CD" w:rsidRDefault="00BB59CD" w:rsidP="00942E30">
      <w:pPr>
        <w:rPr>
          <w:rtl/>
        </w:rPr>
      </w:pPr>
      <w:bookmarkStart w:id="55926" w:name="_ETM_Q102_551620"/>
      <w:bookmarkStart w:id="55927" w:name="_ETM_Q102_551699"/>
      <w:bookmarkStart w:id="55928" w:name="_ETM_Q102_550400"/>
      <w:bookmarkEnd w:id="55926"/>
      <w:bookmarkEnd w:id="55927"/>
      <w:bookmarkEnd w:id="55928"/>
      <w:r>
        <w:rPr>
          <w:rFonts w:hint="cs"/>
          <w:rtl/>
        </w:rPr>
        <w:t xml:space="preserve">אני </w:t>
      </w:r>
      <w:bookmarkStart w:id="55929" w:name="_ETM_Q102_550490"/>
      <w:bookmarkEnd w:id="55929"/>
      <w:r>
        <w:rPr>
          <w:rFonts w:hint="cs"/>
          <w:rtl/>
        </w:rPr>
        <w:t xml:space="preserve">באמת </w:t>
      </w:r>
      <w:bookmarkStart w:id="55930" w:name="_ETM_Q102_550820"/>
      <w:bookmarkEnd w:id="55930"/>
      <w:r>
        <w:rPr>
          <w:rFonts w:hint="cs"/>
          <w:rtl/>
        </w:rPr>
        <w:t xml:space="preserve">תוהה </w:t>
      </w:r>
      <w:bookmarkStart w:id="55931" w:name="_ETM_Q102_551840"/>
      <w:bookmarkEnd w:id="55931"/>
      <w:r>
        <w:rPr>
          <w:rFonts w:hint="cs"/>
          <w:rtl/>
        </w:rPr>
        <w:t xml:space="preserve">מה </w:t>
      </w:r>
      <w:bookmarkStart w:id="55932" w:name="_ETM_Q102_552200"/>
      <w:bookmarkEnd w:id="55932"/>
      <w:r>
        <w:rPr>
          <w:rFonts w:hint="cs"/>
          <w:rtl/>
        </w:rPr>
        <w:t xml:space="preserve">לא </w:t>
      </w:r>
      <w:bookmarkStart w:id="55933" w:name="_ETM_Q102_552410"/>
      <w:bookmarkEnd w:id="55933"/>
      <w:r>
        <w:rPr>
          <w:rFonts w:hint="cs"/>
          <w:rtl/>
        </w:rPr>
        <w:t xml:space="preserve">יהיה </w:t>
      </w:r>
      <w:bookmarkStart w:id="55934" w:name="_ETM_Q102_552710"/>
      <w:bookmarkEnd w:id="55934"/>
      <w:r>
        <w:rPr>
          <w:rFonts w:hint="cs"/>
          <w:rtl/>
        </w:rPr>
        <w:t xml:space="preserve">מופרך </w:t>
      </w:r>
      <w:bookmarkStart w:id="55935" w:name="_ETM_Q102_553250"/>
      <w:bookmarkEnd w:id="55935"/>
      <w:r>
        <w:rPr>
          <w:rFonts w:hint="cs"/>
          <w:rtl/>
        </w:rPr>
        <w:t xml:space="preserve">עבורכם. </w:t>
      </w:r>
      <w:bookmarkStart w:id="55936" w:name="_ETM_Q102_554540"/>
      <w:bookmarkEnd w:id="55936"/>
      <w:r>
        <w:rPr>
          <w:rFonts w:hint="cs"/>
          <w:rtl/>
        </w:rPr>
        <w:t xml:space="preserve">האם </w:t>
      </w:r>
      <w:bookmarkStart w:id="55937" w:name="_ETM_Q102_555050"/>
      <w:bookmarkEnd w:id="55937"/>
      <w:r>
        <w:rPr>
          <w:rFonts w:hint="cs"/>
          <w:rtl/>
        </w:rPr>
        <w:t xml:space="preserve">יש </w:t>
      </w:r>
      <w:bookmarkStart w:id="55938" w:name="_ETM_Q102_555350"/>
      <w:bookmarkEnd w:id="55938"/>
      <w:r>
        <w:rPr>
          <w:rFonts w:hint="cs"/>
          <w:rtl/>
        </w:rPr>
        <w:t xml:space="preserve">לכם </w:t>
      </w:r>
      <w:bookmarkStart w:id="55939" w:name="_ETM_Q102_555800"/>
      <w:bookmarkEnd w:id="55939"/>
      <w:r>
        <w:rPr>
          <w:rFonts w:hint="cs"/>
          <w:rtl/>
        </w:rPr>
        <w:t>איז</w:t>
      </w:r>
      <w:bookmarkStart w:id="55940" w:name="_ETM_Q102_556100"/>
      <w:bookmarkEnd w:id="55940"/>
      <w:r>
        <w:rPr>
          <w:rFonts w:hint="cs"/>
          <w:rtl/>
        </w:rPr>
        <w:t xml:space="preserve">שהם </w:t>
      </w:r>
      <w:bookmarkStart w:id="55941" w:name="_ETM_Q102_556400"/>
      <w:bookmarkEnd w:id="55941"/>
      <w:r>
        <w:rPr>
          <w:rFonts w:hint="cs"/>
          <w:rtl/>
        </w:rPr>
        <w:t xml:space="preserve">קווים </w:t>
      </w:r>
      <w:bookmarkStart w:id="55942" w:name="_ETM_Q102_556760"/>
      <w:bookmarkEnd w:id="55942"/>
      <w:r>
        <w:rPr>
          <w:rFonts w:hint="cs"/>
          <w:rtl/>
        </w:rPr>
        <w:t xml:space="preserve">אדומים </w:t>
      </w:r>
      <w:bookmarkStart w:id="55943" w:name="_ETM_Q102_557600"/>
      <w:bookmarkEnd w:id="55943"/>
      <w:r>
        <w:rPr>
          <w:rFonts w:hint="cs"/>
          <w:rtl/>
        </w:rPr>
        <w:t xml:space="preserve">בהחרבת </w:t>
      </w:r>
      <w:bookmarkStart w:id="55944" w:name="_ETM_Q102_558500"/>
      <w:bookmarkEnd w:id="55944"/>
      <w:r>
        <w:rPr>
          <w:rFonts w:hint="cs"/>
          <w:rtl/>
        </w:rPr>
        <w:t xml:space="preserve">השירות </w:t>
      </w:r>
      <w:bookmarkStart w:id="55945" w:name="_ETM_Q102_559010"/>
      <w:bookmarkEnd w:id="55945"/>
      <w:r>
        <w:rPr>
          <w:rFonts w:hint="cs"/>
          <w:rtl/>
        </w:rPr>
        <w:t xml:space="preserve">הציבורי? </w:t>
      </w:r>
      <w:bookmarkStart w:id="55946" w:name="_ETM_Q102_560409"/>
      <w:bookmarkEnd w:id="55946"/>
      <w:r>
        <w:rPr>
          <w:rFonts w:hint="cs"/>
          <w:rtl/>
        </w:rPr>
        <w:t xml:space="preserve">האם </w:t>
      </w:r>
      <w:bookmarkStart w:id="55947" w:name="_ETM_Q102_560860"/>
      <w:bookmarkEnd w:id="55947"/>
      <w:r>
        <w:rPr>
          <w:rFonts w:hint="cs"/>
          <w:rtl/>
        </w:rPr>
        <w:t xml:space="preserve">יכול </w:t>
      </w:r>
      <w:bookmarkStart w:id="55948" w:name="_ETM_Q102_561250"/>
      <w:bookmarkEnd w:id="55948"/>
      <w:r>
        <w:rPr>
          <w:rFonts w:hint="cs"/>
          <w:rtl/>
        </w:rPr>
        <w:t xml:space="preserve">להיות </w:t>
      </w:r>
      <w:bookmarkStart w:id="55949" w:name="_ETM_Q102_561640"/>
      <w:bookmarkEnd w:id="55949"/>
      <w:r>
        <w:rPr>
          <w:rFonts w:hint="cs"/>
          <w:rtl/>
        </w:rPr>
        <w:t xml:space="preserve">שתמנו </w:t>
      </w:r>
      <w:bookmarkStart w:id="55950" w:name="_ETM_Q102_563020"/>
      <w:bookmarkEnd w:id="55950"/>
      <w:r>
        <w:rPr>
          <w:rFonts w:hint="cs"/>
          <w:rtl/>
        </w:rPr>
        <w:t xml:space="preserve">מפכ"לית </w:t>
      </w:r>
      <w:bookmarkStart w:id="55951" w:name="_ETM_Q102_563860"/>
      <w:bookmarkEnd w:id="55951"/>
      <w:r>
        <w:rPr>
          <w:rFonts w:hint="cs"/>
          <w:rtl/>
        </w:rPr>
        <w:t xml:space="preserve">אישה </w:t>
      </w:r>
      <w:bookmarkStart w:id="55952" w:name="_ETM_Q102_564159"/>
      <w:bookmarkEnd w:id="55952"/>
      <w:r>
        <w:rPr>
          <w:rFonts w:hint="cs"/>
          <w:rtl/>
        </w:rPr>
        <w:t xml:space="preserve">ראשונה? </w:t>
      </w:r>
      <w:bookmarkStart w:id="55953" w:name="_ETM_Q102_565889"/>
      <w:bookmarkEnd w:id="55953"/>
      <w:r>
        <w:rPr>
          <w:rFonts w:hint="cs"/>
          <w:rtl/>
        </w:rPr>
        <w:t xml:space="preserve">אולי </w:t>
      </w:r>
      <w:bookmarkStart w:id="55954" w:name="_ETM_Q102_566630"/>
      <w:bookmarkEnd w:id="55954"/>
      <w:r>
        <w:rPr>
          <w:rFonts w:hint="cs"/>
          <w:rtl/>
        </w:rPr>
        <w:t xml:space="preserve">באמת אפשר </w:t>
      </w:r>
      <w:bookmarkStart w:id="55955" w:name="_ETM_Q102_566990"/>
      <w:bookmarkEnd w:id="55955"/>
      <w:r>
        <w:rPr>
          <w:rFonts w:hint="cs"/>
          <w:rtl/>
        </w:rPr>
        <w:t xml:space="preserve">להציע </w:t>
      </w:r>
      <w:bookmarkStart w:id="55956" w:name="_ETM_Q102_567500"/>
      <w:bookmarkEnd w:id="55956"/>
      <w:r>
        <w:rPr>
          <w:rFonts w:hint="cs"/>
          <w:rtl/>
        </w:rPr>
        <w:t xml:space="preserve">את </w:t>
      </w:r>
      <w:bookmarkStart w:id="55957" w:name="_ETM_Q102_568310"/>
      <w:bookmarkEnd w:id="55957"/>
      <w:r>
        <w:rPr>
          <w:rFonts w:hint="cs"/>
          <w:rtl/>
        </w:rPr>
        <w:t xml:space="preserve">הגברת </w:t>
      </w:r>
      <w:bookmarkStart w:id="55958" w:name="_ETM_Q102_568880"/>
      <w:bookmarkEnd w:id="55958"/>
      <w:r>
        <w:rPr>
          <w:rFonts w:hint="cs"/>
          <w:rtl/>
        </w:rPr>
        <w:t xml:space="preserve">אילה </w:t>
      </w:r>
      <w:bookmarkStart w:id="55959" w:name="_ETM_Q102_567960"/>
      <w:bookmarkStart w:id="55960" w:name="_ETM_Q102_569089"/>
      <w:bookmarkStart w:id="55961" w:name="_ETM_Q102_569270"/>
      <w:bookmarkEnd w:id="55959"/>
      <w:bookmarkEnd w:id="55960"/>
      <w:bookmarkEnd w:id="55961"/>
      <w:r>
        <w:rPr>
          <w:rFonts w:hint="cs"/>
          <w:rtl/>
        </w:rPr>
        <w:t xml:space="preserve">בן </w:t>
      </w:r>
      <w:bookmarkStart w:id="55962" w:name="_ETM_Q102_569510"/>
      <w:bookmarkEnd w:id="55962"/>
      <w:r>
        <w:rPr>
          <w:rFonts w:hint="cs"/>
          <w:rtl/>
        </w:rPr>
        <w:t xml:space="preserve">גביר, </w:t>
      </w:r>
      <w:bookmarkStart w:id="55963" w:name="_ETM_Q102_570170"/>
      <w:bookmarkEnd w:id="55963"/>
      <w:r>
        <w:rPr>
          <w:rFonts w:hint="cs"/>
          <w:rtl/>
        </w:rPr>
        <w:t xml:space="preserve">הרי </w:t>
      </w:r>
      <w:bookmarkStart w:id="55964" w:name="_ETM_Q102_570440"/>
      <w:bookmarkEnd w:id="55964"/>
      <w:r>
        <w:rPr>
          <w:rFonts w:hint="cs"/>
          <w:rtl/>
        </w:rPr>
        <w:t xml:space="preserve">גם </w:t>
      </w:r>
      <w:bookmarkStart w:id="55965" w:name="_ETM_Q102_570650"/>
      <w:bookmarkEnd w:id="55965"/>
      <w:r>
        <w:rPr>
          <w:rFonts w:hint="cs"/>
          <w:rtl/>
        </w:rPr>
        <w:t xml:space="preserve">ככה </w:t>
      </w:r>
      <w:bookmarkStart w:id="55966" w:name="_ETM_Q102_571010"/>
      <w:bookmarkEnd w:id="55966"/>
      <w:r>
        <w:rPr>
          <w:rFonts w:hint="cs"/>
          <w:rtl/>
        </w:rPr>
        <w:t xml:space="preserve">היא </w:t>
      </w:r>
      <w:bookmarkStart w:id="55967" w:name="_ETM_Q102_571160"/>
      <w:bookmarkEnd w:id="55967"/>
      <w:r>
        <w:rPr>
          <w:rFonts w:hint="cs"/>
          <w:rtl/>
        </w:rPr>
        <w:t xml:space="preserve">חודשים </w:t>
      </w:r>
      <w:bookmarkStart w:id="55968" w:name="_ETM_Q102_571700"/>
      <w:bookmarkEnd w:id="55968"/>
      <w:r>
        <w:rPr>
          <w:rFonts w:hint="cs"/>
          <w:rtl/>
        </w:rPr>
        <w:t xml:space="preserve">מדבררת </w:t>
      </w:r>
      <w:bookmarkStart w:id="55969" w:name="_ETM_Q102_572330"/>
      <w:bookmarkEnd w:id="55969"/>
      <w:r>
        <w:rPr>
          <w:rFonts w:hint="cs"/>
          <w:rtl/>
        </w:rPr>
        <w:t xml:space="preserve">את </w:t>
      </w:r>
      <w:bookmarkStart w:id="55970" w:name="_ETM_Q102_572450"/>
      <w:bookmarkEnd w:id="55970"/>
      <w:r>
        <w:rPr>
          <w:rFonts w:hint="cs"/>
          <w:rtl/>
        </w:rPr>
        <w:t xml:space="preserve">המשטרה </w:t>
      </w:r>
      <w:bookmarkStart w:id="55971" w:name="_ETM_Q102_573200"/>
      <w:bookmarkEnd w:id="55971"/>
      <w:r>
        <w:rPr>
          <w:rFonts w:hint="cs"/>
          <w:rtl/>
        </w:rPr>
        <w:t xml:space="preserve">ואת </w:t>
      </w:r>
      <w:bookmarkStart w:id="55972" w:name="_ETM_Q102_573470"/>
      <w:bookmarkEnd w:id="55972"/>
      <w:r>
        <w:rPr>
          <w:rFonts w:hint="cs"/>
          <w:rtl/>
        </w:rPr>
        <w:t xml:space="preserve">המשרד </w:t>
      </w:r>
      <w:bookmarkStart w:id="55973" w:name="_ETM_Q102_573890"/>
      <w:bookmarkEnd w:id="55973"/>
      <w:r>
        <w:rPr>
          <w:rFonts w:hint="cs"/>
          <w:rtl/>
        </w:rPr>
        <w:t xml:space="preserve">לביטחון </w:t>
      </w:r>
      <w:bookmarkStart w:id="55974" w:name="_ETM_Q102_574430"/>
      <w:bookmarkEnd w:id="55974"/>
      <w:r>
        <w:rPr>
          <w:rFonts w:hint="cs"/>
          <w:rtl/>
        </w:rPr>
        <w:t xml:space="preserve">לאומי </w:t>
      </w:r>
      <w:bookmarkStart w:id="55975" w:name="_ETM_Q102_574820"/>
      <w:bookmarkEnd w:id="55975"/>
      <w:r>
        <w:rPr>
          <w:rFonts w:hint="cs"/>
          <w:rtl/>
        </w:rPr>
        <w:t xml:space="preserve">בערוצי </w:t>
      </w:r>
      <w:bookmarkStart w:id="55976" w:name="_ETM_Q102_575300"/>
      <w:bookmarkEnd w:id="55976"/>
      <w:r>
        <w:rPr>
          <w:rFonts w:hint="cs"/>
          <w:rtl/>
        </w:rPr>
        <w:t xml:space="preserve">התקשורת </w:t>
      </w:r>
      <w:bookmarkStart w:id="55977" w:name="_ETM_Q102_576440"/>
      <w:bookmarkEnd w:id="55977"/>
      <w:r>
        <w:rPr>
          <w:rFonts w:hint="cs"/>
          <w:rtl/>
        </w:rPr>
        <w:t xml:space="preserve">ודואגת </w:t>
      </w:r>
      <w:bookmarkStart w:id="55978" w:name="_ETM_Q102_577040"/>
      <w:bookmarkEnd w:id="55978"/>
      <w:r>
        <w:rPr>
          <w:rFonts w:hint="cs"/>
          <w:rtl/>
        </w:rPr>
        <w:t xml:space="preserve">להגיע </w:t>
      </w:r>
      <w:bookmarkStart w:id="55979" w:name="_ETM_Q102_577490"/>
      <w:bookmarkEnd w:id="55979"/>
      <w:r>
        <w:rPr>
          <w:rFonts w:hint="cs"/>
          <w:rtl/>
        </w:rPr>
        <w:t xml:space="preserve">תמיד </w:t>
      </w:r>
      <w:bookmarkStart w:id="55980" w:name="_ETM_Q102_577940"/>
      <w:bookmarkEnd w:id="55980"/>
      <w:r>
        <w:rPr>
          <w:rFonts w:hint="cs"/>
          <w:rtl/>
        </w:rPr>
        <w:t xml:space="preserve">חמושה </w:t>
      </w:r>
      <w:bookmarkStart w:id="55981" w:name="_ETM_Q102_578630"/>
      <w:bookmarkEnd w:id="55981"/>
      <w:r>
        <w:rPr>
          <w:rFonts w:hint="cs"/>
          <w:rtl/>
        </w:rPr>
        <w:t xml:space="preserve">כמו </w:t>
      </w:r>
      <w:bookmarkStart w:id="55982" w:name="_ETM_Q102_578990"/>
      <w:bookmarkEnd w:id="55982"/>
      <w:r>
        <w:rPr>
          <w:rFonts w:hint="cs"/>
          <w:rtl/>
        </w:rPr>
        <w:t>יס"מ</w:t>
      </w:r>
      <w:bookmarkStart w:id="55983" w:name="_ETM_Q102_579350"/>
      <w:bookmarkEnd w:id="55983"/>
      <w:r>
        <w:rPr>
          <w:rFonts w:hint="cs"/>
          <w:rtl/>
        </w:rPr>
        <w:t xml:space="preserve">ניק </w:t>
      </w:r>
      <w:bookmarkStart w:id="55984" w:name="_ETM_Q102_579529"/>
      <w:bookmarkEnd w:id="55984"/>
      <w:r>
        <w:rPr>
          <w:rFonts w:hint="cs"/>
          <w:rtl/>
        </w:rPr>
        <w:t xml:space="preserve">מן </w:t>
      </w:r>
      <w:bookmarkStart w:id="55985" w:name="_ETM_Q102_579710"/>
      <w:bookmarkEnd w:id="55985"/>
      <w:r>
        <w:rPr>
          <w:rFonts w:hint="cs"/>
          <w:rtl/>
        </w:rPr>
        <w:t xml:space="preserve">השורה. </w:t>
      </w:r>
      <w:bookmarkStart w:id="55986" w:name="_ETM_Q102_580950"/>
      <w:bookmarkEnd w:id="55986"/>
      <w:r>
        <w:rPr>
          <w:rFonts w:hint="cs"/>
          <w:rtl/>
        </w:rPr>
        <w:t xml:space="preserve">שמעתי </w:t>
      </w:r>
      <w:bookmarkStart w:id="55987" w:name="_ETM_Q102_581460"/>
      <w:bookmarkEnd w:id="55987"/>
      <w:r>
        <w:rPr>
          <w:rFonts w:hint="cs"/>
          <w:rtl/>
        </w:rPr>
        <w:t xml:space="preserve">גם </w:t>
      </w:r>
      <w:bookmarkStart w:id="55988" w:name="_ETM_Q102_581790"/>
      <w:bookmarkEnd w:id="55988"/>
      <w:r>
        <w:rPr>
          <w:rFonts w:hint="cs"/>
          <w:rtl/>
        </w:rPr>
        <w:t xml:space="preserve">שמתכוונים </w:t>
      </w:r>
      <w:bookmarkStart w:id="55989" w:name="_ETM_Q102_582779"/>
      <w:bookmarkEnd w:id="55989"/>
      <w:r>
        <w:rPr>
          <w:rFonts w:hint="cs"/>
          <w:rtl/>
        </w:rPr>
        <w:t xml:space="preserve">למנות </w:t>
      </w:r>
      <w:bookmarkStart w:id="55990" w:name="_ETM_Q102_583259"/>
      <w:bookmarkEnd w:id="55990"/>
      <w:r>
        <w:rPr>
          <w:rFonts w:hint="cs"/>
          <w:rtl/>
        </w:rPr>
        <w:t xml:space="preserve">מנכ"ל </w:t>
      </w:r>
      <w:bookmarkStart w:id="55991" w:name="_ETM_Q102_583740"/>
      <w:bookmarkEnd w:id="55991"/>
      <w:r>
        <w:rPr>
          <w:rFonts w:hint="cs"/>
          <w:rtl/>
        </w:rPr>
        <w:t xml:space="preserve">חדש </w:t>
      </w:r>
      <w:bookmarkStart w:id="55992" w:name="_ETM_Q102_584219"/>
      <w:bookmarkEnd w:id="55992"/>
      <w:r>
        <w:rPr>
          <w:rFonts w:hint="cs"/>
          <w:rtl/>
        </w:rPr>
        <w:t xml:space="preserve">לרשות </w:t>
      </w:r>
      <w:bookmarkStart w:id="55993" w:name="_ETM_Q102_584670"/>
      <w:bookmarkEnd w:id="55993"/>
      <w:r>
        <w:rPr>
          <w:rFonts w:hint="cs"/>
          <w:rtl/>
        </w:rPr>
        <w:t xml:space="preserve">הדואר, </w:t>
      </w:r>
      <w:bookmarkStart w:id="55994" w:name="_ETM_Q102_585700"/>
      <w:bookmarkEnd w:id="55994"/>
      <w:r>
        <w:rPr>
          <w:rFonts w:hint="cs"/>
          <w:rtl/>
        </w:rPr>
        <w:t xml:space="preserve">וגם </w:t>
      </w:r>
      <w:bookmarkStart w:id="55995" w:name="_ETM_Q102_586090"/>
      <w:bookmarkEnd w:id="55995"/>
      <w:r>
        <w:rPr>
          <w:rFonts w:hint="cs"/>
          <w:rtl/>
        </w:rPr>
        <w:t xml:space="preserve">כאן </w:t>
      </w:r>
      <w:bookmarkStart w:id="55996" w:name="_ETM_Q102_586390"/>
      <w:bookmarkEnd w:id="55996"/>
      <w:r>
        <w:rPr>
          <w:rFonts w:hint="cs"/>
          <w:rtl/>
        </w:rPr>
        <w:t xml:space="preserve">אני </w:t>
      </w:r>
      <w:bookmarkStart w:id="55997" w:name="_ETM_Q102_586570"/>
      <w:bookmarkEnd w:id="55997"/>
      <w:r>
        <w:rPr>
          <w:rFonts w:hint="cs"/>
          <w:rtl/>
        </w:rPr>
        <w:t xml:space="preserve">תוהה </w:t>
      </w:r>
      <w:bookmarkStart w:id="55998" w:name="_ETM_Q102_587110"/>
      <w:bookmarkEnd w:id="55998"/>
      <w:r>
        <w:rPr>
          <w:rFonts w:hint="cs"/>
          <w:rtl/>
        </w:rPr>
        <w:t xml:space="preserve">אם </w:t>
      </w:r>
      <w:bookmarkStart w:id="55999" w:name="_ETM_Q102_587290"/>
      <w:bookmarkEnd w:id="55999"/>
      <w:r>
        <w:rPr>
          <w:rFonts w:hint="cs"/>
          <w:rtl/>
        </w:rPr>
        <w:t xml:space="preserve">יש </w:t>
      </w:r>
      <w:bookmarkStart w:id="56000" w:name="_ETM_Q102_587529"/>
      <w:bookmarkEnd w:id="56000"/>
      <w:r>
        <w:rPr>
          <w:rFonts w:hint="cs"/>
          <w:rtl/>
        </w:rPr>
        <w:t xml:space="preserve">סיכוי </w:t>
      </w:r>
      <w:bookmarkStart w:id="56001" w:name="_ETM_Q102_588190"/>
      <w:bookmarkEnd w:id="56001"/>
      <w:r>
        <w:rPr>
          <w:rFonts w:hint="cs"/>
          <w:rtl/>
        </w:rPr>
        <w:t xml:space="preserve">למנכ"לית אישה </w:t>
      </w:r>
      <w:bookmarkStart w:id="56002" w:name="_ETM_Q102_589240"/>
      <w:bookmarkEnd w:id="56002"/>
      <w:r>
        <w:rPr>
          <w:rFonts w:hint="cs"/>
          <w:rtl/>
        </w:rPr>
        <w:t xml:space="preserve">דווקא, </w:t>
      </w:r>
      <w:bookmarkStart w:id="56003" w:name="_ETM_Q102_590270"/>
      <w:bookmarkEnd w:id="56003"/>
      <w:r>
        <w:rPr>
          <w:rFonts w:hint="cs"/>
          <w:rtl/>
        </w:rPr>
        <w:t xml:space="preserve">כי </w:t>
      </w:r>
      <w:bookmarkStart w:id="56004" w:name="_ETM_Q102_590779"/>
      <w:bookmarkEnd w:id="56004"/>
      <w:r>
        <w:rPr>
          <w:rFonts w:hint="cs"/>
          <w:rtl/>
        </w:rPr>
        <w:t xml:space="preserve">אילנה </w:t>
      </w:r>
      <w:bookmarkStart w:id="56005" w:name="_ETM_Q102_591189"/>
      <w:bookmarkEnd w:id="56005"/>
      <w:r>
        <w:rPr>
          <w:rFonts w:hint="cs"/>
          <w:rtl/>
        </w:rPr>
        <w:t>ספורטה</w:t>
      </w:r>
      <w:r w:rsidR="00942E30">
        <w:rPr>
          <w:rFonts w:hint="cs"/>
          <w:rtl/>
        </w:rPr>
        <w:t>,</w:t>
      </w:r>
      <w:r>
        <w:rPr>
          <w:rFonts w:hint="cs"/>
          <w:rtl/>
        </w:rPr>
        <w:t xml:space="preserve"> </w:t>
      </w:r>
      <w:bookmarkStart w:id="56006" w:name="_ETM_Q102_591880"/>
      <w:bookmarkEnd w:id="56006"/>
      <w:r>
        <w:rPr>
          <w:rFonts w:hint="cs"/>
          <w:rtl/>
        </w:rPr>
        <w:t xml:space="preserve">ששלחה </w:t>
      </w:r>
      <w:bookmarkStart w:id="56007" w:name="_ETM_Q102_592420"/>
      <w:bookmarkEnd w:id="56007"/>
      <w:r>
        <w:rPr>
          <w:rFonts w:hint="cs"/>
          <w:rtl/>
        </w:rPr>
        <w:t xml:space="preserve">מכתבי </w:t>
      </w:r>
      <w:bookmarkStart w:id="56008" w:name="_ETM_Q102_592869"/>
      <w:bookmarkEnd w:id="56008"/>
      <w:r>
        <w:rPr>
          <w:rFonts w:hint="cs"/>
          <w:rtl/>
        </w:rPr>
        <w:t xml:space="preserve">איומים </w:t>
      </w:r>
      <w:bookmarkStart w:id="56009" w:name="_ETM_Q102_593259"/>
      <w:bookmarkEnd w:id="56009"/>
      <w:r>
        <w:rPr>
          <w:rFonts w:hint="cs"/>
          <w:rtl/>
        </w:rPr>
        <w:t xml:space="preserve">לראש </w:t>
      </w:r>
      <w:bookmarkStart w:id="56010" w:name="_ETM_Q102_593560"/>
      <w:bookmarkEnd w:id="56010"/>
      <w:r>
        <w:rPr>
          <w:rFonts w:hint="cs"/>
          <w:rtl/>
        </w:rPr>
        <w:t xml:space="preserve">הממשלה </w:t>
      </w:r>
      <w:bookmarkStart w:id="56011" w:name="_ETM_Q102_594069"/>
      <w:bookmarkEnd w:id="56011"/>
      <w:r>
        <w:rPr>
          <w:rFonts w:hint="cs"/>
          <w:rtl/>
        </w:rPr>
        <w:t xml:space="preserve">לשעבר </w:t>
      </w:r>
      <w:bookmarkStart w:id="56012" w:name="_ETM_Q102_594639"/>
      <w:bookmarkEnd w:id="56012"/>
      <w:r>
        <w:rPr>
          <w:rFonts w:hint="cs"/>
          <w:rtl/>
        </w:rPr>
        <w:t xml:space="preserve">נפתלי </w:t>
      </w:r>
      <w:bookmarkStart w:id="56013" w:name="_ETM_Q102_595060"/>
      <w:bookmarkEnd w:id="56013"/>
      <w:r>
        <w:rPr>
          <w:rFonts w:hint="cs"/>
          <w:rtl/>
        </w:rPr>
        <w:t>בנט</w:t>
      </w:r>
      <w:r w:rsidR="00942E30">
        <w:rPr>
          <w:rFonts w:hint="cs"/>
          <w:rtl/>
        </w:rPr>
        <w:t>,</w:t>
      </w:r>
      <w:r>
        <w:rPr>
          <w:rFonts w:hint="cs"/>
          <w:rtl/>
        </w:rPr>
        <w:t xml:space="preserve"> </w:t>
      </w:r>
      <w:bookmarkStart w:id="56014" w:name="_ETM_Q102_595749"/>
      <w:bookmarkEnd w:id="56014"/>
      <w:r>
        <w:rPr>
          <w:rFonts w:hint="cs"/>
          <w:rtl/>
        </w:rPr>
        <w:t xml:space="preserve">כבר </w:t>
      </w:r>
      <w:bookmarkStart w:id="56015" w:name="_ETM_Q102_596049"/>
      <w:bookmarkEnd w:id="56015"/>
      <w:r>
        <w:rPr>
          <w:rFonts w:hint="cs"/>
          <w:rtl/>
        </w:rPr>
        <w:t xml:space="preserve">די </w:t>
      </w:r>
      <w:bookmarkStart w:id="56016" w:name="_ETM_Q102_596259"/>
      <w:bookmarkStart w:id="56017" w:name="_ETM_Q102_596799"/>
      <w:bookmarkEnd w:id="56016"/>
      <w:bookmarkEnd w:id="56017"/>
      <w:r>
        <w:rPr>
          <w:rFonts w:hint="cs"/>
          <w:rtl/>
        </w:rPr>
        <w:t xml:space="preserve">בקיאה </w:t>
      </w:r>
      <w:bookmarkStart w:id="56018" w:name="_ETM_Q102_597429"/>
      <w:bookmarkEnd w:id="56018"/>
      <w:r>
        <w:rPr>
          <w:rFonts w:hint="cs"/>
          <w:rtl/>
        </w:rPr>
        <w:t xml:space="preserve">בתחום </w:t>
      </w:r>
      <w:bookmarkStart w:id="56019" w:name="_ETM_Q102_598089"/>
      <w:bookmarkEnd w:id="56019"/>
      <w:r>
        <w:rPr>
          <w:rFonts w:hint="cs"/>
          <w:rtl/>
        </w:rPr>
        <w:t xml:space="preserve">הדואר. </w:t>
      </w:r>
      <w:bookmarkStart w:id="56020" w:name="_ETM_Q102_600549"/>
      <w:bookmarkEnd w:id="56020"/>
      <w:r>
        <w:rPr>
          <w:rFonts w:hint="cs"/>
          <w:rtl/>
        </w:rPr>
        <w:t xml:space="preserve">לתפקיד </w:t>
      </w:r>
      <w:bookmarkStart w:id="56021" w:name="_ETM_Q102_601179"/>
      <w:bookmarkEnd w:id="56021"/>
      <w:r>
        <w:rPr>
          <w:rFonts w:hint="cs"/>
          <w:rtl/>
        </w:rPr>
        <w:t xml:space="preserve">יו"ר </w:t>
      </w:r>
      <w:bookmarkStart w:id="56022" w:name="_ETM_Q102_601569"/>
      <w:bookmarkEnd w:id="56022"/>
      <w:r>
        <w:rPr>
          <w:rFonts w:hint="cs"/>
          <w:rtl/>
        </w:rPr>
        <w:t xml:space="preserve">יד </w:t>
      </w:r>
      <w:bookmarkStart w:id="56023" w:name="_ETM_Q102_601779"/>
      <w:bookmarkEnd w:id="56023"/>
      <w:r>
        <w:rPr>
          <w:rFonts w:hint="cs"/>
          <w:rtl/>
        </w:rPr>
        <w:t xml:space="preserve">ושם </w:t>
      </w:r>
      <w:bookmarkStart w:id="56024" w:name="_ETM_Q102_602169"/>
      <w:bookmarkEnd w:id="56024"/>
      <w:r>
        <w:rPr>
          <w:rFonts w:hint="cs"/>
          <w:rtl/>
        </w:rPr>
        <w:t xml:space="preserve">כמובן </w:t>
      </w:r>
      <w:bookmarkStart w:id="56025" w:name="_ETM_Q102_602739"/>
      <w:bookmarkEnd w:id="56025"/>
      <w:r>
        <w:rPr>
          <w:rFonts w:hint="cs"/>
          <w:rtl/>
        </w:rPr>
        <w:t xml:space="preserve">שלא </w:t>
      </w:r>
      <w:bookmarkStart w:id="56026" w:name="_ETM_Q102_603069"/>
      <w:bookmarkEnd w:id="56026"/>
      <w:r>
        <w:rPr>
          <w:rFonts w:hint="cs"/>
          <w:rtl/>
        </w:rPr>
        <w:t xml:space="preserve">אתפלא </w:t>
      </w:r>
      <w:bookmarkStart w:id="56027" w:name="_ETM_Q102_604149"/>
      <w:bookmarkEnd w:id="56027"/>
      <w:r>
        <w:rPr>
          <w:rFonts w:hint="cs"/>
          <w:rtl/>
        </w:rPr>
        <w:t xml:space="preserve">אם </w:t>
      </w:r>
      <w:bookmarkStart w:id="56028" w:name="_ETM_Q102_604329"/>
      <w:bookmarkEnd w:id="56028"/>
      <w:r>
        <w:rPr>
          <w:rFonts w:hint="cs"/>
          <w:rtl/>
        </w:rPr>
        <w:t xml:space="preserve">תמנו </w:t>
      </w:r>
      <w:bookmarkStart w:id="56029" w:name="_ETM_Q102_604749"/>
      <w:bookmarkEnd w:id="56029"/>
      <w:r>
        <w:rPr>
          <w:rFonts w:hint="cs"/>
          <w:rtl/>
        </w:rPr>
        <w:t xml:space="preserve">את </w:t>
      </w:r>
      <w:bookmarkStart w:id="56030" w:name="_ETM_Q102_604869"/>
      <w:bookmarkEnd w:id="56030"/>
      <w:r>
        <w:rPr>
          <w:rFonts w:hint="cs"/>
          <w:rtl/>
        </w:rPr>
        <w:t xml:space="preserve">איציק </w:t>
      </w:r>
      <w:bookmarkStart w:id="56031" w:name="_ETM_Q102_605200"/>
      <w:bookmarkEnd w:id="56031"/>
      <w:r>
        <w:rPr>
          <w:rFonts w:hint="cs"/>
          <w:rtl/>
        </w:rPr>
        <w:t xml:space="preserve">זרקא, </w:t>
      </w:r>
      <w:bookmarkStart w:id="56032" w:name="_ETM_Q102_605920"/>
      <w:bookmarkEnd w:id="56032"/>
      <w:r>
        <w:rPr>
          <w:rFonts w:hint="cs"/>
          <w:rtl/>
        </w:rPr>
        <w:t xml:space="preserve">שכולנו </w:t>
      </w:r>
      <w:bookmarkStart w:id="56033" w:name="_ETM_Q102_606520"/>
      <w:bookmarkEnd w:id="56033"/>
      <w:r>
        <w:rPr>
          <w:rFonts w:hint="cs"/>
          <w:rtl/>
        </w:rPr>
        <w:t xml:space="preserve">שמענו </w:t>
      </w:r>
      <w:bookmarkStart w:id="56034" w:name="_ETM_Q102_607029"/>
      <w:bookmarkEnd w:id="56034"/>
      <w:r>
        <w:rPr>
          <w:rFonts w:hint="cs"/>
          <w:rtl/>
        </w:rPr>
        <w:t xml:space="preserve">שהנושא </w:t>
      </w:r>
      <w:bookmarkStart w:id="56035" w:name="_ETM_Q102_607659"/>
      <w:bookmarkEnd w:id="56035"/>
      <w:r>
        <w:rPr>
          <w:rFonts w:hint="cs"/>
          <w:rtl/>
        </w:rPr>
        <w:t xml:space="preserve">קרוב </w:t>
      </w:r>
      <w:bookmarkStart w:id="56036" w:name="_ETM_Q102_608049"/>
      <w:bookmarkEnd w:id="56036"/>
      <w:r>
        <w:rPr>
          <w:rFonts w:hint="cs"/>
          <w:rtl/>
        </w:rPr>
        <w:t xml:space="preserve">מאוד </w:t>
      </w:r>
      <w:bookmarkStart w:id="56037" w:name="_ETM_Q102_609770"/>
      <w:bookmarkEnd w:id="56037"/>
      <w:r>
        <w:rPr>
          <w:rFonts w:hint="cs"/>
          <w:rtl/>
        </w:rPr>
        <w:t xml:space="preserve">לליבו. </w:t>
      </w:r>
      <w:bookmarkStart w:id="56038" w:name="_ETM_Q102_610679"/>
      <w:bookmarkStart w:id="56039" w:name="_ETM_Q102_610819"/>
      <w:bookmarkStart w:id="56040" w:name="_ETM_Q102_610934"/>
      <w:bookmarkStart w:id="56041" w:name="_ETM_Q102_611027"/>
      <w:bookmarkEnd w:id="56038"/>
      <w:bookmarkEnd w:id="56039"/>
      <w:bookmarkEnd w:id="56040"/>
      <w:bookmarkEnd w:id="56041"/>
      <w:r>
        <w:rPr>
          <w:rFonts w:hint="cs"/>
          <w:rtl/>
        </w:rPr>
        <w:t xml:space="preserve">אני </w:t>
      </w:r>
      <w:bookmarkStart w:id="56042" w:name="_ETM_Q102_610010"/>
      <w:bookmarkEnd w:id="56042"/>
      <w:r>
        <w:rPr>
          <w:rFonts w:hint="cs"/>
          <w:rtl/>
        </w:rPr>
        <w:t xml:space="preserve">מקווה </w:t>
      </w:r>
      <w:bookmarkStart w:id="56043" w:name="_ETM_Q102_610640"/>
      <w:bookmarkEnd w:id="56043"/>
      <w:r>
        <w:rPr>
          <w:rFonts w:hint="cs"/>
          <w:rtl/>
        </w:rPr>
        <w:t xml:space="preserve">גם </w:t>
      </w:r>
      <w:bookmarkStart w:id="56044" w:name="_ETM_Q102_611030"/>
      <w:bookmarkEnd w:id="56044"/>
      <w:r>
        <w:rPr>
          <w:rFonts w:hint="cs"/>
          <w:rtl/>
        </w:rPr>
        <w:t xml:space="preserve">שתדאגו </w:t>
      </w:r>
      <w:bookmarkStart w:id="56045" w:name="_ETM_Q102_611630"/>
      <w:bookmarkEnd w:id="56045"/>
      <w:r>
        <w:rPr>
          <w:rFonts w:hint="cs"/>
          <w:rtl/>
        </w:rPr>
        <w:t xml:space="preserve">לסביבה, </w:t>
      </w:r>
      <w:bookmarkStart w:id="56046" w:name="_ETM_Q102_612810"/>
      <w:bookmarkEnd w:id="56046"/>
      <w:r>
        <w:rPr>
          <w:rFonts w:hint="cs"/>
          <w:rtl/>
        </w:rPr>
        <w:t xml:space="preserve">ולמנהל </w:t>
      </w:r>
      <w:bookmarkStart w:id="56047" w:name="_ETM_Q102_613469"/>
      <w:bookmarkEnd w:id="56047"/>
      <w:r>
        <w:rPr>
          <w:rFonts w:hint="cs"/>
          <w:rtl/>
        </w:rPr>
        <w:t xml:space="preserve">רשות </w:t>
      </w:r>
      <w:bookmarkStart w:id="56048" w:name="_ETM_Q102_613890"/>
      <w:bookmarkEnd w:id="56048"/>
      <w:r>
        <w:rPr>
          <w:rFonts w:hint="cs"/>
          <w:rtl/>
        </w:rPr>
        <w:t xml:space="preserve">הטבע </w:t>
      </w:r>
      <w:bookmarkStart w:id="56049" w:name="_ETM_Q102_614250"/>
      <w:bookmarkEnd w:id="56049"/>
      <w:r>
        <w:rPr>
          <w:rFonts w:hint="cs"/>
          <w:rtl/>
        </w:rPr>
        <w:t xml:space="preserve">והגנים </w:t>
      </w:r>
      <w:bookmarkStart w:id="56050" w:name="_ETM_Q102_614849"/>
      <w:bookmarkEnd w:id="56050"/>
      <w:r>
        <w:rPr>
          <w:rFonts w:hint="cs"/>
          <w:rtl/>
        </w:rPr>
        <w:t xml:space="preserve">הבא </w:t>
      </w:r>
      <w:bookmarkStart w:id="56051" w:name="_ETM_Q102_615519"/>
      <w:bookmarkEnd w:id="56051"/>
      <w:r>
        <w:rPr>
          <w:rFonts w:hint="cs"/>
          <w:rtl/>
        </w:rPr>
        <w:t xml:space="preserve">תוכלו </w:t>
      </w:r>
      <w:bookmarkStart w:id="56052" w:name="_ETM_Q102_616390"/>
      <w:bookmarkEnd w:id="56052"/>
      <w:r>
        <w:rPr>
          <w:rFonts w:hint="cs"/>
          <w:rtl/>
        </w:rPr>
        <w:t xml:space="preserve">למנות </w:t>
      </w:r>
      <w:bookmarkStart w:id="56053" w:name="_ETM_Q102_616989"/>
      <w:bookmarkEnd w:id="56053"/>
      <w:r>
        <w:rPr>
          <w:rFonts w:hint="cs"/>
          <w:rtl/>
        </w:rPr>
        <w:t xml:space="preserve">את </w:t>
      </w:r>
      <w:bookmarkStart w:id="56054" w:name="_ETM_Q102_617170"/>
      <w:bookmarkEnd w:id="56054"/>
      <w:r>
        <w:rPr>
          <w:rFonts w:hint="cs"/>
          <w:rtl/>
        </w:rPr>
        <w:t xml:space="preserve">מופאסה, </w:t>
      </w:r>
      <w:bookmarkStart w:id="56055" w:name="_ETM_Q102_617560"/>
      <w:bookmarkStart w:id="56056" w:name="_ETM_Q102_618280"/>
      <w:bookmarkEnd w:id="56055"/>
      <w:bookmarkEnd w:id="56056"/>
      <w:r>
        <w:rPr>
          <w:rFonts w:hint="cs"/>
          <w:rtl/>
        </w:rPr>
        <w:t xml:space="preserve">אבא </w:t>
      </w:r>
      <w:bookmarkStart w:id="56057" w:name="_ETM_Q102_618549"/>
      <w:bookmarkEnd w:id="56057"/>
      <w:r>
        <w:rPr>
          <w:rFonts w:hint="cs"/>
          <w:rtl/>
        </w:rPr>
        <w:t xml:space="preserve">של </w:t>
      </w:r>
      <w:bookmarkStart w:id="56058" w:name="_ETM_Q102_618730"/>
      <w:bookmarkEnd w:id="56058"/>
      <w:r>
        <w:rPr>
          <w:rFonts w:hint="cs"/>
          <w:rtl/>
        </w:rPr>
        <w:t xml:space="preserve">סימבה. </w:t>
      </w:r>
      <w:bookmarkStart w:id="56059" w:name="_ETM_Q102_619629"/>
      <w:bookmarkEnd w:id="56059"/>
      <w:r>
        <w:rPr>
          <w:rFonts w:hint="cs"/>
          <w:rtl/>
        </w:rPr>
        <w:t xml:space="preserve">אני </w:t>
      </w:r>
      <w:bookmarkStart w:id="56060" w:name="_ETM_Q102_619930"/>
      <w:bookmarkEnd w:id="56060"/>
      <w:r>
        <w:rPr>
          <w:rFonts w:hint="cs"/>
          <w:rtl/>
        </w:rPr>
        <w:t xml:space="preserve">לא </w:t>
      </w:r>
      <w:bookmarkStart w:id="56061" w:name="_ETM_Q102_620049"/>
      <w:bookmarkEnd w:id="56061"/>
      <w:r>
        <w:rPr>
          <w:rFonts w:hint="cs"/>
          <w:rtl/>
        </w:rPr>
        <w:t xml:space="preserve">אשקר, </w:t>
      </w:r>
      <w:bookmarkStart w:id="56062" w:name="_ETM_Q102_620260"/>
      <w:bookmarkStart w:id="56063" w:name="_ETM_Q102_620799"/>
      <w:bookmarkEnd w:id="56062"/>
      <w:bookmarkEnd w:id="56063"/>
      <w:r>
        <w:rPr>
          <w:rFonts w:hint="cs"/>
          <w:rtl/>
        </w:rPr>
        <w:t xml:space="preserve">מבין </w:t>
      </w:r>
      <w:bookmarkStart w:id="56064" w:name="_ETM_Q102_621250"/>
      <w:bookmarkEnd w:id="56064"/>
      <w:r>
        <w:rPr>
          <w:rFonts w:hint="cs"/>
          <w:rtl/>
        </w:rPr>
        <w:t xml:space="preserve">כל </w:t>
      </w:r>
      <w:bookmarkStart w:id="56065" w:name="_ETM_Q102_621939"/>
      <w:bookmarkEnd w:id="56065"/>
      <w:r>
        <w:rPr>
          <w:rFonts w:hint="cs"/>
          <w:rtl/>
        </w:rPr>
        <w:t xml:space="preserve">המינויים </w:t>
      </w:r>
      <w:bookmarkStart w:id="56066" w:name="_ETM_Q102_622540"/>
      <w:bookmarkEnd w:id="56066"/>
      <w:r>
        <w:rPr>
          <w:rFonts w:hint="cs"/>
          <w:rtl/>
        </w:rPr>
        <w:t xml:space="preserve">ההזויים </w:t>
      </w:r>
      <w:bookmarkStart w:id="56067" w:name="_ETM_Q102_623049"/>
      <w:bookmarkEnd w:id="56067"/>
      <w:r>
        <w:rPr>
          <w:rFonts w:hint="cs"/>
          <w:rtl/>
        </w:rPr>
        <w:t xml:space="preserve">שלכם </w:t>
      </w:r>
      <w:bookmarkStart w:id="56068" w:name="_ETM_Q102_623890"/>
      <w:bookmarkEnd w:id="56068"/>
      <w:r>
        <w:rPr>
          <w:rFonts w:hint="cs"/>
          <w:rtl/>
        </w:rPr>
        <w:t xml:space="preserve">הוא לפחות </w:t>
      </w:r>
      <w:bookmarkStart w:id="56069" w:name="_ETM_Q102_624490"/>
      <w:bookmarkEnd w:id="56069"/>
      <w:r>
        <w:rPr>
          <w:rFonts w:hint="cs"/>
          <w:rtl/>
        </w:rPr>
        <w:t xml:space="preserve">הוכיח </w:t>
      </w:r>
      <w:bookmarkStart w:id="56070" w:name="_ETM_Q102_625360"/>
      <w:bookmarkEnd w:id="56070"/>
      <w:r>
        <w:rPr>
          <w:rFonts w:hint="cs"/>
          <w:rtl/>
        </w:rPr>
        <w:t xml:space="preserve">שהוא </w:t>
      </w:r>
      <w:bookmarkStart w:id="56071" w:name="_ETM_Q102_625630"/>
      <w:bookmarkEnd w:id="56071"/>
      <w:r>
        <w:rPr>
          <w:rFonts w:hint="cs"/>
          <w:rtl/>
        </w:rPr>
        <w:t xml:space="preserve">לוקח </w:t>
      </w:r>
      <w:bookmarkStart w:id="56072" w:name="_ETM_Q102_626110"/>
      <w:bookmarkEnd w:id="56072"/>
      <w:r>
        <w:rPr>
          <w:rFonts w:hint="cs"/>
          <w:rtl/>
        </w:rPr>
        <w:t xml:space="preserve">אחריות </w:t>
      </w:r>
      <w:bookmarkStart w:id="56073" w:name="_ETM_Q102_626590"/>
      <w:bookmarkEnd w:id="56073"/>
      <w:r>
        <w:rPr>
          <w:rFonts w:hint="cs"/>
          <w:rtl/>
        </w:rPr>
        <w:t xml:space="preserve">על </w:t>
      </w:r>
      <w:bookmarkStart w:id="56074" w:name="_ETM_Q102_626710"/>
      <w:bookmarkEnd w:id="56074"/>
      <w:r>
        <w:rPr>
          <w:rFonts w:hint="cs"/>
          <w:rtl/>
        </w:rPr>
        <w:t xml:space="preserve">המעשים </w:t>
      </w:r>
      <w:bookmarkStart w:id="56075" w:name="_ETM_Q102_627160"/>
      <w:bookmarkEnd w:id="56075"/>
      <w:r>
        <w:rPr>
          <w:rFonts w:hint="cs"/>
          <w:rtl/>
        </w:rPr>
        <w:t xml:space="preserve">שלו. </w:t>
      </w:r>
      <w:bookmarkStart w:id="56076" w:name="_ETM_Q102_628470"/>
      <w:bookmarkEnd w:id="56076"/>
    </w:p>
    <w:p w:rsidR="00BB59CD" w:rsidRDefault="00BB59CD" w:rsidP="00BB59CD">
      <w:pPr>
        <w:rPr>
          <w:rtl/>
        </w:rPr>
      </w:pPr>
      <w:bookmarkStart w:id="56077" w:name="_ETM_Q102_628459"/>
      <w:bookmarkStart w:id="56078" w:name="_ETM_Q102_628554"/>
      <w:bookmarkEnd w:id="56077"/>
      <w:bookmarkEnd w:id="56078"/>
    </w:p>
    <w:p w:rsidR="00BB59CD" w:rsidRDefault="00BB59CD" w:rsidP="00BB59CD">
      <w:pPr>
        <w:rPr>
          <w:rtl/>
        </w:rPr>
      </w:pPr>
      <w:bookmarkStart w:id="56079" w:name="_ETM_Q102_628662"/>
      <w:bookmarkStart w:id="56080" w:name="_ETM_Q102_628749"/>
      <w:bookmarkEnd w:id="56079"/>
      <w:bookmarkEnd w:id="56080"/>
      <w:r>
        <w:rPr>
          <w:rFonts w:hint="cs"/>
          <w:rtl/>
        </w:rPr>
        <w:t xml:space="preserve">אני </w:t>
      </w:r>
      <w:bookmarkStart w:id="56081" w:name="_ETM_Q102_628740"/>
      <w:bookmarkEnd w:id="56081"/>
      <w:r>
        <w:rPr>
          <w:rFonts w:hint="cs"/>
          <w:rtl/>
        </w:rPr>
        <w:t xml:space="preserve">גם </w:t>
      </w:r>
      <w:bookmarkStart w:id="56082" w:name="_ETM_Q102_628920"/>
      <w:bookmarkEnd w:id="56082"/>
      <w:r>
        <w:rPr>
          <w:rFonts w:hint="cs"/>
          <w:rtl/>
        </w:rPr>
        <w:t xml:space="preserve">תוהה </w:t>
      </w:r>
      <w:bookmarkStart w:id="56083" w:name="_ETM_Q102_629730"/>
      <w:bookmarkEnd w:id="56083"/>
      <w:r>
        <w:rPr>
          <w:rFonts w:hint="cs"/>
          <w:rtl/>
        </w:rPr>
        <w:t xml:space="preserve">אם </w:t>
      </w:r>
      <w:bookmarkStart w:id="56084" w:name="_ETM_Q102_629940"/>
      <w:bookmarkEnd w:id="56084"/>
      <w:r>
        <w:rPr>
          <w:rFonts w:hint="cs"/>
          <w:rtl/>
        </w:rPr>
        <w:t xml:space="preserve">יש </w:t>
      </w:r>
      <w:bookmarkStart w:id="56085" w:name="_ETM_Q102_630150"/>
      <w:bookmarkEnd w:id="56085"/>
      <w:r>
        <w:rPr>
          <w:rFonts w:hint="cs"/>
          <w:rtl/>
        </w:rPr>
        <w:t xml:space="preserve">סיכוי </w:t>
      </w:r>
      <w:bookmarkStart w:id="56086" w:name="_ETM_Q102_630570"/>
      <w:bookmarkEnd w:id="56086"/>
      <w:r>
        <w:rPr>
          <w:rFonts w:hint="cs"/>
          <w:rtl/>
        </w:rPr>
        <w:t xml:space="preserve">לסבב </w:t>
      </w:r>
      <w:bookmarkStart w:id="56087" w:name="_ETM_Q102_631110"/>
      <w:bookmarkEnd w:id="56087"/>
      <w:r>
        <w:rPr>
          <w:rFonts w:hint="cs"/>
          <w:rtl/>
        </w:rPr>
        <w:t xml:space="preserve">מינויים </w:t>
      </w:r>
      <w:bookmarkStart w:id="56088" w:name="_ETM_Q102_631530"/>
      <w:bookmarkEnd w:id="56088"/>
      <w:r>
        <w:rPr>
          <w:rFonts w:hint="cs"/>
          <w:rtl/>
        </w:rPr>
        <w:t xml:space="preserve">חדשים </w:t>
      </w:r>
      <w:bookmarkStart w:id="56089" w:name="_ETM_Q102_631950"/>
      <w:bookmarkEnd w:id="56089"/>
      <w:r>
        <w:rPr>
          <w:rFonts w:hint="cs"/>
          <w:rtl/>
        </w:rPr>
        <w:t xml:space="preserve">בממשלה – </w:t>
      </w:r>
      <w:bookmarkStart w:id="56090" w:name="_ETM_Q102_633599"/>
      <w:bookmarkEnd w:id="56090"/>
      <w:r>
        <w:rPr>
          <w:rFonts w:hint="cs"/>
          <w:rtl/>
        </w:rPr>
        <w:t xml:space="preserve">לתפקיד </w:t>
      </w:r>
      <w:bookmarkStart w:id="56091" w:name="_ETM_Q102_633989"/>
      <w:bookmarkEnd w:id="56091"/>
      <w:r>
        <w:rPr>
          <w:rFonts w:hint="cs"/>
          <w:rtl/>
        </w:rPr>
        <w:t xml:space="preserve">שר </w:t>
      </w:r>
      <w:bookmarkStart w:id="56092" w:name="_ETM_Q102_634319"/>
      <w:bookmarkEnd w:id="56092"/>
      <w:r>
        <w:rPr>
          <w:rFonts w:hint="cs"/>
          <w:rtl/>
        </w:rPr>
        <w:t xml:space="preserve">התיקון </w:t>
      </w:r>
      <w:bookmarkStart w:id="56093" w:name="_ETM_Q102_635340"/>
      <w:bookmarkEnd w:id="56093"/>
      <w:r>
        <w:rPr>
          <w:rFonts w:hint="cs"/>
          <w:rtl/>
        </w:rPr>
        <w:t xml:space="preserve">בואו </w:t>
      </w:r>
      <w:bookmarkStart w:id="56094" w:name="_ETM_Q102_635670"/>
      <w:bookmarkEnd w:id="56094"/>
      <w:r>
        <w:rPr>
          <w:rFonts w:hint="cs"/>
          <w:rtl/>
        </w:rPr>
        <w:t xml:space="preserve">נמנה </w:t>
      </w:r>
      <w:bookmarkStart w:id="56095" w:name="_ETM_Q102_636120"/>
      <w:bookmarkEnd w:id="56095"/>
      <w:r>
        <w:rPr>
          <w:rFonts w:hint="cs"/>
          <w:rtl/>
        </w:rPr>
        <w:t xml:space="preserve">את </w:t>
      </w:r>
      <w:bookmarkStart w:id="56096" w:name="_ETM_Q102_636209"/>
      <w:bookmarkEnd w:id="56096"/>
      <w:r>
        <w:rPr>
          <w:rFonts w:hint="cs"/>
          <w:rtl/>
        </w:rPr>
        <w:t xml:space="preserve">בוב </w:t>
      </w:r>
      <w:bookmarkStart w:id="56097" w:name="_ETM_Q102_636480"/>
      <w:bookmarkEnd w:id="56097"/>
      <w:r>
        <w:rPr>
          <w:rFonts w:hint="cs"/>
          <w:rtl/>
        </w:rPr>
        <w:t xml:space="preserve">הבנאי; </w:t>
      </w:r>
      <w:bookmarkStart w:id="56098" w:name="_ETM_Q102_637579"/>
      <w:bookmarkEnd w:id="56098"/>
      <w:r>
        <w:rPr>
          <w:rFonts w:hint="cs"/>
          <w:rtl/>
        </w:rPr>
        <w:t xml:space="preserve">לתפקיד </w:t>
      </w:r>
      <w:bookmarkStart w:id="56099" w:name="_ETM_Q102_638150"/>
      <w:bookmarkEnd w:id="56099"/>
      <w:r>
        <w:rPr>
          <w:rFonts w:hint="cs"/>
          <w:rtl/>
        </w:rPr>
        <w:t xml:space="preserve">שר </w:t>
      </w:r>
      <w:bookmarkStart w:id="56100" w:name="_ETM_Q102_638420"/>
      <w:bookmarkEnd w:id="56100"/>
      <w:r>
        <w:rPr>
          <w:rFonts w:hint="cs"/>
          <w:rtl/>
        </w:rPr>
        <w:t xml:space="preserve">התחבורה </w:t>
      </w:r>
      <w:bookmarkStart w:id="56101" w:name="_ETM_Q102_639469"/>
      <w:bookmarkEnd w:id="56101"/>
      <w:r>
        <w:rPr>
          <w:rFonts w:hint="cs"/>
          <w:rtl/>
        </w:rPr>
        <w:t xml:space="preserve">– את </w:t>
      </w:r>
      <w:bookmarkStart w:id="56102" w:name="_ETM_Q102_639650"/>
      <w:bookmarkEnd w:id="56102"/>
      <w:r>
        <w:rPr>
          <w:rFonts w:hint="cs"/>
          <w:rtl/>
        </w:rPr>
        <w:t xml:space="preserve">תומס </w:t>
      </w:r>
      <w:bookmarkStart w:id="56103" w:name="_ETM_Q102_640010"/>
      <w:bookmarkEnd w:id="56103"/>
      <w:r>
        <w:rPr>
          <w:rFonts w:hint="cs"/>
          <w:rtl/>
        </w:rPr>
        <w:t xml:space="preserve">הקטר; </w:t>
      </w:r>
      <w:bookmarkStart w:id="56104" w:name="_ETM_Q102_641050"/>
      <w:bookmarkEnd w:id="56104"/>
      <w:r>
        <w:rPr>
          <w:rFonts w:hint="cs"/>
          <w:rtl/>
        </w:rPr>
        <w:t xml:space="preserve">לתפקיד </w:t>
      </w:r>
      <w:bookmarkStart w:id="56105" w:name="_ETM_Q102_641680"/>
      <w:bookmarkEnd w:id="56105"/>
      <w:r>
        <w:rPr>
          <w:rFonts w:hint="cs"/>
          <w:rtl/>
        </w:rPr>
        <w:t xml:space="preserve">שר </w:t>
      </w:r>
      <w:bookmarkStart w:id="56106" w:name="_ETM_Q102_641920"/>
      <w:bookmarkEnd w:id="56106"/>
      <w:r>
        <w:rPr>
          <w:rFonts w:hint="cs"/>
          <w:rtl/>
        </w:rPr>
        <w:t xml:space="preserve">הטבעות </w:t>
      </w:r>
      <w:bookmarkStart w:id="56107" w:name="_ETM_Q102_642790"/>
      <w:bookmarkEnd w:id="56107"/>
      <w:r>
        <w:rPr>
          <w:rFonts w:hint="cs"/>
          <w:rtl/>
        </w:rPr>
        <w:t xml:space="preserve">– את </w:t>
      </w:r>
      <w:bookmarkStart w:id="56108" w:name="_ETM_Q102_643030"/>
      <w:bookmarkEnd w:id="56108"/>
      <w:r>
        <w:rPr>
          <w:rFonts w:hint="cs"/>
          <w:rtl/>
        </w:rPr>
        <w:t xml:space="preserve">ארנון </w:t>
      </w:r>
      <w:bookmarkStart w:id="56109" w:name="_ETM_Q102_643390"/>
      <w:bookmarkEnd w:id="56109"/>
      <w:r>
        <w:rPr>
          <w:rFonts w:hint="cs"/>
          <w:rtl/>
        </w:rPr>
        <w:t xml:space="preserve">מילצ'ן, </w:t>
      </w:r>
      <w:bookmarkStart w:id="56110" w:name="_ETM_Q102_644140"/>
      <w:bookmarkEnd w:id="56110"/>
      <w:r>
        <w:rPr>
          <w:rFonts w:hint="cs"/>
          <w:rtl/>
        </w:rPr>
        <w:t xml:space="preserve">שהרי </w:t>
      </w:r>
      <w:bookmarkStart w:id="56111" w:name="_ETM_Q102_644800"/>
      <w:bookmarkEnd w:id="56111"/>
      <w:r>
        <w:rPr>
          <w:rFonts w:hint="cs"/>
          <w:rtl/>
        </w:rPr>
        <w:t xml:space="preserve">הוא </w:t>
      </w:r>
      <w:bookmarkStart w:id="56112" w:name="_ETM_Q102_644950"/>
      <w:bookmarkEnd w:id="56112"/>
      <w:r>
        <w:rPr>
          <w:rFonts w:hint="cs"/>
          <w:rtl/>
        </w:rPr>
        <w:t xml:space="preserve">יודע </w:t>
      </w:r>
      <w:bookmarkStart w:id="56113" w:name="_ETM_Q102_645340"/>
      <w:bookmarkEnd w:id="56113"/>
      <w:r>
        <w:rPr>
          <w:rFonts w:hint="cs"/>
          <w:rtl/>
        </w:rPr>
        <w:t xml:space="preserve">בדיוק </w:t>
      </w:r>
      <w:bookmarkStart w:id="56114" w:name="_ETM_Q102_646030"/>
      <w:bookmarkEnd w:id="56114"/>
      <w:r>
        <w:rPr>
          <w:rFonts w:hint="cs"/>
          <w:rtl/>
        </w:rPr>
        <w:t xml:space="preserve">אילו </w:t>
      </w:r>
      <w:bookmarkStart w:id="56115" w:name="_ETM_Q102_646330"/>
      <w:bookmarkEnd w:id="56115"/>
      <w:r>
        <w:rPr>
          <w:rFonts w:hint="cs"/>
          <w:rtl/>
        </w:rPr>
        <w:t xml:space="preserve">תכשיטים </w:t>
      </w:r>
      <w:bookmarkStart w:id="56116" w:name="_ETM_Q102_646870"/>
      <w:bookmarkEnd w:id="56116"/>
      <w:r>
        <w:rPr>
          <w:rFonts w:hint="cs"/>
          <w:rtl/>
        </w:rPr>
        <w:t xml:space="preserve">צריך; </w:t>
      </w:r>
      <w:bookmarkStart w:id="56117" w:name="_ETM_Q102_648299"/>
      <w:bookmarkEnd w:id="56117"/>
      <w:r>
        <w:rPr>
          <w:rFonts w:hint="cs"/>
          <w:rtl/>
        </w:rPr>
        <w:t xml:space="preserve">לשר </w:t>
      </w:r>
      <w:bookmarkStart w:id="56118" w:name="_ETM_Q102_648749"/>
      <w:bookmarkEnd w:id="56118"/>
      <w:r>
        <w:rPr>
          <w:rFonts w:hint="cs"/>
          <w:rtl/>
        </w:rPr>
        <w:t xml:space="preserve">הבורסה </w:t>
      </w:r>
      <w:bookmarkStart w:id="56119" w:name="_ETM_Q102_649469"/>
      <w:bookmarkEnd w:id="56119"/>
      <w:r>
        <w:rPr>
          <w:rFonts w:hint="cs"/>
          <w:rtl/>
        </w:rPr>
        <w:t xml:space="preserve">אני </w:t>
      </w:r>
      <w:bookmarkStart w:id="56120" w:name="_ETM_Q102_649680"/>
      <w:bookmarkEnd w:id="56120"/>
      <w:r>
        <w:rPr>
          <w:rFonts w:hint="cs"/>
          <w:rtl/>
        </w:rPr>
        <w:t xml:space="preserve">מציעה </w:t>
      </w:r>
      <w:bookmarkStart w:id="56121" w:name="_ETM_Q102_650189"/>
      <w:bookmarkStart w:id="56122" w:name="_ETM_Q102_650760"/>
      <w:bookmarkEnd w:id="56121"/>
      <w:bookmarkEnd w:id="56122"/>
      <w:r>
        <w:rPr>
          <w:rFonts w:hint="cs"/>
          <w:rtl/>
        </w:rPr>
        <w:t xml:space="preserve">את ברני </w:t>
      </w:r>
      <w:bookmarkStart w:id="56123" w:name="_ETM_Q102_647041"/>
      <w:bookmarkEnd w:id="56123"/>
      <w:r>
        <w:rPr>
          <w:rFonts w:hint="cs"/>
          <w:rtl/>
        </w:rPr>
        <w:t xml:space="preserve">מיידוף, </w:t>
      </w:r>
      <w:bookmarkStart w:id="56124" w:name="_ETM_Q102_650830"/>
      <w:bookmarkStart w:id="56125" w:name="_ETM_Q102_651460"/>
      <w:bookmarkEnd w:id="56124"/>
      <w:bookmarkEnd w:id="56125"/>
      <w:r>
        <w:rPr>
          <w:rFonts w:hint="cs"/>
          <w:rtl/>
        </w:rPr>
        <w:t xml:space="preserve">עם </w:t>
      </w:r>
      <w:bookmarkStart w:id="56126" w:name="_ETM_Q102_651670"/>
      <w:bookmarkEnd w:id="56126"/>
      <w:r>
        <w:rPr>
          <w:rFonts w:hint="cs"/>
          <w:rtl/>
        </w:rPr>
        <w:t xml:space="preserve">רקע </w:t>
      </w:r>
      <w:bookmarkStart w:id="56127" w:name="_ETM_Q102_652090"/>
      <w:bookmarkEnd w:id="56127"/>
      <w:r>
        <w:rPr>
          <w:rFonts w:hint="cs"/>
          <w:rtl/>
        </w:rPr>
        <w:t xml:space="preserve">שתואם </w:t>
      </w:r>
      <w:bookmarkStart w:id="56128" w:name="_ETM_Q102_652810"/>
      <w:bookmarkEnd w:id="56128"/>
      <w:r>
        <w:rPr>
          <w:rFonts w:hint="cs"/>
          <w:rtl/>
        </w:rPr>
        <w:t xml:space="preserve">בדיוק </w:t>
      </w:r>
      <w:bookmarkStart w:id="56129" w:name="_ETM_Q102_653620"/>
      <w:bookmarkEnd w:id="56129"/>
      <w:r>
        <w:rPr>
          <w:rFonts w:hint="cs"/>
          <w:rtl/>
        </w:rPr>
        <w:t xml:space="preserve">את </w:t>
      </w:r>
      <w:bookmarkStart w:id="56130" w:name="_ETM_Q102_653830"/>
      <w:bookmarkEnd w:id="56130"/>
      <w:r>
        <w:rPr>
          <w:rFonts w:hint="cs"/>
          <w:rtl/>
        </w:rPr>
        <w:t xml:space="preserve">העתיד </w:t>
      </w:r>
      <w:bookmarkStart w:id="56131" w:name="_ETM_Q102_654160"/>
      <w:bookmarkEnd w:id="56131"/>
      <w:r>
        <w:rPr>
          <w:rFonts w:hint="cs"/>
          <w:rtl/>
        </w:rPr>
        <w:t xml:space="preserve">הכלכלי </w:t>
      </w:r>
      <w:bookmarkStart w:id="56132" w:name="_ETM_Q102_655240"/>
      <w:bookmarkEnd w:id="56132"/>
      <w:r>
        <w:rPr>
          <w:rFonts w:hint="cs"/>
          <w:rtl/>
        </w:rPr>
        <w:t xml:space="preserve">שאתם </w:t>
      </w:r>
      <w:bookmarkStart w:id="56133" w:name="_ETM_Q102_655660"/>
      <w:bookmarkEnd w:id="56133"/>
      <w:r>
        <w:rPr>
          <w:rFonts w:hint="cs"/>
          <w:rtl/>
        </w:rPr>
        <w:t xml:space="preserve">מייצרים </w:t>
      </w:r>
      <w:bookmarkStart w:id="56134" w:name="_ETM_Q102_656080"/>
      <w:bookmarkEnd w:id="56134"/>
      <w:r>
        <w:rPr>
          <w:rFonts w:hint="cs"/>
          <w:rtl/>
        </w:rPr>
        <w:t xml:space="preserve">כאן. </w:t>
      </w:r>
      <w:bookmarkStart w:id="56135" w:name="_ETM_Q102_657340"/>
      <w:bookmarkEnd w:id="56135"/>
    </w:p>
    <w:p w:rsidR="00BB59CD" w:rsidRDefault="00BB59CD" w:rsidP="00BB59CD">
      <w:pPr>
        <w:rPr>
          <w:rtl/>
        </w:rPr>
      </w:pPr>
      <w:bookmarkStart w:id="56136" w:name="_ETM_Q102_658314"/>
      <w:bookmarkStart w:id="56137" w:name="_ETM_Q102_658397"/>
      <w:bookmarkEnd w:id="56136"/>
      <w:bookmarkEnd w:id="56137"/>
    </w:p>
    <w:p w:rsidR="00BB59CD" w:rsidRDefault="00BB59CD" w:rsidP="00BB59CD">
      <w:pPr>
        <w:rPr>
          <w:rtl/>
        </w:rPr>
      </w:pPr>
      <w:bookmarkStart w:id="56138" w:name="_ETM_Q102_658544"/>
      <w:bookmarkStart w:id="56139" w:name="_ETM_Q102_658654"/>
      <w:bookmarkEnd w:id="56138"/>
      <w:bookmarkEnd w:id="56139"/>
      <w:r>
        <w:rPr>
          <w:rFonts w:hint="cs"/>
          <w:rtl/>
        </w:rPr>
        <w:t xml:space="preserve">אדוני </w:t>
      </w:r>
      <w:bookmarkStart w:id="56140" w:name="_ETM_Q102_657760"/>
      <w:bookmarkEnd w:id="56140"/>
      <w:r>
        <w:rPr>
          <w:rFonts w:hint="cs"/>
          <w:rtl/>
        </w:rPr>
        <w:t>היושב</w:t>
      </w:r>
      <w:bookmarkStart w:id="56141" w:name="_ETM_Q102_658120"/>
      <w:bookmarkEnd w:id="56141"/>
      <w:r>
        <w:rPr>
          <w:rFonts w:hint="cs"/>
          <w:rtl/>
        </w:rPr>
        <w:t xml:space="preserve"> בראש, </w:t>
      </w:r>
      <w:bookmarkStart w:id="56142" w:name="_ETM_Q102_658480"/>
      <w:bookmarkEnd w:id="56142"/>
      <w:r>
        <w:rPr>
          <w:rFonts w:hint="cs"/>
          <w:rtl/>
        </w:rPr>
        <w:t xml:space="preserve">אולי </w:t>
      </w:r>
      <w:bookmarkStart w:id="56143" w:name="_ETM_Q102_658750"/>
      <w:bookmarkEnd w:id="56143"/>
      <w:r>
        <w:rPr>
          <w:rFonts w:hint="cs"/>
          <w:rtl/>
        </w:rPr>
        <w:t xml:space="preserve">חלק </w:t>
      </w:r>
      <w:bookmarkStart w:id="56144" w:name="_ETM_Q102_659110"/>
      <w:bookmarkEnd w:id="56144"/>
      <w:r>
        <w:rPr>
          <w:rFonts w:hint="cs"/>
          <w:rtl/>
        </w:rPr>
        <w:t xml:space="preserve">מהאנשים </w:t>
      </w:r>
      <w:bookmarkStart w:id="56145" w:name="_ETM_Q102_659620"/>
      <w:bookmarkEnd w:id="56145"/>
      <w:r>
        <w:rPr>
          <w:rFonts w:hint="cs"/>
          <w:rtl/>
        </w:rPr>
        <w:t xml:space="preserve">שצופים </w:t>
      </w:r>
      <w:bookmarkStart w:id="56146" w:name="_ETM_Q102_660190"/>
      <w:bookmarkEnd w:id="56146"/>
      <w:r>
        <w:rPr>
          <w:rFonts w:hint="cs"/>
          <w:rtl/>
        </w:rPr>
        <w:t xml:space="preserve">בנו </w:t>
      </w:r>
      <w:bookmarkStart w:id="56147" w:name="_ETM_Q102_660700"/>
      <w:bookmarkEnd w:id="56147"/>
      <w:r>
        <w:rPr>
          <w:rFonts w:hint="cs"/>
          <w:rtl/>
        </w:rPr>
        <w:t xml:space="preserve">צוחקים </w:t>
      </w:r>
      <w:bookmarkStart w:id="56148" w:name="_ETM_Q102_661180"/>
      <w:bookmarkEnd w:id="56148"/>
      <w:r>
        <w:rPr>
          <w:rFonts w:hint="cs"/>
          <w:rtl/>
        </w:rPr>
        <w:t xml:space="preserve">וחושבים </w:t>
      </w:r>
      <w:bookmarkStart w:id="56149" w:name="_ETM_Q102_661630"/>
      <w:bookmarkEnd w:id="56149"/>
      <w:r>
        <w:rPr>
          <w:rFonts w:hint="cs"/>
          <w:rtl/>
        </w:rPr>
        <w:t xml:space="preserve">שמדובר </w:t>
      </w:r>
      <w:bookmarkStart w:id="56150" w:name="_ETM_Q102_662170"/>
      <w:bookmarkEnd w:id="56150"/>
      <w:r>
        <w:rPr>
          <w:rFonts w:hint="cs"/>
          <w:rtl/>
        </w:rPr>
        <w:t xml:space="preserve">בבדיחה, </w:t>
      </w:r>
      <w:bookmarkStart w:id="56151" w:name="_ETM_Q102_663069"/>
      <w:bookmarkEnd w:id="56151"/>
      <w:r>
        <w:rPr>
          <w:rFonts w:hint="cs"/>
          <w:rtl/>
        </w:rPr>
        <w:t xml:space="preserve">אבל </w:t>
      </w:r>
      <w:bookmarkStart w:id="56152" w:name="_ETM_Q102_663370"/>
      <w:bookmarkEnd w:id="56152"/>
      <w:r>
        <w:rPr>
          <w:rFonts w:hint="cs"/>
          <w:rtl/>
        </w:rPr>
        <w:t xml:space="preserve">אחרי </w:t>
      </w:r>
      <w:bookmarkStart w:id="56153" w:name="_ETM_Q102_663609"/>
      <w:bookmarkEnd w:id="56153"/>
      <w:r>
        <w:rPr>
          <w:rFonts w:hint="cs"/>
          <w:rtl/>
        </w:rPr>
        <w:t xml:space="preserve">שישבתי </w:t>
      </w:r>
      <w:bookmarkStart w:id="56154" w:name="_ETM_Q102_664329"/>
      <w:bookmarkEnd w:id="56154"/>
      <w:r>
        <w:rPr>
          <w:rFonts w:hint="cs"/>
          <w:rtl/>
        </w:rPr>
        <w:t xml:space="preserve">שעות </w:t>
      </w:r>
      <w:bookmarkStart w:id="56155" w:name="_ETM_Q102_664840"/>
      <w:bookmarkEnd w:id="56155"/>
      <w:r>
        <w:rPr>
          <w:rFonts w:hint="cs"/>
          <w:rtl/>
        </w:rPr>
        <w:t xml:space="preserve">ארוכות </w:t>
      </w:r>
      <w:bookmarkStart w:id="56156" w:name="_ETM_Q102_665379"/>
      <w:bookmarkEnd w:id="56156"/>
      <w:r>
        <w:rPr>
          <w:rFonts w:hint="cs"/>
          <w:rtl/>
        </w:rPr>
        <w:t xml:space="preserve">בדיוני </w:t>
      </w:r>
      <w:bookmarkStart w:id="56157" w:name="_ETM_Q102_665889"/>
      <w:bookmarkEnd w:id="56157"/>
      <w:r>
        <w:rPr>
          <w:rFonts w:hint="cs"/>
          <w:rtl/>
        </w:rPr>
        <w:t xml:space="preserve">ועדת </w:t>
      </w:r>
      <w:bookmarkStart w:id="56158" w:name="_ETM_Q102_666310"/>
      <w:bookmarkEnd w:id="56158"/>
      <w:r>
        <w:rPr>
          <w:rFonts w:hint="cs"/>
          <w:rtl/>
        </w:rPr>
        <w:t xml:space="preserve">החוקה, </w:t>
      </w:r>
      <w:bookmarkStart w:id="56159" w:name="_ETM_Q102_667209"/>
      <w:bookmarkEnd w:id="56159"/>
      <w:r>
        <w:rPr>
          <w:rFonts w:hint="cs"/>
          <w:rtl/>
        </w:rPr>
        <w:t xml:space="preserve">ולאחר </w:t>
      </w:r>
      <w:bookmarkStart w:id="56160" w:name="_ETM_Q102_667870"/>
      <w:bookmarkEnd w:id="56160"/>
      <w:r>
        <w:rPr>
          <w:rFonts w:hint="cs"/>
          <w:rtl/>
        </w:rPr>
        <w:t xml:space="preserve">שהקשבתי </w:t>
      </w:r>
      <w:bookmarkStart w:id="56161" w:name="_ETM_Q102_668560"/>
      <w:bookmarkEnd w:id="56161"/>
      <w:r>
        <w:rPr>
          <w:rFonts w:hint="cs"/>
          <w:rtl/>
        </w:rPr>
        <w:t xml:space="preserve">ברוב </w:t>
      </w:r>
      <w:bookmarkStart w:id="56162" w:name="_ETM_Q102_668980"/>
      <w:bookmarkEnd w:id="56162"/>
      <w:r>
        <w:rPr>
          <w:rFonts w:hint="cs"/>
          <w:rtl/>
        </w:rPr>
        <w:t xml:space="preserve">קשב </w:t>
      </w:r>
      <w:bookmarkStart w:id="56163" w:name="_ETM_Q102_669459"/>
      <w:bookmarkEnd w:id="56163"/>
      <w:r>
        <w:rPr>
          <w:rFonts w:hint="cs"/>
          <w:rtl/>
        </w:rPr>
        <w:t xml:space="preserve">לכם, </w:t>
      </w:r>
      <w:bookmarkStart w:id="56164" w:name="_ETM_Q102_669849"/>
      <w:bookmarkEnd w:id="56164"/>
      <w:r>
        <w:rPr>
          <w:rFonts w:hint="cs"/>
          <w:rtl/>
        </w:rPr>
        <w:t xml:space="preserve">נציגי </w:t>
      </w:r>
      <w:bookmarkStart w:id="56165" w:name="_ETM_Q102_670329"/>
      <w:bookmarkEnd w:id="56165"/>
      <w:r>
        <w:rPr>
          <w:rFonts w:hint="cs"/>
          <w:rtl/>
        </w:rPr>
        <w:t xml:space="preserve">הקואליציה, </w:t>
      </w:r>
      <w:bookmarkStart w:id="56166" w:name="_ETM_Q102_671620"/>
      <w:bookmarkEnd w:id="56166"/>
      <w:r>
        <w:rPr>
          <w:rFonts w:hint="cs"/>
          <w:rtl/>
        </w:rPr>
        <w:t xml:space="preserve">ולאחר </w:t>
      </w:r>
      <w:bookmarkStart w:id="56167" w:name="_ETM_Q102_672129"/>
      <w:bookmarkEnd w:id="56167"/>
      <w:r>
        <w:rPr>
          <w:rFonts w:hint="cs"/>
          <w:rtl/>
        </w:rPr>
        <w:t xml:space="preserve">ששמעתי </w:t>
      </w:r>
      <w:bookmarkStart w:id="56168" w:name="_ETM_Q102_672730"/>
      <w:bookmarkEnd w:id="56168"/>
      <w:r>
        <w:rPr>
          <w:rFonts w:hint="cs"/>
          <w:rtl/>
        </w:rPr>
        <w:t xml:space="preserve">את </w:t>
      </w:r>
      <w:bookmarkStart w:id="56169" w:name="_ETM_Q102_672849"/>
      <w:bookmarkEnd w:id="56169"/>
      <w:r>
        <w:rPr>
          <w:rFonts w:hint="cs"/>
          <w:rtl/>
        </w:rPr>
        <w:t xml:space="preserve">הנציגים </w:t>
      </w:r>
      <w:bookmarkStart w:id="56170" w:name="_ETM_Q102_673510"/>
      <w:bookmarkEnd w:id="56170"/>
      <w:r>
        <w:rPr>
          <w:rFonts w:hint="cs"/>
          <w:rtl/>
        </w:rPr>
        <w:t xml:space="preserve">המקצועיים </w:t>
      </w:r>
      <w:bookmarkStart w:id="56171" w:name="_ETM_Q102_674230"/>
      <w:bookmarkEnd w:id="56171"/>
      <w:r>
        <w:rPr>
          <w:rFonts w:hint="cs"/>
          <w:rtl/>
        </w:rPr>
        <w:t xml:space="preserve">של </w:t>
      </w:r>
      <w:bookmarkStart w:id="56172" w:name="_ETM_Q102_674439"/>
      <w:bookmarkEnd w:id="56172"/>
      <w:r>
        <w:rPr>
          <w:rFonts w:hint="cs"/>
          <w:rtl/>
        </w:rPr>
        <w:t xml:space="preserve">הממשלה, </w:t>
      </w:r>
      <w:bookmarkStart w:id="56173" w:name="_ETM_Q102_675700"/>
      <w:bookmarkEnd w:id="56173"/>
      <w:r>
        <w:rPr>
          <w:rFonts w:hint="cs"/>
          <w:rtl/>
        </w:rPr>
        <w:t xml:space="preserve">אני </w:t>
      </w:r>
      <w:bookmarkStart w:id="56174" w:name="_ETM_Q102_675970"/>
      <w:bookmarkEnd w:id="56174"/>
      <w:r>
        <w:rPr>
          <w:rFonts w:hint="cs"/>
          <w:rtl/>
        </w:rPr>
        <w:t xml:space="preserve">מבינה </w:t>
      </w:r>
      <w:bookmarkStart w:id="56175" w:name="_ETM_Q102_676569"/>
      <w:bookmarkEnd w:id="56175"/>
      <w:r>
        <w:rPr>
          <w:rFonts w:hint="cs"/>
          <w:rtl/>
        </w:rPr>
        <w:t xml:space="preserve">שההזיות </w:t>
      </w:r>
      <w:bookmarkStart w:id="56176" w:name="_ETM_Q102_677410"/>
      <w:bookmarkEnd w:id="56176"/>
      <w:r>
        <w:rPr>
          <w:rFonts w:hint="cs"/>
          <w:rtl/>
        </w:rPr>
        <w:t xml:space="preserve">האלה </w:t>
      </w:r>
      <w:bookmarkStart w:id="56177" w:name="_ETM_Q102_678159"/>
      <w:bookmarkEnd w:id="56177"/>
      <w:r>
        <w:rPr>
          <w:rFonts w:hint="cs"/>
          <w:rtl/>
        </w:rPr>
        <w:t xml:space="preserve">הן </w:t>
      </w:r>
      <w:bookmarkStart w:id="56178" w:name="_ETM_Q102_678790"/>
      <w:bookmarkEnd w:id="56178"/>
      <w:r>
        <w:rPr>
          <w:rFonts w:hint="cs"/>
          <w:rtl/>
        </w:rPr>
        <w:t xml:space="preserve">אפשריות. </w:t>
      </w:r>
      <w:bookmarkStart w:id="56179" w:name="_ETM_Q102_680279"/>
      <w:bookmarkEnd w:id="56179"/>
      <w:r>
        <w:rPr>
          <w:rFonts w:hint="cs"/>
          <w:rtl/>
        </w:rPr>
        <w:t xml:space="preserve">ההזיות </w:t>
      </w:r>
      <w:bookmarkStart w:id="56180" w:name="_ETM_Q102_681150"/>
      <w:bookmarkEnd w:id="56180"/>
      <w:r>
        <w:rPr>
          <w:rFonts w:hint="cs"/>
          <w:rtl/>
        </w:rPr>
        <w:t xml:space="preserve">הן </w:t>
      </w:r>
      <w:bookmarkStart w:id="56181" w:name="_ETM_Q102_681329"/>
      <w:bookmarkEnd w:id="56181"/>
      <w:r>
        <w:rPr>
          <w:rFonts w:hint="cs"/>
          <w:rtl/>
        </w:rPr>
        <w:t xml:space="preserve">דרך </w:t>
      </w:r>
      <w:bookmarkStart w:id="56182" w:name="_ETM_Q102_681749"/>
      <w:bookmarkEnd w:id="56182"/>
      <w:r>
        <w:rPr>
          <w:rFonts w:hint="cs"/>
          <w:rtl/>
        </w:rPr>
        <w:t xml:space="preserve">החיים </w:t>
      </w:r>
      <w:bookmarkStart w:id="56183" w:name="_ETM_Q102_682469"/>
      <w:bookmarkEnd w:id="56183"/>
      <w:r>
        <w:rPr>
          <w:rFonts w:hint="cs"/>
          <w:rtl/>
        </w:rPr>
        <w:t xml:space="preserve">והמשילות </w:t>
      </w:r>
      <w:bookmarkStart w:id="56184" w:name="_ETM_Q102_683219"/>
      <w:bookmarkEnd w:id="56184"/>
      <w:r>
        <w:rPr>
          <w:rFonts w:hint="cs"/>
          <w:rtl/>
        </w:rPr>
        <w:t xml:space="preserve">שלכם. </w:t>
      </w:r>
      <w:bookmarkStart w:id="56185" w:name="_ETM_Q102_684299"/>
      <w:bookmarkEnd w:id="56185"/>
      <w:r>
        <w:rPr>
          <w:rFonts w:hint="cs"/>
          <w:rtl/>
        </w:rPr>
        <w:t xml:space="preserve">מרוב </w:t>
      </w:r>
      <w:bookmarkStart w:id="56186" w:name="_ETM_Q102_684870"/>
      <w:bookmarkEnd w:id="56186"/>
      <w:r>
        <w:rPr>
          <w:rFonts w:hint="cs"/>
          <w:rtl/>
        </w:rPr>
        <w:t xml:space="preserve">שאתם </w:t>
      </w:r>
      <w:bookmarkStart w:id="56187" w:name="_ETM_Q102_685349"/>
      <w:bookmarkEnd w:id="56187"/>
      <w:r>
        <w:rPr>
          <w:rFonts w:hint="cs"/>
          <w:rtl/>
        </w:rPr>
        <w:t xml:space="preserve">חיים </w:t>
      </w:r>
      <w:bookmarkStart w:id="56188" w:name="_ETM_Q102_686010"/>
      <w:bookmarkEnd w:id="56188"/>
      <w:r>
        <w:rPr>
          <w:rFonts w:hint="cs"/>
          <w:rtl/>
        </w:rPr>
        <w:t xml:space="preserve">בסרט </w:t>
      </w:r>
      <w:bookmarkStart w:id="56189" w:name="_ETM_Q102_686609"/>
      <w:bookmarkEnd w:id="56189"/>
      <w:r>
        <w:rPr>
          <w:rFonts w:hint="cs"/>
          <w:rtl/>
        </w:rPr>
        <w:t xml:space="preserve">ילדים, </w:t>
      </w:r>
      <w:bookmarkStart w:id="56190" w:name="_ETM_Q102_687510"/>
      <w:bookmarkEnd w:id="56190"/>
      <w:r>
        <w:rPr>
          <w:rFonts w:hint="cs"/>
          <w:rtl/>
        </w:rPr>
        <w:t xml:space="preserve">אזרחי </w:t>
      </w:r>
      <w:bookmarkStart w:id="56191" w:name="_ETM_Q102_688139"/>
      <w:bookmarkEnd w:id="56191"/>
      <w:r>
        <w:rPr>
          <w:rFonts w:hint="cs"/>
          <w:rtl/>
        </w:rPr>
        <w:t xml:space="preserve">ישראל </w:t>
      </w:r>
      <w:bookmarkStart w:id="56192" w:name="_ETM_Q102_688650"/>
      <w:bookmarkEnd w:id="56192"/>
      <w:r>
        <w:rPr>
          <w:rFonts w:hint="cs"/>
          <w:rtl/>
        </w:rPr>
        <w:t xml:space="preserve">נמצאים </w:t>
      </w:r>
      <w:bookmarkStart w:id="56193" w:name="_ETM_Q102_689189"/>
      <w:bookmarkEnd w:id="56193"/>
      <w:r>
        <w:rPr>
          <w:rFonts w:hint="cs"/>
          <w:rtl/>
        </w:rPr>
        <w:t xml:space="preserve">כרגע </w:t>
      </w:r>
      <w:bookmarkStart w:id="56194" w:name="_ETM_Q102_689790"/>
      <w:bookmarkEnd w:id="56194"/>
      <w:r>
        <w:rPr>
          <w:rFonts w:hint="cs"/>
          <w:rtl/>
        </w:rPr>
        <w:t xml:space="preserve">בסרט </w:t>
      </w:r>
      <w:bookmarkStart w:id="56195" w:name="_ETM_Q102_690329"/>
      <w:bookmarkEnd w:id="56195"/>
      <w:r>
        <w:rPr>
          <w:rFonts w:hint="cs"/>
          <w:rtl/>
        </w:rPr>
        <w:t xml:space="preserve">אימה. </w:t>
      </w:r>
      <w:bookmarkStart w:id="56196" w:name="_ETM_Q102_691490"/>
      <w:bookmarkEnd w:id="56196"/>
      <w:r>
        <w:rPr>
          <w:rFonts w:hint="cs"/>
          <w:rtl/>
        </w:rPr>
        <w:t xml:space="preserve">אתם </w:t>
      </w:r>
      <w:bookmarkStart w:id="56197" w:name="_ETM_Q102_691880"/>
      <w:bookmarkEnd w:id="56197"/>
      <w:r>
        <w:rPr>
          <w:rFonts w:hint="cs"/>
          <w:rtl/>
        </w:rPr>
        <w:t xml:space="preserve">פתחתם </w:t>
      </w:r>
      <w:bookmarkStart w:id="56198" w:name="_ETM_Q102_692480"/>
      <w:bookmarkEnd w:id="56198"/>
      <w:r>
        <w:rPr>
          <w:rFonts w:hint="cs"/>
          <w:rtl/>
        </w:rPr>
        <w:t xml:space="preserve">פה </w:t>
      </w:r>
      <w:bookmarkStart w:id="56199" w:name="_ETM_Q102_692959"/>
      <w:bookmarkEnd w:id="56199"/>
      <w:r>
        <w:rPr>
          <w:rFonts w:hint="cs"/>
          <w:rtl/>
        </w:rPr>
        <w:t xml:space="preserve">לכל </w:t>
      </w:r>
      <w:bookmarkStart w:id="56200" w:name="_ETM_Q102_693620"/>
      <w:bookmarkEnd w:id="56200"/>
      <w:r>
        <w:rPr>
          <w:rFonts w:hint="cs"/>
          <w:rtl/>
        </w:rPr>
        <w:t xml:space="preserve">שיגעון, </w:t>
      </w:r>
      <w:bookmarkStart w:id="56201" w:name="_ETM_Q102_694660"/>
      <w:bookmarkEnd w:id="56201"/>
      <w:r>
        <w:rPr>
          <w:rFonts w:hint="cs"/>
          <w:rtl/>
        </w:rPr>
        <w:t xml:space="preserve">לכל </w:t>
      </w:r>
      <w:bookmarkStart w:id="56202" w:name="_ETM_Q102_695200"/>
      <w:bookmarkEnd w:id="56202"/>
      <w:r>
        <w:rPr>
          <w:rFonts w:hint="cs"/>
          <w:rtl/>
        </w:rPr>
        <w:t xml:space="preserve">הזיה </w:t>
      </w:r>
      <w:bookmarkStart w:id="56203" w:name="_ETM_Q102_695679"/>
      <w:bookmarkEnd w:id="56203"/>
      <w:r>
        <w:rPr>
          <w:rFonts w:hint="cs"/>
          <w:rtl/>
        </w:rPr>
        <w:t xml:space="preserve">או טרלול </w:t>
      </w:r>
      <w:bookmarkStart w:id="56204" w:name="_ETM_Q102_696220"/>
      <w:bookmarkEnd w:id="56204"/>
      <w:r>
        <w:rPr>
          <w:rFonts w:hint="cs"/>
          <w:rtl/>
        </w:rPr>
        <w:t>שיבוא</w:t>
      </w:r>
      <w:r w:rsidR="00942E30">
        <w:rPr>
          <w:rFonts w:hint="cs"/>
          <w:rtl/>
        </w:rPr>
        <w:t>ו</w:t>
      </w:r>
      <w:r>
        <w:rPr>
          <w:rFonts w:hint="cs"/>
          <w:rtl/>
        </w:rPr>
        <w:t xml:space="preserve"> </w:t>
      </w:r>
      <w:bookmarkStart w:id="56205" w:name="_ETM_Q102_696640"/>
      <w:bookmarkEnd w:id="56205"/>
      <w:r>
        <w:rPr>
          <w:rFonts w:hint="cs"/>
          <w:rtl/>
        </w:rPr>
        <w:t>בעתיד</w:t>
      </w:r>
      <w:r w:rsidR="00942E30">
        <w:rPr>
          <w:rFonts w:hint="cs"/>
          <w:rtl/>
        </w:rPr>
        <w:t>,</w:t>
      </w:r>
      <w:r>
        <w:rPr>
          <w:rFonts w:hint="cs"/>
          <w:rtl/>
        </w:rPr>
        <w:t xml:space="preserve"> </w:t>
      </w:r>
      <w:bookmarkStart w:id="56206" w:name="_ETM_Q102_697579"/>
      <w:bookmarkEnd w:id="56206"/>
      <w:r>
        <w:rPr>
          <w:rFonts w:hint="cs"/>
          <w:rtl/>
        </w:rPr>
        <w:t xml:space="preserve">רק </w:t>
      </w:r>
      <w:bookmarkStart w:id="56207" w:name="_ETM_Q102_697999"/>
      <w:bookmarkEnd w:id="56207"/>
      <w:r>
        <w:rPr>
          <w:rFonts w:hint="cs"/>
          <w:rtl/>
        </w:rPr>
        <w:t xml:space="preserve">בגלל </w:t>
      </w:r>
      <w:bookmarkStart w:id="56208" w:name="_ETM_Q102_698480"/>
      <w:bookmarkEnd w:id="56208"/>
      <w:r>
        <w:rPr>
          <w:rFonts w:hint="cs"/>
          <w:rtl/>
        </w:rPr>
        <w:t xml:space="preserve">הסטייה </w:t>
      </w:r>
      <w:bookmarkStart w:id="56209" w:name="_ETM_Q102_698900"/>
      <w:bookmarkEnd w:id="56209"/>
      <w:r>
        <w:rPr>
          <w:rFonts w:hint="cs"/>
          <w:rtl/>
        </w:rPr>
        <w:t xml:space="preserve">שלכם </w:t>
      </w:r>
      <w:bookmarkStart w:id="56210" w:name="_ETM_Q102_699439"/>
      <w:bookmarkEnd w:id="56210"/>
      <w:r>
        <w:rPr>
          <w:rFonts w:hint="cs"/>
          <w:rtl/>
        </w:rPr>
        <w:t xml:space="preserve">לעוות </w:t>
      </w:r>
      <w:bookmarkStart w:id="56211" w:name="_ETM_Q102_699950"/>
      <w:bookmarkEnd w:id="56211"/>
      <w:r>
        <w:rPr>
          <w:rFonts w:hint="cs"/>
          <w:rtl/>
        </w:rPr>
        <w:t xml:space="preserve">את </w:t>
      </w:r>
      <w:bookmarkStart w:id="56212" w:name="_ETM_Q102_700069"/>
      <w:bookmarkEnd w:id="56212"/>
      <w:r>
        <w:rPr>
          <w:rFonts w:hint="cs"/>
          <w:rtl/>
        </w:rPr>
        <w:t xml:space="preserve">כללי </w:t>
      </w:r>
      <w:bookmarkStart w:id="56213" w:name="_ETM_Q102_700400"/>
      <w:bookmarkEnd w:id="56213"/>
      <w:r>
        <w:rPr>
          <w:rFonts w:hint="cs"/>
          <w:rtl/>
        </w:rPr>
        <w:t xml:space="preserve">המשחק </w:t>
      </w:r>
      <w:bookmarkStart w:id="56214" w:name="_ETM_Q102_700879"/>
      <w:bookmarkEnd w:id="56214"/>
      <w:r>
        <w:rPr>
          <w:rFonts w:hint="cs"/>
          <w:rtl/>
        </w:rPr>
        <w:t xml:space="preserve">הדמוקרטיים </w:t>
      </w:r>
      <w:bookmarkStart w:id="56215" w:name="_ETM_Q102_701569"/>
      <w:bookmarkEnd w:id="56215"/>
      <w:r>
        <w:rPr>
          <w:rFonts w:hint="cs"/>
          <w:rtl/>
        </w:rPr>
        <w:t xml:space="preserve">שלנו </w:t>
      </w:r>
      <w:bookmarkStart w:id="56216" w:name="_ETM_Q102_702469"/>
      <w:bookmarkEnd w:id="56216"/>
      <w:r>
        <w:rPr>
          <w:rFonts w:hint="cs"/>
          <w:rtl/>
        </w:rPr>
        <w:t xml:space="preserve">שהחזיקו </w:t>
      </w:r>
      <w:bookmarkStart w:id="56217" w:name="_ETM_Q102_703159"/>
      <w:bookmarkEnd w:id="56217"/>
      <w:r>
        <w:rPr>
          <w:rFonts w:hint="cs"/>
          <w:rtl/>
        </w:rPr>
        <w:t xml:space="preserve">אותנו </w:t>
      </w:r>
      <w:bookmarkStart w:id="56218" w:name="_ETM_Q102_703489"/>
      <w:bookmarkEnd w:id="56218"/>
      <w:r>
        <w:rPr>
          <w:rFonts w:hint="cs"/>
          <w:rtl/>
        </w:rPr>
        <w:t xml:space="preserve">במשך </w:t>
      </w:r>
      <w:bookmarkStart w:id="56219" w:name="_ETM_Q102_703909"/>
      <w:bookmarkEnd w:id="56219"/>
      <w:r>
        <w:rPr>
          <w:rFonts w:hint="cs"/>
          <w:rtl/>
        </w:rPr>
        <w:t xml:space="preserve">שנים. </w:t>
      </w:r>
      <w:bookmarkStart w:id="56220" w:name="_ETM_Q102_704809"/>
      <w:bookmarkEnd w:id="56220"/>
      <w:r>
        <w:rPr>
          <w:rFonts w:hint="cs"/>
          <w:rtl/>
        </w:rPr>
        <w:t xml:space="preserve">ועל </w:t>
      </w:r>
      <w:bookmarkStart w:id="56221" w:name="_ETM_Q102_705290"/>
      <w:bookmarkEnd w:id="56221"/>
      <w:r>
        <w:rPr>
          <w:rFonts w:hint="cs"/>
          <w:rtl/>
        </w:rPr>
        <w:t xml:space="preserve">זה </w:t>
      </w:r>
      <w:bookmarkStart w:id="56222" w:name="_ETM_Q102_706210"/>
      <w:bookmarkStart w:id="56223" w:name="_ETM_Q102_706540"/>
      <w:bookmarkEnd w:id="56222"/>
      <w:bookmarkEnd w:id="56223"/>
      <w:r>
        <w:rPr>
          <w:rFonts w:hint="cs"/>
          <w:rtl/>
        </w:rPr>
        <w:t xml:space="preserve">לעולם </w:t>
      </w:r>
      <w:bookmarkStart w:id="56224" w:name="_ETM_Q102_707170"/>
      <w:bookmarkEnd w:id="56224"/>
      <w:r>
        <w:rPr>
          <w:rFonts w:hint="cs"/>
          <w:rtl/>
        </w:rPr>
        <w:t xml:space="preserve">לא </w:t>
      </w:r>
      <w:bookmarkStart w:id="56225" w:name="_ETM_Q102_707320"/>
      <w:bookmarkEnd w:id="56225"/>
      <w:r>
        <w:rPr>
          <w:rFonts w:hint="cs"/>
          <w:rtl/>
        </w:rPr>
        <w:t xml:space="preserve">תהיה </w:t>
      </w:r>
      <w:bookmarkStart w:id="56226" w:name="_ETM_Q102_707559"/>
      <w:bookmarkEnd w:id="56226"/>
      <w:r>
        <w:rPr>
          <w:rFonts w:hint="cs"/>
          <w:rtl/>
        </w:rPr>
        <w:t xml:space="preserve">לכם </w:t>
      </w:r>
      <w:bookmarkStart w:id="56227" w:name="_ETM_Q102_707800"/>
      <w:bookmarkEnd w:id="56227"/>
      <w:r>
        <w:rPr>
          <w:rFonts w:hint="cs"/>
          <w:rtl/>
        </w:rPr>
        <w:t xml:space="preserve">כפרה. </w:t>
      </w:r>
      <w:bookmarkStart w:id="56228" w:name="_ETM_Q102_710379"/>
      <w:bookmarkEnd w:id="56228"/>
    </w:p>
    <w:p w:rsidR="00BB59CD" w:rsidRDefault="00BB59CD" w:rsidP="00BB59CD">
      <w:pPr>
        <w:rPr>
          <w:rtl/>
        </w:rPr>
      </w:pPr>
      <w:bookmarkStart w:id="56229" w:name="_ETM_Q102_709516"/>
      <w:bookmarkStart w:id="56230" w:name="_ETM_Q102_709598"/>
      <w:bookmarkEnd w:id="56229"/>
      <w:bookmarkEnd w:id="56230"/>
    </w:p>
    <w:p w:rsidR="00BB59CD" w:rsidRDefault="00BB59CD" w:rsidP="00BB59CD">
      <w:pPr>
        <w:rPr>
          <w:rtl/>
        </w:rPr>
      </w:pPr>
      <w:bookmarkStart w:id="56231" w:name="_ETM_Q102_709702"/>
      <w:bookmarkStart w:id="56232" w:name="_ETM_Q102_709778"/>
      <w:bookmarkEnd w:id="56231"/>
      <w:bookmarkEnd w:id="56232"/>
      <w:r>
        <w:rPr>
          <w:rFonts w:hint="cs"/>
          <w:rtl/>
        </w:rPr>
        <w:t xml:space="preserve">אדוני </w:t>
      </w:r>
      <w:bookmarkStart w:id="56233" w:name="_ETM_Q102_710769"/>
      <w:bookmarkEnd w:id="56233"/>
      <w:r>
        <w:rPr>
          <w:rFonts w:hint="cs"/>
          <w:rtl/>
        </w:rPr>
        <w:t>היושב</w:t>
      </w:r>
      <w:bookmarkStart w:id="56234" w:name="_ETM_Q102_711159"/>
      <w:bookmarkEnd w:id="56234"/>
      <w:r>
        <w:rPr>
          <w:rFonts w:hint="cs"/>
          <w:rtl/>
        </w:rPr>
        <w:t xml:space="preserve"> בראש, </w:t>
      </w:r>
      <w:bookmarkStart w:id="56235" w:name="_ETM_Q102_711519"/>
      <w:bookmarkEnd w:id="56235"/>
      <w:r>
        <w:rPr>
          <w:rFonts w:hint="cs"/>
          <w:rtl/>
        </w:rPr>
        <w:t xml:space="preserve">אני </w:t>
      </w:r>
      <w:bookmarkStart w:id="56236" w:name="_ETM_Q102_711700"/>
      <w:bookmarkEnd w:id="56236"/>
      <w:r>
        <w:rPr>
          <w:rFonts w:hint="cs"/>
          <w:rtl/>
        </w:rPr>
        <w:t xml:space="preserve">רוצה </w:t>
      </w:r>
      <w:bookmarkStart w:id="56237" w:name="_ETM_Q102_712059"/>
      <w:bookmarkEnd w:id="56237"/>
      <w:r>
        <w:rPr>
          <w:rFonts w:hint="cs"/>
          <w:rtl/>
        </w:rPr>
        <w:t xml:space="preserve">להקריא </w:t>
      </w:r>
      <w:bookmarkStart w:id="56238" w:name="_ETM_Q102_713309"/>
      <w:bookmarkEnd w:id="56238"/>
      <w:r>
        <w:rPr>
          <w:rFonts w:hint="cs"/>
          <w:rtl/>
        </w:rPr>
        <w:t xml:space="preserve">קטע </w:t>
      </w:r>
      <w:bookmarkStart w:id="56239" w:name="_ETM_Q102_713670"/>
      <w:bookmarkEnd w:id="56239"/>
      <w:r>
        <w:rPr>
          <w:rFonts w:hint="cs"/>
          <w:rtl/>
        </w:rPr>
        <w:t xml:space="preserve">של </w:t>
      </w:r>
      <w:bookmarkStart w:id="56240" w:name="_ETM_Q102_713940"/>
      <w:bookmarkEnd w:id="56240"/>
      <w:r>
        <w:rPr>
          <w:rFonts w:hint="cs"/>
          <w:rtl/>
        </w:rPr>
        <w:t xml:space="preserve">שירה, </w:t>
      </w:r>
      <w:bookmarkStart w:id="56241" w:name="_ETM_Q102_715389"/>
      <w:bookmarkEnd w:id="56241"/>
      <w:r>
        <w:rPr>
          <w:rFonts w:hint="cs"/>
          <w:rtl/>
        </w:rPr>
        <w:t xml:space="preserve">שנכתב </w:t>
      </w:r>
      <w:bookmarkStart w:id="56242" w:name="_ETM_Q102_716660"/>
      <w:bookmarkEnd w:id="56242"/>
      <w:r>
        <w:rPr>
          <w:rFonts w:hint="cs"/>
          <w:rtl/>
        </w:rPr>
        <w:t xml:space="preserve">על ידי </w:t>
      </w:r>
      <w:bookmarkStart w:id="56243" w:name="_ETM_Q102_717140"/>
      <w:bookmarkEnd w:id="56243"/>
      <w:r>
        <w:rPr>
          <w:rFonts w:hint="cs"/>
          <w:rtl/>
        </w:rPr>
        <w:t xml:space="preserve">משוררת </w:t>
      </w:r>
      <w:bookmarkStart w:id="56244" w:name="_ETM_Q102_719010"/>
      <w:bookmarkEnd w:id="56244"/>
      <w:r>
        <w:rPr>
          <w:rFonts w:hint="cs"/>
          <w:rtl/>
        </w:rPr>
        <w:t xml:space="preserve">בשם </w:t>
      </w:r>
      <w:bookmarkStart w:id="56245" w:name="_ETM_Q102_719550"/>
      <w:bookmarkEnd w:id="56245"/>
      <w:r>
        <w:rPr>
          <w:rFonts w:hint="cs"/>
          <w:rtl/>
        </w:rPr>
        <w:t xml:space="preserve">נידאא </w:t>
      </w:r>
      <w:bookmarkStart w:id="56246" w:name="_ETM_Q102_719910"/>
      <w:bookmarkEnd w:id="56246"/>
      <w:r>
        <w:rPr>
          <w:rFonts w:hint="cs"/>
          <w:rtl/>
        </w:rPr>
        <w:t xml:space="preserve">ח'ורי, </w:t>
      </w:r>
      <w:bookmarkStart w:id="56247" w:name="_ETM_Q102_721360"/>
      <w:bookmarkEnd w:id="56247"/>
      <w:r>
        <w:rPr>
          <w:rFonts w:hint="cs"/>
          <w:rtl/>
        </w:rPr>
        <w:t xml:space="preserve">משוררת </w:t>
      </w:r>
      <w:bookmarkStart w:id="56248" w:name="_ETM_Q102_721930"/>
      <w:bookmarkEnd w:id="56248"/>
      <w:r>
        <w:rPr>
          <w:rFonts w:hint="cs"/>
          <w:rtl/>
        </w:rPr>
        <w:t xml:space="preserve">ערבייה – </w:t>
      </w:r>
      <w:bookmarkStart w:id="56249" w:name="_ETM_Q102_723469"/>
      <w:bookmarkEnd w:id="56249"/>
      <w:r>
        <w:rPr>
          <w:rFonts w:hint="cs"/>
          <w:rtl/>
        </w:rPr>
        <w:t xml:space="preserve">כן, </w:t>
      </w:r>
      <w:bookmarkStart w:id="56250" w:name="_ETM_Q102_723890"/>
      <w:bookmarkEnd w:id="56250"/>
      <w:r>
        <w:rPr>
          <w:rFonts w:hint="cs"/>
          <w:rtl/>
        </w:rPr>
        <w:t xml:space="preserve">כן, </w:t>
      </w:r>
      <w:bookmarkStart w:id="56251" w:name="_ETM_Q102_724340"/>
      <w:bookmarkEnd w:id="56251"/>
      <w:r>
        <w:rPr>
          <w:rFonts w:hint="cs"/>
          <w:rtl/>
        </w:rPr>
        <w:t xml:space="preserve">בחרתי </w:t>
      </w:r>
      <w:bookmarkStart w:id="56252" w:name="_ETM_Q102_724879"/>
      <w:bookmarkEnd w:id="56252"/>
      <w:r>
        <w:rPr>
          <w:rFonts w:hint="cs"/>
          <w:rtl/>
        </w:rPr>
        <w:t xml:space="preserve">להקריא </w:t>
      </w:r>
      <w:bookmarkStart w:id="56253" w:name="_ETM_Q102_725689"/>
      <w:bookmarkEnd w:id="56253"/>
      <w:r>
        <w:rPr>
          <w:rFonts w:hint="cs"/>
          <w:rtl/>
        </w:rPr>
        <w:t xml:space="preserve">דווקא </w:t>
      </w:r>
      <w:bookmarkStart w:id="56254" w:name="_ETM_Q102_726109"/>
      <w:bookmarkEnd w:id="56254"/>
      <w:r>
        <w:rPr>
          <w:rFonts w:hint="cs"/>
          <w:rtl/>
        </w:rPr>
        <w:t xml:space="preserve">שיר </w:t>
      </w:r>
      <w:bookmarkStart w:id="56255" w:name="_ETM_Q102_726349"/>
      <w:bookmarkEnd w:id="56255"/>
      <w:r>
        <w:rPr>
          <w:rFonts w:hint="cs"/>
          <w:rtl/>
        </w:rPr>
        <w:t xml:space="preserve">שלה – </w:t>
      </w:r>
      <w:bookmarkStart w:id="56256" w:name="_ETM_Q102_727360"/>
      <w:bookmarkEnd w:id="56256"/>
      <w:r>
        <w:rPr>
          <w:rFonts w:hint="cs"/>
          <w:rtl/>
        </w:rPr>
        <w:t xml:space="preserve">והוא </w:t>
      </w:r>
      <w:bookmarkStart w:id="56257" w:name="_ETM_Q102_727629"/>
      <w:bookmarkEnd w:id="56257"/>
      <w:r>
        <w:rPr>
          <w:rFonts w:hint="cs"/>
          <w:rtl/>
        </w:rPr>
        <w:t xml:space="preserve">נקרא </w:t>
      </w:r>
      <w:bookmarkStart w:id="56258" w:name="_ETM_Q102_728439"/>
      <w:bookmarkEnd w:id="56258"/>
      <w:r>
        <w:rPr>
          <w:rFonts w:hint="cs"/>
          <w:rtl/>
        </w:rPr>
        <w:t xml:space="preserve">"הידרדרות": </w:t>
      </w:r>
      <w:bookmarkStart w:id="56259" w:name="_ETM_Q102_730590"/>
      <w:bookmarkEnd w:id="56259"/>
      <w:r w:rsidR="00942E30">
        <w:rPr>
          <w:rFonts w:hint="cs"/>
          <w:rtl/>
        </w:rPr>
        <w:t>"</w:t>
      </w:r>
      <w:r>
        <w:rPr>
          <w:rFonts w:hint="cs"/>
          <w:rtl/>
        </w:rPr>
        <w:t xml:space="preserve">אדם </w:t>
      </w:r>
      <w:bookmarkStart w:id="56260" w:name="_ETM_Q102_731069"/>
      <w:bookmarkEnd w:id="56260"/>
      <w:r>
        <w:rPr>
          <w:rFonts w:hint="cs"/>
          <w:rtl/>
        </w:rPr>
        <w:t xml:space="preserve">שאינו </w:t>
      </w:r>
      <w:bookmarkStart w:id="56261" w:name="_ETM_Q102_731550"/>
      <w:bookmarkEnd w:id="56261"/>
      <w:r>
        <w:rPr>
          <w:rFonts w:hint="cs"/>
          <w:rtl/>
        </w:rPr>
        <w:t xml:space="preserve">חכם </w:t>
      </w:r>
      <w:bookmarkStart w:id="56262" w:name="_ETM_Q102_732300"/>
      <w:bookmarkEnd w:id="56262"/>
      <w:r>
        <w:rPr>
          <w:rFonts w:hint="cs"/>
          <w:rtl/>
        </w:rPr>
        <w:t xml:space="preserve">/ סומך </w:t>
      </w:r>
      <w:bookmarkStart w:id="56263" w:name="_ETM_Q102_732780"/>
      <w:bookmarkEnd w:id="56263"/>
      <w:r>
        <w:rPr>
          <w:rFonts w:hint="cs"/>
          <w:rtl/>
        </w:rPr>
        <w:t xml:space="preserve">על </w:t>
      </w:r>
      <w:bookmarkStart w:id="56264" w:name="_ETM_Q102_732900"/>
      <w:bookmarkEnd w:id="56264"/>
      <w:r>
        <w:rPr>
          <w:rFonts w:hint="cs"/>
          <w:rtl/>
        </w:rPr>
        <w:t xml:space="preserve">צדק / </w:t>
      </w:r>
      <w:bookmarkStart w:id="56265" w:name="_ETM_Q102_734010"/>
      <w:bookmarkEnd w:id="56265"/>
      <w:r>
        <w:rPr>
          <w:rFonts w:hint="cs"/>
          <w:rtl/>
        </w:rPr>
        <w:t xml:space="preserve">אדם </w:t>
      </w:r>
      <w:bookmarkStart w:id="56266" w:name="_ETM_Q102_734579"/>
      <w:bookmarkEnd w:id="56266"/>
      <w:r>
        <w:rPr>
          <w:rFonts w:hint="cs"/>
          <w:rtl/>
        </w:rPr>
        <w:t xml:space="preserve">שאינו </w:t>
      </w:r>
      <w:bookmarkStart w:id="56267" w:name="_ETM_Q102_734999"/>
      <w:bookmarkEnd w:id="56267"/>
      <w:r>
        <w:rPr>
          <w:rFonts w:hint="cs"/>
          <w:rtl/>
        </w:rPr>
        <w:t xml:space="preserve">צודק </w:t>
      </w:r>
      <w:bookmarkStart w:id="56268" w:name="_ETM_Q102_735900"/>
      <w:bookmarkEnd w:id="56268"/>
      <w:r>
        <w:rPr>
          <w:rFonts w:hint="cs"/>
          <w:rtl/>
        </w:rPr>
        <w:t xml:space="preserve">/ סומך </w:t>
      </w:r>
      <w:bookmarkStart w:id="56269" w:name="_ETM_Q102_736409"/>
      <w:bookmarkEnd w:id="56269"/>
      <w:r>
        <w:rPr>
          <w:rFonts w:hint="cs"/>
          <w:rtl/>
        </w:rPr>
        <w:t xml:space="preserve">על </w:t>
      </w:r>
      <w:bookmarkStart w:id="56270" w:name="_ETM_Q102_736530"/>
      <w:bookmarkEnd w:id="56270"/>
      <w:r>
        <w:rPr>
          <w:rFonts w:hint="cs"/>
          <w:rtl/>
        </w:rPr>
        <w:t xml:space="preserve">כוח </w:t>
      </w:r>
      <w:bookmarkStart w:id="56271" w:name="_ETM_Q102_737870"/>
      <w:bookmarkEnd w:id="56271"/>
      <w:r>
        <w:rPr>
          <w:rFonts w:hint="cs"/>
          <w:rtl/>
        </w:rPr>
        <w:t xml:space="preserve">/ אדם </w:t>
      </w:r>
      <w:bookmarkStart w:id="56272" w:name="_ETM_Q102_738349"/>
      <w:bookmarkEnd w:id="56272"/>
      <w:r>
        <w:rPr>
          <w:rFonts w:hint="cs"/>
          <w:rtl/>
        </w:rPr>
        <w:t xml:space="preserve">שאינו </w:t>
      </w:r>
      <w:bookmarkStart w:id="56273" w:name="_ETM_Q102_738770"/>
      <w:bookmarkEnd w:id="56273"/>
      <w:r>
        <w:rPr>
          <w:rFonts w:hint="cs"/>
          <w:rtl/>
        </w:rPr>
        <w:t xml:space="preserve">חזק </w:t>
      </w:r>
      <w:bookmarkStart w:id="56274" w:name="_ETM_Q102_739550"/>
      <w:bookmarkEnd w:id="56274"/>
      <w:r>
        <w:rPr>
          <w:rFonts w:hint="cs"/>
          <w:rtl/>
        </w:rPr>
        <w:t xml:space="preserve">/ סומך </w:t>
      </w:r>
      <w:bookmarkStart w:id="56275" w:name="_ETM_Q102_740029"/>
      <w:bookmarkEnd w:id="56275"/>
      <w:r>
        <w:rPr>
          <w:rFonts w:hint="cs"/>
          <w:rtl/>
        </w:rPr>
        <w:t xml:space="preserve">על </w:t>
      </w:r>
      <w:bookmarkStart w:id="56276" w:name="_ETM_Q102_740120"/>
      <w:bookmarkEnd w:id="56276"/>
      <w:r>
        <w:rPr>
          <w:rFonts w:hint="cs"/>
          <w:rtl/>
        </w:rPr>
        <w:t xml:space="preserve">היגיון </w:t>
      </w:r>
      <w:bookmarkStart w:id="56277" w:name="_ETM_Q102_741300"/>
      <w:bookmarkEnd w:id="56277"/>
      <w:r>
        <w:rPr>
          <w:rFonts w:hint="cs"/>
          <w:rtl/>
        </w:rPr>
        <w:t xml:space="preserve">/ אדם </w:t>
      </w:r>
      <w:bookmarkStart w:id="56278" w:name="_ETM_Q102_741809"/>
      <w:bookmarkEnd w:id="56278"/>
      <w:r>
        <w:rPr>
          <w:rFonts w:hint="cs"/>
          <w:rtl/>
        </w:rPr>
        <w:t xml:space="preserve">שאינו </w:t>
      </w:r>
      <w:bookmarkStart w:id="56279" w:name="_ETM_Q102_742289"/>
      <w:bookmarkEnd w:id="56279"/>
      <w:r>
        <w:rPr>
          <w:rFonts w:hint="cs"/>
          <w:rtl/>
        </w:rPr>
        <w:t xml:space="preserve">הוגן </w:t>
      </w:r>
      <w:bookmarkStart w:id="56280" w:name="_ETM_Q102_743069"/>
      <w:bookmarkEnd w:id="56280"/>
      <w:r>
        <w:rPr>
          <w:rFonts w:hint="cs"/>
          <w:rtl/>
        </w:rPr>
        <w:t xml:space="preserve">/ סומך </w:t>
      </w:r>
      <w:bookmarkStart w:id="56281" w:name="_ETM_Q102_743759"/>
      <w:bookmarkEnd w:id="56281"/>
      <w:r>
        <w:rPr>
          <w:rFonts w:hint="cs"/>
          <w:rtl/>
        </w:rPr>
        <w:t xml:space="preserve">על </w:t>
      </w:r>
      <w:bookmarkStart w:id="56282" w:name="_ETM_Q102_743939"/>
      <w:bookmarkEnd w:id="56282"/>
      <w:r>
        <w:rPr>
          <w:rFonts w:hint="cs"/>
          <w:rtl/>
        </w:rPr>
        <w:t xml:space="preserve">שכל </w:t>
      </w:r>
      <w:bookmarkStart w:id="56283" w:name="_ETM_Q102_744960"/>
      <w:bookmarkEnd w:id="56283"/>
      <w:r>
        <w:rPr>
          <w:rFonts w:hint="cs"/>
          <w:rtl/>
        </w:rPr>
        <w:t xml:space="preserve">/ אדם </w:t>
      </w:r>
      <w:bookmarkStart w:id="56284" w:name="_ETM_Q102_745439"/>
      <w:bookmarkEnd w:id="56284"/>
      <w:r>
        <w:rPr>
          <w:rFonts w:hint="cs"/>
          <w:rtl/>
        </w:rPr>
        <w:t xml:space="preserve">שאין </w:t>
      </w:r>
      <w:bookmarkStart w:id="56285" w:name="_ETM_Q102_745800"/>
      <w:bookmarkEnd w:id="56285"/>
      <w:r>
        <w:rPr>
          <w:rFonts w:hint="cs"/>
          <w:rtl/>
        </w:rPr>
        <w:t xml:space="preserve">לו </w:t>
      </w:r>
      <w:bookmarkStart w:id="56286" w:name="_ETM_Q102_745889"/>
      <w:bookmarkEnd w:id="56286"/>
      <w:r>
        <w:rPr>
          <w:rFonts w:hint="cs"/>
          <w:rtl/>
        </w:rPr>
        <w:t xml:space="preserve">שכל </w:t>
      </w:r>
      <w:bookmarkStart w:id="56287" w:name="_ETM_Q102_746639"/>
      <w:bookmarkEnd w:id="56287"/>
      <w:r>
        <w:rPr>
          <w:rFonts w:hint="cs"/>
          <w:rtl/>
        </w:rPr>
        <w:t xml:space="preserve">/ סומך </w:t>
      </w:r>
      <w:bookmarkStart w:id="56288" w:name="_ETM_Q102_747270"/>
      <w:bookmarkEnd w:id="56288"/>
      <w:r>
        <w:rPr>
          <w:rFonts w:hint="cs"/>
          <w:rtl/>
        </w:rPr>
        <w:t xml:space="preserve">על </w:t>
      </w:r>
      <w:bookmarkStart w:id="56289" w:name="_ETM_Q102_747449"/>
      <w:bookmarkEnd w:id="56289"/>
      <w:r>
        <w:rPr>
          <w:rFonts w:hint="cs"/>
          <w:rtl/>
        </w:rPr>
        <w:t xml:space="preserve">מזל </w:t>
      </w:r>
      <w:bookmarkStart w:id="56290" w:name="_ETM_Q102_748470"/>
      <w:bookmarkEnd w:id="56290"/>
      <w:r>
        <w:rPr>
          <w:rFonts w:hint="cs"/>
          <w:rtl/>
        </w:rPr>
        <w:t xml:space="preserve">/ אדם </w:t>
      </w:r>
      <w:bookmarkStart w:id="56291" w:name="_ETM_Q102_748890"/>
      <w:bookmarkEnd w:id="56291"/>
      <w:r>
        <w:rPr>
          <w:rFonts w:hint="cs"/>
          <w:rtl/>
        </w:rPr>
        <w:t xml:space="preserve">שאין </w:t>
      </w:r>
      <w:bookmarkStart w:id="56292" w:name="_ETM_Q102_749220"/>
      <w:bookmarkEnd w:id="56292"/>
      <w:r>
        <w:rPr>
          <w:rFonts w:hint="cs"/>
          <w:rtl/>
        </w:rPr>
        <w:t xml:space="preserve">לו </w:t>
      </w:r>
      <w:bookmarkStart w:id="56293" w:name="_ETM_Q102_749309"/>
      <w:bookmarkEnd w:id="56293"/>
      <w:r>
        <w:rPr>
          <w:rFonts w:hint="cs"/>
          <w:rtl/>
        </w:rPr>
        <w:t xml:space="preserve">מזל </w:t>
      </w:r>
      <w:bookmarkStart w:id="56294" w:name="_ETM_Q102_750230"/>
      <w:bookmarkEnd w:id="56294"/>
      <w:r>
        <w:rPr>
          <w:rFonts w:hint="cs"/>
          <w:rtl/>
        </w:rPr>
        <w:t xml:space="preserve">/ סומך </w:t>
      </w:r>
      <w:bookmarkStart w:id="56295" w:name="_ETM_Q102_750770"/>
      <w:bookmarkEnd w:id="56295"/>
      <w:r>
        <w:rPr>
          <w:rFonts w:hint="cs"/>
          <w:rtl/>
        </w:rPr>
        <w:t xml:space="preserve">על </w:t>
      </w:r>
      <w:bookmarkStart w:id="56296" w:name="_ETM_Q102_750889"/>
      <w:bookmarkEnd w:id="56296"/>
      <w:r>
        <w:rPr>
          <w:rFonts w:hint="cs"/>
          <w:rtl/>
        </w:rPr>
        <w:t xml:space="preserve">אינטואיציה / </w:t>
      </w:r>
      <w:bookmarkStart w:id="56297" w:name="_ETM_Q102_752259"/>
      <w:bookmarkEnd w:id="56297"/>
      <w:r>
        <w:rPr>
          <w:rFonts w:hint="cs"/>
          <w:rtl/>
        </w:rPr>
        <w:t xml:space="preserve">וזה </w:t>
      </w:r>
      <w:bookmarkStart w:id="56298" w:name="_ETM_Q102_752650"/>
      <w:bookmarkEnd w:id="56298"/>
      <w:r>
        <w:rPr>
          <w:rFonts w:hint="cs"/>
          <w:rtl/>
        </w:rPr>
        <w:t xml:space="preserve">שאין </w:t>
      </w:r>
      <w:bookmarkStart w:id="56299" w:name="_ETM_Q102_753069"/>
      <w:bookmarkEnd w:id="56299"/>
      <w:r>
        <w:rPr>
          <w:rFonts w:hint="cs"/>
          <w:rtl/>
        </w:rPr>
        <w:t xml:space="preserve">לו / </w:t>
      </w:r>
      <w:bookmarkStart w:id="56300" w:name="_ETM_Q102_753819"/>
      <w:bookmarkEnd w:id="56300"/>
      <w:r>
        <w:rPr>
          <w:rFonts w:hint="cs"/>
          <w:rtl/>
        </w:rPr>
        <w:t xml:space="preserve">אינו </w:t>
      </w:r>
      <w:bookmarkStart w:id="56301" w:name="_ETM_Q102_754479"/>
      <w:bookmarkEnd w:id="56301"/>
      <w:r>
        <w:rPr>
          <w:rFonts w:hint="cs"/>
          <w:rtl/>
        </w:rPr>
        <w:t>אדם</w:t>
      </w:r>
      <w:r w:rsidR="00942E30">
        <w:rPr>
          <w:rFonts w:hint="cs"/>
          <w:rtl/>
        </w:rPr>
        <w:t>"</w:t>
      </w:r>
      <w:r>
        <w:rPr>
          <w:rFonts w:hint="cs"/>
          <w:rtl/>
        </w:rPr>
        <w:t xml:space="preserve">. </w:t>
      </w:r>
    </w:p>
    <w:p w:rsidR="00BB59CD" w:rsidRDefault="00BB59CD" w:rsidP="00BB59CD">
      <w:pPr>
        <w:rPr>
          <w:rtl/>
        </w:rPr>
      </w:pPr>
      <w:bookmarkStart w:id="56302" w:name="_ETM_Q102_757606"/>
      <w:bookmarkStart w:id="56303" w:name="_ETM_Q102_757728"/>
      <w:bookmarkEnd w:id="56302"/>
      <w:bookmarkEnd w:id="56303"/>
    </w:p>
    <w:p w:rsidR="00BB59CD" w:rsidRDefault="00BB59CD" w:rsidP="00BB59CD">
      <w:pPr>
        <w:rPr>
          <w:rtl/>
          <w:lang w:eastAsia="he-IL"/>
        </w:rPr>
      </w:pPr>
      <w:r>
        <w:rPr>
          <w:rFonts w:hint="cs"/>
          <w:rtl/>
          <w:lang w:eastAsia="he-IL"/>
        </w:rPr>
        <w:t xml:space="preserve">עמיתיי מהקואליציה, לקראת סוף כנס הקיץ הגיע הזמן להעניק לכם תעודות, ואני שמחה להגיד לכם שכולכם סיימתם בהצטיינות – מצטיינים </w:t>
      </w:r>
      <w:bookmarkStart w:id="56304" w:name="_ETM_Q103_165425"/>
      <w:bookmarkEnd w:id="56304"/>
      <w:r>
        <w:rPr>
          <w:rFonts w:hint="cs"/>
          <w:rtl/>
          <w:lang w:eastAsia="he-IL"/>
        </w:rPr>
        <w:t xml:space="preserve">בעיקר בהסתה. מיומכם הראשון בשלטון הפכתם להיות הממשלה המפלגת ביותר </w:t>
      </w:r>
      <w:bookmarkStart w:id="56305" w:name="_ETM_Q103_171111"/>
      <w:bookmarkEnd w:id="56305"/>
      <w:r>
        <w:rPr>
          <w:rFonts w:hint="cs"/>
          <w:rtl/>
          <w:lang w:eastAsia="he-IL"/>
        </w:rPr>
        <w:t>מאז ומעולם. שחרר</w:t>
      </w:r>
      <w:r w:rsidR="00942E30">
        <w:rPr>
          <w:rFonts w:hint="cs"/>
          <w:rtl/>
          <w:lang w:eastAsia="he-IL"/>
        </w:rPr>
        <w:t>ת</w:t>
      </w:r>
      <w:r>
        <w:rPr>
          <w:rFonts w:hint="cs"/>
          <w:rtl/>
          <w:lang w:eastAsia="he-IL"/>
        </w:rPr>
        <w:t xml:space="preserve">ם את מפלצת ההסתה מהכלוב, ואתם דואגים להאכיל אותה כמה וכמה פעמים מדי יום, וכעת היא לא יודעת שובע. </w:t>
      </w:r>
      <w:bookmarkStart w:id="56306" w:name="_ETM_Q103_186838"/>
      <w:bookmarkStart w:id="56307" w:name="_ETM_Q103_186927"/>
      <w:bookmarkStart w:id="56308" w:name="_ETM_Q103_184156"/>
      <w:bookmarkEnd w:id="56306"/>
      <w:bookmarkEnd w:id="56307"/>
      <w:bookmarkEnd w:id="56308"/>
    </w:p>
    <w:p w:rsidR="00BB59CD" w:rsidRDefault="00BB59CD" w:rsidP="00BB59CD">
      <w:pPr>
        <w:rPr>
          <w:rtl/>
          <w:lang w:eastAsia="he-IL"/>
        </w:rPr>
      </w:pPr>
      <w:bookmarkStart w:id="56309" w:name="_ETM_Q103_184112"/>
      <w:bookmarkStart w:id="56310" w:name="_ETM_Q103_184212"/>
      <w:bookmarkEnd w:id="56309"/>
      <w:bookmarkEnd w:id="56310"/>
    </w:p>
    <w:p w:rsidR="00BB59CD" w:rsidRDefault="00BB59CD" w:rsidP="00942E30">
      <w:pPr>
        <w:rPr>
          <w:rtl/>
          <w:lang w:eastAsia="he-IL"/>
        </w:rPr>
      </w:pPr>
      <w:bookmarkStart w:id="56311" w:name="_ETM_Q103_184242"/>
      <w:bookmarkStart w:id="56312" w:name="_ETM_Q103_184275"/>
      <w:bookmarkStart w:id="56313" w:name="_ETM_Q103_184367"/>
      <w:bookmarkStart w:id="56314" w:name="_ETM_Q103_186983"/>
      <w:bookmarkStart w:id="56315" w:name="_ETM_Q103_187056"/>
      <w:bookmarkEnd w:id="56311"/>
      <w:bookmarkEnd w:id="56312"/>
      <w:bookmarkEnd w:id="56313"/>
      <w:bookmarkEnd w:id="56314"/>
      <w:bookmarkEnd w:id="56315"/>
      <w:r>
        <w:rPr>
          <w:rFonts w:hint="cs"/>
          <w:rtl/>
          <w:lang w:eastAsia="he-IL"/>
        </w:rPr>
        <w:t xml:space="preserve">בערב שבו נרצח ראש הממשלה לשעבר יצחק רבין, זכרו לברכה, הוא נאם ודיבר על </w:t>
      </w:r>
      <w:bookmarkStart w:id="56316" w:name="_ETM_Q103_191599"/>
      <w:bookmarkEnd w:id="56316"/>
      <w:r>
        <w:rPr>
          <w:rFonts w:hint="cs"/>
          <w:rtl/>
          <w:lang w:eastAsia="he-IL"/>
        </w:rPr>
        <w:t xml:space="preserve">כך שאלימות היא כרסום יסוד הדמוקרטיה הישראלית. ואתם, אתם כבר חודשים, חלקכם כבר שנים, לא רק מכרסמים בדמוקרטיה אלא טוחנים ורומסים אותה ממש; משר מפוקפק לענייני גרעינים שמעל הדוכן הזה לועג לאזרחי ישראל המפגינים, הוא מכנה אותם פריבילגים, רולקסים ומשתמטים, שקורא לטיס חיל האוויר שנפגע ממכת"זית וראייתו עדיין מוטלת בספק צפונבון עם שריטה בעין, ועד לראש ממשלה שטוען שמעולם לא נראתה אלימות כמו בהפגנות היום </w:t>
      </w:r>
      <w:r w:rsidR="00942E30">
        <w:rPr>
          <w:rFonts w:hint="eastAsia"/>
          <w:rtl/>
          <w:lang w:eastAsia="he-IL"/>
        </w:rPr>
        <w:t>–</w:t>
      </w:r>
      <w:r w:rsidR="00942E30">
        <w:rPr>
          <w:rFonts w:hint="cs"/>
          <w:rtl/>
          <w:lang w:eastAsia="he-IL"/>
        </w:rPr>
        <w:t xml:space="preserve"> </w:t>
      </w:r>
      <w:r>
        <w:rPr>
          <w:rFonts w:hint="cs"/>
          <w:rtl/>
          <w:lang w:eastAsia="he-IL"/>
        </w:rPr>
        <w:t xml:space="preserve">שבהן כידוע טרם נפגע ולו שוטר אחד </w:t>
      </w:r>
      <w:r w:rsidR="00942E30">
        <w:rPr>
          <w:rFonts w:hint="eastAsia"/>
          <w:rtl/>
          <w:lang w:eastAsia="he-IL"/>
        </w:rPr>
        <w:t>–</w:t>
      </w:r>
      <w:r w:rsidR="00942E30">
        <w:rPr>
          <w:rFonts w:hint="cs"/>
          <w:rtl/>
          <w:lang w:eastAsia="he-IL"/>
        </w:rPr>
        <w:t xml:space="preserve"> </w:t>
      </w:r>
      <w:r>
        <w:rPr>
          <w:rFonts w:hint="cs"/>
          <w:rtl/>
          <w:lang w:eastAsia="he-IL"/>
        </w:rPr>
        <w:t xml:space="preserve">כאילו רצח רבין לא קרה מעולם. </w:t>
      </w:r>
      <w:bookmarkStart w:id="56317" w:name="_ETM_Q103_239352"/>
      <w:bookmarkStart w:id="56318" w:name="_ETM_Q103_239558"/>
      <w:bookmarkStart w:id="56319" w:name="_ETM_Q103_239576"/>
      <w:bookmarkStart w:id="56320" w:name="_ETM_Q103_239606"/>
      <w:bookmarkEnd w:id="56317"/>
      <w:bookmarkEnd w:id="56318"/>
      <w:bookmarkEnd w:id="56319"/>
      <w:bookmarkEnd w:id="56320"/>
      <w:r>
        <w:rPr>
          <w:rFonts w:hint="cs"/>
          <w:rtl/>
          <w:lang w:eastAsia="he-IL"/>
        </w:rPr>
        <w:t>לעומת זאת, מבין המפגינים קורבנות רבים לאלימות. הבאתם לקדמת הבמה שיח שצריך להיות מגונה ומורחק מהבית של הדמוקרטיה הישראלית. אכן, ממשלה מלא מלא – מלא קללות, מלא רפש, מלא שנאה. לא המצב הכלכלי, לא המצב הביטחוני ולא שום דבר, רק השחתת המערכת, פילוג העם וחורבן של כל מוסד וערך שאיחדו בינינו בעבר. מה זה משנה שנשפך הדם ברחובות</w:t>
      </w:r>
      <w:r w:rsidR="00942E30">
        <w:rPr>
          <w:rFonts w:hint="cs"/>
          <w:rtl/>
          <w:lang w:eastAsia="he-IL"/>
        </w:rPr>
        <w:t>,</w:t>
      </w:r>
      <w:r>
        <w:rPr>
          <w:rFonts w:hint="cs"/>
          <w:rtl/>
          <w:lang w:eastAsia="he-IL"/>
        </w:rPr>
        <w:t xml:space="preserve"> העיקר להוסיף עוד שמן ועצים למדורה שעליה אתם שורפים את המדינה. </w:t>
      </w:r>
      <w:bookmarkStart w:id="56321" w:name="_ETM_Q103_282348"/>
      <w:bookmarkStart w:id="56322" w:name="_ETM_Q103_282548"/>
      <w:bookmarkStart w:id="56323" w:name="_ETM_Q103_282564"/>
      <w:bookmarkStart w:id="56324" w:name="_ETM_Q103_282592"/>
      <w:bookmarkEnd w:id="56321"/>
      <w:bookmarkEnd w:id="56322"/>
      <w:bookmarkEnd w:id="56323"/>
      <w:bookmarkEnd w:id="56324"/>
    </w:p>
    <w:p w:rsidR="00BB59CD" w:rsidRDefault="00BB59CD" w:rsidP="00BB59CD">
      <w:pPr>
        <w:rPr>
          <w:rtl/>
          <w:lang w:eastAsia="he-IL"/>
        </w:rPr>
      </w:pPr>
    </w:p>
    <w:p w:rsidR="00BB59CD" w:rsidRDefault="00BB59CD" w:rsidP="00BB59CD">
      <w:pPr>
        <w:rPr>
          <w:rtl/>
        </w:rPr>
      </w:pPr>
      <w:r>
        <w:rPr>
          <w:rFonts w:hint="cs"/>
          <w:rtl/>
          <w:lang w:eastAsia="he-IL"/>
        </w:rPr>
        <w:t xml:space="preserve">מפעל תעמולת ההסתה שלכם כל כך הצליח עד שהוא חלחל למטה לציבור. אלימות כלפי מאות אלפי מפגינים למען הדמוקרטיה הפכה לעניין שבשגרה. לפעמים זה שמחה רוטמן שמחליט לתקוף מפגינה בניו יורק רק בגלל שלא בא לו לשמוע מה חושבים עליו ועל מפעל החיים שלו; מדי פעם זה שר התפוצות, שבעיקר מפיץ רעל ושנאה מתובלת בתנועות גסות כלפי מפגינים; </w:t>
      </w:r>
      <w:bookmarkStart w:id="56325" w:name="_ETM_Q103_312067"/>
      <w:bookmarkStart w:id="56326" w:name="_ETM_Q103_312132"/>
      <w:bookmarkStart w:id="56327" w:name="_ETM_Q103_312209"/>
      <w:bookmarkStart w:id="56328" w:name="_ETM_Q103_312318"/>
      <w:bookmarkEnd w:id="56325"/>
      <w:bookmarkEnd w:id="56326"/>
      <w:bookmarkEnd w:id="56327"/>
      <w:bookmarkEnd w:id="56328"/>
      <w:r>
        <w:rPr>
          <w:rFonts w:hint="cs"/>
          <w:rtl/>
          <w:lang w:eastAsia="he-IL"/>
        </w:rPr>
        <w:t>דריסת מפגינים הפכה לאירוע יום-יומי; אזרחים שניזונים מהתעמולה השקרית והאלימה</w:t>
      </w:r>
      <w:bookmarkStart w:id="56329" w:name="_ETM_Q103_318180"/>
      <w:bookmarkEnd w:id="56329"/>
      <w:r>
        <w:rPr>
          <w:rFonts w:hint="cs"/>
          <w:rtl/>
          <w:lang w:eastAsia="he-IL"/>
        </w:rPr>
        <w:t xml:space="preserve"> </w:t>
      </w:r>
      <w:r>
        <w:rPr>
          <w:rFonts w:hint="cs"/>
          <w:rtl/>
        </w:rPr>
        <w:t xml:space="preserve">שולפים </w:t>
      </w:r>
      <w:bookmarkStart w:id="56330" w:name="_ETM_Q103_318959"/>
      <w:bookmarkEnd w:id="56330"/>
      <w:r>
        <w:rPr>
          <w:rFonts w:hint="cs"/>
          <w:rtl/>
        </w:rPr>
        <w:t xml:space="preserve">אקדחים </w:t>
      </w:r>
      <w:bookmarkStart w:id="56331" w:name="_ETM_Q103_319919"/>
      <w:bookmarkEnd w:id="56331"/>
      <w:r>
        <w:rPr>
          <w:rFonts w:hint="cs"/>
          <w:rtl/>
        </w:rPr>
        <w:t xml:space="preserve">מול </w:t>
      </w:r>
      <w:bookmarkStart w:id="56332" w:name="_ETM_Q103_320310"/>
      <w:bookmarkEnd w:id="56332"/>
      <w:r>
        <w:rPr>
          <w:rFonts w:hint="cs"/>
          <w:rtl/>
        </w:rPr>
        <w:t xml:space="preserve">מפגינים, </w:t>
      </w:r>
      <w:bookmarkStart w:id="56333" w:name="_ETM_Q103_321450"/>
      <w:bookmarkEnd w:id="56333"/>
      <w:r>
        <w:rPr>
          <w:rFonts w:hint="cs"/>
          <w:rtl/>
        </w:rPr>
        <w:t xml:space="preserve">זורקים </w:t>
      </w:r>
      <w:bookmarkStart w:id="56334" w:name="_ETM_Q103_321959"/>
      <w:bookmarkEnd w:id="56334"/>
      <w:r>
        <w:rPr>
          <w:rFonts w:hint="cs"/>
          <w:rtl/>
        </w:rPr>
        <w:t xml:space="preserve">עליהם </w:t>
      </w:r>
      <w:bookmarkStart w:id="56335" w:name="_ETM_Q103_322260"/>
      <w:bookmarkEnd w:id="56335"/>
      <w:r>
        <w:rPr>
          <w:rFonts w:hint="cs"/>
          <w:rtl/>
        </w:rPr>
        <w:t xml:space="preserve">אבנים, </w:t>
      </w:r>
      <w:bookmarkStart w:id="56336" w:name="_ETM_Q103_323010"/>
      <w:bookmarkEnd w:id="56336"/>
      <w:r>
        <w:rPr>
          <w:rFonts w:hint="cs"/>
          <w:rtl/>
        </w:rPr>
        <w:t xml:space="preserve">מכים, </w:t>
      </w:r>
      <w:bookmarkStart w:id="56337" w:name="_ETM_Q103_323669"/>
      <w:bookmarkEnd w:id="56337"/>
      <w:r>
        <w:rPr>
          <w:rFonts w:hint="cs"/>
          <w:rtl/>
        </w:rPr>
        <w:t xml:space="preserve">מרססים </w:t>
      </w:r>
      <w:bookmarkStart w:id="56338" w:name="_ETM_Q103_324299"/>
      <w:bookmarkEnd w:id="56338"/>
      <w:r>
        <w:rPr>
          <w:rFonts w:hint="cs"/>
          <w:rtl/>
        </w:rPr>
        <w:t xml:space="preserve">בגז </w:t>
      </w:r>
      <w:bookmarkStart w:id="56339" w:name="_ETM_Q103_325330"/>
      <w:bookmarkEnd w:id="56339"/>
      <w:r>
        <w:rPr>
          <w:rFonts w:hint="cs"/>
          <w:rtl/>
        </w:rPr>
        <w:t xml:space="preserve">ומאיימים </w:t>
      </w:r>
      <w:bookmarkStart w:id="56340" w:name="_ETM_Q103_326169"/>
      <w:bookmarkEnd w:id="56340"/>
      <w:r>
        <w:rPr>
          <w:rFonts w:hint="cs"/>
          <w:rtl/>
        </w:rPr>
        <w:t xml:space="preserve">על </w:t>
      </w:r>
      <w:bookmarkStart w:id="56341" w:name="_ETM_Q103_326349"/>
      <w:bookmarkEnd w:id="56341"/>
      <w:r>
        <w:rPr>
          <w:rFonts w:hint="cs"/>
          <w:rtl/>
        </w:rPr>
        <w:t xml:space="preserve">חיי </w:t>
      </w:r>
      <w:bookmarkStart w:id="56342" w:name="_ETM_Q103_326740"/>
      <w:bookmarkEnd w:id="56342"/>
      <w:r>
        <w:rPr>
          <w:rFonts w:hint="cs"/>
          <w:rtl/>
        </w:rPr>
        <w:t xml:space="preserve">מפגינים; </w:t>
      </w:r>
      <w:bookmarkStart w:id="56343" w:name="_ETM_Q103_328810"/>
      <w:bookmarkEnd w:id="56343"/>
      <w:r>
        <w:rPr>
          <w:rFonts w:hint="cs"/>
          <w:rtl/>
        </w:rPr>
        <w:t xml:space="preserve">שר </w:t>
      </w:r>
      <w:bookmarkStart w:id="56344" w:name="_ETM_Q103_329110"/>
      <w:bookmarkEnd w:id="56344"/>
      <w:r>
        <w:rPr>
          <w:rFonts w:hint="cs"/>
          <w:rtl/>
        </w:rPr>
        <w:t xml:space="preserve">הסלטים </w:t>
      </w:r>
      <w:bookmarkStart w:id="56345" w:name="_ETM_Q103_329680"/>
      <w:bookmarkEnd w:id="56345"/>
      <w:r>
        <w:rPr>
          <w:rFonts w:hint="cs"/>
          <w:rtl/>
        </w:rPr>
        <w:t xml:space="preserve">שלכם </w:t>
      </w:r>
      <w:bookmarkStart w:id="56346" w:name="_ETM_Q103_330370"/>
      <w:bookmarkEnd w:id="56346"/>
      <w:r>
        <w:rPr>
          <w:rFonts w:hint="cs"/>
          <w:rtl/>
        </w:rPr>
        <w:t xml:space="preserve">עשה </w:t>
      </w:r>
      <w:bookmarkStart w:id="56347" w:name="_ETM_Q103_330639"/>
      <w:bookmarkEnd w:id="56347"/>
      <w:r>
        <w:rPr>
          <w:rFonts w:hint="cs"/>
          <w:rtl/>
        </w:rPr>
        <w:t xml:space="preserve">סלט </w:t>
      </w:r>
      <w:bookmarkStart w:id="56348" w:name="_ETM_Q103_331389"/>
      <w:bookmarkEnd w:id="56348"/>
      <w:r>
        <w:rPr>
          <w:rFonts w:hint="cs"/>
          <w:rtl/>
        </w:rPr>
        <w:t xml:space="preserve">מתפקיד </w:t>
      </w:r>
      <w:bookmarkStart w:id="56349" w:name="_ETM_Q103_332019"/>
      <w:bookmarkEnd w:id="56349"/>
      <w:r>
        <w:rPr>
          <w:rFonts w:hint="cs"/>
          <w:rtl/>
        </w:rPr>
        <w:t xml:space="preserve">המשטרה </w:t>
      </w:r>
      <w:bookmarkStart w:id="56350" w:name="_ETM_Q103_333010"/>
      <w:bookmarkEnd w:id="56350"/>
      <w:r>
        <w:rPr>
          <w:rFonts w:hint="cs"/>
          <w:rtl/>
        </w:rPr>
        <w:t xml:space="preserve">ושלח </w:t>
      </w:r>
      <w:bookmarkStart w:id="56351" w:name="_ETM_Q103_333550"/>
      <w:bookmarkEnd w:id="56351"/>
      <w:r>
        <w:rPr>
          <w:rFonts w:hint="cs"/>
          <w:rtl/>
        </w:rPr>
        <w:t xml:space="preserve">את </w:t>
      </w:r>
      <w:bookmarkStart w:id="56352" w:name="_ETM_Q103_333700"/>
      <w:bookmarkEnd w:id="56352"/>
      <w:r>
        <w:rPr>
          <w:rFonts w:hint="cs"/>
          <w:rtl/>
        </w:rPr>
        <w:t xml:space="preserve">השוטרים </w:t>
      </w:r>
      <w:bookmarkStart w:id="56353" w:name="_ETM_Q103_334300"/>
      <w:bookmarkEnd w:id="56353"/>
      <w:r>
        <w:rPr>
          <w:rFonts w:hint="cs"/>
          <w:rtl/>
        </w:rPr>
        <w:t xml:space="preserve">להלום </w:t>
      </w:r>
      <w:bookmarkStart w:id="56354" w:name="_ETM_Q103_334810"/>
      <w:bookmarkEnd w:id="56354"/>
      <w:r>
        <w:rPr>
          <w:rFonts w:hint="cs"/>
          <w:rtl/>
        </w:rPr>
        <w:t xml:space="preserve">באזרחים </w:t>
      </w:r>
      <w:bookmarkStart w:id="56355" w:name="_ETM_Q103_335410"/>
      <w:bookmarkEnd w:id="56355"/>
      <w:r>
        <w:rPr>
          <w:rFonts w:hint="cs"/>
          <w:rtl/>
        </w:rPr>
        <w:t xml:space="preserve">מפגינים </w:t>
      </w:r>
      <w:bookmarkStart w:id="56356" w:name="_ETM_Q103_336129"/>
      <w:bookmarkEnd w:id="56356"/>
      <w:r>
        <w:rPr>
          <w:rFonts w:hint="cs"/>
          <w:rtl/>
        </w:rPr>
        <w:t xml:space="preserve">כאילו </w:t>
      </w:r>
      <w:bookmarkStart w:id="56357" w:name="_ETM_Q103_336610"/>
      <w:bookmarkEnd w:id="56357"/>
      <w:r>
        <w:rPr>
          <w:rFonts w:hint="cs"/>
          <w:rtl/>
        </w:rPr>
        <w:t xml:space="preserve">היו </w:t>
      </w:r>
      <w:bookmarkStart w:id="56358" w:name="_ETM_Q103_337060"/>
      <w:bookmarkEnd w:id="56358"/>
      <w:r>
        <w:rPr>
          <w:rFonts w:hint="cs"/>
          <w:rtl/>
        </w:rPr>
        <w:t xml:space="preserve">בובות </w:t>
      </w:r>
      <w:bookmarkStart w:id="56359" w:name="_ETM_Q103_337510"/>
      <w:bookmarkEnd w:id="56359"/>
      <w:r>
        <w:rPr>
          <w:rFonts w:hint="cs"/>
          <w:rtl/>
        </w:rPr>
        <w:t xml:space="preserve">אימון. </w:t>
      </w:r>
      <w:bookmarkStart w:id="56360" w:name="_ETM_Q103_338810"/>
      <w:bookmarkEnd w:id="56360"/>
      <w:r>
        <w:rPr>
          <w:rFonts w:hint="cs"/>
          <w:rtl/>
        </w:rPr>
        <w:t xml:space="preserve">האלימות </w:t>
      </w:r>
      <w:bookmarkStart w:id="56361" w:name="_ETM_Q103_339500"/>
      <w:bookmarkEnd w:id="56361"/>
      <w:r>
        <w:rPr>
          <w:rFonts w:hint="cs"/>
          <w:rtl/>
        </w:rPr>
        <w:t xml:space="preserve">שאנחנו </w:t>
      </w:r>
      <w:bookmarkStart w:id="56362" w:name="_ETM_Q103_340010"/>
      <w:bookmarkEnd w:id="56362"/>
      <w:r>
        <w:rPr>
          <w:rFonts w:hint="cs"/>
          <w:rtl/>
        </w:rPr>
        <w:t xml:space="preserve">עדים </w:t>
      </w:r>
      <w:bookmarkStart w:id="56363" w:name="_ETM_Q103_340310"/>
      <w:bookmarkEnd w:id="56363"/>
      <w:r>
        <w:rPr>
          <w:rFonts w:hint="cs"/>
          <w:rtl/>
        </w:rPr>
        <w:t xml:space="preserve">לה </w:t>
      </w:r>
      <w:bookmarkStart w:id="56364" w:name="_ETM_Q103_340430"/>
      <w:bookmarkEnd w:id="56364"/>
      <w:r>
        <w:rPr>
          <w:rFonts w:hint="cs"/>
          <w:rtl/>
        </w:rPr>
        <w:t xml:space="preserve">כיום </w:t>
      </w:r>
      <w:bookmarkStart w:id="56365" w:name="_ETM_Q103_341250"/>
      <w:bookmarkEnd w:id="56365"/>
      <w:r>
        <w:rPr>
          <w:rFonts w:hint="cs"/>
          <w:rtl/>
        </w:rPr>
        <w:t xml:space="preserve">היא </w:t>
      </w:r>
      <w:bookmarkStart w:id="56366" w:name="_ETM_Q103_341459"/>
      <w:bookmarkEnd w:id="56366"/>
      <w:r>
        <w:rPr>
          <w:rFonts w:hint="cs"/>
          <w:rtl/>
        </w:rPr>
        <w:t xml:space="preserve">עליית </w:t>
      </w:r>
      <w:bookmarkStart w:id="56367" w:name="_ETM_Q103_341940"/>
      <w:bookmarkEnd w:id="56367"/>
      <w:r>
        <w:rPr>
          <w:rFonts w:hint="cs"/>
          <w:rtl/>
        </w:rPr>
        <w:t xml:space="preserve">מדרגה </w:t>
      </w:r>
      <w:bookmarkStart w:id="56368" w:name="_ETM_Q103_342480"/>
      <w:bookmarkEnd w:id="56368"/>
      <w:r>
        <w:rPr>
          <w:rFonts w:hint="cs"/>
          <w:rtl/>
        </w:rPr>
        <w:t xml:space="preserve">מצד </w:t>
      </w:r>
      <w:bookmarkStart w:id="56369" w:name="_ETM_Q103_342840"/>
      <w:bookmarkEnd w:id="56369"/>
      <w:r>
        <w:rPr>
          <w:rFonts w:hint="cs"/>
          <w:rtl/>
        </w:rPr>
        <w:t>המשטרה</w:t>
      </w:r>
      <w:bookmarkStart w:id="56370" w:name="_ETM_Q103_343800"/>
      <w:bookmarkStart w:id="56371" w:name="_ETM_Q103_344669"/>
      <w:bookmarkEnd w:id="56370"/>
      <w:bookmarkEnd w:id="56371"/>
      <w:r>
        <w:rPr>
          <w:rFonts w:hint="cs"/>
          <w:rtl/>
        </w:rPr>
        <w:t xml:space="preserve">. מכת"זיות מופעלות </w:t>
      </w:r>
      <w:bookmarkStart w:id="56372" w:name="_ETM_Q103_345270"/>
      <w:bookmarkEnd w:id="56372"/>
      <w:r>
        <w:rPr>
          <w:rFonts w:hint="cs"/>
          <w:rtl/>
        </w:rPr>
        <w:t xml:space="preserve">ללא </w:t>
      </w:r>
      <w:bookmarkStart w:id="56373" w:name="_ETM_Q103_345510"/>
      <w:bookmarkEnd w:id="56373"/>
      <w:r>
        <w:rPr>
          <w:rFonts w:hint="cs"/>
          <w:rtl/>
        </w:rPr>
        <w:t xml:space="preserve">התראה, </w:t>
      </w:r>
      <w:bookmarkStart w:id="56374" w:name="_ETM_Q103_346540"/>
      <w:bookmarkEnd w:id="56374"/>
      <w:r>
        <w:rPr>
          <w:rFonts w:hint="cs"/>
          <w:rtl/>
        </w:rPr>
        <w:t xml:space="preserve">פרשים </w:t>
      </w:r>
      <w:bookmarkStart w:id="56375" w:name="_ETM_Q103_347110"/>
      <w:bookmarkEnd w:id="56375"/>
      <w:r>
        <w:rPr>
          <w:rFonts w:hint="cs"/>
          <w:rtl/>
        </w:rPr>
        <w:t xml:space="preserve">רומסים </w:t>
      </w:r>
      <w:bookmarkStart w:id="56376" w:name="_ETM_Q103_347680"/>
      <w:bookmarkEnd w:id="56376"/>
      <w:r>
        <w:rPr>
          <w:rFonts w:hint="cs"/>
          <w:rtl/>
        </w:rPr>
        <w:t xml:space="preserve">אזרחים, </w:t>
      </w:r>
      <w:bookmarkStart w:id="56377" w:name="_ETM_Q103_348830"/>
      <w:bookmarkEnd w:id="56377"/>
      <w:r>
        <w:rPr>
          <w:rFonts w:hint="cs"/>
          <w:rtl/>
        </w:rPr>
        <w:t xml:space="preserve">שוטרים </w:t>
      </w:r>
      <w:bookmarkStart w:id="56378" w:name="_ETM_Q103_349430"/>
      <w:bookmarkEnd w:id="56378"/>
      <w:r>
        <w:rPr>
          <w:rFonts w:hint="cs"/>
          <w:rtl/>
        </w:rPr>
        <w:t xml:space="preserve">חובטים, </w:t>
      </w:r>
      <w:bookmarkStart w:id="56379" w:name="_ETM_Q103_350300"/>
      <w:bookmarkEnd w:id="56379"/>
      <w:r>
        <w:rPr>
          <w:rFonts w:hint="cs"/>
          <w:rtl/>
        </w:rPr>
        <w:t xml:space="preserve">בועטים </w:t>
      </w:r>
      <w:bookmarkStart w:id="56380" w:name="_ETM_Q103_350900"/>
      <w:bookmarkEnd w:id="56380"/>
      <w:r>
        <w:rPr>
          <w:rFonts w:hint="cs"/>
          <w:rtl/>
        </w:rPr>
        <w:t xml:space="preserve">וחונקים </w:t>
      </w:r>
      <w:bookmarkStart w:id="56381" w:name="_ETM_Q103_351410"/>
      <w:bookmarkEnd w:id="56381"/>
      <w:r>
        <w:rPr>
          <w:rFonts w:hint="cs"/>
          <w:rtl/>
        </w:rPr>
        <w:t xml:space="preserve">אזרחים </w:t>
      </w:r>
      <w:bookmarkStart w:id="56382" w:name="_ETM_Q103_351889"/>
      <w:bookmarkEnd w:id="56382"/>
      <w:r>
        <w:rPr>
          <w:rFonts w:hint="cs"/>
          <w:rtl/>
        </w:rPr>
        <w:t xml:space="preserve">בטענה </w:t>
      </w:r>
      <w:bookmarkStart w:id="56383" w:name="_ETM_Q103_352610"/>
      <w:bookmarkEnd w:id="56383"/>
      <w:r>
        <w:rPr>
          <w:rFonts w:hint="cs"/>
          <w:rtl/>
        </w:rPr>
        <w:t xml:space="preserve">שהם </w:t>
      </w:r>
      <w:bookmarkStart w:id="56384" w:name="_ETM_Q103_352910"/>
      <w:bookmarkEnd w:id="56384"/>
      <w:r>
        <w:rPr>
          <w:rFonts w:hint="cs"/>
          <w:rtl/>
        </w:rPr>
        <w:t xml:space="preserve">עוצרים </w:t>
      </w:r>
      <w:bookmarkStart w:id="56385" w:name="_ETM_Q103_353239"/>
      <w:bookmarkEnd w:id="56385"/>
      <w:r>
        <w:rPr>
          <w:rFonts w:hint="cs"/>
          <w:rtl/>
        </w:rPr>
        <w:t xml:space="preserve">אותם. </w:t>
      </w:r>
      <w:bookmarkStart w:id="56386" w:name="_ETM_Q103_354310"/>
      <w:bookmarkEnd w:id="56386"/>
      <w:r>
        <w:rPr>
          <w:rFonts w:hint="cs"/>
          <w:rtl/>
        </w:rPr>
        <w:t xml:space="preserve">המשטרה </w:t>
      </w:r>
      <w:bookmarkStart w:id="56387" w:name="_ETM_Q103_354850"/>
      <w:bookmarkEnd w:id="56387"/>
      <w:r>
        <w:rPr>
          <w:rFonts w:hint="cs"/>
          <w:rtl/>
        </w:rPr>
        <w:t xml:space="preserve">עצמה </w:t>
      </w:r>
      <w:bookmarkStart w:id="56388" w:name="_ETM_Q103_355150"/>
      <w:bookmarkEnd w:id="56388"/>
      <w:r>
        <w:rPr>
          <w:rFonts w:hint="cs"/>
          <w:rtl/>
        </w:rPr>
        <w:t xml:space="preserve">משתמשת </w:t>
      </w:r>
      <w:bookmarkStart w:id="56389" w:name="_ETM_Q103_355720"/>
      <w:bookmarkEnd w:id="56389"/>
      <w:r>
        <w:rPr>
          <w:rFonts w:hint="cs"/>
          <w:rtl/>
        </w:rPr>
        <w:t xml:space="preserve">בכלים </w:t>
      </w:r>
      <w:bookmarkStart w:id="56390" w:name="_ETM_Q103_356230"/>
      <w:bookmarkEnd w:id="56390"/>
      <w:r>
        <w:rPr>
          <w:rFonts w:hint="cs"/>
          <w:rtl/>
        </w:rPr>
        <w:t xml:space="preserve">כמו </w:t>
      </w:r>
      <w:bookmarkStart w:id="56391" w:name="_ETM_Q103_356500"/>
      <w:bookmarkStart w:id="56392" w:name="_ETM_Q103_356710"/>
      <w:bookmarkEnd w:id="56391"/>
      <w:bookmarkEnd w:id="56392"/>
      <w:r>
        <w:rPr>
          <w:rFonts w:hint="cs"/>
          <w:rtl/>
        </w:rPr>
        <w:t xml:space="preserve">רימוני </w:t>
      </w:r>
      <w:bookmarkStart w:id="56393" w:name="_ETM_Q103_357220"/>
      <w:bookmarkEnd w:id="56393"/>
      <w:r>
        <w:rPr>
          <w:rFonts w:hint="cs"/>
          <w:rtl/>
        </w:rPr>
        <w:t xml:space="preserve">הלם </w:t>
      </w:r>
      <w:bookmarkStart w:id="56394" w:name="_ETM_Q103_357520"/>
      <w:bookmarkEnd w:id="56394"/>
      <w:r>
        <w:rPr>
          <w:rFonts w:hint="cs"/>
          <w:rtl/>
        </w:rPr>
        <w:t xml:space="preserve">כלפי </w:t>
      </w:r>
      <w:bookmarkStart w:id="56395" w:name="_ETM_Q103_357880"/>
      <w:bookmarkEnd w:id="56395"/>
      <w:r>
        <w:rPr>
          <w:rFonts w:hint="cs"/>
          <w:rtl/>
        </w:rPr>
        <w:t xml:space="preserve">מפגינים, </w:t>
      </w:r>
      <w:bookmarkStart w:id="56396" w:name="_ETM_Q103_358900"/>
      <w:bookmarkEnd w:id="56396"/>
      <w:r>
        <w:rPr>
          <w:rFonts w:hint="cs"/>
          <w:rtl/>
        </w:rPr>
        <w:t xml:space="preserve">ואפילו </w:t>
      </w:r>
      <w:bookmarkStart w:id="56397" w:name="_ETM_Q103_359380"/>
      <w:bookmarkEnd w:id="56397"/>
      <w:r>
        <w:rPr>
          <w:rFonts w:hint="cs"/>
          <w:rtl/>
        </w:rPr>
        <w:t xml:space="preserve">במכשיר </w:t>
      </w:r>
      <w:bookmarkStart w:id="56398" w:name="_ETM_Q103_359860"/>
      <w:bookmarkEnd w:id="56398"/>
      <w:r>
        <w:rPr>
          <w:rFonts w:hint="cs"/>
          <w:rtl/>
        </w:rPr>
        <w:t xml:space="preserve">הצעקה, </w:t>
      </w:r>
      <w:bookmarkStart w:id="56399" w:name="_ETM_Q103_360970"/>
      <w:bookmarkEnd w:id="56399"/>
      <w:r>
        <w:rPr>
          <w:rFonts w:hint="cs"/>
          <w:rtl/>
        </w:rPr>
        <w:t xml:space="preserve">שאסור </w:t>
      </w:r>
      <w:bookmarkStart w:id="56400" w:name="_ETM_Q103_361870"/>
      <w:bookmarkEnd w:id="56400"/>
      <w:r>
        <w:rPr>
          <w:rFonts w:hint="cs"/>
          <w:rtl/>
        </w:rPr>
        <w:t xml:space="preserve">להשתמש </w:t>
      </w:r>
      <w:bookmarkStart w:id="56401" w:name="_ETM_Q103_358427"/>
      <w:bookmarkEnd w:id="56401"/>
      <w:r>
        <w:rPr>
          <w:rFonts w:hint="cs"/>
          <w:rtl/>
        </w:rPr>
        <w:t xml:space="preserve">בו. </w:t>
      </w:r>
      <w:bookmarkStart w:id="56402" w:name="_ETM_Q103_364000"/>
      <w:bookmarkEnd w:id="56402"/>
    </w:p>
    <w:p w:rsidR="00BB59CD" w:rsidRDefault="00BB59CD" w:rsidP="00BB59CD">
      <w:pPr>
        <w:rPr>
          <w:rtl/>
        </w:rPr>
      </w:pPr>
      <w:bookmarkStart w:id="56403" w:name="_ETM_Q103_366179"/>
      <w:bookmarkEnd w:id="56403"/>
    </w:p>
    <w:p w:rsidR="00BB59CD" w:rsidRDefault="00BB59CD" w:rsidP="00942E30">
      <w:pPr>
        <w:rPr>
          <w:rtl/>
        </w:rPr>
      </w:pPr>
      <w:bookmarkStart w:id="56404" w:name="_ETM_Q103_366378"/>
      <w:bookmarkStart w:id="56405" w:name="_ETM_Q103_366407"/>
      <w:bookmarkStart w:id="56406" w:name="_ETM_Q103_366457"/>
      <w:bookmarkEnd w:id="56404"/>
      <w:bookmarkEnd w:id="56405"/>
      <w:bookmarkEnd w:id="56406"/>
      <w:r>
        <w:rPr>
          <w:rFonts w:hint="cs"/>
          <w:rtl/>
        </w:rPr>
        <w:t xml:space="preserve">מבינים </w:t>
      </w:r>
      <w:bookmarkStart w:id="56407" w:name="_ETM_Q103_364569"/>
      <w:bookmarkEnd w:id="56407"/>
      <w:r>
        <w:rPr>
          <w:rFonts w:hint="cs"/>
          <w:rtl/>
        </w:rPr>
        <w:t xml:space="preserve">עכשיו </w:t>
      </w:r>
      <w:bookmarkStart w:id="56408" w:name="_ETM_Q103_364930"/>
      <w:bookmarkEnd w:id="56408"/>
      <w:r>
        <w:rPr>
          <w:rFonts w:hint="cs"/>
          <w:rtl/>
        </w:rPr>
        <w:t xml:space="preserve">למה </w:t>
      </w:r>
      <w:bookmarkStart w:id="56409" w:name="_ETM_Q103_365169"/>
      <w:bookmarkEnd w:id="56409"/>
      <w:r>
        <w:rPr>
          <w:rFonts w:hint="cs"/>
          <w:rtl/>
        </w:rPr>
        <w:t xml:space="preserve">צריך </w:t>
      </w:r>
      <w:bookmarkStart w:id="56410" w:name="_ETM_Q103_365500"/>
      <w:bookmarkEnd w:id="56410"/>
      <w:r>
        <w:rPr>
          <w:rFonts w:hint="cs"/>
          <w:rtl/>
        </w:rPr>
        <w:t xml:space="preserve">את עילת </w:t>
      </w:r>
      <w:bookmarkStart w:id="56411" w:name="_ETM_Q103_365769"/>
      <w:bookmarkEnd w:id="56411"/>
      <w:r>
        <w:rPr>
          <w:rFonts w:hint="cs"/>
          <w:rtl/>
        </w:rPr>
        <w:t xml:space="preserve">הסבירות? </w:t>
      </w:r>
      <w:bookmarkStart w:id="56412" w:name="_ETM_Q103_366900"/>
      <w:bookmarkEnd w:id="56412"/>
      <w:r>
        <w:rPr>
          <w:rFonts w:hint="cs"/>
          <w:rtl/>
        </w:rPr>
        <w:t xml:space="preserve">כי </w:t>
      </w:r>
      <w:bookmarkStart w:id="56413" w:name="_ETM_Q103_367109"/>
      <w:bookmarkEnd w:id="56413"/>
      <w:r>
        <w:rPr>
          <w:rFonts w:hint="cs"/>
          <w:rtl/>
        </w:rPr>
        <w:t xml:space="preserve">לא </w:t>
      </w:r>
      <w:bookmarkStart w:id="56414" w:name="_ETM_Q103_367260"/>
      <w:bookmarkEnd w:id="56414"/>
      <w:r>
        <w:rPr>
          <w:rFonts w:hint="cs"/>
          <w:rtl/>
        </w:rPr>
        <w:t xml:space="preserve">סביר </w:t>
      </w:r>
      <w:bookmarkStart w:id="56415" w:name="_ETM_Q103_367980"/>
      <w:bookmarkEnd w:id="56415"/>
      <w:r>
        <w:rPr>
          <w:rFonts w:hint="cs"/>
          <w:rtl/>
        </w:rPr>
        <w:t xml:space="preserve">שאדם </w:t>
      </w:r>
      <w:bookmarkStart w:id="56416" w:name="_ETM_Q103_368549"/>
      <w:bookmarkEnd w:id="56416"/>
      <w:r>
        <w:rPr>
          <w:rFonts w:hint="cs"/>
          <w:rtl/>
        </w:rPr>
        <w:t xml:space="preserve">שהורשע </w:t>
      </w:r>
      <w:bookmarkStart w:id="56417" w:name="_ETM_Q103_368969"/>
      <w:bookmarkEnd w:id="56417"/>
      <w:r>
        <w:rPr>
          <w:rFonts w:hint="cs"/>
          <w:rtl/>
        </w:rPr>
        <w:t xml:space="preserve">בטרור </w:t>
      </w:r>
      <w:bookmarkStart w:id="56418" w:name="_ETM_Q103_369599"/>
      <w:bookmarkEnd w:id="56418"/>
      <w:r>
        <w:rPr>
          <w:rFonts w:hint="cs"/>
          <w:rtl/>
        </w:rPr>
        <w:t xml:space="preserve">יהיה </w:t>
      </w:r>
      <w:bookmarkStart w:id="56419" w:name="_ETM_Q103_369809"/>
      <w:bookmarkEnd w:id="56419"/>
      <w:r>
        <w:rPr>
          <w:rFonts w:hint="cs"/>
          <w:rtl/>
        </w:rPr>
        <w:t xml:space="preserve">מופקד </w:t>
      </w:r>
      <w:bookmarkStart w:id="56420" w:name="_ETM_Q103_370379"/>
      <w:bookmarkEnd w:id="56420"/>
      <w:r>
        <w:rPr>
          <w:rFonts w:hint="cs"/>
          <w:rtl/>
        </w:rPr>
        <w:t xml:space="preserve">על </w:t>
      </w:r>
      <w:bookmarkStart w:id="56421" w:name="_ETM_Q103_370469"/>
      <w:bookmarkEnd w:id="56421"/>
      <w:r>
        <w:rPr>
          <w:rFonts w:hint="cs"/>
          <w:rtl/>
        </w:rPr>
        <w:t xml:space="preserve">כוח </w:t>
      </w:r>
      <w:bookmarkStart w:id="56422" w:name="_ETM_Q103_370769"/>
      <w:bookmarkEnd w:id="56422"/>
      <w:r>
        <w:rPr>
          <w:rFonts w:hint="cs"/>
          <w:rtl/>
        </w:rPr>
        <w:t xml:space="preserve">השיטור </w:t>
      </w:r>
      <w:bookmarkStart w:id="56423" w:name="_ETM_Q103_371189"/>
      <w:bookmarkEnd w:id="56423"/>
      <w:r>
        <w:rPr>
          <w:rFonts w:hint="cs"/>
          <w:rtl/>
        </w:rPr>
        <w:t xml:space="preserve">העיקרי </w:t>
      </w:r>
      <w:bookmarkStart w:id="56424" w:name="_ETM_Q103_371579"/>
      <w:bookmarkEnd w:id="56424"/>
      <w:r>
        <w:rPr>
          <w:rFonts w:hint="cs"/>
          <w:rtl/>
        </w:rPr>
        <w:t xml:space="preserve">של </w:t>
      </w:r>
      <w:bookmarkStart w:id="56425" w:name="_ETM_Q103_371760"/>
      <w:bookmarkEnd w:id="56425"/>
      <w:r>
        <w:rPr>
          <w:rFonts w:hint="cs"/>
          <w:rtl/>
        </w:rPr>
        <w:t xml:space="preserve">המדינה. </w:t>
      </w:r>
      <w:bookmarkStart w:id="56426" w:name="_ETM_Q103_372800"/>
      <w:bookmarkEnd w:id="56426"/>
      <w:r>
        <w:rPr>
          <w:rFonts w:hint="cs"/>
          <w:rtl/>
        </w:rPr>
        <w:t xml:space="preserve">מה </w:t>
      </w:r>
      <w:bookmarkStart w:id="56427" w:name="_ETM_Q103_372980"/>
      <w:bookmarkEnd w:id="56427"/>
      <w:r>
        <w:rPr>
          <w:rFonts w:hint="cs"/>
          <w:rtl/>
        </w:rPr>
        <w:t xml:space="preserve">חשבתם </w:t>
      </w:r>
      <w:bookmarkStart w:id="56428" w:name="_ETM_Q103_373550"/>
      <w:bookmarkEnd w:id="56428"/>
      <w:r>
        <w:rPr>
          <w:rFonts w:hint="cs"/>
          <w:rtl/>
        </w:rPr>
        <w:t xml:space="preserve">לעצמכם, </w:t>
      </w:r>
      <w:bookmarkStart w:id="56429" w:name="_ETM_Q103_374419"/>
      <w:bookmarkEnd w:id="56429"/>
      <w:r>
        <w:rPr>
          <w:rFonts w:hint="cs"/>
          <w:rtl/>
        </w:rPr>
        <w:t xml:space="preserve">שהוא </w:t>
      </w:r>
      <w:bookmarkStart w:id="56430" w:name="_ETM_Q103_374690"/>
      <w:bookmarkEnd w:id="56430"/>
      <w:r>
        <w:rPr>
          <w:rFonts w:hint="cs"/>
          <w:rtl/>
        </w:rPr>
        <w:t xml:space="preserve">לא </w:t>
      </w:r>
      <w:bookmarkStart w:id="56431" w:name="_ETM_Q103_374870"/>
      <w:bookmarkEnd w:id="56431"/>
      <w:r>
        <w:rPr>
          <w:rFonts w:hint="cs"/>
          <w:rtl/>
        </w:rPr>
        <w:t xml:space="preserve">יעשה </w:t>
      </w:r>
      <w:bookmarkStart w:id="56432" w:name="_ETM_Q103_375800"/>
      <w:bookmarkEnd w:id="56432"/>
      <w:r>
        <w:rPr>
          <w:rFonts w:hint="cs"/>
          <w:rtl/>
        </w:rPr>
        <w:t xml:space="preserve">שימוש </w:t>
      </w:r>
      <w:bookmarkStart w:id="56433" w:name="_ETM_Q103_376370"/>
      <w:bookmarkEnd w:id="56433"/>
      <w:r>
        <w:rPr>
          <w:rFonts w:hint="cs"/>
          <w:rtl/>
        </w:rPr>
        <w:t xml:space="preserve">במשטרה, </w:t>
      </w:r>
      <w:bookmarkStart w:id="56434" w:name="_ETM_Q103_377389"/>
      <w:bookmarkEnd w:id="56434"/>
      <w:r>
        <w:rPr>
          <w:rFonts w:hint="cs"/>
          <w:rtl/>
        </w:rPr>
        <w:t xml:space="preserve">שימוש </w:t>
      </w:r>
      <w:bookmarkStart w:id="56435" w:name="_ETM_Q103_377900"/>
      <w:bookmarkEnd w:id="56435"/>
      <w:r>
        <w:rPr>
          <w:rFonts w:hint="cs"/>
          <w:rtl/>
        </w:rPr>
        <w:t xml:space="preserve">פוליטי? </w:t>
      </w:r>
      <w:bookmarkStart w:id="56436" w:name="_ETM_Q103_378930"/>
      <w:bookmarkEnd w:id="56436"/>
      <w:r>
        <w:rPr>
          <w:rFonts w:hint="cs"/>
          <w:rtl/>
        </w:rPr>
        <w:t xml:space="preserve">שתיתנו </w:t>
      </w:r>
      <w:bookmarkStart w:id="56437" w:name="_ETM_Q103_379409"/>
      <w:bookmarkEnd w:id="56437"/>
      <w:r>
        <w:rPr>
          <w:rFonts w:hint="cs"/>
          <w:rtl/>
        </w:rPr>
        <w:t xml:space="preserve">לו </w:t>
      </w:r>
      <w:bookmarkStart w:id="56438" w:name="_ETM_Q103_379530"/>
      <w:bookmarkEnd w:id="56438"/>
      <w:r>
        <w:rPr>
          <w:rFonts w:hint="cs"/>
          <w:rtl/>
        </w:rPr>
        <w:t xml:space="preserve">מיליארדים </w:t>
      </w:r>
      <w:bookmarkStart w:id="56439" w:name="_ETM_Q103_380159"/>
      <w:bookmarkEnd w:id="56439"/>
      <w:r>
        <w:rPr>
          <w:rFonts w:hint="cs"/>
          <w:rtl/>
        </w:rPr>
        <w:t xml:space="preserve">בתקציב </w:t>
      </w:r>
      <w:bookmarkStart w:id="56440" w:name="_ETM_Q103_380819"/>
      <w:bookmarkEnd w:id="56440"/>
      <w:r>
        <w:rPr>
          <w:rFonts w:hint="cs"/>
          <w:rtl/>
        </w:rPr>
        <w:t xml:space="preserve">ושהוא </w:t>
      </w:r>
      <w:bookmarkStart w:id="56441" w:name="_ETM_Q103_380970"/>
      <w:bookmarkEnd w:id="56441"/>
      <w:r>
        <w:rPr>
          <w:rFonts w:hint="cs"/>
          <w:rtl/>
        </w:rPr>
        <w:t xml:space="preserve">יהפוך </w:t>
      </w:r>
      <w:bookmarkStart w:id="56442" w:name="_ETM_Q103_381360"/>
      <w:bookmarkEnd w:id="56442"/>
      <w:r>
        <w:rPr>
          <w:rFonts w:hint="cs"/>
          <w:rtl/>
        </w:rPr>
        <w:t xml:space="preserve">את </w:t>
      </w:r>
      <w:bookmarkStart w:id="56443" w:name="_ETM_Q103_381480"/>
      <w:bookmarkEnd w:id="56443"/>
      <w:r>
        <w:rPr>
          <w:rFonts w:hint="cs"/>
          <w:rtl/>
        </w:rPr>
        <w:t xml:space="preserve">המשטרה </w:t>
      </w:r>
      <w:bookmarkStart w:id="56444" w:name="_ETM_Q103_382019"/>
      <w:bookmarkEnd w:id="56444"/>
      <w:r>
        <w:rPr>
          <w:rFonts w:hint="cs"/>
          <w:rtl/>
        </w:rPr>
        <w:t xml:space="preserve">לגוף </w:t>
      </w:r>
      <w:bookmarkStart w:id="56445" w:name="_ETM_Q103_382409"/>
      <w:bookmarkEnd w:id="56445"/>
      <w:r>
        <w:rPr>
          <w:rFonts w:hint="cs"/>
          <w:rtl/>
        </w:rPr>
        <w:t xml:space="preserve">ענייני </w:t>
      </w:r>
      <w:bookmarkStart w:id="56446" w:name="_ETM_Q103_382739"/>
      <w:bookmarkEnd w:id="56446"/>
      <w:r>
        <w:rPr>
          <w:rFonts w:hint="cs"/>
          <w:rtl/>
        </w:rPr>
        <w:t xml:space="preserve">ומתפקד? </w:t>
      </w:r>
      <w:bookmarkStart w:id="56447" w:name="_ETM_Q103_384060"/>
      <w:bookmarkEnd w:id="56447"/>
      <w:r>
        <w:rPr>
          <w:rFonts w:hint="cs"/>
          <w:rtl/>
        </w:rPr>
        <w:t xml:space="preserve">שאם </w:t>
      </w:r>
      <w:bookmarkStart w:id="56448" w:name="_ETM_Q103_384329"/>
      <w:bookmarkEnd w:id="56448"/>
      <w:r>
        <w:rPr>
          <w:rFonts w:hint="cs"/>
          <w:rtl/>
        </w:rPr>
        <w:t xml:space="preserve">הוא </w:t>
      </w:r>
      <w:bookmarkStart w:id="56449" w:name="_ETM_Q103_384419"/>
      <w:bookmarkEnd w:id="56449"/>
      <w:r>
        <w:rPr>
          <w:rFonts w:hint="cs"/>
          <w:rtl/>
        </w:rPr>
        <w:t xml:space="preserve">רוצה </w:t>
      </w:r>
      <w:bookmarkStart w:id="56450" w:name="_ETM_Q103_384750"/>
      <w:bookmarkEnd w:id="56450"/>
      <w:r>
        <w:rPr>
          <w:rFonts w:hint="cs"/>
          <w:rtl/>
        </w:rPr>
        <w:t xml:space="preserve">מפקד </w:t>
      </w:r>
      <w:bookmarkStart w:id="56451" w:name="_ETM_Q103_385200"/>
      <w:bookmarkEnd w:id="56451"/>
      <w:r>
        <w:rPr>
          <w:rFonts w:hint="cs"/>
          <w:rtl/>
        </w:rPr>
        <w:t xml:space="preserve">מחוז </w:t>
      </w:r>
      <w:bookmarkStart w:id="56452" w:name="_ETM_Q103_385680"/>
      <w:bookmarkEnd w:id="56452"/>
      <w:r>
        <w:rPr>
          <w:rFonts w:hint="cs"/>
          <w:rtl/>
        </w:rPr>
        <w:t xml:space="preserve">שמציף </w:t>
      </w:r>
      <w:bookmarkStart w:id="56453" w:name="_ETM_Q103_386129"/>
      <w:bookmarkEnd w:id="56453"/>
      <w:r>
        <w:rPr>
          <w:rFonts w:hint="cs"/>
          <w:rtl/>
        </w:rPr>
        <w:t xml:space="preserve">את </w:t>
      </w:r>
      <w:bookmarkStart w:id="56454" w:name="_ETM_Q103_386250"/>
      <w:bookmarkEnd w:id="56454"/>
      <w:r>
        <w:rPr>
          <w:rFonts w:hint="cs"/>
          <w:rtl/>
        </w:rPr>
        <w:t xml:space="preserve">הרחובות </w:t>
      </w:r>
      <w:bookmarkStart w:id="56455" w:name="_ETM_Q103_386730"/>
      <w:bookmarkEnd w:id="56455"/>
      <w:r>
        <w:rPr>
          <w:rFonts w:hint="cs"/>
          <w:rtl/>
        </w:rPr>
        <w:t xml:space="preserve">בדם </w:t>
      </w:r>
      <w:bookmarkStart w:id="56456" w:name="_ETM_Q103_387620"/>
      <w:bookmarkEnd w:id="56456"/>
      <w:r>
        <w:rPr>
          <w:rFonts w:hint="cs"/>
          <w:rtl/>
        </w:rPr>
        <w:t xml:space="preserve">הוא </w:t>
      </w:r>
      <w:bookmarkStart w:id="56457" w:name="_ETM_Q103_387769"/>
      <w:bookmarkEnd w:id="56457"/>
      <w:r>
        <w:rPr>
          <w:rFonts w:hint="cs"/>
          <w:rtl/>
        </w:rPr>
        <w:t xml:space="preserve">לא </w:t>
      </w:r>
      <w:bookmarkStart w:id="56458" w:name="_ETM_Q103_387980"/>
      <w:bookmarkEnd w:id="56458"/>
      <w:r>
        <w:rPr>
          <w:rFonts w:hint="cs"/>
          <w:rtl/>
        </w:rPr>
        <w:t xml:space="preserve">יזיז </w:t>
      </w:r>
      <w:bookmarkStart w:id="56459" w:name="_ETM_Q103_388430"/>
      <w:bookmarkEnd w:id="56459"/>
      <w:r>
        <w:rPr>
          <w:rFonts w:hint="cs"/>
          <w:rtl/>
        </w:rPr>
        <w:t xml:space="preserve">מתפקידו </w:t>
      </w:r>
      <w:bookmarkStart w:id="56460" w:name="_ETM_Q103_389269"/>
      <w:bookmarkEnd w:id="56460"/>
      <w:r>
        <w:rPr>
          <w:rFonts w:hint="cs"/>
          <w:rtl/>
        </w:rPr>
        <w:t xml:space="preserve">את </w:t>
      </w:r>
      <w:bookmarkStart w:id="56461" w:name="_ETM_Q103_389419"/>
      <w:bookmarkEnd w:id="56461"/>
      <w:r>
        <w:rPr>
          <w:rFonts w:hint="cs"/>
          <w:rtl/>
        </w:rPr>
        <w:t xml:space="preserve">מי </w:t>
      </w:r>
      <w:bookmarkStart w:id="56462" w:name="_ETM_Q103_389569"/>
      <w:bookmarkEnd w:id="56462"/>
      <w:r>
        <w:rPr>
          <w:rFonts w:hint="cs"/>
          <w:rtl/>
        </w:rPr>
        <w:t xml:space="preserve">שסירב? </w:t>
      </w:r>
      <w:bookmarkStart w:id="56463" w:name="_ETM_Q103_391120"/>
      <w:bookmarkEnd w:id="56463"/>
      <w:r>
        <w:rPr>
          <w:rFonts w:hint="cs"/>
          <w:rtl/>
        </w:rPr>
        <w:t xml:space="preserve">אסור </w:t>
      </w:r>
      <w:bookmarkStart w:id="56464" w:name="_ETM_Q103_391510"/>
      <w:bookmarkEnd w:id="56464"/>
      <w:r>
        <w:rPr>
          <w:rFonts w:hint="cs"/>
          <w:rtl/>
        </w:rPr>
        <w:t xml:space="preserve">לנו </w:t>
      </w:r>
      <w:bookmarkStart w:id="56465" w:name="_ETM_Q103_391720"/>
      <w:bookmarkEnd w:id="56465"/>
      <w:r>
        <w:rPr>
          <w:rFonts w:hint="cs"/>
          <w:rtl/>
        </w:rPr>
        <w:t xml:space="preserve">לקבל </w:t>
      </w:r>
      <w:bookmarkStart w:id="56466" w:name="_ETM_Q103_392139"/>
      <w:bookmarkEnd w:id="56466"/>
      <w:r>
        <w:rPr>
          <w:rFonts w:hint="cs"/>
          <w:rtl/>
        </w:rPr>
        <w:t xml:space="preserve">את </w:t>
      </w:r>
      <w:bookmarkStart w:id="56467" w:name="_ETM_Q103_392230"/>
      <w:bookmarkEnd w:id="56467"/>
      <w:r>
        <w:rPr>
          <w:rFonts w:hint="cs"/>
          <w:rtl/>
        </w:rPr>
        <w:t xml:space="preserve">התמונות </w:t>
      </w:r>
      <w:bookmarkStart w:id="56468" w:name="_ETM_Q103_392740"/>
      <w:bookmarkEnd w:id="56468"/>
      <w:r>
        <w:rPr>
          <w:rFonts w:hint="cs"/>
          <w:rtl/>
        </w:rPr>
        <w:t xml:space="preserve">האלה </w:t>
      </w:r>
      <w:bookmarkStart w:id="56469" w:name="_ETM_Q103_393130"/>
      <w:bookmarkEnd w:id="56469"/>
      <w:r>
        <w:rPr>
          <w:rFonts w:hint="cs"/>
          <w:rtl/>
        </w:rPr>
        <w:t xml:space="preserve">כעניין </w:t>
      </w:r>
      <w:bookmarkStart w:id="56470" w:name="_ETM_Q103_393580"/>
      <w:bookmarkEnd w:id="56470"/>
      <w:r>
        <w:rPr>
          <w:rFonts w:hint="cs"/>
          <w:rtl/>
        </w:rPr>
        <w:t xml:space="preserve">שבשגרה. </w:t>
      </w:r>
      <w:bookmarkStart w:id="56471" w:name="_ETM_Q103_394840"/>
      <w:bookmarkEnd w:id="56471"/>
      <w:r>
        <w:rPr>
          <w:rFonts w:hint="cs"/>
          <w:rtl/>
        </w:rPr>
        <w:t xml:space="preserve">מי </w:t>
      </w:r>
      <w:bookmarkStart w:id="56472" w:name="_ETM_Q103_395049"/>
      <w:bookmarkEnd w:id="56472"/>
      <w:r>
        <w:rPr>
          <w:rFonts w:hint="cs"/>
          <w:rtl/>
        </w:rPr>
        <w:t xml:space="preserve">שיוצא </w:t>
      </w:r>
      <w:bookmarkStart w:id="56473" w:name="_ETM_Q103_395650"/>
      <w:bookmarkEnd w:id="56473"/>
      <w:r>
        <w:rPr>
          <w:rFonts w:hint="cs"/>
          <w:rtl/>
        </w:rPr>
        <w:t xml:space="preserve">להפגין </w:t>
      </w:r>
      <w:bookmarkStart w:id="56474" w:name="_ETM_Q103_396159"/>
      <w:bookmarkEnd w:id="56474"/>
      <w:r>
        <w:rPr>
          <w:rFonts w:hint="cs"/>
          <w:rtl/>
        </w:rPr>
        <w:t xml:space="preserve">למען </w:t>
      </w:r>
      <w:bookmarkStart w:id="56475" w:name="_ETM_Q103_396519"/>
      <w:bookmarkEnd w:id="56475"/>
      <w:r>
        <w:rPr>
          <w:rFonts w:hint="cs"/>
          <w:rtl/>
        </w:rPr>
        <w:t xml:space="preserve">המדינה </w:t>
      </w:r>
      <w:bookmarkStart w:id="56476" w:name="_ETM_Q103_397620"/>
      <w:bookmarkEnd w:id="56476"/>
      <w:r>
        <w:rPr>
          <w:rFonts w:hint="cs"/>
          <w:rtl/>
        </w:rPr>
        <w:t xml:space="preserve">לא </w:t>
      </w:r>
      <w:bookmarkStart w:id="56477" w:name="_ETM_Q103_398219"/>
      <w:bookmarkEnd w:id="56477"/>
      <w:r>
        <w:rPr>
          <w:rFonts w:hint="cs"/>
          <w:rtl/>
        </w:rPr>
        <w:t xml:space="preserve">יכול </w:t>
      </w:r>
      <w:bookmarkStart w:id="56478" w:name="_ETM_Q103_398640"/>
      <w:bookmarkEnd w:id="56478"/>
      <w:r>
        <w:rPr>
          <w:rFonts w:hint="cs"/>
          <w:rtl/>
        </w:rPr>
        <w:t xml:space="preserve">לחזור </w:t>
      </w:r>
      <w:bookmarkStart w:id="56479" w:name="_ETM_Q103_399090"/>
      <w:bookmarkEnd w:id="56479"/>
      <w:r>
        <w:rPr>
          <w:rFonts w:hint="cs"/>
          <w:rtl/>
        </w:rPr>
        <w:t xml:space="preserve">בלי </w:t>
      </w:r>
      <w:bookmarkStart w:id="56480" w:name="_ETM_Q103_399299"/>
      <w:bookmarkEnd w:id="56480"/>
      <w:r>
        <w:rPr>
          <w:rFonts w:hint="cs"/>
          <w:rtl/>
        </w:rPr>
        <w:t xml:space="preserve">אוזן, </w:t>
      </w:r>
      <w:bookmarkStart w:id="56481" w:name="_ETM_Q103_400049"/>
      <w:bookmarkEnd w:id="56481"/>
      <w:r>
        <w:rPr>
          <w:rFonts w:hint="cs"/>
          <w:rtl/>
        </w:rPr>
        <w:t xml:space="preserve">בלי </w:t>
      </w:r>
      <w:bookmarkStart w:id="56482" w:name="_ETM_Q103_400409"/>
      <w:bookmarkEnd w:id="56482"/>
      <w:r>
        <w:rPr>
          <w:rFonts w:hint="cs"/>
          <w:rtl/>
        </w:rPr>
        <w:t xml:space="preserve">עין </w:t>
      </w:r>
      <w:bookmarkStart w:id="56483" w:name="_ETM_Q103_401069"/>
      <w:bookmarkEnd w:id="56483"/>
      <w:r>
        <w:rPr>
          <w:rFonts w:hint="cs"/>
          <w:rtl/>
        </w:rPr>
        <w:t xml:space="preserve">או </w:t>
      </w:r>
      <w:bookmarkStart w:id="56484" w:name="_ETM_Q103_401159"/>
      <w:bookmarkEnd w:id="56484"/>
      <w:r>
        <w:rPr>
          <w:rFonts w:hint="cs"/>
          <w:rtl/>
        </w:rPr>
        <w:t xml:space="preserve">בלי </w:t>
      </w:r>
      <w:bookmarkStart w:id="56485" w:name="_ETM_Q103_401370"/>
      <w:bookmarkEnd w:id="56485"/>
      <w:r>
        <w:rPr>
          <w:rFonts w:hint="cs"/>
          <w:rtl/>
        </w:rPr>
        <w:t xml:space="preserve">שיניים. </w:t>
      </w:r>
      <w:bookmarkStart w:id="56486" w:name="_ETM_Q103_402650"/>
      <w:bookmarkEnd w:id="56486"/>
      <w:r>
        <w:rPr>
          <w:rFonts w:hint="cs"/>
          <w:rtl/>
        </w:rPr>
        <w:t xml:space="preserve">אסור </w:t>
      </w:r>
      <w:bookmarkStart w:id="56487" w:name="_ETM_Q103_403370"/>
      <w:bookmarkEnd w:id="56487"/>
      <w:r>
        <w:rPr>
          <w:rFonts w:hint="cs"/>
          <w:rtl/>
        </w:rPr>
        <w:t xml:space="preserve">שהאיש </w:t>
      </w:r>
      <w:bookmarkStart w:id="56488" w:name="_ETM_Q103_403879"/>
      <w:bookmarkEnd w:id="56488"/>
      <w:r>
        <w:rPr>
          <w:rFonts w:hint="cs"/>
          <w:rtl/>
        </w:rPr>
        <w:t xml:space="preserve">הזה </w:t>
      </w:r>
      <w:bookmarkStart w:id="56489" w:name="_ETM_Q103_404300"/>
      <w:bookmarkEnd w:id="56489"/>
      <w:r>
        <w:rPr>
          <w:rFonts w:hint="cs"/>
          <w:rtl/>
        </w:rPr>
        <w:t xml:space="preserve">ימשיך </w:t>
      </w:r>
      <w:bookmarkStart w:id="56490" w:name="_ETM_Q103_404750"/>
      <w:bookmarkEnd w:id="56490"/>
      <w:r>
        <w:rPr>
          <w:rFonts w:hint="cs"/>
          <w:rtl/>
        </w:rPr>
        <w:t xml:space="preserve">לתת </w:t>
      </w:r>
      <w:bookmarkStart w:id="56491" w:name="_ETM_Q103_405080"/>
      <w:bookmarkEnd w:id="56491"/>
      <w:r>
        <w:rPr>
          <w:rFonts w:hint="cs"/>
          <w:rtl/>
        </w:rPr>
        <w:t xml:space="preserve">פקודות </w:t>
      </w:r>
      <w:bookmarkStart w:id="56492" w:name="_ETM_Q103_405500"/>
      <w:bookmarkEnd w:id="56492"/>
      <w:r>
        <w:rPr>
          <w:rFonts w:hint="cs"/>
          <w:rtl/>
        </w:rPr>
        <w:t xml:space="preserve">למשטרה, </w:t>
      </w:r>
      <w:bookmarkStart w:id="56493" w:name="_ETM_Q103_406489"/>
      <w:bookmarkEnd w:id="56493"/>
      <w:r>
        <w:rPr>
          <w:rFonts w:hint="cs"/>
          <w:rtl/>
        </w:rPr>
        <w:t xml:space="preserve">אחרת </w:t>
      </w:r>
      <w:bookmarkStart w:id="56494" w:name="_ETM_Q103_407029"/>
      <w:bookmarkEnd w:id="56494"/>
      <w:r>
        <w:rPr>
          <w:rFonts w:hint="cs"/>
          <w:rtl/>
        </w:rPr>
        <w:t xml:space="preserve">נסיים </w:t>
      </w:r>
      <w:bookmarkStart w:id="56495" w:name="_ETM_Q103_407480"/>
      <w:bookmarkEnd w:id="56495"/>
      <w:r>
        <w:rPr>
          <w:rFonts w:hint="cs"/>
          <w:rtl/>
        </w:rPr>
        <w:t xml:space="preserve">עם </w:t>
      </w:r>
      <w:bookmarkStart w:id="56496" w:name="_ETM_Q103_407599"/>
      <w:bookmarkEnd w:id="56496"/>
      <w:r>
        <w:rPr>
          <w:rFonts w:hint="cs"/>
          <w:rtl/>
        </w:rPr>
        <w:t xml:space="preserve">תמונות </w:t>
      </w:r>
      <w:bookmarkStart w:id="56497" w:name="_ETM_Q103_408049"/>
      <w:bookmarkStart w:id="56498" w:name="_ETM_Q103_408529"/>
      <w:bookmarkEnd w:id="56497"/>
      <w:bookmarkEnd w:id="56498"/>
      <w:r>
        <w:rPr>
          <w:rFonts w:hint="cs"/>
          <w:rtl/>
        </w:rPr>
        <w:t xml:space="preserve">בסגנון </w:t>
      </w:r>
      <w:bookmarkStart w:id="56499" w:name="_ETM_Q103_409129"/>
      <w:bookmarkEnd w:id="56499"/>
      <w:r>
        <w:rPr>
          <w:rFonts w:hint="cs"/>
          <w:rtl/>
        </w:rPr>
        <w:t xml:space="preserve">אוקראינה </w:t>
      </w:r>
      <w:bookmarkStart w:id="56500" w:name="_ETM_Q103_409730"/>
      <w:bookmarkEnd w:id="56500"/>
      <w:r>
        <w:rPr>
          <w:rFonts w:hint="cs"/>
          <w:rtl/>
        </w:rPr>
        <w:t xml:space="preserve">של </w:t>
      </w:r>
      <w:bookmarkStart w:id="56501" w:name="_ETM_Q103_409909"/>
      <w:bookmarkEnd w:id="56501"/>
      <w:r>
        <w:rPr>
          <w:rFonts w:hint="cs"/>
          <w:rtl/>
        </w:rPr>
        <w:t xml:space="preserve">שנת </w:t>
      </w:r>
      <w:bookmarkStart w:id="56502" w:name="_ETM_Q103_410209"/>
      <w:bookmarkEnd w:id="56502"/>
      <w:r>
        <w:rPr>
          <w:rFonts w:hint="cs"/>
          <w:rtl/>
        </w:rPr>
        <w:t xml:space="preserve">2014, </w:t>
      </w:r>
      <w:bookmarkStart w:id="56503" w:name="_ETM_Q103_411730"/>
      <w:bookmarkEnd w:id="56503"/>
      <w:r w:rsidR="00942E30">
        <w:rPr>
          <w:rFonts w:hint="cs"/>
          <w:rtl/>
        </w:rPr>
        <w:t>ש</w:t>
      </w:r>
      <w:r>
        <w:rPr>
          <w:rFonts w:hint="cs"/>
          <w:rtl/>
        </w:rPr>
        <w:t xml:space="preserve">אז </w:t>
      </w:r>
      <w:bookmarkStart w:id="56504" w:name="_ETM_Q103_412030"/>
      <w:bookmarkEnd w:id="56504"/>
      <w:r>
        <w:rPr>
          <w:rFonts w:hint="cs"/>
          <w:rtl/>
        </w:rPr>
        <w:t xml:space="preserve">שוטרים </w:t>
      </w:r>
      <w:bookmarkStart w:id="56505" w:name="_ETM_Q103_412390"/>
      <w:bookmarkEnd w:id="56505"/>
      <w:r>
        <w:rPr>
          <w:rFonts w:hint="cs"/>
          <w:rtl/>
        </w:rPr>
        <w:t xml:space="preserve">ירו </w:t>
      </w:r>
      <w:bookmarkStart w:id="56506" w:name="_ETM_Q103_412629"/>
      <w:bookmarkEnd w:id="56506"/>
      <w:r>
        <w:rPr>
          <w:rFonts w:hint="cs"/>
          <w:rtl/>
        </w:rPr>
        <w:t xml:space="preserve">בנשק </w:t>
      </w:r>
      <w:bookmarkStart w:id="56507" w:name="_ETM_Q103_413049"/>
      <w:bookmarkEnd w:id="56507"/>
      <w:r>
        <w:rPr>
          <w:rFonts w:hint="cs"/>
          <w:rtl/>
        </w:rPr>
        <w:t xml:space="preserve">חם </w:t>
      </w:r>
      <w:bookmarkStart w:id="56508" w:name="_ETM_Q103_413290"/>
      <w:bookmarkEnd w:id="56508"/>
      <w:r>
        <w:rPr>
          <w:rFonts w:hint="cs"/>
          <w:rtl/>
        </w:rPr>
        <w:t xml:space="preserve">על </w:t>
      </w:r>
      <w:bookmarkStart w:id="56509" w:name="_ETM_Q103_413379"/>
      <w:bookmarkEnd w:id="56509"/>
      <w:r>
        <w:rPr>
          <w:rFonts w:hint="cs"/>
          <w:rtl/>
        </w:rPr>
        <w:t xml:space="preserve">מפגינים </w:t>
      </w:r>
      <w:bookmarkStart w:id="56510" w:name="_ETM_Q103_413920"/>
      <w:bookmarkEnd w:id="56510"/>
      <w:r>
        <w:rPr>
          <w:rFonts w:hint="cs"/>
          <w:rtl/>
        </w:rPr>
        <w:t xml:space="preserve">בהוראת </w:t>
      </w:r>
      <w:bookmarkStart w:id="56511" w:name="_ETM_Q103_414400"/>
      <w:bookmarkEnd w:id="56511"/>
      <w:r>
        <w:rPr>
          <w:rFonts w:hint="cs"/>
          <w:rtl/>
        </w:rPr>
        <w:t xml:space="preserve">השלטון. </w:t>
      </w:r>
      <w:bookmarkStart w:id="56512" w:name="_ETM_Q103_416150"/>
      <w:bookmarkEnd w:id="56512"/>
    </w:p>
    <w:p w:rsidR="00BB59CD" w:rsidRDefault="00BB59CD" w:rsidP="00BB59CD">
      <w:pPr>
        <w:rPr>
          <w:rtl/>
        </w:rPr>
      </w:pPr>
      <w:bookmarkStart w:id="56513" w:name="_ETM_Q103_416700"/>
      <w:bookmarkStart w:id="56514" w:name="_ETM_Q103_416831"/>
      <w:bookmarkEnd w:id="56513"/>
      <w:bookmarkEnd w:id="56514"/>
    </w:p>
    <w:p w:rsidR="00BB59CD" w:rsidRDefault="00BB59CD" w:rsidP="00BB59CD">
      <w:pPr>
        <w:rPr>
          <w:rtl/>
        </w:rPr>
      </w:pPr>
      <w:bookmarkStart w:id="56515" w:name="_ETM_Q103_416878"/>
      <w:bookmarkStart w:id="56516" w:name="_ETM_Q103_416951"/>
      <w:bookmarkEnd w:id="56515"/>
      <w:bookmarkEnd w:id="56516"/>
      <w:r>
        <w:rPr>
          <w:rFonts w:hint="cs"/>
          <w:rtl/>
        </w:rPr>
        <w:t xml:space="preserve">אני </w:t>
      </w:r>
      <w:bookmarkStart w:id="56517" w:name="_ETM_Q103_416360"/>
      <w:bookmarkEnd w:id="56517"/>
      <w:r>
        <w:rPr>
          <w:rFonts w:hint="cs"/>
          <w:rtl/>
        </w:rPr>
        <w:t xml:space="preserve">יודעת </w:t>
      </w:r>
      <w:bookmarkStart w:id="56518" w:name="_ETM_Q103_416660"/>
      <w:bookmarkEnd w:id="56518"/>
      <w:r>
        <w:rPr>
          <w:rFonts w:hint="cs"/>
          <w:rtl/>
        </w:rPr>
        <w:t xml:space="preserve">שאתם </w:t>
      </w:r>
      <w:bookmarkStart w:id="56519" w:name="_ETM_Q103_416960"/>
      <w:bookmarkEnd w:id="56519"/>
      <w:r>
        <w:rPr>
          <w:rFonts w:hint="cs"/>
          <w:rtl/>
        </w:rPr>
        <w:t xml:space="preserve">מנסים </w:t>
      </w:r>
      <w:bookmarkStart w:id="56520" w:name="_ETM_Q103_417410"/>
      <w:bookmarkEnd w:id="56520"/>
      <w:r>
        <w:rPr>
          <w:rFonts w:hint="cs"/>
          <w:rtl/>
        </w:rPr>
        <w:t xml:space="preserve">לשכנע </w:t>
      </w:r>
      <w:bookmarkStart w:id="56521" w:name="_ETM_Q103_417890"/>
      <w:bookmarkEnd w:id="56521"/>
      <w:r>
        <w:rPr>
          <w:rFonts w:hint="cs"/>
          <w:rtl/>
        </w:rPr>
        <w:t xml:space="preserve">את </w:t>
      </w:r>
      <w:bookmarkStart w:id="56522" w:name="_ETM_Q103_418010"/>
      <w:bookmarkEnd w:id="56522"/>
      <w:r>
        <w:rPr>
          <w:rFonts w:hint="cs"/>
          <w:rtl/>
        </w:rPr>
        <w:t xml:space="preserve">הציבור </w:t>
      </w:r>
      <w:bookmarkStart w:id="56523" w:name="_ETM_Q103_419030"/>
      <w:bookmarkStart w:id="56524" w:name="_ETM_Q103_419300"/>
      <w:bookmarkEnd w:id="56523"/>
      <w:bookmarkEnd w:id="56524"/>
      <w:r>
        <w:rPr>
          <w:rFonts w:hint="cs"/>
          <w:rtl/>
        </w:rPr>
        <w:t xml:space="preserve">שאצלנו </w:t>
      </w:r>
      <w:bookmarkStart w:id="56525" w:name="_ETM_Q103_419780"/>
      <w:bookmarkEnd w:id="56525"/>
      <w:r>
        <w:rPr>
          <w:rFonts w:hint="cs"/>
          <w:rtl/>
        </w:rPr>
        <w:t xml:space="preserve">יש </w:t>
      </w:r>
      <w:bookmarkStart w:id="56526" w:name="_ETM_Q103_420020"/>
      <w:bookmarkEnd w:id="56526"/>
      <w:r>
        <w:rPr>
          <w:rFonts w:hint="cs"/>
          <w:rtl/>
        </w:rPr>
        <w:t xml:space="preserve">דברים </w:t>
      </w:r>
      <w:bookmarkStart w:id="56527" w:name="_ETM_Q103_420500"/>
      <w:bookmarkEnd w:id="56527"/>
      <w:r>
        <w:rPr>
          <w:rFonts w:hint="cs"/>
          <w:rtl/>
        </w:rPr>
        <w:t xml:space="preserve">שלא </w:t>
      </w:r>
      <w:bookmarkStart w:id="56528" w:name="_ETM_Q103_420800"/>
      <w:bookmarkEnd w:id="56528"/>
      <w:r>
        <w:rPr>
          <w:rFonts w:hint="cs"/>
          <w:rtl/>
        </w:rPr>
        <w:t xml:space="preserve">יכולים </w:t>
      </w:r>
      <w:bookmarkStart w:id="56529" w:name="_ETM_Q103_421190"/>
      <w:bookmarkEnd w:id="56529"/>
      <w:r>
        <w:rPr>
          <w:rFonts w:hint="cs"/>
          <w:rtl/>
        </w:rPr>
        <w:t xml:space="preserve">לקרות. </w:t>
      </w:r>
      <w:bookmarkStart w:id="56530" w:name="_ETM_Q103_422439"/>
      <w:bookmarkEnd w:id="56530"/>
      <w:r>
        <w:rPr>
          <w:rFonts w:hint="cs"/>
          <w:rtl/>
        </w:rPr>
        <w:t xml:space="preserve">אנחנו </w:t>
      </w:r>
      <w:bookmarkStart w:id="56531" w:name="_ETM_Q103_422980"/>
      <w:bookmarkEnd w:id="56531"/>
      <w:r>
        <w:rPr>
          <w:rFonts w:hint="cs"/>
          <w:rtl/>
        </w:rPr>
        <w:t xml:space="preserve">וילה </w:t>
      </w:r>
      <w:bookmarkStart w:id="56532" w:name="_ETM_Q103_423340"/>
      <w:bookmarkEnd w:id="56532"/>
      <w:r>
        <w:rPr>
          <w:rFonts w:hint="cs"/>
          <w:rtl/>
        </w:rPr>
        <w:t xml:space="preserve">בג'ונגל, </w:t>
      </w:r>
      <w:bookmarkStart w:id="56533" w:name="_ETM_Q103_424359"/>
      <w:bookmarkEnd w:id="56533"/>
      <w:r>
        <w:rPr>
          <w:rFonts w:hint="cs"/>
          <w:rtl/>
        </w:rPr>
        <w:t xml:space="preserve">הדמוקרטיה </w:t>
      </w:r>
      <w:bookmarkStart w:id="56534" w:name="_ETM_Q103_425200"/>
      <w:bookmarkEnd w:id="56534"/>
      <w:r>
        <w:rPr>
          <w:rFonts w:hint="cs"/>
          <w:rtl/>
        </w:rPr>
        <w:t xml:space="preserve">היחידה </w:t>
      </w:r>
      <w:bookmarkStart w:id="56535" w:name="_ETM_Q103_425650"/>
      <w:bookmarkEnd w:id="56535"/>
      <w:r>
        <w:rPr>
          <w:rFonts w:hint="cs"/>
          <w:rtl/>
        </w:rPr>
        <w:t xml:space="preserve">במזרח </w:t>
      </w:r>
      <w:bookmarkStart w:id="56536" w:name="_ETM_Q103_426159"/>
      <w:bookmarkEnd w:id="56536"/>
      <w:r>
        <w:rPr>
          <w:rFonts w:hint="cs"/>
          <w:rtl/>
        </w:rPr>
        <w:t xml:space="preserve">התיכון </w:t>
      </w:r>
      <w:bookmarkStart w:id="56537" w:name="_ETM_Q103_427150"/>
      <w:bookmarkEnd w:id="56537"/>
      <w:r>
        <w:rPr>
          <w:rFonts w:hint="cs"/>
          <w:rtl/>
        </w:rPr>
        <w:t xml:space="preserve">ומגדלור </w:t>
      </w:r>
      <w:bookmarkStart w:id="56538" w:name="_ETM_Q103_428079"/>
      <w:bookmarkEnd w:id="56538"/>
      <w:r>
        <w:rPr>
          <w:rFonts w:hint="cs"/>
          <w:rtl/>
        </w:rPr>
        <w:t xml:space="preserve">לכל </w:t>
      </w:r>
      <w:bookmarkStart w:id="56539" w:name="_ETM_Q103_428469"/>
      <w:bookmarkEnd w:id="56539"/>
      <w:r>
        <w:rPr>
          <w:rFonts w:hint="cs"/>
          <w:rtl/>
        </w:rPr>
        <w:t xml:space="preserve">העמים. </w:t>
      </w:r>
      <w:bookmarkStart w:id="56540" w:name="_ETM_Q103_429770"/>
      <w:bookmarkEnd w:id="56540"/>
      <w:r>
        <w:rPr>
          <w:rFonts w:hint="cs"/>
          <w:rtl/>
        </w:rPr>
        <w:t xml:space="preserve">העניין </w:t>
      </w:r>
      <w:bookmarkStart w:id="56541" w:name="_ETM_Q103_430310"/>
      <w:bookmarkEnd w:id="56541"/>
      <w:r>
        <w:rPr>
          <w:rFonts w:hint="cs"/>
          <w:rtl/>
        </w:rPr>
        <w:t xml:space="preserve">הוא </w:t>
      </w:r>
      <w:bookmarkStart w:id="56542" w:name="_ETM_Q103_430610"/>
      <w:bookmarkEnd w:id="56542"/>
      <w:r>
        <w:rPr>
          <w:rFonts w:hint="cs"/>
          <w:rtl/>
        </w:rPr>
        <w:t xml:space="preserve">שאם </w:t>
      </w:r>
      <w:bookmarkStart w:id="56543" w:name="_ETM_Q103_430970"/>
      <w:bookmarkEnd w:id="56543"/>
      <w:r>
        <w:rPr>
          <w:rFonts w:hint="cs"/>
          <w:rtl/>
        </w:rPr>
        <w:t xml:space="preserve">אומרים </w:t>
      </w:r>
      <w:bookmarkStart w:id="56544" w:name="_ETM_Q103_431330"/>
      <w:bookmarkEnd w:id="56544"/>
      <w:r>
        <w:rPr>
          <w:rFonts w:hint="cs"/>
          <w:rtl/>
        </w:rPr>
        <w:t xml:space="preserve">כל </w:t>
      </w:r>
      <w:bookmarkStart w:id="56545" w:name="_ETM_Q103_431570"/>
      <w:bookmarkEnd w:id="56545"/>
      <w:r>
        <w:rPr>
          <w:rFonts w:hint="cs"/>
          <w:rtl/>
        </w:rPr>
        <w:t xml:space="preserve">הזמן </w:t>
      </w:r>
      <w:bookmarkStart w:id="56546" w:name="_ETM_Q103_432020"/>
      <w:bookmarkEnd w:id="56546"/>
      <w:r>
        <w:rPr>
          <w:rFonts w:hint="cs"/>
          <w:rtl/>
        </w:rPr>
        <w:t xml:space="preserve">"לי </w:t>
      </w:r>
      <w:bookmarkStart w:id="56547" w:name="_ETM_Q103_432170"/>
      <w:bookmarkEnd w:id="56547"/>
      <w:r>
        <w:rPr>
          <w:rFonts w:hint="cs"/>
          <w:rtl/>
        </w:rPr>
        <w:t xml:space="preserve">זה </w:t>
      </w:r>
      <w:bookmarkStart w:id="56548" w:name="_ETM_Q103_432320"/>
      <w:bookmarkEnd w:id="56548"/>
      <w:r>
        <w:rPr>
          <w:rFonts w:hint="cs"/>
          <w:rtl/>
        </w:rPr>
        <w:t xml:space="preserve">לא </w:t>
      </w:r>
      <w:bookmarkStart w:id="56549" w:name="_ETM_Q103_432440"/>
      <w:bookmarkEnd w:id="56549"/>
      <w:r>
        <w:rPr>
          <w:rFonts w:hint="cs"/>
          <w:rtl/>
        </w:rPr>
        <w:t xml:space="preserve">יקרה", </w:t>
      </w:r>
      <w:bookmarkStart w:id="56550" w:name="_ETM_Q103_433510"/>
      <w:bookmarkEnd w:id="56550"/>
      <w:r>
        <w:rPr>
          <w:rFonts w:hint="cs"/>
          <w:rtl/>
        </w:rPr>
        <w:t xml:space="preserve">אז </w:t>
      </w:r>
      <w:bookmarkStart w:id="56551" w:name="_ETM_Q103_433749"/>
      <w:bookmarkEnd w:id="56551"/>
      <w:r>
        <w:rPr>
          <w:rFonts w:hint="cs"/>
          <w:rtl/>
        </w:rPr>
        <w:t xml:space="preserve">בסוף </w:t>
      </w:r>
      <w:bookmarkStart w:id="56552" w:name="_ETM_Q103_434109"/>
      <w:bookmarkEnd w:id="56552"/>
      <w:r>
        <w:rPr>
          <w:rFonts w:hint="cs"/>
          <w:rtl/>
        </w:rPr>
        <w:t xml:space="preserve">זה </w:t>
      </w:r>
      <w:bookmarkStart w:id="56553" w:name="_ETM_Q103_434260"/>
      <w:bookmarkEnd w:id="56553"/>
      <w:r>
        <w:rPr>
          <w:rFonts w:hint="cs"/>
          <w:rtl/>
        </w:rPr>
        <w:t xml:space="preserve">קורה </w:t>
      </w:r>
      <w:bookmarkStart w:id="56554" w:name="_ETM_Q103_434499"/>
      <w:bookmarkEnd w:id="56554"/>
      <w:r>
        <w:rPr>
          <w:rFonts w:hint="cs"/>
          <w:rtl/>
        </w:rPr>
        <w:t xml:space="preserve">לך, </w:t>
      </w:r>
      <w:bookmarkStart w:id="56555" w:name="_ETM_Q103_435010"/>
      <w:bookmarkEnd w:id="56555"/>
      <w:r>
        <w:rPr>
          <w:rFonts w:hint="cs"/>
          <w:rtl/>
        </w:rPr>
        <w:t xml:space="preserve">וזה </w:t>
      </w:r>
      <w:bookmarkStart w:id="56556" w:name="_ETM_Q103_435370"/>
      <w:bookmarkEnd w:id="56556"/>
      <w:r>
        <w:rPr>
          <w:rFonts w:hint="cs"/>
          <w:rtl/>
        </w:rPr>
        <w:t xml:space="preserve">כואב </w:t>
      </w:r>
      <w:bookmarkStart w:id="56557" w:name="_ETM_Q103_435700"/>
      <w:bookmarkEnd w:id="56557"/>
      <w:r>
        <w:rPr>
          <w:rFonts w:hint="cs"/>
          <w:rtl/>
        </w:rPr>
        <w:t xml:space="preserve">פעמיים – </w:t>
      </w:r>
      <w:bookmarkStart w:id="56558" w:name="_ETM_Q103_436699"/>
      <w:bookmarkEnd w:id="56558"/>
      <w:r>
        <w:rPr>
          <w:rFonts w:hint="cs"/>
          <w:rtl/>
        </w:rPr>
        <w:t xml:space="preserve">פעם </w:t>
      </w:r>
      <w:bookmarkStart w:id="56559" w:name="_ETM_Q103_437150"/>
      <w:bookmarkEnd w:id="56559"/>
      <w:r>
        <w:rPr>
          <w:rFonts w:hint="cs"/>
          <w:rtl/>
        </w:rPr>
        <w:t xml:space="preserve">ראשונה </w:t>
      </w:r>
      <w:bookmarkStart w:id="56560" w:name="_ETM_Q103_437569"/>
      <w:bookmarkEnd w:id="56560"/>
      <w:r>
        <w:rPr>
          <w:rFonts w:hint="cs"/>
          <w:rtl/>
        </w:rPr>
        <w:t xml:space="preserve">בגלל </w:t>
      </w:r>
      <w:bookmarkStart w:id="56561" w:name="_ETM_Q103_437839"/>
      <w:bookmarkEnd w:id="56561"/>
      <w:r>
        <w:rPr>
          <w:rFonts w:hint="cs"/>
          <w:rtl/>
        </w:rPr>
        <w:t xml:space="preserve">שזה </w:t>
      </w:r>
      <w:bookmarkStart w:id="56562" w:name="_ETM_Q103_438110"/>
      <w:bookmarkEnd w:id="56562"/>
      <w:r>
        <w:rPr>
          <w:rFonts w:hint="cs"/>
          <w:rtl/>
        </w:rPr>
        <w:t xml:space="preserve">קרה </w:t>
      </w:r>
      <w:bookmarkStart w:id="56563" w:name="_ETM_Q103_438930"/>
      <w:bookmarkEnd w:id="56563"/>
      <w:r>
        <w:rPr>
          <w:rFonts w:hint="cs"/>
          <w:rtl/>
        </w:rPr>
        <w:t xml:space="preserve">ופעם </w:t>
      </w:r>
      <w:bookmarkStart w:id="56564" w:name="_ETM_Q103_439439"/>
      <w:bookmarkEnd w:id="56564"/>
      <w:r>
        <w:rPr>
          <w:rFonts w:hint="cs"/>
          <w:rtl/>
        </w:rPr>
        <w:t xml:space="preserve">שנייה </w:t>
      </w:r>
      <w:bookmarkStart w:id="56565" w:name="_ETM_Q103_440189"/>
      <w:bookmarkEnd w:id="56565"/>
      <w:r>
        <w:rPr>
          <w:rFonts w:hint="cs"/>
          <w:rtl/>
        </w:rPr>
        <w:t xml:space="preserve">כי </w:t>
      </w:r>
      <w:bookmarkStart w:id="56566" w:name="_ETM_Q103_440370"/>
      <w:bookmarkEnd w:id="56566"/>
      <w:r>
        <w:rPr>
          <w:rFonts w:hint="cs"/>
          <w:rtl/>
        </w:rPr>
        <w:t xml:space="preserve">נשבר </w:t>
      </w:r>
      <w:bookmarkStart w:id="56567" w:name="_ETM_Q103_440789"/>
      <w:bookmarkEnd w:id="56567"/>
      <w:r>
        <w:rPr>
          <w:rFonts w:hint="cs"/>
          <w:rtl/>
        </w:rPr>
        <w:t xml:space="preserve">האמון. </w:t>
      </w:r>
      <w:bookmarkStart w:id="56568" w:name="_ETM_Q103_442390"/>
      <w:bookmarkStart w:id="56569" w:name="_ETM_Q103_439543"/>
      <w:bookmarkStart w:id="56570" w:name="_ETM_Q103_439627"/>
      <w:bookmarkEnd w:id="56568"/>
      <w:bookmarkEnd w:id="56569"/>
      <w:bookmarkEnd w:id="56570"/>
      <w:r>
        <w:rPr>
          <w:rFonts w:hint="cs"/>
          <w:rtl/>
        </w:rPr>
        <w:t xml:space="preserve">אחרי </w:t>
      </w:r>
      <w:bookmarkStart w:id="56571" w:name="_ETM_Q103_442750"/>
      <w:bookmarkEnd w:id="56571"/>
      <w:r>
        <w:rPr>
          <w:rFonts w:hint="cs"/>
          <w:rtl/>
        </w:rPr>
        <w:t xml:space="preserve">החקיקה </w:t>
      </w:r>
      <w:bookmarkStart w:id="56572" w:name="_ETM_Q103_443440"/>
      <w:bookmarkEnd w:id="56572"/>
      <w:r>
        <w:rPr>
          <w:rFonts w:hint="cs"/>
          <w:rtl/>
        </w:rPr>
        <w:t xml:space="preserve">הרעה </w:t>
      </w:r>
      <w:bookmarkStart w:id="56573" w:name="_ETM_Q103_443740"/>
      <w:bookmarkEnd w:id="56573"/>
      <w:r>
        <w:rPr>
          <w:rFonts w:hint="cs"/>
          <w:rtl/>
        </w:rPr>
        <w:t xml:space="preserve">שלכם, </w:t>
      </w:r>
      <w:bookmarkStart w:id="56574" w:name="_ETM_Q103_444670"/>
      <w:bookmarkEnd w:id="56574"/>
      <w:r>
        <w:rPr>
          <w:rFonts w:hint="cs"/>
          <w:rtl/>
        </w:rPr>
        <w:t xml:space="preserve">לא </w:t>
      </w:r>
      <w:bookmarkStart w:id="56575" w:name="_ETM_Q103_444850"/>
      <w:bookmarkEnd w:id="56575"/>
      <w:r>
        <w:rPr>
          <w:rFonts w:hint="cs"/>
          <w:rtl/>
        </w:rPr>
        <w:t xml:space="preserve">משנה </w:t>
      </w:r>
      <w:bookmarkStart w:id="56576" w:name="_ETM_Q103_445330"/>
      <w:bookmarkEnd w:id="56576"/>
      <w:r>
        <w:rPr>
          <w:rFonts w:hint="cs"/>
          <w:rtl/>
        </w:rPr>
        <w:t xml:space="preserve">אם </w:t>
      </w:r>
      <w:bookmarkStart w:id="56577" w:name="_ETM_Q103_445420"/>
      <w:bookmarkEnd w:id="56577"/>
      <w:r>
        <w:rPr>
          <w:rFonts w:hint="cs"/>
          <w:rtl/>
        </w:rPr>
        <w:t xml:space="preserve">זה </w:t>
      </w:r>
      <w:bookmarkStart w:id="56578" w:name="_ETM_Q103_445570"/>
      <w:bookmarkEnd w:id="56578"/>
      <w:r>
        <w:rPr>
          <w:rFonts w:hint="cs"/>
          <w:rtl/>
        </w:rPr>
        <w:t xml:space="preserve">יהיה </w:t>
      </w:r>
      <w:bookmarkStart w:id="56579" w:name="_ETM_Q103_445660"/>
      <w:bookmarkEnd w:id="56579"/>
      <w:r>
        <w:rPr>
          <w:rFonts w:hint="cs"/>
          <w:rtl/>
        </w:rPr>
        <w:t xml:space="preserve">מחר </w:t>
      </w:r>
      <w:bookmarkStart w:id="56580" w:name="_ETM_Q103_446260"/>
      <w:bookmarkEnd w:id="56580"/>
      <w:r>
        <w:rPr>
          <w:rFonts w:hint="cs"/>
          <w:rtl/>
        </w:rPr>
        <w:t xml:space="preserve">או </w:t>
      </w:r>
      <w:bookmarkStart w:id="56581" w:name="_ETM_Q103_446380"/>
      <w:bookmarkEnd w:id="56581"/>
      <w:r>
        <w:rPr>
          <w:rFonts w:hint="cs"/>
          <w:rtl/>
        </w:rPr>
        <w:t xml:space="preserve">בעוד </w:t>
      </w:r>
      <w:bookmarkStart w:id="56582" w:name="_ETM_Q103_446620"/>
      <w:bookmarkEnd w:id="56582"/>
      <w:r>
        <w:rPr>
          <w:rFonts w:hint="cs"/>
          <w:rtl/>
        </w:rPr>
        <w:t xml:space="preserve">שנה </w:t>
      </w:r>
      <w:bookmarkStart w:id="56583" w:name="_ETM_Q103_447220"/>
      <w:bookmarkEnd w:id="56583"/>
      <w:r>
        <w:rPr>
          <w:rFonts w:hint="cs"/>
          <w:rtl/>
        </w:rPr>
        <w:t xml:space="preserve">או </w:t>
      </w:r>
      <w:bookmarkStart w:id="56584" w:name="_ETM_Q103_447339"/>
      <w:bookmarkEnd w:id="56584"/>
      <w:r>
        <w:rPr>
          <w:rFonts w:hint="cs"/>
          <w:rtl/>
        </w:rPr>
        <w:t xml:space="preserve">בעוד </w:t>
      </w:r>
      <w:bookmarkStart w:id="56585" w:name="_ETM_Q103_447610"/>
      <w:bookmarkEnd w:id="56585"/>
      <w:r>
        <w:rPr>
          <w:rFonts w:hint="cs"/>
          <w:rtl/>
        </w:rPr>
        <w:t xml:space="preserve">עשר </w:t>
      </w:r>
      <w:bookmarkStart w:id="56586" w:name="_ETM_Q103_447880"/>
      <w:bookmarkEnd w:id="56586"/>
      <w:r>
        <w:rPr>
          <w:rFonts w:hint="cs"/>
          <w:rtl/>
        </w:rPr>
        <w:t xml:space="preserve">שנים, </w:t>
      </w:r>
      <w:bookmarkStart w:id="56587" w:name="_ETM_Q103_448480"/>
      <w:bookmarkEnd w:id="56587"/>
      <w:r>
        <w:rPr>
          <w:rFonts w:hint="cs"/>
          <w:rtl/>
        </w:rPr>
        <w:t xml:space="preserve">נסתכל </w:t>
      </w:r>
      <w:bookmarkStart w:id="56588" w:name="_ETM_Q103_449020"/>
      <w:bookmarkEnd w:id="56588"/>
      <w:r>
        <w:rPr>
          <w:rFonts w:hint="cs"/>
          <w:rtl/>
        </w:rPr>
        <w:t xml:space="preserve">כולנו </w:t>
      </w:r>
      <w:bookmarkStart w:id="56589" w:name="_ETM_Q103_449410"/>
      <w:bookmarkEnd w:id="56589"/>
      <w:r>
        <w:rPr>
          <w:rFonts w:hint="cs"/>
          <w:rtl/>
        </w:rPr>
        <w:t xml:space="preserve">אחורה </w:t>
      </w:r>
      <w:bookmarkStart w:id="56590" w:name="_ETM_Q103_449920"/>
      <w:bookmarkEnd w:id="56590"/>
      <w:r>
        <w:rPr>
          <w:rFonts w:hint="cs"/>
          <w:rtl/>
        </w:rPr>
        <w:t xml:space="preserve">ונבכה; </w:t>
      </w:r>
      <w:bookmarkStart w:id="56591" w:name="_ETM_Q103_451060"/>
      <w:bookmarkEnd w:id="56591"/>
      <w:r>
        <w:rPr>
          <w:rFonts w:hint="cs"/>
          <w:rtl/>
        </w:rPr>
        <w:t xml:space="preserve">נבכה </w:t>
      </w:r>
      <w:bookmarkStart w:id="56592" w:name="_ETM_Q103_451750"/>
      <w:bookmarkEnd w:id="56592"/>
      <w:r>
        <w:rPr>
          <w:rFonts w:hint="cs"/>
          <w:rtl/>
        </w:rPr>
        <w:t xml:space="preserve">על </w:t>
      </w:r>
      <w:bookmarkStart w:id="56593" w:name="_ETM_Q103_451900"/>
      <w:bookmarkEnd w:id="56593"/>
      <w:r>
        <w:rPr>
          <w:rFonts w:hint="cs"/>
          <w:rtl/>
        </w:rPr>
        <w:t xml:space="preserve">מה </w:t>
      </w:r>
      <w:bookmarkStart w:id="56594" w:name="_ETM_Q103_452050"/>
      <w:bookmarkEnd w:id="56594"/>
      <w:r>
        <w:rPr>
          <w:rFonts w:hint="cs"/>
          <w:rtl/>
        </w:rPr>
        <w:t xml:space="preserve">שלקחתם </w:t>
      </w:r>
      <w:bookmarkStart w:id="56595" w:name="_ETM_Q103_452650"/>
      <w:bookmarkEnd w:id="56595"/>
      <w:r>
        <w:rPr>
          <w:rFonts w:hint="cs"/>
          <w:rtl/>
        </w:rPr>
        <w:t xml:space="preserve">מאיתנו, </w:t>
      </w:r>
      <w:bookmarkStart w:id="56596" w:name="_ETM_Q103_453610"/>
      <w:bookmarkEnd w:id="56596"/>
      <w:r>
        <w:rPr>
          <w:rFonts w:hint="cs"/>
          <w:rtl/>
        </w:rPr>
        <w:t xml:space="preserve">ושעכשיו </w:t>
      </w:r>
      <w:bookmarkStart w:id="56597" w:name="_ETM_Q103_454240"/>
      <w:bookmarkEnd w:id="56597"/>
      <w:r>
        <w:rPr>
          <w:rFonts w:hint="cs"/>
          <w:rtl/>
        </w:rPr>
        <w:t xml:space="preserve">יהיה </w:t>
      </w:r>
      <w:bookmarkStart w:id="56598" w:name="_ETM_Q103_454449"/>
      <w:bookmarkEnd w:id="56598"/>
      <w:r>
        <w:rPr>
          <w:rFonts w:hint="cs"/>
          <w:rtl/>
        </w:rPr>
        <w:t xml:space="preserve">קשה </w:t>
      </w:r>
      <w:bookmarkStart w:id="56599" w:name="_ETM_Q103_454900"/>
      <w:bookmarkEnd w:id="56599"/>
      <w:r>
        <w:rPr>
          <w:rFonts w:hint="cs"/>
          <w:rtl/>
        </w:rPr>
        <w:t xml:space="preserve">הרבה </w:t>
      </w:r>
      <w:bookmarkStart w:id="56600" w:name="_ETM_Q103_455169"/>
      <w:bookmarkEnd w:id="56600"/>
      <w:r>
        <w:rPr>
          <w:rFonts w:hint="cs"/>
          <w:rtl/>
        </w:rPr>
        <w:t xml:space="preserve">יותר </w:t>
      </w:r>
      <w:bookmarkStart w:id="56601" w:name="_ETM_Q103_455529"/>
      <w:bookmarkEnd w:id="56601"/>
      <w:r>
        <w:rPr>
          <w:rFonts w:hint="cs"/>
          <w:rtl/>
        </w:rPr>
        <w:t xml:space="preserve">להחזיר. </w:t>
      </w:r>
      <w:bookmarkStart w:id="56602" w:name="_ETM_Q103_457150"/>
      <w:bookmarkEnd w:id="56602"/>
    </w:p>
    <w:p w:rsidR="00BB59CD" w:rsidRDefault="00BB59CD" w:rsidP="00BB59CD">
      <w:pPr>
        <w:rPr>
          <w:rtl/>
        </w:rPr>
      </w:pPr>
    </w:p>
    <w:p w:rsidR="00BB59CD" w:rsidRDefault="00BB59CD" w:rsidP="00942E30">
      <w:pPr>
        <w:rPr>
          <w:rtl/>
        </w:rPr>
      </w:pPr>
      <w:r>
        <w:rPr>
          <w:rFonts w:hint="cs"/>
          <w:rtl/>
        </w:rPr>
        <w:t xml:space="preserve">ההיסטוריה </w:t>
      </w:r>
      <w:bookmarkStart w:id="56603" w:name="_ETM_Q103_457870"/>
      <w:bookmarkEnd w:id="56603"/>
      <w:r>
        <w:rPr>
          <w:rFonts w:hint="cs"/>
          <w:rtl/>
        </w:rPr>
        <w:t xml:space="preserve">מלאה </w:t>
      </w:r>
      <w:bookmarkStart w:id="56604" w:name="_ETM_Q103_458410"/>
      <w:bookmarkEnd w:id="56604"/>
      <w:r>
        <w:rPr>
          <w:rFonts w:hint="cs"/>
          <w:rtl/>
        </w:rPr>
        <w:t xml:space="preserve">במדינות </w:t>
      </w:r>
      <w:bookmarkStart w:id="56605" w:name="_ETM_Q103_459100"/>
      <w:bookmarkEnd w:id="56605"/>
      <w:r>
        <w:rPr>
          <w:rFonts w:hint="cs"/>
          <w:rtl/>
        </w:rPr>
        <w:t xml:space="preserve">ועמים </w:t>
      </w:r>
      <w:bookmarkStart w:id="56606" w:name="_ETM_Q103_459790"/>
      <w:bookmarkEnd w:id="56606"/>
      <w:r>
        <w:rPr>
          <w:rFonts w:hint="cs"/>
          <w:rtl/>
        </w:rPr>
        <w:t xml:space="preserve">שאמרו </w:t>
      </w:r>
      <w:bookmarkStart w:id="56607" w:name="_ETM_Q103_460839"/>
      <w:bookmarkEnd w:id="56607"/>
      <w:r>
        <w:rPr>
          <w:rFonts w:hint="cs"/>
          <w:rtl/>
        </w:rPr>
        <w:t xml:space="preserve">שלהם </w:t>
      </w:r>
      <w:bookmarkStart w:id="56608" w:name="_ETM_Q103_461410"/>
      <w:bookmarkEnd w:id="56608"/>
      <w:r>
        <w:rPr>
          <w:rFonts w:hint="cs"/>
          <w:rtl/>
        </w:rPr>
        <w:t xml:space="preserve">זה </w:t>
      </w:r>
      <w:bookmarkStart w:id="56609" w:name="_ETM_Q103_461560"/>
      <w:bookmarkEnd w:id="56609"/>
      <w:r>
        <w:rPr>
          <w:rFonts w:hint="cs"/>
          <w:rtl/>
        </w:rPr>
        <w:t xml:space="preserve">לעולם </w:t>
      </w:r>
      <w:bookmarkStart w:id="56610" w:name="_ETM_Q103_461919"/>
      <w:bookmarkEnd w:id="56610"/>
      <w:r>
        <w:rPr>
          <w:rFonts w:hint="cs"/>
          <w:rtl/>
        </w:rPr>
        <w:t xml:space="preserve">לא </w:t>
      </w:r>
      <w:bookmarkStart w:id="56611" w:name="_ETM_Q103_462040"/>
      <w:bookmarkEnd w:id="56611"/>
      <w:r>
        <w:rPr>
          <w:rFonts w:hint="cs"/>
          <w:rtl/>
        </w:rPr>
        <w:t xml:space="preserve">יקרה, </w:t>
      </w:r>
      <w:bookmarkStart w:id="56612" w:name="_ETM_Q103_463220"/>
      <w:bookmarkEnd w:id="56612"/>
      <w:r>
        <w:rPr>
          <w:rFonts w:hint="cs"/>
          <w:rtl/>
        </w:rPr>
        <w:t xml:space="preserve">ולצערנו, </w:t>
      </w:r>
      <w:bookmarkStart w:id="56613" w:name="_ETM_Q103_464300"/>
      <w:bookmarkEnd w:id="56613"/>
      <w:r>
        <w:rPr>
          <w:rFonts w:hint="cs"/>
          <w:rtl/>
        </w:rPr>
        <w:t xml:space="preserve">החברים </w:t>
      </w:r>
      <w:bookmarkStart w:id="56614" w:name="_ETM_Q103_464900"/>
      <w:bookmarkEnd w:id="56614"/>
      <w:r>
        <w:rPr>
          <w:rFonts w:hint="cs"/>
          <w:rtl/>
        </w:rPr>
        <w:t xml:space="preserve">הטובים </w:t>
      </w:r>
      <w:bookmarkStart w:id="56615" w:name="_ETM_Q103_465349"/>
      <w:bookmarkEnd w:id="56615"/>
      <w:r>
        <w:rPr>
          <w:rFonts w:hint="cs"/>
          <w:rtl/>
        </w:rPr>
        <w:t xml:space="preserve">ביותר </w:t>
      </w:r>
      <w:bookmarkStart w:id="56616" w:name="_ETM_Q103_465710"/>
      <w:bookmarkEnd w:id="56616"/>
      <w:r>
        <w:rPr>
          <w:rFonts w:hint="cs"/>
          <w:rtl/>
        </w:rPr>
        <w:t xml:space="preserve">של </w:t>
      </w:r>
      <w:bookmarkStart w:id="56617" w:name="_ETM_Q103_465889"/>
      <w:bookmarkEnd w:id="56617"/>
      <w:r>
        <w:rPr>
          <w:rFonts w:hint="cs"/>
          <w:rtl/>
        </w:rPr>
        <w:t xml:space="preserve">ראש </w:t>
      </w:r>
      <w:bookmarkStart w:id="56618" w:name="_ETM_Q103_466129"/>
      <w:bookmarkEnd w:id="56618"/>
      <w:r>
        <w:rPr>
          <w:rFonts w:hint="cs"/>
          <w:rtl/>
        </w:rPr>
        <w:t xml:space="preserve">הממשלה </w:t>
      </w:r>
      <w:bookmarkStart w:id="56619" w:name="_ETM_Q103_466729"/>
      <w:bookmarkEnd w:id="56619"/>
      <w:r>
        <w:rPr>
          <w:rFonts w:hint="cs"/>
          <w:rtl/>
        </w:rPr>
        <w:t xml:space="preserve">ושל </w:t>
      </w:r>
      <w:bookmarkStart w:id="56620" w:name="_ETM_Q103_467000"/>
      <w:bookmarkEnd w:id="56620"/>
      <w:r>
        <w:rPr>
          <w:rFonts w:hint="cs"/>
          <w:rtl/>
        </w:rPr>
        <w:t xml:space="preserve">חבריו </w:t>
      </w:r>
      <w:bookmarkStart w:id="56621" w:name="_ETM_Q103_467419"/>
      <w:bookmarkEnd w:id="56621"/>
      <w:r>
        <w:rPr>
          <w:rFonts w:hint="cs"/>
          <w:rtl/>
        </w:rPr>
        <w:t xml:space="preserve">לממשלה </w:t>
      </w:r>
      <w:bookmarkStart w:id="56622" w:name="_ETM_Q103_468470"/>
      <w:bookmarkEnd w:id="56622"/>
      <w:r>
        <w:rPr>
          <w:rFonts w:hint="cs"/>
          <w:rtl/>
        </w:rPr>
        <w:t xml:space="preserve">הם </w:t>
      </w:r>
      <w:bookmarkStart w:id="56623" w:name="_ETM_Q103_468680"/>
      <w:bookmarkEnd w:id="56623"/>
      <w:r>
        <w:rPr>
          <w:rFonts w:hint="cs"/>
          <w:rtl/>
        </w:rPr>
        <w:t xml:space="preserve">אותם </w:t>
      </w:r>
      <w:bookmarkStart w:id="56624" w:name="_ETM_Q103_468980"/>
      <w:bookmarkEnd w:id="56624"/>
      <w:r>
        <w:rPr>
          <w:rFonts w:hint="cs"/>
          <w:rtl/>
        </w:rPr>
        <w:t xml:space="preserve">אנשים </w:t>
      </w:r>
      <w:bookmarkStart w:id="56625" w:name="_ETM_Q103_469640"/>
      <w:bookmarkEnd w:id="56625"/>
      <w:r>
        <w:rPr>
          <w:rFonts w:hint="cs"/>
          <w:rtl/>
        </w:rPr>
        <w:t xml:space="preserve">שהביאו </w:t>
      </w:r>
      <w:bookmarkStart w:id="56626" w:name="_ETM_Q103_470300"/>
      <w:bookmarkEnd w:id="56626"/>
      <w:r>
        <w:rPr>
          <w:rFonts w:hint="cs"/>
          <w:rtl/>
        </w:rPr>
        <w:t xml:space="preserve">את </w:t>
      </w:r>
      <w:bookmarkStart w:id="56627" w:name="_ETM_Q103_470450"/>
      <w:bookmarkEnd w:id="56627"/>
      <w:r>
        <w:rPr>
          <w:rFonts w:hint="cs"/>
          <w:rtl/>
        </w:rPr>
        <w:t xml:space="preserve">האסון </w:t>
      </w:r>
      <w:bookmarkStart w:id="56628" w:name="_ETM_Q103_470900"/>
      <w:bookmarkEnd w:id="56628"/>
      <w:r>
        <w:rPr>
          <w:rFonts w:hint="cs"/>
          <w:rtl/>
        </w:rPr>
        <w:t xml:space="preserve">הזה </w:t>
      </w:r>
      <w:bookmarkStart w:id="56629" w:name="_ETM_Q103_471290"/>
      <w:bookmarkEnd w:id="56629"/>
      <w:r>
        <w:rPr>
          <w:rFonts w:hint="cs"/>
          <w:rtl/>
        </w:rPr>
        <w:t xml:space="preserve">על </w:t>
      </w:r>
      <w:bookmarkStart w:id="56630" w:name="_ETM_Q103_471440"/>
      <w:bookmarkEnd w:id="56630"/>
      <w:r>
        <w:rPr>
          <w:rFonts w:hint="cs"/>
          <w:rtl/>
        </w:rPr>
        <w:t xml:space="preserve">עמם. </w:t>
      </w:r>
      <w:bookmarkStart w:id="56631" w:name="_ETM_Q103_473380"/>
      <w:bookmarkEnd w:id="56631"/>
      <w:r>
        <w:rPr>
          <w:rFonts w:hint="cs"/>
          <w:rtl/>
        </w:rPr>
        <w:t xml:space="preserve">גם </w:t>
      </w:r>
      <w:bookmarkStart w:id="56632" w:name="_ETM_Q103_473740"/>
      <w:bookmarkEnd w:id="56632"/>
      <w:r>
        <w:rPr>
          <w:rFonts w:hint="cs"/>
          <w:rtl/>
        </w:rPr>
        <w:t xml:space="preserve">לפולין </w:t>
      </w:r>
      <w:bookmarkStart w:id="56633" w:name="_ETM_Q103_474339"/>
      <w:bookmarkEnd w:id="56633"/>
      <w:r>
        <w:rPr>
          <w:rFonts w:hint="cs"/>
          <w:rtl/>
        </w:rPr>
        <w:t xml:space="preserve">זה </w:t>
      </w:r>
      <w:bookmarkStart w:id="56634" w:name="_ETM_Q103_474490"/>
      <w:bookmarkEnd w:id="56634"/>
      <w:r>
        <w:rPr>
          <w:rFonts w:hint="cs"/>
          <w:rtl/>
        </w:rPr>
        <w:t xml:space="preserve">לא </w:t>
      </w:r>
      <w:bookmarkStart w:id="56635" w:name="_ETM_Q103_474639"/>
      <w:bookmarkEnd w:id="56635"/>
      <w:r>
        <w:rPr>
          <w:rFonts w:hint="cs"/>
          <w:rtl/>
        </w:rPr>
        <w:t xml:space="preserve">היה </w:t>
      </w:r>
      <w:bookmarkStart w:id="56636" w:name="_ETM_Q103_474910"/>
      <w:bookmarkEnd w:id="56636"/>
      <w:r>
        <w:rPr>
          <w:rFonts w:hint="cs"/>
          <w:rtl/>
        </w:rPr>
        <w:t xml:space="preserve">אמור </w:t>
      </w:r>
      <w:bookmarkStart w:id="56637" w:name="_ETM_Q103_475210"/>
      <w:bookmarkEnd w:id="56637"/>
      <w:r>
        <w:rPr>
          <w:rFonts w:hint="cs"/>
          <w:rtl/>
        </w:rPr>
        <w:t>לקרות</w:t>
      </w:r>
      <w:bookmarkStart w:id="56638" w:name="_ETM_Q103_476010"/>
      <w:bookmarkEnd w:id="56638"/>
      <w:r w:rsidR="00942E30">
        <w:rPr>
          <w:rFonts w:hint="cs"/>
          <w:rtl/>
        </w:rPr>
        <w:t xml:space="preserve">, </w:t>
      </w:r>
      <w:r>
        <w:rPr>
          <w:rFonts w:hint="cs"/>
          <w:rtl/>
        </w:rPr>
        <w:t xml:space="preserve">על </w:t>
      </w:r>
      <w:bookmarkStart w:id="56639" w:name="_ETM_Q103_476220"/>
      <w:bookmarkEnd w:id="56639"/>
      <w:r>
        <w:rPr>
          <w:rFonts w:hint="cs"/>
          <w:rtl/>
        </w:rPr>
        <w:t xml:space="preserve">הנייר </w:t>
      </w:r>
      <w:bookmarkStart w:id="56640" w:name="_ETM_Q103_477150"/>
      <w:bookmarkEnd w:id="56640"/>
      <w:r>
        <w:rPr>
          <w:rFonts w:hint="cs"/>
          <w:rtl/>
        </w:rPr>
        <w:t xml:space="preserve">– מדינה </w:t>
      </w:r>
      <w:bookmarkStart w:id="56641" w:name="_ETM_Q103_477900"/>
      <w:bookmarkEnd w:id="56641"/>
      <w:r>
        <w:rPr>
          <w:rFonts w:hint="cs"/>
          <w:rtl/>
        </w:rPr>
        <w:t xml:space="preserve">עם </w:t>
      </w:r>
      <w:bookmarkStart w:id="56642" w:name="_ETM_Q103_478080"/>
      <w:bookmarkEnd w:id="56642"/>
      <w:r>
        <w:rPr>
          <w:rFonts w:hint="cs"/>
          <w:rtl/>
        </w:rPr>
        <w:t xml:space="preserve">חוקה </w:t>
      </w:r>
      <w:bookmarkStart w:id="56643" w:name="_ETM_Q103_478470"/>
      <w:bookmarkEnd w:id="56643"/>
      <w:r>
        <w:rPr>
          <w:rFonts w:hint="cs"/>
          <w:rtl/>
        </w:rPr>
        <w:t xml:space="preserve">יציבה, </w:t>
      </w:r>
      <w:bookmarkStart w:id="56644" w:name="_ETM_Q103_479520"/>
      <w:bookmarkEnd w:id="56644"/>
      <w:r>
        <w:rPr>
          <w:rFonts w:hint="cs"/>
          <w:rtl/>
        </w:rPr>
        <w:t xml:space="preserve">שני </w:t>
      </w:r>
      <w:bookmarkStart w:id="56645" w:name="_ETM_Q103_479849"/>
      <w:bookmarkEnd w:id="56645"/>
      <w:r>
        <w:rPr>
          <w:rFonts w:hint="cs"/>
          <w:rtl/>
        </w:rPr>
        <w:t xml:space="preserve">בתי </w:t>
      </w:r>
      <w:bookmarkStart w:id="56646" w:name="_ETM_Q103_480089"/>
      <w:bookmarkEnd w:id="56646"/>
      <w:r>
        <w:rPr>
          <w:rFonts w:hint="cs"/>
          <w:rtl/>
        </w:rPr>
        <w:t xml:space="preserve">פרלמנט, </w:t>
      </w:r>
      <w:bookmarkStart w:id="56647" w:name="_ETM_Q103_480000"/>
      <w:bookmarkEnd w:id="56647"/>
      <w:r>
        <w:rPr>
          <w:rFonts w:hint="cs"/>
          <w:rtl/>
        </w:rPr>
        <w:t xml:space="preserve">נשיא </w:t>
      </w:r>
      <w:bookmarkStart w:id="56648" w:name="_ETM_Q103_480359"/>
      <w:bookmarkStart w:id="56649" w:name="_ETM_Q103_482159"/>
      <w:bookmarkEnd w:id="56648"/>
      <w:bookmarkEnd w:id="56649"/>
      <w:r>
        <w:rPr>
          <w:rFonts w:hint="cs"/>
          <w:rtl/>
        </w:rPr>
        <w:t xml:space="preserve">שנבחר </w:t>
      </w:r>
      <w:bookmarkStart w:id="56650" w:name="_ETM_Q103_482760"/>
      <w:bookmarkEnd w:id="56650"/>
      <w:r>
        <w:rPr>
          <w:rFonts w:hint="cs"/>
          <w:rtl/>
        </w:rPr>
        <w:t xml:space="preserve">בבחירות </w:t>
      </w:r>
      <w:bookmarkStart w:id="56651" w:name="_ETM_Q103_483270"/>
      <w:bookmarkEnd w:id="56651"/>
      <w:r>
        <w:rPr>
          <w:rFonts w:hint="cs"/>
          <w:rtl/>
        </w:rPr>
        <w:t xml:space="preserve">ישירות. אבל </w:t>
      </w:r>
      <w:bookmarkStart w:id="56652" w:name="_ETM_Q103_485060"/>
      <w:bookmarkEnd w:id="56652"/>
      <w:r>
        <w:rPr>
          <w:rFonts w:hint="cs"/>
          <w:rtl/>
        </w:rPr>
        <w:t xml:space="preserve">בשנת </w:t>
      </w:r>
      <w:bookmarkStart w:id="56653" w:name="_ETM_Q103_485450"/>
      <w:bookmarkEnd w:id="56653"/>
      <w:r>
        <w:rPr>
          <w:rFonts w:hint="cs"/>
          <w:rtl/>
        </w:rPr>
        <w:t xml:space="preserve">2015 </w:t>
      </w:r>
      <w:bookmarkStart w:id="56654" w:name="_ETM_Q103_486620"/>
      <w:bookmarkEnd w:id="56654"/>
      <w:r>
        <w:rPr>
          <w:rFonts w:hint="cs"/>
          <w:rtl/>
        </w:rPr>
        <w:t xml:space="preserve">מפלגת </w:t>
      </w:r>
      <w:bookmarkStart w:id="56655" w:name="_ETM_Q103_487130"/>
      <w:bookmarkEnd w:id="56655"/>
      <w:r>
        <w:rPr>
          <w:rFonts w:hint="cs"/>
          <w:rtl/>
        </w:rPr>
        <w:t xml:space="preserve">החוק </w:t>
      </w:r>
      <w:bookmarkStart w:id="56656" w:name="_ETM_Q103_487549"/>
      <w:bookmarkEnd w:id="56656"/>
      <w:r>
        <w:rPr>
          <w:rFonts w:hint="cs"/>
          <w:rtl/>
        </w:rPr>
        <w:t xml:space="preserve">והצדק </w:t>
      </w:r>
      <w:bookmarkStart w:id="56657" w:name="_ETM_Q103_488240"/>
      <w:bookmarkEnd w:id="56657"/>
      <w:r>
        <w:rPr>
          <w:rFonts w:hint="cs"/>
          <w:rtl/>
        </w:rPr>
        <w:t xml:space="preserve">ניצחה </w:t>
      </w:r>
      <w:bookmarkStart w:id="56658" w:name="_ETM_Q103_488779"/>
      <w:bookmarkEnd w:id="56658"/>
      <w:r>
        <w:rPr>
          <w:rFonts w:hint="cs"/>
          <w:rtl/>
        </w:rPr>
        <w:t xml:space="preserve">והעלתה </w:t>
      </w:r>
      <w:bookmarkStart w:id="56659" w:name="_ETM_Q103_489080"/>
      <w:bookmarkEnd w:id="56659"/>
      <w:r>
        <w:rPr>
          <w:rFonts w:hint="cs"/>
          <w:rtl/>
        </w:rPr>
        <w:t xml:space="preserve">נשיא </w:t>
      </w:r>
      <w:bookmarkStart w:id="56660" w:name="_ETM_Q103_489589"/>
      <w:bookmarkEnd w:id="56660"/>
      <w:r>
        <w:rPr>
          <w:rFonts w:hint="cs"/>
          <w:rtl/>
        </w:rPr>
        <w:t xml:space="preserve">פופוליסט, </w:t>
      </w:r>
      <w:bookmarkStart w:id="56661" w:name="_ETM_Q103_490640"/>
      <w:bookmarkEnd w:id="56661"/>
      <w:r>
        <w:rPr>
          <w:rFonts w:hint="cs"/>
          <w:rtl/>
        </w:rPr>
        <w:t xml:space="preserve">גזען, </w:t>
      </w:r>
      <w:bookmarkStart w:id="56662" w:name="_ETM_Q103_491720"/>
      <w:bookmarkEnd w:id="56662"/>
      <w:r>
        <w:rPr>
          <w:rFonts w:hint="cs"/>
          <w:rtl/>
        </w:rPr>
        <w:t xml:space="preserve">וכמו </w:t>
      </w:r>
      <w:bookmarkStart w:id="56663" w:name="_ETM_Q103_492110"/>
      <w:bookmarkEnd w:id="56663"/>
      <w:r>
        <w:rPr>
          <w:rFonts w:hint="cs"/>
          <w:rtl/>
        </w:rPr>
        <w:t xml:space="preserve">שהתגלה </w:t>
      </w:r>
      <w:bookmarkStart w:id="56664" w:name="_ETM_Q103_492710"/>
      <w:bookmarkEnd w:id="56664"/>
      <w:r>
        <w:rPr>
          <w:rFonts w:hint="cs"/>
          <w:rtl/>
        </w:rPr>
        <w:t xml:space="preserve">מהר </w:t>
      </w:r>
      <w:bookmarkStart w:id="56665" w:name="_ETM_Q103_493040"/>
      <w:bookmarkEnd w:id="56665"/>
      <w:r>
        <w:rPr>
          <w:rFonts w:hint="cs"/>
          <w:rtl/>
        </w:rPr>
        <w:t xml:space="preserve">מאוד </w:t>
      </w:r>
      <w:bookmarkStart w:id="56666" w:name="_ETM_Q103_493550"/>
      <w:bookmarkEnd w:id="56666"/>
      <w:r>
        <w:rPr>
          <w:rFonts w:hint="cs"/>
          <w:rtl/>
        </w:rPr>
        <w:t xml:space="preserve">גם </w:t>
      </w:r>
      <w:bookmarkStart w:id="56667" w:name="_ETM_Q103_493820"/>
      <w:bookmarkEnd w:id="56667"/>
      <w:r>
        <w:rPr>
          <w:rFonts w:hint="cs"/>
          <w:rtl/>
        </w:rPr>
        <w:t xml:space="preserve">אנטי-דמוקרטי. </w:t>
      </w:r>
      <w:bookmarkStart w:id="56668" w:name="_ETM_Q103_495760"/>
      <w:bookmarkEnd w:id="56668"/>
      <w:r>
        <w:rPr>
          <w:rFonts w:hint="cs"/>
          <w:rtl/>
        </w:rPr>
        <w:t xml:space="preserve">בפולין </w:t>
      </w:r>
      <w:bookmarkStart w:id="56669" w:name="_ETM_Q103_496450"/>
      <w:bookmarkEnd w:id="56669"/>
      <w:r>
        <w:rPr>
          <w:rFonts w:hint="cs"/>
          <w:rtl/>
        </w:rPr>
        <w:t xml:space="preserve">של </w:t>
      </w:r>
      <w:bookmarkStart w:id="56670" w:name="_ETM_Q103_496720"/>
      <w:bookmarkEnd w:id="56670"/>
      <w:r>
        <w:rPr>
          <w:rFonts w:hint="cs"/>
          <w:rtl/>
        </w:rPr>
        <w:t xml:space="preserve">אחרי </w:t>
      </w:r>
      <w:bookmarkStart w:id="56671" w:name="_ETM_Q103_496960"/>
      <w:bookmarkEnd w:id="56671"/>
      <w:r>
        <w:rPr>
          <w:rFonts w:hint="cs"/>
          <w:rtl/>
        </w:rPr>
        <w:t xml:space="preserve">המהפכה </w:t>
      </w:r>
      <w:bookmarkStart w:id="56672" w:name="_ETM_Q103_498100"/>
      <w:bookmarkEnd w:id="56672"/>
      <w:r>
        <w:rPr>
          <w:rFonts w:hint="cs"/>
          <w:rtl/>
        </w:rPr>
        <w:t xml:space="preserve">אין </w:t>
      </w:r>
      <w:bookmarkStart w:id="56673" w:name="_ETM_Q103_498339"/>
      <w:bookmarkEnd w:id="56673"/>
      <w:r>
        <w:rPr>
          <w:rFonts w:hint="cs"/>
          <w:rtl/>
        </w:rPr>
        <w:t xml:space="preserve">מערכת </w:t>
      </w:r>
      <w:bookmarkStart w:id="56674" w:name="_ETM_Q103_498910"/>
      <w:bookmarkEnd w:id="56674"/>
      <w:r>
        <w:rPr>
          <w:rFonts w:hint="cs"/>
          <w:rtl/>
        </w:rPr>
        <w:t xml:space="preserve">משפט </w:t>
      </w:r>
      <w:bookmarkStart w:id="56675" w:name="_ETM_Q103_499360"/>
      <w:bookmarkEnd w:id="56675"/>
      <w:r>
        <w:rPr>
          <w:rFonts w:hint="cs"/>
          <w:rtl/>
        </w:rPr>
        <w:t xml:space="preserve">עצמאית </w:t>
      </w:r>
      <w:bookmarkStart w:id="56676" w:name="_ETM_Q103_499960"/>
      <w:bookmarkEnd w:id="56676"/>
      <w:r>
        <w:rPr>
          <w:rFonts w:hint="cs"/>
          <w:rtl/>
        </w:rPr>
        <w:t xml:space="preserve">וחזקה </w:t>
      </w:r>
      <w:bookmarkStart w:id="56677" w:name="_ETM_Q103_500980"/>
      <w:bookmarkEnd w:id="56677"/>
      <w:r>
        <w:rPr>
          <w:rFonts w:hint="cs"/>
          <w:rtl/>
        </w:rPr>
        <w:t xml:space="preserve">שיכולה </w:t>
      </w:r>
      <w:bookmarkStart w:id="56678" w:name="_ETM_Q103_501490"/>
      <w:bookmarkEnd w:id="56678"/>
      <w:r>
        <w:rPr>
          <w:rFonts w:hint="cs"/>
          <w:rtl/>
        </w:rPr>
        <w:t xml:space="preserve">לתת </w:t>
      </w:r>
      <w:bookmarkStart w:id="56679" w:name="_ETM_Q103_501820"/>
      <w:bookmarkEnd w:id="56679"/>
      <w:r>
        <w:rPr>
          <w:rFonts w:hint="cs"/>
          <w:rtl/>
        </w:rPr>
        <w:t xml:space="preserve">ביקורת </w:t>
      </w:r>
      <w:bookmarkStart w:id="56680" w:name="_ETM_Q103_502270"/>
      <w:bookmarkEnd w:id="56680"/>
      <w:r>
        <w:rPr>
          <w:rFonts w:hint="cs"/>
          <w:rtl/>
        </w:rPr>
        <w:t xml:space="preserve">על </w:t>
      </w:r>
      <w:bookmarkStart w:id="56681" w:name="_ETM_Q103_502390"/>
      <w:bookmarkEnd w:id="56681"/>
      <w:r>
        <w:rPr>
          <w:rFonts w:hint="cs"/>
          <w:rtl/>
        </w:rPr>
        <w:t xml:space="preserve">השלטון. </w:t>
      </w:r>
      <w:bookmarkStart w:id="56682" w:name="_ETM_Q103_503339"/>
      <w:bookmarkEnd w:id="56682"/>
      <w:r>
        <w:rPr>
          <w:rFonts w:hint="cs"/>
          <w:rtl/>
        </w:rPr>
        <w:t xml:space="preserve">הכלכלה </w:t>
      </w:r>
      <w:bookmarkStart w:id="56683" w:name="_ETM_Q103_504120"/>
      <w:bookmarkEnd w:id="56683"/>
      <w:r>
        <w:rPr>
          <w:rFonts w:hint="cs"/>
          <w:rtl/>
        </w:rPr>
        <w:t xml:space="preserve">בקריסה </w:t>
      </w:r>
      <w:bookmarkStart w:id="56684" w:name="_ETM_Q103_504779"/>
      <w:bookmarkEnd w:id="56684"/>
      <w:r>
        <w:rPr>
          <w:rFonts w:hint="cs"/>
          <w:rtl/>
        </w:rPr>
        <w:t xml:space="preserve">אדירה. </w:t>
      </w:r>
      <w:bookmarkStart w:id="56685" w:name="_ETM_Q103_505669"/>
      <w:bookmarkEnd w:id="56685"/>
      <w:r>
        <w:rPr>
          <w:rFonts w:hint="cs"/>
          <w:rtl/>
        </w:rPr>
        <w:t xml:space="preserve">זכויות </w:t>
      </w:r>
      <w:bookmarkStart w:id="56686" w:name="_ETM_Q103_506210"/>
      <w:bookmarkEnd w:id="56686"/>
      <w:r>
        <w:rPr>
          <w:rFonts w:hint="cs"/>
          <w:rtl/>
        </w:rPr>
        <w:t xml:space="preserve">נשים </w:t>
      </w:r>
      <w:bookmarkStart w:id="56687" w:name="_ETM_Q103_506630"/>
      <w:bookmarkEnd w:id="56687"/>
      <w:r>
        <w:rPr>
          <w:rFonts w:hint="cs"/>
          <w:rtl/>
        </w:rPr>
        <w:t xml:space="preserve">וזכויותיהם </w:t>
      </w:r>
      <w:bookmarkStart w:id="56688" w:name="_ETM_Q103_507319"/>
      <w:bookmarkEnd w:id="56688"/>
      <w:r>
        <w:rPr>
          <w:rFonts w:hint="cs"/>
          <w:rtl/>
        </w:rPr>
        <w:t xml:space="preserve">של </w:t>
      </w:r>
      <w:bookmarkStart w:id="56689" w:name="_ETM_Q103_507470"/>
      <w:bookmarkEnd w:id="56689"/>
      <w:r>
        <w:rPr>
          <w:rFonts w:hint="cs"/>
          <w:rtl/>
        </w:rPr>
        <w:t xml:space="preserve">חברי </w:t>
      </w:r>
      <w:bookmarkStart w:id="56690" w:name="_ETM_Q103_507829"/>
      <w:bookmarkEnd w:id="56690"/>
      <w:r>
        <w:rPr>
          <w:rFonts w:hint="cs"/>
          <w:rtl/>
        </w:rPr>
        <w:t xml:space="preserve">קהילת </w:t>
      </w:r>
      <w:bookmarkStart w:id="56691" w:name="_ETM_Q103_508279"/>
      <w:bookmarkEnd w:id="56691"/>
      <w:r>
        <w:rPr>
          <w:rFonts w:hint="cs"/>
          <w:rtl/>
        </w:rPr>
        <w:t xml:space="preserve">הלהט"ב </w:t>
      </w:r>
      <w:bookmarkStart w:id="56692" w:name="_ETM_Q103_508909"/>
      <w:bookmarkEnd w:id="56692"/>
      <w:r>
        <w:rPr>
          <w:rFonts w:hint="cs"/>
          <w:rtl/>
        </w:rPr>
        <w:t xml:space="preserve">נמצאות </w:t>
      </w:r>
      <w:bookmarkStart w:id="56693" w:name="_ETM_Q103_509449"/>
      <w:bookmarkEnd w:id="56693"/>
      <w:r>
        <w:rPr>
          <w:rFonts w:hint="cs"/>
          <w:rtl/>
        </w:rPr>
        <w:t xml:space="preserve">בנסיגה </w:t>
      </w:r>
      <w:bookmarkStart w:id="56694" w:name="_ETM_Q103_510019"/>
      <w:bookmarkEnd w:id="56694"/>
      <w:r>
        <w:rPr>
          <w:rFonts w:hint="cs"/>
          <w:rtl/>
        </w:rPr>
        <w:t xml:space="preserve">דרמטית. </w:t>
      </w:r>
      <w:bookmarkStart w:id="56695" w:name="_ETM_Q103_511160"/>
      <w:bookmarkEnd w:id="56695"/>
      <w:r>
        <w:rPr>
          <w:rFonts w:hint="cs"/>
          <w:rtl/>
        </w:rPr>
        <w:t xml:space="preserve">התקשורת </w:t>
      </w:r>
      <w:bookmarkStart w:id="56696" w:name="_ETM_Q103_512029"/>
      <w:bookmarkEnd w:id="56696"/>
      <w:r>
        <w:rPr>
          <w:rFonts w:hint="cs"/>
          <w:rtl/>
        </w:rPr>
        <w:t xml:space="preserve">החופשית </w:t>
      </w:r>
      <w:bookmarkStart w:id="56697" w:name="_ETM_Q103_512510"/>
      <w:bookmarkEnd w:id="56697"/>
      <w:r>
        <w:rPr>
          <w:rFonts w:hint="cs"/>
          <w:rtl/>
        </w:rPr>
        <w:t xml:space="preserve">עברה </w:t>
      </w:r>
      <w:bookmarkStart w:id="56698" w:name="_ETM_Q103_512779"/>
      <w:bookmarkEnd w:id="56698"/>
      <w:r>
        <w:rPr>
          <w:rFonts w:hint="cs"/>
          <w:rtl/>
        </w:rPr>
        <w:t xml:space="preserve">רפורמה </w:t>
      </w:r>
      <w:bookmarkStart w:id="56699" w:name="_ETM_Q103_513800"/>
      <w:bookmarkEnd w:id="56699"/>
      <w:r>
        <w:rPr>
          <w:rFonts w:hint="cs"/>
          <w:rtl/>
        </w:rPr>
        <w:t xml:space="preserve">שאת </w:t>
      </w:r>
      <w:bookmarkStart w:id="56700" w:name="_ETM_Q103_514190"/>
      <w:bookmarkEnd w:id="56700"/>
      <w:r>
        <w:rPr>
          <w:rFonts w:hint="cs"/>
          <w:rtl/>
        </w:rPr>
        <w:t xml:space="preserve">מאפייניה </w:t>
      </w:r>
      <w:bookmarkStart w:id="56701" w:name="_ETM_Q103_515149"/>
      <w:bookmarkEnd w:id="56701"/>
      <w:r>
        <w:rPr>
          <w:rFonts w:hint="cs"/>
          <w:rtl/>
        </w:rPr>
        <w:t xml:space="preserve">אפשר </w:t>
      </w:r>
      <w:bookmarkStart w:id="56702" w:name="_ETM_Q103_515480"/>
      <w:bookmarkEnd w:id="56702"/>
      <w:r>
        <w:rPr>
          <w:rFonts w:hint="cs"/>
          <w:rtl/>
        </w:rPr>
        <w:t xml:space="preserve">למצוא </w:t>
      </w:r>
      <w:bookmarkStart w:id="56703" w:name="_ETM_Q103_515809"/>
      <w:bookmarkEnd w:id="56703"/>
      <w:r>
        <w:rPr>
          <w:rFonts w:hint="cs"/>
          <w:rtl/>
        </w:rPr>
        <w:t xml:space="preserve">גם </w:t>
      </w:r>
      <w:bookmarkStart w:id="56704" w:name="_ETM_Q103_515960"/>
      <w:bookmarkEnd w:id="56704"/>
      <w:r>
        <w:rPr>
          <w:rFonts w:hint="cs"/>
          <w:rtl/>
        </w:rPr>
        <w:t xml:space="preserve">ברפורמה </w:t>
      </w:r>
      <w:bookmarkStart w:id="56705" w:name="_ETM_Q103_516620"/>
      <w:bookmarkEnd w:id="56705"/>
      <w:r>
        <w:rPr>
          <w:rFonts w:hint="cs"/>
          <w:rtl/>
        </w:rPr>
        <w:t xml:space="preserve">שמציג </w:t>
      </w:r>
      <w:bookmarkStart w:id="56706" w:name="_ETM_Q103_517129"/>
      <w:bookmarkEnd w:id="56706"/>
      <w:r>
        <w:rPr>
          <w:rFonts w:hint="cs"/>
          <w:rtl/>
        </w:rPr>
        <w:t xml:space="preserve">שר </w:t>
      </w:r>
      <w:bookmarkStart w:id="56707" w:name="_ETM_Q103_517339"/>
      <w:bookmarkEnd w:id="56707"/>
      <w:r>
        <w:rPr>
          <w:rFonts w:hint="cs"/>
          <w:rtl/>
        </w:rPr>
        <w:t xml:space="preserve">התקשורת </w:t>
      </w:r>
      <w:bookmarkStart w:id="56708" w:name="_ETM_Q103_518089"/>
      <w:bookmarkEnd w:id="56708"/>
      <w:r>
        <w:rPr>
          <w:rFonts w:hint="cs"/>
          <w:rtl/>
        </w:rPr>
        <w:t xml:space="preserve">ממש </w:t>
      </w:r>
      <w:bookmarkStart w:id="56709" w:name="_ETM_Q103_518480"/>
      <w:bookmarkEnd w:id="56709"/>
      <w:r>
        <w:rPr>
          <w:rFonts w:hint="cs"/>
          <w:rtl/>
        </w:rPr>
        <w:t xml:space="preserve">בימים </w:t>
      </w:r>
      <w:bookmarkStart w:id="56710" w:name="_ETM_Q103_518930"/>
      <w:bookmarkEnd w:id="56710"/>
      <w:r>
        <w:rPr>
          <w:rFonts w:hint="cs"/>
          <w:rtl/>
        </w:rPr>
        <w:t xml:space="preserve">אלה, </w:t>
      </w:r>
      <w:bookmarkStart w:id="56711" w:name="_ETM_Q103_519819"/>
      <w:bookmarkEnd w:id="56711"/>
      <w:r>
        <w:rPr>
          <w:rFonts w:hint="cs"/>
          <w:rtl/>
        </w:rPr>
        <w:t xml:space="preserve">ועכשיו </w:t>
      </w:r>
      <w:bookmarkStart w:id="56712" w:name="_ETM_Q103_520629"/>
      <w:bookmarkEnd w:id="56712"/>
      <w:r>
        <w:rPr>
          <w:rFonts w:hint="cs"/>
          <w:rtl/>
        </w:rPr>
        <w:t xml:space="preserve">היא </w:t>
      </w:r>
      <w:bookmarkStart w:id="56713" w:name="_ETM_Q103_520779"/>
      <w:bookmarkEnd w:id="56713"/>
      <w:r>
        <w:rPr>
          <w:rFonts w:hint="cs"/>
          <w:rtl/>
        </w:rPr>
        <w:t xml:space="preserve">כמעט </w:t>
      </w:r>
      <w:bookmarkStart w:id="56714" w:name="_ETM_Q103_521199"/>
      <w:bookmarkEnd w:id="56714"/>
      <w:r>
        <w:rPr>
          <w:rFonts w:hint="cs"/>
          <w:rtl/>
        </w:rPr>
        <w:t xml:space="preserve">לא </w:t>
      </w:r>
      <w:bookmarkStart w:id="56715" w:name="_ETM_Q103_521319"/>
      <w:bookmarkEnd w:id="56715"/>
      <w:r>
        <w:rPr>
          <w:rFonts w:hint="cs"/>
          <w:rtl/>
        </w:rPr>
        <w:t xml:space="preserve">קיימת. </w:t>
      </w:r>
      <w:bookmarkStart w:id="56716" w:name="_ETM_Q103_522629"/>
      <w:bookmarkEnd w:id="56716"/>
      <w:r>
        <w:rPr>
          <w:rFonts w:hint="cs"/>
          <w:rtl/>
        </w:rPr>
        <w:t xml:space="preserve">פוליטיקאים </w:t>
      </w:r>
      <w:bookmarkStart w:id="56717" w:name="_ETM_Q103_523409"/>
      <w:bookmarkEnd w:id="56717"/>
      <w:r>
        <w:rPr>
          <w:rFonts w:hint="cs"/>
          <w:rtl/>
        </w:rPr>
        <w:t xml:space="preserve">טוענים </w:t>
      </w:r>
      <w:bookmarkStart w:id="56718" w:name="_ETM_Q103_524010"/>
      <w:bookmarkEnd w:id="56718"/>
      <w:r>
        <w:rPr>
          <w:rFonts w:hint="cs"/>
          <w:rtl/>
        </w:rPr>
        <w:t xml:space="preserve">שהשופטים </w:t>
      </w:r>
      <w:bookmarkStart w:id="56719" w:name="_ETM_Q103_524729"/>
      <w:bookmarkEnd w:id="56719"/>
      <w:r>
        <w:rPr>
          <w:rFonts w:hint="cs"/>
          <w:rtl/>
        </w:rPr>
        <w:t xml:space="preserve">הם </w:t>
      </w:r>
      <w:bookmarkStart w:id="56720" w:name="_ETM_Q103_524850"/>
      <w:bookmarkEnd w:id="56720"/>
      <w:r>
        <w:rPr>
          <w:rFonts w:hint="cs"/>
          <w:rtl/>
        </w:rPr>
        <w:t xml:space="preserve">חברי </w:t>
      </w:r>
      <w:bookmarkStart w:id="56721" w:name="_ETM_Q103_525300"/>
      <w:bookmarkEnd w:id="56721"/>
      <w:r>
        <w:rPr>
          <w:rFonts w:hint="cs"/>
          <w:rtl/>
        </w:rPr>
        <w:t>כ</w:t>
      </w:r>
      <w:r w:rsidR="00942E30">
        <w:rPr>
          <w:rFonts w:hint="cs"/>
          <w:rtl/>
        </w:rPr>
        <w:t>י</w:t>
      </w:r>
      <w:r>
        <w:rPr>
          <w:rFonts w:hint="cs"/>
          <w:rtl/>
        </w:rPr>
        <w:t xml:space="preserve">תות </w:t>
      </w:r>
      <w:bookmarkStart w:id="56722" w:name="_ETM_Q103_526190"/>
      <w:bookmarkEnd w:id="56722"/>
      <w:r>
        <w:rPr>
          <w:rFonts w:hint="cs"/>
          <w:rtl/>
        </w:rPr>
        <w:t xml:space="preserve">וגנבים </w:t>
      </w:r>
      <w:bookmarkStart w:id="56723" w:name="_ETM_Q103_526850"/>
      <w:bookmarkEnd w:id="56723"/>
      <w:r>
        <w:rPr>
          <w:rFonts w:hint="cs"/>
          <w:rtl/>
        </w:rPr>
        <w:t xml:space="preserve">שלוקחים </w:t>
      </w:r>
      <w:bookmarkStart w:id="56724" w:name="_ETM_Q103_527329"/>
      <w:bookmarkEnd w:id="56724"/>
      <w:r>
        <w:rPr>
          <w:rFonts w:hint="cs"/>
          <w:rtl/>
        </w:rPr>
        <w:t xml:space="preserve">לעצמם </w:t>
      </w:r>
      <w:bookmarkStart w:id="56725" w:name="_ETM_Q103_527719"/>
      <w:bookmarkEnd w:id="56725"/>
      <w:r>
        <w:rPr>
          <w:rFonts w:hint="cs"/>
          <w:rtl/>
        </w:rPr>
        <w:t xml:space="preserve">את </w:t>
      </w:r>
      <w:bookmarkStart w:id="56726" w:name="_ETM_Q103_527839"/>
      <w:bookmarkEnd w:id="56726"/>
      <w:r>
        <w:rPr>
          <w:rFonts w:hint="cs"/>
          <w:rtl/>
        </w:rPr>
        <w:t xml:space="preserve">הכוח. </w:t>
      </w:r>
      <w:bookmarkStart w:id="56727" w:name="_ETM_Q103_528499"/>
      <w:bookmarkEnd w:id="56727"/>
      <w:r>
        <w:rPr>
          <w:rFonts w:hint="cs"/>
          <w:rtl/>
        </w:rPr>
        <w:t xml:space="preserve">נשמע </w:t>
      </w:r>
      <w:bookmarkStart w:id="56728" w:name="_ETM_Q103_528859"/>
      <w:bookmarkEnd w:id="56728"/>
      <w:r>
        <w:rPr>
          <w:rFonts w:hint="cs"/>
          <w:rtl/>
        </w:rPr>
        <w:t xml:space="preserve">מוכר? </w:t>
      </w:r>
      <w:bookmarkStart w:id="56729" w:name="_ETM_Q103_530069"/>
      <w:bookmarkEnd w:id="56729"/>
      <w:r>
        <w:rPr>
          <w:rFonts w:hint="cs"/>
          <w:rtl/>
        </w:rPr>
        <w:t xml:space="preserve">שופט </w:t>
      </w:r>
      <w:bookmarkStart w:id="56730" w:name="_ETM_Q103_530550"/>
      <w:bookmarkEnd w:id="56730"/>
      <w:r>
        <w:rPr>
          <w:rFonts w:hint="cs"/>
          <w:rtl/>
        </w:rPr>
        <w:t xml:space="preserve">שהתנגד </w:t>
      </w:r>
      <w:bookmarkStart w:id="56731" w:name="_ETM_Q103_531089"/>
      <w:bookmarkEnd w:id="56731"/>
      <w:r>
        <w:rPr>
          <w:rFonts w:hint="cs"/>
          <w:rtl/>
        </w:rPr>
        <w:t xml:space="preserve">לממשלה </w:t>
      </w:r>
      <w:bookmarkStart w:id="56732" w:name="_ETM_Q103_531929"/>
      <w:bookmarkEnd w:id="56732"/>
      <w:r>
        <w:rPr>
          <w:rFonts w:hint="cs"/>
          <w:rtl/>
        </w:rPr>
        <w:t xml:space="preserve">הושעה </w:t>
      </w:r>
      <w:bookmarkStart w:id="56733" w:name="_ETM_Q103_532409"/>
      <w:bookmarkEnd w:id="56733"/>
      <w:r>
        <w:rPr>
          <w:rFonts w:hint="cs"/>
          <w:rtl/>
        </w:rPr>
        <w:t xml:space="preserve">לשנתיים. </w:t>
      </w:r>
      <w:bookmarkStart w:id="56734" w:name="_ETM_Q103_533719"/>
      <w:bookmarkEnd w:id="56734"/>
      <w:r>
        <w:rPr>
          <w:rFonts w:hint="cs"/>
          <w:rtl/>
        </w:rPr>
        <w:t xml:space="preserve">לא </w:t>
      </w:r>
      <w:bookmarkStart w:id="56735" w:name="_ETM_Q103_533930"/>
      <w:bookmarkEnd w:id="56735"/>
      <w:r>
        <w:rPr>
          <w:rFonts w:hint="cs"/>
          <w:rtl/>
        </w:rPr>
        <w:t xml:space="preserve">מזכיר </w:t>
      </w:r>
      <w:bookmarkStart w:id="56736" w:name="_ETM_Q103_534320"/>
      <w:bookmarkEnd w:id="56736"/>
      <w:r>
        <w:rPr>
          <w:rFonts w:hint="cs"/>
          <w:rtl/>
        </w:rPr>
        <w:t xml:space="preserve">במשהו </w:t>
      </w:r>
      <w:bookmarkStart w:id="56737" w:name="_ETM_Q103_534739"/>
      <w:bookmarkEnd w:id="56737"/>
      <w:r>
        <w:rPr>
          <w:rFonts w:hint="cs"/>
          <w:rtl/>
        </w:rPr>
        <w:t xml:space="preserve">את </w:t>
      </w:r>
      <w:bookmarkStart w:id="56738" w:name="_ETM_Q103_534829"/>
      <w:bookmarkEnd w:id="56738"/>
      <w:r>
        <w:rPr>
          <w:rFonts w:hint="cs"/>
          <w:rtl/>
        </w:rPr>
        <w:t xml:space="preserve">הרצון </w:t>
      </w:r>
      <w:bookmarkStart w:id="56739" w:name="_ETM_Q103_535339"/>
      <w:bookmarkEnd w:id="56739"/>
      <w:r>
        <w:rPr>
          <w:rFonts w:hint="cs"/>
          <w:rtl/>
        </w:rPr>
        <w:t xml:space="preserve">להוציא </w:t>
      </w:r>
      <w:bookmarkStart w:id="56740" w:name="_ETM_Q103_535730"/>
      <w:bookmarkEnd w:id="56740"/>
      <w:r>
        <w:rPr>
          <w:rFonts w:hint="cs"/>
          <w:rtl/>
        </w:rPr>
        <w:t xml:space="preserve">את </w:t>
      </w:r>
      <w:bookmarkStart w:id="56741" w:name="_ETM_Q103_535820"/>
      <w:bookmarkEnd w:id="56741"/>
      <w:r>
        <w:rPr>
          <w:rFonts w:hint="cs"/>
          <w:rtl/>
        </w:rPr>
        <w:t xml:space="preserve">לשכת </w:t>
      </w:r>
      <w:bookmarkStart w:id="56742" w:name="_ETM_Q103_536239"/>
      <w:bookmarkEnd w:id="56742"/>
      <w:r>
        <w:rPr>
          <w:rFonts w:hint="cs"/>
          <w:rtl/>
        </w:rPr>
        <w:t xml:space="preserve">עורכי הדין </w:t>
      </w:r>
      <w:bookmarkStart w:id="56743" w:name="_ETM_Q103_537620"/>
      <w:bookmarkEnd w:id="56743"/>
      <w:r>
        <w:rPr>
          <w:rFonts w:hint="cs"/>
          <w:rtl/>
        </w:rPr>
        <w:t xml:space="preserve">מהוועדה </w:t>
      </w:r>
      <w:bookmarkStart w:id="56744" w:name="_ETM_Q103_538580"/>
      <w:bookmarkEnd w:id="56744"/>
      <w:r>
        <w:rPr>
          <w:rFonts w:hint="cs"/>
          <w:rtl/>
        </w:rPr>
        <w:t xml:space="preserve">למינוי </w:t>
      </w:r>
      <w:bookmarkStart w:id="56745" w:name="_ETM_Q103_539150"/>
      <w:bookmarkEnd w:id="56745"/>
      <w:r>
        <w:rPr>
          <w:rFonts w:hint="cs"/>
          <w:rtl/>
        </w:rPr>
        <w:t xml:space="preserve">שופטים </w:t>
      </w:r>
      <w:bookmarkStart w:id="56746" w:name="_ETM_Q103_539779"/>
      <w:bookmarkEnd w:id="56746"/>
      <w:r>
        <w:rPr>
          <w:rFonts w:hint="cs"/>
          <w:rtl/>
        </w:rPr>
        <w:t xml:space="preserve">רק </w:t>
      </w:r>
      <w:bookmarkStart w:id="56747" w:name="_ETM_Q103_540080"/>
      <w:bookmarkEnd w:id="56747"/>
      <w:r>
        <w:rPr>
          <w:rFonts w:hint="cs"/>
          <w:rtl/>
        </w:rPr>
        <w:t xml:space="preserve">בגלל </w:t>
      </w:r>
      <w:bookmarkStart w:id="56748" w:name="_ETM_Q103_540529"/>
      <w:bookmarkEnd w:id="56748"/>
      <w:r>
        <w:rPr>
          <w:rFonts w:hint="cs"/>
          <w:rtl/>
        </w:rPr>
        <w:t xml:space="preserve">שנבחר </w:t>
      </w:r>
      <w:bookmarkStart w:id="56749" w:name="_ETM_Q103_541100"/>
      <w:bookmarkEnd w:id="56749"/>
      <w:r>
        <w:rPr>
          <w:rFonts w:hint="cs"/>
          <w:rtl/>
        </w:rPr>
        <w:t xml:space="preserve">מישהו </w:t>
      </w:r>
      <w:bookmarkStart w:id="56750" w:name="_ETM_Q103_541460"/>
      <w:bookmarkEnd w:id="56750"/>
      <w:r>
        <w:rPr>
          <w:rFonts w:hint="cs"/>
          <w:rtl/>
        </w:rPr>
        <w:t xml:space="preserve">שפחות </w:t>
      </w:r>
      <w:bookmarkStart w:id="56751" w:name="_ETM_Q103_542060"/>
      <w:bookmarkEnd w:id="56751"/>
      <w:r>
        <w:rPr>
          <w:rFonts w:hint="cs"/>
          <w:rtl/>
        </w:rPr>
        <w:t xml:space="preserve">בקטע </w:t>
      </w:r>
      <w:bookmarkStart w:id="56752" w:name="_ETM_Q103_542540"/>
      <w:bookmarkEnd w:id="56752"/>
      <w:r>
        <w:rPr>
          <w:rFonts w:hint="cs"/>
          <w:rtl/>
        </w:rPr>
        <w:t xml:space="preserve">של </w:t>
      </w:r>
      <w:bookmarkStart w:id="56753" w:name="_ETM_Q103_542750"/>
      <w:bookmarkEnd w:id="56753"/>
      <w:r>
        <w:rPr>
          <w:rFonts w:hint="cs"/>
          <w:rtl/>
        </w:rPr>
        <w:t xml:space="preserve">הדיקטטורה </w:t>
      </w:r>
      <w:bookmarkStart w:id="56754" w:name="_ETM_Q103_543410"/>
      <w:bookmarkEnd w:id="56754"/>
      <w:r>
        <w:rPr>
          <w:rFonts w:hint="cs"/>
          <w:rtl/>
        </w:rPr>
        <w:t xml:space="preserve">של </w:t>
      </w:r>
      <w:bookmarkStart w:id="56755" w:name="_ETM_Q103_543589"/>
      <w:bookmarkEnd w:id="56755"/>
      <w:r>
        <w:rPr>
          <w:rFonts w:hint="cs"/>
          <w:rtl/>
        </w:rPr>
        <w:t xml:space="preserve">הממשלה? </w:t>
      </w:r>
      <w:bookmarkStart w:id="56756" w:name="_ETM_Q103_545330"/>
      <w:bookmarkEnd w:id="56756"/>
      <w:r>
        <w:rPr>
          <w:rFonts w:hint="cs"/>
          <w:rtl/>
        </w:rPr>
        <w:t xml:space="preserve">שער </w:t>
      </w:r>
      <w:bookmarkStart w:id="56757" w:name="_ETM_Q103_545750"/>
      <w:bookmarkEnd w:id="56757"/>
      <w:r>
        <w:rPr>
          <w:rFonts w:hint="cs"/>
          <w:rtl/>
        </w:rPr>
        <w:t xml:space="preserve">הזלוטי הפולני </w:t>
      </w:r>
      <w:bookmarkStart w:id="56758" w:name="_ETM_Q103_545900"/>
      <w:bookmarkStart w:id="56759" w:name="_ETM_Q103_546920"/>
      <w:bookmarkEnd w:id="56758"/>
      <w:bookmarkEnd w:id="56759"/>
      <w:r>
        <w:rPr>
          <w:rFonts w:hint="cs"/>
          <w:rtl/>
        </w:rPr>
        <w:t xml:space="preserve">ירד </w:t>
      </w:r>
      <w:bookmarkStart w:id="56760" w:name="_ETM_Q103_547310"/>
      <w:bookmarkEnd w:id="56760"/>
      <w:r>
        <w:rPr>
          <w:rFonts w:hint="cs"/>
          <w:rtl/>
        </w:rPr>
        <w:t xml:space="preserve">בשלוש </w:t>
      </w:r>
      <w:bookmarkStart w:id="56761" w:name="_ETM_Q103_547700"/>
      <w:bookmarkEnd w:id="56761"/>
      <w:r>
        <w:rPr>
          <w:rFonts w:hint="cs"/>
          <w:rtl/>
        </w:rPr>
        <w:t xml:space="preserve">שנים </w:t>
      </w:r>
      <w:bookmarkStart w:id="56762" w:name="_ETM_Q103_547970"/>
      <w:bookmarkEnd w:id="56762"/>
      <w:r>
        <w:rPr>
          <w:rFonts w:hint="cs"/>
          <w:rtl/>
        </w:rPr>
        <w:t xml:space="preserve">האחרונות </w:t>
      </w:r>
      <w:bookmarkStart w:id="56763" w:name="_ETM_Q103_548510"/>
      <w:bookmarkEnd w:id="56763"/>
      <w:r>
        <w:rPr>
          <w:rFonts w:hint="cs"/>
          <w:rtl/>
        </w:rPr>
        <w:t xml:space="preserve">בלא </w:t>
      </w:r>
      <w:bookmarkStart w:id="56764" w:name="_ETM_Q103_548779"/>
      <w:bookmarkEnd w:id="56764"/>
      <w:r>
        <w:rPr>
          <w:rFonts w:hint="cs"/>
          <w:rtl/>
        </w:rPr>
        <w:t xml:space="preserve">פחות </w:t>
      </w:r>
      <w:bookmarkStart w:id="56765" w:name="_ETM_Q103_549200"/>
      <w:bookmarkEnd w:id="56765"/>
      <w:r>
        <w:rPr>
          <w:rFonts w:hint="cs"/>
          <w:rtl/>
        </w:rPr>
        <w:t>מ-11%</w:t>
      </w:r>
      <w:bookmarkStart w:id="56766" w:name="_ETM_Q103_551049"/>
      <w:bookmarkEnd w:id="56766"/>
      <w:r>
        <w:rPr>
          <w:rFonts w:hint="cs"/>
          <w:rtl/>
        </w:rPr>
        <w:t xml:space="preserve">, השחיתות </w:t>
      </w:r>
      <w:bookmarkStart w:id="56767" w:name="_ETM_Q103_551619"/>
      <w:bookmarkEnd w:id="56767"/>
      <w:r>
        <w:rPr>
          <w:rFonts w:hint="cs"/>
          <w:rtl/>
        </w:rPr>
        <w:t xml:space="preserve">מזנקת, </w:t>
      </w:r>
      <w:bookmarkStart w:id="56768" w:name="_ETM_Q103_552490"/>
      <w:bookmarkEnd w:id="56768"/>
      <w:r>
        <w:rPr>
          <w:rFonts w:hint="cs"/>
          <w:rtl/>
        </w:rPr>
        <w:t xml:space="preserve">ומדד </w:t>
      </w:r>
      <w:bookmarkStart w:id="56769" w:name="_ETM_Q103_552969"/>
      <w:bookmarkEnd w:id="56769"/>
      <w:r>
        <w:rPr>
          <w:rFonts w:hint="cs"/>
          <w:rtl/>
        </w:rPr>
        <w:t xml:space="preserve">המחירים </w:t>
      </w:r>
      <w:bookmarkStart w:id="56770" w:name="_ETM_Q103_553589"/>
      <w:bookmarkEnd w:id="56770"/>
      <w:r>
        <w:rPr>
          <w:rFonts w:hint="cs"/>
          <w:rtl/>
        </w:rPr>
        <w:t xml:space="preserve">לצרכן </w:t>
      </w:r>
      <w:bookmarkStart w:id="56771" w:name="_ETM_Q103_554070"/>
      <w:bookmarkEnd w:id="56771"/>
      <w:r>
        <w:rPr>
          <w:rFonts w:hint="cs"/>
          <w:rtl/>
        </w:rPr>
        <w:t xml:space="preserve">קפץ </w:t>
      </w:r>
      <w:bookmarkStart w:id="56772" w:name="_ETM_Q103_555100"/>
      <w:bookmarkEnd w:id="56772"/>
      <w:r>
        <w:rPr>
          <w:rFonts w:hint="cs"/>
          <w:rtl/>
        </w:rPr>
        <w:t>ב-17%</w:t>
      </w:r>
      <w:bookmarkStart w:id="56773" w:name="_ETM_Q103_556359"/>
      <w:bookmarkEnd w:id="56773"/>
      <w:r>
        <w:rPr>
          <w:rFonts w:hint="cs"/>
          <w:rtl/>
        </w:rPr>
        <w:t xml:space="preserve">, שהם </w:t>
      </w:r>
      <w:bookmarkStart w:id="56774" w:name="_ETM_Q103_556570"/>
      <w:bookmarkEnd w:id="56774"/>
      <w:r>
        <w:rPr>
          <w:rFonts w:hint="cs"/>
          <w:rtl/>
        </w:rPr>
        <w:t xml:space="preserve">פי </w:t>
      </w:r>
      <w:bookmarkStart w:id="56775" w:name="_ETM_Q103_556750"/>
      <w:bookmarkEnd w:id="56775"/>
      <w:r>
        <w:rPr>
          <w:rFonts w:hint="cs"/>
          <w:rtl/>
        </w:rPr>
        <w:t xml:space="preserve">שניים </w:t>
      </w:r>
      <w:bookmarkStart w:id="56776" w:name="_ETM_Q103_557560"/>
      <w:bookmarkEnd w:id="56776"/>
      <w:r>
        <w:rPr>
          <w:rFonts w:hint="cs"/>
          <w:rtl/>
        </w:rPr>
        <w:t xml:space="preserve">משאר </w:t>
      </w:r>
      <w:bookmarkStart w:id="56777" w:name="_ETM_Q103_558310"/>
      <w:bookmarkEnd w:id="56777"/>
      <w:r>
        <w:rPr>
          <w:rFonts w:hint="cs"/>
          <w:rtl/>
        </w:rPr>
        <w:t xml:space="preserve">האיחוד </w:t>
      </w:r>
      <w:bookmarkStart w:id="56778" w:name="_ETM_Q103_558729"/>
      <w:bookmarkEnd w:id="56778"/>
      <w:r>
        <w:rPr>
          <w:rFonts w:hint="cs"/>
          <w:rtl/>
        </w:rPr>
        <w:t xml:space="preserve">האירופי. </w:t>
      </w:r>
      <w:bookmarkStart w:id="56779" w:name="_ETM_Q103_559880"/>
      <w:bookmarkStart w:id="56780" w:name="_ETM_Q103_556840"/>
      <w:bookmarkStart w:id="56781" w:name="_ETM_Q103_556988"/>
      <w:bookmarkStart w:id="56782" w:name="_ETM_Q103_557055"/>
      <w:bookmarkStart w:id="56783" w:name="_ETM_Q103_557087"/>
      <w:bookmarkStart w:id="56784" w:name="_ETM_Q103_565729"/>
      <w:bookmarkStart w:id="56785" w:name="_ETM_Q103_565784"/>
      <w:bookmarkStart w:id="56786" w:name="_ETM_Q103_565909"/>
      <w:bookmarkStart w:id="56787" w:name="_ETM_Q103_565965"/>
      <w:bookmarkEnd w:id="56779"/>
      <w:bookmarkEnd w:id="56780"/>
      <w:bookmarkEnd w:id="56781"/>
      <w:bookmarkEnd w:id="56782"/>
      <w:bookmarkEnd w:id="56783"/>
      <w:bookmarkEnd w:id="56784"/>
      <w:bookmarkEnd w:id="56785"/>
      <w:bookmarkEnd w:id="56786"/>
      <w:bookmarkEnd w:id="56787"/>
      <w:r>
        <w:rPr>
          <w:rFonts w:hint="cs"/>
          <w:rtl/>
        </w:rPr>
        <w:t xml:space="preserve">ואצלנו, </w:t>
      </w:r>
      <w:bookmarkStart w:id="56788" w:name="_ETM_Q103_561140"/>
      <w:bookmarkEnd w:id="56788"/>
      <w:r>
        <w:rPr>
          <w:rFonts w:hint="cs"/>
          <w:rtl/>
        </w:rPr>
        <w:t xml:space="preserve">שר </w:t>
      </w:r>
      <w:bookmarkStart w:id="56789" w:name="_ETM_Q103_561410"/>
      <w:bookmarkEnd w:id="56789"/>
      <w:r>
        <w:rPr>
          <w:rFonts w:hint="cs"/>
          <w:rtl/>
        </w:rPr>
        <w:t xml:space="preserve">האוצר </w:t>
      </w:r>
      <w:bookmarkStart w:id="56790" w:name="_ETM_Q103_561800"/>
      <w:bookmarkEnd w:id="56790"/>
      <w:r>
        <w:rPr>
          <w:rFonts w:hint="cs"/>
          <w:rtl/>
        </w:rPr>
        <w:t xml:space="preserve">שלנו, </w:t>
      </w:r>
      <w:bookmarkStart w:id="56791" w:name="_ETM_Q103_562250"/>
      <w:bookmarkEnd w:id="56791"/>
      <w:r>
        <w:rPr>
          <w:rFonts w:hint="cs"/>
          <w:rtl/>
        </w:rPr>
        <w:t xml:space="preserve">שלמד </w:t>
      </w:r>
      <w:bookmarkStart w:id="56792" w:name="_ETM_Q103_562730"/>
      <w:bookmarkEnd w:id="56792"/>
      <w:r>
        <w:rPr>
          <w:rFonts w:hint="cs"/>
          <w:rtl/>
        </w:rPr>
        <w:t xml:space="preserve">בעל </w:t>
      </w:r>
      <w:bookmarkStart w:id="56793" w:name="_ETM_Q103_563000"/>
      <w:bookmarkEnd w:id="56793"/>
      <w:r>
        <w:rPr>
          <w:rFonts w:hint="cs"/>
          <w:rtl/>
        </w:rPr>
        <w:t xml:space="preserve">פה </w:t>
      </w:r>
      <w:bookmarkStart w:id="56794" w:name="_ETM_Q103_563270"/>
      <w:bookmarkEnd w:id="56794"/>
      <w:r>
        <w:rPr>
          <w:rFonts w:hint="cs"/>
          <w:rtl/>
        </w:rPr>
        <w:t xml:space="preserve">כמה </w:t>
      </w:r>
      <w:bookmarkStart w:id="56795" w:name="_ETM_Q103_563570"/>
      <w:bookmarkEnd w:id="56795"/>
      <w:r>
        <w:rPr>
          <w:rFonts w:hint="cs"/>
          <w:rtl/>
        </w:rPr>
        <w:t xml:space="preserve">מושגים </w:t>
      </w:r>
      <w:bookmarkStart w:id="56796" w:name="_ETM_Q103_564020"/>
      <w:bookmarkEnd w:id="56796"/>
      <w:r>
        <w:rPr>
          <w:rFonts w:hint="cs"/>
          <w:rtl/>
        </w:rPr>
        <w:t xml:space="preserve">בכלכלה, </w:t>
      </w:r>
      <w:bookmarkStart w:id="56797" w:name="_ETM_Q103_565150"/>
      <w:bookmarkEnd w:id="56797"/>
      <w:r>
        <w:rPr>
          <w:rFonts w:hint="cs"/>
          <w:rtl/>
        </w:rPr>
        <w:t xml:space="preserve">אוהב </w:t>
      </w:r>
      <w:bookmarkStart w:id="56798" w:name="_ETM_Q103_565479"/>
      <w:bookmarkEnd w:id="56798"/>
      <w:r>
        <w:rPr>
          <w:rFonts w:hint="cs"/>
          <w:rtl/>
        </w:rPr>
        <w:t xml:space="preserve">להתראיין </w:t>
      </w:r>
      <w:bookmarkStart w:id="56799" w:name="_ETM_Q103_566110"/>
      <w:bookmarkEnd w:id="56799"/>
      <w:r>
        <w:rPr>
          <w:rFonts w:hint="cs"/>
          <w:rtl/>
        </w:rPr>
        <w:t xml:space="preserve">ולספר </w:t>
      </w:r>
      <w:bookmarkStart w:id="56800" w:name="_ETM_Q103_566740"/>
      <w:bookmarkEnd w:id="56800"/>
      <w:r>
        <w:rPr>
          <w:rFonts w:hint="cs"/>
          <w:rtl/>
        </w:rPr>
        <w:t xml:space="preserve">סיפורי </w:t>
      </w:r>
      <w:bookmarkStart w:id="56801" w:name="_ETM_Q103_567159"/>
      <w:bookmarkStart w:id="56802" w:name="_ETM_Q103_567640"/>
      <w:bookmarkEnd w:id="56801"/>
      <w:bookmarkEnd w:id="56802"/>
      <w:r>
        <w:rPr>
          <w:rFonts w:hint="cs"/>
          <w:rtl/>
        </w:rPr>
        <w:t>גרנד</w:t>
      </w:r>
      <w:bookmarkStart w:id="56803" w:name="_ETM_Q103_568029"/>
      <w:bookmarkEnd w:id="56803"/>
      <w:r>
        <w:rPr>
          <w:rFonts w:hint="cs"/>
          <w:rtl/>
        </w:rPr>
        <w:t xml:space="preserve">מייזר, </w:t>
      </w:r>
      <w:bookmarkStart w:id="56804" w:name="_ETM_Q103_568420"/>
      <w:bookmarkEnd w:id="56804"/>
      <w:r>
        <w:rPr>
          <w:rFonts w:hint="cs"/>
          <w:rtl/>
        </w:rPr>
        <w:t xml:space="preserve">כמובן, </w:t>
      </w:r>
      <w:bookmarkStart w:id="56805" w:name="_ETM_Q103_569200"/>
      <w:bookmarkEnd w:id="56805"/>
      <w:r>
        <w:rPr>
          <w:rFonts w:hint="cs"/>
          <w:rtl/>
        </w:rPr>
        <w:t xml:space="preserve">אבל </w:t>
      </w:r>
      <w:bookmarkStart w:id="56806" w:name="_ETM_Q103_569470"/>
      <w:bookmarkEnd w:id="56806"/>
      <w:r>
        <w:rPr>
          <w:rFonts w:hint="cs"/>
          <w:rtl/>
        </w:rPr>
        <w:t xml:space="preserve">פחות </w:t>
      </w:r>
      <w:bookmarkStart w:id="56807" w:name="_ETM_Q103_569890"/>
      <w:bookmarkEnd w:id="56807"/>
      <w:r>
        <w:rPr>
          <w:rFonts w:hint="cs"/>
          <w:rtl/>
        </w:rPr>
        <w:t xml:space="preserve">רואה </w:t>
      </w:r>
      <w:bookmarkStart w:id="56808" w:name="_ETM_Q103_570220"/>
      <w:bookmarkEnd w:id="56808"/>
      <w:r>
        <w:rPr>
          <w:rFonts w:hint="cs"/>
          <w:rtl/>
        </w:rPr>
        <w:t xml:space="preserve">עניין </w:t>
      </w:r>
      <w:bookmarkStart w:id="56809" w:name="_ETM_Q103_570520"/>
      <w:bookmarkEnd w:id="56809"/>
      <w:r>
        <w:rPr>
          <w:rFonts w:hint="cs"/>
          <w:rtl/>
        </w:rPr>
        <w:t xml:space="preserve">בלהקשיב </w:t>
      </w:r>
      <w:bookmarkStart w:id="56810" w:name="_ETM_Q103_571149"/>
      <w:bookmarkEnd w:id="56810"/>
      <w:r>
        <w:rPr>
          <w:rFonts w:hint="cs"/>
          <w:rtl/>
        </w:rPr>
        <w:t xml:space="preserve">לאנשי </w:t>
      </w:r>
      <w:bookmarkStart w:id="56811" w:name="_ETM_Q103_571509"/>
      <w:bookmarkEnd w:id="56811"/>
      <w:r>
        <w:rPr>
          <w:rFonts w:hint="cs"/>
          <w:rtl/>
        </w:rPr>
        <w:t xml:space="preserve">המקצוע </w:t>
      </w:r>
      <w:bookmarkStart w:id="56812" w:name="_ETM_Q103_572079"/>
      <w:bookmarkEnd w:id="56812"/>
      <w:r>
        <w:rPr>
          <w:rFonts w:hint="cs"/>
          <w:rtl/>
        </w:rPr>
        <w:t xml:space="preserve">ולמספרים </w:t>
      </w:r>
      <w:bookmarkStart w:id="56813" w:name="_ETM_Q103_572890"/>
      <w:bookmarkEnd w:id="56813"/>
      <w:r>
        <w:rPr>
          <w:rFonts w:hint="cs"/>
          <w:rtl/>
        </w:rPr>
        <w:t xml:space="preserve">שמדברים </w:t>
      </w:r>
      <w:bookmarkStart w:id="56814" w:name="_ETM_Q103_573490"/>
      <w:bookmarkEnd w:id="56814"/>
      <w:r>
        <w:rPr>
          <w:rFonts w:hint="cs"/>
          <w:rtl/>
        </w:rPr>
        <w:t xml:space="preserve">את </w:t>
      </w:r>
      <w:bookmarkStart w:id="56815" w:name="_ETM_Q103_573640"/>
      <w:bookmarkEnd w:id="56815"/>
      <w:r>
        <w:rPr>
          <w:rFonts w:hint="cs"/>
          <w:rtl/>
        </w:rPr>
        <w:t xml:space="preserve">המציאות. </w:t>
      </w:r>
      <w:bookmarkStart w:id="56816" w:name="_ETM_Q103_575270"/>
      <w:bookmarkEnd w:id="56816"/>
    </w:p>
    <w:p w:rsidR="00BB59CD" w:rsidRDefault="00BB59CD" w:rsidP="00BB59CD">
      <w:pPr>
        <w:rPr>
          <w:rtl/>
        </w:rPr>
      </w:pPr>
      <w:bookmarkStart w:id="56817" w:name="_ETM_Q103_575818"/>
      <w:bookmarkEnd w:id="56817"/>
    </w:p>
    <w:p w:rsidR="00BB59CD" w:rsidRDefault="00BB59CD" w:rsidP="00942E30">
      <w:pPr>
        <w:rPr>
          <w:rtl/>
        </w:rPr>
      </w:pPr>
      <w:bookmarkStart w:id="56818" w:name="_ETM_Q103_575940"/>
      <w:bookmarkStart w:id="56819" w:name="_ETM_Q103_575994"/>
      <w:bookmarkStart w:id="56820" w:name="_ETM_Q103_576027"/>
      <w:bookmarkEnd w:id="56818"/>
      <w:bookmarkEnd w:id="56819"/>
      <w:bookmarkEnd w:id="56820"/>
      <w:r>
        <w:rPr>
          <w:rFonts w:hint="cs"/>
          <w:rtl/>
        </w:rPr>
        <w:t xml:space="preserve">היום </w:t>
      </w:r>
      <w:bookmarkStart w:id="56821" w:name="_ETM_Q103_576719"/>
      <w:bookmarkEnd w:id="56821"/>
      <w:r>
        <w:rPr>
          <w:rFonts w:hint="cs"/>
          <w:rtl/>
        </w:rPr>
        <w:t xml:space="preserve">אתם, </w:t>
      </w:r>
      <w:bookmarkStart w:id="56822" w:name="_ETM_Q103_577469"/>
      <w:bookmarkEnd w:id="56822"/>
      <w:r>
        <w:rPr>
          <w:rFonts w:hint="cs"/>
          <w:rtl/>
        </w:rPr>
        <w:t xml:space="preserve">אנשי </w:t>
      </w:r>
      <w:bookmarkStart w:id="56823" w:name="_ETM_Q103_577799"/>
      <w:bookmarkEnd w:id="56823"/>
      <w:r>
        <w:rPr>
          <w:rFonts w:hint="cs"/>
          <w:rtl/>
        </w:rPr>
        <w:t xml:space="preserve">הממשלה </w:t>
      </w:r>
      <w:bookmarkStart w:id="56824" w:name="_ETM_Q103_578310"/>
      <w:bookmarkEnd w:id="56824"/>
      <w:r>
        <w:rPr>
          <w:rFonts w:hint="cs"/>
          <w:rtl/>
        </w:rPr>
        <w:t xml:space="preserve">והקואליציה, </w:t>
      </w:r>
      <w:bookmarkStart w:id="56825" w:name="_ETM_Q103_579619"/>
      <w:bookmarkEnd w:id="56825"/>
      <w:r>
        <w:rPr>
          <w:rFonts w:hint="cs"/>
          <w:rtl/>
        </w:rPr>
        <w:t xml:space="preserve">עומדים </w:t>
      </w:r>
      <w:bookmarkStart w:id="56826" w:name="_ETM_Q103_580009"/>
      <w:bookmarkEnd w:id="56826"/>
      <w:r>
        <w:rPr>
          <w:rFonts w:hint="cs"/>
          <w:rtl/>
        </w:rPr>
        <w:t xml:space="preserve">להצביע </w:t>
      </w:r>
      <w:bookmarkStart w:id="56827" w:name="_ETM_Q103_580549"/>
      <w:bookmarkEnd w:id="56827"/>
      <w:r>
        <w:rPr>
          <w:rFonts w:hint="cs"/>
          <w:rtl/>
        </w:rPr>
        <w:t xml:space="preserve">בעצמכם </w:t>
      </w:r>
      <w:bookmarkStart w:id="56828" w:name="_ETM_Q103_581329"/>
      <w:bookmarkEnd w:id="56828"/>
      <w:r>
        <w:rPr>
          <w:rFonts w:hint="cs"/>
          <w:rtl/>
        </w:rPr>
        <w:t xml:space="preserve">בעד </w:t>
      </w:r>
      <w:bookmarkStart w:id="56829" w:name="_ETM_Q103_581659"/>
      <w:bookmarkEnd w:id="56829"/>
      <w:r>
        <w:rPr>
          <w:rFonts w:hint="cs"/>
          <w:rtl/>
        </w:rPr>
        <w:t xml:space="preserve">תקיעת </w:t>
      </w:r>
      <w:bookmarkStart w:id="56830" w:name="_ETM_Q103_582089"/>
      <w:bookmarkEnd w:id="56830"/>
      <w:r>
        <w:rPr>
          <w:rFonts w:hint="cs"/>
          <w:rtl/>
        </w:rPr>
        <w:t xml:space="preserve">סיכת </w:t>
      </w:r>
      <w:bookmarkStart w:id="56831" w:name="_ETM_Q103_582600"/>
      <w:bookmarkEnd w:id="56831"/>
      <w:r>
        <w:rPr>
          <w:rFonts w:hint="cs"/>
          <w:rtl/>
        </w:rPr>
        <w:t xml:space="preserve">עינויים </w:t>
      </w:r>
      <w:bookmarkStart w:id="56832" w:name="_ETM_Q103_583020"/>
      <w:bookmarkEnd w:id="56832"/>
      <w:r>
        <w:rPr>
          <w:rFonts w:hint="cs"/>
          <w:rtl/>
        </w:rPr>
        <w:t xml:space="preserve">ראשונה </w:t>
      </w:r>
      <w:bookmarkStart w:id="56833" w:name="_ETM_Q103_584070"/>
      <w:bookmarkEnd w:id="56833"/>
      <w:r>
        <w:rPr>
          <w:rFonts w:hint="cs"/>
          <w:rtl/>
        </w:rPr>
        <w:t xml:space="preserve">בבובת </w:t>
      </w:r>
      <w:bookmarkStart w:id="56834" w:name="_ETM_Q103_584729"/>
      <w:bookmarkEnd w:id="56834"/>
      <w:r>
        <w:rPr>
          <w:rFonts w:hint="cs"/>
          <w:rtl/>
        </w:rPr>
        <w:t xml:space="preserve">הוודו </w:t>
      </w:r>
      <w:bookmarkStart w:id="56835" w:name="_ETM_Q103_585089"/>
      <w:bookmarkStart w:id="56836" w:name="_ETM_Q103_585179"/>
      <w:bookmarkEnd w:id="56835"/>
      <w:bookmarkEnd w:id="56836"/>
      <w:r>
        <w:rPr>
          <w:rFonts w:hint="cs"/>
          <w:rtl/>
        </w:rPr>
        <w:t xml:space="preserve">שיצרתם </w:t>
      </w:r>
      <w:bookmarkStart w:id="56837" w:name="_ETM_Q103_586140"/>
      <w:bookmarkEnd w:id="56837"/>
      <w:r>
        <w:rPr>
          <w:rFonts w:hint="cs"/>
          <w:rtl/>
        </w:rPr>
        <w:t xml:space="preserve">מהדמוקרטיה </w:t>
      </w:r>
      <w:bookmarkStart w:id="56838" w:name="_ETM_Q103_586979"/>
      <w:bookmarkEnd w:id="56838"/>
      <w:r>
        <w:rPr>
          <w:rFonts w:hint="cs"/>
          <w:rtl/>
        </w:rPr>
        <w:t xml:space="preserve">שלנו. </w:t>
      </w:r>
      <w:bookmarkStart w:id="56839" w:name="_ETM_Q103_587960"/>
      <w:bookmarkEnd w:id="56839"/>
      <w:r>
        <w:rPr>
          <w:rFonts w:hint="cs"/>
          <w:rtl/>
        </w:rPr>
        <w:t xml:space="preserve">אתם </w:t>
      </w:r>
      <w:bookmarkStart w:id="56840" w:name="_ETM_Q103_588289"/>
      <w:bookmarkEnd w:id="56840"/>
      <w:r>
        <w:rPr>
          <w:rFonts w:hint="cs"/>
          <w:rtl/>
        </w:rPr>
        <w:t xml:space="preserve">מביאים </w:t>
      </w:r>
      <w:bookmarkStart w:id="56841" w:name="_ETM_Q103_588829"/>
      <w:bookmarkEnd w:id="56841"/>
      <w:r>
        <w:rPr>
          <w:rFonts w:hint="cs"/>
          <w:rtl/>
        </w:rPr>
        <w:t xml:space="preserve">לחורבן </w:t>
      </w:r>
      <w:bookmarkStart w:id="56842" w:name="_ETM_Q103_589430"/>
      <w:bookmarkEnd w:id="56842"/>
      <w:r>
        <w:rPr>
          <w:rFonts w:hint="cs"/>
          <w:rtl/>
        </w:rPr>
        <w:t xml:space="preserve">המדינה </w:t>
      </w:r>
      <w:bookmarkStart w:id="56843" w:name="_ETM_Q103_590000"/>
      <w:bookmarkEnd w:id="56843"/>
      <w:r>
        <w:rPr>
          <w:rFonts w:hint="cs"/>
          <w:rtl/>
        </w:rPr>
        <w:t xml:space="preserve">כפי </w:t>
      </w:r>
      <w:bookmarkStart w:id="56844" w:name="_ETM_Q103_590240"/>
      <w:bookmarkEnd w:id="56844"/>
      <w:r>
        <w:rPr>
          <w:rFonts w:hint="cs"/>
          <w:rtl/>
        </w:rPr>
        <w:t xml:space="preserve">שהכרנו </w:t>
      </w:r>
      <w:bookmarkStart w:id="56845" w:name="_ETM_Q103_590810"/>
      <w:bookmarkEnd w:id="56845"/>
      <w:r>
        <w:rPr>
          <w:rFonts w:hint="cs"/>
          <w:rtl/>
        </w:rPr>
        <w:t xml:space="preserve">אותה </w:t>
      </w:r>
      <w:bookmarkStart w:id="56846" w:name="_ETM_Q103_591200"/>
      <w:bookmarkEnd w:id="56846"/>
      <w:r>
        <w:rPr>
          <w:rFonts w:hint="cs"/>
          <w:rtl/>
        </w:rPr>
        <w:t xml:space="preserve">במו </w:t>
      </w:r>
      <w:bookmarkStart w:id="56847" w:name="_ETM_Q103_591740"/>
      <w:bookmarkEnd w:id="56847"/>
      <w:r>
        <w:rPr>
          <w:rFonts w:hint="cs"/>
          <w:rtl/>
        </w:rPr>
        <w:t xml:space="preserve">אצבעכם. </w:t>
      </w:r>
      <w:bookmarkStart w:id="56848" w:name="_ETM_Q103_593270"/>
      <w:bookmarkEnd w:id="56848"/>
      <w:r>
        <w:rPr>
          <w:rFonts w:hint="cs"/>
          <w:rtl/>
        </w:rPr>
        <w:t xml:space="preserve">לא </w:t>
      </w:r>
      <w:bookmarkStart w:id="56849" w:name="_ETM_Q103_593570"/>
      <w:bookmarkEnd w:id="56849"/>
      <w:r>
        <w:rPr>
          <w:rFonts w:hint="cs"/>
          <w:rtl/>
        </w:rPr>
        <w:t xml:space="preserve">נהיה </w:t>
      </w:r>
      <w:bookmarkStart w:id="56850" w:name="_ETM_Q103_594020"/>
      <w:bookmarkEnd w:id="56850"/>
      <w:r>
        <w:rPr>
          <w:rFonts w:hint="cs"/>
          <w:rtl/>
        </w:rPr>
        <w:t xml:space="preserve">עוד </w:t>
      </w:r>
      <w:bookmarkStart w:id="56851" w:name="_ETM_Q103_594380"/>
      <w:bookmarkEnd w:id="56851"/>
      <w:r>
        <w:rPr>
          <w:rFonts w:hint="cs"/>
          <w:rtl/>
        </w:rPr>
        <w:t xml:space="preserve">מעצמה </w:t>
      </w:r>
      <w:bookmarkStart w:id="56852" w:name="_ETM_Q103_595070"/>
      <w:bookmarkEnd w:id="56852"/>
      <w:r>
        <w:rPr>
          <w:rFonts w:hint="cs"/>
          <w:rtl/>
        </w:rPr>
        <w:t xml:space="preserve">טכנולוגית. </w:t>
      </w:r>
      <w:bookmarkStart w:id="56853" w:name="_ETM_Q103_596600"/>
      <w:bookmarkEnd w:id="56853"/>
      <w:r>
        <w:rPr>
          <w:rFonts w:hint="cs"/>
          <w:rtl/>
        </w:rPr>
        <w:t xml:space="preserve">במקום </w:t>
      </w:r>
      <w:bookmarkStart w:id="56854" w:name="_ETM_Q103_597080"/>
      <w:bookmarkEnd w:id="56854"/>
      <w:r>
        <w:rPr>
          <w:rFonts w:hint="cs"/>
          <w:rtl/>
        </w:rPr>
        <w:t xml:space="preserve">להפריח </w:t>
      </w:r>
      <w:bookmarkStart w:id="56855" w:name="_ETM_Q103_597589"/>
      <w:bookmarkEnd w:id="56855"/>
      <w:r>
        <w:rPr>
          <w:rFonts w:hint="cs"/>
          <w:rtl/>
        </w:rPr>
        <w:t xml:space="preserve">את </w:t>
      </w:r>
      <w:bookmarkStart w:id="56856" w:name="_ETM_Q103_597740"/>
      <w:bookmarkEnd w:id="56856"/>
      <w:r>
        <w:rPr>
          <w:rFonts w:hint="cs"/>
          <w:rtl/>
        </w:rPr>
        <w:t xml:space="preserve">השממה, </w:t>
      </w:r>
      <w:bookmarkStart w:id="56857" w:name="_ETM_Q103_598659"/>
      <w:bookmarkEnd w:id="56857"/>
      <w:r>
        <w:rPr>
          <w:rFonts w:hint="cs"/>
          <w:rtl/>
        </w:rPr>
        <w:t xml:space="preserve">אתם </w:t>
      </w:r>
      <w:bookmarkStart w:id="56858" w:name="_ETM_Q103_598930"/>
      <w:bookmarkEnd w:id="56858"/>
      <w:r>
        <w:rPr>
          <w:rFonts w:hint="cs"/>
          <w:rtl/>
        </w:rPr>
        <w:t xml:space="preserve">עומדים </w:t>
      </w:r>
      <w:bookmarkStart w:id="56859" w:name="_ETM_Q103_599260"/>
      <w:bookmarkEnd w:id="56859"/>
      <w:r>
        <w:rPr>
          <w:rFonts w:hint="cs"/>
          <w:rtl/>
        </w:rPr>
        <w:t xml:space="preserve">להשמים </w:t>
      </w:r>
      <w:bookmarkStart w:id="56860" w:name="_ETM_Q103_599800"/>
      <w:bookmarkEnd w:id="56860"/>
      <w:r>
        <w:rPr>
          <w:rFonts w:hint="cs"/>
          <w:rtl/>
        </w:rPr>
        <w:t xml:space="preserve">את </w:t>
      </w:r>
      <w:bookmarkStart w:id="56861" w:name="_ETM_Q103_599920"/>
      <w:bookmarkEnd w:id="56861"/>
      <w:r>
        <w:rPr>
          <w:rFonts w:hint="cs"/>
          <w:rtl/>
        </w:rPr>
        <w:t xml:space="preserve">כל </w:t>
      </w:r>
      <w:bookmarkStart w:id="56862" w:name="_ETM_Q103_600100"/>
      <w:bookmarkEnd w:id="56862"/>
      <w:r>
        <w:rPr>
          <w:rFonts w:hint="cs"/>
          <w:rtl/>
        </w:rPr>
        <w:t xml:space="preserve">מה </w:t>
      </w:r>
      <w:bookmarkStart w:id="56863" w:name="_ETM_Q103_600190"/>
      <w:bookmarkEnd w:id="56863"/>
      <w:r>
        <w:rPr>
          <w:rFonts w:hint="cs"/>
          <w:rtl/>
        </w:rPr>
        <w:t xml:space="preserve">שפורח. </w:t>
      </w:r>
      <w:bookmarkStart w:id="56864" w:name="_ETM_Q103_601499"/>
      <w:bookmarkEnd w:id="56864"/>
      <w:r>
        <w:rPr>
          <w:rFonts w:hint="cs"/>
          <w:rtl/>
        </w:rPr>
        <w:t xml:space="preserve">ההיסטוריה </w:t>
      </w:r>
      <w:bookmarkStart w:id="56865" w:name="_ETM_Q103_602159"/>
      <w:bookmarkEnd w:id="56865"/>
      <w:r>
        <w:rPr>
          <w:rFonts w:hint="cs"/>
          <w:rtl/>
        </w:rPr>
        <w:t xml:space="preserve">תשפוט </w:t>
      </w:r>
      <w:bookmarkStart w:id="56866" w:name="_ETM_Q103_602549"/>
      <w:bookmarkEnd w:id="56866"/>
      <w:r>
        <w:rPr>
          <w:rFonts w:hint="cs"/>
          <w:rtl/>
        </w:rPr>
        <w:t xml:space="preserve">אתכם, </w:t>
      </w:r>
      <w:bookmarkStart w:id="56867" w:name="_ETM_Q103_602969"/>
      <w:bookmarkEnd w:id="56867"/>
      <w:r>
        <w:rPr>
          <w:rFonts w:hint="cs"/>
          <w:rtl/>
        </w:rPr>
        <w:t xml:space="preserve">ואתם </w:t>
      </w:r>
      <w:bookmarkStart w:id="56868" w:name="_ETM_Q103_603270"/>
      <w:bookmarkEnd w:id="56868"/>
      <w:r>
        <w:rPr>
          <w:rFonts w:hint="cs"/>
          <w:rtl/>
        </w:rPr>
        <w:t xml:space="preserve">תיזכרו </w:t>
      </w:r>
      <w:bookmarkStart w:id="56869" w:name="_ETM_Q103_603839"/>
      <w:bookmarkEnd w:id="56869"/>
      <w:r>
        <w:rPr>
          <w:rFonts w:hint="cs"/>
          <w:rtl/>
        </w:rPr>
        <w:t xml:space="preserve">לדיראון </w:t>
      </w:r>
      <w:bookmarkStart w:id="56870" w:name="_ETM_Q103_604380"/>
      <w:bookmarkEnd w:id="56870"/>
      <w:r>
        <w:rPr>
          <w:rFonts w:hint="cs"/>
          <w:rtl/>
        </w:rPr>
        <w:t xml:space="preserve">עולם </w:t>
      </w:r>
      <w:bookmarkStart w:id="56871" w:name="_ETM_Q103_605069"/>
      <w:bookmarkEnd w:id="56871"/>
      <w:r>
        <w:rPr>
          <w:rFonts w:hint="cs"/>
          <w:rtl/>
        </w:rPr>
        <w:t xml:space="preserve">כמי </w:t>
      </w:r>
      <w:bookmarkStart w:id="56872" w:name="_ETM_Q103_605369"/>
      <w:bookmarkEnd w:id="56872"/>
      <w:r>
        <w:rPr>
          <w:rFonts w:hint="cs"/>
          <w:rtl/>
        </w:rPr>
        <w:t xml:space="preserve">שהביאו </w:t>
      </w:r>
      <w:bookmarkStart w:id="56873" w:name="_ETM_Q103_605939"/>
      <w:bookmarkEnd w:id="56873"/>
      <w:r>
        <w:rPr>
          <w:rFonts w:hint="cs"/>
          <w:rtl/>
        </w:rPr>
        <w:t xml:space="preserve">חורבן </w:t>
      </w:r>
      <w:bookmarkStart w:id="56874" w:name="_ETM_Q103_606420"/>
      <w:bookmarkEnd w:id="56874"/>
      <w:r>
        <w:rPr>
          <w:rFonts w:hint="cs"/>
          <w:rtl/>
        </w:rPr>
        <w:t xml:space="preserve">של </w:t>
      </w:r>
      <w:bookmarkStart w:id="56875" w:name="_ETM_Q103_606600"/>
      <w:bookmarkEnd w:id="56875"/>
      <w:r>
        <w:rPr>
          <w:rFonts w:hint="cs"/>
          <w:rtl/>
        </w:rPr>
        <w:t xml:space="preserve">בית </w:t>
      </w:r>
      <w:bookmarkStart w:id="56876" w:name="_ETM_Q103_606869"/>
      <w:bookmarkEnd w:id="56876"/>
      <w:r>
        <w:rPr>
          <w:rFonts w:hint="cs"/>
          <w:rtl/>
        </w:rPr>
        <w:t xml:space="preserve">שלישי, </w:t>
      </w:r>
      <w:bookmarkStart w:id="56877" w:name="_ETM_Q103_607829"/>
      <w:bookmarkEnd w:id="56877"/>
      <w:r>
        <w:rPr>
          <w:rFonts w:hint="cs"/>
          <w:rtl/>
        </w:rPr>
        <w:t>שהמש</w:t>
      </w:r>
      <w:r w:rsidR="00942E30">
        <w:rPr>
          <w:rFonts w:hint="cs"/>
          <w:rtl/>
        </w:rPr>
        <w:t>י</w:t>
      </w:r>
      <w:r>
        <w:rPr>
          <w:rFonts w:hint="cs"/>
          <w:rtl/>
        </w:rPr>
        <w:t>כ</w:t>
      </w:r>
      <w:r w:rsidR="00942E30">
        <w:rPr>
          <w:rFonts w:hint="cs"/>
          <w:rtl/>
        </w:rPr>
        <w:t>ו</w:t>
      </w:r>
      <w:r>
        <w:rPr>
          <w:rFonts w:hint="cs"/>
          <w:rtl/>
        </w:rPr>
        <w:t xml:space="preserve"> </w:t>
      </w:r>
      <w:bookmarkStart w:id="56878" w:name="_ETM_Q103_608549"/>
      <w:bookmarkEnd w:id="56878"/>
      <w:r>
        <w:rPr>
          <w:rFonts w:hint="cs"/>
          <w:rtl/>
        </w:rPr>
        <w:t xml:space="preserve">את </w:t>
      </w:r>
      <w:bookmarkStart w:id="56879" w:name="_ETM_Q103_608670"/>
      <w:bookmarkEnd w:id="56879"/>
      <w:r>
        <w:rPr>
          <w:rFonts w:hint="cs"/>
          <w:rtl/>
        </w:rPr>
        <w:t xml:space="preserve">המסורת </w:t>
      </w:r>
      <w:bookmarkStart w:id="56880" w:name="_ETM_Q103_609180"/>
      <w:bookmarkEnd w:id="56880"/>
      <w:r>
        <w:rPr>
          <w:rFonts w:hint="cs"/>
          <w:rtl/>
        </w:rPr>
        <w:t xml:space="preserve">המקוללת </w:t>
      </w:r>
      <w:bookmarkStart w:id="56881" w:name="_ETM_Q103_609780"/>
      <w:bookmarkEnd w:id="56881"/>
      <w:r>
        <w:rPr>
          <w:rFonts w:hint="cs"/>
          <w:rtl/>
        </w:rPr>
        <w:t xml:space="preserve">של </w:t>
      </w:r>
      <w:bookmarkStart w:id="56882" w:name="_ETM_Q103_609989"/>
      <w:bookmarkEnd w:id="56882"/>
      <w:r>
        <w:rPr>
          <w:rFonts w:hint="cs"/>
          <w:rtl/>
        </w:rPr>
        <w:t>אבותי</w:t>
      </w:r>
      <w:r w:rsidR="00942E30">
        <w:rPr>
          <w:rFonts w:hint="cs"/>
          <w:rtl/>
        </w:rPr>
        <w:t>ה</w:t>
      </w:r>
      <w:r>
        <w:rPr>
          <w:rFonts w:hint="cs"/>
          <w:rtl/>
        </w:rPr>
        <w:t xml:space="preserve">ם </w:t>
      </w:r>
      <w:bookmarkStart w:id="56883" w:name="_ETM_Q103_610650"/>
      <w:bookmarkEnd w:id="56883"/>
      <w:r>
        <w:rPr>
          <w:rFonts w:hint="cs"/>
          <w:rtl/>
        </w:rPr>
        <w:t xml:space="preserve">הקנאים. </w:t>
      </w:r>
      <w:bookmarkStart w:id="56884" w:name="_ETM_Q103_611790"/>
      <w:bookmarkEnd w:id="56884"/>
      <w:r>
        <w:rPr>
          <w:rFonts w:hint="cs"/>
          <w:rtl/>
        </w:rPr>
        <w:t xml:space="preserve">מעולם </w:t>
      </w:r>
      <w:bookmarkStart w:id="56885" w:name="_ETM_Q103_612360"/>
      <w:bookmarkEnd w:id="56885"/>
      <w:r>
        <w:rPr>
          <w:rFonts w:hint="cs"/>
          <w:rtl/>
        </w:rPr>
        <w:t xml:space="preserve">לא </w:t>
      </w:r>
      <w:bookmarkStart w:id="56886" w:name="_ETM_Q103_612450"/>
      <w:bookmarkEnd w:id="56886"/>
      <w:r>
        <w:rPr>
          <w:rFonts w:hint="cs"/>
          <w:rtl/>
        </w:rPr>
        <w:t xml:space="preserve">היה </w:t>
      </w:r>
      <w:bookmarkStart w:id="56887" w:name="_ETM_Q103_612629"/>
      <w:bookmarkEnd w:id="56887"/>
      <w:r>
        <w:rPr>
          <w:rFonts w:hint="cs"/>
          <w:rtl/>
        </w:rPr>
        <w:t xml:space="preserve">שלטון </w:t>
      </w:r>
      <w:bookmarkStart w:id="56888" w:name="_ETM_Q103_613080"/>
      <w:bookmarkEnd w:id="56888"/>
      <w:r>
        <w:rPr>
          <w:rFonts w:hint="cs"/>
          <w:rtl/>
        </w:rPr>
        <w:t xml:space="preserve">יהודי </w:t>
      </w:r>
      <w:bookmarkStart w:id="56889" w:name="_ETM_Q103_613410"/>
      <w:bookmarkEnd w:id="56889"/>
      <w:r>
        <w:rPr>
          <w:rFonts w:hint="cs"/>
          <w:rtl/>
        </w:rPr>
        <w:t xml:space="preserve">בארץ </w:t>
      </w:r>
      <w:bookmarkStart w:id="56890" w:name="_ETM_Q103_613830"/>
      <w:bookmarkEnd w:id="56890"/>
      <w:r>
        <w:rPr>
          <w:rFonts w:hint="cs"/>
          <w:rtl/>
        </w:rPr>
        <w:t xml:space="preserve">ישראל </w:t>
      </w:r>
      <w:bookmarkStart w:id="56891" w:name="_ETM_Q103_614250"/>
      <w:bookmarkEnd w:id="56891"/>
      <w:r>
        <w:rPr>
          <w:rFonts w:hint="cs"/>
          <w:rtl/>
        </w:rPr>
        <w:t xml:space="preserve">במשך </w:t>
      </w:r>
      <w:bookmarkStart w:id="56892" w:name="_ETM_Q103_614670"/>
      <w:bookmarkEnd w:id="56892"/>
      <w:r>
        <w:rPr>
          <w:rFonts w:hint="cs"/>
          <w:rtl/>
        </w:rPr>
        <w:t xml:space="preserve">יותר </w:t>
      </w:r>
      <w:bookmarkStart w:id="56893" w:name="_ETM_Q103_615030"/>
      <w:bookmarkEnd w:id="56893"/>
      <w:r>
        <w:rPr>
          <w:rFonts w:hint="cs"/>
          <w:rtl/>
        </w:rPr>
        <w:t xml:space="preserve">משמונה </w:t>
      </w:r>
      <w:bookmarkStart w:id="56894" w:name="_ETM_Q103_615510"/>
      <w:bookmarkEnd w:id="56894"/>
      <w:r>
        <w:rPr>
          <w:rFonts w:hint="cs"/>
          <w:rtl/>
        </w:rPr>
        <w:t xml:space="preserve">עשורים, </w:t>
      </w:r>
      <w:bookmarkStart w:id="56895" w:name="_ETM_Q103_616440"/>
      <w:bookmarkEnd w:id="56895"/>
      <w:r>
        <w:rPr>
          <w:rFonts w:hint="cs"/>
          <w:rtl/>
        </w:rPr>
        <w:t xml:space="preserve">ואתם </w:t>
      </w:r>
      <w:bookmarkStart w:id="56896" w:name="_ETM_Q103_616769"/>
      <w:bookmarkEnd w:id="56896"/>
      <w:r>
        <w:rPr>
          <w:rFonts w:hint="cs"/>
          <w:rtl/>
        </w:rPr>
        <w:t xml:space="preserve">עושים </w:t>
      </w:r>
      <w:bookmarkStart w:id="56897" w:name="_ETM_Q103_617040"/>
      <w:bookmarkEnd w:id="56897"/>
      <w:r>
        <w:rPr>
          <w:rFonts w:hint="cs"/>
          <w:rtl/>
        </w:rPr>
        <w:t xml:space="preserve">זאת </w:t>
      </w:r>
      <w:bookmarkStart w:id="56898" w:name="_ETM_Q103_617220"/>
      <w:bookmarkEnd w:id="56898"/>
      <w:r>
        <w:rPr>
          <w:rFonts w:hint="cs"/>
          <w:rtl/>
        </w:rPr>
        <w:t xml:space="preserve">שוב. </w:t>
      </w:r>
      <w:bookmarkStart w:id="56899" w:name="_ETM_Q103_618239"/>
      <w:bookmarkEnd w:id="56899"/>
    </w:p>
    <w:p w:rsidR="00BB59CD" w:rsidRDefault="00BB59CD" w:rsidP="00BB59CD">
      <w:pPr>
        <w:rPr>
          <w:rtl/>
        </w:rPr>
      </w:pPr>
    </w:p>
    <w:p w:rsidR="00BB59CD" w:rsidRDefault="00BB59CD" w:rsidP="00BB59CD">
      <w:pPr>
        <w:rPr>
          <w:rtl/>
        </w:rPr>
      </w:pPr>
      <w:r>
        <w:rPr>
          <w:rFonts w:hint="cs"/>
          <w:rtl/>
        </w:rPr>
        <w:t xml:space="preserve">אנחנו, </w:t>
      </w:r>
      <w:bookmarkStart w:id="56900" w:name="_ETM_Q103_618749"/>
      <w:bookmarkEnd w:id="56900"/>
      <w:r>
        <w:rPr>
          <w:rFonts w:hint="cs"/>
          <w:rtl/>
        </w:rPr>
        <w:t xml:space="preserve">לעומתכם, </w:t>
      </w:r>
      <w:bookmarkStart w:id="56901" w:name="_ETM_Q103_619349"/>
      <w:bookmarkEnd w:id="56901"/>
      <w:r>
        <w:rPr>
          <w:rFonts w:hint="cs"/>
          <w:rtl/>
        </w:rPr>
        <w:t xml:space="preserve">מבקשים </w:t>
      </w:r>
      <w:bookmarkStart w:id="56902" w:name="_ETM_Q103_619739"/>
      <w:bookmarkEnd w:id="56902"/>
      <w:r>
        <w:rPr>
          <w:rFonts w:hint="cs"/>
          <w:rtl/>
        </w:rPr>
        <w:t xml:space="preserve">לשמר </w:t>
      </w:r>
      <w:bookmarkStart w:id="56903" w:name="_ETM_Q103_620189"/>
      <w:bookmarkEnd w:id="56903"/>
      <w:r>
        <w:rPr>
          <w:rFonts w:hint="cs"/>
          <w:rtl/>
        </w:rPr>
        <w:t xml:space="preserve">את </w:t>
      </w:r>
      <w:bookmarkStart w:id="56904" w:name="_ETM_Q103_620279"/>
      <w:bookmarkEnd w:id="56904"/>
      <w:r>
        <w:rPr>
          <w:rFonts w:hint="cs"/>
          <w:rtl/>
        </w:rPr>
        <w:t xml:space="preserve">המסורת </w:t>
      </w:r>
      <w:bookmarkStart w:id="56905" w:name="_ETM_Q103_620849"/>
      <w:bookmarkEnd w:id="56905"/>
      <w:r>
        <w:rPr>
          <w:rFonts w:hint="cs"/>
          <w:rtl/>
        </w:rPr>
        <w:t xml:space="preserve">שלפיה </w:t>
      </w:r>
      <w:bookmarkStart w:id="56906" w:name="_ETM_Q103_621540"/>
      <w:bookmarkEnd w:id="56906"/>
      <w:r>
        <w:rPr>
          <w:rFonts w:hint="cs"/>
          <w:rtl/>
        </w:rPr>
        <w:t xml:space="preserve">עם </w:t>
      </w:r>
      <w:bookmarkStart w:id="56907" w:name="_ETM_Q103_621749"/>
      <w:bookmarkEnd w:id="56907"/>
      <w:r>
        <w:rPr>
          <w:rFonts w:hint="cs"/>
          <w:rtl/>
        </w:rPr>
        <w:t xml:space="preserve">הנצח </w:t>
      </w:r>
      <w:bookmarkStart w:id="56908" w:name="_ETM_Q103_622230"/>
      <w:bookmarkEnd w:id="56908"/>
      <w:r>
        <w:rPr>
          <w:rFonts w:hint="cs"/>
          <w:rtl/>
        </w:rPr>
        <w:t xml:space="preserve">לא </w:t>
      </w:r>
      <w:bookmarkStart w:id="56909" w:name="_ETM_Q103_622349"/>
      <w:bookmarkEnd w:id="56909"/>
      <w:r>
        <w:rPr>
          <w:rFonts w:hint="cs"/>
          <w:rtl/>
        </w:rPr>
        <w:t xml:space="preserve">מפחד </w:t>
      </w:r>
      <w:bookmarkStart w:id="56910" w:name="_ETM_Q103_622829"/>
      <w:bookmarkEnd w:id="56910"/>
      <w:r>
        <w:rPr>
          <w:rFonts w:hint="cs"/>
          <w:rtl/>
        </w:rPr>
        <w:t xml:space="preserve">מדרך </w:t>
      </w:r>
      <w:bookmarkStart w:id="56911" w:name="_ETM_Q103_623249"/>
      <w:bookmarkEnd w:id="56911"/>
      <w:r>
        <w:rPr>
          <w:rFonts w:hint="cs"/>
          <w:rtl/>
        </w:rPr>
        <w:t xml:space="preserve">ארוכה. </w:t>
      </w:r>
      <w:bookmarkStart w:id="56912" w:name="_ETM_Q103_624240"/>
      <w:bookmarkEnd w:id="56912"/>
      <w:r>
        <w:rPr>
          <w:rFonts w:hint="cs"/>
          <w:rtl/>
        </w:rPr>
        <w:t xml:space="preserve">חיינו </w:t>
      </w:r>
      <w:bookmarkStart w:id="56913" w:name="_ETM_Q103_624810"/>
      <w:bookmarkEnd w:id="56913"/>
      <w:r>
        <w:rPr>
          <w:rFonts w:hint="cs"/>
          <w:rtl/>
        </w:rPr>
        <w:t xml:space="preserve">כאומה </w:t>
      </w:r>
      <w:bookmarkStart w:id="56914" w:name="_ETM_Q103_625290"/>
      <w:bookmarkEnd w:id="56914"/>
      <w:r>
        <w:rPr>
          <w:rFonts w:hint="cs"/>
          <w:rtl/>
        </w:rPr>
        <w:t xml:space="preserve">מלאים </w:t>
      </w:r>
      <w:bookmarkStart w:id="56915" w:name="_ETM_Q103_625740"/>
      <w:bookmarkEnd w:id="56915"/>
      <w:r>
        <w:rPr>
          <w:rFonts w:hint="cs"/>
          <w:rtl/>
        </w:rPr>
        <w:t xml:space="preserve">בצעדות, </w:t>
      </w:r>
      <w:bookmarkStart w:id="56916" w:name="_ETM_Q103_626730"/>
      <w:bookmarkStart w:id="56917" w:name="_ETM_Q103_627090"/>
      <w:bookmarkEnd w:id="56916"/>
      <w:bookmarkEnd w:id="56917"/>
      <w:r>
        <w:rPr>
          <w:rFonts w:hint="cs"/>
          <w:rtl/>
        </w:rPr>
        <w:t xml:space="preserve">מאברהם </w:t>
      </w:r>
      <w:bookmarkStart w:id="56918" w:name="_ETM_Q103_627660"/>
      <w:bookmarkEnd w:id="56918"/>
      <w:r>
        <w:rPr>
          <w:rFonts w:hint="cs"/>
          <w:rtl/>
        </w:rPr>
        <w:t xml:space="preserve">אבינו, </w:t>
      </w:r>
      <w:bookmarkStart w:id="56919" w:name="_ETM_Q103_628050"/>
      <w:bookmarkEnd w:id="56919"/>
      <w:r>
        <w:rPr>
          <w:rFonts w:hint="cs"/>
          <w:rtl/>
        </w:rPr>
        <w:t xml:space="preserve">שנדרש </w:t>
      </w:r>
      <w:bookmarkStart w:id="56920" w:name="_ETM_Q103_628530"/>
      <w:bookmarkEnd w:id="56920"/>
      <w:r>
        <w:rPr>
          <w:rFonts w:hint="cs"/>
          <w:rtl/>
        </w:rPr>
        <w:t xml:space="preserve">ללכת </w:t>
      </w:r>
      <w:bookmarkStart w:id="56921" w:name="_ETM_Q103_628920"/>
      <w:bookmarkEnd w:id="56921"/>
      <w:r>
        <w:rPr>
          <w:rFonts w:hint="cs"/>
          <w:rtl/>
        </w:rPr>
        <w:t xml:space="preserve">מארצו </w:t>
      </w:r>
      <w:bookmarkStart w:id="56922" w:name="_ETM_Q103_629340"/>
      <w:bookmarkEnd w:id="56922"/>
      <w:r>
        <w:rPr>
          <w:rFonts w:hint="cs"/>
          <w:rtl/>
        </w:rPr>
        <w:t xml:space="preserve">ומולדתו </w:t>
      </w:r>
      <w:bookmarkStart w:id="56923" w:name="_ETM_Q103_630150"/>
      <w:bookmarkEnd w:id="56923"/>
      <w:r>
        <w:rPr>
          <w:rFonts w:hint="cs"/>
          <w:rtl/>
        </w:rPr>
        <w:t xml:space="preserve">אל </w:t>
      </w:r>
      <w:bookmarkStart w:id="56924" w:name="_ETM_Q103_630300"/>
      <w:bookmarkEnd w:id="56924"/>
      <w:r>
        <w:rPr>
          <w:rFonts w:hint="cs"/>
          <w:rtl/>
        </w:rPr>
        <w:t xml:space="preserve">הארץ </w:t>
      </w:r>
      <w:bookmarkStart w:id="56925" w:name="_ETM_Q103_630600"/>
      <w:bookmarkEnd w:id="56925"/>
      <w:r>
        <w:rPr>
          <w:rFonts w:hint="cs"/>
          <w:rtl/>
        </w:rPr>
        <w:t xml:space="preserve">המובטחת, </w:t>
      </w:r>
      <w:bookmarkStart w:id="56926" w:name="_ETM_Q103_631769"/>
      <w:bookmarkEnd w:id="56926"/>
      <w:r>
        <w:rPr>
          <w:rFonts w:hint="cs"/>
          <w:rtl/>
        </w:rPr>
        <w:t xml:space="preserve">ועד צעדת </w:t>
      </w:r>
      <w:bookmarkStart w:id="56927" w:name="_ETM_Q103_632519"/>
      <w:bookmarkEnd w:id="56927"/>
      <w:r>
        <w:rPr>
          <w:rFonts w:hint="cs"/>
          <w:rtl/>
        </w:rPr>
        <w:t xml:space="preserve">ההפגנות </w:t>
      </w:r>
      <w:bookmarkStart w:id="56928" w:name="_ETM_Q103_633030"/>
      <w:bookmarkEnd w:id="56928"/>
      <w:r>
        <w:rPr>
          <w:rFonts w:hint="cs"/>
          <w:rtl/>
        </w:rPr>
        <w:t xml:space="preserve">שהיינו </w:t>
      </w:r>
      <w:bookmarkStart w:id="56929" w:name="_ETM_Q103_633359"/>
      <w:bookmarkEnd w:id="56929"/>
      <w:r>
        <w:rPr>
          <w:rFonts w:hint="cs"/>
          <w:rtl/>
        </w:rPr>
        <w:t xml:space="preserve">עדים </w:t>
      </w:r>
      <w:bookmarkStart w:id="56930" w:name="_ETM_Q103_633659"/>
      <w:bookmarkEnd w:id="56930"/>
      <w:r>
        <w:rPr>
          <w:rFonts w:hint="cs"/>
          <w:rtl/>
        </w:rPr>
        <w:t xml:space="preserve">לה </w:t>
      </w:r>
      <w:bookmarkStart w:id="56931" w:name="_ETM_Q103_634079"/>
      <w:bookmarkEnd w:id="56931"/>
      <w:r>
        <w:rPr>
          <w:rFonts w:hint="cs"/>
          <w:rtl/>
        </w:rPr>
        <w:t xml:space="preserve">רק </w:t>
      </w:r>
      <w:bookmarkStart w:id="56932" w:name="_ETM_Q103_634439"/>
      <w:bookmarkEnd w:id="56932"/>
      <w:r>
        <w:rPr>
          <w:rFonts w:hint="cs"/>
          <w:rtl/>
        </w:rPr>
        <w:t xml:space="preserve">בסוף </w:t>
      </w:r>
      <w:bookmarkStart w:id="56933" w:name="_ETM_Q103_634829"/>
      <w:bookmarkEnd w:id="56933"/>
      <w:r>
        <w:rPr>
          <w:rFonts w:hint="cs"/>
          <w:rtl/>
        </w:rPr>
        <w:t xml:space="preserve">השבוע </w:t>
      </w:r>
      <w:bookmarkStart w:id="56934" w:name="_ETM_Q103_635280"/>
      <w:bookmarkEnd w:id="56934"/>
      <w:r>
        <w:rPr>
          <w:rFonts w:hint="cs"/>
          <w:rtl/>
        </w:rPr>
        <w:t xml:space="preserve">האחרון, </w:t>
      </w:r>
      <w:bookmarkStart w:id="56935" w:name="_ETM_Q103_636269"/>
      <w:bookmarkEnd w:id="56935"/>
      <w:r>
        <w:rPr>
          <w:rFonts w:hint="cs"/>
          <w:rtl/>
        </w:rPr>
        <w:t xml:space="preserve">שהביאה </w:t>
      </w:r>
      <w:bookmarkStart w:id="56936" w:name="_ETM_Q103_637260"/>
      <w:bookmarkEnd w:id="56936"/>
      <w:r>
        <w:rPr>
          <w:rFonts w:hint="cs"/>
          <w:rtl/>
        </w:rPr>
        <w:t xml:space="preserve">עשרות </w:t>
      </w:r>
      <w:bookmarkStart w:id="56937" w:name="_ETM_Q103_637799"/>
      <w:bookmarkEnd w:id="56937"/>
      <w:r>
        <w:rPr>
          <w:rFonts w:hint="cs"/>
          <w:rtl/>
        </w:rPr>
        <w:t xml:space="preserve">אלפי </w:t>
      </w:r>
      <w:bookmarkStart w:id="56938" w:name="_ETM_Q103_638249"/>
      <w:bookmarkEnd w:id="56938"/>
      <w:r>
        <w:rPr>
          <w:rFonts w:hint="cs"/>
          <w:rtl/>
        </w:rPr>
        <w:t xml:space="preserve">ישראלים </w:t>
      </w:r>
      <w:bookmarkStart w:id="56939" w:name="_ETM_Q103_638969"/>
      <w:bookmarkEnd w:id="56939"/>
      <w:r>
        <w:rPr>
          <w:rFonts w:hint="cs"/>
          <w:rtl/>
        </w:rPr>
        <w:t xml:space="preserve">לעלות </w:t>
      </w:r>
      <w:bookmarkStart w:id="56940" w:name="_ETM_Q103_639359"/>
      <w:bookmarkEnd w:id="56940"/>
      <w:r>
        <w:rPr>
          <w:rFonts w:hint="cs"/>
          <w:rtl/>
        </w:rPr>
        <w:t xml:space="preserve">לרגל </w:t>
      </w:r>
      <w:bookmarkStart w:id="56941" w:name="_ETM_Q103_639719"/>
      <w:bookmarkEnd w:id="56941"/>
      <w:r>
        <w:rPr>
          <w:rFonts w:hint="cs"/>
          <w:rtl/>
        </w:rPr>
        <w:t xml:space="preserve">לירושלים. </w:t>
      </w:r>
      <w:bookmarkStart w:id="56942" w:name="_ETM_Q103_641080"/>
      <w:bookmarkEnd w:id="56942"/>
      <w:r>
        <w:rPr>
          <w:rFonts w:hint="cs"/>
          <w:rtl/>
        </w:rPr>
        <w:t xml:space="preserve">אבל </w:t>
      </w:r>
      <w:bookmarkStart w:id="56943" w:name="_ETM_Q103_641350"/>
      <w:bookmarkEnd w:id="56943"/>
      <w:r>
        <w:rPr>
          <w:rFonts w:hint="cs"/>
          <w:rtl/>
        </w:rPr>
        <w:t xml:space="preserve">אתם </w:t>
      </w:r>
      <w:bookmarkStart w:id="56944" w:name="_ETM_Q103_641590"/>
      <w:bookmarkEnd w:id="56944"/>
      <w:r>
        <w:rPr>
          <w:rFonts w:hint="cs"/>
          <w:rtl/>
        </w:rPr>
        <w:t xml:space="preserve">מתעקשים </w:t>
      </w:r>
      <w:bookmarkStart w:id="56945" w:name="_ETM_Q103_642190"/>
      <w:bookmarkEnd w:id="56945"/>
      <w:r>
        <w:rPr>
          <w:rFonts w:hint="cs"/>
          <w:rtl/>
        </w:rPr>
        <w:t xml:space="preserve">להמשיך </w:t>
      </w:r>
      <w:bookmarkStart w:id="56946" w:name="_ETM_Q103_642700"/>
      <w:bookmarkEnd w:id="56946"/>
      <w:r>
        <w:rPr>
          <w:rFonts w:hint="cs"/>
          <w:rtl/>
        </w:rPr>
        <w:t xml:space="preserve">ללכת </w:t>
      </w:r>
      <w:bookmarkStart w:id="56947" w:name="_ETM_Q103_643090"/>
      <w:bookmarkEnd w:id="56947"/>
      <w:r>
        <w:rPr>
          <w:rFonts w:hint="cs"/>
          <w:rtl/>
        </w:rPr>
        <w:t xml:space="preserve">בדרכי </w:t>
      </w:r>
      <w:bookmarkStart w:id="56948" w:name="_ETM_Q103_643540"/>
      <w:bookmarkEnd w:id="56948"/>
      <w:r>
        <w:rPr>
          <w:rFonts w:hint="cs"/>
          <w:rtl/>
        </w:rPr>
        <w:t xml:space="preserve">הקנאים </w:t>
      </w:r>
      <w:bookmarkStart w:id="56949" w:name="_ETM_Q103_644080"/>
      <w:bookmarkEnd w:id="56949"/>
      <w:r>
        <w:rPr>
          <w:rFonts w:hint="cs"/>
          <w:rtl/>
        </w:rPr>
        <w:t xml:space="preserve">ולהחריב </w:t>
      </w:r>
      <w:bookmarkStart w:id="56950" w:name="_ETM_Q103_644710"/>
      <w:bookmarkEnd w:id="56950"/>
      <w:r>
        <w:rPr>
          <w:rFonts w:hint="cs"/>
          <w:rtl/>
        </w:rPr>
        <w:t xml:space="preserve">את </w:t>
      </w:r>
      <w:bookmarkStart w:id="56951" w:name="_ETM_Q103_644860"/>
      <w:bookmarkEnd w:id="56951"/>
      <w:r>
        <w:rPr>
          <w:rFonts w:hint="cs"/>
          <w:rtl/>
        </w:rPr>
        <w:t xml:space="preserve">הארץ </w:t>
      </w:r>
      <w:bookmarkStart w:id="56952" w:name="_ETM_Q103_645280"/>
      <w:bookmarkEnd w:id="56952"/>
      <w:r>
        <w:rPr>
          <w:rFonts w:hint="cs"/>
          <w:rtl/>
        </w:rPr>
        <w:t xml:space="preserve">על </w:t>
      </w:r>
      <w:bookmarkStart w:id="56953" w:name="_ETM_Q103_645400"/>
      <w:bookmarkEnd w:id="56953"/>
      <w:r>
        <w:rPr>
          <w:rFonts w:hint="cs"/>
          <w:rtl/>
        </w:rPr>
        <w:t xml:space="preserve">כל </w:t>
      </w:r>
      <w:bookmarkStart w:id="56954" w:name="_ETM_Q103_645670"/>
      <w:bookmarkEnd w:id="56954"/>
      <w:r>
        <w:rPr>
          <w:rFonts w:hint="cs"/>
          <w:rtl/>
        </w:rPr>
        <w:t xml:space="preserve">יושביה. </w:t>
      </w:r>
      <w:bookmarkStart w:id="56955" w:name="_ETM_Q103_646909"/>
      <w:bookmarkEnd w:id="56955"/>
      <w:r>
        <w:rPr>
          <w:rFonts w:hint="cs"/>
          <w:rtl/>
        </w:rPr>
        <w:t xml:space="preserve">דעו </w:t>
      </w:r>
      <w:bookmarkStart w:id="56956" w:name="_ETM_Q103_647209"/>
      <w:bookmarkEnd w:id="56956"/>
      <w:r>
        <w:rPr>
          <w:rFonts w:hint="cs"/>
          <w:rtl/>
        </w:rPr>
        <w:t xml:space="preserve">לכם </w:t>
      </w:r>
      <w:bookmarkStart w:id="56957" w:name="_ETM_Q103_647659"/>
      <w:bookmarkEnd w:id="56957"/>
      <w:r>
        <w:rPr>
          <w:rFonts w:hint="cs"/>
          <w:rtl/>
        </w:rPr>
        <w:t xml:space="preserve">כי </w:t>
      </w:r>
      <w:bookmarkStart w:id="56958" w:name="_ETM_Q103_647840"/>
      <w:bookmarkEnd w:id="56958"/>
      <w:r>
        <w:rPr>
          <w:rFonts w:hint="cs"/>
          <w:rtl/>
        </w:rPr>
        <w:t xml:space="preserve">לא </w:t>
      </w:r>
      <w:bookmarkStart w:id="56959" w:name="_ETM_Q103_647989"/>
      <w:bookmarkEnd w:id="56959"/>
      <w:r>
        <w:rPr>
          <w:rFonts w:hint="cs"/>
          <w:rtl/>
        </w:rPr>
        <w:t xml:space="preserve">ניתן </w:t>
      </w:r>
      <w:bookmarkStart w:id="56960" w:name="_ETM_Q103_648319"/>
      <w:bookmarkEnd w:id="56960"/>
      <w:r>
        <w:rPr>
          <w:rFonts w:hint="cs"/>
          <w:rtl/>
        </w:rPr>
        <w:t xml:space="preserve">לכם </w:t>
      </w:r>
      <w:bookmarkStart w:id="56961" w:name="_ETM_Q103_648620"/>
      <w:bookmarkEnd w:id="56961"/>
      <w:r>
        <w:rPr>
          <w:rFonts w:hint="cs"/>
          <w:rtl/>
        </w:rPr>
        <w:t xml:space="preserve">לשלוט </w:t>
      </w:r>
      <w:bookmarkStart w:id="56962" w:name="_ETM_Q103_648980"/>
      <w:bookmarkEnd w:id="56962"/>
      <w:r>
        <w:rPr>
          <w:rFonts w:hint="cs"/>
          <w:rtl/>
        </w:rPr>
        <w:t xml:space="preserve">על </w:t>
      </w:r>
      <w:bookmarkStart w:id="56963" w:name="_ETM_Q103_649099"/>
      <w:bookmarkEnd w:id="56963"/>
      <w:r>
        <w:rPr>
          <w:rFonts w:hint="cs"/>
          <w:rtl/>
        </w:rPr>
        <w:t xml:space="preserve">בג"ץ, </w:t>
      </w:r>
      <w:bookmarkStart w:id="56964" w:name="_ETM_Q103_650200"/>
      <w:bookmarkEnd w:id="56964"/>
      <w:r>
        <w:rPr>
          <w:rFonts w:hint="cs"/>
          <w:rtl/>
        </w:rPr>
        <w:t xml:space="preserve">לא </w:t>
      </w:r>
      <w:bookmarkStart w:id="56965" w:name="_ETM_Q103_650440"/>
      <w:bookmarkEnd w:id="56965"/>
      <w:r>
        <w:rPr>
          <w:rFonts w:hint="cs"/>
          <w:rtl/>
        </w:rPr>
        <w:t xml:space="preserve">על </w:t>
      </w:r>
      <w:bookmarkStart w:id="56966" w:name="_ETM_Q103_650590"/>
      <w:bookmarkEnd w:id="56966"/>
      <w:r>
        <w:rPr>
          <w:rFonts w:hint="cs"/>
          <w:rtl/>
        </w:rPr>
        <w:t xml:space="preserve">התקשורת, </w:t>
      </w:r>
      <w:bookmarkStart w:id="56967" w:name="_ETM_Q103_652030"/>
      <w:bookmarkEnd w:id="56967"/>
      <w:r>
        <w:rPr>
          <w:rFonts w:hint="cs"/>
          <w:rtl/>
        </w:rPr>
        <w:t xml:space="preserve">לא </w:t>
      </w:r>
      <w:bookmarkStart w:id="56968" w:name="_ETM_Q103_652300"/>
      <w:bookmarkEnd w:id="56968"/>
      <w:r>
        <w:rPr>
          <w:rFonts w:hint="cs"/>
          <w:rtl/>
        </w:rPr>
        <w:t xml:space="preserve">לקבוע </w:t>
      </w:r>
      <w:bookmarkStart w:id="56969" w:name="_ETM_Q103_652780"/>
      <w:bookmarkEnd w:id="56969"/>
      <w:r>
        <w:rPr>
          <w:rFonts w:hint="cs"/>
          <w:rtl/>
        </w:rPr>
        <w:t>מ</w:t>
      </w:r>
      <w:bookmarkStart w:id="56970" w:name="_ETM_Q103_652930"/>
      <w:bookmarkEnd w:id="56970"/>
      <w:r>
        <w:rPr>
          <w:rFonts w:hint="cs"/>
          <w:rtl/>
        </w:rPr>
        <w:t xml:space="preserve">הן </w:t>
      </w:r>
      <w:bookmarkStart w:id="56971" w:name="_ETM_Q103_653050"/>
      <w:bookmarkEnd w:id="56971"/>
      <w:r>
        <w:rPr>
          <w:rFonts w:hint="cs"/>
          <w:rtl/>
        </w:rPr>
        <w:t xml:space="preserve">זכויות </w:t>
      </w:r>
      <w:bookmarkStart w:id="56972" w:name="_ETM_Q103_653470"/>
      <w:bookmarkEnd w:id="56972"/>
      <w:r>
        <w:rPr>
          <w:rFonts w:hint="cs"/>
          <w:rtl/>
        </w:rPr>
        <w:t xml:space="preserve">אדם, </w:t>
      </w:r>
      <w:bookmarkStart w:id="56973" w:name="_ETM_Q103_654230"/>
      <w:bookmarkEnd w:id="56973"/>
      <w:r>
        <w:rPr>
          <w:rFonts w:hint="cs"/>
          <w:rtl/>
        </w:rPr>
        <w:t xml:space="preserve">ולא </w:t>
      </w:r>
      <w:bookmarkStart w:id="56974" w:name="_ETM_Q103_654680"/>
      <w:bookmarkEnd w:id="56974"/>
      <w:r>
        <w:rPr>
          <w:rFonts w:hint="cs"/>
          <w:rtl/>
        </w:rPr>
        <w:t xml:space="preserve">ניתן </w:t>
      </w:r>
      <w:bookmarkStart w:id="56975" w:name="_ETM_Q103_655040"/>
      <w:bookmarkEnd w:id="56975"/>
      <w:r>
        <w:rPr>
          <w:rFonts w:hint="cs"/>
          <w:rtl/>
        </w:rPr>
        <w:t xml:space="preserve">לשנות </w:t>
      </w:r>
      <w:bookmarkStart w:id="56976" w:name="_ETM_Q103_655459"/>
      <w:bookmarkEnd w:id="56976"/>
      <w:r>
        <w:rPr>
          <w:rFonts w:hint="cs"/>
          <w:rtl/>
        </w:rPr>
        <w:t xml:space="preserve">את </w:t>
      </w:r>
      <w:bookmarkStart w:id="56977" w:name="_ETM_Q103_655580"/>
      <w:bookmarkEnd w:id="56977"/>
      <w:r>
        <w:rPr>
          <w:rFonts w:hint="cs"/>
          <w:rtl/>
        </w:rPr>
        <w:t xml:space="preserve">המדינה </w:t>
      </w:r>
      <w:bookmarkStart w:id="56978" w:name="_ETM_Q103_656030"/>
      <w:bookmarkEnd w:id="56978"/>
      <w:r>
        <w:rPr>
          <w:rFonts w:hint="cs"/>
          <w:rtl/>
        </w:rPr>
        <w:t xml:space="preserve">שלנו </w:t>
      </w:r>
      <w:bookmarkStart w:id="56979" w:name="_ETM_Q103_656630"/>
      <w:bookmarkEnd w:id="56979"/>
      <w:r>
        <w:rPr>
          <w:rFonts w:hint="cs"/>
          <w:rtl/>
        </w:rPr>
        <w:t xml:space="preserve">בלי </w:t>
      </w:r>
      <w:bookmarkStart w:id="56980" w:name="_ETM_Q103_656930"/>
      <w:bookmarkEnd w:id="56980"/>
      <w:r>
        <w:rPr>
          <w:rFonts w:hint="cs"/>
          <w:rtl/>
        </w:rPr>
        <w:t xml:space="preserve">שניאבק </w:t>
      </w:r>
      <w:bookmarkStart w:id="56981" w:name="_ETM_Q103_657709"/>
      <w:bookmarkEnd w:id="56981"/>
      <w:r>
        <w:rPr>
          <w:rFonts w:hint="cs"/>
          <w:rtl/>
        </w:rPr>
        <w:t xml:space="preserve">בכל </w:t>
      </w:r>
      <w:bookmarkStart w:id="56982" w:name="_ETM_Q103_658100"/>
      <w:bookmarkEnd w:id="56982"/>
      <w:r>
        <w:rPr>
          <w:rFonts w:hint="cs"/>
          <w:rtl/>
        </w:rPr>
        <w:t xml:space="preserve">דרך, </w:t>
      </w:r>
      <w:bookmarkStart w:id="56983" w:name="_ETM_Q103_658640"/>
      <w:bookmarkEnd w:id="56983"/>
      <w:r>
        <w:rPr>
          <w:rFonts w:hint="cs"/>
          <w:rtl/>
        </w:rPr>
        <w:t xml:space="preserve">בכל </w:t>
      </w:r>
      <w:bookmarkStart w:id="56984" w:name="_ETM_Q103_659030"/>
      <w:bookmarkEnd w:id="56984"/>
      <w:r>
        <w:rPr>
          <w:rFonts w:hint="cs"/>
          <w:rtl/>
        </w:rPr>
        <w:t xml:space="preserve">מקום </w:t>
      </w:r>
      <w:bookmarkStart w:id="56985" w:name="_ETM_Q103_659990"/>
      <w:bookmarkEnd w:id="56985"/>
      <w:r>
        <w:rPr>
          <w:rFonts w:hint="cs"/>
          <w:rtl/>
        </w:rPr>
        <w:t xml:space="preserve">ובכל </w:t>
      </w:r>
      <w:bookmarkStart w:id="56986" w:name="_ETM_Q103_660440"/>
      <w:bookmarkEnd w:id="56986"/>
      <w:r>
        <w:rPr>
          <w:rFonts w:hint="cs"/>
          <w:rtl/>
        </w:rPr>
        <w:t xml:space="preserve">זמן. </w:t>
      </w:r>
      <w:bookmarkStart w:id="56987" w:name="_ETM_Q103_662900"/>
      <w:bookmarkEnd w:id="56987"/>
    </w:p>
    <w:p w:rsidR="00BB59CD" w:rsidRDefault="00BB59CD" w:rsidP="00BB59CD">
      <w:pPr>
        <w:rPr>
          <w:rtl/>
        </w:rPr>
      </w:pPr>
      <w:bookmarkStart w:id="56988" w:name="_ETM_Q103_662291"/>
      <w:bookmarkStart w:id="56989" w:name="_ETM_Q103_662410"/>
      <w:bookmarkEnd w:id="56988"/>
      <w:bookmarkEnd w:id="56989"/>
    </w:p>
    <w:p w:rsidR="00BB59CD" w:rsidRDefault="00BB59CD" w:rsidP="00942E30">
      <w:pPr>
        <w:rPr>
          <w:rtl/>
        </w:rPr>
      </w:pPr>
      <w:bookmarkStart w:id="56990" w:name="_ETM_Q103_662436"/>
      <w:bookmarkStart w:id="56991" w:name="_ETM_Q103_662535"/>
      <w:bookmarkEnd w:id="56990"/>
      <w:bookmarkEnd w:id="56991"/>
      <w:r>
        <w:rPr>
          <w:rFonts w:hint="cs"/>
          <w:rtl/>
        </w:rPr>
        <w:t xml:space="preserve">תחת </w:t>
      </w:r>
      <w:bookmarkStart w:id="56992" w:name="_ETM_Q103_663230"/>
      <w:bookmarkEnd w:id="56992"/>
      <w:r>
        <w:rPr>
          <w:rFonts w:hint="cs"/>
          <w:rtl/>
        </w:rPr>
        <w:t xml:space="preserve">השלטון </w:t>
      </w:r>
      <w:bookmarkStart w:id="56993" w:name="_ETM_Q103_663739"/>
      <w:bookmarkEnd w:id="56993"/>
      <w:r>
        <w:rPr>
          <w:rFonts w:hint="cs"/>
          <w:rtl/>
        </w:rPr>
        <w:t xml:space="preserve">המטורלל </w:t>
      </w:r>
      <w:bookmarkStart w:id="56994" w:name="_ETM_Q103_664310"/>
      <w:bookmarkEnd w:id="56994"/>
      <w:r>
        <w:rPr>
          <w:rFonts w:hint="cs"/>
          <w:rtl/>
        </w:rPr>
        <w:t xml:space="preserve">שלכם </w:t>
      </w:r>
      <w:bookmarkStart w:id="56995" w:name="_ETM_Q103_664939"/>
      <w:bookmarkEnd w:id="56995"/>
      <w:r>
        <w:rPr>
          <w:rFonts w:hint="cs"/>
          <w:rtl/>
        </w:rPr>
        <w:t xml:space="preserve">איבדנו </w:t>
      </w:r>
      <w:bookmarkStart w:id="56996" w:name="_ETM_Q103_665590"/>
      <w:bookmarkEnd w:id="56996"/>
      <w:r>
        <w:rPr>
          <w:rFonts w:hint="cs"/>
          <w:rtl/>
        </w:rPr>
        <w:t xml:space="preserve">כמעט </w:t>
      </w:r>
      <w:bookmarkStart w:id="56997" w:name="_ETM_Q103_666160"/>
      <w:bookmarkEnd w:id="56997"/>
      <w:r>
        <w:rPr>
          <w:rFonts w:hint="cs"/>
          <w:rtl/>
        </w:rPr>
        <w:t xml:space="preserve">כל </w:t>
      </w:r>
      <w:bookmarkStart w:id="56998" w:name="_ETM_Q103_666370"/>
      <w:bookmarkEnd w:id="56998"/>
      <w:r>
        <w:rPr>
          <w:rFonts w:hint="cs"/>
          <w:rtl/>
        </w:rPr>
        <w:t xml:space="preserve">טיפת </w:t>
      </w:r>
      <w:bookmarkStart w:id="56999" w:name="_ETM_Q103_666760"/>
      <w:bookmarkEnd w:id="56999"/>
      <w:r>
        <w:rPr>
          <w:rFonts w:hint="cs"/>
          <w:rtl/>
        </w:rPr>
        <w:t xml:space="preserve">לגיטימציה </w:t>
      </w:r>
      <w:bookmarkStart w:id="57000" w:name="_ETM_Q103_667599"/>
      <w:bookmarkEnd w:id="57000"/>
      <w:r>
        <w:rPr>
          <w:rFonts w:hint="cs"/>
          <w:rtl/>
        </w:rPr>
        <w:t xml:space="preserve">שהייתה </w:t>
      </w:r>
      <w:bookmarkStart w:id="57001" w:name="_ETM_Q103_667989"/>
      <w:bookmarkEnd w:id="57001"/>
      <w:r>
        <w:rPr>
          <w:rFonts w:hint="cs"/>
          <w:rtl/>
        </w:rPr>
        <w:t xml:space="preserve">לנו </w:t>
      </w:r>
      <w:bookmarkStart w:id="57002" w:name="_ETM_Q103_668230"/>
      <w:bookmarkEnd w:id="57002"/>
      <w:r>
        <w:rPr>
          <w:rFonts w:hint="cs"/>
          <w:rtl/>
        </w:rPr>
        <w:t xml:space="preserve">בעולם. </w:t>
      </w:r>
      <w:bookmarkStart w:id="57003" w:name="_ETM_Q103_669299"/>
      <w:bookmarkEnd w:id="57003"/>
      <w:r>
        <w:rPr>
          <w:rFonts w:hint="cs"/>
          <w:rtl/>
        </w:rPr>
        <w:t xml:space="preserve">עשיתם </w:t>
      </w:r>
      <w:bookmarkStart w:id="57004" w:name="_ETM_Q103_669810"/>
      <w:bookmarkEnd w:id="57004"/>
      <w:r>
        <w:rPr>
          <w:rFonts w:hint="cs"/>
          <w:rtl/>
        </w:rPr>
        <w:t xml:space="preserve">זאת </w:t>
      </w:r>
      <w:bookmarkStart w:id="57005" w:name="_ETM_Q103_670109"/>
      <w:bookmarkEnd w:id="57005"/>
      <w:r>
        <w:rPr>
          <w:rFonts w:hint="cs"/>
          <w:rtl/>
        </w:rPr>
        <w:t xml:space="preserve">במהירות </w:t>
      </w:r>
      <w:bookmarkStart w:id="57006" w:name="_ETM_Q103_670650"/>
      <w:bookmarkEnd w:id="57006"/>
      <w:r>
        <w:rPr>
          <w:rFonts w:hint="cs"/>
          <w:rtl/>
        </w:rPr>
        <w:t xml:space="preserve">שיא, </w:t>
      </w:r>
      <w:bookmarkStart w:id="57007" w:name="_ETM_Q103_671480"/>
      <w:bookmarkEnd w:id="57007"/>
      <w:r>
        <w:rPr>
          <w:rFonts w:hint="cs"/>
          <w:rtl/>
        </w:rPr>
        <w:t xml:space="preserve">ונתתם </w:t>
      </w:r>
      <w:bookmarkStart w:id="57008" w:name="_ETM_Q103_672109"/>
      <w:bookmarkEnd w:id="57008"/>
      <w:r>
        <w:rPr>
          <w:rFonts w:hint="cs"/>
          <w:rtl/>
        </w:rPr>
        <w:t xml:space="preserve">לעולם </w:t>
      </w:r>
      <w:bookmarkStart w:id="57009" w:name="_ETM_Q103_672529"/>
      <w:bookmarkEnd w:id="57009"/>
      <w:r>
        <w:rPr>
          <w:rFonts w:hint="cs"/>
          <w:rtl/>
        </w:rPr>
        <w:t xml:space="preserve">ללמוד </w:t>
      </w:r>
      <w:bookmarkStart w:id="57010" w:name="_ETM_Q103_673129"/>
      <w:bookmarkEnd w:id="57010"/>
      <w:r>
        <w:rPr>
          <w:rFonts w:hint="cs"/>
          <w:rtl/>
        </w:rPr>
        <w:t xml:space="preserve">מה </w:t>
      </w:r>
      <w:bookmarkStart w:id="57011" w:name="_ETM_Q103_673279"/>
      <w:bookmarkEnd w:id="57011"/>
      <w:r>
        <w:rPr>
          <w:rFonts w:hint="cs"/>
          <w:rtl/>
        </w:rPr>
        <w:t xml:space="preserve">שלנו </w:t>
      </w:r>
      <w:bookmarkStart w:id="57012" w:name="_ETM_Q103_673730"/>
      <w:bookmarkEnd w:id="57012"/>
      <w:r>
        <w:rPr>
          <w:rFonts w:hint="cs"/>
          <w:rtl/>
        </w:rPr>
        <w:t xml:space="preserve">ידוע </w:t>
      </w:r>
      <w:bookmarkStart w:id="57013" w:name="_ETM_Q103_674089"/>
      <w:bookmarkEnd w:id="57013"/>
      <w:r>
        <w:rPr>
          <w:rFonts w:hint="cs"/>
          <w:rtl/>
        </w:rPr>
        <w:t xml:space="preserve">כבר </w:t>
      </w:r>
      <w:bookmarkStart w:id="57014" w:name="_ETM_Q103_674299"/>
      <w:bookmarkEnd w:id="57014"/>
      <w:r>
        <w:rPr>
          <w:rFonts w:hint="cs"/>
          <w:rtl/>
        </w:rPr>
        <w:t xml:space="preserve">שנים </w:t>
      </w:r>
      <w:bookmarkStart w:id="57015" w:name="_ETM_Q103_674629"/>
      <w:bookmarkEnd w:id="57015"/>
      <w:r>
        <w:rPr>
          <w:rFonts w:hint="cs"/>
          <w:rtl/>
        </w:rPr>
        <w:t xml:space="preserve">רבות: </w:t>
      </w:r>
      <w:bookmarkStart w:id="57016" w:name="_ETM_Q103_675900"/>
      <w:bookmarkEnd w:id="57016"/>
      <w:r>
        <w:rPr>
          <w:rFonts w:hint="cs"/>
          <w:rtl/>
        </w:rPr>
        <w:t xml:space="preserve">אין </w:t>
      </w:r>
      <w:bookmarkStart w:id="57017" w:name="_ETM_Q103_676200"/>
      <w:bookmarkEnd w:id="57017"/>
      <w:r>
        <w:rPr>
          <w:rFonts w:hint="cs"/>
          <w:rtl/>
        </w:rPr>
        <w:t xml:space="preserve">מילה </w:t>
      </w:r>
      <w:bookmarkStart w:id="57018" w:name="_ETM_Q103_676650"/>
      <w:bookmarkEnd w:id="57018"/>
      <w:r>
        <w:rPr>
          <w:rFonts w:hint="cs"/>
          <w:rtl/>
        </w:rPr>
        <w:t xml:space="preserve">של </w:t>
      </w:r>
      <w:bookmarkStart w:id="57019" w:name="_ETM_Q103_676860"/>
      <w:bookmarkEnd w:id="57019"/>
      <w:r>
        <w:rPr>
          <w:rFonts w:hint="cs"/>
          <w:rtl/>
        </w:rPr>
        <w:t xml:space="preserve">ראש </w:t>
      </w:r>
      <w:bookmarkStart w:id="57020" w:name="_ETM_Q103_677099"/>
      <w:bookmarkEnd w:id="57020"/>
      <w:r>
        <w:rPr>
          <w:rFonts w:hint="cs"/>
          <w:rtl/>
        </w:rPr>
        <w:t xml:space="preserve">הממשלה </w:t>
      </w:r>
      <w:bookmarkStart w:id="57021" w:name="_ETM_Q103_677940"/>
      <w:bookmarkEnd w:id="57021"/>
      <w:r>
        <w:rPr>
          <w:rFonts w:hint="cs"/>
          <w:rtl/>
        </w:rPr>
        <w:t xml:space="preserve">שאפשר </w:t>
      </w:r>
      <w:bookmarkStart w:id="57022" w:name="_ETM_Q103_678660"/>
      <w:bookmarkEnd w:id="57022"/>
      <w:r>
        <w:rPr>
          <w:rFonts w:hint="cs"/>
          <w:rtl/>
        </w:rPr>
        <w:t xml:space="preserve">לסמוך </w:t>
      </w:r>
      <w:bookmarkStart w:id="57023" w:name="_ETM_Q103_679140"/>
      <w:bookmarkEnd w:id="57023"/>
      <w:r>
        <w:rPr>
          <w:rFonts w:hint="cs"/>
          <w:rtl/>
        </w:rPr>
        <w:t xml:space="preserve">עליה; </w:t>
      </w:r>
      <w:bookmarkStart w:id="57024" w:name="_ETM_Q103_680069"/>
      <w:bookmarkEnd w:id="57024"/>
      <w:r>
        <w:rPr>
          <w:rFonts w:hint="cs"/>
          <w:rtl/>
        </w:rPr>
        <w:t xml:space="preserve">יותר </w:t>
      </w:r>
      <w:bookmarkStart w:id="57025" w:name="_ETM_Q103_680400"/>
      <w:bookmarkEnd w:id="57025"/>
      <w:r>
        <w:rPr>
          <w:rFonts w:hint="cs"/>
          <w:rtl/>
        </w:rPr>
        <w:t xml:space="preserve">מדויק, </w:t>
      </w:r>
      <w:bookmarkStart w:id="57026" w:name="_ETM_Q103_681150"/>
      <w:bookmarkEnd w:id="57026"/>
      <w:r>
        <w:rPr>
          <w:rFonts w:hint="cs"/>
          <w:rtl/>
        </w:rPr>
        <w:t xml:space="preserve">אפשר </w:t>
      </w:r>
      <w:bookmarkStart w:id="57027" w:name="_ETM_Q103_681569"/>
      <w:bookmarkEnd w:id="57027"/>
      <w:r>
        <w:rPr>
          <w:rFonts w:hint="cs"/>
          <w:rtl/>
        </w:rPr>
        <w:t xml:space="preserve">לסמוך </w:t>
      </w:r>
      <w:bookmarkStart w:id="57028" w:name="_ETM_Q103_681989"/>
      <w:bookmarkEnd w:id="57028"/>
      <w:r>
        <w:rPr>
          <w:rFonts w:hint="cs"/>
          <w:rtl/>
        </w:rPr>
        <w:t xml:space="preserve">על </w:t>
      </w:r>
      <w:bookmarkStart w:id="57029" w:name="_ETM_Q103_682079"/>
      <w:bookmarkEnd w:id="57029"/>
      <w:r>
        <w:rPr>
          <w:rFonts w:hint="cs"/>
          <w:rtl/>
        </w:rPr>
        <w:t xml:space="preserve">ראש </w:t>
      </w:r>
      <w:bookmarkStart w:id="57030" w:name="_ETM_Q103_682260"/>
      <w:bookmarkEnd w:id="57030"/>
      <w:r>
        <w:rPr>
          <w:rFonts w:hint="cs"/>
          <w:rtl/>
        </w:rPr>
        <w:t xml:space="preserve">הממשלה </w:t>
      </w:r>
      <w:bookmarkStart w:id="57031" w:name="_ETM_Q103_682919"/>
      <w:bookmarkEnd w:id="57031"/>
      <w:r>
        <w:rPr>
          <w:rFonts w:hint="cs"/>
          <w:rtl/>
        </w:rPr>
        <w:t xml:space="preserve">שיפר </w:t>
      </w:r>
      <w:bookmarkStart w:id="57032" w:name="_ETM_Q103_683669"/>
      <w:bookmarkEnd w:id="57032"/>
      <w:r>
        <w:rPr>
          <w:rFonts w:hint="cs"/>
          <w:rtl/>
        </w:rPr>
        <w:t xml:space="preserve">כל </w:t>
      </w:r>
      <w:bookmarkStart w:id="57033" w:name="_ETM_Q103_683999"/>
      <w:bookmarkEnd w:id="57033"/>
      <w:r>
        <w:rPr>
          <w:rFonts w:hint="cs"/>
          <w:rtl/>
        </w:rPr>
        <w:t xml:space="preserve">מילה </w:t>
      </w:r>
      <w:bookmarkStart w:id="57034" w:name="_ETM_Q103_684480"/>
      <w:bookmarkEnd w:id="57034"/>
      <w:r>
        <w:rPr>
          <w:rFonts w:hint="cs"/>
          <w:rtl/>
        </w:rPr>
        <w:t xml:space="preserve">שהוא </w:t>
      </w:r>
      <w:bookmarkStart w:id="57035" w:name="_ETM_Q103_684779"/>
      <w:bookmarkEnd w:id="57035"/>
      <w:r>
        <w:rPr>
          <w:rFonts w:hint="cs"/>
          <w:rtl/>
        </w:rPr>
        <w:t xml:space="preserve">נותן. </w:t>
      </w:r>
      <w:bookmarkStart w:id="57036" w:name="_ETM_Q103_685879"/>
      <w:bookmarkEnd w:id="57036"/>
      <w:r>
        <w:rPr>
          <w:rFonts w:hint="cs"/>
          <w:rtl/>
        </w:rPr>
        <w:t xml:space="preserve">ואם </w:t>
      </w:r>
      <w:bookmarkStart w:id="57037" w:name="_ETM_Q103_686150"/>
      <w:bookmarkEnd w:id="57037"/>
      <w:r>
        <w:rPr>
          <w:rFonts w:hint="cs"/>
          <w:rtl/>
        </w:rPr>
        <w:t xml:space="preserve">לא </w:t>
      </w:r>
      <w:bookmarkStart w:id="57038" w:name="_ETM_Q103_686269"/>
      <w:bookmarkEnd w:id="57038"/>
      <w:r>
        <w:rPr>
          <w:rFonts w:hint="cs"/>
          <w:rtl/>
        </w:rPr>
        <w:t xml:space="preserve">הייתם </w:t>
      </w:r>
      <w:bookmarkStart w:id="57039" w:name="_ETM_Q103_686599"/>
      <w:bookmarkEnd w:id="57039"/>
      <w:r>
        <w:rPr>
          <w:rFonts w:hint="cs"/>
          <w:rtl/>
        </w:rPr>
        <w:t xml:space="preserve">פועלים </w:t>
      </w:r>
      <w:bookmarkStart w:id="57040" w:name="_ETM_Q103_686989"/>
      <w:bookmarkEnd w:id="57040"/>
      <w:r>
        <w:rPr>
          <w:rFonts w:hint="cs"/>
          <w:rtl/>
        </w:rPr>
        <w:t xml:space="preserve">בכל </w:t>
      </w:r>
      <w:bookmarkStart w:id="57041" w:name="_ETM_Q103_687319"/>
      <w:bookmarkEnd w:id="57041"/>
      <w:r>
        <w:rPr>
          <w:rFonts w:hint="cs"/>
          <w:rtl/>
        </w:rPr>
        <w:t xml:space="preserve">הכוח </w:t>
      </w:r>
      <w:bookmarkStart w:id="57042" w:name="_ETM_Q103_687859"/>
      <w:bookmarkEnd w:id="57042"/>
      <w:r>
        <w:rPr>
          <w:rFonts w:hint="cs"/>
          <w:rtl/>
        </w:rPr>
        <w:t xml:space="preserve">רק </w:t>
      </w:r>
      <w:bookmarkStart w:id="57043" w:name="_ETM_Q103_688129"/>
      <w:bookmarkEnd w:id="57043"/>
      <w:r>
        <w:rPr>
          <w:rFonts w:hint="cs"/>
          <w:rtl/>
        </w:rPr>
        <w:t xml:space="preserve">כדי </w:t>
      </w:r>
      <w:bookmarkStart w:id="57044" w:name="_ETM_Q103_688309"/>
      <w:bookmarkEnd w:id="57044"/>
      <w:r>
        <w:rPr>
          <w:rFonts w:hint="cs"/>
          <w:rtl/>
        </w:rPr>
        <w:t xml:space="preserve">להפר </w:t>
      </w:r>
      <w:bookmarkStart w:id="57045" w:name="_ETM_Q103_688819"/>
      <w:bookmarkEnd w:id="57045"/>
      <w:r>
        <w:rPr>
          <w:rFonts w:hint="cs"/>
          <w:rtl/>
        </w:rPr>
        <w:t xml:space="preserve">כל </w:t>
      </w:r>
      <w:bookmarkStart w:id="57046" w:name="_ETM_Q103_689180"/>
      <w:bookmarkEnd w:id="57046"/>
      <w:r>
        <w:rPr>
          <w:rFonts w:hint="cs"/>
          <w:rtl/>
        </w:rPr>
        <w:t xml:space="preserve">אחד </w:t>
      </w:r>
      <w:bookmarkStart w:id="57047" w:name="_ETM_Q103_688139"/>
      <w:bookmarkEnd w:id="57047"/>
      <w:r>
        <w:rPr>
          <w:rFonts w:hint="cs"/>
          <w:rtl/>
        </w:rPr>
        <w:t xml:space="preserve">ואחד </w:t>
      </w:r>
      <w:bookmarkStart w:id="57048" w:name="_ETM_Q103_690019"/>
      <w:bookmarkEnd w:id="57048"/>
      <w:r>
        <w:rPr>
          <w:rFonts w:hint="cs"/>
          <w:rtl/>
        </w:rPr>
        <w:t xml:space="preserve">מעשרת </w:t>
      </w:r>
      <w:bookmarkStart w:id="57049" w:name="_ETM_Q103_690469"/>
      <w:bookmarkEnd w:id="57049"/>
      <w:r>
        <w:rPr>
          <w:rFonts w:hint="cs"/>
          <w:rtl/>
        </w:rPr>
        <w:t xml:space="preserve">הדיברות </w:t>
      </w:r>
      <w:bookmarkStart w:id="57050" w:name="_ETM_Q103_691900"/>
      <w:bookmarkEnd w:id="57050"/>
      <w:r w:rsidR="00942E30">
        <w:rPr>
          <w:rFonts w:hint="eastAsia"/>
          <w:rtl/>
        </w:rPr>
        <w:t>–</w:t>
      </w:r>
      <w:r w:rsidR="00942E30">
        <w:rPr>
          <w:rFonts w:hint="cs"/>
          <w:rtl/>
        </w:rPr>
        <w:t xml:space="preserve"> </w:t>
      </w:r>
      <w:r>
        <w:rPr>
          <w:rFonts w:hint="cs"/>
          <w:rtl/>
        </w:rPr>
        <w:t xml:space="preserve">הבאתם </w:t>
      </w:r>
      <w:bookmarkStart w:id="57051" w:name="_ETM_Q103_692379"/>
      <w:bookmarkEnd w:id="57051"/>
      <w:r>
        <w:rPr>
          <w:rFonts w:hint="cs"/>
          <w:rtl/>
        </w:rPr>
        <w:t xml:space="preserve">אותנו </w:t>
      </w:r>
      <w:bookmarkStart w:id="57052" w:name="_ETM_Q103_692860"/>
      <w:bookmarkEnd w:id="57052"/>
      <w:r w:rsidR="00942E30">
        <w:rPr>
          <w:rFonts w:hint="cs"/>
          <w:rtl/>
        </w:rPr>
        <w:t xml:space="preserve">אל </w:t>
      </w:r>
      <w:r>
        <w:rPr>
          <w:rFonts w:hint="cs"/>
          <w:rtl/>
        </w:rPr>
        <w:t xml:space="preserve">סיפה </w:t>
      </w:r>
      <w:bookmarkStart w:id="57053" w:name="_ETM_Q103_694150"/>
      <w:bookmarkEnd w:id="57053"/>
      <w:r>
        <w:rPr>
          <w:rFonts w:hint="cs"/>
          <w:rtl/>
        </w:rPr>
        <w:t xml:space="preserve">של </w:t>
      </w:r>
      <w:bookmarkStart w:id="57054" w:name="_ETM_Q103_694419"/>
      <w:bookmarkEnd w:id="57054"/>
      <w:r>
        <w:rPr>
          <w:rFonts w:hint="cs"/>
          <w:rtl/>
        </w:rPr>
        <w:t xml:space="preserve">מלחמת </w:t>
      </w:r>
      <w:bookmarkStart w:id="57055" w:name="_ETM_Q103_694900"/>
      <w:bookmarkEnd w:id="57055"/>
      <w:r>
        <w:rPr>
          <w:rFonts w:hint="cs"/>
          <w:rtl/>
        </w:rPr>
        <w:t xml:space="preserve">אזרחים, </w:t>
      </w:r>
      <w:bookmarkStart w:id="57056" w:name="_ETM_Q103_695889"/>
      <w:bookmarkEnd w:id="57056"/>
      <w:r>
        <w:rPr>
          <w:rFonts w:hint="cs"/>
          <w:rtl/>
        </w:rPr>
        <w:t xml:space="preserve">מלחמת </w:t>
      </w:r>
      <w:bookmarkStart w:id="57057" w:name="_ETM_Q103_696459"/>
      <w:bookmarkEnd w:id="57057"/>
      <w:r>
        <w:rPr>
          <w:rFonts w:hint="cs"/>
          <w:rtl/>
        </w:rPr>
        <w:t xml:space="preserve">אחים, </w:t>
      </w:r>
      <w:bookmarkStart w:id="57058" w:name="_ETM_Q103_697359"/>
      <w:bookmarkEnd w:id="57058"/>
      <w:r>
        <w:rPr>
          <w:rFonts w:hint="cs"/>
          <w:rtl/>
        </w:rPr>
        <w:t xml:space="preserve">ובמקום </w:t>
      </w:r>
      <w:bookmarkStart w:id="57059" w:name="_ETM_Q103_697929"/>
      <w:bookmarkEnd w:id="57059"/>
      <w:r>
        <w:rPr>
          <w:rFonts w:hint="cs"/>
          <w:rtl/>
        </w:rPr>
        <w:t xml:space="preserve">לצנן </w:t>
      </w:r>
      <w:bookmarkStart w:id="57060" w:name="_ETM_Q103_698379"/>
      <w:bookmarkEnd w:id="57060"/>
      <w:r>
        <w:rPr>
          <w:rFonts w:hint="cs"/>
          <w:rtl/>
        </w:rPr>
        <w:t xml:space="preserve">את </w:t>
      </w:r>
      <w:bookmarkStart w:id="57061" w:name="_ETM_Q103_698499"/>
      <w:bookmarkEnd w:id="57061"/>
      <w:r>
        <w:rPr>
          <w:rFonts w:hint="cs"/>
          <w:rtl/>
        </w:rPr>
        <w:t xml:space="preserve">הרוחות </w:t>
      </w:r>
      <w:bookmarkStart w:id="57062" w:name="_ETM_Q103_699370"/>
      <w:bookmarkEnd w:id="57062"/>
      <w:r>
        <w:rPr>
          <w:rFonts w:hint="cs"/>
          <w:rtl/>
        </w:rPr>
        <w:t xml:space="preserve">אתם </w:t>
      </w:r>
      <w:bookmarkStart w:id="57063" w:name="_ETM_Q103_699730"/>
      <w:bookmarkEnd w:id="57063"/>
      <w:r>
        <w:rPr>
          <w:rFonts w:hint="cs"/>
          <w:rtl/>
        </w:rPr>
        <w:t xml:space="preserve">רק </w:t>
      </w:r>
      <w:bookmarkStart w:id="57064" w:name="_ETM_Q103_700090"/>
      <w:bookmarkEnd w:id="57064"/>
      <w:r>
        <w:rPr>
          <w:rFonts w:hint="cs"/>
          <w:rtl/>
        </w:rPr>
        <w:t xml:space="preserve">משלהבים </w:t>
      </w:r>
      <w:bookmarkStart w:id="57065" w:name="_ETM_Q103_700929"/>
      <w:bookmarkEnd w:id="57065"/>
      <w:r>
        <w:rPr>
          <w:rFonts w:hint="cs"/>
          <w:rtl/>
        </w:rPr>
        <w:t xml:space="preserve">את </w:t>
      </w:r>
      <w:bookmarkStart w:id="57066" w:name="_ETM_Q103_701139"/>
      <w:bookmarkEnd w:id="57066"/>
      <w:r>
        <w:rPr>
          <w:rFonts w:hint="cs"/>
          <w:rtl/>
        </w:rPr>
        <w:t xml:space="preserve">הלהבות. </w:t>
      </w:r>
      <w:bookmarkStart w:id="57067" w:name="_ETM_Q103_702900"/>
      <w:bookmarkEnd w:id="57067"/>
    </w:p>
    <w:p w:rsidR="00BB59CD" w:rsidRDefault="00BB59CD" w:rsidP="00BB59CD">
      <w:pPr>
        <w:rPr>
          <w:rtl/>
        </w:rPr>
      </w:pPr>
      <w:bookmarkStart w:id="57068" w:name="_ETM_Q103_702720"/>
      <w:bookmarkEnd w:id="57068"/>
    </w:p>
    <w:p w:rsidR="00BB59CD" w:rsidRDefault="00BB59CD" w:rsidP="00BB59CD">
      <w:pPr>
        <w:rPr>
          <w:rtl/>
        </w:rPr>
      </w:pPr>
      <w:bookmarkStart w:id="57069" w:name="_ETM_Q103_702846"/>
      <w:bookmarkStart w:id="57070" w:name="_ETM_Q103_702940"/>
      <w:bookmarkStart w:id="57071" w:name="_ETM_Q103_702968"/>
      <w:bookmarkEnd w:id="57069"/>
      <w:bookmarkEnd w:id="57070"/>
      <w:bookmarkEnd w:id="57071"/>
      <w:r>
        <w:rPr>
          <w:rFonts w:hint="cs"/>
          <w:rtl/>
        </w:rPr>
        <w:t xml:space="preserve">עמיתיי </w:t>
      </w:r>
      <w:bookmarkStart w:id="57072" w:name="_ETM_Q103_703470"/>
      <w:bookmarkEnd w:id="57072"/>
      <w:r>
        <w:rPr>
          <w:rFonts w:hint="cs"/>
          <w:rtl/>
        </w:rPr>
        <w:t xml:space="preserve">מהקואליציה </w:t>
      </w:r>
      <w:bookmarkStart w:id="57073" w:name="_ETM_Q103_704309"/>
      <w:bookmarkEnd w:id="57073"/>
      <w:r>
        <w:rPr>
          <w:rFonts w:hint="cs"/>
          <w:rtl/>
        </w:rPr>
        <w:t xml:space="preserve">והממשלה, </w:t>
      </w:r>
      <w:bookmarkStart w:id="57074" w:name="_ETM_Q103_705300"/>
      <w:bookmarkEnd w:id="57074"/>
      <w:r>
        <w:rPr>
          <w:rFonts w:hint="cs"/>
          <w:rtl/>
        </w:rPr>
        <w:t xml:space="preserve">דעו </w:t>
      </w:r>
      <w:bookmarkStart w:id="57075" w:name="_ETM_Q103_705690"/>
      <w:bookmarkEnd w:id="57075"/>
      <w:r>
        <w:rPr>
          <w:rFonts w:hint="cs"/>
          <w:rtl/>
        </w:rPr>
        <w:t xml:space="preserve">לכם </w:t>
      </w:r>
      <w:bookmarkStart w:id="57076" w:name="_ETM_Q103_706170"/>
      <w:bookmarkEnd w:id="57076"/>
      <w:r>
        <w:rPr>
          <w:rFonts w:hint="cs"/>
          <w:rtl/>
        </w:rPr>
        <w:t xml:space="preserve">שהמצב </w:t>
      </w:r>
      <w:bookmarkStart w:id="57077" w:name="_ETM_Q103_706800"/>
      <w:bookmarkEnd w:id="57077"/>
      <w:r>
        <w:rPr>
          <w:rFonts w:hint="cs"/>
          <w:rtl/>
        </w:rPr>
        <w:t xml:space="preserve">הזה </w:t>
      </w:r>
      <w:bookmarkStart w:id="57078" w:name="_ETM_Q103_707190"/>
      <w:bookmarkEnd w:id="57078"/>
      <w:r>
        <w:rPr>
          <w:rFonts w:hint="cs"/>
          <w:rtl/>
        </w:rPr>
        <w:t xml:space="preserve">עוד </w:t>
      </w:r>
      <w:bookmarkStart w:id="57079" w:name="_ETM_Q103_707430"/>
      <w:bookmarkEnd w:id="57079"/>
      <w:r>
        <w:rPr>
          <w:rFonts w:hint="cs"/>
          <w:rtl/>
        </w:rPr>
        <w:t xml:space="preserve">עלול </w:t>
      </w:r>
      <w:bookmarkStart w:id="57080" w:name="_ETM_Q103_707790"/>
      <w:bookmarkEnd w:id="57080"/>
      <w:r>
        <w:rPr>
          <w:rFonts w:hint="cs"/>
          <w:rtl/>
        </w:rPr>
        <w:t xml:space="preserve">להתהפך </w:t>
      </w:r>
      <w:bookmarkStart w:id="57081" w:name="_ETM_Q103_708300"/>
      <w:bookmarkEnd w:id="57081"/>
      <w:r>
        <w:rPr>
          <w:rFonts w:hint="cs"/>
          <w:rtl/>
        </w:rPr>
        <w:t xml:space="preserve">עליכם. </w:t>
      </w:r>
      <w:bookmarkStart w:id="57082" w:name="_ETM_Q103_709260"/>
      <w:bookmarkEnd w:id="57082"/>
      <w:r>
        <w:rPr>
          <w:rFonts w:hint="cs"/>
          <w:rtl/>
        </w:rPr>
        <w:t xml:space="preserve">אולי </w:t>
      </w:r>
      <w:bookmarkStart w:id="57083" w:name="_ETM_Q103_709620"/>
      <w:bookmarkEnd w:id="57083"/>
      <w:r>
        <w:rPr>
          <w:rFonts w:hint="cs"/>
          <w:rtl/>
        </w:rPr>
        <w:t xml:space="preserve">זכיתם </w:t>
      </w:r>
      <w:bookmarkStart w:id="57084" w:name="_ETM_Q103_710400"/>
      <w:bookmarkEnd w:id="57084"/>
      <w:r>
        <w:rPr>
          <w:rFonts w:hint="cs"/>
          <w:rtl/>
        </w:rPr>
        <w:t xml:space="preserve">ברוב </w:t>
      </w:r>
      <w:bookmarkStart w:id="57085" w:name="_ETM_Q103_711300"/>
      <w:bookmarkEnd w:id="57085"/>
      <w:r>
        <w:rPr>
          <w:rFonts w:hint="cs"/>
          <w:rtl/>
        </w:rPr>
        <w:t xml:space="preserve">בבחירות, </w:t>
      </w:r>
      <w:bookmarkStart w:id="57086" w:name="_ETM_Q103_712230"/>
      <w:bookmarkEnd w:id="57086"/>
      <w:r>
        <w:rPr>
          <w:rFonts w:hint="cs"/>
          <w:rtl/>
        </w:rPr>
        <w:t xml:space="preserve">וגם </w:t>
      </w:r>
      <w:bookmarkStart w:id="57087" w:name="_ETM_Q103_712590"/>
      <w:bookmarkEnd w:id="57087"/>
      <w:r>
        <w:rPr>
          <w:rFonts w:hint="cs"/>
          <w:rtl/>
        </w:rPr>
        <w:t xml:space="preserve">אותו </w:t>
      </w:r>
      <w:bookmarkStart w:id="57088" w:name="_ETM_Q103_712830"/>
      <w:bookmarkEnd w:id="57088"/>
      <w:r>
        <w:rPr>
          <w:rFonts w:hint="cs"/>
          <w:rtl/>
        </w:rPr>
        <w:t xml:space="preserve">השגתם </w:t>
      </w:r>
      <w:bookmarkStart w:id="57089" w:name="_ETM_Q103_713309"/>
      <w:bookmarkEnd w:id="57089"/>
      <w:r>
        <w:rPr>
          <w:rFonts w:hint="cs"/>
          <w:rtl/>
        </w:rPr>
        <w:t xml:space="preserve">רק </w:t>
      </w:r>
      <w:bookmarkStart w:id="57090" w:name="_ETM_Q103_713520"/>
      <w:bookmarkEnd w:id="57090"/>
      <w:r>
        <w:rPr>
          <w:rFonts w:hint="cs"/>
          <w:rtl/>
        </w:rPr>
        <w:t xml:space="preserve">בגלל </w:t>
      </w:r>
      <w:bookmarkStart w:id="57091" w:name="_ETM_Q103_713910"/>
      <w:bookmarkEnd w:id="57091"/>
      <w:r>
        <w:rPr>
          <w:rFonts w:hint="cs"/>
          <w:rtl/>
        </w:rPr>
        <w:t xml:space="preserve">עיוות </w:t>
      </w:r>
      <w:bookmarkStart w:id="57092" w:name="_ETM_Q103_714330"/>
      <w:bookmarkEnd w:id="57092"/>
      <w:r>
        <w:rPr>
          <w:rFonts w:hint="cs"/>
          <w:rtl/>
        </w:rPr>
        <w:t xml:space="preserve">בשיטה, </w:t>
      </w:r>
      <w:bookmarkStart w:id="57093" w:name="_ETM_Q103_714809"/>
      <w:bookmarkEnd w:id="57093"/>
      <w:r>
        <w:rPr>
          <w:rFonts w:hint="cs"/>
          <w:rtl/>
        </w:rPr>
        <w:t xml:space="preserve">כי </w:t>
      </w:r>
      <w:bookmarkStart w:id="57094" w:name="_ETM_Q103_714960"/>
      <w:bookmarkEnd w:id="57094"/>
      <w:r>
        <w:rPr>
          <w:rFonts w:hint="cs"/>
          <w:rtl/>
        </w:rPr>
        <w:t xml:space="preserve">בפועל </w:t>
      </w:r>
      <w:bookmarkStart w:id="57095" w:name="_ETM_Q103_715350"/>
      <w:bookmarkEnd w:id="57095"/>
      <w:r>
        <w:rPr>
          <w:rFonts w:hint="cs"/>
          <w:rtl/>
        </w:rPr>
        <w:t xml:space="preserve">קיבלתם </w:t>
      </w:r>
      <w:bookmarkStart w:id="57096" w:name="_ETM_Q103_715890"/>
      <w:bookmarkEnd w:id="57096"/>
      <w:r>
        <w:rPr>
          <w:rFonts w:hint="cs"/>
          <w:rtl/>
        </w:rPr>
        <w:t xml:space="preserve">רק </w:t>
      </w:r>
      <w:bookmarkStart w:id="57097" w:name="_ETM_Q103_716100"/>
      <w:bookmarkEnd w:id="57097"/>
      <w:r>
        <w:rPr>
          <w:rFonts w:hint="cs"/>
          <w:rtl/>
        </w:rPr>
        <w:t xml:space="preserve">48% </w:t>
      </w:r>
      <w:bookmarkStart w:id="57098" w:name="_ETM_Q103_717330"/>
      <w:bookmarkEnd w:id="57098"/>
      <w:r>
        <w:rPr>
          <w:rFonts w:hint="cs"/>
          <w:rtl/>
        </w:rPr>
        <w:t xml:space="preserve">מהקולות </w:t>
      </w:r>
      <w:bookmarkStart w:id="57099" w:name="_ETM_Q103_717780"/>
      <w:bookmarkEnd w:id="57099"/>
      <w:r>
        <w:rPr>
          <w:rFonts w:hint="cs"/>
          <w:rtl/>
        </w:rPr>
        <w:t xml:space="preserve">הכשרים, </w:t>
      </w:r>
      <w:bookmarkStart w:id="57100" w:name="_ETM_Q103_719010"/>
      <w:bookmarkEnd w:id="57100"/>
      <w:r>
        <w:rPr>
          <w:rFonts w:hint="cs"/>
          <w:rtl/>
        </w:rPr>
        <w:t xml:space="preserve">אבל </w:t>
      </w:r>
      <w:bookmarkStart w:id="57101" w:name="_ETM_Q103_719309"/>
      <w:bookmarkEnd w:id="57101"/>
      <w:r>
        <w:rPr>
          <w:rFonts w:hint="cs"/>
          <w:rtl/>
        </w:rPr>
        <w:t xml:space="preserve">גם </w:t>
      </w:r>
      <w:bookmarkStart w:id="57102" w:name="_ETM_Q103_719519"/>
      <w:bookmarkEnd w:id="57102"/>
      <w:r>
        <w:rPr>
          <w:rFonts w:hint="cs"/>
          <w:rtl/>
        </w:rPr>
        <w:t xml:space="preserve">את </w:t>
      </w:r>
      <w:bookmarkStart w:id="57103" w:name="_ETM_Q103_719640"/>
      <w:bookmarkEnd w:id="57103"/>
      <w:r>
        <w:rPr>
          <w:rFonts w:hint="cs"/>
          <w:rtl/>
        </w:rPr>
        <w:t xml:space="preserve">הרוב </w:t>
      </w:r>
      <w:bookmarkStart w:id="57104" w:name="_ETM_Q103_719879"/>
      <w:bookmarkEnd w:id="57104"/>
      <w:r>
        <w:rPr>
          <w:rFonts w:hint="cs"/>
          <w:rtl/>
        </w:rPr>
        <w:t xml:space="preserve">הזה </w:t>
      </w:r>
      <w:bookmarkStart w:id="57105" w:name="_ETM_Q103_720090"/>
      <w:bookmarkEnd w:id="57105"/>
      <w:r>
        <w:rPr>
          <w:rFonts w:hint="cs"/>
          <w:rtl/>
        </w:rPr>
        <w:t xml:space="preserve">איבדתם; </w:t>
      </w:r>
      <w:bookmarkStart w:id="57106" w:name="_ETM_Q103_720959"/>
      <w:bookmarkEnd w:id="57106"/>
      <w:r>
        <w:rPr>
          <w:rFonts w:hint="cs"/>
          <w:rtl/>
        </w:rPr>
        <w:t xml:space="preserve">לקחתם </w:t>
      </w:r>
      <w:bookmarkStart w:id="57107" w:name="_ETM_Q103_721650"/>
      <w:bookmarkEnd w:id="57107"/>
      <w:r>
        <w:rPr>
          <w:rFonts w:hint="cs"/>
          <w:rtl/>
        </w:rPr>
        <w:t xml:space="preserve">פנייה </w:t>
      </w:r>
      <w:bookmarkStart w:id="57108" w:name="_ETM_Q103_722069"/>
      <w:bookmarkEnd w:id="57108"/>
      <w:r>
        <w:rPr>
          <w:rFonts w:hint="cs"/>
          <w:rtl/>
        </w:rPr>
        <w:t xml:space="preserve">חדה </w:t>
      </w:r>
      <w:bookmarkStart w:id="57109" w:name="_ETM_Q103_722429"/>
      <w:bookmarkEnd w:id="57109"/>
      <w:r>
        <w:rPr>
          <w:rFonts w:hint="cs"/>
          <w:rtl/>
        </w:rPr>
        <w:t xml:space="preserve">מדי </w:t>
      </w:r>
      <w:bookmarkStart w:id="57110" w:name="_ETM_Q103_722819"/>
      <w:bookmarkEnd w:id="57110"/>
      <w:r>
        <w:rPr>
          <w:rFonts w:hint="cs"/>
          <w:rtl/>
        </w:rPr>
        <w:t>לקיצון</w:t>
      </w:r>
      <w:bookmarkStart w:id="57111" w:name="_ETM_Q103_723159"/>
      <w:bookmarkEnd w:id="57111"/>
      <w:r>
        <w:rPr>
          <w:rFonts w:hint="cs"/>
          <w:rtl/>
        </w:rPr>
        <w:t xml:space="preserve"> </w:t>
      </w:r>
      <w:bookmarkStart w:id="57112" w:name="_ETM_Q103_723700"/>
      <w:bookmarkEnd w:id="57112"/>
      <w:r>
        <w:rPr>
          <w:rFonts w:hint="cs"/>
          <w:rtl/>
        </w:rPr>
        <w:t xml:space="preserve">והתחלתם </w:t>
      </w:r>
      <w:bookmarkStart w:id="57113" w:name="_ETM_Q103_724420"/>
      <w:bookmarkEnd w:id="57113"/>
      <w:r>
        <w:rPr>
          <w:rFonts w:hint="cs"/>
          <w:rtl/>
        </w:rPr>
        <w:t xml:space="preserve">לעסוק </w:t>
      </w:r>
      <w:bookmarkStart w:id="57114" w:name="_ETM_Q103_724870"/>
      <w:bookmarkEnd w:id="57114"/>
      <w:r>
        <w:rPr>
          <w:rFonts w:hint="cs"/>
          <w:rtl/>
        </w:rPr>
        <w:t xml:space="preserve">בהכשרת </w:t>
      </w:r>
      <w:bookmarkStart w:id="57115" w:name="_ETM_Q103_725590"/>
      <w:bookmarkEnd w:id="57115"/>
      <w:r>
        <w:rPr>
          <w:rFonts w:hint="cs"/>
          <w:rtl/>
        </w:rPr>
        <w:t xml:space="preserve">השחיתות </w:t>
      </w:r>
      <w:bookmarkStart w:id="57116" w:name="_ETM_Q103_726160"/>
      <w:bookmarkEnd w:id="57116"/>
      <w:r>
        <w:rPr>
          <w:rFonts w:hint="cs"/>
          <w:rtl/>
        </w:rPr>
        <w:t xml:space="preserve">והאלימות. </w:t>
      </w:r>
      <w:bookmarkStart w:id="57117" w:name="_ETM_Q103_727270"/>
      <w:bookmarkEnd w:id="57117"/>
      <w:r>
        <w:rPr>
          <w:rFonts w:hint="cs"/>
          <w:rtl/>
        </w:rPr>
        <w:t xml:space="preserve">כל </w:t>
      </w:r>
      <w:bookmarkStart w:id="57118" w:name="_ETM_Q103_727690"/>
      <w:bookmarkEnd w:id="57118"/>
      <w:r>
        <w:rPr>
          <w:rFonts w:hint="cs"/>
          <w:rtl/>
        </w:rPr>
        <w:t xml:space="preserve">אלה </w:t>
      </w:r>
      <w:bookmarkStart w:id="57119" w:name="_ETM_Q103_727900"/>
      <w:bookmarkEnd w:id="57119"/>
      <w:r>
        <w:rPr>
          <w:rFonts w:hint="cs"/>
          <w:rtl/>
        </w:rPr>
        <w:t xml:space="preserve">יעברו </w:t>
      </w:r>
      <w:bookmarkStart w:id="57120" w:name="_ETM_Q103_728350"/>
      <w:bookmarkEnd w:id="57120"/>
      <w:r>
        <w:rPr>
          <w:rFonts w:hint="cs"/>
          <w:rtl/>
        </w:rPr>
        <w:t xml:space="preserve">דרך </w:t>
      </w:r>
      <w:bookmarkStart w:id="57121" w:name="_ETM_Q103_728679"/>
      <w:bookmarkEnd w:id="57121"/>
      <w:r>
        <w:rPr>
          <w:rFonts w:hint="cs"/>
          <w:rtl/>
        </w:rPr>
        <w:t xml:space="preserve">ביטול </w:t>
      </w:r>
      <w:bookmarkStart w:id="57122" w:name="_ETM_Q103_729280"/>
      <w:bookmarkEnd w:id="57122"/>
      <w:r>
        <w:rPr>
          <w:rFonts w:hint="cs"/>
          <w:rtl/>
        </w:rPr>
        <w:t xml:space="preserve">עילת </w:t>
      </w:r>
      <w:bookmarkStart w:id="57123" w:name="_ETM_Q103_729640"/>
      <w:bookmarkEnd w:id="57123"/>
      <w:r>
        <w:rPr>
          <w:rFonts w:hint="cs"/>
          <w:rtl/>
        </w:rPr>
        <w:t xml:space="preserve">הסבירות </w:t>
      </w:r>
      <w:bookmarkStart w:id="57124" w:name="_ETM_Q103_730300"/>
      <w:bookmarkEnd w:id="57124"/>
      <w:r>
        <w:rPr>
          <w:rFonts w:hint="cs"/>
          <w:rtl/>
        </w:rPr>
        <w:t xml:space="preserve">והמלחמה </w:t>
      </w:r>
      <w:bookmarkStart w:id="57125" w:name="_ETM_Q103_731020"/>
      <w:bookmarkEnd w:id="57125"/>
      <w:r>
        <w:rPr>
          <w:rFonts w:hint="cs"/>
          <w:rtl/>
        </w:rPr>
        <w:t xml:space="preserve">נגד </w:t>
      </w:r>
      <w:bookmarkStart w:id="57126" w:name="_ETM_Q103_731320"/>
      <w:bookmarkEnd w:id="57126"/>
      <w:r>
        <w:rPr>
          <w:rFonts w:hint="cs"/>
          <w:rtl/>
        </w:rPr>
        <w:t xml:space="preserve">מערכת </w:t>
      </w:r>
      <w:bookmarkStart w:id="57127" w:name="_ETM_Q103_731770"/>
      <w:bookmarkEnd w:id="57127"/>
      <w:r>
        <w:rPr>
          <w:rFonts w:hint="cs"/>
          <w:rtl/>
        </w:rPr>
        <w:t xml:space="preserve">המשפט. </w:t>
      </w:r>
      <w:bookmarkStart w:id="57128" w:name="_ETM_Q103_733099"/>
      <w:bookmarkEnd w:id="57128"/>
      <w:r>
        <w:rPr>
          <w:rFonts w:hint="cs"/>
          <w:rtl/>
        </w:rPr>
        <w:t xml:space="preserve">חברי </w:t>
      </w:r>
      <w:bookmarkStart w:id="57129" w:name="_ETM_Q103_733549"/>
      <w:bookmarkEnd w:id="57129"/>
      <w:r>
        <w:rPr>
          <w:rFonts w:hint="cs"/>
          <w:rtl/>
        </w:rPr>
        <w:t xml:space="preserve">ממשלה </w:t>
      </w:r>
      <w:bookmarkStart w:id="57130" w:name="_ETM_Q103_734239"/>
      <w:bookmarkEnd w:id="57130"/>
      <w:r>
        <w:rPr>
          <w:rFonts w:hint="cs"/>
          <w:rtl/>
        </w:rPr>
        <w:t xml:space="preserve">ששקועים </w:t>
      </w:r>
      <w:bookmarkStart w:id="57131" w:name="_ETM_Q103_734929"/>
      <w:bookmarkEnd w:id="57131"/>
      <w:r>
        <w:rPr>
          <w:rFonts w:hint="cs"/>
          <w:rtl/>
        </w:rPr>
        <w:t xml:space="preserve">עד </w:t>
      </w:r>
      <w:bookmarkStart w:id="57132" w:name="_ETM_Q103_735109"/>
      <w:bookmarkEnd w:id="57132"/>
      <w:r>
        <w:rPr>
          <w:rFonts w:hint="cs"/>
          <w:rtl/>
        </w:rPr>
        <w:t xml:space="preserve">צוואר </w:t>
      </w:r>
      <w:bookmarkStart w:id="57133" w:name="_ETM_Q103_736259"/>
      <w:bookmarkEnd w:id="57133"/>
      <w:r>
        <w:rPr>
          <w:rFonts w:hint="cs"/>
          <w:rtl/>
        </w:rPr>
        <w:t xml:space="preserve">בשחיתות </w:t>
      </w:r>
      <w:bookmarkStart w:id="57134" w:name="_ETM_Q103_737319"/>
      <w:bookmarkEnd w:id="57134"/>
      <w:r>
        <w:rPr>
          <w:rFonts w:hint="cs"/>
          <w:rtl/>
        </w:rPr>
        <w:t xml:space="preserve">ובניסיונות </w:t>
      </w:r>
      <w:bookmarkStart w:id="57135" w:name="_ETM_Q103_738309"/>
      <w:bookmarkEnd w:id="57135"/>
      <w:r>
        <w:rPr>
          <w:rFonts w:hint="cs"/>
          <w:rtl/>
        </w:rPr>
        <w:t xml:space="preserve">להפוך </w:t>
      </w:r>
      <w:bookmarkStart w:id="57136" w:name="_ETM_Q103_738759"/>
      <w:bookmarkEnd w:id="57136"/>
      <w:r>
        <w:rPr>
          <w:rFonts w:hint="cs"/>
          <w:rtl/>
        </w:rPr>
        <w:t xml:space="preserve">אותנו </w:t>
      </w:r>
      <w:bookmarkStart w:id="57137" w:name="_ETM_Q103_739270"/>
      <w:bookmarkEnd w:id="57137"/>
      <w:r>
        <w:rPr>
          <w:rFonts w:hint="cs"/>
          <w:rtl/>
        </w:rPr>
        <w:t xml:space="preserve">לדיקטטורה </w:t>
      </w:r>
      <w:bookmarkStart w:id="57138" w:name="_ETM_Q103_740570"/>
      <w:bookmarkEnd w:id="57138"/>
      <w:r>
        <w:rPr>
          <w:rFonts w:hint="cs"/>
          <w:rtl/>
        </w:rPr>
        <w:t xml:space="preserve">איבדו </w:t>
      </w:r>
      <w:bookmarkStart w:id="57139" w:name="_ETM_Q103_741140"/>
      <w:bookmarkEnd w:id="57139"/>
      <w:r>
        <w:rPr>
          <w:rFonts w:hint="cs"/>
          <w:rtl/>
        </w:rPr>
        <w:t xml:space="preserve">את </w:t>
      </w:r>
      <w:bookmarkStart w:id="57140" w:name="_ETM_Q103_741350"/>
      <w:bookmarkEnd w:id="57140"/>
      <w:r>
        <w:rPr>
          <w:rFonts w:hint="cs"/>
          <w:rtl/>
        </w:rPr>
        <w:t xml:space="preserve">הלגיטימציה </w:t>
      </w:r>
      <w:bookmarkStart w:id="57141" w:name="_ETM_Q103_742190"/>
      <w:bookmarkEnd w:id="57141"/>
      <w:r>
        <w:rPr>
          <w:rFonts w:hint="cs"/>
          <w:rtl/>
        </w:rPr>
        <w:t xml:space="preserve">למשול, </w:t>
      </w:r>
      <w:bookmarkStart w:id="57142" w:name="_ETM_Q103_743090"/>
      <w:bookmarkEnd w:id="57142"/>
      <w:r>
        <w:rPr>
          <w:rFonts w:hint="cs"/>
          <w:rtl/>
        </w:rPr>
        <w:t xml:space="preserve">כי </w:t>
      </w:r>
      <w:bookmarkStart w:id="57143" w:name="_ETM_Q103_743270"/>
      <w:bookmarkEnd w:id="57143"/>
      <w:r>
        <w:rPr>
          <w:rFonts w:hint="cs"/>
          <w:rtl/>
        </w:rPr>
        <w:t xml:space="preserve">קיים </w:t>
      </w:r>
      <w:bookmarkStart w:id="57144" w:name="_ETM_Q103_743690"/>
      <w:bookmarkEnd w:id="57144"/>
      <w:r>
        <w:rPr>
          <w:rFonts w:hint="cs"/>
          <w:rtl/>
        </w:rPr>
        <w:t xml:space="preserve">חשש </w:t>
      </w:r>
      <w:bookmarkStart w:id="57145" w:name="_ETM_Q103_744110"/>
      <w:bookmarkEnd w:id="57145"/>
      <w:r>
        <w:rPr>
          <w:rFonts w:hint="cs"/>
          <w:rtl/>
        </w:rPr>
        <w:t xml:space="preserve">מהותי </w:t>
      </w:r>
      <w:bookmarkStart w:id="57146" w:name="_ETM_Q103_744650"/>
      <w:bookmarkEnd w:id="57146"/>
      <w:r>
        <w:rPr>
          <w:rFonts w:hint="cs"/>
          <w:rtl/>
        </w:rPr>
        <w:t xml:space="preserve">שתעשו </w:t>
      </w:r>
      <w:bookmarkStart w:id="57147" w:name="_ETM_Q103_745190"/>
      <w:bookmarkEnd w:id="57147"/>
      <w:r>
        <w:rPr>
          <w:rFonts w:hint="cs"/>
          <w:rtl/>
        </w:rPr>
        <w:t xml:space="preserve">שימוש </w:t>
      </w:r>
      <w:bookmarkStart w:id="57148" w:name="_ETM_Q103_745700"/>
      <w:bookmarkEnd w:id="57148"/>
      <w:r>
        <w:rPr>
          <w:rFonts w:hint="cs"/>
          <w:rtl/>
        </w:rPr>
        <w:t xml:space="preserve">בעמדת </w:t>
      </w:r>
      <w:bookmarkStart w:id="57149" w:name="_ETM_Q103_746150"/>
      <w:bookmarkEnd w:id="57149"/>
      <w:r>
        <w:rPr>
          <w:rFonts w:hint="cs"/>
          <w:rtl/>
        </w:rPr>
        <w:t xml:space="preserve">הכוח </w:t>
      </w:r>
      <w:bookmarkStart w:id="57150" w:name="_ETM_Q103_746480"/>
      <w:bookmarkEnd w:id="57150"/>
      <w:r>
        <w:rPr>
          <w:rFonts w:hint="cs"/>
          <w:rtl/>
        </w:rPr>
        <w:t xml:space="preserve">שלכם </w:t>
      </w:r>
      <w:bookmarkStart w:id="57151" w:name="_ETM_Q103_746990"/>
      <w:bookmarkEnd w:id="57151"/>
      <w:r>
        <w:rPr>
          <w:rFonts w:hint="cs"/>
          <w:rtl/>
        </w:rPr>
        <w:t xml:space="preserve">לטובתכם, </w:t>
      </w:r>
      <w:bookmarkStart w:id="57152" w:name="_ETM_Q103_748110"/>
      <w:bookmarkEnd w:id="57152"/>
      <w:r>
        <w:rPr>
          <w:rFonts w:hint="cs"/>
          <w:rtl/>
        </w:rPr>
        <w:t xml:space="preserve">גם </w:t>
      </w:r>
      <w:bookmarkStart w:id="57153" w:name="_ETM_Q103_748440"/>
      <w:bookmarkEnd w:id="57153"/>
      <w:r>
        <w:rPr>
          <w:rFonts w:hint="cs"/>
          <w:rtl/>
        </w:rPr>
        <w:t xml:space="preserve">אם </w:t>
      </w:r>
      <w:bookmarkStart w:id="57154" w:name="_ETM_Q103_748559"/>
      <w:bookmarkEnd w:id="57154"/>
      <w:r>
        <w:rPr>
          <w:rFonts w:hint="cs"/>
          <w:rtl/>
        </w:rPr>
        <w:t xml:space="preserve">זה </w:t>
      </w:r>
      <w:bookmarkStart w:id="57155" w:name="_ETM_Q103_748679"/>
      <w:bookmarkEnd w:id="57155"/>
      <w:r>
        <w:rPr>
          <w:rFonts w:hint="cs"/>
          <w:rtl/>
        </w:rPr>
        <w:t xml:space="preserve">על </w:t>
      </w:r>
      <w:bookmarkStart w:id="57156" w:name="_ETM_Q103_748770"/>
      <w:bookmarkEnd w:id="57156"/>
      <w:r>
        <w:rPr>
          <w:rFonts w:hint="cs"/>
          <w:rtl/>
        </w:rPr>
        <w:t xml:space="preserve">חשבון </w:t>
      </w:r>
      <w:bookmarkStart w:id="57157" w:name="_ETM_Q103_749370"/>
      <w:bookmarkEnd w:id="57157"/>
      <w:r>
        <w:rPr>
          <w:rFonts w:hint="cs"/>
          <w:rtl/>
        </w:rPr>
        <w:t xml:space="preserve">המדינה </w:t>
      </w:r>
      <w:bookmarkStart w:id="57158" w:name="_ETM_Q103_749940"/>
      <w:bookmarkEnd w:id="57158"/>
      <w:r>
        <w:rPr>
          <w:rFonts w:hint="cs"/>
          <w:rtl/>
        </w:rPr>
        <w:t xml:space="preserve">ואזרחיה. </w:t>
      </w:r>
      <w:bookmarkStart w:id="57159" w:name="_ETM_Q103_752059"/>
      <w:bookmarkEnd w:id="57159"/>
    </w:p>
    <w:p w:rsidR="00BB59CD" w:rsidRDefault="00BB59CD" w:rsidP="00BB59CD">
      <w:pPr>
        <w:rPr>
          <w:rtl/>
        </w:rPr>
      </w:pPr>
      <w:bookmarkStart w:id="57160" w:name="_ETM_Q103_751389"/>
      <w:bookmarkStart w:id="57161" w:name="_ETM_Q103_751482"/>
      <w:bookmarkEnd w:id="57160"/>
      <w:bookmarkEnd w:id="57161"/>
    </w:p>
    <w:p w:rsidR="00BB59CD" w:rsidRDefault="00BB59CD" w:rsidP="00BB59CD">
      <w:pPr>
        <w:rPr>
          <w:rtl/>
        </w:rPr>
      </w:pPr>
      <w:bookmarkStart w:id="57162" w:name="_ETM_Q103_751557"/>
      <w:bookmarkStart w:id="57163" w:name="_ETM_Q103_751681"/>
      <w:bookmarkEnd w:id="57162"/>
      <w:bookmarkEnd w:id="57163"/>
      <w:r>
        <w:rPr>
          <w:rFonts w:hint="cs"/>
          <w:rtl/>
        </w:rPr>
        <w:t xml:space="preserve">אדוני </w:t>
      </w:r>
      <w:bookmarkStart w:id="57164" w:name="_ETM_Q103_752419"/>
      <w:bookmarkEnd w:id="57164"/>
      <w:r>
        <w:rPr>
          <w:rFonts w:hint="cs"/>
          <w:rtl/>
        </w:rPr>
        <w:t xml:space="preserve">היושב </w:t>
      </w:r>
      <w:bookmarkStart w:id="57165" w:name="_ETM_Q103_752809"/>
      <w:bookmarkEnd w:id="57165"/>
      <w:r>
        <w:rPr>
          <w:rFonts w:hint="cs"/>
          <w:rtl/>
        </w:rPr>
        <w:t xml:space="preserve">בראש, </w:t>
      </w:r>
      <w:bookmarkStart w:id="57166" w:name="_ETM_Q103_753740"/>
      <w:bookmarkEnd w:id="57166"/>
      <w:r>
        <w:rPr>
          <w:rFonts w:hint="cs"/>
          <w:rtl/>
        </w:rPr>
        <w:t xml:space="preserve">חבריי </w:t>
      </w:r>
      <w:bookmarkStart w:id="57167" w:name="_ETM_Q103_754190"/>
      <w:bookmarkEnd w:id="57167"/>
      <w:r>
        <w:rPr>
          <w:rFonts w:hint="cs"/>
          <w:rtl/>
        </w:rPr>
        <w:t xml:space="preserve">חברי </w:t>
      </w:r>
      <w:bookmarkStart w:id="57168" w:name="_ETM_Q103_754490"/>
      <w:bookmarkEnd w:id="57168"/>
      <w:r>
        <w:rPr>
          <w:rFonts w:hint="cs"/>
          <w:rtl/>
        </w:rPr>
        <w:t xml:space="preserve">הכנסת, </w:t>
      </w:r>
      <w:bookmarkStart w:id="57169" w:name="_ETM_Q103_755460"/>
      <w:bookmarkEnd w:id="57169"/>
      <w:r>
        <w:rPr>
          <w:rFonts w:hint="cs"/>
          <w:rtl/>
        </w:rPr>
        <w:t xml:space="preserve">מדינת </w:t>
      </w:r>
      <w:bookmarkStart w:id="57170" w:name="_ETM_Q103_755910"/>
      <w:bookmarkEnd w:id="57170"/>
      <w:r>
        <w:rPr>
          <w:rFonts w:hint="cs"/>
          <w:rtl/>
        </w:rPr>
        <w:t xml:space="preserve">ישראל </w:t>
      </w:r>
      <w:bookmarkStart w:id="57171" w:name="_ETM_Q103_756720"/>
      <w:bookmarkEnd w:id="57171"/>
      <w:r>
        <w:rPr>
          <w:rFonts w:hint="cs"/>
          <w:rtl/>
        </w:rPr>
        <w:t xml:space="preserve">היא </w:t>
      </w:r>
      <w:bookmarkStart w:id="57172" w:name="_ETM_Q103_756900"/>
      <w:bookmarkEnd w:id="57172"/>
      <w:r>
        <w:rPr>
          <w:rFonts w:hint="cs"/>
          <w:rtl/>
        </w:rPr>
        <w:t xml:space="preserve">נס </w:t>
      </w:r>
      <w:bookmarkStart w:id="57173" w:name="_ETM_Q103_757470"/>
      <w:bookmarkEnd w:id="57173"/>
      <w:r>
        <w:rPr>
          <w:rFonts w:hint="cs"/>
          <w:rtl/>
        </w:rPr>
        <w:t xml:space="preserve">גלוי </w:t>
      </w:r>
      <w:r>
        <w:t>–</w:t>
      </w:r>
      <w:r>
        <w:rPr>
          <w:rFonts w:hint="cs"/>
          <w:rtl/>
        </w:rPr>
        <w:t xml:space="preserve"> </w:t>
      </w:r>
      <w:bookmarkStart w:id="57174" w:name="_ETM_Q103_758750"/>
      <w:bookmarkEnd w:id="57174"/>
      <w:r>
        <w:rPr>
          <w:rFonts w:hint="cs"/>
          <w:rtl/>
        </w:rPr>
        <w:t xml:space="preserve">ואני </w:t>
      </w:r>
      <w:bookmarkStart w:id="57175" w:name="_ETM_Q103_759050"/>
      <w:bookmarkEnd w:id="57175"/>
      <w:r>
        <w:rPr>
          <w:rFonts w:hint="cs"/>
          <w:rtl/>
        </w:rPr>
        <w:t xml:space="preserve">אומרת </w:t>
      </w:r>
      <w:bookmarkStart w:id="57176" w:name="_ETM_Q103_759380"/>
      <w:bookmarkEnd w:id="57176"/>
      <w:r>
        <w:rPr>
          <w:rFonts w:hint="cs"/>
          <w:rtl/>
        </w:rPr>
        <w:t xml:space="preserve">את </w:t>
      </w:r>
      <w:bookmarkStart w:id="57177" w:name="_ETM_Q103_759470"/>
      <w:bookmarkEnd w:id="57177"/>
      <w:r>
        <w:rPr>
          <w:rFonts w:hint="cs"/>
          <w:rtl/>
        </w:rPr>
        <w:t xml:space="preserve">זה </w:t>
      </w:r>
      <w:bookmarkStart w:id="57178" w:name="_ETM_Q103_759679"/>
      <w:bookmarkEnd w:id="57178"/>
      <w:r>
        <w:rPr>
          <w:rFonts w:hint="cs"/>
          <w:rtl/>
        </w:rPr>
        <w:t xml:space="preserve">בתור </w:t>
      </w:r>
      <w:bookmarkStart w:id="57179" w:name="_ETM_Q103_759980"/>
      <w:bookmarkEnd w:id="57179"/>
      <w:r>
        <w:rPr>
          <w:rFonts w:hint="cs"/>
          <w:rtl/>
        </w:rPr>
        <w:t xml:space="preserve">מי </w:t>
      </w:r>
      <w:bookmarkStart w:id="57180" w:name="_ETM_Q103_760130"/>
      <w:bookmarkEnd w:id="57180"/>
      <w:r>
        <w:rPr>
          <w:rFonts w:hint="cs"/>
          <w:rtl/>
        </w:rPr>
        <w:t xml:space="preserve">שפחות </w:t>
      </w:r>
      <w:bookmarkStart w:id="57181" w:name="_ETM_Q103_761030"/>
      <w:bookmarkEnd w:id="57181"/>
      <w:r>
        <w:rPr>
          <w:rFonts w:hint="cs"/>
          <w:rtl/>
        </w:rPr>
        <w:t xml:space="preserve">מאמינה </w:t>
      </w:r>
      <w:bookmarkStart w:id="57182" w:name="_ETM_Q103_761450"/>
      <w:bookmarkEnd w:id="57182"/>
      <w:r>
        <w:rPr>
          <w:rFonts w:hint="cs"/>
          <w:rtl/>
        </w:rPr>
        <w:t xml:space="preserve">בניסים </w:t>
      </w:r>
      <w:bookmarkStart w:id="57183" w:name="_ETM_Q103_761960"/>
      <w:bookmarkEnd w:id="57183"/>
      <w:r>
        <w:rPr>
          <w:rFonts w:hint="cs"/>
          <w:rtl/>
        </w:rPr>
        <w:t xml:space="preserve">ביום-יום </w:t>
      </w:r>
      <w:bookmarkStart w:id="57184" w:name="_ETM_Q103_762470"/>
      <w:bookmarkEnd w:id="57184"/>
      <w:r>
        <w:rPr>
          <w:rFonts w:hint="cs"/>
          <w:rtl/>
        </w:rPr>
        <w:t xml:space="preserve">שלי </w:t>
      </w:r>
      <w:r>
        <w:t>–</w:t>
      </w:r>
      <w:r>
        <w:rPr>
          <w:rFonts w:hint="cs"/>
          <w:rtl/>
        </w:rPr>
        <w:t xml:space="preserve"> </w:t>
      </w:r>
      <w:bookmarkStart w:id="57185" w:name="_ETM_Q103_763520"/>
      <w:bookmarkEnd w:id="57185"/>
      <w:r>
        <w:rPr>
          <w:rFonts w:hint="cs"/>
          <w:rtl/>
        </w:rPr>
        <w:t xml:space="preserve">ואתם </w:t>
      </w:r>
      <w:bookmarkStart w:id="57186" w:name="_ETM_Q103_764059"/>
      <w:bookmarkEnd w:id="57186"/>
      <w:r>
        <w:rPr>
          <w:rFonts w:hint="cs"/>
          <w:rtl/>
        </w:rPr>
        <w:t xml:space="preserve">בממשלה </w:t>
      </w:r>
      <w:bookmarkStart w:id="57187" w:name="_ETM_Q103_764719"/>
      <w:bookmarkEnd w:id="57187"/>
      <w:r>
        <w:rPr>
          <w:rFonts w:hint="cs"/>
          <w:rtl/>
        </w:rPr>
        <w:t xml:space="preserve">ובקואליציה </w:t>
      </w:r>
      <w:bookmarkStart w:id="57188" w:name="_ETM_Q103_765499"/>
      <w:bookmarkEnd w:id="57188"/>
      <w:r>
        <w:rPr>
          <w:rFonts w:hint="cs"/>
          <w:rtl/>
        </w:rPr>
        <w:t xml:space="preserve">מתכוונים </w:t>
      </w:r>
      <w:bookmarkStart w:id="57189" w:name="_ETM_Q103_766069"/>
      <w:bookmarkEnd w:id="57189"/>
      <w:r>
        <w:rPr>
          <w:rFonts w:hint="cs"/>
          <w:rtl/>
        </w:rPr>
        <w:t xml:space="preserve">להרוס </w:t>
      </w:r>
      <w:bookmarkStart w:id="57190" w:name="_ETM_Q103_766939"/>
      <w:bookmarkEnd w:id="57190"/>
      <w:r>
        <w:rPr>
          <w:rFonts w:hint="cs"/>
          <w:rtl/>
        </w:rPr>
        <w:t xml:space="preserve">את </w:t>
      </w:r>
      <w:bookmarkStart w:id="57191" w:name="_ETM_Q103_767150"/>
      <w:bookmarkEnd w:id="57191"/>
      <w:r>
        <w:rPr>
          <w:rFonts w:hint="cs"/>
          <w:rtl/>
        </w:rPr>
        <w:t xml:space="preserve">הנס </w:t>
      </w:r>
      <w:bookmarkStart w:id="57192" w:name="_ETM_Q103_767599"/>
      <w:bookmarkEnd w:id="57192"/>
      <w:r>
        <w:rPr>
          <w:rFonts w:hint="cs"/>
          <w:rtl/>
        </w:rPr>
        <w:t xml:space="preserve">המדהים </w:t>
      </w:r>
      <w:bookmarkStart w:id="57193" w:name="_ETM_Q103_768970"/>
      <w:bookmarkEnd w:id="57193"/>
      <w:r>
        <w:rPr>
          <w:rFonts w:hint="cs"/>
          <w:rtl/>
        </w:rPr>
        <w:t>הזה.</w:t>
      </w:r>
      <w:bookmarkStart w:id="57194" w:name="_ETM_Q103_765922"/>
      <w:bookmarkStart w:id="57195" w:name="_ETM_Q103_766058"/>
      <w:bookmarkStart w:id="57196" w:name="_ETM_Q103_766085"/>
      <w:bookmarkStart w:id="57197" w:name="_ETM_Q103_766193"/>
      <w:bookmarkStart w:id="57198" w:name="TOR_Q104"/>
      <w:bookmarkEnd w:id="57194"/>
      <w:bookmarkEnd w:id="57195"/>
      <w:bookmarkEnd w:id="57196"/>
      <w:bookmarkEnd w:id="57197"/>
      <w:bookmarkEnd w:id="57198"/>
      <w:r>
        <w:rPr>
          <w:rFonts w:hint="cs"/>
          <w:rtl/>
        </w:rPr>
        <w:t xml:space="preserve"> אבל אני רוצה לסיים במסר של תקווה, שהפך להמנון של הציבור בחודשים האחרונים, שאתם כנראה לא שמעתם </w:t>
      </w:r>
      <w:bookmarkStart w:id="57199" w:name="_ETM_Q104_176931"/>
      <w:bookmarkEnd w:id="57199"/>
      <w:r>
        <w:rPr>
          <w:rFonts w:hint="cs"/>
          <w:rtl/>
        </w:rPr>
        <w:t xml:space="preserve">בגלל האטימות שלכם. אדוני ראש הממשלה, חברי הממשלה </w:t>
      </w:r>
      <w:bookmarkStart w:id="57200" w:name="_ETM_Q104_180539"/>
      <w:bookmarkEnd w:id="57200"/>
      <w:r>
        <w:rPr>
          <w:rFonts w:hint="cs"/>
          <w:rtl/>
        </w:rPr>
        <w:t xml:space="preserve">וחברי </w:t>
      </w:r>
      <w:bookmarkStart w:id="57201" w:name="_ETM_Q104_180989"/>
      <w:bookmarkEnd w:id="57201"/>
      <w:r>
        <w:rPr>
          <w:rFonts w:hint="cs"/>
          <w:rtl/>
        </w:rPr>
        <w:t xml:space="preserve">הכנסת </w:t>
      </w:r>
      <w:bookmarkStart w:id="57202" w:name="_ETM_Q104_181410"/>
      <w:bookmarkEnd w:id="57202"/>
      <w:r>
        <w:rPr>
          <w:rFonts w:hint="cs"/>
          <w:rtl/>
        </w:rPr>
        <w:t xml:space="preserve">בקואליציה, </w:t>
      </w:r>
      <w:bookmarkStart w:id="57203" w:name="_ETM_Q104_182610"/>
      <w:bookmarkEnd w:id="57203"/>
      <w:r>
        <w:rPr>
          <w:rFonts w:hint="cs"/>
          <w:rtl/>
        </w:rPr>
        <w:t xml:space="preserve">נפלתם </w:t>
      </w:r>
      <w:bookmarkStart w:id="57204" w:name="_ETM_Q104_183449"/>
      <w:bookmarkEnd w:id="57204"/>
      <w:r>
        <w:rPr>
          <w:rFonts w:hint="cs"/>
          <w:rtl/>
        </w:rPr>
        <w:t xml:space="preserve">על </w:t>
      </w:r>
      <w:bookmarkStart w:id="57205" w:name="_ETM_Q104_183659"/>
      <w:bookmarkEnd w:id="57205"/>
      <w:r>
        <w:rPr>
          <w:rFonts w:hint="cs"/>
          <w:rtl/>
        </w:rPr>
        <w:t xml:space="preserve">הדור </w:t>
      </w:r>
      <w:bookmarkStart w:id="57206" w:name="_ETM_Q104_184290"/>
      <w:bookmarkEnd w:id="57206"/>
      <w:r>
        <w:rPr>
          <w:rFonts w:hint="cs"/>
          <w:rtl/>
        </w:rPr>
        <w:t>הלא</w:t>
      </w:r>
      <w:bookmarkStart w:id="57207" w:name="_ETM_Q104_184589"/>
      <w:bookmarkEnd w:id="57207"/>
      <w:r>
        <w:rPr>
          <w:rFonts w:hint="cs"/>
          <w:rtl/>
        </w:rPr>
        <w:t xml:space="preserve">-נכון. </w:t>
      </w:r>
      <w:bookmarkStart w:id="57208" w:name="_ETM_Q104_185580"/>
      <w:bookmarkEnd w:id="57208"/>
      <w:r>
        <w:rPr>
          <w:rFonts w:hint="cs"/>
          <w:rtl/>
        </w:rPr>
        <w:t xml:space="preserve">ויותר </w:t>
      </w:r>
      <w:bookmarkStart w:id="57209" w:name="_ETM_Q104_186000"/>
      <w:bookmarkEnd w:id="57209"/>
      <w:r>
        <w:rPr>
          <w:rFonts w:hint="cs"/>
          <w:rtl/>
        </w:rPr>
        <w:t xml:space="preserve">מכך, </w:t>
      </w:r>
      <w:bookmarkStart w:id="57210" w:name="_ETM_Q104_186509"/>
      <w:bookmarkEnd w:id="57210"/>
      <w:r>
        <w:rPr>
          <w:rFonts w:hint="cs"/>
          <w:rtl/>
        </w:rPr>
        <w:t xml:space="preserve">נפלתם </w:t>
      </w:r>
      <w:bookmarkStart w:id="57211" w:name="_ETM_Q104_187290"/>
      <w:bookmarkEnd w:id="57211"/>
      <w:r>
        <w:rPr>
          <w:rFonts w:hint="cs"/>
          <w:rtl/>
        </w:rPr>
        <w:t xml:space="preserve">על </w:t>
      </w:r>
      <w:bookmarkStart w:id="57212" w:name="_ETM_Q104_187500"/>
      <w:bookmarkEnd w:id="57212"/>
      <w:r>
        <w:rPr>
          <w:rFonts w:hint="cs"/>
          <w:rtl/>
        </w:rPr>
        <w:t xml:space="preserve">העם הלא-נכון. </w:t>
      </w:r>
      <w:bookmarkStart w:id="57213" w:name="_ETM_Q104_188371"/>
      <w:bookmarkStart w:id="57214" w:name="_ETM_Q104_189530"/>
      <w:bookmarkEnd w:id="57213"/>
      <w:bookmarkEnd w:id="57214"/>
      <w:r>
        <w:rPr>
          <w:rFonts w:hint="cs"/>
          <w:rtl/>
        </w:rPr>
        <w:t xml:space="preserve">זה </w:t>
      </w:r>
      <w:bookmarkStart w:id="57215" w:name="_ETM_Q104_189710"/>
      <w:bookmarkEnd w:id="57215"/>
      <w:r>
        <w:rPr>
          <w:rFonts w:hint="cs"/>
          <w:rtl/>
        </w:rPr>
        <w:t xml:space="preserve">החלק </w:t>
      </w:r>
      <w:bookmarkStart w:id="57216" w:name="_ETM_Q104_190070"/>
      <w:bookmarkEnd w:id="57216"/>
      <w:r>
        <w:rPr>
          <w:rFonts w:hint="cs"/>
          <w:rtl/>
        </w:rPr>
        <w:t xml:space="preserve">הראשון </w:t>
      </w:r>
      <w:bookmarkStart w:id="57217" w:name="_ETM_Q104_190519"/>
      <w:bookmarkEnd w:id="57217"/>
      <w:r>
        <w:rPr>
          <w:rFonts w:hint="cs"/>
          <w:rtl/>
        </w:rPr>
        <w:t xml:space="preserve">של </w:t>
      </w:r>
      <w:bookmarkStart w:id="57218" w:name="_ETM_Q104_191209"/>
      <w:bookmarkEnd w:id="57218"/>
      <w:r>
        <w:rPr>
          <w:rFonts w:hint="cs"/>
          <w:rtl/>
        </w:rPr>
        <w:t xml:space="preserve">הנאום </w:t>
      </w:r>
      <w:bookmarkStart w:id="57219" w:name="_ETM_Q104_191509"/>
      <w:bookmarkEnd w:id="57219"/>
      <w:r>
        <w:rPr>
          <w:rFonts w:hint="cs"/>
          <w:rtl/>
        </w:rPr>
        <w:t xml:space="preserve">שלי. </w:t>
      </w:r>
      <w:bookmarkStart w:id="57220" w:name="_ETM_Q104_192110"/>
      <w:bookmarkStart w:id="57221" w:name="_ETM_Q104_190561"/>
      <w:bookmarkEnd w:id="57220"/>
      <w:bookmarkEnd w:id="57221"/>
    </w:p>
    <w:p w:rsidR="00BB59CD" w:rsidRDefault="00BB59CD" w:rsidP="00BB59CD">
      <w:pPr>
        <w:rPr>
          <w:rtl/>
        </w:rPr>
      </w:pPr>
      <w:bookmarkStart w:id="57222" w:name="_ETM_Q104_190676"/>
      <w:bookmarkEnd w:id="57222"/>
    </w:p>
    <w:p w:rsidR="00BB59CD" w:rsidRDefault="00BB59CD" w:rsidP="00BB59CD">
      <w:pPr>
        <w:rPr>
          <w:rtl/>
        </w:rPr>
      </w:pPr>
      <w:bookmarkStart w:id="57223" w:name="_ETM_Q104_190749"/>
      <w:bookmarkStart w:id="57224" w:name="_ETM_Q104_190814"/>
      <w:bookmarkEnd w:id="57223"/>
      <w:bookmarkEnd w:id="57224"/>
      <w:r>
        <w:rPr>
          <w:rFonts w:hint="cs"/>
          <w:rtl/>
        </w:rPr>
        <w:t xml:space="preserve">אני </w:t>
      </w:r>
      <w:bookmarkStart w:id="57225" w:name="_ETM_Q104_192289"/>
      <w:bookmarkEnd w:id="57225"/>
      <w:r>
        <w:rPr>
          <w:rFonts w:hint="cs"/>
          <w:rtl/>
        </w:rPr>
        <w:t xml:space="preserve">רוצה </w:t>
      </w:r>
      <w:bookmarkStart w:id="57226" w:name="_ETM_Q104_192619"/>
      <w:bookmarkEnd w:id="57226"/>
      <w:r>
        <w:rPr>
          <w:rFonts w:hint="cs"/>
          <w:rtl/>
        </w:rPr>
        <w:t xml:space="preserve">עכשיו </w:t>
      </w:r>
      <w:r>
        <w:t>–</w:t>
      </w:r>
      <w:r>
        <w:rPr>
          <w:rFonts w:hint="cs"/>
          <w:rtl/>
        </w:rPr>
        <w:t xml:space="preserve"> </w:t>
      </w:r>
      <w:bookmarkStart w:id="57227" w:name="_ETM_Q104_194309"/>
      <w:bookmarkEnd w:id="57227"/>
      <w:r>
        <w:rPr>
          <w:rFonts w:hint="cs"/>
          <w:rtl/>
        </w:rPr>
        <w:t xml:space="preserve">ברוכים </w:t>
      </w:r>
      <w:bookmarkStart w:id="57228" w:name="_ETM_Q104_194670"/>
      <w:bookmarkEnd w:id="57228"/>
      <w:r>
        <w:rPr>
          <w:rFonts w:hint="cs"/>
          <w:rtl/>
        </w:rPr>
        <w:t xml:space="preserve">הבאים, </w:t>
      </w:r>
      <w:bookmarkStart w:id="57229" w:name="_ETM_Q104_195000"/>
      <w:bookmarkEnd w:id="57229"/>
      <w:r>
        <w:rPr>
          <w:rFonts w:hint="cs"/>
          <w:rtl/>
        </w:rPr>
        <w:t xml:space="preserve">אדוני </w:t>
      </w:r>
      <w:bookmarkStart w:id="57230" w:name="_ETM_Q104_195360"/>
      <w:bookmarkEnd w:id="57230"/>
      <w:r>
        <w:rPr>
          <w:rFonts w:hint="cs"/>
          <w:rtl/>
        </w:rPr>
        <w:t xml:space="preserve">היושב </w:t>
      </w:r>
      <w:bookmarkStart w:id="57231" w:name="_ETM_Q104_195690"/>
      <w:bookmarkEnd w:id="57231"/>
      <w:r>
        <w:rPr>
          <w:rFonts w:hint="cs"/>
          <w:rtl/>
        </w:rPr>
        <w:t xml:space="preserve">בראש </w:t>
      </w:r>
      <w:bookmarkStart w:id="57232" w:name="_ETM_Q104_196020"/>
      <w:bookmarkEnd w:id="57232"/>
      <w:r>
        <w:rPr>
          <w:rFonts w:hint="cs"/>
          <w:rtl/>
        </w:rPr>
        <w:t xml:space="preserve">החדש </w:t>
      </w:r>
      <w:r>
        <w:t>–</w:t>
      </w:r>
      <w:r>
        <w:rPr>
          <w:rFonts w:hint="cs"/>
          <w:rtl/>
        </w:rPr>
        <w:t xml:space="preserve"> </w:t>
      </w:r>
      <w:bookmarkStart w:id="57233" w:name="_ETM_Q104_197720"/>
      <w:bookmarkEnd w:id="57233"/>
      <w:r>
        <w:rPr>
          <w:rFonts w:hint="cs"/>
          <w:rtl/>
        </w:rPr>
        <w:t xml:space="preserve">לעבור </w:t>
      </w:r>
      <w:bookmarkStart w:id="57234" w:name="_ETM_Q104_198860"/>
      <w:bookmarkEnd w:id="57234"/>
      <w:r>
        <w:rPr>
          <w:rFonts w:hint="cs"/>
          <w:rtl/>
        </w:rPr>
        <w:t>ל</w:t>
      </w:r>
      <w:bookmarkStart w:id="57235" w:name="_ETM_Q104_199520"/>
      <w:bookmarkEnd w:id="57235"/>
      <w:r>
        <w:rPr>
          <w:rFonts w:hint="cs"/>
          <w:rtl/>
        </w:rPr>
        <w:t xml:space="preserve">מאמר </w:t>
      </w:r>
      <w:bookmarkStart w:id="57236" w:name="_ETM_Q104_200270"/>
      <w:bookmarkEnd w:id="57236"/>
      <w:r>
        <w:rPr>
          <w:rFonts w:hint="cs"/>
          <w:rtl/>
        </w:rPr>
        <w:t xml:space="preserve">שכתב </w:t>
      </w:r>
      <w:bookmarkStart w:id="57237" w:name="_ETM_Q104_201950"/>
      <w:bookmarkEnd w:id="57237"/>
      <w:r>
        <w:rPr>
          <w:rFonts w:hint="cs"/>
          <w:rtl/>
        </w:rPr>
        <w:t>אורן נהרי.</w:t>
      </w:r>
    </w:p>
    <w:p w:rsidR="00BB59CD" w:rsidRDefault="00BB59CD" w:rsidP="00BB59CD">
      <w:pPr>
        <w:rPr>
          <w:rtl/>
        </w:rPr>
      </w:pPr>
      <w:bookmarkStart w:id="57238" w:name="_ETM_Q104_199586"/>
      <w:bookmarkStart w:id="57239" w:name="_ETM_Q104_199687"/>
      <w:bookmarkEnd w:id="57238"/>
      <w:bookmarkEnd w:id="57239"/>
    </w:p>
    <w:p w:rsidR="00BB59CD" w:rsidRDefault="00BB59CD" w:rsidP="00BB59CD">
      <w:pPr>
        <w:pStyle w:val="af9"/>
        <w:keepNext/>
        <w:rPr>
          <w:rtl/>
        </w:rPr>
      </w:pPr>
      <w:bookmarkStart w:id="57240" w:name="_ETM_Q104_199755"/>
      <w:bookmarkStart w:id="57241" w:name="_ETM_Q104_199836"/>
      <w:bookmarkEnd w:id="57240"/>
      <w:bookmarkEnd w:id="5724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D80B85">
      <w:pPr>
        <w:rPr>
          <w:rtl/>
          <w:lang w:eastAsia="he-IL"/>
        </w:rPr>
      </w:pPr>
      <w:bookmarkStart w:id="57242" w:name="_ETM_Q104_204510"/>
      <w:bookmarkEnd w:id="57242"/>
      <w:r>
        <w:rPr>
          <w:rFonts w:hint="cs"/>
          <w:rtl/>
          <w:lang w:eastAsia="he-IL"/>
        </w:rPr>
        <w:t>נלחצנו כשאמרת: אני רוצה לסיים.</w:t>
      </w:r>
      <w:r w:rsidR="00D80B85">
        <w:rPr>
          <w:rFonts w:hint="cs"/>
          <w:rtl/>
          <w:lang w:eastAsia="he-IL"/>
        </w:rPr>
        <w:t xml:space="preserve"> ההיא נהייתה לבנה כבר. </w:t>
      </w:r>
    </w:p>
    <w:p w:rsidR="00BB59CD" w:rsidRDefault="00BB59CD" w:rsidP="00BB59CD">
      <w:pPr>
        <w:ind w:firstLine="0"/>
        <w:rPr>
          <w:rtl/>
          <w:lang w:eastAsia="he-IL"/>
        </w:rPr>
      </w:pPr>
      <w:bookmarkStart w:id="57243" w:name="_ETM_Q104_202610"/>
      <w:bookmarkStart w:id="57244" w:name="_ETM_Q104_202703"/>
      <w:bookmarkStart w:id="57245" w:name="_ETM_Q104_202756"/>
      <w:bookmarkStart w:id="57246" w:name="_ETM_Q104_202840"/>
      <w:bookmarkEnd w:id="57243"/>
      <w:bookmarkEnd w:id="57244"/>
      <w:bookmarkEnd w:id="57245"/>
      <w:bookmarkEnd w:id="57246"/>
    </w:p>
    <w:p w:rsidR="00BB59CD" w:rsidRDefault="00BB59CD" w:rsidP="00BB59CD">
      <w:pPr>
        <w:pStyle w:val="-"/>
        <w:keepNext/>
        <w:rPr>
          <w:rtl/>
        </w:rPr>
      </w:pPr>
      <w:bookmarkStart w:id="57247" w:name="_ETM_Q104_202958"/>
      <w:bookmarkStart w:id="57248" w:name="_ETM_Q104_202995"/>
      <w:bookmarkStart w:id="57249" w:name="ET_speakercontinue_6507_2"/>
      <w:bookmarkEnd w:id="57247"/>
      <w:bookmarkEnd w:id="57248"/>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57249"/>
    </w:p>
    <w:p w:rsidR="00BB59CD" w:rsidRDefault="00BB59CD" w:rsidP="00337201">
      <w:pPr>
        <w:rPr>
          <w:rtl/>
          <w:lang w:eastAsia="he-IL"/>
        </w:rPr>
      </w:pPr>
    </w:p>
    <w:p w:rsidR="00BB59CD" w:rsidRDefault="00BB59CD" w:rsidP="00D80B85">
      <w:pPr>
        <w:rPr>
          <w:rtl/>
          <w:lang w:eastAsia="he-IL"/>
        </w:rPr>
      </w:pPr>
      <w:bookmarkStart w:id="57250" w:name="_ETM_Q104_203781"/>
      <w:bookmarkEnd w:id="57250"/>
      <w:r>
        <w:rPr>
          <w:rFonts w:hint="cs"/>
          <w:rtl/>
          <w:lang w:eastAsia="he-IL"/>
        </w:rPr>
        <w:t>לא, לא.</w:t>
      </w:r>
      <w:bookmarkStart w:id="57251" w:name="_ETM_Q104_202912"/>
      <w:bookmarkStart w:id="57252" w:name="_ETM_Q104_202992"/>
      <w:bookmarkStart w:id="57253" w:name="_ETM_Q104_203032"/>
      <w:bookmarkStart w:id="57254" w:name="_ETM_Q104_203103"/>
      <w:bookmarkStart w:id="57255" w:name="_ETM_Q104_207078"/>
      <w:bookmarkEnd w:id="57251"/>
      <w:bookmarkEnd w:id="57252"/>
      <w:bookmarkEnd w:id="57253"/>
      <w:bookmarkEnd w:id="57254"/>
      <w:bookmarkEnd w:id="57255"/>
      <w:r w:rsidR="00D80B85">
        <w:rPr>
          <w:rFonts w:hint="cs"/>
          <w:rtl/>
          <w:lang w:eastAsia="he-IL"/>
        </w:rPr>
        <w:t xml:space="preserve"> </w:t>
      </w:r>
      <w:r>
        <w:rPr>
          <w:rFonts w:hint="cs"/>
          <w:rtl/>
          <w:lang w:eastAsia="he-IL"/>
        </w:rPr>
        <w:t xml:space="preserve">לא, את החלק הראשון. יש לפנינו עוד דרך </w:t>
      </w:r>
      <w:bookmarkStart w:id="57256" w:name="_ETM_Q104_207088"/>
      <w:bookmarkEnd w:id="57256"/>
      <w:r>
        <w:rPr>
          <w:rFonts w:hint="cs"/>
          <w:rtl/>
          <w:lang w:eastAsia="he-IL"/>
        </w:rPr>
        <w:t>ארוכה, אל דאגה, לא חסרים חומרים</w:t>
      </w:r>
      <w:bookmarkStart w:id="57257" w:name="_ETM_Q104_202879"/>
      <w:bookmarkStart w:id="57258" w:name="_ETM_Q104_202953"/>
      <w:bookmarkStart w:id="57259" w:name="_ETM_Q104_199875"/>
      <w:bookmarkStart w:id="57260" w:name="_ETM_Q104_199966"/>
      <w:bookmarkStart w:id="57261" w:name="_ETM_Q104_212489"/>
      <w:bookmarkEnd w:id="57257"/>
      <w:bookmarkEnd w:id="57258"/>
      <w:bookmarkEnd w:id="57259"/>
      <w:bookmarkEnd w:id="57260"/>
      <w:bookmarkEnd w:id="57261"/>
      <w:r>
        <w:rPr>
          <w:rFonts w:hint="cs"/>
          <w:rtl/>
          <w:lang w:eastAsia="he-IL"/>
        </w:rPr>
        <w:t xml:space="preserve"> </w:t>
      </w:r>
      <w:r>
        <w:rPr>
          <w:rFonts w:hint="cs"/>
          <w:rtl/>
        </w:rPr>
        <w:t xml:space="preserve">לדבר </w:t>
      </w:r>
      <w:bookmarkStart w:id="57262" w:name="_ETM_Q104_212909"/>
      <w:bookmarkEnd w:id="57262"/>
      <w:r>
        <w:rPr>
          <w:rFonts w:hint="cs"/>
          <w:rtl/>
        </w:rPr>
        <w:t xml:space="preserve">עליהם. </w:t>
      </w:r>
      <w:bookmarkStart w:id="57263" w:name="_ETM_Q104_214879"/>
      <w:bookmarkEnd w:id="57263"/>
      <w:r>
        <w:rPr>
          <w:rFonts w:hint="cs"/>
          <w:rtl/>
        </w:rPr>
        <w:t xml:space="preserve">רק </w:t>
      </w:r>
      <w:bookmarkStart w:id="57264" w:name="_ETM_Q104_215120"/>
      <w:bookmarkEnd w:id="57264"/>
      <w:r>
        <w:rPr>
          <w:rFonts w:hint="cs"/>
          <w:rtl/>
        </w:rPr>
        <w:t xml:space="preserve">ניקח קצת מים. </w:t>
      </w:r>
      <w:bookmarkStart w:id="57265" w:name="_ETM_Q104_216665"/>
      <w:bookmarkStart w:id="57266" w:name="_ETM_Q104_221320"/>
      <w:bookmarkEnd w:id="57265"/>
      <w:bookmarkEnd w:id="57266"/>
      <w:r>
        <w:rPr>
          <w:rFonts w:hint="cs"/>
          <w:rtl/>
        </w:rPr>
        <w:t xml:space="preserve">את </w:t>
      </w:r>
      <w:bookmarkStart w:id="57267" w:name="_ETM_Q104_221379"/>
      <w:bookmarkEnd w:id="57267"/>
      <w:r>
        <w:rPr>
          <w:rFonts w:hint="cs"/>
          <w:rtl/>
        </w:rPr>
        <w:t xml:space="preserve">יכולה </w:t>
      </w:r>
      <w:bookmarkStart w:id="57268" w:name="_ETM_Q104_221649"/>
      <w:bookmarkEnd w:id="57268"/>
      <w:r>
        <w:rPr>
          <w:rFonts w:hint="cs"/>
          <w:rtl/>
        </w:rPr>
        <w:t xml:space="preserve">להיות </w:t>
      </w:r>
      <w:bookmarkStart w:id="57269" w:name="_ETM_Q104_221829"/>
      <w:bookmarkEnd w:id="57269"/>
      <w:r>
        <w:rPr>
          <w:rFonts w:hint="cs"/>
          <w:rtl/>
        </w:rPr>
        <w:t xml:space="preserve">רגועה, </w:t>
      </w:r>
      <w:bookmarkStart w:id="57270" w:name="_ETM_Q104_222249"/>
      <w:bookmarkEnd w:id="57270"/>
      <w:r>
        <w:rPr>
          <w:rFonts w:hint="cs"/>
          <w:rtl/>
        </w:rPr>
        <w:t xml:space="preserve">עדי. </w:t>
      </w:r>
      <w:bookmarkStart w:id="57271" w:name="_ETM_Q104_224999"/>
      <w:bookmarkEnd w:id="57271"/>
      <w:r>
        <w:rPr>
          <w:rFonts w:hint="cs"/>
          <w:rtl/>
        </w:rPr>
        <w:t xml:space="preserve">אני </w:t>
      </w:r>
      <w:bookmarkStart w:id="57272" w:name="_ETM_Q104_225179"/>
      <w:bookmarkEnd w:id="57272"/>
      <w:r>
        <w:rPr>
          <w:rFonts w:hint="cs"/>
          <w:rtl/>
        </w:rPr>
        <w:t xml:space="preserve">רוצה </w:t>
      </w:r>
      <w:bookmarkStart w:id="57273" w:name="_ETM_Q104_225449"/>
      <w:bookmarkEnd w:id="57273"/>
      <w:r>
        <w:rPr>
          <w:rFonts w:hint="cs"/>
          <w:rtl/>
        </w:rPr>
        <w:t xml:space="preserve">להקריא </w:t>
      </w:r>
      <w:bookmarkStart w:id="57274" w:name="_ETM_Q104_225960"/>
      <w:bookmarkEnd w:id="57274"/>
      <w:r>
        <w:rPr>
          <w:rFonts w:hint="cs"/>
          <w:rtl/>
        </w:rPr>
        <w:t xml:space="preserve">מאמר </w:t>
      </w:r>
      <w:bookmarkStart w:id="57275" w:name="_ETM_Q104_226469"/>
      <w:bookmarkEnd w:id="57275"/>
      <w:r>
        <w:rPr>
          <w:rFonts w:hint="cs"/>
          <w:rtl/>
        </w:rPr>
        <w:t xml:space="preserve">שכתב </w:t>
      </w:r>
      <w:bookmarkStart w:id="57276" w:name="_ETM_Q104_227579"/>
      <w:bookmarkEnd w:id="57276"/>
      <w:r>
        <w:rPr>
          <w:rFonts w:hint="cs"/>
          <w:rtl/>
        </w:rPr>
        <w:t xml:space="preserve">אורן </w:t>
      </w:r>
      <w:bookmarkStart w:id="57277" w:name="_ETM_Q104_227879"/>
      <w:bookmarkEnd w:id="57277"/>
      <w:r>
        <w:rPr>
          <w:rFonts w:hint="cs"/>
          <w:rtl/>
        </w:rPr>
        <w:t xml:space="preserve">נהרי, </w:t>
      </w:r>
      <w:bookmarkStart w:id="57278" w:name="_ETM_Q104_228690"/>
      <w:bookmarkEnd w:id="57278"/>
      <w:r>
        <w:rPr>
          <w:rFonts w:hint="cs"/>
          <w:rtl/>
        </w:rPr>
        <w:t xml:space="preserve">שנקרא </w:t>
      </w:r>
      <w:bookmarkStart w:id="57279" w:name="_ETM_Q104_229440"/>
      <w:bookmarkEnd w:id="57279"/>
      <w:r>
        <w:rPr>
          <w:rFonts w:hint="cs"/>
          <w:rtl/>
        </w:rPr>
        <w:t xml:space="preserve">"דמוקרטיות </w:t>
      </w:r>
      <w:bookmarkStart w:id="57280" w:name="_ETM_Q104_230159"/>
      <w:bookmarkEnd w:id="57280"/>
      <w:r>
        <w:rPr>
          <w:rFonts w:hint="cs"/>
          <w:rtl/>
        </w:rPr>
        <w:t xml:space="preserve">נופלות </w:t>
      </w:r>
      <w:bookmarkStart w:id="57281" w:name="_ETM_Q104_230609"/>
      <w:bookmarkEnd w:id="57281"/>
      <w:r>
        <w:rPr>
          <w:rFonts w:hint="cs"/>
          <w:rtl/>
        </w:rPr>
        <w:t xml:space="preserve">מהר". </w:t>
      </w:r>
      <w:bookmarkStart w:id="57282" w:name="_ETM_Q104_231929"/>
      <w:bookmarkEnd w:id="57282"/>
      <w:r>
        <w:rPr>
          <w:rFonts w:hint="cs"/>
          <w:rtl/>
        </w:rPr>
        <w:t xml:space="preserve">הוא </w:t>
      </w:r>
      <w:bookmarkStart w:id="57283" w:name="_ETM_Q104_232019"/>
      <w:bookmarkEnd w:id="57283"/>
      <w:r>
        <w:rPr>
          <w:rFonts w:hint="cs"/>
          <w:rtl/>
        </w:rPr>
        <w:t xml:space="preserve">כתב </w:t>
      </w:r>
      <w:bookmarkStart w:id="57284" w:name="_ETM_Q104_232319"/>
      <w:bookmarkEnd w:id="57284"/>
      <w:r>
        <w:rPr>
          <w:rFonts w:hint="cs"/>
          <w:rtl/>
        </w:rPr>
        <w:t xml:space="preserve">את </w:t>
      </w:r>
      <w:bookmarkStart w:id="57285" w:name="_ETM_Q104_232409"/>
      <w:bookmarkEnd w:id="57285"/>
      <w:r>
        <w:rPr>
          <w:rFonts w:hint="cs"/>
          <w:rtl/>
        </w:rPr>
        <w:t xml:space="preserve">זה </w:t>
      </w:r>
      <w:bookmarkStart w:id="57286" w:name="_ETM_Q104_232499"/>
      <w:bookmarkEnd w:id="57286"/>
      <w:r>
        <w:rPr>
          <w:rFonts w:hint="cs"/>
          <w:rtl/>
        </w:rPr>
        <w:t xml:space="preserve">למגזין </w:t>
      </w:r>
      <w:bookmarkStart w:id="57287" w:name="_ETM_Q104_233069"/>
      <w:bookmarkEnd w:id="57287"/>
      <w:r>
        <w:rPr>
          <w:rFonts w:hint="cs"/>
          <w:rtl/>
        </w:rPr>
        <w:t>"ליברל". אני אקריא לכם את המאמר</w:t>
      </w:r>
      <w:bookmarkStart w:id="57288" w:name="_ETM_Q104_234180"/>
      <w:bookmarkStart w:id="57289" w:name="_ETM_Q104_235110"/>
      <w:bookmarkEnd w:id="57288"/>
      <w:bookmarkEnd w:id="57289"/>
      <w:r>
        <w:rPr>
          <w:rFonts w:hint="cs"/>
          <w:rtl/>
        </w:rPr>
        <w:t xml:space="preserve">, מאמר </w:t>
      </w:r>
      <w:bookmarkStart w:id="57290" w:name="_ETM_Q104_235980"/>
      <w:bookmarkEnd w:id="57290"/>
      <w:r>
        <w:rPr>
          <w:rFonts w:hint="cs"/>
          <w:rtl/>
        </w:rPr>
        <w:t xml:space="preserve">מרתק, </w:t>
      </w:r>
      <w:bookmarkStart w:id="57291" w:name="_ETM_Q104_236909"/>
      <w:bookmarkEnd w:id="57291"/>
      <w:r>
        <w:rPr>
          <w:rFonts w:hint="cs"/>
          <w:rtl/>
        </w:rPr>
        <w:t xml:space="preserve">היסטורי </w:t>
      </w:r>
      <w:bookmarkStart w:id="57292" w:name="_ETM_Q104_239519"/>
      <w:bookmarkEnd w:id="57292"/>
      <w:r>
        <w:rPr>
          <w:rFonts w:hint="cs"/>
          <w:rtl/>
        </w:rPr>
        <w:t xml:space="preserve">ומאיר </w:t>
      </w:r>
      <w:bookmarkStart w:id="57293" w:name="_ETM_Q104_240059"/>
      <w:bookmarkEnd w:id="57293"/>
      <w:r>
        <w:rPr>
          <w:rFonts w:hint="cs"/>
          <w:rtl/>
        </w:rPr>
        <w:t xml:space="preserve">עיניים. </w:t>
      </w:r>
      <w:bookmarkStart w:id="57294" w:name="_ETM_Q104_241170"/>
      <w:bookmarkEnd w:id="57294"/>
    </w:p>
    <w:p w:rsidR="00BB59CD" w:rsidRDefault="00BB59CD" w:rsidP="00BB59CD">
      <w:pPr>
        <w:rPr>
          <w:rtl/>
        </w:rPr>
      </w:pPr>
    </w:p>
    <w:p w:rsidR="00BB59CD" w:rsidRDefault="00BB59CD" w:rsidP="00D80B85">
      <w:pPr>
        <w:rPr>
          <w:rtl/>
        </w:rPr>
      </w:pPr>
      <w:r>
        <w:rPr>
          <w:rFonts w:hint="cs"/>
          <w:rtl/>
        </w:rPr>
        <w:t xml:space="preserve">"דמוקרטיות </w:t>
      </w:r>
      <w:bookmarkStart w:id="57295" w:name="_ETM_Q104_243570"/>
      <w:bookmarkEnd w:id="57295"/>
      <w:r>
        <w:rPr>
          <w:rFonts w:hint="cs"/>
          <w:rtl/>
        </w:rPr>
        <w:t xml:space="preserve">נופלות </w:t>
      </w:r>
      <w:bookmarkStart w:id="57296" w:name="_ETM_Q104_243929"/>
      <w:bookmarkEnd w:id="57296"/>
      <w:r>
        <w:rPr>
          <w:rFonts w:hint="cs"/>
          <w:rtl/>
        </w:rPr>
        <w:t>מהר.</w:t>
      </w:r>
      <w:r w:rsidR="00D80B85">
        <w:rPr>
          <w:rFonts w:hint="cs"/>
          <w:rtl/>
        </w:rPr>
        <w:t xml:space="preserve"> </w:t>
      </w:r>
      <w:bookmarkStart w:id="57297" w:name="_ETM_Q104_245340"/>
      <w:bookmarkStart w:id="57298" w:name="_ETM_Q104_184443"/>
      <w:bookmarkStart w:id="57299" w:name="_ETM_Q104_184611"/>
      <w:bookmarkStart w:id="57300" w:name="_ETM_Q104_184646"/>
      <w:bookmarkStart w:id="57301" w:name="_ETM_Q104_184696"/>
      <w:bookmarkEnd w:id="57297"/>
      <w:bookmarkEnd w:id="57298"/>
      <w:bookmarkEnd w:id="57299"/>
      <w:bookmarkEnd w:id="57300"/>
      <w:bookmarkEnd w:id="57301"/>
      <w:r>
        <w:rPr>
          <w:rFonts w:hint="cs"/>
          <w:rtl/>
        </w:rPr>
        <w:t xml:space="preserve">אנחנו חיים בהווה. זה מובן מאליו עד שאנו כמעט לא חושבים על כך, אבל לעיתים צריך לחשוב על המשמעות וההטיות המחשבתיות הנובעות מכך. כמו </w:t>
      </w:r>
      <w:bookmarkStart w:id="57302" w:name="_ETM_Q104_254238"/>
      <w:bookmarkEnd w:id="57302"/>
      <w:r>
        <w:rPr>
          <w:rFonts w:hint="cs"/>
          <w:rtl/>
        </w:rPr>
        <w:t xml:space="preserve">למשל בשעת קריאה או כתיבה של מאמר </w:t>
      </w:r>
      <w:bookmarkStart w:id="57303" w:name="_ETM_Q104_256790"/>
      <w:bookmarkStart w:id="57304" w:name="_ETM_Q104_258680"/>
      <w:bookmarkEnd w:id="57303"/>
      <w:bookmarkEnd w:id="57304"/>
      <w:r>
        <w:rPr>
          <w:rFonts w:hint="cs"/>
          <w:rtl/>
        </w:rPr>
        <w:t xml:space="preserve">המנסה </w:t>
      </w:r>
      <w:bookmarkStart w:id="57305" w:name="_ETM_Q104_259370"/>
      <w:bookmarkEnd w:id="57305"/>
      <w:r>
        <w:rPr>
          <w:rFonts w:hint="cs"/>
          <w:rtl/>
        </w:rPr>
        <w:t xml:space="preserve">לתת </w:t>
      </w:r>
      <w:bookmarkStart w:id="57306" w:name="_ETM_Q104_259890"/>
      <w:bookmarkEnd w:id="57306"/>
      <w:r>
        <w:rPr>
          <w:rFonts w:hint="cs"/>
          <w:rtl/>
        </w:rPr>
        <w:t xml:space="preserve">פרספקטיבה </w:t>
      </w:r>
      <w:bookmarkStart w:id="57307" w:name="_ETM_Q104_260610"/>
      <w:bookmarkEnd w:id="57307"/>
      <w:r>
        <w:rPr>
          <w:rFonts w:hint="cs"/>
          <w:rtl/>
        </w:rPr>
        <w:t xml:space="preserve">היסטורית. </w:t>
      </w:r>
      <w:bookmarkStart w:id="57308" w:name="_ETM_Q104_261890"/>
      <w:bookmarkStart w:id="57309" w:name="_ETM_Q104_203706"/>
      <w:bookmarkStart w:id="57310" w:name="_ETM_Q104_203796"/>
      <w:bookmarkStart w:id="57311" w:name="_ETM_Q104_203850"/>
      <w:bookmarkStart w:id="57312" w:name="_ETM_Q104_203917"/>
      <w:bookmarkEnd w:id="57308"/>
      <w:bookmarkEnd w:id="57309"/>
      <w:bookmarkEnd w:id="57310"/>
      <w:bookmarkEnd w:id="57311"/>
      <w:bookmarkEnd w:id="57312"/>
      <w:r>
        <w:rPr>
          <w:rFonts w:hint="cs"/>
          <w:rtl/>
        </w:rPr>
        <w:t xml:space="preserve">ההווה </w:t>
      </w:r>
      <w:bookmarkStart w:id="57313" w:name="_ETM_Q104_262280"/>
      <w:bookmarkEnd w:id="57313"/>
      <w:r>
        <w:rPr>
          <w:rFonts w:hint="cs"/>
          <w:rtl/>
        </w:rPr>
        <w:t xml:space="preserve">שלנו, </w:t>
      </w:r>
      <w:bookmarkStart w:id="57314" w:name="_ETM_Q104_262759"/>
      <w:bookmarkEnd w:id="57314"/>
      <w:r>
        <w:rPr>
          <w:rFonts w:hint="cs"/>
          <w:rtl/>
        </w:rPr>
        <w:t xml:space="preserve">המערבי, </w:t>
      </w:r>
      <w:bookmarkStart w:id="57315" w:name="_ETM_Q104_263479"/>
      <w:bookmarkEnd w:id="57315"/>
      <w:r>
        <w:rPr>
          <w:rFonts w:hint="cs"/>
          <w:rtl/>
        </w:rPr>
        <w:t xml:space="preserve">בסך </w:t>
      </w:r>
      <w:bookmarkStart w:id="57316" w:name="_ETM_Q104_263780"/>
      <w:bookmarkEnd w:id="57316"/>
      <w:r>
        <w:rPr>
          <w:rFonts w:hint="cs"/>
          <w:rtl/>
        </w:rPr>
        <w:t xml:space="preserve">הכול </w:t>
      </w:r>
      <w:bookmarkStart w:id="57317" w:name="_ETM_Q104_264020"/>
      <w:bookmarkEnd w:id="57317"/>
      <w:r>
        <w:rPr>
          <w:rFonts w:hint="cs"/>
          <w:rtl/>
        </w:rPr>
        <w:t xml:space="preserve">משגשג </w:t>
      </w:r>
      <w:bookmarkStart w:id="57318" w:name="_ETM_Q104_264740"/>
      <w:bookmarkEnd w:id="57318"/>
      <w:r>
        <w:rPr>
          <w:rFonts w:hint="cs"/>
          <w:rtl/>
        </w:rPr>
        <w:t xml:space="preserve">מאז </w:t>
      </w:r>
      <w:bookmarkStart w:id="57319" w:name="_ETM_Q104_265039"/>
      <w:bookmarkEnd w:id="57319"/>
      <w:r>
        <w:rPr>
          <w:rFonts w:hint="cs"/>
          <w:rtl/>
        </w:rPr>
        <w:t xml:space="preserve">מלחמת </w:t>
      </w:r>
      <w:bookmarkStart w:id="57320" w:name="_ETM_Q104_265549"/>
      <w:bookmarkEnd w:id="57320"/>
      <w:r>
        <w:rPr>
          <w:rFonts w:hint="cs"/>
          <w:rtl/>
        </w:rPr>
        <w:t xml:space="preserve">העולם </w:t>
      </w:r>
      <w:bookmarkStart w:id="57321" w:name="_ETM_Q104_265880"/>
      <w:bookmarkEnd w:id="57321"/>
      <w:r>
        <w:rPr>
          <w:rFonts w:hint="cs"/>
          <w:rtl/>
        </w:rPr>
        <w:t xml:space="preserve">השנייה. </w:t>
      </w:r>
      <w:bookmarkStart w:id="57322" w:name="_ETM_Q104_266750"/>
      <w:bookmarkEnd w:id="57322"/>
      <w:r>
        <w:rPr>
          <w:rFonts w:hint="cs"/>
          <w:rtl/>
        </w:rPr>
        <w:t xml:space="preserve">הווה </w:t>
      </w:r>
      <w:bookmarkStart w:id="57323" w:name="_ETM_Q104_267140"/>
      <w:bookmarkEnd w:id="57323"/>
      <w:r>
        <w:rPr>
          <w:rFonts w:hint="cs"/>
          <w:rtl/>
        </w:rPr>
        <w:t xml:space="preserve">שבו </w:t>
      </w:r>
      <w:bookmarkStart w:id="57324" w:name="_ETM_Q104_267500"/>
      <w:bookmarkEnd w:id="57324"/>
      <w:r>
        <w:rPr>
          <w:rFonts w:hint="cs"/>
          <w:rtl/>
        </w:rPr>
        <w:t xml:space="preserve">לא </w:t>
      </w:r>
      <w:bookmarkStart w:id="57325" w:name="_ETM_Q104_267680"/>
      <w:bookmarkEnd w:id="57325"/>
      <w:r>
        <w:rPr>
          <w:rFonts w:hint="cs"/>
          <w:rtl/>
        </w:rPr>
        <w:t xml:space="preserve">היו </w:t>
      </w:r>
      <w:bookmarkStart w:id="57326" w:name="_ETM_Q104_267920"/>
      <w:bookmarkEnd w:id="57326"/>
      <w:r>
        <w:rPr>
          <w:rFonts w:hint="cs"/>
          <w:rtl/>
        </w:rPr>
        <w:t xml:space="preserve">במערב </w:t>
      </w:r>
      <w:bookmarkStart w:id="57327" w:name="_ETM_Q104_268520"/>
      <w:bookmarkEnd w:id="57327"/>
      <w:r>
        <w:rPr>
          <w:rFonts w:hint="cs"/>
          <w:rtl/>
        </w:rPr>
        <w:t xml:space="preserve">מלחמות </w:t>
      </w:r>
      <w:bookmarkStart w:id="57328" w:name="_ETM_Q104_269030"/>
      <w:bookmarkEnd w:id="57328"/>
      <w:r>
        <w:rPr>
          <w:rFonts w:hint="cs"/>
          <w:rtl/>
        </w:rPr>
        <w:t xml:space="preserve">גדולות. </w:t>
      </w:r>
      <w:bookmarkStart w:id="57329" w:name="_ETM_Q104_269920"/>
      <w:bookmarkEnd w:id="57329"/>
      <w:r>
        <w:rPr>
          <w:rFonts w:hint="cs"/>
          <w:rtl/>
        </w:rPr>
        <w:t xml:space="preserve">הווה </w:t>
      </w:r>
      <w:bookmarkStart w:id="57330" w:name="_ETM_Q104_270310"/>
      <w:bookmarkEnd w:id="57330"/>
      <w:r>
        <w:rPr>
          <w:rFonts w:hint="cs"/>
          <w:rtl/>
        </w:rPr>
        <w:t xml:space="preserve">של </w:t>
      </w:r>
      <w:bookmarkStart w:id="57331" w:name="_ETM_Q104_270520"/>
      <w:bookmarkEnd w:id="57331"/>
      <w:r>
        <w:rPr>
          <w:rFonts w:hint="cs"/>
          <w:rtl/>
        </w:rPr>
        <w:t xml:space="preserve">דמוקרטיה. </w:t>
      </w:r>
      <w:bookmarkStart w:id="57332" w:name="_ETM_Q104_271719"/>
      <w:bookmarkEnd w:id="57332"/>
      <w:r>
        <w:rPr>
          <w:rFonts w:hint="cs"/>
          <w:rtl/>
        </w:rPr>
        <w:t xml:space="preserve">ואנחנו </w:t>
      </w:r>
      <w:bookmarkStart w:id="57333" w:name="_ETM_Q104_272139"/>
      <w:bookmarkEnd w:id="57333"/>
      <w:r>
        <w:rPr>
          <w:rFonts w:hint="cs"/>
          <w:rtl/>
        </w:rPr>
        <w:t>לוקחים, או</w:t>
      </w:r>
      <w:bookmarkStart w:id="57334" w:name="_ETM_Q104_271049"/>
      <w:bookmarkEnd w:id="57334"/>
      <w:r>
        <w:rPr>
          <w:rFonts w:hint="cs"/>
          <w:rtl/>
        </w:rPr>
        <w:t xml:space="preserve"> </w:t>
      </w:r>
      <w:bookmarkStart w:id="57335" w:name="_ETM_Q104_272640"/>
      <w:bookmarkEnd w:id="57335"/>
      <w:r>
        <w:rPr>
          <w:rFonts w:hint="cs"/>
          <w:rtl/>
        </w:rPr>
        <w:t xml:space="preserve">אולי </w:t>
      </w:r>
      <w:bookmarkStart w:id="57336" w:name="_ETM_Q104_273180"/>
      <w:bookmarkEnd w:id="57336"/>
      <w:r>
        <w:rPr>
          <w:rFonts w:hint="cs"/>
          <w:rtl/>
        </w:rPr>
        <w:t>לקחנו</w:t>
      </w:r>
      <w:bookmarkStart w:id="57337" w:name="_ETM_Q104_273630"/>
      <w:bookmarkEnd w:id="57337"/>
      <w:r>
        <w:rPr>
          <w:rFonts w:hint="cs"/>
          <w:rtl/>
        </w:rPr>
        <w:t xml:space="preserve">, את </w:t>
      </w:r>
      <w:bookmarkStart w:id="57338" w:name="_ETM_Q104_273750"/>
      <w:bookmarkEnd w:id="57338"/>
      <w:r>
        <w:rPr>
          <w:rFonts w:hint="cs"/>
          <w:rtl/>
        </w:rPr>
        <w:t xml:space="preserve">הדמוקרטיה </w:t>
      </w:r>
      <w:bookmarkStart w:id="57339" w:name="_ETM_Q104_274560"/>
      <w:bookmarkEnd w:id="57339"/>
      <w:r>
        <w:rPr>
          <w:rFonts w:hint="cs"/>
          <w:rtl/>
        </w:rPr>
        <w:t xml:space="preserve">כמובנת </w:t>
      </w:r>
      <w:bookmarkStart w:id="57340" w:name="_ETM_Q104_275130"/>
      <w:bookmarkEnd w:id="57340"/>
      <w:r>
        <w:rPr>
          <w:rFonts w:hint="cs"/>
          <w:rtl/>
        </w:rPr>
        <w:t xml:space="preserve">מאליה, </w:t>
      </w:r>
      <w:bookmarkStart w:id="57341" w:name="_ETM_Q104_275890"/>
      <w:bookmarkEnd w:id="57341"/>
      <w:r>
        <w:rPr>
          <w:rFonts w:hint="cs"/>
          <w:rtl/>
        </w:rPr>
        <w:t xml:space="preserve">משהו </w:t>
      </w:r>
      <w:bookmarkStart w:id="57342" w:name="_ETM_Q104_276310"/>
      <w:bookmarkEnd w:id="57342"/>
      <w:r>
        <w:rPr>
          <w:rFonts w:hint="cs"/>
          <w:rtl/>
        </w:rPr>
        <w:t xml:space="preserve">כמעט </w:t>
      </w:r>
      <w:bookmarkStart w:id="57343" w:name="_ETM_Q104_276580"/>
      <w:bookmarkEnd w:id="57343"/>
      <w:r>
        <w:rPr>
          <w:rFonts w:hint="cs"/>
          <w:rtl/>
        </w:rPr>
        <w:t xml:space="preserve">דטרמיניסטי. </w:t>
      </w:r>
      <w:bookmarkStart w:id="57344" w:name="_ETM_Q104_278020"/>
      <w:bookmarkEnd w:id="57344"/>
    </w:p>
    <w:p w:rsidR="00BB59CD" w:rsidRDefault="00BB59CD" w:rsidP="00BB59CD">
      <w:pPr>
        <w:rPr>
          <w:rtl/>
        </w:rPr>
      </w:pPr>
      <w:bookmarkStart w:id="57345" w:name="_ETM_Q104_231090"/>
      <w:bookmarkStart w:id="57346" w:name="_ETM_Q104_231253"/>
      <w:bookmarkEnd w:id="57345"/>
      <w:bookmarkEnd w:id="57346"/>
    </w:p>
    <w:p w:rsidR="00BB59CD" w:rsidRDefault="00BB59CD" w:rsidP="00D80B85">
      <w:pPr>
        <w:rPr>
          <w:rtl/>
        </w:rPr>
      </w:pPr>
      <w:bookmarkStart w:id="57347" w:name="_ETM_Q104_232369"/>
      <w:bookmarkStart w:id="57348" w:name="_ETM_Q104_232454"/>
      <w:bookmarkEnd w:id="57347"/>
      <w:bookmarkEnd w:id="57348"/>
      <w:r>
        <w:rPr>
          <w:rFonts w:hint="cs"/>
          <w:rtl/>
        </w:rPr>
        <w:t xml:space="preserve">"כאשר </w:t>
      </w:r>
      <w:bookmarkStart w:id="57349" w:name="_ETM_Q104_278380"/>
      <w:bookmarkEnd w:id="57349"/>
      <w:r>
        <w:rPr>
          <w:rFonts w:hint="cs"/>
          <w:rtl/>
        </w:rPr>
        <w:t xml:space="preserve">כתבו </w:t>
      </w:r>
      <w:bookmarkStart w:id="57350" w:name="_ETM_Q104_278890"/>
      <w:bookmarkEnd w:id="57350"/>
      <w:r>
        <w:rPr>
          <w:rFonts w:hint="cs"/>
          <w:rtl/>
        </w:rPr>
        <w:t xml:space="preserve">פרנסיס </w:t>
      </w:r>
      <w:bookmarkStart w:id="57351" w:name="_ETM_Q104_279340"/>
      <w:bookmarkEnd w:id="57351"/>
      <w:r>
        <w:rPr>
          <w:rFonts w:hint="cs"/>
          <w:rtl/>
        </w:rPr>
        <w:t xml:space="preserve">פוקויאמה </w:t>
      </w:r>
      <w:bookmarkStart w:id="57352" w:name="_ETM_Q104_279940"/>
      <w:bookmarkEnd w:id="57352"/>
      <w:r>
        <w:rPr>
          <w:rFonts w:hint="cs"/>
          <w:rtl/>
        </w:rPr>
        <w:t xml:space="preserve">על </w:t>
      </w:r>
      <w:bookmarkStart w:id="57353" w:name="_ETM_Q104_280030"/>
      <w:bookmarkEnd w:id="57353"/>
      <w:r>
        <w:rPr>
          <w:rFonts w:hint="cs"/>
          <w:rtl/>
        </w:rPr>
        <w:t xml:space="preserve">קץ </w:t>
      </w:r>
      <w:bookmarkStart w:id="57354" w:name="_ETM_Q104_280240"/>
      <w:bookmarkEnd w:id="57354"/>
      <w:r>
        <w:rPr>
          <w:rFonts w:hint="cs"/>
          <w:rtl/>
        </w:rPr>
        <w:t xml:space="preserve">ההיסטוריה </w:t>
      </w:r>
      <w:bookmarkStart w:id="57355" w:name="_ETM_Q104_280900"/>
      <w:bookmarkEnd w:id="57355"/>
      <w:r>
        <w:rPr>
          <w:rFonts w:hint="cs"/>
          <w:rtl/>
        </w:rPr>
        <w:t xml:space="preserve">וסמואל הנטינגטון </w:t>
      </w:r>
      <w:bookmarkStart w:id="57356" w:name="_ETM_Q104_281350"/>
      <w:bookmarkEnd w:id="57356"/>
      <w:r>
        <w:rPr>
          <w:rFonts w:hint="cs"/>
          <w:rtl/>
        </w:rPr>
        <w:t xml:space="preserve">על התנגשות </w:t>
      </w:r>
      <w:bookmarkStart w:id="57357" w:name="_ETM_Q104_282069"/>
      <w:bookmarkStart w:id="57358" w:name="_ETM_Q104_282569"/>
      <w:bookmarkEnd w:id="57357"/>
      <w:bookmarkEnd w:id="57358"/>
      <w:r>
        <w:rPr>
          <w:rFonts w:hint="cs"/>
          <w:rtl/>
        </w:rPr>
        <w:t xml:space="preserve">הציוויליזציות – </w:t>
      </w:r>
      <w:bookmarkStart w:id="57359" w:name="_ETM_Q104_283890"/>
      <w:bookmarkEnd w:id="57359"/>
      <w:r>
        <w:rPr>
          <w:rFonts w:hint="cs"/>
          <w:rtl/>
        </w:rPr>
        <w:t xml:space="preserve">שתי </w:t>
      </w:r>
      <w:bookmarkStart w:id="57360" w:name="_ETM_Q104_284130"/>
      <w:bookmarkEnd w:id="57360"/>
      <w:r>
        <w:rPr>
          <w:rFonts w:hint="cs"/>
          <w:rtl/>
        </w:rPr>
        <w:t xml:space="preserve">תיאוריות </w:t>
      </w:r>
      <w:bookmarkStart w:id="57361" w:name="_ETM_Q104_284580"/>
      <w:bookmarkEnd w:id="57361"/>
      <w:r>
        <w:rPr>
          <w:rFonts w:hint="cs"/>
          <w:rtl/>
        </w:rPr>
        <w:t>רבות</w:t>
      </w:r>
      <w:bookmarkStart w:id="57362" w:name="_ETM_Q104_284880"/>
      <w:bookmarkEnd w:id="57362"/>
      <w:r w:rsidR="00D80B85">
        <w:rPr>
          <w:rFonts w:hint="cs"/>
          <w:rtl/>
        </w:rPr>
        <w:t>-</w:t>
      </w:r>
      <w:r>
        <w:rPr>
          <w:rFonts w:hint="cs"/>
          <w:rtl/>
        </w:rPr>
        <w:t xml:space="preserve">השפעה, </w:t>
      </w:r>
      <w:bookmarkStart w:id="57363" w:name="_ETM_Q104_285770"/>
      <w:bookmarkEnd w:id="57363"/>
      <w:r>
        <w:rPr>
          <w:rFonts w:hint="cs"/>
          <w:rtl/>
        </w:rPr>
        <w:t xml:space="preserve">עד </w:t>
      </w:r>
      <w:bookmarkStart w:id="57364" w:name="_ETM_Q104_285979"/>
      <w:bookmarkEnd w:id="57364"/>
      <w:r>
        <w:rPr>
          <w:rFonts w:hint="cs"/>
          <w:rtl/>
        </w:rPr>
        <w:t xml:space="preserve">כמה </w:t>
      </w:r>
      <w:bookmarkStart w:id="57365" w:name="_ETM_Q104_286280"/>
      <w:bookmarkEnd w:id="57365"/>
      <w:r>
        <w:rPr>
          <w:rFonts w:hint="cs"/>
          <w:rtl/>
        </w:rPr>
        <w:t xml:space="preserve">הן </w:t>
      </w:r>
      <w:bookmarkStart w:id="57366" w:name="_ETM_Q104_286369"/>
      <w:bookmarkEnd w:id="57366"/>
      <w:r>
        <w:rPr>
          <w:rFonts w:hint="cs"/>
          <w:rtl/>
        </w:rPr>
        <w:t xml:space="preserve">מדויקות </w:t>
      </w:r>
      <w:bookmarkStart w:id="57367" w:name="_ETM_Q104_286939"/>
      <w:bookmarkEnd w:id="57367"/>
      <w:r>
        <w:rPr>
          <w:rFonts w:hint="cs"/>
          <w:rtl/>
        </w:rPr>
        <w:t xml:space="preserve">זו </w:t>
      </w:r>
      <w:bookmarkStart w:id="57368" w:name="_ETM_Q104_287060"/>
      <w:bookmarkEnd w:id="57368"/>
      <w:r>
        <w:rPr>
          <w:rFonts w:hint="cs"/>
          <w:rtl/>
        </w:rPr>
        <w:t xml:space="preserve">כבר </w:t>
      </w:r>
      <w:bookmarkStart w:id="57369" w:name="_ETM_Q104_287240"/>
      <w:bookmarkEnd w:id="57369"/>
      <w:r>
        <w:rPr>
          <w:rFonts w:hint="cs"/>
          <w:rtl/>
        </w:rPr>
        <w:t xml:space="preserve">שאלה </w:t>
      </w:r>
      <w:bookmarkStart w:id="57370" w:name="_ETM_Q104_287630"/>
      <w:bookmarkEnd w:id="57370"/>
      <w:r>
        <w:rPr>
          <w:rFonts w:hint="cs"/>
          <w:rtl/>
        </w:rPr>
        <w:t xml:space="preserve">אחרת – </w:t>
      </w:r>
      <w:bookmarkStart w:id="57371" w:name="_ETM_Q104_288200"/>
      <w:bookmarkEnd w:id="57371"/>
      <w:r>
        <w:rPr>
          <w:rFonts w:hint="cs"/>
          <w:rtl/>
        </w:rPr>
        <w:t xml:space="preserve">הם </w:t>
      </w:r>
      <w:bookmarkStart w:id="57372" w:name="_ETM_Q104_288350"/>
      <w:bookmarkEnd w:id="57372"/>
      <w:r>
        <w:rPr>
          <w:rFonts w:hint="cs"/>
          <w:rtl/>
        </w:rPr>
        <w:t xml:space="preserve">נחלקו </w:t>
      </w:r>
      <w:bookmarkStart w:id="57373" w:name="_ETM_Q104_288860"/>
      <w:bookmarkEnd w:id="57373"/>
      <w:r>
        <w:rPr>
          <w:rFonts w:hint="cs"/>
          <w:rtl/>
        </w:rPr>
        <w:t xml:space="preserve">ביניהם מרות </w:t>
      </w:r>
      <w:bookmarkStart w:id="57374" w:name="_ETM_Q104_289610"/>
      <w:bookmarkEnd w:id="57374"/>
      <w:r>
        <w:rPr>
          <w:rFonts w:hint="cs"/>
          <w:rtl/>
        </w:rPr>
        <w:t xml:space="preserve">בשאלה </w:t>
      </w:r>
      <w:bookmarkStart w:id="57375" w:name="_ETM_Q104_290299"/>
      <w:bookmarkEnd w:id="57375"/>
      <w:r>
        <w:rPr>
          <w:rFonts w:hint="cs"/>
          <w:rtl/>
        </w:rPr>
        <w:t xml:space="preserve">איך </w:t>
      </w:r>
      <w:bookmarkStart w:id="57376" w:name="_ETM_Q104_290600"/>
      <w:bookmarkEnd w:id="57376"/>
      <w:r>
        <w:rPr>
          <w:rFonts w:hint="cs"/>
          <w:rtl/>
        </w:rPr>
        <w:t xml:space="preserve">לפרש </w:t>
      </w:r>
      <w:bookmarkStart w:id="57377" w:name="_ETM_Q104_291020"/>
      <w:bookmarkEnd w:id="57377"/>
      <w:r>
        <w:rPr>
          <w:rFonts w:hint="cs"/>
          <w:rtl/>
        </w:rPr>
        <w:t xml:space="preserve">את </w:t>
      </w:r>
      <w:bookmarkStart w:id="57378" w:name="_ETM_Q104_291140"/>
      <w:bookmarkEnd w:id="57378"/>
      <w:r>
        <w:rPr>
          <w:rFonts w:hint="cs"/>
          <w:rtl/>
        </w:rPr>
        <w:t xml:space="preserve">ההיסטוריה. </w:t>
      </w:r>
      <w:bookmarkStart w:id="57379" w:name="_ETM_Q104_292430"/>
      <w:bookmarkStart w:id="57380" w:name="_ETM_Q104_293523"/>
      <w:bookmarkStart w:id="57381" w:name="_ETM_Q104_293638"/>
      <w:bookmarkStart w:id="57382" w:name="_ETM_Q104_293678"/>
      <w:bookmarkStart w:id="57383" w:name="_ETM_Q104_293760"/>
      <w:bookmarkEnd w:id="57379"/>
      <w:bookmarkEnd w:id="57380"/>
      <w:bookmarkEnd w:id="57381"/>
      <w:bookmarkEnd w:id="57382"/>
      <w:bookmarkEnd w:id="57383"/>
      <w:r>
        <w:rPr>
          <w:rFonts w:hint="cs"/>
          <w:rtl/>
        </w:rPr>
        <w:t xml:space="preserve">אחת </w:t>
      </w:r>
      <w:bookmarkStart w:id="57384" w:name="_ETM_Q104_292790"/>
      <w:bookmarkEnd w:id="57384"/>
      <w:r>
        <w:rPr>
          <w:rFonts w:hint="cs"/>
          <w:rtl/>
        </w:rPr>
        <w:t xml:space="preserve">הנקודות </w:t>
      </w:r>
      <w:bookmarkStart w:id="57385" w:name="_ETM_Q104_293270"/>
      <w:bookmarkEnd w:id="57385"/>
      <w:r>
        <w:rPr>
          <w:rFonts w:hint="cs"/>
          <w:rtl/>
        </w:rPr>
        <w:t>שבה</w:t>
      </w:r>
      <w:bookmarkStart w:id="57386" w:name="_ETM_Q104_293750"/>
      <w:bookmarkStart w:id="57387" w:name="_ETM_Q104_294890"/>
      <w:bookmarkEnd w:id="57386"/>
      <w:bookmarkEnd w:id="57387"/>
      <w:r>
        <w:rPr>
          <w:rFonts w:hint="cs"/>
          <w:rtl/>
        </w:rPr>
        <w:t xml:space="preserve">ן לא שררה </w:t>
      </w:r>
      <w:bookmarkStart w:id="57388" w:name="_ETM_Q104_295490"/>
      <w:bookmarkEnd w:id="57388"/>
      <w:r>
        <w:rPr>
          <w:rFonts w:hint="cs"/>
          <w:rtl/>
        </w:rPr>
        <w:t xml:space="preserve">ביניהם </w:t>
      </w:r>
      <w:bookmarkStart w:id="57389" w:name="_ETM_Q104_295850"/>
      <w:bookmarkEnd w:id="57389"/>
      <w:r>
        <w:rPr>
          <w:rFonts w:hint="cs"/>
          <w:rtl/>
        </w:rPr>
        <w:t xml:space="preserve">מחלוקת </w:t>
      </w:r>
      <w:bookmarkStart w:id="57390" w:name="_ETM_Q104_296360"/>
      <w:bookmarkEnd w:id="57390"/>
      <w:r>
        <w:rPr>
          <w:rFonts w:hint="cs"/>
          <w:rtl/>
        </w:rPr>
        <w:t>היא ה</w:t>
      </w:r>
      <w:bookmarkStart w:id="57391" w:name="_ETM_Q104_296540"/>
      <w:bookmarkEnd w:id="57391"/>
      <w:r>
        <w:rPr>
          <w:rFonts w:hint="cs"/>
          <w:rtl/>
        </w:rPr>
        <w:t xml:space="preserve">דמוקרטיה, </w:t>
      </w:r>
      <w:bookmarkStart w:id="57392" w:name="_ETM_Q104_297470"/>
      <w:bookmarkEnd w:id="57392"/>
      <w:r>
        <w:rPr>
          <w:rFonts w:hint="cs"/>
          <w:rtl/>
        </w:rPr>
        <w:t xml:space="preserve">בעיקר </w:t>
      </w:r>
      <w:bookmarkStart w:id="57393" w:name="_ETM_Q104_297890"/>
      <w:bookmarkEnd w:id="57393"/>
      <w:r>
        <w:rPr>
          <w:rFonts w:hint="cs"/>
          <w:rtl/>
        </w:rPr>
        <w:t xml:space="preserve">אצל </w:t>
      </w:r>
      <w:bookmarkStart w:id="57394" w:name="_ETM_Q104_298130"/>
      <w:bookmarkEnd w:id="57394"/>
      <w:r>
        <w:rPr>
          <w:rFonts w:hint="cs"/>
          <w:rtl/>
        </w:rPr>
        <w:t xml:space="preserve">פוקויאמה, </w:t>
      </w:r>
      <w:bookmarkStart w:id="57395" w:name="_ETM_Q104_298790"/>
      <w:bookmarkEnd w:id="57395"/>
      <w:r>
        <w:rPr>
          <w:rFonts w:hint="cs"/>
          <w:rtl/>
        </w:rPr>
        <w:t xml:space="preserve">אבל </w:t>
      </w:r>
      <w:bookmarkStart w:id="57396" w:name="_ETM_Q104_299000"/>
      <w:bookmarkEnd w:id="57396"/>
      <w:r>
        <w:rPr>
          <w:rFonts w:hint="cs"/>
          <w:rtl/>
        </w:rPr>
        <w:t xml:space="preserve">גם </w:t>
      </w:r>
      <w:bookmarkStart w:id="57397" w:name="_ETM_Q104_299180"/>
      <w:bookmarkEnd w:id="57397"/>
      <w:r>
        <w:rPr>
          <w:rFonts w:hint="cs"/>
          <w:rtl/>
        </w:rPr>
        <w:t xml:space="preserve">אצל </w:t>
      </w:r>
      <w:bookmarkStart w:id="57398" w:name="_ETM_Q104_299450"/>
      <w:bookmarkEnd w:id="57398"/>
      <w:r>
        <w:rPr>
          <w:rFonts w:hint="cs"/>
          <w:rtl/>
        </w:rPr>
        <w:t xml:space="preserve">הנטינגטון. </w:t>
      </w:r>
      <w:bookmarkStart w:id="57399" w:name="_ETM_Q104_300530"/>
      <w:bookmarkEnd w:id="57399"/>
      <w:r>
        <w:rPr>
          <w:rFonts w:hint="cs"/>
          <w:rtl/>
        </w:rPr>
        <w:t xml:space="preserve">דמוקרטיה </w:t>
      </w:r>
      <w:bookmarkStart w:id="57400" w:name="_ETM_Q104_301190"/>
      <w:bookmarkEnd w:id="57400"/>
      <w:r>
        <w:rPr>
          <w:rFonts w:hint="cs"/>
          <w:rtl/>
        </w:rPr>
        <w:t xml:space="preserve">הייתה </w:t>
      </w:r>
      <w:bookmarkStart w:id="57401" w:name="_ETM_Q104_301520"/>
      <w:bookmarkEnd w:id="57401"/>
      <w:r>
        <w:rPr>
          <w:rFonts w:hint="cs"/>
          <w:rtl/>
        </w:rPr>
        <w:t xml:space="preserve">המקבילה </w:t>
      </w:r>
      <w:bookmarkStart w:id="57402" w:name="_ETM_Q104_302060"/>
      <w:bookmarkEnd w:id="57402"/>
      <w:r>
        <w:rPr>
          <w:rFonts w:hint="cs"/>
          <w:rtl/>
        </w:rPr>
        <w:t xml:space="preserve">לנירוונה </w:t>
      </w:r>
      <w:bookmarkStart w:id="57403" w:name="_ETM_Q104_302690"/>
      <w:bookmarkEnd w:id="57403"/>
      <w:r>
        <w:rPr>
          <w:rFonts w:hint="cs"/>
          <w:rtl/>
        </w:rPr>
        <w:t xml:space="preserve">אצל </w:t>
      </w:r>
      <w:bookmarkStart w:id="57404" w:name="_ETM_Q104_302960"/>
      <w:bookmarkEnd w:id="57404"/>
      <w:r>
        <w:rPr>
          <w:rFonts w:hint="cs"/>
          <w:rtl/>
        </w:rPr>
        <w:t xml:space="preserve">הבודהיסט – </w:t>
      </w:r>
      <w:bookmarkStart w:id="57405" w:name="_ETM_Q104_303920"/>
      <w:bookmarkEnd w:id="57405"/>
      <w:r>
        <w:rPr>
          <w:rFonts w:hint="cs"/>
          <w:rtl/>
        </w:rPr>
        <w:t xml:space="preserve">השלב </w:t>
      </w:r>
      <w:bookmarkStart w:id="57406" w:name="_ETM_Q104_304580"/>
      <w:bookmarkEnd w:id="57406"/>
      <w:r>
        <w:rPr>
          <w:rFonts w:hint="cs"/>
          <w:rtl/>
        </w:rPr>
        <w:t xml:space="preserve">העליון </w:t>
      </w:r>
      <w:bookmarkStart w:id="57407" w:name="_ETM_Q104_305119"/>
      <w:bookmarkEnd w:id="57407"/>
      <w:r>
        <w:rPr>
          <w:rFonts w:hint="cs"/>
          <w:rtl/>
        </w:rPr>
        <w:t xml:space="preserve">של </w:t>
      </w:r>
      <w:bookmarkStart w:id="57408" w:name="_ETM_Q104_305330"/>
      <w:bookmarkEnd w:id="57408"/>
      <w:r>
        <w:rPr>
          <w:rFonts w:hint="cs"/>
          <w:rtl/>
        </w:rPr>
        <w:t xml:space="preserve">ההוויה, </w:t>
      </w:r>
      <w:bookmarkStart w:id="57409" w:name="_ETM_Q104_306420"/>
      <w:bookmarkEnd w:id="57409"/>
      <w:r>
        <w:rPr>
          <w:rFonts w:hint="cs"/>
          <w:rtl/>
        </w:rPr>
        <w:t xml:space="preserve">שיטת </w:t>
      </w:r>
      <w:bookmarkStart w:id="57410" w:name="_ETM_Q104_306869"/>
      <w:bookmarkEnd w:id="57410"/>
      <w:r>
        <w:rPr>
          <w:rFonts w:hint="cs"/>
          <w:rtl/>
        </w:rPr>
        <w:t xml:space="preserve">המשטר </w:t>
      </w:r>
      <w:bookmarkStart w:id="57411" w:name="_ETM_Q104_307350"/>
      <w:bookmarkEnd w:id="57411"/>
      <w:r>
        <w:rPr>
          <w:rFonts w:hint="cs"/>
          <w:rtl/>
        </w:rPr>
        <w:t xml:space="preserve">שעמים </w:t>
      </w:r>
      <w:bookmarkStart w:id="57412" w:name="_ETM_Q104_307890"/>
      <w:bookmarkEnd w:id="57412"/>
      <w:r>
        <w:rPr>
          <w:rFonts w:hint="cs"/>
          <w:rtl/>
        </w:rPr>
        <w:t xml:space="preserve">ומדינות </w:t>
      </w:r>
      <w:bookmarkStart w:id="57413" w:name="_ETM_Q104_308459"/>
      <w:bookmarkEnd w:id="57413"/>
      <w:r>
        <w:rPr>
          <w:rFonts w:hint="cs"/>
          <w:rtl/>
        </w:rPr>
        <w:t xml:space="preserve">שואפים </w:t>
      </w:r>
      <w:bookmarkStart w:id="57414" w:name="_ETM_Q104_308910"/>
      <w:bookmarkEnd w:id="57414"/>
      <w:r>
        <w:rPr>
          <w:rFonts w:hint="cs"/>
          <w:rtl/>
        </w:rPr>
        <w:t xml:space="preserve">אליה. </w:t>
      </w:r>
      <w:bookmarkStart w:id="57415" w:name="_ETM_Q104_309590"/>
      <w:bookmarkEnd w:id="57415"/>
      <w:r>
        <w:rPr>
          <w:rFonts w:hint="cs"/>
          <w:rtl/>
        </w:rPr>
        <w:t xml:space="preserve">מרגע </w:t>
      </w:r>
      <w:bookmarkStart w:id="57416" w:name="_ETM_Q104_310010"/>
      <w:bookmarkEnd w:id="57416"/>
      <w:r>
        <w:rPr>
          <w:rFonts w:hint="cs"/>
          <w:rtl/>
        </w:rPr>
        <w:t xml:space="preserve">שהושגה, </w:t>
      </w:r>
      <w:bookmarkStart w:id="57417" w:name="_ETM_Q104_310879"/>
      <w:bookmarkEnd w:id="57417"/>
      <w:r>
        <w:rPr>
          <w:rFonts w:hint="cs"/>
          <w:rtl/>
        </w:rPr>
        <w:t xml:space="preserve">הגיעה </w:t>
      </w:r>
      <w:bookmarkStart w:id="57418" w:name="_ETM_Q104_311300"/>
      <w:bookmarkEnd w:id="57418"/>
      <w:r>
        <w:rPr>
          <w:rFonts w:hint="cs"/>
          <w:rtl/>
        </w:rPr>
        <w:t xml:space="preserve">המדינה </w:t>
      </w:r>
      <w:bookmarkStart w:id="57419" w:name="_ETM_Q104_312110"/>
      <w:bookmarkEnd w:id="57419"/>
      <w:r>
        <w:rPr>
          <w:rFonts w:hint="cs"/>
          <w:rtl/>
        </w:rPr>
        <w:t xml:space="preserve">לשיא </w:t>
      </w:r>
      <w:bookmarkStart w:id="57420" w:name="_ETM_Q104_312560"/>
      <w:bookmarkEnd w:id="57420"/>
      <w:r>
        <w:rPr>
          <w:rFonts w:hint="cs"/>
          <w:rtl/>
        </w:rPr>
        <w:t xml:space="preserve">שיטת </w:t>
      </w:r>
      <w:bookmarkStart w:id="57421" w:name="_ETM_Q104_312980"/>
      <w:bookmarkEnd w:id="57421"/>
      <w:r>
        <w:rPr>
          <w:rFonts w:hint="cs"/>
          <w:rtl/>
        </w:rPr>
        <w:t xml:space="preserve">הממשל, </w:t>
      </w:r>
      <w:bookmarkStart w:id="57422" w:name="_ETM_Q104_313849"/>
      <w:bookmarkEnd w:id="57422"/>
      <w:r>
        <w:rPr>
          <w:rFonts w:hint="cs"/>
          <w:rtl/>
        </w:rPr>
        <w:t xml:space="preserve">ולא </w:t>
      </w:r>
      <w:bookmarkStart w:id="57423" w:name="_ETM_Q104_314090"/>
      <w:bookmarkEnd w:id="57423"/>
      <w:r>
        <w:rPr>
          <w:rFonts w:hint="cs"/>
          <w:rtl/>
        </w:rPr>
        <w:t xml:space="preserve">תיסוג </w:t>
      </w:r>
      <w:bookmarkStart w:id="57424" w:name="_ETM_Q104_314540"/>
      <w:bookmarkEnd w:id="57424"/>
      <w:r>
        <w:rPr>
          <w:rFonts w:hint="cs"/>
          <w:rtl/>
        </w:rPr>
        <w:t xml:space="preserve">עוד </w:t>
      </w:r>
      <w:bookmarkStart w:id="57425" w:name="_ETM_Q104_314659"/>
      <w:bookmarkEnd w:id="57425"/>
      <w:r>
        <w:rPr>
          <w:rFonts w:hint="cs"/>
          <w:rtl/>
        </w:rPr>
        <w:t xml:space="preserve">לאחור, </w:t>
      </w:r>
      <w:bookmarkStart w:id="57426" w:name="_ETM_Q104_315290"/>
      <w:bookmarkEnd w:id="57426"/>
      <w:r>
        <w:rPr>
          <w:rFonts w:hint="cs"/>
          <w:rtl/>
        </w:rPr>
        <w:t xml:space="preserve">אלא </w:t>
      </w:r>
      <w:bookmarkStart w:id="57427" w:name="_ETM_Q104_315560"/>
      <w:bookmarkEnd w:id="57427"/>
      <w:r>
        <w:rPr>
          <w:rFonts w:hint="cs"/>
          <w:rtl/>
        </w:rPr>
        <w:t xml:space="preserve">אם </w:t>
      </w:r>
      <w:bookmarkStart w:id="57428" w:name="_ETM_Q104_315680"/>
      <w:bookmarkEnd w:id="57428"/>
      <w:r>
        <w:rPr>
          <w:rFonts w:hint="cs"/>
          <w:rtl/>
        </w:rPr>
        <w:t xml:space="preserve">כן </w:t>
      </w:r>
      <w:bookmarkStart w:id="57429" w:name="_ETM_Q104_315919"/>
      <w:bookmarkEnd w:id="57429"/>
      <w:r>
        <w:rPr>
          <w:rFonts w:hint="cs"/>
          <w:rtl/>
        </w:rPr>
        <w:t xml:space="preserve">תיכבש </w:t>
      </w:r>
      <w:bookmarkStart w:id="57430" w:name="_ETM_Q104_316580"/>
      <w:bookmarkEnd w:id="57430"/>
      <w:r>
        <w:rPr>
          <w:rFonts w:hint="cs"/>
          <w:rtl/>
        </w:rPr>
        <w:t xml:space="preserve">או </w:t>
      </w:r>
      <w:bookmarkStart w:id="57431" w:name="_ETM_Q104_316669"/>
      <w:bookmarkEnd w:id="57431"/>
      <w:r>
        <w:rPr>
          <w:rFonts w:hint="cs"/>
          <w:rtl/>
        </w:rPr>
        <w:t xml:space="preserve">תתבצע </w:t>
      </w:r>
      <w:bookmarkStart w:id="57432" w:name="_ETM_Q104_317180"/>
      <w:bookmarkEnd w:id="57432"/>
      <w:r>
        <w:rPr>
          <w:rFonts w:hint="cs"/>
          <w:rtl/>
        </w:rPr>
        <w:t xml:space="preserve">הפיכה </w:t>
      </w:r>
      <w:bookmarkStart w:id="57433" w:name="_ETM_Q104_317599"/>
      <w:bookmarkEnd w:id="57433"/>
      <w:r>
        <w:rPr>
          <w:rFonts w:hint="cs"/>
          <w:rtl/>
        </w:rPr>
        <w:t xml:space="preserve">המנסה </w:t>
      </w:r>
      <w:bookmarkStart w:id="57434" w:name="_ETM_Q104_318080"/>
      <w:bookmarkEnd w:id="57434"/>
      <w:r>
        <w:rPr>
          <w:rFonts w:hint="cs"/>
          <w:rtl/>
        </w:rPr>
        <w:t xml:space="preserve">להשליט </w:t>
      </w:r>
      <w:bookmarkStart w:id="57435" w:name="_ETM_Q104_319440"/>
      <w:bookmarkEnd w:id="57435"/>
      <w:r>
        <w:rPr>
          <w:rFonts w:hint="cs"/>
          <w:rtl/>
        </w:rPr>
        <w:t xml:space="preserve">על </w:t>
      </w:r>
      <w:bookmarkStart w:id="57436" w:name="_ETM_Q104_319620"/>
      <w:bookmarkEnd w:id="57436"/>
      <w:r>
        <w:rPr>
          <w:rFonts w:hint="cs"/>
          <w:rtl/>
        </w:rPr>
        <w:t xml:space="preserve">המדינה </w:t>
      </w:r>
      <w:bookmarkStart w:id="57437" w:name="_ETM_Q104_320040"/>
      <w:bookmarkEnd w:id="57437"/>
      <w:r>
        <w:rPr>
          <w:rFonts w:hint="cs"/>
          <w:rtl/>
        </w:rPr>
        <w:t xml:space="preserve">רודן. </w:t>
      </w:r>
      <w:bookmarkStart w:id="57438" w:name="_ETM_Q104_322099"/>
      <w:bookmarkEnd w:id="57438"/>
    </w:p>
    <w:p w:rsidR="00BB59CD" w:rsidRDefault="00BB59CD" w:rsidP="00BB59CD">
      <w:pPr>
        <w:rPr>
          <w:rtl/>
        </w:rPr>
      </w:pPr>
      <w:bookmarkStart w:id="57439" w:name="_ETM_Q104_324515"/>
      <w:bookmarkStart w:id="57440" w:name="_ETM_Q104_324638"/>
      <w:bookmarkEnd w:id="57439"/>
      <w:bookmarkEnd w:id="57440"/>
    </w:p>
    <w:p w:rsidR="00BB59CD" w:rsidRDefault="00BB59CD" w:rsidP="00D80B85">
      <w:pPr>
        <w:rPr>
          <w:rtl/>
        </w:rPr>
      </w:pPr>
      <w:bookmarkStart w:id="57441" w:name="_ETM_Q104_324995"/>
      <w:bookmarkStart w:id="57442" w:name="_ETM_Q104_325096"/>
      <w:bookmarkEnd w:id="57441"/>
      <w:bookmarkEnd w:id="57442"/>
      <w:r>
        <w:rPr>
          <w:rFonts w:hint="cs"/>
          <w:rtl/>
        </w:rPr>
        <w:t xml:space="preserve">"פחות </w:t>
      </w:r>
      <w:bookmarkStart w:id="57443" w:name="_ETM_Q104_322430"/>
      <w:bookmarkEnd w:id="57443"/>
      <w:r>
        <w:rPr>
          <w:rFonts w:hint="cs"/>
          <w:rtl/>
        </w:rPr>
        <w:t xml:space="preserve">חשוב </w:t>
      </w:r>
      <w:bookmarkStart w:id="57444" w:name="_ETM_Q104_322819"/>
      <w:bookmarkEnd w:id="57444"/>
      <w:r>
        <w:rPr>
          <w:rFonts w:hint="cs"/>
          <w:rtl/>
        </w:rPr>
        <w:t xml:space="preserve">באיזו </w:t>
      </w:r>
      <w:bookmarkStart w:id="57445" w:name="_ETM_Q104_323120"/>
      <w:bookmarkEnd w:id="57445"/>
      <w:r>
        <w:rPr>
          <w:rFonts w:hint="cs"/>
          <w:rtl/>
        </w:rPr>
        <w:t xml:space="preserve">דמוקרטיה </w:t>
      </w:r>
      <w:bookmarkStart w:id="57446" w:name="_ETM_Q104_323659"/>
      <w:bookmarkEnd w:id="57446"/>
      <w:r>
        <w:rPr>
          <w:rFonts w:hint="cs"/>
          <w:rtl/>
        </w:rPr>
        <w:t xml:space="preserve">מדובר – </w:t>
      </w:r>
      <w:bookmarkStart w:id="57447" w:name="_ETM_Q104_324290"/>
      <w:bookmarkEnd w:id="57447"/>
      <w:r>
        <w:rPr>
          <w:rFonts w:hint="cs"/>
          <w:rtl/>
        </w:rPr>
        <w:t xml:space="preserve">המודל </w:t>
      </w:r>
      <w:bookmarkStart w:id="57448" w:name="_ETM_Q104_324739"/>
      <w:bookmarkEnd w:id="57448"/>
      <w:r>
        <w:rPr>
          <w:rFonts w:hint="cs"/>
          <w:rtl/>
        </w:rPr>
        <w:t xml:space="preserve">האמריקאי, </w:t>
      </w:r>
      <w:bookmarkStart w:id="57449" w:name="_ETM_Q104_325459"/>
      <w:bookmarkEnd w:id="57449"/>
      <w:r>
        <w:rPr>
          <w:rFonts w:hint="cs"/>
          <w:rtl/>
        </w:rPr>
        <w:t xml:space="preserve">הבריטי, </w:t>
      </w:r>
      <w:bookmarkStart w:id="57450" w:name="_ETM_Q104_325879"/>
      <w:bookmarkEnd w:id="57450"/>
      <w:r>
        <w:rPr>
          <w:rFonts w:hint="cs"/>
          <w:rtl/>
        </w:rPr>
        <w:t xml:space="preserve">הסקנדינבי – </w:t>
      </w:r>
      <w:bookmarkStart w:id="57451" w:name="_ETM_Q104_326930"/>
      <w:bookmarkEnd w:id="57451"/>
      <w:r>
        <w:rPr>
          <w:rFonts w:hint="cs"/>
          <w:rtl/>
        </w:rPr>
        <w:t xml:space="preserve">אבל </w:t>
      </w:r>
      <w:bookmarkStart w:id="57452" w:name="_ETM_Q104_327230"/>
      <w:bookmarkEnd w:id="57452"/>
      <w:r>
        <w:rPr>
          <w:rFonts w:hint="cs"/>
          <w:rtl/>
        </w:rPr>
        <w:t xml:space="preserve">העם, </w:t>
      </w:r>
      <w:bookmarkStart w:id="57453" w:name="_ETM_Q104_327500"/>
      <w:bookmarkEnd w:id="57453"/>
      <w:r>
        <w:rPr>
          <w:rFonts w:hint="cs"/>
          <w:rtl/>
        </w:rPr>
        <w:t xml:space="preserve">הבוחרים, </w:t>
      </w:r>
      <w:bookmarkStart w:id="57454" w:name="_ETM_Q104_328069"/>
      <w:bookmarkEnd w:id="57454"/>
      <w:r>
        <w:rPr>
          <w:rFonts w:hint="cs"/>
          <w:rtl/>
        </w:rPr>
        <w:t xml:space="preserve">האזרחים, </w:t>
      </w:r>
      <w:bookmarkStart w:id="57455" w:name="_ETM_Q104_328579"/>
      <w:bookmarkEnd w:id="57455"/>
      <w:r>
        <w:rPr>
          <w:rFonts w:hint="cs"/>
          <w:rtl/>
        </w:rPr>
        <w:t xml:space="preserve">יבחרו </w:t>
      </w:r>
      <w:bookmarkStart w:id="57456" w:name="_ETM_Q104_328939"/>
      <w:bookmarkEnd w:id="57456"/>
      <w:r>
        <w:rPr>
          <w:rFonts w:hint="cs"/>
          <w:rtl/>
        </w:rPr>
        <w:t xml:space="preserve">תמיד </w:t>
      </w:r>
      <w:bookmarkStart w:id="57457" w:name="_ETM_Q104_329239"/>
      <w:bookmarkEnd w:id="57457"/>
      <w:r>
        <w:rPr>
          <w:rFonts w:hint="cs"/>
          <w:rtl/>
        </w:rPr>
        <w:t xml:space="preserve">בדמוקרטיה, </w:t>
      </w:r>
      <w:bookmarkStart w:id="57458" w:name="_ETM_Q104_329989"/>
      <w:bookmarkEnd w:id="57458"/>
      <w:r>
        <w:rPr>
          <w:rFonts w:hint="cs"/>
          <w:rtl/>
        </w:rPr>
        <w:t xml:space="preserve">יכוננו </w:t>
      </w:r>
      <w:bookmarkStart w:id="57459" w:name="_ETM_Q104_330500"/>
      <w:bookmarkEnd w:id="57459"/>
      <w:r>
        <w:rPr>
          <w:rFonts w:hint="cs"/>
          <w:rtl/>
        </w:rPr>
        <w:t xml:space="preserve">מוסדות </w:t>
      </w:r>
      <w:bookmarkStart w:id="57460" w:name="_ETM_Q104_331040"/>
      <w:bookmarkEnd w:id="57460"/>
      <w:r>
        <w:rPr>
          <w:rFonts w:hint="cs"/>
          <w:rtl/>
        </w:rPr>
        <w:t xml:space="preserve">האמורים </w:t>
      </w:r>
      <w:bookmarkStart w:id="57461" w:name="_ETM_Q104_331489"/>
      <w:bookmarkEnd w:id="57461"/>
      <w:r>
        <w:rPr>
          <w:rFonts w:hint="cs"/>
          <w:rtl/>
        </w:rPr>
        <w:t xml:space="preserve">לשמור </w:t>
      </w:r>
      <w:bookmarkStart w:id="57462" w:name="_ETM_Q104_331909"/>
      <w:bookmarkEnd w:id="57462"/>
      <w:r>
        <w:rPr>
          <w:rFonts w:hint="cs"/>
          <w:rtl/>
        </w:rPr>
        <w:t xml:space="preserve">עליה, </w:t>
      </w:r>
      <w:bookmarkStart w:id="57463" w:name="_ETM_Q104_332580"/>
      <w:bookmarkEnd w:id="57463"/>
      <w:r>
        <w:rPr>
          <w:rFonts w:hint="cs"/>
          <w:rtl/>
        </w:rPr>
        <w:t xml:space="preserve">ירצו </w:t>
      </w:r>
      <w:bookmarkStart w:id="57464" w:name="_ETM_Q104_332910"/>
      <w:bookmarkEnd w:id="57464"/>
      <w:r>
        <w:rPr>
          <w:rFonts w:hint="cs"/>
          <w:rtl/>
        </w:rPr>
        <w:t xml:space="preserve">תמיד </w:t>
      </w:r>
      <w:bookmarkStart w:id="57465" w:name="_ETM_Q104_333240"/>
      <w:bookmarkEnd w:id="57465"/>
      <w:r>
        <w:rPr>
          <w:rFonts w:hint="cs"/>
          <w:rtl/>
        </w:rPr>
        <w:t xml:space="preserve">החרויות </w:t>
      </w:r>
      <w:bookmarkStart w:id="57466" w:name="_ETM_Q104_333870"/>
      <w:bookmarkEnd w:id="57466"/>
      <w:r>
        <w:rPr>
          <w:rFonts w:hint="cs"/>
          <w:rtl/>
        </w:rPr>
        <w:t xml:space="preserve">שהיא </w:t>
      </w:r>
      <w:bookmarkStart w:id="57467" w:name="_ETM_Q104_334050"/>
      <w:bookmarkEnd w:id="57467"/>
      <w:r>
        <w:rPr>
          <w:rFonts w:hint="cs"/>
          <w:rtl/>
        </w:rPr>
        <w:t xml:space="preserve">מבטיחה. </w:t>
      </w:r>
      <w:bookmarkStart w:id="57468" w:name="_ETM_Q104_335130"/>
      <w:bookmarkEnd w:id="57468"/>
      <w:r>
        <w:rPr>
          <w:rFonts w:hint="cs"/>
          <w:rtl/>
        </w:rPr>
        <w:t xml:space="preserve">הרי </w:t>
      </w:r>
      <w:bookmarkStart w:id="57469" w:name="_ETM_Q104_335460"/>
      <w:bookmarkEnd w:id="57469"/>
      <w:r>
        <w:rPr>
          <w:rFonts w:hint="cs"/>
          <w:rtl/>
        </w:rPr>
        <w:t xml:space="preserve">כך </w:t>
      </w:r>
      <w:bookmarkStart w:id="57470" w:name="_ETM_Q104_335730"/>
      <w:bookmarkEnd w:id="57470"/>
      <w:r>
        <w:rPr>
          <w:rFonts w:hint="cs"/>
          <w:rtl/>
        </w:rPr>
        <w:t xml:space="preserve">היה </w:t>
      </w:r>
      <w:bookmarkStart w:id="57471" w:name="_ETM_Q104_335970"/>
      <w:bookmarkEnd w:id="57471"/>
      <w:r>
        <w:rPr>
          <w:rFonts w:hint="cs"/>
          <w:rtl/>
        </w:rPr>
        <w:t xml:space="preserve">מאז </w:t>
      </w:r>
      <w:bookmarkStart w:id="57472" w:name="_ETM_Q104_336300"/>
      <w:bookmarkEnd w:id="57472"/>
      <w:r>
        <w:rPr>
          <w:rFonts w:hint="cs"/>
          <w:rtl/>
        </w:rPr>
        <w:t xml:space="preserve">הומצא </w:t>
      </w:r>
      <w:bookmarkStart w:id="57473" w:name="_ETM_Q104_336690"/>
      <w:bookmarkEnd w:id="57473"/>
      <w:r>
        <w:rPr>
          <w:rFonts w:hint="cs"/>
          <w:rtl/>
        </w:rPr>
        <w:t xml:space="preserve">המושג </w:t>
      </w:r>
      <w:bookmarkStart w:id="57474" w:name="_ETM_Q104_337139"/>
      <w:bookmarkEnd w:id="57474"/>
      <w:r>
        <w:rPr>
          <w:rFonts w:hint="cs"/>
          <w:rtl/>
        </w:rPr>
        <w:t xml:space="preserve">לפני </w:t>
      </w:r>
      <w:bookmarkStart w:id="57475" w:name="_ETM_Q104_337440"/>
      <w:bookmarkEnd w:id="57475"/>
      <w:r>
        <w:rPr>
          <w:rFonts w:hint="cs"/>
          <w:rtl/>
        </w:rPr>
        <w:t xml:space="preserve">2500 </w:t>
      </w:r>
      <w:bookmarkStart w:id="57476" w:name="_ETM_Q104_338370"/>
      <w:bookmarkEnd w:id="57476"/>
      <w:r>
        <w:rPr>
          <w:rFonts w:hint="cs"/>
          <w:rtl/>
        </w:rPr>
        <w:t xml:space="preserve">שנה, הלא </w:t>
      </w:r>
      <w:bookmarkStart w:id="57477" w:name="_ETM_Q104_337001"/>
      <w:bookmarkEnd w:id="57477"/>
      <w:r>
        <w:rPr>
          <w:rFonts w:hint="cs"/>
          <w:rtl/>
        </w:rPr>
        <w:t xml:space="preserve">כן? </w:t>
      </w:r>
      <w:bookmarkStart w:id="57478" w:name="_ETM_Q104_338790"/>
      <w:bookmarkStart w:id="57479" w:name="_ETM_Q104_344323"/>
      <w:bookmarkStart w:id="57480" w:name="_ETM_Q104_344417"/>
      <w:bookmarkStart w:id="57481" w:name="_ETM_Q104_344779"/>
      <w:bookmarkStart w:id="57482" w:name="_ETM_Q104_344839"/>
      <w:bookmarkEnd w:id="57478"/>
      <w:bookmarkEnd w:id="57479"/>
      <w:bookmarkEnd w:id="57480"/>
      <w:bookmarkEnd w:id="57481"/>
      <w:bookmarkEnd w:id="57482"/>
      <w:r>
        <w:rPr>
          <w:rFonts w:hint="cs"/>
          <w:rtl/>
        </w:rPr>
        <w:t xml:space="preserve">לא. </w:t>
      </w:r>
      <w:bookmarkStart w:id="57483" w:name="_ETM_Q104_338940"/>
      <w:bookmarkStart w:id="57484" w:name="_ETM_Q104_340820"/>
      <w:bookmarkEnd w:id="57483"/>
      <w:bookmarkEnd w:id="57484"/>
      <w:r>
        <w:rPr>
          <w:rFonts w:hint="cs"/>
          <w:rtl/>
        </w:rPr>
        <w:t xml:space="preserve">נכון, </w:t>
      </w:r>
      <w:bookmarkStart w:id="57485" w:name="_ETM_Q104_341360"/>
      <w:bookmarkEnd w:id="57485"/>
      <w:r>
        <w:rPr>
          <w:rFonts w:hint="cs"/>
          <w:rtl/>
        </w:rPr>
        <w:t xml:space="preserve">מושג </w:t>
      </w:r>
      <w:bookmarkStart w:id="57486" w:name="_ETM_Q104_341750"/>
      <w:bookmarkEnd w:id="57486"/>
      <w:r>
        <w:rPr>
          <w:rFonts w:hint="cs"/>
          <w:rtl/>
        </w:rPr>
        <w:t xml:space="preserve">הדמוקרטיה </w:t>
      </w:r>
      <w:bookmarkStart w:id="57487" w:name="_ETM_Q104_342380"/>
      <w:bookmarkEnd w:id="57487"/>
      <w:r>
        <w:rPr>
          <w:rFonts w:hint="cs"/>
          <w:rtl/>
        </w:rPr>
        <w:t xml:space="preserve">הומצא </w:t>
      </w:r>
      <w:bookmarkStart w:id="57488" w:name="_ETM_Q104_342710"/>
      <w:bookmarkEnd w:id="57488"/>
      <w:r>
        <w:rPr>
          <w:rFonts w:hint="cs"/>
          <w:rtl/>
        </w:rPr>
        <w:t xml:space="preserve">ביוון </w:t>
      </w:r>
      <w:bookmarkStart w:id="57489" w:name="_ETM_Q104_343130"/>
      <w:bookmarkStart w:id="57490" w:name="_ETM_Q104_343550"/>
      <w:bookmarkEnd w:id="57489"/>
      <w:bookmarkEnd w:id="57490"/>
      <w:r>
        <w:rPr>
          <w:rFonts w:hint="cs"/>
          <w:rtl/>
        </w:rPr>
        <w:t xml:space="preserve">העתיקה, </w:t>
      </w:r>
      <w:bookmarkStart w:id="57491" w:name="_ETM_Q104_344419"/>
      <w:bookmarkEnd w:id="57491"/>
      <w:r>
        <w:rPr>
          <w:rFonts w:hint="cs"/>
          <w:rtl/>
        </w:rPr>
        <w:t xml:space="preserve">שיחד </w:t>
      </w:r>
      <w:bookmarkStart w:id="57492" w:name="_ETM_Q104_344840"/>
      <w:bookmarkEnd w:id="57492"/>
      <w:r>
        <w:rPr>
          <w:rFonts w:hint="cs"/>
          <w:rtl/>
        </w:rPr>
        <w:t xml:space="preserve">עם </w:t>
      </w:r>
      <w:bookmarkStart w:id="57493" w:name="_ETM_Q104_344930"/>
      <w:bookmarkEnd w:id="57493"/>
      <w:r>
        <w:rPr>
          <w:rFonts w:hint="cs"/>
          <w:rtl/>
        </w:rPr>
        <w:t xml:space="preserve">ארץ </w:t>
      </w:r>
      <w:bookmarkStart w:id="57494" w:name="_ETM_Q104_345349"/>
      <w:bookmarkEnd w:id="57494"/>
      <w:r>
        <w:rPr>
          <w:rFonts w:hint="cs"/>
          <w:rtl/>
        </w:rPr>
        <w:t xml:space="preserve">ישראל </w:t>
      </w:r>
      <w:bookmarkStart w:id="57495" w:name="_ETM_Q104_345770"/>
      <w:bookmarkEnd w:id="57495"/>
      <w:r>
        <w:rPr>
          <w:rFonts w:hint="cs"/>
          <w:rtl/>
        </w:rPr>
        <w:t xml:space="preserve">היא תא </w:t>
      </w:r>
      <w:bookmarkStart w:id="57496" w:name="_ETM_Q104_346040"/>
      <w:bookmarkEnd w:id="57496"/>
      <w:r>
        <w:rPr>
          <w:rFonts w:hint="cs"/>
          <w:rtl/>
        </w:rPr>
        <w:t xml:space="preserve">השטח </w:t>
      </w:r>
      <w:bookmarkStart w:id="57497" w:name="_ETM_Q104_346400"/>
      <w:bookmarkEnd w:id="57497"/>
      <w:r>
        <w:rPr>
          <w:rFonts w:hint="cs"/>
          <w:rtl/>
        </w:rPr>
        <w:t xml:space="preserve">הקטן </w:t>
      </w:r>
      <w:bookmarkStart w:id="57498" w:name="_ETM_Q104_346850"/>
      <w:bookmarkEnd w:id="57498"/>
      <w:r>
        <w:rPr>
          <w:rFonts w:hint="cs"/>
          <w:rtl/>
        </w:rPr>
        <w:t xml:space="preserve">והמשפיע </w:t>
      </w:r>
      <w:bookmarkStart w:id="57499" w:name="_ETM_Q104_347360"/>
      <w:bookmarkEnd w:id="57499"/>
      <w:r>
        <w:rPr>
          <w:rFonts w:hint="cs"/>
          <w:rtl/>
        </w:rPr>
        <w:t xml:space="preserve">ביותר </w:t>
      </w:r>
      <w:bookmarkStart w:id="57500" w:name="_ETM_Q104_347750"/>
      <w:bookmarkEnd w:id="57500"/>
      <w:r>
        <w:rPr>
          <w:rFonts w:hint="cs"/>
          <w:rtl/>
        </w:rPr>
        <w:t xml:space="preserve">בהיסטוריה. </w:t>
      </w:r>
      <w:bookmarkStart w:id="57501" w:name="_ETM_Q104_348860"/>
      <w:bookmarkEnd w:id="57501"/>
      <w:r>
        <w:rPr>
          <w:rFonts w:hint="cs"/>
          <w:rtl/>
        </w:rPr>
        <w:t xml:space="preserve">אבל </w:t>
      </w:r>
      <w:bookmarkStart w:id="57502" w:name="_ETM_Q104_349160"/>
      <w:bookmarkEnd w:id="57502"/>
      <w:r>
        <w:rPr>
          <w:rFonts w:hint="cs"/>
          <w:rtl/>
        </w:rPr>
        <w:t xml:space="preserve">מי </w:t>
      </w:r>
      <w:bookmarkStart w:id="57503" w:name="_ETM_Q104_349310"/>
      <w:bookmarkEnd w:id="57503"/>
      <w:r>
        <w:rPr>
          <w:rFonts w:hint="cs"/>
          <w:rtl/>
        </w:rPr>
        <w:t xml:space="preserve">בדיוק </w:t>
      </w:r>
      <w:bookmarkStart w:id="57504" w:name="_ETM_Q104_349599"/>
      <w:bookmarkEnd w:id="57504"/>
      <w:r>
        <w:rPr>
          <w:rFonts w:hint="cs"/>
          <w:rtl/>
        </w:rPr>
        <w:t xml:space="preserve">חי </w:t>
      </w:r>
      <w:bookmarkStart w:id="57505" w:name="_ETM_Q104_350290"/>
      <w:bookmarkEnd w:id="57505"/>
      <w:r>
        <w:rPr>
          <w:rFonts w:hint="cs"/>
          <w:rtl/>
        </w:rPr>
        <w:t xml:space="preserve">בדמוקרטיה </w:t>
      </w:r>
      <w:bookmarkStart w:id="57506" w:name="_ETM_Q104_351040"/>
      <w:bookmarkEnd w:id="57506"/>
      <w:r>
        <w:rPr>
          <w:rFonts w:hint="cs"/>
          <w:rtl/>
        </w:rPr>
        <w:t xml:space="preserve">ביוון </w:t>
      </w:r>
      <w:bookmarkStart w:id="57507" w:name="_ETM_Q104_351459"/>
      <w:bookmarkEnd w:id="57507"/>
      <w:r>
        <w:rPr>
          <w:rFonts w:hint="cs"/>
          <w:rtl/>
        </w:rPr>
        <w:t xml:space="preserve">העתיקה? </w:t>
      </w:r>
      <w:bookmarkStart w:id="57508" w:name="_ETM_Q104_352310"/>
      <w:bookmarkEnd w:id="57508"/>
      <w:r>
        <w:rPr>
          <w:rFonts w:hint="cs"/>
          <w:rtl/>
        </w:rPr>
        <w:t xml:space="preserve">מבלי </w:t>
      </w:r>
      <w:bookmarkStart w:id="57509" w:name="_ETM_Q104_352790"/>
      <w:bookmarkEnd w:id="57509"/>
      <w:r>
        <w:rPr>
          <w:rFonts w:hint="cs"/>
          <w:rtl/>
        </w:rPr>
        <w:t xml:space="preserve">לזלזל, </w:t>
      </w:r>
      <w:bookmarkStart w:id="57510" w:name="_ETM_Q104_353480"/>
      <w:bookmarkEnd w:id="57510"/>
      <w:r>
        <w:rPr>
          <w:rFonts w:hint="cs"/>
          <w:rtl/>
        </w:rPr>
        <w:t xml:space="preserve">כמה </w:t>
      </w:r>
      <w:bookmarkStart w:id="57511" w:name="_ETM_Q104_353780"/>
      <w:bookmarkEnd w:id="57511"/>
      <w:r>
        <w:rPr>
          <w:rFonts w:hint="cs"/>
          <w:rtl/>
        </w:rPr>
        <w:t xml:space="preserve">אתונאים, </w:t>
      </w:r>
      <w:bookmarkStart w:id="57512" w:name="_ETM_Q104_354830"/>
      <w:bookmarkEnd w:id="57512"/>
      <w:r>
        <w:rPr>
          <w:rFonts w:hint="cs"/>
          <w:rtl/>
        </w:rPr>
        <w:t xml:space="preserve">אף </w:t>
      </w:r>
      <w:bookmarkStart w:id="57513" w:name="_ETM_Q104_355040"/>
      <w:bookmarkEnd w:id="57513"/>
      <w:r>
        <w:rPr>
          <w:rFonts w:hint="cs"/>
          <w:rtl/>
        </w:rPr>
        <w:t xml:space="preserve">שזו </w:t>
      </w:r>
      <w:bookmarkStart w:id="57514" w:name="_ETM_Q104_355310"/>
      <w:bookmarkEnd w:id="57514"/>
      <w:r>
        <w:rPr>
          <w:rFonts w:hint="cs"/>
          <w:rtl/>
        </w:rPr>
        <w:t xml:space="preserve">אכן </w:t>
      </w:r>
      <w:bookmarkStart w:id="57515" w:name="_ETM_Q104_355580"/>
      <w:bookmarkEnd w:id="57515"/>
      <w:r>
        <w:rPr>
          <w:rFonts w:hint="cs"/>
          <w:rtl/>
        </w:rPr>
        <w:t xml:space="preserve">תחילתה </w:t>
      </w:r>
      <w:bookmarkStart w:id="57516" w:name="_ETM_Q104_356030"/>
      <w:bookmarkEnd w:id="57516"/>
      <w:r>
        <w:rPr>
          <w:rFonts w:hint="cs"/>
          <w:rtl/>
        </w:rPr>
        <w:t xml:space="preserve">של </w:t>
      </w:r>
      <w:bookmarkStart w:id="57517" w:name="_ETM_Q104_356210"/>
      <w:bookmarkStart w:id="57518" w:name="_ETM_Q104_356450"/>
      <w:bookmarkEnd w:id="57517"/>
      <w:bookmarkEnd w:id="57518"/>
      <w:r>
        <w:rPr>
          <w:rFonts w:hint="cs"/>
          <w:rtl/>
        </w:rPr>
        <w:t xml:space="preserve">אחת המהפכות </w:t>
      </w:r>
      <w:bookmarkStart w:id="57519" w:name="_ETM_Q104_357050"/>
      <w:bookmarkEnd w:id="57519"/>
      <w:r>
        <w:rPr>
          <w:rFonts w:hint="cs"/>
          <w:rtl/>
        </w:rPr>
        <w:t xml:space="preserve">החשובות </w:t>
      </w:r>
      <w:bookmarkStart w:id="57520" w:name="_ETM_Q104_357650"/>
      <w:bookmarkEnd w:id="57520"/>
      <w:r>
        <w:rPr>
          <w:rFonts w:hint="cs"/>
          <w:rtl/>
        </w:rPr>
        <w:t xml:space="preserve">אי פעם. </w:t>
      </w:r>
      <w:bookmarkStart w:id="57521" w:name="_ETM_Q104_358830"/>
      <w:bookmarkEnd w:id="57521"/>
    </w:p>
    <w:p w:rsidR="00BB59CD" w:rsidRDefault="00BB59CD" w:rsidP="00BB59CD">
      <w:pPr>
        <w:rPr>
          <w:rtl/>
        </w:rPr>
      </w:pPr>
      <w:bookmarkStart w:id="57522" w:name="_ETM_Q104_384521"/>
      <w:bookmarkStart w:id="57523" w:name="_ETM_Q104_384587"/>
      <w:bookmarkEnd w:id="57522"/>
      <w:bookmarkEnd w:id="57523"/>
    </w:p>
    <w:p w:rsidR="00BB59CD" w:rsidRDefault="00BB59CD" w:rsidP="00D80B85">
      <w:pPr>
        <w:rPr>
          <w:rtl/>
        </w:rPr>
      </w:pPr>
      <w:bookmarkStart w:id="57524" w:name="_ETM_Q104_385023"/>
      <w:bookmarkStart w:id="57525" w:name="_ETM_Q104_385084"/>
      <w:bookmarkEnd w:id="57524"/>
      <w:bookmarkEnd w:id="57525"/>
      <w:r>
        <w:rPr>
          <w:rFonts w:hint="cs"/>
          <w:rtl/>
        </w:rPr>
        <w:t xml:space="preserve">"הפעם </w:t>
      </w:r>
      <w:bookmarkStart w:id="57526" w:name="_ETM_Q104_359310"/>
      <w:bookmarkEnd w:id="57526"/>
      <w:r>
        <w:rPr>
          <w:rFonts w:hint="cs"/>
          <w:rtl/>
        </w:rPr>
        <w:t xml:space="preserve">הבאה </w:t>
      </w:r>
      <w:bookmarkStart w:id="57527" w:name="_ETM_Q104_359790"/>
      <w:bookmarkEnd w:id="57527"/>
      <w:r>
        <w:rPr>
          <w:rFonts w:hint="cs"/>
          <w:rtl/>
        </w:rPr>
        <w:t xml:space="preserve">שבה </w:t>
      </w:r>
      <w:bookmarkStart w:id="57528" w:name="_ETM_Q104_360090"/>
      <w:bookmarkEnd w:id="57528"/>
      <w:r>
        <w:rPr>
          <w:rFonts w:hint="cs"/>
          <w:rtl/>
        </w:rPr>
        <w:t xml:space="preserve">תופיע </w:t>
      </w:r>
      <w:bookmarkStart w:id="57529" w:name="_ETM_Q104_360570"/>
      <w:bookmarkEnd w:id="57529"/>
      <w:r>
        <w:rPr>
          <w:rFonts w:hint="cs"/>
          <w:rtl/>
        </w:rPr>
        <w:t xml:space="preserve">הדמוקרטיה, </w:t>
      </w:r>
      <w:bookmarkStart w:id="57530" w:name="_ETM_Q104_361470"/>
      <w:bookmarkEnd w:id="57530"/>
      <w:r>
        <w:rPr>
          <w:rFonts w:hint="cs"/>
          <w:rtl/>
        </w:rPr>
        <w:t xml:space="preserve">הפעם </w:t>
      </w:r>
      <w:bookmarkStart w:id="57531" w:name="_ETM_Q104_361919"/>
      <w:bookmarkEnd w:id="57531"/>
      <w:r>
        <w:rPr>
          <w:rFonts w:hint="cs"/>
          <w:rtl/>
        </w:rPr>
        <w:t xml:space="preserve">כדי </w:t>
      </w:r>
      <w:bookmarkStart w:id="57532" w:name="_ETM_Q104_362580"/>
      <w:bookmarkEnd w:id="57532"/>
      <w:r>
        <w:rPr>
          <w:rFonts w:hint="cs"/>
          <w:rtl/>
        </w:rPr>
        <w:t xml:space="preserve">להישאר, </w:t>
      </w:r>
      <w:bookmarkStart w:id="57533" w:name="_ETM_Q104_363330"/>
      <w:bookmarkEnd w:id="57533"/>
      <w:r>
        <w:rPr>
          <w:rFonts w:hint="cs"/>
          <w:rtl/>
        </w:rPr>
        <w:t xml:space="preserve">תתרחש </w:t>
      </w:r>
      <w:bookmarkStart w:id="57534" w:name="_ETM_Q104_363990"/>
      <w:bookmarkEnd w:id="57534"/>
      <w:r>
        <w:rPr>
          <w:rFonts w:hint="cs"/>
          <w:rtl/>
        </w:rPr>
        <w:t xml:space="preserve">כ-2000 </w:t>
      </w:r>
      <w:bookmarkStart w:id="57535" w:name="_ETM_Q104_364560"/>
      <w:bookmarkEnd w:id="57535"/>
      <w:r>
        <w:rPr>
          <w:rFonts w:hint="cs"/>
          <w:rtl/>
        </w:rPr>
        <w:t xml:space="preserve">שנה </w:t>
      </w:r>
      <w:bookmarkStart w:id="57536" w:name="_ETM_Q104_364889"/>
      <w:bookmarkEnd w:id="57536"/>
      <w:r>
        <w:rPr>
          <w:rFonts w:hint="cs"/>
          <w:rtl/>
        </w:rPr>
        <w:t xml:space="preserve">אחר </w:t>
      </w:r>
      <w:bookmarkStart w:id="57537" w:name="_ETM_Q104_365220"/>
      <w:bookmarkEnd w:id="57537"/>
      <w:r>
        <w:rPr>
          <w:rFonts w:hint="cs"/>
          <w:rtl/>
        </w:rPr>
        <w:t xml:space="preserve">כך. </w:t>
      </w:r>
      <w:bookmarkStart w:id="57538" w:name="_ETM_Q104_366060"/>
      <w:bookmarkEnd w:id="57538"/>
      <w:r>
        <w:rPr>
          <w:rFonts w:hint="cs"/>
          <w:rtl/>
        </w:rPr>
        <w:t xml:space="preserve">עם </w:t>
      </w:r>
      <w:bookmarkStart w:id="57539" w:name="_ETM_Q104_366270"/>
      <w:bookmarkEnd w:id="57539"/>
      <w:r>
        <w:rPr>
          <w:rFonts w:hint="cs"/>
          <w:rtl/>
        </w:rPr>
        <w:t xml:space="preserve">זאת, </w:t>
      </w:r>
      <w:bookmarkStart w:id="57540" w:name="_ETM_Q104_366570"/>
      <w:bookmarkEnd w:id="57540"/>
      <w:r>
        <w:rPr>
          <w:rFonts w:hint="cs"/>
          <w:rtl/>
        </w:rPr>
        <w:t xml:space="preserve">נזכיר </w:t>
      </w:r>
      <w:bookmarkStart w:id="57541" w:name="_ETM_Q104_367050"/>
      <w:bookmarkEnd w:id="57541"/>
      <w:r>
        <w:rPr>
          <w:rFonts w:hint="cs"/>
          <w:rtl/>
        </w:rPr>
        <w:t xml:space="preserve">שכאשר </w:t>
      </w:r>
      <w:bookmarkStart w:id="57542" w:name="_ETM_Q104_367560"/>
      <w:bookmarkEnd w:id="57542"/>
      <w:r>
        <w:rPr>
          <w:rFonts w:hint="cs"/>
          <w:rtl/>
        </w:rPr>
        <w:t xml:space="preserve">מופיעות </w:t>
      </w:r>
      <w:bookmarkStart w:id="57543" w:name="_ETM_Q104_368100"/>
      <w:bookmarkEnd w:id="57543"/>
      <w:r>
        <w:rPr>
          <w:rFonts w:hint="cs"/>
          <w:rtl/>
        </w:rPr>
        <w:t xml:space="preserve">המילים </w:t>
      </w:r>
      <w:bookmarkStart w:id="57544" w:name="_ETM_Q104_368550"/>
      <w:bookmarkEnd w:id="57544"/>
      <w:r>
        <w:rPr>
          <w:rFonts w:hint="cs"/>
          <w:rtl/>
        </w:rPr>
        <w:t xml:space="preserve">הנמלצות </w:t>
      </w:r>
      <w:bookmarkStart w:id="57545" w:name="_ETM_Q104_369270"/>
      <w:bookmarkEnd w:id="57545"/>
      <w:r>
        <w:rPr>
          <w:rFonts w:hint="cs"/>
          <w:rtl/>
        </w:rPr>
        <w:t xml:space="preserve">'אנו, </w:t>
      </w:r>
      <w:bookmarkStart w:id="57546" w:name="_ETM_Q104_369660"/>
      <w:bookmarkEnd w:id="57546"/>
      <w:r>
        <w:rPr>
          <w:rFonts w:hint="cs"/>
          <w:rtl/>
        </w:rPr>
        <w:t xml:space="preserve">העם' </w:t>
      </w:r>
      <w:bookmarkStart w:id="57547" w:name="_ETM_Q104_370110"/>
      <w:bookmarkEnd w:id="57547"/>
      <w:r>
        <w:rPr>
          <w:rFonts w:hint="cs"/>
          <w:rtl/>
        </w:rPr>
        <w:t xml:space="preserve">במבוא </w:t>
      </w:r>
      <w:bookmarkStart w:id="57548" w:name="_ETM_Q104_370590"/>
      <w:bookmarkEnd w:id="57548"/>
      <w:r>
        <w:rPr>
          <w:rFonts w:hint="cs"/>
          <w:rtl/>
        </w:rPr>
        <w:t xml:space="preserve">לחוקת </w:t>
      </w:r>
      <w:bookmarkStart w:id="57549" w:name="_ETM_Q104_371040"/>
      <w:bookmarkEnd w:id="57549"/>
      <w:r>
        <w:rPr>
          <w:rFonts w:hint="cs"/>
          <w:rtl/>
        </w:rPr>
        <w:t xml:space="preserve">ארצות </w:t>
      </w:r>
      <w:bookmarkStart w:id="57550" w:name="_ETM_Q104_371400"/>
      <w:bookmarkEnd w:id="57550"/>
      <w:r>
        <w:rPr>
          <w:rFonts w:hint="cs"/>
          <w:rtl/>
        </w:rPr>
        <w:t xml:space="preserve">הברית, </w:t>
      </w:r>
      <w:bookmarkStart w:id="57551" w:name="_ETM_Q104_372190"/>
      <w:bookmarkEnd w:id="57551"/>
      <w:r>
        <w:rPr>
          <w:rFonts w:hint="cs"/>
          <w:rtl/>
        </w:rPr>
        <w:t xml:space="preserve">או </w:t>
      </w:r>
      <w:bookmarkStart w:id="57552" w:name="_ETM_Q104_372550"/>
      <w:bookmarkEnd w:id="57552"/>
      <w:r>
        <w:rPr>
          <w:rFonts w:hint="cs"/>
          <w:rtl/>
        </w:rPr>
        <w:t xml:space="preserve">'מקובלות </w:t>
      </w:r>
      <w:bookmarkStart w:id="57553" w:name="_ETM_Q104_373180"/>
      <w:bookmarkEnd w:id="57553"/>
      <w:r>
        <w:rPr>
          <w:rFonts w:hint="cs"/>
          <w:rtl/>
        </w:rPr>
        <w:t xml:space="preserve">עלינו </w:t>
      </w:r>
      <w:bookmarkStart w:id="57554" w:name="_ETM_Q104_373480"/>
      <w:bookmarkEnd w:id="57554"/>
      <w:r>
        <w:rPr>
          <w:rFonts w:hint="cs"/>
          <w:rtl/>
        </w:rPr>
        <w:t xml:space="preserve">אמיתות </w:t>
      </w:r>
      <w:bookmarkStart w:id="57555" w:name="_ETM_Q104_373960"/>
      <w:bookmarkEnd w:id="57555"/>
      <w:r>
        <w:rPr>
          <w:rFonts w:hint="cs"/>
          <w:rtl/>
        </w:rPr>
        <w:t xml:space="preserve">אלה </w:t>
      </w:r>
      <w:bookmarkStart w:id="57556" w:name="_ETM_Q104_374230"/>
      <w:bookmarkEnd w:id="57556"/>
      <w:r>
        <w:rPr>
          <w:rFonts w:hint="cs"/>
          <w:rtl/>
        </w:rPr>
        <w:t xml:space="preserve">כמוכחות </w:t>
      </w:r>
      <w:bookmarkStart w:id="57557" w:name="_ETM_Q104_374919"/>
      <w:bookmarkEnd w:id="57557"/>
      <w:r>
        <w:rPr>
          <w:rFonts w:hint="cs"/>
          <w:rtl/>
        </w:rPr>
        <w:t xml:space="preserve">מאליהן, </w:t>
      </w:r>
      <w:bookmarkStart w:id="57558" w:name="_ETM_Q104_375760"/>
      <w:bookmarkEnd w:id="57558"/>
      <w:r>
        <w:rPr>
          <w:rFonts w:hint="cs"/>
          <w:rtl/>
        </w:rPr>
        <w:t xml:space="preserve">שכל </w:t>
      </w:r>
      <w:bookmarkStart w:id="57559" w:name="_ETM_Q104_376209"/>
      <w:bookmarkEnd w:id="57559"/>
      <w:r>
        <w:rPr>
          <w:rFonts w:hint="cs"/>
          <w:rtl/>
        </w:rPr>
        <w:t xml:space="preserve">בני </w:t>
      </w:r>
      <w:bookmarkStart w:id="57560" w:name="_ETM_Q104_395620"/>
      <w:bookmarkEnd w:id="57560"/>
      <w:r>
        <w:rPr>
          <w:rFonts w:hint="cs"/>
          <w:rtl/>
        </w:rPr>
        <w:t xml:space="preserve">האדם </w:t>
      </w:r>
      <w:bookmarkStart w:id="57561" w:name="_ETM_Q104_376780"/>
      <w:bookmarkEnd w:id="57561"/>
      <w:r>
        <w:rPr>
          <w:rFonts w:hint="cs"/>
          <w:rtl/>
        </w:rPr>
        <w:t xml:space="preserve">נבראו </w:t>
      </w:r>
      <w:bookmarkStart w:id="57562" w:name="_ETM_Q104_377169"/>
      <w:bookmarkEnd w:id="57562"/>
      <w:r>
        <w:rPr>
          <w:rFonts w:hint="cs"/>
          <w:rtl/>
        </w:rPr>
        <w:t xml:space="preserve">שווים' </w:t>
      </w:r>
      <w:bookmarkStart w:id="57563" w:name="_ETM_Q104_377680"/>
      <w:bookmarkEnd w:id="57563"/>
      <w:r>
        <w:rPr>
          <w:rFonts w:hint="cs"/>
          <w:rtl/>
        </w:rPr>
        <w:t xml:space="preserve">בהצהרת </w:t>
      </w:r>
      <w:bookmarkStart w:id="57564" w:name="_ETM_Q104_378190"/>
      <w:bookmarkEnd w:id="57564"/>
      <w:r>
        <w:rPr>
          <w:rFonts w:hint="cs"/>
          <w:rtl/>
        </w:rPr>
        <w:t xml:space="preserve">העצמאות, </w:t>
      </w:r>
      <w:bookmarkStart w:id="57565" w:name="_ETM_Q104_379120"/>
      <w:bookmarkEnd w:id="57565"/>
      <w:r>
        <w:rPr>
          <w:rFonts w:hint="cs"/>
          <w:rtl/>
        </w:rPr>
        <w:t xml:space="preserve">כדאי </w:t>
      </w:r>
      <w:bookmarkStart w:id="57566" w:name="_ETM_Q104_379540"/>
      <w:bookmarkEnd w:id="57566"/>
      <w:r>
        <w:rPr>
          <w:rFonts w:hint="cs"/>
          <w:rtl/>
        </w:rPr>
        <w:t xml:space="preserve">לתת </w:t>
      </w:r>
      <w:bookmarkStart w:id="57567" w:name="_ETM_Q104_379840"/>
      <w:bookmarkEnd w:id="57567"/>
      <w:r>
        <w:rPr>
          <w:rFonts w:hint="cs"/>
          <w:rtl/>
        </w:rPr>
        <w:t xml:space="preserve">את </w:t>
      </w:r>
      <w:bookmarkStart w:id="57568" w:name="_ETM_Q104_379990"/>
      <w:bookmarkEnd w:id="57568"/>
      <w:r>
        <w:rPr>
          <w:rFonts w:hint="cs"/>
          <w:rtl/>
        </w:rPr>
        <w:t xml:space="preserve">הדעת </w:t>
      </w:r>
      <w:bookmarkStart w:id="57569" w:name="_ETM_Q104_380470"/>
      <w:bookmarkEnd w:id="57569"/>
      <w:r>
        <w:rPr>
          <w:rFonts w:hint="cs"/>
          <w:rtl/>
        </w:rPr>
        <w:t xml:space="preserve">על </w:t>
      </w:r>
      <w:bookmarkStart w:id="57570" w:name="_ETM_Q104_380680"/>
      <w:bookmarkEnd w:id="57570"/>
      <w:r>
        <w:rPr>
          <w:rFonts w:hint="cs"/>
          <w:rtl/>
        </w:rPr>
        <w:t>מי</w:t>
      </w:r>
      <w:bookmarkStart w:id="57571" w:name="_ETM_Q104_381470"/>
      <w:bookmarkEnd w:id="57571"/>
      <w:r>
        <w:rPr>
          <w:rFonts w:hint="cs"/>
          <w:rtl/>
        </w:rPr>
        <w:t xml:space="preserve">הם </w:t>
      </w:r>
      <w:bookmarkStart w:id="57572" w:name="_ETM_Q104_381889"/>
      <w:bookmarkEnd w:id="57572"/>
      <w:r>
        <w:rPr>
          <w:rFonts w:hint="cs"/>
          <w:rtl/>
        </w:rPr>
        <w:t xml:space="preserve">'העם', </w:t>
      </w:r>
      <w:bookmarkStart w:id="57573" w:name="_ETM_Q104_382760"/>
      <w:bookmarkEnd w:id="57573"/>
      <w:r>
        <w:rPr>
          <w:rFonts w:hint="cs"/>
          <w:rtl/>
        </w:rPr>
        <w:t xml:space="preserve">מיהם </w:t>
      </w:r>
      <w:bookmarkStart w:id="57574" w:name="_ETM_Q104_383269"/>
      <w:bookmarkEnd w:id="57574"/>
      <w:r>
        <w:rPr>
          <w:rFonts w:hint="cs"/>
          <w:rtl/>
        </w:rPr>
        <w:t xml:space="preserve">'כל </w:t>
      </w:r>
      <w:bookmarkStart w:id="57575" w:name="_ETM_Q104_383569"/>
      <w:bookmarkEnd w:id="57575"/>
      <w:r>
        <w:rPr>
          <w:rFonts w:hint="cs"/>
          <w:rtl/>
        </w:rPr>
        <w:t xml:space="preserve">בני האדם' </w:t>
      </w:r>
      <w:bookmarkStart w:id="57576" w:name="_ETM_Q104_384439"/>
      <w:bookmarkEnd w:id="57576"/>
      <w:r>
        <w:rPr>
          <w:rFonts w:hint="cs"/>
          <w:rtl/>
        </w:rPr>
        <w:t xml:space="preserve">ש'נבראו </w:t>
      </w:r>
      <w:bookmarkStart w:id="57577" w:name="_ETM_Q104_385519"/>
      <w:bookmarkEnd w:id="57577"/>
      <w:r>
        <w:rPr>
          <w:rFonts w:hint="cs"/>
          <w:rtl/>
        </w:rPr>
        <w:t xml:space="preserve">שווים'. </w:t>
      </w:r>
      <w:bookmarkStart w:id="57578" w:name="_ETM_Q104_386840"/>
      <w:bookmarkStart w:id="57579" w:name="_ETM_Q104_385304"/>
      <w:bookmarkStart w:id="57580" w:name="_ETM_Q104_385527"/>
      <w:bookmarkStart w:id="57581" w:name="_ETM_Q104_385555"/>
      <w:bookmarkStart w:id="57582" w:name="_ETM_Q104_385593"/>
      <w:bookmarkStart w:id="57583" w:name="_ETM_Q104_494515"/>
      <w:bookmarkStart w:id="57584" w:name="_ETM_Q104_494603"/>
      <w:bookmarkStart w:id="57585" w:name="_ETM_Q104_494665"/>
      <w:bookmarkStart w:id="57586" w:name="_ETM_Q104_494722"/>
      <w:bookmarkEnd w:id="57578"/>
      <w:bookmarkEnd w:id="57579"/>
      <w:bookmarkEnd w:id="57580"/>
      <w:bookmarkEnd w:id="57581"/>
      <w:bookmarkEnd w:id="57582"/>
      <w:bookmarkEnd w:id="57583"/>
      <w:bookmarkEnd w:id="57584"/>
      <w:bookmarkEnd w:id="57585"/>
      <w:bookmarkEnd w:id="57586"/>
      <w:r>
        <w:rPr>
          <w:rFonts w:hint="cs"/>
          <w:rtl/>
        </w:rPr>
        <w:t>הביט</w:t>
      </w:r>
      <w:bookmarkStart w:id="57587" w:name="_ETM_Q104_387169"/>
      <w:bookmarkEnd w:id="57587"/>
      <w:r>
        <w:rPr>
          <w:rFonts w:hint="cs"/>
          <w:rtl/>
        </w:rPr>
        <w:t xml:space="preserve">ו בבקשה </w:t>
      </w:r>
      <w:bookmarkStart w:id="57588" w:name="_ETM_Q104_387709"/>
      <w:bookmarkEnd w:id="57588"/>
      <w:r>
        <w:rPr>
          <w:rFonts w:hint="cs"/>
          <w:rtl/>
        </w:rPr>
        <w:t xml:space="preserve">בתמונות </w:t>
      </w:r>
      <w:bookmarkStart w:id="57589" w:name="_ETM_Q104_388189"/>
      <w:bookmarkStart w:id="57590" w:name="_ETM_Q104_388730"/>
      <w:bookmarkEnd w:id="57589"/>
      <w:bookmarkEnd w:id="57590"/>
      <w:r>
        <w:rPr>
          <w:rFonts w:hint="cs"/>
          <w:rtl/>
        </w:rPr>
        <w:t xml:space="preserve">הקונגרס </w:t>
      </w:r>
      <w:bookmarkStart w:id="57591" w:name="_ETM_Q104_389359"/>
      <w:bookmarkEnd w:id="57591"/>
      <w:r>
        <w:rPr>
          <w:rFonts w:hint="cs"/>
          <w:rtl/>
        </w:rPr>
        <w:t xml:space="preserve">הקונטיננטלי </w:t>
      </w:r>
      <w:bookmarkStart w:id="57592" w:name="_ETM_Q104_389930"/>
      <w:bookmarkStart w:id="57593" w:name="_ETM_Q104_390889"/>
      <w:bookmarkEnd w:id="57592"/>
      <w:bookmarkEnd w:id="57593"/>
      <w:r>
        <w:rPr>
          <w:rFonts w:hint="cs"/>
          <w:rtl/>
        </w:rPr>
        <w:t xml:space="preserve">של נושאי </w:t>
      </w:r>
      <w:bookmarkStart w:id="57594" w:name="_ETM_Q104_391430"/>
      <w:bookmarkEnd w:id="57594"/>
      <w:r>
        <w:rPr>
          <w:rFonts w:hint="cs"/>
          <w:rtl/>
        </w:rPr>
        <w:t xml:space="preserve">נס </w:t>
      </w:r>
      <w:bookmarkStart w:id="57595" w:name="_ETM_Q104_391699"/>
      <w:bookmarkEnd w:id="57595"/>
      <w:r>
        <w:rPr>
          <w:rFonts w:hint="cs"/>
          <w:rtl/>
        </w:rPr>
        <w:t xml:space="preserve">המרד </w:t>
      </w:r>
      <w:bookmarkStart w:id="57596" w:name="_ETM_Q104_392090"/>
      <w:bookmarkEnd w:id="57596"/>
      <w:r>
        <w:rPr>
          <w:rFonts w:hint="cs"/>
          <w:rtl/>
        </w:rPr>
        <w:t xml:space="preserve">נגד </w:t>
      </w:r>
      <w:bookmarkStart w:id="57597" w:name="_ETM_Q104_392359"/>
      <w:bookmarkEnd w:id="57597"/>
      <w:r>
        <w:rPr>
          <w:rFonts w:hint="cs"/>
          <w:rtl/>
        </w:rPr>
        <w:t xml:space="preserve">בריטניה. </w:t>
      </w:r>
      <w:bookmarkStart w:id="57598" w:name="_ETM_Q104_393019"/>
      <w:bookmarkEnd w:id="57598"/>
      <w:r>
        <w:rPr>
          <w:rFonts w:hint="cs"/>
          <w:rtl/>
        </w:rPr>
        <w:t xml:space="preserve">זה </w:t>
      </w:r>
      <w:bookmarkStart w:id="57599" w:name="_ETM_Q104_393199"/>
      <w:bookmarkEnd w:id="57599"/>
      <w:r>
        <w:rPr>
          <w:rFonts w:hint="cs"/>
          <w:rtl/>
        </w:rPr>
        <w:t xml:space="preserve">לא </w:t>
      </w:r>
      <w:bookmarkStart w:id="57600" w:name="_ETM_Q104_393379"/>
      <w:bookmarkEnd w:id="57600"/>
      <w:r>
        <w:rPr>
          <w:rFonts w:hint="cs"/>
          <w:rtl/>
        </w:rPr>
        <w:t xml:space="preserve">העם, </w:t>
      </w:r>
      <w:bookmarkStart w:id="57601" w:name="_ETM_Q104_393919"/>
      <w:bookmarkEnd w:id="57601"/>
      <w:r>
        <w:rPr>
          <w:rFonts w:hint="cs"/>
          <w:rtl/>
        </w:rPr>
        <w:t xml:space="preserve">אלה </w:t>
      </w:r>
      <w:bookmarkStart w:id="57602" w:name="_ETM_Q104_394189"/>
      <w:bookmarkEnd w:id="57602"/>
      <w:r>
        <w:rPr>
          <w:rFonts w:hint="cs"/>
          <w:rtl/>
        </w:rPr>
        <w:t xml:space="preserve">לא </w:t>
      </w:r>
      <w:bookmarkStart w:id="57603" w:name="_ETM_Q104_394400"/>
      <w:bookmarkEnd w:id="57603"/>
      <w:r>
        <w:rPr>
          <w:rFonts w:hint="cs"/>
          <w:rtl/>
        </w:rPr>
        <w:t xml:space="preserve">כל </w:t>
      </w:r>
      <w:bookmarkStart w:id="57604" w:name="_ETM_Q104_394730"/>
      <w:bookmarkEnd w:id="57604"/>
      <w:r>
        <w:rPr>
          <w:rFonts w:hint="cs"/>
          <w:rtl/>
        </w:rPr>
        <w:t xml:space="preserve">בני האדם, </w:t>
      </w:r>
      <w:bookmarkStart w:id="57605" w:name="_ETM_Q104_396040"/>
      <w:bookmarkEnd w:id="57605"/>
      <w:r>
        <w:rPr>
          <w:rFonts w:hint="cs"/>
          <w:rtl/>
        </w:rPr>
        <w:t xml:space="preserve">אלא </w:t>
      </w:r>
      <w:bookmarkStart w:id="57606" w:name="_ETM_Q104_396310"/>
      <w:bookmarkEnd w:id="57606"/>
      <w:r>
        <w:rPr>
          <w:rFonts w:hint="cs"/>
          <w:rtl/>
        </w:rPr>
        <w:t xml:space="preserve">אם </w:t>
      </w:r>
      <w:bookmarkStart w:id="57607" w:name="_ETM_Q104_396400"/>
      <w:bookmarkEnd w:id="57607"/>
      <w:r>
        <w:rPr>
          <w:rFonts w:hint="cs"/>
          <w:rtl/>
        </w:rPr>
        <w:t xml:space="preserve">כן </w:t>
      </w:r>
      <w:bookmarkStart w:id="57608" w:name="_ETM_Q104_396610"/>
      <w:bookmarkEnd w:id="57608"/>
      <w:r>
        <w:rPr>
          <w:rFonts w:hint="cs"/>
          <w:rtl/>
        </w:rPr>
        <w:t xml:space="preserve">החלטנו </w:t>
      </w:r>
      <w:bookmarkStart w:id="57609" w:name="_ETM_Q104_397330"/>
      <w:bookmarkEnd w:id="57609"/>
      <w:r>
        <w:rPr>
          <w:rFonts w:hint="cs"/>
          <w:rtl/>
        </w:rPr>
        <w:t xml:space="preserve">ש'כל </w:t>
      </w:r>
      <w:bookmarkStart w:id="57610" w:name="_ETM_Q104_397780"/>
      <w:bookmarkEnd w:id="57610"/>
      <w:r>
        <w:rPr>
          <w:rFonts w:hint="cs"/>
          <w:rtl/>
        </w:rPr>
        <w:t xml:space="preserve">בני האדם' </w:t>
      </w:r>
      <w:bookmarkStart w:id="57611" w:name="_ETM_Q104_398470"/>
      <w:bookmarkEnd w:id="57611"/>
      <w:r>
        <w:rPr>
          <w:rFonts w:hint="cs"/>
          <w:rtl/>
        </w:rPr>
        <w:t xml:space="preserve">הם </w:t>
      </w:r>
      <w:bookmarkStart w:id="57612" w:name="_ETM_Q104_398620"/>
      <w:bookmarkEnd w:id="57612"/>
      <w:r>
        <w:rPr>
          <w:rFonts w:hint="cs"/>
          <w:rtl/>
        </w:rPr>
        <w:t xml:space="preserve">גברים </w:t>
      </w:r>
      <w:bookmarkStart w:id="57613" w:name="_ETM_Q104_399160"/>
      <w:bookmarkEnd w:id="57613"/>
      <w:r>
        <w:rPr>
          <w:rFonts w:hint="cs"/>
          <w:rtl/>
        </w:rPr>
        <w:t xml:space="preserve">לבנים, </w:t>
      </w:r>
      <w:bookmarkStart w:id="57614" w:name="_ETM_Q104_399700"/>
      <w:bookmarkEnd w:id="57614"/>
      <w:r>
        <w:rPr>
          <w:rFonts w:hint="cs"/>
          <w:rtl/>
        </w:rPr>
        <w:t xml:space="preserve">נוצרים </w:t>
      </w:r>
      <w:bookmarkStart w:id="57615" w:name="_ETM_Q104_400120"/>
      <w:bookmarkEnd w:id="57615"/>
      <w:r>
        <w:rPr>
          <w:rFonts w:hint="cs"/>
          <w:rtl/>
        </w:rPr>
        <w:t xml:space="preserve">ועשירים. </w:t>
      </w:r>
      <w:bookmarkStart w:id="57616" w:name="_ETM_Q104_401239"/>
      <w:bookmarkEnd w:id="57616"/>
      <w:r>
        <w:rPr>
          <w:rFonts w:hint="cs"/>
          <w:rtl/>
        </w:rPr>
        <w:t xml:space="preserve">נשים </w:t>
      </w:r>
      <w:bookmarkStart w:id="57617" w:name="_ETM_Q104_401719"/>
      <w:bookmarkEnd w:id="57617"/>
      <w:r>
        <w:rPr>
          <w:rFonts w:hint="cs"/>
          <w:rtl/>
        </w:rPr>
        <w:t xml:space="preserve">יקבלו </w:t>
      </w:r>
      <w:bookmarkStart w:id="57618" w:name="_ETM_Q104_402140"/>
      <w:bookmarkEnd w:id="57618"/>
      <w:r>
        <w:rPr>
          <w:rFonts w:hint="cs"/>
          <w:rtl/>
        </w:rPr>
        <w:t xml:space="preserve">זכות </w:t>
      </w:r>
      <w:bookmarkStart w:id="57619" w:name="_ETM_Q104_402439"/>
      <w:bookmarkEnd w:id="57619"/>
      <w:r>
        <w:rPr>
          <w:rFonts w:hint="cs"/>
          <w:rtl/>
        </w:rPr>
        <w:t xml:space="preserve">בחירה </w:t>
      </w:r>
      <w:bookmarkStart w:id="57620" w:name="_ETM_Q104_402860"/>
      <w:bookmarkEnd w:id="57620"/>
      <w:r>
        <w:rPr>
          <w:rFonts w:hint="cs"/>
          <w:rtl/>
        </w:rPr>
        <w:t xml:space="preserve">150 </w:t>
      </w:r>
      <w:bookmarkStart w:id="57621" w:name="_ETM_Q104_403489"/>
      <w:bookmarkEnd w:id="57621"/>
      <w:r>
        <w:rPr>
          <w:rFonts w:hint="cs"/>
          <w:rtl/>
        </w:rPr>
        <w:t xml:space="preserve">שנה </w:t>
      </w:r>
      <w:bookmarkStart w:id="57622" w:name="_ETM_Q104_403790"/>
      <w:bookmarkEnd w:id="57622"/>
      <w:r>
        <w:rPr>
          <w:rFonts w:hint="cs"/>
          <w:rtl/>
        </w:rPr>
        <w:t xml:space="preserve">אחר </w:t>
      </w:r>
      <w:bookmarkStart w:id="57623" w:name="_ETM_Q104_404090"/>
      <w:bookmarkEnd w:id="57623"/>
      <w:r>
        <w:rPr>
          <w:rFonts w:hint="cs"/>
          <w:rtl/>
        </w:rPr>
        <w:t xml:space="preserve">כך; </w:t>
      </w:r>
      <w:bookmarkStart w:id="57624" w:name="_ETM_Q104_404739"/>
      <w:bookmarkEnd w:id="57624"/>
      <w:r>
        <w:rPr>
          <w:rFonts w:hint="cs"/>
          <w:rtl/>
        </w:rPr>
        <w:t xml:space="preserve">שחורים, </w:t>
      </w:r>
      <w:bookmarkStart w:id="57625" w:name="_ETM_Q104_405579"/>
      <w:bookmarkEnd w:id="57625"/>
      <w:r>
        <w:rPr>
          <w:rFonts w:hint="cs"/>
          <w:rtl/>
        </w:rPr>
        <w:t xml:space="preserve">גם </w:t>
      </w:r>
      <w:bookmarkStart w:id="57626" w:name="_ETM_Q104_405879"/>
      <w:bookmarkEnd w:id="57626"/>
      <w:r>
        <w:rPr>
          <w:rFonts w:hint="cs"/>
          <w:rtl/>
        </w:rPr>
        <w:t xml:space="preserve">חופשיים, </w:t>
      </w:r>
      <w:bookmarkStart w:id="57627" w:name="_ETM_Q104_406510"/>
      <w:bookmarkEnd w:id="57627"/>
      <w:r>
        <w:rPr>
          <w:rFonts w:hint="cs"/>
          <w:rtl/>
        </w:rPr>
        <w:t xml:space="preserve">נחשבו </w:t>
      </w:r>
      <w:bookmarkStart w:id="57628" w:name="_ETM_Q104_407109"/>
      <w:bookmarkEnd w:id="57628"/>
      <w:r>
        <w:rPr>
          <w:rFonts w:hint="cs"/>
          <w:rtl/>
        </w:rPr>
        <w:t>שלוש</w:t>
      </w:r>
      <w:bookmarkStart w:id="57629" w:name="_ETM_Q104_407439"/>
      <w:bookmarkEnd w:id="57629"/>
      <w:r>
        <w:rPr>
          <w:rFonts w:hint="cs"/>
          <w:rtl/>
        </w:rPr>
        <w:t xml:space="preserve">-חמישיות </w:t>
      </w:r>
      <w:bookmarkStart w:id="57630" w:name="_ETM_Q104_408069"/>
      <w:bookmarkEnd w:id="57630"/>
      <w:r>
        <w:rPr>
          <w:rFonts w:hint="cs"/>
          <w:rtl/>
        </w:rPr>
        <w:t xml:space="preserve">אדם </w:t>
      </w:r>
      <w:bookmarkStart w:id="57631" w:name="_ETM_Q104_408400"/>
      <w:bookmarkEnd w:id="57631"/>
      <w:r>
        <w:rPr>
          <w:rFonts w:hint="cs"/>
          <w:rtl/>
        </w:rPr>
        <w:t xml:space="preserve">לבן; </w:t>
      </w:r>
      <w:bookmarkStart w:id="57632" w:name="_ETM_Q104_409170"/>
      <w:bookmarkEnd w:id="57632"/>
      <w:r>
        <w:rPr>
          <w:rFonts w:hint="cs"/>
          <w:rtl/>
        </w:rPr>
        <w:t xml:space="preserve">שלא </w:t>
      </w:r>
      <w:bookmarkStart w:id="57633" w:name="_ETM_Q104_409440"/>
      <w:bookmarkEnd w:id="57633"/>
      <w:r>
        <w:rPr>
          <w:rFonts w:hint="cs"/>
          <w:rtl/>
        </w:rPr>
        <w:t xml:space="preserve">לדבר </w:t>
      </w:r>
      <w:bookmarkStart w:id="57634" w:name="_ETM_Q104_409860"/>
      <w:bookmarkEnd w:id="57634"/>
      <w:r>
        <w:rPr>
          <w:rFonts w:hint="cs"/>
          <w:rtl/>
        </w:rPr>
        <w:t xml:space="preserve">על </w:t>
      </w:r>
      <w:bookmarkStart w:id="57635" w:name="_ETM_Q104_409950"/>
      <w:bookmarkEnd w:id="57635"/>
      <w:r>
        <w:rPr>
          <w:rFonts w:hint="cs"/>
          <w:rtl/>
        </w:rPr>
        <w:t xml:space="preserve">היחס </w:t>
      </w:r>
      <w:bookmarkStart w:id="57636" w:name="_ETM_Q104_410340"/>
      <w:bookmarkEnd w:id="57636"/>
      <w:r>
        <w:rPr>
          <w:rFonts w:hint="cs"/>
          <w:rtl/>
        </w:rPr>
        <w:t xml:space="preserve">לילידים </w:t>
      </w:r>
      <w:bookmarkStart w:id="57637" w:name="_ETM_Q104_410940"/>
      <w:bookmarkEnd w:id="57637"/>
      <w:r>
        <w:rPr>
          <w:rFonts w:hint="cs"/>
          <w:rtl/>
        </w:rPr>
        <w:t xml:space="preserve">האינדיאנים, </w:t>
      </w:r>
      <w:bookmarkStart w:id="57638" w:name="_ETM_Q104_411900"/>
      <w:bookmarkEnd w:id="57638"/>
      <w:r>
        <w:rPr>
          <w:rFonts w:hint="cs"/>
          <w:rtl/>
        </w:rPr>
        <w:t xml:space="preserve">שבוצע </w:t>
      </w:r>
      <w:bookmarkStart w:id="57639" w:name="_ETM_Q104_412500"/>
      <w:bookmarkEnd w:id="57639"/>
      <w:r>
        <w:rPr>
          <w:rFonts w:hint="cs"/>
          <w:rtl/>
        </w:rPr>
        <w:t xml:space="preserve">בהם </w:t>
      </w:r>
      <w:bookmarkStart w:id="57640" w:name="_ETM_Q104_412830"/>
      <w:bookmarkEnd w:id="57640"/>
      <w:r>
        <w:rPr>
          <w:rFonts w:hint="cs"/>
          <w:rtl/>
        </w:rPr>
        <w:t xml:space="preserve">רצח </w:t>
      </w:r>
      <w:bookmarkStart w:id="57641" w:name="_ETM_Q104_413220"/>
      <w:bookmarkEnd w:id="57641"/>
      <w:r>
        <w:rPr>
          <w:rFonts w:hint="cs"/>
          <w:rtl/>
        </w:rPr>
        <w:t xml:space="preserve">עם </w:t>
      </w:r>
      <w:bookmarkStart w:id="57642" w:name="_ETM_Q104_413400"/>
      <w:bookmarkEnd w:id="57642"/>
      <w:r>
        <w:rPr>
          <w:rFonts w:hint="cs"/>
          <w:rtl/>
        </w:rPr>
        <w:t xml:space="preserve">שיטתי. </w:t>
      </w:r>
      <w:bookmarkStart w:id="57643" w:name="_ETM_Q104_414829"/>
      <w:bookmarkEnd w:id="57643"/>
      <w:r>
        <w:rPr>
          <w:rFonts w:hint="cs"/>
          <w:rtl/>
        </w:rPr>
        <w:t xml:space="preserve">וזו </w:t>
      </w:r>
      <w:bookmarkStart w:id="57644" w:name="_ETM_Q104_415220"/>
      <w:bookmarkEnd w:id="57644"/>
      <w:r>
        <w:rPr>
          <w:rFonts w:hint="cs"/>
          <w:rtl/>
        </w:rPr>
        <w:t xml:space="preserve">הדמוקרטיה </w:t>
      </w:r>
      <w:bookmarkStart w:id="57645" w:name="_ETM_Q104_415909"/>
      <w:bookmarkEnd w:id="57645"/>
      <w:r>
        <w:rPr>
          <w:rFonts w:hint="cs"/>
          <w:rtl/>
        </w:rPr>
        <w:t xml:space="preserve">הראשונה, </w:t>
      </w:r>
      <w:bookmarkStart w:id="57646" w:name="_ETM_Q104_416920"/>
      <w:bookmarkEnd w:id="57646"/>
      <w:r>
        <w:rPr>
          <w:rFonts w:hint="cs"/>
          <w:rtl/>
        </w:rPr>
        <w:t xml:space="preserve">ושנים </w:t>
      </w:r>
      <w:bookmarkStart w:id="57647" w:name="_ETM_Q104_417430"/>
      <w:bookmarkEnd w:id="57647"/>
      <w:r>
        <w:rPr>
          <w:rFonts w:hint="cs"/>
          <w:rtl/>
        </w:rPr>
        <w:t xml:space="preserve">רבות </w:t>
      </w:r>
      <w:bookmarkStart w:id="57648" w:name="_ETM_Q104_417760"/>
      <w:bookmarkEnd w:id="57648"/>
      <w:r>
        <w:rPr>
          <w:rFonts w:hint="cs"/>
          <w:rtl/>
        </w:rPr>
        <w:t xml:space="preserve">היחידה </w:t>
      </w:r>
      <w:bookmarkStart w:id="57649" w:name="_ETM_Q104_418329"/>
      <w:bookmarkEnd w:id="57649"/>
      <w:r>
        <w:rPr>
          <w:rFonts w:hint="cs"/>
          <w:rtl/>
        </w:rPr>
        <w:t xml:space="preserve">למעשה </w:t>
      </w:r>
      <w:bookmarkStart w:id="57650" w:name="_ETM_Q104_418780"/>
      <w:bookmarkEnd w:id="57650"/>
      <w:r>
        <w:rPr>
          <w:rFonts w:hint="cs"/>
          <w:rtl/>
        </w:rPr>
        <w:t xml:space="preserve">בעולם. </w:t>
      </w:r>
      <w:bookmarkStart w:id="57651" w:name="_ETM_Q104_419810"/>
      <w:bookmarkEnd w:id="57651"/>
    </w:p>
    <w:p w:rsidR="00BB59CD" w:rsidRDefault="00BB59CD" w:rsidP="00BB59CD">
      <w:pPr>
        <w:rPr>
          <w:rtl/>
        </w:rPr>
      </w:pPr>
    </w:p>
    <w:p w:rsidR="00BB59CD" w:rsidRDefault="00BB59CD" w:rsidP="00D80B85">
      <w:pPr>
        <w:rPr>
          <w:rtl/>
        </w:rPr>
      </w:pPr>
      <w:r>
        <w:rPr>
          <w:rFonts w:hint="cs"/>
          <w:rtl/>
        </w:rPr>
        <w:t>"נ</w:t>
      </w:r>
      <w:bookmarkStart w:id="57652" w:name="_ETM_Q104_419930"/>
      <w:bookmarkEnd w:id="57652"/>
      <w:r>
        <w:rPr>
          <w:rFonts w:hint="cs"/>
          <w:rtl/>
        </w:rPr>
        <w:t xml:space="preserve">יקח </w:t>
      </w:r>
      <w:bookmarkStart w:id="57653" w:name="_ETM_Q104_420140"/>
      <w:bookmarkEnd w:id="57653"/>
      <w:r>
        <w:rPr>
          <w:rFonts w:hint="cs"/>
          <w:rtl/>
        </w:rPr>
        <w:t xml:space="preserve">שנה, </w:t>
      </w:r>
      <w:bookmarkStart w:id="57654" w:name="_ETM_Q104_420680"/>
      <w:bookmarkEnd w:id="57654"/>
      <w:r>
        <w:rPr>
          <w:rFonts w:hint="cs"/>
          <w:rtl/>
        </w:rPr>
        <w:t xml:space="preserve">אומנם </w:t>
      </w:r>
      <w:bookmarkStart w:id="57655" w:name="_ETM_Q104_421069"/>
      <w:bookmarkEnd w:id="57655"/>
      <w:r>
        <w:rPr>
          <w:rFonts w:hint="cs"/>
          <w:rtl/>
        </w:rPr>
        <w:t xml:space="preserve">לא </w:t>
      </w:r>
      <w:bookmarkStart w:id="57656" w:name="_ETM_Q104_421220"/>
      <w:bookmarkEnd w:id="57656"/>
      <w:r>
        <w:rPr>
          <w:rFonts w:hint="cs"/>
          <w:rtl/>
        </w:rPr>
        <w:t xml:space="preserve">מייצגת – </w:t>
      </w:r>
      <w:bookmarkStart w:id="57657" w:name="_ETM_Q104_421910"/>
      <w:bookmarkEnd w:id="57657"/>
      <w:r>
        <w:rPr>
          <w:rFonts w:hint="cs"/>
          <w:rtl/>
        </w:rPr>
        <w:t>1941</w:t>
      </w:r>
      <w:bookmarkStart w:id="57658" w:name="_ETM_Q104_423549"/>
      <w:bookmarkEnd w:id="57658"/>
      <w:r>
        <w:rPr>
          <w:rFonts w:hint="cs"/>
          <w:rtl/>
        </w:rPr>
        <w:t xml:space="preserve">. בעולם </w:t>
      </w:r>
      <w:bookmarkStart w:id="57659" w:name="_ETM_Q104_424029"/>
      <w:bookmarkEnd w:id="57659"/>
      <w:r>
        <w:rPr>
          <w:rFonts w:hint="cs"/>
          <w:rtl/>
        </w:rPr>
        <w:t xml:space="preserve">כולו </w:t>
      </w:r>
      <w:bookmarkStart w:id="57660" w:name="_ETM_Q104_424479"/>
      <w:bookmarkEnd w:id="57660"/>
      <w:r>
        <w:rPr>
          <w:rFonts w:hint="cs"/>
          <w:rtl/>
        </w:rPr>
        <w:t>היו</w:t>
      </w:r>
      <w:bookmarkStart w:id="57661" w:name="_ETM_Q104_424749"/>
      <w:bookmarkEnd w:id="57661"/>
      <w:r>
        <w:rPr>
          <w:rFonts w:hint="cs"/>
          <w:rtl/>
        </w:rPr>
        <w:t xml:space="preserve"> כעשר </w:t>
      </w:r>
      <w:bookmarkStart w:id="57662" w:name="_ETM_Q104_425260"/>
      <w:bookmarkEnd w:id="57662"/>
      <w:r>
        <w:rPr>
          <w:rFonts w:hint="cs"/>
          <w:rtl/>
        </w:rPr>
        <w:t xml:space="preserve">דמוקרטיות, </w:t>
      </w:r>
      <w:bookmarkStart w:id="57663" w:name="_ETM_Q104_426010"/>
      <w:bookmarkEnd w:id="57663"/>
      <w:r>
        <w:rPr>
          <w:rFonts w:hint="cs"/>
          <w:rtl/>
        </w:rPr>
        <w:t xml:space="preserve">ובהן </w:t>
      </w:r>
      <w:bookmarkStart w:id="57664" w:name="_ETM_Q104_426369"/>
      <w:bookmarkEnd w:id="57664"/>
      <w:r>
        <w:rPr>
          <w:rFonts w:hint="cs"/>
          <w:rtl/>
        </w:rPr>
        <w:t xml:space="preserve">שווייץ, </w:t>
      </w:r>
      <w:bookmarkStart w:id="57665" w:name="_ETM_Q104_427180"/>
      <w:bookmarkEnd w:id="57665"/>
      <w:r>
        <w:rPr>
          <w:rFonts w:hint="cs"/>
          <w:rtl/>
        </w:rPr>
        <w:t xml:space="preserve">שבה </w:t>
      </w:r>
      <w:bookmarkStart w:id="57666" w:name="_ETM_Q104_427540"/>
      <w:bookmarkEnd w:id="57666"/>
      <w:r>
        <w:rPr>
          <w:rFonts w:hint="cs"/>
          <w:rtl/>
        </w:rPr>
        <w:t xml:space="preserve">לנשים </w:t>
      </w:r>
      <w:bookmarkStart w:id="57667" w:name="_ETM_Q104_427959"/>
      <w:bookmarkEnd w:id="57667"/>
      <w:r>
        <w:rPr>
          <w:rFonts w:hint="cs"/>
          <w:rtl/>
        </w:rPr>
        <w:t xml:space="preserve">לא </w:t>
      </w:r>
      <w:bookmarkStart w:id="57668" w:name="_ETM_Q104_428079"/>
      <w:bookmarkEnd w:id="57668"/>
      <w:r>
        <w:rPr>
          <w:rFonts w:hint="cs"/>
          <w:rtl/>
        </w:rPr>
        <w:t xml:space="preserve">תהיה </w:t>
      </w:r>
      <w:bookmarkStart w:id="57669" w:name="_ETM_Q104_428319"/>
      <w:bookmarkEnd w:id="57669"/>
      <w:r>
        <w:rPr>
          <w:rFonts w:hint="cs"/>
          <w:rtl/>
        </w:rPr>
        <w:t xml:space="preserve">זכות </w:t>
      </w:r>
      <w:bookmarkStart w:id="57670" w:name="_ETM_Q104_428619"/>
      <w:bookmarkEnd w:id="57670"/>
      <w:r>
        <w:rPr>
          <w:rFonts w:hint="cs"/>
          <w:rtl/>
        </w:rPr>
        <w:t xml:space="preserve">בחירה </w:t>
      </w:r>
      <w:bookmarkStart w:id="57671" w:name="_ETM_Q104_429770"/>
      <w:bookmarkEnd w:id="57671"/>
      <w:r>
        <w:rPr>
          <w:rFonts w:hint="cs"/>
          <w:rtl/>
        </w:rPr>
        <w:t xml:space="preserve">עוד </w:t>
      </w:r>
      <w:bookmarkStart w:id="57672" w:name="_ETM_Q104_430250"/>
      <w:bookmarkEnd w:id="57672"/>
      <w:r>
        <w:rPr>
          <w:rFonts w:hint="cs"/>
          <w:rtl/>
        </w:rPr>
        <w:t xml:space="preserve">30 </w:t>
      </w:r>
      <w:bookmarkStart w:id="57673" w:name="_ETM_Q104_430760"/>
      <w:bookmarkEnd w:id="57673"/>
      <w:r>
        <w:rPr>
          <w:rFonts w:hint="cs"/>
          <w:rtl/>
        </w:rPr>
        <w:t xml:space="preserve">שנה; </w:t>
      </w:r>
      <w:bookmarkStart w:id="57674" w:name="_ETM_Q104_431690"/>
      <w:bookmarkEnd w:id="57674"/>
      <w:r>
        <w:rPr>
          <w:rFonts w:hint="cs"/>
          <w:rtl/>
        </w:rPr>
        <w:t xml:space="preserve">ארצות </w:t>
      </w:r>
      <w:bookmarkStart w:id="57675" w:name="_ETM_Q104_432110"/>
      <w:bookmarkEnd w:id="57675"/>
      <w:r>
        <w:rPr>
          <w:rFonts w:hint="cs"/>
          <w:rtl/>
        </w:rPr>
        <w:t xml:space="preserve">הברית </w:t>
      </w:r>
      <w:bookmarkStart w:id="57676" w:name="_ETM_Q104_432440"/>
      <w:bookmarkEnd w:id="57676"/>
      <w:r>
        <w:rPr>
          <w:rFonts w:hint="cs"/>
          <w:rtl/>
        </w:rPr>
        <w:t xml:space="preserve">עם </w:t>
      </w:r>
      <w:bookmarkStart w:id="57677" w:name="_ETM_Q104_432790"/>
      <w:bookmarkEnd w:id="57677"/>
      <w:r>
        <w:rPr>
          <w:rFonts w:hint="cs"/>
          <w:rtl/>
        </w:rPr>
        <w:t xml:space="preserve">משטר </w:t>
      </w:r>
      <w:bookmarkStart w:id="57678" w:name="_ETM_Q104_433269"/>
      <w:bookmarkEnd w:id="57678"/>
      <w:r>
        <w:rPr>
          <w:rFonts w:hint="cs"/>
          <w:rtl/>
        </w:rPr>
        <w:t xml:space="preserve">האפליה </w:t>
      </w:r>
      <w:bookmarkStart w:id="57679" w:name="_ETM_Q104_433810"/>
      <w:bookmarkEnd w:id="57679"/>
      <w:r>
        <w:rPr>
          <w:rFonts w:hint="cs"/>
          <w:rtl/>
        </w:rPr>
        <w:t xml:space="preserve">הנורא </w:t>
      </w:r>
      <w:bookmarkStart w:id="57680" w:name="_ETM_Q104_434170"/>
      <w:bookmarkEnd w:id="57680"/>
      <w:r>
        <w:rPr>
          <w:rFonts w:hint="cs"/>
          <w:rtl/>
        </w:rPr>
        <w:t xml:space="preserve">לשחורים </w:t>
      </w:r>
      <w:bookmarkStart w:id="57681" w:name="_ETM_Q104_434680"/>
      <w:bookmarkEnd w:id="57681"/>
      <w:r>
        <w:rPr>
          <w:rFonts w:hint="cs"/>
          <w:rtl/>
        </w:rPr>
        <w:t xml:space="preserve">בדרום; </w:t>
      </w:r>
      <w:bookmarkStart w:id="57682" w:name="_ETM_Q104_435650"/>
      <w:bookmarkEnd w:id="57682"/>
      <w:r>
        <w:rPr>
          <w:rFonts w:hint="cs"/>
          <w:rtl/>
        </w:rPr>
        <w:t xml:space="preserve">בריטניה </w:t>
      </w:r>
      <w:bookmarkStart w:id="57683" w:name="_ETM_Q104_436310"/>
      <w:bookmarkEnd w:id="57683"/>
      <w:r>
        <w:rPr>
          <w:rFonts w:hint="cs"/>
          <w:rtl/>
        </w:rPr>
        <w:t xml:space="preserve">המעמדית </w:t>
      </w:r>
      <w:bookmarkStart w:id="57684" w:name="_ETM_Q104_437029"/>
      <w:bookmarkEnd w:id="57684"/>
      <w:r>
        <w:rPr>
          <w:rFonts w:hint="cs"/>
          <w:rtl/>
        </w:rPr>
        <w:t xml:space="preserve">עד </w:t>
      </w:r>
      <w:bookmarkStart w:id="57685" w:name="_ETM_Q104_437240"/>
      <w:bookmarkEnd w:id="57685"/>
      <w:r>
        <w:rPr>
          <w:rFonts w:hint="cs"/>
          <w:rtl/>
        </w:rPr>
        <w:t xml:space="preserve">מאוד, </w:t>
      </w:r>
      <w:bookmarkStart w:id="57686" w:name="_ETM_Q104_437870"/>
      <w:bookmarkEnd w:id="57686"/>
      <w:r>
        <w:rPr>
          <w:rFonts w:hint="cs"/>
          <w:rtl/>
        </w:rPr>
        <w:t xml:space="preserve">על הקולוניות </w:t>
      </w:r>
      <w:bookmarkStart w:id="57687" w:name="_ETM_Q104_438620"/>
      <w:bookmarkEnd w:id="57687"/>
      <w:r>
        <w:rPr>
          <w:rFonts w:hint="cs"/>
          <w:rtl/>
        </w:rPr>
        <w:t xml:space="preserve">שלה. </w:t>
      </w:r>
      <w:bookmarkStart w:id="57688" w:name="_ETM_Q104_439540"/>
      <w:bookmarkStart w:id="57689" w:name="_ETM_Q104_560136"/>
      <w:bookmarkStart w:id="57690" w:name="_ETM_Q104_560207"/>
      <w:bookmarkStart w:id="57691" w:name="_ETM_Q104_560327"/>
      <w:bookmarkStart w:id="57692" w:name="_ETM_Q104_560380"/>
      <w:bookmarkEnd w:id="57688"/>
      <w:bookmarkEnd w:id="57689"/>
      <w:bookmarkEnd w:id="57690"/>
      <w:bookmarkEnd w:id="57691"/>
      <w:bookmarkEnd w:id="57692"/>
      <w:r>
        <w:rPr>
          <w:rFonts w:hint="cs"/>
          <w:rtl/>
        </w:rPr>
        <w:t xml:space="preserve">אחרי </w:t>
      </w:r>
      <w:bookmarkStart w:id="57693" w:name="_ETM_Q104_439870"/>
      <w:bookmarkEnd w:id="57693"/>
      <w:r>
        <w:rPr>
          <w:rFonts w:hint="cs"/>
          <w:rtl/>
        </w:rPr>
        <w:t xml:space="preserve">מלחמת </w:t>
      </w:r>
      <w:bookmarkStart w:id="57694" w:name="_ETM_Q104_440290"/>
      <w:bookmarkEnd w:id="57694"/>
      <w:r>
        <w:rPr>
          <w:rFonts w:hint="cs"/>
          <w:rtl/>
        </w:rPr>
        <w:t xml:space="preserve">העולם </w:t>
      </w:r>
      <w:bookmarkStart w:id="57695" w:name="_ETM_Q104_440620"/>
      <w:bookmarkEnd w:id="57695"/>
      <w:r>
        <w:rPr>
          <w:rFonts w:hint="cs"/>
          <w:rtl/>
        </w:rPr>
        <w:t xml:space="preserve">השנייה </w:t>
      </w:r>
      <w:bookmarkStart w:id="57696" w:name="_ETM_Q104_441040"/>
      <w:bookmarkEnd w:id="57696"/>
      <w:r>
        <w:rPr>
          <w:rFonts w:hint="cs"/>
          <w:rtl/>
        </w:rPr>
        <w:t xml:space="preserve">כבר </w:t>
      </w:r>
      <w:bookmarkStart w:id="57697" w:name="_ETM_Q104_441250"/>
      <w:bookmarkEnd w:id="57697"/>
      <w:r>
        <w:rPr>
          <w:rFonts w:hint="cs"/>
          <w:rtl/>
        </w:rPr>
        <w:t xml:space="preserve">יש </w:t>
      </w:r>
      <w:bookmarkStart w:id="57698" w:name="_ETM_Q104_441639"/>
      <w:bookmarkEnd w:id="57698"/>
      <w:r>
        <w:rPr>
          <w:rFonts w:hint="cs"/>
          <w:rtl/>
        </w:rPr>
        <w:t xml:space="preserve">יתר </w:t>
      </w:r>
      <w:bookmarkStart w:id="57699" w:name="_ETM_Q104_442000"/>
      <w:bookmarkEnd w:id="57699"/>
      <w:r>
        <w:rPr>
          <w:rFonts w:hint="cs"/>
          <w:rtl/>
        </w:rPr>
        <w:t xml:space="preserve">דמוקרטיה </w:t>
      </w:r>
      <w:bookmarkStart w:id="57700" w:name="_ETM_Q104_567040"/>
      <w:bookmarkEnd w:id="57700"/>
      <w:r>
        <w:rPr>
          <w:rFonts w:hint="cs"/>
          <w:rtl/>
        </w:rPr>
        <w:t xml:space="preserve">– </w:t>
      </w:r>
      <w:bookmarkStart w:id="57701" w:name="_ETM_Q104_442660"/>
      <w:bookmarkEnd w:id="57701"/>
      <w:r>
        <w:rPr>
          <w:rFonts w:hint="cs"/>
          <w:rtl/>
        </w:rPr>
        <w:t xml:space="preserve">גרמניה </w:t>
      </w:r>
      <w:bookmarkStart w:id="57702" w:name="_ETM_Q104_443260"/>
      <w:bookmarkEnd w:id="57702"/>
      <w:r>
        <w:rPr>
          <w:rFonts w:hint="cs"/>
          <w:rtl/>
        </w:rPr>
        <w:t xml:space="preserve">ויפן, </w:t>
      </w:r>
      <w:bookmarkStart w:id="57703" w:name="_ETM_Q104_443710"/>
      <w:bookmarkEnd w:id="57703"/>
      <w:r>
        <w:rPr>
          <w:rFonts w:hint="cs"/>
          <w:rtl/>
        </w:rPr>
        <w:t xml:space="preserve">למשל, </w:t>
      </w:r>
      <w:bookmarkStart w:id="57704" w:name="_ETM_Q104_444190"/>
      <w:bookmarkEnd w:id="57704"/>
      <w:r>
        <w:rPr>
          <w:rFonts w:hint="cs"/>
          <w:rtl/>
        </w:rPr>
        <w:t xml:space="preserve">בניגוד </w:t>
      </w:r>
      <w:bookmarkStart w:id="57705" w:name="_ETM_Q104_444610"/>
      <w:bookmarkEnd w:id="57705"/>
      <w:r>
        <w:rPr>
          <w:rFonts w:hint="cs"/>
          <w:rtl/>
        </w:rPr>
        <w:t xml:space="preserve">לאמונה </w:t>
      </w:r>
      <w:bookmarkStart w:id="57706" w:name="_ETM_Q104_445089"/>
      <w:bookmarkEnd w:id="57706"/>
      <w:r>
        <w:rPr>
          <w:rFonts w:hint="cs"/>
          <w:rtl/>
        </w:rPr>
        <w:t xml:space="preserve">החוזרת </w:t>
      </w:r>
      <w:bookmarkStart w:id="57707" w:name="_ETM_Q104_445570"/>
      <w:bookmarkEnd w:id="57707"/>
      <w:r>
        <w:rPr>
          <w:rFonts w:hint="cs"/>
          <w:rtl/>
        </w:rPr>
        <w:t xml:space="preserve">על </w:t>
      </w:r>
      <w:bookmarkStart w:id="57708" w:name="_ETM_Q104_445660"/>
      <w:bookmarkEnd w:id="57708"/>
      <w:r>
        <w:rPr>
          <w:rFonts w:hint="cs"/>
          <w:rtl/>
        </w:rPr>
        <w:t xml:space="preserve">עצמה </w:t>
      </w:r>
      <w:bookmarkStart w:id="57709" w:name="_ETM_Q104_445990"/>
      <w:bookmarkEnd w:id="57709"/>
      <w:r>
        <w:rPr>
          <w:rFonts w:hint="cs"/>
          <w:rtl/>
        </w:rPr>
        <w:t xml:space="preserve">בימים </w:t>
      </w:r>
      <w:bookmarkStart w:id="57710" w:name="_ETM_Q104_446470"/>
      <w:bookmarkEnd w:id="57710"/>
      <w:r>
        <w:rPr>
          <w:rFonts w:hint="cs"/>
          <w:rtl/>
        </w:rPr>
        <w:t xml:space="preserve">אלה </w:t>
      </w:r>
      <w:bookmarkStart w:id="57711" w:name="_ETM_Q104_446710"/>
      <w:bookmarkEnd w:id="57711"/>
      <w:r>
        <w:rPr>
          <w:rFonts w:hint="cs"/>
          <w:rtl/>
        </w:rPr>
        <w:t xml:space="preserve">של </w:t>
      </w:r>
      <w:bookmarkStart w:id="57712" w:name="_ETM_Q104_446889"/>
      <w:bookmarkEnd w:id="57712"/>
      <w:r>
        <w:rPr>
          <w:rFonts w:hint="cs"/>
          <w:rtl/>
        </w:rPr>
        <w:t xml:space="preserve">יציאה </w:t>
      </w:r>
      <w:bookmarkStart w:id="57713" w:name="_ETM_Q104_447310"/>
      <w:bookmarkEnd w:id="57713"/>
      <w:r>
        <w:rPr>
          <w:rFonts w:hint="cs"/>
          <w:rtl/>
        </w:rPr>
        <w:t xml:space="preserve">משפילה </w:t>
      </w:r>
      <w:bookmarkStart w:id="57714" w:name="_ETM_Q104_447850"/>
      <w:bookmarkEnd w:id="57714"/>
      <w:r>
        <w:rPr>
          <w:rFonts w:hint="cs"/>
          <w:rtl/>
        </w:rPr>
        <w:t xml:space="preserve">מאפגניסטן, </w:t>
      </w:r>
      <w:bookmarkStart w:id="57715" w:name="_ETM_Q104_449070"/>
      <w:bookmarkEnd w:id="57715"/>
      <w:r>
        <w:rPr>
          <w:rFonts w:hint="cs"/>
          <w:rtl/>
        </w:rPr>
        <w:t>שאי</w:t>
      </w:r>
      <w:bookmarkStart w:id="57716" w:name="_ETM_Q104_449370"/>
      <w:bookmarkEnd w:id="57716"/>
      <w:r>
        <w:rPr>
          <w:rFonts w:hint="cs"/>
          <w:rtl/>
        </w:rPr>
        <w:t xml:space="preserve">-אפשר </w:t>
      </w:r>
      <w:bookmarkStart w:id="57717" w:name="_ETM_Q104_449700"/>
      <w:bookmarkEnd w:id="57717"/>
      <w:r>
        <w:rPr>
          <w:rFonts w:hint="cs"/>
          <w:rtl/>
        </w:rPr>
        <w:t xml:space="preserve">להשליט </w:t>
      </w:r>
      <w:bookmarkStart w:id="57718" w:name="_ETM_Q104_450060"/>
      <w:bookmarkEnd w:id="57718"/>
      <w:r>
        <w:rPr>
          <w:rFonts w:hint="cs"/>
          <w:rtl/>
        </w:rPr>
        <w:t xml:space="preserve">דמוקרטיה. </w:t>
      </w:r>
      <w:bookmarkStart w:id="57719" w:name="_ETM_Q104_451050"/>
      <w:bookmarkEnd w:id="57719"/>
      <w:r>
        <w:rPr>
          <w:rFonts w:hint="cs"/>
          <w:rtl/>
        </w:rPr>
        <w:t xml:space="preserve">אפשר. </w:t>
      </w:r>
      <w:bookmarkStart w:id="57720" w:name="_ETM_Q104_451879"/>
      <w:bookmarkEnd w:id="57720"/>
      <w:r>
        <w:rPr>
          <w:rFonts w:hint="cs"/>
          <w:rtl/>
        </w:rPr>
        <w:t xml:space="preserve">איך? </w:t>
      </w:r>
      <w:bookmarkStart w:id="57721" w:name="_ETM_Q104_452839"/>
      <w:bookmarkEnd w:id="57721"/>
      <w:r>
        <w:rPr>
          <w:rFonts w:hint="cs"/>
          <w:rtl/>
        </w:rPr>
        <w:t xml:space="preserve">צבא </w:t>
      </w:r>
      <w:bookmarkStart w:id="57722" w:name="_ETM_Q104_453199"/>
      <w:bookmarkEnd w:id="57722"/>
      <w:r>
        <w:rPr>
          <w:rFonts w:hint="cs"/>
          <w:rtl/>
        </w:rPr>
        <w:t xml:space="preserve">כובש </w:t>
      </w:r>
      <w:bookmarkStart w:id="57723" w:name="_ETM_Q104_453680"/>
      <w:bookmarkEnd w:id="57723"/>
      <w:r>
        <w:rPr>
          <w:rFonts w:hint="cs"/>
          <w:rtl/>
        </w:rPr>
        <w:t xml:space="preserve">מכתיב </w:t>
      </w:r>
      <w:bookmarkStart w:id="57724" w:name="_ETM_Q104_454069"/>
      <w:bookmarkEnd w:id="57724"/>
      <w:r>
        <w:rPr>
          <w:rFonts w:hint="cs"/>
          <w:rtl/>
        </w:rPr>
        <w:t xml:space="preserve">להם </w:t>
      </w:r>
      <w:bookmarkStart w:id="57725" w:name="_ETM_Q104_454279"/>
      <w:bookmarkEnd w:id="57725"/>
      <w:r>
        <w:rPr>
          <w:rFonts w:hint="cs"/>
          <w:rtl/>
        </w:rPr>
        <w:t xml:space="preserve">חוקה </w:t>
      </w:r>
      <w:bookmarkStart w:id="57726" w:name="_ETM_Q104_454580"/>
      <w:bookmarkEnd w:id="57726"/>
      <w:r>
        <w:rPr>
          <w:rFonts w:hint="cs"/>
          <w:rtl/>
        </w:rPr>
        <w:t xml:space="preserve">דמוקרטית, </w:t>
      </w:r>
      <w:bookmarkStart w:id="57727" w:name="_ETM_Q104_455729"/>
      <w:bookmarkEnd w:id="57727"/>
      <w:r>
        <w:rPr>
          <w:rFonts w:hint="cs"/>
          <w:rtl/>
        </w:rPr>
        <w:t xml:space="preserve">אחרי </w:t>
      </w:r>
      <w:bookmarkStart w:id="57728" w:name="_ETM_Q104_456059"/>
      <w:bookmarkEnd w:id="57728"/>
      <w:r>
        <w:rPr>
          <w:rFonts w:hint="cs"/>
          <w:rtl/>
        </w:rPr>
        <w:t xml:space="preserve">תבוסה </w:t>
      </w:r>
      <w:bookmarkStart w:id="57729" w:name="_ETM_Q104_456509"/>
      <w:bookmarkEnd w:id="57729"/>
      <w:r>
        <w:rPr>
          <w:rFonts w:hint="cs"/>
          <w:rtl/>
        </w:rPr>
        <w:t xml:space="preserve">מוחלטת </w:t>
      </w:r>
      <w:bookmarkStart w:id="57730" w:name="_ETM_Q104_457110"/>
      <w:bookmarkEnd w:id="57730"/>
      <w:r>
        <w:rPr>
          <w:rFonts w:hint="cs"/>
          <w:rtl/>
        </w:rPr>
        <w:t xml:space="preserve">וכניעה </w:t>
      </w:r>
      <w:bookmarkStart w:id="57731" w:name="_ETM_Q104_457620"/>
      <w:bookmarkEnd w:id="57731"/>
      <w:r>
        <w:rPr>
          <w:rFonts w:hint="cs"/>
          <w:rtl/>
        </w:rPr>
        <w:t xml:space="preserve">בלא </w:t>
      </w:r>
      <w:bookmarkStart w:id="57732" w:name="_ETM_Q104_457919"/>
      <w:bookmarkEnd w:id="57732"/>
      <w:r>
        <w:rPr>
          <w:rFonts w:hint="cs"/>
          <w:rtl/>
        </w:rPr>
        <w:t>תנאי</w:t>
      </w:r>
      <w:bookmarkStart w:id="57733" w:name="_ETM_Q104_458990"/>
      <w:bookmarkEnd w:id="57733"/>
      <w:r>
        <w:rPr>
          <w:rFonts w:hint="cs"/>
          <w:rtl/>
        </w:rPr>
        <w:t xml:space="preserve">. זו </w:t>
      </w:r>
      <w:bookmarkStart w:id="57734" w:name="_ETM_Q104_459229"/>
      <w:bookmarkEnd w:id="57734"/>
      <w:r>
        <w:rPr>
          <w:rFonts w:hint="cs"/>
          <w:rtl/>
        </w:rPr>
        <w:t xml:space="preserve">לא </w:t>
      </w:r>
      <w:bookmarkStart w:id="57735" w:name="_ETM_Q104_459380"/>
      <w:bookmarkEnd w:id="57735"/>
      <w:r>
        <w:rPr>
          <w:rFonts w:hint="cs"/>
          <w:rtl/>
        </w:rPr>
        <w:t xml:space="preserve">מלחמת </w:t>
      </w:r>
      <w:bookmarkStart w:id="57736" w:name="_ETM_Q104_459860"/>
      <w:bookmarkEnd w:id="57736"/>
      <w:r>
        <w:rPr>
          <w:rFonts w:hint="cs"/>
          <w:rtl/>
        </w:rPr>
        <w:t xml:space="preserve">העולם </w:t>
      </w:r>
      <w:bookmarkStart w:id="57737" w:name="_ETM_Q104_460190"/>
      <w:bookmarkEnd w:id="57737"/>
      <w:r>
        <w:rPr>
          <w:rFonts w:hint="cs"/>
          <w:rtl/>
        </w:rPr>
        <w:t xml:space="preserve">הראשונה, </w:t>
      </w:r>
      <w:bookmarkStart w:id="57738" w:name="_ETM_Q104_460790"/>
      <w:bookmarkEnd w:id="57738"/>
      <w:r>
        <w:rPr>
          <w:rFonts w:hint="cs"/>
          <w:rtl/>
        </w:rPr>
        <w:t xml:space="preserve">שבה </w:t>
      </w:r>
      <w:bookmarkStart w:id="57739" w:name="_ETM_Q104_461120"/>
      <w:bookmarkEnd w:id="57739"/>
      <w:r>
        <w:rPr>
          <w:rFonts w:hint="cs"/>
          <w:rtl/>
        </w:rPr>
        <w:t xml:space="preserve">גרמניה </w:t>
      </w:r>
      <w:bookmarkStart w:id="57740" w:name="_ETM_Q104_461690"/>
      <w:bookmarkEnd w:id="57740"/>
      <w:r>
        <w:rPr>
          <w:rFonts w:hint="cs"/>
          <w:rtl/>
        </w:rPr>
        <w:t xml:space="preserve">נכנעת </w:t>
      </w:r>
      <w:bookmarkStart w:id="57741" w:name="_ETM_Q104_462259"/>
      <w:bookmarkEnd w:id="57741"/>
      <w:r>
        <w:rPr>
          <w:rFonts w:hint="cs"/>
          <w:rtl/>
        </w:rPr>
        <w:t xml:space="preserve">כשצבאה </w:t>
      </w:r>
      <w:bookmarkStart w:id="57742" w:name="_ETM_Q104_462979"/>
      <w:bookmarkEnd w:id="57742"/>
      <w:r>
        <w:rPr>
          <w:rFonts w:hint="cs"/>
          <w:rtl/>
        </w:rPr>
        <w:t xml:space="preserve">קרוב </w:t>
      </w:r>
      <w:bookmarkStart w:id="57743" w:name="_ETM_Q104_463610"/>
      <w:bookmarkEnd w:id="57743"/>
      <w:r>
        <w:rPr>
          <w:rFonts w:hint="cs"/>
          <w:rtl/>
        </w:rPr>
        <w:t xml:space="preserve">לפריז, </w:t>
      </w:r>
      <w:bookmarkStart w:id="57744" w:name="_ETM_Q104_464509"/>
      <w:bookmarkEnd w:id="57744"/>
      <w:r>
        <w:rPr>
          <w:rFonts w:hint="cs"/>
          <w:rtl/>
        </w:rPr>
        <w:t xml:space="preserve">ובעלות </w:t>
      </w:r>
      <w:bookmarkStart w:id="57745" w:name="_ETM_Q104_464990"/>
      <w:bookmarkEnd w:id="57745"/>
      <w:r>
        <w:rPr>
          <w:rFonts w:hint="cs"/>
          <w:rtl/>
        </w:rPr>
        <w:t xml:space="preserve">הברית </w:t>
      </w:r>
      <w:bookmarkStart w:id="57746" w:name="_ETM_Q104_465350"/>
      <w:bookmarkEnd w:id="57746"/>
      <w:r>
        <w:rPr>
          <w:rFonts w:hint="cs"/>
          <w:rtl/>
        </w:rPr>
        <w:t xml:space="preserve">בטיפשותן </w:t>
      </w:r>
      <w:bookmarkStart w:id="57747" w:name="_ETM_Q104_466220"/>
      <w:bookmarkEnd w:id="57747"/>
      <w:r>
        <w:rPr>
          <w:rFonts w:hint="cs"/>
          <w:rtl/>
        </w:rPr>
        <w:t xml:space="preserve">נותנות </w:t>
      </w:r>
      <w:bookmarkStart w:id="57748" w:name="_ETM_Q104_466639"/>
      <w:bookmarkEnd w:id="57748"/>
      <w:r>
        <w:rPr>
          <w:rFonts w:hint="cs"/>
          <w:rtl/>
        </w:rPr>
        <w:t xml:space="preserve">לצבא </w:t>
      </w:r>
      <w:bookmarkStart w:id="57749" w:name="_ETM_Q104_467060"/>
      <w:bookmarkEnd w:id="57749"/>
      <w:r>
        <w:rPr>
          <w:rFonts w:hint="cs"/>
          <w:rtl/>
        </w:rPr>
        <w:t xml:space="preserve">המנוצח </w:t>
      </w:r>
      <w:bookmarkStart w:id="57750" w:name="_ETM_Q104_467630"/>
      <w:bookmarkEnd w:id="57750"/>
      <w:r>
        <w:rPr>
          <w:rFonts w:hint="cs"/>
          <w:rtl/>
        </w:rPr>
        <w:t xml:space="preserve">לצעוד </w:t>
      </w:r>
      <w:bookmarkStart w:id="57751" w:name="_ETM_Q104_468050"/>
      <w:bookmarkEnd w:id="57751"/>
      <w:r>
        <w:rPr>
          <w:rFonts w:hint="cs"/>
          <w:rtl/>
        </w:rPr>
        <w:t xml:space="preserve">הביתה </w:t>
      </w:r>
      <w:bookmarkStart w:id="57752" w:name="_ETM_Q104_468560"/>
      <w:bookmarkEnd w:id="57752"/>
      <w:r>
        <w:rPr>
          <w:rFonts w:hint="cs"/>
          <w:rtl/>
        </w:rPr>
        <w:t xml:space="preserve">כאילו </w:t>
      </w:r>
      <w:bookmarkStart w:id="57753" w:name="_ETM_Q104_469009"/>
      <w:bookmarkEnd w:id="57753"/>
      <w:r>
        <w:rPr>
          <w:rFonts w:hint="cs"/>
          <w:rtl/>
        </w:rPr>
        <w:t xml:space="preserve">ניצח. </w:t>
      </w:r>
      <w:bookmarkStart w:id="57754" w:name="_ETM_Q104_470460"/>
      <w:bookmarkEnd w:id="57754"/>
    </w:p>
    <w:p w:rsidR="00BB59CD" w:rsidRDefault="00BB59CD" w:rsidP="00BB59CD">
      <w:pPr>
        <w:rPr>
          <w:rtl/>
        </w:rPr>
      </w:pPr>
      <w:bookmarkStart w:id="57755" w:name="_ETM_Q104_468899"/>
      <w:bookmarkStart w:id="57756" w:name="_ETM_Q104_469022"/>
      <w:bookmarkEnd w:id="57755"/>
      <w:bookmarkEnd w:id="57756"/>
    </w:p>
    <w:p w:rsidR="00BB59CD" w:rsidRDefault="00BB59CD" w:rsidP="00D80B85">
      <w:pPr>
        <w:rPr>
          <w:rtl/>
        </w:rPr>
      </w:pPr>
      <w:bookmarkStart w:id="57757" w:name="_ETM_Q104_469066"/>
      <w:bookmarkStart w:id="57758" w:name="_ETM_Q104_469166"/>
      <w:bookmarkEnd w:id="57757"/>
      <w:bookmarkEnd w:id="57758"/>
      <w:r>
        <w:rPr>
          <w:rFonts w:hint="cs"/>
          <w:rtl/>
        </w:rPr>
        <w:t xml:space="preserve">"הפעם, </w:t>
      </w:r>
      <w:bookmarkStart w:id="57759" w:name="_ETM_Q104_471029"/>
      <w:bookmarkEnd w:id="57759"/>
      <w:r>
        <w:rPr>
          <w:rFonts w:hint="cs"/>
          <w:rtl/>
        </w:rPr>
        <w:t xml:space="preserve">ב-1945, </w:t>
      </w:r>
      <w:bookmarkStart w:id="57760" w:name="_ETM_Q104_472680"/>
      <w:bookmarkEnd w:id="57760"/>
      <w:r>
        <w:rPr>
          <w:rFonts w:hint="cs"/>
          <w:rtl/>
        </w:rPr>
        <w:t xml:space="preserve">כשדגל </w:t>
      </w:r>
      <w:bookmarkStart w:id="57761" w:name="_ETM_Q104_473279"/>
      <w:bookmarkEnd w:id="57761"/>
      <w:r>
        <w:rPr>
          <w:rFonts w:hint="cs"/>
          <w:rtl/>
        </w:rPr>
        <w:t xml:space="preserve">אדום </w:t>
      </w:r>
      <w:bookmarkStart w:id="57762" w:name="_ETM_Q104_473610"/>
      <w:bookmarkEnd w:id="57762"/>
      <w:r>
        <w:rPr>
          <w:rFonts w:hint="cs"/>
          <w:rtl/>
        </w:rPr>
        <w:t xml:space="preserve">מונף </w:t>
      </w:r>
      <w:bookmarkStart w:id="57763" w:name="_ETM_Q104_473940"/>
      <w:bookmarkEnd w:id="57763"/>
      <w:r>
        <w:rPr>
          <w:rFonts w:hint="cs"/>
          <w:rtl/>
        </w:rPr>
        <w:t>על ה</w:t>
      </w:r>
      <w:bookmarkStart w:id="57764" w:name="_ETM_Q104_474120"/>
      <w:bookmarkEnd w:id="57764"/>
      <w:r>
        <w:rPr>
          <w:rFonts w:hint="cs"/>
          <w:rtl/>
        </w:rPr>
        <w:t xml:space="preserve">רייכסטאג, </w:t>
      </w:r>
      <w:bookmarkStart w:id="57765" w:name="_ETM_Q104_475050"/>
      <w:bookmarkEnd w:id="57765"/>
      <w:r>
        <w:rPr>
          <w:rFonts w:hint="cs"/>
          <w:rtl/>
        </w:rPr>
        <w:t xml:space="preserve">כשערי </w:t>
      </w:r>
      <w:bookmarkStart w:id="57766" w:name="_ETM_Q104_475500"/>
      <w:bookmarkEnd w:id="57766"/>
      <w:r>
        <w:rPr>
          <w:rFonts w:hint="cs"/>
          <w:rtl/>
        </w:rPr>
        <w:t xml:space="preserve">גרמניה </w:t>
      </w:r>
      <w:bookmarkStart w:id="57767" w:name="_ETM_Q104_475980"/>
      <w:bookmarkEnd w:id="57767"/>
      <w:r>
        <w:rPr>
          <w:rFonts w:hint="cs"/>
          <w:rtl/>
        </w:rPr>
        <w:t xml:space="preserve">ויפן </w:t>
      </w:r>
      <w:bookmarkStart w:id="57768" w:name="_ETM_Q104_476430"/>
      <w:bookmarkEnd w:id="57768"/>
      <w:r>
        <w:rPr>
          <w:rFonts w:hint="cs"/>
          <w:rtl/>
        </w:rPr>
        <w:t xml:space="preserve">לא </w:t>
      </w:r>
      <w:bookmarkStart w:id="57769" w:name="_ETM_Q104_476520"/>
      <w:bookmarkEnd w:id="57769"/>
      <w:r>
        <w:rPr>
          <w:rFonts w:hint="cs"/>
          <w:rtl/>
        </w:rPr>
        <w:t xml:space="preserve">קיימות </w:t>
      </w:r>
      <w:bookmarkStart w:id="57770" w:name="_ETM_Q104_477089"/>
      <w:bookmarkEnd w:id="57770"/>
      <w:r>
        <w:rPr>
          <w:rFonts w:hint="cs"/>
          <w:rtl/>
        </w:rPr>
        <w:t xml:space="preserve">משום </w:t>
      </w:r>
      <w:bookmarkStart w:id="57771" w:name="_ETM_Q104_477390"/>
      <w:bookmarkEnd w:id="57771"/>
      <w:r>
        <w:rPr>
          <w:rFonts w:hint="cs"/>
          <w:rtl/>
        </w:rPr>
        <w:t xml:space="preserve">שהופצצו </w:t>
      </w:r>
      <w:bookmarkStart w:id="57772" w:name="_ETM_Q104_477930"/>
      <w:bookmarkEnd w:id="57772"/>
      <w:r>
        <w:rPr>
          <w:rFonts w:hint="cs"/>
          <w:rtl/>
        </w:rPr>
        <w:t xml:space="preserve">לחלוטין, </w:t>
      </w:r>
      <w:bookmarkStart w:id="57773" w:name="_ETM_Q104_478650"/>
      <w:bookmarkEnd w:id="57773"/>
      <w:r>
        <w:rPr>
          <w:rFonts w:hint="cs"/>
          <w:rtl/>
        </w:rPr>
        <w:t xml:space="preserve">די </w:t>
      </w:r>
      <w:bookmarkStart w:id="57774" w:name="_ETM_Q104_478890"/>
      <w:bookmarkEnd w:id="57774"/>
      <w:r>
        <w:rPr>
          <w:rFonts w:hint="cs"/>
          <w:rtl/>
        </w:rPr>
        <w:t xml:space="preserve">ברור </w:t>
      </w:r>
      <w:bookmarkStart w:id="57775" w:name="_ETM_Q104_479220"/>
      <w:bookmarkEnd w:id="57775"/>
      <w:r>
        <w:rPr>
          <w:rFonts w:hint="cs"/>
          <w:rtl/>
        </w:rPr>
        <w:t xml:space="preserve">מי </w:t>
      </w:r>
      <w:bookmarkStart w:id="57776" w:name="_ETM_Q104_479339"/>
      <w:bookmarkEnd w:id="57776"/>
      <w:r>
        <w:rPr>
          <w:rFonts w:hint="cs"/>
          <w:rtl/>
        </w:rPr>
        <w:t xml:space="preserve">ניצח. </w:t>
      </w:r>
      <w:bookmarkStart w:id="57777" w:name="_ETM_Q104_480120"/>
      <w:bookmarkEnd w:id="57777"/>
      <w:r>
        <w:rPr>
          <w:rFonts w:hint="cs"/>
          <w:rtl/>
        </w:rPr>
        <w:t xml:space="preserve">ועדיין </w:t>
      </w:r>
      <w:bookmarkStart w:id="57778" w:name="_ETM_Q104_480000"/>
      <w:bookmarkStart w:id="57779" w:name="_ETM_Q104_480839"/>
      <w:bookmarkEnd w:id="57778"/>
      <w:bookmarkEnd w:id="57779"/>
      <w:r>
        <w:rPr>
          <w:rFonts w:hint="cs"/>
          <w:rtl/>
        </w:rPr>
        <w:t xml:space="preserve">מחצית </w:t>
      </w:r>
      <w:bookmarkStart w:id="57780" w:name="_ETM_Q104_481410"/>
      <w:bookmarkEnd w:id="57780"/>
      <w:r>
        <w:rPr>
          <w:rFonts w:hint="cs"/>
          <w:rtl/>
        </w:rPr>
        <w:t xml:space="preserve">מאירופה, </w:t>
      </w:r>
      <w:bookmarkStart w:id="57781" w:name="_ETM_Q104_482010"/>
      <w:bookmarkEnd w:id="57781"/>
      <w:r>
        <w:rPr>
          <w:rFonts w:hint="cs"/>
          <w:rtl/>
        </w:rPr>
        <w:t xml:space="preserve">כל </w:t>
      </w:r>
      <w:bookmarkStart w:id="57782" w:name="_ETM_Q104_482310"/>
      <w:bookmarkEnd w:id="57782"/>
      <w:r>
        <w:rPr>
          <w:rFonts w:hint="cs"/>
          <w:rtl/>
        </w:rPr>
        <w:t xml:space="preserve">אפריקה, </w:t>
      </w:r>
      <w:bookmarkStart w:id="57783" w:name="_ETM_Q104_482970"/>
      <w:bookmarkEnd w:id="57783"/>
      <w:r>
        <w:rPr>
          <w:rFonts w:hint="cs"/>
          <w:rtl/>
        </w:rPr>
        <w:t xml:space="preserve">עולם </w:t>
      </w:r>
      <w:bookmarkStart w:id="57784" w:name="_ETM_Q104_483300"/>
      <w:bookmarkEnd w:id="57784"/>
      <w:r>
        <w:rPr>
          <w:rFonts w:hint="cs"/>
          <w:rtl/>
        </w:rPr>
        <w:t xml:space="preserve">האסלאם, </w:t>
      </w:r>
      <w:bookmarkStart w:id="57785" w:name="_ETM_Q104_483899"/>
      <w:bookmarkEnd w:id="57785"/>
      <w:r>
        <w:rPr>
          <w:rFonts w:hint="cs"/>
          <w:rtl/>
        </w:rPr>
        <w:t xml:space="preserve">המזרח </w:t>
      </w:r>
      <w:bookmarkStart w:id="57786" w:name="_ETM_Q104_484350"/>
      <w:bookmarkEnd w:id="57786"/>
      <w:r>
        <w:rPr>
          <w:rFonts w:hint="cs"/>
          <w:rtl/>
        </w:rPr>
        <w:t xml:space="preserve">התיכון </w:t>
      </w:r>
      <w:bookmarkStart w:id="57787" w:name="_ETM_Q104_484770"/>
      <w:bookmarkEnd w:id="57787"/>
      <w:r>
        <w:rPr>
          <w:rFonts w:hint="cs"/>
          <w:rtl/>
        </w:rPr>
        <w:t xml:space="preserve">למעט </w:t>
      </w:r>
      <w:bookmarkStart w:id="57788" w:name="_ETM_Q104_485100"/>
      <w:bookmarkEnd w:id="57788"/>
      <w:r>
        <w:rPr>
          <w:rFonts w:hint="cs"/>
          <w:rtl/>
        </w:rPr>
        <w:t xml:space="preserve">ישראל, </w:t>
      </w:r>
      <w:bookmarkStart w:id="57789" w:name="_ETM_Q104_485910"/>
      <w:bookmarkEnd w:id="57789"/>
      <w:r>
        <w:rPr>
          <w:rFonts w:hint="cs"/>
          <w:rtl/>
        </w:rPr>
        <w:t xml:space="preserve">כמעט </w:t>
      </w:r>
      <w:bookmarkStart w:id="57790" w:name="_ETM_Q104_486359"/>
      <w:bookmarkEnd w:id="57790"/>
      <w:r>
        <w:rPr>
          <w:rFonts w:hint="cs"/>
          <w:rtl/>
        </w:rPr>
        <w:t xml:space="preserve">כל </w:t>
      </w:r>
      <w:bookmarkStart w:id="57791" w:name="_ETM_Q104_486600"/>
      <w:bookmarkEnd w:id="57791"/>
      <w:r>
        <w:rPr>
          <w:rFonts w:hint="cs"/>
          <w:rtl/>
        </w:rPr>
        <w:t xml:space="preserve">אמריקה </w:t>
      </w:r>
      <w:bookmarkStart w:id="57792" w:name="_ETM_Q104_487049"/>
      <w:bookmarkEnd w:id="57792"/>
      <w:r>
        <w:rPr>
          <w:rFonts w:hint="cs"/>
          <w:rtl/>
        </w:rPr>
        <w:t xml:space="preserve">הלטינית, </w:t>
      </w:r>
      <w:bookmarkStart w:id="57793" w:name="_ETM_Q104_488010"/>
      <w:bookmarkEnd w:id="57793"/>
      <w:r>
        <w:rPr>
          <w:rFonts w:hint="cs"/>
          <w:rtl/>
        </w:rPr>
        <w:t xml:space="preserve">הן </w:t>
      </w:r>
      <w:bookmarkStart w:id="57794" w:name="_ETM_Q104_488190"/>
      <w:bookmarkEnd w:id="57794"/>
      <w:r>
        <w:rPr>
          <w:rFonts w:hint="cs"/>
          <w:rtl/>
        </w:rPr>
        <w:t xml:space="preserve">דיקטטורות </w:t>
      </w:r>
      <w:bookmarkStart w:id="57795" w:name="_ETM_Q104_488880"/>
      <w:bookmarkEnd w:id="57795"/>
      <w:r>
        <w:rPr>
          <w:rFonts w:hint="cs"/>
          <w:rtl/>
        </w:rPr>
        <w:t xml:space="preserve">כאלה </w:t>
      </w:r>
      <w:bookmarkStart w:id="57796" w:name="_ETM_Q104_489420"/>
      <w:bookmarkEnd w:id="57796"/>
      <w:r>
        <w:rPr>
          <w:rFonts w:hint="cs"/>
          <w:rtl/>
        </w:rPr>
        <w:t xml:space="preserve">או </w:t>
      </w:r>
      <w:bookmarkStart w:id="57797" w:name="_ETM_Q104_489570"/>
      <w:bookmarkEnd w:id="57797"/>
      <w:r>
        <w:rPr>
          <w:rFonts w:hint="cs"/>
          <w:rtl/>
        </w:rPr>
        <w:t xml:space="preserve">אחרות. </w:t>
      </w:r>
      <w:bookmarkStart w:id="57798" w:name="_ETM_Q104_490230"/>
      <w:bookmarkEnd w:id="57798"/>
      <w:r>
        <w:rPr>
          <w:rFonts w:hint="cs"/>
          <w:rtl/>
        </w:rPr>
        <w:t xml:space="preserve">זו </w:t>
      </w:r>
      <w:bookmarkStart w:id="57799" w:name="_ETM_Q104_490500"/>
      <w:bookmarkEnd w:id="57799"/>
      <w:r>
        <w:rPr>
          <w:rFonts w:hint="cs"/>
          <w:rtl/>
        </w:rPr>
        <w:t xml:space="preserve">הייתה </w:t>
      </w:r>
      <w:bookmarkStart w:id="57800" w:name="_ETM_Q104_490769"/>
      <w:bookmarkEnd w:id="57800"/>
      <w:r>
        <w:rPr>
          <w:rFonts w:hint="cs"/>
          <w:rtl/>
        </w:rPr>
        <w:t>הנורמה</w:t>
      </w:r>
      <w:bookmarkStart w:id="57801" w:name="_ETM_Q104_549361"/>
      <w:bookmarkStart w:id="57802" w:name="_ETM_Q104_549465"/>
      <w:bookmarkStart w:id="57803" w:name="_ETM_Q104_549545"/>
      <w:bookmarkStart w:id="57804" w:name="_ETM_Q104_549632"/>
      <w:bookmarkEnd w:id="57801"/>
      <w:bookmarkEnd w:id="57802"/>
      <w:bookmarkEnd w:id="57803"/>
      <w:bookmarkEnd w:id="57804"/>
      <w:r>
        <w:rPr>
          <w:rFonts w:hint="cs"/>
          <w:rtl/>
        </w:rPr>
        <w:t>.</w:t>
      </w:r>
      <w:bookmarkStart w:id="57805" w:name="_ETM_Q104_553393"/>
      <w:bookmarkStart w:id="57806" w:name="_ETM_Q104_553514"/>
      <w:bookmarkStart w:id="57807" w:name="_ETM_Q104_553582"/>
      <w:bookmarkStart w:id="57808" w:name="_ETM_Q104_553661"/>
      <w:bookmarkStart w:id="57809" w:name="_ETM_Q104_492170"/>
      <w:bookmarkEnd w:id="57805"/>
      <w:bookmarkEnd w:id="57806"/>
      <w:bookmarkEnd w:id="57807"/>
      <w:bookmarkEnd w:id="57808"/>
      <w:bookmarkEnd w:id="57809"/>
      <w:r w:rsidR="00D80B85">
        <w:rPr>
          <w:rFonts w:hint="cs"/>
          <w:rtl/>
        </w:rPr>
        <w:t xml:space="preserve"> </w:t>
      </w:r>
      <w:r>
        <w:rPr>
          <w:rFonts w:hint="cs"/>
          <w:rtl/>
        </w:rPr>
        <w:t xml:space="preserve">אז </w:t>
      </w:r>
      <w:bookmarkStart w:id="57810" w:name="_ETM_Q104_492480"/>
      <w:bookmarkStart w:id="57811" w:name="_ETM_Q104_492629"/>
      <w:bookmarkEnd w:id="57810"/>
      <w:bookmarkEnd w:id="57811"/>
      <w:r>
        <w:rPr>
          <w:rFonts w:hint="cs"/>
          <w:rtl/>
        </w:rPr>
        <w:t xml:space="preserve">עוד </w:t>
      </w:r>
      <w:bookmarkStart w:id="57812" w:name="_ETM_Q104_492809"/>
      <w:bookmarkEnd w:id="57812"/>
      <w:r>
        <w:rPr>
          <w:rFonts w:hint="cs"/>
          <w:rtl/>
        </w:rPr>
        <w:t xml:space="preserve">נראה </w:t>
      </w:r>
      <w:bookmarkStart w:id="57813" w:name="_ETM_Q104_493169"/>
      <w:bookmarkEnd w:id="57813"/>
      <w:r>
        <w:rPr>
          <w:rFonts w:hint="cs"/>
          <w:rtl/>
        </w:rPr>
        <w:t xml:space="preserve">היה </w:t>
      </w:r>
      <w:bookmarkStart w:id="57814" w:name="_ETM_Q104_493440"/>
      <w:bookmarkEnd w:id="57814"/>
      <w:r>
        <w:rPr>
          <w:rFonts w:hint="cs"/>
          <w:rtl/>
        </w:rPr>
        <w:t xml:space="preserve">שהעתיד </w:t>
      </w:r>
      <w:bookmarkStart w:id="57815" w:name="_ETM_Q104_493860"/>
      <w:bookmarkEnd w:id="57815"/>
      <w:r>
        <w:rPr>
          <w:rFonts w:hint="cs"/>
          <w:rtl/>
        </w:rPr>
        <w:t xml:space="preserve">גרוע </w:t>
      </w:r>
      <w:bookmarkStart w:id="57816" w:name="_ETM_Q104_494219"/>
      <w:bookmarkEnd w:id="57816"/>
      <w:r>
        <w:rPr>
          <w:rFonts w:hint="cs"/>
          <w:rtl/>
        </w:rPr>
        <w:t xml:space="preserve">יותר. </w:t>
      </w:r>
      <w:bookmarkStart w:id="57817" w:name="_ETM_Q104_494610"/>
      <w:bookmarkEnd w:id="57817"/>
      <w:r>
        <w:rPr>
          <w:rFonts w:hint="cs"/>
          <w:rtl/>
        </w:rPr>
        <w:t xml:space="preserve">כפי </w:t>
      </w:r>
      <w:bookmarkStart w:id="57818" w:name="_ETM_Q104_494820"/>
      <w:bookmarkEnd w:id="57818"/>
      <w:r>
        <w:rPr>
          <w:rFonts w:hint="cs"/>
          <w:rtl/>
        </w:rPr>
        <w:t xml:space="preserve">שבא </w:t>
      </w:r>
      <w:bookmarkStart w:id="57819" w:name="_ETM_Q104_495089"/>
      <w:bookmarkEnd w:id="57819"/>
      <w:r>
        <w:rPr>
          <w:rFonts w:hint="cs"/>
          <w:rtl/>
        </w:rPr>
        <w:t xml:space="preserve">לידי </w:t>
      </w:r>
      <w:bookmarkStart w:id="57820" w:name="_ETM_Q104_495419"/>
      <w:bookmarkEnd w:id="57820"/>
      <w:r>
        <w:rPr>
          <w:rFonts w:hint="cs"/>
          <w:rtl/>
        </w:rPr>
        <w:t xml:space="preserve">ביטוי </w:t>
      </w:r>
      <w:bookmarkStart w:id="57821" w:name="_ETM_Q104_495779"/>
      <w:bookmarkEnd w:id="57821"/>
      <w:r>
        <w:rPr>
          <w:rFonts w:hint="cs"/>
          <w:rtl/>
        </w:rPr>
        <w:t xml:space="preserve">בדיסטופיות </w:t>
      </w:r>
      <w:bookmarkStart w:id="57822" w:name="_ETM_Q104_496410"/>
      <w:bookmarkStart w:id="57823" w:name="_ETM_Q104_496890"/>
      <w:bookmarkEnd w:id="57822"/>
      <w:bookmarkEnd w:id="57823"/>
      <w:r>
        <w:rPr>
          <w:rFonts w:hint="cs"/>
          <w:rtl/>
        </w:rPr>
        <w:t xml:space="preserve">הידועות, </w:t>
      </w:r>
      <w:bookmarkStart w:id="57824" w:name="_ETM_Q104_497520"/>
      <w:bookmarkEnd w:id="57824"/>
      <w:r>
        <w:rPr>
          <w:rFonts w:hint="cs"/>
          <w:rtl/>
        </w:rPr>
        <w:t xml:space="preserve">המחרידות: </w:t>
      </w:r>
      <w:bookmarkStart w:id="57825" w:name="_ETM_Q104_498210"/>
      <w:bookmarkEnd w:id="57825"/>
      <w:r>
        <w:rPr>
          <w:rFonts w:hint="cs"/>
          <w:rtl/>
        </w:rPr>
        <w:t xml:space="preserve">'1984' </w:t>
      </w:r>
      <w:bookmarkStart w:id="57826" w:name="_ETM_Q104_500080"/>
      <w:bookmarkEnd w:id="57826"/>
      <w:r>
        <w:rPr>
          <w:rFonts w:hint="cs"/>
          <w:rtl/>
        </w:rPr>
        <w:t xml:space="preserve">מאת </w:t>
      </w:r>
      <w:bookmarkStart w:id="57827" w:name="_ETM_Q104_500260"/>
      <w:bookmarkEnd w:id="57827"/>
      <w:r>
        <w:rPr>
          <w:rFonts w:hint="cs"/>
          <w:rtl/>
        </w:rPr>
        <w:t xml:space="preserve">ג'ורג' </w:t>
      </w:r>
      <w:bookmarkStart w:id="57828" w:name="_ETM_Q104_500589"/>
      <w:bookmarkEnd w:id="57828"/>
      <w:r>
        <w:rPr>
          <w:rFonts w:hint="cs"/>
          <w:rtl/>
        </w:rPr>
        <w:t xml:space="preserve">אורוול, </w:t>
      </w:r>
      <w:bookmarkStart w:id="57829" w:name="_ETM_Q104_501529"/>
      <w:bookmarkEnd w:id="57829"/>
      <w:r>
        <w:rPr>
          <w:rFonts w:hint="cs"/>
          <w:rtl/>
        </w:rPr>
        <w:t xml:space="preserve">המספר </w:t>
      </w:r>
      <w:bookmarkStart w:id="57830" w:name="_ETM_Q104_502130"/>
      <w:bookmarkEnd w:id="57830"/>
      <w:r>
        <w:rPr>
          <w:rFonts w:hint="cs"/>
          <w:rtl/>
        </w:rPr>
        <w:t xml:space="preserve">על </w:t>
      </w:r>
      <w:bookmarkStart w:id="57831" w:name="_ETM_Q104_502249"/>
      <w:bookmarkEnd w:id="57831"/>
      <w:r>
        <w:rPr>
          <w:rFonts w:hint="cs"/>
          <w:rtl/>
        </w:rPr>
        <w:t xml:space="preserve">אנגליה </w:t>
      </w:r>
      <w:bookmarkStart w:id="57832" w:name="_ETM_Q104_502730"/>
      <w:bookmarkEnd w:id="57832"/>
      <w:r>
        <w:rPr>
          <w:rFonts w:hint="cs"/>
          <w:rtl/>
        </w:rPr>
        <w:t xml:space="preserve">ובראשה </w:t>
      </w:r>
      <w:bookmarkStart w:id="57833" w:name="_ETM_Q104_503449"/>
      <w:bookmarkEnd w:id="57833"/>
      <w:r>
        <w:rPr>
          <w:rFonts w:hint="cs"/>
          <w:rtl/>
        </w:rPr>
        <w:t xml:space="preserve">האח </w:t>
      </w:r>
      <w:bookmarkStart w:id="57834" w:name="_ETM_Q104_503570"/>
      <w:bookmarkEnd w:id="57834"/>
      <w:r>
        <w:rPr>
          <w:rFonts w:hint="cs"/>
          <w:rtl/>
        </w:rPr>
        <w:t xml:space="preserve">הגדול </w:t>
      </w:r>
      <w:bookmarkStart w:id="57835" w:name="_ETM_Q104_504019"/>
      <w:bookmarkStart w:id="57836" w:name="_ETM_Q104_504470"/>
      <w:bookmarkEnd w:id="57835"/>
      <w:bookmarkEnd w:id="57836"/>
      <w:r>
        <w:rPr>
          <w:rFonts w:hint="cs"/>
          <w:rtl/>
        </w:rPr>
        <w:t xml:space="preserve">בדמות </w:t>
      </w:r>
      <w:bookmarkStart w:id="57837" w:name="_ETM_Q104_505009"/>
      <w:bookmarkEnd w:id="57837"/>
      <w:r>
        <w:rPr>
          <w:rFonts w:hint="cs"/>
          <w:rtl/>
        </w:rPr>
        <w:t xml:space="preserve">ברית </w:t>
      </w:r>
      <w:bookmarkStart w:id="57838" w:name="_ETM_Q104_505279"/>
      <w:bookmarkEnd w:id="57838"/>
      <w:r>
        <w:rPr>
          <w:rFonts w:hint="cs"/>
          <w:rtl/>
        </w:rPr>
        <w:t xml:space="preserve">המועצות; </w:t>
      </w:r>
      <w:bookmarkStart w:id="57839" w:name="_ETM_Q104_505970"/>
      <w:bookmarkEnd w:id="57839"/>
      <w:r>
        <w:rPr>
          <w:rFonts w:hint="cs"/>
          <w:rtl/>
        </w:rPr>
        <w:t xml:space="preserve">'עולם </w:t>
      </w:r>
      <w:bookmarkStart w:id="57840" w:name="_ETM_Q104_506300"/>
      <w:bookmarkEnd w:id="57840"/>
      <w:r>
        <w:rPr>
          <w:rFonts w:hint="cs"/>
          <w:rtl/>
        </w:rPr>
        <w:t xml:space="preserve">חדש </w:t>
      </w:r>
      <w:bookmarkStart w:id="57841" w:name="_ETM_Q104_506720"/>
      <w:bookmarkEnd w:id="57841"/>
      <w:r>
        <w:rPr>
          <w:rFonts w:hint="cs"/>
          <w:rtl/>
        </w:rPr>
        <w:t xml:space="preserve">מופלא' </w:t>
      </w:r>
      <w:bookmarkStart w:id="57842" w:name="_ETM_Q104_507499"/>
      <w:bookmarkEnd w:id="57842"/>
      <w:r>
        <w:rPr>
          <w:rFonts w:hint="cs"/>
          <w:rtl/>
        </w:rPr>
        <w:t xml:space="preserve">מאת </w:t>
      </w:r>
      <w:bookmarkStart w:id="57843" w:name="_ETM_Q104_507829"/>
      <w:bookmarkEnd w:id="57843"/>
      <w:r>
        <w:rPr>
          <w:rFonts w:hint="cs"/>
          <w:rtl/>
        </w:rPr>
        <w:t xml:space="preserve">- - - האקסלי, </w:t>
      </w:r>
      <w:bookmarkStart w:id="57844" w:name="_ETM_Q104_508279"/>
      <w:bookmarkEnd w:id="57844"/>
      <w:r>
        <w:rPr>
          <w:rFonts w:hint="cs"/>
          <w:rtl/>
        </w:rPr>
        <w:t xml:space="preserve">על </w:t>
      </w:r>
      <w:bookmarkStart w:id="57845" w:name="_ETM_Q104_508369"/>
      <w:bookmarkEnd w:id="57845"/>
      <w:r>
        <w:rPr>
          <w:rFonts w:hint="cs"/>
          <w:rtl/>
        </w:rPr>
        <w:t xml:space="preserve">ארצות </w:t>
      </w:r>
      <w:bookmarkStart w:id="57846" w:name="_ETM_Q104_508669"/>
      <w:bookmarkEnd w:id="57846"/>
      <w:r>
        <w:rPr>
          <w:rFonts w:hint="cs"/>
          <w:rtl/>
        </w:rPr>
        <w:t xml:space="preserve">הברית; </w:t>
      </w:r>
      <w:bookmarkStart w:id="57847" w:name="_ETM_Q104_509539"/>
      <w:bookmarkEnd w:id="57847"/>
      <w:r>
        <w:rPr>
          <w:rFonts w:hint="cs"/>
          <w:rtl/>
        </w:rPr>
        <w:t xml:space="preserve">'פרנהייט </w:t>
      </w:r>
      <w:bookmarkStart w:id="57848" w:name="_ETM_Q104_510050"/>
      <w:bookmarkEnd w:id="57848"/>
      <w:r>
        <w:rPr>
          <w:rFonts w:hint="cs"/>
          <w:rtl/>
        </w:rPr>
        <w:t xml:space="preserve">451' </w:t>
      </w:r>
      <w:bookmarkStart w:id="57849" w:name="_ETM_Q104_511339"/>
      <w:bookmarkEnd w:id="57849"/>
      <w:r>
        <w:rPr>
          <w:rFonts w:hint="cs"/>
          <w:rtl/>
        </w:rPr>
        <w:t xml:space="preserve">על </w:t>
      </w:r>
      <w:bookmarkStart w:id="57850" w:name="_ETM_Q104_511460"/>
      <w:bookmarkEnd w:id="57850"/>
      <w:r>
        <w:rPr>
          <w:rFonts w:hint="cs"/>
          <w:rtl/>
        </w:rPr>
        <w:t xml:space="preserve">עולם </w:t>
      </w:r>
      <w:bookmarkStart w:id="57851" w:name="_ETM_Q104_511699"/>
      <w:bookmarkEnd w:id="57851"/>
      <w:r>
        <w:rPr>
          <w:rFonts w:hint="cs"/>
          <w:rtl/>
        </w:rPr>
        <w:t xml:space="preserve">בלי </w:t>
      </w:r>
      <w:bookmarkStart w:id="57852" w:name="_ETM_Q104_511880"/>
      <w:bookmarkEnd w:id="57852"/>
      <w:r>
        <w:rPr>
          <w:rFonts w:hint="cs"/>
          <w:rtl/>
        </w:rPr>
        <w:t xml:space="preserve">ספרים </w:t>
      </w:r>
      <w:bookmarkStart w:id="57853" w:name="_ETM_Q104_513400"/>
      <w:bookmarkEnd w:id="57853"/>
      <w:r>
        <w:rPr>
          <w:rFonts w:hint="cs"/>
          <w:rtl/>
        </w:rPr>
        <w:t xml:space="preserve">שבו </w:t>
      </w:r>
      <w:bookmarkStart w:id="57854" w:name="_ETM_Q104_513790"/>
      <w:bookmarkEnd w:id="57854"/>
      <w:r>
        <w:rPr>
          <w:rFonts w:hint="cs"/>
          <w:rtl/>
        </w:rPr>
        <w:t xml:space="preserve">השליטים </w:t>
      </w:r>
      <w:bookmarkStart w:id="57855" w:name="_ETM_Q104_514210"/>
      <w:bookmarkEnd w:id="57855"/>
      <w:r>
        <w:rPr>
          <w:rFonts w:hint="cs"/>
          <w:rtl/>
        </w:rPr>
        <w:t xml:space="preserve">מחזיקים </w:t>
      </w:r>
      <w:bookmarkStart w:id="57856" w:name="_ETM_Q104_514630"/>
      <w:bookmarkEnd w:id="57856"/>
      <w:r>
        <w:rPr>
          <w:rFonts w:hint="cs"/>
          <w:rtl/>
        </w:rPr>
        <w:t xml:space="preserve">אותנו </w:t>
      </w:r>
      <w:bookmarkStart w:id="57857" w:name="_ETM_Q104_514900"/>
      <w:bookmarkEnd w:id="57857"/>
      <w:r>
        <w:rPr>
          <w:rFonts w:hint="cs"/>
          <w:rtl/>
        </w:rPr>
        <w:t xml:space="preserve">בורים, </w:t>
      </w:r>
      <w:bookmarkStart w:id="57858" w:name="_ETM_Q104_515290"/>
      <w:bookmarkEnd w:id="57858"/>
      <w:r>
        <w:rPr>
          <w:rFonts w:hint="cs"/>
          <w:rtl/>
        </w:rPr>
        <w:t xml:space="preserve">ועוד. </w:t>
      </w:r>
      <w:bookmarkStart w:id="57859" w:name="_ETM_Q104_516260"/>
      <w:bookmarkStart w:id="57860" w:name="_ETM_Q104_517379"/>
      <w:bookmarkStart w:id="57861" w:name="_ETM_Q104_517501"/>
      <w:bookmarkStart w:id="57862" w:name="_ETM_Q104_517529"/>
      <w:bookmarkStart w:id="57863" w:name="_ETM_Q104_517635"/>
      <w:bookmarkStart w:id="57864" w:name="_ETM_Q104_890893"/>
      <w:bookmarkEnd w:id="57859"/>
      <w:bookmarkEnd w:id="57860"/>
      <w:bookmarkEnd w:id="57861"/>
      <w:bookmarkEnd w:id="57862"/>
      <w:bookmarkEnd w:id="57863"/>
      <w:bookmarkEnd w:id="57864"/>
      <w:r>
        <w:rPr>
          <w:rFonts w:hint="cs"/>
          <w:rtl/>
        </w:rPr>
        <w:t xml:space="preserve">רק </w:t>
      </w:r>
      <w:bookmarkStart w:id="57865" w:name="_ETM_Q104_516529"/>
      <w:bookmarkEnd w:id="57865"/>
      <w:r>
        <w:rPr>
          <w:rFonts w:hint="cs"/>
          <w:rtl/>
        </w:rPr>
        <w:t xml:space="preserve">בשנות </w:t>
      </w:r>
      <w:bookmarkStart w:id="57866" w:name="_ETM_Q104_516890"/>
      <w:bookmarkEnd w:id="57866"/>
      <w:r>
        <w:rPr>
          <w:rFonts w:hint="cs"/>
          <w:rtl/>
        </w:rPr>
        <w:t xml:space="preserve">השמונים </w:t>
      </w:r>
      <w:bookmarkStart w:id="57867" w:name="_ETM_Q104_517429"/>
      <w:bookmarkEnd w:id="57867"/>
      <w:r>
        <w:rPr>
          <w:rFonts w:hint="cs"/>
          <w:rtl/>
        </w:rPr>
        <w:t xml:space="preserve">מתחילה </w:t>
      </w:r>
      <w:bookmarkStart w:id="57868" w:name="_ETM_Q104_517850"/>
      <w:bookmarkEnd w:id="57868"/>
      <w:r>
        <w:rPr>
          <w:rFonts w:hint="cs"/>
          <w:rtl/>
        </w:rPr>
        <w:t xml:space="preserve">הדמוקרטיה </w:t>
      </w:r>
      <w:bookmarkStart w:id="57869" w:name="_ETM_Q104_518479"/>
      <w:bookmarkEnd w:id="57869"/>
      <w:r>
        <w:rPr>
          <w:rFonts w:hint="cs"/>
          <w:rtl/>
        </w:rPr>
        <w:t xml:space="preserve">להתפשט </w:t>
      </w:r>
      <w:bookmarkStart w:id="57870" w:name="_ETM_Q104_519050"/>
      <w:bookmarkEnd w:id="57870"/>
      <w:r>
        <w:rPr>
          <w:rFonts w:hint="cs"/>
          <w:rtl/>
        </w:rPr>
        <w:t xml:space="preserve">כתוכנית </w:t>
      </w:r>
      <w:bookmarkStart w:id="57871" w:name="_ETM_Q104_519559"/>
      <w:bookmarkEnd w:id="57871"/>
      <w:r>
        <w:rPr>
          <w:rFonts w:hint="cs"/>
          <w:rtl/>
        </w:rPr>
        <w:t xml:space="preserve">פעולה, </w:t>
      </w:r>
      <w:bookmarkStart w:id="57872" w:name="_ETM_Q104_520370"/>
      <w:bookmarkEnd w:id="57872"/>
      <w:r>
        <w:rPr>
          <w:rFonts w:hint="cs"/>
          <w:rtl/>
        </w:rPr>
        <w:t xml:space="preserve">לא </w:t>
      </w:r>
      <w:bookmarkStart w:id="57873" w:name="_ETM_Q104_520579"/>
      <w:bookmarkEnd w:id="57873"/>
      <w:r>
        <w:rPr>
          <w:rFonts w:hint="cs"/>
          <w:rtl/>
        </w:rPr>
        <w:t xml:space="preserve">כתיאוריה </w:t>
      </w:r>
      <w:bookmarkStart w:id="57874" w:name="_ETM_Q104_521210"/>
      <w:bookmarkEnd w:id="57874"/>
      <w:r>
        <w:rPr>
          <w:rFonts w:hint="cs"/>
          <w:rtl/>
        </w:rPr>
        <w:t xml:space="preserve">או </w:t>
      </w:r>
      <w:bookmarkStart w:id="57875" w:name="_ETM_Q104_521299"/>
      <w:bookmarkEnd w:id="57875"/>
      <w:r>
        <w:rPr>
          <w:rFonts w:hint="cs"/>
          <w:rtl/>
        </w:rPr>
        <w:t xml:space="preserve">כאוטופיה, </w:t>
      </w:r>
      <w:bookmarkStart w:id="57876" w:name="_ETM_Q104_522319"/>
      <w:bookmarkEnd w:id="57876"/>
      <w:r>
        <w:rPr>
          <w:rFonts w:hint="cs"/>
          <w:rtl/>
        </w:rPr>
        <w:t xml:space="preserve">מעבר </w:t>
      </w:r>
      <w:bookmarkStart w:id="57877" w:name="_ETM_Q104_522710"/>
      <w:bookmarkEnd w:id="57877"/>
      <w:r>
        <w:rPr>
          <w:rFonts w:hint="cs"/>
          <w:rtl/>
        </w:rPr>
        <w:t xml:space="preserve">למערב </w:t>
      </w:r>
      <w:bookmarkStart w:id="57878" w:name="_ETM_Q104_523190"/>
      <w:bookmarkEnd w:id="57878"/>
      <w:r>
        <w:rPr>
          <w:rFonts w:hint="cs"/>
          <w:rtl/>
        </w:rPr>
        <w:t xml:space="preserve">אירופה </w:t>
      </w:r>
      <w:bookmarkStart w:id="57879" w:name="_ETM_Q104_523670"/>
      <w:bookmarkEnd w:id="57879"/>
      <w:r>
        <w:rPr>
          <w:rFonts w:hint="cs"/>
          <w:rtl/>
        </w:rPr>
        <w:t xml:space="preserve">וצפון </w:t>
      </w:r>
      <w:bookmarkStart w:id="57880" w:name="_ETM_Q104_524089"/>
      <w:bookmarkEnd w:id="57880"/>
      <w:r>
        <w:rPr>
          <w:rFonts w:hint="cs"/>
          <w:rtl/>
        </w:rPr>
        <w:t xml:space="preserve">אמריקה. ובמאה </w:t>
      </w:r>
      <w:bookmarkStart w:id="57881" w:name="_ETM_Q104_525139"/>
      <w:bookmarkStart w:id="57882" w:name="_ETM_Q104_525739"/>
      <w:bookmarkEnd w:id="57881"/>
      <w:bookmarkEnd w:id="57882"/>
      <w:r>
        <w:rPr>
          <w:rFonts w:hint="cs"/>
          <w:rtl/>
        </w:rPr>
        <w:t xml:space="preserve">ה-21 </w:t>
      </w:r>
      <w:bookmarkStart w:id="57883" w:name="_ETM_Q104_526789"/>
      <w:bookmarkEnd w:id="57883"/>
      <w:r>
        <w:rPr>
          <w:rFonts w:hint="cs"/>
          <w:rtl/>
        </w:rPr>
        <w:t xml:space="preserve">היו </w:t>
      </w:r>
      <w:bookmarkStart w:id="57884" w:name="_ETM_Q104_527089"/>
      <w:bookmarkEnd w:id="57884"/>
      <w:r>
        <w:rPr>
          <w:rFonts w:hint="cs"/>
          <w:rtl/>
        </w:rPr>
        <w:t xml:space="preserve">לראשונה </w:t>
      </w:r>
      <w:bookmarkStart w:id="57885" w:name="_ETM_Q104_527659"/>
      <w:bookmarkEnd w:id="57885"/>
      <w:r>
        <w:rPr>
          <w:rFonts w:hint="cs"/>
          <w:rtl/>
        </w:rPr>
        <w:t xml:space="preserve">בהיסטוריה </w:t>
      </w:r>
      <w:bookmarkStart w:id="57886" w:name="_ETM_Q104_528440"/>
      <w:bookmarkEnd w:id="57886"/>
      <w:r>
        <w:rPr>
          <w:rFonts w:hint="cs"/>
          <w:rtl/>
        </w:rPr>
        <w:t xml:space="preserve">יותר </w:t>
      </w:r>
      <w:bookmarkStart w:id="57887" w:name="_ETM_Q104_528829"/>
      <w:bookmarkEnd w:id="57887"/>
      <w:r>
        <w:rPr>
          <w:rFonts w:hint="cs"/>
          <w:rtl/>
        </w:rPr>
        <w:t xml:space="preserve">מדינות </w:t>
      </w:r>
      <w:bookmarkStart w:id="57888" w:name="_ETM_Q104_529249"/>
      <w:bookmarkEnd w:id="57888"/>
      <w:r>
        <w:rPr>
          <w:rFonts w:hint="cs"/>
          <w:rtl/>
        </w:rPr>
        <w:t xml:space="preserve">דמוקרטיות </w:t>
      </w:r>
      <w:bookmarkStart w:id="57889" w:name="_ETM_Q104_529969"/>
      <w:bookmarkEnd w:id="57889"/>
      <w:r>
        <w:rPr>
          <w:rFonts w:hint="cs"/>
          <w:rtl/>
        </w:rPr>
        <w:t xml:space="preserve">מאשר </w:t>
      </w:r>
      <w:bookmarkStart w:id="57890" w:name="_ETM_Q104_530600"/>
      <w:bookmarkEnd w:id="57890"/>
      <w:r>
        <w:rPr>
          <w:rFonts w:hint="cs"/>
          <w:rtl/>
        </w:rPr>
        <w:t xml:space="preserve">לא </w:t>
      </w:r>
      <w:bookmarkStart w:id="57891" w:name="_ETM_Q104_530870"/>
      <w:bookmarkEnd w:id="57891"/>
      <w:r>
        <w:rPr>
          <w:rFonts w:hint="cs"/>
          <w:rtl/>
        </w:rPr>
        <w:t xml:space="preserve">דמוקרטיות. </w:t>
      </w:r>
      <w:bookmarkStart w:id="57892" w:name="_ETM_Q104_532100"/>
      <w:bookmarkEnd w:id="57892"/>
      <w:r>
        <w:rPr>
          <w:rFonts w:hint="cs"/>
          <w:rtl/>
        </w:rPr>
        <w:t xml:space="preserve">והינה, </w:t>
      </w:r>
      <w:bookmarkStart w:id="57893" w:name="_ETM_Q104_532850"/>
      <w:bookmarkEnd w:id="57893"/>
      <w:r>
        <w:rPr>
          <w:rFonts w:hint="cs"/>
          <w:rtl/>
        </w:rPr>
        <w:t xml:space="preserve">כיום </w:t>
      </w:r>
      <w:bookmarkStart w:id="57894" w:name="_ETM_Q104_533269"/>
      <w:bookmarkEnd w:id="57894"/>
      <w:r>
        <w:rPr>
          <w:rFonts w:hint="cs"/>
          <w:rtl/>
        </w:rPr>
        <w:t xml:space="preserve">שוב </w:t>
      </w:r>
      <w:bookmarkStart w:id="57895" w:name="_ETM_Q104_533600"/>
      <w:bookmarkEnd w:id="57895"/>
      <w:r>
        <w:rPr>
          <w:rFonts w:hint="cs"/>
          <w:rtl/>
        </w:rPr>
        <w:t xml:space="preserve">נסוגונו </w:t>
      </w:r>
      <w:bookmarkStart w:id="57896" w:name="_ETM_Q104_534140"/>
      <w:bookmarkEnd w:id="57896"/>
      <w:r>
        <w:rPr>
          <w:rFonts w:hint="cs"/>
          <w:rtl/>
        </w:rPr>
        <w:t xml:space="preserve">לאחור. </w:t>
      </w:r>
      <w:bookmarkStart w:id="57897" w:name="_ETM_Q104_535059"/>
      <w:bookmarkEnd w:id="57897"/>
    </w:p>
    <w:p w:rsidR="00BB59CD" w:rsidRDefault="00BB59CD" w:rsidP="00BB59CD">
      <w:pPr>
        <w:rPr>
          <w:rtl/>
        </w:rPr>
      </w:pPr>
      <w:bookmarkStart w:id="57898" w:name="_ETM_Q104_591198"/>
      <w:bookmarkStart w:id="57899" w:name="_ETM_Q104_591263"/>
      <w:bookmarkEnd w:id="57898"/>
      <w:bookmarkEnd w:id="57899"/>
    </w:p>
    <w:p w:rsidR="00BB59CD" w:rsidRDefault="00BB59CD" w:rsidP="00BB59CD">
      <w:pPr>
        <w:rPr>
          <w:rtl/>
        </w:rPr>
      </w:pPr>
      <w:bookmarkStart w:id="57900" w:name="_ETM_Q104_591326"/>
      <w:bookmarkStart w:id="57901" w:name="_ETM_Q104_591380"/>
      <w:bookmarkEnd w:id="57900"/>
      <w:bookmarkEnd w:id="57901"/>
      <w:r>
        <w:rPr>
          <w:rFonts w:hint="cs"/>
          <w:rtl/>
        </w:rPr>
        <w:t xml:space="preserve">"רוצה </w:t>
      </w:r>
      <w:bookmarkStart w:id="57902" w:name="_ETM_Q104_535389"/>
      <w:bookmarkEnd w:id="57902"/>
      <w:r>
        <w:rPr>
          <w:rFonts w:hint="cs"/>
          <w:rtl/>
        </w:rPr>
        <w:t xml:space="preserve">לומר, </w:t>
      </w:r>
      <w:bookmarkStart w:id="57903" w:name="_ETM_Q104_535839"/>
      <w:bookmarkEnd w:id="57903"/>
      <w:r>
        <w:rPr>
          <w:rFonts w:hint="cs"/>
          <w:rtl/>
        </w:rPr>
        <w:t xml:space="preserve">דמוקרטיה </w:t>
      </w:r>
      <w:bookmarkStart w:id="57904" w:name="_ETM_Q104_536589"/>
      <w:bookmarkEnd w:id="57904"/>
      <w:r>
        <w:rPr>
          <w:rFonts w:hint="cs"/>
          <w:rtl/>
        </w:rPr>
        <w:t xml:space="preserve">היא </w:t>
      </w:r>
      <w:bookmarkStart w:id="57905" w:name="_ETM_Q104_536709"/>
      <w:bookmarkEnd w:id="57905"/>
      <w:r>
        <w:rPr>
          <w:rFonts w:hint="cs"/>
          <w:rtl/>
        </w:rPr>
        <w:t xml:space="preserve">רעיון </w:t>
      </w:r>
      <w:bookmarkStart w:id="57906" w:name="_ETM_Q104_537190"/>
      <w:bookmarkEnd w:id="57906"/>
      <w:r>
        <w:rPr>
          <w:rFonts w:hint="cs"/>
          <w:rtl/>
        </w:rPr>
        <w:t xml:space="preserve">שיושם </w:t>
      </w:r>
      <w:bookmarkStart w:id="57907" w:name="_ETM_Q104_537760"/>
      <w:bookmarkEnd w:id="57907"/>
      <w:r>
        <w:rPr>
          <w:rFonts w:hint="cs"/>
          <w:rtl/>
        </w:rPr>
        <w:t xml:space="preserve">לאורך </w:t>
      </w:r>
      <w:bookmarkStart w:id="57908" w:name="_ETM_Q104_538149"/>
      <w:bookmarkEnd w:id="57908"/>
      <w:r>
        <w:rPr>
          <w:rFonts w:hint="cs"/>
          <w:rtl/>
        </w:rPr>
        <w:t xml:space="preserve">ההיסטוריה, </w:t>
      </w:r>
      <w:bookmarkStart w:id="57909" w:name="_ETM_Q104_539109"/>
      <w:bookmarkEnd w:id="57909"/>
      <w:r>
        <w:rPr>
          <w:rFonts w:hint="cs"/>
          <w:rtl/>
        </w:rPr>
        <w:t xml:space="preserve">למעשה, </w:t>
      </w:r>
      <w:bookmarkStart w:id="57910" w:name="_ETM_Q104_539769"/>
      <w:bookmarkEnd w:id="57910"/>
      <w:r>
        <w:rPr>
          <w:rFonts w:hint="cs"/>
          <w:rtl/>
        </w:rPr>
        <w:t xml:space="preserve">רק </w:t>
      </w:r>
      <w:bookmarkStart w:id="57911" w:name="_ETM_Q104_539979"/>
      <w:bookmarkEnd w:id="57911"/>
      <w:r>
        <w:rPr>
          <w:rFonts w:hint="cs"/>
          <w:rtl/>
        </w:rPr>
        <w:t xml:space="preserve">בעידן </w:t>
      </w:r>
      <w:bookmarkStart w:id="57912" w:name="_ETM_Q104_540369"/>
      <w:bookmarkEnd w:id="57912"/>
      <w:r>
        <w:rPr>
          <w:rFonts w:hint="cs"/>
          <w:rtl/>
        </w:rPr>
        <w:t xml:space="preserve">המודרני, </w:t>
      </w:r>
      <w:bookmarkStart w:id="57913" w:name="_ETM_Q104_541149"/>
      <w:bookmarkEnd w:id="57913"/>
      <w:r>
        <w:rPr>
          <w:rFonts w:hint="cs"/>
          <w:rtl/>
        </w:rPr>
        <w:t xml:space="preserve">פעמים </w:t>
      </w:r>
      <w:bookmarkStart w:id="57914" w:name="_ETM_Q104_541779"/>
      <w:bookmarkEnd w:id="57914"/>
      <w:r>
        <w:rPr>
          <w:rFonts w:hint="cs"/>
          <w:rtl/>
        </w:rPr>
        <w:t xml:space="preserve">מעטות. </w:t>
      </w:r>
      <w:bookmarkStart w:id="57915" w:name="_ETM_Q104_542730"/>
      <w:bookmarkEnd w:id="57915"/>
      <w:r>
        <w:rPr>
          <w:rFonts w:hint="cs"/>
          <w:rtl/>
        </w:rPr>
        <w:t xml:space="preserve">חשוב </w:t>
      </w:r>
      <w:bookmarkStart w:id="57916" w:name="_ETM_Q104_543180"/>
      <w:bookmarkEnd w:id="57916"/>
      <w:r>
        <w:rPr>
          <w:rFonts w:hint="cs"/>
          <w:rtl/>
        </w:rPr>
        <w:t xml:space="preserve">מכך: </w:t>
      </w:r>
      <w:bookmarkStart w:id="57917" w:name="_ETM_Q104_543779"/>
      <w:bookmarkEnd w:id="57917"/>
      <w:r>
        <w:rPr>
          <w:rFonts w:hint="cs"/>
          <w:rtl/>
        </w:rPr>
        <w:t xml:space="preserve">למרות </w:t>
      </w:r>
      <w:bookmarkStart w:id="57918" w:name="_ETM_Q104_544170"/>
      <w:bookmarkEnd w:id="57918"/>
      <w:r>
        <w:rPr>
          <w:rFonts w:hint="cs"/>
          <w:rtl/>
        </w:rPr>
        <w:t xml:space="preserve">שהרעיון </w:t>
      </w:r>
      <w:bookmarkStart w:id="57919" w:name="_ETM_Q104_544710"/>
      <w:bookmarkEnd w:id="57919"/>
      <w:r>
        <w:rPr>
          <w:rFonts w:hint="cs"/>
          <w:rtl/>
        </w:rPr>
        <w:t xml:space="preserve">נראה </w:t>
      </w:r>
      <w:bookmarkStart w:id="57920" w:name="_ETM_Q104_544950"/>
      <w:bookmarkEnd w:id="57920"/>
      <w:r>
        <w:rPr>
          <w:rFonts w:hint="cs"/>
          <w:rtl/>
        </w:rPr>
        <w:t xml:space="preserve">לנו </w:t>
      </w:r>
      <w:bookmarkStart w:id="57921" w:name="_ETM_Q104_545130"/>
      <w:bookmarkEnd w:id="57921"/>
      <w:r>
        <w:rPr>
          <w:rFonts w:hint="cs"/>
          <w:rtl/>
        </w:rPr>
        <w:t xml:space="preserve">מושרש, </w:t>
      </w:r>
      <w:bookmarkStart w:id="57922" w:name="_ETM_Q104_546290"/>
      <w:bookmarkEnd w:id="57922"/>
      <w:r>
        <w:rPr>
          <w:rFonts w:hint="cs"/>
          <w:rtl/>
        </w:rPr>
        <w:t xml:space="preserve">הוא </w:t>
      </w:r>
      <w:bookmarkStart w:id="57923" w:name="_ETM_Q104_546500"/>
      <w:bookmarkEnd w:id="57923"/>
      <w:r>
        <w:rPr>
          <w:rFonts w:hint="cs"/>
          <w:rtl/>
        </w:rPr>
        <w:t xml:space="preserve">אינו </w:t>
      </w:r>
      <w:bookmarkStart w:id="57924" w:name="_ETM_Q104_546830"/>
      <w:bookmarkEnd w:id="57924"/>
      <w:r>
        <w:rPr>
          <w:rFonts w:hint="cs"/>
          <w:rtl/>
        </w:rPr>
        <w:t xml:space="preserve">חלק </w:t>
      </w:r>
      <w:bookmarkStart w:id="57925" w:name="_ETM_Q104_547220"/>
      <w:bookmarkEnd w:id="57925"/>
      <w:r>
        <w:rPr>
          <w:rFonts w:hint="cs"/>
          <w:rtl/>
        </w:rPr>
        <w:t xml:space="preserve">מהותי </w:t>
      </w:r>
      <w:bookmarkStart w:id="57926" w:name="_ETM_Q104_547610"/>
      <w:bookmarkEnd w:id="57926"/>
      <w:r>
        <w:rPr>
          <w:rFonts w:hint="cs"/>
          <w:rtl/>
        </w:rPr>
        <w:t xml:space="preserve">ממערכת </w:t>
      </w:r>
      <w:bookmarkStart w:id="57927" w:name="_ETM_Q104_548150"/>
      <w:bookmarkEnd w:id="57927"/>
      <w:r>
        <w:rPr>
          <w:rFonts w:hint="cs"/>
          <w:rtl/>
        </w:rPr>
        <w:t xml:space="preserve">השלטון </w:t>
      </w:r>
      <w:bookmarkStart w:id="57928" w:name="_ETM_Q104_548600"/>
      <w:bookmarkEnd w:id="57928"/>
      <w:r>
        <w:rPr>
          <w:rFonts w:hint="cs"/>
          <w:rtl/>
        </w:rPr>
        <w:t xml:space="preserve">בכל </w:t>
      </w:r>
      <w:bookmarkStart w:id="57929" w:name="_ETM_Q104_548900"/>
      <w:bookmarkEnd w:id="57929"/>
      <w:r>
        <w:rPr>
          <w:rFonts w:hint="cs"/>
          <w:rtl/>
        </w:rPr>
        <w:t xml:space="preserve">מקום - - - </w:t>
      </w:r>
      <w:bookmarkStart w:id="57930" w:name="_ETM_Q104_550190"/>
      <w:bookmarkEnd w:id="57930"/>
      <w:r>
        <w:rPr>
          <w:rFonts w:hint="cs"/>
          <w:rtl/>
        </w:rPr>
        <w:t xml:space="preserve">הדמוקרטיה </w:t>
      </w:r>
      <w:bookmarkStart w:id="57931" w:name="_ETM_Q104_550940"/>
      <w:bookmarkEnd w:id="57931"/>
      <w:r>
        <w:rPr>
          <w:rFonts w:hint="cs"/>
          <w:rtl/>
        </w:rPr>
        <w:t xml:space="preserve">שברירית, </w:t>
      </w:r>
      <w:bookmarkStart w:id="57932" w:name="_ETM_Q104_551090"/>
      <w:bookmarkStart w:id="57933" w:name="_ETM_Q104_551630"/>
      <w:bookmarkEnd w:id="57932"/>
      <w:bookmarkEnd w:id="57933"/>
      <w:r>
        <w:rPr>
          <w:rFonts w:hint="cs"/>
          <w:rtl/>
        </w:rPr>
        <w:t xml:space="preserve">והסכנה </w:t>
      </w:r>
      <w:bookmarkStart w:id="57934" w:name="_ETM_Q104_552290"/>
      <w:bookmarkEnd w:id="57934"/>
      <w:r>
        <w:rPr>
          <w:rFonts w:hint="cs"/>
          <w:rtl/>
        </w:rPr>
        <w:t xml:space="preserve">לה </w:t>
      </w:r>
      <w:bookmarkStart w:id="57935" w:name="_ETM_Q104_552590"/>
      <w:bookmarkEnd w:id="57935"/>
      <w:r>
        <w:rPr>
          <w:rFonts w:hint="cs"/>
          <w:rtl/>
        </w:rPr>
        <w:t xml:space="preserve">אינה </w:t>
      </w:r>
      <w:bookmarkStart w:id="57936" w:name="_ETM_Q104_552890"/>
      <w:bookmarkEnd w:id="57936"/>
      <w:r>
        <w:rPr>
          <w:rFonts w:hint="cs"/>
          <w:rtl/>
        </w:rPr>
        <w:t xml:space="preserve">רק </w:t>
      </w:r>
      <w:bookmarkStart w:id="57937" w:name="_ETM_Q104_553160"/>
      <w:bookmarkEnd w:id="57937"/>
      <w:r>
        <w:rPr>
          <w:rFonts w:hint="cs"/>
          <w:rtl/>
        </w:rPr>
        <w:t xml:space="preserve">מלובשי </w:t>
      </w:r>
      <w:bookmarkStart w:id="57938" w:name="_ETM_Q104_553610"/>
      <w:bookmarkEnd w:id="57938"/>
      <w:r>
        <w:rPr>
          <w:rFonts w:hint="cs"/>
          <w:rtl/>
        </w:rPr>
        <w:t xml:space="preserve">חולצות </w:t>
      </w:r>
      <w:bookmarkStart w:id="57939" w:name="_ETM_Q104_554000"/>
      <w:bookmarkEnd w:id="57939"/>
      <w:r>
        <w:rPr>
          <w:rFonts w:hint="cs"/>
          <w:rtl/>
        </w:rPr>
        <w:t xml:space="preserve">שחורות </w:t>
      </w:r>
      <w:bookmarkStart w:id="57940" w:name="_ETM_Q104_554420"/>
      <w:bookmarkEnd w:id="57940"/>
      <w:r>
        <w:rPr>
          <w:rFonts w:hint="cs"/>
          <w:rtl/>
        </w:rPr>
        <w:t xml:space="preserve">ניאו-נאצים, </w:t>
      </w:r>
      <w:bookmarkStart w:id="57941" w:name="_ETM_Q104_555410"/>
      <w:bookmarkEnd w:id="57941"/>
      <w:r>
        <w:rPr>
          <w:rFonts w:hint="cs"/>
          <w:rtl/>
        </w:rPr>
        <w:t xml:space="preserve">תאי </w:t>
      </w:r>
      <w:bookmarkStart w:id="57942" w:name="_ETM_Q104_555710"/>
      <w:bookmarkEnd w:id="57942"/>
      <w:r>
        <w:rPr>
          <w:rFonts w:hint="cs"/>
          <w:rtl/>
        </w:rPr>
        <w:t xml:space="preserve">טרור </w:t>
      </w:r>
      <w:bookmarkStart w:id="57943" w:name="_ETM_Q104_556100"/>
      <w:bookmarkEnd w:id="57943"/>
      <w:r>
        <w:rPr>
          <w:rFonts w:hint="cs"/>
          <w:rtl/>
        </w:rPr>
        <w:t xml:space="preserve">אנרכיסטיים, </w:t>
      </w:r>
      <w:bookmarkStart w:id="57944" w:name="_ETM_Q104_556820"/>
      <w:bookmarkEnd w:id="57944"/>
      <w:r>
        <w:rPr>
          <w:rFonts w:hint="cs"/>
          <w:rtl/>
        </w:rPr>
        <w:t xml:space="preserve">כיתות </w:t>
      </w:r>
      <w:bookmarkStart w:id="57945" w:name="_ETM_Q104_557180"/>
      <w:bookmarkEnd w:id="57945"/>
      <w:r>
        <w:rPr>
          <w:rFonts w:hint="cs"/>
          <w:rtl/>
        </w:rPr>
        <w:t xml:space="preserve">מטורללות </w:t>
      </w:r>
      <w:bookmarkStart w:id="57946" w:name="_ETM_Q104_557779"/>
      <w:bookmarkEnd w:id="57946"/>
      <w:r>
        <w:rPr>
          <w:rFonts w:hint="cs"/>
          <w:rtl/>
        </w:rPr>
        <w:t xml:space="preserve">של </w:t>
      </w:r>
      <w:bookmarkStart w:id="57947" w:name="_ETM_Q104_557930"/>
      <w:bookmarkEnd w:id="57947"/>
      <w:r>
        <w:rPr>
          <w:rFonts w:hint="cs"/>
          <w:rtl/>
        </w:rPr>
        <w:t xml:space="preserve">תומכי </w:t>
      </w:r>
      <w:bookmarkStart w:id="57948" w:name="_ETM_Q104_558350"/>
      <w:bookmarkEnd w:id="57948"/>
      <w:r>
        <w:rPr>
          <w:rFonts w:hint="cs"/>
          <w:rtl/>
        </w:rPr>
        <w:t xml:space="preserve">קונספירציה </w:t>
      </w:r>
      <w:bookmarkStart w:id="57949" w:name="_ETM_Q104_559190"/>
      <w:bookmarkEnd w:id="57949"/>
      <w:r>
        <w:rPr>
          <w:rFonts w:hint="cs"/>
          <w:rtl/>
        </w:rPr>
        <w:t xml:space="preserve">ועוד. </w:t>
      </w:r>
      <w:bookmarkStart w:id="57950" w:name="_ETM_Q104_560240"/>
      <w:bookmarkEnd w:id="57950"/>
      <w:r>
        <w:rPr>
          <w:rFonts w:hint="cs"/>
          <w:rtl/>
        </w:rPr>
        <w:t xml:space="preserve">הדמוקרטיה </w:t>
      </w:r>
      <w:bookmarkStart w:id="57951" w:name="_ETM_Q104_561020"/>
      <w:bookmarkEnd w:id="57951"/>
      <w:r>
        <w:rPr>
          <w:rFonts w:hint="cs"/>
          <w:rtl/>
        </w:rPr>
        <w:t xml:space="preserve">פגיעה </w:t>
      </w:r>
      <w:bookmarkStart w:id="57952" w:name="_ETM_Q104_561529"/>
      <w:bookmarkEnd w:id="57952"/>
      <w:r>
        <w:rPr>
          <w:rFonts w:hint="cs"/>
          <w:rtl/>
        </w:rPr>
        <w:t xml:space="preserve">ויכולה </w:t>
      </w:r>
      <w:bookmarkStart w:id="57953" w:name="_ETM_Q104_562010"/>
      <w:bookmarkEnd w:id="57953"/>
      <w:r>
        <w:rPr>
          <w:rFonts w:hint="cs"/>
          <w:rtl/>
        </w:rPr>
        <w:t xml:space="preserve">להתכרסם </w:t>
      </w:r>
      <w:bookmarkStart w:id="57954" w:name="_ETM_Q104_562700"/>
      <w:bookmarkEnd w:id="57954"/>
      <w:r>
        <w:rPr>
          <w:rFonts w:hint="cs"/>
          <w:rtl/>
        </w:rPr>
        <w:t xml:space="preserve">מבפנים, </w:t>
      </w:r>
      <w:bookmarkStart w:id="57955" w:name="_ETM_Q104_563360"/>
      <w:bookmarkEnd w:id="57955"/>
      <w:r>
        <w:rPr>
          <w:rFonts w:hint="cs"/>
          <w:rtl/>
        </w:rPr>
        <w:t xml:space="preserve">בקלות </w:t>
      </w:r>
      <w:bookmarkStart w:id="57956" w:name="_ETM_Q104_564140"/>
      <w:bookmarkEnd w:id="57956"/>
      <w:r>
        <w:rPr>
          <w:rFonts w:hint="cs"/>
          <w:rtl/>
        </w:rPr>
        <w:t xml:space="preserve">ובמהירות. </w:t>
      </w:r>
      <w:bookmarkStart w:id="57957" w:name="_ETM_Q104_565249"/>
      <w:bookmarkEnd w:id="57957"/>
      <w:r>
        <w:rPr>
          <w:rFonts w:hint="cs"/>
          <w:rtl/>
        </w:rPr>
        <w:t xml:space="preserve">בכל </w:t>
      </w:r>
      <w:bookmarkStart w:id="57958" w:name="_ETM_Q104_565700"/>
      <w:bookmarkEnd w:id="57958"/>
      <w:r>
        <w:rPr>
          <w:rFonts w:hint="cs"/>
          <w:rtl/>
        </w:rPr>
        <w:t xml:space="preserve">מקום </w:t>
      </w:r>
      <w:bookmarkStart w:id="57959" w:name="_ETM_Q104_566279"/>
      <w:bookmarkEnd w:id="57959"/>
      <w:r>
        <w:rPr>
          <w:rFonts w:hint="cs"/>
          <w:rtl/>
        </w:rPr>
        <w:t xml:space="preserve">ובכל </w:t>
      </w:r>
      <w:bookmarkStart w:id="57960" w:name="_ETM_Q104_566729"/>
      <w:bookmarkEnd w:id="57960"/>
      <w:r>
        <w:rPr>
          <w:rFonts w:hint="cs"/>
          <w:rtl/>
        </w:rPr>
        <w:t xml:space="preserve">זמן. </w:t>
      </w:r>
      <w:bookmarkStart w:id="57961" w:name="_ETM_Q104_567570"/>
      <w:bookmarkEnd w:id="57961"/>
      <w:r>
        <w:rPr>
          <w:rFonts w:hint="cs"/>
          <w:rtl/>
        </w:rPr>
        <w:t xml:space="preserve">כן, </w:t>
      </w:r>
      <w:bookmarkStart w:id="57962" w:name="_ETM_Q104_568049"/>
      <w:bookmarkEnd w:id="57962"/>
      <w:r>
        <w:rPr>
          <w:rFonts w:hint="cs"/>
          <w:rtl/>
        </w:rPr>
        <w:t xml:space="preserve">גם </w:t>
      </w:r>
      <w:bookmarkStart w:id="57963" w:name="_ETM_Q104_568380"/>
      <w:bookmarkEnd w:id="57963"/>
      <w:r>
        <w:rPr>
          <w:rFonts w:hint="cs"/>
          <w:rtl/>
        </w:rPr>
        <w:t xml:space="preserve">בזמן </w:t>
      </w:r>
      <w:bookmarkStart w:id="57964" w:name="_ETM_Q104_568710"/>
      <w:bookmarkEnd w:id="57964"/>
      <w:r>
        <w:rPr>
          <w:rFonts w:hint="cs"/>
          <w:rtl/>
        </w:rPr>
        <w:t xml:space="preserve">שלכאורה </w:t>
      </w:r>
      <w:bookmarkStart w:id="57965" w:name="_ETM_Q104_569969"/>
      <w:bookmarkEnd w:id="57965"/>
      <w:r>
        <w:rPr>
          <w:rFonts w:hint="cs"/>
          <w:rtl/>
        </w:rPr>
        <w:t xml:space="preserve">מדגים </w:t>
      </w:r>
      <w:bookmarkStart w:id="57966" w:name="_ETM_Q104_570509"/>
      <w:bookmarkEnd w:id="57966"/>
      <w:r>
        <w:rPr>
          <w:rFonts w:hint="cs"/>
          <w:rtl/>
        </w:rPr>
        <w:t xml:space="preserve">את </w:t>
      </w:r>
      <w:bookmarkStart w:id="57967" w:name="_ETM_Q104_570659"/>
      <w:bookmarkEnd w:id="57967"/>
      <w:r>
        <w:rPr>
          <w:rFonts w:hint="cs"/>
          <w:rtl/>
        </w:rPr>
        <w:t xml:space="preserve">ניצחון </w:t>
      </w:r>
      <w:bookmarkStart w:id="57968" w:name="_ETM_Q104_571170"/>
      <w:bookmarkEnd w:id="57968"/>
      <w:r>
        <w:rPr>
          <w:rFonts w:hint="cs"/>
          <w:rtl/>
        </w:rPr>
        <w:t xml:space="preserve">הדמוקרטיה. </w:t>
      </w:r>
      <w:bookmarkStart w:id="57969" w:name="_ETM_Q104_572660"/>
      <w:bookmarkEnd w:id="57969"/>
    </w:p>
    <w:p w:rsidR="00BB59CD" w:rsidRDefault="00BB59CD" w:rsidP="00BB59CD">
      <w:pPr>
        <w:rPr>
          <w:rtl/>
        </w:rPr>
      </w:pPr>
      <w:bookmarkStart w:id="57970" w:name="_ETM_Q104_574711"/>
      <w:bookmarkStart w:id="57971" w:name="_ETM_Q104_574803"/>
      <w:bookmarkEnd w:id="57970"/>
      <w:bookmarkEnd w:id="57971"/>
    </w:p>
    <w:p w:rsidR="00BB59CD" w:rsidRDefault="00BB59CD" w:rsidP="00BB59CD">
      <w:pPr>
        <w:rPr>
          <w:rtl/>
        </w:rPr>
      </w:pPr>
      <w:bookmarkStart w:id="57972" w:name="_ETM_Q104_574855"/>
      <w:bookmarkStart w:id="57973" w:name="_ETM_Q104_574939"/>
      <w:bookmarkEnd w:id="57972"/>
      <w:bookmarkEnd w:id="57973"/>
      <w:r>
        <w:rPr>
          <w:rFonts w:hint="cs"/>
          <w:rtl/>
        </w:rPr>
        <w:t xml:space="preserve">"האמונה </w:t>
      </w:r>
      <w:bookmarkStart w:id="57974" w:name="_ETM_Q104_573170"/>
      <w:bookmarkEnd w:id="57974"/>
      <w:r>
        <w:rPr>
          <w:rFonts w:hint="cs"/>
          <w:rtl/>
        </w:rPr>
        <w:t xml:space="preserve">התמימה, </w:t>
      </w:r>
      <w:bookmarkStart w:id="57975" w:name="_ETM_Q104_573860"/>
      <w:bookmarkEnd w:id="57975"/>
      <w:r>
        <w:rPr>
          <w:rFonts w:hint="cs"/>
          <w:rtl/>
        </w:rPr>
        <w:t xml:space="preserve">הנוגעת </w:t>
      </w:r>
      <w:bookmarkStart w:id="57976" w:name="_ETM_Q104_574279"/>
      <w:bookmarkEnd w:id="57976"/>
      <w:r>
        <w:rPr>
          <w:rFonts w:hint="cs"/>
          <w:rtl/>
        </w:rPr>
        <w:t xml:space="preserve">ללב, </w:t>
      </w:r>
      <w:bookmarkStart w:id="57977" w:name="_ETM_Q104_574640"/>
      <w:bookmarkEnd w:id="57977"/>
      <w:r>
        <w:rPr>
          <w:rFonts w:hint="cs"/>
          <w:rtl/>
        </w:rPr>
        <w:t xml:space="preserve">בעוצמתה </w:t>
      </w:r>
      <w:bookmarkStart w:id="57978" w:name="_ETM_Q104_575180"/>
      <w:bookmarkEnd w:id="57978"/>
      <w:r>
        <w:rPr>
          <w:rFonts w:hint="cs"/>
          <w:rtl/>
        </w:rPr>
        <w:t xml:space="preserve">של </w:t>
      </w:r>
      <w:bookmarkStart w:id="57979" w:name="_ETM_Q104_575360"/>
      <w:bookmarkEnd w:id="57979"/>
      <w:r>
        <w:rPr>
          <w:rFonts w:hint="cs"/>
          <w:rtl/>
        </w:rPr>
        <w:t xml:space="preserve">הדמוקרטיה, </w:t>
      </w:r>
      <w:bookmarkStart w:id="57980" w:name="_ETM_Q104_576529"/>
      <w:bookmarkEnd w:id="57980"/>
      <w:r>
        <w:rPr>
          <w:rFonts w:hint="cs"/>
          <w:rtl/>
        </w:rPr>
        <w:t xml:space="preserve">היא </w:t>
      </w:r>
      <w:bookmarkStart w:id="57981" w:name="_ETM_Q104_576680"/>
      <w:bookmarkEnd w:id="57981"/>
      <w:r>
        <w:rPr>
          <w:rFonts w:hint="cs"/>
          <w:rtl/>
        </w:rPr>
        <w:t xml:space="preserve">אחד </w:t>
      </w:r>
      <w:bookmarkStart w:id="57982" w:name="_ETM_Q104_577190"/>
      <w:bookmarkEnd w:id="57982"/>
      <w:r>
        <w:rPr>
          <w:rFonts w:hint="cs"/>
          <w:rtl/>
        </w:rPr>
        <w:t xml:space="preserve">השרידים </w:t>
      </w:r>
      <w:bookmarkStart w:id="57983" w:name="_ETM_Q104_577760"/>
      <w:bookmarkEnd w:id="57983"/>
      <w:r>
        <w:rPr>
          <w:rFonts w:hint="cs"/>
          <w:rtl/>
        </w:rPr>
        <w:t xml:space="preserve">האחרונים </w:t>
      </w:r>
      <w:bookmarkStart w:id="57984" w:name="_ETM_Q104_578420"/>
      <w:bookmarkEnd w:id="57984"/>
      <w:r>
        <w:rPr>
          <w:rFonts w:hint="cs"/>
          <w:rtl/>
        </w:rPr>
        <w:t xml:space="preserve">לעידן </w:t>
      </w:r>
      <w:bookmarkStart w:id="57985" w:name="_ETM_Q104_577784"/>
      <w:bookmarkStart w:id="57986" w:name="_ETM_Q104_580330"/>
      <w:bookmarkEnd w:id="57985"/>
      <w:bookmarkEnd w:id="57986"/>
      <w:r>
        <w:rPr>
          <w:rFonts w:hint="cs"/>
          <w:rtl/>
        </w:rPr>
        <w:t xml:space="preserve">האורות – הנאורות </w:t>
      </w:r>
      <w:bookmarkStart w:id="57987" w:name="_ETM_Q104_580900"/>
      <w:bookmarkEnd w:id="57987"/>
      <w:r>
        <w:rPr>
          <w:rFonts w:hint="cs"/>
          <w:rtl/>
        </w:rPr>
        <w:t xml:space="preserve">הצרפתית, </w:t>
      </w:r>
      <w:bookmarkStart w:id="57988" w:name="_ETM_Q104_581529"/>
      <w:bookmarkEnd w:id="57988"/>
      <w:r>
        <w:rPr>
          <w:rFonts w:hint="cs"/>
          <w:rtl/>
        </w:rPr>
        <w:t xml:space="preserve">שהמשיכה </w:t>
      </w:r>
      <w:bookmarkStart w:id="57989" w:name="_ETM_Q104_582010"/>
      <w:bookmarkEnd w:id="57989"/>
      <w:r>
        <w:rPr>
          <w:rFonts w:hint="cs"/>
          <w:rtl/>
        </w:rPr>
        <w:t xml:space="preserve">והתעצמה </w:t>
      </w:r>
      <w:bookmarkStart w:id="57990" w:name="_ETM_Q104_582670"/>
      <w:bookmarkEnd w:id="57990"/>
      <w:r>
        <w:rPr>
          <w:rFonts w:hint="cs"/>
          <w:rtl/>
        </w:rPr>
        <w:t xml:space="preserve">במאה ה-19 </w:t>
      </w:r>
      <w:bookmarkStart w:id="57991" w:name="_ETM_Q104_583540"/>
      <w:bookmarkEnd w:id="57991"/>
      <w:r>
        <w:rPr>
          <w:rFonts w:hint="cs"/>
          <w:rtl/>
        </w:rPr>
        <w:t xml:space="preserve">ובראשית </w:t>
      </w:r>
      <w:bookmarkStart w:id="57992" w:name="_ETM_Q104_584020"/>
      <w:bookmarkStart w:id="57993" w:name="_ETM_Q104_585200"/>
      <w:bookmarkEnd w:id="57992"/>
      <w:bookmarkEnd w:id="57993"/>
      <w:r>
        <w:rPr>
          <w:rFonts w:hint="cs"/>
          <w:rtl/>
        </w:rPr>
        <w:t xml:space="preserve">המאה ה-20. האמונה </w:t>
      </w:r>
      <w:bookmarkStart w:id="57994" w:name="_ETM_Q104_585709"/>
      <w:bookmarkEnd w:id="57994"/>
      <w:r>
        <w:rPr>
          <w:rFonts w:hint="cs"/>
          <w:rtl/>
        </w:rPr>
        <w:t xml:space="preserve">בכך </w:t>
      </w:r>
      <w:bookmarkStart w:id="57995" w:name="_ETM_Q104_586069"/>
      <w:bookmarkEnd w:id="57995"/>
      <w:r>
        <w:rPr>
          <w:rFonts w:hint="cs"/>
          <w:rtl/>
        </w:rPr>
        <w:t xml:space="preserve">שהמין </w:t>
      </w:r>
      <w:bookmarkStart w:id="57996" w:name="_ETM_Q104_586490"/>
      <w:bookmarkEnd w:id="57996"/>
      <w:r>
        <w:rPr>
          <w:rFonts w:hint="cs"/>
          <w:rtl/>
        </w:rPr>
        <w:t xml:space="preserve">האנושי </w:t>
      </w:r>
      <w:bookmarkStart w:id="57997" w:name="_ETM_Q104_587029"/>
      <w:bookmarkEnd w:id="57997"/>
      <w:r>
        <w:rPr>
          <w:rFonts w:hint="cs"/>
          <w:rtl/>
        </w:rPr>
        <w:t xml:space="preserve">הולך </w:t>
      </w:r>
      <w:bookmarkStart w:id="57998" w:name="_ETM_Q104_587329"/>
      <w:bookmarkEnd w:id="57998"/>
      <w:r>
        <w:rPr>
          <w:rFonts w:hint="cs"/>
          <w:rtl/>
        </w:rPr>
        <w:t xml:space="preserve">ומתקדם. </w:t>
      </w:r>
      <w:bookmarkStart w:id="57999" w:name="_ETM_Q104_588319"/>
      <w:bookmarkEnd w:id="57999"/>
      <w:r>
        <w:rPr>
          <w:rFonts w:hint="cs"/>
          <w:rtl/>
        </w:rPr>
        <w:t xml:space="preserve">שהמדע, </w:t>
      </w:r>
      <w:bookmarkStart w:id="58000" w:name="_ETM_Q104_589189"/>
      <w:bookmarkEnd w:id="58000"/>
      <w:r>
        <w:rPr>
          <w:rFonts w:hint="cs"/>
          <w:rtl/>
        </w:rPr>
        <w:t xml:space="preserve">הטכנולוגיה, </w:t>
      </w:r>
      <w:bookmarkStart w:id="58001" w:name="_ETM_Q104_590209"/>
      <w:bookmarkEnd w:id="58001"/>
      <w:r>
        <w:rPr>
          <w:rFonts w:hint="cs"/>
          <w:rtl/>
        </w:rPr>
        <w:t xml:space="preserve">הרפואה, </w:t>
      </w:r>
      <w:bookmarkStart w:id="58002" w:name="_ETM_Q104_591020"/>
      <w:bookmarkEnd w:id="58002"/>
      <w:r>
        <w:rPr>
          <w:rFonts w:hint="cs"/>
          <w:rtl/>
        </w:rPr>
        <w:t xml:space="preserve">התרבות, ההשכלה, </w:t>
      </w:r>
      <w:bookmarkStart w:id="58003" w:name="_ETM_Q104_591740"/>
      <w:bookmarkStart w:id="58004" w:name="_ETM_Q104_592560"/>
      <w:bookmarkEnd w:id="58003"/>
      <w:bookmarkEnd w:id="58004"/>
      <w:r>
        <w:rPr>
          <w:rFonts w:hint="cs"/>
          <w:rtl/>
        </w:rPr>
        <w:t xml:space="preserve">הפוליטיקה, </w:t>
      </w:r>
      <w:bookmarkStart w:id="58005" w:name="_ETM_Q104_593400"/>
      <w:bookmarkEnd w:id="58005"/>
      <w:r>
        <w:rPr>
          <w:rFonts w:hint="cs"/>
          <w:rtl/>
        </w:rPr>
        <w:t xml:space="preserve">החינוך – </w:t>
      </w:r>
      <w:bookmarkStart w:id="58006" w:name="_ETM_Q104_594420"/>
      <w:bookmarkEnd w:id="58006"/>
      <w:r>
        <w:rPr>
          <w:rFonts w:hint="cs"/>
          <w:rtl/>
        </w:rPr>
        <w:t xml:space="preserve">כולם </w:t>
      </w:r>
      <w:bookmarkStart w:id="58007" w:name="_ETM_Q104_594899"/>
      <w:bookmarkEnd w:id="58007"/>
      <w:r>
        <w:rPr>
          <w:rFonts w:hint="cs"/>
          <w:rtl/>
        </w:rPr>
        <w:t xml:space="preserve">וכולן </w:t>
      </w:r>
      <w:bookmarkStart w:id="58008" w:name="_ETM_Q104_595500"/>
      <w:bookmarkEnd w:id="58008"/>
      <w:r>
        <w:rPr>
          <w:rFonts w:hint="cs"/>
          <w:rtl/>
        </w:rPr>
        <w:t xml:space="preserve">רק </w:t>
      </w:r>
      <w:bookmarkStart w:id="58009" w:name="_ETM_Q104_595740"/>
      <w:bookmarkEnd w:id="58009"/>
      <w:r>
        <w:rPr>
          <w:rFonts w:hint="cs"/>
          <w:rtl/>
        </w:rPr>
        <w:t xml:space="preserve">הולכים </w:t>
      </w:r>
      <w:bookmarkStart w:id="58010" w:name="_ETM_Q104_596159"/>
      <w:bookmarkEnd w:id="58010"/>
      <w:r>
        <w:rPr>
          <w:rFonts w:hint="cs"/>
          <w:rtl/>
        </w:rPr>
        <w:t xml:space="preserve">ומשתפרים. </w:t>
      </w:r>
      <w:bookmarkStart w:id="58011" w:name="_ETM_Q104_597499"/>
      <w:bookmarkEnd w:id="58011"/>
      <w:r>
        <w:rPr>
          <w:rFonts w:hint="cs"/>
          <w:rtl/>
        </w:rPr>
        <w:t xml:space="preserve">הייתה </w:t>
      </w:r>
      <w:bookmarkStart w:id="58012" w:name="_ETM_Q104_597829"/>
      <w:bookmarkEnd w:id="58012"/>
      <w:r>
        <w:rPr>
          <w:rFonts w:hint="cs"/>
          <w:rtl/>
        </w:rPr>
        <w:t xml:space="preserve">לכך </w:t>
      </w:r>
      <w:bookmarkStart w:id="58013" w:name="_ETM_Q104_598130"/>
      <w:bookmarkEnd w:id="58013"/>
      <w:r>
        <w:rPr>
          <w:rFonts w:hint="cs"/>
          <w:rtl/>
        </w:rPr>
        <w:t xml:space="preserve">סיבה, </w:t>
      </w:r>
      <w:bookmarkStart w:id="58014" w:name="_ETM_Q104_598799"/>
      <w:bookmarkEnd w:id="58014"/>
      <w:r>
        <w:rPr>
          <w:rFonts w:hint="cs"/>
          <w:rtl/>
        </w:rPr>
        <w:t xml:space="preserve">בהחלט: </w:t>
      </w:r>
      <w:bookmarkStart w:id="58015" w:name="_ETM_Q104_599789"/>
      <w:bookmarkEnd w:id="58015"/>
      <w:r>
        <w:rPr>
          <w:rFonts w:hint="cs"/>
          <w:rtl/>
        </w:rPr>
        <w:t xml:space="preserve">היו </w:t>
      </w:r>
      <w:bookmarkStart w:id="58016" w:name="_ETM_Q104_600029"/>
      <w:bookmarkEnd w:id="58016"/>
      <w:r>
        <w:rPr>
          <w:rFonts w:hint="cs"/>
          <w:rtl/>
        </w:rPr>
        <w:t xml:space="preserve">התפתחויות </w:t>
      </w:r>
      <w:bookmarkStart w:id="58017" w:name="_ETM_Q104_600719"/>
      <w:bookmarkEnd w:id="58017"/>
      <w:r>
        <w:rPr>
          <w:rFonts w:hint="cs"/>
          <w:rtl/>
        </w:rPr>
        <w:t xml:space="preserve">מדעיות </w:t>
      </w:r>
      <w:bookmarkStart w:id="58018" w:name="_ETM_Q104_601349"/>
      <w:bookmarkEnd w:id="58018"/>
      <w:r>
        <w:rPr>
          <w:rFonts w:hint="cs"/>
          <w:rtl/>
        </w:rPr>
        <w:t xml:space="preserve">וטכנולוגיות </w:t>
      </w:r>
      <w:bookmarkStart w:id="58019" w:name="_ETM_Q104_602249"/>
      <w:bookmarkEnd w:id="58019"/>
      <w:r>
        <w:rPr>
          <w:rFonts w:hint="cs"/>
          <w:rtl/>
        </w:rPr>
        <w:t xml:space="preserve">ורפואיות, </w:t>
      </w:r>
      <w:bookmarkStart w:id="58020" w:name="_ETM_Q104_603389"/>
      <w:bookmarkEnd w:id="58020"/>
      <w:r>
        <w:rPr>
          <w:rFonts w:hint="cs"/>
          <w:rtl/>
        </w:rPr>
        <w:t xml:space="preserve">היה </w:t>
      </w:r>
      <w:bookmarkStart w:id="58021" w:name="_ETM_Q104_603719"/>
      <w:bookmarkEnd w:id="58021"/>
      <w:r>
        <w:rPr>
          <w:rFonts w:hint="cs"/>
          <w:rtl/>
        </w:rPr>
        <w:t xml:space="preserve">עידן </w:t>
      </w:r>
      <w:bookmarkStart w:id="58022" w:name="_ETM_Q104_604020"/>
      <w:bookmarkEnd w:id="58022"/>
      <w:r>
        <w:rPr>
          <w:rFonts w:hint="cs"/>
          <w:rtl/>
        </w:rPr>
        <w:t xml:space="preserve">של </w:t>
      </w:r>
      <w:bookmarkStart w:id="58023" w:name="_ETM_Q104_604200"/>
      <w:bookmarkEnd w:id="58023"/>
      <w:r>
        <w:rPr>
          <w:rFonts w:hint="cs"/>
          <w:rtl/>
        </w:rPr>
        <w:t xml:space="preserve">שגשוג, </w:t>
      </w:r>
      <w:bookmarkStart w:id="58024" w:name="_ETM_Q104_605179"/>
      <w:bookmarkEnd w:id="58024"/>
      <w:r>
        <w:rPr>
          <w:rFonts w:hint="cs"/>
          <w:rtl/>
        </w:rPr>
        <w:t xml:space="preserve">המלחמות </w:t>
      </w:r>
      <w:bookmarkStart w:id="58025" w:name="_ETM_Q104_605869"/>
      <w:bookmarkEnd w:id="58025"/>
      <w:r>
        <w:rPr>
          <w:rFonts w:hint="cs"/>
          <w:rtl/>
        </w:rPr>
        <w:t xml:space="preserve">הגדולות </w:t>
      </w:r>
      <w:bookmarkStart w:id="58026" w:name="_ETM_Q104_606289"/>
      <w:bookmarkEnd w:id="58026"/>
      <w:r>
        <w:rPr>
          <w:rFonts w:hint="cs"/>
          <w:rtl/>
        </w:rPr>
        <w:t xml:space="preserve">באירופה </w:t>
      </w:r>
      <w:bookmarkStart w:id="58027" w:name="_ETM_Q104_606770"/>
      <w:bookmarkEnd w:id="58027"/>
      <w:r>
        <w:rPr>
          <w:rFonts w:hint="cs"/>
          <w:rtl/>
        </w:rPr>
        <w:t xml:space="preserve">הסתיימו, </w:t>
      </w:r>
      <w:bookmarkStart w:id="58028" w:name="_ETM_Q104_607990"/>
      <w:bookmarkEnd w:id="58028"/>
      <w:r>
        <w:rPr>
          <w:rFonts w:hint="cs"/>
          <w:rtl/>
        </w:rPr>
        <w:t xml:space="preserve">כך </w:t>
      </w:r>
      <w:bookmarkStart w:id="58029" w:name="_ETM_Q104_608230"/>
      <w:bookmarkEnd w:id="58029"/>
      <w:r>
        <w:rPr>
          <w:rFonts w:hint="cs"/>
          <w:rtl/>
        </w:rPr>
        <w:t xml:space="preserve">נדמה, </w:t>
      </w:r>
      <w:bookmarkStart w:id="58030" w:name="_ETM_Q104_608769"/>
      <w:bookmarkEnd w:id="58030"/>
      <w:r>
        <w:rPr>
          <w:rFonts w:hint="cs"/>
          <w:rtl/>
        </w:rPr>
        <w:t xml:space="preserve">עם </w:t>
      </w:r>
      <w:bookmarkStart w:id="58031" w:name="_ETM_Q104_608920"/>
      <w:bookmarkEnd w:id="58031"/>
      <w:r>
        <w:rPr>
          <w:rFonts w:hint="cs"/>
          <w:rtl/>
        </w:rPr>
        <w:t xml:space="preserve">נפוליאון". </w:t>
      </w:r>
      <w:bookmarkStart w:id="58032" w:name="_ETM_Q104_610840"/>
      <w:bookmarkEnd w:id="58032"/>
    </w:p>
    <w:p w:rsidR="00BB59CD" w:rsidRDefault="00BB59CD" w:rsidP="00BB59CD">
      <w:pPr>
        <w:rPr>
          <w:rtl/>
        </w:rPr>
      </w:pPr>
      <w:bookmarkStart w:id="58033" w:name="_ETM_Q104_612185"/>
      <w:bookmarkStart w:id="58034" w:name="_ETM_Q104_612280"/>
      <w:bookmarkEnd w:id="58033"/>
      <w:bookmarkEnd w:id="58034"/>
    </w:p>
    <w:p w:rsidR="00BB59CD" w:rsidRDefault="00BB59CD" w:rsidP="00D80B85">
      <w:pPr>
        <w:rPr>
          <w:rtl/>
        </w:rPr>
      </w:pPr>
      <w:bookmarkStart w:id="58035" w:name="_ETM_Q104_612355"/>
      <w:bookmarkStart w:id="58036" w:name="_ETM_Q104_612439"/>
      <w:bookmarkEnd w:id="58035"/>
      <w:bookmarkEnd w:id="58036"/>
      <w:r>
        <w:rPr>
          <w:rFonts w:hint="cs"/>
          <w:rtl/>
        </w:rPr>
        <w:t xml:space="preserve">"בעצם, </w:t>
      </w:r>
      <w:bookmarkStart w:id="58037" w:name="_ETM_Q104_611530"/>
      <w:bookmarkEnd w:id="58037"/>
      <w:r>
        <w:rPr>
          <w:rFonts w:hint="cs"/>
          <w:rtl/>
        </w:rPr>
        <w:t xml:space="preserve">לצורך </w:t>
      </w:r>
      <w:bookmarkStart w:id="58038" w:name="_ETM_Q104_612010"/>
      <w:bookmarkEnd w:id="58038"/>
      <w:r>
        <w:rPr>
          <w:rFonts w:hint="cs"/>
          <w:rtl/>
        </w:rPr>
        <w:t xml:space="preserve">הדיון </w:t>
      </w:r>
      <w:bookmarkStart w:id="58039" w:name="_ETM_Q104_612340"/>
      <w:bookmarkEnd w:id="58039"/>
      <w:r>
        <w:rPr>
          <w:rFonts w:hint="cs"/>
          <w:rtl/>
        </w:rPr>
        <w:t xml:space="preserve">הזה – </w:t>
      </w:r>
      <w:bookmarkStart w:id="58040" w:name="_ETM_Q104_612760"/>
      <w:bookmarkEnd w:id="58040"/>
      <w:r>
        <w:rPr>
          <w:rFonts w:hint="cs"/>
          <w:rtl/>
        </w:rPr>
        <w:t xml:space="preserve">הדמוקרטיה </w:t>
      </w:r>
      <w:bookmarkStart w:id="58041" w:name="_ETM_Q104_613540"/>
      <w:bookmarkEnd w:id="58041"/>
      <w:r>
        <w:rPr>
          <w:rFonts w:hint="cs"/>
          <w:rtl/>
        </w:rPr>
        <w:t xml:space="preserve">הראשונית, </w:t>
      </w:r>
      <w:bookmarkStart w:id="58042" w:name="_ETM_Q104_614790"/>
      <w:bookmarkEnd w:id="58042"/>
      <w:r>
        <w:rPr>
          <w:rFonts w:hint="cs"/>
          <w:rtl/>
        </w:rPr>
        <w:t xml:space="preserve">על </w:t>
      </w:r>
      <w:bookmarkStart w:id="58043" w:name="_ETM_Q104_614939"/>
      <w:bookmarkEnd w:id="58043"/>
      <w:r>
        <w:rPr>
          <w:rFonts w:hint="cs"/>
          <w:rtl/>
        </w:rPr>
        <w:t xml:space="preserve">זכות </w:t>
      </w:r>
      <w:bookmarkStart w:id="58044" w:name="_ETM_Q104_615239"/>
      <w:bookmarkEnd w:id="58044"/>
      <w:r>
        <w:rPr>
          <w:rFonts w:hint="cs"/>
          <w:rtl/>
        </w:rPr>
        <w:t xml:space="preserve">הבחירה </w:t>
      </w:r>
      <w:bookmarkStart w:id="58045" w:name="_ETM_Q104_615659"/>
      <w:bookmarkEnd w:id="58045"/>
      <w:r>
        <w:rPr>
          <w:rFonts w:hint="cs"/>
          <w:rtl/>
        </w:rPr>
        <w:t>ל</w:t>
      </w:r>
      <w:bookmarkStart w:id="58046" w:name="_ETM_Q104_615750"/>
      <w:bookmarkEnd w:id="58046"/>
      <w:r>
        <w:rPr>
          <w:rFonts w:hint="cs"/>
          <w:rtl/>
        </w:rPr>
        <w:t xml:space="preserve">כול </w:t>
      </w:r>
      <w:bookmarkStart w:id="58047" w:name="_ETM_Q104_616590"/>
      <w:bookmarkEnd w:id="58047"/>
      <w:r>
        <w:rPr>
          <w:rFonts w:hint="cs"/>
          <w:rtl/>
        </w:rPr>
        <w:t xml:space="preserve">ועם </w:t>
      </w:r>
      <w:bookmarkStart w:id="58048" w:name="_ETM_Q104_616890"/>
      <w:bookmarkEnd w:id="58048"/>
      <w:r>
        <w:rPr>
          <w:rFonts w:hint="cs"/>
          <w:rtl/>
        </w:rPr>
        <w:t xml:space="preserve">תקשורת </w:t>
      </w:r>
      <w:bookmarkStart w:id="58049" w:name="_ETM_Q104_617400"/>
      <w:bookmarkEnd w:id="58049"/>
      <w:r>
        <w:rPr>
          <w:rFonts w:hint="cs"/>
          <w:rtl/>
        </w:rPr>
        <w:t xml:space="preserve">ההמונים </w:t>
      </w:r>
      <w:bookmarkStart w:id="58050" w:name="_ETM_Q104_617790"/>
      <w:bookmarkEnd w:id="58050"/>
      <w:r>
        <w:rPr>
          <w:rFonts w:hint="cs"/>
          <w:rtl/>
        </w:rPr>
        <w:t xml:space="preserve">בחיתוליה, </w:t>
      </w:r>
      <w:bookmarkStart w:id="58051" w:name="_ETM_Q104_618510"/>
      <w:bookmarkEnd w:id="58051"/>
      <w:r>
        <w:rPr>
          <w:rFonts w:hint="cs"/>
          <w:rtl/>
        </w:rPr>
        <w:t xml:space="preserve">אף </w:t>
      </w:r>
      <w:bookmarkStart w:id="58052" w:name="_ETM_Q104_618659"/>
      <w:bookmarkEnd w:id="58052"/>
      <w:r>
        <w:rPr>
          <w:rFonts w:hint="cs"/>
          <w:rtl/>
        </w:rPr>
        <w:t xml:space="preserve">החריפה </w:t>
      </w:r>
      <w:bookmarkStart w:id="58053" w:name="_ETM_Q104_619170"/>
      <w:bookmarkEnd w:id="58053"/>
      <w:r>
        <w:rPr>
          <w:rFonts w:hint="cs"/>
          <w:rtl/>
        </w:rPr>
        <w:t xml:space="preserve">את </w:t>
      </w:r>
      <w:bookmarkStart w:id="58054" w:name="_ETM_Q104_619290"/>
      <w:bookmarkEnd w:id="58054"/>
      <w:r>
        <w:rPr>
          <w:rFonts w:hint="cs"/>
          <w:rtl/>
        </w:rPr>
        <w:t xml:space="preserve">המצב. </w:t>
      </w:r>
      <w:bookmarkStart w:id="58055" w:name="_ETM_Q104_620340"/>
      <w:bookmarkEnd w:id="58055"/>
      <w:r>
        <w:rPr>
          <w:rFonts w:hint="cs"/>
          <w:rtl/>
        </w:rPr>
        <w:t>'אי</w:t>
      </w:r>
      <w:bookmarkStart w:id="58056" w:name="_ETM_Q104_620519"/>
      <w:bookmarkEnd w:id="58056"/>
      <w:r>
        <w:rPr>
          <w:rFonts w:hint="cs"/>
          <w:rtl/>
        </w:rPr>
        <w:t xml:space="preserve">-אפשר </w:t>
      </w:r>
      <w:bookmarkStart w:id="58057" w:name="_ETM_Q104_620879"/>
      <w:bookmarkEnd w:id="58057"/>
      <w:r>
        <w:rPr>
          <w:rFonts w:hint="cs"/>
          <w:rtl/>
        </w:rPr>
        <w:t xml:space="preserve">להנחיל </w:t>
      </w:r>
      <w:bookmarkStart w:id="58058" w:name="_ETM_Q104_621450"/>
      <w:bookmarkEnd w:id="58058"/>
      <w:r>
        <w:rPr>
          <w:rFonts w:hint="cs"/>
          <w:rtl/>
        </w:rPr>
        <w:t xml:space="preserve">דמוקרטיה </w:t>
      </w:r>
      <w:bookmarkStart w:id="58059" w:name="_ETM_Q104_622230"/>
      <w:bookmarkEnd w:id="58059"/>
      <w:r>
        <w:rPr>
          <w:rFonts w:hint="cs"/>
          <w:rtl/>
        </w:rPr>
        <w:t xml:space="preserve">באמצעות </w:t>
      </w:r>
      <w:bookmarkStart w:id="58060" w:name="_ETM_Q104_622859"/>
      <w:bookmarkEnd w:id="58060"/>
      <w:r>
        <w:rPr>
          <w:rFonts w:hint="cs"/>
          <w:rtl/>
        </w:rPr>
        <w:t xml:space="preserve">פרסום </w:t>
      </w:r>
      <w:bookmarkStart w:id="58061" w:name="_ETM_Q104_623340"/>
      <w:bookmarkEnd w:id="58061"/>
      <w:r>
        <w:rPr>
          <w:rFonts w:hint="cs"/>
          <w:rtl/>
        </w:rPr>
        <w:t xml:space="preserve">צו </w:t>
      </w:r>
      <w:bookmarkStart w:id="58062" w:name="_ETM_Q104_623640"/>
      <w:bookmarkEnd w:id="58062"/>
      <w:r>
        <w:rPr>
          <w:rFonts w:hint="cs"/>
          <w:rtl/>
        </w:rPr>
        <w:t xml:space="preserve">בעיתון' </w:t>
      </w:r>
      <w:r w:rsidR="00D80B85">
        <w:rPr>
          <w:rtl/>
        </w:rPr>
        <w:t>–</w:t>
      </w:r>
      <w:r>
        <w:rPr>
          <w:rFonts w:hint="cs"/>
          <w:rtl/>
        </w:rPr>
        <w:t xml:space="preserve"> </w:t>
      </w:r>
      <w:bookmarkStart w:id="58063" w:name="_ETM_Q104_624730"/>
      <w:bookmarkEnd w:id="58063"/>
      <w:r>
        <w:rPr>
          <w:rFonts w:hint="cs"/>
          <w:rtl/>
        </w:rPr>
        <w:t xml:space="preserve">היא </w:t>
      </w:r>
      <w:bookmarkStart w:id="58064" w:name="_ETM_Q104_624880"/>
      <w:bookmarkEnd w:id="58064"/>
      <w:r>
        <w:rPr>
          <w:rFonts w:hint="cs"/>
          <w:rtl/>
        </w:rPr>
        <w:t xml:space="preserve">אמרה </w:t>
      </w:r>
      <w:bookmarkStart w:id="58065" w:name="_ETM_Q104_625180"/>
      <w:bookmarkEnd w:id="58065"/>
      <w:r>
        <w:rPr>
          <w:rFonts w:hint="cs"/>
          <w:rtl/>
        </w:rPr>
        <w:t xml:space="preserve">מדויקת </w:t>
      </w:r>
      <w:bookmarkStart w:id="58066" w:name="_ETM_Q104_625750"/>
      <w:bookmarkEnd w:id="58066"/>
      <w:r>
        <w:rPr>
          <w:rFonts w:hint="cs"/>
          <w:rtl/>
        </w:rPr>
        <w:t xml:space="preserve">המיוחסת </w:t>
      </w:r>
      <w:bookmarkStart w:id="58067" w:name="_ETM_Q104_626350"/>
      <w:bookmarkEnd w:id="58067"/>
      <w:r>
        <w:rPr>
          <w:rFonts w:hint="cs"/>
          <w:rtl/>
        </w:rPr>
        <w:t xml:space="preserve">להרצל, </w:t>
      </w:r>
      <w:bookmarkStart w:id="58068" w:name="_ETM_Q104_626950"/>
      <w:bookmarkEnd w:id="58068"/>
      <w:r>
        <w:rPr>
          <w:rFonts w:hint="cs"/>
          <w:rtl/>
        </w:rPr>
        <w:t xml:space="preserve">שהבין </w:t>
      </w:r>
      <w:bookmarkStart w:id="58069" w:name="_ETM_Q104_627460"/>
      <w:bookmarkEnd w:id="58069"/>
      <w:r>
        <w:rPr>
          <w:rFonts w:hint="cs"/>
          <w:rtl/>
        </w:rPr>
        <w:t xml:space="preserve">שהקדמה </w:t>
      </w:r>
      <w:bookmarkStart w:id="58070" w:name="_ETM_Q104_628090"/>
      <w:bookmarkEnd w:id="58070"/>
      <w:r>
        <w:rPr>
          <w:rFonts w:hint="cs"/>
          <w:rtl/>
        </w:rPr>
        <w:t xml:space="preserve">מפיצה </w:t>
      </w:r>
      <w:bookmarkStart w:id="58071" w:name="_ETM_Q104_628660"/>
      <w:bookmarkEnd w:id="58071"/>
      <w:r>
        <w:rPr>
          <w:rFonts w:hint="cs"/>
          <w:rtl/>
        </w:rPr>
        <w:t xml:space="preserve">אור </w:t>
      </w:r>
      <w:bookmarkStart w:id="58072" w:name="_ETM_Q104_628900"/>
      <w:bookmarkEnd w:id="58072"/>
      <w:r>
        <w:rPr>
          <w:rFonts w:hint="cs"/>
          <w:rtl/>
        </w:rPr>
        <w:t xml:space="preserve">עז, </w:t>
      </w:r>
      <w:bookmarkStart w:id="58073" w:name="_ETM_Q104_629470"/>
      <w:bookmarkEnd w:id="58073"/>
      <w:r>
        <w:rPr>
          <w:rFonts w:hint="cs"/>
          <w:rtl/>
        </w:rPr>
        <w:t xml:space="preserve">אך </w:t>
      </w:r>
      <w:bookmarkStart w:id="58074" w:name="_ETM_Q104_629650"/>
      <w:bookmarkEnd w:id="58074"/>
      <w:r>
        <w:rPr>
          <w:rFonts w:hint="cs"/>
          <w:rtl/>
        </w:rPr>
        <w:t xml:space="preserve">גם </w:t>
      </w:r>
      <w:bookmarkStart w:id="58075" w:name="_ETM_Q104_629860"/>
      <w:bookmarkEnd w:id="58075"/>
      <w:r>
        <w:rPr>
          <w:rFonts w:hint="cs"/>
          <w:rtl/>
        </w:rPr>
        <w:t xml:space="preserve">לא </w:t>
      </w:r>
      <w:bookmarkStart w:id="58076" w:name="_ETM_Q104_630040"/>
      <w:bookmarkEnd w:id="58076"/>
      <w:r>
        <w:rPr>
          <w:rFonts w:hint="cs"/>
          <w:rtl/>
        </w:rPr>
        <w:t xml:space="preserve">מעט </w:t>
      </w:r>
      <w:bookmarkStart w:id="58077" w:name="_ETM_Q104_630490"/>
      <w:bookmarkEnd w:id="58077"/>
      <w:r>
        <w:rPr>
          <w:rFonts w:hint="cs"/>
          <w:rtl/>
        </w:rPr>
        <w:t xml:space="preserve">צללים </w:t>
      </w:r>
      <w:bookmarkStart w:id="58078" w:name="_ETM_Q104_631030"/>
      <w:bookmarkEnd w:id="58078"/>
      <w:r>
        <w:rPr>
          <w:rFonts w:hint="cs"/>
          <w:rtl/>
        </w:rPr>
        <w:t xml:space="preserve">חשוכים. </w:t>
      </w:r>
      <w:bookmarkStart w:id="58079" w:name="_ETM_Q104_632620"/>
      <w:bookmarkEnd w:id="58079"/>
    </w:p>
    <w:p w:rsidR="00BB59CD" w:rsidRDefault="00BB59CD" w:rsidP="00BB59CD">
      <w:pPr>
        <w:rPr>
          <w:rtl/>
        </w:rPr>
      </w:pPr>
      <w:bookmarkStart w:id="58080" w:name="_ETM_Q104_634235"/>
      <w:bookmarkStart w:id="58081" w:name="_ETM_Q104_634309"/>
      <w:bookmarkEnd w:id="58080"/>
      <w:bookmarkEnd w:id="58081"/>
    </w:p>
    <w:p w:rsidR="00BB59CD" w:rsidRDefault="00BB59CD" w:rsidP="00D80B85">
      <w:pPr>
        <w:rPr>
          <w:rtl/>
        </w:rPr>
      </w:pPr>
      <w:bookmarkStart w:id="58082" w:name="_ETM_Q104_634377"/>
      <w:bookmarkStart w:id="58083" w:name="_ETM_Q104_634448"/>
      <w:bookmarkEnd w:id="58082"/>
      <w:bookmarkEnd w:id="58083"/>
      <w:r>
        <w:rPr>
          <w:rFonts w:hint="cs"/>
          <w:rtl/>
        </w:rPr>
        <w:t>"</w:t>
      </w:r>
      <w:bookmarkStart w:id="58084" w:name="_ETM_Q104_633069"/>
      <w:bookmarkEnd w:id="58084"/>
      <w:r>
        <w:rPr>
          <w:rFonts w:hint="cs"/>
          <w:rtl/>
        </w:rPr>
        <w:t xml:space="preserve">היכן </w:t>
      </w:r>
      <w:bookmarkStart w:id="58085" w:name="_ETM_Q104_633430"/>
      <w:bookmarkEnd w:id="58085"/>
      <w:r>
        <w:rPr>
          <w:rFonts w:hint="cs"/>
          <w:rtl/>
        </w:rPr>
        <w:t xml:space="preserve">עובר </w:t>
      </w:r>
      <w:bookmarkStart w:id="58086" w:name="_ETM_Q104_633700"/>
      <w:bookmarkEnd w:id="58086"/>
      <w:r>
        <w:rPr>
          <w:rFonts w:hint="cs"/>
          <w:rtl/>
        </w:rPr>
        <w:t xml:space="preserve">הגבול? </w:t>
      </w:r>
      <w:bookmarkStart w:id="58087" w:name="_ETM_Q104_634609"/>
      <w:bookmarkEnd w:id="58087"/>
      <w:r>
        <w:rPr>
          <w:rFonts w:hint="cs"/>
          <w:rtl/>
        </w:rPr>
        <w:t xml:space="preserve">הדמוקרטיה </w:t>
      </w:r>
      <w:bookmarkStart w:id="58088" w:name="_ETM_Q104_635480"/>
      <w:bookmarkEnd w:id="58088"/>
      <w:r>
        <w:rPr>
          <w:rFonts w:hint="cs"/>
          <w:rtl/>
        </w:rPr>
        <w:t xml:space="preserve">נולדה </w:t>
      </w:r>
      <w:bookmarkStart w:id="58089" w:name="_ETM_Q104_635810"/>
      <w:bookmarkEnd w:id="58089"/>
      <w:r>
        <w:rPr>
          <w:rFonts w:hint="cs"/>
          <w:rtl/>
        </w:rPr>
        <w:t xml:space="preserve">באירופה. </w:t>
      </w:r>
      <w:bookmarkStart w:id="58090" w:name="_ETM_Q104_636530"/>
      <w:bookmarkEnd w:id="58090"/>
      <w:r>
        <w:rPr>
          <w:rFonts w:hint="cs"/>
          <w:rtl/>
        </w:rPr>
        <w:t xml:space="preserve">ביבשת </w:t>
      </w:r>
      <w:bookmarkStart w:id="58091" w:name="_ETM_Q104_637280"/>
      <w:bookmarkEnd w:id="58091"/>
      <w:r>
        <w:rPr>
          <w:rFonts w:hint="cs"/>
          <w:rtl/>
        </w:rPr>
        <w:t xml:space="preserve">הזו </w:t>
      </w:r>
      <w:bookmarkStart w:id="58092" w:name="_ETM_Q104_637670"/>
      <w:bookmarkEnd w:id="58092"/>
      <w:r>
        <w:rPr>
          <w:rFonts w:hint="cs"/>
          <w:rtl/>
        </w:rPr>
        <w:t xml:space="preserve">התווכחו </w:t>
      </w:r>
      <w:bookmarkStart w:id="58093" w:name="_ETM_Q104_638180"/>
      <w:bookmarkEnd w:id="58093"/>
      <w:r>
        <w:rPr>
          <w:rFonts w:hint="cs"/>
          <w:rtl/>
        </w:rPr>
        <w:t xml:space="preserve">עליה, </w:t>
      </w:r>
      <w:bookmarkStart w:id="58094" w:name="_ETM_Q104_638450"/>
      <w:bookmarkEnd w:id="58094"/>
      <w:r>
        <w:rPr>
          <w:rFonts w:hint="cs"/>
          <w:rtl/>
        </w:rPr>
        <w:t xml:space="preserve">דנו </w:t>
      </w:r>
      <w:bookmarkStart w:id="58095" w:name="_ETM_Q104_638840"/>
      <w:bookmarkEnd w:id="58095"/>
      <w:r>
        <w:rPr>
          <w:rFonts w:hint="cs"/>
          <w:rtl/>
        </w:rPr>
        <w:t>בה, התקוממו בשמה</w:t>
      </w:r>
      <w:bookmarkStart w:id="58096" w:name="_ETM_Q104_639139"/>
      <w:bookmarkStart w:id="58097" w:name="_ETM_Q104_640330"/>
      <w:bookmarkEnd w:id="58096"/>
      <w:bookmarkEnd w:id="58097"/>
      <w:r>
        <w:rPr>
          <w:rFonts w:hint="cs"/>
          <w:rtl/>
        </w:rPr>
        <w:t xml:space="preserve">, </w:t>
      </w:r>
      <w:bookmarkStart w:id="58098" w:name="_ETM_Q104_640335"/>
      <w:bookmarkEnd w:id="58098"/>
      <w:r>
        <w:rPr>
          <w:rFonts w:hint="cs"/>
          <w:rtl/>
        </w:rPr>
        <w:t xml:space="preserve">ומדינות </w:t>
      </w:r>
      <w:bookmarkStart w:id="58099" w:name="_ETM_Q104_640870"/>
      <w:bookmarkEnd w:id="58099"/>
      <w:r>
        <w:rPr>
          <w:rFonts w:hint="cs"/>
          <w:rtl/>
        </w:rPr>
        <w:t xml:space="preserve">אירופה </w:t>
      </w:r>
      <w:bookmarkStart w:id="58100" w:name="_ETM_Q104_641230"/>
      <w:bookmarkEnd w:id="58100"/>
      <w:r>
        <w:rPr>
          <w:rFonts w:hint="cs"/>
          <w:rtl/>
        </w:rPr>
        <w:t xml:space="preserve">היום </w:t>
      </w:r>
      <w:bookmarkStart w:id="58101" w:name="_ETM_Q104_641560"/>
      <w:bookmarkEnd w:id="58101"/>
      <w:r>
        <w:rPr>
          <w:rFonts w:hint="cs"/>
          <w:rtl/>
        </w:rPr>
        <w:t xml:space="preserve">הן </w:t>
      </w:r>
      <w:bookmarkStart w:id="58102" w:name="_ETM_Q104_641680"/>
      <w:bookmarkEnd w:id="58102"/>
      <w:r>
        <w:rPr>
          <w:rFonts w:hint="cs"/>
          <w:rtl/>
        </w:rPr>
        <w:t xml:space="preserve">ודאי </w:t>
      </w:r>
      <w:bookmarkStart w:id="58103" w:name="_ETM_Q104_642010"/>
      <w:bookmarkEnd w:id="58103"/>
      <w:r>
        <w:rPr>
          <w:rFonts w:hint="cs"/>
          <w:rtl/>
        </w:rPr>
        <w:t xml:space="preserve">מן </w:t>
      </w:r>
      <w:bookmarkStart w:id="58104" w:name="_ETM_Q104_642130"/>
      <w:bookmarkEnd w:id="58104"/>
      <w:r>
        <w:rPr>
          <w:rFonts w:hint="cs"/>
          <w:rtl/>
        </w:rPr>
        <w:t xml:space="preserve">המגלמות </w:t>
      </w:r>
      <w:bookmarkStart w:id="58105" w:name="_ETM_Q104_642730"/>
      <w:bookmarkEnd w:id="58105"/>
      <w:r>
        <w:rPr>
          <w:rFonts w:hint="cs"/>
          <w:rtl/>
        </w:rPr>
        <w:t xml:space="preserve">הגדולות </w:t>
      </w:r>
      <w:bookmarkStart w:id="58106" w:name="_ETM_Q104_643240"/>
      <w:bookmarkEnd w:id="58106"/>
      <w:r>
        <w:rPr>
          <w:rFonts w:hint="cs"/>
          <w:rtl/>
        </w:rPr>
        <w:t xml:space="preserve">בעולם </w:t>
      </w:r>
      <w:bookmarkStart w:id="58107" w:name="_ETM_Q104_643690"/>
      <w:bookmarkEnd w:id="58107"/>
      <w:r>
        <w:rPr>
          <w:rFonts w:hint="cs"/>
          <w:rtl/>
        </w:rPr>
        <w:t xml:space="preserve">של </w:t>
      </w:r>
      <w:bookmarkStart w:id="58108" w:name="_ETM_Q104_643840"/>
      <w:bookmarkEnd w:id="58108"/>
      <w:r>
        <w:rPr>
          <w:rFonts w:hint="cs"/>
          <w:rtl/>
        </w:rPr>
        <w:t xml:space="preserve">הרעיון </w:t>
      </w:r>
      <w:bookmarkStart w:id="58109" w:name="_ETM_Q104_644410"/>
      <w:bookmarkEnd w:id="58109"/>
      <w:r>
        <w:rPr>
          <w:rFonts w:hint="cs"/>
          <w:rtl/>
        </w:rPr>
        <w:t xml:space="preserve">הדמוקרטי. </w:t>
      </w:r>
      <w:bookmarkStart w:id="58110" w:name="_ETM_Q104_645900"/>
      <w:bookmarkEnd w:id="58110"/>
      <w:r>
        <w:rPr>
          <w:rFonts w:hint="cs"/>
          <w:rtl/>
        </w:rPr>
        <w:t xml:space="preserve">המאמר </w:t>
      </w:r>
      <w:bookmarkStart w:id="58111" w:name="_ETM_Q104_646410"/>
      <w:bookmarkEnd w:id="58111"/>
      <w:r>
        <w:rPr>
          <w:rFonts w:hint="cs"/>
          <w:rtl/>
        </w:rPr>
        <w:t xml:space="preserve">הראשון </w:t>
      </w:r>
      <w:bookmarkStart w:id="58112" w:name="_ETM_Q104_646800"/>
      <w:bookmarkEnd w:id="58112"/>
      <w:r>
        <w:rPr>
          <w:rFonts w:hint="cs"/>
          <w:rtl/>
        </w:rPr>
        <w:t xml:space="preserve">בסדרה </w:t>
      </w:r>
      <w:bookmarkStart w:id="58113" w:name="_ETM_Q104_647220"/>
      <w:bookmarkEnd w:id="58113"/>
      <w:r>
        <w:rPr>
          <w:rFonts w:hint="cs"/>
          <w:rtl/>
        </w:rPr>
        <w:t xml:space="preserve">זו </w:t>
      </w:r>
      <w:bookmarkStart w:id="58114" w:name="_ETM_Q104_647460"/>
      <w:bookmarkEnd w:id="58114"/>
      <w:r>
        <w:rPr>
          <w:rFonts w:hint="cs"/>
          <w:rtl/>
        </w:rPr>
        <w:t xml:space="preserve">על </w:t>
      </w:r>
      <w:bookmarkStart w:id="58115" w:name="_ETM_Q104_647520"/>
      <w:bookmarkEnd w:id="58115"/>
      <w:r>
        <w:rPr>
          <w:rFonts w:hint="cs"/>
          <w:rtl/>
        </w:rPr>
        <w:t xml:space="preserve">משבר </w:t>
      </w:r>
      <w:bookmarkStart w:id="58116" w:name="_ETM_Q104_647850"/>
      <w:bookmarkEnd w:id="58116"/>
      <w:r>
        <w:rPr>
          <w:rFonts w:hint="cs"/>
          <w:rtl/>
        </w:rPr>
        <w:t xml:space="preserve">הדמוקרטיות </w:t>
      </w:r>
      <w:bookmarkStart w:id="58117" w:name="_ETM_Q104_648540"/>
      <w:bookmarkEnd w:id="58117"/>
      <w:r>
        <w:rPr>
          <w:rFonts w:hint="cs"/>
          <w:rtl/>
        </w:rPr>
        <w:t xml:space="preserve">דן </w:t>
      </w:r>
      <w:bookmarkStart w:id="58118" w:name="_ETM_Q104_648810"/>
      <w:bookmarkEnd w:id="58118"/>
      <w:r>
        <w:rPr>
          <w:rFonts w:hint="cs"/>
          <w:rtl/>
        </w:rPr>
        <w:t xml:space="preserve">בשתי </w:t>
      </w:r>
      <w:bookmarkStart w:id="58119" w:name="_ETM_Q104_649320"/>
      <w:bookmarkEnd w:id="58119"/>
      <w:r>
        <w:rPr>
          <w:rFonts w:hint="cs"/>
          <w:rtl/>
        </w:rPr>
        <w:t xml:space="preserve">מדינות </w:t>
      </w:r>
      <w:bookmarkStart w:id="58120" w:name="_ETM_Q104_649740"/>
      <w:bookmarkEnd w:id="58120"/>
      <w:r>
        <w:rPr>
          <w:rFonts w:hint="cs"/>
          <w:rtl/>
        </w:rPr>
        <w:t xml:space="preserve">אירופיות – </w:t>
      </w:r>
      <w:bookmarkStart w:id="58121" w:name="_ETM_Q104_650580"/>
      <w:bookmarkEnd w:id="58121"/>
      <w:r>
        <w:rPr>
          <w:rFonts w:hint="cs"/>
          <w:rtl/>
        </w:rPr>
        <w:t>פ</w:t>
      </w:r>
      <w:bookmarkStart w:id="58122" w:name="_ETM_Q104_692251"/>
      <w:bookmarkEnd w:id="58122"/>
      <w:r>
        <w:rPr>
          <w:rFonts w:hint="cs"/>
          <w:rtl/>
        </w:rPr>
        <w:t xml:space="preserve">ולין </w:t>
      </w:r>
      <w:bookmarkStart w:id="58123" w:name="_ETM_Q104_651090"/>
      <w:bookmarkEnd w:id="58123"/>
      <w:r>
        <w:rPr>
          <w:rFonts w:hint="cs"/>
          <w:rtl/>
        </w:rPr>
        <w:t>והונגריה.</w:t>
      </w:r>
      <w:r w:rsidR="00D80B85">
        <w:rPr>
          <w:rFonts w:hint="cs"/>
          <w:rtl/>
        </w:rPr>
        <w:t xml:space="preserve"> </w:t>
      </w:r>
      <w:bookmarkStart w:id="58124" w:name="_ETM_Q104_696940"/>
      <w:bookmarkStart w:id="58125" w:name="_ETM_Q104_697080"/>
      <w:bookmarkStart w:id="58126" w:name="_ETM_Q104_697986"/>
      <w:bookmarkStart w:id="58127" w:name="_ETM_Q104_698091"/>
      <w:bookmarkStart w:id="58128" w:name="_ETM_Q104_652520"/>
      <w:bookmarkEnd w:id="58124"/>
      <w:bookmarkEnd w:id="58125"/>
      <w:bookmarkEnd w:id="58126"/>
      <w:bookmarkEnd w:id="58127"/>
      <w:bookmarkEnd w:id="58128"/>
      <w:r>
        <w:rPr>
          <w:rFonts w:hint="cs"/>
          <w:rtl/>
        </w:rPr>
        <w:t xml:space="preserve">תעלה </w:t>
      </w:r>
      <w:bookmarkStart w:id="58129" w:name="_ETM_Q104_652880"/>
      <w:bookmarkEnd w:id="58129"/>
      <w:r>
        <w:rPr>
          <w:rFonts w:hint="cs"/>
          <w:rtl/>
        </w:rPr>
        <w:t xml:space="preserve">השאלה, </w:t>
      </w:r>
      <w:bookmarkStart w:id="58130" w:name="_ETM_Q104_653870"/>
      <w:bookmarkEnd w:id="58130"/>
      <w:r>
        <w:rPr>
          <w:rFonts w:hint="cs"/>
          <w:rtl/>
        </w:rPr>
        <w:t>מה</w:t>
      </w:r>
      <w:bookmarkStart w:id="58131" w:name="_ETM_Q104_654200"/>
      <w:bookmarkEnd w:id="58131"/>
      <w:r>
        <w:rPr>
          <w:rFonts w:hint="cs"/>
          <w:rtl/>
        </w:rPr>
        <w:t xml:space="preserve">י </w:t>
      </w:r>
      <w:bookmarkStart w:id="58132" w:name="_ETM_Q104_654320"/>
      <w:bookmarkEnd w:id="58132"/>
      <w:r>
        <w:rPr>
          <w:rFonts w:hint="cs"/>
          <w:rtl/>
        </w:rPr>
        <w:t xml:space="preserve">בעצם </w:t>
      </w:r>
      <w:bookmarkStart w:id="58133" w:name="_ETM_Q104_654740"/>
      <w:bookmarkEnd w:id="58133"/>
      <w:r>
        <w:rPr>
          <w:rFonts w:hint="cs"/>
          <w:rtl/>
        </w:rPr>
        <w:t xml:space="preserve">אירופה? </w:t>
      </w:r>
      <w:bookmarkStart w:id="58134" w:name="_ETM_Q104_655340"/>
      <w:bookmarkEnd w:id="58134"/>
      <w:r>
        <w:rPr>
          <w:rFonts w:hint="cs"/>
          <w:rtl/>
        </w:rPr>
        <w:t>מה</w:t>
      </w:r>
      <w:bookmarkStart w:id="58135" w:name="_ETM_Q104_655640"/>
      <w:bookmarkEnd w:id="58135"/>
      <w:r>
        <w:rPr>
          <w:rFonts w:hint="cs"/>
          <w:rtl/>
        </w:rPr>
        <w:t xml:space="preserve">ם </w:t>
      </w:r>
      <w:bookmarkStart w:id="58136" w:name="_ETM_Q104_655760"/>
      <w:bookmarkEnd w:id="58136"/>
      <w:r>
        <w:rPr>
          <w:rFonts w:hint="cs"/>
          <w:rtl/>
        </w:rPr>
        <w:t xml:space="preserve">גבולותיה? </w:t>
      </w:r>
      <w:bookmarkStart w:id="58137" w:name="_ETM_Q104_656810"/>
      <w:bookmarkEnd w:id="58137"/>
      <w:r>
        <w:rPr>
          <w:rFonts w:hint="cs"/>
          <w:rtl/>
        </w:rPr>
        <w:t xml:space="preserve">האם </w:t>
      </w:r>
      <w:bookmarkStart w:id="58138" w:name="_ETM_Q104_657110"/>
      <w:bookmarkEnd w:id="58138"/>
      <w:r>
        <w:rPr>
          <w:rFonts w:hint="cs"/>
          <w:rtl/>
        </w:rPr>
        <w:t xml:space="preserve">ההגדרות </w:t>
      </w:r>
      <w:bookmarkStart w:id="58139" w:name="_ETM_Q104_657680"/>
      <w:bookmarkEnd w:id="58139"/>
      <w:r>
        <w:rPr>
          <w:rFonts w:hint="cs"/>
          <w:rtl/>
        </w:rPr>
        <w:t xml:space="preserve">של </w:t>
      </w:r>
      <w:bookmarkStart w:id="58140" w:name="_ETM_Q104_657830"/>
      <w:bookmarkEnd w:id="58140"/>
      <w:r>
        <w:rPr>
          <w:rFonts w:hint="cs"/>
          <w:rtl/>
        </w:rPr>
        <w:t xml:space="preserve">אירופה </w:t>
      </w:r>
      <w:bookmarkStart w:id="58141" w:name="_ETM_Q104_658340"/>
      <w:bookmarkEnd w:id="58141"/>
      <w:r>
        <w:rPr>
          <w:rFonts w:hint="cs"/>
          <w:rtl/>
        </w:rPr>
        <w:t xml:space="preserve">הן </w:t>
      </w:r>
      <w:bookmarkStart w:id="58142" w:name="_ETM_Q104_658520"/>
      <w:bookmarkEnd w:id="58142"/>
      <w:r>
        <w:rPr>
          <w:rFonts w:hint="cs"/>
          <w:rtl/>
        </w:rPr>
        <w:t xml:space="preserve">גיאוגרפיות, </w:t>
      </w:r>
      <w:bookmarkStart w:id="58143" w:name="_ETM_Q104_659390"/>
      <w:bookmarkEnd w:id="58143"/>
      <w:r>
        <w:rPr>
          <w:rFonts w:hint="cs"/>
          <w:rtl/>
        </w:rPr>
        <w:t xml:space="preserve">פוליטיות, </w:t>
      </w:r>
      <w:bookmarkStart w:id="58144" w:name="_ETM_Q104_660080"/>
      <w:bookmarkEnd w:id="58144"/>
      <w:r>
        <w:rPr>
          <w:rFonts w:hint="cs"/>
          <w:rtl/>
        </w:rPr>
        <w:t xml:space="preserve">תרבותיות, </w:t>
      </w:r>
      <w:bookmarkStart w:id="58145" w:name="_ETM_Q104_660860"/>
      <w:bookmarkEnd w:id="58145"/>
      <w:r>
        <w:rPr>
          <w:rFonts w:hint="cs"/>
          <w:rtl/>
        </w:rPr>
        <w:t xml:space="preserve">היסטוריות? </w:t>
      </w:r>
      <w:bookmarkStart w:id="58146" w:name="_ETM_Q104_662140"/>
      <w:bookmarkEnd w:id="58146"/>
      <w:r>
        <w:rPr>
          <w:rFonts w:hint="cs"/>
          <w:rtl/>
        </w:rPr>
        <w:t xml:space="preserve">בכל </w:t>
      </w:r>
      <w:bookmarkStart w:id="58147" w:name="_ETM_Q104_662560"/>
      <w:bookmarkEnd w:id="58147"/>
      <w:r>
        <w:rPr>
          <w:rFonts w:hint="cs"/>
          <w:rtl/>
        </w:rPr>
        <w:t xml:space="preserve">הגדרה </w:t>
      </w:r>
      <w:bookmarkStart w:id="58148" w:name="_ETM_Q104_662920"/>
      <w:bookmarkEnd w:id="58148"/>
      <w:r>
        <w:rPr>
          <w:rFonts w:hint="cs"/>
          <w:rtl/>
        </w:rPr>
        <w:t xml:space="preserve">כזו </w:t>
      </w:r>
      <w:bookmarkStart w:id="58149" w:name="_ETM_Q104_663520"/>
      <w:bookmarkEnd w:id="58149"/>
      <w:r>
        <w:rPr>
          <w:rFonts w:hint="cs"/>
          <w:rtl/>
        </w:rPr>
        <w:t xml:space="preserve">יש </w:t>
      </w:r>
      <w:bookmarkStart w:id="58150" w:name="_ETM_Q104_663760"/>
      <w:bookmarkEnd w:id="58150"/>
      <w:r>
        <w:rPr>
          <w:rFonts w:hint="cs"/>
          <w:rtl/>
        </w:rPr>
        <w:t xml:space="preserve">כמובן </w:t>
      </w:r>
      <w:bookmarkStart w:id="58151" w:name="_ETM_Q104_664300"/>
      <w:bookmarkEnd w:id="58151"/>
      <w:r>
        <w:rPr>
          <w:rFonts w:hint="cs"/>
          <w:rtl/>
        </w:rPr>
        <w:t xml:space="preserve">ויכוחים </w:t>
      </w:r>
      <w:bookmarkStart w:id="58152" w:name="_ETM_Q104_664840"/>
      <w:bookmarkEnd w:id="58152"/>
      <w:r>
        <w:rPr>
          <w:rFonts w:hint="cs"/>
          <w:rtl/>
        </w:rPr>
        <w:t xml:space="preserve">פנימיים </w:t>
      </w:r>
      <w:bookmarkStart w:id="58153" w:name="_ETM_Q104_665590"/>
      <w:bookmarkEnd w:id="58153"/>
      <w:r>
        <w:rPr>
          <w:rFonts w:hint="cs"/>
          <w:rtl/>
        </w:rPr>
        <w:t xml:space="preserve">לא </w:t>
      </w:r>
      <w:bookmarkStart w:id="58154" w:name="_ETM_Q104_665860"/>
      <w:bookmarkEnd w:id="58154"/>
      <w:r>
        <w:rPr>
          <w:rFonts w:hint="cs"/>
          <w:rtl/>
        </w:rPr>
        <w:t xml:space="preserve">מעטים. </w:t>
      </w:r>
      <w:bookmarkStart w:id="58155" w:name="_ETM_Q104_667029"/>
      <w:bookmarkEnd w:id="58155"/>
      <w:r>
        <w:rPr>
          <w:rFonts w:hint="cs"/>
          <w:rtl/>
        </w:rPr>
        <w:t xml:space="preserve">השאלות </w:t>
      </w:r>
      <w:bookmarkStart w:id="58156" w:name="_ETM_Q104_667569"/>
      <w:bookmarkEnd w:id="58156"/>
      <w:r>
        <w:rPr>
          <w:rFonts w:hint="cs"/>
          <w:rtl/>
        </w:rPr>
        <w:t xml:space="preserve">קריטיות </w:t>
      </w:r>
      <w:bookmarkStart w:id="58157" w:name="_ETM_Q104_668049"/>
      <w:bookmarkEnd w:id="58157"/>
      <w:r>
        <w:rPr>
          <w:rFonts w:hint="cs"/>
          <w:rtl/>
        </w:rPr>
        <w:t xml:space="preserve">במיוחד </w:t>
      </w:r>
      <w:bookmarkStart w:id="58158" w:name="_ETM_Q104_668709"/>
      <w:bookmarkEnd w:id="58158"/>
      <w:r>
        <w:rPr>
          <w:rFonts w:hint="cs"/>
          <w:rtl/>
        </w:rPr>
        <w:t xml:space="preserve">לגבי </w:t>
      </w:r>
      <w:bookmarkStart w:id="58159" w:name="_ETM_Q104_669069"/>
      <w:bookmarkEnd w:id="58159"/>
      <w:r>
        <w:rPr>
          <w:rFonts w:hint="cs"/>
          <w:rtl/>
        </w:rPr>
        <w:t xml:space="preserve">מדינות </w:t>
      </w:r>
      <w:bookmarkStart w:id="58160" w:name="_ETM_Q104_669519"/>
      <w:bookmarkEnd w:id="58160"/>
      <w:r>
        <w:rPr>
          <w:rFonts w:hint="cs"/>
          <w:rtl/>
        </w:rPr>
        <w:t xml:space="preserve">קווי </w:t>
      </w:r>
      <w:bookmarkStart w:id="58161" w:name="_ETM_Q104_669819"/>
      <w:bookmarkEnd w:id="58161"/>
      <w:r>
        <w:rPr>
          <w:rFonts w:hint="cs"/>
          <w:rtl/>
        </w:rPr>
        <w:t xml:space="preserve">הגבול. </w:t>
      </w:r>
      <w:bookmarkStart w:id="58162" w:name="_ETM_Q104_670980"/>
      <w:bookmarkEnd w:id="58162"/>
    </w:p>
    <w:p w:rsidR="00BB59CD" w:rsidRDefault="00BB59CD" w:rsidP="00BB59CD">
      <w:pPr>
        <w:rPr>
          <w:rtl/>
        </w:rPr>
      </w:pPr>
      <w:bookmarkStart w:id="58163" w:name="_ETM_Q104_672916"/>
      <w:bookmarkStart w:id="58164" w:name="_ETM_Q104_673021"/>
      <w:bookmarkEnd w:id="58163"/>
      <w:bookmarkEnd w:id="58164"/>
    </w:p>
    <w:p w:rsidR="00BB59CD" w:rsidRDefault="00BB59CD" w:rsidP="00D80B85">
      <w:pPr>
        <w:rPr>
          <w:rtl/>
        </w:rPr>
      </w:pPr>
      <w:bookmarkStart w:id="58165" w:name="_ETM_Q104_673061"/>
      <w:bookmarkStart w:id="58166" w:name="_ETM_Q104_673146"/>
      <w:bookmarkEnd w:id="58165"/>
      <w:bookmarkEnd w:id="58166"/>
      <w:r>
        <w:rPr>
          <w:rFonts w:hint="cs"/>
          <w:rtl/>
        </w:rPr>
        <w:t xml:space="preserve">"מאז </w:t>
      </w:r>
      <w:bookmarkStart w:id="58167" w:name="_ETM_Q104_671519"/>
      <w:bookmarkEnd w:id="58167"/>
      <w:r>
        <w:rPr>
          <w:rFonts w:hint="cs"/>
          <w:rtl/>
        </w:rPr>
        <w:t xml:space="preserve">תום </w:t>
      </w:r>
      <w:bookmarkStart w:id="58168" w:name="_ETM_Q104_671790"/>
      <w:bookmarkEnd w:id="58168"/>
      <w:r>
        <w:rPr>
          <w:rFonts w:hint="cs"/>
          <w:rtl/>
        </w:rPr>
        <w:t xml:space="preserve">מלחמת </w:t>
      </w:r>
      <w:bookmarkStart w:id="58169" w:name="_ETM_Q104_672300"/>
      <w:bookmarkEnd w:id="58169"/>
      <w:r>
        <w:rPr>
          <w:rFonts w:hint="cs"/>
          <w:rtl/>
        </w:rPr>
        <w:t xml:space="preserve">העולם </w:t>
      </w:r>
      <w:bookmarkStart w:id="58170" w:name="_ETM_Q104_672629"/>
      <w:bookmarkEnd w:id="58170"/>
      <w:r>
        <w:rPr>
          <w:rFonts w:hint="cs"/>
          <w:rtl/>
        </w:rPr>
        <w:t xml:space="preserve">השנייה </w:t>
      </w:r>
      <w:bookmarkStart w:id="58171" w:name="_ETM_Q104_673140"/>
      <w:bookmarkEnd w:id="58171"/>
      <w:r>
        <w:rPr>
          <w:rFonts w:hint="cs"/>
          <w:rtl/>
        </w:rPr>
        <w:t xml:space="preserve">ועד </w:t>
      </w:r>
      <w:bookmarkStart w:id="58172" w:name="_ETM_Q104_673379"/>
      <w:bookmarkEnd w:id="58172"/>
      <w:r>
        <w:rPr>
          <w:rFonts w:hint="cs"/>
          <w:rtl/>
        </w:rPr>
        <w:t xml:space="preserve">לפני </w:t>
      </w:r>
      <w:bookmarkStart w:id="58173" w:name="_ETM_Q104_673680"/>
      <w:bookmarkEnd w:id="58173"/>
      <w:r>
        <w:rPr>
          <w:rFonts w:hint="cs"/>
          <w:rtl/>
        </w:rPr>
        <w:t xml:space="preserve">זמן </w:t>
      </w:r>
      <w:bookmarkStart w:id="58174" w:name="_ETM_Q104_673980"/>
      <w:bookmarkEnd w:id="58174"/>
      <w:r>
        <w:rPr>
          <w:rFonts w:hint="cs"/>
          <w:rtl/>
        </w:rPr>
        <w:t xml:space="preserve">קצר, </w:t>
      </w:r>
      <w:bookmarkStart w:id="58175" w:name="_ETM_Q104_675020"/>
      <w:bookmarkEnd w:id="58175"/>
      <w:r>
        <w:rPr>
          <w:rFonts w:hint="cs"/>
          <w:rtl/>
        </w:rPr>
        <w:t xml:space="preserve">כשחשבנו </w:t>
      </w:r>
      <w:bookmarkStart w:id="58176" w:name="_ETM_Q104_675770"/>
      <w:bookmarkEnd w:id="58176"/>
      <w:r>
        <w:rPr>
          <w:rFonts w:hint="cs"/>
          <w:rtl/>
        </w:rPr>
        <w:t xml:space="preserve">על </w:t>
      </w:r>
      <w:bookmarkStart w:id="58177" w:name="_ETM_Q104_675890"/>
      <w:bookmarkEnd w:id="58177"/>
      <w:r>
        <w:rPr>
          <w:rFonts w:hint="cs"/>
          <w:rtl/>
        </w:rPr>
        <w:t xml:space="preserve">אירופה </w:t>
      </w:r>
      <w:bookmarkStart w:id="58178" w:name="_ETM_Q104_676400"/>
      <w:bookmarkEnd w:id="58178"/>
      <w:r>
        <w:rPr>
          <w:rFonts w:hint="cs"/>
          <w:rtl/>
        </w:rPr>
        <w:t xml:space="preserve">חשבנו </w:t>
      </w:r>
      <w:bookmarkStart w:id="58179" w:name="_ETM_Q104_676850"/>
      <w:bookmarkEnd w:id="58179"/>
      <w:r>
        <w:rPr>
          <w:rFonts w:hint="cs"/>
          <w:rtl/>
        </w:rPr>
        <w:t xml:space="preserve">על </w:t>
      </w:r>
      <w:bookmarkStart w:id="58180" w:name="_ETM_Q104_676940"/>
      <w:bookmarkEnd w:id="58180"/>
      <w:r>
        <w:rPr>
          <w:rFonts w:hint="cs"/>
          <w:rtl/>
        </w:rPr>
        <w:t xml:space="preserve">אירופה </w:t>
      </w:r>
      <w:bookmarkStart w:id="58181" w:name="_ETM_Q104_677330"/>
      <w:bookmarkEnd w:id="58181"/>
      <w:r>
        <w:rPr>
          <w:rFonts w:hint="cs"/>
          <w:rtl/>
        </w:rPr>
        <w:t xml:space="preserve">הזחוחה, </w:t>
      </w:r>
      <w:bookmarkStart w:id="58182" w:name="_ETM_Q104_678110"/>
      <w:bookmarkEnd w:id="58182"/>
      <w:r>
        <w:rPr>
          <w:rFonts w:hint="cs"/>
          <w:rtl/>
        </w:rPr>
        <w:t xml:space="preserve">השאננה, </w:t>
      </w:r>
      <w:bookmarkStart w:id="58183" w:name="_ETM_Q104_678950"/>
      <w:bookmarkEnd w:id="58183"/>
      <w:r>
        <w:rPr>
          <w:rFonts w:hint="cs"/>
          <w:rtl/>
        </w:rPr>
        <w:t xml:space="preserve">המשגשגת – </w:t>
      </w:r>
      <w:bookmarkStart w:id="58184" w:name="_ETM_Q104_679819"/>
      <w:bookmarkEnd w:id="58184"/>
      <w:r>
        <w:rPr>
          <w:rFonts w:hint="cs"/>
          <w:rtl/>
        </w:rPr>
        <w:t xml:space="preserve">אירופה </w:t>
      </w:r>
      <w:bookmarkStart w:id="58185" w:name="_ETM_Q104_680270"/>
      <w:bookmarkEnd w:id="58185"/>
      <w:r>
        <w:rPr>
          <w:rFonts w:hint="cs"/>
          <w:rtl/>
        </w:rPr>
        <w:t xml:space="preserve">המערבית. </w:t>
      </w:r>
      <w:bookmarkStart w:id="58186" w:name="_ETM_Q104_681579"/>
      <w:bookmarkEnd w:id="58186"/>
      <w:r>
        <w:rPr>
          <w:rFonts w:hint="cs"/>
          <w:rtl/>
        </w:rPr>
        <w:t xml:space="preserve">אותם </w:t>
      </w:r>
      <w:bookmarkStart w:id="58187" w:name="_ETM_Q104_682150"/>
      <w:bookmarkEnd w:id="58187"/>
      <w:r>
        <w:rPr>
          <w:rFonts w:hint="cs"/>
          <w:rtl/>
        </w:rPr>
        <w:t xml:space="preserve">אירופאים </w:t>
      </w:r>
      <w:bookmarkStart w:id="58188" w:name="_ETM_Q104_682629"/>
      <w:bookmarkEnd w:id="58188"/>
      <w:r>
        <w:rPr>
          <w:rFonts w:hint="cs"/>
          <w:rtl/>
        </w:rPr>
        <w:t xml:space="preserve">שנותרו </w:t>
      </w:r>
      <w:bookmarkStart w:id="58189" w:name="_ETM_Q104_683230"/>
      <w:bookmarkEnd w:id="58189"/>
      <w:r>
        <w:rPr>
          <w:rFonts w:hint="cs"/>
          <w:rtl/>
        </w:rPr>
        <w:t xml:space="preserve">מעברו </w:t>
      </w:r>
      <w:bookmarkStart w:id="58190" w:name="_ETM_Q104_683709"/>
      <w:bookmarkEnd w:id="58190"/>
      <w:r>
        <w:rPr>
          <w:rFonts w:hint="cs"/>
          <w:rtl/>
        </w:rPr>
        <w:t xml:space="preserve">האחר </w:t>
      </w:r>
      <w:bookmarkStart w:id="58191" w:name="_ETM_Q104_684010"/>
      <w:bookmarkEnd w:id="58191"/>
      <w:r>
        <w:rPr>
          <w:rFonts w:hint="cs"/>
          <w:rtl/>
        </w:rPr>
        <w:t xml:space="preserve">של </w:t>
      </w:r>
      <w:bookmarkStart w:id="58192" w:name="_ETM_Q104_684159"/>
      <w:bookmarkEnd w:id="58192"/>
      <w:r>
        <w:rPr>
          <w:rFonts w:hint="cs"/>
          <w:rtl/>
        </w:rPr>
        <w:t xml:space="preserve">מסך </w:t>
      </w:r>
      <w:bookmarkStart w:id="58193" w:name="_ETM_Q104_684549"/>
      <w:bookmarkEnd w:id="58193"/>
      <w:r>
        <w:rPr>
          <w:rFonts w:hint="cs"/>
          <w:rtl/>
        </w:rPr>
        <w:t xml:space="preserve">הברזל </w:t>
      </w:r>
      <w:bookmarkStart w:id="58194" w:name="_ETM_Q104_685150"/>
      <w:bookmarkEnd w:id="58194"/>
      <w:r>
        <w:rPr>
          <w:rFonts w:hint="cs"/>
          <w:rtl/>
        </w:rPr>
        <w:t xml:space="preserve">הושכחו, </w:t>
      </w:r>
      <w:bookmarkStart w:id="58195" w:name="_ETM_Q104_686110"/>
      <w:bookmarkEnd w:id="58195"/>
      <w:r>
        <w:rPr>
          <w:rFonts w:hint="cs"/>
          <w:rtl/>
        </w:rPr>
        <w:t xml:space="preserve">הפכו </w:t>
      </w:r>
      <w:bookmarkStart w:id="58196" w:name="_ETM_Q104_686470"/>
      <w:bookmarkEnd w:id="58196"/>
      <w:r>
        <w:rPr>
          <w:rFonts w:hint="cs"/>
          <w:rtl/>
        </w:rPr>
        <w:t xml:space="preserve">אירופאים </w:t>
      </w:r>
      <w:bookmarkStart w:id="58197" w:name="_ETM_Q104_687250"/>
      <w:bookmarkEnd w:id="58197"/>
      <w:r>
        <w:rPr>
          <w:rFonts w:hint="cs"/>
          <w:rtl/>
        </w:rPr>
        <w:t xml:space="preserve">סוג </w:t>
      </w:r>
      <w:bookmarkStart w:id="58198" w:name="_ETM_Q104_687670"/>
      <w:bookmarkEnd w:id="58198"/>
      <w:r>
        <w:rPr>
          <w:rFonts w:hint="cs"/>
          <w:rtl/>
        </w:rPr>
        <w:t xml:space="preserve">ב' – </w:t>
      </w:r>
      <w:bookmarkStart w:id="58199" w:name="_ETM_Q104_688560"/>
      <w:bookmarkEnd w:id="58199"/>
      <w:r>
        <w:rPr>
          <w:rFonts w:hint="cs"/>
          <w:rtl/>
        </w:rPr>
        <w:t xml:space="preserve">גם </w:t>
      </w:r>
      <w:bookmarkStart w:id="58200" w:name="_ETM_Q104_688890"/>
      <w:bookmarkEnd w:id="58200"/>
      <w:r>
        <w:rPr>
          <w:rFonts w:hint="cs"/>
          <w:rtl/>
        </w:rPr>
        <w:t xml:space="preserve">אם </w:t>
      </w:r>
      <w:bookmarkStart w:id="58201" w:name="_ETM_Q104_689010"/>
      <w:bookmarkEnd w:id="58201"/>
      <w:r>
        <w:rPr>
          <w:rFonts w:hint="cs"/>
          <w:rtl/>
        </w:rPr>
        <w:t xml:space="preserve">פראג, </w:t>
      </w:r>
      <w:bookmarkStart w:id="58202" w:name="_ETM_Q104_689459"/>
      <w:bookmarkEnd w:id="58202"/>
      <w:r>
        <w:rPr>
          <w:rFonts w:hint="cs"/>
          <w:rtl/>
        </w:rPr>
        <w:t xml:space="preserve">השוכנת </w:t>
      </w:r>
      <w:bookmarkStart w:id="58203" w:name="_ETM_Q104_689970"/>
      <w:bookmarkEnd w:id="58203"/>
      <w:r>
        <w:rPr>
          <w:rFonts w:hint="cs"/>
          <w:rtl/>
        </w:rPr>
        <w:t xml:space="preserve">מערבית </w:t>
      </w:r>
      <w:bookmarkStart w:id="58204" w:name="_ETM_Q104_690480"/>
      <w:bookmarkEnd w:id="58204"/>
      <w:r>
        <w:rPr>
          <w:rFonts w:hint="cs"/>
          <w:rtl/>
        </w:rPr>
        <w:t xml:space="preserve">לווינה, </w:t>
      </w:r>
      <w:bookmarkStart w:id="58205" w:name="_ETM_Q104_690989"/>
      <w:bookmarkEnd w:id="58205"/>
      <w:r>
        <w:rPr>
          <w:rFonts w:hint="cs"/>
          <w:rtl/>
        </w:rPr>
        <w:t xml:space="preserve">היא </w:t>
      </w:r>
      <w:bookmarkStart w:id="58206" w:name="_ETM_Q104_691110"/>
      <w:bookmarkEnd w:id="58206"/>
      <w:r>
        <w:rPr>
          <w:rFonts w:hint="cs"/>
          <w:rtl/>
        </w:rPr>
        <w:t xml:space="preserve">בשר </w:t>
      </w:r>
      <w:bookmarkStart w:id="58207" w:name="_ETM_Q104_691560"/>
      <w:bookmarkEnd w:id="58207"/>
      <w:r>
        <w:rPr>
          <w:rFonts w:hint="cs"/>
          <w:rtl/>
        </w:rPr>
        <w:t xml:space="preserve">מבשרה </w:t>
      </w:r>
      <w:bookmarkStart w:id="58208" w:name="_ETM_Q104_692129"/>
      <w:bookmarkEnd w:id="58208"/>
      <w:r>
        <w:rPr>
          <w:rFonts w:hint="cs"/>
          <w:rtl/>
        </w:rPr>
        <w:t xml:space="preserve">של </w:t>
      </w:r>
      <w:bookmarkStart w:id="58209" w:name="_ETM_Q104_692309"/>
      <w:bookmarkEnd w:id="58209"/>
      <w:r>
        <w:rPr>
          <w:rFonts w:hint="cs"/>
          <w:rtl/>
        </w:rPr>
        <w:t xml:space="preserve">אירופה </w:t>
      </w:r>
      <w:bookmarkStart w:id="58210" w:name="_ETM_Q104_692670"/>
      <w:bookmarkEnd w:id="58210"/>
      <w:r>
        <w:rPr>
          <w:rFonts w:hint="cs"/>
          <w:rtl/>
        </w:rPr>
        <w:t xml:space="preserve">ההיסטורית. </w:t>
      </w:r>
      <w:bookmarkStart w:id="58211" w:name="_ETM_Q104_694200"/>
      <w:bookmarkStart w:id="58212" w:name="_ETM_Q104_795122"/>
      <w:bookmarkStart w:id="58213" w:name="_ETM_Q104_795194"/>
      <w:bookmarkStart w:id="58214" w:name="_ETM_Q104_795275"/>
      <w:bookmarkStart w:id="58215" w:name="_ETM_Q104_795344"/>
      <w:bookmarkEnd w:id="58211"/>
      <w:bookmarkEnd w:id="58212"/>
      <w:bookmarkEnd w:id="58213"/>
      <w:bookmarkEnd w:id="58214"/>
      <w:bookmarkEnd w:id="58215"/>
      <w:r>
        <w:rPr>
          <w:rFonts w:hint="cs"/>
          <w:rtl/>
        </w:rPr>
        <w:t xml:space="preserve">הקרואטים, </w:t>
      </w:r>
      <w:bookmarkStart w:id="58216" w:name="_ETM_Q104_694830"/>
      <w:bookmarkEnd w:id="58216"/>
      <w:r>
        <w:rPr>
          <w:rFonts w:hint="cs"/>
          <w:rtl/>
        </w:rPr>
        <w:t xml:space="preserve">למשל, </w:t>
      </w:r>
      <w:bookmarkStart w:id="58217" w:name="_ETM_Q104_695370"/>
      <w:bookmarkEnd w:id="58217"/>
      <w:r>
        <w:rPr>
          <w:rFonts w:hint="cs"/>
          <w:rtl/>
        </w:rPr>
        <w:t xml:space="preserve">ולא </w:t>
      </w:r>
      <w:bookmarkStart w:id="58218" w:name="_ETM_Q104_695580"/>
      <w:bookmarkEnd w:id="58218"/>
      <w:r>
        <w:rPr>
          <w:rFonts w:hint="cs"/>
          <w:rtl/>
        </w:rPr>
        <w:t xml:space="preserve">רק </w:t>
      </w:r>
      <w:bookmarkStart w:id="58219" w:name="_ETM_Q104_695820"/>
      <w:bookmarkEnd w:id="58219"/>
      <w:r>
        <w:rPr>
          <w:rFonts w:hint="cs"/>
          <w:rtl/>
        </w:rPr>
        <w:t xml:space="preserve">הם, </w:t>
      </w:r>
      <w:bookmarkStart w:id="58220" w:name="_ETM_Q104_696030"/>
      <w:bookmarkEnd w:id="58220"/>
      <w:r>
        <w:rPr>
          <w:rFonts w:hint="cs"/>
          <w:rtl/>
        </w:rPr>
        <w:t xml:space="preserve">סברו </w:t>
      </w:r>
      <w:bookmarkStart w:id="58221" w:name="_ETM_Q104_696600"/>
      <w:bookmarkEnd w:id="58221"/>
      <w:r>
        <w:rPr>
          <w:rFonts w:hint="cs"/>
          <w:rtl/>
        </w:rPr>
        <w:t xml:space="preserve">שגבולה </w:t>
      </w:r>
      <w:bookmarkStart w:id="58222" w:name="_ETM_Q104_697110"/>
      <w:bookmarkEnd w:id="58222"/>
      <w:r>
        <w:rPr>
          <w:rFonts w:hint="cs"/>
          <w:rtl/>
        </w:rPr>
        <w:t xml:space="preserve">של </w:t>
      </w:r>
      <w:bookmarkStart w:id="58223" w:name="_ETM_Q104_697290"/>
      <w:bookmarkEnd w:id="58223"/>
      <w:r>
        <w:rPr>
          <w:rFonts w:hint="cs"/>
          <w:rtl/>
        </w:rPr>
        <w:t xml:space="preserve">אירופה </w:t>
      </w:r>
      <w:bookmarkStart w:id="58224" w:name="_ETM_Q104_697650"/>
      <w:bookmarkEnd w:id="58224"/>
      <w:r>
        <w:rPr>
          <w:rFonts w:hint="cs"/>
          <w:rtl/>
        </w:rPr>
        <w:t xml:space="preserve">הוא </w:t>
      </w:r>
      <w:bookmarkStart w:id="58225" w:name="_ETM_Q104_697770"/>
      <w:bookmarkEnd w:id="58225"/>
      <w:r>
        <w:rPr>
          <w:rFonts w:hint="cs"/>
          <w:rtl/>
        </w:rPr>
        <w:t xml:space="preserve">המקום </w:t>
      </w:r>
      <w:bookmarkStart w:id="58226" w:name="_ETM_Q104_698250"/>
      <w:bookmarkEnd w:id="58226"/>
      <w:r>
        <w:rPr>
          <w:rFonts w:hint="cs"/>
          <w:rtl/>
        </w:rPr>
        <w:t xml:space="preserve">שבו </w:t>
      </w:r>
      <w:bookmarkStart w:id="58227" w:name="_ETM_Q104_698760"/>
      <w:bookmarkEnd w:id="58227"/>
      <w:r>
        <w:rPr>
          <w:rFonts w:hint="cs"/>
          <w:rtl/>
        </w:rPr>
        <w:t xml:space="preserve">מסתיימת </w:t>
      </w:r>
      <w:bookmarkStart w:id="58228" w:name="_ETM_Q104_699360"/>
      <w:bookmarkEnd w:id="58228"/>
      <w:r>
        <w:rPr>
          <w:rFonts w:hint="cs"/>
          <w:rtl/>
        </w:rPr>
        <w:t xml:space="preserve">הקתוליות, </w:t>
      </w:r>
      <w:bookmarkStart w:id="58229" w:name="_ETM_Q104_700670"/>
      <w:bookmarkEnd w:id="58229"/>
      <w:r>
        <w:rPr>
          <w:rFonts w:hint="cs"/>
          <w:rtl/>
        </w:rPr>
        <w:t xml:space="preserve">או </w:t>
      </w:r>
      <w:bookmarkStart w:id="58230" w:name="_ETM_Q104_700969"/>
      <w:bookmarkEnd w:id="58230"/>
      <w:r>
        <w:rPr>
          <w:rFonts w:hint="cs"/>
          <w:rtl/>
        </w:rPr>
        <w:t xml:space="preserve">האימפריה </w:t>
      </w:r>
      <w:bookmarkStart w:id="58231" w:name="_ETM_Q104_701809"/>
      <w:bookmarkEnd w:id="58231"/>
      <w:r>
        <w:rPr>
          <w:rFonts w:hint="cs"/>
          <w:rtl/>
        </w:rPr>
        <w:t>האוסטרו</w:t>
      </w:r>
      <w:bookmarkStart w:id="58232" w:name="_ETM_Q104_702409"/>
      <w:bookmarkEnd w:id="58232"/>
      <w:r>
        <w:rPr>
          <w:rFonts w:hint="cs"/>
          <w:rtl/>
        </w:rPr>
        <w:t xml:space="preserve">-הונגרית – </w:t>
      </w:r>
      <w:bookmarkStart w:id="58233" w:name="_ETM_Q104_703309"/>
      <w:bookmarkEnd w:id="58233"/>
      <w:r>
        <w:rPr>
          <w:rFonts w:hint="cs"/>
          <w:rtl/>
        </w:rPr>
        <w:t xml:space="preserve">כלומר, </w:t>
      </w:r>
      <w:bookmarkStart w:id="58234" w:name="_ETM_Q104_704809"/>
      <w:bookmarkEnd w:id="58234"/>
      <w:r>
        <w:rPr>
          <w:rFonts w:hint="cs"/>
          <w:rtl/>
        </w:rPr>
        <w:t xml:space="preserve">הם </w:t>
      </w:r>
      <w:bookmarkStart w:id="58235" w:name="_ETM_Q104_704990"/>
      <w:bookmarkEnd w:id="58235"/>
      <w:r>
        <w:rPr>
          <w:rFonts w:hint="cs"/>
          <w:rtl/>
        </w:rPr>
        <w:t xml:space="preserve">עדיין </w:t>
      </w:r>
      <w:bookmarkStart w:id="58236" w:name="_ETM_Q104_705260"/>
      <w:bookmarkEnd w:id="58236"/>
      <w:r>
        <w:rPr>
          <w:rFonts w:hint="cs"/>
          <w:rtl/>
        </w:rPr>
        <w:t xml:space="preserve">בפנים, </w:t>
      </w:r>
      <w:bookmarkStart w:id="58237" w:name="_ETM_Q104_706099"/>
      <w:bookmarkEnd w:id="58237"/>
      <w:r>
        <w:rPr>
          <w:rFonts w:hint="cs"/>
          <w:rtl/>
        </w:rPr>
        <w:t xml:space="preserve">אבל </w:t>
      </w:r>
      <w:bookmarkStart w:id="58238" w:name="_ETM_Q104_706340"/>
      <w:bookmarkEnd w:id="58238"/>
      <w:r>
        <w:rPr>
          <w:rFonts w:hint="cs"/>
          <w:rtl/>
        </w:rPr>
        <w:t xml:space="preserve">הסרבים </w:t>
      </w:r>
      <w:bookmarkStart w:id="58239" w:name="_ETM_Q104_706700"/>
      <w:bookmarkEnd w:id="58239"/>
      <w:r>
        <w:rPr>
          <w:rFonts w:hint="cs"/>
          <w:rtl/>
        </w:rPr>
        <w:t xml:space="preserve">אויביהם </w:t>
      </w:r>
      <w:bookmarkStart w:id="58240" w:name="_ETM_Q104_707059"/>
      <w:bookmarkStart w:id="58241" w:name="_ETM_Q104_707389"/>
      <w:bookmarkEnd w:id="58240"/>
      <w:bookmarkEnd w:id="58241"/>
      <w:r>
        <w:rPr>
          <w:rFonts w:hint="cs"/>
          <w:rtl/>
        </w:rPr>
        <w:t xml:space="preserve">בנפש </w:t>
      </w:r>
      <w:bookmarkStart w:id="58242" w:name="_ETM_Q104_707840"/>
      <w:bookmarkEnd w:id="58242"/>
      <w:r>
        <w:rPr>
          <w:rFonts w:hint="cs"/>
          <w:rtl/>
        </w:rPr>
        <w:t xml:space="preserve">– בחוץ. </w:t>
      </w:r>
      <w:bookmarkStart w:id="58243" w:name="_ETM_Q104_708819"/>
      <w:bookmarkEnd w:id="58243"/>
      <w:r>
        <w:rPr>
          <w:rFonts w:hint="cs"/>
          <w:rtl/>
        </w:rPr>
        <w:t xml:space="preserve">הסרבים, </w:t>
      </w:r>
      <w:bookmarkStart w:id="58244" w:name="_ETM_Q104_709659"/>
      <w:bookmarkEnd w:id="58244"/>
      <w:r>
        <w:rPr>
          <w:rFonts w:hint="cs"/>
          <w:rtl/>
        </w:rPr>
        <w:t xml:space="preserve">הגיאורגים, </w:t>
      </w:r>
      <w:bookmarkStart w:id="58245" w:name="_ETM_Q104_710590"/>
      <w:bookmarkEnd w:id="58245"/>
      <w:r>
        <w:rPr>
          <w:rFonts w:hint="cs"/>
          <w:rtl/>
        </w:rPr>
        <w:t xml:space="preserve">הארמנים, </w:t>
      </w:r>
      <w:bookmarkStart w:id="58246" w:name="_ETM_Q104_711309"/>
      <w:bookmarkEnd w:id="58246"/>
      <w:r>
        <w:rPr>
          <w:rFonts w:hint="cs"/>
          <w:rtl/>
        </w:rPr>
        <w:t xml:space="preserve">הפולנים </w:t>
      </w:r>
      <w:bookmarkStart w:id="58247" w:name="_ETM_Q104_711909"/>
      <w:bookmarkEnd w:id="58247"/>
      <w:r>
        <w:rPr>
          <w:rFonts w:hint="cs"/>
          <w:rtl/>
        </w:rPr>
        <w:t xml:space="preserve">וההונגרים </w:t>
      </w:r>
      <w:bookmarkStart w:id="58248" w:name="_ETM_Q104_712599"/>
      <w:bookmarkEnd w:id="58248"/>
      <w:r>
        <w:rPr>
          <w:rFonts w:hint="cs"/>
          <w:rtl/>
        </w:rPr>
        <w:t xml:space="preserve">חשבו </w:t>
      </w:r>
      <w:bookmarkStart w:id="58249" w:name="_ETM_Q104_713049"/>
      <w:bookmarkEnd w:id="58249"/>
      <w:r>
        <w:rPr>
          <w:rFonts w:hint="cs"/>
          <w:rtl/>
        </w:rPr>
        <w:t xml:space="preserve">וחושבים </w:t>
      </w:r>
      <w:bookmarkStart w:id="58250" w:name="_ETM_Q104_713590"/>
      <w:bookmarkStart w:id="58251" w:name="_ETM_Q104_713890"/>
      <w:bookmarkEnd w:id="58250"/>
      <w:bookmarkEnd w:id="58251"/>
      <w:r>
        <w:rPr>
          <w:rFonts w:hint="cs"/>
          <w:rtl/>
        </w:rPr>
        <w:t xml:space="preserve">בלהט </w:t>
      </w:r>
      <w:bookmarkStart w:id="58252" w:name="_ETM_Q104_714849"/>
      <w:bookmarkEnd w:id="58252"/>
      <w:r>
        <w:rPr>
          <w:rFonts w:hint="cs"/>
          <w:rtl/>
        </w:rPr>
        <w:t xml:space="preserve">שהגבול </w:t>
      </w:r>
      <w:bookmarkStart w:id="58253" w:name="_ETM_Q104_715689"/>
      <w:bookmarkEnd w:id="58253"/>
      <w:r>
        <w:rPr>
          <w:rFonts w:hint="cs"/>
          <w:rtl/>
        </w:rPr>
        <w:t xml:space="preserve">הוא </w:t>
      </w:r>
      <w:bookmarkStart w:id="58254" w:name="_ETM_Q104_715809"/>
      <w:bookmarkEnd w:id="58254"/>
      <w:r>
        <w:rPr>
          <w:rFonts w:hint="cs"/>
          <w:rtl/>
        </w:rPr>
        <w:t xml:space="preserve">גבולה </w:t>
      </w:r>
      <w:bookmarkStart w:id="58255" w:name="_ETM_Q104_716349"/>
      <w:bookmarkEnd w:id="58255"/>
      <w:r>
        <w:rPr>
          <w:rFonts w:hint="cs"/>
          <w:rtl/>
        </w:rPr>
        <w:t xml:space="preserve">של </w:t>
      </w:r>
      <w:bookmarkStart w:id="58256" w:name="_ETM_Q104_716790"/>
      <w:bookmarkEnd w:id="58256"/>
      <w:r>
        <w:rPr>
          <w:rFonts w:hint="cs"/>
          <w:rtl/>
        </w:rPr>
        <w:t xml:space="preserve">הנצרות, של העמים </w:t>
      </w:r>
      <w:bookmarkStart w:id="58257" w:name="_ETM_Q104_717120"/>
      <w:bookmarkStart w:id="58258" w:name="_ETM_Q104_717719"/>
      <w:bookmarkEnd w:id="58257"/>
      <w:bookmarkEnd w:id="58258"/>
      <w:r>
        <w:rPr>
          <w:rFonts w:hint="cs"/>
          <w:rtl/>
        </w:rPr>
        <w:t xml:space="preserve">הנוצריים </w:t>
      </w:r>
      <w:bookmarkStart w:id="58259" w:name="_ETM_Q104_718739"/>
      <w:bookmarkEnd w:id="58259"/>
      <w:r>
        <w:rPr>
          <w:rFonts w:hint="cs"/>
          <w:rtl/>
        </w:rPr>
        <w:t xml:space="preserve">גם </w:t>
      </w:r>
      <w:bookmarkStart w:id="58260" w:name="_ETM_Q104_719040"/>
      <w:bookmarkEnd w:id="58260"/>
      <w:r>
        <w:rPr>
          <w:rFonts w:hint="cs"/>
          <w:rtl/>
        </w:rPr>
        <w:t xml:space="preserve">אם </w:t>
      </w:r>
      <w:bookmarkStart w:id="58261" w:name="_ETM_Q104_719159"/>
      <w:bookmarkEnd w:id="58261"/>
      <w:r>
        <w:rPr>
          <w:rFonts w:hint="cs"/>
          <w:rtl/>
        </w:rPr>
        <w:t xml:space="preserve">הם </w:t>
      </w:r>
      <w:bookmarkStart w:id="58262" w:name="_ETM_Q104_719309"/>
      <w:bookmarkEnd w:id="58262"/>
      <w:r>
        <w:rPr>
          <w:rFonts w:hint="cs"/>
          <w:rtl/>
        </w:rPr>
        <w:t xml:space="preserve">כבושים </w:t>
      </w:r>
      <w:bookmarkStart w:id="58263" w:name="_ETM_Q104_719849"/>
      <w:bookmarkEnd w:id="58263"/>
      <w:r>
        <w:rPr>
          <w:rFonts w:hint="cs"/>
          <w:rtl/>
        </w:rPr>
        <w:t xml:space="preserve">בידי </w:t>
      </w:r>
      <w:bookmarkStart w:id="58264" w:name="_ETM_Q104_720239"/>
      <w:bookmarkEnd w:id="58264"/>
      <w:r>
        <w:rPr>
          <w:rFonts w:hint="cs"/>
          <w:rtl/>
        </w:rPr>
        <w:t xml:space="preserve">אימפריה </w:t>
      </w:r>
      <w:bookmarkStart w:id="58265" w:name="_ETM_Q104_720750"/>
      <w:bookmarkEnd w:id="58265"/>
      <w:r>
        <w:rPr>
          <w:rFonts w:hint="cs"/>
          <w:rtl/>
        </w:rPr>
        <w:t xml:space="preserve">אסלאמית. </w:t>
      </w:r>
      <w:bookmarkStart w:id="58266" w:name="_ETM_Q104_721989"/>
      <w:bookmarkEnd w:id="58266"/>
      <w:r>
        <w:rPr>
          <w:rFonts w:hint="cs"/>
          <w:rtl/>
        </w:rPr>
        <w:t xml:space="preserve">כך </w:t>
      </w:r>
      <w:bookmarkStart w:id="58267" w:name="_ETM_Q104_722319"/>
      <w:bookmarkEnd w:id="58267"/>
      <w:r>
        <w:rPr>
          <w:rFonts w:hint="cs"/>
          <w:rtl/>
        </w:rPr>
        <w:t xml:space="preserve">גם </w:t>
      </w:r>
      <w:bookmarkStart w:id="58268" w:name="_ETM_Q104_722529"/>
      <w:bookmarkEnd w:id="58268"/>
      <w:r>
        <w:rPr>
          <w:rFonts w:hint="cs"/>
          <w:rtl/>
        </w:rPr>
        <w:t xml:space="preserve">הם </w:t>
      </w:r>
      <w:bookmarkStart w:id="58269" w:name="_ETM_Q104_722739"/>
      <w:bookmarkEnd w:id="58269"/>
      <w:r>
        <w:rPr>
          <w:rFonts w:hint="cs"/>
          <w:rtl/>
        </w:rPr>
        <w:t xml:space="preserve">חברי </w:t>
      </w:r>
      <w:bookmarkStart w:id="58270" w:name="_ETM_Q104_723129"/>
      <w:bookmarkEnd w:id="58270"/>
      <w:r>
        <w:rPr>
          <w:rFonts w:hint="cs"/>
          <w:rtl/>
        </w:rPr>
        <w:t xml:space="preserve">המועדון, </w:t>
      </w:r>
      <w:bookmarkStart w:id="58271" w:name="_ETM_Q104_724110"/>
      <w:bookmarkEnd w:id="58271"/>
      <w:r>
        <w:rPr>
          <w:rFonts w:hint="cs"/>
          <w:rtl/>
        </w:rPr>
        <w:t xml:space="preserve">אבל </w:t>
      </w:r>
      <w:bookmarkStart w:id="58272" w:name="_ETM_Q104_724440"/>
      <w:bookmarkEnd w:id="58272"/>
      <w:r>
        <w:rPr>
          <w:rFonts w:hint="cs"/>
          <w:rtl/>
        </w:rPr>
        <w:t xml:space="preserve">העות'מאניים – </w:t>
      </w:r>
      <w:bookmarkStart w:id="58273" w:name="_ETM_Q104_725250"/>
      <w:bookmarkEnd w:id="58273"/>
      <w:r>
        <w:rPr>
          <w:rFonts w:hint="cs"/>
          <w:rtl/>
        </w:rPr>
        <w:t xml:space="preserve">כיום </w:t>
      </w:r>
      <w:bookmarkStart w:id="58274" w:name="_ETM_Q104_725700"/>
      <w:bookmarkEnd w:id="58274"/>
      <w:r>
        <w:rPr>
          <w:rFonts w:hint="cs"/>
          <w:rtl/>
        </w:rPr>
        <w:t xml:space="preserve">טורקיה – </w:t>
      </w:r>
      <w:bookmarkStart w:id="58275" w:name="_ETM_Q104_726590"/>
      <w:bookmarkEnd w:id="58275"/>
      <w:r>
        <w:rPr>
          <w:rFonts w:hint="cs"/>
          <w:rtl/>
        </w:rPr>
        <w:t xml:space="preserve">לא. </w:t>
      </w:r>
      <w:bookmarkStart w:id="58276" w:name="_ETM_Q104_727319"/>
      <w:bookmarkStart w:id="58277" w:name="_ETM_Q104_724378"/>
      <w:bookmarkStart w:id="58278" w:name="_ETM_Q104_724490"/>
      <w:bookmarkStart w:id="58279" w:name="_ETM_Q104_724786"/>
      <w:bookmarkStart w:id="58280" w:name="_ETM_Q104_724865"/>
      <w:bookmarkEnd w:id="58276"/>
      <w:bookmarkEnd w:id="58277"/>
      <w:bookmarkEnd w:id="58278"/>
      <w:bookmarkEnd w:id="58279"/>
      <w:bookmarkEnd w:id="58280"/>
      <w:r>
        <w:rPr>
          <w:rFonts w:hint="cs"/>
          <w:rtl/>
        </w:rPr>
        <w:t xml:space="preserve">ומה </w:t>
      </w:r>
      <w:bookmarkStart w:id="58281" w:name="_ETM_Q104_727590"/>
      <w:bookmarkEnd w:id="58281"/>
      <w:r>
        <w:rPr>
          <w:rFonts w:hint="cs"/>
          <w:rtl/>
        </w:rPr>
        <w:t xml:space="preserve">לגבי </w:t>
      </w:r>
      <w:bookmarkStart w:id="58282" w:name="_ETM_Q104_727920"/>
      <w:bookmarkEnd w:id="58282"/>
      <w:r>
        <w:rPr>
          <w:rFonts w:hint="cs"/>
          <w:rtl/>
        </w:rPr>
        <w:t xml:space="preserve">המזרח, </w:t>
      </w:r>
      <w:bookmarkStart w:id="58283" w:name="_ETM_Q104_728760"/>
      <w:bookmarkEnd w:id="58283"/>
      <w:r>
        <w:rPr>
          <w:rFonts w:hint="cs"/>
          <w:rtl/>
        </w:rPr>
        <w:t xml:space="preserve">'ארצות </w:t>
      </w:r>
      <w:bookmarkStart w:id="58284" w:name="_ETM_Q104_729179"/>
      <w:bookmarkEnd w:id="58284"/>
      <w:r>
        <w:rPr>
          <w:rFonts w:hint="cs"/>
          <w:rtl/>
        </w:rPr>
        <w:t xml:space="preserve">הדמים', </w:t>
      </w:r>
      <w:bookmarkStart w:id="58285" w:name="_ETM_Q104_729629"/>
      <w:bookmarkEnd w:id="58285"/>
      <w:r>
        <w:rPr>
          <w:rFonts w:hint="cs"/>
          <w:rtl/>
        </w:rPr>
        <w:t xml:space="preserve">כפי </w:t>
      </w:r>
      <w:bookmarkStart w:id="58286" w:name="_ETM_Q104_729870"/>
      <w:bookmarkEnd w:id="58286"/>
      <w:r>
        <w:rPr>
          <w:rFonts w:hint="cs"/>
          <w:rtl/>
        </w:rPr>
        <w:t xml:space="preserve">שקרא </w:t>
      </w:r>
      <w:bookmarkStart w:id="58287" w:name="_ETM_Q104_730290"/>
      <w:bookmarkEnd w:id="58287"/>
      <w:r>
        <w:rPr>
          <w:rFonts w:hint="cs"/>
          <w:rtl/>
        </w:rPr>
        <w:t xml:space="preserve">להן </w:t>
      </w:r>
      <w:bookmarkStart w:id="58288" w:name="_ETM_Q104_730620"/>
      <w:bookmarkEnd w:id="58288"/>
      <w:r>
        <w:rPr>
          <w:rFonts w:hint="cs"/>
          <w:rtl/>
        </w:rPr>
        <w:t xml:space="preserve">ההיסטוריון </w:t>
      </w:r>
      <w:bookmarkStart w:id="58289" w:name="_ETM_Q104_731250"/>
      <w:bookmarkEnd w:id="58289"/>
      <w:r>
        <w:rPr>
          <w:rFonts w:hint="cs"/>
          <w:rtl/>
        </w:rPr>
        <w:t xml:space="preserve">טימותי סניידר? </w:t>
      </w:r>
      <w:bookmarkStart w:id="58290" w:name="_ETM_Q104_731670"/>
      <w:bookmarkStart w:id="58291" w:name="_ETM_Q104_732629"/>
      <w:bookmarkEnd w:id="58290"/>
      <w:bookmarkEnd w:id="58291"/>
      <w:r>
        <w:rPr>
          <w:rFonts w:hint="cs"/>
          <w:rtl/>
        </w:rPr>
        <w:t>בפולין</w:t>
      </w:r>
      <w:bookmarkStart w:id="58292" w:name="_ETM_Q104_733319"/>
      <w:bookmarkEnd w:id="58292"/>
      <w:r>
        <w:rPr>
          <w:rFonts w:hint="cs"/>
          <w:rtl/>
        </w:rPr>
        <w:t xml:space="preserve">, בבלרוס, </w:t>
      </w:r>
      <w:bookmarkStart w:id="58293" w:name="_ETM_Q104_734099"/>
      <w:bookmarkEnd w:id="58293"/>
      <w:r>
        <w:rPr>
          <w:rFonts w:hint="cs"/>
          <w:rtl/>
        </w:rPr>
        <w:t xml:space="preserve">באוקראינה, </w:t>
      </w:r>
      <w:bookmarkStart w:id="58294" w:name="_ETM_Q104_734819"/>
      <w:bookmarkEnd w:id="58294"/>
      <w:r>
        <w:rPr>
          <w:rFonts w:hint="cs"/>
          <w:rtl/>
        </w:rPr>
        <w:t xml:space="preserve">ברוסיה – </w:t>
      </w:r>
      <w:bookmarkStart w:id="58295" w:name="_ETM_Q104_735450"/>
      <w:bookmarkEnd w:id="58295"/>
      <w:r>
        <w:rPr>
          <w:rFonts w:hint="cs"/>
          <w:rtl/>
        </w:rPr>
        <w:t xml:space="preserve">איפה </w:t>
      </w:r>
      <w:bookmarkStart w:id="58296" w:name="_ETM_Q104_735720"/>
      <w:bookmarkEnd w:id="58296"/>
      <w:r>
        <w:rPr>
          <w:rFonts w:hint="cs"/>
          <w:rtl/>
        </w:rPr>
        <w:t xml:space="preserve">בדיוק </w:t>
      </w:r>
      <w:bookmarkStart w:id="58297" w:name="_ETM_Q104_736110"/>
      <w:bookmarkEnd w:id="58297"/>
      <w:r>
        <w:rPr>
          <w:rFonts w:hint="cs"/>
          <w:rtl/>
        </w:rPr>
        <w:t xml:space="preserve">נגמרת </w:t>
      </w:r>
      <w:bookmarkStart w:id="58298" w:name="_ETM_Q104_736679"/>
      <w:bookmarkEnd w:id="58298"/>
      <w:r>
        <w:rPr>
          <w:rFonts w:hint="cs"/>
          <w:rtl/>
        </w:rPr>
        <w:t xml:space="preserve">אירופה </w:t>
      </w:r>
      <w:bookmarkStart w:id="58299" w:name="_ETM_Q104_737340"/>
      <w:bookmarkEnd w:id="58299"/>
      <w:r>
        <w:rPr>
          <w:rFonts w:hint="cs"/>
          <w:rtl/>
        </w:rPr>
        <w:t xml:space="preserve">ומתחילה </w:t>
      </w:r>
      <w:bookmarkStart w:id="58300" w:name="_ETM_Q104_738059"/>
      <w:bookmarkEnd w:id="58300"/>
      <w:r>
        <w:rPr>
          <w:rFonts w:hint="cs"/>
          <w:rtl/>
        </w:rPr>
        <w:t xml:space="preserve">אסיה? </w:t>
      </w:r>
      <w:bookmarkStart w:id="58301" w:name="_ETM_Q104_739200"/>
      <w:bookmarkEnd w:id="58301"/>
    </w:p>
    <w:p w:rsidR="00BB59CD" w:rsidRDefault="00BB59CD" w:rsidP="00BB59CD">
      <w:pPr>
        <w:rPr>
          <w:rtl/>
        </w:rPr>
      </w:pPr>
    </w:p>
    <w:p w:rsidR="00BB59CD" w:rsidRDefault="00BB59CD" w:rsidP="00D80B85">
      <w:pPr>
        <w:rPr>
          <w:rtl/>
          <w:lang w:eastAsia="he-IL"/>
        </w:rPr>
      </w:pPr>
      <w:r>
        <w:rPr>
          <w:rFonts w:hint="cs"/>
          <w:rtl/>
        </w:rPr>
        <w:t xml:space="preserve">"כדי </w:t>
      </w:r>
      <w:bookmarkStart w:id="58302" w:name="_ETM_Q104_739530"/>
      <w:bookmarkEnd w:id="58302"/>
      <w:r>
        <w:rPr>
          <w:rFonts w:hint="cs"/>
          <w:rtl/>
        </w:rPr>
        <w:t xml:space="preserve">להבין </w:t>
      </w:r>
      <w:bookmarkStart w:id="58303" w:name="_ETM_Q104_739920"/>
      <w:bookmarkEnd w:id="58303"/>
      <w:r>
        <w:rPr>
          <w:rFonts w:hint="cs"/>
          <w:rtl/>
        </w:rPr>
        <w:t xml:space="preserve">את </w:t>
      </w:r>
      <w:bookmarkStart w:id="58304" w:name="_ETM_Q104_740070"/>
      <w:bookmarkEnd w:id="58304"/>
      <w:r>
        <w:rPr>
          <w:rFonts w:hint="cs"/>
          <w:rtl/>
        </w:rPr>
        <w:t xml:space="preserve">פולין </w:t>
      </w:r>
      <w:bookmarkStart w:id="58305" w:name="_ETM_Q104_740580"/>
      <w:bookmarkEnd w:id="58305"/>
      <w:r>
        <w:rPr>
          <w:rFonts w:hint="cs"/>
          <w:rtl/>
        </w:rPr>
        <w:t xml:space="preserve">ואת </w:t>
      </w:r>
      <w:bookmarkStart w:id="58306" w:name="_ETM_Q104_740790"/>
      <w:bookmarkEnd w:id="58306"/>
      <w:r>
        <w:rPr>
          <w:rFonts w:hint="cs"/>
          <w:rtl/>
        </w:rPr>
        <w:t xml:space="preserve">הונגריה </w:t>
      </w:r>
      <w:bookmarkStart w:id="58307" w:name="_ETM_Q104_741240"/>
      <w:bookmarkEnd w:id="58307"/>
      <w:r>
        <w:rPr>
          <w:rFonts w:hint="cs"/>
          <w:rtl/>
        </w:rPr>
        <w:t xml:space="preserve">של </w:t>
      </w:r>
      <w:bookmarkStart w:id="58308" w:name="_ETM_Q104_741450"/>
      <w:bookmarkEnd w:id="58308"/>
      <w:r>
        <w:rPr>
          <w:rFonts w:hint="cs"/>
          <w:rtl/>
        </w:rPr>
        <w:t xml:space="preserve">היום </w:t>
      </w:r>
      <w:bookmarkStart w:id="58309" w:name="_ETM_Q104_742110"/>
      <w:bookmarkEnd w:id="58309"/>
      <w:r>
        <w:rPr>
          <w:rFonts w:hint="cs"/>
          <w:rtl/>
        </w:rPr>
        <w:t xml:space="preserve">חייבים </w:t>
      </w:r>
      <w:bookmarkStart w:id="58310" w:name="_ETM_Q104_742710"/>
      <w:bookmarkStart w:id="58311" w:name="_ETM_Q104_743070"/>
      <w:bookmarkEnd w:id="58310"/>
      <w:bookmarkEnd w:id="58311"/>
      <w:r>
        <w:rPr>
          <w:rFonts w:hint="cs"/>
          <w:rtl/>
        </w:rPr>
        <w:t>לחזור בזמן</w:t>
      </w:r>
      <w:bookmarkStart w:id="58312" w:name="_ETM_Q104_744230"/>
      <w:bookmarkStart w:id="58313" w:name="_ETM_Q104_747380"/>
      <w:bookmarkEnd w:id="58312"/>
      <w:bookmarkEnd w:id="58313"/>
      <w:r>
        <w:rPr>
          <w:rFonts w:hint="cs"/>
          <w:rtl/>
        </w:rPr>
        <w:t xml:space="preserve">. ב-29 באוגוסט 1526 </w:t>
      </w:r>
      <w:bookmarkStart w:id="58314" w:name="_ETM_Q104_748134"/>
      <w:bookmarkEnd w:id="58314"/>
      <w:r>
        <w:rPr>
          <w:rFonts w:hint="cs"/>
          <w:rtl/>
        </w:rPr>
        <w:t xml:space="preserve">נפגשו סמוך לעיירה מוהאץ', בקרבת הדנובה, צבאותיהם של הסולטן הטורקי סולימאן המפואר ומלך הונגריה לאיוש השני. </w:t>
      </w:r>
      <w:bookmarkStart w:id="58315" w:name="TOR_Q105"/>
      <w:bookmarkEnd w:id="58315"/>
      <w:r>
        <w:rPr>
          <w:rFonts w:hint="cs"/>
          <w:rtl/>
          <w:lang w:eastAsia="he-IL"/>
        </w:rPr>
        <w:t xml:space="preserve">האימפריה העות'מאנית הייתה בשלב זה החזקה באירופה. אחרי שהעות'מאנים כבשו והביסו את ביזנטיון, ניצחו את הקואליציה הסרבית </w:t>
      </w:r>
      <w:bookmarkStart w:id="58316" w:name="_ETM_Q105_165768"/>
      <w:bookmarkEnd w:id="58316"/>
      <w:r>
        <w:rPr>
          <w:rFonts w:hint="cs"/>
          <w:rtl/>
          <w:lang w:eastAsia="he-IL"/>
        </w:rPr>
        <w:t xml:space="preserve">בקרב קוסובו, והביסו את בולגריה, </w:t>
      </w:r>
      <w:bookmarkStart w:id="58317" w:name="_ETM_Q105_169434"/>
      <w:bookmarkEnd w:id="58317"/>
      <w:r>
        <w:rPr>
          <w:rFonts w:hint="cs"/>
          <w:rtl/>
          <w:lang w:eastAsia="he-IL"/>
        </w:rPr>
        <w:t xml:space="preserve">נותרו בפניהם רק ההונגרים ככוח צבאי משמעותי אחרון במרכז אירופה. </w:t>
      </w:r>
      <w:bookmarkStart w:id="58318" w:name="_ETM_Q105_175031"/>
      <w:bookmarkEnd w:id="58318"/>
      <w:r>
        <w:rPr>
          <w:rFonts w:hint="cs"/>
          <w:rtl/>
          <w:lang w:eastAsia="he-IL"/>
        </w:rPr>
        <w:t>קרב מוהאץ' מבחינת הונגריה הוא המקביל לקרב קוסובו לסרבים – שילוב של מצדה וט' באב. שלוש שעות לכל היותר, שבסיומן נותרו בשדה הקרב גופותיהם של המלך ומרבית אציליו. הונגריה העצמאית, שהתקיימה יותר מ־500 שנה, נכבשה בידי העות'מאנים ולא תהיה עצמאית בכמעט 400 השנים הבאות.</w:t>
      </w:r>
      <w:r w:rsidR="00D80B85">
        <w:rPr>
          <w:rFonts w:hint="cs"/>
          <w:rtl/>
          <w:lang w:eastAsia="he-IL"/>
        </w:rPr>
        <w:t xml:space="preserve"> </w:t>
      </w:r>
      <w:r>
        <w:rPr>
          <w:rFonts w:hint="cs"/>
          <w:rtl/>
          <w:lang w:eastAsia="he-IL"/>
        </w:rPr>
        <w:t>בשנת 1683 יצור הצבא העות'מאני על וינה – הפעם תחת מהמט הרביעי. ברגע האחרון הגיע האיחוד הפולני–ליטאי, תחת המלך יאן סובייסקי, שיכונה מעתה: מציל אירופה, והצליח להדוף אותם, ובהמשך להנחיל להם תבוסה מוחצת.</w:t>
      </w:r>
      <w:r w:rsidR="00D80B85">
        <w:rPr>
          <w:rFonts w:hint="cs"/>
          <w:rtl/>
          <w:lang w:eastAsia="he-IL"/>
        </w:rPr>
        <w:t xml:space="preserve"> </w:t>
      </w:r>
      <w:r>
        <w:rPr>
          <w:rFonts w:hint="cs"/>
          <w:rtl/>
          <w:lang w:eastAsia="he-IL"/>
        </w:rPr>
        <w:t>העות'מאנים יתחילו את נסיגתם מווינה ובהמשך ייסוגו מבודה, כשהאימפריה ההבסבורגית מזנבת בהם, והופכת למעצמה המרכזית באזורים האלה – וכך תישאר עד מלחמת העולם הראשונה. הונגריה תבוא בשלטון ההבסבורגים, פולין תתחיל גם להידרדר ממעמדה כמעצמה, ולימים תחולק בין שכנותיה החזקות: אוסטריה, פרוסיה ובעיקר רוסיה. כך תישאר גם היא כבושה עד מלחמת העולם הראשונה.</w:t>
      </w:r>
    </w:p>
    <w:p w:rsidR="00BB59CD" w:rsidRDefault="00BB59CD" w:rsidP="00BB59CD">
      <w:pPr>
        <w:rPr>
          <w:rtl/>
          <w:lang w:eastAsia="he-IL"/>
        </w:rPr>
      </w:pPr>
    </w:p>
    <w:p w:rsidR="00BB59CD" w:rsidRDefault="00D80B85" w:rsidP="00BB59CD">
      <w:pPr>
        <w:rPr>
          <w:rtl/>
          <w:lang w:eastAsia="he-IL"/>
        </w:rPr>
      </w:pPr>
      <w:r>
        <w:rPr>
          <w:rFonts w:hint="cs"/>
          <w:rtl/>
          <w:lang w:eastAsia="he-IL"/>
        </w:rPr>
        <w:t>"</w:t>
      </w:r>
      <w:r w:rsidR="00BB59CD">
        <w:rPr>
          <w:rFonts w:hint="cs"/>
          <w:rtl/>
          <w:lang w:eastAsia="he-IL"/>
        </w:rPr>
        <w:t>שתי המדינות הללו מתרפקות על תהילת העבר, וכמובן יש על מה להתרפק: כל מדינה מתגעגעת לימי התהילה, שבהם הגיעה לשיא עוצמתה ושלטה על שטחים, ופולין והונגריה לא יוצאות מן הכלל. גיבורי העבר מונצחים בכל מקום, והשילוב בין הגאווה על העבר המפואר – במקרה הפולני: הנס על הוויסלה, שבו עצרו את הצבא האדום בשערי ורשה אחרי מלחמת העולם הראשונה, למשל – וזיכרון הממלכות בשיאן, לבין ההשפלה של השנים הכה-רבות תחת שליטת כוחות זרים, הוא שילוב נפיץ, המביא ללאומנות מתמשכת.</w:t>
      </w:r>
    </w:p>
    <w:p w:rsidR="00BB59CD" w:rsidRDefault="00BB59CD" w:rsidP="00BB59CD">
      <w:pPr>
        <w:rPr>
          <w:rtl/>
          <w:lang w:eastAsia="he-IL"/>
        </w:rPr>
      </w:pPr>
      <w:bookmarkStart w:id="58319" w:name="_ETM_Q105_281625"/>
      <w:bookmarkStart w:id="58320" w:name="_ETM_Q105_281726"/>
      <w:bookmarkEnd w:id="58319"/>
      <w:bookmarkEnd w:id="58320"/>
    </w:p>
    <w:p w:rsidR="00BB59CD" w:rsidRDefault="00D80B85" w:rsidP="00BB59CD">
      <w:pPr>
        <w:rPr>
          <w:rtl/>
          <w:lang w:eastAsia="he-IL"/>
        </w:rPr>
      </w:pPr>
      <w:bookmarkStart w:id="58321" w:name="_ETM_Q105_281991"/>
      <w:bookmarkStart w:id="58322" w:name="_ETM_Q105_282080"/>
      <w:bookmarkEnd w:id="58321"/>
      <w:bookmarkEnd w:id="58322"/>
      <w:r>
        <w:rPr>
          <w:rFonts w:hint="cs"/>
          <w:rtl/>
          <w:lang w:eastAsia="he-IL"/>
        </w:rPr>
        <w:t>"</w:t>
      </w:r>
      <w:r w:rsidR="00BB59CD">
        <w:rPr>
          <w:rFonts w:hint="cs"/>
          <w:rtl/>
          <w:lang w:eastAsia="he-IL"/>
        </w:rPr>
        <w:t>לענייננו, החלק החשוב בהיסטוריה המרתקת של פולין והונגריה הוא שלמעשה עד לפני 30 שנה, אף אחת מהן מעולם לא הייתה דמוקרטית. היו בהחלט כמה סממנים דמוקרטיים, לא יותר. הונגריה היא חלק מכובד באימפריה ההבסבורגית, שזוכרת בערגה את עברה המפואר. בהסכם טריאנון, אחרי מלחמת העולם הראשונה, היא איבדה שני שלישים מהשטח ושני שלישים מהתושבים, עקב היותה בצד המנוצח. גם במלחמת העולם השנייה היא הייתה בצד המנוצח.</w:t>
      </w:r>
    </w:p>
    <w:p w:rsidR="00BB59CD" w:rsidRDefault="00BB59CD" w:rsidP="00BB59CD">
      <w:pPr>
        <w:rPr>
          <w:rtl/>
          <w:lang w:eastAsia="he-IL"/>
        </w:rPr>
      </w:pPr>
    </w:p>
    <w:p w:rsidR="00D80B85" w:rsidRDefault="00D80B85" w:rsidP="00D80B85">
      <w:pPr>
        <w:rPr>
          <w:rtl/>
          <w:lang w:eastAsia="he-IL"/>
        </w:rPr>
      </w:pPr>
      <w:r>
        <w:rPr>
          <w:rFonts w:hint="cs"/>
          <w:rtl/>
          <w:lang w:eastAsia="he-IL"/>
        </w:rPr>
        <w:t>"</w:t>
      </w:r>
      <w:r w:rsidR="00BB59CD">
        <w:rPr>
          <w:rFonts w:hint="cs"/>
          <w:rtl/>
          <w:lang w:eastAsia="he-IL"/>
        </w:rPr>
        <w:t>כמו הפולנים, גם ההונגרים אומרים על עצמם שתמיד התקוממו ונוצחו, אבל – הם מוסיפים – שהיו בצד הלא-נכון, מוסרית והיסטורית. במלחמת העולם השנייה היו בצד הנאצי נגד ברית המועצות; בתומה השתוללו אנשי צלב החץ הרצחניים והאנטישמיים; אחר כך היה כיבוש סובייטי, כשההתקוממות המפורסמת של 1956, דוכאה באלימות אדירה. דמוקרטיה הונגרית תקום, למעשה, רק עם נפילת מסך הברזל.</w:t>
      </w:r>
      <w:r>
        <w:rPr>
          <w:rFonts w:hint="cs"/>
          <w:rtl/>
          <w:lang w:eastAsia="he-IL"/>
        </w:rPr>
        <w:t xml:space="preserve"> </w:t>
      </w:r>
    </w:p>
    <w:p w:rsidR="00D80B85" w:rsidRDefault="00D80B85" w:rsidP="00D80B85">
      <w:pPr>
        <w:rPr>
          <w:rtl/>
          <w:lang w:eastAsia="he-IL"/>
        </w:rPr>
      </w:pPr>
    </w:p>
    <w:p w:rsidR="00BB59CD" w:rsidRDefault="00D80B85" w:rsidP="00D80B85">
      <w:pPr>
        <w:rPr>
          <w:rtl/>
          <w:lang w:eastAsia="he-IL"/>
        </w:rPr>
      </w:pPr>
      <w:r>
        <w:rPr>
          <w:rFonts w:hint="cs"/>
          <w:rtl/>
          <w:lang w:eastAsia="he-IL"/>
        </w:rPr>
        <w:t>"</w:t>
      </w:r>
      <w:r w:rsidR="00BB59CD">
        <w:rPr>
          <w:rFonts w:hint="cs"/>
          <w:rtl/>
          <w:lang w:eastAsia="he-IL"/>
        </w:rPr>
        <w:t xml:space="preserve">מדוע, אם כן, אני מכניס אותן בכפיפה אחת? האם ניתן להשוות? בהחלט, יש להן כמה מאפיינים משותפים משמעותיים. </w:t>
      </w:r>
      <w:bookmarkStart w:id="58323" w:name="_ETM_Q105_365842"/>
      <w:bookmarkStart w:id="58324" w:name="_ETM_Q105_365948"/>
      <w:bookmarkEnd w:id="58323"/>
      <w:bookmarkEnd w:id="58324"/>
      <w:r w:rsidR="00BB59CD">
        <w:rPr>
          <w:rFonts w:hint="cs"/>
          <w:rtl/>
          <w:lang w:eastAsia="he-IL"/>
        </w:rPr>
        <w:t>ראשית, מדובר במדינות הומוגניות באוכלוסייתן. 95% מאוכלוסיית הונגריה הם הונגרים. 93.5% מאוכלוסיית פולין הם פולנים, כאשר 97% מתושבי פולין מדברים פולנית. ההומוגניות הזו נובעת מהשואה, מרצח העם בצוענים, מהטיהורים האתניים במהלך מלחמת העולם השנייה ואחריה.</w:t>
      </w:r>
      <w:r>
        <w:rPr>
          <w:rFonts w:hint="cs"/>
          <w:rtl/>
          <w:lang w:eastAsia="he-IL"/>
        </w:rPr>
        <w:t xml:space="preserve"> </w:t>
      </w:r>
      <w:r w:rsidR="00BB59CD">
        <w:rPr>
          <w:rFonts w:hint="cs"/>
          <w:rtl/>
          <w:lang w:eastAsia="he-IL"/>
        </w:rPr>
        <w:t>שנית, הן מדינות דתיות. לא כמו פעם, נכון, אבל אירופה התחילה מזמן. יש בהן מנהיגים רבי-עוצמה, במיוחד בהונגריה, הנתפסים כמשיבים את תהילת העבר, מגנים על המדינה, הלאום, העם, מפני שלל האויבים מבחוץ ומבפנים: ליברלים, בריסל, תקשורת, מהגרים, אילי הון קוסמופוליטיים – שם מוסווה בדוחק ליהודים – ומי לא?</w:t>
      </w:r>
      <w:r>
        <w:rPr>
          <w:rFonts w:hint="cs"/>
          <w:rtl/>
          <w:lang w:eastAsia="he-IL"/>
        </w:rPr>
        <w:t xml:space="preserve"> </w:t>
      </w:r>
      <w:r w:rsidR="00BB59CD">
        <w:rPr>
          <w:rFonts w:hint="cs"/>
          <w:rtl/>
          <w:lang w:eastAsia="he-IL"/>
        </w:rPr>
        <w:t>דבר משותף נוסף: הטענה שהן דמוקרטיות. לא ליברליות, אבל דמוקרטיות – מעצם הטענה שהשלטון מייצג את רוב העם. שאר הדברים בדמוקרטיה הליברלית – הגנה על מיעוטים, איזונים ובלמים בין הרשות המחוקקת, המבצעת והשופטת, הגנה מלאה על חופש הביטוי וכל השאר – לא רק שאינם חיוניים, הם אף מזיקים.</w:t>
      </w:r>
    </w:p>
    <w:p w:rsidR="00BB59CD" w:rsidRDefault="00BB59CD" w:rsidP="00BB59CD">
      <w:pPr>
        <w:rPr>
          <w:rtl/>
          <w:lang w:eastAsia="he-IL"/>
        </w:rPr>
      </w:pPr>
    </w:p>
    <w:p w:rsidR="00BB59CD" w:rsidRDefault="00D80B85" w:rsidP="00BB59CD">
      <w:pPr>
        <w:rPr>
          <w:rtl/>
          <w:lang w:eastAsia="he-IL"/>
        </w:rPr>
      </w:pPr>
      <w:bookmarkStart w:id="58325" w:name="_ETM_Q105_441425"/>
      <w:bookmarkStart w:id="58326" w:name="_ETM_Q105_441535"/>
      <w:bookmarkEnd w:id="58325"/>
      <w:bookmarkEnd w:id="58326"/>
      <w:r>
        <w:rPr>
          <w:rFonts w:hint="cs"/>
          <w:rtl/>
          <w:lang w:eastAsia="he-IL"/>
        </w:rPr>
        <w:t>"</w:t>
      </w:r>
      <w:r w:rsidR="00BB59CD">
        <w:rPr>
          <w:rFonts w:hint="cs"/>
          <w:rtl/>
          <w:lang w:eastAsia="he-IL"/>
        </w:rPr>
        <w:t>בשנים הקריטיות שבין מלחמות העולם, שבהן שתיהן היו לעצמאיות – גם אם קטנות וחלשות בין המעצמות – עמדו בראשן שני אנשי צבא קשישים, סמכותניים: מרשל יוזף פילסודסקי הפולני בין 1926 ל-1935, ואדמירל מיקלוש הורטי ההונגרי, בין 1920 ל-1944.</w:t>
      </w:r>
    </w:p>
    <w:p w:rsidR="00BB59CD" w:rsidRDefault="00BB59CD" w:rsidP="00BB59CD">
      <w:pPr>
        <w:rPr>
          <w:rtl/>
          <w:lang w:eastAsia="he-IL"/>
        </w:rPr>
      </w:pPr>
    </w:p>
    <w:p w:rsidR="00BB59CD" w:rsidRDefault="00D80B85" w:rsidP="00BB59CD">
      <w:pPr>
        <w:rPr>
          <w:rtl/>
          <w:lang w:eastAsia="he-IL"/>
        </w:rPr>
      </w:pPr>
      <w:r>
        <w:rPr>
          <w:rFonts w:hint="cs"/>
          <w:rtl/>
          <w:lang w:eastAsia="he-IL"/>
        </w:rPr>
        <w:t>"</w:t>
      </w:r>
      <w:r w:rsidR="00BB59CD">
        <w:rPr>
          <w:rFonts w:hint="cs"/>
          <w:rtl/>
          <w:lang w:eastAsia="he-IL"/>
        </w:rPr>
        <w:t>כמובן, ישנו העבר: שתיהן מדינות המתרפקות על תהילת העבר, אבל יש לכך המשך חשוב. כל מי שמסתכל בעין ביקורתית על אותו עבר – מדומיין או לא – ומנסה לבחון אותו, מתויג מיד כאויב העם. חלק ניכר מההגנה החד-משמעית על ההיסטוריה של המדינה ושל העם, חוזר לאירועי מלחמת העולם השנייה ואחריה.</w:t>
      </w:r>
    </w:p>
    <w:p w:rsidR="00BB59CD" w:rsidRDefault="00BB59CD" w:rsidP="00BB59CD">
      <w:pPr>
        <w:rPr>
          <w:rtl/>
          <w:lang w:eastAsia="he-IL"/>
        </w:rPr>
      </w:pPr>
    </w:p>
    <w:p w:rsidR="00BB59CD" w:rsidRDefault="00D80B85" w:rsidP="00D80B85">
      <w:pPr>
        <w:rPr>
          <w:rtl/>
          <w:lang w:eastAsia="he-IL"/>
        </w:rPr>
      </w:pPr>
      <w:r>
        <w:rPr>
          <w:rFonts w:hint="cs"/>
          <w:rtl/>
          <w:lang w:eastAsia="he-IL"/>
        </w:rPr>
        <w:t>"</w:t>
      </w:r>
      <w:r w:rsidR="00BB59CD">
        <w:rPr>
          <w:rFonts w:hint="cs"/>
          <w:rtl/>
          <w:lang w:eastAsia="he-IL"/>
        </w:rPr>
        <w:t xml:space="preserve">בתום מלחמת העולם הראשונה פולין והונגריה </w:t>
      </w:r>
      <w:r>
        <w:rPr>
          <w:rFonts w:hint="cs"/>
          <w:rtl/>
          <w:lang w:eastAsia="he-IL"/>
        </w:rPr>
        <w:t>ה</w:t>
      </w:r>
      <w:r w:rsidR="00BB59CD">
        <w:rPr>
          <w:rFonts w:hint="cs"/>
          <w:rtl/>
          <w:lang w:eastAsia="he-IL"/>
        </w:rPr>
        <w:t>יו מדינות בינוניות, חלשות, מאוימות. יש בהן מיעוטים גדולים, ופולנים והונגרים רבים חיים מחוץ לגבולותיהן. הן היו מאוימות בידי השכנות רבות העוצמה, מנסות לתמרן. במלחמת העולם השנייה הונגריה היא בת-ברית של גרמניה הנאצית – מול ברית המועצות בלבד. מאות אלפים מיהודי הונגריה נשלחו למחנות בקיץ 1944, ורבים אחרים נהרגו במלחמה.</w:t>
      </w:r>
      <w:r>
        <w:rPr>
          <w:rFonts w:hint="cs"/>
          <w:rtl/>
          <w:lang w:eastAsia="he-IL"/>
        </w:rPr>
        <w:t xml:space="preserve"> </w:t>
      </w:r>
      <w:r w:rsidR="00BB59CD">
        <w:rPr>
          <w:rFonts w:hint="cs"/>
          <w:rtl/>
          <w:lang w:eastAsia="he-IL"/>
        </w:rPr>
        <w:t>פולין נכבשת ומשמרת, בצדק, את זכר ההרואיות: המתמטיקאים וסוכני הביון הפולניים, שבלעדיהם אנשי בלצ'לי פארק לא היו מפענחים את צופן האניגמה; הטייסים הפולנים הנלחמים בקרב על בריטניה; טבח יער קאטין; המחתרות; התקוממות גטו ורשה; רצח 3 מיליון יהודים בשואה; רצח והריגת 3 מיליון קתולים במלחמה.</w:t>
      </w:r>
    </w:p>
    <w:p w:rsidR="00BB59CD" w:rsidRDefault="00BB59CD" w:rsidP="00BB59CD">
      <w:pPr>
        <w:rPr>
          <w:rtl/>
          <w:lang w:eastAsia="he-IL"/>
        </w:rPr>
      </w:pPr>
    </w:p>
    <w:p w:rsidR="00BB59CD" w:rsidRDefault="00D80B85" w:rsidP="00BB59CD">
      <w:pPr>
        <w:rPr>
          <w:rtl/>
          <w:lang w:eastAsia="he-IL"/>
        </w:rPr>
      </w:pPr>
      <w:r>
        <w:rPr>
          <w:rFonts w:hint="cs"/>
          <w:rtl/>
          <w:lang w:eastAsia="he-IL"/>
        </w:rPr>
        <w:t>"</w:t>
      </w:r>
      <w:r w:rsidR="00BB59CD">
        <w:rPr>
          <w:rFonts w:hint="cs"/>
          <w:rtl/>
          <w:lang w:eastAsia="he-IL"/>
        </w:rPr>
        <w:t>בתום המלחמה שתיהן נמצאות בשטח הכיבוש הסובייטי. מבחינת ברית המועצות, היא כמובן שחררה את מרכז ומזרח אירופה מהכיבוש הנאצי. מבחינת מרבית המדינות המשוחררות, הן החליפו כיבוש בכיבוש, והתקוממויות נגד הכיבוש הסובייטי כשלו, עד שנות השמונים של המאה ה־20.</w:t>
      </w:r>
    </w:p>
    <w:p w:rsidR="00BB59CD" w:rsidRDefault="00BB59CD" w:rsidP="00BB59CD">
      <w:pPr>
        <w:rPr>
          <w:rtl/>
          <w:lang w:eastAsia="he-IL"/>
        </w:rPr>
      </w:pPr>
    </w:p>
    <w:p w:rsidR="00BB59CD" w:rsidRDefault="00D80B85" w:rsidP="00BB59CD">
      <w:pPr>
        <w:rPr>
          <w:rtl/>
          <w:lang w:eastAsia="he-IL"/>
        </w:rPr>
      </w:pPr>
      <w:r>
        <w:rPr>
          <w:rFonts w:hint="cs"/>
          <w:rtl/>
          <w:lang w:eastAsia="he-IL"/>
        </w:rPr>
        <w:t>"</w:t>
      </w:r>
      <w:r w:rsidR="00BB59CD">
        <w:rPr>
          <w:rFonts w:hint="cs"/>
          <w:rtl/>
          <w:lang w:eastAsia="he-IL"/>
        </w:rPr>
        <w:t>בפולין יתחיל התהליך של התפרקות הגוש הקומוניסטי, עם עליית סולידריות, וכאשר הונגריה תפתח את גבולה לאוסטריה, בלא שום תגובה סובייטית, יבין העולם כולו, שהעולם השתנה. נפילת חומת ברלין תביא לנפילת מסך הברזל כולו; לתחילת החיבור מחדש של אירופה המערבית, המשגשגת, עם אירופה המזרחית; לשילוב פולין, הונגריה ומדינות נוספות בברית נאט"ו ובאיחוד האירופי. זה היה האות שכל העולם הבין כניצחון הדמוקרטיה. נוסף על כך, ברית המועצות תקרוס ותשוב להיות רוסיה, והנה הדמוקרטיה והקפיטליזם ניצחו, החירות גברה על הקנאים הדתיים, הנאצים, הפשיסטים, הבולשביקים. האוטופיה הינה באה.</w:t>
      </w:r>
    </w:p>
    <w:p w:rsidR="00BB59CD" w:rsidRDefault="00BB59CD" w:rsidP="00BB59CD">
      <w:pPr>
        <w:rPr>
          <w:rtl/>
          <w:lang w:eastAsia="he-IL"/>
        </w:rPr>
      </w:pPr>
    </w:p>
    <w:p w:rsidR="00BB59CD" w:rsidRDefault="00D80B85" w:rsidP="00C71A62">
      <w:pPr>
        <w:rPr>
          <w:rtl/>
          <w:lang w:eastAsia="he-IL"/>
        </w:rPr>
      </w:pPr>
      <w:r>
        <w:rPr>
          <w:rFonts w:hint="cs"/>
          <w:rtl/>
          <w:lang w:eastAsia="he-IL"/>
        </w:rPr>
        <w:t>"</w:t>
      </w:r>
      <w:r w:rsidR="00BB59CD">
        <w:rPr>
          <w:rFonts w:hint="cs"/>
          <w:rtl/>
          <w:lang w:eastAsia="he-IL"/>
        </w:rPr>
        <w:t>זה גם הרגע שבו גאוני אסכולת שיקגו מסבירים למדינות האלה שהן זקוקות לטיפול בהלם: הפיכת הכלכלה בבת אחת לכלכלת שוק. הרס קונסטרוקטיבי. פתרון המתאים לכל בעיה. הפרטה מלאה</w:t>
      </w:r>
      <w:r w:rsidR="00C71A62">
        <w:rPr>
          <w:rFonts w:hint="cs"/>
          <w:rtl/>
          <w:lang w:eastAsia="he-IL"/>
        </w:rPr>
        <w:t>,</w:t>
      </w:r>
      <w:r w:rsidR="00BB59CD">
        <w:rPr>
          <w:rFonts w:hint="cs"/>
          <w:rtl/>
          <w:lang w:eastAsia="he-IL"/>
        </w:rPr>
        <w:t xml:space="preserve"> כמו זו שכה הצליחה בבריטניה. זוכרים שפולין והונגריה הן מדינות ש-40 שנה היו קומוניסטיות ואין בהן בהגדרה רכוש פרטי? שהן היו דיקטטורות מרבית ההיסטוריה שלהן? אבל ה</w:t>
      </w:r>
      <w:r w:rsidR="00C71A62">
        <w:rPr>
          <w:rFonts w:hint="cs"/>
          <w:rtl/>
          <w:lang w:eastAsia="he-IL"/>
        </w:rPr>
        <w:t>ינ</w:t>
      </w:r>
      <w:r w:rsidR="00BB59CD">
        <w:rPr>
          <w:rFonts w:hint="cs"/>
          <w:rtl/>
          <w:lang w:eastAsia="he-IL"/>
        </w:rPr>
        <w:t>ה, בהנפת מטה קסם, בעצם קיום הדוגמה הקרובה של אירופה המערבית, זה בוודאי יקרה. הן תשתלבנה במערב הקפיטליסטי הדמוקרטי בתוך כמה שנות מעבר בודדות.</w:t>
      </w:r>
    </w:p>
    <w:p w:rsidR="00BB59CD" w:rsidRDefault="00BB59CD" w:rsidP="00BB59CD">
      <w:pPr>
        <w:rPr>
          <w:rtl/>
          <w:lang w:eastAsia="he-IL"/>
        </w:rPr>
      </w:pPr>
    </w:p>
    <w:p w:rsidR="00BB59CD" w:rsidRDefault="00C71A62" w:rsidP="00BB59CD">
      <w:pPr>
        <w:rPr>
          <w:rtl/>
          <w:lang w:eastAsia="he-IL"/>
        </w:rPr>
      </w:pPr>
      <w:bookmarkStart w:id="58327" w:name="_ETM_Q105_648831"/>
      <w:bookmarkStart w:id="58328" w:name="_ETM_Q105_648944"/>
      <w:bookmarkEnd w:id="58327"/>
      <w:bookmarkEnd w:id="58328"/>
      <w:r>
        <w:rPr>
          <w:rFonts w:hint="cs"/>
          <w:rtl/>
          <w:lang w:eastAsia="he-IL"/>
        </w:rPr>
        <w:t>"</w:t>
      </w:r>
      <w:r w:rsidR="00BB59CD">
        <w:rPr>
          <w:rFonts w:hint="cs"/>
          <w:rtl/>
          <w:lang w:eastAsia="he-IL"/>
        </w:rPr>
        <w:t xml:space="preserve">זה כמובן מה שלא קרה. אמנם נוצרה שכבה חדשה של מתעשרים, אבל מצבם של רבים מאוד הורע, יחסית לימי הקומוניזם. אנו מכירים את סיפורי הזוועה על השטאזי, הסקוריטטה, הקג"ב, שנות הרדיפה, ההשתקה, הצנזורה. אבל גם תחת המשטרים הנוראים האלה היו בני אדם שחיו, עבדו, אהבו, וכן – התגאו. הם חיו בחברה שהיו לה יתרונות בלכידות, בתנאים בסיסיים חינם, עם אנשים שדומים להם. זה מה שהם הכירו, ורבים הסתפקו בכך </w:t>
      </w:r>
      <w:bookmarkStart w:id="58329" w:name="_ETM_Q105_688289"/>
      <w:bookmarkEnd w:id="58329"/>
      <w:r w:rsidR="00BB59CD">
        <w:rPr>
          <w:rFonts w:hint="cs"/>
          <w:rtl/>
          <w:lang w:eastAsia="he-IL"/>
        </w:rPr>
        <w:t>– או לחלופין העדיפו את הוודאות שהייתה בחיים האלה על פני אי-הוודאות, הקריסה הכלכלית שבאה מ</w:t>
      </w:r>
      <w:r>
        <w:rPr>
          <w:rFonts w:hint="cs"/>
          <w:rtl/>
          <w:lang w:eastAsia="he-IL"/>
        </w:rPr>
        <w:t>י</w:t>
      </w:r>
      <w:r w:rsidR="00BB59CD">
        <w:rPr>
          <w:rFonts w:hint="cs"/>
          <w:rtl/>
          <w:lang w:eastAsia="he-IL"/>
        </w:rPr>
        <w:t>יד אחר כך.</w:t>
      </w:r>
    </w:p>
    <w:p w:rsidR="00BB59CD" w:rsidRDefault="00BB59CD" w:rsidP="00BB59CD">
      <w:pPr>
        <w:rPr>
          <w:rtl/>
          <w:lang w:eastAsia="he-IL"/>
        </w:rPr>
      </w:pPr>
      <w:bookmarkStart w:id="58330" w:name="_ETM_Q105_651728"/>
      <w:bookmarkStart w:id="58331" w:name="_ETM_Q105_651756"/>
      <w:bookmarkEnd w:id="58330"/>
      <w:bookmarkEnd w:id="58331"/>
    </w:p>
    <w:p w:rsidR="00BB59CD" w:rsidRDefault="00C71A62" w:rsidP="00C71A62">
      <w:pPr>
        <w:rPr>
          <w:rtl/>
          <w:lang w:eastAsia="he-IL"/>
        </w:rPr>
      </w:pPr>
      <w:r>
        <w:rPr>
          <w:rFonts w:hint="cs"/>
          <w:rtl/>
          <w:lang w:eastAsia="he-IL"/>
        </w:rPr>
        <w:t>"</w:t>
      </w:r>
      <w:r w:rsidR="00BB59CD">
        <w:rPr>
          <w:rFonts w:hint="cs"/>
          <w:rtl/>
          <w:lang w:eastAsia="he-IL"/>
        </w:rPr>
        <w:t>במדינות הגוש הקומוניסטי הייתה התנגדות לדיקטטורה, כמובן, והתנגדות לכיבוש הסובייטי. גם מי שלא התקומם – ופולין והונגריה התקוממו – זכר את הטנקים ברחובות, ואת האיום הסמוי והלא-סמוי. כעת הן חופשיות ומקבלות פרס: כניסה לאיחוד האירופי, ולברית נאט"ו. הן במערב. יש להן סיוע כלכלי, יש מוצרי צריכה, יש בחירות חופשיות. ההתחלה היא שיכרון חושים.</w:t>
      </w:r>
      <w:r>
        <w:rPr>
          <w:rFonts w:hint="cs"/>
          <w:rtl/>
          <w:lang w:eastAsia="he-IL"/>
        </w:rPr>
        <w:t xml:space="preserve"> </w:t>
      </w:r>
      <w:r w:rsidR="00BB59CD">
        <w:rPr>
          <w:rFonts w:hint="cs"/>
          <w:rtl/>
          <w:lang w:eastAsia="he-IL"/>
        </w:rPr>
        <w:t>הנבחרים היו גיבורי האומה, אלה שלחמו למען החירות: ואצלב האוול בצ'כוסלובקיה, הנשיא הראשון והאחרון של המדינה הזו לאחר השחרור מעול הקומוניזם; לך ואלנסה בפולין; ואולי המקרה המעניין ביותר הוא דווקא זה של ויקטור אורבן בהונגריה.</w:t>
      </w:r>
    </w:p>
    <w:p w:rsidR="00BB59CD" w:rsidRDefault="00BB59CD" w:rsidP="00BB59CD">
      <w:pPr>
        <w:rPr>
          <w:rtl/>
          <w:lang w:eastAsia="he-IL"/>
        </w:rPr>
      </w:pPr>
    </w:p>
    <w:p w:rsidR="00BB59CD" w:rsidRDefault="00C71A62" w:rsidP="00C71A62">
      <w:pPr>
        <w:rPr>
          <w:rtl/>
        </w:rPr>
      </w:pPr>
      <w:r>
        <w:rPr>
          <w:rFonts w:hint="cs"/>
          <w:rtl/>
          <w:lang w:eastAsia="he-IL"/>
        </w:rPr>
        <w:t>"</w:t>
      </w:r>
      <w:r w:rsidR="00BB59CD">
        <w:rPr>
          <w:rFonts w:hint="cs"/>
          <w:rtl/>
          <w:lang w:eastAsia="he-IL"/>
        </w:rPr>
        <w:t xml:space="preserve">אורבן התחיל את דרכו כמנהיג מפלגת ימין אנטי קומוניסטית, ליברלית – המושגים </w:t>
      </w:r>
      <w:r>
        <w:rPr>
          <w:rFonts w:hint="cs"/>
          <w:rtl/>
          <w:lang w:eastAsia="he-IL"/>
        </w:rPr>
        <w:t>'</w:t>
      </w:r>
      <w:r w:rsidR="00BB59CD">
        <w:rPr>
          <w:rFonts w:hint="cs"/>
          <w:rtl/>
          <w:lang w:eastAsia="he-IL"/>
        </w:rPr>
        <w:t>ליברלי</w:t>
      </w:r>
      <w:r>
        <w:rPr>
          <w:rFonts w:hint="cs"/>
          <w:rtl/>
          <w:lang w:eastAsia="he-IL"/>
        </w:rPr>
        <w:t>'</w:t>
      </w:r>
      <w:r w:rsidR="00BB59CD">
        <w:rPr>
          <w:rFonts w:hint="cs"/>
          <w:rtl/>
          <w:lang w:eastAsia="he-IL"/>
        </w:rPr>
        <w:t xml:space="preserve"> ו</w:t>
      </w:r>
      <w:r>
        <w:rPr>
          <w:rFonts w:hint="cs"/>
          <w:rtl/>
          <w:lang w:eastAsia="he-IL"/>
        </w:rPr>
        <w:t>'</w:t>
      </w:r>
      <w:r w:rsidR="00BB59CD">
        <w:rPr>
          <w:rFonts w:hint="cs"/>
          <w:rtl/>
          <w:lang w:eastAsia="he-IL"/>
        </w:rPr>
        <w:t>שמרני</w:t>
      </w:r>
      <w:r>
        <w:rPr>
          <w:rFonts w:hint="cs"/>
          <w:rtl/>
          <w:lang w:eastAsia="he-IL"/>
        </w:rPr>
        <w:t>'</w:t>
      </w:r>
      <w:r w:rsidR="00BB59CD">
        <w:rPr>
          <w:rFonts w:hint="cs"/>
          <w:rtl/>
          <w:lang w:eastAsia="he-IL"/>
        </w:rPr>
        <w:t xml:space="preserve"> שונים באירופה ובארה"ב – פרו</w:t>
      </w:r>
      <w:r>
        <w:rPr>
          <w:rFonts w:hint="cs"/>
          <w:rtl/>
          <w:lang w:eastAsia="he-IL"/>
        </w:rPr>
        <w:t>-</w:t>
      </w:r>
      <w:r w:rsidR="00BB59CD">
        <w:rPr>
          <w:rFonts w:hint="cs"/>
          <w:rtl/>
          <w:lang w:eastAsia="he-IL"/>
        </w:rPr>
        <w:t xml:space="preserve">דמוקרטית, בשנת נפילת החומה. הונגריה הוגדרה </w:t>
      </w:r>
      <w:r>
        <w:rPr>
          <w:rFonts w:hint="cs"/>
          <w:rtl/>
          <w:lang w:eastAsia="he-IL"/>
        </w:rPr>
        <w:t>'</w:t>
      </w:r>
      <w:r w:rsidR="00BB59CD">
        <w:rPr>
          <w:rFonts w:hint="cs"/>
          <w:rtl/>
          <w:lang w:eastAsia="he-IL"/>
        </w:rPr>
        <w:t>קומוניזם של גולאש</w:t>
      </w:r>
      <w:r>
        <w:rPr>
          <w:rFonts w:hint="cs"/>
          <w:rtl/>
          <w:lang w:eastAsia="he-IL"/>
        </w:rPr>
        <w:t>'</w:t>
      </w:r>
      <w:r w:rsidR="00BB59CD">
        <w:rPr>
          <w:rFonts w:hint="cs"/>
          <w:rtl/>
          <w:lang w:eastAsia="he-IL"/>
        </w:rPr>
        <w:t xml:space="preserve"> – כלומר גרסה מרוככת, אחרי ההתקוממות של 1956. </w:t>
      </w:r>
      <w:bookmarkStart w:id="58332" w:name="_ETM_Q105_763441"/>
      <w:bookmarkStart w:id="58333" w:name="_ETM_Q105_763509"/>
      <w:bookmarkStart w:id="58334" w:name="TOR_Q106"/>
      <w:bookmarkEnd w:id="58332"/>
      <w:bookmarkEnd w:id="58333"/>
      <w:bookmarkEnd w:id="58334"/>
      <w:r w:rsidR="00BB59CD">
        <w:rPr>
          <w:rFonts w:hint="cs"/>
          <w:rtl/>
        </w:rPr>
        <w:t>אורבן הצעיר, עוד לפני נפילת החומה, משתלם במשפטים על חשבון קרן סורוס, ומקבל מלגה לאוקספורד מטעם הקרן. כן, הקרן של ג'ורג' סורוס. אירוני, בהתחשב בהמשך.</w:t>
      </w:r>
    </w:p>
    <w:p w:rsidR="00BB59CD" w:rsidRDefault="00BB59CD" w:rsidP="00BB59CD">
      <w:pPr>
        <w:rPr>
          <w:rtl/>
        </w:rPr>
      </w:pPr>
    </w:p>
    <w:p w:rsidR="00BB59CD" w:rsidRDefault="00C71A62" w:rsidP="00C71A62">
      <w:pPr>
        <w:rPr>
          <w:rtl/>
        </w:rPr>
      </w:pPr>
      <w:r>
        <w:rPr>
          <w:rFonts w:hint="cs"/>
          <w:rtl/>
        </w:rPr>
        <w:t>"</w:t>
      </w:r>
      <w:r w:rsidR="00BB59CD">
        <w:rPr>
          <w:rFonts w:hint="cs"/>
          <w:rtl/>
        </w:rPr>
        <w:t xml:space="preserve">הוא היה ראש ממשלה בסוף שנות התשעים, ומכהן ברצף כראש ממשלה מאז 2010, כאשר התחיל להנהיג בהונגריה מה שהוא מכנה </w:t>
      </w:r>
      <w:r>
        <w:rPr>
          <w:rFonts w:hint="cs"/>
          <w:rtl/>
        </w:rPr>
        <w:t>'</w:t>
      </w:r>
      <w:r w:rsidR="00BB59CD">
        <w:rPr>
          <w:rFonts w:hint="cs"/>
          <w:rtl/>
        </w:rPr>
        <w:t>דמוקרטיה לא ליברלית</w:t>
      </w:r>
      <w:r>
        <w:rPr>
          <w:rFonts w:hint="cs"/>
          <w:rtl/>
        </w:rPr>
        <w:t>'</w:t>
      </w:r>
      <w:r w:rsidR="00BB59CD">
        <w:rPr>
          <w:rFonts w:hint="cs"/>
          <w:rtl/>
        </w:rPr>
        <w:t xml:space="preserve"> – המקבילה למה שקורא דמיטרי פסקוב, דוברו של פוטין </w:t>
      </w:r>
      <w:r>
        <w:rPr>
          <w:rFonts w:hint="cs"/>
          <w:rtl/>
        </w:rPr>
        <w:t>'</w:t>
      </w:r>
      <w:r w:rsidR="00BB59CD">
        <w:rPr>
          <w:rFonts w:hint="cs"/>
          <w:rtl/>
        </w:rPr>
        <w:t>דמוקרטיה ריבונית</w:t>
      </w:r>
      <w:r>
        <w:rPr>
          <w:rFonts w:hint="cs"/>
          <w:rtl/>
        </w:rPr>
        <w:t>'</w:t>
      </w:r>
      <w:r w:rsidR="00BB59CD">
        <w:rPr>
          <w:rFonts w:hint="cs"/>
          <w:rtl/>
        </w:rPr>
        <w:t xml:space="preserve">. מצד אחד צריך את המילה </w:t>
      </w:r>
      <w:r>
        <w:rPr>
          <w:rFonts w:hint="cs"/>
          <w:rtl/>
        </w:rPr>
        <w:t>'</w:t>
      </w:r>
      <w:r w:rsidR="00BB59CD">
        <w:rPr>
          <w:rFonts w:hint="cs"/>
          <w:rtl/>
        </w:rPr>
        <w:t>דמוקרטיה</w:t>
      </w:r>
      <w:r>
        <w:rPr>
          <w:rFonts w:hint="cs"/>
          <w:rtl/>
        </w:rPr>
        <w:t>'</w:t>
      </w:r>
      <w:r w:rsidR="00BB59CD">
        <w:rPr>
          <w:rFonts w:hint="cs"/>
          <w:rtl/>
        </w:rPr>
        <w:t xml:space="preserve"> כי היא מותג – דיקטטורות רבות, כולל מדינות הגוש הקומוניסטי, קראו לעצמן דמוקרטיות. מצד שני, צריך להדגיש שהמשטר ההונגרי לא יהיה המשטר המערב-אירופי.</w:t>
      </w:r>
    </w:p>
    <w:p w:rsidR="00BB59CD" w:rsidRDefault="00BB59CD" w:rsidP="00BB59CD">
      <w:pPr>
        <w:rPr>
          <w:rtl/>
        </w:rPr>
      </w:pPr>
    </w:p>
    <w:p w:rsidR="00BB59CD" w:rsidRDefault="00C71A62" w:rsidP="00C71A62">
      <w:pPr>
        <w:rPr>
          <w:rtl/>
        </w:rPr>
      </w:pPr>
      <w:r>
        <w:rPr>
          <w:rFonts w:hint="cs"/>
          <w:rtl/>
        </w:rPr>
        <w:t>"</w:t>
      </w:r>
      <w:r w:rsidR="00BB59CD">
        <w:rPr>
          <w:rFonts w:hint="cs"/>
          <w:rtl/>
        </w:rPr>
        <w:t xml:space="preserve">אם כן, משמעות המילה </w:t>
      </w:r>
      <w:r>
        <w:rPr>
          <w:rFonts w:hint="cs"/>
          <w:rtl/>
        </w:rPr>
        <w:t>'</w:t>
      </w:r>
      <w:r w:rsidR="00BB59CD">
        <w:rPr>
          <w:rFonts w:hint="cs"/>
          <w:rtl/>
        </w:rPr>
        <w:t>דמוקרטיה</w:t>
      </w:r>
      <w:r>
        <w:rPr>
          <w:rFonts w:hint="cs"/>
          <w:rtl/>
        </w:rPr>
        <w:t>'</w:t>
      </w:r>
      <w:r w:rsidR="00BB59CD">
        <w:rPr>
          <w:rFonts w:hint="cs"/>
          <w:rtl/>
        </w:rPr>
        <w:t xml:space="preserve"> בפולין</w:t>
      </w:r>
      <w:r>
        <w:rPr>
          <w:rFonts w:hint="cs"/>
          <w:rtl/>
        </w:rPr>
        <w:t xml:space="preserve"> ו</w:t>
      </w:r>
      <w:r w:rsidR="00BB59CD">
        <w:rPr>
          <w:rFonts w:hint="cs"/>
          <w:rtl/>
        </w:rPr>
        <w:t xml:space="preserve">בהונגריה – וגם ברוסיה, שעליה נרחיב במאמר הבא – </w:t>
      </w:r>
      <w:r>
        <w:rPr>
          <w:rFonts w:hint="cs"/>
          <w:rtl/>
        </w:rPr>
        <w:t xml:space="preserve">כיום, </w:t>
      </w:r>
      <w:r w:rsidR="00BB59CD">
        <w:rPr>
          <w:rFonts w:hint="cs"/>
          <w:rtl/>
        </w:rPr>
        <w:t xml:space="preserve">היא שיש בחירות, ויש בהן חופש הצבעה עם כוכבית </w:t>
      </w:r>
      <w:r>
        <w:rPr>
          <w:rFonts w:hint="eastAsia"/>
          <w:rtl/>
        </w:rPr>
        <w:t>–</w:t>
      </w:r>
      <w:r>
        <w:rPr>
          <w:rFonts w:hint="cs"/>
          <w:rtl/>
        </w:rPr>
        <w:t xml:space="preserve"> </w:t>
      </w:r>
      <w:r w:rsidR="00BB59CD">
        <w:rPr>
          <w:rFonts w:hint="cs"/>
          <w:rtl/>
        </w:rPr>
        <w:t>גם אם אין זיופי בחירות בוטים, השלטון שולט בכל אמצעי התקשורת למעשה, לאופוזיציה אין גישה לשידורי הרדיו והטלוויזיה, ובתנאים כאלה קשה לדבר על חופש בחירה אמיתי</w:t>
      </w:r>
      <w:r>
        <w:rPr>
          <w:rFonts w:hint="cs"/>
          <w:rtl/>
        </w:rPr>
        <w:t>"</w:t>
      </w:r>
      <w:r w:rsidR="00BB59CD">
        <w:rPr>
          <w:rFonts w:hint="cs"/>
          <w:rtl/>
        </w:rPr>
        <w:t>.</w:t>
      </w:r>
    </w:p>
    <w:p w:rsidR="00BB59CD" w:rsidRDefault="00BB59CD" w:rsidP="00BB59CD">
      <w:pPr>
        <w:rPr>
          <w:rtl/>
        </w:rPr>
      </w:pPr>
      <w:bookmarkStart w:id="58335" w:name="_ETM_Q106_216228"/>
      <w:bookmarkStart w:id="58336" w:name="_ETM_Q106_216328"/>
      <w:bookmarkEnd w:id="58335"/>
      <w:bookmarkEnd w:id="58336"/>
    </w:p>
    <w:p w:rsidR="00BB59CD" w:rsidRDefault="00BB59CD" w:rsidP="00C71A62">
      <w:pPr>
        <w:rPr>
          <w:rtl/>
        </w:rPr>
      </w:pPr>
      <w:bookmarkStart w:id="58337" w:name="_ETM_Q106_216899"/>
      <w:bookmarkStart w:id="58338" w:name="_ETM_Q106_217009"/>
      <w:bookmarkEnd w:id="58337"/>
      <w:bookmarkEnd w:id="58338"/>
      <w:r>
        <w:rPr>
          <w:rFonts w:hint="cs"/>
          <w:rtl/>
        </w:rPr>
        <w:t>אני בטוחה שכל תלמידי י"א</w:t>
      </w:r>
      <w:r w:rsidR="00C71A62">
        <w:rPr>
          <w:rFonts w:hint="eastAsia"/>
          <w:rtl/>
        </w:rPr>
        <w:t>–</w:t>
      </w:r>
      <w:r>
        <w:rPr>
          <w:rFonts w:hint="cs"/>
          <w:rtl/>
        </w:rPr>
        <w:t xml:space="preserve">י"ב שיש </w:t>
      </w:r>
      <w:bookmarkStart w:id="58339" w:name="_ETM_Q106_238329"/>
      <w:bookmarkEnd w:id="58339"/>
      <w:r>
        <w:rPr>
          <w:rFonts w:hint="cs"/>
          <w:rtl/>
        </w:rPr>
        <w:t xml:space="preserve">להם בגרות באזרחות מרותקים עכשיו למסך, ולומדים מצוין את החומר </w:t>
      </w:r>
      <w:bookmarkStart w:id="58340" w:name="_ETM_Q106_240615"/>
      <w:bookmarkEnd w:id="58340"/>
      <w:r>
        <w:rPr>
          <w:rFonts w:hint="cs"/>
          <w:rtl/>
        </w:rPr>
        <w:t>לבגרות.</w:t>
      </w:r>
    </w:p>
    <w:p w:rsidR="00BB59CD" w:rsidRDefault="00BB59CD" w:rsidP="00BB59CD">
      <w:pPr>
        <w:rPr>
          <w:rtl/>
        </w:rPr>
      </w:pPr>
      <w:bookmarkStart w:id="58341" w:name="_ETM_Q106_242231"/>
      <w:bookmarkStart w:id="58342" w:name="_ETM_Q106_242375"/>
      <w:bookmarkEnd w:id="58341"/>
      <w:bookmarkEnd w:id="58342"/>
    </w:p>
    <w:p w:rsidR="00BB59CD" w:rsidRDefault="00BB59CD" w:rsidP="00BB59CD">
      <w:pPr>
        <w:pStyle w:val="af8"/>
        <w:keepNext/>
        <w:rPr>
          <w:rtl/>
        </w:rPr>
      </w:pPr>
      <w:bookmarkStart w:id="58343" w:name="ET_interruption_קריאה_4"/>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58343"/>
    </w:p>
    <w:p w:rsidR="00BB59CD" w:rsidRDefault="00BB59CD" w:rsidP="00337201">
      <w:pPr>
        <w:rPr>
          <w:rtl/>
        </w:rPr>
      </w:pPr>
    </w:p>
    <w:p w:rsidR="00BB59CD" w:rsidRDefault="00BB59CD" w:rsidP="00BB59CD">
      <w:pPr>
        <w:rPr>
          <w:rtl/>
        </w:rPr>
      </w:pPr>
      <w:r>
        <w:rPr>
          <w:rFonts w:hint="cs"/>
          <w:rtl/>
        </w:rPr>
        <w:t>אין ספק.</w:t>
      </w:r>
    </w:p>
    <w:p w:rsidR="00BB59CD" w:rsidRDefault="00BB59CD" w:rsidP="00BB59CD">
      <w:pPr>
        <w:rPr>
          <w:rtl/>
        </w:rPr>
      </w:pPr>
    </w:p>
    <w:p w:rsidR="00BB59CD" w:rsidRDefault="00BB59CD" w:rsidP="00BB59CD">
      <w:pPr>
        <w:pStyle w:val="-"/>
        <w:keepNext/>
        <w:rPr>
          <w:rtl/>
        </w:rPr>
      </w:pPr>
      <w:bookmarkStart w:id="58344" w:name="ET_speakercontinue_6507_5"/>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58344"/>
    </w:p>
    <w:p w:rsidR="00BB59CD" w:rsidRDefault="00BB59CD" w:rsidP="00337201">
      <w:pPr>
        <w:rPr>
          <w:rtl/>
        </w:rPr>
      </w:pPr>
    </w:p>
    <w:p w:rsidR="00BB59CD" w:rsidRDefault="00BB59CD" w:rsidP="00BB59CD">
      <w:pPr>
        <w:rPr>
          <w:rtl/>
        </w:rPr>
      </w:pPr>
      <w:r>
        <w:rPr>
          <w:rFonts w:hint="cs"/>
          <w:rtl/>
        </w:rPr>
        <w:t xml:space="preserve">ברור. אין לי ספק, הבת שלי עולה לי"ב, </w:t>
      </w:r>
      <w:bookmarkStart w:id="58345" w:name="_ETM_Q106_246457"/>
      <w:bookmarkEnd w:id="58345"/>
      <w:r>
        <w:rPr>
          <w:rFonts w:hint="cs"/>
          <w:rtl/>
        </w:rPr>
        <w:t xml:space="preserve">בטוח שעכשיו היא צופה ומשננת את החומר בעל פה. לך </w:t>
      </w:r>
      <w:bookmarkStart w:id="58346" w:name="_ETM_Q106_248987"/>
      <w:bookmarkEnd w:id="58346"/>
      <w:r>
        <w:rPr>
          <w:rFonts w:hint="cs"/>
          <w:rtl/>
        </w:rPr>
        <w:t xml:space="preserve">אני יכולה להביא סיכומים, אגב, הכול בסדר. אני אומרת לה </w:t>
      </w:r>
      <w:bookmarkStart w:id="58347" w:name="_ETM_Q106_253774"/>
      <w:bookmarkEnd w:id="58347"/>
      <w:r>
        <w:rPr>
          <w:rFonts w:hint="cs"/>
          <w:rtl/>
        </w:rPr>
        <w:t>למצלמה כי אולי היא צופה.</w:t>
      </w:r>
    </w:p>
    <w:p w:rsidR="00BB59CD" w:rsidRDefault="00BB59CD" w:rsidP="00BB59CD">
      <w:pPr>
        <w:rPr>
          <w:rtl/>
        </w:rPr>
      </w:pPr>
      <w:bookmarkStart w:id="58348" w:name="_ETM_Q106_256299"/>
      <w:bookmarkStart w:id="58349" w:name="_ETM_Q106_256375"/>
      <w:bookmarkEnd w:id="58348"/>
      <w:bookmarkEnd w:id="58349"/>
    </w:p>
    <w:p w:rsidR="00BB59CD" w:rsidRDefault="00C71A62" w:rsidP="00C71A62">
      <w:pPr>
        <w:rPr>
          <w:rtl/>
        </w:rPr>
      </w:pPr>
      <w:bookmarkStart w:id="58350" w:name="_ETM_Q106_244691"/>
      <w:bookmarkStart w:id="58351" w:name="_ETM_Q106_244775"/>
      <w:bookmarkEnd w:id="58350"/>
      <w:bookmarkEnd w:id="58351"/>
      <w:r>
        <w:rPr>
          <w:rFonts w:hint="cs"/>
          <w:rtl/>
        </w:rPr>
        <w:t>"</w:t>
      </w:r>
      <w:r w:rsidR="00BB59CD">
        <w:rPr>
          <w:rFonts w:hint="cs"/>
          <w:rtl/>
        </w:rPr>
        <w:t>ובכל זאת, איך נסביר את המקרים של הונגריה ופולין? מדינות מרכז אירופה, שנלחמו נגד העות'מאנים, שקיבלו עצמאות אחרי מלחמת העולם הראשונה, היו בשליטת שליטים צבאיים נערצים, מדוע הן נסוגות מהדמוקרטיה המערבית, זו שהייתה משאת נפשן שנים רבות כל כך? מה בעצם קרה כאן? מדוע אישים שהיו דמוקרטים הפכו את עורם? מדוע מוסדות דמוקרטיים – מערכות משפט, התקשורת, ובעיקר העם – קרסו?</w:t>
      </w:r>
      <w:r>
        <w:rPr>
          <w:rFonts w:hint="cs"/>
          <w:rtl/>
        </w:rPr>
        <w:t xml:space="preserve"> </w:t>
      </w:r>
      <w:r w:rsidR="00BB59CD">
        <w:rPr>
          <w:rFonts w:hint="cs"/>
          <w:rtl/>
        </w:rPr>
        <w:t>אין להכחיש שבכל המדינות הללו, וגם במדינות אחרות, שבהן אנו רואים עלייה של האוטוריטריות והפופוליזם – הודו, ברזיל, הפיליפינים ואחרות – יש תמיכה גבוהה עד גבוהה מאוד במנהיגים הללו, שאינם הרודנים השנואים של פעם, שנשענו על משטרה אלימה, שירותים חשאיים וכמה מושחתים בלבד</w:t>
      </w:r>
      <w:r>
        <w:rPr>
          <w:rFonts w:hint="cs"/>
          <w:rtl/>
        </w:rPr>
        <w:t>"</w:t>
      </w:r>
      <w:r w:rsidR="00BB59CD">
        <w:rPr>
          <w:rFonts w:hint="cs"/>
          <w:rtl/>
        </w:rPr>
        <w:t>.</w:t>
      </w:r>
    </w:p>
    <w:p w:rsidR="00BB59CD" w:rsidRDefault="00BB59CD" w:rsidP="00BB59CD">
      <w:pPr>
        <w:rPr>
          <w:rtl/>
        </w:rPr>
      </w:pPr>
    </w:p>
    <w:p w:rsidR="00BB59CD" w:rsidRDefault="00BB59CD" w:rsidP="00BB59CD">
      <w:pPr>
        <w:rPr>
          <w:rtl/>
        </w:rPr>
      </w:pPr>
      <w:r>
        <w:rPr>
          <w:rFonts w:hint="cs"/>
          <w:rtl/>
        </w:rPr>
        <w:t xml:space="preserve">ברוכים הבאים, חבר </w:t>
      </w:r>
      <w:bookmarkStart w:id="58352" w:name="_ETM_Q106_305678"/>
      <w:bookmarkEnd w:id="58352"/>
      <w:r>
        <w:rPr>
          <w:rFonts w:hint="cs"/>
          <w:rtl/>
        </w:rPr>
        <w:t xml:space="preserve">הכנסת עידן רול, בשעת לילה מאוחרת זו. אני בדיוק בסקירה היסטורית שאני בטוחה שאחר כך אתה תרצה ללמוד אותה. </w:t>
      </w:r>
    </w:p>
    <w:p w:rsidR="00BB59CD" w:rsidRDefault="00BB59CD" w:rsidP="00BB59CD">
      <w:pPr>
        <w:rPr>
          <w:rtl/>
        </w:rPr>
      </w:pPr>
      <w:bookmarkStart w:id="58353" w:name="_ETM_Q106_318613"/>
      <w:bookmarkStart w:id="58354" w:name="_ETM_Q106_318669"/>
      <w:bookmarkEnd w:id="58353"/>
      <w:bookmarkEnd w:id="58354"/>
    </w:p>
    <w:p w:rsidR="00BB59CD" w:rsidRDefault="00C71A62" w:rsidP="00C71A62">
      <w:pPr>
        <w:rPr>
          <w:rtl/>
        </w:rPr>
      </w:pPr>
      <w:bookmarkStart w:id="58355" w:name="_ETM_Q106_319103"/>
      <w:bookmarkStart w:id="58356" w:name="_ETM_Q106_319158"/>
      <w:bookmarkEnd w:id="58355"/>
      <w:bookmarkEnd w:id="58356"/>
      <w:r>
        <w:rPr>
          <w:rFonts w:hint="cs"/>
          <w:rtl/>
        </w:rPr>
        <w:t>"</w:t>
      </w:r>
      <w:r w:rsidR="00BB59CD">
        <w:rPr>
          <w:rFonts w:hint="cs"/>
          <w:rtl/>
        </w:rPr>
        <w:t xml:space="preserve">כצפוי, המאפיינים שעליהם דיברנו הם ההסבר. פוליטיקאים תמיד רוצים יותר עוצמה, כוח ושלטון – </w:t>
      </w:r>
      <w:r>
        <w:rPr>
          <w:rFonts w:hint="cs"/>
          <w:rtl/>
        </w:rPr>
        <w:t>'</w:t>
      </w:r>
      <w:r w:rsidR="00BB59CD">
        <w:rPr>
          <w:rFonts w:hint="cs"/>
          <w:rtl/>
        </w:rPr>
        <w:t>לטובת העם</w:t>
      </w:r>
      <w:r>
        <w:rPr>
          <w:rFonts w:hint="cs"/>
          <w:rtl/>
        </w:rPr>
        <w:t>'</w:t>
      </w:r>
      <w:r w:rsidR="00BB59CD">
        <w:rPr>
          <w:rFonts w:hint="cs"/>
          <w:rtl/>
        </w:rPr>
        <w:t>, כמובן, מה פתאום לטובתם</w:t>
      </w:r>
      <w:r>
        <w:rPr>
          <w:rFonts w:hint="cs"/>
          <w:rtl/>
        </w:rPr>
        <w:t>.</w:t>
      </w:r>
      <w:r w:rsidR="00BB59CD">
        <w:rPr>
          <w:rFonts w:hint="cs"/>
          <w:rtl/>
        </w:rPr>
        <w:t xml:space="preserve"> זה נכון בכל מערכת שלטונית. הם פועלים במסגרת המערכות, ומנסים לכופף אותן לתועלתם. אם המערכת ותיקה וחזקה, כמו בבריטניה למשל, זה לא יקרה. מערכת חלשה, חדשה, בלי תמיכה מהעם ובמוסדות החברה, ובזמן משבר, תתרסק – גרמניה של ויימאר, רוסיה של סוף מלחמת העולם הראשונה – אבל יש גם מצבי ביניים, למשל כשהאזרחים מרגישים שעשו בשמם עסקה שהרעה את מצבם.</w:t>
      </w:r>
      <w:r>
        <w:rPr>
          <w:rFonts w:hint="cs"/>
          <w:rtl/>
        </w:rPr>
        <w:t xml:space="preserve"> </w:t>
      </w:r>
      <w:bookmarkStart w:id="58357" w:name="_ETM_Q106_356787"/>
      <w:bookmarkStart w:id="58358" w:name="_ETM_Q106_356878"/>
      <w:bookmarkEnd w:id="58357"/>
      <w:bookmarkEnd w:id="58358"/>
      <w:r w:rsidR="00BB59CD">
        <w:rPr>
          <w:rFonts w:hint="cs"/>
          <w:rtl/>
        </w:rPr>
        <w:t>כאלו הן פולין והונגריה. שתי מדינות שבסוף שנות השמונים ותחילת התשעים של המאה ה-20 חוו מרירות לצד גאווה לאומית עזה; כשהמציאות בהווה אפורה, במשבר כלכלי, בתחושה שהמערב מטיף ומתנשא עליהן, מעטים מתעשרים במהירות, רבים היגרו למקומות טובים יותר והפערים התרחבו – בין פריפריה ומרכז, בין צעירים משכילים, בין עירוניים וגלובליים לבין הרוב. את כל הפערים האלה מנצלים בכישרון פוליטיקאים מוכשרים ודמגוגיים. בכל העולם זה כך</w:t>
      </w:r>
      <w:r>
        <w:rPr>
          <w:rFonts w:hint="cs"/>
          <w:rtl/>
        </w:rPr>
        <w:t>"</w:t>
      </w:r>
      <w:r w:rsidR="00BB59CD">
        <w:rPr>
          <w:rFonts w:hint="cs"/>
          <w:rtl/>
        </w:rPr>
        <w:t>. נשמע מוכר.</w:t>
      </w:r>
    </w:p>
    <w:p w:rsidR="00BB59CD" w:rsidRDefault="00BB59CD" w:rsidP="00BB59CD">
      <w:pPr>
        <w:rPr>
          <w:rtl/>
        </w:rPr>
      </w:pPr>
    </w:p>
    <w:p w:rsidR="00BB59CD" w:rsidRDefault="00C71A62" w:rsidP="00C71A62">
      <w:pPr>
        <w:rPr>
          <w:rtl/>
        </w:rPr>
      </w:pPr>
      <w:r>
        <w:rPr>
          <w:rFonts w:hint="cs"/>
          <w:rtl/>
        </w:rPr>
        <w:t>"</w:t>
      </w:r>
      <w:r w:rsidR="00BB59CD">
        <w:rPr>
          <w:rFonts w:hint="cs"/>
          <w:rtl/>
        </w:rPr>
        <w:t>אז אורבן פונה במודע לדרך אחרת, כאשר הוא נבחר שוב בשנת 2010. הוא מעביר חוקים על רקע המשבר הכלכלי הגלובלי שהחל ב־2008, ועל רקע שערוריות שחיתות: למשל, חוק שלפיו תוכל מפלגתו להחזיק בשני</w:t>
      </w:r>
      <w:bookmarkStart w:id="58359" w:name="_ETM_Q106_412969"/>
      <w:bookmarkEnd w:id="58359"/>
      <w:r w:rsidR="00BB59CD">
        <w:rPr>
          <w:rFonts w:hint="cs"/>
          <w:rtl/>
        </w:rPr>
        <w:t xml:space="preserve"> שלישים מהמושבים בפרלמנט ההונגרי, גם אם זכתה ב־25% מהקולות, וכך יכלה מפלגתו להעביר חוקים בעזרת רוב בפרלמנט, ללא צורך בשיתוף פעולה עם מפלגות נוספות. משילות, אתם יודעים</w:t>
      </w:r>
      <w:r>
        <w:rPr>
          <w:rFonts w:hint="cs"/>
          <w:rtl/>
        </w:rPr>
        <w:t>"</w:t>
      </w:r>
      <w:r w:rsidR="00BB59CD">
        <w:rPr>
          <w:rFonts w:hint="cs"/>
          <w:rtl/>
        </w:rPr>
        <w:t>.</w:t>
      </w:r>
      <w:bookmarkStart w:id="58360" w:name="_ETM_Q106_357027"/>
      <w:bookmarkStart w:id="58361" w:name="_ETM_Q106_357122"/>
      <w:bookmarkEnd w:id="58360"/>
      <w:bookmarkEnd w:id="58361"/>
      <w:r>
        <w:rPr>
          <w:rFonts w:hint="cs"/>
          <w:rtl/>
        </w:rPr>
        <w:t xml:space="preserve"> </w:t>
      </w:r>
      <w:r w:rsidR="00BB59CD">
        <w:rPr>
          <w:rFonts w:hint="cs"/>
          <w:rtl/>
        </w:rPr>
        <w:t>כמו בארצות הברית</w:t>
      </w:r>
      <w:r>
        <w:rPr>
          <w:rFonts w:hint="cs"/>
          <w:rtl/>
        </w:rPr>
        <w:t>,</w:t>
      </w:r>
      <w:r w:rsidR="00BB59CD">
        <w:rPr>
          <w:rFonts w:hint="cs"/>
          <w:rtl/>
        </w:rPr>
        <w:t xml:space="preserve"> לדוגמה, </w:t>
      </w:r>
      <w:r>
        <w:rPr>
          <w:rFonts w:hint="cs"/>
          <w:rtl/>
        </w:rPr>
        <w:t>"</w:t>
      </w:r>
      <w:r w:rsidR="00BB59CD">
        <w:rPr>
          <w:rFonts w:hint="cs"/>
          <w:rtl/>
        </w:rPr>
        <w:t xml:space="preserve">שינה אורבן את מפת ההצבעה על </w:t>
      </w:r>
      <w:bookmarkStart w:id="58362" w:name="_ETM_Q106_430676"/>
      <w:bookmarkEnd w:id="58362"/>
      <w:r w:rsidR="00BB59CD">
        <w:rPr>
          <w:rFonts w:hint="cs"/>
          <w:rtl/>
        </w:rPr>
        <w:t xml:space="preserve">פי מחוזות, כך שבמחוזות שבהם היה צפוי להפסיד, יחולקו </w:t>
      </w:r>
      <w:bookmarkStart w:id="58363" w:name="_ETM_Q106_434517"/>
      <w:bookmarkEnd w:id="58363"/>
      <w:r w:rsidR="00BB59CD">
        <w:rPr>
          <w:rFonts w:hint="cs"/>
          <w:rtl/>
        </w:rPr>
        <w:t xml:space="preserve">באופן שונה כדי לחזק את היתרון היחסי של מפלגתו. </w:t>
      </w:r>
      <w:bookmarkStart w:id="58364" w:name="_ETM_Q106_437918"/>
      <w:bookmarkEnd w:id="58364"/>
      <w:r w:rsidR="00BB59CD">
        <w:rPr>
          <w:rFonts w:hint="cs"/>
          <w:rtl/>
        </w:rPr>
        <w:t xml:space="preserve">אחר כך העביר את חוק התקשורת, שקובע כי כל ערוצי </w:t>
      </w:r>
      <w:bookmarkStart w:id="58365" w:name="_ETM_Q106_442272"/>
      <w:bookmarkEnd w:id="58365"/>
      <w:r w:rsidR="00BB59CD">
        <w:rPr>
          <w:rFonts w:hint="cs"/>
          <w:rtl/>
        </w:rPr>
        <w:t xml:space="preserve">השידור נדרשו לספק </w:t>
      </w:r>
      <w:r>
        <w:rPr>
          <w:rFonts w:hint="cs"/>
          <w:rtl/>
        </w:rPr>
        <w:t>'</w:t>
      </w:r>
      <w:r w:rsidR="00BB59CD">
        <w:rPr>
          <w:rFonts w:hint="cs"/>
          <w:rtl/>
        </w:rPr>
        <w:t>סיקור חדשותי מאוזן</w:t>
      </w:r>
      <w:r>
        <w:rPr>
          <w:rFonts w:hint="cs"/>
          <w:rtl/>
        </w:rPr>
        <w:t>'</w:t>
      </w:r>
      <w:r w:rsidR="00BB59CD">
        <w:rPr>
          <w:rFonts w:hint="cs"/>
          <w:rtl/>
        </w:rPr>
        <w:t xml:space="preserve">, כאשר הגורם המחליט </w:t>
      </w:r>
      <w:bookmarkStart w:id="58366" w:name="_ETM_Q106_447753"/>
      <w:bookmarkEnd w:id="58366"/>
      <w:r w:rsidR="00BB59CD">
        <w:rPr>
          <w:rFonts w:hint="cs"/>
          <w:rtl/>
        </w:rPr>
        <w:t xml:space="preserve">אם הסיקור מאוזן, הוא כמובן ועדה בשליטת הממשלה. ויש קנסות </w:t>
      </w:r>
      <w:bookmarkStart w:id="58367" w:name="_ETM_Q106_453642"/>
      <w:bookmarkEnd w:id="58367"/>
      <w:r w:rsidR="00BB59CD">
        <w:rPr>
          <w:rFonts w:hint="cs"/>
          <w:rtl/>
        </w:rPr>
        <w:t>כבדים למפ</w:t>
      </w:r>
      <w:r>
        <w:rPr>
          <w:rFonts w:hint="cs"/>
          <w:rtl/>
        </w:rPr>
        <w:t>י</w:t>
      </w:r>
      <w:r w:rsidR="00BB59CD">
        <w:rPr>
          <w:rFonts w:hint="cs"/>
          <w:rtl/>
        </w:rPr>
        <w:t>רים את החוק.</w:t>
      </w:r>
      <w:bookmarkStart w:id="58368" w:name="_ETM_Q106_457324"/>
      <w:bookmarkStart w:id="58369" w:name="_ETM_Q106_457427"/>
      <w:bookmarkEnd w:id="58368"/>
      <w:bookmarkEnd w:id="58369"/>
      <w:r>
        <w:rPr>
          <w:rFonts w:hint="cs"/>
          <w:rtl/>
        </w:rPr>
        <w:t xml:space="preserve"> </w:t>
      </w:r>
      <w:r w:rsidR="00BB59CD">
        <w:rPr>
          <w:rFonts w:hint="cs"/>
          <w:rtl/>
        </w:rPr>
        <w:t>בשנת 2015 מספר כלי התקשורת שהיו פרו-ממשלתיים היה 31, ואילו בשנת 2019 כבר יותר מ-500 – לאורך הדרך נסגרו כלי תקשורת בולטים שהיו מזוהים עם האופוזיציה. בכל הזמן הזה העם באופן כללי איתו, מזדהה במאבקו נגד החמוצים, מותחי הביקורת, הליברלים שהם לא באמת הונגרים אמיתיים משלנו, אלא תומכים ברעיונות המיובאים מבחוץ.</w:t>
      </w:r>
    </w:p>
    <w:p w:rsidR="00BB59CD" w:rsidRDefault="00BB59CD" w:rsidP="00BB59CD">
      <w:pPr>
        <w:rPr>
          <w:rtl/>
        </w:rPr>
      </w:pPr>
    </w:p>
    <w:p w:rsidR="00BB59CD" w:rsidRDefault="00C71A62" w:rsidP="00C71A62">
      <w:pPr>
        <w:rPr>
          <w:rtl/>
        </w:rPr>
      </w:pPr>
      <w:r>
        <w:rPr>
          <w:rFonts w:hint="cs"/>
          <w:rtl/>
        </w:rPr>
        <w:t>"</w:t>
      </w:r>
      <w:r w:rsidR="00BB59CD">
        <w:rPr>
          <w:rFonts w:hint="cs"/>
          <w:rtl/>
        </w:rPr>
        <w:t>אורבן העביר חוקה חדשה שהעצימה אותו; חצה ע</w:t>
      </w:r>
      <w:r>
        <w:rPr>
          <w:rFonts w:hint="cs"/>
          <w:rtl/>
        </w:rPr>
        <w:t>ו</w:t>
      </w:r>
      <w:r w:rsidR="00BB59CD">
        <w:rPr>
          <w:rFonts w:hint="cs"/>
          <w:rtl/>
        </w:rPr>
        <w:t>ד קו אדום כשהחל להתבטא בשם ערכים נוצריים; יצא למלחמה נגד איל ההון היהודי-אמריקני ממוצא הונגרי ג'ורג' סורוס – שתורם למטרות גלובליות, למען חברות פתוחות ודמוקרטיות, ומשמש כולא ברקים למתנגדי הגלובליזציה. העובדה שהוא יהודי – ויהדותו ידועה לכ</w:t>
      </w:r>
      <w:r>
        <w:rPr>
          <w:rFonts w:hint="cs"/>
          <w:rtl/>
        </w:rPr>
        <w:t>ו</w:t>
      </w:r>
      <w:r w:rsidR="00BB59CD">
        <w:rPr>
          <w:rFonts w:hint="cs"/>
          <w:rtl/>
        </w:rPr>
        <w:t>ל – לא מזיקה במדינה שבה ישנה מסורת אנטישמית חזקה מאוד.</w:t>
      </w:r>
      <w:r>
        <w:rPr>
          <w:rFonts w:hint="cs"/>
          <w:rtl/>
        </w:rPr>
        <w:t xml:space="preserve"> </w:t>
      </w:r>
      <w:bookmarkStart w:id="58370" w:name="_ETM_Q106_426153"/>
      <w:bookmarkStart w:id="58371" w:name="_ETM_Q106_426256"/>
      <w:bookmarkStart w:id="58372" w:name="_ETM_Q106_512768"/>
      <w:bookmarkStart w:id="58373" w:name="_ETM_Q106_512886"/>
      <w:bookmarkEnd w:id="58370"/>
      <w:bookmarkEnd w:id="58371"/>
      <w:bookmarkEnd w:id="58372"/>
      <w:bookmarkEnd w:id="58373"/>
      <w:r w:rsidR="00BB59CD">
        <w:rPr>
          <w:rFonts w:hint="cs"/>
          <w:rtl/>
        </w:rPr>
        <w:t xml:space="preserve">אורבן הקים מערכת </w:t>
      </w:r>
      <w:bookmarkStart w:id="58374" w:name="_ETM_Q106_515211"/>
      <w:bookmarkEnd w:id="58374"/>
      <w:r w:rsidR="00BB59CD">
        <w:rPr>
          <w:rFonts w:hint="cs"/>
          <w:rtl/>
        </w:rPr>
        <w:t xml:space="preserve">משפט חלופית, מוטט את שומרי הסף, נלחם בארגוני החברה האזרחית. הקורונה סייעה לו מאוד, ולמשטרים אחרים, משום שבחסותה יש לו צווי חירום. הוא מעודד ילודה של נשים הונגריות נוצריות, וכמו במדינות אחרות החל רישום של </w:t>
      </w:r>
      <w:r>
        <w:rPr>
          <w:rFonts w:hint="cs"/>
          <w:rtl/>
        </w:rPr>
        <w:t>'</w:t>
      </w:r>
      <w:r w:rsidR="00BB59CD">
        <w:rPr>
          <w:rFonts w:hint="cs"/>
          <w:rtl/>
        </w:rPr>
        <w:t>ארגונים זרים</w:t>
      </w:r>
      <w:r>
        <w:rPr>
          <w:rFonts w:hint="cs"/>
          <w:rtl/>
        </w:rPr>
        <w:t>'</w:t>
      </w:r>
      <w:r w:rsidR="00BB59CD">
        <w:rPr>
          <w:rFonts w:hint="cs"/>
          <w:rtl/>
        </w:rPr>
        <w:t xml:space="preserve"> – כלומר אלה המקבלים מימון מחוץ להונגריה ומתויגים כאויבים.</w:t>
      </w:r>
    </w:p>
    <w:p w:rsidR="00BB59CD" w:rsidRDefault="00BB59CD" w:rsidP="00BB59CD">
      <w:pPr>
        <w:rPr>
          <w:rtl/>
        </w:rPr>
      </w:pPr>
    </w:p>
    <w:p w:rsidR="00BB59CD" w:rsidRDefault="00C71A62" w:rsidP="00BB59CD">
      <w:pPr>
        <w:rPr>
          <w:rtl/>
        </w:rPr>
      </w:pPr>
      <w:r>
        <w:rPr>
          <w:rFonts w:hint="cs"/>
          <w:rtl/>
        </w:rPr>
        <w:t>"</w:t>
      </w:r>
      <w:r w:rsidR="00BB59CD">
        <w:rPr>
          <w:rFonts w:hint="cs"/>
          <w:rtl/>
        </w:rPr>
        <w:t>כמו אחרים, הוא גם נלחם נגד קבלת פליטים, בעיקר מהמזרח התיכון והעולם המוסלמי, לאיחוד האירופי בכלל ולהונגריה בפרט: בזמן משבר הפליטים של 2015 הונגריה הקימה גדרות תיל בגבול עם סרביה</w:t>
      </w:r>
      <w:r>
        <w:rPr>
          <w:rFonts w:hint="cs"/>
          <w:rtl/>
        </w:rPr>
        <w:t>"</w:t>
      </w:r>
      <w:r w:rsidR="00BB59CD">
        <w:rPr>
          <w:rFonts w:hint="cs"/>
          <w:rtl/>
        </w:rPr>
        <w:t>.</w:t>
      </w:r>
    </w:p>
    <w:p w:rsidR="00BB59CD" w:rsidRDefault="00BB59CD" w:rsidP="00BB59CD">
      <w:pPr>
        <w:rPr>
          <w:rtl/>
        </w:rPr>
      </w:pPr>
    </w:p>
    <w:p w:rsidR="00BB59CD" w:rsidRDefault="00BB59CD" w:rsidP="00BB59CD">
      <w:pPr>
        <w:rPr>
          <w:rtl/>
        </w:rPr>
      </w:pPr>
      <w:r>
        <w:rPr>
          <w:rFonts w:hint="cs"/>
          <w:rtl/>
        </w:rPr>
        <w:t>ברוכים הבאים, חבר הכנסת נאור שירי, שלום לך.</w:t>
      </w:r>
    </w:p>
    <w:p w:rsidR="00BB59CD" w:rsidRDefault="00BB59CD" w:rsidP="00BB59CD">
      <w:pPr>
        <w:rPr>
          <w:rtl/>
        </w:rPr>
      </w:pPr>
    </w:p>
    <w:p w:rsidR="00BB59CD" w:rsidRDefault="00BB59CD" w:rsidP="00BB59CD">
      <w:pPr>
        <w:pStyle w:val="af8"/>
        <w:keepNext/>
        <w:rPr>
          <w:rtl/>
        </w:rPr>
      </w:pPr>
      <w:bookmarkStart w:id="58375" w:name="ET_interruption_6361_3"/>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58375"/>
    </w:p>
    <w:p w:rsidR="00BB59CD" w:rsidRDefault="00BB59CD" w:rsidP="00337201">
      <w:pPr>
        <w:rPr>
          <w:rtl/>
        </w:rPr>
      </w:pPr>
    </w:p>
    <w:p w:rsidR="00BB59CD" w:rsidRDefault="00BB59CD" w:rsidP="00BB59CD">
      <w:pPr>
        <w:rPr>
          <w:rtl/>
        </w:rPr>
      </w:pPr>
      <w:r>
        <w:rPr>
          <w:rFonts w:hint="cs"/>
          <w:rtl/>
        </w:rPr>
        <w:t>בוקר אור.</w:t>
      </w:r>
    </w:p>
    <w:p w:rsidR="00BB59CD" w:rsidRDefault="00BB59CD" w:rsidP="00BB59CD">
      <w:pPr>
        <w:rPr>
          <w:rtl/>
        </w:rPr>
      </w:pPr>
    </w:p>
    <w:p w:rsidR="00BB59CD" w:rsidRDefault="00BB59CD" w:rsidP="00BB59CD">
      <w:pPr>
        <w:pStyle w:val="-"/>
        <w:keepNext/>
        <w:rPr>
          <w:rtl/>
        </w:rPr>
      </w:pPr>
      <w:bookmarkStart w:id="58376" w:name="ET_speakercontinue_6507_6"/>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58376"/>
    </w:p>
    <w:p w:rsidR="00BB59CD" w:rsidRDefault="00BB59CD" w:rsidP="00337201">
      <w:pPr>
        <w:rPr>
          <w:rtl/>
        </w:rPr>
      </w:pPr>
    </w:p>
    <w:p w:rsidR="00BB59CD" w:rsidRDefault="00BB59CD" w:rsidP="00BB59CD">
      <w:pPr>
        <w:rPr>
          <w:rtl/>
        </w:rPr>
      </w:pPr>
      <w:bookmarkStart w:id="58377" w:name="_ETM_Q106_559287"/>
      <w:bookmarkEnd w:id="58377"/>
      <w:r>
        <w:rPr>
          <w:rFonts w:hint="cs"/>
          <w:rtl/>
        </w:rPr>
        <w:t xml:space="preserve">אני מברכת </w:t>
      </w:r>
      <w:bookmarkStart w:id="58378" w:name="_ETM_Q106_557636"/>
      <w:bookmarkEnd w:id="58378"/>
      <w:r>
        <w:rPr>
          <w:rFonts w:hint="cs"/>
          <w:rtl/>
        </w:rPr>
        <w:t>כל מי שנכנס למליאה. זה חשוב.</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אני מבין שלא הרבה נכנסים.</w:t>
      </w:r>
    </w:p>
    <w:p w:rsidR="00BB59CD" w:rsidRDefault="00BB59CD" w:rsidP="00BB59CD">
      <w:pPr>
        <w:rPr>
          <w:rtl/>
        </w:rPr>
      </w:pPr>
    </w:p>
    <w:p w:rsidR="00BB59CD" w:rsidRDefault="00BB59CD" w:rsidP="00BB59CD">
      <w:pPr>
        <w:pStyle w:val="-"/>
        <w:keepNext/>
        <w:rPr>
          <w:rtl/>
        </w:rPr>
      </w:pPr>
      <w:bookmarkStart w:id="58379" w:name="ET_speakercontinue_6507_7"/>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58379"/>
    </w:p>
    <w:p w:rsidR="00BB59CD" w:rsidRDefault="00BB59CD" w:rsidP="00337201">
      <w:pPr>
        <w:rPr>
          <w:rtl/>
        </w:rPr>
      </w:pPr>
    </w:p>
    <w:p w:rsidR="00BB59CD" w:rsidRDefault="00BB59CD" w:rsidP="00BB59CD">
      <w:pPr>
        <w:rPr>
          <w:rtl/>
        </w:rPr>
      </w:pPr>
      <w:bookmarkStart w:id="58380" w:name="_ETM_Q106_562959"/>
      <w:bookmarkEnd w:id="58380"/>
      <w:r>
        <w:rPr>
          <w:rFonts w:hint="cs"/>
          <w:rtl/>
        </w:rPr>
        <w:t xml:space="preserve">די מעט. מעטים. אבל כל </w:t>
      </w:r>
      <w:bookmarkStart w:id="58381" w:name="_ETM_Q106_563786"/>
      <w:bookmarkEnd w:id="58381"/>
      <w:r>
        <w:rPr>
          <w:rFonts w:hint="cs"/>
          <w:rtl/>
        </w:rPr>
        <w:t>אחד סופרסטאר. מי שנכנס.</w:t>
      </w:r>
    </w:p>
    <w:p w:rsidR="00BB59CD" w:rsidRDefault="00BB59CD" w:rsidP="00BB59CD">
      <w:pPr>
        <w:rPr>
          <w:rtl/>
        </w:rPr>
      </w:pPr>
      <w:bookmarkStart w:id="58382" w:name="_ETM_Q106_566896"/>
      <w:bookmarkStart w:id="58383" w:name="_ETM_Q106_566985"/>
      <w:bookmarkEnd w:id="58382"/>
      <w:bookmarkEnd w:id="58383"/>
    </w:p>
    <w:p w:rsidR="00BB59CD" w:rsidRDefault="00C71A62" w:rsidP="00C71A62">
      <w:pPr>
        <w:rPr>
          <w:rtl/>
        </w:rPr>
      </w:pPr>
      <w:r>
        <w:rPr>
          <w:rFonts w:hint="cs"/>
          <w:rtl/>
        </w:rPr>
        <w:t>"</w:t>
      </w:r>
      <w:r w:rsidR="00BB59CD">
        <w:rPr>
          <w:rFonts w:hint="cs"/>
          <w:rtl/>
        </w:rPr>
        <w:t>אבל, טוען אורבן, בהונגריה יש דמוקרטיה. פשוט לא דמוקרטיה ליברלית כמו במערב. מה זה אומר בעצם?</w:t>
      </w:r>
      <w:bookmarkStart w:id="58384" w:name="_ETM_Q106_575623"/>
      <w:bookmarkStart w:id="58385" w:name="_ETM_Q106_575730"/>
      <w:bookmarkStart w:id="58386" w:name="_ETM_Q106_513007"/>
      <w:bookmarkStart w:id="58387" w:name="_ETM_Q106_513140"/>
      <w:bookmarkEnd w:id="58384"/>
      <w:bookmarkEnd w:id="58385"/>
      <w:bookmarkEnd w:id="58386"/>
      <w:bookmarkEnd w:id="58387"/>
      <w:r w:rsidR="00BB59CD">
        <w:rPr>
          <w:rFonts w:hint="cs"/>
          <w:rtl/>
        </w:rPr>
        <w:t xml:space="preserve"> הטעות המערבית הייתה, ובמידה מסוימת עודנה, ההנחה שהדמוקרטיה המערבית היא אוניברסלית; שכל העולם רוצה בה, ושהיא מתאימה לכל מדינה, לכל חברה. היא לא. יש בהחלט חברות מסורתיות יותר, ששמות דגש על הקבוצה ולא על היחיד, ושבהן הדת חזקה יותר. </w:t>
      </w:r>
      <w:r>
        <w:rPr>
          <w:rFonts w:hint="cs"/>
          <w:rtl/>
        </w:rPr>
        <w:t xml:space="preserve">בהן </w:t>
      </w:r>
      <w:r w:rsidR="00BB59CD">
        <w:rPr>
          <w:rFonts w:hint="cs"/>
          <w:rtl/>
        </w:rPr>
        <w:t>יכולה בהחלט לצמוח דמוקרטיה שאינה מבוססת אינדיווידואליזם, תהליך חילוניות או הפרדת הדת מהמדינה.</w:t>
      </w:r>
    </w:p>
    <w:p w:rsidR="00BB59CD" w:rsidRDefault="00BB59CD" w:rsidP="00BB59CD">
      <w:pPr>
        <w:rPr>
          <w:rtl/>
        </w:rPr>
      </w:pPr>
    </w:p>
    <w:p w:rsidR="00BB59CD" w:rsidRDefault="00C71A62" w:rsidP="002E2E1E">
      <w:pPr>
        <w:rPr>
          <w:rtl/>
        </w:rPr>
      </w:pPr>
      <w:r>
        <w:rPr>
          <w:rFonts w:hint="cs"/>
          <w:rtl/>
        </w:rPr>
        <w:t>"</w:t>
      </w:r>
      <w:r w:rsidR="00BB59CD">
        <w:rPr>
          <w:rFonts w:hint="cs"/>
          <w:rtl/>
        </w:rPr>
        <w:t>אבל זה לא מה שאורבן וחבריו עושים. הם מפוררים את זכויות האזרח – בעיקר של המיעוטים, או של כל מי שאינו נחשב חלק מ</w:t>
      </w:r>
      <w:r w:rsidR="002E2E1E">
        <w:rPr>
          <w:rFonts w:hint="cs"/>
          <w:rtl/>
        </w:rPr>
        <w:t>'ה</w:t>
      </w:r>
      <w:r w:rsidR="00BB59CD">
        <w:rPr>
          <w:rFonts w:hint="cs"/>
          <w:rtl/>
        </w:rPr>
        <w:t>עם האותנטי</w:t>
      </w:r>
      <w:r w:rsidR="002E2E1E">
        <w:rPr>
          <w:rFonts w:hint="cs"/>
          <w:rtl/>
        </w:rPr>
        <w:t>'</w:t>
      </w:r>
      <w:r w:rsidR="00BB59CD">
        <w:rPr>
          <w:rFonts w:hint="cs"/>
          <w:rtl/>
        </w:rPr>
        <w:t>; מרסקים את חופש הביטוי, את הפלורליזם. לא, זו לא דמוקרטיה שאינה ליברלית, או דמוקרטיה ריבונית, זו אוטוריטריות; ואם נהיה אופטימיים: הדרך לאוטוריטריות.</w:t>
      </w:r>
    </w:p>
    <w:p w:rsidR="00BB59CD" w:rsidRDefault="00BB59CD" w:rsidP="00BB59CD">
      <w:pPr>
        <w:rPr>
          <w:rtl/>
          <w:lang w:eastAsia="he-IL"/>
        </w:rPr>
      </w:pPr>
    </w:p>
    <w:p w:rsidR="00BB59CD" w:rsidRDefault="002E2E1E" w:rsidP="002E2E1E">
      <w:pPr>
        <w:rPr>
          <w:rtl/>
          <w:lang w:eastAsia="he-IL"/>
        </w:rPr>
      </w:pPr>
      <w:bookmarkStart w:id="58388" w:name="_ETM_Q106_623807"/>
      <w:bookmarkStart w:id="58389" w:name="_ETM_Q106_623893"/>
      <w:bookmarkEnd w:id="58388"/>
      <w:bookmarkEnd w:id="58389"/>
      <w:r>
        <w:rPr>
          <w:rFonts w:hint="cs"/>
          <w:rtl/>
          <w:lang w:eastAsia="he-IL"/>
        </w:rPr>
        <w:t>"</w:t>
      </w:r>
      <w:r w:rsidR="00BB59CD">
        <w:rPr>
          <w:rFonts w:hint="cs"/>
          <w:rtl/>
          <w:lang w:eastAsia="he-IL"/>
        </w:rPr>
        <w:t>להונגריה יש ברית עם פולין, ובפולין המצב שונה – עדיין, אם אתם פסימיים. השיטה פרלמנטרית, אבל המקבילה להונגרית – מפלגת החוק והצדק – שולטת, ויש לה רוב מוחלט בפרלמנט הפולני. יש נשיא מטעמה שנבחר, א</w:t>
      </w:r>
      <w:r>
        <w:rPr>
          <w:rFonts w:hint="cs"/>
          <w:rtl/>
          <w:lang w:eastAsia="he-IL"/>
        </w:rPr>
        <w:t>ו</w:t>
      </w:r>
      <w:r w:rsidR="00BB59CD">
        <w:rPr>
          <w:rFonts w:hint="cs"/>
          <w:rtl/>
          <w:lang w:eastAsia="he-IL"/>
        </w:rPr>
        <w:t>מנם בקושי – מול ראש עיריית ורשה הצעיר והליברל – ויש ראש ממשלה. אבל הדמויות המרתקות בתולדות המפלגה, אלה שקבעו את דמותה ואת דמותה של פולין בדור שלאחר ולנסה ושיכרון החושים של סולידריות ונפילת החומה, הם שני תאומים: לך וירוסלב קצ'ינסקי. הראשון היה נשיא פולין והשני ראש הממשלה. הם תאומים זהים שאף שיחקו תאומים בסרט פולני ידוע.</w:t>
      </w:r>
      <w:bookmarkStart w:id="58390" w:name="_ETM_Q106_624639"/>
      <w:bookmarkStart w:id="58391" w:name="_ETM_Q106_624743"/>
      <w:bookmarkEnd w:id="58390"/>
      <w:bookmarkEnd w:id="58391"/>
      <w:r w:rsidR="00BB59CD">
        <w:rPr>
          <w:rFonts w:hint="cs"/>
          <w:rtl/>
          <w:lang w:eastAsia="he-IL"/>
        </w:rPr>
        <w:t xml:space="preserve"> קצ'ינסקי נהרג בתאונת מטוס עם מרבית הצמרת הפולנית, בדרכו לטקס זיכרון ביער קאטין, שם, בזמן מלחמת העולם השנייה, ברית המועצות רצחה אלפי קצינים פולנים במטרה לחסל את האליטה הפולנית </w:t>
      </w:r>
      <w:r>
        <w:rPr>
          <w:rFonts w:hint="eastAsia"/>
          <w:rtl/>
          <w:lang w:eastAsia="he-IL"/>
        </w:rPr>
        <w:t>–</w:t>
      </w:r>
      <w:r>
        <w:rPr>
          <w:rFonts w:hint="cs"/>
          <w:rtl/>
          <w:lang w:eastAsia="he-IL"/>
        </w:rPr>
        <w:t xml:space="preserve"> </w:t>
      </w:r>
      <w:r w:rsidR="00BB59CD">
        <w:rPr>
          <w:rFonts w:hint="cs"/>
          <w:rtl/>
          <w:lang w:eastAsia="he-IL"/>
        </w:rPr>
        <w:t xml:space="preserve">עורכי דין, פרופסורים, רופאים וכו' </w:t>
      </w:r>
      <w:r>
        <w:rPr>
          <w:rFonts w:hint="eastAsia"/>
          <w:rtl/>
          <w:lang w:eastAsia="he-IL"/>
        </w:rPr>
        <w:t>–</w:t>
      </w:r>
      <w:r>
        <w:rPr>
          <w:rFonts w:hint="cs"/>
          <w:rtl/>
          <w:lang w:eastAsia="he-IL"/>
        </w:rPr>
        <w:t xml:space="preserve"> </w:t>
      </w:r>
      <w:r w:rsidR="00BB59CD">
        <w:rPr>
          <w:rFonts w:hint="cs"/>
          <w:rtl/>
          <w:lang w:eastAsia="he-IL"/>
        </w:rPr>
        <w:t>אך הכחישה זאת שנים.</w:t>
      </w:r>
    </w:p>
    <w:p w:rsidR="00BB59CD" w:rsidRDefault="00BB59CD" w:rsidP="00BB59CD">
      <w:pPr>
        <w:rPr>
          <w:rtl/>
          <w:lang w:eastAsia="he-IL"/>
        </w:rPr>
      </w:pPr>
    </w:p>
    <w:p w:rsidR="00BB59CD" w:rsidRDefault="002E2E1E" w:rsidP="00BB59CD">
      <w:pPr>
        <w:rPr>
          <w:rtl/>
          <w:lang w:eastAsia="he-IL"/>
        </w:rPr>
      </w:pPr>
      <w:r>
        <w:rPr>
          <w:rFonts w:hint="cs"/>
          <w:rtl/>
          <w:lang w:eastAsia="he-IL"/>
        </w:rPr>
        <w:t>"</w:t>
      </w:r>
      <w:r w:rsidR="00BB59CD">
        <w:rPr>
          <w:rFonts w:hint="cs"/>
          <w:rtl/>
          <w:lang w:eastAsia="he-IL"/>
        </w:rPr>
        <w:t>מבחינת פולין טבח יער קאטין ממשיך את ההיסטוריה הקשה מול הענק ממזרח – מלחמות, חלוקת פולין, תמיכת פולין בנפוליאון שהכזיב, המלחמה אחרי מלחמת העולם הראשונה, הסכם ריבנטרופ-מולוטוב והפלישה הסובייטית במקביל לנאצית, העמידה מנגד של הצבא האדום בזמן מרד ורשה ועוד. וכשנשיא פולין האנטי רוסי נהרג יחד עם הצמרת הפולנית בתאונת מטוס, פולנים רבים לא בדיוק מקבלים את התזה שמדובר בתאונה.</w:t>
      </w:r>
    </w:p>
    <w:p w:rsidR="00BB59CD" w:rsidRDefault="00BB59CD" w:rsidP="00BB59CD">
      <w:pPr>
        <w:rPr>
          <w:rtl/>
          <w:lang w:eastAsia="he-IL"/>
        </w:rPr>
      </w:pPr>
    </w:p>
    <w:p w:rsidR="00BB59CD" w:rsidRDefault="002E2E1E" w:rsidP="002E2E1E">
      <w:pPr>
        <w:rPr>
          <w:rtl/>
          <w:lang w:eastAsia="he-IL"/>
        </w:rPr>
      </w:pPr>
      <w:r>
        <w:rPr>
          <w:rFonts w:hint="cs"/>
          <w:rtl/>
          <w:lang w:eastAsia="he-IL"/>
        </w:rPr>
        <w:t>"</w:t>
      </w:r>
      <w:r w:rsidR="00BB59CD">
        <w:rPr>
          <w:rFonts w:hint="cs"/>
          <w:rtl/>
          <w:lang w:eastAsia="he-IL"/>
        </w:rPr>
        <w:t>סדר-היום של מפלגת החוק והצדק הוא שמרני ודתי. קתולי מאוד. ישנה נגיסה מתמדת בחירויות, בתקשורת, בחופש הפעולה האקדמי, ההיסטוריה, מורשת האבות. לא מדובר בהפיכה, אלא בתהליך. רק כך הוא מצליח במדינות הללו. והוא מצליח.</w:t>
      </w:r>
      <w:r>
        <w:rPr>
          <w:rFonts w:hint="cs"/>
          <w:rtl/>
          <w:lang w:eastAsia="he-IL"/>
        </w:rPr>
        <w:t xml:space="preserve"> </w:t>
      </w:r>
      <w:r w:rsidR="00BB59CD">
        <w:rPr>
          <w:rFonts w:hint="cs"/>
          <w:rtl/>
          <w:lang w:eastAsia="he-IL"/>
        </w:rPr>
        <w:t>גם על הרקע הזה יש להבין את החוק הפולני המפורסם, שנוגע להשבת רכוש: חוסר היכולת של המשטרים הללו לקבל ביקורת, גם אם על העבר, גם רק על חלק מהעם. משום שאם מקבלים ביקורת – וזו שבאה מהחוץ חשודה עוד יותר – מה יהא על הגאווה הלאומית? על המיתוסים? התחושה שאנחנו בצד הנכון של ההיסטוריה? מה עם המנהיגים המגלמים את הגאווה הלאומית, ומלבים אותה מלאומיות ללאומנות?</w:t>
      </w:r>
    </w:p>
    <w:p w:rsidR="00BB59CD" w:rsidRDefault="00BB59CD" w:rsidP="00BB59CD">
      <w:pPr>
        <w:rPr>
          <w:rtl/>
          <w:lang w:eastAsia="he-IL"/>
        </w:rPr>
      </w:pPr>
    </w:p>
    <w:p w:rsidR="00BB59CD" w:rsidRDefault="00BB59CD" w:rsidP="00BB59CD">
      <w:pPr>
        <w:rPr>
          <w:rtl/>
          <w:lang w:eastAsia="he-IL"/>
        </w:rPr>
      </w:pPr>
      <w:bookmarkStart w:id="58392" w:name="TOR_Q107"/>
      <w:bookmarkEnd w:id="58392"/>
      <w:r>
        <w:rPr>
          <w:rFonts w:hint="cs"/>
          <w:rtl/>
          <w:lang w:eastAsia="he-IL"/>
        </w:rPr>
        <w:t xml:space="preserve">אחד הדברים שפולין והונגריה מדגישות, יחד עם מדינות לא דמוקרטיות אחרות דומות, הוא מה שנקרא ערכי המשפחה. </w:t>
      </w:r>
      <w:bookmarkStart w:id="58393" w:name="_ETM_Q107_164613"/>
      <w:bookmarkEnd w:id="58393"/>
      <w:r>
        <w:rPr>
          <w:rFonts w:hint="cs"/>
          <w:rtl/>
          <w:lang w:eastAsia="he-IL"/>
        </w:rPr>
        <w:t xml:space="preserve">כלומר, לא כל משפחה, אלא משפחה כפי שמגדירה אותה הקתוליות </w:t>
      </w:r>
      <w:bookmarkStart w:id="58394" w:name="_ETM_Q107_169931"/>
      <w:bookmarkEnd w:id="58394"/>
      <w:r>
        <w:rPr>
          <w:rFonts w:hint="cs"/>
          <w:rtl/>
          <w:lang w:eastAsia="he-IL"/>
        </w:rPr>
        <w:t xml:space="preserve">– נישואים הם רק בין גבר ואישה; משפחה היא </w:t>
      </w:r>
      <w:bookmarkStart w:id="58395" w:name="_ETM_Q107_172844"/>
      <w:bookmarkEnd w:id="58395"/>
      <w:r>
        <w:rPr>
          <w:rFonts w:hint="cs"/>
          <w:rtl/>
          <w:lang w:eastAsia="he-IL"/>
        </w:rPr>
        <w:t xml:space="preserve">אבא, אימא וילדים. לפני טקסס, לפני מיסיסיפי, העבירה פולין </w:t>
      </w:r>
      <w:bookmarkStart w:id="58396" w:name="_ETM_Q107_179106"/>
      <w:bookmarkEnd w:id="58396"/>
      <w:r>
        <w:rPr>
          <w:rFonts w:hint="cs"/>
          <w:rtl/>
          <w:lang w:eastAsia="he-IL"/>
        </w:rPr>
        <w:t>באחרונה חוק האוסר הפלות. עוד לפני החוק החדש היו חוקי ההפלות בפולין שמרניים מאוד, וכעת הוקשחו עוד יותר. אין עוד אישור לעשות הפלה אלא אם יש מום בעובר. רק אונס או סכנת חיים לאם יהוו עילה. כך בפולין מתקיימות כ-2,000 הפלות חוקיות בשנה ו-200,000 לא חוקיות.</w:t>
      </w:r>
      <w:bookmarkStart w:id="58397" w:name="_ETM_Q107_201705"/>
      <w:bookmarkEnd w:id="58397"/>
    </w:p>
    <w:p w:rsidR="00BB59CD" w:rsidRDefault="00BB59CD" w:rsidP="00BB59CD">
      <w:pPr>
        <w:rPr>
          <w:rtl/>
          <w:lang w:eastAsia="he-IL"/>
        </w:rPr>
      </w:pPr>
      <w:bookmarkStart w:id="58398" w:name="_ETM_Q107_201830"/>
      <w:bookmarkEnd w:id="58398"/>
    </w:p>
    <w:p w:rsidR="00BB59CD" w:rsidRDefault="00BB59CD" w:rsidP="00BB59CD">
      <w:pPr>
        <w:rPr>
          <w:rtl/>
          <w:lang w:eastAsia="he-IL"/>
        </w:rPr>
      </w:pPr>
      <w:bookmarkStart w:id="58399" w:name="_ETM_Q107_201866"/>
      <w:bookmarkStart w:id="58400" w:name="_ETM_Q107_201933"/>
      <w:bookmarkEnd w:id="58399"/>
      <w:bookmarkEnd w:id="58400"/>
      <w:r>
        <w:rPr>
          <w:rFonts w:hint="cs"/>
          <w:rtl/>
          <w:lang w:eastAsia="he-IL"/>
        </w:rPr>
        <w:t>"ממשלת פולין מנהלת מאבק נגד מערכת המשפט, ובמקביל התרחשה השתלטות על מרבית אמצעי התקשורת. כך, בתוכנית החדשות הכי נצפית במדינה מופיעות בתחתית המסך הכותרות "הפשיזם השמאלני הורס את פולין", וגם "הפשיזם השמאלני תוקף את הערכים הפולניים". מיהו הפשיזם השמאלני? תחשבו לבד. אלה הם הרעיונות הזרים, הגלובליים, המנסים להרעיל את רוח העם ואת העם עצמו דרך אילי הון זרים, ארגונים החותרים תחת העם, תקשורת שאינה פטריוטית דיה, אקדמיה שמאלנית ליברלית – אבל לא לדאוג, לעם יש הערכים הנכונים, הטהורים, המסורתיים, הדתיים, הלאומיים, והוא ידע להקיא ולהוקיע את אלה החוברים לאויבינו.</w:t>
      </w:r>
      <w:bookmarkStart w:id="58401" w:name="_ETM_Q107_246294"/>
      <w:bookmarkStart w:id="58402" w:name="_ETM_Q107_246376"/>
      <w:bookmarkStart w:id="58403" w:name="_ETM_Q107_246399"/>
      <w:bookmarkStart w:id="58404" w:name="_ETM_Q107_246456"/>
      <w:bookmarkEnd w:id="58401"/>
      <w:bookmarkEnd w:id="58402"/>
      <w:bookmarkEnd w:id="58403"/>
      <w:bookmarkEnd w:id="58404"/>
      <w:r>
        <w:rPr>
          <w:rFonts w:hint="cs"/>
          <w:rtl/>
          <w:lang w:eastAsia="he-IL"/>
        </w:rPr>
        <w:t xml:space="preserve"> עבד ועובד בכל מקום. </w:t>
      </w:r>
    </w:p>
    <w:p w:rsidR="00BB59CD" w:rsidRDefault="00BB59CD" w:rsidP="00BB59CD">
      <w:pPr>
        <w:rPr>
          <w:rtl/>
          <w:lang w:eastAsia="he-IL"/>
        </w:rPr>
      </w:pPr>
    </w:p>
    <w:p w:rsidR="00BB59CD" w:rsidRDefault="00BB59CD" w:rsidP="002E2E1E">
      <w:pPr>
        <w:rPr>
          <w:rtl/>
          <w:lang w:eastAsia="he-IL"/>
        </w:rPr>
      </w:pPr>
      <w:r>
        <w:rPr>
          <w:rFonts w:hint="cs"/>
          <w:rtl/>
          <w:lang w:eastAsia="he-IL"/>
        </w:rPr>
        <w:t xml:space="preserve">"מה הלאה? </w:t>
      </w:r>
      <w:bookmarkStart w:id="58405" w:name="_ETM_Q107_255110"/>
      <w:bookmarkEnd w:id="58405"/>
      <w:r>
        <w:rPr>
          <w:rFonts w:hint="cs"/>
          <w:rtl/>
          <w:lang w:eastAsia="he-IL"/>
        </w:rPr>
        <w:t xml:space="preserve">אמר פעם </w:t>
      </w:r>
      <w:r w:rsidR="002E2E1E">
        <w:rPr>
          <w:rFonts w:hint="cs"/>
          <w:rtl/>
          <w:lang w:eastAsia="he-IL"/>
        </w:rPr>
        <w:t>ביל</w:t>
      </w:r>
      <w:r>
        <w:rPr>
          <w:rFonts w:hint="cs"/>
          <w:rtl/>
          <w:lang w:eastAsia="he-IL"/>
        </w:rPr>
        <w:t xml:space="preserve"> בירנבך, גדול הפרסומאים בארצות הברית דאז. אתה יכול לומר את כל העובדות הנכונות, זה לא ישנה כלום. אתה חייב להכניס רגש"</w:t>
      </w:r>
      <w:r w:rsidR="002E2E1E">
        <w:rPr>
          <w:rFonts w:hint="cs"/>
          <w:rtl/>
          <w:lang w:eastAsia="he-IL"/>
        </w:rPr>
        <w:t xml:space="preserve"> </w:t>
      </w:r>
      <w:r w:rsidR="002E2E1E">
        <w:rPr>
          <w:rFonts w:hint="eastAsia"/>
          <w:rtl/>
          <w:lang w:eastAsia="he-IL"/>
        </w:rPr>
        <w:t>–</w:t>
      </w:r>
      <w:r w:rsidR="002E2E1E">
        <w:rPr>
          <w:rFonts w:hint="cs"/>
          <w:rtl/>
          <w:lang w:eastAsia="he-IL"/>
        </w:rPr>
        <w:t xml:space="preserve"> </w:t>
      </w:r>
      <w:bookmarkStart w:id="58406" w:name="_ETM_Q107_262847"/>
      <w:bookmarkStart w:id="58407" w:name="_ETM_Q107_262917"/>
      <w:bookmarkStart w:id="58408" w:name="_ETM_Q107_262951"/>
      <w:bookmarkStart w:id="58409" w:name="_ETM_Q107_263011"/>
      <w:bookmarkEnd w:id="58406"/>
      <w:bookmarkEnd w:id="58407"/>
      <w:bookmarkEnd w:id="58408"/>
      <w:bookmarkEnd w:id="58409"/>
      <w:r>
        <w:rPr>
          <w:rFonts w:hint="cs"/>
          <w:rtl/>
          <w:lang w:eastAsia="he-IL"/>
        </w:rPr>
        <w:t>טוב, אז האמת שהמאמר עוד ארוך מאוד, אבל אני רואה שזמננו כמעט תם.</w:t>
      </w:r>
    </w:p>
    <w:p w:rsidR="00BB59CD" w:rsidRDefault="00BB59CD" w:rsidP="00BB59CD">
      <w:pPr>
        <w:rPr>
          <w:rtl/>
          <w:lang w:eastAsia="he-IL"/>
        </w:rPr>
      </w:pPr>
      <w:bookmarkStart w:id="58410" w:name="_ETM_Q107_271585"/>
      <w:bookmarkStart w:id="58411" w:name="_ETM_Q107_271648"/>
      <w:bookmarkEnd w:id="58410"/>
      <w:bookmarkEnd w:id="58411"/>
    </w:p>
    <w:p w:rsidR="00BB59CD" w:rsidRDefault="00BB59CD" w:rsidP="00BB59CD">
      <w:pPr>
        <w:pStyle w:val="af9"/>
        <w:keepNext/>
        <w:rPr>
          <w:rtl/>
        </w:rPr>
      </w:pPr>
      <w:bookmarkStart w:id="58412" w:name="ET_yor_6488_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58412"/>
    </w:p>
    <w:p w:rsidR="00BB59CD" w:rsidRDefault="00BB59CD" w:rsidP="00337201">
      <w:pPr>
        <w:rPr>
          <w:rtl/>
          <w:lang w:eastAsia="he-IL"/>
        </w:rPr>
      </w:pPr>
    </w:p>
    <w:p w:rsidR="00BB59CD" w:rsidRDefault="00BB59CD" w:rsidP="00BB59CD">
      <w:pPr>
        <w:rPr>
          <w:rtl/>
          <w:lang w:eastAsia="he-IL"/>
        </w:rPr>
      </w:pPr>
      <w:bookmarkStart w:id="58413" w:name="_ETM_Q107_272602"/>
      <w:bookmarkEnd w:id="58413"/>
      <w:r>
        <w:rPr>
          <w:rFonts w:hint="cs"/>
          <w:rtl/>
          <w:lang w:eastAsia="he-IL"/>
        </w:rPr>
        <w:t>בהחלט עמדת בכבוד ב-60 הדקות שעמדו לרשותך.</w:t>
      </w:r>
    </w:p>
    <w:p w:rsidR="00BB59CD" w:rsidRDefault="00BB59CD" w:rsidP="00BB59CD">
      <w:pPr>
        <w:rPr>
          <w:rtl/>
          <w:lang w:eastAsia="he-IL"/>
        </w:rPr>
      </w:pPr>
      <w:bookmarkStart w:id="58414" w:name="_ETM_Q107_273702"/>
      <w:bookmarkStart w:id="58415" w:name="_ETM_Q107_273805"/>
      <w:bookmarkEnd w:id="58414"/>
      <w:bookmarkEnd w:id="58415"/>
    </w:p>
    <w:p w:rsidR="00BB59CD" w:rsidRDefault="00BB59CD" w:rsidP="00BB59CD">
      <w:pPr>
        <w:pStyle w:val="-"/>
        <w:keepNext/>
        <w:rPr>
          <w:rtl/>
        </w:rPr>
      </w:pPr>
      <w:bookmarkStart w:id="58416" w:name="ET_speakercontinue_6507_3"/>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58416"/>
    </w:p>
    <w:p w:rsidR="00BB59CD" w:rsidRDefault="00BB59CD" w:rsidP="00337201">
      <w:pPr>
        <w:rPr>
          <w:rtl/>
          <w:lang w:eastAsia="he-IL"/>
        </w:rPr>
      </w:pPr>
    </w:p>
    <w:p w:rsidR="00BB59CD" w:rsidRDefault="00BB59CD" w:rsidP="00BB59CD">
      <w:pPr>
        <w:rPr>
          <w:rtl/>
          <w:lang w:eastAsia="he-IL"/>
        </w:rPr>
      </w:pPr>
      <w:bookmarkStart w:id="58417" w:name="_ETM_Q107_275210"/>
      <w:bookmarkEnd w:id="58417"/>
      <w:r>
        <w:rPr>
          <w:rFonts w:hint="cs"/>
          <w:rtl/>
          <w:lang w:eastAsia="he-IL"/>
        </w:rPr>
        <w:t xml:space="preserve">אני בטוחה </w:t>
      </w:r>
      <w:bookmarkStart w:id="58418" w:name="_ETM_Q107_271788"/>
      <w:bookmarkStart w:id="58419" w:name="_ETM_Q107_271689"/>
      <w:bookmarkStart w:id="58420" w:name="_ETM_Q107_271740"/>
      <w:bookmarkEnd w:id="58418"/>
      <w:bookmarkEnd w:id="58419"/>
      <w:bookmarkEnd w:id="58420"/>
      <w:r>
        <w:rPr>
          <w:rFonts w:hint="cs"/>
          <w:rtl/>
          <w:lang w:eastAsia="he-IL"/>
        </w:rPr>
        <w:t>שהסקירה ההיסטורית הזאת הייתה מרתקת. מרתקת.</w:t>
      </w:r>
    </w:p>
    <w:p w:rsidR="00BB59CD" w:rsidRDefault="00BB59CD" w:rsidP="00BB59CD">
      <w:pPr>
        <w:rPr>
          <w:rtl/>
          <w:lang w:eastAsia="he-IL"/>
        </w:rPr>
      </w:pPr>
      <w:bookmarkStart w:id="58421" w:name="_ETM_Q107_273887"/>
      <w:bookmarkStart w:id="58422" w:name="_ETM_Q107_273944"/>
      <w:bookmarkEnd w:id="58421"/>
      <w:bookmarkEnd w:id="5842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423" w:name="_ETM_Q107_275624"/>
      <w:bookmarkEnd w:id="58423"/>
      <w:r>
        <w:rPr>
          <w:rFonts w:hint="cs"/>
          <w:rtl/>
          <w:lang w:eastAsia="he-IL"/>
        </w:rPr>
        <w:t xml:space="preserve">מאוד מאוד. אם עוד לא </w:t>
      </w:r>
      <w:bookmarkStart w:id="58424" w:name="_ETM_Q107_275007"/>
      <w:bookmarkEnd w:id="58424"/>
      <w:r>
        <w:rPr>
          <w:rFonts w:hint="cs"/>
          <w:rtl/>
          <w:lang w:eastAsia="he-IL"/>
        </w:rPr>
        <w:t>נרדמנו, כנראה שזה עניין.</w:t>
      </w:r>
    </w:p>
    <w:p w:rsidR="00BB59CD" w:rsidRDefault="00BB59CD" w:rsidP="00BB59CD">
      <w:pPr>
        <w:rPr>
          <w:rtl/>
          <w:lang w:eastAsia="he-IL"/>
        </w:rPr>
      </w:pPr>
      <w:bookmarkStart w:id="58425" w:name="_ETM_Q107_274953"/>
      <w:bookmarkStart w:id="58426" w:name="_ETM_Q107_275039"/>
      <w:bookmarkEnd w:id="58425"/>
      <w:bookmarkEnd w:id="58426"/>
    </w:p>
    <w:p w:rsidR="00BB59CD" w:rsidRDefault="00BB59CD" w:rsidP="00BB59CD">
      <w:pPr>
        <w:pStyle w:val="-"/>
        <w:keepNext/>
        <w:rPr>
          <w:rtl/>
        </w:rPr>
      </w:pPr>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427" w:name="_ETM_Q107_276392"/>
      <w:bookmarkEnd w:id="58427"/>
      <w:r>
        <w:rPr>
          <w:rFonts w:hint="cs"/>
          <w:rtl/>
          <w:lang w:eastAsia="he-IL"/>
        </w:rPr>
        <w:t xml:space="preserve">מעולה. אז </w:t>
      </w:r>
      <w:bookmarkStart w:id="58428" w:name="_ETM_Q107_274023"/>
      <w:bookmarkStart w:id="58429" w:name="_ETM_Q107_274077"/>
      <w:bookmarkEnd w:id="58428"/>
      <w:bookmarkEnd w:id="58429"/>
      <w:r>
        <w:rPr>
          <w:rFonts w:hint="cs"/>
          <w:rtl/>
          <w:lang w:eastAsia="he-IL"/>
        </w:rPr>
        <w:t>אני רוצה להודות לכם, ולאחל שהיום החדש שבפתחנו יביא איתו זריחה חדשה, אופטימית, עם בשורות טובות לעם ישראל. תודה רבה.</w:t>
      </w:r>
    </w:p>
    <w:p w:rsidR="00BB59CD" w:rsidRDefault="00BB59CD" w:rsidP="00BB59CD">
      <w:pPr>
        <w:rPr>
          <w:rtl/>
          <w:lang w:eastAsia="he-IL"/>
        </w:rPr>
      </w:pPr>
      <w:bookmarkStart w:id="58430" w:name="_ETM_Q107_295793"/>
      <w:bookmarkEnd w:id="58430"/>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431" w:name="_ETM_Q107_292547"/>
      <w:bookmarkStart w:id="58432" w:name="_ETM_Q107_295995"/>
      <w:bookmarkStart w:id="58433" w:name="_ETM_Q107_296029"/>
      <w:bookmarkStart w:id="58434" w:name="_ETM_Q107_296154"/>
      <w:bookmarkEnd w:id="58431"/>
      <w:bookmarkEnd w:id="58432"/>
      <w:bookmarkEnd w:id="58433"/>
      <w:bookmarkEnd w:id="58434"/>
      <w:r>
        <w:rPr>
          <w:rFonts w:hint="cs"/>
          <w:rtl/>
          <w:lang w:eastAsia="he-IL"/>
        </w:rPr>
        <w:t>תודה רבה לחברת הכנסת שלי טל מירון. אני מאמין שהשמש תזרח גם מחר וגם מוחרתיים בכל מקרה.</w:t>
      </w:r>
      <w:bookmarkStart w:id="58435" w:name="_ETM_Q107_297920"/>
      <w:bookmarkEnd w:id="58435"/>
    </w:p>
    <w:p w:rsidR="002E2E1E" w:rsidRDefault="002E2E1E" w:rsidP="00BB59CD">
      <w:pPr>
        <w:rPr>
          <w:rtl/>
          <w:lang w:eastAsia="he-IL"/>
        </w:rPr>
      </w:pPr>
    </w:p>
    <w:p w:rsidR="002E2E1E" w:rsidRDefault="002E2E1E" w:rsidP="00BB59CD">
      <w:pPr>
        <w:rPr>
          <w:rtl/>
          <w:lang w:eastAsia="he-IL"/>
        </w:rPr>
      </w:pPr>
      <w:r>
        <w:rPr>
          <w:rFonts w:hint="cs"/>
          <w:rtl/>
          <w:lang w:eastAsia="he-IL"/>
        </w:rPr>
        <w:t xml:space="preserve">חבר הכנסת עידן רול. </w:t>
      </w:r>
    </w:p>
    <w:p w:rsidR="00BB59CD" w:rsidRDefault="00BB59CD" w:rsidP="00BB59CD">
      <w:pPr>
        <w:rPr>
          <w:rtl/>
          <w:lang w:eastAsia="he-IL"/>
        </w:rPr>
      </w:pPr>
    </w:p>
    <w:p w:rsidR="00BB59CD" w:rsidRDefault="00BB59CD" w:rsidP="00BB59CD">
      <w:pPr>
        <w:pStyle w:val="af8"/>
        <w:keepNext/>
        <w:rPr>
          <w:rtl/>
        </w:rPr>
      </w:pPr>
      <w:bookmarkStart w:id="58436" w:name="ET_interruption_6507_7"/>
      <w:r>
        <w:rPr>
          <w:rStyle w:val="TagStyle"/>
          <w:rFonts w:hint="cs"/>
          <w:rtl/>
        </w:rPr>
        <w:t xml:space="preserve"> &lt;&lt; קריאה &gt;&gt; </w:t>
      </w:r>
      <w:r>
        <w:rPr>
          <w:rFonts w:hint="cs"/>
          <w:rtl/>
        </w:rPr>
        <w:t>שלי טל מירון (יש עתיד):</w:t>
      </w:r>
      <w:r>
        <w:rPr>
          <w:rStyle w:val="TagStyle"/>
          <w:rtl/>
        </w:rPr>
        <w:t xml:space="preserve"> &lt;&lt; קריאה &gt;&gt;</w:t>
      </w:r>
      <w:r>
        <w:rPr>
          <w:rFonts w:hint="cs"/>
          <w:rtl/>
        </w:rPr>
        <w:t xml:space="preserve"> </w:t>
      </w:r>
      <w:bookmarkEnd w:id="58436"/>
    </w:p>
    <w:p w:rsidR="00BB59CD" w:rsidRDefault="00BB59CD" w:rsidP="00337201">
      <w:pPr>
        <w:rPr>
          <w:rtl/>
          <w:lang w:eastAsia="he-IL"/>
        </w:rPr>
      </w:pPr>
    </w:p>
    <w:p w:rsidR="00BB59CD" w:rsidRDefault="00BB59CD" w:rsidP="00BB59CD">
      <w:pPr>
        <w:rPr>
          <w:rtl/>
          <w:lang w:eastAsia="he-IL"/>
        </w:rPr>
      </w:pPr>
      <w:bookmarkStart w:id="58437" w:name="_ETM_Q107_299089"/>
      <w:bookmarkStart w:id="58438" w:name="_ETM_Q107_299354"/>
      <w:bookmarkStart w:id="58439" w:name="_ETM_Q107_299477"/>
      <w:bookmarkEnd w:id="58437"/>
      <w:bookmarkEnd w:id="58438"/>
      <w:bookmarkEnd w:id="58439"/>
      <w:r>
        <w:rPr>
          <w:rFonts w:hint="cs"/>
          <w:rtl/>
          <w:lang w:eastAsia="he-IL"/>
        </w:rPr>
        <w:t xml:space="preserve">השאלה איך היא </w:t>
      </w:r>
      <w:bookmarkStart w:id="58440" w:name="_ETM_Q107_302574"/>
      <w:bookmarkEnd w:id="58440"/>
      <w:r>
        <w:rPr>
          <w:rFonts w:hint="cs"/>
          <w:rtl/>
          <w:lang w:eastAsia="he-IL"/>
        </w:rPr>
        <w:t>תזרח.</w:t>
      </w:r>
    </w:p>
    <w:p w:rsidR="00BB59CD" w:rsidRDefault="00BB59CD" w:rsidP="00BB59CD">
      <w:pPr>
        <w:rPr>
          <w:rtl/>
          <w:lang w:eastAsia="he-IL"/>
        </w:rPr>
      </w:pPr>
      <w:bookmarkStart w:id="58441" w:name="_ETM_Q107_298409"/>
      <w:bookmarkStart w:id="58442" w:name="_ETM_Q107_298501"/>
      <w:bookmarkEnd w:id="58441"/>
      <w:bookmarkEnd w:id="58442"/>
    </w:p>
    <w:p w:rsidR="00BB59CD" w:rsidRDefault="00BB59CD" w:rsidP="00BB59CD">
      <w:pPr>
        <w:pStyle w:val="af8"/>
        <w:keepNext/>
        <w:rPr>
          <w:rtl/>
        </w:rPr>
      </w:pPr>
      <w:bookmarkStart w:id="58443" w:name="_ETM_Q107_308082"/>
      <w:bookmarkStart w:id="58444" w:name="_ETM_Q107_308187"/>
      <w:bookmarkStart w:id="58445" w:name="_ETM_Q107_308224"/>
      <w:bookmarkStart w:id="58446" w:name="_ETM_Q107_308292"/>
      <w:bookmarkEnd w:id="58443"/>
      <w:bookmarkEnd w:id="58444"/>
      <w:bookmarkEnd w:id="58445"/>
      <w:bookmarkEnd w:id="5844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שמש זורחת זה אף פעם לא אינדיקציה למשהו - - - השמש זרחה - - - </w:t>
      </w:r>
    </w:p>
    <w:p w:rsidR="00BB59CD" w:rsidRDefault="00BB59CD" w:rsidP="00BB59CD">
      <w:pPr>
        <w:ind w:firstLine="0"/>
        <w:rPr>
          <w:rtl/>
          <w:lang w:eastAsia="he-IL"/>
        </w:rPr>
      </w:pPr>
    </w:p>
    <w:p w:rsidR="00BB59CD" w:rsidRDefault="00BB59CD" w:rsidP="00BB59CD">
      <w:pPr>
        <w:pStyle w:val="af8"/>
        <w:keepNext/>
        <w:rPr>
          <w:rtl/>
        </w:rPr>
      </w:pPr>
      <w:bookmarkStart w:id="58447" w:name="ET_interruption_6507_21"/>
      <w:r>
        <w:rPr>
          <w:rStyle w:val="TagStyle"/>
          <w:rFonts w:hint="cs"/>
          <w:rtl/>
        </w:rPr>
        <w:t xml:space="preserve"> &lt;&lt; קריאה &gt;&gt; </w:t>
      </w:r>
      <w:r>
        <w:rPr>
          <w:rFonts w:hint="cs"/>
          <w:rtl/>
        </w:rPr>
        <w:t>שלי טל מירון (יש עתיד):</w:t>
      </w:r>
      <w:r>
        <w:rPr>
          <w:rStyle w:val="TagStyle"/>
          <w:rtl/>
        </w:rPr>
        <w:t xml:space="preserve"> &lt;&lt; קריאה &gt;&gt;</w:t>
      </w:r>
      <w:r>
        <w:rPr>
          <w:rFonts w:hint="cs"/>
          <w:rtl/>
        </w:rPr>
        <w:t xml:space="preserve"> </w:t>
      </w:r>
      <w:bookmarkEnd w:id="58447"/>
    </w:p>
    <w:p w:rsidR="00BB59CD" w:rsidRDefault="00BB59CD" w:rsidP="00337201">
      <w:pPr>
        <w:rPr>
          <w:rtl/>
          <w:lang w:eastAsia="he-IL"/>
        </w:rPr>
      </w:pPr>
    </w:p>
    <w:p w:rsidR="00BB59CD" w:rsidRDefault="00BB59CD" w:rsidP="00BB59CD">
      <w:pPr>
        <w:rPr>
          <w:rtl/>
          <w:lang w:eastAsia="he-IL"/>
        </w:rPr>
      </w:pPr>
      <w:bookmarkStart w:id="58448" w:name="_ETM_Q107_310406"/>
      <w:bookmarkStart w:id="58449" w:name="_ETM_Q107_310739"/>
      <w:bookmarkStart w:id="58450" w:name="_ETM_Q107_310834"/>
      <w:bookmarkEnd w:id="58448"/>
      <w:bookmarkEnd w:id="58449"/>
      <w:bookmarkEnd w:id="58450"/>
      <w:r>
        <w:rPr>
          <w:rFonts w:hint="cs"/>
          <w:rtl/>
          <w:lang w:eastAsia="he-IL"/>
        </w:rPr>
        <w:t xml:space="preserve">- - - על השמש הכתומה של </w:t>
      </w:r>
      <w:bookmarkStart w:id="58451" w:name="_ETM_Q107_309077"/>
      <w:bookmarkEnd w:id="58451"/>
      <w:r>
        <w:rPr>
          <w:rFonts w:hint="cs"/>
          <w:rtl/>
          <w:lang w:eastAsia="he-IL"/>
        </w:rPr>
        <w:t>יש עתיד, אבל - - -</w:t>
      </w:r>
    </w:p>
    <w:p w:rsidR="00BB59CD" w:rsidRDefault="00BB59CD" w:rsidP="00BB59CD">
      <w:pPr>
        <w:rPr>
          <w:rtl/>
          <w:lang w:eastAsia="he-IL"/>
        </w:rPr>
      </w:pPr>
      <w:bookmarkStart w:id="58452" w:name="_ETM_Q107_313281"/>
      <w:bookmarkStart w:id="58453" w:name="_ETM_Q107_313373"/>
      <w:bookmarkEnd w:id="58452"/>
      <w:bookmarkEnd w:id="58453"/>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454" w:name="_ETM_Q107_315353"/>
      <w:bookmarkEnd w:id="58454"/>
      <w:r>
        <w:rPr>
          <w:rFonts w:hint="cs"/>
          <w:rtl/>
          <w:lang w:eastAsia="he-IL"/>
        </w:rPr>
        <w:t xml:space="preserve">באת עם </w:t>
      </w:r>
      <w:bookmarkStart w:id="58455" w:name="_ETM_Q107_316691"/>
      <w:bookmarkEnd w:id="58455"/>
      <w:r>
        <w:rPr>
          <w:rFonts w:hint="cs"/>
          <w:rtl/>
          <w:lang w:eastAsia="he-IL"/>
        </w:rPr>
        <w:t>אנרגיות, נאור? אני איתך.</w:t>
      </w:r>
    </w:p>
    <w:p w:rsidR="00BB59CD" w:rsidRDefault="00BB59CD" w:rsidP="00BB59CD">
      <w:pPr>
        <w:rPr>
          <w:rtl/>
          <w:lang w:eastAsia="he-IL"/>
        </w:rPr>
      </w:pPr>
      <w:bookmarkStart w:id="58456" w:name="_ETM_Q107_317168"/>
      <w:bookmarkStart w:id="58457" w:name="_ETM_Q107_317264"/>
      <w:bookmarkEnd w:id="58456"/>
      <w:bookmarkEnd w:id="58457"/>
    </w:p>
    <w:p w:rsidR="00BB59CD" w:rsidRDefault="00BB59CD" w:rsidP="00BB59CD">
      <w:pPr>
        <w:pStyle w:val="af8"/>
        <w:keepNext/>
        <w:rPr>
          <w:rtl/>
        </w:rPr>
      </w:pPr>
      <w:bookmarkStart w:id="58458" w:name="ET_interruption_6361_10"/>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58458"/>
    </w:p>
    <w:p w:rsidR="00BB59CD" w:rsidRDefault="00BB59CD" w:rsidP="00337201">
      <w:pPr>
        <w:rPr>
          <w:rtl/>
          <w:lang w:eastAsia="he-IL"/>
        </w:rPr>
      </w:pPr>
    </w:p>
    <w:p w:rsidR="00BB59CD" w:rsidRDefault="00BB59CD" w:rsidP="00BB59CD">
      <w:pPr>
        <w:rPr>
          <w:rtl/>
          <w:lang w:eastAsia="he-IL"/>
        </w:rPr>
      </w:pPr>
      <w:bookmarkStart w:id="58459" w:name="_ETM_Q107_314478"/>
      <w:bookmarkStart w:id="58460" w:name="_ETM_Q107_314760"/>
      <w:bookmarkStart w:id="58461" w:name="_ETM_Q107_314869"/>
      <w:bookmarkEnd w:id="58459"/>
      <w:bookmarkEnd w:id="58460"/>
      <w:bookmarkEnd w:id="58461"/>
      <w:r>
        <w:rPr>
          <w:rFonts w:hint="cs"/>
          <w:rtl/>
          <w:lang w:eastAsia="he-IL"/>
        </w:rPr>
        <w:t xml:space="preserve">ראיתי ששקט פה, אז - - </w:t>
      </w:r>
      <w:bookmarkStart w:id="58462" w:name="_ETM_Q107_316059"/>
      <w:bookmarkEnd w:id="58462"/>
      <w:r>
        <w:rPr>
          <w:rFonts w:hint="cs"/>
          <w:rtl/>
          <w:lang w:eastAsia="he-IL"/>
        </w:rPr>
        <w:t>- איפה טלי גוטליב?</w:t>
      </w:r>
    </w:p>
    <w:p w:rsidR="00BB59CD" w:rsidRDefault="00BB59CD" w:rsidP="00BB59CD">
      <w:pPr>
        <w:rPr>
          <w:rtl/>
          <w:lang w:eastAsia="he-IL"/>
        </w:rPr>
      </w:pPr>
      <w:bookmarkStart w:id="58463" w:name="_ETM_Q107_319643"/>
      <w:bookmarkStart w:id="58464" w:name="_ETM_Q107_319738"/>
      <w:bookmarkEnd w:id="58463"/>
      <w:bookmarkEnd w:id="58464"/>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465" w:name="_ETM_Q107_322511"/>
      <w:bookmarkEnd w:id="58465"/>
      <w:r>
        <w:rPr>
          <w:rFonts w:hint="cs"/>
          <w:rtl/>
          <w:lang w:eastAsia="he-IL"/>
        </w:rPr>
        <w:t>אל תתחיל.</w:t>
      </w:r>
    </w:p>
    <w:p w:rsidR="00BB59CD" w:rsidRDefault="00BB59CD" w:rsidP="00BB59CD">
      <w:pPr>
        <w:rPr>
          <w:rtl/>
          <w:lang w:eastAsia="he-IL"/>
        </w:rPr>
      </w:pPr>
      <w:bookmarkStart w:id="58466" w:name="_ETM_Q107_319914"/>
      <w:bookmarkStart w:id="58467" w:name="_ETM_Q107_320006"/>
      <w:bookmarkEnd w:id="58466"/>
      <w:bookmarkEnd w:id="58467"/>
    </w:p>
    <w:p w:rsidR="00BB59CD" w:rsidRDefault="00BB59CD" w:rsidP="00BB59CD">
      <w:pPr>
        <w:pStyle w:val="af8"/>
        <w:keepNext/>
        <w:rPr>
          <w:rtl/>
        </w:rPr>
      </w:pPr>
      <w:bookmarkStart w:id="58468" w:name="ET_interruption_5803_12"/>
      <w:r>
        <w:rPr>
          <w:rStyle w:val="TagStyle"/>
          <w:rFonts w:hint="cs"/>
          <w:rtl/>
        </w:rPr>
        <w:t xml:space="preserve"> &lt;&lt; קריאה &gt;&gt; </w:t>
      </w:r>
      <w:r>
        <w:rPr>
          <w:rFonts w:hint="cs"/>
          <w:rtl/>
        </w:rPr>
        <w:t>עידן רול (יש עתיד):</w:t>
      </w:r>
      <w:r>
        <w:rPr>
          <w:rStyle w:val="TagStyle"/>
          <w:rtl/>
        </w:rPr>
        <w:t xml:space="preserve"> &lt;&lt; קריאה &gt;&gt;</w:t>
      </w:r>
      <w:r>
        <w:rPr>
          <w:rFonts w:hint="cs"/>
          <w:rtl/>
        </w:rPr>
        <w:t xml:space="preserve"> </w:t>
      </w:r>
      <w:bookmarkEnd w:id="58468"/>
    </w:p>
    <w:p w:rsidR="00BB59CD" w:rsidRDefault="00BB59CD" w:rsidP="00337201">
      <w:pPr>
        <w:rPr>
          <w:rtl/>
          <w:lang w:eastAsia="he-IL"/>
        </w:rPr>
      </w:pPr>
    </w:p>
    <w:p w:rsidR="00BB59CD" w:rsidRDefault="00BB59CD" w:rsidP="00BB59CD">
      <w:pPr>
        <w:rPr>
          <w:rtl/>
          <w:lang w:eastAsia="he-IL"/>
        </w:rPr>
      </w:pPr>
      <w:bookmarkStart w:id="58469" w:name="_ETM_Q107_322884"/>
      <w:bookmarkEnd w:id="58469"/>
      <w:r>
        <w:rPr>
          <w:rFonts w:hint="cs"/>
          <w:rtl/>
          <w:lang w:eastAsia="he-IL"/>
        </w:rPr>
        <w:t>יש דברים שלא צריך, לא ביום, לא בלילה.</w:t>
      </w:r>
    </w:p>
    <w:p w:rsidR="00BB59CD" w:rsidRDefault="00BB59CD" w:rsidP="00BB59CD">
      <w:pPr>
        <w:rPr>
          <w:rtl/>
          <w:lang w:eastAsia="he-IL"/>
        </w:rPr>
      </w:pPr>
      <w:bookmarkStart w:id="58470" w:name="_ETM_Q107_328138"/>
      <w:bookmarkStart w:id="58471" w:name="_ETM_Q107_328238"/>
      <w:bookmarkEnd w:id="58470"/>
      <w:bookmarkEnd w:id="58471"/>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472" w:name="_ETM_Q107_329339"/>
      <w:bookmarkEnd w:id="58472"/>
      <w:r>
        <w:rPr>
          <w:rFonts w:hint="cs"/>
          <w:rtl/>
          <w:lang w:eastAsia="he-IL"/>
        </w:rPr>
        <w:t xml:space="preserve">אם </w:t>
      </w:r>
      <w:bookmarkStart w:id="58473" w:name="_ETM_Q107_329890"/>
      <w:bookmarkEnd w:id="58473"/>
      <w:r>
        <w:rPr>
          <w:rFonts w:hint="cs"/>
          <w:rtl/>
          <w:lang w:eastAsia="he-IL"/>
        </w:rPr>
        <w:t xml:space="preserve">נתקעת יש פה איזה ספר תנ"ך עבה. לא, אבל הבאת </w:t>
      </w:r>
      <w:bookmarkStart w:id="58474" w:name="_ETM_Q107_333209"/>
      <w:bookmarkEnd w:id="58474"/>
      <w:r>
        <w:rPr>
          <w:rFonts w:hint="cs"/>
          <w:rtl/>
          <w:lang w:eastAsia="he-IL"/>
        </w:rPr>
        <w:t>פה תמונה, אל תעלה - - -</w:t>
      </w:r>
    </w:p>
    <w:p w:rsidR="00BB59CD" w:rsidRDefault="00BB59CD" w:rsidP="00BB59CD">
      <w:pPr>
        <w:rPr>
          <w:rtl/>
          <w:lang w:eastAsia="he-IL"/>
        </w:rPr>
      </w:pPr>
      <w:bookmarkStart w:id="58475" w:name="_ETM_Q107_331342"/>
      <w:bookmarkStart w:id="58476" w:name="_ETM_Q107_331441"/>
      <w:bookmarkStart w:id="58477" w:name="_ETM_Q107_329728"/>
      <w:bookmarkEnd w:id="58475"/>
      <w:bookmarkEnd w:id="58476"/>
      <w:bookmarkEnd w:id="58477"/>
    </w:p>
    <w:p w:rsidR="00BB59CD" w:rsidRDefault="00BB59CD" w:rsidP="00BB59CD">
      <w:pPr>
        <w:pStyle w:val="a5"/>
        <w:keepNext/>
        <w:rPr>
          <w:rtl/>
        </w:rPr>
      </w:pPr>
      <w:bookmarkStart w:id="58478" w:name="ET_speaker_5803_15"/>
      <w:r>
        <w:rPr>
          <w:rStyle w:val="TagStyle"/>
          <w:rFonts w:hint="cs"/>
          <w:rtl/>
        </w:rPr>
        <w:t xml:space="preserve"> &lt;&lt; דובר &gt;&gt; </w:t>
      </w:r>
      <w:bookmarkStart w:id="58479" w:name="_Toc141197177"/>
      <w:bookmarkStart w:id="58480" w:name="_Toc141196913"/>
      <w:r>
        <w:rPr>
          <w:rFonts w:hint="cs"/>
          <w:rtl/>
        </w:rPr>
        <w:t>עידן רול (יש עתיד):</w:t>
      </w:r>
      <w:bookmarkEnd w:id="58479"/>
      <w:bookmarkEnd w:id="58480"/>
      <w:r>
        <w:rPr>
          <w:rStyle w:val="TagStyle"/>
          <w:rFonts w:hint="cs"/>
          <w:rtl/>
        </w:rPr>
        <w:t xml:space="preserve"> &lt;&lt; דובר &gt;&gt;</w:t>
      </w:r>
      <w:r>
        <w:rPr>
          <w:rFonts w:hint="cs"/>
          <w:rtl/>
        </w:rPr>
        <w:t xml:space="preserve"> </w:t>
      </w:r>
      <w:bookmarkEnd w:id="58478"/>
    </w:p>
    <w:p w:rsidR="00BB59CD" w:rsidRDefault="00BB59CD" w:rsidP="00337201">
      <w:pPr>
        <w:rPr>
          <w:rtl/>
          <w:lang w:eastAsia="he-IL"/>
        </w:rPr>
      </w:pPr>
    </w:p>
    <w:p w:rsidR="00BB59CD" w:rsidRDefault="00BB59CD" w:rsidP="00BB59CD">
      <w:pPr>
        <w:rPr>
          <w:rtl/>
          <w:lang w:eastAsia="he-IL"/>
        </w:rPr>
      </w:pPr>
      <w:bookmarkStart w:id="58481" w:name="_ETM_Q107_330720"/>
      <w:bookmarkStart w:id="58482" w:name="_ETM_Q107_330790"/>
      <w:bookmarkEnd w:id="58481"/>
      <w:bookmarkEnd w:id="58482"/>
      <w:r>
        <w:rPr>
          <w:rFonts w:hint="cs"/>
          <w:rtl/>
          <w:lang w:eastAsia="he-IL"/>
        </w:rPr>
        <w:t xml:space="preserve">לא, אבל אני רוצה </w:t>
      </w:r>
      <w:bookmarkStart w:id="58483" w:name="_ETM_Q107_332961"/>
      <w:bookmarkEnd w:id="58483"/>
      <w:r>
        <w:rPr>
          <w:rFonts w:hint="cs"/>
          <w:rtl/>
          <w:lang w:eastAsia="he-IL"/>
        </w:rPr>
        <w:t>לדבר איתך עליה, כי נראה לי שלא תהיה לך בעיה.</w:t>
      </w:r>
    </w:p>
    <w:p w:rsidR="00BB59CD" w:rsidRDefault="00BB59CD" w:rsidP="00BB59CD">
      <w:pPr>
        <w:rPr>
          <w:rtl/>
          <w:lang w:eastAsia="he-IL"/>
        </w:rPr>
      </w:pPr>
      <w:bookmarkStart w:id="58484" w:name="_ETM_Q107_338704"/>
      <w:bookmarkStart w:id="58485" w:name="_ETM_Q107_338792"/>
      <w:bookmarkEnd w:id="58484"/>
      <w:bookmarkEnd w:id="5848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486" w:name="_ETM_Q107_332972"/>
      <w:bookmarkEnd w:id="58486"/>
      <w:r>
        <w:rPr>
          <w:rFonts w:hint="cs"/>
          <w:rtl/>
          <w:lang w:eastAsia="he-IL"/>
        </w:rPr>
        <w:t xml:space="preserve">לא, </w:t>
      </w:r>
      <w:bookmarkStart w:id="58487" w:name="_ETM_Q107_335625"/>
      <w:bookmarkEnd w:id="58487"/>
      <w:r>
        <w:rPr>
          <w:rFonts w:hint="cs"/>
          <w:rtl/>
          <w:lang w:eastAsia="he-IL"/>
        </w:rPr>
        <w:t>תקשיב, להעלות פה כל פעם מיצג - - -</w:t>
      </w:r>
    </w:p>
    <w:p w:rsidR="00BB59CD" w:rsidRDefault="00BB59CD" w:rsidP="00BB59CD">
      <w:pPr>
        <w:rPr>
          <w:rtl/>
          <w:lang w:eastAsia="he-IL"/>
        </w:rPr>
      </w:pPr>
      <w:bookmarkStart w:id="58488" w:name="_ETM_Q107_337183"/>
      <w:bookmarkStart w:id="58489" w:name="_ETM_Q107_337296"/>
      <w:bookmarkEnd w:id="58488"/>
      <w:bookmarkEnd w:id="58489"/>
    </w:p>
    <w:p w:rsidR="00BB59CD" w:rsidRDefault="00BB59CD" w:rsidP="00BB59CD">
      <w:pPr>
        <w:pStyle w:val="-"/>
        <w:keepNext/>
        <w:rPr>
          <w:rtl/>
        </w:rPr>
      </w:pPr>
      <w:bookmarkStart w:id="58490" w:name="ET_speakercontinue_5803_16"/>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490"/>
    </w:p>
    <w:p w:rsidR="00BB59CD" w:rsidRDefault="00BB59CD" w:rsidP="00337201">
      <w:pPr>
        <w:rPr>
          <w:rtl/>
          <w:lang w:eastAsia="he-IL"/>
        </w:rPr>
      </w:pPr>
    </w:p>
    <w:p w:rsidR="00BB59CD" w:rsidRDefault="00BB59CD" w:rsidP="00BB59CD">
      <w:pPr>
        <w:rPr>
          <w:rtl/>
          <w:lang w:eastAsia="he-IL"/>
        </w:rPr>
      </w:pPr>
      <w:bookmarkStart w:id="58491" w:name="_ETM_Q107_339090"/>
      <w:bookmarkEnd w:id="58491"/>
      <w:r>
        <w:rPr>
          <w:rFonts w:hint="cs"/>
          <w:rtl/>
          <w:lang w:eastAsia="he-IL"/>
        </w:rPr>
        <w:t>תמונה משפחתית.</w:t>
      </w:r>
    </w:p>
    <w:p w:rsidR="00BB59CD" w:rsidRDefault="00BB59CD" w:rsidP="00BB59CD">
      <w:pPr>
        <w:rPr>
          <w:rtl/>
          <w:lang w:eastAsia="he-IL"/>
        </w:rPr>
      </w:pPr>
      <w:bookmarkStart w:id="58492" w:name="_ETM_Q107_342383"/>
      <w:bookmarkStart w:id="58493" w:name="_ETM_Q107_342484"/>
      <w:bookmarkEnd w:id="58492"/>
      <w:bookmarkEnd w:id="58493"/>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494" w:name="_ETM_Q107_344239"/>
      <w:bookmarkEnd w:id="58494"/>
      <w:r>
        <w:rPr>
          <w:rFonts w:hint="cs"/>
          <w:rtl/>
          <w:lang w:eastAsia="he-IL"/>
        </w:rPr>
        <w:t xml:space="preserve">לא, </w:t>
      </w:r>
      <w:bookmarkStart w:id="58495" w:name="_ETM_Q107_344846"/>
      <w:bookmarkEnd w:id="58495"/>
      <w:r>
        <w:rPr>
          <w:rFonts w:hint="cs"/>
          <w:rtl/>
          <w:lang w:eastAsia="he-IL"/>
        </w:rPr>
        <w:t>אין תמונה. מיצג זה נקרא הפרה חמורה.</w:t>
      </w:r>
    </w:p>
    <w:p w:rsidR="00BB59CD" w:rsidRDefault="00BB59CD" w:rsidP="00BB59CD">
      <w:pPr>
        <w:rPr>
          <w:rtl/>
          <w:lang w:eastAsia="he-IL"/>
        </w:rPr>
      </w:pPr>
      <w:bookmarkStart w:id="58496" w:name="_ETM_Q107_345774"/>
      <w:bookmarkStart w:id="58497" w:name="_ETM_Q107_345882"/>
      <w:bookmarkEnd w:id="58496"/>
      <w:bookmarkEnd w:id="58497"/>
    </w:p>
    <w:p w:rsidR="00BB59CD" w:rsidRDefault="00BB59CD" w:rsidP="00BB59CD">
      <w:pPr>
        <w:pStyle w:val="-"/>
        <w:keepNext/>
        <w:rPr>
          <w:rtl/>
        </w:rPr>
      </w:pPr>
      <w:bookmarkStart w:id="58498" w:name="ET_speakercontinue_5803_18"/>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498"/>
    </w:p>
    <w:p w:rsidR="00BB59CD" w:rsidRDefault="00BB59CD" w:rsidP="00337201">
      <w:pPr>
        <w:rPr>
          <w:rtl/>
          <w:lang w:eastAsia="he-IL"/>
        </w:rPr>
      </w:pPr>
    </w:p>
    <w:p w:rsidR="00BB59CD" w:rsidRDefault="00BB59CD" w:rsidP="00BB59CD">
      <w:pPr>
        <w:rPr>
          <w:rtl/>
          <w:lang w:eastAsia="he-IL"/>
        </w:rPr>
      </w:pPr>
      <w:bookmarkStart w:id="58499" w:name="_ETM_Q107_347707"/>
      <w:bookmarkEnd w:id="58499"/>
      <w:r>
        <w:rPr>
          <w:rFonts w:hint="cs"/>
          <w:rtl/>
          <w:lang w:eastAsia="he-IL"/>
        </w:rPr>
        <w:t xml:space="preserve">אני מכיר את </w:t>
      </w:r>
      <w:bookmarkStart w:id="58500" w:name="_ETM_Q107_344119"/>
      <w:bookmarkEnd w:id="58500"/>
      <w:r>
        <w:rPr>
          <w:rFonts w:hint="cs"/>
          <w:rtl/>
          <w:lang w:eastAsia="he-IL"/>
        </w:rPr>
        <w:t>התקנון. אי-אפשר גם תמונה, לדבר על סבא וסבתא? אי-</w:t>
      </w:r>
      <w:bookmarkStart w:id="58501" w:name="_ETM_Q107_346546"/>
      <w:bookmarkEnd w:id="58501"/>
      <w:r>
        <w:rPr>
          <w:rFonts w:hint="cs"/>
          <w:rtl/>
          <w:lang w:eastAsia="he-IL"/>
        </w:rPr>
        <w:t>אפשר להעלות תמונה?</w:t>
      </w:r>
      <w:bookmarkStart w:id="58502" w:name="_ETM_Q107_344946"/>
      <w:bookmarkEnd w:id="58502"/>
    </w:p>
    <w:p w:rsidR="00BB59CD" w:rsidRDefault="00BB59CD" w:rsidP="00BB59CD">
      <w:pPr>
        <w:rPr>
          <w:rtl/>
          <w:lang w:eastAsia="he-IL"/>
        </w:rPr>
      </w:pPr>
      <w:bookmarkStart w:id="58503" w:name="_ETM_Q107_345058"/>
      <w:bookmarkEnd w:id="58503"/>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504" w:name="_ETM_Q107_348831"/>
      <w:bookmarkEnd w:id="58504"/>
      <w:r>
        <w:rPr>
          <w:rFonts w:hint="cs"/>
          <w:rtl/>
          <w:lang w:eastAsia="he-IL"/>
        </w:rPr>
        <w:t xml:space="preserve">לא לא לא. אתה יכול להסתכל על זה, </w:t>
      </w:r>
      <w:bookmarkStart w:id="58505" w:name="_ETM_Q107_348511"/>
      <w:bookmarkEnd w:id="58505"/>
      <w:r>
        <w:rPr>
          <w:rFonts w:hint="cs"/>
          <w:rtl/>
          <w:lang w:eastAsia="he-IL"/>
        </w:rPr>
        <w:t>אתה לא יכול להציג את זה אפילו ככה.</w:t>
      </w:r>
    </w:p>
    <w:p w:rsidR="00BB59CD" w:rsidRDefault="00BB59CD" w:rsidP="00BB59CD">
      <w:pPr>
        <w:rPr>
          <w:rtl/>
          <w:lang w:eastAsia="he-IL"/>
        </w:rPr>
      </w:pPr>
      <w:bookmarkStart w:id="58506" w:name="_ETM_Q107_351589"/>
      <w:bookmarkStart w:id="58507" w:name="_ETM_Q107_351685"/>
      <w:bookmarkEnd w:id="58506"/>
      <w:bookmarkEnd w:id="58507"/>
    </w:p>
    <w:p w:rsidR="00BB59CD" w:rsidRDefault="00BB59CD" w:rsidP="00BB59CD">
      <w:pPr>
        <w:pStyle w:val="-"/>
        <w:keepNext/>
        <w:rPr>
          <w:rtl/>
        </w:rPr>
      </w:pPr>
      <w:bookmarkStart w:id="58508" w:name="ET_speakercontinue_5803_19"/>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508"/>
    </w:p>
    <w:p w:rsidR="00BB59CD" w:rsidRDefault="00BB59CD" w:rsidP="00337201">
      <w:pPr>
        <w:rPr>
          <w:rtl/>
          <w:lang w:eastAsia="he-IL"/>
        </w:rPr>
      </w:pPr>
    </w:p>
    <w:p w:rsidR="00BB59CD" w:rsidRDefault="00BB59CD" w:rsidP="00BB59CD">
      <w:pPr>
        <w:rPr>
          <w:rtl/>
          <w:lang w:eastAsia="he-IL"/>
        </w:rPr>
      </w:pPr>
      <w:bookmarkStart w:id="58509" w:name="_ETM_Q107_346476"/>
      <w:bookmarkEnd w:id="58509"/>
      <w:r>
        <w:rPr>
          <w:rFonts w:hint="cs"/>
          <w:rtl/>
          <w:lang w:eastAsia="he-IL"/>
        </w:rPr>
        <w:t xml:space="preserve">אז אני לא </w:t>
      </w:r>
      <w:bookmarkStart w:id="58510" w:name="_ETM_Q107_348978"/>
      <w:bookmarkEnd w:id="58510"/>
      <w:r>
        <w:rPr>
          <w:rFonts w:hint="cs"/>
          <w:rtl/>
          <w:lang w:eastAsia="he-IL"/>
        </w:rPr>
        <w:t xml:space="preserve">אומר את זה, כי אני לא מתכוון עכשיו שיבזו את </w:t>
      </w:r>
      <w:bookmarkStart w:id="58511" w:name="_ETM_Q107_351054"/>
      <w:bookmarkEnd w:id="58511"/>
      <w:r>
        <w:rPr>
          <w:rFonts w:hint="cs"/>
          <w:rtl/>
          <w:lang w:eastAsia="he-IL"/>
        </w:rPr>
        <w:t xml:space="preserve">הרגע הזה. </w:t>
      </w:r>
    </w:p>
    <w:p w:rsidR="00BB59CD" w:rsidRDefault="00BB59CD" w:rsidP="00BB59CD">
      <w:pPr>
        <w:rPr>
          <w:rtl/>
          <w:lang w:eastAsia="he-IL"/>
        </w:rPr>
      </w:pPr>
      <w:bookmarkStart w:id="58512" w:name="_ETM_Q107_350334"/>
      <w:bookmarkStart w:id="58513" w:name="_ETM_Q107_350439"/>
      <w:bookmarkEnd w:id="58512"/>
      <w:bookmarkEnd w:id="58513"/>
    </w:p>
    <w:p w:rsidR="00BB59CD" w:rsidRDefault="00BB59CD" w:rsidP="00BB59CD">
      <w:pPr>
        <w:pStyle w:val="af9"/>
        <w:keepNext/>
        <w:rPr>
          <w:rtl/>
        </w:rPr>
      </w:pPr>
      <w:bookmarkStart w:id="58514" w:name="ET_yor_6488_2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58514"/>
    </w:p>
    <w:p w:rsidR="00BB59CD" w:rsidRDefault="00BB59CD" w:rsidP="00337201">
      <w:pPr>
        <w:rPr>
          <w:rtl/>
          <w:lang w:eastAsia="he-IL"/>
        </w:rPr>
      </w:pPr>
    </w:p>
    <w:p w:rsidR="00BB59CD" w:rsidRDefault="00BB59CD" w:rsidP="00BB59CD">
      <w:pPr>
        <w:rPr>
          <w:rtl/>
          <w:lang w:eastAsia="he-IL"/>
        </w:rPr>
      </w:pPr>
      <w:bookmarkStart w:id="58515" w:name="_ETM_Q107_352409"/>
      <w:bookmarkEnd w:id="58515"/>
      <w:r>
        <w:rPr>
          <w:rFonts w:hint="cs"/>
          <w:rtl/>
          <w:lang w:eastAsia="he-IL"/>
        </w:rPr>
        <w:t>לא, באמת, חבל.</w:t>
      </w:r>
    </w:p>
    <w:p w:rsidR="00BB59CD" w:rsidRDefault="00BB59CD" w:rsidP="00BB59CD">
      <w:pPr>
        <w:rPr>
          <w:rtl/>
          <w:lang w:eastAsia="he-IL"/>
        </w:rPr>
      </w:pPr>
      <w:bookmarkStart w:id="58516" w:name="_ETM_Q107_355332"/>
      <w:bookmarkStart w:id="58517" w:name="_ETM_Q107_355440"/>
      <w:bookmarkEnd w:id="58516"/>
      <w:bookmarkEnd w:id="58517"/>
    </w:p>
    <w:p w:rsidR="00BB59CD" w:rsidRDefault="00BB59CD" w:rsidP="00BB59CD">
      <w:pPr>
        <w:pStyle w:val="-"/>
        <w:keepNext/>
        <w:rPr>
          <w:rtl/>
        </w:rPr>
      </w:pPr>
      <w:bookmarkStart w:id="58518" w:name="ET_speakercontinue_5803_23"/>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518"/>
    </w:p>
    <w:p w:rsidR="00BB59CD" w:rsidRDefault="00BB59CD" w:rsidP="00337201">
      <w:pPr>
        <w:rPr>
          <w:rtl/>
          <w:lang w:eastAsia="he-IL"/>
        </w:rPr>
      </w:pPr>
    </w:p>
    <w:p w:rsidR="00BB59CD" w:rsidRDefault="00BB59CD" w:rsidP="00BB59CD">
      <w:pPr>
        <w:rPr>
          <w:rtl/>
          <w:lang w:eastAsia="he-IL"/>
        </w:rPr>
      </w:pPr>
      <w:bookmarkStart w:id="58519" w:name="_ETM_Q107_356922"/>
      <w:bookmarkEnd w:id="58519"/>
      <w:r>
        <w:rPr>
          <w:rFonts w:hint="cs"/>
          <w:rtl/>
          <w:lang w:eastAsia="he-IL"/>
        </w:rPr>
        <w:t xml:space="preserve">לא, אני בא להגיד שאני מעלה את זה כדי לדבר על </w:t>
      </w:r>
      <w:bookmarkStart w:id="58520" w:name="_ETM_Q107_358399"/>
      <w:bookmarkEnd w:id="58520"/>
      <w:r>
        <w:rPr>
          <w:rFonts w:hint="cs"/>
          <w:rtl/>
          <w:lang w:eastAsia="he-IL"/>
        </w:rPr>
        <w:t xml:space="preserve">זה. </w:t>
      </w:r>
    </w:p>
    <w:p w:rsidR="00BB59CD" w:rsidRDefault="00BB59CD" w:rsidP="00BB59CD">
      <w:pPr>
        <w:rPr>
          <w:rtl/>
          <w:lang w:eastAsia="he-IL"/>
        </w:rPr>
      </w:pPr>
      <w:bookmarkStart w:id="58521" w:name="_ETM_Q107_353136"/>
      <w:bookmarkStart w:id="58522" w:name="_ETM_Q107_353270"/>
      <w:bookmarkEnd w:id="58521"/>
      <w:bookmarkEnd w:id="5852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523" w:name="_ETM_Q107_354175"/>
      <w:bookmarkEnd w:id="58523"/>
      <w:r>
        <w:rPr>
          <w:rFonts w:hint="cs"/>
          <w:rtl/>
          <w:lang w:eastAsia="he-IL"/>
        </w:rPr>
        <w:t>יפה. בסדר.</w:t>
      </w:r>
    </w:p>
    <w:p w:rsidR="00BB59CD" w:rsidRDefault="00BB59CD" w:rsidP="00BB59CD">
      <w:pPr>
        <w:rPr>
          <w:rtl/>
          <w:lang w:eastAsia="he-IL"/>
        </w:rPr>
      </w:pPr>
      <w:bookmarkStart w:id="58524" w:name="_ETM_Q107_356025"/>
      <w:bookmarkStart w:id="58525" w:name="_ETM_Q107_356119"/>
      <w:bookmarkEnd w:id="58524"/>
      <w:bookmarkEnd w:id="58525"/>
    </w:p>
    <w:p w:rsidR="00BB59CD" w:rsidRDefault="00BB59CD" w:rsidP="00BB59CD">
      <w:pPr>
        <w:pStyle w:val="-"/>
        <w:keepNext/>
        <w:rPr>
          <w:rtl/>
        </w:rPr>
      </w:pPr>
      <w:bookmarkStart w:id="58526" w:name="ET_speakercontinue_5803_25"/>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526"/>
    </w:p>
    <w:p w:rsidR="00BB59CD" w:rsidRDefault="00BB59CD" w:rsidP="00337201">
      <w:pPr>
        <w:rPr>
          <w:rtl/>
          <w:lang w:eastAsia="he-IL"/>
        </w:rPr>
      </w:pPr>
    </w:p>
    <w:p w:rsidR="00BB59CD" w:rsidRDefault="00BB59CD" w:rsidP="00BB59CD">
      <w:pPr>
        <w:rPr>
          <w:rtl/>
          <w:lang w:eastAsia="he-IL"/>
        </w:rPr>
      </w:pPr>
      <w:bookmarkStart w:id="58527" w:name="_ETM_Q107_357635"/>
      <w:bookmarkEnd w:id="58527"/>
      <w:r>
        <w:rPr>
          <w:rFonts w:hint="cs"/>
          <w:rtl/>
          <w:lang w:eastAsia="he-IL"/>
        </w:rPr>
        <w:t>אני חושב שנכון לאשר את זה</w:t>
      </w:r>
      <w:bookmarkStart w:id="58528" w:name="_ETM_Q107_357183"/>
      <w:bookmarkStart w:id="58529" w:name="_ETM_Q107_360875"/>
      <w:bookmarkStart w:id="58530" w:name="_ETM_Q107_360959"/>
      <w:bookmarkEnd w:id="58528"/>
      <w:bookmarkEnd w:id="58529"/>
      <w:bookmarkEnd w:id="58530"/>
      <w:r>
        <w:rPr>
          <w:rFonts w:hint="cs"/>
          <w:rtl/>
          <w:lang w:eastAsia="he-IL"/>
        </w:rPr>
        <w:t>, אבל אם זה התקנון - - -</w:t>
      </w:r>
    </w:p>
    <w:p w:rsidR="00BB59CD" w:rsidRDefault="00BB59CD" w:rsidP="00BB59CD">
      <w:pPr>
        <w:rPr>
          <w:rtl/>
          <w:lang w:eastAsia="he-IL"/>
        </w:rPr>
      </w:pPr>
      <w:bookmarkStart w:id="58531" w:name="_ETM_Q107_360034"/>
      <w:bookmarkStart w:id="58532" w:name="_ETM_Q107_360117"/>
      <w:bookmarkEnd w:id="58531"/>
      <w:bookmarkEnd w:id="5853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533" w:name="_ETM_Q107_361559"/>
      <w:bookmarkEnd w:id="58533"/>
      <w:r>
        <w:rPr>
          <w:rFonts w:hint="cs"/>
          <w:rtl/>
          <w:lang w:eastAsia="he-IL"/>
        </w:rPr>
        <w:t xml:space="preserve">אבל </w:t>
      </w:r>
      <w:bookmarkStart w:id="58534" w:name="_ETM_Q107_362387"/>
      <w:bookmarkEnd w:id="58534"/>
      <w:r>
        <w:rPr>
          <w:rFonts w:hint="cs"/>
          <w:rtl/>
          <w:lang w:eastAsia="he-IL"/>
        </w:rPr>
        <w:t>מה לעשות, זה התקנון, לגמרי. 60 דקות לרשותך, חבר הכנ</w:t>
      </w:r>
      <w:bookmarkStart w:id="58535" w:name="_ETM_Q107_365001"/>
      <w:bookmarkEnd w:id="58535"/>
      <w:r>
        <w:rPr>
          <w:rFonts w:hint="cs"/>
          <w:rtl/>
          <w:lang w:eastAsia="he-IL"/>
        </w:rPr>
        <w:t>סת עידן רול. שוט. אנחנו איתך.</w:t>
      </w:r>
    </w:p>
    <w:p w:rsidR="00BB59CD" w:rsidRDefault="00BB59CD" w:rsidP="00BB59CD">
      <w:pPr>
        <w:rPr>
          <w:rtl/>
          <w:lang w:eastAsia="he-IL"/>
        </w:rPr>
      </w:pPr>
      <w:bookmarkStart w:id="58536" w:name="_ETM_Q107_373227"/>
      <w:bookmarkStart w:id="58537" w:name="_ETM_Q107_373319"/>
      <w:bookmarkEnd w:id="58536"/>
      <w:bookmarkEnd w:id="58537"/>
    </w:p>
    <w:p w:rsidR="00BB59CD" w:rsidRDefault="00BB59CD" w:rsidP="00BB59CD">
      <w:pPr>
        <w:pStyle w:val="-"/>
        <w:keepNext/>
        <w:rPr>
          <w:rtl/>
        </w:rPr>
      </w:pPr>
      <w:bookmarkStart w:id="58538" w:name="ET_speakercontinue_5803_27"/>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538"/>
    </w:p>
    <w:p w:rsidR="00BB59CD" w:rsidRDefault="00BB59CD" w:rsidP="00337201">
      <w:pPr>
        <w:rPr>
          <w:rtl/>
          <w:lang w:eastAsia="he-IL"/>
        </w:rPr>
      </w:pPr>
    </w:p>
    <w:p w:rsidR="00BB59CD" w:rsidRDefault="00BB59CD" w:rsidP="00BB59CD">
      <w:pPr>
        <w:rPr>
          <w:rtl/>
          <w:lang w:eastAsia="he-IL"/>
        </w:rPr>
      </w:pPr>
      <w:bookmarkStart w:id="58539" w:name="_ETM_Q107_369354"/>
      <w:bookmarkEnd w:id="58539"/>
      <w:r>
        <w:rPr>
          <w:rFonts w:hint="cs"/>
          <w:rtl/>
          <w:lang w:eastAsia="he-IL"/>
        </w:rPr>
        <w:t xml:space="preserve">לילה טוב, כנסת נכבדה, אדוני היושב-ראש, אדוני </w:t>
      </w:r>
      <w:bookmarkStart w:id="58540" w:name="_ETM_Q107_376706"/>
      <w:bookmarkEnd w:id="58540"/>
      <w:r>
        <w:rPr>
          <w:rFonts w:hint="cs"/>
          <w:rtl/>
          <w:lang w:eastAsia="he-IL"/>
        </w:rPr>
        <w:t>השר, התמונה שאני לא יכול להראות מפאת התקנון - - -</w:t>
      </w:r>
    </w:p>
    <w:p w:rsidR="00BB59CD" w:rsidRDefault="00BB59CD" w:rsidP="00BB59CD">
      <w:pPr>
        <w:rPr>
          <w:rtl/>
          <w:lang w:eastAsia="he-IL"/>
        </w:rPr>
      </w:pPr>
      <w:bookmarkStart w:id="58541" w:name="_ETM_Q107_379560"/>
      <w:bookmarkStart w:id="58542" w:name="_ETM_Q107_379632"/>
      <w:bookmarkEnd w:id="58541"/>
      <w:bookmarkEnd w:id="5854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543" w:name="_ETM_Q107_381376"/>
      <w:bookmarkEnd w:id="58543"/>
      <w:r>
        <w:rPr>
          <w:rFonts w:hint="cs"/>
          <w:rtl/>
          <w:lang w:eastAsia="he-IL"/>
        </w:rPr>
        <w:t>אתה יכול לדבר עליה.</w:t>
      </w:r>
    </w:p>
    <w:p w:rsidR="00BB59CD" w:rsidRDefault="00BB59CD" w:rsidP="00BB59CD">
      <w:pPr>
        <w:rPr>
          <w:rtl/>
          <w:lang w:eastAsia="he-IL"/>
        </w:rPr>
      </w:pPr>
      <w:bookmarkStart w:id="58544" w:name="_ETM_Q107_378080"/>
      <w:bookmarkStart w:id="58545" w:name="_ETM_Q107_378163"/>
      <w:bookmarkEnd w:id="58544"/>
      <w:bookmarkEnd w:id="58545"/>
    </w:p>
    <w:p w:rsidR="00BB59CD" w:rsidRDefault="00BB59CD" w:rsidP="00BB59CD">
      <w:pPr>
        <w:pStyle w:val="-"/>
        <w:keepNext/>
        <w:rPr>
          <w:rtl/>
        </w:rPr>
      </w:pPr>
      <w:bookmarkStart w:id="58546" w:name="ET_speakercontinue_5803_29"/>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546"/>
    </w:p>
    <w:p w:rsidR="00BB59CD" w:rsidRDefault="00BB59CD" w:rsidP="00337201">
      <w:pPr>
        <w:rPr>
          <w:rtl/>
          <w:lang w:eastAsia="he-IL"/>
        </w:rPr>
      </w:pPr>
    </w:p>
    <w:p w:rsidR="00BB59CD" w:rsidRDefault="00BB59CD" w:rsidP="00BB59CD">
      <w:pPr>
        <w:rPr>
          <w:rtl/>
          <w:lang w:eastAsia="he-IL"/>
        </w:rPr>
      </w:pPr>
      <w:bookmarkStart w:id="58547" w:name="_ETM_Q107_379491"/>
      <w:bookmarkEnd w:id="58547"/>
      <w:r>
        <w:rPr>
          <w:rFonts w:hint="cs"/>
          <w:rtl/>
          <w:lang w:eastAsia="he-IL"/>
        </w:rPr>
        <w:t xml:space="preserve">אני אדבר עליה. היא </w:t>
      </w:r>
      <w:bookmarkStart w:id="58548" w:name="_ETM_Q107_379048"/>
      <w:bookmarkStart w:id="58549" w:name="_ETM_Q107_379683"/>
      <w:bookmarkStart w:id="58550" w:name="_ETM_Q107_379738"/>
      <w:bookmarkEnd w:id="58548"/>
      <w:bookmarkEnd w:id="58549"/>
      <w:bookmarkEnd w:id="58550"/>
      <w:r>
        <w:rPr>
          <w:rFonts w:hint="cs"/>
          <w:rtl/>
          <w:lang w:eastAsia="he-IL"/>
        </w:rPr>
        <w:t>תמונה שמעסיקה אותי הרבה, והיא תמונה שתלויה לי בלשכה. אני כבר חודשים ארוכים, ובפרט בימים האחרונים, מתהלך כל הזמן וחושב לעצמי: מה הסבים והסבתות שלי היו חושבים על המצב שבו אנחנו נמצאים לו הם היו חיים? ולא סתם התמונה שלהם תלויה לי בלשכה, כי סבא וסבתא שלי, כמו של הרבה אנשים פה, היו מדור המייסדים של המדינה. באמת אנשים שהיו ציונים גדולים. ובזכות הציונות הזאת עלו לארץ עוד לפני השואה, שזה לא דבר טריוויאלי איפה שאני מגיע ממנו.</w:t>
      </w:r>
    </w:p>
    <w:p w:rsidR="00BB59CD" w:rsidRDefault="00BB59CD" w:rsidP="00BB59CD">
      <w:pPr>
        <w:rPr>
          <w:rtl/>
          <w:lang w:eastAsia="he-IL"/>
        </w:rPr>
      </w:pPr>
      <w:bookmarkStart w:id="58551" w:name="_ETM_Q107_426732"/>
      <w:bookmarkEnd w:id="58551"/>
    </w:p>
    <w:p w:rsidR="00BB59CD" w:rsidRDefault="00BB59CD" w:rsidP="00BB59CD">
      <w:pPr>
        <w:rPr>
          <w:rtl/>
          <w:lang w:eastAsia="he-IL"/>
        </w:rPr>
      </w:pPr>
      <w:bookmarkStart w:id="58552" w:name="_ETM_Q107_426845"/>
      <w:bookmarkStart w:id="58553" w:name="_ETM_Q107_426887"/>
      <w:bookmarkStart w:id="58554" w:name="_ETM_Q107_426969"/>
      <w:bookmarkEnd w:id="58552"/>
      <w:bookmarkEnd w:id="58553"/>
      <w:bookmarkEnd w:id="58554"/>
      <w:r>
        <w:rPr>
          <w:rFonts w:hint="cs"/>
          <w:rtl/>
          <w:lang w:eastAsia="he-IL"/>
        </w:rPr>
        <w:t xml:space="preserve">אני רוצה לספר עליהם קצת, </w:t>
      </w:r>
      <w:bookmarkStart w:id="58555" w:name="_ETM_Q107_427334"/>
      <w:bookmarkEnd w:id="58555"/>
      <w:r>
        <w:rPr>
          <w:rFonts w:hint="cs"/>
          <w:rtl/>
          <w:lang w:eastAsia="he-IL"/>
        </w:rPr>
        <w:t xml:space="preserve">לתת פרספקטיבה על מה אנחנו עושים פה, מאיפה אנחנו הגענו, לפחות מאיפה אני הגעתי. בתמונה שאני לא יכול להראות יש </w:t>
      </w:r>
      <w:r w:rsidR="002E2E1E">
        <w:rPr>
          <w:rFonts w:hint="cs"/>
          <w:rtl/>
          <w:lang w:eastAsia="he-IL"/>
        </w:rPr>
        <w:t xml:space="preserve">את </w:t>
      </w:r>
      <w:r>
        <w:rPr>
          <w:rFonts w:hint="cs"/>
          <w:rtl/>
          <w:lang w:eastAsia="he-IL"/>
        </w:rPr>
        <w:t xml:space="preserve">סבתא שלי, זכרה לברכה, שפרה מזור, שהיא הייתה מצד </w:t>
      </w:r>
      <w:bookmarkStart w:id="58556" w:name="_ETM_Q107_440529"/>
      <w:bookmarkEnd w:id="58556"/>
      <w:r>
        <w:rPr>
          <w:rFonts w:hint="cs"/>
          <w:rtl/>
          <w:lang w:eastAsia="he-IL"/>
        </w:rPr>
        <w:t>אחד של המפה הפוליטית. היא הייתה בהגנה.</w:t>
      </w:r>
    </w:p>
    <w:p w:rsidR="00BB59CD" w:rsidRDefault="00BB59CD" w:rsidP="00BB59CD">
      <w:pPr>
        <w:rPr>
          <w:rtl/>
          <w:lang w:eastAsia="he-IL"/>
        </w:rPr>
      </w:pPr>
      <w:bookmarkStart w:id="58557" w:name="_ETM_Q107_444577"/>
      <w:bookmarkEnd w:id="58557"/>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2E2E1E">
      <w:pPr>
        <w:rPr>
          <w:rtl/>
          <w:lang w:eastAsia="he-IL"/>
        </w:rPr>
      </w:pPr>
      <w:bookmarkStart w:id="58558" w:name="_ETM_Q107_446191"/>
      <w:bookmarkStart w:id="58559" w:name="_ETM_Q107_444823"/>
      <w:bookmarkStart w:id="58560" w:name="_ETM_Q107_444879"/>
      <w:bookmarkStart w:id="58561" w:name="_ETM_Q107_444970"/>
      <w:bookmarkEnd w:id="58558"/>
      <w:bookmarkEnd w:id="58559"/>
      <w:bookmarkEnd w:id="58560"/>
      <w:bookmarkEnd w:id="58561"/>
      <w:r>
        <w:rPr>
          <w:rFonts w:hint="cs"/>
          <w:rtl/>
          <w:lang w:eastAsia="he-IL"/>
        </w:rPr>
        <w:t>באיזה שנה הם עלו לארץ?</w:t>
      </w:r>
      <w:bookmarkStart w:id="58562" w:name="_ETM_Q107_445454"/>
      <w:bookmarkStart w:id="58563" w:name="_ETM_Q107_445539"/>
      <w:bookmarkStart w:id="58564" w:name="_ETM_Q107_446411"/>
      <w:bookmarkStart w:id="58565" w:name="_ETM_Q107_449767"/>
      <w:bookmarkStart w:id="58566" w:name="_ETM_Q107_449798"/>
      <w:bookmarkStart w:id="58567" w:name="_ETM_Q107_449901"/>
      <w:bookmarkEnd w:id="58562"/>
      <w:bookmarkEnd w:id="58563"/>
      <w:bookmarkEnd w:id="58564"/>
      <w:bookmarkEnd w:id="58565"/>
      <w:bookmarkEnd w:id="58566"/>
      <w:bookmarkEnd w:id="58567"/>
      <w:r w:rsidR="002E2E1E">
        <w:rPr>
          <w:rFonts w:hint="cs"/>
          <w:rtl/>
          <w:lang w:eastAsia="he-IL"/>
        </w:rPr>
        <w:t xml:space="preserve"> </w:t>
      </w:r>
      <w:r>
        <w:rPr>
          <w:rFonts w:hint="cs"/>
          <w:rtl/>
          <w:lang w:eastAsia="he-IL"/>
        </w:rPr>
        <w:t>מה זה דור המייסדים?</w:t>
      </w:r>
    </w:p>
    <w:p w:rsidR="00BB59CD" w:rsidRDefault="00BB59CD" w:rsidP="00BB59CD">
      <w:pPr>
        <w:rPr>
          <w:rtl/>
          <w:lang w:eastAsia="he-IL"/>
        </w:rPr>
      </w:pPr>
      <w:bookmarkStart w:id="58568" w:name="_ETM_Q107_451319"/>
      <w:bookmarkStart w:id="58569" w:name="_ETM_Q107_451423"/>
      <w:bookmarkEnd w:id="58568"/>
      <w:bookmarkEnd w:id="58569"/>
    </w:p>
    <w:p w:rsidR="00BB59CD" w:rsidRDefault="00BB59CD" w:rsidP="00BB59CD">
      <w:pPr>
        <w:pStyle w:val="-"/>
        <w:keepNext/>
        <w:rPr>
          <w:rtl/>
        </w:rPr>
      </w:pPr>
      <w:bookmarkStart w:id="58570" w:name="ET_speakercontinue_5803_33"/>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570"/>
    </w:p>
    <w:p w:rsidR="00BB59CD" w:rsidRDefault="00BB59CD" w:rsidP="00337201">
      <w:pPr>
        <w:rPr>
          <w:rtl/>
          <w:lang w:eastAsia="he-IL"/>
        </w:rPr>
      </w:pPr>
    </w:p>
    <w:p w:rsidR="00BB59CD" w:rsidRDefault="00BB59CD" w:rsidP="002E2E1E">
      <w:pPr>
        <w:rPr>
          <w:rtl/>
          <w:lang w:eastAsia="he-IL"/>
        </w:rPr>
      </w:pPr>
      <w:bookmarkStart w:id="58571" w:name="_ETM_Q107_448557"/>
      <w:bookmarkEnd w:id="58571"/>
      <w:r>
        <w:rPr>
          <w:rFonts w:hint="cs"/>
          <w:rtl/>
          <w:lang w:eastAsia="he-IL"/>
        </w:rPr>
        <w:t xml:space="preserve">הם </w:t>
      </w:r>
      <w:bookmarkStart w:id="58572" w:name="_ETM_Q107_451577"/>
      <w:bookmarkStart w:id="58573" w:name="_ETM_Q107_451681"/>
      <w:bookmarkEnd w:id="58572"/>
      <w:bookmarkEnd w:id="58573"/>
      <w:r>
        <w:rPr>
          <w:rFonts w:hint="cs"/>
          <w:rtl/>
          <w:lang w:eastAsia="he-IL"/>
        </w:rPr>
        <w:t xml:space="preserve">כולם עלו לארץ מוקדם, </w:t>
      </w:r>
      <w:r w:rsidR="002E2E1E">
        <w:rPr>
          <w:rFonts w:hint="cs"/>
          <w:rtl/>
          <w:lang w:eastAsia="he-IL"/>
        </w:rPr>
        <w:t>ב</w:t>
      </w:r>
      <w:r>
        <w:rPr>
          <w:rFonts w:hint="cs"/>
          <w:rtl/>
          <w:lang w:eastAsia="he-IL"/>
        </w:rPr>
        <w:t xml:space="preserve">שנות השלושים. אין, זה דור בונה. סבתא שלי הייתה בהגנה. זה דברים שהיום אתה שומע – אלה </w:t>
      </w:r>
      <w:r w:rsidR="002E2E1E">
        <w:rPr>
          <w:rFonts w:hint="cs"/>
          <w:rtl/>
          <w:lang w:eastAsia="he-IL"/>
        </w:rPr>
        <w:t>ה</w:t>
      </w:r>
      <w:r>
        <w:rPr>
          <w:rFonts w:hint="cs"/>
          <w:rtl/>
          <w:lang w:eastAsia="he-IL"/>
        </w:rPr>
        <w:t xml:space="preserve">סיפורים שאנחנו גדלנו עליהם. מחנכת, מורה, </w:t>
      </w:r>
      <w:bookmarkStart w:id="58574" w:name="_ETM_Q107_466277"/>
      <w:bookmarkEnd w:id="58574"/>
      <w:r>
        <w:rPr>
          <w:rFonts w:hint="cs"/>
          <w:rtl/>
          <w:lang w:eastAsia="he-IL"/>
        </w:rPr>
        <w:t>מפמ"רית, באמת אשת משרד החינוך. אין גאווה כזו כמו ללמד מבחינתה, ו</w:t>
      </w:r>
      <w:r w:rsidR="002E2E1E">
        <w:rPr>
          <w:rFonts w:hint="cs"/>
          <w:rtl/>
          <w:lang w:eastAsia="he-IL"/>
        </w:rPr>
        <w:t xml:space="preserve">היא </w:t>
      </w:r>
      <w:r>
        <w:rPr>
          <w:rFonts w:hint="cs"/>
          <w:rtl/>
          <w:lang w:eastAsia="he-IL"/>
        </w:rPr>
        <w:t xml:space="preserve">עסקה בזה כל חייה. סבא שלי, זכרו לברכה, יוסף מזור, היה איש שהתחנך על </w:t>
      </w:r>
      <w:bookmarkStart w:id="58575" w:name="_ETM_Q107_477799"/>
      <w:bookmarkEnd w:id="58575"/>
      <w:r>
        <w:rPr>
          <w:rFonts w:hint="cs"/>
          <w:rtl/>
          <w:lang w:eastAsia="he-IL"/>
        </w:rPr>
        <w:t xml:space="preserve">ז'בוטינסקי, הצביע מחל כל חייו באדיקות. אני תוהה תמיד מה הוא היה מצביע עכשיו, אני נוטה להמר בביטחון מוחלט שהוא לא היה מצביע יותר ליכוד. אבל אז הוא היה מצביע ליכוד. </w:t>
      </w:r>
      <w:r w:rsidR="002E2E1E">
        <w:rPr>
          <w:rFonts w:hint="cs"/>
          <w:rtl/>
          <w:lang w:eastAsia="he-IL"/>
        </w:rPr>
        <w:t xml:space="preserve">הוא </w:t>
      </w:r>
      <w:r>
        <w:rPr>
          <w:rFonts w:hint="cs"/>
          <w:rtl/>
          <w:lang w:eastAsia="he-IL"/>
        </w:rPr>
        <w:t>הצביע מחל כל חייו, היא לרוב הצביעה עבודה, מפא"י, ככה שהיה לי בית שינק מכאן ומכאן.</w:t>
      </w:r>
    </w:p>
    <w:p w:rsidR="00BB59CD" w:rsidRDefault="00BB59CD" w:rsidP="00BB59CD">
      <w:pPr>
        <w:rPr>
          <w:rtl/>
          <w:lang w:eastAsia="he-IL"/>
        </w:rPr>
      </w:pPr>
      <w:bookmarkStart w:id="58576" w:name="_ETM_Q107_502075"/>
      <w:bookmarkEnd w:id="58576"/>
    </w:p>
    <w:p w:rsidR="00BB59CD" w:rsidRDefault="00BB59CD" w:rsidP="002E2E1E">
      <w:pPr>
        <w:rPr>
          <w:rtl/>
          <w:lang w:eastAsia="he-IL"/>
        </w:rPr>
      </w:pPr>
      <w:bookmarkStart w:id="58577" w:name="_ETM_Q107_502209"/>
      <w:bookmarkStart w:id="58578" w:name="_ETM_Q107_502230"/>
      <w:bookmarkStart w:id="58579" w:name="_ETM_Q107_502296"/>
      <w:bookmarkEnd w:id="58577"/>
      <w:bookmarkEnd w:id="58578"/>
      <w:bookmarkEnd w:id="58579"/>
      <w:r>
        <w:rPr>
          <w:rFonts w:hint="cs"/>
          <w:rtl/>
          <w:lang w:eastAsia="he-IL"/>
        </w:rPr>
        <w:t xml:space="preserve">הסבים והסבתות שלנו, שאני לפעמים חושב שאולי טוב שנחסך מהם כל מה שקורה עכשיו, עברו פה </w:t>
      </w:r>
      <w:bookmarkStart w:id="58580" w:name="_ETM_Q107_515120"/>
      <w:bookmarkEnd w:id="58580"/>
      <w:r>
        <w:rPr>
          <w:rFonts w:hint="cs"/>
          <w:rtl/>
          <w:lang w:eastAsia="he-IL"/>
        </w:rPr>
        <w:t xml:space="preserve">– הם </w:t>
      </w:r>
      <w:r w:rsidR="002E2E1E">
        <w:rPr>
          <w:rFonts w:hint="cs"/>
          <w:rtl/>
          <w:lang w:eastAsia="he-IL"/>
        </w:rPr>
        <w:t xml:space="preserve">גם </w:t>
      </w:r>
      <w:r>
        <w:rPr>
          <w:rFonts w:hint="cs"/>
          <w:rtl/>
          <w:lang w:eastAsia="he-IL"/>
        </w:rPr>
        <w:t xml:space="preserve">עשו לא מעט, חוו לא מעט עבור המדינה הזאת. סבא וסבתא שלי היו בעצם דיפלומטים. סבא שלי היה דיפלומט של משרד התמ"ת דאז. תעודת המינוי שלו, שחתומה על ידי הנשיא, תלויה לי בלשכה. בעצם הוא היה אחראי על כל הרכש של תבואות ושמן ודברים בבורסה בחו"ל. הוא בעצם היה אחראי בתקופה ההיא על כל הרכש למדינת ישראל, כל </w:t>
      </w:r>
      <w:bookmarkStart w:id="58581" w:name="_ETM_Q107_545509"/>
      <w:bookmarkEnd w:id="58581"/>
      <w:r>
        <w:rPr>
          <w:rFonts w:hint="cs"/>
          <w:rtl/>
          <w:lang w:eastAsia="he-IL"/>
        </w:rPr>
        <w:t>מה שאפשר שיהיו פה דברים בסיסיים כמו אורז, עדשים ושמן במדינה. ככה שיצא להם לעשות שתי שליחויות ארוכות, אחת בלונדון, אחת בניו</w:t>
      </w:r>
      <w:r w:rsidR="002E2E1E">
        <w:rPr>
          <w:rFonts w:hint="cs"/>
          <w:rtl/>
          <w:lang w:eastAsia="he-IL"/>
        </w:rPr>
        <w:t xml:space="preserve"> </w:t>
      </w:r>
      <w:r>
        <w:rPr>
          <w:rFonts w:hint="cs"/>
          <w:rtl/>
          <w:lang w:eastAsia="he-IL"/>
        </w:rPr>
        <w:t xml:space="preserve">יורק. ואני התחנכתי בבית מאוד ציוני, בית שידע מה זה ערך של דיפלומטיה, בית שידע מה זה </w:t>
      </w:r>
      <w:bookmarkStart w:id="58582" w:name="_ETM_Q107_560611"/>
      <w:bookmarkEnd w:id="58582"/>
      <w:r>
        <w:rPr>
          <w:rFonts w:hint="cs"/>
          <w:rtl/>
          <w:lang w:eastAsia="he-IL"/>
        </w:rPr>
        <w:t>ערך של לייצג את מדינת ישראל. ותמיד היה לי כבוד מאוד גדול להיות סגן שר החוץ, כי הרגשתי שיש לי מורשת של לשאת בגאווה את דגל ישראל על דש הז'קט בחו"ל.</w:t>
      </w:r>
    </w:p>
    <w:p w:rsidR="00BB59CD" w:rsidRDefault="00BB59CD" w:rsidP="00BB59CD">
      <w:pPr>
        <w:rPr>
          <w:rtl/>
          <w:lang w:eastAsia="he-IL"/>
        </w:rPr>
      </w:pPr>
      <w:bookmarkStart w:id="58583" w:name="_ETM_Q107_572416"/>
      <w:bookmarkStart w:id="58584" w:name="_ETM_Q107_572535"/>
      <w:bookmarkEnd w:id="58583"/>
      <w:bookmarkEnd w:id="58584"/>
    </w:p>
    <w:p w:rsidR="00BB59CD" w:rsidRDefault="00BB59CD" w:rsidP="00BB59CD">
      <w:pPr>
        <w:rPr>
          <w:rtl/>
          <w:lang w:eastAsia="he-IL"/>
        </w:rPr>
      </w:pPr>
      <w:bookmarkStart w:id="58585" w:name="_ETM_Q107_572582"/>
      <w:bookmarkStart w:id="58586" w:name="_ETM_Q107_572661"/>
      <w:bookmarkEnd w:id="58585"/>
      <w:bookmarkEnd w:id="58586"/>
      <w:r>
        <w:rPr>
          <w:rFonts w:hint="cs"/>
          <w:rtl/>
          <w:lang w:eastAsia="he-IL"/>
        </w:rPr>
        <w:t xml:space="preserve">מהצד השני </w:t>
      </w:r>
      <w:bookmarkStart w:id="58587" w:name="_ETM_Q107_598527"/>
      <w:bookmarkEnd w:id="58587"/>
      <w:r>
        <w:rPr>
          <w:rFonts w:hint="cs"/>
          <w:rtl/>
          <w:lang w:eastAsia="he-IL"/>
        </w:rPr>
        <w:t xml:space="preserve">– זה הצד הירושלמי, אגב, </w:t>
      </w:r>
      <w:r w:rsidR="002E2E1E">
        <w:rPr>
          <w:rFonts w:hint="cs"/>
          <w:rtl/>
          <w:lang w:eastAsia="he-IL"/>
        </w:rPr>
        <w:t>וה</w:t>
      </w:r>
      <w:r>
        <w:rPr>
          <w:rFonts w:hint="cs"/>
          <w:rtl/>
          <w:lang w:eastAsia="he-IL"/>
        </w:rPr>
        <w:t>ירושלמים מאוד דומים לצד השני, שזה חיפה. ירושלמים וחיפאים זה אנשים דומים.</w:t>
      </w:r>
    </w:p>
    <w:p w:rsidR="00BB59CD" w:rsidRDefault="00BB59CD" w:rsidP="00BB59CD">
      <w:pPr>
        <w:rPr>
          <w:rtl/>
          <w:lang w:eastAsia="he-IL"/>
        </w:rPr>
      </w:pPr>
      <w:bookmarkStart w:id="58588" w:name="_ETM_Q107_583716"/>
      <w:bookmarkStart w:id="58589" w:name="_ETM_Q107_583812"/>
      <w:bookmarkEnd w:id="58588"/>
      <w:bookmarkEnd w:id="58589"/>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הם עלו לחיפה, הסבא והסבתא?</w:t>
      </w:r>
      <w:bookmarkStart w:id="58590" w:name="_ETM_Q107_580805"/>
      <w:bookmarkEnd w:id="58590"/>
    </w:p>
    <w:p w:rsidR="00BB59CD" w:rsidRDefault="00BB59CD" w:rsidP="00BB59CD">
      <w:pPr>
        <w:rPr>
          <w:rtl/>
          <w:lang w:eastAsia="he-IL"/>
        </w:rPr>
      </w:pPr>
      <w:bookmarkStart w:id="58591" w:name="_ETM_Q107_580909"/>
      <w:bookmarkEnd w:id="58591"/>
    </w:p>
    <w:p w:rsidR="00BB59CD" w:rsidRDefault="00BB59CD" w:rsidP="00BB59CD">
      <w:pPr>
        <w:pStyle w:val="-"/>
        <w:keepNext/>
        <w:rPr>
          <w:rtl/>
        </w:rPr>
      </w:pPr>
      <w:bookmarkStart w:id="58592" w:name="ET_speakercontinue_5803_35"/>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592"/>
    </w:p>
    <w:p w:rsidR="00BB59CD" w:rsidRDefault="00BB59CD" w:rsidP="00337201">
      <w:pPr>
        <w:rPr>
          <w:rtl/>
          <w:lang w:eastAsia="he-IL"/>
        </w:rPr>
      </w:pPr>
    </w:p>
    <w:p w:rsidR="00BB59CD" w:rsidRDefault="00BB59CD" w:rsidP="00BB59CD">
      <w:pPr>
        <w:rPr>
          <w:rtl/>
          <w:lang w:eastAsia="he-IL"/>
        </w:rPr>
      </w:pPr>
      <w:bookmarkStart w:id="58593" w:name="_ETM_Q107_582471"/>
      <w:bookmarkEnd w:id="58593"/>
      <w:r>
        <w:rPr>
          <w:rFonts w:hint="cs"/>
          <w:rtl/>
          <w:lang w:eastAsia="he-IL"/>
        </w:rPr>
        <w:t>ירושלים וחיפה. כן. בסוף כל המשפחה הגיעה לתל אביב.</w:t>
      </w:r>
    </w:p>
    <w:p w:rsidR="00BB59CD" w:rsidRDefault="00BB59CD" w:rsidP="00BB59CD">
      <w:pPr>
        <w:rPr>
          <w:rtl/>
          <w:lang w:eastAsia="he-IL"/>
        </w:rPr>
      </w:pPr>
      <w:bookmarkStart w:id="58594" w:name="_ETM_Q107_588088"/>
      <w:bookmarkEnd w:id="58594"/>
    </w:p>
    <w:p w:rsidR="00BB59CD" w:rsidRDefault="00BB59CD" w:rsidP="002E2E1E">
      <w:pPr>
        <w:rPr>
          <w:rtl/>
          <w:lang w:eastAsia="he-IL"/>
        </w:rPr>
      </w:pPr>
      <w:bookmarkStart w:id="58595" w:name="_ETM_Q107_588236"/>
      <w:bookmarkStart w:id="58596" w:name="_ETM_Q107_588251"/>
      <w:bookmarkStart w:id="58597" w:name="_ETM_Q107_588315"/>
      <w:bookmarkEnd w:id="58595"/>
      <w:bookmarkEnd w:id="58596"/>
      <w:bookmarkEnd w:id="58597"/>
      <w:r>
        <w:rPr>
          <w:rFonts w:hint="cs"/>
          <w:rtl/>
          <w:lang w:eastAsia="he-IL"/>
        </w:rPr>
        <w:t xml:space="preserve">סבא וסבתא שלי מחיפה, עליהם השלום </w:t>
      </w:r>
      <w:r w:rsidR="002E2E1E">
        <w:rPr>
          <w:rFonts w:hint="eastAsia"/>
          <w:rtl/>
          <w:lang w:eastAsia="he-IL"/>
        </w:rPr>
        <w:t>–</w:t>
      </w:r>
      <w:r w:rsidR="002E2E1E">
        <w:rPr>
          <w:rFonts w:hint="cs"/>
          <w:rtl/>
          <w:lang w:eastAsia="he-IL"/>
        </w:rPr>
        <w:t xml:space="preserve"> </w:t>
      </w:r>
      <w:r>
        <w:rPr>
          <w:rFonts w:hint="cs"/>
          <w:rtl/>
          <w:lang w:eastAsia="he-IL"/>
        </w:rPr>
        <w:t xml:space="preserve">סבתא שלי, </w:t>
      </w:r>
      <w:bookmarkStart w:id="58598" w:name="_ETM_Q107_597085"/>
      <w:bookmarkEnd w:id="58598"/>
      <w:r>
        <w:rPr>
          <w:rFonts w:hint="cs"/>
          <w:rtl/>
          <w:lang w:eastAsia="he-IL"/>
        </w:rPr>
        <w:t xml:space="preserve">נטע מרגלית, הייתה אחת מהרופאות הראשונות בארץ. רופאה מיילדת, רופאת נשים. הייתה </w:t>
      </w:r>
      <w:bookmarkStart w:id="58599" w:name="_ETM_Q107_607010"/>
      <w:bookmarkEnd w:id="58599"/>
      <w:r>
        <w:rPr>
          <w:rFonts w:hint="cs"/>
          <w:rtl/>
          <w:lang w:eastAsia="he-IL"/>
        </w:rPr>
        <w:t xml:space="preserve">מנהלת בית חולים בחיפה כשכמעט ולא היה דבר כזה – אישה מנהלת בית חולים בחיפה. שנים, שנים, שנים, שנים אחורה. היא השתמשה בידע שלה ובכלים שלה, ועזרה להמון נשים שעברו התעללות על ידי הנאצים, על ידי מנגלה, לעשות את כל הבדיקות ולמלא את כל הטפסים כדי לקבל שילומים ופיצויים על מה שהן עברו. </w:t>
      </w:r>
      <w:r w:rsidR="002E2E1E">
        <w:rPr>
          <w:rFonts w:hint="cs"/>
          <w:rtl/>
          <w:lang w:eastAsia="he-IL"/>
        </w:rPr>
        <w:t xml:space="preserve">היא </w:t>
      </w:r>
      <w:r>
        <w:rPr>
          <w:rFonts w:hint="cs"/>
          <w:rtl/>
          <w:lang w:eastAsia="he-IL"/>
        </w:rPr>
        <w:t>הייתה אישה מאוד מאוד חזקה.</w:t>
      </w:r>
      <w:bookmarkStart w:id="58600" w:name="_ETM_Q107_631972"/>
      <w:bookmarkStart w:id="58601" w:name="_ETM_Q107_632094"/>
      <w:bookmarkStart w:id="58602" w:name="_ETM_Q107_632130"/>
      <w:bookmarkStart w:id="58603" w:name="_ETM_Q107_632185"/>
      <w:bookmarkEnd w:id="58600"/>
      <w:bookmarkEnd w:id="58601"/>
      <w:bookmarkEnd w:id="58602"/>
      <w:bookmarkEnd w:id="58603"/>
      <w:r w:rsidR="002E2E1E">
        <w:rPr>
          <w:rFonts w:hint="cs"/>
          <w:rtl/>
          <w:lang w:eastAsia="he-IL"/>
        </w:rPr>
        <w:t xml:space="preserve"> </w:t>
      </w:r>
      <w:r>
        <w:rPr>
          <w:rFonts w:hint="cs"/>
          <w:rtl/>
          <w:lang w:eastAsia="he-IL"/>
        </w:rPr>
        <w:t xml:space="preserve">סבא שלי מהצד של אבא שלי, הוא היה מהמקימים של גני התערוכה. הוא היה אחד המפיקים הגדולים בראשית שנות המדינה. הוא </w:t>
      </w:r>
      <w:bookmarkStart w:id="58604" w:name="_ETM_Q107_645532"/>
      <w:bookmarkEnd w:id="58604"/>
      <w:r>
        <w:rPr>
          <w:rFonts w:hint="cs"/>
          <w:rtl/>
          <w:lang w:eastAsia="he-IL"/>
        </w:rPr>
        <w:t>תכנן את יריד המזרח, את יריד העשו</w:t>
      </w:r>
      <w:r w:rsidR="002E2E1E">
        <w:rPr>
          <w:rFonts w:hint="cs"/>
          <w:rtl/>
          <w:lang w:eastAsia="he-IL"/>
        </w:rPr>
        <w:t>ר,</w:t>
      </w:r>
      <w:r>
        <w:rPr>
          <w:rFonts w:hint="cs"/>
          <w:rtl/>
          <w:lang w:eastAsia="he-IL"/>
        </w:rPr>
        <w:t xml:space="preserve"> את כל הדברים הגדולים, החגיגות של השנים הראשונות של ישראל. היה מאלה שבעצם הקימו את גני התערוכה. גם, עוד פעם, משהו שאני פוגש כל הזמן בחיים שלי בכנסים פוליטיים, בעבודה והכול.</w:t>
      </w:r>
    </w:p>
    <w:p w:rsidR="00BB59CD" w:rsidRDefault="00BB59CD" w:rsidP="00BB59CD">
      <w:pPr>
        <w:rPr>
          <w:rtl/>
          <w:lang w:eastAsia="he-IL"/>
        </w:rPr>
      </w:pPr>
      <w:bookmarkStart w:id="58605" w:name="_ETM_Q107_663497"/>
      <w:bookmarkStart w:id="58606" w:name="_ETM_Q107_663590"/>
      <w:bookmarkEnd w:id="58605"/>
      <w:bookmarkEnd w:id="58606"/>
    </w:p>
    <w:p w:rsidR="00BB59CD" w:rsidRDefault="00BB59CD" w:rsidP="00BB59CD">
      <w:pPr>
        <w:rPr>
          <w:rtl/>
          <w:lang w:eastAsia="he-IL"/>
        </w:rPr>
      </w:pPr>
      <w:bookmarkStart w:id="58607" w:name="_ETM_Q107_663629"/>
      <w:bookmarkStart w:id="58608" w:name="_ETM_Q107_663692"/>
      <w:bookmarkEnd w:id="58607"/>
      <w:bookmarkEnd w:id="58608"/>
      <w:r>
        <w:rPr>
          <w:rFonts w:hint="cs"/>
          <w:rtl/>
          <w:lang w:eastAsia="he-IL"/>
        </w:rPr>
        <w:t xml:space="preserve">היה משהו בדור הזה שהיה מוכן באמת לתת הכול, בכל צורה אפשרית, בשביל לאפשר למדינה הזאת להתקיים. הם לא ידעו אם יהיה מחר, אם המדינה הזאת תשרוד. הם פשוט </w:t>
      </w:r>
      <w:bookmarkStart w:id="58609" w:name="_ETM_Q107_680342"/>
      <w:bookmarkEnd w:id="58609"/>
      <w:r>
        <w:rPr>
          <w:rFonts w:hint="cs"/>
          <w:rtl/>
          <w:lang w:eastAsia="he-IL"/>
        </w:rPr>
        <w:t xml:space="preserve">נתנו את הנשמה עבור זה. ואולי גם פשוט הייתה הרבה יותר סולידריות. זה לא שהיו פחות קשיים, היו יותר, אבל הייתה איזושהי </w:t>
      </w:r>
      <w:bookmarkStart w:id="58610" w:name="_ETM_Q107_686771"/>
      <w:bookmarkEnd w:id="58610"/>
      <w:r>
        <w:rPr>
          <w:rFonts w:hint="cs"/>
          <w:rtl/>
          <w:lang w:eastAsia="he-IL"/>
        </w:rPr>
        <w:t>יכולת להתחבר יחד סביב מטרה.</w:t>
      </w:r>
    </w:p>
    <w:p w:rsidR="00BB59CD" w:rsidRDefault="00BB59CD" w:rsidP="00BB59CD">
      <w:pPr>
        <w:rPr>
          <w:rtl/>
          <w:lang w:eastAsia="he-IL"/>
        </w:rPr>
      </w:pPr>
    </w:p>
    <w:p w:rsidR="00BB59CD" w:rsidRDefault="00BB59CD" w:rsidP="000475CE">
      <w:pPr>
        <w:rPr>
          <w:rtl/>
        </w:rPr>
      </w:pPr>
      <w:bookmarkStart w:id="58611" w:name="_ETM_Q107_688281"/>
      <w:bookmarkStart w:id="58612" w:name="_ETM_Q107_688299"/>
      <w:bookmarkEnd w:id="58611"/>
      <w:bookmarkEnd w:id="58612"/>
      <w:r>
        <w:rPr>
          <w:rFonts w:hint="cs"/>
          <w:rtl/>
          <w:lang w:eastAsia="he-IL"/>
        </w:rPr>
        <w:t>אני חושב שאם הם היו היום</w:t>
      </w:r>
      <w:r w:rsidR="002E2E1E">
        <w:rPr>
          <w:rFonts w:hint="cs"/>
          <w:rtl/>
          <w:lang w:eastAsia="he-IL"/>
        </w:rPr>
        <w:t>,</w:t>
      </w:r>
      <w:r>
        <w:rPr>
          <w:rFonts w:hint="cs"/>
          <w:rtl/>
          <w:lang w:eastAsia="he-IL"/>
        </w:rPr>
        <w:t xml:space="preserve"> הם היו קודם כול מאוד עצובים נוכח מה שקורה. אני חושב שהקרע בעם הוא קרע </w:t>
      </w:r>
      <w:bookmarkStart w:id="58613" w:name="_ETM_Q107_699452"/>
      <w:bookmarkEnd w:id="58613"/>
      <w:r>
        <w:rPr>
          <w:rFonts w:hint="cs"/>
          <w:rtl/>
          <w:lang w:eastAsia="he-IL"/>
        </w:rPr>
        <w:t>שהוא האיום הכי גדול עלינו. אומרים את זה מהשפתיים ולחוץ, כאילו זה משהו כזה בר תיקון, כאילו קרע בעם זה משהו שמשנים דיסקט או מקבלים החלטה ודברים מתאפסים, כאילו משהו שפוליטיקה יכולה לתקן. היום פוליטיקה והבית הזה הם בעיקר דבר מפלג, אם כבר. אני חושב שזו הסכנה הכל-כך גדולה שאנחנו מתמודדים איתה, שהקרע הזה בעם זה משהו שיחזיק הרבה אחרי כל משבר, לצערי.</w:t>
      </w:r>
      <w:bookmarkStart w:id="58614" w:name="_ETM_Q107_734632"/>
      <w:bookmarkStart w:id="58615" w:name="_ETM_Q107_734753"/>
      <w:bookmarkStart w:id="58616" w:name="_ETM_Q107_734820"/>
      <w:bookmarkStart w:id="58617" w:name="_ETM_Q107_734902"/>
      <w:bookmarkEnd w:id="58614"/>
      <w:bookmarkEnd w:id="58615"/>
      <w:bookmarkEnd w:id="58616"/>
      <w:bookmarkEnd w:id="58617"/>
      <w:r>
        <w:rPr>
          <w:rFonts w:hint="cs"/>
          <w:rtl/>
          <w:lang w:eastAsia="he-IL"/>
        </w:rPr>
        <w:t xml:space="preserve"> ואני יכול לומר שהם, שהיו כולם מאוד ציונים, וכולם לקחו חלק פעיל בלעשות ולאהוב את המדינה הזאת ולייצג אותה ולהנציח אותה </w:t>
      </w:r>
      <w:r>
        <w:rPr>
          <w:rFonts w:hint="cs"/>
          <w:rtl/>
        </w:rPr>
        <w:t xml:space="preserve">ולחגוג </w:t>
      </w:r>
      <w:bookmarkStart w:id="58618" w:name="_ETM_Q107_749030"/>
      <w:bookmarkEnd w:id="58618"/>
      <w:r>
        <w:rPr>
          <w:rFonts w:hint="cs"/>
          <w:rtl/>
        </w:rPr>
        <w:t>אותה, היו היום פשוט נאלמים דום נוכח מה שהממשלה הזאת עושה. ממשלה שעוסקת באמת בהרס מהרגע הראשון שהיא התחילה.</w:t>
      </w:r>
    </w:p>
    <w:p w:rsidR="00BB59CD" w:rsidRDefault="00BB59CD" w:rsidP="00BB59CD">
      <w:pPr>
        <w:rPr>
          <w:rtl/>
        </w:rPr>
      </w:pPr>
      <w:bookmarkStart w:id="58619" w:name="_ETM_Q107_760419"/>
      <w:bookmarkStart w:id="58620" w:name="_ETM_Q107_760518"/>
      <w:bookmarkEnd w:id="58619"/>
      <w:bookmarkEnd w:id="58620"/>
    </w:p>
    <w:p w:rsidR="00BB59CD" w:rsidRDefault="00BB59CD" w:rsidP="00BB59CD">
      <w:pPr>
        <w:rPr>
          <w:rtl/>
          <w:lang w:eastAsia="he-IL"/>
        </w:rPr>
      </w:pPr>
      <w:bookmarkStart w:id="58621" w:name="TOR_Q108"/>
      <w:bookmarkEnd w:id="58621"/>
      <w:r>
        <w:rPr>
          <w:rFonts w:hint="cs"/>
          <w:rtl/>
        </w:rPr>
        <w:t xml:space="preserve">זאת לא הפעם הראשונה שלי באופוזיציה. הייתי פה באופוזיציה כבר בעבר, הייתי גם בקואליציה. אני חושב שיש משהו </w:t>
      </w:r>
      <w:bookmarkStart w:id="58622" w:name="_ETM_Q108_167248"/>
      <w:bookmarkEnd w:id="58622"/>
      <w:r>
        <w:rPr>
          <w:rFonts w:hint="cs"/>
          <w:rtl/>
        </w:rPr>
        <w:t xml:space="preserve">שכל אחד בבית </w:t>
      </w:r>
      <w:r>
        <w:rPr>
          <w:rFonts w:hint="cs"/>
          <w:rtl/>
          <w:lang w:eastAsia="he-IL"/>
        </w:rPr>
        <w:t xml:space="preserve">הזה יודע, גם אם לא יודו בזה </w:t>
      </w:r>
      <w:bookmarkStart w:id="58623" w:name="_ETM_Q108_173591"/>
      <w:bookmarkEnd w:id="58623"/>
      <w:r>
        <w:rPr>
          <w:rFonts w:hint="cs"/>
          <w:rtl/>
          <w:lang w:eastAsia="he-IL"/>
        </w:rPr>
        <w:t xml:space="preserve">כלפי חוץ: לא היו מחאות כאלה ולא היה חשש </w:t>
      </w:r>
      <w:bookmarkStart w:id="58624" w:name="_ETM_Q108_175681"/>
      <w:bookmarkEnd w:id="58624"/>
      <w:r>
        <w:rPr>
          <w:rFonts w:hint="cs"/>
          <w:rtl/>
          <w:lang w:eastAsia="he-IL"/>
        </w:rPr>
        <w:t xml:space="preserve">כזה בקרב ציבורים כל כך גדולים, רק בגלל </w:t>
      </w:r>
      <w:bookmarkStart w:id="58625" w:name="_ETM_Q108_178024"/>
      <w:bookmarkEnd w:id="58625"/>
      <w:r>
        <w:rPr>
          <w:rFonts w:hint="cs"/>
          <w:rtl/>
          <w:lang w:eastAsia="he-IL"/>
        </w:rPr>
        <w:t xml:space="preserve">שציבור מסוים הפסיד בבחירות. אף פעם לא היה מונח כל כך הרבה על הכף. אף פעם אנשים לא היו מוכנים לשלם מחירים אישיים וקולקטיביים כל כך גדולים רק בגלל שהם הפסידו בבחירות. זה לא בנוי ככה. הממשלה הזאת דומה בהרבה דברים לממשלות שהיו פה </w:t>
      </w:r>
      <w:bookmarkStart w:id="58626" w:name="_ETM_Q108_195643"/>
      <w:bookmarkEnd w:id="58626"/>
      <w:r>
        <w:rPr>
          <w:rFonts w:hint="cs"/>
          <w:rtl/>
          <w:lang w:eastAsia="he-IL"/>
        </w:rPr>
        <w:t xml:space="preserve">כבר עשרות שנים, ממשלות שאני גדלתי עליהן כעובדה מוגמרת, ממשלות שצעירים ממני – זה כל מה שהם מכירים, ברוח הממשלה הזאת. זו לא הסיבה שאנשים עכשיו ישנים במאהל שעברתי על פניו בגן סאקר. </w:t>
      </w:r>
    </w:p>
    <w:p w:rsidR="00BB59CD" w:rsidRDefault="00BB59CD" w:rsidP="00BB59CD">
      <w:pPr>
        <w:rPr>
          <w:rtl/>
          <w:lang w:eastAsia="he-IL"/>
        </w:rPr>
      </w:pPr>
    </w:p>
    <w:p w:rsidR="00BB59CD" w:rsidRDefault="00BB59CD" w:rsidP="004B7DDF">
      <w:pPr>
        <w:rPr>
          <w:rtl/>
          <w:lang w:eastAsia="he-IL"/>
        </w:rPr>
      </w:pPr>
      <w:r>
        <w:rPr>
          <w:rFonts w:hint="cs"/>
          <w:rtl/>
          <w:lang w:eastAsia="he-IL"/>
        </w:rPr>
        <w:t xml:space="preserve">עוד משהו שכל ירושלמי מסתכל </w:t>
      </w:r>
      <w:r w:rsidR="004B7DDF">
        <w:rPr>
          <w:rFonts w:hint="cs"/>
          <w:rtl/>
          <w:lang w:eastAsia="he-IL"/>
        </w:rPr>
        <w:t xml:space="preserve">עליו </w:t>
      </w:r>
      <w:r>
        <w:rPr>
          <w:rFonts w:hint="cs"/>
          <w:rtl/>
          <w:lang w:eastAsia="he-IL"/>
        </w:rPr>
        <w:t xml:space="preserve">ואומר: ואו, אנחנו חווים פה רגעים היסטוריים וכואבים </w:t>
      </w:r>
      <w:r w:rsidR="004B7DDF">
        <w:rPr>
          <w:rFonts w:hint="eastAsia"/>
          <w:rtl/>
          <w:lang w:eastAsia="he-IL"/>
        </w:rPr>
        <w:t>–</w:t>
      </w:r>
      <w:r w:rsidR="004B7DDF">
        <w:rPr>
          <w:rFonts w:hint="cs"/>
          <w:rtl/>
          <w:lang w:eastAsia="he-IL"/>
        </w:rPr>
        <w:t xml:space="preserve"> </w:t>
      </w:r>
      <w:r>
        <w:rPr>
          <w:rFonts w:hint="cs"/>
          <w:rtl/>
          <w:lang w:eastAsia="he-IL"/>
        </w:rPr>
        <w:t xml:space="preserve">לראות את גן סאקר ככה בתור עיר אוהלים. </w:t>
      </w:r>
      <w:bookmarkStart w:id="58627" w:name="_ETM_Q108_222394"/>
      <w:bookmarkEnd w:id="58627"/>
      <w:r>
        <w:rPr>
          <w:rFonts w:hint="cs"/>
          <w:rtl/>
          <w:lang w:eastAsia="he-IL"/>
        </w:rPr>
        <w:t xml:space="preserve">לפעמים זה גם גורם להבין כמה דברים אנחנו עברנו פה, כי אני עוד עברתי את המחאה החברתית ברוטשילד עם אוהלים. אתה לא יכול שלא לחשוב על הנחישות והתעוזה של אזרחים ישראלים לעשות ולהיאבק על המדינה שלהם ועל </w:t>
      </w:r>
      <w:bookmarkStart w:id="58628" w:name="_ETM_Q108_244170"/>
      <w:bookmarkEnd w:id="58628"/>
      <w:r>
        <w:rPr>
          <w:rFonts w:hint="cs"/>
          <w:rtl/>
          <w:lang w:eastAsia="he-IL"/>
        </w:rPr>
        <w:t>מה שמאמינים בו. ואני רוצה אני לברך אותם ולחזק אותם, את כל מי שישן שם היום, את כל מי שיצא לפני ויצא מחר. אני חושב שזה משהו שכולם צריכים להוקיר ולהכיר.</w:t>
      </w:r>
    </w:p>
    <w:p w:rsidR="00BB59CD" w:rsidRDefault="00BB59CD" w:rsidP="00BB59CD">
      <w:pPr>
        <w:rPr>
          <w:rtl/>
          <w:lang w:eastAsia="he-IL"/>
        </w:rPr>
      </w:pPr>
      <w:bookmarkStart w:id="58629" w:name="_ETM_Q108_254418"/>
      <w:bookmarkEnd w:id="58629"/>
    </w:p>
    <w:p w:rsidR="00BB59CD" w:rsidRDefault="00BB59CD" w:rsidP="00BB59CD">
      <w:pPr>
        <w:rPr>
          <w:rtl/>
          <w:lang w:eastAsia="he-IL"/>
        </w:rPr>
      </w:pPr>
      <w:bookmarkStart w:id="58630" w:name="_ETM_Q108_254582"/>
      <w:bookmarkStart w:id="58631" w:name="_ETM_Q108_254624"/>
      <w:bookmarkStart w:id="58632" w:name="_ETM_Q108_254769"/>
      <w:bookmarkEnd w:id="58630"/>
      <w:bookmarkEnd w:id="58631"/>
      <w:bookmarkEnd w:id="58632"/>
      <w:r>
        <w:rPr>
          <w:rFonts w:hint="cs"/>
          <w:rtl/>
          <w:lang w:eastAsia="he-IL"/>
        </w:rPr>
        <w:t>בעודי נוסע לכנסת עכשיו ראיתי גם המוני אנשים – חילונים, חרדים, דתיים – יושבים ומדברים, עומדים במעגלי שיח. ראיתי אחרי זה שמדברים על זה בטוויטר, א</w:t>
      </w:r>
      <w:bookmarkStart w:id="58633" w:name="_ETM_Q108_264829"/>
      <w:bookmarkEnd w:id="58633"/>
      <w:r>
        <w:rPr>
          <w:rFonts w:hint="cs"/>
          <w:rtl/>
          <w:lang w:eastAsia="he-IL"/>
        </w:rPr>
        <w:t xml:space="preserve">בל ממש ראיתי את זה לאורך גן סאקר. ואתה רואה איזושהי תקווה. אתה רואה אנשים שיצאו מרחבי ירושלים והגיעו לגן סאקר כדי לדבר, כדי להבין למה אנשים עוצרים את החיים שלהם עבור המטרה הזאת, למה זה כל כך חשוב, למה אנחנו נלחמים על עתיד המדינה. </w:t>
      </w:r>
      <w:bookmarkStart w:id="58634" w:name="_ETM_Q108_285429"/>
      <w:bookmarkEnd w:id="58634"/>
      <w:r>
        <w:rPr>
          <w:rFonts w:hint="cs"/>
          <w:rtl/>
          <w:lang w:eastAsia="he-IL"/>
        </w:rPr>
        <w:t xml:space="preserve">והיה שם משהו שלצד השבר הגדול אפשר גם קצת תקווה. </w:t>
      </w:r>
    </w:p>
    <w:p w:rsidR="00BB59CD" w:rsidRDefault="00BB59CD" w:rsidP="00BB59CD">
      <w:pPr>
        <w:rPr>
          <w:rtl/>
          <w:lang w:eastAsia="he-IL"/>
        </w:rPr>
      </w:pPr>
      <w:bookmarkStart w:id="58635" w:name="_ETM_Q108_289368"/>
      <w:bookmarkStart w:id="58636" w:name="_ETM_Q108_289435"/>
      <w:bookmarkEnd w:id="58635"/>
      <w:bookmarkEnd w:id="58636"/>
    </w:p>
    <w:p w:rsidR="00BB59CD" w:rsidRDefault="00BB59CD" w:rsidP="00BB59CD">
      <w:pPr>
        <w:rPr>
          <w:rtl/>
          <w:lang w:eastAsia="he-IL"/>
        </w:rPr>
      </w:pPr>
      <w:bookmarkStart w:id="58637" w:name="_ETM_Q108_289471"/>
      <w:bookmarkStart w:id="58638" w:name="_ETM_Q108_289523"/>
      <w:bookmarkEnd w:id="58637"/>
      <w:bookmarkEnd w:id="58638"/>
      <w:r>
        <w:rPr>
          <w:rFonts w:hint="cs"/>
          <w:rtl/>
          <w:lang w:eastAsia="he-IL"/>
        </w:rPr>
        <w:t xml:space="preserve">והתקווה הזו גרמה לי לחשוב על מה שאני רוצה להקריא, בגלל שהדיון כולו מתנהל בעיניי בצורה שגויה. כל הזמן מנסים למכור כאילו זה יהודית מול דמוקרטית, כאילו שני הערכים האלה, יהודית ודמוקרטית, נועדו להתנצח לכל אורך ההיסטוריה שלנו. זה לא חייב להיות ככה. אני תמיד האמנתי בפרשנות ההרמוניסטית, כמו שאמר השופט המנוח חיים כהן, שאומרת שיש יותר מן המשותף מאשר מפריד בין הערכים יהודית ודמוקרטית. ואני חושב שצריך להתחיל ולדבר שונה, ולהבין שיהודית ודמוקרטית יכולים לחיות זה לצד זה, אפילו אמורים לחיות זה לצד זה. </w:t>
      </w:r>
      <w:bookmarkStart w:id="58639" w:name="_ETM_Q108_349640"/>
      <w:bookmarkStart w:id="58640" w:name="_ETM_Q108_349707"/>
      <w:bookmarkStart w:id="58641" w:name="_ETM_Q108_349763"/>
      <w:bookmarkStart w:id="58642" w:name="_ETM_Q108_349815"/>
      <w:bookmarkEnd w:id="58639"/>
      <w:bookmarkEnd w:id="58640"/>
      <w:bookmarkEnd w:id="58641"/>
      <w:bookmarkEnd w:id="58642"/>
      <w:r>
        <w:rPr>
          <w:rFonts w:hint="cs"/>
          <w:rtl/>
          <w:lang w:eastAsia="he-IL"/>
        </w:rPr>
        <w:t>זה בעצם הצו של מדינת ישראל. לא סתם זה כתוב במגילת העצמאות, שמשתמשים בה כל כך הרבה בשיח עכשיו, ו</w:t>
      </w:r>
      <w:r w:rsidR="004B7DDF">
        <w:rPr>
          <w:rFonts w:hint="cs"/>
          <w:rtl/>
          <w:lang w:eastAsia="he-IL"/>
        </w:rPr>
        <w:t xml:space="preserve">היא </w:t>
      </w:r>
      <w:r>
        <w:rPr>
          <w:rFonts w:hint="cs"/>
          <w:rtl/>
          <w:lang w:eastAsia="he-IL"/>
        </w:rPr>
        <w:t xml:space="preserve">הפכה להיות גם בעיני ציבורים מסוימים פתאום פוליטית. היא לא פוליטית. זה הצו המכונן של המדינה הזאת. זה המסמך שעל בסיסו כולנו עומדים כאן היום בכנסת </w:t>
      </w:r>
      <w:bookmarkStart w:id="58643" w:name="_ETM_Q108_356976"/>
      <w:bookmarkEnd w:id="58643"/>
      <w:r>
        <w:rPr>
          <w:rFonts w:hint="cs"/>
          <w:rtl/>
          <w:lang w:eastAsia="he-IL"/>
        </w:rPr>
        <w:t xml:space="preserve">הזאת, וזוכים להיות חברי כנסת גם בעיתות קשות כל כך. </w:t>
      </w:r>
    </w:p>
    <w:p w:rsidR="00BB59CD" w:rsidRDefault="00BB59CD" w:rsidP="00BB59CD">
      <w:pPr>
        <w:rPr>
          <w:rtl/>
          <w:lang w:eastAsia="he-IL"/>
        </w:rPr>
      </w:pPr>
      <w:bookmarkStart w:id="58644" w:name="_ETM_Q108_380535"/>
      <w:bookmarkEnd w:id="58644"/>
    </w:p>
    <w:p w:rsidR="00BB59CD" w:rsidRDefault="00BB59CD" w:rsidP="00BB59CD">
      <w:pPr>
        <w:rPr>
          <w:rtl/>
          <w:lang w:eastAsia="he-IL"/>
        </w:rPr>
      </w:pPr>
      <w:bookmarkStart w:id="58645" w:name="_ETM_Q108_380666"/>
      <w:bookmarkStart w:id="58646" w:name="_ETM_Q108_380709"/>
      <w:bookmarkStart w:id="58647" w:name="_ETM_Q108_380783"/>
      <w:bookmarkEnd w:id="58645"/>
      <w:bookmarkEnd w:id="58646"/>
      <w:bookmarkEnd w:id="58647"/>
      <w:r>
        <w:rPr>
          <w:rFonts w:hint="cs"/>
          <w:rtl/>
          <w:lang w:eastAsia="he-IL"/>
        </w:rPr>
        <w:t xml:space="preserve">והיו אנשים, כמו השופט המנוח חיים כהן, שגם יש לי הזכות שהוא קרוב משפחה שלי, ואני עושה היום סגירת מעגל ומנסה להתייחס לכל האנשים הטובים, המוכשרים והציוניים שזכיתי להכיר, </w:t>
      </w:r>
      <w:bookmarkStart w:id="58648" w:name="_ETM_Q108_377392"/>
      <w:bookmarkEnd w:id="58648"/>
      <w:r>
        <w:rPr>
          <w:rFonts w:hint="cs"/>
          <w:rtl/>
          <w:lang w:eastAsia="he-IL"/>
        </w:rPr>
        <w:t>והוא תמיד ראה את הדברים אחרת. השופט חיים כהן הוא דמות שלא מסתדרת היום בנרטיב שמנסים למכור לגבי שופטים. הוא הגיע ממשפחה חרדית, והוא יצא בשאלה בעקבות השואה. הוא ינק בילדותו גם מדרש ותורה וגם משפט וליברליזם.</w:t>
      </w:r>
    </w:p>
    <w:p w:rsidR="00BB59CD" w:rsidRDefault="00BB59CD" w:rsidP="00BB59CD">
      <w:pPr>
        <w:rPr>
          <w:rtl/>
          <w:lang w:eastAsia="he-IL"/>
        </w:rPr>
      </w:pPr>
      <w:bookmarkStart w:id="58649" w:name="_ETM_Q108_397651"/>
      <w:bookmarkEnd w:id="58649"/>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650" w:name="_ETM_Q108_399534"/>
      <w:bookmarkEnd w:id="58650"/>
      <w:r>
        <w:rPr>
          <w:rFonts w:hint="cs"/>
          <w:rtl/>
          <w:lang w:eastAsia="he-IL"/>
        </w:rPr>
        <w:t>מי?</w:t>
      </w:r>
    </w:p>
    <w:p w:rsidR="00BB59CD" w:rsidRDefault="00BB59CD" w:rsidP="00BB59CD">
      <w:pPr>
        <w:rPr>
          <w:rtl/>
          <w:lang w:eastAsia="he-IL"/>
        </w:rPr>
      </w:pPr>
      <w:bookmarkStart w:id="58651" w:name="_ETM_Q108_400900"/>
      <w:bookmarkStart w:id="58652" w:name="_ETM_Q108_400981"/>
      <w:bookmarkEnd w:id="58651"/>
      <w:bookmarkEnd w:id="58652"/>
    </w:p>
    <w:p w:rsidR="00BB59CD" w:rsidRDefault="00BB59CD" w:rsidP="00BB59CD">
      <w:pPr>
        <w:pStyle w:val="-"/>
        <w:keepNext/>
        <w:rPr>
          <w:rtl/>
        </w:rPr>
      </w:pPr>
      <w:bookmarkStart w:id="58653" w:name="ET_speakercontinue_5803_2"/>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653"/>
    </w:p>
    <w:p w:rsidR="00BB59CD" w:rsidRDefault="00BB59CD" w:rsidP="00337201">
      <w:pPr>
        <w:rPr>
          <w:rtl/>
          <w:lang w:eastAsia="he-IL"/>
        </w:rPr>
      </w:pPr>
    </w:p>
    <w:p w:rsidR="00BB59CD" w:rsidRDefault="00BB59CD" w:rsidP="004B7DDF">
      <w:pPr>
        <w:rPr>
          <w:rtl/>
          <w:lang w:eastAsia="he-IL"/>
        </w:rPr>
      </w:pPr>
      <w:bookmarkStart w:id="58654" w:name="_ETM_Q108_402499"/>
      <w:bookmarkStart w:id="58655" w:name="_ETM_Q108_397831"/>
      <w:bookmarkStart w:id="58656" w:name="_ETM_Q108_397852"/>
      <w:bookmarkStart w:id="58657" w:name="_ETM_Q108_397922"/>
      <w:bookmarkEnd w:id="58654"/>
      <w:bookmarkEnd w:id="58655"/>
      <w:bookmarkEnd w:id="58656"/>
      <w:bookmarkEnd w:id="58657"/>
      <w:r>
        <w:rPr>
          <w:rFonts w:hint="cs"/>
          <w:rtl/>
          <w:lang w:eastAsia="he-IL"/>
        </w:rPr>
        <w:t xml:space="preserve">השופט חיים כהן. בן אדם שהכיר היטב גם משפט עברי על בוריו וגם משפט אנגלי על בוריו וערכים ליברליים ודוקטרינות עדכניות. בכתיבה שלו, </w:t>
      </w:r>
      <w:r w:rsidR="004B7DDF">
        <w:rPr>
          <w:rFonts w:hint="cs"/>
          <w:rtl/>
          <w:lang w:eastAsia="he-IL"/>
        </w:rPr>
        <w:t>ו</w:t>
      </w:r>
      <w:r>
        <w:rPr>
          <w:rFonts w:hint="cs"/>
          <w:rtl/>
          <w:lang w:eastAsia="he-IL"/>
        </w:rPr>
        <w:t xml:space="preserve">אגב אני אצטט משני ספרים שלו, אפשר לראות </w:t>
      </w:r>
      <w:r w:rsidR="004B7DDF">
        <w:rPr>
          <w:rFonts w:hint="cs"/>
          <w:rtl/>
          <w:lang w:eastAsia="he-IL"/>
        </w:rPr>
        <w:t xml:space="preserve">כמה זה </w:t>
      </w:r>
      <w:r>
        <w:rPr>
          <w:rFonts w:hint="cs"/>
          <w:rtl/>
          <w:lang w:eastAsia="he-IL"/>
        </w:rPr>
        <w:t xml:space="preserve">מעניין, כי היום הכול כל כך דיכוטומי, ואנשים אוהבים לנגח את כולם זה בזה. אז הספר הזה, "מבחר כתבים של חיים כהן", הוא בעריכת אהרן ברק ורות גביזון – רות גביזון, </w:t>
      </w:r>
      <w:bookmarkStart w:id="58658" w:name="_ETM_Q108_431038"/>
      <w:bookmarkEnd w:id="58658"/>
      <w:r>
        <w:rPr>
          <w:rFonts w:hint="cs"/>
          <w:rtl/>
          <w:lang w:eastAsia="he-IL"/>
        </w:rPr>
        <w:t xml:space="preserve">זיכרונה לברכה, אהרן ברק, שייבדל לחיים ארוכים. הרבה פה שבטח מדברים והוגים את השמות האלה, זורקים את השמות, אלה אומרים "גביזון", אלה אומרים "ברק", לא יודעים שגם האנשים האלה, </w:t>
      </w:r>
      <w:bookmarkStart w:id="58659" w:name="_ETM_Q108_446605"/>
      <w:bookmarkEnd w:id="58659"/>
      <w:r>
        <w:rPr>
          <w:rFonts w:hint="cs"/>
          <w:rtl/>
          <w:lang w:eastAsia="he-IL"/>
        </w:rPr>
        <w:t xml:space="preserve">שיש להם מחלוקות מסוימות, ידעו להתכנס סביב דברים, ובטח ידעו להתכנס סביב עשייה וכתיבה </w:t>
      </w:r>
      <w:r w:rsidR="004B7DDF">
        <w:rPr>
          <w:rFonts w:hint="cs"/>
          <w:rtl/>
          <w:lang w:eastAsia="he-IL"/>
        </w:rPr>
        <w:t>ש</w:t>
      </w:r>
      <w:r>
        <w:rPr>
          <w:rFonts w:hint="cs"/>
          <w:rtl/>
          <w:lang w:eastAsia="he-IL"/>
        </w:rPr>
        <w:t xml:space="preserve">ל שופט מאוד מוערך על שניהם. אני חושב שיש משהו בעצם הספר הזה והעובדה שהם ערכו אותו יחד, שמראה שגם מי שאוהבים להגדיר אותם כניצים </w:t>
      </w:r>
      <w:bookmarkStart w:id="58660" w:name="_ETM_Q108_465368"/>
      <w:bookmarkEnd w:id="58660"/>
      <w:r>
        <w:rPr>
          <w:rFonts w:hint="cs"/>
          <w:rtl/>
          <w:lang w:eastAsia="he-IL"/>
        </w:rPr>
        <w:t>משפטיים זה לזה ידעו להסכים על הרבה מאוד דברים, ושלפחות יודעים מה הערך של לנסות ולהגיע להסכמה.</w:t>
      </w:r>
    </w:p>
    <w:p w:rsidR="00BB59CD" w:rsidRDefault="00BB59CD" w:rsidP="00BB59CD">
      <w:pPr>
        <w:rPr>
          <w:rtl/>
          <w:lang w:eastAsia="he-IL"/>
        </w:rPr>
      </w:pPr>
      <w:bookmarkStart w:id="58661" w:name="_ETM_Q108_473316"/>
      <w:bookmarkStart w:id="58662" w:name="_ETM_Q108_473416"/>
      <w:bookmarkEnd w:id="58661"/>
      <w:bookmarkEnd w:id="58662"/>
    </w:p>
    <w:p w:rsidR="00BB59CD" w:rsidRDefault="004B7DDF" w:rsidP="004B7DDF">
      <w:pPr>
        <w:rPr>
          <w:rtl/>
          <w:lang w:eastAsia="he-IL"/>
        </w:rPr>
      </w:pPr>
      <w:bookmarkStart w:id="58663" w:name="_ETM_Q108_473436"/>
      <w:bookmarkStart w:id="58664" w:name="_ETM_Q108_473519"/>
      <w:bookmarkEnd w:id="58663"/>
      <w:bookmarkEnd w:id="58664"/>
      <w:r>
        <w:rPr>
          <w:rFonts w:hint="cs"/>
          <w:rtl/>
          <w:lang w:eastAsia="he-IL"/>
        </w:rPr>
        <w:t xml:space="preserve">אבל </w:t>
      </w:r>
      <w:r w:rsidR="00BB59CD">
        <w:rPr>
          <w:rFonts w:hint="cs"/>
          <w:rtl/>
          <w:lang w:eastAsia="he-IL"/>
        </w:rPr>
        <w:t xml:space="preserve">אני רוצה לפתוח מתוך ספר של חיים כהן שנקרא "דת ודין", שקיבלתי </w:t>
      </w:r>
      <w:r>
        <w:rPr>
          <w:rFonts w:hint="cs"/>
          <w:rtl/>
          <w:lang w:eastAsia="he-IL"/>
        </w:rPr>
        <w:t>ב</w:t>
      </w:r>
      <w:r w:rsidR="00BB59CD">
        <w:rPr>
          <w:rFonts w:hint="cs"/>
          <w:rtl/>
          <w:lang w:eastAsia="he-IL"/>
        </w:rPr>
        <w:t xml:space="preserve">מתנה מאשתו, מיכל זמורה כהן, זיכרונה לברכה, שהייתה כמו סבתא שלי. ואני רוצה להקריא על הערכים "מדינה יהודית ודמוקרטית", בגלל שהתחנכתי מאנשים מאוד חכמים, והוא מיטיב כמובן ותמיד ייטיב לתאר את זה יותר </w:t>
      </w:r>
      <w:r>
        <w:rPr>
          <w:rFonts w:hint="cs"/>
          <w:rtl/>
          <w:lang w:eastAsia="he-IL"/>
        </w:rPr>
        <w:t>מ</w:t>
      </w:r>
      <w:r w:rsidR="00BB59CD">
        <w:rPr>
          <w:rFonts w:hint="cs"/>
          <w:rtl/>
          <w:lang w:eastAsia="he-IL"/>
        </w:rPr>
        <w:t>מה שאני אוכל.</w:t>
      </w:r>
    </w:p>
    <w:p w:rsidR="00BB59CD" w:rsidRDefault="00BB59CD" w:rsidP="00BB59CD">
      <w:pPr>
        <w:rPr>
          <w:rtl/>
          <w:lang w:eastAsia="he-IL"/>
        </w:rPr>
      </w:pPr>
      <w:bookmarkStart w:id="58665" w:name="_ETM_Q108_501675"/>
      <w:bookmarkStart w:id="58666" w:name="_ETM_Q108_501790"/>
      <w:bookmarkEnd w:id="58665"/>
      <w:bookmarkEnd w:id="58666"/>
    </w:p>
    <w:p w:rsidR="00BB59CD" w:rsidRDefault="00BB59CD" w:rsidP="004B7DDF">
      <w:pPr>
        <w:rPr>
          <w:rtl/>
          <w:lang w:eastAsia="he-IL"/>
        </w:rPr>
      </w:pPr>
      <w:bookmarkStart w:id="58667" w:name="_ETM_Q108_501830"/>
      <w:bookmarkStart w:id="58668" w:name="_ETM_Q108_501901"/>
      <w:bookmarkEnd w:id="58667"/>
      <w:bookmarkEnd w:id="58668"/>
      <w:r>
        <w:rPr>
          <w:rFonts w:hint="cs"/>
          <w:rtl/>
          <w:lang w:eastAsia="he-IL"/>
        </w:rPr>
        <w:t>מדינה יהודית ודמוקרטית – חוק-יסוד: כבוד האדם וחירותו, מכריז על ערכיה של מדינת ישראל, שהם ערכים יהודיים ודמוקרטיים, וזו גדולתו של חוק-היסוד, שהיהדות והדמוקרטיה דרות בו בצוותא כאילו זיווג להן המחוקק את זיווגן. לא שהוא עושה מאמץ לברר לעצמו ולעם יהדותה של מדינה מהי ומהי דמוקרטיותה, ומה מכנים משותפים להן או צדדים שווים ביניהן</w:t>
      </w:r>
      <w:r w:rsidR="004B7DDF">
        <w:rPr>
          <w:rFonts w:hint="cs"/>
          <w:rtl/>
          <w:lang w:eastAsia="he-IL"/>
        </w:rPr>
        <w:t>;</w:t>
      </w:r>
      <w:r>
        <w:rPr>
          <w:rFonts w:hint="cs"/>
          <w:rtl/>
          <w:lang w:eastAsia="he-IL"/>
        </w:rPr>
        <w:t xml:space="preserve"> כל זאת הוא משאיר לפרשנים. בשורתו של המחוקק שערכי ישראל הם ערכיה </w:t>
      </w:r>
      <w:bookmarkStart w:id="58669" w:name="_ETM_Q108_533692"/>
      <w:bookmarkEnd w:id="58669"/>
      <w:r>
        <w:rPr>
          <w:rFonts w:hint="cs"/>
          <w:rtl/>
          <w:lang w:eastAsia="he-IL"/>
        </w:rPr>
        <w:t xml:space="preserve">של מדינה יהודית ודמוקרטית, מעלה גם את היהדות וגם את הדמוקרטיה לדרגת ערכי-על, שכל הערכים האחרים כאילו נגזרים מהם או לפחות מאחד מהם, וקיימים ומתגשמים אך בצל קורתם. </w:t>
      </w:r>
    </w:p>
    <w:p w:rsidR="00BB59CD" w:rsidRDefault="00BB59CD" w:rsidP="00BB59CD">
      <w:pPr>
        <w:rPr>
          <w:rtl/>
          <w:lang w:eastAsia="he-IL"/>
        </w:rPr>
      </w:pPr>
      <w:bookmarkStart w:id="58670" w:name="_ETM_Q108_554531"/>
      <w:bookmarkStart w:id="58671" w:name="_ETM_Q108_554629"/>
      <w:bookmarkEnd w:id="58670"/>
      <w:bookmarkEnd w:id="58671"/>
    </w:p>
    <w:p w:rsidR="004B7DDF" w:rsidRDefault="00BB59CD" w:rsidP="004B7DDF">
      <w:pPr>
        <w:rPr>
          <w:rtl/>
          <w:lang w:eastAsia="he-IL"/>
        </w:rPr>
      </w:pPr>
      <w:bookmarkStart w:id="58672" w:name="_ETM_Q108_554679"/>
      <w:bookmarkEnd w:id="58672"/>
      <w:r>
        <w:rPr>
          <w:rFonts w:hint="cs"/>
          <w:rtl/>
          <w:lang w:eastAsia="he-IL"/>
        </w:rPr>
        <w:t>ב</w:t>
      </w:r>
      <w:bookmarkStart w:id="58673" w:name="_ETM_Q108_554741"/>
      <w:bookmarkEnd w:id="58673"/>
      <w:r>
        <w:rPr>
          <w:rFonts w:hint="cs"/>
          <w:rtl/>
          <w:lang w:eastAsia="he-IL"/>
        </w:rPr>
        <w:t xml:space="preserve">עיה פרשנית ראשונה מתעוררת בדבר משמעותו של וי"ו החיבור שבין יהודית ודמוקרטית. אפשר לפרשו כמעמיד את היהודית לחוד ואת הדמוקרטית לחוד, כאילו מתרוצצים במדינה שני יצורים אלה שאין להם דבר במשותף; כאילו שני ערכים נפרדים הם, שבדרך הטבע אינם עולים בקנה אחד. לפי פירוש כזה יהיה זה מתפקידו של השופט או המחוקק לבחור לו ערך יהודי או </w:t>
      </w:r>
      <w:bookmarkStart w:id="58674" w:name="_ETM_Q108_578565"/>
      <w:bookmarkEnd w:id="58674"/>
      <w:r>
        <w:rPr>
          <w:rFonts w:hint="cs"/>
          <w:rtl/>
          <w:lang w:eastAsia="he-IL"/>
        </w:rPr>
        <w:t>ערך דמוקרטי ככל שהעניין שלפניו מחייב, והוא יצטרך פעם להעדיף את זה ולדחות את זה ופעם לדחות את זה ולהעדיף את זה</w:t>
      </w:r>
      <w:r w:rsidR="004B7DDF">
        <w:rPr>
          <w:rFonts w:hint="cs"/>
          <w:rtl/>
          <w:lang w:eastAsia="he-IL"/>
        </w:rPr>
        <w:t>.</w:t>
      </w:r>
      <w:r>
        <w:rPr>
          <w:rFonts w:hint="cs"/>
          <w:rtl/>
          <w:lang w:eastAsia="he-IL"/>
        </w:rPr>
        <w:t xml:space="preserve"> </w:t>
      </w:r>
    </w:p>
    <w:p w:rsidR="004B7DDF" w:rsidRDefault="004B7DDF" w:rsidP="004B7DDF">
      <w:pPr>
        <w:rPr>
          <w:rtl/>
          <w:lang w:eastAsia="he-IL"/>
        </w:rPr>
      </w:pPr>
    </w:p>
    <w:p w:rsidR="00BB59CD" w:rsidRDefault="00BB59CD" w:rsidP="004B7DDF">
      <w:pPr>
        <w:rPr>
          <w:rtl/>
          <w:lang w:eastAsia="he-IL"/>
        </w:rPr>
      </w:pPr>
      <w:r>
        <w:rPr>
          <w:rFonts w:hint="cs"/>
          <w:rtl/>
          <w:lang w:eastAsia="he-IL"/>
        </w:rPr>
        <w:t xml:space="preserve">שימו לב כמה זה חכם. זו בעצם גישה שהרבה מנסים לשווק לנו, שכאילו זה דבר מנוגד: אם אתה אדם יהודי ששמח שהמדינה היא מדינה יהודית, אז אתה חייב להילחם בערכים </w:t>
      </w:r>
      <w:r w:rsidR="004B7DDF">
        <w:rPr>
          <w:rFonts w:hint="cs"/>
          <w:rtl/>
          <w:lang w:eastAsia="he-IL"/>
        </w:rPr>
        <w:t>ליברליים, או אתה חייב להילחם בק</w:t>
      </w:r>
      <w:r>
        <w:rPr>
          <w:rFonts w:hint="cs"/>
          <w:rtl/>
          <w:lang w:eastAsia="he-IL"/>
        </w:rPr>
        <w:t>דמה, אתה צריך להילחם בדמוקרטיה; אם אתה דמוקרט וליברל, אז מן הסתם אתה לא מוצא חיבור למסורת. אני מקווה שאנשים בבית לא מאמינים לדבר הזה. זה תמיד משרת אנשים ככה</w:t>
      </w:r>
      <w:r w:rsidR="004B7DDF">
        <w:rPr>
          <w:rFonts w:hint="cs"/>
          <w:rtl/>
          <w:lang w:eastAsia="he-IL"/>
        </w:rPr>
        <w:t xml:space="preserve"> עכשיו</w:t>
      </w:r>
      <w:r>
        <w:rPr>
          <w:rFonts w:hint="cs"/>
          <w:rtl/>
          <w:lang w:eastAsia="he-IL"/>
        </w:rPr>
        <w:t xml:space="preserve">. אפשר גם וגם. </w:t>
      </w:r>
      <w:bookmarkStart w:id="58675" w:name="_ETM_Q108_621640"/>
      <w:bookmarkEnd w:id="58675"/>
      <w:r>
        <w:rPr>
          <w:rFonts w:hint="cs"/>
          <w:rtl/>
          <w:lang w:eastAsia="he-IL"/>
        </w:rPr>
        <w:t>זו אפילו החובה שלנו, למצוא את הגם וגם.</w:t>
      </w:r>
    </w:p>
    <w:p w:rsidR="00BB59CD" w:rsidRDefault="00BB59CD" w:rsidP="00BB59CD">
      <w:pPr>
        <w:rPr>
          <w:rtl/>
          <w:lang w:eastAsia="he-IL"/>
        </w:rPr>
      </w:pPr>
      <w:bookmarkStart w:id="58676" w:name="_ETM_Q108_620263"/>
      <w:bookmarkStart w:id="58677" w:name="_ETM_Q108_620360"/>
      <w:bookmarkStart w:id="58678" w:name="_ETM_Q108_620383"/>
      <w:bookmarkEnd w:id="58676"/>
      <w:bookmarkEnd w:id="58677"/>
      <w:bookmarkEnd w:id="58678"/>
    </w:p>
    <w:p w:rsidR="00BB59CD" w:rsidRDefault="00BB59CD" w:rsidP="004B7DDF">
      <w:pPr>
        <w:rPr>
          <w:rtl/>
          <w:lang w:eastAsia="he-IL"/>
        </w:rPr>
      </w:pPr>
      <w:bookmarkStart w:id="58679" w:name="_ETM_Q108_620473"/>
      <w:bookmarkEnd w:id="58679"/>
      <w:r>
        <w:rPr>
          <w:rFonts w:hint="cs"/>
          <w:rtl/>
          <w:lang w:eastAsia="he-IL"/>
        </w:rPr>
        <w:t>אני אמשיך</w:t>
      </w:r>
      <w:r w:rsidR="004B7DDF">
        <w:rPr>
          <w:rFonts w:hint="cs"/>
          <w:rtl/>
          <w:lang w:eastAsia="he-IL"/>
        </w:rPr>
        <w:t>:</w:t>
      </w:r>
      <w:r>
        <w:rPr>
          <w:rFonts w:hint="cs"/>
          <w:rtl/>
          <w:lang w:eastAsia="he-IL"/>
        </w:rPr>
        <w:t xml:space="preserve"> לכל היותר יוכל לעשות לו מעין מיזוג אד</w:t>
      </w:r>
      <w:r w:rsidR="004B7DDF">
        <w:rPr>
          <w:rFonts w:hint="cs"/>
          <w:rtl/>
          <w:lang w:eastAsia="he-IL"/>
        </w:rPr>
        <w:t xml:space="preserve"> </w:t>
      </w:r>
      <w:r>
        <w:rPr>
          <w:rFonts w:hint="cs"/>
          <w:rtl/>
          <w:lang w:eastAsia="he-IL"/>
        </w:rPr>
        <w:t xml:space="preserve">הוק של אלמנטים משני הערכים, כשהעניין שלפניו מאפשר ומצדיק זאת. פרשנות מעין זו אינה מתקבלת על דעתי, אומר השופט חיים כהן. לדידי, </w:t>
      </w:r>
      <w:bookmarkStart w:id="58680" w:name="_ETM_Q108_646449"/>
      <w:bookmarkEnd w:id="58680"/>
      <w:r>
        <w:rPr>
          <w:rFonts w:hint="cs"/>
          <w:rtl/>
          <w:lang w:eastAsia="he-IL"/>
        </w:rPr>
        <w:t>מדינה יהודית ודמוקרטית אינה מדינה אשר בה רבות ומתנצחות היהדות והדמוקרטיה במריבה מתמדת ובהתחרות עיקשת, אם אידיאולוגית ואם פוליטית. לשם כך לא היה צורך בחוק-היסוד, וחזקה על המחוקק שלא רצה בהנצחת הרעה אלא בקידום הטובה. יש לפרש את ו"ו החיבור כמצרף יהדות ודמוקרטיה לערך עליון אחד, יהדות שהיא דמוקרטית ודמוקרטיה שהיא יהודית. כאילו יהדות ודמוקרטיה חד הן, ובאה זו ולימדה על זו, ובאה ז</w:t>
      </w:r>
      <w:bookmarkStart w:id="58681" w:name="_ETM_Q108_674811"/>
      <w:bookmarkEnd w:id="58681"/>
      <w:r>
        <w:rPr>
          <w:rFonts w:hint="cs"/>
          <w:rtl/>
          <w:lang w:eastAsia="he-IL"/>
        </w:rPr>
        <w:t xml:space="preserve">ו ומשלימה את זו, והיו לאחדים בידינו. זהו חידוש גדול והתקדמות של ממש. </w:t>
      </w:r>
      <w:bookmarkStart w:id="58682" w:name="_ETM_Q108_681279"/>
      <w:bookmarkStart w:id="58683" w:name="_ETM_Q108_681351"/>
      <w:bookmarkStart w:id="58684" w:name="_ETM_Q108_681390"/>
      <w:bookmarkStart w:id="58685" w:name="_ETM_Q108_681443"/>
      <w:bookmarkEnd w:id="58682"/>
      <w:bookmarkEnd w:id="58683"/>
      <w:bookmarkEnd w:id="58684"/>
      <w:bookmarkEnd w:id="58685"/>
      <w:r>
        <w:rPr>
          <w:rFonts w:hint="cs"/>
          <w:rtl/>
          <w:lang w:eastAsia="he-IL"/>
        </w:rPr>
        <w:t xml:space="preserve">מעתה יהיה תפקידו של הפרשן לצקת לתוך ערך-העל המסגרתי </w:t>
      </w:r>
      <w:bookmarkStart w:id="58686" w:name="_ETM_Q108_684691"/>
      <w:bookmarkEnd w:id="58686"/>
      <w:r>
        <w:rPr>
          <w:rFonts w:hint="cs"/>
          <w:rtl/>
          <w:lang w:eastAsia="he-IL"/>
        </w:rPr>
        <w:t>תוכן משפטי נורמטיבי, היוצא ידי חובת היהדות והדמוקרטיה גם יחד.</w:t>
      </w:r>
    </w:p>
    <w:p w:rsidR="00BB59CD" w:rsidRDefault="00BB59CD" w:rsidP="00BB59CD">
      <w:pPr>
        <w:rPr>
          <w:rtl/>
          <w:lang w:eastAsia="he-IL"/>
        </w:rPr>
      </w:pPr>
      <w:bookmarkStart w:id="58687" w:name="_ETM_Q108_690970"/>
      <w:bookmarkStart w:id="58688" w:name="_ETM_Q108_691065"/>
      <w:bookmarkEnd w:id="58687"/>
      <w:bookmarkEnd w:id="58688"/>
    </w:p>
    <w:p w:rsidR="00BB59CD" w:rsidRDefault="00BB59CD" w:rsidP="00BB59CD">
      <w:pPr>
        <w:rPr>
          <w:rtl/>
          <w:lang w:eastAsia="he-IL"/>
        </w:rPr>
      </w:pPr>
      <w:bookmarkStart w:id="58689" w:name="_ETM_Q108_691103"/>
      <w:bookmarkStart w:id="58690" w:name="_ETM_Q108_691175"/>
      <w:bookmarkEnd w:id="58689"/>
      <w:bookmarkEnd w:id="58690"/>
      <w:r>
        <w:rPr>
          <w:rFonts w:hint="cs"/>
          <w:rtl/>
          <w:lang w:eastAsia="he-IL"/>
        </w:rPr>
        <w:t xml:space="preserve"> זה נשמע היום כאילו הדברים שהוא כתב חזו את מה שהולך להתחולל בין הערכים האלה, אבל האמת היא שזה פשוט מלווה אותנו משחר ימינו כמדינה. אנחנו צריכים לאמץ את הדרך הזו של חיבור.</w:t>
      </w:r>
    </w:p>
    <w:p w:rsidR="00BB59CD" w:rsidRDefault="00BB59CD" w:rsidP="00BB59CD">
      <w:pPr>
        <w:rPr>
          <w:rtl/>
          <w:lang w:eastAsia="he-IL"/>
        </w:rPr>
      </w:pPr>
      <w:bookmarkStart w:id="58691" w:name="_ETM_Q108_712637"/>
      <w:bookmarkStart w:id="58692" w:name="_ETM_Q108_712724"/>
      <w:bookmarkEnd w:id="58691"/>
      <w:bookmarkEnd w:id="58692"/>
    </w:p>
    <w:p w:rsidR="00BB59CD" w:rsidRDefault="00BB59CD" w:rsidP="00BB59CD">
      <w:pPr>
        <w:rPr>
          <w:rtl/>
          <w:lang w:eastAsia="he-IL"/>
        </w:rPr>
      </w:pPr>
      <w:bookmarkStart w:id="58693" w:name="_ETM_Q108_712776"/>
      <w:bookmarkStart w:id="58694" w:name="_ETM_Q108_712861"/>
      <w:bookmarkEnd w:id="58693"/>
      <w:bookmarkEnd w:id="58694"/>
      <w:r>
        <w:rPr>
          <w:rFonts w:hint="cs"/>
          <w:rtl/>
          <w:lang w:eastAsia="he-IL"/>
        </w:rPr>
        <w:t>אמרתי להתחיל במצוות הפרשנות, ולא עליי המלאכה לגמור. לצורך פרשנות זו אתעלם כדרכי מכל הדיונים הפרלמנטריים והחוץ-פרלמנטריים, שנסתיימו באותה פשרה פוליטית שמצאה ביטויה בחוק-היסוד. לדידי אין לו לפרשן אלא מה שעיניו רואות בחוק החקוק כפי שמתפרסם בספר החוקים. פרשן נאמן עשוי להגיע לידי פירוש אשר מטהר את החוק מכל שריד של פשרה פוליטית. ומה גם שמטבע הפשרות הוא שכל צד רואה בתוצאה שהושגה את אשר הוא רצה להשיג. בעיני אנשי הדת שבבית המחוקקים מדינה יהודית אולי צריכה לשאוף להיות מדינה הלכתית, וייתכן שלשם כך נתנו לה בחוק-היסוד שם ותואר זה. וייתכן שהחילונים או מקצתם הסכימו לשם ותואר זה לא מתוך זיקה ליהדות אלא מתוך שיקולים פוליטיים גרידא.</w:t>
      </w:r>
      <w:bookmarkStart w:id="58695" w:name="TOR_Q109"/>
      <w:bookmarkEnd w:id="58695"/>
      <w:r>
        <w:rPr>
          <w:rFonts w:hint="cs"/>
          <w:rtl/>
          <w:lang w:eastAsia="he-IL"/>
        </w:rPr>
        <w:t xml:space="preserve"> הדברים האלה אינם מעלים ואינם מורידים לעניין הפרשנות האובייקטיבית גם של מונח זה, כשם שאין נפקות לגישה </w:t>
      </w:r>
      <w:bookmarkStart w:id="58696" w:name="_ETM_Q109_168000"/>
      <w:bookmarkEnd w:id="58696"/>
      <w:r>
        <w:rPr>
          <w:rFonts w:hint="cs"/>
          <w:rtl/>
          <w:lang w:eastAsia="he-IL"/>
        </w:rPr>
        <w:t>אפשרית של מדינה יהודית אך באשר היא מדינת העם היהודי.</w:t>
      </w:r>
    </w:p>
    <w:p w:rsidR="00BB59CD" w:rsidRDefault="00BB59CD" w:rsidP="00BB59CD">
      <w:pPr>
        <w:rPr>
          <w:rtl/>
          <w:lang w:eastAsia="he-IL"/>
        </w:rPr>
      </w:pPr>
    </w:p>
    <w:p w:rsidR="00BB59CD" w:rsidRDefault="00BB59CD" w:rsidP="00E333B7">
      <w:pPr>
        <w:rPr>
          <w:rtl/>
          <w:lang w:eastAsia="he-IL"/>
        </w:rPr>
      </w:pPr>
      <w:bookmarkStart w:id="58697" w:name="_ETM_Q109_172000"/>
      <w:bookmarkEnd w:id="58697"/>
      <w:r>
        <w:rPr>
          <w:rFonts w:hint="cs"/>
          <w:rtl/>
          <w:lang w:eastAsia="he-IL"/>
        </w:rPr>
        <w:t xml:space="preserve">לכאורה </w:t>
      </w:r>
      <w:bookmarkStart w:id="58698" w:name="_ETM_Q109_173000"/>
      <w:bookmarkEnd w:id="58698"/>
      <w:r>
        <w:rPr>
          <w:rFonts w:hint="cs"/>
          <w:rtl/>
          <w:lang w:eastAsia="he-IL"/>
        </w:rPr>
        <w:t>יהדות ודמוקרטיה הן תרתי דסתרי</w:t>
      </w:r>
      <w:r w:rsidR="004B7DDF">
        <w:rPr>
          <w:rFonts w:hint="cs"/>
          <w:rtl/>
          <w:lang w:eastAsia="he-IL"/>
        </w:rPr>
        <w:t>.</w:t>
      </w:r>
      <w:r>
        <w:rPr>
          <w:rFonts w:hint="cs"/>
          <w:rtl/>
          <w:lang w:eastAsia="he-IL"/>
        </w:rPr>
        <w:t xml:space="preserve"> </w:t>
      </w:r>
      <w:r w:rsidR="00E333B7">
        <w:rPr>
          <w:rFonts w:hint="cs"/>
          <w:rtl/>
          <w:lang w:eastAsia="he-IL"/>
        </w:rPr>
        <w:t>ב</w:t>
      </w:r>
      <w:r>
        <w:rPr>
          <w:rFonts w:hint="cs"/>
          <w:rtl/>
          <w:lang w:eastAsia="he-IL"/>
        </w:rPr>
        <w:t xml:space="preserve">משמעותה המקורית והדתית </w:t>
      </w:r>
      <w:r w:rsidR="00E333B7">
        <w:rPr>
          <w:rFonts w:hint="cs"/>
          <w:rtl/>
          <w:lang w:eastAsia="he-IL"/>
        </w:rPr>
        <w:t>יהדות ה</w:t>
      </w:r>
      <w:r>
        <w:rPr>
          <w:rFonts w:hint="cs"/>
          <w:rtl/>
          <w:lang w:eastAsia="he-IL"/>
        </w:rPr>
        <w:t>יא לעולם תיאוקרטית, והתיאוקרטיה היא תיאוצנטרית, כולה מכוונת ורתומה לעבודת האלוהים</w:t>
      </w:r>
      <w:r w:rsidR="00E333B7">
        <w:rPr>
          <w:rFonts w:hint="cs"/>
          <w:rtl/>
          <w:lang w:eastAsia="he-IL"/>
        </w:rPr>
        <w:t>.</w:t>
      </w:r>
      <w:r>
        <w:rPr>
          <w:rFonts w:hint="cs"/>
          <w:rtl/>
          <w:lang w:eastAsia="he-IL"/>
        </w:rPr>
        <w:t xml:space="preserve"> ואילו דמוקרטיה היא לעולם אנתרופוצנטרית, כולה מכוונת ורתומה </w:t>
      </w:r>
      <w:bookmarkStart w:id="58699" w:name="_ETM_Q109_190000"/>
      <w:bookmarkEnd w:id="58699"/>
      <w:r>
        <w:rPr>
          <w:rFonts w:hint="cs"/>
          <w:rtl/>
          <w:lang w:eastAsia="he-IL"/>
        </w:rPr>
        <w:t xml:space="preserve">לצורכי אדם. יש האומרים שאין סתירה בין עבודת האלוהים לבין </w:t>
      </w:r>
      <w:bookmarkStart w:id="58700" w:name="_ETM_Q109_192000"/>
      <w:bookmarkEnd w:id="58700"/>
      <w:r>
        <w:rPr>
          <w:rFonts w:hint="cs"/>
          <w:rtl/>
          <w:lang w:eastAsia="he-IL"/>
        </w:rPr>
        <w:t xml:space="preserve">סיפוק צורכי אדם, ואף יתרה מזו – כשאין לך סיפוק </w:t>
      </w:r>
      <w:bookmarkStart w:id="58701" w:name="_ETM_Q109_197000"/>
      <w:bookmarkEnd w:id="58701"/>
      <w:r>
        <w:rPr>
          <w:rFonts w:hint="cs"/>
          <w:rtl/>
          <w:lang w:eastAsia="he-IL"/>
        </w:rPr>
        <w:t xml:space="preserve">צורכי אדם מועיל ומוסרי כי אם תוך כדי עבודת אלוהים, </w:t>
      </w:r>
      <w:bookmarkStart w:id="58702" w:name="_ETM_Q109_202000"/>
      <w:bookmarkEnd w:id="58702"/>
      <w:r>
        <w:rPr>
          <w:rFonts w:hint="cs"/>
          <w:rtl/>
          <w:lang w:eastAsia="he-IL"/>
        </w:rPr>
        <w:t xml:space="preserve">כשם שאין לך עבודת אלוהים ראויה ורצויה כי אם </w:t>
      </w:r>
      <w:bookmarkStart w:id="58703" w:name="_ETM_Q109_201000"/>
      <w:bookmarkEnd w:id="58703"/>
      <w:r>
        <w:rPr>
          <w:rFonts w:hint="cs"/>
          <w:rtl/>
          <w:lang w:eastAsia="he-IL"/>
        </w:rPr>
        <w:t>בסיפוק צורכי אדם.</w:t>
      </w:r>
      <w:bookmarkStart w:id="58704" w:name="_ETM_Q109_204000"/>
      <w:bookmarkEnd w:id="58704"/>
      <w:r w:rsidR="00E333B7">
        <w:rPr>
          <w:rFonts w:hint="cs"/>
          <w:rtl/>
          <w:lang w:eastAsia="he-IL"/>
        </w:rPr>
        <w:t xml:space="preserve"> </w:t>
      </w:r>
      <w:r>
        <w:rPr>
          <w:rFonts w:hint="cs"/>
          <w:rtl/>
          <w:lang w:eastAsia="he-IL"/>
        </w:rPr>
        <w:t xml:space="preserve">יש האומרים שאפילו הדמוקרטיה כהגשמת רצון העם מתמזגת </w:t>
      </w:r>
      <w:bookmarkStart w:id="58705" w:name="_ETM_Q109_208000"/>
      <w:bookmarkEnd w:id="58705"/>
      <w:r>
        <w:rPr>
          <w:rFonts w:hint="cs"/>
          <w:rtl/>
          <w:lang w:eastAsia="he-IL"/>
        </w:rPr>
        <w:t xml:space="preserve">יפה עם התיאוקרטיה – כשם שאלוהים בחר לו את ישראל לעם, </w:t>
      </w:r>
      <w:bookmarkStart w:id="58706" w:name="_ETM_Q109_214000"/>
      <w:bookmarkEnd w:id="58706"/>
      <w:r>
        <w:rPr>
          <w:rFonts w:hint="cs"/>
          <w:rtl/>
          <w:lang w:eastAsia="he-IL"/>
        </w:rPr>
        <w:t xml:space="preserve">כך בחר העם מרצונו הטוב באלוהיו. כאילו סמכותו האבסולוטית של </w:t>
      </w:r>
      <w:bookmarkStart w:id="58707" w:name="_ETM_Q109_220000"/>
      <w:bookmarkEnd w:id="58707"/>
      <w:r w:rsidR="00E333B7">
        <w:rPr>
          <w:rFonts w:hint="cs"/>
          <w:rtl/>
          <w:lang w:eastAsia="he-IL"/>
        </w:rPr>
        <w:t>ה</w:t>
      </w:r>
      <w:r>
        <w:rPr>
          <w:rFonts w:hint="cs"/>
          <w:rtl/>
          <w:lang w:eastAsia="he-IL"/>
        </w:rPr>
        <w:t xml:space="preserve">אלוהים נבעה מן הברית שכרת איתו העם, ואילולא הסמכתו </w:t>
      </w:r>
      <w:bookmarkStart w:id="58708" w:name="_ETM_Q109_223000"/>
      <w:bookmarkEnd w:id="58708"/>
      <w:r>
        <w:rPr>
          <w:rFonts w:hint="cs"/>
          <w:rtl/>
          <w:lang w:eastAsia="he-IL"/>
        </w:rPr>
        <w:t>בידי העם, לא היו תורת ישראל ומצוות מחייבות אותו.</w:t>
      </w:r>
    </w:p>
    <w:p w:rsidR="00BB59CD" w:rsidRDefault="00BB59CD" w:rsidP="00BB59CD">
      <w:pPr>
        <w:rPr>
          <w:rtl/>
          <w:lang w:eastAsia="he-IL"/>
        </w:rPr>
      </w:pPr>
    </w:p>
    <w:p w:rsidR="00BB59CD" w:rsidRDefault="00BB59CD" w:rsidP="00E333B7">
      <w:pPr>
        <w:rPr>
          <w:rtl/>
          <w:lang w:eastAsia="he-IL"/>
        </w:rPr>
      </w:pPr>
      <w:r>
        <w:rPr>
          <w:rFonts w:hint="cs"/>
          <w:rtl/>
          <w:lang w:eastAsia="he-IL"/>
        </w:rPr>
        <w:t xml:space="preserve">אכן רבים </w:t>
      </w:r>
      <w:bookmarkStart w:id="58709" w:name="_ETM_Q109_230000"/>
      <w:bookmarkEnd w:id="58709"/>
      <w:r>
        <w:rPr>
          <w:rFonts w:hint="cs"/>
          <w:rtl/>
          <w:lang w:eastAsia="he-IL"/>
        </w:rPr>
        <w:t xml:space="preserve">וטובים ראו ביהדות המקראית והתלמודית את היסודות ההיסטוריים או הרעיוניים </w:t>
      </w:r>
      <w:bookmarkStart w:id="58710" w:name="_ETM_Q109_233000"/>
      <w:bookmarkEnd w:id="58710"/>
      <w:r>
        <w:rPr>
          <w:rFonts w:hint="cs"/>
          <w:rtl/>
          <w:lang w:eastAsia="he-IL"/>
        </w:rPr>
        <w:t>בכל דמוקרטיה, וכבר נשברו על כך קולמוסי</w:t>
      </w:r>
      <w:r w:rsidR="00E333B7">
        <w:rPr>
          <w:rFonts w:hint="cs"/>
          <w:rtl/>
          <w:lang w:eastAsia="he-IL"/>
        </w:rPr>
        <w:t>ן</w:t>
      </w:r>
      <w:r>
        <w:rPr>
          <w:rFonts w:hint="cs"/>
          <w:rtl/>
          <w:lang w:eastAsia="he-IL"/>
        </w:rPr>
        <w:t xml:space="preserve"> הרבה מאוד. אך </w:t>
      </w:r>
      <w:bookmarkStart w:id="58711" w:name="_ETM_Q109_241000"/>
      <w:bookmarkEnd w:id="58711"/>
      <w:r>
        <w:rPr>
          <w:rFonts w:hint="cs"/>
          <w:rtl/>
          <w:lang w:eastAsia="he-IL"/>
        </w:rPr>
        <w:t xml:space="preserve">אין עיני צרה בדמוקרטים יהודים מלווים אלה </w:t>
      </w:r>
      <w:bookmarkStart w:id="58712" w:name="_ETM_Q109_249000"/>
      <w:bookmarkEnd w:id="58712"/>
      <w:r>
        <w:rPr>
          <w:rFonts w:hint="cs"/>
          <w:rtl/>
          <w:lang w:eastAsia="he-IL"/>
        </w:rPr>
        <w:t xml:space="preserve">ואין אני בא לחלוק עליהם, אלא חוששני שקורת רוחנו על </w:t>
      </w:r>
      <w:bookmarkStart w:id="58713" w:name="_ETM_Q109_253000"/>
      <w:bookmarkEnd w:id="58713"/>
      <w:r>
        <w:rPr>
          <w:rFonts w:hint="cs"/>
          <w:rtl/>
          <w:lang w:eastAsia="he-IL"/>
        </w:rPr>
        <w:t xml:space="preserve">תרומת היהדות להתפתחויות דמוקרטיות אינה עשויה לקדם אותנו הלכה למעשה; </w:t>
      </w:r>
      <w:bookmarkStart w:id="58714" w:name="_ETM_Q109_257000"/>
      <w:bookmarkEnd w:id="58714"/>
      <w:r>
        <w:rPr>
          <w:rFonts w:hint="cs"/>
          <w:rtl/>
          <w:lang w:eastAsia="he-IL"/>
        </w:rPr>
        <w:t xml:space="preserve">הדמוקרטיה האידיאלית היא דמוקרטיה של תמימות דעים כללית. הכול שולטים </w:t>
      </w:r>
      <w:bookmarkStart w:id="58715" w:name="_ETM_Q109_261000"/>
      <w:bookmarkEnd w:id="58715"/>
      <w:r>
        <w:rPr>
          <w:rFonts w:hint="cs"/>
          <w:rtl/>
          <w:lang w:eastAsia="he-IL"/>
        </w:rPr>
        <w:t xml:space="preserve">ונשלטים מתוך הסכמת כולם, והשלום הוא שלם. </w:t>
      </w:r>
    </w:p>
    <w:p w:rsidR="00BB59CD" w:rsidRDefault="00BB59CD" w:rsidP="00BB59CD">
      <w:pPr>
        <w:rPr>
          <w:rtl/>
          <w:lang w:eastAsia="he-IL"/>
        </w:rPr>
      </w:pPr>
    </w:p>
    <w:p w:rsidR="00BB59CD" w:rsidRDefault="00BB59CD" w:rsidP="00E333B7">
      <w:pPr>
        <w:rPr>
          <w:rtl/>
          <w:lang w:eastAsia="he-IL"/>
        </w:rPr>
      </w:pPr>
      <w:r>
        <w:rPr>
          <w:rFonts w:hint="cs"/>
          <w:rtl/>
          <w:lang w:eastAsia="he-IL"/>
        </w:rPr>
        <w:t xml:space="preserve">מצב אידיאלי כמו </w:t>
      </w:r>
      <w:bookmarkStart w:id="58716" w:name="_ETM_Q109_265000"/>
      <w:bookmarkEnd w:id="58716"/>
      <w:r>
        <w:rPr>
          <w:rFonts w:hint="cs"/>
          <w:rtl/>
          <w:lang w:eastAsia="he-IL"/>
        </w:rPr>
        <w:t xml:space="preserve">זה יחשפו חכמים </w:t>
      </w:r>
      <w:r w:rsidR="00E333B7">
        <w:rPr>
          <w:rFonts w:hint="cs"/>
          <w:rtl/>
          <w:lang w:eastAsia="he-IL"/>
        </w:rPr>
        <w:t>ל</w:t>
      </w:r>
      <w:r>
        <w:rPr>
          <w:rFonts w:hint="cs"/>
          <w:rtl/>
          <w:lang w:eastAsia="he-IL"/>
        </w:rPr>
        <w:t xml:space="preserve">מעמד הר סיני, ולא זו בלבד אלא </w:t>
      </w:r>
      <w:bookmarkStart w:id="58717" w:name="_ETM_Q109_271000"/>
      <w:bookmarkEnd w:id="58717"/>
      <w:r>
        <w:rPr>
          <w:rFonts w:hint="cs"/>
          <w:rtl/>
          <w:lang w:eastAsia="he-IL"/>
        </w:rPr>
        <w:t xml:space="preserve">לימדונו גם שכל עוד הסנהדרין היה קיים, לא הייתה מחלוקת </w:t>
      </w:r>
      <w:bookmarkStart w:id="58718" w:name="_ETM_Q109_276000"/>
      <w:bookmarkEnd w:id="58718"/>
      <w:r>
        <w:rPr>
          <w:rFonts w:hint="cs"/>
          <w:rtl/>
          <w:lang w:eastAsia="he-IL"/>
        </w:rPr>
        <w:t xml:space="preserve">בישראל. למעשה, לא הייתה בישראל מעולם אחדות דעות. גם </w:t>
      </w:r>
      <w:r w:rsidR="00E333B7">
        <w:rPr>
          <w:rFonts w:hint="cs"/>
          <w:rtl/>
          <w:lang w:eastAsia="he-IL"/>
        </w:rPr>
        <w:t>ה</w:t>
      </w:r>
      <w:r>
        <w:rPr>
          <w:rFonts w:hint="cs"/>
          <w:rtl/>
          <w:lang w:eastAsia="he-IL"/>
        </w:rPr>
        <w:t xml:space="preserve">הסכמה </w:t>
      </w:r>
      <w:bookmarkStart w:id="58719" w:name="_ETM_Q109_280000"/>
      <w:bookmarkEnd w:id="58719"/>
      <w:r>
        <w:rPr>
          <w:rFonts w:hint="cs"/>
          <w:rtl/>
          <w:lang w:eastAsia="he-IL"/>
        </w:rPr>
        <w:t>הכללית לדברי הסנהדרין</w:t>
      </w:r>
      <w:r w:rsidR="00E333B7">
        <w:rPr>
          <w:rFonts w:hint="cs"/>
          <w:rtl/>
          <w:lang w:eastAsia="he-IL"/>
        </w:rPr>
        <w:t>,</w:t>
      </w:r>
      <w:r>
        <w:rPr>
          <w:rFonts w:hint="cs"/>
          <w:rtl/>
          <w:lang w:eastAsia="he-IL"/>
        </w:rPr>
        <w:t xml:space="preserve"> קדמה </w:t>
      </w:r>
      <w:r w:rsidR="00E333B7">
        <w:rPr>
          <w:rFonts w:hint="cs"/>
          <w:rtl/>
          <w:lang w:eastAsia="he-IL"/>
        </w:rPr>
        <w:t>בה ה</w:t>
      </w:r>
      <w:r>
        <w:rPr>
          <w:rFonts w:hint="cs"/>
          <w:rtl/>
          <w:lang w:eastAsia="he-IL"/>
        </w:rPr>
        <w:t xml:space="preserve">כרעה ברוב קולות. ההסכמה </w:t>
      </w:r>
      <w:bookmarkStart w:id="58720" w:name="_ETM_Q109_285000"/>
      <w:bookmarkEnd w:id="58720"/>
      <w:r>
        <w:rPr>
          <w:rFonts w:hint="cs"/>
          <w:rtl/>
          <w:lang w:eastAsia="he-IL"/>
        </w:rPr>
        <w:t xml:space="preserve">הכללית נשארה בגדר חזון לימות המשיח. הלכה למעשה תפס מקומה </w:t>
      </w:r>
      <w:bookmarkStart w:id="58721" w:name="_ETM_Q109_290000"/>
      <w:bookmarkEnd w:id="58721"/>
      <w:r>
        <w:rPr>
          <w:rFonts w:hint="cs"/>
          <w:rtl/>
          <w:lang w:eastAsia="he-IL"/>
        </w:rPr>
        <w:t xml:space="preserve">הכלל הגדול שהולכים אחר הרוב, וכלל זה נעשה לעקרון </w:t>
      </w:r>
      <w:bookmarkStart w:id="58722" w:name="_ETM_Q109_295000"/>
      <w:bookmarkEnd w:id="58722"/>
      <w:r>
        <w:rPr>
          <w:rFonts w:hint="cs"/>
          <w:rtl/>
          <w:lang w:eastAsia="he-IL"/>
        </w:rPr>
        <w:t>יסוד של המשפט העברי</w:t>
      </w:r>
      <w:r w:rsidR="00E333B7">
        <w:rPr>
          <w:rFonts w:hint="cs"/>
          <w:rtl/>
          <w:lang w:eastAsia="he-IL"/>
        </w:rPr>
        <w:t>,</w:t>
      </w:r>
      <w:r>
        <w:rPr>
          <w:rFonts w:hint="cs"/>
          <w:rtl/>
          <w:lang w:eastAsia="he-IL"/>
        </w:rPr>
        <w:t xml:space="preserve"> עד כדי שגבר אפילו על בת </w:t>
      </w:r>
      <w:bookmarkStart w:id="58723" w:name="_ETM_Q109_299000"/>
      <w:bookmarkEnd w:id="58723"/>
      <w:r>
        <w:rPr>
          <w:rFonts w:hint="cs"/>
          <w:rtl/>
          <w:lang w:eastAsia="he-IL"/>
        </w:rPr>
        <w:t xml:space="preserve">קול משמיים. לא רק ביהדות, אלא גם בדמוקרטיה כך – </w:t>
      </w:r>
      <w:bookmarkStart w:id="58724" w:name="_ETM_Q109_302000"/>
      <w:bookmarkEnd w:id="58724"/>
      <w:r>
        <w:rPr>
          <w:rFonts w:hint="cs"/>
          <w:rtl/>
          <w:lang w:eastAsia="he-IL"/>
        </w:rPr>
        <w:t xml:space="preserve">עקרון הרוב הוא תשתית ואבן פינה לכל הכרעה משפטית, מדינית </w:t>
      </w:r>
      <w:bookmarkStart w:id="58725" w:name="_ETM_Q109_306000"/>
      <w:bookmarkEnd w:id="58725"/>
      <w:r>
        <w:rPr>
          <w:rFonts w:hint="cs"/>
          <w:rtl/>
          <w:lang w:eastAsia="he-IL"/>
        </w:rPr>
        <w:t xml:space="preserve">או אחרת. נמצא שהערך היהודי המובהק של </w:t>
      </w:r>
      <w:r w:rsidR="00E333B7">
        <w:rPr>
          <w:rFonts w:hint="cs"/>
          <w:rtl/>
          <w:lang w:eastAsia="he-IL"/>
        </w:rPr>
        <w:t>"</w:t>
      </w:r>
      <w:r>
        <w:rPr>
          <w:rFonts w:hint="cs"/>
          <w:rtl/>
          <w:lang w:eastAsia="he-IL"/>
        </w:rPr>
        <w:t>אחרי רבים להטת</w:t>
      </w:r>
      <w:r w:rsidR="00E333B7">
        <w:rPr>
          <w:rFonts w:hint="cs"/>
          <w:rtl/>
          <w:lang w:eastAsia="he-IL"/>
        </w:rPr>
        <w:t>"</w:t>
      </w:r>
      <w:r>
        <w:rPr>
          <w:rFonts w:hint="cs"/>
          <w:rtl/>
          <w:lang w:eastAsia="he-IL"/>
        </w:rPr>
        <w:t xml:space="preserve">, </w:t>
      </w:r>
      <w:bookmarkStart w:id="58726" w:name="_ETM_Q109_312000"/>
      <w:bookmarkEnd w:id="58726"/>
      <w:r>
        <w:rPr>
          <w:rFonts w:hint="cs"/>
          <w:rtl/>
          <w:lang w:eastAsia="he-IL"/>
        </w:rPr>
        <w:t>זהה לאחד מיסודות הדמוקרטיה.</w:t>
      </w:r>
    </w:p>
    <w:p w:rsidR="00BB59CD" w:rsidRDefault="00BB59CD" w:rsidP="00BB59CD">
      <w:pPr>
        <w:rPr>
          <w:rtl/>
          <w:lang w:eastAsia="he-IL"/>
        </w:rPr>
      </w:pPr>
    </w:p>
    <w:p w:rsidR="00BB59CD" w:rsidRDefault="00BB59CD" w:rsidP="00E333B7">
      <w:pPr>
        <w:rPr>
          <w:rtl/>
          <w:lang w:eastAsia="he-IL"/>
        </w:rPr>
      </w:pPr>
      <w:r>
        <w:rPr>
          <w:rFonts w:hint="cs"/>
          <w:rtl/>
          <w:lang w:eastAsia="he-IL"/>
        </w:rPr>
        <w:t xml:space="preserve">ההבדל בין הרוב ההלכתי לבין הרוב </w:t>
      </w:r>
      <w:bookmarkStart w:id="58727" w:name="_ETM_Q109_313000"/>
      <w:bookmarkEnd w:id="58727"/>
      <w:r>
        <w:rPr>
          <w:rFonts w:hint="cs"/>
          <w:rtl/>
          <w:lang w:eastAsia="he-IL"/>
        </w:rPr>
        <w:t xml:space="preserve">הדמוקרטי הוא שזה כפוף לעקרונות הדת, ואילו זה ריבוני; </w:t>
      </w:r>
      <w:bookmarkStart w:id="58728" w:name="_ETM_Q109_321000"/>
      <w:bookmarkEnd w:id="58728"/>
      <w:r>
        <w:rPr>
          <w:rFonts w:hint="cs"/>
          <w:rtl/>
          <w:lang w:eastAsia="he-IL"/>
        </w:rPr>
        <w:t xml:space="preserve">זה מורכב אך מבעלי הוראה מוסמכים, ואילו זה </w:t>
      </w:r>
      <w:r w:rsidR="00E333B7">
        <w:rPr>
          <w:rFonts w:hint="eastAsia"/>
          <w:rtl/>
          <w:lang w:eastAsia="he-IL"/>
        </w:rPr>
        <w:t>–</w:t>
      </w:r>
      <w:r w:rsidR="00E333B7">
        <w:rPr>
          <w:rFonts w:hint="cs"/>
          <w:rtl/>
          <w:lang w:eastAsia="he-IL"/>
        </w:rPr>
        <w:t xml:space="preserve"> מ</w:t>
      </w:r>
      <w:r>
        <w:rPr>
          <w:rFonts w:hint="cs"/>
          <w:rtl/>
          <w:lang w:eastAsia="he-IL"/>
        </w:rPr>
        <w:t xml:space="preserve">רובו של העם על כל שכבותיו. יתרה מזה, כמו </w:t>
      </w:r>
      <w:bookmarkStart w:id="58729" w:name="_ETM_Q109_328000"/>
      <w:bookmarkEnd w:id="58729"/>
      <w:r>
        <w:rPr>
          <w:rFonts w:hint="cs"/>
          <w:rtl/>
          <w:lang w:eastAsia="he-IL"/>
        </w:rPr>
        <w:t xml:space="preserve">שרוב הלכתי נמדד ונקבע בידי אותם בעלי הוראה עצמם, </w:t>
      </w:r>
      <w:bookmarkStart w:id="58730" w:name="_ETM_Q109_333000"/>
      <w:bookmarkEnd w:id="58730"/>
      <w:r>
        <w:rPr>
          <w:rFonts w:hint="cs"/>
          <w:rtl/>
          <w:lang w:eastAsia="he-IL"/>
        </w:rPr>
        <w:t xml:space="preserve">ואילו רובו של העם הוא עניין שבסטטיסטיקה האובייקטיבית, לרוב המחוקקים </w:t>
      </w:r>
      <w:bookmarkStart w:id="58731" w:name="_ETM_Q109_332000"/>
      <w:bookmarkEnd w:id="58731"/>
      <w:r>
        <w:rPr>
          <w:rFonts w:hint="cs"/>
          <w:rtl/>
          <w:lang w:eastAsia="he-IL"/>
        </w:rPr>
        <w:t xml:space="preserve">הוא עניין אף לספירת קולות. דעת הרוב בהלכה שינתה צורה במרוצת הדורות, ושמץ דמוקרטי אינו דבק בה עוד. גם </w:t>
      </w:r>
      <w:bookmarkStart w:id="58732" w:name="_ETM_Q109_345000"/>
      <w:bookmarkEnd w:id="58732"/>
      <w:r>
        <w:rPr>
          <w:rFonts w:hint="cs"/>
          <w:rtl/>
          <w:lang w:eastAsia="he-IL"/>
        </w:rPr>
        <w:t xml:space="preserve">במדינה יהודית וגם במדינה דמוקרטית הולכים אחר הרוב, אבל במדינה </w:t>
      </w:r>
      <w:bookmarkStart w:id="58733" w:name="_ETM_Q109_353000"/>
      <w:bookmarkEnd w:id="58733"/>
      <w:r>
        <w:rPr>
          <w:rFonts w:hint="cs"/>
          <w:rtl/>
          <w:lang w:eastAsia="he-IL"/>
        </w:rPr>
        <w:t xml:space="preserve">יהודית ודמוקרטית אין משגיחים עוד בקולות מן השמיים, והרוב מכריע </w:t>
      </w:r>
      <w:bookmarkStart w:id="58734" w:name="_ETM_Q109_358000"/>
      <w:bookmarkEnd w:id="58734"/>
      <w:r>
        <w:rPr>
          <w:rFonts w:hint="cs"/>
          <w:rtl/>
          <w:lang w:eastAsia="he-IL"/>
        </w:rPr>
        <w:t xml:space="preserve">בה לפי שיקול דעתו וראות עיניו ככל שהשעה צריכה, מבלי </w:t>
      </w:r>
      <w:bookmarkStart w:id="58735" w:name="_ETM_Q109_360000"/>
      <w:bookmarkEnd w:id="58735"/>
      <w:r>
        <w:rPr>
          <w:rFonts w:hint="cs"/>
          <w:rtl/>
          <w:lang w:eastAsia="he-IL"/>
        </w:rPr>
        <w:t xml:space="preserve">להיות קשור או מוגבל בנורמות שלא הוא קבען. סכנת ההשתוללות </w:t>
      </w:r>
      <w:bookmarkStart w:id="58736" w:name="_ETM_Q109_361000"/>
      <w:bookmarkEnd w:id="58736"/>
      <w:r>
        <w:rPr>
          <w:rFonts w:hint="cs"/>
          <w:rtl/>
          <w:lang w:eastAsia="he-IL"/>
        </w:rPr>
        <w:t xml:space="preserve">של הרוב או רודנותו מנוטרלת מעצם טיבה של הדמוקרטיה, </w:t>
      </w:r>
      <w:bookmarkStart w:id="58737" w:name="_ETM_Q109_369000"/>
      <w:bookmarkEnd w:id="58737"/>
      <w:r>
        <w:rPr>
          <w:rFonts w:hint="cs"/>
          <w:rtl/>
          <w:lang w:eastAsia="he-IL"/>
        </w:rPr>
        <w:t xml:space="preserve">המצווה להגן, כפי שעוד נראה, גם על המיעוט. </w:t>
      </w:r>
      <w:bookmarkStart w:id="58738" w:name="_ETM_Q109_370000"/>
      <w:bookmarkStart w:id="58739" w:name="_ETM_Q109_371000"/>
      <w:bookmarkEnd w:id="58738"/>
      <w:bookmarkEnd w:id="58739"/>
      <w:r>
        <w:rPr>
          <w:rFonts w:hint="cs"/>
          <w:rtl/>
          <w:lang w:eastAsia="he-IL"/>
        </w:rPr>
        <w:t>זה משפט מדהים,</w:t>
      </w:r>
      <w:bookmarkStart w:id="58740" w:name="_ETM_Q109_375000"/>
      <w:bookmarkEnd w:id="58740"/>
      <w:r>
        <w:rPr>
          <w:rFonts w:hint="cs"/>
          <w:rtl/>
          <w:lang w:eastAsia="he-IL"/>
        </w:rPr>
        <w:t xml:space="preserve"> בטח בשעה זו – סכנת ההשתוללות של הרוב או </w:t>
      </w:r>
      <w:bookmarkStart w:id="58741" w:name="_ETM_Q109_378000"/>
      <w:bookmarkEnd w:id="58741"/>
      <w:r>
        <w:rPr>
          <w:rFonts w:hint="cs"/>
          <w:rtl/>
          <w:lang w:eastAsia="he-IL"/>
        </w:rPr>
        <w:t xml:space="preserve">רודנותו מנוטרלת מעצם טיבה של הדמוקרטיה, המצווה להגן, כפי שעוד </w:t>
      </w:r>
      <w:bookmarkStart w:id="58742" w:name="_ETM_Q109_384000"/>
      <w:bookmarkEnd w:id="58742"/>
      <w:r>
        <w:rPr>
          <w:rFonts w:hint="cs"/>
          <w:rtl/>
          <w:lang w:eastAsia="he-IL"/>
        </w:rPr>
        <w:t xml:space="preserve">נראה, גם על המיעוט, על החשיבות של מנגנונים דמוקרטיים, כדי לשמור </w:t>
      </w:r>
      <w:bookmarkStart w:id="58743" w:name="_ETM_Q109_389000"/>
      <w:bookmarkEnd w:id="58743"/>
      <w:r>
        <w:rPr>
          <w:rFonts w:hint="cs"/>
          <w:rtl/>
          <w:lang w:eastAsia="he-IL"/>
        </w:rPr>
        <w:t xml:space="preserve">שאומנם דעת הרוב קובעת, אבל כל חלקי העם צריכים להיות </w:t>
      </w:r>
      <w:bookmarkStart w:id="58744" w:name="_ETM_Q109_394000"/>
      <w:bookmarkEnd w:id="58744"/>
      <w:r>
        <w:rPr>
          <w:rFonts w:hint="cs"/>
          <w:rtl/>
          <w:lang w:eastAsia="he-IL"/>
        </w:rPr>
        <w:t>חלק מאותו אוהל גדול.</w:t>
      </w:r>
    </w:p>
    <w:p w:rsidR="00BB59CD" w:rsidRDefault="00BB59CD" w:rsidP="00BB59CD">
      <w:pPr>
        <w:rPr>
          <w:rtl/>
          <w:lang w:eastAsia="he-IL"/>
        </w:rPr>
      </w:pPr>
    </w:p>
    <w:p w:rsidR="00BB59CD" w:rsidRDefault="00BB59CD" w:rsidP="00E333B7">
      <w:pPr>
        <w:rPr>
          <w:rtl/>
          <w:lang w:eastAsia="he-IL"/>
        </w:rPr>
      </w:pPr>
      <w:bookmarkStart w:id="58745" w:name="_ETM_Q109_397000"/>
      <w:bookmarkEnd w:id="58745"/>
      <w:r>
        <w:rPr>
          <w:rFonts w:hint="cs"/>
          <w:rtl/>
          <w:lang w:eastAsia="he-IL"/>
        </w:rPr>
        <w:t xml:space="preserve">הגדירו פעם את הדמוקרטיה כהגנת האדם </w:t>
      </w:r>
      <w:bookmarkStart w:id="58746" w:name="_ETM_Q109_400000"/>
      <w:bookmarkEnd w:id="58746"/>
      <w:r>
        <w:rPr>
          <w:rFonts w:hint="cs"/>
          <w:rtl/>
          <w:lang w:eastAsia="he-IL"/>
        </w:rPr>
        <w:t xml:space="preserve">מפני ממשלת מדינתו. ואומנם, כל שלטון המשפט הדמוקרטי תכליתו לכופף </w:t>
      </w:r>
      <w:bookmarkStart w:id="58747" w:name="_ETM_Q109_406000"/>
      <w:bookmarkEnd w:id="58747"/>
      <w:r>
        <w:rPr>
          <w:rFonts w:hint="cs"/>
          <w:rtl/>
          <w:lang w:eastAsia="he-IL"/>
        </w:rPr>
        <w:t xml:space="preserve">את הממשלה והמדינה למשפט, והוא לשם שמירת קדושת חיי </w:t>
      </w:r>
      <w:bookmarkStart w:id="58748" w:name="_ETM_Q109_409000"/>
      <w:bookmarkEnd w:id="58748"/>
      <w:r>
        <w:rPr>
          <w:rFonts w:hint="cs"/>
          <w:rtl/>
          <w:lang w:eastAsia="he-IL"/>
        </w:rPr>
        <w:t xml:space="preserve">אדם, חירותו וזכויותיו. אבל יש בדמוקרטיה גם משום הגנת האדם </w:t>
      </w:r>
      <w:bookmarkStart w:id="58749" w:name="_ETM_Q109_413000"/>
      <w:bookmarkEnd w:id="58749"/>
      <w:r>
        <w:rPr>
          <w:rFonts w:hint="cs"/>
          <w:rtl/>
          <w:lang w:eastAsia="he-IL"/>
        </w:rPr>
        <w:t xml:space="preserve">מפני שלטון המשפט; דמוקרטיה פירושה ריבונות העם גם על משפטיו. </w:t>
      </w:r>
      <w:bookmarkStart w:id="58750" w:name="_ETM_Q109_419000"/>
      <w:bookmarkEnd w:id="58750"/>
      <w:r>
        <w:rPr>
          <w:rFonts w:hint="cs"/>
          <w:rtl/>
          <w:lang w:eastAsia="he-IL"/>
        </w:rPr>
        <w:t xml:space="preserve">דמוקרטיה אינה מכירה שום שלטון אבסולוטי, גם לא של המשפט. </w:t>
      </w:r>
      <w:bookmarkStart w:id="58751" w:name="_ETM_Q109_418000"/>
      <w:bookmarkEnd w:id="58751"/>
      <w:r>
        <w:rPr>
          <w:rFonts w:hint="cs"/>
          <w:rtl/>
          <w:lang w:eastAsia="he-IL"/>
        </w:rPr>
        <w:t xml:space="preserve">אין המשפט שולט בה, אלא כל עוד לא השתנה </w:t>
      </w:r>
      <w:bookmarkStart w:id="58752" w:name="_ETM_Q109_423000"/>
      <w:bookmarkEnd w:id="58752"/>
      <w:r>
        <w:rPr>
          <w:rFonts w:hint="cs"/>
          <w:rtl/>
          <w:lang w:eastAsia="he-IL"/>
        </w:rPr>
        <w:t xml:space="preserve">או בוטל בהחלטת הרוב של בית המחוקקים. משפט שיש לו </w:t>
      </w:r>
      <w:bookmarkStart w:id="58753" w:name="_ETM_Q109_427000"/>
      <w:bookmarkEnd w:id="58753"/>
      <w:r>
        <w:rPr>
          <w:rFonts w:hint="cs"/>
          <w:rtl/>
          <w:lang w:eastAsia="he-IL"/>
        </w:rPr>
        <w:t xml:space="preserve">תוקף נצחי, ואינו ניתן לא לערעור ולא להרהור, לא לשינוי </w:t>
      </w:r>
      <w:bookmarkStart w:id="58754" w:name="_ETM_Q109_429000"/>
      <w:bookmarkEnd w:id="58754"/>
      <w:r>
        <w:rPr>
          <w:rFonts w:hint="cs"/>
          <w:rtl/>
          <w:lang w:eastAsia="he-IL"/>
        </w:rPr>
        <w:t xml:space="preserve">ולא לביטול, אין מקומו בדמוקרטיה. </w:t>
      </w:r>
      <w:bookmarkStart w:id="58755" w:name="_ETM_Q109_437000"/>
      <w:bookmarkEnd w:id="58755"/>
      <w:r>
        <w:rPr>
          <w:rFonts w:hint="cs"/>
          <w:rtl/>
          <w:lang w:eastAsia="he-IL"/>
        </w:rPr>
        <w:t xml:space="preserve">אשר על כן, יש למקם את </w:t>
      </w:r>
      <w:bookmarkStart w:id="58756" w:name="_ETM_Q109_439000"/>
      <w:bookmarkEnd w:id="58756"/>
      <w:r>
        <w:rPr>
          <w:rFonts w:hint="cs"/>
          <w:rtl/>
          <w:lang w:eastAsia="he-IL"/>
        </w:rPr>
        <w:t xml:space="preserve">הדמוקרטיה הישראלית ויהדותה מחוץ לתחום ההלכה הדתית המחייבת.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ההבחנה </w:t>
      </w:r>
      <w:bookmarkStart w:id="58757" w:name="_ETM_Q109_444000"/>
      <w:bookmarkEnd w:id="58757"/>
      <w:r>
        <w:rPr>
          <w:rFonts w:hint="cs"/>
          <w:rtl/>
          <w:lang w:eastAsia="he-IL"/>
        </w:rPr>
        <w:t xml:space="preserve">הבן-גוריונית בין מדינת חוק לבין מדינת הלכה, מקבילה בלשון העם </w:t>
      </w:r>
      <w:bookmarkStart w:id="58758" w:name="_ETM_Q109_449000"/>
      <w:bookmarkEnd w:id="58758"/>
      <w:r>
        <w:rPr>
          <w:rFonts w:hint="cs"/>
          <w:rtl/>
          <w:lang w:eastAsia="he-IL"/>
        </w:rPr>
        <w:t xml:space="preserve">להבחנה בין דמוקרטיה לבין תיאוקרטיה, אפילו תאמר שמדינה יהודית </w:t>
      </w:r>
      <w:bookmarkStart w:id="58759" w:name="_ETM_Q109_451000"/>
      <w:bookmarkEnd w:id="58759"/>
      <w:r>
        <w:rPr>
          <w:rFonts w:hint="cs"/>
          <w:rtl/>
          <w:lang w:eastAsia="he-IL"/>
        </w:rPr>
        <w:t xml:space="preserve">אמיתית או טהורה צריכה להיות מדינת הלכה, דבר שרחוק אני מלאמרו. </w:t>
      </w:r>
      <w:bookmarkStart w:id="58760" w:name="_ETM_Q109_455000"/>
      <w:bookmarkEnd w:id="58760"/>
      <w:r>
        <w:rPr>
          <w:rFonts w:hint="cs"/>
          <w:rtl/>
          <w:lang w:eastAsia="he-IL"/>
        </w:rPr>
        <w:t xml:space="preserve">מדינה יהודית ודמוקרטית אינה יכולה להיות מדינת הלכה, לא </w:t>
      </w:r>
      <w:bookmarkStart w:id="58761" w:name="_ETM_Q109_460000"/>
      <w:bookmarkEnd w:id="58761"/>
      <w:r>
        <w:rPr>
          <w:rFonts w:hint="cs"/>
          <w:rtl/>
          <w:lang w:eastAsia="he-IL"/>
        </w:rPr>
        <w:t xml:space="preserve">משום שנורמות ההלכה הן בהכרח לא דמוקרטיות, אלא משום שכל </w:t>
      </w:r>
      <w:bookmarkStart w:id="58762" w:name="_ETM_Q109_463000"/>
      <w:bookmarkEnd w:id="58762"/>
      <w:r>
        <w:rPr>
          <w:rFonts w:hint="cs"/>
          <w:rtl/>
          <w:lang w:eastAsia="he-IL"/>
        </w:rPr>
        <w:t>שיטת ההלכה היא אנטי-דמוקרטית.</w:t>
      </w:r>
    </w:p>
    <w:p w:rsidR="00BB59CD" w:rsidRDefault="00BB59CD" w:rsidP="00BB59CD">
      <w:pPr>
        <w:rPr>
          <w:rtl/>
          <w:lang w:eastAsia="he-IL"/>
        </w:rPr>
      </w:pPr>
    </w:p>
    <w:p w:rsidR="00E333B7" w:rsidRDefault="00BB59CD" w:rsidP="00E333B7">
      <w:pPr>
        <w:rPr>
          <w:rtl/>
          <w:lang w:eastAsia="he-IL"/>
        </w:rPr>
      </w:pPr>
      <w:bookmarkStart w:id="58763" w:name="_ETM_Q109_466000"/>
      <w:bookmarkEnd w:id="58763"/>
      <w:r>
        <w:rPr>
          <w:rFonts w:hint="cs"/>
          <w:rtl/>
          <w:lang w:eastAsia="he-IL"/>
        </w:rPr>
        <w:t xml:space="preserve">לעניין נורמה ספציפית, יכולה המדינה להיות מדינת </w:t>
      </w:r>
      <w:bookmarkStart w:id="58764" w:name="_ETM_Q109_469000"/>
      <w:bookmarkEnd w:id="58764"/>
      <w:r>
        <w:rPr>
          <w:rFonts w:hint="cs"/>
          <w:rtl/>
          <w:lang w:eastAsia="he-IL"/>
        </w:rPr>
        <w:t xml:space="preserve">חוק ומדינת הלכה בעת ובעונה אחת, והוא כשנורמה הלכתית מקבלת </w:t>
      </w:r>
      <w:bookmarkStart w:id="58765" w:name="_ETM_Q109_470000"/>
      <w:bookmarkEnd w:id="58765"/>
      <w:r>
        <w:rPr>
          <w:rFonts w:hint="cs"/>
          <w:rtl/>
          <w:lang w:eastAsia="he-IL"/>
        </w:rPr>
        <w:t xml:space="preserve">תוקף של חוק בהליכים דמוקרטיים חוקיים. אבל מחוקק דמוקרטי </w:t>
      </w:r>
      <w:bookmarkStart w:id="58766" w:name="_ETM_Q109_480000"/>
      <w:bookmarkEnd w:id="58766"/>
      <w:r>
        <w:rPr>
          <w:rFonts w:hint="cs"/>
          <w:rtl/>
          <w:lang w:eastAsia="he-IL"/>
        </w:rPr>
        <w:t>ימעל בשליחותו אם יאמץ לו את ההלכה בתור</w:t>
      </w:r>
      <w:r w:rsidR="00E333B7">
        <w:rPr>
          <w:rFonts w:hint="cs"/>
          <w:rtl/>
          <w:lang w:eastAsia="he-IL"/>
        </w:rPr>
        <w:t>ת</w:t>
      </w:r>
      <w:r>
        <w:rPr>
          <w:rFonts w:hint="cs"/>
          <w:rtl/>
          <w:lang w:eastAsia="he-IL"/>
        </w:rPr>
        <w:t xml:space="preserve"> שכזאת. התוצאה </w:t>
      </w:r>
      <w:bookmarkStart w:id="58767" w:name="_ETM_Q109_484000"/>
      <w:bookmarkEnd w:id="58767"/>
      <w:r>
        <w:rPr>
          <w:rFonts w:hint="cs"/>
          <w:rtl/>
          <w:lang w:eastAsia="he-IL"/>
        </w:rPr>
        <w:t>תהיה אולי</w:t>
      </w:r>
      <w:r w:rsidR="00E333B7">
        <w:rPr>
          <w:rFonts w:hint="cs"/>
          <w:rtl/>
          <w:lang w:eastAsia="he-IL"/>
        </w:rPr>
        <w:t>,</w:t>
      </w:r>
      <w:r>
        <w:rPr>
          <w:rFonts w:hint="cs"/>
          <w:rtl/>
          <w:lang w:eastAsia="he-IL"/>
        </w:rPr>
        <w:t xml:space="preserve"> לפחות בעיני שומרי המצוות</w:t>
      </w:r>
      <w:r w:rsidR="00E333B7">
        <w:rPr>
          <w:rFonts w:hint="cs"/>
          <w:rtl/>
          <w:lang w:eastAsia="he-IL"/>
        </w:rPr>
        <w:t xml:space="preserve">, </w:t>
      </w:r>
      <w:r>
        <w:rPr>
          <w:rFonts w:hint="cs"/>
          <w:rtl/>
          <w:lang w:eastAsia="he-IL"/>
        </w:rPr>
        <w:t xml:space="preserve">מדינה יהודית, אך בוודאי </w:t>
      </w:r>
      <w:bookmarkStart w:id="58768" w:name="_ETM_Q109_489000"/>
      <w:bookmarkEnd w:id="58768"/>
      <w:r>
        <w:rPr>
          <w:rFonts w:hint="cs"/>
          <w:rtl/>
          <w:lang w:eastAsia="he-IL"/>
        </w:rPr>
        <w:t xml:space="preserve">תהיה מדינה לא דמוקרטית; והמדינה אינה אמורה להיות יהודית אלא </w:t>
      </w:r>
      <w:bookmarkStart w:id="58769" w:name="_ETM_Q109_494000"/>
      <w:bookmarkEnd w:id="58769"/>
      <w:r>
        <w:rPr>
          <w:rFonts w:hint="cs"/>
          <w:rtl/>
          <w:lang w:eastAsia="he-IL"/>
        </w:rPr>
        <w:t xml:space="preserve">אם כן היא דמוקרטית </w:t>
      </w:r>
      <w:r w:rsidR="00E333B7">
        <w:rPr>
          <w:rFonts w:hint="eastAsia"/>
          <w:rtl/>
          <w:lang w:eastAsia="he-IL"/>
        </w:rPr>
        <w:t>–</w:t>
      </w:r>
      <w:r w:rsidR="00E333B7">
        <w:rPr>
          <w:rFonts w:hint="cs"/>
          <w:rtl/>
          <w:lang w:eastAsia="he-IL"/>
        </w:rPr>
        <w:t xml:space="preserve"> </w:t>
      </w:r>
      <w:r>
        <w:rPr>
          <w:rFonts w:hint="cs"/>
          <w:rtl/>
          <w:lang w:eastAsia="he-IL"/>
        </w:rPr>
        <w:t xml:space="preserve">זה מדהים לראות איך כתבים שנכתבו </w:t>
      </w:r>
      <w:bookmarkStart w:id="58770" w:name="_ETM_Q109_498000"/>
      <w:bookmarkEnd w:id="58770"/>
      <w:r>
        <w:rPr>
          <w:rFonts w:hint="cs"/>
          <w:rtl/>
          <w:lang w:eastAsia="he-IL"/>
        </w:rPr>
        <w:t xml:space="preserve">לפני עשרות שנים פשוט מתארים את שיא המחלוקת של המדינה </w:t>
      </w:r>
      <w:bookmarkStart w:id="58771" w:name="_ETM_Q109_504000"/>
      <w:bookmarkEnd w:id="58771"/>
      <w:r>
        <w:rPr>
          <w:rFonts w:hint="cs"/>
          <w:rtl/>
          <w:lang w:eastAsia="he-IL"/>
        </w:rPr>
        <w:t xml:space="preserve">הזאת. </w:t>
      </w:r>
      <w:bookmarkStart w:id="58772" w:name="_ETM_Q109_506000"/>
      <w:bookmarkEnd w:id="58772"/>
    </w:p>
    <w:p w:rsidR="00E333B7" w:rsidRDefault="00E333B7" w:rsidP="00E333B7">
      <w:pPr>
        <w:rPr>
          <w:rtl/>
          <w:lang w:eastAsia="he-IL"/>
        </w:rPr>
      </w:pPr>
    </w:p>
    <w:p w:rsidR="00BB59CD" w:rsidRDefault="00BB59CD" w:rsidP="00E333B7">
      <w:pPr>
        <w:rPr>
          <w:rtl/>
          <w:lang w:eastAsia="he-IL"/>
        </w:rPr>
      </w:pPr>
      <w:r>
        <w:rPr>
          <w:rFonts w:hint="cs"/>
          <w:rtl/>
          <w:lang w:eastAsia="he-IL"/>
        </w:rPr>
        <w:t xml:space="preserve">לשון אחר – יהדותה של המדינה אינה יכולה להיות </w:t>
      </w:r>
      <w:bookmarkStart w:id="58773" w:name="_ETM_Q109_510000"/>
      <w:bookmarkEnd w:id="58773"/>
      <w:r>
        <w:rPr>
          <w:rFonts w:hint="cs"/>
          <w:rtl/>
          <w:lang w:eastAsia="he-IL"/>
        </w:rPr>
        <w:t xml:space="preserve">יהדות הלכתית או דתית; היא צריכה להיות יהדות הכשרה </w:t>
      </w:r>
      <w:bookmarkStart w:id="58774" w:name="_ETM_Q109_514000"/>
      <w:bookmarkEnd w:id="58774"/>
      <w:r>
        <w:rPr>
          <w:rFonts w:hint="cs"/>
          <w:rtl/>
          <w:lang w:eastAsia="he-IL"/>
        </w:rPr>
        <w:t xml:space="preserve">על פי ערכי הדמוקרטיה. בראש הנורמות ההלכתיות שהמחוקק הישראלי ידע לתת </w:t>
      </w:r>
      <w:bookmarkStart w:id="58775" w:name="_ETM_Q109_519000"/>
      <w:bookmarkEnd w:id="58775"/>
      <w:r>
        <w:rPr>
          <w:rFonts w:hint="cs"/>
          <w:rtl/>
          <w:lang w:eastAsia="he-IL"/>
        </w:rPr>
        <w:t xml:space="preserve">להן תוקף של חוק עומדים דיני הנישואין והגירושין. דינים אלה </w:t>
      </w:r>
      <w:bookmarkStart w:id="58776" w:name="_ETM_Q109_523000"/>
      <w:bookmarkEnd w:id="58776"/>
      <w:r>
        <w:rPr>
          <w:rFonts w:hint="cs"/>
          <w:rtl/>
          <w:lang w:eastAsia="he-IL"/>
        </w:rPr>
        <w:t xml:space="preserve">מושתתים, כידוע, על אפליה פסולה בין המינים, ודיני אפליה בין </w:t>
      </w:r>
      <w:bookmarkStart w:id="58777" w:name="_ETM_Q109_520000"/>
      <w:bookmarkEnd w:id="58777"/>
      <w:r>
        <w:rPr>
          <w:rFonts w:hint="cs"/>
          <w:rtl/>
          <w:lang w:eastAsia="he-IL"/>
        </w:rPr>
        <w:t xml:space="preserve">המינים אינם הולמים עוד ערכיה של מדינה דמוקרטית. אילו היה </w:t>
      </w:r>
      <w:bookmarkStart w:id="58778" w:name="_ETM_Q109_531000"/>
      <w:bookmarkEnd w:id="58778"/>
      <w:r>
        <w:rPr>
          <w:rFonts w:hint="cs"/>
          <w:rtl/>
          <w:lang w:eastAsia="he-IL"/>
        </w:rPr>
        <w:t xml:space="preserve">המחוקק מחוקקם לאחר תחילתו של חוק-היסוד, היו אומרים לו: </w:t>
      </w:r>
      <w:bookmarkStart w:id="58779" w:name="_ETM_Q109_532000"/>
      <w:bookmarkEnd w:id="58779"/>
      <w:r>
        <w:rPr>
          <w:rFonts w:hint="cs"/>
          <w:rtl/>
          <w:lang w:eastAsia="he-IL"/>
        </w:rPr>
        <w:t xml:space="preserve">חקיקה פסולה היא ואשר אינה הולמת ערכיה של מדינת ישראל </w:t>
      </w:r>
      <w:bookmarkStart w:id="58780" w:name="_ETM_Q109_537000"/>
      <w:bookmarkEnd w:id="58780"/>
      <w:r>
        <w:rPr>
          <w:rFonts w:hint="cs"/>
          <w:rtl/>
          <w:lang w:eastAsia="he-IL"/>
        </w:rPr>
        <w:t xml:space="preserve">כמדינה יהודית ודמוקרטית. אלא עוד זמן רב לפני תחילת חוק-היסוד, </w:t>
      </w:r>
      <w:bookmarkStart w:id="58781" w:name="_ETM_Q109_543000"/>
      <w:bookmarkEnd w:id="58781"/>
      <w:r>
        <w:rPr>
          <w:rFonts w:hint="cs"/>
          <w:rtl/>
          <w:lang w:eastAsia="he-IL"/>
        </w:rPr>
        <w:t xml:space="preserve">ולמעשה עוד לפני תחילת חוק שיפוט בתי דין רבניים, ראו </w:t>
      </w:r>
      <w:bookmarkStart w:id="58782" w:name="_ETM_Q109_545000"/>
      <w:bookmarkEnd w:id="58782"/>
      <w:r>
        <w:rPr>
          <w:rFonts w:hint="cs"/>
          <w:rtl/>
          <w:lang w:eastAsia="he-IL"/>
        </w:rPr>
        <w:t xml:space="preserve">מן הצורך להצטדק בשל חקיקה לא דמוקרטית אשר כזאת. טענו </w:t>
      </w:r>
      <w:bookmarkStart w:id="58783" w:name="_ETM_Q109_548000"/>
      <w:bookmarkEnd w:id="58783"/>
      <w:r>
        <w:rPr>
          <w:rFonts w:hint="cs"/>
          <w:rtl/>
          <w:lang w:eastAsia="he-IL"/>
        </w:rPr>
        <w:t xml:space="preserve">שאין חקיקה זו באה אלא לקידום הערך הדמוקרטי של שלום, </w:t>
      </w:r>
      <w:bookmarkStart w:id="58784" w:name="_ETM_Q109_555000"/>
      <w:bookmarkEnd w:id="58784"/>
      <w:r>
        <w:rPr>
          <w:rFonts w:hint="cs"/>
          <w:rtl/>
          <w:lang w:eastAsia="he-IL"/>
        </w:rPr>
        <w:t xml:space="preserve">החלת דין התורה, ענייני נישואים וגירושין, באה לאפשר </w:t>
      </w:r>
      <w:bookmarkStart w:id="58785" w:name="_ETM_Q109_557000"/>
      <w:bookmarkEnd w:id="58785"/>
      <w:r>
        <w:rPr>
          <w:rFonts w:hint="cs"/>
          <w:rtl/>
          <w:lang w:eastAsia="he-IL"/>
        </w:rPr>
        <w:t xml:space="preserve">חיי שלום וחיתון בין החלקים השונים של האוכלוסייה היהודית. במידה </w:t>
      </w:r>
      <w:bookmarkStart w:id="58786" w:name="_ETM_Q109_565000"/>
      <w:bookmarkEnd w:id="58786"/>
      <w:r>
        <w:rPr>
          <w:rFonts w:hint="cs"/>
          <w:rtl/>
          <w:lang w:eastAsia="he-IL"/>
        </w:rPr>
        <w:t xml:space="preserve">הנוגעת לחיתון אולי השיג מטרתו, אבל במידה הנוגעת לשלום – </w:t>
      </w:r>
      <w:bookmarkStart w:id="58787" w:name="_ETM_Q109_569000"/>
      <w:bookmarkEnd w:id="58787"/>
      <w:r>
        <w:rPr>
          <w:rFonts w:hint="cs"/>
          <w:rtl/>
          <w:lang w:eastAsia="he-IL"/>
        </w:rPr>
        <w:t xml:space="preserve">כנראה תלה המחוקק בחקיקתו תקוות שווא. </w:t>
      </w:r>
      <w:bookmarkStart w:id="58788" w:name="_ETM_Q109_573000"/>
      <w:bookmarkEnd w:id="58788"/>
      <w:r>
        <w:rPr>
          <w:rFonts w:hint="cs"/>
          <w:rtl/>
          <w:lang w:eastAsia="he-IL"/>
        </w:rPr>
        <w:t xml:space="preserve">אך העובדה שתקוותיו </w:t>
      </w:r>
      <w:bookmarkStart w:id="58789" w:name="_ETM_Q109_571000"/>
      <w:bookmarkEnd w:id="58789"/>
      <w:r>
        <w:rPr>
          <w:rFonts w:hint="cs"/>
          <w:rtl/>
          <w:lang w:eastAsia="he-IL"/>
        </w:rPr>
        <w:t xml:space="preserve">לא התגשמו אינה גורעת מן הכוונה שהייתה, אם הייתה מונחת </w:t>
      </w:r>
      <w:bookmarkStart w:id="58790" w:name="_ETM_Q109_577000"/>
      <w:bookmarkEnd w:id="58790"/>
      <w:r>
        <w:rPr>
          <w:rFonts w:hint="cs"/>
          <w:rtl/>
          <w:lang w:eastAsia="he-IL"/>
        </w:rPr>
        <w:t>ביסוד חקיקה זו, וה</w:t>
      </w:r>
      <w:r w:rsidR="00E333B7">
        <w:rPr>
          <w:rFonts w:hint="cs"/>
          <w:rtl/>
          <w:lang w:eastAsia="he-IL"/>
        </w:rPr>
        <w:t>י</w:t>
      </w:r>
      <w:r>
        <w:rPr>
          <w:rFonts w:hint="cs"/>
          <w:rtl/>
          <w:lang w:eastAsia="he-IL"/>
        </w:rPr>
        <w:t xml:space="preserve">א להביא שלום בעם.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ואפשר אולי לטעון אף גם זאת, שאינטרסים קואליציוניים, כלומר האינטרס להקים </w:t>
      </w:r>
      <w:bookmarkStart w:id="58791" w:name="_ETM_Q109_583000"/>
      <w:bookmarkEnd w:id="58791"/>
      <w:r>
        <w:rPr>
          <w:rFonts w:hint="cs"/>
          <w:rtl/>
          <w:lang w:eastAsia="he-IL"/>
        </w:rPr>
        <w:t xml:space="preserve">ולקיים ממשלה, הם כשלעצמם ערך דמוקרטי, כשם שהבאת שלום בין </w:t>
      </w:r>
      <w:bookmarkStart w:id="58792" w:name="_ETM_Q109_590000"/>
      <w:bookmarkEnd w:id="58792"/>
      <w:r>
        <w:rPr>
          <w:rFonts w:hint="cs"/>
          <w:rtl/>
          <w:lang w:eastAsia="he-IL"/>
        </w:rPr>
        <w:t xml:space="preserve">המפלגות הקואליציוניות יכולה להיות ערך דמוקרטי. והיה אם שאלה מעין </w:t>
      </w:r>
      <w:bookmarkStart w:id="58793" w:name="_ETM_Q109_596000"/>
      <w:bookmarkEnd w:id="58793"/>
      <w:r>
        <w:rPr>
          <w:rFonts w:hint="cs"/>
          <w:rtl/>
          <w:lang w:eastAsia="he-IL"/>
        </w:rPr>
        <w:t xml:space="preserve">זו תתעורר אי פעם, כי אז יהיה אולי מן הצורך </w:t>
      </w:r>
      <w:bookmarkStart w:id="58794" w:name="_ETM_Q109_597000"/>
      <w:bookmarkEnd w:id="58794"/>
      <w:r>
        <w:rPr>
          <w:rFonts w:hint="cs"/>
          <w:rtl/>
          <w:lang w:eastAsia="he-IL"/>
        </w:rPr>
        <w:t xml:space="preserve">לשקול את הערכים השונים אלה לעומת אלה על מנת </w:t>
      </w:r>
      <w:bookmarkStart w:id="58795" w:name="_ETM_Q109_604000"/>
      <w:bookmarkEnd w:id="58795"/>
      <w:r>
        <w:rPr>
          <w:rFonts w:hint="cs"/>
          <w:rtl/>
          <w:lang w:eastAsia="he-IL"/>
        </w:rPr>
        <w:t>להכריע באיזו מידה שקולים הערכים הדמוקרטיים כנגד הערכים הלא-דמוקרטיים.</w:t>
      </w:r>
    </w:p>
    <w:p w:rsidR="00BB59CD" w:rsidRDefault="00BB59CD" w:rsidP="00BB59CD">
      <w:pPr>
        <w:rPr>
          <w:rtl/>
          <w:lang w:eastAsia="he-IL"/>
        </w:rPr>
      </w:pPr>
    </w:p>
    <w:p w:rsidR="00BB59CD" w:rsidRDefault="00BB59CD" w:rsidP="00E333B7">
      <w:pPr>
        <w:rPr>
          <w:rtl/>
          <w:lang w:eastAsia="he-IL"/>
        </w:rPr>
      </w:pPr>
      <w:bookmarkStart w:id="58796" w:name="_ETM_Q109_607000"/>
      <w:bookmarkEnd w:id="58796"/>
      <w:r>
        <w:rPr>
          <w:rFonts w:hint="cs"/>
          <w:rtl/>
          <w:lang w:eastAsia="he-IL"/>
        </w:rPr>
        <w:t xml:space="preserve">נורמות </w:t>
      </w:r>
      <w:bookmarkStart w:id="58797" w:name="_ETM_Q109_608000"/>
      <w:bookmarkEnd w:id="58797"/>
      <w:r>
        <w:rPr>
          <w:rFonts w:hint="cs"/>
          <w:rtl/>
          <w:lang w:eastAsia="he-IL"/>
        </w:rPr>
        <w:t xml:space="preserve">הלכתיות, ויהא תוכנן אשר יהא, המקבלות תוקף של חוק מידי מחוקק דמוקרטי, שונות מכל הנורמות ההלכתיות האחרות שניתנות </w:t>
      </w:r>
      <w:bookmarkStart w:id="58798" w:name="_ETM_Q109_615000"/>
      <w:bookmarkEnd w:id="58798"/>
      <w:r>
        <w:rPr>
          <w:rFonts w:hint="cs"/>
          <w:rtl/>
          <w:lang w:eastAsia="he-IL"/>
        </w:rPr>
        <w:t xml:space="preserve">לשינוי ולביטול בידי המחוקק. לא ששינוי או ביטול כאמור </w:t>
      </w:r>
      <w:bookmarkStart w:id="58799" w:name="_ETM_Q109_623000"/>
      <w:bookmarkEnd w:id="58799"/>
      <w:r>
        <w:rPr>
          <w:rFonts w:hint="cs"/>
          <w:rtl/>
          <w:lang w:eastAsia="he-IL"/>
        </w:rPr>
        <w:t xml:space="preserve">גורעים כהוא זה מתוקפן ההלכתי של אותן הנורמות, אלא מבחינת </w:t>
      </w:r>
      <w:bookmarkStart w:id="58800" w:name="_ETM_Q109_627000"/>
      <w:bookmarkEnd w:id="58800"/>
      <w:r>
        <w:rPr>
          <w:rFonts w:hint="cs"/>
          <w:rtl/>
          <w:lang w:eastAsia="he-IL"/>
        </w:rPr>
        <w:t xml:space="preserve">הדמוקרטיה סימן ההיכר שלהן הוא שהמחוקק (החילוני) שנתן להם תוקף </w:t>
      </w:r>
      <w:bookmarkStart w:id="58801" w:name="_ETM_Q109_634000"/>
      <w:bookmarkEnd w:id="58801"/>
      <w:r>
        <w:rPr>
          <w:rFonts w:hint="cs"/>
          <w:rtl/>
          <w:lang w:eastAsia="he-IL"/>
        </w:rPr>
        <w:t>כחוק, הוא המחוקק החילוני שיכול</w:t>
      </w:r>
      <w:r w:rsidR="00D240DC">
        <w:rPr>
          <w:rFonts w:hint="cs"/>
          <w:rtl/>
          <w:lang w:eastAsia="he-IL"/>
        </w:rPr>
        <w:t>,</w:t>
      </w:r>
      <w:r>
        <w:rPr>
          <w:rFonts w:hint="cs"/>
          <w:rtl/>
          <w:lang w:eastAsia="he-IL"/>
        </w:rPr>
        <w:t xml:space="preserve"> לכשירצה</w:t>
      </w:r>
      <w:r w:rsidR="00D240DC">
        <w:rPr>
          <w:rFonts w:hint="cs"/>
          <w:rtl/>
          <w:lang w:eastAsia="he-IL"/>
        </w:rPr>
        <w:t>,</w:t>
      </w:r>
      <w:r>
        <w:rPr>
          <w:rFonts w:hint="cs"/>
          <w:rtl/>
          <w:lang w:eastAsia="he-IL"/>
        </w:rPr>
        <w:t xml:space="preserve"> לשלול מהן תוקף </w:t>
      </w:r>
      <w:bookmarkStart w:id="58802" w:name="_ETM_Q109_635000"/>
      <w:bookmarkEnd w:id="58802"/>
      <w:r>
        <w:rPr>
          <w:rFonts w:hint="cs"/>
          <w:rtl/>
          <w:lang w:eastAsia="he-IL"/>
        </w:rPr>
        <w:t xml:space="preserve">כחוק. </w:t>
      </w:r>
      <w:bookmarkStart w:id="58803" w:name="_ETM_Q109_641000"/>
      <w:bookmarkEnd w:id="58803"/>
      <w:r>
        <w:rPr>
          <w:rFonts w:hint="cs"/>
          <w:rtl/>
          <w:lang w:eastAsia="he-IL"/>
        </w:rPr>
        <w:t xml:space="preserve">מקצת מן האופי הדמוקרטי, אשר גם נורמות לא דמוקרטיות </w:t>
      </w:r>
      <w:bookmarkStart w:id="58804" w:name="_ETM_Q109_643000"/>
      <w:bookmarkEnd w:id="58804"/>
      <w:r>
        <w:rPr>
          <w:rFonts w:hint="cs"/>
          <w:rtl/>
          <w:lang w:eastAsia="he-IL"/>
        </w:rPr>
        <w:t xml:space="preserve">יכולות לזכות בו, טמון באפשרות שימוען וביטולן בהליכים דמוקרטיים. יד </w:t>
      </w:r>
      <w:bookmarkStart w:id="58805" w:name="_ETM_Q109_648000"/>
      <w:bookmarkEnd w:id="58805"/>
      <w:r>
        <w:rPr>
          <w:rFonts w:hint="cs"/>
          <w:rtl/>
          <w:lang w:eastAsia="he-IL"/>
        </w:rPr>
        <w:t>הדמוקרטיה תמיד נטויה עליהן לשבט או לחסד.</w:t>
      </w:r>
    </w:p>
    <w:p w:rsidR="00BB59CD" w:rsidRDefault="00BB59CD" w:rsidP="00BB59CD">
      <w:pPr>
        <w:rPr>
          <w:rtl/>
          <w:lang w:eastAsia="he-IL"/>
        </w:rPr>
      </w:pPr>
      <w:bookmarkStart w:id="58806" w:name="_ETM_Q109_655000"/>
      <w:bookmarkEnd w:id="58806"/>
    </w:p>
    <w:p w:rsidR="00BB59CD" w:rsidRDefault="00BB59CD" w:rsidP="00D240DC">
      <w:pPr>
        <w:rPr>
          <w:rtl/>
          <w:lang w:eastAsia="he-IL"/>
        </w:rPr>
      </w:pPr>
      <w:bookmarkStart w:id="58807" w:name="_ETM_Q109_656000"/>
      <w:bookmarkEnd w:id="58807"/>
      <w:r>
        <w:rPr>
          <w:rFonts w:hint="cs"/>
          <w:rtl/>
          <w:lang w:eastAsia="he-IL"/>
        </w:rPr>
        <w:t xml:space="preserve">כידוע, מעוררת החקיקה </w:t>
      </w:r>
      <w:bookmarkStart w:id="58808" w:name="_ETM_Q109_653000"/>
      <w:bookmarkEnd w:id="58808"/>
      <w:r>
        <w:rPr>
          <w:rFonts w:hint="cs"/>
          <w:rtl/>
          <w:lang w:eastAsia="he-IL"/>
        </w:rPr>
        <w:t xml:space="preserve">הדתית פולמוס מתמיד בין דתיים וחילוניים. אלה מתריעים עליה שאינה </w:t>
      </w:r>
      <w:bookmarkStart w:id="58809" w:name="_ETM_Q109_659000"/>
      <w:bookmarkEnd w:id="58809"/>
      <w:r>
        <w:rPr>
          <w:rFonts w:hint="cs"/>
          <w:rtl/>
          <w:lang w:eastAsia="he-IL"/>
        </w:rPr>
        <w:t xml:space="preserve">יהודית ממש או כל צורכה ואילו רק באשר ניתנת לביטול </w:t>
      </w:r>
      <w:bookmarkStart w:id="58810" w:name="_ETM_Q109_666000"/>
      <w:bookmarkEnd w:id="58810"/>
      <w:r>
        <w:rPr>
          <w:rFonts w:hint="cs"/>
          <w:rtl/>
          <w:lang w:eastAsia="he-IL"/>
        </w:rPr>
        <w:t xml:space="preserve">או לשינוי, ואלה מתריעים עליה שהינה דמוקרטית לא רק </w:t>
      </w:r>
      <w:bookmarkStart w:id="58811" w:name="_ETM_Q109_672000"/>
      <w:bookmarkEnd w:id="58811"/>
      <w:r>
        <w:rPr>
          <w:rFonts w:hint="cs"/>
          <w:rtl/>
          <w:lang w:eastAsia="he-IL"/>
        </w:rPr>
        <w:t>באשר ל</w:t>
      </w:r>
      <w:r w:rsidR="00D240DC">
        <w:rPr>
          <w:rFonts w:hint="cs"/>
          <w:rtl/>
          <w:lang w:eastAsia="he-IL"/>
        </w:rPr>
        <w:t>ק</w:t>
      </w:r>
      <w:r>
        <w:rPr>
          <w:rFonts w:hint="cs"/>
          <w:rtl/>
          <w:lang w:eastAsia="he-IL"/>
        </w:rPr>
        <w:t xml:space="preserve">וחה היא מן ההלכה ואינה פרי רוחו ודעתו של </w:t>
      </w:r>
      <w:bookmarkStart w:id="58812" w:name="_ETM_Q109_674000"/>
      <w:bookmarkEnd w:id="58812"/>
      <w:r>
        <w:rPr>
          <w:rFonts w:hint="cs"/>
          <w:rtl/>
          <w:lang w:eastAsia="he-IL"/>
        </w:rPr>
        <w:t xml:space="preserve">המחוקק החילוני עצמו, אלא בעיקר מפני שאין היא משקפת </w:t>
      </w:r>
      <w:bookmarkStart w:id="58813" w:name="_ETM_Q109_677000"/>
      <w:bookmarkEnd w:id="58813"/>
      <w:r>
        <w:rPr>
          <w:rFonts w:hint="cs"/>
          <w:rtl/>
          <w:lang w:eastAsia="he-IL"/>
        </w:rPr>
        <w:t>דעתו ומספקת צרכיו של רוב הציבור.</w:t>
      </w:r>
    </w:p>
    <w:p w:rsidR="00BB59CD" w:rsidRDefault="00BB59CD" w:rsidP="00BB59CD">
      <w:pPr>
        <w:rPr>
          <w:rtl/>
          <w:lang w:eastAsia="he-IL"/>
        </w:rPr>
      </w:pPr>
    </w:p>
    <w:p w:rsidR="00BB59CD" w:rsidRDefault="00BB59CD" w:rsidP="00BB59CD">
      <w:pPr>
        <w:rPr>
          <w:rtl/>
          <w:lang w:eastAsia="he-IL"/>
        </w:rPr>
      </w:pPr>
      <w:bookmarkStart w:id="58814" w:name="_ETM_Q109_683000"/>
      <w:bookmarkEnd w:id="58814"/>
      <w:r>
        <w:rPr>
          <w:rFonts w:hint="cs"/>
          <w:rtl/>
          <w:lang w:eastAsia="he-IL"/>
        </w:rPr>
        <w:t xml:space="preserve">ואומנם קשה הוא עד מאוד </w:t>
      </w:r>
      <w:bookmarkStart w:id="58815" w:name="_ETM_Q109_680000"/>
      <w:bookmarkEnd w:id="58815"/>
      <w:r>
        <w:rPr>
          <w:rFonts w:hint="cs"/>
          <w:rtl/>
          <w:lang w:eastAsia="he-IL"/>
        </w:rPr>
        <w:t xml:space="preserve">למזג יהדות עם דמוקרטיה יחדיו לשביעות רצון כולם, ואין מקילים </w:t>
      </w:r>
      <w:bookmarkStart w:id="58816" w:name="_ETM_Q109_688000"/>
      <w:bookmarkEnd w:id="58816"/>
      <w:r>
        <w:rPr>
          <w:rFonts w:hint="cs"/>
          <w:rtl/>
          <w:lang w:eastAsia="he-IL"/>
        </w:rPr>
        <w:t xml:space="preserve">על קושי זה כששוקלים חקיקה דתית, לא לפי טיבה ולא </w:t>
      </w:r>
      <w:bookmarkStart w:id="58817" w:name="_ETM_Q109_693000"/>
      <w:bookmarkEnd w:id="58817"/>
      <w:r>
        <w:rPr>
          <w:rFonts w:hint="cs"/>
          <w:rtl/>
          <w:lang w:eastAsia="he-IL"/>
        </w:rPr>
        <w:t xml:space="preserve">לגופם של ענייניה, אלא מתוך אינטרסים פוליטיים הזרים לעניין. אלה </w:t>
      </w:r>
      <w:bookmarkStart w:id="58818" w:name="_ETM_Q109_698000"/>
      <w:bookmarkEnd w:id="58818"/>
      <w:r>
        <w:rPr>
          <w:rFonts w:hint="cs"/>
          <w:rtl/>
          <w:lang w:eastAsia="he-IL"/>
        </w:rPr>
        <w:t xml:space="preserve">כועסים על מצווה שנעשתה שלא לשמה, ואלה כועסים על עבירה </w:t>
      </w:r>
      <w:bookmarkStart w:id="58819" w:name="_ETM_Q109_702000"/>
      <w:bookmarkEnd w:id="58819"/>
      <w:r>
        <w:rPr>
          <w:rFonts w:hint="cs"/>
          <w:rtl/>
          <w:lang w:eastAsia="he-IL"/>
        </w:rPr>
        <w:t xml:space="preserve">שנעשתה שלא לשמה. זירת התנגשות בולטת בין דמוקרטיה </w:t>
      </w:r>
      <w:bookmarkStart w:id="58820" w:name="_ETM_Q109_710000"/>
      <w:bookmarkEnd w:id="58820"/>
      <w:r>
        <w:rPr>
          <w:rFonts w:hint="cs"/>
          <w:rtl/>
          <w:lang w:eastAsia="he-IL"/>
        </w:rPr>
        <w:t xml:space="preserve">ליהדות היא הזכות היסודית לחופש הדת, הדעה והמצפון, כולל חופש </w:t>
      </w:r>
      <w:bookmarkStart w:id="58821" w:name="_ETM_Q109_714000"/>
      <w:bookmarkEnd w:id="58821"/>
      <w:r>
        <w:rPr>
          <w:rFonts w:hint="cs"/>
          <w:rtl/>
          <w:lang w:eastAsia="he-IL"/>
        </w:rPr>
        <w:t xml:space="preserve">דעות אפיקורסיות. חופש זה מנוגד כל-כולו לערכי היהדות. אפשר </w:t>
      </w:r>
      <w:bookmarkStart w:id="58822" w:name="_ETM_Q109_723000"/>
      <w:bookmarkEnd w:id="58822"/>
      <w:r>
        <w:rPr>
          <w:rFonts w:hint="cs"/>
          <w:rtl/>
          <w:lang w:eastAsia="he-IL"/>
        </w:rPr>
        <w:t xml:space="preserve">למצוא במקורות סימוכין לכך שנוכרים נהנו מחופש הדת לפחות במידה </w:t>
      </w:r>
      <w:bookmarkStart w:id="58823" w:name="_ETM_Q109_727000"/>
      <w:bookmarkEnd w:id="58823"/>
      <w:r>
        <w:rPr>
          <w:rFonts w:hint="cs"/>
          <w:rtl/>
          <w:lang w:eastAsia="he-IL"/>
        </w:rPr>
        <w:t xml:space="preserve">שלא עבדו אליליהם, אבל על יהודים מוטלות כל מצוות הדת, </w:t>
      </w:r>
      <w:bookmarkStart w:id="58824" w:name="_ETM_Q109_731000"/>
      <w:bookmarkEnd w:id="58824"/>
      <w:r>
        <w:rPr>
          <w:rFonts w:hint="cs"/>
          <w:rtl/>
          <w:lang w:eastAsia="he-IL"/>
        </w:rPr>
        <w:t xml:space="preserve">ואין להעלות על הדעת שמי מהם חופשי להתנער מהן או </w:t>
      </w:r>
      <w:bookmarkStart w:id="58825" w:name="_ETM_Q109_734000"/>
      <w:bookmarkEnd w:id="58825"/>
      <w:r>
        <w:rPr>
          <w:rFonts w:hint="cs"/>
          <w:rtl/>
          <w:lang w:eastAsia="he-IL"/>
        </w:rPr>
        <w:t xml:space="preserve">מקצתן, או אף להטיל ספק באלוהיותן. אבל חופש הדת </w:t>
      </w:r>
      <w:bookmarkStart w:id="58826" w:name="_ETM_Q109_737000"/>
      <w:bookmarkEnd w:id="58826"/>
      <w:r>
        <w:rPr>
          <w:rFonts w:hint="cs"/>
          <w:rtl/>
          <w:lang w:eastAsia="he-IL"/>
        </w:rPr>
        <w:t xml:space="preserve">הוא אחד הערכים אשר המדינה מושתתת עליהם, כאמור במגילת העצמאות, </w:t>
      </w:r>
      <w:bookmarkStart w:id="58827" w:name="_ETM_Q109_745000"/>
      <w:bookmarkEnd w:id="58827"/>
      <w:r>
        <w:rPr>
          <w:rFonts w:hint="cs"/>
          <w:rtl/>
          <w:lang w:eastAsia="he-IL"/>
        </w:rPr>
        <w:t xml:space="preserve">וחופש זה מובטח גם ליהודים וגם ללא-יהודים, ואומנם אין מדינה דמוקרטית יכולה להתנער מחופש הדת או לסבול </w:t>
      </w:r>
      <w:bookmarkStart w:id="58828" w:name="_ETM_Q109_751000"/>
      <w:bookmarkEnd w:id="58828"/>
      <w:r>
        <w:rPr>
          <w:rFonts w:hint="cs"/>
          <w:rtl/>
          <w:lang w:eastAsia="he-IL"/>
        </w:rPr>
        <w:t>הגבלתו לדתות מסוימות או לציבורים מסוימים.</w:t>
      </w:r>
    </w:p>
    <w:p w:rsidR="00BB59CD" w:rsidRDefault="00BB59CD" w:rsidP="00BB59CD">
      <w:pPr>
        <w:rPr>
          <w:rtl/>
          <w:lang w:eastAsia="he-IL"/>
        </w:rPr>
      </w:pPr>
    </w:p>
    <w:p w:rsidR="00BB59CD" w:rsidRDefault="00BB59CD" w:rsidP="00BB59CD">
      <w:pPr>
        <w:rPr>
          <w:rtl/>
        </w:rPr>
      </w:pPr>
      <w:bookmarkStart w:id="58829" w:name="_ETM_Q109_755000"/>
      <w:bookmarkEnd w:id="58829"/>
      <w:r>
        <w:rPr>
          <w:rFonts w:hint="cs"/>
          <w:rtl/>
          <w:lang w:eastAsia="he-IL"/>
        </w:rPr>
        <w:t xml:space="preserve">גם יהודים שומרי מצוות דתם </w:t>
      </w:r>
      <w:bookmarkStart w:id="58830" w:name="_ETM_Q109_758000"/>
      <w:bookmarkEnd w:id="58830"/>
      <w:r>
        <w:rPr>
          <w:rFonts w:hint="cs"/>
          <w:rtl/>
          <w:lang w:eastAsia="he-IL"/>
        </w:rPr>
        <w:t xml:space="preserve">זקוקים לחופש הדת והפולחן וזכאים להגנה מפני מפיריו. ממילא זקוקים </w:t>
      </w:r>
      <w:bookmarkStart w:id="58831" w:name="_ETM_Q109_763000"/>
      <w:bookmarkEnd w:id="58831"/>
      <w:r>
        <w:rPr>
          <w:rFonts w:hint="cs"/>
          <w:rtl/>
          <w:lang w:eastAsia="he-IL"/>
        </w:rPr>
        <w:t xml:space="preserve">וזכאים לו יהודים שהם בני זרמים אחרים ביהדות, השומרים דתם </w:t>
      </w:r>
      <w:bookmarkStart w:id="58832" w:name="_ETM_Q109_762000"/>
      <w:bookmarkEnd w:id="58832"/>
      <w:r>
        <w:rPr>
          <w:rFonts w:hint="cs"/>
          <w:rtl/>
          <w:lang w:eastAsia="he-IL"/>
        </w:rPr>
        <w:t>ומקיימים פולחנם לפי טעמם והבנתם שלהם.</w:t>
      </w:r>
      <w:bookmarkStart w:id="58833" w:name="_ETM_Q109_720000"/>
      <w:bookmarkStart w:id="58834" w:name="TOR_Q110"/>
      <w:bookmarkEnd w:id="58833"/>
      <w:bookmarkEnd w:id="58834"/>
      <w:r>
        <w:rPr>
          <w:rFonts w:hint="cs"/>
          <w:rtl/>
        </w:rPr>
        <w:t xml:space="preserve"> הגבלת החופש מדת או מן ההלכה הדתית עלולה להפוך את המדינה ממדינה יהודית ודמוקרטית למדינת הלכה. אשר לנורמות </w:t>
      </w:r>
      <w:bookmarkStart w:id="58835" w:name="_ETM_Q110_180000"/>
      <w:bookmarkEnd w:id="58835"/>
      <w:r>
        <w:rPr>
          <w:rFonts w:hint="cs"/>
          <w:rtl/>
        </w:rPr>
        <w:t xml:space="preserve">הספציפיות שהמחוקק יכול לאמצן לו מדי פעם מתוך אוצר ההלכה, </w:t>
      </w:r>
      <w:bookmarkStart w:id="58836" w:name="_ETM_Q110_184000"/>
      <w:bookmarkEnd w:id="58836"/>
      <w:r>
        <w:rPr>
          <w:rFonts w:hint="cs"/>
          <w:rtl/>
        </w:rPr>
        <w:t xml:space="preserve">הרי טמון בעצם הספציפיות אלמנט של בחירה, של סלקציה. לא </w:t>
      </w:r>
      <w:bookmarkStart w:id="58837" w:name="_ETM_Q110_190000"/>
      <w:bookmarkEnd w:id="58837"/>
      <w:r>
        <w:rPr>
          <w:rFonts w:hint="cs"/>
          <w:rtl/>
        </w:rPr>
        <w:t xml:space="preserve">כל אשר הוא יהודי באשר הוא הלכתי מסוגל להיות דמוקרטי. </w:t>
      </w:r>
      <w:bookmarkStart w:id="58838" w:name="_ETM_Q110_194000"/>
      <w:bookmarkEnd w:id="58838"/>
      <w:r>
        <w:rPr>
          <w:rFonts w:hint="cs"/>
          <w:rtl/>
        </w:rPr>
        <w:t xml:space="preserve">הסלקציות שהמחוקק כבר הספיק לעשות מעידות בדרך כלל על מגמה </w:t>
      </w:r>
      <w:bookmarkStart w:id="58839" w:name="_ETM_Q110_198000"/>
      <w:bookmarkEnd w:id="58839"/>
      <w:r>
        <w:rPr>
          <w:rFonts w:hint="cs"/>
          <w:rtl/>
        </w:rPr>
        <w:t xml:space="preserve">המצטיינת ביישום ערכים דמוקרטיים. </w:t>
      </w:r>
      <w:bookmarkStart w:id="58840" w:name="_ETM_Q110_212000"/>
      <w:bookmarkStart w:id="58841" w:name="_ETM_Q110_201000"/>
      <w:bookmarkEnd w:id="58840"/>
      <w:bookmarkEnd w:id="58841"/>
      <w:r>
        <w:rPr>
          <w:rFonts w:hint="cs"/>
          <w:rtl/>
        </w:rPr>
        <w:t xml:space="preserve">כבר הצבענו על דין שבחוק יסודות המשפט, </w:t>
      </w:r>
      <w:bookmarkStart w:id="58842" w:name="_ETM_Q110_205000"/>
      <w:bookmarkEnd w:id="58842"/>
      <w:r>
        <w:rPr>
          <w:rFonts w:hint="cs"/>
          <w:rtl/>
        </w:rPr>
        <w:t xml:space="preserve">שלמטרתו בחר לו המחוקק מכל העקרונות </w:t>
      </w:r>
      <w:bookmarkStart w:id="58843" w:name="_ETM_Q110_207000"/>
      <w:bookmarkEnd w:id="58843"/>
      <w:r>
        <w:rPr>
          <w:rFonts w:hint="cs"/>
          <w:rtl/>
        </w:rPr>
        <w:t>האפשריים שבמורשת ישראל רק את החירות, הצדק, היושר והשלום.</w:t>
      </w:r>
    </w:p>
    <w:p w:rsidR="00BB59CD" w:rsidRDefault="00BB59CD" w:rsidP="00BB59CD">
      <w:pPr>
        <w:rPr>
          <w:rtl/>
        </w:rPr>
      </w:pPr>
    </w:p>
    <w:p w:rsidR="00BB59CD" w:rsidRDefault="00BB59CD" w:rsidP="00BB59CD">
      <w:pPr>
        <w:rPr>
          <w:rtl/>
        </w:rPr>
      </w:pPr>
      <w:bookmarkStart w:id="58844" w:name="_ETM_Q110_214000"/>
      <w:bookmarkEnd w:id="58844"/>
      <w:r>
        <w:rPr>
          <w:rFonts w:hint="cs"/>
          <w:rtl/>
        </w:rPr>
        <w:t xml:space="preserve">ישנם ערכים יהודיים שנוצרו בעם ישראל או התגבשו רק בתקופת </w:t>
      </w:r>
      <w:bookmarkStart w:id="58845" w:name="_ETM_Q110_217000"/>
      <w:bookmarkEnd w:id="58845"/>
      <w:r>
        <w:rPr>
          <w:rFonts w:hint="cs"/>
          <w:rtl/>
        </w:rPr>
        <w:t xml:space="preserve">הציונות, כמו העלייה היהודית, קיבוץ גלויות והחלוציות. אלה הערכים </w:t>
      </w:r>
      <w:bookmarkStart w:id="58846" w:name="_ETM_Q110_223000"/>
      <w:bookmarkEnd w:id="58846"/>
      <w:r>
        <w:rPr>
          <w:rFonts w:hint="cs"/>
          <w:rtl/>
        </w:rPr>
        <w:t xml:space="preserve">הנותנים למדינה את אופייה כמדינתו של העם היהודי, ויש אומרים </w:t>
      </w:r>
      <w:bookmarkStart w:id="58847" w:name="_ETM_Q110_229000"/>
      <w:bookmarkEnd w:id="58847"/>
      <w:r>
        <w:rPr>
          <w:rFonts w:hint="cs"/>
          <w:rtl/>
        </w:rPr>
        <w:t xml:space="preserve">שהמדינה יהודית במובן זה שליהודים זכות לעלות אליה, והווייתם הלאומית </w:t>
      </w:r>
      <w:bookmarkStart w:id="58848" w:name="_ETM_Q110_232000"/>
      <w:bookmarkEnd w:id="58848"/>
      <w:r>
        <w:rPr>
          <w:rFonts w:hint="cs"/>
          <w:rtl/>
        </w:rPr>
        <w:t xml:space="preserve">היא הווייתה של המדינה, ואותה הוויה לאומית אמורה להתבטא </w:t>
      </w:r>
      <w:bookmarkStart w:id="58849" w:name="_ETM_Q110_236000"/>
      <w:bookmarkEnd w:id="58849"/>
      <w:r>
        <w:rPr>
          <w:rFonts w:hint="cs"/>
          <w:rtl/>
        </w:rPr>
        <w:t xml:space="preserve">בלשון העברית במועדי ישראל. אין צורך לומר שהלשון העברית ומועדי </w:t>
      </w:r>
      <w:bookmarkStart w:id="58850" w:name="_ETM_Q110_241000"/>
      <w:bookmarkEnd w:id="58850"/>
      <w:r>
        <w:rPr>
          <w:rFonts w:hint="cs"/>
          <w:rtl/>
        </w:rPr>
        <w:t xml:space="preserve">ישראל הם ערכים יהודיים מובהקים, אבל אין בהם בלבד כדי </w:t>
      </w:r>
      <w:bookmarkStart w:id="58851" w:name="_ETM_Q110_245000"/>
      <w:bookmarkEnd w:id="58851"/>
      <w:r>
        <w:rPr>
          <w:rFonts w:hint="cs"/>
          <w:rtl/>
        </w:rPr>
        <w:t xml:space="preserve">למצות יהדותה של המדינה. לדידי, המדינה יהודית גם מפני שהיא </w:t>
      </w:r>
      <w:bookmarkStart w:id="58852" w:name="_ETM_Q110_248000"/>
      <w:bookmarkEnd w:id="58852"/>
      <w:r>
        <w:rPr>
          <w:rFonts w:hint="cs"/>
          <w:rtl/>
        </w:rPr>
        <w:t xml:space="preserve">מדינתו של העם היהודי, וגם משום שהיא אימצה ועתידה לאמץ </w:t>
      </w:r>
      <w:bookmarkStart w:id="58853" w:name="_ETM_Q110_255000"/>
      <w:bookmarkEnd w:id="58853"/>
      <w:r>
        <w:rPr>
          <w:rFonts w:hint="cs"/>
          <w:rtl/>
        </w:rPr>
        <w:t>לעצמה ערכים רבים ומגוונים ממורשת ישראל.</w:t>
      </w:r>
    </w:p>
    <w:p w:rsidR="00BB59CD" w:rsidRDefault="00BB59CD" w:rsidP="00BB59CD">
      <w:pPr>
        <w:rPr>
          <w:rtl/>
        </w:rPr>
      </w:pPr>
    </w:p>
    <w:p w:rsidR="00BB59CD" w:rsidRDefault="00BB59CD" w:rsidP="00D240DC">
      <w:pPr>
        <w:rPr>
          <w:rtl/>
        </w:rPr>
      </w:pPr>
      <w:bookmarkStart w:id="58854" w:name="_ETM_Q110_257000"/>
      <w:bookmarkEnd w:id="58854"/>
      <w:r>
        <w:rPr>
          <w:rFonts w:hint="cs"/>
          <w:rtl/>
        </w:rPr>
        <w:t xml:space="preserve">העובדה שרובם ככולם של ערכי </w:t>
      </w:r>
      <w:bookmarkStart w:id="58855" w:name="_ETM_Q110_261000"/>
      <w:bookmarkEnd w:id="58855"/>
      <w:r>
        <w:rPr>
          <w:rFonts w:hint="cs"/>
          <w:rtl/>
        </w:rPr>
        <w:t xml:space="preserve">היסוד היהודיים ערכים אוניברסליים ודמוקרטיים הם, אינה בהכרח גורעת מיהדותם. </w:t>
      </w:r>
      <w:bookmarkStart w:id="58856" w:name="_ETM_Q110_268000"/>
      <w:bookmarkEnd w:id="58856"/>
      <w:r>
        <w:rPr>
          <w:rFonts w:hint="cs"/>
          <w:rtl/>
        </w:rPr>
        <w:t xml:space="preserve">כל עקרונות יסוד משפטיים משותפים הם למדינות משפט. אין למורשת </w:t>
      </w:r>
      <w:bookmarkStart w:id="58857" w:name="_ETM_Q110_272000"/>
      <w:bookmarkEnd w:id="58857"/>
      <w:r>
        <w:rPr>
          <w:rFonts w:hint="cs"/>
          <w:rtl/>
        </w:rPr>
        <w:t xml:space="preserve">ישראל מונופולין או אף זכות יוצרים לא על חירות, </w:t>
      </w:r>
      <w:bookmarkStart w:id="58858" w:name="_ETM_Q110_276000"/>
      <w:bookmarkEnd w:id="58858"/>
      <w:r>
        <w:rPr>
          <w:rFonts w:hint="cs"/>
          <w:rtl/>
        </w:rPr>
        <w:t xml:space="preserve">על צדק, יושר ושלום ולא על קדושת החיים וכבוד </w:t>
      </w:r>
      <w:bookmarkStart w:id="58859" w:name="_ETM_Q110_281000"/>
      <w:bookmarkEnd w:id="58859"/>
      <w:r>
        <w:rPr>
          <w:rFonts w:hint="cs"/>
          <w:rtl/>
        </w:rPr>
        <w:t>האדם, אלא אצלנו הם מורשה שירשנו וטיפחנו מדורי</w:t>
      </w:r>
      <w:bookmarkStart w:id="58860" w:name="_ETM_Q110_285000"/>
      <w:bookmarkEnd w:id="58860"/>
      <w:r>
        <w:rPr>
          <w:rFonts w:hint="cs"/>
          <w:rtl/>
        </w:rPr>
        <w:t xml:space="preserve">-דורות, ועל כן מחבבים אותה חיבה יתרה ונותנים לה במדינתנו </w:t>
      </w:r>
      <w:bookmarkStart w:id="58861" w:name="_ETM_Q110_287000"/>
      <w:bookmarkEnd w:id="58861"/>
      <w:r>
        <w:rPr>
          <w:rFonts w:hint="cs"/>
          <w:rtl/>
        </w:rPr>
        <w:t>מעמד ויוקרה.</w:t>
      </w:r>
      <w:bookmarkStart w:id="58862" w:name="_ETM_Q110_291000"/>
      <w:bookmarkEnd w:id="58862"/>
      <w:r w:rsidR="00D240DC">
        <w:rPr>
          <w:rFonts w:hint="cs"/>
          <w:rtl/>
        </w:rPr>
        <w:t xml:space="preserve"> </w:t>
      </w:r>
      <w:r>
        <w:rPr>
          <w:rFonts w:hint="cs"/>
          <w:rtl/>
        </w:rPr>
        <w:t xml:space="preserve">ואולם, אין אני גורס כי הערכים העושים את המדינה </w:t>
      </w:r>
      <w:bookmarkStart w:id="58863" w:name="_ETM_Q110_294000"/>
      <w:bookmarkEnd w:id="58863"/>
      <w:r>
        <w:rPr>
          <w:rFonts w:hint="cs"/>
          <w:rtl/>
        </w:rPr>
        <w:t xml:space="preserve">למדינה יהודית הם הם הערכים העושים את המדינה גם למדינה </w:t>
      </w:r>
      <w:bookmarkStart w:id="58864" w:name="_ETM_Q110_299000"/>
      <w:bookmarkEnd w:id="58864"/>
      <w:r>
        <w:rPr>
          <w:rFonts w:hint="cs"/>
          <w:rtl/>
        </w:rPr>
        <w:t xml:space="preserve">דמוקרטית. אוניברסליות אינה תמיד אומרת זהות. על אף החפיפה והדמיון בין ערכי היסוד, ייתכנו ערכים יהודיים המוסיפים על הערכים הדמוקרטיים </w:t>
      </w:r>
      <w:bookmarkStart w:id="58865" w:name="_ETM_Q110_305000"/>
      <w:bookmarkEnd w:id="58865"/>
      <w:r>
        <w:rPr>
          <w:rFonts w:hint="cs"/>
          <w:rtl/>
        </w:rPr>
        <w:t xml:space="preserve">המקבילים נופך או גוון שלהם, כשם שיש ערכים דמוקרטיים המוסיפים </w:t>
      </w:r>
      <w:bookmarkStart w:id="58866" w:name="_ETM_Q110_312000"/>
      <w:bookmarkEnd w:id="58866"/>
      <w:r>
        <w:rPr>
          <w:rFonts w:hint="cs"/>
          <w:rtl/>
        </w:rPr>
        <w:t>על הערכים היהודיים המקבילים או הגורעים מהם.</w:t>
      </w:r>
    </w:p>
    <w:p w:rsidR="00BB59CD" w:rsidRDefault="00BB59CD" w:rsidP="00BB59CD">
      <w:pPr>
        <w:rPr>
          <w:rtl/>
        </w:rPr>
      </w:pPr>
    </w:p>
    <w:p w:rsidR="004C06A1" w:rsidRDefault="00BB59CD" w:rsidP="004C06A1">
      <w:pPr>
        <w:rPr>
          <w:rtl/>
        </w:rPr>
      </w:pPr>
      <w:bookmarkStart w:id="58867" w:name="_ETM_Q110_318000"/>
      <w:bookmarkEnd w:id="58867"/>
      <w:r>
        <w:rPr>
          <w:rFonts w:hint="cs"/>
          <w:rtl/>
        </w:rPr>
        <w:t>טול את היושר</w:t>
      </w:r>
      <w:r w:rsidR="00D240DC">
        <w:rPr>
          <w:rFonts w:hint="cs"/>
          <w:rtl/>
        </w:rPr>
        <w:t>.</w:t>
      </w:r>
      <w:r>
        <w:rPr>
          <w:rFonts w:hint="cs"/>
          <w:rtl/>
        </w:rPr>
        <w:t xml:space="preserve"> </w:t>
      </w:r>
      <w:bookmarkStart w:id="58868" w:name="_ETM_Q110_326000"/>
      <w:bookmarkEnd w:id="58868"/>
      <w:r>
        <w:rPr>
          <w:rFonts w:hint="cs"/>
          <w:rtl/>
        </w:rPr>
        <w:t xml:space="preserve">לכל </w:t>
      </w:r>
      <w:bookmarkStart w:id="58869" w:name="_ETM_Q110_324000"/>
      <w:bookmarkEnd w:id="58869"/>
      <w:r>
        <w:rPr>
          <w:rFonts w:hint="cs"/>
          <w:rtl/>
        </w:rPr>
        <w:t xml:space="preserve">אומה ולשון יש יושר משלה – רגע, אני אעבור לפה – כולן שאלות ממושגי היושר המצויים בשיטות משפט קונטיננטליות. גם </w:t>
      </w:r>
      <w:bookmarkStart w:id="58870" w:name="_ETM_Q110_329000"/>
      <w:bookmarkEnd w:id="58870"/>
      <w:r>
        <w:rPr>
          <w:rFonts w:hint="cs"/>
          <w:rtl/>
        </w:rPr>
        <w:t>בישראל כבר התפתחה תחילת תורת יושר העומדת בפני עצמה</w:t>
      </w:r>
      <w:r w:rsidR="00D240DC">
        <w:rPr>
          <w:rFonts w:hint="cs"/>
          <w:rtl/>
        </w:rPr>
        <w:t>.</w:t>
      </w:r>
      <w:r>
        <w:rPr>
          <w:rFonts w:hint="cs"/>
          <w:rtl/>
        </w:rPr>
        <w:t xml:space="preserve"> </w:t>
      </w:r>
      <w:bookmarkStart w:id="58871" w:name="_ETM_Q110_337000"/>
      <w:bookmarkEnd w:id="58871"/>
      <w:r>
        <w:rPr>
          <w:rFonts w:hint="cs"/>
          <w:rtl/>
        </w:rPr>
        <w:t xml:space="preserve">דיני </w:t>
      </w:r>
      <w:bookmarkStart w:id="58872" w:name="_ETM_Q110_338000"/>
      <w:bookmarkEnd w:id="58872"/>
      <w:r>
        <w:rPr>
          <w:rFonts w:hint="cs"/>
          <w:rtl/>
        </w:rPr>
        <w:t xml:space="preserve">עשיית הטוב והישר, בעיקר העשייה שלפנים משורת הדין של המשפט העברי, תופסים מקום מיוחד משלהם בין כל </w:t>
      </w:r>
      <w:bookmarkStart w:id="58873" w:name="_ETM_Q110_342000"/>
      <w:bookmarkEnd w:id="58873"/>
      <w:r>
        <w:rPr>
          <w:rFonts w:hint="cs"/>
          <w:rtl/>
        </w:rPr>
        <w:t>השיטות הללו</w:t>
      </w:r>
      <w:r w:rsidR="00D240DC">
        <w:rPr>
          <w:rFonts w:hint="cs"/>
          <w:rtl/>
        </w:rPr>
        <w:t>,</w:t>
      </w:r>
      <w:r>
        <w:rPr>
          <w:rFonts w:hint="cs"/>
          <w:rtl/>
        </w:rPr>
        <w:t xml:space="preserve"> ואינני יודע על שום מה לא יאמצו להם </w:t>
      </w:r>
      <w:bookmarkStart w:id="58874" w:name="_ETM_Q110_348000"/>
      <w:bookmarkEnd w:id="58874"/>
      <w:r w:rsidR="004C06A1">
        <w:rPr>
          <w:rFonts w:hint="cs"/>
          <w:rtl/>
        </w:rPr>
        <w:t>מ</w:t>
      </w:r>
      <w:r>
        <w:rPr>
          <w:rFonts w:hint="cs"/>
          <w:rtl/>
        </w:rPr>
        <w:t xml:space="preserve">חוקק </w:t>
      </w:r>
      <w:r w:rsidR="004C06A1">
        <w:rPr>
          <w:rFonts w:hint="cs"/>
          <w:rtl/>
        </w:rPr>
        <w:t>ו</w:t>
      </w:r>
      <w:r>
        <w:rPr>
          <w:rFonts w:hint="cs"/>
          <w:rtl/>
        </w:rPr>
        <w:t xml:space="preserve">שופט במדינה יהודית ערכים ועקרונות מן המסורת המשפטית היהודית </w:t>
      </w:r>
      <w:bookmarkStart w:id="58875" w:name="_ETM_Q110_355000"/>
      <w:bookmarkEnd w:id="58875"/>
      <w:r>
        <w:rPr>
          <w:rFonts w:hint="cs"/>
          <w:rtl/>
        </w:rPr>
        <w:t xml:space="preserve">לא רק כדין שיור בלבד. </w:t>
      </w:r>
    </w:p>
    <w:p w:rsidR="004C06A1" w:rsidRDefault="004C06A1" w:rsidP="004C06A1">
      <w:pPr>
        <w:rPr>
          <w:rtl/>
        </w:rPr>
      </w:pPr>
    </w:p>
    <w:p w:rsidR="004C06A1" w:rsidRDefault="004C06A1" w:rsidP="004C06A1">
      <w:pPr>
        <w:rPr>
          <w:rtl/>
        </w:rPr>
      </w:pPr>
      <w:r>
        <w:rPr>
          <w:rFonts w:hint="cs"/>
          <w:rtl/>
        </w:rPr>
        <w:t>ז</w:t>
      </w:r>
      <w:r w:rsidR="00BB59CD">
        <w:rPr>
          <w:rFonts w:hint="cs"/>
          <w:rtl/>
        </w:rPr>
        <w:t xml:space="preserve">ה באמת, מי שלמד משפטים – ובאמת הייתה לי הזכות לעשות את זה הרבה שנים מחיי ולעשות </w:t>
      </w:r>
      <w:bookmarkStart w:id="58876" w:name="_ETM_Q110_360000"/>
      <w:bookmarkEnd w:id="58876"/>
      <w:r w:rsidR="00BB59CD">
        <w:rPr>
          <w:rFonts w:hint="cs"/>
          <w:rtl/>
        </w:rPr>
        <w:t xml:space="preserve">תואר שני במשפט חוקתי – הדברים של השופט המנוח חיים כהן </w:t>
      </w:r>
      <w:bookmarkStart w:id="58877" w:name="_ETM_Q110_369000"/>
      <w:bookmarkEnd w:id="58877"/>
      <w:r w:rsidR="00BB59CD">
        <w:rPr>
          <w:rFonts w:hint="cs"/>
          <w:rtl/>
        </w:rPr>
        <w:t xml:space="preserve">תמיד הקדימו את זמנם בעשרות שנים, ובעיניי הגישה הזאת </w:t>
      </w:r>
      <w:bookmarkStart w:id="58878" w:name="_ETM_Q110_373000"/>
      <w:bookmarkEnd w:id="58878"/>
      <w:r w:rsidR="00BB59CD">
        <w:rPr>
          <w:rFonts w:hint="cs"/>
          <w:rtl/>
        </w:rPr>
        <w:t xml:space="preserve">והיכולת שלו לראות את שני צידי המתרס ולהבין שאפשר לחבר </w:t>
      </w:r>
      <w:bookmarkStart w:id="58879" w:name="_ETM_Q110_378000"/>
      <w:bookmarkEnd w:id="58879"/>
      <w:r w:rsidR="00BB59CD">
        <w:rPr>
          <w:rFonts w:hint="cs"/>
          <w:rtl/>
        </w:rPr>
        <w:t xml:space="preserve">הן משהו שהיום חסר אצל מלומדים בשיח. הוא לא ראה </w:t>
      </w:r>
      <w:bookmarkStart w:id="58880" w:name="_ETM_Q110_382000"/>
      <w:bookmarkEnd w:id="58880"/>
      <w:r w:rsidR="00BB59CD">
        <w:rPr>
          <w:rFonts w:hint="cs"/>
          <w:rtl/>
        </w:rPr>
        <w:t xml:space="preserve">את זה אף פעם כמחוקק אל מול שופט, כיהודי אל </w:t>
      </w:r>
      <w:bookmarkStart w:id="58881" w:name="_ETM_Q110_387000"/>
      <w:bookmarkEnd w:id="58881"/>
      <w:r w:rsidR="00BB59CD">
        <w:rPr>
          <w:rFonts w:hint="cs"/>
          <w:rtl/>
        </w:rPr>
        <w:t xml:space="preserve">מול ישראלי. יש פשוט המון פוליטיקאים שבמשך שנים הזינו ועשו </w:t>
      </w:r>
      <w:bookmarkStart w:id="58882" w:name="_ETM_Q110_391000"/>
      <w:bookmarkEnd w:id="58882"/>
      <w:r w:rsidR="00BB59CD">
        <w:rPr>
          <w:rFonts w:hint="cs"/>
          <w:rtl/>
        </w:rPr>
        <w:t xml:space="preserve">הון פוליטי מלייצר איזשהו ריב בין יהודי לדמוקרטי, בין </w:t>
      </w:r>
      <w:bookmarkStart w:id="58883" w:name="_ETM_Q110_396000"/>
      <w:bookmarkEnd w:id="58883"/>
      <w:r w:rsidR="00BB59CD">
        <w:rPr>
          <w:rFonts w:hint="cs"/>
          <w:rtl/>
        </w:rPr>
        <w:t xml:space="preserve">יהודי לישראלי, אילצו אנשים להגדיר את עצמם או לבחור, </w:t>
      </w:r>
      <w:bookmarkStart w:id="58884" w:name="_ETM_Q110_401000"/>
      <w:bookmarkEnd w:id="58884"/>
      <w:r w:rsidR="00BB59CD">
        <w:rPr>
          <w:rFonts w:hint="cs"/>
          <w:rtl/>
        </w:rPr>
        <w:t xml:space="preserve">או קטלגו אנשים לפי זה; ויש אנשים כמו חיים כהן, </w:t>
      </w:r>
      <w:bookmarkStart w:id="58885" w:name="_ETM_Q110_399000"/>
      <w:bookmarkEnd w:id="58885"/>
      <w:r w:rsidR="00BB59CD">
        <w:rPr>
          <w:rFonts w:hint="cs"/>
          <w:rtl/>
        </w:rPr>
        <w:t xml:space="preserve">שתמיד ראו איך העם הזה יכול להתחבר ולגדול ולהעשיר את </w:t>
      </w:r>
      <w:bookmarkStart w:id="58886" w:name="_ETM_Q110_408000"/>
      <w:bookmarkEnd w:id="58886"/>
      <w:r w:rsidR="00BB59CD">
        <w:rPr>
          <w:rFonts w:hint="cs"/>
          <w:rtl/>
        </w:rPr>
        <w:t>עצמו דווקא מלחבר בין יהודית לדמוקרטית</w:t>
      </w:r>
      <w:r>
        <w:rPr>
          <w:rFonts w:hint="cs"/>
          <w:rtl/>
        </w:rPr>
        <w:t>.</w:t>
      </w:r>
      <w:r w:rsidR="00BB59CD">
        <w:rPr>
          <w:rFonts w:hint="cs"/>
          <w:rtl/>
        </w:rPr>
        <w:t xml:space="preserve"> </w:t>
      </w:r>
    </w:p>
    <w:p w:rsidR="004C06A1" w:rsidRDefault="004C06A1" w:rsidP="004C06A1">
      <w:pPr>
        <w:rPr>
          <w:rtl/>
        </w:rPr>
      </w:pPr>
    </w:p>
    <w:p w:rsidR="00BB59CD" w:rsidRDefault="00BB59CD" w:rsidP="004C06A1">
      <w:pPr>
        <w:rPr>
          <w:rtl/>
        </w:rPr>
      </w:pPr>
      <w:r>
        <w:rPr>
          <w:rFonts w:hint="cs"/>
          <w:rtl/>
        </w:rPr>
        <w:t xml:space="preserve">הוא מביא פה תפיסות </w:t>
      </w:r>
      <w:bookmarkStart w:id="58887" w:name="_ETM_Q110_415000"/>
      <w:bookmarkEnd w:id="58887"/>
      <w:r>
        <w:rPr>
          <w:rFonts w:hint="cs"/>
          <w:rtl/>
        </w:rPr>
        <w:t>מורכבות.</w:t>
      </w:r>
      <w:r w:rsidR="004C06A1">
        <w:rPr>
          <w:rFonts w:hint="cs"/>
          <w:rtl/>
        </w:rPr>
        <w:t xml:space="preserve"> </w:t>
      </w:r>
      <w:bookmarkStart w:id="58888" w:name="_ETM_Q110_416000"/>
      <w:bookmarkEnd w:id="58888"/>
      <w:r>
        <w:rPr>
          <w:rFonts w:hint="cs"/>
          <w:rtl/>
        </w:rPr>
        <w:t xml:space="preserve">לצערי, אנחנו חיים בעידן שבו כבר אין מקום לתפיסות מורכבות. </w:t>
      </w:r>
      <w:bookmarkStart w:id="58889" w:name="_ETM_Q110_419000"/>
      <w:bookmarkEnd w:id="58889"/>
      <w:r>
        <w:rPr>
          <w:rFonts w:hint="cs"/>
          <w:rtl/>
        </w:rPr>
        <w:t xml:space="preserve">הכול זה סאונד בייט עם משפטים קצרים, דעות חותכות, </w:t>
      </w:r>
      <w:bookmarkStart w:id="58890" w:name="_ETM_Q110_425000"/>
      <w:bookmarkEnd w:id="58890"/>
      <w:r>
        <w:rPr>
          <w:rFonts w:hint="cs"/>
          <w:rtl/>
        </w:rPr>
        <w:t xml:space="preserve">וקשה מאוד לייצר מסר מורכב. העניין הוא – וזה משהו </w:t>
      </w:r>
      <w:bookmarkStart w:id="58891" w:name="_ETM_Q110_429000"/>
      <w:bookmarkEnd w:id="58891"/>
      <w:r>
        <w:rPr>
          <w:rFonts w:hint="cs"/>
          <w:rtl/>
        </w:rPr>
        <w:t xml:space="preserve">שאני תמיד אומר בכל המפגשים שעשיתי כסגן שר החוץ ובכל </w:t>
      </w:r>
      <w:bookmarkStart w:id="58892" w:name="_ETM_Q110_435000"/>
      <w:bookmarkEnd w:id="58892"/>
      <w:r>
        <w:rPr>
          <w:rFonts w:hint="cs"/>
          <w:rtl/>
        </w:rPr>
        <w:t xml:space="preserve">המשלחות שאני מארח בכל שבוע – אני מארח שתיים-שלוש </w:t>
      </w:r>
      <w:bookmarkStart w:id="58893" w:name="_ETM_Q110_440000"/>
      <w:bookmarkEnd w:id="58893"/>
      <w:r>
        <w:rPr>
          <w:rFonts w:hint="cs"/>
          <w:rtl/>
        </w:rPr>
        <w:t>משלחות בשבוע</w:t>
      </w:r>
      <w:r w:rsidR="004C06A1">
        <w:rPr>
          <w:rFonts w:hint="cs"/>
          <w:rtl/>
        </w:rPr>
        <w:t>, ול</w:t>
      </w:r>
      <w:r>
        <w:rPr>
          <w:rFonts w:hint="cs"/>
          <w:rtl/>
        </w:rPr>
        <w:t xml:space="preserve">מי ששואלים אותי שאלות על ישראל, אני אומר: </w:t>
      </w:r>
      <w:bookmarkStart w:id="58894" w:name="_ETM_Q110_443000"/>
      <w:bookmarkEnd w:id="58894"/>
      <w:r>
        <w:rPr>
          <w:rFonts w:hint="cs"/>
          <w:rtl/>
        </w:rPr>
        <w:t xml:space="preserve">אנחנו לא מדינה מושלמת, אנחנו לא מתיימרים להיות מדינה מושלמת, </w:t>
      </w:r>
      <w:bookmarkStart w:id="58895" w:name="_ETM_Q110_446000"/>
      <w:bookmarkEnd w:id="58895"/>
      <w:r>
        <w:rPr>
          <w:rFonts w:hint="cs"/>
          <w:rtl/>
        </w:rPr>
        <w:t xml:space="preserve">אבל החיים הם לא חיים של שחור או לבן. כל מי שמסתכל עלינו ושופט אותנו בצורה בינארית של אנחנו </w:t>
      </w:r>
      <w:bookmarkStart w:id="58896" w:name="_ETM_Q110_452000"/>
      <w:bookmarkEnd w:id="58896"/>
      <w:r>
        <w:rPr>
          <w:rFonts w:hint="cs"/>
          <w:rtl/>
        </w:rPr>
        <w:t>ככה או ככה, מפספס את העובדה שהחיים הם דבר מורכב</w:t>
      </w:r>
      <w:bookmarkStart w:id="58897" w:name="_ETM_Q110_453000"/>
      <w:bookmarkEnd w:id="58897"/>
      <w:r>
        <w:rPr>
          <w:rFonts w:hint="cs"/>
          <w:rtl/>
        </w:rPr>
        <w:t xml:space="preserve">, ורוב החיים מתנהלים בשטחים אפורים, לבטח חיים פוליטיים, חיים </w:t>
      </w:r>
      <w:bookmarkStart w:id="58898" w:name="_ETM_Q110_460000"/>
      <w:bookmarkEnd w:id="58898"/>
      <w:r>
        <w:rPr>
          <w:rFonts w:hint="cs"/>
          <w:rtl/>
        </w:rPr>
        <w:t xml:space="preserve">של הנהגה, חיים של קבלת החלטות. חיים כהן הבין את </w:t>
      </w:r>
      <w:bookmarkStart w:id="58899" w:name="_ETM_Q110_465000"/>
      <w:bookmarkEnd w:id="58899"/>
      <w:r>
        <w:rPr>
          <w:rFonts w:hint="cs"/>
          <w:rtl/>
        </w:rPr>
        <w:t xml:space="preserve">זה. חיים כהן הבין שאתה לא צריך </w:t>
      </w:r>
      <w:bookmarkStart w:id="58900" w:name="_ETM_Q110_467000"/>
      <w:bookmarkEnd w:id="58900"/>
      <w:r>
        <w:rPr>
          <w:rFonts w:hint="cs"/>
          <w:rtl/>
        </w:rPr>
        <w:t xml:space="preserve">להצהיר אמונים למחנה אחד, שלא צריך להגיד: אני יהודי – אז </w:t>
      </w:r>
      <w:bookmarkStart w:id="58901" w:name="_ETM_Q110_470000"/>
      <w:bookmarkEnd w:id="58901"/>
      <w:r>
        <w:rPr>
          <w:rFonts w:hint="cs"/>
          <w:rtl/>
        </w:rPr>
        <w:t>אני לא דמוקרטי; אני חובש כיפה – אז לא מעניין אותי ערכים ליברליים</w:t>
      </w:r>
      <w:r w:rsidR="004C06A1">
        <w:rPr>
          <w:rFonts w:hint="cs"/>
          <w:rtl/>
        </w:rPr>
        <w:t>.</w:t>
      </w:r>
      <w:r>
        <w:rPr>
          <w:rFonts w:hint="cs"/>
          <w:rtl/>
        </w:rPr>
        <w:t xml:space="preserve"> או</w:t>
      </w:r>
      <w:r w:rsidR="004C06A1">
        <w:rPr>
          <w:rFonts w:hint="cs"/>
          <w:rtl/>
        </w:rPr>
        <w:t xml:space="preserve"> </w:t>
      </w:r>
      <w:r>
        <w:rPr>
          <w:rFonts w:hint="cs"/>
          <w:rtl/>
        </w:rPr>
        <w:t xml:space="preserve">אם אני חילוני ואני גר בתל אביב, אין </w:t>
      </w:r>
      <w:bookmarkStart w:id="58902" w:name="_ETM_Q110_480000"/>
      <w:bookmarkEnd w:id="58902"/>
      <w:r>
        <w:rPr>
          <w:rFonts w:hint="cs"/>
          <w:rtl/>
        </w:rPr>
        <w:t>זה אומר עליי שאני מתנכר למסורת.</w:t>
      </w:r>
    </w:p>
    <w:p w:rsidR="00BB59CD" w:rsidRDefault="00BB59CD" w:rsidP="00BB59CD">
      <w:pPr>
        <w:rPr>
          <w:rtl/>
        </w:rPr>
      </w:pPr>
    </w:p>
    <w:p w:rsidR="00BB59CD" w:rsidRDefault="00BB59CD" w:rsidP="00BB59CD">
      <w:pPr>
        <w:rPr>
          <w:rtl/>
        </w:rPr>
      </w:pPr>
      <w:bookmarkStart w:id="58903" w:name="_ETM_Q110_479000"/>
      <w:bookmarkEnd w:id="58903"/>
      <w:r>
        <w:rPr>
          <w:rFonts w:hint="cs"/>
          <w:rtl/>
        </w:rPr>
        <w:t xml:space="preserve">אני התחנכתי בבית שבו </w:t>
      </w:r>
      <w:bookmarkStart w:id="58904" w:name="_ETM_Q110_484000"/>
      <w:bookmarkEnd w:id="58904"/>
      <w:r>
        <w:rPr>
          <w:rFonts w:hint="cs"/>
          <w:rtl/>
        </w:rPr>
        <w:t xml:space="preserve">אפשר להיות גם וגם וגם, בית שהעריך מסורת והעריך ליברליות </w:t>
      </w:r>
      <w:bookmarkStart w:id="58905" w:name="_ETM_Q110_488000"/>
      <w:bookmarkEnd w:id="58905"/>
      <w:r>
        <w:rPr>
          <w:rFonts w:hint="cs"/>
          <w:rtl/>
        </w:rPr>
        <w:t>-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8906" w:name="_ETM_Q110_489000"/>
      <w:bookmarkEnd w:id="58906"/>
      <w:r>
        <w:rPr>
          <w:rFonts w:hint="cs"/>
          <w:rtl/>
        </w:rPr>
        <w:t xml:space="preserve">השר ברקת אמר קודם משהו, שבאמת קרה </w:t>
      </w:r>
      <w:bookmarkStart w:id="58907" w:name="_ETM_Q110_495000"/>
      <w:bookmarkEnd w:id="58907"/>
      <w:r>
        <w:rPr>
          <w:rFonts w:hint="cs"/>
          <w:rtl/>
        </w:rPr>
        <w:t xml:space="preserve">כאן משהו במסגרת המחאה הזאת. אתה אמרת שאפשר לגשר </w:t>
      </w:r>
      <w:bookmarkStart w:id="58908" w:name="_ETM_Q110_498000"/>
      <w:bookmarkEnd w:id="58908"/>
      <w:r>
        <w:rPr>
          <w:rFonts w:hint="cs"/>
          <w:rtl/>
        </w:rPr>
        <w:t xml:space="preserve">ולהיות גם כאן וגם כאן, ופתאום מחר ייווצר מצב </w:t>
      </w:r>
      <w:bookmarkStart w:id="58909" w:name="_ETM_Q110_505000"/>
      <w:bookmarkEnd w:id="58909"/>
      <w:r>
        <w:rPr>
          <w:rFonts w:hint="cs"/>
          <w:rtl/>
        </w:rPr>
        <w:t xml:space="preserve">שבו אם אתה נוקט עמדה אחת, אתה לא יכול </w:t>
      </w:r>
      <w:bookmarkStart w:id="58910" w:name="_ETM_Q110_503000"/>
      <w:bookmarkEnd w:id="58910"/>
      <w:r>
        <w:rPr>
          <w:rFonts w:hint="cs"/>
          <w:rtl/>
        </w:rPr>
        <w:t xml:space="preserve">להיות גם בצד השני, אתה נהיה נגד. אם אתה </w:t>
      </w:r>
      <w:bookmarkStart w:id="58911" w:name="_ETM_Q110_504000"/>
      <w:bookmarkEnd w:id="58911"/>
      <w:r>
        <w:rPr>
          <w:rFonts w:hint="cs"/>
          <w:rtl/>
        </w:rPr>
        <w:t xml:space="preserve">תומך ברפורמה – אתה תומך; אם אתה נגד – </w:t>
      </w:r>
      <w:bookmarkStart w:id="58912" w:name="_ETM_Q110_511000"/>
      <w:bookmarkEnd w:id="58912"/>
      <w:r>
        <w:rPr>
          <w:rFonts w:hint="cs"/>
          <w:rtl/>
        </w:rPr>
        <w:t>אתה נגד. זה פילג לגמרי.</w:t>
      </w:r>
    </w:p>
    <w:p w:rsidR="00BB59CD" w:rsidRDefault="00BB59CD" w:rsidP="00BB59CD">
      <w:pPr>
        <w:rPr>
          <w:rtl/>
        </w:rPr>
      </w:pPr>
    </w:p>
    <w:p w:rsidR="00BB59CD" w:rsidRDefault="00BB59CD" w:rsidP="00BB59CD">
      <w:pPr>
        <w:pStyle w:val="af8"/>
        <w:keepNext/>
        <w:rPr>
          <w:rtl/>
        </w:rPr>
      </w:pPr>
      <w:bookmarkStart w:id="58913" w:name="ET_interruption_6429_3"/>
      <w:r>
        <w:rPr>
          <w:rStyle w:val="TagStyle"/>
          <w:rFonts w:hint="cs"/>
          <w:rtl/>
        </w:rPr>
        <w:t xml:space="preserve"> &lt;&lt; קריאה &gt;&gt; </w:t>
      </w:r>
      <w:r>
        <w:rPr>
          <w:rFonts w:hint="cs"/>
          <w:rtl/>
        </w:rPr>
        <w:t>שר הכלכלה והתעשייה ניר ברקת:</w:t>
      </w:r>
      <w:r>
        <w:rPr>
          <w:rStyle w:val="TagStyle"/>
          <w:rtl/>
        </w:rPr>
        <w:t xml:space="preserve"> &lt;&lt; קריאה &gt;&gt;</w:t>
      </w:r>
      <w:r>
        <w:rPr>
          <w:rFonts w:hint="cs"/>
          <w:rtl/>
        </w:rPr>
        <w:t xml:space="preserve">   </w:t>
      </w:r>
      <w:bookmarkEnd w:id="58913"/>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כאילו אין אפור באמצע. </w:t>
      </w:r>
    </w:p>
    <w:p w:rsidR="00BB59CD" w:rsidRDefault="00BB59CD" w:rsidP="00337201">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914" w:name="_ETM_Q110_515000"/>
      <w:bookmarkEnd w:id="58914"/>
      <w:r>
        <w:rPr>
          <w:rFonts w:hint="cs"/>
          <w:rtl/>
          <w:lang w:eastAsia="he-IL"/>
        </w:rPr>
        <w:t xml:space="preserve">אין אפור באמצע, לא יכול גם וגם, שזה </w:t>
      </w:r>
      <w:bookmarkStart w:id="58915" w:name="_ETM_Q110_521000"/>
      <w:bookmarkEnd w:id="58915"/>
      <w:r>
        <w:rPr>
          <w:rFonts w:hint="cs"/>
          <w:rtl/>
          <w:lang w:eastAsia="he-IL"/>
        </w:rPr>
        <w:t>חבל.</w:t>
      </w:r>
    </w:p>
    <w:p w:rsidR="00BB59CD" w:rsidRDefault="00BB59CD" w:rsidP="00BB59CD">
      <w:pPr>
        <w:rPr>
          <w:rtl/>
          <w:lang w:eastAsia="he-IL"/>
        </w:rPr>
      </w:pPr>
    </w:p>
    <w:p w:rsidR="00BB59CD" w:rsidRDefault="00BB59CD" w:rsidP="00BB59CD">
      <w:pPr>
        <w:pStyle w:val="-"/>
        <w:keepNext/>
        <w:rPr>
          <w:rtl/>
        </w:rPr>
      </w:pPr>
      <w:bookmarkStart w:id="58916" w:name="ET_speakercontinue_5803_4"/>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916"/>
    </w:p>
    <w:p w:rsidR="00BB59CD" w:rsidRDefault="00BB59CD" w:rsidP="00337201">
      <w:pPr>
        <w:rPr>
          <w:rtl/>
          <w:lang w:eastAsia="he-IL"/>
        </w:rPr>
      </w:pPr>
    </w:p>
    <w:p w:rsidR="00BB59CD" w:rsidRDefault="00BB59CD" w:rsidP="00BB59CD">
      <w:pPr>
        <w:rPr>
          <w:rtl/>
          <w:lang w:eastAsia="he-IL"/>
        </w:rPr>
      </w:pPr>
      <w:bookmarkStart w:id="58917" w:name="_ETM_Q110_522000"/>
      <w:bookmarkEnd w:id="58917"/>
      <w:r>
        <w:rPr>
          <w:rFonts w:hint="cs"/>
          <w:rtl/>
          <w:lang w:eastAsia="he-IL"/>
        </w:rPr>
        <w:t>אני חושב שהשיח הגדול פה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שלום, השר ביטון. צריך </w:t>
      </w:r>
      <w:bookmarkStart w:id="58918" w:name="_ETM_Q110_526000"/>
      <w:bookmarkEnd w:id="58918"/>
      <w:r>
        <w:rPr>
          <w:rFonts w:hint="cs"/>
          <w:rtl/>
          <w:lang w:eastAsia="he-IL"/>
        </w:rPr>
        <w:t>להנציח את הרגעים הללו, שבאמצע הלילה הגעת למשמרת.</w:t>
      </w:r>
    </w:p>
    <w:p w:rsidR="00BB59CD" w:rsidRDefault="00BB59CD" w:rsidP="00BB59CD">
      <w:pPr>
        <w:rPr>
          <w:rtl/>
          <w:lang w:eastAsia="he-IL"/>
        </w:rPr>
      </w:pPr>
    </w:p>
    <w:p w:rsidR="00BB59CD" w:rsidRDefault="00BB59CD" w:rsidP="00BB59CD">
      <w:pPr>
        <w:pStyle w:val="-"/>
        <w:keepNext/>
        <w:rPr>
          <w:rtl/>
        </w:rPr>
      </w:pPr>
      <w:bookmarkStart w:id="58919" w:name="ET_speakercontinue_5803_6"/>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919"/>
    </w:p>
    <w:p w:rsidR="00BB59CD" w:rsidRDefault="00BB59CD" w:rsidP="00337201">
      <w:pPr>
        <w:rPr>
          <w:rtl/>
          <w:lang w:eastAsia="he-IL"/>
        </w:rPr>
      </w:pPr>
    </w:p>
    <w:p w:rsidR="00BB59CD" w:rsidRDefault="00BB59CD" w:rsidP="00BB59CD">
      <w:pPr>
        <w:rPr>
          <w:rtl/>
          <w:lang w:eastAsia="he-IL"/>
        </w:rPr>
      </w:pPr>
      <w:bookmarkStart w:id="58920" w:name="_ETM_Q110_532000"/>
      <w:bookmarkEnd w:id="58920"/>
      <w:r>
        <w:rPr>
          <w:rFonts w:hint="cs"/>
          <w:rtl/>
          <w:lang w:eastAsia="he-IL"/>
        </w:rPr>
        <w:t xml:space="preserve">הוא נורבגי? אני רוצה </w:t>
      </w:r>
      <w:bookmarkStart w:id="58921" w:name="_ETM_Q110_534000"/>
      <w:bookmarkEnd w:id="58921"/>
      <w:r>
        <w:rPr>
          <w:rFonts w:hint="cs"/>
          <w:rtl/>
          <w:lang w:eastAsia="he-IL"/>
        </w:rPr>
        <w:t>לומר שמבחינתי, היושב-ראש והשר ברקת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922" w:name="_ETM_Q110_541000"/>
      <w:bookmarkEnd w:id="58922"/>
      <w:r>
        <w:rPr>
          <w:rFonts w:hint="cs"/>
          <w:rtl/>
          <w:lang w:eastAsia="he-IL"/>
        </w:rPr>
        <w:t xml:space="preserve">וזה כואב. אתה </w:t>
      </w:r>
      <w:bookmarkStart w:id="58923" w:name="_ETM_Q110_539000"/>
      <w:bookmarkEnd w:id="58923"/>
      <w:r>
        <w:rPr>
          <w:rFonts w:hint="cs"/>
          <w:rtl/>
          <w:lang w:eastAsia="he-IL"/>
        </w:rPr>
        <w:t xml:space="preserve">יודע, לכולם יש חברים, ופתאום אם אתה כאן, אתה </w:t>
      </w:r>
      <w:bookmarkStart w:id="58924" w:name="_ETM_Q110_544000"/>
      <w:bookmarkEnd w:id="58924"/>
      <w:r>
        <w:rPr>
          <w:rFonts w:hint="cs"/>
          <w:rtl/>
          <w:lang w:eastAsia="he-IL"/>
        </w:rPr>
        <w:t xml:space="preserve">תומך בדיקטטורה, ואם אתה כאן – פתאום אין באמצע. חבר'ה, אפשר </w:t>
      </w:r>
      <w:bookmarkStart w:id="58925" w:name="_ETM_Q110_547000"/>
      <w:bookmarkEnd w:id="58925"/>
      <w:r>
        <w:rPr>
          <w:rFonts w:hint="cs"/>
          <w:rtl/>
          <w:lang w:eastAsia="he-IL"/>
        </w:rPr>
        <w:t xml:space="preserve">גם וגם. אתה אמרת שגדלת בבית שבו יכולת לקבל גם את </w:t>
      </w:r>
      <w:bookmarkStart w:id="58926" w:name="_ETM_Q110_548000"/>
      <w:bookmarkEnd w:id="58926"/>
      <w:r>
        <w:rPr>
          <w:rFonts w:hint="cs"/>
          <w:rtl/>
          <w:lang w:eastAsia="he-IL"/>
        </w:rPr>
        <w:t xml:space="preserve">זה וגם את זה. בהרבה בתים היה ימין והיה שמאל </w:t>
      </w:r>
      <w:bookmarkStart w:id="58927" w:name="_ETM_Q110_553000"/>
      <w:bookmarkEnd w:id="58927"/>
      <w:r>
        <w:rPr>
          <w:rFonts w:hint="cs"/>
          <w:rtl/>
          <w:lang w:eastAsia="he-IL"/>
        </w:rPr>
        <w:t>והיה באמצע, ופתאום המחאות הללו פילגו לגמרי.</w:t>
      </w:r>
    </w:p>
    <w:p w:rsidR="00BB59CD" w:rsidRDefault="00BB59CD" w:rsidP="00BB59CD">
      <w:pPr>
        <w:rPr>
          <w:rtl/>
          <w:lang w:eastAsia="he-IL"/>
        </w:rPr>
      </w:pPr>
    </w:p>
    <w:p w:rsidR="00BB59CD" w:rsidRDefault="00BB59CD" w:rsidP="00BB59CD">
      <w:pPr>
        <w:pStyle w:val="-"/>
        <w:keepNext/>
        <w:rPr>
          <w:rtl/>
        </w:rPr>
      </w:pPr>
      <w:bookmarkStart w:id="58928" w:name="ET_speakercontinue_5803_8"/>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928"/>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ואם אנחנו לא נצא </w:t>
      </w:r>
      <w:bookmarkStart w:id="58929" w:name="_ETM_Q110_559000"/>
      <w:bookmarkEnd w:id="58929"/>
      <w:r>
        <w:rPr>
          <w:rFonts w:hint="cs"/>
          <w:rtl/>
          <w:lang w:eastAsia="he-IL"/>
        </w:rPr>
        <w:t xml:space="preserve">בדבר הזה, אם הדבר הזה – ובאמת המחאה האדירה, שלא כולם </w:t>
      </w:r>
      <w:bookmarkStart w:id="58930" w:name="_ETM_Q110_566000"/>
      <w:bookmarkEnd w:id="58930"/>
      <w:r>
        <w:rPr>
          <w:rFonts w:hint="cs"/>
          <w:rtl/>
          <w:lang w:eastAsia="he-IL"/>
        </w:rPr>
        <w:t>פה בבית מסכימים על זה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4C06A1">
      <w:pPr>
        <w:rPr>
          <w:rtl/>
          <w:lang w:eastAsia="he-IL"/>
        </w:rPr>
      </w:pPr>
      <w:bookmarkStart w:id="58931" w:name="_ETM_Q110_569000"/>
      <w:bookmarkEnd w:id="58931"/>
      <w:r>
        <w:rPr>
          <w:rFonts w:hint="cs"/>
          <w:rtl/>
          <w:lang w:eastAsia="he-IL"/>
        </w:rPr>
        <w:t xml:space="preserve">הערב אחד הדברים שחיממו </w:t>
      </w:r>
      <w:bookmarkStart w:id="58932" w:name="_ETM_Q110_571000"/>
      <w:bookmarkEnd w:id="58932"/>
      <w:r>
        <w:rPr>
          <w:rFonts w:hint="cs"/>
          <w:rtl/>
          <w:lang w:eastAsia="he-IL"/>
        </w:rPr>
        <w:t xml:space="preserve">את הלב הוא שקיבלנו תמונות מהנסיעות ברכבות הלוך, חזור, ובדרך וראית </w:t>
      </w:r>
      <w:bookmarkStart w:id="58933" w:name="_ETM_Q110_576000"/>
      <w:bookmarkEnd w:id="58933"/>
      <w:r>
        <w:rPr>
          <w:rFonts w:hint="cs"/>
          <w:rtl/>
          <w:lang w:eastAsia="he-IL"/>
        </w:rPr>
        <w:t xml:space="preserve">את אלה שבאים ואלה שחוזרים ולחצו ידיים ומתחבקים </w:t>
      </w:r>
      <w:bookmarkStart w:id="58934" w:name="_ETM_Q110_580000"/>
      <w:bookmarkEnd w:id="58934"/>
      <w:r>
        <w:rPr>
          <w:rFonts w:hint="cs"/>
          <w:rtl/>
          <w:lang w:eastAsia="he-IL"/>
        </w:rPr>
        <w:t>ומנהלים שיח – אפשר לנהל שיח, אפשר לנהל שיח.</w:t>
      </w:r>
    </w:p>
    <w:p w:rsidR="00BB59CD" w:rsidRDefault="00BB59CD" w:rsidP="00BB59CD">
      <w:pPr>
        <w:rPr>
          <w:rtl/>
          <w:lang w:eastAsia="he-IL"/>
        </w:rPr>
      </w:pPr>
    </w:p>
    <w:p w:rsidR="00BB59CD" w:rsidRDefault="00BB59CD" w:rsidP="00BB59CD">
      <w:pPr>
        <w:pStyle w:val="-"/>
        <w:keepNext/>
        <w:rPr>
          <w:rtl/>
        </w:rPr>
      </w:pPr>
      <w:bookmarkStart w:id="58935" w:name="ET_speakercontinue_5803_10"/>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935"/>
    </w:p>
    <w:p w:rsidR="00BB59CD" w:rsidRDefault="00BB59CD" w:rsidP="00337201">
      <w:pPr>
        <w:rPr>
          <w:rtl/>
          <w:lang w:eastAsia="he-IL"/>
        </w:rPr>
      </w:pPr>
    </w:p>
    <w:p w:rsidR="00BB59CD" w:rsidRDefault="00BB59CD" w:rsidP="00BB59CD">
      <w:pPr>
        <w:rPr>
          <w:rtl/>
          <w:lang w:eastAsia="he-IL"/>
        </w:rPr>
      </w:pPr>
      <w:bookmarkStart w:id="58936" w:name="_ETM_Q110_581000"/>
      <w:bookmarkEnd w:id="58936"/>
      <w:r>
        <w:rPr>
          <w:rFonts w:hint="cs"/>
          <w:rtl/>
          <w:lang w:eastAsia="he-IL"/>
        </w:rPr>
        <w:t xml:space="preserve">אפשר </w:t>
      </w:r>
      <w:bookmarkStart w:id="58937" w:name="_ETM_Q110_582000"/>
      <w:bookmarkEnd w:id="58937"/>
      <w:r>
        <w:rPr>
          <w:rFonts w:hint="cs"/>
          <w:rtl/>
          <w:lang w:eastAsia="he-IL"/>
        </w:rPr>
        <w:t xml:space="preserve">לנהל שיח, אבל צריך לזכור שהשבר הגדול הזה מגיע מממשלה </w:t>
      </w:r>
      <w:bookmarkStart w:id="58938" w:name="_ETM_Q110_584000"/>
      <w:bookmarkEnd w:id="58938"/>
      <w:r>
        <w:rPr>
          <w:rFonts w:hint="cs"/>
          <w:rtl/>
          <w:lang w:eastAsia="he-IL"/>
        </w:rPr>
        <w:t xml:space="preserve">שאמרה: יש לנו כוח, אז אנחנו עושים את זה </w:t>
      </w:r>
      <w:bookmarkStart w:id="58939" w:name="_ETM_Q110_590000"/>
      <w:bookmarkEnd w:id="58939"/>
      <w:r>
        <w:rPr>
          <w:rFonts w:hint="cs"/>
          <w:rtl/>
          <w:lang w:eastAsia="he-IL"/>
        </w:rPr>
        <w:t xml:space="preserve">בלי חשבון. יצאו להפיכה נרחבת, הפחידו עם שלם, לא כיבדו </w:t>
      </w:r>
      <w:bookmarkStart w:id="58940" w:name="_ETM_Q110_597000"/>
      <w:bookmarkEnd w:id="58940"/>
      <w:r>
        <w:rPr>
          <w:rFonts w:hint="cs"/>
          <w:rtl/>
          <w:lang w:eastAsia="he-IL"/>
        </w:rPr>
        <w:t xml:space="preserve">לרגע את העובדה שלמרות הקלפי אפשר לבוא ולדבר עם אנשים </w:t>
      </w:r>
      <w:bookmarkStart w:id="58941" w:name="_ETM_Q110_600000"/>
      <w:bookmarkEnd w:id="58941"/>
      <w:r>
        <w:rPr>
          <w:rFonts w:hint="cs"/>
          <w:rtl/>
          <w:lang w:eastAsia="he-IL"/>
        </w:rPr>
        <w:t>ולחבר אותם לרעיון.</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58942" w:name="_ETM_Q110_601000"/>
      <w:bookmarkEnd w:id="58942"/>
      <w:r>
        <w:rPr>
          <w:rFonts w:hint="cs"/>
          <w:rtl/>
          <w:lang w:eastAsia="he-IL"/>
        </w:rPr>
        <w:t xml:space="preserve">אפשר להגיד משהו? אני חושב שיכול להיות שצדקת </w:t>
      </w:r>
      <w:bookmarkStart w:id="58943" w:name="_ETM_Q110_605000"/>
      <w:bookmarkEnd w:id="58943"/>
      <w:r>
        <w:rPr>
          <w:rFonts w:hint="cs"/>
          <w:rtl/>
          <w:lang w:eastAsia="he-IL"/>
        </w:rPr>
        <w:t xml:space="preserve">בחלק הראשון, שדיברו אנשים מהוועדה וכו', והממשלה לקחה "פוס", </w:t>
      </w:r>
      <w:bookmarkStart w:id="58944" w:name="_ETM_Q110_610000"/>
      <w:bookmarkEnd w:id="58944"/>
      <w:r>
        <w:rPr>
          <w:rFonts w:hint="cs"/>
          <w:rtl/>
          <w:lang w:eastAsia="he-IL"/>
        </w:rPr>
        <w:t xml:space="preserve">הלכה קצת אחורה. אני חושב שציפינו שבסוף יהיה שיח, שבסוף </w:t>
      </w:r>
      <w:bookmarkStart w:id="58945" w:name="_ETM_Q110_614000"/>
      <w:bookmarkEnd w:id="58945"/>
      <w:r>
        <w:rPr>
          <w:rFonts w:hint="cs"/>
          <w:rtl/>
          <w:lang w:eastAsia="he-IL"/>
        </w:rPr>
        <w:t xml:space="preserve">זה לא קץ הדמוקרטיה, ואז בכל פרק שאתה מתקרב אליו, עוד </w:t>
      </w:r>
      <w:bookmarkStart w:id="58946" w:name="_ETM_Q110_620000"/>
      <w:bookmarkEnd w:id="58946"/>
      <w:r>
        <w:rPr>
          <w:rFonts w:hint="cs"/>
          <w:rtl/>
          <w:lang w:eastAsia="he-IL"/>
        </w:rPr>
        <w:t>פעם הכול צף מחדש. אז אני חושב שבחלק הזה אי-אפשר להאשים רק צד אחד.</w:t>
      </w:r>
    </w:p>
    <w:p w:rsidR="00BB59CD" w:rsidRDefault="00BB59CD" w:rsidP="00BB59CD">
      <w:pPr>
        <w:rPr>
          <w:rtl/>
          <w:lang w:eastAsia="he-IL"/>
        </w:rPr>
      </w:pPr>
    </w:p>
    <w:p w:rsidR="00BB59CD" w:rsidRDefault="00BB59CD" w:rsidP="00BB59CD">
      <w:pPr>
        <w:pStyle w:val="-"/>
        <w:keepNext/>
        <w:rPr>
          <w:rtl/>
        </w:rPr>
      </w:pPr>
      <w:bookmarkStart w:id="58947" w:name="ET_speakercontinue_5803_12"/>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8947"/>
    </w:p>
    <w:p w:rsidR="00BB59CD" w:rsidRDefault="00BB59CD" w:rsidP="00337201">
      <w:pPr>
        <w:rPr>
          <w:rtl/>
          <w:lang w:eastAsia="he-IL"/>
        </w:rPr>
      </w:pPr>
    </w:p>
    <w:p w:rsidR="00BB59CD" w:rsidRDefault="00BB59CD" w:rsidP="004C06A1">
      <w:pPr>
        <w:rPr>
          <w:rtl/>
          <w:lang w:eastAsia="he-IL"/>
        </w:rPr>
      </w:pPr>
      <w:bookmarkStart w:id="58948" w:name="_ETM_Q110_622000"/>
      <w:bookmarkEnd w:id="58948"/>
      <w:r>
        <w:rPr>
          <w:rFonts w:hint="cs"/>
          <w:rtl/>
          <w:lang w:eastAsia="he-IL"/>
        </w:rPr>
        <w:t xml:space="preserve">אני חושב שיש גורמים בממשלה שאולי רצו באמת בפשרה, ויש גורמים – </w:t>
      </w:r>
      <w:bookmarkStart w:id="58949" w:name="_ETM_Q110_628000"/>
      <w:bookmarkEnd w:id="58949"/>
      <w:r>
        <w:rPr>
          <w:rFonts w:hint="cs"/>
          <w:rtl/>
          <w:lang w:eastAsia="he-IL"/>
        </w:rPr>
        <w:t>וזה דיסטל וזה קרעי וזה בן גביר, וזה הרבה אנשים</w:t>
      </w:r>
      <w:bookmarkStart w:id="58950" w:name="_ETM_Q110_635000"/>
      <w:bookmarkEnd w:id="58950"/>
      <w:r>
        <w:rPr>
          <w:rFonts w:hint="cs"/>
          <w:rtl/>
          <w:lang w:eastAsia="he-IL"/>
        </w:rPr>
        <w:t xml:space="preserve">, </w:t>
      </w:r>
      <w:r w:rsidR="004C06A1">
        <w:rPr>
          <w:rFonts w:hint="cs"/>
          <w:rtl/>
          <w:lang w:eastAsia="he-IL"/>
        </w:rPr>
        <w:t>ש</w:t>
      </w:r>
      <w:r>
        <w:rPr>
          <w:rFonts w:hint="cs"/>
          <w:rtl/>
          <w:lang w:eastAsia="he-IL"/>
        </w:rPr>
        <w:t xml:space="preserve">בכל פעם מישהו ניסה למצוא איזשהו מרפא לפצע בעם </w:t>
      </w:r>
      <w:bookmarkStart w:id="58951" w:name="_ETM_Q110_641000"/>
      <w:bookmarkEnd w:id="58951"/>
      <w:r>
        <w:rPr>
          <w:rFonts w:hint="cs"/>
          <w:rtl/>
          <w:lang w:eastAsia="he-IL"/>
        </w:rPr>
        <w:t xml:space="preserve">באו וזרקו אמירות מזעזעות והדליקו את החרדה של האנשים, הפחידו </w:t>
      </w:r>
      <w:bookmarkStart w:id="58952" w:name="_ETM_Q110_648000"/>
      <w:bookmarkEnd w:id="58952"/>
      <w:r>
        <w:rPr>
          <w:rFonts w:hint="cs"/>
          <w:rtl/>
          <w:lang w:eastAsia="he-IL"/>
        </w:rPr>
        <w:t>את האנשים, בין אם זה לדבר על זה שרק התחלנו</w:t>
      </w:r>
      <w:r w:rsidR="004C06A1">
        <w:rPr>
          <w:rFonts w:hint="cs"/>
          <w:rtl/>
          <w:lang w:eastAsia="he-IL"/>
        </w:rPr>
        <w:t>,</w:t>
      </w:r>
      <w:r>
        <w:rPr>
          <w:rFonts w:hint="cs"/>
          <w:rtl/>
          <w:lang w:eastAsia="he-IL"/>
        </w:rPr>
        <w:t xml:space="preserve"> </w:t>
      </w:r>
      <w:bookmarkStart w:id="58953" w:name="_ETM_Q110_650000"/>
      <w:bookmarkEnd w:id="58953"/>
      <w:r>
        <w:rPr>
          <w:rFonts w:hint="cs"/>
          <w:rtl/>
          <w:lang w:eastAsia="he-IL"/>
        </w:rPr>
        <w:t xml:space="preserve">שיטת </w:t>
      </w:r>
      <w:r w:rsidR="004C06A1">
        <w:rPr>
          <w:rFonts w:hint="cs"/>
          <w:rtl/>
          <w:lang w:eastAsia="he-IL"/>
        </w:rPr>
        <w:t>ה</w:t>
      </w:r>
      <w:r>
        <w:rPr>
          <w:rFonts w:hint="cs"/>
          <w:rtl/>
          <w:lang w:eastAsia="he-IL"/>
        </w:rPr>
        <w:t>סלמי</w:t>
      </w:r>
      <w:r w:rsidR="004C06A1">
        <w:rPr>
          <w:rFonts w:hint="cs"/>
          <w:rtl/>
          <w:lang w:eastAsia="he-IL"/>
        </w:rPr>
        <w:t>,</w:t>
      </w:r>
      <w:r>
        <w:rPr>
          <w:rFonts w:hint="cs"/>
          <w:rtl/>
          <w:lang w:eastAsia="he-IL"/>
        </w:rPr>
        <w:t xml:space="preserve"> או שבר הסלטים נפתח. זה בדיוק העניין של הממשלה הזאת</w:t>
      </w:r>
      <w:r w:rsidR="004C06A1">
        <w:rPr>
          <w:rFonts w:hint="cs"/>
          <w:rtl/>
          <w:lang w:eastAsia="he-IL"/>
        </w:rPr>
        <w:t>.</w:t>
      </w:r>
      <w:r>
        <w:rPr>
          <w:rFonts w:hint="cs"/>
          <w:rtl/>
          <w:lang w:eastAsia="he-IL"/>
        </w:rPr>
        <w:t xml:space="preserve"> לא כולם רעים פה, אבל יש פה </w:t>
      </w:r>
      <w:bookmarkStart w:id="58954" w:name="_ETM_Q110_655000"/>
      <w:bookmarkEnd w:id="58954"/>
      <w:r>
        <w:rPr>
          <w:rFonts w:hint="cs"/>
          <w:rtl/>
          <w:lang w:eastAsia="he-IL"/>
        </w:rPr>
        <w:t>ממשלה שהדנ"א שלה הוא דנ"א</w:t>
      </w:r>
      <w:r>
        <w:rPr>
          <w:rFonts w:hint="cs"/>
          <w:lang w:eastAsia="he-IL"/>
        </w:rPr>
        <w:t xml:space="preserve"> </w:t>
      </w:r>
      <w:r>
        <w:rPr>
          <w:rFonts w:hint="cs"/>
          <w:rtl/>
          <w:lang w:eastAsia="he-IL"/>
        </w:rPr>
        <w:t xml:space="preserve">של מדון, והצליחו </w:t>
      </w:r>
      <w:bookmarkStart w:id="58955" w:name="_ETM_Q110_662000"/>
      <w:bookmarkEnd w:id="58955"/>
      <w:r>
        <w:rPr>
          <w:rFonts w:hint="cs"/>
          <w:rtl/>
          <w:lang w:eastAsia="he-IL"/>
        </w:rPr>
        <w:t>לייצר אצל אנשים שהיו פה תמיד</w:t>
      </w:r>
      <w:r w:rsidR="004C06A1">
        <w:rPr>
          <w:rFonts w:hint="cs"/>
          <w:rtl/>
          <w:lang w:eastAsia="he-IL"/>
        </w:rPr>
        <w:t>, ו</w:t>
      </w:r>
      <w:r>
        <w:rPr>
          <w:rFonts w:hint="cs"/>
          <w:rtl/>
          <w:lang w:eastAsia="he-IL"/>
        </w:rPr>
        <w:t xml:space="preserve">גם כשזה נגד את </w:t>
      </w:r>
      <w:bookmarkStart w:id="58956" w:name="_ETM_Q110_665000"/>
      <w:bookmarkEnd w:id="58956"/>
      <w:r>
        <w:rPr>
          <w:rFonts w:hint="cs"/>
          <w:rtl/>
          <w:lang w:eastAsia="he-IL"/>
        </w:rPr>
        <w:t xml:space="preserve">האידיאולוגיה שלהם הם שירתו, וגם כשהממשלות שהיו פה נגדו את </w:t>
      </w:r>
      <w:bookmarkStart w:id="58957" w:name="_ETM_Q110_672000"/>
      <w:bookmarkEnd w:id="58957"/>
      <w:r>
        <w:rPr>
          <w:rFonts w:hint="cs"/>
          <w:rtl/>
          <w:lang w:eastAsia="he-IL"/>
        </w:rPr>
        <w:t xml:space="preserve">כל מה שהם מאמינים בו, הם לא יצאו להפגין – ייצרו </w:t>
      </w:r>
      <w:bookmarkStart w:id="58958" w:name="_ETM_Q110_673000"/>
      <w:bookmarkEnd w:id="58958"/>
      <w:r>
        <w:rPr>
          <w:rFonts w:hint="cs"/>
          <w:rtl/>
          <w:lang w:eastAsia="he-IL"/>
        </w:rPr>
        <w:t>אצלם את ההבנה שמנסים לשנות את המציאות.</w:t>
      </w:r>
    </w:p>
    <w:p w:rsidR="00BB59CD" w:rsidRDefault="00BB59CD" w:rsidP="00BB59CD">
      <w:pPr>
        <w:rPr>
          <w:rtl/>
          <w:lang w:eastAsia="he-IL"/>
        </w:rPr>
      </w:pPr>
    </w:p>
    <w:p w:rsidR="00BB59CD" w:rsidRDefault="00BB59CD" w:rsidP="004C06A1">
      <w:pPr>
        <w:rPr>
          <w:rtl/>
          <w:lang w:eastAsia="he-IL"/>
        </w:rPr>
      </w:pPr>
      <w:bookmarkStart w:id="58959" w:name="_ETM_Q110_678000"/>
      <w:bookmarkEnd w:id="58959"/>
      <w:r>
        <w:rPr>
          <w:rFonts w:hint="cs"/>
          <w:rtl/>
          <w:lang w:eastAsia="he-IL"/>
        </w:rPr>
        <w:t>אדוני היושב-ראש, אני חושב</w:t>
      </w:r>
      <w:bookmarkStart w:id="58960" w:name="_ETM_Q110_679000"/>
      <w:bookmarkEnd w:id="58960"/>
      <w:r>
        <w:rPr>
          <w:rFonts w:hint="cs"/>
          <w:rtl/>
          <w:lang w:eastAsia="he-IL"/>
        </w:rPr>
        <w:t xml:space="preserve"> שמה שקורה פה – אם אנחנו רוצים למצוא את </w:t>
      </w:r>
      <w:bookmarkStart w:id="58961" w:name="_ETM_Q110_683000"/>
      <w:bookmarkEnd w:id="58961"/>
      <w:r>
        <w:rPr>
          <w:rFonts w:hint="cs"/>
          <w:rtl/>
          <w:lang w:eastAsia="he-IL"/>
        </w:rPr>
        <w:t xml:space="preserve">עצמנו בנקודה טובה יותר ובצמיחה לעוד 75 שנה ויותר, אנחנו </w:t>
      </w:r>
      <w:bookmarkStart w:id="58962" w:name="_ETM_Q110_686000"/>
      <w:bookmarkEnd w:id="58962"/>
      <w:r>
        <w:rPr>
          <w:rFonts w:hint="cs"/>
          <w:rtl/>
          <w:lang w:eastAsia="he-IL"/>
        </w:rPr>
        <w:t xml:space="preserve">צריכים פה באמת חוקה. אנחנו צריכים להסדיר דברים שמדבר עליהם </w:t>
      </w:r>
      <w:bookmarkStart w:id="58963" w:name="_ETM_Q110_690000"/>
      <w:bookmarkEnd w:id="58963"/>
      <w:r w:rsidR="004C06A1">
        <w:rPr>
          <w:rFonts w:hint="cs"/>
          <w:rtl/>
          <w:lang w:eastAsia="he-IL"/>
        </w:rPr>
        <w:t>גם השופט חיים כהן, אבל</w:t>
      </w:r>
      <w:r>
        <w:rPr>
          <w:rFonts w:hint="cs"/>
          <w:rtl/>
          <w:lang w:eastAsia="he-IL"/>
        </w:rPr>
        <w:t xml:space="preserve"> מדברים עליהם עוד בהחלטת </w:t>
      </w:r>
      <w:bookmarkStart w:id="58964" w:name="_ETM_Q110_693000"/>
      <w:bookmarkEnd w:id="58964"/>
      <w:r>
        <w:rPr>
          <w:rFonts w:hint="cs"/>
          <w:rtl/>
          <w:lang w:eastAsia="he-IL"/>
        </w:rPr>
        <w:t>הררי, ומדברים עליהם מקום המדינה. אי-אפשר לעשות יותר פלס</w:t>
      </w:r>
      <w:bookmarkStart w:id="58965" w:name="_ETM_Q110_698000"/>
      <w:bookmarkEnd w:id="58965"/>
      <w:r>
        <w:rPr>
          <w:rFonts w:hint="cs"/>
          <w:rtl/>
          <w:lang w:eastAsia="he-IL"/>
        </w:rPr>
        <w:t xml:space="preserve">טרים. זה גם גדול מכל ההפיכה המשטרית הזאת, זה הצורך </w:t>
      </w:r>
      <w:bookmarkStart w:id="58966" w:name="_ETM_Q110_705000"/>
      <w:bookmarkEnd w:id="58966"/>
      <w:r>
        <w:rPr>
          <w:rFonts w:hint="cs"/>
          <w:rtl/>
          <w:lang w:eastAsia="he-IL"/>
        </w:rPr>
        <w:t xml:space="preserve">של אנשים בכללי משחק לחיים משותפים כאן ביחד. אי-אפשר </w:t>
      </w:r>
      <w:bookmarkStart w:id="58967" w:name="_ETM_Q110_711000"/>
      <w:bookmarkEnd w:id="58967"/>
      <w:r>
        <w:rPr>
          <w:rFonts w:hint="cs"/>
          <w:rtl/>
          <w:lang w:eastAsia="he-IL"/>
        </w:rPr>
        <w:t>לעשות ישראבלוף ולטאטא את הבעיות האלה</w:t>
      </w:r>
      <w:r w:rsidR="004C06A1">
        <w:rPr>
          <w:rFonts w:hint="cs"/>
          <w:rtl/>
          <w:lang w:eastAsia="he-IL"/>
        </w:rPr>
        <w:t>,</w:t>
      </w:r>
      <w:r>
        <w:rPr>
          <w:rFonts w:hint="cs"/>
          <w:rtl/>
          <w:lang w:eastAsia="he-IL"/>
        </w:rPr>
        <w:t xml:space="preserve"> שחוזרות וצצות. אנשים צריכים </w:t>
      </w:r>
      <w:bookmarkStart w:id="58968" w:name="_ETM_Q110_712000"/>
      <w:bookmarkEnd w:id="58968"/>
      <w:r>
        <w:rPr>
          <w:rFonts w:hint="cs"/>
          <w:rtl/>
          <w:lang w:eastAsia="he-IL"/>
        </w:rPr>
        <w:t xml:space="preserve">לדעת שהמדינה הזאת תישאר דמוקרטית וליברלית, לא משנה איך היא </w:t>
      </w:r>
      <w:bookmarkStart w:id="58969" w:name="_ETM_Q110_718000"/>
      <w:bookmarkEnd w:id="58969"/>
      <w:r>
        <w:rPr>
          <w:rFonts w:hint="cs"/>
          <w:rtl/>
          <w:lang w:eastAsia="he-IL"/>
        </w:rPr>
        <w:t xml:space="preserve">תהיה; אנשים צריכים לדעת שמי שלא יהיה בשלטון, יש מגבלות </w:t>
      </w:r>
      <w:bookmarkStart w:id="58970" w:name="_ETM_Q110_721000"/>
      <w:bookmarkEnd w:id="58970"/>
      <w:r>
        <w:rPr>
          <w:rFonts w:hint="cs"/>
          <w:rtl/>
          <w:lang w:eastAsia="he-IL"/>
        </w:rPr>
        <w:t>לכוח שלו. הדמו</w:t>
      </w:r>
      <w:r w:rsidR="004C06A1">
        <w:rPr>
          <w:rFonts w:hint="cs"/>
          <w:rtl/>
          <w:lang w:eastAsia="he-IL"/>
        </w:rPr>
        <w:t xml:space="preserve">קרטיה שלנו צריכה להתבגר ולהתבצר. </w:t>
      </w:r>
      <w:r>
        <w:rPr>
          <w:rFonts w:hint="cs"/>
          <w:rtl/>
          <w:lang w:eastAsia="he-IL"/>
        </w:rPr>
        <w:t xml:space="preserve">אנשים רוצים </w:t>
      </w:r>
      <w:bookmarkStart w:id="58971" w:name="_ETM_Q110_727000"/>
      <w:bookmarkEnd w:id="58971"/>
      <w:r>
        <w:rPr>
          <w:rFonts w:hint="cs"/>
          <w:rtl/>
          <w:lang w:eastAsia="he-IL"/>
        </w:rPr>
        <w:t xml:space="preserve">ודאות, אנשים רוצים עתיד. אנשים רוצים לדעת שלצד זה </w:t>
      </w:r>
      <w:bookmarkStart w:id="58972" w:name="_ETM_Q110_730000"/>
      <w:bookmarkEnd w:id="58972"/>
      <w:r>
        <w:rPr>
          <w:rFonts w:hint="cs"/>
          <w:rtl/>
          <w:lang w:eastAsia="he-IL"/>
        </w:rPr>
        <w:t xml:space="preserve">שהם בוחרים ומאמינים בכל ליבם שמדינה יהודית היא נס ורק </w:t>
      </w:r>
      <w:bookmarkStart w:id="58973" w:name="_ETM_Q110_737000"/>
      <w:bookmarkEnd w:id="58973"/>
      <w:r>
        <w:rPr>
          <w:rFonts w:hint="cs"/>
          <w:rtl/>
          <w:lang w:eastAsia="he-IL"/>
        </w:rPr>
        <w:t xml:space="preserve">פה הם רוצים לחיות, הם עדיין תמיד יוכלו להרגיש אזרחים </w:t>
      </w:r>
      <w:bookmarkStart w:id="58974" w:name="_ETM_Q110_740000"/>
      <w:bookmarkEnd w:id="58974"/>
      <w:r>
        <w:rPr>
          <w:rFonts w:hint="cs"/>
          <w:rtl/>
          <w:lang w:eastAsia="he-IL"/>
        </w:rPr>
        <w:t xml:space="preserve">שווים ורצויים; אנשים צריכים לדעת שאנחנו לא סתם אומרים </w:t>
      </w:r>
      <w:bookmarkStart w:id="58975" w:name="_ETM_Q110_743000"/>
      <w:bookmarkEnd w:id="58975"/>
      <w:r>
        <w:rPr>
          <w:rFonts w:hint="cs"/>
          <w:rtl/>
          <w:lang w:eastAsia="he-IL"/>
        </w:rPr>
        <w:t>בעולם – ומי כמוני מכיר את זה – שאנחנו הדמוקרטיה הליברלית היחידה</w:t>
      </w:r>
      <w:r w:rsidR="004C06A1">
        <w:rPr>
          <w:rFonts w:hint="cs"/>
          <w:rtl/>
          <w:lang w:eastAsia="he-IL"/>
        </w:rPr>
        <w:t xml:space="preserve"> במזרח התיכון, אלא </w:t>
      </w:r>
      <w:r>
        <w:rPr>
          <w:rFonts w:hint="cs"/>
          <w:rtl/>
          <w:lang w:eastAsia="he-IL"/>
        </w:rPr>
        <w:t>שנמשיך להיות כזאת.</w:t>
      </w:r>
    </w:p>
    <w:p w:rsidR="00BB59CD" w:rsidRDefault="00BB59CD" w:rsidP="00BB59CD">
      <w:pPr>
        <w:rPr>
          <w:rtl/>
          <w:lang w:eastAsia="he-IL"/>
        </w:rPr>
      </w:pPr>
    </w:p>
    <w:p w:rsidR="00BB59CD" w:rsidRDefault="00BB59CD" w:rsidP="00BB59CD">
      <w:pPr>
        <w:rPr>
          <w:rtl/>
        </w:rPr>
      </w:pPr>
      <w:bookmarkStart w:id="58976" w:name="_ETM_Q110_748000"/>
      <w:bookmarkEnd w:id="58976"/>
      <w:r>
        <w:rPr>
          <w:rFonts w:hint="cs"/>
          <w:rtl/>
          <w:lang w:eastAsia="he-IL"/>
        </w:rPr>
        <w:t xml:space="preserve">ואני צריך לדעת, כמישהו </w:t>
      </w:r>
      <w:bookmarkStart w:id="58977" w:name="_ETM_Q110_753000"/>
      <w:bookmarkEnd w:id="58977"/>
      <w:r>
        <w:rPr>
          <w:rFonts w:hint="cs"/>
          <w:rtl/>
          <w:lang w:eastAsia="he-IL"/>
        </w:rPr>
        <w:t xml:space="preserve">שייצג את ישראל בעולם ותמיד התגאה שזו המדינה היהודית, </w:t>
      </w:r>
      <w:bookmarkStart w:id="58978" w:name="_ETM_Q110_759000"/>
      <w:bookmarkEnd w:id="58978"/>
      <w:r>
        <w:rPr>
          <w:rFonts w:hint="cs"/>
          <w:rtl/>
          <w:lang w:eastAsia="he-IL"/>
        </w:rPr>
        <w:t xml:space="preserve">מדינת העם היהודי – שמדינת העם היהודי היא מדינת </w:t>
      </w:r>
      <w:bookmarkStart w:id="58979" w:name="_ETM_Q110_762000"/>
      <w:bookmarkEnd w:id="58979"/>
      <w:r>
        <w:rPr>
          <w:rFonts w:hint="cs"/>
          <w:rtl/>
          <w:lang w:eastAsia="he-IL"/>
        </w:rPr>
        <w:t xml:space="preserve">כל העם היהודי, על כל זרמיו ועל כל דרך שבה </w:t>
      </w:r>
      <w:bookmarkStart w:id="58980" w:name="_ETM_Q110_765000"/>
      <w:bookmarkEnd w:id="58980"/>
      <w:r>
        <w:rPr>
          <w:rFonts w:hint="cs"/>
          <w:rtl/>
          <w:lang w:eastAsia="he-IL"/>
        </w:rPr>
        <w:t xml:space="preserve">אדם יהודי בוחר לממש את אמונתו ודתו, ושזו מדינה יהודית </w:t>
      </w:r>
      <w:bookmarkStart w:id="58981" w:name="_ETM_Q110_770000"/>
      <w:bookmarkEnd w:id="58981"/>
      <w:r>
        <w:rPr>
          <w:rFonts w:hint="cs"/>
          <w:rtl/>
          <w:lang w:eastAsia="he-IL"/>
        </w:rPr>
        <w:t xml:space="preserve">שכוללת גם יהודים חילונים, כי להיות חילוני זה </w:t>
      </w:r>
      <w:bookmarkStart w:id="58982" w:name="_ETM_Q110_774000"/>
      <w:bookmarkEnd w:id="58982"/>
      <w:r>
        <w:rPr>
          <w:rFonts w:hint="cs"/>
          <w:rtl/>
          <w:lang w:eastAsia="he-IL"/>
        </w:rPr>
        <w:t xml:space="preserve">זרם ביהדות. </w:t>
      </w:r>
      <w:bookmarkStart w:id="58983" w:name="TOR_Q111"/>
      <w:bookmarkStart w:id="58984" w:name="_ETM_Q111_180000"/>
      <w:bookmarkEnd w:id="58983"/>
      <w:bookmarkEnd w:id="58984"/>
      <w:r>
        <w:rPr>
          <w:rFonts w:hint="cs"/>
          <w:rtl/>
          <w:lang w:eastAsia="he-IL"/>
        </w:rPr>
        <w:t xml:space="preserve">ויש אנשים שבשבילם המדינה הזו היא מדינת העם היהודי, והם ייתנו בשבילה את חייהם, והם </w:t>
      </w:r>
      <w:bookmarkStart w:id="58985" w:name="_ETM_Q111_169000"/>
      <w:bookmarkStart w:id="58986" w:name="_ETM_Q111_180539"/>
      <w:bookmarkEnd w:id="58985"/>
      <w:bookmarkEnd w:id="58986"/>
      <w:r>
        <w:rPr>
          <w:rFonts w:hint="cs"/>
          <w:rtl/>
        </w:rPr>
        <w:t xml:space="preserve">עדיין </w:t>
      </w:r>
      <w:bookmarkStart w:id="58987" w:name="_ETM_Q111_181500"/>
      <w:bookmarkEnd w:id="58987"/>
      <w:r>
        <w:rPr>
          <w:rFonts w:hint="cs"/>
          <w:rtl/>
        </w:rPr>
        <w:t xml:space="preserve">לא </w:t>
      </w:r>
      <w:bookmarkStart w:id="58988" w:name="_ETM_Q111_181709"/>
      <w:bookmarkEnd w:id="58988"/>
      <w:r>
        <w:rPr>
          <w:rFonts w:hint="cs"/>
          <w:rtl/>
        </w:rPr>
        <w:t xml:space="preserve">חובשים </w:t>
      </w:r>
      <w:bookmarkStart w:id="58989" w:name="_ETM_Q111_182070"/>
      <w:bookmarkEnd w:id="58989"/>
      <w:r>
        <w:rPr>
          <w:rFonts w:hint="cs"/>
          <w:rtl/>
        </w:rPr>
        <w:t xml:space="preserve">כיפה </w:t>
      </w:r>
      <w:bookmarkStart w:id="58990" w:name="_ETM_Q111_182550"/>
      <w:bookmarkEnd w:id="58990"/>
      <w:r>
        <w:rPr>
          <w:rFonts w:hint="cs"/>
          <w:rtl/>
        </w:rPr>
        <w:t xml:space="preserve">ולא </w:t>
      </w:r>
      <w:bookmarkStart w:id="58991" w:name="_ETM_Q111_182759"/>
      <w:bookmarkEnd w:id="58991"/>
      <w:r>
        <w:rPr>
          <w:rFonts w:hint="cs"/>
          <w:rtl/>
        </w:rPr>
        <w:t xml:space="preserve">שומרים </w:t>
      </w:r>
      <w:bookmarkStart w:id="58992" w:name="_ETM_Q111_183090"/>
      <w:bookmarkEnd w:id="58992"/>
      <w:r>
        <w:rPr>
          <w:rFonts w:hint="cs"/>
          <w:rtl/>
        </w:rPr>
        <w:t xml:space="preserve">מסורת </w:t>
      </w:r>
      <w:bookmarkStart w:id="58993" w:name="_ETM_Q111_183840"/>
      <w:bookmarkEnd w:id="58993"/>
      <w:r>
        <w:rPr>
          <w:rFonts w:hint="cs"/>
          <w:rtl/>
        </w:rPr>
        <w:t xml:space="preserve">אבל </w:t>
      </w:r>
      <w:bookmarkStart w:id="58994" w:name="_ETM_Q111_184140"/>
      <w:bookmarkEnd w:id="58994"/>
      <w:r>
        <w:rPr>
          <w:rFonts w:hint="cs"/>
          <w:rtl/>
        </w:rPr>
        <w:t xml:space="preserve">גאים </w:t>
      </w:r>
      <w:bookmarkStart w:id="58995" w:name="_ETM_Q111_184589"/>
      <w:bookmarkEnd w:id="58995"/>
      <w:r>
        <w:rPr>
          <w:rFonts w:hint="cs"/>
          <w:rtl/>
        </w:rPr>
        <w:t xml:space="preserve">ונלחמים </w:t>
      </w:r>
      <w:bookmarkStart w:id="58996" w:name="_ETM_Q111_185190"/>
      <w:bookmarkEnd w:id="58996"/>
      <w:r>
        <w:rPr>
          <w:rFonts w:hint="cs"/>
          <w:rtl/>
        </w:rPr>
        <w:t xml:space="preserve">על </w:t>
      </w:r>
      <w:bookmarkStart w:id="58997" w:name="_ETM_Q111_185309"/>
      <w:bookmarkEnd w:id="58997"/>
      <w:r>
        <w:rPr>
          <w:rFonts w:hint="cs"/>
          <w:rtl/>
        </w:rPr>
        <w:t xml:space="preserve">הזכות </w:t>
      </w:r>
      <w:bookmarkStart w:id="58998" w:name="_ETM_Q111_185640"/>
      <w:bookmarkEnd w:id="58998"/>
      <w:r>
        <w:rPr>
          <w:rFonts w:hint="cs"/>
          <w:rtl/>
        </w:rPr>
        <w:t xml:space="preserve">לחיות </w:t>
      </w:r>
      <w:bookmarkStart w:id="58999" w:name="_ETM_Q111_185940"/>
      <w:bookmarkEnd w:id="58999"/>
      <w:r>
        <w:rPr>
          <w:rFonts w:hint="cs"/>
          <w:rtl/>
        </w:rPr>
        <w:t xml:space="preserve">במדינה </w:t>
      </w:r>
      <w:bookmarkStart w:id="59000" w:name="_ETM_Q111_186359"/>
      <w:bookmarkEnd w:id="59000"/>
      <w:r>
        <w:rPr>
          <w:rFonts w:hint="cs"/>
          <w:rtl/>
        </w:rPr>
        <w:t xml:space="preserve">היהודית. </w:t>
      </w:r>
      <w:bookmarkStart w:id="59001" w:name="_ETM_Q111_187460"/>
      <w:bookmarkEnd w:id="59001"/>
      <w:r>
        <w:rPr>
          <w:rFonts w:hint="cs"/>
          <w:rtl/>
        </w:rPr>
        <w:t xml:space="preserve">וזו </w:t>
      </w:r>
      <w:bookmarkStart w:id="59002" w:name="_ETM_Q111_187730"/>
      <w:bookmarkEnd w:id="59002"/>
      <w:r>
        <w:rPr>
          <w:rFonts w:hint="cs"/>
          <w:rtl/>
        </w:rPr>
        <w:t xml:space="preserve">האחריות </w:t>
      </w:r>
      <w:bookmarkStart w:id="59003" w:name="_ETM_Q111_188119"/>
      <w:bookmarkEnd w:id="59003"/>
      <w:r>
        <w:rPr>
          <w:rFonts w:hint="cs"/>
          <w:rtl/>
        </w:rPr>
        <w:t xml:space="preserve">של </w:t>
      </w:r>
      <w:bookmarkStart w:id="59004" w:name="_ETM_Q111_188270"/>
      <w:bookmarkEnd w:id="59004"/>
      <w:r>
        <w:rPr>
          <w:rFonts w:hint="cs"/>
          <w:rtl/>
        </w:rPr>
        <w:t xml:space="preserve">הבית </w:t>
      </w:r>
      <w:bookmarkStart w:id="59005" w:name="_ETM_Q111_188600"/>
      <w:bookmarkEnd w:id="59005"/>
      <w:r>
        <w:rPr>
          <w:rFonts w:hint="cs"/>
          <w:rtl/>
        </w:rPr>
        <w:t xml:space="preserve">הזה, </w:t>
      </w:r>
      <w:bookmarkStart w:id="59006" w:name="_ETM_Q111_188780"/>
      <w:bookmarkEnd w:id="59006"/>
      <w:r>
        <w:rPr>
          <w:rFonts w:hint="cs"/>
          <w:rtl/>
        </w:rPr>
        <w:t xml:space="preserve">וזו האחריות </w:t>
      </w:r>
      <w:bookmarkStart w:id="59007" w:name="_ETM_Q111_188960"/>
      <w:bookmarkStart w:id="59008" w:name="_ETM_Q111_189289"/>
      <w:bookmarkStart w:id="59009" w:name="_ETM_Q111_189830"/>
      <w:bookmarkEnd w:id="59007"/>
      <w:bookmarkEnd w:id="59008"/>
      <w:bookmarkEnd w:id="59009"/>
      <w:r>
        <w:rPr>
          <w:rFonts w:hint="cs"/>
          <w:rtl/>
        </w:rPr>
        <w:t xml:space="preserve">של </w:t>
      </w:r>
      <w:bookmarkStart w:id="59010" w:name="_ETM_Q111_190039"/>
      <w:bookmarkEnd w:id="59010"/>
      <w:r>
        <w:rPr>
          <w:rFonts w:hint="cs"/>
          <w:rtl/>
        </w:rPr>
        <w:t xml:space="preserve">גודל </w:t>
      </w:r>
      <w:bookmarkStart w:id="59011" w:name="_ETM_Q111_190400"/>
      <w:bookmarkEnd w:id="59011"/>
      <w:r>
        <w:rPr>
          <w:rFonts w:hint="cs"/>
          <w:rtl/>
        </w:rPr>
        <w:t xml:space="preserve">השעה, </w:t>
      </w:r>
      <w:bookmarkStart w:id="59012" w:name="_ETM_Q111_191200"/>
      <w:bookmarkEnd w:id="59012"/>
      <w:r>
        <w:rPr>
          <w:rFonts w:hint="cs"/>
          <w:rtl/>
        </w:rPr>
        <w:t xml:space="preserve">להבטיח </w:t>
      </w:r>
      <w:bookmarkStart w:id="59013" w:name="_ETM_Q111_192469"/>
      <w:bookmarkEnd w:id="59013"/>
      <w:r>
        <w:rPr>
          <w:rFonts w:hint="cs"/>
          <w:rtl/>
        </w:rPr>
        <w:t xml:space="preserve">שהמקום </w:t>
      </w:r>
      <w:bookmarkStart w:id="59014" w:name="_ETM_Q111_193129"/>
      <w:bookmarkEnd w:id="59014"/>
      <w:r>
        <w:rPr>
          <w:rFonts w:hint="cs"/>
          <w:rtl/>
        </w:rPr>
        <w:t xml:space="preserve">הזה </w:t>
      </w:r>
      <w:bookmarkStart w:id="59015" w:name="_ETM_Q111_193969"/>
      <w:bookmarkEnd w:id="59015"/>
      <w:r>
        <w:rPr>
          <w:rFonts w:hint="cs"/>
          <w:rtl/>
        </w:rPr>
        <w:t xml:space="preserve">יוכל </w:t>
      </w:r>
      <w:bookmarkStart w:id="59016" w:name="_ETM_Q111_194360"/>
      <w:bookmarkEnd w:id="59016"/>
      <w:r>
        <w:rPr>
          <w:rFonts w:hint="cs"/>
          <w:rtl/>
        </w:rPr>
        <w:t xml:space="preserve">להתקיים </w:t>
      </w:r>
      <w:bookmarkStart w:id="59017" w:name="_ETM_Q111_194870"/>
      <w:bookmarkEnd w:id="59017"/>
      <w:r>
        <w:rPr>
          <w:rFonts w:hint="cs"/>
          <w:rtl/>
        </w:rPr>
        <w:t xml:space="preserve">ולקיים </w:t>
      </w:r>
      <w:bookmarkStart w:id="59018" w:name="_ETM_Q111_196180"/>
      <w:bookmarkEnd w:id="59018"/>
      <w:r>
        <w:rPr>
          <w:rFonts w:hint="cs"/>
          <w:rtl/>
        </w:rPr>
        <w:t xml:space="preserve">את </w:t>
      </w:r>
      <w:bookmarkStart w:id="59019" w:name="_ETM_Q111_196300"/>
      <w:bookmarkEnd w:id="59019"/>
      <w:r>
        <w:rPr>
          <w:rFonts w:hint="cs"/>
          <w:rtl/>
        </w:rPr>
        <w:t xml:space="preserve">כל </w:t>
      </w:r>
      <w:bookmarkStart w:id="59020" w:name="_ETM_Q111_196510"/>
      <w:bookmarkEnd w:id="59020"/>
      <w:r>
        <w:rPr>
          <w:rFonts w:hint="cs"/>
          <w:rtl/>
        </w:rPr>
        <w:t xml:space="preserve">חלקי </w:t>
      </w:r>
      <w:bookmarkStart w:id="59021" w:name="_ETM_Q111_196900"/>
      <w:bookmarkEnd w:id="59021"/>
      <w:r>
        <w:rPr>
          <w:rFonts w:hint="cs"/>
          <w:rtl/>
        </w:rPr>
        <w:t xml:space="preserve">העם גם </w:t>
      </w:r>
      <w:bookmarkStart w:id="59022" w:name="_ETM_Q111_194000"/>
      <w:bookmarkEnd w:id="59022"/>
      <w:r>
        <w:rPr>
          <w:rFonts w:hint="cs"/>
          <w:rtl/>
        </w:rPr>
        <w:t xml:space="preserve">עשר </w:t>
      </w:r>
      <w:bookmarkStart w:id="59023" w:name="_ETM_Q111_197590"/>
      <w:bookmarkStart w:id="59024" w:name="_ETM_Q111_197890"/>
      <w:bookmarkStart w:id="59025" w:name="_ETM_Q111_198190"/>
      <w:bookmarkEnd w:id="59023"/>
      <w:bookmarkEnd w:id="59024"/>
      <w:bookmarkEnd w:id="59025"/>
      <w:r>
        <w:rPr>
          <w:rFonts w:hint="cs"/>
          <w:rtl/>
        </w:rPr>
        <w:t xml:space="preserve">שנים </w:t>
      </w:r>
      <w:bookmarkStart w:id="59026" w:name="_ETM_Q111_198550"/>
      <w:bookmarkEnd w:id="59026"/>
      <w:r>
        <w:rPr>
          <w:rFonts w:hint="cs"/>
          <w:rtl/>
        </w:rPr>
        <w:t xml:space="preserve">וגם </w:t>
      </w:r>
      <w:bookmarkStart w:id="59027" w:name="_ETM_Q111_198730"/>
      <w:bookmarkEnd w:id="59027"/>
      <w:r>
        <w:rPr>
          <w:rFonts w:hint="cs"/>
          <w:rtl/>
        </w:rPr>
        <w:t xml:space="preserve">20 </w:t>
      </w:r>
      <w:bookmarkStart w:id="59028" w:name="_ETM_Q111_199090"/>
      <w:bookmarkEnd w:id="59028"/>
      <w:r>
        <w:rPr>
          <w:rFonts w:hint="cs"/>
          <w:rtl/>
        </w:rPr>
        <w:t xml:space="preserve">שנה </w:t>
      </w:r>
      <w:bookmarkStart w:id="59029" w:name="_ETM_Q111_199360"/>
      <w:bookmarkEnd w:id="59029"/>
      <w:r>
        <w:rPr>
          <w:rFonts w:hint="cs"/>
          <w:rtl/>
        </w:rPr>
        <w:t xml:space="preserve">מהיום. </w:t>
      </w:r>
      <w:bookmarkStart w:id="59030" w:name="_ETM_Q111_199810"/>
      <w:bookmarkEnd w:id="59030"/>
      <w:r>
        <w:rPr>
          <w:rFonts w:hint="cs"/>
          <w:rtl/>
        </w:rPr>
        <w:t>אחרת,</w:t>
      </w:r>
      <w:bookmarkStart w:id="59031" w:name="_ETM_Q111_200260"/>
      <w:bookmarkStart w:id="59032" w:name="_ETM_Q111_200680"/>
      <w:bookmarkEnd w:id="59031"/>
      <w:bookmarkEnd w:id="59032"/>
      <w:r>
        <w:rPr>
          <w:rFonts w:hint="cs"/>
          <w:rtl/>
        </w:rPr>
        <w:t xml:space="preserve"> תמשיך </w:t>
      </w:r>
      <w:bookmarkStart w:id="59033" w:name="_ETM_Q111_201160"/>
      <w:bookmarkEnd w:id="59033"/>
      <w:r>
        <w:rPr>
          <w:rFonts w:hint="cs"/>
          <w:rtl/>
        </w:rPr>
        <w:t xml:space="preserve">לרחף </w:t>
      </w:r>
      <w:bookmarkStart w:id="59034" w:name="_ETM_Q111_202090"/>
      <w:bookmarkEnd w:id="59034"/>
      <w:r>
        <w:rPr>
          <w:rFonts w:hint="cs"/>
          <w:rtl/>
        </w:rPr>
        <w:t xml:space="preserve">מעלינו </w:t>
      </w:r>
      <w:bookmarkStart w:id="59035" w:name="_ETM_Q111_202540"/>
      <w:bookmarkEnd w:id="59035"/>
      <w:r>
        <w:rPr>
          <w:rFonts w:hint="cs"/>
          <w:rtl/>
        </w:rPr>
        <w:t xml:space="preserve">אותה </w:t>
      </w:r>
      <w:bookmarkStart w:id="59036" w:name="_ETM_Q111_203140"/>
      <w:bookmarkEnd w:id="59036"/>
      <w:r>
        <w:rPr>
          <w:rFonts w:hint="cs"/>
          <w:rtl/>
        </w:rPr>
        <w:t xml:space="preserve">עננת </w:t>
      </w:r>
      <w:bookmarkStart w:id="59037" w:name="_ETM_Q111_203619"/>
      <w:bookmarkEnd w:id="59037"/>
      <w:r>
        <w:rPr>
          <w:rFonts w:hint="cs"/>
          <w:rtl/>
        </w:rPr>
        <w:t>אי</w:t>
      </w:r>
      <w:bookmarkStart w:id="59038" w:name="_ETM_Q111_203710"/>
      <w:bookmarkEnd w:id="59038"/>
      <w:r>
        <w:rPr>
          <w:rFonts w:hint="cs"/>
          <w:rtl/>
        </w:rPr>
        <w:t xml:space="preserve">-ודאות, אותה עננת </w:t>
      </w:r>
      <w:bookmarkStart w:id="59039" w:name="_ETM_Q111_204800"/>
      <w:bookmarkStart w:id="59040" w:name="_ETM_Q111_204890"/>
      <w:bookmarkStart w:id="59041" w:name="_ETM_Q111_205519"/>
      <w:bookmarkEnd w:id="59039"/>
      <w:bookmarkEnd w:id="59040"/>
      <w:bookmarkEnd w:id="59041"/>
      <w:r>
        <w:rPr>
          <w:rFonts w:hint="cs"/>
          <w:rtl/>
        </w:rPr>
        <w:t xml:space="preserve">אי-ודאות </w:t>
      </w:r>
      <w:bookmarkStart w:id="59042" w:name="_ETM_Q111_205849"/>
      <w:bookmarkEnd w:id="59042"/>
      <w:r>
        <w:rPr>
          <w:rFonts w:hint="cs"/>
          <w:rtl/>
        </w:rPr>
        <w:t xml:space="preserve">שגורמת </w:t>
      </w:r>
      <w:bookmarkStart w:id="59043" w:name="_ETM_Q111_206359"/>
      <w:bookmarkEnd w:id="59043"/>
      <w:r>
        <w:rPr>
          <w:rFonts w:hint="cs"/>
          <w:rtl/>
        </w:rPr>
        <w:t xml:space="preserve">לאנשים </w:t>
      </w:r>
      <w:bookmarkStart w:id="59044" w:name="_ETM_Q111_207289"/>
      <w:bookmarkEnd w:id="59044"/>
      <w:r>
        <w:rPr>
          <w:rFonts w:hint="cs"/>
          <w:rtl/>
        </w:rPr>
        <w:t xml:space="preserve">לחשוש </w:t>
      </w:r>
      <w:bookmarkStart w:id="59045" w:name="_ETM_Q111_207740"/>
      <w:bookmarkEnd w:id="59045"/>
      <w:r>
        <w:rPr>
          <w:rFonts w:hint="cs"/>
          <w:rtl/>
        </w:rPr>
        <w:t xml:space="preserve">לעתידם </w:t>
      </w:r>
      <w:bookmarkStart w:id="59046" w:name="_ETM_Q111_208220"/>
      <w:bookmarkEnd w:id="59046"/>
      <w:r>
        <w:rPr>
          <w:rFonts w:hint="cs"/>
          <w:rtl/>
        </w:rPr>
        <w:t xml:space="preserve">פה. </w:t>
      </w:r>
      <w:bookmarkStart w:id="59047" w:name="_ETM_Q111_209160"/>
      <w:bookmarkEnd w:id="59047"/>
    </w:p>
    <w:p w:rsidR="00BB59CD" w:rsidRDefault="00BB59CD" w:rsidP="00BB59CD">
      <w:pPr>
        <w:rPr>
          <w:rtl/>
        </w:rPr>
      </w:pPr>
    </w:p>
    <w:p w:rsidR="00BB59CD" w:rsidRDefault="00BB59CD" w:rsidP="004C06A1">
      <w:pPr>
        <w:rPr>
          <w:rtl/>
        </w:rPr>
      </w:pPr>
      <w:bookmarkStart w:id="59048" w:name="_ETM_Q111_208000"/>
      <w:bookmarkEnd w:id="59048"/>
      <w:r>
        <w:rPr>
          <w:rFonts w:hint="cs"/>
          <w:rtl/>
        </w:rPr>
        <w:t xml:space="preserve">מדינת </w:t>
      </w:r>
      <w:bookmarkStart w:id="59049" w:name="_ETM_Q111_209699"/>
      <w:bookmarkEnd w:id="59049"/>
      <w:r>
        <w:rPr>
          <w:rFonts w:hint="cs"/>
          <w:rtl/>
        </w:rPr>
        <w:t xml:space="preserve">העם </w:t>
      </w:r>
      <w:bookmarkStart w:id="59050" w:name="_ETM_Q111_209940"/>
      <w:bookmarkEnd w:id="59050"/>
      <w:r>
        <w:rPr>
          <w:rFonts w:hint="cs"/>
          <w:rtl/>
        </w:rPr>
        <w:t xml:space="preserve">היהודי, </w:t>
      </w:r>
      <w:bookmarkStart w:id="59051" w:name="_ETM_Q111_211189"/>
      <w:bookmarkEnd w:id="59051"/>
      <w:r>
        <w:rPr>
          <w:rFonts w:hint="cs"/>
          <w:rtl/>
        </w:rPr>
        <w:t xml:space="preserve">איזה </w:t>
      </w:r>
      <w:bookmarkStart w:id="59052" w:name="_ETM_Q111_211580"/>
      <w:bookmarkEnd w:id="59052"/>
      <w:r>
        <w:rPr>
          <w:rFonts w:hint="cs"/>
          <w:rtl/>
        </w:rPr>
        <w:t xml:space="preserve">דבר </w:t>
      </w:r>
      <w:bookmarkStart w:id="59053" w:name="_ETM_Q111_211849"/>
      <w:bookmarkEnd w:id="59053"/>
      <w:r>
        <w:rPr>
          <w:rFonts w:hint="cs"/>
          <w:rtl/>
        </w:rPr>
        <w:t xml:space="preserve">גדול </w:t>
      </w:r>
      <w:bookmarkStart w:id="59054" w:name="_ETM_Q111_212149"/>
      <w:bookmarkEnd w:id="59054"/>
      <w:r>
        <w:rPr>
          <w:rFonts w:hint="cs"/>
          <w:rtl/>
        </w:rPr>
        <w:t xml:space="preserve">זה, </w:t>
      </w:r>
      <w:bookmarkStart w:id="59055" w:name="_ETM_Q111_212750"/>
      <w:bookmarkEnd w:id="59055"/>
      <w:r>
        <w:rPr>
          <w:rFonts w:hint="cs"/>
          <w:rtl/>
        </w:rPr>
        <w:t xml:space="preserve">מדינת </w:t>
      </w:r>
      <w:bookmarkStart w:id="59056" w:name="_ETM_Q111_213290"/>
      <w:bookmarkEnd w:id="59056"/>
      <w:r>
        <w:rPr>
          <w:rFonts w:hint="cs"/>
          <w:rtl/>
        </w:rPr>
        <w:t xml:space="preserve">העם </w:t>
      </w:r>
      <w:bookmarkStart w:id="59057" w:name="_ETM_Q111_213530"/>
      <w:bookmarkEnd w:id="59057"/>
      <w:r>
        <w:rPr>
          <w:rFonts w:hint="cs"/>
          <w:rtl/>
        </w:rPr>
        <w:t>היהודי.</w:t>
      </w:r>
      <w:bookmarkStart w:id="59058" w:name="_ETM_Q111_214220"/>
      <w:bookmarkEnd w:id="59058"/>
      <w:r>
        <w:rPr>
          <w:rFonts w:hint="cs"/>
          <w:rtl/>
        </w:rPr>
        <w:t xml:space="preserve"> </w:t>
      </w:r>
      <w:bookmarkStart w:id="59059" w:name="_ETM_Q111_214790"/>
      <w:bookmarkEnd w:id="59059"/>
      <w:r>
        <w:rPr>
          <w:rFonts w:hint="cs"/>
          <w:rtl/>
        </w:rPr>
        <w:t xml:space="preserve">אני </w:t>
      </w:r>
      <w:bookmarkStart w:id="59060" w:name="_ETM_Q111_215030"/>
      <w:bookmarkEnd w:id="59060"/>
      <w:r>
        <w:rPr>
          <w:rFonts w:hint="cs"/>
          <w:rtl/>
        </w:rPr>
        <w:t xml:space="preserve">זוכה </w:t>
      </w:r>
      <w:bookmarkStart w:id="59061" w:name="_ETM_Q111_215360"/>
      <w:bookmarkStart w:id="59062" w:name="_ETM_Q111_215750"/>
      <w:bookmarkEnd w:id="59061"/>
      <w:bookmarkEnd w:id="59062"/>
      <w:r>
        <w:rPr>
          <w:rFonts w:hint="cs"/>
          <w:rtl/>
        </w:rPr>
        <w:t xml:space="preserve">לעמוד </w:t>
      </w:r>
      <w:bookmarkStart w:id="59063" w:name="_ETM_Q111_216079"/>
      <w:bookmarkEnd w:id="59063"/>
      <w:r>
        <w:rPr>
          <w:rFonts w:hint="cs"/>
          <w:rtl/>
        </w:rPr>
        <w:t xml:space="preserve">פה </w:t>
      </w:r>
      <w:bookmarkStart w:id="59064" w:name="_ETM_Q111_216260"/>
      <w:bookmarkEnd w:id="59064"/>
      <w:r>
        <w:rPr>
          <w:rFonts w:hint="cs"/>
          <w:rtl/>
        </w:rPr>
        <w:t>בכנסת</w:t>
      </w:r>
      <w:bookmarkStart w:id="59065" w:name="_ETM_Q111_216680"/>
      <w:bookmarkStart w:id="59066" w:name="_ETM_Q111_216739"/>
      <w:bookmarkEnd w:id="59065"/>
      <w:bookmarkEnd w:id="59066"/>
      <w:r>
        <w:rPr>
          <w:rFonts w:hint="cs"/>
          <w:rtl/>
        </w:rPr>
        <w:t xml:space="preserve"> ולהגיד </w:t>
      </w:r>
      <w:bookmarkStart w:id="59067" w:name="_ETM_Q111_217040"/>
      <w:bookmarkEnd w:id="59067"/>
      <w:r>
        <w:rPr>
          <w:rFonts w:hint="cs"/>
          <w:rtl/>
        </w:rPr>
        <w:t xml:space="preserve">דבר </w:t>
      </w:r>
      <w:bookmarkStart w:id="59068" w:name="_ETM_Q111_217309"/>
      <w:bookmarkEnd w:id="59068"/>
      <w:r>
        <w:rPr>
          <w:rFonts w:hint="cs"/>
          <w:rtl/>
        </w:rPr>
        <w:t xml:space="preserve">כזה, </w:t>
      </w:r>
      <w:bookmarkStart w:id="59069" w:name="_ETM_Q111_218219"/>
      <w:bookmarkEnd w:id="59069"/>
      <w:r>
        <w:rPr>
          <w:rFonts w:hint="cs"/>
          <w:rtl/>
        </w:rPr>
        <w:t xml:space="preserve">ואני </w:t>
      </w:r>
      <w:bookmarkStart w:id="59070" w:name="_ETM_Q111_220199"/>
      <w:bookmarkEnd w:id="59070"/>
      <w:r>
        <w:rPr>
          <w:rFonts w:hint="cs"/>
          <w:rtl/>
        </w:rPr>
        <w:t xml:space="preserve">נצר </w:t>
      </w:r>
      <w:bookmarkStart w:id="59071" w:name="_ETM_Q111_220620"/>
      <w:bookmarkEnd w:id="59071"/>
      <w:r>
        <w:rPr>
          <w:rFonts w:hint="cs"/>
          <w:rtl/>
        </w:rPr>
        <w:t xml:space="preserve">לדורות </w:t>
      </w:r>
      <w:bookmarkStart w:id="59072" w:name="_ETM_Q111_221100"/>
      <w:bookmarkEnd w:id="59072"/>
      <w:r>
        <w:rPr>
          <w:rFonts w:hint="cs"/>
          <w:rtl/>
        </w:rPr>
        <w:t>שעלו לפה</w:t>
      </w:r>
      <w:bookmarkStart w:id="59073" w:name="_ETM_Q111_221609"/>
      <w:bookmarkEnd w:id="59073"/>
      <w:r>
        <w:rPr>
          <w:rFonts w:hint="cs"/>
          <w:rtl/>
        </w:rPr>
        <w:t xml:space="preserve">, </w:t>
      </w:r>
      <w:bookmarkStart w:id="59074" w:name="_ETM_Q111_222269"/>
      <w:bookmarkEnd w:id="59074"/>
      <w:r>
        <w:rPr>
          <w:rFonts w:hint="cs"/>
          <w:rtl/>
        </w:rPr>
        <w:t xml:space="preserve">בין </w:t>
      </w:r>
      <w:bookmarkStart w:id="59075" w:name="_ETM_Q111_222539"/>
      <w:bookmarkEnd w:id="59075"/>
      <w:r>
        <w:rPr>
          <w:rFonts w:hint="cs"/>
          <w:rtl/>
        </w:rPr>
        <w:t xml:space="preserve">אם </w:t>
      </w:r>
      <w:bookmarkStart w:id="59076" w:name="_ETM_Q111_222750"/>
      <w:bookmarkEnd w:id="59076"/>
      <w:r>
        <w:rPr>
          <w:rFonts w:hint="cs"/>
          <w:rtl/>
        </w:rPr>
        <w:t xml:space="preserve">מציונות, </w:t>
      </w:r>
      <w:bookmarkStart w:id="59077" w:name="_ETM_Q111_223260"/>
      <w:bookmarkEnd w:id="59077"/>
      <w:r>
        <w:rPr>
          <w:rFonts w:hint="cs"/>
          <w:rtl/>
        </w:rPr>
        <w:t xml:space="preserve">לפני </w:t>
      </w:r>
      <w:bookmarkStart w:id="59078" w:name="_ETM_Q111_223589"/>
      <w:bookmarkEnd w:id="59078"/>
      <w:r>
        <w:rPr>
          <w:rFonts w:hint="cs"/>
          <w:rtl/>
        </w:rPr>
        <w:t xml:space="preserve">השואה, בין </w:t>
      </w:r>
      <w:bookmarkStart w:id="59079" w:name="_ETM_Q111_221000"/>
      <w:bookmarkStart w:id="59080" w:name="_ETM_Q111_223949"/>
      <w:bookmarkEnd w:id="59079"/>
      <w:bookmarkEnd w:id="59080"/>
      <w:r>
        <w:rPr>
          <w:rFonts w:hint="cs"/>
          <w:rtl/>
        </w:rPr>
        <w:t xml:space="preserve">אם </w:t>
      </w:r>
      <w:bookmarkStart w:id="59081" w:name="_ETM_Q111_224190"/>
      <w:bookmarkEnd w:id="59081"/>
      <w:r>
        <w:rPr>
          <w:rFonts w:hint="cs"/>
          <w:rtl/>
        </w:rPr>
        <w:t xml:space="preserve">המשפחות </w:t>
      </w:r>
      <w:bookmarkStart w:id="59082" w:name="_ETM_Q111_224760"/>
      <w:bookmarkEnd w:id="59082"/>
      <w:r>
        <w:rPr>
          <w:rFonts w:hint="cs"/>
          <w:rtl/>
        </w:rPr>
        <w:t xml:space="preserve">שלהם </w:t>
      </w:r>
      <w:bookmarkStart w:id="59083" w:name="_ETM_Q111_224969"/>
      <w:bookmarkEnd w:id="59083"/>
      <w:r>
        <w:rPr>
          <w:rFonts w:hint="cs"/>
          <w:rtl/>
        </w:rPr>
        <w:t xml:space="preserve">נספו </w:t>
      </w:r>
      <w:bookmarkStart w:id="59084" w:name="_ETM_Q111_225269"/>
      <w:bookmarkEnd w:id="59084"/>
      <w:r>
        <w:rPr>
          <w:rFonts w:hint="cs"/>
          <w:rtl/>
        </w:rPr>
        <w:t>בשואה</w:t>
      </w:r>
      <w:r w:rsidR="004C06A1">
        <w:rPr>
          <w:rFonts w:hint="cs"/>
          <w:rtl/>
        </w:rPr>
        <w:t>.</w:t>
      </w:r>
      <w:r>
        <w:rPr>
          <w:rFonts w:hint="cs"/>
          <w:rtl/>
        </w:rPr>
        <w:t xml:space="preserve"> הם </w:t>
      </w:r>
      <w:bookmarkStart w:id="59085" w:name="_ETM_Q111_226329"/>
      <w:bookmarkEnd w:id="59085"/>
      <w:r>
        <w:rPr>
          <w:rFonts w:hint="cs"/>
          <w:rtl/>
        </w:rPr>
        <w:t xml:space="preserve">הקימו </w:t>
      </w:r>
      <w:bookmarkStart w:id="59086" w:name="_ETM_Q111_226749"/>
      <w:bookmarkEnd w:id="59086"/>
      <w:r>
        <w:rPr>
          <w:rFonts w:hint="cs"/>
          <w:rtl/>
        </w:rPr>
        <w:t xml:space="preserve">את </w:t>
      </w:r>
      <w:bookmarkStart w:id="59087" w:name="_ETM_Q111_226870"/>
      <w:bookmarkEnd w:id="59087"/>
      <w:r>
        <w:rPr>
          <w:rFonts w:hint="cs"/>
          <w:rtl/>
        </w:rPr>
        <w:t xml:space="preserve">הארץ </w:t>
      </w:r>
      <w:bookmarkStart w:id="59088" w:name="_ETM_Q111_227199"/>
      <w:bookmarkEnd w:id="59088"/>
      <w:r>
        <w:rPr>
          <w:rFonts w:hint="cs"/>
          <w:rtl/>
        </w:rPr>
        <w:t xml:space="preserve">הזאת. </w:t>
      </w:r>
      <w:bookmarkStart w:id="59089" w:name="_ETM_Q111_228380"/>
      <w:bookmarkEnd w:id="59089"/>
      <w:r>
        <w:rPr>
          <w:rFonts w:hint="cs"/>
          <w:rtl/>
        </w:rPr>
        <w:t xml:space="preserve">מדינת </w:t>
      </w:r>
      <w:bookmarkStart w:id="59090" w:name="_ETM_Q111_228829"/>
      <w:bookmarkEnd w:id="59090"/>
      <w:r>
        <w:rPr>
          <w:rFonts w:hint="cs"/>
          <w:rtl/>
        </w:rPr>
        <w:t xml:space="preserve">העם </w:t>
      </w:r>
      <w:bookmarkStart w:id="59091" w:name="_ETM_Q111_229010"/>
      <w:bookmarkEnd w:id="59091"/>
      <w:r>
        <w:rPr>
          <w:rFonts w:hint="cs"/>
          <w:rtl/>
        </w:rPr>
        <w:t xml:space="preserve">היהודי – זה אומר </w:t>
      </w:r>
      <w:bookmarkStart w:id="59092" w:name="_ETM_Q111_229520"/>
      <w:bookmarkStart w:id="59093" w:name="_ETM_Q111_229760"/>
      <w:bookmarkEnd w:id="59092"/>
      <w:bookmarkEnd w:id="59093"/>
      <w:r>
        <w:rPr>
          <w:rFonts w:hint="cs"/>
          <w:rtl/>
        </w:rPr>
        <w:t xml:space="preserve">שכל </w:t>
      </w:r>
      <w:bookmarkStart w:id="59094" w:name="_ETM_Q111_230239"/>
      <w:bookmarkEnd w:id="59094"/>
      <w:r>
        <w:rPr>
          <w:rFonts w:hint="cs"/>
          <w:rtl/>
        </w:rPr>
        <w:t xml:space="preserve">העם </w:t>
      </w:r>
      <w:bookmarkStart w:id="59095" w:name="_ETM_Q111_230450"/>
      <w:bookmarkEnd w:id="59095"/>
      <w:r>
        <w:rPr>
          <w:rFonts w:hint="cs"/>
          <w:rtl/>
        </w:rPr>
        <w:t xml:space="preserve">היהודי </w:t>
      </w:r>
      <w:bookmarkStart w:id="59096" w:name="_ETM_Q111_231149"/>
      <w:bookmarkEnd w:id="59096"/>
      <w:r>
        <w:rPr>
          <w:rFonts w:hint="cs"/>
          <w:rtl/>
        </w:rPr>
        <w:t xml:space="preserve">צריך להרגיש </w:t>
      </w:r>
      <w:bookmarkStart w:id="59097" w:name="_ETM_Q111_231659"/>
      <w:bookmarkEnd w:id="59097"/>
      <w:r>
        <w:rPr>
          <w:rFonts w:hint="cs"/>
          <w:rtl/>
        </w:rPr>
        <w:t xml:space="preserve">פה </w:t>
      </w:r>
      <w:bookmarkStart w:id="59098" w:name="_ETM_Q111_231809"/>
      <w:bookmarkEnd w:id="59098"/>
      <w:r>
        <w:rPr>
          <w:rFonts w:hint="cs"/>
          <w:rtl/>
        </w:rPr>
        <w:t xml:space="preserve">שייך, </w:t>
      </w:r>
      <w:bookmarkStart w:id="59099" w:name="_ETM_Q111_232350"/>
      <w:bookmarkEnd w:id="59099"/>
      <w:r>
        <w:rPr>
          <w:rFonts w:hint="cs"/>
          <w:rtl/>
        </w:rPr>
        <w:t xml:space="preserve">בטוח </w:t>
      </w:r>
      <w:bookmarkStart w:id="59100" w:name="_ETM_Q111_233720"/>
      <w:bookmarkEnd w:id="59100"/>
      <w:r>
        <w:rPr>
          <w:rFonts w:hint="cs"/>
          <w:rtl/>
        </w:rPr>
        <w:t xml:space="preserve">ורצוי. וזו </w:t>
      </w:r>
      <w:bookmarkStart w:id="59101" w:name="_ETM_Q111_235140"/>
      <w:bookmarkStart w:id="59102" w:name="_ETM_Q111_235379"/>
      <w:bookmarkEnd w:id="59101"/>
      <w:bookmarkEnd w:id="59102"/>
      <w:r>
        <w:rPr>
          <w:rFonts w:hint="cs"/>
          <w:rtl/>
        </w:rPr>
        <w:t xml:space="preserve">האחריות </w:t>
      </w:r>
      <w:bookmarkStart w:id="59103" w:name="_ETM_Q111_235649"/>
      <w:bookmarkEnd w:id="59103"/>
      <w:r>
        <w:rPr>
          <w:rFonts w:hint="cs"/>
          <w:rtl/>
        </w:rPr>
        <w:t xml:space="preserve">של </w:t>
      </w:r>
      <w:bookmarkStart w:id="59104" w:name="_ETM_Q111_235739"/>
      <w:bookmarkEnd w:id="59104"/>
      <w:r>
        <w:rPr>
          <w:rFonts w:hint="cs"/>
          <w:rtl/>
        </w:rPr>
        <w:t xml:space="preserve">כל </w:t>
      </w:r>
      <w:bookmarkStart w:id="59105" w:name="_ETM_Q111_235920"/>
      <w:bookmarkEnd w:id="59105"/>
      <w:r>
        <w:rPr>
          <w:rFonts w:hint="cs"/>
          <w:rtl/>
        </w:rPr>
        <w:t xml:space="preserve">ממשלה. </w:t>
      </w:r>
      <w:bookmarkStart w:id="59106" w:name="_ETM_Q111_237270"/>
      <w:bookmarkStart w:id="59107" w:name="_ETM_Q111_237480"/>
      <w:bookmarkStart w:id="59108" w:name="_ETM_Q111_237719"/>
      <w:bookmarkEnd w:id="59106"/>
      <w:bookmarkEnd w:id="59107"/>
      <w:bookmarkEnd w:id="59108"/>
      <w:r>
        <w:rPr>
          <w:rFonts w:hint="cs"/>
          <w:rtl/>
        </w:rPr>
        <w:t xml:space="preserve">האחריות של </w:t>
      </w:r>
      <w:bookmarkStart w:id="59109" w:name="_ETM_Q111_237840"/>
      <w:bookmarkEnd w:id="59109"/>
      <w:r>
        <w:rPr>
          <w:rFonts w:hint="cs"/>
          <w:rtl/>
        </w:rPr>
        <w:t xml:space="preserve">כל </w:t>
      </w:r>
      <w:bookmarkStart w:id="59110" w:name="_ETM_Q111_238110"/>
      <w:bookmarkEnd w:id="59110"/>
      <w:r>
        <w:rPr>
          <w:rFonts w:hint="cs"/>
          <w:rtl/>
        </w:rPr>
        <w:t xml:space="preserve">ממשלה, </w:t>
      </w:r>
      <w:bookmarkStart w:id="59111" w:name="_ETM_Q111_238530"/>
      <w:bookmarkEnd w:id="59111"/>
      <w:r>
        <w:rPr>
          <w:rFonts w:hint="cs"/>
          <w:rtl/>
        </w:rPr>
        <w:t xml:space="preserve">מעבר </w:t>
      </w:r>
      <w:bookmarkStart w:id="59112" w:name="_ETM_Q111_239940"/>
      <w:bookmarkEnd w:id="59112"/>
      <w:r>
        <w:rPr>
          <w:rFonts w:hint="cs"/>
          <w:rtl/>
        </w:rPr>
        <w:t xml:space="preserve">לאידיאולוגיה </w:t>
      </w:r>
      <w:bookmarkStart w:id="59113" w:name="_ETM_Q111_240570"/>
      <w:bookmarkEnd w:id="59113"/>
      <w:r>
        <w:rPr>
          <w:rFonts w:hint="cs"/>
          <w:rtl/>
        </w:rPr>
        <w:t xml:space="preserve">פוליטית </w:t>
      </w:r>
      <w:bookmarkStart w:id="59114" w:name="_ETM_Q111_241050"/>
      <w:bookmarkEnd w:id="59114"/>
      <w:r>
        <w:rPr>
          <w:rFonts w:hint="cs"/>
          <w:rtl/>
        </w:rPr>
        <w:t xml:space="preserve">או </w:t>
      </w:r>
      <w:bookmarkStart w:id="59115" w:name="_ETM_Q111_241110"/>
      <w:bookmarkEnd w:id="59115"/>
      <w:r>
        <w:rPr>
          <w:rFonts w:hint="cs"/>
          <w:rtl/>
        </w:rPr>
        <w:t xml:space="preserve">כל </w:t>
      </w:r>
      <w:bookmarkStart w:id="59116" w:name="_ETM_Q111_241350"/>
      <w:bookmarkEnd w:id="59116"/>
      <w:r>
        <w:rPr>
          <w:rFonts w:hint="cs"/>
          <w:rtl/>
        </w:rPr>
        <w:t>אג'נדה</w:t>
      </w:r>
      <w:bookmarkStart w:id="59117" w:name="_ETM_Q111_242190"/>
      <w:bookmarkEnd w:id="59117"/>
      <w:r>
        <w:rPr>
          <w:rFonts w:hint="cs"/>
          <w:rtl/>
        </w:rPr>
        <w:t xml:space="preserve">, היא להבטיח </w:t>
      </w:r>
      <w:bookmarkStart w:id="59118" w:name="_ETM_Q111_243420"/>
      <w:bookmarkEnd w:id="59118"/>
      <w:r>
        <w:rPr>
          <w:rFonts w:hint="cs"/>
          <w:rtl/>
        </w:rPr>
        <w:t xml:space="preserve">שהעם </w:t>
      </w:r>
      <w:bookmarkStart w:id="59119" w:name="_ETM_Q111_243840"/>
      <w:bookmarkEnd w:id="59119"/>
      <w:r>
        <w:rPr>
          <w:rFonts w:hint="cs"/>
          <w:rtl/>
        </w:rPr>
        <w:t xml:space="preserve">היהודי </w:t>
      </w:r>
      <w:bookmarkStart w:id="59120" w:name="_ETM_Q111_244619"/>
      <w:bookmarkEnd w:id="59120"/>
      <w:r>
        <w:rPr>
          <w:rFonts w:hint="cs"/>
          <w:rtl/>
        </w:rPr>
        <w:t xml:space="preserve">מרגיש </w:t>
      </w:r>
      <w:bookmarkStart w:id="59121" w:name="_ETM_Q111_245069"/>
      <w:bookmarkEnd w:id="59121"/>
      <w:r>
        <w:rPr>
          <w:rFonts w:hint="cs"/>
          <w:rtl/>
        </w:rPr>
        <w:t xml:space="preserve">רצוי </w:t>
      </w:r>
      <w:bookmarkStart w:id="59122" w:name="_ETM_Q111_246000"/>
      <w:bookmarkEnd w:id="59122"/>
      <w:r>
        <w:rPr>
          <w:rFonts w:hint="cs"/>
          <w:rtl/>
        </w:rPr>
        <w:t xml:space="preserve">במולדתו. </w:t>
      </w:r>
      <w:bookmarkStart w:id="59123" w:name="_ETM_Q111_251690"/>
      <w:bookmarkEnd w:id="59123"/>
    </w:p>
    <w:p w:rsidR="00BB59CD" w:rsidRDefault="00BB59CD" w:rsidP="00BB59CD">
      <w:pPr>
        <w:rPr>
          <w:rtl/>
        </w:rPr>
      </w:pPr>
    </w:p>
    <w:p w:rsidR="00BB59CD" w:rsidRDefault="00BB59CD" w:rsidP="004C06A1">
      <w:pPr>
        <w:rPr>
          <w:rtl/>
        </w:rPr>
      </w:pPr>
      <w:bookmarkStart w:id="59124" w:name="_ETM_Q111_250000"/>
      <w:bookmarkEnd w:id="59124"/>
      <w:r>
        <w:rPr>
          <w:rFonts w:hint="cs"/>
          <w:rtl/>
        </w:rPr>
        <w:t xml:space="preserve">אני </w:t>
      </w:r>
      <w:bookmarkStart w:id="59125" w:name="_ETM_Q111_251930"/>
      <w:bookmarkEnd w:id="59125"/>
      <w:r>
        <w:rPr>
          <w:rFonts w:hint="cs"/>
          <w:rtl/>
        </w:rPr>
        <w:t>אמשיך</w:t>
      </w:r>
      <w:r w:rsidR="004C06A1">
        <w:rPr>
          <w:rFonts w:hint="cs"/>
          <w:rtl/>
        </w:rPr>
        <w:t>:</w:t>
      </w:r>
      <w:r>
        <w:rPr>
          <w:rFonts w:hint="cs"/>
          <w:rtl/>
        </w:rPr>
        <w:t xml:space="preserve"> חפיפת </w:t>
      </w:r>
      <w:bookmarkStart w:id="59126" w:name="_ETM_Q111_254000"/>
      <w:bookmarkEnd w:id="59126"/>
      <w:r>
        <w:rPr>
          <w:rFonts w:hint="cs"/>
          <w:rtl/>
        </w:rPr>
        <w:t>הערכים שאמרנו</w:t>
      </w:r>
      <w:bookmarkStart w:id="59127" w:name="_ETM_Q111_257159"/>
      <w:bookmarkStart w:id="59128" w:name="_ETM_Q111_257609"/>
      <w:bookmarkStart w:id="59129" w:name="_ETM_Q111_258030"/>
      <w:bookmarkEnd w:id="59127"/>
      <w:bookmarkEnd w:id="59128"/>
      <w:bookmarkEnd w:id="59129"/>
      <w:r>
        <w:rPr>
          <w:rFonts w:hint="cs"/>
          <w:rtl/>
        </w:rPr>
        <w:t xml:space="preserve"> </w:t>
      </w:r>
      <w:bookmarkStart w:id="59130" w:name="_ETM_Q111_258719"/>
      <w:bookmarkEnd w:id="59130"/>
      <w:r>
        <w:rPr>
          <w:rFonts w:hint="cs"/>
          <w:rtl/>
        </w:rPr>
        <w:t xml:space="preserve">היא </w:t>
      </w:r>
      <w:bookmarkStart w:id="59131" w:name="_ETM_Q111_258840"/>
      <w:bookmarkEnd w:id="59131"/>
      <w:r>
        <w:rPr>
          <w:rFonts w:hint="cs"/>
          <w:rtl/>
        </w:rPr>
        <w:t xml:space="preserve">הנותנת </w:t>
      </w:r>
      <w:bookmarkStart w:id="59132" w:name="_ETM_Q111_259619"/>
      <w:bookmarkEnd w:id="59132"/>
      <w:r>
        <w:rPr>
          <w:rFonts w:hint="cs"/>
          <w:rtl/>
        </w:rPr>
        <w:t xml:space="preserve">שבדרך </w:t>
      </w:r>
      <w:bookmarkStart w:id="59133" w:name="_ETM_Q111_260250"/>
      <w:bookmarkEnd w:id="59133"/>
      <w:r>
        <w:rPr>
          <w:rFonts w:hint="cs"/>
          <w:rtl/>
        </w:rPr>
        <w:t xml:space="preserve">כלל </w:t>
      </w:r>
      <w:bookmarkStart w:id="59134" w:name="_ETM_Q111_260429"/>
      <w:bookmarkEnd w:id="59134"/>
      <w:r>
        <w:rPr>
          <w:rFonts w:hint="cs"/>
          <w:rtl/>
        </w:rPr>
        <w:t xml:space="preserve">לא </w:t>
      </w:r>
      <w:bookmarkStart w:id="59135" w:name="_ETM_Q111_260549"/>
      <w:bookmarkEnd w:id="59135"/>
      <w:r>
        <w:rPr>
          <w:rFonts w:hint="cs"/>
          <w:rtl/>
        </w:rPr>
        <w:t xml:space="preserve">יצטרכו </w:t>
      </w:r>
      <w:bookmarkStart w:id="59136" w:name="_ETM_Q111_261640"/>
      <w:bookmarkEnd w:id="59136"/>
      <w:r>
        <w:rPr>
          <w:rFonts w:hint="cs"/>
          <w:rtl/>
        </w:rPr>
        <w:t xml:space="preserve">ערכים </w:t>
      </w:r>
      <w:bookmarkStart w:id="59137" w:name="_ETM_Q111_262119"/>
      <w:bookmarkEnd w:id="59137"/>
      <w:r>
        <w:rPr>
          <w:rFonts w:hint="cs"/>
          <w:rtl/>
        </w:rPr>
        <w:t xml:space="preserve">יהודיים </w:t>
      </w:r>
      <w:bookmarkStart w:id="59138" w:name="_ETM_Q111_262509"/>
      <w:bookmarkEnd w:id="59138"/>
      <w:r>
        <w:rPr>
          <w:rFonts w:hint="cs"/>
          <w:rtl/>
        </w:rPr>
        <w:t xml:space="preserve">להתנגש </w:t>
      </w:r>
      <w:bookmarkStart w:id="59139" w:name="_ETM_Q111_263049"/>
      <w:bookmarkEnd w:id="59139"/>
      <w:r>
        <w:rPr>
          <w:rFonts w:hint="cs"/>
          <w:rtl/>
        </w:rPr>
        <w:t xml:space="preserve">עם </w:t>
      </w:r>
      <w:bookmarkStart w:id="59140" w:name="_ETM_Q111_263170"/>
      <w:bookmarkEnd w:id="59140"/>
      <w:r>
        <w:rPr>
          <w:rFonts w:hint="cs"/>
          <w:rtl/>
        </w:rPr>
        <w:t xml:space="preserve">ערכים </w:t>
      </w:r>
      <w:bookmarkStart w:id="59141" w:name="_ETM_Q111_263530"/>
      <w:bookmarkEnd w:id="59141"/>
      <w:r>
        <w:rPr>
          <w:rFonts w:hint="cs"/>
          <w:rtl/>
        </w:rPr>
        <w:t xml:space="preserve">דמוקרטיים. </w:t>
      </w:r>
      <w:bookmarkStart w:id="59142" w:name="_ETM_Q111_264760"/>
      <w:bookmarkEnd w:id="59142"/>
      <w:r>
        <w:rPr>
          <w:rFonts w:hint="cs"/>
          <w:rtl/>
        </w:rPr>
        <w:t xml:space="preserve">אך </w:t>
      </w:r>
      <w:bookmarkStart w:id="59143" w:name="_ETM_Q111_264940"/>
      <w:bookmarkEnd w:id="59143"/>
      <w:r>
        <w:rPr>
          <w:rFonts w:hint="cs"/>
          <w:rtl/>
        </w:rPr>
        <w:t xml:space="preserve">בשעת </w:t>
      </w:r>
      <w:bookmarkStart w:id="59144" w:name="_ETM_Q111_265330"/>
      <w:bookmarkEnd w:id="59144"/>
      <w:r>
        <w:rPr>
          <w:rFonts w:hint="cs"/>
          <w:rtl/>
        </w:rPr>
        <w:t xml:space="preserve">התנגשות </w:t>
      </w:r>
      <w:bookmarkStart w:id="59145" w:name="_ETM_Q111_265990"/>
      <w:bookmarkEnd w:id="59145"/>
      <w:r>
        <w:rPr>
          <w:rFonts w:hint="cs"/>
          <w:rtl/>
        </w:rPr>
        <w:t xml:space="preserve">ביניהם, </w:t>
      </w:r>
      <w:bookmarkStart w:id="59146" w:name="_ETM_Q111_267020"/>
      <w:bookmarkEnd w:id="59146"/>
      <w:r>
        <w:rPr>
          <w:rFonts w:hint="cs"/>
          <w:rtl/>
        </w:rPr>
        <w:t xml:space="preserve">צריכה </w:t>
      </w:r>
      <w:bookmarkStart w:id="59147" w:name="_ETM_Q111_267500"/>
      <w:bookmarkEnd w:id="59147"/>
      <w:r>
        <w:rPr>
          <w:rFonts w:hint="cs"/>
          <w:rtl/>
        </w:rPr>
        <w:t xml:space="preserve">יד </w:t>
      </w:r>
      <w:bookmarkStart w:id="59148" w:name="_ETM_Q111_267799"/>
      <w:bookmarkEnd w:id="59148"/>
      <w:r>
        <w:rPr>
          <w:rFonts w:hint="cs"/>
          <w:rtl/>
        </w:rPr>
        <w:t xml:space="preserve">הדמוקרטיה </w:t>
      </w:r>
      <w:bookmarkStart w:id="59149" w:name="_ETM_Q111_268459"/>
      <w:bookmarkEnd w:id="59149"/>
      <w:r>
        <w:rPr>
          <w:rFonts w:hint="cs"/>
          <w:rtl/>
        </w:rPr>
        <w:t xml:space="preserve">להיות </w:t>
      </w:r>
      <w:bookmarkStart w:id="59150" w:name="_ETM_Q111_268670"/>
      <w:bookmarkEnd w:id="59150"/>
      <w:r>
        <w:rPr>
          <w:rFonts w:hint="cs"/>
          <w:rtl/>
        </w:rPr>
        <w:t xml:space="preserve">תמיד </w:t>
      </w:r>
      <w:bookmarkStart w:id="59151" w:name="_ETM_Q111_268969"/>
      <w:bookmarkEnd w:id="59151"/>
      <w:r>
        <w:rPr>
          <w:rFonts w:hint="cs"/>
          <w:rtl/>
        </w:rPr>
        <w:t xml:space="preserve">על </w:t>
      </w:r>
      <w:bookmarkStart w:id="59152" w:name="_ETM_Q111_269119"/>
      <w:bookmarkEnd w:id="59152"/>
      <w:r>
        <w:rPr>
          <w:rFonts w:hint="cs"/>
          <w:rtl/>
        </w:rPr>
        <w:t xml:space="preserve">העליונה. </w:t>
      </w:r>
      <w:bookmarkStart w:id="59153" w:name="_ETM_Q111_270130"/>
      <w:bookmarkEnd w:id="59153"/>
      <w:r>
        <w:rPr>
          <w:rFonts w:hint="cs"/>
          <w:rtl/>
        </w:rPr>
        <w:t xml:space="preserve">גם </w:t>
      </w:r>
      <w:bookmarkStart w:id="59154" w:name="_ETM_Q111_270400"/>
      <w:bookmarkEnd w:id="59154"/>
      <w:r>
        <w:rPr>
          <w:rFonts w:hint="cs"/>
          <w:rtl/>
        </w:rPr>
        <w:t xml:space="preserve">פרשנות </w:t>
      </w:r>
      <w:bookmarkStart w:id="59155" w:name="_ETM_Q111_270880"/>
      <w:bookmarkEnd w:id="59155"/>
      <w:r>
        <w:rPr>
          <w:rFonts w:hint="cs"/>
          <w:rtl/>
        </w:rPr>
        <w:t xml:space="preserve">לשונית </w:t>
      </w:r>
      <w:bookmarkStart w:id="59156" w:name="_ETM_Q111_271360"/>
      <w:bookmarkEnd w:id="59156"/>
      <w:r>
        <w:rPr>
          <w:rFonts w:hint="cs"/>
          <w:rtl/>
        </w:rPr>
        <w:t xml:space="preserve">מביאה </w:t>
      </w:r>
      <w:bookmarkStart w:id="59157" w:name="_ETM_Q111_271780"/>
      <w:bookmarkEnd w:id="59157"/>
      <w:r>
        <w:rPr>
          <w:rFonts w:hint="cs"/>
          <w:rtl/>
        </w:rPr>
        <w:t xml:space="preserve">לידי </w:t>
      </w:r>
      <w:bookmarkStart w:id="59158" w:name="_ETM_Q111_272049"/>
      <w:bookmarkEnd w:id="59158"/>
      <w:r>
        <w:rPr>
          <w:rFonts w:hint="cs"/>
          <w:rtl/>
        </w:rPr>
        <w:t xml:space="preserve">מסקנה </w:t>
      </w:r>
      <w:bookmarkStart w:id="59159" w:name="_ETM_Q111_272590"/>
      <w:bookmarkEnd w:id="59159"/>
      <w:r>
        <w:rPr>
          <w:rFonts w:hint="cs"/>
          <w:rtl/>
        </w:rPr>
        <w:t xml:space="preserve">זו. </w:t>
      </w:r>
      <w:bookmarkStart w:id="59160" w:name="_ETM_Q111_273299"/>
      <w:bookmarkEnd w:id="59160"/>
      <w:r>
        <w:rPr>
          <w:rFonts w:hint="cs"/>
          <w:rtl/>
        </w:rPr>
        <w:t xml:space="preserve">המחוקק </w:t>
      </w:r>
      <w:bookmarkStart w:id="59161" w:name="_ETM_Q111_273959"/>
      <w:bookmarkEnd w:id="59161"/>
      <w:r>
        <w:rPr>
          <w:rFonts w:hint="cs"/>
          <w:rtl/>
        </w:rPr>
        <w:t xml:space="preserve">מקדים </w:t>
      </w:r>
      <w:bookmarkStart w:id="59162" w:name="_ETM_Q111_274409"/>
      <w:bookmarkEnd w:id="59162"/>
      <w:r>
        <w:rPr>
          <w:rFonts w:hint="cs"/>
          <w:rtl/>
        </w:rPr>
        <w:t xml:space="preserve">את </w:t>
      </w:r>
      <w:bookmarkStart w:id="59163" w:name="_ETM_Q111_274560"/>
      <w:bookmarkEnd w:id="59163"/>
      <w:r>
        <w:rPr>
          <w:rFonts w:hint="cs"/>
          <w:rtl/>
        </w:rPr>
        <w:t xml:space="preserve">יהודית </w:t>
      </w:r>
      <w:bookmarkStart w:id="59164" w:name="_ETM_Q111_275069"/>
      <w:bookmarkEnd w:id="59164"/>
      <w:r>
        <w:rPr>
          <w:rFonts w:hint="cs"/>
          <w:rtl/>
        </w:rPr>
        <w:t xml:space="preserve">לדמוקרטית, </w:t>
      </w:r>
      <w:bookmarkStart w:id="59165" w:name="_ETM_Q111_275819"/>
      <w:bookmarkEnd w:id="59165"/>
      <w:r>
        <w:rPr>
          <w:rFonts w:hint="cs"/>
          <w:rtl/>
        </w:rPr>
        <w:t xml:space="preserve">ללמדנו </w:t>
      </w:r>
      <w:bookmarkStart w:id="59166" w:name="_ETM_Q111_276359"/>
      <w:bookmarkEnd w:id="59166"/>
      <w:r>
        <w:rPr>
          <w:rFonts w:hint="cs"/>
          <w:rtl/>
        </w:rPr>
        <w:t xml:space="preserve">שהמדינה </w:t>
      </w:r>
      <w:bookmarkStart w:id="59167" w:name="_ETM_Q111_276929"/>
      <w:bookmarkEnd w:id="59167"/>
      <w:r>
        <w:rPr>
          <w:rFonts w:hint="cs"/>
          <w:rtl/>
        </w:rPr>
        <w:t xml:space="preserve">היא יהודית, </w:t>
      </w:r>
      <w:bookmarkStart w:id="59168" w:name="_ETM_Q111_277890"/>
      <w:bookmarkEnd w:id="59168"/>
      <w:r>
        <w:rPr>
          <w:rFonts w:hint="cs"/>
          <w:rtl/>
        </w:rPr>
        <w:t xml:space="preserve">ובלבד </w:t>
      </w:r>
      <w:bookmarkStart w:id="59169" w:name="_ETM_Q111_278700"/>
      <w:bookmarkEnd w:id="59169"/>
      <w:r>
        <w:rPr>
          <w:rFonts w:hint="cs"/>
          <w:rtl/>
        </w:rPr>
        <w:t xml:space="preserve">שתהא </w:t>
      </w:r>
      <w:bookmarkStart w:id="59170" w:name="_ETM_Q111_279120"/>
      <w:bookmarkEnd w:id="59170"/>
      <w:r>
        <w:rPr>
          <w:rFonts w:hint="cs"/>
          <w:rtl/>
        </w:rPr>
        <w:t xml:space="preserve">דמוקרטית. </w:t>
      </w:r>
      <w:bookmarkStart w:id="59171" w:name="_ETM_Q111_280350"/>
      <w:bookmarkEnd w:id="59171"/>
      <w:r>
        <w:rPr>
          <w:rFonts w:hint="cs"/>
          <w:rtl/>
        </w:rPr>
        <w:t xml:space="preserve">מדינה </w:t>
      </w:r>
      <w:bookmarkStart w:id="59172" w:name="_ETM_Q111_280709"/>
      <w:bookmarkEnd w:id="59172"/>
      <w:r>
        <w:rPr>
          <w:rFonts w:hint="cs"/>
          <w:rtl/>
        </w:rPr>
        <w:t xml:space="preserve">יהודית </w:t>
      </w:r>
      <w:bookmarkStart w:id="59173" w:name="_ETM_Q111_281010"/>
      <w:bookmarkEnd w:id="59173"/>
      <w:r>
        <w:rPr>
          <w:rFonts w:hint="cs"/>
          <w:rtl/>
        </w:rPr>
        <w:t xml:space="preserve">שאינה </w:t>
      </w:r>
      <w:bookmarkStart w:id="59174" w:name="_ETM_Q111_281250"/>
      <w:bookmarkEnd w:id="59174"/>
      <w:r>
        <w:rPr>
          <w:rFonts w:hint="cs"/>
          <w:rtl/>
        </w:rPr>
        <w:t xml:space="preserve">מדינה </w:t>
      </w:r>
      <w:bookmarkStart w:id="59175" w:name="_ETM_Q111_281580"/>
      <w:bookmarkEnd w:id="59175"/>
      <w:r>
        <w:rPr>
          <w:rFonts w:hint="cs"/>
          <w:rtl/>
        </w:rPr>
        <w:t xml:space="preserve">דמוקרטית </w:t>
      </w:r>
      <w:bookmarkStart w:id="59176" w:name="_ETM_Q111_282150"/>
      <w:bookmarkEnd w:id="59176"/>
      <w:r>
        <w:rPr>
          <w:rFonts w:hint="cs"/>
          <w:rtl/>
        </w:rPr>
        <w:t xml:space="preserve">אינה </w:t>
      </w:r>
      <w:bookmarkStart w:id="59177" w:name="_ETM_Q111_282390"/>
      <w:bookmarkEnd w:id="59177"/>
      <w:r>
        <w:rPr>
          <w:rFonts w:hint="cs"/>
          <w:rtl/>
        </w:rPr>
        <w:t xml:space="preserve">כמתכונתה </w:t>
      </w:r>
      <w:bookmarkStart w:id="59178" w:name="_ETM_Q111_282990"/>
      <w:bookmarkEnd w:id="59178"/>
      <w:r>
        <w:rPr>
          <w:rFonts w:hint="cs"/>
          <w:rtl/>
        </w:rPr>
        <w:t xml:space="preserve">של </w:t>
      </w:r>
      <w:bookmarkStart w:id="59179" w:name="_ETM_Q111_283110"/>
      <w:bookmarkEnd w:id="59179"/>
      <w:r>
        <w:rPr>
          <w:rFonts w:hint="cs"/>
          <w:rtl/>
        </w:rPr>
        <w:t xml:space="preserve">מדינת </w:t>
      </w:r>
      <w:bookmarkStart w:id="59180" w:name="_ETM_Q111_283500"/>
      <w:bookmarkEnd w:id="59180"/>
      <w:r>
        <w:rPr>
          <w:rFonts w:hint="cs"/>
          <w:rtl/>
        </w:rPr>
        <w:t xml:space="preserve">ישראל </w:t>
      </w:r>
      <w:bookmarkStart w:id="59181" w:name="_ETM_Q111_284280"/>
      <w:bookmarkEnd w:id="59181"/>
      <w:r>
        <w:rPr>
          <w:rFonts w:hint="cs"/>
          <w:rtl/>
        </w:rPr>
        <w:t xml:space="preserve">– לא </w:t>
      </w:r>
      <w:bookmarkStart w:id="59182" w:name="_ETM_Q111_284520"/>
      <w:bookmarkEnd w:id="59182"/>
      <w:r>
        <w:rPr>
          <w:rFonts w:hint="cs"/>
          <w:rtl/>
        </w:rPr>
        <w:t xml:space="preserve">רק </w:t>
      </w:r>
      <w:bookmarkStart w:id="59183" w:name="_ETM_Q111_284790"/>
      <w:bookmarkEnd w:id="59183"/>
      <w:r>
        <w:rPr>
          <w:rFonts w:hint="cs"/>
          <w:rtl/>
        </w:rPr>
        <w:t xml:space="preserve">באשר </w:t>
      </w:r>
      <w:bookmarkStart w:id="59184" w:name="_ETM_Q111_285330"/>
      <w:bookmarkEnd w:id="59184"/>
      <w:r>
        <w:rPr>
          <w:rFonts w:hint="cs"/>
          <w:rtl/>
        </w:rPr>
        <w:t xml:space="preserve">אינה </w:t>
      </w:r>
      <w:bookmarkStart w:id="59185" w:name="_ETM_Q111_285540"/>
      <w:bookmarkEnd w:id="59185"/>
      <w:r>
        <w:rPr>
          <w:rFonts w:hint="cs"/>
          <w:rtl/>
        </w:rPr>
        <w:t xml:space="preserve">רוצה </w:t>
      </w:r>
      <w:bookmarkStart w:id="59186" w:name="_ETM_Q111_285900"/>
      <w:bookmarkEnd w:id="59186"/>
      <w:r>
        <w:rPr>
          <w:rFonts w:hint="cs"/>
          <w:rtl/>
        </w:rPr>
        <w:t xml:space="preserve">ואינה </w:t>
      </w:r>
      <w:bookmarkStart w:id="59187" w:name="_ETM_Q111_286140"/>
      <w:bookmarkEnd w:id="59187"/>
      <w:r>
        <w:rPr>
          <w:rFonts w:hint="cs"/>
          <w:rtl/>
        </w:rPr>
        <w:t xml:space="preserve">יכולה </w:t>
      </w:r>
      <w:bookmarkStart w:id="59188" w:name="_ETM_Q111_286470"/>
      <w:bookmarkEnd w:id="59188"/>
      <w:r>
        <w:rPr>
          <w:rFonts w:hint="cs"/>
          <w:rtl/>
        </w:rPr>
        <w:t xml:space="preserve">להיות </w:t>
      </w:r>
      <w:bookmarkStart w:id="59189" w:name="_ETM_Q111_286650"/>
      <w:bookmarkEnd w:id="59189"/>
      <w:r>
        <w:rPr>
          <w:rFonts w:hint="cs"/>
          <w:rtl/>
        </w:rPr>
        <w:t xml:space="preserve">מדינה </w:t>
      </w:r>
      <w:bookmarkStart w:id="59190" w:name="_ETM_Q111_286980"/>
      <w:bookmarkEnd w:id="59190"/>
      <w:r>
        <w:rPr>
          <w:rFonts w:hint="cs"/>
          <w:rtl/>
        </w:rPr>
        <w:t xml:space="preserve">תיאוקרטית, </w:t>
      </w:r>
      <w:bookmarkStart w:id="59191" w:name="_ETM_Q111_288000"/>
      <w:bookmarkEnd w:id="59191"/>
      <w:r>
        <w:rPr>
          <w:rFonts w:hint="cs"/>
          <w:rtl/>
        </w:rPr>
        <w:t xml:space="preserve">אלא </w:t>
      </w:r>
      <w:bookmarkStart w:id="59192" w:name="_ETM_Q111_288240"/>
      <w:bookmarkEnd w:id="59192"/>
      <w:r>
        <w:rPr>
          <w:rFonts w:hint="cs"/>
          <w:rtl/>
        </w:rPr>
        <w:t xml:space="preserve">בעיקר </w:t>
      </w:r>
      <w:bookmarkStart w:id="59193" w:name="_ETM_Q111_289100"/>
      <w:bookmarkEnd w:id="59193"/>
      <w:r>
        <w:rPr>
          <w:rFonts w:hint="cs"/>
          <w:rtl/>
        </w:rPr>
        <w:t xml:space="preserve">באשר </w:t>
      </w:r>
      <w:bookmarkStart w:id="59194" w:name="_ETM_Q111_289670"/>
      <w:bookmarkEnd w:id="59194"/>
      <w:r>
        <w:rPr>
          <w:rFonts w:hint="cs"/>
          <w:rtl/>
        </w:rPr>
        <w:t xml:space="preserve">ערכי </w:t>
      </w:r>
      <w:bookmarkStart w:id="59195" w:name="_ETM_Q111_289969"/>
      <w:bookmarkEnd w:id="59195"/>
      <w:r>
        <w:rPr>
          <w:rFonts w:hint="cs"/>
          <w:rtl/>
        </w:rPr>
        <w:t xml:space="preserve">הדמוקרטיה </w:t>
      </w:r>
      <w:bookmarkStart w:id="59196" w:name="_ETM_Q111_290539"/>
      <w:bookmarkEnd w:id="59196"/>
      <w:r>
        <w:rPr>
          <w:rFonts w:hint="cs"/>
          <w:rtl/>
        </w:rPr>
        <w:t xml:space="preserve">חקוקים </w:t>
      </w:r>
      <w:bookmarkStart w:id="59197" w:name="_ETM_Q111_291139"/>
      <w:bookmarkEnd w:id="59197"/>
      <w:r>
        <w:rPr>
          <w:rFonts w:hint="cs"/>
          <w:rtl/>
        </w:rPr>
        <w:t xml:space="preserve">על ליבה </w:t>
      </w:r>
      <w:bookmarkStart w:id="59198" w:name="_ETM_Q111_291959"/>
      <w:bookmarkEnd w:id="59198"/>
      <w:r>
        <w:rPr>
          <w:rFonts w:hint="cs"/>
          <w:rtl/>
        </w:rPr>
        <w:t xml:space="preserve">מאז </w:t>
      </w:r>
      <w:bookmarkStart w:id="59199" w:name="_ETM_Q111_292380"/>
      <w:bookmarkEnd w:id="59199"/>
      <w:r>
        <w:rPr>
          <w:rFonts w:hint="cs"/>
          <w:rtl/>
        </w:rPr>
        <w:t>היוולדה.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9200" w:name="_ETM_Q111_290000"/>
      <w:bookmarkStart w:id="59201" w:name="_ETM_Q111_292889"/>
      <w:bookmarkEnd w:id="59200"/>
      <w:bookmarkEnd w:id="59201"/>
      <w:r>
        <w:rPr>
          <w:rFonts w:hint="cs"/>
          <w:rtl/>
        </w:rPr>
        <w:t xml:space="preserve">אבל </w:t>
      </w:r>
      <w:bookmarkStart w:id="59202" w:name="_ETM_Q111_293069"/>
      <w:bookmarkEnd w:id="59202"/>
      <w:r>
        <w:rPr>
          <w:rFonts w:hint="cs"/>
          <w:rtl/>
        </w:rPr>
        <w:t xml:space="preserve">אני </w:t>
      </w:r>
      <w:bookmarkStart w:id="59203" w:name="_ETM_Q111_293159"/>
      <w:bookmarkEnd w:id="59203"/>
      <w:r>
        <w:rPr>
          <w:rFonts w:hint="cs"/>
          <w:rtl/>
        </w:rPr>
        <w:t xml:space="preserve">צריך </w:t>
      </w:r>
      <w:bookmarkStart w:id="59204" w:name="_ETM_Q111_293369"/>
      <w:bookmarkEnd w:id="59204"/>
      <w:r>
        <w:rPr>
          <w:rFonts w:hint="cs"/>
          <w:rtl/>
        </w:rPr>
        <w:t xml:space="preserve">להגיד </w:t>
      </w:r>
      <w:bookmarkStart w:id="59205" w:name="_ETM_Q111_293609"/>
      <w:bookmarkEnd w:id="59205"/>
      <w:r>
        <w:rPr>
          <w:rFonts w:hint="cs"/>
          <w:rtl/>
        </w:rPr>
        <w:t xml:space="preserve">גם </w:t>
      </w:r>
      <w:bookmarkStart w:id="59206" w:name="_ETM_Q111_293789"/>
      <w:bookmarkStart w:id="59207" w:name="_ETM_Q111_294719"/>
      <w:bookmarkEnd w:id="59206"/>
      <w:bookmarkEnd w:id="59207"/>
      <w:r>
        <w:rPr>
          <w:rFonts w:hint="cs"/>
          <w:rtl/>
        </w:rPr>
        <w:t xml:space="preserve">שהיא </w:t>
      </w:r>
      <w:bookmarkStart w:id="59208" w:name="_ETM_Q111_294869"/>
      <w:bookmarkEnd w:id="59208"/>
      <w:r>
        <w:rPr>
          <w:rFonts w:hint="cs"/>
          <w:rtl/>
        </w:rPr>
        <w:t xml:space="preserve">לא </w:t>
      </w:r>
      <w:bookmarkStart w:id="59209" w:name="_ETM_Q111_294989"/>
      <w:bookmarkEnd w:id="59209"/>
      <w:r>
        <w:rPr>
          <w:rFonts w:hint="cs"/>
          <w:rtl/>
        </w:rPr>
        <w:t xml:space="preserve">תהיה </w:t>
      </w:r>
      <w:bookmarkStart w:id="59210" w:name="_ETM_Q111_295169"/>
      <w:bookmarkEnd w:id="59210"/>
      <w:r>
        <w:rPr>
          <w:rFonts w:hint="cs"/>
          <w:rtl/>
        </w:rPr>
        <w:t xml:space="preserve">דמוקרטית </w:t>
      </w:r>
      <w:bookmarkStart w:id="59211" w:name="_ETM_Q111_295649"/>
      <w:bookmarkEnd w:id="59211"/>
      <w:r>
        <w:rPr>
          <w:rFonts w:hint="cs"/>
          <w:rtl/>
        </w:rPr>
        <w:t xml:space="preserve">בלי </w:t>
      </w:r>
      <w:bookmarkStart w:id="59212" w:name="_ETM_Q111_295770"/>
      <w:bookmarkEnd w:id="59212"/>
      <w:r>
        <w:rPr>
          <w:rFonts w:hint="cs"/>
          <w:rtl/>
        </w:rPr>
        <w:t xml:space="preserve">שתהיה </w:t>
      </w:r>
      <w:bookmarkStart w:id="59213" w:name="_ETM_Q111_295979"/>
      <w:bookmarkEnd w:id="59213"/>
      <w:r>
        <w:rPr>
          <w:rFonts w:hint="cs"/>
          <w:rtl/>
        </w:rPr>
        <w:t>יהודית.</w:t>
      </w:r>
    </w:p>
    <w:p w:rsidR="00BB59CD" w:rsidRDefault="00BB59CD" w:rsidP="00BB59CD">
      <w:pPr>
        <w:rPr>
          <w:rtl/>
        </w:rPr>
      </w:pPr>
      <w:bookmarkStart w:id="59214" w:name="_ETM_Q111_294000"/>
      <w:bookmarkEnd w:id="59214"/>
    </w:p>
    <w:p w:rsidR="00BB59CD" w:rsidRDefault="00BB59CD" w:rsidP="00BB59CD">
      <w:pPr>
        <w:pStyle w:val="-"/>
        <w:keepNext/>
        <w:rPr>
          <w:rtl/>
        </w:rPr>
      </w:pPr>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59215" w:name="_ETM_Q111_297360"/>
      <w:bookmarkEnd w:id="59215"/>
      <w:r>
        <w:rPr>
          <w:rFonts w:hint="cs"/>
          <w:rtl/>
        </w:rPr>
        <w:t xml:space="preserve">אבל </w:t>
      </w:r>
      <w:bookmarkStart w:id="59216" w:name="_ETM_Q111_297960"/>
      <w:bookmarkEnd w:id="59216"/>
      <w:r>
        <w:rPr>
          <w:rFonts w:hint="cs"/>
          <w:rtl/>
        </w:rPr>
        <w:t xml:space="preserve">היא </w:t>
      </w:r>
      <w:bookmarkStart w:id="59217" w:name="_ETM_Q111_298080"/>
      <w:bookmarkEnd w:id="59217"/>
      <w:r>
        <w:rPr>
          <w:rFonts w:hint="cs"/>
          <w:rtl/>
        </w:rPr>
        <w:t xml:space="preserve">תמיד </w:t>
      </w:r>
      <w:bookmarkStart w:id="59218" w:name="_ETM_Q111_298470"/>
      <w:bookmarkStart w:id="59219" w:name="_ETM_Q111_298530"/>
      <w:bookmarkEnd w:id="59218"/>
      <w:bookmarkEnd w:id="59219"/>
      <w:r>
        <w:rPr>
          <w:rFonts w:hint="cs"/>
          <w:rtl/>
        </w:rPr>
        <w:t xml:space="preserve">תהיה יהודית. </w:t>
      </w:r>
      <w:bookmarkStart w:id="59220" w:name="_ETM_Q111_299680"/>
      <w:bookmarkEnd w:id="59220"/>
      <w:r>
        <w:rPr>
          <w:rFonts w:hint="cs"/>
          <w:rtl/>
        </w:rPr>
        <w:t xml:space="preserve">זה </w:t>
      </w:r>
      <w:bookmarkStart w:id="59221" w:name="_ETM_Q111_299830"/>
      <w:bookmarkEnd w:id="59221"/>
      <w:r>
        <w:rPr>
          <w:rFonts w:hint="cs"/>
          <w:rtl/>
        </w:rPr>
        <w:t xml:space="preserve">בדיוק </w:t>
      </w:r>
      <w:bookmarkStart w:id="59222" w:name="_ETM_Q111_300159"/>
      <w:bookmarkEnd w:id="59222"/>
      <w:r>
        <w:rPr>
          <w:rFonts w:hint="cs"/>
          <w:rtl/>
        </w:rPr>
        <w:t>העניין.</w:t>
      </w:r>
    </w:p>
    <w:p w:rsidR="00BB59CD" w:rsidRDefault="00BB59CD" w:rsidP="00BB59CD">
      <w:pPr>
        <w:rPr>
          <w:rtl/>
        </w:rPr>
      </w:pPr>
      <w:bookmarkStart w:id="59223" w:name="_ETM_Q111_300000"/>
      <w:bookmarkEnd w:id="59223"/>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9224" w:name="_ETM_Q111_297000"/>
      <w:bookmarkEnd w:id="59224"/>
      <w:r>
        <w:rPr>
          <w:rFonts w:hint="cs"/>
          <w:rtl/>
        </w:rPr>
        <w:t xml:space="preserve">אם אתה לא תשמור על </w:t>
      </w:r>
      <w:bookmarkStart w:id="59225" w:name="_ETM_Q111_298000"/>
      <w:bookmarkEnd w:id="59225"/>
      <w:r>
        <w:rPr>
          <w:rFonts w:hint="cs"/>
          <w:rtl/>
        </w:rPr>
        <w:t>הסממנים היהודיים בשורשים שלה, אז היא תאבד את היהודית.</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59226" w:name="_ETM_Q111_306000"/>
      <w:bookmarkEnd w:id="59226"/>
      <w:r>
        <w:rPr>
          <w:rFonts w:hint="cs"/>
          <w:rtl/>
        </w:rPr>
        <w:t>אני לא חושב שיש מישהו - - -</w:t>
      </w:r>
    </w:p>
    <w:p w:rsidR="00BB59CD" w:rsidRDefault="00BB59CD" w:rsidP="00BB59CD">
      <w:pPr>
        <w:rPr>
          <w:rtl/>
        </w:rPr>
      </w:pPr>
      <w:bookmarkStart w:id="59227" w:name="_ETM_Q111_305000"/>
      <w:bookmarkEnd w:id="59227"/>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4C06A1">
      <w:pPr>
        <w:rPr>
          <w:rtl/>
        </w:rPr>
      </w:pPr>
      <w:bookmarkStart w:id="59228" w:name="_ETM_Q111_307000"/>
      <w:bookmarkStart w:id="59229" w:name="_ETM_Q111_300700"/>
      <w:bookmarkStart w:id="59230" w:name="_ETM_Q111_300880"/>
      <w:bookmarkStart w:id="59231" w:name="_ETM_Q111_301240"/>
      <w:bookmarkStart w:id="59232" w:name="_ETM_Q111_301630"/>
      <w:bookmarkStart w:id="59233" w:name="_ETM_Q111_302080"/>
      <w:bookmarkStart w:id="59234" w:name="_ETM_Q111_302950"/>
      <w:bookmarkStart w:id="59235" w:name="_ETM_Q111_303940"/>
      <w:bookmarkStart w:id="59236" w:name="_ETM_Q111_304270"/>
      <w:bookmarkStart w:id="59237" w:name="_ETM_Q111_304420"/>
      <w:bookmarkStart w:id="59238" w:name="_ETM_Q111_304479"/>
      <w:bookmarkStart w:id="59239" w:name="_ETM_Q111_304840"/>
      <w:bookmarkStart w:id="59240" w:name="_ETM_Q111_305020"/>
      <w:bookmarkStart w:id="59241" w:name="_ETM_Q111_305530"/>
      <w:bookmarkStart w:id="59242" w:name="_ETM_Q111_305650"/>
      <w:bookmarkStart w:id="59243" w:name="_ETM_Q111_306070"/>
      <w:bookmarkStart w:id="59244" w:name="_ETM_Q111_306760"/>
      <w:bookmarkStart w:id="59245" w:name="_ETM_Q111_307390"/>
      <w:bookmarkEnd w:id="59228"/>
      <w:bookmarkEnd w:id="59229"/>
      <w:bookmarkEnd w:id="59230"/>
      <w:bookmarkEnd w:id="59231"/>
      <w:bookmarkEnd w:id="59232"/>
      <w:bookmarkEnd w:id="59233"/>
      <w:bookmarkEnd w:id="59234"/>
      <w:bookmarkEnd w:id="59235"/>
      <w:bookmarkEnd w:id="59236"/>
      <w:bookmarkEnd w:id="59237"/>
      <w:bookmarkEnd w:id="59238"/>
      <w:bookmarkEnd w:id="59239"/>
      <w:bookmarkEnd w:id="59240"/>
      <w:bookmarkEnd w:id="59241"/>
      <w:bookmarkEnd w:id="59242"/>
      <w:bookmarkEnd w:id="59243"/>
      <w:bookmarkEnd w:id="59244"/>
      <w:bookmarkEnd w:id="59245"/>
      <w:r>
        <w:rPr>
          <w:rFonts w:hint="cs"/>
          <w:rtl/>
        </w:rPr>
        <w:t xml:space="preserve">אנחנו </w:t>
      </w:r>
      <w:bookmarkStart w:id="59246" w:name="_ETM_Q111_307750"/>
      <w:bookmarkEnd w:id="59246"/>
      <w:r>
        <w:rPr>
          <w:rFonts w:hint="cs"/>
          <w:rtl/>
        </w:rPr>
        <w:t xml:space="preserve">כל </w:t>
      </w:r>
      <w:bookmarkStart w:id="59247" w:name="_ETM_Q111_307900"/>
      <w:bookmarkEnd w:id="59247"/>
      <w:r>
        <w:rPr>
          <w:rFonts w:hint="cs"/>
          <w:rtl/>
        </w:rPr>
        <w:t xml:space="preserve">הזמן </w:t>
      </w:r>
      <w:bookmarkStart w:id="59248" w:name="_ETM_Q111_308080"/>
      <w:bookmarkEnd w:id="59248"/>
      <w:r>
        <w:rPr>
          <w:rFonts w:hint="cs"/>
          <w:rtl/>
        </w:rPr>
        <w:t xml:space="preserve">רוצים </w:t>
      </w:r>
      <w:bookmarkStart w:id="59249" w:name="_ETM_Q111_308290"/>
      <w:bookmarkEnd w:id="59249"/>
      <w:r>
        <w:rPr>
          <w:rFonts w:hint="cs"/>
          <w:rtl/>
        </w:rPr>
        <w:t xml:space="preserve">להשתוות </w:t>
      </w:r>
      <w:bookmarkStart w:id="59250" w:name="_ETM_Q111_308860"/>
      <w:bookmarkStart w:id="59251" w:name="_ETM_Q111_309669"/>
      <w:bookmarkEnd w:id="59250"/>
      <w:bookmarkEnd w:id="59251"/>
      <w:r>
        <w:rPr>
          <w:rFonts w:hint="cs"/>
          <w:rtl/>
        </w:rPr>
        <w:t xml:space="preserve">לאומות </w:t>
      </w:r>
      <w:bookmarkStart w:id="59252" w:name="_ETM_Q111_309970"/>
      <w:bookmarkEnd w:id="59252"/>
      <w:r>
        <w:rPr>
          <w:rFonts w:hint="cs"/>
          <w:rtl/>
        </w:rPr>
        <w:t xml:space="preserve">העולם. </w:t>
      </w:r>
      <w:bookmarkStart w:id="59253" w:name="_ETM_Q111_310720"/>
      <w:bookmarkEnd w:id="59253"/>
      <w:r>
        <w:rPr>
          <w:rFonts w:hint="cs"/>
          <w:rtl/>
        </w:rPr>
        <w:t xml:space="preserve">אבל </w:t>
      </w:r>
      <w:bookmarkStart w:id="59254" w:name="_ETM_Q111_310900"/>
      <w:bookmarkEnd w:id="59254"/>
      <w:r>
        <w:rPr>
          <w:rFonts w:hint="cs"/>
          <w:rtl/>
        </w:rPr>
        <w:t xml:space="preserve">יש </w:t>
      </w:r>
      <w:bookmarkStart w:id="59255" w:name="_ETM_Q111_311020"/>
      <w:bookmarkEnd w:id="59255"/>
      <w:r>
        <w:rPr>
          <w:rFonts w:hint="cs"/>
          <w:rtl/>
        </w:rPr>
        <w:t xml:space="preserve">לנו </w:t>
      </w:r>
      <w:bookmarkStart w:id="59256" w:name="_ETM_Q111_311139"/>
      <w:bookmarkEnd w:id="59256"/>
      <w:r>
        <w:rPr>
          <w:rFonts w:hint="cs"/>
          <w:rtl/>
        </w:rPr>
        <w:t xml:space="preserve">ייחודיות. </w:t>
      </w:r>
      <w:bookmarkStart w:id="59257" w:name="_ETM_Q111_312410"/>
      <w:bookmarkEnd w:id="59257"/>
      <w:r>
        <w:rPr>
          <w:rFonts w:hint="cs"/>
          <w:rtl/>
        </w:rPr>
        <w:t xml:space="preserve">כשאנחנו </w:t>
      </w:r>
      <w:bookmarkStart w:id="59258" w:name="_ETM_Q111_312680"/>
      <w:bookmarkEnd w:id="59258"/>
      <w:r>
        <w:rPr>
          <w:rFonts w:hint="cs"/>
          <w:rtl/>
        </w:rPr>
        <w:t xml:space="preserve">מדברים </w:t>
      </w:r>
      <w:bookmarkStart w:id="59259" w:name="_ETM_Q111_312950"/>
      <w:bookmarkEnd w:id="59259"/>
      <w:r>
        <w:rPr>
          <w:rFonts w:hint="cs"/>
          <w:rtl/>
        </w:rPr>
        <w:t xml:space="preserve">על </w:t>
      </w:r>
      <w:bookmarkStart w:id="59260" w:name="_ETM_Q111_313099"/>
      <w:bookmarkEnd w:id="59260"/>
      <w:r>
        <w:rPr>
          <w:rFonts w:hint="cs"/>
          <w:rtl/>
        </w:rPr>
        <w:t xml:space="preserve">מוסד </w:t>
      </w:r>
      <w:bookmarkStart w:id="59261" w:name="_ETM_Q111_313550"/>
      <w:bookmarkEnd w:id="59261"/>
      <w:r>
        <w:rPr>
          <w:rFonts w:hint="cs"/>
          <w:rtl/>
        </w:rPr>
        <w:t>הנישואים כדת</w:t>
      </w:r>
      <w:bookmarkStart w:id="59262" w:name="_ETM_Q111_314690"/>
      <w:bookmarkEnd w:id="59262"/>
      <w:r>
        <w:rPr>
          <w:rFonts w:hint="cs"/>
          <w:rtl/>
        </w:rPr>
        <w:t xml:space="preserve"> </w:t>
      </w:r>
      <w:bookmarkStart w:id="59263" w:name="_ETM_Q111_315080"/>
      <w:bookmarkEnd w:id="59263"/>
      <w:r>
        <w:rPr>
          <w:rFonts w:hint="cs"/>
          <w:rtl/>
        </w:rPr>
        <w:t xml:space="preserve">משה וישראל, </w:t>
      </w:r>
      <w:bookmarkStart w:id="59264" w:name="_ETM_Q111_315650"/>
      <w:bookmarkEnd w:id="59264"/>
      <w:r>
        <w:rPr>
          <w:rFonts w:hint="cs"/>
          <w:rtl/>
        </w:rPr>
        <w:t xml:space="preserve">זה </w:t>
      </w:r>
      <w:bookmarkStart w:id="59265" w:name="_ETM_Q111_316040"/>
      <w:bookmarkEnd w:id="59265"/>
      <w:r>
        <w:rPr>
          <w:rFonts w:hint="cs"/>
          <w:rtl/>
        </w:rPr>
        <w:t>היהודית</w:t>
      </w:r>
      <w:bookmarkStart w:id="59266" w:name="_ETM_Q111_316400"/>
      <w:bookmarkStart w:id="59267" w:name="_ETM_Q111_316700"/>
      <w:bookmarkEnd w:id="59266"/>
      <w:bookmarkEnd w:id="59267"/>
      <w:r>
        <w:rPr>
          <w:rFonts w:hint="cs"/>
          <w:rtl/>
        </w:rPr>
        <w:t xml:space="preserve">. אין </w:t>
      </w:r>
      <w:bookmarkStart w:id="59268" w:name="_ETM_Q111_316790"/>
      <w:bookmarkEnd w:id="59268"/>
      <w:r>
        <w:rPr>
          <w:rFonts w:hint="cs"/>
          <w:rtl/>
        </w:rPr>
        <w:t xml:space="preserve">מה </w:t>
      </w:r>
      <w:bookmarkStart w:id="59269" w:name="_ETM_Q111_316880"/>
      <w:bookmarkEnd w:id="59269"/>
      <w:r>
        <w:rPr>
          <w:rFonts w:hint="cs"/>
          <w:rtl/>
        </w:rPr>
        <w:t xml:space="preserve">לעשות. </w:t>
      </w:r>
      <w:bookmarkStart w:id="59270" w:name="_ETM_Q111_317419"/>
      <w:bookmarkStart w:id="59271" w:name="_ETM_Q111_317930"/>
      <w:bookmarkEnd w:id="59270"/>
      <w:bookmarkEnd w:id="59271"/>
      <w:r>
        <w:rPr>
          <w:rFonts w:hint="cs"/>
          <w:rtl/>
        </w:rPr>
        <w:t xml:space="preserve">אם </w:t>
      </w:r>
      <w:bookmarkStart w:id="59272" w:name="_ETM_Q111_318110"/>
      <w:bookmarkEnd w:id="59272"/>
      <w:r>
        <w:rPr>
          <w:rFonts w:hint="cs"/>
          <w:rtl/>
        </w:rPr>
        <w:t xml:space="preserve">זה </w:t>
      </w:r>
      <w:bookmarkStart w:id="59273" w:name="_ETM_Q111_318230"/>
      <w:bookmarkEnd w:id="59273"/>
      <w:r>
        <w:rPr>
          <w:rFonts w:hint="cs"/>
          <w:rtl/>
        </w:rPr>
        <w:t xml:space="preserve">לא </w:t>
      </w:r>
      <w:bookmarkStart w:id="59274" w:name="_ETM_Q111_318319"/>
      <w:bookmarkEnd w:id="59274"/>
      <w:r>
        <w:rPr>
          <w:rFonts w:hint="cs"/>
          <w:rtl/>
        </w:rPr>
        <w:t xml:space="preserve">הולך </w:t>
      </w:r>
      <w:bookmarkStart w:id="59275" w:name="_ETM_Q111_318530"/>
      <w:bookmarkEnd w:id="59275"/>
      <w:r>
        <w:rPr>
          <w:rFonts w:hint="cs"/>
          <w:rtl/>
        </w:rPr>
        <w:t xml:space="preserve">משולב, </w:t>
      </w:r>
      <w:bookmarkStart w:id="59276" w:name="_ETM_Q111_318980"/>
      <w:bookmarkEnd w:id="59276"/>
      <w:r>
        <w:rPr>
          <w:rFonts w:hint="cs"/>
          <w:rtl/>
        </w:rPr>
        <w:t xml:space="preserve">אז </w:t>
      </w:r>
      <w:bookmarkStart w:id="59277" w:name="_ETM_Q111_319520"/>
      <w:bookmarkEnd w:id="59277"/>
      <w:r>
        <w:rPr>
          <w:rFonts w:hint="cs"/>
          <w:rtl/>
        </w:rPr>
        <w:t xml:space="preserve">כך </w:t>
      </w:r>
      <w:bookmarkStart w:id="59278" w:name="_ETM_Q111_319000"/>
      <w:bookmarkEnd w:id="59278"/>
      <w:r>
        <w:rPr>
          <w:rFonts w:hint="cs"/>
          <w:rtl/>
        </w:rPr>
        <w:t xml:space="preserve">אתה </w:t>
      </w:r>
      <w:bookmarkStart w:id="59279" w:name="_ETM_Q111_319639"/>
      <w:bookmarkEnd w:id="59279"/>
      <w:r>
        <w:rPr>
          <w:rFonts w:hint="cs"/>
          <w:rtl/>
        </w:rPr>
        <w:t xml:space="preserve">מוצא </w:t>
      </w:r>
      <w:bookmarkStart w:id="59280" w:name="_ETM_Q111_319880"/>
      <w:bookmarkEnd w:id="59280"/>
      <w:r>
        <w:rPr>
          <w:rFonts w:hint="cs"/>
          <w:rtl/>
        </w:rPr>
        <w:t xml:space="preserve">את </w:t>
      </w:r>
      <w:bookmarkStart w:id="59281" w:name="_ETM_Q111_319940"/>
      <w:bookmarkEnd w:id="59281"/>
      <w:r>
        <w:rPr>
          <w:rFonts w:hint="cs"/>
          <w:rtl/>
        </w:rPr>
        <w:t>ההפרדה.</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59282" w:name="_ETM_Q111_316000"/>
      <w:bookmarkStart w:id="59283" w:name="_ETM_Q111_320690"/>
      <w:bookmarkEnd w:id="59282"/>
      <w:bookmarkEnd w:id="59283"/>
      <w:r>
        <w:rPr>
          <w:rFonts w:hint="cs"/>
          <w:rtl/>
        </w:rPr>
        <w:t xml:space="preserve">נכון. </w:t>
      </w:r>
      <w:bookmarkStart w:id="59284" w:name="_ETM_Q111_321139"/>
      <w:bookmarkEnd w:id="59284"/>
      <w:r>
        <w:rPr>
          <w:rFonts w:hint="cs"/>
          <w:rtl/>
        </w:rPr>
        <w:t xml:space="preserve">ובגלל </w:t>
      </w:r>
      <w:bookmarkStart w:id="59285" w:name="_ETM_Q111_321590"/>
      <w:bookmarkEnd w:id="59285"/>
      <w:r>
        <w:rPr>
          <w:rFonts w:hint="cs"/>
          <w:rtl/>
        </w:rPr>
        <w:t xml:space="preserve">זה </w:t>
      </w:r>
      <w:bookmarkStart w:id="59286" w:name="_ETM_Q111_322220"/>
      <w:bookmarkEnd w:id="59286"/>
      <w:r>
        <w:rPr>
          <w:rFonts w:hint="cs"/>
          <w:rtl/>
        </w:rPr>
        <w:t xml:space="preserve">מוסד </w:t>
      </w:r>
      <w:bookmarkStart w:id="59287" w:name="_ETM_Q111_322639"/>
      <w:bookmarkEnd w:id="59287"/>
      <w:r>
        <w:rPr>
          <w:rFonts w:hint="cs"/>
          <w:rtl/>
        </w:rPr>
        <w:t xml:space="preserve">הנישואים </w:t>
      </w:r>
      <w:bookmarkStart w:id="59288" w:name="_ETM_Q111_323150"/>
      <w:bookmarkEnd w:id="59288"/>
      <w:r>
        <w:rPr>
          <w:rFonts w:hint="cs"/>
          <w:rtl/>
        </w:rPr>
        <w:t xml:space="preserve">נשלט </w:t>
      </w:r>
      <w:bookmarkStart w:id="59289" w:name="_ETM_Q111_323989"/>
      <w:bookmarkEnd w:id="59289"/>
      <w:r>
        <w:rPr>
          <w:rFonts w:hint="cs"/>
          <w:rtl/>
        </w:rPr>
        <w:t xml:space="preserve">על ידי </w:t>
      </w:r>
      <w:bookmarkStart w:id="59290" w:name="_ETM_Q111_324260"/>
      <w:bookmarkEnd w:id="59290"/>
      <w:r>
        <w:rPr>
          <w:rFonts w:hint="cs"/>
          <w:rtl/>
        </w:rPr>
        <w:t xml:space="preserve">הרבנות. </w:t>
      </w:r>
      <w:bookmarkStart w:id="59291" w:name="_ETM_Q111_325040"/>
      <w:bookmarkEnd w:id="59291"/>
      <w:r>
        <w:rPr>
          <w:rFonts w:hint="cs"/>
          <w:rtl/>
        </w:rPr>
        <w:t xml:space="preserve">אבל </w:t>
      </w:r>
      <w:bookmarkStart w:id="59292" w:name="_ETM_Q111_325279"/>
      <w:bookmarkEnd w:id="59292"/>
      <w:r>
        <w:rPr>
          <w:rFonts w:hint="cs"/>
          <w:rtl/>
        </w:rPr>
        <w:t xml:space="preserve">אם </w:t>
      </w:r>
      <w:bookmarkStart w:id="59293" w:name="_ETM_Q111_325370"/>
      <w:bookmarkEnd w:id="59293"/>
      <w:r>
        <w:rPr>
          <w:rFonts w:hint="cs"/>
          <w:rtl/>
        </w:rPr>
        <w:t xml:space="preserve">יש </w:t>
      </w:r>
      <w:bookmarkStart w:id="59294" w:name="_ETM_Q111_325519"/>
      <w:bookmarkEnd w:id="59294"/>
      <w:r>
        <w:rPr>
          <w:rFonts w:hint="cs"/>
          <w:rtl/>
        </w:rPr>
        <w:t xml:space="preserve">לך </w:t>
      </w:r>
      <w:bookmarkStart w:id="59295" w:name="_ETM_Q111_325760"/>
      <w:bookmarkEnd w:id="59295"/>
      <w:r>
        <w:rPr>
          <w:rFonts w:hint="cs"/>
          <w:rtl/>
        </w:rPr>
        <w:t xml:space="preserve">ציבור </w:t>
      </w:r>
      <w:bookmarkStart w:id="59296" w:name="_ETM_Q111_326180"/>
      <w:bookmarkEnd w:id="59296"/>
      <w:r>
        <w:rPr>
          <w:rFonts w:hint="cs"/>
          <w:rtl/>
        </w:rPr>
        <w:t>נוסף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9297" w:name="_ETM_Q111_322000"/>
      <w:bookmarkEnd w:id="59297"/>
      <w:r>
        <w:rPr>
          <w:rFonts w:hint="cs"/>
          <w:rtl/>
        </w:rPr>
        <w:t>זו</w:t>
      </w:r>
      <w:bookmarkStart w:id="59298" w:name="_ETM_Q111_326930"/>
      <w:bookmarkEnd w:id="59298"/>
      <w:r>
        <w:rPr>
          <w:rFonts w:hint="cs"/>
          <w:rtl/>
        </w:rPr>
        <w:t xml:space="preserve"> </w:t>
      </w:r>
      <w:bookmarkStart w:id="59299" w:name="_ETM_Q111_327139"/>
      <w:bookmarkEnd w:id="59299"/>
      <w:r>
        <w:rPr>
          <w:rFonts w:hint="cs"/>
          <w:rtl/>
        </w:rPr>
        <w:t xml:space="preserve">היהדות. בסדר.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59300" w:name="_ETM_Q111_326000"/>
      <w:bookmarkStart w:id="59301" w:name="_ETM_Q111_327000"/>
      <w:bookmarkStart w:id="59302" w:name="_ETM_Q111_328010"/>
      <w:bookmarkStart w:id="59303" w:name="_ETM_Q111_328249"/>
      <w:bookmarkEnd w:id="59300"/>
      <w:bookmarkEnd w:id="59301"/>
      <w:bookmarkEnd w:id="59302"/>
      <w:bookmarkEnd w:id="59303"/>
      <w:r>
        <w:rPr>
          <w:rFonts w:hint="cs"/>
          <w:rtl/>
        </w:rPr>
        <w:t xml:space="preserve">נכון. אבל </w:t>
      </w:r>
      <w:bookmarkStart w:id="59304" w:name="_ETM_Q111_325000"/>
      <w:bookmarkStart w:id="59305" w:name="_ETM_Q111_328760"/>
      <w:bookmarkStart w:id="59306" w:name="_ETM_Q111_329090"/>
      <w:bookmarkEnd w:id="59304"/>
      <w:bookmarkEnd w:id="59305"/>
      <w:bookmarkEnd w:id="59306"/>
      <w:r>
        <w:rPr>
          <w:rFonts w:hint="cs"/>
          <w:rtl/>
        </w:rPr>
        <w:t xml:space="preserve">לכן </w:t>
      </w:r>
      <w:bookmarkStart w:id="59307" w:name="_ETM_Q111_329540"/>
      <w:bookmarkEnd w:id="59307"/>
      <w:r>
        <w:rPr>
          <w:rFonts w:hint="cs"/>
          <w:rtl/>
        </w:rPr>
        <w:t xml:space="preserve">מעולם </w:t>
      </w:r>
      <w:bookmarkStart w:id="59308" w:name="_ETM_Q111_329989"/>
      <w:bookmarkEnd w:id="59308"/>
      <w:r>
        <w:rPr>
          <w:rFonts w:hint="cs"/>
          <w:rtl/>
        </w:rPr>
        <w:t xml:space="preserve">לא </w:t>
      </w:r>
      <w:bookmarkStart w:id="59309" w:name="_ETM_Q111_330079"/>
      <w:bookmarkEnd w:id="59309"/>
      <w:r>
        <w:rPr>
          <w:rFonts w:hint="cs"/>
          <w:rtl/>
        </w:rPr>
        <w:t xml:space="preserve">היה </w:t>
      </w:r>
      <w:bookmarkStart w:id="59310" w:name="_ETM_Q111_330230"/>
      <w:bookmarkEnd w:id="59310"/>
      <w:r>
        <w:rPr>
          <w:rFonts w:hint="cs"/>
          <w:rtl/>
        </w:rPr>
        <w:t xml:space="preserve">פה </w:t>
      </w:r>
      <w:bookmarkStart w:id="59311" w:name="_ETM_Q111_330379"/>
      <w:bookmarkEnd w:id="59311"/>
      <w:r>
        <w:rPr>
          <w:rFonts w:hint="cs"/>
          <w:rtl/>
        </w:rPr>
        <w:t xml:space="preserve">רעיון </w:t>
      </w:r>
      <w:bookmarkStart w:id="59312" w:name="_ETM_Q111_330799"/>
      <w:bookmarkEnd w:id="59312"/>
      <w:r>
        <w:rPr>
          <w:rFonts w:hint="cs"/>
          <w:rtl/>
        </w:rPr>
        <w:t xml:space="preserve">– אני </w:t>
      </w:r>
      <w:bookmarkStart w:id="59313" w:name="_ETM_Q111_330889"/>
      <w:bookmarkEnd w:id="59313"/>
      <w:r>
        <w:rPr>
          <w:rFonts w:hint="cs"/>
          <w:rtl/>
        </w:rPr>
        <w:t xml:space="preserve">לא </w:t>
      </w:r>
      <w:bookmarkStart w:id="59314" w:name="_ETM_Q111_330950"/>
      <w:bookmarkEnd w:id="59314"/>
      <w:r>
        <w:rPr>
          <w:rFonts w:hint="cs"/>
          <w:rtl/>
        </w:rPr>
        <w:t xml:space="preserve">חושב </w:t>
      </w:r>
      <w:bookmarkStart w:id="59315" w:name="_ETM_Q111_331129"/>
      <w:bookmarkEnd w:id="59315"/>
      <w:r>
        <w:rPr>
          <w:rFonts w:hint="cs"/>
          <w:rtl/>
        </w:rPr>
        <w:t xml:space="preserve">שאי פעם </w:t>
      </w:r>
      <w:bookmarkStart w:id="59316" w:name="_ETM_Q111_331579"/>
      <w:bookmarkEnd w:id="59316"/>
      <w:r>
        <w:rPr>
          <w:rFonts w:hint="cs"/>
          <w:rtl/>
        </w:rPr>
        <w:t xml:space="preserve">מישהו </w:t>
      </w:r>
      <w:bookmarkStart w:id="59317" w:name="_ETM_Q111_331819"/>
      <w:bookmarkEnd w:id="59317"/>
      <w:r>
        <w:rPr>
          <w:rFonts w:hint="cs"/>
          <w:rtl/>
        </w:rPr>
        <w:t xml:space="preserve">הציע </w:t>
      </w:r>
      <w:bookmarkStart w:id="59318" w:name="_ETM_Q111_332599"/>
      <w:bookmarkEnd w:id="59318"/>
      <w:r>
        <w:rPr>
          <w:rFonts w:hint="cs"/>
          <w:rtl/>
        </w:rPr>
        <w:t>ש</w:t>
      </w:r>
      <w:bookmarkStart w:id="59319" w:name="_ETM_Q111_334639"/>
      <w:bookmarkEnd w:id="59319"/>
      <w:r>
        <w:rPr>
          <w:rFonts w:hint="cs"/>
          <w:rtl/>
        </w:rPr>
        <w:t xml:space="preserve">זרמים </w:t>
      </w:r>
      <w:bookmarkStart w:id="59320" w:name="_ETM_Q111_335180"/>
      <w:bookmarkEnd w:id="59320"/>
      <w:r>
        <w:rPr>
          <w:rFonts w:hint="cs"/>
          <w:rtl/>
        </w:rPr>
        <w:t xml:space="preserve">אחרים </w:t>
      </w:r>
      <w:bookmarkStart w:id="59321" w:name="_ETM_Q111_335689"/>
      <w:bookmarkEnd w:id="59321"/>
      <w:r>
        <w:rPr>
          <w:rFonts w:hint="cs"/>
          <w:rtl/>
        </w:rPr>
        <w:t xml:space="preserve">או </w:t>
      </w:r>
      <w:bookmarkStart w:id="59322" w:name="_ETM_Q111_335749"/>
      <w:bookmarkEnd w:id="59322"/>
      <w:r>
        <w:rPr>
          <w:rFonts w:hint="cs"/>
          <w:rtl/>
        </w:rPr>
        <w:t xml:space="preserve">אנשים </w:t>
      </w:r>
      <w:bookmarkStart w:id="59323" w:name="_ETM_Q111_336079"/>
      <w:bookmarkEnd w:id="59323"/>
      <w:r>
        <w:rPr>
          <w:rFonts w:hint="cs"/>
          <w:rtl/>
        </w:rPr>
        <w:t xml:space="preserve">שהם </w:t>
      </w:r>
      <w:bookmarkStart w:id="59324" w:name="_ETM_Q111_336290"/>
      <w:bookmarkEnd w:id="59324"/>
      <w:r>
        <w:rPr>
          <w:rFonts w:hint="cs"/>
          <w:rtl/>
        </w:rPr>
        <w:t xml:space="preserve">פסולי </w:t>
      </w:r>
      <w:bookmarkStart w:id="59325" w:name="_ETM_Q111_336680"/>
      <w:bookmarkEnd w:id="59325"/>
      <w:r>
        <w:rPr>
          <w:rFonts w:hint="cs"/>
          <w:rtl/>
        </w:rPr>
        <w:t xml:space="preserve">חיתון </w:t>
      </w:r>
      <w:bookmarkStart w:id="59326" w:name="_ETM_Q111_337040"/>
      <w:bookmarkEnd w:id="59326"/>
      <w:r>
        <w:rPr>
          <w:rFonts w:hint="cs"/>
          <w:rtl/>
        </w:rPr>
        <w:t xml:space="preserve">בעיני </w:t>
      </w:r>
      <w:bookmarkStart w:id="59327" w:name="_ETM_Q111_337340"/>
      <w:bookmarkEnd w:id="59327"/>
      <w:r>
        <w:rPr>
          <w:rFonts w:hint="cs"/>
          <w:rtl/>
        </w:rPr>
        <w:t xml:space="preserve">היהדות </w:t>
      </w:r>
      <w:bookmarkStart w:id="59328" w:name="_ETM_Q111_337849"/>
      <w:bookmarkEnd w:id="59328"/>
      <w:r>
        <w:rPr>
          <w:rFonts w:hint="cs"/>
          <w:rtl/>
        </w:rPr>
        <w:t xml:space="preserve">יחותנו </w:t>
      </w:r>
      <w:bookmarkStart w:id="59329" w:name="_ETM_Q111_338419"/>
      <w:bookmarkEnd w:id="59329"/>
      <w:r>
        <w:rPr>
          <w:rFonts w:hint="cs"/>
          <w:rtl/>
        </w:rPr>
        <w:t xml:space="preserve">על ידי </w:t>
      </w:r>
      <w:bookmarkStart w:id="59330" w:name="_ETM_Q111_338689"/>
      <w:bookmarkEnd w:id="59330"/>
      <w:r>
        <w:rPr>
          <w:rFonts w:hint="cs"/>
          <w:rtl/>
        </w:rPr>
        <w:t xml:space="preserve">רבנים. אבל יש פה - - </w:t>
      </w:r>
      <w:bookmarkStart w:id="59331" w:name="_ETM_Q111_340000"/>
      <w:bookmarkEnd w:id="59331"/>
      <w:r>
        <w:rPr>
          <w:rFonts w:hint="cs"/>
          <w:rtl/>
        </w:rPr>
        <w:t>-</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4C06A1">
      <w:pPr>
        <w:rPr>
          <w:rtl/>
        </w:rPr>
      </w:pPr>
      <w:bookmarkStart w:id="59332" w:name="_ETM_Q111_336000"/>
      <w:bookmarkEnd w:id="59332"/>
      <w:r>
        <w:rPr>
          <w:rFonts w:hint="cs"/>
          <w:rtl/>
        </w:rPr>
        <w:t xml:space="preserve">איזו </w:t>
      </w:r>
      <w:bookmarkStart w:id="59333" w:name="_ETM_Q111_339709"/>
      <w:bookmarkStart w:id="59334" w:name="_ETM_Q111_340040"/>
      <w:bookmarkStart w:id="59335" w:name="_ETM_Q111_340430"/>
      <w:bookmarkStart w:id="59336" w:name="_ETM_Q111_340609"/>
      <w:bookmarkStart w:id="59337" w:name="_ETM_Q111_340819"/>
      <w:bookmarkEnd w:id="59333"/>
      <w:bookmarkEnd w:id="59334"/>
      <w:bookmarkEnd w:id="59335"/>
      <w:bookmarkEnd w:id="59336"/>
      <w:bookmarkEnd w:id="59337"/>
      <w:r>
        <w:rPr>
          <w:rFonts w:hint="cs"/>
          <w:rtl/>
        </w:rPr>
        <w:t xml:space="preserve">ייחודיות </w:t>
      </w:r>
      <w:bookmarkStart w:id="59338" w:name="_ETM_Q111_341389"/>
      <w:bookmarkEnd w:id="59338"/>
      <w:r>
        <w:rPr>
          <w:rFonts w:hint="cs"/>
          <w:rtl/>
        </w:rPr>
        <w:t>יש ל</w:t>
      </w:r>
      <w:bookmarkStart w:id="59339" w:name="_ETM_Q111_341569"/>
      <w:bookmarkEnd w:id="59339"/>
      <w:r>
        <w:rPr>
          <w:rFonts w:hint="cs"/>
          <w:rtl/>
        </w:rPr>
        <w:t xml:space="preserve">מדינת </w:t>
      </w:r>
      <w:bookmarkStart w:id="59340" w:name="_ETM_Q111_342139"/>
      <w:bookmarkEnd w:id="59340"/>
      <w:r>
        <w:rPr>
          <w:rFonts w:hint="cs"/>
          <w:rtl/>
        </w:rPr>
        <w:t xml:space="preserve">ישראל </w:t>
      </w:r>
      <w:bookmarkStart w:id="59341" w:name="_ETM_Q111_342469"/>
      <w:bookmarkEnd w:id="59341"/>
      <w:r>
        <w:rPr>
          <w:rFonts w:hint="cs"/>
          <w:rtl/>
        </w:rPr>
        <w:t xml:space="preserve">כמדינה </w:t>
      </w:r>
      <w:bookmarkStart w:id="59342" w:name="_ETM_Q111_342889"/>
      <w:bookmarkEnd w:id="59342"/>
      <w:r>
        <w:rPr>
          <w:rFonts w:hint="cs"/>
          <w:rtl/>
        </w:rPr>
        <w:t xml:space="preserve">יהודית, </w:t>
      </w:r>
      <w:bookmarkStart w:id="59343" w:name="_ETM_Q111_344160"/>
      <w:bookmarkEnd w:id="59343"/>
      <w:r>
        <w:rPr>
          <w:rFonts w:hint="cs"/>
          <w:rtl/>
        </w:rPr>
        <w:t xml:space="preserve">ולא </w:t>
      </w:r>
      <w:bookmarkStart w:id="59344" w:name="_ETM_Q111_345120"/>
      <w:bookmarkEnd w:id="59344"/>
      <w:r>
        <w:rPr>
          <w:rFonts w:hint="cs"/>
          <w:rtl/>
        </w:rPr>
        <w:t xml:space="preserve">עוד </w:t>
      </w:r>
      <w:bookmarkStart w:id="59345" w:name="_ETM_Q111_345419"/>
      <w:bookmarkEnd w:id="59345"/>
      <w:r>
        <w:rPr>
          <w:rFonts w:hint="cs"/>
          <w:rtl/>
        </w:rPr>
        <w:t xml:space="preserve">ארצות </w:t>
      </w:r>
      <w:bookmarkStart w:id="59346" w:name="_ETM_Q111_345720"/>
      <w:bookmarkEnd w:id="59346"/>
      <w:r>
        <w:rPr>
          <w:rFonts w:hint="cs"/>
          <w:rtl/>
        </w:rPr>
        <w:t xml:space="preserve">הברית, </w:t>
      </w:r>
      <w:bookmarkStart w:id="59347" w:name="_ETM_Q111_346169"/>
      <w:bookmarkEnd w:id="59347"/>
      <w:r>
        <w:rPr>
          <w:rFonts w:hint="cs"/>
          <w:rtl/>
        </w:rPr>
        <w:t xml:space="preserve">עוד </w:t>
      </w:r>
      <w:bookmarkStart w:id="59348" w:name="_ETM_Q111_346530"/>
      <w:bookmarkEnd w:id="59348"/>
      <w:r>
        <w:rPr>
          <w:rFonts w:hint="cs"/>
          <w:rtl/>
        </w:rPr>
        <w:t>כוכב אחד</w:t>
      </w:r>
      <w:bookmarkStart w:id="59349" w:name="_ETM_Q111_346950"/>
      <w:bookmarkEnd w:id="59349"/>
      <w:r>
        <w:rPr>
          <w:rFonts w:hint="cs"/>
          <w:rtl/>
        </w:rPr>
        <w:t xml:space="preserve"> </w:t>
      </w:r>
      <w:bookmarkStart w:id="59350" w:name="_ETM_Q111_347250"/>
      <w:bookmarkEnd w:id="59350"/>
      <w:r>
        <w:rPr>
          <w:rFonts w:hint="cs"/>
          <w:rtl/>
        </w:rPr>
        <w:t xml:space="preserve">בסמל </w:t>
      </w:r>
      <w:bookmarkStart w:id="59351" w:name="_ETM_Q111_347910"/>
      <w:bookmarkEnd w:id="59351"/>
      <w:r>
        <w:rPr>
          <w:rFonts w:hint="cs"/>
          <w:rtl/>
        </w:rPr>
        <w:t xml:space="preserve">הגדול? רק </w:t>
      </w:r>
      <w:bookmarkStart w:id="59352" w:name="_ETM_Q111_349410"/>
      <w:bookmarkStart w:id="59353" w:name="_ETM_Q111_349919"/>
      <w:bookmarkEnd w:id="59352"/>
      <w:bookmarkEnd w:id="59353"/>
      <w:r>
        <w:rPr>
          <w:rFonts w:hint="cs"/>
          <w:rtl/>
        </w:rPr>
        <w:t xml:space="preserve">לדוגמה </w:t>
      </w:r>
      <w:bookmarkStart w:id="59354" w:name="_ETM_Q111_350250"/>
      <w:bookmarkEnd w:id="59354"/>
      <w:r>
        <w:rPr>
          <w:rFonts w:hint="cs"/>
          <w:rtl/>
        </w:rPr>
        <w:t xml:space="preserve">אמרתי </w:t>
      </w:r>
      <w:bookmarkStart w:id="59355" w:name="_ETM_Q111_350610"/>
      <w:bookmarkEnd w:id="59355"/>
      <w:r>
        <w:rPr>
          <w:rFonts w:hint="cs"/>
          <w:rtl/>
        </w:rPr>
        <w:t>נישואי</w:t>
      </w:r>
      <w:r w:rsidR="004C06A1">
        <w:rPr>
          <w:rFonts w:hint="cs"/>
          <w:rtl/>
        </w:rPr>
        <w:t>ם</w:t>
      </w:r>
      <w:r>
        <w:rPr>
          <w:rFonts w:hint="cs"/>
          <w:rtl/>
        </w:rPr>
        <w:t xml:space="preserve">. יש הרבה דוגמאות. </w:t>
      </w:r>
      <w:bookmarkStart w:id="59356" w:name="_ETM_Q111_350000"/>
      <w:bookmarkEnd w:id="59356"/>
    </w:p>
    <w:p w:rsidR="00BB59CD" w:rsidRDefault="00BB59CD" w:rsidP="00BB59CD">
      <w:pPr>
        <w:rPr>
          <w:rtl/>
        </w:rPr>
      </w:pPr>
      <w:bookmarkStart w:id="59357" w:name="_ETM_Q111_351000"/>
      <w:bookmarkEnd w:id="59357"/>
    </w:p>
    <w:p w:rsidR="00BB59CD" w:rsidRDefault="00BB59CD" w:rsidP="00BB59CD">
      <w:pPr>
        <w:pStyle w:val="-"/>
        <w:keepNext/>
        <w:rPr>
          <w:rtl/>
        </w:rPr>
      </w:pPr>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4C06A1">
      <w:pPr>
        <w:rPr>
          <w:rtl/>
        </w:rPr>
      </w:pPr>
      <w:bookmarkStart w:id="59358" w:name="_ETM_Q111_347000"/>
      <w:bookmarkStart w:id="59359" w:name="_ETM_Q111_351030"/>
      <w:bookmarkEnd w:id="59358"/>
      <w:bookmarkEnd w:id="59359"/>
      <w:r>
        <w:rPr>
          <w:rFonts w:hint="cs"/>
          <w:rtl/>
        </w:rPr>
        <w:t xml:space="preserve">לא. </w:t>
      </w:r>
      <w:bookmarkStart w:id="59360" w:name="_ETM_Q111_351300"/>
      <w:bookmarkEnd w:id="59360"/>
      <w:r>
        <w:rPr>
          <w:rFonts w:hint="cs"/>
          <w:rtl/>
        </w:rPr>
        <w:t xml:space="preserve">אבל אני </w:t>
      </w:r>
      <w:bookmarkStart w:id="59361" w:name="_ETM_Q111_351540"/>
      <w:bookmarkEnd w:id="59361"/>
      <w:r>
        <w:rPr>
          <w:rFonts w:hint="cs"/>
          <w:rtl/>
        </w:rPr>
        <w:t xml:space="preserve">לא </w:t>
      </w:r>
      <w:bookmarkStart w:id="59362" w:name="_ETM_Q111_351660"/>
      <w:bookmarkEnd w:id="59362"/>
      <w:r>
        <w:rPr>
          <w:rFonts w:hint="cs"/>
          <w:rtl/>
        </w:rPr>
        <w:t xml:space="preserve">באמת </w:t>
      </w:r>
      <w:bookmarkStart w:id="59363" w:name="_ETM_Q111_351959"/>
      <w:bookmarkEnd w:id="59363"/>
      <w:r>
        <w:rPr>
          <w:rFonts w:hint="cs"/>
          <w:rtl/>
        </w:rPr>
        <w:t xml:space="preserve">חושב </w:t>
      </w:r>
      <w:bookmarkStart w:id="59364" w:name="_ETM_Q111_352319"/>
      <w:bookmarkEnd w:id="59364"/>
      <w:r>
        <w:rPr>
          <w:rFonts w:hint="cs"/>
          <w:rtl/>
        </w:rPr>
        <w:t xml:space="preserve">שזה </w:t>
      </w:r>
      <w:bookmarkStart w:id="59365" w:name="_ETM_Q111_352680"/>
      <w:bookmarkEnd w:id="59365"/>
      <w:r>
        <w:rPr>
          <w:rFonts w:hint="cs"/>
          <w:rtl/>
        </w:rPr>
        <w:t xml:space="preserve">אי </w:t>
      </w:r>
      <w:bookmarkStart w:id="59366" w:name="_ETM_Q111_352830"/>
      <w:bookmarkEnd w:id="59366"/>
      <w:r>
        <w:rPr>
          <w:rFonts w:hint="cs"/>
          <w:rtl/>
        </w:rPr>
        <w:t xml:space="preserve">פעם </w:t>
      </w:r>
      <w:bookmarkStart w:id="59367" w:name="_ETM_Q111_353340"/>
      <w:bookmarkEnd w:id="59367"/>
      <w:r>
        <w:rPr>
          <w:rFonts w:hint="cs"/>
          <w:rtl/>
        </w:rPr>
        <w:t xml:space="preserve">היה הוויכוח </w:t>
      </w:r>
      <w:bookmarkStart w:id="59368" w:name="_ETM_Q111_353849"/>
      <w:bookmarkEnd w:id="59368"/>
      <w:r>
        <w:rPr>
          <w:rFonts w:hint="cs"/>
          <w:rtl/>
        </w:rPr>
        <w:t xml:space="preserve">שקרע את העם. </w:t>
      </w:r>
      <w:bookmarkStart w:id="59369" w:name="_ETM_Q111_354270"/>
      <w:bookmarkStart w:id="59370" w:name="_ETM_Q111_355000"/>
      <w:bookmarkEnd w:id="59369"/>
      <w:bookmarkEnd w:id="59370"/>
      <w:r>
        <w:rPr>
          <w:rFonts w:hint="cs"/>
          <w:rtl/>
        </w:rPr>
        <w:t xml:space="preserve">אני </w:t>
      </w:r>
      <w:bookmarkStart w:id="59371" w:name="_ETM_Q111_355209"/>
      <w:bookmarkEnd w:id="59371"/>
      <w:r>
        <w:rPr>
          <w:rFonts w:hint="cs"/>
          <w:rtl/>
        </w:rPr>
        <w:t xml:space="preserve">חושב </w:t>
      </w:r>
      <w:bookmarkStart w:id="59372" w:name="_ETM_Q111_355629"/>
      <w:bookmarkEnd w:id="59372"/>
      <w:r>
        <w:rPr>
          <w:rFonts w:hint="cs"/>
          <w:rtl/>
        </w:rPr>
        <w:t xml:space="preserve">שאנשים </w:t>
      </w:r>
      <w:bookmarkStart w:id="59373" w:name="_ETM_Q111_356830"/>
      <w:bookmarkEnd w:id="59373"/>
      <w:r>
        <w:rPr>
          <w:rFonts w:hint="cs"/>
          <w:rtl/>
        </w:rPr>
        <w:t xml:space="preserve">שיוצאים </w:t>
      </w:r>
      <w:bookmarkStart w:id="59374" w:name="_ETM_Q111_357220"/>
      <w:bookmarkEnd w:id="59374"/>
      <w:r>
        <w:rPr>
          <w:rFonts w:hint="cs"/>
          <w:rtl/>
        </w:rPr>
        <w:t xml:space="preserve">שם </w:t>
      </w:r>
      <w:bookmarkStart w:id="59375" w:name="_ETM_Q111_357400"/>
      <w:bookmarkEnd w:id="59375"/>
      <w:r>
        <w:rPr>
          <w:rFonts w:hint="cs"/>
          <w:rtl/>
        </w:rPr>
        <w:t xml:space="preserve">בחוץ, </w:t>
      </w:r>
      <w:bookmarkStart w:id="59376" w:name="_ETM_Q111_358210"/>
      <w:bookmarkEnd w:id="59376"/>
      <w:r>
        <w:rPr>
          <w:rFonts w:hint="cs"/>
          <w:rtl/>
        </w:rPr>
        <w:t xml:space="preserve">מאות </w:t>
      </w:r>
      <w:bookmarkStart w:id="59377" w:name="_ETM_Q111_358570"/>
      <w:bookmarkEnd w:id="59377"/>
      <w:r>
        <w:rPr>
          <w:rFonts w:hint="cs"/>
          <w:rtl/>
        </w:rPr>
        <w:t xml:space="preserve">האלפים </w:t>
      </w:r>
      <w:bookmarkStart w:id="59378" w:name="_ETM_Q111_358900"/>
      <w:bookmarkEnd w:id="59378"/>
      <w:r>
        <w:rPr>
          <w:rFonts w:hint="cs"/>
          <w:rtl/>
        </w:rPr>
        <w:t>שמפגינים</w:t>
      </w:r>
      <w:bookmarkStart w:id="59379" w:name="_ETM_Q111_359830"/>
      <w:bookmarkEnd w:id="59379"/>
      <w:r>
        <w:rPr>
          <w:rFonts w:hint="cs"/>
          <w:rtl/>
        </w:rPr>
        <w:t xml:space="preserve"> – אני </w:t>
      </w:r>
      <w:bookmarkStart w:id="59380" w:name="_ETM_Q111_359950"/>
      <w:bookmarkEnd w:id="59380"/>
      <w:r>
        <w:rPr>
          <w:rFonts w:hint="cs"/>
          <w:rtl/>
        </w:rPr>
        <w:t xml:space="preserve">לא </w:t>
      </w:r>
      <w:bookmarkStart w:id="59381" w:name="_ETM_Q111_360010"/>
      <w:bookmarkEnd w:id="59381"/>
      <w:r>
        <w:rPr>
          <w:rFonts w:hint="cs"/>
          <w:rtl/>
        </w:rPr>
        <w:t xml:space="preserve">חושב </w:t>
      </w:r>
      <w:bookmarkStart w:id="59382" w:name="_ETM_Q111_360190"/>
      <w:bookmarkEnd w:id="59382"/>
      <w:r>
        <w:rPr>
          <w:rFonts w:hint="cs"/>
          <w:rtl/>
        </w:rPr>
        <w:t xml:space="preserve">שמישהו </w:t>
      </w:r>
      <w:bookmarkStart w:id="59383" w:name="_ETM_Q111_360550"/>
      <w:bookmarkEnd w:id="59383"/>
      <w:r>
        <w:rPr>
          <w:rFonts w:hint="cs"/>
          <w:rtl/>
        </w:rPr>
        <w:t xml:space="preserve">שם מחפש </w:t>
      </w:r>
      <w:bookmarkStart w:id="59384" w:name="_ETM_Q111_361060"/>
      <w:bookmarkEnd w:id="59384"/>
      <w:r>
        <w:rPr>
          <w:rFonts w:hint="cs"/>
          <w:rtl/>
        </w:rPr>
        <w:t xml:space="preserve">שהמדינה </w:t>
      </w:r>
      <w:bookmarkStart w:id="59385" w:name="_ETM_Q111_361450"/>
      <w:bookmarkEnd w:id="59385"/>
      <w:r>
        <w:rPr>
          <w:rFonts w:hint="cs"/>
          <w:rtl/>
        </w:rPr>
        <w:t xml:space="preserve">לא תהיה יהודית. </w:t>
      </w:r>
      <w:bookmarkStart w:id="59386" w:name="_ETM_Q111_361660"/>
      <w:bookmarkEnd w:id="59386"/>
      <w:r>
        <w:rPr>
          <w:rFonts w:hint="cs"/>
          <w:rtl/>
        </w:rPr>
        <w:t xml:space="preserve">אני </w:t>
      </w:r>
      <w:bookmarkStart w:id="59387" w:name="_ETM_Q111_362139"/>
      <w:bookmarkEnd w:id="59387"/>
      <w:r>
        <w:rPr>
          <w:rFonts w:hint="cs"/>
          <w:rtl/>
        </w:rPr>
        <w:t>לא</w:t>
      </w:r>
      <w:bookmarkStart w:id="59388" w:name="_ETM_Q111_362350"/>
      <w:bookmarkEnd w:id="59388"/>
      <w:r>
        <w:rPr>
          <w:rFonts w:hint="cs"/>
          <w:rtl/>
        </w:rPr>
        <w:t xml:space="preserve"> שומע </w:t>
      </w:r>
      <w:bookmarkStart w:id="59389" w:name="_ETM_Q111_362560"/>
      <w:bookmarkEnd w:id="59389"/>
      <w:r>
        <w:rPr>
          <w:rFonts w:hint="cs"/>
          <w:rtl/>
        </w:rPr>
        <w:t xml:space="preserve">אמירות </w:t>
      </w:r>
      <w:bookmarkStart w:id="59390" w:name="_ETM_Q111_362950"/>
      <w:bookmarkEnd w:id="59390"/>
      <w:r>
        <w:rPr>
          <w:rFonts w:hint="cs"/>
          <w:rtl/>
        </w:rPr>
        <w:t xml:space="preserve">כאלה. </w:t>
      </w:r>
      <w:bookmarkStart w:id="59391" w:name="_ETM_Q111_363639"/>
      <w:bookmarkEnd w:id="59391"/>
      <w:r>
        <w:rPr>
          <w:rFonts w:hint="cs"/>
          <w:rtl/>
        </w:rPr>
        <w:t xml:space="preserve">אני </w:t>
      </w:r>
      <w:bookmarkStart w:id="59392" w:name="_ETM_Q111_363850"/>
      <w:bookmarkEnd w:id="59392"/>
      <w:r>
        <w:rPr>
          <w:rFonts w:hint="cs"/>
          <w:rtl/>
        </w:rPr>
        <w:t xml:space="preserve">מסתובב </w:t>
      </w:r>
      <w:bookmarkStart w:id="59393" w:name="_ETM_Q111_364389"/>
      <w:bookmarkEnd w:id="59393"/>
      <w:r>
        <w:rPr>
          <w:rFonts w:hint="cs"/>
          <w:rtl/>
        </w:rPr>
        <w:t xml:space="preserve">בקרבם, </w:t>
      </w:r>
      <w:bookmarkStart w:id="59394" w:name="_ETM_Q111_364990"/>
      <w:bookmarkEnd w:id="59394"/>
      <w:r>
        <w:rPr>
          <w:rFonts w:hint="cs"/>
          <w:rtl/>
        </w:rPr>
        <w:t xml:space="preserve">בתוכם. </w:t>
      </w:r>
      <w:bookmarkStart w:id="59395" w:name="_ETM_Q111_365970"/>
      <w:bookmarkEnd w:id="59395"/>
      <w:r>
        <w:rPr>
          <w:rFonts w:hint="cs"/>
          <w:rtl/>
        </w:rPr>
        <w:t xml:space="preserve">אין </w:t>
      </w:r>
      <w:bookmarkStart w:id="59396" w:name="_ETM_Q111_366120"/>
      <w:bookmarkEnd w:id="59396"/>
      <w:r>
        <w:rPr>
          <w:rFonts w:hint="cs"/>
          <w:rtl/>
        </w:rPr>
        <w:t xml:space="preserve">פה </w:t>
      </w:r>
      <w:bookmarkStart w:id="59397" w:name="_ETM_Q111_366239"/>
      <w:bookmarkEnd w:id="59397"/>
      <w:r>
        <w:rPr>
          <w:rFonts w:hint="cs"/>
          <w:rtl/>
        </w:rPr>
        <w:t xml:space="preserve">חשש </w:t>
      </w:r>
      <w:bookmarkStart w:id="59398" w:name="_ETM_Q111_366690"/>
      <w:bookmarkEnd w:id="59398"/>
      <w:r>
        <w:rPr>
          <w:rFonts w:hint="cs"/>
          <w:rtl/>
        </w:rPr>
        <w:t xml:space="preserve">ליהדותה </w:t>
      </w:r>
      <w:bookmarkStart w:id="59399" w:name="_ETM_Q111_367200"/>
      <w:bookmarkEnd w:id="59399"/>
      <w:r>
        <w:rPr>
          <w:rFonts w:hint="cs"/>
          <w:rtl/>
        </w:rPr>
        <w:t xml:space="preserve">של </w:t>
      </w:r>
      <w:bookmarkStart w:id="59400" w:name="_ETM_Q111_367379"/>
      <w:bookmarkEnd w:id="59400"/>
      <w:r>
        <w:rPr>
          <w:rFonts w:hint="cs"/>
          <w:rtl/>
        </w:rPr>
        <w:t xml:space="preserve">המדינה. </w:t>
      </w:r>
      <w:bookmarkStart w:id="59401" w:name="_ETM_Q111_367950"/>
      <w:bookmarkEnd w:id="59401"/>
      <w:r>
        <w:rPr>
          <w:rFonts w:hint="cs"/>
          <w:rtl/>
        </w:rPr>
        <w:t xml:space="preserve">אני </w:t>
      </w:r>
      <w:bookmarkStart w:id="59402" w:name="_ETM_Q111_368190"/>
      <w:bookmarkEnd w:id="59402"/>
      <w:r>
        <w:rPr>
          <w:rFonts w:hint="cs"/>
          <w:rtl/>
        </w:rPr>
        <w:t xml:space="preserve">כביכול </w:t>
      </w:r>
      <w:bookmarkStart w:id="59403" w:name="_ETM_Q111_368669"/>
      <w:bookmarkEnd w:id="59403"/>
      <w:r>
        <w:rPr>
          <w:rFonts w:hint="cs"/>
          <w:rtl/>
        </w:rPr>
        <w:t xml:space="preserve">מהאופוזיציה, </w:t>
      </w:r>
      <w:bookmarkStart w:id="59404" w:name="_ETM_Q111_369300"/>
      <w:bookmarkEnd w:id="59404"/>
      <w:r>
        <w:rPr>
          <w:rFonts w:hint="cs"/>
          <w:rtl/>
        </w:rPr>
        <w:t xml:space="preserve">נכון? </w:t>
      </w:r>
      <w:bookmarkStart w:id="59405" w:name="_ETM_Q111_369540"/>
      <w:bookmarkEnd w:id="59405"/>
      <w:r>
        <w:rPr>
          <w:rFonts w:hint="cs"/>
          <w:rtl/>
        </w:rPr>
        <w:t xml:space="preserve">אני </w:t>
      </w:r>
      <w:bookmarkStart w:id="59406" w:name="_ETM_Q111_369660"/>
      <w:bookmarkEnd w:id="59406"/>
      <w:r>
        <w:rPr>
          <w:rFonts w:hint="cs"/>
          <w:rtl/>
        </w:rPr>
        <w:t xml:space="preserve">מהצד </w:t>
      </w:r>
      <w:bookmarkStart w:id="59407" w:name="_ETM_Q111_369989"/>
      <w:bookmarkEnd w:id="59407"/>
      <w:r>
        <w:rPr>
          <w:rFonts w:hint="cs"/>
          <w:rtl/>
        </w:rPr>
        <w:t xml:space="preserve">השני. </w:t>
      </w:r>
      <w:bookmarkStart w:id="59408" w:name="_ETM_Q111_370650"/>
      <w:bookmarkEnd w:id="59408"/>
      <w:r>
        <w:rPr>
          <w:rFonts w:hint="cs"/>
          <w:rtl/>
        </w:rPr>
        <w:t xml:space="preserve">לא </w:t>
      </w:r>
      <w:bookmarkStart w:id="59409" w:name="_ETM_Q111_370830"/>
      <w:bookmarkEnd w:id="59409"/>
      <w:r>
        <w:rPr>
          <w:rFonts w:hint="cs"/>
          <w:rtl/>
        </w:rPr>
        <w:t xml:space="preserve">אני, ואני לא </w:t>
      </w:r>
      <w:bookmarkStart w:id="59410" w:name="_ETM_Q111_366000"/>
      <w:bookmarkStart w:id="59411" w:name="_ETM_Q111_371040"/>
      <w:bookmarkStart w:id="59412" w:name="_ETM_Q111_371250"/>
      <w:bookmarkEnd w:id="59410"/>
      <w:bookmarkEnd w:id="59411"/>
      <w:bookmarkEnd w:id="59412"/>
      <w:r>
        <w:rPr>
          <w:rFonts w:hint="cs"/>
          <w:rtl/>
        </w:rPr>
        <w:t xml:space="preserve">מכיר </w:t>
      </w:r>
      <w:bookmarkStart w:id="59413" w:name="_ETM_Q111_371610"/>
      <w:bookmarkEnd w:id="59413"/>
      <w:r>
        <w:rPr>
          <w:rFonts w:hint="cs"/>
          <w:rtl/>
        </w:rPr>
        <w:t xml:space="preserve">אף אחד </w:t>
      </w:r>
      <w:bookmarkStart w:id="59414" w:name="_ETM_Q111_371819"/>
      <w:bookmarkStart w:id="59415" w:name="_ETM_Q111_372480"/>
      <w:bookmarkEnd w:id="59414"/>
      <w:bookmarkEnd w:id="59415"/>
      <w:r>
        <w:rPr>
          <w:rFonts w:hint="cs"/>
          <w:rtl/>
        </w:rPr>
        <w:t xml:space="preserve">במפלגה </w:t>
      </w:r>
      <w:bookmarkStart w:id="59416" w:name="_ETM_Q111_373019"/>
      <w:bookmarkEnd w:id="59416"/>
      <w:r>
        <w:rPr>
          <w:rFonts w:hint="cs"/>
          <w:rtl/>
        </w:rPr>
        <w:t xml:space="preserve">שלי </w:t>
      </w:r>
      <w:bookmarkStart w:id="59417" w:name="_ETM_Q111_373349"/>
      <w:bookmarkEnd w:id="59417"/>
      <w:r>
        <w:rPr>
          <w:rFonts w:hint="cs"/>
          <w:rtl/>
        </w:rPr>
        <w:t>ש</w:t>
      </w:r>
      <w:bookmarkStart w:id="59418" w:name="_ETM_Q111_373860"/>
      <w:bookmarkEnd w:id="59418"/>
      <w:r>
        <w:rPr>
          <w:rFonts w:hint="cs"/>
          <w:rtl/>
        </w:rPr>
        <w:t xml:space="preserve">מעלה </w:t>
      </w:r>
      <w:bookmarkStart w:id="59419" w:name="_ETM_Q111_374250"/>
      <w:bookmarkEnd w:id="59419"/>
      <w:r>
        <w:rPr>
          <w:rFonts w:hint="cs"/>
          <w:rtl/>
        </w:rPr>
        <w:t xml:space="preserve">על </w:t>
      </w:r>
      <w:bookmarkStart w:id="59420" w:name="_ETM_Q111_374340"/>
      <w:bookmarkEnd w:id="59420"/>
      <w:r>
        <w:rPr>
          <w:rFonts w:hint="cs"/>
          <w:rtl/>
        </w:rPr>
        <w:t xml:space="preserve">דעתו </w:t>
      </w:r>
      <w:bookmarkStart w:id="59421" w:name="_ETM_Q111_374819"/>
      <w:bookmarkEnd w:id="59421"/>
      <w:r>
        <w:rPr>
          <w:rFonts w:hint="cs"/>
          <w:rtl/>
        </w:rPr>
        <w:t>או</w:t>
      </w:r>
      <w:bookmarkStart w:id="59422" w:name="_ETM_Q111_375450"/>
      <w:bookmarkEnd w:id="59422"/>
      <w:r>
        <w:rPr>
          <w:rFonts w:hint="cs"/>
          <w:rtl/>
        </w:rPr>
        <w:t xml:space="preserve"> </w:t>
      </w:r>
      <w:bookmarkStart w:id="59423" w:name="_ETM_Q111_375599"/>
      <w:bookmarkEnd w:id="59423"/>
      <w:r>
        <w:rPr>
          <w:rFonts w:hint="cs"/>
          <w:rtl/>
        </w:rPr>
        <w:t xml:space="preserve">היה </w:t>
      </w:r>
      <w:bookmarkStart w:id="59424" w:name="_ETM_Q111_375810"/>
      <w:bookmarkEnd w:id="59424"/>
      <w:r>
        <w:rPr>
          <w:rFonts w:hint="cs"/>
          <w:rtl/>
        </w:rPr>
        <w:t xml:space="preserve">מתפשר </w:t>
      </w:r>
      <w:bookmarkStart w:id="59425" w:name="_ETM_Q111_376530"/>
      <w:bookmarkEnd w:id="59425"/>
      <w:r>
        <w:rPr>
          <w:rFonts w:hint="cs"/>
          <w:rtl/>
        </w:rPr>
        <w:t xml:space="preserve">או </w:t>
      </w:r>
      <w:bookmarkStart w:id="59426" w:name="_ETM_Q111_376650"/>
      <w:bookmarkEnd w:id="59426"/>
      <w:r>
        <w:rPr>
          <w:rFonts w:hint="cs"/>
          <w:rtl/>
        </w:rPr>
        <w:t xml:space="preserve">לא </w:t>
      </w:r>
      <w:bookmarkStart w:id="59427" w:name="_ETM_Q111_376800"/>
      <w:bookmarkEnd w:id="59427"/>
      <w:r>
        <w:rPr>
          <w:rFonts w:hint="cs"/>
          <w:rtl/>
        </w:rPr>
        <w:t xml:space="preserve">נלחם </w:t>
      </w:r>
      <w:bookmarkStart w:id="59428" w:name="_ETM_Q111_377250"/>
      <w:bookmarkEnd w:id="59428"/>
      <w:r>
        <w:rPr>
          <w:rFonts w:hint="cs"/>
          <w:rtl/>
        </w:rPr>
        <w:t xml:space="preserve">כל </w:t>
      </w:r>
      <w:bookmarkStart w:id="59429" w:name="_ETM_Q111_377430"/>
      <w:bookmarkEnd w:id="59429"/>
      <w:r>
        <w:rPr>
          <w:rFonts w:hint="cs"/>
          <w:rtl/>
        </w:rPr>
        <w:t xml:space="preserve">חייו </w:t>
      </w:r>
      <w:bookmarkStart w:id="59430" w:name="_ETM_Q111_377730"/>
      <w:bookmarkEnd w:id="59430"/>
      <w:r>
        <w:rPr>
          <w:rFonts w:hint="cs"/>
          <w:rtl/>
        </w:rPr>
        <w:t xml:space="preserve">כדי </w:t>
      </w:r>
      <w:bookmarkStart w:id="59431" w:name="_ETM_Q111_378030"/>
      <w:bookmarkEnd w:id="59431"/>
      <w:r>
        <w:rPr>
          <w:rFonts w:hint="cs"/>
          <w:rtl/>
        </w:rPr>
        <w:t xml:space="preserve">שהיא </w:t>
      </w:r>
      <w:bookmarkStart w:id="59432" w:name="_ETM_Q111_378209"/>
      <w:bookmarkEnd w:id="59432"/>
      <w:r>
        <w:rPr>
          <w:rFonts w:hint="cs"/>
          <w:rtl/>
        </w:rPr>
        <w:t xml:space="preserve">תהיה </w:t>
      </w:r>
      <w:bookmarkStart w:id="59433" w:name="_ETM_Q111_378360"/>
      <w:bookmarkEnd w:id="59433"/>
      <w:r>
        <w:rPr>
          <w:rFonts w:hint="cs"/>
          <w:rtl/>
        </w:rPr>
        <w:t xml:space="preserve">מדינה </w:t>
      </w:r>
      <w:bookmarkStart w:id="59434" w:name="_ETM_Q111_378660"/>
      <w:bookmarkEnd w:id="59434"/>
      <w:r>
        <w:rPr>
          <w:rFonts w:hint="cs"/>
          <w:rtl/>
        </w:rPr>
        <w:t xml:space="preserve">יהודית. </w:t>
      </w:r>
      <w:bookmarkStart w:id="59435" w:name="_ETM_Q111_379230"/>
      <w:bookmarkEnd w:id="59435"/>
      <w:r>
        <w:rPr>
          <w:rFonts w:hint="cs"/>
          <w:rtl/>
        </w:rPr>
        <w:t xml:space="preserve">המדינה </w:t>
      </w:r>
      <w:bookmarkStart w:id="59436" w:name="_ETM_Q111_379709"/>
      <w:bookmarkEnd w:id="59436"/>
      <w:r>
        <w:rPr>
          <w:rFonts w:hint="cs"/>
          <w:rtl/>
        </w:rPr>
        <w:t xml:space="preserve">הזו </w:t>
      </w:r>
      <w:bookmarkStart w:id="59437" w:name="_ETM_Q111_379889"/>
      <w:bookmarkEnd w:id="59437"/>
      <w:r>
        <w:rPr>
          <w:rFonts w:hint="cs"/>
          <w:rtl/>
        </w:rPr>
        <w:t xml:space="preserve">הוקמה </w:t>
      </w:r>
      <w:bookmarkStart w:id="59438" w:name="_ETM_Q111_380849"/>
      <w:bookmarkEnd w:id="59438"/>
      <w:r>
        <w:rPr>
          <w:rFonts w:hint="cs"/>
          <w:rtl/>
        </w:rPr>
        <w:t xml:space="preserve">כמדינת </w:t>
      </w:r>
      <w:bookmarkStart w:id="59439" w:name="_ETM_Q111_381569"/>
      <w:bookmarkEnd w:id="59439"/>
      <w:r>
        <w:rPr>
          <w:rFonts w:hint="cs"/>
          <w:rtl/>
        </w:rPr>
        <w:t xml:space="preserve">העם </w:t>
      </w:r>
      <w:bookmarkStart w:id="59440" w:name="_ETM_Q111_381810"/>
      <w:bookmarkEnd w:id="59440"/>
      <w:r>
        <w:rPr>
          <w:rFonts w:hint="cs"/>
          <w:rtl/>
        </w:rPr>
        <w:t xml:space="preserve">היהודי. </w:t>
      </w:r>
      <w:bookmarkStart w:id="59441" w:name="_ETM_Q111_382440"/>
      <w:bookmarkEnd w:id="59441"/>
      <w:r>
        <w:rPr>
          <w:rFonts w:hint="cs"/>
          <w:rtl/>
        </w:rPr>
        <w:t xml:space="preserve">היא </w:t>
      </w:r>
      <w:bookmarkStart w:id="59442" w:name="_ETM_Q111_382590"/>
      <w:bookmarkEnd w:id="59442"/>
      <w:r>
        <w:rPr>
          <w:rFonts w:hint="cs"/>
          <w:rtl/>
        </w:rPr>
        <w:t xml:space="preserve">כל </w:t>
      </w:r>
      <w:bookmarkStart w:id="59443" w:name="_ETM_Q111_382889"/>
      <w:bookmarkEnd w:id="59443"/>
      <w:r>
        <w:rPr>
          <w:rFonts w:hint="cs"/>
          <w:rtl/>
        </w:rPr>
        <w:t xml:space="preserve">יום </w:t>
      </w:r>
      <w:bookmarkStart w:id="59444" w:name="_ETM_Q111_383190"/>
      <w:bookmarkEnd w:id="59444"/>
      <w:r>
        <w:rPr>
          <w:rFonts w:hint="cs"/>
          <w:rtl/>
        </w:rPr>
        <w:t xml:space="preserve">חיה </w:t>
      </w:r>
      <w:bookmarkStart w:id="59445" w:name="_ETM_Q111_383580"/>
      <w:bookmarkEnd w:id="59445"/>
      <w:r>
        <w:rPr>
          <w:rFonts w:hint="cs"/>
          <w:rtl/>
        </w:rPr>
        <w:t xml:space="preserve">ומתקיימת </w:t>
      </w:r>
      <w:bookmarkStart w:id="59446" w:name="_ETM_Q111_384090"/>
      <w:bookmarkEnd w:id="59446"/>
      <w:r>
        <w:rPr>
          <w:rFonts w:hint="cs"/>
          <w:rtl/>
        </w:rPr>
        <w:t xml:space="preserve">כמדינת </w:t>
      </w:r>
      <w:bookmarkStart w:id="59447" w:name="_ETM_Q111_384569"/>
      <w:bookmarkEnd w:id="59447"/>
      <w:r>
        <w:rPr>
          <w:rFonts w:hint="cs"/>
          <w:rtl/>
        </w:rPr>
        <w:t xml:space="preserve">העם </w:t>
      </w:r>
      <w:bookmarkStart w:id="59448" w:name="_ETM_Q111_384750"/>
      <w:bookmarkEnd w:id="59448"/>
      <w:r>
        <w:rPr>
          <w:rFonts w:hint="cs"/>
          <w:rtl/>
        </w:rPr>
        <w:t xml:space="preserve">היהודי. </w:t>
      </w:r>
      <w:bookmarkStart w:id="59449" w:name="_ETM_Q111_385560"/>
      <w:bookmarkEnd w:id="59449"/>
      <w:r>
        <w:rPr>
          <w:rFonts w:hint="cs"/>
          <w:rtl/>
        </w:rPr>
        <w:t xml:space="preserve">הצורך </w:t>
      </w:r>
      <w:bookmarkStart w:id="59450" w:name="_ETM_Q111_387030"/>
      <w:bookmarkEnd w:id="59450"/>
      <w:r>
        <w:rPr>
          <w:rFonts w:hint="cs"/>
          <w:rtl/>
        </w:rPr>
        <w:t xml:space="preserve">הוא לשמור </w:t>
      </w:r>
      <w:bookmarkStart w:id="59451" w:name="_ETM_Q111_387510"/>
      <w:bookmarkEnd w:id="59451"/>
      <w:r>
        <w:rPr>
          <w:rFonts w:hint="cs"/>
          <w:rtl/>
        </w:rPr>
        <w:t xml:space="preserve">גם </w:t>
      </w:r>
      <w:bookmarkStart w:id="59452" w:name="_ETM_Q111_387750"/>
      <w:bookmarkEnd w:id="59452"/>
      <w:r>
        <w:rPr>
          <w:rFonts w:hint="cs"/>
          <w:rtl/>
        </w:rPr>
        <w:t xml:space="preserve">על </w:t>
      </w:r>
      <w:bookmarkStart w:id="59453" w:name="_ETM_Q111_387870"/>
      <w:bookmarkEnd w:id="59453"/>
      <w:r>
        <w:rPr>
          <w:rFonts w:hint="cs"/>
          <w:rtl/>
        </w:rPr>
        <w:t xml:space="preserve">הדמוקרטית. </w:t>
      </w:r>
      <w:bookmarkStart w:id="59454" w:name="_ETM_Q111_388560"/>
      <w:bookmarkEnd w:id="59454"/>
      <w:r>
        <w:rPr>
          <w:rFonts w:hint="cs"/>
          <w:rtl/>
        </w:rPr>
        <w:t xml:space="preserve">אני </w:t>
      </w:r>
      <w:bookmarkStart w:id="59455" w:name="_ETM_Q111_388739"/>
      <w:bookmarkEnd w:id="59455"/>
      <w:r>
        <w:rPr>
          <w:rFonts w:hint="cs"/>
          <w:rtl/>
        </w:rPr>
        <w:t xml:space="preserve">לא </w:t>
      </w:r>
      <w:bookmarkStart w:id="59456" w:name="_ETM_Q111_388830"/>
      <w:bookmarkEnd w:id="59456"/>
      <w:r>
        <w:rPr>
          <w:rFonts w:hint="cs"/>
          <w:rtl/>
        </w:rPr>
        <w:t xml:space="preserve">חושב </w:t>
      </w:r>
      <w:bookmarkStart w:id="59457" w:name="_ETM_Q111_389639"/>
      <w:bookmarkEnd w:id="59457"/>
      <w:r>
        <w:rPr>
          <w:rFonts w:hint="cs"/>
          <w:rtl/>
        </w:rPr>
        <w:t xml:space="preserve">שהבית </w:t>
      </w:r>
      <w:bookmarkStart w:id="59458" w:name="_ETM_Q111_390090"/>
      <w:bookmarkEnd w:id="59458"/>
      <w:r>
        <w:rPr>
          <w:rFonts w:hint="cs"/>
          <w:rtl/>
        </w:rPr>
        <w:t xml:space="preserve">הזה </w:t>
      </w:r>
      <w:bookmarkStart w:id="59459" w:name="_ETM_Q111_390269"/>
      <w:bookmarkEnd w:id="59459"/>
      <w:r>
        <w:rPr>
          <w:rFonts w:hint="cs"/>
          <w:rtl/>
        </w:rPr>
        <w:t xml:space="preserve">מודאג, </w:t>
      </w:r>
      <w:bookmarkStart w:id="59460" w:name="_ETM_Q111_390959"/>
      <w:bookmarkEnd w:id="59460"/>
      <w:r>
        <w:rPr>
          <w:rFonts w:hint="cs"/>
          <w:rtl/>
        </w:rPr>
        <w:t xml:space="preserve">היה </w:t>
      </w:r>
      <w:bookmarkStart w:id="59461" w:name="_ETM_Q111_391260"/>
      <w:bookmarkEnd w:id="59461"/>
      <w:r>
        <w:rPr>
          <w:rFonts w:hint="cs"/>
          <w:rtl/>
        </w:rPr>
        <w:t>מודאג או</w:t>
      </w:r>
      <w:bookmarkStart w:id="59462" w:name="_ETM_Q111_391530"/>
      <w:bookmarkEnd w:id="59462"/>
      <w:r>
        <w:rPr>
          <w:rFonts w:hint="cs"/>
          <w:rtl/>
        </w:rPr>
        <w:t xml:space="preserve"> אי </w:t>
      </w:r>
      <w:bookmarkStart w:id="59463" w:name="_ETM_Q111_391830"/>
      <w:bookmarkEnd w:id="59463"/>
      <w:r>
        <w:rPr>
          <w:rFonts w:hint="cs"/>
          <w:rtl/>
        </w:rPr>
        <w:t xml:space="preserve">פעם </w:t>
      </w:r>
      <w:bookmarkStart w:id="59464" w:name="_ETM_Q111_392069"/>
      <w:bookmarkEnd w:id="59464"/>
      <w:r>
        <w:rPr>
          <w:rFonts w:hint="cs"/>
          <w:rtl/>
        </w:rPr>
        <w:t xml:space="preserve">יהיה </w:t>
      </w:r>
      <w:bookmarkStart w:id="59465" w:name="_ETM_Q111_392220"/>
      <w:bookmarkEnd w:id="59465"/>
      <w:r>
        <w:rPr>
          <w:rFonts w:hint="cs"/>
          <w:rtl/>
        </w:rPr>
        <w:t xml:space="preserve">מודאג </w:t>
      </w:r>
      <w:bookmarkStart w:id="59466" w:name="_ETM_Q111_393090"/>
      <w:bookmarkEnd w:id="59466"/>
      <w:r>
        <w:rPr>
          <w:rFonts w:hint="cs"/>
          <w:rtl/>
        </w:rPr>
        <w:t xml:space="preserve">מטשטוש </w:t>
      </w:r>
      <w:bookmarkStart w:id="59467" w:name="_ETM_Q111_394200"/>
      <w:bookmarkEnd w:id="59467"/>
      <w:r>
        <w:rPr>
          <w:rFonts w:hint="cs"/>
          <w:rtl/>
        </w:rPr>
        <w:t xml:space="preserve">זהותה </w:t>
      </w:r>
      <w:bookmarkStart w:id="59468" w:name="_ETM_Q111_394890"/>
      <w:bookmarkEnd w:id="59468"/>
      <w:r>
        <w:rPr>
          <w:rFonts w:hint="cs"/>
          <w:rtl/>
        </w:rPr>
        <w:t xml:space="preserve">היהודית </w:t>
      </w:r>
      <w:bookmarkStart w:id="59469" w:name="_ETM_Q111_395340"/>
      <w:bookmarkEnd w:id="59469"/>
      <w:r>
        <w:rPr>
          <w:rFonts w:hint="cs"/>
          <w:rtl/>
        </w:rPr>
        <w:t xml:space="preserve">של </w:t>
      </w:r>
      <w:bookmarkStart w:id="59470" w:name="_ETM_Q111_395489"/>
      <w:bookmarkEnd w:id="59470"/>
      <w:r>
        <w:rPr>
          <w:rFonts w:hint="cs"/>
          <w:rtl/>
        </w:rPr>
        <w:t xml:space="preserve">המדינה </w:t>
      </w:r>
      <w:bookmarkStart w:id="59471" w:name="_ETM_Q111_395849"/>
      <w:bookmarkEnd w:id="59471"/>
      <w:r>
        <w:rPr>
          <w:rFonts w:hint="cs"/>
          <w:rtl/>
        </w:rPr>
        <w:t xml:space="preserve">הזו. אני לא חושב </w:t>
      </w:r>
      <w:bookmarkStart w:id="59472" w:name="_ETM_Q111_396060"/>
      <w:bookmarkStart w:id="59473" w:name="_ETM_Q111_396269"/>
      <w:bookmarkEnd w:id="59472"/>
      <w:bookmarkEnd w:id="59473"/>
      <w:r>
        <w:rPr>
          <w:rFonts w:hint="cs"/>
          <w:rtl/>
        </w:rPr>
        <w:t xml:space="preserve">שמישהו </w:t>
      </w:r>
      <w:bookmarkStart w:id="59474" w:name="_ETM_Q111_396569"/>
      <w:bookmarkEnd w:id="59474"/>
      <w:r>
        <w:rPr>
          <w:rFonts w:hint="cs"/>
          <w:rtl/>
        </w:rPr>
        <w:t xml:space="preserve">רוצה </w:t>
      </w:r>
      <w:bookmarkStart w:id="59475" w:name="_ETM_Q111_396930"/>
      <w:bookmarkEnd w:id="59475"/>
      <w:r>
        <w:rPr>
          <w:rFonts w:hint="cs"/>
          <w:rtl/>
        </w:rPr>
        <w:t>בזה.</w:t>
      </w:r>
    </w:p>
    <w:p w:rsidR="00BB59CD" w:rsidRDefault="00BB59CD" w:rsidP="00BB59CD">
      <w:pPr>
        <w:rPr>
          <w:rtl/>
        </w:rPr>
      </w:pPr>
      <w:bookmarkStart w:id="59476" w:name="_ETM_Q111_394000"/>
      <w:bookmarkEnd w:id="59476"/>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9477" w:name="_ETM_Q111_393000"/>
      <w:bookmarkEnd w:id="59477"/>
      <w:r>
        <w:rPr>
          <w:rFonts w:hint="cs"/>
          <w:rtl/>
        </w:rPr>
        <w:t xml:space="preserve">אבל </w:t>
      </w:r>
      <w:bookmarkStart w:id="59478" w:name="_ETM_Q111_397080"/>
      <w:bookmarkEnd w:id="59478"/>
      <w:r>
        <w:rPr>
          <w:rFonts w:hint="cs"/>
          <w:rtl/>
        </w:rPr>
        <w:t xml:space="preserve">יכול </w:t>
      </w:r>
      <w:bookmarkStart w:id="59479" w:name="_ETM_Q111_397230"/>
      <w:bookmarkEnd w:id="59479"/>
      <w:r>
        <w:rPr>
          <w:rFonts w:hint="cs"/>
          <w:rtl/>
        </w:rPr>
        <w:t xml:space="preserve">להיות </w:t>
      </w:r>
      <w:bookmarkStart w:id="59480" w:name="_ETM_Q111_397379"/>
      <w:bookmarkEnd w:id="59480"/>
      <w:r>
        <w:rPr>
          <w:rFonts w:hint="cs"/>
          <w:rtl/>
        </w:rPr>
        <w:t xml:space="preserve">שבית </w:t>
      </w:r>
      <w:bookmarkStart w:id="59481" w:name="_ETM_Q111_397620"/>
      <w:bookmarkEnd w:id="59481"/>
      <w:r>
        <w:rPr>
          <w:rFonts w:hint="cs"/>
          <w:rtl/>
        </w:rPr>
        <w:t xml:space="preserve">המשפט </w:t>
      </w:r>
      <w:bookmarkStart w:id="59482" w:name="_ETM_Q111_398099"/>
      <w:bookmarkEnd w:id="59482"/>
      <w:r>
        <w:rPr>
          <w:rFonts w:hint="cs"/>
          <w:rtl/>
        </w:rPr>
        <w:t xml:space="preserve">דווקא </w:t>
      </w:r>
      <w:bookmarkStart w:id="59483" w:name="_ETM_Q111_398489"/>
      <w:bookmarkEnd w:id="59483"/>
      <w:r>
        <w:rPr>
          <w:rFonts w:hint="cs"/>
          <w:rtl/>
        </w:rPr>
        <w:t xml:space="preserve">בעילת </w:t>
      </w:r>
      <w:bookmarkStart w:id="59484" w:name="_ETM_Q111_398790"/>
      <w:bookmarkEnd w:id="59484"/>
      <w:r>
        <w:rPr>
          <w:rFonts w:hint="cs"/>
          <w:rtl/>
        </w:rPr>
        <w:t xml:space="preserve">הסבירות </w:t>
      </w:r>
      <w:bookmarkStart w:id="59485" w:name="_ETM_Q111_399569"/>
      <w:bookmarkEnd w:id="59485"/>
      <w:r>
        <w:rPr>
          <w:rFonts w:hint="cs"/>
          <w:rtl/>
        </w:rPr>
        <w:t xml:space="preserve">לא </w:t>
      </w:r>
      <w:bookmarkStart w:id="59486" w:name="_ETM_Q111_399750"/>
      <w:bookmarkEnd w:id="59486"/>
      <w:r>
        <w:rPr>
          <w:rFonts w:hint="cs"/>
          <w:rtl/>
        </w:rPr>
        <w:t xml:space="preserve">פעם </w:t>
      </w:r>
      <w:bookmarkStart w:id="59487" w:name="_ETM_Q111_400049"/>
      <w:bookmarkEnd w:id="59487"/>
      <w:r>
        <w:rPr>
          <w:rFonts w:hint="cs"/>
          <w:rtl/>
        </w:rPr>
        <w:t xml:space="preserve">ולא </w:t>
      </w:r>
      <w:bookmarkStart w:id="59488" w:name="_ETM_Q111_400200"/>
      <w:bookmarkEnd w:id="59488"/>
      <w:r>
        <w:rPr>
          <w:rFonts w:hint="cs"/>
          <w:rtl/>
        </w:rPr>
        <w:t xml:space="preserve">פעמיים </w:t>
      </w:r>
      <w:bookmarkStart w:id="59489" w:name="_ETM_Q111_400440"/>
      <w:bookmarkEnd w:id="59489"/>
      <w:r>
        <w:rPr>
          <w:rFonts w:hint="cs"/>
          <w:rtl/>
        </w:rPr>
        <w:t xml:space="preserve">התערב </w:t>
      </w:r>
      <w:bookmarkStart w:id="59490" w:name="_ETM_Q111_400890"/>
      <w:bookmarkEnd w:id="59490"/>
      <w:r>
        <w:rPr>
          <w:rFonts w:hint="cs"/>
          <w:rtl/>
        </w:rPr>
        <w:t xml:space="preserve">בדיוק </w:t>
      </w:r>
      <w:bookmarkStart w:id="59491" w:name="_ETM_Q111_401220"/>
      <w:bookmarkEnd w:id="59491"/>
      <w:r>
        <w:rPr>
          <w:rFonts w:hint="cs"/>
          <w:rtl/>
        </w:rPr>
        <w:t xml:space="preserve">בנקודות </w:t>
      </w:r>
      <w:bookmarkStart w:id="59492" w:name="_ETM_Q111_401790"/>
      <w:bookmarkEnd w:id="59492"/>
      <w:r>
        <w:rPr>
          <w:rFonts w:hint="cs"/>
          <w:rtl/>
        </w:rPr>
        <w:t xml:space="preserve">שהן </w:t>
      </w:r>
      <w:bookmarkStart w:id="59493" w:name="_ETM_Q111_402720"/>
      <w:bookmarkEnd w:id="59493"/>
      <w:r>
        <w:rPr>
          <w:rFonts w:hint="cs"/>
          <w:rtl/>
        </w:rPr>
        <w:t xml:space="preserve">בחלק </w:t>
      </w:r>
      <w:bookmarkStart w:id="59494" w:name="_ETM_Q111_403170"/>
      <w:bookmarkEnd w:id="59494"/>
      <w:r>
        <w:rPr>
          <w:rFonts w:hint="cs"/>
          <w:rtl/>
        </w:rPr>
        <w:t xml:space="preserve">היהודי </w:t>
      </w:r>
      <w:bookmarkStart w:id="59495" w:name="_ETM_Q111_403769"/>
      <w:bookmarkEnd w:id="59495"/>
      <w:r>
        <w:rPr>
          <w:rFonts w:hint="cs"/>
          <w:rtl/>
        </w:rPr>
        <w:t xml:space="preserve">ורצה </w:t>
      </w:r>
      <w:bookmarkStart w:id="59496" w:name="_ETM_Q111_404519"/>
      <w:bookmarkEnd w:id="59496"/>
      <w:r>
        <w:rPr>
          <w:rFonts w:hint="cs"/>
          <w:rtl/>
        </w:rPr>
        <w:t xml:space="preserve">לעשות </w:t>
      </w:r>
      <w:bookmarkStart w:id="59497" w:name="_ETM_Q111_404819"/>
      <w:bookmarkEnd w:id="59497"/>
      <w:r>
        <w:rPr>
          <w:rFonts w:hint="cs"/>
          <w:rtl/>
        </w:rPr>
        <w:t xml:space="preserve">סוג </w:t>
      </w:r>
      <w:bookmarkStart w:id="59498" w:name="_ETM_Q111_405030"/>
      <w:bookmarkEnd w:id="59498"/>
      <w:r>
        <w:rPr>
          <w:rFonts w:hint="cs"/>
          <w:rtl/>
        </w:rPr>
        <w:t xml:space="preserve">של </w:t>
      </w:r>
      <w:bookmarkStart w:id="59499" w:name="_ETM_Q111_405150"/>
      <w:bookmarkEnd w:id="59499"/>
      <w:r>
        <w:rPr>
          <w:rFonts w:hint="cs"/>
          <w:rtl/>
        </w:rPr>
        <w:t xml:space="preserve">שוויון, </w:t>
      </w:r>
      <w:bookmarkStart w:id="59500" w:name="_ETM_Q111_406200"/>
      <w:bookmarkEnd w:id="59500"/>
      <w:r>
        <w:rPr>
          <w:rFonts w:hint="cs"/>
          <w:rtl/>
        </w:rPr>
        <w:t xml:space="preserve">ופגע </w:t>
      </w:r>
      <w:bookmarkStart w:id="59501" w:name="_ETM_Q111_406680"/>
      <w:bookmarkEnd w:id="59501"/>
      <w:r>
        <w:rPr>
          <w:rFonts w:hint="cs"/>
          <w:rtl/>
        </w:rPr>
        <w:t xml:space="preserve">במרקם </w:t>
      </w:r>
      <w:bookmarkStart w:id="59502" w:name="_ETM_Q111_407069"/>
      <w:bookmarkEnd w:id="59502"/>
      <w:r>
        <w:rPr>
          <w:rFonts w:hint="cs"/>
          <w:rtl/>
        </w:rPr>
        <w:t>היהודי</w:t>
      </w:r>
      <w:bookmarkStart w:id="59503" w:name="_ETM_Q111_407700"/>
      <w:bookmarkEnd w:id="59503"/>
      <w:r>
        <w:rPr>
          <w:rFonts w:hint="cs"/>
          <w:rtl/>
        </w:rPr>
        <w:t>?</w:t>
      </w:r>
    </w:p>
    <w:p w:rsidR="00BB59CD" w:rsidRDefault="00BB59CD" w:rsidP="00BB59CD">
      <w:pPr>
        <w:rPr>
          <w:rtl/>
        </w:rPr>
      </w:pPr>
      <w:bookmarkStart w:id="59504" w:name="_ETM_Q111_403000"/>
      <w:bookmarkEnd w:id="59504"/>
    </w:p>
    <w:p w:rsidR="00BB59CD" w:rsidRDefault="00BB59CD" w:rsidP="00BB59CD">
      <w:pPr>
        <w:pStyle w:val="-"/>
        <w:keepNext/>
        <w:rPr>
          <w:rtl/>
        </w:rPr>
      </w:pPr>
      <w:bookmarkStart w:id="59505" w:name="ET_speakercontinue_5803_14"/>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9505"/>
    </w:p>
    <w:p w:rsidR="00BB59CD" w:rsidRDefault="00BB59CD" w:rsidP="00337201">
      <w:pPr>
        <w:rPr>
          <w:rtl/>
        </w:rPr>
      </w:pPr>
    </w:p>
    <w:p w:rsidR="00BB59CD" w:rsidRDefault="00BB59CD" w:rsidP="00BB59CD">
      <w:pPr>
        <w:rPr>
          <w:rtl/>
        </w:rPr>
      </w:pPr>
      <w:bookmarkStart w:id="59506" w:name="_ETM_Q111_404000"/>
      <w:bookmarkEnd w:id="59506"/>
      <w:r>
        <w:rPr>
          <w:rFonts w:hint="cs"/>
          <w:rtl/>
        </w:rPr>
        <w:t xml:space="preserve">אני </w:t>
      </w:r>
      <w:bookmarkStart w:id="59507" w:name="_ETM_Q111_407939"/>
      <w:bookmarkEnd w:id="59507"/>
      <w:r>
        <w:rPr>
          <w:rFonts w:hint="cs"/>
          <w:rtl/>
        </w:rPr>
        <w:t xml:space="preserve">לא </w:t>
      </w:r>
      <w:bookmarkStart w:id="59508" w:name="_ETM_Q111_408029"/>
      <w:bookmarkEnd w:id="59508"/>
      <w:r>
        <w:rPr>
          <w:rFonts w:hint="cs"/>
          <w:rtl/>
        </w:rPr>
        <w:t xml:space="preserve">חושב. </w:t>
      </w:r>
      <w:bookmarkStart w:id="59509" w:name="_ETM_Q111_408540"/>
      <w:bookmarkEnd w:id="59509"/>
      <w:r>
        <w:rPr>
          <w:rFonts w:hint="cs"/>
          <w:rtl/>
        </w:rPr>
        <w:t xml:space="preserve">אני </w:t>
      </w:r>
      <w:bookmarkStart w:id="59510" w:name="_ETM_Q111_408779"/>
      <w:bookmarkEnd w:id="59510"/>
      <w:r>
        <w:rPr>
          <w:rFonts w:hint="cs"/>
          <w:rtl/>
        </w:rPr>
        <w:t xml:space="preserve">אומר </w:t>
      </w:r>
      <w:bookmarkStart w:id="59511" w:name="_ETM_Q111_408989"/>
      <w:bookmarkEnd w:id="59511"/>
      <w:r>
        <w:rPr>
          <w:rFonts w:hint="cs"/>
          <w:rtl/>
        </w:rPr>
        <w:t xml:space="preserve">את </w:t>
      </w:r>
      <w:bookmarkStart w:id="59512" w:name="_ETM_Q111_409079"/>
      <w:bookmarkEnd w:id="59512"/>
      <w:r>
        <w:rPr>
          <w:rFonts w:hint="cs"/>
          <w:rtl/>
        </w:rPr>
        <w:t xml:space="preserve">זה, </w:t>
      </w:r>
      <w:bookmarkStart w:id="59513" w:name="_ETM_Q111_409230"/>
      <w:bookmarkEnd w:id="59513"/>
      <w:r>
        <w:rPr>
          <w:rFonts w:hint="cs"/>
          <w:rtl/>
        </w:rPr>
        <w:t xml:space="preserve">אתה </w:t>
      </w:r>
      <w:bookmarkStart w:id="59514" w:name="_ETM_Q111_409349"/>
      <w:bookmarkEnd w:id="59514"/>
      <w:r>
        <w:rPr>
          <w:rFonts w:hint="cs"/>
          <w:rtl/>
        </w:rPr>
        <w:t xml:space="preserve">יודע, </w:t>
      </w:r>
      <w:bookmarkStart w:id="59515" w:name="_ETM_Q111_409560"/>
      <w:bookmarkEnd w:id="59515"/>
      <w:r>
        <w:rPr>
          <w:rFonts w:hint="cs"/>
          <w:rtl/>
        </w:rPr>
        <w:t>כבן אדם - - -</w:t>
      </w:r>
    </w:p>
    <w:p w:rsidR="00BB59CD" w:rsidRDefault="00BB59CD" w:rsidP="00BB59CD">
      <w:pPr>
        <w:rPr>
          <w:rtl/>
        </w:rPr>
      </w:pPr>
      <w:bookmarkStart w:id="59516" w:name="_ETM_Q111_408000"/>
      <w:bookmarkEnd w:id="59516"/>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9517" w:name="_ETM_Q111_409000"/>
      <w:bookmarkStart w:id="59518" w:name="_ETM_Q111_410249"/>
      <w:bookmarkEnd w:id="59517"/>
      <w:bookmarkEnd w:id="59518"/>
      <w:r>
        <w:rPr>
          <w:rFonts w:hint="cs"/>
          <w:rtl/>
        </w:rPr>
        <w:t xml:space="preserve">תוך </w:t>
      </w:r>
      <w:bookmarkStart w:id="59519" w:name="_ETM_Q111_410700"/>
      <w:bookmarkEnd w:id="59519"/>
      <w:r>
        <w:rPr>
          <w:rFonts w:hint="cs"/>
          <w:rtl/>
        </w:rPr>
        <w:t xml:space="preserve">כדי </w:t>
      </w:r>
      <w:bookmarkStart w:id="59520" w:name="_ETM_Q111_410879"/>
      <w:bookmarkEnd w:id="59520"/>
      <w:r>
        <w:rPr>
          <w:rFonts w:hint="cs"/>
          <w:rtl/>
        </w:rPr>
        <w:t xml:space="preserve">שאתה </w:t>
      </w:r>
      <w:bookmarkStart w:id="59521" w:name="_ETM_Q111_411120"/>
      <w:bookmarkEnd w:id="59521"/>
      <w:r>
        <w:rPr>
          <w:rFonts w:hint="cs"/>
          <w:rtl/>
        </w:rPr>
        <w:t xml:space="preserve">נמצא, </w:t>
      </w:r>
      <w:bookmarkStart w:id="59522" w:name="_ETM_Q111_411450"/>
      <w:bookmarkEnd w:id="59522"/>
      <w:r>
        <w:rPr>
          <w:rFonts w:hint="cs"/>
          <w:rtl/>
        </w:rPr>
        <w:t xml:space="preserve">אני </w:t>
      </w:r>
      <w:bookmarkStart w:id="59523" w:name="_ETM_Q111_411540"/>
      <w:bookmarkEnd w:id="59523"/>
      <w:r>
        <w:rPr>
          <w:rFonts w:hint="cs"/>
          <w:rtl/>
        </w:rPr>
        <w:t xml:space="preserve">אנסה </w:t>
      </w:r>
      <w:bookmarkStart w:id="59524" w:name="_ETM_Q111_411810"/>
      <w:bookmarkEnd w:id="59524"/>
      <w:r>
        <w:rPr>
          <w:rFonts w:hint="cs"/>
          <w:rtl/>
        </w:rPr>
        <w:t xml:space="preserve">להשיג </w:t>
      </w:r>
      <w:bookmarkStart w:id="59525" w:name="_ETM_Q111_412079"/>
      <w:bookmarkEnd w:id="59525"/>
      <w:r>
        <w:rPr>
          <w:rFonts w:hint="cs"/>
          <w:rtl/>
        </w:rPr>
        <w:t xml:space="preserve">לך </w:t>
      </w:r>
      <w:bookmarkStart w:id="59526" w:name="_ETM_Q111_412230"/>
      <w:bookmarkEnd w:id="59526"/>
      <w:r>
        <w:rPr>
          <w:rFonts w:hint="cs"/>
          <w:rtl/>
        </w:rPr>
        <w:t xml:space="preserve">את </w:t>
      </w:r>
      <w:bookmarkStart w:id="59527" w:name="_ETM_Q111_412290"/>
      <w:bookmarkEnd w:id="59527"/>
      <w:r>
        <w:rPr>
          <w:rFonts w:hint="cs"/>
          <w:rtl/>
        </w:rPr>
        <w:t xml:space="preserve">הרשימה </w:t>
      </w:r>
      <w:bookmarkStart w:id="59528" w:name="_ETM_Q111_412829"/>
      <w:bookmarkEnd w:id="59528"/>
      <w:r>
        <w:rPr>
          <w:rFonts w:hint="cs"/>
          <w:rtl/>
        </w:rPr>
        <w:t xml:space="preserve">של </w:t>
      </w:r>
      <w:bookmarkStart w:id="59529" w:name="_ETM_Q111_413340"/>
      <w:bookmarkEnd w:id="59529"/>
      <w:r>
        <w:rPr>
          <w:rFonts w:hint="cs"/>
          <w:rtl/>
        </w:rPr>
        <w:t xml:space="preserve">הפסיקות </w:t>
      </w:r>
      <w:bookmarkStart w:id="59530" w:name="_ETM_Q111_414310"/>
      <w:bookmarkEnd w:id="59530"/>
      <w:r>
        <w:rPr>
          <w:rFonts w:hint="cs"/>
          <w:rtl/>
        </w:rPr>
        <w:t>שבית המשפט</w:t>
      </w:r>
      <w:bookmarkStart w:id="59531" w:name="_ETM_Q111_414700"/>
      <w:bookmarkStart w:id="59532" w:name="_ETM_Q111_414909"/>
      <w:bookmarkEnd w:id="59531"/>
      <w:bookmarkEnd w:id="59532"/>
      <w:r>
        <w:rPr>
          <w:rFonts w:hint="cs"/>
          <w:rtl/>
        </w:rPr>
        <w:t xml:space="preserve"> התערב </w:t>
      </w:r>
      <w:bookmarkStart w:id="59533" w:name="_ETM_Q111_415420"/>
      <w:bookmarkEnd w:id="59533"/>
      <w:r>
        <w:rPr>
          <w:rFonts w:hint="cs"/>
          <w:rtl/>
        </w:rPr>
        <w:t xml:space="preserve">בהן בעילת </w:t>
      </w:r>
      <w:bookmarkStart w:id="59534" w:name="_ETM_Q111_415780"/>
      <w:bookmarkEnd w:id="59534"/>
      <w:r>
        <w:rPr>
          <w:rFonts w:hint="cs"/>
          <w:rtl/>
        </w:rPr>
        <w:t xml:space="preserve">הסבירות, </w:t>
      </w:r>
      <w:bookmarkStart w:id="59535" w:name="_ETM_Q111_416379"/>
      <w:bookmarkEnd w:id="59535"/>
      <w:r>
        <w:rPr>
          <w:rFonts w:hint="cs"/>
          <w:rtl/>
        </w:rPr>
        <w:t xml:space="preserve">באילו </w:t>
      </w:r>
      <w:bookmarkStart w:id="59536" w:name="_ETM_Q111_416650"/>
      <w:bookmarkEnd w:id="59536"/>
      <w:r>
        <w:rPr>
          <w:rFonts w:hint="cs"/>
          <w:rtl/>
        </w:rPr>
        <w:t xml:space="preserve">נקודות </w:t>
      </w:r>
      <w:bookmarkStart w:id="59537" w:name="_ETM_Q111_417069"/>
      <w:bookmarkEnd w:id="59537"/>
      <w:r>
        <w:rPr>
          <w:rFonts w:hint="cs"/>
          <w:rtl/>
        </w:rPr>
        <w:t xml:space="preserve">הוא </w:t>
      </w:r>
      <w:bookmarkStart w:id="59538" w:name="_ETM_Q111_417129"/>
      <w:bookmarkEnd w:id="59538"/>
      <w:r w:rsidR="004C06A1">
        <w:rPr>
          <w:rFonts w:hint="cs"/>
          <w:rtl/>
        </w:rPr>
        <w:t xml:space="preserve">נגע, שמאוד פגעו.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4C06A1">
      <w:pPr>
        <w:rPr>
          <w:rtl/>
        </w:rPr>
      </w:pPr>
      <w:bookmarkStart w:id="59539" w:name="_ETM_Q111_413000"/>
      <w:bookmarkStart w:id="59540" w:name="_ETM_Q111_417549"/>
      <w:bookmarkEnd w:id="59539"/>
      <w:bookmarkEnd w:id="59540"/>
      <w:r>
        <w:rPr>
          <w:rFonts w:hint="cs"/>
          <w:rtl/>
        </w:rPr>
        <w:t xml:space="preserve">אין </w:t>
      </w:r>
      <w:bookmarkStart w:id="59541" w:name="_ETM_Q111_417730"/>
      <w:bookmarkEnd w:id="59541"/>
      <w:r>
        <w:rPr>
          <w:rFonts w:hint="cs"/>
          <w:rtl/>
        </w:rPr>
        <w:t>בעיה.</w:t>
      </w:r>
      <w:r w:rsidR="004C06A1">
        <w:rPr>
          <w:rFonts w:hint="cs"/>
          <w:rtl/>
        </w:rPr>
        <w:t xml:space="preserve"> </w:t>
      </w:r>
      <w:bookmarkStart w:id="59542" w:name="_ETM_Q111_417000"/>
      <w:bookmarkStart w:id="59543" w:name="_ETM_Q111_418180"/>
      <w:bookmarkStart w:id="59544" w:name="_ETM_Q111_418420"/>
      <w:bookmarkStart w:id="59545" w:name="_ETM_Q111_418659"/>
      <w:bookmarkStart w:id="59546" w:name="_ETM_Q111_418870"/>
      <w:bookmarkEnd w:id="59542"/>
      <w:bookmarkEnd w:id="59543"/>
      <w:bookmarkEnd w:id="59544"/>
      <w:bookmarkEnd w:id="59545"/>
      <w:bookmarkEnd w:id="59546"/>
      <w:r>
        <w:rPr>
          <w:rFonts w:hint="cs"/>
          <w:rtl/>
        </w:rPr>
        <w:t xml:space="preserve">אני </w:t>
      </w:r>
      <w:bookmarkStart w:id="59547" w:name="_ETM_Q111_419079"/>
      <w:bookmarkEnd w:id="59547"/>
      <w:r>
        <w:rPr>
          <w:rFonts w:hint="cs"/>
          <w:rtl/>
        </w:rPr>
        <w:t xml:space="preserve">גם </w:t>
      </w:r>
      <w:bookmarkStart w:id="59548" w:name="_ETM_Q111_419230"/>
      <w:bookmarkEnd w:id="59548"/>
      <w:r>
        <w:rPr>
          <w:rFonts w:hint="cs"/>
          <w:rtl/>
        </w:rPr>
        <w:t xml:space="preserve">לא </w:t>
      </w:r>
      <w:bookmarkStart w:id="59549" w:name="_ETM_Q111_419319"/>
      <w:bookmarkEnd w:id="59549"/>
      <w:r>
        <w:rPr>
          <w:rFonts w:hint="cs"/>
          <w:rtl/>
        </w:rPr>
        <w:t xml:space="preserve">סתם מצטט </w:t>
      </w:r>
      <w:bookmarkStart w:id="59550" w:name="_ETM_Q111_420340"/>
      <w:bookmarkEnd w:id="59550"/>
      <w:r>
        <w:rPr>
          <w:rFonts w:hint="cs"/>
          <w:rtl/>
        </w:rPr>
        <w:t xml:space="preserve">שופט </w:t>
      </w:r>
      <w:bookmarkStart w:id="59551" w:name="_ETM_Q111_420879"/>
      <w:bookmarkEnd w:id="59551"/>
      <w:r>
        <w:rPr>
          <w:rFonts w:hint="cs"/>
          <w:rtl/>
        </w:rPr>
        <w:t xml:space="preserve">שפסק </w:t>
      </w:r>
      <w:bookmarkStart w:id="59552" w:name="_ETM_Q111_421689"/>
      <w:bookmarkEnd w:id="59552"/>
      <w:r>
        <w:rPr>
          <w:rFonts w:hint="cs"/>
          <w:rtl/>
        </w:rPr>
        <w:t xml:space="preserve">– בכל </w:t>
      </w:r>
      <w:bookmarkStart w:id="59553" w:name="_ETM_Q111_422019"/>
      <w:bookmarkEnd w:id="59553"/>
      <w:r>
        <w:rPr>
          <w:rFonts w:hint="cs"/>
          <w:rtl/>
        </w:rPr>
        <w:t xml:space="preserve">השנים </w:t>
      </w:r>
      <w:bookmarkStart w:id="59554" w:name="_ETM_Q111_422439"/>
      <w:bookmarkEnd w:id="59554"/>
      <w:r>
        <w:rPr>
          <w:rFonts w:hint="cs"/>
          <w:rtl/>
        </w:rPr>
        <w:t xml:space="preserve">המכריעות </w:t>
      </w:r>
      <w:bookmarkStart w:id="59555" w:name="_ETM_Q111_423129"/>
      <w:bookmarkEnd w:id="59555"/>
      <w:r>
        <w:rPr>
          <w:rFonts w:hint="cs"/>
          <w:rtl/>
        </w:rPr>
        <w:t xml:space="preserve">האלה הוא </w:t>
      </w:r>
      <w:bookmarkStart w:id="59556" w:name="_ETM_Q111_423400"/>
      <w:bookmarkEnd w:id="59556"/>
      <w:r>
        <w:rPr>
          <w:rFonts w:hint="cs"/>
          <w:rtl/>
        </w:rPr>
        <w:t xml:space="preserve">היה </w:t>
      </w:r>
      <w:bookmarkStart w:id="59557" w:name="_ETM_Q111_423579"/>
      <w:bookmarkEnd w:id="59557"/>
      <w:r>
        <w:rPr>
          <w:rFonts w:hint="cs"/>
          <w:rtl/>
        </w:rPr>
        <w:t xml:space="preserve">שופט </w:t>
      </w:r>
      <w:bookmarkStart w:id="59558" w:name="_ETM_Q111_423879"/>
      <w:bookmarkEnd w:id="59558"/>
      <w:r>
        <w:rPr>
          <w:rFonts w:hint="cs"/>
          <w:rtl/>
        </w:rPr>
        <w:t xml:space="preserve">בית </w:t>
      </w:r>
      <w:bookmarkStart w:id="59559" w:name="_ETM_Q111_424030"/>
      <w:bookmarkEnd w:id="59559"/>
      <w:r>
        <w:rPr>
          <w:rFonts w:hint="cs"/>
          <w:rtl/>
        </w:rPr>
        <w:t xml:space="preserve">המשפט </w:t>
      </w:r>
      <w:bookmarkStart w:id="59560" w:name="_ETM_Q111_424420"/>
      <w:bookmarkEnd w:id="59560"/>
      <w:r>
        <w:rPr>
          <w:rFonts w:hint="cs"/>
          <w:rtl/>
        </w:rPr>
        <w:t xml:space="preserve">העליון. </w:t>
      </w:r>
      <w:bookmarkStart w:id="59561" w:name="_ETM_Q111_425170"/>
      <w:bookmarkEnd w:id="59561"/>
      <w:r>
        <w:rPr>
          <w:rFonts w:hint="cs"/>
          <w:rtl/>
        </w:rPr>
        <w:t xml:space="preserve">אני </w:t>
      </w:r>
      <w:bookmarkStart w:id="59562" w:name="_ETM_Q111_425439"/>
      <w:bookmarkEnd w:id="59562"/>
      <w:r>
        <w:rPr>
          <w:rFonts w:hint="cs"/>
          <w:rtl/>
        </w:rPr>
        <w:t xml:space="preserve">יכול </w:t>
      </w:r>
      <w:bookmarkStart w:id="59563" w:name="_ETM_Q111_425680"/>
      <w:bookmarkStart w:id="59564" w:name="_ETM_Q111_425920"/>
      <w:bookmarkEnd w:id="59563"/>
      <w:bookmarkEnd w:id="59564"/>
      <w:r>
        <w:rPr>
          <w:rFonts w:hint="cs"/>
          <w:rtl/>
        </w:rPr>
        <w:t xml:space="preserve">לומר </w:t>
      </w:r>
      <w:bookmarkStart w:id="59565" w:name="_ETM_Q111_426280"/>
      <w:bookmarkEnd w:id="59565"/>
      <w:r>
        <w:rPr>
          <w:rFonts w:hint="cs"/>
          <w:rtl/>
        </w:rPr>
        <w:t xml:space="preserve">לך, </w:t>
      </w:r>
      <w:bookmarkStart w:id="59566" w:name="_ETM_Q111_427060"/>
      <w:bookmarkEnd w:id="59566"/>
      <w:r>
        <w:rPr>
          <w:rFonts w:hint="cs"/>
          <w:rtl/>
        </w:rPr>
        <w:t xml:space="preserve">שוב, </w:t>
      </w:r>
      <w:bookmarkStart w:id="59567" w:name="_ETM_Q111_427450"/>
      <w:bookmarkEnd w:id="59567"/>
      <w:r>
        <w:rPr>
          <w:rFonts w:hint="cs"/>
          <w:rtl/>
        </w:rPr>
        <w:t xml:space="preserve">יש </w:t>
      </w:r>
      <w:bookmarkStart w:id="59568" w:name="_ETM_Q111_427599"/>
      <w:bookmarkEnd w:id="59568"/>
      <w:r>
        <w:rPr>
          <w:rFonts w:hint="cs"/>
          <w:rtl/>
        </w:rPr>
        <w:t>משפטנים</w:t>
      </w:r>
      <w:bookmarkStart w:id="59569" w:name="_ETM_Q111_427930"/>
      <w:bookmarkEnd w:id="59569"/>
      <w:r>
        <w:rPr>
          <w:rFonts w:hint="cs"/>
          <w:rtl/>
        </w:rPr>
        <w:t xml:space="preserve"> </w:t>
      </w:r>
      <w:bookmarkStart w:id="59570" w:name="_ETM_Q111_428080"/>
      <w:bookmarkEnd w:id="59570"/>
      <w:r>
        <w:rPr>
          <w:rFonts w:hint="cs"/>
          <w:rtl/>
        </w:rPr>
        <w:t xml:space="preserve">גדולים </w:t>
      </w:r>
      <w:bookmarkStart w:id="59571" w:name="_ETM_Q111_428410"/>
      <w:bookmarkEnd w:id="59571"/>
      <w:r>
        <w:rPr>
          <w:rFonts w:hint="cs"/>
          <w:rtl/>
        </w:rPr>
        <w:t xml:space="preserve">ממני </w:t>
      </w:r>
      <w:bookmarkStart w:id="59572" w:name="_ETM_Q111_428800"/>
      <w:bookmarkEnd w:id="59572"/>
      <w:r>
        <w:rPr>
          <w:rFonts w:hint="cs"/>
          <w:rtl/>
        </w:rPr>
        <w:t xml:space="preserve">אבל </w:t>
      </w:r>
      <w:bookmarkStart w:id="59573" w:name="_ETM_Q111_429010"/>
      <w:bookmarkEnd w:id="59573"/>
      <w:r>
        <w:rPr>
          <w:rFonts w:hint="cs"/>
          <w:rtl/>
        </w:rPr>
        <w:t xml:space="preserve">יש </w:t>
      </w:r>
      <w:bookmarkStart w:id="59574" w:name="_ETM_Q111_429220"/>
      <w:bookmarkEnd w:id="59574"/>
      <w:r>
        <w:rPr>
          <w:rFonts w:hint="cs"/>
          <w:rtl/>
        </w:rPr>
        <w:t xml:space="preserve">לי, </w:t>
      </w:r>
      <w:bookmarkStart w:id="59575" w:name="_ETM_Q111_429790"/>
      <w:bookmarkEnd w:id="59575"/>
      <w:r>
        <w:rPr>
          <w:rFonts w:hint="cs"/>
          <w:rtl/>
        </w:rPr>
        <w:t xml:space="preserve">בכל </w:t>
      </w:r>
      <w:bookmarkStart w:id="59576" w:name="_ETM_Q111_430060"/>
      <w:bookmarkEnd w:id="59576"/>
      <w:r>
        <w:rPr>
          <w:rFonts w:hint="cs"/>
          <w:rtl/>
        </w:rPr>
        <w:t>זאת, שש</w:t>
      </w:r>
      <w:bookmarkStart w:id="59577" w:name="_ETM_Q111_430959"/>
      <w:bookmarkEnd w:id="59577"/>
      <w:r>
        <w:rPr>
          <w:rFonts w:hint="cs"/>
          <w:rtl/>
        </w:rPr>
        <w:t xml:space="preserve"> </w:t>
      </w:r>
      <w:bookmarkStart w:id="59578" w:name="_ETM_Q111_431349"/>
      <w:bookmarkEnd w:id="59578"/>
      <w:r>
        <w:rPr>
          <w:rFonts w:hint="cs"/>
          <w:rtl/>
        </w:rPr>
        <w:t xml:space="preserve">שנות </w:t>
      </w:r>
      <w:bookmarkStart w:id="59579" w:name="_ETM_Q111_431799"/>
      <w:bookmarkEnd w:id="59579"/>
      <w:r>
        <w:rPr>
          <w:rFonts w:hint="cs"/>
          <w:rtl/>
        </w:rPr>
        <w:t xml:space="preserve">משפט </w:t>
      </w:r>
      <w:bookmarkStart w:id="59580" w:name="_ETM_Q111_432250"/>
      <w:bookmarkEnd w:id="59580"/>
      <w:r>
        <w:rPr>
          <w:rFonts w:hint="cs"/>
          <w:rtl/>
        </w:rPr>
        <w:t xml:space="preserve">ותואר </w:t>
      </w:r>
      <w:bookmarkStart w:id="59581" w:name="_ETM_Q111_432670"/>
      <w:bookmarkEnd w:id="59581"/>
      <w:r>
        <w:rPr>
          <w:rFonts w:hint="cs"/>
          <w:rtl/>
        </w:rPr>
        <w:t xml:space="preserve">במשפט </w:t>
      </w:r>
      <w:bookmarkStart w:id="59582" w:name="_ETM_Q111_433150"/>
      <w:bookmarkEnd w:id="59582"/>
      <w:r>
        <w:rPr>
          <w:rFonts w:hint="cs"/>
          <w:rtl/>
        </w:rPr>
        <w:t>חוקתי.</w:t>
      </w:r>
      <w:bookmarkStart w:id="59583" w:name="_ETM_Q111_433659"/>
      <w:bookmarkEnd w:id="59583"/>
      <w:r>
        <w:rPr>
          <w:rFonts w:hint="cs"/>
          <w:rtl/>
        </w:rPr>
        <w:t xml:space="preserve"> אני </w:t>
      </w:r>
      <w:bookmarkStart w:id="59584" w:name="_ETM_Q111_434709"/>
      <w:bookmarkEnd w:id="59584"/>
      <w:r>
        <w:rPr>
          <w:rFonts w:hint="cs"/>
          <w:rtl/>
        </w:rPr>
        <w:t xml:space="preserve">לא </w:t>
      </w:r>
      <w:bookmarkStart w:id="59585" w:name="_ETM_Q111_434830"/>
      <w:bookmarkEnd w:id="59585"/>
      <w:r>
        <w:rPr>
          <w:rFonts w:hint="cs"/>
          <w:rtl/>
        </w:rPr>
        <w:t xml:space="preserve">חושב </w:t>
      </w:r>
      <w:bookmarkStart w:id="59586" w:name="_ETM_Q111_435140"/>
      <w:bookmarkEnd w:id="59586"/>
      <w:r>
        <w:rPr>
          <w:rFonts w:hint="cs"/>
          <w:rtl/>
        </w:rPr>
        <w:t xml:space="preserve">ככה. </w:t>
      </w:r>
      <w:bookmarkStart w:id="59587" w:name="_ETM_Q111_435680"/>
      <w:bookmarkEnd w:id="59587"/>
      <w:r>
        <w:rPr>
          <w:rFonts w:hint="cs"/>
          <w:rtl/>
        </w:rPr>
        <w:t xml:space="preserve">אני </w:t>
      </w:r>
      <w:bookmarkStart w:id="59588" w:name="_ETM_Q111_435860"/>
      <w:bookmarkEnd w:id="59588"/>
      <w:r>
        <w:rPr>
          <w:rFonts w:hint="cs"/>
          <w:rtl/>
        </w:rPr>
        <w:t xml:space="preserve">חושב </w:t>
      </w:r>
      <w:bookmarkStart w:id="59589" w:name="_ETM_Q111_436160"/>
      <w:bookmarkEnd w:id="59589"/>
      <w:r>
        <w:rPr>
          <w:rFonts w:hint="cs"/>
          <w:rtl/>
        </w:rPr>
        <w:t xml:space="preserve">שבנו </w:t>
      </w:r>
      <w:bookmarkStart w:id="59590" w:name="_ETM_Q111_437000"/>
      <w:bookmarkEnd w:id="59590"/>
      <w:r>
        <w:rPr>
          <w:rFonts w:hint="cs"/>
          <w:rtl/>
        </w:rPr>
        <w:t xml:space="preserve">את </w:t>
      </w:r>
      <w:bookmarkStart w:id="59591" w:name="_ETM_Q111_437089"/>
      <w:bookmarkEnd w:id="59591"/>
      <w:r>
        <w:rPr>
          <w:rFonts w:hint="cs"/>
          <w:rtl/>
        </w:rPr>
        <w:t xml:space="preserve">הנרטיב </w:t>
      </w:r>
      <w:bookmarkStart w:id="59592" w:name="_ETM_Q111_437570"/>
      <w:bookmarkEnd w:id="59592"/>
      <w:r>
        <w:rPr>
          <w:rFonts w:hint="cs"/>
          <w:rtl/>
        </w:rPr>
        <w:t>הזה</w:t>
      </w:r>
      <w:bookmarkStart w:id="59593" w:name="_ETM_Q111_437810"/>
      <w:bookmarkEnd w:id="59593"/>
      <w:r>
        <w:rPr>
          <w:rFonts w:hint="cs"/>
          <w:rtl/>
        </w:rPr>
        <w:t xml:space="preserve"> </w:t>
      </w:r>
      <w:bookmarkStart w:id="59594" w:name="_ETM_Q111_437990"/>
      <w:bookmarkEnd w:id="59594"/>
      <w:r>
        <w:rPr>
          <w:rFonts w:hint="cs"/>
          <w:rtl/>
        </w:rPr>
        <w:t xml:space="preserve">המון </w:t>
      </w:r>
      <w:bookmarkStart w:id="59595" w:name="_ETM_Q111_438230"/>
      <w:bookmarkEnd w:id="59595"/>
      <w:r>
        <w:rPr>
          <w:rFonts w:hint="cs"/>
          <w:rtl/>
        </w:rPr>
        <w:t xml:space="preserve">שנים. </w:t>
      </w:r>
      <w:bookmarkStart w:id="59596" w:name="_ETM_Q111_438860"/>
      <w:bookmarkEnd w:id="59596"/>
      <w:r>
        <w:rPr>
          <w:rFonts w:hint="cs"/>
          <w:rtl/>
        </w:rPr>
        <w:t xml:space="preserve">אני </w:t>
      </w:r>
      <w:bookmarkStart w:id="59597" w:name="_ETM_Q111_439040"/>
      <w:bookmarkEnd w:id="59597"/>
      <w:r>
        <w:rPr>
          <w:rFonts w:hint="cs"/>
          <w:rtl/>
        </w:rPr>
        <w:t xml:space="preserve">חושב </w:t>
      </w:r>
      <w:bookmarkStart w:id="59598" w:name="_ETM_Q111_439220"/>
      <w:bookmarkEnd w:id="59598"/>
      <w:r>
        <w:rPr>
          <w:rFonts w:hint="cs"/>
          <w:rtl/>
        </w:rPr>
        <w:t xml:space="preserve">שהנרטיב </w:t>
      </w:r>
      <w:bookmarkStart w:id="59599" w:name="_ETM_Q111_439820"/>
      <w:bookmarkEnd w:id="59599"/>
      <w:r>
        <w:rPr>
          <w:rFonts w:hint="cs"/>
          <w:rtl/>
        </w:rPr>
        <w:t xml:space="preserve">הזה </w:t>
      </w:r>
      <w:bookmarkStart w:id="59600" w:name="_ETM_Q111_440029"/>
      <w:bookmarkEnd w:id="59600"/>
      <w:r>
        <w:rPr>
          <w:rFonts w:hint="cs"/>
          <w:rtl/>
        </w:rPr>
        <w:t xml:space="preserve">עכשיו </w:t>
      </w:r>
      <w:bookmarkStart w:id="59601" w:name="_ETM_Q111_440240"/>
      <w:bookmarkEnd w:id="59601"/>
      <w:r>
        <w:rPr>
          <w:rFonts w:hint="cs"/>
          <w:rtl/>
        </w:rPr>
        <w:t xml:space="preserve">מתפוצץ </w:t>
      </w:r>
      <w:bookmarkStart w:id="59602" w:name="_ETM_Q111_440690"/>
      <w:bookmarkEnd w:id="59602"/>
      <w:r>
        <w:rPr>
          <w:rFonts w:hint="cs"/>
          <w:rtl/>
        </w:rPr>
        <w:t xml:space="preserve">לנו </w:t>
      </w:r>
      <w:bookmarkStart w:id="59603" w:name="_ETM_Q111_440839"/>
      <w:bookmarkEnd w:id="59603"/>
      <w:r>
        <w:rPr>
          <w:rFonts w:hint="cs"/>
          <w:rtl/>
        </w:rPr>
        <w:t xml:space="preserve">בפנים, </w:t>
      </w:r>
      <w:bookmarkStart w:id="59604" w:name="_ETM_Q111_441290"/>
      <w:bookmarkEnd w:id="59604"/>
      <w:r>
        <w:rPr>
          <w:rFonts w:hint="cs"/>
          <w:rtl/>
        </w:rPr>
        <w:t xml:space="preserve">וזה </w:t>
      </w:r>
      <w:bookmarkStart w:id="59605" w:name="_ETM_Q111_441470"/>
      <w:bookmarkEnd w:id="59605"/>
      <w:r>
        <w:rPr>
          <w:rFonts w:hint="cs"/>
          <w:rtl/>
        </w:rPr>
        <w:t xml:space="preserve">משרת </w:t>
      </w:r>
      <w:bookmarkStart w:id="59606" w:name="_ETM_Q111_441860"/>
      <w:bookmarkEnd w:id="59606"/>
      <w:r>
        <w:rPr>
          <w:rFonts w:hint="cs"/>
          <w:rtl/>
        </w:rPr>
        <w:t xml:space="preserve">הרבה </w:t>
      </w:r>
      <w:bookmarkStart w:id="59607" w:name="_ETM_Q111_442100"/>
      <w:bookmarkEnd w:id="59607"/>
      <w:r>
        <w:rPr>
          <w:rFonts w:hint="cs"/>
          <w:rtl/>
        </w:rPr>
        <w:t>אנשים</w:t>
      </w:r>
      <w:r w:rsidR="004C06A1">
        <w:rPr>
          <w:rFonts w:hint="cs"/>
          <w:rtl/>
        </w:rPr>
        <w:t>,</w:t>
      </w:r>
      <w:r>
        <w:rPr>
          <w:rFonts w:hint="cs"/>
          <w:rtl/>
        </w:rPr>
        <w:t xml:space="preserve"> </w:t>
      </w:r>
      <w:bookmarkStart w:id="59608" w:name="_ETM_Q111_442460"/>
      <w:bookmarkEnd w:id="59608"/>
      <w:r>
        <w:rPr>
          <w:rFonts w:hint="cs"/>
          <w:rtl/>
        </w:rPr>
        <w:t xml:space="preserve">אבל </w:t>
      </w:r>
      <w:bookmarkStart w:id="59609" w:name="_ETM_Q111_442670"/>
      <w:bookmarkEnd w:id="59609"/>
      <w:r>
        <w:rPr>
          <w:rFonts w:hint="cs"/>
          <w:rtl/>
        </w:rPr>
        <w:t>לא</w:t>
      </w:r>
      <w:r w:rsidR="004C06A1">
        <w:rPr>
          <w:rFonts w:hint="cs"/>
          <w:rtl/>
        </w:rPr>
        <w:t>,</w:t>
      </w:r>
      <w:r>
        <w:rPr>
          <w:rFonts w:hint="cs"/>
          <w:rtl/>
        </w:rPr>
        <w:t xml:space="preserve"> </w:t>
      </w:r>
      <w:bookmarkStart w:id="59610" w:name="_ETM_Q111_443360"/>
      <w:bookmarkEnd w:id="59610"/>
      <w:r>
        <w:rPr>
          <w:rFonts w:hint="cs"/>
          <w:rtl/>
        </w:rPr>
        <w:t xml:space="preserve">אני </w:t>
      </w:r>
      <w:bookmarkStart w:id="59611" w:name="_ETM_Q111_443479"/>
      <w:bookmarkEnd w:id="59611"/>
      <w:r>
        <w:rPr>
          <w:rFonts w:hint="cs"/>
          <w:rtl/>
        </w:rPr>
        <w:t xml:space="preserve">לא </w:t>
      </w:r>
      <w:bookmarkStart w:id="59612" w:name="_ETM_Q111_443569"/>
      <w:bookmarkEnd w:id="59612"/>
      <w:r>
        <w:rPr>
          <w:rFonts w:hint="cs"/>
          <w:rtl/>
        </w:rPr>
        <w:t xml:space="preserve">חושב. </w:t>
      </w:r>
      <w:bookmarkStart w:id="59613" w:name="_ETM_Q111_443930"/>
      <w:bookmarkEnd w:id="59613"/>
      <w:r>
        <w:rPr>
          <w:rFonts w:hint="cs"/>
          <w:rtl/>
        </w:rPr>
        <w:t xml:space="preserve">אני </w:t>
      </w:r>
      <w:bookmarkStart w:id="59614" w:name="_ETM_Q111_444080"/>
      <w:bookmarkEnd w:id="59614"/>
      <w:r>
        <w:rPr>
          <w:rFonts w:hint="cs"/>
          <w:rtl/>
        </w:rPr>
        <w:t xml:space="preserve">חושב </w:t>
      </w:r>
      <w:bookmarkStart w:id="59615" w:name="_ETM_Q111_444469"/>
      <w:bookmarkEnd w:id="59615"/>
      <w:r>
        <w:rPr>
          <w:rFonts w:hint="cs"/>
          <w:rtl/>
        </w:rPr>
        <w:t>שברור</w:t>
      </w:r>
      <w:bookmarkStart w:id="59616" w:name="_ETM_Q111_445309"/>
      <w:bookmarkStart w:id="59617" w:name="_ETM_Q111_445729"/>
      <w:bookmarkEnd w:id="59616"/>
      <w:bookmarkEnd w:id="59617"/>
      <w:r>
        <w:rPr>
          <w:rFonts w:hint="cs"/>
          <w:rtl/>
        </w:rPr>
        <w:t xml:space="preserve"> שהיה </w:t>
      </w:r>
      <w:bookmarkStart w:id="59618" w:name="_ETM_Q111_445879"/>
      <w:bookmarkEnd w:id="59618"/>
      <w:r>
        <w:rPr>
          <w:rFonts w:hint="cs"/>
          <w:rtl/>
        </w:rPr>
        <w:t xml:space="preserve">צריך </w:t>
      </w:r>
      <w:bookmarkStart w:id="59619" w:name="_ETM_Q111_446089"/>
      <w:bookmarkEnd w:id="59619"/>
      <w:r>
        <w:rPr>
          <w:rFonts w:hint="cs"/>
          <w:rtl/>
        </w:rPr>
        <w:t xml:space="preserve">לגוון </w:t>
      </w:r>
      <w:bookmarkStart w:id="59620" w:name="_ETM_Q111_446509"/>
      <w:bookmarkEnd w:id="59620"/>
      <w:r>
        <w:rPr>
          <w:rFonts w:hint="cs"/>
          <w:rtl/>
        </w:rPr>
        <w:t xml:space="preserve">יותר </w:t>
      </w:r>
      <w:bookmarkStart w:id="59621" w:name="_ETM_Q111_447379"/>
      <w:bookmarkEnd w:id="59621"/>
      <w:r>
        <w:rPr>
          <w:rFonts w:hint="cs"/>
          <w:rtl/>
        </w:rPr>
        <w:t xml:space="preserve">בבית </w:t>
      </w:r>
      <w:bookmarkStart w:id="59622" w:name="_ETM_Q111_447650"/>
      <w:bookmarkEnd w:id="59622"/>
      <w:r>
        <w:rPr>
          <w:rFonts w:hint="cs"/>
          <w:rtl/>
        </w:rPr>
        <w:t>המשפט</w:t>
      </w:r>
      <w:r w:rsidR="004C06A1">
        <w:rPr>
          <w:rFonts w:hint="cs"/>
          <w:rtl/>
        </w:rPr>
        <w:t>,</w:t>
      </w:r>
      <w:r>
        <w:rPr>
          <w:rFonts w:hint="cs"/>
          <w:rtl/>
        </w:rPr>
        <w:t xml:space="preserve"> יש </w:t>
      </w:r>
      <w:bookmarkStart w:id="59623" w:name="_ETM_Q111_448159"/>
      <w:bookmarkEnd w:id="59623"/>
      <w:r>
        <w:rPr>
          <w:rFonts w:hint="cs"/>
          <w:rtl/>
        </w:rPr>
        <w:t xml:space="preserve">הרבה </w:t>
      </w:r>
      <w:bookmarkStart w:id="59624" w:name="_ETM_Q111_448369"/>
      <w:bookmarkEnd w:id="59624"/>
      <w:r>
        <w:rPr>
          <w:rFonts w:hint="cs"/>
          <w:rtl/>
        </w:rPr>
        <w:t xml:space="preserve">טענות </w:t>
      </w:r>
      <w:bookmarkStart w:id="59625" w:name="_ETM_Q111_448800"/>
      <w:bookmarkEnd w:id="59625"/>
      <w:r>
        <w:rPr>
          <w:rFonts w:hint="cs"/>
          <w:rtl/>
        </w:rPr>
        <w:t xml:space="preserve">נכונות; </w:t>
      </w:r>
      <w:bookmarkStart w:id="59626" w:name="_ETM_Q111_449490"/>
      <w:bookmarkEnd w:id="59626"/>
      <w:r>
        <w:rPr>
          <w:rFonts w:hint="cs"/>
          <w:rtl/>
        </w:rPr>
        <w:t xml:space="preserve">אני </w:t>
      </w:r>
      <w:bookmarkStart w:id="59627" w:name="_ETM_Q111_449669"/>
      <w:bookmarkEnd w:id="59627"/>
      <w:r>
        <w:rPr>
          <w:rFonts w:hint="cs"/>
          <w:rtl/>
        </w:rPr>
        <w:t xml:space="preserve">אף </w:t>
      </w:r>
      <w:bookmarkStart w:id="59628" w:name="_ETM_Q111_449729"/>
      <w:bookmarkEnd w:id="59628"/>
      <w:r>
        <w:rPr>
          <w:rFonts w:hint="cs"/>
          <w:rtl/>
        </w:rPr>
        <w:t xml:space="preserve">פעם </w:t>
      </w:r>
      <w:bookmarkStart w:id="59629" w:name="_ETM_Q111_449970"/>
      <w:bookmarkEnd w:id="59629"/>
      <w:r>
        <w:rPr>
          <w:rFonts w:hint="cs"/>
          <w:rtl/>
        </w:rPr>
        <w:t xml:space="preserve">לא </w:t>
      </w:r>
      <w:bookmarkStart w:id="59630" w:name="_ETM_Q111_446000"/>
      <w:bookmarkEnd w:id="59630"/>
      <w:r>
        <w:rPr>
          <w:rFonts w:hint="cs"/>
          <w:rtl/>
        </w:rPr>
        <w:t xml:space="preserve">חושב </w:t>
      </w:r>
      <w:bookmarkStart w:id="59631" w:name="_ETM_Q111_450150"/>
      <w:bookmarkEnd w:id="59631"/>
      <w:r>
        <w:rPr>
          <w:rFonts w:hint="cs"/>
          <w:rtl/>
        </w:rPr>
        <w:t xml:space="preserve">שבית </w:t>
      </w:r>
      <w:bookmarkStart w:id="59632" w:name="_ETM_Q111_450419"/>
      <w:bookmarkEnd w:id="59632"/>
      <w:r>
        <w:rPr>
          <w:rFonts w:hint="cs"/>
          <w:rtl/>
        </w:rPr>
        <w:t xml:space="preserve">המשפט </w:t>
      </w:r>
      <w:bookmarkStart w:id="59633" w:name="_ETM_Q111_450810"/>
      <w:bookmarkEnd w:id="59633"/>
      <w:r>
        <w:rPr>
          <w:rFonts w:hint="cs"/>
          <w:rtl/>
        </w:rPr>
        <w:t xml:space="preserve">היה </w:t>
      </w:r>
      <w:bookmarkStart w:id="59634" w:name="_ETM_Q111_450960"/>
      <w:bookmarkEnd w:id="59634"/>
      <w:r>
        <w:rPr>
          <w:rFonts w:hint="cs"/>
          <w:rtl/>
        </w:rPr>
        <w:t xml:space="preserve">נגד </w:t>
      </w:r>
      <w:bookmarkStart w:id="59635" w:name="_ETM_Q111_451289"/>
      <w:bookmarkEnd w:id="59635"/>
      <w:r>
        <w:rPr>
          <w:rFonts w:hint="cs"/>
          <w:rtl/>
        </w:rPr>
        <w:t xml:space="preserve">היהדות. </w:t>
      </w:r>
      <w:bookmarkStart w:id="59636" w:name="_ETM_Q111_451949"/>
      <w:bookmarkEnd w:id="59636"/>
    </w:p>
    <w:p w:rsidR="00BB59CD" w:rsidRDefault="00BB59CD" w:rsidP="00BB59CD">
      <w:pPr>
        <w:rPr>
          <w:rtl/>
        </w:rPr>
      </w:pPr>
    </w:p>
    <w:p w:rsidR="00BB59CD" w:rsidRDefault="00BB59CD" w:rsidP="00BB59CD">
      <w:pPr>
        <w:rPr>
          <w:rtl/>
        </w:rPr>
      </w:pPr>
      <w:bookmarkStart w:id="59637" w:name="_ETM_Q111_450000"/>
      <w:bookmarkEnd w:id="59637"/>
      <w:r>
        <w:rPr>
          <w:rFonts w:hint="cs"/>
          <w:rtl/>
        </w:rPr>
        <w:t xml:space="preserve">אני </w:t>
      </w:r>
      <w:bookmarkStart w:id="59638" w:name="_ETM_Q111_452129"/>
      <w:bookmarkEnd w:id="59638"/>
      <w:r>
        <w:rPr>
          <w:rFonts w:hint="cs"/>
          <w:rtl/>
        </w:rPr>
        <w:t xml:space="preserve">יכול </w:t>
      </w:r>
      <w:bookmarkStart w:id="59639" w:name="_ETM_Q111_452309"/>
      <w:bookmarkEnd w:id="59639"/>
      <w:r>
        <w:rPr>
          <w:rFonts w:hint="cs"/>
          <w:rtl/>
        </w:rPr>
        <w:t xml:space="preserve">להגיד </w:t>
      </w:r>
      <w:bookmarkStart w:id="59640" w:name="_ETM_Q111_452550"/>
      <w:bookmarkEnd w:id="59640"/>
      <w:r>
        <w:rPr>
          <w:rFonts w:hint="cs"/>
          <w:rtl/>
        </w:rPr>
        <w:t>לך,</w:t>
      </w:r>
      <w:bookmarkStart w:id="59641" w:name="_ETM_Q111_453150"/>
      <w:bookmarkEnd w:id="59641"/>
      <w:r>
        <w:rPr>
          <w:rFonts w:hint="cs"/>
          <w:rtl/>
        </w:rPr>
        <w:t xml:space="preserve"> </w:t>
      </w:r>
      <w:bookmarkStart w:id="59642" w:name="_ETM_Q111_453749"/>
      <w:bookmarkEnd w:id="59642"/>
      <w:r>
        <w:rPr>
          <w:rFonts w:hint="cs"/>
          <w:rtl/>
        </w:rPr>
        <w:t xml:space="preserve">בדיוק </w:t>
      </w:r>
      <w:bookmarkStart w:id="59643" w:name="_ETM_Q111_454080"/>
      <w:bookmarkEnd w:id="59643"/>
      <w:r>
        <w:rPr>
          <w:rFonts w:hint="cs"/>
          <w:rtl/>
        </w:rPr>
        <w:t xml:space="preserve">כמו </w:t>
      </w:r>
      <w:bookmarkStart w:id="59644" w:name="_ETM_Q111_454199"/>
      <w:bookmarkEnd w:id="59644"/>
      <w:r>
        <w:rPr>
          <w:rFonts w:hint="cs"/>
          <w:rtl/>
        </w:rPr>
        <w:t xml:space="preserve">שחיים </w:t>
      </w:r>
      <w:bookmarkStart w:id="59645" w:name="_ETM_Q111_454710"/>
      <w:bookmarkEnd w:id="59645"/>
      <w:r>
        <w:rPr>
          <w:rFonts w:hint="cs"/>
          <w:rtl/>
        </w:rPr>
        <w:t>כהן, שהיה</w:t>
      </w:r>
      <w:bookmarkStart w:id="59646" w:name="_ETM_Q111_454949"/>
      <w:bookmarkEnd w:id="59646"/>
      <w:r>
        <w:rPr>
          <w:rFonts w:hint="cs"/>
          <w:rtl/>
        </w:rPr>
        <w:t xml:space="preserve"> שופט </w:t>
      </w:r>
      <w:bookmarkStart w:id="59647" w:name="_ETM_Q111_455430"/>
      <w:bookmarkEnd w:id="59647"/>
      <w:r>
        <w:rPr>
          <w:rFonts w:hint="cs"/>
          <w:rtl/>
        </w:rPr>
        <w:t xml:space="preserve">מאוד </w:t>
      </w:r>
      <w:bookmarkStart w:id="59648" w:name="_ETM_Q111_455610"/>
      <w:bookmarkEnd w:id="59648"/>
      <w:r>
        <w:rPr>
          <w:rFonts w:hint="cs"/>
          <w:rtl/>
        </w:rPr>
        <w:t>משפיע,</w:t>
      </w:r>
      <w:bookmarkStart w:id="59649" w:name="_ETM_Q111_456330"/>
      <w:bookmarkEnd w:id="59649"/>
      <w:r>
        <w:rPr>
          <w:rFonts w:hint="cs"/>
          <w:rtl/>
        </w:rPr>
        <w:t xml:space="preserve"> מדבר </w:t>
      </w:r>
      <w:bookmarkStart w:id="59650" w:name="_ETM_Q111_457110"/>
      <w:bookmarkEnd w:id="59650"/>
      <w:r>
        <w:rPr>
          <w:rFonts w:hint="cs"/>
          <w:rtl/>
        </w:rPr>
        <w:t xml:space="preserve">פה </w:t>
      </w:r>
      <w:bookmarkStart w:id="59651" w:name="_ETM_Q111_457499"/>
      <w:bookmarkEnd w:id="59651"/>
      <w:r>
        <w:rPr>
          <w:rFonts w:hint="cs"/>
          <w:rtl/>
        </w:rPr>
        <w:t xml:space="preserve">על </w:t>
      </w:r>
      <w:bookmarkStart w:id="59652" w:name="_ETM_Q111_457680"/>
      <w:bookmarkEnd w:id="59652"/>
      <w:r>
        <w:rPr>
          <w:rFonts w:hint="cs"/>
          <w:rtl/>
        </w:rPr>
        <w:t xml:space="preserve">הצורך </w:t>
      </w:r>
      <w:bookmarkStart w:id="59653" w:name="_ETM_Q111_458439"/>
      <w:bookmarkEnd w:id="59653"/>
      <w:r>
        <w:rPr>
          <w:rFonts w:hint="cs"/>
          <w:rtl/>
        </w:rPr>
        <w:t xml:space="preserve">לינוק </w:t>
      </w:r>
      <w:bookmarkStart w:id="59654" w:name="_ETM_Q111_459400"/>
      <w:bookmarkEnd w:id="59654"/>
      <w:r>
        <w:rPr>
          <w:rFonts w:hint="cs"/>
          <w:rtl/>
        </w:rPr>
        <w:t>מ</w:t>
      </w:r>
      <w:r w:rsidR="004C06A1">
        <w:rPr>
          <w:rFonts w:hint="cs"/>
          <w:rtl/>
        </w:rPr>
        <w:t>ה</w:t>
      </w:r>
      <w:r>
        <w:rPr>
          <w:rFonts w:hint="cs"/>
          <w:rtl/>
        </w:rPr>
        <w:t xml:space="preserve">משפט </w:t>
      </w:r>
      <w:bookmarkStart w:id="59655" w:name="_ETM_Q111_459849"/>
      <w:bookmarkEnd w:id="59655"/>
      <w:r w:rsidR="004C06A1">
        <w:rPr>
          <w:rFonts w:hint="cs"/>
          <w:rtl/>
        </w:rPr>
        <w:t>ה</w:t>
      </w:r>
      <w:r>
        <w:rPr>
          <w:rFonts w:hint="cs"/>
          <w:rtl/>
        </w:rPr>
        <w:t>עברי – בדיוק כמו שמ</w:t>
      </w:r>
      <w:bookmarkStart w:id="59656" w:name="_ETM_Q111_460240"/>
      <w:bookmarkStart w:id="59657" w:name="_ETM_Q111_460599"/>
      <w:bookmarkEnd w:id="59656"/>
      <w:bookmarkEnd w:id="59657"/>
      <w:r>
        <w:rPr>
          <w:rFonts w:hint="cs"/>
          <w:rtl/>
        </w:rPr>
        <w:t xml:space="preserve">למדים </w:t>
      </w:r>
      <w:bookmarkStart w:id="59658" w:name="_ETM_Q111_461229"/>
      <w:bookmarkEnd w:id="59658"/>
      <w:r>
        <w:rPr>
          <w:rFonts w:hint="cs"/>
          <w:rtl/>
        </w:rPr>
        <w:t xml:space="preserve">את </w:t>
      </w:r>
      <w:bookmarkStart w:id="59659" w:name="_ETM_Q111_461319"/>
      <w:bookmarkEnd w:id="59659"/>
      <w:r>
        <w:rPr>
          <w:rFonts w:hint="cs"/>
          <w:rtl/>
        </w:rPr>
        <w:t xml:space="preserve">זה </w:t>
      </w:r>
      <w:bookmarkStart w:id="59660" w:name="_ETM_Q111_461439"/>
      <w:bookmarkEnd w:id="59660"/>
      <w:r>
        <w:rPr>
          <w:rFonts w:hint="cs"/>
          <w:rtl/>
        </w:rPr>
        <w:t xml:space="preserve">בכל </w:t>
      </w:r>
      <w:bookmarkStart w:id="59661" w:name="_ETM_Q111_461800"/>
      <w:bookmarkEnd w:id="59661"/>
      <w:r>
        <w:rPr>
          <w:rFonts w:hint="cs"/>
          <w:rtl/>
        </w:rPr>
        <w:t xml:space="preserve">תואר </w:t>
      </w:r>
      <w:bookmarkStart w:id="59662" w:name="_ETM_Q111_462009"/>
      <w:bookmarkEnd w:id="59662"/>
      <w:r>
        <w:rPr>
          <w:rFonts w:hint="cs"/>
          <w:rtl/>
        </w:rPr>
        <w:t xml:space="preserve">במשפטים, </w:t>
      </w:r>
      <w:bookmarkStart w:id="59663" w:name="_ETM_Q111_462610"/>
      <w:bookmarkEnd w:id="59663"/>
      <w:r>
        <w:rPr>
          <w:rFonts w:hint="cs"/>
          <w:rtl/>
        </w:rPr>
        <w:t xml:space="preserve">גם </w:t>
      </w:r>
      <w:bookmarkStart w:id="59664" w:name="_ETM_Q111_462789"/>
      <w:bookmarkEnd w:id="59664"/>
      <w:r>
        <w:rPr>
          <w:rFonts w:hint="cs"/>
          <w:rtl/>
        </w:rPr>
        <w:t xml:space="preserve">באוניברסיטה </w:t>
      </w:r>
      <w:bookmarkStart w:id="59665" w:name="_ETM_Q111_463810"/>
      <w:bookmarkEnd w:id="59665"/>
      <w:r>
        <w:rPr>
          <w:rFonts w:hint="cs"/>
          <w:rtl/>
        </w:rPr>
        <w:t xml:space="preserve">הכי </w:t>
      </w:r>
      <w:bookmarkStart w:id="59666" w:name="_ETM_Q111_464080"/>
      <w:bookmarkEnd w:id="59666"/>
      <w:r>
        <w:rPr>
          <w:rFonts w:hint="cs"/>
          <w:rtl/>
        </w:rPr>
        <w:t xml:space="preserve">חילונית </w:t>
      </w:r>
      <w:bookmarkStart w:id="59667" w:name="_ETM_Q111_464589"/>
      <w:bookmarkEnd w:id="59667"/>
      <w:r>
        <w:rPr>
          <w:rFonts w:hint="cs"/>
          <w:rtl/>
        </w:rPr>
        <w:t xml:space="preserve">לכאורה </w:t>
      </w:r>
      <w:bookmarkStart w:id="59668" w:name="_ETM_Q111_465510"/>
      <w:bookmarkEnd w:id="59668"/>
      <w:r>
        <w:rPr>
          <w:rFonts w:hint="cs"/>
          <w:rtl/>
        </w:rPr>
        <w:t xml:space="preserve">מלמדים </w:t>
      </w:r>
      <w:bookmarkStart w:id="59669" w:name="_ETM_Q111_465930"/>
      <w:bookmarkEnd w:id="59669"/>
      <w:r>
        <w:rPr>
          <w:rFonts w:hint="cs"/>
          <w:rtl/>
        </w:rPr>
        <w:t xml:space="preserve">את </w:t>
      </w:r>
      <w:bookmarkStart w:id="59670" w:name="_ETM_Q111_466050"/>
      <w:bookmarkEnd w:id="59670"/>
      <w:r>
        <w:rPr>
          <w:rFonts w:hint="cs"/>
          <w:rtl/>
        </w:rPr>
        <w:t>זה. ו</w:t>
      </w:r>
      <w:bookmarkStart w:id="59671" w:name="_ETM_Q111_462000"/>
      <w:bookmarkEnd w:id="59671"/>
      <w:r>
        <w:rPr>
          <w:rFonts w:hint="cs"/>
          <w:rtl/>
        </w:rPr>
        <w:t>זה</w:t>
      </w:r>
      <w:bookmarkStart w:id="59672" w:name="_ETM_Q111_466140"/>
      <w:bookmarkStart w:id="59673" w:name="_ETM_Q111_466350"/>
      <w:bookmarkStart w:id="59674" w:name="_ETM_Q111_466589"/>
      <w:bookmarkEnd w:id="59672"/>
      <w:bookmarkEnd w:id="59673"/>
      <w:bookmarkEnd w:id="59674"/>
      <w:r>
        <w:rPr>
          <w:rFonts w:hint="cs"/>
          <w:rtl/>
        </w:rPr>
        <w:t xml:space="preserve"> </w:t>
      </w:r>
      <w:bookmarkStart w:id="59675" w:name="_ETM_Q111_466950"/>
      <w:bookmarkEnd w:id="59675"/>
      <w:r>
        <w:rPr>
          <w:rFonts w:hint="cs"/>
          <w:rtl/>
        </w:rPr>
        <w:t>אחד ה</w:t>
      </w:r>
      <w:bookmarkStart w:id="59676" w:name="_ETM_Q111_467130"/>
      <w:bookmarkEnd w:id="59676"/>
      <w:r>
        <w:rPr>
          <w:rFonts w:hint="cs"/>
          <w:rtl/>
        </w:rPr>
        <w:t xml:space="preserve">קורסים </w:t>
      </w:r>
      <w:bookmarkStart w:id="59677" w:name="_ETM_Q111_467400"/>
      <w:bookmarkEnd w:id="59677"/>
      <w:r>
        <w:rPr>
          <w:rFonts w:hint="cs"/>
          <w:rtl/>
        </w:rPr>
        <w:t xml:space="preserve">הכי </w:t>
      </w:r>
      <w:bookmarkStart w:id="59678" w:name="_ETM_Q111_467760"/>
      <w:bookmarkEnd w:id="59678"/>
      <w:r>
        <w:rPr>
          <w:rFonts w:hint="cs"/>
          <w:rtl/>
        </w:rPr>
        <w:t xml:space="preserve">מרתקים </w:t>
      </w:r>
      <w:bookmarkStart w:id="59679" w:name="_ETM_Q111_468180"/>
      <w:bookmarkEnd w:id="59679"/>
      <w:r>
        <w:rPr>
          <w:rFonts w:hint="cs"/>
          <w:rtl/>
        </w:rPr>
        <w:t xml:space="preserve">שאני </w:t>
      </w:r>
      <w:bookmarkStart w:id="59680" w:name="_ETM_Q111_468450"/>
      <w:bookmarkEnd w:id="59680"/>
      <w:r>
        <w:rPr>
          <w:rFonts w:hint="cs"/>
          <w:rtl/>
        </w:rPr>
        <w:t>למדתי</w:t>
      </w:r>
      <w:bookmarkStart w:id="59681" w:name="_ETM_Q111_468839"/>
      <w:bookmarkEnd w:id="59681"/>
      <w:r>
        <w:rPr>
          <w:rFonts w:hint="cs"/>
          <w:rtl/>
        </w:rPr>
        <w:t xml:space="preserve">. הרבה </w:t>
      </w:r>
      <w:bookmarkStart w:id="59682" w:name="_ETM_Q111_469050"/>
      <w:bookmarkEnd w:id="59682"/>
      <w:r>
        <w:rPr>
          <w:rFonts w:hint="cs"/>
          <w:rtl/>
        </w:rPr>
        <w:t xml:space="preserve">ממשיכים </w:t>
      </w:r>
      <w:bookmarkStart w:id="59683" w:name="_ETM_Q111_469470"/>
      <w:bookmarkEnd w:id="59683"/>
      <w:r>
        <w:rPr>
          <w:rFonts w:hint="cs"/>
          <w:rtl/>
        </w:rPr>
        <w:t xml:space="preserve">גם </w:t>
      </w:r>
      <w:bookmarkStart w:id="59684" w:name="_ETM_Q111_469620"/>
      <w:bookmarkEnd w:id="59684"/>
      <w:r>
        <w:rPr>
          <w:rFonts w:hint="cs"/>
          <w:rtl/>
        </w:rPr>
        <w:t xml:space="preserve">לקורס </w:t>
      </w:r>
      <w:bookmarkStart w:id="59685" w:name="_ETM_Q111_470010"/>
      <w:bookmarkEnd w:id="59685"/>
      <w:r>
        <w:rPr>
          <w:rFonts w:hint="cs"/>
          <w:rtl/>
        </w:rPr>
        <w:t>נוסף.</w:t>
      </w:r>
      <w:bookmarkStart w:id="59686" w:name="_ETM_Q111_471529"/>
      <w:bookmarkStart w:id="59687" w:name="_ETM_Q111_471770"/>
      <w:bookmarkStart w:id="59688" w:name="_ETM_Q111_472580"/>
      <w:bookmarkEnd w:id="59686"/>
      <w:bookmarkEnd w:id="59687"/>
      <w:bookmarkEnd w:id="59688"/>
      <w:r>
        <w:rPr>
          <w:rFonts w:hint="cs"/>
          <w:rtl/>
        </w:rPr>
        <w:t xml:space="preserve"> המשפט </w:t>
      </w:r>
      <w:bookmarkStart w:id="59689" w:name="_ETM_Q111_473060"/>
      <w:bookmarkEnd w:id="59689"/>
      <w:r>
        <w:rPr>
          <w:rFonts w:hint="cs"/>
          <w:rtl/>
        </w:rPr>
        <w:t xml:space="preserve">מעולם </w:t>
      </w:r>
      <w:bookmarkStart w:id="59690" w:name="_ETM_Q111_473960"/>
      <w:bookmarkEnd w:id="59690"/>
      <w:r>
        <w:rPr>
          <w:rFonts w:hint="cs"/>
          <w:rtl/>
        </w:rPr>
        <w:t xml:space="preserve">לא </w:t>
      </w:r>
      <w:bookmarkStart w:id="59691" w:name="_ETM_Q111_474260"/>
      <w:bookmarkEnd w:id="59691"/>
      <w:r>
        <w:rPr>
          <w:rFonts w:hint="cs"/>
          <w:rtl/>
        </w:rPr>
        <w:t xml:space="preserve">נועד </w:t>
      </w:r>
      <w:bookmarkStart w:id="59692" w:name="_ETM_Q111_475610"/>
      <w:bookmarkEnd w:id="59692"/>
      <w:r>
        <w:rPr>
          <w:rFonts w:hint="cs"/>
          <w:rtl/>
        </w:rPr>
        <w:t xml:space="preserve">לעמעם </w:t>
      </w:r>
      <w:bookmarkStart w:id="59693" w:name="_ETM_Q111_476330"/>
      <w:bookmarkEnd w:id="59693"/>
      <w:r>
        <w:rPr>
          <w:rFonts w:hint="cs"/>
          <w:rtl/>
        </w:rPr>
        <w:t xml:space="preserve">את </w:t>
      </w:r>
      <w:bookmarkStart w:id="59694" w:name="_ETM_Q111_476449"/>
      <w:bookmarkEnd w:id="59694"/>
      <w:r>
        <w:rPr>
          <w:rFonts w:hint="cs"/>
          <w:rtl/>
        </w:rPr>
        <w:t xml:space="preserve">הזהות </w:t>
      </w:r>
      <w:bookmarkStart w:id="59695" w:name="_ETM_Q111_476809"/>
      <w:bookmarkEnd w:id="59695"/>
      <w:r>
        <w:rPr>
          <w:rFonts w:hint="cs"/>
          <w:rtl/>
        </w:rPr>
        <w:t xml:space="preserve">היהודית </w:t>
      </w:r>
      <w:bookmarkStart w:id="59696" w:name="_ETM_Q111_477110"/>
      <w:bookmarkEnd w:id="59696"/>
      <w:r>
        <w:rPr>
          <w:rFonts w:hint="cs"/>
          <w:rtl/>
        </w:rPr>
        <w:t xml:space="preserve">של </w:t>
      </w:r>
      <w:bookmarkStart w:id="59697" w:name="_ETM_Q111_477229"/>
      <w:bookmarkEnd w:id="59697"/>
      <w:r>
        <w:rPr>
          <w:rFonts w:hint="cs"/>
          <w:rtl/>
        </w:rPr>
        <w:t xml:space="preserve">המדינה. </w:t>
      </w:r>
      <w:bookmarkStart w:id="59698" w:name="_ETM_Q111_477680"/>
      <w:bookmarkEnd w:id="59698"/>
      <w:r>
        <w:rPr>
          <w:rFonts w:hint="cs"/>
          <w:rtl/>
        </w:rPr>
        <w:t xml:space="preserve">המשפט </w:t>
      </w:r>
      <w:bookmarkStart w:id="59699" w:name="_ETM_Q111_478309"/>
      <w:bookmarkEnd w:id="59699"/>
      <w:r>
        <w:rPr>
          <w:rFonts w:hint="cs"/>
          <w:rtl/>
        </w:rPr>
        <w:t xml:space="preserve">אמור </w:t>
      </w:r>
      <w:bookmarkStart w:id="59700" w:name="_ETM_Q111_478639"/>
      <w:bookmarkEnd w:id="59700"/>
      <w:r>
        <w:rPr>
          <w:rFonts w:hint="cs"/>
          <w:rtl/>
        </w:rPr>
        <w:t xml:space="preserve">לתת </w:t>
      </w:r>
      <w:bookmarkStart w:id="59701" w:name="_ETM_Q111_479639"/>
      <w:bookmarkEnd w:id="59701"/>
      <w:r>
        <w:rPr>
          <w:rFonts w:hint="cs"/>
          <w:rtl/>
        </w:rPr>
        <w:t xml:space="preserve">צורך </w:t>
      </w:r>
      <w:bookmarkStart w:id="59702" w:name="_ETM_Q111_480569"/>
      <w:bookmarkEnd w:id="59702"/>
      <w:r>
        <w:rPr>
          <w:rFonts w:hint="cs"/>
          <w:rtl/>
        </w:rPr>
        <w:t xml:space="preserve">יום-יומי </w:t>
      </w:r>
      <w:bookmarkStart w:id="59703" w:name="_ETM_Q111_480120"/>
      <w:bookmarkStart w:id="59704" w:name="_ETM_Q111_480870"/>
      <w:bookmarkEnd w:id="59703"/>
      <w:bookmarkEnd w:id="59704"/>
      <w:r>
        <w:rPr>
          <w:rFonts w:hint="cs"/>
          <w:rtl/>
        </w:rPr>
        <w:t>בפרשנות, כי</w:t>
      </w:r>
      <w:bookmarkStart w:id="59705" w:name="_ETM_Q111_481860"/>
      <w:bookmarkEnd w:id="59705"/>
      <w:r>
        <w:rPr>
          <w:rFonts w:hint="cs"/>
          <w:rtl/>
        </w:rPr>
        <w:t xml:space="preserve"> חוק </w:t>
      </w:r>
      <w:bookmarkStart w:id="59706" w:name="_ETM_Q111_482399"/>
      <w:bookmarkEnd w:id="59706"/>
      <w:r>
        <w:rPr>
          <w:rFonts w:hint="cs"/>
          <w:rtl/>
        </w:rPr>
        <w:t xml:space="preserve">אף </w:t>
      </w:r>
      <w:bookmarkStart w:id="59707" w:name="_ETM_Q111_482550"/>
      <w:bookmarkEnd w:id="59707"/>
      <w:r>
        <w:rPr>
          <w:rFonts w:hint="cs"/>
          <w:rtl/>
        </w:rPr>
        <w:t xml:space="preserve">פעם </w:t>
      </w:r>
      <w:bookmarkStart w:id="59708" w:name="_ETM_Q111_482850"/>
      <w:bookmarkEnd w:id="59708"/>
      <w:r>
        <w:rPr>
          <w:rFonts w:hint="cs"/>
          <w:rtl/>
        </w:rPr>
        <w:t xml:space="preserve">לא עונה </w:t>
      </w:r>
      <w:bookmarkStart w:id="59709" w:name="_ETM_Q111_483300"/>
      <w:bookmarkEnd w:id="59709"/>
      <w:r>
        <w:rPr>
          <w:rFonts w:hint="cs"/>
          <w:rtl/>
        </w:rPr>
        <w:t xml:space="preserve">על </w:t>
      </w:r>
      <w:bookmarkStart w:id="59710" w:name="_ETM_Q111_483480"/>
      <w:bookmarkEnd w:id="59710"/>
      <w:r>
        <w:rPr>
          <w:rFonts w:hint="cs"/>
          <w:rtl/>
        </w:rPr>
        <w:t xml:space="preserve">כל </w:t>
      </w:r>
      <w:bookmarkStart w:id="59711" w:name="_ETM_Q111_484140"/>
      <w:bookmarkEnd w:id="59711"/>
      <w:r>
        <w:rPr>
          <w:rFonts w:hint="cs"/>
          <w:rtl/>
        </w:rPr>
        <w:t xml:space="preserve">תרחיש </w:t>
      </w:r>
      <w:bookmarkStart w:id="59712" w:name="_ETM_Q111_484620"/>
      <w:bookmarkEnd w:id="59712"/>
      <w:r>
        <w:rPr>
          <w:rFonts w:hint="cs"/>
          <w:rtl/>
        </w:rPr>
        <w:t xml:space="preserve">אפשרי </w:t>
      </w:r>
      <w:bookmarkStart w:id="59713" w:name="_ETM_Q111_484980"/>
      <w:bookmarkEnd w:id="59713"/>
      <w:r>
        <w:rPr>
          <w:rFonts w:hint="cs"/>
          <w:rtl/>
        </w:rPr>
        <w:t xml:space="preserve">שקורה, </w:t>
      </w:r>
      <w:bookmarkStart w:id="59714" w:name="_ETM_Q111_485670"/>
      <w:bookmarkEnd w:id="59714"/>
      <w:r>
        <w:rPr>
          <w:rFonts w:hint="cs"/>
          <w:rtl/>
        </w:rPr>
        <w:t>ל</w:t>
      </w:r>
      <w:bookmarkStart w:id="59715" w:name="_ETM_Q111_485879"/>
      <w:bookmarkEnd w:id="59715"/>
      <w:r>
        <w:rPr>
          <w:rFonts w:hint="cs"/>
          <w:rtl/>
        </w:rPr>
        <w:t xml:space="preserve">א </w:t>
      </w:r>
      <w:bookmarkStart w:id="59716" w:name="_ETM_Q111_483000"/>
      <w:bookmarkEnd w:id="59716"/>
      <w:r>
        <w:rPr>
          <w:rFonts w:hint="cs"/>
          <w:rtl/>
        </w:rPr>
        <w:t xml:space="preserve">במבחן </w:t>
      </w:r>
      <w:bookmarkStart w:id="59717" w:name="_ETM_Q111_486450"/>
      <w:bookmarkEnd w:id="59717"/>
      <w:r>
        <w:rPr>
          <w:rFonts w:hint="cs"/>
          <w:rtl/>
        </w:rPr>
        <w:t xml:space="preserve">הזמן </w:t>
      </w:r>
      <w:bookmarkStart w:id="59718" w:name="_ETM_Q111_487109"/>
      <w:bookmarkEnd w:id="59718"/>
      <w:r>
        <w:rPr>
          <w:rFonts w:hint="cs"/>
          <w:rtl/>
        </w:rPr>
        <w:t xml:space="preserve">ולא </w:t>
      </w:r>
      <w:bookmarkStart w:id="59719" w:name="_ETM_Q111_487350"/>
      <w:bookmarkEnd w:id="59719"/>
      <w:r>
        <w:rPr>
          <w:rFonts w:hint="cs"/>
          <w:rtl/>
        </w:rPr>
        <w:t xml:space="preserve">אפילו </w:t>
      </w:r>
      <w:bookmarkStart w:id="59720" w:name="_ETM_Q111_487589"/>
      <w:bookmarkEnd w:id="59720"/>
      <w:r>
        <w:rPr>
          <w:rFonts w:hint="cs"/>
          <w:rtl/>
        </w:rPr>
        <w:t xml:space="preserve">דקה </w:t>
      </w:r>
      <w:bookmarkStart w:id="59721" w:name="_ETM_Q111_487890"/>
      <w:bookmarkEnd w:id="59721"/>
      <w:r>
        <w:rPr>
          <w:rFonts w:hint="cs"/>
          <w:rtl/>
        </w:rPr>
        <w:t xml:space="preserve">אחרי </w:t>
      </w:r>
      <w:bookmarkStart w:id="59722" w:name="_ETM_Q111_488070"/>
      <w:bookmarkEnd w:id="59722"/>
      <w:r>
        <w:rPr>
          <w:rFonts w:hint="cs"/>
          <w:rtl/>
        </w:rPr>
        <w:t xml:space="preserve">שהוא </w:t>
      </w:r>
      <w:bookmarkStart w:id="59723" w:name="_ETM_Q111_488220"/>
      <w:bookmarkEnd w:id="59723"/>
      <w:r>
        <w:rPr>
          <w:rFonts w:hint="cs"/>
          <w:rtl/>
        </w:rPr>
        <w:t xml:space="preserve">נחקק. </w:t>
      </w:r>
      <w:bookmarkStart w:id="59724" w:name="_ETM_Q111_488639"/>
      <w:bookmarkEnd w:id="59724"/>
      <w:r>
        <w:rPr>
          <w:rFonts w:hint="cs"/>
          <w:rtl/>
        </w:rPr>
        <w:t xml:space="preserve">אנחנו </w:t>
      </w:r>
      <w:bookmarkStart w:id="59725" w:name="_ETM_Q111_488940"/>
      <w:bookmarkEnd w:id="59725"/>
      <w:r>
        <w:rPr>
          <w:rFonts w:hint="cs"/>
          <w:rtl/>
        </w:rPr>
        <w:t xml:space="preserve">כולנו </w:t>
      </w:r>
      <w:bookmarkStart w:id="59726" w:name="_ETM_Q111_489269"/>
      <w:bookmarkEnd w:id="59726"/>
      <w:r>
        <w:rPr>
          <w:rFonts w:hint="cs"/>
          <w:rtl/>
        </w:rPr>
        <w:t xml:space="preserve">מחוקקים. </w:t>
      </w:r>
      <w:bookmarkStart w:id="59727" w:name="_ETM_Q111_490200"/>
      <w:bookmarkEnd w:id="59727"/>
      <w:r>
        <w:rPr>
          <w:rFonts w:hint="cs"/>
          <w:rtl/>
        </w:rPr>
        <w:t xml:space="preserve">אני </w:t>
      </w:r>
      <w:bookmarkStart w:id="59728" w:name="_ETM_Q111_490469"/>
      <w:bookmarkEnd w:id="59728"/>
      <w:r>
        <w:rPr>
          <w:rFonts w:hint="cs"/>
          <w:rtl/>
        </w:rPr>
        <w:t xml:space="preserve">מאמין </w:t>
      </w:r>
      <w:bookmarkStart w:id="59729" w:name="_ETM_Q111_490920"/>
      <w:bookmarkEnd w:id="59729"/>
      <w:r>
        <w:rPr>
          <w:rFonts w:hint="cs"/>
          <w:rtl/>
        </w:rPr>
        <w:t>בחקיקה.</w:t>
      </w:r>
      <w:bookmarkStart w:id="59730" w:name="_ETM_Q111_491790"/>
      <w:bookmarkEnd w:id="59730"/>
      <w:r>
        <w:rPr>
          <w:rFonts w:hint="cs"/>
          <w:rtl/>
        </w:rPr>
        <w:t xml:space="preserve"> </w:t>
      </w:r>
      <w:bookmarkStart w:id="59731" w:name="_ETM_Q111_492450"/>
      <w:bookmarkEnd w:id="59731"/>
      <w:r>
        <w:rPr>
          <w:rFonts w:hint="cs"/>
          <w:rtl/>
        </w:rPr>
        <w:t xml:space="preserve">זה </w:t>
      </w:r>
      <w:bookmarkStart w:id="59732" w:name="_ETM_Q111_492570"/>
      <w:bookmarkEnd w:id="59732"/>
      <w:r>
        <w:rPr>
          <w:rFonts w:hint="cs"/>
          <w:rtl/>
        </w:rPr>
        <w:t xml:space="preserve">מצחיק, </w:t>
      </w:r>
      <w:bookmarkStart w:id="59733" w:name="_ETM_Q111_492900"/>
      <w:bookmarkEnd w:id="59733"/>
      <w:r>
        <w:rPr>
          <w:rFonts w:hint="cs"/>
          <w:rtl/>
        </w:rPr>
        <w:t xml:space="preserve">כי </w:t>
      </w:r>
      <w:bookmarkStart w:id="59734" w:name="_ETM_Q111_493049"/>
      <w:bookmarkEnd w:id="59734"/>
      <w:r>
        <w:rPr>
          <w:rFonts w:hint="cs"/>
          <w:rtl/>
        </w:rPr>
        <w:t xml:space="preserve">המשפחה </w:t>
      </w:r>
      <w:bookmarkStart w:id="59735" w:name="_ETM_Q111_493469"/>
      <w:bookmarkEnd w:id="59735"/>
      <w:r>
        <w:rPr>
          <w:rFonts w:hint="cs"/>
          <w:rtl/>
        </w:rPr>
        <w:t xml:space="preserve">שלי לפעמים </w:t>
      </w:r>
      <w:bookmarkStart w:id="59736" w:name="_ETM_Q111_493799"/>
      <w:bookmarkEnd w:id="59736"/>
      <w:r>
        <w:rPr>
          <w:rFonts w:hint="cs"/>
          <w:rtl/>
        </w:rPr>
        <w:t>אומרת, ו</w:t>
      </w:r>
      <w:bookmarkStart w:id="59737" w:name="_ETM_Q111_494400"/>
      <w:bookmarkEnd w:id="59737"/>
      <w:r>
        <w:rPr>
          <w:rFonts w:hint="cs"/>
          <w:rtl/>
        </w:rPr>
        <w:t xml:space="preserve">יש </w:t>
      </w:r>
      <w:bookmarkStart w:id="59738" w:name="_ETM_Q111_494580"/>
      <w:bookmarkEnd w:id="59738"/>
      <w:r>
        <w:rPr>
          <w:rFonts w:hint="cs"/>
          <w:rtl/>
        </w:rPr>
        <w:t xml:space="preserve">אנשים </w:t>
      </w:r>
      <w:bookmarkStart w:id="59739" w:name="_ETM_Q111_494820"/>
      <w:bookmarkEnd w:id="59739"/>
      <w:r>
        <w:rPr>
          <w:rFonts w:hint="cs"/>
          <w:rtl/>
        </w:rPr>
        <w:t>שאומרים</w:t>
      </w:r>
      <w:bookmarkStart w:id="59740" w:name="_ETM_Q111_495210"/>
      <w:bookmarkEnd w:id="59740"/>
      <w:r>
        <w:rPr>
          <w:rFonts w:hint="cs"/>
          <w:rtl/>
        </w:rPr>
        <w:t xml:space="preserve">: כן, </w:t>
      </w:r>
      <w:bookmarkStart w:id="59741" w:name="_ETM_Q111_495389"/>
      <w:bookmarkEnd w:id="59741"/>
      <w:r>
        <w:rPr>
          <w:rFonts w:hint="cs"/>
          <w:rtl/>
        </w:rPr>
        <w:t xml:space="preserve">אבל </w:t>
      </w:r>
      <w:bookmarkStart w:id="59742" w:name="_ETM_Q111_495889"/>
      <w:bookmarkStart w:id="59743" w:name="_ETM_Q111_496160"/>
      <w:bookmarkEnd w:id="59742"/>
      <w:bookmarkEnd w:id="59743"/>
      <w:r>
        <w:rPr>
          <w:rFonts w:hint="cs"/>
          <w:rtl/>
        </w:rPr>
        <w:t xml:space="preserve">השופטים </w:t>
      </w:r>
      <w:bookmarkStart w:id="59744" w:name="_ETM_Q111_496519"/>
      <w:bookmarkEnd w:id="59744"/>
      <w:r>
        <w:rPr>
          <w:rFonts w:hint="cs"/>
          <w:rtl/>
        </w:rPr>
        <w:t xml:space="preserve">יודעים </w:t>
      </w:r>
      <w:bookmarkStart w:id="59745" w:name="_ETM_Q111_496730"/>
      <w:bookmarkEnd w:id="59745"/>
      <w:r>
        <w:rPr>
          <w:rFonts w:hint="cs"/>
          <w:rtl/>
        </w:rPr>
        <w:t xml:space="preserve">מה הם עושים. </w:t>
      </w:r>
      <w:bookmarkStart w:id="59746" w:name="_ETM_Q111_497060"/>
      <w:bookmarkStart w:id="59747" w:name="_ETM_Q111_497359"/>
      <w:bookmarkEnd w:id="59746"/>
      <w:bookmarkEnd w:id="59747"/>
      <w:r>
        <w:rPr>
          <w:rFonts w:hint="cs"/>
          <w:rtl/>
        </w:rPr>
        <w:t xml:space="preserve">גם </w:t>
      </w:r>
      <w:bookmarkStart w:id="59748" w:name="_ETM_Q111_497480"/>
      <w:bookmarkEnd w:id="59748"/>
      <w:r>
        <w:rPr>
          <w:rFonts w:hint="cs"/>
          <w:rtl/>
        </w:rPr>
        <w:t xml:space="preserve">אני </w:t>
      </w:r>
      <w:bookmarkStart w:id="59749" w:name="_ETM_Q111_497599"/>
      <w:bookmarkEnd w:id="59749"/>
      <w:r>
        <w:rPr>
          <w:rFonts w:hint="cs"/>
          <w:rtl/>
        </w:rPr>
        <w:t xml:space="preserve">יודע </w:t>
      </w:r>
      <w:bookmarkStart w:id="59750" w:name="_ETM_Q111_497810"/>
      <w:bookmarkEnd w:id="59750"/>
      <w:r>
        <w:rPr>
          <w:rFonts w:hint="cs"/>
          <w:rtl/>
        </w:rPr>
        <w:t xml:space="preserve">מה </w:t>
      </w:r>
      <w:bookmarkStart w:id="59751" w:name="_ETM_Q111_497930"/>
      <w:bookmarkEnd w:id="59751"/>
      <w:r>
        <w:rPr>
          <w:rFonts w:hint="cs"/>
          <w:rtl/>
        </w:rPr>
        <w:t xml:space="preserve">אני </w:t>
      </w:r>
      <w:bookmarkStart w:id="59752" w:name="_ETM_Q111_498019"/>
      <w:bookmarkEnd w:id="59752"/>
      <w:r>
        <w:rPr>
          <w:rFonts w:hint="cs"/>
          <w:rtl/>
        </w:rPr>
        <w:t>עושה.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59753" w:name="_ETM_Q111_494000"/>
      <w:bookmarkEnd w:id="59753"/>
      <w:r>
        <w:rPr>
          <w:rFonts w:hint="cs"/>
          <w:rtl/>
        </w:rPr>
        <w:t xml:space="preserve">ברור שאנחנו </w:t>
      </w:r>
      <w:bookmarkStart w:id="59754" w:name="_ETM_Q111_498000"/>
      <w:bookmarkStart w:id="59755" w:name="_ETM_Q111_498410"/>
      <w:bookmarkStart w:id="59756" w:name="_ETM_Q111_498710"/>
      <w:bookmarkStart w:id="59757" w:name="_ETM_Q111_498980"/>
      <w:bookmarkEnd w:id="59754"/>
      <w:bookmarkEnd w:id="59755"/>
      <w:bookmarkEnd w:id="59756"/>
      <w:bookmarkEnd w:id="59757"/>
      <w:r>
        <w:rPr>
          <w:rFonts w:hint="cs"/>
          <w:rtl/>
        </w:rPr>
        <w:t>צרי</w:t>
      </w:r>
      <w:bookmarkStart w:id="59758" w:name="_ETM_Q111_499189"/>
      <w:bookmarkEnd w:id="59758"/>
      <w:r>
        <w:rPr>
          <w:rFonts w:hint="cs"/>
          <w:rtl/>
        </w:rPr>
        <w:t xml:space="preserve">כים בית </w:t>
      </w:r>
      <w:bookmarkStart w:id="59759" w:name="_ETM_Q111_499369"/>
      <w:bookmarkEnd w:id="59759"/>
      <w:r>
        <w:rPr>
          <w:rFonts w:hint="cs"/>
          <w:rtl/>
        </w:rPr>
        <w:t xml:space="preserve">משפט </w:t>
      </w:r>
      <w:bookmarkStart w:id="59760" w:name="_ETM_Q111_499640"/>
      <w:bookmarkEnd w:id="59760"/>
      <w:r>
        <w:rPr>
          <w:rFonts w:hint="cs"/>
          <w:rtl/>
        </w:rPr>
        <w:t xml:space="preserve">חזק. </w:t>
      </w:r>
      <w:bookmarkStart w:id="59761" w:name="_ETM_Q111_500000"/>
      <w:bookmarkStart w:id="59762" w:name="_ETM_Q111_500089"/>
      <w:bookmarkStart w:id="59763" w:name="_ETM_Q111_500270"/>
      <w:bookmarkEnd w:id="59761"/>
      <w:bookmarkEnd w:id="59762"/>
      <w:bookmarkEnd w:id="59763"/>
      <w:r>
        <w:rPr>
          <w:rFonts w:hint="cs"/>
          <w:rtl/>
        </w:rPr>
        <w:t>צריך רק "שופטים</w:t>
      </w:r>
      <w:bookmarkStart w:id="59764" w:name="_ETM_Q111_500630"/>
      <w:bookmarkStart w:id="59765" w:name="_ETM_Q111_501020"/>
      <w:bookmarkEnd w:id="59764"/>
      <w:bookmarkEnd w:id="59765"/>
      <w:r>
        <w:rPr>
          <w:rFonts w:hint="cs"/>
          <w:rtl/>
        </w:rPr>
        <w:t xml:space="preserve"> ושוטרים תתן לך". </w:t>
      </w:r>
      <w:bookmarkStart w:id="59766" w:name="_ETM_Q111_501380"/>
      <w:bookmarkStart w:id="59767" w:name="_ETM_Q111_501619"/>
      <w:bookmarkStart w:id="59768" w:name="_ETM_Q111_501949"/>
      <w:bookmarkEnd w:id="59766"/>
      <w:bookmarkEnd w:id="59767"/>
      <w:bookmarkEnd w:id="59768"/>
      <w:r>
        <w:rPr>
          <w:rFonts w:hint="cs"/>
          <w:rtl/>
        </w:rPr>
        <w:t xml:space="preserve">אם </w:t>
      </w:r>
      <w:bookmarkStart w:id="59769" w:name="_ETM_Q111_502160"/>
      <w:bookmarkEnd w:id="59769"/>
      <w:r>
        <w:rPr>
          <w:rFonts w:hint="cs"/>
          <w:rtl/>
        </w:rPr>
        <w:t xml:space="preserve">לא </w:t>
      </w:r>
      <w:bookmarkStart w:id="59770" w:name="_ETM_Q111_503180"/>
      <w:bookmarkStart w:id="59771" w:name="_ETM_Q111_503330"/>
      <w:bookmarkStart w:id="59772" w:name="_ETM_Q111_503720"/>
      <w:bookmarkEnd w:id="59770"/>
      <w:bookmarkEnd w:id="59771"/>
      <w:bookmarkEnd w:id="59772"/>
      <w:r>
        <w:rPr>
          <w:rFonts w:hint="cs"/>
          <w:rtl/>
        </w:rPr>
        <w:t xml:space="preserve">בית </w:t>
      </w:r>
      <w:bookmarkStart w:id="59773" w:name="_ETM_Q111_503900"/>
      <w:bookmarkEnd w:id="59773"/>
      <w:r>
        <w:rPr>
          <w:rFonts w:hint="cs"/>
          <w:rtl/>
        </w:rPr>
        <w:t xml:space="preserve">המשפט, </w:t>
      </w:r>
      <w:bookmarkStart w:id="59774" w:name="_ETM_Q111_504349"/>
      <w:bookmarkEnd w:id="59774"/>
      <w:r>
        <w:rPr>
          <w:rFonts w:hint="cs"/>
          <w:rtl/>
        </w:rPr>
        <w:t xml:space="preserve">"איש </w:t>
      </w:r>
      <w:bookmarkStart w:id="59775" w:name="_ETM_Q111_504890"/>
      <w:bookmarkEnd w:id="59775"/>
      <w:r>
        <w:rPr>
          <w:rFonts w:hint="cs"/>
          <w:rtl/>
        </w:rPr>
        <w:t xml:space="preserve">את </w:t>
      </w:r>
      <w:bookmarkStart w:id="59776" w:name="_ETM_Q111_505009"/>
      <w:bookmarkEnd w:id="59776"/>
      <w:r>
        <w:rPr>
          <w:rFonts w:hint="cs"/>
          <w:rtl/>
        </w:rPr>
        <w:t xml:space="preserve">רעהו </w:t>
      </w:r>
      <w:bookmarkStart w:id="59777" w:name="_ETM_Q111_505430"/>
      <w:bookmarkEnd w:id="59777"/>
      <w:r>
        <w:rPr>
          <w:rFonts w:hint="cs"/>
          <w:rtl/>
        </w:rPr>
        <w:t xml:space="preserve">חיים </w:t>
      </w:r>
      <w:bookmarkStart w:id="59778" w:name="_ETM_Q111_505699"/>
      <w:bookmarkEnd w:id="59778"/>
      <w:r>
        <w:rPr>
          <w:rFonts w:hint="cs"/>
          <w:rtl/>
        </w:rPr>
        <w:t xml:space="preserve">בלעו". </w:t>
      </w:r>
      <w:bookmarkStart w:id="59779" w:name="_ETM_Q111_506060"/>
      <w:bookmarkEnd w:id="59779"/>
      <w:r>
        <w:rPr>
          <w:rFonts w:hint="cs"/>
          <w:rtl/>
        </w:rPr>
        <w:t xml:space="preserve">אז </w:t>
      </w:r>
      <w:bookmarkStart w:id="59780" w:name="_ETM_Q111_506180"/>
      <w:bookmarkEnd w:id="59780"/>
      <w:r>
        <w:rPr>
          <w:rFonts w:hint="cs"/>
          <w:rtl/>
        </w:rPr>
        <w:t xml:space="preserve">אנחנו </w:t>
      </w:r>
      <w:bookmarkStart w:id="59781" w:name="_ETM_Q111_506449"/>
      <w:bookmarkEnd w:id="59781"/>
      <w:r>
        <w:rPr>
          <w:rFonts w:hint="cs"/>
          <w:rtl/>
        </w:rPr>
        <w:t xml:space="preserve">בוודאי </w:t>
      </w:r>
      <w:bookmarkStart w:id="59782" w:name="_ETM_Q111_506869"/>
      <w:bookmarkEnd w:id="59782"/>
      <w:r>
        <w:rPr>
          <w:rFonts w:hint="cs"/>
          <w:rtl/>
        </w:rPr>
        <w:t xml:space="preserve">צריכים </w:t>
      </w:r>
      <w:bookmarkStart w:id="59783" w:name="_ETM_Q111_507169"/>
      <w:bookmarkEnd w:id="59783"/>
      <w:r>
        <w:rPr>
          <w:rFonts w:hint="cs"/>
          <w:rtl/>
        </w:rPr>
        <w:t xml:space="preserve">בית </w:t>
      </w:r>
      <w:bookmarkStart w:id="59784" w:name="_ETM_Q111_507380"/>
      <w:bookmarkEnd w:id="59784"/>
      <w:r>
        <w:rPr>
          <w:rFonts w:hint="cs"/>
          <w:rtl/>
        </w:rPr>
        <w:t xml:space="preserve">משפט. אז </w:t>
      </w:r>
      <w:bookmarkStart w:id="59785" w:name="_ETM_Q111_505000"/>
      <w:bookmarkEnd w:id="59785"/>
      <w:r>
        <w:rPr>
          <w:rFonts w:hint="cs"/>
          <w:rtl/>
        </w:rPr>
        <w:t>השאלה</w:t>
      </w:r>
      <w:bookmarkStart w:id="59786" w:name="_ETM_Q111_507859"/>
      <w:bookmarkStart w:id="59787" w:name="_ETM_Q111_508310"/>
      <w:bookmarkEnd w:id="59786"/>
      <w:bookmarkEnd w:id="59787"/>
      <w:r>
        <w:rPr>
          <w:rFonts w:hint="cs"/>
          <w:rtl/>
        </w:rPr>
        <w:t xml:space="preserve"> </w:t>
      </w:r>
      <w:bookmarkStart w:id="59788" w:name="_ETM_Q111_508730"/>
      <w:bookmarkEnd w:id="59788"/>
      <w:r>
        <w:rPr>
          <w:rFonts w:hint="cs"/>
          <w:rtl/>
        </w:rPr>
        <w:t xml:space="preserve">היחידה </w:t>
      </w:r>
      <w:bookmarkStart w:id="59789" w:name="_ETM_Q111_509270"/>
      <w:bookmarkEnd w:id="59789"/>
      <w:r>
        <w:rPr>
          <w:rFonts w:hint="cs"/>
          <w:rtl/>
        </w:rPr>
        <w:t xml:space="preserve">שעומדת </w:t>
      </w:r>
      <w:bookmarkStart w:id="59790" w:name="_ETM_Q111_509960"/>
      <w:bookmarkEnd w:id="59790"/>
      <w:r>
        <w:rPr>
          <w:rFonts w:hint="cs"/>
          <w:rtl/>
        </w:rPr>
        <w:t xml:space="preserve">פה </w:t>
      </w:r>
      <w:bookmarkStart w:id="59791" w:name="_ETM_Q111_510140"/>
      <w:bookmarkEnd w:id="59791"/>
      <w:r>
        <w:rPr>
          <w:rFonts w:hint="cs"/>
          <w:rtl/>
        </w:rPr>
        <w:t xml:space="preserve">לדיון, </w:t>
      </w:r>
      <w:bookmarkStart w:id="59792" w:name="_ETM_Q111_511099"/>
      <w:bookmarkEnd w:id="59792"/>
      <w:r>
        <w:rPr>
          <w:rFonts w:hint="cs"/>
          <w:rtl/>
        </w:rPr>
        <w:t xml:space="preserve">וסביב </w:t>
      </w:r>
      <w:bookmarkStart w:id="59793" w:name="_ETM_Q111_511789"/>
      <w:bookmarkEnd w:id="59793"/>
      <w:r>
        <w:rPr>
          <w:rFonts w:hint="cs"/>
          <w:rtl/>
        </w:rPr>
        <w:t xml:space="preserve">זה, בחודשים </w:t>
      </w:r>
      <w:bookmarkStart w:id="59794" w:name="_ETM_Q111_512480"/>
      <w:bookmarkEnd w:id="59794"/>
      <w:r>
        <w:rPr>
          <w:rFonts w:hint="cs"/>
          <w:rtl/>
        </w:rPr>
        <w:t>הללו</w:t>
      </w:r>
      <w:r w:rsidR="009D7D51">
        <w:rPr>
          <w:rFonts w:hint="cs"/>
          <w:rtl/>
        </w:rPr>
        <w:t>,</w:t>
      </w:r>
      <w:r>
        <w:rPr>
          <w:rFonts w:hint="cs"/>
          <w:rtl/>
        </w:rPr>
        <w:t xml:space="preserve"> היא</w:t>
      </w:r>
      <w:bookmarkStart w:id="59795" w:name="_ETM_Q111_512779"/>
      <w:bookmarkStart w:id="59796" w:name="_ETM_Q111_513350"/>
      <w:bookmarkEnd w:id="59795"/>
      <w:bookmarkEnd w:id="59796"/>
      <w:r>
        <w:rPr>
          <w:rFonts w:hint="cs"/>
          <w:rtl/>
        </w:rPr>
        <w:t xml:space="preserve"> עד </w:t>
      </w:r>
      <w:bookmarkStart w:id="59797" w:name="_ETM_Q111_513559"/>
      <w:bookmarkEnd w:id="59797"/>
      <w:r>
        <w:rPr>
          <w:rFonts w:hint="cs"/>
          <w:rtl/>
        </w:rPr>
        <w:t xml:space="preserve">כמה </w:t>
      </w:r>
      <w:bookmarkStart w:id="59798" w:name="_ETM_Q111_513860"/>
      <w:bookmarkEnd w:id="59798"/>
      <w:r>
        <w:rPr>
          <w:rFonts w:hint="cs"/>
          <w:rtl/>
        </w:rPr>
        <w:t xml:space="preserve">הגבולות </w:t>
      </w:r>
      <w:bookmarkStart w:id="59799" w:name="_ETM_Q111_514190"/>
      <w:bookmarkEnd w:id="59799"/>
      <w:r>
        <w:rPr>
          <w:rFonts w:hint="cs"/>
          <w:rtl/>
        </w:rPr>
        <w:t xml:space="preserve">של בית </w:t>
      </w:r>
      <w:bookmarkStart w:id="59800" w:name="_ETM_Q111_514430"/>
      <w:bookmarkEnd w:id="59800"/>
      <w:r>
        <w:rPr>
          <w:rFonts w:hint="cs"/>
          <w:rtl/>
        </w:rPr>
        <w:t xml:space="preserve">המשפט </w:t>
      </w:r>
      <w:bookmarkStart w:id="59801" w:name="_ETM_Q111_514879"/>
      <w:bookmarkEnd w:id="59801"/>
      <w:r>
        <w:rPr>
          <w:rFonts w:hint="cs"/>
          <w:rtl/>
        </w:rPr>
        <w:t xml:space="preserve">להתערב </w:t>
      </w:r>
      <w:bookmarkStart w:id="59802" w:name="_ETM_Q111_515300"/>
      <w:bookmarkEnd w:id="59802"/>
      <w:r>
        <w:rPr>
          <w:rFonts w:hint="cs"/>
          <w:rtl/>
        </w:rPr>
        <w:t xml:space="preserve">– הפרדת </w:t>
      </w:r>
      <w:bookmarkStart w:id="59803" w:name="_ETM_Q111_516680"/>
      <w:bookmarkEnd w:id="59803"/>
      <w:r>
        <w:rPr>
          <w:rFonts w:hint="cs"/>
          <w:rtl/>
        </w:rPr>
        <w:t xml:space="preserve">הרשויות </w:t>
      </w:r>
      <w:bookmarkStart w:id="59804" w:name="_ETM_Q111_517339"/>
      <w:bookmarkEnd w:id="59804"/>
      <w:r>
        <w:rPr>
          <w:rFonts w:hint="cs"/>
          <w:rtl/>
        </w:rPr>
        <w:t xml:space="preserve">בין </w:t>
      </w:r>
      <w:bookmarkStart w:id="59805" w:name="_ETM_Q111_517489"/>
      <w:bookmarkEnd w:id="59805"/>
      <w:r>
        <w:rPr>
          <w:rFonts w:hint="cs"/>
          <w:rtl/>
        </w:rPr>
        <w:t xml:space="preserve">הרשות </w:t>
      </w:r>
      <w:bookmarkStart w:id="59806" w:name="_ETM_Q111_517760"/>
      <w:bookmarkEnd w:id="59806"/>
      <w:r>
        <w:rPr>
          <w:rFonts w:hint="cs"/>
          <w:rtl/>
        </w:rPr>
        <w:t xml:space="preserve">המחוקקת </w:t>
      </w:r>
      <w:bookmarkStart w:id="59807" w:name="_ETM_Q111_518390"/>
      <w:bookmarkEnd w:id="59807"/>
      <w:r>
        <w:rPr>
          <w:rFonts w:hint="cs"/>
          <w:rtl/>
        </w:rPr>
        <w:t xml:space="preserve">למבצעת </w:t>
      </w:r>
      <w:bookmarkStart w:id="59808" w:name="_ETM_Q111_518900"/>
      <w:bookmarkEnd w:id="59808"/>
      <w:r>
        <w:rPr>
          <w:rFonts w:hint="cs"/>
          <w:rtl/>
        </w:rPr>
        <w:t xml:space="preserve">ולשופטת. זו </w:t>
      </w:r>
      <w:bookmarkStart w:id="59809" w:name="_ETM_Q111_519589"/>
      <w:bookmarkStart w:id="59810" w:name="_ETM_Q111_519800"/>
      <w:bookmarkEnd w:id="59809"/>
      <w:bookmarkEnd w:id="59810"/>
      <w:r>
        <w:rPr>
          <w:rFonts w:hint="cs"/>
          <w:rtl/>
        </w:rPr>
        <w:t xml:space="preserve">השאלה </w:t>
      </w:r>
      <w:bookmarkStart w:id="59811" w:name="_ETM_Q111_520129"/>
      <w:bookmarkEnd w:id="59811"/>
      <w:r>
        <w:rPr>
          <w:rFonts w:hint="cs"/>
          <w:rtl/>
        </w:rPr>
        <w:t xml:space="preserve">היחידה. </w:t>
      </w:r>
      <w:bookmarkStart w:id="59812" w:name="_ETM_Q111_520879"/>
      <w:bookmarkEnd w:id="59812"/>
      <w:r>
        <w:rPr>
          <w:rFonts w:hint="cs"/>
          <w:rtl/>
        </w:rPr>
        <w:t>אף אחד לא</w:t>
      </w:r>
      <w:bookmarkStart w:id="59813" w:name="_ETM_Q111_521089"/>
      <w:bookmarkStart w:id="59814" w:name="_ETM_Q111_521210"/>
      <w:bookmarkEnd w:id="59813"/>
      <w:bookmarkEnd w:id="59814"/>
      <w:r>
        <w:rPr>
          <w:rFonts w:hint="cs"/>
          <w:rtl/>
        </w:rPr>
        <w:t xml:space="preserve"> </w:t>
      </w:r>
      <w:bookmarkStart w:id="59815" w:name="_ETM_Q111_521300"/>
      <w:bookmarkEnd w:id="59815"/>
      <w:r>
        <w:rPr>
          <w:rFonts w:hint="cs"/>
          <w:rtl/>
        </w:rPr>
        <w:t xml:space="preserve">חולק </w:t>
      </w:r>
      <w:bookmarkStart w:id="59816" w:name="_ETM_Q111_521720"/>
      <w:bookmarkEnd w:id="59816"/>
      <w:r>
        <w:rPr>
          <w:rFonts w:hint="cs"/>
          <w:rtl/>
        </w:rPr>
        <w:t xml:space="preserve">על </w:t>
      </w:r>
      <w:bookmarkStart w:id="59817" w:name="_ETM_Q111_521809"/>
      <w:bookmarkEnd w:id="59817"/>
      <w:r>
        <w:rPr>
          <w:rFonts w:hint="cs"/>
          <w:rtl/>
        </w:rPr>
        <w:t xml:space="preserve">סמכותו </w:t>
      </w:r>
      <w:bookmarkStart w:id="59818" w:name="_ETM_Q111_522379"/>
      <w:bookmarkEnd w:id="59818"/>
      <w:r>
        <w:rPr>
          <w:rFonts w:hint="cs"/>
          <w:rtl/>
        </w:rPr>
        <w:t xml:space="preserve">ועל </w:t>
      </w:r>
      <w:bookmarkStart w:id="59819" w:name="_ETM_Q111_522470"/>
      <w:bookmarkEnd w:id="59819"/>
      <w:r>
        <w:rPr>
          <w:rFonts w:hint="cs"/>
          <w:rtl/>
        </w:rPr>
        <w:t xml:space="preserve">עצמאותו </w:t>
      </w:r>
      <w:bookmarkStart w:id="59820" w:name="_ETM_Q111_522920"/>
      <w:bookmarkEnd w:id="59820"/>
      <w:r>
        <w:rPr>
          <w:rFonts w:hint="cs"/>
          <w:rtl/>
        </w:rPr>
        <w:t xml:space="preserve">של </w:t>
      </w:r>
      <w:bookmarkStart w:id="59821" w:name="_ETM_Q111_523070"/>
      <w:bookmarkEnd w:id="59821"/>
      <w:r>
        <w:rPr>
          <w:rFonts w:hint="cs"/>
          <w:rtl/>
        </w:rPr>
        <w:t xml:space="preserve">בית </w:t>
      </w:r>
      <w:bookmarkStart w:id="59822" w:name="_ETM_Q111_523220"/>
      <w:bookmarkEnd w:id="59822"/>
      <w:r>
        <w:rPr>
          <w:rFonts w:hint="cs"/>
          <w:rtl/>
        </w:rPr>
        <w:t>המשפט</w:t>
      </w:r>
      <w:bookmarkStart w:id="59823" w:name="_ETM_Q111_524120"/>
      <w:bookmarkEnd w:id="59823"/>
      <w:r>
        <w:rPr>
          <w:rFonts w:hint="cs"/>
          <w:rtl/>
        </w:rPr>
        <w:t xml:space="preserve">. </w:t>
      </w:r>
    </w:p>
    <w:p w:rsidR="00BB59CD" w:rsidRDefault="00BB59CD" w:rsidP="00BB59CD">
      <w:pPr>
        <w:rPr>
          <w:rtl/>
        </w:rPr>
      </w:pPr>
    </w:p>
    <w:p w:rsidR="00BB59CD" w:rsidRDefault="00BB59CD" w:rsidP="00BB59CD">
      <w:pPr>
        <w:pStyle w:val="-"/>
        <w:keepNext/>
        <w:rPr>
          <w:rtl/>
        </w:rPr>
      </w:pPr>
      <w:bookmarkStart w:id="59824" w:name="_ETM_Q111_525000"/>
      <w:bookmarkStart w:id="59825" w:name="ET_speakercontinue_5803_21"/>
      <w:bookmarkEnd w:id="59824"/>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bookmarkEnd w:id="59825"/>
    </w:p>
    <w:p w:rsidR="00BB59CD" w:rsidRDefault="00BB59CD" w:rsidP="00337201">
      <w:pPr>
        <w:rPr>
          <w:rtl/>
          <w:lang w:eastAsia="he-IL"/>
        </w:rPr>
      </w:pPr>
    </w:p>
    <w:p w:rsidR="00BB59CD" w:rsidRDefault="00BB59CD" w:rsidP="00BB59CD">
      <w:pPr>
        <w:rPr>
          <w:rtl/>
        </w:rPr>
      </w:pPr>
      <w:bookmarkStart w:id="59826" w:name="_ETM_Q111_524000"/>
      <w:bookmarkStart w:id="59827" w:name="_ETM_Q111_520000"/>
      <w:bookmarkEnd w:id="59826"/>
      <w:bookmarkEnd w:id="59827"/>
      <w:r>
        <w:rPr>
          <w:rFonts w:hint="cs"/>
          <w:rtl/>
        </w:rPr>
        <w:t xml:space="preserve">אז אני </w:t>
      </w:r>
      <w:bookmarkStart w:id="59828" w:name="_ETM_Q111_524269"/>
      <w:bookmarkEnd w:id="59828"/>
      <w:r>
        <w:rPr>
          <w:rFonts w:hint="cs"/>
          <w:rtl/>
        </w:rPr>
        <w:t xml:space="preserve">חושב </w:t>
      </w:r>
      <w:bookmarkStart w:id="59829" w:name="_ETM_Q111_524600"/>
      <w:bookmarkEnd w:id="59829"/>
      <w:r>
        <w:rPr>
          <w:rFonts w:hint="cs"/>
          <w:rtl/>
        </w:rPr>
        <w:t xml:space="preserve">שהשאלה </w:t>
      </w:r>
      <w:bookmarkStart w:id="59830" w:name="_ETM_Q111_525079"/>
      <w:bookmarkEnd w:id="59830"/>
      <w:r>
        <w:rPr>
          <w:rFonts w:hint="cs"/>
          <w:rtl/>
        </w:rPr>
        <w:t xml:space="preserve">הזאת </w:t>
      </w:r>
      <w:bookmarkStart w:id="59831" w:name="_ETM_Q111_525260"/>
      <w:bookmarkEnd w:id="59831"/>
      <w:r>
        <w:rPr>
          <w:rFonts w:hint="cs"/>
          <w:rtl/>
        </w:rPr>
        <w:t xml:space="preserve">לא </w:t>
      </w:r>
      <w:bookmarkStart w:id="59832" w:name="_ETM_Q111_525350"/>
      <w:bookmarkEnd w:id="59832"/>
      <w:r>
        <w:rPr>
          <w:rFonts w:hint="cs"/>
          <w:rtl/>
        </w:rPr>
        <w:t xml:space="preserve">התחילה </w:t>
      </w:r>
      <w:bookmarkStart w:id="59833" w:name="_ETM_Q111_525680"/>
      <w:bookmarkEnd w:id="59833"/>
      <w:r>
        <w:rPr>
          <w:rFonts w:hint="cs"/>
          <w:rtl/>
        </w:rPr>
        <w:t xml:space="preserve">מעולם </w:t>
      </w:r>
      <w:bookmarkStart w:id="59834" w:name="_ETM_Q111_526010"/>
      <w:bookmarkEnd w:id="59834"/>
      <w:r>
        <w:rPr>
          <w:rFonts w:hint="cs"/>
          <w:rtl/>
        </w:rPr>
        <w:t xml:space="preserve">ממקום </w:t>
      </w:r>
      <w:bookmarkStart w:id="59835" w:name="_ETM_Q111_526400"/>
      <w:bookmarkEnd w:id="59835"/>
      <w:r>
        <w:rPr>
          <w:rFonts w:hint="cs"/>
          <w:rtl/>
        </w:rPr>
        <w:t xml:space="preserve">נקי. </w:t>
      </w:r>
      <w:bookmarkStart w:id="59836" w:name="_ETM_Q111_527370"/>
      <w:bookmarkEnd w:id="59836"/>
      <w:r>
        <w:rPr>
          <w:rFonts w:hint="cs"/>
          <w:rtl/>
        </w:rPr>
        <w:t xml:space="preserve">אני </w:t>
      </w:r>
      <w:bookmarkStart w:id="59837" w:name="_ETM_Q111_527610"/>
      <w:bookmarkEnd w:id="59837"/>
      <w:r>
        <w:rPr>
          <w:rFonts w:hint="cs"/>
          <w:rtl/>
        </w:rPr>
        <w:t xml:space="preserve">חושב </w:t>
      </w:r>
      <w:bookmarkStart w:id="59838" w:name="_ETM_Q111_528570"/>
      <w:bookmarkEnd w:id="59838"/>
      <w:r>
        <w:rPr>
          <w:rFonts w:hint="cs"/>
          <w:rtl/>
        </w:rPr>
        <w:t xml:space="preserve">שהשאלה </w:t>
      </w:r>
      <w:bookmarkStart w:id="59839" w:name="_ETM_Q111_529170"/>
      <w:bookmarkEnd w:id="59839"/>
      <w:r>
        <w:rPr>
          <w:rFonts w:hint="cs"/>
          <w:rtl/>
        </w:rPr>
        <w:t xml:space="preserve">הזו </w:t>
      </w:r>
      <w:bookmarkStart w:id="59840" w:name="_ETM_Q111_529559"/>
      <w:bookmarkEnd w:id="59840"/>
      <w:r>
        <w:rPr>
          <w:rFonts w:hint="cs"/>
          <w:rtl/>
        </w:rPr>
        <w:t>מעולם לא מתבססת - - -</w:t>
      </w:r>
    </w:p>
    <w:p w:rsidR="00BB59CD" w:rsidRDefault="00BB59CD" w:rsidP="00BB59CD">
      <w:pPr>
        <w:rPr>
          <w:rtl/>
        </w:rPr>
      </w:pPr>
      <w:bookmarkStart w:id="59841" w:name="_ETM_Q111_527000"/>
      <w:bookmarkStart w:id="59842" w:name="_ETM_Q111_528000"/>
      <w:bookmarkEnd w:id="59841"/>
      <w:bookmarkEnd w:id="5984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9D7D51">
      <w:pPr>
        <w:rPr>
          <w:rtl/>
        </w:rPr>
      </w:pPr>
      <w:bookmarkStart w:id="59843" w:name="_ETM_Q111_529000"/>
      <w:bookmarkEnd w:id="59843"/>
      <w:r>
        <w:rPr>
          <w:rFonts w:hint="cs"/>
          <w:rtl/>
        </w:rPr>
        <w:t xml:space="preserve">אבל </w:t>
      </w:r>
      <w:bookmarkStart w:id="59844" w:name="_ETM_Q111_529739"/>
      <w:bookmarkEnd w:id="59844"/>
      <w:r>
        <w:rPr>
          <w:rFonts w:hint="cs"/>
          <w:rtl/>
        </w:rPr>
        <w:t xml:space="preserve">אני </w:t>
      </w:r>
      <w:bookmarkStart w:id="59845" w:name="_ETM_Q111_529829"/>
      <w:bookmarkEnd w:id="59845"/>
      <w:r>
        <w:rPr>
          <w:rFonts w:hint="cs"/>
          <w:rtl/>
        </w:rPr>
        <w:t xml:space="preserve">דווקא ראיתי סרטון </w:t>
      </w:r>
      <w:bookmarkStart w:id="59846" w:name="_ETM_Q111_530010"/>
      <w:bookmarkStart w:id="59847" w:name="_ETM_Q111_530430"/>
      <w:bookmarkStart w:id="59848" w:name="_ETM_Q111_530790"/>
      <w:bookmarkEnd w:id="59846"/>
      <w:bookmarkEnd w:id="59847"/>
      <w:bookmarkEnd w:id="59848"/>
      <w:r>
        <w:rPr>
          <w:rFonts w:hint="cs"/>
          <w:rtl/>
        </w:rPr>
        <w:t xml:space="preserve">של </w:t>
      </w:r>
      <w:bookmarkStart w:id="59849" w:name="_ETM_Q111_530940"/>
      <w:bookmarkEnd w:id="59849"/>
      <w:r>
        <w:rPr>
          <w:rFonts w:hint="cs"/>
          <w:rtl/>
        </w:rPr>
        <w:t xml:space="preserve">אהרן </w:t>
      </w:r>
      <w:bookmarkStart w:id="59850" w:name="_ETM_Q111_531239"/>
      <w:bookmarkEnd w:id="59850"/>
      <w:r>
        <w:rPr>
          <w:rFonts w:hint="cs"/>
          <w:rtl/>
        </w:rPr>
        <w:t xml:space="preserve">ברק </w:t>
      </w:r>
      <w:bookmarkStart w:id="59851" w:name="_ETM_Q111_531540"/>
      <w:bookmarkEnd w:id="59851"/>
      <w:r>
        <w:rPr>
          <w:rFonts w:hint="cs"/>
          <w:rtl/>
        </w:rPr>
        <w:t xml:space="preserve">בעצמו, </w:t>
      </w:r>
      <w:bookmarkStart w:id="59852" w:name="_ETM_Q111_532020"/>
      <w:bookmarkEnd w:id="59852"/>
      <w:r>
        <w:rPr>
          <w:rFonts w:hint="cs"/>
          <w:rtl/>
        </w:rPr>
        <w:t xml:space="preserve">שבו הוא </w:t>
      </w:r>
      <w:bookmarkStart w:id="59853" w:name="_ETM_Q111_532260"/>
      <w:bookmarkEnd w:id="59853"/>
      <w:r>
        <w:rPr>
          <w:rFonts w:hint="cs"/>
          <w:rtl/>
        </w:rPr>
        <w:t xml:space="preserve">אומר: </w:t>
      </w:r>
      <w:bookmarkStart w:id="59854" w:name="_ETM_Q111_533409"/>
      <w:bookmarkEnd w:id="59854"/>
      <w:r>
        <w:rPr>
          <w:rFonts w:hint="cs"/>
          <w:rtl/>
        </w:rPr>
        <w:t xml:space="preserve">יכול </w:t>
      </w:r>
      <w:bookmarkStart w:id="59855" w:name="_ETM_Q111_533649"/>
      <w:bookmarkEnd w:id="59855"/>
      <w:r>
        <w:rPr>
          <w:rFonts w:hint="cs"/>
          <w:rtl/>
        </w:rPr>
        <w:t xml:space="preserve">להיות </w:t>
      </w:r>
      <w:bookmarkStart w:id="59856" w:name="_ETM_Q111_533800"/>
      <w:bookmarkEnd w:id="59856"/>
      <w:r>
        <w:rPr>
          <w:rFonts w:hint="cs"/>
          <w:rtl/>
        </w:rPr>
        <w:t xml:space="preserve">שעילת </w:t>
      </w:r>
      <w:bookmarkStart w:id="59857" w:name="_ETM_Q111_534100"/>
      <w:bookmarkEnd w:id="59857"/>
      <w:r>
        <w:rPr>
          <w:rFonts w:hint="cs"/>
          <w:rtl/>
        </w:rPr>
        <w:t xml:space="preserve">הסבירות </w:t>
      </w:r>
      <w:bookmarkStart w:id="59858" w:name="_ETM_Q111_534489"/>
      <w:bookmarkEnd w:id="59858"/>
      <w:r>
        <w:rPr>
          <w:rFonts w:hint="cs"/>
          <w:rtl/>
        </w:rPr>
        <w:t xml:space="preserve">זה </w:t>
      </w:r>
      <w:bookmarkStart w:id="59859" w:name="_ETM_Q111_534609"/>
      <w:bookmarkEnd w:id="59859"/>
      <w:r>
        <w:rPr>
          <w:rFonts w:hint="cs"/>
          <w:rtl/>
        </w:rPr>
        <w:t xml:space="preserve">דבר </w:t>
      </w:r>
      <w:bookmarkStart w:id="59860" w:name="_ETM_Q111_534820"/>
      <w:bookmarkEnd w:id="59860"/>
      <w:r>
        <w:rPr>
          <w:rFonts w:hint="cs"/>
          <w:rtl/>
        </w:rPr>
        <w:t xml:space="preserve">שצריך </w:t>
      </w:r>
      <w:bookmarkStart w:id="59861" w:name="_ETM_Q111_535749"/>
      <w:bookmarkEnd w:id="59861"/>
      <w:r>
        <w:rPr>
          <w:rFonts w:hint="cs"/>
          <w:rtl/>
        </w:rPr>
        <w:t xml:space="preserve">להישכח </w:t>
      </w:r>
      <w:bookmarkStart w:id="59862" w:name="_ETM_Q111_536589"/>
      <w:bookmarkStart w:id="59863" w:name="_ETM_Q111_536739"/>
      <w:bookmarkEnd w:id="59862"/>
      <w:bookmarkEnd w:id="59863"/>
      <w:r>
        <w:rPr>
          <w:rFonts w:hint="cs"/>
          <w:rtl/>
        </w:rPr>
        <w:t xml:space="preserve">מן </w:t>
      </w:r>
      <w:bookmarkStart w:id="59864" w:name="_ETM_Q111_536920"/>
      <w:bookmarkEnd w:id="59864"/>
      <w:r>
        <w:rPr>
          <w:rFonts w:hint="cs"/>
          <w:rtl/>
        </w:rPr>
        <w:t xml:space="preserve">העולם. </w:t>
      </w:r>
      <w:bookmarkStart w:id="59865" w:name="_ETM_Q111_537390"/>
      <w:bookmarkStart w:id="59866" w:name="_ETM_Q111_537719"/>
      <w:bookmarkEnd w:id="59865"/>
      <w:bookmarkEnd w:id="59866"/>
      <w:r>
        <w:rPr>
          <w:rFonts w:hint="cs"/>
          <w:rtl/>
        </w:rPr>
        <w:t xml:space="preserve">אז אנחנו </w:t>
      </w:r>
      <w:bookmarkStart w:id="59867" w:name="_ETM_Q111_537930"/>
      <w:bookmarkEnd w:id="59867"/>
      <w:r>
        <w:rPr>
          <w:rFonts w:hint="cs"/>
          <w:rtl/>
        </w:rPr>
        <w:t xml:space="preserve">יודעים </w:t>
      </w:r>
      <w:bookmarkStart w:id="59868" w:name="_ETM_Q111_538079"/>
      <w:bookmarkEnd w:id="59868"/>
      <w:r>
        <w:rPr>
          <w:rFonts w:hint="cs"/>
          <w:rtl/>
        </w:rPr>
        <w:t xml:space="preserve">שהוא </w:t>
      </w:r>
      <w:bookmarkStart w:id="59869" w:name="_ETM_Q111_538260"/>
      <w:bookmarkEnd w:id="59869"/>
      <w:r>
        <w:rPr>
          <w:rFonts w:hint="cs"/>
          <w:rtl/>
        </w:rPr>
        <w:t xml:space="preserve">הכניס </w:t>
      </w:r>
      <w:bookmarkStart w:id="59870" w:name="_ETM_Q111_538469"/>
      <w:bookmarkEnd w:id="59870"/>
      <w:r>
        <w:rPr>
          <w:rFonts w:hint="cs"/>
          <w:rtl/>
        </w:rPr>
        <w:t xml:space="preserve">את </w:t>
      </w:r>
      <w:bookmarkStart w:id="59871" w:name="_ETM_Q111_538529"/>
      <w:bookmarkEnd w:id="59871"/>
      <w:r>
        <w:rPr>
          <w:rFonts w:hint="cs"/>
          <w:rtl/>
        </w:rPr>
        <w:t xml:space="preserve">האקטיביזם </w:t>
      </w:r>
      <w:bookmarkStart w:id="59872" w:name="_ETM_Q111_539010"/>
      <w:bookmarkEnd w:id="59872"/>
      <w:r>
        <w:rPr>
          <w:rFonts w:hint="cs"/>
          <w:rtl/>
        </w:rPr>
        <w:t xml:space="preserve">השיפוטי </w:t>
      </w:r>
      <w:bookmarkStart w:id="59873" w:name="_ETM_Q111_539910"/>
      <w:bookmarkEnd w:id="59873"/>
      <w:r>
        <w:rPr>
          <w:rFonts w:hint="cs"/>
          <w:rtl/>
        </w:rPr>
        <w:t xml:space="preserve">בכל </w:t>
      </w:r>
      <w:bookmarkStart w:id="59874" w:name="_ETM_Q111_540600"/>
      <w:bookmarkEnd w:id="59874"/>
      <w:r>
        <w:rPr>
          <w:rFonts w:hint="cs"/>
          <w:rtl/>
        </w:rPr>
        <w:t xml:space="preserve">המובנים, </w:t>
      </w:r>
      <w:bookmarkStart w:id="59875" w:name="_ETM_Q111_541320"/>
      <w:bookmarkEnd w:id="59875"/>
      <w:r>
        <w:rPr>
          <w:rFonts w:hint="cs"/>
          <w:rtl/>
        </w:rPr>
        <w:t xml:space="preserve">שהכול </w:t>
      </w:r>
      <w:bookmarkStart w:id="59876" w:name="_ETM_Q111_541739"/>
      <w:bookmarkEnd w:id="59876"/>
      <w:r>
        <w:rPr>
          <w:rFonts w:hint="cs"/>
          <w:rtl/>
        </w:rPr>
        <w:t>שפיט, ו</w:t>
      </w:r>
      <w:bookmarkStart w:id="59877" w:name="_ETM_Q111_541000"/>
      <w:bookmarkStart w:id="59878" w:name="_ETM_Q111_542100"/>
      <w:bookmarkStart w:id="59879" w:name="_ETM_Q111_542279"/>
      <w:bookmarkEnd w:id="59877"/>
      <w:bookmarkEnd w:id="59878"/>
      <w:bookmarkEnd w:id="59879"/>
      <w:r>
        <w:rPr>
          <w:rFonts w:hint="cs"/>
          <w:rtl/>
        </w:rPr>
        <w:t xml:space="preserve">נגיד </w:t>
      </w:r>
      <w:bookmarkStart w:id="59880" w:name="_ETM_Q111_542640"/>
      <w:bookmarkEnd w:id="59880"/>
      <w:r>
        <w:rPr>
          <w:rFonts w:hint="cs"/>
          <w:rtl/>
        </w:rPr>
        <w:t xml:space="preserve">שזה </w:t>
      </w:r>
      <w:bookmarkStart w:id="59881" w:name="_ETM_Q111_543360"/>
      <w:bookmarkEnd w:id="59881"/>
      <w:r>
        <w:rPr>
          <w:rFonts w:hint="cs"/>
          <w:rtl/>
        </w:rPr>
        <w:t xml:space="preserve">כבר </w:t>
      </w:r>
      <w:bookmarkStart w:id="59882" w:name="_ETM_Q111_543750"/>
      <w:bookmarkEnd w:id="59882"/>
      <w:r>
        <w:rPr>
          <w:rFonts w:hint="cs"/>
          <w:rtl/>
        </w:rPr>
        <w:t xml:space="preserve">גלש. אבל </w:t>
      </w:r>
      <w:bookmarkStart w:id="59883" w:name="_ETM_Q111_544170"/>
      <w:bookmarkStart w:id="59884" w:name="_ETM_Q111_544350"/>
      <w:bookmarkEnd w:id="59883"/>
      <w:bookmarkEnd w:id="59884"/>
      <w:r>
        <w:rPr>
          <w:rFonts w:hint="cs"/>
          <w:rtl/>
        </w:rPr>
        <w:t xml:space="preserve">מעבר </w:t>
      </w:r>
      <w:bookmarkStart w:id="59885" w:name="_ETM_Q111_544589"/>
      <w:bookmarkEnd w:id="59885"/>
      <w:r>
        <w:rPr>
          <w:rFonts w:hint="cs"/>
          <w:rtl/>
        </w:rPr>
        <w:t xml:space="preserve">לכך, </w:t>
      </w:r>
      <w:bookmarkStart w:id="59886" w:name="_ETM_Q111_545520"/>
      <w:bookmarkEnd w:id="59886"/>
      <w:r>
        <w:rPr>
          <w:rFonts w:hint="cs"/>
          <w:rtl/>
        </w:rPr>
        <w:t>ה</w:t>
      </w:r>
      <w:bookmarkStart w:id="59887" w:name="_ETM_Q111_546710"/>
      <w:bookmarkEnd w:id="59887"/>
      <w:r>
        <w:rPr>
          <w:rFonts w:hint="cs"/>
          <w:rtl/>
        </w:rPr>
        <w:t xml:space="preserve">יו בתי </w:t>
      </w:r>
      <w:bookmarkStart w:id="59888" w:name="_ETM_Q111_546950"/>
      <w:bookmarkEnd w:id="59888"/>
      <w:r>
        <w:rPr>
          <w:rFonts w:hint="cs"/>
          <w:rtl/>
        </w:rPr>
        <w:t xml:space="preserve">משפט </w:t>
      </w:r>
      <w:bookmarkStart w:id="59889" w:name="_ETM_Q111_547310"/>
      <w:bookmarkEnd w:id="59889"/>
      <w:r>
        <w:rPr>
          <w:rFonts w:hint="cs"/>
          <w:rtl/>
        </w:rPr>
        <w:t xml:space="preserve">לפני </w:t>
      </w:r>
      <w:bookmarkStart w:id="59890" w:name="_ETM_Q111_547700"/>
      <w:bookmarkEnd w:id="59890"/>
      <w:r>
        <w:rPr>
          <w:rFonts w:hint="cs"/>
          <w:rtl/>
        </w:rPr>
        <w:t xml:space="preserve">30 </w:t>
      </w:r>
      <w:bookmarkStart w:id="59891" w:name="_ETM_Q111_548060"/>
      <w:bookmarkEnd w:id="59891"/>
      <w:r>
        <w:rPr>
          <w:rFonts w:hint="cs"/>
          <w:rtl/>
        </w:rPr>
        <w:t xml:space="preserve">שנה, </w:t>
      </w:r>
      <w:bookmarkStart w:id="59892" w:name="_ETM_Q111_548510"/>
      <w:bookmarkEnd w:id="59892"/>
      <w:r>
        <w:rPr>
          <w:rFonts w:hint="cs"/>
          <w:rtl/>
        </w:rPr>
        <w:t xml:space="preserve">ואפילו </w:t>
      </w:r>
      <w:bookmarkStart w:id="59893" w:name="_ETM_Q111_549290"/>
      <w:bookmarkEnd w:id="59893"/>
      <w:r>
        <w:rPr>
          <w:rFonts w:hint="cs"/>
          <w:rtl/>
        </w:rPr>
        <w:t xml:space="preserve">פחות </w:t>
      </w:r>
      <w:bookmarkStart w:id="59894" w:name="_ETM_Q111_549680"/>
      <w:bookmarkEnd w:id="59894"/>
      <w:r>
        <w:rPr>
          <w:rFonts w:hint="cs"/>
          <w:rtl/>
        </w:rPr>
        <w:t xml:space="preserve">מ-30 </w:t>
      </w:r>
      <w:bookmarkStart w:id="59895" w:name="_ETM_Q111_550040"/>
      <w:bookmarkEnd w:id="59895"/>
      <w:r>
        <w:rPr>
          <w:rFonts w:hint="cs"/>
          <w:rtl/>
        </w:rPr>
        <w:t>שנה, ו</w:t>
      </w:r>
      <w:bookmarkStart w:id="59896" w:name="_ETM_Q111_550790"/>
      <w:bookmarkEnd w:id="59896"/>
      <w:r>
        <w:rPr>
          <w:rFonts w:hint="cs"/>
          <w:rtl/>
        </w:rPr>
        <w:t xml:space="preserve">היה </w:t>
      </w:r>
      <w:bookmarkStart w:id="59897" w:name="_ETM_Q111_551029"/>
      <w:bookmarkEnd w:id="59897"/>
      <w:r>
        <w:rPr>
          <w:rFonts w:hint="cs"/>
          <w:rtl/>
        </w:rPr>
        <w:t>בס</w:t>
      </w:r>
      <w:bookmarkStart w:id="59898" w:name="_ETM_Q111_551360"/>
      <w:bookmarkEnd w:id="59898"/>
      <w:r>
        <w:rPr>
          <w:rFonts w:hint="cs"/>
          <w:rtl/>
        </w:rPr>
        <w:t xml:space="preserve">דר, </w:t>
      </w:r>
      <w:bookmarkStart w:id="59899" w:name="_ETM_Q111_551540"/>
      <w:bookmarkEnd w:id="59899"/>
      <w:r>
        <w:rPr>
          <w:rFonts w:hint="cs"/>
          <w:rtl/>
        </w:rPr>
        <w:t xml:space="preserve">והדבר </w:t>
      </w:r>
      <w:bookmarkStart w:id="59900" w:name="_ETM_Q111_551870"/>
      <w:bookmarkEnd w:id="59900"/>
      <w:r>
        <w:rPr>
          <w:rFonts w:hint="cs"/>
          <w:rtl/>
        </w:rPr>
        <w:t xml:space="preserve">שם התקבל </w:t>
      </w:r>
      <w:bookmarkStart w:id="59901" w:name="_ETM_Q111_552650"/>
      <w:bookmarkEnd w:id="59901"/>
      <w:r>
        <w:rPr>
          <w:rFonts w:hint="cs"/>
          <w:rtl/>
        </w:rPr>
        <w:t xml:space="preserve">בהפרדה </w:t>
      </w:r>
      <w:bookmarkStart w:id="59902" w:name="_ETM_Q111_553430"/>
      <w:bookmarkEnd w:id="59902"/>
      <w:r>
        <w:rPr>
          <w:rFonts w:hint="cs"/>
          <w:rtl/>
        </w:rPr>
        <w:t xml:space="preserve">אמיתית </w:t>
      </w:r>
      <w:bookmarkStart w:id="59903" w:name="_ETM_Q111_553820"/>
      <w:bookmarkEnd w:id="59903"/>
      <w:r>
        <w:rPr>
          <w:rFonts w:hint="cs"/>
          <w:rtl/>
        </w:rPr>
        <w:t xml:space="preserve">בין </w:t>
      </w:r>
      <w:bookmarkStart w:id="59904" w:name="_ETM_Q111_553940"/>
      <w:bookmarkEnd w:id="59904"/>
      <w:r>
        <w:rPr>
          <w:rFonts w:hint="cs"/>
          <w:rtl/>
        </w:rPr>
        <w:t xml:space="preserve">הרשויות. רק בשנים האחרונות זה </w:t>
      </w:r>
      <w:bookmarkStart w:id="59905" w:name="_ETM_Q111_556000"/>
      <w:bookmarkStart w:id="59906" w:name="_ETM_Q111_554869"/>
      <w:bookmarkStart w:id="59907" w:name="_ETM_Q111_555140"/>
      <w:bookmarkStart w:id="59908" w:name="_ETM_Q111_555320"/>
      <w:bookmarkStart w:id="59909" w:name="_ETM_Q111_555859"/>
      <w:bookmarkStart w:id="59910" w:name="_ETM_Q111_555950"/>
      <w:bookmarkEnd w:id="59905"/>
      <w:bookmarkEnd w:id="59906"/>
      <w:bookmarkEnd w:id="59907"/>
      <w:bookmarkEnd w:id="59908"/>
      <w:bookmarkEnd w:id="59909"/>
      <w:bookmarkEnd w:id="59910"/>
      <w:r>
        <w:rPr>
          <w:rFonts w:hint="cs"/>
          <w:rtl/>
        </w:rPr>
        <w:t xml:space="preserve">גלש </w:t>
      </w:r>
      <w:bookmarkStart w:id="59911" w:name="_ETM_Q111_556250"/>
      <w:bookmarkEnd w:id="59911"/>
      <w:r>
        <w:rPr>
          <w:rFonts w:hint="cs"/>
          <w:rtl/>
        </w:rPr>
        <w:t xml:space="preserve">יותר </w:t>
      </w:r>
      <w:bookmarkStart w:id="59912" w:name="_ETM_Q111_556490"/>
      <w:bookmarkEnd w:id="59912"/>
      <w:r>
        <w:rPr>
          <w:rFonts w:hint="cs"/>
          <w:rtl/>
        </w:rPr>
        <w:t xml:space="preserve">ויותר. </w:t>
      </w:r>
      <w:bookmarkStart w:id="59913" w:name="_ETM_Q111_556909"/>
      <w:bookmarkStart w:id="59914" w:name="_ETM_Q111_557659"/>
      <w:bookmarkEnd w:id="59913"/>
      <w:bookmarkEnd w:id="59914"/>
      <w:r>
        <w:rPr>
          <w:rFonts w:hint="cs"/>
          <w:rtl/>
        </w:rPr>
        <w:t xml:space="preserve">והכנסת </w:t>
      </w:r>
      <w:bookmarkStart w:id="59915" w:name="_ETM_Q111_558200"/>
      <w:bookmarkEnd w:id="59915"/>
      <w:r>
        <w:rPr>
          <w:rFonts w:hint="cs"/>
          <w:rtl/>
        </w:rPr>
        <w:t>ש</w:t>
      </w:r>
      <w:bookmarkStart w:id="59916" w:name="_ETM_Q111_558469"/>
      <w:bookmarkEnd w:id="59916"/>
      <w:r>
        <w:rPr>
          <w:rFonts w:hint="cs"/>
          <w:rtl/>
        </w:rPr>
        <w:t xml:space="preserve">יושבת, </w:t>
      </w:r>
      <w:bookmarkStart w:id="59917" w:name="_ETM_Q111_558979"/>
      <w:bookmarkEnd w:id="59917"/>
      <w:r>
        <w:rPr>
          <w:rFonts w:hint="cs"/>
          <w:rtl/>
        </w:rPr>
        <w:t xml:space="preserve">גם </w:t>
      </w:r>
      <w:bookmarkStart w:id="59918" w:name="_ETM_Q111_559369"/>
      <w:bookmarkEnd w:id="59918"/>
      <w:r>
        <w:rPr>
          <w:rFonts w:hint="cs"/>
          <w:rtl/>
        </w:rPr>
        <w:t xml:space="preserve">המבצעת </w:t>
      </w:r>
      <w:bookmarkStart w:id="59919" w:name="_ETM_Q111_560330"/>
      <w:bookmarkEnd w:id="59919"/>
      <w:r>
        <w:rPr>
          <w:rFonts w:hint="cs"/>
          <w:rtl/>
        </w:rPr>
        <w:t xml:space="preserve">וגם </w:t>
      </w:r>
      <w:bookmarkStart w:id="59920" w:name="_ETM_Q111_560570"/>
      <w:bookmarkEnd w:id="59920"/>
      <w:r>
        <w:rPr>
          <w:rFonts w:hint="cs"/>
          <w:rtl/>
        </w:rPr>
        <w:t xml:space="preserve">המחוקקת, </w:t>
      </w:r>
      <w:bookmarkStart w:id="59921" w:name="_ETM_Q111_561380"/>
      <w:bookmarkEnd w:id="59921"/>
      <w:r>
        <w:rPr>
          <w:rFonts w:hint="cs"/>
          <w:rtl/>
        </w:rPr>
        <w:t xml:space="preserve">מוצאת </w:t>
      </w:r>
      <w:bookmarkStart w:id="59922" w:name="_ETM_Q111_561710"/>
      <w:bookmarkEnd w:id="59922"/>
      <w:r>
        <w:rPr>
          <w:rFonts w:hint="cs"/>
          <w:rtl/>
        </w:rPr>
        <w:t xml:space="preserve">את </w:t>
      </w:r>
      <w:bookmarkStart w:id="59923" w:name="_ETM_Q111_561770"/>
      <w:bookmarkEnd w:id="59923"/>
      <w:r>
        <w:rPr>
          <w:rFonts w:hint="cs"/>
          <w:rtl/>
        </w:rPr>
        <w:t xml:space="preserve">עצמה </w:t>
      </w:r>
      <w:bookmarkStart w:id="59924" w:name="_ETM_Q111_562070"/>
      <w:bookmarkEnd w:id="59924"/>
      <w:r>
        <w:rPr>
          <w:rFonts w:hint="cs"/>
          <w:rtl/>
        </w:rPr>
        <w:t xml:space="preserve">כל </w:t>
      </w:r>
      <w:bookmarkStart w:id="59925" w:name="_ETM_Q111_562220"/>
      <w:bookmarkEnd w:id="59925"/>
      <w:r>
        <w:rPr>
          <w:rFonts w:hint="cs"/>
          <w:rtl/>
        </w:rPr>
        <w:t xml:space="preserve">הזמן </w:t>
      </w:r>
      <w:bookmarkStart w:id="59926" w:name="_ETM_Q111_562520"/>
      <w:bookmarkEnd w:id="59926"/>
      <w:r w:rsidR="009D7D51">
        <w:rPr>
          <w:rFonts w:hint="cs"/>
          <w:rtl/>
        </w:rPr>
        <w:t xml:space="preserve">עם </w:t>
      </w:r>
      <w:r>
        <w:rPr>
          <w:rFonts w:hint="cs"/>
          <w:rtl/>
        </w:rPr>
        <w:t xml:space="preserve">מישהו </w:t>
      </w:r>
      <w:bookmarkStart w:id="59927" w:name="_ETM_Q111_562909"/>
      <w:bookmarkEnd w:id="59927"/>
      <w:r>
        <w:rPr>
          <w:rFonts w:hint="cs"/>
          <w:rtl/>
        </w:rPr>
        <w:t xml:space="preserve">שנותן </w:t>
      </w:r>
      <w:bookmarkStart w:id="59928" w:name="_ETM_Q111_563990"/>
      <w:bookmarkEnd w:id="59928"/>
      <w:r>
        <w:rPr>
          <w:rFonts w:hint="cs"/>
          <w:rtl/>
        </w:rPr>
        <w:t xml:space="preserve">לה </w:t>
      </w:r>
      <w:bookmarkStart w:id="59929" w:name="_ETM_Q111_564079"/>
      <w:bookmarkEnd w:id="59929"/>
      <w:r>
        <w:rPr>
          <w:rFonts w:hint="cs"/>
          <w:rtl/>
        </w:rPr>
        <w:t xml:space="preserve">את </w:t>
      </w:r>
      <w:bookmarkStart w:id="59930" w:name="_ETM_Q111_564170"/>
      <w:bookmarkEnd w:id="59930"/>
      <w:r>
        <w:rPr>
          <w:rFonts w:hint="cs"/>
          <w:rtl/>
        </w:rPr>
        <w:t xml:space="preserve">הקו. </w:t>
      </w:r>
      <w:bookmarkStart w:id="59931" w:name="_ETM_Q111_564560"/>
      <w:bookmarkEnd w:id="59931"/>
      <w:r>
        <w:rPr>
          <w:rFonts w:hint="cs"/>
          <w:rtl/>
        </w:rPr>
        <w:t>ו</w:t>
      </w:r>
      <w:bookmarkStart w:id="59932" w:name="_ETM_Q111_564680"/>
      <w:bookmarkStart w:id="59933" w:name="_ETM_Q111_565039"/>
      <w:bookmarkEnd w:id="59932"/>
      <w:bookmarkEnd w:id="59933"/>
      <w:r>
        <w:rPr>
          <w:rFonts w:hint="cs"/>
          <w:rtl/>
        </w:rPr>
        <w:t xml:space="preserve">אז </w:t>
      </w:r>
      <w:bookmarkStart w:id="59934" w:name="_ETM_Q111_565369"/>
      <w:bookmarkEnd w:id="59934"/>
      <w:r>
        <w:rPr>
          <w:rFonts w:hint="cs"/>
          <w:rtl/>
        </w:rPr>
        <w:t xml:space="preserve">האזרחים </w:t>
      </w:r>
      <w:bookmarkStart w:id="59935" w:name="_ETM_Q111_565909"/>
      <w:bookmarkEnd w:id="59935"/>
      <w:r>
        <w:rPr>
          <w:rFonts w:hint="cs"/>
          <w:rtl/>
        </w:rPr>
        <w:t xml:space="preserve">מרגישים: </w:t>
      </w:r>
      <w:bookmarkStart w:id="59936" w:name="_ETM_Q111_566390"/>
      <w:bookmarkEnd w:id="59936"/>
      <w:r>
        <w:rPr>
          <w:rFonts w:hint="cs"/>
          <w:rtl/>
        </w:rPr>
        <w:t xml:space="preserve">הולכים, </w:t>
      </w:r>
      <w:bookmarkStart w:id="59937" w:name="_ETM_Q111_566779"/>
      <w:bookmarkEnd w:id="59937"/>
      <w:r>
        <w:rPr>
          <w:rFonts w:hint="cs"/>
          <w:rtl/>
        </w:rPr>
        <w:t xml:space="preserve">מצביעים </w:t>
      </w:r>
      <w:bookmarkStart w:id="59938" w:name="_ETM_Q111_567500"/>
      <w:bookmarkEnd w:id="59938"/>
      <w:r>
        <w:rPr>
          <w:rFonts w:hint="cs"/>
          <w:rtl/>
        </w:rPr>
        <w:t xml:space="preserve">מיליוני </w:t>
      </w:r>
      <w:bookmarkStart w:id="59939" w:name="_ETM_Q111_567890"/>
      <w:bookmarkEnd w:id="59939"/>
      <w:r>
        <w:rPr>
          <w:rFonts w:hint="cs"/>
          <w:rtl/>
        </w:rPr>
        <w:t xml:space="preserve">אזרחים, </w:t>
      </w:r>
      <w:bookmarkStart w:id="59940" w:name="_ETM_Q111_568369"/>
      <w:bookmarkEnd w:id="59940"/>
      <w:r>
        <w:rPr>
          <w:rFonts w:hint="cs"/>
          <w:rtl/>
        </w:rPr>
        <w:t xml:space="preserve">ובסוף </w:t>
      </w:r>
      <w:bookmarkStart w:id="59941" w:name="_ETM_Q111_569060"/>
      <w:bookmarkEnd w:id="59941"/>
      <w:r>
        <w:rPr>
          <w:rFonts w:hint="cs"/>
          <w:rtl/>
        </w:rPr>
        <w:t xml:space="preserve">יושבים </w:t>
      </w:r>
      <w:bookmarkStart w:id="59942" w:name="_ETM_Q111_569479"/>
      <w:bookmarkEnd w:id="59942"/>
      <w:r>
        <w:rPr>
          <w:rFonts w:hint="cs"/>
          <w:rtl/>
        </w:rPr>
        <w:t xml:space="preserve">שופטים, בין שלושה לבין תשעה, </w:t>
      </w:r>
      <w:bookmarkStart w:id="59943" w:name="_ETM_Q111_569869"/>
      <w:bookmarkStart w:id="59944" w:name="_ETM_Q111_570020"/>
      <w:bookmarkStart w:id="59945" w:name="_ETM_Q111_570200"/>
      <w:bookmarkStart w:id="59946" w:name="_ETM_Q111_571670"/>
      <w:bookmarkEnd w:id="59943"/>
      <w:bookmarkEnd w:id="59944"/>
      <w:bookmarkEnd w:id="59945"/>
      <w:bookmarkEnd w:id="59946"/>
      <w:r>
        <w:rPr>
          <w:rFonts w:hint="cs"/>
          <w:rtl/>
        </w:rPr>
        <w:t xml:space="preserve">שמשנים </w:t>
      </w:r>
      <w:bookmarkStart w:id="59947" w:name="_ETM_Q111_572179"/>
      <w:bookmarkEnd w:id="59947"/>
      <w:r>
        <w:rPr>
          <w:rFonts w:hint="cs"/>
          <w:rtl/>
        </w:rPr>
        <w:t xml:space="preserve">את </w:t>
      </w:r>
      <w:bookmarkStart w:id="59948" w:name="_ETM_Q111_572299"/>
      <w:bookmarkEnd w:id="59948"/>
      <w:r>
        <w:rPr>
          <w:rFonts w:hint="cs"/>
          <w:rtl/>
        </w:rPr>
        <w:t xml:space="preserve">כל </w:t>
      </w:r>
      <w:bookmarkStart w:id="59949" w:name="_ETM_Q111_572630"/>
      <w:bookmarkEnd w:id="59949"/>
      <w:r>
        <w:rPr>
          <w:rFonts w:hint="cs"/>
          <w:rtl/>
        </w:rPr>
        <w:t>הסדר</w:t>
      </w:r>
      <w:bookmarkStart w:id="59950" w:name="_ETM_Q111_573740"/>
      <w:bookmarkEnd w:id="59950"/>
      <w:r>
        <w:rPr>
          <w:rFonts w:hint="cs"/>
          <w:rtl/>
        </w:rPr>
        <w:t>.</w:t>
      </w:r>
      <w:bookmarkStart w:id="59951" w:name="_ETM_Q111_574189"/>
      <w:bookmarkStart w:id="59952" w:name="_ETM_Q111_574850"/>
      <w:bookmarkStart w:id="59953" w:name="_ETM_Q111_575149"/>
      <w:bookmarkEnd w:id="59951"/>
      <w:bookmarkEnd w:id="59952"/>
      <w:bookmarkEnd w:id="59953"/>
      <w:r>
        <w:rPr>
          <w:rFonts w:hint="cs"/>
          <w:rtl/>
        </w:rPr>
        <w:t xml:space="preserve"> </w:t>
      </w:r>
      <w:bookmarkStart w:id="59954" w:name="_ETM_Q111_575360"/>
      <w:bookmarkEnd w:id="59954"/>
      <w:r>
        <w:rPr>
          <w:rFonts w:hint="cs"/>
          <w:rtl/>
        </w:rPr>
        <w:t xml:space="preserve">זה </w:t>
      </w:r>
      <w:bookmarkStart w:id="59955" w:name="_ETM_Q111_575509"/>
      <w:bookmarkEnd w:id="59955"/>
      <w:r>
        <w:rPr>
          <w:rFonts w:hint="cs"/>
          <w:rtl/>
        </w:rPr>
        <w:t xml:space="preserve">בדיוק </w:t>
      </w:r>
      <w:bookmarkStart w:id="59956" w:name="_ETM_Q111_575750"/>
      <w:bookmarkEnd w:id="59956"/>
      <w:r>
        <w:rPr>
          <w:rFonts w:hint="cs"/>
          <w:rtl/>
        </w:rPr>
        <w:t>החלק.</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עידן רול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59957" w:name="_ETM_Q111_578000"/>
      <w:bookmarkEnd w:id="59957"/>
      <w:r>
        <w:rPr>
          <w:rFonts w:hint="cs"/>
          <w:rtl/>
        </w:rPr>
        <w:t>קו</w:t>
      </w:r>
      <w:bookmarkStart w:id="59958" w:name="_ETM_Q111_574000"/>
      <w:bookmarkEnd w:id="59958"/>
      <w:r>
        <w:rPr>
          <w:rFonts w:hint="cs"/>
          <w:rtl/>
        </w:rPr>
        <w:t xml:space="preserve">דם כול, </w:t>
      </w:r>
      <w:bookmarkStart w:id="59959" w:name="_ETM_Q111_576710"/>
      <w:bookmarkStart w:id="59960" w:name="_ETM_Q111_576950"/>
      <w:bookmarkStart w:id="59961" w:name="_ETM_Q111_577009"/>
      <w:bookmarkEnd w:id="59959"/>
      <w:bookmarkEnd w:id="59960"/>
      <w:bookmarkEnd w:id="59961"/>
      <w:r>
        <w:rPr>
          <w:rFonts w:hint="cs"/>
          <w:rtl/>
        </w:rPr>
        <w:t xml:space="preserve">אהרן </w:t>
      </w:r>
      <w:bookmarkStart w:id="59962" w:name="_ETM_Q111_577279"/>
      <w:bookmarkEnd w:id="59962"/>
      <w:r>
        <w:rPr>
          <w:rFonts w:hint="cs"/>
          <w:rtl/>
        </w:rPr>
        <w:t xml:space="preserve">ברק </w:t>
      </w:r>
      <w:bookmarkStart w:id="59963" w:name="_ETM_Q111_577670"/>
      <w:bookmarkEnd w:id="59963"/>
      <w:r>
        <w:rPr>
          <w:rFonts w:hint="cs"/>
          <w:rtl/>
        </w:rPr>
        <w:t xml:space="preserve">– הציטוט </w:t>
      </w:r>
      <w:bookmarkStart w:id="59964" w:name="_ETM_Q111_578029"/>
      <w:bookmarkEnd w:id="59964"/>
      <w:r>
        <w:rPr>
          <w:rFonts w:hint="cs"/>
          <w:rtl/>
        </w:rPr>
        <w:t xml:space="preserve">המלא </w:t>
      </w:r>
      <w:bookmarkStart w:id="59965" w:name="_ETM_Q111_578359"/>
      <w:bookmarkEnd w:id="59965"/>
      <w:r>
        <w:rPr>
          <w:rFonts w:hint="cs"/>
          <w:rtl/>
        </w:rPr>
        <w:t xml:space="preserve">הוא </w:t>
      </w:r>
      <w:bookmarkStart w:id="59966" w:name="_ETM_Q111_578420"/>
      <w:bookmarkEnd w:id="59966"/>
      <w:r>
        <w:rPr>
          <w:rFonts w:hint="cs"/>
          <w:rtl/>
        </w:rPr>
        <w:t xml:space="preserve">שונה </w:t>
      </w:r>
      <w:bookmarkStart w:id="59967" w:name="_ETM_Q111_578779"/>
      <w:bookmarkEnd w:id="59967"/>
      <w:r>
        <w:rPr>
          <w:rFonts w:hint="cs"/>
          <w:rtl/>
        </w:rPr>
        <w:t xml:space="preserve">קצת. </w:t>
      </w:r>
      <w:bookmarkStart w:id="59968" w:name="_ETM_Q111_579049"/>
      <w:bookmarkEnd w:id="59968"/>
      <w:r>
        <w:rPr>
          <w:rFonts w:hint="cs"/>
          <w:rtl/>
        </w:rPr>
        <w:t xml:space="preserve">אבל </w:t>
      </w:r>
      <w:bookmarkStart w:id="59969" w:name="_ETM_Q111_579259"/>
      <w:bookmarkEnd w:id="59969"/>
      <w:r>
        <w:rPr>
          <w:rFonts w:hint="cs"/>
          <w:rtl/>
        </w:rPr>
        <w:t xml:space="preserve">בסדר. </w:t>
      </w:r>
      <w:bookmarkStart w:id="59970" w:name="_ETM_Q111_579589"/>
      <w:bookmarkEnd w:id="59970"/>
      <w:r>
        <w:rPr>
          <w:rFonts w:hint="cs"/>
          <w:rtl/>
        </w:rPr>
        <w:t xml:space="preserve">אני, </w:t>
      </w:r>
      <w:bookmarkStart w:id="59971" w:name="_ETM_Q111_579740"/>
      <w:bookmarkEnd w:id="59971"/>
      <w:r>
        <w:rPr>
          <w:rFonts w:hint="cs"/>
          <w:rtl/>
        </w:rPr>
        <w:t xml:space="preserve">אגב, </w:t>
      </w:r>
      <w:bookmarkStart w:id="59972" w:name="_ETM_Q111_579920"/>
      <w:bookmarkEnd w:id="59972"/>
      <w:r>
        <w:rPr>
          <w:rFonts w:hint="cs"/>
          <w:rtl/>
        </w:rPr>
        <w:t xml:space="preserve">לא </w:t>
      </w:r>
      <w:bookmarkStart w:id="59973" w:name="_ETM_Q111_580009"/>
      <w:bookmarkEnd w:id="59973"/>
      <w:r>
        <w:rPr>
          <w:rFonts w:hint="cs"/>
          <w:rtl/>
        </w:rPr>
        <w:t xml:space="preserve">חושב </w:t>
      </w:r>
      <w:bookmarkStart w:id="59974" w:name="_ETM_Q111_580279"/>
      <w:bookmarkEnd w:id="59974"/>
      <w:r>
        <w:rPr>
          <w:rFonts w:hint="cs"/>
          <w:rtl/>
        </w:rPr>
        <w:t xml:space="preserve">שהכול </w:t>
      </w:r>
      <w:bookmarkStart w:id="59975" w:name="_ETM_Q111_580549"/>
      <w:bookmarkEnd w:id="59975"/>
      <w:r>
        <w:rPr>
          <w:rFonts w:hint="cs"/>
          <w:rtl/>
        </w:rPr>
        <w:t xml:space="preserve">שפיט. אבל </w:t>
      </w:r>
      <w:bookmarkStart w:id="59976" w:name="_ETM_Q111_581359"/>
      <w:bookmarkEnd w:id="59976"/>
      <w:r>
        <w:rPr>
          <w:rFonts w:hint="cs"/>
          <w:rtl/>
        </w:rPr>
        <w:t xml:space="preserve">אני </w:t>
      </w:r>
      <w:bookmarkStart w:id="59977" w:name="_ETM_Q111_581630"/>
      <w:bookmarkEnd w:id="59977"/>
      <w:r>
        <w:rPr>
          <w:rFonts w:hint="cs"/>
          <w:rtl/>
        </w:rPr>
        <w:t xml:space="preserve">חושב </w:t>
      </w:r>
      <w:bookmarkStart w:id="59978" w:name="_ETM_Q111_582049"/>
      <w:bookmarkStart w:id="59979" w:name="_ETM_Q111_582319"/>
      <w:bookmarkEnd w:id="59978"/>
      <w:bookmarkEnd w:id="59979"/>
      <w:r>
        <w:rPr>
          <w:rFonts w:hint="cs"/>
          <w:rtl/>
        </w:rPr>
        <w:t xml:space="preserve">שניפחו </w:t>
      </w:r>
      <w:bookmarkStart w:id="59980" w:name="_ETM_Q111_583439"/>
      <w:bookmarkEnd w:id="59980"/>
      <w:r>
        <w:rPr>
          <w:rFonts w:hint="cs"/>
          <w:rtl/>
        </w:rPr>
        <w:t xml:space="preserve">את </w:t>
      </w:r>
      <w:bookmarkStart w:id="59981" w:name="_ETM_Q111_583529"/>
      <w:bookmarkEnd w:id="59981"/>
      <w:r>
        <w:rPr>
          <w:rFonts w:hint="cs"/>
          <w:rtl/>
        </w:rPr>
        <w:t xml:space="preserve">הדבר </w:t>
      </w:r>
      <w:bookmarkStart w:id="59982" w:name="_ETM_Q111_583860"/>
      <w:bookmarkEnd w:id="59982"/>
      <w:r>
        <w:rPr>
          <w:rFonts w:hint="cs"/>
          <w:rtl/>
        </w:rPr>
        <w:t xml:space="preserve">הזה </w:t>
      </w:r>
      <w:bookmarkStart w:id="59983" w:name="_ETM_Q111_584009"/>
      <w:bookmarkEnd w:id="59983"/>
      <w:r>
        <w:rPr>
          <w:rFonts w:hint="cs"/>
          <w:rtl/>
        </w:rPr>
        <w:t xml:space="preserve">בצורה </w:t>
      </w:r>
      <w:bookmarkStart w:id="59984" w:name="_ETM_Q111_584369"/>
      <w:bookmarkEnd w:id="59984"/>
      <w:r>
        <w:rPr>
          <w:rFonts w:hint="cs"/>
          <w:rtl/>
        </w:rPr>
        <w:t>ש</w:t>
      </w:r>
      <w:bookmarkStart w:id="59985" w:name="_ETM_Q111_584610"/>
      <w:bookmarkEnd w:id="59985"/>
      <w:r>
        <w:rPr>
          <w:rFonts w:hint="cs"/>
          <w:rtl/>
        </w:rPr>
        <w:t xml:space="preserve">לא </w:t>
      </w:r>
      <w:bookmarkStart w:id="59986" w:name="_ETM_Q111_584700"/>
      <w:bookmarkEnd w:id="59986"/>
      <w:r>
        <w:rPr>
          <w:rFonts w:hint="cs"/>
          <w:rtl/>
        </w:rPr>
        <w:t xml:space="preserve">מבוססת </w:t>
      </w:r>
      <w:bookmarkStart w:id="59987" w:name="_ETM_Q111_585299"/>
      <w:bookmarkEnd w:id="59987"/>
      <w:r>
        <w:rPr>
          <w:rFonts w:hint="cs"/>
          <w:rtl/>
        </w:rPr>
        <w:t xml:space="preserve">באמת. </w:t>
      </w:r>
      <w:bookmarkStart w:id="59988" w:name="_ETM_Q111_585869"/>
      <w:bookmarkStart w:id="59989" w:name="_ETM_Q111_586049"/>
      <w:bookmarkStart w:id="59990" w:name="_ETM_Q111_586110"/>
      <w:bookmarkStart w:id="59991" w:name="_ETM_Q111_586380"/>
      <w:bookmarkEnd w:id="59988"/>
      <w:bookmarkEnd w:id="59989"/>
      <w:bookmarkEnd w:id="59990"/>
      <w:bookmarkEnd w:id="59991"/>
      <w:r>
        <w:rPr>
          <w:rFonts w:hint="cs"/>
          <w:rtl/>
        </w:rPr>
        <w:t xml:space="preserve">אני </w:t>
      </w:r>
      <w:bookmarkStart w:id="59992" w:name="_ETM_Q111_586680"/>
      <w:bookmarkEnd w:id="59992"/>
      <w:r>
        <w:rPr>
          <w:rFonts w:hint="cs"/>
          <w:rtl/>
        </w:rPr>
        <w:t xml:space="preserve">חושב </w:t>
      </w:r>
      <w:bookmarkStart w:id="59993" w:name="_ETM_Q111_586860"/>
      <w:bookmarkEnd w:id="59993"/>
      <w:r>
        <w:rPr>
          <w:rFonts w:hint="cs"/>
          <w:rtl/>
        </w:rPr>
        <w:t xml:space="preserve">שרוב </w:t>
      </w:r>
      <w:bookmarkStart w:id="59994" w:name="_ETM_Q111_587159"/>
      <w:bookmarkEnd w:id="59994"/>
      <w:r w:rsidR="009D7D51">
        <w:rPr>
          <w:rFonts w:hint="cs"/>
          <w:rtl/>
        </w:rPr>
        <w:t>ה</w:t>
      </w:r>
      <w:r>
        <w:rPr>
          <w:rFonts w:hint="cs"/>
          <w:rtl/>
        </w:rPr>
        <w:t xml:space="preserve">אנשים </w:t>
      </w:r>
      <w:bookmarkStart w:id="59995" w:name="_ETM_Q111_587520"/>
      <w:bookmarkEnd w:id="59995"/>
      <w:r>
        <w:rPr>
          <w:rFonts w:hint="cs"/>
          <w:rtl/>
        </w:rPr>
        <w:t xml:space="preserve">שאומרים </w:t>
      </w:r>
      <w:bookmarkStart w:id="59996" w:name="_ETM_Q111_588399"/>
      <w:bookmarkEnd w:id="59996"/>
      <w:r>
        <w:rPr>
          <w:rFonts w:hint="cs"/>
          <w:rtl/>
        </w:rPr>
        <w:t xml:space="preserve">שבית </w:t>
      </w:r>
      <w:bookmarkStart w:id="59997" w:name="_ETM_Q111_588729"/>
      <w:bookmarkEnd w:id="59997"/>
      <w:r>
        <w:rPr>
          <w:rFonts w:hint="cs"/>
          <w:rtl/>
        </w:rPr>
        <w:t xml:space="preserve">המשפט </w:t>
      </w:r>
      <w:bookmarkStart w:id="59998" w:name="_ETM_Q111_590770"/>
      <w:bookmarkEnd w:id="59998"/>
      <w:r>
        <w:rPr>
          <w:rFonts w:hint="cs"/>
          <w:rtl/>
        </w:rPr>
        <w:t xml:space="preserve">הוא </w:t>
      </w:r>
      <w:bookmarkStart w:id="59999" w:name="_ETM_Q111_591670"/>
      <w:bookmarkEnd w:id="59999"/>
      <w:r>
        <w:rPr>
          <w:rFonts w:hint="cs"/>
          <w:rtl/>
        </w:rPr>
        <w:t xml:space="preserve">עליון </w:t>
      </w:r>
      <w:bookmarkStart w:id="60000" w:name="_ETM_Q111_591969"/>
      <w:bookmarkEnd w:id="60000"/>
      <w:r>
        <w:rPr>
          <w:rFonts w:hint="cs"/>
          <w:rtl/>
        </w:rPr>
        <w:t xml:space="preserve">למחוקק, </w:t>
      </w:r>
      <w:bookmarkStart w:id="60001" w:name="_ETM_Q111_592659"/>
      <w:bookmarkEnd w:id="60001"/>
      <w:r>
        <w:rPr>
          <w:rFonts w:hint="cs"/>
          <w:rtl/>
        </w:rPr>
        <w:t xml:space="preserve">בית </w:t>
      </w:r>
      <w:bookmarkStart w:id="60002" w:name="_ETM_Q111_592869"/>
      <w:bookmarkEnd w:id="60002"/>
      <w:r>
        <w:rPr>
          <w:rFonts w:hint="cs"/>
          <w:rtl/>
        </w:rPr>
        <w:t xml:space="preserve">המשפט </w:t>
      </w:r>
      <w:bookmarkStart w:id="60003" w:name="_ETM_Q111_593920"/>
      <w:bookmarkEnd w:id="60003"/>
      <w:r>
        <w:rPr>
          <w:rFonts w:hint="cs"/>
          <w:rtl/>
        </w:rPr>
        <w:t xml:space="preserve">מחפש </w:t>
      </w:r>
      <w:bookmarkStart w:id="60004" w:name="_ETM_Q111_594459"/>
      <w:bookmarkEnd w:id="60004"/>
      <w:r>
        <w:rPr>
          <w:rFonts w:hint="cs"/>
          <w:rtl/>
        </w:rPr>
        <w:t xml:space="preserve">להילחם </w:t>
      </w:r>
      <w:bookmarkStart w:id="60005" w:name="_ETM_Q111_595089"/>
      <w:bookmarkEnd w:id="60005"/>
      <w:r>
        <w:rPr>
          <w:rFonts w:hint="cs"/>
          <w:rtl/>
        </w:rPr>
        <w:t xml:space="preserve">בדתיים, </w:t>
      </w:r>
      <w:bookmarkStart w:id="60006" w:name="_ETM_Q111_595569"/>
      <w:bookmarkEnd w:id="60006"/>
      <w:r>
        <w:rPr>
          <w:rFonts w:hint="cs"/>
          <w:rtl/>
        </w:rPr>
        <w:t xml:space="preserve">כל </w:t>
      </w:r>
      <w:bookmarkStart w:id="60007" w:name="_ETM_Q111_595689"/>
      <w:bookmarkEnd w:id="60007"/>
      <w:r>
        <w:rPr>
          <w:rFonts w:hint="cs"/>
          <w:rtl/>
        </w:rPr>
        <w:t xml:space="preserve">מיני </w:t>
      </w:r>
      <w:bookmarkStart w:id="60008" w:name="_ETM_Q111_595810"/>
      <w:bookmarkEnd w:id="60008"/>
      <w:r>
        <w:rPr>
          <w:rFonts w:hint="cs"/>
          <w:rtl/>
        </w:rPr>
        <w:t xml:space="preserve">דברים </w:t>
      </w:r>
      <w:bookmarkStart w:id="60009" w:name="_ETM_Q111_596020"/>
      <w:bookmarkEnd w:id="60009"/>
      <w:r>
        <w:rPr>
          <w:rFonts w:hint="cs"/>
          <w:rtl/>
        </w:rPr>
        <w:t xml:space="preserve">כאלה – </w:t>
      </w:r>
      <w:bookmarkStart w:id="60010" w:name="_ETM_Q111_593000"/>
      <w:bookmarkEnd w:id="60010"/>
      <w:r>
        <w:rPr>
          <w:rFonts w:hint="cs"/>
          <w:rtl/>
        </w:rPr>
        <w:t>אלה</w:t>
      </w:r>
      <w:bookmarkStart w:id="60011" w:name="_ETM_Q111_596200"/>
      <w:bookmarkEnd w:id="60011"/>
      <w:r>
        <w:rPr>
          <w:rFonts w:hint="cs"/>
          <w:rtl/>
        </w:rPr>
        <w:t xml:space="preserve"> </w:t>
      </w:r>
      <w:bookmarkStart w:id="60012" w:name="_ETM_Q111_596289"/>
      <w:bookmarkEnd w:id="60012"/>
      <w:r>
        <w:rPr>
          <w:rFonts w:hint="cs"/>
          <w:rtl/>
        </w:rPr>
        <w:t xml:space="preserve">אנשים </w:t>
      </w:r>
      <w:bookmarkStart w:id="60013" w:name="_ETM_Q111_596499"/>
      <w:bookmarkEnd w:id="60013"/>
      <w:r>
        <w:rPr>
          <w:rFonts w:hint="cs"/>
          <w:rtl/>
        </w:rPr>
        <w:t xml:space="preserve">שלא </w:t>
      </w:r>
      <w:bookmarkStart w:id="60014" w:name="_ETM_Q111_596679"/>
      <w:bookmarkEnd w:id="60014"/>
      <w:r>
        <w:rPr>
          <w:rFonts w:hint="cs"/>
          <w:rtl/>
        </w:rPr>
        <w:t xml:space="preserve">באמת </w:t>
      </w:r>
      <w:bookmarkStart w:id="60015" w:name="_ETM_Q111_596950"/>
      <w:bookmarkEnd w:id="60015"/>
      <w:r>
        <w:rPr>
          <w:rFonts w:hint="cs"/>
          <w:rtl/>
        </w:rPr>
        <w:t xml:space="preserve">בקיאים. באמת. </w:t>
      </w:r>
      <w:bookmarkStart w:id="60016" w:name="_ETM_Q111_597670"/>
      <w:bookmarkStart w:id="60017" w:name="_ETM_Q111_598310"/>
      <w:bookmarkEnd w:id="60016"/>
      <w:bookmarkEnd w:id="60017"/>
      <w:r>
        <w:rPr>
          <w:rFonts w:hint="cs"/>
          <w:rtl/>
        </w:rPr>
        <w:t xml:space="preserve">אני </w:t>
      </w:r>
      <w:bookmarkStart w:id="60018" w:name="_ETM_Q111_598490"/>
      <w:bookmarkEnd w:id="60018"/>
      <w:r>
        <w:rPr>
          <w:rFonts w:hint="cs"/>
          <w:rtl/>
        </w:rPr>
        <w:t xml:space="preserve">גם </w:t>
      </w:r>
      <w:bookmarkStart w:id="60019" w:name="_ETM_Q111_598610"/>
      <w:bookmarkEnd w:id="60019"/>
      <w:r>
        <w:rPr>
          <w:rFonts w:hint="cs"/>
          <w:rtl/>
        </w:rPr>
        <w:t xml:space="preserve">חושב </w:t>
      </w:r>
      <w:bookmarkStart w:id="60020" w:name="_ETM_Q111_599000"/>
      <w:bookmarkEnd w:id="60020"/>
      <w:r>
        <w:rPr>
          <w:rFonts w:hint="cs"/>
          <w:rtl/>
        </w:rPr>
        <w:t xml:space="preserve">שיש </w:t>
      </w:r>
      <w:bookmarkStart w:id="60021" w:name="_ETM_Q111_599270"/>
      <w:bookmarkEnd w:id="60021"/>
      <w:r>
        <w:rPr>
          <w:rFonts w:hint="cs"/>
          <w:rtl/>
        </w:rPr>
        <w:t xml:space="preserve">פה </w:t>
      </w:r>
      <w:bookmarkStart w:id="60022" w:name="_ETM_Q111_599450"/>
      <w:bookmarkEnd w:id="60022"/>
      <w:r>
        <w:rPr>
          <w:rFonts w:hint="cs"/>
          <w:rtl/>
        </w:rPr>
        <w:t xml:space="preserve">צביעות </w:t>
      </w:r>
      <w:bookmarkStart w:id="60023" w:name="_ETM_Q111_599869"/>
      <w:bookmarkEnd w:id="60023"/>
      <w:r>
        <w:rPr>
          <w:rFonts w:hint="cs"/>
          <w:rtl/>
        </w:rPr>
        <w:t xml:space="preserve">מאוד גדולה </w:t>
      </w:r>
      <w:bookmarkStart w:id="60024" w:name="_ETM_Q111_600259"/>
      <w:bookmarkEnd w:id="60024"/>
      <w:r>
        <w:rPr>
          <w:rFonts w:hint="cs"/>
          <w:rtl/>
        </w:rPr>
        <w:t xml:space="preserve">בבית </w:t>
      </w:r>
      <w:bookmarkStart w:id="60025" w:name="_ETM_Q111_600619"/>
      <w:bookmarkEnd w:id="60025"/>
      <w:r>
        <w:rPr>
          <w:rFonts w:hint="cs"/>
          <w:rtl/>
        </w:rPr>
        <w:t xml:space="preserve">הזה, </w:t>
      </w:r>
      <w:bookmarkStart w:id="60026" w:name="_ETM_Q111_601130"/>
      <w:bookmarkEnd w:id="60026"/>
      <w:r>
        <w:rPr>
          <w:rFonts w:hint="cs"/>
          <w:rtl/>
        </w:rPr>
        <w:t xml:space="preserve">כי </w:t>
      </w:r>
      <w:bookmarkStart w:id="60027" w:name="_ETM_Q111_601670"/>
      <w:bookmarkEnd w:id="60027"/>
      <w:r>
        <w:rPr>
          <w:rFonts w:hint="cs"/>
          <w:rtl/>
        </w:rPr>
        <w:t xml:space="preserve">בית </w:t>
      </w:r>
      <w:bookmarkStart w:id="60028" w:name="_ETM_Q111_601909"/>
      <w:bookmarkEnd w:id="60028"/>
      <w:r>
        <w:rPr>
          <w:rFonts w:hint="cs"/>
          <w:rtl/>
        </w:rPr>
        <w:t xml:space="preserve">המשפט </w:t>
      </w:r>
      <w:bookmarkStart w:id="60029" w:name="_ETM_Q111_603299"/>
      <w:bookmarkEnd w:id="60029"/>
      <w:r>
        <w:rPr>
          <w:rFonts w:hint="cs"/>
          <w:rtl/>
        </w:rPr>
        <w:t xml:space="preserve">הכריע </w:t>
      </w:r>
      <w:bookmarkStart w:id="60030" w:name="_ETM_Q111_603779"/>
      <w:bookmarkEnd w:id="60030"/>
      <w:r>
        <w:rPr>
          <w:rFonts w:hint="cs"/>
          <w:rtl/>
        </w:rPr>
        <w:t xml:space="preserve">בהמון </w:t>
      </w:r>
      <w:bookmarkStart w:id="60031" w:name="_ETM_Q111_604110"/>
      <w:bookmarkEnd w:id="60031"/>
      <w:r>
        <w:rPr>
          <w:rFonts w:hint="cs"/>
          <w:rtl/>
        </w:rPr>
        <w:t xml:space="preserve">סוגיות. </w:t>
      </w:r>
      <w:bookmarkStart w:id="60032" w:name="_ETM_Q111_604860"/>
      <w:bookmarkEnd w:id="60032"/>
      <w:r>
        <w:rPr>
          <w:rFonts w:hint="cs"/>
          <w:rtl/>
        </w:rPr>
        <w:t xml:space="preserve">אגב, </w:t>
      </w:r>
      <w:bookmarkStart w:id="60033" w:name="_ETM_Q111_605279"/>
      <w:bookmarkEnd w:id="60033"/>
      <w:r>
        <w:rPr>
          <w:rFonts w:hint="cs"/>
          <w:rtl/>
        </w:rPr>
        <w:t xml:space="preserve">הוא מנסה </w:t>
      </w:r>
      <w:bookmarkStart w:id="60034" w:name="_ETM_Q111_605640"/>
      <w:bookmarkEnd w:id="60034"/>
      <w:r>
        <w:rPr>
          <w:rFonts w:hint="cs"/>
          <w:rtl/>
        </w:rPr>
        <w:t xml:space="preserve">לא </w:t>
      </w:r>
      <w:bookmarkStart w:id="60035" w:name="_ETM_Q111_605759"/>
      <w:bookmarkEnd w:id="60035"/>
      <w:r>
        <w:rPr>
          <w:rFonts w:hint="cs"/>
          <w:rtl/>
        </w:rPr>
        <w:t xml:space="preserve">להכריע </w:t>
      </w:r>
      <w:bookmarkStart w:id="60036" w:name="_ETM_Q111_606390"/>
      <w:bookmarkEnd w:id="60036"/>
      <w:r>
        <w:rPr>
          <w:rFonts w:hint="cs"/>
          <w:rtl/>
        </w:rPr>
        <w:t xml:space="preserve">בחוק </w:t>
      </w:r>
      <w:bookmarkStart w:id="60037" w:name="_ETM_Q111_606810"/>
      <w:bookmarkEnd w:id="60037"/>
      <w:r>
        <w:rPr>
          <w:rFonts w:hint="cs"/>
          <w:rtl/>
        </w:rPr>
        <w:t xml:space="preserve">הגיוס </w:t>
      </w:r>
      <w:bookmarkStart w:id="60038" w:name="_ETM_Q111_607140"/>
      <w:bookmarkEnd w:id="60038"/>
      <w:r>
        <w:rPr>
          <w:rFonts w:hint="cs"/>
          <w:rtl/>
        </w:rPr>
        <w:t xml:space="preserve">כבר </w:t>
      </w:r>
      <w:bookmarkStart w:id="60039" w:name="_ETM_Q111_607350"/>
      <w:bookmarkEnd w:id="60039"/>
      <w:r>
        <w:rPr>
          <w:rFonts w:hint="cs"/>
          <w:rtl/>
        </w:rPr>
        <w:t xml:space="preserve">עשרות </w:t>
      </w:r>
      <w:bookmarkStart w:id="60040" w:name="_ETM_Q111_607619"/>
      <w:bookmarkEnd w:id="60040"/>
      <w:r>
        <w:rPr>
          <w:rFonts w:hint="cs"/>
          <w:rtl/>
        </w:rPr>
        <w:t xml:space="preserve">שנים, </w:t>
      </w:r>
      <w:bookmarkStart w:id="60041" w:name="_ETM_Q111_607950"/>
      <w:bookmarkEnd w:id="60041"/>
      <w:r>
        <w:rPr>
          <w:rFonts w:hint="cs"/>
          <w:rtl/>
        </w:rPr>
        <w:t>כן? מי לא</w:t>
      </w:r>
      <w:bookmarkStart w:id="60042" w:name="_ETM_Q111_608630"/>
      <w:bookmarkStart w:id="60043" w:name="_ETM_Q111_609020"/>
      <w:bookmarkEnd w:id="60042"/>
      <w:bookmarkEnd w:id="60043"/>
      <w:r>
        <w:rPr>
          <w:rFonts w:hint="cs"/>
          <w:rtl/>
        </w:rPr>
        <w:t xml:space="preserve"> הכריע בזה? </w:t>
      </w:r>
      <w:bookmarkStart w:id="60044" w:name="_ETM_Q111_606000"/>
      <w:bookmarkStart w:id="60045" w:name="_ETM_Q111_609440"/>
      <w:bookmarkStart w:id="60046" w:name="_ETM_Q111_609770"/>
      <w:bookmarkEnd w:id="60044"/>
      <w:bookmarkEnd w:id="60045"/>
      <w:bookmarkEnd w:id="60046"/>
      <w:r>
        <w:rPr>
          <w:rFonts w:hint="cs"/>
          <w:rtl/>
        </w:rPr>
        <w:t xml:space="preserve">הבית </w:t>
      </w:r>
      <w:bookmarkStart w:id="60047" w:name="_ETM_Q111_610160"/>
      <w:bookmarkEnd w:id="60047"/>
      <w:r>
        <w:rPr>
          <w:rFonts w:hint="cs"/>
          <w:rtl/>
        </w:rPr>
        <w:t xml:space="preserve">הזה. </w:t>
      </w:r>
      <w:bookmarkStart w:id="60048" w:name="_ETM_Q111_610689"/>
      <w:bookmarkEnd w:id="60048"/>
      <w:r>
        <w:rPr>
          <w:rFonts w:hint="cs"/>
          <w:rtl/>
        </w:rPr>
        <w:t xml:space="preserve">בית </w:t>
      </w:r>
      <w:bookmarkStart w:id="60049" w:name="_ETM_Q111_611049"/>
      <w:bookmarkEnd w:id="60049"/>
      <w:r>
        <w:rPr>
          <w:rFonts w:hint="cs"/>
          <w:rtl/>
        </w:rPr>
        <w:t xml:space="preserve">המשפט, </w:t>
      </w:r>
      <w:bookmarkStart w:id="60050" w:name="_ETM_Q111_611469"/>
      <w:bookmarkEnd w:id="60050"/>
      <w:r>
        <w:rPr>
          <w:rFonts w:hint="cs"/>
          <w:rtl/>
        </w:rPr>
        <w:t xml:space="preserve">גלגלו </w:t>
      </w:r>
      <w:bookmarkStart w:id="60051" w:name="_ETM_Q111_611889"/>
      <w:bookmarkEnd w:id="60051"/>
      <w:r>
        <w:rPr>
          <w:rFonts w:hint="cs"/>
          <w:rtl/>
        </w:rPr>
        <w:t xml:space="preserve">אליו </w:t>
      </w:r>
      <w:bookmarkStart w:id="60052" w:name="_ETM_Q111_612069"/>
      <w:bookmarkEnd w:id="60052"/>
      <w:r>
        <w:rPr>
          <w:rFonts w:hint="cs"/>
          <w:rtl/>
        </w:rPr>
        <w:t xml:space="preserve">פעם </w:t>
      </w:r>
      <w:bookmarkStart w:id="60053" w:name="_ETM_Q111_612370"/>
      <w:bookmarkEnd w:id="60053"/>
      <w:r>
        <w:rPr>
          <w:rFonts w:hint="cs"/>
          <w:rtl/>
        </w:rPr>
        <w:t xml:space="preserve">אחר </w:t>
      </w:r>
      <w:bookmarkStart w:id="60054" w:name="_ETM_Q111_612639"/>
      <w:bookmarkEnd w:id="60054"/>
      <w:r>
        <w:rPr>
          <w:rFonts w:hint="cs"/>
          <w:rtl/>
        </w:rPr>
        <w:t xml:space="preserve">פעם </w:t>
      </w:r>
      <w:bookmarkStart w:id="60055" w:name="_ETM_Q111_613239"/>
      <w:bookmarkEnd w:id="60055"/>
      <w:r>
        <w:rPr>
          <w:rFonts w:hint="cs"/>
          <w:rtl/>
        </w:rPr>
        <w:t xml:space="preserve">את </w:t>
      </w:r>
      <w:bookmarkStart w:id="60056" w:name="_ETM_Q111_613419"/>
      <w:bookmarkEnd w:id="60056"/>
      <w:r>
        <w:rPr>
          <w:rFonts w:hint="cs"/>
          <w:rtl/>
        </w:rPr>
        <w:t xml:space="preserve">הטרגדיות, </w:t>
      </w:r>
      <w:bookmarkStart w:id="60057" w:name="_ETM_Q111_614079"/>
      <w:bookmarkEnd w:id="60057"/>
      <w:r>
        <w:rPr>
          <w:rFonts w:hint="cs"/>
          <w:rtl/>
        </w:rPr>
        <w:t xml:space="preserve">את </w:t>
      </w:r>
      <w:bookmarkStart w:id="60058" w:name="_ETM_Q111_614200"/>
      <w:bookmarkEnd w:id="60058"/>
      <w:r>
        <w:rPr>
          <w:rFonts w:hint="cs"/>
          <w:rtl/>
        </w:rPr>
        <w:t xml:space="preserve">תפוחי </w:t>
      </w:r>
      <w:bookmarkStart w:id="60059" w:name="_ETM_Q111_614650"/>
      <w:bookmarkEnd w:id="60059"/>
      <w:r>
        <w:rPr>
          <w:rFonts w:hint="cs"/>
          <w:rtl/>
        </w:rPr>
        <w:t xml:space="preserve">האדמה </w:t>
      </w:r>
      <w:bookmarkStart w:id="60060" w:name="_ETM_Q111_614919"/>
      <w:bookmarkEnd w:id="60060"/>
      <w:r>
        <w:rPr>
          <w:rFonts w:hint="cs"/>
          <w:rtl/>
        </w:rPr>
        <w:t xml:space="preserve">הכי </w:t>
      </w:r>
      <w:bookmarkStart w:id="60061" w:name="_ETM_Q111_615099"/>
      <w:bookmarkEnd w:id="60061"/>
      <w:r>
        <w:rPr>
          <w:rFonts w:hint="cs"/>
          <w:rtl/>
        </w:rPr>
        <w:t xml:space="preserve">לוהטים. </w:t>
      </w:r>
      <w:bookmarkStart w:id="60062" w:name="_ETM_Q111_615549"/>
      <w:bookmarkEnd w:id="60062"/>
      <w:r>
        <w:rPr>
          <w:rFonts w:hint="cs"/>
          <w:rtl/>
        </w:rPr>
        <w:t xml:space="preserve">ואז </w:t>
      </w:r>
      <w:bookmarkStart w:id="60063" w:name="_ETM_Q111_616120"/>
      <w:bookmarkEnd w:id="60063"/>
      <w:r>
        <w:rPr>
          <w:rFonts w:hint="cs"/>
          <w:rtl/>
        </w:rPr>
        <w:t xml:space="preserve">הפכו </w:t>
      </w:r>
      <w:bookmarkStart w:id="60064" w:name="_ETM_Q111_616419"/>
      <w:bookmarkEnd w:id="60064"/>
      <w:r>
        <w:rPr>
          <w:rFonts w:hint="cs"/>
          <w:rtl/>
        </w:rPr>
        <w:t xml:space="preserve">את </w:t>
      </w:r>
      <w:bookmarkStart w:id="60065" w:name="_ETM_Q111_616510"/>
      <w:bookmarkEnd w:id="60065"/>
      <w:r>
        <w:rPr>
          <w:rFonts w:hint="cs"/>
          <w:rtl/>
        </w:rPr>
        <w:t xml:space="preserve">בית </w:t>
      </w:r>
      <w:bookmarkStart w:id="60066" w:name="_ETM_Q111_616659"/>
      <w:bookmarkEnd w:id="60066"/>
      <w:r>
        <w:rPr>
          <w:rFonts w:hint="cs"/>
          <w:rtl/>
        </w:rPr>
        <w:t xml:space="preserve">המשפט </w:t>
      </w:r>
      <w:bookmarkStart w:id="60067" w:name="_ETM_Q111_617049"/>
      <w:bookmarkEnd w:id="60067"/>
      <w:r>
        <w:rPr>
          <w:rFonts w:hint="cs"/>
          <w:rtl/>
        </w:rPr>
        <w:t xml:space="preserve">לשעיר </w:t>
      </w:r>
      <w:bookmarkStart w:id="60068" w:name="_ETM_Q111_617409"/>
      <w:bookmarkEnd w:id="60068"/>
      <w:r>
        <w:rPr>
          <w:rFonts w:hint="cs"/>
          <w:rtl/>
        </w:rPr>
        <w:t xml:space="preserve">לעזאזל </w:t>
      </w:r>
      <w:bookmarkStart w:id="60069" w:name="_ETM_Q111_617829"/>
      <w:bookmarkEnd w:id="60069"/>
      <w:r>
        <w:rPr>
          <w:rFonts w:hint="cs"/>
          <w:rtl/>
        </w:rPr>
        <w:t xml:space="preserve">והעלו </w:t>
      </w:r>
      <w:bookmarkStart w:id="60070" w:name="_ETM_Q111_618069"/>
      <w:bookmarkEnd w:id="60070"/>
      <w:r>
        <w:rPr>
          <w:rFonts w:hint="cs"/>
          <w:rtl/>
        </w:rPr>
        <w:t xml:space="preserve">אותו </w:t>
      </w:r>
      <w:bookmarkStart w:id="60071" w:name="_ETM_Q111_618219"/>
      <w:bookmarkEnd w:id="60071"/>
      <w:r>
        <w:rPr>
          <w:rFonts w:hint="cs"/>
          <w:rtl/>
        </w:rPr>
        <w:t xml:space="preserve">על </w:t>
      </w:r>
      <w:bookmarkStart w:id="60072" w:name="_ETM_Q111_618310"/>
      <w:bookmarkEnd w:id="60072"/>
      <w:r>
        <w:rPr>
          <w:rFonts w:hint="cs"/>
          <w:rtl/>
        </w:rPr>
        <w:t xml:space="preserve">המוקד. </w:t>
      </w:r>
      <w:bookmarkStart w:id="60073" w:name="_ETM_Q111_618999"/>
      <w:bookmarkEnd w:id="60073"/>
      <w:r>
        <w:rPr>
          <w:rFonts w:hint="cs"/>
          <w:rtl/>
        </w:rPr>
        <w:t xml:space="preserve">הרבה </w:t>
      </w:r>
      <w:bookmarkStart w:id="60074" w:name="_ETM_Q111_619329"/>
      <w:bookmarkEnd w:id="60074"/>
      <w:r>
        <w:rPr>
          <w:rFonts w:hint="cs"/>
          <w:rtl/>
        </w:rPr>
        <w:t xml:space="preserve">מאוד </w:t>
      </w:r>
      <w:bookmarkStart w:id="60075" w:name="_ETM_Q111_619569"/>
      <w:bookmarkEnd w:id="60075"/>
      <w:r>
        <w:rPr>
          <w:rFonts w:hint="cs"/>
          <w:rtl/>
        </w:rPr>
        <w:t xml:space="preserve">מהפוליטיקאים </w:t>
      </w:r>
      <w:bookmarkStart w:id="60076" w:name="_ETM_Q111_620290"/>
      <w:bookmarkEnd w:id="60076"/>
      <w:r>
        <w:rPr>
          <w:rFonts w:hint="cs"/>
          <w:rtl/>
        </w:rPr>
        <w:t xml:space="preserve">כאן </w:t>
      </w:r>
      <w:bookmarkStart w:id="60077" w:name="_ETM_Q111_620499"/>
      <w:bookmarkEnd w:id="60077"/>
      <w:r>
        <w:rPr>
          <w:rFonts w:hint="cs"/>
          <w:rtl/>
        </w:rPr>
        <w:t xml:space="preserve">בבית </w:t>
      </w:r>
      <w:bookmarkStart w:id="60078" w:name="_ETM_Q111_620859"/>
      <w:bookmarkEnd w:id="60078"/>
      <w:r>
        <w:rPr>
          <w:rFonts w:hint="cs"/>
          <w:rtl/>
        </w:rPr>
        <w:t xml:space="preserve">הזה, </w:t>
      </w:r>
      <w:bookmarkStart w:id="60079" w:name="_ETM_Q111_621069"/>
      <w:bookmarkEnd w:id="60079"/>
      <w:r>
        <w:rPr>
          <w:rFonts w:hint="cs"/>
          <w:rtl/>
        </w:rPr>
        <w:t xml:space="preserve">וכאלה </w:t>
      </w:r>
      <w:bookmarkStart w:id="60080" w:name="_ETM_Q111_621400"/>
      <w:bookmarkEnd w:id="60080"/>
      <w:r>
        <w:rPr>
          <w:rFonts w:hint="cs"/>
          <w:rtl/>
        </w:rPr>
        <w:t xml:space="preserve">שקדמו </w:t>
      </w:r>
      <w:bookmarkStart w:id="60081" w:name="_ETM_Q111_621849"/>
      <w:bookmarkEnd w:id="60081"/>
      <w:r>
        <w:rPr>
          <w:rFonts w:hint="cs"/>
          <w:rtl/>
        </w:rPr>
        <w:t xml:space="preserve">להם, </w:t>
      </w:r>
      <w:bookmarkStart w:id="60082" w:name="_ETM_Q111_622419"/>
      <w:bookmarkEnd w:id="60082"/>
      <w:r>
        <w:rPr>
          <w:rFonts w:hint="cs"/>
          <w:rtl/>
        </w:rPr>
        <w:t xml:space="preserve">הפכו </w:t>
      </w:r>
      <w:bookmarkStart w:id="60083" w:name="_ETM_Q111_622749"/>
      <w:bookmarkEnd w:id="60083"/>
      <w:r>
        <w:rPr>
          <w:rFonts w:hint="cs"/>
          <w:rtl/>
        </w:rPr>
        <w:t xml:space="preserve">את </w:t>
      </w:r>
      <w:bookmarkStart w:id="60084" w:name="_ETM_Q111_622840"/>
      <w:bookmarkEnd w:id="60084"/>
      <w:r>
        <w:rPr>
          <w:rFonts w:hint="cs"/>
          <w:rtl/>
        </w:rPr>
        <w:t xml:space="preserve">בית </w:t>
      </w:r>
      <w:bookmarkStart w:id="60085" w:name="_ETM_Q111_623079"/>
      <w:bookmarkEnd w:id="60085"/>
      <w:r>
        <w:rPr>
          <w:rFonts w:hint="cs"/>
          <w:rtl/>
        </w:rPr>
        <w:t xml:space="preserve">המשפט </w:t>
      </w:r>
      <w:bookmarkStart w:id="60086" w:name="_ETM_Q111_623860"/>
      <w:bookmarkEnd w:id="60086"/>
      <w:r>
        <w:rPr>
          <w:rFonts w:hint="cs"/>
          <w:rtl/>
        </w:rPr>
        <w:t xml:space="preserve">לבעיה </w:t>
      </w:r>
      <w:bookmarkStart w:id="60087" w:name="_ETM_Q111_624579"/>
      <w:bookmarkEnd w:id="60087"/>
      <w:r>
        <w:rPr>
          <w:rFonts w:hint="cs"/>
          <w:rtl/>
        </w:rPr>
        <w:t xml:space="preserve">ולדמון </w:t>
      </w:r>
      <w:bookmarkStart w:id="60088" w:name="_ETM_Q111_625180"/>
      <w:bookmarkEnd w:id="60088"/>
      <w:r>
        <w:rPr>
          <w:rFonts w:hint="cs"/>
          <w:rtl/>
        </w:rPr>
        <w:t xml:space="preserve">הגדול </w:t>
      </w:r>
      <w:bookmarkStart w:id="60089" w:name="_ETM_Q111_625629"/>
      <w:bookmarkEnd w:id="60089"/>
      <w:r>
        <w:rPr>
          <w:rFonts w:hint="cs"/>
          <w:rtl/>
        </w:rPr>
        <w:t xml:space="preserve">על </w:t>
      </w:r>
      <w:bookmarkStart w:id="60090" w:name="_ETM_Q111_625780"/>
      <w:bookmarkEnd w:id="60090"/>
      <w:r>
        <w:rPr>
          <w:rFonts w:hint="cs"/>
          <w:rtl/>
        </w:rPr>
        <w:t xml:space="preserve">החלטות </w:t>
      </w:r>
      <w:bookmarkStart w:id="60091" w:name="_ETM_Q111_626260"/>
      <w:bookmarkEnd w:id="60091"/>
      <w:r>
        <w:rPr>
          <w:rFonts w:hint="cs"/>
          <w:rtl/>
        </w:rPr>
        <w:t xml:space="preserve">שהם </w:t>
      </w:r>
      <w:bookmarkStart w:id="60092" w:name="_ETM_Q111_626590"/>
      <w:bookmarkEnd w:id="60092"/>
      <w:r>
        <w:rPr>
          <w:rFonts w:hint="cs"/>
          <w:rtl/>
        </w:rPr>
        <w:t xml:space="preserve">פחדו </w:t>
      </w:r>
      <w:bookmarkStart w:id="60093" w:name="_ETM_Q111_626950"/>
      <w:bookmarkEnd w:id="60093"/>
      <w:r>
        <w:rPr>
          <w:rFonts w:hint="cs"/>
          <w:rtl/>
        </w:rPr>
        <w:t xml:space="preserve">לקבל, </w:t>
      </w:r>
      <w:bookmarkStart w:id="60094" w:name="_ETM_Q111_627790"/>
      <w:bookmarkEnd w:id="60094"/>
      <w:r>
        <w:rPr>
          <w:rFonts w:hint="cs"/>
          <w:rtl/>
        </w:rPr>
        <w:t xml:space="preserve">על </w:t>
      </w:r>
      <w:bookmarkStart w:id="60095" w:name="_ETM_Q111_627970"/>
      <w:bookmarkEnd w:id="60095"/>
      <w:r>
        <w:rPr>
          <w:rFonts w:hint="cs"/>
          <w:rtl/>
        </w:rPr>
        <w:t xml:space="preserve">החלטות </w:t>
      </w:r>
      <w:bookmarkStart w:id="60096" w:name="_ETM_Q111_628329"/>
      <w:bookmarkEnd w:id="60096"/>
      <w:r>
        <w:rPr>
          <w:rFonts w:hint="cs"/>
          <w:rtl/>
        </w:rPr>
        <w:t xml:space="preserve">שהמערכת </w:t>
      </w:r>
      <w:bookmarkStart w:id="60097" w:name="_ETM_Q111_629019"/>
      <w:bookmarkEnd w:id="60097"/>
      <w:r>
        <w:rPr>
          <w:rFonts w:hint="cs"/>
          <w:rtl/>
        </w:rPr>
        <w:t xml:space="preserve">פה </w:t>
      </w:r>
      <w:bookmarkStart w:id="60098" w:name="_ETM_Q111_629170"/>
      <w:bookmarkEnd w:id="60098"/>
      <w:r>
        <w:rPr>
          <w:rFonts w:hint="cs"/>
          <w:rtl/>
        </w:rPr>
        <w:t xml:space="preserve">לא </w:t>
      </w:r>
      <w:bookmarkStart w:id="60099" w:name="_ETM_Q111_629260"/>
      <w:bookmarkEnd w:id="60099"/>
      <w:r>
        <w:rPr>
          <w:rFonts w:hint="cs"/>
          <w:rtl/>
        </w:rPr>
        <w:t xml:space="preserve">ידעה </w:t>
      </w:r>
      <w:bookmarkStart w:id="60100" w:name="_ETM_Q111_629439"/>
      <w:bookmarkEnd w:id="60100"/>
      <w:r>
        <w:rPr>
          <w:rFonts w:hint="cs"/>
          <w:rtl/>
        </w:rPr>
        <w:t xml:space="preserve">לקבל </w:t>
      </w:r>
      <w:bookmarkStart w:id="60101" w:name="_ETM_Q111_630340"/>
      <w:bookmarkEnd w:id="60101"/>
      <w:r>
        <w:rPr>
          <w:rFonts w:hint="cs"/>
          <w:rtl/>
        </w:rPr>
        <w:t xml:space="preserve">או על החלטות </w:t>
      </w:r>
      <w:bookmarkStart w:id="60102" w:name="_ETM_Q111_630730"/>
      <w:bookmarkEnd w:id="60102"/>
      <w:r>
        <w:rPr>
          <w:rFonts w:hint="cs"/>
          <w:rtl/>
        </w:rPr>
        <w:t>ש</w:t>
      </w:r>
      <w:bookmarkStart w:id="60103" w:name="_ETM_Q111_630939"/>
      <w:bookmarkEnd w:id="60103"/>
      <w:r>
        <w:rPr>
          <w:rFonts w:hint="cs"/>
          <w:rtl/>
        </w:rPr>
        <w:t xml:space="preserve">בהן היו פוליטיקאים </w:t>
      </w:r>
      <w:bookmarkStart w:id="60104" w:name="_ETM_Q111_631510"/>
      <w:bookmarkEnd w:id="60104"/>
      <w:r>
        <w:rPr>
          <w:rFonts w:hint="cs"/>
          <w:rtl/>
        </w:rPr>
        <w:t xml:space="preserve">מאז </w:t>
      </w:r>
      <w:bookmarkStart w:id="60105" w:name="_ETM_Q111_631750"/>
      <w:bookmarkEnd w:id="60105"/>
      <w:r>
        <w:rPr>
          <w:rFonts w:hint="cs"/>
          <w:rtl/>
        </w:rPr>
        <w:t>ומ</w:t>
      </w:r>
      <w:bookmarkStart w:id="60106" w:name="_ETM_Q111_631930"/>
      <w:bookmarkEnd w:id="60106"/>
      <w:r>
        <w:rPr>
          <w:rFonts w:hint="cs"/>
          <w:rtl/>
        </w:rPr>
        <w:t>תמיד</w:t>
      </w:r>
      <w:bookmarkStart w:id="60107" w:name="_ETM_Q111_632680"/>
      <w:bookmarkEnd w:id="60107"/>
      <w:r>
        <w:rPr>
          <w:rFonts w:hint="cs"/>
          <w:rtl/>
        </w:rPr>
        <w:t xml:space="preserve"> שפחדו </w:t>
      </w:r>
      <w:bookmarkStart w:id="60108" w:name="_ETM_Q111_633189"/>
      <w:bookmarkEnd w:id="60108"/>
      <w:r>
        <w:rPr>
          <w:rFonts w:hint="cs"/>
          <w:rtl/>
        </w:rPr>
        <w:t>על הבייס</w:t>
      </w:r>
      <w:bookmarkStart w:id="60109" w:name="_ETM_Q111_633610"/>
      <w:bookmarkEnd w:id="60109"/>
      <w:r>
        <w:rPr>
          <w:rFonts w:hint="cs"/>
          <w:rtl/>
        </w:rPr>
        <w:t xml:space="preserve"> שלהם.</w:t>
      </w:r>
      <w:bookmarkStart w:id="60110" w:name="_ETM_Q111_633000"/>
      <w:bookmarkStart w:id="60111" w:name="_ETM_Q111_634000"/>
      <w:bookmarkEnd w:id="60110"/>
      <w:bookmarkEnd w:id="60111"/>
      <w:r>
        <w:rPr>
          <w:rFonts w:hint="cs"/>
          <w:rtl/>
        </w:rPr>
        <w:t xml:space="preserve"> </w:t>
      </w:r>
      <w:bookmarkStart w:id="60112" w:name="_ETM_Q111_634790"/>
      <w:bookmarkEnd w:id="60112"/>
      <w:r>
        <w:rPr>
          <w:rFonts w:hint="cs"/>
          <w:rtl/>
        </w:rPr>
        <w:t xml:space="preserve">אז </w:t>
      </w:r>
      <w:bookmarkStart w:id="60113" w:name="_ETM_Q111_634969"/>
      <w:bookmarkEnd w:id="60113"/>
      <w:r>
        <w:rPr>
          <w:rFonts w:hint="cs"/>
          <w:rtl/>
        </w:rPr>
        <w:t xml:space="preserve">מה </w:t>
      </w:r>
      <w:bookmarkStart w:id="60114" w:name="_ETM_Q111_635120"/>
      <w:bookmarkEnd w:id="60114"/>
      <w:r>
        <w:rPr>
          <w:rFonts w:hint="cs"/>
          <w:rtl/>
        </w:rPr>
        <w:t xml:space="preserve">עשו? </w:t>
      </w:r>
      <w:bookmarkStart w:id="60115" w:name="_ETM_Q111_636080"/>
      <w:bookmarkEnd w:id="60115"/>
      <w:r>
        <w:rPr>
          <w:rFonts w:hint="cs"/>
          <w:rtl/>
        </w:rPr>
        <w:t xml:space="preserve">גלגלו </w:t>
      </w:r>
      <w:bookmarkStart w:id="60116" w:name="_ETM_Q111_636500"/>
      <w:bookmarkEnd w:id="60116"/>
      <w:r>
        <w:rPr>
          <w:rFonts w:hint="cs"/>
          <w:rtl/>
        </w:rPr>
        <w:t xml:space="preserve">את </w:t>
      </w:r>
      <w:bookmarkStart w:id="60117" w:name="_ETM_Q111_636590"/>
      <w:bookmarkEnd w:id="60117"/>
      <w:r>
        <w:rPr>
          <w:rFonts w:hint="cs"/>
          <w:rtl/>
        </w:rPr>
        <w:t xml:space="preserve">זה </w:t>
      </w:r>
      <w:bookmarkStart w:id="60118" w:name="_ETM_Q111_636680"/>
      <w:bookmarkStart w:id="60119" w:name="_ETM_Q111_636950"/>
      <w:bookmarkEnd w:id="60118"/>
      <w:bookmarkEnd w:id="60119"/>
      <w:r>
        <w:rPr>
          <w:rFonts w:hint="cs"/>
          <w:rtl/>
        </w:rPr>
        <w:t xml:space="preserve">לגורם </w:t>
      </w:r>
      <w:bookmarkStart w:id="60120" w:name="_ETM_Q111_637430"/>
      <w:bookmarkEnd w:id="60120"/>
      <w:r>
        <w:rPr>
          <w:rFonts w:hint="cs"/>
          <w:rtl/>
        </w:rPr>
        <w:t xml:space="preserve">שאין </w:t>
      </w:r>
      <w:bookmarkStart w:id="60121" w:name="_ETM_Q111_637700"/>
      <w:bookmarkEnd w:id="60121"/>
      <w:r>
        <w:rPr>
          <w:rFonts w:hint="cs"/>
          <w:rtl/>
        </w:rPr>
        <w:t xml:space="preserve">לו </w:t>
      </w:r>
      <w:bookmarkStart w:id="60122" w:name="_ETM_Q111_637790"/>
      <w:bookmarkEnd w:id="60122"/>
      <w:r>
        <w:rPr>
          <w:rFonts w:hint="cs"/>
          <w:rtl/>
        </w:rPr>
        <w:t xml:space="preserve">למי </w:t>
      </w:r>
      <w:bookmarkStart w:id="60123" w:name="_ETM_Q111_638000"/>
      <w:bookmarkEnd w:id="60123"/>
      <w:r>
        <w:rPr>
          <w:rFonts w:hint="cs"/>
          <w:rtl/>
        </w:rPr>
        <w:t xml:space="preserve">לגלגל </w:t>
      </w:r>
      <w:bookmarkStart w:id="60124" w:name="_ETM_Q111_638420"/>
      <w:bookmarkEnd w:id="60124"/>
      <w:r>
        <w:rPr>
          <w:rFonts w:hint="cs"/>
          <w:rtl/>
        </w:rPr>
        <w:t xml:space="preserve">יותר. </w:t>
      </w:r>
      <w:bookmarkStart w:id="60125" w:name="_ETM_Q111_638960"/>
      <w:bookmarkEnd w:id="60125"/>
      <w:r>
        <w:rPr>
          <w:rFonts w:hint="cs"/>
          <w:rtl/>
        </w:rPr>
        <w:t xml:space="preserve">אז </w:t>
      </w:r>
      <w:bookmarkStart w:id="60126" w:name="_ETM_Q111_639140"/>
      <w:bookmarkEnd w:id="60126"/>
      <w:r>
        <w:rPr>
          <w:rFonts w:hint="cs"/>
          <w:rtl/>
        </w:rPr>
        <w:t xml:space="preserve">לפעמים </w:t>
      </w:r>
      <w:bookmarkStart w:id="60127" w:name="_ETM_Q111_639530"/>
      <w:bookmarkEnd w:id="60127"/>
      <w:r>
        <w:rPr>
          <w:rFonts w:hint="cs"/>
          <w:rtl/>
        </w:rPr>
        <w:t xml:space="preserve">בית </w:t>
      </w:r>
      <w:bookmarkStart w:id="60128" w:name="_ETM_Q111_639680"/>
      <w:bookmarkEnd w:id="60128"/>
      <w:r>
        <w:rPr>
          <w:rFonts w:hint="cs"/>
          <w:rtl/>
        </w:rPr>
        <w:t xml:space="preserve">המשפט </w:t>
      </w:r>
      <w:bookmarkStart w:id="60129" w:name="_ETM_Q111_640040"/>
      <w:bookmarkEnd w:id="60129"/>
      <w:r>
        <w:rPr>
          <w:rFonts w:hint="cs"/>
          <w:rtl/>
        </w:rPr>
        <w:t xml:space="preserve">החזיר </w:t>
      </w:r>
      <w:bookmarkStart w:id="60130" w:name="_ETM_Q111_640370"/>
      <w:bookmarkEnd w:id="60130"/>
      <w:r>
        <w:rPr>
          <w:rFonts w:hint="cs"/>
          <w:rtl/>
        </w:rPr>
        <w:t xml:space="preserve">הזה </w:t>
      </w:r>
      <w:bookmarkStart w:id="60131" w:name="_ETM_Q111_640520"/>
      <w:bookmarkEnd w:id="60131"/>
      <w:r>
        <w:rPr>
          <w:rFonts w:hint="cs"/>
          <w:rtl/>
        </w:rPr>
        <w:t xml:space="preserve">לכנסת, </w:t>
      </w:r>
      <w:bookmarkStart w:id="60132" w:name="_ETM_Q111_641060"/>
      <w:bookmarkEnd w:id="60132"/>
      <w:r>
        <w:rPr>
          <w:rFonts w:hint="cs"/>
          <w:rtl/>
        </w:rPr>
        <w:t xml:space="preserve">ולפעמים </w:t>
      </w:r>
      <w:bookmarkStart w:id="60133" w:name="_ETM_Q111_641420"/>
      <w:bookmarkEnd w:id="60133"/>
      <w:r>
        <w:rPr>
          <w:rFonts w:hint="cs"/>
          <w:rtl/>
        </w:rPr>
        <w:t xml:space="preserve">כבר </w:t>
      </w:r>
      <w:bookmarkStart w:id="60134" w:name="_ETM_Q111_641570"/>
      <w:bookmarkEnd w:id="60134"/>
      <w:r>
        <w:rPr>
          <w:rFonts w:hint="cs"/>
          <w:rtl/>
        </w:rPr>
        <w:t xml:space="preserve">לא </w:t>
      </w:r>
      <w:bookmarkStart w:id="60135" w:name="_ETM_Q111_641690"/>
      <w:bookmarkEnd w:id="60135"/>
      <w:r>
        <w:rPr>
          <w:rFonts w:hint="cs"/>
          <w:rtl/>
        </w:rPr>
        <w:t xml:space="preserve">הייתה </w:t>
      </w:r>
      <w:bookmarkStart w:id="60136" w:name="_ETM_Q111_641870"/>
      <w:bookmarkEnd w:id="60136"/>
      <w:r>
        <w:rPr>
          <w:rFonts w:hint="cs"/>
          <w:rtl/>
        </w:rPr>
        <w:t xml:space="preserve">ברירה. </w:t>
      </w:r>
      <w:bookmarkStart w:id="60137" w:name="_ETM_Q111_642590"/>
      <w:bookmarkEnd w:id="60137"/>
      <w:r>
        <w:rPr>
          <w:rFonts w:hint="cs"/>
          <w:rtl/>
        </w:rPr>
        <w:t xml:space="preserve">וככה </w:t>
      </w:r>
      <w:bookmarkStart w:id="60138" w:name="_ETM_Q111_643070"/>
      <w:bookmarkEnd w:id="60138"/>
      <w:r>
        <w:rPr>
          <w:rFonts w:hint="cs"/>
          <w:rtl/>
        </w:rPr>
        <w:t xml:space="preserve">עם </w:t>
      </w:r>
      <w:bookmarkStart w:id="60139" w:name="_ETM_Q111_643160"/>
      <w:bookmarkEnd w:id="60139"/>
      <w:r>
        <w:rPr>
          <w:rFonts w:hint="cs"/>
          <w:rtl/>
        </w:rPr>
        <w:t xml:space="preserve">השנים </w:t>
      </w:r>
      <w:bookmarkStart w:id="60140" w:name="_ETM_Q111_643520"/>
      <w:bookmarkEnd w:id="60140"/>
      <w:r>
        <w:rPr>
          <w:rFonts w:hint="cs"/>
          <w:rtl/>
        </w:rPr>
        <w:t xml:space="preserve">נוצר </w:t>
      </w:r>
      <w:bookmarkStart w:id="60141" w:name="_ETM_Q111_643820"/>
      <w:bookmarkEnd w:id="60141"/>
      <w:r>
        <w:rPr>
          <w:rFonts w:hint="cs"/>
          <w:rtl/>
        </w:rPr>
        <w:t xml:space="preserve">מצב </w:t>
      </w:r>
      <w:bookmarkStart w:id="60142" w:name="_ETM_Q111_644540"/>
      <w:bookmarkEnd w:id="60142"/>
      <w:r>
        <w:rPr>
          <w:rFonts w:hint="cs"/>
          <w:rtl/>
        </w:rPr>
        <w:t xml:space="preserve">שפתאום </w:t>
      </w:r>
      <w:bookmarkStart w:id="60143" w:name="_ETM_Q111_644990"/>
      <w:bookmarkEnd w:id="60143"/>
      <w:r>
        <w:rPr>
          <w:rFonts w:hint="cs"/>
          <w:rtl/>
        </w:rPr>
        <w:t xml:space="preserve">ניפחו </w:t>
      </w:r>
      <w:bookmarkStart w:id="60144" w:name="_ETM_Q111_645380"/>
      <w:bookmarkEnd w:id="60144"/>
      <w:r>
        <w:rPr>
          <w:rFonts w:hint="cs"/>
          <w:rtl/>
        </w:rPr>
        <w:t xml:space="preserve">את </w:t>
      </w:r>
      <w:bookmarkStart w:id="60145" w:name="_ETM_Q111_645470"/>
      <w:bookmarkEnd w:id="60145"/>
      <w:r>
        <w:rPr>
          <w:rFonts w:hint="cs"/>
          <w:rtl/>
        </w:rPr>
        <w:t xml:space="preserve">כל </w:t>
      </w:r>
      <w:bookmarkStart w:id="60146" w:name="_ETM_Q111_645650"/>
      <w:bookmarkEnd w:id="60146"/>
      <w:r>
        <w:rPr>
          <w:rFonts w:hint="cs"/>
          <w:rtl/>
        </w:rPr>
        <w:t xml:space="preserve">הדבר </w:t>
      </w:r>
      <w:bookmarkStart w:id="60147" w:name="_ETM_Q111_645980"/>
      <w:bookmarkEnd w:id="60147"/>
      <w:r>
        <w:rPr>
          <w:rFonts w:hint="cs"/>
          <w:rtl/>
        </w:rPr>
        <w:t xml:space="preserve">הזה. </w:t>
      </w:r>
      <w:bookmarkStart w:id="60148" w:name="_ETM_Q111_646810"/>
      <w:bookmarkEnd w:id="60148"/>
    </w:p>
    <w:p w:rsidR="00BB59CD" w:rsidRDefault="00BB59CD" w:rsidP="00BB59CD">
      <w:pPr>
        <w:rPr>
          <w:rtl/>
        </w:rPr>
      </w:pPr>
      <w:bookmarkStart w:id="60149" w:name="_ETM_Q111_648910"/>
      <w:bookmarkStart w:id="60150" w:name="_ETM_Q111_648980"/>
      <w:bookmarkEnd w:id="60149"/>
      <w:bookmarkEnd w:id="60150"/>
    </w:p>
    <w:p w:rsidR="00BB59CD" w:rsidRDefault="00BB59CD" w:rsidP="00856D9C">
      <w:pPr>
        <w:rPr>
          <w:rtl/>
        </w:rPr>
      </w:pPr>
      <w:bookmarkStart w:id="60151" w:name="_ETM_Q111_649053"/>
      <w:bookmarkStart w:id="60152" w:name="_ETM_Q111_649150"/>
      <w:bookmarkEnd w:id="60151"/>
      <w:bookmarkEnd w:id="60152"/>
      <w:r>
        <w:rPr>
          <w:rFonts w:hint="cs"/>
          <w:rtl/>
        </w:rPr>
        <w:t xml:space="preserve">אפשר </w:t>
      </w:r>
      <w:bookmarkStart w:id="60153" w:name="_ETM_Q111_647080"/>
      <w:bookmarkEnd w:id="60153"/>
      <w:r>
        <w:rPr>
          <w:rFonts w:hint="cs"/>
          <w:rtl/>
        </w:rPr>
        <w:t xml:space="preserve">לעשות </w:t>
      </w:r>
      <w:bookmarkStart w:id="60154" w:name="_ETM_Q111_647349"/>
      <w:bookmarkEnd w:id="60154"/>
      <w:r>
        <w:rPr>
          <w:rFonts w:hint="cs"/>
          <w:rtl/>
        </w:rPr>
        <w:t xml:space="preserve">תיקונים? </w:t>
      </w:r>
      <w:bookmarkStart w:id="60155" w:name="_ETM_Q111_647860"/>
      <w:bookmarkEnd w:id="60155"/>
      <w:r>
        <w:rPr>
          <w:rFonts w:hint="cs"/>
          <w:rtl/>
        </w:rPr>
        <w:t>כן</w:t>
      </w:r>
      <w:bookmarkStart w:id="60156" w:name="_ETM_Q111_648280"/>
      <w:bookmarkEnd w:id="60156"/>
      <w:r>
        <w:rPr>
          <w:rFonts w:hint="cs"/>
          <w:rtl/>
        </w:rPr>
        <w:t xml:space="preserve">. היה </w:t>
      </w:r>
      <w:bookmarkStart w:id="60157" w:name="_ETM_Q111_648430"/>
      <w:bookmarkEnd w:id="60157"/>
      <w:r>
        <w:rPr>
          <w:rFonts w:hint="cs"/>
          <w:rtl/>
        </w:rPr>
        <w:t xml:space="preserve">אפשר </w:t>
      </w:r>
      <w:bookmarkStart w:id="60158" w:name="_ETM_Q111_648610"/>
      <w:bookmarkEnd w:id="60158"/>
      <w:r>
        <w:rPr>
          <w:rFonts w:hint="cs"/>
          <w:rtl/>
        </w:rPr>
        <w:t xml:space="preserve">לעשות </w:t>
      </w:r>
      <w:bookmarkStart w:id="60159" w:name="_ETM_Q111_648879"/>
      <w:bookmarkEnd w:id="60159"/>
      <w:r>
        <w:rPr>
          <w:rFonts w:hint="cs"/>
          <w:rtl/>
        </w:rPr>
        <w:t xml:space="preserve">אותם </w:t>
      </w:r>
      <w:bookmarkStart w:id="60160" w:name="_ETM_Q111_649090"/>
      <w:bookmarkEnd w:id="60160"/>
      <w:r>
        <w:rPr>
          <w:rFonts w:hint="cs"/>
          <w:rtl/>
        </w:rPr>
        <w:t xml:space="preserve">בלי </w:t>
      </w:r>
      <w:bookmarkStart w:id="60161" w:name="_ETM_Q111_649269"/>
      <w:bookmarkEnd w:id="60161"/>
      <w:r>
        <w:rPr>
          <w:rFonts w:hint="cs"/>
          <w:rtl/>
        </w:rPr>
        <w:t>מלחמה</w:t>
      </w:r>
      <w:bookmarkStart w:id="60162" w:name="_ETM_Q111_649720"/>
      <w:bookmarkEnd w:id="60162"/>
      <w:r>
        <w:rPr>
          <w:rFonts w:hint="cs"/>
          <w:rtl/>
        </w:rPr>
        <w:t xml:space="preserve">, בלי </w:t>
      </w:r>
      <w:bookmarkStart w:id="60163" w:name="_ETM_Q111_648000"/>
      <w:bookmarkStart w:id="60164" w:name="_ETM_Q111_650170"/>
      <w:bookmarkEnd w:id="60163"/>
      <w:bookmarkEnd w:id="60164"/>
      <w:r>
        <w:rPr>
          <w:rFonts w:hint="cs"/>
          <w:rtl/>
        </w:rPr>
        <w:t xml:space="preserve">לפרק </w:t>
      </w:r>
      <w:bookmarkStart w:id="60165" w:name="_ETM_Q111_650650"/>
      <w:bookmarkEnd w:id="60165"/>
      <w:r>
        <w:rPr>
          <w:rFonts w:hint="cs"/>
          <w:rtl/>
        </w:rPr>
        <w:t xml:space="preserve">את </w:t>
      </w:r>
      <w:bookmarkStart w:id="60166" w:name="_ETM_Q111_650709"/>
      <w:bookmarkEnd w:id="60166"/>
      <w:r>
        <w:rPr>
          <w:rFonts w:hint="cs"/>
          <w:rtl/>
        </w:rPr>
        <w:t xml:space="preserve">המדינה. היה </w:t>
      </w:r>
      <w:bookmarkStart w:id="60167" w:name="_ETM_Q111_651099"/>
      <w:bookmarkEnd w:id="60167"/>
      <w:r>
        <w:rPr>
          <w:rFonts w:hint="cs"/>
          <w:rtl/>
        </w:rPr>
        <w:t xml:space="preserve">אפשר </w:t>
      </w:r>
      <w:bookmarkStart w:id="60168" w:name="_ETM_Q111_651370"/>
      <w:bookmarkEnd w:id="60168"/>
      <w:r>
        <w:rPr>
          <w:rFonts w:hint="cs"/>
          <w:rtl/>
        </w:rPr>
        <w:t xml:space="preserve">להסביר </w:t>
      </w:r>
      <w:bookmarkStart w:id="60169" w:name="_ETM_Q111_651700"/>
      <w:bookmarkEnd w:id="60169"/>
      <w:r>
        <w:rPr>
          <w:rFonts w:hint="cs"/>
          <w:rtl/>
        </w:rPr>
        <w:t xml:space="preserve">לציבור: </w:t>
      </w:r>
      <w:bookmarkStart w:id="60170" w:name="_ETM_Q111_652090"/>
      <w:bookmarkEnd w:id="60170"/>
      <w:r>
        <w:rPr>
          <w:rFonts w:hint="cs"/>
          <w:rtl/>
        </w:rPr>
        <w:t xml:space="preserve">בואו </w:t>
      </w:r>
      <w:bookmarkStart w:id="60171" w:name="_ETM_Q111_652239"/>
      <w:bookmarkEnd w:id="60171"/>
      <w:r>
        <w:rPr>
          <w:rFonts w:hint="cs"/>
          <w:rtl/>
        </w:rPr>
        <w:t xml:space="preserve">נמצא </w:t>
      </w:r>
      <w:bookmarkStart w:id="60172" w:name="_ETM_Q111_652540"/>
      <w:bookmarkEnd w:id="60172"/>
      <w:r>
        <w:rPr>
          <w:rFonts w:hint="cs"/>
          <w:rtl/>
        </w:rPr>
        <w:t xml:space="preserve">עכשיו </w:t>
      </w:r>
      <w:bookmarkStart w:id="60173" w:name="_ETM_Q111_653409"/>
      <w:bookmarkEnd w:id="60173"/>
      <w:r>
        <w:rPr>
          <w:rFonts w:hint="cs"/>
          <w:rtl/>
        </w:rPr>
        <w:t xml:space="preserve">תיקונים. </w:t>
      </w:r>
      <w:bookmarkStart w:id="60174" w:name="_ETM_Q111_654099"/>
      <w:bookmarkEnd w:id="60174"/>
      <w:r>
        <w:rPr>
          <w:rFonts w:hint="cs"/>
          <w:rtl/>
        </w:rPr>
        <w:t xml:space="preserve">תיקונים, </w:t>
      </w:r>
      <w:bookmarkStart w:id="60175" w:name="_ETM_Q111_654549"/>
      <w:bookmarkEnd w:id="60175"/>
      <w:r>
        <w:rPr>
          <w:rFonts w:hint="cs"/>
          <w:rtl/>
        </w:rPr>
        <w:t xml:space="preserve">אגב, </w:t>
      </w:r>
      <w:bookmarkStart w:id="60176" w:name="_ETM_Q111_655150"/>
      <w:bookmarkEnd w:id="60176"/>
      <w:r>
        <w:rPr>
          <w:rFonts w:hint="cs"/>
          <w:rtl/>
        </w:rPr>
        <w:t xml:space="preserve">אדוני </w:t>
      </w:r>
      <w:bookmarkStart w:id="60177" w:name="_ETM_Q111_655420"/>
      <w:bookmarkEnd w:id="60177"/>
      <w:r>
        <w:rPr>
          <w:rFonts w:hint="cs"/>
          <w:rtl/>
        </w:rPr>
        <w:t xml:space="preserve">היושב-ראש, היו צריכים </w:t>
      </w:r>
      <w:bookmarkStart w:id="60178" w:name="_ETM_Q111_655780"/>
      <w:bookmarkStart w:id="60179" w:name="_ETM_Q111_655870"/>
      <w:bookmarkStart w:id="60180" w:name="_ETM_Q111_655989"/>
      <w:bookmarkEnd w:id="60178"/>
      <w:bookmarkEnd w:id="60179"/>
      <w:bookmarkEnd w:id="60180"/>
      <w:r>
        <w:rPr>
          <w:rFonts w:hint="cs"/>
          <w:rtl/>
        </w:rPr>
        <w:t xml:space="preserve">להתחיל </w:t>
      </w:r>
      <w:bookmarkStart w:id="60181" w:name="_ETM_Q111_656439"/>
      <w:bookmarkEnd w:id="60181"/>
      <w:r>
        <w:rPr>
          <w:rFonts w:hint="cs"/>
          <w:rtl/>
        </w:rPr>
        <w:t>מחוק</w:t>
      </w:r>
      <w:bookmarkStart w:id="60182" w:name="_ETM_Q111_656799"/>
      <w:bookmarkEnd w:id="60182"/>
      <w:r>
        <w:rPr>
          <w:rFonts w:hint="cs"/>
          <w:rtl/>
        </w:rPr>
        <w:t xml:space="preserve">-יסוד: </w:t>
      </w:r>
      <w:bookmarkStart w:id="60183" w:name="_ETM_Q111_657489"/>
      <w:bookmarkEnd w:id="60183"/>
      <w:r>
        <w:rPr>
          <w:rFonts w:hint="cs"/>
          <w:rtl/>
        </w:rPr>
        <w:t>החקיקה</w:t>
      </w:r>
      <w:bookmarkStart w:id="60184" w:name="_ETM_Q111_658510"/>
      <w:bookmarkEnd w:id="60184"/>
      <w:r>
        <w:rPr>
          <w:rFonts w:hint="cs"/>
          <w:rtl/>
        </w:rPr>
        <w:t xml:space="preserve">. קודם </w:t>
      </w:r>
      <w:bookmarkStart w:id="60185" w:name="_ETM_Q111_658719"/>
      <w:bookmarkEnd w:id="60185"/>
      <w:r>
        <w:rPr>
          <w:rFonts w:hint="cs"/>
          <w:rtl/>
        </w:rPr>
        <w:t xml:space="preserve">כול </w:t>
      </w:r>
      <w:bookmarkStart w:id="60186" w:name="_ETM_Q111_658870"/>
      <w:bookmarkEnd w:id="60186"/>
      <w:r>
        <w:rPr>
          <w:rFonts w:hint="cs"/>
          <w:rtl/>
        </w:rPr>
        <w:t xml:space="preserve">להסדיר </w:t>
      </w:r>
      <w:bookmarkStart w:id="60187" w:name="_ETM_Q111_659650"/>
      <w:bookmarkEnd w:id="60187"/>
      <w:r>
        <w:rPr>
          <w:rFonts w:hint="cs"/>
          <w:rtl/>
        </w:rPr>
        <w:t xml:space="preserve">מה </w:t>
      </w:r>
      <w:bookmarkStart w:id="60188" w:name="_ETM_Q111_659859"/>
      <w:bookmarkEnd w:id="60188"/>
      <w:r>
        <w:rPr>
          <w:rFonts w:hint="cs"/>
          <w:rtl/>
        </w:rPr>
        <w:t xml:space="preserve">זה </w:t>
      </w:r>
      <w:bookmarkStart w:id="60189" w:name="_ETM_Q111_659980"/>
      <w:bookmarkEnd w:id="60189"/>
      <w:r>
        <w:rPr>
          <w:rFonts w:hint="cs"/>
          <w:rtl/>
        </w:rPr>
        <w:t xml:space="preserve">חוק, ואת זה כל </w:t>
      </w:r>
      <w:bookmarkStart w:id="60190" w:name="_ETM_Q111_657000"/>
      <w:bookmarkEnd w:id="60190"/>
      <w:r>
        <w:rPr>
          <w:rFonts w:hint="cs"/>
          <w:rtl/>
        </w:rPr>
        <w:t>אחד יודע.</w:t>
      </w:r>
      <w:bookmarkStart w:id="60191" w:name="_ETM_Q111_660219"/>
      <w:bookmarkStart w:id="60192" w:name="_ETM_Q111_660430"/>
      <w:bookmarkStart w:id="60193" w:name="_ETM_Q111_660669"/>
      <w:bookmarkStart w:id="60194" w:name="_ETM_Q111_660879"/>
      <w:bookmarkStart w:id="60195" w:name="_ETM_Q111_661389"/>
      <w:bookmarkEnd w:id="60191"/>
      <w:bookmarkEnd w:id="60192"/>
      <w:bookmarkEnd w:id="60193"/>
      <w:bookmarkEnd w:id="60194"/>
      <w:bookmarkEnd w:id="60195"/>
      <w:r>
        <w:rPr>
          <w:rFonts w:hint="cs"/>
          <w:rtl/>
        </w:rPr>
        <w:t xml:space="preserve"> מה </w:t>
      </w:r>
      <w:bookmarkStart w:id="60196" w:name="_ETM_Q111_661540"/>
      <w:bookmarkEnd w:id="60196"/>
      <w:r>
        <w:rPr>
          <w:rFonts w:hint="cs"/>
          <w:rtl/>
        </w:rPr>
        <w:t xml:space="preserve">זה </w:t>
      </w:r>
      <w:bookmarkStart w:id="60197" w:name="_ETM_Q111_661689"/>
      <w:bookmarkEnd w:id="60197"/>
      <w:r>
        <w:rPr>
          <w:rFonts w:hint="cs"/>
          <w:rtl/>
        </w:rPr>
        <w:t xml:space="preserve">חוק, </w:t>
      </w:r>
      <w:bookmarkStart w:id="60198" w:name="_ETM_Q111_661989"/>
      <w:bookmarkEnd w:id="60198"/>
      <w:r>
        <w:rPr>
          <w:rFonts w:hint="cs"/>
          <w:rtl/>
        </w:rPr>
        <w:t xml:space="preserve">מה </w:t>
      </w:r>
      <w:bookmarkStart w:id="60199" w:name="_ETM_Q111_662109"/>
      <w:bookmarkEnd w:id="60199"/>
      <w:r>
        <w:rPr>
          <w:rFonts w:hint="cs"/>
          <w:rtl/>
        </w:rPr>
        <w:t xml:space="preserve">זה </w:t>
      </w:r>
      <w:bookmarkStart w:id="60200" w:name="_ETM_Q111_662199"/>
      <w:bookmarkEnd w:id="60200"/>
      <w:r>
        <w:rPr>
          <w:rFonts w:hint="cs"/>
          <w:rtl/>
        </w:rPr>
        <w:t>חוק</w:t>
      </w:r>
      <w:bookmarkStart w:id="60201" w:name="_ETM_Q111_662409"/>
      <w:bookmarkEnd w:id="60201"/>
      <w:r>
        <w:rPr>
          <w:rFonts w:hint="cs"/>
          <w:rtl/>
        </w:rPr>
        <w:t xml:space="preserve">-יסוד, </w:t>
      </w:r>
      <w:bookmarkStart w:id="60202" w:name="_ETM_Q111_663099"/>
      <w:bookmarkEnd w:id="60202"/>
      <w:r>
        <w:rPr>
          <w:rFonts w:hint="cs"/>
          <w:rtl/>
        </w:rPr>
        <w:t xml:space="preserve">איך </w:t>
      </w:r>
      <w:bookmarkStart w:id="60203" w:name="_ETM_Q111_663279"/>
      <w:bookmarkEnd w:id="60203"/>
      <w:r>
        <w:rPr>
          <w:rFonts w:hint="cs"/>
          <w:rtl/>
        </w:rPr>
        <w:t xml:space="preserve">פוסלים, </w:t>
      </w:r>
      <w:bookmarkStart w:id="60204" w:name="_ETM_Q111_663819"/>
      <w:bookmarkEnd w:id="60204"/>
      <w:r>
        <w:rPr>
          <w:rFonts w:hint="cs"/>
          <w:rtl/>
        </w:rPr>
        <w:t xml:space="preserve">מה </w:t>
      </w:r>
      <w:bookmarkStart w:id="60205" w:name="_ETM_Q111_663939"/>
      <w:bookmarkEnd w:id="60205"/>
      <w:r>
        <w:rPr>
          <w:rFonts w:hint="cs"/>
          <w:rtl/>
        </w:rPr>
        <w:t xml:space="preserve">עושים. </w:t>
      </w:r>
      <w:bookmarkStart w:id="60206" w:name="_ETM_Q111_664569"/>
      <w:bookmarkEnd w:id="60206"/>
      <w:r>
        <w:rPr>
          <w:rFonts w:hint="cs"/>
          <w:rtl/>
        </w:rPr>
        <w:t xml:space="preserve">יש </w:t>
      </w:r>
      <w:bookmarkStart w:id="60207" w:name="_ETM_Q111_664719"/>
      <w:bookmarkEnd w:id="60207"/>
      <w:r>
        <w:rPr>
          <w:rFonts w:hint="cs"/>
          <w:rtl/>
        </w:rPr>
        <w:t xml:space="preserve">דרכים </w:t>
      </w:r>
      <w:bookmarkStart w:id="60208" w:name="_ETM_Q111_665079"/>
      <w:bookmarkEnd w:id="60208"/>
      <w:r>
        <w:rPr>
          <w:rFonts w:hint="cs"/>
          <w:rtl/>
        </w:rPr>
        <w:t xml:space="preserve">להסדיר </w:t>
      </w:r>
      <w:bookmarkStart w:id="60209" w:name="_ETM_Q111_665469"/>
      <w:bookmarkEnd w:id="60209"/>
      <w:r>
        <w:rPr>
          <w:rFonts w:hint="cs"/>
          <w:rtl/>
        </w:rPr>
        <w:t xml:space="preserve">את </w:t>
      </w:r>
      <w:bookmarkStart w:id="60210" w:name="_ETM_Q111_665559"/>
      <w:bookmarkEnd w:id="60210"/>
      <w:r>
        <w:rPr>
          <w:rFonts w:hint="cs"/>
          <w:rtl/>
        </w:rPr>
        <w:t xml:space="preserve">זה. </w:t>
      </w:r>
      <w:bookmarkStart w:id="60211" w:name="_ETM_Q111_666099"/>
      <w:bookmarkStart w:id="60212" w:name="_ETM_Q111_668000"/>
      <w:bookmarkEnd w:id="60211"/>
      <w:bookmarkEnd w:id="60212"/>
      <w:r>
        <w:rPr>
          <w:rFonts w:hint="cs"/>
          <w:rtl/>
        </w:rPr>
        <w:t xml:space="preserve">אבל </w:t>
      </w:r>
      <w:bookmarkStart w:id="60213" w:name="_ETM_Q111_666400"/>
      <w:bookmarkEnd w:id="60213"/>
      <w:r>
        <w:rPr>
          <w:rFonts w:hint="cs"/>
          <w:rtl/>
        </w:rPr>
        <w:t xml:space="preserve">להפוך </w:t>
      </w:r>
      <w:bookmarkStart w:id="60214" w:name="_ETM_Q111_666760"/>
      <w:bookmarkEnd w:id="60214"/>
      <w:r>
        <w:rPr>
          <w:rFonts w:hint="cs"/>
          <w:rtl/>
        </w:rPr>
        <w:t xml:space="preserve">את </w:t>
      </w:r>
      <w:bookmarkStart w:id="60215" w:name="_ETM_Q111_666879"/>
      <w:bookmarkEnd w:id="60215"/>
      <w:r>
        <w:rPr>
          <w:rFonts w:hint="cs"/>
          <w:rtl/>
        </w:rPr>
        <w:t xml:space="preserve">בית </w:t>
      </w:r>
      <w:bookmarkStart w:id="60216" w:name="_ETM_Q111_667060"/>
      <w:bookmarkEnd w:id="60216"/>
      <w:r>
        <w:rPr>
          <w:rFonts w:hint="cs"/>
          <w:rtl/>
        </w:rPr>
        <w:t xml:space="preserve">המשפט </w:t>
      </w:r>
      <w:bookmarkStart w:id="60217" w:name="_ETM_Q111_668510"/>
      <w:bookmarkStart w:id="60218" w:name="_ETM_Q111_669319"/>
      <w:bookmarkEnd w:id="60217"/>
      <w:bookmarkEnd w:id="60218"/>
      <w:r w:rsidR="00856D9C">
        <w:rPr>
          <w:rFonts w:hint="eastAsia"/>
          <w:rtl/>
        </w:rPr>
        <w:t>–</w:t>
      </w:r>
      <w:r w:rsidR="00856D9C">
        <w:rPr>
          <w:rFonts w:hint="cs"/>
          <w:rtl/>
        </w:rPr>
        <w:t xml:space="preserve"> </w:t>
      </w:r>
      <w:r>
        <w:rPr>
          <w:rFonts w:hint="cs"/>
          <w:rtl/>
        </w:rPr>
        <w:t xml:space="preserve">כמו </w:t>
      </w:r>
      <w:bookmarkStart w:id="60219" w:name="_ETM_Q111_669620"/>
      <w:bookmarkEnd w:id="60219"/>
      <w:r>
        <w:rPr>
          <w:rFonts w:hint="cs"/>
          <w:rtl/>
        </w:rPr>
        <w:t xml:space="preserve">שאנשים </w:t>
      </w:r>
      <w:bookmarkStart w:id="60220" w:name="_ETM_Q111_670040"/>
      <w:bookmarkEnd w:id="60220"/>
      <w:r>
        <w:rPr>
          <w:rFonts w:hint="cs"/>
          <w:rtl/>
        </w:rPr>
        <w:t xml:space="preserve">ימצאו </w:t>
      </w:r>
      <w:bookmarkStart w:id="60221" w:name="_ETM_Q111_670340"/>
      <w:bookmarkEnd w:id="60221"/>
      <w:r>
        <w:rPr>
          <w:rFonts w:hint="cs"/>
          <w:rtl/>
        </w:rPr>
        <w:t xml:space="preserve">לי </w:t>
      </w:r>
      <w:bookmarkStart w:id="60222" w:name="_ETM_Q111_670430"/>
      <w:bookmarkEnd w:id="60222"/>
      <w:r>
        <w:rPr>
          <w:rFonts w:hint="cs"/>
          <w:rtl/>
        </w:rPr>
        <w:t xml:space="preserve">דוגמאות </w:t>
      </w:r>
      <w:bookmarkStart w:id="60223" w:name="_ETM_Q111_670909"/>
      <w:bookmarkEnd w:id="60223"/>
      <w:r>
        <w:rPr>
          <w:rFonts w:hint="cs"/>
          <w:rtl/>
        </w:rPr>
        <w:t xml:space="preserve">לאיפה </w:t>
      </w:r>
      <w:bookmarkStart w:id="60224" w:name="_ETM_Q111_671890"/>
      <w:bookmarkEnd w:id="60224"/>
      <w:r>
        <w:rPr>
          <w:rFonts w:hint="cs"/>
          <w:rtl/>
        </w:rPr>
        <w:t xml:space="preserve">הוא התערב </w:t>
      </w:r>
      <w:bookmarkStart w:id="60225" w:name="_ETM_Q111_672370"/>
      <w:bookmarkEnd w:id="60225"/>
      <w:r>
        <w:rPr>
          <w:rFonts w:hint="cs"/>
          <w:rtl/>
        </w:rPr>
        <w:t xml:space="preserve">בזהות </w:t>
      </w:r>
      <w:bookmarkStart w:id="60226" w:name="_ETM_Q111_672730"/>
      <w:bookmarkEnd w:id="60226"/>
      <w:r>
        <w:rPr>
          <w:rFonts w:hint="cs"/>
          <w:rtl/>
        </w:rPr>
        <w:t xml:space="preserve">של </w:t>
      </w:r>
      <w:bookmarkStart w:id="60227" w:name="_ETM_Q111_672819"/>
      <w:bookmarkEnd w:id="60227"/>
      <w:r>
        <w:rPr>
          <w:rFonts w:hint="cs"/>
          <w:rtl/>
        </w:rPr>
        <w:t>המדינה</w:t>
      </w:r>
      <w:r w:rsidR="00856D9C">
        <w:rPr>
          <w:rFonts w:hint="cs"/>
          <w:rtl/>
        </w:rPr>
        <w:t>,</w:t>
      </w:r>
      <w:r>
        <w:rPr>
          <w:rFonts w:hint="cs"/>
          <w:rtl/>
        </w:rPr>
        <w:t xml:space="preserve"> </w:t>
      </w:r>
      <w:bookmarkStart w:id="60228" w:name="_ETM_Q111_673180"/>
      <w:bookmarkEnd w:id="60228"/>
      <w:r>
        <w:rPr>
          <w:rFonts w:hint="cs"/>
          <w:rtl/>
        </w:rPr>
        <w:t xml:space="preserve">אני </w:t>
      </w:r>
      <w:bookmarkStart w:id="60229" w:name="_ETM_Q111_673330"/>
      <w:bookmarkEnd w:id="60229"/>
      <w:r>
        <w:rPr>
          <w:rFonts w:hint="cs"/>
          <w:rtl/>
        </w:rPr>
        <w:t xml:space="preserve">אראה גם </w:t>
      </w:r>
      <w:bookmarkStart w:id="60230" w:name="_ETM_Q111_673690"/>
      <w:bookmarkEnd w:id="60230"/>
      <w:r>
        <w:rPr>
          <w:rFonts w:hint="cs"/>
          <w:rtl/>
        </w:rPr>
        <w:t xml:space="preserve">איפה </w:t>
      </w:r>
      <w:bookmarkStart w:id="60231" w:name="_ETM_Q111_674110"/>
      <w:bookmarkEnd w:id="60231"/>
      <w:r>
        <w:rPr>
          <w:rFonts w:hint="cs"/>
          <w:rtl/>
        </w:rPr>
        <w:t xml:space="preserve">הוא הגן </w:t>
      </w:r>
      <w:bookmarkStart w:id="60232" w:name="_ETM_Q111_674410"/>
      <w:bookmarkEnd w:id="60232"/>
      <w:r>
        <w:rPr>
          <w:rFonts w:hint="cs"/>
          <w:rtl/>
        </w:rPr>
        <w:t xml:space="preserve">על </w:t>
      </w:r>
      <w:bookmarkStart w:id="60233" w:name="_ETM_Q111_674530"/>
      <w:bookmarkEnd w:id="60233"/>
      <w:r>
        <w:rPr>
          <w:rFonts w:hint="cs"/>
          <w:rtl/>
        </w:rPr>
        <w:t xml:space="preserve">זהות </w:t>
      </w:r>
      <w:bookmarkStart w:id="60234" w:name="_ETM_Q111_674740"/>
      <w:bookmarkEnd w:id="60234"/>
      <w:r>
        <w:rPr>
          <w:rFonts w:hint="cs"/>
          <w:rtl/>
        </w:rPr>
        <w:t>המדינה,</w:t>
      </w:r>
      <w:bookmarkStart w:id="60235" w:name="_ETM_Q111_675370"/>
      <w:bookmarkEnd w:id="60235"/>
      <w:r>
        <w:rPr>
          <w:rFonts w:hint="cs"/>
          <w:rtl/>
        </w:rPr>
        <w:t xml:space="preserve"> </w:t>
      </w:r>
      <w:bookmarkStart w:id="60236" w:name="_ETM_Q111_675820"/>
      <w:bookmarkEnd w:id="60236"/>
      <w:r>
        <w:rPr>
          <w:rFonts w:hint="cs"/>
          <w:rtl/>
        </w:rPr>
        <w:t xml:space="preserve">לרבות </w:t>
      </w:r>
      <w:bookmarkStart w:id="60237" w:name="_ETM_Q111_676300"/>
      <w:bookmarkEnd w:id="60237"/>
      <w:r>
        <w:rPr>
          <w:rFonts w:hint="cs"/>
          <w:rtl/>
        </w:rPr>
        <w:t xml:space="preserve">העובדה </w:t>
      </w:r>
      <w:bookmarkStart w:id="60238" w:name="_ETM_Q111_676630"/>
      <w:bookmarkEnd w:id="60238"/>
      <w:r>
        <w:rPr>
          <w:rFonts w:hint="cs"/>
          <w:rtl/>
        </w:rPr>
        <w:t>ש</w:t>
      </w:r>
      <w:bookmarkStart w:id="60239" w:name="_ETM_Q111_676900"/>
      <w:bookmarkEnd w:id="60239"/>
      <w:r>
        <w:rPr>
          <w:rFonts w:hint="cs"/>
          <w:rtl/>
        </w:rPr>
        <w:t xml:space="preserve">אנחנו </w:t>
      </w:r>
      <w:bookmarkStart w:id="60240" w:name="_ETM_Q111_677470"/>
      <w:bookmarkEnd w:id="60240"/>
      <w:r>
        <w:rPr>
          <w:rFonts w:hint="cs"/>
          <w:rtl/>
        </w:rPr>
        <w:t xml:space="preserve">יכולים </w:t>
      </w:r>
      <w:bookmarkStart w:id="60241" w:name="_ETM_Q111_678220"/>
      <w:bookmarkEnd w:id="60241"/>
      <w:r>
        <w:rPr>
          <w:rFonts w:hint="cs"/>
          <w:rtl/>
        </w:rPr>
        <w:t xml:space="preserve">לפעול </w:t>
      </w:r>
      <w:bookmarkStart w:id="60242" w:name="_ETM_Q111_678640"/>
      <w:bookmarkEnd w:id="60242"/>
      <w:r>
        <w:rPr>
          <w:rFonts w:hint="cs"/>
          <w:rtl/>
        </w:rPr>
        <w:t xml:space="preserve">במישור </w:t>
      </w:r>
      <w:bookmarkStart w:id="60243" w:name="_ETM_Q111_679150"/>
      <w:bookmarkEnd w:id="60243"/>
      <w:r>
        <w:rPr>
          <w:rFonts w:hint="cs"/>
          <w:rtl/>
        </w:rPr>
        <w:t xml:space="preserve">הבין-לאומי </w:t>
      </w:r>
      <w:bookmarkStart w:id="60244" w:name="_ETM_Q111_679690"/>
      <w:bookmarkEnd w:id="60244"/>
      <w:r>
        <w:rPr>
          <w:rFonts w:hint="cs"/>
          <w:rtl/>
        </w:rPr>
        <w:t xml:space="preserve">ולפעול </w:t>
      </w:r>
      <w:bookmarkStart w:id="60245" w:name="_ETM_Q111_680110"/>
      <w:bookmarkEnd w:id="60245"/>
      <w:r>
        <w:rPr>
          <w:rFonts w:hint="cs"/>
          <w:rtl/>
        </w:rPr>
        <w:t xml:space="preserve">במישור </w:t>
      </w:r>
      <w:bookmarkStart w:id="60246" w:name="_ETM_Q111_680530"/>
      <w:bookmarkEnd w:id="60246"/>
      <w:r>
        <w:rPr>
          <w:rFonts w:hint="cs"/>
          <w:rtl/>
        </w:rPr>
        <w:t xml:space="preserve">הביטחוני </w:t>
      </w:r>
      <w:bookmarkStart w:id="60247" w:name="_ETM_Q111_680980"/>
      <w:bookmarkEnd w:id="60247"/>
      <w:r>
        <w:rPr>
          <w:rFonts w:hint="cs"/>
          <w:rtl/>
        </w:rPr>
        <w:t xml:space="preserve">כמו </w:t>
      </w:r>
      <w:bookmarkStart w:id="60248" w:name="_ETM_Q111_681220"/>
      <w:bookmarkEnd w:id="60248"/>
      <w:r>
        <w:rPr>
          <w:rFonts w:hint="cs"/>
          <w:rtl/>
        </w:rPr>
        <w:t xml:space="preserve">שאנחנו </w:t>
      </w:r>
      <w:bookmarkStart w:id="60249" w:name="_ETM_Q111_681700"/>
      <w:bookmarkEnd w:id="60249"/>
      <w:r>
        <w:rPr>
          <w:rFonts w:hint="cs"/>
          <w:rtl/>
        </w:rPr>
        <w:t xml:space="preserve">היום </w:t>
      </w:r>
      <w:bookmarkStart w:id="60250" w:name="_ETM_Q111_682270"/>
      <w:bookmarkStart w:id="60251" w:name="_ETM_Q111_682480"/>
      <w:bookmarkEnd w:id="60250"/>
      <w:bookmarkEnd w:id="60251"/>
      <w:r>
        <w:rPr>
          <w:rFonts w:hint="cs"/>
          <w:rtl/>
        </w:rPr>
        <w:t xml:space="preserve">רק </w:t>
      </w:r>
      <w:bookmarkStart w:id="60252" w:name="_ETM_Q111_682690"/>
      <w:bookmarkEnd w:id="60252"/>
      <w:r>
        <w:rPr>
          <w:rFonts w:hint="cs"/>
          <w:rtl/>
        </w:rPr>
        <w:t xml:space="preserve">בזכות </w:t>
      </w:r>
      <w:bookmarkStart w:id="60253" w:name="_ETM_Q111_682960"/>
      <w:bookmarkEnd w:id="60253"/>
      <w:r>
        <w:rPr>
          <w:rFonts w:hint="cs"/>
          <w:rtl/>
        </w:rPr>
        <w:t xml:space="preserve">בית </w:t>
      </w:r>
      <w:bookmarkStart w:id="60254" w:name="_ETM_Q111_683140"/>
      <w:bookmarkEnd w:id="60254"/>
      <w:r>
        <w:rPr>
          <w:rFonts w:hint="cs"/>
          <w:rtl/>
        </w:rPr>
        <w:t xml:space="preserve">המשפט. </w:t>
      </w:r>
      <w:bookmarkStart w:id="60255" w:name="_ETM_Q111_684130"/>
      <w:bookmarkEnd w:id="60255"/>
      <w:r>
        <w:rPr>
          <w:rFonts w:hint="cs"/>
          <w:rtl/>
        </w:rPr>
        <w:t xml:space="preserve">כשפסלו </w:t>
      </w:r>
      <w:bookmarkStart w:id="60256" w:name="_ETM_Q111_684670"/>
      <w:bookmarkEnd w:id="60256"/>
      <w:r>
        <w:rPr>
          <w:rFonts w:hint="cs"/>
          <w:rtl/>
        </w:rPr>
        <w:t xml:space="preserve">את </w:t>
      </w:r>
      <w:bookmarkStart w:id="60257" w:name="_ETM_Q111_684790"/>
      <w:bookmarkStart w:id="60258" w:name="_ETM_Q111_685240"/>
      <w:bookmarkStart w:id="60259" w:name="_ETM_Q111_685420"/>
      <w:bookmarkEnd w:id="60257"/>
      <w:bookmarkEnd w:id="60258"/>
      <w:bookmarkEnd w:id="60259"/>
      <w:r>
        <w:rPr>
          <w:rFonts w:hint="cs"/>
          <w:rtl/>
        </w:rPr>
        <w:t xml:space="preserve">תוואי </w:t>
      </w:r>
      <w:bookmarkStart w:id="60260" w:name="_ETM_Q111_685690"/>
      <w:bookmarkEnd w:id="60260"/>
      <w:r>
        <w:rPr>
          <w:rFonts w:hint="cs"/>
          <w:rtl/>
        </w:rPr>
        <w:t xml:space="preserve">גדר </w:t>
      </w:r>
      <w:bookmarkStart w:id="60261" w:name="_ETM_Q111_685990"/>
      <w:bookmarkEnd w:id="60261"/>
      <w:r>
        <w:rPr>
          <w:rFonts w:hint="cs"/>
          <w:rtl/>
        </w:rPr>
        <w:t xml:space="preserve">ההפרדה, </w:t>
      </w:r>
      <w:bookmarkStart w:id="60262" w:name="_ETM_Q111_686410"/>
      <w:bookmarkStart w:id="60263" w:name="_ETM_Q111_686530"/>
      <w:bookmarkEnd w:id="60262"/>
      <w:bookmarkEnd w:id="60263"/>
      <w:r>
        <w:rPr>
          <w:rFonts w:hint="cs"/>
          <w:rtl/>
        </w:rPr>
        <w:t xml:space="preserve">בית </w:t>
      </w:r>
      <w:bookmarkStart w:id="60264" w:name="_ETM_Q111_686709"/>
      <w:bookmarkEnd w:id="60264"/>
      <w:r>
        <w:rPr>
          <w:rFonts w:hint="cs"/>
          <w:rtl/>
        </w:rPr>
        <w:t xml:space="preserve">המשפט </w:t>
      </w:r>
      <w:bookmarkStart w:id="60265" w:name="_ETM_Q111_687100"/>
      <w:bookmarkEnd w:id="60265"/>
      <w:r w:rsidR="00856D9C">
        <w:rPr>
          <w:rFonts w:hint="cs"/>
          <w:rtl/>
        </w:rPr>
        <w:t xml:space="preserve">הוא </w:t>
      </w:r>
      <w:r>
        <w:rPr>
          <w:rFonts w:hint="cs"/>
          <w:rtl/>
        </w:rPr>
        <w:t>שישב</w:t>
      </w:r>
      <w:bookmarkStart w:id="60266" w:name="_ETM_Q111_688030"/>
      <w:bookmarkStart w:id="60267" w:name="_ETM_Q111_688480"/>
      <w:bookmarkEnd w:id="60266"/>
      <w:bookmarkEnd w:id="60267"/>
      <w:r>
        <w:rPr>
          <w:rFonts w:hint="cs"/>
          <w:rtl/>
        </w:rPr>
        <w:t xml:space="preserve"> </w:t>
      </w:r>
      <w:bookmarkStart w:id="60268" w:name="_ETM_Q111_688959"/>
      <w:bookmarkEnd w:id="60268"/>
      <w:r>
        <w:rPr>
          <w:rFonts w:hint="cs"/>
          <w:rtl/>
        </w:rPr>
        <w:t xml:space="preserve">והתעמק. </w:t>
      </w:r>
      <w:bookmarkStart w:id="60269" w:name="_ETM_Q111_689800"/>
      <w:bookmarkEnd w:id="60269"/>
      <w:r>
        <w:rPr>
          <w:rFonts w:hint="cs"/>
          <w:rtl/>
        </w:rPr>
        <w:t xml:space="preserve">בג"ץ </w:t>
      </w:r>
      <w:bookmarkStart w:id="60270" w:name="_ETM_Q111_690370"/>
      <w:bookmarkEnd w:id="60270"/>
      <w:r>
        <w:rPr>
          <w:rFonts w:hint="cs"/>
          <w:rtl/>
        </w:rPr>
        <w:t>שלנו</w:t>
      </w:r>
      <w:bookmarkStart w:id="60271" w:name="_ETM_Q111_690730"/>
      <w:bookmarkEnd w:id="60271"/>
      <w:r>
        <w:rPr>
          <w:rFonts w:hint="cs"/>
          <w:rtl/>
        </w:rPr>
        <w:t xml:space="preserve">, בזכותו </w:t>
      </w:r>
      <w:bookmarkStart w:id="60272" w:name="_ETM_Q111_691330"/>
      <w:bookmarkEnd w:id="60272"/>
      <w:r>
        <w:rPr>
          <w:rFonts w:hint="cs"/>
          <w:rtl/>
        </w:rPr>
        <w:t xml:space="preserve">בסוף </w:t>
      </w:r>
      <w:bookmarkStart w:id="60273" w:name="_ETM_Q111_691930"/>
      <w:bookmarkEnd w:id="60273"/>
      <w:r>
        <w:rPr>
          <w:rFonts w:hint="cs"/>
          <w:rtl/>
        </w:rPr>
        <w:t xml:space="preserve">כל </w:t>
      </w:r>
      <w:bookmarkStart w:id="60274" w:name="_ETM_Q111_692170"/>
      <w:bookmarkEnd w:id="60274"/>
      <w:r>
        <w:rPr>
          <w:rFonts w:hint="cs"/>
          <w:rtl/>
        </w:rPr>
        <w:t xml:space="preserve">הדבר </w:t>
      </w:r>
      <w:bookmarkStart w:id="60275" w:name="_ETM_Q111_692410"/>
      <w:bookmarkEnd w:id="60275"/>
      <w:r>
        <w:rPr>
          <w:rFonts w:hint="cs"/>
          <w:rtl/>
        </w:rPr>
        <w:t xml:space="preserve">הזה </w:t>
      </w:r>
      <w:bookmarkStart w:id="60276" w:name="_ETM_Q111_692590"/>
      <w:bookmarkEnd w:id="60276"/>
      <w:r>
        <w:rPr>
          <w:rFonts w:hint="cs"/>
          <w:rtl/>
        </w:rPr>
        <w:t xml:space="preserve">נפתר </w:t>
      </w:r>
      <w:bookmarkStart w:id="60277" w:name="_ETM_Q111_693400"/>
      <w:bookmarkEnd w:id="60277"/>
      <w:r>
        <w:rPr>
          <w:rFonts w:hint="cs"/>
          <w:rtl/>
        </w:rPr>
        <w:t xml:space="preserve">ברמה </w:t>
      </w:r>
      <w:bookmarkStart w:id="60278" w:name="_ETM_Q111_694120"/>
      <w:bookmarkEnd w:id="60278"/>
      <w:r>
        <w:rPr>
          <w:rFonts w:hint="cs"/>
          <w:rtl/>
        </w:rPr>
        <w:t xml:space="preserve">הבין-לאומית, </w:t>
      </w:r>
      <w:bookmarkStart w:id="60279" w:name="_ETM_Q111_694750"/>
      <w:bookmarkEnd w:id="60279"/>
      <w:r>
        <w:rPr>
          <w:rFonts w:hint="cs"/>
          <w:rtl/>
        </w:rPr>
        <w:t>בקהילה</w:t>
      </w:r>
      <w:bookmarkStart w:id="60280" w:name="_ETM_Q111_695260"/>
      <w:bookmarkEnd w:id="60280"/>
      <w:r>
        <w:rPr>
          <w:rFonts w:hint="cs"/>
          <w:rtl/>
        </w:rPr>
        <w:t xml:space="preserve"> </w:t>
      </w:r>
      <w:bookmarkStart w:id="60281" w:name="_ETM_Q111_695770"/>
      <w:bookmarkEnd w:id="60281"/>
      <w:r>
        <w:rPr>
          <w:rFonts w:hint="cs"/>
          <w:rtl/>
        </w:rPr>
        <w:t xml:space="preserve">הבין-לאומית. </w:t>
      </w:r>
      <w:bookmarkStart w:id="60282" w:name="_ETM_Q111_696580"/>
      <w:bookmarkEnd w:id="60282"/>
      <w:r>
        <w:rPr>
          <w:rFonts w:hint="cs"/>
          <w:rtl/>
        </w:rPr>
        <w:t xml:space="preserve">כי </w:t>
      </w:r>
      <w:bookmarkStart w:id="60283" w:name="_ETM_Q111_696819"/>
      <w:bookmarkEnd w:id="60283"/>
      <w:r>
        <w:rPr>
          <w:rFonts w:hint="cs"/>
          <w:rtl/>
        </w:rPr>
        <w:t xml:space="preserve">בג"ץ </w:t>
      </w:r>
      <w:bookmarkStart w:id="60284" w:name="_ETM_Q111_697209"/>
      <w:bookmarkEnd w:id="60284"/>
      <w:r>
        <w:rPr>
          <w:rFonts w:hint="cs"/>
          <w:rtl/>
        </w:rPr>
        <w:t xml:space="preserve">עבר </w:t>
      </w:r>
      <w:bookmarkStart w:id="60285" w:name="_ETM_Q111_697569"/>
      <w:bookmarkEnd w:id="60285"/>
      <w:r>
        <w:rPr>
          <w:rFonts w:hint="cs"/>
          <w:rtl/>
        </w:rPr>
        <w:t xml:space="preserve">על </w:t>
      </w:r>
      <w:bookmarkStart w:id="60286" w:name="_ETM_Q111_697660"/>
      <w:bookmarkEnd w:id="60286"/>
      <w:r>
        <w:rPr>
          <w:rFonts w:hint="cs"/>
          <w:rtl/>
        </w:rPr>
        <w:t xml:space="preserve">המתווה. </w:t>
      </w:r>
      <w:bookmarkStart w:id="60287" w:name="_ETM_Q111_698410"/>
      <w:bookmarkStart w:id="60288" w:name="_ETM_Q111_696000"/>
      <w:bookmarkStart w:id="60289" w:name="_ETM_Q111_697000"/>
      <w:bookmarkEnd w:id="60287"/>
      <w:bookmarkEnd w:id="60288"/>
      <w:bookmarkEnd w:id="60289"/>
      <w:r>
        <w:rPr>
          <w:rFonts w:hint="cs"/>
          <w:rtl/>
        </w:rPr>
        <w:t xml:space="preserve">אז </w:t>
      </w:r>
      <w:bookmarkStart w:id="60290" w:name="_ETM_Q111_698620"/>
      <w:bookmarkEnd w:id="60290"/>
      <w:r>
        <w:rPr>
          <w:rFonts w:hint="cs"/>
          <w:rtl/>
        </w:rPr>
        <w:t xml:space="preserve">בג"ץ </w:t>
      </w:r>
      <w:bookmarkStart w:id="60291" w:name="_ETM_Q111_699010"/>
      <w:bookmarkEnd w:id="60291"/>
      <w:r>
        <w:rPr>
          <w:rFonts w:hint="cs"/>
          <w:rtl/>
        </w:rPr>
        <w:t xml:space="preserve">לא </w:t>
      </w:r>
      <w:bookmarkStart w:id="60292" w:name="_ETM_Q111_699160"/>
      <w:bookmarkEnd w:id="60292"/>
      <w:r>
        <w:rPr>
          <w:rFonts w:hint="cs"/>
          <w:rtl/>
        </w:rPr>
        <w:t xml:space="preserve">מתיימר </w:t>
      </w:r>
      <w:bookmarkStart w:id="60293" w:name="_ETM_Q111_699670"/>
      <w:bookmarkEnd w:id="60293"/>
      <w:r>
        <w:rPr>
          <w:rFonts w:hint="cs"/>
          <w:rtl/>
        </w:rPr>
        <w:t xml:space="preserve">להכריע </w:t>
      </w:r>
      <w:bookmarkStart w:id="60294" w:name="_ETM_Q111_700239"/>
      <w:bookmarkEnd w:id="60294"/>
      <w:r>
        <w:rPr>
          <w:rFonts w:hint="cs"/>
          <w:rtl/>
        </w:rPr>
        <w:t xml:space="preserve">מתי </w:t>
      </w:r>
      <w:bookmarkStart w:id="60295" w:name="_ETM_Q111_700959"/>
      <w:bookmarkEnd w:id="60295"/>
      <w:r>
        <w:rPr>
          <w:rFonts w:hint="cs"/>
          <w:rtl/>
        </w:rPr>
        <w:t xml:space="preserve">צריך </w:t>
      </w:r>
      <w:bookmarkStart w:id="60296" w:name="_ETM_Q111_701350"/>
      <w:bookmarkEnd w:id="60296"/>
      <w:r>
        <w:rPr>
          <w:rFonts w:hint="cs"/>
          <w:rtl/>
        </w:rPr>
        <w:t xml:space="preserve">לצאת </w:t>
      </w:r>
      <w:bookmarkStart w:id="60297" w:name="_ETM_Q111_701650"/>
      <w:bookmarkEnd w:id="60297"/>
      <w:r>
        <w:rPr>
          <w:rFonts w:hint="cs"/>
          <w:rtl/>
        </w:rPr>
        <w:t xml:space="preserve">למלחמה </w:t>
      </w:r>
      <w:bookmarkStart w:id="60298" w:name="_ETM_Q111_702160"/>
      <w:bookmarkEnd w:id="60298"/>
      <w:r>
        <w:rPr>
          <w:rFonts w:hint="cs"/>
          <w:rtl/>
        </w:rPr>
        <w:t xml:space="preserve">ומתי </w:t>
      </w:r>
      <w:bookmarkStart w:id="60299" w:name="_ETM_Q111_702550"/>
      <w:bookmarkEnd w:id="60299"/>
      <w:r>
        <w:rPr>
          <w:rFonts w:hint="cs"/>
          <w:rtl/>
        </w:rPr>
        <w:t xml:space="preserve">זה </w:t>
      </w:r>
      <w:bookmarkStart w:id="60300" w:name="_ETM_Q111_702640"/>
      <w:bookmarkEnd w:id="60300"/>
      <w:r>
        <w:rPr>
          <w:rFonts w:hint="cs"/>
          <w:rtl/>
        </w:rPr>
        <w:t xml:space="preserve">בסדר. </w:t>
      </w:r>
      <w:bookmarkStart w:id="60301" w:name="_ETM_Q111_703360"/>
      <w:bookmarkEnd w:id="60301"/>
      <w:r>
        <w:rPr>
          <w:rFonts w:hint="cs"/>
          <w:rtl/>
        </w:rPr>
        <w:t xml:space="preserve">הוא </w:t>
      </w:r>
      <w:bookmarkStart w:id="60302" w:name="_ETM_Q111_703480"/>
      <w:bookmarkEnd w:id="60302"/>
      <w:r>
        <w:rPr>
          <w:rFonts w:hint="cs"/>
          <w:rtl/>
        </w:rPr>
        <w:t xml:space="preserve">מנסה </w:t>
      </w:r>
      <w:bookmarkStart w:id="60303" w:name="_ETM_Q111_704170"/>
      <w:bookmarkEnd w:id="60303"/>
      <w:r>
        <w:rPr>
          <w:rFonts w:hint="cs"/>
          <w:rtl/>
        </w:rPr>
        <w:t xml:space="preserve">לייצר </w:t>
      </w:r>
      <w:bookmarkStart w:id="60304" w:name="_ETM_Q111_704739"/>
      <w:bookmarkEnd w:id="60304"/>
      <w:r>
        <w:rPr>
          <w:rFonts w:hint="cs"/>
          <w:rtl/>
        </w:rPr>
        <w:t xml:space="preserve">כלים </w:t>
      </w:r>
      <w:bookmarkStart w:id="60305" w:name="_ETM_Q111_705309"/>
      <w:bookmarkEnd w:id="60305"/>
      <w:r>
        <w:rPr>
          <w:rFonts w:hint="cs"/>
          <w:rtl/>
        </w:rPr>
        <w:t xml:space="preserve">ברורים </w:t>
      </w:r>
      <w:bookmarkStart w:id="60306" w:name="_ETM_Q111_706150"/>
      <w:bookmarkEnd w:id="60306"/>
      <w:r>
        <w:rPr>
          <w:rFonts w:hint="cs"/>
          <w:rtl/>
        </w:rPr>
        <w:t xml:space="preserve">לאיך </w:t>
      </w:r>
      <w:bookmarkStart w:id="60307" w:name="_ETM_Q111_706630"/>
      <w:bookmarkEnd w:id="60307"/>
      <w:r>
        <w:rPr>
          <w:rFonts w:hint="cs"/>
          <w:rtl/>
        </w:rPr>
        <w:t xml:space="preserve">החלטות </w:t>
      </w:r>
      <w:bookmarkStart w:id="60308" w:name="_ETM_Q111_707080"/>
      <w:bookmarkEnd w:id="60308"/>
      <w:r>
        <w:rPr>
          <w:rFonts w:hint="cs"/>
          <w:rtl/>
        </w:rPr>
        <w:t xml:space="preserve">מתקבלות </w:t>
      </w:r>
      <w:bookmarkStart w:id="60309" w:name="_ETM_Q111_707679"/>
      <w:bookmarkEnd w:id="60309"/>
      <w:r>
        <w:rPr>
          <w:rFonts w:hint="cs"/>
          <w:rtl/>
        </w:rPr>
        <w:t xml:space="preserve">בצורה </w:t>
      </w:r>
      <w:bookmarkStart w:id="60310" w:name="_ETM_Q111_708730"/>
      <w:bookmarkEnd w:id="60310"/>
      <w:r>
        <w:rPr>
          <w:rFonts w:hint="cs"/>
          <w:rtl/>
        </w:rPr>
        <w:t xml:space="preserve">לגיטימית, </w:t>
      </w:r>
      <w:bookmarkStart w:id="60311" w:name="_ETM_Q111_709390"/>
      <w:bookmarkEnd w:id="60311"/>
      <w:r>
        <w:rPr>
          <w:rFonts w:hint="cs"/>
          <w:rtl/>
        </w:rPr>
        <w:t xml:space="preserve">פרוצדורלית, </w:t>
      </w:r>
      <w:bookmarkStart w:id="60312" w:name="_ETM_Q111_710660"/>
      <w:bookmarkEnd w:id="60312"/>
      <w:r>
        <w:rPr>
          <w:rFonts w:hint="cs"/>
          <w:rtl/>
        </w:rPr>
        <w:t xml:space="preserve">ואיך </w:t>
      </w:r>
      <w:bookmarkStart w:id="60313" w:name="_ETM_Q111_711080"/>
      <w:bookmarkEnd w:id="60313"/>
      <w:r>
        <w:rPr>
          <w:rFonts w:hint="cs"/>
          <w:rtl/>
        </w:rPr>
        <w:t xml:space="preserve">זה </w:t>
      </w:r>
      <w:bookmarkStart w:id="60314" w:name="_ETM_Q111_711230"/>
      <w:bookmarkEnd w:id="60314"/>
      <w:r>
        <w:rPr>
          <w:rFonts w:hint="cs"/>
          <w:rtl/>
        </w:rPr>
        <w:t xml:space="preserve">עומד </w:t>
      </w:r>
      <w:bookmarkStart w:id="60315" w:name="_ETM_Q111_711710"/>
      <w:bookmarkEnd w:id="60315"/>
      <w:r>
        <w:rPr>
          <w:rFonts w:hint="cs"/>
          <w:rtl/>
        </w:rPr>
        <w:t xml:space="preserve">יחד </w:t>
      </w:r>
      <w:bookmarkStart w:id="60316" w:name="_ETM_Q111_712190"/>
      <w:bookmarkEnd w:id="60316"/>
      <w:r>
        <w:rPr>
          <w:rFonts w:hint="cs"/>
          <w:rtl/>
        </w:rPr>
        <w:t xml:space="preserve">עם </w:t>
      </w:r>
      <w:bookmarkStart w:id="60317" w:name="_ETM_Q111_712340"/>
      <w:bookmarkEnd w:id="60317"/>
      <w:r>
        <w:rPr>
          <w:rFonts w:hint="cs"/>
          <w:rtl/>
        </w:rPr>
        <w:t xml:space="preserve">הערכים </w:t>
      </w:r>
      <w:bookmarkStart w:id="60318" w:name="_ETM_Q111_712880"/>
      <w:bookmarkEnd w:id="60318"/>
      <w:r>
        <w:rPr>
          <w:rFonts w:hint="cs"/>
          <w:rtl/>
        </w:rPr>
        <w:t xml:space="preserve">שהוגדרו </w:t>
      </w:r>
      <w:bookmarkStart w:id="60319" w:name="_ETM_Q111_713480"/>
      <w:bookmarkEnd w:id="60319"/>
      <w:r>
        <w:rPr>
          <w:rFonts w:hint="cs"/>
          <w:rtl/>
        </w:rPr>
        <w:t>פה</w:t>
      </w:r>
      <w:bookmarkStart w:id="60320" w:name="_ETM_Q111_714900"/>
      <w:bookmarkEnd w:id="60320"/>
      <w:r>
        <w:rPr>
          <w:rFonts w:hint="cs"/>
          <w:rtl/>
        </w:rPr>
        <w:t xml:space="preserve">. </w:t>
      </w:r>
    </w:p>
    <w:p w:rsidR="00BB59CD" w:rsidRDefault="00BB59CD" w:rsidP="00BB59CD">
      <w:pPr>
        <w:rPr>
          <w:rtl/>
        </w:rPr>
      </w:pPr>
      <w:bookmarkStart w:id="60321" w:name="_ETM_Q111_723373"/>
      <w:bookmarkStart w:id="60322" w:name="_ETM_Q111_723457"/>
      <w:bookmarkEnd w:id="60321"/>
      <w:bookmarkEnd w:id="60322"/>
    </w:p>
    <w:p w:rsidR="00BB59CD" w:rsidRDefault="00BB59CD" w:rsidP="00856D9C">
      <w:pPr>
        <w:rPr>
          <w:rtl/>
        </w:rPr>
      </w:pPr>
      <w:bookmarkStart w:id="60323" w:name="_ETM_Q111_723565"/>
      <w:bookmarkStart w:id="60324" w:name="_ETM_Q111_723649"/>
      <w:bookmarkEnd w:id="60323"/>
      <w:bookmarkEnd w:id="60324"/>
      <w:r>
        <w:rPr>
          <w:rFonts w:hint="cs"/>
          <w:rtl/>
        </w:rPr>
        <w:t xml:space="preserve">אני </w:t>
      </w:r>
      <w:bookmarkStart w:id="60325" w:name="_ETM_Q111_715139"/>
      <w:bookmarkEnd w:id="60325"/>
      <w:r>
        <w:rPr>
          <w:rFonts w:hint="cs"/>
          <w:rtl/>
        </w:rPr>
        <w:t xml:space="preserve">חושב </w:t>
      </w:r>
      <w:bookmarkStart w:id="60326" w:name="_ETM_Q111_715950"/>
      <w:bookmarkEnd w:id="60326"/>
      <w:r>
        <w:rPr>
          <w:rFonts w:hint="cs"/>
          <w:rtl/>
        </w:rPr>
        <w:t xml:space="preserve">שבמשך </w:t>
      </w:r>
      <w:bookmarkStart w:id="60327" w:name="_ETM_Q111_716549"/>
      <w:bookmarkEnd w:id="60327"/>
      <w:r>
        <w:rPr>
          <w:rFonts w:hint="cs"/>
          <w:rtl/>
        </w:rPr>
        <w:t xml:space="preserve">שנים </w:t>
      </w:r>
      <w:bookmarkStart w:id="60328" w:name="_ETM_Q111_717059"/>
      <w:bookmarkEnd w:id="60328"/>
      <w:r>
        <w:rPr>
          <w:rFonts w:hint="cs"/>
          <w:rtl/>
        </w:rPr>
        <w:t xml:space="preserve">הרעילו </w:t>
      </w:r>
      <w:bookmarkStart w:id="60329" w:name="_ETM_Q111_717569"/>
      <w:bookmarkEnd w:id="60329"/>
      <w:r>
        <w:rPr>
          <w:rFonts w:hint="cs"/>
          <w:rtl/>
        </w:rPr>
        <w:t xml:space="preserve">פה </w:t>
      </w:r>
      <w:bookmarkStart w:id="60330" w:name="_ETM_Q111_718200"/>
      <w:bookmarkEnd w:id="60330"/>
      <w:r>
        <w:rPr>
          <w:rFonts w:hint="cs"/>
          <w:rtl/>
        </w:rPr>
        <w:t xml:space="preserve">דורות </w:t>
      </w:r>
      <w:bookmarkStart w:id="60331" w:name="_ETM_Q111_718650"/>
      <w:bookmarkEnd w:id="60331"/>
      <w:r>
        <w:rPr>
          <w:rFonts w:hint="cs"/>
          <w:rtl/>
        </w:rPr>
        <w:t xml:space="preserve">שלמים, </w:t>
      </w:r>
      <w:bookmarkStart w:id="60332" w:name="_ETM_Q111_719129"/>
      <w:bookmarkEnd w:id="60332"/>
      <w:r>
        <w:rPr>
          <w:rFonts w:hint="cs"/>
          <w:rtl/>
        </w:rPr>
        <w:t xml:space="preserve">לפחות </w:t>
      </w:r>
      <w:bookmarkStart w:id="60333" w:name="_ETM_Q111_719519"/>
      <w:bookmarkEnd w:id="60333"/>
      <w:r>
        <w:rPr>
          <w:rFonts w:hint="cs"/>
          <w:rtl/>
        </w:rPr>
        <w:t xml:space="preserve">שני </w:t>
      </w:r>
      <w:bookmarkStart w:id="60334" w:name="_ETM_Q111_719760"/>
      <w:bookmarkEnd w:id="60334"/>
      <w:r>
        <w:rPr>
          <w:rFonts w:hint="cs"/>
          <w:rtl/>
        </w:rPr>
        <w:t xml:space="preserve">דורות, </w:t>
      </w:r>
      <w:bookmarkStart w:id="60335" w:name="_ETM_Q111_720389"/>
      <w:bookmarkEnd w:id="60335"/>
      <w:r>
        <w:rPr>
          <w:rFonts w:hint="cs"/>
          <w:rtl/>
        </w:rPr>
        <w:t xml:space="preserve">נגד </w:t>
      </w:r>
      <w:bookmarkStart w:id="60336" w:name="_ETM_Q111_720689"/>
      <w:bookmarkEnd w:id="60336"/>
      <w:r>
        <w:rPr>
          <w:rFonts w:hint="cs"/>
          <w:rtl/>
        </w:rPr>
        <w:t xml:space="preserve">בית </w:t>
      </w:r>
      <w:bookmarkStart w:id="60337" w:name="_ETM_Q111_720900"/>
      <w:bookmarkEnd w:id="60337"/>
      <w:r>
        <w:rPr>
          <w:rFonts w:hint="cs"/>
          <w:rtl/>
        </w:rPr>
        <w:t xml:space="preserve">המשפט </w:t>
      </w:r>
      <w:bookmarkStart w:id="60338" w:name="_ETM_Q111_721349"/>
      <w:bookmarkEnd w:id="60338"/>
      <w:r>
        <w:rPr>
          <w:rFonts w:hint="cs"/>
          <w:rtl/>
        </w:rPr>
        <w:t xml:space="preserve">העליון. </w:t>
      </w:r>
      <w:bookmarkStart w:id="60339" w:name="_ETM_Q111_722200"/>
      <w:bookmarkEnd w:id="60339"/>
      <w:r>
        <w:rPr>
          <w:rFonts w:hint="cs"/>
          <w:rtl/>
        </w:rPr>
        <w:t xml:space="preserve">הטרגדיה </w:t>
      </w:r>
      <w:bookmarkStart w:id="60340" w:name="_ETM_Q111_726000"/>
      <w:bookmarkEnd w:id="60340"/>
      <w:r>
        <w:rPr>
          <w:rFonts w:hint="cs"/>
          <w:rtl/>
        </w:rPr>
        <w:t xml:space="preserve">היא </w:t>
      </w:r>
      <w:bookmarkStart w:id="60341" w:name="_ETM_Q111_723579"/>
      <w:bookmarkEnd w:id="60341"/>
      <w:r>
        <w:rPr>
          <w:rFonts w:hint="cs"/>
          <w:rtl/>
        </w:rPr>
        <w:t xml:space="preserve">שאני </w:t>
      </w:r>
      <w:bookmarkStart w:id="60342" w:name="_ETM_Q111_724029"/>
      <w:bookmarkEnd w:id="60342"/>
      <w:r>
        <w:rPr>
          <w:rFonts w:hint="cs"/>
          <w:rtl/>
        </w:rPr>
        <w:t xml:space="preserve">כמשפטן </w:t>
      </w:r>
      <w:bookmarkStart w:id="60343" w:name="_ETM_Q111_725200"/>
      <w:bookmarkEnd w:id="60343"/>
      <w:r>
        <w:rPr>
          <w:rFonts w:hint="cs"/>
          <w:rtl/>
        </w:rPr>
        <w:t xml:space="preserve">יכול </w:t>
      </w:r>
      <w:bookmarkStart w:id="60344" w:name="_ETM_Q111_725499"/>
      <w:bookmarkEnd w:id="60344"/>
      <w:r>
        <w:rPr>
          <w:rFonts w:hint="cs"/>
          <w:rtl/>
        </w:rPr>
        <w:t xml:space="preserve">לתת </w:t>
      </w:r>
      <w:bookmarkStart w:id="60345" w:name="_ETM_Q111_725739"/>
      <w:bookmarkEnd w:id="60345"/>
      <w:r>
        <w:rPr>
          <w:rFonts w:hint="cs"/>
          <w:rtl/>
        </w:rPr>
        <w:t>לכל</w:t>
      </w:r>
      <w:bookmarkStart w:id="60346" w:name="_ETM_Q111_726069"/>
      <w:bookmarkEnd w:id="60346"/>
      <w:r>
        <w:rPr>
          <w:rFonts w:hint="cs"/>
          <w:rtl/>
        </w:rPr>
        <w:t xml:space="preserve"> אחד </w:t>
      </w:r>
      <w:bookmarkStart w:id="60347" w:name="_ETM_Q111_726340"/>
      <w:bookmarkEnd w:id="60347"/>
      <w:r>
        <w:rPr>
          <w:rFonts w:hint="cs"/>
          <w:rtl/>
        </w:rPr>
        <w:t xml:space="preserve">שיבוא </w:t>
      </w:r>
      <w:bookmarkStart w:id="60348" w:name="_ETM_Q111_726730"/>
      <w:bookmarkEnd w:id="60348"/>
      <w:r>
        <w:rPr>
          <w:rFonts w:hint="cs"/>
          <w:rtl/>
        </w:rPr>
        <w:t>אליי</w:t>
      </w:r>
      <w:bookmarkStart w:id="60349" w:name="_ETM_Q111_727359"/>
      <w:bookmarkEnd w:id="60349"/>
      <w:r>
        <w:rPr>
          <w:rFonts w:hint="cs"/>
          <w:rtl/>
        </w:rPr>
        <w:t xml:space="preserve">, בין אם </w:t>
      </w:r>
      <w:bookmarkStart w:id="60350" w:name="_ETM_Q111_727629"/>
      <w:bookmarkEnd w:id="60350"/>
      <w:r>
        <w:rPr>
          <w:rFonts w:hint="cs"/>
          <w:rtl/>
        </w:rPr>
        <w:t xml:space="preserve">הוא </w:t>
      </w:r>
      <w:bookmarkStart w:id="60351" w:name="_ETM_Q111_727689"/>
      <w:bookmarkEnd w:id="60351"/>
      <w:r>
        <w:rPr>
          <w:rFonts w:hint="cs"/>
          <w:rtl/>
        </w:rPr>
        <w:t xml:space="preserve">יגיד </w:t>
      </w:r>
      <w:bookmarkStart w:id="60352" w:name="_ETM_Q111_727959"/>
      <w:bookmarkEnd w:id="60352"/>
      <w:r>
        <w:rPr>
          <w:rFonts w:hint="cs"/>
          <w:rtl/>
        </w:rPr>
        <w:t xml:space="preserve">לי: </w:t>
      </w:r>
      <w:bookmarkStart w:id="60353" w:name="_ETM_Q111_728049"/>
      <w:bookmarkEnd w:id="60353"/>
      <w:r>
        <w:rPr>
          <w:rFonts w:hint="cs"/>
          <w:rtl/>
        </w:rPr>
        <w:t xml:space="preserve">אני </w:t>
      </w:r>
      <w:bookmarkStart w:id="60354" w:name="_ETM_Q111_728169"/>
      <w:bookmarkEnd w:id="60354"/>
      <w:r>
        <w:rPr>
          <w:rFonts w:hint="cs"/>
          <w:rtl/>
        </w:rPr>
        <w:t>ישראל הראשונה, השנייה</w:t>
      </w:r>
      <w:bookmarkStart w:id="60355" w:name="_ETM_Q111_728409"/>
      <w:bookmarkStart w:id="60356" w:name="_ETM_Q111_728980"/>
      <w:bookmarkEnd w:id="60355"/>
      <w:bookmarkEnd w:id="60356"/>
      <w:r>
        <w:rPr>
          <w:rFonts w:hint="cs"/>
          <w:rtl/>
        </w:rPr>
        <w:t xml:space="preserve">, </w:t>
      </w:r>
      <w:bookmarkStart w:id="60357" w:name="_ETM_Q111_729459"/>
      <w:bookmarkEnd w:id="60357"/>
      <w:r>
        <w:rPr>
          <w:rFonts w:hint="cs"/>
          <w:rtl/>
        </w:rPr>
        <w:t xml:space="preserve">אני </w:t>
      </w:r>
      <w:bookmarkStart w:id="60358" w:name="_ETM_Q111_729700"/>
      <w:bookmarkEnd w:id="60358"/>
      <w:r>
        <w:rPr>
          <w:rFonts w:hint="cs"/>
          <w:rtl/>
        </w:rPr>
        <w:t xml:space="preserve">אישה, </w:t>
      </w:r>
      <w:bookmarkStart w:id="60359" w:name="_ETM_Q111_730090"/>
      <w:bookmarkEnd w:id="60359"/>
      <w:r>
        <w:rPr>
          <w:rFonts w:hint="cs"/>
          <w:rtl/>
        </w:rPr>
        <w:t xml:space="preserve">אני </w:t>
      </w:r>
      <w:bookmarkStart w:id="60360" w:name="_ETM_Q111_730389"/>
      <w:bookmarkEnd w:id="60360"/>
      <w:r>
        <w:rPr>
          <w:rFonts w:hint="cs"/>
          <w:rtl/>
        </w:rPr>
        <w:t xml:space="preserve">כל </w:t>
      </w:r>
      <w:bookmarkStart w:id="60361" w:name="_ETM_Q111_730629"/>
      <w:bookmarkEnd w:id="60361"/>
      <w:r>
        <w:rPr>
          <w:rFonts w:hint="cs"/>
          <w:rtl/>
        </w:rPr>
        <w:t xml:space="preserve">דבר, </w:t>
      </w:r>
      <w:bookmarkStart w:id="60362" w:name="_ETM_Q111_731290"/>
      <w:bookmarkEnd w:id="60362"/>
      <w:r>
        <w:rPr>
          <w:rFonts w:hint="cs"/>
          <w:rtl/>
        </w:rPr>
        <w:t xml:space="preserve">או </w:t>
      </w:r>
      <w:bookmarkStart w:id="60363" w:name="_ETM_Q111_731409"/>
      <w:bookmarkEnd w:id="60363"/>
      <w:r>
        <w:rPr>
          <w:rFonts w:hint="cs"/>
          <w:rtl/>
        </w:rPr>
        <w:t xml:space="preserve">אדם </w:t>
      </w:r>
      <w:bookmarkStart w:id="60364" w:name="_ETM_Q111_731679"/>
      <w:bookmarkEnd w:id="60364"/>
      <w:r>
        <w:rPr>
          <w:rFonts w:hint="cs"/>
          <w:rtl/>
        </w:rPr>
        <w:t xml:space="preserve">דתי </w:t>
      </w:r>
      <w:bookmarkStart w:id="60365" w:name="_ETM_Q111_732040"/>
      <w:bookmarkEnd w:id="60365"/>
      <w:r>
        <w:rPr>
          <w:rFonts w:hint="cs"/>
          <w:rtl/>
        </w:rPr>
        <w:t xml:space="preserve">או </w:t>
      </w:r>
      <w:bookmarkStart w:id="60366" w:name="_ETM_Q111_732159"/>
      <w:bookmarkEnd w:id="60366"/>
      <w:r>
        <w:rPr>
          <w:rFonts w:hint="cs"/>
          <w:rtl/>
        </w:rPr>
        <w:t xml:space="preserve">אדם </w:t>
      </w:r>
      <w:bookmarkStart w:id="60367" w:name="_ETM_Q111_732370"/>
      <w:bookmarkEnd w:id="60367"/>
      <w:r>
        <w:rPr>
          <w:rFonts w:hint="cs"/>
          <w:rtl/>
        </w:rPr>
        <w:t>חרדי –</w:t>
      </w:r>
      <w:bookmarkStart w:id="60368" w:name="_ETM_Q111_729000"/>
      <w:bookmarkEnd w:id="60368"/>
      <w:r>
        <w:rPr>
          <w:rFonts w:hint="cs"/>
          <w:rtl/>
        </w:rPr>
        <w:t xml:space="preserve"> </w:t>
      </w:r>
      <w:bookmarkStart w:id="60369" w:name="_ETM_Q111_732849"/>
      <w:bookmarkEnd w:id="60369"/>
      <w:r>
        <w:rPr>
          <w:rFonts w:hint="cs"/>
          <w:rtl/>
        </w:rPr>
        <w:t xml:space="preserve">אני </w:t>
      </w:r>
      <w:bookmarkStart w:id="60370" w:name="_ETM_Q111_733059"/>
      <w:bookmarkEnd w:id="60370"/>
      <w:r>
        <w:rPr>
          <w:rFonts w:hint="cs"/>
          <w:rtl/>
        </w:rPr>
        <w:t xml:space="preserve">אגיד </w:t>
      </w:r>
      <w:bookmarkStart w:id="60371" w:name="_ETM_Q111_733359"/>
      <w:bookmarkEnd w:id="60371"/>
      <w:r>
        <w:rPr>
          <w:rFonts w:hint="cs"/>
          <w:rtl/>
        </w:rPr>
        <w:t xml:space="preserve">להם </w:t>
      </w:r>
      <w:bookmarkStart w:id="60372" w:name="_ETM_Q111_733900"/>
      <w:bookmarkEnd w:id="60372"/>
      <w:r>
        <w:rPr>
          <w:rFonts w:hint="cs"/>
          <w:rtl/>
        </w:rPr>
        <w:t xml:space="preserve">לפחות </w:t>
      </w:r>
      <w:bookmarkStart w:id="60373" w:name="_ETM_Q111_734469"/>
      <w:bookmarkStart w:id="60374" w:name="_ETM_Q111_734829"/>
      <w:bookmarkEnd w:id="60373"/>
      <w:bookmarkEnd w:id="60374"/>
      <w:r>
        <w:rPr>
          <w:rFonts w:hint="cs"/>
          <w:rtl/>
        </w:rPr>
        <w:t xml:space="preserve">חמישה דברים </w:t>
      </w:r>
      <w:bookmarkStart w:id="60375" w:name="_ETM_Q111_735159"/>
      <w:bookmarkEnd w:id="60375"/>
      <w:r>
        <w:rPr>
          <w:rFonts w:hint="cs"/>
          <w:rtl/>
        </w:rPr>
        <w:t xml:space="preserve">שבית </w:t>
      </w:r>
      <w:bookmarkStart w:id="60376" w:name="_ETM_Q111_735459"/>
      <w:bookmarkEnd w:id="60376"/>
      <w:r>
        <w:rPr>
          <w:rFonts w:hint="cs"/>
          <w:rtl/>
        </w:rPr>
        <w:t xml:space="preserve">המשפט </w:t>
      </w:r>
      <w:bookmarkStart w:id="60377" w:name="_ETM_Q111_736179"/>
      <w:bookmarkEnd w:id="60377"/>
      <w:r>
        <w:rPr>
          <w:rFonts w:hint="cs"/>
          <w:rtl/>
        </w:rPr>
        <w:t xml:space="preserve">עשה </w:t>
      </w:r>
      <w:bookmarkStart w:id="60378" w:name="_ETM_Q111_736510"/>
      <w:bookmarkEnd w:id="60378"/>
      <w:r>
        <w:rPr>
          <w:rFonts w:hint="cs"/>
          <w:rtl/>
        </w:rPr>
        <w:t xml:space="preserve">לטובתם. </w:t>
      </w:r>
      <w:bookmarkStart w:id="60379" w:name="_ETM_Q111_737470"/>
      <w:bookmarkEnd w:id="60379"/>
      <w:r>
        <w:rPr>
          <w:rFonts w:hint="cs"/>
          <w:rtl/>
        </w:rPr>
        <w:t xml:space="preserve">כי </w:t>
      </w:r>
      <w:bookmarkStart w:id="60380" w:name="_ETM_Q111_737620"/>
      <w:bookmarkEnd w:id="60380"/>
      <w:r>
        <w:rPr>
          <w:rFonts w:hint="cs"/>
          <w:rtl/>
        </w:rPr>
        <w:t xml:space="preserve">בסוף </w:t>
      </w:r>
      <w:bookmarkStart w:id="60381" w:name="_ETM_Q111_739090"/>
      <w:bookmarkEnd w:id="60381"/>
      <w:r>
        <w:rPr>
          <w:rFonts w:hint="cs"/>
          <w:rtl/>
        </w:rPr>
        <w:t>אף אחד</w:t>
      </w:r>
      <w:bookmarkStart w:id="60382" w:name="_ETM_Q111_739419"/>
      <w:bookmarkEnd w:id="60382"/>
      <w:r>
        <w:rPr>
          <w:rFonts w:hint="cs"/>
          <w:rtl/>
        </w:rPr>
        <w:t xml:space="preserve"> </w:t>
      </w:r>
      <w:bookmarkStart w:id="60383" w:name="_ETM_Q111_739750"/>
      <w:bookmarkEnd w:id="60383"/>
      <w:r>
        <w:rPr>
          <w:rFonts w:hint="cs"/>
          <w:rtl/>
        </w:rPr>
        <w:t xml:space="preserve">פה </w:t>
      </w:r>
      <w:bookmarkStart w:id="60384" w:name="_ETM_Q111_739900"/>
      <w:bookmarkEnd w:id="60384"/>
      <w:r>
        <w:rPr>
          <w:rFonts w:hint="cs"/>
          <w:rtl/>
        </w:rPr>
        <w:t xml:space="preserve">לא </w:t>
      </w:r>
      <w:bookmarkStart w:id="60385" w:name="_ETM_Q111_740020"/>
      <w:bookmarkEnd w:id="60385"/>
      <w:r>
        <w:rPr>
          <w:rFonts w:hint="cs"/>
          <w:rtl/>
        </w:rPr>
        <w:t xml:space="preserve">ניסה </w:t>
      </w:r>
      <w:bookmarkStart w:id="60386" w:name="_ETM_Q111_740710"/>
      <w:bookmarkEnd w:id="60386"/>
      <w:r>
        <w:rPr>
          <w:rFonts w:hint="cs"/>
          <w:rtl/>
        </w:rPr>
        <w:t xml:space="preserve">לעצב </w:t>
      </w:r>
      <w:bookmarkStart w:id="60387" w:name="_ETM_Q111_741250"/>
      <w:bookmarkEnd w:id="60387"/>
      <w:r>
        <w:rPr>
          <w:rFonts w:hint="cs"/>
          <w:rtl/>
        </w:rPr>
        <w:t xml:space="preserve">מחדש </w:t>
      </w:r>
      <w:bookmarkStart w:id="60388" w:name="_ETM_Q111_741699"/>
      <w:bookmarkEnd w:id="60388"/>
      <w:r>
        <w:rPr>
          <w:rFonts w:hint="cs"/>
          <w:rtl/>
        </w:rPr>
        <w:t xml:space="preserve">את </w:t>
      </w:r>
      <w:bookmarkStart w:id="60389" w:name="_ETM_Q111_741820"/>
      <w:bookmarkEnd w:id="60389"/>
      <w:r>
        <w:rPr>
          <w:rFonts w:hint="cs"/>
          <w:rtl/>
        </w:rPr>
        <w:t>המדינה.</w:t>
      </w:r>
      <w:bookmarkStart w:id="60390" w:name="_ETM_Q111_742809"/>
      <w:bookmarkEnd w:id="60390"/>
      <w:r>
        <w:rPr>
          <w:rFonts w:hint="cs"/>
          <w:rtl/>
        </w:rPr>
        <w:t xml:space="preserve"> אני </w:t>
      </w:r>
      <w:bookmarkStart w:id="60391" w:name="_ETM_Q111_743500"/>
      <w:bookmarkEnd w:id="60391"/>
      <w:r>
        <w:rPr>
          <w:rFonts w:hint="cs"/>
          <w:rtl/>
        </w:rPr>
        <w:t xml:space="preserve">חושב </w:t>
      </w:r>
      <w:bookmarkStart w:id="60392" w:name="_ETM_Q111_743830"/>
      <w:bookmarkEnd w:id="60392"/>
      <w:r>
        <w:rPr>
          <w:rFonts w:hint="cs"/>
          <w:rtl/>
        </w:rPr>
        <w:t xml:space="preserve">שהנרטיב </w:t>
      </w:r>
      <w:bookmarkStart w:id="60393" w:name="_ETM_Q111_744429"/>
      <w:bookmarkEnd w:id="60393"/>
      <w:r>
        <w:rPr>
          <w:rFonts w:hint="cs"/>
          <w:rtl/>
        </w:rPr>
        <w:t xml:space="preserve">הזה </w:t>
      </w:r>
      <w:bookmarkStart w:id="60394" w:name="_ETM_Q111_744490"/>
      <w:bookmarkStart w:id="60395" w:name="_ETM_Q111_744660"/>
      <w:bookmarkEnd w:id="60394"/>
      <w:bookmarkEnd w:id="60395"/>
      <w:r>
        <w:rPr>
          <w:rFonts w:hint="cs"/>
          <w:rtl/>
        </w:rPr>
        <w:t>הוא פשוט</w:t>
      </w:r>
      <w:bookmarkStart w:id="60396" w:name="_ETM_Q111_745470"/>
      <w:bookmarkEnd w:id="60396"/>
      <w:r>
        <w:rPr>
          <w:rFonts w:hint="cs"/>
          <w:rtl/>
        </w:rPr>
        <w:t xml:space="preserve"> </w:t>
      </w:r>
      <w:bookmarkStart w:id="60397" w:name="_ETM_Q111_745590"/>
      <w:bookmarkEnd w:id="60397"/>
      <w:r>
        <w:rPr>
          <w:rFonts w:hint="cs"/>
          <w:rtl/>
        </w:rPr>
        <w:t xml:space="preserve">שגוי. </w:t>
      </w:r>
      <w:bookmarkStart w:id="60398" w:name="_ETM_Q111_746879"/>
      <w:bookmarkStart w:id="60399" w:name="_ETM_Q111_744000"/>
      <w:bookmarkEnd w:id="60398"/>
      <w:bookmarkEnd w:id="60399"/>
      <w:r>
        <w:rPr>
          <w:rFonts w:hint="cs"/>
          <w:rtl/>
        </w:rPr>
        <w:t xml:space="preserve">האם </w:t>
      </w:r>
      <w:bookmarkStart w:id="60400" w:name="_ETM_Q111_747240"/>
      <w:bookmarkEnd w:id="60400"/>
      <w:r>
        <w:rPr>
          <w:rFonts w:hint="cs"/>
          <w:rtl/>
        </w:rPr>
        <w:t xml:space="preserve">יש </w:t>
      </w:r>
      <w:bookmarkStart w:id="60401" w:name="_ETM_Q111_747389"/>
      <w:bookmarkEnd w:id="60401"/>
      <w:r>
        <w:rPr>
          <w:rFonts w:hint="cs"/>
          <w:rtl/>
        </w:rPr>
        <w:t xml:space="preserve">דברים </w:t>
      </w:r>
      <w:bookmarkStart w:id="60402" w:name="_ETM_Q111_747809"/>
      <w:bookmarkEnd w:id="60402"/>
      <w:r>
        <w:rPr>
          <w:rFonts w:hint="cs"/>
          <w:rtl/>
        </w:rPr>
        <w:t xml:space="preserve">שהם </w:t>
      </w:r>
      <w:bookmarkStart w:id="60403" w:name="_ETM_Q111_748050"/>
      <w:bookmarkEnd w:id="60403"/>
      <w:r>
        <w:rPr>
          <w:rFonts w:hint="cs"/>
          <w:rtl/>
        </w:rPr>
        <w:t xml:space="preserve">לא </w:t>
      </w:r>
      <w:bookmarkStart w:id="60404" w:name="_ETM_Q111_748169"/>
      <w:bookmarkEnd w:id="60404"/>
      <w:r>
        <w:rPr>
          <w:rFonts w:hint="cs"/>
          <w:rtl/>
        </w:rPr>
        <w:t xml:space="preserve">שפיטים? </w:t>
      </w:r>
      <w:bookmarkStart w:id="60405" w:name="_ETM_Q111_748679"/>
      <w:bookmarkEnd w:id="60405"/>
      <w:r>
        <w:rPr>
          <w:rFonts w:hint="cs"/>
          <w:rtl/>
        </w:rPr>
        <w:t xml:space="preserve">כן. </w:t>
      </w:r>
      <w:bookmarkStart w:id="60406" w:name="_ETM_Q111_749740"/>
      <w:bookmarkEnd w:id="60406"/>
      <w:r>
        <w:rPr>
          <w:rFonts w:hint="cs"/>
          <w:rtl/>
        </w:rPr>
        <w:t xml:space="preserve">האם </w:t>
      </w:r>
      <w:bookmarkStart w:id="60407" w:name="_ETM_Q111_749950"/>
      <w:bookmarkEnd w:id="60407"/>
      <w:r>
        <w:rPr>
          <w:rFonts w:hint="cs"/>
          <w:rtl/>
        </w:rPr>
        <w:t xml:space="preserve">יש </w:t>
      </w:r>
      <w:bookmarkStart w:id="60408" w:name="_ETM_Q111_750040"/>
      <w:bookmarkEnd w:id="60408"/>
      <w:r>
        <w:rPr>
          <w:rFonts w:hint="cs"/>
          <w:rtl/>
        </w:rPr>
        <w:t xml:space="preserve">דברים </w:t>
      </w:r>
      <w:bookmarkStart w:id="60409" w:name="_ETM_Q111_750309"/>
      <w:bookmarkEnd w:id="60409"/>
      <w:r>
        <w:rPr>
          <w:rFonts w:hint="cs"/>
          <w:rtl/>
        </w:rPr>
        <w:t xml:space="preserve">שנכון </w:t>
      </w:r>
      <w:bookmarkStart w:id="60410" w:name="_ETM_Q111_750760"/>
      <w:bookmarkEnd w:id="60410"/>
      <w:r>
        <w:rPr>
          <w:rFonts w:hint="cs"/>
          <w:rtl/>
        </w:rPr>
        <w:t xml:space="preserve">שהמחוקק </w:t>
      </w:r>
      <w:bookmarkStart w:id="60411" w:name="_ETM_Q111_751450"/>
      <w:bookmarkEnd w:id="60411"/>
      <w:r>
        <w:rPr>
          <w:rFonts w:hint="cs"/>
          <w:rtl/>
        </w:rPr>
        <w:t xml:space="preserve">יקבע? </w:t>
      </w:r>
      <w:bookmarkStart w:id="60412" w:name="_ETM_Q111_751889"/>
      <w:bookmarkEnd w:id="60412"/>
      <w:r>
        <w:rPr>
          <w:rFonts w:hint="cs"/>
          <w:rtl/>
        </w:rPr>
        <w:t xml:space="preserve">כן, </w:t>
      </w:r>
      <w:bookmarkStart w:id="60413" w:name="_ETM_Q111_752370"/>
      <w:bookmarkEnd w:id="60413"/>
      <w:r>
        <w:rPr>
          <w:rFonts w:hint="cs"/>
          <w:rtl/>
        </w:rPr>
        <w:t xml:space="preserve">שהמחוקק </w:t>
      </w:r>
      <w:bookmarkStart w:id="60414" w:name="_ETM_Q111_752969"/>
      <w:bookmarkEnd w:id="60414"/>
      <w:r>
        <w:rPr>
          <w:rFonts w:hint="cs"/>
          <w:rtl/>
        </w:rPr>
        <w:t xml:space="preserve">יקבע. </w:t>
      </w:r>
      <w:bookmarkStart w:id="60415" w:name="_ETM_Q111_753749"/>
      <w:bookmarkEnd w:id="60415"/>
      <w:r>
        <w:rPr>
          <w:rFonts w:hint="cs"/>
          <w:rtl/>
        </w:rPr>
        <w:t xml:space="preserve">הרבה </w:t>
      </w:r>
      <w:bookmarkStart w:id="60416" w:name="_ETM_Q111_754050"/>
      <w:bookmarkEnd w:id="60416"/>
      <w:r>
        <w:rPr>
          <w:rFonts w:hint="cs"/>
          <w:rtl/>
        </w:rPr>
        <w:t xml:space="preserve">פעמים </w:t>
      </w:r>
      <w:bookmarkStart w:id="60417" w:name="_ETM_Q111_754289"/>
      <w:bookmarkEnd w:id="60417"/>
      <w:r>
        <w:rPr>
          <w:rFonts w:hint="cs"/>
          <w:rtl/>
        </w:rPr>
        <w:t xml:space="preserve">המחוקק </w:t>
      </w:r>
      <w:bookmarkStart w:id="60418" w:name="_ETM_Q111_754800"/>
      <w:bookmarkEnd w:id="60418"/>
      <w:r>
        <w:rPr>
          <w:rFonts w:hint="cs"/>
          <w:rtl/>
        </w:rPr>
        <w:t xml:space="preserve">פשוט </w:t>
      </w:r>
      <w:bookmarkStart w:id="60419" w:name="_ETM_Q111_755390"/>
      <w:bookmarkEnd w:id="60419"/>
      <w:r>
        <w:rPr>
          <w:rFonts w:hint="cs"/>
          <w:rtl/>
        </w:rPr>
        <w:t xml:space="preserve">נמנע </w:t>
      </w:r>
      <w:bookmarkStart w:id="60420" w:name="_ETM_Q111_755929"/>
      <w:bookmarkEnd w:id="60420"/>
      <w:r>
        <w:rPr>
          <w:rFonts w:hint="cs"/>
          <w:rtl/>
        </w:rPr>
        <w:t>מהסוגיה או הפיל</w:t>
      </w:r>
      <w:bookmarkStart w:id="60421" w:name="_ETM_Q111_757300"/>
      <w:bookmarkStart w:id="60422" w:name="_ETM_Q111_757450"/>
      <w:bookmarkStart w:id="60423" w:name="_ETM_Q111_757720"/>
      <w:bookmarkEnd w:id="60421"/>
      <w:bookmarkEnd w:id="60422"/>
      <w:bookmarkEnd w:id="60423"/>
      <w:r>
        <w:rPr>
          <w:rFonts w:hint="cs"/>
          <w:rtl/>
        </w:rPr>
        <w:t xml:space="preserve"> </w:t>
      </w:r>
      <w:bookmarkStart w:id="60424" w:name="_ETM_Q111_757000"/>
      <w:bookmarkEnd w:id="60424"/>
      <w:r>
        <w:rPr>
          <w:rFonts w:hint="cs"/>
          <w:rtl/>
        </w:rPr>
        <w:t xml:space="preserve">או </w:t>
      </w:r>
      <w:bookmarkStart w:id="60425" w:name="_ETM_Q111_758050"/>
      <w:bookmarkEnd w:id="60425"/>
      <w:r>
        <w:rPr>
          <w:rFonts w:hint="cs"/>
          <w:rtl/>
        </w:rPr>
        <w:t xml:space="preserve">ממשלות </w:t>
      </w:r>
      <w:bookmarkStart w:id="60426" w:name="_ETM_Q111_758500"/>
      <w:bookmarkEnd w:id="60426"/>
      <w:r>
        <w:rPr>
          <w:rFonts w:hint="cs"/>
          <w:rtl/>
        </w:rPr>
        <w:t xml:space="preserve">התפרקו וכנסות </w:t>
      </w:r>
      <w:bookmarkStart w:id="60427" w:name="_ETM_Q111_759009"/>
      <w:bookmarkStart w:id="60428" w:name="_ETM_Q111_759520"/>
      <w:bookmarkEnd w:id="60427"/>
      <w:bookmarkEnd w:id="60428"/>
      <w:r>
        <w:rPr>
          <w:rFonts w:hint="cs"/>
          <w:rtl/>
        </w:rPr>
        <w:t>התפזרו</w:t>
      </w:r>
      <w:r w:rsidR="00856D9C">
        <w:rPr>
          <w:rFonts w:hint="cs"/>
          <w:rtl/>
        </w:rPr>
        <w:t>,</w:t>
      </w:r>
      <w:r>
        <w:rPr>
          <w:rFonts w:hint="cs"/>
          <w:rtl/>
        </w:rPr>
        <w:t xml:space="preserve"> </w:t>
      </w:r>
      <w:bookmarkStart w:id="60429" w:name="_ETM_Q111_760419"/>
      <w:bookmarkEnd w:id="60429"/>
      <w:r>
        <w:rPr>
          <w:rFonts w:hint="cs"/>
          <w:rtl/>
        </w:rPr>
        <w:t xml:space="preserve">ואז </w:t>
      </w:r>
      <w:bookmarkStart w:id="60430" w:name="_ETM_Q111_760719"/>
      <w:bookmarkEnd w:id="60430"/>
      <w:r>
        <w:rPr>
          <w:rFonts w:hint="cs"/>
          <w:rtl/>
        </w:rPr>
        <w:t xml:space="preserve">נוצר </w:t>
      </w:r>
      <w:bookmarkStart w:id="60431" w:name="_ETM_Q111_761020"/>
      <w:bookmarkEnd w:id="60431"/>
      <w:r>
        <w:rPr>
          <w:rFonts w:hint="cs"/>
          <w:rtl/>
        </w:rPr>
        <w:t xml:space="preserve">מצב </w:t>
      </w:r>
      <w:bookmarkStart w:id="60432" w:name="_ETM_Q111_761289"/>
      <w:bookmarkEnd w:id="60432"/>
      <w:r>
        <w:rPr>
          <w:rFonts w:hint="cs"/>
          <w:rtl/>
        </w:rPr>
        <w:t xml:space="preserve">שהמציאות </w:t>
      </w:r>
      <w:bookmarkStart w:id="60433" w:name="_ETM_Q111_761800"/>
      <w:bookmarkEnd w:id="60433"/>
      <w:r>
        <w:rPr>
          <w:rFonts w:hint="cs"/>
          <w:rtl/>
        </w:rPr>
        <w:t xml:space="preserve">עדיין </w:t>
      </w:r>
      <w:bookmarkStart w:id="60434" w:name="_ETM_Q111_762009"/>
      <w:bookmarkEnd w:id="60434"/>
      <w:r>
        <w:rPr>
          <w:rFonts w:hint="cs"/>
          <w:rtl/>
        </w:rPr>
        <w:t>קיימת</w:t>
      </w:r>
      <w:bookmarkStart w:id="60435" w:name="_ETM_Q111_762369"/>
      <w:bookmarkEnd w:id="60435"/>
      <w:r>
        <w:rPr>
          <w:rFonts w:hint="cs"/>
          <w:rtl/>
        </w:rPr>
        <w:t xml:space="preserve">, ומישהו </w:t>
      </w:r>
      <w:bookmarkStart w:id="60436" w:name="_ETM_Q111_762729"/>
      <w:bookmarkEnd w:id="60436"/>
      <w:r>
        <w:rPr>
          <w:rFonts w:hint="cs"/>
          <w:rtl/>
        </w:rPr>
        <w:t xml:space="preserve">צריך </w:t>
      </w:r>
      <w:bookmarkStart w:id="60437" w:name="_ETM_Q111_762939"/>
      <w:bookmarkEnd w:id="60437"/>
      <w:r>
        <w:rPr>
          <w:rFonts w:hint="cs"/>
          <w:rtl/>
        </w:rPr>
        <w:t xml:space="preserve">להכריע </w:t>
      </w:r>
      <w:bookmarkStart w:id="60438" w:name="_ETM_Q111_763330"/>
      <w:bookmarkEnd w:id="60438"/>
      <w:r>
        <w:rPr>
          <w:rFonts w:hint="cs"/>
          <w:rtl/>
        </w:rPr>
        <w:t xml:space="preserve">בדבר </w:t>
      </w:r>
      <w:bookmarkStart w:id="60439" w:name="_ETM_Q111_763779"/>
      <w:bookmarkEnd w:id="60439"/>
      <w:r>
        <w:rPr>
          <w:rFonts w:hint="cs"/>
          <w:rtl/>
        </w:rPr>
        <w:t>הזה</w:t>
      </w:r>
      <w:r w:rsidR="00856D9C">
        <w:rPr>
          <w:rFonts w:hint="cs"/>
          <w:rtl/>
        </w:rPr>
        <w:t>.</w:t>
      </w:r>
      <w:r>
        <w:rPr>
          <w:rFonts w:hint="cs"/>
          <w:rtl/>
        </w:rPr>
        <w:t xml:space="preserve"> </w:t>
      </w:r>
      <w:bookmarkStart w:id="60440" w:name="_ETM_Q111_764319"/>
      <w:bookmarkEnd w:id="60440"/>
      <w:r>
        <w:rPr>
          <w:rFonts w:hint="cs"/>
          <w:rtl/>
        </w:rPr>
        <w:t xml:space="preserve">אז לפעמים </w:t>
      </w:r>
      <w:bookmarkStart w:id="60441" w:name="_ETM_Q111_764800"/>
      <w:bookmarkEnd w:id="60441"/>
      <w:r>
        <w:rPr>
          <w:rFonts w:hint="cs"/>
          <w:rtl/>
        </w:rPr>
        <w:t xml:space="preserve">זה </w:t>
      </w:r>
      <w:bookmarkStart w:id="60442" w:name="_ETM_Q111_764949"/>
      <w:bookmarkEnd w:id="60442"/>
      <w:r>
        <w:rPr>
          <w:rFonts w:hint="cs"/>
          <w:rtl/>
        </w:rPr>
        <w:t>קרה.</w:t>
      </w:r>
    </w:p>
    <w:p w:rsidR="00BB59CD" w:rsidRDefault="00BB59CD" w:rsidP="00BB59CD">
      <w:pPr>
        <w:rPr>
          <w:rtl/>
        </w:rPr>
      </w:pPr>
    </w:p>
    <w:p w:rsidR="00BB59CD" w:rsidRDefault="00BB59CD" w:rsidP="00E70367">
      <w:pPr>
        <w:rPr>
          <w:rtl/>
        </w:rPr>
      </w:pPr>
      <w:bookmarkStart w:id="60443" w:name="TOR_Q112"/>
      <w:bookmarkStart w:id="60444" w:name="_ETM_Q111_763000"/>
      <w:bookmarkStart w:id="60445" w:name="_ETM_Q111_765639"/>
      <w:bookmarkEnd w:id="60443"/>
      <w:bookmarkEnd w:id="60444"/>
      <w:bookmarkEnd w:id="60445"/>
      <w:r>
        <w:rPr>
          <w:rFonts w:hint="cs"/>
          <w:rtl/>
        </w:rPr>
        <w:t xml:space="preserve">אני </w:t>
      </w:r>
      <w:bookmarkStart w:id="60446" w:name="_ETM_Q111_765849"/>
      <w:bookmarkEnd w:id="60446"/>
      <w:r>
        <w:rPr>
          <w:rFonts w:hint="cs"/>
          <w:rtl/>
        </w:rPr>
        <w:t xml:space="preserve">חושב </w:t>
      </w:r>
      <w:bookmarkStart w:id="60447" w:name="_ETM_Q111_766659"/>
      <w:bookmarkEnd w:id="60447"/>
      <w:r>
        <w:rPr>
          <w:rFonts w:hint="cs"/>
          <w:rtl/>
        </w:rPr>
        <w:t xml:space="preserve">שיש </w:t>
      </w:r>
      <w:bookmarkStart w:id="60448" w:name="_ETM_Q111_766929"/>
      <w:bookmarkEnd w:id="60448"/>
      <w:r>
        <w:rPr>
          <w:rFonts w:hint="cs"/>
          <w:rtl/>
        </w:rPr>
        <w:t xml:space="preserve">מקום </w:t>
      </w:r>
      <w:bookmarkStart w:id="60449" w:name="_ETM_Q111_767259"/>
      <w:bookmarkEnd w:id="60449"/>
      <w:r>
        <w:rPr>
          <w:rFonts w:hint="cs"/>
          <w:rtl/>
        </w:rPr>
        <w:t xml:space="preserve">לדיאלוג, </w:t>
      </w:r>
      <w:bookmarkStart w:id="60450" w:name="_ETM_Q111_768189"/>
      <w:bookmarkEnd w:id="60450"/>
      <w:r>
        <w:rPr>
          <w:rFonts w:hint="cs"/>
          <w:rtl/>
        </w:rPr>
        <w:t xml:space="preserve">שיש </w:t>
      </w:r>
      <w:bookmarkStart w:id="60451" w:name="_ETM_Q111_768460"/>
      <w:bookmarkEnd w:id="60451"/>
      <w:r>
        <w:rPr>
          <w:rFonts w:hint="cs"/>
          <w:rtl/>
        </w:rPr>
        <w:t xml:space="preserve">מקום </w:t>
      </w:r>
      <w:bookmarkStart w:id="60452" w:name="_ETM_Q111_768759"/>
      <w:bookmarkEnd w:id="60452"/>
      <w:r>
        <w:rPr>
          <w:rFonts w:hint="cs"/>
          <w:rtl/>
        </w:rPr>
        <w:t xml:space="preserve">לתיקונים, </w:t>
      </w:r>
      <w:bookmarkStart w:id="60453" w:name="_ETM_Q111_769389"/>
      <w:bookmarkEnd w:id="60453"/>
      <w:r>
        <w:rPr>
          <w:rFonts w:hint="cs"/>
          <w:rtl/>
        </w:rPr>
        <w:t xml:space="preserve">שיש </w:t>
      </w:r>
      <w:bookmarkStart w:id="60454" w:name="_ETM_Q111_769569"/>
      <w:bookmarkEnd w:id="60454"/>
      <w:r>
        <w:rPr>
          <w:rFonts w:hint="cs"/>
          <w:rtl/>
        </w:rPr>
        <w:t xml:space="preserve">מקום </w:t>
      </w:r>
      <w:bookmarkStart w:id="60455" w:name="_ETM_Q111_769869"/>
      <w:bookmarkEnd w:id="60455"/>
      <w:r>
        <w:rPr>
          <w:rFonts w:hint="cs"/>
          <w:rtl/>
        </w:rPr>
        <w:t xml:space="preserve">לשיפוצים </w:t>
      </w:r>
      <w:bookmarkStart w:id="60456" w:name="_ETM_Q111_770559"/>
      <w:bookmarkEnd w:id="60456"/>
      <w:r>
        <w:rPr>
          <w:rFonts w:hint="cs"/>
          <w:rtl/>
        </w:rPr>
        <w:t xml:space="preserve">קטנים. </w:t>
      </w:r>
      <w:bookmarkStart w:id="60457" w:name="_ETM_Q111_771379"/>
      <w:bookmarkEnd w:id="60457"/>
      <w:r>
        <w:rPr>
          <w:rFonts w:hint="cs"/>
          <w:rtl/>
        </w:rPr>
        <w:t xml:space="preserve">אבל אני </w:t>
      </w:r>
      <w:bookmarkStart w:id="60458" w:name="_ETM_Q111_771620"/>
      <w:bookmarkEnd w:id="60458"/>
      <w:r>
        <w:rPr>
          <w:rFonts w:hint="cs"/>
          <w:rtl/>
        </w:rPr>
        <w:t xml:space="preserve">לא </w:t>
      </w:r>
      <w:bookmarkStart w:id="60459" w:name="_ETM_Q111_771710"/>
      <w:bookmarkEnd w:id="60459"/>
      <w:r>
        <w:rPr>
          <w:rFonts w:hint="cs"/>
          <w:rtl/>
        </w:rPr>
        <w:t xml:space="preserve">חושב </w:t>
      </w:r>
      <w:bookmarkStart w:id="60460" w:name="_ETM_Q111_772159"/>
      <w:bookmarkEnd w:id="60460"/>
      <w:r>
        <w:rPr>
          <w:rFonts w:hint="cs"/>
          <w:rtl/>
        </w:rPr>
        <w:t xml:space="preserve">שאפשר </w:t>
      </w:r>
      <w:bookmarkStart w:id="60461" w:name="_ETM_Q111_772520"/>
      <w:bookmarkEnd w:id="60461"/>
      <w:r>
        <w:rPr>
          <w:rFonts w:hint="cs"/>
          <w:rtl/>
        </w:rPr>
        <w:t xml:space="preserve">להיכנס </w:t>
      </w:r>
      <w:bookmarkStart w:id="60462" w:name="_ETM_Q111_772999"/>
      <w:bookmarkEnd w:id="60462"/>
      <w:r>
        <w:rPr>
          <w:rFonts w:hint="cs"/>
          <w:rtl/>
        </w:rPr>
        <w:t xml:space="preserve">לזה </w:t>
      </w:r>
      <w:bookmarkStart w:id="60463" w:name="_ETM_Q111_773569"/>
      <w:bookmarkEnd w:id="60463"/>
      <w:r>
        <w:rPr>
          <w:rFonts w:hint="cs"/>
          <w:rtl/>
        </w:rPr>
        <w:t xml:space="preserve">מתוך </w:t>
      </w:r>
      <w:bookmarkStart w:id="60464" w:name="_ETM_Q111_773929"/>
      <w:bookmarkEnd w:id="60464"/>
      <w:r>
        <w:rPr>
          <w:rFonts w:hint="cs"/>
          <w:rtl/>
        </w:rPr>
        <w:t xml:space="preserve">מלחמת </w:t>
      </w:r>
      <w:bookmarkStart w:id="60465" w:name="_ETM_Q111_774409"/>
      <w:bookmarkEnd w:id="60465"/>
      <w:r>
        <w:rPr>
          <w:rFonts w:hint="cs"/>
          <w:rtl/>
        </w:rPr>
        <w:t xml:space="preserve">חורמה. </w:t>
      </w:r>
      <w:bookmarkStart w:id="60466" w:name="_ETM_Q111_775249"/>
      <w:bookmarkEnd w:id="60466"/>
      <w:r>
        <w:rPr>
          <w:rFonts w:hint="cs"/>
          <w:rtl/>
        </w:rPr>
        <w:t xml:space="preserve">אני </w:t>
      </w:r>
      <w:bookmarkStart w:id="60467" w:name="_ETM_Q111_775429"/>
      <w:bookmarkEnd w:id="60467"/>
      <w:r>
        <w:rPr>
          <w:rFonts w:hint="cs"/>
          <w:rtl/>
        </w:rPr>
        <w:t xml:space="preserve">חושב </w:t>
      </w:r>
      <w:bookmarkStart w:id="60468" w:name="_ETM_Q111_775789"/>
      <w:bookmarkEnd w:id="60468"/>
      <w:r>
        <w:rPr>
          <w:rFonts w:hint="cs"/>
          <w:rtl/>
        </w:rPr>
        <w:t xml:space="preserve">שיש </w:t>
      </w:r>
      <w:bookmarkStart w:id="60469" w:name="_ETM_Q111_776059"/>
      <w:bookmarkEnd w:id="60469"/>
      <w:r>
        <w:rPr>
          <w:rFonts w:hint="cs"/>
          <w:rtl/>
        </w:rPr>
        <w:t xml:space="preserve">פה </w:t>
      </w:r>
      <w:bookmarkStart w:id="60470" w:name="_ETM_Q111_776270"/>
      <w:bookmarkEnd w:id="60470"/>
      <w:r>
        <w:rPr>
          <w:rFonts w:hint="cs"/>
          <w:rtl/>
        </w:rPr>
        <w:t xml:space="preserve">הרעלה </w:t>
      </w:r>
      <w:bookmarkStart w:id="60471" w:name="_ETM_Q111_777139"/>
      <w:bookmarkEnd w:id="60471"/>
      <w:r>
        <w:rPr>
          <w:rFonts w:hint="cs"/>
          <w:rtl/>
        </w:rPr>
        <w:t xml:space="preserve">של </w:t>
      </w:r>
      <w:bookmarkStart w:id="60472" w:name="_ETM_Q111_777379"/>
      <w:bookmarkEnd w:id="60472"/>
      <w:r>
        <w:rPr>
          <w:rFonts w:hint="cs"/>
          <w:rtl/>
        </w:rPr>
        <w:t xml:space="preserve">דורות </w:t>
      </w:r>
      <w:bookmarkStart w:id="60473" w:name="_ETM_Q111_778219"/>
      <w:bookmarkEnd w:id="60473"/>
      <w:r>
        <w:rPr>
          <w:rFonts w:hint="cs"/>
          <w:rtl/>
        </w:rPr>
        <w:t xml:space="preserve">לגבי </w:t>
      </w:r>
      <w:bookmarkStart w:id="60474" w:name="_ETM_Q111_778639"/>
      <w:bookmarkEnd w:id="60474"/>
      <w:r>
        <w:rPr>
          <w:rFonts w:hint="cs"/>
          <w:rtl/>
        </w:rPr>
        <w:t xml:space="preserve">בית </w:t>
      </w:r>
      <w:bookmarkStart w:id="60475" w:name="_ETM_Q111_778819"/>
      <w:bookmarkEnd w:id="60475"/>
      <w:r>
        <w:rPr>
          <w:rFonts w:hint="cs"/>
          <w:rtl/>
        </w:rPr>
        <w:t xml:space="preserve">המשפט. </w:t>
      </w:r>
      <w:bookmarkStart w:id="60476" w:name="_ETM_Q111_779650"/>
      <w:bookmarkEnd w:id="60476"/>
      <w:r>
        <w:rPr>
          <w:rFonts w:hint="cs"/>
          <w:rtl/>
        </w:rPr>
        <w:t xml:space="preserve">בית </w:t>
      </w:r>
      <w:bookmarkStart w:id="60477" w:name="_ETM_Q111_780009"/>
      <w:bookmarkEnd w:id="60477"/>
      <w:r>
        <w:rPr>
          <w:rFonts w:hint="cs"/>
          <w:rtl/>
        </w:rPr>
        <w:t xml:space="preserve">המשפט, </w:t>
      </w:r>
      <w:bookmarkStart w:id="60478" w:name="_ETM_Q111_780340"/>
      <w:bookmarkEnd w:id="60478"/>
      <w:r>
        <w:rPr>
          <w:rFonts w:hint="cs"/>
          <w:rtl/>
        </w:rPr>
        <w:t xml:space="preserve">שמעולם </w:t>
      </w:r>
      <w:bookmarkStart w:id="60479" w:name="_ETM_Q111_781120"/>
      <w:bookmarkStart w:id="60480" w:name="_ETM_Q112_180689"/>
      <w:bookmarkEnd w:id="60479"/>
      <w:bookmarkEnd w:id="60480"/>
      <w:r>
        <w:rPr>
          <w:rFonts w:hint="cs"/>
          <w:rtl/>
        </w:rPr>
        <w:t xml:space="preserve">לא </w:t>
      </w:r>
      <w:bookmarkStart w:id="60481" w:name="_ETM_Q112_180900"/>
      <w:bookmarkEnd w:id="60481"/>
      <w:r>
        <w:rPr>
          <w:rFonts w:hint="cs"/>
          <w:rtl/>
        </w:rPr>
        <w:t xml:space="preserve">העדיף </w:t>
      </w:r>
      <w:bookmarkStart w:id="60482" w:name="_ETM_Q112_181350"/>
      <w:bookmarkEnd w:id="60482"/>
      <w:r>
        <w:rPr>
          <w:rFonts w:hint="cs"/>
          <w:rtl/>
        </w:rPr>
        <w:t xml:space="preserve">את </w:t>
      </w:r>
      <w:bookmarkStart w:id="60483" w:name="_ETM_Q112_181500"/>
      <w:bookmarkEnd w:id="60483"/>
      <w:r>
        <w:rPr>
          <w:rFonts w:hint="cs"/>
          <w:rtl/>
        </w:rPr>
        <w:t xml:space="preserve">ה"דמוקרטית" </w:t>
      </w:r>
      <w:bookmarkStart w:id="60484" w:name="_ETM_Q112_182310"/>
      <w:bookmarkEnd w:id="60484"/>
      <w:r>
        <w:rPr>
          <w:rFonts w:hint="cs"/>
          <w:rtl/>
        </w:rPr>
        <w:t xml:space="preserve">על </w:t>
      </w:r>
      <w:bookmarkStart w:id="60485" w:name="_ETM_Q112_182460"/>
      <w:bookmarkEnd w:id="60485"/>
      <w:r>
        <w:rPr>
          <w:rFonts w:hint="cs"/>
          <w:rtl/>
        </w:rPr>
        <w:t xml:space="preserve">ה"יהודית". </w:t>
      </w:r>
      <w:bookmarkStart w:id="60486" w:name="_ETM_Q112_183800"/>
      <w:bookmarkEnd w:id="60486"/>
      <w:r>
        <w:rPr>
          <w:rFonts w:hint="cs"/>
          <w:rtl/>
        </w:rPr>
        <w:t xml:space="preserve">אבל </w:t>
      </w:r>
      <w:bookmarkStart w:id="60487" w:name="_ETM_Q112_184100"/>
      <w:bookmarkEnd w:id="60487"/>
      <w:r>
        <w:rPr>
          <w:rFonts w:hint="cs"/>
          <w:rtl/>
        </w:rPr>
        <w:t xml:space="preserve">מה </w:t>
      </w:r>
      <w:bookmarkStart w:id="60488" w:name="_ETM_Q112_184279"/>
      <w:bookmarkEnd w:id="60488"/>
      <w:r>
        <w:rPr>
          <w:rFonts w:hint="cs"/>
          <w:rtl/>
        </w:rPr>
        <w:t xml:space="preserve">לעשות </w:t>
      </w:r>
      <w:bookmarkStart w:id="60489" w:name="_ETM_Q112_185029"/>
      <w:bookmarkEnd w:id="60489"/>
      <w:r>
        <w:rPr>
          <w:rFonts w:hint="cs"/>
          <w:rtl/>
        </w:rPr>
        <w:t xml:space="preserve">ש"יהודית" </w:t>
      </w:r>
      <w:bookmarkStart w:id="60490" w:name="_ETM_Q112_185809"/>
      <w:bookmarkEnd w:id="60490"/>
      <w:r w:rsidR="00E70367">
        <w:rPr>
          <w:rFonts w:hint="eastAsia"/>
          <w:rtl/>
        </w:rPr>
        <w:t>–</w:t>
      </w:r>
      <w:r w:rsidR="00E70367">
        <w:rPr>
          <w:rFonts w:hint="cs"/>
          <w:rtl/>
        </w:rPr>
        <w:t xml:space="preserve"> </w:t>
      </w:r>
      <w:r>
        <w:rPr>
          <w:rFonts w:hint="cs"/>
          <w:rtl/>
        </w:rPr>
        <w:t xml:space="preserve">בהרבה </w:t>
      </w:r>
      <w:bookmarkStart w:id="60491" w:name="_ETM_Q112_186229"/>
      <w:bookmarkEnd w:id="60491"/>
      <w:r>
        <w:rPr>
          <w:rFonts w:hint="cs"/>
          <w:rtl/>
        </w:rPr>
        <w:t xml:space="preserve">מקרים </w:t>
      </w:r>
      <w:bookmarkStart w:id="60492" w:name="_ETM_Q112_187040"/>
      <w:bookmarkEnd w:id="60492"/>
      <w:r>
        <w:rPr>
          <w:rFonts w:hint="cs"/>
          <w:rtl/>
        </w:rPr>
        <w:t xml:space="preserve">אנחנו </w:t>
      </w:r>
      <w:bookmarkStart w:id="60493" w:name="_ETM_Q112_187339"/>
      <w:bookmarkEnd w:id="60493"/>
      <w:r>
        <w:rPr>
          <w:rFonts w:hint="cs"/>
          <w:rtl/>
        </w:rPr>
        <w:t xml:space="preserve">כבר </w:t>
      </w:r>
      <w:bookmarkStart w:id="60494" w:name="_ETM_Q112_187549"/>
      <w:bookmarkEnd w:id="60494"/>
      <w:r>
        <w:rPr>
          <w:rFonts w:hint="cs"/>
          <w:rtl/>
        </w:rPr>
        <w:t xml:space="preserve">מאוד </w:t>
      </w:r>
      <w:bookmarkStart w:id="60495" w:name="_ETM_Q112_188090"/>
      <w:bookmarkEnd w:id="60495"/>
      <w:r>
        <w:rPr>
          <w:rFonts w:hint="cs"/>
          <w:rtl/>
        </w:rPr>
        <w:t xml:space="preserve">מבוססים </w:t>
      </w:r>
      <w:bookmarkStart w:id="60496" w:name="_ETM_Q112_188750"/>
      <w:bookmarkEnd w:id="60496"/>
      <w:r>
        <w:rPr>
          <w:rFonts w:hint="cs"/>
          <w:rtl/>
        </w:rPr>
        <w:t xml:space="preserve">איתה. </w:t>
      </w:r>
      <w:bookmarkStart w:id="60497" w:name="_ETM_Q112_189170"/>
      <w:bookmarkEnd w:id="60497"/>
      <w:r>
        <w:rPr>
          <w:rFonts w:hint="cs"/>
          <w:rtl/>
        </w:rPr>
        <w:t xml:space="preserve">המדינה </w:t>
      </w:r>
      <w:bookmarkStart w:id="60498" w:name="_ETM_Q112_189650"/>
      <w:bookmarkEnd w:id="60498"/>
      <w:r>
        <w:rPr>
          <w:rFonts w:hint="cs"/>
          <w:rtl/>
        </w:rPr>
        <w:t xml:space="preserve">הזו </w:t>
      </w:r>
      <w:bookmarkStart w:id="60499" w:name="_ETM_Q112_189799"/>
      <w:bookmarkEnd w:id="60499"/>
      <w:r>
        <w:rPr>
          <w:rFonts w:hint="cs"/>
          <w:rtl/>
        </w:rPr>
        <w:t xml:space="preserve">הוקמה </w:t>
      </w:r>
      <w:bookmarkStart w:id="60500" w:name="_ETM_Q112_190129"/>
      <w:bookmarkEnd w:id="60500"/>
      <w:r>
        <w:rPr>
          <w:rFonts w:hint="cs"/>
          <w:rtl/>
        </w:rPr>
        <w:t xml:space="preserve">כמדינת </w:t>
      </w:r>
      <w:bookmarkStart w:id="60501" w:name="_ETM_Q112_190700"/>
      <w:bookmarkEnd w:id="60501"/>
      <w:r>
        <w:rPr>
          <w:rFonts w:hint="cs"/>
          <w:rtl/>
        </w:rPr>
        <w:t xml:space="preserve">העם </w:t>
      </w:r>
      <w:bookmarkStart w:id="60502" w:name="_ETM_Q112_190879"/>
      <w:bookmarkEnd w:id="60502"/>
      <w:r>
        <w:rPr>
          <w:rFonts w:hint="cs"/>
          <w:rtl/>
        </w:rPr>
        <w:t xml:space="preserve">היהודי. </w:t>
      </w:r>
      <w:bookmarkStart w:id="60503" w:name="_ETM_Q112_191510"/>
      <w:bookmarkEnd w:id="60503"/>
      <w:r>
        <w:rPr>
          <w:rFonts w:hint="cs"/>
          <w:rtl/>
        </w:rPr>
        <w:t xml:space="preserve">זו </w:t>
      </w:r>
      <w:bookmarkStart w:id="60504" w:name="_ETM_Q112_191750"/>
      <w:bookmarkEnd w:id="60504"/>
      <w:r>
        <w:rPr>
          <w:rFonts w:hint="cs"/>
          <w:rtl/>
        </w:rPr>
        <w:t xml:space="preserve">מדינה </w:t>
      </w:r>
      <w:bookmarkStart w:id="60505" w:name="_ETM_Q112_192500"/>
      <w:bookmarkEnd w:id="60505"/>
      <w:r>
        <w:rPr>
          <w:rFonts w:hint="cs"/>
          <w:rtl/>
        </w:rPr>
        <w:t xml:space="preserve">יהודית. </w:t>
      </w:r>
      <w:bookmarkStart w:id="60506" w:name="_ETM_Q112_193369"/>
      <w:bookmarkEnd w:id="60506"/>
      <w:r>
        <w:rPr>
          <w:rFonts w:hint="cs"/>
          <w:rtl/>
        </w:rPr>
        <w:t xml:space="preserve">אני </w:t>
      </w:r>
      <w:bookmarkStart w:id="60507" w:name="_ETM_Q112_193520"/>
      <w:bookmarkEnd w:id="60507"/>
      <w:r>
        <w:rPr>
          <w:rFonts w:hint="cs"/>
          <w:rtl/>
        </w:rPr>
        <w:t xml:space="preserve">לא </w:t>
      </w:r>
      <w:bookmarkStart w:id="60508" w:name="_ETM_Q112_193610"/>
      <w:bookmarkEnd w:id="60508"/>
      <w:r>
        <w:rPr>
          <w:rFonts w:hint="cs"/>
          <w:rtl/>
        </w:rPr>
        <w:t xml:space="preserve">חושב </w:t>
      </w:r>
      <w:bookmarkStart w:id="60509" w:name="_ETM_Q112_193879"/>
      <w:bookmarkEnd w:id="60509"/>
      <w:r>
        <w:rPr>
          <w:rFonts w:hint="cs"/>
          <w:rtl/>
        </w:rPr>
        <w:t xml:space="preserve">שגם </w:t>
      </w:r>
      <w:bookmarkStart w:id="60510" w:name="_ETM_Q112_194180"/>
      <w:bookmarkEnd w:id="60510"/>
      <w:r>
        <w:rPr>
          <w:rFonts w:hint="cs"/>
          <w:rtl/>
        </w:rPr>
        <w:t>חילונים</w:t>
      </w:r>
      <w:bookmarkStart w:id="60511" w:name="_ETM_Q112_195490"/>
      <w:bookmarkStart w:id="60512" w:name="_ETM_Q112_196730"/>
      <w:bookmarkEnd w:id="60511"/>
      <w:bookmarkEnd w:id="60512"/>
      <w:r>
        <w:rPr>
          <w:rFonts w:hint="cs"/>
          <w:rtl/>
        </w:rPr>
        <w:t xml:space="preserve"> מערערים </w:t>
      </w:r>
      <w:bookmarkStart w:id="60513" w:name="_ETM_Q112_197300"/>
      <w:bookmarkEnd w:id="60513"/>
      <w:r>
        <w:rPr>
          <w:rFonts w:hint="cs"/>
          <w:rtl/>
        </w:rPr>
        <w:t>על כך.</w:t>
      </w:r>
      <w:bookmarkStart w:id="60514" w:name="_ETM_Q112_197960"/>
      <w:bookmarkEnd w:id="60514"/>
      <w:r>
        <w:rPr>
          <w:rFonts w:hint="cs"/>
          <w:rtl/>
        </w:rPr>
        <w:t xml:space="preserve"> </w:t>
      </w:r>
      <w:bookmarkStart w:id="60515" w:name="_ETM_Q112_200000"/>
      <w:bookmarkEnd w:id="60515"/>
      <w:r>
        <w:rPr>
          <w:rFonts w:hint="cs"/>
          <w:rtl/>
        </w:rPr>
        <w:t xml:space="preserve">לכן </w:t>
      </w:r>
      <w:bookmarkStart w:id="60516" w:name="_ETM_Q112_198380"/>
      <w:bookmarkEnd w:id="60516"/>
      <w:r>
        <w:rPr>
          <w:rFonts w:hint="cs"/>
          <w:rtl/>
        </w:rPr>
        <w:t xml:space="preserve">הרבה </w:t>
      </w:r>
      <w:bookmarkStart w:id="60517" w:name="_ETM_Q112_198650"/>
      <w:bookmarkEnd w:id="60517"/>
      <w:r>
        <w:rPr>
          <w:rFonts w:hint="cs"/>
          <w:rtl/>
        </w:rPr>
        <w:t xml:space="preserve">מהסוגיות </w:t>
      </w:r>
      <w:bookmarkStart w:id="60518" w:name="_ETM_Q112_199250"/>
      <w:bookmarkEnd w:id="60518"/>
      <w:r>
        <w:rPr>
          <w:rFonts w:hint="cs"/>
          <w:rtl/>
        </w:rPr>
        <w:t xml:space="preserve">הן איך </w:t>
      </w:r>
      <w:bookmarkStart w:id="60519" w:name="_ETM_Q112_199880"/>
      <w:bookmarkEnd w:id="60519"/>
      <w:r>
        <w:rPr>
          <w:rFonts w:hint="cs"/>
          <w:rtl/>
        </w:rPr>
        <w:t xml:space="preserve">לפרש </w:t>
      </w:r>
      <w:bookmarkStart w:id="60520" w:name="_ETM_Q112_200600"/>
      <w:bookmarkEnd w:id="60520"/>
      <w:r>
        <w:rPr>
          <w:rFonts w:hint="cs"/>
          <w:rtl/>
        </w:rPr>
        <w:t xml:space="preserve">את </w:t>
      </w:r>
      <w:bookmarkStart w:id="60521" w:name="_ETM_Q112_200720"/>
      <w:bookmarkEnd w:id="60521"/>
      <w:r>
        <w:rPr>
          <w:rFonts w:hint="cs"/>
          <w:rtl/>
        </w:rPr>
        <w:t>הדמוקרטי</w:t>
      </w:r>
      <w:r w:rsidR="00E70367">
        <w:rPr>
          <w:rFonts w:hint="cs"/>
          <w:rtl/>
        </w:rPr>
        <w:t>ת</w:t>
      </w:r>
      <w:r>
        <w:rPr>
          <w:rFonts w:hint="cs"/>
          <w:rtl/>
        </w:rPr>
        <w:t xml:space="preserve"> </w:t>
      </w:r>
      <w:bookmarkStart w:id="60522" w:name="_ETM_Q112_201350"/>
      <w:bookmarkEnd w:id="60522"/>
      <w:r>
        <w:rPr>
          <w:rFonts w:hint="cs"/>
          <w:rtl/>
        </w:rPr>
        <w:t xml:space="preserve">ואת </w:t>
      </w:r>
      <w:bookmarkStart w:id="60523" w:name="_ETM_Q112_201529"/>
      <w:bookmarkEnd w:id="60523"/>
      <w:r>
        <w:rPr>
          <w:rFonts w:hint="cs"/>
          <w:rtl/>
        </w:rPr>
        <w:t xml:space="preserve">היהודית </w:t>
      </w:r>
      <w:bookmarkStart w:id="60524" w:name="_ETM_Q112_202070"/>
      <w:bookmarkEnd w:id="60524"/>
      <w:r>
        <w:rPr>
          <w:rFonts w:hint="cs"/>
          <w:rtl/>
        </w:rPr>
        <w:t xml:space="preserve">יחד, </w:t>
      </w:r>
      <w:bookmarkStart w:id="60525" w:name="_ETM_Q112_202970"/>
      <w:bookmarkEnd w:id="60525"/>
      <w:r>
        <w:rPr>
          <w:rFonts w:hint="cs"/>
          <w:rtl/>
        </w:rPr>
        <w:t xml:space="preserve">איך </w:t>
      </w:r>
      <w:bookmarkStart w:id="60526" w:name="_ETM_Q112_203180"/>
      <w:bookmarkEnd w:id="60526"/>
      <w:r>
        <w:rPr>
          <w:rFonts w:hint="cs"/>
          <w:rtl/>
        </w:rPr>
        <w:t xml:space="preserve">למצוא </w:t>
      </w:r>
      <w:bookmarkStart w:id="60527" w:name="_ETM_Q112_203480"/>
      <w:bookmarkEnd w:id="60527"/>
      <w:r>
        <w:rPr>
          <w:rFonts w:hint="cs"/>
          <w:rtl/>
        </w:rPr>
        <w:t xml:space="preserve">דברים </w:t>
      </w:r>
      <w:bookmarkStart w:id="60528" w:name="_ETM_Q112_203840"/>
      <w:bookmarkEnd w:id="60528"/>
      <w:r>
        <w:rPr>
          <w:rFonts w:hint="cs"/>
          <w:rtl/>
        </w:rPr>
        <w:t xml:space="preserve">שבהלכה </w:t>
      </w:r>
      <w:bookmarkStart w:id="60529" w:name="_ETM_Q112_204770"/>
      <w:bookmarkEnd w:id="60529"/>
      <w:r>
        <w:rPr>
          <w:rFonts w:hint="cs"/>
          <w:rtl/>
        </w:rPr>
        <w:t xml:space="preserve">לא </w:t>
      </w:r>
      <w:bookmarkStart w:id="60530" w:name="_ETM_Q112_204950"/>
      <w:bookmarkEnd w:id="60530"/>
      <w:r>
        <w:rPr>
          <w:rFonts w:hint="cs"/>
          <w:rtl/>
        </w:rPr>
        <w:t xml:space="preserve">בהכרח </w:t>
      </w:r>
      <w:bookmarkStart w:id="60531" w:name="_ETM_Q112_205340"/>
      <w:bookmarkEnd w:id="60531"/>
      <w:r>
        <w:rPr>
          <w:rFonts w:hint="cs"/>
          <w:rtl/>
        </w:rPr>
        <w:t xml:space="preserve">אפשר </w:t>
      </w:r>
      <w:bookmarkStart w:id="60532" w:name="_ETM_Q112_205700"/>
      <w:bookmarkEnd w:id="60532"/>
      <w:r>
        <w:rPr>
          <w:rFonts w:hint="cs"/>
          <w:rtl/>
        </w:rPr>
        <w:t xml:space="preserve">היום </w:t>
      </w:r>
      <w:bookmarkStart w:id="60533" w:name="_ETM_Q112_205880"/>
      <w:bookmarkEnd w:id="60533"/>
      <w:r>
        <w:rPr>
          <w:rFonts w:hint="cs"/>
          <w:rtl/>
        </w:rPr>
        <w:t xml:space="preserve">לתת </w:t>
      </w:r>
      <w:bookmarkStart w:id="60534" w:name="_ETM_Q112_206150"/>
      <w:bookmarkEnd w:id="60534"/>
      <w:r>
        <w:rPr>
          <w:rFonts w:hint="cs"/>
          <w:rtl/>
        </w:rPr>
        <w:t xml:space="preserve">להם </w:t>
      </w:r>
      <w:bookmarkStart w:id="60535" w:name="_ETM_Q112_206300"/>
      <w:bookmarkEnd w:id="60535"/>
      <w:r>
        <w:rPr>
          <w:rFonts w:hint="cs"/>
          <w:rtl/>
        </w:rPr>
        <w:t xml:space="preserve">פתרונות </w:t>
      </w:r>
      <w:bookmarkStart w:id="60536" w:name="_ETM_Q112_206810"/>
      <w:bookmarkEnd w:id="60536"/>
      <w:r>
        <w:rPr>
          <w:rFonts w:hint="cs"/>
          <w:rtl/>
        </w:rPr>
        <w:t xml:space="preserve">למדינה </w:t>
      </w:r>
      <w:bookmarkStart w:id="60537" w:name="_ETM_Q112_207349"/>
      <w:bookmarkEnd w:id="60537"/>
      <w:r>
        <w:rPr>
          <w:rFonts w:hint="cs"/>
          <w:rtl/>
        </w:rPr>
        <w:t>יהודית</w:t>
      </w:r>
      <w:bookmarkStart w:id="60538" w:name="_ETM_Q112_207710"/>
      <w:bookmarkEnd w:id="60538"/>
      <w:r>
        <w:rPr>
          <w:rFonts w:hint="cs"/>
          <w:rtl/>
        </w:rPr>
        <w:t>-דמוקרטית</w:t>
      </w:r>
      <w:bookmarkStart w:id="60539" w:name="_ETM_Q112_208670"/>
      <w:bookmarkEnd w:id="60539"/>
      <w:r>
        <w:rPr>
          <w:rFonts w:hint="cs"/>
          <w:rtl/>
        </w:rPr>
        <w:t xml:space="preserve"> </w:t>
      </w:r>
      <w:bookmarkStart w:id="60540" w:name="_ETM_Q112_209090"/>
      <w:bookmarkEnd w:id="60540"/>
      <w:r>
        <w:rPr>
          <w:rFonts w:hint="cs"/>
          <w:rtl/>
        </w:rPr>
        <w:t xml:space="preserve">ומודרנית; </w:t>
      </w:r>
      <w:bookmarkStart w:id="60541" w:name="_ETM_Q112_210200"/>
      <w:bookmarkEnd w:id="60541"/>
      <w:r>
        <w:rPr>
          <w:rFonts w:hint="cs"/>
          <w:rtl/>
        </w:rPr>
        <w:t>אי</w:t>
      </w:r>
      <w:bookmarkStart w:id="60542" w:name="_ETM_Q112_210320"/>
      <w:bookmarkEnd w:id="60542"/>
      <w:r>
        <w:rPr>
          <w:rFonts w:hint="cs"/>
          <w:rtl/>
        </w:rPr>
        <w:t xml:space="preserve">-אפשר </w:t>
      </w:r>
      <w:bookmarkStart w:id="60543" w:name="_ETM_Q112_210590"/>
      <w:bookmarkEnd w:id="60543"/>
      <w:r>
        <w:rPr>
          <w:rFonts w:hint="cs"/>
          <w:rtl/>
        </w:rPr>
        <w:t xml:space="preserve">להתעלם </w:t>
      </w:r>
      <w:bookmarkStart w:id="60544" w:name="_ETM_Q112_211040"/>
      <w:bookmarkEnd w:id="60544"/>
      <w:r>
        <w:rPr>
          <w:rFonts w:hint="cs"/>
          <w:rtl/>
        </w:rPr>
        <w:t xml:space="preserve">מהעובדה </w:t>
      </w:r>
      <w:bookmarkStart w:id="60545" w:name="_ETM_Q112_211400"/>
      <w:bookmarkEnd w:id="60545"/>
      <w:r>
        <w:rPr>
          <w:rFonts w:hint="cs"/>
          <w:rtl/>
        </w:rPr>
        <w:t xml:space="preserve">שהמדינה </w:t>
      </w:r>
      <w:bookmarkStart w:id="60546" w:name="_ETM_Q112_211880"/>
      <w:bookmarkEnd w:id="60546"/>
      <w:r>
        <w:rPr>
          <w:rFonts w:hint="cs"/>
          <w:rtl/>
        </w:rPr>
        <w:t xml:space="preserve">הזו </w:t>
      </w:r>
      <w:bookmarkStart w:id="60547" w:name="_ETM_Q112_212360"/>
      <w:bookmarkEnd w:id="60547"/>
      <w:r>
        <w:rPr>
          <w:rFonts w:hint="cs"/>
          <w:rtl/>
        </w:rPr>
        <w:t xml:space="preserve">היא </w:t>
      </w:r>
      <w:bookmarkStart w:id="60548" w:name="_ETM_Q112_212540"/>
      <w:bookmarkEnd w:id="60548"/>
      <w:r>
        <w:rPr>
          <w:rFonts w:hint="cs"/>
          <w:rtl/>
        </w:rPr>
        <w:t xml:space="preserve">גם </w:t>
      </w:r>
      <w:bookmarkStart w:id="60549" w:name="_ETM_Q112_212720"/>
      <w:bookmarkEnd w:id="60549"/>
      <w:r>
        <w:rPr>
          <w:rFonts w:hint="cs"/>
          <w:rtl/>
        </w:rPr>
        <w:t xml:space="preserve">מדינה </w:t>
      </w:r>
      <w:bookmarkStart w:id="60550" w:name="_ETM_Q112_213440"/>
      <w:bookmarkEnd w:id="60550"/>
      <w:r>
        <w:rPr>
          <w:rFonts w:hint="cs"/>
          <w:rtl/>
        </w:rPr>
        <w:t xml:space="preserve">מודרנית, </w:t>
      </w:r>
      <w:bookmarkStart w:id="60551" w:name="_ETM_Q112_214309"/>
      <w:bookmarkEnd w:id="60551"/>
      <w:r>
        <w:rPr>
          <w:rFonts w:hint="cs"/>
          <w:rtl/>
        </w:rPr>
        <w:t xml:space="preserve">במערב, </w:t>
      </w:r>
      <w:bookmarkStart w:id="60552" w:name="_ETM_Q112_215510"/>
      <w:bookmarkEnd w:id="60552"/>
      <w:r>
        <w:rPr>
          <w:rFonts w:hint="cs"/>
          <w:rtl/>
        </w:rPr>
        <w:t xml:space="preserve">לכן </w:t>
      </w:r>
      <w:bookmarkStart w:id="60553" w:name="_ETM_Q112_216020"/>
      <w:bookmarkEnd w:id="60553"/>
      <w:r>
        <w:rPr>
          <w:rFonts w:hint="cs"/>
          <w:rtl/>
        </w:rPr>
        <w:t xml:space="preserve">יש </w:t>
      </w:r>
      <w:bookmarkStart w:id="60554" w:name="_ETM_Q112_216170"/>
      <w:bookmarkEnd w:id="60554"/>
      <w:r>
        <w:rPr>
          <w:rFonts w:hint="cs"/>
          <w:rtl/>
        </w:rPr>
        <w:t xml:space="preserve">לה </w:t>
      </w:r>
      <w:bookmarkStart w:id="60555" w:name="_ETM_Q112_216260"/>
      <w:bookmarkEnd w:id="60555"/>
      <w:r>
        <w:rPr>
          <w:rFonts w:hint="cs"/>
          <w:rtl/>
        </w:rPr>
        <w:t xml:space="preserve">צרכים </w:t>
      </w:r>
      <w:bookmarkStart w:id="60556" w:name="_ETM_Q112_216680"/>
      <w:bookmarkEnd w:id="60556"/>
      <w:r>
        <w:rPr>
          <w:rFonts w:hint="cs"/>
          <w:rtl/>
        </w:rPr>
        <w:t xml:space="preserve">שונים. </w:t>
      </w:r>
      <w:bookmarkStart w:id="60557" w:name="_ETM_Q112_217280"/>
      <w:bookmarkEnd w:id="60557"/>
      <w:r>
        <w:rPr>
          <w:rFonts w:hint="cs"/>
          <w:rtl/>
        </w:rPr>
        <w:t xml:space="preserve">הקמנו </w:t>
      </w:r>
      <w:bookmarkStart w:id="60558" w:name="_ETM_Q112_217760"/>
      <w:bookmarkEnd w:id="60558"/>
      <w:r>
        <w:rPr>
          <w:rFonts w:hint="cs"/>
          <w:rtl/>
        </w:rPr>
        <w:t xml:space="preserve">פה </w:t>
      </w:r>
      <w:bookmarkStart w:id="60559" w:name="_ETM_Q112_218030"/>
      <w:bookmarkEnd w:id="60559"/>
      <w:r>
        <w:rPr>
          <w:rFonts w:hint="cs"/>
          <w:rtl/>
        </w:rPr>
        <w:t xml:space="preserve">מפעל </w:t>
      </w:r>
      <w:bookmarkStart w:id="60560" w:name="_ETM_Q112_218510"/>
      <w:bookmarkEnd w:id="60560"/>
      <w:r>
        <w:rPr>
          <w:rFonts w:hint="cs"/>
          <w:rtl/>
        </w:rPr>
        <w:t>שהוא</w:t>
      </w:r>
      <w:bookmarkStart w:id="60561" w:name="_ETM_Q112_218780"/>
      <w:bookmarkEnd w:id="60561"/>
      <w:r>
        <w:rPr>
          <w:rFonts w:hint="cs"/>
          <w:rtl/>
        </w:rPr>
        <w:t xml:space="preserve"> נס, </w:t>
      </w:r>
      <w:bookmarkStart w:id="60562" w:name="_ETM_Q112_219409"/>
      <w:bookmarkEnd w:id="60562"/>
      <w:r>
        <w:rPr>
          <w:rFonts w:hint="cs"/>
          <w:rtl/>
        </w:rPr>
        <w:t xml:space="preserve">אבל </w:t>
      </w:r>
      <w:bookmarkStart w:id="60563" w:name="_ETM_Q112_219710"/>
      <w:bookmarkEnd w:id="60563"/>
      <w:r>
        <w:rPr>
          <w:rFonts w:hint="cs"/>
          <w:rtl/>
        </w:rPr>
        <w:t xml:space="preserve">למפעל </w:t>
      </w:r>
      <w:bookmarkStart w:id="60564" w:name="_ETM_Q112_220190"/>
      <w:bookmarkEnd w:id="60564"/>
      <w:r>
        <w:rPr>
          <w:rFonts w:hint="cs"/>
          <w:rtl/>
        </w:rPr>
        <w:t xml:space="preserve">הזה, </w:t>
      </w:r>
      <w:bookmarkStart w:id="60565" w:name="_ETM_Q112_220400"/>
      <w:bookmarkEnd w:id="60565"/>
      <w:r>
        <w:rPr>
          <w:rFonts w:hint="cs"/>
          <w:rtl/>
        </w:rPr>
        <w:t xml:space="preserve">שהוא </w:t>
      </w:r>
      <w:bookmarkStart w:id="60566" w:name="_ETM_Q112_220580"/>
      <w:bookmarkEnd w:id="60566"/>
      <w:r>
        <w:rPr>
          <w:rFonts w:hint="cs"/>
          <w:rtl/>
        </w:rPr>
        <w:t xml:space="preserve">נס, </w:t>
      </w:r>
      <w:bookmarkStart w:id="60567" w:name="_ETM_Q112_220850"/>
      <w:bookmarkEnd w:id="60567"/>
      <w:r>
        <w:rPr>
          <w:rFonts w:hint="cs"/>
          <w:rtl/>
        </w:rPr>
        <w:t xml:space="preserve">יש </w:t>
      </w:r>
      <w:bookmarkStart w:id="60568" w:name="_ETM_Q112_221000"/>
      <w:bookmarkEnd w:id="60568"/>
      <w:r>
        <w:rPr>
          <w:rFonts w:hint="cs"/>
          <w:rtl/>
        </w:rPr>
        <w:t xml:space="preserve">גם </w:t>
      </w:r>
      <w:bookmarkStart w:id="60569" w:name="_ETM_Q112_221180"/>
      <w:bookmarkEnd w:id="60569"/>
      <w:r>
        <w:rPr>
          <w:rFonts w:hint="cs"/>
          <w:rtl/>
        </w:rPr>
        <w:t xml:space="preserve">מורכבויות </w:t>
      </w:r>
      <w:bookmarkStart w:id="60570" w:name="_ETM_Q112_221809"/>
      <w:bookmarkEnd w:id="60570"/>
      <w:r>
        <w:rPr>
          <w:rFonts w:hint="cs"/>
          <w:rtl/>
        </w:rPr>
        <w:t xml:space="preserve">שצריך </w:t>
      </w:r>
      <w:bookmarkStart w:id="60571" w:name="_ETM_Q112_222110"/>
      <w:bookmarkEnd w:id="60571"/>
      <w:r>
        <w:rPr>
          <w:rFonts w:hint="cs"/>
          <w:rtl/>
        </w:rPr>
        <w:t xml:space="preserve">לתת </w:t>
      </w:r>
      <w:bookmarkStart w:id="60572" w:name="_ETM_Q112_222409"/>
      <w:bookmarkEnd w:id="60572"/>
      <w:r>
        <w:rPr>
          <w:rFonts w:hint="cs"/>
          <w:rtl/>
        </w:rPr>
        <w:t xml:space="preserve">עליהן </w:t>
      </w:r>
      <w:bookmarkStart w:id="60573" w:name="_ETM_Q112_222650"/>
      <w:bookmarkEnd w:id="60573"/>
      <w:r>
        <w:rPr>
          <w:rFonts w:hint="cs"/>
          <w:rtl/>
        </w:rPr>
        <w:t xml:space="preserve">את </w:t>
      </w:r>
      <w:bookmarkStart w:id="60574" w:name="_ETM_Q112_222769"/>
      <w:bookmarkEnd w:id="60574"/>
      <w:r>
        <w:rPr>
          <w:rFonts w:hint="cs"/>
          <w:rtl/>
        </w:rPr>
        <w:t xml:space="preserve">הדין. </w:t>
      </w:r>
      <w:bookmarkStart w:id="60575" w:name="_ETM_Q112_223489"/>
      <w:bookmarkEnd w:id="60575"/>
      <w:r>
        <w:rPr>
          <w:rFonts w:hint="cs"/>
          <w:rtl/>
        </w:rPr>
        <w:t xml:space="preserve">זה </w:t>
      </w:r>
      <w:bookmarkStart w:id="60576" w:name="_ETM_Q112_223640"/>
      <w:bookmarkEnd w:id="60576"/>
      <w:r>
        <w:rPr>
          <w:rFonts w:hint="cs"/>
          <w:rtl/>
        </w:rPr>
        <w:t xml:space="preserve">מה </w:t>
      </w:r>
      <w:bookmarkStart w:id="60577" w:name="_ETM_Q112_223729"/>
      <w:bookmarkEnd w:id="60577"/>
      <w:r>
        <w:rPr>
          <w:rFonts w:hint="cs"/>
          <w:rtl/>
        </w:rPr>
        <w:t xml:space="preserve">שבג"ץ </w:t>
      </w:r>
      <w:bookmarkStart w:id="60578" w:name="_ETM_Q112_224149"/>
      <w:bookmarkEnd w:id="60578"/>
      <w:r>
        <w:rPr>
          <w:rFonts w:hint="cs"/>
          <w:rtl/>
        </w:rPr>
        <w:t xml:space="preserve">ניסה </w:t>
      </w:r>
      <w:bookmarkStart w:id="60579" w:name="_ETM_Q112_224479"/>
      <w:bookmarkEnd w:id="60579"/>
      <w:r>
        <w:rPr>
          <w:rFonts w:hint="cs"/>
          <w:rtl/>
        </w:rPr>
        <w:t xml:space="preserve">לעשות </w:t>
      </w:r>
      <w:bookmarkStart w:id="60580" w:name="_ETM_Q112_224899"/>
      <w:bookmarkEnd w:id="60580"/>
      <w:r>
        <w:rPr>
          <w:rFonts w:hint="cs"/>
          <w:rtl/>
        </w:rPr>
        <w:t xml:space="preserve">לאורך </w:t>
      </w:r>
      <w:bookmarkStart w:id="60581" w:name="_ETM_Q112_225140"/>
      <w:bookmarkEnd w:id="60581"/>
      <w:r>
        <w:rPr>
          <w:rFonts w:hint="cs"/>
          <w:rtl/>
        </w:rPr>
        <w:t xml:space="preserve">השנים. </w:t>
      </w:r>
      <w:bookmarkStart w:id="60582" w:name="_ETM_Q112_225739"/>
      <w:bookmarkEnd w:id="60582"/>
      <w:r>
        <w:rPr>
          <w:rFonts w:hint="cs"/>
          <w:rtl/>
        </w:rPr>
        <w:t xml:space="preserve">זה </w:t>
      </w:r>
      <w:bookmarkStart w:id="60583" w:name="_ETM_Q112_225920"/>
      <w:bookmarkEnd w:id="60583"/>
      <w:r>
        <w:rPr>
          <w:rFonts w:hint="cs"/>
          <w:rtl/>
        </w:rPr>
        <w:t xml:space="preserve">מה </w:t>
      </w:r>
      <w:bookmarkStart w:id="60584" w:name="_ETM_Q112_226010"/>
      <w:bookmarkEnd w:id="60584"/>
      <w:r>
        <w:rPr>
          <w:rFonts w:hint="cs"/>
          <w:rtl/>
        </w:rPr>
        <w:t xml:space="preserve">שהמחוקקים </w:t>
      </w:r>
      <w:bookmarkStart w:id="60585" w:name="_ETM_Q112_226700"/>
      <w:bookmarkEnd w:id="60585"/>
      <w:r>
        <w:rPr>
          <w:rFonts w:hint="cs"/>
          <w:rtl/>
        </w:rPr>
        <w:t xml:space="preserve">ניסו, </w:t>
      </w:r>
      <w:bookmarkStart w:id="60586" w:name="_ETM_Q112_226940"/>
      <w:bookmarkEnd w:id="60586"/>
      <w:r>
        <w:rPr>
          <w:rFonts w:hint="cs"/>
          <w:rtl/>
        </w:rPr>
        <w:t xml:space="preserve">חלקם, </w:t>
      </w:r>
      <w:bookmarkStart w:id="60587" w:name="_ETM_Q112_227300"/>
      <w:bookmarkEnd w:id="60587"/>
      <w:r>
        <w:rPr>
          <w:rFonts w:hint="cs"/>
          <w:rtl/>
        </w:rPr>
        <w:t xml:space="preserve">לעשות. </w:t>
      </w:r>
      <w:bookmarkStart w:id="60588" w:name="_ETM_Q112_227629"/>
      <w:bookmarkEnd w:id="60588"/>
      <w:r>
        <w:rPr>
          <w:rFonts w:hint="cs"/>
          <w:rtl/>
        </w:rPr>
        <w:t xml:space="preserve">אבל </w:t>
      </w:r>
      <w:bookmarkStart w:id="60589" w:name="_ETM_Q112_227840"/>
      <w:bookmarkEnd w:id="60589"/>
      <w:r>
        <w:rPr>
          <w:rFonts w:hint="cs"/>
          <w:rtl/>
        </w:rPr>
        <w:t xml:space="preserve">אני </w:t>
      </w:r>
      <w:bookmarkStart w:id="60590" w:name="_ETM_Q112_227930"/>
      <w:bookmarkEnd w:id="60590"/>
      <w:r>
        <w:rPr>
          <w:rFonts w:hint="cs"/>
          <w:rtl/>
        </w:rPr>
        <w:t xml:space="preserve">מזכיר </w:t>
      </w:r>
      <w:bookmarkStart w:id="60591" w:name="_ETM_Q112_228290"/>
      <w:bookmarkEnd w:id="60591"/>
      <w:r>
        <w:rPr>
          <w:rFonts w:hint="cs"/>
          <w:rtl/>
        </w:rPr>
        <w:t>שוב, אם</w:t>
      </w:r>
      <w:bookmarkStart w:id="60592" w:name="_ETM_Q112_228950"/>
      <w:bookmarkEnd w:id="60592"/>
      <w:r>
        <w:rPr>
          <w:rFonts w:hint="cs"/>
          <w:rtl/>
        </w:rPr>
        <w:t xml:space="preserve"> </w:t>
      </w:r>
      <w:bookmarkStart w:id="60593" w:name="_ETM_Q112_229250"/>
      <w:bookmarkEnd w:id="60593"/>
      <w:r>
        <w:rPr>
          <w:rFonts w:hint="cs"/>
          <w:rtl/>
        </w:rPr>
        <w:t xml:space="preserve">המחוקקים </w:t>
      </w:r>
      <w:bookmarkStart w:id="60594" w:name="_ETM_Q112_229790"/>
      <w:bookmarkEnd w:id="60594"/>
      <w:r>
        <w:rPr>
          <w:rFonts w:hint="cs"/>
          <w:rtl/>
        </w:rPr>
        <w:t xml:space="preserve">שקדמו </w:t>
      </w:r>
      <w:bookmarkStart w:id="60595" w:name="_ETM_Q112_230180"/>
      <w:bookmarkEnd w:id="60595"/>
      <w:r>
        <w:rPr>
          <w:rFonts w:hint="cs"/>
          <w:rtl/>
        </w:rPr>
        <w:t xml:space="preserve">לנו </w:t>
      </w:r>
      <w:bookmarkStart w:id="60596" w:name="_ETM_Q112_230420"/>
      <w:bookmarkEnd w:id="60596"/>
      <w:r>
        <w:rPr>
          <w:rFonts w:hint="cs"/>
          <w:rtl/>
        </w:rPr>
        <w:t xml:space="preserve">היו </w:t>
      </w:r>
      <w:bookmarkStart w:id="60597" w:name="_ETM_Q112_230600"/>
      <w:bookmarkEnd w:id="60597"/>
      <w:r>
        <w:rPr>
          <w:rFonts w:hint="cs"/>
          <w:rtl/>
        </w:rPr>
        <w:t xml:space="preserve">מגיעים </w:t>
      </w:r>
      <w:bookmarkStart w:id="60598" w:name="_ETM_Q112_230899"/>
      <w:bookmarkEnd w:id="60598"/>
      <w:r>
        <w:rPr>
          <w:rFonts w:hint="cs"/>
          <w:rtl/>
        </w:rPr>
        <w:t xml:space="preserve">להכרעות </w:t>
      </w:r>
      <w:bookmarkStart w:id="60599" w:name="_ETM_Q112_231860"/>
      <w:bookmarkEnd w:id="60599"/>
      <w:r>
        <w:rPr>
          <w:rFonts w:hint="cs"/>
          <w:rtl/>
        </w:rPr>
        <w:t xml:space="preserve">כבר </w:t>
      </w:r>
      <w:bookmarkStart w:id="60600" w:name="_ETM_Q112_232220"/>
      <w:bookmarkEnd w:id="60600"/>
      <w:r>
        <w:rPr>
          <w:rFonts w:hint="cs"/>
          <w:rtl/>
        </w:rPr>
        <w:t>אז</w:t>
      </w:r>
      <w:r w:rsidR="00E70367">
        <w:rPr>
          <w:rFonts w:hint="cs"/>
          <w:rtl/>
        </w:rPr>
        <w:t>,</w:t>
      </w:r>
      <w:r>
        <w:rPr>
          <w:rFonts w:hint="cs"/>
          <w:rtl/>
        </w:rPr>
        <w:t xml:space="preserve"> </w:t>
      </w:r>
      <w:bookmarkStart w:id="60601" w:name="_ETM_Q112_232460"/>
      <w:bookmarkEnd w:id="60601"/>
      <w:r>
        <w:rPr>
          <w:rFonts w:hint="cs"/>
          <w:rtl/>
        </w:rPr>
        <w:t xml:space="preserve">לא </w:t>
      </w:r>
      <w:bookmarkStart w:id="60602" w:name="_ETM_Q112_232580"/>
      <w:bookmarkEnd w:id="60602"/>
      <w:r>
        <w:rPr>
          <w:rFonts w:hint="cs"/>
          <w:rtl/>
        </w:rPr>
        <w:t xml:space="preserve">היה </w:t>
      </w:r>
      <w:bookmarkStart w:id="60603" w:name="_ETM_Q112_232670"/>
      <w:bookmarkEnd w:id="60603"/>
      <w:r>
        <w:rPr>
          <w:rFonts w:hint="cs"/>
          <w:rtl/>
        </w:rPr>
        <w:t xml:space="preserve">צריך </w:t>
      </w:r>
      <w:bookmarkStart w:id="60604" w:name="_ETM_Q112_232820"/>
      <w:bookmarkEnd w:id="60604"/>
      <w:r>
        <w:rPr>
          <w:rFonts w:hint="cs"/>
          <w:rtl/>
        </w:rPr>
        <w:t xml:space="preserve">את </w:t>
      </w:r>
      <w:bookmarkStart w:id="60605" w:name="_ETM_Q112_232940"/>
      <w:bookmarkEnd w:id="60605"/>
      <w:r>
        <w:rPr>
          <w:rFonts w:hint="cs"/>
          <w:rtl/>
        </w:rPr>
        <w:t xml:space="preserve">החלטת </w:t>
      </w:r>
      <w:bookmarkStart w:id="60606" w:name="_ETM_Q112_233360"/>
      <w:bookmarkEnd w:id="60606"/>
      <w:r>
        <w:rPr>
          <w:rFonts w:hint="cs"/>
          <w:rtl/>
        </w:rPr>
        <w:t>הררי</w:t>
      </w:r>
      <w:bookmarkStart w:id="60607" w:name="_ETM_Q112_234050"/>
      <w:bookmarkEnd w:id="60607"/>
      <w:r>
        <w:rPr>
          <w:rFonts w:hint="cs"/>
          <w:rtl/>
        </w:rPr>
        <w:t xml:space="preserve">, </w:t>
      </w:r>
      <w:bookmarkStart w:id="60608" w:name="_ETM_Q112_234290"/>
      <w:bookmarkEnd w:id="60608"/>
      <w:r>
        <w:rPr>
          <w:rFonts w:hint="cs"/>
          <w:rtl/>
        </w:rPr>
        <w:t xml:space="preserve">הייתה </w:t>
      </w:r>
      <w:bookmarkStart w:id="60609" w:name="_ETM_Q112_234530"/>
      <w:bookmarkEnd w:id="60609"/>
      <w:r>
        <w:rPr>
          <w:rFonts w:hint="cs"/>
          <w:rtl/>
        </w:rPr>
        <w:t xml:space="preserve">לנו </w:t>
      </w:r>
      <w:bookmarkStart w:id="60610" w:name="_ETM_Q112_234740"/>
      <w:bookmarkEnd w:id="60610"/>
      <w:r>
        <w:rPr>
          <w:rFonts w:hint="cs"/>
          <w:rtl/>
        </w:rPr>
        <w:t xml:space="preserve">חוקה </w:t>
      </w:r>
      <w:bookmarkStart w:id="60611" w:name="_ETM_Q112_235460"/>
      <w:bookmarkEnd w:id="60611"/>
      <w:r>
        <w:rPr>
          <w:rFonts w:hint="cs"/>
          <w:rtl/>
        </w:rPr>
        <w:t xml:space="preserve">בכנסת </w:t>
      </w:r>
      <w:bookmarkStart w:id="60612" w:name="_ETM_Q112_236000"/>
      <w:bookmarkEnd w:id="60612"/>
      <w:r>
        <w:rPr>
          <w:rFonts w:hint="cs"/>
          <w:rtl/>
        </w:rPr>
        <w:t xml:space="preserve">הראשונה </w:t>
      </w:r>
      <w:bookmarkStart w:id="60613" w:name="_ETM_Q112_236720"/>
      <w:bookmarkEnd w:id="60613"/>
      <w:r>
        <w:rPr>
          <w:rFonts w:hint="cs"/>
          <w:rtl/>
        </w:rPr>
        <w:t xml:space="preserve">וכללי </w:t>
      </w:r>
      <w:bookmarkStart w:id="60614" w:name="_ETM_Q112_237200"/>
      <w:bookmarkEnd w:id="60614"/>
      <w:r>
        <w:rPr>
          <w:rFonts w:hint="cs"/>
          <w:rtl/>
        </w:rPr>
        <w:t xml:space="preserve">המשחק </w:t>
      </w:r>
      <w:bookmarkStart w:id="60615" w:name="_ETM_Q112_237620"/>
      <w:bookmarkEnd w:id="60615"/>
      <w:r>
        <w:rPr>
          <w:rFonts w:hint="cs"/>
          <w:rtl/>
        </w:rPr>
        <w:t xml:space="preserve">היו </w:t>
      </w:r>
      <w:bookmarkStart w:id="60616" w:name="_ETM_Q112_237830"/>
      <w:bookmarkEnd w:id="60616"/>
      <w:r>
        <w:rPr>
          <w:rFonts w:hint="cs"/>
          <w:rtl/>
        </w:rPr>
        <w:t>ידועים.</w:t>
      </w:r>
    </w:p>
    <w:p w:rsidR="00BB59CD" w:rsidRDefault="00BB59CD" w:rsidP="00BB59CD">
      <w:pPr>
        <w:rPr>
          <w:rtl/>
        </w:rPr>
      </w:pPr>
      <w:bookmarkStart w:id="60617" w:name="_ETM_Q112_242000"/>
      <w:bookmarkEnd w:id="60617"/>
    </w:p>
    <w:p w:rsidR="00BB59CD" w:rsidRDefault="00BB59CD" w:rsidP="00E70367">
      <w:pPr>
        <w:rPr>
          <w:rtl/>
        </w:rPr>
      </w:pPr>
      <w:bookmarkStart w:id="60618" w:name="_ETM_Q112_237000"/>
      <w:bookmarkStart w:id="60619" w:name="_ETM_Q112_239050"/>
      <w:bookmarkEnd w:id="60618"/>
      <w:bookmarkEnd w:id="60619"/>
      <w:r>
        <w:rPr>
          <w:rFonts w:hint="cs"/>
          <w:rtl/>
        </w:rPr>
        <w:t xml:space="preserve">מה </w:t>
      </w:r>
      <w:bookmarkStart w:id="60620" w:name="_ETM_Q112_239230"/>
      <w:bookmarkEnd w:id="60620"/>
      <w:r>
        <w:rPr>
          <w:rFonts w:hint="cs"/>
          <w:rtl/>
        </w:rPr>
        <w:t xml:space="preserve">שהמחוקקים </w:t>
      </w:r>
      <w:bookmarkStart w:id="60621" w:name="_ETM_Q112_239920"/>
      <w:bookmarkEnd w:id="60621"/>
      <w:r>
        <w:rPr>
          <w:rFonts w:hint="cs"/>
          <w:rtl/>
        </w:rPr>
        <w:t xml:space="preserve">של הדור </w:t>
      </w:r>
      <w:bookmarkStart w:id="60622" w:name="_ETM_Q112_240340"/>
      <w:bookmarkEnd w:id="60622"/>
      <w:r>
        <w:rPr>
          <w:rFonts w:hint="cs"/>
          <w:rtl/>
        </w:rPr>
        <w:t xml:space="preserve">שלנו </w:t>
      </w:r>
      <w:bookmarkStart w:id="60623" w:name="_ETM_Q112_240760"/>
      <w:bookmarkEnd w:id="60623"/>
      <w:r>
        <w:rPr>
          <w:rFonts w:hint="cs"/>
          <w:rtl/>
        </w:rPr>
        <w:t xml:space="preserve">צריכים </w:t>
      </w:r>
      <w:bookmarkStart w:id="60624" w:name="_ETM_Q112_241090"/>
      <w:bookmarkEnd w:id="60624"/>
      <w:r>
        <w:rPr>
          <w:rFonts w:hint="cs"/>
          <w:rtl/>
        </w:rPr>
        <w:t xml:space="preserve">לעשות </w:t>
      </w:r>
      <w:bookmarkStart w:id="60625" w:name="_ETM_Q112_241870"/>
      <w:bookmarkEnd w:id="60625"/>
      <w:r>
        <w:rPr>
          <w:rFonts w:hint="cs"/>
          <w:rtl/>
        </w:rPr>
        <w:t xml:space="preserve">הוא </w:t>
      </w:r>
      <w:bookmarkStart w:id="60626" w:name="_ETM_Q112_242050"/>
      <w:bookmarkEnd w:id="60626"/>
      <w:r>
        <w:rPr>
          <w:rFonts w:hint="cs"/>
          <w:rtl/>
        </w:rPr>
        <w:t xml:space="preserve">להשלים </w:t>
      </w:r>
      <w:bookmarkStart w:id="60627" w:name="_ETM_Q112_242440"/>
      <w:bookmarkEnd w:id="60627"/>
      <w:r>
        <w:rPr>
          <w:rFonts w:hint="cs"/>
          <w:rtl/>
        </w:rPr>
        <w:t xml:space="preserve">את </w:t>
      </w:r>
      <w:bookmarkStart w:id="60628" w:name="_ETM_Q112_242530"/>
      <w:bookmarkEnd w:id="60628"/>
      <w:r>
        <w:rPr>
          <w:rFonts w:hint="cs"/>
          <w:rtl/>
        </w:rPr>
        <w:t xml:space="preserve">אותה מלאכה </w:t>
      </w:r>
      <w:bookmarkStart w:id="60629" w:name="_ETM_Q112_242800"/>
      <w:bookmarkStart w:id="60630" w:name="_ETM_Q112_243130"/>
      <w:bookmarkEnd w:id="60629"/>
      <w:bookmarkEnd w:id="60630"/>
      <w:r>
        <w:rPr>
          <w:rFonts w:hint="cs"/>
          <w:rtl/>
        </w:rPr>
        <w:t xml:space="preserve">שמעולם </w:t>
      </w:r>
      <w:bookmarkStart w:id="60631" w:name="_ETM_Q112_243670"/>
      <w:bookmarkEnd w:id="60631"/>
      <w:r>
        <w:rPr>
          <w:rFonts w:hint="cs"/>
          <w:rtl/>
        </w:rPr>
        <w:t xml:space="preserve">לא </w:t>
      </w:r>
      <w:bookmarkStart w:id="60632" w:name="_ETM_Q112_243760"/>
      <w:bookmarkEnd w:id="60632"/>
      <w:r>
        <w:rPr>
          <w:rFonts w:hint="cs"/>
          <w:rtl/>
        </w:rPr>
        <w:t xml:space="preserve">הושלמה. </w:t>
      </w:r>
      <w:bookmarkStart w:id="60633" w:name="_ETM_Q112_244209"/>
      <w:bookmarkEnd w:id="60633"/>
      <w:r>
        <w:rPr>
          <w:rFonts w:hint="cs"/>
          <w:rtl/>
        </w:rPr>
        <w:t xml:space="preserve">אחרת, </w:t>
      </w:r>
      <w:bookmarkStart w:id="60634" w:name="_ETM_Q112_244510"/>
      <w:bookmarkEnd w:id="60634"/>
      <w:r>
        <w:rPr>
          <w:rFonts w:hint="cs"/>
          <w:rtl/>
        </w:rPr>
        <w:t xml:space="preserve">זה </w:t>
      </w:r>
      <w:bookmarkStart w:id="60635" w:name="_ETM_Q112_244600"/>
      <w:bookmarkEnd w:id="60635"/>
      <w:r>
        <w:rPr>
          <w:rFonts w:hint="cs"/>
          <w:rtl/>
        </w:rPr>
        <w:t xml:space="preserve">עוד </w:t>
      </w:r>
      <w:bookmarkStart w:id="60636" w:name="_ETM_Q112_244750"/>
      <w:bookmarkEnd w:id="60636"/>
      <w:r>
        <w:rPr>
          <w:rFonts w:hint="cs"/>
          <w:rtl/>
        </w:rPr>
        <w:t xml:space="preserve">ישראבלוף. </w:t>
      </w:r>
      <w:bookmarkStart w:id="60637" w:name="_ETM_Q112_245680"/>
      <w:bookmarkEnd w:id="60637"/>
      <w:r>
        <w:rPr>
          <w:rFonts w:hint="cs"/>
          <w:rtl/>
        </w:rPr>
        <w:t>אחרת,</w:t>
      </w:r>
      <w:bookmarkStart w:id="60638" w:name="_ETM_Q112_245920"/>
      <w:bookmarkEnd w:id="60638"/>
      <w:r>
        <w:rPr>
          <w:rFonts w:hint="cs"/>
          <w:rtl/>
        </w:rPr>
        <w:t xml:space="preserve"> אנחנו </w:t>
      </w:r>
      <w:bookmarkStart w:id="60639" w:name="_ETM_Q112_246040"/>
      <w:bookmarkEnd w:id="60639"/>
      <w:r>
        <w:rPr>
          <w:rFonts w:hint="cs"/>
          <w:rtl/>
        </w:rPr>
        <w:t xml:space="preserve">נמצא </w:t>
      </w:r>
      <w:bookmarkStart w:id="60640" w:name="_ETM_Q112_246370"/>
      <w:bookmarkEnd w:id="60640"/>
      <w:r>
        <w:rPr>
          <w:rFonts w:hint="cs"/>
          <w:rtl/>
        </w:rPr>
        <w:t xml:space="preserve">את </w:t>
      </w:r>
      <w:bookmarkStart w:id="60641" w:name="_ETM_Q112_246459"/>
      <w:bookmarkEnd w:id="60641"/>
      <w:r>
        <w:rPr>
          <w:rFonts w:hint="cs"/>
          <w:rtl/>
        </w:rPr>
        <w:t xml:space="preserve">עצמנו </w:t>
      </w:r>
      <w:bookmarkStart w:id="60642" w:name="_ETM_Q112_247240"/>
      <w:bookmarkEnd w:id="60642"/>
      <w:r>
        <w:rPr>
          <w:rFonts w:hint="cs"/>
          <w:rtl/>
        </w:rPr>
        <w:t xml:space="preserve">רבים </w:t>
      </w:r>
      <w:bookmarkStart w:id="60643" w:name="_ETM_Q112_247690"/>
      <w:bookmarkEnd w:id="60643"/>
      <w:r>
        <w:rPr>
          <w:rFonts w:hint="cs"/>
          <w:rtl/>
        </w:rPr>
        <w:t xml:space="preserve">ונלחמים </w:t>
      </w:r>
      <w:bookmarkStart w:id="60644" w:name="_ETM_Q112_248230"/>
      <w:bookmarkEnd w:id="60644"/>
      <w:r>
        <w:rPr>
          <w:rFonts w:hint="cs"/>
          <w:rtl/>
        </w:rPr>
        <w:t xml:space="preserve">זה </w:t>
      </w:r>
      <w:bookmarkStart w:id="60645" w:name="_ETM_Q112_248350"/>
      <w:bookmarkEnd w:id="60645"/>
      <w:r>
        <w:rPr>
          <w:rFonts w:hint="cs"/>
          <w:rtl/>
        </w:rPr>
        <w:t xml:space="preserve">בזה, </w:t>
      </w:r>
      <w:bookmarkStart w:id="60646" w:name="_ETM_Q112_248950"/>
      <w:bookmarkEnd w:id="60646"/>
      <w:r>
        <w:rPr>
          <w:rFonts w:hint="cs"/>
          <w:rtl/>
        </w:rPr>
        <w:t xml:space="preserve">אם </w:t>
      </w:r>
      <w:bookmarkStart w:id="60647" w:name="_ETM_Q112_249100"/>
      <w:bookmarkEnd w:id="60647"/>
      <w:r>
        <w:rPr>
          <w:rFonts w:hint="cs"/>
          <w:rtl/>
        </w:rPr>
        <w:t xml:space="preserve">לא </w:t>
      </w:r>
      <w:bookmarkStart w:id="60648" w:name="_ETM_Q112_249190"/>
      <w:bookmarkEnd w:id="60648"/>
      <w:r>
        <w:rPr>
          <w:rFonts w:hint="cs"/>
          <w:rtl/>
        </w:rPr>
        <w:t xml:space="preserve">שנה </w:t>
      </w:r>
      <w:bookmarkStart w:id="60649" w:name="_ETM_Q112_249550"/>
      <w:bookmarkEnd w:id="60649"/>
      <w:r>
        <w:rPr>
          <w:rFonts w:hint="cs"/>
          <w:rtl/>
        </w:rPr>
        <w:t xml:space="preserve">מהיום, </w:t>
      </w:r>
      <w:bookmarkStart w:id="60650" w:name="_ETM_Q112_249910"/>
      <w:bookmarkEnd w:id="60650"/>
      <w:r>
        <w:rPr>
          <w:rFonts w:hint="cs"/>
          <w:rtl/>
        </w:rPr>
        <w:t xml:space="preserve">אז </w:t>
      </w:r>
      <w:bookmarkStart w:id="60651" w:name="_ETM_Q112_250030"/>
      <w:bookmarkStart w:id="60652" w:name="_ETM_Q112_250330"/>
      <w:bookmarkEnd w:id="60651"/>
      <w:bookmarkEnd w:id="60652"/>
      <w:r>
        <w:rPr>
          <w:rFonts w:hint="cs"/>
          <w:rtl/>
        </w:rPr>
        <w:t xml:space="preserve">חמש </w:t>
      </w:r>
      <w:bookmarkStart w:id="60653" w:name="_ETM_Q112_252000"/>
      <w:bookmarkEnd w:id="60653"/>
      <w:r>
        <w:rPr>
          <w:rFonts w:hint="cs"/>
          <w:rtl/>
        </w:rPr>
        <w:t xml:space="preserve">שנים </w:t>
      </w:r>
      <w:bookmarkStart w:id="60654" w:name="_ETM_Q112_250569"/>
      <w:bookmarkEnd w:id="60654"/>
      <w:r>
        <w:rPr>
          <w:rFonts w:hint="cs"/>
          <w:rtl/>
        </w:rPr>
        <w:t xml:space="preserve">מהיום ועשר </w:t>
      </w:r>
      <w:bookmarkStart w:id="60655" w:name="_ETM_Q112_250870"/>
      <w:bookmarkStart w:id="60656" w:name="_ETM_Q112_251260"/>
      <w:bookmarkEnd w:id="60655"/>
      <w:bookmarkEnd w:id="60656"/>
      <w:r>
        <w:rPr>
          <w:rFonts w:hint="cs"/>
          <w:rtl/>
        </w:rPr>
        <w:t xml:space="preserve">שנים </w:t>
      </w:r>
      <w:bookmarkStart w:id="60657" w:name="_ETM_Q112_251530"/>
      <w:bookmarkEnd w:id="60657"/>
      <w:r>
        <w:rPr>
          <w:rFonts w:hint="cs"/>
          <w:rtl/>
        </w:rPr>
        <w:t>מהיום</w:t>
      </w:r>
      <w:r w:rsidR="00E70367">
        <w:rPr>
          <w:rFonts w:hint="cs"/>
          <w:rtl/>
        </w:rPr>
        <w:t>.</w:t>
      </w:r>
      <w:r>
        <w:rPr>
          <w:rFonts w:hint="cs"/>
          <w:rtl/>
        </w:rPr>
        <w:t xml:space="preserve"> </w:t>
      </w:r>
      <w:bookmarkStart w:id="60658" w:name="_ETM_Q112_252040"/>
      <w:bookmarkEnd w:id="60658"/>
      <w:r>
        <w:rPr>
          <w:rFonts w:hint="cs"/>
          <w:rtl/>
        </w:rPr>
        <w:t xml:space="preserve">ואני </w:t>
      </w:r>
      <w:bookmarkStart w:id="60659" w:name="_ETM_Q112_252280"/>
      <w:bookmarkEnd w:id="60659"/>
      <w:r>
        <w:rPr>
          <w:rFonts w:hint="cs"/>
          <w:rtl/>
        </w:rPr>
        <w:t xml:space="preserve">כבר </w:t>
      </w:r>
      <w:bookmarkStart w:id="60660" w:name="_ETM_Q112_252490"/>
      <w:bookmarkEnd w:id="60660"/>
      <w:r>
        <w:rPr>
          <w:rFonts w:hint="cs"/>
          <w:rtl/>
        </w:rPr>
        <w:t xml:space="preserve">לא </w:t>
      </w:r>
      <w:bookmarkStart w:id="60661" w:name="_ETM_Q112_252580"/>
      <w:bookmarkEnd w:id="60661"/>
      <w:r>
        <w:rPr>
          <w:rFonts w:hint="cs"/>
          <w:rtl/>
        </w:rPr>
        <w:t xml:space="preserve">יודע </w:t>
      </w:r>
      <w:bookmarkStart w:id="60662" w:name="_ETM_Q112_252760"/>
      <w:bookmarkEnd w:id="60662"/>
      <w:r>
        <w:rPr>
          <w:rFonts w:hint="cs"/>
          <w:rtl/>
        </w:rPr>
        <w:t xml:space="preserve">– אם </w:t>
      </w:r>
      <w:bookmarkStart w:id="60663" w:name="_ETM_Q112_252819"/>
      <w:bookmarkStart w:id="60664" w:name="_ETM_Q112_253150"/>
      <w:bookmarkStart w:id="60665" w:name="_ETM_Q112_253600"/>
      <w:bookmarkEnd w:id="60663"/>
      <w:bookmarkEnd w:id="60664"/>
      <w:bookmarkEnd w:id="60665"/>
      <w:r>
        <w:rPr>
          <w:rFonts w:hint="cs"/>
          <w:rtl/>
        </w:rPr>
        <w:t xml:space="preserve">נצלח </w:t>
      </w:r>
      <w:bookmarkStart w:id="60666" w:name="_ETM_Q112_254110"/>
      <w:bookmarkEnd w:id="60666"/>
      <w:r>
        <w:rPr>
          <w:rFonts w:hint="cs"/>
          <w:rtl/>
        </w:rPr>
        <w:t xml:space="preserve">את </w:t>
      </w:r>
      <w:bookmarkStart w:id="60667" w:name="_ETM_Q112_254230"/>
      <w:bookmarkEnd w:id="60667"/>
      <w:r>
        <w:rPr>
          <w:rFonts w:hint="cs"/>
          <w:rtl/>
        </w:rPr>
        <w:t xml:space="preserve">המשבר </w:t>
      </w:r>
      <w:bookmarkStart w:id="60668" w:name="_ETM_Q112_254650"/>
      <w:bookmarkEnd w:id="60668"/>
      <w:r>
        <w:rPr>
          <w:rFonts w:hint="cs"/>
          <w:rtl/>
        </w:rPr>
        <w:t xml:space="preserve">הזה, </w:t>
      </w:r>
      <w:bookmarkStart w:id="60669" w:name="_ETM_Q112_255220"/>
      <w:bookmarkEnd w:id="60669"/>
      <w:r>
        <w:rPr>
          <w:rFonts w:hint="cs"/>
          <w:rtl/>
        </w:rPr>
        <w:t xml:space="preserve">אני </w:t>
      </w:r>
      <w:bookmarkStart w:id="60670" w:name="_ETM_Q112_255459"/>
      <w:bookmarkEnd w:id="60670"/>
      <w:r>
        <w:rPr>
          <w:rFonts w:hint="cs"/>
          <w:rtl/>
        </w:rPr>
        <w:t xml:space="preserve">לא </w:t>
      </w:r>
      <w:bookmarkStart w:id="60671" w:name="_ETM_Q112_255580"/>
      <w:bookmarkEnd w:id="60671"/>
      <w:r>
        <w:rPr>
          <w:rFonts w:hint="cs"/>
          <w:rtl/>
        </w:rPr>
        <w:t xml:space="preserve">יודע </w:t>
      </w:r>
      <w:bookmarkStart w:id="60672" w:name="_ETM_Q112_255729"/>
      <w:bookmarkEnd w:id="60672"/>
      <w:r>
        <w:rPr>
          <w:rFonts w:hint="cs"/>
          <w:rtl/>
        </w:rPr>
        <w:t xml:space="preserve">אם </w:t>
      </w:r>
      <w:bookmarkStart w:id="60673" w:name="_ETM_Q112_255790"/>
      <w:bookmarkEnd w:id="60673"/>
      <w:r>
        <w:rPr>
          <w:rFonts w:hint="cs"/>
          <w:rtl/>
        </w:rPr>
        <w:t xml:space="preserve">נצלח </w:t>
      </w:r>
      <w:bookmarkStart w:id="60674" w:name="_ETM_Q112_256090"/>
      <w:bookmarkEnd w:id="60674"/>
      <w:r>
        <w:rPr>
          <w:rFonts w:hint="cs"/>
          <w:rtl/>
        </w:rPr>
        <w:t xml:space="preserve">את </w:t>
      </w:r>
      <w:bookmarkStart w:id="60675" w:name="_ETM_Q112_256209"/>
      <w:bookmarkEnd w:id="60675"/>
      <w:r>
        <w:rPr>
          <w:rFonts w:hint="cs"/>
          <w:rtl/>
        </w:rPr>
        <w:t xml:space="preserve">המשבר </w:t>
      </w:r>
      <w:bookmarkStart w:id="60676" w:name="_ETM_Q112_256569"/>
      <w:bookmarkEnd w:id="60676"/>
      <w:r>
        <w:rPr>
          <w:rFonts w:hint="cs"/>
          <w:rtl/>
        </w:rPr>
        <w:t xml:space="preserve">הבא. </w:t>
      </w:r>
      <w:bookmarkStart w:id="60677" w:name="_ETM_Q112_257579"/>
      <w:bookmarkEnd w:id="60677"/>
      <w:r>
        <w:rPr>
          <w:rFonts w:hint="cs"/>
          <w:rtl/>
        </w:rPr>
        <w:t xml:space="preserve">יש </w:t>
      </w:r>
      <w:bookmarkStart w:id="60678" w:name="_ETM_Q112_257759"/>
      <w:bookmarkEnd w:id="60678"/>
      <w:r>
        <w:rPr>
          <w:rFonts w:hint="cs"/>
          <w:rtl/>
        </w:rPr>
        <w:t xml:space="preserve">פה </w:t>
      </w:r>
      <w:bookmarkStart w:id="60679" w:name="_ETM_Q112_258030"/>
      <w:bookmarkEnd w:id="60679"/>
      <w:r>
        <w:rPr>
          <w:rFonts w:hint="cs"/>
          <w:rtl/>
        </w:rPr>
        <w:t xml:space="preserve">אחריות </w:t>
      </w:r>
      <w:bookmarkStart w:id="60680" w:name="_ETM_Q112_258539"/>
      <w:bookmarkEnd w:id="60680"/>
      <w:r>
        <w:rPr>
          <w:rFonts w:hint="cs"/>
          <w:rtl/>
        </w:rPr>
        <w:t xml:space="preserve">של </w:t>
      </w:r>
      <w:bookmarkStart w:id="60681" w:name="_ETM_Q112_258659"/>
      <w:bookmarkEnd w:id="60681"/>
      <w:r>
        <w:rPr>
          <w:rFonts w:hint="cs"/>
          <w:rtl/>
        </w:rPr>
        <w:t xml:space="preserve">אנשים </w:t>
      </w:r>
      <w:bookmarkStart w:id="60682" w:name="_ETM_Q112_259020"/>
      <w:bookmarkEnd w:id="60682"/>
      <w:r>
        <w:rPr>
          <w:rFonts w:hint="cs"/>
          <w:rtl/>
        </w:rPr>
        <w:t xml:space="preserve">לבוא </w:t>
      </w:r>
      <w:bookmarkStart w:id="60683" w:name="_ETM_Q112_259259"/>
      <w:bookmarkEnd w:id="60683"/>
      <w:r>
        <w:rPr>
          <w:rFonts w:hint="cs"/>
          <w:rtl/>
        </w:rPr>
        <w:t xml:space="preserve">ולומר: </w:t>
      </w:r>
      <w:bookmarkStart w:id="60684" w:name="_ETM_Q112_260049"/>
      <w:bookmarkEnd w:id="60684"/>
      <w:r>
        <w:rPr>
          <w:rFonts w:hint="cs"/>
          <w:rtl/>
        </w:rPr>
        <w:t xml:space="preserve">צריך </w:t>
      </w:r>
      <w:bookmarkStart w:id="60685" w:name="_ETM_Q112_260439"/>
      <w:bookmarkEnd w:id="60685"/>
      <w:r>
        <w:rPr>
          <w:rFonts w:hint="cs"/>
          <w:rtl/>
        </w:rPr>
        <w:t xml:space="preserve">כללי </w:t>
      </w:r>
      <w:bookmarkStart w:id="60686" w:name="_ETM_Q112_260860"/>
      <w:bookmarkEnd w:id="60686"/>
      <w:r>
        <w:rPr>
          <w:rFonts w:hint="cs"/>
          <w:rtl/>
        </w:rPr>
        <w:t xml:space="preserve">משחק </w:t>
      </w:r>
      <w:bookmarkStart w:id="60687" w:name="_ETM_Q112_261280"/>
      <w:bookmarkEnd w:id="60687"/>
      <w:r>
        <w:rPr>
          <w:rFonts w:hint="cs"/>
          <w:rtl/>
        </w:rPr>
        <w:t xml:space="preserve">לחיים </w:t>
      </w:r>
      <w:bookmarkStart w:id="60688" w:name="_ETM_Q112_261640"/>
      <w:bookmarkEnd w:id="60688"/>
      <w:r>
        <w:rPr>
          <w:rFonts w:hint="cs"/>
          <w:rtl/>
        </w:rPr>
        <w:t>משותפים</w:t>
      </w:r>
      <w:bookmarkStart w:id="60689" w:name="_ETM_Q112_262420"/>
      <w:bookmarkEnd w:id="60689"/>
      <w:r>
        <w:rPr>
          <w:rFonts w:hint="cs"/>
          <w:rtl/>
        </w:rPr>
        <w:t xml:space="preserve">, מתוך </w:t>
      </w:r>
      <w:bookmarkStart w:id="60690" w:name="_ETM_Q112_262810"/>
      <w:bookmarkEnd w:id="60690"/>
      <w:r>
        <w:rPr>
          <w:rFonts w:hint="cs"/>
          <w:rtl/>
        </w:rPr>
        <w:t xml:space="preserve">הבנה </w:t>
      </w:r>
      <w:bookmarkStart w:id="60691" w:name="_ETM_Q112_263560"/>
      <w:bookmarkEnd w:id="60691"/>
      <w:r>
        <w:rPr>
          <w:rFonts w:hint="cs"/>
          <w:rtl/>
        </w:rPr>
        <w:t xml:space="preserve">שאנחנו </w:t>
      </w:r>
      <w:bookmarkStart w:id="60692" w:name="_ETM_Q112_264040"/>
      <w:bookmarkEnd w:id="60692"/>
      <w:r>
        <w:rPr>
          <w:rFonts w:hint="cs"/>
          <w:rtl/>
        </w:rPr>
        <w:t xml:space="preserve">גם </w:t>
      </w:r>
      <w:bookmarkStart w:id="60693" w:name="_ETM_Q112_264220"/>
      <w:bookmarkEnd w:id="60693"/>
      <w:r>
        <w:rPr>
          <w:rFonts w:hint="cs"/>
          <w:rtl/>
        </w:rPr>
        <w:t xml:space="preserve">אנשים </w:t>
      </w:r>
      <w:bookmarkStart w:id="60694" w:name="_ETM_Q112_264640"/>
      <w:bookmarkEnd w:id="60694"/>
      <w:r>
        <w:rPr>
          <w:rFonts w:hint="cs"/>
          <w:rtl/>
        </w:rPr>
        <w:t xml:space="preserve">שונים </w:t>
      </w:r>
      <w:bookmarkStart w:id="60695" w:name="_ETM_Q112_265030"/>
      <w:bookmarkEnd w:id="60695"/>
      <w:r>
        <w:rPr>
          <w:rFonts w:hint="cs"/>
          <w:rtl/>
        </w:rPr>
        <w:t xml:space="preserve">זה </w:t>
      </w:r>
      <w:bookmarkStart w:id="60696" w:name="_ETM_Q112_265180"/>
      <w:bookmarkEnd w:id="60696"/>
      <w:r>
        <w:rPr>
          <w:rFonts w:hint="cs"/>
          <w:rtl/>
        </w:rPr>
        <w:t xml:space="preserve">מזה, </w:t>
      </w:r>
      <w:bookmarkStart w:id="60697" w:name="_ETM_Q112_265750"/>
      <w:bookmarkEnd w:id="60697"/>
      <w:r>
        <w:rPr>
          <w:rFonts w:hint="cs"/>
          <w:rtl/>
        </w:rPr>
        <w:t xml:space="preserve">ושלך </w:t>
      </w:r>
      <w:bookmarkStart w:id="60698" w:name="_ETM_Q112_266290"/>
      <w:bookmarkEnd w:id="60698"/>
      <w:r>
        <w:rPr>
          <w:rFonts w:hint="cs"/>
          <w:rtl/>
        </w:rPr>
        <w:t>ולי</w:t>
      </w:r>
      <w:bookmarkStart w:id="60699" w:name="_ETM_Q112_267040"/>
      <w:bookmarkStart w:id="60700" w:name="_ETM_Q112_267220"/>
      <w:bookmarkStart w:id="60701" w:name="_ETM_Q112_267610"/>
      <w:bookmarkEnd w:id="60699"/>
      <w:bookmarkEnd w:id="60700"/>
      <w:bookmarkEnd w:id="60701"/>
      <w:r>
        <w:rPr>
          <w:rFonts w:hint="cs"/>
          <w:rtl/>
        </w:rPr>
        <w:t xml:space="preserve">, כמה </w:t>
      </w:r>
      <w:bookmarkStart w:id="60702" w:name="_ETM_Q112_267939"/>
      <w:bookmarkEnd w:id="60702"/>
      <w:r>
        <w:rPr>
          <w:rFonts w:hint="cs"/>
          <w:rtl/>
        </w:rPr>
        <w:t xml:space="preserve">שיש </w:t>
      </w:r>
      <w:bookmarkStart w:id="60703" w:name="_ETM_Q112_268569"/>
      <w:bookmarkEnd w:id="60703"/>
      <w:r>
        <w:rPr>
          <w:rFonts w:hint="cs"/>
          <w:rtl/>
        </w:rPr>
        <w:t xml:space="preserve">לנו </w:t>
      </w:r>
      <w:bookmarkStart w:id="60704" w:name="_ETM_Q112_268780"/>
      <w:bookmarkEnd w:id="60704"/>
      <w:r>
        <w:rPr>
          <w:rFonts w:hint="cs"/>
          <w:rtl/>
        </w:rPr>
        <w:t xml:space="preserve">הערכה </w:t>
      </w:r>
      <w:bookmarkStart w:id="60705" w:name="_ETM_Q112_269140"/>
      <w:bookmarkEnd w:id="60705"/>
      <w:r>
        <w:rPr>
          <w:rFonts w:hint="cs"/>
          <w:rtl/>
        </w:rPr>
        <w:t xml:space="preserve">זה </w:t>
      </w:r>
      <w:bookmarkStart w:id="60706" w:name="_ETM_Q112_269290"/>
      <w:bookmarkEnd w:id="60706"/>
      <w:r>
        <w:rPr>
          <w:rFonts w:hint="cs"/>
          <w:rtl/>
        </w:rPr>
        <w:t xml:space="preserve">לזה, </w:t>
      </w:r>
      <w:bookmarkStart w:id="60707" w:name="_ETM_Q112_269590"/>
      <w:bookmarkEnd w:id="60707"/>
      <w:r>
        <w:rPr>
          <w:rFonts w:hint="cs"/>
          <w:rtl/>
        </w:rPr>
        <w:t xml:space="preserve">יש </w:t>
      </w:r>
      <w:bookmarkStart w:id="60708" w:name="_ETM_Q112_269709"/>
      <w:bookmarkStart w:id="60709" w:name="_ETM_Q112_269860"/>
      <w:bookmarkEnd w:id="60708"/>
      <w:bookmarkEnd w:id="60709"/>
      <w:r>
        <w:rPr>
          <w:rFonts w:hint="cs"/>
          <w:rtl/>
        </w:rPr>
        <w:t xml:space="preserve">גם </w:t>
      </w:r>
      <w:bookmarkStart w:id="60710" w:name="_ETM_Q112_270040"/>
      <w:bookmarkEnd w:id="60710"/>
      <w:r>
        <w:rPr>
          <w:rFonts w:hint="cs"/>
          <w:rtl/>
        </w:rPr>
        <w:t xml:space="preserve">צרכים </w:t>
      </w:r>
      <w:bookmarkStart w:id="60711" w:name="_ETM_Q112_270430"/>
      <w:bookmarkEnd w:id="60711"/>
      <w:r>
        <w:rPr>
          <w:rFonts w:hint="cs"/>
          <w:rtl/>
        </w:rPr>
        <w:t xml:space="preserve">שונים </w:t>
      </w:r>
      <w:bookmarkStart w:id="60712" w:name="_ETM_Q112_270759"/>
      <w:bookmarkEnd w:id="60712"/>
      <w:r>
        <w:rPr>
          <w:rFonts w:hint="cs"/>
          <w:rtl/>
        </w:rPr>
        <w:t xml:space="preserve">זה </w:t>
      </w:r>
      <w:bookmarkStart w:id="60713" w:name="_ETM_Q112_270880"/>
      <w:bookmarkEnd w:id="60713"/>
      <w:r>
        <w:rPr>
          <w:rFonts w:hint="cs"/>
          <w:rtl/>
        </w:rPr>
        <w:t xml:space="preserve">מזה. </w:t>
      </w:r>
      <w:bookmarkStart w:id="60714" w:name="_ETM_Q112_271360"/>
      <w:bookmarkEnd w:id="60714"/>
      <w:r>
        <w:rPr>
          <w:rFonts w:hint="cs"/>
          <w:rtl/>
        </w:rPr>
        <w:t xml:space="preserve">המדינה </w:t>
      </w:r>
      <w:bookmarkStart w:id="60715" w:name="_ETM_Q112_271959"/>
      <w:bookmarkEnd w:id="60715"/>
      <w:r>
        <w:rPr>
          <w:rFonts w:hint="cs"/>
          <w:rtl/>
        </w:rPr>
        <w:t xml:space="preserve">צריכה </w:t>
      </w:r>
      <w:bookmarkStart w:id="60716" w:name="_ETM_Q112_272319"/>
      <w:bookmarkEnd w:id="60716"/>
      <w:r>
        <w:rPr>
          <w:rFonts w:hint="cs"/>
          <w:rtl/>
        </w:rPr>
        <w:t xml:space="preserve">למצוא </w:t>
      </w:r>
      <w:bookmarkStart w:id="60717" w:name="_ETM_Q112_273100"/>
      <w:bookmarkEnd w:id="60717"/>
      <w:r>
        <w:rPr>
          <w:rFonts w:hint="cs"/>
          <w:rtl/>
        </w:rPr>
        <w:t xml:space="preserve">איך </w:t>
      </w:r>
      <w:bookmarkStart w:id="60718" w:name="_ETM_Q112_273280"/>
      <w:bookmarkEnd w:id="60718"/>
      <w:r>
        <w:rPr>
          <w:rFonts w:hint="cs"/>
          <w:rtl/>
        </w:rPr>
        <w:t xml:space="preserve">כולנו </w:t>
      </w:r>
      <w:bookmarkStart w:id="60719" w:name="_ETM_Q112_273639"/>
      <w:bookmarkEnd w:id="60719"/>
      <w:r>
        <w:rPr>
          <w:rFonts w:hint="cs"/>
          <w:rtl/>
        </w:rPr>
        <w:t xml:space="preserve">יכולים </w:t>
      </w:r>
      <w:bookmarkStart w:id="60720" w:name="_ETM_Q112_274060"/>
      <w:bookmarkEnd w:id="60720"/>
      <w:r>
        <w:rPr>
          <w:rFonts w:hint="cs"/>
          <w:rtl/>
        </w:rPr>
        <w:t xml:space="preserve">לחיות </w:t>
      </w:r>
      <w:bookmarkStart w:id="60721" w:name="_ETM_Q112_274810"/>
      <w:bookmarkEnd w:id="60721"/>
      <w:r>
        <w:rPr>
          <w:rFonts w:hint="cs"/>
          <w:rtl/>
        </w:rPr>
        <w:t xml:space="preserve">בצורה </w:t>
      </w:r>
      <w:bookmarkStart w:id="60722" w:name="_ETM_Q112_275170"/>
      <w:bookmarkEnd w:id="60722"/>
      <w:r>
        <w:rPr>
          <w:rFonts w:hint="cs"/>
          <w:rtl/>
        </w:rPr>
        <w:t xml:space="preserve">כזו </w:t>
      </w:r>
      <w:bookmarkStart w:id="60723" w:name="_ETM_Q112_275380"/>
      <w:bookmarkEnd w:id="60723"/>
      <w:r>
        <w:rPr>
          <w:rFonts w:hint="cs"/>
          <w:rtl/>
        </w:rPr>
        <w:t xml:space="preserve">שכולם </w:t>
      </w:r>
      <w:bookmarkStart w:id="60724" w:name="_ETM_Q112_276069"/>
      <w:bookmarkEnd w:id="60724"/>
      <w:r>
        <w:rPr>
          <w:rFonts w:hint="cs"/>
          <w:rtl/>
        </w:rPr>
        <w:t xml:space="preserve">נותנים </w:t>
      </w:r>
      <w:bookmarkStart w:id="60725" w:name="_ETM_Q112_276759"/>
      <w:bookmarkEnd w:id="60725"/>
      <w:r>
        <w:rPr>
          <w:rFonts w:hint="cs"/>
          <w:rtl/>
        </w:rPr>
        <w:t xml:space="preserve">וכולם </w:t>
      </w:r>
      <w:bookmarkStart w:id="60726" w:name="_ETM_Q112_277240"/>
      <w:bookmarkEnd w:id="60726"/>
      <w:r>
        <w:rPr>
          <w:rFonts w:hint="cs"/>
          <w:rtl/>
        </w:rPr>
        <w:t>מקבלים</w:t>
      </w:r>
      <w:bookmarkStart w:id="60727" w:name="_ETM_Q112_277990"/>
      <w:bookmarkEnd w:id="60727"/>
      <w:r>
        <w:rPr>
          <w:rFonts w:hint="cs"/>
          <w:rtl/>
        </w:rPr>
        <w:t xml:space="preserve">. </w:t>
      </w:r>
      <w:bookmarkStart w:id="60728" w:name="_ETM_Q112_280000"/>
      <w:bookmarkStart w:id="60729" w:name="_ETM_Q112_280360"/>
      <w:bookmarkEnd w:id="60728"/>
      <w:bookmarkEnd w:id="60729"/>
      <w:r>
        <w:rPr>
          <w:rFonts w:hint="cs"/>
          <w:rtl/>
        </w:rPr>
        <w:t xml:space="preserve">תמיד </w:t>
      </w:r>
      <w:bookmarkStart w:id="60730" w:name="_ETM_Q112_280719"/>
      <w:bookmarkEnd w:id="60730"/>
      <w:r>
        <w:rPr>
          <w:rFonts w:hint="cs"/>
          <w:rtl/>
        </w:rPr>
        <w:t xml:space="preserve">אומרים </w:t>
      </w:r>
      <w:bookmarkStart w:id="60731" w:name="_ETM_Q112_280930"/>
      <w:bookmarkEnd w:id="60731"/>
      <w:r>
        <w:rPr>
          <w:rFonts w:hint="cs"/>
          <w:rtl/>
        </w:rPr>
        <w:t xml:space="preserve">שמשא ומתן </w:t>
      </w:r>
      <w:bookmarkStart w:id="60732" w:name="_ETM_Q112_283020"/>
      <w:bookmarkEnd w:id="60732"/>
      <w:r>
        <w:rPr>
          <w:rFonts w:hint="cs"/>
          <w:rtl/>
        </w:rPr>
        <w:t xml:space="preserve">טוב </w:t>
      </w:r>
      <w:bookmarkStart w:id="60733" w:name="_ETM_Q112_283200"/>
      <w:bookmarkEnd w:id="60733"/>
      <w:r>
        <w:rPr>
          <w:rFonts w:hint="cs"/>
          <w:rtl/>
        </w:rPr>
        <w:t xml:space="preserve">הוא משא ומתן </w:t>
      </w:r>
      <w:bookmarkStart w:id="60734" w:name="_ETM_Q112_283890"/>
      <w:bookmarkEnd w:id="60734"/>
      <w:r>
        <w:rPr>
          <w:rFonts w:hint="cs"/>
          <w:rtl/>
        </w:rPr>
        <w:t xml:space="preserve">ששני </w:t>
      </w:r>
      <w:bookmarkStart w:id="60735" w:name="_ETM_Q112_284220"/>
      <w:bookmarkEnd w:id="60735"/>
      <w:r>
        <w:rPr>
          <w:rFonts w:hint="cs"/>
          <w:rtl/>
        </w:rPr>
        <w:t xml:space="preserve">הצדדים </w:t>
      </w:r>
      <w:bookmarkStart w:id="60736" w:name="_ETM_Q112_284580"/>
      <w:bookmarkEnd w:id="60736"/>
      <w:r>
        <w:rPr>
          <w:rFonts w:hint="cs"/>
          <w:rtl/>
        </w:rPr>
        <w:t xml:space="preserve">יוצאים </w:t>
      </w:r>
      <w:bookmarkStart w:id="60737" w:name="_ETM_Q112_284909"/>
      <w:bookmarkEnd w:id="60737"/>
      <w:r>
        <w:rPr>
          <w:rFonts w:hint="cs"/>
          <w:rtl/>
        </w:rPr>
        <w:t xml:space="preserve">בו בהרגשה </w:t>
      </w:r>
      <w:bookmarkStart w:id="60738" w:name="_ETM_Q112_285420"/>
      <w:bookmarkEnd w:id="60738"/>
      <w:r>
        <w:rPr>
          <w:rFonts w:hint="cs"/>
          <w:rtl/>
        </w:rPr>
        <w:t xml:space="preserve">שהם </w:t>
      </w:r>
      <w:bookmarkStart w:id="60739" w:name="_ETM_Q112_285690"/>
      <w:bookmarkEnd w:id="60739"/>
      <w:r>
        <w:rPr>
          <w:rFonts w:hint="cs"/>
          <w:rtl/>
        </w:rPr>
        <w:t xml:space="preserve">הצליחו, </w:t>
      </w:r>
      <w:bookmarkStart w:id="60740" w:name="_ETM_Q112_287500"/>
      <w:bookmarkEnd w:id="60740"/>
      <w:r>
        <w:rPr>
          <w:rFonts w:hint="cs"/>
          <w:rtl/>
        </w:rPr>
        <w:t xml:space="preserve">ככה </w:t>
      </w:r>
      <w:bookmarkStart w:id="60741" w:name="_ETM_Q112_287799"/>
      <w:bookmarkEnd w:id="60741"/>
      <w:r>
        <w:rPr>
          <w:rFonts w:hint="cs"/>
          <w:rtl/>
        </w:rPr>
        <w:t xml:space="preserve">צריכה </w:t>
      </w:r>
      <w:bookmarkStart w:id="60742" w:name="_ETM_Q112_288009"/>
      <w:bookmarkEnd w:id="60742"/>
      <w:r>
        <w:rPr>
          <w:rFonts w:hint="cs"/>
          <w:rtl/>
        </w:rPr>
        <w:t xml:space="preserve">להיות </w:t>
      </w:r>
      <w:bookmarkStart w:id="60743" w:name="_ETM_Q112_288189"/>
      <w:bookmarkEnd w:id="60743"/>
      <w:r>
        <w:rPr>
          <w:rFonts w:hint="cs"/>
          <w:rtl/>
        </w:rPr>
        <w:t xml:space="preserve">גם </w:t>
      </w:r>
      <w:bookmarkStart w:id="60744" w:name="_ETM_Q112_288340"/>
      <w:bookmarkEnd w:id="60744"/>
      <w:r>
        <w:rPr>
          <w:rFonts w:hint="cs"/>
          <w:rtl/>
        </w:rPr>
        <w:t xml:space="preserve">מדינה </w:t>
      </w:r>
      <w:bookmarkStart w:id="60745" w:name="_ETM_Q112_288700"/>
      <w:bookmarkEnd w:id="60745"/>
      <w:r>
        <w:rPr>
          <w:rFonts w:hint="cs"/>
          <w:rtl/>
        </w:rPr>
        <w:t xml:space="preserve">וככה </w:t>
      </w:r>
      <w:bookmarkStart w:id="60746" w:name="_ETM_Q112_289030"/>
      <w:bookmarkEnd w:id="60746"/>
      <w:r>
        <w:rPr>
          <w:rFonts w:hint="cs"/>
          <w:rtl/>
        </w:rPr>
        <w:t xml:space="preserve">צריכה </w:t>
      </w:r>
      <w:bookmarkStart w:id="60747" w:name="_ETM_Q112_289299"/>
      <w:bookmarkEnd w:id="60747"/>
      <w:r>
        <w:rPr>
          <w:rFonts w:hint="cs"/>
          <w:rtl/>
        </w:rPr>
        <w:t xml:space="preserve">להיות חוקה: </w:t>
      </w:r>
      <w:bookmarkStart w:id="60748" w:name="_ETM_Q112_290020"/>
      <w:bookmarkEnd w:id="60748"/>
      <w:r>
        <w:rPr>
          <w:rFonts w:hint="cs"/>
          <w:rtl/>
        </w:rPr>
        <w:t xml:space="preserve">כולם </w:t>
      </w:r>
      <w:bookmarkStart w:id="60749" w:name="_ETM_Q112_290320"/>
      <w:bookmarkEnd w:id="60749"/>
      <w:r>
        <w:rPr>
          <w:rFonts w:hint="cs"/>
          <w:rtl/>
        </w:rPr>
        <w:t xml:space="preserve">צריכים </w:t>
      </w:r>
      <w:bookmarkStart w:id="60750" w:name="_ETM_Q112_290590"/>
      <w:bookmarkEnd w:id="60750"/>
      <w:r>
        <w:rPr>
          <w:rFonts w:hint="cs"/>
          <w:rtl/>
        </w:rPr>
        <w:t xml:space="preserve">לעשות </w:t>
      </w:r>
      <w:bookmarkStart w:id="60751" w:name="_ETM_Q112_290859"/>
      <w:bookmarkEnd w:id="60751"/>
      <w:r>
        <w:rPr>
          <w:rFonts w:hint="cs"/>
          <w:rtl/>
        </w:rPr>
        <w:t>פשרות</w:t>
      </w:r>
      <w:r w:rsidR="00E70367">
        <w:rPr>
          <w:rFonts w:hint="cs"/>
          <w:rtl/>
        </w:rPr>
        <w:t>,</w:t>
      </w:r>
      <w:r>
        <w:rPr>
          <w:rFonts w:hint="cs"/>
          <w:rtl/>
        </w:rPr>
        <w:t xml:space="preserve"> </w:t>
      </w:r>
      <w:bookmarkStart w:id="60752" w:name="_ETM_Q112_291640"/>
      <w:bookmarkEnd w:id="60752"/>
      <w:r>
        <w:rPr>
          <w:rFonts w:hint="cs"/>
          <w:rtl/>
        </w:rPr>
        <w:t xml:space="preserve">אבל </w:t>
      </w:r>
      <w:bookmarkStart w:id="60753" w:name="_ETM_Q112_291930"/>
      <w:bookmarkEnd w:id="60753"/>
      <w:r>
        <w:rPr>
          <w:rFonts w:hint="cs"/>
          <w:rtl/>
        </w:rPr>
        <w:t xml:space="preserve">כולם </w:t>
      </w:r>
      <w:bookmarkStart w:id="60754" w:name="_ETM_Q112_292410"/>
      <w:bookmarkEnd w:id="60754"/>
      <w:r>
        <w:rPr>
          <w:rFonts w:hint="cs"/>
          <w:rtl/>
        </w:rPr>
        <w:t xml:space="preserve">צריכים </w:t>
      </w:r>
      <w:bookmarkStart w:id="60755" w:name="_ETM_Q112_292830"/>
      <w:bookmarkEnd w:id="60755"/>
      <w:r>
        <w:rPr>
          <w:rFonts w:hint="cs"/>
          <w:rtl/>
        </w:rPr>
        <w:t xml:space="preserve">להרגיש </w:t>
      </w:r>
      <w:bookmarkStart w:id="60756" w:name="_ETM_Q112_293760"/>
      <w:bookmarkEnd w:id="60756"/>
      <w:r>
        <w:rPr>
          <w:rFonts w:hint="cs"/>
          <w:rtl/>
        </w:rPr>
        <w:t xml:space="preserve">שראו </w:t>
      </w:r>
      <w:bookmarkStart w:id="60757" w:name="_ETM_Q112_294300"/>
      <w:bookmarkEnd w:id="60757"/>
      <w:r>
        <w:rPr>
          <w:rFonts w:hint="cs"/>
          <w:rtl/>
        </w:rPr>
        <w:t xml:space="preserve">אותם, </w:t>
      </w:r>
      <w:bookmarkStart w:id="60758" w:name="_ETM_Q112_294660"/>
      <w:bookmarkEnd w:id="60758"/>
      <w:r>
        <w:rPr>
          <w:rFonts w:hint="cs"/>
          <w:rtl/>
        </w:rPr>
        <w:t xml:space="preserve">ספרו </w:t>
      </w:r>
      <w:bookmarkStart w:id="60759" w:name="_ETM_Q112_295110"/>
      <w:bookmarkEnd w:id="60759"/>
      <w:r>
        <w:rPr>
          <w:rFonts w:hint="cs"/>
          <w:rtl/>
        </w:rPr>
        <w:t xml:space="preserve">אותם, </w:t>
      </w:r>
      <w:bookmarkStart w:id="60760" w:name="_ETM_Q112_295380"/>
      <w:bookmarkEnd w:id="60760"/>
      <w:r>
        <w:rPr>
          <w:rFonts w:hint="cs"/>
          <w:rtl/>
        </w:rPr>
        <w:t xml:space="preserve">שהם </w:t>
      </w:r>
      <w:bookmarkStart w:id="60761" w:name="_ETM_Q112_295590"/>
      <w:bookmarkEnd w:id="60761"/>
      <w:r>
        <w:rPr>
          <w:rFonts w:hint="cs"/>
          <w:rtl/>
        </w:rPr>
        <w:t>הצליחו.</w:t>
      </w:r>
    </w:p>
    <w:p w:rsidR="00BB59CD" w:rsidRDefault="00BB59CD" w:rsidP="00BB59CD">
      <w:pPr>
        <w:rPr>
          <w:rtl/>
        </w:rPr>
      </w:pPr>
    </w:p>
    <w:p w:rsidR="00BB59CD" w:rsidRDefault="00BB59CD" w:rsidP="00E70367">
      <w:pPr>
        <w:rPr>
          <w:rtl/>
        </w:rPr>
      </w:pPr>
      <w:bookmarkStart w:id="60762" w:name="_ETM_Q112_295000"/>
      <w:bookmarkStart w:id="60763" w:name="_ETM_Q112_296250"/>
      <w:bookmarkEnd w:id="60762"/>
      <w:bookmarkEnd w:id="60763"/>
      <w:r>
        <w:rPr>
          <w:rFonts w:hint="cs"/>
          <w:rtl/>
        </w:rPr>
        <w:t xml:space="preserve">אגב, </w:t>
      </w:r>
      <w:bookmarkStart w:id="60764" w:name="_ETM_Q112_297219"/>
      <w:bookmarkEnd w:id="60764"/>
      <w:r>
        <w:rPr>
          <w:rFonts w:hint="cs"/>
          <w:rtl/>
        </w:rPr>
        <w:t xml:space="preserve">אני </w:t>
      </w:r>
      <w:bookmarkStart w:id="60765" w:name="_ETM_Q112_297429"/>
      <w:bookmarkEnd w:id="60765"/>
      <w:r>
        <w:rPr>
          <w:rFonts w:hint="cs"/>
          <w:rtl/>
        </w:rPr>
        <w:t xml:space="preserve">תמיד </w:t>
      </w:r>
      <w:bookmarkStart w:id="60766" w:name="_ETM_Q112_297700"/>
      <w:bookmarkEnd w:id="60766"/>
      <w:r>
        <w:rPr>
          <w:rFonts w:hint="cs"/>
          <w:rtl/>
        </w:rPr>
        <w:t xml:space="preserve">אמרתי, </w:t>
      </w:r>
      <w:bookmarkStart w:id="60767" w:name="_ETM_Q112_298060"/>
      <w:bookmarkEnd w:id="60767"/>
      <w:r>
        <w:rPr>
          <w:rFonts w:hint="cs"/>
          <w:rtl/>
        </w:rPr>
        <w:t xml:space="preserve">גם </w:t>
      </w:r>
      <w:bookmarkStart w:id="60768" w:name="_ETM_Q112_298209"/>
      <w:bookmarkEnd w:id="60768"/>
      <w:r>
        <w:rPr>
          <w:rFonts w:hint="cs"/>
          <w:rtl/>
        </w:rPr>
        <w:t xml:space="preserve">על </w:t>
      </w:r>
      <w:bookmarkStart w:id="60769" w:name="_ETM_Q112_298299"/>
      <w:bookmarkEnd w:id="60769"/>
      <w:r>
        <w:rPr>
          <w:rFonts w:hint="cs"/>
          <w:rtl/>
        </w:rPr>
        <w:t xml:space="preserve">הממשלה </w:t>
      </w:r>
      <w:bookmarkStart w:id="60770" w:name="_ETM_Q112_298749"/>
      <w:bookmarkEnd w:id="60770"/>
      <w:r>
        <w:rPr>
          <w:rFonts w:hint="cs"/>
          <w:rtl/>
        </w:rPr>
        <w:t xml:space="preserve">שלנו, </w:t>
      </w:r>
      <w:bookmarkStart w:id="60771" w:name="_ETM_Q112_299380"/>
      <w:bookmarkEnd w:id="60771"/>
      <w:r>
        <w:rPr>
          <w:rFonts w:hint="cs"/>
          <w:rtl/>
        </w:rPr>
        <w:t xml:space="preserve">שמה </w:t>
      </w:r>
      <w:bookmarkStart w:id="60772" w:name="_ETM_Q112_299679"/>
      <w:bookmarkEnd w:id="60772"/>
      <w:r>
        <w:rPr>
          <w:rFonts w:hint="cs"/>
          <w:rtl/>
        </w:rPr>
        <w:t xml:space="preserve">שהיה </w:t>
      </w:r>
      <w:bookmarkStart w:id="60773" w:name="_ETM_Q112_299920"/>
      <w:bookmarkEnd w:id="60773"/>
      <w:r>
        <w:rPr>
          <w:rFonts w:hint="cs"/>
          <w:rtl/>
        </w:rPr>
        <w:t xml:space="preserve">חסר </w:t>
      </w:r>
      <w:bookmarkStart w:id="60774" w:name="_ETM_Q112_300369"/>
      <w:bookmarkEnd w:id="60774"/>
      <w:r>
        <w:rPr>
          <w:rFonts w:hint="cs"/>
          <w:rtl/>
        </w:rPr>
        <w:t>בה</w:t>
      </w:r>
      <w:bookmarkStart w:id="60775" w:name="_ETM_Q112_301149"/>
      <w:bookmarkEnd w:id="60775"/>
      <w:r>
        <w:rPr>
          <w:rFonts w:hint="cs"/>
          <w:rtl/>
        </w:rPr>
        <w:t xml:space="preserve"> </w:t>
      </w:r>
      <w:bookmarkStart w:id="60776" w:name="_ETM_Q112_301299"/>
      <w:bookmarkEnd w:id="60776"/>
      <w:r>
        <w:rPr>
          <w:rFonts w:hint="cs"/>
          <w:rtl/>
        </w:rPr>
        <w:t xml:space="preserve">היה </w:t>
      </w:r>
      <w:bookmarkStart w:id="60777" w:name="_ETM_Q112_301389"/>
      <w:bookmarkEnd w:id="60777"/>
      <w:r>
        <w:rPr>
          <w:rFonts w:hint="cs"/>
          <w:rtl/>
        </w:rPr>
        <w:t xml:space="preserve">בעצם </w:t>
      </w:r>
      <w:bookmarkStart w:id="60778" w:name="_ETM_Q112_301749"/>
      <w:bookmarkEnd w:id="60778"/>
      <w:r>
        <w:rPr>
          <w:rFonts w:hint="cs"/>
          <w:rtl/>
        </w:rPr>
        <w:t xml:space="preserve">הרכיב </w:t>
      </w:r>
      <w:bookmarkStart w:id="60779" w:name="_ETM_Q112_302109"/>
      <w:bookmarkEnd w:id="60779"/>
      <w:r>
        <w:rPr>
          <w:rFonts w:hint="cs"/>
          <w:rtl/>
        </w:rPr>
        <w:t xml:space="preserve">החרדי. </w:t>
      </w:r>
      <w:bookmarkStart w:id="60780" w:name="_ETM_Q112_302799"/>
      <w:bookmarkEnd w:id="60780"/>
      <w:r>
        <w:rPr>
          <w:rFonts w:hint="cs"/>
          <w:rtl/>
        </w:rPr>
        <w:t xml:space="preserve">כי </w:t>
      </w:r>
      <w:bookmarkStart w:id="60781" w:name="_ETM_Q112_302950"/>
      <w:bookmarkEnd w:id="60781"/>
      <w:r>
        <w:rPr>
          <w:rFonts w:hint="cs"/>
          <w:rtl/>
        </w:rPr>
        <w:t xml:space="preserve">אני </w:t>
      </w:r>
      <w:bookmarkStart w:id="60782" w:name="_ETM_Q112_303100"/>
      <w:bookmarkEnd w:id="60782"/>
      <w:r>
        <w:rPr>
          <w:rFonts w:hint="cs"/>
          <w:rtl/>
        </w:rPr>
        <w:t xml:space="preserve">תמיד </w:t>
      </w:r>
      <w:bookmarkStart w:id="60783" w:name="_ETM_Q112_303490"/>
      <w:bookmarkEnd w:id="60783"/>
      <w:r>
        <w:rPr>
          <w:rFonts w:hint="cs"/>
          <w:rtl/>
        </w:rPr>
        <w:t xml:space="preserve">מאמין, </w:t>
      </w:r>
      <w:bookmarkStart w:id="60784" w:name="_ETM_Q112_304209"/>
      <w:bookmarkEnd w:id="60784"/>
      <w:r>
        <w:rPr>
          <w:rFonts w:hint="cs"/>
          <w:rtl/>
        </w:rPr>
        <w:t xml:space="preserve">לא </w:t>
      </w:r>
      <w:bookmarkStart w:id="60785" w:name="_ETM_Q112_304389"/>
      <w:bookmarkEnd w:id="60785"/>
      <w:r>
        <w:rPr>
          <w:rFonts w:hint="cs"/>
          <w:rtl/>
        </w:rPr>
        <w:t xml:space="preserve">משנה </w:t>
      </w:r>
      <w:bookmarkStart w:id="60786" w:name="_ETM_Q112_304810"/>
      <w:bookmarkEnd w:id="60786"/>
      <w:r>
        <w:rPr>
          <w:rFonts w:hint="cs"/>
          <w:rtl/>
        </w:rPr>
        <w:t xml:space="preserve">כמה </w:t>
      </w:r>
      <w:bookmarkStart w:id="60787" w:name="_ETM_Q112_305020"/>
      <w:bookmarkEnd w:id="60787"/>
      <w:r>
        <w:rPr>
          <w:rFonts w:hint="cs"/>
          <w:rtl/>
        </w:rPr>
        <w:t xml:space="preserve">זה </w:t>
      </w:r>
      <w:bookmarkStart w:id="60788" w:name="_ETM_Q112_305109"/>
      <w:bookmarkEnd w:id="60788"/>
      <w:r>
        <w:rPr>
          <w:rFonts w:hint="cs"/>
          <w:rtl/>
        </w:rPr>
        <w:t xml:space="preserve">מקשה, </w:t>
      </w:r>
      <w:bookmarkStart w:id="60789" w:name="_ETM_Q112_306099"/>
      <w:bookmarkEnd w:id="60789"/>
      <w:r>
        <w:rPr>
          <w:rFonts w:hint="cs"/>
          <w:rtl/>
        </w:rPr>
        <w:t xml:space="preserve">שבמדינה </w:t>
      </w:r>
      <w:bookmarkStart w:id="60790" w:name="_ETM_Q112_306729"/>
      <w:bookmarkEnd w:id="60790"/>
      <w:r>
        <w:rPr>
          <w:rFonts w:hint="cs"/>
          <w:rtl/>
        </w:rPr>
        <w:t xml:space="preserve">הזאת, </w:t>
      </w:r>
      <w:bookmarkStart w:id="60791" w:name="_ETM_Q112_307059"/>
      <w:bookmarkEnd w:id="60791"/>
      <w:r>
        <w:rPr>
          <w:rFonts w:hint="cs"/>
          <w:rtl/>
        </w:rPr>
        <w:t xml:space="preserve">עם </w:t>
      </w:r>
      <w:bookmarkStart w:id="60792" w:name="_ETM_Q112_307209"/>
      <w:bookmarkEnd w:id="60792"/>
      <w:r>
        <w:rPr>
          <w:rFonts w:hint="cs"/>
          <w:rtl/>
        </w:rPr>
        <w:t xml:space="preserve">החברה </w:t>
      </w:r>
      <w:bookmarkStart w:id="60793" w:name="_ETM_Q112_307599"/>
      <w:bookmarkEnd w:id="60793"/>
      <w:r>
        <w:rPr>
          <w:rFonts w:hint="cs"/>
          <w:rtl/>
        </w:rPr>
        <w:t xml:space="preserve">המגוונת </w:t>
      </w:r>
      <w:bookmarkStart w:id="60794" w:name="_ETM_Q112_308290"/>
      <w:bookmarkEnd w:id="60794"/>
      <w:r>
        <w:rPr>
          <w:rFonts w:hint="cs"/>
          <w:rtl/>
        </w:rPr>
        <w:t xml:space="preserve">הזאת, </w:t>
      </w:r>
      <w:bookmarkStart w:id="60795" w:name="_ETM_Q112_308709"/>
      <w:bookmarkEnd w:id="60795"/>
      <w:r>
        <w:rPr>
          <w:rFonts w:hint="cs"/>
          <w:rtl/>
        </w:rPr>
        <w:t xml:space="preserve">אין </w:t>
      </w:r>
      <w:bookmarkStart w:id="60796" w:name="_ETM_Q112_308950"/>
      <w:bookmarkEnd w:id="60796"/>
      <w:r>
        <w:rPr>
          <w:rFonts w:hint="cs"/>
          <w:rtl/>
        </w:rPr>
        <w:t xml:space="preserve">ברירה </w:t>
      </w:r>
      <w:bookmarkStart w:id="60797" w:name="_ETM_Q112_309459"/>
      <w:bookmarkEnd w:id="60797"/>
      <w:r>
        <w:rPr>
          <w:rFonts w:hint="cs"/>
          <w:rtl/>
        </w:rPr>
        <w:t xml:space="preserve">אלא </w:t>
      </w:r>
      <w:bookmarkStart w:id="60798" w:name="_ETM_Q112_309639"/>
      <w:bookmarkEnd w:id="60798"/>
      <w:r>
        <w:rPr>
          <w:rFonts w:hint="cs"/>
          <w:rtl/>
        </w:rPr>
        <w:t xml:space="preserve">לעשות </w:t>
      </w:r>
      <w:bookmarkStart w:id="60799" w:name="_ETM_Q112_309939"/>
      <w:bookmarkEnd w:id="60799"/>
      <w:r>
        <w:rPr>
          <w:rFonts w:hint="cs"/>
          <w:rtl/>
        </w:rPr>
        <w:t xml:space="preserve">את </w:t>
      </w:r>
      <w:bookmarkStart w:id="60800" w:name="_ETM_Q112_310090"/>
      <w:bookmarkEnd w:id="60800"/>
      <w:r>
        <w:rPr>
          <w:rFonts w:hint="cs"/>
          <w:rtl/>
        </w:rPr>
        <w:t xml:space="preserve">הדרך </w:t>
      </w:r>
      <w:bookmarkStart w:id="60801" w:name="_ETM_Q112_310389"/>
      <w:bookmarkEnd w:id="60801"/>
      <w:r>
        <w:rPr>
          <w:rFonts w:hint="cs"/>
          <w:rtl/>
        </w:rPr>
        <w:t>הקשה</w:t>
      </w:r>
      <w:bookmarkStart w:id="60802" w:name="_ETM_Q112_311110"/>
      <w:bookmarkEnd w:id="60802"/>
      <w:r>
        <w:rPr>
          <w:rFonts w:hint="cs"/>
          <w:rtl/>
        </w:rPr>
        <w:t xml:space="preserve"> בשביל שתהיה </w:t>
      </w:r>
      <w:bookmarkStart w:id="60803" w:name="_ETM_Q112_311439"/>
      <w:bookmarkEnd w:id="60803"/>
      <w:r>
        <w:rPr>
          <w:rFonts w:hint="cs"/>
          <w:rtl/>
        </w:rPr>
        <w:t xml:space="preserve">פה </w:t>
      </w:r>
      <w:bookmarkStart w:id="60804" w:name="_ETM_Q112_311560"/>
      <w:bookmarkEnd w:id="60804"/>
      <w:r>
        <w:rPr>
          <w:rFonts w:hint="cs"/>
          <w:rtl/>
        </w:rPr>
        <w:t xml:space="preserve">ממשלה </w:t>
      </w:r>
      <w:bookmarkStart w:id="60805" w:name="_ETM_Q112_312610"/>
      <w:bookmarkEnd w:id="60805"/>
      <w:r>
        <w:rPr>
          <w:rFonts w:hint="cs"/>
          <w:rtl/>
        </w:rPr>
        <w:t xml:space="preserve">מגוונת, </w:t>
      </w:r>
      <w:bookmarkStart w:id="60806" w:name="_ETM_Q112_313209"/>
      <w:bookmarkEnd w:id="60806"/>
      <w:r>
        <w:rPr>
          <w:rFonts w:hint="cs"/>
          <w:rtl/>
        </w:rPr>
        <w:t xml:space="preserve">כשכמה </w:t>
      </w:r>
      <w:bookmarkStart w:id="60807" w:name="_ETM_Q112_313569"/>
      <w:bookmarkEnd w:id="60807"/>
      <w:r>
        <w:rPr>
          <w:rFonts w:hint="cs"/>
          <w:rtl/>
        </w:rPr>
        <w:t xml:space="preserve">שיותר </w:t>
      </w:r>
      <w:bookmarkStart w:id="60808" w:name="_ETM_Q112_313930"/>
      <w:bookmarkEnd w:id="60808"/>
      <w:r>
        <w:rPr>
          <w:rFonts w:hint="cs"/>
          <w:rtl/>
        </w:rPr>
        <w:t xml:space="preserve">חלקים </w:t>
      </w:r>
      <w:bookmarkStart w:id="60809" w:name="_ETM_Q112_314500"/>
      <w:bookmarkEnd w:id="60809"/>
      <w:r>
        <w:rPr>
          <w:rFonts w:hint="cs"/>
          <w:rtl/>
        </w:rPr>
        <w:t xml:space="preserve">בציבור </w:t>
      </w:r>
      <w:bookmarkStart w:id="60810" w:name="_ETM_Q112_314980"/>
      <w:bookmarkEnd w:id="60810"/>
      <w:r>
        <w:rPr>
          <w:rFonts w:hint="cs"/>
          <w:rtl/>
        </w:rPr>
        <w:t xml:space="preserve">הישראלי </w:t>
      </w:r>
      <w:bookmarkStart w:id="60811" w:name="_ETM_Q112_315760"/>
      <w:bookmarkEnd w:id="60811"/>
      <w:r>
        <w:rPr>
          <w:rFonts w:hint="cs"/>
          <w:rtl/>
        </w:rPr>
        <w:t xml:space="preserve">רואים </w:t>
      </w:r>
      <w:bookmarkStart w:id="60812" w:name="_ETM_Q112_316150"/>
      <w:bookmarkEnd w:id="60812"/>
      <w:r>
        <w:rPr>
          <w:rFonts w:hint="cs"/>
          <w:rtl/>
        </w:rPr>
        <w:t xml:space="preserve">שיש </w:t>
      </w:r>
      <w:bookmarkStart w:id="60813" w:name="_ETM_Q112_316389"/>
      <w:bookmarkEnd w:id="60813"/>
      <w:r>
        <w:rPr>
          <w:rFonts w:hint="cs"/>
          <w:rtl/>
        </w:rPr>
        <w:t xml:space="preserve">להם </w:t>
      </w:r>
      <w:bookmarkStart w:id="60814" w:name="_ETM_Q112_316540"/>
      <w:bookmarkEnd w:id="60814"/>
      <w:r>
        <w:rPr>
          <w:rFonts w:hint="cs"/>
          <w:rtl/>
        </w:rPr>
        <w:t xml:space="preserve">נציגות </w:t>
      </w:r>
      <w:bookmarkStart w:id="60815" w:name="_ETM_Q112_317109"/>
      <w:bookmarkEnd w:id="60815"/>
      <w:r>
        <w:rPr>
          <w:rFonts w:hint="cs"/>
          <w:rtl/>
        </w:rPr>
        <w:t xml:space="preserve">בממשלה. </w:t>
      </w:r>
      <w:bookmarkStart w:id="60816" w:name="_ETM_Q112_317950"/>
      <w:bookmarkEnd w:id="60816"/>
      <w:r>
        <w:rPr>
          <w:rFonts w:hint="cs"/>
          <w:rtl/>
        </w:rPr>
        <w:t xml:space="preserve">זה </w:t>
      </w:r>
      <w:bookmarkStart w:id="60817" w:name="_ETM_Q112_318129"/>
      <w:bookmarkEnd w:id="60817"/>
      <w:r>
        <w:rPr>
          <w:rFonts w:hint="cs"/>
          <w:rtl/>
        </w:rPr>
        <w:t xml:space="preserve">קשה </w:t>
      </w:r>
      <w:bookmarkStart w:id="60818" w:name="_ETM_Q112_318459"/>
      <w:bookmarkEnd w:id="60818"/>
      <w:r>
        <w:rPr>
          <w:rFonts w:hint="cs"/>
          <w:rtl/>
        </w:rPr>
        <w:t xml:space="preserve">יותר </w:t>
      </w:r>
      <w:bookmarkStart w:id="60819" w:name="_ETM_Q112_318669"/>
      <w:bookmarkEnd w:id="60819"/>
      <w:r>
        <w:rPr>
          <w:rFonts w:hint="cs"/>
          <w:rtl/>
        </w:rPr>
        <w:t xml:space="preserve">להגיע </w:t>
      </w:r>
      <w:bookmarkStart w:id="60820" w:name="_ETM_Q112_319030"/>
      <w:bookmarkEnd w:id="60820"/>
      <w:r>
        <w:rPr>
          <w:rFonts w:hint="cs"/>
          <w:rtl/>
        </w:rPr>
        <w:t>כך</w:t>
      </w:r>
      <w:bookmarkStart w:id="60821" w:name="_ETM_Q112_319239"/>
      <w:bookmarkEnd w:id="60821"/>
      <w:r>
        <w:rPr>
          <w:rFonts w:hint="cs"/>
          <w:rtl/>
        </w:rPr>
        <w:t xml:space="preserve"> </w:t>
      </w:r>
      <w:bookmarkStart w:id="60822" w:name="_ETM_Q112_319780"/>
      <w:bookmarkEnd w:id="60822"/>
      <w:r>
        <w:rPr>
          <w:rFonts w:hint="cs"/>
          <w:rtl/>
        </w:rPr>
        <w:t xml:space="preserve">להחלטות? </w:t>
      </w:r>
      <w:bookmarkStart w:id="60823" w:name="_ETM_Q112_320530"/>
      <w:bookmarkEnd w:id="60823"/>
      <w:r>
        <w:rPr>
          <w:rFonts w:hint="cs"/>
          <w:rtl/>
        </w:rPr>
        <w:t xml:space="preserve">יכול </w:t>
      </w:r>
      <w:bookmarkStart w:id="60824" w:name="_ETM_Q112_320859"/>
      <w:bookmarkEnd w:id="60824"/>
      <w:r>
        <w:rPr>
          <w:rFonts w:hint="cs"/>
          <w:rtl/>
        </w:rPr>
        <w:t xml:space="preserve">להיות, </w:t>
      </w:r>
      <w:bookmarkStart w:id="60825" w:name="_ETM_Q112_321099"/>
      <w:bookmarkEnd w:id="60825"/>
      <w:r>
        <w:rPr>
          <w:rFonts w:hint="cs"/>
          <w:rtl/>
        </w:rPr>
        <w:t xml:space="preserve">אבל </w:t>
      </w:r>
      <w:bookmarkStart w:id="60826" w:name="_ETM_Q112_321340"/>
      <w:bookmarkEnd w:id="60826"/>
      <w:r>
        <w:rPr>
          <w:rFonts w:hint="cs"/>
          <w:rtl/>
        </w:rPr>
        <w:t xml:space="preserve">אין </w:t>
      </w:r>
      <w:bookmarkStart w:id="60827" w:name="_ETM_Q112_321519"/>
      <w:bookmarkEnd w:id="60827"/>
      <w:r>
        <w:rPr>
          <w:rFonts w:hint="cs"/>
          <w:rtl/>
        </w:rPr>
        <w:t>ברירה. זו</w:t>
      </w:r>
      <w:bookmarkStart w:id="60828" w:name="_ETM_Q112_322410"/>
      <w:bookmarkEnd w:id="60828"/>
      <w:r>
        <w:rPr>
          <w:rFonts w:hint="cs"/>
          <w:rtl/>
        </w:rPr>
        <w:t xml:space="preserve"> המורכבות </w:t>
      </w:r>
      <w:bookmarkStart w:id="60829" w:name="_ETM_Q112_323250"/>
      <w:bookmarkEnd w:id="60829"/>
      <w:r>
        <w:rPr>
          <w:rFonts w:hint="cs"/>
          <w:rtl/>
        </w:rPr>
        <w:t xml:space="preserve">של </w:t>
      </w:r>
      <w:bookmarkStart w:id="60830" w:name="_ETM_Q112_323400"/>
      <w:bookmarkEnd w:id="60830"/>
      <w:r>
        <w:rPr>
          <w:rFonts w:hint="cs"/>
          <w:rtl/>
        </w:rPr>
        <w:t xml:space="preserve">החברה </w:t>
      </w:r>
      <w:bookmarkStart w:id="60831" w:name="_ETM_Q112_323760"/>
      <w:bookmarkEnd w:id="60831"/>
      <w:r>
        <w:rPr>
          <w:rFonts w:hint="cs"/>
          <w:rtl/>
        </w:rPr>
        <w:t xml:space="preserve">הישראלית. </w:t>
      </w:r>
      <w:bookmarkStart w:id="60832" w:name="_ETM_Q112_324240"/>
      <w:bookmarkEnd w:id="60832"/>
      <w:r>
        <w:rPr>
          <w:rFonts w:hint="cs"/>
          <w:rtl/>
        </w:rPr>
        <w:t xml:space="preserve">החברה </w:t>
      </w:r>
      <w:bookmarkStart w:id="60833" w:name="_ETM_Q112_324540"/>
      <w:bookmarkEnd w:id="60833"/>
      <w:r>
        <w:rPr>
          <w:rFonts w:hint="cs"/>
          <w:rtl/>
        </w:rPr>
        <w:t xml:space="preserve">הישראלית </w:t>
      </w:r>
      <w:bookmarkStart w:id="60834" w:name="_ETM_Q112_324900"/>
      <w:bookmarkEnd w:id="60834"/>
      <w:r>
        <w:rPr>
          <w:rFonts w:hint="cs"/>
          <w:rtl/>
        </w:rPr>
        <w:t xml:space="preserve">היא </w:t>
      </w:r>
      <w:bookmarkStart w:id="60835" w:name="_ETM_Q112_324959"/>
      <w:bookmarkEnd w:id="60835"/>
      <w:r>
        <w:rPr>
          <w:rFonts w:hint="cs"/>
          <w:rtl/>
        </w:rPr>
        <w:t xml:space="preserve">מגוונת, </w:t>
      </w:r>
      <w:bookmarkStart w:id="60836" w:name="_ETM_Q112_325950"/>
      <w:bookmarkEnd w:id="60836"/>
      <w:r>
        <w:rPr>
          <w:rFonts w:hint="cs"/>
          <w:rtl/>
        </w:rPr>
        <w:t xml:space="preserve">וצריך </w:t>
      </w:r>
      <w:bookmarkStart w:id="60837" w:name="_ETM_Q112_326370"/>
      <w:bookmarkEnd w:id="60837"/>
      <w:r>
        <w:rPr>
          <w:rFonts w:hint="cs"/>
          <w:rtl/>
        </w:rPr>
        <w:t xml:space="preserve">לתת </w:t>
      </w:r>
      <w:bookmarkStart w:id="60838" w:name="_ETM_Q112_326669"/>
      <w:bookmarkEnd w:id="60838"/>
      <w:r>
        <w:rPr>
          <w:rFonts w:hint="cs"/>
          <w:rtl/>
        </w:rPr>
        <w:t xml:space="preserve">לכולם </w:t>
      </w:r>
      <w:bookmarkStart w:id="60839" w:name="_ETM_Q112_327209"/>
      <w:bookmarkEnd w:id="60839"/>
      <w:r>
        <w:rPr>
          <w:rFonts w:hint="cs"/>
          <w:rtl/>
        </w:rPr>
        <w:t xml:space="preserve">שם </w:t>
      </w:r>
      <w:bookmarkStart w:id="60840" w:name="_ETM_Q112_327780"/>
      <w:bookmarkEnd w:id="60840"/>
      <w:r>
        <w:rPr>
          <w:rFonts w:hint="cs"/>
          <w:rtl/>
        </w:rPr>
        <w:t xml:space="preserve">ביטוי </w:t>
      </w:r>
      <w:bookmarkStart w:id="60841" w:name="_ETM_Q112_328410"/>
      <w:bookmarkEnd w:id="60841"/>
      <w:r>
        <w:rPr>
          <w:rFonts w:hint="cs"/>
          <w:rtl/>
        </w:rPr>
        <w:t xml:space="preserve">והרגשה </w:t>
      </w:r>
      <w:bookmarkStart w:id="60842" w:name="_ETM_Q112_329280"/>
      <w:bookmarkEnd w:id="60842"/>
      <w:r>
        <w:rPr>
          <w:rFonts w:hint="cs"/>
          <w:rtl/>
        </w:rPr>
        <w:t xml:space="preserve">שסופרים </w:t>
      </w:r>
      <w:bookmarkStart w:id="60843" w:name="_ETM_Q112_329970"/>
      <w:bookmarkEnd w:id="60843"/>
      <w:r>
        <w:rPr>
          <w:rFonts w:hint="cs"/>
          <w:rtl/>
        </w:rPr>
        <w:t xml:space="preserve">אותם. </w:t>
      </w:r>
      <w:bookmarkStart w:id="60844" w:name="_ETM_Q112_330840"/>
      <w:bookmarkEnd w:id="60844"/>
      <w:r>
        <w:rPr>
          <w:rFonts w:hint="cs"/>
          <w:rtl/>
        </w:rPr>
        <w:t xml:space="preserve">אחרת, </w:t>
      </w:r>
      <w:bookmarkStart w:id="60845" w:name="_ETM_Q112_331650"/>
      <w:bookmarkEnd w:id="60845"/>
      <w:r>
        <w:rPr>
          <w:rFonts w:hint="cs"/>
          <w:rtl/>
        </w:rPr>
        <w:t xml:space="preserve">מגיעים </w:t>
      </w:r>
      <w:bookmarkStart w:id="60846" w:name="_ETM_Q112_332400"/>
      <w:bookmarkEnd w:id="60846"/>
      <w:r>
        <w:rPr>
          <w:rFonts w:hint="cs"/>
          <w:rtl/>
        </w:rPr>
        <w:t xml:space="preserve">למצבים </w:t>
      </w:r>
      <w:bookmarkStart w:id="60847" w:name="_ETM_Q112_333150"/>
      <w:bookmarkEnd w:id="60847"/>
      <w:r>
        <w:rPr>
          <w:rFonts w:hint="cs"/>
          <w:rtl/>
        </w:rPr>
        <w:t xml:space="preserve">כמו </w:t>
      </w:r>
      <w:bookmarkStart w:id="60848" w:name="_ETM_Q112_333590"/>
      <w:bookmarkEnd w:id="60848"/>
      <w:r w:rsidR="00E70367">
        <w:rPr>
          <w:rFonts w:hint="cs"/>
          <w:rtl/>
        </w:rPr>
        <w:t>ז</w:t>
      </w:r>
      <w:r>
        <w:rPr>
          <w:rFonts w:hint="cs"/>
          <w:rtl/>
        </w:rPr>
        <w:t xml:space="preserve">ה שאנחנו </w:t>
      </w:r>
      <w:bookmarkStart w:id="60849" w:name="_ETM_Q112_333889"/>
      <w:bookmarkEnd w:id="60849"/>
      <w:r>
        <w:rPr>
          <w:rFonts w:hint="cs"/>
          <w:rtl/>
        </w:rPr>
        <w:t xml:space="preserve">נמצאים </w:t>
      </w:r>
      <w:bookmarkStart w:id="60850" w:name="_ETM_Q112_334280"/>
      <w:bookmarkEnd w:id="60850"/>
      <w:r>
        <w:rPr>
          <w:rFonts w:hint="cs"/>
          <w:rtl/>
        </w:rPr>
        <w:t xml:space="preserve">בו </w:t>
      </w:r>
      <w:bookmarkStart w:id="60851" w:name="_ETM_Q112_334489"/>
      <w:bookmarkEnd w:id="60851"/>
      <w:r>
        <w:rPr>
          <w:rFonts w:hint="cs"/>
          <w:rtl/>
        </w:rPr>
        <w:t xml:space="preserve">עכשיו. </w:t>
      </w:r>
      <w:bookmarkStart w:id="60852" w:name="_ETM_Q112_335419"/>
      <w:bookmarkEnd w:id="60852"/>
      <w:r>
        <w:rPr>
          <w:rFonts w:hint="cs"/>
          <w:rtl/>
        </w:rPr>
        <w:t xml:space="preserve">אין </w:t>
      </w:r>
      <w:bookmarkStart w:id="60853" w:name="_ETM_Q112_335629"/>
      <w:bookmarkEnd w:id="60853"/>
      <w:r>
        <w:rPr>
          <w:rFonts w:hint="cs"/>
          <w:rtl/>
        </w:rPr>
        <w:t xml:space="preserve">דבר </w:t>
      </w:r>
      <w:bookmarkStart w:id="60854" w:name="_ETM_Q112_336019"/>
      <w:bookmarkEnd w:id="60854"/>
      <w:r>
        <w:rPr>
          <w:rFonts w:hint="cs"/>
          <w:rtl/>
        </w:rPr>
        <w:t xml:space="preserve">כזה </w:t>
      </w:r>
      <w:bookmarkStart w:id="60855" w:name="_ETM_Q112_336319"/>
      <w:bookmarkEnd w:id="60855"/>
      <w:r>
        <w:rPr>
          <w:rFonts w:hint="cs"/>
          <w:rtl/>
        </w:rPr>
        <w:t xml:space="preserve">עריצות </w:t>
      </w:r>
      <w:bookmarkStart w:id="60856" w:name="_ETM_Q112_336800"/>
      <w:bookmarkEnd w:id="60856"/>
      <w:r>
        <w:rPr>
          <w:rFonts w:hint="cs"/>
          <w:rtl/>
        </w:rPr>
        <w:t xml:space="preserve">רוב, </w:t>
      </w:r>
      <w:bookmarkStart w:id="60857" w:name="_ETM_Q112_337040"/>
      <w:bookmarkEnd w:id="60857"/>
      <w:r>
        <w:rPr>
          <w:rFonts w:hint="cs"/>
          <w:rtl/>
        </w:rPr>
        <w:t xml:space="preserve">זה </w:t>
      </w:r>
      <w:bookmarkStart w:id="60858" w:name="_ETM_Q112_337160"/>
      <w:bookmarkEnd w:id="60858"/>
      <w:r>
        <w:rPr>
          <w:rFonts w:hint="cs"/>
          <w:rtl/>
        </w:rPr>
        <w:t xml:space="preserve">לא </w:t>
      </w:r>
      <w:bookmarkStart w:id="60859" w:name="_ETM_Q112_337250"/>
      <w:bookmarkEnd w:id="60859"/>
      <w:r>
        <w:rPr>
          <w:rFonts w:hint="cs"/>
          <w:rtl/>
        </w:rPr>
        <w:t xml:space="preserve">יכול </w:t>
      </w:r>
      <w:bookmarkStart w:id="60860" w:name="_ETM_Q112_337459"/>
      <w:bookmarkEnd w:id="60860"/>
      <w:r>
        <w:rPr>
          <w:rFonts w:hint="cs"/>
          <w:rtl/>
        </w:rPr>
        <w:t xml:space="preserve">לתפוס. </w:t>
      </w:r>
      <w:bookmarkStart w:id="60861" w:name="_ETM_Q112_338300"/>
      <w:bookmarkEnd w:id="60861"/>
      <w:r>
        <w:rPr>
          <w:rFonts w:hint="cs"/>
          <w:rtl/>
        </w:rPr>
        <w:t xml:space="preserve">אין </w:t>
      </w:r>
      <w:bookmarkStart w:id="60862" w:name="_ETM_Q112_338480"/>
      <w:bookmarkEnd w:id="60862"/>
      <w:r>
        <w:rPr>
          <w:rFonts w:hint="cs"/>
          <w:rtl/>
        </w:rPr>
        <w:t xml:space="preserve">דבר </w:t>
      </w:r>
      <w:bookmarkStart w:id="60863" w:name="_ETM_Q112_338810"/>
      <w:bookmarkEnd w:id="60863"/>
      <w:r>
        <w:rPr>
          <w:rFonts w:hint="cs"/>
          <w:rtl/>
        </w:rPr>
        <w:t xml:space="preserve">כזה </w:t>
      </w:r>
      <w:bookmarkStart w:id="60864" w:name="_ETM_Q112_339530"/>
      <w:bookmarkEnd w:id="60864"/>
      <w:r>
        <w:rPr>
          <w:rFonts w:hint="cs"/>
          <w:rtl/>
        </w:rPr>
        <w:t xml:space="preserve">רוב </w:t>
      </w:r>
      <w:bookmarkStart w:id="60865" w:name="_ETM_Q112_340040"/>
      <w:bookmarkEnd w:id="60865"/>
      <w:r>
        <w:rPr>
          <w:rFonts w:hint="cs"/>
          <w:rtl/>
        </w:rPr>
        <w:t xml:space="preserve">רנדומלי </w:t>
      </w:r>
      <w:bookmarkStart w:id="60866" w:name="_ETM_Q112_340610"/>
      <w:bookmarkEnd w:id="60866"/>
      <w:r>
        <w:rPr>
          <w:rFonts w:hint="cs"/>
          <w:rtl/>
        </w:rPr>
        <w:t xml:space="preserve">בכנסת, </w:t>
      </w:r>
      <w:bookmarkStart w:id="60867" w:name="_ETM_Q112_341150"/>
      <w:bookmarkEnd w:id="60867"/>
      <w:r>
        <w:rPr>
          <w:rFonts w:hint="cs"/>
          <w:rtl/>
        </w:rPr>
        <w:t xml:space="preserve">כי </w:t>
      </w:r>
      <w:bookmarkStart w:id="60868" w:name="_ETM_Q112_341269"/>
      <w:bookmarkEnd w:id="60868"/>
      <w:r>
        <w:rPr>
          <w:rFonts w:hint="cs"/>
          <w:rtl/>
        </w:rPr>
        <w:t xml:space="preserve">כל </w:t>
      </w:r>
      <w:bookmarkStart w:id="60869" w:name="_ETM_Q112_341510"/>
      <w:bookmarkEnd w:id="60869"/>
      <w:r>
        <w:rPr>
          <w:rFonts w:hint="cs"/>
          <w:rtl/>
        </w:rPr>
        <w:t xml:space="preserve">רוב </w:t>
      </w:r>
      <w:bookmarkStart w:id="60870" w:name="_ETM_Q112_341720"/>
      <w:bookmarkEnd w:id="60870"/>
      <w:r>
        <w:rPr>
          <w:rFonts w:hint="cs"/>
          <w:rtl/>
        </w:rPr>
        <w:t xml:space="preserve">פה </w:t>
      </w:r>
      <w:bookmarkStart w:id="60871" w:name="_ETM_Q112_341930"/>
      <w:bookmarkEnd w:id="60871"/>
      <w:r w:rsidR="00E70367">
        <w:rPr>
          <w:rFonts w:hint="cs"/>
          <w:rtl/>
        </w:rPr>
        <w:t xml:space="preserve">הוא </w:t>
      </w:r>
      <w:r>
        <w:rPr>
          <w:rFonts w:hint="cs"/>
          <w:rtl/>
        </w:rPr>
        <w:t xml:space="preserve">רוב </w:t>
      </w:r>
      <w:bookmarkStart w:id="60872" w:name="_ETM_Q112_342110"/>
      <w:bookmarkEnd w:id="60872"/>
      <w:r>
        <w:rPr>
          <w:rFonts w:hint="cs"/>
          <w:rtl/>
        </w:rPr>
        <w:t xml:space="preserve">רנדומלי. </w:t>
      </w:r>
      <w:bookmarkStart w:id="60873" w:name="_ETM_Q112_342739"/>
      <w:bookmarkEnd w:id="60873"/>
      <w:r>
        <w:rPr>
          <w:rFonts w:hint="cs"/>
          <w:rtl/>
        </w:rPr>
        <w:t xml:space="preserve">אני </w:t>
      </w:r>
      <w:bookmarkStart w:id="60874" w:name="_ETM_Q112_342980"/>
      <w:bookmarkEnd w:id="60874"/>
      <w:r>
        <w:rPr>
          <w:rFonts w:hint="cs"/>
          <w:rtl/>
        </w:rPr>
        <w:t xml:space="preserve">פה ארבע וחצי </w:t>
      </w:r>
      <w:bookmarkStart w:id="60875" w:name="_ETM_Q112_344000"/>
      <w:bookmarkStart w:id="60876" w:name="_ETM_Q112_343160"/>
      <w:bookmarkStart w:id="60877" w:name="_ETM_Q112_343760"/>
      <w:bookmarkEnd w:id="60875"/>
      <w:bookmarkEnd w:id="60876"/>
      <w:bookmarkEnd w:id="60877"/>
      <w:r>
        <w:rPr>
          <w:rFonts w:hint="cs"/>
          <w:rtl/>
        </w:rPr>
        <w:t>שנים, זו</w:t>
      </w:r>
      <w:bookmarkStart w:id="60878" w:name="_ETM_Q112_344120"/>
      <w:bookmarkEnd w:id="60878"/>
      <w:r>
        <w:rPr>
          <w:rFonts w:hint="cs"/>
          <w:rtl/>
        </w:rPr>
        <w:t xml:space="preserve"> </w:t>
      </w:r>
      <w:bookmarkStart w:id="60879" w:name="_ETM_Q112_344209"/>
      <w:bookmarkEnd w:id="60879"/>
      <w:r>
        <w:rPr>
          <w:rFonts w:hint="cs"/>
          <w:rtl/>
        </w:rPr>
        <w:t xml:space="preserve">כבר </w:t>
      </w:r>
      <w:bookmarkStart w:id="60880" w:name="_ETM_Q112_344510"/>
      <w:bookmarkEnd w:id="60880"/>
      <w:r>
        <w:rPr>
          <w:rFonts w:hint="cs"/>
          <w:rtl/>
        </w:rPr>
        <w:t xml:space="preserve">הכנסת </w:t>
      </w:r>
      <w:bookmarkStart w:id="60881" w:name="_ETM_Q112_344870"/>
      <w:bookmarkEnd w:id="60881"/>
      <w:r>
        <w:rPr>
          <w:rFonts w:hint="cs"/>
          <w:rtl/>
        </w:rPr>
        <w:t xml:space="preserve">החמישית </w:t>
      </w:r>
      <w:bookmarkStart w:id="60882" w:name="_ETM_Q112_345319"/>
      <w:bookmarkEnd w:id="60882"/>
      <w:r>
        <w:rPr>
          <w:rFonts w:hint="cs"/>
          <w:rtl/>
        </w:rPr>
        <w:t xml:space="preserve">שלי, </w:t>
      </w:r>
      <w:bookmarkStart w:id="60883" w:name="_ETM_Q112_345500"/>
      <w:bookmarkEnd w:id="60883"/>
      <w:r>
        <w:rPr>
          <w:rFonts w:hint="cs"/>
          <w:rtl/>
        </w:rPr>
        <w:t xml:space="preserve">אני </w:t>
      </w:r>
      <w:bookmarkStart w:id="60884" w:name="_ETM_Q112_345590"/>
      <w:bookmarkEnd w:id="60884"/>
      <w:r>
        <w:rPr>
          <w:rFonts w:hint="cs"/>
          <w:rtl/>
        </w:rPr>
        <w:t xml:space="preserve">חושב. </w:t>
      </w:r>
      <w:bookmarkStart w:id="60885" w:name="_ETM_Q112_346419"/>
      <w:bookmarkEnd w:id="60885"/>
      <w:r>
        <w:rPr>
          <w:rFonts w:hint="cs"/>
          <w:rtl/>
        </w:rPr>
        <w:t xml:space="preserve">הכול </w:t>
      </w:r>
      <w:bookmarkStart w:id="60886" w:name="_ETM_Q112_346629"/>
      <w:bookmarkEnd w:id="60886"/>
      <w:r>
        <w:rPr>
          <w:rFonts w:hint="cs"/>
          <w:rtl/>
        </w:rPr>
        <w:t xml:space="preserve">פה </w:t>
      </w:r>
      <w:bookmarkStart w:id="60887" w:name="_ETM_Q112_346780"/>
      <w:bookmarkEnd w:id="60887"/>
      <w:r>
        <w:rPr>
          <w:rFonts w:hint="cs"/>
          <w:rtl/>
        </w:rPr>
        <w:t xml:space="preserve">רנדומלי, </w:t>
      </w:r>
      <w:bookmarkStart w:id="60888" w:name="_ETM_Q112_347290"/>
      <w:bookmarkEnd w:id="60888"/>
      <w:r>
        <w:rPr>
          <w:rFonts w:hint="cs"/>
          <w:rtl/>
        </w:rPr>
        <w:t xml:space="preserve">הכול </w:t>
      </w:r>
      <w:bookmarkStart w:id="60889" w:name="_ETM_Q112_347530"/>
      <w:bookmarkEnd w:id="60889"/>
      <w:r>
        <w:rPr>
          <w:rFonts w:hint="cs"/>
          <w:rtl/>
        </w:rPr>
        <w:t xml:space="preserve">פה </w:t>
      </w:r>
      <w:bookmarkStart w:id="60890" w:name="_ETM_Q112_347680"/>
      <w:bookmarkEnd w:id="60890"/>
      <w:r>
        <w:rPr>
          <w:rFonts w:hint="cs"/>
          <w:rtl/>
        </w:rPr>
        <w:t xml:space="preserve">זמני. </w:t>
      </w:r>
      <w:bookmarkStart w:id="60891" w:name="_ETM_Q112_348159"/>
      <w:bookmarkEnd w:id="60891"/>
      <w:r>
        <w:rPr>
          <w:rFonts w:hint="cs"/>
          <w:rtl/>
        </w:rPr>
        <w:t xml:space="preserve">אי-אפשר </w:t>
      </w:r>
      <w:bookmarkStart w:id="60892" w:name="_ETM_Q112_348430"/>
      <w:bookmarkEnd w:id="60892"/>
      <w:r>
        <w:rPr>
          <w:rFonts w:hint="cs"/>
          <w:rtl/>
        </w:rPr>
        <w:t xml:space="preserve">לנצל </w:t>
      </w:r>
      <w:bookmarkStart w:id="60893" w:name="_ETM_Q112_349330"/>
      <w:bookmarkEnd w:id="60893"/>
      <w:r>
        <w:rPr>
          <w:rFonts w:hint="cs"/>
          <w:rtl/>
        </w:rPr>
        <w:t xml:space="preserve">רוב </w:t>
      </w:r>
      <w:bookmarkStart w:id="60894" w:name="_ETM_Q112_351389"/>
      <w:bookmarkEnd w:id="60894"/>
      <w:r>
        <w:rPr>
          <w:rFonts w:hint="cs"/>
          <w:rtl/>
        </w:rPr>
        <w:t xml:space="preserve">רנדומלי </w:t>
      </w:r>
      <w:bookmarkStart w:id="60895" w:name="_ETM_Q112_351930"/>
      <w:bookmarkEnd w:id="60895"/>
      <w:r>
        <w:rPr>
          <w:rFonts w:hint="cs"/>
          <w:rtl/>
        </w:rPr>
        <w:t xml:space="preserve">בהיסטוריה </w:t>
      </w:r>
      <w:bookmarkStart w:id="60896" w:name="_ETM_Q112_352530"/>
      <w:bookmarkEnd w:id="60896"/>
      <w:r>
        <w:rPr>
          <w:rFonts w:hint="cs"/>
          <w:rtl/>
        </w:rPr>
        <w:t xml:space="preserve">בשביל </w:t>
      </w:r>
      <w:bookmarkStart w:id="60897" w:name="_ETM_Q112_352889"/>
      <w:bookmarkEnd w:id="60897"/>
      <w:r>
        <w:rPr>
          <w:rFonts w:hint="cs"/>
          <w:rtl/>
        </w:rPr>
        <w:t xml:space="preserve">לשנות </w:t>
      </w:r>
      <w:bookmarkStart w:id="60898" w:name="_ETM_Q112_353250"/>
      <w:bookmarkEnd w:id="60898"/>
      <w:r>
        <w:rPr>
          <w:rFonts w:hint="cs"/>
          <w:rtl/>
        </w:rPr>
        <w:t xml:space="preserve">סדרי </w:t>
      </w:r>
      <w:bookmarkStart w:id="60899" w:name="_ETM_Q112_354230"/>
      <w:bookmarkEnd w:id="60899"/>
      <w:r>
        <w:rPr>
          <w:rFonts w:hint="cs"/>
          <w:rtl/>
        </w:rPr>
        <w:t xml:space="preserve">עולם, </w:t>
      </w:r>
      <w:bookmarkStart w:id="60900" w:name="_ETM_Q112_355130"/>
      <w:bookmarkEnd w:id="60900"/>
      <w:r>
        <w:rPr>
          <w:rFonts w:hint="cs"/>
          <w:rtl/>
        </w:rPr>
        <w:t xml:space="preserve">בגלל </w:t>
      </w:r>
      <w:bookmarkStart w:id="60901" w:name="_ETM_Q112_355550"/>
      <w:bookmarkEnd w:id="60901"/>
      <w:r>
        <w:rPr>
          <w:rFonts w:hint="cs"/>
          <w:rtl/>
        </w:rPr>
        <w:t xml:space="preserve">שאז </w:t>
      </w:r>
      <w:bookmarkStart w:id="60902" w:name="_ETM_Q112_356580"/>
      <w:bookmarkEnd w:id="60902"/>
      <w:r>
        <w:rPr>
          <w:rFonts w:hint="cs"/>
          <w:rtl/>
        </w:rPr>
        <w:t xml:space="preserve">נשארים </w:t>
      </w:r>
      <w:bookmarkStart w:id="60903" w:name="_ETM_Q112_357030"/>
      <w:bookmarkEnd w:id="60903"/>
      <w:r>
        <w:rPr>
          <w:rFonts w:hint="cs"/>
          <w:rtl/>
        </w:rPr>
        <w:t xml:space="preserve">עם מדינה </w:t>
      </w:r>
      <w:bookmarkStart w:id="60904" w:name="_ETM_Q112_357450"/>
      <w:bookmarkEnd w:id="60904"/>
      <w:r>
        <w:rPr>
          <w:rFonts w:hint="cs"/>
          <w:rtl/>
        </w:rPr>
        <w:t xml:space="preserve">בלי </w:t>
      </w:r>
      <w:bookmarkStart w:id="60905" w:name="_ETM_Q112_357660"/>
      <w:bookmarkEnd w:id="60905"/>
      <w:r>
        <w:rPr>
          <w:rFonts w:hint="cs"/>
          <w:rtl/>
        </w:rPr>
        <w:t xml:space="preserve">עם. </w:t>
      </w:r>
      <w:bookmarkStart w:id="60906" w:name="_ETM_Q112_358200"/>
      <w:bookmarkEnd w:id="60906"/>
    </w:p>
    <w:p w:rsidR="00BB59CD" w:rsidRDefault="00BB59CD" w:rsidP="00BB59CD">
      <w:pPr>
        <w:rPr>
          <w:rtl/>
        </w:rPr>
      </w:pPr>
    </w:p>
    <w:p w:rsidR="00BB59CD" w:rsidRDefault="00BB59CD" w:rsidP="00BB59CD">
      <w:pPr>
        <w:rPr>
          <w:rtl/>
        </w:rPr>
      </w:pPr>
      <w:bookmarkStart w:id="60907" w:name="_ETM_Q112_359000"/>
      <w:bookmarkEnd w:id="60907"/>
      <w:r>
        <w:rPr>
          <w:rFonts w:hint="cs"/>
          <w:rtl/>
        </w:rPr>
        <w:t xml:space="preserve">זה </w:t>
      </w:r>
      <w:bookmarkStart w:id="60908" w:name="_ETM_Q112_358380"/>
      <w:bookmarkEnd w:id="60908"/>
      <w:r>
        <w:rPr>
          <w:rFonts w:hint="cs"/>
          <w:rtl/>
        </w:rPr>
        <w:t xml:space="preserve">מה </w:t>
      </w:r>
      <w:bookmarkStart w:id="60909" w:name="_ETM_Q112_358470"/>
      <w:bookmarkEnd w:id="60909"/>
      <w:r>
        <w:rPr>
          <w:rFonts w:hint="cs"/>
          <w:rtl/>
        </w:rPr>
        <w:t>ש</w:t>
      </w:r>
      <w:bookmarkStart w:id="60910" w:name="_ETM_Q112_358710"/>
      <w:bookmarkEnd w:id="60910"/>
      <w:r>
        <w:rPr>
          <w:rFonts w:hint="cs"/>
          <w:rtl/>
        </w:rPr>
        <w:t xml:space="preserve">קורה </w:t>
      </w:r>
      <w:bookmarkStart w:id="60911" w:name="_ETM_Q112_358950"/>
      <w:bookmarkEnd w:id="60911"/>
      <w:r>
        <w:rPr>
          <w:rFonts w:hint="cs"/>
          <w:rtl/>
        </w:rPr>
        <w:t xml:space="preserve">פה. </w:t>
      </w:r>
      <w:bookmarkStart w:id="60912" w:name="_ETM_Q112_359870"/>
      <w:bookmarkEnd w:id="60912"/>
      <w:r>
        <w:rPr>
          <w:rFonts w:hint="cs"/>
          <w:rtl/>
        </w:rPr>
        <w:t xml:space="preserve">אנשים </w:t>
      </w:r>
      <w:bookmarkStart w:id="60913" w:name="_ETM_Q112_360669"/>
      <w:bookmarkEnd w:id="60913"/>
      <w:r>
        <w:rPr>
          <w:rFonts w:hint="cs"/>
          <w:rtl/>
        </w:rPr>
        <w:t xml:space="preserve">מוכנים </w:t>
      </w:r>
      <w:bookmarkStart w:id="60914" w:name="_ETM_Q112_361480"/>
      <w:bookmarkEnd w:id="60914"/>
      <w:r>
        <w:rPr>
          <w:rFonts w:hint="cs"/>
          <w:rtl/>
        </w:rPr>
        <w:t xml:space="preserve">לעשות </w:t>
      </w:r>
      <w:bookmarkStart w:id="60915" w:name="_ETM_Q112_361930"/>
      <w:bookmarkEnd w:id="60915"/>
      <w:r>
        <w:rPr>
          <w:rFonts w:hint="cs"/>
          <w:rtl/>
        </w:rPr>
        <w:t xml:space="preserve">כברת </w:t>
      </w:r>
      <w:bookmarkStart w:id="60916" w:name="_ETM_Q112_362260"/>
      <w:bookmarkEnd w:id="60916"/>
      <w:r>
        <w:rPr>
          <w:rFonts w:hint="cs"/>
          <w:rtl/>
        </w:rPr>
        <w:t xml:space="preserve">דרך </w:t>
      </w:r>
      <w:bookmarkStart w:id="60917" w:name="_ETM_Q112_362710"/>
      <w:bookmarkEnd w:id="60917"/>
      <w:r>
        <w:rPr>
          <w:rFonts w:hint="cs"/>
          <w:rtl/>
        </w:rPr>
        <w:t xml:space="preserve">תמיד </w:t>
      </w:r>
      <w:bookmarkStart w:id="60918" w:name="_ETM_Q112_363130"/>
      <w:bookmarkEnd w:id="60918"/>
      <w:r>
        <w:rPr>
          <w:rFonts w:hint="cs"/>
          <w:rtl/>
        </w:rPr>
        <w:t xml:space="preserve">כדי </w:t>
      </w:r>
      <w:bookmarkStart w:id="60919" w:name="_ETM_Q112_363400"/>
      <w:bookmarkEnd w:id="60919"/>
      <w:r>
        <w:rPr>
          <w:rFonts w:hint="cs"/>
          <w:rtl/>
        </w:rPr>
        <w:t xml:space="preserve">לקיים </w:t>
      </w:r>
      <w:bookmarkStart w:id="60920" w:name="_ETM_Q112_363760"/>
      <w:bookmarkEnd w:id="60920"/>
      <w:r>
        <w:rPr>
          <w:rFonts w:hint="cs"/>
          <w:rtl/>
        </w:rPr>
        <w:t xml:space="preserve">את </w:t>
      </w:r>
      <w:bookmarkStart w:id="60921" w:name="_ETM_Q112_363820"/>
      <w:bookmarkEnd w:id="60921"/>
      <w:r>
        <w:rPr>
          <w:rFonts w:hint="cs"/>
          <w:rtl/>
        </w:rPr>
        <w:t xml:space="preserve">המדינה </w:t>
      </w:r>
      <w:bookmarkStart w:id="60922" w:name="_ETM_Q112_364210"/>
      <w:bookmarkEnd w:id="60922"/>
      <w:r>
        <w:rPr>
          <w:rFonts w:hint="cs"/>
          <w:rtl/>
        </w:rPr>
        <w:t xml:space="preserve">הזו </w:t>
      </w:r>
      <w:bookmarkStart w:id="60923" w:name="_ETM_Q112_364389"/>
      <w:bookmarkEnd w:id="60923"/>
      <w:r>
        <w:rPr>
          <w:rFonts w:hint="cs"/>
          <w:rtl/>
        </w:rPr>
        <w:t xml:space="preserve">כיהודית </w:t>
      </w:r>
      <w:bookmarkStart w:id="60924" w:name="_ETM_Q112_365489"/>
      <w:bookmarkEnd w:id="60924"/>
      <w:r>
        <w:rPr>
          <w:rFonts w:hint="cs"/>
          <w:rtl/>
        </w:rPr>
        <w:t xml:space="preserve">וכדמוקרטית, </w:t>
      </w:r>
      <w:bookmarkStart w:id="60925" w:name="_ETM_Q112_367219"/>
      <w:bookmarkEnd w:id="60925"/>
      <w:r>
        <w:rPr>
          <w:rFonts w:hint="cs"/>
          <w:rtl/>
        </w:rPr>
        <w:t xml:space="preserve">אבל </w:t>
      </w:r>
      <w:bookmarkStart w:id="60926" w:name="_ETM_Q112_367459"/>
      <w:bookmarkEnd w:id="60926"/>
      <w:r>
        <w:rPr>
          <w:rFonts w:hint="cs"/>
          <w:rtl/>
        </w:rPr>
        <w:t xml:space="preserve">הם </w:t>
      </w:r>
      <w:bookmarkStart w:id="60927" w:name="_ETM_Q112_367549"/>
      <w:bookmarkEnd w:id="60927"/>
      <w:r>
        <w:rPr>
          <w:rFonts w:hint="cs"/>
          <w:rtl/>
        </w:rPr>
        <w:t xml:space="preserve">רוצים </w:t>
      </w:r>
      <w:bookmarkStart w:id="60928" w:name="_ETM_Q112_367849"/>
      <w:bookmarkEnd w:id="60928"/>
      <w:r>
        <w:rPr>
          <w:rFonts w:hint="cs"/>
          <w:rtl/>
        </w:rPr>
        <w:t xml:space="preserve">לדעת </w:t>
      </w:r>
      <w:bookmarkStart w:id="60929" w:name="_ETM_Q112_368180"/>
      <w:bookmarkEnd w:id="60929"/>
      <w:r>
        <w:rPr>
          <w:rFonts w:hint="cs"/>
          <w:rtl/>
        </w:rPr>
        <w:t xml:space="preserve">שסופרים </w:t>
      </w:r>
      <w:bookmarkStart w:id="60930" w:name="_ETM_Q112_368689"/>
      <w:bookmarkEnd w:id="60930"/>
      <w:r>
        <w:rPr>
          <w:rFonts w:hint="cs"/>
          <w:rtl/>
        </w:rPr>
        <w:t xml:space="preserve">אותם. </w:t>
      </w:r>
      <w:bookmarkStart w:id="60931" w:name="_ETM_Q112_368959"/>
      <w:bookmarkEnd w:id="60931"/>
      <w:r>
        <w:rPr>
          <w:rFonts w:hint="cs"/>
          <w:rtl/>
        </w:rPr>
        <w:t xml:space="preserve">הם </w:t>
      </w:r>
      <w:bookmarkStart w:id="60932" w:name="_ETM_Q112_369019"/>
      <w:bookmarkEnd w:id="60932"/>
      <w:r>
        <w:rPr>
          <w:rFonts w:hint="cs"/>
          <w:rtl/>
        </w:rPr>
        <w:t xml:space="preserve">רוצים </w:t>
      </w:r>
      <w:bookmarkStart w:id="60933" w:name="_ETM_Q112_369230"/>
      <w:bookmarkEnd w:id="60933"/>
      <w:r>
        <w:rPr>
          <w:rFonts w:hint="cs"/>
          <w:rtl/>
        </w:rPr>
        <w:t xml:space="preserve">לדעת </w:t>
      </w:r>
      <w:bookmarkStart w:id="60934" w:name="_ETM_Q112_369469"/>
      <w:bookmarkEnd w:id="60934"/>
      <w:r>
        <w:rPr>
          <w:rFonts w:hint="cs"/>
          <w:rtl/>
        </w:rPr>
        <w:t xml:space="preserve">שיש </w:t>
      </w:r>
      <w:bookmarkStart w:id="60935" w:name="_ETM_Q112_369709"/>
      <w:bookmarkEnd w:id="60935"/>
      <w:r>
        <w:rPr>
          <w:rFonts w:hint="cs"/>
          <w:rtl/>
        </w:rPr>
        <w:t xml:space="preserve">להם </w:t>
      </w:r>
      <w:bookmarkStart w:id="60936" w:name="_ETM_Q112_369889"/>
      <w:bookmarkEnd w:id="60936"/>
      <w:r>
        <w:rPr>
          <w:rFonts w:hint="cs"/>
          <w:rtl/>
        </w:rPr>
        <w:t xml:space="preserve">עתיד. </w:t>
      </w:r>
      <w:bookmarkStart w:id="60937" w:name="_ETM_Q112_370609"/>
      <w:bookmarkEnd w:id="60937"/>
      <w:r>
        <w:rPr>
          <w:rFonts w:hint="cs"/>
          <w:rtl/>
        </w:rPr>
        <w:t xml:space="preserve">אז </w:t>
      </w:r>
      <w:bookmarkStart w:id="60938" w:name="_ETM_Q112_370939"/>
      <w:bookmarkEnd w:id="60938"/>
      <w:r>
        <w:rPr>
          <w:rFonts w:hint="cs"/>
          <w:rtl/>
        </w:rPr>
        <w:t xml:space="preserve">זה </w:t>
      </w:r>
      <w:bookmarkStart w:id="60939" w:name="_ETM_Q112_371510"/>
      <w:bookmarkEnd w:id="60939"/>
      <w:r>
        <w:rPr>
          <w:rFonts w:hint="cs"/>
          <w:rtl/>
        </w:rPr>
        <w:t xml:space="preserve">בעצם </w:t>
      </w:r>
      <w:bookmarkStart w:id="60940" w:name="_ETM_Q112_371840"/>
      <w:bookmarkEnd w:id="60940"/>
      <w:r>
        <w:rPr>
          <w:rFonts w:hint="cs"/>
          <w:rtl/>
        </w:rPr>
        <w:t xml:space="preserve">כל </w:t>
      </w:r>
      <w:bookmarkStart w:id="60941" w:name="_ETM_Q112_372019"/>
      <w:bookmarkEnd w:id="60941"/>
      <w:r>
        <w:rPr>
          <w:rFonts w:hint="cs"/>
          <w:rtl/>
        </w:rPr>
        <w:t xml:space="preserve">הסיפור. </w:t>
      </w:r>
      <w:bookmarkStart w:id="60942" w:name="_ETM_Q112_372740"/>
      <w:bookmarkEnd w:id="60942"/>
      <w:r>
        <w:rPr>
          <w:rFonts w:hint="cs"/>
          <w:rtl/>
        </w:rPr>
        <w:t xml:space="preserve">זה </w:t>
      </w:r>
      <w:bookmarkStart w:id="60943" w:name="_ETM_Q112_372950"/>
      <w:bookmarkEnd w:id="60943"/>
      <w:r>
        <w:rPr>
          <w:rFonts w:hint="cs"/>
          <w:rtl/>
        </w:rPr>
        <w:t xml:space="preserve">יותר </w:t>
      </w:r>
      <w:bookmarkStart w:id="60944" w:name="_ETM_Q112_373220"/>
      <w:bookmarkEnd w:id="60944"/>
      <w:r>
        <w:rPr>
          <w:rFonts w:hint="cs"/>
          <w:rtl/>
        </w:rPr>
        <w:t xml:space="preserve">גדול </w:t>
      </w:r>
      <w:bookmarkStart w:id="60945" w:name="_ETM_Q112_373550"/>
      <w:bookmarkEnd w:id="60945"/>
      <w:r>
        <w:rPr>
          <w:rFonts w:hint="cs"/>
          <w:rtl/>
        </w:rPr>
        <w:t xml:space="preserve">מסבירות, </w:t>
      </w:r>
      <w:bookmarkStart w:id="60946" w:name="_ETM_Q112_374450"/>
      <w:bookmarkEnd w:id="60946"/>
      <w:r>
        <w:rPr>
          <w:rFonts w:hint="cs"/>
          <w:rtl/>
        </w:rPr>
        <w:t xml:space="preserve">וזה </w:t>
      </w:r>
      <w:bookmarkStart w:id="60947" w:name="_ETM_Q112_374690"/>
      <w:bookmarkEnd w:id="60947"/>
      <w:r>
        <w:rPr>
          <w:rFonts w:hint="cs"/>
          <w:rtl/>
        </w:rPr>
        <w:t xml:space="preserve">יותר </w:t>
      </w:r>
      <w:bookmarkStart w:id="60948" w:name="_ETM_Q112_374990"/>
      <w:bookmarkEnd w:id="60948"/>
      <w:r>
        <w:rPr>
          <w:rFonts w:hint="cs"/>
          <w:rtl/>
        </w:rPr>
        <w:t xml:space="preserve">גדול </w:t>
      </w:r>
      <w:bookmarkStart w:id="60949" w:name="_ETM_Q112_375740"/>
      <w:bookmarkEnd w:id="60949"/>
      <w:r>
        <w:rPr>
          <w:rFonts w:hint="cs"/>
          <w:rtl/>
        </w:rPr>
        <w:t xml:space="preserve">מהפיכה </w:t>
      </w:r>
      <w:bookmarkStart w:id="60950" w:name="_ETM_Q112_376639"/>
      <w:bookmarkEnd w:id="60950"/>
      <w:r>
        <w:rPr>
          <w:rFonts w:hint="cs"/>
          <w:rtl/>
        </w:rPr>
        <w:t xml:space="preserve">כולה. </w:t>
      </w:r>
      <w:bookmarkStart w:id="60951" w:name="_ETM_Q112_377830"/>
      <w:bookmarkEnd w:id="60951"/>
      <w:r>
        <w:rPr>
          <w:rFonts w:hint="cs"/>
          <w:rtl/>
        </w:rPr>
        <w:t xml:space="preserve">זה </w:t>
      </w:r>
      <w:bookmarkStart w:id="60952" w:name="_ETM_Q112_378040"/>
      <w:bookmarkEnd w:id="60952"/>
      <w:r>
        <w:rPr>
          <w:rFonts w:hint="cs"/>
          <w:rtl/>
        </w:rPr>
        <w:t xml:space="preserve">עניין </w:t>
      </w:r>
      <w:bookmarkStart w:id="60953" w:name="_ETM_Q112_378639"/>
      <w:bookmarkEnd w:id="60953"/>
      <w:r>
        <w:rPr>
          <w:rFonts w:hint="cs"/>
          <w:rtl/>
        </w:rPr>
        <w:t xml:space="preserve">של </w:t>
      </w:r>
      <w:bookmarkStart w:id="60954" w:name="_ETM_Q112_378820"/>
      <w:bookmarkEnd w:id="60954"/>
      <w:r>
        <w:rPr>
          <w:rFonts w:hint="cs"/>
          <w:rtl/>
        </w:rPr>
        <w:t xml:space="preserve">אנשים </w:t>
      </w:r>
      <w:bookmarkStart w:id="60955" w:name="_ETM_Q112_379270"/>
      <w:bookmarkEnd w:id="60955"/>
      <w:r>
        <w:rPr>
          <w:rFonts w:hint="cs"/>
          <w:rtl/>
        </w:rPr>
        <w:t xml:space="preserve">שאומרים: </w:t>
      </w:r>
      <w:bookmarkStart w:id="60956" w:name="_ETM_Q112_379810"/>
      <w:bookmarkEnd w:id="60956"/>
      <w:r>
        <w:rPr>
          <w:rFonts w:hint="cs"/>
          <w:rtl/>
        </w:rPr>
        <w:t xml:space="preserve">אנחנו </w:t>
      </w:r>
      <w:bookmarkStart w:id="60957" w:name="_ETM_Q112_380110"/>
      <w:bookmarkEnd w:id="60957"/>
      <w:r>
        <w:rPr>
          <w:rFonts w:hint="cs"/>
          <w:rtl/>
        </w:rPr>
        <w:t xml:space="preserve">צריכים </w:t>
      </w:r>
      <w:bookmarkStart w:id="60958" w:name="_ETM_Q112_380410"/>
      <w:bookmarkEnd w:id="60958"/>
      <w:r>
        <w:rPr>
          <w:rFonts w:hint="cs"/>
          <w:rtl/>
        </w:rPr>
        <w:t xml:space="preserve">לדעת </w:t>
      </w:r>
      <w:bookmarkStart w:id="60959" w:name="_ETM_Q112_380710"/>
      <w:bookmarkEnd w:id="60959"/>
      <w:r>
        <w:rPr>
          <w:rFonts w:hint="cs"/>
          <w:rtl/>
        </w:rPr>
        <w:t xml:space="preserve">שהמדינה </w:t>
      </w:r>
      <w:bookmarkStart w:id="60960" w:name="_ETM_Q112_381250"/>
      <w:bookmarkEnd w:id="60960"/>
      <w:r>
        <w:rPr>
          <w:rFonts w:hint="cs"/>
          <w:rtl/>
        </w:rPr>
        <w:t xml:space="preserve">הזו </w:t>
      </w:r>
      <w:bookmarkStart w:id="60961" w:name="_ETM_Q112_381430"/>
      <w:bookmarkEnd w:id="60961"/>
      <w:r>
        <w:rPr>
          <w:rFonts w:hint="cs"/>
          <w:rtl/>
        </w:rPr>
        <w:t xml:space="preserve">ממשיכה </w:t>
      </w:r>
      <w:bookmarkStart w:id="60962" w:name="_ETM_Q112_381940"/>
      <w:bookmarkEnd w:id="60962"/>
      <w:r>
        <w:rPr>
          <w:rFonts w:hint="cs"/>
          <w:rtl/>
        </w:rPr>
        <w:t xml:space="preserve">יחד, </w:t>
      </w:r>
      <w:bookmarkStart w:id="60963" w:name="_ETM_Q112_382240"/>
      <w:bookmarkEnd w:id="60963"/>
      <w:r>
        <w:rPr>
          <w:rFonts w:hint="cs"/>
          <w:rtl/>
        </w:rPr>
        <w:t xml:space="preserve">כולם </w:t>
      </w:r>
      <w:bookmarkStart w:id="60964" w:name="_ETM_Q112_382570"/>
      <w:bookmarkEnd w:id="60964"/>
      <w:r>
        <w:rPr>
          <w:rFonts w:hint="cs"/>
          <w:rtl/>
        </w:rPr>
        <w:t xml:space="preserve">יחד, </w:t>
      </w:r>
      <w:bookmarkStart w:id="60965" w:name="_ETM_Q112_383169"/>
      <w:bookmarkEnd w:id="60965"/>
      <w:r>
        <w:rPr>
          <w:rFonts w:hint="cs"/>
          <w:rtl/>
        </w:rPr>
        <w:t xml:space="preserve">אבל </w:t>
      </w:r>
      <w:bookmarkStart w:id="60966" w:name="_ETM_Q112_383380"/>
      <w:bookmarkEnd w:id="60966"/>
      <w:r>
        <w:rPr>
          <w:rFonts w:hint="cs"/>
          <w:rtl/>
        </w:rPr>
        <w:t xml:space="preserve">שאנחנו </w:t>
      </w:r>
      <w:bookmarkStart w:id="60967" w:name="_ETM_Q112_383650"/>
      <w:bookmarkEnd w:id="60967"/>
      <w:r>
        <w:rPr>
          <w:rFonts w:hint="cs"/>
          <w:rtl/>
        </w:rPr>
        <w:t xml:space="preserve">מסוגלים </w:t>
      </w:r>
      <w:bookmarkStart w:id="60968" w:name="_ETM_Q112_384070"/>
      <w:bookmarkEnd w:id="60968"/>
      <w:r>
        <w:rPr>
          <w:rFonts w:hint="cs"/>
          <w:rtl/>
        </w:rPr>
        <w:t xml:space="preserve">לעשות </w:t>
      </w:r>
      <w:bookmarkStart w:id="60969" w:name="_ETM_Q112_384460"/>
      <w:bookmarkEnd w:id="60969"/>
      <w:r>
        <w:rPr>
          <w:rFonts w:hint="cs"/>
          <w:rtl/>
        </w:rPr>
        <w:t xml:space="preserve">את </w:t>
      </w:r>
      <w:bookmarkStart w:id="60970" w:name="_ETM_Q112_384550"/>
      <w:bookmarkEnd w:id="60970"/>
      <w:r>
        <w:rPr>
          <w:rFonts w:hint="cs"/>
          <w:rtl/>
        </w:rPr>
        <w:t xml:space="preserve">זה </w:t>
      </w:r>
      <w:bookmarkStart w:id="60971" w:name="_ETM_Q112_384870"/>
      <w:bookmarkEnd w:id="60971"/>
      <w:r>
        <w:rPr>
          <w:rFonts w:hint="cs"/>
          <w:rtl/>
        </w:rPr>
        <w:t xml:space="preserve">– שסופרים </w:t>
      </w:r>
      <w:bookmarkStart w:id="60972" w:name="_ETM_Q112_385500"/>
      <w:bookmarkEnd w:id="60972"/>
      <w:r>
        <w:rPr>
          <w:rFonts w:hint="cs"/>
          <w:rtl/>
        </w:rPr>
        <w:t xml:space="preserve">אותי, </w:t>
      </w:r>
      <w:bookmarkStart w:id="60973" w:name="_ETM_Q112_385740"/>
      <w:bookmarkEnd w:id="60973"/>
      <w:r>
        <w:rPr>
          <w:rFonts w:hint="cs"/>
          <w:rtl/>
        </w:rPr>
        <w:t xml:space="preserve">שסופרים </w:t>
      </w:r>
      <w:bookmarkStart w:id="60974" w:name="_ETM_Q112_386190"/>
      <w:bookmarkEnd w:id="60974"/>
      <w:r>
        <w:rPr>
          <w:rFonts w:hint="cs"/>
          <w:rtl/>
        </w:rPr>
        <w:t xml:space="preserve">אותך, </w:t>
      </w:r>
      <w:bookmarkStart w:id="60975" w:name="_ETM_Q112_386430"/>
      <w:bookmarkEnd w:id="60975"/>
      <w:r>
        <w:rPr>
          <w:rFonts w:hint="cs"/>
          <w:rtl/>
        </w:rPr>
        <w:t xml:space="preserve">שסופרים </w:t>
      </w:r>
      <w:bookmarkStart w:id="60976" w:name="_ETM_Q112_386940"/>
      <w:bookmarkEnd w:id="60976"/>
      <w:r>
        <w:rPr>
          <w:rFonts w:hint="cs"/>
          <w:rtl/>
        </w:rPr>
        <w:t xml:space="preserve">את </w:t>
      </w:r>
      <w:bookmarkStart w:id="60977" w:name="_ETM_Q112_387030"/>
      <w:bookmarkEnd w:id="60977"/>
      <w:r>
        <w:rPr>
          <w:rFonts w:hint="cs"/>
          <w:rtl/>
        </w:rPr>
        <w:t xml:space="preserve">כולם. </w:t>
      </w:r>
      <w:bookmarkStart w:id="60978" w:name="_ETM_Q112_389220"/>
      <w:bookmarkEnd w:id="60978"/>
    </w:p>
    <w:p w:rsidR="00BB59CD" w:rsidRDefault="00BB59CD" w:rsidP="00BB59CD">
      <w:pPr>
        <w:rPr>
          <w:rtl/>
        </w:rPr>
      </w:pPr>
      <w:bookmarkStart w:id="60979" w:name="_ETM_Q112_388000"/>
      <w:bookmarkEnd w:id="60979"/>
    </w:p>
    <w:p w:rsidR="00BB59CD" w:rsidRDefault="00BB59CD" w:rsidP="00E70367">
      <w:pPr>
        <w:rPr>
          <w:rtl/>
        </w:rPr>
      </w:pPr>
      <w:bookmarkStart w:id="60980" w:name="_ETM_Q112_389000"/>
      <w:bookmarkEnd w:id="60980"/>
      <w:r>
        <w:rPr>
          <w:rFonts w:hint="cs"/>
          <w:rtl/>
        </w:rPr>
        <w:t xml:space="preserve">זה </w:t>
      </w:r>
      <w:bookmarkStart w:id="60981" w:name="_ETM_Q112_389400"/>
      <w:bookmarkEnd w:id="60981"/>
      <w:r>
        <w:rPr>
          <w:rFonts w:hint="cs"/>
          <w:rtl/>
        </w:rPr>
        <w:t xml:space="preserve">לא </w:t>
      </w:r>
      <w:bookmarkStart w:id="60982" w:name="_ETM_Q112_389490"/>
      <w:bookmarkEnd w:id="60982"/>
      <w:r>
        <w:rPr>
          <w:rFonts w:hint="cs"/>
          <w:rtl/>
        </w:rPr>
        <w:t xml:space="preserve">בית </w:t>
      </w:r>
      <w:bookmarkStart w:id="60983" w:name="_ETM_Q112_389669"/>
      <w:bookmarkEnd w:id="60983"/>
      <w:r>
        <w:rPr>
          <w:rFonts w:hint="cs"/>
          <w:rtl/>
        </w:rPr>
        <w:t xml:space="preserve">המשפט. </w:t>
      </w:r>
      <w:bookmarkStart w:id="60984" w:name="_ETM_Q112_391329"/>
      <w:bookmarkEnd w:id="60984"/>
      <w:r>
        <w:rPr>
          <w:rFonts w:hint="cs"/>
          <w:rtl/>
        </w:rPr>
        <w:t xml:space="preserve">אף </w:t>
      </w:r>
      <w:bookmarkStart w:id="60985" w:name="_ETM_Q112_391599"/>
      <w:bookmarkEnd w:id="60985"/>
      <w:r>
        <w:rPr>
          <w:rFonts w:hint="cs"/>
          <w:rtl/>
        </w:rPr>
        <w:t xml:space="preserve">אחד </w:t>
      </w:r>
      <w:bookmarkStart w:id="60986" w:name="_ETM_Q112_391840"/>
      <w:bookmarkEnd w:id="60986"/>
      <w:r>
        <w:rPr>
          <w:rFonts w:hint="cs"/>
          <w:rtl/>
        </w:rPr>
        <w:t xml:space="preserve">פה </w:t>
      </w:r>
      <w:bookmarkStart w:id="60987" w:name="_ETM_Q112_391989"/>
      <w:bookmarkEnd w:id="60987"/>
      <w:r>
        <w:rPr>
          <w:rFonts w:hint="cs"/>
          <w:rtl/>
        </w:rPr>
        <w:t xml:space="preserve">לא </w:t>
      </w:r>
      <w:bookmarkStart w:id="60988" w:name="_ETM_Q112_392200"/>
      <w:bookmarkEnd w:id="60988"/>
      <w:r>
        <w:rPr>
          <w:rFonts w:hint="cs"/>
          <w:rtl/>
        </w:rPr>
        <w:t xml:space="preserve">יצא </w:t>
      </w:r>
      <w:bookmarkStart w:id="60989" w:name="_ETM_Q112_392530"/>
      <w:bookmarkEnd w:id="60989"/>
      <w:r>
        <w:rPr>
          <w:rFonts w:hint="cs"/>
          <w:rtl/>
        </w:rPr>
        <w:t xml:space="preserve">במלחמת </w:t>
      </w:r>
      <w:bookmarkStart w:id="60990" w:name="_ETM_Q112_393099"/>
      <w:bookmarkEnd w:id="60990"/>
      <w:r>
        <w:rPr>
          <w:rFonts w:hint="cs"/>
          <w:rtl/>
        </w:rPr>
        <w:t xml:space="preserve">חורמה </w:t>
      </w:r>
      <w:bookmarkStart w:id="60991" w:name="_ETM_Q112_393909"/>
      <w:bookmarkEnd w:id="60991"/>
      <w:r>
        <w:rPr>
          <w:rFonts w:hint="cs"/>
          <w:rtl/>
        </w:rPr>
        <w:t xml:space="preserve">לא </w:t>
      </w:r>
      <w:bookmarkStart w:id="60992" w:name="_ETM_Q112_394120"/>
      <w:bookmarkEnd w:id="60992"/>
      <w:r>
        <w:rPr>
          <w:rFonts w:hint="cs"/>
          <w:rtl/>
        </w:rPr>
        <w:t xml:space="preserve">על </w:t>
      </w:r>
      <w:bookmarkStart w:id="60993" w:name="_ETM_Q112_394239"/>
      <w:bookmarkEnd w:id="60993"/>
      <w:r>
        <w:rPr>
          <w:rFonts w:hint="cs"/>
          <w:rtl/>
        </w:rPr>
        <w:t xml:space="preserve">ההלכה </w:t>
      </w:r>
      <w:bookmarkStart w:id="60994" w:name="_ETM_Q112_395209"/>
      <w:bookmarkEnd w:id="60994"/>
      <w:r>
        <w:rPr>
          <w:rFonts w:hint="cs"/>
          <w:rtl/>
        </w:rPr>
        <w:t xml:space="preserve">ולא </w:t>
      </w:r>
      <w:bookmarkStart w:id="60995" w:name="_ETM_Q112_395599"/>
      <w:bookmarkEnd w:id="60995"/>
      <w:r>
        <w:rPr>
          <w:rFonts w:hint="cs"/>
          <w:rtl/>
        </w:rPr>
        <w:t xml:space="preserve">על </w:t>
      </w:r>
      <w:bookmarkStart w:id="60996" w:name="_ETM_Q112_395720"/>
      <w:bookmarkEnd w:id="60996"/>
      <w:r>
        <w:rPr>
          <w:rFonts w:hint="cs"/>
          <w:rtl/>
        </w:rPr>
        <w:t xml:space="preserve">הערכים </w:t>
      </w:r>
      <w:bookmarkStart w:id="60997" w:name="_ETM_Q112_396170"/>
      <w:bookmarkEnd w:id="60997"/>
      <w:r>
        <w:rPr>
          <w:rFonts w:hint="cs"/>
          <w:rtl/>
        </w:rPr>
        <w:t xml:space="preserve">של </w:t>
      </w:r>
      <w:bookmarkStart w:id="60998" w:name="_ETM_Q112_396379"/>
      <w:bookmarkEnd w:id="60998"/>
      <w:r>
        <w:rPr>
          <w:rFonts w:hint="cs"/>
          <w:rtl/>
        </w:rPr>
        <w:t>היהדות.</w:t>
      </w:r>
      <w:bookmarkStart w:id="60999" w:name="_ETM_Q112_398070"/>
      <w:bookmarkStart w:id="61000" w:name="_ETM_Q112_398400"/>
      <w:bookmarkStart w:id="61001" w:name="_ETM_Q112_398610"/>
      <w:bookmarkEnd w:id="60999"/>
      <w:bookmarkEnd w:id="61000"/>
      <w:bookmarkEnd w:id="61001"/>
      <w:r>
        <w:rPr>
          <w:rFonts w:hint="cs"/>
          <w:rtl/>
        </w:rPr>
        <w:t xml:space="preserve"> </w:t>
      </w:r>
      <w:bookmarkStart w:id="61002" w:name="_ETM_Q112_398760"/>
      <w:bookmarkEnd w:id="61002"/>
      <w:r>
        <w:rPr>
          <w:rFonts w:hint="cs"/>
          <w:rtl/>
        </w:rPr>
        <w:t xml:space="preserve">זה </w:t>
      </w:r>
      <w:bookmarkStart w:id="61003" w:name="_ETM_Q112_398880"/>
      <w:bookmarkEnd w:id="61003"/>
      <w:r>
        <w:rPr>
          <w:rFonts w:hint="cs"/>
          <w:rtl/>
        </w:rPr>
        <w:t xml:space="preserve">בכלל </w:t>
      </w:r>
      <w:bookmarkStart w:id="61004" w:name="_ETM_Q112_399120"/>
      <w:bookmarkEnd w:id="61004"/>
      <w:r>
        <w:rPr>
          <w:rFonts w:hint="cs"/>
          <w:rtl/>
        </w:rPr>
        <w:t xml:space="preserve">מצחיק </w:t>
      </w:r>
      <w:bookmarkStart w:id="61005" w:name="_ETM_Q112_399540"/>
      <w:bookmarkEnd w:id="61005"/>
      <w:r>
        <w:rPr>
          <w:rFonts w:hint="cs"/>
          <w:rtl/>
        </w:rPr>
        <w:t xml:space="preserve">לראות </w:t>
      </w:r>
      <w:bookmarkStart w:id="61006" w:name="_ETM_Q112_399840"/>
      <w:bookmarkEnd w:id="61006"/>
      <w:r>
        <w:rPr>
          <w:rFonts w:hint="cs"/>
          <w:rtl/>
        </w:rPr>
        <w:t xml:space="preserve">את </w:t>
      </w:r>
      <w:bookmarkStart w:id="61007" w:name="_ETM_Q112_399930"/>
      <w:bookmarkEnd w:id="61007"/>
      <w:r>
        <w:rPr>
          <w:rFonts w:hint="cs"/>
          <w:rtl/>
        </w:rPr>
        <w:t xml:space="preserve">זה. </w:t>
      </w:r>
      <w:bookmarkStart w:id="61008" w:name="_ETM_Q112_400410"/>
      <w:bookmarkEnd w:id="61008"/>
      <w:r>
        <w:rPr>
          <w:rFonts w:hint="cs"/>
          <w:rtl/>
        </w:rPr>
        <w:t xml:space="preserve">כאילו </w:t>
      </w:r>
      <w:bookmarkStart w:id="61009" w:name="_ETM_Q112_400740"/>
      <w:bookmarkEnd w:id="61009"/>
      <w:r>
        <w:rPr>
          <w:rFonts w:hint="cs"/>
          <w:rtl/>
        </w:rPr>
        <w:t xml:space="preserve">הינה, </w:t>
      </w:r>
      <w:bookmarkStart w:id="61010" w:name="_ETM_Q112_400920"/>
      <w:bookmarkEnd w:id="61010"/>
      <w:r>
        <w:rPr>
          <w:rFonts w:hint="cs"/>
          <w:rtl/>
        </w:rPr>
        <w:t xml:space="preserve">מה, </w:t>
      </w:r>
      <w:bookmarkStart w:id="61011" w:name="_ETM_Q112_401250"/>
      <w:bookmarkEnd w:id="61011"/>
      <w:r>
        <w:rPr>
          <w:rFonts w:hint="cs"/>
          <w:rtl/>
        </w:rPr>
        <w:t xml:space="preserve">אני </w:t>
      </w:r>
      <w:bookmarkStart w:id="61012" w:name="_ETM_Q112_401520"/>
      <w:bookmarkEnd w:id="61012"/>
      <w:r>
        <w:rPr>
          <w:rFonts w:hint="cs"/>
          <w:rtl/>
        </w:rPr>
        <w:t xml:space="preserve">פה, </w:t>
      </w:r>
      <w:bookmarkStart w:id="61013" w:name="_ETM_Q112_401790"/>
      <w:bookmarkEnd w:id="61013"/>
      <w:r>
        <w:rPr>
          <w:rFonts w:hint="cs"/>
          <w:rtl/>
        </w:rPr>
        <w:t xml:space="preserve">נכון? </w:t>
      </w:r>
      <w:bookmarkStart w:id="61014" w:name="_ETM_Q112_402150"/>
      <w:bookmarkEnd w:id="61014"/>
      <w:r>
        <w:rPr>
          <w:rFonts w:hint="cs"/>
          <w:rtl/>
        </w:rPr>
        <w:t xml:space="preserve">אני </w:t>
      </w:r>
      <w:bookmarkStart w:id="61015" w:name="_ETM_Q112_402450"/>
      <w:bookmarkEnd w:id="61015"/>
      <w:r>
        <w:rPr>
          <w:rFonts w:hint="cs"/>
          <w:rtl/>
        </w:rPr>
        <w:t xml:space="preserve">כאילו </w:t>
      </w:r>
      <w:bookmarkStart w:id="61016" w:name="_ETM_Q112_402750"/>
      <w:bookmarkEnd w:id="61016"/>
      <w:r>
        <w:rPr>
          <w:rFonts w:hint="cs"/>
          <w:rtl/>
        </w:rPr>
        <w:t xml:space="preserve">אמור </w:t>
      </w:r>
      <w:bookmarkStart w:id="61017" w:name="_ETM_Q112_403050"/>
      <w:bookmarkEnd w:id="61017"/>
      <w:r>
        <w:rPr>
          <w:rFonts w:hint="cs"/>
          <w:rtl/>
        </w:rPr>
        <w:t xml:space="preserve">להיות </w:t>
      </w:r>
      <w:bookmarkStart w:id="61018" w:name="_ETM_Q112_403260"/>
      <w:bookmarkEnd w:id="61018"/>
      <w:r>
        <w:rPr>
          <w:rFonts w:hint="cs"/>
          <w:rtl/>
        </w:rPr>
        <w:t xml:space="preserve">הסטריאוטיפ </w:t>
      </w:r>
      <w:bookmarkStart w:id="61019" w:name="_ETM_Q112_405110"/>
      <w:bookmarkEnd w:id="61019"/>
      <w:r w:rsidR="00E70367">
        <w:rPr>
          <w:rFonts w:hint="cs"/>
          <w:rtl/>
        </w:rPr>
        <w:t>התל-</w:t>
      </w:r>
      <w:r>
        <w:rPr>
          <w:rFonts w:hint="cs"/>
          <w:rtl/>
        </w:rPr>
        <w:t xml:space="preserve">אביבי, </w:t>
      </w:r>
      <w:bookmarkStart w:id="61020" w:name="_ETM_Q112_405830"/>
      <w:bookmarkEnd w:id="61020"/>
      <w:r>
        <w:rPr>
          <w:rFonts w:hint="cs"/>
          <w:rtl/>
        </w:rPr>
        <w:t xml:space="preserve">החילוני, </w:t>
      </w:r>
      <w:bookmarkStart w:id="61021" w:name="_ETM_Q112_406840"/>
      <w:bookmarkEnd w:id="61021"/>
      <w:r>
        <w:rPr>
          <w:rFonts w:hint="cs"/>
          <w:rtl/>
        </w:rPr>
        <w:t xml:space="preserve">שלא </w:t>
      </w:r>
      <w:bookmarkStart w:id="61022" w:name="_ETM_Q112_407290"/>
      <w:bookmarkEnd w:id="61022"/>
      <w:r>
        <w:rPr>
          <w:rFonts w:hint="cs"/>
          <w:rtl/>
        </w:rPr>
        <w:t xml:space="preserve">מבין </w:t>
      </w:r>
      <w:bookmarkStart w:id="61023" w:name="_ETM_Q112_407620"/>
      <w:bookmarkEnd w:id="61023"/>
      <w:r>
        <w:rPr>
          <w:rFonts w:hint="cs"/>
          <w:rtl/>
        </w:rPr>
        <w:t xml:space="preserve">מסורת, </w:t>
      </w:r>
      <w:bookmarkStart w:id="61024" w:name="_ETM_Q112_408069"/>
      <w:bookmarkEnd w:id="61024"/>
      <w:r>
        <w:rPr>
          <w:rFonts w:hint="cs"/>
          <w:rtl/>
        </w:rPr>
        <w:t xml:space="preserve">לא </w:t>
      </w:r>
      <w:bookmarkStart w:id="61025" w:name="_ETM_Q112_408160"/>
      <w:bookmarkEnd w:id="61025"/>
      <w:r>
        <w:rPr>
          <w:rFonts w:hint="cs"/>
          <w:rtl/>
        </w:rPr>
        <w:t xml:space="preserve">מתחבר </w:t>
      </w:r>
      <w:bookmarkStart w:id="61026" w:name="_ETM_Q112_408610"/>
      <w:bookmarkEnd w:id="61026"/>
      <w:r>
        <w:rPr>
          <w:rFonts w:hint="cs"/>
          <w:rtl/>
        </w:rPr>
        <w:t xml:space="preserve">למסורת, </w:t>
      </w:r>
      <w:bookmarkStart w:id="61027" w:name="_ETM_Q112_409150"/>
      <w:bookmarkEnd w:id="61027"/>
      <w:r>
        <w:rPr>
          <w:rFonts w:hint="cs"/>
          <w:rtl/>
        </w:rPr>
        <w:t xml:space="preserve">ובטח </w:t>
      </w:r>
      <w:bookmarkStart w:id="61028" w:name="_ETM_Q112_409510"/>
      <w:bookmarkEnd w:id="61028"/>
      <w:r>
        <w:rPr>
          <w:rFonts w:hint="cs"/>
          <w:rtl/>
        </w:rPr>
        <w:t xml:space="preserve">אמור </w:t>
      </w:r>
      <w:bookmarkStart w:id="61029" w:name="_ETM_Q112_409720"/>
      <w:bookmarkEnd w:id="61029"/>
      <w:r>
        <w:rPr>
          <w:rFonts w:hint="cs"/>
          <w:rtl/>
        </w:rPr>
        <w:t xml:space="preserve">לבוא </w:t>
      </w:r>
      <w:bookmarkStart w:id="61030" w:name="_ETM_Q112_409990"/>
      <w:bookmarkEnd w:id="61030"/>
      <w:r>
        <w:rPr>
          <w:rFonts w:hint="cs"/>
          <w:rtl/>
        </w:rPr>
        <w:t xml:space="preserve">לפה </w:t>
      </w:r>
      <w:bookmarkStart w:id="61031" w:name="_ETM_Q112_410230"/>
      <w:bookmarkEnd w:id="61031"/>
      <w:r>
        <w:rPr>
          <w:rFonts w:hint="cs"/>
          <w:rtl/>
        </w:rPr>
        <w:t xml:space="preserve">ולקדם </w:t>
      </w:r>
      <w:bookmarkStart w:id="61032" w:name="_ETM_Q112_411100"/>
      <w:bookmarkEnd w:id="61032"/>
      <w:r>
        <w:rPr>
          <w:rFonts w:hint="cs"/>
          <w:rtl/>
        </w:rPr>
        <w:t xml:space="preserve">מדינת </w:t>
      </w:r>
      <w:bookmarkStart w:id="61033" w:name="_ETM_Q112_411940"/>
      <w:bookmarkEnd w:id="61033"/>
      <w:r>
        <w:rPr>
          <w:rFonts w:hint="cs"/>
          <w:rtl/>
        </w:rPr>
        <w:t xml:space="preserve">כלל </w:t>
      </w:r>
      <w:bookmarkStart w:id="61034" w:name="_ETM_Q112_412300"/>
      <w:bookmarkEnd w:id="61034"/>
      <w:r>
        <w:rPr>
          <w:rFonts w:hint="cs"/>
          <w:rtl/>
        </w:rPr>
        <w:t xml:space="preserve">אזרחיה </w:t>
      </w:r>
      <w:bookmarkStart w:id="61035" w:name="_ETM_Q112_412959"/>
      <w:bookmarkEnd w:id="61035"/>
      <w:r>
        <w:rPr>
          <w:rFonts w:hint="cs"/>
          <w:rtl/>
        </w:rPr>
        <w:t xml:space="preserve">בהפרדה </w:t>
      </w:r>
      <w:bookmarkStart w:id="61036" w:name="_ETM_Q112_413380"/>
      <w:bookmarkEnd w:id="61036"/>
      <w:r>
        <w:rPr>
          <w:rFonts w:hint="cs"/>
          <w:rtl/>
        </w:rPr>
        <w:t xml:space="preserve">מוחלטת </w:t>
      </w:r>
      <w:bookmarkStart w:id="61037" w:name="_ETM_Q112_413709"/>
      <w:bookmarkEnd w:id="61037"/>
      <w:r>
        <w:rPr>
          <w:rFonts w:hint="cs"/>
          <w:rtl/>
        </w:rPr>
        <w:t xml:space="preserve">של </w:t>
      </w:r>
      <w:bookmarkStart w:id="61038" w:name="_ETM_Q112_413860"/>
      <w:bookmarkEnd w:id="61038"/>
      <w:r>
        <w:rPr>
          <w:rFonts w:hint="cs"/>
          <w:rtl/>
        </w:rPr>
        <w:t xml:space="preserve">דת </w:t>
      </w:r>
      <w:bookmarkStart w:id="61039" w:name="_ETM_Q112_414040"/>
      <w:bookmarkEnd w:id="61039"/>
      <w:r>
        <w:rPr>
          <w:rFonts w:hint="cs"/>
          <w:rtl/>
        </w:rPr>
        <w:t xml:space="preserve">ומדינה. </w:t>
      </w:r>
      <w:bookmarkStart w:id="61040" w:name="_ETM_Q112_414989"/>
      <w:bookmarkEnd w:id="61040"/>
      <w:r>
        <w:rPr>
          <w:rFonts w:hint="cs"/>
          <w:rtl/>
        </w:rPr>
        <w:t xml:space="preserve">זה </w:t>
      </w:r>
      <w:bookmarkStart w:id="61041" w:name="_ETM_Q112_415199"/>
      <w:bookmarkEnd w:id="61041"/>
      <w:r>
        <w:rPr>
          <w:rFonts w:hint="cs"/>
          <w:rtl/>
        </w:rPr>
        <w:t xml:space="preserve">לא </w:t>
      </w:r>
      <w:bookmarkStart w:id="61042" w:name="_ETM_Q112_415290"/>
      <w:bookmarkEnd w:id="61042"/>
      <w:r>
        <w:rPr>
          <w:rFonts w:hint="cs"/>
          <w:rtl/>
        </w:rPr>
        <w:t xml:space="preserve">מי שאני. </w:t>
      </w:r>
      <w:bookmarkStart w:id="61043" w:name="_ETM_Q112_416739"/>
      <w:bookmarkEnd w:id="61043"/>
      <w:r>
        <w:rPr>
          <w:rFonts w:hint="cs"/>
          <w:rtl/>
        </w:rPr>
        <w:t xml:space="preserve">זה </w:t>
      </w:r>
      <w:bookmarkStart w:id="61044" w:name="_ETM_Q112_416980"/>
      <w:bookmarkEnd w:id="61044"/>
      <w:r>
        <w:rPr>
          <w:rFonts w:hint="cs"/>
          <w:rtl/>
        </w:rPr>
        <w:t xml:space="preserve">גם </w:t>
      </w:r>
      <w:bookmarkStart w:id="61045" w:name="_ETM_Q112_417159"/>
      <w:bookmarkEnd w:id="61045"/>
      <w:r>
        <w:rPr>
          <w:rFonts w:hint="cs"/>
          <w:rtl/>
        </w:rPr>
        <w:t xml:space="preserve">לא </w:t>
      </w:r>
      <w:bookmarkStart w:id="61046" w:name="_ETM_Q112_417310"/>
      <w:bookmarkEnd w:id="61046"/>
      <w:r>
        <w:rPr>
          <w:rFonts w:hint="cs"/>
          <w:rtl/>
        </w:rPr>
        <w:t xml:space="preserve">מה </w:t>
      </w:r>
      <w:bookmarkStart w:id="61047" w:name="_ETM_Q112_417489"/>
      <w:bookmarkEnd w:id="61047"/>
      <w:r>
        <w:rPr>
          <w:rFonts w:hint="cs"/>
          <w:rtl/>
        </w:rPr>
        <w:t xml:space="preserve">שאני, </w:t>
      </w:r>
      <w:bookmarkStart w:id="61048" w:name="_ETM_Q112_417849"/>
      <w:bookmarkEnd w:id="61048"/>
      <w:r>
        <w:rPr>
          <w:rFonts w:hint="cs"/>
          <w:rtl/>
        </w:rPr>
        <w:t xml:space="preserve">מאיפה </w:t>
      </w:r>
      <w:bookmarkStart w:id="61049" w:name="_ETM_Q112_418150"/>
      <w:bookmarkEnd w:id="61049"/>
      <w:r>
        <w:rPr>
          <w:rFonts w:hint="cs"/>
          <w:rtl/>
        </w:rPr>
        <w:t xml:space="preserve">שהגעתי. </w:t>
      </w:r>
      <w:bookmarkStart w:id="61050" w:name="_ETM_Q112_419400"/>
      <w:bookmarkEnd w:id="61050"/>
      <w:r>
        <w:rPr>
          <w:rFonts w:hint="cs"/>
          <w:rtl/>
        </w:rPr>
        <w:t xml:space="preserve">העובדה </w:t>
      </w:r>
      <w:bookmarkStart w:id="61051" w:name="_ETM_Q112_419999"/>
      <w:bookmarkEnd w:id="61051"/>
      <w:r>
        <w:rPr>
          <w:rFonts w:hint="cs"/>
          <w:rtl/>
        </w:rPr>
        <w:t xml:space="preserve">היא </w:t>
      </w:r>
      <w:bookmarkStart w:id="61052" w:name="_ETM_Q112_421909"/>
      <w:bookmarkEnd w:id="61052"/>
      <w:r>
        <w:rPr>
          <w:rFonts w:hint="cs"/>
          <w:rtl/>
        </w:rPr>
        <w:t xml:space="preserve">שכולנו </w:t>
      </w:r>
      <w:bookmarkStart w:id="61053" w:name="_ETM_Q112_422689"/>
      <w:bookmarkEnd w:id="61053"/>
      <w:r>
        <w:rPr>
          <w:rFonts w:hint="cs"/>
          <w:rtl/>
        </w:rPr>
        <w:t xml:space="preserve">מורכבים </w:t>
      </w:r>
      <w:bookmarkStart w:id="61054" w:name="_ETM_Q112_423199"/>
      <w:bookmarkEnd w:id="61054"/>
      <w:r>
        <w:rPr>
          <w:rFonts w:hint="cs"/>
          <w:rtl/>
        </w:rPr>
        <w:t xml:space="preserve">הרבה </w:t>
      </w:r>
      <w:bookmarkStart w:id="61055" w:name="_ETM_Q112_423439"/>
      <w:bookmarkEnd w:id="61055"/>
      <w:r>
        <w:rPr>
          <w:rFonts w:hint="cs"/>
          <w:rtl/>
        </w:rPr>
        <w:t xml:space="preserve">יותר </w:t>
      </w:r>
      <w:bookmarkStart w:id="61056" w:name="_ETM_Q112_423650"/>
      <w:bookmarkEnd w:id="61056"/>
      <w:r>
        <w:rPr>
          <w:rFonts w:hint="cs"/>
          <w:rtl/>
        </w:rPr>
        <w:t>מהסטר</w:t>
      </w:r>
      <w:r w:rsidR="00E70367">
        <w:rPr>
          <w:rFonts w:hint="cs"/>
          <w:rtl/>
        </w:rPr>
        <w:t>י</w:t>
      </w:r>
      <w:r>
        <w:rPr>
          <w:rFonts w:hint="cs"/>
          <w:rtl/>
        </w:rPr>
        <w:t xml:space="preserve">אוטיפים </w:t>
      </w:r>
      <w:bookmarkStart w:id="61057" w:name="_ETM_Q112_424370"/>
      <w:bookmarkEnd w:id="61057"/>
      <w:r>
        <w:rPr>
          <w:rFonts w:hint="cs"/>
          <w:rtl/>
        </w:rPr>
        <w:t xml:space="preserve">שלנו </w:t>
      </w:r>
      <w:bookmarkStart w:id="61058" w:name="_ETM_Q112_424669"/>
      <w:bookmarkEnd w:id="61058"/>
      <w:r>
        <w:rPr>
          <w:rFonts w:hint="cs"/>
          <w:rtl/>
        </w:rPr>
        <w:t xml:space="preserve">כאן </w:t>
      </w:r>
      <w:bookmarkStart w:id="61059" w:name="_ETM_Q112_424819"/>
      <w:bookmarkEnd w:id="61059"/>
      <w:r>
        <w:rPr>
          <w:rFonts w:hint="cs"/>
          <w:rtl/>
        </w:rPr>
        <w:t xml:space="preserve">בכנסת. </w:t>
      </w:r>
      <w:bookmarkStart w:id="61060" w:name="_ETM_Q112_425239"/>
      <w:bookmarkEnd w:id="61060"/>
      <w:r>
        <w:rPr>
          <w:rFonts w:hint="cs"/>
          <w:rtl/>
        </w:rPr>
        <w:t xml:space="preserve">גם </w:t>
      </w:r>
      <w:bookmarkStart w:id="61061" w:name="_ETM_Q112_425479"/>
      <w:bookmarkEnd w:id="61061"/>
      <w:r>
        <w:rPr>
          <w:rFonts w:hint="cs"/>
          <w:rtl/>
        </w:rPr>
        <w:t xml:space="preserve">אתה, </w:t>
      </w:r>
      <w:bookmarkStart w:id="61062" w:name="_ETM_Q112_425959"/>
      <w:bookmarkEnd w:id="61062"/>
      <w:r>
        <w:rPr>
          <w:rFonts w:hint="cs"/>
          <w:rtl/>
        </w:rPr>
        <w:t xml:space="preserve">גם </w:t>
      </w:r>
      <w:bookmarkStart w:id="61063" w:name="_ETM_Q112_426199"/>
      <w:bookmarkEnd w:id="61063"/>
      <w:r>
        <w:rPr>
          <w:rFonts w:hint="cs"/>
          <w:rtl/>
        </w:rPr>
        <w:t>אני</w:t>
      </w:r>
      <w:bookmarkStart w:id="61064" w:name="_ETM_Q112_427180"/>
      <w:bookmarkEnd w:id="61064"/>
      <w:r>
        <w:rPr>
          <w:rFonts w:hint="cs"/>
          <w:rtl/>
        </w:rPr>
        <w:t xml:space="preserve">, כולם </w:t>
      </w:r>
      <w:bookmarkStart w:id="61065" w:name="_ETM_Q112_427540"/>
      <w:bookmarkEnd w:id="61065"/>
      <w:r>
        <w:rPr>
          <w:rFonts w:hint="cs"/>
          <w:rtl/>
        </w:rPr>
        <w:t xml:space="preserve">פה </w:t>
      </w:r>
      <w:bookmarkStart w:id="61066" w:name="_ETM_Q112_427629"/>
      <w:bookmarkEnd w:id="61066"/>
      <w:r>
        <w:rPr>
          <w:rFonts w:hint="cs"/>
          <w:rtl/>
        </w:rPr>
        <w:t xml:space="preserve">אנשים </w:t>
      </w:r>
      <w:bookmarkStart w:id="61067" w:name="_ETM_Q112_427930"/>
      <w:bookmarkEnd w:id="61067"/>
      <w:r>
        <w:rPr>
          <w:rFonts w:hint="cs"/>
          <w:rtl/>
        </w:rPr>
        <w:t xml:space="preserve">מורכבים </w:t>
      </w:r>
      <w:bookmarkStart w:id="61068" w:name="_ETM_Q112_428709"/>
      <w:bookmarkEnd w:id="61068"/>
      <w:r>
        <w:rPr>
          <w:rFonts w:hint="cs"/>
          <w:rtl/>
        </w:rPr>
        <w:t xml:space="preserve">שחוו </w:t>
      </w:r>
      <w:bookmarkStart w:id="61069" w:name="_ETM_Q112_429590"/>
      <w:bookmarkEnd w:id="61069"/>
      <w:r>
        <w:rPr>
          <w:rFonts w:hint="cs"/>
          <w:rtl/>
        </w:rPr>
        <w:t xml:space="preserve">ונפגשו </w:t>
      </w:r>
      <w:bookmarkStart w:id="61070" w:name="_ETM_Q112_430310"/>
      <w:bookmarkEnd w:id="61070"/>
      <w:r>
        <w:rPr>
          <w:rFonts w:hint="cs"/>
          <w:rtl/>
        </w:rPr>
        <w:t xml:space="preserve">עם </w:t>
      </w:r>
      <w:bookmarkStart w:id="61071" w:name="_ETM_Q112_430400"/>
      <w:bookmarkEnd w:id="61071"/>
      <w:r>
        <w:rPr>
          <w:rFonts w:hint="cs"/>
          <w:rtl/>
        </w:rPr>
        <w:t xml:space="preserve">המגזרים </w:t>
      </w:r>
      <w:bookmarkStart w:id="61072" w:name="_ETM_Q112_430940"/>
      <w:bookmarkEnd w:id="61072"/>
      <w:r>
        <w:rPr>
          <w:rFonts w:hint="cs"/>
          <w:rtl/>
        </w:rPr>
        <w:t xml:space="preserve">האחרים </w:t>
      </w:r>
      <w:bookmarkStart w:id="61073" w:name="_ETM_Q112_431269"/>
      <w:bookmarkEnd w:id="61073"/>
      <w:r>
        <w:rPr>
          <w:rFonts w:hint="cs"/>
          <w:rtl/>
        </w:rPr>
        <w:t xml:space="preserve">במדינה </w:t>
      </w:r>
      <w:bookmarkStart w:id="61074" w:name="_ETM_Q112_431720"/>
      <w:bookmarkEnd w:id="61074"/>
      <w:r>
        <w:rPr>
          <w:rFonts w:hint="cs"/>
          <w:rtl/>
        </w:rPr>
        <w:t xml:space="preserve">הזו </w:t>
      </w:r>
      <w:bookmarkStart w:id="61075" w:name="_ETM_Q112_431900"/>
      <w:bookmarkEnd w:id="61075"/>
      <w:r>
        <w:rPr>
          <w:rFonts w:hint="cs"/>
          <w:rtl/>
        </w:rPr>
        <w:t xml:space="preserve">לכל </w:t>
      </w:r>
      <w:bookmarkStart w:id="61076" w:name="_ETM_Q112_432200"/>
      <w:bookmarkEnd w:id="61076"/>
      <w:r>
        <w:rPr>
          <w:rFonts w:hint="cs"/>
          <w:rtl/>
        </w:rPr>
        <w:t xml:space="preserve">אורך </w:t>
      </w:r>
      <w:bookmarkStart w:id="61077" w:name="_ETM_Q112_432470"/>
      <w:bookmarkEnd w:id="61077"/>
      <w:r>
        <w:rPr>
          <w:rFonts w:hint="cs"/>
          <w:rtl/>
        </w:rPr>
        <w:t xml:space="preserve">חייהם. </w:t>
      </w:r>
      <w:bookmarkStart w:id="61078" w:name="_ETM_Q112_433409"/>
      <w:bookmarkEnd w:id="61078"/>
      <w:r>
        <w:rPr>
          <w:rFonts w:hint="cs"/>
          <w:rtl/>
        </w:rPr>
        <w:t xml:space="preserve">אז </w:t>
      </w:r>
      <w:bookmarkStart w:id="61079" w:name="_ETM_Q112_433650"/>
      <w:bookmarkEnd w:id="61079"/>
      <w:r>
        <w:rPr>
          <w:rFonts w:hint="cs"/>
          <w:rtl/>
        </w:rPr>
        <w:t>אי</w:t>
      </w:r>
      <w:bookmarkStart w:id="61080" w:name="_ETM_Q112_433769"/>
      <w:bookmarkEnd w:id="61080"/>
      <w:r>
        <w:rPr>
          <w:rFonts w:hint="cs"/>
          <w:rtl/>
        </w:rPr>
        <w:t xml:space="preserve">-אפשר </w:t>
      </w:r>
      <w:bookmarkStart w:id="61081" w:name="_ETM_Q112_434189"/>
      <w:bookmarkEnd w:id="61081"/>
      <w:r>
        <w:rPr>
          <w:rFonts w:hint="cs"/>
          <w:rtl/>
        </w:rPr>
        <w:t xml:space="preserve">יותר </w:t>
      </w:r>
      <w:bookmarkStart w:id="61082" w:name="_ETM_Q112_434459"/>
      <w:bookmarkEnd w:id="61082"/>
      <w:r>
        <w:rPr>
          <w:rFonts w:hint="cs"/>
          <w:rtl/>
        </w:rPr>
        <w:t xml:space="preserve">לצמצם </w:t>
      </w:r>
      <w:bookmarkStart w:id="61083" w:name="_ETM_Q112_435029"/>
      <w:bookmarkEnd w:id="61083"/>
      <w:r>
        <w:rPr>
          <w:rFonts w:hint="cs"/>
          <w:rtl/>
        </w:rPr>
        <w:t xml:space="preserve">אותנו </w:t>
      </w:r>
      <w:bookmarkStart w:id="61084" w:name="_ETM_Q112_435419"/>
      <w:bookmarkEnd w:id="61084"/>
      <w:r>
        <w:rPr>
          <w:rFonts w:hint="cs"/>
          <w:rtl/>
        </w:rPr>
        <w:t xml:space="preserve">למשהו </w:t>
      </w:r>
      <w:bookmarkStart w:id="61085" w:name="_ETM_Q112_435809"/>
      <w:bookmarkEnd w:id="61085"/>
      <w:r>
        <w:rPr>
          <w:rFonts w:hint="cs"/>
          <w:rtl/>
        </w:rPr>
        <w:t xml:space="preserve">שאנחנו </w:t>
      </w:r>
      <w:bookmarkStart w:id="61086" w:name="_ETM_Q112_436229"/>
      <w:bookmarkEnd w:id="61086"/>
      <w:r>
        <w:rPr>
          <w:rFonts w:hint="cs"/>
          <w:rtl/>
        </w:rPr>
        <w:t xml:space="preserve">אמורים </w:t>
      </w:r>
      <w:bookmarkStart w:id="61087" w:name="_ETM_Q112_436620"/>
      <w:bookmarkEnd w:id="61087"/>
      <w:r>
        <w:rPr>
          <w:rFonts w:hint="cs"/>
          <w:rtl/>
        </w:rPr>
        <w:t xml:space="preserve">להיות. </w:t>
      </w:r>
      <w:bookmarkStart w:id="61088" w:name="_ETM_Q112_437279"/>
      <w:bookmarkEnd w:id="61088"/>
      <w:r>
        <w:rPr>
          <w:rFonts w:hint="cs"/>
          <w:rtl/>
        </w:rPr>
        <w:t xml:space="preserve">זה </w:t>
      </w:r>
      <w:bookmarkStart w:id="61089" w:name="_ETM_Q112_437460"/>
      <w:bookmarkEnd w:id="61089"/>
      <w:r>
        <w:rPr>
          <w:rFonts w:hint="cs"/>
          <w:rtl/>
        </w:rPr>
        <w:t xml:space="preserve">שבן אדם </w:t>
      </w:r>
      <w:bookmarkStart w:id="61090" w:name="_ETM_Q112_437970"/>
      <w:bookmarkEnd w:id="61090"/>
      <w:r>
        <w:rPr>
          <w:rFonts w:hint="cs"/>
          <w:rtl/>
        </w:rPr>
        <w:t xml:space="preserve">גר </w:t>
      </w:r>
      <w:bookmarkStart w:id="61091" w:name="_ETM_Q112_438180"/>
      <w:bookmarkEnd w:id="61091"/>
      <w:r>
        <w:rPr>
          <w:rFonts w:hint="cs"/>
          <w:rtl/>
        </w:rPr>
        <w:t xml:space="preserve">בתל </w:t>
      </w:r>
      <w:bookmarkStart w:id="61092" w:name="_ETM_Q112_438479"/>
      <w:bookmarkEnd w:id="61092"/>
      <w:r>
        <w:rPr>
          <w:rFonts w:hint="cs"/>
          <w:rtl/>
        </w:rPr>
        <w:t xml:space="preserve">אביב, </w:t>
      </w:r>
      <w:bookmarkStart w:id="61093" w:name="_ETM_Q112_438810"/>
      <w:bookmarkEnd w:id="61093"/>
      <w:r>
        <w:rPr>
          <w:rFonts w:hint="cs"/>
          <w:rtl/>
        </w:rPr>
        <w:t xml:space="preserve">לא </w:t>
      </w:r>
      <w:bookmarkStart w:id="61094" w:name="_ETM_Q112_438900"/>
      <w:bookmarkEnd w:id="61094"/>
      <w:r>
        <w:rPr>
          <w:rFonts w:hint="cs"/>
          <w:rtl/>
        </w:rPr>
        <w:t xml:space="preserve">משנה </w:t>
      </w:r>
      <w:bookmarkStart w:id="61095" w:name="_ETM_Q112_439259"/>
      <w:bookmarkEnd w:id="61095"/>
      <w:r>
        <w:rPr>
          <w:rFonts w:hint="cs"/>
          <w:rtl/>
        </w:rPr>
        <w:t xml:space="preserve">כמה </w:t>
      </w:r>
      <w:bookmarkStart w:id="61096" w:name="_ETM_Q112_439830"/>
      <w:bookmarkEnd w:id="61096"/>
      <w:r>
        <w:rPr>
          <w:rFonts w:hint="cs"/>
          <w:rtl/>
        </w:rPr>
        <w:t xml:space="preserve">השר </w:t>
      </w:r>
      <w:bookmarkStart w:id="61097" w:name="_ETM_Q112_440220"/>
      <w:bookmarkEnd w:id="61097"/>
      <w:r>
        <w:rPr>
          <w:rFonts w:hint="cs"/>
          <w:rtl/>
        </w:rPr>
        <w:t xml:space="preserve">אמסלם </w:t>
      </w:r>
      <w:bookmarkStart w:id="61098" w:name="_ETM_Q112_440610"/>
      <w:bookmarkEnd w:id="61098"/>
      <w:r>
        <w:rPr>
          <w:rFonts w:hint="cs"/>
          <w:rtl/>
        </w:rPr>
        <w:t xml:space="preserve">ינסה </w:t>
      </w:r>
      <w:bookmarkStart w:id="61099" w:name="_ETM_Q112_440909"/>
      <w:bookmarkEnd w:id="61099"/>
      <w:r>
        <w:rPr>
          <w:rFonts w:hint="cs"/>
          <w:rtl/>
        </w:rPr>
        <w:t xml:space="preserve">להפוך </w:t>
      </w:r>
      <w:bookmarkStart w:id="61100" w:name="_ETM_Q112_441270"/>
      <w:bookmarkEnd w:id="61100"/>
      <w:r>
        <w:rPr>
          <w:rFonts w:hint="cs"/>
          <w:rtl/>
        </w:rPr>
        <w:t xml:space="preserve">את זה </w:t>
      </w:r>
      <w:bookmarkStart w:id="61101" w:name="_ETM_Q112_441779"/>
      <w:bookmarkEnd w:id="61101"/>
      <w:r>
        <w:rPr>
          <w:rFonts w:hint="cs"/>
          <w:rtl/>
        </w:rPr>
        <w:t xml:space="preserve">לנשק </w:t>
      </w:r>
      <w:bookmarkStart w:id="61102" w:name="_ETM_Q112_442319"/>
      <w:bookmarkEnd w:id="61102"/>
      <w:r>
        <w:rPr>
          <w:rFonts w:hint="cs"/>
          <w:rtl/>
        </w:rPr>
        <w:t xml:space="preserve">של </w:t>
      </w:r>
      <w:bookmarkStart w:id="61103" w:name="_ETM_Q112_442470"/>
      <w:bookmarkEnd w:id="61103"/>
      <w:r>
        <w:rPr>
          <w:rFonts w:hint="cs"/>
          <w:rtl/>
        </w:rPr>
        <w:t xml:space="preserve">הפרדה, </w:t>
      </w:r>
      <w:bookmarkStart w:id="61104" w:name="_ETM_Q112_443279"/>
      <w:bookmarkEnd w:id="61104"/>
      <w:r>
        <w:rPr>
          <w:rFonts w:hint="cs"/>
          <w:rtl/>
        </w:rPr>
        <w:t xml:space="preserve">לא </w:t>
      </w:r>
      <w:bookmarkStart w:id="61105" w:name="_ETM_Q112_443430"/>
      <w:bookmarkEnd w:id="61105"/>
      <w:r>
        <w:rPr>
          <w:rFonts w:hint="cs"/>
          <w:rtl/>
        </w:rPr>
        <w:t xml:space="preserve">הופך </w:t>
      </w:r>
      <w:bookmarkStart w:id="61106" w:name="_ETM_Q112_443699"/>
      <w:bookmarkEnd w:id="61106"/>
      <w:r>
        <w:rPr>
          <w:rFonts w:hint="cs"/>
          <w:rtl/>
        </w:rPr>
        <w:t xml:space="preserve">אותו </w:t>
      </w:r>
      <w:bookmarkStart w:id="61107" w:name="_ETM_Q112_443909"/>
      <w:bookmarkEnd w:id="61107"/>
      <w:r>
        <w:rPr>
          <w:rFonts w:hint="cs"/>
          <w:rtl/>
        </w:rPr>
        <w:t xml:space="preserve">אוטומטית </w:t>
      </w:r>
      <w:bookmarkStart w:id="61108" w:name="_ETM_Q112_444509"/>
      <w:bookmarkEnd w:id="61108"/>
      <w:r>
        <w:rPr>
          <w:rFonts w:hint="cs"/>
          <w:rtl/>
        </w:rPr>
        <w:t xml:space="preserve">לצפונבון, </w:t>
      </w:r>
      <w:bookmarkStart w:id="61109" w:name="_ETM_Q112_445710"/>
      <w:bookmarkEnd w:id="61109"/>
      <w:r>
        <w:rPr>
          <w:rFonts w:hint="cs"/>
          <w:rtl/>
        </w:rPr>
        <w:t xml:space="preserve">אשכנזי, </w:t>
      </w:r>
      <w:bookmarkStart w:id="61110" w:name="_ETM_Q112_446580"/>
      <w:bookmarkEnd w:id="61110"/>
      <w:r>
        <w:rPr>
          <w:rFonts w:hint="cs"/>
          <w:rtl/>
        </w:rPr>
        <w:t xml:space="preserve">מנותק, </w:t>
      </w:r>
      <w:bookmarkStart w:id="61111" w:name="_ETM_Q112_447210"/>
      <w:bookmarkEnd w:id="61111"/>
      <w:r>
        <w:rPr>
          <w:rFonts w:hint="cs"/>
          <w:rtl/>
        </w:rPr>
        <w:t xml:space="preserve">חילוני, </w:t>
      </w:r>
      <w:bookmarkStart w:id="61112" w:name="_ETM_Q112_447629"/>
      <w:bookmarkEnd w:id="61112"/>
      <w:r>
        <w:rPr>
          <w:rFonts w:hint="cs"/>
          <w:rtl/>
        </w:rPr>
        <w:t xml:space="preserve">שונא </w:t>
      </w:r>
      <w:bookmarkStart w:id="61113" w:name="_ETM_Q112_447960"/>
      <w:bookmarkEnd w:id="61113"/>
      <w:r>
        <w:rPr>
          <w:rFonts w:hint="cs"/>
          <w:rtl/>
        </w:rPr>
        <w:t xml:space="preserve">דת. </w:t>
      </w:r>
      <w:bookmarkStart w:id="61114" w:name="_ETM_Q112_448820"/>
      <w:bookmarkEnd w:id="61114"/>
      <w:r>
        <w:rPr>
          <w:rFonts w:hint="cs"/>
          <w:rtl/>
        </w:rPr>
        <w:t xml:space="preserve">אין </w:t>
      </w:r>
      <w:bookmarkStart w:id="61115" w:name="_ETM_Q112_449000"/>
      <w:bookmarkEnd w:id="61115"/>
      <w:r>
        <w:rPr>
          <w:rFonts w:hint="cs"/>
          <w:rtl/>
        </w:rPr>
        <w:t xml:space="preserve">מה </w:t>
      </w:r>
      <w:bookmarkStart w:id="61116" w:name="_ETM_Q112_449089"/>
      <w:bookmarkEnd w:id="61116"/>
      <w:r>
        <w:rPr>
          <w:rFonts w:hint="cs"/>
          <w:rtl/>
        </w:rPr>
        <w:t xml:space="preserve">לעשות. </w:t>
      </w:r>
      <w:bookmarkStart w:id="61117" w:name="_ETM_Q112_451130"/>
      <w:bookmarkEnd w:id="61117"/>
      <w:r>
        <w:rPr>
          <w:rFonts w:hint="cs"/>
          <w:rtl/>
        </w:rPr>
        <w:t xml:space="preserve">אנשים </w:t>
      </w:r>
      <w:bookmarkStart w:id="61118" w:name="_ETM_Q112_451580"/>
      <w:bookmarkEnd w:id="61118"/>
      <w:r>
        <w:rPr>
          <w:rFonts w:hint="cs"/>
          <w:rtl/>
        </w:rPr>
        <w:t xml:space="preserve">הם </w:t>
      </w:r>
      <w:bookmarkStart w:id="61119" w:name="_ETM_Q112_451700"/>
      <w:bookmarkEnd w:id="61119"/>
      <w:r>
        <w:rPr>
          <w:rFonts w:hint="cs"/>
          <w:rtl/>
        </w:rPr>
        <w:t xml:space="preserve">אנשים, </w:t>
      </w:r>
      <w:bookmarkStart w:id="61120" w:name="_ETM_Q112_452089"/>
      <w:bookmarkEnd w:id="61120"/>
      <w:r>
        <w:rPr>
          <w:rFonts w:hint="cs"/>
          <w:rtl/>
        </w:rPr>
        <w:t xml:space="preserve">הם </w:t>
      </w:r>
      <w:bookmarkStart w:id="61121" w:name="_ETM_Q112_452270"/>
      <w:bookmarkEnd w:id="61121"/>
      <w:r>
        <w:rPr>
          <w:rFonts w:hint="cs"/>
          <w:rtl/>
        </w:rPr>
        <w:t xml:space="preserve">יותר </w:t>
      </w:r>
      <w:bookmarkStart w:id="61122" w:name="_ETM_Q112_452570"/>
      <w:bookmarkEnd w:id="61122"/>
      <w:r>
        <w:rPr>
          <w:rFonts w:hint="cs"/>
          <w:rtl/>
        </w:rPr>
        <w:t xml:space="preserve">מסך </w:t>
      </w:r>
      <w:bookmarkStart w:id="61123" w:name="_ETM_Q112_454000"/>
      <w:bookmarkEnd w:id="61123"/>
      <w:r>
        <w:rPr>
          <w:rFonts w:hint="cs"/>
          <w:rtl/>
        </w:rPr>
        <w:t xml:space="preserve">הזהויות </w:t>
      </w:r>
      <w:bookmarkStart w:id="61124" w:name="_ETM_Q112_452990"/>
      <w:bookmarkStart w:id="61125" w:name="_ETM_Q112_453529"/>
      <w:bookmarkEnd w:id="61124"/>
      <w:bookmarkEnd w:id="61125"/>
      <w:r>
        <w:rPr>
          <w:rFonts w:hint="cs"/>
          <w:rtl/>
        </w:rPr>
        <w:t xml:space="preserve">שמנסים </w:t>
      </w:r>
      <w:bookmarkStart w:id="61126" w:name="_ETM_Q112_453890"/>
      <w:bookmarkEnd w:id="61126"/>
      <w:r>
        <w:rPr>
          <w:rFonts w:hint="cs"/>
          <w:rtl/>
        </w:rPr>
        <w:t xml:space="preserve">לכפות </w:t>
      </w:r>
      <w:bookmarkStart w:id="61127" w:name="_ETM_Q112_454310"/>
      <w:bookmarkEnd w:id="61127"/>
      <w:r>
        <w:rPr>
          <w:rFonts w:hint="cs"/>
          <w:rtl/>
        </w:rPr>
        <w:t xml:space="preserve">עליהם. </w:t>
      </w:r>
      <w:bookmarkStart w:id="61128" w:name="_ETM_Q112_454980"/>
      <w:bookmarkEnd w:id="61128"/>
      <w:r>
        <w:rPr>
          <w:rFonts w:hint="cs"/>
          <w:rtl/>
        </w:rPr>
        <w:t xml:space="preserve">וזה </w:t>
      </w:r>
      <w:bookmarkStart w:id="61129" w:name="_ETM_Q112_455370"/>
      <w:bookmarkEnd w:id="61129"/>
      <w:r>
        <w:rPr>
          <w:rFonts w:hint="cs"/>
          <w:rtl/>
        </w:rPr>
        <w:t xml:space="preserve">שבן אדם </w:t>
      </w:r>
      <w:bookmarkStart w:id="61130" w:name="_ETM_Q112_455940"/>
      <w:bookmarkEnd w:id="61130"/>
      <w:r>
        <w:rPr>
          <w:rFonts w:hint="cs"/>
          <w:rtl/>
        </w:rPr>
        <w:t xml:space="preserve">הוא </w:t>
      </w:r>
      <w:bookmarkStart w:id="61131" w:name="_ETM_Q112_456029"/>
      <w:bookmarkEnd w:id="61131"/>
      <w:r>
        <w:rPr>
          <w:rFonts w:hint="cs"/>
          <w:rtl/>
        </w:rPr>
        <w:t xml:space="preserve">חרדי </w:t>
      </w:r>
      <w:bookmarkStart w:id="61132" w:name="_ETM_Q112_456450"/>
      <w:bookmarkEnd w:id="61132"/>
      <w:r>
        <w:rPr>
          <w:rFonts w:hint="cs"/>
          <w:rtl/>
        </w:rPr>
        <w:t xml:space="preserve">לא </w:t>
      </w:r>
      <w:bookmarkStart w:id="61133" w:name="_ETM_Q112_456540"/>
      <w:bookmarkEnd w:id="61133"/>
      <w:r>
        <w:rPr>
          <w:rFonts w:hint="cs"/>
          <w:rtl/>
        </w:rPr>
        <w:t xml:space="preserve">אומר </w:t>
      </w:r>
      <w:bookmarkStart w:id="61134" w:name="_ETM_Q112_456779"/>
      <w:bookmarkEnd w:id="61134"/>
      <w:r>
        <w:rPr>
          <w:rFonts w:hint="cs"/>
          <w:rtl/>
        </w:rPr>
        <w:t xml:space="preserve">שהוא </w:t>
      </w:r>
      <w:bookmarkStart w:id="61135" w:name="_ETM_Q112_456990"/>
      <w:bookmarkEnd w:id="61135"/>
      <w:r>
        <w:rPr>
          <w:rFonts w:hint="cs"/>
          <w:rtl/>
        </w:rPr>
        <w:t xml:space="preserve">לא </w:t>
      </w:r>
      <w:bookmarkStart w:id="61136" w:name="_ETM_Q112_457110"/>
      <w:bookmarkEnd w:id="61136"/>
      <w:r>
        <w:rPr>
          <w:rFonts w:hint="cs"/>
          <w:rtl/>
        </w:rPr>
        <w:t xml:space="preserve">ציוני. </w:t>
      </w:r>
      <w:bookmarkStart w:id="61137" w:name="_ETM_Q112_457560"/>
      <w:bookmarkEnd w:id="61137"/>
      <w:r>
        <w:rPr>
          <w:rFonts w:hint="cs"/>
          <w:rtl/>
        </w:rPr>
        <w:t xml:space="preserve">זה </w:t>
      </w:r>
      <w:bookmarkStart w:id="61138" w:name="_ETM_Q112_457710"/>
      <w:bookmarkEnd w:id="61138"/>
      <w:r>
        <w:rPr>
          <w:rFonts w:hint="cs"/>
          <w:rtl/>
        </w:rPr>
        <w:t xml:space="preserve">שבן אדם </w:t>
      </w:r>
      <w:bookmarkStart w:id="61139" w:name="_ETM_Q112_458160"/>
      <w:bookmarkEnd w:id="61139"/>
      <w:r>
        <w:rPr>
          <w:rFonts w:hint="cs"/>
          <w:rtl/>
        </w:rPr>
        <w:t xml:space="preserve">הוא חרדי </w:t>
      </w:r>
      <w:bookmarkStart w:id="61140" w:name="_ETM_Q112_459259"/>
      <w:bookmarkEnd w:id="61140"/>
      <w:r>
        <w:rPr>
          <w:rFonts w:hint="cs"/>
          <w:rtl/>
        </w:rPr>
        <w:t xml:space="preserve">לא </w:t>
      </w:r>
      <w:bookmarkStart w:id="61141" w:name="_ETM_Q112_459379"/>
      <w:bookmarkEnd w:id="61141"/>
      <w:r>
        <w:rPr>
          <w:rFonts w:hint="cs"/>
          <w:rtl/>
        </w:rPr>
        <w:t xml:space="preserve">אומר </w:t>
      </w:r>
      <w:bookmarkStart w:id="61142" w:name="_ETM_Q112_459560"/>
      <w:bookmarkEnd w:id="61142"/>
      <w:r>
        <w:rPr>
          <w:rFonts w:hint="cs"/>
          <w:rtl/>
        </w:rPr>
        <w:t xml:space="preserve">שהוא </w:t>
      </w:r>
      <w:bookmarkStart w:id="61143" w:name="_ETM_Q112_459740"/>
      <w:bookmarkEnd w:id="61143"/>
      <w:r>
        <w:rPr>
          <w:rFonts w:hint="cs"/>
          <w:rtl/>
        </w:rPr>
        <w:t xml:space="preserve">לא </w:t>
      </w:r>
      <w:bookmarkStart w:id="61144" w:name="_ETM_Q112_459860"/>
      <w:bookmarkEnd w:id="61144"/>
      <w:r>
        <w:rPr>
          <w:rFonts w:hint="cs"/>
          <w:rtl/>
        </w:rPr>
        <w:t xml:space="preserve">משכיל. </w:t>
      </w:r>
      <w:bookmarkStart w:id="61145" w:name="_ETM_Q112_461409"/>
      <w:bookmarkEnd w:id="61145"/>
    </w:p>
    <w:p w:rsidR="00BB59CD" w:rsidRDefault="00BB59CD" w:rsidP="00BB59CD">
      <w:pPr>
        <w:rPr>
          <w:rtl/>
        </w:rPr>
      </w:pPr>
    </w:p>
    <w:p w:rsidR="00BB59CD" w:rsidRDefault="00BB59CD" w:rsidP="00BB59CD">
      <w:pPr>
        <w:rPr>
          <w:rtl/>
        </w:rPr>
      </w:pPr>
      <w:bookmarkStart w:id="61146" w:name="_ETM_Q112_459000"/>
      <w:bookmarkEnd w:id="61146"/>
      <w:r>
        <w:rPr>
          <w:rFonts w:hint="cs"/>
          <w:rtl/>
        </w:rPr>
        <w:t xml:space="preserve">הינה, </w:t>
      </w:r>
      <w:bookmarkStart w:id="61147" w:name="_ETM_Q112_462270"/>
      <w:bookmarkEnd w:id="61147"/>
      <w:r>
        <w:rPr>
          <w:rFonts w:hint="cs"/>
          <w:rtl/>
        </w:rPr>
        <w:t xml:space="preserve">אני </w:t>
      </w:r>
      <w:bookmarkStart w:id="61148" w:name="_ETM_Q112_462540"/>
      <w:bookmarkEnd w:id="61148"/>
      <w:r>
        <w:rPr>
          <w:rFonts w:hint="cs"/>
          <w:rtl/>
        </w:rPr>
        <w:t xml:space="preserve">פה </w:t>
      </w:r>
      <w:bookmarkStart w:id="61149" w:name="_ETM_Q112_462690"/>
      <w:bookmarkEnd w:id="61149"/>
      <w:r>
        <w:rPr>
          <w:rFonts w:hint="cs"/>
          <w:rtl/>
        </w:rPr>
        <w:t xml:space="preserve">מקריא </w:t>
      </w:r>
      <w:bookmarkStart w:id="61150" w:name="_ETM_Q112_463140"/>
      <w:bookmarkEnd w:id="61150"/>
      <w:r>
        <w:rPr>
          <w:rFonts w:hint="cs"/>
          <w:rtl/>
        </w:rPr>
        <w:t xml:space="preserve">כבר </w:t>
      </w:r>
      <w:bookmarkStart w:id="61151" w:name="_ETM_Q112_463410"/>
      <w:bookmarkEnd w:id="61151"/>
      <w:r>
        <w:rPr>
          <w:rFonts w:hint="cs"/>
          <w:rtl/>
        </w:rPr>
        <w:t xml:space="preserve">חצי </w:t>
      </w:r>
      <w:bookmarkStart w:id="61152" w:name="_ETM_Q112_463740"/>
      <w:bookmarkEnd w:id="61152"/>
      <w:r>
        <w:rPr>
          <w:rFonts w:hint="cs"/>
          <w:rtl/>
        </w:rPr>
        <w:t xml:space="preserve">שעה </w:t>
      </w:r>
      <w:bookmarkStart w:id="61153" w:name="_ETM_Q112_464480"/>
      <w:bookmarkEnd w:id="61153"/>
      <w:r>
        <w:rPr>
          <w:rFonts w:hint="cs"/>
          <w:rtl/>
        </w:rPr>
        <w:t>מ</w:t>
      </w:r>
      <w:bookmarkStart w:id="61154" w:name="_ETM_Q112_464990"/>
      <w:bookmarkEnd w:id="61154"/>
      <w:r>
        <w:rPr>
          <w:rFonts w:hint="cs"/>
          <w:rtl/>
        </w:rPr>
        <w:t xml:space="preserve">ספר כתביו </w:t>
      </w:r>
      <w:bookmarkStart w:id="61155" w:name="_ETM_Q112_465529"/>
      <w:bookmarkEnd w:id="61155"/>
      <w:r>
        <w:rPr>
          <w:rFonts w:hint="cs"/>
          <w:rtl/>
        </w:rPr>
        <w:t xml:space="preserve">של </w:t>
      </w:r>
      <w:bookmarkStart w:id="61156" w:name="_ETM_Q112_465980"/>
      <w:bookmarkEnd w:id="61156"/>
      <w:r>
        <w:rPr>
          <w:rFonts w:hint="cs"/>
          <w:rtl/>
        </w:rPr>
        <w:t xml:space="preserve">שופט </w:t>
      </w:r>
      <w:bookmarkStart w:id="61157" w:name="_ETM_Q112_466670"/>
      <w:bookmarkEnd w:id="61157"/>
      <w:r>
        <w:rPr>
          <w:rFonts w:hint="cs"/>
          <w:rtl/>
        </w:rPr>
        <w:t xml:space="preserve">שהיה </w:t>
      </w:r>
      <w:bookmarkStart w:id="61158" w:name="_ETM_Q112_466970"/>
      <w:bookmarkEnd w:id="61158"/>
      <w:r>
        <w:rPr>
          <w:rFonts w:hint="cs"/>
          <w:rtl/>
        </w:rPr>
        <w:t xml:space="preserve">מגדולי </w:t>
      </w:r>
      <w:bookmarkStart w:id="61159" w:name="_ETM_Q112_467510"/>
      <w:bookmarkEnd w:id="61159"/>
      <w:r>
        <w:rPr>
          <w:rFonts w:hint="cs"/>
          <w:rtl/>
        </w:rPr>
        <w:t xml:space="preserve">המשפטנים </w:t>
      </w:r>
      <w:bookmarkStart w:id="61160" w:name="_ETM_Q112_468140"/>
      <w:bookmarkEnd w:id="61160"/>
      <w:r>
        <w:rPr>
          <w:rFonts w:hint="cs"/>
          <w:rtl/>
        </w:rPr>
        <w:t xml:space="preserve">במדינה, </w:t>
      </w:r>
      <w:bookmarkStart w:id="61161" w:name="_ETM_Q112_469520"/>
      <w:bookmarkEnd w:id="61161"/>
      <w:r>
        <w:rPr>
          <w:rFonts w:hint="cs"/>
          <w:rtl/>
        </w:rPr>
        <w:t xml:space="preserve">ולבטח </w:t>
      </w:r>
      <w:bookmarkStart w:id="61162" w:name="_ETM_Q112_470089"/>
      <w:bookmarkEnd w:id="61162"/>
      <w:r>
        <w:rPr>
          <w:rFonts w:hint="cs"/>
          <w:rtl/>
        </w:rPr>
        <w:t xml:space="preserve">גם </w:t>
      </w:r>
      <w:bookmarkStart w:id="61163" w:name="_ETM_Q112_470420"/>
      <w:bookmarkEnd w:id="61163"/>
      <w:r>
        <w:rPr>
          <w:rFonts w:hint="cs"/>
          <w:rtl/>
        </w:rPr>
        <w:t xml:space="preserve">מגדולי </w:t>
      </w:r>
      <w:bookmarkStart w:id="61164" w:name="_ETM_Q112_471470"/>
      <w:bookmarkEnd w:id="61164"/>
      <w:r>
        <w:rPr>
          <w:rFonts w:hint="cs"/>
          <w:rtl/>
        </w:rPr>
        <w:t xml:space="preserve">המבינים </w:t>
      </w:r>
      <w:bookmarkStart w:id="61165" w:name="_ETM_Q112_472730"/>
      <w:bookmarkEnd w:id="61165"/>
      <w:r>
        <w:rPr>
          <w:rFonts w:hint="cs"/>
          <w:rtl/>
        </w:rPr>
        <w:t xml:space="preserve">בהלכה, </w:t>
      </w:r>
      <w:bookmarkStart w:id="61166" w:name="_ETM_Q112_473810"/>
      <w:bookmarkEnd w:id="61166"/>
      <w:r>
        <w:rPr>
          <w:rFonts w:hint="cs"/>
          <w:rtl/>
        </w:rPr>
        <w:t xml:space="preserve">בגמרא, </w:t>
      </w:r>
      <w:bookmarkStart w:id="61167" w:name="_ETM_Q112_474800"/>
      <w:bookmarkEnd w:id="61167"/>
      <w:r>
        <w:rPr>
          <w:rFonts w:hint="cs"/>
          <w:rtl/>
        </w:rPr>
        <w:t xml:space="preserve">בערכים </w:t>
      </w:r>
      <w:bookmarkStart w:id="61168" w:name="_ETM_Q112_475430"/>
      <w:bookmarkEnd w:id="61168"/>
      <w:r>
        <w:rPr>
          <w:rFonts w:hint="cs"/>
          <w:rtl/>
        </w:rPr>
        <w:t>יהודיים.</w:t>
      </w:r>
      <w:bookmarkStart w:id="61169" w:name="_ETM_Q112_476150"/>
      <w:bookmarkEnd w:id="61169"/>
      <w:r>
        <w:rPr>
          <w:rFonts w:hint="cs"/>
          <w:rtl/>
        </w:rPr>
        <w:t xml:space="preserve"> זה </w:t>
      </w:r>
      <w:bookmarkStart w:id="61170" w:name="_ETM_Q112_476479"/>
      <w:bookmarkEnd w:id="61170"/>
      <w:r>
        <w:rPr>
          <w:rFonts w:hint="cs"/>
          <w:rtl/>
        </w:rPr>
        <w:t xml:space="preserve">מראה </w:t>
      </w:r>
      <w:bookmarkStart w:id="61171" w:name="_ETM_Q112_477320"/>
      <w:bookmarkEnd w:id="61171"/>
      <w:r>
        <w:rPr>
          <w:rFonts w:hint="cs"/>
          <w:rtl/>
        </w:rPr>
        <w:t xml:space="preserve">שאפשר </w:t>
      </w:r>
      <w:bookmarkStart w:id="61172" w:name="_ETM_Q112_477919"/>
      <w:bookmarkEnd w:id="61172"/>
      <w:r>
        <w:rPr>
          <w:rFonts w:hint="cs"/>
          <w:rtl/>
        </w:rPr>
        <w:t xml:space="preserve">גם </w:t>
      </w:r>
      <w:bookmarkStart w:id="61173" w:name="_ETM_Q112_478729"/>
      <w:bookmarkEnd w:id="61173"/>
      <w:r>
        <w:rPr>
          <w:rFonts w:hint="cs"/>
          <w:rtl/>
        </w:rPr>
        <w:t>וגם.</w:t>
      </w:r>
      <w:bookmarkStart w:id="61174" w:name="_ETM_Q112_482330"/>
      <w:bookmarkEnd w:id="61174"/>
      <w:r>
        <w:rPr>
          <w:rFonts w:hint="cs"/>
          <w:rtl/>
        </w:rPr>
        <w:t xml:space="preserve"> אי</w:t>
      </w:r>
      <w:bookmarkStart w:id="61175" w:name="_ETM_Q112_482600"/>
      <w:bookmarkEnd w:id="61175"/>
      <w:r>
        <w:rPr>
          <w:rFonts w:hint="cs"/>
          <w:rtl/>
        </w:rPr>
        <w:t xml:space="preserve">-אפשר </w:t>
      </w:r>
      <w:bookmarkStart w:id="61176" w:name="_ETM_Q112_482810"/>
      <w:bookmarkEnd w:id="61176"/>
      <w:r>
        <w:rPr>
          <w:rFonts w:hint="cs"/>
          <w:rtl/>
        </w:rPr>
        <w:t xml:space="preserve">שהיהדות </w:t>
      </w:r>
      <w:bookmarkStart w:id="61177" w:name="_ETM_Q112_483950"/>
      <w:bookmarkEnd w:id="61177"/>
      <w:r>
        <w:rPr>
          <w:rFonts w:hint="cs"/>
          <w:rtl/>
        </w:rPr>
        <w:t xml:space="preserve">תנצח </w:t>
      </w:r>
      <w:bookmarkStart w:id="61178" w:name="_ETM_Q112_484430"/>
      <w:bookmarkEnd w:id="61178"/>
      <w:r>
        <w:rPr>
          <w:rFonts w:hint="cs"/>
          <w:rtl/>
        </w:rPr>
        <w:t xml:space="preserve">את </w:t>
      </w:r>
      <w:bookmarkStart w:id="61179" w:name="_ETM_Q112_484520"/>
      <w:bookmarkEnd w:id="61179"/>
      <w:r>
        <w:rPr>
          <w:rFonts w:hint="cs"/>
          <w:rtl/>
        </w:rPr>
        <w:t xml:space="preserve">הדמוקרטיה, ואי-אפשר </w:t>
      </w:r>
      <w:bookmarkStart w:id="61180" w:name="_ETM_Q112_485390"/>
      <w:bookmarkStart w:id="61181" w:name="_ETM_Q112_485810"/>
      <w:bookmarkEnd w:id="61180"/>
      <w:bookmarkEnd w:id="61181"/>
      <w:r>
        <w:rPr>
          <w:rFonts w:hint="cs"/>
          <w:rtl/>
        </w:rPr>
        <w:t xml:space="preserve">שהדמוקרטיה </w:t>
      </w:r>
      <w:bookmarkStart w:id="61182" w:name="_ETM_Q112_486710"/>
      <w:bookmarkEnd w:id="61182"/>
      <w:r>
        <w:rPr>
          <w:rFonts w:hint="cs"/>
          <w:rtl/>
        </w:rPr>
        <w:t xml:space="preserve">תנצח </w:t>
      </w:r>
      <w:bookmarkStart w:id="61183" w:name="_ETM_Q112_487250"/>
      <w:bookmarkEnd w:id="61183"/>
      <w:r>
        <w:rPr>
          <w:rFonts w:hint="cs"/>
          <w:rtl/>
        </w:rPr>
        <w:t xml:space="preserve">את </w:t>
      </w:r>
      <w:bookmarkStart w:id="61184" w:name="_ETM_Q112_487399"/>
      <w:bookmarkEnd w:id="61184"/>
      <w:r>
        <w:rPr>
          <w:rFonts w:hint="cs"/>
          <w:rtl/>
        </w:rPr>
        <w:t xml:space="preserve">היהדות. </w:t>
      </w:r>
      <w:bookmarkStart w:id="61185" w:name="_ETM_Q112_488059"/>
      <w:bookmarkEnd w:id="61185"/>
      <w:r>
        <w:rPr>
          <w:rFonts w:hint="cs"/>
          <w:rtl/>
        </w:rPr>
        <w:t xml:space="preserve">על </w:t>
      </w:r>
      <w:bookmarkStart w:id="61186" w:name="_ETM_Q112_488269"/>
      <w:bookmarkEnd w:id="61186"/>
      <w:r>
        <w:rPr>
          <w:rFonts w:hint="cs"/>
          <w:rtl/>
        </w:rPr>
        <w:t xml:space="preserve">זה </w:t>
      </w:r>
      <w:bookmarkStart w:id="61187" w:name="_ETM_Q112_488450"/>
      <w:bookmarkEnd w:id="61187"/>
      <w:r>
        <w:rPr>
          <w:rFonts w:hint="cs"/>
          <w:rtl/>
        </w:rPr>
        <w:t xml:space="preserve">כל </w:t>
      </w:r>
      <w:bookmarkStart w:id="61188" w:name="_ETM_Q112_488660"/>
      <w:bookmarkEnd w:id="61188"/>
      <w:r>
        <w:rPr>
          <w:rFonts w:hint="cs"/>
          <w:rtl/>
        </w:rPr>
        <w:t xml:space="preserve">הדבר </w:t>
      </w:r>
      <w:bookmarkStart w:id="61189" w:name="_ETM_Q112_488960"/>
      <w:bookmarkEnd w:id="61189"/>
      <w:r>
        <w:rPr>
          <w:rFonts w:hint="cs"/>
          <w:rtl/>
        </w:rPr>
        <w:t xml:space="preserve">הזה </w:t>
      </w:r>
      <w:bookmarkStart w:id="61190" w:name="_ETM_Q112_489200"/>
      <w:bookmarkEnd w:id="61190"/>
      <w:r>
        <w:rPr>
          <w:rFonts w:hint="cs"/>
          <w:rtl/>
        </w:rPr>
        <w:t xml:space="preserve">בעצם. </w:t>
      </w:r>
      <w:bookmarkStart w:id="61191" w:name="_ETM_Q112_489830"/>
      <w:bookmarkEnd w:id="61191"/>
      <w:r>
        <w:rPr>
          <w:rFonts w:hint="cs"/>
          <w:rtl/>
        </w:rPr>
        <w:t xml:space="preserve">כל </w:t>
      </w:r>
      <w:bookmarkStart w:id="61192" w:name="_ETM_Q112_490070"/>
      <w:bookmarkEnd w:id="61192"/>
      <w:r>
        <w:rPr>
          <w:rFonts w:hint="cs"/>
          <w:rtl/>
        </w:rPr>
        <w:t>ה</w:t>
      </w:r>
      <w:bookmarkStart w:id="61193" w:name="_ETM_Q112_491150"/>
      <w:bookmarkStart w:id="61194" w:name="_ETM_Q112_491360"/>
      <w:bookmarkEnd w:id="61193"/>
      <w:bookmarkEnd w:id="61194"/>
      <w:r>
        <w:rPr>
          <w:rFonts w:hint="cs"/>
          <w:rtl/>
        </w:rPr>
        <w:t xml:space="preserve">כתב </w:t>
      </w:r>
      <w:bookmarkStart w:id="61195" w:name="_ETM_Q112_491000"/>
      <w:bookmarkEnd w:id="61195"/>
      <w:r>
        <w:rPr>
          <w:rFonts w:hint="cs"/>
          <w:rtl/>
        </w:rPr>
        <w:t>הזה,</w:t>
      </w:r>
      <w:bookmarkStart w:id="61196" w:name="_ETM_Q112_492930"/>
      <w:bookmarkEnd w:id="61196"/>
      <w:r>
        <w:rPr>
          <w:rFonts w:hint="cs"/>
          <w:rtl/>
        </w:rPr>
        <w:t xml:space="preserve"> כל </w:t>
      </w:r>
      <w:bookmarkStart w:id="61197" w:name="_ETM_Q112_493139"/>
      <w:bookmarkEnd w:id="61197"/>
      <w:r>
        <w:rPr>
          <w:rFonts w:hint="cs"/>
          <w:rtl/>
        </w:rPr>
        <w:t xml:space="preserve">המאמר </w:t>
      </w:r>
      <w:bookmarkStart w:id="61198" w:name="_ETM_Q112_493620"/>
      <w:bookmarkEnd w:id="61198"/>
      <w:r>
        <w:rPr>
          <w:rFonts w:hint="cs"/>
          <w:rtl/>
        </w:rPr>
        <w:t xml:space="preserve">הזה, על זה </w:t>
      </w:r>
      <w:bookmarkStart w:id="61199" w:name="_ETM_Q112_493830"/>
      <w:bookmarkStart w:id="61200" w:name="_ETM_Q112_494160"/>
      <w:bookmarkEnd w:id="61199"/>
      <w:bookmarkEnd w:id="61200"/>
      <w:r>
        <w:rPr>
          <w:rFonts w:hint="cs"/>
          <w:rtl/>
        </w:rPr>
        <w:t xml:space="preserve">הוא </w:t>
      </w:r>
      <w:bookmarkStart w:id="61201" w:name="_ETM_Q112_494279"/>
      <w:bookmarkEnd w:id="61201"/>
      <w:r>
        <w:rPr>
          <w:rFonts w:hint="cs"/>
          <w:rtl/>
        </w:rPr>
        <w:t xml:space="preserve">מדבר. </w:t>
      </w:r>
      <w:bookmarkStart w:id="61202" w:name="_ETM_Q112_495029"/>
      <w:bookmarkEnd w:id="61202"/>
      <w:r>
        <w:rPr>
          <w:rFonts w:hint="cs"/>
          <w:rtl/>
        </w:rPr>
        <w:t xml:space="preserve">אם </w:t>
      </w:r>
      <w:bookmarkStart w:id="61203" w:name="_ETM_Q112_495210"/>
      <w:bookmarkEnd w:id="61203"/>
      <w:r>
        <w:rPr>
          <w:rFonts w:hint="cs"/>
          <w:rtl/>
        </w:rPr>
        <w:t xml:space="preserve">ה"יהודית" </w:t>
      </w:r>
      <w:bookmarkStart w:id="61204" w:name="_ETM_Q112_495839"/>
      <w:bookmarkEnd w:id="61204"/>
      <w:r>
        <w:rPr>
          <w:rFonts w:hint="cs"/>
          <w:rtl/>
        </w:rPr>
        <w:t xml:space="preserve">תנסה </w:t>
      </w:r>
      <w:bookmarkStart w:id="61205" w:name="_ETM_Q112_496170"/>
      <w:bookmarkEnd w:id="61205"/>
      <w:r>
        <w:rPr>
          <w:rFonts w:hint="cs"/>
          <w:rtl/>
        </w:rPr>
        <w:t xml:space="preserve">לנצח </w:t>
      </w:r>
      <w:bookmarkStart w:id="61206" w:name="_ETM_Q112_496589"/>
      <w:bookmarkEnd w:id="61206"/>
      <w:r>
        <w:rPr>
          <w:rFonts w:hint="cs"/>
          <w:rtl/>
        </w:rPr>
        <w:t xml:space="preserve">את </w:t>
      </w:r>
      <w:bookmarkStart w:id="61207" w:name="_ETM_Q112_496710"/>
      <w:bookmarkEnd w:id="61207"/>
      <w:r>
        <w:rPr>
          <w:rFonts w:hint="cs"/>
          <w:rtl/>
        </w:rPr>
        <w:t xml:space="preserve">ה"דמוקרטית", </w:t>
      </w:r>
      <w:bookmarkStart w:id="61208" w:name="_ETM_Q112_497400"/>
      <w:bookmarkEnd w:id="61208"/>
      <w:r>
        <w:rPr>
          <w:rFonts w:hint="cs"/>
          <w:rtl/>
        </w:rPr>
        <w:t xml:space="preserve">כולנו </w:t>
      </w:r>
      <w:bookmarkStart w:id="61209" w:name="_ETM_Q112_497700"/>
      <w:bookmarkEnd w:id="61209"/>
      <w:r>
        <w:rPr>
          <w:rFonts w:hint="cs"/>
          <w:rtl/>
        </w:rPr>
        <w:t xml:space="preserve">הפסדנו; </w:t>
      </w:r>
      <w:bookmarkStart w:id="61210" w:name="_ETM_Q112_498210"/>
      <w:bookmarkEnd w:id="61210"/>
      <w:r>
        <w:rPr>
          <w:rFonts w:hint="cs"/>
          <w:rtl/>
        </w:rPr>
        <w:t xml:space="preserve">ואם </w:t>
      </w:r>
      <w:bookmarkStart w:id="61211" w:name="_ETM_Q112_498420"/>
      <w:bookmarkEnd w:id="61211"/>
      <w:r>
        <w:rPr>
          <w:rFonts w:hint="cs"/>
          <w:rtl/>
        </w:rPr>
        <w:t xml:space="preserve">ה"דמוקרטית" </w:t>
      </w:r>
      <w:bookmarkStart w:id="61212" w:name="_ETM_Q112_498990"/>
      <w:bookmarkEnd w:id="61212"/>
      <w:r>
        <w:rPr>
          <w:rFonts w:hint="cs"/>
          <w:rtl/>
        </w:rPr>
        <w:t xml:space="preserve">תנצח </w:t>
      </w:r>
      <w:bookmarkStart w:id="61213" w:name="_ETM_Q112_499470"/>
      <w:bookmarkEnd w:id="61213"/>
      <w:r>
        <w:rPr>
          <w:rFonts w:hint="cs"/>
          <w:rtl/>
        </w:rPr>
        <w:t xml:space="preserve">את </w:t>
      </w:r>
      <w:bookmarkStart w:id="61214" w:name="_ETM_Q112_499589"/>
      <w:bookmarkEnd w:id="61214"/>
      <w:r>
        <w:rPr>
          <w:rFonts w:hint="cs"/>
          <w:rtl/>
        </w:rPr>
        <w:t xml:space="preserve">ה"יהודית", </w:t>
      </w:r>
      <w:bookmarkStart w:id="61215" w:name="_ETM_Q112_500040"/>
      <w:bookmarkEnd w:id="61215"/>
      <w:r>
        <w:rPr>
          <w:rFonts w:hint="cs"/>
          <w:rtl/>
        </w:rPr>
        <w:t xml:space="preserve">כולנו </w:t>
      </w:r>
      <w:bookmarkStart w:id="61216" w:name="_ETM_Q112_500460"/>
      <w:bookmarkEnd w:id="61216"/>
      <w:r>
        <w:rPr>
          <w:rFonts w:hint="cs"/>
          <w:rtl/>
        </w:rPr>
        <w:t xml:space="preserve">הפסדנו. </w:t>
      </w:r>
      <w:bookmarkStart w:id="61217" w:name="_ETM_Q112_502429"/>
      <w:bookmarkStart w:id="61218" w:name="_ETM_Q112_501000"/>
      <w:bookmarkStart w:id="61219" w:name="_ETM_Q112_502580"/>
      <w:bookmarkEnd w:id="61217"/>
      <w:bookmarkEnd w:id="61218"/>
      <w:bookmarkEnd w:id="61219"/>
      <w:r>
        <w:rPr>
          <w:rFonts w:hint="cs"/>
          <w:rtl/>
        </w:rPr>
        <w:t xml:space="preserve">הפוליטיקאים </w:t>
      </w:r>
      <w:bookmarkStart w:id="61220" w:name="_ETM_Q112_503150"/>
      <w:bookmarkEnd w:id="61220"/>
      <w:r>
        <w:rPr>
          <w:rFonts w:hint="cs"/>
          <w:rtl/>
        </w:rPr>
        <w:t xml:space="preserve">שמנסים </w:t>
      </w:r>
      <w:bookmarkStart w:id="61221" w:name="_ETM_Q112_503630"/>
      <w:bookmarkEnd w:id="61221"/>
      <w:r>
        <w:rPr>
          <w:rFonts w:hint="cs"/>
          <w:rtl/>
        </w:rPr>
        <w:t xml:space="preserve">למכור </w:t>
      </w:r>
      <w:bookmarkStart w:id="61222" w:name="_ETM_Q112_504230"/>
      <w:bookmarkEnd w:id="61222"/>
      <w:r>
        <w:rPr>
          <w:rFonts w:hint="cs"/>
          <w:rtl/>
        </w:rPr>
        <w:t xml:space="preserve">שזה </w:t>
      </w:r>
      <w:bookmarkStart w:id="61223" w:name="_ETM_Q112_504500"/>
      <w:bookmarkEnd w:id="61223"/>
      <w:r>
        <w:rPr>
          <w:rFonts w:hint="cs"/>
          <w:rtl/>
        </w:rPr>
        <w:t xml:space="preserve">או </w:t>
      </w:r>
      <w:bookmarkStart w:id="61224" w:name="_ETM_Q112_504650"/>
      <w:bookmarkEnd w:id="61224"/>
      <w:r>
        <w:rPr>
          <w:rFonts w:hint="cs"/>
          <w:rtl/>
        </w:rPr>
        <w:t xml:space="preserve">זה </w:t>
      </w:r>
      <w:bookmarkStart w:id="61225" w:name="_ETM_Q112_504830"/>
      <w:bookmarkEnd w:id="61225"/>
      <w:r>
        <w:rPr>
          <w:rFonts w:hint="cs"/>
          <w:rtl/>
        </w:rPr>
        <w:t xml:space="preserve">או </w:t>
      </w:r>
      <w:bookmarkStart w:id="61226" w:name="_ETM_Q112_504949"/>
      <w:bookmarkEnd w:id="61226"/>
      <w:r>
        <w:rPr>
          <w:rFonts w:hint="cs"/>
          <w:rtl/>
        </w:rPr>
        <w:t xml:space="preserve">זה, </w:t>
      </w:r>
      <w:bookmarkStart w:id="61227" w:name="_ETM_Q112_505490"/>
      <w:bookmarkEnd w:id="61227"/>
      <w:r>
        <w:rPr>
          <w:rFonts w:hint="cs"/>
          <w:rtl/>
        </w:rPr>
        <w:t xml:space="preserve">חוטאים, </w:t>
      </w:r>
      <w:bookmarkStart w:id="61228" w:name="_ETM_Q112_506449"/>
      <w:bookmarkEnd w:id="61228"/>
      <w:r>
        <w:rPr>
          <w:rFonts w:hint="cs"/>
          <w:rtl/>
        </w:rPr>
        <w:t xml:space="preserve">חוטאים </w:t>
      </w:r>
      <w:bookmarkStart w:id="61229" w:name="_ETM_Q112_506869"/>
      <w:bookmarkStart w:id="61230" w:name="_ETM_Q112_507199"/>
      <w:bookmarkEnd w:id="61229"/>
      <w:bookmarkEnd w:id="61230"/>
      <w:r>
        <w:rPr>
          <w:rFonts w:hint="cs"/>
          <w:rtl/>
        </w:rPr>
        <w:t xml:space="preserve">לצביון </w:t>
      </w:r>
      <w:bookmarkStart w:id="61231" w:name="_ETM_Q112_507740"/>
      <w:bookmarkEnd w:id="61231"/>
      <w:r>
        <w:rPr>
          <w:rFonts w:hint="cs"/>
          <w:rtl/>
        </w:rPr>
        <w:t xml:space="preserve">של </w:t>
      </w:r>
      <w:bookmarkStart w:id="61232" w:name="_ETM_Q112_507890"/>
      <w:bookmarkEnd w:id="61232"/>
      <w:r>
        <w:rPr>
          <w:rFonts w:hint="cs"/>
          <w:rtl/>
        </w:rPr>
        <w:t xml:space="preserve">המדינה </w:t>
      </w:r>
      <w:bookmarkStart w:id="61233" w:name="_ETM_Q112_508310"/>
      <w:bookmarkEnd w:id="61233"/>
      <w:r>
        <w:rPr>
          <w:rFonts w:hint="cs"/>
          <w:rtl/>
        </w:rPr>
        <w:t xml:space="preserve">הזו, </w:t>
      </w:r>
      <w:bookmarkStart w:id="61234" w:name="_ETM_Q112_508789"/>
      <w:bookmarkEnd w:id="61234"/>
      <w:r>
        <w:rPr>
          <w:rFonts w:hint="cs"/>
          <w:rtl/>
        </w:rPr>
        <w:t xml:space="preserve">לזהות </w:t>
      </w:r>
      <w:bookmarkStart w:id="61235" w:name="_ETM_Q112_509480"/>
      <w:bookmarkEnd w:id="61235"/>
      <w:r>
        <w:rPr>
          <w:rFonts w:hint="cs"/>
          <w:rtl/>
        </w:rPr>
        <w:t xml:space="preserve">שלה </w:t>
      </w:r>
      <w:bookmarkStart w:id="61236" w:name="_ETM_Q112_510199"/>
      <w:bookmarkEnd w:id="61236"/>
      <w:r>
        <w:rPr>
          <w:rFonts w:hint="cs"/>
          <w:rtl/>
        </w:rPr>
        <w:t xml:space="preserve">ולעתיד </w:t>
      </w:r>
      <w:bookmarkStart w:id="61237" w:name="_ETM_Q112_510710"/>
      <w:bookmarkEnd w:id="61237"/>
      <w:r>
        <w:rPr>
          <w:rFonts w:hint="cs"/>
          <w:rtl/>
        </w:rPr>
        <w:t xml:space="preserve">המשותף </w:t>
      </w:r>
      <w:bookmarkStart w:id="61238" w:name="_ETM_Q112_511160"/>
      <w:bookmarkEnd w:id="61238"/>
      <w:r>
        <w:rPr>
          <w:rFonts w:hint="cs"/>
          <w:rtl/>
        </w:rPr>
        <w:t xml:space="preserve">שלנו </w:t>
      </w:r>
      <w:bookmarkStart w:id="61239" w:name="_ETM_Q112_511460"/>
      <w:bookmarkEnd w:id="61239"/>
      <w:r>
        <w:rPr>
          <w:rFonts w:hint="cs"/>
          <w:rtl/>
        </w:rPr>
        <w:t xml:space="preserve">כאן </w:t>
      </w:r>
      <w:bookmarkStart w:id="61240" w:name="_ETM_Q112_511669"/>
      <w:bookmarkEnd w:id="61240"/>
      <w:r>
        <w:rPr>
          <w:rFonts w:hint="cs"/>
          <w:rtl/>
        </w:rPr>
        <w:t>ביחד.</w:t>
      </w:r>
      <w:bookmarkStart w:id="61241" w:name="_ETM_Q112_512449"/>
      <w:bookmarkEnd w:id="61241"/>
      <w:r>
        <w:rPr>
          <w:rFonts w:hint="cs"/>
          <w:rtl/>
        </w:rPr>
        <w:t xml:space="preserve"> אני </w:t>
      </w:r>
      <w:bookmarkStart w:id="61242" w:name="_ETM_Q112_512750"/>
      <w:bookmarkEnd w:id="61242"/>
      <w:r>
        <w:rPr>
          <w:rFonts w:hint="cs"/>
          <w:rtl/>
        </w:rPr>
        <w:t xml:space="preserve">חושב </w:t>
      </w:r>
      <w:bookmarkStart w:id="61243" w:name="_ETM_Q112_514180"/>
      <w:bookmarkEnd w:id="61243"/>
      <w:r>
        <w:rPr>
          <w:rFonts w:hint="cs"/>
          <w:rtl/>
        </w:rPr>
        <w:t xml:space="preserve">שהממשלה </w:t>
      </w:r>
      <w:bookmarkStart w:id="61244" w:name="_ETM_Q112_514810"/>
      <w:bookmarkEnd w:id="61244"/>
      <w:r>
        <w:rPr>
          <w:rFonts w:hint="cs"/>
          <w:rtl/>
        </w:rPr>
        <w:t xml:space="preserve">הזו </w:t>
      </w:r>
      <w:bookmarkStart w:id="61245" w:name="_ETM_Q112_515190"/>
      <w:bookmarkEnd w:id="61245"/>
      <w:r>
        <w:rPr>
          <w:rFonts w:hint="cs"/>
          <w:rtl/>
        </w:rPr>
        <w:t xml:space="preserve">עשתה </w:t>
      </w:r>
      <w:bookmarkStart w:id="61246" w:name="_ETM_Q112_515370"/>
      <w:bookmarkEnd w:id="61246"/>
      <w:r>
        <w:rPr>
          <w:rFonts w:hint="cs"/>
          <w:rtl/>
        </w:rPr>
        <w:t xml:space="preserve">בדיוק </w:t>
      </w:r>
      <w:bookmarkStart w:id="61247" w:name="_ETM_Q112_515670"/>
      <w:bookmarkEnd w:id="61247"/>
      <w:r>
        <w:rPr>
          <w:rFonts w:hint="cs"/>
          <w:rtl/>
        </w:rPr>
        <w:t xml:space="preserve">את </w:t>
      </w:r>
      <w:bookmarkStart w:id="61248" w:name="_ETM_Q112_515760"/>
      <w:bookmarkEnd w:id="61248"/>
      <w:r>
        <w:rPr>
          <w:rFonts w:hint="cs"/>
          <w:rtl/>
        </w:rPr>
        <w:t xml:space="preserve">זה, </w:t>
      </w:r>
      <w:bookmarkStart w:id="61249" w:name="_ETM_Q112_516120"/>
      <w:bookmarkEnd w:id="61249"/>
      <w:r>
        <w:rPr>
          <w:rFonts w:hint="cs"/>
          <w:rtl/>
        </w:rPr>
        <w:t xml:space="preserve">חטאה </w:t>
      </w:r>
      <w:bookmarkStart w:id="61250" w:name="_ETM_Q112_516809"/>
      <w:bookmarkEnd w:id="61250"/>
      <w:r>
        <w:rPr>
          <w:rFonts w:hint="cs"/>
          <w:rtl/>
        </w:rPr>
        <w:t xml:space="preserve">לזה. היא </w:t>
      </w:r>
      <w:bookmarkStart w:id="61251" w:name="_ETM_Q112_517899"/>
      <w:bookmarkEnd w:id="61251"/>
      <w:r>
        <w:rPr>
          <w:rFonts w:hint="cs"/>
          <w:rtl/>
        </w:rPr>
        <w:t xml:space="preserve">שברה </w:t>
      </w:r>
      <w:bookmarkStart w:id="61252" w:name="_ETM_Q112_518289"/>
      <w:bookmarkEnd w:id="61252"/>
      <w:r>
        <w:rPr>
          <w:rFonts w:hint="cs"/>
          <w:rtl/>
        </w:rPr>
        <w:t xml:space="preserve">את </w:t>
      </w:r>
      <w:bookmarkStart w:id="61253" w:name="_ETM_Q112_518410"/>
      <w:bookmarkEnd w:id="61253"/>
      <w:r>
        <w:rPr>
          <w:rFonts w:hint="cs"/>
          <w:rtl/>
        </w:rPr>
        <w:t xml:space="preserve">הכלים. היא </w:t>
      </w:r>
      <w:bookmarkStart w:id="61254" w:name="_ETM_Q112_519820"/>
      <w:bookmarkEnd w:id="61254"/>
      <w:r>
        <w:rPr>
          <w:rFonts w:hint="cs"/>
          <w:rtl/>
        </w:rPr>
        <w:t xml:space="preserve">גרמה </w:t>
      </w:r>
      <w:bookmarkStart w:id="61255" w:name="_ETM_Q112_520179"/>
      <w:bookmarkEnd w:id="61255"/>
      <w:r>
        <w:rPr>
          <w:rFonts w:hint="cs"/>
          <w:rtl/>
        </w:rPr>
        <w:t xml:space="preserve">לאנשים </w:t>
      </w:r>
      <w:bookmarkStart w:id="61256" w:name="_ETM_Q112_520570"/>
      <w:bookmarkEnd w:id="61256"/>
      <w:r>
        <w:rPr>
          <w:rFonts w:hint="cs"/>
          <w:rtl/>
        </w:rPr>
        <w:t xml:space="preserve">להרגיש </w:t>
      </w:r>
      <w:bookmarkStart w:id="61257" w:name="_ETM_Q112_520989"/>
      <w:bookmarkEnd w:id="61257"/>
      <w:r>
        <w:rPr>
          <w:rFonts w:hint="cs"/>
          <w:rtl/>
        </w:rPr>
        <w:t xml:space="preserve">שזה </w:t>
      </w:r>
      <w:bookmarkStart w:id="61258" w:name="_ETM_Q112_521170"/>
      <w:bookmarkEnd w:id="61258"/>
      <w:r>
        <w:rPr>
          <w:rFonts w:hint="cs"/>
          <w:rtl/>
        </w:rPr>
        <w:t xml:space="preserve">הולך </w:t>
      </w:r>
      <w:bookmarkStart w:id="61259" w:name="_ETM_Q112_521440"/>
      <w:bookmarkEnd w:id="61259"/>
      <w:r>
        <w:rPr>
          <w:rFonts w:hint="cs"/>
          <w:rtl/>
        </w:rPr>
        <w:t xml:space="preserve">להיות </w:t>
      </w:r>
      <w:bookmarkStart w:id="61260" w:name="_ETM_Q112_521679"/>
      <w:bookmarkEnd w:id="61260"/>
      <w:r>
        <w:rPr>
          <w:rFonts w:hint="cs"/>
          <w:rtl/>
        </w:rPr>
        <w:t xml:space="preserve">"יהודית" </w:t>
      </w:r>
      <w:bookmarkStart w:id="61261" w:name="_ETM_Q112_522100"/>
      <w:bookmarkEnd w:id="61261"/>
      <w:r>
        <w:rPr>
          <w:rFonts w:hint="cs"/>
          <w:rtl/>
        </w:rPr>
        <w:t xml:space="preserve">מול </w:t>
      </w:r>
      <w:bookmarkStart w:id="61262" w:name="_ETM_Q112_522279"/>
      <w:bookmarkEnd w:id="61262"/>
      <w:r>
        <w:rPr>
          <w:rFonts w:hint="cs"/>
          <w:rtl/>
        </w:rPr>
        <w:t>"דמוקר</w:t>
      </w:r>
      <w:bookmarkStart w:id="61263" w:name="_ETM_Q112_523210"/>
      <w:bookmarkEnd w:id="61263"/>
      <w:r>
        <w:rPr>
          <w:rFonts w:hint="cs"/>
          <w:rtl/>
        </w:rPr>
        <w:t xml:space="preserve">טית", </w:t>
      </w:r>
      <w:bookmarkStart w:id="61264" w:name="_ETM_Q112_517000"/>
      <w:bookmarkEnd w:id="61264"/>
      <w:r>
        <w:rPr>
          <w:rFonts w:hint="cs"/>
          <w:rtl/>
        </w:rPr>
        <w:t xml:space="preserve">ושאחד </w:t>
      </w:r>
      <w:bookmarkStart w:id="61265" w:name="_ETM_Q112_523390"/>
      <w:bookmarkStart w:id="61266" w:name="_ETM_Q112_523779"/>
      <w:bookmarkEnd w:id="61265"/>
      <w:bookmarkEnd w:id="61266"/>
      <w:r>
        <w:rPr>
          <w:rFonts w:hint="cs"/>
          <w:rtl/>
        </w:rPr>
        <w:t xml:space="preserve">חייב </w:t>
      </w:r>
      <w:bookmarkStart w:id="61267" w:name="_ETM_Q112_524050"/>
      <w:bookmarkEnd w:id="61267"/>
      <w:r>
        <w:rPr>
          <w:rFonts w:hint="cs"/>
          <w:rtl/>
        </w:rPr>
        <w:t xml:space="preserve">לנצח. </w:t>
      </w:r>
      <w:bookmarkStart w:id="61268" w:name="_ETM_Q112_525020"/>
      <w:bookmarkEnd w:id="61268"/>
      <w:r>
        <w:rPr>
          <w:rFonts w:hint="cs"/>
          <w:rtl/>
        </w:rPr>
        <w:t xml:space="preserve">זה </w:t>
      </w:r>
      <w:bookmarkStart w:id="61269" w:name="_ETM_Q112_525170"/>
      <w:bookmarkEnd w:id="61269"/>
      <w:r>
        <w:rPr>
          <w:rFonts w:hint="cs"/>
          <w:rtl/>
        </w:rPr>
        <w:t xml:space="preserve">לא </w:t>
      </w:r>
      <w:bookmarkStart w:id="61270" w:name="_ETM_Q112_525289"/>
      <w:bookmarkEnd w:id="61270"/>
      <w:r>
        <w:rPr>
          <w:rFonts w:hint="cs"/>
          <w:rtl/>
        </w:rPr>
        <w:t xml:space="preserve">חייב </w:t>
      </w:r>
      <w:bookmarkStart w:id="61271" w:name="_ETM_Q112_525529"/>
      <w:bookmarkEnd w:id="61271"/>
      <w:r>
        <w:rPr>
          <w:rFonts w:hint="cs"/>
          <w:rtl/>
        </w:rPr>
        <w:t xml:space="preserve">להיות </w:t>
      </w:r>
      <w:bookmarkStart w:id="61272" w:name="_ETM_Q112_525710"/>
      <w:bookmarkEnd w:id="61272"/>
      <w:r>
        <w:rPr>
          <w:rFonts w:hint="cs"/>
          <w:rtl/>
        </w:rPr>
        <w:t xml:space="preserve">ככה. </w:t>
      </w:r>
      <w:bookmarkStart w:id="61273" w:name="_ETM_Q112_525980"/>
      <w:bookmarkEnd w:id="61273"/>
      <w:r>
        <w:rPr>
          <w:rFonts w:hint="cs"/>
          <w:rtl/>
        </w:rPr>
        <w:t xml:space="preserve">זה </w:t>
      </w:r>
      <w:bookmarkStart w:id="61274" w:name="_ETM_Q112_526129"/>
      <w:bookmarkEnd w:id="61274"/>
      <w:r>
        <w:rPr>
          <w:rFonts w:hint="cs"/>
          <w:rtl/>
        </w:rPr>
        <w:t xml:space="preserve">חייב </w:t>
      </w:r>
      <w:bookmarkStart w:id="61275" w:name="_ETM_Q112_526489"/>
      <w:bookmarkEnd w:id="61275"/>
      <w:r>
        <w:rPr>
          <w:rFonts w:hint="cs"/>
          <w:rtl/>
        </w:rPr>
        <w:t xml:space="preserve">לא </w:t>
      </w:r>
      <w:bookmarkStart w:id="61276" w:name="_ETM_Q112_527120"/>
      <w:bookmarkEnd w:id="61276"/>
      <w:r>
        <w:rPr>
          <w:rFonts w:hint="cs"/>
          <w:rtl/>
        </w:rPr>
        <w:t xml:space="preserve">להיות </w:t>
      </w:r>
      <w:bookmarkStart w:id="61277" w:name="_ETM_Q112_527449"/>
      <w:bookmarkEnd w:id="61277"/>
      <w:r>
        <w:rPr>
          <w:rFonts w:hint="cs"/>
          <w:rtl/>
        </w:rPr>
        <w:t xml:space="preserve">ככה </w:t>
      </w:r>
      <w:bookmarkStart w:id="61278" w:name="_ETM_Q112_527750"/>
      <w:bookmarkEnd w:id="61278"/>
      <w:r>
        <w:rPr>
          <w:rFonts w:hint="cs"/>
          <w:rtl/>
        </w:rPr>
        <w:t xml:space="preserve">למעשה, </w:t>
      </w:r>
      <w:bookmarkStart w:id="61279" w:name="_ETM_Q112_528170"/>
      <w:bookmarkEnd w:id="61279"/>
      <w:r>
        <w:rPr>
          <w:rFonts w:hint="cs"/>
          <w:rtl/>
        </w:rPr>
        <w:t xml:space="preserve">כדי </w:t>
      </w:r>
      <w:bookmarkStart w:id="61280" w:name="_ETM_Q112_528410"/>
      <w:bookmarkEnd w:id="61280"/>
      <w:r>
        <w:rPr>
          <w:rFonts w:hint="cs"/>
          <w:rtl/>
        </w:rPr>
        <w:t xml:space="preserve">שנוכל </w:t>
      </w:r>
      <w:bookmarkStart w:id="61281" w:name="_ETM_Q112_529260"/>
      <w:bookmarkEnd w:id="61281"/>
      <w:r>
        <w:rPr>
          <w:rFonts w:hint="cs"/>
          <w:rtl/>
        </w:rPr>
        <w:t xml:space="preserve">לשרוד </w:t>
      </w:r>
      <w:bookmarkStart w:id="61282" w:name="_ETM_Q112_529650"/>
      <w:bookmarkEnd w:id="61282"/>
      <w:r>
        <w:rPr>
          <w:rFonts w:hint="cs"/>
          <w:rtl/>
        </w:rPr>
        <w:t xml:space="preserve">כאן </w:t>
      </w:r>
      <w:bookmarkStart w:id="61283" w:name="_ETM_Q112_529860"/>
      <w:bookmarkEnd w:id="61283"/>
      <w:r>
        <w:rPr>
          <w:rFonts w:hint="cs"/>
          <w:rtl/>
        </w:rPr>
        <w:t xml:space="preserve">ביחד. </w:t>
      </w:r>
      <w:bookmarkStart w:id="61284" w:name="_ETM_Q112_536620"/>
      <w:bookmarkEnd w:id="61284"/>
    </w:p>
    <w:p w:rsidR="00BB59CD" w:rsidRDefault="00BB59CD" w:rsidP="00BB59CD">
      <w:pPr>
        <w:rPr>
          <w:rtl/>
        </w:rPr>
      </w:pPr>
      <w:bookmarkStart w:id="61285" w:name="_ETM_Q112_540000"/>
      <w:bookmarkEnd w:id="61285"/>
    </w:p>
    <w:p w:rsidR="00BB59CD" w:rsidRDefault="00BB59CD" w:rsidP="00E70367">
      <w:pPr>
        <w:rPr>
          <w:rtl/>
        </w:rPr>
      </w:pPr>
      <w:r>
        <w:rPr>
          <w:rFonts w:hint="cs"/>
          <w:rtl/>
        </w:rPr>
        <w:t xml:space="preserve">"חפיפת </w:t>
      </w:r>
      <w:bookmarkStart w:id="61286" w:name="_ETM_Q112_537100"/>
      <w:bookmarkStart w:id="61287" w:name="_ETM_Q112_537190"/>
      <w:bookmarkStart w:id="61288" w:name="_ETM_Q112_537539"/>
      <w:bookmarkStart w:id="61289" w:name="_ETM_Q112_537749"/>
      <w:bookmarkEnd w:id="61286"/>
      <w:bookmarkEnd w:id="61287"/>
      <w:bookmarkEnd w:id="61288"/>
      <w:bookmarkEnd w:id="61289"/>
      <w:r>
        <w:rPr>
          <w:rFonts w:hint="cs"/>
          <w:rtl/>
        </w:rPr>
        <w:t xml:space="preserve">הערכים שאמרנו </w:t>
      </w:r>
      <w:bookmarkStart w:id="61290" w:name="_ETM_Q112_538469"/>
      <w:bookmarkEnd w:id="61290"/>
      <w:r>
        <w:rPr>
          <w:rFonts w:hint="cs"/>
          <w:rtl/>
        </w:rPr>
        <w:t xml:space="preserve">היא </w:t>
      </w:r>
      <w:bookmarkStart w:id="61291" w:name="_ETM_Q112_538649"/>
      <w:bookmarkEnd w:id="61291"/>
      <w:r>
        <w:rPr>
          <w:rFonts w:hint="cs"/>
          <w:rtl/>
        </w:rPr>
        <w:t xml:space="preserve">הנותנת, </w:t>
      </w:r>
      <w:bookmarkStart w:id="61292" w:name="_ETM_Q112_539159"/>
      <w:bookmarkEnd w:id="61292"/>
      <w:r>
        <w:rPr>
          <w:rFonts w:hint="cs"/>
          <w:rtl/>
        </w:rPr>
        <w:t xml:space="preserve">שבדרך </w:t>
      </w:r>
      <w:bookmarkStart w:id="61293" w:name="_ETM_Q112_539729"/>
      <w:bookmarkEnd w:id="61293"/>
      <w:r>
        <w:rPr>
          <w:rFonts w:hint="cs"/>
          <w:rtl/>
        </w:rPr>
        <w:t xml:space="preserve">כלל </w:t>
      </w:r>
      <w:bookmarkStart w:id="61294" w:name="_ETM_Q112_540209"/>
      <w:bookmarkEnd w:id="61294"/>
      <w:r>
        <w:rPr>
          <w:rFonts w:hint="cs"/>
          <w:rtl/>
        </w:rPr>
        <w:t xml:space="preserve">לא </w:t>
      </w:r>
      <w:bookmarkStart w:id="61295" w:name="_ETM_Q112_540479"/>
      <w:bookmarkEnd w:id="61295"/>
      <w:r>
        <w:rPr>
          <w:rFonts w:hint="cs"/>
          <w:rtl/>
        </w:rPr>
        <w:t xml:space="preserve">יצטרכו </w:t>
      </w:r>
      <w:bookmarkStart w:id="61296" w:name="_ETM_Q112_541019"/>
      <w:bookmarkEnd w:id="61296"/>
      <w:r>
        <w:rPr>
          <w:rFonts w:hint="cs"/>
          <w:rtl/>
        </w:rPr>
        <w:t xml:space="preserve">ערכים </w:t>
      </w:r>
      <w:bookmarkStart w:id="61297" w:name="_ETM_Q112_541409"/>
      <w:bookmarkEnd w:id="61297"/>
      <w:r>
        <w:rPr>
          <w:rFonts w:hint="cs"/>
          <w:rtl/>
        </w:rPr>
        <w:t xml:space="preserve">יהודיים </w:t>
      </w:r>
      <w:bookmarkStart w:id="61298" w:name="_ETM_Q112_541739"/>
      <w:bookmarkEnd w:id="61298"/>
      <w:r>
        <w:rPr>
          <w:rFonts w:hint="cs"/>
          <w:rtl/>
        </w:rPr>
        <w:t xml:space="preserve">להתנגש </w:t>
      </w:r>
      <w:bookmarkStart w:id="61299" w:name="_ETM_Q112_542249"/>
      <w:bookmarkEnd w:id="61299"/>
      <w:r>
        <w:rPr>
          <w:rFonts w:hint="cs"/>
          <w:rtl/>
        </w:rPr>
        <w:t xml:space="preserve">עם </w:t>
      </w:r>
      <w:bookmarkStart w:id="61300" w:name="_ETM_Q112_542369"/>
      <w:bookmarkEnd w:id="61300"/>
      <w:r>
        <w:rPr>
          <w:rFonts w:hint="cs"/>
          <w:rtl/>
        </w:rPr>
        <w:t xml:space="preserve">ערכים </w:t>
      </w:r>
      <w:bookmarkStart w:id="61301" w:name="_ETM_Q112_542729"/>
      <w:bookmarkEnd w:id="61301"/>
      <w:r>
        <w:rPr>
          <w:rFonts w:hint="cs"/>
          <w:rtl/>
        </w:rPr>
        <w:t xml:space="preserve">דמוקרטיים. </w:t>
      </w:r>
      <w:bookmarkStart w:id="61302" w:name="_ETM_Q112_543569"/>
      <w:bookmarkEnd w:id="61302"/>
      <w:r>
        <w:rPr>
          <w:rFonts w:hint="cs"/>
          <w:rtl/>
        </w:rPr>
        <w:t xml:space="preserve">אך </w:t>
      </w:r>
      <w:bookmarkStart w:id="61303" w:name="_ETM_Q112_543779"/>
      <w:bookmarkEnd w:id="61303"/>
      <w:r>
        <w:rPr>
          <w:rFonts w:hint="cs"/>
          <w:rtl/>
        </w:rPr>
        <w:t xml:space="preserve">בשעת </w:t>
      </w:r>
      <w:bookmarkStart w:id="61304" w:name="_ETM_Q112_544229"/>
      <w:bookmarkEnd w:id="61304"/>
      <w:r>
        <w:rPr>
          <w:rFonts w:hint="cs"/>
          <w:rtl/>
        </w:rPr>
        <w:t xml:space="preserve">התנגשות </w:t>
      </w:r>
      <w:bookmarkStart w:id="61305" w:name="_ETM_Q112_544799"/>
      <w:bookmarkEnd w:id="61305"/>
      <w:r>
        <w:rPr>
          <w:rFonts w:hint="cs"/>
          <w:rtl/>
        </w:rPr>
        <w:t xml:space="preserve">ביניהם </w:t>
      </w:r>
      <w:bookmarkStart w:id="61306" w:name="_ETM_Q112_545130"/>
      <w:bookmarkEnd w:id="61306"/>
      <w:r>
        <w:rPr>
          <w:rFonts w:hint="cs"/>
          <w:rtl/>
        </w:rPr>
        <w:t>צריכה יד</w:t>
      </w:r>
      <w:bookmarkStart w:id="61307" w:name="_ETM_Q112_545339"/>
      <w:bookmarkEnd w:id="61307"/>
      <w:r>
        <w:rPr>
          <w:rFonts w:hint="cs"/>
          <w:rtl/>
        </w:rPr>
        <w:t xml:space="preserve"> </w:t>
      </w:r>
      <w:bookmarkStart w:id="61308" w:name="_ETM_Q112_545490"/>
      <w:bookmarkEnd w:id="61308"/>
      <w:r>
        <w:rPr>
          <w:rFonts w:hint="cs"/>
          <w:rtl/>
        </w:rPr>
        <w:t xml:space="preserve">הדמוקרטיה </w:t>
      </w:r>
      <w:bookmarkStart w:id="61309" w:name="_ETM_Q112_546060"/>
      <w:bookmarkEnd w:id="61309"/>
      <w:r>
        <w:rPr>
          <w:rFonts w:hint="cs"/>
          <w:rtl/>
        </w:rPr>
        <w:t xml:space="preserve">להיות </w:t>
      </w:r>
      <w:bookmarkStart w:id="61310" w:name="_ETM_Q112_546299"/>
      <w:bookmarkEnd w:id="61310"/>
      <w:r>
        <w:rPr>
          <w:rFonts w:hint="cs"/>
          <w:rtl/>
        </w:rPr>
        <w:t xml:space="preserve">תמיד </w:t>
      </w:r>
      <w:bookmarkStart w:id="61311" w:name="_ETM_Q112_546539"/>
      <w:bookmarkEnd w:id="61311"/>
      <w:r>
        <w:rPr>
          <w:rFonts w:hint="cs"/>
          <w:rtl/>
        </w:rPr>
        <w:t xml:space="preserve">על </w:t>
      </w:r>
      <w:bookmarkStart w:id="61312" w:name="_ETM_Q112_546689"/>
      <w:bookmarkEnd w:id="61312"/>
      <w:r>
        <w:rPr>
          <w:rFonts w:hint="cs"/>
          <w:rtl/>
        </w:rPr>
        <w:t xml:space="preserve">העליונה. </w:t>
      </w:r>
      <w:bookmarkStart w:id="61313" w:name="_ETM_Q112_547409"/>
      <w:bookmarkEnd w:id="61313"/>
      <w:r>
        <w:rPr>
          <w:rFonts w:hint="cs"/>
          <w:rtl/>
        </w:rPr>
        <w:t xml:space="preserve">גם </w:t>
      </w:r>
      <w:bookmarkStart w:id="61314" w:name="_ETM_Q112_547679"/>
      <w:bookmarkEnd w:id="61314"/>
      <w:r>
        <w:rPr>
          <w:rFonts w:hint="cs"/>
          <w:rtl/>
        </w:rPr>
        <w:t xml:space="preserve">פרשנות </w:t>
      </w:r>
      <w:bookmarkStart w:id="61315" w:name="_ETM_Q112_548100"/>
      <w:bookmarkEnd w:id="61315"/>
      <w:r>
        <w:rPr>
          <w:rFonts w:hint="cs"/>
          <w:rtl/>
        </w:rPr>
        <w:t xml:space="preserve">לשונית </w:t>
      </w:r>
      <w:bookmarkStart w:id="61316" w:name="_ETM_Q112_548490"/>
      <w:bookmarkEnd w:id="61316"/>
      <w:r>
        <w:rPr>
          <w:rFonts w:hint="cs"/>
          <w:rtl/>
        </w:rPr>
        <w:t xml:space="preserve">מביאה </w:t>
      </w:r>
      <w:bookmarkStart w:id="61317" w:name="_ETM_Q112_548820"/>
      <w:bookmarkEnd w:id="61317"/>
      <w:r>
        <w:rPr>
          <w:rFonts w:hint="cs"/>
          <w:rtl/>
        </w:rPr>
        <w:t xml:space="preserve">לידי </w:t>
      </w:r>
      <w:bookmarkStart w:id="61318" w:name="_ETM_Q112_549119"/>
      <w:bookmarkEnd w:id="61318"/>
      <w:r>
        <w:rPr>
          <w:rFonts w:hint="cs"/>
          <w:rtl/>
        </w:rPr>
        <w:t xml:space="preserve">מסקנה </w:t>
      </w:r>
      <w:bookmarkStart w:id="61319" w:name="_ETM_Q112_549570"/>
      <w:bookmarkEnd w:id="61319"/>
      <w:r>
        <w:rPr>
          <w:rFonts w:hint="cs"/>
          <w:rtl/>
        </w:rPr>
        <w:t xml:space="preserve">זו. </w:t>
      </w:r>
      <w:bookmarkStart w:id="61320" w:name="_ETM_Q112_550170"/>
      <w:bookmarkEnd w:id="61320"/>
      <w:r>
        <w:rPr>
          <w:rFonts w:hint="cs"/>
          <w:rtl/>
        </w:rPr>
        <w:t xml:space="preserve">המחוקק </w:t>
      </w:r>
      <w:bookmarkStart w:id="61321" w:name="_ETM_Q112_550680"/>
      <w:bookmarkEnd w:id="61321"/>
      <w:r>
        <w:rPr>
          <w:rFonts w:hint="cs"/>
          <w:rtl/>
        </w:rPr>
        <w:t xml:space="preserve">מקדים </w:t>
      </w:r>
      <w:bookmarkStart w:id="61322" w:name="_ETM_Q112_551010"/>
      <w:bookmarkEnd w:id="61322"/>
      <w:r>
        <w:rPr>
          <w:rFonts w:hint="cs"/>
          <w:rtl/>
        </w:rPr>
        <w:t xml:space="preserve">את </w:t>
      </w:r>
      <w:bookmarkStart w:id="61323" w:name="_ETM_Q112_551130"/>
      <w:bookmarkEnd w:id="61323"/>
      <w:r>
        <w:rPr>
          <w:rFonts w:hint="cs"/>
          <w:rtl/>
        </w:rPr>
        <w:t>ה</w:t>
      </w:r>
      <w:r w:rsidR="00E70367">
        <w:rPr>
          <w:rFonts w:hint="cs"/>
          <w:rtl/>
        </w:rPr>
        <w:t>'</w:t>
      </w:r>
      <w:r>
        <w:rPr>
          <w:rFonts w:hint="cs"/>
          <w:rtl/>
        </w:rPr>
        <w:t>יהודית</w:t>
      </w:r>
      <w:r w:rsidR="00E70367">
        <w:rPr>
          <w:rFonts w:hint="cs"/>
          <w:rtl/>
        </w:rPr>
        <w:t>'</w:t>
      </w:r>
      <w:r>
        <w:rPr>
          <w:rFonts w:hint="cs"/>
          <w:rtl/>
        </w:rPr>
        <w:t xml:space="preserve"> </w:t>
      </w:r>
      <w:bookmarkStart w:id="61324" w:name="_ETM_Q112_551520"/>
      <w:bookmarkEnd w:id="61324"/>
      <w:r>
        <w:rPr>
          <w:rFonts w:hint="cs"/>
          <w:rtl/>
        </w:rPr>
        <w:t>ל</w:t>
      </w:r>
      <w:r w:rsidR="00E70367">
        <w:rPr>
          <w:rFonts w:hint="cs"/>
          <w:rtl/>
        </w:rPr>
        <w:t>'</w:t>
      </w:r>
      <w:r>
        <w:rPr>
          <w:rFonts w:hint="cs"/>
          <w:rtl/>
        </w:rPr>
        <w:t>דמוקרטי</w:t>
      </w:r>
      <w:bookmarkStart w:id="61325" w:name="_ETM_Q112_552210"/>
      <w:bookmarkEnd w:id="61325"/>
      <w:r>
        <w:rPr>
          <w:rFonts w:hint="cs"/>
          <w:rtl/>
        </w:rPr>
        <w:t>ת</w:t>
      </w:r>
      <w:r w:rsidR="00E70367">
        <w:rPr>
          <w:rFonts w:hint="cs"/>
          <w:rtl/>
        </w:rPr>
        <w:t>'</w:t>
      </w:r>
      <w:r>
        <w:rPr>
          <w:rFonts w:hint="cs"/>
          <w:rtl/>
        </w:rPr>
        <w:t xml:space="preserve">, ללמדנו </w:t>
      </w:r>
      <w:bookmarkStart w:id="61326" w:name="_ETM_Q112_552600"/>
      <w:bookmarkStart w:id="61327" w:name="_ETM_Q112_552690"/>
      <w:bookmarkEnd w:id="61326"/>
      <w:bookmarkEnd w:id="61327"/>
      <w:r>
        <w:rPr>
          <w:rFonts w:hint="cs"/>
          <w:rtl/>
        </w:rPr>
        <w:t xml:space="preserve">שהמדינה </w:t>
      </w:r>
      <w:bookmarkStart w:id="61328" w:name="_ETM_Q112_553170"/>
      <w:bookmarkEnd w:id="61328"/>
      <w:r>
        <w:rPr>
          <w:rFonts w:hint="cs"/>
          <w:rtl/>
        </w:rPr>
        <w:t xml:space="preserve">יהודית, </w:t>
      </w:r>
      <w:bookmarkStart w:id="61329" w:name="_ETM_Q112_554110"/>
      <w:bookmarkEnd w:id="61329"/>
      <w:r>
        <w:rPr>
          <w:rFonts w:hint="cs"/>
          <w:rtl/>
        </w:rPr>
        <w:t xml:space="preserve">ובלבד </w:t>
      </w:r>
      <w:bookmarkStart w:id="61330" w:name="_ETM_Q112_554560"/>
      <w:bookmarkEnd w:id="61330"/>
      <w:r>
        <w:rPr>
          <w:rFonts w:hint="cs"/>
          <w:rtl/>
        </w:rPr>
        <w:t xml:space="preserve">שתהא </w:t>
      </w:r>
      <w:bookmarkStart w:id="61331" w:name="_ETM_Q112_554920"/>
      <w:bookmarkEnd w:id="61331"/>
      <w:r>
        <w:rPr>
          <w:rFonts w:hint="cs"/>
          <w:rtl/>
        </w:rPr>
        <w:t xml:space="preserve">דמוקרטית. </w:t>
      </w:r>
      <w:bookmarkStart w:id="61332" w:name="_ETM_Q112_555980"/>
      <w:bookmarkEnd w:id="61332"/>
      <w:r>
        <w:rPr>
          <w:rFonts w:hint="cs"/>
          <w:rtl/>
        </w:rPr>
        <w:t xml:space="preserve">מדינה </w:t>
      </w:r>
      <w:bookmarkStart w:id="61333" w:name="_ETM_Q112_556340"/>
      <w:bookmarkEnd w:id="61333"/>
      <w:r>
        <w:rPr>
          <w:rFonts w:hint="cs"/>
          <w:rtl/>
        </w:rPr>
        <w:t xml:space="preserve">יהודית </w:t>
      </w:r>
      <w:bookmarkStart w:id="61334" w:name="_ETM_Q112_556670"/>
      <w:bookmarkEnd w:id="61334"/>
      <w:r>
        <w:rPr>
          <w:rFonts w:hint="cs"/>
          <w:rtl/>
        </w:rPr>
        <w:t xml:space="preserve">שאינה </w:t>
      </w:r>
      <w:bookmarkStart w:id="61335" w:name="_ETM_Q112_556910"/>
      <w:bookmarkEnd w:id="61335"/>
      <w:r>
        <w:rPr>
          <w:rFonts w:hint="cs"/>
          <w:rtl/>
        </w:rPr>
        <w:t xml:space="preserve">מדינה </w:t>
      </w:r>
      <w:bookmarkStart w:id="61336" w:name="_ETM_Q112_557240"/>
      <w:bookmarkEnd w:id="61336"/>
      <w:r>
        <w:rPr>
          <w:rFonts w:hint="cs"/>
          <w:rtl/>
        </w:rPr>
        <w:t xml:space="preserve">דמוקרטית </w:t>
      </w:r>
      <w:bookmarkStart w:id="61337" w:name="_ETM_Q112_557840"/>
      <w:bookmarkEnd w:id="61337"/>
      <w:r>
        <w:rPr>
          <w:rFonts w:hint="cs"/>
          <w:rtl/>
        </w:rPr>
        <w:t xml:space="preserve">אינה </w:t>
      </w:r>
      <w:bookmarkStart w:id="61338" w:name="_ETM_Q112_558080"/>
      <w:bookmarkEnd w:id="61338"/>
      <w:r>
        <w:rPr>
          <w:rFonts w:hint="cs"/>
          <w:rtl/>
        </w:rPr>
        <w:t xml:space="preserve">כמתכונתה </w:t>
      </w:r>
      <w:bookmarkStart w:id="61339" w:name="_ETM_Q112_558680"/>
      <w:bookmarkEnd w:id="61339"/>
      <w:r>
        <w:rPr>
          <w:rFonts w:hint="cs"/>
          <w:rtl/>
        </w:rPr>
        <w:t xml:space="preserve">של </w:t>
      </w:r>
      <w:bookmarkStart w:id="61340" w:name="_ETM_Q112_558830"/>
      <w:bookmarkEnd w:id="61340"/>
      <w:r>
        <w:rPr>
          <w:rFonts w:hint="cs"/>
          <w:rtl/>
        </w:rPr>
        <w:t xml:space="preserve">מדינת </w:t>
      </w:r>
      <w:bookmarkStart w:id="61341" w:name="_ETM_Q112_559220"/>
      <w:bookmarkEnd w:id="61341"/>
      <w:r>
        <w:rPr>
          <w:rFonts w:hint="cs"/>
          <w:rtl/>
        </w:rPr>
        <w:t xml:space="preserve">ישראל, </w:t>
      </w:r>
      <w:bookmarkStart w:id="61342" w:name="_ETM_Q112_560090"/>
      <w:bookmarkEnd w:id="61342"/>
      <w:r>
        <w:rPr>
          <w:rFonts w:hint="cs"/>
          <w:rtl/>
        </w:rPr>
        <w:t xml:space="preserve">לא </w:t>
      </w:r>
      <w:bookmarkStart w:id="61343" w:name="_ETM_Q112_560300"/>
      <w:bookmarkEnd w:id="61343"/>
      <w:r>
        <w:rPr>
          <w:rFonts w:hint="cs"/>
          <w:rtl/>
        </w:rPr>
        <w:t xml:space="preserve">רק </w:t>
      </w:r>
      <w:bookmarkStart w:id="61344" w:name="_ETM_Q112_560510"/>
      <w:bookmarkEnd w:id="61344"/>
      <w:r>
        <w:rPr>
          <w:rFonts w:hint="cs"/>
          <w:rtl/>
        </w:rPr>
        <w:t xml:space="preserve">כאשר </w:t>
      </w:r>
      <w:bookmarkStart w:id="61345" w:name="_ETM_Q112_560990"/>
      <w:bookmarkEnd w:id="61345"/>
      <w:r>
        <w:rPr>
          <w:rFonts w:hint="cs"/>
          <w:rtl/>
        </w:rPr>
        <w:t xml:space="preserve">אינה </w:t>
      </w:r>
      <w:bookmarkStart w:id="61346" w:name="_ETM_Q112_561320"/>
      <w:bookmarkEnd w:id="61346"/>
      <w:r>
        <w:rPr>
          <w:rFonts w:hint="cs"/>
          <w:rtl/>
        </w:rPr>
        <w:t xml:space="preserve">רוצה </w:t>
      </w:r>
      <w:bookmarkStart w:id="61347" w:name="_ETM_Q112_561710"/>
      <w:bookmarkEnd w:id="61347"/>
      <w:r>
        <w:rPr>
          <w:rFonts w:hint="cs"/>
          <w:rtl/>
        </w:rPr>
        <w:t xml:space="preserve">ואינה </w:t>
      </w:r>
      <w:bookmarkStart w:id="61348" w:name="_ETM_Q112_561980"/>
      <w:bookmarkEnd w:id="61348"/>
      <w:r>
        <w:rPr>
          <w:rFonts w:hint="cs"/>
          <w:rtl/>
        </w:rPr>
        <w:t xml:space="preserve">יכולה </w:t>
      </w:r>
      <w:bookmarkStart w:id="61349" w:name="_ETM_Q112_562310"/>
      <w:bookmarkEnd w:id="61349"/>
      <w:r>
        <w:rPr>
          <w:rFonts w:hint="cs"/>
          <w:rtl/>
        </w:rPr>
        <w:t xml:space="preserve">להיות </w:t>
      </w:r>
      <w:bookmarkStart w:id="61350" w:name="_ETM_Q112_562520"/>
      <w:bookmarkEnd w:id="61350"/>
      <w:r>
        <w:rPr>
          <w:rFonts w:hint="cs"/>
          <w:rtl/>
        </w:rPr>
        <w:t xml:space="preserve">מדינה </w:t>
      </w:r>
      <w:bookmarkStart w:id="61351" w:name="_ETM_Q112_562850"/>
      <w:bookmarkEnd w:id="61351"/>
      <w:r>
        <w:rPr>
          <w:rFonts w:hint="cs"/>
          <w:rtl/>
        </w:rPr>
        <w:t xml:space="preserve">תיאוקרטית, </w:t>
      </w:r>
      <w:bookmarkStart w:id="61352" w:name="_ETM_Q112_563510"/>
      <w:bookmarkStart w:id="61353" w:name="_ETM_Q112_563750"/>
      <w:bookmarkStart w:id="61354" w:name="_ETM_Q112_564740"/>
      <w:bookmarkEnd w:id="61352"/>
      <w:bookmarkEnd w:id="61353"/>
      <w:bookmarkEnd w:id="61354"/>
      <w:r>
        <w:rPr>
          <w:rFonts w:hint="cs"/>
          <w:rtl/>
        </w:rPr>
        <w:t xml:space="preserve">אלא </w:t>
      </w:r>
      <w:bookmarkStart w:id="61355" w:name="_ETM_Q112_564950"/>
      <w:bookmarkEnd w:id="61355"/>
      <w:r>
        <w:rPr>
          <w:rFonts w:hint="cs"/>
          <w:rtl/>
        </w:rPr>
        <w:t xml:space="preserve">בעיקר </w:t>
      </w:r>
      <w:bookmarkStart w:id="61356" w:name="_ETM_Q112_565370"/>
      <w:bookmarkStart w:id="61357" w:name="_ETM_Q112_565700"/>
      <w:bookmarkEnd w:id="61356"/>
      <w:bookmarkEnd w:id="61357"/>
      <w:r>
        <w:rPr>
          <w:rFonts w:hint="cs"/>
          <w:rtl/>
        </w:rPr>
        <w:t xml:space="preserve">באשר ערכי </w:t>
      </w:r>
      <w:bookmarkStart w:id="61358" w:name="_ETM_Q112_566210"/>
      <w:bookmarkStart w:id="61359" w:name="_ETM_Q112_566480"/>
      <w:bookmarkEnd w:id="61358"/>
      <w:bookmarkEnd w:id="61359"/>
      <w:r>
        <w:rPr>
          <w:rFonts w:hint="cs"/>
          <w:rtl/>
        </w:rPr>
        <w:t xml:space="preserve">הדמוקרטיה </w:t>
      </w:r>
      <w:bookmarkStart w:id="61360" w:name="_ETM_Q112_566930"/>
      <w:bookmarkEnd w:id="61360"/>
      <w:r>
        <w:rPr>
          <w:rFonts w:hint="cs"/>
          <w:rtl/>
        </w:rPr>
        <w:t xml:space="preserve">חקוקים </w:t>
      </w:r>
      <w:bookmarkStart w:id="61361" w:name="_ETM_Q112_567500"/>
      <w:bookmarkEnd w:id="61361"/>
      <w:r>
        <w:rPr>
          <w:rFonts w:hint="cs"/>
          <w:rtl/>
        </w:rPr>
        <w:t xml:space="preserve">על ליבה </w:t>
      </w:r>
      <w:bookmarkStart w:id="61362" w:name="_ETM_Q112_568190"/>
      <w:bookmarkEnd w:id="61362"/>
      <w:r>
        <w:rPr>
          <w:rFonts w:hint="cs"/>
          <w:rtl/>
        </w:rPr>
        <w:t>- - - מאז היוולדה</w:t>
      </w:r>
      <w:bookmarkStart w:id="61363" w:name="_ETM_Q112_568550"/>
      <w:bookmarkStart w:id="61364" w:name="_ETM_Q112_569330"/>
      <w:bookmarkEnd w:id="61363"/>
      <w:bookmarkEnd w:id="61364"/>
      <w:r>
        <w:rPr>
          <w:rFonts w:hint="cs"/>
          <w:rtl/>
        </w:rPr>
        <w:t xml:space="preserve">, וקיומם </w:t>
      </w:r>
      <w:bookmarkStart w:id="61365" w:name="_ETM_Q112_569960"/>
      <w:bookmarkEnd w:id="61365"/>
      <w:r>
        <w:rPr>
          <w:rFonts w:hint="cs"/>
          <w:rtl/>
        </w:rPr>
        <w:t xml:space="preserve">להלכה </w:t>
      </w:r>
      <w:bookmarkStart w:id="61366" w:name="_ETM_Q112_570350"/>
      <w:bookmarkEnd w:id="61366"/>
      <w:r>
        <w:rPr>
          <w:rFonts w:hint="cs"/>
          <w:rtl/>
        </w:rPr>
        <w:t xml:space="preserve">ולמעשה </w:t>
      </w:r>
      <w:bookmarkStart w:id="61367" w:name="_ETM_Q112_570980"/>
      <w:bookmarkEnd w:id="61367"/>
      <w:r>
        <w:rPr>
          <w:rFonts w:hint="cs"/>
          <w:rtl/>
        </w:rPr>
        <w:t xml:space="preserve">הכרחי </w:t>
      </w:r>
      <w:bookmarkStart w:id="61368" w:name="_ETM_Q112_571400"/>
      <w:bookmarkEnd w:id="61368"/>
      <w:r>
        <w:rPr>
          <w:rFonts w:hint="cs"/>
          <w:rtl/>
        </w:rPr>
        <w:t xml:space="preserve">למדינה </w:t>
      </w:r>
      <w:bookmarkStart w:id="61369" w:name="_ETM_Q112_572240"/>
      <w:bookmarkEnd w:id="61369"/>
      <w:r>
        <w:rPr>
          <w:rFonts w:hint="cs"/>
          <w:rtl/>
        </w:rPr>
        <w:t xml:space="preserve">אשר </w:t>
      </w:r>
      <w:bookmarkStart w:id="61370" w:name="_ETM_Q112_572510"/>
      <w:bookmarkEnd w:id="61370"/>
      <w:r>
        <w:rPr>
          <w:rFonts w:hint="cs"/>
          <w:rtl/>
        </w:rPr>
        <w:t xml:space="preserve">שואפת </w:t>
      </w:r>
      <w:bookmarkStart w:id="61371" w:name="_ETM_Q112_572900"/>
      <w:bookmarkEnd w:id="61371"/>
      <w:r>
        <w:rPr>
          <w:rFonts w:hint="cs"/>
          <w:rtl/>
        </w:rPr>
        <w:t xml:space="preserve">לתפוס </w:t>
      </w:r>
      <w:bookmarkStart w:id="61372" w:name="_ETM_Q112_573290"/>
      <w:bookmarkEnd w:id="61372"/>
      <w:r>
        <w:rPr>
          <w:rFonts w:hint="cs"/>
          <w:rtl/>
        </w:rPr>
        <w:t xml:space="preserve">מקום </w:t>
      </w:r>
      <w:bookmarkStart w:id="61373" w:name="_ETM_Q112_573650"/>
      <w:bookmarkEnd w:id="61373"/>
      <w:r>
        <w:rPr>
          <w:rFonts w:hint="cs"/>
          <w:rtl/>
        </w:rPr>
        <w:t xml:space="preserve">של כבוד </w:t>
      </w:r>
      <w:bookmarkStart w:id="61374" w:name="_ETM_Q112_574070"/>
      <w:bookmarkEnd w:id="61374"/>
      <w:r>
        <w:rPr>
          <w:rFonts w:hint="cs"/>
          <w:rtl/>
        </w:rPr>
        <w:t xml:space="preserve">בין </w:t>
      </w:r>
      <w:bookmarkStart w:id="61375" w:name="_ETM_Q112_574250"/>
      <w:bookmarkEnd w:id="61375"/>
      <w:r>
        <w:rPr>
          <w:rFonts w:hint="cs"/>
          <w:rtl/>
        </w:rPr>
        <w:t xml:space="preserve">המדינות </w:t>
      </w:r>
      <w:bookmarkStart w:id="61376" w:name="_ETM_Q112_574790"/>
      <w:bookmarkEnd w:id="61376"/>
      <w:r>
        <w:rPr>
          <w:rFonts w:hint="cs"/>
          <w:rtl/>
        </w:rPr>
        <w:t xml:space="preserve">הנאורות </w:t>
      </w:r>
      <w:bookmarkStart w:id="61377" w:name="_ETM_Q112_575240"/>
      <w:bookmarkEnd w:id="61377"/>
      <w:r>
        <w:rPr>
          <w:rFonts w:hint="cs"/>
          <w:rtl/>
        </w:rPr>
        <w:t xml:space="preserve">שבעולם". </w:t>
      </w:r>
      <w:bookmarkStart w:id="61378" w:name="_ETM_Q112_576529"/>
      <w:bookmarkEnd w:id="61378"/>
    </w:p>
    <w:p w:rsidR="00BB59CD" w:rsidRDefault="00BB59CD" w:rsidP="00BB59CD">
      <w:pPr>
        <w:rPr>
          <w:rtl/>
        </w:rPr>
      </w:pPr>
      <w:bookmarkStart w:id="61379" w:name="_ETM_Q112_574000"/>
      <w:bookmarkEnd w:id="61379"/>
    </w:p>
    <w:p w:rsidR="00BB59CD" w:rsidRDefault="00BB59CD" w:rsidP="00D61D81">
      <w:pPr>
        <w:rPr>
          <w:rtl/>
        </w:rPr>
      </w:pPr>
      <w:bookmarkStart w:id="61380" w:name="_ETM_Q112_575000"/>
      <w:bookmarkStart w:id="61381" w:name="_ETM_Q112_576680"/>
      <w:bookmarkEnd w:id="61380"/>
      <w:bookmarkEnd w:id="61381"/>
      <w:r>
        <w:rPr>
          <w:rFonts w:hint="cs"/>
          <w:rtl/>
        </w:rPr>
        <w:t xml:space="preserve">זה </w:t>
      </w:r>
      <w:bookmarkStart w:id="61382" w:name="_ETM_Q112_576740"/>
      <w:bookmarkEnd w:id="61382"/>
      <w:r>
        <w:rPr>
          <w:rFonts w:hint="cs"/>
          <w:rtl/>
        </w:rPr>
        <w:t xml:space="preserve">דבר </w:t>
      </w:r>
      <w:bookmarkStart w:id="61383" w:name="_ETM_Q112_576950"/>
      <w:bookmarkEnd w:id="61383"/>
      <w:r>
        <w:rPr>
          <w:rFonts w:hint="cs"/>
          <w:rtl/>
        </w:rPr>
        <w:t xml:space="preserve">מדהים </w:t>
      </w:r>
      <w:bookmarkStart w:id="61384" w:name="_ETM_Q112_577250"/>
      <w:bookmarkEnd w:id="61384"/>
      <w:r>
        <w:rPr>
          <w:rFonts w:hint="cs"/>
          <w:rtl/>
        </w:rPr>
        <w:t xml:space="preserve">בעיניי, </w:t>
      </w:r>
      <w:bookmarkStart w:id="61385" w:name="_ETM_Q112_577610"/>
      <w:bookmarkEnd w:id="61385"/>
      <w:r>
        <w:rPr>
          <w:rFonts w:hint="cs"/>
          <w:rtl/>
        </w:rPr>
        <w:t xml:space="preserve">כי </w:t>
      </w:r>
      <w:bookmarkStart w:id="61386" w:name="_ETM_Q112_580489"/>
      <w:bookmarkEnd w:id="61386"/>
      <w:r>
        <w:rPr>
          <w:rFonts w:hint="cs"/>
          <w:rtl/>
        </w:rPr>
        <w:t xml:space="preserve">מדינת </w:t>
      </w:r>
      <w:bookmarkStart w:id="61387" w:name="_ETM_Q112_581149"/>
      <w:bookmarkEnd w:id="61387"/>
      <w:r>
        <w:rPr>
          <w:rFonts w:hint="cs"/>
          <w:rtl/>
        </w:rPr>
        <w:t xml:space="preserve">ישראל </w:t>
      </w:r>
      <w:bookmarkStart w:id="61388" w:name="_ETM_Q112_581569"/>
      <w:bookmarkEnd w:id="61388"/>
      <w:r>
        <w:rPr>
          <w:rFonts w:hint="cs"/>
          <w:rtl/>
        </w:rPr>
        <w:t xml:space="preserve">כמדינה </w:t>
      </w:r>
      <w:bookmarkStart w:id="61389" w:name="_ETM_Q112_582049"/>
      <w:bookmarkEnd w:id="61389"/>
      <w:r>
        <w:rPr>
          <w:rFonts w:hint="cs"/>
          <w:rtl/>
        </w:rPr>
        <w:t xml:space="preserve">יהודית </w:t>
      </w:r>
      <w:bookmarkStart w:id="61390" w:name="_ETM_Q112_582439"/>
      <w:bookmarkEnd w:id="61390"/>
      <w:r>
        <w:rPr>
          <w:rFonts w:hint="cs"/>
          <w:rtl/>
        </w:rPr>
        <w:t xml:space="preserve">ודמוקרטית </w:t>
      </w:r>
      <w:bookmarkStart w:id="61391" w:name="_ETM_Q112_583689"/>
      <w:bookmarkEnd w:id="61391"/>
      <w:r>
        <w:rPr>
          <w:rFonts w:hint="cs"/>
          <w:rtl/>
        </w:rPr>
        <w:t xml:space="preserve">זה </w:t>
      </w:r>
      <w:bookmarkStart w:id="61392" w:name="_ETM_Q112_583869"/>
      <w:bookmarkEnd w:id="61392"/>
      <w:r>
        <w:rPr>
          <w:rFonts w:hint="cs"/>
          <w:rtl/>
        </w:rPr>
        <w:t xml:space="preserve">הכבוד </w:t>
      </w:r>
      <w:bookmarkStart w:id="61393" w:name="_ETM_Q112_584350"/>
      <w:bookmarkEnd w:id="61393"/>
      <w:r>
        <w:rPr>
          <w:rFonts w:hint="cs"/>
          <w:rtl/>
        </w:rPr>
        <w:t xml:space="preserve">הכי </w:t>
      </w:r>
      <w:bookmarkStart w:id="61394" w:name="_ETM_Q112_584560"/>
      <w:bookmarkEnd w:id="61394"/>
      <w:r>
        <w:rPr>
          <w:rFonts w:hint="cs"/>
          <w:rtl/>
        </w:rPr>
        <w:t xml:space="preserve">גדול </w:t>
      </w:r>
      <w:bookmarkStart w:id="61395" w:name="_ETM_Q112_584889"/>
      <w:bookmarkEnd w:id="61395"/>
      <w:r>
        <w:rPr>
          <w:rFonts w:hint="cs"/>
          <w:rtl/>
        </w:rPr>
        <w:t xml:space="preserve">שעושים </w:t>
      </w:r>
      <w:bookmarkStart w:id="61396" w:name="_ETM_Q112_585279"/>
      <w:bookmarkEnd w:id="61396"/>
      <w:r>
        <w:rPr>
          <w:rFonts w:hint="cs"/>
          <w:rtl/>
        </w:rPr>
        <w:t xml:space="preserve">ליהדות. </w:t>
      </w:r>
      <w:bookmarkStart w:id="61397" w:name="_ETM_Q112_586339"/>
      <w:bookmarkEnd w:id="61397"/>
      <w:r>
        <w:rPr>
          <w:rFonts w:hint="cs"/>
          <w:rtl/>
        </w:rPr>
        <w:t xml:space="preserve">מדינת </w:t>
      </w:r>
      <w:bookmarkStart w:id="61398" w:name="_ETM_Q112_586909"/>
      <w:bookmarkEnd w:id="61398"/>
      <w:r>
        <w:rPr>
          <w:rFonts w:hint="cs"/>
          <w:rtl/>
        </w:rPr>
        <w:t xml:space="preserve">ישראל </w:t>
      </w:r>
      <w:bookmarkStart w:id="61399" w:name="_ETM_Q112_587329"/>
      <w:bookmarkEnd w:id="61399"/>
      <w:r>
        <w:rPr>
          <w:rFonts w:hint="cs"/>
          <w:rtl/>
        </w:rPr>
        <w:t xml:space="preserve">כמדינת </w:t>
      </w:r>
      <w:bookmarkStart w:id="61400" w:name="_ETM_Q112_587899"/>
      <w:bookmarkEnd w:id="61400"/>
      <w:r>
        <w:rPr>
          <w:rFonts w:hint="cs"/>
          <w:rtl/>
        </w:rPr>
        <w:t xml:space="preserve">העם </w:t>
      </w:r>
      <w:bookmarkStart w:id="61401" w:name="_ETM_Q112_588169"/>
      <w:bookmarkEnd w:id="61401"/>
      <w:r>
        <w:rPr>
          <w:rFonts w:hint="cs"/>
          <w:rtl/>
        </w:rPr>
        <w:t xml:space="preserve">היהודי </w:t>
      </w:r>
      <w:bookmarkStart w:id="61402" w:name="_ETM_Q112_588829"/>
      <w:bookmarkEnd w:id="61402"/>
      <w:r>
        <w:rPr>
          <w:rFonts w:hint="cs"/>
          <w:rtl/>
        </w:rPr>
        <w:t xml:space="preserve">– תקלטו </w:t>
      </w:r>
      <w:bookmarkStart w:id="61403" w:name="_ETM_Q112_589279"/>
      <w:bookmarkEnd w:id="61403"/>
      <w:r>
        <w:rPr>
          <w:rFonts w:hint="cs"/>
          <w:rtl/>
        </w:rPr>
        <w:t xml:space="preserve">איזה </w:t>
      </w:r>
      <w:bookmarkStart w:id="61404" w:name="_ETM_Q112_589459"/>
      <w:bookmarkEnd w:id="61404"/>
      <w:r>
        <w:rPr>
          <w:rFonts w:hint="cs"/>
          <w:rtl/>
        </w:rPr>
        <w:t xml:space="preserve">דבר </w:t>
      </w:r>
      <w:bookmarkStart w:id="61405" w:name="_ETM_Q112_590060"/>
      <w:bookmarkEnd w:id="61405"/>
      <w:r>
        <w:rPr>
          <w:rFonts w:hint="cs"/>
          <w:rtl/>
        </w:rPr>
        <w:t xml:space="preserve">חכם </w:t>
      </w:r>
      <w:bookmarkStart w:id="61406" w:name="_ETM_Q112_590659"/>
      <w:bookmarkEnd w:id="61406"/>
      <w:r>
        <w:rPr>
          <w:rFonts w:hint="cs"/>
          <w:rtl/>
        </w:rPr>
        <w:t xml:space="preserve">אומר </w:t>
      </w:r>
      <w:bookmarkStart w:id="61407" w:name="_ETM_Q112_590929"/>
      <w:bookmarkEnd w:id="61407"/>
      <w:r>
        <w:rPr>
          <w:rFonts w:hint="cs"/>
          <w:rtl/>
        </w:rPr>
        <w:t xml:space="preserve">פה </w:t>
      </w:r>
      <w:bookmarkStart w:id="61408" w:name="_ETM_Q112_591049"/>
      <w:bookmarkEnd w:id="61408"/>
      <w:r>
        <w:rPr>
          <w:rFonts w:hint="cs"/>
          <w:rtl/>
        </w:rPr>
        <w:t xml:space="preserve">השופט </w:t>
      </w:r>
      <w:bookmarkStart w:id="61409" w:name="_ETM_Q112_591469"/>
      <w:bookmarkEnd w:id="61409"/>
      <w:r>
        <w:rPr>
          <w:rFonts w:hint="cs"/>
          <w:rtl/>
        </w:rPr>
        <w:t xml:space="preserve">חיים </w:t>
      </w:r>
      <w:bookmarkStart w:id="61410" w:name="_ETM_Q112_591709"/>
      <w:bookmarkEnd w:id="61410"/>
      <w:r>
        <w:rPr>
          <w:rFonts w:hint="cs"/>
          <w:rtl/>
        </w:rPr>
        <w:t xml:space="preserve">כהן. </w:t>
      </w:r>
      <w:bookmarkStart w:id="61411" w:name="_ETM_Q112_592660"/>
      <w:bookmarkEnd w:id="61411"/>
      <w:r>
        <w:rPr>
          <w:rFonts w:hint="cs"/>
          <w:rtl/>
        </w:rPr>
        <w:t xml:space="preserve">מדינה </w:t>
      </w:r>
      <w:bookmarkStart w:id="61412" w:name="_ETM_Q112_593170"/>
      <w:bookmarkEnd w:id="61412"/>
      <w:r>
        <w:rPr>
          <w:rFonts w:hint="cs"/>
          <w:rtl/>
        </w:rPr>
        <w:t xml:space="preserve">יהודית </w:t>
      </w:r>
      <w:bookmarkStart w:id="61413" w:name="_ETM_Q112_594709"/>
      <w:bookmarkEnd w:id="61413"/>
      <w:r>
        <w:rPr>
          <w:rFonts w:hint="cs"/>
          <w:rtl/>
        </w:rPr>
        <w:t xml:space="preserve">שנושאת </w:t>
      </w:r>
      <w:bookmarkStart w:id="61414" w:name="_ETM_Q112_595729"/>
      <w:bookmarkEnd w:id="61414"/>
      <w:r>
        <w:rPr>
          <w:rFonts w:hint="cs"/>
          <w:rtl/>
        </w:rPr>
        <w:t xml:space="preserve">בגאון </w:t>
      </w:r>
      <w:bookmarkStart w:id="61415" w:name="_ETM_Q112_596270"/>
      <w:bookmarkEnd w:id="61415"/>
      <w:r>
        <w:rPr>
          <w:rFonts w:hint="cs"/>
          <w:rtl/>
        </w:rPr>
        <w:t xml:space="preserve">ובגאווה </w:t>
      </w:r>
      <w:bookmarkStart w:id="61416" w:name="_ETM_Q112_596899"/>
      <w:bookmarkEnd w:id="61416"/>
      <w:r>
        <w:rPr>
          <w:rFonts w:hint="cs"/>
          <w:rtl/>
        </w:rPr>
        <w:t xml:space="preserve">את </w:t>
      </w:r>
      <w:bookmarkStart w:id="61417" w:name="_ETM_Q112_597109"/>
      <w:bookmarkEnd w:id="61417"/>
      <w:r>
        <w:rPr>
          <w:rFonts w:hint="cs"/>
          <w:rtl/>
        </w:rPr>
        <w:t xml:space="preserve">ערכיה </w:t>
      </w:r>
      <w:bookmarkStart w:id="61418" w:name="_ETM_Q112_597499"/>
      <w:bookmarkEnd w:id="61418"/>
      <w:r>
        <w:rPr>
          <w:rFonts w:hint="cs"/>
          <w:rtl/>
        </w:rPr>
        <w:t xml:space="preserve">הדמוקרטיים </w:t>
      </w:r>
      <w:bookmarkStart w:id="61419" w:name="_ETM_Q112_598819"/>
      <w:bookmarkStart w:id="61420" w:name="_ETM_Q112_599799"/>
      <w:bookmarkStart w:id="61421" w:name="_ETM_Q112_600009"/>
      <w:bookmarkStart w:id="61422" w:name="_ETM_Q112_600549"/>
      <w:bookmarkEnd w:id="61419"/>
      <w:bookmarkEnd w:id="61420"/>
      <w:bookmarkEnd w:id="61421"/>
      <w:bookmarkEnd w:id="61422"/>
      <w:r>
        <w:rPr>
          <w:rFonts w:hint="cs"/>
          <w:rtl/>
        </w:rPr>
        <w:t>–</w:t>
      </w:r>
      <w:bookmarkStart w:id="61423" w:name="_ETM_Q112_598000"/>
      <w:bookmarkEnd w:id="61423"/>
      <w:r>
        <w:rPr>
          <w:rFonts w:hint="cs"/>
          <w:rtl/>
        </w:rPr>
        <w:t xml:space="preserve"> אני </w:t>
      </w:r>
      <w:bookmarkStart w:id="61424" w:name="_ETM_Q112_600670"/>
      <w:bookmarkEnd w:id="61424"/>
      <w:r>
        <w:rPr>
          <w:rFonts w:hint="cs"/>
          <w:rtl/>
        </w:rPr>
        <w:t xml:space="preserve">עושה </w:t>
      </w:r>
      <w:bookmarkStart w:id="61425" w:name="_ETM_Q112_600820"/>
      <w:bookmarkEnd w:id="61425"/>
      <w:r>
        <w:rPr>
          <w:rFonts w:hint="cs"/>
          <w:rtl/>
        </w:rPr>
        <w:t xml:space="preserve">פה </w:t>
      </w:r>
      <w:bookmarkStart w:id="61426" w:name="_ETM_Q112_600939"/>
      <w:bookmarkEnd w:id="61426"/>
      <w:r>
        <w:rPr>
          <w:rFonts w:hint="cs"/>
          <w:rtl/>
        </w:rPr>
        <w:t xml:space="preserve">פרשנות, כך </w:t>
      </w:r>
      <w:bookmarkStart w:id="61427" w:name="_ETM_Q112_601570"/>
      <w:bookmarkStart w:id="61428" w:name="_ETM_Q112_601779"/>
      <w:bookmarkStart w:id="61429" w:name="_ETM_Q112_601900"/>
      <w:bookmarkStart w:id="61430" w:name="_ETM_Q112_602170"/>
      <w:bookmarkStart w:id="61431" w:name="_ETM_Q112_602529"/>
      <w:bookmarkStart w:id="61432" w:name="_ETM_Q112_602830"/>
      <w:bookmarkEnd w:id="61427"/>
      <w:bookmarkEnd w:id="61428"/>
      <w:bookmarkEnd w:id="61429"/>
      <w:bookmarkEnd w:id="61430"/>
      <w:bookmarkEnd w:id="61431"/>
      <w:bookmarkEnd w:id="61432"/>
      <w:r>
        <w:rPr>
          <w:rFonts w:hint="cs"/>
          <w:rtl/>
        </w:rPr>
        <w:t xml:space="preserve">אני </w:t>
      </w:r>
      <w:bookmarkStart w:id="61433" w:name="_ETM_Q112_602979"/>
      <w:bookmarkEnd w:id="61433"/>
      <w:r>
        <w:rPr>
          <w:rFonts w:hint="cs"/>
          <w:rtl/>
        </w:rPr>
        <w:t xml:space="preserve">מבין </w:t>
      </w:r>
      <w:bookmarkStart w:id="61434" w:name="_ETM_Q112_603250"/>
      <w:bookmarkEnd w:id="61434"/>
      <w:r>
        <w:rPr>
          <w:rFonts w:hint="cs"/>
          <w:rtl/>
        </w:rPr>
        <w:t xml:space="preserve">את </w:t>
      </w:r>
      <w:bookmarkStart w:id="61435" w:name="_ETM_Q112_603339"/>
      <w:bookmarkEnd w:id="61435"/>
      <w:r>
        <w:rPr>
          <w:rFonts w:hint="cs"/>
          <w:rtl/>
        </w:rPr>
        <w:t xml:space="preserve">זה </w:t>
      </w:r>
      <w:bookmarkStart w:id="61436" w:name="_ETM_Q112_604060"/>
      <w:bookmarkEnd w:id="61436"/>
      <w:r>
        <w:rPr>
          <w:rFonts w:hint="cs"/>
          <w:rtl/>
        </w:rPr>
        <w:t xml:space="preserve">– בעצם זה </w:t>
      </w:r>
      <w:bookmarkStart w:id="61437" w:name="_ETM_Q112_604270"/>
      <w:bookmarkStart w:id="61438" w:name="_ETM_Q112_605080"/>
      <w:bookmarkStart w:id="61439" w:name="_ETM_Q112_605439"/>
      <w:bookmarkStart w:id="61440" w:name="_ETM_Q112_605589"/>
      <w:bookmarkEnd w:id="61437"/>
      <w:bookmarkEnd w:id="61438"/>
      <w:bookmarkEnd w:id="61439"/>
      <w:bookmarkEnd w:id="61440"/>
      <w:r>
        <w:rPr>
          <w:rFonts w:hint="cs"/>
          <w:rtl/>
        </w:rPr>
        <w:t xml:space="preserve">אור </w:t>
      </w:r>
      <w:bookmarkStart w:id="61441" w:name="_ETM_Q112_605770"/>
      <w:bookmarkEnd w:id="61441"/>
      <w:r>
        <w:rPr>
          <w:rFonts w:hint="cs"/>
          <w:rtl/>
        </w:rPr>
        <w:t xml:space="preserve">לגויים </w:t>
      </w:r>
      <w:bookmarkStart w:id="61442" w:name="_ETM_Q112_606100"/>
      <w:bookmarkEnd w:id="61442"/>
      <w:r>
        <w:rPr>
          <w:rFonts w:hint="cs"/>
          <w:rtl/>
        </w:rPr>
        <w:t xml:space="preserve">הכי </w:t>
      </w:r>
      <w:bookmarkStart w:id="61443" w:name="_ETM_Q112_606250"/>
      <w:bookmarkEnd w:id="61443"/>
      <w:r>
        <w:rPr>
          <w:rFonts w:hint="cs"/>
          <w:rtl/>
        </w:rPr>
        <w:t xml:space="preserve">גדול </w:t>
      </w:r>
      <w:bookmarkStart w:id="61444" w:name="_ETM_Q112_606520"/>
      <w:bookmarkEnd w:id="61444"/>
      <w:r>
        <w:rPr>
          <w:rFonts w:hint="cs"/>
          <w:rtl/>
        </w:rPr>
        <w:t xml:space="preserve">שיש. </w:t>
      </w:r>
      <w:bookmarkStart w:id="61445" w:name="_ETM_Q112_607240"/>
      <w:bookmarkEnd w:id="61445"/>
      <w:r>
        <w:rPr>
          <w:rFonts w:hint="cs"/>
          <w:rtl/>
        </w:rPr>
        <w:t xml:space="preserve">איזה </w:t>
      </w:r>
      <w:bookmarkStart w:id="61446" w:name="_ETM_Q112_607509"/>
      <w:bookmarkEnd w:id="61446"/>
      <w:r>
        <w:rPr>
          <w:rFonts w:hint="cs"/>
          <w:rtl/>
        </w:rPr>
        <w:t xml:space="preserve">יופי </w:t>
      </w:r>
      <w:bookmarkStart w:id="61447" w:name="_ETM_Q112_607839"/>
      <w:bookmarkEnd w:id="61447"/>
      <w:r>
        <w:rPr>
          <w:rFonts w:hint="cs"/>
          <w:rtl/>
        </w:rPr>
        <w:t>זה. זו</w:t>
      </w:r>
      <w:bookmarkStart w:id="61448" w:name="_ETM_Q112_608260"/>
      <w:bookmarkEnd w:id="61448"/>
      <w:r>
        <w:rPr>
          <w:rFonts w:hint="cs"/>
          <w:rtl/>
        </w:rPr>
        <w:t xml:space="preserve"> </w:t>
      </w:r>
      <w:bookmarkStart w:id="61449" w:name="_ETM_Q112_608440"/>
      <w:bookmarkEnd w:id="61449"/>
      <w:r>
        <w:rPr>
          <w:rFonts w:hint="cs"/>
          <w:rtl/>
        </w:rPr>
        <w:t xml:space="preserve">מדינת </w:t>
      </w:r>
      <w:bookmarkStart w:id="61450" w:name="_ETM_Q112_609130"/>
      <w:bookmarkEnd w:id="61450"/>
      <w:r>
        <w:rPr>
          <w:rFonts w:hint="cs"/>
          <w:rtl/>
        </w:rPr>
        <w:t xml:space="preserve">העם </w:t>
      </w:r>
      <w:bookmarkStart w:id="61451" w:name="_ETM_Q112_609400"/>
      <w:bookmarkEnd w:id="61451"/>
      <w:r>
        <w:rPr>
          <w:rFonts w:hint="cs"/>
          <w:rtl/>
        </w:rPr>
        <w:t xml:space="preserve">היהודי, </w:t>
      </w:r>
      <w:bookmarkStart w:id="61452" w:name="_ETM_Q112_610180"/>
      <w:bookmarkEnd w:id="61452"/>
      <w:r>
        <w:rPr>
          <w:rFonts w:hint="cs"/>
          <w:rtl/>
        </w:rPr>
        <w:t>מודרנית</w:t>
      </w:r>
      <w:bookmarkStart w:id="61453" w:name="_ETM_Q112_611200"/>
      <w:bookmarkEnd w:id="61453"/>
      <w:r>
        <w:rPr>
          <w:rFonts w:hint="cs"/>
          <w:rtl/>
        </w:rPr>
        <w:t xml:space="preserve">, משתלבת </w:t>
      </w:r>
      <w:bookmarkStart w:id="61454" w:name="_ETM_Q112_612040"/>
      <w:bookmarkEnd w:id="61454"/>
      <w:r>
        <w:rPr>
          <w:rFonts w:hint="cs"/>
          <w:rtl/>
        </w:rPr>
        <w:t xml:space="preserve">בעמי </w:t>
      </w:r>
      <w:bookmarkStart w:id="61455" w:name="_ETM_Q112_610000"/>
      <w:bookmarkStart w:id="61456" w:name="_ETM_Q112_612459"/>
      <w:bookmarkEnd w:id="61455"/>
      <w:bookmarkEnd w:id="61456"/>
      <w:r>
        <w:rPr>
          <w:rFonts w:hint="cs"/>
          <w:rtl/>
        </w:rPr>
        <w:t xml:space="preserve">העולם, </w:t>
      </w:r>
      <w:bookmarkStart w:id="61457" w:name="_ETM_Q112_613239"/>
      <w:bookmarkEnd w:id="61457"/>
      <w:r>
        <w:rPr>
          <w:rFonts w:hint="cs"/>
          <w:rtl/>
        </w:rPr>
        <w:t xml:space="preserve">חזקה, </w:t>
      </w:r>
      <w:bookmarkStart w:id="61458" w:name="_ETM_Q112_615189"/>
      <w:bookmarkEnd w:id="61458"/>
      <w:r>
        <w:rPr>
          <w:rFonts w:hint="cs"/>
          <w:rtl/>
        </w:rPr>
        <w:t xml:space="preserve">מכוננת, ניצבת </w:t>
      </w:r>
      <w:bookmarkStart w:id="61459" w:name="_ETM_Q112_616770"/>
      <w:bookmarkStart w:id="61460" w:name="_ETM_Q112_617190"/>
      <w:bookmarkEnd w:id="61459"/>
      <w:bookmarkEnd w:id="61460"/>
      <w:r>
        <w:rPr>
          <w:rFonts w:hint="cs"/>
          <w:rtl/>
        </w:rPr>
        <w:t xml:space="preserve">בגאון </w:t>
      </w:r>
      <w:bookmarkStart w:id="61461" w:name="_ETM_Q112_618460"/>
      <w:bookmarkEnd w:id="61461"/>
      <w:r>
        <w:rPr>
          <w:rFonts w:hint="cs"/>
          <w:rtl/>
        </w:rPr>
        <w:t xml:space="preserve">בין </w:t>
      </w:r>
      <w:bookmarkStart w:id="61462" w:name="_ETM_Q112_618790"/>
      <w:bookmarkEnd w:id="61462"/>
      <w:r>
        <w:rPr>
          <w:rFonts w:hint="cs"/>
          <w:rtl/>
        </w:rPr>
        <w:t xml:space="preserve">עמי העולם </w:t>
      </w:r>
      <w:bookmarkStart w:id="61463" w:name="_ETM_Q112_619090"/>
      <w:bookmarkStart w:id="61464" w:name="_ETM_Q112_619360"/>
      <w:bookmarkEnd w:id="61463"/>
      <w:bookmarkEnd w:id="61464"/>
      <w:r>
        <w:rPr>
          <w:rFonts w:hint="cs"/>
          <w:rtl/>
        </w:rPr>
        <w:t xml:space="preserve">ובין </w:t>
      </w:r>
      <w:bookmarkStart w:id="61465" w:name="_ETM_Q112_619600"/>
      <w:bookmarkEnd w:id="61465"/>
      <w:r>
        <w:rPr>
          <w:rFonts w:hint="cs"/>
          <w:rtl/>
        </w:rPr>
        <w:t xml:space="preserve">ארצות </w:t>
      </w:r>
      <w:bookmarkStart w:id="61466" w:name="_ETM_Q112_620020"/>
      <w:bookmarkEnd w:id="61466"/>
      <w:r>
        <w:rPr>
          <w:rFonts w:hint="cs"/>
          <w:rtl/>
        </w:rPr>
        <w:t xml:space="preserve">העולם, עם מקום </w:t>
      </w:r>
      <w:bookmarkStart w:id="61467" w:name="_ETM_Q112_620710"/>
      <w:bookmarkStart w:id="61468" w:name="_ETM_Q112_620800"/>
      <w:bookmarkStart w:id="61469" w:name="_ETM_Q112_621130"/>
      <w:bookmarkEnd w:id="61467"/>
      <w:bookmarkEnd w:id="61468"/>
      <w:bookmarkEnd w:id="61469"/>
      <w:r>
        <w:rPr>
          <w:rFonts w:hint="cs"/>
          <w:rtl/>
        </w:rPr>
        <w:t xml:space="preserve">של </w:t>
      </w:r>
      <w:bookmarkStart w:id="61470" w:name="_ETM_Q112_621310"/>
      <w:bookmarkEnd w:id="61470"/>
      <w:r>
        <w:rPr>
          <w:rFonts w:hint="cs"/>
          <w:rtl/>
        </w:rPr>
        <w:t xml:space="preserve">כבוד, </w:t>
      </w:r>
      <w:bookmarkStart w:id="61471" w:name="_ETM_Q112_621730"/>
      <w:bookmarkEnd w:id="61471"/>
      <w:r>
        <w:rPr>
          <w:rFonts w:hint="cs"/>
          <w:rtl/>
        </w:rPr>
        <w:t xml:space="preserve">מקום </w:t>
      </w:r>
      <w:bookmarkStart w:id="61472" w:name="_ETM_Q112_622030"/>
      <w:bookmarkEnd w:id="61472"/>
      <w:r>
        <w:rPr>
          <w:rFonts w:hint="cs"/>
          <w:rtl/>
        </w:rPr>
        <w:t xml:space="preserve">של </w:t>
      </w:r>
      <w:bookmarkStart w:id="61473" w:name="_ETM_Q112_622180"/>
      <w:bookmarkEnd w:id="61473"/>
      <w:r>
        <w:rPr>
          <w:rFonts w:hint="cs"/>
          <w:rtl/>
        </w:rPr>
        <w:t xml:space="preserve">ביטחון </w:t>
      </w:r>
      <w:bookmarkStart w:id="61474" w:name="_ETM_Q112_622870"/>
      <w:bookmarkEnd w:id="61474"/>
      <w:r>
        <w:rPr>
          <w:rFonts w:hint="cs"/>
          <w:rtl/>
        </w:rPr>
        <w:t xml:space="preserve">– ביטחון </w:t>
      </w:r>
      <w:bookmarkStart w:id="61475" w:name="_ETM_Q112_623260"/>
      <w:bookmarkEnd w:id="61475"/>
      <w:r>
        <w:rPr>
          <w:rFonts w:hint="cs"/>
          <w:rtl/>
        </w:rPr>
        <w:t xml:space="preserve">כלכלי, </w:t>
      </w:r>
      <w:bookmarkStart w:id="61476" w:name="_ETM_Q112_623800"/>
      <w:bookmarkEnd w:id="61476"/>
      <w:r>
        <w:rPr>
          <w:rFonts w:hint="cs"/>
          <w:rtl/>
        </w:rPr>
        <w:t xml:space="preserve">ביטחון </w:t>
      </w:r>
      <w:bookmarkStart w:id="61477" w:name="_ETM_Q112_624250"/>
      <w:bookmarkEnd w:id="61477"/>
      <w:r>
        <w:rPr>
          <w:rFonts w:hint="cs"/>
          <w:rtl/>
        </w:rPr>
        <w:t xml:space="preserve">מדיני, </w:t>
      </w:r>
      <w:bookmarkStart w:id="61478" w:name="_ETM_Q112_624670"/>
      <w:bookmarkEnd w:id="61478"/>
      <w:r>
        <w:rPr>
          <w:rFonts w:hint="cs"/>
          <w:rtl/>
        </w:rPr>
        <w:t>ביטחון</w:t>
      </w:r>
      <w:bookmarkStart w:id="61479" w:name="_ETM_Q112_626040"/>
      <w:bookmarkEnd w:id="61479"/>
      <w:r>
        <w:rPr>
          <w:rFonts w:hint="cs"/>
          <w:rtl/>
        </w:rPr>
        <w:t xml:space="preserve">, </w:t>
      </w:r>
      <w:bookmarkStart w:id="61480" w:name="_ETM_Q112_627000"/>
      <w:bookmarkEnd w:id="61480"/>
      <w:r>
        <w:rPr>
          <w:rFonts w:hint="cs"/>
          <w:rtl/>
        </w:rPr>
        <w:t xml:space="preserve">ביטחון </w:t>
      </w:r>
      <w:bookmarkStart w:id="61481" w:name="_ETM_Q112_627420"/>
      <w:bookmarkEnd w:id="61481"/>
      <w:r>
        <w:rPr>
          <w:rFonts w:hint="cs"/>
          <w:rtl/>
        </w:rPr>
        <w:t xml:space="preserve">חברתי, </w:t>
      </w:r>
      <w:bookmarkStart w:id="61482" w:name="_ETM_Q112_628530"/>
      <w:bookmarkEnd w:id="61482"/>
      <w:r>
        <w:rPr>
          <w:rFonts w:hint="cs"/>
          <w:rtl/>
        </w:rPr>
        <w:t xml:space="preserve">השפעה. </w:t>
      </w:r>
      <w:bookmarkStart w:id="61483" w:name="_ETM_Q112_630840"/>
      <w:bookmarkEnd w:id="61483"/>
      <w:r>
        <w:rPr>
          <w:rFonts w:hint="cs"/>
          <w:rtl/>
        </w:rPr>
        <w:t xml:space="preserve">יש </w:t>
      </w:r>
      <w:bookmarkStart w:id="61484" w:name="_ETM_Q112_630989"/>
      <w:bookmarkEnd w:id="61484"/>
      <w:r>
        <w:rPr>
          <w:rFonts w:hint="cs"/>
          <w:rtl/>
        </w:rPr>
        <w:t xml:space="preserve">לה </w:t>
      </w:r>
      <w:bookmarkStart w:id="61485" w:name="_ETM_Q112_631079"/>
      <w:bookmarkEnd w:id="61485"/>
      <w:r>
        <w:rPr>
          <w:rFonts w:hint="cs"/>
          <w:rtl/>
        </w:rPr>
        <w:t xml:space="preserve">יכולת </w:t>
      </w:r>
      <w:bookmarkStart w:id="61486" w:name="_ETM_Q112_631620"/>
      <w:bookmarkEnd w:id="61486"/>
      <w:r>
        <w:rPr>
          <w:rFonts w:hint="cs"/>
          <w:rtl/>
        </w:rPr>
        <w:t xml:space="preserve">לתת </w:t>
      </w:r>
      <w:bookmarkStart w:id="61487" w:name="_ETM_Q112_632040"/>
      <w:bookmarkEnd w:id="61487"/>
      <w:r>
        <w:rPr>
          <w:rFonts w:hint="cs"/>
          <w:rtl/>
        </w:rPr>
        <w:t xml:space="preserve">מהערכים </w:t>
      </w:r>
      <w:bookmarkStart w:id="61488" w:name="_ETM_Q112_632670"/>
      <w:bookmarkEnd w:id="61488"/>
      <w:r>
        <w:rPr>
          <w:rFonts w:hint="cs"/>
          <w:rtl/>
        </w:rPr>
        <w:t xml:space="preserve">שלה, </w:t>
      </w:r>
      <w:bookmarkStart w:id="61489" w:name="_ETM_Q112_633209"/>
      <w:bookmarkEnd w:id="61489"/>
      <w:r>
        <w:rPr>
          <w:rFonts w:hint="cs"/>
          <w:rtl/>
        </w:rPr>
        <w:t xml:space="preserve">גם </w:t>
      </w:r>
      <w:bookmarkStart w:id="61490" w:name="_ETM_Q112_633420"/>
      <w:bookmarkEnd w:id="61490"/>
      <w:r>
        <w:rPr>
          <w:rFonts w:hint="cs"/>
          <w:rtl/>
        </w:rPr>
        <w:t xml:space="preserve">הדמוקרטיים </w:t>
      </w:r>
      <w:bookmarkStart w:id="61491" w:name="_ETM_Q112_634379"/>
      <w:bookmarkEnd w:id="61491"/>
      <w:r>
        <w:rPr>
          <w:rFonts w:hint="cs"/>
          <w:rtl/>
        </w:rPr>
        <w:t xml:space="preserve">וגם </w:t>
      </w:r>
      <w:bookmarkStart w:id="61492" w:name="_ETM_Q112_634829"/>
      <w:bookmarkEnd w:id="61492"/>
      <w:r>
        <w:rPr>
          <w:rFonts w:hint="cs"/>
          <w:rtl/>
        </w:rPr>
        <w:t xml:space="preserve">היהודיים. </w:t>
      </w:r>
      <w:bookmarkStart w:id="61493" w:name="_ETM_Q112_635250"/>
      <w:bookmarkEnd w:id="61493"/>
    </w:p>
    <w:p w:rsidR="00BB59CD" w:rsidRDefault="00BB59CD" w:rsidP="00BB59CD">
      <w:pPr>
        <w:rPr>
          <w:rtl/>
        </w:rPr>
      </w:pPr>
    </w:p>
    <w:p w:rsidR="00BB59CD" w:rsidRDefault="00BB59CD" w:rsidP="00D61D81">
      <w:pPr>
        <w:rPr>
          <w:rtl/>
        </w:rPr>
      </w:pPr>
      <w:bookmarkStart w:id="61494" w:name="_ETM_Q112_636000"/>
      <w:bookmarkEnd w:id="61494"/>
      <w:r>
        <w:rPr>
          <w:rFonts w:hint="cs"/>
          <w:rtl/>
        </w:rPr>
        <w:t xml:space="preserve">האמת, </w:t>
      </w:r>
      <w:bookmarkStart w:id="61495" w:name="_ETM_Q112_636060"/>
      <w:bookmarkEnd w:id="61495"/>
      <w:r>
        <w:rPr>
          <w:rFonts w:hint="cs"/>
          <w:rtl/>
        </w:rPr>
        <w:t xml:space="preserve">כשחושבים </w:t>
      </w:r>
      <w:bookmarkStart w:id="61496" w:name="_ETM_Q112_636659"/>
      <w:bookmarkEnd w:id="61496"/>
      <w:r>
        <w:rPr>
          <w:rFonts w:hint="cs"/>
          <w:rtl/>
        </w:rPr>
        <w:t xml:space="preserve">על </w:t>
      </w:r>
      <w:bookmarkStart w:id="61497" w:name="_ETM_Q112_636750"/>
      <w:bookmarkEnd w:id="61497"/>
      <w:r>
        <w:rPr>
          <w:rFonts w:hint="cs"/>
          <w:rtl/>
        </w:rPr>
        <w:t xml:space="preserve">זה, </w:t>
      </w:r>
      <w:bookmarkStart w:id="61498" w:name="_ETM_Q112_636989"/>
      <w:bookmarkEnd w:id="61498"/>
      <w:r>
        <w:rPr>
          <w:rFonts w:hint="cs"/>
          <w:rtl/>
        </w:rPr>
        <w:t xml:space="preserve">אדוני </w:t>
      </w:r>
      <w:bookmarkStart w:id="61499" w:name="_ETM_Q112_637260"/>
      <w:bookmarkEnd w:id="61499"/>
      <w:r>
        <w:rPr>
          <w:rFonts w:hint="cs"/>
          <w:rtl/>
        </w:rPr>
        <w:t xml:space="preserve">היושב-ראש, </w:t>
      </w:r>
      <w:bookmarkStart w:id="61500" w:name="_ETM_Q112_638330"/>
      <w:bookmarkEnd w:id="61500"/>
      <w:r>
        <w:rPr>
          <w:rFonts w:hint="cs"/>
          <w:rtl/>
        </w:rPr>
        <w:t xml:space="preserve">עכשיו, </w:t>
      </w:r>
      <w:bookmarkStart w:id="61501" w:name="_ETM_Q112_638540"/>
      <w:bookmarkEnd w:id="61501"/>
      <w:r>
        <w:rPr>
          <w:rFonts w:hint="cs"/>
          <w:rtl/>
        </w:rPr>
        <w:t xml:space="preserve">כשאני </w:t>
      </w:r>
      <w:bookmarkStart w:id="61502" w:name="_ETM_Q112_638750"/>
      <w:bookmarkEnd w:id="61502"/>
      <w:r>
        <w:rPr>
          <w:rFonts w:hint="cs"/>
          <w:rtl/>
        </w:rPr>
        <w:t xml:space="preserve">חושב </w:t>
      </w:r>
      <w:bookmarkStart w:id="61503" w:name="_ETM_Q112_639080"/>
      <w:bookmarkStart w:id="61504" w:name="_ETM_Q112_639200"/>
      <w:bookmarkStart w:id="61505" w:name="_ETM_Q112_639350"/>
      <w:bookmarkEnd w:id="61503"/>
      <w:bookmarkEnd w:id="61504"/>
      <w:bookmarkEnd w:id="61505"/>
      <w:r>
        <w:rPr>
          <w:rFonts w:hint="cs"/>
          <w:rtl/>
        </w:rPr>
        <w:t xml:space="preserve">לעומק </w:t>
      </w:r>
      <w:bookmarkStart w:id="61506" w:name="_ETM_Q112_639650"/>
      <w:bookmarkEnd w:id="61506"/>
      <w:r>
        <w:rPr>
          <w:rFonts w:hint="cs"/>
          <w:rtl/>
        </w:rPr>
        <w:t xml:space="preserve">על </w:t>
      </w:r>
      <w:bookmarkStart w:id="61507" w:name="_ETM_Q112_639740"/>
      <w:bookmarkEnd w:id="61507"/>
      <w:r>
        <w:rPr>
          <w:rFonts w:hint="cs"/>
          <w:rtl/>
        </w:rPr>
        <w:t xml:space="preserve">מה </w:t>
      </w:r>
      <w:bookmarkStart w:id="61508" w:name="_ETM_Q112_639860"/>
      <w:bookmarkEnd w:id="61508"/>
      <w:r>
        <w:rPr>
          <w:rFonts w:hint="cs"/>
          <w:rtl/>
        </w:rPr>
        <w:t xml:space="preserve">שהוא </w:t>
      </w:r>
      <w:bookmarkStart w:id="61509" w:name="_ETM_Q112_640040"/>
      <w:bookmarkEnd w:id="61509"/>
      <w:r>
        <w:rPr>
          <w:rFonts w:hint="cs"/>
          <w:rtl/>
        </w:rPr>
        <w:t xml:space="preserve">כותב </w:t>
      </w:r>
      <w:bookmarkStart w:id="61510" w:name="_ETM_Q112_640370"/>
      <w:bookmarkEnd w:id="61510"/>
      <w:r>
        <w:rPr>
          <w:rFonts w:hint="cs"/>
          <w:rtl/>
        </w:rPr>
        <w:t xml:space="preserve">פה, </w:t>
      </w:r>
      <w:bookmarkStart w:id="61511" w:name="_ETM_Q112_642830"/>
      <w:bookmarkEnd w:id="61511"/>
      <w:r>
        <w:rPr>
          <w:rFonts w:hint="cs"/>
          <w:rtl/>
        </w:rPr>
        <w:t xml:space="preserve">מדינת </w:t>
      </w:r>
      <w:bookmarkStart w:id="61512" w:name="_ETM_Q112_643340"/>
      <w:bookmarkEnd w:id="61512"/>
      <w:r>
        <w:rPr>
          <w:rFonts w:hint="cs"/>
          <w:rtl/>
        </w:rPr>
        <w:t xml:space="preserve">ישראל, </w:t>
      </w:r>
      <w:bookmarkStart w:id="61513" w:name="_ETM_Q112_644930"/>
      <w:bookmarkEnd w:id="61513"/>
      <w:r>
        <w:rPr>
          <w:rFonts w:hint="cs"/>
          <w:rtl/>
        </w:rPr>
        <w:t xml:space="preserve">כשהיא </w:t>
      </w:r>
      <w:bookmarkStart w:id="61514" w:name="_ETM_Q112_645170"/>
      <w:bookmarkEnd w:id="61514"/>
      <w:r>
        <w:rPr>
          <w:rFonts w:hint="cs"/>
          <w:rtl/>
        </w:rPr>
        <w:t xml:space="preserve">מדינה </w:t>
      </w:r>
      <w:bookmarkStart w:id="61515" w:name="_ETM_Q112_645590"/>
      <w:bookmarkEnd w:id="61515"/>
      <w:r>
        <w:rPr>
          <w:rFonts w:hint="cs"/>
          <w:rtl/>
        </w:rPr>
        <w:t xml:space="preserve">דמוקרטית, </w:t>
      </w:r>
      <w:bookmarkStart w:id="61516" w:name="_ETM_Q112_647150"/>
      <w:bookmarkEnd w:id="61516"/>
      <w:r>
        <w:rPr>
          <w:rFonts w:hint="cs"/>
          <w:rtl/>
        </w:rPr>
        <w:t xml:space="preserve">היא </w:t>
      </w:r>
      <w:bookmarkStart w:id="61517" w:name="_ETM_Q112_647299"/>
      <w:bookmarkEnd w:id="61517"/>
      <w:r>
        <w:rPr>
          <w:rFonts w:hint="cs"/>
          <w:rtl/>
        </w:rPr>
        <w:t xml:space="preserve">מדינה </w:t>
      </w:r>
      <w:bookmarkStart w:id="61518" w:name="_ETM_Q112_648110"/>
      <w:bookmarkEnd w:id="61518"/>
      <w:r>
        <w:rPr>
          <w:rFonts w:hint="cs"/>
          <w:rtl/>
        </w:rPr>
        <w:t xml:space="preserve">שעוזרת </w:t>
      </w:r>
      <w:bookmarkStart w:id="61519" w:name="_ETM_Q112_649069"/>
      <w:bookmarkEnd w:id="61519"/>
      <w:r>
        <w:rPr>
          <w:rFonts w:hint="cs"/>
          <w:rtl/>
        </w:rPr>
        <w:t xml:space="preserve">להפיץ </w:t>
      </w:r>
      <w:bookmarkStart w:id="61520" w:name="_ETM_Q112_649640"/>
      <w:bookmarkEnd w:id="61520"/>
      <w:r>
        <w:rPr>
          <w:rFonts w:hint="cs"/>
          <w:rtl/>
        </w:rPr>
        <w:t xml:space="preserve">את </w:t>
      </w:r>
      <w:bookmarkStart w:id="61521" w:name="_ETM_Q112_649730"/>
      <w:bookmarkStart w:id="61522" w:name="_ETM_Q112_649879"/>
      <w:bookmarkEnd w:id="61521"/>
      <w:bookmarkEnd w:id="61522"/>
      <w:r>
        <w:rPr>
          <w:rFonts w:hint="cs"/>
          <w:rtl/>
        </w:rPr>
        <w:t xml:space="preserve">הבשורה </w:t>
      </w:r>
      <w:bookmarkStart w:id="61523" w:name="_ETM_Q112_650450"/>
      <w:bookmarkEnd w:id="61523"/>
      <w:r>
        <w:rPr>
          <w:rFonts w:hint="cs"/>
          <w:rtl/>
        </w:rPr>
        <w:t xml:space="preserve">של </w:t>
      </w:r>
      <w:bookmarkStart w:id="61524" w:name="_ETM_Q112_650629"/>
      <w:bookmarkEnd w:id="61524"/>
      <w:r>
        <w:rPr>
          <w:rFonts w:hint="cs"/>
          <w:rtl/>
        </w:rPr>
        <w:t xml:space="preserve">הערכים </w:t>
      </w:r>
      <w:bookmarkStart w:id="61525" w:name="_ETM_Q112_651110"/>
      <w:bookmarkEnd w:id="61525"/>
      <w:r>
        <w:rPr>
          <w:rFonts w:hint="cs"/>
          <w:rtl/>
        </w:rPr>
        <w:t xml:space="preserve">היהודיים </w:t>
      </w:r>
      <w:bookmarkStart w:id="61526" w:name="_ETM_Q112_651560"/>
      <w:bookmarkEnd w:id="61526"/>
      <w:r>
        <w:rPr>
          <w:rFonts w:hint="cs"/>
          <w:rtl/>
        </w:rPr>
        <w:t xml:space="preserve">לכל </w:t>
      </w:r>
      <w:bookmarkStart w:id="61527" w:name="_ETM_Q112_651950"/>
      <w:bookmarkEnd w:id="61527"/>
      <w:r>
        <w:rPr>
          <w:rFonts w:hint="cs"/>
          <w:rtl/>
        </w:rPr>
        <w:t>העולם</w:t>
      </w:r>
      <w:r w:rsidR="00D61D81">
        <w:rPr>
          <w:rFonts w:hint="cs"/>
          <w:rtl/>
        </w:rPr>
        <w:t>,</w:t>
      </w:r>
      <w:r>
        <w:rPr>
          <w:rFonts w:hint="cs"/>
          <w:rtl/>
        </w:rPr>
        <w:t xml:space="preserve"> </w:t>
      </w:r>
      <w:bookmarkStart w:id="61528" w:name="_ETM_Q112_652790"/>
      <w:bookmarkEnd w:id="61528"/>
      <w:r>
        <w:rPr>
          <w:rFonts w:hint="cs"/>
          <w:rtl/>
        </w:rPr>
        <w:t xml:space="preserve">כי </w:t>
      </w:r>
      <w:bookmarkStart w:id="61529" w:name="_ETM_Q112_652969"/>
      <w:bookmarkEnd w:id="61529"/>
      <w:r>
        <w:rPr>
          <w:rFonts w:hint="cs"/>
          <w:rtl/>
        </w:rPr>
        <w:t xml:space="preserve">מדינת </w:t>
      </w:r>
      <w:bookmarkStart w:id="61530" w:name="_ETM_Q112_653329"/>
      <w:bookmarkEnd w:id="61530"/>
      <w:r>
        <w:rPr>
          <w:rFonts w:hint="cs"/>
          <w:rtl/>
        </w:rPr>
        <w:t xml:space="preserve">ישראל </w:t>
      </w:r>
      <w:bookmarkStart w:id="61531" w:name="_ETM_Q112_653659"/>
      <w:bookmarkEnd w:id="61531"/>
      <w:r>
        <w:rPr>
          <w:rFonts w:hint="cs"/>
          <w:rtl/>
        </w:rPr>
        <w:t xml:space="preserve">הפכה </w:t>
      </w:r>
      <w:bookmarkStart w:id="61532" w:name="_ETM_Q112_653930"/>
      <w:bookmarkEnd w:id="61532"/>
      <w:r>
        <w:rPr>
          <w:rFonts w:hint="cs"/>
          <w:rtl/>
        </w:rPr>
        <w:t xml:space="preserve">להיות </w:t>
      </w:r>
      <w:bookmarkStart w:id="61533" w:name="_ETM_Q112_654079"/>
      <w:bookmarkEnd w:id="61533"/>
      <w:r>
        <w:rPr>
          <w:rFonts w:hint="cs"/>
          <w:rtl/>
        </w:rPr>
        <w:t xml:space="preserve">מדינה </w:t>
      </w:r>
      <w:bookmarkStart w:id="61534" w:name="_ETM_Q112_654409"/>
      <w:bookmarkEnd w:id="61534"/>
      <w:r>
        <w:rPr>
          <w:rFonts w:hint="cs"/>
          <w:rtl/>
        </w:rPr>
        <w:t xml:space="preserve">מדוברת </w:t>
      </w:r>
      <w:bookmarkStart w:id="61535" w:name="_ETM_Q112_655700"/>
      <w:bookmarkEnd w:id="61535"/>
      <w:r>
        <w:rPr>
          <w:rFonts w:hint="cs"/>
          <w:rtl/>
        </w:rPr>
        <w:t xml:space="preserve">ונוכחת </w:t>
      </w:r>
      <w:bookmarkStart w:id="61536" w:name="_ETM_Q112_656419"/>
      <w:bookmarkEnd w:id="61536"/>
      <w:r>
        <w:rPr>
          <w:rFonts w:hint="cs"/>
          <w:rtl/>
        </w:rPr>
        <w:t xml:space="preserve">בשיח </w:t>
      </w:r>
      <w:bookmarkStart w:id="61537" w:name="_ETM_Q112_656870"/>
      <w:bookmarkEnd w:id="61537"/>
      <w:r>
        <w:rPr>
          <w:rFonts w:hint="cs"/>
          <w:rtl/>
        </w:rPr>
        <w:t xml:space="preserve">ומשפיעה </w:t>
      </w:r>
      <w:bookmarkStart w:id="61538" w:name="_ETM_Q112_657379"/>
      <w:bookmarkEnd w:id="61538"/>
      <w:r>
        <w:rPr>
          <w:rFonts w:hint="cs"/>
          <w:rtl/>
        </w:rPr>
        <w:t xml:space="preserve">על </w:t>
      </w:r>
      <w:bookmarkStart w:id="61539" w:name="_ETM_Q112_657469"/>
      <w:bookmarkEnd w:id="61539"/>
      <w:r>
        <w:rPr>
          <w:rFonts w:hint="cs"/>
          <w:rtl/>
        </w:rPr>
        <w:t xml:space="preserve">כל </w:t>
      </w:r>
      <w:bookmarkStart w:id="61540" w:name="_ETM_Q112_657709"/>
      <w:bookmarkEnd w:id="61540"/>
      <w:r>
        <w:rPr>
          <w:rFonts w:hint="cs"/>
          <w:rtl/>
        </w:rPr>
        <w:t xml:space="preserve">העולם. </w:t>
      </w:r>
      <w:bookmarkStart w:id="61541" w:name="_ETM_Q112_659569"/>
      <w:bookmarkEnd w:id="61541"/>
      <w:r>
        <w:rPr>
          <w:rFonts w:hint="cs"/>
          <w:rtl/>
        </w:rPr>
        <w:t xml:space="preserve">מתי </w:t>
      </w:r>
      <w:bookmarkStart w:id="61542" w:name="_ETM_Q112_659959"/>
      <w:bookmarkEnd w:id="61542"/>
      <w:r>
        <w:rPr>
          <w:rFonts w:hint="cs"/>
          <w:rtl/>
        </w:rPr>
        <w:t xml:space="preserve">יהודים </w:t>
      </w:r>
      <w:bookmarkStart w:id="61543" w:name="_ETM_Q112_660260"/>
      <w:bookmarkEnd w:id="61543"/>
      <w:r>
        <w:rPr>
          <w:rFonts w:hint="cs"/>
          <w:rtl/>
        </w:rPr>
        <w:t xml:space="preserve">היו </w:t>
      </w:r>
      <w:bookmarkStart w:id="61544" w:name="_ETM_Q112_660439"/>
      <w:bookmarkEnd w:id="61544"/>
      <w:r>
        <w:rPr>
          <w:rFonts w:hint="cs"/>
          <w:rtl/>
        </w:rPr>
        <w:t xml:space="preserve">ככה </w:t>
      </w:r>
      <w:bookmarkStart w:id="61545" w:name="_ETM_Q112_660799"/>
      <w:bookmarkEnd w:id="61545"/>
      <w:r>
        <w:rPr>
          <w:rFonts w:hint="cs"/>
          <w:rtl/>
        </w:rPr>
        <w:t xml:space="preserve">כשהיינו </w:t>
      </w:r>
      <w:bookmarkStart w:id="61546" w:name="_ETM_Q112_661129"/>
      <w:bookmarkEnd w:id="61546"/>
      <w:r>
        <w:rPr>
          <w:rFonts w:hint="cs"/>
          <w:rtl/>
        </w:rPr>
        <w:t xml:space="preserve">בנפרד? </w:t>
      </w:r>
      <w:bookmarkStart w:id="61547" w:name="_ETM_Q112_662370"/>
      <w:bookmarkEnd w:id="61547"/>
      <w:r>
        <w:rPr>
          <w:rFonts w:hint="cs"/>
          <w:rtl/>
        </w:rPr>
        <w:t xml:space="preserve">מתי </w:t>
      </w:r>
      <w:bookmarkStart w:id="61548" w:name="_ETM_Q112_662909"/>
      <w:bookmarkEnd w:id="61548"/>
      <w:r>
        <w:rPr>
          <w:rFonts w:hint="cs"/>
          <w:rtl/>
        </w:rPr>
        <w:t xml:space="preserve">הייתה לנו </w:t>
      </w:r>
      <w:bookmarkStart w:id="61549" w:name="_ETM_Q112_663209"/>
      <w:bookmarkEnd w:id="61549"/>
      <w:r>
        <w:rPr>
          <w:rFonts w:hint="cs"/>
          <w:rtl/>
        </w:rPr>
        <w:t xml:space="preserve">כזו </w:t>
      </w:r>
      <w:bookmarkStart w:id="61550" w:name="_ETM_Q112_663629"/>
      <w:bookmarkEnd w:id="61550"/>
      <w:r>
        <w:rPr>
          <w:rFonts w:hint="cs"/>
          <w:rtl/>
        </w:rPr>
        <w:t xml:space="preserve">יכולת </w:t>
      </w:r>
      <w:bookmarkStart w:id="61551" w:name="_ETM_Q112_664740"/>
      <w:bookmarkEnd w:id="61551"/>
      <w:r>
        <w:rPr>
          <w:rFonts w:hint="cs"/>
          <w:rtl/>
        </w:rPr>
        <w:t xml:space="preserve">להדגים </w:t>
      </w:r>
      <w:bookmarkStart w:id="61552" w:name="_ETM_Q112_665769"/>
      <w:bookmarkEnd w:id="61552"/>
      <w:r>
        <w:rPr>
          <w:rFonts w:hint="cs"/>
          <w:rtl/>
        </w:rPr>
        <w:t xml:space="preserve">את </w:t>
      </w:r>
      <w:bookmarkStart w:id="61553" w:name="_ETM_Q112_665980"/>
      <w:bookmarkStart w:id="61554" w:name="_ETM_Q112_666340"/>
      <w:bookmarkStart w:id="61555" w:name="_ETM_Q112_666550"/>
      <w:bookmarkStart w:id="61556" w:name="_ETM_Q112_667350"/>
      <w:bookmarkStart w:id="61557" w:name="_ETM_Q112_667590"/>
      <w:bookmarkEnd w:id="61553"/>
      <w:bookmarkEnd w:id="61554"/>
      <w:bookmarkEnd w:id="61555"/>
      <w:bookmarkEnd w:id="61556"/>
      <w:bookmarkEnd w:id="61557"/>
      <w:r>
        <w:rPr>
          <w:rFonts w:hint="cs"/>
          <w:rtl/>
        </w:rPr>
        <w:t xml:space="preserve">החוכמה </w:t>
      </w:r>
      <w:bookmarkStart w:id="61558" w:name="_ETM_Q112_668689"/>
      <w:bookmarkEnd w:id="61558"/>
      <w:r>
        <w:rPr>
          <w:rFonts w:hint="cs"/>
          <w:rtl/>
        </w:rPr>
        <w:t xml:space="preserve">של </w:t>
      </w:r>
      <w:bookmarkStart w:id="61559" w:name="_ETM_Q112_668930"/>
      <w:bookmarkEnd w:id="61559"/>
      <w:r>
        <w:rPr>
          <w:rFonts w:hint="cs"/>
          <w:rtl/>
        </w:rPr>
        <w:t xml:space="preserve">היהדות </w:t>
      </w:r>
      <w:bookmarkStart w:id="61560" w:name="_ETM_Q112_669709"/>
      <w:bookmarkEnd w:id="61560"/>
      <w:r>
        <w:rPr>
          <w:rFonts w:hint="cs"/>
          <w:rtl/>
        </w:rPr>
        <w:t xml:space="preserve">ואת </w:t>
      </w:r>
      <w:bookmarkStart w:id="61561" w:name="_ETM_Q112_669950"/>
      <w:bookmarkEnd w:id="61561"/>
      <w:r>
        <w:rPr>
          <w:rFonts w:hint="cs"/>
          <w:rtl/>
        </w:rPr>
        <w:t xml:space="preserve">הייחודיות </w:t>
      </w:r>
      <w:bookmarkStart w:id="61562" w:name="_ETM_Q112_670579"/>
      <w:bookmarkEnd w:id="61562"/>
      <w:r>
        <w:rPr>
          <w:rFonts w:hint="cs"/>
          <w:rtl/>
        </w:rPr>
        <w:t xml:space="preserve">של </w:t>
      </w:r>
      <w:bookmarkStart w:id="61563" w:name="_ETM_Q112_670760"/>
      <w:bookmarkEnd w:id="61563"/>
      <w:r>
        <w:rPr>
          <w:rFonts w:hint="cs"/>
          <w:rtl/>
        </w:rPr>
        <w:t xml:space="preserve">העם </w:t>
      </w:r>
      <w:bookmarkStart w:id="61564" w:name="_ETM_Q112_670969"/>
      <w:bookmarkEnd w:id="61564"/>
      <w:r>
        <w:rPr>
          <w:rFonts w:hint="cs"/>
          <w:rtl/>
        </w:rPr>
        <w:t xml:space="preserve">הזה, </w:t>
      </w:r>
      <w:bookmarkStart w:id="61565" w:name="_ETM_Q112_671329"/>
      <w:bookmarkEnd w:id="61565"/>
      <w:r>
        <w:rPr>
          <w:rFonts w:hint="cs"/>
          <w:rtl/>
        </w:rPr>
        <w:t xml:space="preserve">כשלא </w:t>
      </w:r>
      <w:bookmarkStart w:id="61566" w:name="_ETM_Q112_671629"/>
      <w:bookmarkEnd w:id="61566"/>
      <w:r>
        <w:rPr>
          <w:rFonts w:hint="cs"/>
          <w:rtl/>
        </w:rPr>
        <w:t xml:space="preserve">היינו </w:t>
      </w:r>
      <w:bookmarkStart w:id="61567" w:name="_ETM_Q112_671840"/>
      <w:bookmarkEnd w:id="61567"/>
      <w:r>
        <w:rPr>
          <w:rFonts w:hint="cs"/>
          <w:rtl/>
        </w:rPr>
        <w:t xml:space="preserve">מדינה </w:t>
      </w:r>
      <w:bookmarkStart w:id="61568" w:name="_ETM_Q112_672349"/>
      <w:bookmarkEnd w:id="61568"/>
      <w:r>
        <w:rPr>
          <w:rFonts w:hint="cs"/>
          <w:rtl/>
        </w:rPr>
        <w:t xml:space="preserve">יהודית </w:t>
      </w:r>
      <w:bookmarkStart w:id="61569" w:name="_ETM_Q112_672829"/>
      <w:bookmarkEnd w:id="61569"/>
      <w:r>
        <w:rPr>
          <w:rFonts w:hint="cs"/>
          <w:rtl/>
        </w:rPr>
        <w:t xml:space="preserve">ודמוקרטית? </w:t>
      </w:r>
      <w:bookmarkStart w:id="61570" w:name="_ETM_Q112_673969"/>
      <w:bookmarkEnd w:id="61570"/>
      <w:r>
        <w:rPr>
          <w:rFonts w:hint="cs"/>
          <w:rtl/>
        </w:rPr>
        <w:t xml:space="preserve">מדינה </w:t>
      </w:r>
      <w:bookmarkStart w:id="61571" w:name="_ETM_Q112_674390"/>
      <w:bookmarkEnd w:id="61571"/>
      <w:r>
        <w:rPr>
          <w:rFonts w:hint="cs"/>
          <w:rtl/>
        </w:rPr>
        <w:t xml:space="preserve">יהודית </w:t>
      </w:r>
      <w:bookmarkStart w:id="61572" w:name="_ETM_Q112_674750"/>
      <w:bookmarkEnd w:id="61572"/>
      <w:r>
        <w:rPr>
          <w:rFonts w:hint="cs"/>
          <w:rtl/>
        </w:rPr>
        <w:t xml:space="preserve">בלבד </w:t>
      </w:r>
      <w:bookmarkStart w:id="61573" w:name="_ETM_Q112_675170"/>
      <w:bookmarkEnd w:id="61573"/>
      <w:r>
        <w:rPr>
          <w:rFonts w:hint="cs"/>
          <w:rtl/>
        </w:rPr>
        <w:t xml:space="preserve">לא </w:t>
      </w:r>
      <w:bookmarkStart w:id="61574" w:name="_ETM_Q112_675260"/>
      <w:bookmarkEnd w:id="61574"/>
      <w:r>
        <w:rPr>
          <w:rFonts w:hint="cs"/>
          <w:rtl/>
        </w:rPr>
        <w:t xml:space="preserve">תקבל </w:t>
      </w:r>
      <w:bookmarkStart w:id="61575" w:name="_ETM_Q112_675769"/>
      <w:bookmarkEnd w:id="61575"/>
      <w:r>
        <w:rPr>
          <w:rFonts w:hint="cs"/>
          <w:rtl/>
        </w:rPr>
        <w:t xml:space="preserve">בעולם </w:t>
      </w:r>
      <w:bookmarkStart w:id="61576" w:name="_ETM_Q112_676900"/>
      <w:bookmarkEnd w:id="61576"/>
      <w:r>
        <w:rPr>
          <w:rFonts w:hint="cs"/>
          <w:rtl/>
        </w:rPr>
        <w:t xml:space="preserve">מעמד </w:t>
      </w:r>
      <w:bookmarkStart w:id="61577" w:name="_ETM_Q112_677950"/>
      <w:bookmarkEnd w:id="61577"/>
      <w:r>
        <w:rPr>
          <w:rFonts w:hint="cs"/>
          <w:rtl/>
        </w:rPr>
        <w:t xml:space="preserve">או </w:t>
      </w:r>
      <w:bookmarkStart w:id="61578" w:name="_ETM_Q112_678069"/>
      <w:bookmarkEnd w:id="61578"/>
      <w:r>
        <w:rPr>
          <w:rFonts w:hint="cs"/>
          <w:rtl/>
        </w:rPr>
        <w:t xml:space="preserve">יכולת </w:t>
      </w:r>
      <w:bookmarkStart w:id="61579" w:name="_ETM_Q112_678549"/>
      <w:bookmarkEnd w:id="61579"/>
      <w:r>
        <w:rPr>
          <w:rFonts w:hint="cs"/>
          <w:rtl/>
        </w:rPr>
        <w:t xml:space="preserve">כזאת </w:t>
      </w:r>
      <w:bookmarkStart w:id="61580" w:name="_ETM_Q112_678939"/>
      <w:bookmarkEnd w:id="61580"/>
      <w:r>
        <w:rPr>
          <w:rFonts w:hint="cs"/>
          <w:rtl/>
        </w:rPr>
        <w:t xml:space="preserve">כמו </w:t>
      </w:r>
      <w:bookmarkStart w:id="61581" w:name="_ETM_Q112_679120"/>
      <w:bookmarkEnd w:id="61581"/>
      <w:r>
        <w:rPr>
          <w:rFonts w:hint="cs"/>
          <w:rtl/>
        </w:rPr>
        <w:t xml:space="preserve">שיש </w:t>
      </w:r>
      <w:bookmarkStart w:id="61582" w:name="_ETM_Q112_679420"/>
      <w:bookmarkEnd w:id="61582"/>
      <w:r>
        <w:rPr>
          <w:rFonts w:hint="cs"/>
          <w:rtl/>
        </w:rPr>
        <w:t xml:space="preserve">למדינת </w:t>
      </w:r>
      <w:bookmarkStart w:id="61583" w:name="_ETM_Q112_679840"/>
      <w:bookmarkEnd w:id="61583"/>
      <w:r>
        <w:rPr>
          <w:rFonts w:hint="cs"/>
          <w:rtl/>
        </w:rPr>
        <w:t xml:space="preserve">ישראל </w:t>
      </w:r>
      <w:bookmarkStart w:id="61584" w:name="_ETM_Q112_680230"/>
      <w:bookmarkEnd w:id="61584"/>
      <w:r>
        <w:rPr>
          <w:rFonts w:hint="cs"/>
          <w:rtl/>
        </w:rPr>
        <w:t>כרגע.</w:t>
      </w:r>
      <w:bookmarkStart w:id="61585" w:name="_ETM_Q112_681099"/>
      <w:bookmarkEnd w:id="61585"/>
      <w:r>
        <w:rPr>
          <w:rFonts w:hint="cs"/>
          <w:rtl/>
        </w:rPr>
        <w:t xml:space="preserve"> </w:t>
      </w:r>
      <w:bookmarkStart w:id="61586" w:name="_ETM_Q112_683000"/>
      <w:bookmarkEnd w:id="61586"/>
      <w:r>
        <w:rPr>
          <w:rFonts w:hint="cs"/>
          <w:rtl/>
        </w:rPr>
        <w:t xml:space="preserve">מדינת </w:t>
      </w:r>
      <w:bookmarkStart w:id="61587" w:name="_ETM_Q112_681400"/>
      <w:bookmarkEnd w:id="61587"/>
      <w:r>
        <w:rPr>
          <w:rFonts w:hint="cs"/>
          <w:rtl/>
        </w:rPr>
        <w:t xml:space="preserve">ישראל </w:t>
      </w:r>
      <w:bookmarkStart w:id="61588" w:name="_ETM_Q112_681790"/>
      <w:bookmarkEnd w:id="61588"/>
      <w:r>
        <w:rPr>
          <w:rFonts w:hint="cs"/>
          <w:rtl/>
        </w:rPr>
        <w:t xml:space="preserve">כרגע </w:t>
      </w:r>
      <w:bookmarkStart w:id="61589" w:name="_ETM_Q112_682689"/>
      <w:bookmarkEnd w:id="61589"/>
      <w:r>
        <w:rPr>
          <w:rFonts w:hint="cs"/>
          <w:rtl/>
        </w:rPr>
        <w:t xml:space="preserve">היא </w:t>
      </w:r>
      <w:bookmarkStart w:id="61590" w:name="_ETM_Q112_683140"/>
      <w:bookmarkEnd w:id="61590"/>
      <w:r>
        <w:rPr>
          <w:rFonts w:hint="cs"/>
          <w:rtl/>
        </w:rPr>
        <w:t xml:space="preserve">מדינת </w:t>
      </w:r>
      <w:bookmarkStart w:id="61591" w:name="_ETM_Q112_683680"/>
      <w:bookmarkEnd w:id="61591"/>
      <w:r>
        <w:rPr>
          <w:rFonts w:hint="cs"/>
          <w:rtl/>
        </w:rPr>
        <w:t xml:space="preserve">העם </w:t>
      </w:r>
      <w:bookmarkStart w:id="61592" w:name="_ETM_Q112_683890"/>
      <w:bookmarkEnd w:id="61592"/>
      <w:r>
        <w:rPr>
          <w:rFonts w:hint="cs"/>
          <w:rtl/>
        </w:rPr>
        <w:t xml:space="preserve">היהודי </w:t>
      </w:r>
      <w:bookmarkStart w:id="61593" w:name="_ETM_Q112_684609"/>
      <w:bookmarkEnd w:id="61593"/>
      <w:r>
        <w:rPr>
          <w:rFonts w:hint="cs"/>
          <w:rtl/>
        </w:rPr>
        <w:t xml:space="preserve">שמוכרת </w:t>
      </w:r>
      <w:bookmarkStart w:id="61594" w:name="_ETM_Q112_685930"/>
      <w:bookmarkEnd w:id="61594"/>
      <w:r>
        <w:rPr>
          <w:rFonts w:hint="cs"/>
          <w:rtl/>
        </w:rPr>
        <w:t xml:space="preserve">ומוקרת על ידי </w:t>
      </w:r>
      <w:bookmarkStart w:id="61595" w:name="_ETM_Q112_687680"/>
      <w:bookmarkStart w:id="61596" w:name="_ETM_Q112_688250"/>
      <w:bookmarkStart w:id="61597" w:name="_ETM_Q112_688670"/>
      <w:bookmarkEnd w:id="61595"/>
      <w:bookmarkEnd w:id="61596"/>
      <w:bookmarkEnd w:id="61597"/>
      <w:r>
        <w:rPr>
          <w:rFonts w:hint="cs"/>
          <w:rtl/>
        </w:rPr>
        <w:t xml:space="preserve">רבים </w:t>
      </w:r>
      <w:bookmarkStart w:id="61598" w:name="_ETM_Q112_689030"/>
      <w:bookmarkEnd w:id="61598"/>
      <w:r>
        <w:rPr>
          <w:rFonts w:hint="cs"/>
          <w:rtl/>
        </w:rPr>
        <w:t xml:space="preserve">בעולם, </w:t>
      </w:r>
      <w:bookmarkStart w:id="61599" w:name="_ETM_Q112_689750"/>
      <w:bookmarkEnd w:id="61599"/>
      <w:r>
        <w:rPr>
          <w:rFonts w:hint="cs"/>
          <w:rtl/>
        </w:rPr>
        <w:t xml:space="preserve">בגלל </w:t>
      </w:r>
      <w:bookmarkStart w:id="61600" w:name="_ETM_Q112_690710"/>
      <w:bookmarkEnd w:id="61600"/>
      <w:r>
        <w:rPr>
          <w:rFonts w:hint="cs"/>
          <w:rtl/>
        </w:rPr>
        <w:t xml:space="preserve">שהיא </w:t>
      </w:r>
      <w:bookmarkStart w:id="61601" w:name="_ETM_Q112_691010"/>
      <w:bookmarkEnd w:id="61601"/>
      <w:r>
        <w:rPr>
          <w:rFonts w:hint="cs"/>
          <w:rtl/>
        </w:rPr>
        <w:t xml:space="preserve">מחוברת </w:t>
      </w:r>
      <w:bookmarkStart w:id="61602" w:name="_ETM_Q112_691730"/>
      <w:bookmarkEnd w:id="61602"/>
      <w:r>
        <w:rPr>
          <w:rFonts w:hint="cs"/>
          <w:rtl/>
        </w:rPr>
        <w:t xml:space="preserve">לערכיה </w:t>
      </w:r>
      <w:bookmarkStart w:id="61603" w:name="_ETM_Q112_692270"/>
      <w:bookmarkEnd w:id="61603"/>
      <w:r>
        <w:rPr>
          <w:rFonts w:hint="cs"/>
          <w:rtl/>
        </w:rPr>
        <w:t xml:space="preserve">הדמוקרטיים </w:t>
      </w:r>
      <w:bookmarkStart w:id="61604" w:name="_ETM_Q112_693380"/>
      <w:bookmarkEnd w:id="61604"/>
      <w:r>
        <w:rPr>
          <w:rFonts w:hint="cs"/>
          <w:rtl/>
        </w:rPr>
        <w:t xml:space="preserve">ולערכים </w:t>
      </w:r>
      <w:bookmarkStart w:id="61605" w:name="_ETM_Q112_694250"/>
      <w:bookmarkEnd w:id="61605"/>
      <w:r>
        <w:rPr>
          <w:rFonts w:hint="cs"/>
          <w:rtl/>
        </w:rPr>
        <w:t xml:space="preserve">הליברליים </w:t>
      </w:r>
      <w:bookmarkStart w:id="61606" w:name="_ETM_Q112_694910"/>
      <w:bookmarkEnd w:id="61606"/>
      <w:r>
        <w:rPr>
          <w:rFonts w:hint="cs"/>
          <w:rtl/>
        </w:rPr>
        <w:t xml:space="preserve">של </w:t>
      </w:r>
      <w:bookmarkStart w:id="61607" w:name="_ETM_Q112_695059"/>
      <w:bookmarkEnd w:id="61607"/>
      <w:r>
        <w:rPr>
          <w:rFonts w:hint="cs"/>
          <w:rtl/>
        </w:rPr>
        <w:t xml:space="preserve">העולם </w:t>
      </w:r>
      <w:bookmarkStart w:id="61608" w:name="_ETM_Q112_695390"/>
      <w:bookmarkEnd w:id="61608"/>
      <w:r>
        <w:rPr>
          <w:rFonts w:hint="cs"/>
          <w:rtl/>
        </w:rPr>
        <w:t xml:space="preserve">המערבי. </w:t>
      </w:r>
      <w:bookmarkStart w:id="61609" w:name="_ETM_Q112_696470"/>
      <w:bookmarkEnd w:id="61609"/>
      <w:r>
        <w:rPr>
          <w:rFonts w:hint="cs"/>
          <w:rtl/>
        </w:rPr>
        <w:t xml:space="preserve">זו </w:t>
      </w:r>
      <w:bookmarkStart w:id="61610" w:name="_ETM_Q112_696710"/>
      <w:bookmarkEnd w:id="61610"/>
      <w:r>
        <w:rPr>
          <w:rFonts w:hint="cs"/>
          <w:rtl/>
        </w:rPr>
        <w:t xml:space="preserve">הגדולה </w:t>
      </w:r>
      <w:bookmarkStart w:id="61611" w:name="_ETM_Q112_697130"/>
      <w:bookmarkEnd w:id="61611"/>
      <w:r>
        <w:rPr>
          <w:rFonts w:hint="cs"/>
          <w:rtl/>
        </w:rPr>
        <w:t xml:space="preserve">פה. </w:t>
      </w:r>
      <w:bookmarkStart w:id="61612" w:name="_ETM_Q112_698030"/>
      <w:bookmarkEnd w:id="61612"/>
      <w:r>
        <w:rPr>
          <w:rFonts w:hint="cs"/>
          <w:rtl/>
        </w:rPr>
        <w:t xml:space="preserve">ולכן </w:t>
      </w:r>
      <w:bookmarkStart w:id="61613" w:name="_ETM_Q112_698450"/>
      <w:bookmarkEnd w:id="61613"/>
      <w:r>
        <w:rPr>
          <w:rFonts w:hint="cs"/>
          <w:rtl/>
        </w:rPr>
        <w:t xml:space="preserve">זה </w:t>
      </w:r>
      <w:bookmarkStart w:id="61614" w:name="_ETM_Q112_698600"/>
      <w:bookmarkEnd w:id="61614"/>
      <w:r>
        <w:rPr>
          <w:rFonts w:hint="cs"/>
          <w:rtl/>
        </w:rPr>
        <w:t>הצביון,</w:t>
      </w:r>
      <w:bookmarkStart w:id="61615" w:name="_ETM_Q112_699080"/>
      <w:bookmarkEnd w:id="61615"/>
      <w:r>
        <w:rPr>
          <w:rFonts w:hint="cs"/>
          <w:rtl/>
        </w:rPr>
        <w:t xml:space="preserve"> זה </w:t>
      </w:r>
      <w:bookmarkStart w:id="61616" w:name="_ETM_Q112_699530"/>
      <w:bookmarkEnd w:id="61616"/>
      <w:r>
        <w:rPr>
          <w:rFonts w:hint="cs"/>
          <w:rtl/>
        </w:rPr>
        <w:t xml:space="preserve">מה </w:t>
      </w:r>
      <w:bookmarkStart w:id="61617" w:name="_ETM_Q112_699620"/>
      <w:bookmarkEnd w:id="61617"/>
      <w:r>
        <w:rPr>
          <w:rFonts w:hint="cs"/>
          <w:rtl/>
        </w:rPr>
        <w:t xml:space="preserve">שציוו </w:t>
      </w:r>
      <w:bookmarkStart w:id="61618" w:name="_ETM_Q112_700069"/>
      <w:bookmarkEnd w:id="61618"/>
      <w:r>
        <w:rPr>
          <w:rFonts w:hint="cs"/>
          <w:rtl/>
        </w:rPr>
        <w:t xml:space="preserve">לנו </w:t>
      </w:r>
      <w:bookmarkStart w:id="61619" w:name="_ETM_Q112_701370"/>
      <w:bookmarkEnd w:id="61619"/>
      <w:r>
        <w:rPr>
          <w:rFonts w:hint="cs"/>
          <w:rtl/>
        </w:rPr>
        <w:t>מ</w:t>
      </w:r>
      <w:bookmarkStart w:id="61620" w:name="_ETM_Q112_701700"/>
      <w:bookmarkEnd w:id="61620"/>
      <w:r>
        <w:rPr>
          <w:rFonts w:hint="cs"/>
          <w:rtl/>
        </w:rPr>
        <w:t xml:space="preserve">י שכוננו </w:t>
      </w:r>
      <w:bookmarkStart w:id="61621" w:name="_ETM_Q112_702059"/>
      <w:bookmarkEnd w:id="61621"/>
      <w:r>
        <w:rPr>
          <w:rFonts w:hint="cs"/>
          <w:rtl/>
        </w:rPr>
        <w:t xml:space="preserve">את </w:t>
      </w:r>
      <w:bookmarkStart w:id="61622" w:name="_ETM_Q112_702150"/>
      <w:bookmarkEnd w:id="61622"/>
      <w:r>
        <w:rPr>
          <w:rFonts w:hint="cs"/>
          <w:rtl/>
        </w:rPr>
        <w:t xml:space="preserve">המדינה </w:t>
      </w:r>
      <w:bookmarkStart w:id="61623" w:name="_ETM_Q112_702569"/>
      <w:bookmarkEnd w:id="61623"/>
      <w:r>
        <w:rPr>
          <w:rFonts w:hint="cs"/>
          <w:rtl/>
        </w:rPr>
        <w:t xml:space="preserve">הזאת. </w:t>
      </w:r>
      <w:bookmarkStart w:id="61624" w:name="_ETM_Q112_704549"/>
      <w:bookmarkEnd w:id="61624"/>
    </w:p>
    <w:p w:rsidR="00BB59CD" w:rsidRDefault="00BB59CD" w:rsidP="00BB59CD">
      <w:pPr>
        <w:rPr>
          <w:rtl/>
        </w:rPr>
      </w:pPr>
    </w:p>
    <w:p w:rsidR="00D61D81" w:rsidRDefault="00BB59CD" w:rsidP="00D61D81">
      <w:pPr>
        <w:rPr>
          <w:rtl/>
        </w:rPr>
      </w:pPr>
      <w:bookmarkStart w:id="61625" w:name="_ETM_Q112_706000"/>
      <w:bookmarkEnd w:id="61625"/>
      <w:r>
        <w:rPr>
          <w:rFonts w:hint="cs"/>
          <w:rtl/>
        </w:rPr>
        <w:t xml:space="preserve">אנחנו </w:t>
      </w:r>
      <w:bookmarkStart w:id="61626" w:name="_ETM_Q112_705359"/>
      <w:bookmarkEnd w:id="61626"/>
      <w:r>
        <w:rPr>
          <w:rFonts w:hint="cs"/>
          <w:rtl/>
        </w:rPr>
        <w:t xml:space="preserve">לקחנו </w:t>
      </w:r>
      <w:bookmarkStart w:id="61627" w:name="_ETM_Q112_705989"/>
      <w:bookmarkEnd w:id="61627"/>
      <w:r>
        <w:rPr>
          <w:rFonts w:hint="cs"/>
          <w:rtl/>
        </w:rPr>
        <w:t xml:space="preserve">את </w:t>
      </w:r>
      <w:bookmarkStart w:id="61628" w:name="_ETM_Q112_706109"/>
      <w:bookmarkEnd w:id="61628"/>
      <w:r>
        <w:rPr>
          <w:rFonts w:hint="cs"/>
          <w:rtl/>
        </w:rPr>
        <w:t xml:space="preserve">היהדות, </w:t>
      </w:r>
      <w:bookmarkStart w:id="61629" w:name="_ETM_Q112_707319"/>
      <w:bookmarkEnd w:id="61629"/>
      <w:r>
        <w:rPr>
          <w:rFonts w:hint="cs"/>
          <w:rtl/>
        </w:rPr>
        <w:t xml:space="preserve">שאני </w:t>
      </w:r>
      <w:bookmarkStart w:id="61630" w:name="_ETM_Q112_707590"/>
      <w:bookmarkEnd w:id="61630"/>
      <w:r>
        <w:rPr>
          <w:rFonts w:hint="cs"/>
          <w:rtl/>
        </w:rPr>
        <w:t xml:space="preserve">רואה </w:t>
      </w:r>
      <w:bookmarkStart w:id="61631" w:name="_ETM_Q112_707739"/>
      <w:bookmarkEnd w:id="61631"/>
      <w:r>
        <w:rPr>
          <w:rFonts w:hint="cs"/>
          <w:rtl/>
        </w:rPr>
        <w:t xml:space="preserve">בה </w:t>
      </w:r>
      <w:bookmarkStart w:id="61632" w:name="_ETM_Q112_707859"/>
      <w:bookmarkEnd w:id="61632"/>
      <w:r>
        <w:rPr>
          <w:rFonts w:hint="cs"/>
          <w:rtl/>
        </w:rPr>
        <w:t xml:space="preserve">קודם </w:t>
      </w:r>
      <w:bookmarkStart w:id="61633" w:name="_ETM_Q112_708249"/>
      <w:bookmarkEnd w:id="61633"/>
      <w:r>
        <w:rPr>
          <w:rFonts w:hint="cs"/>
          <w:rtl/>
        </w:rPr>
        <w:t xml:space="preserve">כול </w:t>
      </w:r>
      <w:bookmarkStart w:id="61634" w:name="_ETM_Q112_708519"/>
      <w:bookmarkEnd w:id="61634"/>
      <w:r>
        <w:rPr>
          <w:rFonts w:hint="cs"/>
          <w:rtl/>
        </w:rPr>
        <w:t xml:space="preserve">חוכמה, </w:t>
      </w:r>
      <w:bookmarkStart w:id="61635" w:name="_ETM_Q112_709359"/>
      <w:bookmarkEnd w:id="61635"/>
      <w:r>
        <w:rPr>
          <w:rFonts w:hint="cs"/>
          <w:rtl/>
        </w:rPr>
        <w:t xml:space="preserve">מעל </w:t>
      </w:r>
      <w:bookmarkStart w:id="61636" w:name="_ETM_Q112_709689"/>
      <w:bookmarkEnd w:id="61636"/>
      <w:r>
        <w:rPr>
          <w:rFonts w:hint="cs"/>
          <w:rtl/>
        </w:rPr>
        <w:t xml:space="preserve">הכול, </w:t>
      </w:r>
      <w:bookmarkStart w:id="61637" w:name="_ETM_Q112_710439"/>
      <w:bookmarkEnd w:id="61637"/>
      <w:r>
        <w:rPr>
          <w:rFonts w:hint="cs"/>
          <w:rtl/>
        </w:rPr>
        <w:t xml:space="preserve">וערכים, </w:t>
      </w:r>
      <w:bookmarkStart w:id="61638" w:name="_ETM_Q112_712650"/>
      <w:bookmarkEnd w:id="61638"/>
      <w:r>
        <w:rPr>
          <w:rFonts w:hint="cs"/>
          <w:rtl/>
        </w:rPr>
        <w:t xml:space="preserve">ואנחנו </w:t>
      </w:r>
      <w:bookmarkStart w:id="61639" w:name="_ETM_Q112_713129"/>
      <w:bookmarkEnd w:id="61639"/>
      <w:r>
        <w:rPr>
          <w:rFonts w:hint="cs"/>
          <w:rtl/>
        </w:rPr>
        <w:t xml:space="preserve">בעצם </w:t>
      </w:r>
      <w:bookmarkStart w:id="61640" w:name="_ETM_Q112_713980"/>
      <w:bookmarkEnd w:id="61640"/>
      <w:r>
        <w:rPr>
          <w:rFonts w:hint="cs"/>
          <w:rtl/>
        </w:rPr>
        <w:t xml:space="preserve">יצקנו </w:t>
      </w:r>
      <w:bookmarkStart w:id="61641" w:name="_ETM_Q112_714670"/>
      <w:bookmarkEnd w:id="61641"/>
      <w:r>
        <w:rPr>
          <w:rFonts w:hint="cs"/>
          <w:rtl/>
        </w:rPr>
        <w:t xml:space="preserve">אותה </w:t>
      </w:r>
      <w:bookmarkStart w:id="61642" w:name="_ETM_Q112_715090"/>
      <w:bookmarkEnd w:id="61642"/>
      <w:r>
        <w:rPr>
          <w:rFonts w:hint="cs"/>
          <w:rtl/>
        </w:rPr>
        <w:t xml:space="preserve">לתוך </w:t>
      </w:r>
      <w:bookmarkStart w:id="61643" w:name="_ETM_Q112_715480"/>
      <w:bookmarkEnd w:id="61643"/>
      <w:r>
        <w:rPr>
          <w:rFonts w:hint="cs"/>
          <w:rtl/>
        </w:rPr>
        <w:t xml:space="preserve">מדינה. </w:t>
      </w:r>
      <w:bookmarkStart w:id="61644" w:name="_ETM_Q112_717709"/>
      <w:bookmarkEnd w:id="61644"/>
      <w:r>
        <w:rPr>
          <w:rFonts w:hint="cs"/>
          <w:rtl/>
        </w:rPr>
        <w:t xml:space="preserve">נתנו </w:t>
      </w:r>
      <w:bookmarkStart w:id="61645" w:name="_ETM_Q112_718129"/>
      <w:bookmarkEnd w:id="61645"/>
      <w:r>
        <w:rPr>
          <w:rFonts w:hint="cs"/>
          <w:rtl/>
        </w:rPr>
        <w:t xml:space="preserve">לה </w:t>
      </w:r>
      <w:bookmarkStart w:id="61646" w:name="_ETM_Q112_718340"/>
      <w:bookmarkEnd w:id="61646"/>
      <w:r>
        <w:rPr>
          <w:rFonts w:hint="cs"/>
          <w:rtl/>
        </w:rPr>
        <w:t xml:space="preserve">זהות </w:t>
      </w:r>
      <w:bookmarkStart w:id="61647" w:name="_ETM_Q112_718730"/>
      <w:bookmarkEnd w:id="61647"/>
      <w:r>
        <w:rPr>
          <w:rFonts w:hint="cs"/>
          <w:rtl/>
        </w:rPr>
        <w:t xml:space="preserve">מדינתית, </w:t>
      </w:r>
      <w:bookmarkStart w:id="61648" w:name="_ETM_Q112_719389"/>
      <w:bookmarkEnd w:id="61648"/>
      <w:r>
        <w:rPr>
          <w:rFonts w:hint="cs"/>
          <w:rtl/>
        </w:rPr>
        <w:t>נת</w:t>
      </w:r>
      <w:bookmarkStart w:id="61649" w:name="_ETM_Q112_719659"/>
      <w:bookmarkEnd w:id="61649"/>
      <w:r>
        <w:rPr>
          <w:rFonts w:hint="cs"/>
          <w:rtl/>
        </w:rPr>
        <w:t xml:space="preserve">נו לה זהות </w:t>
      </w:r>
      <w:bookmarkStart w:id="61650" w:name="_ETM_Q112_720230"/>
      <w:bookmarkStart w:id="61651" w:name="_ETM_Q112_721200"/>
      <w:bookmarkEnd w:id="61650"/>
      <w:bookmarkEnd w:id="61651"/>
      <w:r>
        <w:rPr>
          <w:rFonts w:hint="cs"/>
          <w:rtl/>
        </w:rPr>
        <w:t xml:space="preserve">בפורומים </w:t>
      </w:r>
      <w:bookmarkStart w:id="61652" w:name="_ETM_Q112_722819"/>
      <w:bookmarkEnd w:id="61652"/>
      <w:r>
        <w:rPr>
          <w:rFonts w:hint="cs"/>
          <w:rtl/>
        </w:rPr>
        <w:t xml:space="preserve">עולמיים. </w:t>
      </w:r>
      <w:bookmarkStart w:id="61653" w:name="_ETM_Q112_723420"/>
      <w:bookmarkEnd w:id="61653"/>
      <w:r>
        <w:rPr>
          <w:rFonts w:hint="cs"/>
          <w:rtl/>
        </w:rPr>
        <w:t xml:space="preserve">נתנו </w:t>
      </w:r>
      <w:bookmarkStart w:id="61654" w:name="_ETM_Q112_724290"/>
      <w:bookmarkEnd w:id="61654"/>
      <w:r>
        <w:rPr>
          <w:rFonts w:hint="cs"/>
          <w:rtl/>
        </w:rPr>
        <w:t xml:space="preserve">לעם </w:t>
      </w:r>
      <w:bookmarkStart w:id="61655" w:name="_ETM_Q112_724769"/>
      <w:bookmarkEnd w:id="61655"/>
      <w:r>
        <w:rPr>
          <w:rFonts w:hint="cs"/>
          <w:rtl/>
        </w:rPr>
        <w:t xml:space="preserve">הזה, </w:t>
      </w:r>
      <w:bookmarkStart w:id="61656" w:name="_ETM_Q112_725159"/>
      <w:bookmarkEnd w:id="61656"/>
      <w:r>
        <w:rPr>
          <w:rFonts w:hint="cs"/>
          <w:rtl/>
        </w:rPr>
        <w:t>ללאום, לדת,</w:t>
      </w:r>
      <w:bookmarkStart w:id="61657" w:name="_ETM_Q112_726090"/>
      <w:bookmarkEnd w:id="61657"/>
      <w:r>
        <w:rPr>
          <w:rFonts w:hint="cs"/>
          <w:rtl/>
        </w:rPr>
        <w:t xml:space="preserve"> </w:t>
      </w:r>
      <w:bookmarkStart w:id="61658" w:name="_ETM_Q112_726809"/>
      <w:bookmarkEnd w:id="61658"/>
      <w:r>
        <w:rPr>
          <w:rFonts w:hint="cs"/>
          <w:rtl/>
        </w:rPr>
        <w:t xml:space="preserve">לחוכמה, </w:t>
      </w:r>
      <w:bookmarkStart w:id="61659" w:name="_ETM_Q112_727799"/>
      <w:bookmarkEnd w:id="61659"/>
      <w:r>
        <w:rPr>
          <w:rFonts w:hint="cs"/>
          <w:rtl/>
        </w:rPr>
        <w:t xml:space="preserve">לתרבות, </w:t>
      </w:r>
      <w:bookmarkStart w:id="61660" w:name="_ETM_Q112_728549"/>
      <w:bookmarkEnd w:id="61660"/>
      <w:r>
        <w:rPr>
          <w:rFonts w:hint="cs"/>
          <w:rtl/>
        </w:rPr>
        <w:t xml:space="preserve">לערכים </w:t>
      </w:r>
      <w:bookmarkStart w:id="61661" w:name="_ETM_Q112_729150"/>
      <w:bookmarkEnd w:id="61661"/>
      <w:r>
        <w:rPr>
          <w:rFonts w:hint="cs"/>
          <w:rtl/>
        </w:rPr>
        <w:t xml:space="preserve">– כי </w:t>
      </w:r>
      <w:bookmarkStart w:id="61662" w:name="_ETM_Q112_729329"/>
      <w:bookmarkEnd w:id="61662"/>
      <w:r>
        <w:rPr>
          <w:rFonts w:hint="cs"/>
          <w:rtl/>
        </w:rPr>
        <w:t xml:space="preserve">יהדות </w:t>
      </w:r>
      <w:bookmarkStart w:id="61663" w:name="_ETM_Q112_730040"/>
      <w:bookmarkEnd w:id="61663"/>
      <w:r>
        <w:rPr>
          <w:rFonts w:hint="cs"/>
          <w:rtl/>
        </w:rPr>
        <w:t xml:space="preserve">זה </w:t>
      </w:r>
      <w:bookmarkStart w:id="61664" w:name="_ETM_Q112_730249"/>
      <w:bookmarkEnd w:id="61664"/>
      <w:r>
        <w:rPr>
          <w:rFonts w:hint="cs"/>
          <w:rtl/>
        </w:rPr>
        <w:t xml:space="preserve">לא </w:t>
      </w:r>
      <w:bookmarkStart w:id="61665" w:name="_ETM_Q112_730340"/>
      <w:bookmarkEnd w:id="61665"/>
      <w:r>
        <w:rPr>
          <w:rFonts w:hint="cs"/>
          <w:rtl/>
        </w:rPr>
        <w:t xml:space="preserve">רק </w:t>
      </w:r>
      <w:bookmarkStart w:id="61666" w:name="_ETM_Q112_730579"/>
      <w:bookmarkEnd w:id="61666"/>
      <w:r>
        <w:rPr>
          <w:rFonts w:hint="cs"/>
          <w:rtl/>
        </w:rPr>
        <w:t xml:space="preserve">דת, </w:t>
      </w:r>
      <w:bookmarkStart w:id="61667" w:name="_ETM_Q112_731549"/>
      <w:bookmarkEnd w:id="61667"/>
      <w:r>
        <w:rPr>
          <w:rFonts w:hint="cs"/>
          <w:rtl/>
        </w:rPr>
        <w:t xml:space="preserve">יהדות </w:t>
      </w:r>
      <w:bookmarkStart w:id="61668" w:name="_ETM_Q112_731939"/>
      <w:bookmarkEnd w:id="61668"/>
      <w:r>
        <w:rPr>
          <w:rFonts w:hint="cs"/>
          <w:rtl/>
        </w:rPr>
        <w:t xml:space="preserve">זה </w:t>
      </w:r>
      <w:bookmarkStart w:id="61669" w:name="_ETM_Q112_732059"/>
      <w:bookmarkEnd w:id="61669"/>
      <w:r>
        <w:rPr>
          <w:rFonts w:hint="cs"/>
          <w:rtl/>
        </w:rPr>
        <w:t xml:space="preserve">גם </w:t>
      </w:r>
      <w:bookmarkStart w:id="61670" w:name="_ETM_Q112_732239"/>
      <w:bookmarkEnd w:id="61670"/>
      <w:r>
        <w:rPr>
          <w:rFonts w:hint="cs"/>
          <w:rtl/>
        </w:rPr>
        <w:t xml:space="preserve">חוכמה </w:t>
      </w:r>
      <w:bookmarkStart w:id="61671" w:name="_ETM_Q112_732869"/>
      <w:bookmarkEnd w:id="61671"/>
      <w:r>
        <w:rPr>
          <w:rFonts w:hint="cs"/>
          <w:rtl/>
        </w:rPr>
        <w:t xml:space="preserve">ותרבות. </w:t>
      </w:r>
      <w:bookmarkStart w:id="61672" w:name="_ETM_Q112_733859"/>
      <w:bookmarkEnd w:id="61672"/>
      <w:r>
        <w:rPr>
          <w:rFonts w:hint="cs"/>
          <w:rtl/>
        </w:rPr>
        <w:t xml:space="preserve">חילונים </w:t>
      </w:r>
      <w:bookmarkStart w:id="61673" w:name="_ETM_Q112_734459"/>
      <w:bookmarkEnd w:id="61673"/>
      <w:r>
        <w:rPr>
          <w:rFonts w:hint="cs"/>
          <w:rtl/>
        </w:rPr>
        <w:t xml:space="preserve">רבים </w:t>
      </w:r>
      <w:bookmarkStart w:id="61674" w:name="_ETM_Q112_734790"/>
      <w:bookmarkEnd w:id="61674"/>
      <w:r>
        <w:rPr>
          <w:rFonts w:hint="cs"/>
          <w:rtl/>
        </w:rPr>
        <w:t xml:space="preserve">שאני </w:t>
      </w:r>
      <w:bookmarkStart w:id="61675" w:name="_ETM_Q112_735029"/>
      <w:bookmarkEnd w:id="61675"/>
      <w:r>
        <w:rPr>
          <w:rFonts w:hint="cs"/>
          <w:rtl/>
        </w:rPr>
        <w:t xml:space="preserve">מכיר </w:t>
      </w:r>
      <w:bookmarkStart w:id="61676" w:name="_ETM_Q112_735839"/>
      <w:bookmarkEnd w:id="61676"/>
      <w:r>
        <w:rPr>
          <w:rFonts w:hint="cs"/>
          <w:rtl/>
        </w:rPr>
        <w:t xml:space="preserve">בקיאים </w:t>
      </w:r>
      <w:bookmarkStart w:id="61677" w:name="_ETM_Q112_734000"/>
      <w:bookmarkStart w:id="61678" w:name="_ETM_Q112_736050"/>
      <w:bookmarkStart w:id="61679" w:name="_ETM_Q112_736139"/>
      <w:bookmarkEnd w:id="61677"/>
      <w:bookmarkEnd w:id="61678"/>
      <w:bookmarkEnd w:id="61679"/>
      <w:r>
        <w:rPr>
          <w:rFonts w:hint="cs"/>
          <w:rtl/>
        </w:rPr>
        <w:t xml:space="preserve">כל </w:t>
      </w:r>
      <w:bookmarkStart w:id="61680" w:name="_ETM_Q112_736319"/>
      <w:bookmarkEnd w:id="61680"/>
      <w:r>
        <w:rPr>
          <w:rFonts w:hint="cs"/>
          <w:rtl/>
        </w:rPr>
        <w:t xml:space="preserve">כך </w:t>
      </w:r>
      <w:bookmarkStart w:id="61681" w:name="_ETM_Q112_736500"/>
      <w:bookmarkEnd w:id="61681"/>
      <w:r>
        <w:rPr>
          <w:rFonts w:hint="cs"/>
          <w:rtl/>
        </w:rPr>
        <w:t xml:space="preserve">בחוכמת </w:t>
      </w:r>
      <w:bookmarkStart w:id="61682" w:name="_ETM_Q112_737069"/>
      <w:bookmarkEnd w:id="61682"/>
      <w:r>
        <w:rPr>
          <w:rFonts w:hint="cs"/>
          <w:rtl/>
        </w:rPr>
        <w:t xml:space="preserve">היהדות </w:t>
      </w:r>
      <w:bookmarkStart w:id="61683" w:name="_ETM_Q112_737610"/>
      <w:bookmarkEnd w:id="61683"/>
      <w:r>
        <w:rPr>
          <w:rFonts w:hint="cs"/>
          <w:rtl/>
        </w:rPr>
        <w:t xml:space="preserve">ובערכיה, </w:t>
      </w:r>
      <w:bookmarkStart w:id="61684" w:name="_ETM_Q112_738659"/>
      <w:bookmarkStart w:id="61685" w:name="_ETM_Q112_738840"/>
      <w:bookmarkEnd w:id="61684"/>
      <w:bookmarkEnd w:id="61685"/>
      <w:r>
        <w:rPr>
          <w:rFonts w:hint="cs"/>
          <w:rtl/>
        </w:rPr>
        <w:t xml:space="preserve">כי הם </w:t>
      </w:r>
      <w:bookmarkStart w:id="61686" w:name="_ETM_Q112_738929"/>
      <w:bookmarkEnd w:id="61686"/>
      <w:r>
        <w:rPr>
          <w:rFonts w:hint="cs"/>
          <w:rtl/>
        </w:rPr>
        <w:t xml:space="preserve">לא </w:t>
      </w:r>
      <w:bookmarkStart w:id="61687" w:name="_ETM_Q112_739020"/>
      <w:bookmarkEnd w:id="61687"/>
      <w:r>
        <w:rPr>
          <w:rFonts w:hint="cs"/>
          <w:rtl/>
        </w:rPr>
        <w:t>דתיים</w:t>
      </w:r>
      <w:bookmarkStart w:id="61688" w:name="_ETM_Q112_739740"/>
      <w:bookmarkStart w:id="61689" w:name="_ETM_Q112_740009"/>
      <w:bookmarkEnd w:id="61688"/>
      <w:bookmarkEnd w:id="61689"/>
      <w:r>
        <w:rPr>
          <w:rFonts w:hint="cs"/>
          <w:rtl/>
        </w:rPr>
        <w:t xml:space="preserve"> </w:t>
      </w:r>
      <w:bookmarkStart w:id="61690" w:name="_ETM_Q112_740979"/>
      <w:bookmarkEnd w:id="61690"/>
      <w:r>
        <w:rPr>
          <w:rFonts w:hint="cs"/>
          <w:rtl/>
        </w:rPr>
        <w:t xml:space="preserve">אבל הם מוקירים </w:t>
      </w:r>
      <w:bookmarkStart w:id="61691" w:name="_ETM_Q112_741940"/>
      <w:bookmarkEnd w:id="61691"/>
      <w:r>
        <w:rPr>
          <w:rFonts w:hint="cs"/>
          <w:rtl/>
        </w:rPr>
        <w:t xml:space="preserve">את </w:t>
      </w:r>
      <w:bookmarkStart w:id="61692" w:name="_ETM_Q112_742120"/>
      <w:bookmarkEnd w:id="61692"/>
      <w:r>
        <w:rPr>
          <w:rFonts w:hint="cs"/>
          <w:rtl/>
        </w:rPr>
        <w:t xml:space="preserve">המורשת </w:t>
      </w:r>
      <w:bookmarkStart w:id="61693" w:name="_ETM_Q112_742600"/>
      <w:bookmarkEnd w:id="61693"/>
      <w:r>
        <w:rPr>
          <w:rFonts w:hint="cs"/>
          <w:rtl/>
        </w:rPr>
        <w:t xml:space="preserve">שלהם </w:t>
      </w:r>
      <w:bookmarkStart w:id="61694" w:name="_ETM_Q112_743259"/>
      <w:bookmarkEnd w:id="61694"/>
      <w:r>
        <w:rPr>
          <w:rFonts w:hint="cs"/>
          <w:rtl/>
        </w:rPr>
        <w:t xml:space="preserve">ואת </w:t>
      </w:r>
      <w:bookmarkStart w:id="61695" w:name="_ETM_Q112_743500"/>
      <w:bookmarkEnd w:id="61695"/>
      <w:r>
        <w:rPr>
          <w:rFonts w:hint="cs"/>
          <w:rtl/>
        </w:rPr>
        <w:t xml:space="preserve">כל </w:t>
      </w:r>
      <w:bookmarkStart w:id="61696" w:name="_ETM_Q112_743800"/>
      <w:bookmarkEnd w:id="61696"/>
      <w:r>
        <w:rPr>
          <w:rFonts w:hint="cs"/>
          <w:rtl/>
        </w:rPr>
        <w:t xml:space="preserve">הידע </w:t>
      </w:r>
      <w:bookmarkStart w:id="61697" w:name="_ETM_Q112_744220"/>
      <w:bookmarkEnd w:id="61697"/>
      <w:r>
        <w:rPr>
          <w:rFonts w:hint="cs"/>
          <w:rtl/>
        </w:rPr>
        <w:t xml:space="preserve">העצום </w:t>
      </w:r>
      <w:bookmarkStart w:id="61698" w:name="_ETM_Q112_745050"/>
      <w:bookmarkEnd w:id="61698"/>
      <w:r>
        <w:rPr>
          <w:rFonts w:hint="cs"/>
          <w:rtl/>
        </w:rPr>
        <w:t xml:space="preserve">והחוכמה </w:t>
      </w:r>
      <w:bookmarkStart w:id="61699" w:name="_ETM_Q112_745410"/>
      <w:bookmarkStart w:id="61700" w:name="_ETM_Q112_745590"/>
      <w:bookmarkEnd w:id="61699"/>
      <w:bookmarkEnd w:id="61700"/>
      <w:r>
        <w:rPr>
          <w:rFonts w:hint="cs"/>
          <w:rtl/>
        </w:rPr>
        <w:t xml:space="preserve">שיש </w:t>
      </w:r>
      <w:bookmarkStart w:id="61701" w:name="_ETM_Q112_747020"/>
      <w:bookmarkEnd w:id="61701"/>
      <w:r>
        <w:rPr>
          <w:rFonts w:hint="cs"/>
          <w:rtl/>
        </w:rPr>
        <w:t xml:space="preserve">בעם </w:t>
      </w:r>
      <w:bookmarkStart w:id="61702" w:name="_ETM_Q112_747350"/>
      <w:bookmarkEnd w:id="61702"/>
      <w:r>
        <w:rPr>
          <w:rFonts w:hint="cs"/>
          <w:rtl/>
        </w:rPr>
        <w:t xml:space="preserve">שלנו </w:t>
      </w:r>
      <w:bookmarkStart w:id="61703" w:name="_ETM_Q112_747710"/>
      <w:bookmarkEnd w:id="61703"/>
      <w:r>
        <w:rPr>
          <w:rFonts w:hint="cs"/>
          <w:rtl/>
        </w:rPr>
        <w:t xml:space="preserve">וביהדות </w:t>
      </w:r>
      <w:bookmarkStart w:id="61704" w:name="_ETM_Q112_748280"/>
      <w:bookmarkEnd w:id="61704"/>
      <w:r>
        <w:rPr>
          <w:rFonts w:hint="cs"/>
          <w:rtl/>
        </w:rPr>
        <w:t>שלנו. והם</w:t>
      </w:r>
      <w:bookmarkStart w:id="61705" w:name="_ETM_Q112_749600"/>
      <w:bookmarkEnd w:id="61705"/>
      <w:r>
        <w:rPr>
          <w:rFonts w:hint="cs"/>
          <w:rtl/>
        </w:rPr>
        <w:t xml:space="preserve"> </w:t>
      </w:r>
      <w:bookmarkStart w:id="61706" w:name="_ETM_Q112_749870"/>
      <w:bookmarkEnd w:id="61706"/>
      <w:r>
        <w:rPr>
          <w:rFonts w:hint="cs"/>
          <w:rtl/>
        </w:rPr>
        <w:t xml:space="preserve">יוצקים </w:t>
      </w:r>
      <w:bookmarkStart w:id="61707" w:name="_ETM_Q112_750350"/>
      <w:bookmarkEnd w:id="61707"/>
      <w:r>
        <w:rPr>
          <w:rFonts w:hint="cs"/>
          <w:rtl/>
        </w:rPr>
        <w:t xml:space="preserve">את </w:t>
      </w:r>
      <w:bookmarkStart w:id="61708" w:name="_ETM_Q112_750410"/>
      <w:bookmarkEnd w:id="61708"/>
      <w:r>
        <w:rPr>
          <w:rFonts w:hint="cs"/>
          <w:rtl/>
        </w:rPr>
        <w:t xml:space="preserve">זה </w:t>
      </w:r>
      <w:bookmarkStart w:id="61709" w:name="_ETM_Q112_750530"/>
      <w:bookmarkEnd w:id="61709"/>
      <w:r>
        <w:rPr>
          <w:rFonts w:hint="cs"/>
          <w:rtl/>
        </w:rPr>
        <w:t xml:space="preserve">יום-יום </w:t>
      </w:r>
      <w:bookmarkStart w:id="61710" w:name="_ETM_Q112_750980"/>
      <w:bookmarkEnd w:id="61710"/>
      <w:r>
        <w:rPr>
          <w:rFonts w:hint="cs"/>
          <w:rtl/>
        </w:rPr>
        <w:t xml:space="preserve">לתוך </w:t>
      </w:r>
      <w:bookmarkStart w:id="61711" w:name="_ETM_Q112_751309"/>
      <w:bookmarkEnd w:id="61711"/>
      <w:r>
        <w:rPr>
          <w:rFonts w:hint="cs"/>
          <w:rtl/>
        </w:rPr>
        <w:t xml:space="preserve">העשייה </w:t>
      </w:r>
      <w:bookmarkStart w:id="61712" w:name="_ETM_Q112_751760"/>
      <w:bookmarkEnd w:id="61712"/>
      <w:r>
        <w:rPr>
          <w:rFonts w:hint="cs"/>
          <w:rtl/>
        </w:rPr>
        <w:t xml:space="preserve">שלהם. </w:t>
      </w:r>
      <w:bookmarkStart w:id="61713" w:name="_ETM_Q112_752410"/>
      <w:bookmarkEnd w:id="61713"/>
      <w:r>
        <w:rPr>
          <w:rFonts w:hint="cs"/>
          <w:rtl/>
        </w:rPr>
        <w:t xml:space="preserve">זו </w:t>
      </w:r>
      <w:bookmarkStart w:id="61714" w:name="_ETM_Q112_752679"/>
      <w:bookmarkEnd w:id="61714"/>
      <w:r>
        <w:rPr>
          <w:rFonts w:hint="cs"/>
          <w:rtl/>
        </w:rPr>
        <w:t xml:space="preserve">לא </w:t>
      </w:r>
      <w:bookmarkStart w:id="61715" w:name="_ETM_Q112_752770"/>
      <w:bookmarkEnd w:id="61715"/>
      <w:r>
        <w:rPr>
          <w:rFonts w:hint="cs"/>
          <w:rtl/>
        </w:rPr>
        <w:t xml:space="preserve">חייבת </w:t>
      </w:r>
      <w:bookmarkStart w:id="61716" w:name="_ETM_Q112_753160"/>
      <w:bookmarkEnd w:id="61716"/>
      <w:r>
        <w:rPr>
          <w:rFonts w:hint="cs"/>
          <w:rtl/>
        </w:rPr>
        <w:t xml:space="preserve">להיות </w:t>
      </w:r>
      <w:bookmarkStart w:id="61717" w:name="_ETM_Q112_753400"/>
      <w:bookmarkEnd w:id="61717"/>
      <w:r>
        <w:rPr>
          <w:rFonts w:hint="cs"/>
          <w:rtl/>
        </w:rPr>
        <w:t xml:space="preserve">עשייה </w:t>
      </w:r>
      <w:bookmarkStart w:id="61718" w:name="_ETM_Q112_753730"/>
      <w:bookmarkEnd w:id="61718"/>
      <w:r>
        <w:rPr>
          <w:rFonts w:hint="cs"/>
          <w:rtl/>
        </w:rPr>
        <w:t xml:space="preserve">דתית, </w:t>
      </w:r>
      <w:bookmarkStart w:id="61719" w:name="_ETM_Q112_754450"/>
      <w:bookmarkEnd w:id="61719"/>
      <w:r>
        <w:rPr>
          <w:rFonts w:hint="cs"/>
          <w:rtl/>
        </w:rPr>
        <w:t xml:space="preserve">זו </w:t>
      </w:r>
      <w:bookmarkStart w:id="61720" w:name="_ETM_Q112_754600"/>
      <w:bookmarkEnd w:id="61720"/>
      <w:r>
        <w:rPr>
          <w:rFonts w:hint="cs"/>
          <w:rtl/>
        </w:rPr>
        <w:t xml:space="preserve">לא </w:t>
      </w:r>
      <w:bookmarkStart w:id="61721" w:name="_ETM_Q112_754720"/>
      <w:bookmarkEnd w:id="61721"/>
      <w:r>
        <w:rPr>
          <w:rFonts w:hint="cs"/>
          <w:rtl/>
        </w:rPr>
        <w:t xml:space="preserve">חייבת </w:t>
      </w:r>
      <w:bookmarkStart w:id="61722" w:name="_ETM_Q112_755080"/>
      <w:bookmarkEnd w:id="61722"/>
      <w:r>
        <w:rPr>
          <w:rFonts w:hint="cs"/>
          <w:rtl/>
        </w:rPr>
        <w:t xml:space="preserve">להיות </w:t>
      </w:r>
      <w:bookmarkStart w:id="61723" w:name="_ETM_Q112_755380"/>
      <w:bookmarkEnd w:id="61723"/>
      <w:r>
        <w:rPr>
          <w:rFonts w:hint="cs"/>
          <w:rtl/>
        </w:rPr>
        <w:t xml:space="preserve">עשייה </w:t>
      </w:r>
      <w:bookmarkStart w:id="61724" w:name="_ETM_Q112_756250"/>
      <w:bookmarkEnd w:id="61724"/>
      <w:r>
        <w:rPr>
          <w:rFonts w:hint="cs"/>
          <w:rtl/>
        </w:rPr>
        <w:t xml:space="preserve">במוסדות </w:t>
      </w:r>
      <w:bookmarkStart w:id="61725" w:name="_ETM_Q112_756850"/>
      <w:bookmarkEnd w:id="61725"/>
      <w:r>
        <w:rPr>
          <w:rFonts w:hint="cs"/>
          <w:rtl/>
        </w:rPr>
        <w:t xml:space="preserve">דת </w:t>
      </w:r>
      <w:bookmarkStart w:id="61726" w:name="_ETM_Q112_757090"/>
      <w:bookmarkEnd w:id="61726"/>
      <w:r>
        <w:rPr>
          <w:rFonts w:hint="cs"/>
          <w:rtl/>
        </w:rPr>
        <w:t xml:space="preserve">או </w:t>
      </w:r>
      <w:bookmarkStart w:id="61727" w:name="_ETM_Q112_757150"/>
      <w:bookmarkEnd w:id="61727"/>
      <w:r>
        <w:rPr>
          <w:rFonts w:hint="cs"/>
          <w:rtl/>
        </w:rPr>
        <w:t xml:space="preserve">בקהילות </w:t>
      </w:r>
      <w:bookmarkStart w:id="61728" w:name="_ETM_Q112_757540"/>
      <w:bookmarkStart w:id="61729" w:name="_ETM_Q112_757660"/>
      <w:bookmarkEnd w:id="61728"/>
      <w:bookmarkEnd w:id="61729"/>
      <w:r>
        <w:rPr>
          <w:rFonts w:hint="cs"/>
          <w:rtl/>
        </w:rPr>
        <w:t xml:space="preserve">דתיות. </w:t>
      </w:r>
      <w:bookmarkStart w:id="61730" w:name="_ETM_Q112_758599"/>
      <w:bookmarkEnd w:id="61730"/>
      <w:r>
        <w:rPr>
          <w:rFonts w:hint="cs"/>
          <w:rtl/>
        </w:rPr>
        <w:t xml:space="preserve">זה </w:t>
      </w:r>
      <w:bookmarkStart w:id="61731" w:name="_ETM_Q112_758809"/>
      <w:bookmarkEnd w:id="61731"/>
      <w:r>
        <w:rPr>
          <w:rFonts w:hint="cs"/>
          <w:rtl/>
        </w:rPr>
        <w:t xml:space="preserve">חלק </w:t>
      </w:r>
      <w:bookmarkStart w:id="61732" w:name="_ETM_Q112_759080"/>
      <w:bookmarkEnd w:id="61732"/>
      <w:r>
        <w:rPr>
          <w:rFonts w:hint="cs"/>
          <w:rtl/>
        </w:rPr>
        <w:t>מ</w:t>
      </w:r>
      <w:bookmarkStart w:id="61733" w:name="_ETM_Q112_759439"/>
      <w:bookmarkEnd w:id="61733"/>
      <w:r>
        <w:rPr>
          <w:rFonts w:hint="cs"/>
          <w:rtl/>
        </w:rPr>
        <w:t xml:space="preserve">איתנו, </w:t>
      </w:r>
      <w:bookmarkStart w:id="61734" w:name="_ETM_Q112_759740"/>
      <w:bookmarkEnd w:id="61734"/>
      <w:r>
        <w:rPr>
          <w:rFonts w:hint="cs"/>
          <w:rtl/>
        </w:rPr>
        <w:t xml:space="preserve">זה </w:t>
      </w:r>
      <w:bookmarkStart w:id="61735" w:name="_ETM_Q112_759860"/>
      <w:bookmarkEnd w:id="61735"/>
      <w:r>
        <w:rPr>
          <w:rFonts w:hint="cs"/>
          <w:rtl/>
        </w:rPr>
        <w:t xml:space="preserve">חלק </w:t>
      </w:r>
      <w:bookmarkStart w:id="61736" w:name="_ETM_Q112_760099"/>
      <w:bookmarkEnd w:id="61736"/>
      <w:r>
        <w:rPr>
          <w:rFonts w:hint="cs"/>
          <w:rtl/>
        </w:rPr>
        <w:t xml:space="preserve">מכולנו, </w:t>
      </w:r>
      <w:bookmarkStart w:id="61737" w:name="_ETM_Q112_761030"/>
      <w:bookmarkEnd w:id="61737"/>
      <w:r>
        <w:rPr>
          <w:rFonts w:hint="cs"/>
          <w:rtl/>
        </w:rPr>
        <w:t xml:space="preserve">זה </w:t>
      </w:r>
      <w:bookmarkStart w:id="61738" w:name="_ETM_Q112_761179"/>
      <w:bookmarkEnd w:id="61738"/>
      <w:r>
        <w:rPr>
          <w:rFonts w:hint="cs"/>
          <w:rtl/>
        </w:rPr>
        <w:t xml:space="preserve">חלק </w:t>
      </w:r>
      <w:bookmarkStart w:id="61739" w:name="_ETM_Q112_761479"/>
      <w:bookmarkEnd w:id="61739"/>
      <w:r>
        <w:rPr>
          <w:rFonts w:hint="cs"/>
          <w:rtl/>
        </w:rPr>
        <w:t xml:space="preserve">ממארג </w:t>
      </w:r>
      <w:bookmarkStart w:id="61740" w:name="_ETM_Q112_762139"/>
      <w:bookmarkEnd w:id="61740"/>
      <w:r>
        <w:rPr>
          <w:rFonts w:hint="cs"/>
          <w:rtl/>
        </w:rPr>
        <w:t xml:space="preserve">הערכים </w:t>
      </w:r>
      <w:bookmarkStart w:id="61741" w:name="_ETM_Q112_762650"/>
      <w:bookmarkEnd w:id="61741"/>
      <w:r>
        <w:rPr>
          <w:rFonts w:hint="cs"/>
          <w:rtl/>
        </w:rPr>
        <w:t xml:space="preserve">שכולנו </w:t>
      </w:r>
      <w:bookmarkStart w:id="61742" w:name="_ETM_Q112_763159"/>
      <w:bookmarkEnd w:id="61742"/>
      <w:r>
        <w:rPr>
          <w:rFonts w:hint="cs"/>
          <w:rtl/>
        </w:rPr>
        <w:t xml:space="preserve">פועלים </w:t>
      </w:r>
      <w:bookmarkStart w:id="61743" w:name="_ETM_Q112_763610"/>
      <w:bookmarkEnd w:id="61743"/>
      <w:r>
        <w:rPr>
          <w:rFonts w:hint="cs"/>
          <w:rtl/>
        </w:rPr>
        <w:t xml:space="preserve">לפיו, </w:t>
      </w:r>
      <w:bookmarkStart w:id="61744" w:name="_ETM_Q112_765020"/>
      <w:bookmarkStart w:id="61745" w:name="_ETM_Q112_765260"/>
      <w:bookmarkStart w:id="61746" w:name="_ETM_Q112_766190"/>
      <w:bookmarkEnd w:id="61744"/>
      <w:bookmarkEnd w:id="61745"/>
      <w:bookmarkEnd w:id="61746"/>
      <w:r>
        <w:rPr>
          <w:rFonts w:hint="cs"/>
          <w:rtl/>
        </w:rPr>
        <w:t xml:space="preserve">כל </w:t>
      </w:r>
      <w:bookmarkStart w:id="61747" w:name="_ETM_Q112_766340"/>
      <w:bookmarkEnd w:id="61747"/>
      <w:r>
        <w:rPr>
          <w:rFonts w:hint="cs"/>
          <w:rtl/>
        </w:rPr>
        <w:t xml:space="preserve">האזרחים </w:t>
      </w:r>
      <w:bookmarkStart w:id="61748" w:name="_ETM_Q112_766730"/>
      <w:bookmarkEnd w:id="61748"/>
      <w:r>
        <w:rPr>
          <w:rFonts w:hint="cs"/>
          <w:rtl/>
        </w:rPr>
        <w:t xml:space="preserve">היהודים </w:t>
      </w:r>
      <w:bookmarkStart w:id="61749" w:name="_ETM_Q112_767090"/>
      <w:bookmarkEnd w:id="61749"/>
      <w:r>
        <w:rPr>
          <w:rFonts w:hint="cs"/>
          <w:rtl/>
        </w:rPr>
        <w:t xml:space="preserve">של </w:t>
      </w:r>
      <w:bookmarkStart w:id="61750" w:name="_ETM_Q112_767240"/>
      <w:bookmarkEnd w:id="61750"/>
      <w:r>
        <w:rPr>
          <w:rFonts w:hint="cs"/>
          <w:rtl/>
        </w:rPr>
        <w:t>המדינה.</w:t>
      </w:r>
      <w:bookmarkStart w:id="61751" w:name="TOR_Q113"/>
      <w:bookmarkStart w:id="61752" w:name="_ETM_Q113_180000"/>
      <w:bookmarkEnd w:id="61751"/>
      <w:bookmarkEnd w:id="61752"/>
      <w:r w:rsidR="00D61D81">
        <w:rPr>
          <w:rFonts w:hint="cs"/>
          <w:rtl/>
        </w:rPr>
        <w:t xml:space="preserve"> </w:t>
      </w:r>
      <w:r>
        <w:rPr>
          <w:rFonts w:hint="cs"/>
          <w:rtl/>
          <w:lang w:eastAsia="he-IL"/>
        </w:rPr>
        <w:t xml:space="preserve">לא צריך להצהיר כל יום שאתה דתי כדי להיות יהודי, וזאת המדינה הזאת. כל מדינת ישראל נשמרת כמדינה </w:t>
      </w:r>
      <w:bookmarkStart w:id="61753" w:name="_ETM_Q113_180120"/>
      <w:bookmarkStart w:id="61754" w:name="_ETM_Q113_180390"/>
      <w:bookmarkStart w:id="61755" w:name="_ETM_Q113_180840"/>
      <w:bookmarkStart w:id="61756" w:name="_ETM_Q113_181439"/>
      <w:bookmarkStart w:id="61757" w:name="_ETM_Q113_181890"/>
      <w:bookmarkEnd w:id="61753"/>
      <w:bookmarkEnd w:id="61754"/>
      <w:bookmarkEnd w:id="61755"/>
      <w:bookmarkEnd w:id="61756"/>
      <w:bookmarkEnd w:id="61757"/>
      <w:r>
        <w:rPr>
          <w:rFonts w:hint="cs"/>
          <w:rtl/>
        </w:rPr>
        <w:t xml:space="preserve">יהודית </w:t>
      </w:r>
      <w:bookmarkStart w:id="61758" w:name="_ETM_Q113_182429"/>
      <w:bookmarkEnd w:id="61758"/>
      <w:r>
        <w:rPr>
          <w:rFonts w:hint="cs"/>
          <w:rtl/>
        </w:rPr>
        <w:t xml:space="preserve">ודמוקרטית, </w:t>
      </w:r>
      <w:bookmarkStart w:id="61759" w:name="_ETM_Q113_183870"/>
      <w:bookmarkEnd w:id="61759"/>
      <w:r>
        <w:rPr>
          <w:rFonts w:hint="cs"/>
          <w:rtl/>
        </w:rPr>
        <w:t xml:space="preserve">זה </w:t>
      </w:r>
      <w:bookmarkStart w:id="61760" w:name="_ETM_Q113_184109"/>
      <w:bookmarkEnd w:id="61760"/>
      <w:r>
        <w:rPr>
          <w:rFonts w:hint="cs"/>
          <w:rtl/>
        </w:rPr>
        <w:t xml:space="preserve">רק </w:t>
      </w:r>
      <w:bookmarkStart w:id="61761" w:name="_ETM_Q113_184259"/>
      <w:bookmarkEnd w:id="61761"/>
      <w:r>
        <w:rPr>
          <w:rFonts w:hint="cs"/>
          <w:rtl/>
        </w:rPr>
        <w:t xml:space="preserve">מחזק </w:t>
      </w:r>
      <w:bookmarkStart w:id="61762" w:name="_ETM_Q113_184799"/>
      <w:bookmarkEnd w:id="61762"/>
      <w:r>
        <w:rPr>
          <w:rFonts w:hint="cs"/>
          <w:rtl/>
        </w:rPr>
        <w:t xml:space="preserve">גם </w:t>
      </w:r>
      <w:bookmarkStart w:id="61763" w:name="_ETM_Q113_185009"/>
      <w:bookmarkEnd w:id="61763"/>
      <w:r>
        <w:rPr>
          <w:rFonts w:hint="cs"/>
          <w:rtl/>
        </w:rPr>
        <w:t xml:space="preserve">את </w:t>
      </w:r>
      <w:bookmarkStart w:id="61764" w:name="_ETM_Q113_185100"/>
      <w:bookmarkEnd w:id="61764"/>
      <w:r>
        <w:rPr>
          <w:rFonts w:hint="cs"/>
          <w:rtl/>
        </w:rPr>
        <w:t xml:space="preserve">זה </w:t>
      </w:r>
      <w:bookmarkStart w:id="61765" w:name="_ETM_Q113_185430"/>
      <w:bookmarkEnd w:id="61765"/>
      <w:r>
        <w:rPr>
          <w:rFonts w:hint="cs"/>
          <w:rtl/>
        </w:rPr>
        <w:t xml:space="preserve">וגם </w:t>
      </w:r>
      <w:bookmarkStart w:id="61766" w:name="_ETM_Q113_185759"/>
      <w:bookmarkEnd w:id="61766"/>
      <w:r>
        <w:rPr>
          <w:rFonts w:hint="cs"/>
          <w:rtl/>
        </w:rPr>
        <w:t xml:space="preserve">את </w:t>
      </w:r>
      <w:bookmarkStart w:id="61767" w:name="_ETM_Q113_185849"/>
      <w:bookmarkEnd w:id="61767"/>
      <w:r>
        <w:rPr>
          <w:rFonts w:hint="cs"/>
          <w:rtl/>
        </w:rPr>
        <w:t xml:space="preserve">זה. </w:t>
      </w:r>
      <w:bookmarkStart w:id="61768" w:name="_ETM_Q113_186440"/>
      <w:bookmarkEnd w:id="61768"/>
    </w:p>
    <w:p w:rsidR="00D61D81" w:rsidRDefault="00D61D81" w:rsidP="00D61D81">
      <w:pPr>
        <w:rPr>
          <w:rtl/>
        </w:rPr>
      </w:pPr>
    </w:p>
    <w:p w:rsidR="00BB59CD" w:rsidRDefault="00BB59CD" w:rsidP="00D61D81">
      <w:pPr>
        <w:rPr>
          <w:rtl/>
        </w:rPr>
      </w:pPr>
      <w:r>
        <w:rPr>
          <w:rFonts w:hint="cs"/>
          <w:rtl/>
        </w:rPr>
        <w:t xml:space="preserve">הדמוקרטיה </w:t>
      </w:r>
      <w:bookmarkStart w:id="61769" w:name="_ETM_Q113_187700"/>
      <w:bookmarkEnd w:id="61769"/>
      <w:r>
        <w:rPr>
          <w:rFonts w:hint="cs"/>
          <w:rtl/>
        </w:rPr>
        <w:t xml:space="preserve">היא </w:t>
      </w:r>
      <w:bookmarkStart w:id="61770" w:name="_ETM_Q113_188000"/>
      <w:bookmarkEnd w:id="61770"/>
      <w:r>
        <w:rPr>
          <w:rFonts w:hint="cs"/>
          <w:rtl/>
        </w:rPr>
        <w:t xml:space="preserve">המודרניזציה, </w:t>
      </w:r>
      <w:bookmarkStart w:id="61771" w:name="_ETM_Q113_189200"/>
      <w:bookmarkEnd w:id="61771"/>
      <w:r>
        <w:rPr>
          <w:rFonts w:hint="cs"/>
          <w:rtl/>
        </w:rPr>
        <w:t xml:space="preserve">והפלטפורמה </w:t>
      </w:r>
      <w:bookmarkStart w:id="61772" w:name="_ETM_Q113_190490"/>
      <w:bookmarkEnd w:id="61772"/>
      <w:r>
        <w:rPr>
          <w:rFonts w:hint="cs"/>
          <w:rtl/>
        </w:rPr>
        <w:t xml:space="preserve">והלגיטימציה </w:t>
      </w:r>
      <w:bookmarkStart w:id="61773" w:name="_ETM_Q113_191869"/>
      <w:bookmarkEnd w:id="61773"/>
      <w:r>
        <w:rPr>
          <w:rFonts w:hint="cs"/>
          <w:rtl/>
        </w:rPr>
        <w:t xml:space="preserve">שניתנת </w:t>
      </w:r>
      <w:bookmarkStart w:id="61774" w:name="_ETM_Q113_192379"/>
      <w:bookmarkEnd w:id="61774"/>
      <w:r>
        <w:rPr>
          <w:rFonts w:hint="cs"/>
          <w:rtl/>
        </w:rPr>
        <w:t xml:space="preserve">למדינה </w:t>
      </w:r>
      <w:bookmarkStart w:id="61775" w:name="_ETM_Q113_192860"/>
      <w:bookmarkEnd w:id="61775"/>
      <w:r>
        <w:rPr>
          <w:rFonts w:hint="cs"/>
          <w:rtl/>
        </w:rPr>
        <w:t xml:space="preserve">שלנו </w:t>
      </w:r>
      <w:bookmarkStart w:id="61776" w:name="_ETM_Q113_193490"/>
      <w:bookmarkEnd w:id="61776"/>
      <w:r>
        <w:rPr>
          <w:rFonts w:hint="cs"/>
          <w:rtl/>
        </w:rPr>
        <w:t xml:space="preserve">כדי </w:t>
      </w:r>
      <w:bookmarkStart w:id="61777" w:name="_ETM_Q113_193910"/>
      <w:bookmarkEnd w:id="61777"/>
      <w:r>
        <w:rPr>
          <w:rFonts w:hint="cs"/>
          <w:rtl/>
        </w:rPr>
        <w:t xml:space="preserve">להיות </w:t>
      </w:r>
      <w:bookmarkStart w:id="61778" w:name="_ETM_Q113_194180"/>
      <w:bookmarkEnd w:id="61778"/>
      <w:r>
        <w:rPr>
          <w:rFonts w:hint="cs"/>
          <w:rtl/>
        </w:rPr>
        <w:t xml:space="preserve">מדינה </w:t>
      </w:r>
      <w:bookmarkStart w:id="61779" w:name="_ETM_Q113_194539"/>
      <w:bookmarkEnd w:id="61779"/>
      <w:r>
        <w:rPr>
          <w:rFonts w:hint="cs"/>
          <w:rtl/>
        </w:rPr>
        <w:t xml:space="preserve">יהודית. </w:t>
      </w:r>
      <w:bookmarkStart w:id="61780" w:name="_ETM_Q113_195260"/>
      <w:bookmarkStart w:id="61781" w:name="_ETM_Q113_202267"/>
      <w:bookmarkStart w:id="61782" w:name="_ETM_Q113_202307"/>
      <w:bookmarkStart w:id="61783" w:name="_ETM_Q113_202474"/>
      <w:bookmarkStart w:id="61784" w:name="_ETM_Q113_202507"/>
      <w:bookmarkEnd w:id="61780"/>
      <w:bookmarkEnd w:id="61781"/>
      <w:bookmarkEnd w:id="61782"/>
      <w:bookmarkEnd w:id="61783"/>
      <w:bookmarkEnd w:id="61784"/>
      <w:r>
        <w:rPr>
          <w:rFonts w:hint="cs"/>
          <w:rtl/>
        </w:rPr>
        <w:t xml:space="preserve">הרי </w:t>
      </w:r>
      <w:bookmarkStart w:id="61785" w:name="_ETM_Q113_196607"/>
      <w:bookmarkEnd w:id="61785"/>
      <w:r>
        <w:rPr>
          <w:rFonts w:hint="cs"/>
          <w:rtl/>
        </w:rPr>
        <w:t xml:space="preserve">אם </w:t>
      </w:r>
      <w:bookmarkStart w:id="61786" w:name="_ETM_Q113_195590"/>
      <w:bookmarkEnd w:id="61786"/>
      <w:r>
        <w:rPr>
          <w:rFonts w:hint="cs"/>
          <w:rtl/>
        </w:rPr>
        <w:t xml:space="preserve">נהיה </w:t>
      </w:r>
      <w:bookmarkStart w:id="61787" w:name="_ETM_Q113_195860"/>
      <w:bookmarkEnd w:id="61787"/>
      <w:r>
        <w:rPr>
          <w:rFonts w:hint="cs"/>
          <w:rtl/>
        </w:rPr>
        <w:t xml:space="preserve">רק </w:t>
      </w:r>
      <w:bookmarkStart w:id="61788" w:name="_ETM_Q113_196190"/>
      <w:bookmarkEnd w:id="61788"/>
      <w:r>
        <w:rPr>
          <w:rFonts w:hint="cs"/>
          <w:rtl/>
        </w:rPr>
        <w:t xml:space="preserve">מדינה </w:t>
      </w:r>
      <w:bookmarkStart w:id="61789" w:name="_ETM_Q113_196579"/>
      <w:bookmarkEnd w:id="61789"/>
      <w:r>
        <w:rPr>
          <w:rFonts w:hint="cs"/>
          <w:rtl/>
        </w:rPr>
        <w:t>יהודית תיאוקרטית ול</w:t>
      </w:r>
      <w:bookmarkStart w:id="61790" w:name="_ETM_Q113_197060"/>
      <w:bookmarkStart w:id="61791" w:name="_ETM_Q113_197690"/>
      <w:bookmarkEnd w:id="61790"/>
      <w:bookmarkEnd w:id="61791"/>
      <w:r>
        <w:rPr>
          <w:rFonts w:hint="cs"/>
          <w:rtl/>
        </w:rPr>
        <w:t xml:space="preserve">א </w:t>
      </w:r>
      <w:bookmarkStart w:id="61792" w:name="_ETM_Q113_197900"/>
      <w:bookmarkEnd w:id="61792"/>
      <w:r>
        <w:rPr>
          <w:rFonts w:hint="cs"/>
          <w:rtl/>
        </w:rPr>
        <w:t xml:space="preserve">דמוקרטית, </w:t>
      </w:r>
      <w:bookmarkStart w:id="61793" w:name="_ETM_Q113_199470"/>
      <w:bookmarkEnd w:id="61793"/>
      <w:r>
        <w:rPr>
          <w:rFonts w:hint="cs"/>
          <w:rtl/>
        </w:rPr>
        <w:t xml:space="preserve">מדינת </w:t>
      </w:r>
      <w:bookmarkStart w:id="61794" w:name="_ETM_Q113_199800"/>
      <w:bookmarkEnd w:id="61794"/>
      <w:r>
        <w:rPr>
          <w:rFonts w:hint="cs"/>
          <w:rtl/>
        </w:rPr>
        <w:t xml:space="preserve">ישראל </w:t>
      </w:r>
      <w:bookmarkStart w:id="61795" w:name="_ETM_Q113_200190"/>
      <w:bookmarkEnd w:id="61795"/>
      <w:r>
        <w:rPr>
          <w:rFonts w:hint="cs"/>
          <w:rtl/>
        </w:rPr>
        <w:t xml:space="preserve">לא </w:t>
      </w:r>
      <w:bookmarkStart w:id="61796" w:name="_ETM_Q113_200340"/>
      <w:bookmarkEnd w:id="61796"/>
      <w:r>
        <w:rPr>
          <w:rFonts w:hint="cs"/>
          <w:rtl/>
        </w:rPr>
        <w:t xml:space="preserve">תהיה </w:t>
      </w:r>
      <w:bookmarkStart w:id="61797" w:name="_ETM_Q113_200610"/>
      <w:bookmarkEnd w:id="61797"/>
      <w:r>
        <w:rPr>
          <w:rFonts w:hint="cs"/>
          <w:rtl/>
        </w:rPr>
        <w:t xml:space="preserve">במקום </w:t>
      </w:r>
      <w:bookmarkStart w:id="61798" w:name="_ETM_Q113_201000"/>
      <w:bookmarkEnd w:id="61798"/>
      <w:r>
        <w:rPr>
          <w:rFonts w:hint="cs"/>
          <w:rtl/>
        </w:rPr>
        <w:t xml:space="preserve">שהיא </w:t>
      </w:r>
      <w:bookmarkStart w:id="61799" w:name="_ETM_Q113_201150"/>
      <w:bookmarkEnd w:id="61799"/>
      <w:r>
        <w:rPr>
          <w:rFonts w:hint="cs"/>
          <w:rtl/>
        </w:rPr>
        <w:t xml:space="preserve">נמצאת </w:t>
      </w:r>
      <w:bookmarkStart w:id="61800" w:name="_ETM_Q113_201480"/>
      <w:bookmarkEnd w:id="61800"/>
      <w:r>
        <w:rPr>
          <w:rFonts w:hint="cs"/>
          <w:rtl/>
        </w:rPr>
        <w:t xml:space="preserve">בו </w:t>
      </w:r>
      <w:bookmarkStart w:id="61801" w:name="_ETM_Q113_201600"/>
      <w:bookmarkEnd w:id="61801"/>
      <w:r>
        <w:rPr>
          <w:rFonts w:hint="cs"/>
          <w:rtl/>
        </w:rPr>
        <w:t xml:space="preserve">בעולם, </w:t>
      </w:r>
      <w:bookmarkStart w:id="61802" w:name="_ETM_Q113_202440"/>
      <w:bookmarkEnd w:id="61802"/>
      <w:r>
        <w:rPr>
          <w:rFonts w:hint="cs"/>
          <w:rtl/>
        </w:rPr>
        <w:t xml:space="preserve">לא </w:t>
      </w:r>
      <w:bookmarkStart w:id="61803" w:name="_ETM_Q113_202650"/>
      <w:bookmarkEnd w:id="61803"/>
      <w:r>
        <w:rPr>
          <w:rFonts w:hint="cs"/>
          <w:rtl/>
        </w:rPr>
        <w:t xml:space="preserve">כלכלית, </w:t>
      </w:r>
      <w:bookmarkStart w:id="61804" w:name="_ETM_Q113_203579"/>
      <w:bookmarkEnd w:id="61804"/>
      <w:r>
        <w:rPr>
          <w:rFonts w:hint="cs"/>
          <w:rtl/>
        </w:rPr>
        <w:t xml:space="preserve">לא </w:t>
      </w:r>
      <w:bookmarkStart w:id="61805" w:name="_ETM_Q113_203760"/>
      <w:bookmarkEnd w:id="61805"/>
      <w:r>
        <w:rPr>
          <w:rFonts w:hint="cs"/>
          <w:rtl/>
        </w:rPr>
        <w:t xml:space="preserve">חברתית, </w:t>
      </w:r>
      <w:bookmarkStart w:id="61806" w:name="_ETM_Q113_204510"/>
      <w:bookmarkEnd w:id="61806"/>
      <w:r>
        <w:rPr>
          <w:rFonts w:hint="cs"/>
          <w:rtl/>
        </w:rPr>
        <w:t xml:space="preserve">לא </w:t>
      </w:r>
      <w:bookmarkStart w:id="61807" w:name="_ETM_Q113_204660"/>
      <w:bookmarkEnd w:id="61807"/>
      <w:r>
        <w:rPr>
          <w:rFonts w:hint="cs"/>
          <w:rtl/>
        </w:rPr>
        <w:t xml:space="preserve">תרבותית, </w:t>
      </w:r>
      <w:bookmarkStart w:id="61808" w:name="_ETM_Q113_205669"/>
      <w:bookmarkEnd w:id="61808"/>
      <w:r>
        <w:rPr>
          <w:rFonts w:hint="cs"/>
          <w:rtl/>
        </w:rPr>
        <w:t xml:space="preserve">לא </w:t>
      </w:r>
      <w:bookmarkStart w:id="61809" w:name="_ETM_Q113_205820"/>
      <w:bookmarkEnd w:id="61809"/>
      <w:r>
        <w:rPr>
          <w:rFonts w:hint="cs"/>
          <w:rtl/>
        </w:rPr>
        <w:t xml:space="preserve">ביטחונית. </w:t>
      </w:r>
      <w:bookmarkStart w:id="61810" w:name="_ETM_Q113_207490"/>
      <w:bookmarkEnd w:id="61810"/>
      <w:r>
        <w:rPr>
          <w:rFonts w:hint="cs"/>
          <w:rtl/>
        </w:rPr>
        <w:t xml:space="preserve">וזו </w:t>
      </w:r>
      <w:bookmarkStart w:id="61811" w:name="_ETM_Q113_207789"/>
      <w:bookmarkStart w:id="61812" w:name="_ETM_Q113_208270"/>
      <w:bookmarkStart w:id="61813" w:name="_ETM_Q113_208420"/>
      <w:bookmarkStart w:id="61814" w:name="_ETM_Q113_208750"/>
      <w:bookmarkEnd w:id="61811"/>
      <w:bookmarkEnd w:id="61812"/>
      <w:bookmarkEnd w:id="61813"/>
      <w:bookmarkEnd w:id="61814"/>
      <w:r>
        <w:rPr>
          <w:rFonts w:hint="cs"/>
          <w:rtl/>
        </w:rPr>
        <w:t xml:space="preserve">הגדולה </w:t>
      </w:r>
      <w:bookmarkStart w:id="61815" w:name="_ETM_Q113_209170"/>
      <w:bookmarkEnd w:id="61815"/>
      <w:r>
        <w:rPr>
          <w:rFonts w:hint="cs"/>
          <w:rtl/>
        </w:rPr>
        <w:t xml:space="preserve">של </w:t>
      </w:r>
      <w:bookmarkStart w:id="61816" w:name="_ETM_Q113_209350"/>
      <w:bookmarkEnd w:id="61816"/>
      <w:r>
        <w:rPr>
          <w:rFonts w:hint="cs"/>
          <w:rtl/>
        </w:rPr>
        <w:t xml:space="preserve">הרעיון </w:t>
      </w:r>
      <w:bookmarkStart w:id="61817" w:name="_ETM_Q113_209710"/>
      <w:bookmarkEnd w:id="61817"/>
      <w:r>
        <w:rPr>
          <w:rFonts w:hint="cs"/>
          <w:rtl/>
        </w:rPr>
        <w:t xml:space="preserve">הזה. </w:t>
      </w:r>
      <w:bookmarkStart w:id="61818" w:name="_ETM_Q113_211210"/>
      <w:bookmarkEnd w:id="61818"/>
      <w:r>
        <w:rPr>
          <w:rFonts w:hint="cs"/>
          <w:rtl/>
        </w:rPr>
        <w:t xml:space="preserve">צריך </w:t>
      </w:r>
      <w:bookmarkStart w:id="61819" w:name="_ETM_Q113_211509"/>
      <w:bookmarkEnd w:id="61819"/>
      <w:r>
        <w:rPr>
          <w:rFonts w:hint="cs"/>
          <w:rtl/>
        </w:rPr>
        <w:t xml:space="preserve">לפעמים </w:t>
      </w:r>
      <w:bookmarkStart w:id="61820" w:name="_ETM_Q113_211779"/>
      <w:bookmarkEnd w:id="61820"/>
      <w:r>
        <w:rPr>
          <w:rFonts w:hint="cs"/>
          <w:rtl/>
        </w:rPr>
        <w:t xml:space="preserve">להגיע </w:t>
      </w:r>
      <w:bookmarkStart w:id="61821" w:name="_ETM_Q113_212110"/>
      <w:bookmarkEnd w:id="61821"/>
      <w:r>
        <w:rPr>
          <w:rFonts w:hint="cs"/>
          <w:rtl/>
        </w:rPr>
        <w:t xml:space="preserve">למשבר </w:t>
      </w:r>
      <w:bookmarkStart w:id="61822" w:name="_ETM_Q113_212530"/>
      <w:bookmarkEnd w:id="61822"/>
      <w:r>
        <w:rPr>
          <w:rFonts w:hint="cs"/>
          <w:rtl/>
        </w:rPr>
        <w:t xml:space="preserve">כזה </w:t>
      </w:r>
      <w:bookmarkStart w:id="61823" w:name="_ETM_Q113_212800"/>
      <w:bookmarkEnd w:id="61823"/>
      <w:r>
        <w:rPr>
          <w:rFonts w:hint="cs"/>
          <w:rtl/>
        </w:rPr>
        <w:t xml:space="preserve">בשביל </w:t>
      </w:r>
      <w:bookmarkStart w:id="61824" w:name="_ETM_Q113_213070"/>
      <w:bookmarkEnd w:id="61824"/>
      <w:r>
        <w:rPr>
          <w:rFonts w:hint="cs"/>
          <w:rtl/>
        </w:rPr>
        <w:t xml:space="preserve">להיזכר </w:t>
      </w:r>
      <w:bookmarkStart w:id="61825" w:name="_ETM_Q113_213610"/>
      <w:bookmarkEnd w:id="61825"/>
      <w:r>
        <w:rPr>
          <w:rFonts w:hint="cs"/>
          <w:rtl/>
        </w:rPr>
        <w:t xml:space="preserve">מה </w:t>
      </w:r>
      <w:bookmarkStart w:id="61826" w:name="_ETM_Q113_213789"/>
      <w:bookmarkEnd w:id="61826"/>
      <w:r>
        <w:rPr>
          <w:rFonts w:hint="cs"/>
          <w:rtl/>
        </w:rPr>
        <w:t xml:space="preserve">הגדולה </w:t>
      </w:r>
      <w:bookmarkStart w:id="61827" w:name="_ETM_Q113_214120"/>
      <w:bookmarkEnd w:id="61827"/>
      <w:r>
        <w:rPr>
          <w:rFonts w:hint="cs"/>
          <w:rtl/>
        </w:rPr>
        <w:t xml:space="preserve">של </w:t>
      </w:r>
      <w:bookmarkStart w:id="61828" w:name="_ETM_Q113_214300"/>
      <w:bookmarkEnd w:id="61828"/>
      <w:r>
        <w:rPr>
          <w:rFonts w:hint="cs"/>
          <w:rtl/>
        </w:rPr>
        <w:t xml:space="preserve">הרעיון </w:t>
      </w:r>
      <w:bookmarkStart w:id="61829" w:name="_ETM_Q113_214510"/>
      <w:bookmarkEnd w:id="61829"/>
      <w:r>
        <w:rPr>
          <w:rFonts w:hint="cs"/>
          <w:rtl/>
        </w:rPr>
        <w:t xml:space="preserve">הזה. </w:t>
      </w:r>
      <w:bookmarkStart w:id="61830" w:name="_ETM_Q113_214659"/>
      <w:bookmarkEnd w:id="61830"/>
      <w:r>
        <w:rPr>
          <w:rFonts w:hint="cs"/>
          <w:rtl/>
        </w:rPr>
        <w:t xml:space="preserve">זה </w:t>
      </w:r>
      <w:bookmarkStart w:id="61831" w:name="_ETM_Q113_214809"/>
      <w:bookmarkEnd w:id="61831"/>
      <w:r>
        <w:rPr>
          <w:rFonts w:hint="cs"/>
          <w:rtl/>
        </w:rPr>
        <w:t xml:space="preserve">לא </w:t>
      </w:r>
      <w:bookmarkStart w:id="61832" w:name="_ETM_Q113_214930"/>
      <w:bookmarkEnd w:id="61832"/>
      <w:r>
        <w:rPr>
          <w:rFonts w:hint="cs"/>
          <w:rtl/>
        </w:rPr>
        <w:t xml:space="preserve">סתם. וי"ו החיבור </w:t>
      </w:r>
      <w:bookmarkStart w:id="61833" w:name="_ETM_Q113_215739"/>
      <w:bookmarkStart w:id="61834" w:name="_ETM_Q113_216100"/>
      <w:bookmarkStart w:id="61835" w:name="_ETM_Q113_216579"/>
      <w:bookmarkEnd w:id="61833"/>
      <w:bookmarkEnd w:id="61834"/>
      <w:bookmarkEnd w:id="61835"/>
      <w:r>
        <w:rPr>
          <w:rFonts w:hint="cs"/>
          <w:rtl/>
        </w:rPr>
        <w:t xml:space="preserve">שעליה </w:t>
      </w:r>
      <w:bookmarkStart w:id="61836" w:name="_ETM_Q113_216909"/>
      <w:bookmarkEnd w:id="61836"/>
      <w:r>
        <w:rPr>
          <w:rFonts w:hint="cs"/>
          <w:rtl/>
        </w:rPr>
        <w:t xml:space="preserve">מדבר </w:t>
      </w:r>
      <w:bookmarkStart w:id="61837" w:name="_ETM_Q113_217269"/>
      <w:bookmarkEnd w:id="61837"/>
      <w:r>
        <w:rPr>
          <w:rFonts w:hint="cs"/>
          <w:rtl/>
        </w:rPr>
        <w:t xml:space="preserve">השופט </w:t>
      </w:r>
      <w:bookmarkStart w:id="61838" w:name="_ETM_Q113_217629"/>
      <w:bookmarkEnd w:id="61838"/>
      <w:r>
        <w:rPr>
          <w:rFonts w:hint="cs"/>
          <w:rtl/>
        </w:rPr>
        <w:t xml:space="preserve">חיים </w:t>
      </w:r>
      <w:bookmarkStart w:id="61839" w:name="_ETM_Q113_217930"/>
      <w:bookmarkEnd w:id="61839"/>
      <w:r>
        <w:rPr>
          <w:rFonts w:hint="cs"/>
          <w:rtl/>
        </w:rPr>
        <w:t xml:space="preserve">כהן, </w:t>
      </w:r>
      <w:bookmarkStart w:id="61840" w:name="_ETM_Q113_218570"/>
      <w:bookmarkEnd w:id="61840"/>
      <w:r>
        <w:rPr>
          <w:rFonts w:hint="cs"/>
          <w:rtl/>
        </w:rPr>
        <w:t xml:space="preserve">היא </w:t>
      </w:r>
      <w:bookmarkStart w:id="61841" w:name="_ETM_Q113_218750"/>
      <w:bookmarkEnd w:id="61841"/>
      <w:r>
        <w:rPr>
          <w:rFonts w:hint="cs"/>
          <w:rtl/>
        </w:rPr>
        <w:t xml:space="preserve">בין </w:t>
      </w:r>
      <w:bookmarkStart w:id="61842" w:name="_ETM_Q113_218930"/>
      <w:bookmarkEnd w:id="61842"/>
      <w:r>
        <w:rPr>
          <w:rFonts w:hint="cs"/>
          <w:rtl/>
        </w:rPr>
        <w:t>ה"יהודית" ל</w:t>
      </w:r>
      <w:bookmarkStart w:id="61843" w:name="_ETM_Q113_219409"/>
      <w:bookmarkEnd w:id="61843"/>
      <w:r>
        <w:rPr>
          <w:rFonts w:hint="cs"/>
          <w:rtl/>
        </w:rPr>
        <w:t xml:space="preserve">"דמוקרטית". </w:t>
      </w:r>
      <w:bookmarkStart w:id="61844" w:name="_ETM_Q113_220850"/>
      <w:bookmarkEnd w:id="61844"/>
      <w:r>
        <w:rPr>
          <w:rFonts w:hint="cs"/>
          <w:rtl/>
        </w:rPr>
        <w:t xml:space="preserve">אפשר </w:t>
      </w:r>
      <w:bookmarkStart w:id="61845" w:name="_ETM_Q113_221210"/>
      <w:bookmarkEnd w:id="61845"/>
      <w:r>
        <w:rPr>
          <w:rFonts w:hint="cs"/>
          <w:rtl/>
        </w:rPr>
        <w:t xml:space="preserve">"יהודית" </w:t>
      </w:r>
      <w:bookmarkStart w:id="61846" w:name="_ETM_Q113_221600"/>
      <w:bookmarkEnd w:id="61846"/>
      <w:r>
        <w:rPr>
          <w:rFonts w:hint="cs"/>
          <w:rtl/>
        </w:rPr>
        <w:t xml:space="preserve">בלי </w:t>
      </w:r>
      <w:bookmarkStart w:id="61847" w:name="_ETM_Q113_221750"/>
      <w:bookmarkEnd w:id="61847"/>
      <w:r>
        <w:rPr>
          <w:rFonts w:hint="cs"/>
          <w:rtl/>
        </w:rPr>
        <w:t xml:space="preserve">"דמוקרטית", אפשר "דמוקרטית" </w:t>
      </w:r>
      <w:bookmarkStart w:id="61848" w:name="_ETM_Q113_225499"/>
      <w:bookmarkEnd w:id="61848"/>
      <w:r>
        <w:rPr>
          <w:rFonts w:hint="cs"/>
          <w:rtl/>
        </w:rPr>
        <w:t xml:space="preserve">בלי "יהודית", </w:t>
      </w:r>
      <w:bookmarkStart w:id="61849" w:name="_ETM_Q113_222620"/>
      <w:bookmarkStart w:id="61850" w:name="_ETM_Q113_223430"/>
      <w:bookmarkStart w:id="61851" w:name="_ETM_Q113_224329"/>
      <w:bookmarkEnd w:id="61849"/>
      <w:bookmarkEnd w:id="61850"/>
      <w:bookmarkEnd w:id="61851"/>
      <w:r>
        <w:rPr>
          <w:rFonts w:hint="cs"/>
          <w:rtl/>
        </w:rPr>
        <w:t xml:space="preserve">אבל </w:t>
      </w:r>
      <w:bookmarkStart w:id="61852" w:name="_ETM_Q113_224630"/>
      <w:bookmarkEnd w:id="61852"/>
      <w:r>
        <w:rPr>
          <w:rFonts w:hint="cs"/>
          <w:rtl/>
        </w:rPr>
        <w:t xml:space="preserve">הן </w:t>
      </w:r>
      <w:bookmarkStart w:id="61853" w:name="_ETM_Q113_224750"/>
      <w:bookmarkEnd w:id="61853"/>
      <w:r>
        <w:rPr>
          <w:rFonts w:hint="cs"/>
          <w:rtl/>
        </w:rPr>
        <w:t xml:space="preserve">הרבה </w:t>
      </w:r>
      <w:bookmarkStart w:id="61854" w:name="_ETM_Q113_225140"/>
      <w:bookmarkEnd w:id="61854"/>
      <w:r>
        <w:rPr>
          <w:rFonts w:hint="cs"/>
          <w:rtl/>
        </w:rPr>
        <w:t xml:space="preserve">יותר </w:t>
      </w:r>
      <w:bookmarkStart w:id="61855" w:name="_ETM_Q113_225380"/>
      <w:bookmarkEnd w:id="61855"/>
      <w:r>
        <w:rPr>
          <w:rFonts w:hint="cs"/>
          <w:rtl/>
        </w:rPr>
        <w:t xml:space="preserve">טובות </w:t>
      </w:r>
      <w:bookmarkStart w:id="61856" w:name="_ETM_Q113_225800"/>
      <w:bookmarkEnd w:id="61856"/>
      <w:r>
        <w:rPr>
          <w:rFonts w:hint="cs"/>
          <w:rtl/>
        </w:rPr>
        <w:t xml:space="preserve">במצרפיות. הן הרבה יותר טובות ביחד. </w:t>
      </w:r>
      <w:bookmarkStart w:id="61857" w:name="_ETM_Q113_227059"/>
      <w:bookmarkStart w:id="61858" w:name="_ETM_Q113_227269"/>
      <w:bookmarkStart w:id="61859" w:name="_ETM_Q113_227569"/>
      <w:bookmarkStart w:id="61860" w:name="_ETM_Q113_227809"/>
      <w:bookmarkStart w:id="61861" w:name="_ETM_Q113_228140"/>
      <w:bookmarkStart w:id="61862" w:name="_ETM_Q113_229129"/>
      <w:bookmarkStart w:id="61863" w:name="_ETM_Q113_231938"/>
      <w:bookmarkStart w:id="61864" w:name="_ETM_Q113_231987"/>
      <w:bookmarkStart w:id="61865" w:name="_ETM_Q113_232069"/>
      <w:bookmarkStart w:id="61866" w:name="_ETM_Q113_232110"/>
      <w:bookmarkEnd w:id="61857"/>
      <w:bookmarkEnd w:id="61858"/>
      <w:bookmarkEnd w:id="61859"/>
      <w:bookmarkEnd w:id="61860"/>
      <w:bookmarkEnd w:id="61861"/>
      <w:bookmarkEnd w:id="61862"/>
      <w:bookmarkEnd w:id="61863"/>
      <w:bookmarkEnd w:id="61864"/>
      <w:bookmarkEnd w:id="61865"/>
      <w:bookmarkEnd w:id="61866"/>
      <w:r>
        <w:rPr>
          <w:rFonts w:hint="cs"/>
          <w:rtl/>
        </w:rPr>
        <w:t xml:space="preserve">הערך </w:t>
      </w:r>
      <w:bookmarkStart w:id="61867" w:name="_ETM_Q113_229519"/>
      <w:bookmarkEnd w:id="61867"/>
      <w:r>
        <w:rPr>
          <w:rFonts w:hint="cs"/>
          <w:rtl/>
        </w:rPr>
        <w:t xml:space="preserve">המצרפי </w:t>
      </w:r>
      <w:bookmarkStart w:id="61868" w:name="_ETM_Q113_230089"/>
      <w:bookmarkEnd w:id="61868"/>
      <w:r>
        <w:rPr>
          <w:rFonts w:hint="cs"/>
          <w:rtl/>
        </w:rPr>
        <w:t xml:space="preserve">של </w:t>
      </w:r>
      <w:bookmarkStart w:id="61869" w:name="_ETM_Q113_230239"/>
      <w:bookmarkEnd w:id="61869"/>
      <w:r>
        <w:rPr>
          <w:rFonts w:hint="cs"/>
          <w:rtl/>
        </w:rPr>
        <w:t xml:space="preserve">"יהודית" </w:t>
      </w:r>
      <w:bookmarkStart w:id="61870" w:name="_ETM_Q113_230569"/>
      <w:bookmarkEnd w:id="61870"/>
      <w:r>
        <w:rPr>
          <w:rFonts w:hint="cs"/>
          <w:rtl/>
        </w:rPr>
        <w:t xml:space="preserve">ו"דמוקרטית" </w:t>
      </w:r>
      <w:bookmarkStart w:id="61871" w:name="_ETM_Q113_231600"/>
      <w:bookmarkEnd w:id="61871"/>
      <w:r>
        <w:rPr>
          <w:rFonts w:hint="cs"/>
          <w:rtl/>
        </w:rPr>
        <w:t xml:space="preserve">תורם </w:t>
      </w:r>
      <w:bookmarkStart w:id="61872" w:name="_ETM_Q113_232550"/>
      <w:bookmarkEnd w:id="61872"/>
      <w:r>
        <w:rPr>
          <w:rFonts w:hint="cs"/>
          <w:rtl/>
        </w:rPr>
        <w:t xml:space="preserve">לכולם, </w:t>
      </w:r>
      <w:bookmarkStart w:id="61873" w:name="_ETM_Q113_233890"/>
      <w:bookmarkEnd w:id="61873"/>
      <w:r>
        <w:rPr>
          <w:rFonts w:hint="cs"/>
          <w:rtl/>
        </w:rPr>
        <w:t xml:space="preserve">גם </w:t>
      </w:r>
      <w:bookmarkStart w:id="61874" w:name="_ETM_Q113_234190"/>
      <w:bookmarkEnd w:id="61874"/>
      <w:r>
        <w:rPr>
          <w:rFonts w:hint="cs"/>
          <w:rtl/>
        </w:rPr>
        <w:t xml:space="preserve">לאלה </w:t>
      </w:r>
      <w:bookmarkStart w:id="61875" w:name="_ETM_Q113_234460"/>
      <w:bookmarkEnd w:id="61875"/>
      <w:r>
        <w:rPr>
          <w:rFonts w:hint="cs"/>
          <w:rtl/>
        </w:rPr>
        <w:t xml:space="preserve">שפה </w:t>
      </w:r>
      <w:bookmarkStart w:id="61876" w:name="_ETM_Q113_235390"/>
      <w:bookmarkEnd w:id="61876"/>
      <w:r>
        <w:rPr>
          <w:rFonts w:hint="cs"/>
          <w:rtl/>
        </w:rPr>
        <w:t xml:space="preserve">בגלל </w:t>
      </w:r>
      <w:bookmarkStart w:id="61877" w:name="_ETM_Q113_235750"/>
      <w:bookmarkEnd w:id="61877"/>
      <w:r>
        <w:rPr>
          <w:rFonts w:hint="cs"/>
          <w:rtl/>
        </w:rPr>
        <w:t xml:space="preserve">ערכים </w:t>
      </w:r>
      <w:bookmarkStart w:id="61878" w:name="_ETM_Q113_236109"/>
      <w:bookmarkEnd w:id="61878"/>
      <w:r>
        <w:rPr>
          <w:rFonts w:hint="cs"/>
          <w:rtl/>
        </w:rPr>
        <w:t xml:space="preserve">דמוקרטיים </w:t>
      </w:r>
      <w:bookmarkStart w:id="61879" w:name="_ETM_Q113_236739"/>
      <w:bookmarkEnd w:id="61879"/>
      <w:r>
        <w:rPr>
          <w:rFonts w:hint="cs"/>
          <w:rtl/>
        </w:rPr>
        <w:t xml:space="preserve">יותר, </w:t>
      </w:r>
      <w:bookmarkStart w:id="61880" w:name="_ETM_Q113_237160"/>
      <w:bookmarkEnd w:id="61880"/>
      <w:r>
        <w:rPr>
          <w:rFonts w:hint="cs"/>
          <w:rtl/>
        </w:rPr>
        <w:t xml:space="preserve">וגם </w:t>
      </w:r>
      <w:bookmarkStart w:id="61881" w:name="_ETM_Q113_237460"/>
      <w:bookmarkEnd w:id="61881"/>
      <w:r>
        <w:rPr>
          <w:rFonts w:hint="cs"/>
          <w:rtl/>
        </w:rPr>
        <w:t xml:space="preserve">לאלה </w:t>
      </w:r>
      <w:bookmarkStart w:id="61882" w:name="_ETM_Q113_237609"/>
      <w:bookmarkStart w:id="61883" w:name="_ETM_Q113_237760"/>
      <w:bookmarkEnd w:id="61882"/>
      <w:bookmarkEnd w:id="61883"/>
      <w:r>
        <w:rPr>
          <w:rFonts w:hint="cs"/>
          <w:rtl/>
        </w:rPr>
        <w:t xml:space="preserve">שיותר </w:t>
      </w:r>
      <w:bookmarkStart w:id="61884" w:name="_ETM_Q113_238149"/>
      <w:bookmarkEnd w:id="61884"/>
      <w:r>
        <w:rPr>
          <w:rFonts w:hint="cs"/>
          <w:rtl/>
        </w:rPr>
        <w:t xml:space="preserve">פה </w:t>
      </w:r>
      <w:bookmarkStart w:id="61885" w:name="_ETM_Q113_238420"/>
      <w:bookmarkEnd w:id="61885"/>
      <w:r>
        <w:rPr>
          <w:rFonts w:hint="cs"/>
          <w:rtl/>
        </w:rPr>
        <w:t xml:space="preserve">בגלל </w:t>
      </w:r>
      <w:bookmarkStart w:id="61886" w:name="_ETM_Q113_240814"/>
      <w:bookmarkStart w:id="61887" w:name="_ETM_Q113_238719"/>
      <w:bookmarkEnd w:id="61886"/>
      <w:bookmarkEnd w:id="61887"/>
      <w:r>
        <w:rPr>
          <w:rFonts w:hint="cs"/>
          <w:rtl/>
        </w:rPr>
        <w:t xml:space="preserve">ערכים </w:t>
      </w:r>
      <w:bookmarkStart w:id="61888" w:name="_ETM_Q113_239109"/>
      <w:bookmarkEnd w:id="61888"/>
      <w:r>
        <w:rPr>
          <w:rFonts w:hint="cs"/>
          <w:rtl/>
        </w:rPr>
        <w:t xml:space="preserve">יהודיים, </w:t>
      </w:r>
      <w:bookmarkStart w:id="61889" w:name="_ETM_Q113_239739"/>
      <w:bookmarkEnd w:id="61889"/>
      <w:r>
        <w:rPr>
          <w:rFonts w:hint="cs"/>
          <w:rtl/>
        </w:rPr>
        <w:t xml:space="preserve">וגם </w:t>
      </w:r>
      <w:bookmarkStart w:id="61890" w:name="_ETM_Q113_240250"/>
      <w:bookmarkEnd w:id="61890"/>
      <w:r>
        <w:rPr>
          <w:rFonts w:hint="cs"/>
          <w:rtl/>
        </w:rPr>
        <w:t xml:space="preserve">לאלה </w:t>
      </w:r>
      <w:bookmarkStart w:id="61891" w:name="_ETM_Q113_240489"/>
      <w:bookmarkEnd w:id="61891"/>
      <w:r>
        <w:rPr>
          <w:rFonts w:hint="cs"/>
          <w:rtl/>
        </w:rPr>
        <w:t xml:space="preserve">כמוני, </w:t>
      </w:r>
      <w:bookmarkStart w:id="61892" w:name="_ETM_Q113_240969"/>
      <w:bookmarkEnd w:id="61892"/>
      <w:r>
        <w:rPr>
          <w:rFonts w:hint="cs"/>
          <w:rtl/>
        </w:rPr>
        <w:t xml:space="preserve">שרבים – </w:t>
      </w:r>
      <w:bookmarkStart w:id="61893" w:name="_ETM_Q113_241570"/>
      <w:bookmarkEnd w:id="61893"/>
      <w:r>
        <w:rPr>
          <w:rFonts w:hint="cs"/>
          <w:rtl/>
        </w:rPr>
        <w:t xml:space="preserve">ולדעתי </w:t>
      </w:r>
      <w:bookmarkStart w:id="61894" w:name="_ETM_Q113_241839"/>
      <w:bookmarkEnd w:id="61894"/>
      <w:r>
        <w:rPr>
          <w:rFonts w:hint="cs"/>
          <w:rtl/>
        </w:rPr>
        <w:t xml:space="preserve">רובם </w:t>
      </w:r>
      <w:bookmarkStart w:id="61895" w:name="_ETM_Q113_242230"/>
      <w:bookmarkEnd w:id="61895"/>
      <w:r>
        <w:rPr>
          <w:rFonts w:hint="cs"/>
          <w:rtl/>
        </w:rPr>
        <w:t xml:space="preserve">כמוני – </w:t>
      </w:r>
      <w:bookmarkStart w:id="61896" w:name="_ETM_Q113_242620"/>
      <w:bookmarkEnd w:id="61896"/>
      <w:r>
        <w:rPr>
          <w:rFonts w:hint="cs"/>
          <w:rtl/>
        </w:rPr>
        <w:t xml:space="preserve">הם </w:t>
      </w:r>
      <w:bookmarkStart w:id="61897" w:name="_ETM_Q113_242800"/>
      <w:bookmarkEnd w:id="61897"/>
      <w:r>
        <w:rPr>
          <w:rFonts w:hint="cs"/>
          <w:rtl/>
        </w:rPr>
        <w:t xml:space="preserve">פשוט </w:t>
      </w:r>
      <w:bookmarkStart w:id="61898" w:name="_ETM_Q113_243710"/>
      <w:bookmarkEnd w:id="61898"/>
      <w:r>
        <w:rPr>
          <w:rFonts w:hint="cs"/>
          <w:rtl/>
        </w:rPr>
        <w:t xml:space="preserve">גם </w:t>
      </w:r>
      <w:bookmarkStart w:id="61899" w:name="_ETM_Q113_244400"/>
      <w:bookmarkEnd w:id="61899"/>
      <w:r>
        <w:rPr>
          <w:rFonts w:hint="cs"/>
          <w:rtl/>
        </w:rPr>
        <w:t xml:space="preserve">וגם, הם </w:t>
      </w:r>
      <w:bookmarkStart w:id="61900" w:name="_ETM_Q113_245430"/>
      <w:bookmarkEnd w:id="61900"/>
      <w:r>
        <w:rPr>
          <w:rFonts w:hint="cs"/>
          <w:rtl/>
        </w:rPr>
        <w:t xml:space="preserve">מאמינים </w:t>
      </w:r>
      <w:bookmarkStart w:id="61901" w:name="_ETM_Q113_246060"/>
      <w:bookmarkEnd w:id="61901"/>
      <w:r>
        <w:rPr>
          <w:rFonts w:hint="cs"/>
          <w:rtl/>
        </w:rPr>
        <w:t xml:space="preserve">גם </w:t>
      </w:r>
      <w:bookmarkStart w:id="61902" w:name="_ETM_Q113_246360"/>
      <w:bookmarkEnd w:id="61902"/>
      <w:r>
        <w:rPr>
          <w:rFonts w:hint="cs"/>
          <w:rtl/>
        </w:rPr>
        <w:t xml:space="preserve">בערכים </w:t>
      </w:r>
      <w:bookmarkStart w:id="61903" w:name="_ETM_Q113_246780"/>
      <w:bookmarkEnd w:id="61903"/>
      <w:r>
        <w:rPr>
          <w:rFonts w:hint="cs"/>
          <w:rtl/>
        </w:rPr>
        <w:t xml:space="preserve">דמוקרטיים </w:t>
      </w:r>
      <w:bookmarkStart w:id="61904" w:name="_ETM_Q113_247290"/>
      <w:bookmarkEnd w:id="61904"/>
      <w:r>
        <w:rPr>
          <w:rFonts w:hint="cs"/>
          <w:rtl/>
        </w:rPr>
        <w:t xml:space="preserve">וליברליים </w:t>
      </w:r>
      <w:bookmarkStart w:id="61905" w:name="_ETM_Q113_248250"/>
      <w:bookmarkEnd w:id="61905"/>
      <w:r>
        <w:rPr>
          <w:rFonts w:hint="cs"/>
          <w:rtl/>
        </w:rPr>
        <w:t xml:space="preserve">וגם </w:t>
      </w:r>
      <w:bookmarkStart w:id="61906" w:name="_ETM_Q113_248670"/>
      <w:bookmarkEnd w:id="61906"/>
      <w:r>
        <w:rPr>
          <w:rFonts w:hint="cs"/>
          <w:rtl/>
        </w:rPr>
        <w:t xml:space="preserve">בערכים </w:t>
      </w:r>
      <w:bookmarkStart w:id="61907" w:name="_ETM_Q113_249119"/>
      <w:bookmarkEnd w:id="61907"/>
      <w:r>
        <w:rPr>
          <w:rFonts w:hint="cs"/>
          <w:rtl/>
        </w:rPr>
        <w:t>יהודיים.</w:t>
      </w:r>
    </w:p>
    <w:p w:rsidR="00BB59CD" w:rsidRDefault="00BB59CD" w:rsidP="00BB59CD">
      <w:pPr>
        <w:rPr>
          <w:rtl/>
        </w:rPr>
      </w:pPr>
      <w:bookmarkStart w:id="61908" w:name="_ETM_Q113_255211"/>
      <w:bookmarkStart w:id="61909" w:name="_ETM_Q113_255262"/>
      <w:bookmarkEnd w:id="61908"/>
      <w:bookmarkEnd w:id="61909"/>
    </w:p>
    <w:p w:rsidR="00BB59CD" w:rsidRDefault="00BB59CD" w:rsidP="00D61D81">
      <w:pPr>
        <w:rPr>
          <w:rtl/>
        </w:rPr>
      </w:pPr>
      <w:bookmarkStart w:id="61910" w:name="_ETM_Q113_255404"/>
      <w:bookmarkStart w:id="61911" w:name="_ETM_Q113_255442"/>
      <w:bookmarkStart w:id="61912" w:name="_ETM_Q113_251680"/>
      <w:bookmarkEnd w:id="61910"/>
      <w:bookmarkEnd w:id="61911"/>
      <w:bookmarkEnd w:id="61912"/>
      <w:r>
        <w:rPr>
          <w:rFonts w:hint="cs"/>
          <w:rtl/>
        </w:rPr>
        <w:t xml:space="preserve">ואני </w:t>
      </w:r>
      <w:bookmarkStart w:id="61913" w:name="_ETM_Q113_252069"/>
      <w:bookmarkEnd w:id="61913"/>
      <w:r>
        <w:rPr>
          <w:rFonts w:hint="cs"/>
          <w:rtl/>
        </w:rPr>
        <w:t xml:space="preserve">מאחל </w:t>
      </w:r>
      <w:bookmarkStart w:id="61914" w:name="_ETM_Q113_252549"/>
      <w:bookmarkEnd w:id="61914"/>
      <w:r>
        <w:rPr>
          <w:rFonts w:hint="cs"/>
          <w:rtl/>
        </w:rPr>
        <w:t xml:space="preserve">לנו </w:t>
      </w:r>
      <w:bookmarkStart w:id="61915" w:name="_ETM_Q113_254909"/>
      <w:bookmarkEnd w:id="61915"/>
      <w:r>
        <w:rPr>
          <w:rFonts w:hint="cs"/>
          <w:rtl/>
        </w:rPr>
        <w:t xml:space="preserve">שכמו </w:t>
      </w:r>
      <w:bookmarkStart w:id="61916" w:name="_ETM_Q113_255390"/>
      <w:bookmarkEnd w:id="61916"/>
      <w:r>
        <w:rPr>
          <w:rFonts w:hint="cs"/>
          <w:rtl/>
        </w:rPr>
        <w:t xml:space="preserve">שהמדינה </w:t>
      </w:r>
      <w:bookmarkStart w:id="61917" w:name="_ETM_Q113_255840"/>
      <w:bookmarkEnd w:id="61917"/>
      <w:r>
        <w:rPr>
          <w:rFonts w:hint="cs"/>
          <w:rtl/>
        </w:rPr>
        <w:t xml:space="preserve">הזו </w:t>
      </w:r>
      <w:bookmarkStart w:id="61918" w:name="_ETM_Q113_256049"/>
      <w:bookmarkEnd w:id="61918"/>
      <w:r>
        <w:rPr>
          <w:rFonts w:hint="cs"/>
          <w:rtl/>
        </w:rPr>
        <w:t xml:space="preserve">הוקמה, </w:t>
      </w:r>
      <w:bookmarkStart w:id="61919" w:name="_ETM_Q113_257350"/>
      <w:bookmarkEnd w:id="61919"/>
      <w:r>
        <w:rPr>
          <w:rFonts w:hint="cs"/>
          <w:rtl/>
        </w:rPr>
        <w:t xml:space="preserve">וכמו </w:t>
      </w:r>
      <w:bookmarkStart w:id="61920" w:name="_ETM_Q113_257800"/>
      <w:bookmarkEnd w:id="61920"/>
      <w:r>
        <w:rPr>
          <w:rFonts w:hint="cs"/>
          <w:rtl/>
        </w:rPr>
        <w:t>ש</w:t>
      </w:r>
      <w:bookmarkStart w:id="61921" w:name="_ETM_Q113_258310"/>
      <w:bookmarkEnd w:id="61921"/>
      <w:r>
        <w:rPr>
          <w:rFonts w:hint="cs"/>
          <w:rtl/>
        </w:rPr>
        <w:t xml:space="preserve">קבעו </w:t>
      </w:r>
      <w:bookmarkStart w:id="61922" w:name="_ETM_Q113_259270"/>
      <w:bookmarkEnd w:id="61922"/>
      <w:r>
        <w:rPr>
          <w:rFonts w:hint="cs"/>
          <w:rtl/>
        </w:rPr>
        <w:t xml:space="preserve">האבות </w:t>
      </w:r>
      <w:bookmarkStart w:id="61923" w:name="_ETM_Q113_259750"/>
      <w:bookmarkEnd w:id="61923"/>
      <w:r>
        <w:rPr>
          <w:rFonts w:hint="cs"/>
          <w:rtl/>
        </w:rPr>
        <w:t xml:space="preserve">המייסדים </w:t>
      </w:r>
      <w:bookmarkStart w:id="61924" w:name="_ETM_Q113_260230"/>
      <w:bookmarkEnd w:id="61924"/>
      <w:r>
        <w:rPr>
          <w:rFonts w:hint="cs"/>
          <w:rtl/>
        </w:rPr>
        <w:t xml:space="preserve">של </w:t>
      </w:r>
      <w:bookmarkStart w:id="61925" w:name="_ETM_Q113_260380"/>
      <w:bookmarkEnd w:id="61925"/>
      <w:r>
        <w:rPr>
          <w:rFonts w:hint="cs"/>
          <w:rtl/>
        </w:rPr>
        <w:t xml:space="preserve">המדינה </w:t>
      </w:r>
      <w:bookmarkStart w:id="61926" w:name="_ETM_Q113_260830"/>
      <w:bookmarkEnd w:id="61926"/>
      <w:r>
        <w:rPr>
          <w:rFonts w:hint="cs"/>
          <w:rtl/>
        </w:rPr>
        <w:t xml:space="preserve">הזאת </w:t>
      </w:r>
      <w:bookmarkStart w:id="61927" w:name="_ETM_Q113_261780"/>
      <w:bookmarkEnd w:id="61927"/>
      <w:r>
        <w:rPr>
          <w:rFonts w:hint="cs"/>
          <w:rtl/>
        </w:rPr>
        <w:t xml:space="preserve">במגילת </w:t>
      </w:r>
      <w:bookmarkStart w:id="61928" w:name="_ETM_Q113_262409"/>
      <w:bookmarkEnd w:id="61928"/>
      <w:r>
        <w:rPr>
          <w:rFonts w:hint="cs"/>
          <w:rtl/>
        </w:rPr>
        <w:t xml:space="preserve">העצמאות – שמדינת ישראל תהיה יהודית ודמוקרטית – שאכן כך ימשיך </w:t>
      </w:r>
      <w:bookmarkStart w:id="61929" w:name="_ETM_Q113_271428"/>
      <w:bookmarkEnd w:id="61929"/>
      <w:r>
        <w:rPr>
          <w:rFonts w:hint="cs"/>
          <w:rtl/>
        </w:rPr>
        <w:t xml:space="preserve">להיות; שהיא תמשיך להיות מדינה יהודית ודמוקרטית, שמפרשנת </w:t>
      </w:r>
      <w:bookmarkStart w:id="61930" w:name="_ETM_Q113_262689"/>
      <w:bookmarkStart w:id="61931" w:name="_ETM_Q113_263409"/>
      <w:bookmarkStart w:id="61932" w:name="_ETM_Q113_263889"/>
      <w:bookmarkStart w:id="61933" w:name="_ETM_Q113_264249"/>
      <w:bookmarkStart w:id="61934" w:name="_ETM_Q113_264429"/>
      <w:bookmarkStart w:id="61935" w:name="_ETM_Q113_264939"/>
      <w:bookmarkStart w:id="61936" w:name="_ETM_Q113_266340"/>
      <w:bookmarkStart w:id="61937" w:name="_ETM_Q113_266939"/>
      <w:bookmarkStart w:id="61938" w:name="_ETM_Q113_267450"/>
      <w:bookmarkStart w:id="61939" w:name="_ETM_Q113_267990"/>
      <w:bookmarkStart w:id="61940" w:name="_ETM_Q113_269369"/>
      <w:bookmarkStart w:id="61941" w:name="_ETM_Q113_269549"/>
      <w:bookmarkStart w:id="61942" w:name="_ETM_Q113_270030"/>
      <w:bookmarkStart w:id="61943" w:name="_ETM_Q113_270180"/>
      <w:bookmarkStart w:id="61944" w:name="_ETM_Q113_270659"/>
      <w:bookmarkStart w:id="61945" w:name="_ETM_Q113_271110"/>
      <w:bookmarkStart w:id="61946" w:name="_ETM_Q113_272250"/>
      <w:bookmarkStart w:id="61947" w:name="_ETM_Q113_273209"/>
      <w:bookmarkStart w:id="61948" w:name="_ETM_Q113_274880"/>
      <w:bookmarkEnd w:id="61930"/>
      <w:bookmarkEnd w:id="61931"/>
      <w:bookmarkEnd w:id="61932"/>
      <w:bookmarkEnd w:id="61933"/>
      <w:bookmarkEnd w:id="61934"/>
      <w:bookmarkEnd w:id="61935"/>
      <w:bookmarkEnd w:id="61936"/>
      <w:bookmarkEnd w:id="61937"/>
      <w:bookmarkEnd w:id="61938"/>
      <w:bookmarkEnd w:id="61939"/>
      <w:bookmarkEnd w:id="61940"/>
      <w:bookmarkEnd w:id="61941"/>
      <w:bookmarkEnd w:id="61942"/>
      <w:bookmarkEnd w:id="61943"/>
      <w:bookmarkEnd w:id="61944"/>
      <w:bookmarkEnd w:id="61945"/>
      <w:bookmarkEnd w:id="61946"/>
      <w:bookmarkEnd w:id="61947"/>
      <w:bookmarkEnd w:id="61948"/>
      <w:r>
        <w:rPr>
          <w:rFonts w:hint="cs"/>
          <w:rtl/>
        </w:rPr>
        <w:t xml:space="preserve">ומפרשת, ומתלבטת </w:t>
      </w:r>
      <w:bookmarkStart w:id="61949" w:name="_ETM_Q113_276619"/>
      <w:bookmarkEnd w:id="61949"/>
      <w:r>
        <w:rPr>
          <w:rFonts w:hint="cs"/>
          <w:rtl/>
        </w:rPr>
        <w:t xml:space="preserve">על </w:t>
      </w:r>
      <w:bookmarkStart w:id="61950" w:name="_ETM_Q113_278601"/>
      <w:bookmarkEnd w:id="61950"/>
      <w:r>
        <w:rPr>
          <w:rFonts w:hint="cs"/>
          <w:rtl/>
        </w:rPr>
        <w:t xml:space="preserve">וי"ו החיבור; שמחפשת להבין </w:t>
      </w:r>
      <w:bookmarkStart w:id="61951" w:name="_ETM_Q113_276920"/>
      <w:bookmarkStart w:id="61952" w:name="_ETM_Q113_277700"/>
      <w:bookmarkStart w:id="61953" w:name="_ETM_Q113_278810"/>
      <w:bookmarkStart w:id="61954" w:name="_ETM_Q113_279350"/>
      <w:bookmarkEnd w:id="61951"/>
      <w:bookmarkEnd w:id="61952"/>
      <w:bookmarkEnd w:id="61953"/>
      <w:bookmarkEnd w:id="61954"/>
      <w:r>
        <w:rPr>
          <w:rFonts w:hint="cs"/>
          <w:rtl/>
        </w:rPr>
        <w:t xml:space="preserve">איך </w:t>
      </w:r>
      <w:bookmarkStart w:id="61955" w:name="_ETM_Q113_280310"/>
      <w:bookmarkEnd w:id="61955"/>
      <w:r>
        <w:rPr>
          <w:rFonts w:hint="cs"/>
          <w:rtl/>
        </w:rPr>
        <w:t xml:space="preserve">היא </w:t>
      </w:r>
      <w:bookmarkStart w:id="61956" w:name="_ETM_Q113_280459"/>
      <w:bookmarkEnd w:id="61956"/>
      <w:r>
        <w:rPr>
          <w:rFonts w:hint="cs"/>
          <w:rtl/>
        </w:rPr>
        <w:t xml:space="preserve">יכולה </w:t>
      </w:r>
      <w:bookmarkStart w:id="61957" w:name="_ETM_Q113_280819"/>
      <w:bookmarkEnd w:id="61957"/>
      <w:r>
        <w:rPr>
          <w:rFonts w:hint="cs"/>
          <w:rtl/>
        </w:rPr>
        <w:t xml:space="preserve">לעבוד </w:t>
      </w:r>
      <w:bookmarkStart w:id="61958" w:name="_ETM_Q113_281299"/>
      <w:bookmarkEnd w:id="61958"/>
      <w:r>
        <w:rPr>
          <w:rFonts w:hint="cs"/>
          <w:rtl/>
        </w:rPr>
        <w:t xml:space="preserve">ולהתקיים </w:t>
      </w:r>
      <w:bookmarkStart w:id="61959" w:name="_ETM_Q113_281899"/>
      <w:bookmarkEnd w:id="61959"/>
      <w:r>
        <w:rPr>
          <w:rFonts w:hint="cs"/>
          <w:rtl/>
        </w:rPr>
        <w:t xml:space="preserve">בכל </w:t>
      </w:r>
      <w:bookmarkStart w:id="61960" w:name="_ETM_Q113_282140"/>
      <w:bookmarkEnd w:id="61960"/>
      <w:r>
        <w:rPr>
          <w:rFonts w:hint="cs"/>
          <w:rtl/>
        </w:rPr>
        <w:t xml:space="preserve">מיני </w:t>
      </w:r>
      <w:bookmarkStart w:id="61961" w:name="_ETM_Q113_282290"/>
      <w:bookmarkEnd w:id="61961"/>
      <w:r>
        <w:rPr>
          <w:rFonts w:hint="cs"/>
          <w:rtl/>
        </w:rPr>
        <w:t xml:space="preserve">מצבים </w:t>
      </w:r>
      <w:bookmarkStart w:id="61962" w:name="_ETM_Q113_283040"/>
      <w:bookmarkEnd w:id="61962"/>
      <w:r>
        <w:rPr>
          <w:rFonts w:hint="cs"/>
          <w:rtl/>
        </w:rPr>
        <w:t xml:space="preserve">שלא </w:t>
      </w:r>
      <w:bookmarkStart w:id="61963" w:name="_ETM_Q113_283310"/>
      <w:bookmarkEnd w:id="61963"/>
      <w:r>
        <w:rPr>
          <w:rFonts w:hint="cs"/>
          <w:rtl/>
        </w:rPr>
        <w:t xml:space="preserve">ידענו </w:t>
      </w:r>
      <w:bookmarkStart w:id="61964" w:name="_ETM_Q113_283700"/>
      <w:bookmarkEnd w:id="61964"/>
      <w:r>
        <w:rPr>
          <w:rFonts w:hint="cs"/>
          <w:rtl/>
        </w:rPr>
        <w:t xml:space="preserve">מראש, </w:t>
      </w:r>
      <w:bookmarkStart w:id="61965" w:name="_ETM_Q113_284270"/>
      <w:bookmarkEnd w:id="61965"/>
      <w:r>
        <w:rPr>
          <w:rFonts w:hint="cs"/>
          <w:rtl/>
        </w:rPr>
        <w:t xml:space="preserve">שלא </w:t>
      </w:r>
      <w:bookmarkStart w:id="61966" w:name="_ETM_Q113_284540"/>
      <w:bookmarkEnd w:id="61966"/>
      <w:r>
        <w:rPr>
          <w:rFonts w:hint="cs"/>
          <w:rtl/>
        </w:rPr>
        <w:t xml:space="preserve">חשבו </w:t>
      </w:r>
      <w:bookmarkStart w:id="61967" w:name="_ETM_Q113_284990"/>
      <w:bookmarkEnd w:id="61967"/>
      <w:r>
        <w:rPr>
          <w:rFonts w:hint="cs"/>
          <w:rtl/>
        </w:rPr>
        <w:t xml:space="preserve">עליהם </w:t>
      </w:r>
      <w:bookmarkStart w:id="61968" w:name="_ETM_Q113_285259"/>
      <w:bookmarkEnd w:id="61968"/>
      <w:r>
        <w:rPr>
          <w:rFonts w:hint="cs"/>
          <w:rtl/>
        </w:rPr>
        <w:t xml:space="preserve">בשנת </w:t>
      </w:r>
      <w:bookmarkStart w:id="61969" w:name="_ETM_Q113_285560"/>
      <w:bookmarkEnd w:id="61969"/>
      <w:r>
        <w:rPr>
          <w:rFonts w:hint="cs"/>
          <w:rtl/>
        </w:rPr>
        <w:t xml:space="preserve">48'. </w:t>
      </w:r>
      <w:bookmarkStart w:id="61970" w:name="_ETM_Q113_287319"/>
      <w:bookmarkEnd w:id="61970"/>
    </w:p>
    <w:p w:rsidR="00BB59CD" w:rsidRDefault="00BB59CD" w:rsidP="00BB59CD">
      <w:pPr>
        <w:rPr>
          <w:rtl/>
        </w:rPr>
      </w:pPr>
      <w:bookmarkStart w:id="61971" w:name="_ETM_Q113_289037"/>
      <w:bookmarkStart w:id="61972" w:name="_ETM_Q113_289071"/>
      <w:bookmarkEnd w:id="61971"/>
      <w:bookmarkEnd w:id="61972"/>
    </w:p>
    <w:p w:rsidR="00BB59CD" w:rsidRDefault="00BB59CD" w:rsidP="00D61D81">
      <w:pPr>
        <w:rPr>
          <w:rtl/>
        </w:rPr>
      </w:pPr>
      <w:bookmarkStart w:id="61973" w:name="_ETM_Q113_289210"/>
      <w:bookmarkStart w:id="61974" w:name="_ETM_Q113_289238"/>
      <w:bookmarkEnd w:id="61973"/>
      <w:bookmarkEnd w:id="61974"/>
      <w:r>
        <w:rPr>
          <w:rFonts w:hint="cs"/>
          <w:rtl/>
        </w:rPr>
        <w:t xml:space="preserve">המורכבות </w:t>
      </w:r>
      <w:bookmarkStart w:id="61975" w:name="_ETM_Q113_288219"/>
      <w:bookmarkEnd w:id="61975"/>
      <w:r>
        <w:rPr>
          <w:rFonts w:hint="cs"/>
          <w:rtl/>
        </w:rPr>
        <w:t xml:space="preserve">הזאת </w:t>
      </w:r>
      <w:bookmarkStart w:id="61976" w:name="_ETM_Q113_288670"/>
      <w:bookmarkEnd w:id="61976"/>
      <w:r>
        <w:rPr>
          <w:rFonts w:hint="cs"/>
          <w:rtl/>
        </w:rPr>
        <w:t xml:space="preserve">היא </w:t>
      </w:r>
      <w:bookmarkStart w:id="61977" w:name="_ETM_Q113_288939"/>
      <w:bookmarkEnd w:id="61977"/>
      <w:r>
        <w:rPr>
          <w:rFonts w:hint="cs"/>
          <w:rtl/>
        </w:rPr>
        <w:t xml:space="preserve">מנת </w:t>
      </w:r>
      <w:bookmarkStart w:id="61978" w:name="_ETM_Q113_289270"/>
      <w:bookmarkEnd w:id="61978"/>
      <w:r>
        <w:rPr>
          <w:rFonts w:hint="cs"/>
          <w:rtl/>
        </w:rPr>
        <w:t xml:space="preserve">חלקנו; </w:t>
      </w:r>
      <w:bookmarkStart w:id="61979" w:name="_ETM_Q113_289990"/>
      <w:bookmarkStart w:id="61980" w:name="_ETM_Q113_291159"/>
      <w:bookmarkEnd w:id="61979"/>
      <w:bookmarkEnd w:id="61980"/>
      <w:r>
        <w:rPr>
          <w:rFonts w:hint="cs"/>
          <w:rtl/>
        </w:rPr>
        <w:t xml:space="preserve">המורכבות </w:t>
      </w:r>
      <w:bookmarkStart w:id="61981" w:name="_ETM_Q113_291789"/>
      <w:bookmarkEnd w:id="61981"/>
      <w:r>
        <w:rPr>
          <w:rFonts w:hint="cs"/>
          <w:rtl/>
        </w:rPr>
        <w:t xml:space="preserve">הזאת </w:t>
      </w:r>
      <w:bookmarkStart w:id="61982" w:name="_ETM_Q113_292149"/>
      <w:bookmarkEnd w:id="61982"/>
      <w:r>
        <w:rPr>
          <w:rFonts w:hint="cs"/>
          <w:rtl/>
        </w:rPr>
        <w:t xml:space="preserve">היא </w:t>
      </w:r>
      <w:bookmarkStart w:id="61983" w:name="_ETM_Q113_293880"/>
      <w:bookmarkStart w:id="61984" w:name="_ETM_Q113_294030"/>
      <w:bookmarkEnd w:id="61983"/>
      <w:bookmarkEnd w:id="61984"/>
      <w:r>
        <w:rPr>
          <w:rFonts w:hint="cs"/>
          <w:rtl/>
        </w:rPr>
        <w:t xml:space="preserve">משימת </w:t>
      </w:r>
      <w:bookmarkStart w:id="61985" w:name="_ETM_Q113_294570"/>
      <w:bookmarkEnd w:id="61985"/>
      <w:r>
        <w:rPr>
          <w:rFonts w:hint="cs"/>
          <w:rtl/>
        </w:rPr>
        <w:t xml:space="preserve">חיינו. </w:t>
      </w:r>
      <w:bookmarkStart w:id="61986" w:name="_ETM_Q113_295140"/>
      <w:bookmarkEnd w:id="61986"/>
      <w:r>
        <w:rPr>
          <w:rFonts w:hint="cs"/>
          <w:rtl/>
        </w:rPr>
        <w:t xml:space="preserve">העם </w:t>
      </w:r>
      <w:bookmarkStart w:id="61987" w:name="_ETM_Q113_295440"/>
      <w:bookmarkEnd w:id="61987"/>
      <w:r>
        <w:rPr>
          <w:rFonts w:hint="cs"/>
          <w:rtl/>
        </w:rPr>
        <w:t xml:space="preserve">היהודי </w:t>
      </w:r>
      <w:bookmarkStart w:id="61988" w:name="_ETM_Q113_295800"/>
      <w:bookmarkEnd w:id="61988"/>
      <w:r>
        <w:rPr>
          <w:rFonts w:hint="cs"/>
          <w:rtl/>
        </w:rPr>
        <w:t xml:space="preserve">הקים </w:t>
      </w:r>
      <w:bookmarkStart w:id="61989" w:name="_ETM_Q113_296190"/>
      <w:bookmarkEnd w:id="61989"/>
      <w:r>
        <w:rPr>
          <w:rFonts w:hint="cs"/>
          <w:rtl/>
        </w:rPr>
        <w:t xml:space="preserve">פה </w:t>
      </w:r>
      <w:bookmarkStart w:id="61990" w:name="_ETM_Q113_296310"/>
      <w:bookmarkEnd w:id="61990"/>
      <w:r>
        <w:rPr>
          <w:rFonts w:hint="cs"/>
          <w:rtl/>
        </w:rPr>
        <w:t xml:space="preserve">מדינה, </w:t>
      </w:r>
      <w:bookmarkStart w:id="61991" w:name="_ETM_Q113_297000"/>
      <w:bookmarkEnd w:id="61991"/>
      <w:r>
        <w:rPr>
          <w:rFonts w:hint="cs"/>
          <w:rtl/>
        </w:rPr>
        <w:t xml:space="preserve">שתהיה </w:t>
      </w:r>
      <w:bookmarkStart w:id="61992" w:name="_ETM_Q113_297480"/>
      <w:bookmarkEnd w:id="61992"/>
      <w:r>
        <w:rPr>
          <w:rFonts w:hint="cs"/>
          <w:rtl/>
        </w:rPr>
        <w:t xml:space="preserve">לנו, </w:t>
      </w:r>
      <w:bookmarkStart w:id="61993" w:name="_ETM_Q113_297930"/>
      <w:bookmarkEnd w:id="61993"/>
      <w:r>
        <w:rPr>
          <w:rFonts w:hint="cs"/>
          <w:rtl/>
        </w:rPr>
        <w:t xml:space="preserve">להתקיים </w:t>
      </w:r>
      <w:bookmarkStart w:id="61994" w:name="_ETM_Q113_298590"/>
      <w:bookmarkEnd w:id="61994"/>
      <w:r>
        <w:rPr>
          <w:rFonts w:hint="cs"/>
          <w:rtl/>
        </w:rPr>
        <w:t xml:space="preserve">בה, </w:t>
      </w:r>
      <w:bookmarkStart w:id="61995" w:name="_ETM_Q113_298710"/>
      <w:bookmarkEnd w:id="61995"/>
      <w:r>
        <w:rPr>
          <w:rFonts w:hint="cs"/>
          <w:rtl/>
        </w:rPr>
        <w:t xml:space="preserve">להיות </w:t>
      </w:r>
      <w:bookmarkStart w:id="61996" w:name="_ETM_Q113_299010"/>
      <w:bookmarkEnd w:id="61996"/>
      <w:r>
        <w:rPr>
          <w:rFonts w:hint="cs"/>
          <w:rtl/>
        </w:rPr>
        <w:t>בטוחים בה ו</w:t>
      </w:r>
      <w:bookmarkStart w:id="61997" w:name="_ETM_Q113_299520"/>
      <w:bookmarkStart w:id="61998" w:name="_ETM_Q113_299820"/>
      <w:bookmarkEnd w:id="61997"/>
      <w:bookmarkEnd w:id="61998"/>
      <w:r>
        <w:rPr>
          <w:rFonts w:hint="cs"/>
          <w:rtl/>
        </w:rPr>
        <w:t xml:space="preserve">לשגשג </w:t>
      </w:r>
      <w:bookmarkStart w:id="61999" w:name="_ETM_Q113_300939"/>
      <w:bookmarkEnd w:id="61999"/>
      <w:r>
        <w:rPr>
          <w:rFonts w:hint="cs"/>
          <w:rtl/>
        </w:rPr>
        <w:t xml:space="preserve">מתוך </w:t>
      </w:r>
      <w:bookmarkStart w:id="62000" w:name="_ETM_Q113_301360"/>
      <w:bookmarkEnd w:id="62000"/>
      <w:r>
        <w:rPr>
          <w:rFonts w:hint="cs"/>
          <w:rtl/>
        </w:rPr>
        <w:t xml:space="preserve">הבנה </w:t>
      </w:r>
      <w:bookmarkStart w:id="62001" w:name="_ETM_Q113_302140"/>
      <w:bookmarkEnd w:id="62001"/>
      <w:r>
        <w:rPr>
          <w:rFonts w:hint="cs"/>
          <w:rtl/>
        </w:rPr>
        <w:t xml:space="preserve">שהמדינה </w:t>
      </w:r>
      <w:bookmarkStart w:id="62002" w:name="_ETM_Q113_302799"/>
      <w:bookmarkEnd w:id="62002"/>
      <w:r>
        <w:rPr>
          <w:rFonts w:hint="cs"/>
          <w:rtl/>
        </w:rPr>
        <w:t>הז</w:t>
      </w:r>
      <w:bookmarkStart w:id="62003" w:name="_ETM_Q113_303009"/>
      <w:bookmarkEnd w:id="62003"/>
      <w:r>
        <w:rPr>
          <w:rFonts w:hint="cs"/>
          <w:rtl/>
        </w:rPr>
        <w:t xml:space="preserve">את קיבלה </w:t>
      </w:r>
      <w:bookmarkStart w:id="62004" w:name="_ETM_Q113_303909"/>
      <w:bookmarkEnd w:id="62004"/>
      <w:r>
        <w:rPr>
          <w:rFonts w:hint="cs"/>
          <w:rtl/>
        </w:rPr>
        <w:t xml:space="preserve">את </w:t>
      </w:r>
      <w:bookmarkStart w:id="62005" w:name="_ETM_Q113_304090"/>
      <w:bookmarkEnd w:id="62005"/>
      <w:r>
        <w:rPr>
          <w:rFonts w:hint="cs"/>
          <w:rtl/>
        </w:rPr>
        <w:t xml:space="preserve">היכולת, </w:t>
      </w:r>
      <w:bookmarkStart w:id="62006" w:name="_ETM_Q113_304630"/>
      <w:bookmarkEnd w:id="62006"/>
      <w:r>
        <w:rPr>
          <w:rFonts w:hint="cs"/>
          <w:rtl/>
        </w:rPr>
        <w:t xml:space="preserve">את </w:t>
      </w:r>
      <w:bookmarkStart w:id="62007" w:name="_ETM_Q113_304750"/>
      <w:bookmarkEnd w:id="62007"/>
      <w:r>
        <w:rPr>
          <w:rFonts w:hint="cs"/>
          <w:rtl/>
        </w:rPr>
        <w:t>הכוח ואת ה</w:t>
      </w:r>
      <w:bookmarkStart w:id="62008" w:name="_ETM_Q113_305049"/>
      <w:bookmarkStart w:id="62009" w:name="_ETM_Q113_305259"/>
      <w:bookmarkEnd w:id="62008"/>
      <w:bookmarkEnd w:id="62009"/>
      <w:r>
        <w:rPr>
          <w:rFonts w:hint="cs"/>
          <w:rtl/>
        </w:rPr>
        <w:t xml:space="preserve">לגיטימציה </w:t>
      </w:r>
      <w:bookmarkStart w:id="62010" w:name="_ETM_Q113_305890"/>
      <w:bookmarkEnd w:id="62010"/>
      <w:r>
        <w:rPr>
          <w:rFonts w:hint="cs"/>
          <w:rtl/>
        </w:rPr>
        <w:t>שלה</w:t>
      </w:r>
      <w:r w:rsidR="00D61D81">
        <w:rPr>
          <w:rFonts w:hint="cs"/>
          <w:rtl/>
        </w:rPr>
        <w:t>,</w:t>
      </w:r>
      <w:r>
        <w:rPr>
          <w:rFonts w:hint="cs"/>
          <w:rtl/>
        </w:rPr>
        <w:t xml:space="preserve"> </w:t>
      </w:r>
      <w:bookmarkStart w:id="62011" w:name="_ETM_Q113_306189"/>
      <w:bookmarkEnd w:id="62011"/>
      <w:r>
        <w:rPr>
          <w:rFonts w:hint="cs"/>
          <w:rtl/>
        </w:rPr>
        <w:t xml:space="preserve">כי </w:t>
      </w:r>
      <w:bookmarkStart w:id="62012" w:name="_ETM_Q113_306430"/>
      <w:bookmarkEnd w:id="62012"/>
      <w:r>
        <w:rPr>
          <w:rFonts w:hint="cs"/>
          <w:rtl/>
        </w:rPr>
        <w:t xml:space="preserve">היא גם </w:t>
      </w:r>
      <w:bookmarkStart w:id="62013" w:name="_ETM_Q113_306640"/>
      <w:bookmarkEnd w:id="62013"/>
      <w:r>
        <w:rPr>
          <w:rFonts w:hint="cs"/>
          <w:rtl/>
        </w:rPr>
        <w:t xml:space="preserve">מדינה </w:t>
      </w:r>
      <w:bookmarkStart w:id="62014" w:name="_ETM_Q113_306970"/>
      <w:bookmarkEnd w:id="62014"/>
      <w:r>
        <w:rPr>
          <w:rFonts w:hint="cs"/>
          <w:rtl/>
        </w:rPr>
        <w:t>דמוקרטית</w:t>
      </w:r>
      <w:r w:rsidR="00D61D81">
        <w:rPr>
          <w:rFonts w:hint="cs"/>
          <w:rtl/>
        </w:rPr>
        <w:t>.</w:t>
      </w:r>
      <w:r>
        <w:rPr>
          <w:rFonts w:hint="cs"/>
          <w:rtl/>
        </w:rPr>
        <w:t xml:space="preserve"> </w:t>
      </w:r>
      <w:bookmarkStart w:id="62015" w:name="_ETM_Q113_308560"/>
      <w:bookmarkEnd w:id="62015"/>
      <w:r>
        <w:rPr>
          <w:rFonts w:hint="cs"/>
          <w:rtl/>
        </w:rPr>
        <w:t xml:space="preserve">כדי </w:t>
      </w:r>
      <w:bookmarkStart w:id="62016" w:name="_ETM_Q113_308830"/>
      <w:bookmarkEnd w:id="62016"/>
      <w:r>
        <w:rPr>
          <w:rFonts w:hint="cs"/>
          <w:rtl/>
        </w:rPr>
        <w:t xml:space="preserve">להמשיך </w:t>
      </w:r>
      <w:bookmarkStart w:id="62017" w:name="_ETM_Q113_309340"/>
      <w:bookmarkEnd w:id="62017"/>
      <w:r>
        <w:rPr>
          <w:rFonts w:hint="cs"/>
          <w:rtl/>
        </w:rPr>
        <w:t xml:space="preserve">ולשגשג </w:t>
      </w:r>
      <w:bookmarkStart w:id="62018" w:name="_ETM_Q113_310060"/>
      <w:bookmarkEnd w:id="62018"/>
      <w:r>
        <w:rPr>
          <w:rFonts w:hint="cs"/>
          <w:rtl/>
        </w:rPr>
        <w:t xml:space="preserve">כעם </w:t>
      </w:r>
      <w:bookmarkStart w:id="62019" w:name="_ETM_Q113_310330"/>
      <w:bookmarkEnd w:id="62019"/>
      <w:r>
        <w:rPr>
          <w:rFonts w:hint="cs"/>
          <w:rtl/>
        </w:rPr>
        <w:t>היהודי</w:t>
      </w:r>
      <w:r w:rsidR="00D61D81">
        <w:rPr>
          <w:rFonts w:hint="cs"/>
          <w:rtl/>
        </w:rPr>
        <w:t>,</w:t>
      </w:r>
      <w:r>
        <w:rPr>
          <w:rFonts w:hint="cs"/>
          <w:rtl/>
        </w:rPr>
        <w:t xml:space="preserve"> גם אלה שחיים פה </w:t>
      </w:r>
      <w:bookmarkStart w:id="62020" w:name="_ETM_Q113_311020"/>
      <w:bookmarkStart w:id="62021" w:name="_ETM_Q113_311200"/>
      <w:bookmarkStart w:id="62022" w:name="_ETM_Q113_311620"/>
      <w:bookmarkStart w:id="62023" w:name="_ETM_Q113_311860"/>
      <w:bookmarkStart w:id="62024" w:name="_ETM_Q113_312470"/>
      <w:bookmarkEnd w:id="62020"/>
      <w:bookmarkEnd w:id="62021"/>
      <w:bookmarkEnd w:id="62022"/>
      <w:bookmarkEnd w:id="62023"/>
      <w:bookmarkEnd w:id="62024"/>
      <w:r>
        <w:rPr>
          <w:rFonts w:hint="cs"/>
          <w:rtl/>
        </w:rPr>
        <w:t xml:space="preserve">וגם </w:t>
      </w:r>
      <w:bookmarkStart w:id="62025" w:name="_ETM_Q113_312860"/>
      <w:bookmarkStart w:id="62026" w:name="_ETM_Q113_312950"/>
      <w:bookmarkEnd w:id="62025"/>
      <w:bookmarkEnd w:id="62026"/>
      <w:r>
        <w:rPr>
          <w:rFonts w:hint="cs"/>
          <w:rtl/>
        </w:rPr>
        <w:t xml:space="preserve">יהודי </w:t>
      </w:r>
      <w:bookmarkStart w:id="62027" w:name="_ETM_Q113_313220"/>
      <w:bookmarkEnd w:id="62027"/>
      <w:r>
        <w:rPr>
          <w:rFonts w:hint="cs"/>
          <w:rtl/>
        </w:rPr>
        <w:t>התפוצות</w:t>
      </w:r>
      <w:r w:rsidR="00D61D81">
        <w:rPr>
          <w:rFonts w:hint="cs"/>
          <w:rtl/>
        </w:rPr>
        <w:t xml:space="preserve">, </w:t>
      </w:r>
      <w:bookmarkStart w:id="62028" w:name="_ETM_Q113_319367"/>
      <w:bookmarkStart w:id="62029" w:name="_ETM_Q113_319404"/>
      <w:bookmarkStart w:id="62030" w:name="_ETM_Q113_314909"/>
      <w:bookmarkStart w:id="62031" w:name="_ETM_Q113_319331"/>
      <w:bookmarkStart w:id="62032" w:name="_ETM_Q113_319362"/>
      <w:bookmarkEnd w:id="62028"/>
      <w:bookmarkEnd w:id="62029"/>
      <w:bookmarkEnd w:id="62030"/>
      <w:bookmarkEnd w:id="62031"/>
      <w:bookmarkEnd w:id="62032"/>
      <w:r>
        <w:rPr>
          <w:rFonts w:hint="cs"/>
          <w:rtl/>
        </w:rPr>
        <w:t xml:space="preserve">אנחנו </w:t>
      </w:r>
      <w:bookmarkStart w:id="62033" w:name="_ETM_Q113_315209"/>
      <w:bookmarkEnd w:id="62033"/>
      <w:r>
        <w:rPr>
          <w:rFonts w:hint="cs"/>
          <w:rtl/>
        </w:rPr>
        <w:t xml:space="preserve">חייבים </w:t>
      </w:r>
      <w:bookmarkStart w:id="62034" w:name="_ETM_Q113_315629"/>
      <w:bookmarkEnd w:id="62034"/>
      <w:r>
        <w:rPr>
          <w:rFonts w:hint="cs"/>
          <w:rtl/>
        </w:rPr>
        <w:t xml:space="preserve">לשמר </w:t>
      </w:r>
      <w:bookmarkStart w:id="62035" w:name="_ETM_Q113_317710"/>
      <w:bookmarkEnd w:id="62035"/>
      <w:r>
        <w:rPr>
          <w:rFonts w:hint="cs"/>
          <w:rtl/>
        </w:rPr>
        <w:t xml:space="preserve">את </w:t>
      </w:r>
      <w:bookmarkStart w:id="62036" w:name="_ETM_Q113_317889"/>
      <w:bookmarkEnd w:id="62036"/>
      <w:r>
        <w:rPr>
          <w:rFonts w:hint="cs"/>
          <w:rtl/>
        </w:rPr>
        <w:t xml:space="preserve">החיבור </w:t>
      </w:r>
      <w:bookmarkStart w:id="62037" w:name="_ETM_Q113_318280"/>
      <w:bookmarkEnd w:id="62037"/>
      <w:r>
        <w:rPr>
          <w:rFonts w:hint="cs"/>
          <w:rtl/>
        </w:rPr>
        <w:t xml:space="preserve">הזה: </w:t>
      </w:r>
      <w:bookmarkStart w:id="62038" w:name="_ETM_Q113_318639"/>
      <w:bookmarkEnd w:id="62038"/>
      <w:r>
        <w:rPr>
          <w:rFonts w:hint="cs"/>
          <w:rtl/>
        </w:rPr>
        <w:t xml:space="preserve">מדינה </w:t>
      </w:r>
      <w:bookmarkStart w:id="62039" w:name="_ETM_Q113_319090"/>
      <w:bookmarkEnd w:id="62039"/>
      <w:r>
        <w:rPr>
          <w:rFonts w:hint="cs"/>
          <w:rtl/>
        </w:rPr>
        <w:t xml:space="preserve">יהודית </w:t>
      </w:r>
      <w:bookmarkStart w:id="62040" w:name="_ETM_Q113_319419"/>
      <w:bookmarkEnd w:id="62040"/>
      <w:r>
        <w:rPr>
          <w:rFonts w:hint="cs"/>
          <w:rtl/>
        </w:rPr>
        <w:t xml:space="preserve">ודמוקרטית, </w:t>
      </w:r>
      <w:bookmarkStart w:id="62041" w:name="_ETM_Q113_320139"/>
      <w:bookmarkEnd w:id="62041"/>
      <w:r>
        <w:rPr>
          <w:rFonts w:hint="cs"/>
          <w:rtl/>
        </w:rPr>
        <w:t xml:space="preserve">כי </w:t>
      </w:r>
      <w:bookmarkStart w:id="62042" w:name="_ETM_Q113_320260"/>
      <w:bookmarkEnd w:id="62042"/>
      <w:r>
        <w:rPr>
          <w:rFonts w:hint="cs"/>
          <w:rtl/>
        </w:rPr>
        <w:t xml:space="preserve">כולנו </w:t>
      </w:r>
      <w:bookmarkStart w:id="62043" w:name="_ETM_Q113_320680"/>
      <w:bookmarkEnd w:id="62043"/>
      <w:r>
        <w:rPr>
          <w:rFonts w:hint="cs"/>
          <w:rtl/>
        </w:rPr>
        <w:t xml:space="preserve">יודעים </w:t>
      </w:r>
      <w:bookmarkStart w:id="62044" w:name="_ETM_Q113_320950"/>
      <w:bookmarkEnd w:id="62044"/>
      <w:r>
        <w:rPr>
          <w:rFonts w:hint="cs"/>
          <w:rtl/>
        </w:rPr>
        <w:t xml:space="preserve">שגם </w:t>
      </w:r>
      <w:bookmarkStart w:id="62045" w:name="_ETM_Q113_321310"/>
      <w:bookmarkEnd w:id="62045"/>
      <w:r>
        <w:rPr>
          <w:rFonts w:hint="cs"/>
          <w:rtl/>
        </w:rPr>
        <w:t xml:space="preserve">יהודי </w:t>
      </w:r>
      <w:bookmarkStart w:id="62046" w:name="_ETM_Q113_321610"/>
      <w:bookmarkEnd w:id="62046"/>
      <w:r>
        <w:rPr>
          <w:rFonts w:hint="cs"/>
          <w:rtl/>
        </w:rPr>
        <w:t xml:space="preserve">התפוצות </w:t>
      </w:r>
      <w:bookmarkStart w:id="62047" w:name="_ETM_Q113_322510"/>
      <w:bookmarkEnd w:id="62047"/>
      <w:r>
        <w:rPr>
          <w:rFonts w:hint="cs"/>
          <w:rtl/>
        </w:rPr>
        <w:t xml:space="preserve">בטוחים </w:t>
      </w:r>
      <w:bookmarkStart w:id="62048" w:name="_ETM_Q113_323080"/>
      <w:bookmarkEnd w:id="62048"/>
      <w:r>
        <w:rPr>
          <w:rFonts w:hint="cs"/>
          <w:rtl/>
        </w:rPr>
        <w:t xml:space="preserve">יותר </w:t>
      </w:r>
      <w:bookmarkStart w:id="62049" w:name="_ETM_Q113_323440"/>
      <w:bookmarkEnd w:id="62049"/>
      <w:r>
        <w:rPr>
          <w:rFonts w:hint="cs"/>
          <w:rtl/>
        </w:rPr>
        <w:t xml:space="preserve">כשיש </w:t>
      </w:r>
      <w:bookmarkStart w:id="62050" w:name="_ETM_Q113_323740"/>
      <w:bookmarkEnd w:id="62050"/>
      <w:r>
        <w:rPr>
          <w:rFonts w:hint="cs"/>
          <w:rtl/>
        </w:rPr>
        <w:t xml:space="preserve">מדינת </w:t>
      </w:r>
      <w:bookmarkStart w:id="62051" w:name="_ETM_Q113_324160"/>
      <w:bookmarkEnd w:id="62051"/>
      <w:r>
        <w:rPr>
          <w:rFonts w:hint="cs"/>
          <w:rtl/>
        </w:rPr>
        <w:t xml:space="preserve">ישראל; </w:t>
      </w:r>
      <w:bookmarkStart w:id="62052" w:name="_ETM_Q113_324970"/>
      <w:bookmarkEnd w:id="62052"/>
      <w:r>
        <w:rPr>
          <w:rFonts w:hint="cs"/>
          <w:rtl/>
        </w:rPr>
        <w:t xml:space="preserve">כשליהודים </w:t>
      </w:r>
      <w:bookmarkStart w:id="62053" w:name="_ETM_Q113_325660"/>
      <w:bookmarkEnd w:id="62053"/>
      <w:r>
        <w:rPr>
          <w:rFonts w:hint="cs"/>
          <w:rtl/>
        </w:rPr>
        <w:t xml:space="preserve">יש </w:t>
      </w:r>
      <w:bookmarkStart w:id="62054" w:name="_ETM_Q113_325870"/>
      <w:bookmarkEnd w:id="62054"/>
      <w:r>
        <w:rPr>
          <w:rFonts w:hint="cs"/>
          <w:rtl/>
        </w:rPr>
        <w:t xml:space="preserve">בית, </w:t>
      </w:r>
      <w:bookmarkStart w:id="62055" w:name="_ETM_Q113_326620"/>
      <w:bookmarkEnd w:id="62055"/>
      <w:r>
        <w:rPr>
          <w:rFonts w:hint="cs"/>
          <w:rtl/>
        </w:rPr>
        <w:t xml:space="preserve">וליהודים </w:t>
      </w:r>
      <w:bookmarkStart w:id="62056" w:name="_ETM_Q113_327010"/>
      <w:bookmarkEnd w:id="62056"/>
      <w:r>
        <w:rPr>
          <w:rFonts w:hint="cs"/>
          <w:rtl/>
        </w:rPr>
        <w:t xml:space="preserve">יש </w:t>
      </w:r>
      <w:bookmarkStart w:id="62057" w:name="_ETM_Q113_327130"/>
      <w:bookmarkEnd w:id="62057"/>
      <w:r>
        <w:rPr>
          <w:rFonts w:hint="cs"/>
          <w:rtl/>
        </w:rPr>
        <w:t xml:space="preserve">צבא, וליהודים יש כוח וליהודים יש </w:t>
      </w:r>
      <w:bookmarkStart w:id="62058" w:name="_ETM_Q113_333958"/>
      <w:bookmarkStart w:id="62059" w:name="_ETM_Q113_327970"/>
      <w:bookmarkStart w:id="62060" w:name="_ETM_Q113_328150"/>
      <w:bookmarkStart w:id="62061" w:name="_ETM_Q113_328389"/>
      <w:bookmarkStart w:id="62062" w:name="_ETM_Q113_329350"/>
      <w:bookmarkStart w:id="62063" w:name="_ETM_Q113_329560"/>
      <w:bookmarkStart w:id="62064" w:name="_ETM_Q113_329889"/>
      <w:bookmarkStart w:id="62065" w:name="_ETM_Q113_330460"/>
      <w:bookmarkEnd w:id="62058"/>
      <w:bookmarkEnd w:id="62059"/>
      <w:bookmarkEnd w:id="62060"/>
      <w:bookmarkEnd w:id="62061"/>
      <w:bookmarkEnd w:id="62062"/>
      <w:bookmarkEnd w:id="62063"/>
      <w:bookmarkEnd w:id="62064"/>
      <w:bookmarkEnd w:id="62065"/>
      <w:r>
        <w:rPr>
          <w:rFonts w:hint="cs"/>
          <w:rtl/>
        </w:rPr>
        <w:t xml:space="preserve">אמירה </w:t>
      </w:r>
      <w:bookmarkStart w:id="62066" w:name="_ETM_Q113_331720"/>
      <w:bookmarkEnd w:id="62066"/>
      <w:r>
        <w:rPr>
          <w:rFonts w:hint="cs"/>
          <w:rtl/>
        </w:rPr>
        <w:t xml:space="preserve">בעלת </w:t>
      </w:r>
      <w:bookmarkStart w:id="62067" w:name="_ETM_Q113_332200"/>
      <w:bookmarkEnd w:id="62067"/>
      <w:r>
        <w:rPr>
          <w:rFonts w:hint="cs"/>
          <w:rtl/>
        </w:rPr>
        <w:t xml:space="preserve">משמעות </w:t>
      </w:r>
      <w:bookmarkStart w:id="62068" w:name="_ETM_Q113_332800"/>
      <w:bookmarkEnd w:id="62068"/>
      <w:r>
        <w:rPr>
          <w:rFonts w:hint="cs"/>
          <w:rtl/>
        </w:rPr>
        <w:t xml:space="preserve">ומשקל </w:t>
      </w:r>
      <w:bookmarkStart w:id="62069" w:name="_ETM_Q113_333370"/>
      <w:bookmarkEnd w:id="62069"/>
      <w:r>
        <w:rPr>
          <w:rFonts w:hint="cs"/>
          <w:rtl/>
        </w:rPr>
        <w:t xml:space="preserve">בעולם </w:t>
      </w:r>
      <w:bookmarkStart w:id="62070" w:name="_ETM_Q113_333790"/>
      <w:bookmarkEnd w:id="62070"/>
      <w:r>
        <w:rPr>
          <w:rFonts w:hint="cs"/>
          <w:rtl/>
        </w:rPr>
        <w:t>הזה.</w:t>
      </w:r>
      <w:bookmarkStart w:id="62071" w:name="_ETM_Q113_338249"/>
      <w:bookmarkEnd w:id="62071"/>
      <w:r>
        <w:rPr>
          <w:rFonts w:hint="cs"/>
          <w:rtl/>
        </w:rPr>
        <w:t xml:space="preserve"> </w:t>
      </w:r>
      <w:bookmarkStart w:id="62072" w:name="_ETM_Q113_338291"/>
      <w:bookmarkStart w:id="62073" w:name="_ETM_Q113_338425"/>
      <w:bookmarkStart w:id="62074" w:name="_ETM_Q113_338476"/>
      <w:bookmarkStart w:id="62075" w:name="_ETM_Q113_336349"/>
      <w:bookmarkEnd w:id="62072"/>
      <w:bookmarkEnd w:id="62073"/>
      <w:bookmarkEnd w:id="62074"/>
      <w:bookmarkEnd w:id="62075"/>
      <w:r>
        <w:rPr>
          <w:rFonts w:hint="cs"/>
          <w:rtl/>
        </w:rPr>
        <w:t xml:space="preserve">אני </w:t>
      </w:r>
      <w:bookmarkStart w:id="62076" w:name="_ETM_Q113_336499"/>
      <w:bookmarkEnd w:id="62076"/>
      <w:r>
        <w:rPr>
          <w:rFonts w:hint="cs"/>
          <w:rtl/>
        </w:rPr>
        <w:t xml:space="preserve">חושב </w:t>
      </w:r>
      <w:bookmarkStart w:id="62077" w:name="_ETM_Q113_336709"/>
      <w:bookmarkEnd w:id="62077"/>
      <w:r>
        <w:rPr>
          <w:rFonts w:hint="cs"/>
          <w:rtl/>
        </w:rPr>
        <w:t xml:space="preserve">שזה </w:t>
      </w:r>
      <w:bookmarkStart w:id="62078" w:name="_ETM_Q113_336950"/>
      <w:bookmarkEnd w:id="62078"/>
      <w:r>
        <w:rPr>
          <w:rFonts w:hint="cs"/>
          <w:rtl/>
        </w:rPr>
        <w:t xml:space="preserve">מה </w:t>
      </w:r>
      <w:bookmarkStart w:id="62079" w:name="_ETM_Q113_337040"/>
      <w:bookmarkEnd w:id="62079"/>
      <w:r>
        <w:rPr>
          <w:rFonts w:hint="cs"/>
          <w:rtl/>
        </w:rPr>
        <w:t xml:space="preserve">שציוו </w:t>
      </w:r>
      <w:bookmarkStart w:id="62080" w:name="_ETM_Q113_337489"/>
      <w:bookmarkEnd w:id="62080"/>
      <w:r>
        <w:rPr>
          <w:rFonts w:hint="cs"/>
          <w:rtl/>
        </w:rPr>
        <w:t xml:space="preserve">לנו, </w:t>
      </w:r>
      <w:bookmarkStart w:id="62081" w:name="_ETM_Q113_337730"/>
      <w:bookmarkEnd w:id="62081"/>
      <w:r>
        <w:rPr>
          <w:rFonts w:hint="cs"/>
          <w:rtl/>
        </w:rPr>
        <w:t xml:space="preserve">ואני </w:t>
      </w:r>
      <w:bookmarkStart w:id="62082" w:name="_ETM_Q113_337969"/>
      <w:bookmarkEnd w:id="62082"/>
      <w:r>
        <w:rPr>
          <w:rFonts w:hint="cs"/>
          <w:rtl/>
        </w:rPr>
        <w:t xml:space="preserve">מקווה </w:t>
      </w:r>
      <w:bookmarkStart w:id="62083" w:name="_ETM_Q113_339400"/>
      <w:bookmarkEnd w:id="62083"/>
      <w:r>
        <w:rPr>
          <w:rFonts w:hint="cs"/>
          <w:rtl/>
        </w:rPr>
        <w:t xml:space="preserve">שכך </w:t>
      </w:r>
      <w:bookmarkStart w:id="62084" w:name="_ETM_Q113_339879"/>
      <w:bookmarkEnd w:id="62084"/>
      <w:r>
        <w:rPr>
          <w:rFonts w:hint="cs"/>
          <w:rtl/>
        </w:rPr>
        <w:t xml:space="preserve">יהיה. </w:t>
      </w:r>
    </w:p>
    <w:p w:rsidR="00BB59CD" w:rsidRDefault="00BB59CD" w:rsidP="00BB59CD">
      <w:pPr>
        <w:rPr>
          <w:rtl/>
        </w:rPr>
      </w:pPr>
    </w:p>
    <w:p w:rsidR="00BB59CD" w:rsidRDefault="00BB59CD" w:rsidP="00D61D81">
      <w:pPr>
        <w:rPr>
          <w:rtl/>
        </w:rPr>
      </w:pPr>
      <w:bookmarkStart w:id="62085" w:name="_ETM_Q113_341889"/>
      <w:bookmarkStart w:id="62086" w:name="_ETM_Q113_340360"/>
      <w:bookmarkStart w:id="62087" w:name="_ETM_Q113_340569"/>
      <w:bookmarkEnd w:id="62085"/>
      <w:bookmarkEnd w:id="62086"/>
      <w:bookmarkEnd w:id="62087"/>
      <w:r>
        <w:rPr>
          <w:rFonts w:hint="cs"/>
          <w:rtl/>
        </w:rPr>
        <w:t xml:space="preserve">תראו </w:t>
      </w:r>
      <w:bookmarkStart w:id="62088" w:name="_ETM_Q113_340840"/>
      <w:bookmarkEnd w:id="62088"/>
      <w:r>
        <w:rPr>
          <w:rFonts w:hint="cs"/>
          <w:rtl/>
        </w:rPr>
        <w:t xml:space="preserve">מה </w:t>
      </w:r>
      <w:bookmarkStart w:id="62089" w:name="_ETM_Q113_340989"/>
      <w:bookmarkEnd w:id="62089"/>
      <w:r>
        <w:rPr>
          <w:rFonts w:hint="cs"/>
          <w:rtl/>
        </w:rPr>
        <w:t xml:space="preserve">זה, </w:t>
      </w:r>
      <w:bookmarkStart w:id="62090" w:name="_ETM_Q113_341379"/>
      <w:bookmarkEnd w:id="62090"/>
      <w:r>
        <w:rPr>
          <w:rFonts w:hint="cs"/>
          <w:rtl/>
        </w:rPr>
        <w:t xml:space="preserve">גם עשרות </w:t>
      </w:r>
      <w:bookmarkStart w:id="62091" w:name="_ETM_Q113_342280"/>
      <w:bookmarkEnd w:id="62091"/>
      <w:r>
        <w:rPr>
          <w:rFonts w:hint="cs"/>
          <w:rtl/>
        </w:rPr>
        <w:t xml:space="preserve">שנים </w:t>
      </w:r>
      <w:bookmarkStart w:id="62092" w:name="_ETM_Q113_342549"/>
      <w:bookmarkEnd w:id="62092"/>
      <w:r>
        <w:rPr>
          <w:rFonts w:hint="cs"/>
          <w:rtl/>
        </w:rPr>
        <w:t xml:space="preserve">אחרי </w:t>
      </w:r>
      <w:bookmarkStart w:id="62093" w:name="_ETM_Q113_342819"/>
      <w:bookmarkEnd w:id="62093"/>
      <w:r>
        <w:rPr>
          <w:rFonts w:hint="cs"/>
          <w:rtl/>
        </w:rPr>
        <w:t xml:space="preserve">שהמאמר </w:t>
      </w:r>
      <w:bookmarkStart w:id="62094" w:name="_ETM_Q113_343480"/>
      <w:bookmarkEnd w:id="62094"/>
      <w:r>
        <w:rPr>
          <w:rFonts w:hint="cs"/>
          <w:rtl/>
        </w:rPr>
        <w:t xml:space="preserve">הזה </w:t>
      </w:r>
      <w:bookmarkStart w:id="62095" w:name="_ETM_Q113_343629"/>
      <w:bookmarkEnd w:id="62095"/>
      <w:r>
        <w:rPr>
          <w:rFonts w:hint="cs"/>
          <w:rtl/>
        </w:rPr>
        <w:t xml:space="preserve">נכתב, </w:t>
      </w:r>
      <w:bookmarkStart w:id="62096" w:name="_ETM_Q113_344590"/>
      <w:bookmarkEnd w:id="62096"/>
      <w:r>
        <w:rPr>
          <w:rFonts w:hint="cs"/>
          <w:rtl/>
        </w:rPr>
        <w:t xml:space="preserve">אנחנו </w:t>
      </w:r>
      <w:bookmarkStart w:id="62097" w:name="_ETM_Q113_344950"/>
      <w:bookmarkEnd w:id="62097"/>
      <w:r>
        <w:rPr>
          <w:rFonts w:hint="cs"/>
          <w:rtl/>
        </w:rPr>
        <w:t xml:space="preserve">סביב </w:t>
      </w:r>
      <w:bookmarkStart w:id="62098" w:name="_ETM_Q113_345280"/>
      <w:bookmarkEnd w:id="62098"/>
      <w:r>
        <w:rPr>
          <w:rFonts w:hint="cs"/>
          <w:rtl/>
        </w:rPr>
        <w:t xml:space="preserve">אותו </w:t>
      </w:r>
      <w:bookmarkStart w:id="62099" w:name="_ETM_Q113_345489"/>
      <w:bookmarkEnd w:id="62099"/>
      <w:r>
        <w:rPr>
          <w:rFonts w:hint="cs"/>
          <w:rtl/>
        </w:rPr>
        <w:t xml:space="preserve">דבר, </w:t>
      </w:r>
      <w:bookmarkStart w:id="62100" w:name="_ETM_Q113_346700"/>
      <w:bookmarkEnd w:id="62100"/>
      <w:r>
        <w:rPr>
          <w:rFonts w:hint="cs"/>
          <w:rtl/>
        </w:rPr>
        <w:t xml:space="preserve">החיבור </w:t>
      </w:r>
      <w:bookmarkStart w:id="62101" w:name="_ETM_Q113_347300"/>
      <w:bookmarkEnd w:id="62101"/>
      <w:r>
        <w:rPr>
          <w:rFonts w:hint="cs"/>
          <w:rtl/>
        </w:rPr>
        <w:t xml:space="preserve">בין </w:t>
      </w:r>
      <w:bookmarkStart w:id="62102" w:name="_ETM_Q113_347480"/>
      <w:bookmarkEnd w:id="62102"/>
      <w:r w:rsidR="00D61D81">
        <w:rPr>
          <w:rFonts w:hint="cs"/>
          <w:rtl/>
        </w:rPr>
        <w:t>"</w:t>
      </w:r>
      <w:r>
        <w:rPr>
          <w:rFonts w:hint="cs"/>
          <w:rtl/>
        </w:rPr>
        <w:t>יהודית</w:t>
      </w:r>
      <w:r w:rsidR="00D61D81">
        <w:rPr>
          <w:rFonts w:hint="cs"/>
          <w:rtl/>
        </w:rPr>
        <w:t>"</w:t>
      </w:r>
      <w:r>
        <w:rPr>
          <w:rFonts w:hint="cs"/>
          <w:rtl/>
        </w:rPr>
        <w:t xml:space="preserve"> </w:t>
      </w:r>
      <w:bookmarkStart w:id="62103" w:name="_ETM_Q113_348410"/>
      <w:bookmarkEnd w:id="62103"/>
      <w:r>
        <w:rPr>
          <w:rFonts w:hint="cs"/>
          <w:rtl/>
        </w:rPr>
        <w:t>ל</w:t>
      </w:r>
      <w:r w:rsidR="00D61D81">
        <w:rPr>
          <w:rFonts w:hint="cs"/>
          <w:rtl/>
        </w:rPr>
        <w:t>"</w:t>
      </w:r>
      <w:r>
        <w:rPr>
          <w:rFonts w:hint="cs"/>
          <w:rtl/>
        </w:rPr>
        <w:t>דמוקרטית</w:t>
      </w:r>
      <w:r w:rsidR="00D61D81">
        <w:rPr>
          <w:rFonts w:hint="cs"/>
          <w:rtl/>
        </w:rPr>
        <w:t>"</w:t>
      </w:r>
      <w:r>
        <w:rPr>
          <w:rFonts w:hint="cs"/>
          <w:rtl/>
        </w:rPr>
        <w:t xml:space="preserve">. </w:t>
      </w:r>
      <w:bookmarkStart w:id="62104" w:name="_ETM_Q113_349989"/>
      <w:bookmarkEnd w:id="62104"/>
      <w:r>
        <w:rPr>
          <w:rFonts w:hint="cs"/>
          <w:rtl/>
        </w:rPr>
        <w:t xml:space="preserve">זה </w:t>
      </w:r>
      <w:bookmarkStart w:id="62105" w:name="_ETM_Q113_350200"/>
      <w:bookmarkEnd w:id="62105"/>
      <w:r>
        <w:rPr>
          <w:rFonts w:hint="cs"/>
          <w:rtl/>
        </w:rPr>
        <w:t xml:space="preserve">בעיניי הצו </w:t>
      </w:r>
      <w:bookmarkStart w:id="62106" w:name="_ETM_Q113_351010"/>
      <w:bookmarkStart w:id="62107" w:name="_ETM_Q113_351580"/>
      <w:bookmarkStart w:id="62108" w:name="_ETM_Q113_351819"/>
      <w:bookmarkEnd w:id="62106"/>
      <w:bookmarkEnd w:id="62107"/>
      <w:bookmarkEnd w:id="62108"/>
      <w:r>
        <w:rPr>
          <w:rFonts w:hint="cs"/>
          <w:rtl/>
        </w:rPr>
        <w:t xml:space="preserve">האלוהי </w:t>
      </w:r>
      <w:bookmarkStart w:id="62109" w:name="_ETM_Q113_352150"/>
      <w:bookmarkEnd w:id="62109"/>
      <w:r>
        <w:rPr>
          <w:rFonts w:hint="cs"/>
          <w:rtl/>
        </w:rPr>
        <w:t xml:space="preserve">שלנו, </w:t>
      </w:r>
      <w:bookmarkStart w:id="62110" w:name="_ETM_Q113_352480"/>
      <w:bookmarkEnd w:id="62110"/>
      <w:r>
        <w:rPr>
          <w:rFonts w:hint="cs"/>
          <w:rtl/>
        </w:rPr>
        <w:t xml:space="preserve">וזה </w:t>
      </w:r>
      <w:bookmarkStart w:id="62111" w:name="_ETM_Q113_352569"/>
      <w:bookmarkEnd w:id="62111"/>
      <w:r>
        <w:rPr>
          <w:rFonts w:hint="cs"/>
          <w:rtl/>
        </w:rPr>
        <w:t xml:space="preserve">גם </w:t>
      </w:r>
      <w:bookmarkStart w:id="62112" w:name="_ETM_Q113_352720"/>
      <w:bookmarkEnd w:id="62112"/>
      <w:r>
        <w:rPr>
          <w:rFonts w:hint="cs"/>
          <w:rtl/>
        </w:rPr>
        <w:t xml:space="preserve">הצו </w:t>
      </w:r>
      <w:bookmarkStart w:id="62113" w:name="_ETM_Q113_353110"/>
      <w:bookmarkStart w:id="62114" w:name="_ETM_Q113_353709"/>
      <w:bookmarkEnd w:id="62113"/>
      <w:bookmarkEnd w:id="62114"/>
      <w:r>
        <w:rPr>
          <w:rFonts w:hint="cs"/>
          <w:rtl/>
        </w:rPr>
        <w:t xml:space="preserve">המכונן, </w:t>
      </w:r>
      <w:bookmarkStart w:id="62115" w:name="_ETM_Q113_354250"/>
      <w:bookmarkEnd w:id="62115"/>
      <w:r>
        <w:rPr>
          <w:rFonts w:hint="cs"/>
          <w:rtl/>
        </w:rPr>
        <w:t>החוקי</w:t>
      </w:r>
      <w:bookmarkStart w:id="62116" w:name="_ETM_Q113_354790"/>
      <w:bookmarkEnd w:id="62116"/>
      <w:r w:rsidR="00D61D81">
        <w:rPr>
          <w:rFonts w:hint="cs"/>
          <w:rtl/>
        </w:rPr>
        <w:t>-</w:t>
      </w:r>
      <w:r>
        <w:rPr>
          <w:rFonts w:hint="cs"/>
          <w:rtl/>
        </w:rPr>
        <w:t xml:space="preserve">החוקתי </w:t>
      </w:r>
      <w:bookmarkStart w:id="62117" w:name="_ETM_Q113_355330"/>
      <w:bookmarkEnd w:id="62117"/>
      <w:r>
        <w:rPr>
          <w:rFonts w:hint="cs"/>
          <w:rtl/>
        </w:rPr>
        <w:t xml:space="preserve">שלנו, </w:t>
      </w:r>
      <w:bookmarkStart w:id="62118" w:name="_ETM_Q113_356990"/>
      <w:bookmarkEnd w:id="62118"/>
      <w:r>
        <w:rPr>
          <w:rFonts w:hint="cs"/>
          <w:rtl/>
        </w:rPr>
        <w:t xml:space="preserve">וזה </w:t>
      </w:r>
      <w:bookmarkStart w:id="62119" w:name="_ETM_Q113_357230"/>
      <w:bookmarkEnd w:id="62119"/>
      <w:r>
        <w:rPr>
          <w:rFonts w:hint="cs"/>
          <w:rtl/>
        </w:rPr>
        <w:t xml:space="preserve">גם </w:t>
      </w:r>
      <w:bookmarkStart w:id="62120" w:name="_ETM_Q113_357410"/>
      <w:bookmarkEnd w:id="62120"/>
      <w:r>
        <w:rPr>
          <w:rFonts w:hint="cs"/>
          <w:rtl/>
        </w:rPr>
        <w:t xml:space="preserve">מה </w:t>
      </w:r>
      <w:bookmarkStart w:id="62121" w:name="_ETM_Q113_357500"/>
      <w:bookmarkEnd w:id="62121"/>
      <w:r>
        <w:rPr>
          <w:rFonts w:hint="cs"/>
          <w:rtl/>
        </w:rPr>
        <w:t xml:space="preserve">שיציל </w:t>
      </w:r>
      <w:bookmarkStart w:id="62122" w:name="_ETM_Q113_357919"/>
      <w:bookmarkEnd w:id="62122"/>
      <w:r>
        <w:rPr>
          <w:rFonts w:hint="cs"/>
          <w:rtl/>
        </w:rPr>
        <w:t xml:space="preserve">את </w:t>
      </w:r>
      <w:bookmarkStart w:id="62123" w:name="_ETM_Q113_357980"/>
      <w:bookmarkEnd w:id="62123"/>
      <w:r>
        <w:rPr>
          <w:rFonts w:hint="cs"/>
          <w:rtl/>
        </w:rPr>
        <w:t xml:space="preserve">המדינה </w:t>
      </w:r>
      <w:bookmarkStart w:id="62124" w:name="_ETM_Q113_358430"/>
      <w:bookmarkEnd w:id="62124"/>
      <w:r>
        <w:rPr>
          <w:rFonts w:hint="cs"/>
          <w:rtl/>
        </w:rPr>
        <w:t xml:space="preserve">הזאת, </w:t>
      </w:r>
      <w:bookmarkStart w:id="62125" w:name="_ETM_Q113_359220"/>
      <w:bookmarkEnd w:id="62125"/>
      <w:r>
        <w:rPr>
          <w:rFonts w:hint="cs"/>
          <w:rtl/>
        </w:rPr>
        <w:t xml:space="preserve">ויאפשר </w:t>
      </w:r>
      <w:bookmarkStart w:id="62126" w:name="_ETM_Q113_359819"/>
      <w:bookmarkEnd w:id="62126"/>
      <w:r>
        <w:rPr>
          <w:rFonts w:hint="cs"/>
          <w:rtl/>
        </w:rPr>
        <w:t xml:space="preserve">לנו </w:t>
      </w:r>
      <w:bookmarkStart w:id="62127" w:name="_ETM_Q113_360120"/>
      <w:bookmarkEnd w:id="62127"/>
      <w:r>
        <w:rPr>
          <w:rFonts w:hint="cs"/>
          <w:rtl/>
        </w:rPr>
        <w:t xml:space="preserve">כולנו </w:t>
      </w:r>
      <w:bookmarkStart w:id="62128" w:name="_ETM_Q113_361090"/>
      <w:bookmarkEnd w:id="62128"/>
      <w:r>
        <w:rPr>
          <w:rFonts w:hint="cs"/>
          <w:rtl/>
        </w:rPr>
        <w:t xml:space="preserve">עוד </w:t>
      </w:r>
      <w:bookmarkStart w:id="62129" w:name="_ETM_Q113_361329"/>
      <w:bookmarkEnd w:id="62129"/>
      <w:r>
        <w:rPr>
          <w:rFonts w:hint="cs"/>
          <w:rtl/>
        </w:rPr>
        <w:t xml:space="preserve">עשרות – </w:t>
      </w:r>
      <w:bookmarkStart w:id="62130" w:name="_ETM_Q113_361959"/>
      <w:bookmarkEnd w:id="62130"/>
      <w:r w:rsidR="00D61D81">
        <w:rPr>
          <w:rFonts w:hint="cs"/>
          <w:rtl/>
        </w:rPr>
        <w:t>ו</w:t>
      </w:r>
      <w:r>
        <w:rPr>
          <w:rFonts w:hint="cs"/>
          <w:rtl/>
        </w:rPr>
        <w:t xml:space="preserve">בעזרת </w:t>
      </w:r>
      <w:bookmarkStart w:id="62131" w:name="_ETM_Q113_362349"/>
      <w:bookmarkEnd w:id="62131"/>
      <w:r>
        <w:rPr>
          <w:rFonts w:hint="cs"/>
          <w:rtl/>
        </w:rPr>
        <w:t xml:space="preserve">השם </w:t>
      </w:r>
      <w:bookmarkStart w:id="62132" w:name="_ETM_Q113_362620"/>
      <w:bookmarkEnd w:id="62132"/>
      <w:r>
        <w:rPr>
          <w:rFonts w:hint="cs"/>
          <w:rtl/>
        </w:rPr>
        <w:t xml:space="preserve">מאות </w:t>
      </w:r>
      <w:bookmarkStart w:id="62133" w:name="_ETM_Q113_363189"/>
      <w:bookmarkEnd w:id="62133"/>
      <w:r>
        <w:rPr>
          <w:rFonts w:hint="cs"/>
          <w:rtl/>
        </w:rPr>
        <w:t xml:space="preserve">– </w:t>
      </w:r>
      <w:r w:rsidR="00D61D81">
        <w:rPr>
          <w:rFonts w:hint="cs"/>
          <w:rtl/>
        </w:rPr>
        <w:t xml:space="preserve">של </w:t>
      </w:r>
      <w:r>
        <w:rPr>
          <w:rFonts w:hint="cs"/>
          <w:rtl/>
        </w:rPr>
        <w:t xml:space="preserve">שנים </w:t>
      </w:r>
      <w:bookmarkStart w:id="62134" w:name="_ETM_Q113_364060"/>
      <w:bookmarkEnd w:id="62134"/>
      <w:r>
        <w:rPr>
          <w:rFonts w:hint="cs"/>
          <w:rtl/>
        </w:rPr>
        <w:t xml:space="preserve">של </w:t>
      </w:r>
      <w:bookmarkStart w:id="62135" w:name="_ETM_Q113_364329"/>
      <w:bookmarkEnd w:id="62135"/>
      <w:r>
        <w:rPr>
          <w:rFonts w:hint="cs"/>
          <w:rtl/>
        </w:rPr>
        <w:t xml:space="preserve">חיים </w:t>
      </w:r>
      <w:bookmarkStart w:id="62136" w:name="_ETM_Q113_364779"/>
      <w:bookmarkEnd w:id="62136"/>
      <w:r>
        <w:rPr>
          <w:rFonts w:hint="cs"/>
          <w:rtl/>
        </w:rPr>
        <w:t xml:space="preserve">זה </w:t>
      </w:r>
      <w:bookmarkStart w:id="62137" w:name="_ETM_Q113_364989"/>
      <w:bookmarkEnd w:id="62137"/>
      <w:r>
        <w:rPr>
          <w:rFonts w:hint="cs"/>
          <w:rtl/>
        </w:rPr>
        <w:t xml:space="preserve">לצד </w:t>
      </w:r>
      <w:bookmarkStart w:id="62138" w:name="_ETM_Q113_365349"/>
      <w:bookmarkEnd w:id="62138"/>
      <w:r>
        <w:rPr>
          <w:rFonts w:hint="cs"/>
          <w:rtl/>
        </w:rPr>
        <w:t xml:space="preserve">זה </w:t>
      </w:r>
      <w:bookmarkStart w:id="62139" w:name="_ETM_Q113_365810"/>
      <w:bookmarkEnd w:id="62139"/>
      <w:r>
        <w:rPr>
          <w:rFonts w:hint="cs"/>
          <w:rtl/>
        </w:rPr>
        <w:t>בשגשוג</w:t>
      </w:r>
      <w:r w:rsidR="00D61D81">
        <w:rPr>
          <w:rFonts w:hint="cs"/>
          <w:rtl/>
        </w:rPr>
        <w:t>,</w:t>
      </w:r>
      <w:r>
        <w:rPr>
          <w:rFonts w:hint="cs"/>
          <w:rtl/>
        </w:rPr>
        <w:t xml:space="preserve"> </w:t>
      </w:r>
      <w:bookmarkStart w:id="62140" w:name="_ETM_Q113_368090"/>
      <w:bookmarkEnd w:id="62140"/>
      <w:r>
        <w:rPr>
          <w:rFonts w:hint="cs"/>
          <w:rtl/>
        </w:rPr>
        <w:t xml:space="preserve">בתורה </w:t>
      </w:r>
      <w:bookmarkStart w:id="62141" w:name="_ETM_Q113_368800"/>
      <w:bookmarkStart w:id="62142" w:name="_ETM_Q113_368889"/>
      <w:bookmarkEnd w:id="62141"/>
      <w:bookmarkEnd w:id="62142"/>
      <w:r>
        <w:rPr>
          <w:rFonts w:hint="cs"/>
          <w:rtl/>
        </w:rPr>
        <w:t>וב</w:t>
      </w:r>
      <w:bookmarkStart w:id="62143" w:name="_ETM_Q113_368950"/>
      <w:bookmarkEnd w:id="62143"/>
      <w:r>
        <w:rPr>
          <w:rFonts w:hint="cs"/>
          <w:rtl/>
        </w:rPr>
        <w:t xml:space="preserve">דמוקרטיה. </w:t>
      </w:r>
      <w:bookmarkStart w:id="62144" w:name="_ETM_Q113_370299"/>
      <w:bookmarkEnd w:id="62144"/>
      <w:r>
        <w:rPr>
          <w:rFonts w:hint="cs"/>
          <w:rtl/>
        </w:rPr>
        <w:t xml:space="preserve">תודה </w:t>
      </w:r>
      <w:bookmarkStart w:id="62145" w:name="_ETM_Q113_370540"/>
      <w:bookmarkEnd w:id="62145"/>
      <w:r>
        <w:rPr>
          <w:rFonts w:hint="cs"/>
          <w:rtl/>
        </w:rPr>
        <w:t>רבה.</w:t>
      </w:r>
    </w:p>
    <w:p w:rsidR="00BB59CD" w:rsidRDefault="00BB59CD" w:rsidP="00BB59CD">
      <w:pPr>
        <w:rPr>
          <w:rtl/>
        </w:rPr>
      </w:pPr>
      <w:bookmarkStart w:id="62146" w:name="_ETM_Q113_371289"/>
      <w:bookmarkStart w:id="62147" w:name="_ETM_Q113_371337"/>
      <w:bookmarkEnd w:id="62146"/>
      <w:bookmarkEnd w:id="62147"/>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2148" w:name="_ETM_Q113_374645"/>
      <w:bookmarkEnd w:id="62148"/>
      <w:r>
        <w:rPr>
          <w:rFonts w:hint="cs"/>
          <w:rtl/>
        </w:rPr>
        <w:t xml:space="preserve">תודה רבה לחבר הכנסת עידן רול. אף </w:t>
      </w:r>
      <w:bookmarkStart w:id="62149" w:name="_ETM_Q113_376376"/>
      <w:bookmarkEnd w:id="62149"/>
      <w:r>
        <w:rPr>
          <w:rFonts w:hint="cs"/>
          <w:rtl/>
        </w:rPr>
        <w:t xml:space="preserve">אתה צלחת את 60 הדקות בגבורה ובהצלחה. </w:t>
      </w:r>
    </w:p>
    <w:p w:rsidR="00BB59CD" w:rsidRDefault="00BB59CD" w:rsidP="00BB59CD">
      <w:pPr>
        <w:rPr>
          <w:rtl/>
        </w:rPr>
      </w:pPr>
    </w:p>
    <w:p w:rsidR="00BB59CD" w:rsidRDefault="00BB59CD" w:rsidP="00D61D81">
      <w:pPr>
        <w:rPr>
          <w:rtl/>
        </w:rPr>
      </w:pPr>
      <w:r>
        <w:rPr>
          <w:rFonts w:hint="cs"/>
          <w:rtl/>
        </w:rPr>
        <w:t>אולי תרא</w:t>
      </w:r>
      <w:r w:rsidR="00D61D81">
        <w:rPr>
          <w:rFonts w:hint="cs"/>
          <w:rtl/>
        </w:rPr>
        <w:t>ה</w:t>
      </w:r>
      <w:r>
        <w:rPr>
          <w:rFonts w:hint="cs"/>
          <w:rtl/>
        </w:rPr>
        <w:t xml:space="preserve"> לי את התמונה</w:t>
      </w:r>
      <w:r w:rsidR="00D61D81">
        <w:rPr>
          <w:rFonts w:hint="cs"/>
          <w:rtl/>
        </w:rPr>
        <w:t>,</w:t>
      </w:r>
      <w:r>
        <w:rPr>
          <w:rFonts w:hint="cs"/>
          <w:rtl/>
        </w:rPr>
        <w:t xml:space="preserve"> בלי להציג אותה?</w:t>
      </w:r>
    </w:p>
    <w:p w:rsidR="00BB59CD" w:rsidRDefault="00BB59CD" w:rsidP="00BB59CD">
      <w:pPr>
        <w:rPr>
          <w:rtl/>
        </w:rPr>
      </w:pPr>
    </w:p>
    <w:p w:rsidR="00BB59CD" w:rsidRDefault="00BB59CD" w:rsidP="00BB59CD">
      <w:pPr>
        <w:pStyle w:val="af8"/>
        <w:keepNext/>
        <w:rPr>
          <w:rtl/>
        </w:rPr>
      </w:pPr>
      <w:bookmarkStart w:id="62150" w:name="ET_interruption_קר_אה_20"/>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bookmarkEnd w:id="62150"/>
    </w:p>
    <w:p w:rsidR="00BB59CD" w:rsidRDefault="00BB59CD" w:rsidP="00337201">
      <w:pPr>
        <w:rPr>
          <w:rtl/>
          <w:lang w:eastAsia="he-IL"/>
        </w:rPr>
      </w:pPr>
    </w:p>
    <w:p w:rsidR="00BB59CD" w:rsidRDefault="00D61D81" w:rsidP="00D61D81">
      <w:pPr>
        <w:rPr>
          <w:rtl/>
          <w:lang w:eastAsia="he-IL"/>
        </w:rPr>
      </w:pPr>
      <w:r>
        <w:rPr>
          <w:rFonts w:hint="cs"/>
          <w:rtl/>
          <w:lang w:eastAsia="he-IL"/>
        </w:rPr>
        <w:t xml:space="preserve">אני חושב </w:t>
      </w:r>
      <w:bookmarkStart w:id="62151" w:name="_ETM_Q0_67408612"/>
      <w:bookmarkEnd w:id="62151"/>
      <w:r>
        <w:rPr>
          <w:rFonts w:hint="cs"/>
          <w:rtl/>
          <w:lang w:eastAsia="he-IL"/>
        </w:rPr>
        <w:t>ש</w:t>
      </w:r>
      <w:r w:rsidR="00BB59CD">
        <w:rPr>
          <w:rFonts w:hint="cs"/>
          <w:rtl/>
          <w:lang w:eastAsia="he-IL"/>
        </w:rPr>
        <w:t xml:space="preserve">הצופים בבית גם רוצים </w:t>
      </w:r>
      <w:r>
        <w:rPr>
          <w:rFonts w:hint="cs"/>
          <w:rtl/>
          <w:lang w:eastAsia="he-IL"/>
        </w:rPr>
        <w:t xml:space="preserve">לראות.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עידן רול (יש עתיד):</w:t>
      </w:r>
      <w:r>
        <w:rPr>
          <w:rStyle w:val="TagStyle"/>
          <w:rtl/>
        </w:rPr>
        <w:t xml:space="preserve"> &lt;&lt; קריאה &gt;&gt;</w:t>
      </w:r>
      <w:r>
        <w:rPr>
          <w:rFonts w:hint="cs"/>
          <w:rtl/>
        </w:rPr>
        <w:t xml:space="preserve">   </w:t>
      </w:r>
    </w:p>
    <w:p w:rsidR="00BB59CD" w:rsidRDefault="00BB59CD" w:rsidP="00BB59CD">
      <w:pPr>
        <w:keepNext/>
        <w:rPr>
          <w:rtl/>
        </w:rPr>
      </w:pPr>
    </w:p>
    <w:p w:rsidR="00BB59CD" w:rsidRDefault="00BB59CD" w:rsidP="00BB59CD">
      <w:pPr>
        <w:rPr>
          <w:rtl/>
          <w:lang w:eastAsia="he-IL"/>
        </w:rPr>
      </w:pPr>
      <w:r>
        <w:rPr>
          <w:rFonts w:hint="cs"/>
          <w:rtl/>
          <w:lang w:eastAsia="he-IL"/>
        </w:rPr>
        <w:t>אסור לפי התקנון. תראה כמה יפים סבא וסבתא שלי, זיכרונם לברכה.</w:t>
      </w:r>
      <w:r w:rsidR="00D61D81">
        <w:rPr>
          <w:rFonts w:hint="cs"/>
          <w:rtl/>
          <w:lang w:eastAsia="he-IL"/>
        </w:rPr>
        <w:t xml:space="preserve"> תודה רבה, לילה טוב.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BB59CD">
      <w:pPr>
        <w:rPr>
          <w:rtl/>
        </w:rPr>
      </w:pPr>
    </w:p>
    <w:p w:rsidR="00BB59CD" w:rsidRDefault="00BB59CD" w:rsidP="00D61D81">
      <w:pPr>
        <w:rPr>
          <w:rtl/>
        </w:rPr>
      </w:pPr>
      <w:r>
        <w:rPr>
          <w:rFonts w:hint="cs"/>
          <w:rtl/>
        </w:rPr>
        <w:t xml:space="preserve">תודה. חבר הכנסת נאור שירי, </w:t>
      </w:r>
      <w:bookmarkStart w:id="62152" w:name="_ETM_Q113_396974"/>
      <w:bookmarkEnd w:id="62152"/>
      <w:r>
        <w:rPr>
          <w:rFonts w:hint="cs"/>
          <w:rtl/>
        </w:rPr>
        <w:t>בבקשה.</w:t>
      </w:r>
      <w:r w:rsidR="00D61D81">
        <w:rPr>
          <w:rFonts w:hint="cs"/>
          <w:rtl/>
        </w:rPr>
        <w:t xml:space="preserve"> </w:t>
      </w:r>
      <w:bookmarkStart w:id="62153" w:name="_ETM_Q113_395769"/>
      <w:bookmarkStart w:id="62154" w:name="_ETM_Q113_395808"/>
      <w:bookmarkStart w:id="62155" w:name="_ETM_Q113_405936"/>
      <w:bookmarkStart w:id="62156" w:name="_ETM_Q113_406000"/>
      <w:bookmarkEnd w:id="62153"/>
      <w:bookmarkEnd w:id="62154"/>
      <w:bookmarkEnd w:id="62155"/>
      <w:bookmarkEnd w:id="62156"/>
      <w:r>
        <w:rPr>
          <w:rFonts w:hint="cs"/>
          <w:rtl/>
        </w:rPr>
        <w:t>50 דקות לרשותך.</w:t>
      </w:r>
    </w:p>
    <w:p w:rsidR="00BB59CD" w:rsidRDefault="00BB59CD" w:rsidP="00BB59CD">
      <w:pPr>
        <w:rPr>
          <w:rtl/>
        </w:rPr>
      </w:pPr>
      <w:bookmarkStart w:id="62157" w:name="_ETM_Q113_398762"/>
      <w:bookmarkStart w:id="62158" w:name="_ETM_Q113_400399"/>
      <w:bookmarkEnd w:id="62157"/>
      <w:bookmarkEnd w:id="62158"/>
    </w:p>
    <w:p w:rsidR="00BB59CD" w:rsidRDefault="00BB59CD" w:rsidP="00BB59CD">
      <w:pPr>
        <w:pStyle w:val="a5"/>
        <w:keepNext/>
        <w:rPr>
          <w:rtl/>
        </w:rPr>
      </w:pPr>
      <w:bookmarkStart w:id="62159" w:name="ET_speaker_6361_4"/>
      <w:r>
        <w:rPr>
          <w:rStyle w:val="TagStyle"/>
          <w:rFonts w:hint="cs"/>
          <w:rtl/>
        </w:rPr>
        <w:t xml:space="preserve"> &lt;&lt; דובר &gt;&gt; </w:t>
      </w:r>
      <w:bookmarkStart w:id="62160" w:name="_Toc141197178"/>
      <w:bookmarkStart w:id="62161" w:name="_Toc141196914"/>
      <w:r>
        <w:rPr>
          <w:rFonts w:hint="cs"/>
          <w:rtl/>
        </w:rPr>
        <w:t>נאור שירי (יש עתיד):</w:t>
      </w:r>
      <w:bookmarkEnd w:id="62160"/>
      <w:bookmarkEnd w:id="62161"/>
      <w:r>
        <w:rPr>
          <w:rStyle w:val="TagStyle"/>
          <w:rFonts w:hint="cs"/>
          <w:rtl/>
        </w:rPr>
        <w:t xml:space="preserve"> &lt;&lt; דובר &gt;&gt;</w:t>
      </w:r>
      <w:r>
        <w:rPr>
          <w:rFonts w:hint="cs"/>
          <w:rtl/>
        </w:rPr>
        <w:t xml:space="preserve">   </w:t>
      </w:r>
      <w:bookmarkEnd w:id="62159"/>
    </w:p>
    <w:p w:rsidR="00BB59CD" w:rsidRDefault="00BB59CD" w:rsidP="00337201">
      <w:pPr>
        <w:rPr>
          <w:rtl/>
        </w:rPr>
      </w:pPr>
    </w:p>
    <w:p w:rsidR="00BB59CD" w:rsidRDefault="00BB59CD" w:rsidP="00BB59CD">
      <w:pPr>
        <w:rPr>
          <w:rtl/>
        </w:rPr>
      </w:pPr>
      <w:bookmarkStart w:id="62162" w:name="_ETM_Q113_400717"/>
      <w:bookmarkStart w:id="62163" w:name="_ETM_Q113_400761"/>
      <w:bookmarkEnd w:id="62162"/>
      <w:bookmarkEnd w:id="62163"/>
      <w:r>
        <w:rPr>
          <w:rFonts w:hint="cs"/>
          <w:rtl/>
        </w:rPr>
        <w:t xml:space="preserve">אדוני היושב-ראש, </w:t>
      </w:r>
      <w:bookmarkStart w:id="62164" w:name="_ETM_Q113_371490"/>
      <w:bookmarkStart w:id="62165" w:name="_ETM_Q113_371526"/>
      <w:bookmarkStart w:id="62166" w:name="_ETM_Q113_371109"/>
      <w:bookmarkStart w:id="62167" w:name="_ETM_Q113_393540"/>
      <w:bookmarkStart w:id="62168" w:name="_ETM_Q113_393930"/>
      <w:bookmarkStart w:id="62169" w:name="_ETM_Q113_394319"/>
      <w:bookmarkStart w:id="62170" w:name="_ETM_Q113_394890"/>
      <w:bookmarkStart w:id="62171" w:name="_ETM_Q113_395609"/>
      <w:bookmarkStart w:id="62172" w:name="_ETM_Q113_395939"/>
      <w:bookmarkStart w:id="62173" w:name="_ETM_Q113_396209"/>
      <w:bookmarkStart w:id="62174" w:name="_ETM_Q113_396450"/>
      <w:bookmarkStart w:id="62175" w:name="_ETM_Q113_397250"/>
      <w:bookmarkStart w:id="62176" w:name="_ETM_Q113_412739"/>
      <w:bookmarkStart w:id="62177" w:name="_ETM_Q113_413129"/>
      <w:bookmarkStart w:id="62178" w:name="_ETM_Q113_416329"/>
      <w:bookmarkStart w:id="62179" w:name="_ETM_Q113_416810"/>
      <w:bookmarkStart w:id="62180" w:name="_ETM_Q113_417139"/>
      <w:bookmarkStart w:id="62181" w:name="_ETM_Q113_420850"/>
      <w:bookmarkStart w:id="62182" w:name="_ETM_Q113_424200"/>
      <w:bookmarkStart w:id="62183" w:name="_ETM_Q113_424560"/>
      <w:bookmarkStart w:id="62184" w:name="_ETM_Q113_426260"/>
      <w:bookmarkStart w:id="62185" w:name="_ETM_Q113_426859"/>
      <w:bookmarkEnd w:id="62164"/>
      <w:bookmarkEnd w:id="62165"/>
      <w:bookmarkEnd w:id="62166"/>
      <w:bookmarkEnd w:id="62167"/>
      <w:bookmarkEnd w:id="62168"/>
      <w:bookmarkEnd w:id="62169"/>
      <w:bookmarkEnd w:id="62170"/>
      <w:bookmarkEnd w:id="62171"/>
      <w:bookmarkEnd w:id="62172"/>
      <w:bookmarkEnd w:id="62173"/>
      <w:bookmarkEnd w:id="62174"/>
      <w:bookmarkEnd w:id="62175"/>
      <w:bookmarkEnd w:id="62176"/>
      <w:bookmarkEnd w:id="62177"/>
      <w:bookmarkEnd w:id="62178"/>
      <w:bookmarkEnd w:id="62179"/>
      <w:bookmarkEnd w:id="62180"/>
      <w:bookmarkEnd w:id="62181"/>
      <w:bookmarkEnd w:id="62182"/>
      <w:bookmarkEnd w:id="62183"/>
      <w:bookmarkEnd w:id="62184"/>
      <w:bookmarkEnd w:id="62185"/>
      <w:r>
        <w:rPr>
          <w:rFonts w:hint="cs"/>
          <w:rtl/>
        </w:rPr>
        <w:t xml:space="preserve">חברִי חבר </w:t>
      </w:r>
      <w:bookmarkStart w:id="62186" w:name="_ETM_Q113_427159"/>
      <w:bookmarkEnd w:id="62186"/>
      <w:r>
        <w:rPr>
          <w:rFonts w:hint="cs"/>
          <w:rtl/>
        </w:rPr>
        <w:t xml:space="preserve">הכנסת, </w:t>
      </w:r>
      <w:bookmarkStart w:id="62187" w:name="_ETM_Q113_427879"/>
      <w:bookmarkEnd w:id="62187"/>
      <w:r>
        <w:rPr>
          <w:rFonts w:hint="cs"/>
          <w:rtl/>
        </w:rPr>
        <w:t xml:space="preserve">השר, </w:t>
      </w:r>
      <w:bookmarkStart w:id="62188" w:name="_ETM_Q113_429599"/>
      <w:bookmarkEnd w:id="62188"/>
      <w:r>
        <w:rPr>
          <w:rFonts w:hint="cs"/>
          <w:rtl/>
        </w:rPr>
        <w:t xml:space="preserve">הצופים </w:t>
      </w:r>
      <w:bookmarkStart w:id="62189" w:name="_ETM_Q113_430020"/>
      <w:bookmarkEnd w:id="62189"/>
      <w:r>
        <w:rPr>
          <w:rFonts w:hint="cs"/>
          <w:rtl/>
        </w:rPr>
        <w:t xml:space="preserve">בבית. </w:t>
      </w:r>
      <w:bookmarkStart w:id="62190" w:name="_ETM_Q113_432239"/>
      <w:bookmarkEnd w:id="62190"/>
      <w:r>
        <w:rPr>
          <w:rFonts w:hint="cs"/>
          <w:rtl/>
        </w:rPr>
        <w:t xml:space="preserve">מה </w:t>
      </w:r>
      <w:bookmarkStart w:id="62191" w:name="_ETM_Q113_432360"/>
      <w:bookmarkEnd w:id="62191"/>
      <w:r>
        <w:rPr>
          <w:rFonts w:hint="cs"/>
          <w:rtl/>
        </w:rPr>
        <w:t>שלומך?</w:t>
      </w:r>
    </w:p>
    <w:p w:rsidR="00BB59CD" w:rsidRDefault="00BB59CD" w:rsidP="00BB59CD">
      <w:pPr>
        <w:rPr>
          <w:rtl/>
        </w:rPr>
      </w:pPr>
      <w:bookmarkStart w:id="62192" w:name="_ETM_Q113_432397"/>
      <w:bookmarkEnd w:id="6219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2193" w:name="_ETM_Q113_433743"/>
      <w:bookmarkEnd w:id="62193"/>
      <w:r>
        <w:rPr>
          <w:rFonts w:hint="cs"/>
          <w:rtl/>
        </w:rPr>
        <w:t xml:space="preserve">צופים הרבה </w:t>
      </w:r>
      <w:bookmarkStart w:id="62194" w:name="_ETM_Q113_434364"/>
      <w:bookmarkEnd w:id="62194"/>
      <w:r>
        <w:rPr>
          <w:rFonts w:hint="cs"/>
          <w:rtl/>
        </w:rPr>
        <w:t>בבית, שתדע.</w:t>
      </w:r>
    </w:p>
    <w:p w:rsidR="00BB59CD" w:rsidRDefault="00BB59CD" w:rsidP="00BB59CD">
      <w:pPr>
        <w:rPr>
          <w:rtl/>
        </w:rPr>
      </w:pPr>
      <w:bookmarkStart w:id="62195" w:name="_ETM_Q113_434047"/>
      <w:bookmarkStart w:id="62196" w:name="_ETM_Q113_434049"/>
      <w:bookmarkEnd w:id="62195"/>
      <w:bookmarkEnd w:id="62196"/>
    </w:p>
    <w:p w:rsidR="00BB59CD" w:rsidRDefault="00BB59CD" w:rsidP="00BB59CD">
      <w:pPr>
        <w:pStyle w:val="-"/>
        <w:keepNext/>
        <w:rPr>
          <w:rtl/>
        </w:rPr>
      </w:pPr>
      <w:bookmarkStart w:id="62197" w:name="ET_speakercontinue_6361_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2197"/>
    </w:p>
    <w:p w:rsidR="00BB59CD" w:rsidRDefault="00BB59CD" w:rsidP="00337201">
      <w:pPr>
        <w:rPr>
          <w:rtl/>
        </w:rPr>
      </w:pPr>
    </w:p>
    <w:p w:rsidR="00BB59CD" w:rsidRDefault="00BB59CD" w:rsidP="00BB59CD">
      <w:pPr>
        <w:rPr>
          <w:rtl/>
        </w:rPr>
      </w:pPr>
      <w:bookmarkStart w:id="62198" w:name="_ETM_Q113_435023"/>
      <w:bookmarkStart w:id="62199" w:name="_ETM_Q113_432429"/>
      <w:bookmarkStart w:id="62200" w:name="_ETM_Q113_433180"/>
      <w:bookmarkStart w:id="62201" w:name="_ETM_Q113_433659"/>
      <w:bookmarkStart w:id="62202" w:name="_ETM_Q113_433870"/>
      <w:bookmarkStart w:id="62203" w:name="_ETM_Q113_434499"/>
      <w:bookmarkEnd w:id="62198"/>
      <w:bookmarkEnd w:id="62199"/>
      <w:bookmarkEnd w:id="62200"/>
      <w:bookmarkEnd w:id="62201"/>
      <w:bookmarkEnd w:id="62202"/>
      <w:bookmarkEnd w:id="62203"/>
      <w:r>
        <w:rPr>
          <w:rFonts w:hint="cs"/>
          <w:rtl/>
        </w:rPr>
        <w:t xml:space="preserve">אני </w:t>
      </w:r>
      <w:bookmarkStart w:id="62204" w:name="_ETM_Q113_434620"/>
      <w:bookmarkEnd w:id="62204"/>
      <w:r>
        <w:rPr>
          <w:rFonts w:hint="cs"/>
          <w:rtl/>
        </w:rPr>
        <w:t xml:space="preserve">בטוח </w:t>
      </w:r>
      <w:bookmarkStart w:id="62205" w:name="_ETM_Q113_434949"/>
      <w:bookmarkEnd w:id="62205"/>
      <w:r>
        <w:rPr>
          <w:rFonts w:hint="cs"/>
          <w:rtl/>
        </w:rPr>
        <w:t xml:space="preserve">שצופים. </w:t>
      </w:r>
      <w:bookmarkStart w:id="62206" w:name="_ETM_Q113_435819"/>
      <w:bookmarkEnd w:id="62206"/>
      <w:r>
        <w:rPr>
          <w:rFonts w:hint="cs"/>
          <w:rtl/>
        </w:rPr>
        <w:t xml:space="preserve">אני </w:t>
      </w:r>
      <w:bookmarkStart w:id="62207" w:name="_ETM_Q113_436029"/>
      <w:bookmarkEnd w:id="62207"/>
      <w:r>
        <w:rPr>
          <w:rFonts w:hint="cs"/>
          <w:rtl/>
        </w:rPr>
        <w:t xml:space="preserve">חייב </w:t>
      </w:r>
      <w:bookmarkStart w:id="62208" w:name="_ETM_Q113_436240"/>
      <w:bookmarkEnd w:id="62208"/>
      <w:r>
        <w:rPr>
          <w:rFonts w:hint="cs"/>
          <w:rtl/>
        </w:rPr>
        <w:t xml:space="preserve">להגיד </w:t>
      </w:r>
      <w:bookmarkStart w:id="62209" w:name="_ETM_Q113_436449"/>
      <w:bookmarkEnd w:id="62209"/>
      <w:r>
        <w:rPr>
          <w:rFonts w:hint="cs"/>
          <w:rtl/>
        </w:rPr>
        <w:t xml:space="preserve">לך </w:t>
      </w:r>
      <w:bookmarkStart w:id="62210" w:name="_ETM_Q113_436569"/>
      <w:bookmarkEnd w:id="62210"/>
      <w:r>
        <w:rPr>
          <w:rFonts w:hint="cs"/>
          <w:rtl/>
        </w:rPr>
        <w:t xml:space="preserve">שהצטננתי </w:t>
      </w:r>
      <w:bookmarkStart w:id="62211" w:name="_ETM_Q113_437259"/>
      <w:bookmarkEnd w:id="62211"/>
      <w:r>
        <w:rPr>
          <w:rFonts w:hint="cs"/>
          <w:rtl/>
        </w:rPr>
        <w:t>קצת בשעתיים האחרונות.</w:t>
      </w:r>
    </w:p>
    <w:p w:rsidR="00BB59CD" w:rsidRDefault="00BB59CD" w:rsidP="00BB59CD">
      <w:pPr>
        <w:rPr>
          <w:rtl/>
        </w:rPr>
      </w:pPr>
      <w:bookmarkStart w:id="62212" w:name="_ETM_Q113_436995"/>
      <w:bookmarkEnd w:id="6221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2213" w:name="_ETM_Q113_438187"/>
      <w:bookmarkEnd w:id="62213"/>
      <w:r>
        <w:rPr>
          <w:rFonts w:hint="cs"/>
          <w:rtl/>
        </w:rPr>
        <w:t>אני מקבל הודעות מאנשים. אני אומר להם</w:t>
      </w:r>
      <w:bookmarkStart w:id="62214" w:name="_ETM_Q113_442713"/>
      <w:bookmarkEnd w:id="62214"/>
      <w:r>
        <w:rPr>
          <w:rFonts w:hint="cs"/>
          <w:rtl/>
        </w:rPr>
        <w:t>: מילא אנחנו כאן בעבודה, תישנו.</w:t>
      </w:r>
    </w:p>
    <w:p w:rsidR="00BB59CD" w:rsidRDefault="00BB59CD" w:rsidP="00BB59CD">
      <w:pPr>
        <w:rPr>
          <w:rtl/>
        </w:rPr>
      </w:pPr>
    </w:p>
    <w:p w:rsidR="00BB59CD" w:rsidRDefault="00BB59CD" w:rsidP="00BB59CD">
      <w:pPr>
        <w:pStyle w:val="-"/>
        <w:keepNext/>
        <w:rPr>
          <w:rtl/>
        </w:rPr>
      </w:pPr>
      <w:bookmarkStart w:id="62215" w:name="ET_speakercontinue_6361_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2215"/>
    </w:p>
    <w:p w:rsidR="00BB59CD" w:rsidRDefault="00BB59CD" w:rsidP="00337201">
      <w:pPr>
        <w:rPr>
          <w:rtl/>
        </w:rPr>
      </w:pPr>
    </w:p>
    <w:p w:rsidR="00BB59CD" w:rsidRDefault="00BB59CD" w:rsidP="00BB59CD">
      <w:pPr>
        <w:rPr>
          <w:rtl/>
        </w:rPr>
      </w:pPr>
      <w:bookmarkStart w:id="62216" w:name="_ETM_Q113_443818"/>
      <w:bookmarkEnd w:id="62216"/>
      <w:r>
        <w:rPr>
          <w:rFonts w:hint="cs"/>
          <w:rtl/>
        </w:rPr>
        <w:t xml:space="preserve">יש הודעות? אתה רוצה לחלוק </w:t>
      </w:r>
      <w:bookmarkStart w:id="62217" w:name="_ETM_Q113_448808"/>
      <w:bookmarkEnd w:id="62217"/>
      <w:r>
        <w:rPr>
          <w:rFonts w:hint="cs"/>
          <w:rtl/>
        </w:rPr>
        <w:t>איתנו?</w:t>
      </w:r>
    </w:p>
    <w:p w:rsidR="00BB59CD" w:rsidRDefault="00BB59CD" w:rsidP="00BB59CD">
      <w:pPr>
        <w:rPr>
          <w:rtl/>
        </w:rPr>
      </w:pPr>
      <w:bookmarkStart w:id="62218" w:name="_ETM_Q113_450440"/>
      <w:bookmarkStart w:id="62219" w:name="_ETM_Q113_450477"/>
      <w:bookmarkEnd w:id="62218"/>
      <w:bookmarkEnd w:id="62219"/>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924280">
      <w:pPr>
        <w:rPr>
          <w:rtl/>
        </w:rPr>
      </w:pPr>
      <w:bookmarkStart w:id="62220" w:name="_ETM_Q113_451069"/>
      <w:bookmarkEnd w:id="62220"/>
      <w:r>
        <w:rPr>
          <w:rFonts w:hint="cs"/>
          <w:rtl/>
        </w:rPr>
        <w:t>לפי המי</w:t>
      </w:r>
      <w:r w:rsidR="00924280">
        <w:rPr>
          <w:rFonts w:hint="cs"/>
          <w:rtl/>
        </w:rPr>
        <w:t>דע</w:t>
      </w:r>
      <w:r>
        <w:rPr>
          <w:rFonts w:hint="cs"/>
          <w:rtl/>
        </w:rPr>
        <w:t xml:space="preserve"> אנחנו נקבל פידבקים.</w:t>
      </w:r>
    </w:p>
    <w:p w:rsidR="00BB59CD" w:rsidRDefault="00BB59CD" w:rsidP="00BB59CD">
      <w:pPr>
        <w:rPr>
          <w:rtl/>
        </w:rPr>
      </w:pPr>
      <w:bookmarkStart w:id="62221" w:name="_ETM_Q113_451633"/>
      <w:bookmarkStart w:id="62222" w:name="_ETM_Q113_451665"/>
      <w:bookmarkEnd w:id="62221"/>
      <w:bookmarkEnd w:id="62222"/>
    </w:p>
    <w:p w:rsidR="00BB59CD" w:rsidRDefault="00BB59CD" w:rsidP="00BB59CD">
      <w:pPr>
        <w:pStyle w:val="-"/>
        <w:keepNext/>
        <w:rPr>
          <w:rtl/>
        </w:rPr>
      </w:pPr>
      <w:bookmarkStart w:id="62223" w:name="ET_speakercontinue_6361_1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2223"/>
    </w:p>
    <w:p w:rsidR="00BB59CD" w:rsidRDefault="00BB59CD" w:rsidP="00337201">
      <w:pPr>
        <w:rPr>
          <w:rtl/>
        </w:rPr>
      </w:pPr>
    </w:p>
    <w:p w:rsidR="00BB59CD" w:rsidRDefault="00BB59CD" w:rsidP="00924280">
      <w:pPr>
        <w:rPr>
          <w:rtl/>
        </w:rPr>
      </w:pPr>
      <w:bookmarkStart w:id="62224" w:name="_ETM_Q113_452119"/>
      <w:bookmarkEnd w:id="62224"/>
      <w:r>
        <w:rPr>
          <w:rFonts w:hint="cs"/>
          <w:rtl/>
        </w:rPr>
        <w:t>ק</w:t>
      </w:r>
      <w:r w:rsidR="00924280">
        <w:rPr>
          <w:rFonts w:hint="cs"/>
          <w:rtl/>
        </w:rPr>
        <w:t>ודם כול, אני רוצה לפתוח באיחולים ו</w:t>
      </w:r>
      <w:bookmarkStart w:id="62225" w:name="_ETM_Q113_461021"/>
      <w:bookmarkEnd w:id="62225"/>
      <w:r>
        <w:rPr>
          <w:rFonts w:hint="cs"/>
          <w:rtl/>
        </w:rPr>
        <w:t>ברכות לראש הממשלה</w:t>
      </w:r>
      <w:r w:rsidR="00924280">
        <w:rPr>
          <w:rFonts w:hint="cs"/>
          <w:rtl/>
        </w:rPr>
        <w:t>,</w:t>
      </w:r>
      <w:r>
        <w:rPr>
          <w:rFonts w:hint="cs"/>
          <w:rtl/>
        </w:rPr>
        <w:t xml:space="preserve"> ובריאות כמובן. ברכות ובריאות. גם אתה הצטננת.</w:t>
      </w:r>
      <w:bookmarkStart w:id="62226" w:name="_ETM_Q113_469666"/>
      <w:bookmarkEnd w:id="62226"/>
      <w:r>
        <w:rPr>
          <w:rFonts w:hint="cs"/>
          <w:rtl/>
        </w:rPr>
        <w:t xml:space="preserve"> רק נזלת, נכון? טוב לדעת שאני לא לבד באירוע.</w:t>
      </w:r>
      <w:bookmarkStart w:id="62227" w:name="_ETM_Q113_481019"/>
      <w:bookmarkStart w:id="62228" w:name="_ETM_Q113_481078"/>
      <w:bookmarkStart w:id="62229" w:name="_ETM_Q113_481217"/>
      <w:bookmarkStart w:id="62230" w:name="_ETM_Q113_481269"/>
      <w:bookmarkEnd w:id="62227"/>
      <w:bookmarkEnd w:id="62228"/>
      <w:bookmarkEnd w:id="62229"/>
      <w:bookmarkEnd w:id="62230"/>
      <w:r>
        <w:rPr>
          <w:rFonts w:hint="cs"/>
          <w:rtl/>
        </w:rPr>
        <w:t xml:space="preserve"> באמת בריאות. </w:t>
      </w:r>
      <w:bookmarkStart w:id="62231" w:name="_ETM_Q113_486762"/>
      <w:bookmarkEnd w:id="62231"/>
      <w:r>
        <w:rPr>
          <w:rFonts w:hint="cs"/>
          <w:rtl/>
        </w:rPr>
        <w:t xml:space="preserve">אני חושב שגם חשוב לדבר ולחשוב איך הגענו למצב שבו ראש </w:t>
      </w:r>
      <w:bookmarkStart w:id="62232" w:name="_ETM_Q113_493697"/>
      <w:bookmarkEnd w:id="62232"/>
      <w:r>
        <w:rPr>
          <w:rFonts w:hint="cs"/>
          <w:rtl/>
        </w:rPr>
        <w:t xml:space="preserve">הממשלה שלנו מתאשפז בבית חולים כי </w:t>
      </w:r>
      <w:bookmarkStart w:id="62233" w:name="_ETM_Q113_437138"/>
      <w:bookmarkStart w:id="62234" w:name="_ETM_Q113_437174"/>
      <w:bookmarkStart w:id="62235" w:name="_ETM_Q113_437529"/>
      <w:bookmarkStart w:id="62236" w:name="_ETM_Q113_437860"/>
      <w:bookmarkStart w:id="62237" w:name="_ETM_Q113_438159"/>
      <w:bookmarkStart w:id="62238" w:name="_ETM_Q113_438729"/>
      <w:bookmarkStart w:id="62239" w:name="_ETM_Q113_438879"/>
      <w:bookmarkStart w:id="62240" w:name="_ETM_Q113_439000"/>
      <w:bookmarkStart w:id="62241" w:name="_ETM_Q113_439240"/>
      <w:bookmarkStart w:id="62242" w:name="_ETM_Q113_439569"/>
      <w:bookmarkStart w:id="62243" w:name="_ETM_Q113_439930"/>
      <w:bookmarkStart w:id="62244" w:name="_ETM_Q113_440560"/>
      <w:bookmarkStart w:id="62245" w:name="_ETM_Q113_441159"/>
      <w:bookmarkStart w:id="62246" w:name="_ETM_Q113_442150"/>
      <w:bookmarkStart w:id="62247" w:name="_ETM_Q113_442779"/>
      <w:bookmarkStart w:id="62248" w:name="_ETM_Q113_444430"/>
      <w:bookmarkStart w:id="62249" w:name="_ETM_Q113_444669"/>
      <w:bookmarkStart w:id="62250" w:name="_ETM_Q113_444849"/>
      <w:bookmarkStart w:id="62251" w:name="_ETM_Q113_445180"/>
      <w:bookmarkStart w:id="62252" w:name="_ETM_Q113_446410"/>
      <w:bookmarkStart w:id="62253" w:name="_ETM_Q113_446830"/>
      <w:bookmarkStart w:id="62254" w:name="_ETM_Q113_447850"/>
      <w:bookmarkStart w:id="62255" w:name="_ETM_Q113_448120"/>
      <w:bookmarkStart w:id="62256" w:name="_ETM_Q113_448870"/>
      <w:bookmarkStart w:id="62257" w:name="_ETM_Q113_449320"/>
      <w:bookmarkStart w:id="62258" w:name="_ETM_Q113_449620"/>
      <w:bookmarkStart w:id="62259" w:name="_ETM_Q113_450740"/>
      <w:bookmarkStart w:id="62260" w:name="_ETM_Q113_451160"/>
      <w:bookmarkStart w:id="62261" w:name="_ETM_Q113_451669"/>
      <w:bookmarkStart w:id="62262" w:name="_ETM_Q113_451940"/>
      <w:bookmarkStart w:id="62263" w:name="_ETM_Q113_452150"/>
      <w:bookmarkStart w:id="62264" w:name="_ETM_Q113_452330"/>
      <w:bookmarkStart w:id="62265" w:name="_ETM_Q113_454669"/>
      <w:bookmarkStart w:id="62266" w:name="_ETM_Q113_454819"/>
      <w:bookmarkStart w:id="62267" w:name="_ETM_Q113_454969"/>
      <w:bookmarkStart w:id="62268" w:name="_ETM_Q113_455479"/>
      <w:bookmarkStart w:id="62269" w:name="_ETM_Q113_455629"/>
      <w:bookmarkStart w:id="62270" w:name="_ETM_Q113_457570"/>
      <w:bookmarkStart w:id="62271" w:name="_ETM_Q113_458889"/>
      <w:bookmarkStart w:id="62272" w:name="_ETM_Q113_459339"/>
      <w:bookmarkStart w:id="62273" w:name="_ETM_Q113_460690"/>
      <w:bookmarkStart w:id="62274" w:name="_ETM_Q113_461350"/>
      <w:bookmarkStart w:id="62275" w:name="_ETM_Q113_461770"/>
      <w:bookmarkStart w:id="62276" w:name="_ETM_Q113_462160"/>
      <w:bookmarkStart w:id="62277" w:name="_ETM_Q113_462730"/>
      <w:bookmarkStart w:id="62278" w:name="_ETM_Q113_462910"/>
      <w:bookmarkStart w:id="62279" w:name="_ETM_Q113_463150"/>
      <w:bookmarkStart w:id="62280" w:name="_ETM_Q113_466240"/>
      <w:bookmarkStart w:id="62281" w:name="_ETM_Q113_466449"/>
      <w:bookmarkStart w:id="62282" w:name="_ETM_Q113_466900"/>
      <w:bookmarkStart w:id="62283" w:name="_ETM_Q113_470529"/>
      <w:bookmarkStart w:id="62284" w:name="_ETM_Q113_470740"/>
      <w:bookmarkStart w:id="62285" w:name="_ETM_Q113_471039"/>
      <w:bookmarkStart w:id="62286" w:name="_ETM_Q113_471279"/>
      <w:bookmarkStart w:id="62287" w:name="_ETM_Q113_471580"/>
      <w:bookmarkStart w:id="62288" w:name="_ETM_Q113_471910"/>
      <w:bookmarkStart w:id="62289" w:name="_ETM_Q113_473380"/>
      <w:bookmarkStart w:id="62290" w:name="_ETM_Q113_473529"/>
      <w:bookmarkStart w:id="62291" w:name="_ETM_Q113_473650"/>
      <w:bookmarkStart w:id="62292" w:name="_ETM_Q113_473919"/>
      <w:bookmarkStart w:id="62293" w:name="_ETM_Q113_474039"/>
      <w:bookmarkStart w:id="62294" w:name="_ETM_Q113_474130"/>
      <w:bookmarkStart w:id="62295" w:name="_ETM_Q113_476550"/>
      <w:bookmarkStart w:id="62296" w:name="_ETM_Q113_477150"/>
      <w:bookmarkStart w:id="62297" w:name="_ETM_Q113_477330"/>
      <w:bookmarkStart w:id="62298" w:name="_ETM_Q113_477600"/>
      <w:bookmarkStart w:id="62299" w:name="_ETM_Q113_478170"/>
      <w:bookmarkStart w:id="62300" w:name="_ETM_Q113_478470"/>
      <w:bookmarkStart w:id="62301" w:name="_ETM_Q113_479400"/>
      <w:bookmarkStart w:id="62302" w:name="_ETM_Q113_480839"/>
      <w:bookmarkStart w:id="62303" w:name="_ETM_Q113_480000"/>
      <w:bookmarkStart w:id="62304" w:name="_ETM_Q113_480599"/>
      <w:bookmarkStart w:id="62305" w:name="_ETM_Q113_481469"/>
      <w:bookmarkStart w:id="62306" w:name="_ETM_Q113_482250"/>
      <w:bookmarkStart w:id="62307" w:name="_ETM_Q113_483169"/>
      <w:bookmarkStart w:id="62308" w:name="_ETM_Q113_483529"/>
      <w:bookmarkStart w:id="62309" w:name="_ETM_Q113_484129"/>
      <w:bookmarkStart w:id="62310" w:name="_ETM_Q113_486319"/>
      <w:bookmarkStart w:id="62311" w:name="_ETM_Q113_486830"/>
      <w:bookmarkStart w:id="62312" w:name="_ETM_Q113_486979"/>
      <w:bookmarkStart w:id="62313" w:name="_ETM_Q113_487339"/>
      <w:bookmarkStart w:id="62314" w:name="_ETM_Q113_488850"/>
      <w:bookmarkStart w:id="62315" w:name="_ETM_Q113_489089"/>
      <w:bookmarkStart w:id="62316" w:name="_ETM_Q113_489480"/>
      <w:bookmarkStart w:id="62317" w:name="_ETM_Q113_489600"/>
      <w:bookmarkStart w:id="62318" w:name="_ETM_Q113_489900"/>
      <w:bookmarkStart w:id="62319" w:name="_ETM_Q113_490380"/>
      <w:bookmarkStart w:id="62320" w:name="_ETM_Q113_491100"/>
      <w:bookmarkStart w:id="62321" w:name="_ETM_Q113_491370"/>
      <w:bookmarkStart w:id="62322" w:name="_ETM_Q113_491790"/>
      <w:bookmarkStart w:id="62323" w:name="_ETM_Q113_493940"/>
      <w:bookmarkStart w:id="62324" w:name="_ETM_Q113_494509"/>
      <w:bookmarkStart w:id="62325" w:name="_ETM_Q113_494779"/>
      <w:bookmarkStart w:id="62326" w:name="_ETM_Q113_495990"/>
      <w:bookmarkStart w:id="62327" w:name="_ETM_Q113_497300"/>
      <w:bookmarkStart w:id="62328" w:name="_ETM_Q113_497630"/>
      <w:bookmarkStart w:id="62329" w:name="_ETM_Q113_498289"/>
      <w:bookmarkEnd w:id="62233"/>
      <w:bookmarkEnd w:id="62234"/>
      <w:bookmarkEnd w:id="62235"/>
      <w:bookmarkEnd w:id="62236"/>
      <w:bookmarkEnd w:id="62237"/>
      <w:bookmarkEnd w:id="62238"/>
      <w:bookmarkEnd w:id="62239"/>
      <w:bookmarkEnd w:id="62240"/>
      <w:bookmarkEnd w:id="62241"/>
      <w:bookmarkEnd w:id="62242"/>
      <w:bookmarkEnd w:id="62243"/>
      <w:bookmarkEnd w:id="62244"/>
      <w:bookmarkEnd w:id="62245"/>
      <w:bookmarkEnd w:id="62246"/>
      <w:bookmarkEnd w:id="62247"/>
      <w:bookmarkEnd w:id="62248"/>
      <w:bookmarkEnd w:id="62249"/>
      <w:bookmarkEnd w:id="62250"/>
      <w:bookmarkEnd w:id="62251"/>
      <w:bookmarkEnd w:id="62252"/>
      <w:bookmarkEnd w:id="62253"/>
      <w:bookmarkEnd w:id="62254"/>
      <w:bookmarkEnd w:id="62255"/>
      <w:bookmarkEnd w:id="62256"/>
      <w:bookmarkEnd w:id="62257"/>
      <w:bookmarkEnd w:id="62258"/>
      <w:bookmarkEnd w:id="62259"/>
      <w:bookmarkEnd w:id="62260"/>
      <w:bookmarkEnd w:id="62261"/>
      <w:bookmarkEnd w:id="62262"/>
      <w:bookmarkEnd w:id="62263"/>
      <w:bookmarkEnd w:id="62264"/>
      <w:bookmarkEnd w:id="62265"/>
      <w:bookmarkEnd w:id="62266"/>
      <w:bookmarkEnd w:id="62267"/>
      <w:bookmarkEnd w:id="62268"/>
      <w:bookmarkEnd w:id="62269"/>
      <w:bookmarkEnd w:id="62270"/>
      <w:bookmarkEnd w:id="62271"/>
      <w:bookmarkEnd w:id="62272"/>
      <w:bookmarkEnd w:id="62273"/>
      <w:bookmarkEnd w:id="62274"/>
      <w:bookmarkEnd w:id="62275"/>
      <w:bookmarkEnd w:id="62276"/>
      <w:bookmarkEnd w:id="62277"/>
      <w:bookmarkEnd w:id="62278"/>
      <w:bookmarkEnd w:id="62279"/>
      <w:bookmarkEnd w:id="62280"/>
      <w:bookmarkEnd w:id="62281"/>
      <w:bookmarkEnd w:id="62282"/>
      <w:bookmarkEnd w:id="62283"/>
      <w:bookmarkEnd w:id="62284"/>
      <w:bookmarkEnd w:id="62285"/>
      <w:bookmarkEnd w:id="62286"/>
      <w:bookmarkEnd w:id="62287"/>
      <w:bookmarkEnd w:id="62288"/>
      <w:bookmarkEnd w:id="62289"/>
      <w:bookmarkEnd w:id="62290"/>
      <w:bookmarkEnd w:id="62291"/>
      <w:bookmarkEnd w:id="62292"/>
      <w:bookmarkEnd w:id="62293"/>
      <w:bookmarkEnd w:id="62294"/>
      <w:bookmarkEnd w:id="62295"/>
      <w:bookmarkEnd w:id="62296"/>
      <w:bookmarkEnd w:id="62297"/>
      <w:bookmarkEnd w:id="62298"/>
      <w:bookmarkEnd w:id="62299"/>
      <w:bookmarkEnd w:id="62300"/>
      <w:bookmarkEnd w:id="62301"/>
      <w:bookmarkEnd w:id="62302"/>
      <w:bookmarkEnd w:id="62303"/>
      <w:bookmarkEnd w:id="62304"/>
      <w:bookmarkEnd w:id="62305"/>
      <w:bookmarkEnd w:id="62306"/>
      <w:bookmarkEnd w:id="62307"/>
      <w:bookmarkEnd w:id="62308"/>
      <w:bookmarkEnd w:id="62309"/>
      <w:bookmarkEnd w:id="62310"/>
      <w:bookmarkEnd w:id="62311"/>
      <w:bookmarkEnd w:id="62312"/>
      <w:bookmarkEnd w:id="62313"/>
      <w:bookmarkEnd w:id="62314"/>
      <w:bookmarkEnd w:id="62315"/>
      <w:bookmarkEnd w:id="62316"/>
      <w:bookmarkEnd w:id="62317"/>
      <w:bookmarkEnd w:id="62318"/>
      <w:bookmarkEnd w:id="62319"/>
      <w:bookmarkEnd w:id="62320"/>
      <w:bookmarkEnd w:id="62321"/>
      <w:bookmarkEnd w:id="62322"/>
      <w:bookmarkEnd w:id="62323"/>
      <w:bookmarkEnd w:id="62324"/>
      <w:bookmarkEnd w:id="62325"/>
      <w:bookmarkEnd w:id="62326"/>
      <w:bookmarkEnd w:id="62327"/>
      <w:bookmarkEnd w:id="62328"/>
      <w:bookmarkEnd w:id="62329"/>
      <w:r>
        <w:rPr>
          <w:rFonts w:hint="cs"/>
          <w:rtl/>
        </w:rPr>
        <w:t xml:space="preserve">הוא התייבש – </w:t>
      </w:r>
      <w:bookmarkStart w:id="62330" w:name="_ETM_Q113_500220"/>
      <w:bookmarkEnd w:id="62330"/>
      <w:r>
        <w:rPr>
          <w:rFonts w:hint="cs"/>
          <w:rtl/>
        </w:rPr>
        <w:t xml:space="preserve">זה </w:t>
      </w:r>
      <w:bookmarkStart w:id="62331" w:name="_ETM_Q113_500400"/>
      <w:bookmarkEnd w:id="62331"/>
      <w:r>
        <w:rPr>
          <w:rFonts w:hint="cs"/>
          <w:rtl/>
        </w:rPr>
        <w:t xml:space="preserve">היה </w:t>
      </w:r>
      <w:bookmarkStart w:id="62332" w:name="_ETM_Q113_500519"/>
      <w:bookmarkEnd w:id="62332"/>
      <w:r>
        <w:rPr>
          <w:rFonts w:hint="cs"/>
          <w:rtl/>
        </w:rPr>
        <w:t xml:space="preserve">בשבוע </w:t>
      </w:r>
      <w:bookmarkStart w:id="62333" w:name="_ETM_Q113_500820"/>
      <w:bookmarkEnd w:id="62333"/>
      <w:r>
        <w:rPr>
          <w:rFonts w:hint="cs"/>
          <w:rtl/>
        </w:rPr>
        <w:t xml:space="preserve">שעבר – ואף אחד </w:t>
      </w:r>
      <w:bookmarkStart w:id="62334" w:name="_ETM_Q113_503177"/>
      <w:bookmarkEnd w:id="62334"/>
      <w:r>
        <w:rPr>
          <w:rFonts w:hint="cs"/>
          <w:rtl/>
        </w:rPr>
        <w:t xml:space="preserve">במדינה פשוט לא מאמין. </w:t>
      </w:r>
      <w:bookmarkStart w:id="62335" w:name="_ETM_Q113_517366"/>
      <w:bookmarkStart w:id="62336" w:name="_ETM_Q113_517421"/>
      <w:bookmarkStart w:id="62337" w:name="_ETM_Q113_517494"/>
      <w:bookmarkStart w:id="62338" w:name="_ETM_Q113_517539"/>
      <w:bookmarkEnd w:id="62335"/>
      <w:bookmarkEnd w:id="62336"/>
      <w:bookmarkEnd w:id="62337"/>
      <w:bookmarkEnd w:id="62338"/>
      <w:r>
        <w:rPr>
          <w:rFonts w:hint="cs"/>
          <w:rtl/>
        </w:rPr>
        <w:t>אני אומר, במובן מסוים זה אפילו מבאס</w:t>
      </w:r>
      <w:bookmarkStart w:id="62339" w:name="_ETM_Q113_501359"/>
      <w:bookmarkStart w:id="62340" w:name="_ETM_Q113_501689"/>
      <w:bookmarkStart w:id="62341" w:name="_ETM_Q113_501960"/>
      <w:bookmarkStart w:id="62342" w:name="_ETM_Q113_503230"/>
      <w:bookmarkStart w:id="62343" w:name="_ETM_Q113_503560"/>
      <w:bookmarkStart w:id="62344" w:name="_ETM_Q113_503679"/>
      <w:bookmarkStart w:id="62345" w:name="_ETM_Q113_505119"/>
      <w:bookmarkStart w:id="62346" w:name="_ETM_Q113_507239"/>
      <w:bookmarkStart w:id="62347" w:name="_ETM_Q113_507449"/>
      <w:bookmarkStart w:id="62348" w:name="_ETM_Q113_507689"/>
      <w:bookmarkStart w:id="62349" w:name="_ETM_Q113_508050"/>
      <w:bookmarkStart w:id="62350" w:name="_ETM_Q113_508349"/>
      <w:bookmarkStart w:id="62351" w:name="_ETM_Q113_508499"/>
      <w:bookmarkStart w:id="62352" w:name="_ETM_Q113_508800"/>
      <w:bookmarkEnd w:id="62339"/>
      <w:bookmarkEnd w:id="62340"/>
      <w:bookmarkEnd w:id="62341"/>
      <w:bookmarkEnd w:id="62342"/>
      <w:bookmarkEnd w:id="62343"/>
      <w:bookmarkEnd w:id="62344"/>
      <w:bookmarkEnd w:id="62345"/>
      <w:bookmarkEnd w:id="62346"/>
      <w:bookmarkEnd w:id="62347"/>
      <w:bookmarkEnd w:id="62348"/>
      <w:bookmarkEnd w:id="62349"/>
      <w:bookmarkEnd w:id="62350"/>
      <w:bookmarkEnd w:id="62351"/>
      <w:bookmarkEnd w:id="62352"/>
      <w:r>
        <w:rPr>
          <w:rFonts w:hint="cs"/>
          <w:rtl/>
        </w:rPr>
        <w:t xml:space="preserve"> </w:t>
      </w:r>
      <w:bookmarkStart w:id="62353" w:name="_ETM_Q113_510099"/>
      <w:bookmarkEnd w:id="62353"/>
      <w:r>
        <w:rPr>
          <w:rFonts w:hint="cs"/>
          <w:rtl/>
        </w:rPr>
        <w:t xml:space="preserve">שאתה </w:t>
      </w:r>
      <w:bookmarkStart w:id="62354" w:name="_ETM_Q113_510910"/>
      <w:bookmarkEnd w:id="62354"/>
      <w:r>
        <w:rPr>
          <w:rFonts w:hint="cs"/>
          <w:rtl/>
        </w:rPr>
        <w:t xml:space="preserve">בבית </w:t>
      </w:r>
      <w:bookmarkStart w:id="62355" w:name="_ETM_Q113_511240"/>
      <w:bookmarkEnd w:id="62355"/>
      <w:r>
        <w:rPr>
          <w:rFonts w:hint="cs"/>
          <w:rtl/>
        </w:rPr>
        <w:t xml:space="preserve">חולים, </w:t>
      </w:r>
      <w:bookmarkStart w:id="62356" w:name="_ETM_Q113_511779"/>
      <w:bookmarkEnd w:id="62356"/>
      <w:r>
        <w:rPr>
          <w:rFonts w:hint="cs"/>
          <w:rtl/>
        </w:rPr>
        <w:t xml:space="preserve">אתה </w:t>
      </w:r>
      <w:bookmarkStart w:id="62357" w:name="_ETM_Q113_512260"/>
      <w:bookmarkEnd w:id="62357"/>
      <w:r>
        <w:rPr>
          <w:rFonts w:hint="cs"/>
          <w:rtl/>
        </w:rPr>
        <w:t xml:space="preserve">אפילו </w:t>
      </w:r>
      <w:bookmarkStart w:id="62358" w:name="_ETM_Q113_512500"/>
      <w:bookmarkEnd w:id="62358"/>
      <w:r>
        <w:rPr>
          <w:rFonts w:hint="cs"/>
          <w:rtl/>
        </w:rPr>
        <w:t xml:space="preserve">משדר </w:t>
      </w:r>
      <w:bookmarkStart w:id="62359" w:name="_ETM_Q113_512890"/>
      <w:bookmarkEnd w:id="62359"/>
      <w:r>
        <w:rPr>
          <w:rFonts w:hint="cs"/>
          <w:rtl/>
        </w:rPr>
        <w:t xml:space="preserve">סרטון, אתה </w:t>
      </w:r>
      <w:bookmarkStart w:id="62360" w:name="_ETM_Q113_515342"/>
      <w:bookmarkEnd w:id="62360"/>
      <w:r>
        <w:rPr>
          <w:rFonts w:hint="cs"/>
          <w:rtl/>
        </w:rPr>
        <w:t xml:space="preserve">ראש ממשלה, ואף אחד לא מאמין לך שהתייבשת. אף אחד </w:t>
      </w:r>
      <w:bookmarkStart w:id="62361" w:name="_ETM_Q113_518200"/>
      <w:bookmarkEnd w:id="62361"/>
      <w:r>
        <w:rPr>
          <w:rFonts w:hint="cs"/>
          <w:rtl/>
        </w:rPr>
        <w:t xml:space="preserve">לא מאמין שהתייבשת, כי פשוט לא מאמינים לך. </w:t>
      </w:r>
      <w:bookmarkStart w:id="62362" w:name="_ETM_Q113_522472"/>
      <w:bookmarkEnd w:id="62362"/>
      <w:r>
        <w:rPr>
          <w:rFonts w:hint="cs"/>
          <w:rtl/>
        </w:rPr>
        <w:t xml:space="preserve">מה </w:t>
      </w:r>
      <w:bookmarkStart w:id="62363" w:name="_ETM_Q113_513489"/>
      <w:bookmarkStart w:id="62364" w:name="_ETM_Q113_513970"/>
      <w:bookmarkStart w:id="62365" w:name="_ETM_Q113_514210"/>
      <w:bookmarkStart w:id="62366" w:name="_ETM_Q113_514629"/>
      <w:bookmarkStart w:id="62367" w:name="_ETM_Q113_514930"/>
      <w:bookmarkStart w:id="62368" w:name="_ETM_Q113_515140"/>
      <w:bookmarkStart w:id="62369" w:name="_ETM_Q113_515230"/>
      <w:bookmarkStart w:id="62370" w:name="_ETM_Q113_515500"/>
      <w:bookmarkStart w:id="62371" w:name="_ETM_Q113_515680"/>
      <w:bookmarkStart w:id="62372" w:name="_ETM_Q113_517360"/>
      <w:bookmarkStart w:id="62373" w:name="_ETM_Q113_517510"/>
      <w:bookmarkStart w:id="62374" w:name="_ETM_Q113_517660"/>
      <w:bookmarkStart w:id="62375" w:name="_ETM_Q113_517750"/>
      <w:bookmarkStart w:id="62376" w:name="_ETM_Q113_517990"/>
      <w:bookmarkStart w:id="62377" w:name="_ETM_Q113_518110"/>
      <w:bookmarkStart w:id="62378" w:name="_ETM_Q113_518260"/>
      <w:bookmarkStart w:id="62379" w:name="_ETM_Q113_518390"/>
      <w:bookmarkStart w:id="62380" w:name="_ETM_Q113_518510"/>
      <w:bookmarkStart w:id="62381" w:name="_ETM_Q113_518570"/>
      <w:bookmarkStart w:id="62382" w:name="_ETM_Q113_519839"/>
      <w:bookmarkStart w:id="62383" w:name="_ETM_Q113_520020"/>
      <w:bookmarkStart w:id="62384" w:name="_ETM_Q113_520320"/>
      <w:bookmarkStart w:id="62385" w:name="_ETM_Q113_520410"/>
      <w:bookmarkStart w:id="62386" w:name="_ETM_Q113_520890"/>
      <w:bookmarkStart w:id="62387" w:name="_ETM_Q113_521680"/>
      <w:bookmarkStart w:id="62388" w:name="_ETM_Q113_522610"/>
      <w:bookmarkStart w:id="62389" w:name="_ETM_Q113_522789"/>
      <w:bookmarkEnd w:id="62363"/>
      <w:bookmarkEnd w:id="62364"/>
      <w:bookmarkEnd w:id="62365"/>
      <w:bookmarkEnd w:id="62366"/>
      <w:bookmarkEnd w:id="62367"/>
      <w:bookmarkEnd w:id="62368"/>
      <w:bookmarkEnd w:id="62369"/>
      <w:bookmarkEnd w:id="62370"/>
      <w:bookmarkEnd w:id="62371"/>
      <w:bookmarkEnd w:id="62372"/>
      <w:bookmarkEnd w:id="62373"/>
      <w:bookmarkEnd w:id="62374"/>
      <w:bookmarkEnd w:id="62375"/>
      <w:bookmarkEnd w:id="62376"/>
      <w:bookmarkEnd w:id="62377"/>
      <w:bookmarkEnd w:id="62378"/>
      <w:bookmarkEnd w:id="62379"/>
      <w:bookmarkEnd w:id="62380"/>
      <w:bookmarkEnd w:id="62381"/>
      <w:bookmarkEnd w:id="62382"/>
      <w:bookmarkEnd w:id="62383"/>
      <w:bookmarkEnd w:id="62384"/>
      <w:bookmarkEnd w:id="62385"/>
      <w:bookmarkEnd w:id="62386"/>
      <w:bookmarkEnd w:id="62387"/>
      <w:bookmarkEnd w:id="62388"/>
      <w:bookmarkEnd w:id="62389"/>
      <w:r>
        <w:rPr>
          <w:rFonts w:hint="cs"/>
          <w:rtl/>
        </w:rPr>
        <w:t xml:space="preserve">שקרה </w:t>
      </w:r>
      <w:bookmarkStart w:id="62390" w:name="_ETM_Q113_523210"/>
      <w:bookmarkEnd w:id="62390"/>
      <w:r>
        <w:rPr>
          <w:rFonts w:hint="cs"/>
          <w:rtl/>
        </w:rPr>
        <w:t xml:space="preserve">אתמול </w:t>
      </w:r>
      <w:bookmarkStart w:id="62391" w:name="_ETM_Q113_524350"/>
      <w:bookmarkEnd w:id="62391"/>
      <w:r>
        <w:rPr>
          <w:rFonts w:hint="cs"/>
          <w:rtl/>
        </w:rPr>
        <w:t xml:space="preserve">או </w:t>
      </w:r>
      <w:bookmarkStart w:id="62392" w:name="_ETM_Q113_524500"/>
      <w:bookmarkEnd w:id="62392"/>
      <w:r>
        <w:rPr>
          <w:rFonts w:hint="cs"/>
          <w:rtl/>
        </w:rPr>
        <w:t xml:space="preserve">שלשום, </w:t>
      </w:r>
      <w:bookmarkStart w:id="62393" w:name="_ETM_Q113_525730"/>
      <w:bookmarkEnd w:id="62393"/>
      <w:r>
        <w:rPr>
          <w:rFonts w:hint="cs"/>
          <w:rtl/>
        </w:rPr>
        <w:t xml:space="preserve">זה </w:t>
      </w:r>
      <w:bookmarkStart w:id="62394" w:name="_ETM_Q113_526150"/>
      <w:bookmarkEnd w:id="62394"/>
      <w:r>
        <w:rPr>
          <w:rFonts w:hint="cs"/>
          <w:rtl/>
        </w:rPr>
        <w:t xml:space="preserve">ברמת </w:t>
      </w:r>
      <w:bookmarkStart w:id="62395" w:name="_ETM_Q113_528530"/>
      <w:bookmarkEnd w:id="62395"/>
      <w:r>
        <w:rPr>
          <w:rFonts w:hint="cs"/>
          <w:rtl/>
        </w:rPr>
        <w:t xml:space="preserve">ההזוי, אני לא יודע איך לאכול את זה אפילו. יושב </w:t>
      </w:r>
      <w:bookmarkStart w:id="62396" w:name="_ETM_Q113_533082"/>
      <w:bookmarkEnd w:id="62396"/>
      <w:r>
        <w:rPr>
          <w:rFonts w:hint="cs"/>
          <w:rtl/>
        </w:rPr>
        <w:t xml:space="preserve">ראש ממשלה, קורה מה שקורה לו – באמת שום מילה </w:t>
      </w:r>
      <w:bookmarkStart w:id="62397" w:name="_ETM_Q113_526480"/>
      <w:bookmarkStart w:id="62398" w:name="_ETM_Q113_527380"/>
      <w:bookmarkStart w:id="62399" w:name="_ETM_Q113_527920"/>
      <w:bookmarkStart w:id="62400" w:name="_ETM_Q113_528250"/>
      <w:bookmarkStart w:id="62401" w:name="_ETM_Q113_528610"/>
      <w:bookmarkStart w:id="62402" w:name="_ETM_Q113_528970"/>
      <w:bookmarkStart w:id="62403" w:name="_ETM_Q113_529089"/>
      <w:bookmarkStart w:id="62404" w:name="_ETM_Q113_529270"/>
      <w:bookmarkStart w:id="62405" w:name="_ETM_Q113_529420"/>
      <w:bookmarkStart w:id="62406" w:name="_ETM_Q113_529750"/>
      <w:bookmarkStart w:id="62407" w:name="_ETM_Q113_529810"/>
      <w:bookmarkStart w:id="62408" w:name="_ETM_Q113_529930"/>
      <w:bookmarkStart w:id="62409" w:name="_ETM_Q113_530969"/>
      <w:bookmarkStart w:id="62410" w:name="_ETM_Q113_531269"/>
      <w:bookmarkStart w:id="62411" w:name="_ETM_Q113_531449"/>
      <w:bookmarkStart w:id="62412" w:name="_ETM_Q113_532019"/>
      <w:bookmarkStart w:id="62413" w:name="_ETM_Q113_532289"/>
      <w:bookmarkStart w:id="62414" w:name="_ETM_Q113_532379"/>
      <w:bookmarkStart w:id="62415" w:name="_ETM_Q113_532799"/>
      <w:bookmarkStart w:id="62416" w:name="_ETM_Q113_532889"/>
      <w:bookmarkStart w:id="62417" w:name="_ETM_Q113_534389"/>
      <w:bookmarkStart w:id="62418" w:name="_ETM_Q113_534629"/>
      <w:bookmarkStart w:id="62419" w:name="_ETM_Q113_534839"/>
      <w:bookmarkEnd w:id="62397"/>
      <w:bookmarkEnd w:id="62398"/>
      <w:bookmarkEnd w:id="62399"/>
      <w:bookmarkEnd w:id="62400"/>
      <w:bookmarkEnd w:id="62401"/>
      <w:bookmarkEnd w:id="62402"/>
      <w:bookmarkEnd w:id="62403"/>
      <w:bookmarkEnd w:id="62404"/>
      <w:bookmarkEnd w:id="62405"/>
      <w:bookmarkEnd w:id="62406"/>
      <w:bookmarkEnd w:id="62407"/>
      <w:bookmarkEnd w:id="62408"/>
      <w:bookmarkEnd w:id="62409"/>
      <w:bookmarkEnd w:id="62410"/>
      <w:bookmarkEnd w:id="62411"/>
      <w:bookmarkEnd w:id="62412"/>
      <w:bookmarkEnd w:id="62413"/>
      <w:bookmarkEnd w:id="62414"/>
      <w:bookmarkEnd w:id="62415"/>
      <w:bookmarkEnd w:id="62416"/>
      <w:bookmarkEnd w:id="62417"/>
      <w:bookmarkEnd w:id="62418"/>
      <w:bookmarkEnd w:id="62419"/>
      <w:r>
        <w:rPr>
          <w:rFonts w:hint="cs"/>
          <w:rtl/>
        </w:rPr>
        <w:t xml:space="preserve">על </w:t>
      </w:r>
      <w:bookmarkStart w:id="62420" w:name="_ETM_Q113_534960"/>
      <w:bookmarkEnd w:id="62420"/>
      <w:r>
        <w:rPr>
          <w:rFonts w:hint="cs"/>
          <w:rtl/>
        </w:rPr>
        <w:t xml:space="preserve">בריאות – </w:t>
      </w:r>
      <w:bookmarkStart w:id="62421" w:name="_ETM_Q113_535350"/>
      <w:bookmarkEnd w:id="62421"/>
      <w:r>
        <w:rPr>
          <w:rFonts w:hint="cs"/>
          <w:rtl/>
        </w:rPr>
        <w:t xml:space="preserve">אבל </w:t>
      </w:r>
      <w:bookmarkStart w:id="62422" w:name="_ETM_Q113_535679"/>
      <w:bookmarkEnd w:id="62422"/>
      <w:r>
        <w:rPr>
          <w:rFonts w:hint="cs"/>
          <w:rtl/>
        </w:rPr>
        <w:t xml:space="preserve">לא </w:t>
      </w:r>
      <w:bookmarkStart w:id="62423" w:name="_ETM_Q113_535799"/>
      <w:bookmarkEnd w:id="62423"/>
      <w:r>
        <w:rPr>
          <w:rFonts w:hint="cs"/>
          <w:rtl/>
        </w:rPr>
        <w:t xml:space="preserve">יכול </w:t>
      </w:r>
      <w:bookmarkStart w:id="62424" w:name="_ETM_Q113_535979"/>
      <w:bookmarkEnd w:id="62424"/>
      <w:r>
        <w:rPr>
          <w:rFonts w:hint="cs"/>
          <w:rtl/>
        </w:rPr>
        <w:t xml:space="preserve">להיות </w:t>
      </w:r>
      <w:bookmarkStart w:id="62425" w:name="_ETM_Q113_536159"/>
      <w:bookmarkEnd w:id="62425"/>
      <w:r>
        <w:rPr>
          <w:rFonts w:hint="cs"/>
          <w:rtl/>
        </w:rPr>
        <w:t xml:space="preserve">שהגענו </w:t>
      </w:r>
      <w:bookmarkStart w:id="62426" w:name="_ETM_Q113_536519"/>
      <w:bookmarkEnd w:id="62426"/>
      <w:r>
        <w:rPr>
          <w:rFonts w:hint="cs"/>
          <w:rtl/>
        </w:rPr>
        <w:t xml:space="preserve">למצב </w:t>
      </w:r>
      <w:bookmarkStart w:id="62427" w:name="_ETM_Q113_536969"/>
      <w:bookmarkEnd w:id="62427"/>
      <w:r>
        <w:rPr>
          <w:rFonts w:hint="cs"/>
          <w:rtl/>
        </w:rPr>
        <w:t xml:space="preserve">שראש </w:t>
      </w:r>
      <w:bookmarkStart w:id="62428" w:name="_ETM_Q113_539863"/>
      <w:bookmarkEnd w:id="62428"/>
      <w:r>
        <w:rPr>
          <w:rFonts w:hint="cs"/>
          <w:rtl/>
        </w:rPr>
        <w:t xml:space="preserve">הממשלה </w:t>
      </w:r>
      <w:bookmarkStart w:id="62429" w:name="_ETM_Q113_538160"/>
      <w:bookmarkEnd w:id="62429"/>
      <w:r>
        <w:rPr>
          <w:rFonts w:hint="cs"/>
          <w:rtl/>
        </w:rPr>
        <w:t xml:space="preserve">בבית </w:t>
      </w:r>
      <w:bookmarkStart w:id="62430" w:name="_ETM_Q113_539149"/>
      <w:bookmarkEnd w:id="62430"/>
      <w:r>
        <w:rPr>
          <w:rFonts w:hint="cs"/>
          <w:rtl/>
        </w:rPr>
        <w:t xml:space="preserve">חולים, </w:t>
      </w:r>
      <w:bookmarkStart w:id="62431" w:name="_ETM_Q113_541499"/>
      <w:bookmarkEnd w:id="62431"/>
      <w:r>
        <w:rPr>
          <w:rFonts w:hint="cs"/>
          <w:rtl/>
        </w:rPr>
        <w:t xml:space="preserve">ואשכרה אין אפילו </w:t>
      </w:r>
      <w:bookmarkStart w:id="62432" w:name="_ETM_Q113_543210"/>
      <w:bookmarkStart w:id="62433" w:name="_ETM_Q113_543420"/>
      <w:bookmarkStart w:id="62434" w:name="_ETM_Q113_543480"/>
      <w:bookmarkEnd w:id="62432"/>
      <w:bookmarkEnd w:id="62433"/>
      <w:bookmarkEnd w:id="62434"/>
      <w:r>
        <w:rPr>
          <w:rFonts w:hint="cs"/>
          <w:rtl/>
        </w:rPr>
        <w:t xml:space="preserve">יכולת </w:t>
      </w:r>
      <w:bookmarkStart w:id="62435" w:name="_ETM_Q113_544200"/>
      <w:bookmarkStart w:id="62436" w:name="_ETM_Q113_544770"/>
      <w:bookmarkEnd w:id="62435"/>
      <w:bookmarkEnd w:id="62436"/>
      <w:r>
        <w:rPr>
          <w:rFonts w:hint="cs"/>
          <w:rtl/>
        </w:rPr>
        <w:t xml:space="preserve">להאמין </w:t>
      </w:r>
      <w:bookmarkStart w:id="62437" w:name="_ETM_Q113_545190"/>
      <w:bookmarkEnd w:id="62437"/>
      <w:r>
        <w:rPr>
          <w:rFonts w:hint="cs"/>
          <w:rtl/>
        </w:rPr>
        <w:t>לו.</w:t>
      </w:r>
    </w:p>
    <w:p w:rsidR="00BB59CD" w:rsidRDefault="00BB59CD" w:rsidP="00BB59CD">
      <w:pPr>
        <w:rPr>
          <w:rtl/>
        </w:rPr>
      </w:pPr>
      <w:bookmarkStart w:id="62438" w:name="_ETM_Q113_547806"/>
      <w:bookmarkStart w:id="62439" w:name="_ETM_Q113_547856"/>
      <w:bookmarkEnd w:id="62438"/>
      <w:bookmarkEnd w:id="62439"/>
    </w:p>
    <w:p w:rsidR="00BB59CD" w:rsidRDefault="00BB59CD" w:rsidP="00BB59CD">
      <w:pPr>
        <w:rPr>
          <w:rtl/>
        </w:rPr>
      </w:pPr>
      <w:bookmarkStart w:id="62440" w:name="_ETM_Q113_548024"/>
      <w:bookmarkStart w:id="62441" w:name="_ETM_Q113_548080"/>
      <w:bookmarkStart w:id="62442" w:name="_ETM_Q113_545640"/>
      <w:bookmarkStart w:id="62443" w:name="_ETM_Q113_546770"/>
      <w:bookmarkEnd w:id="62440"/>
      <w:bookmarkEnd w:id="62441"/>
      <w:bookmarkEnd w:id="62442"/>
      <w:bookmarkEnd w:id="62443"/>
      <w:r>
        <w:rPr>
          <w:rFonts w:hint="cs"/>
          <w:rtl/>
        </w:rPr>
        <w:t xml:space="preserve">ב-2007 </w:t>
      </w:r>
      <w:bookmarkStart w:id="62444" w:name="_ETM_Q113_547610"/>
      <w:bookmarkEnd w:id="62444"/>
      <w:r>
        <w:rPr>
          <w:rFonts w:hint="cs"/>
          <w:rtl/>
        </w:rPr>
        <w:t xml:space="preserve">התפרסם </w:t>
      </w:r>
      <w:bookmarkStart w:id="62445" w:name="_ETM_Q113_548060"/>
      <w:bookmarkEnd w:id="62445"/>
      <w:r>
        <w:rPr>
          <w:rFonts w:hint="cs"/>
          <w:rtl/>
        </w:rPr>
        <w:t xml:space="preserve">נוהל </w:t>
      </w:r>
      <w:bookmarkStart w:id="62446" w:name="_ETM_Q113_549410"/>
      <w:bookmarkStart w:id="62447" w:name="_ETM_Q113_549890"/>
      <w:bookmarkStart w:id="62448" w:name="_ETM_Q113_550490"/>
      <w:bookmarkStart w:id="62449" w:name="_ETM_Q113_551150"/>
      <w:bookmarkStart w:id="62450" w:name="_ETM_Q113_551210"/>
      <w:bookmarkEnd w:id="62446"/>
      <w:bookmarkEnd w:id="62447"/>
      <w:bookmarkEnd w:id="62448"/>
      <w:bookmarkEnd w:id="62449"/>
      <w:bookmarkEnd w:id="62450"/>
      <w:r>
        <w:rPr>
          <w:rFonts w:hint="cs"/>
          <w:rtl/>
        </w:rPr>
        <w:t xml:space="preserve">טיפול </w:t>
      </w:r>
      <w:bookmarkStart w:id="62451" w:name="_ETM_Q113_551450"/>
      <w:bookmarkEnd w:id="62451"/>
      <w:r>
        <w:rPr>
          <w:rFonts w:hint="cs"/>
          <w:rtl/>
        </w:rPr>
        <w:t xml:space="preserve">רפואי </w:t>
      </w:r>
      <w:bookmarkStart w:id="62452" w:name="_ETM_Q113_551900"/>
      <w:bookmarkEnd w:id="62452"/>
      <w:r>
        <w:rPr>
          <w:rFonts w:hint="cs"/>
          <w:rtl/>
        </w:rPr>
        <w:t xml:space="preserve">בראש </w:t>
      </w:r>
      <w:bookmarkStart w:id="62453" w:name="_ETM_Q113_552770"/>
      <w:bookmarkEnd w:id="62453"/>
      <w:r>
        <w:rPr>
          <w:rFonts w:hint="cs"/>
          <w:rtl/>
        </w:rPr>
        <w:t>הממשלה. מכיר? זה בעקבות מה שהיה - - -</w:t>
      </w:r>
    </w:p>
    <w:p w:rsidR="00BB59CD" w:rsidRDefault="00BB59CD" w:rsidP="00BB59CD">
      <w:pPr>
        <w:rPr>
          <w:rtl/>
        </w:rPr>
      </w:pPr>
      <w:bookmarkStart w:id="62454" w:name="_ETM_Q113_558235"/>
      <w:bookmarkStart w:id="62455" w:name="_ETM_Q113_558294"/>
      <w:bookmarkEnd w:id="62454"/>
      <w:bookmarkEnd w:id="6245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2456" w:name="_ETM_Q113_557163"/>
      <w:bookmarkEnd w:id="62456"/>
      <w:r>
        <w:rPr>
          <w:rFonts w:hint="cs"/>
          <w:rtl/>
        </w:rPr>
        <w:t>שרון.</w:t>
      </w:r>
    </w:p>
    <w:p w:rsidR="00BB59CD" w:rsidRDefault="00BB59CD" w:rsidP="00BB59CD">
      <w:pPr>
        <w:rPr>
          <w:rtl/>
        </w:rPr>
      </w:pPr>
      <w:bookmarkStart w:id="62457" w:name="_ETM_Q113_558695"/>
      <w:bookmarkStart w:id="62458" w:name="_ETM_Q113_558732"/>
      <w:bookmarkEnd w:id="62457"/>
      <w:bookmarkEnd w:id="62458"/>
    </w:p>
    <w:p w:rsidR="00BB59CD" w:rsidRDefault="00BB59CD" w:rsidP="00BB59CD">
      <w:pPr>
        <w:pStyle w:val="-"/>
        <w:keepNext/>
        <w:rPr>
          <w:rtl/>
        </w:rPr>
      </w:pPr>
      <w:bookmarkStart w:id="62459" w:name="ET_speakercontinue_6361_12"/>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2459"/>
    </w:p>
    <w:p w:rsidR="00BB59CD" w:rsidRDefault="00BB59CD" w:rsidP="00337201">
      <w:pPr>
        <w:rPr>
          <w:rtl/>
        </w:rPr>
      </w:pPr>
    </w:p>
    <w:p w:rsidR="00BB59CD" w:rsidRDefault="00BB59CD" w:rsidP="00924280">
      <w:pPr>
        <w:rPr>
          <w:rtl/>
        </w:rPr>
      </w:pPr>
      <w:bookmarkStart w:id="62460" w:name="_ETM_Q113_559429"/>
      <w:bookmarkStart w:id="62461" w:name="_ETM_Q113_553640"/>
      <w:bookmarkEnd w:id="62460"/>
      <w:bookmarkEnd w:id="62461"/>
      <w:r>
        <w:rPr>
          <w:rFonts w:hint="cs"/>
          <w:rtl/>
        </w:rPr>
        <w:t xml:space="preserve">נכון. </w:t>
      </w:r>
      <w:bookmarkStart w:id="62462" w:name="_ETM_Q113_562558"/>
      <w:bookmarkStart w:id="62463" w:name="_ETM_Q113_553970"/>
      <w:bookmarkStart w:id="62464" w:name="_ETM_Q113_556049"/>
      <w:bookmarkStart w:id="62465" w:name="_ETM_Q113_556200"/>
      <w:bookmarkStart w:id="62466" w:name="_ETM_Q113_556650"/>
      <w:bookmarkStart w:id="62467" w:name="_ETM_Q113_557190"/>
      <w:bookmarkStart w:id="62468" w:name="_ETM_Q113_557340"/>
      <w:bookmarkStart w:id="62469" w:name="_ETM_Q113_558210"/>
      <w:bookmarkStart w:id="62470" w:name="_ETM_Q113_558840"/>
      <w:bookmarkStart w:id="62471" w:name="_ETM_Q113_559560"/>
      <w:bookmarkStart w:id="62472" w:name="_ETM_Q113_560650"/>
      <w:bookmarkStart w:id="62473" w:name="_ETM_Q113_560860"/>
      <w:bookmarkEnd w:id="62462"/>
      <w:bookmarkEnd w:id="62463"/>
      <w:bookmarkEnd w:id="62464"/>
      <w:bookmarkEnd w:id="62465"/>
      <w:bookmarkEnd w:id="62466"/>
      <w:bookmarkEnd w:id="62467"/>
      <w:bookmarkEnd w:id="62468"/>
      <w:bookmarkEnd w:id="62469"/>
      <w:bookmarkEnd w:id="62470"/>
      <w:bookmarkEnd w:id="62471"/>
      <w:bookmarkEnd w:id="62472"/>
      <w:bookmarkEnd w:id="62473"/>
      <w:r>
        <w:rPr>
          <w:rFonts w:hint="cs"/>
          <w:rtl/>
        </w:rPr>
        <w:t xml:space="preserve">בנוהל </w:t>
      </w:r>
      <w:bookmarkStart w:id="62474" w:name="_ETM_Q113_561220"/>
      <w:bookmarkEnd w:id="62474"/>
      <w:r>
        <w:rPr>
          <w:rFonts w:hint="cs"/>
          <w:rtl/>
        </w:rPr>
        <w:t xml:space="preserve">הזה </w:t>
      </w:r>
      <w:bookmarkStart w:id="62475" w:name="_ETM_Q113_561430"/>
      <w:bookmarkEnd w:id="62475"/>
      <w:r>
        <w:rPr>
          <w:rFonts w:hint="cs"/>
          <w:rtl/>
        </w:rPr>
        <w:t xml:space="preserve">יש </w:t>
      </w:r>
      <w:bookmarkStart w:id="62476" w:name="_ETM_Q113_561610"/>
      <w:bookmarkEnd w:id="62476"/>
      <w:r>
        <w:rPr>
          <w:rFonts w:hint="cs"/>
          <w:rtl/>
        </w:rPr>
        <w:t xml:space="preserve">סעיף, </w:t>
      </w:r>
      <w:bookmarkStart w:id="62477" w:name="_ETM_Q113_562029"/>
      <w:bookmarkEnd w:id="62477"/>
      <w:r>
        <w:rPr>
          <w:rFonts w:hint="cs"/>
          <w:rtl/>
        </w:rPr>
        <w:t xml:space="preserve">שבשבילו </w:t>
      </w:r>
      <w:bookmarkStart w:id="62478" w:name="_ETM_Q113_563320"/>
      <w:bookmarkEnd w:id="62478"/>
      <w:r>
        <w:rPr>
          <w:rFonts w:hint="cs"/>
          <w:rtl/>
        </w:rPr>
        <w:t xml:space="preserve">אפילו </w:t>
      </w:r>
      <w:bookmarkStart w:id="62479" w:name="_ETM_Q113_563589"/>
      <w:bookmarkEnd w:id="62479"/>
      <w:r>
        <w:rPr>
          <w:rFonts w:hint="cs"/>
          <w:rtl/>
        </w:rPr>
        <w:t xml:space="preserve">הבאתי </w:t>
      </w:r>
      <w:bookmarkStart w:id="62480" w:name="_ETM_Q113_563860"/>
      <w:bookmarkEnd w:id="62480"/>
      <w:r>
        <w:rPr>
          <w:rFonts w:hint="cs"/>
          <w:rtl/>
        </w:rPr>
        <w:t xml:space="preserve">את </w:t>
      </w:r>
      <w:bookmarkStart w:id="62481" w:name="_ETM_Q113_563950"/>
      <w:bookmarkEnd w:id="62481"/>
      <w:r>
        <w:rPr>
          <w:rFonts w:hint="cs"/>
          <w:rtl/>
        </w:rPr>
        <w:t xml:space="preserve">המחשב, </w:t>
      </w:r>
      <w:bookmarkStart w:id="62482" w:name="_ETM_Q113_564580"/>
      <w:bookmarkEnd w:id="62482"/>
      <w:r>
        <w:rPr>
          <w:rFonts w:hint="cs"/>
          <w:rtl/>
        </w:rPr>
        <w:t xml:space="preserve">שמדבר </w:t>
      </w:r>
      <w:bookmarkStart w:id="62483" w:name="_ETM_Q113_565060"/>
      <w:bookmarkEnd w:id="62483"/>
      <w:r>
        <w:rPr>
          <w:rFonts w:hint="cs"/>
          <w:rtl/>
        </w:rPr>
        <w:t xml:space="preserve">על </w:t>
      </w:r>
      <w:bookmarkStart w:id="62484" w:name="_ETM_Q113_566020"/>
      <w:bookmarkEnd w:id="62484"/>
      <w:r>
        <w:rPr>
          <w:rFonts w:hint="cs"/>
          <w:rtl/>
        </w:rPr>
        <w:t xml:space="preserve">הפרסום. </w:t>
      </w:r>
      <w:bookmarkStart w:id="62485" w:name="_ETM_Q113_566320"/>
      <w:bookmarkStart w:id="62486" w:name="_ETM_Q113_566470"/>
      <w:bookmarkStart w:id="62487" w:name="_ETM_Q113_567010"/>
      <w:bookmarkEnd w:id="62485"/>
      <w:bookmarkEnd w:id="62486"/>
      <w:bookmarkEnd w:id="62487"/>
      <w:r>
        <w:rPr>
          <w:rFonts w:hint="cs"/>
          <w:rtl/>
        </w:rPr>
        <w:t xml:space="preserve">זה </w:t>
      </w:r>
      <w:bookmarkStart w:id="62488" w:name="_ETM_Q113_567159"/>
      <w:bookmarkEnd w:id="62488"/>
      <w:r>
        <w:rPr>
          <w:rFonts w:hint="cs"/>
          <w:rtl/>
        </w:rPr>
        <w:t xml:space="preserve">סעיף </w:t>
      </w:r>
      <w:bookmarkStart w:id="62489" w:name="_ETM_Q113_567460"/>
      <w:bookmarkEnd w:id="62489"/>
      <w:r>
        <w:rPr>
          <w:rFonts w:hint="cs"/>
          <w:rtl/>
        </w:rPr>
        <w:t xml:space="preserve">6. אתה אומר, כאילו, שלראש ממשלה </w:t>
      </w:r>
      <w:bookmarkStart w:id="62490" w:name="_ETM_Q113_570526"/>
      <w:bookmarkEnd w:id="62490"/>
      <w:r>
        <w:rPr>
          <w:rFonts w:hint="cs"/>
          <w:rtl/>
        </w:rPr>
        <w:t>יש לו איזה אחריות מסוימת</w:t>
      </w:r>
      <w:r w:rsidR="00924280">
        <w:rPr>
          <w:rFonts w:hint="cs"/>
          <w:rtl/>
        </w:rPr>
        <w:t>.</w:t>
      </w:r>
      <w:r>
        <w:rPr>
          <w:rFonts w:hint="cs"/>
          <w:rtl/>
        </w:rPr>
        <w:t xml:space="preserve"> </w:t>
      </w:r>
      <w:bookmarkStart w:id="62491" w:name="_ETM_Q113_569400"/>
      <w:bookmarkStart w:id="62492" w:name="_ETM_Q113_569610"/>
      <w:bookmarkStart w:id="62493" w:name="_ETM_Q113_569940"/>
      <w:bookmarkStart w:id="62494" w:name="_ETM_Q113_570150"/>
      <w:bookmarkStart w:id="62495" w:name="_ETM_Q113_570450"/>
      <w:bookmarkStart w:id="62496" w:name="_ETM_Q113_570990"/>
      <w:bookmarkStart w:id="62497" w:name="_ETM_Q113_571290"/>
      <w:bookmarkStart w:id="62498" w:name="_ETM_Q113_571410"/>
      <w:bookmarkStart w:id="62499" w:name="_ETM_Q113_571529"/>
      <w:bookmarkStart w:id="62500" w:name="_ETM_Q113_571710"/>
      <w:bookmarkStart w:id="62501" w:name="_ETM_Q113_572070"/>
      <w:bookmarkStart w:id="62502" w:name="_ETM_Q113_572580"/>
      <w:bookmarkEnd w:id="62491"/>
      <w:bookmarkEnd w:id="62492"/>
      <w:bookmarkEnd w:id="62493"/>
      <w:bookmarkEnd w:id="62494"/>
      <w:bookmarkEnd w:id="62495"/>
      <w:bookmarkEnd w:id="62496"/>
      <w:bookmarkEnd w:id="62497"/>
      <w:bookmarkEnd w:id="62498"/>
      <w:bookmarkEnd w:id="62499"/>
      <w:bookmarkEnd w:id="62500"/>
      <w:bookmarkEnd w:id="62501"/>
      <w:bookmarkEnd w:id="62502"/>
      <w:r>
        <w:rPr>
          <w:rFonts w:hint="cs"/>
          <w:rtl/>
        </w:rPr>
        <w:t xml:space="preserve">יצא </w:t>
      </w:r>
      <w:bookmarkStart w:id="62503" w:name="_ETM_Q113_572850"/>
      <w:bookmarkEnd w:id="62503"/>
      <w:r>
        <w:rPr>
          <w:rFonts w:hint="cs"/>
          <w:rtl/>
        </w:rPr>
        <w:t xml:space="preserve">ודווקא </w:t>
      </w:r>
      <w:bookmarkStart w:id="62504" w:name="_ETM_Q113_573270"/>
      <w:bookmarkEnd w:id="62504"/>
      <w:r>
        <w:rPr>
          <w:rFonts w:hint="cs"/>
          <w:rtl/>
        </w:rPr>
        <w:t xml:space="preserve">עכשיו אלה ימים שבהם ראש </w:t>
      </w:r>
      <w:bookmarkStart w:id="62505" w:name="_ETM_Q113_577484"/>
      <w:bookmarkEnd w:id="62505"/>
      <w:r>
        <w:rPr>
          <w:rFonts w:hint="cs"/>
          <w:rtl/>
        </w:rPr>
        <w:t xml:space="preserve">הממשלה היה צריך להיות זמין, </w:t>
      </w:r>
      <w:bookmarkStart w:id="62506" w:name="_ETM_Q113_573839"/>
      <w:bookmarkStart w:id="62507" w:name="_ETM_Q113_574020"/>
      <w:bookmarkStart w:id="62508" w:name="_ETM_Q113_574290"/>
      <w:bookmarkStart w:id="62509" w:name="_ETM_Q113_574650"/>
      <w:bookmarkStart w:id="62510" w:name="_ETM_Q113_574920"/>
      <w:bookmarkStart w:id="62511" w:name="_ETM_Q113_575220"/>
      <w:bookmarkStart w:id="62512" w:name="_ETM_Q113_575640"/>
      <w:bookmarkStart w:id="62513" w:name="_ETM_Q113_576300"/>
      <w:bookmarkStart w:id="62514" w:name="_ETM_Q113_576390"/>
      <w:bookmarkStart w:id="62515" w:name="_ETM_Q113_576630"/>
      <w:bookmarkStart w:id="62516" w:name="_ETM_Q113_576930"/>
      <w:bookmarkStart w:id="62517" w:name="_ETM_Q113_577950"/>
      <w:bookmarkEnd w:id="62506"/>
      <w:bookmarkEnd w:id="62507"/>
      <w:bookmarkEnd w:id="62508"/>
      <w:bookmarkEnd w:id="62509"/>
      <w:bookmarkEnd w:id="62510"/>
      <w:bookmarkEnd w:id="62511"/>
      <w:bookmarkEnd w:id="62512"/>
      <w:bookmarkEnd w:id="62513"/>
      <w:bookmarkEnd w:id="62514"/>
      <w:bookmarkEnd w:id="62515"/>
      <w:bookmarkEnd w:id="62516"/>
      <w:bookmarkEnd w:id="62517"/>
      <w:r>
        <w:rPr>
          <w:rFonts w:hint="cs"/>
          <w:rtl/>
        </w:rPr>
        <w:t xml:space="preserve">לא </w:t>
      </w:r>
      <w:bookmarkStart w:id="62518" w:name="_ETM_Q113_578100"/>
      <w:bookmarkEnd w:id="62518"/>
      <w:r>
        <w:rPr>
          <w:rFonts w:hint="cs"/>
          <w:rtl/>
        </w:rPr>
        <w:t xml:space="preserve">יודע </w:t>
      </w:r>
      <w:bookmarkStart w:id="62519" w:name="_ETM_Q113_578310"/>
      <w:bookmarkEnd w:id="62519"/>
      <w:r>
        <w:rPr>
          <w:rFonts w:hint="cs"/>
          <w:rtl/>
        </w:rPr>
        <w:t xml:space="preserve">למה, </w:t>
      </w:r>
      <w:bookmarkStart w:id="62520" w:name="_ETM_Q113_579060"/>
      <w:bookmarkEnd w:id="62520"/>
      <w:r>
        <w:rPr>
          <w:rFonts w:hint="cs"/>
          <w:rtl/>
        </w:rPr>
        <w:t xml:space="preserve">לא </w:t>
      </w:r>
      <w:bookmarkStart w:id="62521" w:name="_ETM_Q113_579180"/>
      <w:bookmarkEnd w:id="62521"/>
      <w:r>
        <w:rPr>
          <w:rFonts w:hint="cs"/>
          <w:rtl/>
        </w:rPr>
        <w:t xml:space="preserve">יודע </w:t>
      </w:r>
      <w:bookmarkStart w:id="62522" w:name="_ETM_Q113_579450"/>
      <w:bookmarkEnd w:id="62522"/>
      <w:r>
        <w:rPr>
          <w:rFonts w:hint="cs"/>
          <w:rtl/>
        </w:rPr>
        <w:t xml:space="preserve">למי, </w:t>
      </w:r>
      <w:bookmarkStart w:id="62523" w:name="_ETM_Q113_579840"/>
      <w:bookmarkEnd w:id="62523"/>
      <w:r>
        <w:rPr>
          <w:rFonts w:hint="cs"/>
          <w:rtl/>
        </w:rPr>
        <w:t xml:space="preserve">לא </w:t>
      </w:r>
      <w:bookmarkStart w:id="62524" w:name="_ETM_Q113_579960"/>
      <w:bookmarkEnd w:id="62524"/>
      <w:r>
        <w:rPr>
          <w:rFonts w:hint="cs"/>
          <w:rtl/>
        </w:rPr>
        <w:t xml:space="preserve">משנה </w:t>
      </w:r>
      <w:bookmarkStart w:id="62525" w:name="_ETM_Q113_580290"/>
      <w:bookmarkEnd w:id="62525"/>
      <w:r>
        <w:rPr>
          <w:rFonts w:hint="cs"/>
          <w:rtl/>
        </w:rPr>
        <w:t xml:space="preserve">מה, </w:t>
      </w:r>
      <w:bookmarkStart w:id="62526" w:name="_ETM_Q113_580950"/>
      <w:bookmarkEnd w:id="62526"/>
      <w:r>
        <w:rPr>
          <w:rFonts w:hint="cs"/>
          <w:rtl/>
        </w:rPr>
        <w:t xml:space="preserve">אבל </w:t>
      </w:r>
      <w:bookmarkStart w:id="62527" w:name="_ETM_Q113_581220"/>
      <w:bookmarkEnd w:id="62527"/>
      <w:r>
        <w:rPr>
          <w:rFonts w:hint="cs"/>
          <w:rtl/>
        </w:rPr>
        <w:t xml:space="preserve">יצא </w:t>
      </w:r>
      <w:bookmarkStart w:id="62528" w:name="_ETM_Q113_581430"/>
      <w:bookmarkEnd w:id="62528"/>
      <w:r>
        <w:rPr>
          <w:rFonts w:hint="cs"/>
          <w:rtl/>
        </w:rPr>
        <w:t xml:space="preserve">שהוא היה </w:t>
      </w:r>
      <w:bookmarkStart w:id="62529" w:name="_ETM_Q113_581700"/>
      <w:bookmarkEnd w:id="62529"/>
      <w:r>
        <w:rPr>
          <w:rFonts w:hint="cs"/>
          <w:rtl/>
        </w:rPr>
        <w:t xml:space="preserve">צריך </w:t>
      </w:r>
      <w:bookmarkStart w:id="62530" w:name="_ETM_Q113_581910"/>
      <w:bookmarkEnd w:id="62530"/>
      <w:r>
        <w:rPr>
          <w:rFonts w:hint="cs"/>
          <w:rtl/>
        </w:rPr>
        <w:t xml:space="preserve">להיות </w:t>
      </w:r>
      <w:bookmarkStart w:id="62531" w:name="_ETM_Q113_582120"/>
      <w:bookmarkEnd w:id="62531"/>
      <w:r>
        <w:rPr>
          <w:rFonts w:hint="cs"/>
          <w:rtl/>
        </w:rPr>
        <w:t xml:space="preserve">זמין. </w:t>
      </w:r>
      <w:bookmarkStart w:id="62532" w:name="_ETM_Q113_582839"/>
      <w:bookmarkEnd w:id="62532"/>
      <w:r>
        <w:rPr>
          <w:rFonts w:hint="cs"/>
          <w:rtl/>
        </w:rPr>
        <w:t xml:space="preserve">זה סעיף </w:t>
      </w:r>
      <w:bookmarkStart w:id="62533" w:name="_ETM_Q113_583409"/>
      <w:bookmarkEnd w:id="62533"/>
      <w:r>
        <w:rPr>
          <w:rFonts w:hint="cs"/>
          <w:rtl/>
        </w:rPr>
        <w:t xml:space="preserve">שמדבר </w:t>
      </w:r>
      <w:bookmarkStart w:id="62534" w:name="_ETM_Q113_583829"/>
      <w:bookmarkEnd w:id="62534"/>
      <w:r>
        <w:rPr>
          <w:rFonts w:hint="cs"/>
          <w:rtl/>
        </w:rPr>
        <w:t xml:space="preserve">על </w:t>
      </w:r>
      <w:bookmarkStart w:id="62535" w:name="_ETM_Q113_583919"/>
      <w:bookmarkEnd w:id="62535"/>
      <w:r>
        <w:rPr>
          <w:rFonts w:hint="cs"/>
          <w:rtl/>
        </w:rPr>
        <w:t xml:space="preserve">התיק </w:t>
      </w:r>
      <w:bookmarkStart w:id="62536" w:name="_ETM_Q113_584159"/>
      <w:bookmarkEnd w:id="62536"/>
      <w:r>
        <w:rPr>
          <w:rFonts w:hint="cs"/>
          <w:rtl/>
        </w:rPr>
        <w:t>הרפואי –</w:t>
      </w:r>
      <w:bookmarkStart w:id="62537" w:name="_ETM_Q113_584700"/>
      <w:bookmarkEnd w:id="62537"/>
      <w:r>
        <w:rPr>
          <w:rFonts w:hint="cs"/>
          <w:rtl/>
        </w:rPr>
        <w:t xml:space="preserve"> שמירת </w:t>
      </w:r>
      <w:bookmarkStart w:id="62538" w:name="_ETM_Q113_585029"/>
      <w:bookmarkEnd w:id="62538"/>
      <w:r>
        <w:rPr>
          <w:rFonts w:hint="cs"/>
          <w:rtl/>
        </w:rPr>
        <w:t xml:space="preserve">התיק </w:t>
      </w:r>
      <w:bookmarkStart w:id="62539" w:name="_ETM_Q113_585239"/>
      <w:bookmarkEnd w:id="62539"/>
      <w:r>
        <w:rPr>
          <w:rFonts w:hint="cs"/>
          <w:rtl/>
        </w:rPr>
        <w:t xml:space="preserve">הרפואי </w:t>
      </w:r>
      <w:bookmarkStart w:id="62540" w:name="_ETM_Q113_585659"/>
      <w:bookmarkEnd w:id="62540"/>
      <w:r>
        <w:rPr>
          <w:rFonts w:hint="cs"/>
          <w:rtl/>
        </w:rPr>
        <w:t xml:space="preserve">ועדכונו, </w:t>
      </w:r>
      <w:bookmarkStart w:id="62541" w:name="_ETM_Q113_586649"/>
      <w:bookmarkEnd w:id="62541"/>
      <w:r>
        <w:rPr>
          <w:rFonts w:hint="cs"/>
          <w:rtl/>
        </w:rPr>
        <w:t xml:space="preserve">וחשיפת </w:t>
      </w:r>
      <w:bookmarkStart w:id="62542" w:name="_ETM_Q113_587310"/>
      <w:bookmarkEnd w:id="62542"/>
      <w:r>
        <w:rPr>
          <w:rFonts w:hint="cs"/>
          <w:rtl/>
        </w:rPr>
        <w:t xml:space="preserve">תיקו </w:t>
      </w:r>
      <w:bookmarkStart w:id="62543" w:name="_ETM_Q113_587639"/>
      <w:bookmarkEnd w:id="62543"/>
      <w:r>
        <w:rPr>
          <w:rFonts w:hint="cs"/>
          <w:rtl/>
        </w:rPr>
        <w:t xml:space="preserve">הרפואי </w:t>
      </w:r>
      <w:bookmarkStart w:id="62544" w:name="_ETM_Q113_588029"/>
      <w:bookmarkEnd w:id="62544"/>
      <w:r>
        <w:rPr>
          <w:rFonts w:hint="cs"/>
          <w:rtl/>
        </w:rPr>
        <w:t xml:space="preserve">של </w:t>
      </w:r>
      <w:bookmarkStart w:id="62545" w:name="_ETM_Q113_588179"/>
      <w:bookmarkEnd w:id="62545"/>
      <w:r>
        <w:rPr>
          <w:rFonts w:hint="cs"/>
          <w:rtl/>
        </w:rPr>
        <w:t xml:space="preserve">ראש הממשלה </w:t>
      </w:r>
      <w:bookmarkStart w:id="62546" w:name="_ETM_Q113_588779"/>
      <w:bookmarkEnd w:id="62546"/>
      <w:r>
        <w:rPr>
          <w:rFonts w:hint="cs"/>
          <w:rtl/>
        </w:rPr>
        <w:t xml:space="preserve">לציבור. </w:t>
      </w:r>
      <w:bookmarkStart w:id="62547" w:name="_ETM_Q113_589259"/>
      <w:bookmarkStart w:id="62548" w:name="_ETM_Q113_589499"/>
      <w:bookmarkStart w:id="62549" w:name="_ETM_Q113_591740"/>
      <w:bookmarkStart w:id="62550" w:name="_ETM_Q113_591780"/>
      <w:bookmarkStart w:id="62551" w:name="_ETM_Q113_591940"/>
      <w:bookmarkStart w:id="62552" w:name="_ETM_Q113_591968"/>
      <w:bookmarkEnd w:id="62547"/>
      <w:bookmarkEnd w:id="62548"/>
      <w:bookmarkEnd w:id="62549"/>
      <w:bookmarkEnd w:id="62550"/>
      <w:bookmarkEnd w:id="62551"/>
      <w:bookmarkEnd w:id="62552"/>
      <w:r>
        <w:rPr>
          <w:rFonts w:hint="cs"/>
          <w:rtl/>
        </w:rPr>
        <w:t xml:space="preserve">זה </w:t>
      </w:r>
      <w:bookmarkStart w:id="62553" w:name="_ETM_Q113_589619"/>
      <w:bookmarkEnd w:id="62553"/>
      <w:r>
        <w:rPr>
          <w:rFonts w:hint="cs"/>
          <w:rtl/>
        </w:rPr>
        <w:t>מ-2007,</w:t>
      </w:r>
      <w:bookmarkStart w:id="62554" w:name="_ETM_Q113_592718"/>
      <w:bookmarkEnd w:id="62554"/>
      <w:r>
        <w:rPr>
          <w:rFonts w:hint="cs"/>
          <w:rtl/>
        </w:rPr>
        <w:t xml:space="preserve"> ובשבע השנים האחרונות, </w:t>
      </w:r>
      <w:bookmarkStart w:id="62555" w:name="_ETM_Q113_591029"/>
      <w:bookmarkStart w:id="62556" w:name="_ETM_Q113_591629"/>
      <w:bookmarkStart w:id="62557" w:name="_ETM_Q113_591929"/>
      <w:bookmarkStart w:id="62558" w:name="_ETM_Q113_592439"/>
      <w:bookmarkEnd w:id="62555"/>
      <w:bookmarkEnd w:id="62556"/>
      <w:bookmarkEnd w:id="62557"/>
      <w:bookmarkEnd w:id="62558"/>
      <w:r>
        <w:rPr>
          <w:rFonts w:hint="cs"/>
          <w:rtl/>
        </w:rPr>
        <w:t xml:space="preserve">זאת </w:t>
      </w:r>
      <w:bookmarkStart w:id="62559" w:name="_ETM_Q113_592589"/>
      <w:bookmarkEnd w:id="62559"/>
      <w:r>
        <w:rPr>
          <w:rFonts w:hint="cs"/>
          <w:rtl/>
        </w:rPr>
        <w:t>אומרת מ</w:t>
      </w:r>
      <w:bookmarkStart w:id="62560" w:name="_ETM_Q113_592770"/>
      <w:bookmarkStart w:id="62561" w:name="_ETM_Q113_592859"/>
      <w:bookmarkEnd w:id="62560"/>
      <w:bookmarkEnd w:id="62561"/>
      <w:r>
        <w:rPr>
          <w:rFonts w:hint="cs"/>
          <w:rtl/>
        </w:rPr>
        <w:t>-2016</w:t>
      </w:r>
      <w:r w:rsidR="00924280">
        <w:rPr>
          <w:rFonts w:hint="cs"/>
          <w:rtl/>
        </w:rPr>
        <w:t>,</w:t>
      </w:r>
      <w:r>
        <w:rPr>
          <w:rFonts w:hint="cs"/>
          <w:rtl/>
        </w:rPr>
        <w:t xml:space="preserve"> </w:t>
      </w:r>
      <w:bookmarkStart w:id="62562" w:name="_ETM_Q113_594060"/>
      <w:bookmarkEnd w:id="62562"/>
      <w:r>
        <w:rPr>
          <w:rFonts w:hint="cs"/>
          <w:rtl/>
        </w:rPr>
        <w:t xml:space="preserve">ראש הממשלה מיאן לפרסם </w:t>
      </w:r>
      <w:bookmarkStart w:id="62563" w:name="_ETM_Q113_594970"/>
      <w:bookmarkStart w:id="62564" w:name="_ETM_Q113_595510"/>
      <w:bookmarkStart w:id="62565" w:name="_ETM_Q113_596500"/>
      <w:bookmarkEnd w:id="62563"/>
      <w:bookmarkEnd w:id="62564"/>
      <w:bookmarkEnd w:id="62565"/>
      <w:r>
        <w:rPr>
          <w:rFonts w:hint="cs"/>
          <w:rtl/>
        </w:rPr>
        <w:t xml:space="preserve">את </w:t>
      </w:r>
      <w:bookmarkStart w:id="62566" w:name="_ETM_Q113_596710"/>
      <w:bookmarkEnd w:id="62566"/>
      <w:r>
        <w:rPr>
          <w:rFonts w:hint="cs"/>
          <w:rtl/>
        </w:rPr>
        <w:t xml:space="preserve">התיק </w:t>
      </w:r>
      <w:bookmarkStart w:id="62567" w:name="_ETM_Q113_597380"/>
      <w:bookmarkEnd w:id="62567"/>
      <w:r>
        <w:rPr>
          <w:rFonts w:hint="cs"/>
          <w:rtl/>
        </w:rPr>
        <w:t xml:space="preserve">הרפואי </w:t>
      </w:r>
      <w:bookmarkStart w:id="62568" w:name="_ETM_Q113_597799"/>
      <w:bookmarkEnd w:id="62568"/>
      <w:r>
        <w:rPr>
          <w:rFonts w:hint="cs"/>
          <w:rtl/>
        </w:rPr>
        <w:t xml:space="preserve">שלו </w:t>
      </w:r>
      <w:bookmarkStart w:id="62569" w:name="_ETM_Q113_598009"/>
      <w:bookmarkEnd w:id="62569"/>
      <w:r>
        <w:rPr>
          <w:rFonts w:hint="cs"/>
          <w:rtl/>
        </w:rPr>
        <w:t xml:space="preserve">לציבור. </w:t>
      </w:r>
      <w:bookmarkStart w:id="62570" w:name="_ETM_Q113_600182"/>
      <w:bookmarkStart w:id="62571" w:name="_ETM_Q113_598959"/>
      <w:bookmarkStart w:id="62572" w:name="_ETM_Q113_598490"/>
      <w:bookmarkStart w:id="62573" w:name="_ETM_Q113_598729"/>
      <w:bookmarkStart w:id="62574" w:name="_ETM_Q113_598850"/>
      <w:bookmarkEnd w:id="62570"/>
      <w:bookmarkEnd w:id="62571"/>
      <w:bookmarkEnd w:id="62572"/>
      <w:bookmarkEnd w:id="62573"/>
      <w:bookmarkEnd w:id="62574"/>
      <w:r>
        <w:rPr>
          <w:rFonts w:hint="cs"/>
          <w:rtl/>
        </w:rPr>
        <w:t xml:space="preserve">אף אחד </w:t>
      </w:r>
      <w:bookmarkStart w:id="62575" w:name="_ETM_Q113_598999"/>
      <w:bookmarkEnd w:id="62575"/>
      <w:r>
        <w:rPr>
          <w:rFonts w:hint="cs"/>
          <w:rtl/>
        </w:rPr>
        <w:t xml:space="preserve">לא </w:t>
      </w:r>
      <w:bookmarkStart w:id="62576" w:name="_ETM_Q113_599119"/>
      <w:bookmarkStart w:id="62577" w:name="_ETM_Q113_599299"/>
      <w:bookmarkEnd w:id="62576"/>
      <w:bookmarkEnd w:id="62577"/>
      <w:r>
        <w:rPr>
          <w:rFonts w:hint="cs"/>
          <w:rtl/>
        </w:rPr>
        <w:t xml:space="preserve">אומר </w:t>
      </w:r>
      <w:bookmarkStart w:id="62578" w:name="_ETM_Q113_599719"/>
      <w:bookmarkEnd w:id="62578"/>
      <w:r>
        <w:rPr>
          <w:rFonts w:hint="cs"/>
          <w:rtl/>
        </w:rPr>
        <w:t xml:space="preserve">שזה </w:t>
      </w:r>
      <w:bookmarkStart w:id="62579" w:name="_ETM_Q113_600049"/>
      <w:bookmarkEnd w:id="62579"/>
      <w:r>
        <w:rPr>
          <w:rFonts w:hint="cs"/>
          <w:rtl/>
        </w:rPr>
        <w:t xml:space="preserve">מעניין </w:t>
      </w:r>
      <w:bookmarkStart w:id="62580" w:name="_ETM_Q113_600409"/>
      <w:bookmarkEnd w:id="62580"/>
      <w:r>
        <w:rPr>
          <w:rFonts w:hint="cs"/>
          <w:rtl/>
        </w:rPr>
        <w:t xml:space="preserve">אותנו </w:t>
      </w:r>
      <w:bookmarkStart w:id="62581" w:name="_ETM_Q113_600709"/>
      <w:bookmarkEnd w:id="62581"/>
      <w:r>
        <w:rPr>
          <w:rFonts w:hint="cs"/>
          <w:rtl/>
        </w:rPr>
        <w:t xml:space="preserve">ברמת </w:t>
      </w:r>
      <w:bookmarkStart w:id="62582" w:name="_ETM_Q113_601159"/>
      <w:bookmarkEnd w:id="62582"/>
      <w:r>
        <w:rPr>
          <w:rFonts w:hint="cs"/>
          <w:rtl/>
        </w:rPr>
        <w:t xml:space="preserve">החטטנות </w:t>
      </w:r>
      <w:bookmarkStart w:id="62583" w:name="_ETM_Q113_605440"/>
      <w:bookmarkEnd w:id="62583"/>
      <w:r>
        <w:rPr>
          <w:rFonts w:hint="cs"/>
          <w:rtl/>
        </w:rPr>
        <w:t xml:space="preserve">או הפגיעה בפרטיות או הסודיות הרפואית, אבל </w:t>
      </w:r>
      <w:bookmarkStart w:id="62584" w:name="_ETM_Q113_603510"/>
      <w:bookmarkStart w:id="62585" w:name="_ETM_Q113_603990"/>
      <w:bookmarkStart w:id="62586" w:name="_ETM_Q113_604650"/>
      <w:bookmarkStart w:id="62587" w:name="_ETM_Q113_605009"/>
      <w:bookmarkStart w:id="62588" w:name="_ETM_Q113_605790"/>
      <w:bookmarkStart w:id="62589" w:name="_ETM_Q113_606329"/>
      <w:bookmarkStart w:id="62590" w:name="_ETM_Q113_606930"/>
      <w:bookmarkStart w:id="62591" w:name="_ETM_Q113_607409"/>
      <w:bookmarkEnd w:id="62584"/>
      <w:bookmarkEnd w:id="62585"/>
      <w:bookmarkEnd w:id="62586"/>
      <w:bookmarkEnd w:id="62587"/>
      <w:bookmarkEnd w:id="62588"/>
      <w:bookmarkEnd w:id="62589"/>
      <w:bookmarkEnd w:id="62590"/>
      <w:bookmarkEnd w:id="62591"/>
      <w:r>
        <w:rPr>
          <w:rFonts w:hint="cs"/>
          <w:rtl/>
        </w:rPr>
        <w:t xml:space="preserve">אני </w:t>
      </w:r>
      <w:bookmarkStart w:id="62592" w:name="_ETM_Q113_607529"/>
      <w:bookmarkEnd w:id="62592"/>
      <w:r>
        <w:rPr>
          <w:rFonts w:hint="cs"/>
          <w:rtl/>
        </w:rPr>
        <w:t xml:space="preserve">חושב </w:t>
      </w:r>
      <w:bookmarkStart w:id="62593" w:name="_ETM_Q113_607680"/>
      <w:bookmarkEnd w:id="62593"/>
      <w:r>
        <w:rPr>
          <w:rFonts w:hint="cs"/>
          <w:rtl/>
        </w:rPr>
        <w:t xml:space="preserve">שמן </w:t>
      </w:r>
      <w:bookmarkStart w:id="62594" w:name="_ETM_Q113_608010"/>
      <w:bookmarkEnd w:id="62594"/>
      <w:r>
        <w:rPr>
          <w:rFonts w:hint="cs"/>
          <w:rtl/>
        </w:rPr>
        <w:t xml:space="preserve">הראוי </w:t>
      </w:r>
      <w:bookmarkStart w:id="62595" w:name="_ETM_Q113_608849"/>
      <w:bookmarkEnd w:id="62595"/>
      <w:r>
        <w:rPr>
          <w:rFonts w:hint="cs"/>
          <w:rtl/>
        </w:rPr>
        <w:t>שבאמת –</w:t>
      </w:r>
      <w:r w:rsidR="00924280">
        <w:rPr>
          <w:rFonts w:hint="cs"/>
          <w:rtl/>
        </w:rPr>
        <w:t xml:space="preserve"> </w:t>
      </w:r>
      <w:r>
        <w:rPr>
          <w:rFonts w:hint="cs"/>
          <w:rtl/>
        </w:rPr>
        <w:t xml:space="preserve">פשוט </w:t>
      </w:r>
      <w:bookmarkStart w:id="62596" w:name="_ETM_Q113_611840"/>
      <w:bookmarkEnd w:id="62596"/>
      <w:r>
        <w:rPr>
          <w:rFonts w:hint="cs"/>
          <w:rtl/>
        </w:rPr>
        <w:t xml:space="preserve">תפרסם </w:t>
      </w:r>
      <w:bookmarkStart w:id="62597" w:name="_ETM_Q113_612379"/>
      <w:bookmarkEnd w:id="62597"/>
      <w:r>
        <w:rPr>
          <w:rFonts w:hint="cs"/>
          <w:rtl/>
        </w:rPr>
        <w:t xml:space="preserve">את </w:t>
      </w:r>
      <w:bookmarkStart w:id="62598" w:name="_ETM_Q113_612499"/>
      <w:bookmarkEnd w:id="62598"/>
      <w:r>
        <w:rPr>
          <w:rFonts w:hint="cs"/>
          <w:rtl/>
        </w:rPr>
        <w:t xml:space="preserve">זה, </w:t>
      </w:r>
      <w:bookmarkStart w:id="62599" w:name="_ETM_Q113_612650"/>
      <w:bookmarkEnd w:id="62599"/>
      <w:r>
        <w:rPr>
          <w:rFonts w:hint="cs"/>
          <w:rtl/>
        </w:rPr>
        <w:t xml:space="preserve">ואם </w:t>
      </w:r>
      <w:bookmarkStart w:id="62600" w:name="_ETM_Q113_612859"/>
      <w:bookmarkEnd w:id="62600"/>
      <w:r>
        <w:rPr>
          <w:rFonts w:hint="cs"/>
          <w:rtl/>
        </w:rPr>
        <w:t xml:space="preserve">לא </w:t>
      </w:r>
      <w:bookmarkStart w:id="62601" w:name="_ETM_Q113_612919"/>
      <w:bookmarkEnd w:id="62601"/>
      <w:r>
        <w:rPr>
          <w:rFonts w:hint="cs"/>
          <w:rtl/>
        </w:rPr>
        <w:t xml:space="preserve">תפרסם </w:t>
      </w:r>
      <w:bookmarkStart w:id="62602" w:name="_ETM_Q113_613340"/>
      <w:bookmarkEnd w:id="62602"/>
      <w:r>
        <w:rPr>
          <w:rFonts w:hint="cs"/>
          <w:rtl/>
        </w:rPr>
        <w:t xml:space="preserve">את </w:t>
      </w:r>
      <w:bookmarkStart w:id="62603" w:name="_ETM_Q113_613430"/>
      <w:bookmarkEnd w:id="62603"/>
      <w:r>
        <w:rPr>
          <w:rFonts w:hint="cs"/>
          <w:rtl/>
        </w:rPr>
        <w:t xml:space="preserve">זה, </w:t>
      </w:r>
      <w:bookmarkStart w:id="62604" w:name="_ETM_Q113_613549"/>
      <w:bookmarkEnd w:id="62604"/>
      <w:r>
        <w:rPr>
          <w:rFonts w:hint="cs"/>
          <w:rtl/>
        </w:rPr>
        <w:t xml:space="preserve">אז </w:t>
      </w:r>
      <w:bookmarkStart w:id="62605" w:name="_ETM_Q113_613669"/>
      <w:bookmarkEnd w:id="62605"/>
      <w:r>
        <w:rPr>
          <w:rFonts w:hint="cs"/>
          <w:rtl/>
        </w:rPr>
        <w:t xml:space="preserve">אני </w:t>
      </w:r>
      <w:bookmarkStart w:id="62606" w:name="_ETM_Q113_613790"/>
      <w:bookmarkEnd w:id="62606"/>
      <w:r>
        <w:rPr>
          <w:rFonts w:hint="cs"/>
          <w:rtl/>
        </w:rPr>
        <w:t xml:space="preserve">חושב </w:t>
      </w:r>
      <w:bookmarkStart w:id="62607" w:name="_ETM_Q113_613969"/>
      <w:bookmarkEnd w:id="62607"/>
      <w:r>
        <w:rPr>
          <w:rFonts w:hint="cs"/>
          <w:rtl/>
        </w:rPr>
        <w:t xml:space="preserve">שגם </w:t>
      </w:r>
      <w:bookmarkStart w:id="62608" w:name="_ETM_Q113_614239"/>
      <w:bookmarkEnd w:id="62608"/>
      <w:r>
        <w:rPr>
          <w:rFonts w:hint="cs"/>
          <w:rtl/>
        </w:rPr>
        <w:t xml:space="preserve">צריך </w:t>
      </w:r>
      <w:bookmarkStart w:id="62609" w:name="_ETM_Q113_614900"/>
      <w:bookmarkEnd w:id="62609"/>
      <w:r>
        <w:rPr>
          <w:rFonts w:hint="cs"/>
          <w:rtl/>
        </w:rPr>
        <w:t xml:space="preserve">לתקן </w:t>
      </w:r>
      <w:bookmarkStart w:id="62610" w:name="_ETM_Q113_615349"/>
      <w:bookmarkEnd w:id="62610"/>
      <w:r>
        <w:rPr>
          <w:rFonts w:hint="cs"/>
          <w:rtl/>
        </w:rPr>
        <w:t xml:space="preserve">את </w:t>
      </w:r>
      <w:bookmarkStart w:id="62611" w:name="_ETM_Q113_615469"/>
      <w:bookmarkEnd w:id="62611"/>
      <w:r>
        <w:rPr>
          <w:rFonts w:hint="cs"/>
          <w:rtl/>
        </w:rPr>
        <w:t xml:space="preserve">חוק </w:t>
      </w:r>
      <w:bookmarkStart w:id="62612" w:name="_ETM_Q113_615650"/>
      <w:bookmarkEnd w:id="62612"/>
      <w:r>
        <w:rPr>
          <w:rFonts w:hint="cs"/>
          <w:rtl/>
        </w:rPr>
        <w:t xml:space="preserve">הנבצרות. </w:t>
      </w:r>
      <w:bookmarkStart w:id="62613" w:name="_ETM_Q113_616219"/>
      <w:bookmarkEnd w:id="62613"/>
    </w:p>
    <w:p w:rsidR="00BB59CD" w:rsidRDefault="00BB59CD" w:rsidP="00BB59CD">
      <w:pPr>
        <w:rPr>
          <w:rtl/>
        </w:rPr>
      </w:pPr>
      <w:bookmarkStart w:id="62614" w:name="_ETM_Q113_618228"/>
      <w:bookmarkEnd w:id="62614"/>
    </w:p>
    <w:p w:rsidR="00BB59CD" w:rsidRDefault="00BB59CD" w:rsidP="00924280">
      <w:pPr>
        <w:rPr>
          <w:rtl/>
        </w:rPr>
      </w:pPr>
      <w:bookmarkStart w:id="62615" w:name="_ETM_Q113_618279"/>
      <w:bookmarkStart w:id="62616" w:name="_ETM_Q113_618341"/>
      <w:bookmarkEnd w:id="62615"/>
      <w:bookmarkEnd w:id="62616"/>
      <w:r>
        <w:rPr>
          <w:rFonts w:hint="cs"/>
          <w:rtl/>
        </w:rPr>
        <w:t xml:space="preserve">זוכרים </w:t>
      </w:r>
      <w:bookmarkStart w:id="62617" w:name="_ETM_Q113_616549"/>
      <w:bookmarkEnd w:id="62617"/>
      <w:r>
        <w:rPr>
          <w:rFonts w:hint="cs"/>
          <w:rtl/>
        </w:rPr>
        <w:t xml:space="preserve">שהעברתם </w:t>
      </w:r>
      <w:bookmarkStart w:id="62618" w:name="_ETM_Q113_616999"/>
      <w:bookmarkEnd w:id="62618"/>
      <w:r>
        <w:rPr>
          <w:rFonts w:hint="cs"/>
          <w:rtl/>
        </w:rPr>
        <w:t xml:space="preserve">את </w:t>
      </w:r>
      <w:bookmarkStart w:id="62619" w:name="_ETM_Q113_617090"/>
      <w:bookmarkEnd w:id="62619"/>
      <w:r>
        <w:rPr>
          <w:rFonts w:hint="cs"/>
          <w:rtl/>
        </w:rPr>
        <w:t xml:space="preserve">חוק </w:t>
      </w:r>
      <w:bookmarkStart w:id="62620" w:name="_ETM_Q113_617269"/>
      <w:bookmarkEnd w:id="62620"/>
      <w:r>
        <w:rPr>
          <w:rFonts w:hint="cs"/>
          <w:rtl/>
        </w:rPr>
        <w:t xml:space="preserve">הנבצרות? </w:t>
      </w:r>
      <w:bookmarkStart w:id="62621" w:name="_ETM_Q113_619299"/>
      <w:bookmarkEnd w:id="62621"/>
      <w:r>
        <w:rPr>
          <w:rFonts w:hint="cs"/>
          <w:rtl/>
        </w:rPr>
        <w:t xml:space="preserve">אני </w:t>
      </w:r>
      <w:bookmarkStart w:id="62622" w:name="_ETM_Q113_619420"/>
      <w:bookmarkEnd w:id="62622"/>
      <w:r>
        <w:rPr>
          <w:rFonts w:hint="cs"/>
          <w:rtl/>
        </w:rPr>
        <w:t xml:space="preserve">מניח </w:t>
      </w:r>
      <w:bookmarkStart w:id="62623" w:name="_ETM_Q113_619720"/>
      <w:bookmarkEnd w:id="62623"/>
      <w:r>
        <w:rPr>
          <w:rFonts w:hint="cs"/>
          <w:rtl/>
        </w:rPr>
        <w:t xml:space="preserve">שאתם </w:t>
      </w:r>
      <w:bookmarkStart w:id="62624" w:name="_ETM_Q113_619900"/>
      <w:bookmarkEnd w:id="62624"/>
      <w:r>
        <w:rPr>
          <w:rFonts w:hint="cs"/>
          <w:rtl/>
        </w:rPr>
        <w:t xml:space="preserve">זוכרים, </w:t>
      </w:r>
      <w:bookmarkStart w:id="62625" w:name="_ETM_Q113_620719"/>
      <w:bookmarkEnd w:id="62625"/>
      <w:r>
        <w:rPr>
          <w:rFonts w:hint="cs"/>
          <w:rtl/>
        </w:rPr>
        <w:t xml:space="preserve">ואני </w:t>
      </w:r>
      <w:bookmarkStart w:id="62626" w:name="_ETM_Q113_620900"/>
      <w:bookmarkEnd w:id="62626"/>
      <w:r>
        <w:rPr>
          <w:rFonts w:hint="cs"/>
          <w:rtl/>
        </w:rPr>
        <w:t xml:space="preserve">גם מניח </w:t>
      </w:r>
      <w:bookmarkStart w:id="62627" w:name="_ETM_Q113_621200"/>
      <w:bookmarkStart w:id="62628" w:name="_ETM_Q113_621379"/>
      <w:bookmarkEnd w:id="62627"/>
      <w:bookmarkEnd w:id="62628"/>
      <w:r>
        <w:rPr>
          <w:rFonts w:hint="cs"/>
          <w:rtl/>
        </w:rPr>
        <w:t xml:space="preserve">שזה </w:t>
      </w:r>
      <w:bookmarkStart w:id="62629" w:name="_ETM_Q113_621620"/>
      <w:bookmarkEnd w:id="62629"/>
      <w:r>
        <w:rPr>
          <w:rFonts w:hint="cs"/>
          <w:rtl/>
        </w:rPr>
        <w:t xml:space="preserve">לא </w:t>
      </w:r>
      <w:bookmarkStart w:id="62630" w:name="_ETM_Q113_621709"/>
      <w:bookmarkEnd w:id="62630"/>
      <w:r>
        <w:rPr>
          <w:rFonts w:hint="cs"/>
          <w:rtl/>
        </w:rPr>
        <w:t xml:space="preserve">ממש </w:t>
      </w:r>
      <w:bookmarkStart w:id="62631" w:name="_ETM_Q113_622010"/>
      <w:bookmarkEnd w:id="62631"/>
      <w:r>
        <w:rPr>
          <w:rFonts w:hint="cs"/>
          <w:rtl/>
        </w:rPr>
        <w:t xml:space="preserve">מעניין </w:t>
      </w:r>
      <w:bookmarkStart w:id="62632" w:name="_ETM_Q113_622340"/>
      <w:bookmarkEnd w:id="62632"/>
      <w:r>
        <w:rPr>
          <w:rFonts w:hint="cs"/>
          <w:rtl/>
        </w:rPr>
        <w:t xml:space="preserve">שאין </w:t>
      </w:r>
      <w:bookmarkStart w:id="62633" w:name="_ETM_Q113_622640"/>
      <w:bookmarkStart w:id="62634" w:name="_ETM_Q113_622730"/>
      <w:bookmarkEnd w:id="62633"/>
      <w:bookmarkEnd w:id="62634"/>
      <w:r>
        <w:rPr>
          <w:rFonts w:hint="cs"/>
          <w:rtl/>
        </w:rPr>
        <w:t xml:space="preserve">יכולת </w:t>
      </w:r>
      <w:bookmarkStart w:id="62635" w:name="_ETM_Q113_624140"/>
      <w:bookmarkEnd w:id="62635"/>
      <w:r>
        <w:rPr>
          <w:rFonts w:hint="cs"/>
          <w:rtl/>
        </w:rPr>
        <w:t xml:space="preserve">למנות, </w:t>
      </w:r>
      <w:bookmarkStart w:id="62636" w:name="_ETM_Q113_624859"/>
      <w:bookmarkEnd w:id="62636"/>
      <w:r>
        <w:rPr>
          <w:rFonts w:hint="cs"/>
          <w:rtl/>
        </w:rPr>
        <w:t xml:space="preserve">ואין </w:t>
      </w:r>
      <w:bookmarkStart w:id="62637" w:name="_ETM_Q113_625219"/>
      <w:bookmarkStart w:id="62638" w:name="_ETM_Q113_625430"/>
      <w:bookmarkEnd w:id="62637"/>
      <w:bookmarkEnd w:id="62638"/>
      <w:r>
        <w:rPr>
          <w:rFonts w:hint="cs"/>
          <w:rtl/>
        </w:rPr>
        <w:t xml:space="preserve">לראש </w:t>
      </w:r>
      <w:bookmarkStart w:id="62639" w:name="_ETM_Q113_625700"/>
      <w:bookmarkEnd w:id="62639"/>
      <w:r>
        <w:rPr>
          <w:rFonts w:hint="cs"/>
          <w:rtl/>
        </w:rPr>
        <w:t xml:space="preserve">הממשלה </w:t>
      </w:r>
      <w:bookmarkStart w:id="62640" w:name="_ETM_Q113_626150"/>
      <w:bookmarkEnd w:id="62640"/>
      <w:r>
        <w:rPr>
          <w:rFonts w:hint="cs"/>
          <w:rtl/>
        </w:rPr>
        <w:t xml:space="preserve">שלנו, </w:t>
      </w:r>
      <w:bookmarkStart w:id="62641" w:name="_ETM_Q113_627019"/>
      <w:bookmarkEnd w:id="62641"/>
      <w:r>
        <w:rPr>
          <w:rFonts w:hint="cs"/>
          <w:rtl/>
        </w:rPr>
        <w:t>ממלא</w:t>
      </w:r>
      <w:bookmarkStart w:id="62642" w:name="_ETM_Q113_627379"/>
      <w:bookmarkEnd w:id="62642"/>
      <w:r w:rsidR="00924280">
        <w:rPr>
          <w:rFonts w:hint="cs"/>
          <w:rtl/>
        </w:rPr>
        <w:t xml:space="preserve"> </w:t>
      </w:r>
      <w:bookmarkStart w:id="62643" w:name="_ETM_Q0_67654067"/>
      <w:bookmarkEnd w:id="62643"/>
      <w:r>
        <w:rPr>
          <w:rFonts w:hint="cs"/>
          <w:rtl/>
        </w:rPr>
        <w:t xml:space="preserve">מקום; </w:t>
      </w:r>
      <w:bookmarkStart w:id="62644" w:name="_ETM_Q113_627769"/>
      <w:bookmarkEnd w:id="62644"/>
      <w:r>
        <w:rPr>
          <w:rFonts w:hint="cs"/>
          <w:rtl/>
        </w:rPr>
        <w:t xml:space="preserve">זאת </w:t>
      </w:r>
      <w:bookmarkStart w:id="62645" w:name="_ETM_Q113_627920"/>
      <w:bookmarkEnd w:id="62645"/>
      <w:r>
        <w:rPr>
          <w:rFonts w:hint="cs"/>
          <w:rtl/>
        </w:rPr>
        <w:t xml:space="preserve">אומרת </w:t>
      </w:r>
      <w:bookmarkStart w:id="62646" w:name="_ETM_Q113_628099"/>
      <w:bookmarkEnd w:id="62646"/>
      <w:r>
        <w:rPr>
          <w:rFonts w:hint="cs"/>
          <w:rtl/>
        </w:rPr>
        <w:t xml:space="preserve">שאם </w:t>
      </w:r>
      <w:bookmarkStart w:id="62647" w:name="_ETM_Q113_628340"/>
      <w:bookmarkEnd w:id="62647"/>
      <w:r>
        <w:rPr>
          <w:rFonts w:hint="cs"/>
          <w:rtl/>
        </w:rPr>
        <w:t xml:space="preserve">חס </w:t>
      </w:r>
      <w:bookmarkStart w:id="62648" w:name="_ETM_Q113_628609"/>
      <w:bookmarkEnd w:id="62648"/>
      <w:r>
        <w:rPr>
          <w:rFonts w:hint="cs"/>
          <w:rtl/>
        </w:rPr>
        <w:t xml:space="preserve">וחלילה, </w:t>
      </w:r>
      <w:bookmarkStart w:id="62649" w:name="_ETM_Q113_629120"/>
      <w:bookmarkEnd w:id="62649"/>
      <w:r>
        <w:rPr>
          <w:rFonts w:hint="cs"/>
          <w:rtl/>
        </w:rPr>
        <w:t xml:space="preserve">חס </w:t>
      </w:r>
      <w:bookmarkStart w:id="62650" w:name="_ETM_Q113_629359"/>
      <w:bookmarkEnd w:id="62650"/>
      <w:r>
        <w:rPr>
          <w:rFonts w:hint="cs"/>
          <w:rtl/>
        </w:rPr>
        <w:t xml:space="preserve">וחלילה, </w:t>
      </w:r>
      <w:bookmarkStart w:id="62651" w:name="_ETM_Q113_629780"/>
      <w:bookmarkEnd w:id="62651"/>
      <w:r>
        <w:rPr>
          <w:rFonts w:hint="cs"/>
          <w:rtl/>
        </w:rPr>
        <w:t xml:space="preserve">קורה </w:t>
      </w:r>
      <w:bookmarkStart w:id="62652" w:name="_ETM_Q113_630079"/>
      <w:bookmarkEnd w:id="62652"/>
      <w:r>
        <w:rPr>
          <w:rFonts w:hint="cs"/>
          <w:rtl/>
        </w:rPr>
        <w:t xml:space="preserve">משהו, </w:t>
      </w:r>
      <w:bookmarkStart w:id="62653" w:name="_ETM_Q113_630500"/>
      <w:bookmarkEnd w:id="62653"/>
      <w:r>
        <w:rPr>
          <w:rFonts w:hint="cs"/>
          <w:rtl/>
        </w:rPr>
        <w:t xml:space="preserve">או שראש </w:t>
      </w:r>
      <w:bookmarkStart w:id="62654" w:name="_ETM_Q113_630829"/>
      <w:bookmarkEnd w:id="62654"/>
      <w:r>
        <w:rPr>
          <w:rFonts w:hint="cs"/>
          <w:rtl/>
        </w:rPr>
        <w:t xml:space="preserve">הממשלה </w:t>
      </w:r>
      <w:bookmarkStart w:id="62655" w:name="_ETM_Q113_631159"/>
      <w:bookmarkEnd w:id="62655"/>
      <w:r>
        <w:rPr>
          <w:rFonts w:hint="cs"/>
          <w:rtl/>
        </w:rPr>
        <w:t xml:space="preserve">צריך </w:t>
      </w:r>
      <w:bookmarkStart w:id="62656" w:name="_ETM_Q113_631370"/>
      <w:bookmarkEnd w:id="62656"/>
      <w:r>
        <w:rPr>
          <w:rFonts w:hint="cs"/>
          <w:rtl/>
        </w:rPr>
        <w:t xml:space="preserve">לעשות </w:t>
      </w:r>
      <w:bookmarkStart w:id="62657" w:name="_ETM_Q113_631670"/>
      <w:bookmarkEnd w:id="62657"/>
      <w:r>
        <w:rPr>
          <w:rFonts w:hint="cs"/>
          <w:rtl/>
        </w:rPr>
        <w:t xml:space="preserve">פרוצדורה </w:t>
      </w:r>
      <w:bookmarkStart w:id="62658" w:name="_ETM_Q113_632239"/>
      <w:bookmarkEnd w:id="62658"/>
      <w:r>
        <w:rPr>
          <w:rFonts w:hint="cs"/>
          <w:rtl/>
        </w:rPr>
        <w:t xml:space="preserve">רפואית, </w:t>
      </w:r>
      <w:bookmarkStart w:id="62659" w:name="_ETM_Q113_633109"/>
      <w:bookmarkEnd w:id="62659"/>
      <w:r>
        <w:rPr>
          <w:rFonts w:hint="cs"/>
          <w:rtl/>
        </w:rPr>
        <w:t xml:space="preserve">צריך </w:t>
      </w:r>
      <w:bookmarkStart w:id="62660" w:name="_ETM_Q113_633319"/>
      <w:bookmarkEnd w:id="62660"/>
      <w:r>
        <w:rPr>
          <w:rFonts w:hint="cs"/>
          <w:rtl/>
        </w:rPr>
        <w:t xml:space="preserve">לעשות </w:t>
      </w:r>
      <w:bookmarkStart w:id="62661" w:name="_ETM_Q113_633680"/>
      <w:bookmarkEnd w:id="62661"/>
      <w:r>
        <w:rPr>
          <w:rFonts w:hint="cs"/>
          <w:rtl/>
        </w:rPr>
        <w:t xml:space="preserve">הצבעה </w:t>
      </w:r>
      <w:bookmarkStart w:id="62662" w:name="_ETM_Q113_634129"/>
      <w:bookmarkEnd w:id="62662"/>
      <w:r>
        <w:rPr>
          <w:rFonts w:hint="cs"/>
          <w:rtl/>
        </w:rPr>
        <w:t xml:space="preserve">טלפונית – </w:t>
      </w:r>
      <w:bookmarkStart w:id="62663" w:name="_ETM_Q113_635299"/>
      <w:bookmarkEnd w:id="62663"/>
      <w:r>
        <w:rPr>
          <w:rFonts w:hint="cs"/>
          <w:rtl/>
        </w:rPr>
        <w:t xml:space="preserve">אני </w:t>
      </w:r>
      <w:bookmarkStart w:id="62664" w:name="_ETM_Q113_635390"/>
      <w:bookmarkEnd w:id="62664"/>
      <w:r>
        <w:rPr>
          <w:rFonts w:hint="cs"/>
          <w:rtl/>
        </w:rPr>
        <w:t xml:space="preserve">מניח </w:t>
      </w:r>
      <w:bookmarkStart w:id="62665" w:name="_ETM_Q113_635719"/>
      <w:bookmarkEnd w:id="62665"/>
      <w:r>
        <w:rPr>
          <w:rFonts w:hint="cs"/>
          <w:rtl/>
        </w:rPr>
        <w:t xml:space="preserve">שהשר </w:t>
      </w:r>
      <w:bookmarkStart w:id="62666" w:name="_ETM_Q113_636680"/>
      <w:bookmarkEnd w:id="62666"/>
      <w:r>
        <w:rPr>
          <w:rFonts w:hint="cs"/>
          <w:rtl/>
        </w:rPr>
        <w:t xml:space="preserve">פה </w:t>
      </w:r>
      <w:bookmarkStart w:id="62667" w:name="_ETM_Q113_636829"/>
      <w:bookmarkEnd w:id="62667"/>
      <w:r w:rsidR="00924280">
        <w:rPr>
          <w:rFonts w:hint="cs"/>
          <w:rtl/>
        </w:rPr>
        <w:t xml:space="preserve">גם </w:t>
      </w:r>
      <w:r>
        <w:rPr>
          <w:rFonts w:hint="cs"/>
          <w:rtl/>
        </w:rPr>
        <w:t xml:space="preserve">קיבל </w:t>
      </w:r>
      <w:bookmarkStart w:id="62668" w:name="_ETM_Q113_637129"/>
      <w:bookmarkStart w:id="62669" w:name="_ETM_Q113_637370"/>
      <w:bookmarkEnd w:id="62668"/>
      <w:bookmarkEnd w:id="62669"/>
      <w:r>
        <w:rPr>
          <w:rFonts w:hint="cs"/>
          <w:rtl/>
        </w:rPr>
        <w:t xml:space="preserve">טלפון – </w:t>
      </w:r>
      <w:bookmarkStart w:id="62670" w:name="_ETM_Q113_638360"/>
      <w:bookmarkEnd w:id="62670"/>
      <w:r>
        <w:rPr>
          <w:rFonts w:hint="cs"/>
          <w:rtl/>
        </w:rPr>
        <w:t xml:space="preserve">וצריך </w:t>
      </w:r>
      <w:bookmarkStart w:id="62671" w:name="_ETM_Q113_638660"/>
      <w:bookmarkEnd w:id="62671"/>
      <w:r>
        <w:rPr>
          <w:rFonts w:hint="cs"/>
          <w:rtl/>
        </w:rPr>
        <w:t xml:space="preserve">להצביע </w:t>
      </w:r>
      <w:bookmarkStart w:id="62672" w:name="_ETM_Q113_639110"/>
      <w:bookmarkEnd w:id="62672"/>
      <w:r>
        <w:rPr>
          <w:rFonts w:hint="cs"/>
          <w:rtl/>
        </w:rPr>
        <w:t xml:space="preserve">על </w:t>
      </w:r>
      <w:bookmarkStart w:id="62673" w:name="_ETM_Q113_639200"/>
      <w:bookmarkEnd w:id="62673"/>
      <w:r>
        <w:rPr>
          <w:rFonts w:hint="cs"/>
          <w:rtl/>
        </w:rPr>
        <w:t>ממלא</w:t>
      </w:r>
      <w:bookmarkStart w:id="62674" w:name="_ETM_Q113_639530"/>
      <w:bookmarkEnd w:id="62674"/>
      <w:r w:rsidR="00924280">
        <w:rPr>
          <w:rFonts w:hint="cs"/>
          <w:rtl/>
        </w:rPr>
        <w:t xml:space="preserve"> </w:t>
      </w:r>
      <w:r>
        <w:rPr>
          <w:rFonts w:hint="cs"/>
          <w:rtl/>
        </w:rPr>
        <w:t xml:space="preserve">מקום </w:t>
      </w:r>
      <w:bookmarkStart w:id="62675" w:name="_ETM_Q113_639860"/>
      <w:bookmarkEnd w:id="62675"/>
      <w:r>
        <w:rPr>
          <w:rFonts w:hint="cs"/>
          <w:rtl/>
        </w:rPr>
        <w:t xml:space="preserve">זמני </w:t>
      </w:r>
      <w:bookmarkStart w:id="62676" w:name="_ETM_Q113_640370"/>
      <w:bookmarkEnd w:id="62676"/>
      <w:r>
        <w:rPr>
          <w:rFonts w:hint="cs"/>
          <w:rtl/>
        </w:rPr>
        <w:t xml:space="preserve">שהוא </w:t>
      </w:r>
      <w:bookmarkStart w:id="62677" w:name="_ETM_Q113_640700"/>
      <w:bookmarkEnd w:id="62677"/>
      <w:r>
        <w:rPr>
          <w:rFonts w:hint="cs"/>
          <w:rtl/>
        </w:rPr>
        <w:t xml:space="preserve">במקרה, </w:t>
      </w:r>
      <w:bookmarkStart w:id="62678" w:name="_ETM_Q113_641270"/>
      <w:bookmarkEnd w:id="62678"/>
      <w:r>
        <w:rPr>
          <w:rFonts w:hint="cs"/>
          <w:rtl/>
        </w:rPr>
        <w:t xml:space="preserve">לא </w:t>
      </w:r>
      <w:bookmarkStart w:id="62679" w:name="_ETM_Q113_641390"/>
      <w:bookmarkEnd w:id="62679"/>
      <w:r>
        <w:rPr>
          <w:rFonts w:hint="cs"/>
          <w:rtl/>
        </w:rPr>
        <w:t xml:space="preserve">משנה, </w:t>
      </w:r>
      <w:bookmarkStart w:id="62680" w:name="_ETM_Q113_641750"/>
      <w:bookmarkEnd w:id="62680"/>
      <w:r>
        <w:rPr>
          <w:rFonts w:hint="cs"/>
          <w:rtl/>
        </w:rPr>
        <w:t xml:space="preserve">סגן </w:t>
      </w:r>
      <w:bookmarkStart w:id="62681" w:name="_ETM_Q113_642020"/>
      <w:bookmarkEnd w:id="62681"/>
      <w:r>
        <w:rPr>
          <w:rFonts w:hint="cs"/>
          <w:rtl/>
        </w:rPr>
        <w:t xml:space="preserve">ראש </w:t>
      </w:r>
      <w:bookmarkStart w:id="62682" w:name="_ETM_Q113_642230"/>
      <w:bookmarkEnd w:id="62682"/>
      <w:r>
        <w:rPr>
          <w:rFonts w:hint="cs"/>
          <w:rtl/>
        </w:rPr>
        <w:t>הממשלה.</w:t>
      </w:r>
      <w:r w:rsidR="00924280">
        <w:rPr>
          <w:rFonts w:hint="cs"/>
          <w:rtl/>
        </w:rPr>
        <w:t xml:space="preserve"> </w:t>
      </w:r>
      <w:bookmarkStart w:id="62683" w:name="_ETM_Q113_645538"/>
      <w:bookmarkStart w:id="62684" w:name="_ETM_Q113_645583"/>
      <w:bookmarkStart w:id="62685" w:name="_ETM_Q113_642650"/>
      <w:bookmarkEnd w:id="62683"/>
      <w:bookmarkEnd w:id="62684"/>
      <w:bookmarkEnd w:id="62685"/>
      <w:r>
        <w:rPr>
          <w:rFonts w:hint="cs"/>
          <w:rtl/>
        </w:rPr>
        <w:t xml:space="preserve">למה </w:t>
      </w:r>
      <w:bookmarkStart w:id="62686" w:name="_ETM_Q113_643090"/>
      <w:bookmarkEnd w:id="62686"/>
      <w:r>
        <w:rPr>
          <w:rFonts w:hint="cs"/>
          <w:rtl/>
        </w:rPr>
        <w:t xml:space="preserve">בממשל </w:t>
      </w:r>
      <w:bookmarkStart w:id="62687" w:name="_ETM_Q113_643840"/>
      <w:bookmarkEnd w:id="62687"/>
      <w:r>
        <w:rPr>
          <w:rFonts w:hint="cs"/>
          <w:rtl/>
        </w:rPr>
        <w:t xml:space="preserve">תקין </w:t>
      </w:r>
      <w:bookmarkStart w:id="62688" w:name="_ETM_Q113_645612"/>
      <w:bookmarkEnd w:id="62688"/>
      <w:r>
        <w:rPr>
          <w:rFonts w:hint="cs"/>
          <w:rtl/>
        </w:rPr>
        <w:t xml:space="preserve">דברים לא </w:t>
      </w:r>
      <w:bookmarkStart w:id="62689" w:name="_ETM_Q113_644750"/>
      <w:bookmarkStart w:id="62690" w:name="_ETM_Q113_644959"/>
      <w:bookmarkStart w:id="62691" w:name="_ETM_Q113_645469"/>
      <w:bookmarkStart w:id="62692" w:name="_ETM_Q113_645799"/>
      <w:bookmarkStart w:id="62693" w:name="_ETM_Q113_646129"/>
      <w:bookmarkStart w:id="62694" w:name="_ETM_Q113_646189"/>
      <w:bookmarkEnd w:id="62689"/>
      <w:bookmarkEnd w:id="62690"/>
      <w:bookmarkEnd w:id="62691"/>
      <w:bookmarkEnd w:id="62692"/>
      <w:bookmarkEnd w:id="62693"/>
      <w:bookmarkEnd w:id="62694"/>
      <w:r>
        <w:rPr>
          <w:rFonts w:hint="cs"/>
          <w:rtl/>
        </w:rPr>
        <w:t xml:space="preserve">יכולים </w:t>
      </w:r>
      <w:bookmarkStart w:id="62695" w:name="_ETM_Q113_646519"/>
      <w:bookmarkEnd w:id="62695"/>
      <w:r>
        <w:rPr>
          <w:rFonts w:hint="cs"/>
          <w:rtl/>
        </w:rPr>
        <w:t xml:space="preserve">לעבוד </w:t>
      </w:r>
      <w:bookmarkStart w:id="62696" w:name="_ETM_Q113_646819"/>
      <w:bookmarkEnd w:id="62696"/>
      <w:r>
        <w:rPr>
          <w:rFonts w:hint="cs"/>
          <w:rtl/>
        </w:rPr>
        <w:t xml:space="preserve">רגיל? </w:t>
      </w:r>
      <w:bookmarkStart w:id="62697" w:name="_ETM_Q113_647150"/>
      <w:bookmarkEnd w:id="62697"/>
      <w:r>
        <w:rPr>
          <w:rFonts w:hint="cs"/>
          <w:rtl/>
        </w:rPr>
        <w:t xml:space="preserve">למה </w:t>
      </w:r>
      <w:bookmarkStart w:id="62698" w:name="_ETM_Q113_647359"/>
      <w:bookmarkEnd w:id="62698"/>
      <w:r>
        <w:rPr>
          <w:rFonts w:hint="cs"/>
          <w:rtl/>
        </w:rPr>
        <w:t xml:space="preserve">אנחנו </w:t>
      </w:r>
      <w:bookmarkStart w:id="62699" w:name="_ETM_Q113_647569"/>
      <w:bookmarkEnd w:id="62699"/>
      <w:r>
        <w:rPr>
          <w:rFonts w:hint="cs"/>
          <w:rtl/>
        </w:rPr>
        <w:t xml:space="preserve">תמיד </w:t>
      </w:r>
      <w:bookmarkStart w:id="62700" w:name="_ETM_Q113_647810"/>
      <w:bookmarkEnd w:id="62700"/>
      <w:r>
        <w:rPr>
          <w:rFonts w:hint="cs"/>
          <w:rtl/>
        </w:rPr>
        <w:t xml:space="preserve">צריכים </w:t>
      </w:r>
      <w:bookmarkStart w:id="62701" w:name="_ETM_Q113_648079"/>
      <w:bookmarkEnd w:id="62701"/>
      <w:r>
        <w:rPr>
          <w:rFonts w:hint="cs"/>
          <w:rtl/>
        </w:rPr>
        <w:t xml:space="preserve">לקמבן </w:t>
      </w:r>
      <w:bookmarkStart w:id="62702" w:name="_ETM_Q113_648709"/>
      <w:bookmarkEnd w:id="62702"/>
      <w:r>
        <w:rPr>
          <w:rFonts w:hint="cs"/>
          <w:rtl/>
        </w:rPr>
        <w:t xml:space="preserve">את </w:t>
      </w:r>
      <w:bookmarkStart w:id="62703" w:name="_ETM_Q113_649040"/>
      <w:bookmarkEnd w:id="62703"/>
      <w:r>
        <w:rPr>
          <w:rFonts w:hint="cs"/>
          <w:rtl/>
        </w:rPr>
        <w:t xml:space="preserve">האירוע? </w:t>
      </w:r>
      <w:bookmarkStart w:id="62704" w:name="_ETM_Q113_649430"/>
      <w:bookmarkEnd w:id="62704"/>
      <w:r>
        <w:rPr>
          <w:rFonts w:hint="cs"/>
          <w:rtl/>
        </w:rPr>
        <w:t xml:space="preserve">למה </w:t>
      </w:r>
      <w:bookmarkStart w:id="62705" w:name="_ETM_Q113_649609"/>
      <w:bookmarkEnd w:id="62705"/>
      <w:r>
        <w:rPr>
          <w:rFonts w:hint="cs"/>
          <w:rtl/>
        </w:rPr>
        <w:t xml:space="preserve">אנחנו </w:t>
      </w:r>
      <w:bookmarkStart w:id="62706" w:name="_ETM_Q113_649819"/>
      <w:bookmarkEnd w:id="62706"/>
      <w:r>
        <w:rPr>
          <w:rFonts w:hint="cs"/>
          <w:rtl/>
        </w:rPr>
        <w:t xml:space="preserve">תמיד </w:t>
      </w:r>
      <w:bookmarkStart w:id="62707" w:name="_ETM_Q113_650090"/>
      <w:bookmarkEnd w:id="62707"/>
      <w:r>
        <w:rPr>
          <w:rFonts w:hint="cs"/>
          <w:rtl/>
        </w:rPr>
        <w:t xml:space="preserve">צריכים </w:t>
      </w:r>
      <w:bookmarkStart w:id="62708" w:name="_ETM_Q113_650329"/>
      <w:bookmarkEnd w:id="62708"/>
      <w:r>
        <w:rPr>
          <w:rFonts w:hint="cs"/>
          <w:rtl/>
        </w:rPr>
        <w:t xml:space="preserve">להיות </w:t>
      </w:r>
      <w:bookmarkStart w:id="62709" w:name="_ETM_Q113_650540"/>
      <w:bookmarkEnd w:id="62709"/>
      <w:r>
        <w:rPr>
          <w:rFonts w:hint="cs"/>
          <w:rtl/>
        </w:rPr>
        <w:t xml:space="preserve">ישראלים </w:t>
      </w:r>
      <w:bookmarkStart w:id="62710" w:name="_ETM_Q113_651109"/>
      <w:bookmarkEnd w:id="62710"/>
      <w:r>
        <w:rPr>
          <w:rFonts w:hint="cs"/>
          <w:rtl/>
        </w:rPr>
        <w:t>ולהגיד:</w:t>
      </w:r>
      <w:bookmarkStart w:id="62711" w:name="_ETM_Q113_651500"/>
      <w:bookmarkEnd w:id="62711"/>
      <w:r>
        <w:rPr>
          <w:rFonts w:hint="cs"/>
          <w:rtl/>
        </w:rPr>
        <w:t xml:space="preserve"> יהיה </w:t>
      </w:r>
      <w:bookmarkStart w:id="62712" w:name="_ETM_Q113_651650"/>
      <w:bookmarkEnd w:id="62712"/>
      <w:r>
        <w:rPr>
          <w:rFonts w:hint="cs"/>
          <w:rtl/>
        </w:rPr>
        <w:t xml:space="preserve">בסדר, </w:t>
      </w:r>
      <w:bookmarkStart w:id="62713" w:name="_ETM_Q113_652310"/>
      <w:bookmarkEnd w:id="62713"/>
      <w:r>
        <w:rPr>
          <w:rFonts w:hint="cs"/>
          <w:rtl/>
        </w:rPr>
        <w:t xml:space="preserve">או </w:t>
      </w:r>
      <w:bookmarkStart w:id="62714" w:name="_ETM_Q113_652430"/>
      <w:bookmarkEnd w:id="62714"/>
      <w:r>
        <w:rPr>
          <w:rFonts w:hint="cs"/>
          <w:rtl/>
        </w:rPr>
        <w:t xml:space="preserve">לייצר </w:t>
      </w:r>
      <w:bookmarkStart w:id="62715" w:name="_ETM_Q113_652760"/>
      <w:bookmarkEnd w:id="62715"/>
      <w:r>
        <w:rPr>
          <w:rFonts w:hint="cs"/>
          <w:rtl/>
        </w:rPr>
        <w:t xml:space="preserve">חוקים </w:t>
      </w:r>
      <w:bookmarkStart w:id="62716" w:name="_ETM_Q113_653120"/>
      <w:bookmarkEnd w:id="62716"/>
      <w:r>
        <w:rPr>
          <w:rFonts w:hint="cs"/>
          <w:rtl/>
        </w:rPr>
        <w:t xml:space="preserve">מוזרים </w:t>
      </w:r>
      <w:bookmarkStart w:id="62717" w:name="_ETM_Q113_653689"/>
      <w:bookmarkEnd w:id="62717"/>
      <w:r>
        <w:rPr>
          <w:rFonts w:hint="cs"/>
          <w:rtl/>
        </w:rPr>
        <w:t xml:space="preserve">שאי- </w:t>
      </w:r>
      <w:bookmarkStart w:id="62718" w:name="_ETM_Q113_653900"/>
      <w:bookmarkEnd w:id="62718"/>
      <w:r>
        <w:rPr>
          <w:rFonts w:hint="cs"/>
          <w:rtl/>
        </w:rPr>
        <w:t xml:space="preserve">אפשר </w:t>
      </w:r>
      <w:bookmarkStart w:id="62719" w:name="_ETM_Q113_654140"/>
      <w:bookmarkEnd w:id="62719"/>
      <w:r>
        <w:rPr>
          <w:rFonts w:hint="cs"/>
          <w:rtl/>
        </w:rPr>
        <w:t xml:space="preserve">יהיה </w:t>
      </w:r>
      <w:bookmarkStart w:id="62720" w:name="_ETM_Q113_654319"/>
      <w:bookmarkEnd w:id="62720"/>
      <w:r>
        <w:rPr>
          <w:rFonts w:hint="cs"/>
          <w:rtl/>
        </w:rPr>
        <w:t xml:space="preserve">בשום </w:t>
      </w:r>
      <w:bookmarkStart w:id="62721" w:name="_ETM_Q113_654709"/>
      <w:bookmarkEnd w:id="62721"/>
      <w:r>
        <w:rPr>
          <w:rFonts w:hint="cs"/>
          <w:rtl/>
        </w:rPr>
        <w:t xml:space="preserve">פנים </w:t>
      </w:r>
      <w:bookmarkStart w:id="62722" w:name="_ETM_Q113_655010"/>
      <w:bookmarkEnd w:id="62722"/>
      <w:r>
        <w:rPr>
          <w:rFonts w:hint="cs"/>
          <w:rtl/>
        </w:rPr>
        <w:t xml:space="preserve">ואופן </w:t>
      </w:r>
      <w:bookmarkStart w:id="62723" w:name="_ETM_Q113_655820"/>
      <w:bookmarkEnd w:id="62723"/>
      <w:r>
        <w:rPr>
          <w:rFonts w:hint="cs"/>
          <w:rtl/>
        </w:rPr>
        <w:t xml:space="preserve">להחליף </w:t>
      </w:r>
      <w:bookmarkStart w:id="62724" w:name="_ETM_Q113_656270"/>
      <w:bookmarkEnd w:id="62724"/>
      <w:r>
        <w:rPr>
          <w:rFonts w:hint="cs"/>
          <w:rtl/>
        </w:rPr>
        <w:t xml:space="preserve">את </w:t>
      </w:r>
      <w:bookmarkStart w:id="62725" w:name="_ETM_Q113_656360"/>
      <w:bookmarkEnd w:id="62725"/>
      <w:r>
        <w:rPr>
          <w:rFonts w:hint="cs"/>
          <w:rtl/>
        </w:rPr>
        <w:t xml:space="preserve">ראש </w:t>
      </w:r>
      <w:bookmarkStart w:id="62726" w:name="_ETM_Q113_656570"/>
      <w:bookmarkEnd w:id="62726"/>
      <w:r>
        <w:rPr>
          <w:rFonts w:hint="cs"/>
          <w:rtl/>
        </w:rPr>
        <w:t xml:space="preserve">הממשלה, </w:t>
      </w:r>
      <w:bookmarkStart w:id="62727" w:name="_ETM_Q113_656990"/>
      <w:bookmarkEnd w:id="62727"/>
      <w:r w:rsidR="00924280">
        <w:rPr>
          <w:rFonts w:hint="cs"/>
          <w:rtl/>
        </w:rPr>
        <w:t>כ</w:t>
      </w:r>
      <w:r>
        <w:rPr>
          <w:rFonts w:hint="cs"/>
          <w:rtl/>
        </w:rPr>
        <w:t xml:space="preserve">שחס </w:t>
      </w:r>
      <w:bookmarkStart w:id="62728" w:name="_ETM_Q113_657320"/>
      <w:bookmarkEnd w:id="62728"/>
      <w:r>
        <w:rPr>
          <w:rFonts w:hint="cs"/>
          <w:rtl/>
        </w:rPr>
        <w:t xml:space="preserve">וחלילה </w:t>
      </w:r>
      <w:bookmarkStart w:id="62729" w:name="_ETM_Q113_657710"/>
      <w:bookmarkEnd w:id="62729"/>
      <w:r>
        <w:rPr>
          <w:rFonts w:hint="cs"/>
          <w:rtl/>
        </w:rPr>
        <w:t xml:space="preserve">יקרה </w:t>
      </w:r>
      <w:bookmarkStart w:id="62730" w:name="_ETM_Q113_657980"/>
      <w:bookmarkEnd w:id="62730"/>
      <w:r>
        <w:rPr>
          <w:rFonts w:hint="cs"/>
          <w:rtl/>
        </w:rPr>
        <w:t xml:space="preserve">לו </w:t>
      </w:r>
      <w:bookmarkStart w:id="62731" w:name="_ETM_Q113_658070"/>
      <w:bookmarkEnd w:id="62731"/>
      <w:r>
        <w:rPr>
          <w:rFonts w:hint="cs"/>
          <w:rtl/>
        </w:rPr>
        <w:t xml:space="preserve">משהו. </w:t>
      </w:r>
      <w:bookmarkStart w:id="62732" w:name="_ETM_Q113_658310"/>
      <w:bookmarkEnd w:id="62732"/>
      <w:r>
        <w:rPr>
          <w:rFonts w:hint="cs"/>
          <w:rtl/>
        </w:rPr>
        <w:t xml:space="preserve">למה </w:t>
      </w:r>
      <w:bookmarkStart w:id="62733" w:name="_ETM_Q113_658550"/>
      <w:bookmarkEnd w:id="62733"/>
      <w:r>
        <w:rPr>
          <w:rFonts w:hint="cs"/>
          <w:rtl/>
        </w:rPr>
        <w:t>אי-</w:t>
      </w:r>
      <w:bookmarkStart w:id="62734" w:name="_ETM_Q113_658640"/>
      <w:bookmarkEnd w:id="62734"/>
      <w:r>
        <w:rPr>
          <w:rFonts w:hint="cs"/>
          <w:rtl/>
        </w:rPr>
        <w:t xml:space="preserve">אפשר </w:t>
      </w:r>
      <w:bookmarkStart w:id="62735" w:name="_ETM_Q113_658850"/>
      <w:bookmarkEnd w:id="62735"/>
      <w:r>
        <w:rPr>
          <w:rFonts w:hint="cs"/>
          <w:rtl/>
        </w:rPr>
        <w:t xml:space="preserve">שנייה </w:t>
      </w:r>
      <w:bookmarkStart w:id="62736" w:name="_ETM_Q113_659270"/>
      <w:bookmarkEnd w:id="62736"/>
      <w:r>
        <w:rPr>
          <w:rFonts w:hint="cs"/>
          <w:rtl/>
        </w:rPr>
        <w:t xml:space="preserve">להיות </w:t>
      </w:r>
      <w:bookmarkStart w:id="62737" w:name="_ETM_Q113_659540"/>
      <w:bookmarkEnd w:id="62737"/>
      <w:r>
        <w:rPr>
          <w:rFonts w:hint="cs"/>
          <w:rtl/>
        </w:rPr>
        <w:t xml:space="preserve">רגילים </w:t>
      </w:r>
      <w:bookmarkStart w:id="62738" w:name="_ETM_Q113_659990"/>
      <w:bookmarkEnd w:id="62738"/>
      <w:r>
        <w:rPr>
          <w:rFonts w:hint="cs"/>
          <w:rtl/>
        </w:rPr>
        <w:t xml:space="preserve">במדינה? </w:t>
      </w:r>
      <w:bookmarkStart w:id="62739" w:name="_ETM_Q113_662090"/>
      <w:bookmarkEnd w:id="62739"/>
      <w:r>
        <w:rPr>
          <w:rFonts w:hint="cs"/>
          <w:rtl/>
        </w:rPr>
        <w:t xml:space="preserve">למה? </w:t>
      </w:r>
      <w:bookmarkStart w:id="62740" w:name="_ETM_Q113_662269"/>
      <w:bookmarkEnd w:id="62740"/>
    </w:p>
    <w:p w:rsidR="00BB59CD" w:rsidRDefault="00BB59CD" w:rsidP="00BB59CD">
      <w:pPr>
        <w:rPr>
          <w:rtl/>
        </w:rPr>
      </w:pPr>
      <w:bookmarkStart w:id="62741" w:name="_ETM_Q113_663538"/>
      <w:bookmarkStart w:id="62742" w:name="_ETM_Q113_663571"/>
      <w:bookmarkEnd w:id="62741"/>
      <w:bookmarkEnd w:id="62742"/>
    </w:p>
    <w:p w:rsidR="00BB59CD" w:rsidRDefault="00BB59CD" w:rsidP="00924280">
      <w:pPr>
        <w:rPr>
          <w:rtl/>
        </w:rPr>
      </w:pPr>
      <w:bookmarkStart w:id="62743" w:name="_ETM_Q113_663714"/>
      <w:bookmarkStart w:id="62744" w:name="_ETM_Q113_663752"/>
      <w:bookmarkStart w:id="62745" w:name="_ETM_Q113_663150"/>
      <w:bookmarkStart w:id="62746" w:name="_ETM_Q113_663450"/>
      <w:bookmarkEnd w:id="62743"/>
      <w:bookmarkEnd w:id="62744"/>
      <w:bookmarkEnd w:id="62745"/>
      <w:bookmarkEnd w:id="62746"/>
      <w:r>
        <w:rPr>
          <w:rFonts w:hint="cs"/>
          <w:rtl/>
        </w:rPr>
        <w:t xml:space="preserve">מה </w:t>
      </w:r>
      <w:bookmarkStart w:id="62747" w:name="_ETM_Q113_663569"/>
      <w:bookmarkEnd w:id="62747"/>
      <w:r>
        <w:rPr>
          <w:rFonts w:hint="cs"/>
          <w:rtl/>
        </w:rPr>
        <w:t xml:space="preserve">שעוד </w:t>
      </w:r>
      <w:bookmarkStart w:id="62748" w:name="_ETM_Q113_663840"/>
      <w:bookmarkEnd w:id="62748"/>
      <w:r>
        <w:rPr>
          <w:rFonts w:hint="cs"/>
          <w:rtl/>
        </w:rPr>
        <w:t xml:space="preserve">הפתיע </w:t>
      </w:r>
      <w:bookmarkStart w:id="62749" w:name="_ETM_Q113_664200"/>
      <w:bookmarkEnd w:id="62749"/>
      <w:r>
        <w:rPr>
          <w:rFonts w:hint="cs"/>
          <w:rtl/>
        </w:rPr>
        <w:t xml:space="preserve">אותי </w:t>
      </w:r>
      <w:bookmarkStart w:id="62750" w:name="_ETM_Q113_666260"/>
      <w:bookmarkEnd w:id="62750"/>
      <w:r>
        <w:rPr>
          <w:rFonts w:hint="cs"/>
          <w:rtl/>
        </w:rPr>
        <w:t xml:space="preserve">זה </w:t>
      </w:r>
      <w:bookmarkStart w:id="62751" w:name="_ETM_Q113_666470"/>
      <w:bookmarkEnd w:id="62751"/>
      <w:r>
        <w:rPr>
          <w:rFonts w:hint="cs"/>
          <w:rtl/>
        </w:rPr>
        <w:t>שראש הממשלה</w:t>
      </w:r>
      <w:r w:rsidR="00924280">
        <w:rPr>
          <w:rFonts w:hint="cs"/>
          <w:rtl/>
        </w:rPr>
        <w:t>,</w:t>
      </w:r>
      <w:r>
        <w:rPr>
          <w:rFonts w:hint="cs"/>
          <w:rtl/>
        </w:rPr>
        <w:t xml:space="preserve"> שמעת</w:t>
      </w:r>
      <w:r w:rsidR="00924280">
        <w:rPr>
          <w:rFonts w:hint="cs"/>
          <w:rtl/>
        </w:rPr>
        <w:t>י</w:t>
      </w:r>
      <w:r>
        <w:rPr>
          <w:rFonts w:hint="cs"/>
          <w:rtl/>
        </w:rPr>
        <w:t xml:space="preserve"> שהוא כינס את </w:t>
      </w:r>
      <w:bookmarkStart w:id="62752" w:name="_ETM_Q113_668797"/>
      <w:bookmarkEnd w:id="62752"/>
      <w:r w:rsidR="00924280">
        <w:rPr>
          <w:rFonts w:hint="cs"/>
          <w:rtl/>
        </w:rPr>
        <w:t xml:space="preserve">קבינט </w:t>
      </w:r>
      <w:r>
        <w:rPr>
          <w:rFonts w:hint="cs"/>
          <w:rtl/>
        </w:rPr>
        <w:t xml:space="preserve">יוקר המחיה, ובקבינט יוקר המחיה גילה </w:t>
      </w:r>
      <w:bookmarkStart w:id="62753" w:name="_ETM_Q113_667160"/>
      <w:bookmarkStart w:id="62754" w:name="_ETM_Q113_667459"/>
      <w:bookmarkStart w:id="62755" w:name="_ETM_Q113_667849"/>
      <w:bookmarkStart w:id="62756" w:name="_ETM_Q113_668569"/>
      <w:bookmarkStart w:id="62757" w:name="_ETM_Q113_669170"/>
      <w:bookmarkStart w:id="62758" w:name="_ETM_Q113_669530"/>
      <w:bookmarkStart w:id="62759" w:name="_ETM_Q113_669890"/>
      <w:bookmarkStart w:id="62760" w:name="_ETM_Q113_670400"/>
      <w:bookmarkStart w:id="62761" w:name="_ETM_Q113_670640"/>
      <w:bookmarkStart w:id="62762" w:name="_ETM_Q113_671510"/>
      <w:bookmarkStart w:id="62763" w:name="_ETM_Q113_671810"/>
      <w:bookmarkEnd w:id="62753"/>
      <w:bookmarkEnd w:id="62754"/>
      <w:bookmarkEnd w:id="62755"/>
      <w:bookmarkEnd w:id="62756"/>
      <w:bookmarkEnd w:id="62757"/>
      <w:bookmarkEnd w:id="62758"/>
      <w:bookmarkEnd w:id="62759"/>
      <w:bookmarkEnd w:id="62760"/>
      <w:bookmarkEnd w:id="62761"/>
      <w:bookmarkEnd w:id="62762"/>
      <w:bookmarkEnd w:id="62763"/>
      <w:r>
        <w:rPr>
          <w:rFonts w:hint="cs"/>
          <w:rtl/>
        </w:rPr>
        <w:t xml:space="preserve">ראש הממשלה </w:t>
      </w:r>
      <w:bookmarkStart w:id="62764" w:name="_ETM_Q113_672530"/>
      <w:bookmarkEnd w:id="62764"/>
      <w:r>
        <w:rPr>
          <w:rFonts w:hint="cs"/>
          <w:rtl/>
        </w:rPr>
        <w:t xml:space="preserve">את </w:t>
      </w:r>
      <w:bookmarkStart w:id="62765" w:name="_ETM_Q113_672650"/>
      <w:bookmarkEnd w:id="62765"/>
      <w:r>
        <w:rPr>
          <w:rFonts w:hint="cs"/>
          <w:rtl/>
        </w:rPr>
        <w:t xml:space="preserve">השפעות </w:t>
      </w:r>
      <w:bookmarkStart w:id="62766" w:name="_ETM_Q113_673069"/>
      <w:bookmarkEnd w:id="62766"/>
      <w:r>
        <w:rPr>
          <w:rFonts w:hint="cs"/>
          <w:rtl/>
        </w:rPr>
        <w:t xml:space="preserve">הסוכר. </w:t>
      </w:r>
      <w:bookmarkStart w:id="62767" w:name="_ETM_Q113_673310"/>
      <w:bookmarkStart w:id="62768" w:name="_ETM_Q113_674349"/>
      <w:bookmarkEnd w:id="62767"/>
      <w:bookmarkEnd w:id="62768"/>
      <w:r>
        <w:rPr>
          <w:rFonts w:hint="cs"/>
          <w:rtl/>
        </w:rPr>
        <w:t xml:space="preserve">זו </w:t>
      </w:r>
      <w:bookmarkStart w:id="62769" w:name="_ETM_Q113_674590"/>
      <w:bookmarkEnd w:id="62769"/>
      <w:r>
        <w:rPr>
          <w:rFonts w:hint="cs"/>
          <w:rtl/>
        </w:rPr>
        <w:t xml:space="preserve">באמת </w:t>
      </w:r>
      <w:bookmarkStart w:id="62770" w:name="_ETM_Q113_675010"/>
      <w:bookmarkEnd w:id="62770"/>
      <w:r>
        <w:rPr>
          <w:rFonts w:hint="cs"/>
          <w:rtl/>
        </w:rPr>
        <w:t xml:space="preserve">הייתה </w:t>
      </w:r>
      <w:bookmarkStart w:id="62771" w:name="_ETM_Q113_675189"/>
      <w:bookmarkEnd w:id="62771"/>
      <w:r>
        <w:rPr>
          <w:rFonts w:hint="cs"/>
          <w:rtl/>
        </w:rPr>
        <w:t xml:space="preserve">הברקה. </w:t>
      </w:r>
      <w:bookmarkStart w:id="62772" w:name="_ETM_Q113_678276"/>
      <w:bookmarkEnd w:id="62772"/>
      <w:r w:rsidR="00924280">
        <w:rPr>
          <w:rFonts w:hint="cs"/>
          <w:rtl/>
        </w:rPr>
        <w:t>אתה</w:t>
      </w:r>
      <w:r>
        <w:rPr>
          <w:rFonts w:hint="cs"/>
          <w:rtl/>
        </w:rPr>
        <w:t xml:space="preserve"> יושב-ראש ועדת הבריאות, </w:t>
      </w:r>
      <w:bookmarkStart w:id="62773" w:name="_ETM_Q113_675670"/>
      <w:bookmarkStart w:id="62774" w:name="_ETM_Q113_676510"/>
      <w:bookmarkStart w:id="62775" w:name="_ETM_Q113_677109"/>
      <w:bookmarkStart w:id="62776" w:name="_ETM_Q113_677469"/>
      <w:bookmarkStart w:id="62777" w:name="_ETM_Q113_678250"/>
      <w:bookmarkEnd w:id="62773"/>
      <w:bookmarkEnd w:id="62774"/>
      <w:bookmarkEnd w:id="62775"/>
      <w:bookmarkEnd w:id="62776"/>
      <w:bookmarkEnd w:id="62777"/>
      <w:r>
        <w:rPr>
          <w:rFonts w:hint="cs"/>
          <w:rtl/>
        </w:rPr>
        <w:t xml:space="preserve">אני </w:t>
      </w:r>
      <w:bookmarkStart w:id="62778" w:name="_ETM_Q113_678430"/>
      <w:bookmarkEnd w:id="62778"/>
      <w:r>
        <w:rPr>
          <w:rFonts w:hint="cs"/>
          <w:rtl/>
        </w:rPr>
        <w:t xml:space="preserve">מניח </w:t>
      </w:r>
      <w:bookmarkStart w:id="62779" w:name="_ETM_Q113_678700"/>
      <w:bookmarkEnd w:id="62779"/>
      <w:r>
        <w:rPr>
          <w:rFonts w:hint="cs"/>
          <w:rtl/>
        </w:rPr>
        <w:t xml:space="preserve">שאתה </w:t>
      </w:r>
      <w:bookmarkStart w:id="62780" w:name="_ETM_Q113_678849"/>
      <w:bookmarkEnd w:id="62780"/>
      <w:r>
        <w:rPr>
          <w:rFonts w:hint="cs"/>
          <w:rtl/>
        </w:rPr>
        <w:t xml:space="preserve">מכיר </w:t>
      </w:r>
      <w:bookmarkStart w:id="62781" w:name="_ETM_Q113_679120"/>
      <w:bookmarkEnd w:id="62781"/>
      <w:r>
        <w:rPr>
          <w:rFonts w:hint="cs"/>
          <w:rtl/>
        </w:rPr>
        <w:t xml:space="preserve">את </w:t>
      </w:r>
      <w:bookmarkStart w:id="62782" w:name="_ETM_Q113_679239"/>
      <w:bookmarkEnd w:id="62782"/>
      <w:r>
        <w:rPr>
          <w:rFonts w:hint="cs"/>
          <w:rtl/>
        </w:rPr>
        <w:t xml:space="preserve">השפעות </w:t>
      </w:r>
      <w:bookmarkStart w:id="62783" w:name="_ETM_Q113_679599"/>
      <w:bookmarkEnd w:id="62783"/>
      <w:r>
        <w:rPr>
          <w:rFonts w:hint="cs"/>
          <w:rtl/>
        </w:rPr>
        <w:t xml:space="preserve">הסוכר </w:t>
      </w:r>
      <w:bookmarkStart w:id="62784" w:name="_ETM_Q113_679989"/>
      <w:bookmarkEnd w:id="62784"/>
      <w:r>
        <w:rPr>
          <w:rFonts w:hint="cs"/>
          <w:rtl/>
        </w:rPr>
        <w:t xml:space="preserve">ואת </w:t>
      </w:r>
      <w:bookmarkStart w:id="62785" w:name="_ETM_Q113_680170"/>
      <w:bookmarkEnd w:id="62785"/>
      <w:r>
        <w:rPr>
          <w:rFonts w:hint="cs"/>
          <w:rtl/>
        </w:rPr>
        <w:t xml:space="preserve">מקומה </w:t>
      </w:r>
      <w:bookmarkStart w:id="62786" w:name="_ETM_Q113_680500"/>
      <w:bookmarkEnd w:id="62786"/>
      <w:r>
        <w:rPr>
          <w:rFonts w:hint="cs"/>
          <w:rtl/>
        </w:rPr>
        <w:t xml:space="preserve">של </w:t>
      </w:r>
      <w:bookmarkStart w:id="62787" w:name="_ETM_Q113_680650"/>
      <w:bookmarkEnd w:id="62787"/>
      <w:r>
        <w:rPr>
          <w:rFonts w:hint="cs"/>
          <w:rtl/>
        </w:rPr>
        <w:t xml:space="preserve">ישראל </w:t>
      </w:r>
      <w:bookmarkStart w:id="62788" w:name="_ETM_Q113_681040"/>
      <w:bookmarkEnd w:id="62788"/>
      <w:r>
        <w:rPr>
          <w:rFonts w:hint="cs"/>
          <w:rtl/>
        </w:rPr>
        <w:t>ב</w:t>
      </w:r>
      <w:bookmarkStart w:id="62789" w:name="_ETM_Q113_681400"/>
      <w:bookmarkEnd w:id="62789"/>
      <w:r w:rsidR="00924280">
        <w:rPr>
          <w:rFonts w:hint="cs"/>
          <w:rtl/>
        </w:rPr>
        <w:t xml:space="preserve">סולם </w:t>
      </w:r>
      <w:r>
        <w:rPr>
          <w:rFonts w:hint="cs"/>
          <w:rtl/>
        </w:rPr>
        <w:t xml:space="preserve">הסוכרת </w:t>
      </w:r>
      <w:bookmarkStart w:id="62790" w:name="_ETM_Q113_682150"/>
      <w:bookmarkEnd w:id="62790"/>
      <w:r>
        <w:rPr>
          <w:rFonts w:hint="cs"/>
          <w:rtl/>
        </w:rPr>
        <w:t xml:space="preserve">העולמי, </w:t>
      </w:r>
      <w:bookmarkStart w:id="62791" w:name="_ETM_Q113_682840"/>
      <w:bookmarkEnd w:id="62791"/>
      <w:r>
        <w:rPr>
          <w:rFonts w:hint="cs"/>
          <w:rtl/>
        </w:rPr>
        <w:t xml:space="preserve">נכון? </w:t>
      </w:r>
      <w:bookmarkStart w:id="62792" w:name="_ETM_Q113_683530"/>
      <w:bookmarkEnd w:id="62792"/>
      <w:r>
        <w:rPr>
          <w:rFonts w:hint="cs"/>
          <w:rtl/>
        </w:rPr>
        <w:t xml:space="preserve">אנחנו </w:t>
      </w:r>
      <w:bookmarkStart w:id="62793" w:name="_ETM_Q113_683799"/>
      <w:bookmarkEnd w:id="62793"/>
      <w:r>
        <w:rPr>
          <w:rFonts w:hint="cs"/>
          <w:rtl/>
        </w:rPr>
        <w:t xml:space="preserve">בערך </w:t>
      </w:r>
      <w:bookmarkStart w:id="62794" w:name="_ETM_Q113_684010"/>
      <w:bookmarkEnd w:id="62794"/>
      <w:r>
        <w:rPr>
          <w:rFonts w:hint="cs"/>
          <w:rtl/>
        </w:rPr>
        <w:t>מס</w:t>
      </w:r>
      <w:r w:rsidR="00924280">
        <w:rPr>
          <w:rFonts w:hint="cs"/>
          <w:rtl/>
        </w:rPr>
        <w:t>'</w:t>
      </w:r>
      <w:r>
        <w:rPr>
          <w:rFonts w:hint="cs"/>
          <w:rtl/>
        </w:rPr>
        <w:t xml:space="preserve"> </w:t>
      </w:r>
      <w:bookmarkStart w:id="62795" w:name="_ETM_Q113_684310"/>
      <w:bookmarkEnd w:id="62795"/>
      <w:r>
        <w:rPr>
          <w:rFonts w:hint="cs"/>
          <w:rtl/>
        </w:rPr>
        <w:t>2</w:t>
      </w:r>
      <w:r w:rsidR="00924280">
        <w:rPr>
          <w:rFonts w:hint="cs"/>
          <w:rtl/>
        </w:rPr>
        <w:t>,</w:t>
      </w:r>
      <w:r>
        <w:rPr>
          <w:rFonts w:hint="cs"/>
          <w:rtl/>
        </w:rPr>
        <w:t xml:space="preserve"> </w:t>
      </w:r>
      <w:bookmarkStart w:id="62796" w:name="_ETM_Q113_684970"/>
      <w:bookmarkStart w:id="62797" w:name="_ETM_Q113_685090"/>
      <w:bookmarkEnd w:id="62796"/>
      <w:bookmarkEnd w:id="62797"/>
      <w:r w:rsidR="00924280">
        <w:rPr>
          <w:rFonts w:hint="cs"/>
          <w:rtl/>
        </w:rPr>
        <w:t xml:space="preserve">או </w:t>
      </w:r>
      <w:r>
        <w:rPr>
          <w:rFonts w:hint="cs"/>
          <w:rtl/>
        </w:rPr>
        <w:t xml:space="preserve">מקום </w:t>
      </w:r>
      <w:bookmarkStart w:id="62798" w:name="_ETM_Q113_685360"/>
      <w:bookmarkEnd w:id="62798"/>
      <w:r>
        <w:rPr>
          <w:rFonts w:hint="cs"/>
          <w:rtl/>
        </w:rPr>
        <w:t xml:space="preserve">שני </w:t>
      </w:r>
      <w:bookmarkStart w:id="62799" w:name="_ETM_Q113_685569"/>
      <w:bookmarkEnd w:id="62799"/>
      <w:r>
        <w:rPr>
          <w:rFonts w:hint="cs"/>
          <w:rtl/>
        </w:rPr>
        <w:t xml:space="preserve">בעולם </w:t>
      </w:r>
      <w:bookmarkStart w:id="62800" w:name="_ETM_Q113_685959"/>
      <w:bookmarkEnd w:id="62800"/>
      <w:r>
        <w:rPr>
          <w:rFonts w:hint="cs"/>
          <w:rtl/>
        </w:rPr>
        <w:t xml:space="preserve">אחרי </w:t>
      </w:r>
      <w:bookmarkStart w:id="62801" w:name="_ETM_Q113_686200"/>
      <w:bookmarkEnd w:id="62801"/>
      <w:r>
        <w:rPr>
          <w:rFonts w:hint="cs"/>
          <w:rtl/>
        </w:rPr>
        <w:t xml:space="preserve">מקסיקו, </w:t>
      </w:r>
      <w:bookmarkStart w:id="62802" w:name="_ETM_Q113_686650"/>
      <w:bookmarkEnd w:id="62802"/>
      <w:r>
        <w:rPr>
          <w:rFonts w:hint="cs"/>
          <w:rtl/>
        </w:rPr>
        <w:t xml:space="preserve">תלוי </w:t>
      </w:r>
      <w:bookmarkStart w:id="62803" w:name="_ETM_Q113_686950"/>
      <w:bookmarkEnd w:id="62803"/>
      <w:r>
        <w:rPr>
          <w:rFonts w:hint="cs"/>
          <w:rtl/>
        </w:rPr>
        <w:t xml:space="preserve">איך </w:t>
      </w:r>
      <w:bookmarkStart w:id="62804" w:name="_ETM_Q113_687040"/>
      <w:bookmarkEnd w:id="62804"/>
      <w:r>
        <w:rPr>
          <w:rFonts w:hint="cs"/>
          <w:rtl/>
        </w:rPr>
        <w:t>את</w:t>
      </w:r>
      <w:bookmarkStart w:id="62805" w:name="_ETM_Q113_687129"/>
      <w:bookmarkEnd w:id="62805"/>
      <w:r>
        <w:rPr>
          <w:rFonts w:hint="cs"/>
          <w:rtl/>
        </w:rPr>
        <w:t xml:space="preserve">ה סופר. ואתה אומר: </w:t>
      </w:r>
      <w:bookmarkStart w:id="62806" w:name="_ETM_Q113_689170"/>
      <w:bookmarkStart w:id="62807" w:name="_ETM_Q113_689319"/>
      <w:bookmarkStart w:id="62808" w:name="_ETM_Q113_689439"/>
      <w:bookmarkStart w:id="62809" w:name="_ETM_Q113_690040"/>
      <w:bookmarkEnd w:id="62806"/>
      <w:bookmarkEnd w:id="62807"/>
      <w:bookmarkEnd w:id="62808"/>
      <w:bookmarkEnd w:id="62809"/>
      <w:r>
        <w:rPr>
          <w:rFonts w:hint="cs"/>
          <w:rtl/>
        </w:rPr>
        <w:t xml:space="preserve">גילה </w:t>
      </w:r>
      <w:bookmarkStart w:id="62810" w:name="_ETM_Q113_690489"/>
      <w:bookmarkEnd w:id="62810"/>
      <w:r>
        <w:rPr>
          <w:rFonts w:hint="cs"/>
          <w:rtl/>
        </w:rPr>
        <w:t xml:space="preserve">ראש הממשלה </w:t>
      </w:r>
      <w:bookmarkStart w:id="62811" w:name="_ETM_Q113_691360"/>
      <w:bookmarkEnd w:id="62811"/>
      <w:r>
        <w:rPr>
          <w:rFonts w:hint="cs"/>
          <w:rtl/>
        </w:rPr>
        <w:t xml:space="preserve">פתאום </w:t>
      </w:r>
      <w:bookmarkStart w:id="62812" w:name="_ETM_Q113_692260"/>
      <w:bookmarkEnd w:id="62812"/>
      <w:r>
        <w:rPr>
          <w:rFonts w:hint="cs"/>
          <w:rtl/>
        </w:rPr>
        <w:t xml:space="preserve">שבמדינת </w:t>
      </w:r>
      <w:bookmarkStart w:id="62813" w:name="_ETM_Q113_693129"/>
      <w:bookmarkEnd w:id="62813"/>
      <w:r>
        <w:rPr>
          <w:rFonts w:hint="cs"/>
          <w:rtl/>
        </w:rPr>
        <w:t xml:space="preserve">ישראל </w:t>
      </w:r>
      <w:bookmarkStart w:id="62814" w:name="_ETM_Q113_693760"/>
      <w:bookmarkEnd w:id="62814"/>
      <w:r>
        <w:rPr>
          <w:rFonts w:hint="cs"/>
          <w:rtl/>
        </w:rPr>
        <w:t xml:space="preserve">יש </w:t>
      </w:r>
      <w:bookmarkStart w:id="62815" w:name="_ETM_Q113_694090"/>
      <w:bookmarkEnd w:id="62815"/>
      <w:r>
        <w:rPr>
          <w:rFonts w:hint="cs"/>
          <w:rtl/>
        </w:rPr>
        <w:t xml:space="preserve">בעיה </w:t>
      </w:r>
      <w:bookmarkStart w:id="62816" w:name="_ETM_Q113_694390"/>
      <w:bookmarkEnd w:id="62816"/>
      <w:r>
        <w:rPr>
          <w:rFonts w:hint="cs"/>
          <w:rtl/>
        </w:rPr>
        <w:t xml:space="preserve">של </w:t>
      </w:r>
      <w:bookmarkStart w:id="62817" w:name="_ETM_Q113_694540"/>
      <w:bookmarkEnd w:id="62817"/>
      <w:r>
        <w:rPr>
          <w:rFonts w:hint="cs"/>
          <w:rtl/>
        </w:rPr>
        <w:t xml:space="preserve">סוכרת, </w:t>
      </w:r>
      <w:bookmarkStart w:id="62818" w:name="_ETM_Q113_697040"/>
      <w:bookmarkEnd w:id="62818"/>
      <w:r>
        <w:rPr>
          <w:rFonts w:hint="cs"/>
          <w:rtl/>
        </w:rPr>
        <w:t xml:space="preserve">והוא </w:t>
      </w:r>
      <w:bookmarkStart w:id="62819" w:name="_ETM_Q113_697549"/>
      <w:bookmarkEnd w:id="62819"/>
      <w:r>
        <w:rPr>
          <w:rFonts w:hint="cs"/>
          <w:rtl/>
        </w:rPr>
        <w:t xml:space="preserve">ביקש </w:t>
      </w:r>
      <w:bookmarkStart w:id="62820" w:name="_ETM_Q113_698390"/>
      <w:bookmarkEnd w:id="62820"/>
      <w:r>
        <w:rPr>
          <w:rFonts w:hint="cs"/>
          <w:rtl/>
        </w:rPr>
        <w:t xml:space="preserve">מגורמי </w:t>
      </w:r>
      <w:bookmarkStart w:id="62821" w:name="_ETM_Q113_698959"/>
      <w:bookmarkEnd w:id="62821"/>
      <w:r>
        <w:rPr>
          <w:rFonts w:hint="cs"/>
          <w:rtl/>
        </w:rPr>
        <w:t xml:space="preserve">המקצוע </w:t>
      </w:r>
      <w:bookmarkStart w:id="62822" w:name="_ETM_Q113_699829"/>
      <w:bookmarkEnd w:id="62822"/>
      <w:r>
        <w:rPr>
          <w:rFonts w:hint="cs"/>
          <w:rtl/>
        </w:rPr>
        <w:t xml:space="preserve">באופן </w:t>
      </w:r>
      <w:bookmarkStart w:id="62823" w:name="_ETM_Q113_700370"/>
      <w:bookmarkStart w:id="62824" w:name="_ETM_Q113_700730"/>
      <w:bookmarkEnd w:id="62823"/>
      <w:bookmarkEnd w:id="62824"/>
      <w:r>
        <w:rPr>
          <w:rFonts w:hint="cs"/>
          <w:rtl/>
        </w:rPr>
        <w:t xml:space="preserve">חגיגי – </w:t>
      </w:r>
      <w:bookmarkStart w:id="62825" w:name="_ETM_Q113_703638"/>
      <w:bookmarkEnd w:id="62825"/>
      <w:r>
        <w:rPr>
          <w:rFonts w:hint="cs"/>
          <w:rtl/>
        </w:rPr>
        <w:t xml:space="preserve">בטח עם דפיקה כזאת על </w:t>
      </w:r>
      <w:bookmarkStart w:id="62826" w:name="_ETM_Q113_701510"/>
      <w:bookmarkStart w:id="62827" w:name="_ETM_Q113_701809"/>
      <w:bookmarkStart w:id="62828" w:name="_ETM_Q113_702200"/>
      <w:bookmarkStart w:id="62829" w:name="_ETM_Q113_702379"/>
      <w:bookmarkStart w:id="62830" w:name="_ETM_Q113_702559"/>
      <w:bookmarkStart w:id="62831" w:name="_ETM_Q113_702860"/>
      <w:bookmarkStart w:id="62832" w:name="_ETM_Q113_703220"/>
      <w:bookmarkStart w:id="62833" w:name="_ETM_Q113_703519"/>
      <w:bookmarkStart w:id="62834" w:name="_ETM_Q113_703610"/>
      <w:bookmarkEnd w:id="62826"/>
      <w:bookmarkEnd w:id="62827"/>
      <w:bookmarkEnd w:id="62828"/>
      <w:bookmarkEnd w:id="62829"/>
      <w:bookmarkEnd w:id="62830"/>
      <w:bookmarkEnd w:id="62831"/>
      <w:bookmarkEnd w:id="62832"/>
      <w:bookmarkEnd w:id="62833"/>
      <w:bookmarkEnd w:id="62834"/>
      <w:r>
        <w:rPr>
          <w:rFonts w:hint="cs"/>
          <w:rtl/>
        </w:rPr>
        <w:t xml:space="preserve">השולחן </w:t>
      </w:r>
      <w:bookmarkStart w:id="62835" w:name="_ETM_Q113_704059"/>
      <w:bookmarkEnd w:id="62835"/>
      <w:r>
        <w:rPr>
          <w:rFonts w:hint="cs"/>
          <w:rtl/>
        </w:rPr>
        <w:t>וטון הבריטון</w:t>
      </w:r>
      <w:r w:rsidR="00924280">
        <w:rPr>
          <w:rFonts w:hint="cs"/>
          <w:rtl/>
        </w:rPr>
        <w:t>:</w:t>
      </w:r>
      <w:r>
        <w:rPr>
          <w:rFonts w:hint="cs"/>
          <w:rtl/>
        </w:rPr>
        <w:t xml:space="preserve"> </w:t>
      </w:r>
      <w:bookmarkStart w:id="62836" w:name="_ETM_Q113_704510"/>
      <w:bookmarkStart w:id="62837" w:name="_ETM_Q113_706230"/>
      <w:bookmarkEnd w:id="62836"/>
      <w:bookmarkEnd w:id="62837"/>
      <w:r>
        <w:rPr>
          <w:rFonts w:hint="cs"/>
          <w:rtl/>
        </w:rPr>
        <w:t xml:space="preserve">בואו </w:t>
      </w:r>
      <w:bookmarkStart w:id="62838" w:name="_ETM_Q113_707250"/>
      <w:bookmarkEnd w:id="62838"/>
      <w:r>
        <w:rPr>
          <w:rFonts w:hint="cs"/>
          <w:rtl/>
        </w:rPr>
        <w:t xml:space="preserve">תכינו </w:t>
      </w:r>
      <w:bookmarkStart w:id="62839" w:name="_ETM_Q113_707730"/>
      <w:bookmarkEnd w:id="62839"/>
      <w:r>
        <w:rPr>
          <w:rFonts w:hint="cs"/>
          <w:rtl/>
        </w:rPr>
        <w:t xml:space="preserve">לי </w:t>
      </w:r>
      <w:bookmarkStart w:id="62840" w:name="_ETM_Q113_707879"/>
      <w:bookmarkEnd w:id="62840"/>
      <w:r>
        <w:rPr>
          <w:rFonts w:hint="cs"/>
          <w:rtl/>
        </w:rPr>
        <w:t xml:space="preserve">תוכנית </w:t>
      </w:r>
      <w:bookmarkStart w:id="62841" w:name="_ETM_Q113_708909"/>
      <w:bookmarkEnd w:id="62841"/>
      <w:r>
        <w:rPr>
          <w:rFonts w:hint="cs"/>
          <w:rtl/>
        </w:rPr>
        <w:t xml:space="preserve">להתמודד </w:t>
      </w:r>
      <w:bookmarkStart w:id="62842" w:name="_ETM_Q113_709900"/>
      <w:bookmarkEnd w:id="62842"/>
      <w:r>
        <w:rPr>
          <w:rFonts w:hint="cs"/>
          <w:rtl/>
        </w:rPr>
        <w:t xml:space="preserve">עם </w:t>
      </w:r>
      <w:bookmarkStart w:id="62843" w:name="_ETM_Q113_710080"/>
      <w:bookmarkEnd w:id="62843"/>
      <w:r>
        <w:rPr>
          <w:rFonts w:hint="cs"/>
          <w:rtl/>
        </w:rPr>
        <w:t xml:space="preserve">ההשפעות </w:t>
      </w:r>
      <w:bookmarkStart w:id="62844" w:name="_ETM_Q113_710709"/>
      <w:bookmarkEnd w:id="62844"/>
      <w:r>
        <w:rPr>
          <w:rFonts w:hint="cs"/>
          <w:rtl/>
        </w:rPr>
        <w:t xml:space="preserve">הסוכר </w:t>
      </w:r>
      <w:bookmarkStart w:id="62845" w:name="_ETM_Q113_711459"/>
      <w:bookmarkEnd w:id="62845"/>
      <w:r>
        <w:rPr>
          <w:rFonts w:hint="cs"/>
          <w:rtl/>
        </w:rPr>
        <w:t xml:space="preserve">ומגפת </w:t>
      </w:r>
      <w:bookmarkStart w:id="62846" w:name="_ETM_Q113_712030"/>
      <w:bookmarkEnd w:id="62846"/>
      <w:r>
        <w:rPr>
          <w:rFonts w:hint="cs"/>
          <w:rtl/>
        </w:rPr>
        <w:t xml:space="preserve">הסוכרת </w:t>
      </w:r>
      <w:bookmarkStart w:id="62847" w:name="_ETM_Q113_712629"/>
      <w:bookmarkEnd w:id="62847"/>
      <w:r>
        <w:rPr>
          <w:rFonts w:hint="cs"/>
          <w:rtl/>
        </w:rPr>
        <w:t xml:space="preserve">במדינת </w:t>
      </w:r>
      <w:bookmarkStart w:id="62848" w:name="_ETM_Q113_713079"/>
      <w:bookmarkEnd w:id="62848"/>
      <w:r>
        <w:rPr>
          <w:rFonts w:hint="cs"/>
          <w:rtl/>
        </w:rPr>
        <w:t xml:space="preserve">ישראל. </w:t>
      </w:r>
      <w:bookmarkStart w:id="62849" w:name="_ETM_Q113_716431"/>
      <w:bookmarkStart w:id="62850" w:name="_ETM_Q113_716475"/>
      <w:bookmarkStart w:id="62851" w:name="_ETM_Q113_716647"/>
      <w:bookmarkStart w:id="62852" w:name="_ETM_Q113_716693"/>
      <w:bookmarkStart w:id="62853" w:name="_ETM_Q113_714499"/>
      <w:bookmarkEnd w:id="62849"/>
      <w:bookmarkEnd w:id="62850"/>
      <w:bookmarkEnd w:id="62851"/>
      <w:bookmarkEnd w:id="62852"/>
      <w:bookmarkEnd w:id="62853"/>
      <w:r>
        <w:rPr>
          <w:rFonts w:hint="cs"/>
          <w:rtl/>
        </w:rPr>
        <w:t xml:space="preserve">אני </w:t>
      </w:r>
      <w:bookmarkStart w:id="62854" w:name="_ETM_Q113_714799"/>
      <w:bookmarkEnd w:id="62854"/>
      <w:r>
        <w:rPr>
          <w:rFonts w:hint="cs"/>
          <w:rtl/>
        </w:rPr>
        <w:t xml:space="preserve">תוהה </w:t>
      </w:r>
      <w:bookmarkStart w:id="62855" w:name="_ETM_Q113_716559"/>
      <w:bookmarkEnd w:id="62855"/>
      <w:r>
        <w:rPr>
          <w:rFonts w:hint="cs"/>
          <w:rtl/>
        </w:rPr>
        <w:t xml:space="preserve">אם </w:t>
      </w:r>
      <w:bookmarkStart w:id="62856" w:name="_ETM_Q113_716709"/>
      <w:bookmarkEnd w:id="62856"/>
      <w:r>
        <w:rPr>
          <w:rFonts w:hint="cs"/>
          <w:rtl/>
        </w:rPr>
        <w:t xml:space="preserve">הוא </w:t>
      </w:r>
      <w:bookmarkStart w:id="62857" w:name="_ETM_Q113_716799"/>
      <w:bookmarkEnd w:id="62857"/>
      <w:r>
        <w:rPr>
          <w:rFonts w:hint="cs"/>
          <w:rtl/>
        </w:rPr>
        <w:t xml:space="preserve">צוחק </w:t>
      </w:r>
      <w:bookmarkStart w:id="62858" w:name="_ETM_Q113_717159"/>
      <w:bookmarkEnd w:id="62858"/>
      <w:r>
        <w:rPr>
          <w:rFonts w:hint="cs"/>
          <w:rtl/>
        </w:rPr>
        <w:t xml:space="preserve">עלינו. </w:t>
      </w:r>
      <w:bookmarkStart w:id="62859" w:name="_ETM_Q113_718330"/>
      <w:bookmarkEnd w:id="62859"/>
      <w:r>
        <w:rPr>
          <w:rFonts w:hint="cs"/>
          <w:rtl/>
        </w:rPr>
        <w:t xml:space="preserve">אני </w:t>
      </w:r>
      <w:bookmarkStart w:id="62860" w:name="_ETM_Q113_718990"/>
      <w:bookmarkEnd w:id="62860"/>
      <w:r>
        <w:rPr>
          <w:rFonts w:hint="cs"/>
          <w:rtl/>
        </w:rPr>
        <w:t xml:space="preserve">מנסה להבין את </w:t>
      </w:r>
      <w:bookmarkStart w:id="62861" w:name="_ETM_Q113_720606"/>
      <w:bookmarkEnd w:id="62861"/>
      <w:r>
        <w:rPr>
          <w:rFonts w:hint="cs"/>
          <w:rtl/>
        </w:rPr>
        <w:t>זה.</w:t>
      </w:r>
      <w:bookmarkStart w:id="62862" w:name="_ETM_Q113_719525"/>
      <w:bookmarkEnd w:id="62862"/>
    </w:p>
    <w:p w:rsidR="00BB59CD" w:rsidRDefault="00BB59CD" w:rsidP="00BB59CD">
      <w:pPr>
        <w:rPr>
          <w:rtl/>
        </w:rPr>
      </w:pPr>
      <w:bookmarkStart w:id="62863" w:name="_ETM_Q113_719572"/>
      <w:bookmarkEnd w:id="62863"/>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2864" w:name="_ETM_Q113_720019"/>
      <w:bookmarkEnd w:id="62864"/>
      <w:r>
        <w:rPr>
          <w:rFonts w:hint="cs"/>
          <w:rtl/>
        </w:rPr>
        <w:t xml:space="preserve">טוב שהעלית את זה. אתה יודע שכולם אמרו: אבל </w:t>
      </w:r>
      <w:bookmarkStart w:id="62865" w:name="_ETM_Q113_724500"/>
      <w:bookmarkEnd w:id="62865"/>
      <w:r>
        <w:rPr>
          <w:rFonts w:hint="cs"/>
          <w:rtl/>
        </w:rPr>
        <w:t>לפני חודש וחצי הורדת את המס על הסוכר.</w:t>
      </w:r>
    </w:p>
    <w:p w:rsidR="00BB59CD" w:rsidRDefault="00BB59CD" w:rsidP="00BB59CD">
      <w:pPr>
        <w:rPr>
          <w:rtl/>
        </w:rPr>
      </w:pPr>
      <w:bookmarkStart w:id="62866" w:name="_ETM_Q113_724345"/>
      <w:bookmarkStart w:id="62867" w:name="_ETM_Q113_724384"/>
      <w:bookmarkEnd w:id="62866"/>
      <w:bookmarkEnd w:id="62867"/>
    </w:p>
    <w:p w:rsidR="00BB59CD" w:rsidRDefault="00BB59CD" w:rsidP="00BB59CD">
      <w:pPr>
        <w:pStyle w:val="-"/>
        <w:keepNext/>
        <w:rPr>
          <w:rtl/>
        </w:rPr>
      </w:pPr>
      <w:bookmarkStart w:id="62868" w:name="ET_speakercontinue_6361_1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2868"/>
    </w:p>
    <w:p w:rsidR="00BB59CD" w:rsidRDefault="00BB59CD" w:rsidP="00337201">
      <w:pPr>
        <w:rPr>
          <w:rtl/>
        </w:rPr>
      </w:pPr>
    </w:p>
    <w:p w:rsidR="00BB59CD" w:rsidRDefault="00BB59CD" w:rsidP="00BB59CD">
      <w:pPr>
        <w:rPr>
          <w:rtl/>
        </w:rPr>
      </w:pPr>
      <w:bookmarkStart w:id="62869" w:name="_ETM_Q113_725308"/>
      <w:bookmarkEnd w:id="62869"/>
      <w:r>
        <w:rPr>
          <w:rFonts w:hint="cs"/>
          <w:rtl/>
        </w:rPr>
        <w:t xml:space="preserve">עזוב, אני לא </w:t>
      </w:r>
      <w:bookmarkStart w:id="62870" w:name="_ETM_Q113_725456"/>
      <w:bookmarkStart w:id="62871" w:name="_ETM_Q113_719290"/>
      <w:bookmarkStart w:id="62872" w:name="_ETM_Q113_719440"/>
      <w:bookmarkStart w:id="62873" w:name="_ETM_Q113_719620"/>
      <w:bookmarkStart w:id="62874" w:name="_ETM_Q113_719890"/>
      <w:bookmarkStart w:id="62875" w:name="_ETM_Q113_720250"/>
      <w:bookmarkStart w:id="62876" w:name="_ETM_Q113_720430"/>
      <w:bookmarkStart w:id="62877" w:name="_ETM_Q113_720760"/>
      <w:bookmarkStart w:id="62878" w:name="_ETM_Q113_720970"/>
      <w:bookmarkStart w:id="62879" w:name="_ETM_Q113_721090"/>
      <w:bookmarkStart w:id="62880" w:name="_ETM_Q113_721270"/>
      <w:bookmarkStart w:id="62881" w:name="_ETM_Q113_721630"/>
      <w:bookmarkStart w:id="62882" w:name="_ETM_Q113_721990"/>
      <w:bookmarkStart w:id="62883" w:name="_ETM_Q113_722230"/>
      <w:bookmarkStart w:id="62884" w:name="_ETM_Q113_722890"/>
      <w:bookmarkStart w:id="62885" w:name="_ETM_Q113_723400"/>
      <w:bookmarkStart w:id="62886" w:name="_ETM_Q113_723850"/>
      <w:bookmarkStart w:id="62887" w:name="_ETM_Q113_724210"/>
      <w:bookmarkStart w:id="62888" w:name="_ETM_Q113_724660"/>
      <w:bookmarkStart w:id="62889" w:name="_ETM_Q113_724870"/>
      <w:bookmarkStart w:id="62890" w:name="_ETM_Q113_724990"/>
      <w:bookmarkStart w:id="62891" w:name="_ETM_Q113_725470"/>
      <w:bookmarkStart w:id="62892" w:name="_ETM_Q113_726100"/>
      <w:bookmarkStart w:id="62893" w:name="_ETM_Q113_726309"/>
      <w:bookmarkStart w:id="62894" w:name="_ETM_Q113_726430"/>
      <w:bookmarkEnd w:id="62870"/>
      <w:bookmarkEnd w:id="62871"/>
      <w:bookmarkEnd w:id="62872"/>
      <w:bookmarkEnd w:id="62873"/>
      <w:bookmarkEnd w:id="62874"/>
      <w:bookmarkEnd w:id="62875"/>
      <w:bookmarkEnd w:id="62876"/>
      <w:bookmarkEnd w:id="62877"/>
      <w:bookmarkEnd w:id="62878"/>
      <w:bookmarkEnd w:id="62879"/>
      <w:bookmarkEnd w:id="62880"/>
      <w:bookmarkEnd w:id="62881"/>
      <w:bookmarkEnd w:id="62882"/>
      <w:bookmarkEnd w:id="62883"/>
      <w:bookmarkEnd w:id="62884"/>
      <w:bookmarkEnd w:id="62885"/>
      <w:bookmarkEnd w:id="62886"/>
      <w:bookmarkEnd w:id="62887"/>
      <w:bookmarkEnd w:id="62888"/>
      <w:bookmarkEnd w:id="62889"/>
      <w:bookmarkEnd w:id="62890"/>
      <w:bookmarkEnd w:id="62891"/>
      <w:bookmarkEnd w:id="62892"/>
      <w:bookmarkEnd w:id="62893"/>
      <w:bookmarkEnd w:id="62894"/>
      <w:r>
        <w:rPr>
          <w:rFonts w:hint="cs"/>
          <w:rtl/>
        </w:rPr>
        <w:t xml:space="preserve">אלך </w:t>
      </w:r>
      <w:bookmarkStart w:id="62895" w:name="_ETM_Q113_726610"/>
      <w:bookmarkEnd w:id="62895"/>
      <w:r>
        <w:rPr>
          <w:rFonts w:hint="cs"/>
          <w:rtl/>
        </w:rPr>
        <w:t xml:space="preserve">לשם, </w:t>
      </w:r>
      <w:bookmarkStart w:id="62896" w:name="_ETM_Q113_726850"/>
      <w:bookmarkEnd w:id="62896"/>
      <w:r>
        <w:rPr>
          <w:rFonts w:hint="cs"/>
          <w:rtl/>
        </w:rPr>
        <w:t xml:space="preserve">כי </w:t>
      </w:r>
      <w:bookmarkStart w:id="62897" w:name="_ETM_Q113_726970"/>
      <w:bookmarkEnd w:id="62897"/>
      <w:r>
        <w:rPr>
          <w:rFonts w:hint="cs"/>
          <w:rtl/>
        </w:rPr>
        <w:t xml:space="preserve">ידעתי </w:t>
      </w:r>
      <w:bookmarkStart w:id="62898" w:name="_ETM_Q113_727270"/>
      <w:bookmarkEnd w:id="62898"/>
      <w:r>
        <w:rPr>
          <w:rFonts w:hint="cs"/>
          <w:rtl/>
        </w:rPr>
        <w:t>ש</w:t>
      </w:r>
      <w:bookmarkStart w:id="62899" w:name="_ETM_Q113_727480"/>
      <w:bookmarkEnd w:id="62899"/>
      <w:r>
        <w:rPr>
          <w:rFonts w:hint="cs"/>
          <w:rtl/>
        </w:rPr>
        <w:t xml:space="preserve">לשם </w:t>
      </w:r>
      <w:bookmarkStart w:id="62900" w:name="_ETM_Q113_727750"/>
      <w:bookmarkEnd w:id="62900"/>
      <w:r>
        <w:rPr>
          <w:rFonts w:hint="cs"/>
          <w:rtl/>
        </w:rPr>
        <w:t xml:space="preserve">אנחנו </w:t>
      </w:r>
      <w:bookmarkStart w:id="62901" w:name="_ETM_Q113_728110"/>
      <w:bookmarkEnd w:id="62901"/>
      <w:r>
        <w:rPr>
          <w:rFonts w:hint="cs"/>
          <w:rtl/>
        </w:rPr>
        <w:t>נלך. העליתם את המס או הורדתם את המס.</w:t>
      </w:r>
    </w:p>
    <w:p w:rsidR="00BB59CD" w:rsidRDefault="00BB59CD" w:rsidP="00BB59CD">
      <w:pPr>
        <w:rPr>
          <w:rtl/>
        </w:rPr>
      </w:pPr>
      <w:bookmarkStart w:id="62902" w:name="_ETM_Q113_731826"/>
      <w:bookmarkEnd w:id="6290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2903" w:name="_ETM_Q113_733697"/>
      <w:bookmarkEnd w:id="62903"/>
      <w:r>
        <w:rPr>
          <w:rFonts w:hint="cs"/>
          <w:rtl/>
        </w:rPr>
        <w:t>הורדנו את המס.</w:t>
      </w:r>
      <w:bookmarkStart w:id="62904" w:name="_ETM_Q113_734229"/>
      <w:bookmarkEnd w:id="62904"/>
    </w:p>
    <w:p w:rsidR="00BB59CD" w:rsidRDefault="00BB59CD" w:rsidP="00BB59CD">
      <w:pPr>
        <w:rPr>
          <w:rtl/>
        </w:rPr>
      </w:pPr>
      <w:bookmarkStart w:id="62905" w:name="_ETM_Q113_734265"/>
      <w:bookmarkStart w:id="62906" w:name="_ETM_Q113_734495"/>
      <w:bookmarkEnd w:id="62905"/>
      <w:bookmarkEnd w:id="62906"/>
    </w:p>
    <w:p w:rsidR="00BB59CD" w:rsidRDefault="00BB59CD" w:rsidP="00BB59CD">
      <w:pPr>
        <w:pStyle w:val="a5"/>
        <w:keepNext/>
        <w:rPr>
          <w:rtl/>
        </w:rPr>
      </w:pPr>
      <w:bookmarkStart w:id="62907" w:name="ET_speaker_6361_16"/>
      <w:r>
        <w:rPr>
          <w:rStyle w:val="TagStyle"/>
          <w:rFonts w:hint="cs"/>
          <w:rtl/>
        </w:rPr>
        <w:t xml:space="preserve"> &lt;&lt; דובר &gt;&gt; </w:t>
      </w:r>
      <w:bookmarkStart w:id="62908" w:name="_Toc141197179"/>
      <w:bookmarkStart w:id="62909" w:name="_Toc141196915"/>
      <w:r>
        <w:rPr>
          <w:rFonts w:hint="cs"/>
          <w:rtl/>
        </w:rPr>
        <w:t>נאור שירי (יש עתיד):</w:t>
      </w:r>
      <w:bookmarkEnd w:id="62908"/>
      <w:bookmarkEnd w:id="62909"/>
      <w:r>
        <w:rPr>
          <w:rStyle w:val="TagStyle"/>
          <w:rFonts w:hint="cs"/>
          <w:rtl/>
        </w:rPr>
        <w:t xml:space="preserve"> &lt;&lt; דובר &gt;&gt;</w:t>
      </w:r>
      <w:r>
        <w:rPr>
          <w:rFonts w:hint="cs"/>
          <w:rtl/>
        </w:rPr>
        <w:t xml:space="preserve">   </w:t>
      </w:r>
      <w:bookmarkEnd w:id="62907"/>
    </w:p>
    <w:p w:rsidR="00BB59CD" w:rsidRDefault="00BB59CD" w:rsidP="00337201">
      <w:pPr>
        <w:rPr>
          <w:rtl/>
        </w:rPr>
      </w:pPr>
    </w:p>
    <w:p w:rsidR="00BB59CD" w:rsidRDefault="00BB59CD" w:rsidP="00BB59CD">
      <w:pPr>
        <w:rPr>
          <w:rtl/>
        </w:rPr>
      </w:pPr>
      <w:bookmarkStart w:id="62910" w:name="_ETM_Q113_734822"/>
      <w:bookmarkStart w:id="62911" w:name="_ETM_Q113_734861"/>
      <w:bookmarkEnd w:id="62910"/>
      <w:bookmarkEnd w:id="62911"/>
      <w:r>
        <w:rPr>
          <w:rFonts w:hint="cs"/>
          <w:rtl/>
        </w:rPr>
        <w:t xml:space="preserve">ממשלת </w:t>
      </w:r>
      <w:bookmarkStart w:id="62912" w:name="_ETM_Q113_735055"/>
      <w:bookmarkEnd w:id="62912"/>
      <w:r>
        <w:rPr>
          <w:rFonts w:hint="cs"/>
          <w:rtl/>
        </w:rPr>
        <w:t xml:space="preserve">השינוי העלתה. </w:t>
      </w:r>
      <w:bookmarkStart w:id="62913" w:name="_ETM_Q113_731944"/>
      <w:bookmarkStart w:id="62914" w:name="_ETM_Q113_731969"/>
      <w:bookmarkStart w:id="62915" w:name="_ETM_Q113_728530"/>
      <w:bookmarkStart w:id="62916" w:name="_ETM_Q113_728920"/>
      <w:bookmarkStart w:id="62917" w:name="_ETM_Q113_729489"/>
      <w:bookmarkStart w:id="62918" w:name="_ETM_Q113_729999"/>
      <w:bookmarkStart w:id="62919" w:name="_ETM_Q113_730090"/>
      <w:bookmarkStart w:id="62920" w:name="_ETM_Q113_730719"/>
      <w:bookmarkStart w:id="62921" w:name="_ETM_Q113_731079"/>
      <w:bookmarkStart w:id="62922" w:name="_ETM_Q113_731710"/>
      <w:bookmarkStart w:id="62923" w:name="_ETM_Q113_732070"/>
      <w:bookmarkStart w:id="62924" w:name="_ETM_Q113_732990"/>
      <w:bookmarkStart w:id="62925" w:name="_ETM_Q113_733620"/>
      <w:bookmarkStart w:id="62926" w:name="_ETM_Q113_734309"/>
      <w:bookmarkStart w:id="62927" w:name="_ETM_Q113_736490"/>
      <w:bookmarkEnd w:id="62913"/>
      <w:bookmarkEnd w:id="62914"/>
      <w:bookmarkEnd w:id="62915"/>
      <w:bookmarkEnd w:id="62916"/>
      <w:bookmarkEnd w:id="62917"/>
      <w:bookmarkEnd w:id="62918"/>
      <w:bookmarkEnd w:id="62919"/>
      <w:bookmarkEnd w:id="62920"/>
      <w:bookmarkEnd w:id="62921"/>
      <w:bookmarkEnd w:id="62922"/>
      <w:bookmarkEnd w:id="62923"/>
      <w:bookmarkEnd w:id="62924"/>
      <w:bookmarkEnd w:id="62925"/>
      <w:bookmarkEnd w:id="62926"/>
      <w:bookmarkEnd w:id="62927"/>
      <w:r>
        <w:rPr>
          <w:rFonts w:hint="cs"/>
          <w:rtl/>
        </w:rPr>
        <w:t xml:space="preserve">מה </w:t>
      </w:r>
      <w:bookmarkStart w:id="62928" w:name="_ETM_Q113_736789"/>
      <w:bookmarkEnd w:id="62928"/>
      <w:r>
        <w:rPr>
          <w:rFonts w:hint="cs"/>
          <w:rtl/>
        </w:rPr>
        <w:t xml:space="preserve">התוכנית </w:t>
      </w:r>
      <w:bookmarkStart w:id="62929" w:name="_ETM_Q113_737270"/>
      <w:bookmarkEnd w:id="62929"/>
      <w:r>
        <w:rPr>
          <w:rFonts w:hint="cs"/>
          <w:rtl/>
        </w:rPr>
        <w:t xml:space="preserve">שלכם </w:t>
      </w:r>
      <w:bookmarkStart w:id="62930" w:name="_ETM_Q113_738629"/>
      <w:bookmarkEnd w:id="62930"/>
      <w:r>
        <w:rPr>
          <w:rFonts w:hint="cs"/>
          <w:rtl/>
        </w:rPr>
        <w:t xml:space="preserve">או מה תכנן משרד הבריאות? בדקתי, אין שום </w:t>
      </w:r>
      <w:bookmarkStart w:id="62931" w:name="_ETM_Q113_741461"/>
      <w:bookmarkEnd w:id="62931"/>
      <w:r>
        <w:rPr>
          <w:rFonts w:hint="cs"/>
          <w:rtl/>
        </w:rPr>
        <w:t>תוכנית.</w:t>
      </w:r>
      <w:bookmarkStart w:id="62932" w:name="_ETM_Q113_743542"/>
      <w:bookmarkEnd w:id="62932"/>
      <w:r>
        <w:rPr>
          <w:rFonts w:hint="cs"/>
          <w:rtl/>
        </w:rPr>
        <w:t xml:space="preserve"> אני יכול לעסוק בזה.</w:t>
      </w:r>
    </w:p>
    <w:p w:rsidR="00BB59CD" w:rsidRDefault="00BB59CD" w:rsidP="00BB59CD">
      <w:pPr>
        <w:rPr>
          <w:rtl/>
        </w:rPr>
      </w:pPr>
      <w:bookmarkStart w:id="62933" w:name="_ETM_Q113_743594"/>
      <w:bookmarkEnd w:id="62933"/>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2934" w:name="_ETM_Q113_742928"/>
      <w:bookmarkEnd w:id="62934"/>
      <w:r>
        <w:rPr>
          <w:rFonts w:hint="cs"/>
          <w:rtl/>
        </w:rPr>
        <w:t xml:space="preserve">ברור. קודם כול, הוא ביקש להכין </w:t>
      </w:r>
      <w:bookmarkStart w:id="62935" w:name="_ETM_Q113_743705"/>
      <w:bookmarkEnd w:id="62935"/>
      <w:r>
        <w:rPr>
          <w:rFonts w:hint="cs"/>
          <w:rtl/>
        </w:rPr>
        <w:t>תוכנית, אבל גם אני ביקשתי בוועדה. אין הסברה. צריך בצד</w:t>
      </w:r>
      <w:bookmarkStart w:id="62936" w:name="_ETM_Q113_747883"/>
      <w:bookmarkEnd w:id="62936"/>
      <w:r>
        <w:rPr>
          <w:rFonts w:hint="cs"/>
          <w:rtl/>
        </w:rPr>
        <w:t xml:space="preserve"> הלימודי ובצד הבריאותי.</w:t>
      </w:r>
    </w:p>
    <w:p w:rsidR="00BB59CD" w:rsidRDefault="00BB59CD" w:rsidP="00BB59CD">
      <w:pPr>
        <w:rPr>
          <w:rtl/>
        </w:rPr>
      </w:pPr>
      <w:bookmarkStart w:id="62937" w:name="_ETM_Q113_748204"/>
      <w:bookmarkStart w:id="62938" w:name="_ETM_Q113_748246"/>
      <w:bookmarkEnd w:id="62937"/>
      <w:bookmarkEnd w:id="62938"/>
    </w:p>
    <w:p w:rsidR="00BB59CD" w:rsidRDefault="00BB59CD" w:rsidP="00BB59CD">
      <w:pPr>
        <w:pStyle w:val="-"/>
        <w:keepNext/>
        <w:rPr>
          <w:rtl/>
        </w:rPr>
      </w:pPr>
      <w:bookmarkStart w:id="62939" w:name="ET_speakercontinue_6361_1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2939"/>
    </w:p>
    <w:p w:rsidR="00BB59CD" w:rsidRDefault="00BB59CD" w:rsidP="00337201">
      <w:pPr>
        <w:rPr>
          <w:rtl/>
        </w:rPr>
      </w:pPr>
    </w:p>
    <w:p w:rsidR="00BB59CD" w:rsidRDefault="00BB59CD" w:rsidP="00BB59CD">
      <w:pPr>
        <w:rPr>
          <w:rtl/>
        </w:rPr>
      </w:pPr>
      <w:bookmarkStart w:id="62940" w:name="_ETM_Q113_747918"/>
      <w:bookmarkEnd w:id="62940"/>
      <w:r>
        <w:rPr>
          <w:rFonts w:hint="cs"/>
          <w:rtl/>
        </w:rPr>
        <w:t>אין כלום. אין כלום.</w:t>
      </w:r>
    </w:p>
    <w:p w:rsidR="00BB59CD" w:rsidRDefault="00BB59CD" w:rsidP="00BB59CD">
      <w:pPr>
        <w:rPr>
          <w:rtl/>
        </w:rPr>
      </w:pPr>
      <w:bookmarkStart w:id="62941" w:name="_ETM_Q113_749885"/>
      <w:bookmarkStart w:id="62942" w:name="_ETM_Q113_749941"/>
      <w:bookmarkEnd w:id="62941"/>
      <w:bookmarkEnd w:id="6294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2943" w:name="_ETM_Q113_750659"/>
      <w:bookmarkEnd w:id="62943"/>
      <w:r>
        <w:rPr>
          <w:rFonts w:hint="cs"/>
          <w:rtl/>
        </w:rPr>
        <w:t xml:space="preserve">אני אומר: מס מצד אחד – </w:t>
      </w:r>
      <w:bookmarkStart w:id="62944" w:name="_ETM_Q113_753397"/>
      <w:bookmarkEnd w:id="62944"/>
      <w:r>
        <w:rPr>
          <w:rFonts w:hint="cs"/>
          <w:rtl/>
        </w:rPr>
        <w:t>שזה</w:t>
      </w:r>
      <w:r w:rsidR="00924280">
        <w:rPr>
          <w:rFonts w:hint="cs"/>
          <w:rtl/>
        </w:rPr>
        <w:t>,</w:t>
      </w:r>
      <w:r>
        <w:rPr>
          <w:rFonts w:hint="cs"/>
          <w:rtl/>
        </w:rPr>
        <w:t xml:space="preserve"> מה שאמרנו, לא מחנכים את האנשים דרך הכיס, אבל </w:t>
      </w:r>
      <w:bookmarkStart w:id="62945" w:name="_ETM_Q113_755909"/>
      <w:bookmarkEnd w:id="62945"/>
      <w:r>
        <w:rPr>
          <w:rFonts w:hint="cs"/>
          <w:rtl/>
        </w:rPr>
        <w:t>צריך הסברה, נכון?</w:t>
      </w:r>
    </w:p>
    <w:p w:rsidR="00BB59CD" w:rsidRDefault="00BB59CD" w:rsidP="00BB59CD">
      <w:pPr>
        <w:rPr>
          <w:rtl/>
        </w:rPr>
      </w:pPr>
      <w:bookmarkStart w:id="62946" w:name="_ETM_Q113_754318"/>
      <w:bookmarkStart w:id="62947" w:name="_ETM_Q113_754359"/>
      <w:bookmarkEnd w:id="62946"/>
      <w:bookmarkEnd w:id="62947"/>
    </w:p>
    <w:p w:rsidR="00BB59CD" w:rsidRDefault="00BB59CD" w:rsidP="00BB59CD">
      <w:pPr>
        <w:pStyle w:val="-"/>
        <w:keepNext/>
        <w:rPr>
          <w:rtl/>
        </w:rPr>
      </w:pPr>
      <w:bookmarkStart w:id="62948" w:name="TOR_Q114"/>
      <w:bookmarkStart w:id="62949" w:name="ET_speakercontinue_6361_21"/>
      <w:bookmarkEnd w:id="62948"/>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bookmarkEnd w:id="62949"/>
    </w:p>
    <w:p w:rsidR="00BB59CD" w:rsidRDefault="00BB59CD" w:rsidP="00337201">
      <w:pPr>
        <w:rPr>
          <w:rtl/>
        </w:rPr>
      </w:pPr>
    </w:p>
    <w:p w:rsidR="00BB59CD" w:rsidRDefault="00BB59CD" w:rsidP="00BB59CD">
      <w:pPr>
        <w:rPr>
          <w:rtl/>
        </w:rPr>
      </w:pPr>
      <w:bookmarkStart w:id="62950" w:name="_ETM_Q113_758577"/>
      <w:bookmarkEnd w:id="62950"/>
      <w:r>
        <w:rPr>
          <w:rFonts w:hint="cs"/>
          <w:rtl/>
        </w:rPr>
        <w:t xml:space="preserve">אבל כן מחנכים אנשים דרך הכיס. כשאתה נוסע מהר, אתה תקבל קנס. לא תבוא משטרת התנועה, בצדק או </w:t>
      </w:r>
      <w:bookmarkStart w:id="62951" w:name="_ETM_Q113_766593"/>
      <w:bookmarkEnd w:id="62951"/>
      <w:r>
        <w:rPr>
          <w:rFonts w:hint="cs"/>
          <w:rtl/>
        </w:rPr>
        <w:t>שלא בצדק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2952" w:name="_ETM_Q113_765801"/>
      <w:bookmarkEnd w:id="62952"/>
      <w:r>
        <w:rPr>
          <w:rFonts w:hint="cs"/>
          <w:rtl/>
        </w:rPr>
        <w:t>אבל אחרי שנה?</w:t>
      </w:r>
    </w:p>
    <w:p w:rsidR="00BB59CD" w:rsidRDefault="00BB59CD" w:rsidP="00BB59CD">
      <w:pPr>
        <w:rPr>
          <w:rtl/>
        </w:rPr>
      </w:pPr>
      <w:bookmarkStart w:id="62953" w:name="_ETM_Q113_766351"/>
      <w:bookmarkEnd w:id="62953"/>
    </w:p>
    <w:p w:rsidR="00BB59CD" w:rsidRDefault="00BB59CD" w:rsidP="00BB59CD">
      <w:pPr>
        <w:pStyle w:val="-"/>
        <w:keepNext/>
        <w:rPr>
          <w:rtl/>
        </w:rPr>
      </w:pPr>
      <w:bookmarkStart w:id="62954" w:name="ET_speakercontinue_6361_2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2954"/>
    </w:p>
    <w:p w:rsidR="00BB59CD" w:rsidRDefault="00BB59CD" w:rsidP="00337201">
      <w:pPr>
        <w:rPr>
          <w:rtl/>
        </w:rPr>
      </w:pPr>
    </w:p>
    <w:p w:rsidR="00BB59CD" w:rsidRDefault="00BB59CD" w:rsidP="00924280">
      <w:pPr>
        <w:rPr>
          <w:rtl/>
        </w:rPr>
      </w:pPr>
      <w:bookmarkStart w:id="62955" w:name="_ETM_Q113_767124"/>
      <w:bookmarkEnd w:id="62955"/>
      <w:r>
        <w:rPr>
          <w:rFonts w:hint="cs"/>
          <w:rtl/>
        </w:rPr>
        <w:t xml:space="preserve">- - ותגיד לך: לא, </w:t>
      </w:r>
      <w:bookmarkStart w:id="62956" w:name="_ETM_Q113_769308"/>
      <w:bookmarkEnd w:id="62956"/>
      <w:r>
        <w:rPr>
          <w:rFonts w:hint="cs"/>
          <w:rtl/>
        </w:rPr>
        <w:t xml:space="preserve">אתה לא צריך לקבל קנס, לא צריך לקבל נקודות, בוא </w:t>
      </w:r>
      <w:bookmarkStart w:id="62957" w:name="_ETM_Q113_771492"/>
      <w:bookmarkEnd w:id="62957"/>
      <w:r>
        <w:rPr>
          <w:rFonts w:hint="cs"/>
          <w:rtl/>
        </w:rPr>
        <w:t xml:space="preserve">אני אסביר לך למה מהירות יכולה להרוג או למה מהירות </w:t>
      </w:r>
      <w:bookmarkStart w:id="62958" w:name="_ETM_Q113_776546"/>
      <w:bookmarkEnd w:id="62958"/>
      <w:r>
        <w:rPr>
          <w:rFonts w:hint="cs"/>
          <w:rtl/>
        </w:rPr>
        <w:t xml:space="preserve">פוגעת בבריאות. </w:t>
      </w:r>
      <w:bookmarkStart w:id="62959" w:name="_ETM_Q114_177132"/>
      <w:bookmarkStart w:id="62960" w:name="_ETM_Q114_177196"/>
      <w:bookmarkStart w:id="62961" w:name="_ETM_Q114_177850"/>
      <w:bookmarkStart w:id="62962" w:name="_ETM_Q114_177900"/>
      <w:bookmarkEnd w:id="62959"/>
      <w:bookmarkEnd w:id="62960"/>
      <w:bookmarkEnd w:id="62961"/>
      <w:bookmarkEnd w:id="62962"/>
      <w:r>
        <w:rPr>
          <w:rFonts w:hint="cs"/>
          <w:rtl/>
        </w:rPr>
        <w:t>אני מסכים שצריך לעשות הסברה.</w:t>
      </w:r>
    </w:p>
    <w:p w:rsidR="00BB59CD" w:rsidRDefault="00BB59CD" w:rsidP="00BB59CD">
      <w:pPr>
        <w:rPr>
          <w:rtl/>
        </w:rPr>
      </w:pPr>
      <w:bookmarkStart w:id="62963" w:name="_ETM_Q113_755968"/>
      <w:bookmarkEnd w:id="62963"/>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אבל אחרי שנה, כשהמס על </w:t>
      </w:r>
      <w:bookmarkStart w:id="62964" w:name="_ETM_Q114_181210"/>
      <w:bookmarkEnd w:id="62964"/>
      <w:r>
        <w:rPr>
          <w:rFonts w:hint="cs"/>
          <w:rtl/>
        </w:rPr>
        <w:t>השתייה המתוקה חל, הלכנו לבדוק את הנתונים, ואצל חברות המשקאות הגדולות הסתבר שמדינת ישראל הכניסה 800 מיליון שקל תוספת, אבל כמות השתייה לא ירדה.</w:t>
      </w:r>
    </w:p>
    <w:p w:rsidR="00BB59CD" w:rsidRDefault="00BB59CD" w:rsidP="00BB59CD">
      <w:pPr>
        <w:rPr>
          <w:rtl/>
        </w:rPr>
      </w:pPr>
      <w:bookmarkStart w:id="62965" w:name="_ETM_Q114_189656"/>
      <w:bookmarkEnd w:id="62965"/>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924280">
      <w:pPr>
        <w:rPr>
          <w:rtl/>
        </w:rPr>
      </w:pPr>
      <w:bookmarkStart w:id="62966" w:name="_ETM_Q114_190263"/>
      <w:bookmarkEnd w:id="62966"/>
      <w:r>
        <w:rPr>
          <w:rFonts w:hint="cs"/>
          <w:rtl/>
        </w:rPr>
        <w:t>אז אני טוען</w:t>
      </w:r>
      <w:bookmarkStart w:id="62967" w:name="_ETM_Q114_191129"/>
      <w:bookmarkEnd w:id="62967"/>
      <w:r>
        <w:rPr>
          <w:rFonts w:hint="cs"/>
          <w:rtl/>
        </w:rPr>
        <w:t xml:space="preserve"> שבשביל </w:t>
      </w:r>
      <w:bookmarkStart w:id="62968" w:name="_ETM_Q114_191610"/>
      <w:bookmarkEnd w:id="62968"/>
      <w:r>
        <w:rPr>
          <w:rFonts w:hint="cs"/>
          <w:rtl/>
        </w:rPr>
        <w:t xml:space="preserve">לשנות </w:t>
      </w:r>
      <w:bookmarkStart w:id="62969" w:name="_ETM_Q114_192089"/>
      <w:bookmarkEnd w:id="62969"/>
      <w:r>
        <w:rPr>
          <w:rFonts w:hint="cs"/>
          <w:rtl/>
        </w:rPr>
        <w:t xml:space="preserve">מגמה </w:t>
      </w:r>
      <w:bookmarkStart w:id="62970" w:name="_ETM_Q114_192660"/>
      <w:bookmarkEnd w:id="62970"/>
      <w:r>
        <w:rPr>
          <w:rFonts w:hint="cs"/>
          <w:rtl/>
        </w:rPr>
        <w:t xml:space="preserve">כזאת </w:t>
      </w:r>
      <w:bookmarkStart w:id="62971" w:name="_ETM_Q114_193349"/>
      <w:bookmarkEnd w:id="62971"/>
      <w:r>
        <w:rPr>
          <w:rFonts w:hint="cs"/>
          <w:rtl/>
        </w:rPr>
        <w:t xml:space="preserve">רחבה </w:t>
      </w:r>
      <w:bookmarkStart w:id="62972" w:name="_ETM_Q114_193919"/>
      <w:bookmarkEnd w:id="62972"/>
      <w:r>
        <w:rPr>
          <w:rFonts w:hint="cs"/>
          <w:rtl/>
        </w:rPr>
        <w:t xml:space="preserve">בחברה, </w:t>
      </w:r>
      <w:bookmarkStart w:id="62973" w:name="_ETM_Q114_195179"/>
      <w:bookmarkEnd w:id="62973"/>
      <w:r>
        <w:rPr>
          <w:rFonts w:hint="cs"/>
          <w:rtl/>
        </w:rPr>
        <w:t xml:space="preserve">לא </w:t>
      </w:r>
      <w:bookmarkStart w:id="62974" w:name="_ETM_Q114_195360"/>
      <w:bookmarkEnd w:id="62974"/>
      <w:r>
        <w:rPr>
          <w:rFonts w:hint="cs"/>
          <w:rtl/>
        </w:rPr>
        <w:t xml:space="preserve">יכול </w:t>
      </w:r>
      <w:bookmarkStart w:id="62975" w:name="_ETM_Q114_195570"/>
      <w:bookmarkEnd w:id="62975"/>
      <w:r>
        <w:rPr>
          <w:rFonts w:hint="cs"/>
          <w:rtl/>
        </w:rPr>
        <w:t xml:space="preserve">להיות </w:t>
      </w:r>
      <w:bookmarkStart w:id="62976" w:name="_ETM_Q114_195750"/>
      <w:bookmarkEnd w:id="62976"/>
      <w:r>
        <w:rPr>
          <w:rFonts w:hint="cs"/>
          <w:rtl/>
        </w:rPr>
        <w:t xml:space="preserve">שאחרי תשעה חודשים </w:t>
      </w:r>
      <w:bookmarkStart w:id="62977" w:name="_ETM_Q114_197483"/>
      <w:bookmarkEnd w:id="62977"/>
      <w:r>
        <w:rPr>
          <w:rFonts w:hint="cs"/>
          <w:rtl/>
        </w:rPr>
        <w:t xml:space="preserve">של מס – </w:t>
      </w:r>
      <w:r w:rsidR="00924280">
        <w:rPr>
          <w:rFonts w:hint="cs"/>
          <w:rtl/>
        </w:rPr>
        <w:t xml:space="preserve">אפילו </w:t>
      </w:r>
      <w:r>
        <w:rPr>
          <w:rFonts w:hint="cs"/>
          <w:rtl/>
        </w:rPr>
        <w:t xml:space="preserve">לא שנה – אחרי תשעה </w:t>
      </w:r>
      <w:bookmarkStart w:id="62978" w:name="_ETM_Q114_199489"/>
      <w:bookmarkEnd w:id="62978"/>
      <w:r>
        <w:rPr>
          <w:rFonts w:hint="cs"/>
          <w:rtl/>
        </w:rPr>
        <w:t xml:space="preserve">חודשים </w:t>
      </w:r>
      <w:bookmarkStart w:id="62979" w:name="_ETM_Q114_196050"/>
      <w:bookmarkStart w:id="62980" w:name="_ETM_Q114_196230"/>
      <w:bookmarkStart w:id="62981" w:name="_ETM_Q114_196529"/>
      <w:bookmarkStart w:id="62982" w:name="_ETM_Q114_196949"/>
      <w:bookmarkStart w:id="62983" w:name="_ETM_Q114_197369"/>
      <w:bookmarkStart w:id="62984" w:name="_ETM_Q114_197489"/>
      <w:bookmarkStart w:id="62985" w:name="_ETM_Q114_197579"/>
      <w:bookmarkStart w:id="62986" w:name="_ETM_Q114_197820"/>
      <w:bookmarkStart w:id="62987" w:name="_ETM_Q114_198180"/>
      <w:bookmarkStart w:id="62988" w:name="_ETM_Q114_198449"/>
      <w:bookmarkStart w:id="62989" w:name="_ETM_Q114_198779"/>
      <w:bookmarkStart w:id="62990" w:name="_ETM_Q114_199199"/>
      <w:bookmarkEnd w:id="62979"/>
      <w:bookmarkEnd w:id="62980"/>
      <w:bookmarkEnd w:id="62981"/>
      <w:bookmarkEnd w:id="62982"/>
      <w:bookmarkEnd w:id="62983"/>
      <w:bookmarkEnd w:id="62984"/>
      <w:bookmarkEnd w:id="62985"/>
      <w:bookmarkEnd w:id="62986"/>
      <w:bookmarkEnd w:id="62987"/>
      <w:bookmarkEnd w:id="62988"/>
      <w:bookmarkEnd w:id="62989"/>
      <w:bookmarkEnd w:id="62990"/>
      <w:r>
        <w:rPr>
          <w:rFonts w:hint="cs"/>
          <w:rtl/>
        </w:rPr>
        <w:t>שהמס עלה אפקטיבית</w:t>
      </w:r>
      <w:bookmarkStart w:id="62991" w:name="_ETM_Q114_200460"/>
      <w:bookmarkEnd w:id="62991"/>
      <w:r>
        <w:rPr>
          <w:rFonts w:hint="cs"/>
          <w:rtl/>
        </w:rPr>
        <w:t xml:space="preserve">, </w:t>
      </w:r>
      <w:bookmarkStart w:id="62992" w:name="_ETM_Q114_201239"/>
      <w:bookmarkEnd w:id="62992"/>
      <w:r>
        <w:rPr>
          <w:rFonts w:hint="cs"/>
          <w:rtl/>
        </w:rPr>
        <w:t xml:space="preserve">אתה </w:t>
      </w:r>
      <w:bookmarkStart w:id="62993" w:name="_ETM_Q114_201539"/>
      <w:bookmarkEnd w:id="62993"/>
      <w:r>
        <w:rPr>
          <w:rFonts w:hint="cs"/>
          <w:rtl/>
        </w:rPr>
        <w:t xml:space="preserve">בא </w:t>
      </w:r>
      <w:bookmarkStart w:id="62994" w:name="_ETM_Q114_201720"/>
      <w:bookmarkEnd w:id="62994"/>
      <w:r>
        <w:rPr>
          <w:rFonts w:hint="cs"/>
          <w:rtl/>
        </w:rPr>
        <w:t xml:space="preserve">ואומר: </w:t>
      </w:r>
      <w:bookmarkStart w:id="62995" w:name="_ETM_Q114_202020"/>
      <w:bookmarkEnd w:id="62995"/>
      <w:r>
        <w:rPr>
          <w:rFonts w:hint="cs"/>
          <w:rtl/>
        </w:rPr>
        <w:t xml:space="preserve">עכשיו </w:t>
      </w:r>
      <w:bookmarkStart w:id="62996" w:name="_ETM_Q114_202260"/>
      <w:bookmarkEnd w:id="62996"/>
      <w:r>
        <w:rPr>
          <w:rFonts w:hint="cs"/>
          <w:rtl/>
        </w:rPr>
        <w:t xml:space="preserve">אני </w:t>
      </w:r>
      <w:bookmarkStart w:id="62997" w:name="_ETM_Q114_202410"/>
      <w:bookmarkEnd w:id="62997"/>
      <w:r>
        <w:rPr>
          <w:rFonts w:hint="cs"/>
          <w:rtl/>
        </w:rPr>
        <w:t xml:space="preserve">מקיש </w:t>
      </w:r>
      <w:bookmarkStart w:id="62998" w:name="_ETM_Q114_202710"/>
      <w:bookmarkEnd w:id="62998"/>
      <w:r>
        <w:rPr>
          <w:rFonts w:hint="cs"/>
          <w:rtl/>
        </w:rPr>
        <w:t xml:space="preserve">מזה </w:t>
      </w:r>
      <w:bookmarkStart w:id="62999" w:name="_ETM_Q114_203099"/>
      <w:bookmarkEnd w:id="62999"/>
      <w:r>
        <w:rPr>
          <w:rFonts w:hint="cs"/>
          <w:rtl/>
        </w:rPr>
        <w:t xml:space="preserve">לכל </w:t>
      </w:r>
      <w:bookmarkStart w:id="63000" w:name="_ETM_Q114_203430"/>
      <w:bookmarkEnd w:id="63000"/>
      <w:r>
        <w:rPr>
          <w:rFonts w:hint="cs"/>
          <w:rtl/>
        </w:rPr>
        <w:t xml:space="preserve">האירוע. </w:t>
      </w:r>
      <w:bookmarkStart w:id="63001" w:name="_ETM_Q114_204239"/>
      <w:bookmarkEnd w:id="63001"/>
      <w:r>
        <w:rPr>
          <w:rFonts w:hint="cs"/>
          <w:rtl/>
        </w:rPr>
        <w:t xml:space="preserve">לא </w:t>
      </w:r>
      <w:bookmarkStart w:id="63002" w:name="_ETM_Q114_204419"/>
      <w:bookmarkEnd w:id="63002"/>
      <w:r>
        <w:rPr>
          <w:rFonts w:hint="cs"/>
          <w:rtl/>
        </w:rPr>
        <w:t xml:space="preserve">יכול </w:t>
      </w:r>
      <w:bookmarkStart w:id="63003" w:name="_ETM_Q114_204569"/>
      <w:bookmarkEnd w:id="63003"/>
      <w:r>
        <w:rPr>
          <w:rFonts w:hint="cs"/>
          <w:rtl/>
        </w:rPr>
        <w:t xml:space="preserve">להיות </w:t>
      </w:r>
      <w:bookmarkStart w:id="63004" w:name="_ETM_Q114_204720"/>
      <w:bookmarkEnd w:id="63004"/>
      <w:r>
        <w:rPr>
          <w:rFonts w:hint="cs"/>
          <w:rtl/>
        </w:rPr>
        <w:t xml:space="preserve">שאתה </w:t>
      </w:r>
      <w:bookmarkStart w:id="63005" w:name="_ETM_Q114_204899"/>
      <w:bookmarkEnd w:id="63005"/>
      <w:r>
        <w:rPr>
          <w:rFonts w:hint="cs"/>
          <w:rtl/>
        </w:rPr>
        <w:t xml:space="preserve">משנה </w:t>
      </w:r>
      <w:bookmarkStart w:id="63006" w:name="_ETM_Q114_205289"/>
      <w:bookmarkEnd w:id="63006"/>
      <w:r>
        <w:rPr>
          <w:rFonts w:hint="cs"/>
          <w:rtl/>
        </w:rPr>
        <w:t xml:space="preserve">תופעה </w:t>
      </w:r>
      <w:bookmarkStart w:id="63007" w:name="_ETM_Q114_205649"/>
      <w:bookmarkEnd w:id="63007"/>
      <w:r>
        <w:rPr>
          <w:rFonts w:hint="cs"/>
          <w:rtl/>
        </w:rPr>
        <w:t xml:space="preserve">חברתית </w:t>
      </w:r>
      <w:bookmarkStart w:id="63008" w:name="_ETM_Q114_206750"/>
      <w:bookmarkEnd w:id="63008"/>
      <w:r>
        <w:rPr>
          <w:rFonts w:hint="cs"/>
          <w:rtl/>
        </w:rPr>
        <w:t xml:space="preserve">כמו </w:t>
      </w:r>
      <w:bookmarkStart w:id="63009" w:name="_ETM_Q114_207830"/>
      <w:bookmarkEnd w:id="63009"/>
      <w:r>
        <w:rPr>
          <w:rFonts w:hint="cs"/>
          <w:rtl/>
        </w:rPr>
        <w:t xml:space="preserve">התפשטות </w:t>
      </w:r>
      <w:bookmarkStart w:id="63010" w:name="_ETM_Q114_208640"/>
      <w:bookmarkEnd w:id="63010"/>
      <w:r>
        <w:rPr>
          <w:rFonts w:hint="cs"/>
          <w:rtl/>
        </w:rPr>
        <w:t xml:space="preserve">או </w:t>
      </w:r>
      <w:bookmarkStart w:id="63011" w:name="_ETM_Q114_208910"/>
      <w:bookmarkEnd w:id="63011"/>
      <w:r>
        <w:rPr>
          <w:rFonts w:hint="cs"/>
          <w:rtl/>
        </w:rPr>
        <w:t xml:space="preserve">שימוש, </w:t>
      </w:r>
      <w:bookmarkStart w:id="63012" w:name="_ETM_Q114_209929"/>
      <w:bookmarkEnd w:id="63012"/>
      <w:r>
        <w:rPr>
          <w:rFonts w:hint="cs"/>
          <w:rtl/>
        </w:rPr>
        <w:t xml:space="preserve">שתייה </w:t>
      </w:r>
      <w:bookmarkStart w:id="63013" w:name="_ETM_Q114_210199"/>
      <w:bookmarkEnd w:id="63013"/>
      <w:r>
        <w:rPr>
          <w:rFonts w:hint="cs"/>
          <w:rtl/>
        </w:rPr>
        <w:t xml:space="preserve">מתוקה – </w:t>
      </w:r>
      <w:bookmarkStart w:id="63014" w:name="_ETM_Q114_210859"/>
      <w:bookmarkEnd w:id="63014"/>
      <w:r>
        <w:rPr>
          <w:rFonts w:hint="cs"/>
          <w:rtl/>
        </w:rPr>
        <w:t xml:space="preserve">כל </w:t>
      </w:r>
      <w:bookmarkStart w:id="63015" w:name="_ETM_Q114_211279"/>
      <w:bookmarkEnd w:id="63015"/>
      <w:r>
        <w:rPr>
          <w:rFonts w:hint="cs"/>
          <w:rtl/>
        </w:rPr>
        <w:t xml:space="preserve">המתוקים </w:t>
      </w:r>
      <w:bookmarkStart w:id="63016" w:name="_ETM_Q114_211759"/>
      <w:bookmarkEnd w:id="63016"/>
      <w:r>
        <w:rPr>
          <w:rFonts w:hint="cs"/>
          <w:rtl/>
        </w:rPr>
        <w:t xml:space="preserve">שהולכים </w:t>
      </w:r>
      <w:bookmarkStart w:id="63017" w:name="_ETM_Q114_212510"/>
      <w:bookmarkEnd w:id="63017"/>
      <w:r>
        <w:rPr>
          <w:rFonts w:hint="cs"/>
          <w:rtl/>
        </w:rPr>
        <w:t xml:space="preserve">לילדי </w:t>
      </w:r>
      <w:bookmarkStart w:id="63018" w:name="_ETM_Q114_212930"/>
      <w:bookmarkEnd w:id="63018"/>
      <w:r>
        <w:rPr>
          <w:rFonts w:hint="cs"/>
          <w:rtl/>
        </w:rPr>
        <w:t xml:space="preserve">וילדות </w:t>
      </w:r>
      <w:bookmarkStart w:id="63019" w:name="_ETM_Q114_213290"/>
      <w:bookmarkEnd w:id="63019"/>
      <w:r>
        <w:rPr>
          <w:rFonts w:hint="cs"/>
          <w:rtl/>
        </w:rPr>
        <w:t xml:space="preserve">ישראל </w:t>
      </w:r>
      <w:bookmarkStart w:id="63020" w:name="_ETM_Q114_213620"/>
      <w:bookmarkEnd w:id="63020"/>
      <w:r>
        <w:rPr>
          <w:rFonts w:hint="cs"/>
          <w:rtl/>
        </w:rPr>
        <w:t xml:space="preserve">היום – ואחרי תשעה </w:t>
      </w:r>
      <w:bookmarkStart w:id="63021" w:name="_ETM_Q114_213770"/>
      <w:bookmarkStart w:id="63022" w:name="_ETM_Q114_214010"/>
      <w:bookmarkStart w:id="63023" w:name="_ETM_Q114_214220"/>
      <w:bookmarkEnd w:id="63021"/>
      <w:bookmarkEnd w:id="63022"/>
      <w:bookmarkEnd w:id="63023"/>
      <w:r>
        <w:rPr>
          <w:rFonts w:hint="cs"/>
          <w:rtl/>
        </w:rPr>
        <w:t xml:space="preserve">חודשים </w:t>
      </w:r>
      <w:bookmarkStart w:id="63024" w:name="_ETM_Q114_214550"/>
      <w:bookmarkEnd w:id="63024"/>
      <w:r>
        <w:rPr>
          <w:rFonts w:hint="cs"/>
          <w:rtl/>
        </w:rPr>
        <w:t>אתה בא ו</w:t>
      </w:r>
      <w:r w:rsidR="00924280">
        <w:rPr>
          <w:rFonts w:hint="cs"/>
          <w:rtl/>
        </w:rPr>
        <w:t xml:space="preserve">בודק </w:t>
      </w:r>
      <w:r>
        <w:rPr>
          <w:rFonts w:hint="cs"/>
          <w:rtl/>
        </w:rPr>
        <w:t xml:space="preserve">אם </w:t>
      </w:r>
      <w:bookmarkStart w:id="63025" w:name="_ETM_Q114_215991"/>
      <w:bookmarkEnd w:id="63025"/>
      <w:r>
        <w:rPr>
          <w:rFonts w:hint="cs"/>
          <w:rtl/>
        </w:rPr>
        <w:t>הצליח או לא הצליח</w:t>
      </w:r>
      <w:r w:rsidR="00924280">
        <w:rPr>
          <w:rFonts w:hint="cs"/>
          <w:rtl/>
        </w:rPr>
        <w:t>, ו</w:t>
      </w:r>
      <w:r>
        <w:rPr>
          <w:rFonts w:hint="cs"/>
          <w:rtl/>
        </w:rPr>
        <w:t>אגב</w:t>
      </w:r>
      <w:r w:rsidR="00924280">
        <w:rPr>
          <w:rFonts w:hint="cs"/>
          <w:rtl/>
        </w:rPr>
        <w:t>,</w:t>
      </w:r>
      <w:r>
        <w:rPr>
          <w:rFonts w:hint="cs"/>
          <w:rtl/>
        </w:rPr>
        <w:t xml:space="preserve"> לטובה ולרעה.</w:t>
      </w:r>
      <w:bookmarkStart w:id="63026" w:name="_ETM_Q114_220213"/>
      <w:bookmarkStart w:id="63027" w:name="_ETM_Q114_220250"/>
      <w:bookmarkStart w:id="63028" w:name="_ETM_Q114_220397"/>
      <w:bookmarkStart w:id="63029" w:name="_ETM_Q114_220428"/>
      <w:bookmarkEnd w:id="63026"/>
      <w:bookmarkEnd w:id="63027"/>
      <w:bookmarkEnd w:id="63028"/>
      <w:bookmarkEnd w:id="63029"/>
      <w:r w:rsidR="00924280">
        <w:rPr>
          <w:rFonts w:hint="cs"/>
          <w:rtl/>
        </w:rPr>
        <w:t xml:space="preserve"> </w:t>
      </w:r>
      <w:r>
        <w:rPr>
          <w:rFonts w:hint="cs"/>
          <w:rtl/>
        </w:rPr>
        <w:t xml:space="preserve">בשום דבר מקצועי </w:t>
      </w:r>
      <w:bookmarkStart w:id="63030" w:name="_ETM_Q114_214760"/>
      <w:bookmarkStart w:id="63031" w:name="_ETM_Q114_215030"/>
      <w:bookmarkStart w:id="63032" w:name="_ETM_Q114_215360"/>
      <w:bookmarkStart w:id="63033" w:name="_ETM_Q114_215479"/>
      <w:bookmarkStart w:id="63034" w:name="_ETM_Q114_216140"/>
      <w:bookmarkStart w:id="63035" w:name="_ETM_Q114_216379"/>
      <w:bookmarkStart w:id="63036" w:name="_ETM_Q114_216710"/>
      <w:bookmarkStart w:id="63037" w:name="_ETM_Q114_217760"/>
      <w:bookmarkStart w:id="63038" w:name="_ETM_Q114_218360"/>
      <w:bookmarkStart w:id="63039" w:name="_ETM_Q114_218720"/>
      <w:bookmarkEnd w:id="63030"/>
      <w:bookmarkEnd w:id="63031"/>
      <w:bookmarkEnd w:id="63032"/>
      <w:bookmarkEnd w:id="63033"/>
      <w:bookmarkEnd w:id="63034"/>
      <w:bookmarkEnd w:id="63035"/>
      <w:bookmarkEnd w:id="63036"/>
      <w:bookmarkEnd w:id="63037"/>
      <w:bookmarkEnd w:id="63038"/>
      <w:bookmarkEnd w:id="63039"/>
      <w:r>
        <w:rPr>
          <w:rFonts w:hint="cs"/>
          <w:rtl/>
        </w:rPr>
        <w:t xml:space="preserve">בעולם </w:t>
      </w:r>
      <w:bookmarkStart w:id="63040" w:name="_ETM_Q114_221615"/>
      <w:bookmarkEnd w:id="63040"/>
      <w:r>
        <w:rPr>
          <w:rFonts w:hint="cs"/>
          <w:rtl/>
        </w:rPr>
        <w:t xml:space="preserve">לא תעשה את זה. אתה לא תשנה את החוק </w:t>
      </w:r>
      <w:bookmarkStart w:id="63041" w:name="_ETM_Q114_224378"/>
      <w:bookmarkEnd w:id="63041"/>
      <w:r>
        <w:rPr>
          <w:rFonts w:hint="cs"/>
          <w:rtl/>
        </w:rPr>
        <w:t xml:space="preserve">עכשיו – סתם אני אומר, נגיד קרן הארנונה – ואנחנו </w:t>
      </w:r>
      <w:bookmarkStart w:id="63042" w:name="_ETM_Q114_227288"/>
      <w:bookmarkEnd w:id="63042"/>
      <w:r>
        <w:rPr>
          <w:rFonts w:hint="cs"/>
          <w:rtl/>
        </w:rPr>
        <w:t xml:space="preserve">נבוא אחרי חצי שנה, שבעה חודשים, ונגיד אם הצליח </w:t>
      </w:r>
      <w:bookmarkStart w:id="63043" w:name="_ETM_Q114_228960"/>
      <w:bookmarkEnd w:id="63043"/>
      <w:r>
        <w:rPr>
          <w:rFonts w:hint="cs"/>
          <w:rtl/>
        </w:rPr>
        <w:t xml:space="preserve">או לא הצליח, ולפי זה עכשיו נקבע אם </w:t>
      </w:r>
      <w:bookmarkStart w:id="63044" w:name="_ETM_Q114_230219"/>
      <w:bookmarkEnd w:id="63044"/>
      <w:r>
        <w:rPr>
          <w:rFonts w:hint="cs"/>
          <w:rtl/>
        </w:rPr>
        <w:t xml:space="preserve">יש </w:t>
      </w:r>
      <w:bookmarkStart w:id="63045" w:name="_ETM_Q114_230489"/>
      <w:bookmarkEnd w:id="63045"/>
      <w:r>
        <w:rPr>
          <w:rFonts w:hint="cs"/>
          <w:rtl/>
        </w:rPr>
        <w:t xml:space="preserve">אפקטיביות </w:t>
      </w:r>
      <w:bookmarkStart w:id="63046" w:name="_ETM_Q114_231179"/>
      <w:bookmarkEnd w:id="63046"/>
      <w:r>
        <w:rPr>
          <w:rFonts w:hint="cs"/>
          <w:rtl/>
        </w:rPr>
        <w:t xml:space="preserve">בשינוי </w:t>
      </w:r>
      <w:bookmarkStart w:id="63047" w:name="_ETM_Q114_231749"/>
      <w:bookmarkEnd w:id="63047"/>
      <w:r>
        <w:rPr>
          <w:rFonts w:hint="cs"/>
          <w:rtl/>
        </w:rPr>
        <w:t xml:space="preserve">שעשינו. </w:t>
      </w:r>
      <w:bookmarkStart w:id="63048" w:name="_ETM_Q114_232469"/>
      <w:bookmarkEnd w:id="63048"/>
      <w:r>
        <w:rPr>
          <w:rFonts w:hint="cs"/>
          <w:rtl/>
        </w:rPr>
        <w:t xml:space="preserve">אתה </w:t>
      </w:r>
      <w:bookmarkStart w:id="63049" w:name="_ETM_Q114_232649"/>
      <w:bookmarkEnd w:id="63049"/>
      <w:r>
        <w:rPr>
          <w:rFonts w:hint="cs"/>
          <w:rtl/>
        </w:rPr>
        <w:t xml:space="preserve">מסכים </w:t>
      </w:r>
      <w:bookmarkStart w:id="63050" w:name="_ETM_Q114_232949"/>
      <w:bookmarkEnd w:id="63050"/>
      <w:r>
        <w:rPr>
          <w:rFonts w:hint="cs"/>
          <w:rtl/>
        </w:rPr>
        <w:t>איתי?</w:t>
      </w:r>
    </w:p>
    <w:p w:rsidR="00BB59CD" w:rsidRDefault="00BB59CD" w:rsidP="00BB59CD">
      <w:pPr>
        <w:rPr>
          <w:rtl/>
        </w:rPr>
      </w:pPr>
      <w:bookmarkStart w:id="63051" w:name="_ETM_Q114_235110"/>
      <w:bookmarkStart w:id="63052" w:name="_ETM_Q114_235148"/>
      <w:bookmarkEnd w:id="63051"/>
      <w:bookmarkEnd w:id="6305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3053" w:name="_ETM_Q114_236372"/>
      <w:bookmarkEnd w:id="63053"/>
      <w:r>
        <w:rPr>
          <w:rFonts w:hint="cs"/>
          <w:rtl/>
        </w:rPr>
        <w:t>נקרא</w:t>
      </w:r>
      <w:bookmarkStart w:id="63054" w:name="_ETM_Q114_237614"/>
      <w:bookmarkEnd w:id="63054"/>
      <w:r>
        <w:rPr>
          <w:rFonts w:hint="cs"/>
          <w:rtl/>
        </w:rPr>
        <w:t xml:space="preserve"> לזה הפוך. האפקט של הירידה בצריכה היה צריך להיות בהתחלה.</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3055" w:name="_ETM_Q114_241668"/>
      <w:bookmarkEnd w:id="63055"/>
      <w:r>
        <w:rPr>
          <w:rFonts w:hint="cs"/>
          <w:rtl/>
        </w:rPr>
        <w:t>צרכו</w:t>
      </w:r>
      <w:bookmarkStart w:id="63056" w:name="_ETM_Q114_242759"/>
      <w:bookmarkEnd w:id="63056"/>
      <w:r>
        <w:rPr>
          <w:rFonts w:hint="cs"/>
          <w:rtl/>
        </w:rPr>
        <w:t xml:space="preserve"> פחות.</w:t>
      </w:r>
      <w:r w:rsidR="00924280">
        <w:rPr>
          <w:rFonts w:hint="cs"/>
          <w:rtl/>
        </w:rPr>
        <w:t xml:space="preserve"> צרכו פחות. </w:t>
      </w:r>
    </w:p>
    <w:p w:rsidR="00BB59CD" w:rsidRDefault="00BB59CD" w:rsidP="00BB59CD">
      <w:pPr>
        <w:rPr>
          <w:rtl/>
        </w:rPr>
      </w:pPr>
      <w:bookmarkStart w:id="63057" w:name="_ETM_Q114_244183"/>
      <w:bookmarkStart w:id="63058" w:name="_ETM_Q114_244218"/>
      <w:bookmarkEnd w:id="63057"/>
      <w:bookmarkEnd w:id="63058"/>
    </w:p>
    <w:p w:rsidR="00BB59CD" w:rsidRDefault="00BB59CD" w:rsidP="00BB59CD">
      <w:pPr>
        <w:pStyle w:val="af9"/>
        <w:keepNext/>
        <w:rPr>
          <w:rtl/>
        </w:rPr>
      </w:pPr>
      <w:bookmarkStart w:id="63059" w:name="_ETM_Q114_244649"/>
      <w:bookmarkStart w:id="63060" w:name="_ETM_Q114_244680"/>
      <w:bookmarkEnd w:id="63059"/>
      <w:bookmarkEnd w:id="6306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924280" w:rsidP="00BB59CD">
      <w:pPr>
        <w:rPr>
          <w:rtl/>
        </w:rPr>
      </w:pPr>
      <w:bookmarkStart w:id="63061" w:name="_ETM_Q114_245488"/>
      <w:bookmarkEnd w:id="63061"/>
      <w:r>
        <w:rPr>
          <w:rFonts w:hint="cs"/>
          <w:rtl/>
        </w:rPr>
        <w:t xml:space="preserve">לא. </w:t>
      </w:r>
      <w:r w:rsidR="00BB59CD">
        <w:rPr>
          <w:rFonts w:hint="cs"/>
          <w:rtl/>
        </w:rPr>
        <w:t xml:space="preserve">ואם כבר אנשים התרגלו במשך השנה לשלם מס, זה </w:t>
      </w:r>
      <w:bookmarkStart w:id="63062" w:name="_ETM_Q114_246981"/>
      <w:bookmarkEnd w:id="63062"/>
      <w:r w:rsidR="00BB59CD">
        <w:rPr>
          <w:rFonts w:hint="cs"/>
          <w:rtl/>
        </w:rPr>
        <w:t>אומר שגמרנו, קיבלו את זה כחלק מההוצאה שלהם.</w:t>
      </w:r>
      <w:bookmarkStart w:id="63063" w:name="_ETM_Q114_250006"/>
      <w:bookmarkEnd w:id="63063"/>
    </w:p>
    <w:p w:rsidR="00BB59CD" w:rsidRDefault="00BB59CD" w:rsidP="00BB59CD">
      <w:pPr>
        <w:rPr>
          <w:rtl/>
        </w:rPr>
      </w:pPr>
      <w:bookmarkStart w:id="63064" w:name="_ETM_Q114_250055"/>
      <w:bookmarkEnd w:id="63064"/>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3065" w:name="_ETM_Q114_249346"/>
      <w:bookmarkEnd w:id="63065"/>
      <w:r>
        <w:rPr>
          <w:rFonts w:hint="cs"/>
          <w:rtl/>
        </w:rPr>
        <w:t xml:space="preserve">לא. לא. אדוני היושב-ראש, </w:t>
      </w:r>
      <w:bookmarkStart w:id="63066" w:name="_ETM_Q114_250883"/>
      <w:bookmarkEnd w:id="63066"/>
      <w:r>
        <w:rPr>
          <w:rFonts w:hint="cs"/>
          <w:rtl/>
        </w:rPr>
        <w:t>צרכו פחות. לא ראית שינויים משמעותיים, בטח לא -</w:t>
      </w:r>
      <w:bookmarkStart w:id="63067" w:name="_ETM_Q114_258195"/>
      <w:bookmarkEnd w:id="63067"/>
      <w:r>
        <w:rPr>
          <w:rFonts w:hint="cs"/>
          <w:rtl/>
        </w:rPr>
        <w:t xml:space="preserve"> - -</w:t>
      </w:r>
    </w:p>
    <w:p w:rsidR="00BB59CD" w:rsidRDefault="00BB59CD" w:rsidP="00BB59CD">
      <w:pPr>
        <w:rPr>
          <w:rtl/>
        </w:rPr>
      </w:pPr>
      <w:bookmarkStart w:id="63068" w:name="_ETM_Q114_256847"/>
      <w:bookmarkStart w:id="63069" w:name="_ETM_Q114_256890"/>
      <w:bookmarkEnd w:id="63068"/>
      <w:bookmarkEnd w:id="63069"/>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3070" w:name="_ETM_Q114_257433"/>
      <w:bookmarkEnd w:id="63070"/>
      <w:r>
        <w:rPr>
          <w:rFonts w:hint="cs"/>
          <w:rtl/>
        </w:rPr>
        <w:t xml:space="preserve">אגב, אני חושב שמה שמרתיע יותר בשתייה מתוקה </w:t>
      </w:r>
      <w:bookmarkStart w:id="63071" w:name="_ETM_Q114_260407"/>
      <w:bookmarkEnd w:id="63071"/>
      <w:r>
        <w:rPr>
          <w:rFonts w:hint="cs"/>
          <w:rtl/>
        </w:rPr>
        <w:t>זה למשל סימונים. הם הרבה יותר אפקטיביים מהמס.</w:t>
      </w:r>
    </w:p>
    <w:p w:rsidR="00BB59CD" w:rsidRDefault="00BB59CD" w:rsidP="00BB59CD">
      <w:pPr>
        <w:rPr>
          <w:rtl/>
        </w:rPr>
      </w:pPr>
      <w:bookmarkStart w:id="63072" w:name="_ETM_Q114_262897"/>
      <w:bookmarkStart w:id="63073" w:name="_ETM_Q114_262932"/>
      <w:bookmarkEnd w:id="63072"/>
      <w:bookmarkEnd w:id="63073"/>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3074" w:name="_ETM_Q114_264248"/>
      <w:bookmarkEnd w:id="63074"/>
      <w:r>
        <w:rPr>
          <w:rFonts w:hint="cs"/>
          <w:rtl/>
        </w:rPr>
        <w:t xml:space="preserve">אבל זה לא </w:t>
      </w:r>
      <w:bookmarkStart w:id="63075" w:name="_ETM_Q114_263658"/>
      <w:bookmarkEnd w:id="63075"/>
      <w:r>
        <w:rPr>
          <w:rFonts w:hint="cs"/>
          <w:rtl/>
        </w:rPr>
        <w:t>עובד. הסימונים קיימים יחסית הרבה מאוד זמן. זה לא עובד.</w:t>
      </w:r>
    </w:p>
    <w:p w:rsidR="00BB59CD" w:rsidRDefault="00BB59CD" w:rsidP="00BB59CD">
      <w:pPr>
        <w:rPr>
          <w:rtl/>
        </w:rPr>
      </w:pPr>
      <w:bookmarkStart w:id="63076" w:name="_ETM_Q114_266973"/>
      <w:bookmarkStart w:id="63077" w:name="_ETM_Q114_267008"/>
      <w:bookmarkEnd w:id="63076"/>
      <w:bookmarkEnd w:id="63077"/>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3078" w:name="_ETM_Q114_268350"/>
      <w:bookmarkEnd w:id="63078"/>
      <w:r>
        <w:rPr>
          <w:rFonts w:hint="cs"/>
          <w:rtl/>
        </w:rPr>
        <w:t xml:space="preserve">עובד. </w:t>
      </w:r>
      <w:bookmarkStart w:id="63079" w:name="_ETM_Q114_269461"/>
      <w:bookmarkEnd w:id="63079"/>
      <w:r>
        <w:rPr>
          <w:rFonts w:hint="cs"/>
          <w:rtl/>
        </w:rPr>
        <w:t>אנחנו לא מכניסים לבית דברים - - -</w:t>
      </w:r>
      <w:bookmarkStart w:id="63080" w:name="_ETM_Q114_270335"/>
      <w:bookmarkEnd w:id="63080"/>
    </w:p>
    <w:p w:rsidR="00BB59CD" w:rsidRDefault="00BB59CD" w:rsidP="00BB59CD">
      <w:pPr>
        <w:rPr>
          <w:rtl/>
        </w:rPr>
      </w:pPr>
      <w:bookmarkStart w:id="63081" w:name="_ETM_Q114_270374"/>
      <w:bookmarkEnd w:id="63081"/>
    </w:p>
    <w:p w:rsidR="00BB59CD" w:rsidRDefault="00BB59CD" w:rsidP="00BB59CD">
      <w:pPr>
        <w:pStyle w:val="-"/>
        <w:keepNext/>
        <w:rPr>
          <w:rtl/>
        </w:rPr>
      </w:pPr>
      <w:bookmarkStart w:id="63082" w:name="ET_speakercontinue_6361_1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082"/>
    </w:p>
    <w:p w:rsidR="00BB59CD" w:rsidRDefault="00BB59CD" w:rsidP="00337201">
      <w:pPr>
        <w:rPr>
          <w:rtl/>
        </w:rPr>
      </w:pPr>
    </w:p>
    <w:p w:rsidR="00BB59CD" w:rsidRDefault="00BB59CD" w:rsidP="00924280">
      <w:pPr>
        <w:rPr>
          <w:rtl/>
        </w:rPr>
      </w:pPr>
      <w:bookmarkStart w:id="63083" w:name="_ETM_Q114_271036"/>
      <w:bookmarkEnd w:id="63083"/>
      <w:r>
        <w:rPr>
          <w:rFonts w:hint="cs"/>
          <w:rtl/>
        </w:rPr>
        <w:t xml:space="preserve">בבקשה. אתה אומר </w:t>
      </w:r>
      <w:bookmarkStart w:id="63084" w:name="_ETM_Q114_273584"/>
      <w:bookmarkEnd w:id="63084"/>
      <w:r>
        <w:rPr>
          <w:rFonts w:hint="cs"/>
          <w:rtl/>
        </w:rPr>
        <w:t>שלא רציתם את המס, ביטלתם את גזרת השמיים הזאת. לא</w:t>
      </w:r>
      <w:bookmarkStart w:id="63085" w:name="_ETM_Q114_277571"/>
      <w:bookmarkEnd w:id="63085"/>
      <w:r>
        <w:rPr>
          <w:rFonts w:hint="cs"/>
          <w:rtl/>
        </w:rPr>
        <w:t xml:space="preserve"> יכול להיות שאחרי כמעט שמונה חודשים אין אף התייחסות לזה. </w:t>
      </w:r>
      <w:bookmarkStart w:id="63086" w:name="_ETM_Q114_281832"/>
      <w:bookmarkEnd w:id="63086"/>
      <w:r>
        <w:rPr>
          <w:rFonts w:hint="cs"/>
          <w:rtl/>
        </w:rPr>
        <w:t>ומה שלא יכול להיות זה שראש הממשלה יושב ומג</w:t>
      </w:r>
      <w:bookmarkStart w:id="63087" w:name="_ETM_Q114_287360"/>
      <w:bookmarkEnd w:id="63087"/>
      <w:r>
        <w:rPr>
          <w:rFonts w:hint="cs"/>
          <w:rtl/>
        </w:rPr>
        <w:t>לה את העסק בזה.</w:t>
      </w:r>
      <w:r w:rsidR="00924280">
        <w:rPr>
          <w:rFonts w:hint="cs"/>
          <w:rtl/>
        </w:rPr>
        <w:t xml:space="preserve"> </w:t>
      </w:r>
      <w:bookmarkStart w:id="63088" w:name="_ETM_Q114_290965"/>
      <w:bookmarkStart w:id="63089" w:name="_ETM_Q114_291328"/>
      <w:bookmarkStart w:id="63090" w:name="_ETM_Q114_291378"/>
      <w:bookmarkEnd w:id="63088"/>
      <w:bookmarkEnd w:id="63089"/>
      <w:bookmarkEnd w:id="63090"/>
      <w:r>
        <w:rPr>
          <w:rFonts w:hint="cs"/>
          <w:rtl/>
        </w:rPr>
        <w:t>זה ש</w:t>
      </w:r>
      <w:r w:rsidR="00924280">
        <w:rPr>
          <w:rFonts w:hint="cs"/>
          <w:rtl/>
        </w:rPr>
        <w:t xml:space="preserve">הוא </w:t>
      </w:r>
      <w:r>
        <w:rPr>
          <w:rFonts w:hint="cs"/>
          <w:rtl/>
        </w:rPr>
        <w:t xml:space="preserve">רואה מחלפים ולא רואה פקקים, זה </w:t>
      </w:r>
      <w:bookmarkStart w:id="63091" w:name="_ETM_Q114_295380"/>
      <w:bookmarkEnd w:id="63091"/>
      <w:r>
        <w:rPr>
          <w:rFonts w:hint="cs"/>
          <w:rtl/>
        </w:rPr>
        <w:t xml:space="preserve">כי הוא אף פעם לא עמד בפקק. 20 שנה הוא </w:t>
      </w:r>
      <w:bookmarkStart w:id="63092" w:name="_ETM_Q114_297881"/>
      <w:bookmarkEnd w:id="63092"/>
      <w:r>
        <w:rPr>
          <w:rFonts w:hint="cs"/>
          <w:rtl/>
        </w:rPr>
        <w:t xml:space="preserve">לא עומד בפקקים. איך הוא יראה פקקים? </w:t>
      </w:r>
      <w:bookmarkStart w:id="63093" w:name="_ETM_Q114_298663"/>
      <w:bookmarkStart w:id="63094" w:name="_ETM_Q114_298698"/>
      <w:bookmarkStart w:id="63095" w:name="_ETM_Q114_235302"/>
      <w:bookmarkStart w:id="63096" w:name="_ETM_Q114_235336"/>
      <w:bookmarkStart w:id="63097" w:name="_ETM_Q114_297490"/>
      <w:bookmarkStart w:id="63098" w:name="_ETM_Q114_297700"/>
      <w:bookmarkStart w:id="63099" w:name="_ETM_Q114_297819"/>
      <w:bookmarkStart w:id="63100" w:name="_ETM_Q114_297999"/>
      <w:bookmarkStart w:id="63101" w:name="_ETM_Q114_299469"/>
      <w:bookmarkEnd w:id="63093"/>
      <w:bookmarkEnd w:id="63094"/>
      <w:bookmarkEnd w:id="63095"/>
      <w:bookmarkEnd w:id="63096"/>
      <w:bookmarkEnd w:id="63097"/>
      <w:bookmarkEnd w:id="63098"/>
      <w:bookmarkEnd w:id="63099"/>
      <w:bookmarkEnd w:id="63100"/>
      <w:bookmarkEnd w:id="63101"/>
      <w:r>
        <w:rPr>
          <w:rFonts w:hint="cs"/>
          <w:rtl/>
        </w:rPr>
        <w:t xml:space="preserve">תשאל </w:t>
      </w:r>
      <w:bookmarkStart w:id="63102" w:name="_ETM_Q114_299799"/>
      <w:bookmarkEnd w:id="63102"/>
      <w:r>
        <w:rPr>
          <w:rFonts w:hint="cs"/>
          <w:rtl/>
        </w:rPr>
        <w:t xml:space="preserve">את </w:t>
      </w:r>
      <w:bookmarkStart w:id="63103" w:name="_ETM_Q114_299919"/>
      <w:bookmarkEnd w:id="63103"/>
      <w:r>
        <w:rPr>
          <w:rFonts w:hint="cs"/>
          <w:rtl/>
        </w:rPr>
        <w:t xml:space="preserve">ראש </w:t>
      </w:r>
      <w:bookmarkStart w:id="63104" w:name="_ETM_Q114_300130"/>
      <w:bookmarkEnd w:id="63104"/>
      <w:r>
        <w:rPr>
          <w:rFonts w:hint="cs"/>
          <w:rtl/>
        </w:rPr>
        <w:t xml:space="preserve">הממשלה </w:t>
      </w:r>
      <w:bookmarkStart w:id="63105" w:name="_ETM_Q114_300579"/>
      <w:bookmarkEnd w:id="63105"/>
      <w:r>
        <w:rPr>
          <w:rFonts w:hint="cs"/>
          <w:rtl/>
        </w:rPr>
        <w:t xml:space="preserve">היום </w:t>
      </w:r>
      <w:bookmarkStart w:id="63106" w:name="_ETM_Q114_300849"/>
      <w:bookmarkEnd w:id="63106"/>
      <w:r>
        <w:rPr>
          <w:rFonts w:hint="cs"/>
          <w:rtl/>
        </w:rPr>
        <w:t xml:space="preserve">מה </w:t>
      </w:r>
      <w:bookmarkStart w:id="63107" w:name="_ETM_Q114_300939"/>
      <w:bookmarkEnd w:id="63107"/>
      <w:r>
        <w:rPr>
          <w:rFonts w:hint="cs"/>
          <w:rtl/>
        </w:rPr>
        <w:t xml:space="preserve">זה </w:t>
      </w:r>
      <w:bookmarkStart w:id="63108" w:name="_ETM_Q114_301090"/>
      <w:bookmarkEnd w:id="63108"/>
      <w:r>
        <w:rPr>
          <w:rFonts w:hint="cs"/>
          <w:rtl/>
        </w:rPr>
        <w:t xml:space="preserve">פנגו, </w:t>
      </w:r>
      <w:bookmarkStart w:id="63109" w:name="_ETM_Q114_301810"/>
      <w:bookmarkEnd w:id="63109"/>
      <w:r>
        <w:rPr>
          <w:rFonts w:hint="cs"/>
          <w:rtl/>
        </w:rPr>
        <w:t xml:space="preserve">הוא </w:t>
      </w:r>
      <w:bookmarkStart w:id="63110" w:name="_ETM_Q114_301959"/>
      <w:bookmarkEnd w:id="63110"/>
      <w:r>
        <w:rPr>
          <w:rFonts w:hint="cs"/>
          <w:rtl/>
        </w:rPr>
        <w:t xml:space="preserve">לא </w:t>
      </w:r>
      <w:bookmarkStart w:id="63111" w:name="_ETM_Q114_302109"/>
      <w:bookmarkEnd w:id="63111"/>
      <w:r>
        <w:rPr>
          <w:rFonts w:hint="cs"/>
          <w:rtl/>
        </w:rPr>
        <w:t xml:space="preserve">יודע </w:t>
      </w:r>
      <w:bookmarkStart w:id="63112" w:name="_ETM_Q114_302349"/>
      <w:bookmarkEnd w:id="63112"/>
      <w:r>
        <w:rPr>
          <w:rFonts w:hint="cs"/>
          <w:rtl/>
        </w:rPr>
        <w:t xml:space="preserve">להגיד </w:t>
      </w:r>
      <w:bookmarkStart w:id="63113" w:name="_ETM_Q114_302709"/>
      <w:bookmarkEnd w:id="63113"/>
      <w:r>
        <w:rPr>
          <w:rFonts w:hint="cs"/>
          <w:rtl/>
        </w:rPr>
        <w:t xml:space="preserve">לך. </w:t>
      </w:r>
      <w:bookmarkStart w:id="63114" w:name="_ETM_Q114_303750"/>
      <w:bookmarkEnd w:id="63114"/>
      <w:r>
        <w:rPr>
          <w:rFonts w:hint="cs"/>
          <w:rtl/>
        </w:rPr>
        <w:t xml:space="preserve">הוא </w:t>
      </w:r>
      <w:bookmarkStart w:id="63115" w:name="_ETM_Q114_303900"/>
      <w:bookmarkEnd w:id="63115"/>
      <w:r>
        <w:rPr>
          <w:rFonts w:hint="cs"/>
          <w:rtl/>
        </w:rPr>
        <w:t xml:space="preserve">לא </w:t>
      </w:r>
      <w:bookmarkStart w:id="63116" w:name="_ETM_Q114_304020"/>
      <w:bookmarkEnd w:id="63116"/>
      <w:r>
        <w:rPr>
          <w:rFonts w:hint="cs"/>
          <w:rtl/>
        </w:rPr>
        <w:t xml:space="preserve">יודע </w:t>
      </w:r>
      <w:bookmarkStart w:id="63117" w:name="_ETM_Q114_304200"/>
      <w:bookmarkEnd w:id="63117"/>
      <w:r>
        <w:rPr>
          <w:rFonts w:hint="cs"/>
          <w:rtl/>
        </w:rPr>
        <w:t xml:space="preserve">להגיד </w:t>
      </w:r>
      <w:bookmarkStart w:id="63118" w:name="_ETM_Q114_304500"/>
      <w:bookmarkEnd w:id="63118"/>
      <w:r>
        <w:rPr>
          <w:rFonts w:hint="cs"/>
          <w:rtl/>
        </w:rPr>
        <w:t xml:space="preserve">מה </w:t>
      </w:r>
      <w:bookmarkStart w:id="63119" w:name="_ETM_Q114_304590"/>
      <w:bookmarkEnd w:id="63119"/>
      <w:r>
        <w:rPr>
          <w:rFonts w:hint="cs"/>
          <w:rtl/>
        </w:rPr>
        <w:t xml:space="preserve">זה </w:t>
      </w:r>
      <w:bookmarkStart w:id="63120" w:name="_ETM_Q114_304740"/>
      <w:bookmarkEnd w:id="63120"/>
      <w:r>
        <w:rPr>
          <w:rFonts w:hint="cs"/>
          <w:rtl/>
        </w:rPr>
        <w:t xml:space="preserve">פנגו, </w:t>
      </w:r>
      <w:bookmarkStart w:id="63121" w:name="_ETM_Q114_305159"/>
      <w:bookmarkEnd w:id="63121"/>
      <w:r>
        <w:rPr>
          <w:rFonts w:hint="cs"/>
          <w:rtl/>
        </w:rPr>
        <w:t xml:space="preserve">כי </w:t>
      </w:r>
      <w:bookmarkStart w:id="63122" w:name="_ETM_Q114_305280"/>
      <w:bookmarkEnd w:id="63122"/>
      <w:r>
        <w:rPr>
          <w:rFonts w:hint="cs"/>
          <w:rtl/>
        </w:rPr>
        <w:t xml:space="preserve">הוא </w:t>
      </w:r>
      <w:bookmarkStart w:id="63123" w:name="_ETM_Q114_305340"/>
      <w:bookmarkEnd w:id="63123"/>
      <w:r>
        <w:rPr>
          <w:rFonts w:hint="cs"/>
          <w:rtl/>
        </w:rPr>
        <w:t xml:space="preserve">לא </w:t>
      </w:r>
      <w:bookmarkStart w:id="63124" w:name="_ETM_Q114_305430"/>
      <w:bookmarkEnd w:id="63124"/>
      <w:r>
        <w:rPr>
          <w:rFonts w:hint="cs"/>
          <w:rtl/>
        </w:rPr>
        <w:t xml:space="preserve">משתמש </w:t>
      </w:r>
      <w:bookmarkStart w:id="63125" w:name="_ETM_Q114_305850"/>
      <w:bookmarkEnd w:id="63125"/>
      <w:r>
        <w:rPr>
          <w:rFonts w:hint="cs"/>
          <w:rtl/>
        </w:rPr>
        <w:t xml:space="preserve">בזה, </w:t>
      </w:r>
      <w:bookmarkStart w:id="63126" w:name="_ETM_Q114_306120"/>
      <w:bookmarkEnd w:id="63126"/>
      <w:r>
        <w:rPr>
          <w:rFonts w:hint="cs"/>
          <w:rtl/>
        </w:rPr>
        <w:t xml:space="preserve">הוא </w:t>
      </w:r>
      <w:bookmarkStart w:id="63127" w:name="_ETM_Q114_306180"/>
      <w:bookmarkEnd w:id="63127"/>
      <w:r>
        <w:rPr>
          <w:rFonts w:hint="cs"/>
          <w:rtl/>
        </w:rPr>
        <w:t xml:space="preserve">לא </w:t>
      </w:r>
      <w:bookmarkStart w:id="63128" w:name="_ETM_Q114_306330"/>
      <w:bookmarkEnd w:id="63128"/>
      <w:r>
        <w:rPr>
          <w:rFonts w:hint="cs"/>
          <w:rtl/>
        </w:rPr>
        <w:t xml:space="preserve">חיפש </w:t>
      </w:r>
      <w:bookmarkStart w:id="63129" w:name="_ETM_Q114_306659"/>
      <w:bookmarkEnd w:id="63129"/>
      <w:r>
        <w:rPr>
          <w:rFonts w:hint="cs"/>
          <w:rtl/>
        </w:rPr>
        <w:t xml:space="preserve">חניה </w:t>
      </w:r>
      <w:bookmarkStart w:id="63130" w:name="_ETM_Q114_307020"/>
      <w:bookmarkEnd w:id="63130"/>
      <w:r>
        <w:rPr>
          <w:rFonts w:hint="cs"/>
          <w:rtl/>
        </w:rPr>
        <w:t xml:space="preserve">מעולם. </w:t>
      </w:r>
      <w:bookmarkStart w:id="63131" w:name="_ETM_Q114_307779"/>
      <w:bookmarkEnd w:id="63131"/>
      <w:r>
        <w:rPr>
          <w:rFonts w:hint="cs"/>
          <w:rtl/>
        </w:rPr>
        <w:t xml:space="preserve">למה </w:t>
      </w:r>
      <w:bookmarkStart w:id="63132" w:name="_ETM_Q114_308169"/>
      <w:bookmarkEnd w:id="63132"/>
      <w:r>
        <w:rPr>
          <w:rFonts w:hint="cs"/>
          <w:rtl/>
        </w:rPr>
        <w:t xml:space="preserve">שהוא </w:t>
      </w:r>
      <w:bookmarkStart w:id="63133" w:name="_ETM_Q114_308319"/>
      <w:bookmarkEnd w:id="63133"/>
      <w:r>
        <w:rPr>
          <w:rFonts w:hint="cs"/>
          <w:rtl/>
        </w:rPr>
        <w:t xml:space="preserve">ידע </w:t>
      </w:r>
      <w:bookmarkStart w:id="63134" w:name="_ETM_Q114_308560"/>
      <w:bookmarkEnd w:id="63134"/>
      <w:r>
        <w:rPr>
          <w:rFonts w:hint="cs"/>
          <w:rtl/>
        </w:rPr>
        <w:t xml:space="preserve">משהו? </w:t>
      </w:r>
      <w:bookmarkStart w:id="63135" w:name="_ETM_Q114_309639"/>
      <w:bookmarkEnd w:id="63135"/>
      <w:r>
        <w:rPr>
          <w:rFonts w:hint="cs"/>
          <w:rtl/>
        </w:rPr>
        <w:t xml:space="preserve">הוא </w:t>
      </w:r>
      <w:bookmarkStart w:id="63136" w:name="_ETM_Q114_309790"/>
      <w:bookmarkEnd w:id="63136"/>
      <w:r>
        <w:rPr>
          <w:rFonts w:hint="cs"/>
          <w:rtl/>
        </w:rPr>
        <w:t xml:space="preserve">הפך </w:t>
      </w:r>
      <w:bookmarkStart w:id="63137" w:name="_ETM_Q114_310209"/>
      <w:bookmarkEnd w:id="63137"/>
      <w:r>
        <w:rPr>
          <w:rFonts w:hint="cs"/>
          <w:rtl/>
        </w:rPr>
        <w:t xml:space="preserve">להיות </w:t>
      </w:r>
      <w:bookmarkStart w:id="63138" w:name="_ETM_Q114_310629"/>
      <w:bookmarkEnd w:id="63138"/>
      <w:r>
        <w:rPr>
          <w:rFonts w:hint="cs"/>
          <w:rtl/>
        </w:rPr>
        <w:t xml:space="preserve">פשוט </w:t>
      </w:r>
      <w:bookmarkStart w:id="63139" w:name="_ETM_Q114_310989"/>
      <w:bookmarkEnd w:id="63139"/>
      <w:r>
        <w:rPr>
          <w:rFonts w:hint="cs"/>
          <w:rtl/>
        </w:rPr>
        <w:t>מנותק.</w:t>
      </w:r>
      <w:r w:rsidR="00924280">
        <w:rPr>
          <w:rFonts w:hint="cs"/>
          <w:rtl/>
        </w:rPr>
        <w:t xml:space="preserve"> </w:t>
      </w:r>
      <w:bookmarkStart w:id="63140" w:name="_ETM_Q114_315089"/>
      <w:bookmarkStart w:id="63141" w:name="_ETM_Q114_315143"/>
      <w:bookmarkStart w:id="63142" w:name="_ETM_Q114_315273"/>
      <w:bookmarkStart w:id="63143" w:name="_ETM_Q114_315314"/>
      <w:bookmarkStart w:id="63144" w:name="_ETM_Q114_312810"/>
      <w:bookmarkEnd w:id="63140"/>
      <w:bookmarkEnd w:id="63141"/>
      <w:bookmarkEnd w:id="63142"/>
      <w:bookmarkEnd w:id="63143"/>
      <w:bookmarkEnd w:id="63144"/>
      <w:r>
        <w:rPr>
          <w:rFonts w:hint="cs"/>
          <w:rtl/>
        </w:rPr>
        <w:t xml:space="preserve">עוד </w:t>
      </w:r>
      <w:bookmarkStart w:id="63145" w:name="_ETM_Q114_313110"/>
      <w:bookmarkEnd w:id="63145"/>
      <w:r>
        <w:rPr>
          <w:rFonts w:hint="cs"/>
          <w:rtl/>
        </w:rPr>
        <w:t xml:space="preserve">שנייה </w:t>
      </w:r>
      <w:bookmarkStart w:id="63146" w:name="_ETM_Q114_313440"/>
      <w:bookmarkEnd w:id="63146"/>
      <w:r>
        <w:rPr>
          <w:rFonts w:hint="cs"/>
          <w:rtl/>
        </w:rPr>
        <w:t xml:space="preserve">אנחנו </w:t>
      </w:r>
      <w:bookmarkStart w:id="63147" w:name="_ETM_Q114_313709"/>
      <w:bookmarkEnd w:id="63147"/>
      <w:r>
        <w:rPr>
          <w:rFonts w:hint="cs"/>
          <w:rtl/>
        </w:rPr>
        <w:t xml:space="preserve">נגלה </w:t>
      </w:r>
      <w:bookmarkStart w:id="63148" w:name="_ETM_Q114_314630"/>
      <w:bookmarkEnd w:id="63148"/>
      <w:r>
        <w:rPr>
          <w:rFonts w:hint="cs"/>
          <w:rtl/>
        </w:rPr>
        <w:t>שראש הממשלה מ</w:t>
      </w:r>
      <w:bookmarkStart w:id="63149" w:name="_ETM_Q114_315740"/>
      <w:bookmarkEnd w:id="63149"/>
      <w:r>
        <w:rPr>
          <w:rFonts w:hint="cs"/>
          <w:rtl/>
        </w:rPr>
        <w:t xml:space="preserve">גלה </w:t>
      </w:r>
      <w:bookmarkStart w:id="63150" w:name="_ETM_Q114_316430"/>
      <w:bookmarkEnd w:id="63150"/>
      <w:r>
        <w:rPr>
          <w:rFonts w:hint="cs"/>
          <w:rtl/>
        </w:rPr>
        <w:t xml:space="preserve">לאט-לאט </w:t>
      </w:r>
      <w:bookmarkStart w:id="63151" w:name="_ETM_Q114_317210"/>
      <w:bookmarkEnd w:id="63151"/>
      <w:r>
        <w:rPr>
          <w:rFonts w:hint="cs"/>
          <w:rtl/>
        </w:rPr>
        <w:t xml:space="preserve">שישראל </w:t>
      </w:r>
      <w:bookmarkStart w:id="63152" w:name="_ETM_Q114_317780"/>
      <w:bookmarkEnd w:id="63152"/>
      <w:r>
        <w:rPr>
          <w:rFonts w:hint="cs"/>
          <w:rtl/>
        </w:rPr>
        <w:t xml:space="preserve">סובלת </w:t>
      </w:r>
      <w:bookmarkStart w:id="63153" w:name="_ETM_Q114_318380"/>
      <w:bookmarkEnd w:id="63153"/>
      <w:r>
        <w:rPr>
          <w:rFonts w:hint="cs"/>
          <w:rtl/>
        </w:rPr>
        <w:t xml:space="preserve">מזיהום </w:t>
      </w:r>
      <w:bookmarkStart w:id="63154" w:name="_ETM_Q114_319370"/>
      <w:bookmarkEnd w:id="63154"/>
      <w:r>
        <w:rPr>
          <w:rFonts w:hint="cs"/>
          <w:rtl/>
        </w:rPr>
        <w:t xml:space="preserve">של </w:t>
      </w:r>
      <w:bookmarkStart w:id="63155" w:name="_ETM_Q114_319580"/>
      <w:bookmarkEnd w:id="63155"/>
      <w:r>
        <w:rPr>
          <w:rFonts w:hint="cs"/>
          <w:rtl/>
        </w:rPr>
        <w:t xml:space="preserve">פלסטיק </w:t>
      </w:r>
      <w:bookmarkStart w:id="63156" w:name="_ETM_Q114_320060"/>
      <w:bookmarkEnd w:id="63156"/>
      <w:r>
        <w:rPr>
          <w:rFonts w:hint="cs"/>
          <w:rtl/>
        </w:rPr>
        <w:t xml:space="preserve">במרחב </w:t>
      </w:r>
      <w:bookmarkStart w:id="63157" w:name="_ETM_Q114_320540"/>
      <w:bookmarkEnd w:id="63157"/>
      <w:r>
        <w:rPr>
          <w:rFonts w:hint="cs"/>
          <w:rtl/>
        </w:rPr>
        <w:t xml:space="preserve">הציבורי, </w:t>
      </w:r>
      <w:bookmarkStart w:id="63158" w:name="_ETM_Q114_321560"/>
      <w:bookmarkEnd w:id="63158"/>
      <w:r>
        <w:rPr>
          <w:rFonts w:hint="cs"/>
          <w:rtl/>
        </w:rPr>
        <w:t xml:space="preserve">ואז </w:t>
      </w:r>
      <w:bookmarkStart w:id="63159" w:name="_ETM_Q114_321830"/>
      <w:bookmarkEnd w:id="63159"/>
      <w:r>
        <w:rPr>
          <w:rFonts w:hint="cs"/>
          <w:rtl/>
        </w:rPr>
        <w:t xml:space="preserve">אנחנו </w:t>
      </w:r>
      <w:bookmarkStart w:id="63160" w:name="_ETM_Q114_322100"/>
      <w:bookmarkEnd w:id="63160"/>
      <w:r>
        <w:rPr>
          <w:rFonts w:hint="cs"/>
          <w:rtl/>
        </w:rPr>
        <w:t xml:space="preserve">נקבל </w:t>
      </w:r>
      <w:bookmarkStart w:id="63161" w:name="_ETM_Q114_323700"/>
      <w:bookmarkEnd w:id="63161"/>
      <w:r>
        <w:rPr>
          <w:rFonts w:hint="cs"/>
          <w:rtl/>
        </w:rPr>
        <w:t xml:space="preserve">עוד </w:t>
      </w:r>
      <w:bookmarkStart w:id="63162" w:name="_ETM_Q114_323909"/>
      <w:bookmarkEnd w:id="63162"/>
      <w:r>
        <w:rPr>
          <w:rFonts w:hint="cs"/>
          <w:rtl/>
        </w:rPr>
        <w:t xml:space="preserve">פעם </w:t>
      </w:r>
      <w:bookmarkStart w:id="63163" w:name="_ETM_Q114_324870"/>
      <w:bookmarkEnd w:id="63163"/>
      <w:r>
        <w:rPr>
          <w:rFonts w:hint="cs"/>
          <w:rtl/>
        </w:rPr>
        <w:t xml:space="preserve">איזה </w:t>
      </w:r>
      <w:bookmarkStart w:id="63164" w:name="_ETM_Q114_325230"/>
      <w:bookmarkEnd w:id="63164"/>
      <w:r>
        <w:rPr>
          <w:rFonts w:hint="cs"/>
          <w:rtl/>
        </w:rPr>
        <w:t>הוראה</w:t>
      </w:r>
      <w:r w:rsidR="00924280">
        <w:rPr>
          <w:rFonts w:hint="cs"/>
          <w:rtl/>
        </w:rPr>
        <w:t>,</w:t>
      </w:r>
      <w:r>
        <w:rPr>
          <w:rFonts w:hint="cs"/>
          <w:rtl/>
        </w:rPr>
        <w:t xml:space="preserve"> או </w:t>
      </w:r>
      <w:bookmarkStart w:id="63165" w:name="_ETM_Q114_325919"/>
      <w:bookmarkStart w:id="63166" w:name="_ETM_Q114_326069"/>
      <w:bookmarkEnd w:id="63165"/>
      <w:bookmarkEnd w:id="63166"/>
      <w:r>
        <w:rPr>
          <w:rFonts w:hint="cs"/>
          <w:rtl/>
        </w:rPr>
        <w:t xml:space="preserve">נקבל </w:t>
      </w:r>
      <w:bookmarkStart w:id="63167" w:name="_ETM_Q114_326459"/>
      <w:bookmarkEnd w:id="63167"/>
      <w:r>
        <w:rPr>
          <w:rFonts w:hint="cs"/>
          <w:rtl/>
        </w:rPr>
        <w:t xml:space="preserve">איזה </w:t>
      </w:r>
      <w:bookmarkStart w:id="63168" w:name="_ETM_Q114_326669"/>
      <w:bookmarkEnd w:id="63168"/>
      <w:r>
        <w:rPr>
          <w:rFonts w:hint="cs"/>
          <w:rtl/>
        </w:rPr>
        <w:t xml:space="preserve">הודעה </w:t>
      </w:r>
      <w:bookmarkStart w:id="63169" w:name="_ETM_Q114_326849"/>
      <w:bookmarkStart w:id="63170" w:name="_ETM_Q114_327090"/>
      <w:bookmarkEnd w:id="63169"/>
      <w:bookmarkEnd w:id="63170"/>
      <w:r>
        <w:rPr>
          <w:rFonts w:hint="cs"/>
          <w:rtl/>
        </w:rPr>
        <w:t xml:space="preserve">לתקשורת </w:t>
      </w:r>
      <w:bookmarkStart w:id="63171" w:name="_ETM_Q114_327540"/>
      <w:bookmarkEnd w:id="63171"/>
      <w:r w:rsidR="00924280">
        <w:rPr>
          <w:rFonts w:hint="cs"/>
          <w:rtl/>
        </w:rPr>
        <w:t>ש</w:t>
      </w:r>
      <w:r>
        <w:rPr>
          <w:rFonts w:hint="cs"/>
          <w:rtl/>
        </w:rPr>
        <w:t xml:space="preserve">הוא </w:t>
      </w:r>
      <w:bookmarkStart w:id="63172" w:name="_ETM_Q114_327720"/>
      <w:bookmarkEnd w:id="63172"/>
      <w:r>
        <w:rPr>
          <w:rFonts w:hint="cs"/>
          <w:rtl/>
        </w:rPr>
        <w:t xml:space="preserve">ביקש </w:t>
      </w:r>
      <w:bookmarkStart w:id="63173" w:name="_ETM_Q114_328110"/>
      <w:bookmarkEnd w:id="63173"/>
      <w:r>
        <w:rPr>
          <w:rFonts w:hint="cs"/>
          <w:rtl/>
        </w:rPr>
        <w:t xml:space="preserve">מהשרה </w:t>
      </w:r>
      <w:bookmarkStart w:id="63174" w:name="_ETM_Q114_328530"/>
      <w:bookmarkEnd w:id="63174"/>
      <w:r>
        <w:rPr>
          <w:rFonts w:hint="cs"/>
          <w:rtl/>
        </w:rPr>
        <w:t xml:space="preserve">לאיכות </w:t>
      </w:r>
      <w:bookmarkStart w:id="63175" w:name="_ETM_Q114_328919"/>
      <w:bookmarkEnd w:id="63175"/>
      <w:r>
        <w:rPr>
          <w:rFonts w:hint="cs"/>
          <w:rtl/>
        </w:rPr>
        <w:t xml:space="preserve">הסביבה </w:t>
      </w:r>
      <w:bookmarkStart w:id="63176" w:name="_ETM_Q114_330080"/>
      <w:bookmarkEnd w:id="63176"/>
      <w:r>
        <w:rPr>
          <w:rFonts w:hint="cs"/>
          <w:rtl/>
        </w:rPr>
        <w:t xml:space="preserve">לבדוק </w:t>
      </w:r>
      <w:bookmarkStart w:id="63177" w:name="_ETM_Q114_330800"/>
      <w:bookmarkEnd w:id="63177"/>
      <w:r>
        <w:rPr>
          <w:rFonts w:hint="cs"/>
          <w:rtl/>
        </w:rPr>
        <w:t xml:space="preserve">אלטרנטיבות </w:t>
      </w:r>
      <w:bookmarkStart w:id="63178" w:name="_ETM_Q114_331760"/>
      <w:bookmarkEnd w:id="63178"/>
      <w:r>
        <w:rPr>
          <w:rFonts w:hint="cs"/>
          <w:rtl/>
        </w:rPr>
        <w:t xml:space="preserve">לצמצום </w:t>
      </w:r>
      <w:bookmarkStart w:id="63179" w:name="_ETM_Q114_333050"/>
      <w:bookmarkEnd w:id="63179"/>
      <w:r>
        <w:rPr>
          <w:rFonts w:hint="cs"/>
          <w:rtl/>
        </w:rPr>
        <w:t xml:space="preserve">תופעת </w:t>
      </w:r>
      <w:bookmarkStart w:id="63180" w:name="_ETM_Q114_333709"/>
      <w:bookmarkEnd w:id="63180"/>
      <w:r>
        <w:rPr>
          <w:rFonts w:hint="cs"/>
          <w:rtl/>
        </w:rPr>
        <w:t xml:space="preserve">השימוש </w:t>
      </w:r>
      <w:bookmarkStart w:id="63181" w:name="_ETM_Q114_334250"/>
      <w:bookmarkEnd w:id="63181"/>
      <w:r>
        <w:rPr>
          <w:rFonts w:hint="cs"/>
          <w:rtl/>
        </w:rPr>
        <w:t xml:space="preserve">בשקיות </w:t>
      </w:r>
      <w:bookmarkStart w:id="63182" w:name="_ETM_Q114_334849"/>
      <w:bookmarkEnd w:id="63182"/>
      <w:r>
        <w:rPr>
          <w:rFonts w:hint="cs"/>
          <w:rtl/>
        </w:rPr>
        <w:t xml:space="preserve">פלסטיק </w:t>
      </w:r>
      <w:bookmarkStart w:id="63183" w:name="_ETM_Q114_335360"/>
      <w:bookmarkEnd w:id="63183"/>
      <w:r>
        <w:rPr>
          <w:rFonts w:hint="cs"/>
          <w:rtl/>
        </w:rPr>
        <w:t xml:space="preserve">או </w:t>
      </w:r>
      <w:bookmarkStart w:id="63184" w:name="_ETM_Q114_335690"/>
      <w:bookmarkEnd w:id="63184"/>
      <w:r w:rsidR="00924280">
        <w:rPr>
          <w:rFonts w:hint="cs"/>
          <w:rtl/>
        </w:rPr>
        <w:t>ב</w:t>
      </w:r>
      <w:r>
        <w:rPr>
          <w:rFonts w:hint="cs"/>
          <w:rtl/>
        </w:rPr>
        <w:t xml:space="preserve">פלסטיק </w:t>
      </w:r>
      <w:bookmarkStart w:id="63185" w:name="_ETM_Q114_336139"/>
      <w:bookmarkEnd w:id="63185"/>
      <w:r>
        <w:rPr>
          <w:rFonts w:hint="cs"/>
          <w:rtl/>
        </w:rPr>
        <w:t xml:space="preserve">במרחב </w:t>
      </w:r>
      <w:bookmarkStart w:id="63186" w:name="_ETM_Q114_336590"/>
      <w:bookmarkEnd w:id="63186"/>
      <w:r>
        <w:rPr>
          <w:rFonts w:hint="cs"/>
          <w:rtl/>
        </w:rPr>
        <w:t xml:space="preserve">הציבורי. </w:t>
      </w:r>
      <w:bookmarkStart w:id="63187" w:name="_ETM_Q114_337130"/>
      <w:bookmarkEnd w:id="63187"/>
      <w:r>
        <w:rPr>
          <w:rFonts w:hint="cs"/>
          <w:rtl/>
        </w:rPr>
        <w:t xml:space="preserve">ואז </w:t>
      </w:r>
      <w:bookmarkStart w:id="63188" w:name="_ETM_Q114_337370"/>
      <w:bookmarkEnd w:id="63188"/>
      <w:r>
        <w:rPr>
          <w:rFonts w:hint="cs"/>
          <w:rtl/>
        </w:rPr>
        <w:t xml:space="preserve">נגלה </w:t>
      </w:r>
      <w:bookmarkStart w:id="63189" w:name="_ETM_Q114_337880"/>
      <w:bookmarkEnd w:id="63189"/>
      <w:r>
        <w:rPr>
          <w:rFonts w:hint="cs"/>
          <w:rtl/>
        </w:rPr>
        <w:t xml:space="preserve">שגם </w:t>
      </w:r>
      <w:bookmarkStart w:id="63190" w:name="_ETM_Q114_338180"/>
      <w:bookmarkStart w:id="63191" w:name="_ETM_Q114_338300"/>
      <w:bookmarkEnd w:id="63190"/>
      <w:bookmarkEnd w:id="63191"/>
      <w:r>
        <w:rPr>
          <w:rFonts w:hint="cs"/>
          <w:rtl/>
        </w:rPr>
        <w:t xml:space="preserve">המס </w:t>
      </w:r>
      <w:bookmarkStart w:id="63192" w:name="_ETM_Q114_338569"/>
      <w:bookmarkEnd w:id="63192"/>
      <w:r>
        <w:rPr>
          <w:rFonts w:hint="cs"/>
          <w:rtl/>
        </w:rPr>
        <w:t xml:space="preserve">הזה </w:t>
      </w:r>
      <w:bookmarkStart w:id="63193" w:name="_ETM_Q114_339569"/>
      <w:bookmarkStart w:id="63194" w:name="_ETM_Q114_339749"/>
      <w:bookmarkEnd w:id="63193"/>
      <w:bookmarkEnd w:id="63194"/>
      <w:r>
        <w:rPr>
          <w:rFonts w:hint="cs"/>
          <w:rtl/>
        </w:rPr>
        <w:t>בוטל</w:t>
      </w:r>
      <w:r w:rsidR="00924280">
        <w:rPr>
          <w:rFonts w:hint="cs"/>
          <w:rtl/>
        </w:rPr>
        <w:t>,</w:t>
      </w:r>
      <w:r>
        <w:rPr>
          <w:rFonts w:hint="cs"/>
          <w:rtl/>
        </w:rPr>
        <w:t xml:space="preserve"> נכון? </w:t>
      </w:r>
      <w:bookmarkStart w:id="63195" w:name="_ETM_Q114_341100"/>
      <w:bookmarkStart w:id="63196" w:name="_ETM_Q114_341580"/>
      <w:bookmarkEnd w:id="63195"/>
      <w:bookmarkEnd w:id="63196"/>
      <w:r>
        <w:rPr>
          <w:rFonts w:hint="cs"/>
          <w:rtl/>
        </w:rPr>
        <w:t xml:space="preserve">ואז </w:t>
      </w:r>
      <w:bookmarkStart w:id="63197" w:name="_ETM_Q114_341790"/>
      <w:bookmarkEnd w:id="63197"/>
      <w:r>
        <w:rPr>
          <w:rFonts w:hint="cs"/>
          <w:rtl/>
        </w:rPr>
        <w:t xml:space="preserve">אנחנו </w:t>
      </w:r>
      <w:bookmarkStart w:id="63198" w:name="_ETM_Q114_342030"/>
      <w:bookmarkEnd w:id="63198"/>
      <w:r>
        <w:rPr>
          <w:rFonts w:hint="cs"/>
          <w:rtl/>
        </w:rPr>
        <w:t xml:space="preserve">נעשה </w:t>
      </w:r>
      <w:bookmarkStart w:id="63199" w:name="_ETM_Q114_342330"/>
      <w:bookmarkEnd w:id="63199"/>
      <w:r>
        <w:rPr>
          <w:rFonts w:hint="cs"/>
          <w:rtl/>
        </w:rPr>
        <w:t xml:space="preserve">עוד </w:t>
      </w:r>
      <w:bookmarkStart w:id="63200" w:name="_ETM_Q114_342480"/>
      <w:bookmarkEnd w:id="63200"/>
      <w:r>
        <w:rPr>
          <w:rFonts w:hint="cs"/>
          <w:rtl/>
        </w:rPr>
        <w:t xml:space="preserve">פעם </w:t>
      </w:r>
      <w:bookmarkStart w:id="63201" w:name="_ETM_Q114_342720"/>
      <w:bookmarkEnd w:id="63201"/>
      <w:r>
        <w:rPr>
          <w:rFonts w:hint="cs"/>
          <w:rtl/>
        </w:rPr>
        <w:t xml:space="preserve">את </w:t>
      </w:r>
      <w:bookmarkStart w:id="63202" w:name="_ETM_Q114_342810"/>
      <w:bookmarkEnd w:id="63202"/>
      <w:r>
        <w:rPr>
          <w:rFonts w:hint="cs"/>
          <w:rtl/>
        </w:rPr>
        <w:t xml:space="preserve">אותו </w:t>
      </w:r>
      <w:bookmarkStart w:id="63203" w:name="_ETM_Q114_343200"/>
      <w:bookmarkEnd w:id="63203"/>
      <w:r>
        <w:rPr>
          <w:rFonts w:hint="cs"/>
          <w:rtl/>
        </w:rPr>
        <w:t xml:space="preserve">ריטואל. </w:t>
      </w:r>
      <w:bookmarkStart w:id="63204" w:name="_ETM_Q114_349097"/>
      <w:bookmarkStart w:id="63205" w:name="_ETM_Q114_349161"/>
      <w:bookmarkStart w:id="63206" w:name="_ETM_Q114_349314"/>
      <w:bookmarkStart w:id="63207" w:name="_ETM_Q114_349350"/>
      <w:bookmarkStart w:id="63208" w:name="_ETM_Q114_344400"/>
      <w:bookmarkStart w:id="63209" w:name="_ETM_Q114_344730"/>
      <w:bookmarkEnd w:id="63204"/>
      <w:bookmarkEnd w:id="63205"/>
      <w:bookmarkEnd w:id="63206"/>
      <w:bookmarkEnd w:id="63207"/>
      <w:bookmarkEnd w:id="63208"/>
      <w:bookmarkEnd w:id="63209"/>
      <w:r>
        <w:rPr>
          <w:rFonts w:hint="cs"/>
          <w:rtl/>
        </w:rPr>
        <w:t xml:space="preserve">אבל בסדר </w:t>
      </w:r>
      <w:bookmarkStart w:id="63210" w:name="_ETM_Q114_345030"/>
      <w:bookmarkEnd w:id="63210"/>
      <w:r>
        <w:rPr>
          <w:rFonts w:hint="cs"/>
          <w:rtl/>
        </w:rPr>
        <w:t xml:space="preserve">גמור, </w:t>
      </w:r>
      <w:bookmarkStart w:id="63211" w:name="_ETM_Q114_346349"/>
      <w:bookmarkEnd w:id="63211"/>
      <w:r>
        <w:rPr>
          <w:rFonts w:hint="cs"/>
          <w:rtl/>
        </w:rPr>
        <w:t xml:space="preserve">בוועדת </w:t>
      </w:r>
      <w:bookmarkStart w:id="63212" w:name="_ETM_Q114_347609"/>
      <w:bookmarkEnd w:id="63212"/>
      <w:r>
        <w:rPr>
          <w:rFonts w:hint="cs"/>
          <w:rtl/>
        </w:rPr>
        <w:t xml:space="preserve">הספורט, </w:t>
      </w:r>
      <w:bookmarkStart w:id="63213" w:name="_ETM_Q114_347969"/>
      <w:bookmarkEnd w:id="63213"/>
      <w:r>
        <w:rPr>
          <w:rFonts w:hint="cs"/>
          <w:rtl/>
        </w:rPr>
        <w:t xml:space="preserve">ביום </w:t>
      </w:r>
      <w:bookmarkStart w:id="63214" w:name="_ETM_Q114_348150"/>
      <w:bookmarkEnd w:id="63214"/>
      <w:r>
        <w:rPr>
          <w:rFonts w:hint="cs"/>
          <w:rtl/>
        </w:rPr>
        <w:t xml:space="preserve">הספורט </w:t>
      </w:r>
      <w:bookmarkStart w:id="63215" w:name="_ETM_Q114_348450"/>
      <w:bookmarkEnd w:id="63215"/>
      <w:r>
        <w:rPr>
          <w:rFonts w:hint="cs"/>
          <w:rtl/>
        </w:rPr>
        <w:t xml:space="preserve">בכנסת, </w:t>
      </w:r>
      <w:bookmarkStart w:id="63216" w:name="_ETM_Q114_349469"/>
      <w:bookmarkEnd w:id="63216"/>
      <w:r>
        <w:rPr>
          <w:rFonts w:hint="cs"/>
          <w:rtl/>
        </w:rPr>
        <w:t>הביא</w:t>
      </w:r>
      <w:r w:rsidR="00924280">
        <w:rPr>
          <w:rFonts w:hint="cs"/>
          <w:rtl/>
        </w:rPr>
        <w:t>ו</w:t>
      </w:r>
      <w:r>
        <w:rPr>
          <w:rFonts w:hint="cs"/>
          <w:rtl/>
        </w:rPr>
        <w:t xml:space="preserve"> – </w:t>
      </w:r>
      <w:bookmarkStart w:id="63217" w:name="_ETM_Q114_351049"/>
      <w:bookmarkEnd w:id="63217"/>
      <w:r>
        <w:rPr>
          <w:rFonts w:hint="cs"/>
          <w:rtl/>
        </w:rPr>
        <w:t xml:space="preserve">חבר </w:t>
      </w:r>
      <w:bookmarkStart w:id="63218" w:name="_ETM_Q114_351379"/>
      <w:bookmarkEnd w:id="63218"/>
      <w:r>
        <w:rPr>
          <w:rFonts w:hint="cs"/>
          <w:rtl/>
        </w:rPr>
        <w:t xml:space="preserve">הכנסת </w:t>
      </w:r>
      <w:bookmarkStart w:id="63219" w:name="_ETM_Q114_351739"/>
      <w:bookmarkEnd w:id="63219"/>
      <w:r>
        <w:rPr>
          <w:rFonts w:hint="cs"/>
          <w:rtl/>
        </w:rPr>
        <w:t xml:space="preserve">דוידסון, אתה זוכר את המראה הזה? </w:t>
      </w:r>
      <w:bookmarkStart w:id="63220" w:name="_ETM_Q114_358778"/>
      <w:bookmarkEnd w:id="63220"/>
      <w:r>
        <w:rPr>
          <w:rFonts w:hint="cs"/>
          <w:rtl/>
        </w:rPr>
        <w:t xml:space="preserve">70 </w:t>
      </w:r>
      <w:bookmarkStart w:id="63221" w:name="_ETM_Q114_352010"/>
      <w:bookmarkStart w:id="63222" w:name="_ETM_Q114_352249"/>
      <w:bookmarkStart w:id="63223" w:name="_ETM_Q114_352400"/>
      <w:bookmarkStart w:id="63224" w:name="_ETM_Q114_352700"/>
      <w:bookmarkStart w:id="63225" w:name="_ETM_Q114_352790"/>
      <w:bookmarkStart w:id="63226" w:name="_ETM_Q114_353209"/>
      <w:bookmarkStart w:id="63227" w:name="_ETM_Q114_353599"/>
      <w:bookmarkStart w:id="63228" w:name="_ETM_Q114_354079"/>
      <w:bookmarkStart w:id="63229" w:name="_ETM_Q114_354995"/>
      <w:bookmarkStart w:id="63230" w:name="_ETM_Q114_355989"/>
      <w:bookmarkStart w:id="63231" w:name="_ETM_Q114_356610"/>
      <w:bookmarkEnd w:id="63221"/>
      <w:bookmarkEnd w:id="63222"/>
      <w:bookmarkEnd w:id="63223"/>
      <w:bookmarkEnd w:id="63224"/>
      <w:bookmarkEnd w:id="63225"/>
      <w:bookmarkEnd w:id="63226"/>
      <w:bookmarkEnd w:id="63227"/>
      <w:bookmarkEnd w:id="63228"/>
      <w:bookmarkEnd w:id="63229"/>
      <w:bookmarkEnd w:id="63230"/>
      <w:bookmarkEnd w:id="63231"/>
      <w:r>
        <w:rPr>
          <w:rFonts w:hint="cs"/>
          <w:rtl/>
        </w:rPr>
        <w:t xml:space="preserve">קילו סוכר </w:t>
      </w:r>
      <w:bookmarkStart w:id="63232" w:name="_ETM_Q114_357540"/>
      <w:bookmarkEnd w:id="63232"/>
      <w:r>
        <w:rPr>
          <w:rFonts w:hint="cs"/>
          <w:rtl/>
        </w:rPr>
        <w:t xml:space="preserve">בשנה. </w:t>
      </w:r>
      <w:bookmarkStart w:id="63233" w:name="_ETM_Q114_358819"/>
      <w:bookmarkEnd w:id="63233"/>
      <w:r>
        <w:rPr>
          <w:rFonts w:hint="cs"/>
          <w:rtl/>
        </w:rPr>
        <w:t xml:space="preserve">70 </w:t>
      </w:r>
      <w:bookmarkStart w:id="63234" w:name="_ETM_Q114_359250"/>
      <w:bookmarkEnd w:id="63234"/>
      <w:r>
        <w:rPr>
          <w:rFonts w:hint="cs"/>
          <w:rtl/>
        </w:rPr>
        <w:t xml:space="preserve">קילו סוכר בשנה, זה הזוי. זה הזוי שילדים צורכים את זה. 70 קילו סוכר. </w:t>
      </w:r>
      <w:bookmarkStart w:id="63235" w:name="_ETM_Q114_359520"/>
      <w:bookmarkStart w:id="63236" w:name="_ETM_Q114_359880"/>
      <w:bookmarkStart w:id="63237" w:name="_ETM_Q114_360240"/>
      <w:bookmarkStart w:id="63238" w:name="_ETM_Q114_360600"/>
      <w:bookmarkStart w:id="63239" w:name="_ETM_Q114_360900"/>
      <w:bookmarkStart w:id="63240" w:name="_ETM_Q114_362419"/>
      <w:bookmarkStart w:id="63241" w:name="_ETM_Q114_362630"/>
      <w:bookmarkStart w:id="63242" w:name="_ETM_Q114_363080"/>
      <w:bookmarkStart w:id="63243" w:name="_ETM_Q114_363590"/>
      <w:bookmarkStart w:id="63244" w:name="_ETM_Q114_364040"/>
      <w:bookmarkStart w:id="63245" w:name="_ETM_Q114_364400"/>
      <w:bookmarkStart w:id="63246" w:name="_ETM_Q114_364550"/>
      <w:bookmarkStart w:id="63247" w:name="_ETM_Q114_365300"/>
      <w:bookmarkStart w:id="63248" w:name="_ETM_Q114_365690"/>
      <w:bookmarkStart w:id="63249" w:name="_ETM_Q114_367099"/>
      <w:bookmarkEnd w:id="63235"/>
      <w:bookmarkEnd w:id="63236"/>
      <w:bookmarkEnd w:id="63237"/>
      <w:bookmarkEnd w:id="63238"/>
      <w:bookmarkEnd w:id="63239"/>
      <w:bookmarkEnd w:id="63240"/>
      <w:bookmarkEnd w:id="63241"/>
      <w:bookmarkEnd w:id="63242"/>
      <w:bookmarkEnd w:id="63243"/>
      <w:bookmarkEnd w:id="63244"/>
      <w:bookmarkEnd w:id="63245"/>
      <w:bookmarkEnd w:id="63246"/>
      <w:bookmarkEnd w:id="63247"/>
      <w:bookmarkEnd w:id="63248"/>
      <w:bookmarkEnd w:id="63249"/>
      <w:r>
        <w:rPr>
          <w:rFonts w:hint="cs"/>
          <w:rtl/>
        </w:rPr>
        <w:t xml:space="preserve">זה </w:t>
      </w:r>
      <w:bookmarkStart w:id="63250" w:name="_ETM_Q114_367219"/>
      <w:bookmarkEnd w:id="63250"/>
      <w:r>
        <w:rPr>
          <w:rFonts w:hint="cs"/>
          <w:rtl/>
        </w:rPr>
        <w:t xml:space="preserve">36 </w:t>
      </w:r>
      <w:bookmarkStart w:id="63251" w:name="_ETM_Q114_367939"/>
      <w:bookmarkEnd w:id="63251"/>
      <w:r>
        <w:rPr>
          <w:rFonts w:hint="cs"/>
          <w:rtl/>
        </w:rPr>
        <w:t xml:space="preserve">כפיות </w:t>
      </w:r>
      <w:bookmarkStart w:id="63252" w:name="_ETM_Q114_368419"/>
      <w:bookmarkEnd w:id="63252"/>
      <w:r>
        <w:rPr>
          <w:rFonts w:hint="cs"/>
          <w:rtl/>
        </w:rPr>
        <w:t xml:space="preserve">סוכר </w:t>
      </w:r>
      <w:bookmarkStart w:id="63253" w:name="_ETM_Q114_368840"/>
      <w:bookmarkEnd w:id="63253"/>
      <w:r>
        <w:rPr>
          <w:rFonts w:hint="cs"/>
          <w:rtl/>
        </w:rPr>
        <w:t xml:space="preserve">ביום. </w:t>
      </w:r>
      <w:bookmarkStart w:id="63254" w:name="_ETM_Q114_370530"/>
      <w:bookmarkEnd w:id="63254"/>
      <w:r>
        <w:rPr>
          <w:rFonts w:hint="cs"/>
          <w:rtl/>
        </w:rPr>
        <w:t xml:space="preserve">זה </w:t>
      </w:r>
      <w:bookmarkStart w:id="63255" w:name="_ETM_Q114_370919"/>
      <w:bookmarkEnd w:id="63255"/>
      <w:r>
        <w:rPr>
          <w:rFonts w:hint="cs"/>
          <w:rtl/>
        </w:rPr>
        <w:t xml:space="preserve">פסיכי. אף אחד </w:t>
      </w:r>
      <w:bookmarkStart w:id="63256" w:name="_ETM_Q114_371550"/>
      <w:bookmarkStart w:id="63257" w:name="_ETM_Q114_372000"/>
      <w:bookmarkStart w:id="63258" w:name="_ETM_Q114_372270"/>
      <w:bookmarkEnd w:id="63256"/>
      <w:bookmarkEnd w:id="63257"/>
      <w:bookmarkEnd w:id="63258"/>
      <w:r>
        <w:rPr>
          <w:rFonts w:hint="cs"/>
          <w:rtl/>
        </w:rPr>
        <w:t xml:space="preserve">לא </w:t>
      </w:r>
      <w:bookmarkStart w:id="63259" w:name="_ETM_Q114_372330"/>
      <w:bookmarkEnd w:id="63259"/>
      <w:r>
        <w:rPr>
          <w:rFonts w:hint="cs"/>
          <w:rtl/>
        </w:rPr>
        <w:t xml:space="preserve">מטפל </w:t>
      </w:r>
      <w:bookmarkStart w:id="63260" w:name="_ETM_Q114_372750"/>
      <w:bookmarkEnd w:id="63260"/>
      <w:r>
        <w:rPr>
          <w:rFonts w:hint="cs"/>
          <w:rtl/>
        </w:rPr>
        <w:t>בזה.</w:t>
      </w:r>
    </w:p>
    <w:p w:rsidR="00BB59CD" w:rsidRDefault="00BB59CD" w:rsidP="00BB59CD">
      <w:pPr>
        <w:rPr>
          <w:rtl/>
        </w:rPr>
      </w:pPr>
      <w:bookmarkStart w:id="63261" w:name="_ETM_Q114_378341"/>
      <w:bookmarkStart w:id="63262" w:name="_ETM_Q114_378419"/>
      <w:bookmarkEnd w:id="63261"/>
      <w:bookmarkEnd w:id="63262"/>
    </w:p>
    <w:p w:rsidR="00BB59CD" w:rsidRDefault="00BB59CD" w:rsidP="00924280">
      <w:pPr>
        <w:rPr>
          <w:rtl/>
        </w:rPr>
      </w:pPr>
      <w:bookmarkStart w:id="63263" w:name="_ETM_Q114_378465"/>
      <w:bookmarkStart w:id="63264" w:name="_ETM_Q114_378533"/>
      <w:bookmarkStart w:id="63265" w:name="_ETM_Q114_374940"/>
      <w:bookmarkEnd w:id="63263"/>
      <w:bookmarkEnd w:id="63264"/>
      <w:bookmarkEnd w:id="63265"/>
      <w:r>
        <w:rPr>
          <w:rFonts w:hint="cs"/>
          <w:rtl/>
        </w:rPr>
        <w:t xml:space="preserve">אבל </w:t>
      </w:r>
      <w:bookmarkStart w:id="63266" w:name="_ETM_Q114_375690"/>
      <w:bookmarkEnd w:id="63266"/>
      <w:r>
        <w:rPr>
          <w:rFonts w:hint="cs"/>
          <w:rtl/>
        </w:rPr>
        <w:t xml:space="preserve">בסדר, </w:t>
      </w:r>
      <w:bookmarkStart w:id="63267" w:name="_ETM_Q114_375989"/>
      <w:bookmarkEnd w:id="63267"/>
      <w:r>
        <w:rPr>
          <w:rFonts w:hint="cs"/>
          <w:rtl/>
        </w:rPr>
        <w:t xml:space="preserve">זה </w:t>
      </w:r>
      <w:bookmarkStart w:id="63268" w:name="_ETM_Q114_376110"/>
      <w:bookmarkEnd w:id="63268"/>
      <w:r>
        <w:rPr>
          <w:rFonts w:hint="cs"/>
          <w:rtl/>
        </w:rPr>
        <w:t xml:space="preserve">חלק </w:t>
      </w:r>
      <w:bookmarkStart w:id="63269" w:name="_ETM_Q114_376440"/>
      <w:bookmarkEnd w:id="63269"/>
      <w:r>
        <w:rPr>
          <w:rFonts w:hint="cs"/>
          <w:rtl/>
        </w:rPr>
        <w:t xml:space="preserve">מהקטע </w:t>
      </w:r>
      <w:bookmarkStart w:id="63270" w:name="_ETM_Q114_377909"/>
      <w:bookmarkEnd w:id="63270"/>
      <w:r>
        <w:rPr>
          <w:rFonts w:hint="cs"/>
          <w:rtl/>
        </w:rPr>
        <w:t xml:space="preserve">שיש </w:t>
      </w:r>
      <w:bookmarkStart w:id="63271" w:name="_ETM_Q114_378269"/>
      <w:bookmarkEnd w:id="63271"/>
      <w:r>
        <w:rPr>
          <w:rFonts w:hint="cs"/>
          <w:rtl/>
        </w:rPr>
        <w:t xml:space="preserve">באמת </w:t>
      </w:r>
      <w:bookmarkStart w:id="63272" w:name="_ETM_Q114_378659"/>
      <w:bookmarkEnd w:id="63272"/>
      <w:r>
        <w:rPr>
          <w:rFonts w:hint="cs"/>
          <w:rtl/>
        </w:rPr>
        <w:t xml:space="preserve">ראש </w:t>
      </w:r>
      <w:bookmarkStart w:id="63273" w:name="_ETM_Q114_378840"/>
      <w:bookmarkEnd w:id="63273"/>
      <w:r>
        <w:rPr>
          <w:rFonts w:hint="cs"/>
          <w:rtl/>
        </w:rPr>
        <w:t xml:space="preserve">ממשלה </w:t>
      </w:r>
      <w:bookmarkStart w:id="63274" w:name="_ETM_Q114_379139"/>
      <w:bookmarkEnd w:id="63274"/>
      <w:r>
        <w:rPr>
          <w:rFonts w:hint="cs"/>
          <w:rtl/>
        </w:rPr>
        <w:t xml:space="preserve">שמכהן </w:t>
      </w:r>
      <w:bookmarkStart w:id="63275" w:name="_ETM_Q114_379680"/>
      <w:bookmarkEnd w:id="63275"/>
      <w:r>
        <w:rPr>
          <w:rFonts w:hint="cs"/>
          <w:rtl/>
        </w:rPr>
        <w:t xml:space="preserve">כבר </w:t>
      </w:r>
      <w:bookmarkStart w:id="63276" w:name="_ETM_Q114_380099"/>
      <w:bookmarkEnd w:id="63276"/>
      <w:r>
        <w:rPr>
          <w:rFonts w:hint="cs"/>
          <w:rtl/>
        </w:rPr>
        <w:t xml:space="preserve">16 </w:t>
      </w:r>
      <w:bookmarkStart w:id="63277" w:name="_ETM_Q114_380700"/>
      <w:bookmarkEnd w:id="63277"/>
      <w:r>
        <w:rPr>
          <w:rFonts w:hint="cs"/>
          <w:rtl/>
        </w:rPr>
        <w:t xml:space="preserve">שנים. </w:t>
      </w:r>
      <w:bookmarkStart w:id="63278" w:name="_ETM_Q114_384866"/>
      <w:bookmarkStart w:id="63279" w:name="_ETM_Q114_381150"/>
      <w:bookmarkEnd w:id="63278"/>
      <w:bookmarkEnd w:id="63279"/>
      <w:r>
        <w:rPr>
          <w:rFonts w:hint="cs"/>
          <w:rtl/>
        </w:rPr>
        <w:t xml:space="preserve">אני </w:t>
      </w:r>
      <w:bookmarkStart w:id="63280" w:name="_ETM_Q114_381269"/>
      <w:bookmarkEnd w:id="63280"/>
      <w:r>
        <w:rPr>
          <w:rFonts w:hint="cs"/>
          <w:rtl/>
        </w:rPr>
        <w:t xml:space="preserve">חושב </w:t>
      </w:r>
      <w:bookmarkStart w:id="63281" w:name="_ETM_Q114_381450"/>
      <w:bookmarkEnd w:id="63281"/>
      <w:r>
        <w:rPr>
          <w:rFonts w:hint="cs"/>
          <w:rtl/>
        </w:rPr>
        <w:t xml:space="preserve">שאולי </w:t>
      </w:r>
      <w:bookmarkStart w:id="63282" w:name="_ETM_Q114_382169"/>
      <w:bookmarkEnd w:id="63282"/>
      <w:r>
        <w:rPr>
          <w:rFonts w:hint="cs"/>
          <w:rtl/>
        </w:rPr>
        <w:t xml:space="preserve">אפילו </w:t>
      </w:r>
      <w:bookmarkStart w:id="63283" w:name="_ETM_Q114_382440"/>
      <w:bookmarkEnd w:id="63283"/>
      <w:r>
        <w:rPr>
          <w:rFonts w:hint="cs"/>
          <w:rtl/>
        </w:rPr>
        <w:t>במצטבר, אם נספור גם את 1996 עד 1999, אפילו יותר</w:t>
      </w:r>
      <w:r w:rsidR="00924280">
        <w:rPr>
          <w:rFonts w:hint="cs"/>
          <w:rtl/>
        </w:rPr>
        <w:t>.</w:t>
      </w:r>
      <w:r>
        <w:rPr>
          <w:rFonts w:hint="cs"/>
          <w:rtl/>
        </w:rPr>
        <w:t xml:space="preserve"> </w:t>
      </w:r>
      <w:bookmarkStart w:id="63284" w:name="_ETM_Q114_389545"/>
      <w:bookmarkStart w:id="63285" w:name="_ETM_Q114_383190"/>
      <w:bookmarkStart w:id="63286" w:name="_ETM_Q114_383549"/>
      <w:bookmarkStart w:id="63287" w:name="_ETM_Q114_383700"/>
      <w:bookmarkStart w:id="63288" w:name="_ETM_Q114_384000"/>
      <w:bookmarkStart w:id="63289" w:name="_ETM_Q114_384209"/>
      <w:bookmarkStart w:id="63290" w:name="_ETM_Q114_384510"/>
      <w:bookmarkStart w:id="63291" w:name="_ETM_Q114_384690"/>
      <w:bookmarkStart w:id="63292" w:name="_ETM_Q114_384780"/>
      <w:bookmarkStart w:id="63293" w:name="_ETM_Q114_384790"/>
      <w:bookmarkStart w:id="63294" w:name="_ETM_Q114_385360"/>
      <w:bookmarkStart w:id="63295" w:name="_ETM_Q114_385450"/>
      <w:bookmarkStart w:id="63296" w:name="_ETM_Q114_386690"/>
      <w:bookmarkStart w:id="63297" w:name="_ETM_Q114_387050"/>
      <w:bookmarkStart w:id="63298" w:name="_ETM_Q114_387999"/>
      <w:bookmarkEnd w:id="63284"/>
      <w:bookmarkEnd w:id="63285"/>
      <w:bookmarkEnd w:id="63286"/>
      <w:bookmarkEnd w:id="63287"/>
      <w:bookmarkEnd w:id="63288"/>
      <w:bookmarkEnd w:id="63289"/>
      <w:bookmarkEnd w:id="63290"/>
      <w:bookmarkEnd w:id="63291"/>
      <w:bookmarkEnd w:id="63292"/>
      <w:bookmarkEnd w:id="63293"/>
      <w:bookmarkEnd w:id="63294"/>
      <w:bookmarkEnd w:id="63295"/>
      <w:bookmarkEnd w:id="63296"/>
      <w:bookmarkEnd w:id="63297"/>
      <w:bookmarkEnd w:id="63298"/>
      <w:r>
        <w:rPr>
          <w:rFonts w:hint="cs"/>
          <w:rtl/>
        </w:rPr>
        <w:t>זה</w:t>
      </w:r>
      <w:r>
        <w:t>comes with the territory</w:t>
      </w:r>
      <w:r>
        <w:rPr>
          <w:rFonts w:hint="cs"/>
          <w:rtl/>
        </w:rPr>
        <w:t>, מה שנקרא.</w:t>
      </w:r>
      <w:bookmarkStart w:id="63299" w:name="_ETM_Q114_394321"/>
      <w:bookmarkEnd w:id="63299"/>
    </w:p>
    <w:p w:rsidR="00BB59CD" w:rsidRDefault="00BB59CD" w:rsidP="00BB59CD">
      <w:pPr>
        <w:rPr>
          <w:rtl/>
        </w:rPr>
      </w:pPr>
      <w:bookmarkStart w:id="63300" w:name="_ETM_Q114_394355"/>
      <w:bookmarkStart w:id="63301" w:name="_ETM_Q114_395081"/>
      <w:bookmarkEnd w:id="63300"/>
      <w:bookmarkEnd w:id="63301"/>
    </w:p>
    <w:p w:rsidR="00BB59CD" w:rsidRDefault="00BB59CD" w:rsidP="00BB59CD">
      <w:pPr>
        <w:rPr>
          <w:rtl/>
        </w:rPr>
      </w:pPr>
      <w:bookmarkStart w:id="63302" w:name="_ETM_Q114_395138"/>
      <w:bookmarkEnd w:id="63302"/>
      <w:r>
        <w:rPr>
          <w:rFonts w:hint="cs"/>
          <w:rtl/>
        </w:rPr>
        <w:t xml:space="preserve">אני רוצה לדבר על </w:t>
      </w:r>
      <w:bookmarkStart w:id="63303" w:name="_ETM_Q114_388506"/>
      <w:bookmarkStart w:id="63304" w:name="_ETM_Q114_388553"/>
      <w:bookmarkStart w:id="63305" w:name="_ETM_Q114_388359"/>
      <w:bookmarkStart w:id="63306" w:name="_ETM_Q114_388900"/>
      <w:bookmarkStart w:id="63307" w:name="_ETM_Q114_389469"/>
      <w:bookmarkStart w:id="63308" w:name="_ETM_Q114_390159"/>
      <w:bookmarkStart w:id="63309" w:name="_ETM_Q114_390249"/>
      <w:bookmarkStart w:id="63310" w:name="_ETM_Q114_390870"/>
      <w:bookmarkStart w:id="63311" w:name="_ETM_Q114_391169"/>
      <w:bookmarkStart w:id="63312" w:name="_ETM_Q114_391349"/>
      <w:bookmarkStart w:id="63313" w:name="_ETM_Q114_392040"/>
      <w:bookmarkStart w:id="63314" w:name="_ETM_Q114_392970"/>
      <w:bookmarkEnd w:id="63303"/>
      <w:bookmarkEnd w:id="63304"/>
      <w:bookmarkEnd w:id="63305"/>
      <w:bookmarkEnd w:id="63306"/>
      <w:bookmarkEnd w:id="63307"/>
      <w:bookmarkEnd w:id="63308"/>
      <w:bookmarkEnd w:id="63309"/>
      <w:bookmarkEnd w:id="63310"/>
      <w:bookmarkEnd w:id="63311"/>
      <w:bookmarkEnd w:id="63312"/>
      <w:bookmarkEnd w:id="63313"/>
      <w:bookmarkEnd w:id="63314"/>
      <w:r>
        <w:rPr>
          <w:rFonts w:hint="cs"/>
          <w:rtl/>
        </w:rPr>
        <w:t xml:space="preserve">דבר </w:t>
      </w:r>
      <w:bookmarkStart w:id="63315" w:name="_ETM_Q114_393299"/>
      <w:bookmarkEnd w:id="63315"/>
      <w:r>
        <w:rPr>
          <w:rFonts w:hint="cs"/>
          <w:rtl/>
        </w:rPr>
        <w:t xml:space="preserve">נוסף. </w:t>
      </w:r>
      <w:bookmarkStart w:id="63316" w:name="_ETM_Q114_393989"/>
      <w:bookmarkEnd w:id="63316"/>
      <w:r>
        <w:rPr>
          <w:rFonts w:hint="cs"/>
          <w:rtl/>
        </w:rPr>
        <w:t xml:space="preserve">אני </w:t>
      </w:r>
      <w:bookmarkStart w:id="63317" w:name="_ETM_Q114_394169"/>
      <w:bookmarkEnd w:id="63317"/>
      <w:r>
        <w:rPr>
          <w:rFonts w:hint="cs"/>
          <w:rtl/>
        </w:rPr>
        <w:t xml:space="preserve">תוהה </w:t>
      </w:r>
      <w:bookmarkStart w:id="63318" w:name="_ETM_Q114_394409"/>
      <w:bookmarkEnd w:id="63318"/>
      <w:r>
        <w:rPr>
          <w:rFonts w:hint="cs"/>
          <w:rtl/>
        </w:rPr>
        <w:t xml:space="preserve">מתי </w:t>
      </w:r>
      <w:bookmarkStart w:id="63319" w:name="_ETM_Q114_394739"/>
      <w:bookmarkEnd w:id="63319"/>
      <w:r>
        <w:rPr>
          <w:rFonts w:hint="cs"/>
          <w:rtl/>
        </w:rPr>
        <w:t xml:space="preserve">הזמן הנכון </w:t>
      </w:r>
      <w:bookmarkStart w:id="63320" w:name="_ETM_Q114_394799"/>
      <w:bookmarkStart w:id="63321" w:name="_ETM_Q114_394890"/>
      <w:bookmarkStart w:id="63322" w:name="_ETM_Q114_395190"/>
      <w:bookmarkStart w:id="63323" w:name="_ETM_Q114_395549"/>
      <w:bookmarkEnd w:id="63320"/>
      <w:bookmarkEnd w:id="63321"/>
      <w:bookmarkEnd w:id="63322"/>
      <w:bookmarkEnd w:id="63323"/>
      <w:r>
        <w:rPr>
          <w:rFonts w:hint="cs"/>
          <w:rtl/>
        </w:rPr>
        <w:t xml:space="preserve">להקריא </w:t>
      </w:r>
      <w:bookmarkStart w:id="63324" w:name="_ETM_Q114_395940"/>
      <w:bookmarkEnd w:id="63324"/>
      <w:r>
        <w:rPr>
          <w:rFonts w:hint="cs"/>
          <w:rtl/>
        </w:rPr>
        <w:t xml:space="preserve">איזה </w:t>
      </w:r>
      <w:bookmarkStart w:id="63325" w:name="_ETM_Q114_396090"/>
      <w:bookmarkEnd w:id="63325"/>
      <w:r>
        <w:rPr>
          <w:rFonts w:hint="cs"/>
          <w:rtl/>
        </w:rPr>
        <w:t xml:space="preserve">מאמר </w:t>
      </w:r>
      <w:bookmarkStart w:id="63326" w:name="_ETM_Q114_396599"/>
      <w:bookmarkEnd w:id="63326"/>
      <w:r>
        <w:rPr>
          <w:rFonts w:hint="cs"/>
          <w:rtl/>
        </w:rPr>
        <w:t xml:space="preserve">מאוד </w:t>
      </w:r>
      <w:bookmarkStart w:id="63327" w:name="_ETM_Q114_397689"/>
      <w:bookmarkEnd w:id="63327"/>
      <w:r>
        <w:rPr>
          <w:rFonts w:hint="cs"/>
          <w:rtl/>
        </w:rPr>
        <w:t xml:space="preserve">מעמיק – </w:t>
      </w:r>
      <w:bookmarkStart w:id="63328" w:name="_ETM_Q114_398529"/>
      <w:bookmarkEnd w:id="63328"/>
      <w:r>
        <w:rPr>
          <w:rFonts w:hint="cs"/>
          <w:rtl/>
        </w:rPr>
        <w:t xml:space="preserve">אבל </w:t>
      </w:r>
      <w:bookmarkStart w:id="63329" w:name="_ETM_Q114_398769"/>
      <w:bookmarkEnd w:id="63329"/>
      <w:r>
        <w:rPr>
          <w:rFonts w:hint="cs"/>
          <w:rtl/>
        </w:rPr>
        <w:t xml:space="preserve">אנחנו </w:t>
      </w:r>
      <w:bookmarkStart w:id="63330" w:name="_ETM_Q114_399010"/>
      <w:bookmarkEnd w:id="63330"/>
      <w:r>
        <w:rPr>
          <w:rFonts w:hint="cs"/>
          <w:rtl/>
        </w:rPr>
        <w:t xml:space="preserve">נגיע </w:t>
      </w:r>
      <w:bookmarkStart w:id="63331" w:name="_ETM_Q114_399370"/>
      <w:bookmarkEnd w:id="63331"/>
      <w:r>
        <w:rPr>
          <w:rFonts w:hint="cs"/>
          <w:rtl/>
        </w:rPr>
        <w:t xml:space="preserve">לזה </w:t>
      </w:r>
      <w:bookmarkStart w:id="63332" w:name="_ETM_Q114_407576"/>
      <w:bookmarkEnd w:id="63332"/>
      <w:r>
        <w:rPr>
          <w:rFonts w:hint="cs"/>
          <w:rtl/>
        </w:rPr>
        <w:t xml:space="preserve">– על השר בן גביר. </w:t>
      </w:r>
      <w:bookmarkStart w:id="63333" w:name="_ETM_Q114_399669"/>
      <w:bookmarkStart w:id="63334" w:name="_ETM_Q114_399969"/>
      <w:bookmarkStart w:id="63335" w:name="_ETM_Q114_400329"/>
      <w:bookmarkStart w:id="63336" w:name="_ETM_Q114_400540"/>
      <w:bookmarkStart w:id="63337" w:name="_ETM_Q114_400810"/>
      <w:bookmarkStart w:id="63338" w:name="_ETM_Q114_400930"/>
      <w:bookmarkStart w:id="63339" w:name="_ETM_Q114_401019"/>
      <w:bookmarkStart w:id="63340" w:name="_ETM_Q114_402559"/>
      <w:bookmarkStart w:id="63341" w:name="_ETM_Q114_402650"/>
      <w:bookmarkStart w:id="63342" w:name="_ETM_Q114_402799"/>
      <w:bookmarkEnd w:id="63333"/>
      <w:bookmarkEnd w:id="63334"/>
      <w:bookmarkEnd w:id="63335"/>
      <w:bookmarkEnd w:id="63336"/>
      <w:bookmarkEnd w:id="63337"/>
      <w:bookmarkEnd w:id="63338"/>
      <w:bookmarkEnd w:id="63339"/>
      <w:bookmarkEnd w:id="63340"/>
      <w:bookmarkEnd w:id="63341"/>
      <w:bookmarkEnd w:id="63342"/>
      <w:r>
        <w:rPr>
          <w:rFonts w:hint="cs"/>
          <w:rtl/>
        </w:rPr>
        <w:t xml:space="preserve">דיברתי </w:t>
      </w:r>
      <w:bookmarkStart w:id="63343" w:name="_ETM_Q114_403219"/>
      <w:bookmarkEnd w:id="63343"/>
      <w:r>
        <w:rPr>
          <w:rFonts w:hint="cs"/>
          <w:rtl/>
        </w:rPr>
        <w:t xml:space="preserve">רבות </w:t>
      </w:r>
      <w:bookmarkStart w:id="63344" w:name="_ETM_Q114_403579"/>
      <w:bookmarkEnd w:id="63344"/>
      <w:r>
        <w:rPr>
          <w:rFonts w:hint="cs"/>
          <w:rtl/>
        </w:rPr>
        <w:t xml:space="preserve">על </w:t>
      </w:r>
      <w:bookmarkStart w:id="63345" w:name="_ETM_Q114_403699"/>
      <w:bookmarkEnd w:id="63345"/>
      <w:r>
        <w:rPr>
          <w:rFonts w:hint="cs"/>
          <w:rtl/>
        </w:rPr>
        <w:t xml:space="preserve">הביצועים </w:t>
      </w:r>
      <w:bookmarkStart w:id="63346" w:name="_ETM_Q114_404329"/>
      <w:bookmarkEnd w:id="63346"/>
      <w:r>
        <w:rPr>
          <w:rFonts w:hint="cs"/>
          <w:rtl/>
        </w:rPr>
        <w:t xml:space="preserve">שלו, </w:t>
      </w:r>
      <w:bookmarkStart w:id="63347" w:name="_ETM_Q114_404719"/>
      <w:bookmarkEnd w:id="63347"/>
      <w:r>
        <w:rPr>
          <w:rFonts w:hint="cs"/>
          <w:rtl/>
        </w:rPr>
        <w:t xml:space="preserve">אבל אני רוצה לדבר - - </w:t>
      </w:r>
      <w:bookmarkStart w:id="63348" w:name="_ETM_Q114_406307"/>
      <w:bookmarkEnd w:id="63348"/>
      <w:r>
        <w:rPr>
          <w:rFonts w:hint="cs"/>
          <w:rtl/>
        </w:rPr>
        <w:t>-</w:t>
      </w:r>
    </w:p>
    <w:p w:rsidR="00BB59CD" w:rsidRDefault="00BB59CD" w:rsidP="00BB59CD">
      <w:pPr>
        <w:rPr>
          <w:rtl/>
        </w:rPr>
      </w:pPr>
      <w:bookmarkStart w:id="63349" w:name="_ETM_Q114_406794"/>
      <w:bookmarkStart w:id="63350" w:name="_ETM_Q114_406844"/>
      <w:bookmarkEnd w:id="63349"/>
      <w:bookmarkEnd w:id="63350"/>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3351" w:name="_ETM_Q114_406213"/>
      <w:bookmarkEnd w:id="63351"/>
      <w:r>
        <w:rPr>
          <w:rFonts w:hint="cs"/>
          <w:rtl/>
        </w:rPr>
        <w:t>דבר על הרפורמה, על החוק. מה השר בן גביר עכשיו?</w:t>
      </w:r>
      <w:r w:rsidR="00924280">
        <w:rPr>
          <w:rFonts w:hint="cs"/>
          <w:rtl/>
        </w:rPr>
        <w:t xml:space="preserve"> הדיון על עילת הסבירות. </w:t>
      </w:r>
    </w:p>
    <w:p w:rsidR="00BB59CD" w:rsidRDefault="00BB59CD" w:rsidP="00BB59CD">
      <w:pPr>
        <w:rPr>
          <w:rtl/>
        </w:rPr>
      </w:pPr>
      <w:bookmarkStart w:id="63352" w:name="_ETM_Q114_410409"/>
      <w:bookmarkStart w:id="63353" w:name="_ETM_Q114_410447"/>
      <w:bookmarkEnd w:id="63352"/>
      <w:bookmarkEnd w:id="63353"/>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924280">
      <w:pPr>
        <w:rPr>
          <w:rtl/>
        </w:rPr>
      </w:pPr>
      <w:bookmarkStart w:id="63354" w:name="_ETM_Q114_411095"/>
      <w:bookmarkEnd w:id="63354"/>
      <w:r>
        <w:rPr>
          <w:rFonts w:hint="cs"/>
          <w:rtl/>
        </w:rPr>
        <w:t xml:space="preserve">אתה </w:t>
      </w:r>
      <w:bookmarkStart w:id="63355" w:name="_ETM_Q114_411873"/>
      <w:bookmarkEnd w:id="63355"/>
      <w:r>
        <w:rPr>
          <w:rFonts w:hint="cs"/>
          <w:rtl/>
        </w:rPr>
        <w:t>רוצה שנדבר על הרפורמה?</w:t>
      </w:r>
      <w:bookmarkStart w:id="63356" w:name="_ETM_Q114_413251"/>
      <w:bookmarkEnd w:id="63356"/>
      <w:r w:rsidR="00924280">
        <w:rPr>
          <w:rFonts w:hint="cs"/>
          <w:rtl/>
        </w:rPr>
        <w:t xml:space="preserve"> </w:t>
      </w:r>
      <w:bookmarkStart w:id="63357" w:name="_ETM_Q114_413288"/>
      <w:bookmarkStart w:id="63358" w:name="_ETM_Q114_416364"/>
      <w:bookmarkEnd w:id="63357"/>
      <w:bookmarkEnd w:id="63358"/>
      <w:r w:rsidR="00924280">
        <w:rPr>
          <w:rFonts w:hint="cs"/>
          <w:rtl/>
        </w:rPr>
        <w:t>מ</w:t>
      </w:r>
      <w:r>
        <w:rPr>
          <w:rFonts w:hint="cs"/>
          <w:rtl/>
        </w:rPr>
        <w:t xml:space="preserve">ה עוד אתה רוצה </w:t>
      </w:r>
      <w:bookmarkStart w:id="63359" w:name="_ETM_Q114_416560"/>
      <w:bookmarkEnd w:id="63359"/>
      <w:r>
        <w:rPr>
          <w:rFonts w:hint="cs"/>
          <w:rtl/>
        </w:rPr>
        <w:t>שאני אגיד על הרפורמה שלא נאמר לפניי?</w:t>
      </w:r>
    </w:p>
    <w:p w:rsidR="00BB59CD" w:rsidRDefault="00BB59CD" w:rsidP="00BB59CD">
      <w:pPr>
        <w:rPr>
          <w:rtl/>
        </w:rPr>
      </w:pPr>
      <w:bookmarkStart w:id="63360" w:name="_ETM_Q114_417960"/>
      <w:bookmarkEnd w:id="63360"/>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3361" w:name="_ETM_Q114_418846"/>
      <w:bookmarkEnd w:id="63361"/>
      <w:r>
        <w:rPr>
          <w:rFonts w:hint="cs"/>
          <w:rtl/>
        </w:rPr>
        <w:t xml:space="preserve">תגיד, אדרבה. אני ואתה </w:t>
      </w:r>
      <w:bookmarkStart w:id="63362" w:name="_ETM_Q114_421128"/>
      <w:bookmarkEnd w:id="63362"/>
      <w:r>
        <w:rPr>
          <w:rFonts w:hint="cs"/>
          <w:rtl/>
        </w:rPr>
        <w:t>במקום שאזרחי ישראל צריכים להיות רגועים או לא רגועים. בוא,</w:t>
      </w:r>
      <w:bookmarkStart w:id="63363" w:name="_ETM_Q114_424254"/>
      <w:bookmarkEnd w:id="63363"/>
      <w:r>
        <w:rPr>
          <w:rFonts w:hint="cs"/>
          <w:rtl/>
        </w:rPr>
        <w:t xml:space="preserve"> בוא נסביר להם.</w:t>
      </w:r>
    </w:p>
    <w:p w:rsidR="00BB59CD" w:rsidRDefault="00BB59CD" w:rsidP="00BB59CD">
      <w:pPr>
        <w:rPr>
          <w:rtl/>
        </w:rPr>
      </w:pPr>
      <w:bookmarkStart w:id="63364" w:name="_ETM_Q114_424289"/>
      <w:bookmarkEnd w:id="63364"/>
    </w:p>
    <w:p w:rsidR="00BB59CD" w:rsidRDefault="00BB59CD" w:rsidP="00BB59CD">
      <w:pPr>
        <w:pStyle w:val="-"/>
        <w:keepNext/>
        <w:rPr>
          <w:rtl/>
        </w:rPr>
      </w:pPr>
      <w:bookmarkStart w:id="63365" w:name="ET_speakercontinue_6361_22"/>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365"/>
    </w:p>
    <w:p w:rsidR="00BB59CD" w:rsidRDefault="00BB59CD" w:rsidP="00337201">
      <w:pPr>
        <w:rPr>
          <w:rtl/>
        </w:rPr>
      </w:pPr>
    </w:p>
    <w:p w:rsidR="00BB59CD" w:rsidRDefault="00BB59CD" w:rsidP="00DB5C1C">
      <w:pPr>
        <w:rPr>
          <w:rtl/>
        </w:rPr>
      </w:pPr>
      <w:bookmarkStart w:id="63366" w:name="_ETM_Q114_423726"/>
      <w:bookmarkEnd w:id="63366"/>
      <w:r>
        <w:rPr>
          <w:rFonts w:hint="cs"/>
          <w:rtl/>
        </w:rPr>
        <w:t xml:space="preserve">אני אסביר לך שנייה. אתה </w:t>
      </w:r>
      <w:bookmarkStart w:id="63367" w:name="_ETM_Q114_427974"/>
      <w:bookmarkEnd w:id="63367"/>
      <w:r>
        <w:rPr>
          <w:rFonts w:hint="cs"/>
          <w:rtl/>
        </w:rPr>
        <w:t>יודע מה הבעיה העיקרית? אני לא אדבר על עילת</w:t>
      </w:r>
      <w:bookmarkStart w:id="63368" w:name="_ETM_Q114_430632"/>
      <w:bookmarkEnd w:id="63368"/>
      <w:r>
        <w:rPr>
          <w:rFonts w:hint="cs"/>
          <w:rtl/>
        </w:rPr>
        <w:t xml:space="preserve"> הסבירות.</w:t>
      </w:r>
      <w:bookmarkStart w:id="63369" w:name="_ETM_Q114_424188"/>
      <w:bookmarkStart w:id="63370" w:name="_ETM_Q114_424228"/>
      <w:bookmarkStart w:id="63371" w:name="_ETM_Q114_429760"/>
      <w:bookmarkEnd w:id="63369"/>
      <w:bookmarkEnd w:id="63370"/>
      <w:bookmarkEnd w:id="63371"/>
      <w:r>
        <w:rPr>
          <w:rFonts w:hint="cs"/>
          <w:rtl/>
        </w:rPr>
        <w:t xml:space="preserve"> הבעיה </w:t>
      </w:r>
      <w:bookmarkStart w:id="63372" w:name="_ETM_Q114_430150"/>
      <w:bookmarkEnd w:id="63372"/>
      <w:r>
        <w:rPr>
          <w:rFonts w:hint="cs"/>
          <w:rtl/>
        </w:rPr>
        <w:t>העיקרית</w:t>
      </w:r>
      <w:bookmarkStart w:id="63373" w:name="_ETM_Q114_431580"/>
      <w:bookmarkEnd w:id="63373"/>
      <w:r w:rsidR="00924280">
        <w:rPr>
          <w:rFonts w:hint="cs"/>
          <w:rtl/>
        </w:rPr>
        <w:t xml:space="preserve"> היא </w:t>
      </w:r>
      <w:r>
        <w:rPr>
          <w:rFonts w:hint="cs"/>
          <w:rtl/>
        </w:rPr>
        <w:t xml:space="preserve">שאתם, </w:t>
      </w:r>
      <w:bookmarkStart w:id="63374" w:name="_ETM_Q114_433029"/>
      <w:bookmarkEnd w:id="63374"/>
      <w:r>
        <w:rPr>
          <w:rFonts w:hint="cs"/>
          <w:rtl/>
        </w:rPr>
        <w:t xml:space="preserve">הקואליציה </w:t>
      </w:r>
      <w:bookmarkStart w:id="63375" w:name="_ETM_Q114_433659"/>
      <w:bookmarkEnd w:id="63375"/>
      <w:r>
        <w:rPr>
          <w:rFonts w:hint="cs"/>
          <w:rtl/>
        </w:rPr>
        <w:t>הזאת – א</w:t>
      </w:r>
      <w:bookmarkStart w:id="63376" w:name="_ETM_Q114_434049"/>
      <w:bookmarkEnd w:id="63376"/>
      <w:r>
        <w:rPr>
          <w:rFonts w:hint="cs"/>
          <w:rtl/>
        </w:rPr>
        <w:t xml:space="preserve">ני </w:t>
      </w:r>
      <w:bookmarkStart w:id="63377" w:name="_ETM_Q114_434229"/>
      <w:bookmarkEnd w:id="63377"/>
      <w:r>
        <w:rPr>
          <w:rFonts w:hint="cs"/>
          <w:rtl/>
        </w:rPr>
        <w:t xml:space="preserve">לא </w:t>
      </w:r>
      <w:bookmarkStart w:id="63378" w:name="_ETM_Q114_434319"/>
      <w:bookmarkEnd w:id="63378"/>
      <w:r>
        <w:rPr>
          <w:rFonts w:hint="cs"/>
          <w:rtl/>
        </w:rPr>
        <w:t xml:space="preserve">חושב </w:t>
      </w:r>
      <w:bookmarkStart w:id="63379" w:name="_ETM_Q114_434529"/>
      <w:bookmarkEnd w:id="63379"/>
      <w:r>
        <w:rPr>
          <w:rFonts w:hint="cs"/>
          <w:rtl/>
        </w:rPr>
        <w:t>שאתה</w:t>
      </w:r>
      <w:r w:rsidR="00924280">
        <w:rPr>
          <w:rFonts w:hint="cs"/>
          <w:rtl/>
        </w:rPr>
        <w:t>,</w:t>
      </w:r>
      <w:r>
        <w:rPr>
          <w:rFonts w:hint="cs"/>
          <w:rtl/>
        </w:rPr>
        <w:t xml:space="preserve"> אגב, אני לא רוצה לעשות לך פ</w:t>
      </w:r>
      <w:bookmarkStart w:id="63380" w:name="_ETM_Q114_434979"/>
      <w:bookmarkStart w:id="63381" w:name="_ETM_Q114_435279"/>
      <w:bookmarkStart w:id="63382" w:name="_ETM_Q114_435369"/>
      <w:bookmarkStart w:id="63383" w:name="_ETM_Q114_435609"/>
      <w:bookmarkStart w:id="63384" w:name="_ETM_Q114_435879"/>
      <w:bookmarkStart w:id="63385" w:name="_ETM_Q114_438189"/>
      <w:bookmarkEnd w:id="63380"/>
      <w:bookmarkEnd w:id="63381"/>
      <w:bookmarkEnd w:id="63382"/>
      <w:bookmarkEnd w:id="63383"/>
      <w:bookmarkEnd w:id="63384"/>
      <w:bookmarkEnd w:id="63385"/>
      <w:r>
        <w:rPr>
          <w:rFonts w:hint="cs"/>
          <w:rtl/>
        </w:rPr>
        <w:t xml:space="preserve">גיעות </w:t>
      </w:r>
      <w:bookmarkStart w:id="63386" w:name="_ETM_Q114_438969"/>
      <w:bookmarkEnd w:id="63386"/>
      <w:r>
        <w:rPr>
          <w:rFonts w:hint="cs"/>
          <w:rtl/>
        </w:rPr>
        <w:t xml:space="preserve">אלקטורליות </w:t>
      </w:r>
      <w:bookmarkStart w:id="63387" w:name="_ETM_Q114_439659"/>
      <w:bookmarkEnd w:id="63387"/>
      <w:r w:rsidR="00924280">
        <w:rPr>
          <w:rFonts w:hint="eastAsia"/>
          <w:rtl/>
        </w:rPr>
        <w:t>–</w:t>
      </w:r>
      <w:r w:rsidR="00924280">
        <w:rPr>
          <w:rFonts w:hint="cs"/>
          <w:rtl/>
        </w:rPr>
        <w:t xml:space="preserve"> </w:t>
      </w:r>
      <w:r>
        <w:rPr>
          <w:rFonts w:hint="cs"/>
          <w:rtl/>
        </w:rPr>
        <w:t xml:space="preserve">לא </w:t>
      </w:r>
      <w:bookmarkStart w:id="63388" w:name="_ETM_Q114_439750"/>
      <w:bookmarkEnd w:id="63388"/>
      <w:r>
        <w:rPr>
          <w:rFonts w:hint="cs"/>
          <w:rtl/>
        </w:rPr>
        <w:t xml:space="preserve">שאני </w:t>
      </w:r>
      <w:bookmarkStart w:id="63389" w:name="_ETM_Q114_439990"/>
      <w:bookmarkEnd w:id="63389"/>
      <w:r>
        <w:rPr>
          <w:rFonts w:hint="cs"/>
          <w:rtl/>
        </w:rPr>
        <w:t xml:space="preserve">חושב </w:t>
      </w:r>
      <w:bookmarkStart w:id="63390" w:name="_ETM_Q114_440169"/>
      <w:bookmarkEnd w:id="63390"/>
      <w:r>
        <w:rPr>
          <w:rFonts w:hint="cs"/>
          <w:rtl/>
        </w:rPr>
        <w:t xml:space="preserve">שאני </w:t>
      </w:r>
      <w:bookmarkStart w:id="63391" w:name="_ETM_Q114_440379"/>
      <w:bookmarkEnd w:id="63391"/>
      <w:r>
        <w:rPr>
          <w:rFonts w:hint="cs"/>
          <w:rtl/>
        </w:rPr>
        <w:t xml:space="preserve">יכול, </w:t>
      </w:r>
      <w:bookmarkStart w:id="63392" w:name="_ETM_Q114_441349"/>
      <w:bookmarkEnd w:id="63392"/>
      <w:r>
        <w:rPr>
          <w:rFonts w:hint="cs"/>
          <w:rtl/>
        </w:rPr>
        <w:t xml:space="preserve">בטח </w:t>
      </w:r>
      <w:bookmarkStart w:id="63393" w:name="_ETM_Q114_441650"/>
      <w:bookmarkEnd w:id="63393"/>
      <w:r>
        <w:rPr>
          <w:rFonts w:hint="cs"/>
          <w:rtl/>
        </w:rPr>
        <w:t xml:space="preserve">לא </w:t>
      </w:r>
      <w:bookmarkStart w:id="63394" w:name="_ETM_Q114_441770"/>
      <w:bookmarkEnd w:id="63394"/>
      <w:r>
        <w:rPr>
          <w:rFonts w:hint="cs"/>
          <w:rtl/>
        </w:rPr>
        <w:t xml:space="preserve">בשעה </w:t>
      </w:r>
      <w:bookmarkStart w:id="63395" w:name="_ETM_Q114_442290"/>
      <w:bookmarkEnd w:id="63395"/>
      <w:r>
        <w:rPr>
          <w:rFonts w:hint="cs"/>
          <w:rtl/>
        </w:rPr>
        <w:t xml:space="preserve">04:53 </w:t>
      </w:r>
      <w:bookmarkStart w:id="63396" w:name="_ETM_Q114_445640"/>
      <w:bookmarkEnd w:id="63396"/>
      <w:r>
        <w:rPr>
          <w:rFonts w:hint="cs"/>
          <w:rtl/>
        </w:rPr>
        <w:t>לפ</w:t>
      </w:r>
      <w:bookmarkStart w:id="63397" w:name="_ETM_Q114_443130"/>
      <w:bookmarkStart w:id="63398" w:name="_ETM_Q114_443400"/>
      <w:bookmarkEnd w:id="63397"/>
      <w:bookmarkEnd w:id="63398"/>
      <w:r>
        <w:rPr>
          <w:rFonts w:hint="cs"/>
          <w:rtl/>
        </w:rPr>
        <w:t xml:space="preserve">נות </w:t>
      </w:r>
      <w:bookmarkStart w:id="63399" w:name="_ETM_Q114_443700"/>
      <w:bookmarkEnd w:id="63399"/>
      <w:r>
        <w:rPr>
          <w:rFonts w:hint="cs"/>
          <w:rtl/>
        </w:rPr>
        <w:t xml:space="preserve">בוקר – </w:t>
      </w:r>
      <w:bookmarkStart w:id="63400" w:name="_ETM_Q114_444480"/>
      <w:bookmarkEnd w:id="63400"/>
      <w:r>
        <w:rPr>
          <w:rFonts w:hint="cs"/>
          <w:rtl/>
        </w:rPr>
        <w:t xml:space="preserve">אבל </w:t>
      </w:r>
      <w:bookmarkStart w:id="63401" w:name="_ETM_Q114_444750"/>
      <w:bookmarkEnd w:id="63401"/>
      <w:r>
        <w:rPr>
          <w:rFonts w:hint="cs"/>
          <w:rtl/>
        </w:rPr>
        <w:t xml:space="preserve">אני </w:t>
      </w:r>
      <w:bookmarkStart w:id="63402" w:name="_ETM_Q114_444870"/>
      <w:bookmarkEnd w:id="63402"/>
      <w:r>
        <w:rPr>
          <w:rFonts w:hint="cs"/>
          <w:rtl/>
        </w:rPr>
        <w:t xml:space="preserve">חושב </w:t>
      </w:r>
      <w:bookmarkStart w:id="63403" w:name="_ETM_Q114_445110"/>
      <w:bookmarkEnd w:id="63403"/>
      <w:r>
        <w:rPr>
          <w:rFonts w:hint="cs"/>
          <w:rtl/>
        </w:rPr>
        <w:t xml:space="preserve">שיש </w:t>
      </w:r>
      <w:bookmarkStart w:id="63404" w:name="_ETM_Q114_445950"/>
      <w:bookmarkEnd w:id="63404"/>
      <w:r>
        <w:rPr>
          <w:rFonts w:hint="cs"/>
          <w:rtl/>
        </w:rPr>
        <w:t xml:space="preserve">הבנה </w:t>
      </w:r>
      <w:bookmarkStart w:id="63405" w:name="_ETM_Q114_446490"/>
      <w:bookmarkEnd w:id="63405"/>
      <w:r>
        <w:rPr>
          <w:rFonts w:hint="cs"/>
          <w:rtl/>
        </w:rPr>
        <w:t xml:space="preserve">מסוימת </w:t>
      </w:r>
      <w:bookmarkStart w:id="63406" w:name="_ETM_Q114_447630"/>
      <w:bookmarkEnd w:id="63406"/>
      <w:r>
        <w:rPr>
          <w:rFonts w:hint="cs"/>
          <w:rtl/>
        </w:rPr>
        <w:t xml:space="preserve">שחבורה, </w:t>
      </w:r>
      <w:bookmarkStart w:id="63407" w:name="_ETM_Q114_448470"/>
      <w:bookmarkEnd w:id="63407"/>
      <w:r>
        <w:rPr>
          <w:rFonts w:hint="cs"/>
          <w:rtl/>
        </w:rPr>
        <w:t xml:space="preserve">הפלג </w:t>
      </w:r>
      <w:bookmarkStart w:id="63408" w:name="_ETM_Q114_449440"/>
      <w:bookmarkEnd w:id="63408"/>
      <w:r>
        <w:rPr>
          <w:rFonts w:hint="cs"/>
          <w:rtl/>
        </w:rPr>
        <w:t xml:space="preserve">הקיצוני </w:t>
      </w:r>
      <w:bookmarkStart w:id="63409" w:name="_ETM_Q114_450710"/>
      <w:bookmarkEnd w:id="63409"/>
      <w:r>
        <w:rPr>
          <w:rFonts w:hint="cs"/>
          <w:rtl/>
        </w:rPr>
        <w:t xml:space="preserve">בקואליציה </w:t>
      </w:r>
      <w:bookmarkStart w:id="63410" w:name="_ETM_Q114_451339"/>
      <w:bookmarkEnd w:id="63410"/>
      <w:r>
        <w:rPr>
          <w:rFonts w:hint="cs"/>
          <w:rtl/>
        </w:rPr>
        <w:t xml:space="preserve">שלכם, </w:t>
      </w:r>
      <w:bookmarkStart w:id="63411" w:name="_ETM_Q114_451990"/>
      <w:bookmarkEnd w:id="63411"/>
      <w:r>
        <w:rPr>
          <w:rFonts w:hint="cs"/>
          <w:rtl/>
        </w:rPr>
        <w:t xml:space="preserve">שלדעתי </w:t>
      </w:r>
      <w:bookmarkStart w:id="63412" w:name="_ETM_Q114_452440"/>
      <w:bookmarkEnd w:id="63412"/>
      <w:r>
        <w:rPr>
          <w:rFonts w:hint="cs"/>
          <w:rtl/>
        </w:rPr>
        <w:t xml:space="preserve">לא </w:t>
      </w:r>
      <w:bookmarkStart w:id="63413" w:name="_ETM_Q114_452529"/>
      <w:bookmarkEnd w:id="63413"/>
      <w:r>
        <w:rPr>
          <w:rFonts w:hint="cs"/>
          <w:rtl/>
        </w:rPr>
        <w:t xml:space="preserve">שווה </w:t>
      </w:r>
      <w:bookmarkStart w:id="63414" w:name="_ETM_Q114_452770"/>
      <w:bookmarkEnd w:id="63414"/>
      <w:r>
        <w:rPr>
          <w:rFonts w:hint="cs"/>
          <w:rtl/>
        </w:rPr>
        <w:t xml:space="preserve">יותר </w:t>
      </w:r>
      <w:bookmarkStart w:id="63415" w:name="_ETM_Q114_452949"/>
      <w:bookmarkEnd w:id="63415"/>
      <w:r>
        <w:rPr>
          <w:rFonts w:hint="cs"/>
          <w:rtl/>
        </w:rPr>
        <w:t xml:space="preserve">מחמישה-שישה </w:t>
      </w:r>
      <w:bookmarkStart w:id="63416" w:name="_ETM_Q114_453279"/>
      <w:bookmarkStart w:id="63417" w:name="_ETM_Q114_453610"/>
      <w:bookmarkEnd w:id="63416"/>
      <w:bookmarkEnd w:id="63417"/>
      <w:r>
        <w:rPr>
          <w:rFonts w:hint="cs"/>
          <w:rtl/>
        </w:rPr>
        <w:t xml:space="preserve">מנדטים </w:t>
      </w:r>
      <w:bookmarkStart w:id="63418" w:name="_ETM_Q114_454029"/>
      <w:bookmarkEnd w:id="63418"/>
      <w:r>
        <w:rPr>
          <w:rFonts w:hint="cs"/>
          <w:rtl/>
        </w:rPr>
        <w:t xml:space="preserve">ביום </w:t>
      </w:r>
      <w:bookmarkStart w:id="63419" w:name="_ETM_Q114_454360"/>
      <w:bookmarkEnd w:id="63419"/>
      <w:r>
        <w:rPr>
          <w:rFonts w:hint="cs"/>
          <w:rtl/>
        </w:rPr>
        <w:t xml:space="preserve">הכי </w:t>
      </w:r>
      <w:bookmarkStart w:id="63420" w:name="_ETM_Q114_454720"/>
      <w:bookmarkEnd w:id="63420"/>
      <w:r>
        <w:rPr>
          <w:rFonts w:hint="cs"/>
          <w:rtl/>
        </w:rPr>
        <w:t xml:space="preserve">הכי </w:t>
      </w:r>
      <w:bookmarkStart w:id="63421" w:name="_ETM_Q114_454930"/>
      <w:bookmarkEnd w:id="63421"/>
      <w:r>
        <w:rPr>
          <w:rFonts w:hint="cs"/>
          <w:rtl/>
        </w:rPr>
        <w:t xml:space="preserve">טוב </w:t>
      </w:r>
      <w:bookmarkStart w:id="63422" w:name="_ETM_Q114_455169"/>
      <w:bookmarkEnd w:id="63422"/>
      <w:r>
        <w:rPr>
          <w:rFonts w:hint="cs"/>
          <w:rtl/>
        </w:rPr>
        <w:t xml:space="preserve">שלו, </w:t>
      </w:r>
      <w:bookmarkStart w:id="63423" w:name="_ETM_Q114_456009"/>
      <w:bookmarkEnd w:id="63423"/>
      <w:r>
        <w:rPr>
          <w:rFonts w:hint="cs"/>
          <w:rtl/>
        </w:rPr>
        <w:t xml:space="preserve">גורר </w:t>
      </w:r>
      <w:bookmarkStart w:id="63424" w:name="_ETM_Q114_456460"/>
      <w:bookmarkEnd w:id="63424"/>
      <w:r>
        <w:rPr>
          <w:rFonts w:hint="cs"/>
          <w:rtl/>
        </w:rPr>
        <w:t xml:space="preserve">את </w:t>
      </w:r>
      <w:bookmarkStart w:id="63425" w:name="_ETM_Q114_456550"/>
      <w:bookmarkEnd w:id="63425"/>
      <w:r>
        <w:rPr>
          <w:rFonts w:hint="cs"/>
          <w:rtl/>
        </w:rPr>
        <w:t xml:space="preserve">כל </w:t>
      </w:r>
      <w:bookmarkStart w:id="63426" w:name="_ETM_Q114_456729"/>
      <w:bookmarkEnd w:id="63426"/>
      <w:r>
        <w:rPr>
          <w:rFonts w:hint="cs"/>
          <w:rtl/>
        </w:rPr>
        <w:t xml:space="preserve">המדינה </w:t>
      </w:r>
      <w:bookmarkStart w:id="63427" w:name="_ETM_Q114_457089"/>
      <w:bookmarkEnd w:id="63427"/>
      <w:r>
        <w:rPr>
          <w:rFonts w:hint="cs"/>
          <w:rtl/>
        </w:rPr>
        <w:t xml:space="preserve">ואת </w:t>
      </w:r>
      <w:bookmarkStart w:id="63428" w:name="_ETM_Q114_457300"/>
      <w:bookmarkEnd w:id="63428"/>
      <w:r>
        <w:rPr>
          <w:rFonts w:hint="cs"/>
          <w:rtl/>
        </w:rPr>
        <w:t xml:space="preserve">הקואליציה </w:t>
      </w:r>
      <w:bookmarkStart w:id="63429" w:name="_ETM_Q114_457750"/>
      <w:bookmarkEnd w:id="63429"/>
      <w:r>
        <w:rPr>
          <w:rFonts w:hint="cs"/>
          <w:rtl/>
        </w:rPr>
        <w:t xml:space="preserve">למקומות </w:t>
      </w:r>
      <w:bookmarkStart w:id="63430" w:name="_ETM_Q114_458139"/>
      <w:bookmarkEnd w:id="63430"/>
      <w:r>
        <w:rPr>
          <w:rFonts w:hint="cs"/>
          <w:rtl/>
        </w:rPr>
        <w:t xml:space="preserve">שאתם </w:t>
      </w:r>
      <w:bookmarkStart w:id="63431" w:name="_ETM_Q114_458440"/>
      <w:bookmarkEnd w:id="63431"/>
      <w:r>
        <w:rPr>
          <w:rFonts w:hint="cs"/>
          <w:rtl/>
        </w:rPr>
        <w:t xml:space="preserve">לא </w:t>
      </w:r>
      <w:bookmarkStart w:id="63432" w:name="_ETM_Q114_458529"/>
      <w:bookmarkEnd w:id="63432"/>
      <w:r>
        <w:rPr>
          <w:rFonts w:hint="cs"/>
          <w:rtl/>
        </w:rPr>
        <w:t xml:space="preserve">רוצים </w:t>
      </w:r>
      <w:bookmarkStart w:id="63433" w:name="_ETM_Q114_458830"/>
      <w:bookmarkEnd w:id="63433"/>
      <w:r>
        <w:rPr>
          <w:rFonts w:hint="cs"/>
          <w:rtl/>
        </w:rPr>
        <w:t xml:space="preserve">להיות בהם. </w:t>
      </w:r>
      <w:bookmarkStart w:id="63434" w:name="_ETM_Q114_459770"/>
      <w:bookmarkStart w:id="63435" w:name="_ETM_Q114_460699"/>
      <w:bookmarkEnd w:id="63434"/>
      <w:bookmarkEnd w:id="63435"/>
      <w:r>
        <w:rPr>
          <w:rFonts w:hint="cs"/>
          <w:rtl/>
        </w:rPr>
        <w:t xml:space="preserve">תסכים </w:t>
      </w:r>
      <w:bookmarkStart w:id="63436" w:name="_ETM_Q114_460190"/>
      <w:bookmarkEnd w:id="63436"/>
      <w:r>
        <w:rPr>
          <w:rFonts w:hint="cs"/>
          <w:rtl/>
        </w:rPr>
        <w:t xml:space="preserve">על עילת הסבירות, </w:t>
      </w:r>
      <w:bookmarkStart w:id="63437" w:name="_ETM_Q114_460460"/>
      <w:bookmarkStart w:id="63438" w:name="_ETM_Q114_461060"/>
      <w:bookmarkEnd w:id="63437"/>
      <w:bookmarkEnd w:id="63438"/>
      <w:r>
        <w:rPr>
          <w:rFonts w:hint="cs"/>
          <w:rtl/>
        </w:rPr>
        <w:t xml:space="preserve">תצמצם </w:t>
      </w:r>
      <w:bookmarkStart w:id="63439" w:name="_ETM_Q114_461630"/>
      <w:bookmarkEnd w:id="63439"/>
      <w:r>
        <w:rPr>
          <w:rFonts w:hint="cs"/>
          <w:rtl/>
        </w:rPr>
        <w:t xml:space="preserve">את </w:t>
      </w:r>
      <w:bookmarkStart w:id="63440" w:name="_ETM_Q114_461750"/>
      <w:bookmarkEnd w:id="63440"/>
      <w:r>
        <w:rPr>
          <w:rFonts w:hint="cs"/>
          <w:rtl/>
        </w:rPr>
        <w:t xml:space="preserve">עילת </w:t>
      </w:r>
      <w:bookmarkStart w:id="63441" w:name="_ETM_Q114_462020"/>
      <w:bookmarkEnd w:id="63441"/>
      <w:r>
        <w:rPr>
          <w:rFonts w:hint="cs"/>
          <w:rtl/>
        </w:rPr>
        <w:t xml:space="preserve">הסבירות, </w:t>
      </w:r>
      <w:bookmarkStart w:id="63442" w:name="_ETM_Q114_462620"/>
      <w:bookmarkEnd w:id="63442"/>
      <w:r>
        <w:rPr>
          <w:rFonts w:hint="cs"/>
          <w:rtl/>
        </w:rPr>
        <w:t xml:space="preserve">תדבר </w:t>
      </w:r>
      <w:bookmarkStart w:id="63443" w:name="_ETM_Q114_463010"/>
      <w:bookmarkEnd w:id="63443"/>
      <w:r>
        <w:rPr>
          <w:rFonts w:hint="cs"/>
          <w:rtl/>
        </w:rPr>
        <w:t xml:space="preserve">איתי </w:t>
      </w:r>
      <w:bookmarkStart w:id="63444" w:name="_ETM_Q114_463160"/>
      <w:bookmarkEnd w:id="63444"/>
      <w:r>
        <w:rPr>
          <w:rFonts w:hint="cs"/>
          <w:rtl/>
        </w:rPr>
        <w:t xml:space="preserve">על </w:t>
      </w:r>
      <w:bookmarkStart w:id="63445" w:name="_ETM_Q114_463250"/>
      <w:bookmarkEnd w:id="63445"/>
      <w:r>
        <w:rPr>
          <w:rFonts w:hint="cs"/>
          <w:rtl/>
        </w:rPr>
        <w:t xml:space="preserve">הוועדה </w:t>
      </w:r>
      <w:bookmarkStart w:id="63446" w:name="_ETM_Q114_463520"/>
      <w:bookmarkEnd w:id="63446"/>
      <w:r>
        <w:rPr>
          <w:rFonts w:hint="cs"/>
          <w:rtl/>
        </w:rPr>
        <w:t xml:space="preserve">למינוי </w:t>
      </w:r>
      <w:bookmarkStart w:id="63447" w:name="_ETM_Q114_463970"/>
      <w:bookmarkEnd w:id="63447"/>
      <w:r>
        <w:rPr>
          <w:rFonts w:hint="cs"/>
          <w:rtl/>
        </w:rPr>
        <w:t xml:space="preserve">שופטים, </w:t>
      </w:r>
      <w:bookmarkStart w:id="63448" w:name="_ETM_Q114_464450"/>
      <w:bookmarkEnd w:id="63448"/>
      <w:r>
        <w:rPr>
          <w:rFonts w:hint="cs"/>
          <w:rtl/>
        </w:rPr>
        <w:t xml:space="preserve">אני </w:t>
      </w:r>
      <w:bookmarkStart w:id="63449" w:name="_ETM_Q114_464600"/>
      <w:bookmarkEnd w:id="63449"/>
      <w:r>
        <w:rPr>
          <w:rFonts w:hint="cs"/>
          <w:rtl/>
        </w:rPr>
        <w:t xml:space="preserve">חושב </w:t>
      </w:r>
      <w:bookmarkStart w:id="63450" w:name="_ETM_Q114_464779"/>
      <w:bookmarkEnd w:id="63450"/>
      <w:r>
        <w:rPr>
          <w:rFonts w:hint="cs"/>
          <w:rtl/>
        </w:rPr>
        <w:t>ש</w:t>
      </w:r>
      <w:bookmarkStart w:id="63451" w:name="_ETM_Q114_464990"/>
      <w:bookmarkEnd w:id="63451"/>
      <w:r>
        <w:rPr>
          <w:rFonts w:hint="cs"/>
          <w:rtl/>
        </w:rPr>
        <w:t xml:space="preserve">בכולם, </w:t>
      </w:r>
      <w:bookmarkStart w:id="63452" w:name="_ETM_Q114_465740"/>
      <w:bookmarkEnd w:id="63452"/>
      <w:r>
        <w:rPr>
          <w:rFonts w:hint="cs"/>
          <w:rtl/>
        </w:rPr>
        <w:t xml:space="preserve">אנחנו </w:t>
      </w:r>
      <w:bookmarkStart w:id="63453" w:name="_ETM_Q114_466040"/>
      <w:bookmarkEnd w:id="63453"/>
      <w:r>
        <w:rPr>
          <w:rFonts w:hint="cs"/>
          <w:rtl/>
        </w:rPr>
        <w:t xml:space="preserve">יכולים, </w:t>
      </w:r>
      <w:bookmarkStart w:id="63454" w:name="_ETM_Q114_466339"/>
      <w:bookmarkEnd w:id="63454"/>
      <w:r>
        <w:rPr>
          <w:rFonts w:hint="cs"/>
          <w:rtl/>
        </w:rPr>
        <w:t xml:space="preserve">80% </w:t>
      </w:r>
      <w:bookmarkStart w:id="63455" w:name="_ETM_Q114_467300"/>
      <w:bookmarkEnd w:id="63455"/>
      <w:r>
        <w:rPr>
          <w:rFonts w:hint="cs"/>
          <w:rtl/>
        </w:rPr>
        <w:t xml:space="preserve">מהבית </w:t>
      </w:r>
      <w:bookmarkStart w:id="63456" w:name="_ETM_Q114_467960"/>
      <w:bookmarkEnd w:id="63456"/>
      <w:r>
        <w:rPr>
          <w:rFonts w:hint="cs"/>
          <w:rtl/>
        </w:rPr>
        <w:t xml:space="preserve">הזה, </w:t>
      </w:r>
      <w:bookmarkStart w:id="63457" w:name="_ETM_Q114_468110"/>
      <w:bookmarkEnd w:id="63457"/>
      <w:r>
        <w:rPr>
          <w:rFonts w:hint="cs"/>
          <w:rtl/>
        </w:rPr>
        <w:t xml:space="preserve">יכולים </w:t>
      </w:r>
      <w:bookmarkStart w:id="63458" w:name="_ETM_Q114_468380"/>
      <w:bookmarkEnd w:id="63458"/>
      <w:r>
        <w:rPr>
          <w:rFonts w:hint="cs"/>
          <w:rtl/>
        </w:rPr>
        <w:t xml:space="preserve">להגיע </w:t>
      </w:r>
      <w:bookmarkStart w:id="63459" w:name="_ETM_Q114_468680"/>
      <w:bookmarkEnd w:id="63459"/>
      <w:r>
        <w:rPr>
          <w:rFonts w:hint="cs"/>
          <w:rtl/>
        </w:rPr>
        <w:t>להסכמה</w:t>
      </w:r>
      <w:r w:rsidR="00DB5C1C">
        <w:rPr>
          <w:rFonts w:hint="cs"/>
          <w:rtl/>
        </w:rPr>
        <w:t>;</w:t>
      </w:r>
      <w:r>
        <w:rPr>
          <w:rFonts w:hint="cs"/>
          <w:rtl/>
        </w:rPr>
        <w:t xml:space="preserve"> </w:t>
      </w:r>
      <w:bookmarkStart w:id="63460" w:name="_ETM_Q114_469250"/>
      <w:bookmarkStart w:id="63461" w:name="_ETM_Q114_469520"/>
      <w:bookmarkStart w:id="63462" w:name="_ETM_Q114_469670"/>
      <w:bookmarkEnd w:id="63460"/>
      <w:bookmarkEnd w:id="63461"/>
      <w:bookmarkEnd w:id="63462"/>
      <w:r>
        <w:rPr>
          <w:rFonts w:hint="cs"/>
          <w:rtl/>
        </w:rPr>
        <w:t xml:space="preserve">יש פה עשרה </w:t>
      </w:r>
      <w:bookmarkStart w:id="63463" w:name="_ETM_Q114_470150"/>
      <w:bookmarkStart w:id="63464" w:name="_ETM_Q114_470810"/>
      <w:bookmarkEnd w:id="63463"/>
      <w:bookmarkEnd w:id="63464"/>
      <w:r>
        <w:rPr>
          <w:rFonts w:hint="cs"/>
          <w:rtl/>
        </w:rPr>
        <w:t xml:space="preserve">אנשים </w:t>
      </w:r>
      <w:bookmarkStart w:id="63465" w:name="_ETM_Q114_471850"/>
      <w:bookmarkEnd w:id="63465"/>
      <w:r>
        <w:rPr>
          <w:rFonts w:hint="cs"/>
          <w:rtl/>
        </w:rPr>
        <w:t xml:space="preserve">שגוררים </w:t>
      </w:r>
      <w:bookmarkStart w:id="63466" w:name="_ETM_Q114_473050"/>
      <w:bookmarkEnd w:id="63466"/>
      <w:r>
        <w:rPr>
          <w:rFonts w:hint="cs"/>
          <w:rtl/>
        </w:rPr>
        <w:t xml:space="preserve">את </w:t>
      </w:r>
      <w:bookmarkStart w:id="63467" w:name="_ETM_Q114_473260"/>
      <w:bookmarkEnd w:id="63467"/>
      <w:r>
        <w:rPr>
          <w:rFonts w:hint="cs"/>
          <w:rtl/>
        </w:rPr>
        <w:t xml:space="preserve">המדינה </w:t>
      </w:r>
      <w:bookmarkStart w:id="63468" w:name="_ETM_Q114_473710"/>
      <w:bookmarkEnd w:id="63468"/>
      <w:r>
        <w:rPr>
          <w:rFonts w:hint="cs"/>
          <w:rtl/>
        </w:rPr>
        <w:t xml:space="preserve">הזו </w:t>
      </w:r>
      <w:bookmarkStart w:id="63469" w:name="_ETM_Q114_473950"/>
      <w:bookmarkEnd w:id="63469"/>
      <w:r>
        <w:rPr>
          <w:rFonts w:hint="cs"/>
          <w:rtl/>
        </w:rPr>
        <w:t>לתהום.</w:t>
      </w:r>
    </w:p>
    <w:p w:rsidR="00BB59CD" w:rsidRDefault="00BB59CD" w:rsidP="00BB59CD">
      <w:pPr>
        <w:rPr>
          <w:rtl/>
        </w:rPr>
      </w:pPr>
      <w:bookmarkStart w:id="63470" w:name="_ETM_Q114_476297"/>
      <w:bookmarkStart w:id="63471" w:name="_ETM_Q114_476328"/>
      <w:bookmarkEnd w:id="63470"/>
      <w:bookmarkEnd w:id="63471"/>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DB5C1C">
      <w:pPr>
        <w:rPr>
          <w:rtl/>
        </w:rPr>
      </w:pPr>
      <w:bookmarkStart w:id="63472" w:name="_ETM_Q114_475371"/>
      <w:bookmarkEnd w:id="63472"/>
      <w:r>
        <w:rPr>
          <w:rFonts w:hint="cs"/>
          <w:rtl/>
        </w:rPr>
        <w:t xml:space="preserve">אדרבה, בגלל זה </w:t>
      </w:r>
      <w:bookmarkStart w:id="63473" w:name="_ETM_Q114_477947"/>
      <w:bookmarkEnd w:id="63473"/>
      <w:r>
        <w:rPr>
          <w:rFonts w:hint="cs"/>
          <w:rtl/>
        </w:rPr>
        <w:t xml:space="preserve">אני כן רוצה. אתה פוגש אנשים ברחוב, והם באמת </w:t>
      </w:r>
      <w:bookmarkStart w:id="63474" w:name="_ETM_Q114_482113"/>
      <w:bookmarkEnd w:id="63474"/>
      <w:r>
        <w:rPr>
          <w:rFonts w:hint="cs"/>
          <w:rtl/>
        </w:rPr>
        <w:t xml:space="preserve">חרדים, כי הם לא יודעים והם מפחדים. אתה שואל אותם </w:t>
      </w:r>
      <w:bookmarkStart w:id="63475" w:name="_ETM_Q114_485475"/>
      <w:bookmarkEnd w:id="63475"/>
      <w:r>
        <w:rPr>
          <w:rFonts w:hint="cs"/>
          <w:rtl/>
        </w:rPr>
        <w:t>למה</w:t>
      </w:r>
      <w:bookmarkStart w:id="63476" w:name="_ETM_Q114_484484"/>
      <w:bookmarkEnd w:id="63476"/>
      <w:r w:rsidR="00DB5C1C">
        <w:rPr>
          <w:rFonts w:hint="cs"/>
          <w:rtl/>
        </w:rPr>
        <w:t xml:space="preserve"> - - -</w:t>
      </w:r>
    </w:p>
    <w:p w:rsidR="00BB59CD" w:rsidRDefault="00BB59CD" w:rsidP="00BB59CD">
      <w:pPr>
        <w:rPr>
          <w:rtl/>
        </w:rPr>
      </w:pPr>
      <w:bookmarkStart w:id="63477" w:name="_ETM_Q114_484528"/>
      <w:bookmarkEnd w:id="63477"/>
    </w:p>
    <w:p w:rsidR="00BB59CD" w:rsidRDefault="00BB59CD" w:rsidP="00BB59CD">
      <w:pPr>
        <w:pStyle w:val="-"/>
        <w:keepNext/>
        <w:rPr>
          <w:rtl/>
        </w:rPr>
      </w:pPr>
      <w:bookmarkStart w:id="63478" w:name="ET_speakercontinue_6361_2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478"/>
    </w:p>
    <w:p w:rsidR="00BB59CD" w:rsidRDefault="00BB59CD" w:rsidP="00337201">
      <w:pPr>
        <w:rPr>
          <w:rtl/>
        </w:rPr>
      </w:pPr>
    </w:p>
    <w:p w:rsidR="00BB59CD" w:rsidRDefault="00BB59CD" w:rsidP="00BB59CD">
      <w:pPr>
        <w:rPr>
          <w:rtl/>
        </w:rPr>
      </w:pPr>
      <w:bookmarkStart w:id="63479" w:name="_ETM_Q114_485226"/>
      <w:bookmarkEnd w:id="63479"/>
      <w:r>
        <w:rPr>
          <w:rFonts w:hint="cs"/>
          <w:rtl/>
        </w:rPr>
        <w:t>אתה לא שומע את השרים?</w:t>
      </w:r>
      <w:bookmarkStart w:id="63480" w:name="_ETM_Q114_486936"/>
      <w:bookmarkEnd w:id="63480"/>
    </w:p>
    <w:p w:rsidR="00BB59CD" w:rsidRDefault="00BB59CD" w:rsidP="00BB59CD">
      <w:pPr>
        <w:rPr>
          <w:rtl/>
        </w:rPr>
      </w:pPr>
      <w:bookmarkStart w:id="63481" w:name="_ETM_Q114_486971"/>
      <w:bookmarkEnd w:id="63481"/>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3482" w:name="_ETM_Q114_488087"/>
      <w:bookmarkEnd w:id="63482"/>
      <w:r>
        <w:rPr>
          <w:rFonts w:hint="cs"/>
          <w:rtl/>
        </w:rPr>
        <w:t xml:space="preserve">אתה שואל אותם: </w:t>
      </w:r>
      <w:bookmarkStart w:id="63483" w:name="_ETM_Q114_476465"/>
      <w:bookmarkStart w:id="63484" w:name="_ETM_Q114_476494"/>
      <w:bookmarkStart w:id="63485" w:name="_ETM_Q114_486540"/>
      <w:bookmarkEnd w:id="63483"/>
      <w:bookmarkEnd w:id="63484"/>
      <w:bookmarkEnd w:id="63485"/>
      <w:r>
        <w:rPr>
          <w:rFonts w:hint="cs"/>
          <w:rtl/>
        </w:rPr>
        <w:t xml:space="preserve">למה </w:t>
      </w:r>
      <w:bookmarkStart w:id="63486" w:name="_ETM_Q114_486899"/>
      <w:bookmarkEnd w:id="63486"/>
      <w:r>
        <w:rPr>
          <w:rFonts w:hint="cs"/>
          <w:rtl/>
        </w:rPr>
        <w:t xml:space="preserve">אתם </w:t>
      </w:r>
      <w:bookmarkStart w:id="63487" w:name="_ETM_Q114_487020"/>
      <w:bookmarkEnd w:id="63487"/>
      <w:r>
        <w:rPr>
          <w:rFonts w:hint="cs"/>
          <w:rtl/>
        </w:rPr>
        <w:t xml:space="preserve">מפחדים? </w:t>
      </w:r>
      <w:bookmarkStart w:id="63488" w:name="_ETM_Q114_487620"/>
      <w:bookmarkEnd w:id="63488"/>
      <w:r>
        <w:rPr>
          <w:rFonts w:hint="cs"/>
          <w:rtl/>
        </w:rPr>
        <w:t xml:space="preserve">מה </w:t>
      </w:r>
      <w:bookmarkStart w:id="63489" w:name="_ETM_Q114_487859"/>
      <w:bookmarkEnd w:id="63489"/>
      <w:r>
        <w:rPr>
          <w:rFonts w:hint="cs"/>
          <w:rtl/>
        </w:rPr>
        <w:t xml:space="preserve">יכול </w:t>
      </w:r>
      <w:bookmarkStart w:id="63490" w:name="_ETM_Q114_488250"/>
      <w:bookmarkEnd w:id="63490"/>
      <w:r>
        <w:rPr>
          <w:rFonts w:hint="cs"/>
          <w:rtl/>
        </w:rPr>
        <w:t>להיות</w:t>
      </w:r>
      <w:bookmarkStart w:id="63491" w:name="_ETM_Q114_489514"/>
      <w:bookmarkEnd w:id="63491"/>
      <w:r>
        <w:rPr>
          <w:rFonts w:hint="cs"/>
          <w:rtl/>
        </w:rPr>
        <w:t xml:space="preserve"> עם עילת הסבירות? והם לא ידעו להגיד לך למה, אז בוא נסביר </w:t>
      </w:r>
      <w:bookmarkStart w:id="63492" w:name="_ETM_Q114_491716"/>
      <w:bookmarkEnd w:id="63492"/>
      <w:r>
        <w:rPr>
          <w:rFonts w:hint="cs"/>
          <w:rtl/>
        </w:rPr>
        <w:t>להם, לכאן או לכאן.</w:t>
      </w:r>
    </w:p>
    <w:p w:rsidR="00BB59CD" w:rsidRDefault="00BB59CD" w:rsidP="00BB59CD">
      <w:pPr>
        <w:rPr>
          <w:rtl/>
        </w:rPr>
      </w:pPr>
      <w:bookmarkStart w:id="63493" w:name="_ETM_Q114_492393"/>
      <w:bookmarkStart w:id="63494" w:name="_ETM_Q114_492439"/>
      <w:bookmarkStart w:id="63495" w:name="_ETM_Q114_492578"/>
      <w:bookmarkEnd w:id="63493"/>
      <w:bookmarkEnd w:id="63494"/>
      <w:bookmarkEnd w:id="6349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DB5C1C">
      <w:pPr>
        <w:rPr>
          <w:rtl/>
        </w:rPr>
      </w:pPr>
      <w:bookmarkStart w:id="63496" w:name="_ETM_Q114_493506"/>
      <w:bookmarkEnd w:id="63496"/>
      <w:r>
        <w:rPr>
          <w:rFonts w:hint="cs"/>
          <w:rtl/>
        </w:rPr>
        <w:t xml:space="preserve">אני אסביר לך למה </w:t>
      </w:r>
      <w:bookmarkStart w:id="63497" w:name="_ETM_Q114_492608"/>
      <w:bookmarkStart w:id="63498" w:name="_ETM_Q114_488670"/>
      <w:bookmarkStart w:id="63499" w:name="_ETM_Q114_488880"/>
      <w:bookmarkStart w:id="63500" w:name="_ETM_Q114_488970"/>
      <w:bookmarkStart w:id="63501" w:name="_ETM_Q114_489150"/>
      <w:bookmarkStart w:id="63502" w:name="_ETM_Q114_489240"/>
      <w:bookmarkStart w:id="63503" w:name="_ETM_Q114_489389"/>
      <w:bookmarkStart w:id="63504" w:name="_ETM_Q114_489570"/>
      <w:bookmarkStart w:id="63505" w:name="_ETM_Q114_489750"/>
      <w:bookmarkStart w:id="63506" w:name="_ETM_Q114_489870"/>
      <w:bookmarkStart w:id="63507" w:name="_ETM_Q114_490019"/>
      <w:bookmarkStart w:id="63508" w:name="_ETM_Q114_490380"/>
      <w:bookmarkStart w:id="63509" w:name="_ETM_Q114_490800"/>
      <w:bookmarkStart w:id="63510" w:name="_ETM_Q114_491010"/>
      <w:bookmarkStart w:id="63511" w:name="_ETM_Q114_491370"/>
      <w:bookmarkStart w:id="63512" w:name="_ETM_Q114_491759"/>
      <w:bookmarkStart w:id="63513" w:name="_ETM_Q114_491849"/>
      <w:bookmarkStart w:id="63514" w:name="_ETM_Q114_491940"/>
      <w:bookmarkStart w:id="63515" w:name="_ETM_Q114_492179"/>
      <w:bookmarkStart w:id="63516" w:name="_ETM_Q114_492420"/>
      <w:bookmarkStart w:id="63517" w:name="_ETM_Q114_492630"/>
      <w:bookmarkStart w:id="63518" w:name="_ETM_Q114_492690"/>
      <w:bookmarkEnd w:id="63497"/>
      <w:bookmarkEnd w:id="63498"/>
      <w:bookmarkEnd w:id="63499"/>
      <w:bookmarkEnd w:id="63500"/>
      <w:bookmarkEnd w:id="63501"/>
      <w:bookmarkEnd w:id="63502"/>
      <w:bookmarkEnd w:id="63503"/>
      <w:bookmarkEnd w:id="63504"/>
      <w:bookmarkEnd w:id="63505"/>
      <w:bookmarkEnd w:id="63506"/>
      <w:bookmarkEnd w:id="63507"/>
      <w:bookmarkEnd w:id="63508"/>
      <w:bookmarkEnd w:id="63509"/>
      <w:bookmarkEnd w:id="63510"/>
      <w:bookmarkEnd w:id="63511"/>
      <w:bookmarkEnd w:id="63512"/>
      <w:bookmarkEnd w:id="63513"/>
      <w:bookmarkEnd w:id="63514"/>
      <w:bookmarkEnd w:id="63515"/>
      <w:bookmarkEnd w:id="63516"/>
      <w:bookmarkEnd w:id="63517"/>
      <w:bookmarkEnd w:id="63518"/>
      <w:r>
        <w:rPr>
          <w:rFonts w:hint="cs"/>
          <w:rtl/>
        </w:rPr>
        <w:t xml:space="preserve">הם מפחדים. </w:t>
      </w:r>
      <w:bookmarkStart w:id="63519" w:name="_ETM_Q114_493679"/>
      <w:bookmarkEnd w:id="63519"/>
      <w:r>
        <w:rPr>
          <w:rFonts w:hint="cs"/>
          <w:rtl/>
        </w:rPr>
        <w:t xml:space="preserve">זה </w:t>
      </w:r>
      <w:bookmarkStart w:id="63520" w:name="_ETM_Q114_493889"/>
      <w:bookmarkEnd w:id="63520"/>
      <w:r>
        <w:rPr>
          <w:rFonts w:hint="cs"/>
          <w:rtl/>
        </w:rPr>
        <w:t xml:space="preserve">לא </w:t>
      </w:r>
      <w:bookmarkStart w:id="63521" w:name="_ETM_Q114_493980"/>
      <w:bookmarkEnd w:id="63521"/>
      <w:r>
        <w:rPr>
          <w:rFonts w:hint="cs"/>
          <w:rtl/>
        </w:rPr>
        <w:t xml:space="preserve">בגלל </w:t>
      </w:r>
      <w:bookmarkStart w:id="63522" w:name="_ETM_Q114_494309"/>
      <w:bookmarkEnd w:id="63522"/>
      <w:r>
        <w:rPr>
          <w:rFonts w:hint="cs"/>
          <w:rtl/>
        </w:rPr>
        <w:t xml:space="preserve">עילת </w:t>
      </w:r>
      <w:bookmarkStart w:id="63523" w:name="_ETM_Q114_494549"/>
      <w:bookmarkEnd w:id="63523"/>
      <w:r>
        <w:rPr>
          <w:rFonts w:hint="cs"/>
          <w:rtl/>
        </w:rPr>
        <w:t xml:space="preserve">הסבירות, </w:t>
      </w:r>
      <w:bookmarkStart w:id="63524" w:name="_ETM_Q114_495330"/>
      <w:bookmarkEnd w:id="63524"/>
      <w:r>
        <w:rPr>
          <w:rFonts w:hint="cs"/>
          <w:rtl/>
        </w:rPr>
        <w:t xml:space="preserve">זה </w:t>
      </w:r>
      <w:bookmarkStart w:id="63525" w:name="_ETM_Q114_495540"/>
      <w:bookmarkEnd w:id="63525"/>
      <w:r>
        <w:rPr>
          <w:rFonts w:hint="cs"/>
          <w:rtl/>
        </w:rPr>
        <w:t xml:space="preserve">בגלל </w:t>
      </w:r>
      <w:bookmarkStart w:id="63526" w:name="_ETM_Q114_496020"/>
      <w:bookmarkEnd w:id="63526"/>
      <w:r>
        <w:rPr>
          <w:rFonts w:hint="cs"/>
          <w:rtl/>
        </w:rPr>
        <w:t xml:space="preserve">ביטויים </w:t>
      </w:r>
      <w:bookmarkStart w:id="63527" w:name="_ETM_Q114_496949"/>
      <w:bookmarkEnd w:id="63527"/>
      <w:r>
        <w:rPr>
          <w:rFonts w:hint="cs"/>
          <w:rtl/>
        </w:rPr>
        <w:t xml:space="preserve">כמו </w:t>
      </w:r>
      <w:bookmarkStart w:id="63528" w:name="_ETM_Q114_497279"/>
      <w:bookmarkEnd w:id="63528"/>
      <w:r>
        <w:rPr>
          <w:rFonts w:hint="cs"/>
          <w:rtl/>
        </w:rPr>
        <w:t xml:space="preserve">של </w:t>
      </w:r>
      <w:bookmarkStart w:id="63529" w:name="_ETM_Q114_497609"/>
      <w:bookmarkEnd w:id="63529"/>
      <w:r>
        <w:rPr>
          <w:rFonts w:hint="cs"/>
          <w:rtl/>
        </w:rPr>
        <w:t xml:space="preserve">אבי </w:t>
      </w:r>
      <w:bookmarkStart w:id="63530" w:name="_ETM_Q114_497850"/>
      <w:bookmarkEnd w:id="63530"/>
      <w:r>
        <w:rPr>
          <w:rFonts w:hint="cs"/>
          <w:rtl/>
        </w:rPr>
        <w:t xml:space="preserve">מעוז, </w:t>
      </w:r>
      <w:bookmarkStart w:id="63531" w:name="_ETM_Q114_498270"/>
      <w:bookmarkEnd w:id="63531"/>
      <w:r>
        <w:rPr>
          <w:rFonts w:hint="cs"/>
          <w:rtl/>
        </w:rPr>
        <w:t xml:space="preserve">שאומר: </w:t>
      </w:r>
      <w:bookmarkStart w:id="63532" w:name="_ETM_Q114_498570"/>
      <w:bookmarkEnd w:id="63532"/>
      <w:r>
        <w:rPr>
          <w:rFonts w:hint="cs"/>
          <w:rtl/>
        </w:rPr>
        <w:t xml:space="preserve">אני </w:t>
      </w:r>
      <w:bookmarkStart w:id="63533" w:name="_ETM_Q114_498720"/>
      <w:bookmarkEnd w:id="63533"/>
      <w:r>
        <w:rPr>
          <w:rFonts w:hint="cs"/>
          <w:rtl/>
        </w:rPr>
        <w:t xml:space="preserve">לא </w:t>
      </w:r>
      <w:bookmarkStart w:id="63534" w:name="_ETM_Q114_498810"/>
      <w:bookmarkEnd w:id="63534"/>
      <w:r>
        <w:rPr>
          <w:rFonts w:hint="cs"/>
          <w:rtl/>
        </w:rPr>
        <w:t xml:space="preserve">רוצה </w:t>
      </w:r>
      <w:bookmarkStart w:id="63535" w:name="_ETM_Q114_499050"/>
      <w:bookmarkStart w:id="63536" w:name="_ETM_Q114_499740"/>
      <w:bookmarkEnd w:id="63535"/>
      <w:bookmarkEnd w:id="63536"/>
      <w:r>
        <w:rPr>
          <w:rFonts w:hint="cs"/>
          <w:rtl/>
        </w:rPr>
        <w:t xml:space="preserve">דמוקרטיה. </w:t>
      </w:r>
      <w:bookmarkStart w:id="63537" w:name="_ETM_Q114_500820"/>
      <w:bookmarkEnd w:id="63537"/>
      <w:r>
        <w:rPr>
          <w:rFonts w:hint="cs"/>
          <w:rtl/>
        </w:rPr>
        <w:t xml:space="preserve">הוא </w:t>
      </w:r>
      <w:bookmarkStart w:id="63538" w:name="_ETM_Q114_500970"/>
      <w:bookmarkEnd w:id="63538"/>
      <w:r>
        <w:rPr>
          <w:rFonts w:hint="cs"/>
          <w:rtl/>
        </w:rPr>
        <w:t xml:space="preserve">אומר </w:t>
      </w:r>
      <w:bookmarkStart w:id="63539" w:name="_ETM_Q114_501210"/>
      <w:bookmarkEnd w:id="63539"/>
      <w:r>
        <w:rPr>
          <w:rFonts w:hint="cs"/>
          <w:rtl/>
        </w:rPr>
        <w:t xml:space="preserve">את </w:t>
      </w:r>
      <w:bookmarkStart w:id="63540" w:name="_ETM_Q114_501330"/>
      <w:bookmarkEnd w:id="63540"/>
      <w:r>
        <w:rPr>
          <w:rFonts w:hint="cs"/>
          <w:rtl/>
        </w:rPr>
        <w:t xml:space="preserve">זה, במילים </w:t>
      </w:r>
      <w:bookmarkStart w:id="63541" w:name="_ETM_Q114_505268"/>
      <w:bookmarkEnd w:id="63541"/>
      <w:r>
        <w:rPr>
          <w:rFonts w:hint="cs"/>
          <w:rtl/>
        </w:rPr>
        <w:t xml:space="preserve">האלה, כותרת בעיתון. אם היה לי הטלפון שלי, הייתי מראה </w:t>
      </w:r>
      <w:bookmarkStart w:id="63542" w:name="_ETM_Q114_507278"/>
      <w:bookmarkEnd w:id="63542"/>
      <w:r>
        <w:rPr>
          <w:rFonts w:hint="cs"/>
          <w:rtl/>
        </w:rPr>
        <w:t xml:space="preserve">לך. </w:t>
      </w:r>
      <w:bookmarkStart w:id="63543" w:name="_ETM_Q114_501449"/>
      <w:bookmarkStart w:id="63544" w:name="_ETM_Q114_501839"/>
      <w:bookmarkStart w:id="63545" w:name="_ETM_Q114_502600"/>
      <w:bookmarkStart w:id="63546" w:name="_ETM_Q114_503199"/>
      <w:bookmarkStart w:id="63547" w:name="_ETM_Q114_503680"/>
      <w:bookmarkStart w:id="63548" w:name="_ETM_Q114_504100"/>
      <w:bookmarkStart w:id="63549" w:name="_ETM_Q114_504730"/>
      <w:bookmarkStart w:id="63550" w:name="_ETM_Q114_505210"/>
      <w:bookmarkStart w:id="63551" w:name="_ETM_Q114_505390"/>
      <w:bookmarkStart w:id="63552" w:name="_ETM_Q114_505510"/>
      <w:bookmarkStart w:id="63553" w:name="_ETM_Q114_505570"/>
      <w:bookmarkStart w:id="63554" w:name="_ETM_Q114_505900"/>
      <w:bookmarkStart w:id="63555" w:name="_ETM_Q114_506050"/>
      <w:bookmarkStart w:id="63556" w:name="_ETM_Q114_506230"/>
      <w:bookmarkStart w:id="63557" w:name="_ETM_Q114_506439"/>
      <w:bookmarkStart w:id="63558" w:name="_ETM_Q114_507070"/>
      <w:bookmarkEnd w:id="63543"/>
      <w:bookmarkEnd w:id="63544"/>
      <w:bookmarkEnd w:id="63545"/>
      <w:bookmarkEnd w:id="63546"/>
      <w:bookmarkEnd w:id="63547"/>
      <w:bookmarkEnd w:id="63548"/>
      <w:bookmarkEnd w:id="63549"/>
      <w:bookmarkEnd w:id="63550"/>
      <w:bookmarkEnd w:id="63551"/>
      <w:bookmarkEnd w:id="63552"/>
      <w:bookmarkEnd w:id="63553"/>
      <w:bookmarkEnd w:id="63554"/>
      <w:bookmarkEnd w:id="63555"/>
      <w:bookmarkEnd w:id="63556"/>
      <w:bookmarkEnd w:id="63557"/>
      <w:bookmarkEnd w:id="63558"/>
      <w:r>
        <w:rPr>
          <w:rFonts w:hint="cs"/>
          <w:rtl/>
        </w:rPr>
        <w:t xml:space="preserve">כותרת </w:t>
      </w:r>
      <w:bookmarkStart w:id="63559" w:name="_ETM_Q114_507490"/>
      <w:bookmarkEnd w:id="63559"/>
      <w:r>
        <w:rPr>
          <w:rFonts w:hint="cs"/>
          <w:rtl/>
        </w:rPr>
        <w:t xml:space="preserve">בעיתון </w:t>
      </w:r>
      <w:bookmarkStart w:id="63560" w:name="_ETM_Q114_507970"/>
      <w:bookmarkEnd w:id="63560"/>
      <w:r>
        <w:rPr>
          <w:rFonts w:hint="cs"/>
          <w:rtl/>
        </w:rPr>
        <w:t xml:space="preserve">מלפני </w:t>
      </w:r>
      <w:bookmarkStart w:id="63561" w:name="_ETM_Q114_508330"/>
      <w:bookmarkEnd w:id="63561"/>
      <w:r>
        <w:rPr>
          <w:rFonts w:hint="cs"/>
          <w:rtl/>
        </w:rPr>
        <w:t xml:space="preserve">שנה </w:t>
      </w:r>
      <w:bookmarkStart w:id="63562" w:name="_ETM_Q114_508539"/>
      <w:bookmarkEnd w:id="63562"/>
      <w:r>
        <w:rPr>
          <w:rFonts w:hint="cs"/>
          <w:rtl/>
        </w:rPr>
        <w:t xml:space="preserve">וחצי: </w:t>
      </w:r>
      <w:bookmarkStart w:id="63563" w:name="_ETM_Q114_509349"/>
      <w:bookmarkEnd w:id="63563"/>
      <w:r>
        <w:rPr>
          <w:rFonts w:hint="cs"/>
          <w:rtl/>
        </w:rPr>
        <w:t xml:space="preserve">אני </w:t>
      </w:r>
      <w:bookmarkStart w:id="63564" w:name="_ETM_Q114_509589"/>
      <w:bookmarkEnd w:id="63564"/>
      <w:r>
        <w:rPr>
          <w:rFonts w:hint="cs"/>
          <w:rtl/>
        </w:rPr>
        <w:t xml:space="preserve">לא </w:t>
      </w:r>
      <w:bookmarkStart w:id="63565" w:name="_ETM_Q114_509710"/>
      <w:bookmarkEnd w:id="63565"/>
      <w:r>
        <w:rPr>
          <w:rFonts w:hint="cs"/>
          <w:rtl/>
        </w:rPr>
        <w:t>רוצה את הדמוקרטיה.</w:t>
      </w:r>
      <w:r w:rsidR="00DB5C1C">
        <w:rPr>
          <w:rFonts w:hint="cs"/>
          <w:rtl/>
        </w:rPr>
        <w:t xml:space="preserve"> </w:t>
      </w:r>
      <w:bookmarkStart w:id="63566" w:name="_ETM_Q114_513977"/>
      <w:bookmarkStart w:id="63567" w:name="_ETM_Q114_514036"/>
      <w:bookmarkStart w:id="63568" w:name="_ETM_Q114_514152"/>
      <w:bookmarkStart w:id="63569" w:name="_ETM_Q114_514203"/>
      <w:bookmarkEnd w:id="63566"/>
      <w:bookmarkEnd w:id="63567"/>
      <w:bookmarkEnd w:id="63568"/>
      <w:bookmarkEnd w:id="63569"/>
      <w:r>
        <w:rPr>
          <w:rFonts w:hint="cs"/>
          <w:rtl/>
        </w:rPr>
        <w:t xml:space="preserve">התבטא שר האוצר ואמר: אני </w:t>
      </w:r>
      <w:bookmarkStart w:id="63570" w:name="_ETM_Q114_510310"/>
      <w:bookmarkStart w:id="63571" w:name="_ETM_Q114_510550"/>
      <w:bookmarkStart w:id="63572" w:name="_ETM_Q114_510640"/>
      <w:bookmarkStart w:id="63573" w:name="_ETM_Q114_510849"/>
      <w:bookmarkStart w:id="63574" w:name="_ETM_Q114_510910"/>
      <w:bookmarkStart w:id="63575" w:name="_ETM_Q114_511960"/>
      <w:bookmarkStart w:id="63576" w:name="_ETM_Q114_512410"/>
      <w:bookmarkStart w:id="63577" w:name="_ETM_Q114_512649"/>
      <w:bookmarkStart w:id="63578" w:name="_ETM_Q114_513100"/>
      <w:bookmarkStart w:id="63579" w:name="_ETM_Q114_513339"/>
      <w:bookmarkStart w:id="63580" w:name="_ETM_Q114_513489"/>
      <w:bookmarkEnd w:id="63570"/>
      <w:bookmarkEnd w:id="63571"/>
      <w:bookmarkEnd w:id="63572"/>
      <w:bookmarkEnd w:id="63573"/>
      <w:bookmarkEnd w:id="63574"/>
      <w:bookmarkEnd w:id="63575"/>
      <w:bookmarkEnd w:id="63576"/>
      <w:bookmarkEnd w:id="63577"/>
      <w:bookmarkEnd w:id="63578"/>
      <w:bookmarkEnd w:id="63579"/>
      <w:bookmarkEnd w:id="63580"/>
      <w:r>
        <w:rPr>
          <w:rFonts w:hint="cs"/>
          <w:rtl/>
        </w:rPr>
        <w:t xml:space="preserve">רוצה </w:t>
      </w:r>
      <w:bookmarkStart w:id="63581" w:name="_ETM_Q114_513700"/>
      <w:bookmarkEnd w:id="63581"/>
      <w:r>
        <w:rPr>
          <w:rFonts w:hint="cs"/>
          <w:rtl/>
        </w:rPr>
        <w:t xml:space="preserve">לחזור </w:t>
      </w:r>
      <w:bookmarkStart w:id="63582" w:name="_ETM_Q114_513970"/>
      <w:bookmarkEnd w:id="63582"/>
      <w:r>
        <w:rPr>
          <w:rFonts w:hint="cs"/>
          <w:rtl/>
        </w:rPr>
        <w:t xml:space="preserve">לחוקי </w:t>
      </w:r>
      <w:bookmarkStart w:id="63583" w:name="_ETM_Q114_514329"/>
      <w:bookmarkEnd w:id="63583"/>
      <w:r>
        <w:rPr>
          <w:rFonts w:hint="cs"/>
          <w:rtl/>
        </w:rPr>
        <w:t xml:space="preserve">התורה. </w:t>
      </w:r>
      <w:bookmarkStart w:id="63584" w:name="_ETM_Q114_517494"/>
      <w:bookmarkEnd w:id="63584"/>
      <w:r>
        <w:rPr>
          <w:rFonts w:hint="cs"/>
          <w:rtl/>
        </w:rPr>
        <w:t xml:space="preserve">הוא </w:t>
      </w:r>
      <w:bookmarkStart w:id="63585" w:name="_ETM_Q114_514809"/>
      <w:bookmarkEnd w:id="63585"/>
      <w:r>
        <w:rPr>
          <w:rFonts w:hint="cs"/>
          <w:rtl/>
        </w:rPr>
        <w:t xml:space="preserve">אמר </w:t>
      </w:r>
      <w:bookmarkStart w:id="63586" w:name="_ETM_Q114_515140"/>
      <w:bookmarkEnd w:id="63586"/>
      <w:r>
        <w:rPr>
          <w:rFonts w:hint="cs"/>
          <w:rtl/>
        </w:rPr>
        <w:t xml:space="preserve">את </w:t>
      </w:r>
      <w:bookmarkStart w:id="63587" w:name="_ETM_Q114_515230"/>
      <w:bookmarkEnd w:id="63587"/>
      <w:r>
        <w:rPr>
          <w:rFonts w:hint="cs"/>
          <w:rtl/>
        </w:rPr>
        <w:t xml:space="preserve">זה; </w:t>
      </w:r>
      <w:bookmarkStart w:id="63588" w:name="_ETM_Q114_516000"/>
      <w:bookmarkEnd w:id="63588"/>
      <w:r>
        <w:rPr>
          <w:rFonts w:hint="cs"/>
          <w:rtl/>
        </w:rPr>
        <w:t xml:space="preserve">לא </w:t>
      </w:r>
      <w:bookmarkStart w:id="63589" w:name="_ETM_Q114_516300"/>
      <w:bookmarkEnd w:id="63589"/>
      <w:r>
        <w:rPr>
          <w:rFonts w:hint="cs"/>
          <w:rtl/>
        </w:rPr>
        <w:t xml:space="preserve">אני </w:t>
      </w:r>
      <w:bookmarkStart w:id="63590" w:name="_ETM_Q114_516510"/>
      <w:bookmarkEnd w:id="63590"/>
      <w:r>
        <w:rPr>
          <w:rFonts w:hint="cs"/>
          <w:rtl/>
        </w:rPr>
        <w:t xml:space="preserve">אמרתי </w:t>
      </w:r>
      <w:bookmarkStart w:id="63591" w:name="_ETM_Q114_516930"/>
      <w:bookmarkEnd w:id="63591"/>
      <w:r>
        <w:rPr>
          <w:rFonts w:hint="cs"/>
          <w:rtl/>
        </w:rPr>
        <w:t xml:space="preserve">את </w:t>
      </w:r>
      <w:bookmarkStart w:id="63592" w:name="_ETM_Q114_516990"/>
      <w:bookmarkEnd w:id="63592"/>
      <w:r>
        <w:rPr>
          <w:rFonts w:hint="cs"/>
          <w:rtl/>
        </w:rPr>
        <w:t xml:space="preserve">זה. </w:t>
      </w:r>
      <w:bookmarkStart w:id="63593" w:name="_ETM_Q114_517320"/>
      <w:bookmarkEnd w:id="63593"/>
      <w:r>
        <w:rPr>
          <w:rFonts w:hint="cs"/>
          <w:rtl/>
        </w:rPr>
        <w:t xml:space="preserve">אתה </w:t>
      </w:r>
      <w:bookmarkStart w:id="63594" w:name="_ETM_Q114_517529"/>
      <w:bookmarkEnd w:id="63594"/>
      <w:r>
        <w:rPr>
          <w:rFonts w:hint="cs"/>
          <w:rtl/>
        </w:rPr>
        <w:t xml:space="preserve">שואל </w:t>
      </w:r>
      <w:bookmarkStart w:id="63595" w:name="_ETM_Q114_517710"/>
      <w:bookmarkEnd w:id="63595"/>
      <w:r>
        <w:rPr>
          <w:rFonts w:hint="cs"/>
          <w:rtl/>
        </w:rPr>
        <w:t xml:space="preserve">ממה </w:t>
      </w:r>
      <w:bookmarkStart w:id="63596" w:name="_ETM_Q114_517950"/>
      <w:bookmarkEnd w:id="63596"/>
      <w:r>
        <w:rPr>
          <w:rFonts w:hint="cs"/>
          <w:rtl/>
        </w:rPr>
        <w:t xml:space="preserve">אנשים </w:t>
      </w:r>
      <w:bookmarkStart w:id="63597" w:name="_ETM_Q114_518220"/>
      <w:bookmarkEnd w:id="63597"/>
      <w:r>
        <w:rPr>
          <w:rFonts w:hint="cs"/>
          <w:rtl/>
        </w:rPr>
        <w:t xml:space="preserve">פוחדים? </w:t>
      </w:r>
      <w:bookmarkStart w:id="63598" w:name="_ETM_Q114_518580"/>
      <w:bookmarkEnd w:id="63598"/>
      <w:r>
        <w:rPr>
          <w:rFonts w:hint="cs"/>
          <w:rtl/>
        </w:rPr>
        <w:t xml:space="preserve">תשמע </w:t>
      </w:r>
      <w:bookmarkStart w:id="63599" w:name="_ETM_Q114_518970"/>
      <w:bookmarkEnd w:id="63599"/>
      <w:r>
        <w:rPr>
          <w:rFonts w:hint="cs"/>
          <w:rtl/>
        </w:rPr>
        <w:t xml:space="preserve">מה </w:t>
      </w:r>
      <w:bookmarkStart w:id="63600" w:name="_ETM_Q114_519120"/>
      <w:bookmarkEnd w:id="63600"/>
      <w:r>
        <w:rPr>
          <w:rFonts w:hint="cs"/>
          <w:rtl/>
        </w:rPr>
        <w:t xml:space="preserve">אנשים </w:t>
      </w:r>
      <w:bookmarkStart w:id="63601" w:name="_ETM_Q114_519390"/>
      <w:bookmarkEnd w:id="63601"/>
      <w:r>
        <w:rPr>
          <w:rFonts w:hint="cs"/>
          <w:rtl/>
        </w:rPr>
        <w:t xml:space="preserve">מדברים. </w:t>
      </w:r>
      <w:bookmarkStart w:id="63602" w:name="_ETM_Q114_521140"/>
      <w:bookmarkEnd w:id="63602"/>
      <w:r>
        <w:rPr>
          <w:rFonts w:hint="cs"/>
          <w:rtl/>
        </w:rPr>
        <w:t xml:space="preserve">תשמע </w:t>
      </w:r>
      <w:bookmarkStart w:id="63603" w:name="_ETM_Q114_521620"/>
      <w:bookmarkEnd w:id="63603"/>
      <w:r>
        <w:rPr>
          <w:rFonts w:hint="cs"/>
          <w:rtl/>
        </w:rPr>
        <w:t xml:space="preserve">את </w:t>
      </w:r>
      <w:bookmarkStart w:id="63604" w:name="_ETM_Q114_521739"/>
      <w:bookmarkEnd w:id="63604"/>
      <w:r>
        <w:rPr>
          <w:rFonts w:hint="cs"/>
          <w:rtl/>
        </w:rPr>
        <w:t xml:space="preserve">רוטמן, </w:t>
      </w:r>
      <w:bookmarkStart w:id="63605" w:name="_ETM_Q114_522250"/>
      <w:bookmarkEnd w:id="63605"/>
      <w:r>
        <w:rPr>
          <w:rFonts w:hint="cs"/>
          <w:rtl/>
        </w:rPr>
        <w:t xml:space="preserve">תשמע </w:t>
      </w:r>
      <w:bookmarkStart w:id="63606" w:name="_ETM_Q114_522550"/>
      <w:bookmarkEnd w:id="63606"/>
      <w:r>
        <w:rPr>
          <w:rFonts w:hint="cs"/>
          <w:rtl/>
        </w:rPr>
        <w:t xml:space="preserve">את סמוטריץ', </w:t>
      </w:r>
      <w:bookmarkStart w:id="63607" w:name="_ETM_Q114_522940"/>
      <w:bookmarkStart w:id="63608" w:name="_ETM_Q114_524030"/>
      <w:bookmarkEnd w:id="63607"/>
      <w:bookmarkEnd w:id="63608"/>
      <w:r>
        <w:rPr>
          <w:rFonts w:hint="cs"/>
          <w:rtl/>
        </w:rPr>
        <w:t xml:space="preserve">תשמע </w:t>
      </w:r>
      <w:bookmarkStart w:id="63609" w:name="_ETM_Q114_524450"/>
      <w:bookmarkEnd w:id="63609"/>
      <w:r>
        <w:rPr>
          <w:rFonts w:hint="cs"/>
          <w:rtl/>
        </w:rPr>
        <w:t xml:space="preserve">את </w:t>
      </w:r>
      <w:bookmarkStart w:id="63610" w:name="_ETM_Q114_524600"/>
      <w:bookmarkEnd w:id="63610"/>
      <w:r>
        <w:rPr>
          <w:rFonts w:hint="cs"/>
          <w:rtl/>
        </w:rPr>
        <w:t xml:space="preserve">השר </w:t>
      </w:r>
      <w:bookmarkStart w:id="63611" w:name="_ETM_Q114_524990"/>
      <w:bookmarkEnd w:id="63611"/>
      <w:r>
        <w:rPr>
          <w:rFonts w:hint="cs"/>
          <w:rtl/>
        </w:rPr>
        <w:t>מ</w:t>
      </w:r>
      <w:r w:rsidR="00DB5C1C">
        <w:rPr>
          <w:rFonts w:hint="cs"/>
          <w:rtl/>
        </w:rPr>
        <w:t>ע</w:t>
      </w:r>
      <w:r>
        <w:rPr>
          <w:rFonts w:hint="cs"/>
          <w:rtl/>
        </w:rPr>
        <w:t xml:space="preserve">לי </w:t>
      </w:r>
      <w:bookmarkStart w:id="63612" w:name="_ETM_Q114_525440"/>
      <w:bookmarkStart w:id="63613" w:name="_ETM_Q0_68127680"/>
      <w:bookmarkStart w:id="63614" w:name="_ETM_Q0_68128154"/>
      <w:bookmarkStart w:id="63615" w:name="_ETM_Q0_68131472"/>
      <w:bookmarkStart w:id="63616" w:name="_ETM_Q0_68131677"/>
      <w:bookmarkEnd w:id="63612"/>
      <w:r>
        <w:rPr>
          <w:rFonts w:hint="cs"/>
          <w:rtl/>
        </w:rPr>
        <w:t>אקספרס</w:t>
      </w:r>
      <w:bookmarkEnd w:id="63613"/>
      <w:bookmarkEnd w:id="63614"/>
      <w:bookmarkEnd w:id="63615"/>
      <w:bookmarkEnd w:id="63616"/>
      <w:r>
        <w:rPr>
          <w:rFonts w:hint="cs"/>
          <w:rtl/>
        </w:rPr>
        <w:t xml:space="preserve">, </w:t>
      </w:r>
      <w:bookmarkStart w:id="63617" w:name="_ETM_Q114_527300"/>
      <w:bookmarkEnd w:id="63617"/>
      <w:r>
        <w:rPr>
          <w:rFonts w:hint="cs"/>
          <w:rtl/>
        </w:rPr>
        <w:t xml:space="preserve">שר </w:t>
      </w:r>
      <w:bookmarkStart w:id="63618" w:name="_ETM_Q114_527510"/>
      <w:bookmarkEnd w:id="63618"/>
      <w:r>
        <w:rPr>
          <w:rFonts w:hint="cs"/>
          <w:rtl/>
        </w:rPr>
        <w:t xml:space="preserve">התקשורת </w:t>
      </w:r>
      <w:bookmarkStart w:id="63619" w:name="_ETM_Q114_528020"/>
      <w:bookmarkEnd w:id="63619"/>
      <w:r>
        <w:rPr>
          <w:rFonts w:hint="cs"/>
          <w:rtl/>
        </w:rPr>
        <w:t xml:space="preserve">שלנו, </w:t>
      </w:r>
      <w:bookmarkStart w:id="63620" w:name="_ETM_Q114_528380"/>
      <w:bookmarkEnd w:id="63620"/>
      <w:r>
        <w:rPr>
          <w:rFonts w:hint="cs"/>
          <w:rtl/>
        </w:rPr>
        <w:t xml:space="preserve">שרוצה </w:t>
      </w:r>
      <w:bookmarkStart w:id="63621" w:name="_ETM_Q114_528830"/>
      <w:bookmarkEnd w:id="63621"/>
      <w:r>
        <w:rPr>
          <w:rFonts w:hint="cs"/>
          <w:rtl/>
        </w:rPr>
        <w:t xml:space="preserve">לשלוט </w:t>
      </w:r>
      <w:bookmarkStart w:id="63622" w:name="_ETM_Q114_529160"/>
      <w:bookmarkEnd w:id="63622"/>
      <w:r>
        <w:rPr>
          <w:rFonts w:hint="cs"/>
          <w:rtl/>
        </w:rPr>
        <w:t xml:space="preserve">בתקשורת </w:t>
      </w:r>
      <w:bookmarkStart w:id="63623" w:name="_ETM_Q114_529670"/>
      <w:bookmarkEnd w:id="63623"/>
      <w:r>
        <w:rPr>
          <w:rFonts w:hint="cs"/>
          <w:rtl/>
        </w:rPr>
        <w:t xml:space="preserve">על </w:t>
      </w:r>
      <w:bookmarkStart w:id="63624" w:name="_ETM_Q114_529760"/>
      <w:bookmarkEnd w:id="63624"/>
      <w:r>
        <w:rPr>
          <w:rFonts w:hint="cs"/>
          <w:rtl/>
        </w:rPr>
        <w:t xml:space="preserve">מלא – או שגם בזה אתם רוצים להסביר </w:t>
      </w:r>
      <w:bookmarkStart w:id="63625" w:name="_ETM_Q114_529970"/>
      <w:bookmarkStart w:id="63626" w:name="_ETM_Q114_530089"/>
      <w:bookmarkStart w:id="63627" w:name="_ETM_Q114_530330"/>
      <w:bookmarkStart w:id="63628" w:name="_ETM_Q114_530450"/>
      <w:bookmarkStart w:id="63629" w:name="_ETM_Q114_530660"/>
      <w:bookmarkStart w:id="63630" w:name="_ETM_Q114_530900"/>
      <w:bookmarkStart w:id="63631" w:name="_ETM_Q114_531230"/>
      <w:bookmarkEnd w:id="63625"/>
      <w:bookmarkEnd w:id="63626"/>
      <w:bookmarkEnd w:id="63627"/>
      <w:bookmarkEnd w:id="63628"/>
      <w:bookmarkEnd w:id="63629"/>
      <w:bookmarkEnd w:id="63630"/>
      <w:bookmarkEnd w:id="63631"/>
      <w:r>
        <w:rPr>
          <w:rFonts w:hint="cs"/>
          <w:rtl/>
        </w:rPr>
        <w:t xml:space="preserve">לי </w:t>
      </w:r>
      <w:bookmarkStart w:id="63632" w:name="_ETM_Q114_531560"/>
      <w:bookmarkEnd w:id="63632"/>
      <w:r>
        <w:rPr>
          <w:rFonts w:hint="cs"/>
          <w:rtl/>
        </w:rPr>
        <w:t xml:space="preserve">איך </w:t>
      </w:r>
      <w:bookmarkStart w:id="63633" w:name="_ETM_Q114_531740"/>
      <w:bookmarkEnd w:id="63633"/>
      <w:r>
        <w:rPr>
          <w:rFonts w:hint="cs"/>
          <w:rtl/>
        </w:rPr>
        <w:t xml:space="preserve">הרפורמה </w:t>
      </w:r>
      <w:bookmarkStart w:id="63634" w:name="_ETM_Q114_532310"/>
      <w:bookmarkEnd w:id="63634"/>
      <w:r>
        <w:rPr>
          <w:rFonts w:hint="cs"/>
          <w:rtl/>
        </w:rPr>
        <w:t xml:space="preserve">שלו </w:t>
      </w:r>
      <w:bookmarkStart w:id="63635" w:name="_ETM_Q114_534089"/>
      <w:bookmarkEnd w:id="63635"/>
      <w:r>
        <w:rPr>
          <w:rFonts w:hint="cs"/>
          <w:rtl/>
        </w:rPr>
        <w:t xml:space="preserve">היא </w:t>
      </w:r>
      <w:bookmarkStart w:id="63636" w:name="_ETM_Q114_534239"/>
      <w:bookmarkEnd w:id="63636"/>
      <w:r>
        <w:rPr>
          <w:rFonts w:hint="cs"/>
          <w:rtl/>
        </w:rPr>
        <w:t xml:space="preserve">דמוקרטית? </w:t>
      </w:r>
      <w:bookmarkStart w:id="63637" w:name="_ETM_Q114_535289"/>
      <w:bookmarkEnd w:id="63637"/>
      <w:r>
        <w:rPr>
          <w:rFonts w:hint="cs"/>
          <w:rtl/>
        </w:rPr>
        <w:t xml:space="preserve">בוא </w:t>
      </w:r>
      <w:bookmarkStart w:id="63638" w:name="_ETM_Q114_537794"/>
      <w:bookmarkEnd w:id="63638"/>
      <w:r>
        <w:rPr>
          <w:rFonts w:hint="cs"/>
          <w:rtl/>
        </w:rPr>
        <w:t>תסביר לי, אני אשמח להבין.</w:t>
      </w:r>
    </w:p>
    <w:p w:rsidR="00BB59CD" w:rsidRDefault="00BB59CD" w:rsidP="00BB59CD">
      <w:pPr>
        <w:rPr>
          <w:rtl/>
        </w:rPr>
      </w:pPr>
      <w:bookmarkStart w:id="63639" w:name="_ETM_Q114_541691"/>
      <w:bookmarkStart w:id="63640" w:name="_ETM_Q114_541731"/>
      <w:bookmarkEnd w:id="63639"/>
      <w:bookmarkEnd w:id="63640"/>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3641" w:name="_ETM_Q114_540756"/>
      <w:bookmarkEnd w:id="63641"/>
      <w:r>
        <w:rPr>
          <w:rFonts w:hint="cs"/>
          <w:rtl/>
        </w:rPr>
        <w:t xml:space="preserve">בוא, אנחנו יודעים מי שולט היום </w:t>
      </w:r>
      <w:bookmarkStart w:id="63642" w:name="_ETM_Q114_541270"/>
      <w:bookmarkEnd w:id="63642"/>
      <w:r>
        <w:rPr>
          <w:rFonts w:hint="cs"/>
          <w:rtl/>
        </w:rPr>
        <w:t>בתקשורת, נו באמת.</w:t>
      </w:r>
      <w:bookmarkStart w:id="63643" w:name="_ETM_Q114_543775"/>
      <w:bookmarkEnd w:id="63643"/>
    </w:p>
    <w:p w:rsidR="00BB59CD" w:rsidRDefault="00BB59CD" w:rsidP="00BB59CD">
      <w:pPr>
        <w:rPr>
          <w:rtl/>
        </w:rPr>
      </w:pPr>
      <w:bookmarkStart w:id="63644" w:name="_ETM_Q114_543813"/>
      <w:bookmarkEnd w:id="63644"/>
    </w:p>
    <w:p w:rsidR="00BB59CD" w:rsidRDefault="00BB59CD" w:rsidP="00BB59CD">
      <w:pPr>
        <w:pStyle w:val="-"/>
        <w:keepNext/>
        <w:rPr>
          <w:rtl/>
        </w:rPr>
      </w:pPr>
      <w:bookmarkStart w:id="63645" w:name="ET_speakercontinue_6361_2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645"/>
    </w:p>
    <w:p w:rsidR="00BB59CD" w:rsidRDefault="00BB59CD" w:rsidP="00337201">
      <w:pPr>
        <w:rPr>
          <w:rtl/>
        </w:rPr>
      </w:pPr>
    </w:p>
    <w:p w:rsidR="00BB59CD" w:rsidRDefault="00BB59CD" w:rsidP="00BB59CD">
      <w:pPr>
        <w:rPr>
          <w:rtl/>
        </w:rPr>
      </w:pPr>
      <w:bookmarkStart w:id="63646" w:name="_ETM_Q114_544347"/>
      <w:bookmarkEnd w:id="63646"/>
      <w:r>
        <w:rPr>
          <w:rFonts w:hint="cs"/>
          <w:rtl/>
        </w:rPr>
        <w:t xml:space="preserve">אוקיי, אז אתם יודעים מי שולט בתקשורת. אז </w:t>
      </w:r>
      <w:bookmarkStart w:id="63647" w:name="_ETM_Q114_544695"/>
      <w:bookmarkEnd w:id="63647"/>
      <w:r>
        <w:rPr>
          <w:rFonts w:hint="cs"/>
          <w:rtl/>
        </w:rPr>
        <w:t>מה שאתם רוצים זה שאתם תשלטו בתקשורת.</w:t>
      </w:r>
    </w:p>
    <w:p w:rsidR="00BB59CD" w:rsidRDefault="00BB59CD" w:rsidP="00BB59CD">
      <w:pPr>
        <w:rPr>
          <w:rtl/>
        </w:rPr>
      </w:pPr>
      <w:bookmarkStart w:id="63648" w:name="_ETM_Q114_545985"/>
      <w:bookmarkEnd w:id="63648"/>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3649" w:name="_ETM_Q114_546689"/>
      <w:bookmarkEnd w:id="63649"/>
      <w:r>
        <w:rPr>
          <w:rFonts w:hint="cs"/>
          <w:rtl/>
        </w:rPr>
        <w:t>לא. לא רוצים. רוצים איזון.</w:t>
      </w:r>
    </w:p>
    <w:p w:rsidR="00BB59CD" w:rsidRDefault="00BB59CD" w:rsidP="00BB59CD">
      <w:pPr>
        <w:rPr>
          <w:rtl/>
        </w:rPr>
      </w:pPr>
      <w:bookmarkStart w:id="63650" w:name="_ETM_Q114_547137"/>
      <w:bookmarkStart w:id="63651" w:name="_ETM_Q114_547174"/>
      <w:bookmarkEnd w:id="63650"/>
      <w:bookmarkEnd w:id="63651"/>
    </w:p>
    <w:p w:rsidR="00BB59CD" w:rsidRDefault="00BB59CD" w:rsidP="00BB59CD">
      <w:pPr>
        <w:pStyle w:val="-"/>
        <w:keepNext/>
        <w:rPr>
          <w:rtl/>
        </w:rPr>
      </w:pPr>
      <w:bookmarkStart w:id="63652" w:name="ET_speakercontinue_6361_3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652"/>
    </w:p>
    <w:p w:rsidR="00BB59CD" w:rsidRDefault="00BB59CD" w:rsidP="00337201">
      <w:pPr>
        <w:rPr>
          <w:rtl/>
        </w:rPr>
      </w:pPr>
    </w:p>
    <w:p w:rsidR="00BB59CD" w:rsidRDefault="00BB59CD" w:rsidP="00DB5C1C">
      <w:pPr>
        <w:rPr>
          <w:rtl/>
        </w:rPr>
      </w:pPr>
      <w:bookmarkStart w:id="63653" w:name="_ETM_Q114_547688"/>
      <w:bookmarkEnd w:id="63653"/>
      <w:r>
        <w:rPr>
          <w:rFonts w:hint="cs"/>
          <w:rtl/>
        </w:rPr>
        <w:t>אם</w:t>
      </w:r>
      <w:bookmarkStart w:id="63654" w:name="_ETM_Q114_548274"/>
      <w:bookmarkEnd w:id="63654"/>
      <w:r>
        <w:rPr>
          <w:rFonts w:hint="cs"/>
          <w:rtl/>
        </w:rPr>
        <w:t xml:space="preserve"> אתה בא לתקן עוול </w:t>
      </w:r>
      <w:bookmarkStart w:id="63655" w:name="_ETM_Q114_550838"/>
      <w:bookmarkEnd w:id="63655"/>
      <w:r>
        <w:rPr>
          <w:rFonts w:hint="cs"/>
          <w:rtl/>
        </w:rPr>
        <w:t xml:space="preserve">– נניח. אני לא חושב שיש </w:t>
      </w:r>
      <w:bookmarkStart w:id="63656" w:name="_ETM_Q114_551121"/>
      <w:bookmarkEnd w:id="63656"/>
      <w:r>
        <w:rPr>
          <w:rFonts w:hint="cs"/>
          <w:rtl/>
        </w:rPr>
        <w:t xml:space="preserve">עוול, אבל נניח </w:t>
      </w:r>
      <w:r w:rsidR="00DB5C1C">
        <w:rPr>
          <w:rFonts w:hint="eastAsia"/>
          <w:rtl/>
        </w:rPr>
        <w:t>–</w:t>
      </w:r>
      <w:r w:rsidR="00DB5C1C">
        <w:rPr>
          <w:rFonts w:hint="cs"/>
          <w:rtl/>
        </w:rPr>
        <w:t xml:space="preserve"> </w:t>
      </w:r>
      <w:bookmarkStart w:id="63657" w:name="_ETM_Q114_550954"/>
      <w:bookmarkStart w:id="63658" w:name="_ETM_Q114_550996"/>
      <w:bookmarkStart w:id="63659" w:name="_ETM_Q114_551970"/>
      <w:bookmarkEnd w:id="63657"/>
      <w:bookmarkEnd w:id="63658"/>
      <w:bookmarkEnd w:id="63659"/>
      <w:r>
        <w:rPr>
          <w:rFonts w:hint="cs"/>
          <w:rtl/>
        </w:rPr>
        <w:t>אתם לא מייצרים איזון</w:t>
      </w:r>
      <w:r w:rsidR="00DB5C1C">
        <w:rPr>
          <w:rFonts w:hint="cs"/>
          <w:rtl/>
        </w:rPr>
        <w:t>.</w:t>
      </w:r>
      <w:r>
        <w:rPr>
          <w:rFonts w:hint="cs"/>
          <w:rtl/>
        </w:rPr>
        <w:t xml:space="preserve"> </w:t>
      </w:r>
      <w:bookmarkStart w:id="63660" w:name="_ETM_Q114_541890"/>
      <w:bookmarkStart w:id="63661" w:name="_ETM_Q114_541932"/>
      <w:bookmarkStart w:id="63662" w:name="_ETM_Q114_553210"/>
      <w:bookmarkEnd w:id="63660"/>
      <w:bookmarkEnd w:id="63661"/>
      <w:bookmarkEnd w:id="63662"/>
      <w:r>
        <w:rPr>
          <w:rFonts w:hint="cs"/>
          <w:rtl/>
        </w:rPr>
        <w:t xml:space="preserve">אתה מייצר שליטה </w:t>
      </w:r>
      <w:bookmarkStart w:id="63663" w:name="_ETM_Q114_553510"/>
      <w:bookmarkEnd w:id="63663"/>
      <w:r>
        <w:rPr>
          <w:rFonts w:hint="cs"/>
          <w:rtl/>
        </w:rPr>
        <w:t xml:space="preserve">מלאה, </w:t>
      </w:r>
      <w:bookmarkStart w:id="63664" w:name="_ETM_Q114_553870"/>
      <w:bookmarkEnd w:id="63664"/>
      <w:r>
        <w:rPr>
          <w:rFonts w:hint="cs"/>
          <w:rtl/>
        </w:rPr>
        <w:t xml:space="preserve">זה </w:t>
      </w:r>
      <w:bookmarkStart w:id="63665" w:name="_ETM_Q114_553990"/>
      <w:bookmarkEnd w:id="63665"/>
      <w:r>
        <w:rPr>
          <w:rFonts w:hint="cs"/>
          <w:rtl/>
        </w:rPr>
        <w:t xml:space="preserve">בדיוק </w:t>
      </w:r>
      <w:bookmarkStart w:id="63666" w:name="_ETM_Q114_554260"/>
      <w:bookmarkEnd w:id="63666"/>
      <w:r>
        <w:rPr>
          <w:rFonts w:hint="cs"/>
          <w:rtl/>
        </w:rPr>
        <w:t xml:space="preserve">העניין. </w:t>
      </w:r>
      <w:bookmarkStart w:id="63667" w:name="_ETM_Q114_555040"/>
      <w:bookmarkEnd w:id="63667"/>
      <w:r>
        <w:rPr>
          <w:rFonts w:hint="cs"/>
          <w:rtl/>
        </w:rPr>
        <w:t xml:space="preserve">כמו </w:t>
      </w:r>
      <w:bookmarkStart w:id="63668" w:name="_ETM_Q114_555220"/>
      <w:bookmarkEnd w:id="63668"/>
      <w:r>
        <w:rPr>
          <w:rFonts w:hint="cs"/>
          <w:rtl/>
        </w:rPr>
        <w:t xml:space="preserve">שאתה </w:t>
      </w:r>
      <w:bookmarkStart w:id="63669" w:name="_ETM_Q114_555400"/>
      <w:bookmarkEnd w:id="63669"/>
      <w:r>
        <w:rPr>
          <w:rFonts w:hint="cs"/>
          <w:rtl/>
        </w:rPr>
        <w:t xml:space="preserve">בא </w:t>
      </w:r>
      <w:bookmarkStart w:id="63670" w:name="_ETM_Q114_555520"/>
      <w:bookmarkEnd w:id="63670"/>
      <w:r>
        <w:rPr>
          <w:rFonts w:hint="cs"/>
          <w:rtl/>
        </w:rPr>
        <w:t xml:space="preserve">לוועדה </w:t>
      </w:r>
      <w:bookmarkStart w:id="63671" w:name="_ETM_Q114_555850"/>
      <w:bookmarkEnd w:id="63671"/>
      <w:r>
        <w:rPr>
          <w:rFonts w:hint="cs"/>
          <w:rtl/>
        </w:rPr>
        <w:t xml:space="preserve">למינוי </w:t>
      </w:r>
      <w:bookmarkStart w:id="63672" w:name="_ETM_Q114_556150"/>
      <w:bookmarkEnd w:id="63672"/>
      <w:r>
        <w:rPr>
          <w:rFonts w:hint="cs"/>
          <w:rtl/>
        </w:rPr>
        <w:t xml:space="preserve">שופטים </w:t>
      </w:r>
      <w:bookmarkStart w:id="63673" w:name="_ETM_Q114_556510"/>
      <w:bookmarkEnd w:id="63673"/>
      <w:r>
        <w:rPr>
          <w:rFonts w:hint="cs"/>
          <w:rtl/>
        </w:rPr>
        <w:t xml:space="preserve">ואומר: </w:t>
      </w:r>
      <w:bookmarkStart w:id="63674" w:name="_ETM_Q114_556750"/>
      <w:bookmarkEnd w:id="63674"/>
      <w:r>
        <w:rPr>
          <w:rFonts w:hint="cs"/>
          <w:rtl/>
        </w:rPr>
        <w:t xml:space="preserve">אני </w:t>
      </w:r>
      <w:bookmarkStart w:id="63675" w:name="_ETM_Q114_556870"/>
      <w:bookmarkEnd w:id="63675"/>
      <w:r>
        <w:rPr>
          <w:rFonts w:hint="cs"/>
          <w:rtl/>
        </w:rPr>
        <w:t xml:space="preserve">רוצה </w:t>
      </w:r>
      <w:bookmarkStart w:id="63676" w:name="_ETM_Q114_557110"/>
      <w:bookmarkEnd w:id="63676"/>
      <w:r>
        <w:rPr>
          <w:rFonts w:hint="cs"/>
          <w:rtl/>
        </w:rPr>
        <w:t>איזון</w:t>
      </w:r>
      <w:r w:rsidR="00DB5C1C">
        <w:rPr>
          <w:rFonts w:hint="cs"/>
          <w:rtl/>
        </w:rPr>
        <w:t>;</w:t>
      </w:r>
      <w:r>
        <w:rPr>
          <w:rFonts w:hint="cs"/>
          <w:rtl/>
        </w:rPr>
        <w:t xml:space="preserve"> </w:t>
      </w:r>
      <w:bookmarkStart w:id="63677" w:name="_ETM_Q114_558900"/>
      <w:bookmarkEnd w:id="63677"/>
      <w:r w:rsidR="00DB5C1C">
        <w:rPr>
          <w:rFonts w:hint="cs"/>
          <w:rtl/>
        </w:rPr>
        <w:t>ו</w:t>
      </w:r>
      <w:r>
        <w:rPr>
          <w:rFonts w:hint="cs"/>
          <w:rtl/>
        </w:rPr>
        <w:t xml:space="preserve">אז </w:t>
      </w:r>
      <w:bookmarkStart w:id="63678" w:name="_ETM_Q114_559140"/>
      <w:bookmarkEnd w:id="63678"/>
      <w:r>
        <w:rPr>
          <w:rFonts w:hint="cs"/>
          <w:rtl/>
        </w:rPr>
        <w:t xml:space="preserve">אתה </w:t>
      </w:r>
      <w:bookmarkStart w:id="63679" w:name="_ETM_Q114_559320"/>
      <w:bookmarkEnd w:id="63679"/>
      <w:r>
        <w:rPr>
          <w:rFonts w:hint="cs"/>
          <w:rtl/>
        </w:rPr>
        <w:t xml:space="preserve">לא </w:t>
      </w:r>
      <w:bookmarkStart w:id="63680" w:name="_ETM_Q114_559440"/>
      <w:bookmarkEnd w:id="63680"/>
      <w:r>
        <w:rPr>
          <w:rFonts w:hint="cs"/>
          <w:rtl/>
        </w:rPr>
        <w:t xml:space="preserve">עושה </w:t>
      </w:r>
      <w:bookmarkStart w:id="63681" w:name="_ETM_Q114_559710"/>
      <w:bookmarkEnd w:id="63681"/>
      <w:r>
        <w:rPr>
          <w:rFonts w:hint="cs"/>
          <w:rtl/>
        </w:rPr>
        <w:t xml:space="preserve">איזון, </w:t>
      </w:r>
      <w:bookmarkStart w:id="63682" w:name="_ETM_Q114_560000"/>
      <w:bookmarkEnd w:id="63682"/>
      <w:r>
        <w:rPr>
          <w:rFonts w:hint="cs"/>
          <w:rtl/>
        </w:rPr>
        <w:t xml:space="preserve">אתה </w:t>
      </w:r>
      <w:bookmarkStart w:id="63683" w:name="_ETM_Q114_560540"/>
      <w:bookmarkEnd w:id="63683"/>
      <w:r>
        <w:rPr>
          <w:rFonts w:hint="cs"/>
          <w:rtl/>
        </w:rPr>
        <w:t xml:space="preserve">רוצה </w:t>
      </w:r>
      <w:bookmarkStart w:id="63684" w:name="_ETM_Q114_560839"/>
      <w:bookmarkEnd w:id="63684"/>
      <w:r>
        <w:rPr>
          <w:rFonts w:hint="cs"/>
          <w:rtl/>
        </w:rPr>
        <w:t xml:space="preserve">שליטה </w:t>
      </w:r>
      <w:bookmarkStart w:id="63685" w:name="_ETM_Q114_561140"/>
      <w:bookmarkEnd w:id="63685"/>
      <w:r>
        <w:rPr>
          <w:rFonts w:hint="cs"/>
          <w:rtl/>
        </w:rPr>
        <w:t xml:space="preserve">מלאה. </w:t>
      </w:r>
      <w:bookmarkStart w:id="63686" w:name="_ETM_Q114_561920"/>
      <w:bookmarkEnd w:id="63686"/>
      <w:r>
        <w:rPr>
          <w:rFonts w:hint="cs"/>
          <w:rtl/>
        </w:rPr>
        <w:t xml:space="preserve">אתה </w:t>
      </w:r>
      <w:bookmarkStart w:id="63687" w:name="_ETM_Q114_562160"/>
      <w:bookmarkEnd w:id="63687"/>
      <w:r>
        <w:rPr>
          <w:rFonts w:hint="cs"/>
          <w:rtl/>
        </w:rPr>
        <w:t xml:space="preserve">עושה </w:t>
      </w:r>
      <w:bookmarkStart w:id="63688" w:name="_ETM_Q114_562310"/>
      <w:bookmarkEnd w:id="63688"/>
      <w:r>
        <w:rPr>
          <w:rFonts w:hint="cs"/>
          <w:rtl/>
        </w:rPr>
        <w:t xml:space="preserve">בדיוק </w:t>
      </w:r>
      <w:bookmarkStart w:id="63689" w:name="_ETM_Q114_562550"/>
      <w:bookmarkEnd w:id="63689"/>
      <w:r>
        <w:rPr>
          <w:rFonts w:hint="cs"/>
          <w:rtl/>
        </w:rPr>
        <w:t>מה ש</w:t>
      </w:r>
      <w:bookmarkStart w:id="63690" w:name="_ETM_Q114_563159"/>
      <w:bookmarkStart w:id="63691" w:name="_ETM_Q114_563369"/>
      <w:bookmarkStart w:id="63692" w:name="_ETM_Q114_563579"/>
      <w:bookmarkStart w:id="63693" w:name="_ETM_Q114_563729"/>
      <w:bookmarkEnd w:id="63690"/>
      <w:bookmarkEnd w:id="63691"/>
      <w:bookmarkEnd w:id="63692"/>
      <w:bookmarkEnd w:id="63693"/>
      <w:r>
        <w:rPr>
          <w:rFonts w:hint="cs"/>
          <w:rtl/>
        </w:rPr>
        <w:t xml:space="preserve">פחדת </w:t>
      </w:r>
      <w:bookmarkStart w:id="63694" w:name="_ETM_Q114_564089"/>
      <w:bookmarkEnd w:id="63694"/>
      <w:r>
        <w:rPr>
          <w:rFonts w:hint="cs"/>
          <w:rtl/>
        </w:rPr>
        <w:t xml:space="preserve">ממנו </w:t>
      </w:r>
      <w:bookmarkStart w:id="63695" w:name="_ETM_Q114_564450"/>
      <w:bookmarkEnd w:id="63695"/>
      <w:r>
        <w:rPr>
          <w:rFonts w:hint="cs"/>
          <w:rtl/>
        </w:rPr>
        <w:t xml:space="preserve">בצד </w:t>
      </w:r>
      <w:bookmarkStart w:id="63696" w:name="_ETM_Q114_564749"/>
      <w:bookmarkEnd w:id="63696"/>
      <w:r>
        <w:rPr>
          <w:rFonts w:hint="cs"/>
          <w:rtl/>
        </w:rPr>
        <w:t xml:space="preserve">השני. </w:t>
      </w:r>
      <w:bookmarkStart w:id="63697" w:name="_ETM_Q114_565350"/>
      <w:bookmarkEnd w:id="63697"/>
      <w:r>
        <w:rPr>
          <w:rFonts w:hint="cs"/>
          <w:rtl/>
        </w:rPr>
        <w:t xml:space="preserve">ואז </w:t>
      </w:r>
      <w:bookmarkStart w:id="63698" w:name="_ETM_Q114_565589"/>
      <w:bookmarkEnd w:id="63698"/>
      <w:r>
        <w:rPr>
          <w:rFonts w:hint="cs"/>
          <w:rtl/>
        </w:rPr>
        <w:t xml:space="preserve">אתה </w:t>
      </w:r>
      <w:bookmarkStart w:id="63699" w:name="_ETM_Q114_565710"/>
      <w:bookmarkEnd w:id="63699"/>
      <w:r w:rsidR="00DB5C1C">
        <w:rPr>
          <w:rFonts w:hint="cs"/>
          <w:rtl/>
        </w:rPr>
        <w:t>שואל</w:t>
      </w:r>
      <w:r>
        <w:rPr>
          <w:rFonts w:hint="cs"/>
          <w:rtl/>
        </w:rPr>
        <w:t xml:space="preserve"> </w:t>
      </w:r>
      <w:bookmarkStart w:id="63700" w:name="_ETM_Q114_565950"/>
      <w:bookmarkEnd w:id="63700"/>
      <w:r>
        <w:rPr>
          <w:rFonts w:hint="cs"/>
          <w:rtl/>
        </w:rPr>
        <w:t xml:space="preserve">למה </w:t>
      </w:r>
      <w:bookmarkStart w:id="63701" w:name="_ETM_Q114_566249"/>
      <w:bookmarkEnd w:id="63701"/>
      <w:r>
        <w:rPr>
          <w:rFonts w:hint="cs"/>
          <w:rtl/>
        </w:rPr>
        <w:t xml:space="preserve">אנשים </w:t>
      </w:r>
      <w:bookmarkStart w:id="63702" w:name="_ETM_Q114_566579"/>
      <w:bookmarkEnd w:id="63702"/>
      <w:r>
        <w:rPr>
          <w:rFonts w:hint="cs"/>
          <w:rtl/>
        </w:rPr>
        <w:t xml:space="preserve">פוחדים? </w:t>
      </w:r>
      <w:bookmarkStart w:id="63703" w:name="_ETM_Q114_571039"/>
      <w:bookmarkStart w:id="63704" w:name="_ETM_Q114_571096"/>
      <w:bookmarkStart w:id="63705" w:name="_ETM_Q114_571214"/>
      <w:bookmarkStart w:id="63706" w:name="_ETM_Q114_571251"/>
      <w:bookmarkStart w:id="63707" w:name="_ETM_Q114_571659"/>
      <w:bookmarkStart w:id="63708" w:name="_ETM_Q114_575157"/>
      <w:bookmarkStart w:id="63709" w:name="_ETM_Q114_575231"/>
      <w:bookmarkStart w:id="63710" w:name="_ETM_Q114_575269"/>
      <w:bookmarkStart w:id="63711" w:name="_ETM_Q114_575318"/>
      <w:bookmarkEnd w:id="63703"/>
      <w:bookmarkEnd w:id="63704"/>
      <w:bookmarkEnd w:id="63705"/>
      <w:bookmarkEnd w:id="63706"/>
      <w:bookmarkEnd w:id="63707"/>
      <w:bookmarkEnd w:id="63708"/>
      <w:bookmarkEnd w:id="63709"/>
      <w:bookmarkEnd w:id="63710"/>
      <w:bookmarkEnd w:id="63711"/>
      <w:r>
        <w:rPr>
          <w:rFonts w:hint="cs"/>
          <w:rtl/>
        </w:rPr>
        <w:t xml:space="preserve">הבעיה </w:t>
      </w:r>
      <w:bookmarkStart w:id="63712" w:name="_ETM_Q114_572200"/>
      <w:bookmarkEnd w:id="63712"/>
      <w:r>
        <w:rPr>
          <w:rFonts w:hint="cs"/>
          <w:rtl/>
        </w:rPr>
        <w:t xml:space="preserve">שכשזה </w:t>
      </w:r>
      <w:bookmarkStart w:id="63713" w:name="_ETM_Q114_572440"/>
      <w:bookmarkEnd w:id="63713"/>
      <w:r>
        <w:rPr>
          <w:rFonts w:hint="cs"/>
          <w:rtl/>
        </w:rPr>
        <w:t>הולך ככה, זה גם יבוא לצד השני.</w:t>
      </w:r>
      <w:bookmarkStart w:id="63714" w:name="_ETM_Q114_575555"/>
      <w:bookmarkEnd w:id="63714"/>
      <w:r>
        <w:rPr>
          <w:rFonts w:hint="cs"/>
          <w:rtl/>
        </w:rPr>
        <w:t xml:space="preserve"> זו תהיה הבעיה שלך.</w:t>
      </w:r>
    </w:p>
    <w:p w:rsidR="00BB59CD" w:rsidRDefault="00BB59CD" w:rsidP="00BB59CD">
      <w:pPr>
        <w:rPr>
          <w:rtl/>
        </w:rPr>
      </w:pPr>
      <w:bookmarkStart w:id="63715" w:name="_ETM_Q114_576964"/>
      <w:bookmarkStart w:id="63716" w:name="_ETM_Q114_577006"/>
      <w:bookmarkStart w:id="63717" w:name="_ETM_Q114_577155"/>
      <w:bookmarkEnd w:id="63715"/>
      <w:bookmarkEnd w:id="63716"/>
      <w:bookmarkEnd w:id="63717"/>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3718" w:name="_ETM_Q114_577231"/>
      <w:bookmarkEnd w:id="63718"/>
      <w:r>
        <w:rPr>
          <w:rFonts w:hint="cs"/>
          <w:rtl/>
        </w:rPr>
        <w:t xml:space="preserve">היום הדלקתי רדיו בדרך לכאן, בבוקר </w:t>
      </w:r>
      <w:bookmarkStart w:id="63719" w:name="_ETM_Q114_581904"/>
      <w:bookmarkEnd w:id="63719"/>
      <w:r>
        <w:rPr>
          <w:rFonts w:hint="cs"/>
          <w:rtl/>
        </w:rPr>
        <w:t>מוקדם, לא משנה איזה ערוץ - - -</w:t>
      </w:r>
      <w:bookmarkStart w:id="63720" w:name="_ETM_Q114_581893"/>
      <w:bookmarkEnd w:id="63720"/>
    </w:p>
    <w:p w:rsidR="00BB59CD" w:rsidRDefault="00BB59CD" w:rsidP="00BB59CD">
      <w:pPr>
        <w:rPr>
          <w:rtl/>
        </w:rPr>
      </w:pPr>
      <w:bookmarkStart w:id="63721" w:name="_ETM_Q114_581929"/>
      <w:bookmarkEnd w:id="63721"/>
    </w:p>
    <w:p w:rsidR="00BB59CD" w:rsidRDefault="00BB59CD" w:rsidP="00BB59CD">
      <w:pPr>
        <w:pStyle w:val="-"/>
        <w:keepNext/>
        <w:rPr>
          <w:rtl/>
        </w:rPr>
      </w:pPr>
      <w:bookmarkStart w:id="63722" w:name="ET_speakercontinue_6361_3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722"/>
    </w:p>
    <w:p w:rsidR="00BB59CD" w:rsidRDefault="00BB59CD" w:rsidP="00337201">
      <w:pPr>
        <w:rPr>
          <w:rtl/>
        </w:rPr>
      </w:pPr>
    </w:p>
    <w:p w:rsidR="00BB59CD" w:rsidRDefault="00BB59CD" w:rsidP="00BB59CD">
      <w:pPr>
        <w:rPr>
          <w:rtl/>
        </w:rPr>
      </w:pPr>
      <w:bookmarkStart w:id="63723" w:name="_ETM_Q114_582662"/>
      <w:bookmarkEnd w:id="63723"/>
      <w:r>
        <w:rPr>
          <w:rFonts w:hint="cs"/>
          <w:rtl/>
        </w:rPr>
        <w:t>מה זה היום?</w:t>
      </w:r>
      <w:bookmarkStart w:id="63724" w:name="_ETM_Q114_583452"/>
      <w:bookmarkEnd w:id="63724"/>
      <w:r>
        <w:rPr>
          <w:rFonts w:hint="cs"/>
          <w:rtl/>
        </w:rPr>
        <w:t xml:space="preserve"> בדרך כלל אתה לא מדליק רדיו כשאתה נוסע?</w:t>
      </w:r>
    </w:p>
    <w:p w:rsidR="00BB59CD" w:rsidRDefault="00BB59CD" w:rsidP="00BB59CD">
      <w:pPr>
        <w:rPr>
          <w:rtl/>
        </w:rPr>
      </w:pPr>
      <w:bookmarkStart w:id="63725" w:name="_ETM_Q114_585622"/>
      <w:bookmarkStart w:id="63726" w:name="_ETM_Q114_585659"/>
      <w:bookmarkEnd w:id="63725"/>
      <w:bookmarkEnd w:id="63726"/>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DB5C1C">
      <w:pPr>
        <w:rPr>
          <w:rtl/>
        </w:rPr>
      </w:pPr>
      <w:bookmarkStart w:id="63727" w:name="_ETM_Q114_585718"/>
      <w:bookmarkEnd w:id="63727"/>
      <w:r>
        <w:rPr>
          <w:rFonts w:hint="cs"/>
          <w:rtl/>
        </w:rPr>
        <w:t xml:space="preserve">לא. באמת שלא. </w:t>
      </w:r>
      <w:bookmarkStart w:id="63728" w:name="_ETM_Q114_586079"/>
      <w:bookmarkEnd w:id="63728"/>
      <w:r>
        <w:rPr>
          <w:rFonts w:hint="cs"/>
          <w:rtl/>
        </w:rPr>
        <w:t xml:space="preserve">אני קורא חומרים והכול. אבל הבוקר זה היה מוקדם, נסעתי </w:t>
      </w:r>
      <w:bookmarkStart w:id="63729" w:name="_ETM_Q114_590429"/>
      <w:bookmarkEnd w:id="63729"/>
      <w:r>
        <w:rPr>
          <w:rFonts w:hint="cs"/>
          <w:rtl/>
        </w:rPr>
        <w:t xml:space="preserve">לבד, הייתי בלי נהג, יצאתי כבר בשעה 06:00, לפני </w:t>
      </w:r>
      <w:bookmarkStart w:id="63730" w:name="_ETM_Q114_591972"/>
      <w:bookmarkEnd w:id="63730"/>
      <w:r>
        <w:rPr>
          <w:rFonts w:hint="cs"/>
          <w:rtl/>
        </w:rPr>
        <w:t>שאני א</w:t>
      </w:r>
      <w:r w:rsidR="00DB5C1C">
        <w:rPr>
          <w:rFonts w:hint="cs"/>
          <w:rtl/>
        </w:rPr>
        <w:t>י</w:t>
      </w:r>
      <w:r>
        <w:rPr>
          <w:rFonts w:hint="cs"/>
          <w:rtl/>
        </w:rPr>
        <w:t>תקע</w:t>
      </w:r>
      <w:r w:rsidR="00DB5C1C">
        <w:rPr>
          <w:rFonts w:hint="cs"/>
          <w:rtl/>
        </w:rPr>
        <w:t>.</w:t>
      </w:r>
      <w:r>
        <w:rPr>
          <w:rFonts w:hint="cs"/>
          <w:rtl/>
        </w:rPr>
        <w:t xml:space="preserve"> אז נסעתי, ואני מדליק רדיו, </w:t>
      </w:r>
      <w:bookmarkStart w:id="63731" w:name="_ETM_Q114_594228"/>
      <w:bookmarkEnd w:id="63731"/>
      <w:r>
        <w:rPr>
          <w:rFonts w:hint="cs"/>
          <w:rtl/>
        </w:rPr>
        <w:t>ואני שומע את הכותרת של הקריין, עוד לפני שהוא מתחיל לראיין, והוא אומר: "ההפיכה המשטרית". תגיד "רפורמה"</w:t>
      </w:r>
      <w:r w:rsidR="00DB5C1C">
        <w:rPr>
          <w:rFonts w:hint="cs"/>
          <w:rtl/>
        </w:rPr>
        <w:t>;</w:t>
      </w:r>
      <w:r>
        <w:rPr>
          <w:rFonts w:hint="cs"/>
          <w:rtl/>
        </w:rPr>
        <w:t xml:space="preserve"> הוא קורא לזה </w:t>
      </w:r>
      <w:bookmarkStart w:id="63732" w:name="_ETM_Q114_601817"/>
      <w:bookmarkEnd w:id="63732"/>
      <w:r>
        <w:rPr>
          <w:rFonts w:hint="cs"/>
          <w:rtl/>
        </w:rPr>
        <w:t>"הפיכה".</w:t>
      </w:r>
      <w:bookmarkStart w:id="63733" w:name="_ETM_Q114_602999"/>
      <w:bookmarkEnd w:id="63733"/>
      <w:r>
        <w:rPr>
          <w:rFonts w:hint="cs"/>
          <w:rtl/>
        </w:rPr>
        <w:t xml:space="preserve"> </w:t>
      </w:r>
      <w:bookmarkStart w:id="63734" w:name="_ETM_Q114_603040"/>
      <w:bookmarkStart w:id="63735" w:name="_ETM_Q114_603598"/>
      <w:bookmarkStart w:id="63736" w:name="_ETM_Q114_603638"/>
      <w:bookmarkEnd w:id="63734"/>
      <w:bookmarkEnd w:id="63735"/>
      <w:bookmarkEnd w:id="63736"/>
      <w:r>
        <w:rPr>
          <w:rFonts w:hint="cs"/>
          <w:rtl/>
        </w:rPr>
        <w:t xml:space="preserve">אחר כך הוא מראיין לפחות ארבעה מרואיינים בצד אחד. עברתי </w:t>
      </w:r>
      <w:bookmarkStart w:id="63737" w:name="_ETM_Q114_608167"/>
      <w:bookmarkEnd w:id="63737"/>
      <w:r>
        <w:rPr>
          <w:rFonts w:hint="cs"/>
          <w:rtl/>
        </w:rPr>
        <w:t>ערוץ – אותו דבר. כאילו אין צד שני במדינת ישראל.</w:t>
      </w:r>
    </w:p>
    <w:p w:rsidR="00BB59CD" w:rsidRDefault="00BB59CD" w:rsidP="00BB59CD">
      <w:pPr>
        <w:rPr>
          <w:rtl/>
        </w:rPr>
      </w:pPr>
      <w:bookmarkStart w:id="63738" w:name="_ETM_Q114_609547"/>
      <w:bookmarkStart w:id="63739" w:name="_ETM_Q114_609606"/>
      <w:bookmarkEnd w:id="63738"/>
      <w:bookmarkEnd w:id="63739"/>
    </w:p>
    <w:p w:rsidR="00BB59CD" w:rsidRDefault="00BB59CD" w:rsidP="00BB59CD">
      <w:pPr>
        <w:pStyle w:val="-"/>
        <w:keepNext/>
        <w:rPr>
          <w:rtl/>
        </w:rPr>
      </w:pPr>
      <w:bookmarkStart w:id="63740" w:name="ET_speakercontinue_6361_3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740"/>
    </w:p>
    <w:p w:rsidR="00BB59CD" w:rsidRDefault="00BB59CD" w:rsidP="00337201">
      <w:pPr>
        <w:rPr>
          <w:rtl/>
        </w:rPr>
      </w:pPr>
    </w:p>
    <w:p w:rsidR="00BB59CD" w:rsidRDefault="00BB59CD" w:rsidP="00BB59CD">
      <w:pPr>
        <w:rPr>
          <w:rtl/>
        </w:rPr>
      </w:pPr>
      <w:bookmarkStart w:id="63741" w:name="_ETM_Q114_608383"/>
      <w:bookmarkEnd w:id="63741"/>
      <w:r>
        <w:rPr>
          <w:rFonts w:hint="cs"/>
          <w:rtl/>
        </w:rPr>
        <w:t xml:space="preserve">אבל </w:t>
      </w:r>
      <w:bookmarkStart w:id="63742" w:name="_ETM_Q114_609139"/>
      <w:bookmarkEnd w:id="63742"/>
      <w:r>
        <w:rPr>
          <w:rFonts w:hint="cs"/>
          <w:rtl/>
        </w:rPr>
        <w:t>יש צד שני במדינת ישראל.</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3743" w:name="_ETM_Q114_612281"/>
      <w:bookmarkStart w:id="63744" w:name="_ETM_Q114_611739"/>
      <w:bookmarkEnd w:id="63743"/>
      <w:bookmarkEnd w:id="63744"/>
      <w:r>
        <w:rPr>
          <w:rFonts w:hint="cs"/>
          <w:rtl/>
        </w:rPr>
        <w:t xml:space="preserve">אני </w:t>
      </w:r>
      <w:bookmarkStart w:id="63745" w:name="_ETM_Q114_611860"/>
      <w:bookmarkEnd w:id="63745"/>
      <w:r>
        <w:rPr>
          <w:rFonts w:hint="cs"/>
          <w:rtl/>
        </w:rPr>
        <w:t xml:space="preserve">מבין </w:t>
      </w:r>
      <w:bookmarkStart w:id="63746" w:name="_ETM_Q114_612310"/>
      <w:bookmarkEnd w:id="63746"/>
      <w:r>
        <w:rPr>
          <w:rFonts w:hint="cs"/>
          <w:rtl/>
        </w:rPr>
        <w:t xml:space="preserve">למה </w:t>
      </w:r>
      <w:bookmarkStart w:id="63747" w:name="_ETM_Q114_612549"/>
      <w:bookmarkEnd w:id="63747"/>
      <w:r>
        <w:rPr>
          <w:rFonts w:hint="cs"/>
          <w:rtl/>
        </w:rPr>
        <w:t xml:space="preserve">אחר </w:t>
      </w:r>
      <w:bookmarkStart w:id="63748" w:name="_ETM_Q114_612730"/>
      <w:bookmarkEnd w:id="63748"/>
      <w:r>
        <w:rPr>
          <w:rFonts w:hint="cs"/>
          <w:rtl/>
        </w:rPr>
        <w:t xml:space="preserve">כך </w:t>
      </w:r>
      <w:bookmarkStart w:id="63749" w:name="_ETM_Q114_612849"/>
      <w:bookmarkEnd w:id="63749"/>
      <w:r>
        <w:rPr>
          <w:rFonts w:hint="cs"/>
          <w:rtl/>
        </w:rPr>
        <w:t>אנשים – זאת שטיפת מוח בסוף.</w:t>
      </w:r>
    </w:p>
    <w:p w:rsidR="00BB59CD" w:rsidRDefault="00BB59CD" w:rsidP="00BB59CD">
      <w:pPr>
        <w:rPr>
          <w:rtl/>
        </w:rPr>
      </w:pPr>
      <w:bookmarkStart w:id="63750" w:name="_ETM_Q114_614325"/>
      <w:bookmarkStart w:id="63751" w:name="_ETM_Q114_614373"/>
      <w:bookmarkEnd w:id="63750"/>
      <w:bookmarkEnd w:id="63751"/>
    </w:p>
    <w:p w:rsidR="00BB59CD" w:rsidRDefault="00BB59CD" w:rsidP="00BB59CD">
      <w:pPr>
        <w:pStyle w:val="-"/>
        <w:keepNext/>
        <w:rPr>
          <w:rtl/>
        </w:rPr>
      </w:pPr>
      <w:bookmarkStart w:id="63752" w:name="ET_speakercontinue_6361_3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752"/>
    </w:p>
    <w:p w:rsidR="00BB59CD" w:rsidRDefault="00BB59CD" w:rsidP="00337201">
      <w:pPr>
        <w:rPr>
          <w:rtl/>
        </w:rPr>
      </w:pPr>
    </w:p>
    <w:p w:rsidR="00BB59CD" w:rsidRDefault="00BB59CD" w:rsidP="00BB59CD">
      <w:pPr>
        <w:rPr>
          <w:rtl/>
        </w:rPr>
      </w:pPr>
      <w:bookmarkStart w:id="63753" w:name="_ETM_Q114_614872"/>
      <w:bookmarkEnd w:id="63753"/>
      <w:r>
        <w:rPr>
          <w:rFonts w:hint="cs"/>
          <w:rtl/>
        </w:rPr>
        <w:t xml:space="preserve">אני מתראיין באופן קבוע לרדיו של חרדים. אתרים שלמים </w:t>
      </w:r>
      <w:bookmarkStart w:id="63754" w:name="_ETM_Q114_619860"/>
      <w:bookmarkEnd w:id="63754"/>
      <w:r>
        <w:rPr>
          <w:rFonts w:hint="cs"/>
          <w:rtl/>
        </w:rPr>
        <w:t>רק של חרדים.</w:t>
      </w:r>
      <w:bookmarkStart w:id="63755" w:name="_ETM_Q114_619497"/>
      <w:bookmarkEnd w:id="63755"/>
    </w:p>
    <w:p w:rsidR="00BB59CD" w:rsidRDefault="00BB59CD" w:rsidP="00BB59CD">
      <w:pPr>
        <w:rPr>
          <w:rtl/>
        </w:rPr>
      </w:pPr>
      <w:bookmarkStart w:id="63756" w:name="_ETM_Q114_619533"/>
      <w:bookmarkEnd w:id="63756"/>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3757" w:name="_ETM_Q114_620419"/>
      <w:bookmarkEnd w:id="63757"/>
      <w:r>
        <w:rPr>
          <w:rFonts w:hint="cs"/>
          <w:rtl/>
        </w:rPr>
        <w:t>ואם לא תתראיין שם, אין משהו אחר?</w:t>
      </w:r>
      <w:bookmarkStart w:id="63758" w:name="_ETM_Q114_623555"/>
      <w:bookmarkEnd w:id="63758"/>
    </w:p>
    <w:p w:rsidR="00BB59CD" w:rsidRDefault="00BB59CD" w:rsidP="00BB59CD">
      <w:pPr>
        <w:rPr>
          <w:rtl/>
        </w:rPr>
      </w:pPr>
      <w:bookmarkStart w:id="63759" w:name="_ETM_Q114_623598"/>
      <w:bookmarkEnd w:id="63759"/>
    </w:p>
    <w:p w:rsidR="00BB59CD" w:rsidRDefault="00BB59CD" w:rsidP="00BB59CD">
      <w:pPr>
        <w:pStyle w:val="-"/>
        <w:keepNext/>
        <w:rPr>
          <w:rtl/>
        </w:rPr>
      </w:pPr>
      <w:bookmarkStart w:id="63760" w:name="ET_speakercontinue_6361_4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760"/>
    </w:p>
    <w:p w:rsidR="00BB59CD" w:rsidRDefault="00BB59CD" w:rsidP="00337201">
      <w:pPr>
        <w:rPr>
          <w:rtl/>
        </w:rPr>
      </w:pPr>
    </w:p>
    <w:p w:rsidR="00BB59CD" w:rsidRDefault="00BB59CD" w:rsidP="00BB59CD">
      <w:pPr>
        <w:rPr>
          <w:rtl/>
        </w:rPr>
      </w:pPr>
      <w:bookmarkStart w:id="63761" w:name="_ETM_Q114_622342"/>
      <w:bookmarkEnd w:id="63761"/>
      <w:r>
        <w:rPr>
          <w:rFonts w:hint="cs"/>
          <w:rtl/>
        </w:rPr>
        <w:t>אני שומע</w:t>
      </w:r>
      <w:bookmarkStart w:id="63762" w:name="_ETM_Q114_624423"/>
      <w:bookmarkEnd w:id="63762"/>
      <w:r>
        <w:rPr>
          <w:rFonts w:hint="cs"/>
          <w:rtl/>
        </w:rPr>
        <w:t xml:space="preserve"> את מהדורות החדשות לפני שאני מתראיין. כשאני יודע שאני מתראיין </w:t>
      </w:r>
      <w:bookmarkStart w:id="63763" w:name="_ETM_Q114_628956"/>
      <w:bookmarkEnd w:id="63763"/>
      <w:r>
        <w:rPr>
          <w:rFonts w:hint="cs"/>
          <w:rtl/>
        </w:rPr>
        <w:t xml:space="preserve">עכשיו לקול ברמה, אני מקשיב לתוכנית, כי אני רוצה להיות בקונטקסט – כשאני יכול. לפעמים אני לא יכול. אני שומע את </w:t>
      </w:r>
      <w:bookmarkStart w:id="63764" w:name="_ETM_Q114_634184"/>
      <w:bookmarkEnd w:id="63764"/>
      <w:r>
        <w:rPr>
          <w:rFonts w:hint="cs"/>
          <w:rtl/>
        </w:rPr>
        <w:t xml:space="preserve">החדשות ואני אומר: בואנ'ה, אני חי במדינה שונה. אני שומע </w:t>
      </w:r>
      <w:bookmarkStart w:id="63765" w:name="_ETM_Q114_638351"/>
      <w:bookmarkEnd w:id="63765"/>
      <w:r>
        <w:rPr>
          <w:rFonts w:hint="cs"/>
          <w:rtl/>
        </w:rPr>
        <w:t>מה הם אומרים. אני מניח ששמעת אותו הדבר.</w:t>
      </w:r>
    </w:p>
    <w:p w:rsidR="00BB59CD" w:rsidRDefault="00BB59CD" w:rsidP="00BB59CD">
      <w:pPr>
        <w:rPr>
          <w:rtl/>
        </w:rPr>
      </w:pPr>
      <w:bookmarkStart w:id="63766" w:name="_ETM_Q114_640590"/>
      <w:bookmarkStart w:id="63767" w:name="_ETM_Q114_640625"/>
      <w:bookmarkEnd w:id="63766"/>
      <w:bookmarkEnd w:id="63767"/>
    </w:p>
    <w:p w:rsidR="00BB59CD" w:rsidRDefault="00BB59CD" w:rsidP="00BB59CD">
      <w:pPr>
        <w:pStyle w:val="af9"/>
        <w:keepNext/>
        <w:rPr>
          <w:rtl/>
        </w:rPr>
      </w:pPr>
      <w:bookmarkStart w:id="63768" w:name="ET_yor_6488_4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3768"/>
    </w:p>
    <w:p w:rsidR="00BB59CD" w:rsidRDefault="00BB59CD" w:rsidP="00337201">
      <w:pPr>
        <w:rPr>
          <w:rtl/>
        </w:rPr>
      </w:pPr>
    </w:p>
    <w:p w:rsidR="00BB59CD" w:rsidRDefault="00BB59CD" w:rsidP="00BB59CD">
      <w:pPr>
        <w:rPr>
          <w:rtl/>
        </w:rPr>
      </w:pPr>
      <w:bookmarkStart w:id="63769" w:name="_ETM_Q114_641015"/>
      <w:bookmarkEnd w:id="63769"/>
      <w:r>
        <w:rPr>
          <w:rFonts w:hint="cs"/>
          <w:rtl/>
        </w:rPr>
        <w:t>אותו דבר</w:t>
      </w:r>
      <w:bookmarkStart w:id="63770" w:name="_ETM_Q114_640312"/>
      <w:bookmarkEnd w:id="63770"/>
      <w:r>
        <w:rPr>
          <w:rFonts w:hint="cs"/>
          <w:rtl/>
        </w:rPr>
        <w:t xml:space="preserve"> מרגיש מי - - -</w:t>
      </w:r>
      <w:bookmarkStart w:id="63771" w:name="_ETM_Q114_641123"/>
      <w:bookmarkEnd w:id="63771"/>
    </w:p>
    <w:p w:rsidR="00BB59CD" w:rsidRDefault="00BB59CD" w:rsidP="00BB59CD">
      <w:pPr>
        <w:rPr>
          <w:rtl/>
        </w:rPr>
      </w:pPr>
      <w:bookmarkStart w:id="63772" w:name="_ETM_Q114_641159"/>
      <w:bookmarkEnd w:id="63772"/>
    </w:p>
    <w:p w:rsidR="00BB59CD" w:rsidRDefault="00BB59CD" w:rsidP="00BB59CD">
      <w:pPr>
        <w:pStyle w:val="-"/>
        <w:keepNext/>
        <w:rPr>
          <w:rtl/>
        </w:rPr>
      </w:pPr>
      <w:bookmarkStart w:id="63773" w:name="ET_speakercontinue_6361_4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773"/>
    </w:p>
    <w:p w:rsidR="00BB59CD" w:rsidRDefault="00BB59CD" w:rsidP="00337201">
      <w:pPr>
        <w:rPr>
          <w:rtl/>
        </w:rPr>
      </w:pPr>
    </w:p>
    <w:p w:rsidR="00BB59CD" w:rsidRDefault="00BB59CD" w:rsidP="00BB59CD">
      <w:pPr>
        <w:rPr>
          <w:rtl/>
        </w:rPr>
      </w:pPr>
      <w:bookmarkStart w:id="63774" w:name="_ETM_Q114_641833"/>
      <w:bookmarkEnd w:id="63774"/>
      <w:r>
        <w:rPr>
          <w:rFonts w:hint="cs"/>
          <w:rtl/>
        </w:rPr>
        <w:t>אבל יש את זה היום. אתה</w:t>
      </w:r>
      <w:bookmarkStart w:id="63775" w:name="_ETM_Q114_645156"/>
      <w:bookmarkEnd w:id="63775"/>
      <w:r>
        <w:rPr>
          <w:rFonts w:hint="cs"/>
          <w:rtl/>
        </w:rPr>
        <w:t xml:space="preserve"> לא יכול להגיד לי שמה שמציע </w:t>
      </w:r>
      <w:bookmarkStart w:id="63776" w:name="_ETM_Q114_643739"/>
      <w:bookmarkEnd w:id="63776"/>
      <w:r>
        <w:rPr>
          <w:rFonts w:hint="cs"/>
          <w:rtl/>
        </w:rPr>
        <w:t xml:space="preserve">השר </w:t>
      </w:r>
      <w:bookmarkStart w:id="63777" w:name="_ETM_Q114_644099"/>
      <w:bookmarkEnd w:id="63777"/>
      <w:r>
        <w:rPr>
          <w:rFonts w:hint="cs"/>
          <w:rtl/>
        </w:rPr>
        <w:t xml:space="preserve">קרעי, </w:t>
      </w:r>
      <w:bookmarkStart w:id="63778" w:name="_ETM_Q114_645980"/>
      <w:bookmarkEnd w:id="63778"/>
      <w:r>
        <w:rPr>
          <w:rFonts w:hint="cs"/>
          <w:rtl/>
        </w:rPr>
        <w:t xml:space="preserve">שאני, </w:t>
      </w:r>
      <w:bookmarkStart w:id="63779" w:name="_ETM_Q114_646249"/>
      <w:bookmarkEnd w:id="63779"/>
      <w:r>
        <w:rPr>
          <w:rFonts w:hint="cs"/>
          <w:rtl/>
        </w:rPr>
        <w:t xml:space="preserve">עדיין </w:t>
      </w:r>
      <w:bookmarkStart w:id="63780" w:name="_ETM_Q114_646639"/>
      <w:bookmarkEnd w:id="63780"/>
      <w:r>
        <w:rPr>
          <w:rFonts w:hint="cs"/>
          <w:rtl/>
        </w:rPr>
        <w:t xml:space="preserve">קשה </w:t>
      </w:r>
      <w:bookmarkStart w:id="63781" w:name="_ETM_Q114_646939"/>
      <w:bookmarkEnd w:id="63781"/>
      <w:r>
        <w:rPr>
          <w:rFonts w:hint="cs"/>
          <w:rtl/>
        </w:rPr>
        <w:t xml:space="preserve">לי </w:t>
      </w:r>
      <w:bookmarkStart w:id="63782" w:name="_ETM_Q114_647029"/>
      <w:bookmarkEnd w:id="63782"/>
      <w:r>
        <w:rPr>
          <w:rFonts w:hint="cs"/>
          <w:rtl/>
        </w:rPr>
        <w:t xml:space="preserve">לקרוא לו </w:t>
      </w:r>
      <w:r w:rsidR="00DB5C1C">
        <w:rPr>
          <w:rFonts w:hint="cs"/>
          <w:rtl/>
        </w:rPr>
        <w:t>"</w:t>
      </w:r>
      <w:r>
        <w:rPr>
          <w:rFonts w:hint="cs"/>
          <w:rtl/>
        </w:rPr>
        <w:t>השר</w:t>
      </w:r>
      <w:r w:rsidR="00DB5C1C">
        <w:rPr>
          <w:rFonts w:hint="cs"/>
          <w:rtl/>
        </w:rPr>
        <w:t>"</w:t>
      </w:r>
      <w:r>
        <w:rPr>
          <w:rFonts w:hint="cs"/>
          <w:rtl/>
        </w:rPr>
        <w:t xml:space="preserve">, אבל </w:t>
      </w:r>
      <w:bookmarkStart w:id="63783" w:name="_ETM_Q114_648850"/>
      <w:bookmarkEnd w:id="63783"/>
      <w:r>
        <w:rPr>
          <w:rFonts w:hint="cs"/>
          <w:rtl/>
        </w:rPr>
        <w:t xml:space="preserve">הוא השר קרעי – אתה לא יכול </w:t>
      </w:r>
      <w:bookmarkStart w:id="63784" w:name="_ETM_Q114_647689"/>
      <w:bookmarkStart w:id="63785" w:name="_ETM_Q114_647870"/>
      <w:bookmarkStart w:id="63786" w:name="_ETM_Q114_647959"/>
      <w:bookmarkStart w:id="63787" w:name="_ETM_Q114_648200"/>
      <w:bookmarkStart w:id="63788" w:name="_ETM_Q114_648829"/>
      <w:bookmarkStart w:id="63789" w:name="_ETM_Q114_649040"/>
      <w:bookmarkStart w:id="63790" w:name="_ETM_Q114_649129"/>
      <w:bookmarkStart w:id="63791" w:name="_ETM_Q114_649279"/>
      <w:bookmarkEnd w:id="63784"/>
      <w:bookmarkEnd w:id="63785"/>
      <w:bookmarkEnd w:id="63786"/>
      <w:bookmarkEnd w:id="63787"/>
      <w:bookmarkEnd w:id="63788"/>
      <w:bookmarkEnd w:id="63789"/>
      <w:bookmarkEnd w:id="63790"/>
      <w:bookmarkEnd w:id="63791"/>
      <w:r>
        <w:rPr>
          <w:rFonts w:hint="cs"/>
          <w:rtl/>
        </w:rPr>
        <w:t xml:space="preserve">להגיד </w:t>
      </w:r>
      <w:bookmarkStart w:id="63792" w:name="_ETM_Q114_649489"/>
      <w:bookmarkEnd w:id="63792"/>
      <w:r>
        <w:rPr>
          <w:rFonts w:hint="cs"/>
          <w:rtl/>
        </w:rPr>
        <w:t xml:space="preserve">לי </w:t>
      </w:r>
      <w:bookmarkStart w:id="63793" w:name="_ETM_Q114_649549"/>
      <w:bookmarkEnd w:id="63793"/>
      <w:r>
        <w:rPr>
          <w:rFonts w:hint="cs"/>
          <w:rtl/>
        </w:rPr>
        <w:t xml:space="preserve">שזה </w:t>
      </w:r>
      <w:bookmarkStart w:id="63794" w:name="_ETM_Q114_649819"/>
      <w:bookmarkEnd w:id="63794"/>
      <w:r>
        <w:rPr>
          <w:rFonts w:hint="cs"/>
          <w:rtl/>
        </w:rPr>
        <w:t xml:space="preserve">רפורמה </w:t>
      </w:r>
      <w:bookmarkStart w:id="63795" w:name="_ETM_Q114_650209"/>
      <w:bookmarkEnd w:id="63795"/>
      <w:r>
        <w:rPr>
          <w:rFonts w:hint="cs"/>
          <w:rtl/>
        </w:rPr>
        <w:t>טובה.</w:t>
      </w:r>
    </w:p>
    <w:p w:rsidR="00BB59CD" w:rsidRDefault="00BB59CD" w:rsidP="00BB59CD">
      <w:pPr>
        <w:rPr>
          <w:rtl/>
        </w:rPr>
      </w:pPr>
      <w:bookmarkStart w:id="63796" w:name="_ETM_Q114_653383"/>
      <w:bookmarkStart w:id="63797" w:name="_ETM_Q114_653439"/>
      <w:bookmarkStart w:id="63798" w:name="_ETM_Q114_653591"/>
      <w:bookmarkEnd w:id="63796"/>
      <w:bookmarkEnd w:id="63797"/>
      <w:bookmarkEnd w:id="63798"/>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הוא רוצה </w:t>
      </w:r>
      <w:bookmarkStart w:id="63799" w:name="_ETM_Q114_653234"/>
      <w:bookmarkEnd w:id="63799"/>
      <w:r>
        <w:rPr>
          <w:rFonts w:hint="cs"/>
          <w:rtl/>
        </w:rPr>
        <w:t>חופש.</w:t>
      </w:r>
      <w:bookmarkStart w:id="63800" w:name="_ETM_Q114_654275"/>
      <w:bookmarkEnd w:id="63800"/>
    </w:p>
    <w:p w:rsidR="00BB59CD" w:rsidRDefault="00BB59CD" w:rsidP="00BB59CD">
      <w:pPr>
        <w:rPr>
          <w:rtl/>
        </w:rPr>
      </w:pPr>
      <w:bookmarkStart w:id="63801" w:name="_ETM_Q114_654308"/>
      <w:bookmarkEnd w:id="63801"/>
    </w:p>
    <w:p w:rsidR="00BB59CD" w:rsidRDefault="00BB59CD" w:rsidP="00BB59CD">
      <w:pPr>
        <w:pStyle w:val="-"/>
        <w:keepNext/>
        <w:rPr>
          <w:rtl/>
        </w:rPr>
      </w:pPr>
      <w:bookmarkStart w:id="63802" w:name="ET_speakercontinue_6361_4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802"/>
    </w:p>
    <w:p w:rsidR="00BB59CD" w:rsidRDefault="00BB59CD" w:rsidP="00337201">
      <w:pPr>
        <w:rPr>
          <w:rtl/>
        </w:rPr>
      </w:pPr>
    </w:p>
    <w:p w:rsidR="00BB59CD" w:rsidRDefault="00BB59CD" w:rsidP="00DB5C1C">
      <w:pPr>
        <w:rPr>
          <w:rtl/>
        </w:rPr>
      </w:pPr>
      <w:bookmarkStart w:id="63803" w:name="_ETM_Q114_654940"/>
      <w:bookmarkStart w:id="63804" w:name="_ETM_Q114_653359"/>
      <w:bookmarkEnd w:id="63803"/>
      <w:bookmarkEnd w:id="63804"/>
      <w:r>
        <w:rPr>
          <w:rFonts w:hint="cs"/>
          <w:rtl/>
        </w:rPr>
        <w:t xml:space="preserve">אבל </w:t>
      </w:r>
      <w:bookmarkStart w:id="63805" w:name="_ETM_Q114_653599"/>
      <w:bookmarkEnd w:id="63805"/>
      <w:r>
        <w:rPr>
          <w:rFonts w:hint="cs"/>
          <w:rtl/>
        </w:rPr>
        <w:t xml:space="preserve">זה </w:t>
      </w:r>
      <w:bookmarkStart w:id="63806" w:name="_ETM_Q114_653719"/>
      <w:bookmarkEnd w:id="63806"/>
      <w:r>
        <w:rPr>
          <w:rFonts w:hint="cs"/>
          <w:rtl/>
        </w:rPr>
        <w:t xml:space="preserve">לא </w:t>
      </w:r>
      <w:bookmarkStart w:id="63807" w:name="_ETM_Q114_653900"/>
      <w:bookmarkEnd w:id="63807"/>
      <w:r>
        <w:rPr>
          <w:rFonts w:hint="cs"/>
          <w:rtl/>
        </w:rPr>
        <w:t xml:space="preserve">חופש, זה שליטה מלאה של צד אחד. היום הוא צד </w:t>
      </w:r>
      <w:bookmarkStart w:id="63808" w:name="_ETM_Q114_658762"/>
      <w:bookmarkEnd w:id="63808"/>
      <w:r>
        <w:rPr>
          <w:rFonts w:hint="cs"/>
          <w:rtl/>
        </w:rPr>
        <w:t>אחד, מחר הוא כנראה יכול להיות צד שני. את זה</w:t>
      </w:r>
      <w:bookmarkStart w:id="63809" w:name="_ETM_Q114_661737"/>
      <w:bookmarkEnd w:id="63809"/>
      <w:r>
        <w:rPr>
          <w:rFonts w:hint="cs"/>
          <w:rtl/>
        </w:rPr>
        <w:t xml:space="preserve"> אף אחד לא לוקח בחשבון. זו הבעיה העיקרית, </w:t>
      </w:r>
      <w:bookmarkStart w:id="63810" w:name="_ETM_Q114_654139"/>
      <w:bookmarkStart w:id="63811" w:name="_ETM_Q114_654349"/>
      <w:bookmarkStart w:id="63812" w:name="_ETM_Q114_654650"/>
      <w:bookmarkStart w:id="63813" w:name="_ETM_Q114_655069"/>
      <w:bookmarkStart w:id="63814" w:name="_ETM_Q114_655249"/>
      <w:bookmarkStart w:id="63815" w:name="_ETM_Q114_655459"/>
      <w:bookmarkStart w:id="63816" w:name="_ETM_Q114_656330"/>
      <w:bookmarkStart w:id="63817" w:name="_ETM_Q114_656660"/>
      <w:bookmarkStart w:id="63818" w:name="_ETM_Q114_656960"/>
      <w:bookmarkStart w:id="63819" w:name="_ETM_Q114_657230"/>
      <w:bookmarkStart w:id="63820" w:name="_ETM_Q114_657560"/>
      <w:bookmarkStart w:id="63821" w:name="_ETM_Q114_657680"/>
      <w:bookmarkStart w:id="63822" w:name="_ETM_Q114_658040"/>
      <w:bookmarkStart w:id="63823" w:name="_ETM_Q114_658310"/>
      <w:bookmarkStart w:id="63824" w:name="_ETM_Q114_658490"/>
      <w:bookmarkStart w:id="63825" w:name="_ETM_Q114_658670"/>
      <w:bookmarkStart w:id="63826" w:name="_ETM_Q114_659400"/>
      <w:bookmarkStart w:id="63827" w:name="_ETM_Q114_659670"/>
      <w:bookmarkStart w:id="63828" w:name="_ETM_Q114_659940"/>
      <w:bookmarkStart w:id="63829" w:name="_ETM_Q114_660180"/>
      <w:bookmarkStart w:id="63830" w:name="_ETM_Q114_660270"/>
      <w:bookmarkStart w:id="63831" w:name="_ETM_Q114_660540"/>
      <w:bookmarkStart w:id="63832" w:name="_ETM_Q114_660930"/>
      <w:bookmarkStart w:id="63833" w:name="_ETM_Q114_661230"/>
      <w:bookmarkStart w:id="63834" w:name="_ETM_Q114_661560"/>
      <w:bookmarkStart w:id="63835" w:name="_ETM_Q114_661950"/>
      <w:bookmarkStart w:id="63836" w:name="_ETM_Q114_662610"/>
      <w:bookmarkEnd w:id="63810"/>
      <w:bookmarkEnd w:id="63811"/>
      <w:bookmarkEnd w:id="63812"/>
      <w:bookmarkEnd w:id="63813"/>
      <w:bookmarkEnd w:id="63814"/>
      <w:bookmarkEnd w:id="63815"/>
      <w:bookmarkEnd w:id="63816"/>
      <w:bookmarkEnd w:id="63817"/>
      <w:bookmarkEnd w:id="63818"/>
      <w:bookmarkEnd w:id="63819"/>
      <w:bookmarkEnd w:id="63820"/>
      <w:bookmarkEnd w:id="63821"/>
      <w:bookmarkEnd w:id="63822"/>
      <w:bookmarkEnd w:id="63823"/>
      <w:bookmarkEnd w:id="63824"/>
      <w:bookmarkEnd w:id="63825"/>
      <w:bookmarkEnd w:id="63826"/>
      <w:bookmarkEnd w:id="63827"/>
      <w:bookmarkEnd w:id="63828"/>
      <w:bookmarkEnd w:id="63829"/>
      <w:bookmarkEnd w:id="63830"/>
      <w:bookmarkEnd w:id="63831"/>
      <w:bookmarkEnd w:id="63832"/>
      <w:bookmarkEnd w:id="63833"/>
      <w:bookmarkEnd w:id="63834"/>
      <w:bookmarkEnd w:id="63835"/>
      <w:bookmarkEnd w:id="63836"/>
      <w:r>
        <w:rPr>
          <w:rFonts w:hint="cs"/>
          <w:rtl/>
        </w:rPr>
        <w:t xml:space="preserve">שיש </w:t>
      </w:r>
      <w:bookmarkStart w:id="63837" w:name="_ETM_Q114_663893"/>
      <w:bookmarkEnd w:id="63837"/>
      <w:r>
        <w:rPr>
          <w:rFonts w:hint="cs"/>
          <w:rtl/>
        </w:rPr>
        <w:t xml:space="preserve">הרגשה </w:t>
      </w:r>
      <w:bookmarkStart w:id="63838" w:name="_ETM_Q114_663060"/>
      <w:bookmarkEnd w:id="63838"/>
      <w:r>
        <w:rPr>
          <w:rFonts w:hint="cs"/>
          <w:rtl/>
        </w:rPr>
        <w:t xml:space="preserve">במדינה </w:t>
      </w:r>
      <w:bookmarkStart w:id="63839" w:name="_ETM_Q114_663960"/>
      <w:bookmarkEnd w:id="63839"/>
      <w:r>
        <w:rPr>
          <w:rFonts w:hint="cs"/>
          <w:rtl/>
        </w:rPr>
        <w:t xml:space="preserve">שאתם </w:t>
      </w:r>
      <w:bookmarkStart w:id="63840" w:name="_ETM_Q114_664350"/>
      <w:bookmarkEnd w:id="63840"/>
      <w:r>
        <w:rPr>
          <w:rFonts w:hint="cs"/>
          <w:rtl/>
        </w:rPr>
        <w:t xml:space="preserve">רוצים </w:t>
      </w:r>
      <w:bookmarkStart w:id="63841" w:name="_ETM_Q114_664590"/>
      <w:bookmarkEnd w:id="63841"/>
      <w:r>
        <w:rPr>
          <w:rFonts w:hint="cs"/>
          <w:rtl/>
        </w:rPr>
        <w:t xml:space="preserve">לקחת </w:t>
      </w:r>
      <w:bookmarkStart w:id="63842" w:name="_ETM_Q114_664980"/>
      <w:bookmarkEnd w:id="63842"/>
      <w:r>
        <w:rPr>
          <w:rFonts w:hint="cs"/>
          <w:rtl/>
        </w:rPr>
        <w:t xml:space="preserve">את </w:t>
      </w:r>
      <w:bookmarkStart w:id="63843" w:name="_ETM_Q114_665100"/>
      <w:bookmarkEnd w:id="63843"/>
      <w:r>
        <w:rPr>
          <w:rFonts w:hint="cs"/>
          <w:rtl/>
        </w:rPr>
        <w:t xml:space="preserve">הכוח </w:t>
      </w:r>
      <w:bookmarkStart w:id="63844" w:name="_ETM_Q114_665520"/>
      <w:bookmarkEnd w:id="63844"/>
      <w:r>
        <w:rPr>
          <w:rFonts w:hint="cs"/>
          <w:rtl/>
        </w:rPr>
        <w:t xml:space="preserve">על </w:t>
      </w:r>
      <w:bookmarkStart w:id="63845" w:name="_ETM_Q114_665700"/>
      <w:bookmarkEnd w:id="63845"/>
      <w:r>
        <w:rPr>
          <w:rFonts w:hint="cs"/>
          <w:rtl/>
        </w:rPr>
        <w:t xml:space="preserve">מלא </w:t>
      </w:r>
      <w:bookmarkStart w:id="63846" w:name="_ETM_Q114_666060"/>
      <w:bookmarkEnd w:id="63846"/>
      <w:r>
        <w:rPr>
          <w:rFonts w:hint="cs"/>
          <w:rtl/>
        </w:rPr>
        <w:t xml:space="preserve">לכם. </w:t>
      </w:r>
      <w:bookmarkStart w:id="63847" w:name="_ETM_Q114_667020"/>
      <w:bookmarkStart w:id="63848" w:name="_ETM_Q114_667320"/>
      <w:bookmarkStart w:id="63849" w:name="_ETM_Q114_667410"/>
      <w:bookmarkEnd w:id="63847"/>
      <w:bookmarkEnd w:id="63848"/>
      <w:bookmarkEnd w:id="63849"/>
      <w:r>
        <w:rPr>
          <w:rFonts w:hint="cs"/>
          <w:rtl/>
        </w:rPr>
        <w:t xml:space="preserve">אתה </w:t>
      </w:r>
      <w:bookmarkStart w:id="63850" w:name="_ETM_Q114_667590"/>
      <w:bookmarkEnd w:id="63850"/>
      <w:r>
        <w:rPr>
          <w:rFonts w:hint="cs"/>
          <w:rtl/>
        </w:rPr>
        <w:t xml:space="preserve">לא </w:t>
      </w:r>
      <w:bookmarkStart w:id="63851" w:name="_ETM_Q114_667650"/>
      <w:bookmarkEnd w:id="63851"/>
      <w:r>
        <w:rPr>
          <w:rFonts w:hint="cs"/>
          <w:rtl/>
        </w:rPr>
        <w:t xml:space="preserve">יכול </w:t>
      </w:r>
      <w:bookmarkStart w:id="63852" w:name="_ETM_Q114_667830"/>
      <w:bookmarkEnd w:id="63852"/>
      <w:r>
        <w:rPr>
          <w:rFonts w:hint="cs"/>
          <w:rtl/>
        </w:rPr>
        <w:t xml:space="preserve">להגיד </w:t>
      </w:r>
      <w:bookmarkStart w:id="63853" w:name="_ETM_Q114_668310"/>
      <w:bookmarkEnd w:id="63853"/>
      <w:r>
        <w:rPr>
          <w:rFonts w:hint="cs"/>
          <w:rtl/>
        </w:rPr>
        <w:t>שלא.</w:t>
      </w:r>
      <w:bookmarkStart w:id="63854" w:name="_ETM_Q114_670408"/>
      <w:bookmarkStart w:id="63855" w:name="_ETM_Q114_670458"/>
      <w:bookmarkStart w:id="63856" w:name="_ETM_Q114_670599"/>
      <w:bookmarkStart w:id="63857" w:name="_ETM_Q114_670638"/>
      <w:bookmarkStart w:id="63858" w:name="_ETM_Q114_669260"/>
      <w:bookmarkEnd w:id="63854"/>
      <w:bookmarkEnd w:id="63855"/>
      <w:bookmarkEnd w:id="63856"/>
      <w:bookmarkEnd w:id="63857"/>
      <w:bookmarkEnd w:id="63858"/>
      <w:r w:rsidR="00DB5C1C">
        <w:rPr>
          <w:rFonts w:hint="cs"/>
          <w:rtl/>
        </w:rPr>
        <w:t xml:space="preserve"> </w:t>
      </w:r>
      <w:r>
        <w:rPr>
          <w:rFonts w:hint="cs"/>
          <w:rtl/>
        </w:rPr>
        <w:t xml:space="preserve">אתה </w:t>
      </w:r>
      <w:bookmarkStart w:id="63859" w:name="_ETM_Q114_669469"/>
      <w:bookmarkEnd w:id="63859"/>
      <w:r>
        <w:rPr>
          <w:rFonts w:hint="cs"/>
          <w:rtl/>
        </w:rPr>
        <w:t xml:space="preserve">רוצה </w:t>
      </w:r>
      <w:bookmarkStart w:id="63860" w:name="_ETM_Q114_669680"/>
      <w:bookmarkEnd w:id="63860"/>
      <w:r>
        <w:rPr>
          <w:rFonts w:hint="cs"/>
          <w:rtl/>
        </w:rPr>
        <w:t>שליטה במינויים – הינה</w:t>
      </w:r>
      <w:r w:rsidR="00DB5C1C">
        <w:rPr>
          <w:rFonts w:hint="cs"/>
          <w:rtl/>
        </w:rPr>
        <w:t>,</w:t>
      </w:r>
      <w:r>
        <w:rPr>
          <w:rFonts w:hint="cs"/>
          <w:rtl/>
        </w:rPr>
        <w:t xml:space="preserve"> קח היום את המינוי שרוצה להעביר</w:t>
      </w:r>
      <w:bookmarkStart w:id="63861" w:name="_ETM_Q114_676673"/>
      <w:bookmarkEnd w:id="63861"/>
      <w:r>
        <w:rPr>
          <w:rFonts w:hint="cs"/>
          <w:rtl/>
        </w:rPr>
        <w:t xml:space="preserve"> השר לגישור </w:t>
      </w:r>
      <w:r w:rsidR="00DB5C1C">
        <w:rPr>
          <w:rFonts w:hint="cs"/>
          <w:rtl/>
        </w:rPr>
        <w:t xml:space="preserve">על </w:t>
      </w:r>
      <w:r>
        <w:rPr>
          <w:rFonts w:hint="cs"/>
          <w:rtl/>
        </w:rPr>
        <w:t>פערים חברתיים ב</w:t>
      </w:r>
      <w:bookmarkStart w:id="63862" w:name="_ETM_Q114_670370"/>
      <w:bookmarkStart w:id="63863" w:name="_ETM_Q114_670610"/>
      <w:bookmarkStart w:id="63864" w:name="_ETM_Q114_670790"/>
      <w:bookmarkStart w:id="63865" w:name="_ETM_Q114_671060"/>
      <w:bookmarkStart w:id="63866" w:name="_ETM_Q114_671599"/>
      <w:bookmarkStart w:id="63867" w:name="_ETM_Q114_671810"/>
      <w:bookmarkStart w:id="63868" w:name="_ETM_Q114_672049"/>
      <w:bookmarkStart w:id="63869" w:name="_ETM_Q114_672260"/>
      <w:bookmarkStart w:id="63870" w:name="_ETM_Q114_672349"/>
      <w:bookmarkStart w:id="63871" w:name="_ETM_Q114_672680"/>
      <w:bookmarkStart w:id="63872" w:name="_ETM_Q114_673010"/>
      <w:bookmarkStart w:id="63873" w:name="_ETM_Q114_674030"/>
      <w:bookmarkStart w:id="63874" w:name="_ETM_Q114_675190"/>
      <w:bookmarkStart w:id="63875" w:name="_ETM_Q114_675820"/>
      <w:bookmarkStart w:id="63876" w:name="_ETM_Q114_676180"/>
      <w:bookmarkStart w:id="63877" w:name="_ETM_Q114_676780"/>
      <w:bookmarkEnd w:id="63862"/>
      <w:bookmarkEnd w:id="63863"/>
      <w:bookmarkEnd w:id="63864"/>
      <w:bookmarkEnd w:id="63865"/>
      <w:bookmarkEnd w:id="63866"/>
      <w:bookmarkEnd w:id="63867"/>
      <w:bookmarkEnd w:id="63868"/>
      <w:bookmarkEnd w:id="63869"/>
      <w:bookmarkEnd w:id="63870"/>
      <w:bookmarkEnd w:id="63871"/>
      <w:bookmarkEnd w:id="63872"/>
      <w:bookmarkEnd w:id="63873"/>
      <w:bookmarkEnd w:id="63874"/>
      <w:bookmarkEnd w:id="63875"/>
      <w:bookmarkEnd w:id="63876"/>
      <w:bookmarkEnd w:id="63877"/>
      <w:r>
        <w:rPr>
          <w:rFonts w:hint="cs"/>
          <w:rtl/>
        </w:rPr>
        <w:t xml:space="preserve">מדינת </w:t>
      </w:r>
      <w:bookmarkStart w:id="63878" w:name="_ETM_Q114_677230"/>
      <w:bookmarkEnd w:id="63878"/>
      <w:r>
        <w:rPr>
          <w:rFonts w:hint="cs"/>
          <w:rtl/>
        </w:rPr>
        <w:t xml:space="preserve">ישראל </w:t>
      </w:r>
      <w:bookmarkStart w:id="63879" w:name="_ETM_Q114_677620"/>
      <w:bookmarkEnd w:id="63879"/>
      <w:r>
        <w:rPr>
          <w:rFonts w:hint="cs"/>
          <w:rtl/>
        </w:rPr>
        <w:t xml:space="preserve">וצמצום </w:t>
      </w:r>
      <w:bookmarkStart w:id="63880" w:name="_ETM_Q114_678250"/>
      <w:bookmarkEnd w:id="63880"/>
      <w:r>
        <w:rPr>
          <w:rFonts w:hint="cs"/>
          <w:rtl/>
        </w:rPr>
        <w:t xml:space="preserve">הפערים </w:t>
      </w:r>
      <w:bookmarkStart w:id="63881" w:name="_ETM_Q114_678850"/>
      <w:bookmarkEnd w:id="63881"/>
      <w:r>
        <w:rPr>
          <w:rFonts w:hint="cs"/>
          <w:rtl/>
        </w:rPr>
        <w:t xml:space="preserve">בין </w:t>
      </w:r>
      <w:bookmarkStart w:id="63882" w:name="_ETM_Q114_679030"/>
      <w:bookmarkEnd w:id="63882"/>
      <w:r>
        <w:rPr>
          <w:rFonts w:hint="cs"/>
          <w:rtl/>
        </w:rPr>
        <w:t xml:space="preserve">הפריפריה </w:t>
      </w:r>
      <w:bookmarkStart w:id="63883" w:name="_ETM_Q114_680710"/>
      <w:bookmarkEnd w:id="63883"/>
      <w:r>
        <w:rPr>
          <w:rFonts w:hint="cs"/>
          <w:rtl/>
        </w:rPr>
        <w:t xml:space="preserve">למרכז. </w:t>
      </w:r>
      <w:bookmarkStart w:id="63884" w:name="_ETM_Q114_681280"/>
      <w:bookmarkEnd w:id="63884"/>
      <w:r>
        <w:rPr>
          <w:rFonts w:hint="cs"/>
          <w:rtl/>
        </w:rPr>
        <w:t xml:space="preserve">אתה </w:t>
      </w:r>
      <w:bookmarkStart w:id="63885" w:name="_ETM_Q114_681370"/>
      <w:bookmarkEnd w:id="63885"/>
      <w:r>
        <w:rPr>
          <w:rFonts w:hint="cs"/>
          <w:rtl/>
        </w:rPr>
        <w:t xml:space="preserve">יודע </w:t>
      </w:r>
      <w:bookmarkStart w:id="63886" w:name="_ETM_Q114_681550"/>
      <w:bookmarkEnd w:id="63886"/>
      <w:r>
        <w:rPr>
          <w:rFonts w:hint="cs"/>
          <w:rtl/>
        </w:rPr>
        <w:t xml:space="preserve">מי </w:t>
      </w:r>
      <w:bookmarkStart w:id="63887" w:name="_ETM_Q114_681670"/>
      <w:bookmarkEnd w:id="63887"/>
      <w:r>
        <w:rPr>
          <w:rFonts w:hint="cs"/>
          <w:rtl/>
        </w:rPr>
        <w:t xml:space="preserve">השר </w:t>
      </w:r>
      <w:bookmarkStart w:id="63888" w:name="_ETM_Q114_681910"/>
      <w:bookmarkEnd w:id="63888"/>
      <w:r>
        <w:rPr>
          <w:rFonts w:hint="cs"/>
          <w:rtl/>
        </w:rPr>
        <w:t>הזה?</w:t>
      </w:r>
    </w:p>
    <w:p w:rsidR="00BB59CD" w:rsidRDefault="00BB59CD" w:rsidP="00BB59CD">
      <w:pPr>
        <w:rPr>
          <w:rtl/>
        </w:rPr>
      </w:pPr>
      <w:bookmarkStart w:id="63889" w:name="_ETM_Q114_684836"/>
      <w:bookmarkStart w:id="63890" w:name="_ETM_Q114_684884"/>
      <w:bookmarkEnd w:id="63889"/>
      <w:bookmarkEnd w:id="63890"/>
    </w:p>
    <w:p w:rsidR="00BB59CD" w:rsidRDefault="00BB59CD" w:rsidP="00BB59CD">
      <w:pPr>
        <w:pStyle w:val="af9"/>
        <w:keepNext/>
        <w:rPr>
          <w:rtl/>
        </w:rPr>
      </w:pPr>
      <w:bookmarkStart w:id="63891" w:name="ET_yor_6488_4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3891"/>
    </w:p>
    <w:p w:rsidR="00BB59CD" w:rsidRDefault="00BB59CD" w:rsidP="00337201">
      <w:pPr>
        <w:rPr>
          <w:rtl/>
        </w:rPr>
      </w:pPr>
    </w:p>
    <w:p w:rsidR="00BB59CD" w:rsidRDefault="00BB59CD" w:rsidP="00BB59CD">
      <w:pPr>
        <w:rPr>
          <w:rtl/>
        </w:rPr>
      </w:pPr>
      <w:bookmarkStart w:id="63892" w:name="_ETM_Q114_684231"/>
      <w:bookmarkEnd w:id="63892"/>
      <w:r>
        <w:rPr>
          <w:rFonts w:hint="cs"/>
          <w:rtl/>
        </w:rPr>
        <w:t>מי?</w:t>
      </w:r>
    </w:p>
    <w:p w:rsidR="00BB59CD" w:rsidRDefault="00BB59CD" w:rsidP="00BB59CD">
      <w:pPr>
        <w:rPr>
          <w:rtl/>
        </w:rPr>
      </w:pPr>
    </w:p>
    <w:p w:rsidR="00BB59CD" w:rsidRDefault="00BB59CD" w:rsidP="00BB59CD">
      <w:pPr>
        <w:pStyle w:val="-"/>
        <w:keepNext/>
        <w:rPr>
          <w:rtl/>
        </w:rPr>
      </w:pPr>
      <w:bookmarkStart w:id="63893" w:name="ET_speakercontinue_6361_4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893"/>
    </w:p>
    <w:p w:rsidR="00BB59CD" w:rsidRDefault="00BB59CD" w:rsidP="00337201">
      <w:pPr>
        <w:rPr>
          <w:rtl/>
        </w:rPr>
      </w:pPr>
    </w:p>
    <w:p w:rsidR="00BB59CD" w:rsidRDefault="00BB59CD" w:rsidP="00DB5C1C">
      <w:pPr>
        <w:rPr>
          <w:rtl/>
        </w:rPr>
      </w:pPr>
      <w:bookmarkStart w:id="63894" w:name="_ETM_Q114_683956"/>
      <w:bookmarkEnd w:id="63894"/>
      <w:r>
        <w:rPr>
          <w:rFonts w:hint="cs"/>
          <w:rtl/>
        </w:rPr>
        <w:t xml:space="preserve">דודי </w:t>
      </w:r>
      <w:bookmarkStart w:id="63895" w:name="_ETM_Q114_685027"/>
      <w:bookmarkStart w:id="63896" w:name="_ETM_Q114_685064"/>
      <w:bookmarkStart w:id="63897" w:name="_ETM_Q114_683280"/>
      <w:bookmarkStart w:id="63898" w:name="_ETM_Q114_684580"/>
      <w:bookmarkEnd w:id="63895"/>
      <w:bookmarkEnd w:id="63896"/>
      <w:bookmarkEnd w:id="63897"/>
      <w:bookmarkEnd w:id="63898"/>
      <w:r>
        <w:rPr>
          <w:rFonts w:hint="cs"/>
          <w:rtl/>
        </w:rPr>
        <w:t xml:space="preserve">אמסלם. מה זאת אומרת? </w:t>
      </w:r>
      <w:bookmarkStart w:id="63899" w:name="_ETM_Q114_686930"/>
      <w:bookmarkEnd w:id="63899"/>
      <w:r>
        <w:rPr>
          <w:rFonts w:hint="cs"/>
          <w:rtl/>
        </w:rPr>
        <w:t xml:space="preserve">הוא </w:t>
      </w:r>
      <w:bookmarkStart w:id="63900" w:name="_ETM_Q114_687260"/>
      <w:bookmarkEnd w:id="63900"/>
      <w:r>
        <w:rPr>
          <w:rFonts w:hint="cs"/>
          <w:rtl/>
        </w:rPr>
        <w:t xml:space="preserve">אחראי </w:t>
      </w:r>
      <w:bookmarkStart w:id="63901" w:name="_ETM_Q114_687769"/>
      <w:bookmarkEnd w:id="63901"/>
      <w:r>
        <w:rPr>
          <w:rFonts w:hint="cs"/>
          <w:rtl/>
        </w:rPr>
        <w:t xml:space="preserve">על </w:t>
      </w:r>
      <w:bookmarkStart w:id="63902" w:name="_ETM_Q114_688069"/>
      <w:bookmarkEnd w:id="63902"/>
      <w:r>
        <w:rPr>
          <w:rFonts w:hint="cs"/>
          <w:rtl/>
        </w:rPr>
        <w:t xml:space="preserve">פרסום </w:t>
      </w:r>
      <w:bookmarkStart w:id="63903" w:name="_ETM_Q114_688760"/>
      <w:bookmarkEnd w:id="63903"/>
      <w:r>
        <w:rPr>
          <w:rFonts w:hint="cs"/>
          <w:rtl/>
        </w:rPr>
        <w:t xml:space="preserve">האמנות </w:t>
      </w:r>
      <w:bookmarkStart w:id="63904" w:name="_ETM_Q114_689879"/>
      <w:bookmarkEnd w:id="63904"/>
      <w:r>
        <w:rPr>
          <w:rFonts w:hint="cs"/>
          <w:rtl/>
        </w:rPr>
        <w:t xml:space="preserve">או </w:t>
      </w:r>
      <w:bookmarkStart w:id="63905" w:name="_ETM_Q114_690120"/>
      <w:bookmarkEnd w:id="63905"/>
      <w:r>
        <w:rPr>
          <w:rFonts w:hint="cs"/>
          <w:rtl/>
        </w:rPr>
        <w:t xml:space="preserve">תרגום </w:t>
      </w:r>
      <w:bookmarkStart w:id="63906" w:name="_ETM_Q114_690719"/>
      <w:bookmarkEnd w:id="63906"/>
      <w:r>
        <w:rPr>
          <w:rFonts w:hint="cs"/>
          <w:rtl/>
        </w:rPr>
        <w:t xml:space="preserve">של </w:t>
      </w:r>
      <w:bookmarkStart w:id="63907" w:name="_ETM_Q114_690959"/>
      <w:bookmarkEnd w:id="63907"/>
      <w:r>
        <w:rPr>
          <w:rFonts w:hint="cs"/>
          <w:rtl/>
        </w:rPr>
        <w:t xml:space="preserve">אמנות </w:t>
      </w:r>
      <w:bookmarkStart w:id="63908" w:name="_ETM_Q114_691349"/>
      <w:bookmarkEnd w:id="63908"/>
      <w:r>
        <w:rPr>
          <w:rFonts w:hint="cs"/>
          <w:rtl/>
        </w:rPr>
        <w:t xml:space="preserve">בין-לאומיות. </w:t>
      </w:r>
      <w:bookmarkStart w:id="63909" w:name="_ETM_Q114_692280"/>
      <w:bookmarkStart w:id="63910" w:name="_ETM_Q114_693420"/>
      <w:bookmarkStart w:id="63911" w:name="_ETM_Q114_693629"/>
      <w:bookmarkStart w:id="63912" w:name="_ETM_Q114_693900"/>
      <w:bookmarkStart w:id="63913" w:name="_ETM_Q114_694079"/>
      <w:bookmarkEnd w:id="63909"/>
      <w:bookmarkEnd w:id="63910"/>
      <w:bookmarkEnd w:id="63911"/>
      <w:bookmarkEnd w:id="63912"/>
      <w:bookmarkEnd w:id="63913"/>
      <w:r>
        <w:rPr>
          <w:rFonts w:hint="cs"/>
          <w:rtl/>
        </w:rPr>
        <w:t xml:space="preserve">אתה יודע, השר </w:t>
      </w:r>
      <w:bookmarkStart w:id="63914" w:name="_ETM_Q114_694409"/>
      <w:bookmarkEnd w:id="63914"/>
      <w:r>
        <w:rPr>
          <w:rFonts w:hint="cs"/>
          <w:rtl/>
        </w:rPr>
        <w:t xml:space="preserve">הזה </w:t>
      </w:r>
      <w:bookmarkStart w:id="63915" w:name="_ETM_Q114_695129"/>
      <w:bookmarkEnd w:id="63915"/>
      <w:r>
        <w:rPr>
          <w:rFonts w:hint="cs"/>
          <w:rtl/>
        </w:rPr>
        <w:t xml:space="preserve">רוצה </w:t>
      </w:r>
      <w:bookmarkStart w:id="63916" w:name="_ETM_Q114_695400"/>
      <w:bookmarkEnd w:id="63916"/>
      <w:r>
        <w:rPr>
          <w:rFonts w:hint="cs"/>
          <w:rtl/>
        </w:rPr>
        <w:t xml:space="preserve">למנות </w:t>
      </w:r>
      <w:bookmarkStart w:id="63917" w:name="_ETM_Q114_695760"/>
      <w:bookmarkEnd w:id="63917"/>
      <w:r>
        <w:rPr>
          <w:rFonts w:hint="cs"/>
          <w:rtl/>
        </w:rPr>
        <w:t xml:space="preserve">מנכ"ל </w:t>
      </w:r>
      <w:bookmarkStart w:id="63918" w:name="_ETM_Q114_697740"/>
      <w:bookmarkEnd w:id="63918"/>
      <w:r w:rsidR="00DB5C1C">
        <w:rPr>
          <w:rFonts w:hint="eastAsia"/>
          <w:rtl/>
        </w:rPr>
        <w:t>–</w:t>
      </w:r>
      <w:r w:rsidR="00DB5C1C">
        <w:rPr>
          <w:rFonts w:hint="cs"/>
          <w:rtl/>
        </w:rPr>
        <w:t xml:space="preserve"> </w:t>
      </w:r>
      <w:r>
        <w:rPr>
          <w:rFonts w:hint="cs"/>
          <w:rtl/>
        </w:rPr>
        <w:t xml:space="preserve">שיש </w:t>
      </w:r>
      <w:bookmarkStart w:id="63919" w:name="_ETM_Q114_698070"/>
      <w:bookmarkEnd w:id="63919"/>
      <w:r>
        <w:rPr>
          <w:rFonts w:hint="cs"/>
          <w:rtl/>
        </w:rPr>
        <w:t xml:space="preserve">לו </w:t>
      </w:r>
      <w:bookmarkStart w:id="63920" w:name="_ETM_Q114_698160"/>
      <w:bookmarkEnd w:id="63920"/>
      <w:r>
        <w:rPr>
          <w:rFonts w:hint="cs"/>
          <w:rtl/>
        </w:rPr>
        <w:t xml:space="preserve">בעיה, </w:t>
      </w:r>
      <w:bookmarkStart w:id="63921" w:name="_ETM_Q114_698730"/>
      <w:bookmarkEnd w:id="63921"/>
      <w:r>
        <w:rPr>
          <w:rFonts w:hint="cs"/>
          <w:rtl/>
        </w:rPr>
        <w:t xml:space="preserve">כי </w:t>
      </w:r>
      <w:bookmarkStart w:id="63922" w:name="_ETM_Q114_698880"/>
      <w:bookmarkEnd w:id="63922"/>
      <w:r>
        <w:rPr>
          <w:rFonts w:hint="cs"/>
          <w:rtl/>
        </w:rPr>
        <w:t xml:space="preserve">המנכ"ל </w:t>
      </w:r>
      <w:bookmarkStart w:id="63923" w:name="_ETM_Q114_699270"/>
      <w:bookmarkEnd w:id="63923"/>
      <w:r>
        <w:rPr>
          <w:rFonts w:hint="cs"/>
          <w:rtl/>
        </w:rPr>
        <w:t xml:space="preserve">הזה </w:t>
      </w:r>
      <w:bookmarkStart w:id="63924" w:name="_ETM_Q114_699510"/>
      <w:bookmarkEnd w:id="63924"/>
      <w:r>
        <w:rPr>
          <w:rFonts w:hint="cs"/>
          <w:rtl/>
        </w:rPr>
        <w:t xml:space="preserve">כנראה </w:t>
      </w:r>
      <w:bookmarkStart w:id="63925" w:name="_ETM_Q114_699990"/>
      <w:bookmarkEnd w:id="63925"/>
      <w:r>
        <w:rPr>
          <w:rFonts w:hint="cs"/>
          <w:rtl/>
        </w:rPr>
        <w:t xml:space="preserve">בעברו </w:t>
      </w:r>
      <w:bookmarkStart w:id="63926" w:name="_ETM_Q114_700650"/>
      <w:bookmarkEnd w:id="63926"/>
      <w:r>
        <w:rPr>
          <w:rFonts w:hint="cs"/>
          <w:rtl/>
        </w:rPr>
        <w:t xml:space="preserve">עשה </w:t>
      </w:r>
      <w:bookmarkStart w:id="63927" w:name="_ETM_Q114_700950"/>
      <w:bookmarkEnd w:id="63927"/>
      <w:r>
        <w:rPr>
          <w:rFonts w:hint="cs"/>
          <w:rtl/>
        </w:rPr>
        <w:t xml:space="preserve">איזה פאלטה של משמעת כשהוא היה </w:t>
      </w:r>
      <w:bookmarkStart w:id="63928" w:name="_ETM_Q114_701040"/>
      <w:bookmarkStart w:id="63929" w:name="_ETM_Q114_701400"/>
      <w:bookmarkStart w:id="63930" w:name="_ETM_Q114_701790"/>
      <w:bookmarkStart w:id="63931" w:name="_ETM_Q114_702150"/>
      <w:bookmarkStart w:id="63932" w:name="_ETM_Q114_703170"/>
      <w:bookmarkStart w:id="63933" w:name="_ETM_Q114_703380"/>
      <w:bookmarkStart w:id="63934" w:name="_ETM_Q114_703530"/>
      <w:bookmarkEnd w:id="63928"/>
      <w:bookmarkEnd w:id="63929"/>
      <w:bookmarkEnd w:id="63930"/>
      <w:bookmarkEnd w:id="63931"/>
      <w:bookmarkEnd w:id="63932"/>
      <w:bookmarkEnd w:id="63933"/>
      <w:bookmarkEnd w:id="63934"/>
      <w:r>
        <w:rPr>
          <w:rFonts w:hint="cs"/>
          <w:rtl/>
        </w:rPr>
        <w:t xml:space="preserve">אמור </w:t>
      </w:r>
      <w:bookmarkStart w:id="63935" w:name="_ETM_Q114_703740"/>
      <w:bookmarkEnd w:id="63935"/>
      <w:r>
        <w:rPr>
          <w:rFonts w:hint="cs"/>
          <w:rtl/>
        </w:rPr>
        <w:t xml:space="preserve">להיות </w:t>
      </w:r>
      <w:bookmarkStart w:id="63936" w:name="_ETM_Q114_703980"/>
      <w:bookmarkEnd w:id="63936"/>
      <w:r>
        <w:rPr>
          <w:rFonts w:hint="cs"/>
          <w:rtl/>
        </w:rPr>
        <w:t xml:space="preserve">בנציבות </w:t>
      </w:r>
      <w:bookmarkStart w:id="63937" w:name="_ETM_Q114_704460"/>
      <w:bookmarkEnd w:id="63937"/>
      <w:r>
        <w:rPr>
          <w:rFonts w:hint="cs"/>
          <w:rtl/>
        </w:rPr>
        <w:t>הכיבוי או משהו כזה.</w:t>
      </w:r>
      <w:bookmarkStart w:id="63938" w:name="_ETM_Q114_704850"/>
      <w:bookmarkStart w:id="63939" w:name="_ETM_Q114_705090"/>
      <w:bookmarkStart w:id="63940" w:name="_ETM_Q114_705939"/>
      <w:bookmarkStart w:id="63941" w:name="_ETM_Q114_711297"/>
      <w:bookmarkStart w:id="63942" w:name="_ETM_Q114_711344"/>
      <w:bookmarkStart w:id="63943" w:name="_ETM_Q114_711481"/>
      <w:bookmarkStart w:id="63944" w:name="_ETM_Q114_711534"/>
      <w:bookmarkStart w:id="63945" w:name="_ETM_Q114_707290"/>
      <w:bookmarkEnd w:id="63938"/>
      <w:bookmarkEnd w:id="63939"/>
      <w:bookmarkEnd w:id="63940"/>
      <w:bookmarkEnd w:id="63941"/>
      <w:bookmarkEnd w:id="63942"/>
      <w:bookmarkEnd w:id="63943"/>
      <w:bookmarkEnd w:id="63944"/>
      <w:bookmarkEnd w:id="63945"/>
      <w:r w:rsidR="00DB5C1C">
        <w:rPr>
          <w:rFonts w:hint="cs"/>
          <w:rtl/>
        </w:rPr>
        <w:t xml:space="preserve"> </w:t>
      </w:r>
      <w:r>
        <w:rPr>
          <w:rFonts w:hint="cs"/>
          <w:rtl/>
        </w:rPr>
        <w:t xml:space="preserve">אתה </w:t>
      </w:r>
      <w:bookmarkStart w:id="63946" w:name="_ETM_Q114_707769"/>
      <w:bookmarkEnd w:id="63946"/>
      <w:r>
        <w:rPr>
          <w:rFonts w:hint="cs"/>
          <w:rtl/>
        </w:rPr>
        <w:t xml:space="preserve">לא </w:t>
      </w:r>
      <w:bookmarkStart w:id="63947" w:name="_ETM_Q114_708069"/>
      <w:bookmarkEnd w:id="63947"/>
      <w:r>
        <w:rPr>
          <w:rFonts w:hint="cs"/>
          <w:rtl/>
        </w:rPr>
        <w:t xml:space="preserve">רוצה </w:t>
      </w:r>
      <w:bookmarkStart w:id="63948" w:name="_ETM_Q114_708939"/>
      <w:bookmarkEnd w:id="63948"/>
      <w:r>
        <w:rPr>
          <w:rFonts w:hint="cs"/>
          <w:rtl/>
        </w:rPr>
        <w:t xml:space="preserve">שאנשים </w:t>
      </w:r>
      <w:bookmarkStart w:id="63949" w:name="_ETM_Q114_709629"/>
      <w:bookmarkEnd w:id="63949"/>
      <w:r>
        <w:rPr>
          <w:rFonts w:hint="cs"/>
          <w:rtl/>
        </w:rPr>
        <w:t xml:space="preserve">שיש </w:t>
      </w:r>
      <w:bookmarkStart w:id="63950" w:name="_ETM_Q114_709900"/>
      <w:bookmarkEnd w:id="63950"/>
      <w:r>
        <w:rPr>
          <w:rFonts w:hint="cs"/>
          <w:rtl/>
        </w:rPr>
        <w:t xml:space="preserve">להם </w:t>
      </w:r>
      <w:bookmarkStart w:id="63951" w:name="_ETM_Q114_710140"/>
      <w:bookmarkEnd w:id="63951"/>
      <w:r>
        <w:rPr>
          <w:rFonts w:hint="cs"/>
          <w:rtl/>
        </w:rPr>
        <w:t xml:space="preserve">בעייתיות </w:t>
      </w:r>
      <w:bookmarkStart w:id="63952" w:name="_ETM_Q114_710769"/>
      <w:bookmarkEnd w:id="63952"/>
      <w:r>
        <w:rPr>
          <w:rFonts w:hint="cs"/>
          <w:rtl/>
        </w:rPr>
        <w:t xml:space="preserve">באמינות, </w:t>
      </w:r>
      <w:bookmarkStart w:id="63953" w:name="_ETM_Q114_711640"/>
      <w:bookmarkEnd w:id="63953"/>
      <w:r>
        <w:rPr>
          <w:rFonts w:hint="cs"/>
          <w:rtl/>
        </w:rPr>
        <w:t xml:space="preserve">או </w:t>
      </w:r>
      <w:bookmarkStart w:id="63954" w:name="_ETM_Q114_713073"/>
      <w:bookmarkEnd w:id="63954"/>
      <w:r>
        <w:rPr>
          <w:rFonts w:hint="cs"/>
          <w:rtl/>
        </w:rPr>
        <w:t>בעיה מסוימת בעברם - - -</w:t>
      </w:r>
    </w:p>
    <w:p w:rsidR="00BB59CD" w:rsidRDefault="00BB59CD" w:rsidP="00BB59CD">
      <w:pPr>
        <w:rPr>
          <w:rtl/>
        </w:rPr>
      </w:pPr>
      <w:bookmarkStart w:id="63955" w:name="_ETM_Q114_713092"/>
      <w:bookmarkStart w:id="63956" w:name="_ETM_Q114_713131"/>
      <w:bookmarkEnd w:id="63955"/>
      <w:bookmarkEnd w:id="63956"/>
    </w:p>
    <w:p w:rsidR="00BB59CD" w:rsidRDefault="00BB59CD" w:rsidP="00BB59CD">
      <w:pPr>
        <w:pStyle w:val="af9"/>
        <w:keepNext/>
        <w:rPr>
          <w:rtl/>
        </w:rPr>
      </w:pPr>
      <w:bookmarkStart w:id="63957" w:name="ET_yor_6488_4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3957"/>
    </w:p>
    <w:p w:rsidR="00BB59CD" w:rsidRDefault="00BB59CD" w:rsidP="00337201">
      <w:pPr>
        <w:rPr>
          <w:rtl/>
        </w:rPr>
      </w:pPr>
    </w:p>
    <w:p w:rsidR="00BB59CD" w:rsidRDefault="00BB59CD" w:rsidP="00DB5C1C">
      <w:pPr>
        <w:rPr>
          <w:rtl/>
        </w:rPr>
      </w:pPr>
      <w:bookmarkStart w:id="63958" w:name="_ETM_Q114_714508"/>
      <w:bookmarkEnd w:id="63958"/>
      <w:r>
        <w:rPr>
          <w:rFonts w:hint="cs"/>
          <w:rtl/>
        </w:rPr>
        <w:t>אתה רוצה לדעת מה הסיפור</w:t>
      </w:r>
      <w:bookmarkStart w:id="63959" w:name="_ETM_Q114_716329"/>
      <w:bookmarkEnd w:id="63959"/>
      <w:r>
        <w:rPr>
          <w:rFonts w:hint="cs"/>
          <w:rtl/>
        </w:rPr>
        <w:t xml:space="preserve"> של אותו החבר סוויסה?</w:t>
      </w:r>
      <w:r w:rsidR="00DB5C1C">
        <w:rPr>
          <w:rFonts w:hint="cs"/>
          <w:rtl/>
        </w:rPr>
        <w:t xml:space="preserve"> </w:t>
      </w:r>
      <w:bookmarkStart w:id="63960" w:name="_ETM_Q114_716398"/>
      <w:bookmarkStart w:id="63961" w:name="_ETM_Q114_719768"/>
      <w:bookmarkEnd w:id="63960"/>
      <w:bookmarkEnd w:id="63961"/>
      <w:r>
        <w:rPr>
          <w:rFonts w:hint="cs"/>
          <w:rtl/>
        </w:rPr>
        <w:t xml:space="preserve">הוא לא רשם </w:t>
      </w:r>
      <w:bookmarkStart w:id="63962" w:name="_ETM_Q114_719378"/>
      <w:bookmarkEnd w:id="63962"/>
      <w:r>
        <w:rPr>
          <w:rFonts w:hint="cs"/>
          <w:rtl/>
        </w:rPr>
        <w:t>על משהו שהיה לו לפני 20 שנה - - -</w:t>
      </w:r>
    </w:p>
    <w:p w:rsidR="00BB59CD" w:rsidRDefault="00BB59CD" w:rsidP="00BB59CD">
      <w:pPr>
        <w:rPr>
          <w:rtl/>
        </w:rPr>
      </w:pPr>
    </w:p>
    <w:p w:rsidR="00BB59CD" w:rsidRDefault="00BB59CD" w:rsidP="00BB59CD">
      <w:pPr>
        <w:pStyle w:val="-"/>
        <w:keepNext/>
        <w:rPr>
          <w:rtl/>
        </w:rPr>
      </w:pPr>
      <w:bookmarkStart w:id="63963" w:name="ET_speakercontinue_6361_5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963"/>
    </w:p>
    <w:p w:rsidR="00BB59CD" w:rsidRDefault="00BB59CD" w:rsidP="00337201">
      <w:pPr>
        <w:rPr>
          <w:rtl/>
        </w:rPr>
      </w:pPr>
    </w:p>
    <w:p w:rsidR="00BB59CD" w:rsidRDefault="00BB59CD" w:rsidP="00BB59CD">
      <w:pPr>
        <w:rPr>
          <w:rtl/>
        </w:rPr>
      </w:pPr>
      <w:bookmarkStart w:id="63964" w:name="_ETM_Q114_719995"/>
      <w:bookmarkEnd w:id="63964"/>
      <w:r>
        <w:rPr>
          <w:rFonts w:hint="cs"/>
          <w:rtl/>
        </w:rPr>
        <w:t>עבירת</w:t>
      </w:r>
      <w:bookmarkStart w:id="63965" w:name="_ETM_Q114_721180"/>
      <w:bookmarkEnd w:id="63965"/>
      <w:r>
        <w:rPr>
          <w:rFonts w:hint="cs"/>
          <w:rtl/>
        </w:rPr>
        <w:t xml:space="preserve"> משמעת.</w:t>
      </w:r>
      <w:bookmarkStart w:id="63966" w:name="_ETM_Q114_723373"/>
      <w:bookmarkEnd w:id="63966"/>
    </w:p>
    <w:p w:rsidR="00BB59CD" w:rsidRDefault="00BB59CD" w:rsidP="00BB59CD">
      <w:pPr>
        <w:rPr>
          <w:rtl/>
        </w:rPr>
      </w:pPr>
      <w:bookmarkStart w:id="63967" w:name="_ETM_Q114_723414"/>
      <w:bookmarkEnd w:id="63967"/>
    </w:p>
    <w:p w:rsidR="00BB59CD" w:rsidRDefault="00BB59CD" w:rsidP="00BB59CD">
      <w:pPr>
        <w:pStyle w:val="af9"/>
        <w:keepNext/>
        <w:rPr>
          <w:rtl/>
        </w:rPr>
      </w:pPr>
      <w:bookmarkStart w:id="63968" w:name="ET_yor_6488_5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3968"/>
    </w:p>
    <w:p w:rsidR="00BB59CD" w:rsidRDefault="00BB59CD" w:rsidP="00337201">
      <w:pPr>
        <w:rPr>
          <w:rtl/>
        </w:rPr>
      </w:pPr>
    </w:p>
    <w:p w:rsidR="00BB59CD" w:rsidRDefault="00BB59CD" w:rsidP="00DB5C1C">
      <w:pPr>
        <w:rPr>
          <w:rtl/>
        </w:rPr>
      </w:pPr>
      <w:bookmarkStart w:id="63969" w:name="_ETM_Q114_721951"/>
      <w:bookmarkEnd w:id="63969"/>
      <w:r>
        <w:rPr>
          <w:rFonts w:hint="cs"/>
          <w:rtl/>
        </w:rPr>
        <w:t xml:space="preserve">אפילו עבירה פלילית, אם זה יותר משבע שנים, אתה לא </w:t>
      </w:r>
      <w:bookmarkStart w:id="63970" w:name="_ETM_Q114_727491"/>
      <w:bookmarkEnd w:id="63970"/>
      <w:r>
        <w:rPr>
          <w:rFonts w:hint="cs"/>
          <w:rtl/>
        </w:rPr>
        <w:t xml:space="preserve">צריך לרשום </w:t>
      </w:r>
      <w:r w:rsidR="00DB5C1C">
        <w:rPr>
          <w:rFonts w:hint="cs"/>
          <w:rtl/>
        </w:rPr>
        <w:t>אותה</w:t>
      </w:r>
      <w:r>
        <w:rPr>
          <w:rFonts w:hint="cs"/>
          <w:rtl/>
        </w:rPr>
        <w:t xml:space="preserve"> בקורות חיים. </w:t>
      </w:r>
      <w:bookmarkStart w:id="63971" w:name="_ETM_Q114_713275"/>
      <w:bookmarkStart w:id="63972" w:name="_ETM_Q114_713319"/>
      <w:bookmarkStart w:id="63973" w:name="_ETM_Q114_727020"/>
      <w:bookmarkEnd w:id="63971"/>
      <w:bookmarkEnd w:id="63972"/>
      <w:bookmarkEnd w:id="63973"/>
      <w:r>
        <w:rPr>
          <w:rFonts w:hint="cs"/>
          <w:rtl/>
        </w:rPr>
        <w:t xml:space="preserve">הוא </w:t>
      </w:r>
      <w:bookmarkStart w:id="63974" w:name="_ETM_Q114_727110"/>
      <w:bookmarkEnd w:id="63974"/>
      <w:r>
        <w:rPr>
          <w:rFonts w:hint="cs"/>
          <w:rtl/>
        </w:rPr>
        <w:t xml:space="preserve">לא </w:t>
      </w:r>
      <w:bookmarkStart w:id="63975" w:name="_ETM_Q114_727260"/>
      <w:bookmarkEnd w:id="63975"/>
      <w:r>
        <w:rPr>
          <w:rFonts w:hint="cs"/>
          <w:rtl/>
        </w:rPr>
        <w:t xml:space="preserve">ציין </w:t>
      </w:r>
      <w:bookmarkStart w:id="63976" w:name="_ETM_Q114_727500"/>
      <w:bookmarkEnd w:id="63976"/>
      <w:r>
        <w:rPr>
          <w:rFonts w:hint="cs"/>
          <w:rtl/>
        </w:rPr>
        <w:t xml:space="preserve">עבירת משמעת שהייתה לו </w:t>
      </w:r>
      <w:bookmarkStart w:id="63977" w:name="_ETM_Q114_727590"/>
      <w:bookmarkStart w:id="63978" w:name="_ETM_Q114_727650"/>
      <w:bookmarkStart w:id="63979" w:name="_ETM_Q114_727950"/>
      <w:bookmarkStart w:id="63980" w:name="_ETM_Q114_728400"/>
      <w:bookmarkStart w:id="63981" w:name="_ETM_Q114_728730"/>
      <w:bookmarkEnd w:id="63977"/>
      <w:bookmarkEnd w:id="63978"/>
      <w:bookmarkEnd w:id="63979"/>
      <w:bookmarkEnd w:id="63980"/>
      <w:bookmarkEnd w:id="63981"/>
      <w:r>
        <w:rPr>
          <w:rFonts w:hint="cs"/>
          <w:rtl/>
        </w:rPr>
        <w:t xml:space="preserve">לפני </w:t>
      </w:r>
      <w:bookmarkStart w:id="63982" w:name="_ETM_Q114_729030"/>
      <w:bookmarkEnd w:id="63982"/>
      <w:r>
        <w:rPr>
          <w:rFonts w:hint="cs"/>
          <w:rtl/>
        </w:rPr>
        <w:t xml:space="preserve">20 </w:t>
      </w:r>
      <w:bookmarkStart w:id="63983" w:name="_ETM_Q114_729360"/>
      <w:bookmarkEnd w:id="63983"/>
      <w:r>
        <w:rPr>
          <w:rFonts w:hint="cs"/>
          <w:rtl/>
        </w:rPr>
        <w:t>שנה.</w:t>
      </w:r>
    </w:p>
    <w:p w:rsidR="00BB59CD" w:rsidRDefault="00BB59CD" w:rsidP="00BB59CD">
      <w:pPr>
        <w:rPr>
          <w:rtl/>
        </w:rPr>
      </w:pPr>
      <w:bookmarkStart w:id="63984" w:name="_ETM_Q114_730929"/>
      <w:bookmarkStart w:id="63985" w:name="_ETM_Q114_730931"/>
      <w:bookmarkStart w:id="63986" w:name="_ETM_Q114_731085"/>
      <w:bookmarkEnd w:id="63984"/>
      <w:bookmarkEnd w:id="63985"/>
      <w:bookmarkEnd w:id="63986"/>
    </w:p>
    <w:p w:rsidR="00BB59CD" w:rsidRDefault="00BB59CD" w:rsidP="00BB59CD">
      <w:pPr>
        <w:pStyle w:val="-"/>
        <w:keepNext/>
        <w:rPr>
          <w:rtl/>
        </w:rPr>
      </w:pPr>
      <w:bookmarkStart w:id="63987" w:name="ET_speakercontinue_6361_5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987"/>
    </w:p>
    <w:p w:rsidR="00BB59CD" w:rsidRDefault="00BB59CD" w:rsidP="00337201">
      <w:pPr>
        <w:rPr>
          <w:rtl/>
        </w:rPr>
      </w:pPr>
    </w:p>
    <w:p w:rsidR="00BB59CD" w:rsidRDefault="00BB59CD" w:rsidP="00BB59CD">
      <w:pPr>
        <w:rPr>
          <w:rtl/>
        </w:rPr>
      </w:pPr>
      <w:bookmarkStart w:id="63988" w:name="_ETM_Q114_730386"/>
      <w:bookmarkStart w:id="63989" w:name="_ETM_Q114_731124"/>
      <w:bookmarkStart w:id="63990" w:name="_ETM_Q114_729780"/>
      <w:bookmarkEnd w:id="63988"/>
      <w:bookmarkEnd w:id="63989"/>
      <w:bookmarkEnd w:id="63990"/>
      <w:r>
        <w:rPr>
          <w:rFonts w:hint="cs"/>
          <w:rtl/>
        </w:rPr>
        <w:t>בסדר, בעת מינויו בכבאות.</w:t>
      </w:r>
      <w:bookmarkStart w:id="63991" w:name="_ETM_Q114_734880"/>
      <w:bookmarkEnd w:id="63991"/>
    </w:p>
    <w:p w:rsidR="00BB59CD" w:rsidRDefault="00BB59CD" w:rsidP="00BB59CD">
      <w:pPr>
        <w:rPr>
          <w:rtl/>
        </w:rPr>
      </w:pPr>
      <w:bookmarkStart w:id="63992" w:name="_ETM_Q114_734648"/>
      <w:bookmarkStart w:id="63993" w:name="_ETM_Q114_734692"/>
      <w:bookmarkEnd w:id="63992"/>
      <w:bookmarkEnd w:id="63993"/>
    </w:p>
    <w:p w:rsidR="00BB59CD" w:rsidRDefault="00BB59CD" w:rsidP="00BB59CD">
      <w:pPr>
        <w:pStyle w:val="af9"/>
        <w:keepNext/>
        <w:rPr>
          <w:rtl/>
        </w:rPr>
      </w:pPr>
      <w:bookmarkStart w:id="63994" w:name="ET_yor_6488_5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3994"/>
    </w:p>
    <w:p w:rsidR="00BB59CD" w:rsidRDefault="00BB59CD" w:rsidP="00337201">
      <w:pPr>
        <w:rPr>
          <w:rtl/>
        </w:rPr>
      </w:pPr>
    </w:p>
    <w:p w:rsidR="00BB59CD" w:rsidRDefault="00BB59CD" w:rsidP="00BB59CD">
      <w:pPr>
        <w:rPr>
          <w:rtl/>
        </w:rPr>
      </w:pPr>
      <w:bookmarkStart w:id="63995" w:name="_ETM_Q114_733211"/>
      <w:bookmarkEnd w:id="63995"/>
      <w:r>
        <w:rPr>
          <w:rFonts w:hint="cs"/>
          <w:rtl/>
        </w:rPr>
        <w:t>משהו בכבאות.</w:t>
      </w:r>
      <w:bookmarkStart w:id="63996" w:name="_ETM_Q114_735571"/>
      <w:bookmarkEnd w:id="63996"/>
      <w:r>
        <w:rPr>
          <w:rFonts w:hint="cs"/>
          <w:rtl/>
        </w:rPr>
        <w:t xml:space="preserve"> אבל 20 שנה אחורה.</w:t>
      </w:r>
    </w:p>
    <w:p w:rsidR="00BB59CD" w:rsidRDefault="00BB59CD" w:rsidP="00BB59CD">
      <w:pPr>
        <w:rPr>
          <w:rtl/>
        </w:rPr>
      </w:pPr>
      <w:bookmarkStart w:id="63997" w:name="_ETM_Q114_734329"/>
      <w:bookmarkStart w:id="63998" w:name="_ETM_Q114_734373"/>
      <w:bookmarkEnd w:id="63997"/>
      <w:bookmarkEnd w:id="63998"/>
    </w:p>
    <w:p w:rsidR="00BB59CD" w:rsidRDefault="00BB59CD" w:rsidP="00BB59CD">
      <w:pPr>
        <w:pStyle w:val="-"/>
        <w:keepNext/>
        <w:rPr>
          <w:rtl/>
        </w:rPr>
      </w:pPr>
      <w:bookmarkStart w:id="63999" w:name="ET_speakercontinue_6361_5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3999"/>
    </w:p>
    <w:p w:rsidR="00BB59CD" w:rsidRDefault="00BB59CD" w:rsidP="00337201">
      <w:pPr>
        <w:rPr>
          <w:rtl/>
        </w:rPr>
      </w:pPr>
    </w:p>
    <w:p w:rsidR="00BB59CD" w:rsidRDefault="00BB59CD" w:rsidP="00DB5C1C">
      <w:pPr>
        <w:rPr>
          <w:rtl/>
        </w:rPr>
      </w:pPr>
      <w:bookmarkStart w:id="64000" w:name="_ETM_Q114_735032"/>
      <w:bookmarkEnd w:id="64000"/>
      <w:r>
        <w:rPr>
          <w:rFonts w:hint="cs"/>
          <w:rtl/>
        </w:rPr>
        <w:t>זה לא לפני 20 שנה.</w:t>
      </w:r>
      <w:bookmarkStart w:id="64001" w:name="_ETM_Q114_736254"/>
      <w:bookmarkEnd w:id="64001"/>
      <w:r w:rsidR="00DB5C1C">
        <w:rPr>
          <w:rFonts w:hint="cs"/>
          <w:rtl/>
        </w:rPr>
        <w:t xml:space="preserve"> </w:t>
      </w:r>
      <w:bookmarkStart w:id="64002" w:name="_ETM_Q114_736288"/>
      <w:bookmarkStart w:id="64003" w:name="_ETM_Q114_739670"/>
      <w:bookmarkEnd w:id="64002"/>
      <w:bookmarkEnd w:id="64003"/>
      <w:r>
        <w:rPr>
          <w:rFonts w:hint="cs"/>
          <w:rtl/>
        </w:rPr>
        <w:t>לא משנה.</w:t>
      </w:r>
    </w:p>
    <w:p w:rsidR="00BB59CD" w:rsidRDefault="00BB59CD" w:rsidP="00BB59CD">
      <w:pPr>
        <w:rPr>
          <w:rtl/>
        </w:rPr>
      </w:pPr>
      <w:bookmarkStart w:id="64004" w:name="_ETM_Q114_738667"/>
      <w:bookmarkStart w:id="64005" w:name="_ETM_Q114_738705"/>
      <w:bookmarkEnd w:id="64004"/>
      <w:bookmarkEnd w:id="64005"/>
    </w:p>
    <w:p w:rsidR="00BB59CD" w:rsidRDefault="00BB59CD" w:rsidP="00BB59CD">
      <w:pPr>
        <w:pStyle w:val="af9"/>
        <w:keepNext/>
        <w:rPr>
          <w:rtl/>
        </w:rPr>
      </w:pPr>
      <w:bookmarkStart w:id="64006" w:name="ET_yor_6488_5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4006"/>
    </w:p>
    <w:p w:rsidR="00BB59CD" w:rsidRDefault="00BB59CD" w:rsidP="00337201">
      <w:pPr>
        <w:rPr>
          <w:rtl/>
        </w:rPr>
      </w:pPr>
    </w:p>
    <w:p w:rsidR="00BB59CD" w:rsidRDefault="00BB59CD" w:rsidP="00BB59CD">
      <w:pPr>
        <w:rPr>
          <w:rtl/>
        </w:rPr>
      </w:pPr>
      <w:bookmarkStart w:id="64007" w:name="_ETM_Q114_740113"/>
      <w:bookmarkEnd w:id="64007"/>
      <w:r>
        <w:rPr>
          <w:rFonts w:hint="cs"/>
          <w:rtl/>
        </w:rPr>
        <w:t xml:space="preserve">אני </w:t>
      </w:r>
      <w:bookmarkStart w:id="64008" w:name="_ETM_Q114_740893"/>
      <w:bookmarkEnd w:id="64008"/>
      <w:r>
        <w:rPr>
          <w:rFonts w:hint="cs"/>
          <w:rtl/>
        </w:rPr>
        <w:t xml:space="preserve">יודע שבחוק אחרי שבע שנים, גם עבירות פליליות - - </w:t>
      </w:r>
      <w:bookmarkStart w:id="64009" w:name="_ETM_Q114_743580"/>
      <w:bookmarkEnd w:id="64009"/>
      <w:r>
        <w:rPr>
          <w:rFonts w:hint="cs"/>
          <w:rtl/>
        </w:rPr>
        <w:t>-</w:t>
      </w:r>
      <w:bookmarkStart w:id="64010" w:name="_ETM_Q114_743878"/>
      <w:bookmarkEnd w:id="64010"/>
    </w:p>
    <w:p w:rsidR="00BB59CD" w:rsidRDefault="00BB59CD" w:rsidP="00BB59CD">
      <w:pPr>
        <w:rPr>
          <w:rtl/>
        </w:rPr>
      </w:pPr>
      <w:bookmarkStart w:id="64011" w:name="_ETM_Q114_743921"/>
      <w:bookmarkEnd w:id="64011"/>
    </w:p>
    <w:p w:rsidR="00BB59CD" w:rsidRDefault="00BB59CD" w:rsidP="00BB59CD">
      <w:pPr>
        <w:pStyle w:val="-"/>
        <w:keepNext/>
        <w:rPr>
          <w:rtl/>
        </w:rPr>
      </w:pPr>
      <w:bookmarkStart w:id="64012" w:name="ET_speakercontinue_6361_2"/>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bookmarkEnd w:id="64012"/>
    </w:p>
    <w:p w:rsidR="00BB59CD" w:rsidRDefault="00BB59CD" w:rsidP="00337201">
      <w:pPr>
        <w:rPr>
          <w:rtl/>
          <w:lang w:eastAsia="he-IL"/>
        </w:rPr>
      </w:pPr>
    </w:p>
    <w:p w:rsidR="00BB59CD" w:rsidRDefault="00BB59CD" w:rsidP="00BB59CD">
      <w:pPr>
        <w:rPr>
          <w:rtl/>
        </w:rPr>
      </w:pPr>
      <w:r>
        <w:rPr>
          <w:rFonts w:hint="cs"/>
          <w:rtl/>
        </w:rPr>
        <w:t xml:space="preserve">אז למה יש בעיה? אם זה החוק, אז למה יש בעיה? תרשה לי, בגלל שאני לא מכיר </w:t>
      </w:r>
      <w:bookmarkStart w:id="64013" w:name="_ETM_Q115_150817"/>
      <w:bookmarkStart w:id="64014" w:name="_ETM_Q115_180000"/>
      <w:bookmarkEnd w:id="64013"/>
      <w:bookmarkEnd w:id="64014"/>
      <w:r>
        <w:rPr>
          <w:rFonts w:hint="cs"/>
          <w:rtl/>
        </w:rPr>
        <w:t xml:space="preserve">את </w:t>
      </w:r>
      <w:bookmarkStart w:id="64015" w:name="_ETM_Q115_151079"/>
      <w:bookmarkEnd w:id="64015"/>
      <w:r>
        <w:rPr>
          <w:rFonts w:hint="cs"/>
          <w:rtl/>
        </w:rPr>
        <w:t>פרטי האירוע הזה, אני גם מעדיף לא לדבר על דברים ש</w:t>
      </w:r>
      <w:bookmarkStart w:id="64016" w:name="_ETM_Q115_153588"/>
      <w:bookmarkEnd w:id="64016"/>
      <w:r>
        <w:rPr>
          <w:rFonts w:hint="cs"/>
          <w:rtl/>
        </w:rPr>
        <w:t>בהם אני לא כל כך מבין.</w:t>
      </w:r>
    </w:p>
    <w:p w:rsidR="00BB59CD" w:rsidRDefault="00BB59CD" w:rsidP="00BB59CD">
      <w:pPr>
        <w:rPr>
          <w:rtl/>
        </w:rPr>
      </w:pPr>
      <w:bookmarkStart w:id="64017" w:name="_ETM_Q115_155430"/>
      <w:bookmarkStart w:id="64018" w:name="_ETM_Q115_155537"/>
      <w:bookmarkEnd w:id="64017"/>
      <w:bookmarkEnd w:id="64018"/>
    </w:p>
    <w:p w:rsidR="00BB59CD" w:rsidRDefault="00BB59CD" w:rsidP="00BB59CD">
      <w:pPr>
        <w:pStyle w:val="af9"/>
        <w:keepNext/>
        <w:rPr>
          <w:rtl/>
        </w:rPr>
      </w:pPr>
      <w:bookmarkStart w:id="64019" w:name="_ETM_Q115_150882"/>
      <w:bookmarkStart w:id="64020" w:name="_ETM_Q115_153121"/>
      <w:bookmarkStart w:id="64021" w:name="_ETM_Q115_153218"/>
      <w:bookmarkEnd w:id="64019"/>
      <w:bookmarkEnd w:id="64020"/>
      <w:bookmarkEnd w:id="6402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4022" w:name="_ETM_Q115_154601"/>
      <w:bookmarkEnd w:id="64022"/>
      <w:r>
        <w:rPr>
          <w:rFonts w:hint="cs"/>
          <w:rtl/>
        </w:rPr>
        <w:t xml:space="preserve">לא. אני גם התפלאתי. בסדר. יכול </w:t>
      </w:r>
      <w:bookmarkStart w:id="64023" w:name="_ETM_Q115_158062"/>
      <w:bookmarkEnd w:id="64023"/>
      <w:r>
        <w:rPr>
          <w:rFonts w:hint="cs"/>
          <w:rtl/>
        </w:rPr>
        <w:t>להיות שאני - - -</w:t>
      </w:r>
    </w:p>
    <w:p w:rsidR="00BB59CD" w:rsidRDefault="00BB59CD" w:rsidP="00BB59CD">
      <w:pPr>
        <w:rPr>
          <w:rtl/>
        </w:rPr>
      </w:pPr>
      <w:bookmarkStart w:id="64024" w:name="_ETM_Q115_151096"/>
      <w:bookmarkStart w:id="64025" w:name="_ETM_Q115_151118"/>
      <w:bookmarkStart w:id="64026" w:name="_ETM_Q115_151165"/>
      <w:bookmarkStart w:id="64027" w:name="_ETM_Q115_151201"/>
      <w:bookmarkStart w:id="64028" w:name="_ETM_Q115_151351"/>
      <w:bookmarkStart w:id="64029" w:name="_ETM_Q115_151410"/>
      <w:bookmarkEnd w:id="64024"/>
      <w:bookmarkEnd w:id="64025"/>
      <w:bookmarkEnd w:id="64026"/>
      <w:bookmarkEnd w:id="64027"/>
      <w:bookmarkEnd w:id="64028"/>
      <w:bookmarkEnd w:id="64029"/>
    </w:p>
    <w:p w:rsidR="00BB59CD" w:rsidRDefault="00BB59CD" w:rsidP="00BB59CD">
      <w:pPr>
        <w:pStyle w:val="-"/>
        <w:keepNext/>
        <w:rPr>
          <w:rtl/>
        </w:rPr>
      </w:pPr>
      <w:bookmarkStart w:id="64030" w:name="ET_speakercontinue_6361_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030"/>
    </w:p>
    <w:p w:rsidR="00BB59CD" w:rsidRDefault="00BB59CD" w:rsidP="00337201">
      <w:pPr>
        <w:rPr>
          <w:rtl/>
        </w:rPr>
      </w:pPr>
    </w:p>
    <w:p w:rsidR="00BB59CD" w:rsidRDefault="00BB59CD" w:rsidP="00DB5C1C">
      <w:pPr>
        <w:rPr>
          <w:rtl/>
        </w:rPr>
      </w:pPr>
      <w:r>
        <w:rPr>
          <w:rFonts w:hint="cs"/>
          <w:rtl/>
        </w:rPr>
        <w:t xml:space="preserve">אבל גם לא נעים לי – שמו של בן אדם, בטח בימים כאלה. אגב, דיברנו על דודי אמסלם, </w:t>
      </w:r>
      <w:bookmarkStart w:id="64031" w:name="_ETM_Q115_162411"/>
      <w:bookmarkEnd w:id="64031"/>
      <w:r>
        <w:rPr>
          <w:rFonts w:hint="cs"/>
          <w:rtl/>
        </w:rPr>
        <w:t>זה הזכיר לי סרטון שראית</w:t>
      </w:r>
      <w:r w:rsidR="00DB5C1C">
        <w:rPr>
          <w:rFonts w:hint="cs"/>
          <w:rtl/>
        </w:rPr>
        <w:t>י</w:t>
      </w:r>
      <w:r>
        <w:rPr>
          <w:rFonts w:hint="cs"/>
          <w:rtl/>
        </w:rPr>
        <w:t xml:space="preserve"> מ"מועבט" בשישי. ראיתם את </w:t>
      </w:r>
      <w:bookmarkStart w:id="64032" w:name="_ETM_Q115_163895"/>
      <w:bookmarkEnd w:id="64032"/>
      <w:r>
        <w:rPr>
          <w:rFonts w:hint="cs"/>
          <w:rtl/>
        </w:rPr>
        <w:t xml:space="preserve">הסרטון הזה? נכון אנחנו בתשעת הימים? הרי בתכלס אסור עכשיו </w:t>
      </w:r>
      <w:bookmarkStart w:id="64033" w:name="_ETM_Q115_173314"/>
      <w:bookmarkEnd w:id="64033"/>
      <w:r>
        <w:rPr>
          <w:rFonts w:hint="cs"/>
          <w:rtl/>
        </w:rPr>
        <w:t>לשמוח, נכון?</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4034" w:name="_ETM_Q115_170043"/>
      <w:bookmarkEnd w:id="64034"/>
      <w:r>
        <w:rPr>
          <w:rFonts w:hint="cs"/>
          <w:rtl/>
        </w:rPr>
        <w:t>אולי היה שם איזה סיום מסכת והיה מותר?</w:t>
      </w:r>
    </w:p>
    <w:p w:rsidR="00BB59CD" w:rsidRDefault="00BB59CD" w:rsidP="00BB59CD">
      <w:pPr>
        <w:rPr>
          <w:rtl/>
        </w:rPr>
      </w:pPr>
      <w:bookmarkStart w:id="64035" w:name="_ETM_Q115_173810"/>
      <w:bookmarkStart w:id="64036" w:name="_ETM_Q115_173904"/>
      <w:bookmarkEnd w:id="64035"/>
      <w:bookmarkEnd w:id="64036"/>
    </w:p>
    <w:p w:rsidR="00BB59CD" w:rsidRDefault="00BB59CD" w:rsidP="00BB59CD">
      <w:pPr>
        <w:pStyle w:val="-"/>
        <w:keepNext/>
        <w:rPr>
          <w:rtl/>
        </w:rPr>
      </w:pPr>
      <w:bookmarkStart w:id="64037" w:name="_ETM_Q115_173969"/>
      <w:bookmarkStart w:id="64038" w:name="_ETM_Q115_174068"/>
      <w:bookmarkStart w:id="64039" w:name="ET_speakercontinue_6361_9"/>
      <w:bookmarkEnd w:id="64037"/>
      <w:bookmarkEnd w:id="6403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039"/>
    </w:p>
    <w:p w:rsidR="00BB59CD" w:rsidRDefault="00BB59CD" w:rsidP="00337201">
      <w:pPr>
        <w:rPr>
          <w:rtl/>
        </w:rPr>
      </w:pPr>
    </w:p>
    <w:p w:rsidR="00BB59CD" w:rsidRDefault="00BB59CD" w:rsidP="00D97DED">
      <w:pPr>
        <w:rPr>
          <w:rtl/>
        </w:rPr>
      </w:pPr>
      <w:r>
        <w:rPr>
          <w:rFonts w:hint="cs"/>
          <w:rtl/>
        </w:rPr>
        <w:t xml:space="preserve">אז זהו, </w:t>
      </w:r>
      <w:bookmarkStart w:id="64040" w:name="_ETM_Q115_176950"/>
      <w:bookmarkEnd w:id="64040"/>
      <w:r>
        <w:rPr>
          <w:rFonts w:hint="cs"/>
          <w:rtl/>
        </w:rPr>
        <w:t xml:space="preserve">שלא היה שם סיום מסכת, ולא חגגו סיום של </w:t>
      </w:r>
      <w:bookmarkStart w:id="64041" w:name="_ETM_Q115_181212"/>
      <w:bookmarkStart w:id="64042" w:name="_ETM_Q115_151509"/>
      <w:bookmarkEnd w:id="64041"/>
      <w:bookmarkEnd w:id="64042"/>
      <w:r>
        <w:rPr>
          <w:rFonts w:hint="cs"/>
          <w:rtl/>
        </w:rPr>
        <w:t xml:space="preserve">ש"ס. </w:t>
      </w:r>
      <w:bookmarkStart w:id="64043" w:name="_ETM_Q115_181160"/>
      <w:bookmarkStart w:id="64044" w:name="_ETM_Q115_182179"/>
      <w:bookmarkEnd w:id="64043"/>
      <w:bookmarkEnd w:id="64044"/>
      <w:r>
        <w:rPr>
          <w:rFonts w:hint="cs"/>
          <w:rtl/>
        </w:rPr>
        <w:t xml:space="preserve">ראית </w:t>
      </w:r>
      <w:bookmarkStart w:id="64045" w:name="_ETM_Q115_182449"/>
      <w:bookmarkEnd w:id="64045"/>
      <w:r>
        <w:rPr>
          <w:rFonts w:hint="cs"/>
          <w:rtl/>
        </w:rPr>
        <w:t xml:space="preserve">את </w:t>
      </w:r>
      <w:bookmarkStart w:id="64046" w:name="_ETM_Q115_182509"/>
      <w:bookmarkEnd w:id="64046"/>
      <w:r>
        <w:rPr>
          <w:rFonts w:hint="cs"/>
          <w:rtl/>
        </w:rPr>
        <w:t xml:space="preserve">הסרטון </w:t>
      </w:r>
      <w:bookmarkStart w:id="64047" w:name="_ETM_Q115_182900"/>
      <w:bookmarkEnd w:id="64047"/>
      <w:r>
        <w:rPr>
          <w:rFonts w:hint="cs"/>
          <w:rtl/>
        </w:rPr>
        <w:t xml:space="preserve">הזה? </w:t>
      </w:r>
      <w:bookmarkStart w:id="64048" w:name="_ETM_Q115_184990"/>
      <w:bookmarkEnd w:id="64048"/>
      <w:r>
        <w:rPr>
          <w:rFonts w:hint="cs"/>
          <w:rtl/>
        </w:rPr>
        <w:t xml:space="preserve">עזוב </w:t>
      </w:r>
      <w:bookmarkStart w:id="64049" w:name="_ETM_Q115_185290"/>
      <w:bookmarkEnd w:id="64049"/>
      <w:r>
        <w:rPr>
          <w:rFonts w:hint="cs"/>
          <w:rtl/>
        </w:rPr>
        <w:t xml:space="preserve">את </w:t>
      </w:r>
      <w:bookmarkStart w:id="64050" w:name="_ETM_Q115_185380"/>
      <w:bookmarkEnd w:id="64050"/>
      <w:r>
        <w:rPr>
          <w:rFonts w:hint="cs"/>
          <w:rtl/>
        </w:rPr>
        <w:t xml:space="preserve">זה </w:t>
      </w:r>
      <w:bookmarkStart w:id="64051" w:name="_ETM_Q115_185769"/>
      <w:bookmarkEnd w:id="64051"/>
      <w:r>
        <w:rPr>
          <w:rFonts w:hint="cs"/>
          <w:rtl/>
        </w:rPr>
        <w:t xml:space="preserve">שיש </w:t>
      </w:r>
      <w:bookmarkStart w:id="64052" w:name="_ETM_Q115_186040"/>
      <w:bookmarkEnd w:id="64052"/>
      <w:r>
        <w:rPr>
          <w:rFonts w:hint="cs"/>
          <w:rtl/>
        </w:rPr>
        <w:t xml:space="preserve">איזה </w:t>
      </w:r>
      <w:bookmarkStart w:id="64053" w:name="_ETM_Q115_186250"/>
      <w:bookmarkEnd w:id="64053"/>
      <w:r>
        <w:rPr>
          <w:rFonts w:hint="cs"/>
          <w:rtl/>
        </w:rPr>
        <w:t xml:space="preserve">קטע </w:t>
      </w:r>
      <w:bookmarkStart w:id="64054" w:name="_ETM_Q115_187479"/>
      <w:bookmarkEnd w:id="64054"/>
      <w:r>
        <w:rPr>
          <w:rFonts w:hint="cs"/>
          <w:rtl/>
        </w:rPr>
        <w:t xml:space="preserve">גם </w:t>
      </w:r>
      <w:bookmarkStart w:id="64055" w:name="_ETM_Q115_187689"/>
      <w:bookmarkEnd w:id="64055"/>
      <w:r>
        <w:rPr>
          <w:rFonts w:hint="cs"/>
          <w:rtl/>
        </w:rPr>
        <w:t xml:space="preserve">של </w:t>
      </w:r>
      <w:bookmarkStart w:id="64056" w:name="_ETM_Q115_187839"/>
      <w:bookmarkEnd w:id="64056"/>
      <w:r>
        <w:rPr>
          <w:rFonts w:hint="cs"/>
          <w:rtl/>
        </w:rPr>
        <w:t xml:space="preserve">מירי </w:t>
      </w:r>
      <w:bookmarkStart w:id="64057" w:name="_ETM_Q115_188080"/>
      <w:bookmarkEnd w:id="64057"/>
      <w:r>
        <w:rPr>
          <w:rFonts w:hint="cs"/>
          <w:rtl/>
        </w:rPr>
        <w:t>רגב</w:t>
      </w:r>
      <w:bookmarkStart w:id="64058" w:name="_ETM_Q115_188469"/>
      <w:bookmarkEnd w:id="64058"/>
      <w:r>
        <w:rPr>
          <w:rFonts w:hint="cs"/>
          <w:rtl/>
        </w:rPr>
        <w:t xml:space="preserve"> וגם </w:t>
      </w:r>
      <w:bookmarkStart w:id="64059" w:name="_ETM_Q115_188679"/>
      <w:bookmarkEnd w:id="64059"/>
      <w:r>
        <w:rPr>
          <w:rFonts w:hint="cs"/>
          <w:rtl/>
        </w:rPr>
        <w:t xml:space="preserve">של </w:t>
      </w:r>
      <w:bookmarkStart w:id="64060" w:name="_ETM_Q115_188830"/>
      <w:bookmarkEnd w:id="64060"/>
      <w:r>
        <w:rPr>
          <w:rFonts w:hint="cs"/>
          <w:rtl/>
        </w:rPr>
        <w:t xml:space="preserve">דודי </w:t>
      </w:r>
      <w:bookmarkStart w:id="64061" w:name="_ETM_Q115_189039"/>
      <w:bookmarkEnd w:id="64061"/>
      <w:r>
        <w:rPr>
          <w:rFonts w:hint="cs"/>
          <w:rtl/>
        </w:rPr>
        <w:t xml:space="preserve">אמסלם, </w:t>
      </w:r>
      <w:bookmarkStart w:id="64062" w:name="_ETM_Q115_189400"/>
      <w:bookmarkEnd w:id="64062"/>
      <w:r>
        <w:rPr>
          <w:rFonts w:hint="cs"/>
          <w:rtl/>
        </w:rPr>
        <w:t xml:space="preserve">שיש </w:t>
      </w:r>
      <w:bookmarkStart w:id="64063" w:name="_ETM_Q115_189580"/>
      <w:bookmarkEnd w:id="64063"/>
      <w:r>
        <w:rPr>
          <w:rFonts w:hint="cs"/>
          <w:rtl/>
        </w:rPr>
        <w:t xml:space="preserve">להם </w:t>
      </w:r>
      <w:bookmarkStart w:id="64064" w:name="_ETM_Q115_189760"/>
      <w:bookmarkEnd w:id="64064"/>
      <w:r>
        <w:rPr>
          <w:rFonts w:hint="cs"/>
          <w:rtl/>
        </w:rPr>
        <w:t xml:space="preserve">איזה </w:t>
      </w:r>
      <w:bookmarkStart w:id="64065" w:name="_ETM_Q115_189969"/>
      <w:bookmarkEnd w:id="64065"/>
      <w:r>
        <w:rPr>
          <w:rFonts w:hint="cs"/>
          <w:rtl/>
        </w:rPr>
        <w:t xml:space="preserve">התיימרות </w:t>
      </w:r>
      <w:bookmarkStart w:id="64066" w:name="_ETM_Q115_191049"/>
      <w:bookmarkEnd w:id="64066"/>
      <w:r>
        <w:rPr>
          <w:rFonts w:hint="cs"/>
          <w:rtl/>
        </w:rPr>
        <w:t xml:space="preserve">כאילו </w:t>
      </w:r>
      <w:bookmarkStart w:id="64067" w:name="_ETM_Q115_191320"/>
      <w:bookmarkEnd w:id="64067"/>
      <w:r>
        <w:rPr>
          <w:rFonts w:hint="cs"/>
          <w:rtl/>
        </w:rPr>
        <w:t xml:space="preserve">להיות </w:t>
      </w:r>
      <w:bookmarkStart w:id="64068" w:name="_ETM_Q115_192990"/>
      <w:bookmarkEnd w:id="64068"/>
      <w:r>
        <w:rPr>
          <w:rFonts w:hint="cs"/>
          <w:rtl/>
        </w:rPr>
        <w:t xml:space="preserve">– כל </w:t>
      </w:r>
      <w:bookmarkStart w:id="64069" w:name="_ETM_Q115_193350"/>
      <w:bookmarkEnd w:id="64069"/>
      <w:r>
        <w:rPr>
          <w:rFonts w:hint="cs"/>
          <w:rtl/>
        </w:rPr>
        <w:t xml:space="preserve">סוף שבוע או </w:t>
      </w:r>
      <w:bookmarkStart w:id="64070" w:name="_ETM_Q115_193769"/>
      <w:bookmarkStart w:id="64071" w:name="_ETM_Q115_193950"/>
      <w:bookmarkStart w:id="64072" w:name="_ETM_Q115_194130"/>
      <w:bookmarkStart w:id="64073" w:name="_ETM_Q115_194520"/>
      <w:bookmarkStart w:id="64074" w:name="_ETM_Q115_194610"/>
      <w:bookmarkEnd w:id="64070"/>
      <w:bookmarkEnd w:id="64071"/>
      <w:bookmarkEnd w:id="64072"/>
      <w:bookmarkEnd w:id="64073"/>
      <w:bookmarkEnd w:id="64074"/>
      <w:r>
        <w:rPr>
          <w:rFonts w:hint="cs"/>
          <w:rtl/>
        </w:rPr>
        <w:t xml:space="preserve">כל </w:t>
      </w:r>
      <w:bookmarkStart w:id="64075" w:name="_ETM_Q115_194880"/>
      <w:bookmarkEnd w:id="64075"/>
      <w:r>
        <w:rPr>
          <w:rFonts w:hint="cs"/>
          <w:rtl/>
        </w:rPr>
        <w:t xml:space="preserve">שישי </w:t>
      </w:r>
      <w:bookmarkStart w:id="64076" w:name="_ETM_Q115_195300"/>
      <w:bookmarkEnd w:id="64076"/>
      <w:r>
        <w:rPr>
          <w:rFonts w:hint="cs"/>
          <w:rtl/>
        </w:rPr>
        <w:t xml:space="preserve">אנחנו </w:t>
      </w:r>
      <w:bookmarkStart w:id="64077" w:name="_ETM_Q115_195510"/>
      <w:bookmarkEnd w:id="64077"/>
      <w:r>
        <w:rPr>
          <w:rFonts w:hint="cs"/>
          <w:rtl/>
        </w:rPr>
        <w:t xml:space="preserve">מקבלים </w:t>
      </w:r>
      <w:bookmarkStart w:id="64078" w:name="_ETM_Q115_195870"/>
      <w:bookmarkEnd w:id="64078"/>
      <w:r>
        <w:rPr>
          <w:rFonts w:hint="cs"/>
          <w:rtl/>
        </w:rPr>
        <w:t xml:space="preserve">את </w:t>
      </w:r>
      <w:bookmarkStart w:id="64079" w:name="_ETM_Q115_196829"/>
      <w:bookmarkEnd w:id="64079"/>
      <w:r>
        <w:rPr>
          <w:rFonts w:hint="cs"/>
          <w:rtl/>
        </w:rPr>
        <w:t xml:space="preserve">פרשת </w:t>
      </w:r>
      <w:bookmarkStart w:id="64080" w:name="_ETM_Q115_197279"/>
      <w:bookmarkEnd w:id="64080"/>
      <w:r>
        <w:rPr>
          <w:rFonts w:hint="cs"/>
          <w:rtl/>
        </w:rPr>
        <w:t xml:space="preserve">השבוע </w:t>
      </w:r>
      <w:bookmarkStart w:id="64081" w:name="_ETM_Q115_198000"/>
      <w:bookmarkEnd w:id="64081"/>
      <w:r>
        <w:rPr>
          <w:rFonts w:hint="cs"/>
          <w:rtl/>
        </w:rPr>
        <w:t xml:space="preserve">וכל </w:t>
      </w:r>
      <w:bookmarkStart w:id="64082" w:name="_ETM_Q115_198210"/>
      <w:bookmarkEnd w:id="64082"/>
      <w:r>
        <w:rPr>
          <w:rFonts w:hint="cs"/>
          <w:rtl/>
        </w:rPr>
        <w:t xml:space="preserve">מיני </w:t>
      </w:r>
      <w:bookmarkStart w:id="64083" w:name="_ETM_Q115_198390"/>
      <w:bookmarkEnd w:id="64083"/>
      <w:r>
        <w:rPr>
          <w:rFonts w:hint="cs"/>
          <w:rtl/>
        </w:rPr>
        <w:t xml:space="preserve">ביטויים </w:t>
      </w:r>
      <w:bookmarkStart w:id="64084" w:name="_ETM_Q115_198690"/>
      <w:bookmarkEnd w:id="64084"/>
      <w:r>
        <w:rPr>
          <w:rFonts w:hint="cs"/>
          <w:rtl/>
        </w:rPr>
        <w:t xml:space="preserve">כאלה. </w:t>
      </w:r>
      <w:bookmarkStart w:id="64085" w:name="_ETM_Q115_199369"/>
      <w:bookmarkEnd w:id="64085"/>
      <w:r>
        <w:rPr>
          <w:rFonts w:hint="cs"/>
          <w:rtl/>
        </w:rPr>
        <w:t xml:space="preserve">מה </w:t>
      </w:r>
      <w:bookmarkStart w:id="64086" w:name="_ETM_Q115_199579"/>
      <w:bookmarkEnd w:id="64086"/>
      <w:r>
        <w:rPr>
          <w:rFonts w:hint="cs"/>
          <w:rtl/>
        </w:rPr>
        <w:t xml:space="preserve">הבעיה </w:t>
      </w:r>
      <w:bookmarkStart w:id="64087" w:name="_ETM_Q115_199939"/>
      <w:bookmarkEnd w:id="64087"/>
      <w:r>
        <w:rPr>
          <w:rFonts w:hint="cs"/>
          <w:rtl/>
        </w:rPr>
        <w:t xml:space="preserve">שלי </w:t>
      </w:r>
      <w:bookmarkStart w:id="64088" w:name="_ETM_Q115_200119"/>
      <w:bookmarkEnd w:id="64088"/>
      <w:r>
        <w:rPr>
          <w:rFonts w:hint="cs"/>
          <w:rtl/>
        </w:rPr>
        <w:t xml:space="preserve">בזה? </w:t>
      </w:r>
      <w:bookmarkStart w:id="64089" w:name="_ETM_Q115_200659"/>
      <w:bookmarkEnd w:id="64089"/>
      <w:r>
        <w:rPr>
          <w:rFonts w:hint="cs"/>
          <w:rtl/>
        </w:rPr>
        <w:t xml:space="preserve">שזה </w:t>
      </w:r>
      <w:bookmarkStart w:id="64090" w:name="_ETM_Q115_200899"/>
      <w:bookmarkEnd w:id="64090"/>
      <w:r>
        <w:rPr>
          <w:rFonts w:hint="cs"/>
          <w:rtl/>
        </w:rPr>
        <w:t xml:space="preserve">כאילו </w:t>
      </w:r>
      <w:bookmarkStart w:id="64091" w:name="_ETM_Q115_201169"/>
      <w:bookmarkEnd w:id="64091"/>
      <w:r>
        <w:rPr>
          <w:rFonts w:hint="cs"/>
          <w:rtl/>
        </w:rPr>
        <w:t xml:space="preserve">מרגש </w:t>
      </w:r>
      <w:bookmarkStart w:id="64092" w:name="_ETM_Q115_201529"/>
      <w:bookmarkEnd w:id="64092"/>
      <w:r>
        <w:rPr>
          <w:rFonts w:hint="cs"/>
          <w:rtl/>
        </w:rPr>
        <w:t xml:space="preserve">לי </w:t>
      </w:r>
      <w:bookmarkStart w:id="64093" w:name="_ETM_Q115_201649"/>
      <w:bookmarkEnd w:id="64093"/>
      <w:r>
        <w:rPr>
          <w:rFonts w:hint="cs"/>
          <w:rtl/>
        </w:rPr>
        <w:t xml:space="preserve">לא </w:t>
      </w:r>
      <w:bookmarkStart w:id="64094" w:name="_ETM_Q115_201769"/>
      <w:bookmarkEnd w:id="64094"/>
      <w:r>
        <w:rPr>
          <w:rFonts w:hint="cs"/>
          <w:rtl/>
        </w:rPr>
        <w:t xml:space="preserve">אמיתי. </w:t>
      </w:r>
      <w:bookmarkStart w:id="64095" w:name="_ETM_Q115_203189"/>
      <w:bookmarkEnd w:id="64095"/>
      <w:r>
        <w:rPr>
          <w:rFonts w:hint="cs"/>
          <w:rtl/>
        </w:rPr>
        <w:t xml:space="preserve">כאילו </w:t>
      </w:r>
      <w:bookmarkStart w:id="64096" w:name="_ETM_Q115_203609"/>
      <w:bookmarkEnd w:id="64096"/>
      <w:r>
        <w:rPr>
          <w:rFonts w:hint="cs"/>
          <w:rtl/>
        </w:rPr>
        <w:t xml:space="preserve">אם </w:t>
      </w:r>
      <w:bookmarkStart w:id="64097" w:name="_ETM_Q115_203759"/>
      <w:bookmarkEnd w:id="64097"/>
      <w:r>
        <w:rPr>
          <w:rFonts w:hint="cs"/>
          <w:rtl/>
        </w:rPr>
        <w:t xml:space="preserve">אתה </w:t>
      </w:r>
      <w:bookmarkStart w:id="64098" w:name="_ETM_Q115_204509"/>
      <w:bookmarkStart w:id="64099" w:name="_ETM_Q115_204899"/>
      <w:bookmarkEnd w:id="64098"/>
      <w:bookmarkEnd w:id="64099"/>
      <w:r>
        <w:rPr>
          <w:rFonts w:hint="cs"/>
          <w:rtl/>
        </w:rPr>
        <w:t xml:space="preserve">חי </w:t>
      </w:r>
      <w:bookmarkStart w:id="64100" w:name="_ETM_Q115_205079"/>
      <w:bookmarkEnd w:id="64100"/>
      <w:r>
        <w:rPr>
          <w:rFonts w:hint="cs"/>
          <w:rtl/>
        </w:rPr>
        <w:t xml:space="preserve">את </w:t>
      </w:r>
      <w:bookmarkStart w:id="64101" w:name="_ETM_Q115_205140"/>
      <w:bookmarkEnd w:id="64101"/>
      <w:r>
        <w:rPr>
          <w:rFonts w:hint="cs"/>
          <w:rtl/>
        </w:rPr>
        <w:t xml:space="preserve">החיים </w:t>
      </w:r>
      <w:bookmarkStart w:id="64102" w:name="_ETM_Q115_205409"/>
      <w:bookmarkEnd w:id="64102"/>
      <w:r>
        <w:rPr>
          <w:rFonts w:hint="cs"/>
          <w:rtl/>
        </w:rPr>
        <w:t xml:space="preserve">שלך, </w:t>
      </w:r>
      <w:bookmarkStart w:id="64103" w:name="_ETM_Q115_205619"/>
      <w:bookmarkEnd w:id="64103"/>
      <w:r>
        <w:rPr>
          <w:rFonts w:hint="cs"/>
          <w:rtl/>
        </w:rPr>
        <w:t xml:space="preserve">אתה </w:t>
      </w:r>
      <w:bookmarkStart w:id="64104" w:name="_ETM_Q115_205769"/>
      <w:bookmarkEnd w:id="64104"/>
      <w:r>
        <w:rPr>
          <w:rFonts w:hint="cs"/>
          <w:rtl/>
        </w:rPr>
        <w:t xml:space="preserve">בא </w:t>
      </w:r>
      <w:bookmarkStart w:id="64105" w:name="_ETM_Q115_205890"/>
      <w:bookmarkEnd w:id="64105"/>
      <w:r>
        <w:rPr>
          <w:rFonts w:hint="cs"/>
          <w:rtl/>
        </w:rPr>
        <w:t xml:space="preserve">מהעולם </w:t>
      </w:r>
      <w:bookmarkStart w:id="64106" w:name="_ETM_Q115_206219"/>
      <w:bookmarkEnd w:id="64106"/>
      <w:r>
        <w:rPr>
          <w:rFonts w:hint="cs"/>
          <w:rtl/>
        </w:rPr>
        <w:t xml:space="preserve">שלך, </w:t>
      </w:r>
      <w:bookmarkStart w:id="64107" w:name="_ETM_Q115_206579"/>
      <w:bookmarkEnd w:id="64107"/>
      <w:r>
        <w:rPr>
          <w:rFonts w:hint="cs"/>
          <w:rtl/>
        </w:rPr>
        <w:t xml:space="preserve">אני </w:t>
      </w:r>
      <w:bookmarkStart w:id="64108" w:name="_ETM_Q115_206730"/>
      <w:bookmarkEnd w:id="64108"/>
      <w:r>
        <w:rPr>
          <w:rFonts w:hint="cs"/>
          <w:rtl/>
        </w:rPr>
        <w:t xml:space="preserve">מכבד </w:t>
      </w:r>
      <w:bookmarkStart w:id="64109" w:name="_ETM_Q115_207029"/>
      <w:bookmarkEnd w:id="64109"/>
      <w:r>
        <w:rPr>
          <w:rFonts w:hint="cs"/>
          <w:rtl/>
        </w:rPr>
        <w:t xml:space="preserve">את </w:t>
      </w:r>
      <w:bookmarkStart w:id="64110" w:name="_ETM_Q115_207119"/>
      <w:bookmarkEnd w:id="64110"/>
      <w:r>
        <w:rPr>
          <w:rFonts w:hint="cs"/>
          <w:rtl/>
        </w:rPr>
        <w:t xml:space="preserve">זה </w:t>
      </w:r>
      <w:bookmarkStart w:id="64111" w:name="_ETM_Q115_207239"/>
      <w:bookmarkEnd w:id="64111"/>
      <w:r>
        <w:rPr>
          <w:rFonts w:hint="cs"/>
          <w:rtl/>
        </w:rPr>
        <w:t xml:space="preserve">לגמרי, </w:t>
      </w:r>
      <w:bookmarkStart w:id="64112" w:name="_ETM_Q115_207630"/>
      <w:bookmarkEnd w:id="64112"/>
      <w:r>
        <w:rPr>
          <w:rFonts w:hint="cs"/>
          <w:rtl/>
        </w:rPr>
        <w:t xml:space="preserve">כי </w:t>
      </w:r>
      <w:bookmarkStart w:id="64113" w:name="_ETM_Q115_207719"/>
      <w:bookmarkEnd w:id="64113"/>
      <w:r>
        <w:rPr>
          <w:rFonts w:hint="cs"/>
          <w:rtl/>
        </w:rPr>
        <w:t xml:space="preserve">אתה </w:t>
      </w:r>
      <w:bookmarkStart w:id="64114" w:name="_ETM_Q115_207869"/>
      <w:bookmarkEnd w:id="64114"/>
      <w:r>
        <w:rPr>
          <w:rFonts w:hint="cs"/>
          <w:rtl/>
        </w:rPr>
        <w:t xml:space="preserve">חי </w:t>
      </w:r>
      <w:bookmarkStart w:id="64115" w:name="_ETM_Q115_208050"/>
      <w:bookmarkEnd w:id="64115"/>
      <w:r>
        <w:rPr>
          <w:rFonts w:hint="cs"/>
          <w:rtl/>
        </w:rPr>
        <w:t xml:space="preserve">אותם </w:t>
      </w:r>
      <w:bookmarkStart w:id="64116" w:name="_ETM_Q115_208230"/>
      <w:bookmarkEnd w:id="64116"/>
      <w:r>
        <w:rPr>
          <w:rFonts w:hint="cs"/>
          <w:rtl/>
        </w:rPr>
        <w:t xml:space="preserve">באופן </w:t>
      </w:r>
      <w:bookmarkStart w:id="64117" w:name="_ETM_Q115_208559"/>
      <w:bookmarkEnd w:id="64117"/>
      <w:r>
        <w:rPr>
          <w:rFonts w:hint="cs"/>
          <w:rtl/>
        </w:rPr>
        <w:t xml:space="preserve">מלא. </w:t>
      </w:r>
      <w:bookmarkStart w:id="64118" w:name="_ETM_Q115_208859"/>
      <w:bookmarkEnd w:id="64118"/>
      <w:r>
        <w:rPr>
          <w:rFonts w:hint="cs"/>
          <w:rtl/>
        </w:rPr>
        <w:t xml:space="preserve">אבל </w:t>
      </w:r>
      <w:bookmarkStart w:id="64119" w:name="_ETM_Q115_209039"/>
      <w:bookmarkEnd w:id="64119"/>
      <w:r>
        <w:rPr>
          <w:rFonts w:hint="cs"/>
          <w:rtl/>
        </w:rPr>
        <w:t xml:space="preserve">אם </w:t>
      </w:r>
      <w:bookmarkStart w:id="64120" w:name="_ETM_Q115_209159"/>
      <w:bookmarkEnd w:id="64120"/>
      <w:r>
        <w:rPr>
          <w:rFonts w:hint="cs"/>
          <w:rtl/>
        </w:rPr>
        <w:t xml:space="preserve">אתה </w:t>
      </w:r>
      <w:bookmarkStart w:id="64121" w:name="_ETM_Q115_209460"/>
      <w:bookmarkEnd w:id="64121"/>
      <w:r>
        <w:rPr>
          <w:rFonts w:hint="cs"/>
          <w:rtl/>
        </w:rPr>
        <w:t xml:space="preserve">חילוני </w:t>
      </w:r>
      <w:bookmarkStart w:id="64122" w:name="_ETM_Q115_209939"/>
      <w:bookmarkEnd w:id="64122"/>
      <w:r>
        <w:rPr>
          <w:rFonts w:hint="cs"/>
          <w:rtl/>
        </w:rPr>
        <w:t xml:space="preserve">מובהק, </w:t>
      </w:r>
      <w:bookmarkStart w:id="64123" w:name="_ETM_Q115_210449"/>
      <w:bookmarkEnd w:id="64123"/>
      <w:r>
        <w:rPr>
          <w:rFonts w:hint="cs"/>
          <w:rtl/>
        </w:rPr>
        <w:t xml:space="preserve">אוכל </w:t>
      </w:r>
      <w:bookmarkStart w:id="64124" w:name="_ETM_Q115_210749"/>
      <w:bookmarkEnd w:id="64124"/>
      <w:r>
        <w:rPr>
          <w:rFonts w:hint="cs"/>
          <w:rtl/>
        </w:rPr>
        <w:t xml:space="preserve">במקומות </w:t>
      </w:r>
      <w:bookmarkStart w:id="64125" w:name="_ETM_Q115_211800"/>
      <w:bookmarkEnd w:id="64125"/>
      <w:r>
        <w:rPr>
          <w:rFonts w:hint="cs"/>
          <w:rtl/>
        </w:rPr>
        <w:t xml:space="preserve">לא </w:t>
      </w:r>
      <w:bookmarkStart w:id="64126" w:name="_ETM_Q115_211990"/>
      <w:bookmarkEnd w:id="64126"/>
      <w:r>
        <w:rPr>
          <w:rFonts w:hint="cs"/>
          <w:rtl/>
        </w:rPr>
        <w:t xml:space="preserve">כשרים, </w:t>
      </w:r>
      <w:bookmarkStart w:id="64127" w:name="_ETM_Q115_212380"/>
      <w:bookmarkStart w:id="64128" w:name="_ETM_Q115_212620"/>
      <w:bookmarkStart w:id="64129" w:name="_ETM_Q115_213100"/>
      <w:bookmarkEnd w:id="64127"/>
      <w:bookmarkEnd w:id="64128"/>
      <w:bookmarkEnd w:id="64129"/>
      <w:r>
        <w:rPr>
          <w:rFonts w:hint="cs"/>
          <w:rtl/>
        </w:rPr>
        <w:t xml:space="preserve">אוכל </w:t>
      </w:r>
      <w:bookmarkStart w:id="64130" w:name="_ETM_Q115_213400"/>
      <w:bookmarkEnd w:id="64130"/>
      <w:r>
        <w:rPr>
          <w:rFonts w:hint="cs"/>
          <w:rtl/>
        </w:rPr>
        <w:t xml:space="preserve">אוכל לא </w:t>
      </w:r>
      <w:bookmarkStart w:id="64131" w:name="_ETM_Q115_213460"/>
      <w:bookmarkEnd w:id="64131"/>
      <w:r>
        <w:rPr>
          <w:rFonts w:hint="cs"/>
          <w:rtl/>
        </w:rPr>
        <w:t xml:space="preserve">כשר, </w:t>
      </w:r>
      <w:bookmarkStart w:id="64132" w:name="_ETM_Q115_213880"/>
      <w:bookmarkEnd w:id="64132"/>
      <w:r>
        <w:rPr>
          <w:rFonts w:hint="cs"/>
          <w:rtl/>
        </w:rPr>
        <w:t xml:space="preserve">אין </w:t>
      </w:r>
      <w:bookmarkStart w:id="64133" w:name="_ETM_Q115_214000"/>
      <w:bookmarkEnd w:id="64133"/>
      <w:r>
        <w:rPr>
          <w:rFonts w:hint="cs"/>
          <w:rtl/>
        </w:rPr>
        <w:t xml:space="preserve">לך </w:t>
      </w:r>
      <w:bookmarkStart w:id="64134" w:name="_ETM_Q115_214120"/>
      <w:bookmarkEnd w:id="64134"/>
      <w:r>
        <w:rPr>
          <w:rFonts w:hint="cs"/>
          <w:rtl/>
        </w:rPr>
        <w:t xml:space="preserve">שום </w:t>
      </w:r>
      <w:bookmarkStart w:id="64135" w:name="_ETM_Q115_214329"/>
      <w:bookmarkEnd w:id="64135"/>
      <w:r>
        <w:rPr>
          <w:rFonts w:hint="cs"/>
          <w:rtl/>
        </w:rPr>
        <w:t xml:space="preserve">קשר </w:t>
      </w:r>
      <w:bookmarkStart w:id="64136" w:name="_ETM_Q115_214630"/>
      <w:bookmarkEnd w:id="64136"/>
      <w:r>
        <w:rPr>
          <w:rFonts w:hint="cs"/>
          <w:rtl/>
        </w:rPr>
        <w:t xml:space="preserve">לדת, ואתה </w:t>
      </w:r>
      <w:bookmarkStart w:id="64137" w:name="_ETM_Q115_215809"/>
      <w:bookmarkEnd w:id="64137"/>
      <w:r>
        <w:rPr>
          <w:rFonts w:hint="cs"/>
          <w:rtl/>
        </w:rPr>
        <w:t xml:space="preserve">מעלה </w:t>
      </w:r>
      <w:bookmarkStart w:id="64138" w:name="_ETM_Q115_216109"/>
      <w:bookmarkEnd w:id="64138"/>
      <w:r>
        <w:rPr>
          <w:rFonts w:hint="cs"/>
          <w:rtl/>
        </w:rPr>
        <w:t xml:space="preserve">לי </w:t>
      </w:r>
      <w:bookmarkStart w:id="64139" w:name="_ETM_Q115_216229"/>
      <w:bookmarkEnd w:id="64139"/>
      <w:r>
        <w:rPr>
          <w:rFonts w:hint="cs"/>
          <w:rtl/>
        </w:rPr>
        <w:t xml:space="preserve">עכשיו </w:t>
      </w:r>
      <w:bookmarkStart w:id="64140" w:name="_ETM_Q115_216559"/>
      <w:bookmarkEnd w:id="64140"/>
      <w:r>
        <w:rPr>
          <w:rFonts w:hint="cs"/>
          <w:rtl/>
        </w:rPr>
        <w:t xml:space="preserve">פסוקים </w:t>
      </w:r>
      <w:bookmarkStart w:id="64141" w:name="_ETM_Q115_217070"/>
      <w:bookmarkEnd w:id="64141"/>
      <w:r>
        <w:rPr>
          <w:rFonts w:hint="cs"/>
          <w:rtl/>
        </w:rPr>
        <w:t xml:space="preserve">כאילו </w:t>
      </w:r>
      <w:bookmarkStart w:id="64142" w:name="_ETM_Q115_217399"/>
      <w:bookmarkEnd w:id="64142"/>
      <w:r>
        <w:rPr>
          <w:rFonts w:hint="cs"/>
          <w:rtl/>
        </w:rPr>
        <w:t xml:space="preserve">אתה </w:t>
      </w:r>
      <w:bookmarkStart w:id="64143" w:name="_ETM_Q115_217640"/>
      <w:bookmarkEnd w:id="64143"/>
      <w:r>
        <w:rPr>
          <w:rFonts w:hint="cs"/>
          <w:rtl/>
        </w:rPr>
        <w:t>איזה - - -</w:t>
      </w:r>
    </w:p>
    <w:p w:rsidR="00BB59CD" w:rsidRDefault="00BB59CD" w:rsidP="00BB59CD">
      <w:pPr>
        <w:rPr>
          <w:rtl/>
        </w:rPr>
      </w:pPr>
      <w:bookmarkStart w:id="64144" w:name="_ETM_Q115_218933"/>
      <w:bookmarkStart w:id="64145" w:name="_ETM_Q115_219077"/>
      <w:bookmarkEnd w:id="64144"/>
      <w:bookmarkEnd w:id="64145"/>
    </w:p>
    <w:p w:rsidR="00BB59CD" w:rsidRDefault="00BB59CD" w:rsidP="00BB59CD">
      <w:pPr>
        <w:pStyle w:val="af9"/>
        <w:keepNext/>
        <w:rPr>
          <w:rtl/>
        </w:rPr>
      </w:pPr>
      <w:bookmarkStart w:id="64146" w:name="_ETM_Q115_219109"/>
      <w:bookmarkStart w:id="64147" w:name="_ETM_Q115_219235"/>
      <w:bookmarkEnd w:id="64146"/>
      <w:bookmarkEnd w:id="6414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D97DED">
      <w:pPr>
        <w:rPr>
          <w:rtl/>
        </w:rPr>
      </w:pPr>
      <w:r>
        <w:rPr>
          <w:rFonts w:hint="cs"/>
          <w:rtl/>
        </w:rPr>
        <w:t xml:space="preserve">נכון. גם </w:t>
      </w:r>
      <w:bookmarkStart w:id="64148" w:name="_ETM_Q115_218132"/>
      <w:bookmarkEnd w:id="64148"/>
      <w:r>
        <w:rPr>
          <w:rFonts w:hint="cs"/>
          <w:rtl/>
        </w:rPr>
        <w:t xml:space="preserve">דודי וגם רגב אוכלים רק כשר. </w:t>
      </w:r>
    </w:p>
    <w:p w:rsidR="00BB59CD" w:rsidRDefault="00BB59CD" w:rsidP="00BB59CD">
      <w:pPr>
        <w:rPr>
          <w:rtl/>
        </w:rPr>
      </w:pPr>
      <w:bookmarkStart w:id="64149" w:name="_ETM_Q115_219286"/>
      <w:bookmarkStart w:id="64150" w:name="_ETM_Q115_219469"/>
      <w:bookmarkStart w:id="64151" w:name="_ETM_Q115_220711"/>
      <w:bookmarkEnd w:id="64149"/>
      <w:bookmarkEnd w:id="64150"/>
      <w:bookmarkEnd w:id="64151"/>
    </w:p>
    <w:p w:rsidR="00BB59CD" w:rsidRDefault="00BB59CD" w:rsidP="00BB59CD">
      <w:pPr>
        <w:pStyle w:val="-"/>
        <w:keepNext/>
        <w:rPr>
          <w:rtl/>
        </w:rPr>
      </w:pPr>
      <w:bookmarkStart w:id="64152" w:name="ET_speakercontinue_6361_1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152"/>
    </w:p>
    <w:p w:rsidR="00BB59CD" w:rsidRDefault="00BB59CD" w:rsidP="00337201">
      <w:pPr>
        <w:rPr>
          <w:rtl/>
        </w:rPr>
      </w:pPr>
    </w:p>
    <w:p w:rsidR="00BB59CD" w:rsidRDefault="00BB59CD" w:rsidP="00BB59CD">
      <w:pPr>
        <w:rPr>
          <w:rtl/>
        </w:rPr>
      </w:pPr>
      <w:bookmarkStart w:id="64153" w:name="_ETM_Q115_221719"/>
      <w:bookmarkEnd w:id="64153"/>
      <w:r>
        <w:rPr>
          <w:rFonts w:hint="cs"/>
          <w:rtl/>
        </w:rPr>
        <w:t>לא נכון. מירי ר</w:t>
      </w:r>
      <w:bookmarkStart w:id="64154" w:name="_ETM_Q115_224198"/>
      <w:bookmarkEnd w:id="64154"/>
      <w:r>
        <w:rPr>
          <w:rFonts w:hint="cs"/>
          <w:rtl/>
        </w:rPr>
        <w:t>גב נצפתה בעבר - -</w:t>
      </w:r>
    </w:p>
    <w:p w:rsidR="00BB59CD" w:rsidRDefault="00BB59CD" w:rsidP="00BB59CD">
      <w:pPr>
        <w:rPr>
          <w:rtl/>
        </w:rPr>
      </w:pPr>
      <w:bookmarkStart w:id="64155" w:name="_ETM_Q115_222854"/>
      <w:bookmarkStart w:id="64156" w:name="_ETM_Q115_222974"/>
      <w:bookmarkStart w:id="64157" w:name="_ETM_Q115_223013"/>
      <w:bookmarkStart w:id="64158" w:name="_ETM_Q115_223141"/>
      <w:bookmarkEnd w:id="64155"/>
      <w:bookmarkEnd w:id="64156"/>
      <w:bookmarkEnd w:id="64157"/>
      <w:bookmarkEnd w:id="64158"/>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4159" w:name="_ETM_Q115_227147"/>
      <w:bookmarkEnd w:id="64159"/>
      <w:r>
        <w:rPr>
          <w:rFonts w:hint="cs"/>
          <w:rtl/>
        </w:rPr>
        <w:t>נצפתה?</w:t>
      </w:r>
    </w:p>
    <w:p w:rsidR="00BB59CD" w:rsidRDefault="00BB59CD" w:rsidP="00BB59CD">
      <w:pPr>
        <w:rPr>
          <w:rtl/>
        </w:rPr>
      </w:pPr>
      <w:bookmarkStart w:id="64160" w:name="_ETM_Q115_224081"/>
      <w:bookmarkStart w:id="64161" w:name="_ETM_Q115_224195"/>
      <w:bookmarkStart w:id="64162" w:name="_ETM_Q115_224241"/>
      <w:bookmarkStart w:id="64163" w:name="_ETM_Q115_224371"/>
      <w:bookmarkEnd w:id="64160"/>
      <w:bookmarkEnd w:id="64161"/>
      <w:bookmarkEnd w:id="64162"/>
      <w:bookmarkEnd w:id="64163"/>
    </w:p>
    <w:p w:rsidR="00BB59CD" w:rsidRDefault="00BB59CD" w:rsidP="00BB59CD">
      <w:pPr>
        <w:pStyle w:val="-"/>
        <w:keepNext/>
        <w:rPr>
          <w:rtl/>
        </w:rPr>
      </w:pPr>
      <w:bookmarkStart w:id="64164" w:name="ET_speakercontinue_6361_1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164"/>
    </w:p>
    <w:p w:rsidR="00BB59CD" w:rsidRDefault="00BB59CD" w:rsidP="00337201">
      <w:pPr>
        <w:rPr>
          <w:rtl/>
        </w:rPr>
      </w:pPr>
    </w:p>
    <w:p w:rsidR="00BB59CD" w:rsidRDefault="00BB59CD" w:rsidP="00BB59CD">
      <w:pPr>
        <w:rPr>
          <w:rtl/>
        </w:rPr>
      </w:pPr>
      <w:bookmarkStart w:id="64165" w:name="_ETM_Q115_226510"/>
      <w:bookmarkEnd w:id="64165"/>
      <w:r>
        <w:rPr>
          <w:rFonts w:hint="cs"/>
          <w:rtl/>
        </w:rPr>
        <w:t xml:space="preserve">- - </w:t>
      </w:r>
      <w:bookmarkStart w:id="64166" w:name="_ETM_Q115_224412"/>
      <w:bookmarkEnd w:id="64166"/>
      <w:r>
        <w:rPr>
          <w:rFonts w:hint="cs"/>
          <w:rtl/>
        </w:rPr>
        <w:t xml:space="preserve">בעודה אוכלת לא כשר – וגם </w:t>
      </w:r>
      <w:bookmarkStart w:id="64167" w:name="_ETM_Q115_229354"/>
      <w:bookmarkEnd w:id="64167"/>
      <w:r>
        <w:rPr>
          <w:rFonts w:hint="cs"/>
          <w:rtl/>
        </w:rPr>
        <w:t xml:space="preserve">ראש הממשלה שלך – אבל אני שם את זה בצד. </w:t>
      </w:r>
    </w:p>
    <w:p w:rsidR="00BB59CD" w:rsidRDefault="00BB59CD" w:rsidP="00BB59CD">
      <w:pPr>
        <w:rPr>
          <w:rtl/>
        </w:rPr>
      </w:pPr>
      <w:bookmarkStart w:id="64168" w:name="_ETM_Q115_230785"/>
      <w:bookmarkStart w:id="64169" w:name="_ETM_Q115_230907"/>
      <w:bookmarkEnd w:id="64168"/>
      <w:bookmarkEnd w:id="64169"/>
    </w:p>
    <w:p w:rsidR="00BB59CD" w:rsidRDefault="00BB59CD" w:rsidP="00D97DED">
      <w:pPr>
        <w:rPr>
          <w:rtl/>
        </w:rPr>
      </w:pPr>
      <w:bookmarkStart w:id="64170" w:name="_ETM_Q115_230959"/>
      <w:bookmarkStart w:id="64171" w:name="_ETM_Q115_231046"/>
      <w:bookmarkEnd w:id="64170"/>
      <w:bookmarkEnd w:id="64171"/>
      <w:r>
        <w:rPr>
          <w:rFonts w:hint="cs"/>
          <w:rtl/>
        </w:rPr>
        <w:t xml:space="preserve">מה </w:t>
      </w:r>
      <w:bookmarkStart w:id="64172" w:name="_ETM_Q115_231912"/>
      <w:bookmarkEnd w:id="64172"/>
      <w:r>
        <w:rPr>
          <w:rFonts w:hint="cs"/>
          <w:rtl/>
        </w:rPr>
        <w:t xml:space="preserve">שהפריע לי בסרטון זה לא השמחה, כי אני לא בן אדם </w:t>
      </w:r>
      <w:bookmarkStart w:id="64173" w:name="_ETM_Q115_229938"/>
      <w:bookmarkEnd w:id="64173"/>
      <w:r>
        <w:rPr>
          <w:rFonts w:hint="cs"/>
          <w:rtl/>
        </w:rPr>
        <w:t>דתי, ו</w:t>
      </w:r>
      <w:bookmarkStart w:id="64174" w:name="_ETM_Q115_230234"/>
      <w:bookmarkStart w:id="64175" w:name="_ETM_Q115_230332"/>
      <w:bookmarkStart w:id="64176" w:name="_ETM_Q115_231500"/>
      <w:bookmarkStart w:id="64177" w:name="_ETM_Q115_231649"/>
      <w:bookmarkStart w:id="64178" w:name="_ETM_Q115_231770"/>
      <w:bookmarkStart w:id="64179" w:name="_ETM_Q115_231890"/>
      <w:bookmarkStart w:id="64180" w:name="_ETM_Q115_232250"/>
      <w:bookmarkStart w:id="64181" w:name="_ETM_Q115_232670"/>
      <w:bookmarkEnd w:id="64174"/>
      <w:bookmarkEnd w:id="64175"/>
      <w:bookmarkEnd w:id="64176"/>
      <w:bookmarkEnd w:id="64177"/>
      <w:bookmarkEnd w:id="64178"/>
      <w:bookmarkEnd w:id="64179"/>
      <w:bookmarkEnd w:id="64180"/>
      <w:bookmarkEnd w:id="64181"/>
      <w:r>
        <w:rPr>
          <w:rFonts w:hint="cs"/>
          <w:rtl/>
        </w:rPr>
        <w:t xml:space="preserve">אני </w:t>
      </w:r>
      <w:bookmarkStart w:id="64182" w:name="_ETM_Q115_232880"/>
      <w:bookmarkEnd w:id="64182"/>
      <w:r>
        <w:rPr>
          <w:rFonts w:hint="cs"/>
          <w:rtl/>
        </w:rPr>
        <w:t xml:space="preserve">חושב </w:t>
      </w:r>
      <w:bookmarkStart w:id="64183" w:name="_ETM_Q115_233059"/>
      <w:bookmarkEnd w:id="64183"/>
      <w:r>
        <w:rPr>
          <w:rFonts w:hint="cs"/>
          <w:rtl/>
        </w:rPr>
        <w:t>שכל אחד</w:t>
      </w:r>
      <w:bookmarkStart w:id="64184" w:name="_ETM_Q115_233360"/>
      <w:bookmarkStart w:id="64185" w:name="_ETM_Q115_233600"/>
      <w:bookmarkEnd w:id="64184"/>
      <w:bookmarkEnd w:id="64185"/>
      <w:r>
        <w:rPr>
          <w:rFonts w:hint="cs"/>
          <w:rtl/>
        </w:rPr>
        <w:t xml:space="preserve"> יכול </w:t>
      </w:r>
      <w:bookmarkStart w:id="64186" w:name="_ETM_Q115_233809"/>
      <w:bookmarkEnd w:id="64186"/>
      <w:r>
        <w:rPr>
          <w:rFonts w:hint="cs"/>
          <w:rtl/>
        </w:rPr>
        <w:t xml:space="preserve">לשמוח </w:t>
      </w:r>
      <w:bookmarkStart w:id="64187" w:name="_ETM_Q115_234140"/>
      <w:bookmarkEnd w:id="64187"/>
      <w:r>
        <w:rPr>
          <w:rFonts w:hint="cs"/>
          <w:rtl/>
        </w:rPr>
        <w:t xml:space="preserve">איפה </w:t>
      </w:r>
      <w:bookmarkStart w:id="64188" w:name="_ETM_Q115_234320"/>
      <w:bookmarkEnd w:id="64188"/>
      <w:r>
        <w:rPr>
          <w:rFonts w:hint="cs"/>
          <w:rtl/>
        </w:rPr>
        <w:t xml:space="preserve">שהוא </w:t>
      </w:r>
      <w:bookmarkStart w:id="64189" w:name="_ETM_Q115_234470"/>
      <w:bookmarkEnd w:id="64189"/>
      <w:r>
        <w:rPr>
          <w:rFonts w:hint="cs"/>
          <w:rtl/>
        </w:rPr>
        <w:t xml:space="preserve">רוצה. </w:t>
      </w:r>
      <w:bookmarkStart w:id="64190" w:name="_ETM_Q115_234950"/>
      <w:bookmarkEnd w:id="64190"/>
      <w:r>
        <w:rPr>
          <w:rFonts w:hint="cs"/>
          <w:rtl/>
        </w:rPr>
        <w:t xml:space="preserve">ההתיימרות </w:t>
      </w:r>
      <w:bookmarkStart w:id="64191" w:name="_ETM_Q115_235489"/>
      <w:bookmarkEnd w:id="64191"/>
      <w:r>
        <w:rPr>
          <w:rFonts w:hint="cs"/>
          <w:rtl/>
        </w:rPr>
        <w:t xml:space="preserve">שלהם </w:t>
      </w:r>
      <w:bookmarkStart w:id="64192" w:name="_ETM_Q115_235730"/>
      <w:bookmarkEnd w:id="64192"/>
      <w:r>
        <w:rPr>
          <w:rFonts w:hint="cs"/>
          <w:rtl/>
        </w:rPr>
        <w:t xml:space="preserve">כאילו </w:t>
      </w:r>
      <w:bookmarkStart w:id="64193" w:name="_ETM_Q115_236000"/>
      <w:bookmarkEnd w:id="64193"/>
      <w:r>
        <w:rPr>
          <w:rFonts w:hint="cs"/>
          <w:rtl/>
        </w:rPr>
        <w:t xml:space="preserve">לייצג </w:t>
      </w:r>
      <w:bookmarkStart w:id="64194" w:name="_ETM_Q115_236360"/>
      <w:bookmarkEnd w:id="64194"/>
      <w:r>
        <w:rPr>
          <w:rFonts w:hint="cs"/>
          <w:rtl/>
        </w:rPr>
        <w:t xml:space="preserve">עכשיו את הדת, </w:t>
      </w:r>
      <w:bookmarkStart w:id="64195" w:name="_ETM_Q115_236420"/>
      <w:bookmarkStart w:id="64196" w:name="_ETM_Q115_236629"/>
      <w:bookmarkStart w:id="64197" w:name="_ETM_Q115_237020"/>
      <w:bookmarkEnd w:id="64195"/>
      <w:bookmarkEnd w:id="64196"/>
      <w:bookmarkEnd w:id="64197"/>
      <w:r>
        <w:rPr>
          <w:rFonts w:hint="cs"/>
          <w:rtl/>
        </w:rPr>
        <w:t xml:space="preserve">ולפרסם </w:t>
      </w:r>
      <w:bookmarkStart w:id="64198" w:name="_ETM_Q115_237530"/>
      <w:bookmarkEnd w:id="64198"/>
      <w:r>
        <w:rPr>
          <w:rFonts w:hint="cs"/>
          <w:rtl/>
        </w:rPr>
        <w:t xml:space="preserve">פה </w:t>
      </w:r>
      <w:bookmarkStart w:id="64199" w:name="_ETM_Q115_238039"/>
      <w:bookmarkEnd w:id="64199"/>
      <w:r>
        <w:rPr>
          <w:rFonts w:hint="cs"/>
          <w:rtl/>
        </w:rPr>
        <w:t xml:space="preserve">שמחות בתשעת הימים, זה </w:t>
      </w:r>
      <w:bookmarkStart w:id="64200" w:name="_ETM_Q115_237397"/>
      <w:bookmarkEnd w:id="64200"/>
      <w:r>
        <w:rPr>
          <w:rFonts w:hint="cs"/>
          <w:rtl/>
        </w:rPr>
        <w:t xml:space="preserve">שלהם. גם זה לא הפריע לי. </w:t>
      </w:r>
      <w:bookmarkStart w:id="64201" w:name="_ETM_Q115_238489"/>
      <w:bookmarkStart w:id="64202" w:name="_ETM_Q115_238910"/>
      <w:bookmarkStart w:id="64203" w:name="_ETM_Q115_239210"/>
      <w:bookmarkStart w:id="64204" w:name="_ETM_Q115_239329"/>
      <w:bookmarkStart w:id="64205" w:name="_ETM_Q115_239420"/>
      <w:bookmarkStart w:id="64206" w:name="_ETM_Q115_240239"/>
      <w:bookmarkStart w:id="64207" w:name="_ETM_Q115_240449"/>
      <w:bookmarkStart w:id="64208" w:name="_ETM_Q115_240600"/>
      <w:bookmarkStart w:id="64209" w:name="_ETM_Q115_240749"/>
      <w:bookmarkStart w:id="64210" w:name="_ETM_Q115_240839"/>
      <w:bookmarkStart w:id="64211" w:name="_ETM_Q115_241610"/>
      <w:bookmarkEnd w:id="64201"/>
      <w:bookmarkEnd w:id="64202"/>
      <w:bookmarkEnd w:id="64203"/>
      <w:bookmarkEnd w:id="64204"/>
      <w:bookmarkEnd w:id="64205"/>
      <w:bookmarkEnd w:id="64206"/>
      <w:bookmarkEnd w:id="64207"/>
      <w:bookmarkEnd w:id="64208"/>
      <w:bookmarkEnd w:id="64209"/>
      <w:bookmarkEnd w:id="64210"/>
      <w:bookmarkEnd w:id="64211"/>
      <w:r>
        <w:rPr>
          <w:rFonts w:hint="cs"/>
          <w:rtl/>
        </w:rPr>
        <w:t xml:space="preserve">אני </w:t>
      </w:r>
      <w:bookmarkStart w:id="64212" w:name="_ETM_Q115_241910"/>
      <w:bookmarkEnd w:id="64212"/>
      <w:r>
        <w:rPr>
          <w:rFonts w:hint="cs"/>
          <w:rtl/>
        </w:rPr>
        <w:t xml:space="preserve">רוצה </w:t>
      </w:r>
      <w:bookmarkStart w:id="64213" w:name="_ETM_Q115_242120"/>
      <w:bookmarkEnd w:id="64213"/>
      <w:r>
        <w:rPr>
          <w:rFonts w:hint="cs"/>
          <w:rtl/>
        </w:rPr>
        <w:t xml:space="preserve">להגיד </w:t>
      </w:r>
      <w:bookmarkStart w:id="64214" w:name="_ETM_Q115_242360"/>
      <w:bookmarkEnd w:id="64214"/>
      <w:r>
        <w:rPr>
          <w:rFonts w:hint="cs"/>
          <w:rtl/>
        </w:rPr>
        <w:t xml:space="preserve">לך </w:t>
      </w:r>
      <w:bookmarkStart w:id="64215" w:name="_ETM_Q115_242480"/>
      <w:bookmarkEnd w:id="64215"/>
      <w:r>
        <w:rPr>
          <w:rFonts w:hint="cs"/>
          <w:rtl/>
        </w:rPr>
        <w:t xml:space="preserve">שמה </w:t>
      </w:r>
      <w:bookmarkStart w:id="64216" w:name="_ETM_Q115_242720"/>
      <w:bookmarkEnd w:id="64216"/>
      <w:r>
        <w:rPr>
          <w:rFonts w:hint="cs"/>
          <w:rtl/>
        </w:rPr>
        <w:t xml:space="preserve">שהפריע </w:t>
      </w:r>
      <w:bookmarkStart w:id="64217" w:name="_ETM_Q115_243079"/>
      <w:bookmarkEnd w:id="64217"/>
      <w:r>
        <w:rPr>
          <w:rFonts w:hint="cs"/>
          <w:rtl/>
        </w:rPr>
        <w:t xml:space="preserve">לי </w:t>
      </w:r>
      <w:bookmarkStart w:id="64218" w:name="_ETM_Q115_243170"/>
      <w:bookmarkEnd w:id="64218"/>
      <w:r>
        <w:rPr>
          <w:rFonts w:hint="cs"/>
          <w:rtl/>
        </w:rPr>
        <w:t xml:space="preserve">זה </w:t>
      </w:r>
      <w:bookmarkStart w:id="64219" w:name="_ETM_Q115_243290"/>
      <w:bookmarkEnd w:id="64219"/>
      <w:r>
        <w:rPr>
          <w:rFonts w:hint="cs"/>
          <w:rtl/>
        </w:rPr>
        <w:t xml:space="preserve">הצורה </w:t>
      </w:r>
      <w:bookmarkStart w:id="64220" w:name="_ETM_Q115_245079"/>
      <w:bookmarkEnd w:id="64220"/>
      <w:r w:rsidR="00D97DED">
        <w:rPr>
          <w:rFonts w:hint="eastAsia"/>
          <w:rtl/>
        </w:rPr>
        <w:t>–</w:t>
      </w:r>
      <w:r w:rsidR="00D97DED">
        <w:rPr>
          <w:rFonts w:hint="cs"/>
          <w:rtl/>
        </w:rPr>
        <w:t xml:space="preserve"> </w:t>
      </w:r>
      <w:r>
        <w:rPr>
          <w:rFonts w:hint="cs"/>
          <w:rtl/>
        </w:rPr>
        <w:t xml:space="preserve">באמת, </w:t>
      </w:r>
      <w:bookmarkStart w:id="64221" w:name="_ETM_Q115_246319"/>
      <w:bookmarkEnd w:id="64221"/>
      <w:r>
        <w:rPr>
          <w:rFonts w:hint="cs"/>
          <w:rtl/>
        </w:rPr>
        <w:t xml:space="preserve">אתה </w:t>
      </w:r>
      <w:bookmarkStart w:id="64222" w:name="_ETM_Q115_246530"/>
      <w:bookmarkEnd w:id="64222"/>
      <w:r>
        <w:rPr>
          <w:rFonts w:hint="cs"/>
          <w:rtl/>
        </w:rPr>
        <w:t>יודע</w:t>
      </w:r>
      <w:r w:rsidR="00D97DED">
        <w:rPr>
          <w:rFonts w:hint="cs"/>
          <w:rtl/>
        </w:rPr>
        <w:t>,</w:t>
      </w:r>
      <w:r>
        <w:rPr>
          <w:rFonts w:hint="cs"/>
          <w:rtl/>
        </w:rPr>
        <w:t xml:space="preserve"> </w:t>
      </w:r>
      <w:bookmarkStart w:id="64223" w:name="_ETM_Q115_246740"/>
      <w:bookmarkStart w:id="64224" w:name="_ETM_Q115_246920"/>
      <w:bookmarkEnd w:id="64223"/>
      <w:bookmarkEnd w:id="64224"/>
      <w:r w:rsidR="00D97DED">
        <w:rPr>
          <w:rFonts w:hint="cs"/>
          <w:rtl/>
        </w:rPr>
        <w:t xml:space="preserve">זה </w:t>
      </w:r>
      <w:r>
        <w:rPr>
          <w:rFonts w:hint="cs"/>
          <w:rtl/>
        </w:rPr>
        <w:t xml:space="preserve">זעזע </w:t>
      </w:r>
      <w:bookmarkStart w:id="64225" w:name="_ETM_Q115_247430"/>
      <w:bookmarkEnd w:id="64225"/>
      <w:r>
        <w:rPr>
          <w:rFonts w:hint="cs"/>
          <w:rtl/>
        </w:rPr>
        <w:t>אותי</w:t>
      </w:r>
      <w:r w:rsidR="00D97DED">
        <w:rPr>
          <w:rFonts w:hint="cs"/>
          <w:rtl/>
        </w:rPr>
        <w:t>, ו</w:t>
      </w:r>
      <w:bookmarkStart w:id="64226" w:name="_ETM_Q115_247880"/>
      <w:bookmarkEnd w:id="64226"/>
      <w:r>
        <w:rPr>
          <w:rFonts w:hint="cs"/>
          <w:rtl/>
        </w:rPr>
        <w:t xml:space="preserve">אני </w:t>
      </w:r>
      <w:bookmarkStart w:id="64227" w:name="_ETM_Q115_248030"/>
      <w:bookmarkEnd w:id="64227"/>
      <w:r>
        <w:rPr>
          <w:rFonts w:hint="cs"/>
          <w:rtl/>
        </w:rPr>
        <w:t xml:space="preserve">לא </w:t>
      </w:r>
      <w:bookmarkStart w:id="64228" w:name="_ETM_Q115_248119"/>
      <w:bookmarkEnd w:id="64228"/>
      <w:r>
        <w:rPr>
          <w:rFonts w:hint="cs"/>
          <w:rtl/>
        </w:rPr>
        <w:t xml:space="preserve">יודע, </w:t>
      </w:r>
      <w:bookmarkStart w:id="64229" w:name="_ETM_Q115_248270"/>
      <w:bookmarkEnd w:id="64229"/>
      <w:r>
        <w:rPr>
          <w:rFonts w:hint="cs"/>
          <w:rtl/>
        </w:rPr>
        <w:t xml:space="preserve">אולי </w:t>
      </w:r>
      <w:bookmarkStart w:id="64230" w:name="_ETM_Q115_248509"/>
      <w:bookmarkEnd w:id="64230"/>
      <w:r w:rsidR="00D97DED">
        <w:rPr>
          <w:rFonts w:hint="cs"/>
          <w:rtl/>
        </w:rPr>
        <w:t xml:space="preserve">זה </w:t>
      </w:r>
      <w:r>
        <w:rPr>
          <w:rFonts w:hint="cs"/>
          <w:rtl/>
        </w:rPr>
        <w:t xml:space="preserve">רק </w:t>
      </w:r>
      <w:bookmarkStart w:id="64231" w:name="_ETM_Q115_248689"/>
      <w:bookmarkEnd w:id="64231"/>
      <w:r>
        <w:rPr>
          <w:rFonts w:hint="cs"/>
          <w:rtl/>
        </w:rPr>
        <w:t xml:space="preserve">אני </w:t>
      </w:r>
      <w:r>
        <w:t>–</w:t>
      </w:r>
      <w:r>
        <w:rPr>
          <w:rFonts w:hint="cs"/>
          <w:rtl/>
        </w:rPr>
        <w:t xml:space="preserve"> האלימה </w:t>
      </w:r>
      <w:bookmarkStart w:id="64232" w:name="_ETM_Q115_248959"/>
      <w:bookmarkStart w:id="64233" w:name="_ETM_Q115_249560"/>
      <w:bookmarkEnd w:id="64232"/>
      <w:bookmarkEnd w:id="64233"/>
      <w:r>
        <w:rPr>
          <w:rFonts w:hint="cs"/>
          <w:rtl/>
        </w:rPr>
        <w:t xml:space="preserve">שבה </w:t>
      </w:r>
      <w:bookmarkStart w:id="64234" w:name="_ETM_Q115_249829"/>
      <w:bookmarkEnd w:id="64234"/>
      <w:r>
        <w:rPr>
          <w:rFonts w:hint="cs"/>
          <w:rtl/>
        </w:rPr>
        <w:t xml:space="preserve">החזיק </w:t>
      </w:r>
      <w:bookmarkStart w:id="64235" w:name="_ETM_Q115_250189"/>
      <w:bookmarkEnd w:id="64235"/>
      <w:r>
        <w:rPr>
          <w:rFonts w:hint="cs"/>
          <w:rtl/>
        </w:rPr>
        <w:t xml:space="preserve">דודי </w:t>
      </w:r>
      <w:bookmarkStart w:id="64236" w:name="_ETM_Q115_250430"/>
      <w:bookmarkEnd w:id="64236"/>
      <w:r>
        <w:rPr>
          <w:rFonts w:hint="cs"/>
          <w:rtl/>
        </w:rPr>
        <w:t xml:space="preserve">אמסלם </w:t>
      </w:r>
      <w:bookmarkStart w:id="64237" w:name="_ETM_Q115_250789"/>
      <w:bookmarkEnd w:id="64237"/>
      <w:r>
        <w:rPr>
          <w:rFonts w:hint="cs"/>
          <w:rtl/>
        </w:rPr>
        <w:t xml:space="preserve">את </w:t>
      </w:r>
      <w:bookmarkStart w:id="64238" w:name="_ETM_Q115_250909"/>
      <w:bookmarkEnd w:id="64238"/>
      <w:r>
        <w:rPr>
          <w:rFonts w:hint="cs"/>
          <w:rtl/>
        </w:rPr>
        <w:t>מירי רגב</w:t>
      </w:r>
      <w:bookmarkStart w:id="64239" w:name="_ETM_Q115_252793"/>
      <w:bookmarkEnd w:id="64239"/>
      <w:r>
        <w:rPr>
          <w:rFonts w:hint="cs"/>
          <w:rtl/>
        </w:rPr>
        <w:t xml:space="preserve">. זה שיגע אותי. אני לא יכולתי להפסיק להסתכל על זה. </w:t>
      </w:r>
      <w:bookmarkStart w:id="64240" w:name="_ETM_Q115_251791"/>
      <w:bookmarkEnd w:id="64240"/>
    </w:p>
    <w:p w:rsidR="00BB59CD" w:rsidRDefault="00BB59CD" w:rsidP="00BB59CD">
      <w:pPr>
        <w:rPr>
          <w:rtl/>
        </w:rPr>
      </w:pPr>
      <w:bookmarkStart w:id="64241" w:name="_ETM_Q115_252110"/>
      <w:bookmarkStart w:id="64242" w:name="_ETM_Q115_252214"/>
      <w:bookmarkEnd w:id="64241"/>
      <w:bookmarkEnd w:id="64242"/>
    </w:p>
    <w:p w:rsidR="00BB59CD" w:rsidRDefault="00BB59CD" w:rsidP="00BB59CD">
      <w:pPr>
        <w:pStyle w:val="af9"/>
        <w:keepNext/>
        <w:rPr>
          <w:rtl/>
        </w:rPr>
      </w:pPr>
      <w:bookmarkStart w:id="64243" w:name="_ETM_Q115_252271"/>
      <w:bookmarkStart w:id="64244" w:name="_ETM_Q115_252355"/>
      <w:bookmarkStart w:id="64245" w:name="_ETM_Q115_252447"/>
      <w:bookmarkEnd w:id="64243"/>
      <w:bookmarkEnd w:id="64244"/>
      <w:bookmarkEnd w:id="6424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4246" w:name="_ETM_Q115_255623"/>
      <w:bookmarkEnd w:id="64246"/>
      <w:r>
        <w:rPr>
          <w:rFonts w:hint="cs"/>
          <w:rtl/>
        </w:rPr>
        <w:t xml:space="preserve">לא יודע על מה מדובר. </w:t>
      </w:r>
    </w:p>
    <w:p w:rsidR="00BB59CD" w:rsidRDefault="00BB59CD" w:rsidP="00BB59CD">
      <w:pPr>
        <w:rPr>
          <w:rtl/>
        </w:rPr>
      </w:pPr>
      <w:bookmarkStart w:id="64247" w:name="_ETM_Q115_253817"/>
      <w:bookmarkStart w:id="64248" w:name="_ETM_Q115_253921"/>
      <w:bookmarkEnd w:id="64247"/>
      <w:bookmarkEnd w:id="64248"/>
    </w:p>
    <w:p w:rsidR="00BB59CD" w:rsidRDefault="00BB59CD" w:rsidP="00BB59CD">
      <w:pPr>
        <w:pStyle w:val="-"/>
        <w:keepNext/>
        <w:rPr>
          <w:rtl/>
        </w:rPr>
      </w:pPr>
      <w:bookmarkStart w:id="64249" w:name="_ETM_Q115_252814"/>
      <w:bookmarkStart w:id="64250" w:name="_ETM_Q115_252903"/>
      <w:bookmarkStart w:id="64251" w:name="ET_speakercontinue_6361_15"/>
      <w:bookmarkEnd w:id="64249"/>
      <w:bookmarkEnd w:id="6425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251"/>
    </w:p>
    <w:p w:rsidR="00BB59CD" w:rsidRDefault="00BB59CD" w:rsidP="00337201">
      <w:pPr>
        <w:rPr>
          <w:rtl/>
        </w:rPr>
      </w:pPr>
    </w:p>
    <w:p w:rsidR="00BB59CD" w:rsidRDefault="00BB59CD" w:rsidP="00D97DED">
      <w:pPr>
        <w:rPr>
          <w:rtl/>
        </w:rPr>
      </w:pPr>
      <w:bookmarkStart w:id="64252" w:name="_ETM_Q115_253975"/>
      <w:bookmarkStart w:id="64253" w:name="_ETM_Q115_252527"/>
      <w:bookmarkStart w:id="64254" w:name="_ETM_Q115_251420"/>
      <w:bookmarkStart w:id="64255" w:name="_ETM_Q115_251539"/>
      <w:bookmarkStart w:id="64256" w:name="_ETM_Q115_251899"/>
      <w:bookmarkStart w:id="64257" w:name="_ETM_Q115_252350"/>
      <w:bookmarkStart w:id="64258" w:name="_ETM_Q115_252530"/>
      <w:bookmarkStart w:id="64259" w:name="_ETM_Q115_252649"/>
      <w:bookmarkStart w:id="64260" w:name="_ETM_Q115_252860"/>
      <w:bookmarkStart w:id="64261" w:name="_ETM_Q115_252950"/>
      <w:bookmarkStart w:id="64262" w:name="_ETM_Q115_253189"/>
      <w:bookmarkStart w:id="64263" w:name="_ETM_Q115_253490"/>
      <w:bookmarkStart w:id="64264" w:name="_ETM_Q115_254030"/>
      <w:bookmarkStart w:id="64265" w:name="_ETM_Q115_254149"/>
      <w:bookmarkStart w:id="64266" w:name="_ETM_Q115_255340"/>
      <w:bookmarkStart w:id="64267" w:name="_ETM_Q115_256240"/>
      <w:bookmarkEnd w:id="64252"/>
      <w:bookmarkEnd w:id="64253"/>
      <w:bookmarkEnd w:id="64254"/>
      <w:bookmarkEnd w:id="64255"/>
      <w:bookmarkEnd w:id="64256"/>
      <w:bookmarkEnd w:id="64257"/>
      <w:bookmarkEnd w:id="64258"/>
      <w:bookmarkEnd w:id="64259"/>
      <w:bookmarkEnd w:id="64260"/>
      <w:bookmarkEnd w:id="64261"/>
      <w:bookmarkEnd w:id="64262"/>
      <w:bookmarkEnd w:id="64263"/>
      <w:bookmarkEnd w:id="64264"/>
      <w:bookmarkEnd w:id="64265"/>
      <w:bookmarkEnd w:id="64266"/>
      <w:bookmarkEnd w:id="64267"/>
      <w:r>
        <w:rPr>
          <w:rFonts w:hint="cs"/>
          <w:rtl/>
        </w:rPr>
        <w:t xml:space="preserve">זה </w:t>
      </w:r>
      <w:bookmarkStart w:id="64268" w:name="_ETM_Q115_256479"/>
      <w:bookmarkEnd w:id="64268"/>
      <w:r>
        <w:rPr>
          <w:rFonts w:hint="cs"/>
          <w:rtl/>
        </w:rPr>
        <w:t xml:space="preserve">הטריף </w:t>
      </w:r>
      <w:bookmarkStart w:id="64269" w:name="_ETM_Q115_256840"/>
      <w:bookmarkEnd w:id="64269"/>
      <w:r>
        <w:rPr>
          <w:rFonts w:hint="cs"/>
          <w:rtl/>
        </w:rPr>
        <w:t xml:space="preserve">אותי, </w:t>
      </w:r>
      <w:bookmarkStart w:id="64270" w:name="_ETM_Q115_257079"/>
      <w:bookmarkEnd w:id="64270"/>
      <w:r>
        <w:rPr>
          <w:rFonts w:hint="cs"/>
          <w:rtl/>
        </w:rPr>
        <w:t xml:space="preserve">אבל </w:t>
      </w:r>
      <w:bookmarkStart w:id="64271" w:name="_ETM_Q115_257289"/>
      <w:bookmarkEnd w:id="64271"/>
      <w:r>
        <w:rPr>
          <w:rFonts w:hint="cs"/>
          <w:rtl/>
        </w:rPr>
        <w:t xml:space="preserve">אני </w:t>
      </w:r>
      <w:bookmarkStart w:id="64272" w:name="_ETM_Q115_257500"/>
      <w:bookmarkEnd w:id="64272"/>
      <w:r>
        <w:rPr>
          <w:rFonts w:hint="cs"/>
          <w:rtl/>
        </w:rPr>
        <w:t xml:space="preserve">גם </w:t>
      </w:r>
      <w:bookmarkStart w:id="64273" w:name="_ETM_Q115_257679"/>
      <w:bookmarkEnd w:id="64273"/>
      <w:r>
        <w:rPr>
          <w:rFonts w:hint="cs"/>
          <w:rtl/>
        </w:rPr>
        <w:t xml:space="preserve">את </w:t>
      </w:r>
      <w:bookmarkStart w:id="64274" w:name="_ETM_Q115_257770"/>
      <w:bookmarkEnd w:id="64274"/>
      <w:r>
        <w:rPr>
          <w:rFonts w:hint="cs"/>
          <w:rtl/>
        </w:rPr>
        <w:t xml:space="preserve">זה </w:t>
      </w:r>
      <w:bookmarkStart w:id="64275" w:name="_ETM_Q115_257920"/>
      <w:bookmarkEnd w:id="64275"/>
      <w:r>
        <w:rPr>
          <w:rFonts w:hint="cs"/>
          <w:rtl/>
        </w:rPr>
        <w:t xml:space="preserve">שם </w:t>
      </w:r>
      <w:bookmarkStart w:id="64276" w:name="_ETM_Q115_258159"/>
      <w:bookmarkEnd w:id="64276"/>
      <w:r>
        <w:rPr>
          <w:rFonts w:hint="cs"/>
          <w:rtl/>
        </w:rPr>
        <w:t xml:space="preserve">בצד, כי באמת הוא שר </w:t>
      </w:r>
      <w:bookmarkStart w:id="64277" w:name="_ETM_Q115_259570"/>
      <w:bookmarkEnd w:id="64277"/>
      <w:r>
        <w:rPr>
          <w:rFonts w:hint="cs"/>
          <w:rtl/>
        </w:rPr>
        <w:t xml:space="preserve">מאוד חשוב בממשלה, ויש לו תפקיד היסטורי, בעיניי, בצמצום פערים. </w:t>
      </w:r>
      <w:bookmarkStart w:id="64278" w:name="_ETM_Q115_264346"/>
      <w:bookmarkEnd w:id="64278"/>
      <w:r>
        <w:rPr>
          <w:rFonts w:hint="cs"/>
          <w:rtl/>
        </w:rPr>
        <w:t xml:space="preserve">הוא עושה את זה מדהים. אגב, עוד בן אדם שעושה </w:t>
      </w:r>
      <w:bookmarkStart w:id="64279" w:name="_ETM_Q115_269865"/>
      <w:bookmarkEnd w:id="64279"/>
      <w:r>
        <w:rPr>
          <w:rFonts w:hint="cs"/>
          <w:rtl/>
        </w:rPr>
        <w:t xml:space="preserve">את זה מדהים זה השר בן גביר – </w:t>
      </w:r>
      <w:r w:rsidR="00D97DED">
        <w:rPr>
          <w:rFonts w:hint="cs"/>
          <w:rtl/>
        </w:rPr>
        <w:t>ו</w:t>
      </w:r>
      <w:r>
        <w:rPr>
          <w:rFonts w:hint="cs"/>
          <w:rtl/>
        </w:rPr>
        <w:t xml:space="preserve">קטעת את </w:t>
      </w:r>
      <w:bookmarkStart w:id="64280" w:name="_ETM_Q115_274030"/>
      <w:bookmarkEnd w:id="64280"/>
      <w:r>
        <w:rPr>
          <w:rFonts w:hint="cs"/>
          <w:rtl/>
        </w:rPr>
        <w:t>חוט המחשבה שלי בניסיון להסיט אותנו לנושא המרכזי</w:t>
      </w:r>
      <w:r w:rsidR="00D97DED">
        <w:rPr>
          <w:rFonts w:hint="cs"/>
          <w:rtl/>
        </w:rPr>
        <w:t>,</w:t>
      </w:r>
      <w:r>
        <w:rPr>
          <w:rFonts w:hint="cs"/>
          <w:rtl/>
        </w:rPr>
        <w:t xml:space="preserve"> שאף אחד </w:t>
      </w:r>
      <w:bookmarkStart w:id="64281" w:name="_ETM_Q115_274855"/>
      <w:bookmarkEnd w:id="64281"/>
      <w:r>
        <w:rPr>
          <w:rFonts w:hint="cs"/>
          <w:rtl/>
        </w:rPr>
        <w:t>לא דיבר עליו, שזה עילת הסבירות</w:t>
      </w:r>
      <w:r w:rsidR="00D97DED">
        <w:rPr>
          <w:rFonts w:hint="cs"/>
          <w:rtl/>
        </w:rPr>
        <w:t>.</w:t>
      </w:r>
      <w:r>
        <w:rPr>
          <w:rFonts w:hint="cs"/>
          <w:rtl/>
        </w:rPr>
        <w:t xml:space="preserve"> שמעתי אתמול שבן גביר </w:t>
      </w:r>
      <w:bookmarkStart w:id="64282" w:name="_ETM_Q115_277358"/>
      <w:bookmarkEnd w:id="64282"/>
      <w:r>
        <w:rPr>
          <w:rFonts w:hint="cs"/>
          <w:rtl/>
        </w:rPr>
        <w:t xml:space="preserve">רצה וכעס על משטרת ישראל שלא נתנה למפגינים או לתומכים שלו להיכנס לגן סאקר. שמעת על זה? לא מתאים </w:t>
      </w:r>
      <w:bookmarkStart w:id="64283" w:name="_ETM_Q115_292252"/>
      <w:bookmarkEnd w:id="64283"/>
      <w:r>
        <w:rPr>
          <w:rFonts w:hint="cs"/>
          <w:rtl/>
        </w:rPr>
        <w:t>לך, אתה בדרך כלל מעודכן בכל פוש.</w:t>
      </w:r>
    </w:p>
    <w:p w:rsidR="00BB59CD" w:rsidRDefault="00BB59CD" w:rsidP="00BB59CD">
      <w:pPr>
        <w:rPr>
          <w:rtl/>
        </w:rPr>
      </w:pPr>
      <w:bookmarkStart w:id="64284" w:name="_ETM_Q115_291008"/>
      <w:bookmarkStart w:id="64285" w:name="_ETM_Q115_291059"/>
      <w:bookmarkEnd w:id="64284"/>
      <w:bookmarkEnd w:id="64285"/>
    </w:p>
    <w:p w:rsidR="00BB59CD" w:rsidRDefault="00BB59CD" w:rsidP="00BB59CD">
      <w:pPr>
        <w:pStyle w:val="af9"/>
        <w:keepNext/>
        <w:rPr>
          <w:rtl/>
        </w:rPr>
      </w:pPr>
      <w:bookmarkStart w:id="64286" w:name="_ETM_Q115_291104"/>
      <w:bookmarkStart w:id="64287" w:name="_ETM_Q115_291198"/>
      <w:bookmarkStart w:id="64288" w:name="ET_yor_6488_16"/>
      <w:bookmarkEnd w:id="64286"/>
      <w:bookmarkEnd w:id="6428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4288"/>
    </w:p>
    <w:p w:rsidR="00BB59CD" w:rsidRDefault="00BB59CD" w:rsidP="00337201">
      <w:pPr>
        <w:rPr>
          <w:rtl/>
        </w:rPr>
      </w:pPr>
    </w:p>
    <w:p w:rsidR="00BB59CD" w:rsidRDefault="00BB59CD" w:rsidP="00BB59CD">
      <w:pPr>
        <w:rPr>
          <w:rtl/>
        </w:rPr>
      </w:pPr>
      <w:bookmarkStart w:id="64289" w:name="_ETM_Q115_292464"/>
      <w:bookmarkEnd w:id="64289"/>
      <w:r>
        <w:rPr>
          <w:rFonts w:hint="cs"/>
          <w:rtl/>
        </w:rPr>
        <w:t>שמעתי שהוא ביקש שי</w:t>
      </w:r>
      <w:r w:rsidR="00D97DED">
        <w:rPr>
          <w:rFonts w:hint="cs"/>
          <w:rtl/>
        </w:rPr>
        <w:t>י</w:t>
      </w:r>
      <w:r>
        <w:rPr>
          <w:rFonts w:hint="cs"/>
          <w:rtl/>
        </w:rPr>
        <w:t xml:space="preserve">תנו </w:t>
      </w:r>
      <w:bookmarkStart w:id="64290" w:name="_ETM_Q115_290808"/>
      <w:bookmarkEnd w:id="64290"/>
      <w:r>
        <w:rPr>
          <w:rFonts w:hint="cs"/>
          <w:rtl/>
        </w:rPr>
        <w:t xml:space="preserve">להם להתעמת. </w:t>
      </w:r>
    </w:p>
    <w:p w:rsidR="00BB59CD" w:rsidRDefault="00BB59CD" w:rsidP="00BB59CD">
      <w:pPr>
        <w:rPr>
          <w:rtl/>
        </w:rPr>
      </w:pPr>
      <w:bookmarkStart w:id="64291" w:name="_ETM_Q115_290243"/>
      <w:bookmarkStart w:id="64292" w:name="_ETM_Q115_290343"/>
      <w:bookmarkStart w:id="64293" w:name="_ETM_Q115_298029"/>
      <w:bookmarkStart w:id="64294" w:name="_ETM_Q115_298145"/>
      <w:bookmarkEnd w:id="64291"/>
      <w:bookmarkEnd w:id="64292"/>
      <w:bookmarkEnd w:id="64293"/>
      <w:bookmarkEnd w:id="64294"/>
    </w:p>
    <w:p w:rsidR="00BB59CD" w:rsidRDefault="00BB59CD" w:rsidP="00BB59CD">
      <w:pPr>
        <w:pStyle w:val="-"/>
        <w:keepNext/>
        <w:rPr>
          <w:rtl/>
        </w:rPr>
      </w:pPr>
      <w:bookmarkStart w:id="64295" w:name="ET_speakercontinue_6361_1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295"/>
    </w:p>
    <w:p w:rsidR="00BB59CD" w:rsidRDefault="00BB59CD" w:rsidP="00337201">
      <w:pPr>
        <w:rPr>
          <w:rtl/>
        </w:rPr>
      </w:pPr>
    </w:p>
    <w:p w:rsidR="00BB59CD" w:rsidRDefault="00BB59CD" w:rsidP="00BB59CD">
      <w:pPr>
        <w:rPr>
          <w:rtl/>
        </w:rPr>
      </w:pPr>
      <w:r>
        <w:rPr>
          <w:rFonts w:hint="cs"/>
          <w:rtl/>
        </w:rPr>
        <w:t>להתעמת. שר לביטחון לאומי מבקש שי</w:t>
      </w:r>
      <w:r w:rsidR="00D97DED">
        <w:rPr>
          <w:rFonts w:hint="cs"/>
          <w:rtl/>
        </w:rPr>
        <w:t>י</w:t>
      </w:r>
      <w:r>
        <w:rPr>
          <w:rFonts w:hint="cs"/>
          <w:rtl/>
        </w:rPr>
        <w:t xml:space="preserve">תנו לתומכים שלו </w:t>
      </w:r>
      <w:bookmarkStart w:id="64296" w:name="_ETM_Q115_301946"/>
      <w:bookmarkEnd w:id="64296"/>
      <w:r>
        <w:rPr>
          <w:rFonts w:hint="cs"/>
          <w:rtl/>
        </w:rPr>
        <w:t xml:space="preserve">להתעמת עם מפגינים. איזה כיף. </w:t>
      </w:r>
    </w:p>
    <w:p w:rsidR="00BB59CD" w:rsidRDefault="00BB59CD" w:rsidP="00BB59CD">
      <w:pPr>
        <w:rPr>
          <w:rtl/>
        </w:rPr>
      </w:pPr>
      <w:bookmarkStart w:id="64297" w:name="_ETM_Q115_302733"/>
      <w:bookmarkStart w:id="64298" w:name="_ETM_Q115_302844"/>
      <w:bookmarkStart w:id="64299" w:name="_ETM_Q115_302880"/>
      <w:bookmarkStart w:id="64300" w:name="_ETM_Q115_302976"/>
      <w:bookmarkEnd w:id="64297"/>
      <w:bookmarkEnd w:id="64298"/>
      <w:bookmarkEnd w:id="64299"/>
      <w:bookmarkEnd w:id="64300"/>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4301" w:name="_ETM_Q115_303991"/>
      <w:bookmarkEnd w:id="64301"/>
      <w:r>
        <w:rPr>
          <w:rFonts w:hint="cs"/>
          <w:rtl/>
        </w:rPr>
        <w:t>צריך ל</w:t>
      </w:r>
      <w:bookmarkStart w:id="64302" w:name="_ETM_Q115_305840"/>
      <w:bookmarkEnd w:id="64302"/>
      <w:r>
        <w:rPr>
          <w:rFonts w:hint="cs"/>
          <w:rtl/>
        </w:rPr>
        <w:t>אמת את הידיעות האלה.</w:t>
      </w:r>
    </w:p>
    <w:p w:rsidR="00BB59CD" w:rsidRDefault="00BB59CD" w:rsidP="00BB59CD">
      <w:pPr>
        <w:rPr>
          <w:rtl/>
        </w:rPr>
      </w:pPr>
      <w:bookmarkStart w:id="64303" w:name="_ETM_Q115_290434"/>
      <w:bookmarkStart w:id="64304" w:name="_ETM_Q115_290524"/>
      <w:bookmarkEnd w:id="64303"/>
      <w:bookmarkEnd w:id="64304"/>
    </w:p>
    <w:p w:rsidR="00BB59CD" w:rsidRDefault="00BB59CD" w:rsidP="00BB59CD">
      <w:pPr>
        <w:pStyle w:val="-"/>
        <w:keepNext/>
        <w:rPr>
          <w:rtl/>
        </w:rPr>
      </w:pPr>
      <w:bookmarkStart w:id="64305" w:name="_ETM_Q115_303960"/>
      <w:bookmarkStart w:id="64306" w:name="_ETM_Q115_304051"/>
      <w:bookmarkStart w:id="64307" w:name="ET_speakercontinue_6361_19"/>
      <w:bookmarkEnd w:id="64305"/>
      <w:bookmarkEnd w:id="6430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307"/>
    </w:p>
    <w:p w:rsidR="00BB59CD" w:rsidRDefault="00BB59CD" w:rsidP="00337201">
      <w:pPr>
        <w:rPr>
          <w:rtl/>
        </w:rPr>
      </w:pPr>
    </w:p>
    <w:p w:rsidR="00BB59CD" w:rsidRDefault="00BB59CD" w:rsidP="00BB59CD">
      <w:pPr>
        <w:rPr>
          <w:rtl/>
        </w:rPr>
      </w:pPr>
      <w:bookmarkStart w:id="64308" w:name="_ETM_Q115_305143"/>
      <w:bookmarkEnd w:id="64308"/>
      <w:r>
        <w:rPr>
          <w:rFonts w:hint="cs"/>
          <w:rtl/>
        </w:rPr>
        <w:t xml:space="preserve">מי שעושה הפס"ד בצעירותו, הוא תמיד יעשה הפס"דים. זה </w:t>
      </w:r>
      <w:bookmarkStart w:id="64309" w:name="_ETM_Q115_309633"/>
      <w:bookmarkEnd w:id="64309"/>
      <w:r>
        <w:rPr>
          <w:rFonts w:hint="cs"/>
          <w:rtl/>
        </w:rPr>
        <w:t xml:space="preserve">מה שהבן </w:t>
      </w:r>
      <w:bookmarkStart w:id="64310" w:name="_ETM_Q115_311342"/>
      <w:bookmarkEnd w:id="64310"/>
      <w:r>
        <w:rPr>
          <w:rFonts w:hint="cs"/>
          <w:rtl/>
        </w:rPr>
        <w:t xml:space="preserve">אדם יודע לעשות: הפרות סדר. </w:t>
      </w:r>
      <w:bookmarkStart w:id="64311" w:name="_ETM_Q115_316145"/>
      <w:bookmarkEnd w:id="64311"/>
      <w:r>
        <w:rPr>
          <w:rFonts w:hint="cs"/>
          <w:rtl/>
        </w:rPr>
        <w:t>ראיתי שהיה פה איזה הפס"ד.</w:t>
      </w:r>
    </w:p>
    <w:p w:rsidR="00BB59CD" w:rsidRDefault="00BB59CD" w:rsidP="00BB59CD">
      <w:pPr>
        <w:rPr>
          <w:rtl/>
        </w:rPr>
      </w:pPr>
      <w:bookmarkStart w:id="64312" w:name="_ETM_Q115_313949"/>
      <w:bookmarkStart w:id="64313" w:name="_ETM_Q115_314080"/>
      <w:bookmarkEnd w:id="64312"/>
      <w:bookmarkEnd w:id="64313"/>
    </w:p>
    <w:p w:rsidR="00BB59CD" w:rsidRDefault="00BB59CD" w:rsidP="00BB59CD">
      <w:pPr>
        <w:pStyle w:val="af8"/>
        <w:keepNext/>
        <w:rPr>
          <w:rtl/>
        </w:rPr>
      </w:pPr>
      <w:bookmarkStart w:id="64314" w:name="_ETM_Q115_314141"/>
      <w:bookmarkStart w:id="64315" w:name="_ETM_Q115_314202"/>
      <w:bookmarkStart w:id="64316" w:name="ET_interruption_6426_42"/>
      <w:bookmarkEnd w:id="64314"/>
      <w:bookmarkEnd w:id="64315"/>
      <w:r>
        <w:rPr>
          <w:rStyle w:val="TagStyle"/>
          <w:rFonts w:hint="cs"/>
          <w:rtl/>
        </w:rPr>
        <w:t xml:space="preserve"> &lt;&lt; קריאה &gt;&gt; </w:t>
      </w:r>
      <w:r>
        <w:rPr>
          <w:rFonts w:hint="cs"/>
          <w:rtl/>
        </w:rPr>
        <w:t>שר במשרד החינוך חיים ביטון:</w:t>
      </w:r>
      <w:r>
        <w:rPr>
          <w:rStyle w:val="TagStyle"/>
          <w:rtl/>
        </w:rPr>
        <w:t xml:space="preserve"> &lt;&lt; קריאה &gt;&gt;</w:t>
      </w:r>
      <w:bookmarkEnd w:id="64316"/>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 - -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אני אעשה כאילו שמעתי מה אמרת</w:t>
      </w:r>
      <w:bookmarkStart w:id="64317" w:name="_ETM_Q115_318748"/>
      <w:bookmarkEnd w:id="64317"/>
      <w:r>
        <w:rPr>
          <w:rFonts w:hint="cs"/>
          <w:rtl/>
          <w:lang w:eastAsia="he-IL"/>
        </w:rPr>
        <w:t xml:space="preserve">, אבל זה היה נראה לי איזה </w:t>
      </w:r>
      <w:bookmarkStart w:id="64318" w:name="_ETM_Q115_322688"/>
      <w:bookmarkEnd w:id="64318"/>
      <w:r>
        <w:rPr>
          <w:rFonts w:hint="cs"/>
          <w:rtl/>
          <w:lang w:eastAsia="he-IL"/>
        </w:rPr>
        <w:t>-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D97DED">
      <w:pPr>
        <w:rPr>
          <w:rtl/>
          <w:lang w:eastAsia="he-IL"/>
        </w:rPr>
      </w:pPr>
      <w:bookmarkStart w:id="64319" w:name="_ETM_Q115_320328"/>
      <w:bookmarkEnd w:id="64319"/>
      <w:r>
        <w:rPr>
          <w:rFonts w:hint="cs"/>
          <w:rtl/>
          <w:lang w:eastAsia="he-IL"/>
        </w:rPr>
        <w:t xml:space="preserve">הוא מכיר את המונחים האלה מהממשלה. </w:t>
      </w:r>
      <w:bookmarkStart w:id="64320" w:name="_ETM_Q115_322847"/>
      <w:bookmarkStart w:id="64321" w:name="_ETM_Q115_322869"/>
      <w:bookmarkStart w:id="64322" w:name="_ETM_Q115_330709"/>
      <w:bookmarkEnd w:id="64320"/>
      <w:bookmarkEnd w:id="64321"/>
      <w:bookmarkEnd w:id="64322"/>
      <w:r>
        <w:rPr>
          <w:rFonts w:hint="cs"/>
          <w:rtl/>
          <w:lang w:eastAsia="he-IL"/>
        </w:rPr>
        <w:t xml:space="preserve">אתה יודע מה, לפעמים הראשי התיבות יותר ארוכים מהמילים </w:t>
      </w:r>
      <w:bookmarkStart w:id="64323" w:name="_ETM_Q115_331090"/>
      <w:bookmarkEnd w:id="64323"/>
      <w:r>
        <w:rPr>
          <w:rFonts w:hint="cs"/>
          <w:rtl/>
          <w:lang w:eastAsia="he-IL"/>
        </w:rPr>
        <w:t xml:space="preserve">עצמן. זה בדרך כלל קורה בצבא. </w:t>
      </w:r>
    </w:p>
    <w:p w:rsidR="00BB59CD" w:rsidRDefault="00BB59CD" w:rsidP="00BB59CD">
      <w:pPr>
        <w:rPr>
          <w:rtl/>
          <w:lang w:eastAsia="he-IL"/>
        </w:rPr>
      </w:pPr>
      <w:bookmarkStart w:id="64324" w:name="_ETM_Q115_337144"/>
      <w:bookmarkStart w:id="64325" w:name="_ETM_Q115_337258"/>
      <w:bookmarkStart w:id="64326" w:name="_ETM_Q115_337335"/>
      <w:bookmarkStart w:id="64327" w:name="_ETM_Q115_337463"/>
      <w:bookmarkEnd w:id="64324"/>
      <w:bookmarkEnd w:id="64325"/>
      <w:bookmarkEnd w:id="64326"/>
      <w:bookmarkEnd w:id="64327"/>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64328" w:name="_ETM_Q115_338768"/>
      <w:bookmarkEnd w:id="64328"/>
      <w:r>
        <w:rPr>
          <w:rFonts w:hint="cs"/>
          <w:rtl/>
          <w:lang w:eastAsia="he-IL"/>
        </w:rPr>
        <w:t xml:space="preserve">כן? בוא </w:t>
      </w:r>
      <w:bookmarkStart w:id="64329" w:name="_ETM_Q115_340776"/>
      <w:bookmarkEnd w:id="64329"/>
      <w:r>
        <w:rPr>
          <w:rFonts w:hint="cs"/>
          <w:rtl/>
          <w:lang w:eastAsia="he-IL"/>
        </w:rPr>
        <w:t xml:space="preserve">נחשוב. אתם רוצים שנעשה </w:t>
      </w:r>
      <w:r>
        <w:t>session</w:t>
      </w:r>
      <w:r>
        <w:rPr>
          <w:rFonts w:hint="cs"/>
          <w:rtl/>
          <w:lang w:eastAsia="he-IL"/>
        </w:rPr>
        <w:t xml:space="preserve"> של קיצורים בצבא? מישהו </w:t>
      </w:r>
      <w:bookmarkStart w:id="64330" w:name="_ETM_Q115_345249"/>
      <w:bookmarkEnd w:id="64330"/>
      <w:r>
        <w:rPr>
          <w:rFonts w:hint="cs"/>
          <w:rtl/>
          <w:lang w:eastAsia="he-IL"/>
        </w:rPr>
        <w:t>רוצה להשתתף?</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יש, יש לפעמים שאתה מסתבך, ואתה אומר: תגיד </w:t>
      </w:r>
      <w:bookmarkStart w:id="64331" w:name="_ETM_Q115_345262"/>
      <w:bookmarkEnd w:id="64331"/>
      <w:r>
        <w:rPr>
          <w:rFonts w:hint="cs"/>
          <w:rtl/>
          <w:lang w:eastAsia="he-IL"/>
        </w:rPr>
        <w:t xml:space="preserve">כבר את המילה. </w:t>
      </w:r>
    </w:p>
    <w:p w:rsidR="00BB59CD" w:rsidRDefault="00BB59CD" w:rsidP="00BB59CD">
      <w:pPr>
        <w:rPr>
          <w:rtl/>
          <w:lang w:eastAsia="he-IL"/>
        </w:rPr>
      </w:pPr>
      <w:bookmarkStart w:id="64332" w:name="_ETM_Q115_347454"/>
      <w:bookmarkStart w:id="64333" w:name="_ETM_Q115_347560"/>
      <w:bookmarkEnd w:id="64332"/>
      <w:bookmarkEnd w:id="64333"/>
    </w:p>
    <w:p w:rsidR="00BB59CD" w:rsidRDefault="00BB59CD" w:rsidP="00BB59CD">
      <w:pPr>
        <w:pStyle w:val="-"/>
        <w:keepNext/>
        <w:rPr>
          <w:rtl/>
        </w:rPr>
      </w:pPr>
      <w:bookmarkStart w:id="64334" w:name="_ETM_Q115_347584"/>
      <w:bookmarkStart w:id="64335" w:name="_ETM_Q115_347683"/>
      <w:bookmarkStart w:id="64336" w:name="ET_speakercontinue_6361_25"/>
      <w:bookmarkEnd w:id="64334"/>
      <w:bookmarkEnd w:id="6433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336"/>
    </w:p>
    <w:p w:rsidR="00BB59CD" w:rsidRDefault="00BB59CD" w:rsidP="00337201">
      <w:pPr>
        <w:rPr>
          <w:rtl/>
          <w:lang w:eastAsia="he-IL"/>
        </w:rPr>
      </w:pPr>
    </w:p>
    <w:p w:rsidR="00BB59CD" w:rsidRDefault="00BB59CD" w:rsidP="00BB59CD">
      <w:pPr>
        <w:rPr>
          <w:rtl/>
          <w:lang w:eastAsia="he-IL"/>
        </w:rPr>
      </w:pPr>
      <w:bookmarkStart w:id="64337" w:name="_ETM_Q115_348623"/>
      <w:bookmarkEnd w:id="64337"/>
      <w:r>
        <w:rPr>
          <w:rFonts w:hint="cs"/>
          <w:rtl/>
          <w:lang w:eastAsia="he-IL"/>
        </w:rPr>
        <w:t xml:space="preserve">אתג"ר בצצ"ת – מכירים? טוב, עזבו, לא </w:t>
      </w:r>
      <w:bookmarkStart w:id="64338" w:name="_ETM_Q115_352036"/>
      <w:bookmarkEnd w:id="64338"/>
      <w:r>
        <w:rPr>
          <w:rFonts w:hint="cs"/>
          <w:rtl/>
          <w:lang w:eastAsia="he-IL"/>
        </w:rPr>
        <w:t>נעשה את זה. אם אתם רוצים לעשות – רוצים? טוב, לא.</w:t>
      </w:r>
    </w:p>
    <w:p w:rsidR="00BB59CD" w:rsidRDefault="00BB59CD" w:rsidP="00BB59CD">
      <w:pPr>
        <w:rPr>
          <w:rtl/>
          <w:lang w:eastAsia="he-IL"/>
        </w:rPr>
      </w:pPr>
      <w:bookmarkStart w:id="64339" w:name="_ETM_Q115_354186"/>
      <w:bookmarkStart w:id="64340" w:name="_ETM_Q115_354330"/>
      <w:bookmarkEnd w:id="64339"/>
      <w:bookmarkEnd w:id="64340"/>
    </w:p>
    <w:p w:rsidR="00BB59CD" w:rsidRDefault="00BB59CD" w:rsidP="00BB59CD">
      <w:pPr>
        <w:pStyle w:val="af9"/>
        <w:keepNext/>
        <w:rPr>
          <w:rtl/>
        </w:rPr>
      </w:pPr>
      <w:bookmarkStart w:id="64341" w:name="_ETM_Q115_354377"/>
      <w:bookmarkStart w:id="64342" w:name="_ETM_Q115_354479"/>
      <w:bookmarkEnd w:id="64341"/>
      <w:bookmarkEnd w:id="6434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64343" w:name="_ETM_Q115_355373"/>
      <w:bookmarkEnd w:id="64343"/>
      <w:r>
        <w:rPr>
          <w:rFonts w:hint="cs"/>
          <w:rtl/>
          <w:lang w:eastAsia="he-IL"/>
        </w:rPr>
        <w:t xml:space="preserve">יש לך </w:t>
      </w:r>
      <w:bookmarkStart w:id="64344" w:name="_ETM_Q115_357818"/>
      <w:bookmarkEnd w:id="64344"/>
      <w:r>
        <w:rPr>
          <w:rFonts w:hint="cs"/>
          <w:rtl/>
          <w:lang w:eastAsia="he-IL"/>
        </w:rPr>
        <w:t xml:space="preserve">עוד חצי שעה. בוא, תגמור את החומר שלך. </w:t>
      </w:r>
    </w:p>
    <w:p w:rsidR="00BB59CD" w:rsidRDefault="00BB59CD" w:rsidP="00BB59CD">
      <w:pPr>
        <w:rPr>
          <w:rtl/>
        </w:rPr>
      </w:pPr>
    </w:p>
    <w:p w:rsidR="00BB59CD" w:rsidRDefault="00BB59CD" w:rsidP="00BB59CD">
      <w:pPr>
        <w:pStyle w:val="-"/>
        <w:keepNext/>
        <w:rPr>
          <w:rtl/>
        </w:rPr>
      </w:pPr>
      <w:bookmarkStart w:id="64345" w:name="_ETM_Q115_360380"/>
      <w:bookmarkStart w:id="64346" w:name="_ETM_Q115_360473"/>
      <w:bookmarkStart w:id="64347" w:name="ET_speakercontinue_6361_27"/>
      <w:bookmarkEnd w:id="64345"/>
      <w:bookmarkEnd w:id="6434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347"/>
    </w:p>
    <w:p w:rsidR="00BB59CD" w:rsidRDefault="00BB59CD" w:rsidP="00337201">
      <w:pPr>
        <w:rPr>
          <w:rtl/>
        </w:rPr>
      </w:pPr>
    </w:p>
    <w:p w:rsidR="00BB59CD" w:rsidRDefault="00BB59CD" w:rsidP="00BB59CD">
      <w:pPr>
        <w:rPr>
          <w:rtl/>
        </w:rPr>
      </w:pPr>
      <w:r>
        <w:rPr>
          <w:rFonts w:hint="cs"/>
          <w:rtl/>
        </w:rPr>
        <w:t xml:space="preserve">מה, עברה </w:t>
      </w:r>
      <w:bookmarkStart w:id="64348" w:name="_ETM_Q115_360025"/>
      <w:bookmarkEnd w:id="64348"/>
      <w:r>
        <w:rPr>
          <w:rFonts w:hint="cs"/>
          <w:rtl/>
        </w:rPr>
        <w:t xml:space="preserve">מהר, אני רק בשורה השנייה. </w:t>
      </w:r>
    </w:p>
    <w:p w:rsidR="00BB59CD" w:rsidRDefault="00BB59CD" w:rsidP="00BB59CD">
      <w:pPr>
        <w:rPr>
          <w:rtl/>
        </w:rPr>
      </w:pPr>
      <w:bookmarkStart w:id="64349" w:name="_ETM_Q115_366555"/>
      <w:bookmarkStart w:id="64350" w:name="_ETM_Q115_366641"/>
      <w:bookmarkEnd w:id="64349"/>
      <w:bookmarkEnd w:id="64350"/>
    </w:p>
    <w:p w:rsidR="00BB59CD" w:rsidRDefault="00BB59CD" w:rsidP="00D97DED">
      <w:pPr>
        <w:rPr>
          <w:rtl/>
        </w:rPr>
      </w:pPr>
      <w:bookmarkStart w:id="64351" w:name="_ETM_Q115_366701"/>
      <w:bookmarkStart w:id="64352" w:name="_ETM_Q115_366775"/>
      <w:bookmarkEnd w:id="64351"/>
      <w:bookmarkEnd w:id="64352"/>
      <w:r>
        <w:rPr>
          <w:rFonts w:hint="cs"/>
          <w:rtl/>
        </w:rPr>
        <w:t xml:space="preserve">אז באמת אני רוצה לנצל </w:t>
      </w:r>
      <w:bookmarkStart w:id="64353" w:name="_ETM_Q115_361752"/>
      <w:bookmarkEnd w:id="64353"/>
      <w:r>
        <w:rPr>
          <w:rFonts w:hint="cs"/>
          <w:rtl/>
        </w:rPr>
        <w:t xml:space="preserve">את ההזדמנות ולהודות לשר בן גביר, שהיום גם </w:t>
      </w:r>
      <w:bookmarkStart w:id="64354" w:name="_ETM_Q115_368751"/>
      <w:bookmarkEnd w:id="64354"/>
      <w:r>
        <w:rPr>
          <w:rFonts w:hint="cs"/>
          <w:rtl/>
        </w:rPr>
        <w:t xml:space="preserve">עודד את המפגינים לחסום את איילון, </w:t>
      </w:r>
      <w:bookmarkStart w:id="64355" w:name="_ETM_Q115_364752"/>
      <w:bookmarkStart w:id="64356" w:name="_ETM_Q115_364878"/>
      <w:bookmarkStart w:id="64357" w:name="_ETM_Q115_359700"/>
      <w:bookmarkStart w:id="64358" w:name="_ETM_Q115_360030"/>
      <w:bookmarkStart w:id="64359" w:name="_ETM_Q115_362750"/>
      <w:bookmarkStart w:id="64360" w:name="_ETM_Q115_362900"/>
      <w:bookmarkStart w:id="64361" w:name="_ETM_Q115_363200"/>
      <w:bookmarkStart w:id="64362" w:name="_ETM_Q115_363319"/>
      <w:bookmarkStart w:id="64363" w:name="_ETM_Q115_363709"/>
      <w:bookmarkStart w:id="64364" w:name="_ETM_Q115_364189"/>
      <w:bookmarkStart w:id="64365" w:name="_ETM_Q115_364250"/>
      <w:bookmarkStart w:id="64366" w:name="_ETM_Q115_364700"/>
      <w:bookmarkStart w:id="64367" w:name="_ETM_Q115_365090"/>
      <w:bookmarkStart w:id="64368" w:name="_ETM_Q115_365450"/>
      <w:bookmarkStart w:id="64369" w:name="_ETM_Q115_365659"/>
      <w:bookmarkStart w:id="64370" w:name="_ETM_Q115_365959"/>
      <w:bookmarkStart w:id="64371" w:name="_ETM_Q115_366680"/>
      <w:bookmarkStart w:id="64372" w:name="_ETM_Q115_366829"/>
      <w:bookmarkStart w:id="64373" w:name="_ETM_Q115_368030"/>
      <w:bookmarkStart w:id="64374" w:name="_ETM_Q115_368620"/>
      <w:bookmarkStart w:id="64375" w:name="_ETM_Q115_368830"/>
      <w:bookmarkStart w:id="64376" w:name="_ETM_Q115_369849"/>
      <w:bookmarkStart w:id="64377" w:name="_ETM_Q115_370269"/>
      <w:bookmarkStart w:id="64378" w:name="_ETM_Q115_370389"/>
      <w:bookmarkStart w:id="64379" w:name="_ETM_Q115_370959"/>
      <w:bookmarkEnd w:id="64355"/>
      <w:bookmarkEnd w:id="64356"/>
      <w:bookmarkEnd w:id="64357"/>
      <w:bookmarkEnd w:id="64358"/>
      <w:bookmarkEnd w:id="64359"/>
      <w:bookmarkEnd w:id="64360"/>
      <w:bookmarkEnd w:id="64361"/>
      <w:bookmarkEnd w:id="64362"/>
      <w:bookmarkEnd w:id="64363"/>
      <w:bookmarkEnd w:id="64364"/>
      <w:bookmarkEnd w:id="64365"/>
      <w:bookmarkEnd w:id="64366"/>
      <w:bookmarkEnd w:id="64367"/>
      <w:bookmarkEnd w:id="64368"/>
      <w:bookmarkEnd w:id="64369"/>
      <w:bookmarkEnd w:id="64370"/>
      <w:bookmarkEnd w:id="64371"/>
      <w:bookmarkEnd w:id="64372"/>
      <w:bookmarkEnd w:id="64373"/>
      <w:bookmarkEnd w:id="64374"/>
      <w:bookmarkEnd w:id="64375"/>
      <w:bookmarkEnd w:id="64376"/>
      <w:bookmarkEnd w:id="64377"/>
      <w:bookmarkEnd w:id="64378"/>
      <w:bookmarkEnd w:id="64379"/>
      <w:r>
        <w:rPr>
          <w:rFonts w:hint="cs"/>
          <w:rtl/>
        </w:rPr>
        <w:t xml:space="preserve">וכעס </w:t>
      </w:r>
      <w:bookmarkStart w:id="64380" w:name="_ETM_Q115_371500"/>
      <w:bookmarkEnd w:id="64380"/>
      <w:r>
        <w:rPr>
          <w:rFonts w:hint="cs"/>
          <w:rtl/>
        </w:rPr>
        <w:t xml:space="preserve">על </w:t>
      </w:r>
      <w:bookmarkStart w:id="64381" w:name="_ETM_Q115_371620"/>
      <w:bookmarkEnd w:id="64381"/>
      <w:r>
        <w:rPr>
          <w:rFonts w:hint="cs"/>
          <w:rtl/>
        </w:rPr>
        <w:t xml:space="preserve">המשטרה </w:t>
      </w:r>
      <w:bookmarkStart w:id="64382" w:name="_ETM_Q115_372099"/>
      <w:bookmarkEnd w:id="64382"/>
      <w:r>
        <w:rPr>
          <w:rFonts w:hint="cs"/>
          <w:rtl/>
        </w:rPr>
        <w:t xml:space="preserve">שמנעו מהם לחסום את </w:t>
      </w:r>
      <w:bookmarkStart w:id="64383" w:name="_ETM_Q115_374608"/>
      <w:bookmarkEnd w:id="64383"/>
      <w:r>
        <w:rPr>
          <w:rFonts w:hint="cs"/>
          <w:rtl/>
        </w:rPr>
        <w:t xml:space="preserve">איילון. תשמע, אני אומר לך, הבן אדם – </w:t>
      </w:r>
      <w:bookmarkStart w:id="64384" w:name="_ETM_Q115_372549"/>
      <w:bookmarkStart w:id="64385" w:name="_ETM_Q115_372760"/>
      <w:bookmarkStart w:id="64386" w:name="_ETM_Q115_373090"/>
      <w:bookmarkStart w:id="64387" w:name="_ETM_Q115_373209"/>
      <w:bookmarkStart w:id="64388" w:name="_ETM_Q115_373780"/>
      <w:bookmarkStart w:id="64389" w:name="_ETM_Q115_374019"/>
      <w:bookmarkStart w:id="64390" w:name="_ETM_Q115_374139"/>
      <w:bookmarkStart w:id="64391" w:name="_ETM_Q115_374319"/>
      <w:bookmarkStart w:id="64392" w:name="_ETM_Q115_374530"/>
      <w:bookmarkStart w:id="64393" w:name="_ETM_Q115_375600"/>
      <w:bookmarkEnd w:id="64384"/>
      <w:bookmarkEnd w:id="64385"/>
      <w:bookmarkEnd w:id="64386"/>
      <w:bookmarkEnd w:id="64387"/>
      <w:bookmarkEnd w:id="64388"/>
      <w:bookmarkEnd w:id="64389"/>
      <w:bookmarkEnd w:id="64390"/>
      <w:bookmarkEnd w:id="64391"/>
      <w:bookmarkEnd w:id="64392"/>
      <w:bookmarkEnd w:id="64393"/>
      <w:r>
        <w:rPr>
          <w:rFonts w:hint="cs"/>
          <w:rtl/>
        </w:rPr>
        <w:t xml:space="preserve">ראית </w:t>
      </w:r>
      <w:bookmarkStart w:id="64394" w:name="_ETM_Q115_375990"/>
      <w:bookmarkEnd w:id="64394"/>
      <w:r>
        <w:rPr>
          <w:rFonts w:hint="cs"/>
          <w:rtl/>
        </w:rPr>
        <w:t xml:space="preserve">אתמול </w:t>
      </w:r>
      <w:bookmarkStart w:id="64395" w:name="_ETM_Q115_376200"/>
      <w:bookmarkEnd w:id="64395"/>
      <w:r>
        <w:rPr>
          <w:rFonts w:hint="cs"/>
          <w:rtl/>
        </w:rPr>
        <w:t xml:space="preserve">שהוא </w:t>
      </w:r>
      <w:bookmarkStart w:id="64396" w:name="_ETM_Q115_376350"/>
      <w:bookmarkEnd w:id="64396"/>
      <w:r>
        <w:rPr>
          <w:rFonts w:hint="cs"/>
          <w:rtl/>
        </w:rPr>
        <w:t xml:space="preserve">גם </w:t>
      </w:r>
      <w:bookmarkStart w:id="64397" w:name="_ETM_Q115_376800"/>
      <w:bookmarkEnd w:id="64397"/>
      <w:r>
        <w:rPr>
          <w:rFonts w:hint="cs"/>
          <w:rtl/>
        </w:rPr>
        <w:t>אמר</w:t>
      </w:r>
      <w:bookmarkStart w:id="64398" w:name="_ETM_Q115_377400"/>
      <w:bookmarkStart w:id="64399" w:name="_ETM_Q115_377610"/>
      <w:bookmarkEnd w:id="64398"/>
      <w:bookmarkEnd w:id="64399"/>
      <w:r w:rsidR="00D97DED">
        <w:rPr>
          <w:rFonts w:hint="cs"/>
          <w:rtl/>
        </w:rPr>
        <w:t>,</w:t>
      </w:r>
      <w:r>
        <w:rPr>
          <w:rFonts w:hint="cs"/>
          <w:rtl/>
        </w:rPr>
        <w:t xml:space="preserve"> אני מניח </w:t>
      </w:r>
      <w:bookmarkStart w:id="64400" w:name="_ETM_Q115_378795"/>
      <w:bookmarkEnd w:id="64400"/>
      <w:r>
        <w:rPr>
          <w:rFonts w:hint="cs"/>
          <w:rtl/>
        </w:rPr>
        <w:t>שאת זה ראית</w:t>
      </w:r>
      <w:r w:rsidR="00D97DED">
        <w:rPr>
          <w:rFonts w:hint="cs"/>
          <w:rtl/>
        </w:rPr>
        <w:t>, ש</w:t>
      </w:r>
      <w:r>
        <w:rPr>
          <w:rFonts w:hint="cs"/>
          <w:rtl/>
        </w:rPr>
        <w:t xml:space="preserve">בר הסלטים פתוח </w:t>
      </w:r>
      <w:bookmarkStart w:id="64401" w:name="_ETM_Q115_378389"/>
      <w:bookmarkStart w:id="64402" w:name="_ETM_Q115_378690"/>
      <w:bookmarkStart w:id="64403" w:name="_ETM_Q115_379020"/>
      <w:bookmarkStart w:id="64404" w:name="_ETM_Q115_379440"/>
      <w:bookmarkStart w:id="64405" w:name="_ETM_Q115_379860"/>
      <w:bookmarkStart w:id="64406" w:name="_ETM_Q115_379950"/>
      <w:bookmarkStart w:id="64407" w:name="_ETM_Q115_380730"/>
      <w:bookmarkStart w:id="64408" w:name="_ETM_Q115_381600"/>
      <w:bookmarkStart w:id="64409" w:name="_ETM_Q115_382500"/>
      <w:bookmarkEnd w:id="64401"/>
      <w:bookmarkEnd w:id="64402"/>
      <w:bookmarkEnd w:id="64403"/>
      <w:bookmarkEnd w:id="64404"/>
      <w:bookmarkEnd w:id="64405"/>
      <w:bookmarkEnd w:id="64406"/>
      <w:bookmarkEnd w:id="64407"/>
      <w:bookmarkEnd w:id="64408"/>
      <w:bookmarkEnd w:id="64409"/>
      <w:r>
        <w:rPr>
          <w:rFonts w:hint="cs"/>
          <w:rtl/>
        </w:rPr>
        <w:t>ו</w:t>
      </w:r>
      <w:r w:rsidR="00D97DED">
        <w:rPr>
          <w:rFonts w:hint="cs"/>
          <w:rtl/>
        </w:rPr>
        <w:t>שי</w:t>
      </w:r>
      <w:r>
        <w:rPr>
          <w:rFonts w:hint="cs"/>
          <w:rtl/>
        </w:rPr>
        <w:t xml:space="preserve">היה </w:t>
      </w:r>
      <w:bookmarkStart w:id="64410" w:name="_ETM_Q115_382830"/>
      <w:bookmarkEnd w:id="64410"/>
      <w:r>
        <w:rPr>
          <w:rFonts w:hint="cs"/>
          <w:rtl/>
        </w:rPr>
        <w:t xml:space="preserve">לנו </w:t>
      </w:r>
      <w:bookmarkStart w:id="64411" w:name="_ETM_Q115_383430"/>
      <w:bookmarkEnd w:id="64411"/>
      <w:r>
        <w:rPr>
          <w:rFonts w:hint="cs"/>
          <w:rtl/>
        </w:rPr>
        <w:t xml:space="preserve">גמר </w:t>
      </w:r>
      <w:bookmarkStart w:id="64412" w:name="_ETM_Q115_383790"/>
      <w:bookmarkEnd w:id="64412"/>
      <w:r>
        <w:rPr>
          <w:rFonts w:hint="cs"/>
          <w:rtl/>
        </w:rPr>
        <w:t xml:space="preserve">חקיקה </w:t>
      </w:r>
      <w:bookmarkStart w:id="64413" w:name="_ETM_Q115_384840"/>
      <w:bookmarkEnd w:id="64413"/>
      <w:r>
        <w:rPr>
          <w:rFonts w:hint="cs"/>
          <w:rtl/>
        </w:rPr>
        <w:t xml:space="preserve">טובה </w:t>
      </w:r>
      <w:bookmarkStart w:id="64414" w:name="_ETM_Q115_385230"/>
      <w:bookmarkEnd w:id="64414"/>
      <w:r>
        <w:rPr>
          <w:rFonts w:hint="cs"/>
          <w:rtl/>
        </w:rPr>
        <w:t xml:space="preserve">או </w:t>
      </w:r>
      <w:bookmarkStart w:id="64415" w:name="_ETM_Q115_385350"/>
      <w:bookmarkEnd w:id="64415"/>
      <w:r>
        <w:rPr>
          <w:rFonts w:hint="cs"/>
          <w:rtl/>
        </w:rPr>
        <w:t>נעימה.</w:t>
      </w:r>
    </w:p>
    <w:p w:rsidR="00BB59CD" w:rsidRDefault="00BB59CD" w:rsidP="00BB59CD">
      <w:pPr>
        <w:rPr>
          <w:rtl/>
        </w:rPr>
      </w:pPr>
      <w:bookmarkStart w:id="64416" w:name="_ETM_Q115_390329"/>
      <w:bookmarkStart w:id="64417" w:name="_ETM_Q115_390482"/>
      <w:bookmarkEnd w:id="64416"/>
      <w:bookmarkEnd w:id="64417"/>
    </w:p>
    <w:p w:rsidR="00BB59CD" w:rsidRDefault="00BB59CD" w:rsidP="00D97DED">
      <w:pPr>
        <w:rPr>
          <w:rtl/>
        </w:rPr>
      </w:pPr>
      <w:bookmarkStart w:id="64418" w:name="_ETM_Q115_390504"/>
      <w:bookmarkStart w:id="64419" w:name="_ETM_Q115_390643"/>
      <w:bookmarkStart w:id="64420" w:name="_ETM_Q115_387419"/>
      <w:bookmarkEnd w:id="64418"/>
      <w:bookmarkEnd w:id="64419"/>
      <w:bookmarkEnd w:id="64420"/>
      <w:r>
        <w:rPr>
          <w:rFonts w:hint="cs"/>
          <w:rtl/>
        </w:rPr>
        <w:t xml:space="preserve">אני </w:t>
      </w:r>
      <w:bookmarkStart w:id="64421" w:name="_ETM_Q115_387629"/>
      <w:bookmarkEnd w:id="64421"/>
      <w:r>
        <w:rPr>
          <w:rFonts w:hint="cs"/>
          <w:rtl/>
        </w:rPr>
        <w:t>חושב</w:t>
      </w:r>
      <w:bookmarkStart w:id="64422" w:name="_ETM_Q115_387840"/>
      <w:bookmarkStart w:id="64423" w:name="_ETM_Q115_389280"/>
      <w:bookmarkEnd w:id="64422"/>
      <w:bookmarkEnd w:id="64423"/>
      <w:r>
        <w:rPr>
          <w:rFonts w:hint="cs"/>
          <w:rtl/>
        </w:rPr>
        <w:t xml:space="preserve">, ושתף </w:t>
      </w:r>
      <w:bookmarkStart w:id="64424" w:name="_ETM_Q115_391840"/>
      <w:bookmarkEnd w:id="64424"/>
      <w:r>
        <w:rPr>
          <w:rFonts w:hint="cs"/>
          <w:rtl/>
        </w:rPr>
        <w:t xml:space="preserve">אותי </w:t>
      </w:r>
      <w:bookmarkStart w:id="64425" w:name="_ETM_Q115_392049"/>
      <w:bookmarkEnd w:id="64425"/>
      <w:r>
        <w:rPr>
          <w:rFonts w:hint="cs"/>
          <w:rtl/>
        </w:rPr>
        <w:t xml:space="preserve">אם </w:t>
      </w:r>
      <w:bookmarkStart w:id="64426" w:name="_ETM_Q115_392110"/>
      <w:bookmarkEnd w:id="64426"/>
      <w:r>
        <w:rPr>
          <w:rFonts w:hint="cs"/>
          <w:rtl/>
        </w:rPr>
        <w:t xml:space="preserve">אתה </w:t>
      </w:r>
      <w:bookmarkStart w:id="64427" w:name="_ETM_Q115_392290"/>
      <w:bookmarkEnd w:id="64427"/>
      <w:r>
        <w:rPr>
          <w:rFonts w:hint="cs"/>
          <w:rtl/>
        </w:rPr>
        <w:t xml:space="preserve">רוצה, </w:t>
      </w:r>
      <w:bookmarkStart w:id="64428" w:name="_ETM_Q115_392799"/>
      <w:bookmarkEnd w:id="64428"/>
      <w:r w:rsidR="00D97DED">
        <w:rPr>
          <w:rFonts w:hint="cs"/>
          <w:rtl/>
        </w:rPr>
        <w:t>ש</w:t>
      </w:r>
      <w:r>
        <w:rPr>
          <w:rFonts w:hint="cs"/>
          <w:rtl/>
        </w:rPr>
        <w:t xml:space="preserve">יש </w:t>
      </w:r>
      <w:bookmarkStart w:id="64429" w:name="_ETM_Q115_393010"/>
      <w:bookmarkEnd w:id="64429"/>
      <w:r>
        <w:rPr>
          <w:rFonts w:hint="cs"/>
          <w:rtl/>
        </w:rPr>
        <w:t xml:space="preserve">בושה </w:t>
      </w:r>
      <w:bookmarkStart w:id="64430" w:name="_ETM_Q115_393459"/>
      <w:bookmarkEnd w:id="64430"/>
      <w:r>
        <w:rPr>
          <w:rFonts w:hint="cs"/>
          <w:rtl/>
        </w:rPr>
        <w:t xml:space="preserve">מסוימת </w:t>
      </w:r>
      <w:bookmarkStart w:id="64431" w:name="_ETM_Q115_394000"/>
      <w:bookmarkEnd w:id="64431"/>
      <w:r>
        <w:rPr>
          <w:rFonts w:hint="cs"/>
          <w:rtl/>
        </w:rPr>
        <w:t xml:space="preserve">גם </w:t>
      </w:r>
      <w:bookmarkStart w:id="64432" w:name="_ETM_Q115_394209"/>
      <w:bookmarkEnd w:id="64432"/>
      <w:r>
        <w:rPr>
          <w:rFonts w:hint="cs"/>
          <w:rtl/>
        </w:rPr>
        <w:t xml:space="preserve">לצד </w:t>
      </w:r>
      <w:bookmarkStart w:id="64433" w:name="_ETM_Q115_394510"/>
      <w:bookmarkEnd w:id="64433"/>
      <w:r>
        <w:rPr>
          <w:rFonts w:hint="cs"/>
          <w:rtl/>
        </w:rPr>
        <w:t xml:space="preserve">שלכם </w:t>
      </w:r>
      <w:r>
        <w:t>–</w:t>
      </w:r>
      <w:r>
        <w:rPr>
          <w:rFonts w:hint="cs"/>
          <w:rtl/>
        </w:rPr>
        <w:t xml:space="preserve"> </w:t>
      </w:r>
      <w:bookmarkStart w:id="64434" w:name="_ETM_Q115_395140"/>
      <w:bookmarkEnd w:id="64434"/>
      <w:r>
        <w:rPr>
          <w:rFonts w:hint="cs"/>
          <w:rtl/>
        </w:rPr>
        <w:t xml:space="preserve">עזוב </w:t>
      </w:r>
      <w:bookmarkStart w:id="64435" w:name="_ETM_Q115_395409"/>
      <w:bookmarkEnd w:id="64435"/>
      <w:r>
        <w:rPr>
          <w:rFonts w:hint="cs"/>
          <w:rtl/>
        </w:rPr>
        <w:t xml:space="preserve">את </w:t>
      </w:r>
      <w:bookmarkStart w:id="64436" w:name="_ETM_Q115_395530"/>
      <w:bookmarkEnd w:id="64436"/>
      <w:r>
        <w:rPr>
          <w:rFonts w:hint="cs"/>
          <w:rtl/>
        </w:rPr>
        <w:t xml:space="preserve">הביצועים, </w:t>
      </w:r>
      <w:bookmarkStart w:id="64437" w:name="_ETM_Q115_396280"/>
      <w:bookmarkEnd w:id="64437"/>
      <w:r w:rsidR="00D97DED">
        <w:rPr>
          <w:rFonts w:hint="cs"/>
          <w:rtl/>
        </w:rPr>
        <w:t xml:space="preserve">אני </w:t>
      </w:r>
      <w:r>
        <w:rPr>
          <w:rFonts w:hint="cs"/>
          <w:rtl/>
        </w:rPr>
        <w:t xml:space="preserve">שם </w:t>
      </w:r>
      <w:bookmarkStart w:id="64438" w:name="_ETM_Q115_396519"/>
      <w:bookmarkEnd w:id="64438"/>
      <w:r>
        <w:rPr>
          <w:rFonts w:hint="cs"/>
          <w:rtl/>
        </w:rPr>
        <w:t xml:space="preserve">את </w:t>
      </w:r>
      <w:bookmarkStart w:id="64439" w:name="_ETM_Q115_396610"/>
      <w:bookmarkEnd w:id="64439"/>
      <w:r>
        <w:rPr>
          <w:rFonts w:hint="cs"/>
          <w:rtl/>
        </w:rPr>
        <w:t xml:space="preserve">זה </w:t>
      </w:r>
      <w:bookmarkStart w:id="64440" w:name="_ETM_Q115_396670"/>
      <w:bookmarkEnd w:id="64440"/>
      <w:r>
        <w:rPr>
          <w:rFonts w:hint="cs"/>
          <w:rtl/>
        </w:rPr>
        <w:t>בצד</w:t>
      </w:r>
      <w:r w:rsidR="00D97DED">
        <w:rPr>
          <w:rFonts w:hint="cs"/>
          <w:rtl/>
        </w:rPr>
        <w:t>;</w:t>
      </w:r>
      <w:r>
        <w:rPr>
          <w:rFonts w:hint="cs"/>
          <w:rtl/>
        </w:rPr>
        <w:t xml:space="preserve"> יש </w:t>
      </w:r>
      <w:bookmarkStart w:id="64441" w:name="_ETM_Q115_397900"/>
      <w:bookmarkEnd w:id="64441"/>
      <w:r>
        <w:rPr>
          <w:rFonts w:hint="cs"/>
          <w:rtl/>
        </w:rPr>
        <w:t xml:space="preserve">בושה </w:t>
      </w:r>
      <w:bookmarkStart w:id="64442" w:name="_ETM_Q115_398989"/>
      <w:bookmarkEnd w:id="64442"/>
      <w:r>
        <w:rPr>
          <w:rFonts w:hint="cs"/>
          <w:rtl/>
        </w:rPr>
        <w:t xml:space="preserve">שבן </w:t>
      </w:r>
      <w:bookmarkStart w:id="64443" w:name="_ETM_Q115_402225"/>
      <w:bookmarkEnd w:id="64443"/>
      <w:r>
        <w:rPr>
          <w:rFonts w:hint="cs"/>
          <w:rtl/>
        </w:rPr>
        <w:t xml:space="preserve">אדם </w:t>
      </w:r>
      <w:bookmarkStart w:id="64444" w:name="_ETM_Q115_399499"/>
      <w:bookmarkEnd w:id="64444"/>
      <w:r>
        <w:rPr>
          <w:rFonts w:hint="cs"/>
          <w:rtl/>
        </w:rPr>
        <w:t xml:space="preserve">כזה </w:t>
      </w:r>
      <w:bookmarkStart w:id="64445" w:name="_ETM_Q115_400690"/>
      <w:bookmarkEnd w:id="64445"/>
      <w:r>
        <w:rPr>
          <w:rFonts w:hint="cs"/>
          <w:rtl/>
        </w:rPr>
        <w:t xml:space="preserve">הוא </w:t>
      </w:r>
      <w:bookmarkStart w:id="64446" w:name="_ETM_Q115_400780"/>
      <w:bookmarkEnd w:id="64446"/>
      <w:r>
        <w:rPr>
          <w:rFonts w:hint="cs"/>
          <w:rtl/>
        </w:rPr>
        <w:t xml:space="preserve">שר </w:t>
      </w:r>
      <w:bookmarkStart w:id="64447" w:name="_ETM_Q115_401110"/>
      <w:bookmarkEnd w:id="64447"/>
      <w:r>
        <w:rPr>
          <w:rFonts w:hint="cs"/>
          <w:rtl/>
        </w:rPr>
        <w:t xml:space="preserve">במדינת </w:t>
      </w:r>
      <w:bookmarkStart w:id="64448" w:name="_ETM_Q115_401560"/>
      <w:bookmarkEnd w:id="64448"/>
      <w:r>
        <w:rPr>
          <w:rFonts w:hint="cs"/>
          <w:rtl/>
        </w:rPr>
        <w:t xml:space="preserve">ישראל. </w:t>
      </w:r>
      <w:bookmarkStart w:id="64449" w:name="_ETM_Q115_402130"/>
      <w:bookmarkEnd w:id="64449"/>
      <w:r>
        <w:rPr>
          <w:rFonts w:hint="cs"/>
          <w:rtl/>
        </w:rPr>
        <w:t xml:space="preserve">והבושה </w:t>
      </w:r>
      <w:bookmarkStart w:id="64450" w:name="_ETM_Q115_402670"/>
      <w:bookmarkEnd w:id="64450"/>
      <w:r>
        <w:rPr>
          <w:rFonts w:hint="cs"/>
          <w:rtl/>
        </w:rPr>
        <w:t>היותר</w:t>
      </w:r>
      <w:bookmarkStart w:id="64451" w:name="_ETM_Q115_402940"/>
      <w:bookmarkEnd w:id="64451"/>
      <w:r w:rsidR="00D97DED">
        <w:rPr>
          <w:rFonts w:hint="cs"/>
          <w:rtl/>
        </w:rPr>
        <w:t>-</w:t>
      </w:r>
      <w:r>
        <w:rPr>
          <w:rFonts w:hint="cs"/>
          <w:rtl/>
        </w:rPr>
        <w:t xml:space="preserve">גדולה </w:t>
      </w:r>
      <w:bookmarkStart w:id="64452" w:name="_ETM_Q115_403750"/>
      <w:bookmarkEnd w:id="64452"/>
      <w:r>
        <w:rPr>
          <w:rFonts w:hint="cs"/>
          <w:rtl/>
        </w:rPr>
        <w:t xml:space="preserve">היא </w:t>
      </w:r>
      <w:bookmarkStart w:id="64453" w:name="_ETM_Q115_403930"/>
      <w:bookmarkEnd w:id="64453"/>
      <w:r>
        <w:rPr>
          <w:rFonts w:hint="cs"/>
          <w:rtl/>
        </w:rPr>
        <w:t xml:space="preserve">הצורה </w:t>
      </w:r>
      <w:bookmarkStart w:id="64454" w:name="_ETM_Q115_404350"/>
      <w:bookmarkEnd w:id="64454"/>
      <w:r>
        <w:rPr>
          <w:rFonts w:hint="cs"/>
          <w:rtl/>
        </w:rPr>
        <w:t xml:space="preserve">שבה </w:t>
      </w:r>
      <w:bookmarkStart w:id="64455" w:name="_ETM_Q115_404680"/>
      <w:bookmarkEnd w:id="64455"/>
      <w:r>
        <w:rPr>
          <w:rFonts w:hint="cs"/>
          <w:rtl/>
        </w:rPr>
        <w:t xml:space="preserve">הוא </w:t>
      </w:r>
      <w:bookmarkStart w:id="64456" w:name="_ETM_Q115_405820"/>
      <w:bookmarkEnd w:id="64456"/>
      <w:r>
        <w:rPr>
          <w:rFonts w:hint="cs"/>
          <w:rtl/>
        </w:rPr>
        <w:t xml:space="preserve">מתבטא </w:t>
      </w:r>
      <w:bookmarkStart w:id="64457" w:name="_ETM_Q115_406810"/>
      <w:bookmarkEnd w:id="64457"/>
      <w:r>
        <w:rPr>
          <w:rFonts w:hint="cs"/>
          <w:rtl/>
        </w:rPr>
        <w:t xml:space="preserve">והצורה </w:t>
      </w:r>
      <w:bookmarkStart w:id="64458" w:name="_ETM_Q115_407260"/>
      <w:bookmarkEnd w:id="64458"/>
      <w:r>
        <w:rPr>
          <w:rFonts w:hint="cs"/>
          <w:rtl/>
        </w:rPr>
        <w:t xml:space="preserve">שבה </w:t>
      </w:r>
      <w:bookmarkStart w:id="64459" w:name="_ETM_Q115_408400"/>
      <w:bookmarkEnd w:id="64459"/>
      <w:r>
        <w:rPr>
          <w:rFonts w:hint="cs"/>
          <w:rtl/>
        </w:rPr>
        <w:t xml:space="preserve">הוא </w:t>
      </w:r>
      <w:bookmarkStart w:id="64460" w:name="_ETM_Q115_408580"/>
      <w:bookmarkEnd w:id="64460"/>
      <w:r>
        <w:rPr>
          <w:rFonts w:hint="cs"/>
          <w:rtl/>
        </w:rPr>
        <w:t xml:space="preserve">לוקח </w:t>
      </w:r>
      <w:bookmarkStart w:id="64461" w:name="_ETM_Q115_408910"/>
      <w:bookmarkEnd w:id="64461"/>
      <w:r>
        <w:rPr>
          <w:rFonts w:hint="cs"/>
          <w:rtl/>
        </w:rPr>
        <w:t xml:space="preserve">את </w:t>
      </w:r>
      <w:bookmarkStart w:id="64462" w:name="_ETM_Q115_408970"/>
      <w:bookmarkEnd w:id="64462"/>
      <w:r>
        <w:rPr>
          <w:rFonts w:hint="cs"/>
          <w:rtl/>
        </w:rPr>
        <w:t xml:space="preserve">הדברים. </w:t>
      </w:r>
      <w:bookmarkStart w:id="64463" w:name="_ETM_Q115_409720"/>
      <w:bookmarkEnd w:id="64463"/>
      <w:r>
        <w:rPr>
          <w:rFonts w:hint="cs"/>
          <w:rtl/>
        </w:rPr>
        <w:t xml:space="preserve">כשדיברתי </w:t>
      </w:r>
      <w:bookmarkStart w:id="64464" w:name="_ETM_Q115_410320"/>
      <w:bookmarkEnd w:id="64464"/>
      <w:r>
        <w:rPr>
          <w:rFonts w:hint="cs"/>
          <w:rtl/>
        </w:rPr>
        <w:t xml:space="preserve">על </w:t>
      </w:r>
      <w:bookmarkStart w:id="64465" w:name="_ETM_Q115_410410"/>
      <w:bookmarkEnd w:id="64465"/>
      <w:r>
        <w:rPr>
          <w:rFonts w:hint="cs"/>
          <w:rtl/>
        </w:rPr>
        <w:t xml:space="preserve">20% </w:t>
      </w:r>
      <w:bookmarkStart w:id="64466" w:name="_ETM_Q115_411010"/>
      <w:bookmarkEnd w:id="64466"/>
      <w:r>
        <w:rPr>
          <w:rFonts w:hint="cs"/>
          <w:rtl/>
        </w:rPr>
        <w:t xml:space="preserve">שגוררים את </w:t>
      </w:r>
      <w:bookmarkStart w:id="64467" w:name="_ETM_Q115_403855"/>
      <w:bookmarkEnd w:id="64467"/>
      <w:r>
        <w:rPr>
          <w:rFonts w:hint="cs"/>
          <w:rtl/>
        </w:rPr>
        <w:t xml:space="preserve">המדינה הזו – הוא </w:t>
      </w:r>
      <w:bookmarkStart w:id="64468" w:name="_ETM_Q115_411340"/>
      <w:bookmarkStart w:id="64469" w:name="_ETM_Q115_411550"/>
      <w:bookmarkStart w:id="64470" w:name="_ETM_Q115_411610"/>
      <w:bookmarkStart w:id="64471" w:name="_ETM_Q115_412030"/>
      <w:bookmarkStart w:id="64472" w:name="_ETM_Q115_412660"/>
      <w:bookmarkEnd w:id="64468"/>
      <w:bookmarkEnd w:id="64469"/>
      <w:bookmarkEnd w:id="64470"/>
      <w:bookmarkEnd w:id="64471"/>
      <w:bookmarkEnd w:id="64472"/>
      <w:r>
        <w:rPr>
          <w:rFonts w:hint="cs"/>
          <w:rtl/>
        </w:rPr>
        <w:t xml:space="preserve">חלק </w:t>
      </w:r>
      <w:bookmarkStart w:id="64473" w:name="_ETM_Q115_414760"/>
      <w:bookmarkEnd w:id="64473"/>
      <w:r>
        <w:rPr>
          <w:rFonts w:hint="cs"/>
          <w:rtl/>
        </w:rPr>
        <w:t xml:space="preserve">מאוד </w:t>
      </w:r>
      <w:bookmarkStart w:id="64474" w:name="_ETM_Q115_415239"/>
      <w:bookmarkEnd w:id="64474"/>
      <w:r>
        <w:rPr>
          <w:rFonts w:hint="cs"/>
          <w:rtl/>
        </w:rPr>
        <w:t xml:space="preserve">גדול </w:t>
      </w:r>
      <w:bookmarkStart w:id="64475" w:name="_ETM_Q115_415690"/>
      <w:bookmarkEnd w:id="64475"/>
      <w:r>
        <w:rPr>
          <w:rFonts w:hint="cs"/>
          <w:rtl/>
        </w:rPr>
        <w:t xml:space="preserve">במה </w:t>
      </w:r>
      <w:bookmarkStart w:id="64476" w:name="_ETM_Q115_415930"/>
      <w:bookmarkEnd w:id="64476"/>
      <w:r>
        <w:rPr>
          <w:rFonts w:hint="cs"/>
          <w:rtl/>
        </w:rPr>
        <w:t xml:space="preserve">שקורה </w:t>
      </w:r>
      <w:bookmarkStart w:id="64477" w:name="_ETM_Q115_416230"/>
      <w:bookmarkEnd w:id="64477"/>
      <w:r>
        <w:rPr>
          <w:rFonts w:hint="cs"/>
          <w:rtl/>
        </w:rPr>
        <w:t xml:space="preserve">במדינה </w:t>
      </w:r>
      <w:bookmarkStart w:id="64478" w:name="_ETM_Q115_416989"/>
      <w:bookmarkEnd w:id="64478"/>
      <w:r>
        <w:rPr>
          <w:rFonts w:hint="cs"/>
          <w:rtl/>
        </w:rPr>
        <w:t xml:space="preserve">בצורת </w:t>
      </w:r>
      <w:bookmarkStart w:id="64479" w:name="_ETM_Q115_417560"/>
      <w:bookmarkEnd w:id="64479"/>
      <w:r>
        <w:rPr>
          <w:rFonts w:hint="cs"/>
          <w:rtl/>
        </w:rPr>
        <w:t xml:space="preserve">השיח, </w:t>
      </w:r>
      <w:bookmarkStart w:id="64480" w:name="_ETM_Q115_418069"/>
      <w:bookmarkEnd w:id="64480"/>
      <w:r>
        <w:rPr>
          <w:rFonts w:hint="cs"/>
          <w:rtl/>
        </w:rPr>
        <w:t xml:space="preserve">באיך </w:t>
      </w:r>
      <w:bookmarkStart w:id="64481" w:name="_ETM_Q115_418340"/>
      <w:bookmarkEnd w:id="64481"/>
      <w:r>
        <w:rPr>
          <w:rFonts w:hint="cs"/>
          <w:rtl/>
        </w:rPr>
        <w:t xml:space="preserve">שזה </w:t>
      </w:r>
      <w:bookmarkStart w:id="64482" w:name="_ETM_Q115_418640"/>
      <w:bookmarkEnd w:id="64482"/>
      <w:r>
        <w:rPr>
          <w:rFonts w:hint="cs"/>
          <w:rtl/>
        </w:rPr>
        <w:t xml:space="preserve">עובד, </w:t>
      </w:r>
      <w:bookmarkStart w:id="64483" w:name="_ETM_Q115_419209"/>
      <w:bookmarkEnd w:id="64483"/>
      <w:r>
        <w:rPr>
          <w:rFonts w:hint="cs"/>
          <w:rtl/>
        </w:rPr>
        <w:t xml:space="preserve">בצורה </w:t>
      </w:r>
      <w:bookmarkStart w:id="64484" w:name="_ETM_Q115_419629"/>
      <w:bookmarkEnd w:id="64484"/>
      <w:r>
        <w:rPr>
          <w:rFonts w:hint="cs"/>
          <w:rtl/>
        </w:rPr>
        <w:t xml:space="preserve">שזה </w:t>
      </w:r>
      <w:bookmarkStart w:id="64485" w:name="_ETM_Q115_419900"/>
      <w:bookmarkEnd w:id="64485"/>
      <w:r>
        <w:rPr>
          <w:rFonts w:hint="cs"/>
          <w:rtl/>
        </w:rPr>
        <w:t xml:space="preserve">עובד. </w:t>
      </w:r>
      <w:bookmarkStart w:id="64486" w:name="_ETM_Q115_420719"/>
      <w:bookmarkEnd w:id="64486"/>
      <w:r>
        <w:rPr>
          <w:rFonts w:hint="cs"/>
          <w:rtl/>
        </w:rPr>
        <w:t xml:space="preserve">אבל </w:t>
      </w:r>
      <w:bookmarkStart w:id="64487" w:name="_ETM_Q115_420959"/>
      <w:bookmarkEnd w:id="64487"/>
      <w:r>
        <w:rPr>
          <w:rFonts w:hint="cs"/>
          <w:rtl/>
        </w:rPr>
        <w:t xml:space="preserve">את זה </w:t>
      </w:r>
      <w:bookmarkStart w:id="64488" w:name="_ETM_Q115_421079"/>
      <w:bookmarkEnd w:id="64488"/>
      <w:r>
        <w:rPr>
          <w:rFonts w:hint="cs"/>
          <w:rtl/>
        </w:rPr>
        <w:t xml:space="preserve">אני </w:t>
      </w:r>
      <w:bookmarkStart w:id="64489" w:name="_ETM_Q115_421559"/>
      <w:bookmarkEnd w:id="64489"/>
      <w:r>
        <w:rPr>
          <w:rFonts w:hint="cs"/>
          <w:rtl/>
        </w:rPr>
        <w:t xml:space="preserve">גם שם </w:t>
      </w:r>
      <w:bookmarkStart w:id="64490" w:name="_ETM_Q115_422069"/>
      <w:bookmarkEnd w:id="64490"/>
      <w:r>
        <w:rPr>
          <w:rFonts w:hint="cs"/>
          <w:rtl/>
        </w:rPr>
        <w:t xml:space="preserve">בצד. </w:t>
      </w:r>
      <w:bookmarkStart w:id="64491" w:name="_ETM_Q115_423209"/>
      <w:bookmarkEnd w:id="64491"/>
    </w:p>
    <w:p w:rsidR="00BB59CD" w:rsidRDefault="00BB59CD" w:rsidP="00BB59CD">
      <w:pPr>
        <w:rPr>
          <w:rtl/>
        </w:rPr>
      </w:pPr>
      <w:bookmarkStart w:id="64492" w:name="_ETM_Q115_424765"/>
      <w:bookmarkStart w:id="64493" w:name="_ETM_Q115_424944"/>
      <w:bookmarkEnd w:id="64492"/>
      <w:bookmarkEnd w:id="64493"/>
    </w:p>
    <w:p w:rsidR="00BB59CD" w:rsidRDefault="00BB59CD" w:rsidP="00D97DED">
      <w:pPr>
        <w:rPr>
          <w:rtl/>
        </w:rPr>
      </w:pPr>
      <w:bookmarkStart w:id="64494" w:name="_ETM_Q115_425047"/>
      <w:bookmarkStart w:id="64495" w:name="_ETM_Q115_425115"/>
      <w:bookmarkEnd w:id="64494"/>
      <w:bookmarkEnd w:id="64495"/>
      <w:r>
        <w:rPr>
          <w:rFonts w:hint="cs"/>
          <w:rtl/>
        </w:rPr>
        <w:t xml:space="preserve">עכשיו, </w:t>
      </w:r>
      <w:bookmarkStart w:id="64496" w:name="_ETM_Q115_424280"/>
      <w:bookmarkEnd w:id="64496"/>
      <w:r>
        <w:rPr>
          <w:rFonts w:hint="cs"/>
          <w:rtl/>
        </w:rPr>
        <w:t xml:space="preserve">אני </w:t>
      </w:r>
      <w:bookmarkStart w:id="64497" w:name="_ETM_Q115_424459"/>
      <w:bookmarkEnd w:id="64497"/>
      <w:r>
        <w:rPr>
          <w:rFonts w:hint="cs"/>
          <w:rtl/>
        </w:rPr>
        <w:t xml:space="preserve">רוצה </w:t>
      </w:r>
      <w:bookmarkStart w:id="64498" w:name="_ETM_Q115_425599"/>
      <w:bookmarkEnd w:id="64498"/>
      <w:r>
        <w:rPr>
          <w:rFonts w:hint="cs"/>
          <w:rtl/>
        </w:rPr>
        <w:t xml:space="preserve">לומר </w:t>
      </w:r>
      <w:bookmarkStart w:id="64499" w:name="_ETM_Q115_425959"/>
      <w:bookmarkEnd w:id="64499"/>
      <w:r>
        <w:rPr>
          <w:rFonts w:hint="cs"/>
          <w:rtl/>
        </w:rPr>
        <w:t xml:space="preserve">לך, </w:t>
      </w:r>
      <w:bookmarkStart w:id="64500" w:name="_ETM_Q115_430000"/>
      <w:bookmarkEnd w:id="64500"/>
      <w:r>
        <w:rPr>
          <w:rFonts w:hint="cs"/>
          <w:rtl/>
        </w:rPr>
        <w:t xml:space="preserve">אם </w:t>
      </w:r>
      <w:bookmarkStart w:id="64501" w:name="_ETM_Q115_430150"/>
      <w:bookmarkEnd w:id="64501"/>
      <w:r>
        <w:rPr>
          <w:rFonts w:hint="cs"/>
          <w:rtl/>
        </w:rPr>
        <w:t xml:space="preserve">אתה </w:t>
      </w:r>
      <w:bookmarkStart w:id="64502" w:name="_ETM_Q115_430329"/>
      <w:bookmarkEnd w:id="64502"/>
      <w:r>
        <w:rPr>
          <w:rFonts w:hint="cs"/>
          <w:rtl/>
        </w:rPr>
        <w:t xml:space="preserve">מכיר </w:t>
      </w:r>
      <w:bookmarkStart w:id="64503" w:name="_ETM_Q115_431819"/>
      <w:bookmarkEnd w:id="64503"/>
      <w:r>
        <w:rPr>
          <w:rFonts w:hint="cs"/>
          <w:rtl/>
        </w:rPr>
        <w:t xml:space="preserve">את </w:t>
      </w:r>
      <w:bookmarkStart w:id="64504" w:name="_ETM_Q115_431939"/>
      <w:bookmarkEnd w:id="64504"/>
      <w:r>
        <w:rPr>
          <w:rFonts w:hint="cs"/>
          <w:rtl/>
        </w:rPr>
        <w:t xml:space="preserve">כל </w:t>
      </w:r>
      <w:bookmarkStart w:id="64505" w:name="_ETM_Q115_432090"/>
      <w:bookmarkEnd w:id="64505"/>
      <w:r>
        <w:rPr>
          <w:rFonts w:hint="cs"/>
          <w:rtl/>
        </w:rPr>
        <w:t xml:space="preserve">נושא </w:t>
      </w:r>
      <w:bookmarkStart w:id="64506" w:name="_ETM_Q115_432359"/>
      <w:bookmarkEnd w:id="64506"/>
      <w:r>
        <w:rPr>
          <w:rFonts w:hint="cs"/>
          <w:rtl/>
        </w:rPr>
        <w:t xml:space="preserve">המשתמטים, נכון? </w:t>
      </w:r>
      <w:bookmarkStart w:id="64507" w:name="_ETM_Q115_432790"/>
      <w:bookmarkStart w:id="64508" w:name="_ETM_Q115_433120"/>
      <w:bookmarkStart w:id="64509" w:name="_ETM_Q115_433719"/>
      <w:bookmarkEnd w:id="64507"/>
      <w:bookmarkEnd w:id="64508"/>
      <w:bookmarkEnd w:id="64509"/>
      <w:r>
        <w:rPr>
          <w:rFonts w:hint="cs"/>
          <w:rtl/>
        </w:rPr>
        <w:t xml:space="preserve">יש </w:t>
      </w:r>
      <w:bookmarkStart w:id="64510" w:name="_ETM_Q115_433900"/>
      <w:bookmarkEnd w:id="64510"/>
      <w:r>
        <w:rPr>
          <w:rFonts w:hint="cs"/>
          <w:rtl/>
        </w:rPr>
        <w:t xml:space="preserve">קטע </w:t>
      </w:r>
      <w:bookmarkStart w:id="64511" w:name="_ETM_Q115_434200"/>
      <w:bookmarkEnd w:id="64511"/>
      <w:r>
        <w:rPr>
          <w:rFonts w:hint="cs"/>
          <w:rtl/>
        </w:rPr>
        <w:t xml:space="preserve">עכשיו </w:t>
      </w:r>
      <w:bookmarkStart w:id="64512" w:name="_ETM_Q115_434590"/>
      <w:bookmarkEnd w:id="64512"/>
      <w:r>
        <w:rPr>
          <w:rFonts w:hint="cs"/>
          <w:rtl/>
        </w:rPr>
        <w:t xml:space="preserve">חדש </w:t>
      </w:r>
      <w:bookmarkStart w:id="64513" w:name="_ETM_Q115_435159"/>
      <w:bookmarkEnd w:id="64513"/>
      <w:r>
        <w:rPr>
          <w:rFonts w:hint="cs"/>
          <w:rtl/>
        </w:rPr>
        <w:t xml:space="preserve">אצלכם, </w:t>
      </w:r>
      <w:bookmarkStart w:id="64514" w:name="_ETM_Q115_436240"/>
      <w:bookmarkEnd w:id="64514"/>
      <w:r>
        <w:rPr>
          <w:rFonts w:hint="cs"/>
          <w:rtl/>
        </w:rPr>
        <w:t xml:space="preserve">כשאנחנו </w:t>
      </w:r>
      <w:bookmarkStart w:id="64515" w:name="_ETM_Q115_436630"/>
      <w:bookmarkEnd w:id="64515"/>
      <w:r>
        <w:rPr>
          <w:rFonts w:hint="cs"/>
          <w:rtl/>
        </w:rPr>
        <w:t xml:space="preserve">מדברים </w:t>
      </w:r>
      <w:bookmarkStart w:id="64516" w:name="_ETM_Q115_437050"/>
      <w:bookmarkEnd w:id="64516"/>
      <w:r>
        <w:rPr>
          <w:rFonts w:hint="cs"/>
          <w:rtl/>
        </w:rPr>
        <w:t xml:space="preserve">על </w:t>
      </w:r>
      <w:bookmarkStart w:id="64517" w:name="_ETM_Q115_437140"/>
      <w:bookmarkEnd w:id="64517"/>
      <w:r>
        <w:rPr>
          <w:rFonts w:hint="cs"/>
          <w:rtl/>
        </w:rPr>
        <w:t xml:space="preserve">משתמטים. </w:t>
      </w:r>
      <w:bookmarkStart w:id="64518" w:name="_ETM_Q115_439550"/>
      <w:bookmarkEnd w:id="64518"/>
      <w:r>
        <w:rPr>
          <w:rFonts w:hint="cs"/>
          <w:rtl/>
        </w:rPr>
        <w:t xml:space="preserve">ב-2017 </w:t>
      </w:r>
      <w:bookmarkStart w:id="64519" w:name="_ETM_Q115_441230"/>
      <w:bookmarkEnd w:id="64519"/>
      <w:r>
        <w:rPr>
          <w:rFonts w:hint="cs"/>
          <w:rtl/>
        </w:rPr>
        <w:t xml:space="preserve">נכתב </w:t>
      </w:r>
      <w:bookmarkStart w:id="64520" w:name="_ETM_Q115_442430"/>
      <w:bookmarkEnd w:id="64520"/>
      <w:r>
        <w:rPr>
          <w:rFonts w:hint="cs"/>
          <w:rtl/>
        </w:rPr>
        <w:t xml:space="preserve">מאמר שבעיניי הוא מכונן, </w:t>
      </w:r>
      <w:bookmarkStart w:id="64521" w:name="_ETM_Q115_443870"/>
      <w:bookmarkStart w:id="64522" w:name="_ETM_Q115_444470"/>
      <w:bookmarkStart w:id="64523" w:name="_ETM_Q115_446889"/>
      <w:bookmarkStart w:id="64524" w:name="_ETM_Q115_447790"/>
      <w:bookmarkEnd w:id="64521"/>
      <w:bookmarkEnd w:id="64522"/>
      <w:bookmarkEnd w:id="64523"/>
      <w:bookmarkEnd w:id="64524"/>
      <w:r>
        <w:rPr>
          <w:rFonts w:hint="cs"/>
          <w:rtl/>
        </w:rPr>
        <w:t xml:space="preserve">שכותרתו: </w:t>
      </w:r>
      <w:bookmarkStart w:id="64525" w:name="_ETM_Q115_448389"/>
      <w:bookmarkEnd w:id="64525"/>
      <w:r w:rsidR="00D97DED">
        <w:rPr>
          <w:rFonts w:hint="cs"/>
          <w:rtl/>
        </w:rPr>
        <w:t>"</w:t>
      </w:r>
      <w:r>
        <w:rPr>
          <w:rFonts w:hint="cs"/>
          <w:rtl/>
        </w:rPr>
        <w:t xml:space="preserve">מצילים </w:t>
      </w:r>
      <w:bookmarkStart w:id="64526" w:name="_ETM_Q115_448870"/>
      <w:bookmarkEnd w:id="64526"/>
      <w:r>
        <w:rPr>
          <w:rFonts w:hint="cs"/>
          <w:rtl/>
        </w:rPr>
        <w:t xml:space="preserve">את </w:t>
      </w:r>
      <w:bookmarkStart w:id="64527" w:name="_ETM_Q115_448960"/>
      <w:bookmarkEnd w:id="64527"/>
      <w:r>
        <w:rPr>
          <w:rFonts w:hint="cs"/>
          <w:rtl/>
        </w:rPr>
        <w:t>צה</w:t>
      </w:r>
      <w:r w:rsidR="00D97DED">
        <w:rPr>
          <w:rFonts w:hint="cs"/>
          <w:rtl/>
        </w:rPr>
        <w:t xml:space="preserve">"ל </w:t>
      </w:r>
      <w:r w:rsidR="00D97DED">
        <w:rPr>
          <w:rtl/>
        </w:rPr>
        <w:t>–</w:t>
      </w:r>
      <w:r w:rsidR="00D97DED">
        <w:rPr>
          <w:rFonts w:hint="cs"/>
          <w:rtl/>
        </w:rPr>
        <w:t xml:space="preserve"> </w:t>
      </w:r>
      <w:bookmarkStart w:id="64528" w:name="_ETM_Q115_449290"/>
      <w:bookmarkEnd w:id="64528"/>
      <w:r>
        <w:rPr>
          <w:rFonts w:hint="cs"/>
          <w:rtl/>
        </w:rPr>
        <w:t xml:space="preserve">לא </w:t>
      </w:r>
      <w:bookmarkStart w:id="64529" w:name="_ETM_Q115_449410"/>
      <w:bookmarkEnd w:id="64529"/>
      <w:r>
        <w:rPr>
          <w:rFonts w:hint="cs"/>
          <w:rtl/>
        </w:rPr>
        <w:t>מתגייסים</w:t>
      </w:r>
      <w:r w:rsidR="00D97DED">
        <w:rPr>
          <w:rFonts w:hint="cs"/>
          <w:rtl/>
        </w:rPr>
        <w:t>"</w:t>
      </w:r>
      <w:r>
        <w:rPr>
          <w:rFonts w:hint="cs"/>
          <w:rtl/>
        </w:rPr>
        <w:t xml:space="preserve">. </w:t>
      </w:r>
      <w:bookmarkStart w:id="64530" w:name="_ETM_Q115_450070"/>
      <w:bookmarkEnd w:id="64530"/>
      <w:r>
        <w:rPr>
          <w:rFonts w:hint="cs"/>
          <w:rtl/>
        </w:rPr>
        <w:t xml:space="preserve">מכיר? </w:t>
      </w:r>
      <w:bookmarkStart w:id="64531" w:name="_ETM_Q115_452490"/>
      <w:bookmarkEnd w:id="64531"/>
      <w:r>
        <w:rPr>
          <w:rFonts w:hint="cs"/>
          <w:rtl/>
        </w:rPr>
        <w:t xml:space="preserve">אני </w:t>
      </w:r>
      <w:bookmarkStart w:id="64532" w:name="_ETM_Q115_452699"/>
      <w:bookmarkEnd w:id="64532"/>
      <w:r>
        <w:rPr>
          <w:rFonts w:hint="cs"/>
          <w:rtl/>
        </w:rPr>
        <w:t xml:space="preserve">לא </w:t>
      </w:r>
      <w:bookmarkStart w:id="64533" w:name="_ETM_Q115_452790"/>
      <w:bookmarkEnd w:id="64533"/>
      <w:r>
        <w:rPr>
          <w:rFonts w:hint="cs"/>
          <w:rtl/>
        </w:rPr>
        <w:t xml:space="preserve">אגיד </w:t>
      </w:r>
      <w:bookmarkStart w:id="64534" w:name="_ETM_Q115_452970"/>
      <w:bookmarkEnd w:id="64534"/>
      <w:r>
        <w:rPr>
          <w:rFonts w:hint="cs"/>
          <w:rtl/>
        </w:rPr>
        <w:t xml:space="preserve">לך </w:t>
      </w:r>
      <w:bookmarkStart w:id="64535" w:name="_ETM_Q115_453089"/>
      <w:bookmarkEnd w:id="64535"/>
      <w:r>
        <w:rPr>
          <w:rFonts w:hint="cs"/>
          <w:rtl/>
        </w:rPr>
        <w:t xml:space="preserve">מי </w:t>
      </w:r>
      <w:bookmarkStart w:id="64536" w:name="_ETM_Q115_453210"/>
      <w:bookmarkEnd w:id="64536"/>
      <w:r>
        <w:rPr>
          <w:rFonts w:hint="cs"/>
          <w:rtl/>
        </w:rPr>
        <w:t xml:space="preserve">כתב </w:t>
      </w:r>
      <w:bookmarkStart w:id="64537" w:name="_ETM_Q115_453479"/>
      <w:bookmarkEnd w:id="64537"/>
      <w:r>
        <w:rPr>
          <w:rFonts w:hint="cs"/>
          <w:rtl/>
        </w:rPr>
        <w:t xml:space="preserve">אותו, </w:t>
      </w:r>
      <w:bookmarkStart w:id="64538" w:name="_ETM_Q115_456840"/>
      <w:bookmarkEnd w:id="64538"/>
      <w:r>
        <w:rPr>
          <w:rFonts w:hint="cs"/>
          <w:rtl/>
        </w:rPr>
        <w:t xml:space="preserve">למרות שאם תסתכל במסך, </w:t>
      </w:r>
      <w:bookmarkStart w:id="64539" w:name="_ETM_Q115_454100"/>
      <w:bookmarkStart w:id="64540" w:name="_ETM_Q115_454310"/>
      <w:bookmarkStart w:id="64541" w:name="_ETM_Q115_454460"/>
      <w:bookmarkStart w:id="64542" w:name="_ETM_Q115_454880"/>
      <w:bookmarkStart w:id="64543" w:name="_ETM_Q115_455270"/>
      <w:bookmarkEnd w:id="64539"/>
      <w:bookmarkEnd w:id="64540"/>
      <w:bookmarkEnd w:id="64541"/>
      <w:bookmarkEnd w:id="64542"/>
      <w:bookmarkEnd w:id="64543"/>
      <w:r>
        <w:rPr>
          <w:rFonts w:hint="cs"/>
          <w:rtl/>
        </w:rPr>
        <w:t xml:space="preserve">אני </w:t>
      </w:r>
      <w:bookmarkStart w:id="64544" w:name="_ETM_Q115_455420"/>
      <w:bookmarkEnd w:id="64544"/>
      <w:r>
        <w:rPr>
          <w:rFonts w:hint="cs"/>
          <w:rtl/>
        </w:rPr>
        <w:t xml:space="preserve">מניח </w:t>
      </w:r>
      <w:bookmarkStart w:id="64545" w:name="_ETM_Q115_455660"/>
      <w:bookmarkEnd w:id="64545"/>
      <w:r>
        <w:rPr>
          <w:rFonts w:hint="cs"/>
          <w:rtl/>
        </w:rPr>
        <w:t xml:space="preserve">שאתה </w:t>
      </w:r>
      <w:bookmarkStart w:id="64546" w:name="_ETM_Q115_455839"/>
      <w:bookmarkEnd w:id="64546"/>
      <w:r>
        <w:rPr>
          <w:rFonts w:hint="cs"/>
          <w:rtl/>
        </w:rPr>
        <w:t>תראה, ה</w:t>
      </w:r>
      <w:bookmarkStart w:id="64547" w:name="_ETM_Q115_456839"/>
      <w:bookmarkEnd w:id="64547"/>
      <w:r>
        <w:rPr>
          <w:rFonts w:hint="cs"/>
          <w:rtl/>
        </w:rPr>
        <w:t xml:space="preserve">תמונה </w:t>
      </w:r>
      <w:bookmarkStart w:id="64548" w:name="_ETM_Q115_457140"/>
      <w:bookmarkEnd w:id="64548"/>
      <w:r>
        <w:rPr>
          <w:rFonts w:hint="cs"/>
          <w:rtl/>
        </w:rPr>
        <w:t xml:space="preserve">שלו </w:t>
      </w:r>
      <w:bookmarkStart w:id="64549" w:name="_ETM_Q115_457380"/>
      <w:bookmarkEnd w:id="64549"/>
      <w:r>
        <w:rPr>
          <w:rFonts w:hint="cs"/>
          <w:rtl/>
        </w:rPr>
        <w:t xml:space="preserve">מאוד </w:t>
      </w:r>
      <w:bookmarkStart w:id="64550" w:name="_ETM_Q115_457589"/>
      <w:bookmarkEnd w:id="64550"/>
      <w:r>
        <w:rPr>
          <w:rFonts w:hint="cs"/>
          <w:rtl/>
        </w:rPr>
        <w:t xml:space="preserve">יפה. </w:t>
      </w:r>
      <w:bookmarkStart w:id="64551" w:name="_ETM_Q115_458160"/>
      <w:bookmarkStart w:id="64552" w:name="_ETM_Q115_463684"/>
      <w:bookmarkStart w:id="64553" w:name="_ETM_Q115_463768"/>
      <w:bookmarkStart w:id="64554" w:name="_ETM_Q115_463827"/>
      <w:bookmarkStart w:id="64555" w:name="_ETM_Q115_463894"/>
      <w:bookmarkEnd w:id="64551"/>
      <w:bookmarkEnd w:id="64552"/>
      <w:bookmarkEnd w:id="64553"/>
      <w:bookmarkEnd w:id="64554"/>
      <w:bookmarkEnd w:id="64555"/>
      <w:r>
        <w:rPr>
          <w:rFonts w:hint="cs"/>
          <w:rtl/>
        </w:rPr>
        <w:t>"חייבים להציל את הצבא מציפורני הפוסט-מודרניזם הקיצוני. הדרך לעצור את הטרור של ארגוני המגדר על הצבא היא יצירת לחץ נגדי: הנוער הדתי ידלג על מחזורי הגיוס עד שיתאפשר לו שירות בתנאים הולמים</w:t>
      </w:r>
      <w:bookmarkStart w:id="64556" w:name="_ETM_Q115_477228"/>
      <w:bookmarkStart w:id="64557" w:name="_ETM_Q115_477396"/>
      <w:bookmarkStart w:id="64558" w:name="_ETM_Q115_477474"/>
      <w:bookmarkStart w:id="64559" w:name="_ETM_Q115_477625"/>
      <w:bookmarkStart w:id="64560" w:name="_ETM_Q115_476550"/>
      <w:bookmarkEnd w:id="64556"/>
      <w:bookmarkEnd w:id="64557"/>
      <w:bookmarkEnd w:id="64558"/>
      <w:bookmarkEnd w:id="64559"/>
      <w:bookmarkEnd w:id="64560"/>
      <w:r>
        <w:rPr>
          <w:rFonts w:hint="cs"/>
          <w:rtl/>
        </w:rPr>
        <w:t xml:space="preserve"> - - - ראשית </w:t>
      </w:r>
      <w:bookmarkStart w:id="64561" w:name="_ETM_Q115_477029"/>
      <w:bookmarkEnd w:id="64561"/>
      <w:r>
        <w:rPr>
          <w:rFonts w:hint="cs"/>
          <w:rtl/>
        </w:rPr>
        <w:t xml:space="preserve">צמיחת </w:t>
      </w:r>
      <w:bookmarkStart w:id="64562" w:name="_ETM_Q115_477509"/>
      <w:bookmarkEnd w:id="64562"/>
      <w:r>
        <w:rPr>
          <w:rFonts w:hint="cs"/>
          <w:rtl/>
        </w:rPr>
        <w:t xml:space="preserve">גאולתנו </w:t>
      </w:r>
      <w:r>
        <w:t>–</w:t>
      </w:r>
      <w:bookmarkStart w:id="64563" w:name="_ETM_Q115_478169"/>
      <w:bookmarkEnd w:id="64563"/>
      <w:r>
        <w:rPr>
          <w:rtl/>
        </w:rPr>
        <w:t xml:space="preserve"> </w:t>
      </w:r>
      <w:r>
        <w:rPr>
          <w:rFonts w:hint="cs"/>
          <w:rtl/>
        </w:rPr>
        <w:t xml:space="preserve">המסר הזה חשוב מאוד לדורנו כדי לבנות נכון את היחס שלנו לכל מה שסובב אותנו בתהליך הגאולה שאנו זוכים להיות חלק ממנו". </w:t>
      </w:r>
      <w:bookmarkStart w:id="64564" w:name="_ETM_Q115_485120"/>
      <w:bookmarkStart w:id="64565" w:name="_ETM_Q115_483669"/>
      <w:bookmarkStart w:id="64566" w:name="_ETM_Q115_483769"/>
      <w:bookmarkStart w:id="64567" w:name="_ETM_Q115_483803"/>
      <w:bookmarkStart w:id="64568" w:name="_ETM_Q115_483909"/>
      <w:bookmarkEnd w:id="64564"/>
      <w:bookmarkEnd w:id="64565"/>
      <w:bookmarkEnd w:id="64566"/>
      <w:bookmarkEnd w:id="64567"/>
      <w:bookmarkEnd w:id="64568"/>
      <w:r>
        <w:rPr>
          <w:rFonts w:hint="cs"/>
          <w:rtl/>
        </w:rPr>
        <w:t xml:space="preserve">אדוני </w:t>
      </w:r>
      <w:bookmarkStart w:id="64569" w:name="_ETM_Q115_485479"/>
      <w:bookmarkEnd w:id="64569"/>
      <w:r>
        <w:rPr>
          <w:rFonts w:hint="cs"/>
          <w:rtl/>
        </w:rPr>
        <w:t xml:space="preserve">השר, </w:t>
      </w:r>
      <w:bookmarkStart w:id="64570" w:name="_ETM_Q115_485750"/>
      <w:bookmarkEnd w:id="64570"/>
      <w:r>
        <w:rPr>
          <w:rFonts w:hint="cs"/>
          <w:rtl/>
        </w:rPr>
        <w:t xml:space="preserve">אם </w:t>
      </w:r>
      <w:bookmarkStart w:id="64571" w:name="_ETM_Q115_485870"/>
      <w:bookmarkEnd w:id="64571"/>
      <w:r>
        <w:rPr>
          <w:rFonts w:hint="cs"/>
          <w:rtl/>
        </w:rPr>
        <w:t xml:space="preserve">אתה </w:t>
      </w:r>
      <w:bookmarkStart w:id="64572" w:name="_ETM_Q115_486019"/>
      <w:bookmarkEnd w:id="64572"/>
      <w:r>
        <w:rPr>
          <w:rFonts w:hint="cs"/>
          <w:rtl/>
        </w:rPr>
        <w:t xml:space="preserve">רוצה </w:t>
      </w:r>
      <w:bookmarkStart w:id="64573" w:name="_ETM_Q115_486259"/>
      <w:bookmarkEnd w:id="64573"/>
      <w:r>
        <w:rPr>
          <w:rFonts w:hint="cs"/>
          <w:rtl/>
        </w:rPr>
        <w:t xml:space="preserve">להשתתף </w:t>
      </w:r>
      <w:bookmarkStart w:id="64574" w:name="_ETM_Q115_486649"/>
      <w:bookmarkEnd w:id="64574"/>
      <w:r>
        <w:rPr>
          <w:rFonts w:hint="cs"/>
          <w:rtl/>
        </w:rPr>
        <w:t xml:space="preserve">בחידון </w:t>
      </w:r>
      <w:bookmarkStart w:id="64575" w:name="_ETM_Q115_487220"/>
      <w:bookmarkEnd w:id="64575"/>
      <w:r>
        <w:rPr>
          <w:rFonts w:hint="cs"/>
          <w:rtl/>
        </w:rPr>
        <w:t xml:space="preserve">של </w:t>
      </w:r>
      <w:bookmarkStart w:id="64576" w:name="_ETM_Q115_487370"/>
      <w:bookmarkEnd w:id="64576"/>
      <w:r>
        <w:rPr>
          <w:rFonts w:hint="cs"/>
          <w:rtl/>
        </w:rPr>
        <w:t xml:space="preserve">מי </w:t>
      </w:r>
      <w:bookmarkStart w:id="64577" w:name="_ETM_Q115_487519"/>
      <w:bookmarkEnd w:id="64577"/>
      <w:r>
        <w:rPr>
          <w:rFonts w:hint="cs"/>
          <w:rtl/>
        </w:rPr>
        <w:t xml:space="preserve">שכתב </w:t>
      </w:r>
      <w:bookmarkStart w:id="64578" w:name="_ETM_Q115_487879"/>
      <w:bookmarkEnd w:id="64578"/>
      <w:r>
        <w:rPr>
          <w:rFonts w:hint="cs"/>
          <w:rtl/>
        </w:rPr>
        <w:t xml:space="preserve">את </w:t>
      </w:r>
      <w:bookmarkStart w:id="64579" w:name="_ETM_Q115_487970"/>
      <w:bookmarkEnd w:id="64579"/>
      <w:r>
        <w:rPr>
          <w:rFonts w:hint="cs"/>
          <w:rtl/>
        </w:rPr>
        <w:t xml:space="preserve">הדברים </w:t>
      </w:r>
      <w:bookmarkStart w:id="64580" w:name="_ETM_Q115_488330"/>
      <w:bookmarkEnd w:id="64580"/>
      <w:r>
        <w:rPr>
          <w:rFonts w:hint="cs"/>
          <w:rtl/>
        </w:rPr>
        <w:t xml:space="preserve">האלה, </w:t>
      </w:r>
      <w:bookmarkStart w:id="64581" w:name="_ETM_Q115_488599"/>
      <w:bookmarkEnd w:id="64581"/>
      <w:r>
        <w:rPr>
          <w:rFonts w:hint="cs"/>
          <w:rtl/>
        </w:rPr>
        <w:t xml:space="preserve">אני </w:t>
      </w:r>
      <w:bookmarkStart w:id="64582" w:name="_ETM_Q115_488750"/>
      <w:bookmarkEnd w:id="64582"/>
      <w:r>
        <w:rPr>
          <w:rFonts w:hint="cs"/>
          <w:rtl/>
        </w:rPr>
        <w:t xml:space="preserve">אשמח. </w:t>
      </w:r>
      <w:bookmarkStart w:id="64583" w:name="_ETM_Q115_489629"/>
      <w:bookmarkEnd w:id="64583"/>
      <w:r>
        <w:rPr>
          <w:rFonts w:hint="cs"/>
          <w:rtl/>
        </w:rPr>
        <w:t xml:space="preserve">ככה, </w:t>
      </w:r>
      <w:bookmarkStart w:id="64584" w:name="_ETM_Q115_489929"/>
      <w:bookmarkEnd w:id="64584"/>
      <w:r>
        <w:rPr>
          <w:rFonts w:hint="cs"/>
          <w:rtl/>
        </w:rPr>
        <w:t xml:space="preserve">אם </w:t>
      </w:r>
      <w:bookmarkStart w:id="64585" w:name="_ETM_Q115_490440"/>
      <w:bookmarkEnd w:id="64585"/>
      <w:r>
        <w:rPr>
          <w:rFonts w:hint="cs"/>
          <w:rtl/>
        </w:rPr>
        <w:t xml:space="preserve">יש </w:t>
      </w:r>
      <w:bookmarkStart w:id="64586" w:name="_ETM_Q115_490620"/>
      <w:bookmarkEnd w:id="64586"/>
      <w:r>
        <w:rPr>
          <w:rFonts w:hint="cs"/>
          <w:rtl/>
        </w:rPr>
        <w:t xml:space="preserve">לך </w:t>
      </w:r>
      <w:bookmarkStart w:id="64587" w:name="_ETM_Q115_491070"/>
      <w:bookmarkEnd w:id="64587"/>
      <w:r>
        <w:rPr>
          <w:rFonts w:hint="cs"/>
          <w:rtl/>
        </w:rPr>
        <w:t xml:space="preserve">שתי </w:t>
      </w:r>
      <w:bookmarkStart w:id="64588" w:name="_ETM_Q115_491309"/>
      <w:bookmarkEnd w:id="64588"/>
      <w:r>
        <w:rPr>
          <w:rFonts w:hint="cs"/>
          <w:rtl/>
        </w:rPr>
        <w:t xml:space="preserve">דקות </w:t>
      </w:r>
      <w:bookmarkStart w:id="64589" w:name="_ETM_Q115_491639"/>
      <w:bookmarkEnd w:id="64589"/>
      <w:r>
        <w:rPr>
          <w:rFonts w:hint="cs"/>
          <w:rtl/>
        </w:rPr>
        <w:t xml:space="preserve">קשב: </w:t>
      </w:r>
      <w:bookmarkStart w:id="64590" w:name="_ETM_Q115_492460"/>
      <w:bookmarkEnd w:id="64590"/>
      <w:r>
        <w:rPr>
          <w:rFonts w:hint="cs"/>
          <w:rtl/>
        </w:rPr>
        <w:t>"מדינת ישראל יונקת את תוקפה וקדושתה מתוקף היותה ראשית צמיחת גאולתנו. צה"ל הוא צבא קודשנו, והשירות הצבאי הוא ערך, ולא רק צורך והכרח, מפני שזו מצווה גדולה של עזרת ישראל מיד צר, ונדבך מרכזי בכינון העצמאות המדינית שלנו. לא כי זה 'קוּל' ולא כי זה כיף, ואפילו לא כי זה שליחות או אתגר, אלא פשוט כי זה רצון השם".</w:t>
      </w:r>
    </w:p>
    <w:p w:rsidR="00BB59CD" w:rsidRDefault="00BB59CD" w:rsidP="00BB59CD">
      <w:pPr>
        <w:rPr>
          <w:rtl/>
        </w:rPr>
      </w:pPr>
      <w:bookmarkStart w:id="64591" w:name="_ETM_Q115_533905"/>
      <w:bookmarkStart w:id="64592" w:name="_ETM_Q115_534035"/>
      <w:bookmarkStart w:id="64593" w:name="_ETM_Q115_534064"/>
      <w:bookmarkEnd w:id="64591"/>
      <w:bookmarkEnd w:id="64592"/>
      <w:bookmarkEnd w:id="64593"/>
    </w:p>
    <w:p w:rsidR="00BB59CD" w:rsidRDefault="00BB59CD" w:rsidP="00312A77">
      <w:pPr>
        <w:rPr>
          <w:rtl/>
        </w:rPr>
      </w:pPr>
      <w:bookmarkStart w:id="64594" w:name="_ETM_Q115_534178"/>
      <w:bookmarkStart w:id="64595" w:name="_ETM_Q115_533190"/>
      <w:bookmarkEnd w:id="64594"/>
      <w:bookmarkEnd w:id="64595"/>
      <w:r>
        <w:rPr>
          <w:rFonts w:hint="cs"/>
          <w:rtl/>
        </w:rPr>
        <w:t xml:space="preserve">מה </w:t>
      </w:r>
      <w:bookmarkStart w:id="64596" w:name="_ETM_Q115_533400"/>
      <w:bookmarkEnd w:id="64596"/>
      <w:r>
        <w:rPr>
          <w:rFonts w:hint="cs"/>
          <w:rtl/>
        </w:rPr>
        <w:t xml:space="preserve">אתה </w:t>
      </w:r>
      <w:bookmarkStart w:id="64597" w:name="_ETM_Q115_533580"/>
      <w:bookmarkEnd w:id="64597"/>
      <w:r>
        <w:rPr>
          <w:rFonts w:hint="cs"/>
          <w:rtl/>
        </w:rPr>
        <w:t xml:space="preserve">אומר? </w:t>
      </w:r>
      <w:bookmarkStart w:id="64598" w:name="_ETM_Q115_534550"/>
      <w:bookmarkEnd w:id="64598"/>
      <w:r>
        <w:rPr>
          <w:rFonts w:hint="cs"/>
          <w:rtl/>
        </w:rPr>
        <w:t xml:space="preserve">מי </w:t>
      </w:r>
      <w:bookmarkStart w:id="64599" w:name="_ETM_Q115_535149"/>
      <w:bookmarkStart w:id="64600" w:name="_ETM_Q115_535510"/>
      <w:bookmarkStart w:id="64601" w:name="_ETM_Q115_535779"/>
      <w:bookmarkEnd w:id="64599"/>
      <w:bookmarkEnd w:id="64600"/>
      <w:bookmarkEnd w:id="64601"/>
      <w:r>
        <w:rPr>
          <w:rFonts w:hint="cs"/>
          <w:rtl/>
        </w:rPr>
        <w:t xml:space="preserve">אתה </w:t>
      </w:r>
      <w:bookmarkStart w:id="64602" w:name="_ETM_Q115_535929"/>
      <w:bookmarkEnd w:id="64602"/>
      <w:r>
        <w:rPr>
          <w:rFonts w:hint="cs"/>
          <w:rtl/>
        </w:rPr>
        <w:t xml:space="preserve">חושב </w:t>
      </w:r>
      <w:bookmarkStart w:id="64603" w:name="_ETM_Q115_536109"/>
      <w:bookmarkEnd w:id="64603"/>
      <w:r>
        <w:rPr>
          <w:rFonts w:hint="cs"/>
          <w:rtl/>
        </w:rPr>
        <w:t xml:space="preserve">שכתב </w:t>
      </w:r>
      <w:bookmarkStart w:id="64604" w:name="_ETM_Q115_536710"/>
      <w:bookmarkEnd w:id="64604"/>
      <w:r>
        <w:rPr>
          <w:rFonts w:hint="cs"/>
          <w:rtl/>
        </w:rPr>
        <w:t xml:space="preserve">את </w:t>
      </w:r>
      <w:bookmarkStart w:id="64605" w:name="_ETM_Q115_536800"/>
      <w:bookmarkEnd w:id="64605"/>
      <w:r>
        <w:rPr>
          <w:rFonts w:hint="cs"/>
          <w:rtl/>
        </w:rPr>
        <w:t xml:space="preserve">זה? </w:t>
      </w:r>
      <w:bookmarkStart w:id="64606" w:name="_ETM_Q115_537449"/>
      <w:bookmarkEnd w:id="64606"/>
      <w:r>
        <w:rPr>
          <w:rFonts w:hint="cs"/>
          <w:rtl/>
        </w:rPr>
        <w:t xml:space="preserve">אהוד </w:t>
      </w:r>
      <w:bookmarkStart w:id="64607" w:name="_ETM_Q115_537749"/>
      <w:bookmarkEnd w:id="64607"/>
      <w:r>
        <w:rPr>
          <w:rFonts w:hint="cs"/>
          <w:rtl/>
        </w:rPr>
        <w:t xml:space="preserve">ברק </w:t>
      </w:r>
      <w:bookmarkStart w:id="64608" w:name="_ETM_Q115_538079"/>
      <w:bookmarkEnd w:id="64608"/>
      <w:r>
        <w:rPr>
          <w:rFonts w:hint="cs"/>
          <w:rtl/>
        </w:rPr>
        <w:t>אולי</w:t>
      </w:r>
      <w:r w:rsidR="00312A77">
        <w:rPr>
          <w:rFonts w:hint="cs"/>
          <w:rtl/>
        </w:rPr>
        <w:t>,</w:t>
      </w:r>
      <w:r>
        <w:rPr>
          <w:rFonts w:hint="cs"/>
          <w:rtl/>
        </w:rPr>
        <w:t xml:space="preserve"> </w:t>
      </w:r>
      <w:bookmarkStart w:id="64609" w:name="_ETM_Q115_540440"/>
      <w:bookmarkEnd w:id="64609"/>
      <w:r>
        <w:rPr>
          <w:rFonts w:hint="cs"/>
          <w:rtl/>
        </w:rPr>
        <w:t xml:space="preserve">שיש </w:t>
      </w:r>
      <w:bookmarkStart w:id="64610" w:name="_ETM_Q115_540800"/>
      <w:bookmarkEnd w:id="64610"/>
      <w:r>
        <w:rPr>
          <w:rFonts w:hint="cs"/>
          <w:rtl/>
        </w:rPr>
        <w:t xml:space="preserve">איזה </w:t>
      </w:r>
      <w:bookmarkStart w:id="64611" w:name="_ETM_Q115_541160"/>
      <w:bookmarkEnd w:id="64611"/>
      <w:r>
        <w:rPr>
          <w:rFonts w:hint="cs"/>
          <w:rtl/>
        </w:rPr>
        <w:t xml:space="preserve">סטיגמה </w:t>
      </w:r>
      <w:bookmarkStart w:id="64612" w:name="_ETM_Q115_541640"/>
      <w:bookmarkEnd w:id="64612"/>
      <w:r>
        <w:rPr>
          <w:rFonts w:hint="cs"/>
          <w:rtl/>
        </w:rPr>
        <w:t xml:space="preserve">כאילו </w:t>
      </w:r>
      <w:bookmarkStart w:id="64613" w:name="_ETM_Q115_541910"/>
      <w:bookmarkEnd w:id="64613"/>
      <w:r w:rsidR="00312A77">
        <w:rPr>
          <w:rFonts w:hint="cs"/>
          <w:rtl/>
        </w:rPr>
        <w:t xml:space="preserve">הוא </w:t>
      </w:r>
      <w:r>
        <w:rPr>
          <w:rFonts w:hint="cs"/>
          <w:rtl/>
        </w:rPr>
        <w:t xml:space="preserve">קורא </w:t>
      </w:r>
      <w:bookmarkStart w:id="64614" w:name="_ETM_Q115_542240"/>
      <w:bookmarkEnd w:id="64614"/>
      <w:r>
        <w:rPr>
          <w:rFonts w:hint="cs"/>
          <w:rtl/>
        </w:rPr>
        <w:t>להשתמטות</w:t>
      </w:r>
      <w:r w:rsidR="00312A77">
        <w:rPr>
          <w:rFonts w:hint="cs"/>
          <w:rtl/>
        </w:rPr>
        <w:t>?</w:t>
      </w:r>
      <w:r>
        <w:rPr>
          <w:rFonts w:hint="cs"/>
          <w:rtl/>
        </w:rPr>
        <w:t xml:space="preserve"> </w:t>
      </w:r>
      <w:bookmarkStart w:id="64615" w:name="_ETM_Q115_543110"/>
      <w:bookmarkStart w:id="64616" w:name="_ETM_Q115_543730"/>
      <w:bookmarkStart w:id="64617" w:name="_ETM_Q115_544330"/>
      <w:bookmarkEnd w:id="64615"/>
      <w:bookmarkEnd w:id="64616"/>
      <w:bookmarkEnd w:id="64617"/>
      <w:r>
        <w:rPr>
          <w:rFonts w:hint="cs"/>
          <w:rtl/>
        </w:rPr>
        <w:t xml:space="preserve">אתה יודע מי </w:t>
      </w:r>
      <w:bookmarkStart w:id="64618" w:name="_ETM_Q115_544479"/>
      <w:bookmarkEnd w:id="64618"/>
      <w:r>
        <w:rPr>
          <w:rFonts w:hint="cs"/>
          <w:rtl/>
        </w:rPr>
        <w:t xml:space="preserve">כתב </w:t>
      </w:r>
      <w:bookmarkStart w:id="64619" w:name="_ETM_Q115_544779"/>
      <w:bookmarkEnd w:id="64619"/>
      <w:r>
        <w:rPr>
          <w:rFonts w:hint="cs"/>
          <w:rtl/>
        </w:rPr>
        <w:t xml:space="preserve">את </w:t>
      </w:r>
      <w:bookmarkStart w:id="64620" w:name="_ETM_Q115_544900"/>
      <w:bookmarkEnd w:id="64620"/>
      <w:r>
        <w:rPr>
          <w:rFonts w:hint="cs"/>
          <w:rtl/>
        </w:rPr>
        <w:t xml:space="preserve">זה? ניחוש קל. אתה רוצה שאני </w:t>
      </w:r>
      <w:bookmarkStart w:id="64621" w:name="_ETM_Q115_547956"/>
      <w:bookmarkEnd w:id="64621"/>
      <w:r>
        <w:rPr>
          <w:rFonts w:hint="cs"/>
          <w:rtl/>
        </w:rPr>
        <w:t>אגיד רמז? מתחיל בסמ"ך, ממשיך במ"ם, ו</w:t>
      </w:r>
      <w:r w:rsidR="00312A77">
        <w:rPr>
          <w:rFonts w:hint="cs"/>
          <w:rtl/>
        </w:rPr>
        <w:t>י</w:t>
      </w:r>
      <w:r>
        <w:rPr>
          <w:rFonts w:hint="cs"/>
          <w:rtl/>
        </w:rPr>
        <w:t xml:space="preserve">"ו – סתם, </w:t>
      </w:r>
      <w:bookmarkStart w:id="64622" w:name="_ETM_Q115_547140"/>
      <w:bookmarkStart w:id="64623" w:name="_ETM_Q115_548409"/>
      <w:bookmarkStart w:id="64624" w:name="_ETM_Q115_548649"/>
      <w:bookmarkStart w:id="64625" w:name="_ETM_Q115_548829"/>
      <w:bookmarkStart w:id="64626" w:name="_ETM_Q115_549430"/>
      <w:bookmarkStart w:id="64627" w:name="_ETM_Q115_550100"/>
      <w:bookmarkStart w:id="64628" w:name="_ETM_Q115_550549"/>
      <w:bookmarkStart w:id="64629" w:name="_ETM_Q115_552130"/>
      <w:bookmarkStart w:id="64630" w:name="_ETM_Q115_552550"/>
      <w:bookmarkStart w:id="64631" w:name="_ETM_Q115_556050"/>
      <w:bookmarkEnd w:id="64622"/>
      <w:bookmarkEnd w:id="64623"/>
      <w:bookmarkEnd w:id="64624"/>
      <w:bookmarkEnd w:id="64625"/>
      <w:bookmarkEnd w:id="64626"/>
      <w:bookmarkEnd w:id="64627"/>
      <w:bookmarkEnd w:id="64628"/>
      <w:bookmarkEnd w:id="64629"/>
      <w:bookmarkEnd w:id="64630"/>
      <w:bookmarkEnd w:id="64631"/>
      <w:r>
        <w:rPr>
          <w:rFonts w:hint="cs"/>
          <w:rtl/>
        </w:rPr>
        <w:t xml:space="preserve">סמוטריץ'. </w:t>
      </w:r>
      <w:bookmarkStart w:id="64632" w:name="_ETM_Q115_558270"/>
      <w:bookmarkEnd w:id="64632"/>
      <w:r>
        <w:rPr>
          <w:rFonts w:hint="cs"/>
          <w:rtl/>
        </w:rPr>
        <w:t xml:space="preserve">עכשיו, </w:t>
      </w:r>
      <w:bookmarkStart w:id="64633" w:name="_ETM_Q115_558480"/>
      <w:bookmarkEnd w:id="64633"/>
      <w:r>
        <w:rPr>
          <w:rFonts w:hint="cs"/>
          <w:rtl/>
        </w:rPr>
        <w:t xml:space="preserve">סמוטריץ' </w:t>
      </w:r>
      <w:bookmarkStart w:id="64634" w:name="_ETM_Q115_559020"/>
      <w:bookmarkEnd w:id="64634"/>
      <w:r>
        <w:rPr>
          <w:rFonts w:hint="cs"/>
          <w:rtl/>
        </w:rPr>
        <w:t xml:space="preserve">כתב </w:t>
      </w:r>
      <w:bookmarkStart w:id="64635" w:name="_ETM_Q115_559350"/>
      <w:bookmarkEnd w:id="64635"/>
      <w:r>
        <w:rPr>
          <w:rFonts w:hint="cs"/>
          <w:rtl/>
        </w:rPr>
        <w:t xml:space="preserve">מאמר </w:t>
      </w:r>
      <w:bookmarkStart w:id="64636" w:name="_ETM_Q115_559710"/>
      <w:bookmarkEnd w:id="64636"/>
      <w:r>
        <w:rPr>
          <w:rFonts w:hint="cs"/>
          <w:rtl/>
        </w:rPr>
        <w:t xml:space="preserve">מאוד </w:t>
      </w:r>
      <w:bookmarkStart w:id="64637" w:name="_ETM_Q115_559950"/>
      <w:bookmarkEnd w:id="64637"/>
      <w:r>
        <w:rPr>
          <w:rFonts w:hint="cs"/>
          <w:rtl/>
        </w:rPr>
        <w:t xml:space="preserve">מנומק – </w:t>
      </w:r>
      <w:bookmarkStart w:id="64638" w:name="_ETM_Q115_560430"/>
      <w:bookmarkEnd w:id="64638"/>
      <w:r>
        <w:rPr>
          <w:rFonts w:hint="cs"/>
          <w:rtl/>
        </w:rPr>
        <w:t xml:space="preserve">אני </w:t>
      </w:r>
      <w:bookmarkStart w:id="64639" w:name="_ETM_Q115_555544"/>
      <w:bookmarkStart w:id="64640" w:name="_ETM_Q115_560850"/>
      <w:bookmarkStart w:id="64641" w:name="_ETM_Q115_561000"/>
      <w:bookmarkEnd w:id="64639"/>
      <w:bookmarkEnd w:id="64640"/>
      <w:bookmarkEnd w:id="64641"/>
      <w:r w:rsidR="00312A77">
        <w:rPr>
          <w:rFonts w:hint="cs"/>
          <w:rtl/>
        </w:rPr>
        <w:t xml:space="preserve">לא </w:t>
      </w:r>
      <w:r>
        <w:rPr>
          <w:rFonts w:hint="cs"/>
          <w:rtl/>
        </w:rPr>
        <w:t xml:space="preserve">חושב </w:t>
      </w:r>
      <w:bookmarkStart w:id="64642" w:name="_ETM_Q115_561180"/>
      <w:bookmarkEnd w:id="64642"/>
      <w:r>
        <w:rPr>
          <w:rFonts w:hint="cs"/>
          <w:rtl/>
        </w:rPr>
        <w:t xml:space="preserve">שאני </w:t>
      </w:r>
      <w:bookmarkStart w:id="64643" w:name="_ETM_Q115_561390"/>
      <w:bookmarkEnd w:id="64643"/>
      <w:r>
        <w:rPr>
          <w:rFonts w:hint="cs"/>
          <w:rtl/>
        </w:rPr>
        <w:t xml:space="preserve">יכול </w:t>
      </w:r>
      <w:bookmarkStart w:id="64644" w:name="_ETM_Q115_561870"/>
      <w:bookmarkEnd w:id="64644"/>
      <w:r>
        <w:rPr>
          <w:rFonts w:hint="cs"/>
          <w:rtl/>
        </w:rPr>
        <w:t>ל</w:t>
      </w:r>
      <w:r w:rsidR="00312A77">
        <w:rPr>
          <w:rFonts w:hint="cs"/>
          <w:rtl/>
        </w:rPr>
        <w:t>ה</w:t>
      </w:r>
      <w:r>
        <w:rPr>
          <w:rFonts w:hint="cs"/>
          <w:rtl/>
        </w:rPr>
        <w:t>שח</w:t>
      </w:r>
      <w:r w:rsidR="00312A77">
        <w:rPr>
          <w:rFonts w:hint="cs"/>
          <w:rtl/>
        </w:rPr>
        <w:t>י</w:t>
      </w:r>
      <w:r>
        <w:rPr>
          <w:rFonts w:hint="cs"/>
          <w:rtl/>
        </w:rPr>
        <w:t xml:space="preserve">ת </w:t>
      </w:r>
      <w:bookmarkStart w:id="64645" w:name="_ETM_Q115_562529"/>
      <w:bookmarkEnd w:id="64645"/>
      <w:r>
        <w:rPr>
          <w:rFonts w:hint="cs"/>
          <w:rtl/>
        </w:rPr>
        <w:t xml:space="preserve">את </w:t>
      </w:r>
      <w:bookmarkStart w:id="64646" w:name="_ETM_Q115_562650"/>
      <w:bookmarkEnd w:id="64646"/>
      <w:r>
        <w:rPr>
          <w:rFonts w:hint="cs"/>
          <w:rtl/>
        </w:rPr>
        <w:t xml:space="preserve">זמני </w:t>
      </w:r>
      <w:bookmarkStart w:id="64647" w:name="_ETM_Q115_562920"/>
      <w:bookmarkEnd w:id="64647"/>
      <w:r w:rsidR="00312A77">
        <w:rPr>
          <w:rFonts w:hint="cs"/>
          <w:rtl/>
        </w:rPr>
        <w:t>ו</w:t>
      </w:r>
      <w:r>
        <w:rPr>
          <w:rFonts w:hint="cs"/>
          <w:rtl/>
        </w:rPr>
        <w:t xml:space="preserve">להקריא </w:t>
      </w:r>
      <w:bookmarkStart w:id="64648" w:name="_ETM_Q115_563340"/>
      <w:bookmarkEnd w:id="64648"/>
      <w:r>
        <w:rPr>
          <w:rFonts w:hint="cs"/>
          <w:rtl/>
        </w:rPr>
        <w:t xml:space="preserve">את </w:t>
      </w:r>
      <w:bookmarkStart w:id="64649" w:name="_ETM_Q115_563400"/>
      <w:bookmarkEnd w:id="64649"/>
      <w:r>
        <w:rPr>
          <w:rFonts w:hint="cs"/>
          <w:rtl/>
        </w:rPr>
        <w:t xml:space="preserve">זה. </w:t>
      </w:r>
      <w:bookmarkStart w:id="64650" w:name="_ETM_Q115_563760"/>
      <w:bookmarkEnd w:id="64650"/>
      <w:r>
        <w:rPr>
          <w:rFonts w:hint="cs"/>
          <w:rtl/>
        </w:rPr>
        <w:t xml:space="preserve">הוא </w:t>
      </w:r>
      <w:bookmarkStart w:id="64651" w:name="_ETM_Q115_563880"/>
      <w:bookmarkEnd w:id="64651"/>
      <w:r>
        <w:rPr>
          <w:rFonts w:hint="cs"/>
          <w:rtl/>
        </w:rPr>
        <w:t xml:space="preserve">כתב </w:t>
      </w:r>
      <w:bookmarkStart w:id="64652" w:name="_ETM_Q115_564240"/>
      <w:bookmarkEnd w:id="64652"/>
      <w:r>
        <w:rPr>
          <w:rFonts w:hint="cs"/>
          <w:rtl/>
        </w:rPr>
        <w:t xml:space="preserve">מאמר </w:t>
      </w:r>
      <w:bookmarkStart w:id="64653" w:name="_ETM_Q115_564600"/>
      <w:bookmarkEnd w:id="64653"/>
      <w:r>
        <w:rPr>
          <w:rFonts w:hint="cs"/>
          <w:rtl/>
        </w:rPr>
        <w:t xml:space="preserve">מאוד </w:t>
      </w:r>
      <w:bookmarkStart w:id="64654" w:name="_ETM_Q115_564960"/>
      <w:bookmarkEnd w:id="64654"/>
      <w:r>
        <w:rPr>
          <w:rFonts w:hint="cs"/>
          <w:rtl/>
        </w:rPr>
        <w:t xml:space="preserve">מנומק, </w:t>
      </w:r>
      <w:bookmarkStart w:id="64655" w:name="_ETM_Q115_565410"/>
      <w:bookmarkEnd w:id="64655"/>
      <w:r>
        <w:rPr>
          <w:rFonts w:hint="cs"/>
          <w:rtl/>
        </w:rPr>
        <w:t xml:space="preserve">כפי </w:t>
      </w:r>
      <w:bookmarkStart w:id="64656" w:name="_ETM_Q115_565620"/>
      <w:bookmarkEnd w:id="64656"/>
      <w:r>
        <w:rPr>
          <w:rFonts w:hint="cs"/>
          <w:rtl/>
        </w:rPr>
        <w:t xml:space="preserve">שאתם </w:t>
      </w:r>
      <w:bookmarkStart w:id="64657" w:name="_ETM_Q115_565830"/>
      <w:bookmarkEnd w:id="64657"/>
      <w:r>
        <w:rPr>
          <w:rFonts w:hint="cs"/>
          <w:rtl/>
        </w:rPr>
        <w:t xml:space="preserve">שמים </w:t>
      </w:r>
      <w:bookmarkStart w:id="64658" w:name="_ETM_Q115_566160"/>
      <w:bookmarkEnd w:id="64658"/>
      <w:r>
        <w:rPr>
          <w:rFonts w:hint="cs"/>
          <w:rtl/>
        </w:rPr>
        <w:t xml:space="preserve">לב, על הפמיניזם הרדיקלי </w:t>
      </w:r>
      <w:bookmarkStart w:id="64659" w:name="_ETM_Q115_566950"/>
      <w:bookmarkStart w:id="64660" w:name="_ETM_Q115_567430"/>
      <w:bookmarkStart w:id="64661" w:name="_ETM_Q115_567640"/>
      <w:bookmarkStart w:id="64662" w:name="_ETM_Q115_567790"/>
      <w:bookmarkStart w:id="64663" w:name="_ETM_Q115_567970"/>
      <w:bookmarkStart w:id="64664" w:name="_ETM_Q115_568570"/>
      <w:bookmarkEnd w:id="64659"/>
      <w:bookmarkEnd w:id="64660"/>
      <w:bookmarkEnd w:id="64661"/>
      <w:bookmarkEnd w:id="64662"/>
      <w:bookmarkEnd w:id="64663"/>
      <w:bookmarkEnd w:id="64664"/>
      <w:r>
        <w:rPr>
          <w:rFonts w:hint="cs"/>
          <w:rtl/>
        </w:rPr>
        <w:t xml:space="preserve">שפושט </w:t>
      </w:r>
      <w:bookmarkStart w:id="64665" w:name="_ETM_Q115_569110"/>
      <w:bookmarkEnd w:id="64665"/>
      <w:r>
        <w:rPr>
          <w:rFonts w:hint="cs"/>
          <w:rtl/>
        </w:rPr>
        <w:t xml:space="preserve">על </w:t>
      </w:r>
      <w:bookmarkStart w:id="64666" w:name="_ETM_Q115_569560"/>
      <w:bookmarkEnd w:id="64666"/>
      <w:r>
        <w:rPr>
          <w:rFonts w:hint="cs"/>
          <w:rtl/>
        </w:rPr>
        <w:t xml:space="preserve">הצבא, </w:t>
      </w:r>
      <w:bookmarkStart w:id="64667" w:name="_ETM_Q115_570370"/>
      <w:bookmarkEnd w:id="64667"/>
      <w:r>
        <w:rPr>
          <w:rFonts w:hint="cs"/>
          <w:rtl/>
        </w:rPr>
        <w:t xml:space="preserve">ואמר </w:t>
      </w:r>
      <w:bookmarkStart w:id="64668" w:name="_ETM_Q115_571000"/>
      <w:bookmarkEnd w:id="64668"/>
      <w:r>
        <w:rPr>
          <w:rFonts w:hint="cs"/>
          <w:rtl/>
        </w:rPr>
        <w:t xml:space="preserve">שבשם </w:t>
      </w:r>
      <w:bookmarkStart w:id="64669" w:name="_ETM_Q115_571810"/>
      <w:bookmarkEnd w:id="64669"/>
      <w:r>
        <w:rPr>
          <w:rFonts w:hint="cs"/>
          <w:rtl/>
        </w:rPr>
        <w:t xml:space="preserve">עצירת </w:t>
      </w:r>
      <w:bookmarkStart w:id="64670" w:name="_ETM_Q115_572320"/>
      <w:bookmarkStart w:id="64671" w:name="_ETM_Q115_574210"/>
      <w:bookmarkEnd w:id="64670"/>
      <w:bookmarkEnd w:id="64671"/>
      <w:r>
        <w:rPr>
          <w:rFonts w:hint="cs"/>
          <w:rtl/>
        </w:rPr>
        <w:t xml:space="preserve">הפרוגרסיביות </w:t>
      </w:r>
      <w:bookmarkStart w:id="64672" w:name="_ETM_Q115_575229"/>
      <w:bookmarkEnd w:id="64672"/>
      <w:r>
        <w:rPr>
          <w:rFonts w:hint="cs"/>
          <w:rtl/>
        </w:rPr>
        <w:t xml:space="preserve">שיש </w:t>
      </w:r>
      <w:bookmarkStart w:id="64673" w:name="_ETM_Q115_575499"/>
      <w:bookmarkEnd w:id="64673"/>
      <w:r>
        <w:rPr>
          <w:rFonts w:hint="cs"/>
          <w:rtl/>
        </w:rPr>
        <w:t xml:space="preserve">בצבא </w:t>
      </w:r>
      <w:bookmarkStart w:id="64674" w:name="_ETM_Q115_575859"/>
      <w:bookmarkEnd w:id="64674"/>
      <w:r>
        <w:rPr>
          <w:rFonts w:hint="cs"/>
          <w:rtl/>
        </w:rPr>
        <w:t xml:space="preserve">ההגנה </w:t>
      </w:r>
      <w:bookmarkStart w:id="64675" w:name="_ETM_Q115_576189"/>
      <w:bookmarkEnd w:id="64675"/>
      <w:r>
        <w:rPr>
          <w:rFonts w:hint="cs"/>
          <w:rtl/>
        </w:rPr>
        <w:t xml:space="preserve">לישראל </w:t>
      </w:r>
      <w:bookmarkStart w:id="64676" w:name="_ETM_Q115_577560"/>
      <w:bookmarkEnd w:id="64676"/>
      <w:r>
        <w:rPr>
          <w:rFonts w:hint="cs"/>
          <w:rtl/>
        </w:rPr>
        <w:t xml:space="preserve">אנחנו </w:t>
      </w:r>
      <w:bookmarkStart w:id="64677" w:name="_ETM_Q115_578520"/>
      <w:bookmarkEnd w:id="64677"/>
      <w:r>
        <w:rPr>
          <w:rFonts w:hint="cs"/>
          <w:rtl/>
        </w:rPr>
        <w:t xml:space="preserve">– הוא </w:t>
      </w:r>
      <w:bookmarkStart w:id="64678" w:name="_ETM_Q115_578759"/>
      <w:bookmarkEnd w:id="64678"/>
      <w:r>
        <w:rPr>
          <w:rFonts w:hint="cs"/>
          <w:rtl/>
        </w:rPr>
        <w:t xml:space="preserve">קורא </w:t>
      </w:r>
      <w:bookmarkStart w:id="64679" w:name="_ETM_Q115_579210"/>
      <w:bookmarkEnd w:id="64679"/>
      <w:r>
        <w:rPr>
          <w:rFonts w:hint="cs"/>
          <w:rtl/>
        </w:rPr>
        <w:t>להשתמטות</w:t>
      </w:r>
      <w:r w:rsidR="00312A77">
        <w:rPr>
          <w:rFonts w:hint="cs"/>
          <w:rtl/>
        </w:rPr>
        <w:t>.</w:t>
      </w:r>
      <w:r>
        <w:rPr>
          <w:rFonts w:hint="cs"/>
          <w:rtl/>
        </w:rPr>
        <w:t xml:space="preserve"> </w:t>
      </w:r>
      <w:bookmarkStart w:id="64680" w:name="_ETM_Q115_579990"/>
      <w:bookmarkEnd w:id="64680"/>
      <w:r>
        <w:rPr>
          <w:rFonts w:hint="cs"/>
          <w:rtl/>
        </w:rPr>
        <w:t>חד</w:t>
      </w:r>
      <w:bookmarkStart w:id="64681" w:name="_ETM_Q115_580229"/>
      <w:bookmarkStart w:id="64682" w:name="_ETM_Q115_584297"/>
      <w:bookmarkEnd w:id="64681"/>
      <w:bookmarkEnd w:id="64682"/>
      <w:r>
        <w:rPr>
          <w:rFonts w:hint="cs"/>
          <w:rtl/>
        </w:rPr>
        <w:t xml:space="preserve">-משמעית. </w:t>
      </w:r>
      <w:bookmarkStart w:id="64683" w:name="_ETM_Q115_580799"/>
      <w:bookmarkEnd w:id="64683"/>
      <w:r>
        <w:rPr>
          <w:rFonts w:hint="cs"/>
          <w:rtl/>
        </w:rPr>
        <w:t xml:space="preserve">הוא </w:t>
      </w:r>
      <w:bookmarkStart w:id="64684" w:name="_ETM_Q115_580920"/>
      <w:bookmarkEnd w:id="64684"/>
      <w:r>
        <w:rPr>
          <w:rFonts w:hint="cs"/>
          <w:rtl/>
        </w:rPr>
        <w:t xml:space="preserve">אומר: צריך </w:t>
      </w:r>
      <w:bookmarkStart w:id="64685" w:name="_ETM_Q115_582000"/>
      <w:bookmarkEnd w:id="64685"/>
      <w:r>
        <w:rPr>
          <w:rFonts w:hint="cs"/>
          <w:rtl/>
        </w:rPr>
        <w:t xml:space="preserve">לדלג </w:t>
      </w:r>
      <w:bookmarkStart w:id="64686" w:name="_ETM_Q115_582479"/>
      <w:bookmarkEnd w:id="64686"/>
      <w:r>
        <w:rPr>
          <w:rFonts w:hint="cs"/>
          <w:rtl/>
        </w:rPr>
        <w:t xml:space="preserve">על </w:t>
      </w:r>
      <w:bookmarkStart w:id="64687" w:name="_ETM_Q115_582570"/>
      <w:bookmarkStart w:id="64688" w:name="_ETM_Q115_582869"/>
      <w:bookmarkEnd w:id="64687"/>
      <w:bookmarkEnd w:id="64688"/>
      <w:r>
        <w:rPr>
          <w:rFonts w:hint="cs"/>
          <w:rtl/>
        </w:rPr>
        <w:t xml:space="preserve">מחזורי </w:t>
      </w:r>
      <w:bookmarkStart w:id="64689" w:name="_ETM_Q115_583380"/>
      <w:bookmarkEnd w:id="64689"/>
      <w:r>
        <w:rPr>
          <w:rFonts w:hint="cs"/>
          <w:rtl/>
        </w:rPr>
        <w:t xml:space="preserve">הגיוס. </w:t>
      </w:r>
      <w:bookmarkStart w:id="64690" w:name="_ETM_Q115_585240"/>
      <w:bookmarkEnd w:id="64690"/>
      <w:r>
        <w:rPr>
          <w:rFonts w:hint="cs"/>
          <w:rtl/>
        </w:rPr>
        <w:t xml:space="preserve">האג'נדה </w:t>
      </w:r>
      <w:bookmarkStart w:id="64691" w:name="_ETM_Q115_585839"/>
      <w:bookmarkEnd w:id="64691"/>
      <w:r>
        <w:rPr>
          <w:rFonts w:hint="cs"/>
          <w:rtl/>
        </w:rPr>
        <w:t xml:space="preserve">כבשה </w:t>
      </w:r>
      <w:bookmarkStart w:id="64692" w:name="_ETM_Q115_586200"/>
      <w:bookmarkEnd w:id="64692"/>
      <w:r>
        <w:rPr>
          <w:rFonts w:hint="cs"/>
          <w:rtl/>
        </w:rPr>
        <w:t xml:space="preserve">את </w:t>
      </w:r>
      <w:bookmarkStart w:id="64693" w:name="_ETM_Q115_586319"/>
      <w:bookmarkEnd w:id="64693"/>
      <w:r>
        <w:rPr>
          <w:rFonts w:hint="cs"/>
          <w:rtl/>
        </w:rPr>
        <w:t xml:space="preserve">היעד. </w:t>
      </w:r>
      <w:bookmarkStart w:id="64694" w:name="_ETM_Q115_587069"/>
      <w:bookmarkEnd w:id="64694"/>
      <w:r>
        <w:rPr>
          <w:rFonts w:hint="cs"/>
          <w:rtl/>
        </w:rPr>
        <w:t xml:space="preserve">מוטיבציה – </w:t>
      </w:r>
      <w:bookmarkStart w:id="64695" w:name="_ETM_Q115_587969"/>
      <w:bookmarkEnd w:id="64695"/>
      <w:r>
        <w:rPr>
          <w:rFonts w:hint="cs"/>
          <w:rtl/>
        </w:rPr>
        <w:t xml:space="preserve">לא </w:t>
      </w:r>
      <w:bookmarkStart w:id="64696" w:name="_ETM_Q115_588179"/>
      <w:bookmarkEnd w:id="64696"/>
      <w:r>
        <w:rPr>
          <w:rFonts w:hint="cs"/>
          <w:rtl/>
        </w:rPr>
        <w:t xml:space="preserve">בכל </w:t>
      </w:r>
      <w:bookmarkStart w:id="64697" w:name="_ETM_Q115_588539"/>
      <w:bookmarkEnd w:id="64697"/>
      <w:r>
        <w:rPr>
          <w:rFonts w:hint="cs"/>
          <w:rtl/>
        </w:rPr>
        <w:t xml:space="preserve">תנאי. </w:t>
      </w:r>
      <w:bookmarkStart w:id="64698" w:name="_ETM_Q115_590650"/>
      <w:bookmarkEnd w:id="64698"/>
    </w:p>
    <w:p w:rsidR="00BB59CD" w:rsidRDefault="00BB59CD" w:rsidP="00BB59CD">
      <w:pPr>
        <w:rPr>
          <w:rtl/>
        </w:rPr>
      </w:pPr>
      <w:bookmarkStart w:id="64699" w:name="_ETM_Q115_591575"/>
      <w:bookmarkStart w:id="64700" w:name="_ETM_Q115_591674"/>
      <w:bookmarkEnd w:id="64699"/>
      <w:bookmarkEnd w:id="64700"/>
    </w:p>
    <w:p w:rsidR="00BB59CD" w:rsidRDefault="00BB59CD" w:rsidP="00312A77">
      <w:pPr>
        <w:rPr>
          <w:rtl/>
        </w:rPr>
      </w:pPr>
      <w:bookmarkStart w:id="64701" w:name="_ETM_Q115_591745"/>
      <w:bookmarkStart w:id="64702" w:name="_ETM_Q115_591817"/>
      <w:bookmarkEnd w:id="64701"/>
      <w:bookmarkEnd w:id="64702"/>
      <w:r>
        <w:rPr>
          <w:rFonts w:hint="cs"/>
          <w:rtl/>
        </w:rPr>
        <w:t xml:space="preserve">מה </w:t>
      </w:r>
      <w:bookmarkStart w:id="64703" w:name="_ETM_Q115_590860"/>
      <w:bookmarkEnd w:id="64703"/>
      <w:r>
        <w:rPr>
          <w:rFonts w:hint="cs"/>
          <w:rtl/>
        </w:rPr>
        <w:t xml:space="preserve">אתם </w:t>
      </w:r>
      <w:bookmarkStart w:id="64704" w:name="_ETM_Q115_591040"/>
      <w:bookmarkEnd w:id="64704"/>
      <w:r>
        <w:rPr>
          <w:rFonts w:hint="cs"/>
          <w:rtl/>
        </w:rPr>
        <w:t xml:space="preserve">אומרים </w:t>
      </w:r>
      <w:bookmarkStart w:id="64705" w:name="_ETM_Q115_591339"/>
      <w:bookmarkEnd w:id="64705"/>
      <w:r>
        <w:rPr>
          <w:rFonts w:hint="cs"/>
          <w:rtl/>
        </w:rPr>
        <w:t xml:space="preserve">על </w:t>
      </w:r>
      <w:bookmarkStart w:id="64706" w:name="_ETM_Q115_591430"/>
      <w:bookmarkEnd w:id="64706"/>
      <w:r>
        <w:rPr>
          <w:rFonts w:hint="cs"/>
          <w:rtl/>
        </w:rPr>
        <w:t xml:space="preserve">זה? </w:t>
      </w:r>
      <w:bookmarkStart w:id="64707" w:name="_ETM_Q115_591790"/>
      <w:bookmarkEnd w:id="64707"/>
      <w:r>
        <w:rPr>
          <w:rFonts w:hint="cs"/>
          <w:rtl/>
        </w:rPr>
        <w:t xml:space="preserve">מה </w:t>
      </w:r>
      <w:bookmarkStart w:id="64708" w:name="_ETM_Q115_592000"/>
      <w:bookmarkEnd w:id="64708"/>
      <w:r>
        <w:rPr>
          <w:rFonts w:hint="cs"/>
          <w:rtl/>
        </w:rPr>
        <w:t xml:space="preserve">אתה </w:t>
      </w:r>
      <w:bookmarkStart w:id="64709" w:name="_ETM_Q115_592119"/>
      <w:bookmarkEnd w:id="64709"/>
      <w:r>
        <w:rPr>
          <w:rFonts w:hint="cs"/>
          <w:rtl/>
        </w:rPr>
        <w:t xml:space="preserve">אומר </w:t>
      </w:r>
      <w:bookmarkStart w:id="64710" w:name="_ETM_Q115_592299"/>
      <w:bookmarkEnd w:id="64710"/>
      <w:r>
        <w:rPr>
          <w:rFonts w:hint="cs"/>
          <w:rtl/>
        </w:rPr>
        <w:t xml:space="preserve">על </w:t>
      </w:r>
      <w:bookmarkStart w:id="64711" w:name="_ETM_Q115_592390"/>
      <w:bookmarkEnd w:id="64711"/>
      <w:r>
        <w:rPr>
          <w:rFonts w:hint="cs"/>
          <w:rtl/>
        </w:rPr>
        <w:t xml:space="preserve">זה, </w:t>
      </w:r>
      <w:bookmarkStart w:id="64712" w:name="_ETM_Q115_592509"/>
      <w:bookmarkEnd w:id="64712"/>
      <w:r>
        <w:rPr>
          <w:rFonts w:hint="cs"/>
          <w:rtl/>
        </w:rPr>
        <w:t xml:space="preserve">אדוני </w:t>
      </w:r>
      <w:bookmarkStart w:id="64713" w:name="_ETM_Q115_592810"/>
      <w:bookmarkEnd w:id="64713"/>
      <w:r>
        <w:rPr>
          <w:rFonts w:hint="cs"/>
          <w:rtl/>
        </w:rPr>
        <w:t xml:space="preserve">היושב-ראש? </w:t>
      </w:r>
      <w:bookmarkStart w:id="64714" w:name="_ETM_Q115_593500"/>
      <w:bookmarkEnd w:id="64714"/>
      <w:r>
        <w:rPr>
          <w:rFonts w:hint="cs"/>
          <w:rtl/>
        </w:rPr>
        <w:t xml:space="preserve">"מצילים </w:t>
      </w:r>
      <w:bookmarkStart w:id="64715" w:name="_ETM_Q115_593950"/>
      <w:bookmarkEnd w:id="64715"/>
      <w:r>
        <w:rPr>
          <w:rFonts w:hint="cs"/>
          <w:rtl/>
        </w:rPr>
        <w:t xml:space="preserve">את </w:t>
      </w:r>
      <w:bookmarkStart w:id="64716" w:name="_ETM_Q115_594040"/>
      <w:bookmarkEnd w:id="64716"/>
      <w:r>
        <w:rPr>
          <w:rFonts w:hint="cs"/>
          <w:rtl/>
        </w:rPr>
        <w:t xml:space="preserve">צה"ל </w:t>
      </w:r>
      <w:bookmarkStart w:id="64717" w:name="_ETM_Q115_594339"/>
      <w:bookmarkEnd w:id="64717"/>
      <w:r w:rsidR="00312A77">
        <w:rPr>
          <w:rFonts w:hint="eastAsia"/>
          <w:rtl/>
        </w:rPr>
        <w:t>–</w:t>
      </w:r>
      <w:r w:rsidR="00312A77">
        <w:rPr>
          <w:rFonts w:hint="cs"/>
          <w:rtl/>
        </w:rPr>
        <w:t xml:space="preserve"> </w:t>
      </w:r>
      <w:r>
        <w:rPr>
          <w:rFonts w:hint="cs"/>
          <w:rtl/>
        </w:rPr>
        <w:t xml:space="preserve">לא </w:t>
      </w:r>
      <w:bookmarkStart w:id="64718" w:name="_ETM_Q115_594430"/>
      <w:bookmarkEnd w:id="64718"/>
      <w:r>
        <w:rPr>
          <w:rFonts w:hint="cs"/>
          <w:rtl/>
        </w:rPr>
        <w:t xml:space="preserve">מתגייסים". </w:t>
      </w:r>
      <w:bookmarkStart w:id="64719" w:name="_ETM_Q115_596529"/>
      <w:bookmarkEnd w:id="64719"/>
      <w:r>
        <w:rPr>
          <w:rFonts w:hint="cs"/>
          <w:rtl/>
        </w:rPr>
        <w:t xml:space="preserve">ראשית </w:t>
      </w:r>
      <w:bookmarkStart w:id="64720" w:name="_ETM_Q115_597070"/>
      <w:bookmarkEnd w:id="64720"/>
      <w:r>
        <w:rPr>
          <w:rFonts w:hint="cs"/>
          <w:rtl/>
        </w:rPr>
        <w:t xml:space="preserve">המשתמטים. </w:t>
      </w:r>
      <w:bookmarkStart w:id="64721" w:name="_ETM_Q115_599119"/>
      <w:bookmarkEnd w:id="64721"/>
      <w:r>
        <w:rPr>
          <w:rFonts w:hint="cs"/>
          <w:rtl/>
        </w:rPr>
        <w:t xml:space="preserve">הוא </w:t>
      </w:r>
      <w:bookmarkStart w:id="64722" w:name="_ETM_Q115_599479"/>
      <w:bookmarkEnd w:id="64722"/>
      <w:r>
        <w:rPr>
          <w:rFonts w:hint="cs"/>
          <w:rtl/>
        </w:rPr>
        <w:t xml:space="preserve">משתמט. </w:t>
      </w:r>
      <w:bookmarkStart w:id="64723" w:name="_ETM_Q115_601457"/>
      <w:bookmarkEnd w:id="64723"/>
      <w:r>
        <w:rPr>
          <w:rFonts w:hint="cs"/>
          <w:rtl/>
        </w:rPr>
        <w:t xml:space="preserve">זה בסדר? זה בסדר שבשם </w:t>
      </w:r>
      <w:bookmarkStart w:id="64724" w:name="_ETM_Q115_599929"/>
      <w:bookmarkStart w:id="64725" w:name="_ETM_Q115_602159"/>
      <w:bookmarkStart w:id="64726" w:name="_ETM_Q115_602399"/>
      <w:bookmarkStart w:id="64727" w:name="_ETM_Q115_603790"/>
      <w:bookmarkStart w:id="64728" w:name="_ETM_Q115_604029"/>
      <w:bookmarkStart w:id="64729" w:name="_ETM_Q115_604420"/>
      <w:bookmarkStart w:id="64730" w:name="_ETM_Q115_604870"/>
      <w:bookmarkEnd w:id="64724"/>
      <w:bookmarkEnd w:id="64725"/>
      <w:bookmarkEnd w:id="64726"/>
      <w:bookmarkEnd w:id="64727"/>
      <w:bookmarkEnd w:id="64728"/>
      <w:bookmarkEnd w:id="64729"/>
      <w:bookmarkEnd w:id="64730"/>
      <w:r>
        <w:rPr>
          <w:rFonts w:hint="cs"/>
          <w:rtl/>
        </w:rPr>
        <w:t xml:space="preserve">אמונה </w:t>
      </w:r>
      <w:bookmarkStart w:id="64731" w:name="_ETM_Q115_605229"/>
      <w:bookmarkEnd w:id="64731"/>
      <w:r>
        <w:rPr>
          <w:rFonts w:hint="cs"/>
          <w:rtl/>
        </w:rPr>
        <w:t xml:space="preserve">כזו </w:t>
      </w:r>
      <w:bookmarkStart w:id="64732" w:name="_ETM_Q115_605560"/>
      <w:bookmarkEnd w:id="64732"/>
      <w:r>
        <w:rPr>
          <w:rFonts w:hint="cs"/>
          <w:rtl/>
        </w:rPr>
        <w:t xml:space="preserve">או </w:t>
      </w:r>
      <w:bookmarkStart w:id="64733" w:name="_ETM_Q115_605620"/>
      <w:bookmarkEnd w:id="64733"/>
      <w:r>
        <w:rPr>
          <w:rFonts w:hint="cs"/>
          <w:rtl/>
        </w:rPr>
        <w:t xml:space="preserve">אחרת </w:t>
      </w:r>
      <w:bookmarkStart w:id="64734" w:name="_ETM_Q115_606400"/>
      <w:bookmarkEnd w:id="64734"/>
      <w:r>
        <w:rPr>
          <w:rFonts w:hint="cs"/>
          <w:rtl/>
        </w:rPr>
        <w:t xml:space="preserve">יש </w:t>
      </w:r>
      <w:bookmarkStart w:id="64735" w:name="_ETM_Q115_606580"/>
      <w:bookmarkEnd w:id="64735"/>
      <w:r>
        <w:rPr>
          <w:rFonts w:hint="cs"/>
          <w:rtl/>
        </w:rPr>
        <w:t xml:space="preserve">קריאה </w:t>
      </w:r>
      <w:bookmarkStart w:id="64736" w:name="_ETM_Q115_606970"/>
      <w:bookmarkEnd w:id="64736"/>
      <w:r>
        <w:rPr>
          <w:rFonts w:hint="cs"/>
          <w:rtl/>
        </w:rPr>
        <w:t xml:space="preserve">להשתמטות? </w:t>
      </w:r>
      <w:bookmarkStart w:id="64737" w:name="_ETM_Q115_607540"/>
      <w:bookmarkEnd w:id="64737"/>
      <w:r>
        <w:rPr>
          <w:rFonts w:hint="cs"/>
          <w:rtl/>
        </w:rPr>
        <w:t xml:space="preserve">זה </w:t>
      </w:r>
      <w:bookmarkStart w:id="64738" w:name="_ETM_Q115_607630"/>
      <w:bookmarkEnd w:id="64738"/>
      <w:r>
        <w:rPr>
          <w:rFonts w:hint="cs"/>
          <w:rtl/>
        </w:rPr>
        <w:t xml:space="preserve">בסדר? </w:t>
      </w:r>
      <w:bookmarkStart w:id="64739" w:name="_ETM_Q115_608710"/>
      <w:bookmarkEnd w:id="64739"/>
      <w:r>
        <w:rPr>
          <w:rFonts w:hint="cs"/>
          <w:rtl/>
        </w:rPr>
        <w:t>אני</w:t>
      </w:r>
      <w:bookmarkStart w:id="64740" w:name="_ETM_Q115_608920"/>
      <w:bookmarkEnd w:id="64740"/>
      <w:r>
        <w:rPr>
          <w:rFonts w:hint="cs"/>
          <w:rtl/>
        </w:rPr>
        <w:t xml:space="preserve"> </w:t>
      </w:r>
      <w:bookmarkStart w:id="64741" w:name="_ETM_Q115_609130"/>
      <w:bookmarkEnd w:id="64741"/>
      <w:r>
        <w:rPr>
          <w:rFonts w:hint="cs"/>
          <w:rtl/>
        </w:rPr>
        <w:t xml:space="preserve">רק </w:t>
      </w:r>
      <w:bookmarkStart w:id="64742" w:name="_ETM_Q115_609339"/>
      <w:bookmarkEnd w:id="64742"/>
      <w:r>
        <w:rPr>
          <w:rFonts w:hint="cs"/>
          <w:rtl/>
        </w:rPr>
        <w:t xml:space="preserve">רוצה </w:t>
      </w:r>
      <w:bookmarkStart w:id="64743" w:name="_ETM_Q115_609610"/>
      <w:bookmarkEnd w:id="64743"/>
      <w:r>
        <w:rPr>
          <w:rFonts w:hint="cs"/>
          <w:rtl/>
        </w:rPr>
        <w:t xml:space="preserve">להיות </w:t>
      </w:r>
      <w:bookmarkStart w:id="64744" w:name="_ETM_Q115_609850"/>
      <w:bookmarkEnd w:id="64744"/>
      <w:r>
        <w:rPr>
          <w:rFonts w:hint="cs"/>
          <w:rtl/>
        </w:rPr>
        <w:t xml:space="preserve">על </w:t>
      </w:r>
      <w:bookmarkStart w:id="64745" w:name="_ETM_Q115_609970"/>
      <w:bookmarkEnd w:id="64745"/>
      <w:r>
        <w:rPr>
          <w:rFonts w:hint="cs"/>
          <w:rtl/>
        </w:rPr>
        <w:t xml:space="preserve">המסר, </w:t>
      </w:r>
      <w:bookmarkStart w:id="64746" w:name="_ETM_Q115_610840"/>
      <w:bookmarkEnd w:id="64746"/>
      <w:r>
        <w:rPr>
          <w:rFonts w:hint="cs"/>
          <w:rtl/>
        </w:rPr>
        <w:t xml:space="preserve">כי </w:t>
      </w:r>
      <w:bookmarkStart w:id="64747" w:name="_ETM_Q115_611320"/>
      <w:bookmarkEnd w:id="64747"/>
      <w:r>
        <w:rPr>
          <w:rFonts w:hint="cs"/>
          <w:rtl/>
        </w:rPr>
        <w:t xml:space="preserve">אם </w:t>
      </w:r>
      <w:bookmarkStart w:id="64748" w:name="_ETM_Q115_611410"/>
      <w:bookmarkEnd w:id="64748"/>
      <w:r>
        <w:rPr>
          <w:rFonts w:hint="cs"/>
          <w:rtl/>
        </w:rPr>
        <w:t xml:space="preserve">יש </w:t>
      </w:r>
      <w:bookmarkStart w:id="64749" w:name="_ETM_Q115_611680"/>
      <w:bookmarkEnd w:id="64749"/>
      <w:r>
        <w:rPr>
          <w:rFonts w:hint="cs"/>
          <w:rtl/>
        </w:rPr>
        <w:t xml:space="preserve">קווים </w:t>
      </w:r>
      <w:bookmarkStart w:id="64750" w:name="_ETM_Q115_612010"/>
      <w:bookmarkEnd w:id="64750"/>
      <w:r>
        <w:rPr>
          <w:rFonts w:hint="cs"/>
          <w:rtl/>
        </w:rPr>
        <w:t xml:space="preserve">אדומים </w:t>
      </w:r>
      <w:bookmarkStart w:id="64751" w:name="_ETM_Q115_612580"/>
      <w:bookmarkEnd w:id="64751"/>
      <w:r>
        <w:rPr>
          <w:rFonts w:hint="cs"/>
          <w:rtl/>
        </w:rPr>
        <w:t xml:space="preserve">שאתם </w:t>
      </w:r>
      <w:bookmarkStart w:id="64752" w:name="_ETM_Q115_612940"/>
      <w:bookmarkEnd w:id="64752"/>
      <w:r>
        <w:rPr>
          <w:rFonts w:hint="cs"/>
          <w:rtl/>
        </w:rPr>
        <w:t xml:space="preserve">שמים </w:t>
      </w:r>
      <w:bookmarkStart w:id="64753" w:name="_ETM_Q115_613270"/>
      <w:bookmarkEnd w:id="64753"/>
      <w:r>
        <w:rPr>
          <w:rFonts w:hint="cs"/>
          <w:rtl/>
        </w:rPr>
        <w:t xml:space="preserve">לעצמכם </w:t>
      </w:r>
      <w:bookmarkStart w:id="64754" w:name="_ETM_Q115_614500"/>
      <w:bookmarkEnd w:id="64754"/>
      <w:r>
        <w:rPr>
          <w:rFonts w:hint="cs"/>
          <w:rtl/>
        </w:rPr>
        <w:t xml:space="preserve">- - - </w:t>
      </w:r>
    </w:p>
    <w:p w:rsidR="00BB59CD" w:rsidRDefault="00BB59CD" w:rsidP="00BB59CD">
      <w:pPr>
        <w:rPr>
          <w:rtl/>
        </w:rPr>
      </w:pPr>
      <w:bookmarkStart w:id="64755" w:name="_ETM_Q115_616076"/>
      <w:bookmarkStart w:id="64756" w:name="_ETM_Q115_616184"/>
      <w:bookmarkEnd w:id="64755"/>
      <w:bookmarkEnd w:id="64756"/>
    </w:p>
    <w:p w:rsidR="00BB59CD" w:rsidRDefault="00BB59CD" w:rsidP="00BB59CD">
      <w:pPr>
        <w:pStyle w:val="af9"/>
        <w:keepNext/>
        <w:rPr>
          <w:rtl/>
        </w:rPr>
      </w:pPr>
      <w:bookmarkStart w:id="64757" w:name="_ETM_Q115_616237"/>
      <w:bookmarkStart w:id="64758" w:name="_ETM_Q115_616317"/>
      <w:bookmarkEnd w:id="64757"/>
      <w:bookmarkEnd w:id="6475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4759" w:name="_ETM_Q115_608641"/>
      <w:bookmarkEnd w:id="64759"/>
      <w:r>
        <w:rPr>
          <w:rFonts w:hint="cs"/>
          <w:rtl/>
        </w:rPr>
        <w:t xml:space="preserve">אחרי הימים האחרונים, שאתה רואה אנשים מאוד נאורים ובכירים </w:t>
      </w:r>
      <w:bookmarkStart w:id="64760" w:name="_ETM_Q115_612999"/>
      <w:bookmarkEnd w:id="64760"/>
      <w:r>
        <w:rPr>
          <w:rFonts w:hint="cs"/>
          <w:rtl/>
        </w:rPr>
        <w:t xml:space="preserve">שאומרים, מחזקים ומעודדים, וכל הכבוד למשתמטים, וטייסים וכו', אז אתה </w:t>
      </w:r>
      <w:bookmarkStart w:id="64761" w:name="_ETM_Q115_626167"/>
      <w:bookmarkEnd w:id="64761"/>
      <w:r>
        <w:rPr>
          <w:rFonts w:hint="cs"/>
          <w:rtl/>
        </w:rPr>
        <w:t>כבר לא – אני מבין שאין פה משהו מקודש.</w:t>
      </w:r>
    </w:p>
    <w:p w:rsidR="00BB59CD" w:rsidRDefault="00BB59CD" w:rsidP="00BB59CD">
      <w:pPr>
        <w:rPr>
          <w:rtl/>
        </w:rPr>
      </w:pPr>
      <w:bookmarkStart w:id="64762" w:name="_ETM_Q115_628964"/>
      <w:bookmarkStart w:id="64763" w:name="_ETM_Q115_629064"/>
      <w:bookmarkStart w:id="64764" w:name="_ETM_Q115_629109"/>
      <w:bookmarkStart w:id="64765" w:name="_ETM_Q115_629227"/>
      <w:bookmarkEnd w:id="64762"/>
      <w:bookmarkEnd w:id="64763"/>
      <w:bookmarkEnd w:id="64764"/>
      <w:bookmarkEnd w:id="64765"/>
    </w:p>
    <w:p w:rsidR="00BB59CD" w:rsidRDefault="00BB59CD" w:rsidP="00BB59CD">
      <w:pPr>
        <w:pStyle w:val="-"/>
        <w:keepNext/>
        <w:rPr>
          <w:rtl/>
        </w:rPr>
      </w:pPr>
      <w:bookmarkStart w:id="64766" w:name="ET_speakercontinue_6361_2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766"/>
    </w:p>
    <w:p w:rsidR="00BB59CD" w:rsidRDefault="00BB59CD" w:rsidP="00337201">
      <w:pPr>
        <w:rPr>
          <w:rtl/>
        </w:rPr>
      </w:pPr>
    </w:p>
    <w:p w:rsidR="00BB59CD" w:rsidRDefault="00BB59CD" w:rsidP="00BB59CD">
      <w:pPr>
        <w:rPr>
          <w:rtl/>
        </w:rPr>
      </w:pPr>
      <w:r>
        <w:rPr>
          <w:rFonts w:hint="cs"/>
          <w:rtl/>
        </w:rPr>
        <w:t xml:space="preserve">לא. לא. </w:t>
      </w:r>
      <w:bookmarkStart w:id="64767" w:name="_ETM_Q115_620840"/>
      <w:bookmarkEnd w:id="64767"/>
      <w:r>
        <w:rPr>
          <w:rFonts w:hint="cs"/>
          <w:rtl/>
        </w:rPr>
        <w:t>זה ב-2017. זה לא עכשיו, זה ב-2017.</w:t>
      </w:r>
    </w:p>
    <w:p w:rsidR="00BB59CD" w:rsidRDefault="00BB59CD" w:rsidP="00BB59CD">
      <w:pPr>
        <w:rPr>
          <w:rtl/>
        </w:rPr>
      </w:pPr>
      <w:bookmarkStart w:id="64768" w:name="_ETM_Q115_633813"/>
      <w:bookmarkStart w:id="64769" w:name="_ETM_Q115_633938"/>
      <w:bookmarkEnd w:id="64768"/>
      <w:bookmarkEnd w:id="64769"/>
    </w:p>
    <w:p w:rsidR="00BB59CD" w:rsidRDefault="00BB59CD" w:rsidP="00BB59CD">
      <w:pPr>
        <w:pStyle w:val="af9"/>
        <w:keepNext/>
        <w:rPr>
          <w:rtl/>
        </w:rPr>
      </w:pPr>
      <w:bookmarkStart w:id="64770" w:name="_ETM_Q115_633993"/>
      <w:bookmarkStart w:id="64771" w:name="_ETM_Q115_634073"/>
      <w:bookmarkEnd w:id="64770"/>
      <w:bookmarkEnd w:id="6477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4772" w:name="_ETM_Q115_635080"/>
      <w:bookmarkEnd w:id="64772"/>
      <w:r>
        <w:rPr>
          <w:rFonts w:hint="cs"/>
          <w:rtl/>
        </w:rPr>
        <w:t>מה ההבדל?</w:t>
      </w:r>
    </w:p>
    <w:p w:rsidR="00BB59CD" w:rsidRDefault="00BB59CD" w:rsidP="00BB59CD">
      <w:pPr>
        <w:rPr>
          <w:rtl/>
        </w:rPr>
      </w:pPr>
      <w:bookmarkStart w:id="64773" w:name="_ETM_Q115_616428"/>
      <w:bookmarkStart w:id="64774" w:name="_ETM_Q115_616502"/>
      <w:bookmarkStart w:id="64775" w:name="_ETM_Q115_616621"/>
      <w:bookmarkStart w:id="64776" w:name="_ETM_Q115_634844"/>
      <w:bookmarkStart w:id="64777" w:name="_ETM_Q115_634949"/>
      <w:bookmarkEnd w:id="64773"/>
      <w:bookmarkEnd w:id="64774"/>
      <w:bookmarkEnd w:id="64775"/>
      <w:bookmarkEnd w:id="64776"/>
      <w:bookmarkEnd w:id="64777"/>
    </w:p>
    <w:p w:rsidR="00BB59CD" w:rsidRDefault="00BB59CD" w:rsidP="00BB59CD">
      <w:pPr>
        <w:pStyle w:val="-"/>
        <w:keepNext/>
        <w:rPr>
          <w:rtl/>
        </w:rPr>
      </w:pPr>
      <w:bookmarkStart w:id="64778" w:name="ET_speakercontinue_6361_3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778"/>
    </w:p>
    <w:p w:rsidR="00BB59CD" w:rsidRDefault="00BB59CD" w:rsidP="00337201">
      <w:pPr>
        <w:rPr>
          <w:rtl/>
        </w:rPr>
      </w:pPr>
    </w:p>
    <w:p w:rsidR="00BB59CD" w:rsidRDefault="00BB59CD" w:rsidP="00BB59CD">
      <w:pPr>
        <w:rPr>
          <w:rtl/>
        </w:rPr>
      </w:pPr>
      <w:bookmarkStart w:id="64779" w:name="_ETM_Q115_636092"/>
      <w:bookmarkEnd w:id="64779"/>
      <w:r>
        <w:rPr>
          <w:rFonts w:hint="cs"/>
          <w:rtl/>
        </w:rPr>
        <w:t xml:space="preserve">אני </w:t>
      </w:r>
      <w:bookmarkStart w:id="64780" w:name="_ETM_Q115_632574"/>
      <w:bookmarkEnd w:id="64780"/>
      <w:r>
        <w:rPr>
          <w:rFonts w:hint="cs"/>
          <w:rtl/>
        </w:rPr>
        <w:t xml:space="preserve">אסביר לך את ההבדל. </w:t>
      </w:r>
      <w:bookmarkStart w:id="64781" w:name="_ETM_Q115_633060"/>
      <w:bookmarkStart w:id="64782" w:name="_ETM_Q115_633659"/>
      <w:bookmarkStart w:id="64783" w:name="_ETM_Q115_634170"/>
      <w:bookmarkStart w:id="64784" w:name="_ETM_Q115_634409"/>
      <w:bookmarkStart w:id="64785" w:name="_ETM_Q115_634709"/>
      <w:bookmarkStart w:id="64786" w:name="_ETM_Q115_634769"/>
      <w:bookmarkStart w:id="64787" w:name="_ETM_Q115_635800"/>
      <w:bookmarkEnd w:id="64781"/>
      <w:bookmarkEnd w:id="64782"/>
      <w:bookmarkEnd w:id="64783"/>
      <w:bookmarkEnd w:id="64784"/>
      <w:bookmarkEnd w:id="64785"/>
      <w:bookmarkEnd w:id="64786"/>
      <w:bookmarkEnd w:id="64787"/>
      <w:r>
        <w:rPr>
          <w:rFonts w:hint="cs"/>
          <w:rtl/>
        </w:rPr>
        <w:t xml:space="preserve">כשמישהו </w:t>
      </w:r>
      <w:bookmarkStart w:id="64788" w:name="_ETM_Q115_636280"/>
      <w:bookmarkEnd w:id="64788"/>
      <w:r>
        <w:rPr>
          <w:rFonts w:hint="cs"/>
          <w:rtl/>
        </w:rPr>
        <w:t xml:space="preserve">קורא </w:t>
      </w:r>
      <w:bookmarkStart w:id="64789" w:name="_ETM_Q115_636939"/>
      <w:bookmarkEnd w:id="64789"/>
      <w:r>
        <w:rPr>
          <w:rFonts w:hint="cs"/>
          <w:rtl/>
        </w:rPr>
        <w:t xml:space="preserve">לאנשים </w:t>
      </w:r>
      <w:bookmarkStart w:id="64790" w:name="_ETM_Q115_637689"/>
      <w:bookmarkEnd w:id="64790"/>
      <w:r>
        <w:rPr>
          <w:rFonts w:hint="cs"/>
          <w:rtl/>
        </w:rPr>
        <w:t xml:space="preserve">לא </w:t>
      </w:r>
      <w:bookmarkStart w:id="64791" w:name="_ETM_Q115_637900"/>
      <w:bookmarkEnd w:id="64791"/>
      <w:r>
        <w:rPr>
          <w:rFonts w:hint="cs"/>
          <w:rtl/>
        </w:rPr>
        <w:t xml:space="preserve">לשרת </w:t>
      </w:r>
      <w:bookmarkStart w:id="64792" w:name="_ETM_Q115_638319"/>
      <w:bookmarkEnd w:id="64792"/>
      <w:r>
        <w:rPr>
          <w:rFonts w:hint="cs"/>
          <w:rtl/>
        </w:rPr>
        <w:t xml:space="preserve">בצבא </w:t>
      </w:r>
      <w:bookmarkStart w:id="64793" w:name="_ETM_Q115_638680"/>
      <w:bookmarkEnd w:id="64793"/>
      <w:r>
        <w:rPr>
          <w:rFonts w:hint="cs"/>
          <w:rtl/>
        </w:rPr>
        <w:t xml:space="preserve">חובה </w:t>
      </w:r>
      <w:bookmarkStart w:id="64794" w:name="_ETM_Q115_639950"/>
      <w:bookmarkEnd w:id="64794"/>
      <w:r>
        <w:rPr>
          <w:rFonts w:hint="cs"/>
          <w:rtl/>
        </w:rPr>
        <w:t xml:space="preserve">זו </w:t>
      </w:r>
      <w:bookmarkStart w:id="64795" w:name="_ETM_Q115_640249"/>
      <w:bookmarkEnd w:id="64795"/>
      <w:r>
        <w:rPr>
          <w:rFonts w:hint="cs"/>
          <w:rtl/>
        </w:rPr>
        <w:t xml:space="preserve">השתמטות. </w:t>
      </w:r>
      <w:bookmarkStart w:id="64796" w:name="_ETM_Q115_641450"/>
      <w:bookmarkEnd w:id="64796"/>
      <w:r>
        <w:rPr>
          <w:rFonts w:hint="cs"/>
          <w:rtl/>
        </w:rPr>
        <w:t xml:space="preserve">כשמישהו </w:t>
      </w:r>
      <w:bookmarkStart w:id="64797" w:name="_ETM_Q115_641930"/>
      <w:bookmarkEnd w:id="64797"/>
      <w:r>
        <w:rPr>
          <w:rFonts w:hint="cs"/>
          <w:rtl/>
        </w:rPr>
        <w:t xml:space="preserve">מתנדב </w:t>
      </w:r>
      <w:bookmarkStart w:id="64798" w:name="_ETM_Q115_642410"/>
      <w:bookmarkEnd w:id="64798"/>
      <w:r>
        <w:rPr>
          <w:rFonts w:hint="cs"/>
          <w:rtl/>
        </w:rPr>
        <w:t xml:space="preserve">ואומר: </w:t>
      </w:r>
      <w:bookmarkStart w:id="64799" w:name="_ETM_Q115_642709"/>
      <w:bookmarkEnd w:id="64799"/>
      <w:r>
        <w:rPr>
          <w:rFonts w:hint="cs"/>
          <w:rtl/>
        </w:rPr>
        <w:t xml:space="preserve">אני </w:t>
      </w:r>
      <w:bookmarkStart w:id="64800" w:name="_ETM_Q115_642860"/>
      <w:bookmarkEnd w:id="64800"/>
      <w:r>
        <w:rPr>
          <w:rFonts w:hint="cs"/>
          <w:rtl/>
        </w:rPr>
        <w:t xml:space="preserve">עושה </w:t>
      </w:r>
      <w:bookmarkStart w:id="64801" w:name="_ETM_Q115_643310"/>
      <w:bookmarkEnd w:id="64801"/>
      <w:r>
        <w:rPr>
          <w:rFonts w:hint="cs"/>
          <w:rtl/>
        </w:rPr>
        <w:t>מזמני, על חשבוני - - -</w:t>
      </w:r>
    </w:p>
    <w:p w:rsidR="00BB59CD" w:rsidRDefault="00BB59CD" w:rsidP="00BB59CD">
      <w:pPr>
        <w:ind w:firstLine="0"/>
        <w:rPr>
          <w:rtl/>
        </w:rPr>
      </w:pPr>
      <w:bookmarkStart w:id="64802" w:name="_ETM_Q115_647512"/>
      <w:bookmarkStart w:id="64803" w:name="_ETM_Q115_647630"/>
      <w:bookmarkStart w:id="64804" w:name="_ETM_Q115_647688"/>
      <w:bookmarkStart w:id="64805" w:name="_ETM_Q115_647790"/>
      <w:bookmarkEnd w:id="64802"/>
      <w:bookmarkEnd w:id="64803"/>
      <w:bookmarkEnd w:id="64804"/>
      <w:bookmarkEnd w:id="6480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312A77">
      <w:pPr>
        <w:rPr>
          <w:rtl/>
        </w:rPr>
      </w:pPr>
      <w:r>
        <w:rPr>
          <w:rFonts w:hint="cs"/>
          <w:rtl/>
        </w:rPr>
        <w:t xml:space="preserve">לא, </w:t>
      </w:r>
      <w:bookmarkStart w:id="64806" w:name="_ETM_Q115_644300"/>
      <w:bookmarkEnd w:id="64806"/>
      <w:r>
        <w:rPr>
          <w:rFonts w:hint="cs"/>
          <w:rtl/>
        </w:rPr>
        <w:t xml:space="preserve">אבל בימים האחרונים שמעת לא רק </w:t>
      </w:r>
      <w:r w:rsidR="00312A77">
        <w:rPr>
          <w:rFonts w:hint="cs"/>
          <w:rtl/>
        </w:rPr>
        <w:t xml:space="preserve">על </w:t>
      </w:r>
      <w:r>
        <w:rPr>
          <w:rFonts w:hint="cs"/>
          <w:rtl/>
        </w:rPr>
        <w:t>השתמטות ממילואים או הפסקת שירות</w:t>
      </w:r>
      <w:bookmarkStart w:id="64807" w:name="_ETM_Q115_648343"/>
      <w:bookmarkEnd w:id="64807"/>
      <w:r>
        <w:rPr>
          <w:rFonts w:hint="cs"/>
          <w:rtl/>
        </w:rPr>
        <w:t>, אלא -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337201">
      <w:pPr>
        <w:rPr>
          <w:rtl/>
        </w:rPr>
      </w:pPr>
      <w:r>
        <w:rPr>
          <w:rFonts w:hint="cs"/>
          <w:rtl/>
        </w:rPr>
        <w:t>שזה גם מתקרב - - -</w:t>
      </w:r>
    </w:p>
    <w:p w:rsidR="00BB59CD" w:rsidRDefault="00BB59CD" w:rsidP="00337201">
      <w:pPr>
        <w:rPr>
          <w:rtl/>
        </w:rPr>
      </w:pPr>
      <w:bookmarkStart w:id="64808" w:name="_ETM_Q115_650360"/>
      <w:bookmarkStart w:id="64809" w:name="_ETM_Q115_650479"/>
      <w:bookmarkStart w:id="64810" w:name="_ETM_Q115_650520"/>
      <w:bookmarkEnd w:id="64808"/>
      <w:bookmarkEnd w:id="64809"/>
      <w:bookmarkEnd w:id="64810"/>
    </w:p>
    <w:p w:rsidR="00BB59CD" w:rsidRDefault="00BB59CD" w:rsidP="00BB59CD">
      <w:pPr>
        <w:pStyle w:val="-"/>
        <w:keepNext/>
        <w:rPr>
          <w:rtl/>
        </w:rPr>
      </w:pPr>
      <w:bookmarkStart w:id="64811" w:name="_ETM_Q115_650638"/>
      <w:bookmarkStart w:id="64812" w:name="ET_speakercontinue_6361_33"/>
      <w:bookmarkEnd w:id="6481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812"/>
    </w:p>
    <w:p w:rsidR="00BB59CD" w:rsidRDefault="00BB59CD" w:rsidP="00337201">
      <w:pPr>
        <w:rPr>
          <w:rtl/>
        </w:rPr>
      </w:pPr>
    </w:p>
    <w:p w:rsidR="00BB59CD" w:rsidRDefault="00BB59CD" w:rsidP="00BB59CD">
      <w:pPr>
        <w:rPr>
          <w:rtl/>
        </w:rPr>
      </w:pPr>
      <w:bookmarkStart w:id="64813" w:name="_ETM_Q115_651744"/>
      <w:bookmarkStart w:id="64814" w:name="_ETM_Q115_649473"/>
      <w:bookmarkEnd w:id="64813"/>
      <w:bookmarkEnd w:id="64814"/>
      <w:r>
        <w:rPr>
          <w:rFonts w:hint="cs"/>
          <w:rtl/>
        </w:rPr>
        <w:t xml:space="preserve">- - לא לבוא ולהתגייס, להשתמט </w:t>
      </w:r>
      <w:r>
        <w:t>–</w:t>
      </w:r>
      <w:r>
        <w:rPr>
          <w:rFonts w:hint="cs"/>
          <w:rtl/>
        </w:rPr>
        <w:t xml:space="preserve"> ואמרו להם: כן, זה חלק </w:t>
      </w:r>
      <w:bookmarkStart w:id="64815" w:name="_ETM_Q115_656130"/>
      <w:bookmarkEnd w:id="64815"/>
      <w:r>
        <w:rPr>
          <w:rFonts w:hint="cs"/>
          <w:rtl/>
        </w:rPr>
        <w:t>מהעניין, צריך חתימות.</w:t>
      </w:r>
      <w:bookmarkStart w:id="64816" w:name="_ETM_Q115_657243"/>
      <w:bookmarkEnd w:id="64816"/>
    </w:p>
    <w:p w:rsidR="00BB59CD" w:rsidRDefault="00BB59CD" w:rsidP="00BB59CD">
      <w:pPr>
        <w:rPr>
          <w:rtl/>
        </w:rPr>
      </w:pPr>
      <w:bookmarkStart w:id="64817" w:name="_ETM_Q115_657355"/>
      <w:bookmarkStart w:id="64818" w:name="_ETM_Q115_657420"/>
      <w:bookmarkEnd w:id="64817"/>
      <w:bookmarkEnd w:id="64818"/>
    </w:p>
    <w:p w:rsidR="00BB59CD" w:rsidRDefault="00BB59CD" w:rsidP="00BB59CD">
      <w:pPr>
        <w:pStyle w:val="-"/>
        <w:keepNext/>
        <w:rPr>
          <w:rtl/>
        </w:rPr>
      </w:pPr>
      <w:bookmarkStart w:id="64819" w:name="_ETM_Q115_657523"/>
      <w:bookmarkEnd w:id="6481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312A77">
      <w:pPr>
        <w:rPr>
          <w:rtl/>
        </w:rPr>
      </w:pPr>
      <w:bookmarkStart w:id="64820" w:name="_ETM_Q115_653375"/>
      <w:bookmarkEnd w:id="64820"/>
      <w:r>
        <w:rPr>
          <w:rFonts w:hint="cs"/>
          <w:rtl/>
        </w:rPr>
        <w:t xml:space="preserve">אף אחד לא אמר כן. </w:t>
      </w:r>
      <w:bookmarkStart w:id="64821" w:name="_ETM_Q115_647864"/>
      <w:bookmarkStart w:id="64822" w:name="_ETM_Q115_647984"/>
      <w:bookmarkStart w:id="64823" w:name="_ETM_Q115_648055"/>
      <w:bookmarkStart w:id="64824" w:name="_ETM_Q115_648159"/>
      <w:bookmarkStart w:id="64825" w:name="_ETM_Q115_644870"/>
      <w:bookmarkStart w:id="64826" w:name="_ETM_Q115_645110"/>
      <w:bookmarkStart w:id="64827" w:name="_ETM_Q115_651380"/>
      <w:bookmarkStart w:id="64828" w:name="_ETM_Q115_652130"/>
      <w:bookmarkStart w:id="64829" w:name="_ETM_Q115_652520"/>
      <w:bookmarkStart w:id="64830" w:name="_ETM_Q115_653180"/>
      <w:bookmarkStart w:id="64831" w:name="_ETM_Q115_653510"/>
      <w:bookmarkStart w:id="64832" w:name="_ETM_Q115_653690"/>
      <w:bookmarkStart w:id="64833" w:name="_ETM_Q115_654110"/>
      <w:bookmarkStart w:id="64834" w:name="_ETM_Q115_654260"/>
      <w:bookmarkStart w:id="64835" w:name="_ETM_Q115_654530"/>
      <w:bookmarkStart w:id="64836" w:name="_ETM_Q115_654739"/>
      <w:bookmarkStart w:id="64837" w:name="_ETM_Q115_654890"/>
      <w:bookmarkStart w:id="64838" w:name="_ETM_Q115_655040"/>
      <w:bookmarkStart w:id="64839" w:name="_ETM_Q115_655099"/>
      <w:bookmarkStart w:id="64840" w:name="_ETM_Q115_655220"/>
      <w:bookmarkStart w:id="64841" w:name="_ETM_Q115_655489"/>
      <w:bookmarkStart w:id="64842" w:name="_ETM_Q115_655880"/>
      <w:bookmarkEnd w:id="64821"/>
      <w:bookmarkEnd w:id="64822"/>
      <w:bookmarkEnd w:id="64823"/>
      <w:bookmarkEnd w:id="64824"/>
      <w:bookmarkEnd w:id="64825"/>
      <w:bookmarkEnd w:id="64826"/>
      <w:bookmarkEnd w:id="64827"/>
      <w:bookmarkEnd w:id="64828"/>
      <w:bookmarkEnd w:id="64829"/>
      <w:bookmarkEnd w:id="64830"/>
      <w:bookmarkEnd w:id="64831"/>
      <w:bookmarkEnd w:id="64832"/>
      <w:bookmarkEnd w:id="64833"/>
      <w:bookmarkEnd w:id="64834"/>
      <w:bookmarkEnd w:id="64835"/>
      <w:bookmarkEnd w:id="64836"/>
      <w:bookmarkEnd w:id="64837"/>
      <w:bookmarkEnd w:id="64838"/>
      <w:bookmarkEnd w:id="64839"/>
      <w:bookmarkEnd w:id="64840"/>
      <w:bookmarkEnd w:id="64841"/>
      <w:bookmarkEnd w:id="64842"/>
      <w:r>
        <w:rPr>
          <w:rFonts w:hint="cs"/>
          <w:rtl/>
        </w:rPr>
        <w:t xml:space="preserve">אבל </w:t>
      </w:r>
      <w:bookmarkStart w:id="64843" w:name="_ETM_Q115_656270"/>
      <w:bookmarkEnd w:id="64843"/>
      <w:r>
        <w:rPr>
          <w:rFonts w:hint="cs"/>
          <w:rtl/>
        </w:rPr>
        <w:t xml:space="preserve">אני </w:t>
      </w:r>
      <w:bookmarkStart w:id="64844" w:name="_ETM_Q115_656480"/>
      <w:bookmarkEnd w:id="64844"/>
      <w:r>
        <w:rPr>
          <w:rFonts w:hint="cs"/>
          <w:rtl/>
        </w:rPr>
        <w:t xml:space="preserve">תוהה </w:t>
      </w:r>
      <w:bookmarkStart w:id="64845" w:name="_ETM_Q115_657170"/>
      <w:bookmarkEnd w:id="64845"/>
      <w:r>
        <w:rPr>
          <w:rFonts w:hint="cs"/>
          <w:rtl/>
        </w:rPr>
        <w:t xml:space="preserve">למה </w:t>
      </w:r>
      <w:bookmarkStart w:id="64846" w:name="_ETM_Q115_658489"/>
      <w:bookmarkEnd w:id="64846"/>
      <w:r>
        <w:rPr>
          <w:rFonts w:hint="cs"/>
          <w:rtl/>
        </w:rPr>
        <w:t xml:space="preserve">השתמטות </w:t>
      </w:r>
      <w:bookmarkStart w:id="64847" w:name="_ETM_Q115_659120"/>
      <w:bookmarkEnd w:id="64847"/>
      <w:r>
        <w:rPr>
          <w:rFonts w:hint="cs"/>
          <w:rtl/>
        </w:rPr>
        <w:t xml:space="preserve">מצד אחד או קריאה </w:t>
      </w:r>
      <w:bookmarkStart w:id="64848" w:name="_ETM_Q115_659510"/>
      <w:bookmarkStart w:id="64849" w:name="_ETM_Q115_659989"/>
      <w:bookmarkStart w:id="64850" w:name="_ETM_Q115_660349"/>
      <w:bookmarkEnd w:id="64848"/>
      <w:bookmarkEnd w:id="64849"/>
      <w:bookmarkEnd w:id="64850"/>
      <w:r>
        <w:rPr>
          <w:rFonts w:hint="cs"/>
          <w:rtl/>
        </w:rPr>
        <w:t xml:space="preserve">להשתמטות </w:t>
      </w:r>
      <w:bookmarkStart w:id="64851" w:name="_ETM_Q115_660920"/>
      <w:bookmarkEnd w:id="64851"/>
      <w:r>
        <w:rPr>
          <w:rFonts w:hint="cs"/>
          <w:rtl/>
        </w:rPr>
        <w:t xml:space="preserve">מצד </w:t>
      </w:r>
      <w:bookmarkStart w:id="64852" w:name="_ETM_Q115_661219"/>
      <w:bookmarkEnd w:id="64852"/>
      <w:r>
        <w:rPr>
          <w:rFonts w:hint="cs"/>
          <w:rtl/>
        </w:rPr>
        <w:t xml:space="preserve">אחד </w:t>
      </w:r>
      <w:bookmarkStart w:id="64853" w:name="_ETM_Q115_661519"/>
      <w:bookmarkEnd w:id="64853"/>
      <w:r>
        <w:rPr>
          <w:rFonts w:hint="cs"/>
          <w:rtl/>
        </w:rPr>
        <w:t xml:space="preserve">באופן </w:t>
      </w:r>
      <w:bookmarkStart w:id="64854" w:name="_ETM_Q115_661879"/>
      <w:bookmarkEnd w:id="64854"/>
      <w:r>
        <w:rPr>
          <w:rFonts w:hint="cs"/>
          <w:rtl/>
        </w:rPr>
        <w:t xml:space="preserve">כזה </w:t>
      </w:r>
      <w:bookmarkStart w:id="64855" w:name="_ETM_Q115_662150"/>
      <w:bookmarkEnd w:id="64855"/>
      <w:r>
        <w:rPr>
          <w:rFonts w:hint="cs"/>
          <w:rtl/>
        </w:rPr>
        <w:t>בוטה</w:t>
      </w:r>
      <w:bookmarkStart w:id="64856" w:name="_ETM_Q115_662390"/>
      <w:bookmarkEnd w:id="64856"/>
      <w:r>
        <w:rPr>
          <w:rFonts w:hint="cs"/>
          <w:rtl/>
        </w:rPr>
        <w:t xml:space="preserve"> – </w:t>
      </w:r>
      <w:bookmarkStart w:id="64857" w:name="_ETM_Q115_662540"/>
      <w:bookmarkEnd w:id="64857"/>
      <w:r w:rsidR="00312A77">
        <w:rPr>
          <w:rFonts w:hint="cs"/>
          <w:rtl/>
        </w:rPr>
        <w:t>ש</w:t>
      </w:r>
      <w:r>
        <w:rPr>
          <w:rFonts w:hint="cs"/>
          <w:rtl/>
        </w:rPr>
        <w:t xml:space="preserve">אפילו </w:t>
      </w:r>
      <w:bookmarkStart w:id="64858" w:name="_ETM_Q115_662870"/>
      <w:bookmarkEnd w:id="64858"/>
      <w:r>
        <w:rPr>
          <w:rFonts w:hint="cs"/>
          <w:rtl/>
        </w:rPr>
        <w:t xml:space="preserve">לא </w:t>
      </w:r>
      <w:bookmarkStart w:id="64859" w:name="_ETM_Q115_663530"/>
      <w:bookmarkEnd w:id="64859"/>
      <w:r>
        <w:rPr>
          <w:rFonts w:hint="cs"/>
          <w:rtl/>
        </w:rPr>
        <w:t xml:space="preserve">מנסה, </w:t>
      </w:r>
      <w:bookmarkStart w:id="64860" w:name="_ETM_Q115_664040"/>
      <w:bookmarkEnd w:id="64860"/>
      <w:r>
        <w:rPr>
          <w:rFonts w:hint="cs"/>
          <w:rtl/>
        </w:rPr>
        <w:t xml:space="preserve">כמו </w:t>
      </w:r>
      <w:r w:rsidR="00312A77">
        <w:rPr>
          <w:rFonts w:hint="cs"/>
          <w:rtl/>
        </w:rPr>
        <w:t>ש</w:t>
      </w:r>
      <w:r>
        <w:rPr>
          <w:rFonts w:hint="cs"/>
          <w:rtl/>
        </w:rPr>
        <w:t xml:space="preserve">אתה </w:t>
      </w:r>
      <w:bookmarkStart w:id="64861" w:name="_ETM_Q115_664190"/>
      <w:bookmarkEnd w:id="64861"/>
      <w:r>
        <w:rPr>
          <w:rFonts w:hint="cs"/>
          <w:rtl/>
        </w:rPr>
        <w:t xml:space="preserve">אומר, נגיד </w:t>
      </w:r>
      <w:bookmarkStart w:id="64862" w:name="_ETM_Q115_664400"/>
      <w:bookmarkStart w:id="64863" w:name="_ETM_Q115_664580"/>
      <w:bookmarkStart w:id="64864" w:name="_ETM_Q115_664760"/>
      <w:bookmarkStart w:id="64865" w:name="_ETM_Q115_665030"/>
      <w:bookmarkStart w:id="64866" w:name="_ETM_Q115_665360"/>
      <w:bookmarkEnd w:id="64862"/>
      <w:bookmarkEnd w:id="64863"/>
      <w:bookmarkEnd w:id="64864"/>
      <w:bookmarkEnd w:id="64865"/>
      <w:bookmarkEnd w:id="64866"/>
      <w:r>
        <w:rPr>
          <w:rFonts w:hint="cs"/>
          <w:rtl/>
        </w:rPr>
        <w:t xml:space="preserve">לסובב </w:t>
      </w:r>
      <w:bookmarkStart w:id="64867" w:name="_ETM_Q115_665780"/>
      <w:bookmarkEnd w:id="64867"/>
      <w:r>
        <w:rPr>
          <w:rFonts w:hint="cs"/>
          <w:rtl/>
        </w:rPr>
        <w:t xml:space="preserve">את </w:t>
      </w:r>
      <w:bookmarkStart w:id="64868" w:name="_ETM_Q115_665900"/>
      <w:bookmarkEnd w:id="64868"/>
      <w:r>
        <w:rPr>
          <w:rFonts w:hint="cs"/>
          <w:rtl/>
        </w:rPr>
        <w:t xml:space="preserve">זה </w:t>
      </w:r>
      <w:bookmarkStart w:id="64869" w:name="_ETM_Q115_666050"/>
      <w:bookmarkEnd w:id="64869"/>
      <w:r>
        <w:rPr>
          <w:rFonts w:hint="cs"/>
          <w:rtl/>
        </w:rPr>
        <w:t xml:space="preserve">או </w:t>
      </w:r>
      <w:bookmarkStart w:id="64870" w:name="_ETM_Q115_666140"/>
      <w:bookmarkEnd w:id="64870"/>
      <w:r>
        <w:rPr>
          <w:rFonts w:hint="cs"/>
          <w:rtl/>
        </w:rPr>
        <w:t xml:space="preserve">לדבר </w:t>
      </w:r>
      <w:bookmarkStart w:id="64871" w:name="_ETM_Q115_666530"/>
      <w:bookmarkEnd w:id="64871"/>
      <w:r>
        <w:rPr>
          <w:rFonts w:hint="cs"/>
          <w:rtl/>
        </w:rPr>
        <w:t xml:space="preserve">על </w:t>
      </w:r>
      <w:bookmarkStart w:id="64872" w:name="_ETM_Q115_666620"/>
      <w:bookmarkEnd w:id="64872"/>
      <w:r>
        <w:rPr>
          <w:rFonts w:hint="cs"/>
          <w:rtl/>
        </w:rPr>
        <w:t xml:space="preserve">זה </w:t>
      </w:r>
      <w:bookmarkStart w:id="64873" w:name="_ETM_Q115_666770"/>
      <w:bookmarkEnd w:id="64873"/>
      <w:r>
        <w:rPr>
          <w:rFonts w:hint="cs"/>
          <w:rtl/>
        </w:rPr>
        <w:t xml:space="preserve">בצורה </w:t>
      </w:r>
      <w:bookmarkStart w:id="64874" w:name="_ETM_Q115_667770"/>
      <w:bookmarkEnd w:id="64874"/>
      <w:r>
        <w:rPr>
          <w:rFonts w:hint="cs"/>
          <w:rtl/>
        </w:rPr>
        <w:t xml:space="preserve">שמדברת </w:t>
      </w:r>
      <w:bookmarkStart w:id="64875" w:name="_ETM_Q115_668340"/>
      <w:bookmarkEnd w:id="64875"/>
      <w:r>
        <w:rPr>
          <w:rFonts w:hint="cs"/>
          <w:rtl/>
        </w:rPr>
        <w:t xml:space="preserve">על </w:t>
      </w:r>
      <w:bookmarkStart w:id="64876" w:name="_ETM_Q115_668459"/>
      <w:bookmarkEnd w:id="64876"/>
      <w:r>
        <w:rPr>
          <w:rFonts w:hint="cs"/>
          <w:rtl/>
        </w:rPr>
        <w:t xml:space="preserve">התנדבות או </w:t>
      </w:r>
      <w:bookmarkStart w:id="64877" w:name="_ETM_Q115_669270"/>
      <w:bookmarkStart w:id="64878" w:name="_ETM_Q115_669510"/>
      <w:bookmarkEnd w:id="64877"/>
      <w:bookmarkEnd w:id="64878"/>
      <w:r>
        <w:rPr>
          <w:rFonts w:hint="cs"/>
          <w:rtl/>
        </w:rPr>
        <w:t xml:space="preserve">התחלה </w:t>
      </w:r>
      <w:bookmarkStart w:id="64879" w:name="_ETM_Q115_669930"/>
      <w:bookmarkEnd w:id="64879"/>
      <w:r>
        <w:rPr>
          <w:rFonts w:hint="cs"/>
          <w:rtl/>
        </w:rPr>
        <w:t xml:space="preserve">של </w:t>
      </w:r>
      <w:bookmarkStart w:id="64880" w:name="_ETM_Q115_670140"/>
      <w:bookmarkEnd w:id="64880"/>
      <w:r>
        <w:rPr>
          <w:rFonts w:hint="cs"/>
          <w:rtl/>
        </w:rPr>
        <w:t>השתמטות</w:t>
      </w:r>
      <w:r w:rsidR="00312A77">
        <w:rPr>
          <w:rFonts w:hint="cs"/>
          <w:rtl/>
        </w:rPr>
        <w:t>;</w:t>
      </w:r>
      <w:r>
        <w:rPr>
          <w:rFonts w:hint="cs"/>
          <w:rtl/>
        </w:rPr>
        <w:t xml:space="preserve"> </w:t>
      </w:r>
      <w:bookmarkStart w:id="64881" w:name="_ETM_Q115_670650"/>
      <w:bookmarkEnd w:id="64881"/>
      <w:r>
        <w:rPr>
          <w:rFonts w:hint="cs"/>
          <w:rtl/>
        </w:rPr>
        <w:t xml:space="preserve">פה </w:t>
      </w:r>
      <w:bookmarkStart w:id="64882" w:name="_ETM_Q115_670860"/>
      <w:bookmarkEnd w:id="64882"/>
      <w:r>
        <w:rPr>
          <w:rFonts w:hint="cs"/>
          <w:rtl/>
        </w:rPr>
        <w:t xml:space="preserve">יש </w:t>
      </w:r>
      <w:bookmarkStart w:id="64883" w:name="_ETM_Q115_671040"/>
      <w:bookmarkEnd w:id="64883"/>
      <w:r>
        <w:rPr>
          <w:rFonts w:hint="cs"/>
          <w:rtl/>
        </w:rPr>
        <w:t xml:space="preserve">לך </w:t>
      </w:r>
      <w:bookmarkStart w:id="64884" w:name="_ETM_Q115_671730"/>
      <w:bookmarkEnd w:id="64884"/>
      <w:r>
        <w:rPr>
          <w:rFonts w:hint="cs"/>
          <w:rtl/>
        </w:rPr>
        <w:t xml:space="preserve">בפנים: </w:t>
      </w:r>
      <w:bookmarkStart w:id="64885" w:name="_ETM_Q115_673210"/>
      <w:bookmarkEnd w:id="64885"/>
      <w:r>
        <w:rPr>
          <w:rFonts w:hint="cs"/>
          <w:rtl/>
        </w:rPr>
        <w:t xml:space="preserve">"מצילים </w:t>
      </w:r>
      <w:bookmarkStart w:id="64886" w:name="_ETM_Q115_673840"/>
      <w:bookmarkEnd w:id="64886"/>
      <w:r>
        <w:rPr>
          <w:rFonts w:hint="cs"/>
          <w:rtl/>
        </w:rPr>
        <w:t xml:space="preserve">את </w:t>
      </w:r>
      <w:bookmarkStart w:id="64887" w:name="_ETM_Q115_673960"/>
      <w:bookmarkEnd w:id="64887"/>
      <w:r>
        <w:rPr>
          <w:rFonts w:hint="cs"/>
          <w:rtl/>
        </w:rPr>
        <w:t xml:space="preserve">צה"ל </w:t>
      </w:r>
      <w:bookmarkStart w:id="64888" w:name="_ETM_Q115_674410"/>
      <w:bookmarkEnd w:id="64888"/>
      <w:r w:rsidR="00312A77">
        <w:rPr>
          <w:rFonts w:hint="eastAsia"/>
          <w:rtl/>
        </w:rPr>
        <w:t>–</w:t>
      </w:r>
      <w:r w:rsidR="00312A77">
        <w:rPr>
          <w:rFonts w:hint="cs"/>
          <w:rtl/>
        </w:rPr>
        <w:t xml:space="preserve"> </w:t>
      </w:r>
      <w:r>
        <w:rPr>
          <w:rFonts w:hint="cs"/>
          <w:rtl/>
        </w:rPr>
        <w:t xml:space="preserve">לא </w:t>
      </w:r>
      <w:bookmarkStart w:id="64889" w:name="_ETM_Q115_674530"/>
      <w:bookmarkEnd w:id="64889"/>
      <w:r>
        <w:rPr>
          <w:rFonts w:hint="cs"/>
          <w:rtl/>
        </w:rPr>
        <w:t xml:space="preserve">מתגייסים". </w:t>
      </w:r>
      <w:bookmarkStart w:id="64890" w:name="_ETM_Q115_675160"/>
      <w:bookmarkEnd w:id="64890"/>
      <w:r>
        <w:rPr>
          <w:rFonts w:hint="cs"/>
          <w:rtl/>
        </w:rPr>
        <w:t xml:space="preserve">שר </w:t>
      </w:r>
      <w:bookmarkStart w:id="64891" w:name="_ETM_Q115_675520"/>
      <w:bookmarkEnd w:id="64891"/>
      <w:r>
        <w:rPr>
          <w:rFonts w:hint="cs"/>
          <w:rtl/>
        </w:rPr>
        <w:t xml:space="preserve">האוצר </w:t>
      </w:r>
      <w:bookmarkStart w:id="64892" w:name="_ETM_Q115_675790"/>
      <w:bookmarkEnd w:id="64892"/>
      <w:r>
        <w:rPr>
          <w:rFonts w:hint="cs"/>
          <w:rtl/>
        </w:rPr>
        <w:t xml:space="preserve">של </w:t>
      </w:r>
      <w:bookmarkStart w:id="64893" w:name="_ETM_Q115_675970"/>
      <w:bookmarkEnd w:id="64893"/>
      <w:r>
        <w:rPr>
          <w:rFonts w:hint="cs"/>
          <w:rtl/>
        </w:rPr>
        <w:t xml:space="preserve">מדינת </w:t>
      </w:r>
      <w:bookmarkStart w:id="64894" w:name="_ETM_Q115_676330"/>
      <w:bookmarkEnd w:id="64894"/>
      <w:r>
        <w:rPr>
          <w:rFonts w:hint="cs"/>
          <w:rtl/>
        </w:rPr>
        <w:t xml:space="preserve">ישראל. </w:t>
      </w:r>
      <w:bookmarkStart w:id="64895" w:name="_ETM_Q115_677920"/>
      <w:bookmarkEnd w:id="64895"/>
      <w:r>
        <w:rPr>
          <w:rFonts w:hint="cs"/>
          <w:rtl/>
        </w:rPr>
        <w:t xml:space="preserve">בפנים. </w:t>
      </w:r>
      <w:bookmarkStart w:id="64896" w:name="_ETM_Q115_679269"/>
      <w:bookmarkStart w:id="64897" w:name="_ETM_Q115_679930"/>
      <w:bookmarkStart w:id="64898" w:name="_ETM_Q115_680680"/>
      <w:bookmarkEnd w:id="64896"/>
      <w:bookmarkEnd w:id="64897"/>
      <w:bookmarkEnd w:id="64898"/>
      <w:r>
        <w:rPr>
          <w:rFonts w:hint="cs"/>
          <w:rtl/>
        </w:rPr>
        <w:t xml:space="preserve">למה </w:t>
      </w:r>
      <w:bookmarkStart w:id="64899" w:name="_ETM_Q115_681099"/>
      <w:bookmarkEnd w:id="64899"/>
      <w:r>
        <w:rPr>
          <w:rFonts w:hint="cs"/>
          <w:rtl/>
        </w:rPr>
        <w:t xml:space="preserve">הקו </w:t>
      </w:r>
      <w:bookmarkStart w:id="64900" w:name="_ETM_Q115_681340"/>
      <w:bookmarkEnd w:id="64900"/>
      <w:r>
        <w:rPr>
          <w:rFonts w:hint="cs"/>
          <w:rtl/>
        </w:rPr>
        <w:t xml:space="preserve">האדום </w:t>
      </w:r>
      <w:bookmarkStart w:id="64901" w:name="_ETM_Q115_681700"/>
      <w:bookmarkEnd w:id="64901"/>
      <w:r>
        <w:rPr>
          <w:rFonts w:hint="cs"/>
          <w:rtl/>
        </w:rPr>
        <w:t xml:space="preserve">הזה </w:t>
      </w:r>
      <w:bookmarkStart w:id="64902" w:name="_ETM_Q115_681879"/>
      <w:bookmarkEnd w:id="64902"/>
      <w:r>
        <w:rPr>
          <w:rFonts w:hint="cs"/>
          <w:rtl/>
        </w:rPr>
        <w:t xml:space="preserve">הוא </w:t>
      </w:r>
      <w:bookmarkStart w:id="64903" w:name="_ETM_Q115_682000"/>
      <w:bookmarkEnd w:id="64903"/>
      <w:r>
        <w:rPr>
          <w:rFonts w:hint="cs"/>
          <w:rtl/>
        </w:rPr>
        <w:t xml:space="preserve">בסדר? </w:t>
      </w:r>
      <w:bookmarkStart w:id="64904" w:name="_ETM_Q115_682719"/>
      <w:bookmarkEnd w:id="64904"/>
      <w:r>
        <w:rPr>
          <w:rFonts w:hint="cs"/>
          <w:rtl/>
        </w:rPr>
        <w:t xml:space="preserve">ברמה </w:t>
      </w:r>
      <w:bookmarkStart w:id="64905" w:name="_ETM_Q115_683439"/>
      <w:bookmarkEnd w:id="64905"/>
      <w:r>
        <w:rPr>
          <w:rFonts w:hint="cs"/>
          <w:rtl/>
        </w:rPr>
        <w:t xml:space="preserve">האמיתית. למה </w:t>
      </w:r>
      <w:bookmarkStart w:id="64906" w:name="_ETM_Q115_682856"/>
      <w:bookmarkEnd w:id="64906"/>
      <w:r>
        <w:rPr>
          <w:rFonts w:hint="cs"/>
          <w:rtl/>
        </w:rPr>
        <w:t xml:space="preserve">אז </w:t>
      </w:r>
      <w:bookmarkStart w:id="64907" w:name="_ETM_Q115_683829"/>
      <w:bookmarkStart w:id="64908" w:name="_ETM_Q115_684249"/>
      <w:bookmarkStart w:id="64909" w:name="_ETM_Q115_684920"/>
      <w:bookmarkStart w:id="64910" w:name="_ETM_Q115_685129"/>
      <w:bookmarkStart w:id="64911" w:name="_ETM_Q115_685249"/>
      <w:bookmarkStart w:id="64912" w:name="_ETM_Q115_685609"/>
      <w:bookmarkEnd w:id="64907"/>
      <w:bookmarkEnd w:id="64908"/>
      <w:bookmarkEnd w:id="64909"/>
      <w:bookmarkEnd w:id="64910"/>
      <w:bookmarkEnd w:id="64911"/>
      <w:bookmarkEnd w:id="64912"/>
      <w:r>
        <w:rPr>
          <w:rFonts w:hint="cs"/>
          <w:rtl/>
        </w:rPr>
        <w:t>לא שמענו גינויים</w:t>
      </w:r>
      <w:r w:rsidR="00312A77">
        <w:rPr>
          <w:rFonts w:hint="cs"/>
          <w:rtl/>
        </w:rPr>
        <w:t>,</w:t>
      </w:r>
      <w:r>
        <w:rPr>
          <w:rFonts w:hint="cs"/>
          <w:rtl/>
        </w:rPr>
        <w:t xml:space="preserve"> או </w:t>
      </w:r>
      <w:bookmarkStart w:id="64913" w:name="_ETM_Q115_686060"/>
      <w:bookmarkStart w:id="64914" w:name="_ETM_Q115_686299"/>
      <w:bookmarkEnd w:id="64913"/>
      <w:bookmarkEnd w:id="64914"/>
      <w:r>
        <w:rPr>
          <w:rFonts w:hint="cs"/>
          <w:rtl/>
        </w:rPr>
        <w:t xml:space="preserve">למה אנחנו </w:t>
      </w:r>
      <w:bookmarkStart w:id="64915" w:name="_ETM_Q115_686540"/>
      <w:bookmarkEnd w:id="64915"/>
      <w:r>
        <w:rPr>
          <w:rFonts w:hint="cs"/>
          <w:rtl/>
        </w:rPr>
        <w:t xml:space="preserve">לא </w:t>
      </w:r>
      <w:bookmarkStart w:id="64916" w:name="_ETM_Q115_686629"/>
      <w:bookmarkEnd w:id="64916"/>
      <w:r>
        <w:rPr>
          <w:rFonts w:hint="cs"/>
          <w:rtl/>
        </w:rPr>
        <w:t xml:space="preserve">שומעים </w:t>
      </w:r>
      <w:bookmarkStart w:id="64917" w:name="_ETM_Q115_686900"/>
      <w:bookmarkEnd w:id="64917"/>
      <w:r>
        <w:rPr>
          <w:rFonts w:hint="cs"/>
          <w:rtl/>
        </w:rPr>
        <w:t xml:space="preserve">ממנו </w:t>
      </w:r>
      <w:bookmarkStart w:id="64918" w:name="_ETM_Q115_687230"/>
      <w:bookmarkEnd w:id="64918"/>
      <w:r>
        <w:rPr>
          <w:rFonts w:hint="cs"/>
          <w:rtl/>
        </w:rPr>
        <w:t xml:space="preserve">היום </w:t>
      </w:r>
      <w:bookmarkStart w:id="64919" w:name="_ETM_Q115_687409"/>
      <w:bookmarkEnd w:id="64919"/>
      <w:r>
        <w:rPr>
          <w:rFonts w:hint="cs"/>
          <w:rtl/>
        </w:rPr>
        <w:t xml:space="preserve">גינויים </w:t>
      </w:r>
      <w:bookmarkStart w:id="64920" w:name="_ETM_Q115_687799"/>
      <w:bookmarkEnd w:id="64920"/>
      <w:r>
        <w:rPr>
          <w:rFonts w:hint="cs"/>
          <w:rtl/>
        </w:rPr>
        <w:t xml:space="preserve">לזה? </w:t>
      </w:r>
      <w:bookmarkStart w:id="64921" w:name="_ETM_Q115_688459"/>
      <w:bookmarkEnd w:id="64921"/>
      <w:r>
        <w:rPr>
          <w:rFonts w:hint="cs"/>
          <w:rtl/>
        </w:rPr>
        <w:t xml:space="preserve">הוא </w:t>
      </w:r>
      <w:bookmarkStart w:id="64922" w:name="_ETM_Q115_688790"/>
      <w:bookmarkEnd w:id="64922"/>
      <w:r>
        <w:rPr>
          <w:rFonts w:hint="cs"/>
          <w:rtl/>
        </w:rPr>
        <w:t xml:space="preserve">קרא </w:t>
      </w:r>
      <w:bookmarkStart w:id="64923" w:name="_ETM_Q115_689090"/>
      <w:bookmarkEnd w:id="64923"/>
      <w:r>
        <w:rPr>
          <w:rFonts w:hint="cs"/>
          <w:rtl/>
        </w:rPr>
        <w:t>להשתמטות</w:t>
      </w:r>
      <w:bookmarkStart w:id="64924" w:name="_ETM_Q115_690689"/>
      <w:bookmarkEnd w:id="64924"/>
      <w:r>
        <w:rPr>
          <w:rFonts w:hint="cs"/>
          <w:rtl/>
        </w:rPr>
        <w:t xml:space="preserve">. </w:t>
      </w:r>
      <w:bookmarkStart w:id="64925" w:name="_ETM_Q115_691199"/>
      <w:bookmarkStart w:id="64926" w:name="_ETM_Q115_691529"/>
      <w:bookmarkEnd w:id="64925"/>
      <w:bookmarkEnd w:id="64926"/>
      <w:r>
        <w:rPr>
          <w:rFonts w:hint="cs"/>
          <w:rtl/>
        </w:rPr>
        <w:t xml:space="preserve">אין </w:t>
      </w:r>
      <w:bookmarkStart w:id="64927" w:name="_ETM_Q115_691709"/>
      <w:bookmarkEnd w:id="64927"/>
      <w:r>
        <w:rPr>
          <w:rFonts w:hint="cs"/>
          <w:rtl/>
        </w:rPr>
        <w:t xml:space="preserve">לך </w:t>
      </w:r>
      <w:bookmarkStart w:id="64928" w:name="_ETM_Q115_692069"/>
      <w:bookmarkEnd w:id="64928"/>
      <w:r>
        <w:rPr>
          <w:rFonts w:hint="cs"/>
          <w:rtl/>
        </w:rPr>
        <w:t xml:space="preserve">איך </w:t>
      </w:r>
      <w:bookmarkStart w:id="64929" w:name="_ETM_Q115_692189"/>
      <w:bookmarkEnd w:id="64929"/>
      <w:r>
        <w:rPr>
          <w:rFonts w:hint="cs"/>
          <w:rtl/>
        </w:rPr>
        <w:t xml:space="preserve">לברוח </w:t>
      </w:r>
      <w:bookmarkStart w:id="64930" w:name="_ETM_Q115_692609"/>
      <w:bookmarkEnd w:id="64930"/>
      <w:r>
        <w:rPr>
          <w:rFonts w:hint="cs"/>
          <w:rtl/>
        </w:rPr>
        <w:t xml:space="preserve">מזה. </w:t>
      </w:r>
      <w:bookmarkStart w:id="64931" w:name="_ETM_Q115_694949"/>
      <w:bookmarkEnd w:id="64931"/>
      <w:r>
        <w:rPr>
          <w:rFonts w:hint="cs"/>
          <w:rtl/>
        </w:rPr>
        <w:t xml:space="preserve">אין </w:t>
      </w:r>
      <w:bookmarkStart w:id="64932" w:name="_ETM_Q115_695159"/>
      <w:bookmarkStart w:id="64933" w:name="_ETM_Q115_695279"/>
      <w:bookmarkEnd w:id="64932"/>
      <w:bookmarkEnd w:id="64933"/>
      <w:r>
        <w:rPr>
          <w:rFonts w:hint="cs"/>
          <w:rtl/>
        </w:rPr>
        <w:t xml:space="preserve">איך לברוח </w:t>
      </w:r>
      <w:bookmarkStart w:id="64934" w:name="_ETM_Q115_695699"/>
      <w:bookmarkEnd w:id="64934"/>
      <w:r>
        <w:rPr>
          <w:rFonts w:hint="cs"/>
          <w:rtl/>
        </w:rPr>
        <w:t xml:space="preserve">מזה, </w:t>
      </w:r>
      <w:bookmarkStart w:id="64935" w:name="_ETM_Q115_697985"/>
      <w:bookmarkStart w:id="64936" w:name="_ETM_Q115_696059"/>
      <w:bookmarkStart w:id="64937" w:name="_ETM_Q115_696449"/>
      <w:bookmarkEnd w:id="64935"/>
      <w:bookmarkEnd w:id="64936"/>
      <w:bookmarkEnd w:id="64937"/>
      <w:r>
        <w:rPr>
          <w:rFonts w:hint="cs"/>
          <w:rtl/>
        </w:rPr>
        <w:t xml:space="preserve">אשכרה </w:t>
      </w:r>
      <w:bookmarkStart w:id="64938" w:name="_ETM_Q115_696870"/>
      <w:bookmarkEnd w:id="64938"/>
      <w:r>
        <w:rPr>
          <w:rFonts w:hint="cs"/>
          <w:rtl/>
        </w:rPr>
        <w:t>קרא להשתמטות.</w:t>
      </w:r>
      <w:bookmarkStart w:id="64939" w:name="_ETM_Q115_701096"/>
      <w:bookmarkEnd w:id="64939"/>
    </w:p>
    <w:p w:rsidR="00BB59CD" w:rsidRDefault="00BB59CD" w:rsidP="00BB59CD">
      <w:pPr>
        <w:rPr>
          <w:rtl/>
        </w:rPr>
      </w:pPr>
      <w:bookmarkStart w:id="64940" w:name="_ETM_Q115_701207"/>
      <w:bookmarkStart w:id="64941" w:name="_ETM_Q115_701272"/>
      <w:bookmarkEnd w:id="64940"/>
      <w:bookmarkEnd w:id="64941"/>
    </w:p>
    <w:p w:rsidR="00BB59CD" w:rsidRDefault="00BB59CD" w:rsidP="00BB59CD">
      <w:pPr>
        <w:rPr>
          <w:rtl/>
        </w:rPr>
      </w:pPr>
      <w:bookmarkStart w:id="64942" w:name="_ETM_Q115_701370"/>
      <w:bookmarkStart w:id="64943" w:name="_ETM_Q115_697800"/>
      <w:bookmarkEnd w:id="64942"/>
      <w:bookmarkEnd w:id="64943"/>
      <w:r>
        <w:rPr>
          <w:rFonts w:hint="cs"/>
          <w:rtl/>
        </w:rPr>
        <w:t xml:space="preserve">בהזדמנות </w:t>
      </w:r>
      <w:bookmarkStart w:id="64944" w:name="_ETM_Q115_698309"/>
      <w:bookmarkEnd w:id="64944"/>
      <w:r>
        <w:rPr>
          <w:rFonts w:hint="cs"/>
          <w:rtl/>
        </w:rPr>
        <w:t xml:space="preserve">הזו, </w:t>
      </w:r>
      <w:bookmarkStart w:id="64945" w:name="_ETM_Q115_698970"/>
      <w:bookmarkEnd w:id="64945"/>
      <w:r>
        <w:rPr>
          <w:rFonts w:hint="cs"/>
          <w:rtl/>
        </w:rPr>
        <w:t xml:space="preserve">אני </w:t>
      </w:r>
      <w:bookmarkStart w:id="64946" w:name="_ETM_Q115_699150"/>
      <w:bookmarkEnd w:id="64946"/>
      <w:r>
        <w:rPr>
          <w:rFonts w:hint="cs"/>
          <w:rtl/>
        </w:rPr>
        <w:t xml:space="preserve">רוצה </w:t>
      </w:r>
      <w:bookmarkStart w:id="64947" w:name="_ETM_Q115_699390"/>
      <w:bookmarkEnd w:id="64947"/>
      <w:r>
        <w:rPr>
          <w:rFonts w:hint="cs"/>
          <w:rtl/>
        </w:rPr>
        <w:t xml:space="preserve">גם </w:t>
      </w:r>
      <w:bookmarkStart w:id="64948" w:name="_ETM_Q115_699540"/>
      <w:bookmarkEnd w:id="64948"/>
      <w:r>
        <w:rPr>
          <w:rFonts w:hint="cs"/>
          <w:rtl/>
        </w:rPr>
        <w:t xml:space="preserve">לאחל </w:t>
      </w:r>
      <w:bookmarkStart w:id="64949" w:name="_ETM_Q115_700110"/>
      <w:bookmarkEnd w:id="64949"/>
      <w:r>
        <w:rPr>
          <w:rFonts w:hint="cs"/>
          <w:rtl/>
        </w:rPr>
        <w:t xml:space="preserve">בוקר </w:t>
      </w:r>
      <w:bookmarkStart w:id="64950" w:name="_ETM_Q115_700470"/>
      <w:bookmarkEnd w:id="64950"/>
      <w:r>
        <w:rPr>
          <w:rFonts w:hint="cs"/>
          <w:rtl/>
        </w:rPr>
        <w:t xml:space="preserve">טוב </w:t>
      </w:r>
      <w:bookmarkStart w:id="64951" w:name="_ETM_Q115_702781"/>
      <w:bookmarkEnd w:id="64951"/>
      <w:r>
        <w:rPr>
          <w:rFonts w:hint="cs"/>
          <w:rtl/>
        </w:rPr>
        <w:t>ל</w:t>
      </w:r>
      <w:bookmarkStart w:id="64952" w:name="_ETM_Q115_701190"/>
      <w:bookmarkEnd w:id="64952"/>
      <w:r>
        <w:rPr>
          <w:rFonts w:hint="cs"/>
          <w:rtl/>
        </w:rPr>
        <w:t xml:space="preserve">חברת </w:t>
      </w:r>
      <w:bookmarkStart w:id="64953" w:name="_ETM_Q115_701550"/>
      <w:bookmarkEnd w:id="64953"/>
      <w:r>
        <w:rPr>
          <w:rFonts w:hint="cs"/>
          <w:rtl/>
        </w:rPr>
        <w:t xml:space="preserve">הכנסת </w:t>
      </w:r>
      <w:bookmarkStart w:id="64954" w:name="_ETM_Q115_702720"/>
      <w:bookmarkEnd w:id="64954"/>
      <w:r>
        <w:rPr>
          <w:rFonts w:hint="cs"/>
          <w:rtl/>
        </w:rPr>
        <w:t xml:space="preserve">מיכל </w:t>
      </w:r>
      <w:bookmarkStart w:id="64955" w:name="_ETM_Q115_703410"/>
      <w:bookmarkEnd w:id="64955"/>
      <w:r>
        <w:rPr>
          <w:rFonts w:hint="cs"/>
          <w:rtl/>
        </w:rPr>
        <w:t xml:space="preserve">שיר. </w:t>
      </w:r>
      <w:bookmarkStart w:id="64956" w:name="_ETM_Q115_704290"/>
      <w:bookmarkEnd w:id="64956"/>
      <w:r>
        <w:rPr>
          <w:rFonts w:hint="cs"/>
          <w:rtl/>
        </w:rPr>
        <w:t xml:space="preserve">מה </w:t>
      </w:r>
      <w:bookmarkStart w:id="64957" w:name="_ETM_Q115_704559"/>
      <w:bookmarkEnd w:id="64957"/>
      <w:r>
        <w:rPr>
          <w:rFonts w:hint="cs"/>
          <w:rtl/>
        </w:rPr>
        <w:t>שלומך?</w:t>
      </w:r>
    </w:p>
    <w:p w:rsidR="00BB59CD" w:rsidRDefault="00BB59CD" w:rsidP="00BB59CD">
      <w:pPr>
        <w:rPr>
          <w:rtl/>
        </w:rPr>
      </w:pPr>
      <w:bookmarkStart w:id="64958" w:name="_ETM_Q115_705832"/>
      <w:bookmarkStart w:id="64959" w:name="_ETM_Q115_705941"/>
      <w:bookmarkStart w:id="64960" w:name="_ETM_Q115_706008"/>
      <w:bookmarkEnd w:id="64958"/>
      <w:bookmarkEnd w:id="64959"/>
      <w:bookmarkEnd w:id="64960"/>
    </w:p>
    <w:p w:rsidR="00BB59CD" w:rsidRDefault="00BB59CD" w:rsidP="00BB59CD">
      <w:pPr>
        <w:pStyle w:val="af8"/>
        <w:keepNext/>
        <w:rPr>
          <w:rtl/>
        </w:rPr>
      </w:pPr>
      <w:bookmarkStart w:id="64961" w:name="_ETM_Q115_706110"/>
      <w:bookmarkStart w:id="64962" w:name="_ETM_Q115_706184"/>
      <w:bookmarkStart w:id="64963" w:name="ET_interruption_5809_35"/>
      <w:bookmarkEnd w:id="64961"/>
      <w:bookmarkEnd w:id="64962"/>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64963"/>
    </w:p>
    <w:p w:rsidR="00BB59CD" w:rsidRDefault="00BB59CD" w:rsidP="00337201">
      <w:pPr>
        <w:rPr>
          <w:rtl/>
        </w:rPr>
      </w:pPr>
    </w:p>
    <w:p w:rsidR="00BB59CD" w:rsidRDefault="00BB59CD" w:rsidP="00BB59CD">
      <w:pPr>
        <w:rPr>
          <w:rtl/>
        </w:rPr>
      </w:pPr>
      <w:r>
        <w:rPr>
          <w:rFonts w:hint="cs"/>
          <w:rtl/>
        </w:rPr>
        <w:t xml:space="preserve">בוקר טוב. שיהיה לנו בוקר טוב - - - </w:t>
      </w:r>
      <w:bookmarkStart w:id="64964" w:name="_ETM_Q115_707348"/>
      <w:bookmarkEnd w:id="64964"/>
    </w:p>
    <w:p w:rsidR="00BB59CD" w:rsidRDefault="00BB59CD" w:rsidP="00BB59CD">
      <w:pPr>
        <w:rPr>
          <w:rtl/>
        </w:rPr>
      </w:pPr>
      <w:bookmarkStart w:id="64965" w:name="_ETM_Q115_707451"/>
      <w:bookmarkStart w:id="64966" w:name="_ETM_Q115_707492"/>
      <w:bookmarkEnd w:id="64965"/>
      <w:bookmarkEnd w:id="64966"/>
    </w:p>
    <w:p w:rsidR="00BB59CD" w:rsidRDefault="00BB59CD" w:rsidP="00BB59CD">
      <w:pPr>
        <w:pStyle w:val="-"/>
        <w:keepNext/>
        <w:rPr>
          <w:rtl/>
        </w:rPr>
      </w:pPr>
      <w:bookmarkStart w:id="64967" w:name="_ETM_Q115_707595"/>
      <w:bookmarkEnd w:id="6496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312A77">
      <w:pPr>
        <w:rPr>
          <w:rtl/>
        </w:rPr>
      </w:pPr>
      <w:bookmarkStart w:id="64968" w:name="_ETM_Q115_708598"/>
      <w:bookmarkEnd w:id="64968"/>
      <w:r>
        <w:rPr>
          <w:rFonts w:hint="cs"/>
          <w:rtl/>
        </w:rPr>
        <w:t>אני</w:t>
      </w:r>
      <w:bookmarkStart w:id="64969" w:name="_ETM_Q115_706114"/>
      <w:bookmarkEnd w:id="64969"/>
      <w:r>
        <w:rPr>
          <w:rFonts w:hint="cs"/>
          <w:rtl/>
        </w:rPr>
        <w:t xml:space="preserve"> רוצה לאחל ולהגיד: כל הכבוד לכל </w:t>
      </w:r>
      <w:r w:rsidR="00312A77">
        <w:rPr>
          <w:rFonts w:hint="cs"/>
          <w:rtl/>
        </w:rPr>
        <w:t>שלושת</w:t>
      </w:r>
      <w:r>
        <w:rPr>
          <w:rFonts w:hint="cs"/>
          <w:rtl/>
        </w:rPr>
        <w:t xml:space="preserve"> מיליוני המפגינים שהיו </w:t>
      </w:r>
      <w:bookmarkStart w:id="64970" w:name="_ETM_Q115_710379"/>
      <w:bookmarkEnd w:id="64970"/>
      <w:r>
        <w:rPr>
          <w:rFonts w:hint="cs"/>
          <w:rtl/>
        </w:rPr>
        <w:t xml:space="preserve">היום בקפלן. היה מחזה מרשים. הם נפרסו מקפלן ועד חדרה. </w:t>
      </w:r>
      <w:bookmarkStart w:id="64971" w:name="_ETM_Q115_717207"/>
      <w:bookmarkEnd w:id="64971"/>
      <w:r>
        <w:rPr>
          <w:rFonts w:hint="cs"/>
          <w:rtl/>
        </w:rPr>
        <w:t xml:space="preserve">היו חסימות כבישים מאוד מרכזיות. כל הכבוד לכם. גם כל </w:t>
      </w:r>
      <w:bookmarkStart w:id="64972" w:name="_ETM_Q115_722380"/>
      <w:bookmarkEnd w:id="64972"/>
      <w:r>
        <w:rPr>
          <w:rFonts w:hint="cs"/>
          <w:rtl/>
        </w:rPr>
        <w:t xml:space="preserve">הכבוד לצה"ל, בהזדמנות הזו. באמת, שאפו גדול. גם משטרת </w:t>
      </w:r>
      <w:bookmarkStart w:id="64973" w:name="_ETM_Q115_727035"/>
      <w:bookmarkEnd w:id="64973"/>
      <w:r>
        <w:rPr>
          <w:rFonts w:hint="cs"/>
          <w:rtl/>
        </w:rPr>
        <w:t xml:space="preserve">ישראל, כל הכבוד לכם על העבודה והיכולת לשמור על </w:t>
      </w:r>
      <w:bookmarkStart w:id="64974" w:name="_ETM_Q115_728524"/>
      <w:bookmarkEnd w:id="64974"/>
      <w:r>
        <w:rPr>
          <w:rFonts w:hint="cs"/>
          <w:rtl/>
        </w:rPr>
        <w:t xml:space="preserve">הסדר הציבורי של </w:t>
      </w:r>
      <w:r w:rsidR="00312A77">
        <w:rPr>
          <w:rFonts w:hint="cs"/>
          <w:rtl/>
        </w:rPr>
        <w:t>שלושת</w:t>
      </w:r>
      <w:r>
        <w:rPr>
          <w:rFonts w:hint="cs"/>
          <w:rtl/>
        </w:rPr>
        <w:t xml:space="preserve"> מיליון המפגינים. היית בהפגנה?</w:t>
      </w:r>
    </w:p>
    <w:p w:rsidR="00BB59CD" w:rsidRDefault="00BB59CD" w:rsidP="00BB59CD">
      <w:pPr>
        <w:rPr>
          <w:rtl/>
        </w:rPr>
      </w:pPr>
      <w:bookmarkStart w:id="64975" w:name="_ETM_Q115_734542"/>
      <w:bookmarkEnd w:id="64975"/>
    </w:p>
    <w:p w:rsidR="00BB59CD" w:rsidRDefault="00BB59CD" w:rsidP="00BB59CD">
      <w:pPr>
        <w:pStyle w:val="af9"/>
        <w:keepNext/>
        <w:rPr>
          <w:rtl/>
        </w:rPr>
      </w:pPr>
      <w:bookmarkStart w:id="64976" w:name="_ETM_Q115_734758"/>
      <w:bookmarkStart w:id="64977" w:name="_ETM_Q115_734791"/>
      <w:bookmarkStart w:id="64978" w:name="_ETM_Q115_734867"/>
      <w:bookmarkEnd w:id="64976"/>
      <w:bookmarkEnd w:id="64977"/>
      <w:bookmarkEnd w:id="6497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הייתי פה. אבל </w:t>
      </w:r>
      <w:bookmarkStart w:id="64979" w:name="_ETM_Q115_736807"/>
      <w:bookmarkEnd w:id="64979"/>
      <w:r>
        <w:rPr>
          <w:rFonts w:hint="cs"/>
          <w:rtl/>
        </w:rPr>
        <w:t xml:space="preserve">אני לא חושב שמישהו צריך לזלזל בצד אחד של המפגינים. </w:t>
      </w:r>
      <w:bookmarkStart w:id="64980" w:name="_ETM_Q115_734262"/>
      <w:bookmarkEnd w:id="64980"/>
      <w:r>
        <w:rPr>
          <w:rFonts w:hint="cs"/>
          <w:rtl/>
        </w:rPr>
        <w:t xml:space="preserve">יש מפגינים משני הצדדים, וזו מדינה דמוקרטית. </w:t>
      </w:r>
      <w:bookmarkStart w:id="64981" w:name="_ETM_Q115_741340"/>
      <w:bookmarkEnd w:id="64981"/>
    </w:p>
    <w:p w:rsidR="00BB59CD" w:rsidRDefault="00BB59CD" w:rsidP="00BB59CD">
      <w:pPr>
        <w:rPr>
          <w:rtl/>
        </w:rPr>
      </w:pPr>
      <w:bookmarkStart w:id="64982" w:name="_ETM_Q115_741467"/>
      <w:bookmarkStart w:id="64983" w:name="_ETM_Q115_741500"/>
      <w:bookmarkStart w:id="64984" w:name="_ETM_Q115_741606"/>
      <w:bookmarkEnd w:id="64982"/>
      <w:bookmarkEnd w:id="64983"/>
      <w:bookmarkEnd w:id="64984"/>
    </w:p>
    <w:p w:rsidR="00BB59CD" w:rsidRDefault="00BB59CD" w:rsidP="00BB59CD">
      <w:pPr>
        <w:pStyle w:val="-"/>
        <w:keepNext/>
        <w:rPr>
          <w:rtl/>
        </w:rPr>
      </w:pPr>
      <w:bookmarkStart w:id="64985" w:name="ET_speakercontinue_6361_3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985"/>
    </w:p>
    <w:p w:rsidR="00BB59CD" w:rsidRDefault="00BB59CD" w:rsidP="00337201">
      <w:pPr>
        <w:rPr>
          <w:rtl/>
        </w:rPr>
      </w:pPr>
    </w:p>
    <w:p w:rsidR="00BB59CD" w:rsidRDefault="00BB59CD" w:rsidP="00312A77">
      <w:pPr>
        <w:rPr>
          <w:rtl/>
        </w:rPr>
      </w:pPr>
      <w:bookmarkStart w:id="64986" w:name="_ETM_Q115_742720"/>
      <w:bookmarkEnd w:id="64986"/>
      <w:r>
        <w:rPr>
          <w:rFonts w:hint="cs"/>
          <w:rtl/>
        </w:rPr>
        <w:t>אוה, איך</w:t>
      </w:r>
      <w:bookmarkStart w:id="64987" w:name="_ETM_Q115_739355"/>
      <w:bookmarkEnd w:id="64987"/>
      <w:r>
        <w:rPr>
          <w:rFonts w:hint="cs"/>
          <w:rtl/>
        </w:rPr>
        <w:t xml:space="preserve"> אני אוהב שאומרים לי: לא צריך לזלזל במפגינים </w:t>
      </w:r>
      <w:r w:rsidR="00312A77">
        <w:rPr>
          <w:rFonts w:hint="eastAsia"/>
          <w:rtl/>
        </w:rPr>
        <w:t>–</w:t>
      </w:r>
      <w:r w:rsidR="00312A77">
        <w:rPr>
          <w:rFonts w:hint="cs"/>
          <w:rtl/>
        </w:rPr>
        <w:t xml:space="preserve"> </w:t>
      </w:r>
      <w:r>
        <w:rPr>
          <w:rFonts w:hint="cs"/>
          <w:rtl/>
        </w:rPr>
        <w:t xml:space="preserve">כשכבר </w:t>
      </w:r>
      <w:bookmarkStart w:id="64988" w:name="_ETM_Q115_741687"/>
      <w:bookmarkEnd w:id="64988"/>
      <w:r>
        <w:rPr>
          <w:rFonts w:hint="cs"/>
          <w:rtl/>
        </w:rPr>
        <w:t xml:space="preserve">חצי שנה מזלזלים בהפגנה. </w:t>
      </w:r>
    </w:p>
    <w:p w:rsidR="00BB59CD" w:rsidRDefault="00BB59CD" w:rsidP="00BB59CD">
      <w:pPr>
        <w:rPr>
          <w:rtl/>
        </w:rPr>
      </w:pPr>
      <w:bookmarkStart w:id="64989" w:name="_ETM_Q115_747087"/>
      <w:bookmarkStart w:id="64990" w:name="_ETM_Q115_747196"/>
      <w:bookmarkStart w:id="64991" w:name="_ETM_Q115_747247"/>
      <w:bookmarkStart w:id="64992" w:name="_ETM_Q115_747377"/>
      <w:bookmarkEnd w:id="64989"/>
      <w:bookmarkEnd w:id="64990"/>
      <w:bookmarkEnd w:id="64991"/>
      <w:bookmarkEnd w:id="64992"/>
    </w:p>
    <w:p w:rsidR="00BB59CD" w:rsidRDefault="00BB59CD" w:rsidP="00BB59CD">
      <w:pPr>
        <w:pStyle w:val="af9"/>
        <w:keepNext/>
        <w:rPr>
          <w:rtl/>
        </w:rPr>
      </w:pPr>
      <w:bookmarkStart w:id="64993" w:name="ET_yor_6488_3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4993"/>
    </w:p>
    <w:p w:rsidR="00BB59CD" w:rsidRDefault="00BB59CD" w:rsidP="00337201">
      <w:pPr>
        <w:rPr>
          <w:rtl/>
        </w:rPr>
      </w:pPr>
    </w:p>
    <w:p w:rsidR="00BB59CD" w:rsidRDefault="00BB59CD" w:rsidP="00BB59CD">
      <w:pPr>
        <w:rPr>
          <w:rtl/>
        </w:rPr>
      </w:pPr>
      <w:bookmarkStart w:id="64994" w:name="_ETM_Q115_748386"/>
      <w:bookmarkEnd w:id="64994"/>
      <w:r>
        <w:rPr>
          <w:rFonts w:hint="cs"/>
          <w:rtl/>
        </w:rPr>
        <w:t>לא, לא מזלזלים. אף פעם לא</w:t>
      </w:r>
      <w:bookmarkStart w:id="64995" w:name="_ETM_Q115_748629"/>
      <w:bookmarkEnd w:id="64995"/>
      <w:r>
        <w:rPr>
          <w:rFonts w:hint="cs"/>
          <w:rtl/>
        </w:rPr>
        <w:t xml:space="preserve"> אמרנו. </w:t>
      </w:r>
    </w:p>
    <w:p w:rsidR="00BB59CD" w:rsidRDefault="00BB59CD" w:rsidP="00BB59CD">
      <w:pPr>
        <w:rPr>
          <w:rtl/>
        </w:rPr>
      </w:pPr>
    </w:p>
    <w:p w:rsidR="00BB59CD" w:rsidRDefault="00BB59CD" w:rsidP="00BB59CD">
      <w:pPr>
        <w:pStyle w:val="-"/>
        <w:keepNext/>
        <w:rPr>
          <w:rtl/>
        </w:rPr>
      </w:pPr>
      <w:bookmarkStart w:id="64996" w:name="ET_speakercontinue_6361_4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4996"/>
    </w:p>
    <w:p w:rsidR="00BB59CD" w:rsidRDefault="00BB59CD" w:rsidP="00337201">
      <w:pPr>
        <w:rPr>
          <w:rtl/>
        </w:rPr>
      </w:pPr>
    </w:p>
    <w:p w:rsidR="00BB59CD" w:rsidRDefault="00BB59CD" w:rsidP="00312A77">
      <w:pPr>
        <w:rPr>
          <w:rtl/>
        </w:rPr>
      </w:pPr>
      <w:r>
        <w:rPr>
          <w:rFonts w:hint="cs"/>
          <w:rtl/>
        </w:rPr>
        <w:t>מזלזלים בהפגנות. סופרים לנו אנשים כאילו עכשיו נהי</w:t>
      </w:r>
      <w:r w:rsidR="00312A77">
        <w:rPr>
          <w:rFonts w:hint="cs"/>
          <w:rtl/>
        </w:rPr>
        <w:t>ה</w:t>
      </w:r>
      <w:r>
        <w:rPr>
          <w:rFonts w:hint="cs"/>
          <w:rtl/>
        </w:rPr>
        <w:t xml:space="preserve"> כל אחד </w:t>
      </w:r>
      <w:r>
        <w:t>–</w:t>
      </w:r>
      <w:r>
        <w:rPr>
          <w:rFonts w:hint="cs"/>
          <w:rtl/>
        </w:rPr>
        <w:t xml:space="preserve"> יש מקצוע חדש בפקולטה באוניברסיטת תל אביב: </w:t>
      </w:r>
      <w:bookmarkStart w:id="64997" w:name="_ETM_Q115_755429"/>
      <w:bookmarkEnd w:id="64997"/>
      <w:r>
        <w:rPr>
          <w:rFonts w:hint="cs"/>
          <w:rtl/>
        </w:rPr>
        <w:t xml:space="preserve">ספירת אנשים בהפגנות. זה חלק ממדעי החיים. אנחנו רוצים להחיות </w:t>
      </w:r>
      <w:bookmarkStart w:id="64998" w:name="_ETM_Q115_759617"/>
      <w:bookmarkEnd w:id="64998"/>
      <w:r>
        <w:rPr>
          <w:rFonts w:hint="cs"/>
          <w:rtl/>
        </w:rPr>
        <w:t>את הפקולטה הזאת. יושב פה שר במשרד החינוך. תודה רבה</w:t>
      </w:r>
      <w:bookmarkStart w:id="64999" w:name="_ETM_Q115_767300"/>
      <w:bookmarkEnd w:id="64999"/>
      <w:r>
        <w:rPr>
          <w:rFonts w:hint="cs"/>
          <w:rtl/>
        </w:rPr>
        <w:t xml:space="preserve"> על פתיחת הפקולטה. </w:t>
      </w:r>
      <w:bookmarkStart w:id="65000" w:name="_ETM_Q115_766922"/>
      <w:bookmarkStart w:id="65001" w:name="_ETM_Q115_767008"/>
      <w:bookmarkStart w:id="65002" w:name="_ETM_Q115_767083"/>
      <w:bookmarkStart w:id="65003" w:name="_ETM_Q115_767162"/>
      <w:bookmarkStart w:id="65004" w:name="_ETM_Q115_767402"/>
      <w:bookmarkStart w:id="65005" w:name="TOR_Q116"/>
      <w:bookmarkEnd w:id="65000"/>
      <w:bookmarkEnd w:id="65001"/>
      <w:bookmarkEnd w:id="65002"/>
      <w:bookmarkEnd w:id="65003"/>
      <w:bookmarkEnd w:id="65004"/>
      <w:bookmarkEnd w:id="65005"/>
      <w:r>
        <w:rPr>
          <w:rFonts w:hint="cs"/>
          <w:rtl/>
        </w:rPr>
        <w:t xml:space="preserve">מי שהולך להיות יושב-ראש החוג ולהקים את כל הקונסטרוקציה הזו </w:t>
      </w:r>
      <w:bookmarkStart w:id="65006" w:name="_ETM_Q116_159995"/>
      <w:bookmarkEnd w:id="65006"/>
      <w:r>
        <w:rPr>
          <w:rFonts w:hint="cs"/>
          <w:rtl/>
        </w:rPr>
        <w:t xml:space="preserve">זה איתמר בן גביר, אחרי שיפטרו אותו מממשלת ישראל </w:t>
      </w:r>
      <w:bookmarkStart w:id="65007" w:name="_ETM_Q116_172615"/>
      <w:bookmarkStart w:id="65008" w:name="_ETM_Q116_180000"/>
      <w:bookmarkEnd w:id="65007"/>
      <w:bookmarkEnd w:id="65008"/>
      <w:r>
        <w:rPr>
          <w:rFonts w:hint="cs"/>
          <w:rtl/>
        </w:rPr>
        <w:t>על ביצועיו הכושלים. כן.</w:t>
      </w:r>
    </w:p>
    <w:p w:rsidR="00BB59CD" w:rsidRDefault="00BB59CD" w:rsidP="00BB59CD">
      <w:pPr>
        <w:rPr>
          <w:rtl/>
        </w:rPr>
      </w:pPr>
      <w:bookmarkStart w:id="65009" w:name="_ETM_Q116_171971"/>
      <w:bookmarkStart w:id="65010" w:name="_ETM_Q116_172081"/>
      <w:bookmarkStart w:id="65011" w:name="_ETM_Q116_172147"/>
      <w:bookmarkEnd w:id="65009"/>
      <w:bookmarkEnd w:id="65010"/>
      <w:bookmarkEnd w:id="65011"/>
    </w:p>
    <w:p w:rsidR="00BB59CD" w:rsidRDefault="00BB59CD" w:rsidP="00BB59CD">
      <w:pPr>
        <w:pStyle w:val="af9"/>
        <w:keepNext/>
        <w:rPr>
          <w:rtl/>
        </w:rPr>
      </w:pPr>
      <w:bookmarkStart w:id="65012" w:name="_ETM_Q116_172248"/>
      <w:bookmarkStart w:id="65013" w:name="_ETM_Q116_172340"/>
      <w:bookmarkEnd w:id="65012"/>
      <w:bookmarkEnd w:id="6501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5014" w:name="_ETM_Q116_175551"/>
      <w:bookmarkEnd w:id="65014"/>
      <w:r>
        <w:rPr>
          <w:rFonts w:hint="cs"/>
          <w:rtl/>
        </w:rPr>
        <w:t>הפגנות ומחאות זה דבר</w:t>
      </w:r>
      <w:bookmarkStart w:id="65015" w:name="_ETM_Q116_175890"/>
      <w:bookmarkEnd w:id="65015"/>
      <w:r>
        <w:rPr>
          <w:rFonts w:hint="cs"/>
          <w:rtl/>
        </w:rPr>
        <w:t xml:space="preserve"> חשוב. זה להשמיע כל אחד את הקול שלו, זה חשוב. </w:t>
      </w:r>
      <w:bookmarkStart w:id="65016" w:name="_ETM_Q116_177073"/>
      <w:bookmarkEnd w:id="65016"/>
      <w:r>
        <w:rPr>
          <w:rFonts w:hint="cs"/>
          <w:rtl/>
        </w:rPr>
        <w:t>הדבר היחיד שאנשים מתקוממים</w:t>
      </w:r>
      <w:r w:rsidR="00312A77">
        <w:rPr>
          <w:rFonts w:hint="cs"/>
          <w:rtl/>
        </w:rPr>
        <w:t xml:space="preserve"> עליו</w:t>
      </w:r>
      <w:r>
        <w:rPr>
          <w:rFonts w:hint="cs"/>
          <w:rtl/>
        </w:rPr>
        <w:t xml:space="preserve"> זה נושא של חסימות הכבישים וכו'. </w:t>
      </w:r>
      <w:bookmarkStart w:id="65017" w:name="_ETM_Q116_185046"/>
      <w:bookmarkStart w:id="65018" w:name="_ETM_Q116_172453"/>
      <w:bookmarkStart w:id="65019" w:name="_ETM_Q116_172521"/>
      <w:bookmarkStart w:id="65020" w:name="_ETM_Q116_172621"/>
      <w:bookmarkStart w:id="65021" w:name="_ETM_Q116_180599"/>
      <w:bookmarkStart w:id="65022" w:name="_ETM_Q116_181709"/>
      <w:bookmarkStart w:id="65023" w:name="_ETM_Q116_182190"/>
      <w:bookmarkStart w:id="65024" w:name="_ETM_Q116_182580"/>
      <w:bookmarkStart w:id="65025" w:name="_ETM_Q116_182820"/>
      <w:bookmarkStart w:id="65026" w:name="_ETM_Q116_183270"/>
      <w:bookmarkStart w:id="65027" w:name="_ETM_Q116_183629"/>
      <w:bookmarkStart w:id="65028" w:name="_ETM_Q116_184080"/>
      <w:bookmarkEnd w:id="65017"/>
      <w:bookmarkEnd w:id="65018"/>
      <w:bookmarkEnd w:id="65019"/>
      <w:bookmarkEnd w:id="65020"/>
      <w:bookmarkEnd w:id="65021"/>
      <w:bookmarkEnd w:id="65022"/>
      <w:bookmarkEnd w:id="65023"/>
      <w:bookmarkEnd w:id="65024"/>
      <w:bookmarkEnd w:id="65025"/>
      <w:bookmarkEnd w:id="65026"/>
      <w:bookmarkEnd w:id="65027"/>
      <w:bookmarkEnd w:id="65028"/>
      <w:r>
        <w:rPr>
          <w:rFonts w:hint="cs"/>
          <w:rtl/>
        </w:rPr>
        <w:t xml:space="preserve">פייגלין, </w:t>
      </w:r>
      <w:bookmarkStart w:id="65029" w:name="_ETM_Q116_184529"/>
      <w:bookmarkStart w:id="65030" w:name="_ETM_Q116_185730"/>
      <w:bookmarkEnd w:id="65029"/>
      <w:bookmarkEnd w:id="65030"/>
      <w:r>
        <w:rPr>
          <w:rFonts w:hint="cs"/>
          <w:rtl/>
        </w:rPr>
        <w:t xml:space="preserve">במקום </w:t>
      </w:r>
      <w:bookmarkStart w:id="65031" w:name="_ETM_Q116_186089"/>
      <w:bookmarkEnd w:id="65031"/>
      <w:r>
        <w:rPr>
          <w:rFonts w:hint="cs"/>
          <w:rtl/>
        </w:rPr>
        <w:t xml:space="preserve">18 </w:t>
      </w:r>
      <w:bookmarkStart w:id="65032" w:name="_ETM_Q116_186540"/>
      <w:bookmarkEnd w:id="65032"/>
      <w:r>
        <w:rPr>
          <w:rFonts w:hint="cs"/>
          <w:rtl/>
        </w:rPr>
        <w:t>חודשים, המירו לו את זה ל</w:t>
      </w:r>
      <w:bookmarkStart w:id="65033" w:name="_ETM_Q116_186990"/>
      <w:bookmarkEnd w:id="65033"/>
      <w:r>
        <w:rPr>
          <w:rFonts w:hint="cs"/>
          <w:rtl/>
        </w:rPr>
        <w:t>שישה חודשים עבודות שירות</w:t>
      </w:r>
      <w:bookmarkStart w:id="65034" w:name="_ETM_Q116_187410"/>
      <w:bookmarkStart w:id="65035" w:name="_ETM_Q116_187529"/>
      <w:bookmarkStart w:id="65036" w:name="_ETM_Q116_187589"/>
      <w:bookmarkStart w:id="65037" w:name="_ETM_Q116_187680"/>
      <w:bookmarkStart w:id="65038" w:name="_ETM_Q116_187980"/>
      <w:bookmarkStart w:id="65039" w:name="_ETM_Q116_188400"/>
      <w:bookmarkStart w:id="65040" w:name="_ETM_Q116_188700"/>
      <w:bookmarkEnd w:id="65034"/>
      <w:bookmarkEnd w:id="65035"/>
      <w:bookmarkEnd w:id="65036"/>
      <w:bookmarkEnd w:id="65037"/>
      <w:bookmarkEnd w:id="65038"/>
      <w:bookmarkEnd w:id="65039"/>
      <w:bookmarkEnd w:id="65040"/>
      <w:r>
        <w:rPr>
          <w:rFonts w:hint="cs"/>
          <w:rtl/>
        </w:rPr>
        <w:t xml:space="preserve">. </w:t>
      </w:r>
      <w:bookmarkStart w:id="65041" w:name="_ETM_Q116_189269"/>
      <w:bookmarkEnd w:id="65041"/>
      <w:r>
        <w:rPr>
          <w:rFonts w:hint="cs"/>
          <w:rtl/>
        </w:rPr>
        <w:t xml:space="preserve">הוא </w:t>
      </w:r>
      <w:bookmarkStart w:id="65042" w:name="_ETM_Q116_189389"/>
      <w:bookmarkEnd w:id="65042"/>
      <w:r>
        <w:rPr>
          <w:rFonts w:hint="cs"/>
          <w:rtl/>
        </w:rPr>
        <w:t xml:space="preserve">לא </w:t>
      </w:r>
      <w:bookmarkStart w:id="65043" w:name="_ETM_Q116_189510"/>
      <w:bookmarkEnd w:id="65043"/>
      <w:r>
        <w:rPr>
          <w:rFonts w:hint="cs"/>
          <w:rtl/>
        </w:rPr>
        <w:t xml:space="preserve">חסם </w:t>
      </w:r>
      <w:bookmarkStart w:id="65044" w:name="_ETM_Q116_189929"/>
      <w:bookmarkEnd w:id="65044"/>
      <w:r>
        <w:rPr>
          <w:rFonts w:hint="cs"/>
          <w:rtl/>
        </w:rPr>
        <w:t xml:space="preserve">כביש, </w:t>
      </w:r>
      <w:bookmarkStart w:id="65045" w:name="_ETM_Q116_190916"/>
      <w:bookmarkEnd w:id="65045"/>
      <w:r>
        <w:rPr>
          <w:rFonts w:hint="cs"/>
          <w:rtl/>
        </w:rPr>
        <w:t xml:space="preserve">הוא קרא לחסום כבישים. העונש על חסימת ציר מרכזי זה </w:t>
      </w:r>
      <w:bookmarkStart w:id="65046" w:name="_ETM_Q116_190754"/>
      <w:bookmarkEnd w:id="65046"/>
      <w:r>
        <w:rPr>
          <w:rFonts w:hint="cs"/>
          <w:rtl/>
        </w:rPr>
        <w:t xml:space="preserve">20 שנה. </w:t>
      </w:r>
      <w:bookmarkStart w:id="65047" w:name="_ETM_Q116_190230"/>
      <w:bookmarkStart w:id="65048" w:name="_ETM_Q116_190559"/>
      <w:bookmarkStart w:id="65049" w:name="_ETM_Q116_190860"/>
      <w:bookmarkStart w:id="65050" w:name="_ETM_Q116_191670"/>
      <w:bookmarkStart w:id="65051" w:name="_ETM_Q116_192150"/>
      <w:bookmarkStart w:id="65052" w:name="_ETM_Q116_192240"/>
      <w:bookmarkStart w:id="65053" w:name="_ETM_Q116_192780"/>
      <w:bookmarkStart w:id="65054" w:name="_ETM_Q116_193019"/>
      <w:bookmarkStart w:id="65055" w:name="_ETM_Q116_193469"/>
      <w:bookmarkStart w:id="65056" w:name="_ETM_Q116_193590"/>
      <w:bookmarkStart w:id="65057" w:name="_ETM_Q116_193860"/>
      <w:bookmarkEnd w:id="65047"/>
      <w:bookmarkEnd w:id="65048"/>
      <w:bookmarkEnd w:id="65049"/>
      <w:bookmarkEnd w:id="65050"/>
      <w:bookmarkEnd w:id="65051"/>
      <w:bookmarkEnd w:id="65052"/>
      <w:bookmarkEnd w:id="65053"/>
      <w:bookmarkEnd w:id="65054"/>
      <w:bookmarkEnd w:id="65055"/>
      <w:bookmarkEnd w:id="65056"/>
      <w:bookmarkEnd w:id="65057"/>
    </w:p>
    <w:p w:rsidR="00BB59CD" w:rsidRDefault="00BB59CD" w:rsidP="00BB59CD">
      <w:pPr>
        <w:rPr>
          <w:rtl/>
        </w:rPr>
      </w:pPr>
      <w:bookmarkStart w:id="65058" w:name="_ETM_Q116_194857"/>
      <w:bookmarkStart w:id="65059" w:name="_ETM_Q116_194977"/>
      <w:bookmarkStart w:id="65060" w:name="_ETM_Q116_195053"/>
      <w:bookmarkEnd w:id="65058"/>
      <w:bookmarkEnd w:id="65059"/>
      <w:bookmarkEnd w:id="65060"/>
    </w:p>
    <w:p w:rsidR="00BB59CD" w:rsidRDefault="00BB59CD" w:rsidP="00BB59CD">
      <w:pPr>
        <w:pStyle w:val="-"/>
        <w:keepNext/>
        <w:rPr>
          <w:rtl/>
        </w:rPr>
      </w:pPr>
      <w:bookmarkStart w:id="65061" w:name="_ETM_Q116_195167"/>
      <w:bookmarkEnd w:id="6506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מה, זה היה לפני 20 שנה? על ההתנתקות </w:t>
      </w:r>
      <w:bookmarkStart w:id="65062" w:name="_ETM_Q116_194937"/>
      <w:bookmarkEnd w:id="65062"/>
      <w:r>
        <w:rPr>
          <w:rFonts w:hint="cs"/>
          <w:rtl/>
        </w:rPr>
        <w:t>אתה מדבר?</w:t>
      </w:r>
    </w:p>
    <w:p w:rsidR="00BB59CD" w:rsidRDefault="00BB59CD" w:rsidP="00BB59CD">
      <w:pPr>
        <w:rPr>
          <w:rtl/>
        </w:rPr>
      </w:pPr>
      <w:bookmarkStart w:id="65063" w:name="_ETM_Q116_196890"/>
      <w:bookmarkStart w:id="65064" w:name="_ETM_Q116_197011"/>
      <w:bookmarkStart w:id="65065" w:name="_ETM_Q116_197033"/>
      <w:bookmarkStart w:id="65066" w:name="_ETM_Q116_197131"/>
      <w:bookmarkEnd w:id="65063"/>
      <w:bookmarkEnd w:id="65064"/>
      <w:bookmarkEnd w:id="65065"/>
      <w:bookmarkEnd w:id="65066"/>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5067" w:name="_ETM_Q116_198576"/>
      <w:bookmarkEnd w:id="65067"/>
      <w:r>
        <w:rPr>
          <w:rFonts w:hint="cs"/>
          <w:rtl/>
        </w:rPr>
        <w:t xml:space="preserve">לא משנה, בחלק </w:t>
      </w:r>
      <w:bookmarkStart w:id="65068" w:name="_ETM_Q116_197084"/>
      <w:bookmarkEnd w:id="65068"/>
      <w:r>
        <w:rPr>
          <w:rFonts w:hint="cs"/>
          <w:rtl/>
        </w:rPr>
        <w:t xml:space="preserve">הזה, זה פעם אחר פעם חסימת כבישים. זה נזק כלכלי </w:t>
      </w:r>
      <w:bookmarkStart w:id="65069" w:name="_ETM_Q116_202263"/>
      <w:bookmarkEnd w:id="65069"/>
      <w:r>
        <w:rPr>
          <w:rFonts w:hint="cs"/>
          <w:rtl/>
        </w:rPr>
        <w:t xml:space="preserve">והכול, אני אומר. אבל למחות זה בסדר. גם פה </w:t>
      </w:r>
      <w:bookmarkStart w:id="65070" w:name="_ETM_Q116_206005"/>
      <w:bookmarkEnd w:id="65070"/>
      <w:r>
        <w:rPr>
          <w:rFonts w:hint="cs"/>
          <w:rtl/>
        </w:rPr>
        <w:t xml:space="preserve">ליד הכנסת, אף אחד לא מתלונן. </w:t>
      </w:r>
    </w:p>
    <w:p w:rsidR="00BB59CD" w:rsidRDefault="00BB59CD" w:rsidP="00BB59CD">
      <w:pPr>
        <w:rPr>
          <w:rtl/>
        </w:rPr>
      </w:pPr>
      <w:bookmarkStart w:id="65071" w:name="_ETM_Q116_204186"/>
      <w:bookmarkStart w:id="65072" w:name="_ETM_Q116_204339"/>
      <w:bookmarkEnd w:id="65071"/>
      <w:bookmarkEnd w:id="65072"/>
    </w:p>
    <w:p w:rsidR="00BB59CD" w:rsidRDefault="00BB59CD" w:rsidP="00BB59CD">
      <w:pPr>
        <w:pStyle w:val="-"/>
        <w:keepNext/>
        <w:rPr>
          <w:rtl/>
        </w:rPr>
      </w:pPr>
      <w:bookmarkStart w:id="65073" w:name="_ETM_Q116_204365"/>
      <w:bookmarkStart w:id="65074" w:name="_ETM_Q116_204469"/>
      <w:bookmarkEnd w:id="65073"/>
      <w:bookmarkEnd w:id="6507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312A77">
      <w:pPr>
        <w:rPr>
          <w:rtl/>
        </w:rPr>
      </w:pPr>
      <w:bookmarkStart w:id="65075" w:name="_ETM_Q116_206150"/>
      <w:bookmarkStart w:id="65076" w:name="_ETM_Q116_206257"/>
      <w:bookmarkEnd w:id="65075"/>
      <w:bookmarkEnd w:id="65076"/>
      <w:r>
        <w:rPr>
          <w:rFonts w:hint="cs"/>
          <w:rtl/>
        </w:rPr>
        <w:t xml:space="preserve">בוא ואני אתאר לך </w:t>
      </w:r>
      <w:bookmarkStart w:id="65077" w:name="_ETM_Q116_206049"/>
      <w:bookmarkEnd w:id="65077"/>
      <w:r>
        <w:rPr>
          <w:rFonts w:hint="cs"/>
          <w:rtl/>
        </w:rPr>
        <w:t xml:space="preserve">מצב שקורה. </w:t>
      </w:r>
      <w:bookmarkStart w:id="65078" w:name="_ETM_Q116_205927"/>
      <w:bookmarkStart w:id="65079" w:name="_ETM_Q116_194400"/>
      <w:bookmarkStart w:id="65080" w:name="_ETM_Q116_194490"/>
      <w:bookmarkStart w:id="65081" w:name="_ETM_Q116_194849"/>
      <w:bookmarkStart w:id="65082" w:name="_ETM_Q116_195480"/>
      <w:bookmarkStart w:id="65083" w:name="_ETM_Q116_195660"/>
      <w:bookmarkStart w:id="65084" w:name="_ETM_Q116_196199"/>
      <w:bookmarkStart w:id="65085" w:name="_ETM_Q116_196650"/>
      <w:bookmarkStart w:id="65086" w:name="_ETM_Q116_206880"/>
      <w:bookmarkStart w:id="65087" w:name="_ETM_Q116_206970"/>
      <w:bookmarkStart w:id="65088" w:name="_ETM_Q116_207090"/>
      <w:bookmarkStart w:id="65089" w:name="_ETM_Q116_207420"/>
      <w:bookmarkStart w:id="65090" w:name="_ETM_Q116_207599"/>
      <w:bookmarkStart w:id="65091" w:name="_ETM_Q116_207900"/>
      <w:bookmarkStart w:id="65092" w:name="_ETM_Q116_208349"/>
      <w:bookmarkEnd w:id="65078"/>
      <w:bookmarkEnd w:id="65079"/>
      <w:bookmarkEnd w:id="65080"/>
      <w:bookmarkEnd w:id="65081"/>
      <w:bookmarkEnd w:id="65082"/>
      <w:bookmarkEnd w:id="65083"/>
      <w:bookmarkEnd w:id="65084"/>
      <w:bookmarkEnd w:id="65085"/>
      <w:bookmarkEnd w:id="65086"/>
      <w:bookmarkEnd w:id="65087"/>
      <w:bookmarkEnd w:id="65088"/>
      <w:bookmarkEnd w:id="65089"/>
      <w:bookmarkEnd w:id="65090"/>
      <w:bookmarkEnd w:id="65091"/>
      <w:bookmarkEnd w:id="65092"/>
      <w:r>
        <w:rPr>
          <w:rFonts w:hint="cs"/>
          <w:rtl/>
        </w:rPr>
        <w:t xml:space="preserve">נניח </w:t>
      </w:r>
      <w:bookmarkStart w:id="65093" w:name="_ETM_Q116_208740"/>
      <w:bookmarkEnd w:id="65093"/>
      <w:r w:rsidR="00312A77">
        <w:rPr>
          <w:rFonts w:hint="cs"/>
          <w:rtl/>
        </w:rPr>
        <w:t>ש</w:t>
      </w:r>
      <w:r>
        <w:rPr>
          <w:rFonts w:hint="cs"/>
          <w:rtl/>
        </w:rPr>
        <w:t xml:space="preserve">יש </w:t>
      </w:r>
      <w:bookmarkStart w:id="65094" w:name="_ETM_Q116_208980"/>
      <w:bookmarkEnd w:id="65094"/>
      <w:r>
        <w:rPr>
          <w:rFonts w:hint="cs"/>
          <w:rtl/>
        </w:rPr>
        <w:t xml:space="preserve">עכשיו </w:t>
      </w:r>
      <w:bookmarkStart w:id="65095" w:name="_ETM_Q116_209340"/>
      <w:bookmarkEnd w:id="65095"/>
      <w:r>
        <w:rPr>
          <w:rFonts w:hint="cs"/>
          <w:rtl/>
        </w:rPr>
        <w:t xml:space="preserve">צומת </w:t>
      </w:r>
      <w:bookmarkStart w:id="65096" w:name="_ETM_Q116_210390"/>
      <w:bookmarkEnd w:id="65096"/>
      <w:r>
        <w:rPr>
          <w:rFonts w:hint="cs"/>
          <w:rtl/>
        </w:rPr>
        <w:t xml:space="preserve">ששנינו </w:t>
      </w:r>
      <w:bookmarkStart w:id="65097" w:name="_ETM_Q116_210869"/>
      <w:bookmarkEnd w:id="65097"/>
      <w:r>
        <w:rPr>
          <w:rFonts w:hint="cs"/>
          <w:rtl/>
        </w:rPr>
        <w:t>מכירים,</w:t>
      </w:r>
      <w:bookmarkStart w:id="65098" w:name="_ETM_Q116_211320"/>
      <w:bookmarkEnd w:id="65098"/>
      <w:r>
        <w:rPr>
          <w:rFonts w:hint="cs"/>
          <w:rtl/>
        </w:rPr>
        <w:t xml:space="preserve"> סגולה. </w:t>
      </w:r>
      <w:bookmarkStart w:id="65099" w:name="_ETM_Q116_213070"/>
      <w:bookmarkEnd w:id="65099"/>
      <w:r>
        <w:rPr>
          <w:rFonts w:hint="cs"/>
          <w:rtl/>
        </w:rPr>
        <w:t xml:space="preserve">אתה </w:t>
      </w:r>
      <w:bookmarkStart w:id="65100" w:name="_ETM_Q116_213309"/>
      <w:bookmarkEnd w:id="65100"/>
      <w:r>
        <w:rPr>
          <w:rFonts w:hint="cs"/>
          <w:rtl/>
        </w:rPr>
        <w:t xml:space="preserve">אומנם </w:t>
      </w:r>
      <w:bookmarkStart w:id="65101" w:name="_ETM_Q116_213579"/>
      <w:bookmarkEnd w:id="65101"/>
      <w:r>
        <w:rPr>
          <w:rFonts w:hint="cs"/>
          <w:rtl/>
        </w:rPr>
        <w:t xml:space="preserve">עושה </w:t>
      </w:r>
      <w:bookmarkStart w:id="65102" w:name="_ETM_Q116_214210"/>
      <w:bookmarkEnd w:id="65102"/>
      <w:r>
        <w:rPr>
          <w:rFonts w:hint="cs"/>
          <w:rtl/>
        </w:rPr>
        <w:t xml:space="preserve">דרכך </w:t>
      </w:r>
      <w:bookmarkStart w:id="65103" w:name="_ETM_Q116_215050"/>
      <w:bookmarkEnd w:id="65103"/>
      <w:r>
        <w:rPr>
          <w:rFonts w:hint="cs"/>
          <w:rtl/>
        </w:rPr>
        <w:t xml:space="preserve">במעלה </w:t>
      </w:r>
      <w:bookmarkStart w:id="65104" w:name="_ETM_Q116_215590"/>
      <w:bookmarkEnd w:id="65104"/>
      <w:r>
        <w:rPr>
          <w:rFonts w:hint="cs"/>
          <w:rtl/>
        </w:rPr>
        <w:t>בני</w:t>
      </w:r>
      <w:bookmarkStart w:id="65105" w:name="_ETM_Q116_215800"/>
      <w:bookmarkEnd w:id="65105"/>
      <w:r>
        <w:rPr>
          <w:rFonts w:hint="cs"/>
          <w:rtl/>
        </w:rPr>
        <w:t xml:space="preserve"> ברק, </w:t>
      </w:r>
      <w:bookmarkStart w:id="65106" w:name="_ETM_Q116_216700"/>
      <w:bookmarkStart w:id="65107" w:name="_ETM_Q116_216820"/>
      <w:bookmarkStart w:id="65108" w:name="_ETM_Q116_218130"/>
      <w:bookmarkEnd w:id="65106"/>
      <w:bookmarkEnd w:id="65107"/>
      <w:bookmarkEnd w:id="65108"/>
      <w:r>
        <w:rPr>
          <w:rFonts w:hint="cs"/>
          <w:rtl/>
        </w:rPr>
        <w:t xml:space="preserve">אבל </w:t>
      </w:r>
      <w:bookmarkStart w:id="65109" w:name="_ETM_Q116_218550"/>
      <w:bookmarkEnd w:id="65109"/>
      <w:r>
        <w:rPr>
          <w:rFonts w:hint="cs"/>
          <w:rtl/>
        </w:rPr>
        <w:t xml:space="preserve">בוא </w:t>
      </w:r>
      <w:bookmarkStart w:id="65110" w:name="_ETM_Q116_218760"/>
      <w:bookmarkEnd w:id="65110"/>
      <w:r>
        <w:rPr>
          <w:rFonts w:hint="cs"/>
          <w:rtl/>
        </w:rPr>
        <w:t xml:space="preserve">נדבר </w:t>
      </w:r>
      <w:bookmarkStart w:id="65111" w:name="_ETM_Q116_219030"/>
      <w:bookmarkEnd w:id="65111"/>
      <w:r>
        <w:rPr>
          <w:rFonts w:hint="cs"/>
          <w:rtl/>
        </w:rPr>
        <w:t xml:space="preserve">על </w:t>
      </w:r>
      <w:bookmarkStart w:id="65112" w:name="_ETM_Q116_219120"/>
      <w:bookmarkEnd w:id="65112"/>
      <w:r>
        <w:rPr>
          <w:rFonts w:hint="cs"/>
          <w:rtl/>
        </w:rPr>
        <w:t xml:space="preserve">צומת </w:t>
      </w:r>
      <w:bookmarkStart w:id="65113" w:name="_ETM_Q116_219510"/>
      <w:bookmarkEnd w:id="65113"/>
      <w:r>
        <w:rPr>
          <w:rFonts w:hint="cs"/>
          <w:rtl/>
        </w:rPr>
        <w:t xml:space="preserve">סגולה. </w:t>
      </w:r>
      <w:bookmarkStart w:id="65114" w:name="_ETM_Q116_220750"/>
      <w:bookmarkEnd w:id="65114"/>
      <w:r>
        <w:rPr>
          <w:rFonts w:hint="cs"/>
          <w:rtl/>
        </w:rPr>
        <w:t xml:space="preserve">תאר </w:t>
      </w:r>
      <w:bookmarkStart w:id="65115" w:name="_ETM_Q116_221229"/>
      <w:bookmarkEnd w:id="65115"/>
      <w:r>
        <w:rPr>
          <w:rFonts w:hint="cs"/>
          <w:rtl/>
        </w:rPr>
        <w:t xml:space="preserve">לך </w:t>
      </w:r>
      <w:bookmarkStart w:id="65116" w:name="_ETM_Q116_221560"/>
      <w:bookmarkEnd w:id="65116"/>
      <w:r>
        <w:rPr>
          <w:rFonts w:hint="cs"/>
          <w:rtl/>
        </w:rPr>
        <w:t>ש</w:t>
      </w:r>
      <w:r w:rsidR="00312A77">
        <w:rPr>
          <w:rFonts w:hint="cs"/>
          <w:rtl/>
        </w:rPr>
        <w:t>ב</w:t>
      </w:r>
      <w:r>
        <w:rPr>
          <w:rFonts w:hint="cs"/>
          <w:rtl/>
        </w:rPr>
        <w:t>צומת סגול</w:t>
      </w:r>
      <w:r w:rsidR="00312A77">
        <w:rPr>
          <w:rFonts w:hint="cs"/>
          <w:rtl/>
        </w:rPr>
        <w:t>ה</w:t>
      </w:r>
      <w:r>
        <w:rPr>
          <w:rFonts w:hint="cs"/>
          <w:rtl/>
        </w:rPr>
        <w:t xml:space="preserve"> קיבל</w:t>
      </w:r>
      <w:r w:rsidR="00312A77">
        <w:rPr>
          <w:rFonts w:hint="cs"/>
          <w:rtl/>
        </w:rPr>
        <w:t>ו</w:t>
      </w:r>
      <w:r>
        <w:rPr>
          <w:rFonts w:hint="cs"/>
          <w:rtl/>
        </w:rPr>
        <w:t xml:space="preserve"> אישור </w:t>
      </w:r>
      <w:bookmarkStart w:id="65117" w:name="_ETM_Q116_220807"/>
      <w:bookmarkEnd w:id="65117"/>
      <w:r>
        <w:rPr>
          <w:rFonts w:hint="cs"/>
          <w:rtl/>
        </w:rPr>
        <w:t>הפגנה ל-50</w:t>
      </w:r>
      <w:r w:rsidR="00312A77">
        <w:rPr>
          <w:rFonts w:hint="eastAsia"/>
          <w:rtl/>
        </w:rPr>
        <w:t>–</w:t>
      </w:r>
      <w:r>
        <w:rPr>
          <w:rFonts w:hint="cs"/>
          <w:rtl/>
        </w:rPr>
        <w:t xml:space="preserve">60 אנשים, וצומת </w:t>
      </w:r>
      <w:bookmarkStart w:id="65118" w:name="_ETM_Q116_222040"/>
      <w:bookmarkStart w:id="65119" w:name="_ETM_Q116_222430"/>
      <w:bookmarkStart w:id="65120" w:name="_ETM_Q116_222820"/>
      <w:bookmarkStart w:id="65121" w:name="_ETM_Q116_223390"/>
      <w:bookmarkStart w:id="65122" w:name="_ETM_Q116_223840"/>
      <w:bookmarkStart w:id="65123" w:name="_ETM_Q116_224320"/>
      <w:bookmarkStart w:id="65124" w:name="_ETM_Q116_224650"/>
      <w:bookmarkStart w:id="65125" w:name="_ETM_Q116_225070"/>
      <w:bookmarkStart w:id="65126" w:name="_ETM_Q116_225400"/>
      <w:bookmarkEnd w:id="65118"/>
      <w:bookmarkEnd w:id="65119"/>
      <w:bookmarkEnd w:id="65120"/>
      <w:bookmarkEnd w:id="65121"/>
      <w:bookmarkEnd w:id="65122"/>
      <w:bookmarkEnd w:id="65123"/>
      <w:bookmarkEnd w:id="65124"/>
      <w:bookmarkEnd w:id="65125"/>
      <w:bookmarkEnd w:id="65126"/>
      <w:r>
        <w:rPr>
          <w:rFonts w:hint="cs"/>
          <w:rtl/>
        </w:rPr>
        <w:t xml:space="preserve">סגולה </w:t>
      </w:r>
      <w:bookmarkStart w:id="65127" w:name="_ETM_Q116_225670"/>
      <w:bookmarkEnd w:id="65127"/>
      <w:r>
        <w:rPr>
          <w:rFonts w:hint="cs"/>
          <w:rtl/>
        </w:rPr>
        <w:t xml:space="preserve">יכול </w:t>
      </w:r>
      <w:bookmarkStart w:id="65128" w:name="_ETM_Q116_225970"/>
      <w:bookmarkEnd w:id="65128"/>
      <w:r>
        <w:rPr>
          <w:rFonts w:hint="cs"/>
          <w:rtl/>
        </w:rPr>
        <w:t xml:space="preserve">להכיל </w:t>
      </w:r>
      <w:bookmarkStart w:id="65129" w:name="_ETM_Q116_226360"/>
      <w:bookmarkEnd w:id="65129"/>
      <w:r>
        <w:rPr>
          <w:rFonts w:hint="cs"/>
          <w:rtl/>
        </w:rPr>
        <w:t xml:space="preserve">במדרכות </w:t>
      </w:r>
      <w:bookmarkStart w:id="65130" w:name="_ETM_Q116_227110"/>
      <w:bookmarkEnd w:id="65130"/>
      <w:r>
        <w:rPr>
          <w:rFonts w:hint="cs"/>
          <w:rtl/>
        </w:rPr>
        <w:t xml:space="preserve">או בכבישים </w:t>
      </w:r>
      <w:bookmarkStart w:id="65131" w:name="_ETM_Q116_227680"/>
      <w:bookmarkEnd w:id="65131"/>
      <w:r>
        <w:rPr>
          <w:rFonts w:hint="cs"/>
          <w:rtl/>
        </w:rPr>
        <w:t xml:space="preserve">שם, </w:t>
      </w:r>
      <w:bookmarkStart w:id="65132" w:name="_ETM_Q116_228560"/>
      <w:bookmarkEnd w:id="65132"/>
      <w:r>
        <w:rPr>
          <w:rFonts w:hint="cs"/>
          <w:rtl/>
        </w:rPr>
        <w:t xml:space="preserve">בלי </w:t>
      </w:r>
      <w:bookmarkStart w:id="65133" w:name="_ETM_Q116_228860"/>
      <w:bookmarkEnd w:id="65133"/>
      <w:r>
        <w:rPr>
          <w:rFonts w:hint="cs"/>
          <w:rtl/>
        </w:rPr>
        <w:t xml:space="preserve">לחסום </w:t>
      </w:r>
      <w:bookmarkStart w:id="65134" w:name="_ETM_Q116_229159"/>
      <w:bookmarkEnd w:id="65134"/>
      <w:r>
        <w:rPr>
          <w:rFonts w:hint="cs"/>
          <w:rtl/>
        </w:rPr>
        <w:t xml:space="preserve">את </w:t>
      </w:r>
      <w:bookmarkStart w:id="65135" w:name="_ETM_Q116_229250"/>
      <w:bookmarkEnd w:id="65135"/>
      <w:r>
        <w:rPr>
          <w:rFonts w:hint="cs"/>
          <w:rtl/>
        </w:rPr>
        <w:t>הכבישים, 50</w:t>
      </w:r>
      <w:r w:rsidR="00312A77">
        <w:rPr>
          <w:rFonts w:hint="eastAsia"/>
          <w:rtl/>
        </w:rPr>
        <w:t>–</w:t>
      </w:r>
      <w:r>
        <w:rPr>
          <w:rFonts w:hint="cs"/>
          <w:rtl/>
        </w:rPr>
        <w:t xml:space="preserve">60 </w:t>
      </w:r>
      <w:bookmarkStart w:id="65136" w:name="_ETM_Q116_226620"/>
      <w:bookmarkEnd w:id="65136"/>
      <w:r>
        <w:rPr>
          <w:rFonts w:hint="cs"/>
          <w:rtl/>
        </w:rPr>
        <w:t xml:space="preserve">אנשים, </w:t>
      </w:r>
      <w:bookmarkStart w:id="65137" w:name="_ETM_Q116_229640"/>
      <w:bookmarkStart w:id="65138" w:name="_ETM_Q116_230030"/>
      <w:bookmarkStart w:id="65139" w:name="_ETM_Q116_230360"/>
      <w:bookmarkStart w:id="65140" w:name="_ETM_Q116_230750"/>
      <w:bookmarkEnd w:id="65137"/>
      <w:bookmarkEnd w:id="65138"/>
      <w:bookmarkEnd w:id="65139"/>
      <w:bookmarkEnd w:id="65140"/>
      <w:r>
        <w:rPr>
          <w:rFonts w:hint="cs"/>
          <w:rtl/>
        </w:rPr>
        <w:t xml:space="preserve">והמשטרה </w:t>
      </w:r>
      <w:bookmarkStart w:id="65141" w:name="_ETM_Q116_231200"/>
      <w:bookmarkEnd w:id="65141"/>
      <w:r>
        <w:rPr>
          <w:rFonts w:hint="cs"/>
          <w:rtl/>
        </w:rPr>
        <w:t xml:space="preserve">נתנה </w:t>
      </w:r>
      <w:bookmarkStart w:id="65142" w:name="_ETM_Q116_231470"/>
      <w:bookmarkEnd w:id="65142"/>
      <w:r>
        <w:rPr>
          <w:rFonts w:hint="cs"/>
          <w:rtl/>
        </w:rPr>
        <w:t xml:space="preserve">לזה </w:t>
      </w:r>
      <w:bookmarkStart w:id="65143" w:name="_ETM_Q116_231680"/>
      <w:bookmarkEnd w:id="65143"/>
      <w:r>
        <w:rPr>
          <w:rFonts w:hint="cs"/>
          <w:rtl/>
        </w:rPr>
        <w:t xml:space="preserve">אישור. </w:t>
      </w:r>
      <w:bookmarkStart w:id="65144" w:name="_ETM_Q116_232010"/>
      <w:bookmarkEnd w:id="65144"/>
      <w:r>
        <w:rPr>
          <w:rFonts w:hint="cs"/>
          <w:rtl/>
        </w:rPr>
        <w:t xml:space="preserve">אממה, </w:t>
      </w:r>
      <w:bookmarkStart w:id="65145" w:name="_ETM_Q116_232370"/>
      <w:bookmarkEnd w:id="65145"/>
      <w:r>
        <w:rPr>
          <w:rFonts w:hint="cs"/>
          <w:rtl/>
        </w:rPr>
        <w:t xml:space="preserve">הגיעו </w:t>
      </w:r>
      <w:bookmarkStart w:id="65146" w:name="_ETM_Q116_232700"/>
      <w:bookmarkEnd w:id="65146"/>
      <w:r>
        <w:rPr>
          <w:rFonts w:hint="cs"/>
          <w:rtl/>
        </w:rPr>
        <w:t xml:space="preserve">2,000 </w:t>
      </w:r>
      <w:bookmarkStart w:id="65147" w:name="_ETM_Q116_233060"/>
      <w:bookmarkEnd w:id="65147"/>
      <w:r>
        <w:rPr>
          <w:rFonts w:hint="cs"/>
          <w:rtl/>
        </w:rPr>
        <w:t xml:space="preserve">אנשים. </w:t>
      </w:r>
      <w:bookmarkStart w:id="65148" w:name="_ETM_Q116_233989"/>
      <w:bookmarkEnd w:id="65148"/>
      <w:r>
        <w:rPr>
          <w:rFonts w:hint="cs"/>
          <w:rtl/>
        </w:rPr>
        <w:t xml:space="preserve">עכשיו, </w:t>
      </w:r>
      <w:bookmarkStart w:id="65149" w:name="_ETM_Q116_234719"/>
      <w:bookmarkEnd w:id="65149"/>
      <w:r>
        <w:rPr>
          <w:rFonts w:hint="cs"/>
          <w:rtl/>
        </w:rPr>
        <w:t xml:space="preserve">מה </w:t>
      </w:r>
      <w:bookmarkStart w:id="65150" w:name="_ETM_Q116_234960"/>
      <w:bookmarkEnd w:id="65150"/>
      <w:r>
        <w:rPr>
          <w:rFonts w:hint="cs"/>
          <w:rtl/>
        </w:rPr>
        <w:t xml:space="preserve">אתה </w:t>
      </w:r>
      <w:bookmarkStart w:id="65151" w:name="_ETM_Q116_235110"/>
      <w:bookmarkEnd w:id="65151"/>
      <w:r>
        <w:rPr>
          <w:rFonts w:hint="cs"/>
          <w:rtl/>
        </w:rPr>
        <w:t xml:space="preserve">עושה? </w:t>
      </w:r>
      <w:bookmarkStart w:id="65152" w:name="_ETM_Q116_235530"/>
      <w:bookmarkEnd w:id="65152"/>
      <w:r>
        <w:rPr>
          <w:rFonts w:hint="cs"/>
          <w:rtl/>
        </w:rPr>
        <w:t xml:space="preserve">אתה </w:t>
      </w:r>
      <w:bookmarkStart w:id="65153" w:name="_ETM_Q116_235739"/>
      <w:bookmarkEnd w:id="65153"/>
      <w:r>
        <w:rPr>
          <w:rFonts w:hint="cs"/>
          <w:rtl/>
        </w:rPr>
        <w:t xml:space="preserve">חוסם </w:t>
      </w:r>
      <w:bookmarkStart w:id="65154" w:name="_ETM_Q116_236160"/>
      <w:bookmarkEnd w:id="65154"/>
      <w:r>
        <w:rPr>
          <w:rFonts w:hint="cs"/>
          <w:rtl/>
        </w:rPr>
        <w:t xml:space="preserve">את </w:t>
      </w:r>
      <w:bookmarkStart w:id="65155" w:name="_ETM_Q116_236280"/>
      <w:bookmarkEnd w:id="65155"/>
      <w:r>
        <w:rPr>
          <w:rFonts w:hint="cs"/>
          <w:rtl/>
        </w:rPr>
        <w:t xml:space="preserve">הכביש </w:t>
      </w:r>
      <w:bookmarkStart w:id="65156" w:name="_ETM_Q116_237149"/>
      <w:bookmarkEnd w:id="65156"/>
      <w:r>
        <w:rPr>
          <w:rFonts w:hint="cs"/>
          <w:rtl/>
        </w:rPr>
        <w:t xml:space="preserve">או שם </w:t>
      </w:r>
      <w:bookmarkStart w:id="65157" w:name="_ETM_Q116_237809"/>
      <w:bookmarkStart w:id="65158" w:name="_ETM_Q116_238050"/>
      <w:bookmarkStart w:id="65159" w:name="_ETM_Q116_238170"/>
      <w:bookmarkEnd w:id="65157"/>
      <w:bookmarkEnd w:id="65158"/>
      <w:bookmarkEnd w:id="65159"/>
      <w:r>
        <w:rPr>
          <w:rFonts w:hint="cs"/>
          <w:rtl/>
        </w:rPr>
        <w:t xml:space="preserve">את כולם </w:t>
      </w:r>
      <w:bookmarkStart w:id="65160" w:name="_ETM_Q116_238500"/>
      <w:bookmarkEnd w:id="65160"/>
      <w:r>
        <w:rPr>
          <w:rFonts w:hint="cs"/>
          <w:rtl/>
        </w:rPr>
        <w:t xml:space="preserve">על </w:t>
      </w:r>
      <w:bookmarkStart w:id="65161" w:name="_ETM_Q116_238590"/>
      <w:bookmarkEnd w:id="65161"/>
      <w:r>
        <w:rPr>
          <w:rFonts w:hint="cs"/>
          <w:rtl/>
        </w:rPr>
        <w:t>אי</w:t>
      </w:r>
      <w:bookmarkStart w:id="65162" w:name="_ETM_Q116_238739"/>
      <w:bookmarkEnd w:id="65162"/>
      <w:r>
        <w:rPr>
          <w:rFonts w:hint="cs"/>
          <w:rtl/>
        </w:rPr>
        <w:t xml:space="preserve"> </w:t>
      </w:r>
      <w:r w:rsidR="00312A77">
        <w:rPr>
          <w:rFonts w:hint="cs"/>
          <w:rtl/>
        </w:rPr>
        <w:t>ה</w:t>
      </w:r>
      <w:r>
        <w:rPr>
          <w:rFonts w:hint="cs"/>
          <w:rtl/>
        </w:rPr>
        <w:t xml:space="preserve">תנועה? </w:t>
      </w:r>
      <w:bookmarkStart w:id="65163" w:name="_ETM_Q116_239250"/>
      <w:bookmarkEnd w:id="65163"/>
    </w:p>
    <w:p w:rsidR="00BB59CD" w:rsidRDefault="00BB59CD" w:rsidP="00BB59CD">
      <w:pPr>
        <w:rPr>
          <w:rtl/>
        </w:rPr>
      </w:pPr>
      <w:bookmarkStart w:id="65164" w:name="_ETM_Q116_244570"/>
      <w:bookmarkStart w:id="65165" w:name="_ETM_Q116_244617"/>
      <w:bookmarkEnd w:id="65164"/>
      <w:bookmarkEnd w:id="65165"/>
    </w:p>
    <w:p w:rsidR="00BB59CD" w:rsidRDefault="00BB59CD" w:rsidP="00BB59CD">
      <w:pPr>
        <w:rPr>
          <w:rtl/>
        </w:rPr>
      </w:pPr>
      <w:bookmarkStart w:id="65166" w:name="_ETM_Q116_244732"/>
      <w:bookmarkStart w:id="65167" w:name="_ETM_Q116_244771"/>
      <w:bookmarkEnd w:id="65166"/>
      <w:bookmarkEnd w:id="65167"/>
      <w:r>
        <w:rPr>
          <w:rFonts w:hint="cs"/>
          <w:rtl/>
        </w:rPr>
        <w:t xml:space="preserve">לפעמים </w:t>
      </w:r>
      <w:bookmarkStart w:id="65168" w:name="_ETM_Q116_239820"/>
      <w:bookmarkEnd w:id="65168"/>
      <w:r>
        <w:rPr>
          <w:rFonts w:hint="cs"/>
          <w:rtl/>
        </w:rPr>
        <w:t xml:space="preserve">יש </w:t>
      </w:r>
      <w:bookmarkStart w:id="65169" w:name="_ETM_Q116_240210"/>
      <w:bookmarkEnd w:id="65169"/>
      <w:r>
        <w:rPr>
          <w:rFonts w:hint="cs"/>
          <w:rtl/>
        </w:rPr>
        <w:t xml:space="preserve">מקרים </w:t>
      </w:r>
      <w:bookmarkStart w:id="65170" w:name="_ETM_Q116_241300"/>
      <w:bookmarkEnd w:id="65170"/>
      <w:r>
        <w:rPr>
          <w:rFonts w:hint="cs"/>
          <w:rtl/>
        </w:rPr>
        <w:t xml:space="preserve">– אני </w:t>
      </w:r>
      <w:bookmarkStart w:id="65171" w:name="_ETM_Q116_241510"/>
      <w:bookmarkEnd w:id="65171"/>
      <w:r>
        <w:rPr>
          <w:rFonts w:hint="cs"/>
          <w:rtl/>
        </w:rPr>
        <w:t xml:space="preserve">לא </w:t>
      </w:r>
      <w:bookmarkStart w:id="65172" w:name="_ETM_Q116_241719"/>
      <w:bookmarkEnd w:id="65172"/>
      <w:r>
        <w:rPr>
          <w:rFonts w:hint="cs"/>
          <w:rtl/>
        </w:rPr>
        <w:t xml:space="preserve">מדבר </w:t>
      </w:r>
      <w:bookmarkStart w:id="65173" w:name="_ETM_Q116_242050"/>
      <w:bookmarkEnd w:id="65173"/>
      <w:r>
        <w:rPr>
          <w:rFonts w:hint="cs"/>
          <w:rtl/>
        </w:rPr>
        <w:t xml:space="preserve">על </w:t>
      </w:r>
      <w:bookmarkStart w:id="65174" w:name="_ETM_Q116_242410"/>
      <w:bookmarkEnd w:id="65174"/>
      <w:r>
        <w:rPr>
          <w:rFonts w:hint="cs"/>
          <w:rtl/>
        </w:rPr>
        <w:t>חסימת תנועה - - -</w:t>
      </w:r>
    </w:p>
    <w:p w:rsidR="00BB59CD" w:rsidRDefault="00BB59CD" w:rsidP="00BB59CD">
      <w:pPr>
        <w:rPr>
          <w:rtl/>
        </w:rPr>
      </w:pPr>
      <w:bookmarkStart w:id="65175" w:name="_ETM_Q116_242728"/>
      <w:bookmarkStart w:id="65176" w:name="_ETM_Q116_242837"/>
      <w:bookmarkStart w:id="65177" w:name="_ETM_Q116_242920"/>
      <w:bookmarkEnd w:id="65175"/>
      <w:bookmarkEnd w:id="65176"/>
      <w:bookmarkEnd w:id="65177"/>
    </w:p>
    <w:p w:rsidR="00BB59CD" w:rsidRDefault="00BB59CD" w:rsidP="00BB59CD">
      <w:pPr>
        <w:pStyle w:val="af9"/>
        <w:keepNext/>
        <w:rPr>
          <w:rtl/>
        </w:rPr>
      </w:pPr>
      <w:bookmarkStart w:id="65178" w:name="_ETM_Q116_243015"/>
      <w:bookmarkEnd w:id="6517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312A77">
      <w:pPr>
        <w:rPr>
          <w:rtl/>
        </w:rPr>
      </w:pPr>
      <w:bookmarkStart w:id="65179" w:name="_ETM_Q116_244320"/>
      <w:bookmarkEnd w:id="65179"/>
      <w:r>
        <w:rPr>
          <w:rFonts w:hint="cs"/>
          <w:rtl/>
        </w:rPr>
        <w:t xml:space="preserve">אבל </w:t>
      </w:r>
      <w:bookmarkStart w:id="65180" w:name="_ETM_Q116_242691"/>
      <w:bookmarkEnd w:id="65180"/>
      <w:r>
        <w:rPr>
          <w:rFonts w:hint="cs"/>
          <w:rtl/>
        </w:rPr>
        <w:t xml:space="preserve">כמה - - - כבר התרגלנו, אבל כשיורדים לאיילון, זה כבר לא חלק – זה לא התפרצות. זה </w:t>
      </w:r>
      <w:bookmarkStart w:id="65181" w:name="_ETM_Q116_249741"/>
      <w:bookmarkEnd w:id="65181"/>
      <w:r>
        <w:rPr>
          <w:rFonts w:hint="cs"/>
          <w:rtl/>
        </w:rPr>
        <w:t xml:space="preserve">משהו אחר. </w:t>
      </w:r>
      <w:bookmarkStart w:id="65182" w:name="_ETM_Q116_247259"/>
      <w:bookmarkStart w:id="65183" w:name="_ETM_Q116_247409"/>
      <w:bookmarkStart w:id="65184" w:name="_ETM_Q116_247448"/>
      <w:bookmarkEnd w:id="65182"/>
      <w:bookmarkEnd w:id="65183"/>
      <w:bookmarkEnd w:id="65184"/>
    </w:p>
    <w:p w:rsidR="00BB59CD" w:rsidRDefault="00BB59CD" w:rsidP="00BB59CD">
      <w:pPr>
        <w:rPr>
          <w:rtl/>
        </w:rPr>
      </w:pPr>
      <w:bookmarkStart w:id="65185" w:name="_ETM_Q116_247570"/>
      <w:bookmarkEnd w:id="65185"/>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5186" w:name="_ETM_Q116_248855"/>
      <w:bookmarkEnd w:id="65186"/>
      <w:r>
        <w:rPr>
          <w:rFonts w:hint="cs"/>
          <w:rtl/>
        </w:rPr>
        <w:t xml:space="preserve">כשאתה מפגין, </w:t>
      </w:r>
      <w:bookmarkStart w:id="65187" w:name="_ETM_Q116_248680"/>
      <w:bookmarkStart w:id="65188" w:name="_ETM_Q116_248740"/>
      <w:bookmarkStart w:id="65189" w:name="_ETM_Q116_249430"/>
      <w:bookmarkStart w:id="65190" w:name="_ETM_Q116_250390"/>
      <w:bookmarkStart w:id="65191" w:name="_ETM_Q116_250690"/>
      <w:bookmarkStart w:id="65192" w:name="_ETM_Q116_250900"/>
      <w:bookmarkStart w:id="65193" w:name="_ETM_Q116_251260"/>
      <w:bookmarkStart w:id="65194" w:name="_ETM_Q116_251770"/>
      <w:bookmarkEnd w:id="65187"/>
      <w:bookmarkEnd w:id="65188"/>
      <w:bookmarkEnd w:id="65189"/>
      <w:bookmarkEnd w:id="65190"/>
      <w:bookmarkEnd w:id="65191"/>
      <w:bookmarkEnd w:id="65192"/>
      <w:bookmarkEnd w:id="65193"/>
      <w:bookmarkEnd w:id="65194"/>
      <w:r>
        <w:rPr>
          <w:rFonts w:hint="cs"/>
          <w:rtl/>
        </w:rPr>
        <w:t xml:space="preserve">ואתה </w:t>
      </w:r>
      <w:bookmarkStart w:id="65195" w:name="_ETM_Q116_251979"/>
      <w:bookmarkEnd w:id="65195"/>
      <w:r>
        <w:rPr>
          <w:rFonts w:hint="cs"/>
          <w:rtl/>
        </w:rPr>
        <w:t xml:space="preserve">רוצה </w:t>
      </w:r>
      <w:bookmarkStart w:id="65196" w:name="_ETM_Q116_252280"/>
      <w:bookmarkEnd w:id="65196"/>
      <w:r>
        <w:rPr>
          <w:rFonts w:hint="cs"/>
          <w:rtl/>
        </w:rPr>
        <w:t xml:space="preserve">לעורר </w:t>
      </w:r>
      <w:bookmarkStart w:id="65197" w:name="_ETM_Q116_253150"/>
      <w:bookmarkEnd w:id="65197"/>
      <w:r>
        <w:rPr>
          <w:rFonts w:hint="cs"/>
          <w:rtl/>
        </w:rPr>
        <w:t xml:space="preserve">עניין </w:t>
      </w:r>
      <w:bookmarkStart w:id="65198" w:name="_ETM_Q116_253600"/>
      <w:bookmarkEnd w:id="65198"/>
      <w:r>
        <w:rPr>
          <w:rFonts w:hint="cs"/>
          <w:rtl/>
        </w:rPr>
        <w:t>ציבורי</w:t>
      </w:r>
      <w:bookmarkStart w:id="65199" w:name="_ETM_Q116_254229"/>
      <w:bookmarkEnd w:id="65199"/>
      <w:r>
        <w:rPr>
          <w:rFonts w:hint="cs"/>
          <w:rtl/>
        </w:rPr>
        <w:t xml:space="preserve">, ורוצה </w:t>
      </w:r>
      <w:bookmarkStart w:id="65200" w:name="_ETM_Q116_255350"/>
      <w:bookmarkEnd w:id="65200"/>
      <w:r>
        <w:rPr>
          <w:rFonts w:hint="cs"/>
          <w:rtl/>
        </w:rPr>
        <w:t xml:space="preserve">להביא </w:t>
      </w:r>
      <w:bookmarkStart w:id="65201" w:name="_ETM_Q116_256069"/>
      <w:bookmarkEnd w:id="65201"/>
      <w:r>
        <w:rPr>
          <w:rFonts w:hint="cs"/>
          <w:rtl/>
        </w:rPr>
        <w:t xml:space="preserve">- - - </w:t>
      </w:r>
      <w:bookmarkStart w:id="65202" w:name="_ETM_Q116_255454"/>
      <w:bookmarkEnd w:id="65202"/>
    </w:p>
    <w:p w:rsidR="00BB59CD" w:rsidRDefault="00BB59CD" w:rsidP="00BB59CD">
      <w:pPr>
        <w:rPr>
          <w:rtl/>
        </w:rPr>
      </w:pPr>
      <w:bookmarkStart w:id="65203" w:name="_ETM_Q116_255555"/>
      <w:bookmarkStart w:id="65204" w:name="_ETM_Q116_255633"/>
      <w:bookmarkEnd w:id="65203"/>
      <w:bookmarkEnd w:id="65204"/>
    </w:p>
    <w:p w:rsidR="00BB59CD" w:rsidRDefault="00BB59CD" w:rsidP="00BB59CD">
      <w:pPr>
        <w:pStyle w:val="af9"/>
        <w:keepNext/>
        <w:rPr>
          <w:rtl/>
        </w:rPr>
      </w:pPr>
      <w:bookmarkStart w:id="65205" w:name="_ETM_Q116_255723"/>
      <w:bookmarkStart w:id="65206" w:name="_ETM_Q116_255827"/>
      <w:bookmarkEnd w:id="65205"/>
      <w:bookmarkEnd w:id="6520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312A77">
      <w:pPr>
        <w:rPr>
          <w:rtl/>
        </w:rPr>
      </w:pPr>
      <w:r>
        <w:rPr>
          <w:rFonts w:hint="cs"/>
          <w:rtl/>
        </w:rPr>
        <w:t xml:space="preserve">אז אתה </w:t>
      </w:r>
      <w:bookmarkStart w:id="65207" w:name="_ETM_Q116_253580"/>
      <w:bookmarkEnd w:id="65207"/>
      <w:r>
        <w:rPr>
          <w:rFonts w:hint="cs"/>
          <w:rtl/>
        </w:rPr>
        <w:t>מצדיק חסימת כבישים</w:t>
      </w:r>
      <w:r w:rsidR="00312A77">
        <w:rPr>
          <w:rFonts w:hint="cs"/>
          <w:rtl/>
        </w:rPr>
        <w:t xml:space="preserve">, </w:t>
      </w:r>
      <w:bookmarkStart w:id="65208" w:name="_ETM_Q116_255906"/>
      <w:bookmarkStart w:id="65209" w:name="_ETM_Q116_256021"/>
      <w:bookmarkStart w:id="65210" w:name="_ETM_Q116_250188"/>
      <w:bookmarkStart w:id="65211" w:name="_ETM_Q116_250294"/>
      <w:bookmarkEnd w:id="65208"/>
      <w:bookmarkEnd w:id="65209"/>
      <w:bookmarkEnd w:id="65210"/>
      <w:bookmarkEnd w:id="65211"/>
      <w:r w:rsidR="00312A77">
        <w:rPr>
          <w:rFonts w:hint="cs"/>
          <w:rtl/>
        </w:rPr>
        <w:t>א</w:t>
      </w:r>
      <w:r>
        <w:rPr>
          <w:rFonts w:hint="cs"/>
          <w:rtl/>
        </w:rPr>
        <w:t xml:space="preserve">תה אומר </w:t>
      </w:r>
      <w:r w:rsidR="00312A77">
        <w:rPr>
          <w:rFonts w:hint="cs"/>
          <w:rtl/>
        </w:rPr>
        <w:t>ש</w:t>
      </w:r>
      <w:r>
        <w:rPr>
          <w:rFonts w:hint="cs"/>
          <w:rtl/>
        </w:rPr>
        <w:t>בשם - -</w:t>
      </w:r>
      <w:bookmarkStart w:id="65212" w:name="_ETM_Q116_258563"/>
      <w:bookmarkEnd w:id="65212"/>
      <w:r>
        <w:rPr>
          <w:rFonts w:hint="cs"/>
          <w:rtl/>
        </w:rPr>
        <w:t xml:space="preserve"> - </w:t>
      </w:r>
      <w:bookmarkStart w:id="65213" w:name="_ETM_Q116_259348"/>
      <w:bookmarkEnd w:id="65213"/>
    </w:p>
    <w:p w:rsidR="00BB59CD" w:rsidRDefault="00BB59CD" w:rsidP="00BB59CD">
      <w:pPr>
        <w:rPr>
          <w:rtl/>
        </w:rPr>
      </w:pPr>
      <w:bookmarkStart w:id="65214" w:name="_ETM_Q116_259457"/>
      <w:bookmarkStart w:id="65215" w:name="_ETM_Q116_259509"/>
      <w:bookmarkEnd w:id="65214"/>
      <w:bookmarkEnd w:id="65215"/>
    </w:p>
    <w:p w:rsidR="00BB59CD" w:rsidRDefault="00BB59CD" w:rsidP="00BB59CD">
      <w:pPr>
        <w:pStyle w:val="-"/>
        <w:keepNext/>
        <w:rPr>
          <w:rtl/>
        </w:rPr>
      </w:pPr>
      <w:bookmarkStart w:id="65216" w:name="_ETM_Q116_259605"/>
      <w:bookmarkEnd w:id="6521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270863">
      <w:pPr>
        <w:rPr>
          <w:rtl/>
        </w:rPr>
      </w:pPr>
      <w:bookmarkStart w:id="65217" w:name="_ETM_Q116_256721"/>
      <w:bookmarkStart w:id="65218" w:name="_ETM_Q116_256848"/>
      <w:bookmarkEnd w:id="65217"/>
      <w:bookmarkEnd w:id="65218"/>
      <w:r>
        <w:rPr>
          <w:rFonts w:hint="cs"/>
          <w:rtl/>
        </w:rPr>
        <w:t>אני אומר לך שאני – ככה עושים הפגנות. אתה לא שר קוּמְבּיה</w:t>
      </w:r>
      <w:r>
        <w:rPr>
          <w:rFonts w:hint="cs"/>
          <w:sz w:val="21"/>
          <w:szCs w:val="21"/>
          <w:shd w:val="clear" w:color="auto" w:fill="FFFFFF"/>
          <w:rtl/>
        </w:rPr>
        <w:t> </w:t>
      </w:r>
      <w:r>
        <w:rPr>
          <w:rFonts w:hint="cs"/>
          <w:rtl/>
        </w:rPr>
        <w:t xml:space="preserve">בבית, ואומר: אני רוצה למחות על המהפכה </w:t>
      </w:r>
      <w:bookmarkStart w:id="65219" w:name="_ETM_Q116_266575"/>
      <w:bookmarkEnd w:id="65219"/>
      <w:r>
        <w:rPr>
          <w:rFonts w:hint="cs"/>
          <w:rtl/>
        </w:rPr>
        <w:t>המשטרית</w:t>
      </w:r>
      <w:r w:rsidR="00312A77">
        <w:rPr>
          <w:rFonts w:hint="cs"/>
          <w:rtl/>
        </w:rPr>
        <w:t>;</w:t>
      </w:r>
      <w:r>
        <w:rPr>
          <w:rFonts w:hint="cs"/>
          <w:rtl/>
        </w:rPr>
        <w:t xml:space="preserve"> אתה הולך ומפגין. </w:t>
      </w:r>
      <w:bookmarkStart w:id="65220" w:name="_ETM_Q116_267110"/>
      <w:bookmarkStart w:id="65221" w:name="_ETM_Q116_267920"/>
      <w:bookmarkEnd w:id="65220"/>
      <w:bookmarkEnd w:id="65221"/>
      <w:r>
        <w:rPr>
          <w:rFonts w:hint="cs"/>
          <w:rtl/>
        </w:rPr>
        <w:t xml:space="preserve">וכדי </w:t>
      </w:r>
      <w:bookmarkStart w:id="65222" w:name="_ETM_Q116_268310"/>
      <w:bookmarkEnd w:id="65222"/>
      <w:r>
        <w:rPr>
          <w:rFonts w:hint="cs"/>
          <w:rtl/>
        </w:rPr>
        <w:t xml:space="preserve">שתעשה </w:t>
      </w:r>
      <w:bookmarkStart w:id="65223" w:name="_ETM_Q116_268700"/>
      <w:bookmarkEnd w:id="65223"/>
      <w:r>
        <w:rPr>
          <w:rFonts w:hint="cs"/>
          <w:rtl/>
        </w:rPr>
        <w:t xml:space="preserve">בלגן, </w:t>
      </w:r>
      <w:bookmarkStart w:id="65224" w:name="_ETM_Q116_269209"/>
      <w:bookmarkEnd w:id="65224"/>
      <w:r>
        <w:rPr>
          <w:rFonts w:hint="cs"/>
          <w:rtl/>
        </w:rPr>
        <w:t xml:space="preserve">וכדי </w:t>
      </w:r>
      <w:bookmarkStart w:id="65225" w:name="_ETM_Q116_269540"/>
      <w:bookmarkEnd w:id="65225"/>
      <w:r>
        <w:rPr>
          <w:rFonts w:hint="cs"/>
          <w:rtl/>
        </w:rPr>
        <w:t xml:space="preserve">שזה </w:t>
      </w:r>
      <w:bookmarkStart w:id="65226" w:name="_ETM_Q116_269810"/>
      <w:bookmarkEnd w:id="65226"/>
      <w:r>
        <w:rPr>
          <w:rFonts w:hint="cs"/>
          <w:rtl/>
        </w:rPr>
        <w:t xml:space="preserve">יבוא </w:t>
      </w:r>
      <w:bookmarkStart w:id="65227" w:name="_ETM_Q116_270020"/>
      <w:bookmarkEnd w:id="65227"/>
      <w:r>
        <w:rPr>
          <w:rFonts w:hint="cs"/>
          <w:rtl/>
        </w:rPr>
        <w:t xml:space="preserve">לידיעת </w:t>
      </w:r>
      <w:bookmarkStart w:id="65228" w:name="_ETM_Q116_270440"/>
      <w:bookmarkEnd w:id="65228"/>
      <w:r>
        <w:rPr>
          <w:rFonts w:hint="cs"/>
          <w:rtl/>
        </w:rPr>
        <w:t xml:space="preserve">הציבור, </w:t>
      </w:r>
      <w:bookmarkStart w:id="65229" w:name="_ETM_Q116_270860"/>
      <w:bookmarkEnd w:id="65229"/>
      <w:r>
        <w:rPr>
          <w:rFonts w:hint="cs"/>
          <w:rtl/>
        </w:rPr>
        <w:t xml:space="preserve">וכדי </w:t>
      </w:r>
      <w:bookmarkStart w:id="65230" w:name="_ETM_Q116_271160"/>
      <w:bookmarkEnd w:id="65230"/>
      <w:r>
        <w:rPr>
          <w:rFonts w:hint="cs"/>
          <w:rtl/>
        </w:rPr>
        <w:t>ש</w:t>
      </w:r>
      <w:r w:rsidR="00312A77">
        <w:rPr>
          <w:rFonts w:hint="cs"/>
          <w:rtl/>
        </w:rPr>
        <w:t>ת</w:t>
      </w:r>
      <w:r>
        <w:rPr>
          <w:rFonts w:hint="cs"/>
          <w:rtl/>
        </w:rPr>
        <w:t xml:space="preserve">היה </w:t>
      </w:r>
      <w:bookmarkStart w:id="65231" w:name="_ETM_Q116_271520"/>
      <w:bookmarkEnd w:id="65231"/>
      <w:r>
        <w:rPr>
          <w:rFonts w:hint="cs"/>
          <w:rtl/>
        </w:rPr>
        <w:t xml:space="preserve">לזה נוכחות, </w:t>
      </w:r>
      <w:bookmarkStart w:id="65232" w:name="_ETM_Q116_272420"/>
      <w:bookmarkEnd w:id="65232"/>
      <w:r>
        <w:rPr>
          <w:rFonts w:hint="cs"/>
          <w:rtl/>
        </w:rPr>
        <w:t xml:space="preserve">אין </w:t>
      </w:r>
      <w:bookmarkStart w:id="65233" w:name="_ETM_Q116_272569"/>
      <w:bookmarkEnd w:id="65233"/>
      <w:r>
        <w:rPr>
          <w:rFonts w:hint="cs"/>
          <w:rtl/>
        </w:rPr>
        <w:t xml:space="preserve">מה </w:t>
      </w:r>
      <w:bookmarkStart w:id="65234" w:name="_ETM_Q116_272690"/>
      <w:bookmarkEnd w:id="65234"/>
      <w:r>
        <w:rPr>
          <w:rFonts w:hint="cs"/>
          <w:rtl/>
        </w:rPr>
        <w:t xml:space="preserve">לעשות. </w:t>
      </w:r>
      <w:bookmarkStart w:id="65235" w:name="_ETM_Q116_273530"/>
      <w:bookmarkEnd w:id="65235"/>
      <w:r>
        <w:rPr>
          <w:rFonts w:hint="cs"/>
          <w:rtl/>
        </w:rPr>
        <w:t xml:space="preserve">אין </w:t>
      </w:r>
      <w:bookmarkStart w:id="65236" w:name="_ETM_Q116_273740"/>
      <w:bookmarkEnd w:id="65236"/>
      <w:r>
        <w:rPr>
          <w:rFonts w:hint="cs"/>
          <w:rtl/>
        </w:rPr>
        <w:t xml:space="preserve">שום </w:t>
      </w:r>
      <w:bookmarkStart w:id="65237" w:name="_ETM_Q116_274040"/>
      <w:bookmarkEnd w:id="65237"/>
      <w:r>
        <w:rPr>
          <w:rFonts w:hint="cs"/>
          <w:rtl/>
        </w:rPr>
        <w:t xml:space="preserve">מהפכה </w:t>
      </w:r>
      <w:bookmarkStart w:id="65238" w:name="_ETM_Q116_275000"/>
      <w:bookmarkEnd w:id="65238"/>
      <w:r>
        <w:rPr>
          <w:rFonts w:hint="cs"/>
          <w:rtl/>
        </w:rPr>
        <w:t xml:space="preserve">או </w:t>
      </w:r>
      <w:bookmarkStart w:id="65239" w:name="_ETM_Q116_275120"/>
      <w:bookmarkEnd w:id="65239"/>
      <w:r>
        <w:rPr>
          <w:rFonts w:hint="cs"/>
          <w:rtl/>
        </w:rPr>
        <w:t xml:space="preserve">שום </w:t>
      </w:r>
      <w:bookmarkStart w:id="65240" w:name="_ETM_Q116_275420"/>
      <w:bookmarkEnd w:id="65240"/>
      <w:r>
        <w:rPr>
          <w:rFonts w:hint="cs"/>
          <w:rtl/>
        </w:rPr>
        <w:t xml:space="preserve">הפגנה </w:t>
      </w:r>
      <w:bookmarkStart w:id="65241" w:name="_ETM_Q116_275870"/>
      <w:bookmarkEnd w:id="65241"/>
      <w:r>
        <w:rPr>
          <w:rFonts w:hint="cs"/>
          <w:rtl/>
        </w:rPr>
        <w:t xml:space="preserve">בהיסטוריה </w:t>
      </w:r>
      <w:bookmarkStart w:id="65242" w:name="_ETM_Q116_276380"/>
      <w:bookmarkEnd w:id="65242"/>
      <w:r>
        <w:rPr>
          <w:rFonts w:hint="cs"/>
          <w:rtl/>
        </w:rPr>
        <w:t xml:space="preserve">של </w:t>
      </w:r>
      <w:bookmarkStart w:id="65243" w:name="_ETM_Q116_276500"/>
      <w:bookmarkEnd w:id="65243"/>
      <w:r>
        <w:rPr>
          <w:rFonts w:hint="cs"/>
          <w:rtl/>
        </w:rPr>
        <w:t xml:space="preserve">מדינת </w:t>
      </w:r>
      <w:bookmarkStart w:id="65244" w:name="_ETM_Q116_276860"/>
      <w:bookmarkEnd w:id="65244"/>
      <w:r>
        <w:rPr>
          <w:rFonts w:hint="cs"/>
          <w:rtl/>
        </w:rPr>
        <w:t xml:space="preserve">ישראל – </w:t>
      </w:r>
      <w:bookmarkStart w:id="65245" w:name="_ETM_Q116_277160"/>
      <w:bookmarkEnd w:id="65245"/>
      <w:r>
        <w:rPr>
          <w:rFonts w:hint="cs"/>
          <w:rtl/>
        </w:rPr>
        <w:t xml:space="preserve">ולדעתי, </w:t>
      </w:r>
      <w:bookmarkStart w:id="65246" w:name="_ETM_Q116_277610"/>
      <w:bookmarkEnd w:id="65246"/>
      <w:r>
        <w:rPr>
          <w:rFonts w:hint="cs"/>
          <w:rtl/>
        </w:rPr>
        <w:t xml:space="preserve">גם </w:t>
      </w:r>
      <w:bookmarkStart w:id="65247" w:name="_ETM_Q116_277790"/>
      <w:bookmarkEnd w:id="65247"/>
      <w:r>
        <w:rPr>
          <w:rFonts w:hint="cs"/>
          <w:rtl/>
        </w:rPr>
        <w:t xml:space="preserve">לא </w:t>
      </w:r>
      <w:bookmarkStart w:id="65248" w:name="_ETM_Q116_277850"/>
      <w:bookmarkEnd w:id="65248"/>
      <w:r>
        <w:rPr>
          <w:rFonts w:hint="cs"/>
          <w:rtl/>
        </w:rPr>
        <w:t xml:space="preserve">רק </w:t>
      </w:r>
      <w:bookmarkStart w:id="65249" w:name="_ETM_Q116_278030"/>
      <w:bookmarkEnd w:id="65249"/>
      <w:r>
        <w:rPr>
          <w:rFonts w:hint="cs"/>
          <w:rtl/>
        </w:rPr>
        <w:t xml:space="preserve">בהיסטוריה </w:t>
      </w:r>
      <w:bookmarkStart w:id="65250" w:name="_ETM_Q116_278480"/>
      <w:bookmarkEnd w:id="65250"/>
      <w:r>
        <w:rPr>
          <w:rFonts w:hint="cs"/>
          <w:rtl/>
        </w:rPr>
        <w:t xml:space="preserve">של </w:t>
      </w:r>
      <w:bookmarkStart w:id="65251" w:name="_ETM_Q116_278600"/>
      <w:bookmarkEnd w:id="65251"/>
      <w:r>
        <w:rPr>
          <w:rFonts w:hint="cs"/>
          <w:rtl/>
        </w:rPr>
        <w:t xml:space="preserve">מדינת </w:t>
      </w:r>
      <w:bookmarkStart w:id="65252" w:name="_ETM_Q116_278930"/>
      <w:bookmarkEnd w:id="65252"/>
      <w:r>
        <w:rPr>
          <w:rFonts w:hint="cs"/>
          <w:rtl/>
        </w:rPr>
        <w:t xml:space="preserve">ישראל – </w:t>
      </w:r>
      <w:bookmarkStart w:id="65253" w:name="_ETM_Q116_279290"/>
      <w:bookmarkEnd w:id="65253"/>
      <w:r>
        <w:rPr>
          <w:rFonts w:hint="cs"/>
          <w:rtl/>
        </w:rPr>
        <w:t xml:space="preserve">שהתבצעה </w:t>
      </w:r>
      <w:bookmarkStart w:id="65254" w:name="_ETM_Q116_279770"/>
      <w:bookmarkEnd w:id="65254"/>
      <w:r>
        <w:rPr>
          <w:rFonts w:hint="cs"/>
          <w:rtl/>
        </w:rPr>
        <w:t xml:space="preserve">מהבית. </w:t>
      </w:r>
      <w:bookmarkStart w:id="65255" w:name="_ETM_Q116_280459"/>
      <w:bookmarkEnd w:id="65255"/>
      <w:r>
        <w:rPr>
          <w:rFonts w:hint="cs"/>
          <w:rtl/>
        </w:rPr>
        <w:t xml:space="preserve">ישבו </w:t>
      </w:r>
      <w:bookmarkStart w:id="65256" w:name="_ETM_Q116_280790"/>
      <w:bookmarkEnd w:id="65256"/>
      <w:r>
        <w:rPr>
          <w:rFonts w:hint="cs"/>
          <w:rtl/>
        </w:rPr>
        <w:t>כולם</w:t>
      </w:r>
      <w:bookmarkStart w:id="65257" w:name="_ETM_Q116_281300"/>
      <w:bookmarkEnd w:id="65257"/>
      <w:r w:rsidR="00312A77">
        <w:rPr>
          <w:rFonts w:hint="cs"/>
          <w:rtl/>
        </w:rPr>
        <w:t>, ו</w:t>
      </w:r>
      <w:r>
        <w:rPr>
          <w:rFonts w:hint="cs"/>
          <w:rtl/>
        </w:rPr>
        <w:t xml:space="preserve">איזה </w:t>
      </w:r>
      <w:bookmarkStart w:id="65258" w:name="_ETM_Q116_281600"/>
      <w:bookmarkEnd w:id="65258"/>
      <w:r>
        <w:rPr>
          <w:rFonts w:hint="cs"/>
          <w:rtl/>
        </w:rPr>
        <w:t xml:space="preserve">כיף, </w:t>
      </w:r>
      <w:bookmarkStart w:id="65259" w:name="_ETM_Q116_282200"/>
      <w:bookmarkEnd w:id="65259"/>
      <w:r>
        <w:rPr>
          <w:rFonts w:hint="cs"/>
          <w:rtl/>
        </w:rPr>
        <w:t xml:space="preserve">בואו </w:t>
      </w:r>
      <w:bookmarkStart w:id="65260" w:name="_ETM_Q116_282500"/>
      <w:bookmarkEnd w:id="65260"/>
      <w:r>
        <w:rPr>
          <w:rFonts w:hint="cs"/>
          <w:rtl/>
        </w:rPr>
        <w:t xml:space="preserve">נשיר, </w:t>
      </w:r>
      <w:bookmarkStart w:id="65261" w:name="_ETM_Q116_282920"/>
      <w:bookmarkEnd w:id="65261"/>
      <w:r>
        <w:rPr>
          <w:rFonts w:hint="cs"/>
          <w:rtl/>
        </w:rPr>
        <w:t xml:space="preserve">בואו </w:t>
      </w:r>
      <w:bookmarkStart w:id="65262" w:name="_ETM_Q116_283069"/>
      <w:bookmarkEnd w:id="65262"/>
      <w:r>
        <w:rPr>
          <w:rFonts w:hint="cs"/>
          <w:rtl/>
        </w:rPr>
        <w:t>נשחק קווה</w:t>
      </w:r>
      <w:r w:rsidR="00312A77">
        <w:rPr>
          <w:rFonts w:hint="cs"/>
          <w:rtl/>
        </w:rPr>
        <w:t>-</w:t>
      </w:r>
      <w:r>
        <w:rPr>
          <w:rFonts w:hint="cs"/>
          <w:rtl/>
        </w:rPr>
        <w:t>קווה</w:t>
      </w:r>
      <w:r w:rsidR="00312A77">
        <w:rPr>
          <w:rFonts w:hint="cs"/>
          <w:rtl/>
        </w:rPr>
        <w:t>-</w:t>
      </w:r>
      <w:r>
        <w:rPr>
          <w:rFonts w:hint="cs"/>
          <w:rtl/>
        </w:rPr>
        <w:t>ד</w:t>
      </w:r>
      <w:r w:rsidR="00312A77">
        <w:rPr>
          <w:rFonts w:hint="cs"/>
          <w:rtl/>
        </w:rPr>
        <w:t>ה-</w:t>
      </w:r>
      <w:r>
        <w:rPr>
          <w:rFonts w:hint="cs"/>
          <w:rtl/>
        </w:rPr>
        <w:t>לה</w:t>
      </w:r>
      <w:bookmarkStart w:id="65263" w:name="_ETM_Q116_282239"/>
      <w:bookmarkEnd w:id="65263"/>
      <w:r w:rsidR="00312A77">
        <w:rPr>
          <w:rFonts w:hint="cs"/>
          <w:rtl/>
        </w:rPr>
        <w:t>-</w:t>
      </w:r>
      <w:r>
        <w:rPr>
          <w:rFonts w:hint="cs"/>
          <w:rtl/>
        </w:rPr>
        <w:t xml:space="preserve">אומה, </w:t>
      </w:r>
      <w:bookmarkStart w:id="65264" w:name="_ETM_Q116_283580"/>
      <w:bookmarkStart w:id="65265" w:name="_ETM_Q116_283850"/>
      <w:bookmarkStart w:id="65266" w:name="_ETM_Q116_283970"/>
      <w:bookmarkStart w:id="65267" w:name="_ETM_Q116_284720"/>
      <w:bookmarkEnd w:id="65264"/>
      <w:bookmarkEnd w:id="65265"/>
      <w:bookmarkEnd w:id="65266"/>
      <w:bookmarkEnd w:id="65267"/>
      <w:r>
        <w:rPr>
          <w:rFonts w:hint="cs"/>
          <w:rtl/>
        </w:rPr>
        <w:t xml:space="preserve">ועל </w:t>
      </w:r>
      <w:bookmarkStart w:id="65268" w:name="_ETM_Q116_284990"/>
      <w:bookmarkEnd w:id="65268"/>
      <w:r>
        <w:rPr>
          <w:rFonts w:hint="cs"/>
          <w:rtl/>
        </w:rPr>
        <w:t xml:space="preserve">זה </w:t>
      </w:r>
      <w:bookmarkStart w:id="65269" w:name="_ETM_Q116_285590"/>
      <w:bookmarkEnd w:id="65269"/>
      <w:r>
        <w:rPr>
          <w:rFonts w:hint="cs"/>
          <w:rtl/>
        </w:rPr>
        <w:t xml:space="preserve">אנחנו </w:t>
      </w:r>
      <w:bookmarkStart w:id="65270" w:name="_ETM_Q116_285890"/>
      <w:bookmarkEnd w:id="65270"/>
      <w:r>
        <w:rPr>
          <w:rFonts w:hint="cs"/>
          <w:rtl/>
        </w:rPr>
        <w:t xml:space="preserve">באמת </w:t>
      </w:r>
      <w:bookmarkStart w:id="65271" w:name="_ETM_Q116_286250"/>
      <w:bookmarkEnd w:id="65271"/>
      <w:r>
        <w:rPr>
          <w:rFonts w:hint="cs"/>
          <w:rtl/>
        </w:rPr>
        <w:t xml:space="preserve">נצליח </w:t>
      </w:r>
      <w:bookmarkStart w:id="65272" w:name="_ETM_Q116_286729"/>
      <w:bookmarkEnd w:id="65272"/>
      <w:r>
        <w:rPr>
          <w:rFonts w:hint="cs"/>
          <w:rtl/>
        </w:rPr>
        <w:t xml:space="preserve">לשנות </w:t>
      </w:r>
      <w:bookmarkStart w:id="65273" w:name="_ETM_Q116_287179"/>
      <w:bookmarkEnd w:id="65273"/>
      <w:r>
        <w:rPr>
          <w:rFonts w:hint="cs"/>
          <w:rtl/>
        </w:rPr>
        <w:t xml:space="preserve">את </w:t>
      </w:r>
      <w:bookmarkStart w:id="65274" w:name="_ETM_Q116_287329"/>
      <w:bookmarkEnd w:id="65274"/>
      <w:r>
        <w:rPr>
          <w:rFonts w:hint="cs"/>
          <w:rtl/>
        </w:rPr>
        <w:t xml:space="preserve">הגזרה </w:t>
      </w:r>
      <w:bookmarkStart w:id="65275" w:name="_ETM_Q116_287780"/>
      <w:bookmarkEnd w:id="65275"/>
      <w:r>
        <w:rPr>
          <w:rFonts w:hint="cs"/>
          <w:rtl/>
        </w:rPr>
        <w:t xml:space="preserve">שגוזרים </w:t>
      </w:r>
      <w:bookmarkStart w:id="65276" w:name="_ETM_Q116_288289"/>
      <w:bookmarkEnd w:id="65276"/>
      <w:r>
        <w:rPr>
          <w:rFonts w:hint="cs"/>
          <w:rtl/>
        </w:rPr>
        <w:t>עלינו.</w:t>
      </w:r>
      <w:bookmarkStart w:id="65277" w:name="_ETM_Q116_290901"/>
      <w:bookmarkStart w:id="65278" w:name="_ETM_Q116_291020"/>
      <w:bookmarkStart w:id="65279" w:name="_ETM_Q116_291074"/>
      <w:bookmarkStart w:id="65280" w:name="_ETM_Q116_291155"/>
      <w:bookmarkStart w:id="65281" w:name="_ETM_Q116_288840"/>
      <w:bookmarkEnd w:id="65277"/>
      <w:bookmarkEnd w:id="65278"/>
      <w:bookmarkEnd w:id="65279"/>
      <w:bookmarkEnd w:id="65280"/>
      <w:bookmarkEnd w:id="65281"/>
      <w:r w:rsidR="00312A77">
        <w:rPr>
          <w:rFonts w:hint="cs"/>
          <w:rtl/>
        </w:rPr>
        <w:t xml:space="preserve"> </w:t>
      </w:r>
      <w:r>
        <w:rPr>
          <w:rFonts w:hint="cs"/>
          <w:rtl/>
        </w:rPr>
        <w:t xml:space="preserve">מהפכות </w:t>
      </w:r>
      <w:bookmarkStart w:id="65282" w:name="_ETM_Q116_289770"/>
      <w:bookmarkEnd w:id="65282"/>
      <w:r>
        <w:rPr>
          <w:rFonts w:hint="cs"/>
          <w:rtl/>
        </w:rPr>
        <w:t xml:space="preserve">והפגנות </w:t>
      </w:r>
      <w:r>
        <w:t>–</w:t>
      </w:r>
      <w:r>
        <w:rPr>
          <w:rFonts w:hint="cs"/>
          <w:rtl/>
        </w:rPr>
        <w:t xml:space="preserve"> </w:t>
      </w:r>
      <w:bookmarkStart w:id="65283" w:name="_ETM_Q116_290579"/>
      <w:bookmarkEnd w:id="65283"/>
      <w:r>
        <w:rPr>
          <w:rFonts w:hint="cs"/>
          <w:rtl/>
        </w:rPr>
        <w:t xml:space="preserve">יש </w:t>
      </w:r>
      <w:bookmarkStart w:id="65284" w:name="_ETM_Q116_290759"/>
      <w:bookmarkEnd w:id="65284"/>
      <w:r>
        <w:rPr>
          <w:rFonts w:hint="cs"/>
          <w:rtl/>
        </w:rPr>
        <w:t xml:space="preserve">להן </w:t>
      </w:r>
      <w:bookmarkStart w:id="65285" w:name="_ETM_Q116_290969"/>
      <w:bookmarkEnd w:id="65285"/>
      <w:r>
        <w:rPr>
          <w:rFonts w:hint="cs"/>
          <w:rtl/>
        </w:rPr>
        <w:t xml:space="preserve">תפקיד </w:t>
      </w:r>
      <w:bookmarkStart w:id="65286" w:name="_ETM_Q116_291270"/>
      <w:bookmarkEnd w:id="65286"/>
      <w:r>
        <w:rPr>
          <w:rFonts w:hint="cs"/>
          <w:rtl/>
        </w:rPr>
        <w:t xml:space="preserve">חשוב, </w:t>
      </w:r>
      <w:bookmarkStart w:id="65287" w:name="_ETM_Q116_291939"/>
      <w:bookmarkEnd w:id="65287"/>
      <w:r>
        <w:rPr>
          <w:rFonts w:hint="cs"/>
          <w:rtl/>
        </w:rPr>
        <w:t xml:space="preserve">וגם </w:t>
      </w:r>
      <w:bookmarkStart w:id="65288" w:name="_ETM_Q116_292270"/>
      <w:bookmarkEnd w:id="65288"/>
      <w:r>
        <w:rPr>
          <w:rFonts w:hint="cs"/>
          <w:rtl/>
        </w:rPr>
        <w:t xml:space="preserve">הפרת </w:t>
      </w:r>
      <w:bookmarkStart w:id="65289" w:name="_ETM_Q116_292659"/>
      <w:bookmarkEnd w:id="65289"/>
      <w:r>
        <w:rPr>
          <w:rFonts w:hint="cs"/>
          <w:rtl/>
        </w:rPr>
        <w:t xml:space="preserve">סדר </w:t>
      </w:r>
      <w:bookmarkStart w:id="65290" w:name="_ETM_Q116_292959"/>
      <w:bookmarkEnd w:id="65290"/>
      <w:r>
        <w:rPr>
          <w:rFonts w:hint="cs"/>
          <w:rtl/>
        </w:rPr>
        <w:t xml:space="preserve">ציבורי </w:t>
      </w:r>
      <w:bookmarkStart w:id="65291" w:name="_ETM_Q116_293469"/>
      <w:bookmarkEnd w:id="65291"/>
      <w:r>
        <w:rPr>
          <w:rFonts w:hint="cs"/>
          <w:rtl/>
        </w:rPr>
        <w:t xml:space="preserve">זה </w:t>
      </w:r>
      <w:bookmarkStart w:id="65292" w:name="_ETM_Q116_293619"/>
      <w:bookmarkEnd w:id="65292"/>
      <w:r>
        <w:rPr>
          <w:rFonts w:hint="cs"/>
          <w:rtl/>
        </w:rPr>
        <w:t xml:space="preserve">חלק </w:t>
      </w:r>
      <w:bookmarkStart w:id="65293" w:name="_ETM_Q116_293859"/>
      <w:bookmarkEnd w:id="65293"/>
      <w:r>
        <w:rPr>
          <w:rFonts w:hint="cs"/>
          <w:rtl/>
        </w:rPr>
        <w:t xml:space="preserve">מהפגנה. </w:t>
      </w:r>
      <w:bookmarkStart w:id="65294" w:name="_ETM_Q116_294549"/>
      <w:bookmarkEnd w:id="65294"/>
      <w:r>
        <w:rPr>
          <w:rFonts w:hint="cs"/>
          <w:rtl/>
        </w:rPr>
        <w:t xml:space="preserve">מי </w:t>
      </w:r>
      <w:bookmarkStart w:id="65295" w:name="_ETM_Q116_294729"/>
      <w:bookmarkEnd w:id="65295"/>
      <w:r>
        <w:rPr>
          <w:rFonts w:hint="cs"/>
          <w:rtl/>
        </w:rPr>
        <w:t xml:space="preserve">שמפגין </w:t>
      </w:r>
      <w:bookmarkStart w:id="65296" w:name="_ETM_Q116_295450"/>
      <w:bookmarkEnd w:id="65296"/>
      <w:r>
        <w:rPr>
          <w:rFonts w:hint="cs"/>
          <w:rtl/>
        </w:rPr>
        <w:t xml:space="preserve">צריך </w:t>
      </w:r>
      <w:bookmarkStart w:id="65297" w:name="_ETM_Q116_295659"/>
      <w:bookmarkEnd w:id="65297"/>
      <w:r>
        <w:rPr>
          <w:rFonts w:hint="cs"/>
          <w:rtl/>
        </w:rPr>
        <w:t xml:space="preserve">לקחת </w:t>
      </w:r>
      <w:bookmarkStart w:id="65298" w:name="_ETM_Q116_295959"/>
      <w:bookmarkEnd w:id="65298"/>
      <w:r>
        <w:rPr>
          <w:rFonts w:hint="cs"/>
          <w:rtl/>
        </w:rPr>
        <w:t xml:space="preserve">את </w:t>
      </w:r>
      <w:bookmarkStart w:id="65299" w:name="_ETM_Q116_296020"/>
      <w:bookmarkEnd w:id="65299"/>
      <w:r>
        <w:rPr>
          <w:rFonts w:hint="cs"/>
          <w:rtl/>
        </w:rPr>
        <w:t xml:space="preserve">זה </w:t>
      </w:r>
      <w:bookmarkStart w:id="65300" w:name="_ETM_Q116_296109"/>
      <w:bookmarkEnd w:id="65300"/>
      <w:r>
        <w:rPr>
          <w:rFonts w:hint="cs"/>
          <w:rtl/>
        </w:rPr>
        <w:t xml:space="preserve">בחשבון. </w:t>
      </w:r>
      <w:bookmarkStart w:id="65301" w:name="_ETM_Q116_296889"/>
      <w:bookmarkEnd w:id="65301"/>
      <w:r>
        <w:rPr>
          <w:rFonts w:hint="cs"/>
          <w:rtl/>
        </w:rPr>
        <w:t xml:space="preserve">החרדים </w:t>
      </w:r>
      <w:bookmarkStart w:id="65302" w:name="_ETM_Q116_297429"/>
      <w:bookmarkEnd w:id="65302"/>
      <w:r>
        <w:rPr>
          <w:rFonts w:hint="cs"/>
          <w:rtl/>
        </w:rPr>
        <w:t xml:space="preserve">שיצאו </w:t>
      </w:r>
      <w:bookmarkStart w:id="65303" w:name="_ETM_Q116_297759"/>
      <w:bookmarkEnd w:id="65303"/>
      <w:r>
        <w:rPr>
          <w:rFonts w:hint="cs"/>
          <w:rtl/>
        </w:rPr>
        <w:t xml:space="preserve">להפגין </w:t>
      </w:r>
      <w:bookmarkStart w:id="65304" w:name="_ETM_Q116_298090"/>
      <w:bookmarkEnd w:id="65304"/>
      <w:r>
        <w:rPr>
          <w:rFonts w:hint="cs"/>
          <w:rtl/>
        </w:rPr>
        <w:t xml:space="preserve">על </w:t>
      </w:r>
      <w:bookmarkStart w:id="65305" w:name="_ETM_Q116_298179"/>
      <w:bookmarkEnd w:id="65305"/>
      <w:r>
        <w:rPr>
          <w:rFonts w:hint="cs"/>
          <w:rtl/>
        </w:rPr>
        <w:t xml:space="preserve">חוק </w:t>
      </w:r>
      <w:bookmarkStart w:id="65306" w:name="_ETM_Q116_298389"/>
      <w:bookmarkEnd w:id="65306"/>
      <w:r>
        <w:rPr>
          <w:rFonts w:hint="cs"/>
          <w:rtl/>
        </w:rPr>
        <w:t xml:space="preserve">הגיוס, </w:t>
      </w:r>
      <w:bookmarkStart w:id="65307" w:name="_ETM_Q116_298869"/>
      <w:bookmarkEnd w:id="65307"/>
      <w:r>
        <w:rPr>
          <w:rFonts w:hint="cs"/>
          <w:rtl/>
        </w:rPr>
        <w:t xml:space="preserve">וחסמו </w:t>
      </w:r>
      <w:bookmarkStart w:id="65308" w:name="_ETM_Q116_299289"/>
      <w:bookmarkEnd w:id="65308"/>
      <w:r>
        <w:rPr>
          <w:rFonts w:hint="cs"/>
          <w:rtl/>
        </w:rPr>
        <w:t xml:space="preserve">כבישים </w:t>
      </w:r>
      <w:bookmarkStart w:id="65309" w:name="_ETM_Q116_299649"/>
      <w:bookmarkEnd w:id="65309"/>
      <w:r>
        <w:rPr>
          <w:rFonts w:hint="cs"/>
          <w:rtl/>
        </w:rPr>
        <w:t xml:space="preserve">פה </w:t>
      </w:r>
      <w:bookmarkStart w:id="65310" w:name="_ETM_Q116_299829"/>
      <w:bookmarkEnd w:id="65310"/>
      <w:r>
        <w:rPr>
          <w:rFonts w:hint="cs"/>
          <w:rtl/>
        </w:rPr>
        <w:t xml:space="preserve">על </w:t>
      </w:r>
      <w:bookmarkStart w:id="65311" w:name="_ETM_Q116_299889"/>
      <w:bookmarkEnd w:id="65311"/>
      <w:r>
        <w:rPr>
          <w:rFonts w:hint="cs"/>
          <w:rtl/>
        </w:rPr>
        <w:t xml:space="preserve">ימין </w:t>
      </w:r>
      <w:bookmarkStart w:id="65312" w:name="_ETM_Q116_300130"/>
      <w:bookmarkEnd w:id="65312"/>
      <w:r>
        <w:rPr>
          <w:rFonts w:hint="cs"/>
          <w:rtl/>
        </w:rPr>
        <w:t xml:space="preserve">ועל </w:t>
      </w:r>
      <w:bookmarkStart w:id="65313" w:name="_ETM_Q116_300280"/>
      <w:bookmarkEnd w:id="65313"/>
      <w:r>
        <w:rPr>
          <w:rFonts w:hint="cs"/>
          <w:rtl/>
        </w:rPr>
        <w:t xml:space="preserve">שמאל, ואחד אזק את עצמו </w:t>
      </w:r>
      <w:bookmarkStart w:id="65314" w:name="_ETM_Q116_298789"/>
      <w:bookmarkEnd w:id="65314"/>
      <w:r>
        <w:rPr>
          <w:rFonts w:hint="cs"/>
          <w:rtl/>
        </w:rPr>
        <w:t xml:space="preserve">פה לזה </w:t>
      </w:r>
      <w:r>
        <w:t>–</w:t>
      </w:r>
      <w:r>
        <w:rPr>
          <w:rFonts w:hint="cs"/>
          <w:rtl/>
        </w:rPr>
        <w:t xml:space="preserve"> על זה אנחנו לא מדברים. נדבקתם על השולחנות. אזק </w:t>
      </w:r>
      <w:bookmarkStart w:id="65315" w:name="_ETM_Q116_304297"/>
      <w:bookmarkEnd w:id="65315"/>
      <w:r w:rsidR="00270863">
        <w:rPr>
          <w:rFonts w:hint="cs"/>
          <w:rtl/>
        </w:rPr>
        <w:t xml:space="preserve">את עצמו פה לדוכן, </w:t>
      </w:r>
      <w:r>
        <w:rPr>
          <w:rFonts w:hint="cs"/>
          <w:rtl/>
        </w:rPr>
        <w:t xml:space="preserve">זה בסדר? </w:t>
      </w:r>
      <w:bookmarkStart w:id="65316" w:name="_ETM_Q116_300849"/>
      <w:bookmarkStart w:id="65317" w:name="_ETM_Q116_301209"/>
      <w:bookmarkStart w:id="65318" w:name="_ETM_Q116_301630"/>
      <w:bookmarkStart w:id="65319" w:name="_ETM_Q116_301689"/>
      <w:bookmarkStart w:id="65320" w:name="_ETM_Q116_301959"/>
      <w:bookmarkStart w:id="65321" w:name="_ETM_Q116_302170"/>
      <w:bookmarkStart w:id="65322" w:name="_ETM_Q116_302799"/>
      <w:bookmarkStart w:id="65323" w:name="_ETM_Q116_303130"/>
      <w:bookmarkStart w:id="65324" w:name="_ETM_Q116_303280"/>
      <w:bookmarkStart w:id="65325" w:name="_ETM_Q116_303549"/>
      <w:bookmarkStart w:id="65326" w:name="_ETM_Q116_303639"/>
      <w:bookmarkStart w:id="65327" w:name="_ETM_Q116_303999"/>
      <w:bookmarkStart w:id="65328" w:name="_ETM_Q116_304209"/>
      <w:bookmarkStart w:id="65329" w:name="_ETM_Q116_304450"/>
      <w:bookmarkStart w:id="65330" w:name="_ETM_Q116_304899"/>
      <w:bookmarkStart w:id="65331" w:name="_ETM_Q116_305079"/>
      <w:bookmarkStart w:id="65332" w:name="_ETM_Q116_305679"/>
      <w:bookmarkStart w:id="65333" w:name="_ETM_Q116_305770"/>
      <w:bookmarkStart w:id="65334" w:name="_ETM_Q116_306399"/>
      <w:bookmarkStart w:id="65335" w:name="_ETM_Q116_306789"/>
      <w:bookmarkStart w:id="65336" w:name="_ETM_Q116_306880"/>
      <w:bookmarkStart w:id="65337" w:name="_ETM_Q116_307149"/>
      <w:bookmarkStart w:id="65338" w:name="_ETM_Q116_307630"/>
      <w:bookmarkStart w:id="65339" w:name="_ETM_Q116_308709"/>
      <w:bookmarkStart w:id="65340" w:name="_ETM_Q116_308860"/>
      <w:bookmarkStart w:id="65341" w:name="_ETM_Q116_310349"/>
      <w:bookmarkEnd w:id="65316"/>
      <w:bookmarkEnd w:id="65317"/>
      <w:bookmarkEnd w:id="65318"/>
      <w:bookmarkEnd w:id="65319"/>
      <w:bookmarkEnd w:id="65320"/>
      <w:bookmarkEnd w:id="65321"/>
      <w:bookmarkEnd w:id="65322"/>
      <w:bookmarkEnd w:id="65323"/>
      <w:bookmarkEnd w:id="65324"/>
      <w:bookmarkEnd w:id="65325"/>
      <w:bookmarkEnd w:id="65326"/>
      <w:bookmarkEnd w:id="65327"/>
      <w:bookmarkEnd w:id="65328"/>
      <w:bookmarkEnd w:id="65329"/>
      <w:bookmarkEnd w:id="65330"/>
      <w:bookmarkEnd w:id="65331"/>
      <w:bookmarkEnd w:id="65332"/>
      <w:bookmarkEnd w:id="65333"/>
      <w:bookmarkEnd w:id="65334"/>
      <w:bookmarkEnd w:id="65335"/>
      <w:bookmarkEnd w:id="65336"/>
      <w:bookmarkEnd w:id="65337"/>
      <w:bookmarkEnd w:id="65338"/>
      <w:bookmarkEnd w:id="65339"/>
      <w:bookmarkEnd w:id="65340"/>
      <w:bookmarkEnd w:id="65341"/>
      <w:r>
        <w:rPr>
          <w:rFonts w:hint="cs"/>
          <w:rtl/>
        </w:rPr>
        <w:t xml:space="preserve">אבל </w:t>
      </w:r>
      <w:bookmarkStart w:id="65342" w:name="_ETM_Q116_310590"/>
      <w:bookmarkStart w:id="65343" w:name="_ETM_Q116_311219"/>
      <w:bookmarkEnd w:id="65342"/>
      <w:bookmarkEnd w:id="65343"/>
      <w:r>
        <w:rPr>
          <w:rFonts w:hint="cs"/>
          <w:rtl/>
        </w:rPr>
        <w:t xml:space="preserve">הוא </w:t>
      </w:r>
      <w:bookmarkStart w:id="65344" w:name="_ETM_Q116_311370"/>
      <w:bookmarkEnd w:id="65344"/>
      <w:r>
        <w:rPr>
          <w:rFonts w:hint="cs"/>
          <w:rtl/>
        </w:rPr>
        <w:t xml:space="preserve">לוקח </w:t>
      </w:r>
      <w:bookmarkStart w:id="65345" w:name="_ETM_Q116_311700"/>
      <w:bookmarkEnd w:id="65345"/>
      <w:r>
        <w:rPr>
          <w:rFonts w:hint="cs"/>
          <w:rtl/>
        </w:rPr>
        <w:t xml:space="preserve">את </w:t>
      </w:r>
      <w:bookmarkStart w:id="65346" w:name="_ETM_Q116_311760"/>
      <w:bookmarkEnd w:id="65346"/>
      <w:r>
        <w:rPr>
          <w:rFonts w:hint="cs"/>
          <w:rtl/>
        </w:rPr>
        <w:t xml:space="preserve">זה </w:t>
      </w:r>
      <w:bookmarkStart w:id="65347" w:name="_ETM_Q116_311879"/>
      <w:bookmarkStart w:id="65348" w:name="_ETM_Q116_312239"/>
      <w:bookmarkStart w:id="65349" w:name="_ETM_Q116_312599"/>
      <w:bookmarkEnd w:id="65347"/>
      <w:bookmarkEnd w:id="65348"/>
      <w:bookmarkEnd w:id="65349"/>
      <w:r>
        <w:rPr>
          <w:rFonts w:hint="cs"/>
          <w:rtl/>
        </w:rPr>
        <w:t xml:space="preserve">בחשבון. </w:t>
      </w:r>
      <w:bookmarkStart w:id="65350" w:name="_ETM_Q116_313290"/>
      <w:bookmarkEnd w:id="65350"/>
      <w:r>
        <w:rPr>
          <w:rFonts w:hint="cs"/>
          <w:rtl/>
        </w:rPr>
        <w:t xml:space="preserve">הוא </w:t>
      </w:r>
      <w:bookmarkStart w:id="65351" w:name="_ETM_Q116_313379"/>
      <w:bookmarkEnd w:id="65351"/>
      <w:r>
        <w:rPr>
          <w:rFonts w:hint="cs"/>
          <w:rtl/>
        </w:rPr>
        <w:t xml:space="preserve">לוקח </w:t>
      </w:r>
      <w:bookmarkStart w:id="65352" w:name="_ETM_Q116_313709"/>
      <w:bookmarkEnd w:id="65352"/>
      <w:r>
        <w:rPr>
          <w:rFonts w:hint="cs"/>
          <w:rtl/>
        </w:rPr>
        <w:t xml:space="preserve">בחשבון </w:t>
      </w:r>
      <w:bookmarkStart w:id="65353" w:name="_ETM_Q116_314280"/>
      <w:bookmarkEnd w:id="65353"/>
      <w:r>
        <w:rPr>
          <w:rFonts w:hint="cs"/>
          <w:rtl/>
        </w:rPr>
        <w:t xml:space="preserve">שהוא </w:t>
      </w:r>
      <w:bookmarkStart w:id="65354" w:name="_ETM_Q116_314459"/>
      <w:bookmarkEnd w:id="65354"/>
      <w:r>
        <w:rPr>
          <w:rFonts w:hint="cs"/>
          <w:rtl/>
        </w:rPr>
        <w:t xml:space="preserve">עולה </w:t>
      </w:r>
      <w:bookmarkStart w:id="65355" w:name="_ETM_Q116_314609"/>
      <w:bookmarkEnd w:id="65355"/>
      <w:r>
        <w:rPr>
          <w:rFonts w:hint="cs"/>
          <w:rtl/>
        </w:rPr>
        <w:t xml:space="preserve">לפה </w:t>
      </w:r>
      <w:bookmarkStart w:id="65356" w:name="_ETM_Q116_314879"/>
      <w:bookmarkEnd w:id="65356"/>
      <w:r>
        <w:rPr>
          <w:rFonts w:hint="cs"/>
          <w:rtl/>
        </w:rPr>
        <w:t xml:space="preserve">עם </w:t>
      </w:r>
      <w:bookmarkStart w:id="65357" w:name="_ETM_Q116_314969"/>
      <w:bookmarkEnd w:id="65357"/>
      <w:r>
        <w:rPr>
          <w:rFonts w:hint="cs"/>
          <w:rtl/>
        </w:rPr>
        <w:t xml:space="preserve">אזיקים, שוועדת </w:t>
      </w:r>
      <w:bookmarkStart w:id="65358" w:name="_ETM_Q116_316054"/>
      <w:bookmarkEnd w:id="65358"/>
      <w:r>
        <w:rPr>
          <w:rFonts w:hint="cs"/>
          <w:rtl/>
        </w:rPr>
        <w:t xml:space="preserve">האתיקה כנראה תיתן לו קנס. </w:t>
      </w:r>
      <w:bookmarkStart w:id="65359" w:name="_ETM_Q116_315719"/>
      <w:bookmarkStart w:id="65360" w:name="_ETM_Q116_315870"/>
      <w:bookmarkStart w:id="65361" w:name="_ETM_Q116_316169"/>
      <w:bookmarkStart w:id="65362" w:name="_ETM_Q116_316530"/>
      <w:bookmarkStart w:id="65363" w:name="_ETM_Q116_316889"/>
      <w:bookmarkStart w:id="65364" w:name="_ETM_Q116_317069"/>
      <w:bookmarkStart w:id="65365" w:name="_ETM_Q116_317159"/>
      <w:bookmarkStart w:id="65366" w:name="_ETM_Q116_317459"/>
      <w:bookmarkStart w:id="65367" w:name="_ETM_Q116_317669"/>
      <w:bookmarkEnd w:id="65359"/>
      <w:bookmarkEnd w:id="65360"/>
      <w:bookmarkEnd w:id="65361"/>
      <w:bookmarkEnd w:id="65362"/>
      <w:bookmarkEnd w:id="65363"/>
      <w:bookmarkEnd w:id="65364"/>
      <w:bookmarkEnd w:id="65365"/>
      <w:bookmarkEnd w:id="65366"/>
      <w:bookmarkEnd w:id="65367"/>
      <w:r>
        <w:rPr>
          <w:rFonts w:hint="cs"/>
          <w:rtl/>
        </w:rPr>
        <w:t xml:space="preserve">זה </w:t>
      </w:r>
      <w:bookmarkStart w:id="65368" w:name="_ETM_Q116_317760"/>
      <w:bookmarkEnd w:id="65368"/>
      <w:r>
        <w:rPr>
          <w:rFonts w:hint="cs"/>
          <w:rtl/>
        </w:rPr>
        <w:t xml:space="preserve">חלק </w:t>
      </w:r>
      <w:bookmarkStart w:id="65369" w:name="_ETM_Q116_318120"/>
      <w:bookmarkEnd w:id="65369"/>
      <w:r>
        <w:rPr>
          <w:rFonts w:hint="cs"/>
          <w:rtl/>
        </w:rPr>
        <w:t xml:space="preserve">מהמחאה. </w:t>
      </w:r>
      <w:bookmarkStart w:id="65370" w:name="_ETM_Q116_319019"/>
      <w:bookmarkStart w:id="65371" w:name="_ETM_Q116_319230"/>
      <w:bookmarkStart w:id="65372" w:name="_ETM_Q116_319379"/>
      <w:bookmarkEnd w:id="65370"/>
      <w:bookmarkEnd w:id="65371"/>
      <w:bookmarkEnd w:id="65372"/>
      <w:r>
        <w:rPr>
          <w:rFonts w:hint="cs"/>
          <w:rtl/>
        </w:rPr>
        <w:t xml:space="preserve">ככה </w:t>
      </w:r>
      <w:bookmarkStart w:id="65373" w:name="_ETM_Q116_319620"/>
      <w:bookmarkEnd w:id="65373"/>
      <w:r>
        <w:rPr>
          <w:rFonts w:hint="cs"/>
          <w:rtl/>
        </w:rPr>
        <w:t>עושים מחאות בעולם.</w:t>
      </w:r>
    </w:p>
    <w:p w:rsidR="00BB59CD" w:rsidRDefault="00BB59CD" w:rsidP="00BB59CD">
      <w:pPr>
        <w:ind w:firstLine="0"/>
        <w:rPr>
          <w:rtl/>
        </w:rPr>
      </w:pPr>
      <w:bookmarkStart w:id="65374" w:name="_ETM_Q116_323875"/>
      <w:bookmarkStart w:id="65375" w:name="_ETM_Q116_323993"/>
      <w:bookmarkStart w:id="65376" w:name="_ETM_Q116_324035"/>
      <w:bookmarkStart w:id="65377" w:name="_ETM_Q116_324126"/>
      <w:bookmarkEnd w:id="65374"/>
      <w:bookmarkEnd w:id="65375"/>
      <w:bookmarkEnd w:id="65376"/>
      <w:bookmarkEnd w:id="65377"/>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270863">
      <w:pPr>
        <w:rPr>
          <w:rtl/>
        </w:rPr>
      </w:pPr>
      <w:r>
        <w:rPr>
          <w:rFonts w:hint="cs"/>
          <w:rtl/>
        </w:rPr>
        <w:t xml:space="preserve">יש לי </w:t>
      </w:r>
      <w:bookmarkStart w:id="65378" w:name="_ETM_Q116_321792"/>
      <w:bookmarkEnd w:id="65378"/>
      <w:r>
        <w:rPr>
          <w:rFonts w:hint="cs"/>
          <w:rtl/>
        </w:rPr>
        <w:t>כאן בטלפון, אראה לך אחר כך, הוראת מעצר של עצורים מהתקופה האחרונה שעשו מחאה בכביש בר</w:t>
      </w:r>
      <w:r w:rsidR="00270863">
        <w:rPr>
          <w:rFonts w:hint="cs"/>
          <w:rtl/>
        </w:rPr>
        <w:t>-</w:t>
      </w:r>
      <w:r>
        <w:rPr>
          <w:rFonts w:hint="cs"/>
          <w:rtl/>
        </w:rPr>
        <w:t xml:space="preserve">אילן כמחאה על </w:t>
      </w:r>
      <w:bookmarkStart w:id="65379" w:name="_ETM_Q116_328147"/>
      <w:bookmarkEnd w:id="65379"/>
      <w:r>
        <w:rPr>
          <w:rFonts w:hint="cs"/>
          <w:rtl/>
        </w:rPr>
        <w:t>הרכבת.</w:t>
      </w:r>
      <w:r w:rsidR="00270863">
        <w:rPr>
          <w:rFonts w:hint="cs"/>
          <w:rtl/>
        </w:rPr>
        <w:t xml:space="preserve"> </w:t>
      </w:r>
      <w:bookmarkStart w:id="65380" w:name="_ETM_Q116_334090"/>
      <w:bookmarkEnd w:id="65380"/>
      <w:r>
        <w:rPr>
          <w:rFonts w:hint="cs"/>
          <w:rtl/>
        </w:rPr>
        <w:t>חרדים. במקביל</w:t>
      </w:r>
      <w:r w:rsidR="00270863">
        <w:rPr>
          <w:rFonts w:hint="cs"/>
          <w:rtl/>
        </w:rPr>
        <w:t>,</w:t>
      </w:r>
      <w:r>
        <w:rPr>
          <w:rFonts w:hint="cs"/>
          <w:rtl/>
        </w:rPr>
        <w:t xml:space="preserve"> גם כן, אותו מספר עצורים שעצרו </w:t>
      </w:r>
      <w:bookmarkStart w:id="65381" w:name="_ETM_Q116_335607"/>
      <w:bookmarkEnd w:id="65381"/>
      <w:r>
        <w:rPr>
          <w:rFonts w:hint="cs"/>
          <w:rtl/>
        </w:rPr>
        <w:t>אותם לגבי חסימת כביש</w:t>
      </w:r>
      <w:r w:rsidR="00270863">
        <w:rPr>
          <w:rFonts w:hint="cs"/>
          <w:rtl/>
        </w:rPr>
        <w:t>,</w:t>
      </w:r>
      <w:r>
        <w:rPr>
          <w:rFonts w:hint="cs"/>
          <w:rtl/>
        </w:rPr>
        <w:t xml:space="preserve"> </w:t>
      </w:r>
      <w:r w:rsidR="00270863">
        <w:rPr>
          <w:rFonts w:hint="cs"/>
          <w:rtl/>
        </w:rPr>
        <w:t>ו</w:t>
      </w:r>
      <w:r>
        <w:rPr>
          <w:rFonts w:hint="cs"/>
          <w:rtl/>
        </w:rPr>
        <w:t>אתה לא מאמין באיזה סלחנות</w:t>
      </w:r>
      <w:r w:rsidR="00270863">
        <w:rPr>
          <w:rFonts w:hint="cs"/>
          <w:rtl/>
        </w:rPr>
        <w:t>;</w:t>
      </w:r>
      <w:r>
        <w:rPr>
          <w:rFonts w:hint="cs"/>
          <w:rtl/>
        </w:rPr>
        <w:t xml:space="preserve"> </w:t>
      </w:r>
      <w:bookmarkStart w:id="65382" w:name="_ETM_Q116_340767"/>
      <w:bookmarkEnd w:id="65382"/>
      <w:r>
        <w:rPr>
          <w:rFonts w:hint="cs"/>
          <w:rtl/>
        </w:rPr>
        <w:t xml:space="preserve">בקשה למעצר עד תום ההליכים, ערבויות בעשרות אלפי שקלים, ופה </w:t>
      </w:r>
      <w:bookmarkStart w:id="65383" w:name="_ETM_Q116_344774"/>
      <w:bookmarkEnd w:id="65383"/>
      <w:r>
        <w:rPr>
          <w:rFonts w:hint="cs"/>
          <w:rtl/>
        </w:rPr>
        <w:t xml:space="preserve">אחרי חמש דקות שחררו. אז תתפלא לשמוע. </w:t>
      </w:r>
    </w:p>
    <w:p w:rsidR="00BB59CD" w:rsidRDefault="00BB59CD" w:rsidP="00BB59CD">
      <w:pPr>
        <w:rPr>
          <w:rtl/>
        </w:rPr>
      </w:pPr>
      <w:bookmarkStart w:id="65384" w:name="_ETM_Q116_351013"/>
      <w:bookmarkStart w:id="65385" w:name="_ETM_Q116_351128"/>
      <w:bookmarkEnd w:id="65384"/>
      <w:bookmarkEnd w:id="65385"/>
    </w:p>
    <w:p w:rsidR="00BB59CD" w:rsidRDefault="00BB59CD" w:rsidP="00BB59CD">
      <w:pPr>
        <w:pStyle w:val="-"/>
        <w:keepNext/>
        <w:rPr>
          <w:rtl/>
        </w:rPr>
      </w:pPr>
      <w:bookmarkStart w:id="65386" w:name="_ETM_Q116_351173"/>
      <w:bookmarkStart w:id="65387" w:name="_ETM_Q116_351291"/>
      <w:bookmarkEnd w:id="65386"/>
      <w:bookmarkEnd w:id="6538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270863">
      <w:pPr>
        <w:rPr>
          <w:rtl/>
        </w:rPr>
      </w:pPr>
      <w:bookmarkStart w:id="65388" w:name="_ETM_Q116_353033"/>
      <w:bookmarkEnd w:id="65388"/>
      <w:r>
        <w:rPr>
          <w:rFonts w:hint="cs"/>
          <w:rtl/>
        </w:rPr>
        <w:t xml:space="preserve">אני נגד. בסדר. </w:t>
      </w:r>
      <w:bookmarkStart w:id="65389" w:name="_ETM_Q116_324222"/>
      <w:bookmarkStart w:id="65390" w:name="_ETM_Q116_324345"/>
      <w:bookmarkStart w:id="65391" w:name="_ETM_Q116_324420"/>
      <w:bookmarkStart w:id="65392" w:name="_ETM_Q116_324516"/>
      <w:bookmarkStart w:id="65393" w:name="_ETM_Q116_319859"/>
      <w:bookmarkStart w:id="65394" w:name="_ETM_Q116_320219"/>
      <w:bookmarkStart w:id="65395" w:name="_ETM_Q116_321060"/>
      <w:bookmarkStart w:id="65396" w:name="_ETM_Q116_321239"/>
      <w:bookmarkStart w:id="65397" w:name="_ETM_Q116_321329"/>
      <w:bookmarkStart w:id="65398" w:name="_ETM_Q116_321810"/>
      <w:bookmarkStart w:id="65399" w:name="_ETM_Q116_322409"/>
      <w:bookmarkStart w:id="65400" w:name="_ETM_Q116_322680"/>
      <w:bookmarkStart w:id="65401" w:name="_ETM_Q116_322859"/>
      <w:bookmarkStart w:id="65402" w:name="_ETM_Q116_323010"/>
      <w:bookmarkStart w:id="65403" w:name="_ETM_Q116_324540"/>
      <w:bookmarkStart w:id="65404" w:name="_ETM_Q116_324900"/>
      <w:bookmarkStart w:id="65405" w:name="_ETM_Q116_325919"/>
      <w:bookmarkStart w:id="65406" w:name="_ETM_Q116_326189"/>
      <w:bookmarkStart w:id="65407" w:name="_ETM_Q116_326840"/>
      <w:bookmarkStart w:id="65408" w:name="_ETM_Q116_351459"/>
      <w:bookmarkEnd w:id="65389"/>
      <w:bookmarkEnd w:id="65390"/>
      <w:bookmarkEnd w:id="65391"/>
      <w:bookmarkEnd w:id="65392"/>
      <w:bookmarkEnd w:id="65393"/>
      <w:bookmarkEnd w:id="65394"/>
      <w:bookmarkEnd w:id="65395"/>
      <w:bookmarkEnd w:id="65396"/>
      <w:bookmarkEnd w:id="65397"/>
      <w:bookmarkEnd w:id="65398"/>
      <w:bookmarkEnd w:id="65399"/>
      <w:bookmarkEnd w:id="65400"/>
      <w:bookmarkEnd w:id="65401"/>
      <w:bookmarkEnd w:id="65402"/>
      <w:bookmarkEnd w:id="65403"/>
      <w:bookmarkEnd w:id="65404"/>
      <w:bookmarkEnd w:id="65405"/>
      <w:bookmarkEnd w:id="65406"/>
      <w:bookmarkEnd w:id="65407"/>
      <w:bookmarkEnd w:id="65408"/>
      <w:r>
        <w:rPr>
          <w:rFonts w:hint="cs"/>
          <w:rtl/>
        </w:rPr>
        <w:t xml:space="preserve">אבל </w:t>
      </w:r>
      <w:bookmarkStart w:id="65409" w:name="_ETM_Q116_352599"/>
      <w:bookmarkStart w:id="65410" w:name="_ETM_Q116_352870"/>
      <w:bookmarkEnd w:id="65409"/>
      <w:bookmarkEnd w:id="65410"/>
      <w:r>
        <w:rPr>
          <w:rFonts w:hint="cs"/>
          <w:rtl/>
        </w:rPr>
        <w:t>אי</w:t>
      </w:r>
      <w:bookmarkStart w:id="65411" w:name="_ETM_Q116_352930"/>
      <w:bookmarkEnd w:id="65411"/>
      <w:r>
        <w:rPr>
          <w:rFonts w:hint="cs"/>
          <w:rtl/>
        </w:rPr>
        <w:t xml:space="preserve">-אפשר </w:t>
      </w:r>
      <w:bookmarkStart w:id="65412" w:name="_ETM_Q116_353109"/>
      <w:bookmarkEnd w:id="65412"/>
      <w:r>
        <w:rPr>
          <w:rFonts w:hint="cs"/>
          <w:rtl/>
        </w:rPr>
        <w:t xml:space="preserve">להשתמש </w:t>
      </w:r>
      <w:bookmarkStart w:id="65413" w:name="_ETM_Q116_353499"/>
      <w:bookmarkStart w:id="65414" w:name="_ETM_Q116_353739"/>
      <w:bookmarkEnd w:id="65413"/>
      <w:bookmarkEnd w:id="65414"/>
      <w:r>
        <w:rPr>
          <w:rFonts w:hint="cs"/>
          <w:rtl/>
        </w:rPr>
        <w:t>תמיד בזה</w:t>
      </w:r>
      <w:bookmarkStart w:id="65415" w:name="_ETM_Q116_346899"/>
      <w:bookmarkStart w:id="65416" w:name="_ETM_Q116_347045"/>
      <w:bookmarkStart w:id="65417" w:name="_ETM_Q116_347086"/>
      <w:bookmarkStart w:id="65418" w:name="_ETM_Q116_347205"/>
      <w:bookmarkEnd w:id="65415"/>
      <w:bookmarkEnd w:id="65416"/>
      <w:bookmarkEnd w:id="65417"/>
      <w:bookmarkEnd w:id="65418"/>
      <w:r w:rsidR="00270863">
        <w:rPr>
          <w:rFonts w:hint="cs"/>
          <w:rtl/>
        </w:rPr>
        <w:t>, כ</w:t>
      </w:r>
      <w:r>
        <w:rPr>
          <w:rFonts w:hint="cs"/>
          <w:rtl/>
        </w:rPr>
        <w:t>י זה לא עובד.</w:t>
      </w:r>
    </w:p>
    <w:p w:rsidR="00BB59CD" w:rsidRDefault="00BB59CD" w:rsidP="00BB59CD">
      <w:pPr>
        <w:rPr>
          <w:rtl/>
        </w:rPr>
      </w:pPr>
      <w:bookmarkStart w:id="65419" w:name="_ETM_Q116_353264"/>
      <w:bookmarkStart w:id="65420" w:name="_ETM_Q116_353377"/>
      <w:bookmarkStart w:id="65421" w:name="_ETM_Q116_353405"/>
      <w:bookmarkStart w:id="65422" w:name="_ETM_Q116_353496"/>
      <w:bookmarkEnd w:id="65419"/>
      <w:bookmarkEnd w:id="65420"/>
      <w:bookmarkEnd w:id="65421"/>
      <w:bookmarkEnd w:id="6542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5423" w:name="_ETM_Q116_354642"/>
      <w:bookmarkEnd w:id="65423"/>
      <w:r>
        <w:rPr>
          <w:rFonts w:hint="cs"/>
          <w:rtl/>
        </w:rPr>
        <w:t>למה זה לא עובד?</w:t>
      </w:r>
    </w:p>
    <w:p w:rsidR="00BB59CD" w:rsidRDefault="00BB59CD" w:rsidP="00BB59CD">
      <w:pPr>
        <w:rPr>
          <w:rtl/>
        </w:rPr>
      </w:pPr>
      <w:bookmarkStart w:id="65424" w:name="_ETM_Q116_358573"/>
      <w:bookmarkStart w:id="65425" w:name="_ETM_Q116_358679"/>
      <w:bookmarkStart w:id="65426" w:name="_ETM_Q116_358732"/>
      <w:bookmarkEnd w:id="65424"/>
      <w:bookmarkEnd w:id="65425"/>
      <w:bookmarkEnd w:id="65426"/>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5427" w:name="_ETM_Q116_358843"/>
      <w:bookmarkEnd w:id="65427"/>
      <w:r>
        <w:rPr>
          <w:rFonts w:hint="cs"/>
          <w:rtl/>
        </w:rPr>
        <w:t xml:space="preserve">כי </w:t>
      </w:r>
      <w:bookmarkStart w:id="65428" w:name="_ETM_Q116_352541"/>
      <w:bookmarkEnd w:id="65428"/>
      <w:r>
        <w:rPr>
          <w:rFonts w:hint="cs"/>
          <w:rtl/>
        </w:rPr>
        <w:t xml:space="preserve">זה הווטאבאוטיזם הזה, שאני שואל אותך </w:t>
      </w:r>
      <w:bookmarkStart w:id="65429" w:name="_ETM_Q116_359153"/>
      <w:bookmarkEnd w:id="65429"/>
      <w:r>
        <w:rPr>
          <w:rFonts w:hint="cs"/>
          <w:rtl/>
        </w:rPr>
        <w:t xml:space="preserve">- - - </w:t>
      </w:r>
    </w:p>
    <w:p w:rsidR="00BB59CD" w:rsidRDefault="00BB59CD" w:rsidP="00BB59CD">
      <w:pPr>
        <w:rPr>
          <w:rtl/>
        </w:rPr>
      </w:pPr>
      <w:bookmarkStart w:id="65430" w:name="_ETM_Q116_356080"/>
      <w:bookmarkStart w:id="65431" w:name="_ETM_Q116_356170"/>
      <w:bookmarkEnd w:id="65430"/>
      <w:bookmarkEnd w:id="65431"/>
    </w:p>
    <w:p w:rsidR="00BB59CD" w:rsidRDefault="00BB59CD" w:rsidP="00BB59CD">
      <w:pPr>
        <w:pStyle w:val="af9"/>
        <w:keepNext/>
        <w:rPr>
          <w:rtl/>
        </w:rPr>
      </w:pPr>
      <w:bookmarkStart w:id="65432" w:name="_ETM_Q116_356203"/>
      <w:bookmarkStart w:id="65433" w:name="_ETM_Q116_356331"/>
      <w:bookmarkEnd w:id="65432"/>
      <w:bookmarkEnd w:id="6543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270863">
      <w:pPr>
        <w:rPr>
          <w:rtl/>
        </w:rPr>
      </w:pPr>
      <w:bookmarkStart w:id="65434" w:name="_ETM_Q116_357332"/>
      <w:bookmarkEnd w:id="65434"/>
      <w:r>
        <w:rPr>
          <w:rFonts w:hint="cs"/>
          <w:rtl/>
        </w:rPr>
        <w:t xml:space="preserve">אתה אומר </w:t>
      </w:r>
      <w:r w:rsidR="00270863">
        <w:rPr>
          <w:rFonts w:hint="cs"/>
          <w:rtl/>
        </w:rPr>
        <w:t>ש</w:t>
      </w:r>
      <w:r>
        <w:rPr>
          <w:rFonts w:hint="cs"/>
          <w:rtl/>
        </w:rPr>
        <w:t xml:space="preserve">רוצים לעורר </w:t>
      </w:r>
      <w:bookmarkStart w:id="65435" w:name="_ETM_Q116_358634"/>
      <w:bookmarkEnd w:id="65435"/>
      <w:r>
        <w:rPr>
          <w:rFonts w:hint="cs"/>
          <w:rtl/>
        </w:rPr>
        <w:t>עניין ציבורי. אז בוא נחזור להתנתקות, שלא אוהבים לשמוע. אנשים</w:t>
      </w:r>
      <w:r w:rsidR="00270863">
        <w:rPr>
          <w:rFonts w:hint="cs"/>
          <w:rtl/>
        </w:rPr>
        <w:t>,</w:t>
      </w:r>
      <w:r>
        <w:rPr>
          <w:rFonts w:hint="cs"/>
          <w:rtl/>
        </w:rPr>
        <w:t xml:space="preserve"> עקרו אותם מהבתים, </w:t>
      </w:r>
      <w:r w:rsidR="00270863">
        <w:rPr>
          <w:rFonts w:hint="cs"/>
          <w:rtl/>
        </w:rPr>
        <w:t xml:space="preserve">והם </w:t>
      </w:r>
      <w:r>
        <w:rPr>
          <w:rFonts w:hint="cs"/>
          <w:rtl/>
        </w:rPr>
        <w:t xml:space="preserve">רצו לחסום </w:t>
      </w:r>
      <w:bookmarkStart w:id="65436" w:name="_ETM_Q116_361615"/>
      <w:bookmarkEnd w:id="65436"/>
      <w:r>
        <w:rPr>
          <w:rFonts w:hint="cs"/>
          <w:rtl/>
        </w:rPr>
        <w:t xml:space="preserve">כבישים. </w:t>
      </w:r>
    </w:p>
    <w:p w:rsidR="00BB59CD" w:rsidRDefault="00BB59CD" w:rsidP="00BB59CD">
      <w:pPr>
        <w:rPr>
          <w:rtl/>
        </w:rPr>
      </w:pPr>
    </w:p>
    <w:p w:rsidR="00BB59CD" w:rsidRDefault="00BB59CD" w:rsidP="00BB59CD">
      <w:pPr>
        <w:pStyle w:val="-"/>
        <w:keepNext/>
        <w:rPr>
          <w:rtl/>
        </w:rPr>
      </w:pPr>
      <w:bookmarkStart w:id="65437" w:name="ET_speakercontinue_6361_2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437"/>
    </w:p>
    <w:p w:rsidR="00BB59CD" w:rsidRDefault="00BB59CD" w:rsidP="00337201">
      <w:pPr>
        <w:rPr>
          <w:rtl/>
        </w:rPr>
      </w:pPr>
    </w:p>
    <w:p w:rsidR="00BB59CD" w:rsidRDefault="00BB59CD" w:rsidP="00BB59CD">
      <w:pPr>
        <w:rPr>
          <w:rtl/>
        </w:rPr>
      </w:pPr>
      <w:r>
        <w:rPr>
          <w:rFonts w:hint="cs"/>
          <w:rtl/>
        </w:rPr>
        <w:t xml:space="preserve">אין לי שום בעיה לדבר על ההתנתקות. </w:t>
      </w:r>
    </w:p>
    <w:p w:rsidR="00BB59CD" w:rsidRDefault="00BB59CD" w:rsidP="00BB59CD">
      <w:pPr>
        <w:rPr>
          <w:rtl/>
        </w:rPr>
      </w:pPr>
      <w:bookmarkStart w:id="65438" w:name="_ETM_Q116_362569"/>
      <w:bookmarkStart w:id="65439" w:name="_ETM_Q116_362677"/>
      <w:bookmarkStart w:id="65440" w:name="_ETM_Q116_362730"/>
      <w:bookmarkEnd w:id="65438"/>
      <w:bookmarkEnd w:id="65439"/>
      <w:bookmarkEnd w:id="65440"/>
    </w:p>
    <w:p w:rsidR="00BB59CD" w:rsidRDefault="00BB59CD" w:rsidP="00BB59CD">
      <w:pPr>
        <w:pStyle w:val="af9"/>
        <w:keepNext/>
        <w:rPr>
          <w:rtl/>
        </w:rPr>
      </w:pPr>
      <w:bookmarkStart w:id="65441" w:name="_ETM_Q116_362840"/>
      <w:bookmarkEnd w:id="6544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270863">
      <w:pPr>
        <w:rPr>
          <w:rtl/>
        </w:rPr>
      </w:pPr>
      <w:bookmarkStart w:id="65442" w:name="_ETM_Q116_367616"/>
      <w:bookmarkEnd w:id="65442"/>
      <w:r>
        <w:rPr>
          <w:rFonts w:hint="cs"/>
          <w:rtl/>
        </w:rPr>
        <w:t xml:space="preserve">עצרו מאות </w:t>
      </w:r>
      <w:bookmarkStart w:id="65443" w:name="_ETM_Q116_363751"/>
      <w:bookmarkEnd w:id="65443"/>
      <w:r>
        <w:rPr>
          <w:rFonts w:hint="cs"/>
          <w:rtl/>
        </w:rPr>
        <w:t>אנשים, ו</w:t>
      </w:r>
      <w:r w:rsidR="00270863">
        <w:rPr>
          <w:rFonts w:hint="cs"/>
          <w:rtl/>
        </w:rPr>
        <w:t xml:space="preserve">הם </w:t>
      </w:r>
      <w:r>
        <w:rPr>
          <w:rFonts w:hint="cs"/>
          <w:rtl/>
        </w:rPr>
        <w:t xml:space="preserve">קיבלו כתבי אישום, וקיבלו רישום פלילי, למרות </w:t>
      </w:r>
      <w:r w:rsidR="00270863">
        <w:rPr>
          <w:rFonts w:hint="eastAsia"/>
          <w:rtl/>
        </w:rPr>
        <w:t>–</w:t>
      </w:r>
      <w:r w:rsidR="00270863">
        <w:rPr>
          <w:rFonts w:hint="cs"/>
          <w:rtl/>
        </w:rPr>
        <w:t xml:space="preserve"> ופה אתה מסתכל על </w:t>
      </w:r>
      <w:r w:rsidR="00B001AD">
        <w:rPr>
          <w:rFonts w:hint="cs"/>
          <w:rtl/>
        </w:rPr>
        <w:t xml:space="preserve">- - -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001AD">
      <w:pPr>
        <w:rPr>
          <w:rtl/>
        </w:rPr>
      </w:pPr>
      <w:r>
        <w:rPr>
          <w:rFonts w:hint="cs"/>
          <w:rtl/>
        </w:rPr>
        <w:t xml:space="preserve">אבל מה שהלך בהתנתקות </w:t>
      </w:r>
      <w:r w:rsidR="00B001AD">
        <w:rPr>
          <w:rFonts w:hint="eastAsia"/>
          <w:rtl/>
        </w:rPr>
        <w:t>–</w:t>
      </w:r>
      <w:r w:rsidR="00B001AD">
        <w:rPr>
          <w:rFonts w:hint="cs"/>
          <w:rtl/>
        </w:rPr>
        <w:t xml:space="preserve"> </w:t>
      </w:r>
      <w:bookmarkStart w:id="65444" w:name="_ETM_Q116_369377"/>
      <w:bookmarkStart w:id="65445" w:name="_ETM_Q116_369491"/>
      <w:bookmarkStart w:id="65446" w:name="_ETM_Q116_369536"/>
      <w:bookmarkStart w:id="65447" w:name="_ETM_Q116_369641"/>
      <w:bookmarkStart w:id="65448" w:name="_ETM_Q116_372119"/>
      <w:bookmarkStart w:id="65449" w:name="_ETM_Q116_372241"/>
      <w:bookmarkStart w:id="65450" w:name="_ETM_Q116_372278"/>
      <w:bookmarkStart w:id="65451" w:name="_ETM_Q116_372379"/>
      <w:bookmarkEnd w:id="65444"/>
      <w:bookmarkEnd w:id="65445"/>
      <w:bookmarkEnd w:id="65446"/>
      <w:bookmarkEnd w:id="65447"/>
      <w:bookmarkEnd w:id="65448"/>
      <w:bookmarkEnd w:id="65449"/>
      <w:bookmarkEnd w:id="65450"/>
      <w:bookmarkEnd w:id="65451"/>
      <w:r>
        <w:rPr>
          <w:rStyle w:val="TagStyle"/>
          <w:rFonts w:hint="cs"/>
          <w:rtl/>
        </w:rPr>
        <w:t xml:space="preserve"> &lt;&lt; דובר_המשך &gt;&gt; </w:t>
      </w:r>
      <w:bookmarkStart w:id="65452" w:name="_ETM_Q116_373333"/>
      <w:bookmarkStart w:id="65453" w:name="_ETM_Q116_373093"/>
      <w:bookmarkEnd w:id="65452"/>
      <w:bookmarkEnd w:id="65453"/>
      <w:r>
        <w:rPr>
          <w:rFonts w:hint="cs"/>
          <w:rtl/>
        </w:rPr>
        <w:t xml:space="preserve">אתה לא יכול לבוא אחרי 20 שנה ולהגיד לי: </w:t>
      </w:r>
      <w:bookmarkStart w:id="65454" w:name="_ETM_Q116_373226"/>
      <w:bookmarkEnd w:id="65454"/>
      <w:r>
        <w:rPr>
          <w:rFonts w:hint="cs"/>
          <w:rtl/>
        </w:rPr>
        <w:t xml:space="preserve">מה שהיה בהתנתקות, </w:t>
      </w:r>
      <w:r w:rsidR="00B001AD">
        <w:rPr>
          <w:rFonts w:hint="cs"/>
          <w:rtl/>
        </w:rPr>
        <w:t>כ</w:t>
      </w:r>
      <w:r>
        <w:rPr>
          <w:rFonts w:hint="cs"/>
          <w:rtl/>
        </w:rPr>
        <w:t>שהזיכרון הציבורי מההתנתקות</w:t>
      </w:r>
      <w:r w:rsidR="00B001AD">
        <w:rPr>
          <w:rFonts w:hint="cs"/>
          <w:rtl/>
        </w:rPr>
        <w:t>,</w:t>
      </w:r>
      <w:r>
        <w:rPr>
          <w:rFonts w:hint="cs"/>
          <w:rtl/>
        </w:rPr>
        <w:t xml:space="preserve"> על הדוקרנים שפיזרו </w:t>
      </w:r>
      <w:bookmarkStart w:id="65455" w:name="_ETM_Q116_377993"/>
      <w:bookmarkEnd w:id="65455"/>
      <w:r>
        <w:rPr>
          <w:rFonts w:hint="cs"/>
          <w:rtl/>
        </w:rPr>
        <w:t>בכבישים</w:t>
      </w:r>
      <w:bookmarkStart w:id="65456" w:name="_ETM_Q116_379464"/>
      <w:bookmarkEnd w:id="65456"/>
      <w:r>
        <w:rPr>
          <w:rFonts w:hint="cs"/>
          <w:rtl/>
        </w:rPr>
        <w:t xml:space="preserve"> - - </w:t>
      </w:r>
      <w:bookmarkStart w:id="65457" w:name="_ETM_Q116_384603"/>
      <w:bookmarkEnd w:id="65457"/>
      <w:r>
        <w:rPr>
          <w:rFonts w:hint="cs"/>
          <w:rtl/>
        </w:rPr>
        <w:t>-</w:t>
      </w:r>
    </w:p>
    <w:p w:rsidR="00BB59CD" w:rsidRDefault="00BB59CD" w:rsidP="00BB59CD">
      <w:pPr>
        <w:rPr>
          <w:rtl/>
        </w:rPr>
      </w:pPr>
      <w:bookmarkStart w:id="65458" w:name="_ETM_Q116_379578"/>
      <w:bookmarkStart w:id="65459" w:name="_ETM_Q116_379622"/>
      <w:bookmarkEnd w:id="65458"/>
      <w:bookmarkEnd w:id="65459"/>
    </w:p>
    <w:p w:rsidR="00BB59CD" w:rsidRDefault="00BB59CD" w:rsidP="00BB59CD">
      <w:pPr>
        <w:pStyle w:val="af9"/>
        <w:keepNext/>
        <w:rPr>
          <w:rtl/>
        </w:rPr>
      </w:pPr>
      <w:bookmarkStart w:id="65460" w:name="_ETM_Q116_379755"/>
      <w:bookmarkEnd w:id="6546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5461" w:name="_ETM_Q116_380596"/>
      <w:bookmarkEnd w:id="65461"/>
      <w:r>
        <w:rPr>
          <w:rFonts w:hint="cs"/>
          <w:rtl/>
        </w:rPr>
        <w:t xml:space="preserve">הפצעים אצל אנשים שהיו </w:t>
      </w:r>
      <w:bookmarkStart w:id="65462" w:name="_ETM_Q116_381050"/>
      <w:bookmarkEnd w:id="65462"/>
      <w:r>
        <w:rPr>
          <w:rFonts w:hint="cs"/>
          <w:rtl/>
        </w:rPr>
        <w:t>בהתנתקות עדיין פתוחים.</w:t>
      </w:r>
    </w:p>
    <w:p w:rsidR="00BB59CD" w:rsidRDefault="00BB59CD" w:rsidP="00BB59CD">
      <w:pPr>
        <w:rPr>
          <w:rtl/>
        </w:rPr>
      </w:pPr>
      <w:bookmarkStart w:id="65463" w:name="_ETM_Q116_381832"/>
      <w:bookmarkStart w:id="65464" w:name="_ETM_Q116_381928"/>
      <w:bookmarkStart w:id="65465" w:name="_ETM_Q116_381974"/>
      <w:bookmarkEnd w:id="65463"/>
      <w:bookmarkEnd w:id="65464"/>
      <w:bookmarkEnd w:id="65465"/>
    </w:p>
    <w:p w:rsidR="00BB59CD" w:rsidRDefault="00BB59CD" w:rsidP="00BB59CD">
      <w:pPr>
        <w:pStyle w:val="-"/>
        <w:keepNext/>
        <w:rPr>
          <w:rtl/>
        </w:rPr>
      </w:pPr>
      <w:bookmarkStart w:id="65466" w:name="_ETM_Q116_382082"/>
      <w:bookmarkEnd w:id="6546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001AD">
      <w:pPr>
        <w:rPr>
          <w:rtl/>
        </w:rPr>
      </w:pPr>
      <w:bookmarkStart w:id="65467" w:name="_ETM_Q116_383185"/>
      <w:bookmarkEnd w:id="65467"/>
      <w:r>
        <w:rPr>
          <w:rFonts w:hint="cs"/>
          <w:rtl/>
        </w:rPr>
        <w:t xml:space="preserve">רגע. אני לא אמרתי שאין </w:t>
      </w:r>
      <w:bookmarkStart w:id="65468" w:name="_ETM_Q116_382479"/>
      <w:bookmarkEnd w:id="65468"/>
      <w:r>
        <w:rPr>
          <w:rFonts w:hint="cs"/>
          <w:rtl/>
        </w:rPr>
        <w:t xml:space="preserve">פצעים. אני לא אגיד </w:t>
      </w:r>
      <w:r w:rsidR="00B001AD">
        <w:rPr>
          <w:rFonts w:hint="cs"/>
          <w:rtl/>
        </w:rPr>
        <w:t>ש</w:t>
      </w:r>
      <w:r>
        <w:rPr>
          <w:rFonts w:hint="cs"/>
          <w:rtl/>
        </w:rPr>
        <w:t>זה לא אותו דבר</w:t>
      </w:r>
      <w:bookmarkStart w:id="65469" w:name="_ETM_Q116_387057"/>
      <w:bookmarkEnd w:id="65469"/>
      <w:r>
        <w:rPr>
          <w:rFonts w:hint="cs"/>
          <w:rtl/>
        </w:rPr>
        <w:t xml:space="preserve">, כי אני לא מנסה להשוות כאב בכאב. כי אין </w:t>
      </w:r>
      <w:bookmarkStart w:id="65470" w:name="_ETM_Q116_386486"/>
      <w:bookmarkEnd w:id="65470"/>
      <w:r>
        <w:rPr>
          <w:rFonts w:hint="cs"/>
          <w:rtl/>
        </w:rPr>
        <w:t xml:space="preserve">פה כאב </w:t>
      </w:r>
      <w:r w:rsidR="00B001AD">
        <w:rPr>
          <w:rFonts w:hint="eastAsia"/>
          <w:rtl/>
        </w:rPr>
        <w:t>–</w:t>
      </w:r>
      <w:r w:rsidR="00B001AD">
        <w:rPr>
          <w:rFonts w:hint="cs"/>
          <w:rtl/>
        </w:rPr>
        <w:t xml:space="preserve"> </w:t>
      </w:r>
      <w:r>
        <w:rPr>
          <w:rFonts w:hint="cs"/>
          <w:rtl/>
        </w:rPr>
        <w:t xml:space="preserve">מי שמפנים אותו מהבית, אני לא רוצה בכלל לחשוב מה זה. אבל בסוף זו מדיניות של ממשלה. </w:t>
      </w:r>
      <w:bookmarkStart w:id="65471" w:name="_ETM_Q116_397235"/>
      <w:bookmarkEnd w:id="65471"/>
      <w:r>
        <w:rPr>
          <w:rFonts w:hint="cs"/>
          <w:rtl/>
        </w:rPr>
        <w:t>עכשיו, אם היו שם הפגנות – אני לא יודע מה להגיד לך</w:t>
      </w:r>
      <w:r w:rsidR="00B001AD">
        <w:rPr>
          <w:rFonts w:hint="cs"/>
          <w:rtl/>
        </w:rPr>
        <w:t>.</w:t>
      </w:r>
      <w:r>
        <w:rPr>
          <w:rFonts w:hint="cs"/>
          <w:rtl/>
        </w:rPr>
        <w:t xml:space="preserve"> לבוא ולהשוות עכשיו לפני 20 </w:t>
      </w:r>
      <w:bookmarkStart w:id="65472" w:name="_ETM_Q116_396343"/>
      <w:bookmarkEnd w:id="65472"/>
      <w:r>
        <w:rPr>
          <w:rFonts w:hint="cs"/>
          <w:rtl/>
        </w:rPr>
        <w:t xml:space="preserve">שנה </w:t>
      </w:r>
      <w:r>
        <w:t>–</w:t>
      </w:r>
      <w:r>
        <w:rPr>
          <w:rFonts w:hint="cs"/>
          <w:rtl/>
        </w:rPr>
        <w:t xml:space="preserve"> לפני 20 שנה היה נהוג לעשן אולי בחדרי ישיבות</w:t>
      </w:r>
      <w:r w:rsidR="00B001AD">
        <w:rPr>
          <w:rFonts w:hint="cs"/>
          <w:rtl/>
        </w:rPr>
        <w:t>, ו</w:t>
      </w:r>
      <w:bookmarkStart w:id="65473" w:name="_ETM_Q116_404553"/>
      <w:bookmarkEnd w:id="65473"/>
      <w:r>
        <w:rPr>
          <w:rFonts w:hint="cs"/>
          <w:rtl/>
        </w:rPr>
        <w:t>היום אנשים אומרים: זה לא יכול להיות</w:t>
      </w:r>
      <w:r w:rsidR="00B001AD">
        <w:rPr>
          <w:rFonts w:hint="cs"/>
          <w:rtl/>
        </w:rPr>
        <w:t>;</w:t>
      </w:r>
      <w:r>
        <w:rPr>
          <w:rFonts w:hint="cs"/>
          <w:rtl/>
        </w:rPr>
        <w:t xml:space="preserve"> היה נהוג, לא יודע מה, לעשות אלף ואחד דברים. לא היה אייפון.</w:t>
      </w:r>
      <w:bookmarkStart w:id="65474" w:name="_ETM_Q116_406826"/>
      <w:bookmarkEnd w:id="65474"/>
      <w:r>
        <w:rPr>
          <w:rFonts w:hint="cs"/>
          <w:rtl/>
        </w:rPr>
        <w:t xml:space="preserve"> לא יודע. היו אלף ואחד דברים שהי</w:t>
      </w:r>
      <w:r w:rsidR="00B001AD">
        <w:rPr>
          <w:rFonts w:hint="cs"/>
          <w:rtl/>
        </w:rPr>
        <w:t>ו</w:t>
      </w:r>
      <w:r>
        <w:rPr>
          <w:rFonts w:hint="cs"/>
          <w:rtl/>
        </w:rPr>
        <w:t xml:space="preserve"> לפני זה. </w:t>
      </w:r>
    </w:p>
    <w:p w:rsidR="00BB59CD" w:rsidRDefault="00BB59CD" w:rsidP="00BB59CD">
      <w:pPr>
        <w:rPr>
          <w:rtl/>
        </w:rPr>
      </w:pPr>
      <w:bookmarkStart w:id="65475" w:name="_ETM_Q116_410984"/>
      <w:bookmarkStart w:id="65476" w:name="_ETM_Q116_411129"/>
      <w:bookmarkEnd w:id="65475"/>
      <w:bookmarkEnd w:id="65476"/>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היו פחות מכוניות, פחות פקקים, לחסום אז זה לא היה קריטי</w:t>
      </w:r>
      <w:bookmarkStart w:id="65477" w:name="_ETM_Q116_410845"/>
      <w:bookmarkEnd w:id="65477"/>
      <w:r>
        <w:rPr>
          <w:rFonts w:hint="cs"/>
          <w:rtl/>
        </w:rPr>
        <w:t xml:space="preserve"> כמו היום. </w:t>
      </w:r>
      <w:bookmarkStart w:id="65478" w:name="_ETM_Q116_414186"/>
      <w:bookmarkEnd w:id="65478"/>
    </w:p>
    <w:p w:rsidR="00BB59CD" w:rsidRDefault="00BB59CD" w:rsidP="00BB59CD">
      <w:pPr>
        <w:rPr>
          <w:rtl/>
        </w:rPr>
      </w:pPr>
      <w:bookmarkStart w:id="65479" w:name="_ETM_Q116_414302"/>
      <w:bookmarkStart w:id="65480" w:name="_ETM_Q116_414378"/>
      <w:bookmarkEnd w:id="65479"/>
      <w:bookmarkEnd w:id="65480"/>
    </w:p>
    <w:p w:rsidR="00BB59CD" w:rsidRDefault="00BB59CD" w:rsidP="00BB59CD">
      <w:pPr>
        <w:pStyle w:val="-"/>
        <w:keepNext/>
        <w:rPr>
          <w:rtl/>
        </w:rPr>
      </w:pPr>
      <w:bookmarkStart w:id="65481" w:name="_ETM_Q116_414500"/>
      <w:bookmarkStart w:id="65482" w:name="ET_speakercontinue_6361_35"/>
      <w:bookmarkEnd w:id="6548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482"/>
    </w:p>
    <w:p w:rsidR="00BB59CD" w:rsidRDefault="00BB59CD" w:rsidP="00337201">
      <w:pPr>
        <w:rPr>
          <w:rtl/>
        </w:rPr>
      </w:pPr>
    </w:p>
    <w:p w:rsidR="00BB59CD" w:rsidRDefault="00BB59CD" w:rsidP="00BB59CD">
      <w:pPr>
        <w:rPr>
          <w:rtl/>
        </w:rPr>
      </w:pPr>
      <w:bookmarkStart w:id="65483" w:name="_ETM_Q116_415447"/>
      <w:bookmarkEnd w:id="65483"/>
      <w:r>
        <w:rPr>
          <w:rFonts w:hint="cs"/>
          <w:rtl/>
        </w:rPr>
        <w:t xml:space="preserve">בסדר. אבל אני לא יודע להגיד לך את </w:t>
      </w:r>
      <w:bookmarkStart w:id="65484" w:name="_ETM_Q116_414222"/>
      <w:bookmarkEnd w:id="65484"/>
      <w:r>
        <w:rPr>
          <w:rFonts w:hint="cs"/>
          <w:rtl/>
        </w:rPr>
        <w:t xml:space="preserve">המצב. </w:t>
      </w:r>
      <w:bookmarkStart w:id="65485" w:name="_ETM_Q116_416092"/>
      <w:bookmarkEnd w:id="65485"/>
    </w:p>
    <w:p w:rsidR="00BB59CD" w:rsidRDefault="00BB59CD" w:rsidP="00BB59CD">
      <w:pPr>
        <w:rPr>
          <w:rtl/>
        </w:rPr>
      </w:pPr>
      <w:bookmarkStart w:id="65486" w:name="_ETM_Q116_416187"/>
      <w:bookmarkStart w:id="65487" w:name="_ETM_Q116_416263"/>
      <w:bookmarkEnd w:id="65486"/>
      <w:bookmarkEnd w:id="65487"/>
    </w:p>
    <w:p w:rsidR="00BB59CD" w:rsidRDefault="00BB59CD" w:rsidP="00BB59CD">
      <w:pPr>
        <w:pStyle w:val="af9"/>
        <w:keepNext/>
        <w:rPr>
          <w:rtl/>
        </w:rPr>
      </w:pPr>
      <w:bookmarkStart w:id="65488" w:name="_ETM_Q116_416381"/>
      <w:bookmarkEnd w:id="6548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5489" w:name="_ETM_Q116_417549"/>
      <w:bookmarkEnd w:id="65489"/>
      <w:r>
        <w:rPr>
          <w:rFonts w:hint="cs"/>
          <w:rtl/>
        </w:rPr>
        <w:t xml:space="preserve">אבל אתה אומר: לעורר עניין </w:t>
      </w:r>
      <w:bookmarkStart w:id="65490" w:name="_ETM_Q116_420159"/>
      <w:bookmarkEnd w:id="65490"/>
      <w:r>
        <w:rPr>
          <w:rFonts w:hint="cs"/>
          <w:rtl/>
        </w:rPr>
        <w:t xml:space="preserve">ציבורי. </w:t>
      </w:r>
      <w:r w:rsidR="00B001AD">
        <w:rPr>
          <w:rFonts w:hint="cs"/>
          <w:rtl/>
        </w:rPr>
        <w:t xml:space="preserve">אני </w:t>
      </w:r>
      <w:r>
        <w:rPr>
          <w:rFonts w:hint="cs"/>
          <w:rtl/>
        </w:rPr>
        <w:t xml:space="preserve">מסכים איתך - - - </w:t>
      </w:r>
    </w:p>
    <w:p w:rsidR="00BB59CD" w:rsidRDefault="00BB59CD" w:rsidP="00BB59CD">
      <w:pPr>
        <w:rPr>
          <w:rtl/>
        </w:rPr>
      </w:pPr>
      <w:bookmarkStart w:id="65491" w:name="_ETM_Q116_415250"/>
      <w:bookmarkStart w:id="65492" w:name="_ETM_Q116_415353"/>
      <w:bookmarkStart w:id="65493" w:name="_ETM_Q116_415409"/>
      <w:bookmarkEnd w:id="65491"/>
      <w:bookmarkEnd w:id="65492"/>
      <w:bookmarkEnd w:id="65493"/>
    </w:p>
    <w:p w:rsidR="00BB59CD" w:rsidRDefault="00BB59CD" w:rsidP="00BB59CD">
      <w:pPr>
        <w:pStyle w:val="-"/>
        <w:keepNext/>
        <w:rPr>
          <w:rtl/>
        </w:rPr>
      </w:pPr>
      <w:bookmarkStart w:id="65494" w:name="_ETM_Q116_415514"/>
      <w:bookmarkStart w:id="65495" w:name="ET_speakercontinue_6361_37"/>
      <w:bookmarkEnd w:id="6549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495"/>
    </w:p>
    <w:p w:rsidR="00BB59CD" w:rsidRDefault="00BB59CD" w:rsidP="00337201">
      <w:pPr>
        <w:rPr>
          <w:rtl/>
        </w:rPr>
      </w:pPr>
    </w:p>
    <w:p w:rsidR="00BB59CD" w:rsidRDefault="00BB59CD" w:rsidP="00BB59CD">
      <w:pPr>
        <w:rPr>
          <w:rtl/>
        </w:rPr>
      </w:pPr>
      <w:bookmarkStart w:id="65496" w:name="_ETM_Q116_416460"/>
      <w:bookmarkEnd w:id="65496"/>
      <w:r>
        <w:rPr>
          <w:rFonts w:hint="cs"/>
          <w:rtl/>
        </w:rPr>
        <w:t xml:space="preserve">באופן אובייקטיבי לבוא ולהשוות פיגוע ציבורי כמו ההתנתקות לפני 20 שנה, ולהגיד: אה, </w:t>
      </w:r>
      <w:bookmarkStart w:id="65497" w:name="_ETM_Q116_423862"/>
      <w:bookmarkEnd w:id="65497"/>
      <w:r>
        <w:rPr>
          <w:rFonts w:hint="cs"/>
          <w:rtl/>
        </w:rPr>
        <w:t xml:space="preserve">עצרו 40 ופה עצרו 400, או שם 400 ופה 40, </w:t>
      </w:r>
      <w:bookmarkStart w:id="65498" w:name="_ETM_Q116_429775"/>
      <w:bookmarkEnd w:id="65498"/>
      <w:r>
        <w:rPr>
          <w:rFonts w:hint="cs"/>
          <w:rtl/>
        </w:rPr>
        <w:t xml:space="preserve">ואללה, זה נראה לי, מה שנקרא, </w:t>
      </w:r>
      <w:r w:rsidR="00B001AD">
        <w:rPr>
          <w:rFonts w:hint="cs"/>
          <w:rtl/>
        </w:rPr>
        <w:t xml:space="preserve">זה </w:t>
      </w:r>
      <w:r>
        <w:rPr>
          <w:rFonts w:hint="cs"/>
          <w:rtl/>
        </w:rPr>
        <w:t xml:space="preserve">אפילו </w:t>
      </w:r>
      <w:bookmarkStart w:id="65499" w:name="_ETM_Q116_433374"/>
      <w:bookmarkEnd w:id="65499"/>
      <w:r>
        <w:rPr>
          <w:rFonts w:hint="cs"/>
          <w:rtl/>
        </w:rPr>
        <w:t xml:space="preserve">לא עומד במבחן התוצאה. </w:t>
      </w:r>
    </w:p>
    <w:p w:rsidR="00BB59CD" w:rsidRDefault="00BB59CD" w:rsidP="00BB59CD">
      <w:pPr>
        <w:rPr>
          <w:rtl/>
        </w:rPr>
      </w:pPr>
      <w:bookmarkStart w:id="65500" w:name="_ETM_Q116_432433"/>
      <w:bookmarkStart w:id="65501" w:name="_ETM_Q116_432543"/>
      <w:bookmarkEnd w:id="65500"/>
      <w:bookmarkEnd w:id="65501"/>
    </w:p>
    <w:p w:rsidR="00BB59CD" w:rsidRDefault="00BB59CD" w:rsidP="00BB59CD">
      <w:pPr>
        <w:pStyle w:val="af9"/>
        <w:keepNext/>
        <w:rPr>
          <w:rtl/>
        </w:rPr>
      </w:pPr>
      <w:bookmarkStart w:id="65502" w:name="_ETM_Q116_432587"/>
      <w:bookmarkStart w:id="65503" w:name="_ETM_Q116_432697"/>
      <w:bookmarkEnd w:id="65502"/>
      <w:bookmarkEnd w:id="6550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5504" w:name="_ETM_Q116_433589"/>
      <w:bookmarkEnd w:id="65504"/>
      <w:r>
        <w:rPr>
          <w:rFonts w:hint="cs"/>
          <w:rtl/>
        </w:rPr>
        <w:t>טוב. שווה לדון.</w:t>
      </w:r>
    </w:p>
    <w:p w:rsidR="00BB59CD" w:rsidRDefault="00BB59CD" w:rsidP="00BB59CD">
      <w:pPr>
        <w:rPr>
          <w:rtl/>
        </w:rPr>
      </w:pPr>
      <w:bookmarkStart w:id="65505" w:name="_ETM_Q116_347274"/>
      <w:bookmarkStart w:id="65506" w:name="_ETM_Q116_347401"/>
      <w:bookmarkStart w:id="65507" w:name="_ETM_Q116_347448"/>
      <w:bookmarkEnd w:id="65505"/>
      <w:bookmarkEnd w:id="65506"/>
      <w:bookmarkEnd w:id="65507"/>
    </w:p>
    <w:p w:rsidR="00BB59CD" w:rsidRDefault="00BB59CD" w:rsidP="00BB59CD">
      <w:pPr>
        <w:pStyle w:val="-"/>
        <w:keepNext/>
        <w:rPr>
          <w:rtl/>
        </w:rPr>
      </w:pPr>
      <w:bookmarkStart w:id="65508" w:name="_ETM_Q116_432429"/>
      <w:bookmarkStart w:id="65509" w:name="_ETM_Q116_432502"/>
      <w:bookmarkEnd w:id="65508"/>
      <w:bookmarkEnd w:id="6550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001AD">
      <w:pPr>
        <w:rPr>
          <w:rtl/>
        </w:rPr>
      </w:pPr>
      <w:bookmarkStart w:id="65510" w:name="_ETM_Q116_433558"/>
      <w:bookmarkEnd w:id="65510"/>
      <w:r>
        <w:rPr>
          <w:rFonts w:hint="cs"/>
          <w:rtl/>
        </w:rPr>
        <w:t xml:space="preserve">אם אתה רוצה להשוות תפוחים </w:t>
      </w:r>
      <w:bookmarkStart w:id="65511" w:name="_ETM_Q116_434412"/>
      <w:bookmarkEnd w:id="65511"/>
      <w:r>
        <w:rPr>
          <w:rFonts w:hint="cs"/>
          <w:rtl/>
        </w:rPr>
        <w:t xml:space="preserve">לתפוחים, אז בוא נשווה תפוחים לתפוחים. וחוץ מזה, כשמדברים על </w:t>
      </w:r>
      <w:bookmarkStart w:id="65512" w:name="_ETM_Q116_440377"/>
      <w:bookmarkEnd w:id="65512"/>
      <w:r>
        <w:rPr>
          <w:rFonts w:hint="cs"/>
          <w:rtl/>
        </w:rPr>
        <w:t>אלימות כלפי חרדים, אז מה אני אגיד לך</w:t>
      </w:r>
      <w:r w:rsidR="00B001AD">
        <w:rPr>
          <w:rFonts w:hint="cs"/>
          <w:rtl/>
        </w:rPr>
        <w:t>,</w:t>
      </w:r>
      <w:r>
        <w:rPr>
          <w:rFonts w:hint="cs"/>
          <w:rtl/>
        </w:rPr>
        <w:t xml:space="preserve"> בהתנתקות – </w:t>
      </w:r>
      <w:bookmarkStart w:id="65513" w:name="_ETM_Q116_443563"/>
      <w:bookmarkEnd w:id="65513"/>
      <w:r>
        <w:rPr>
          <w:rFonts w:hint="cs"/>
          <w:rtl/>
        </w:rPr>
        <w:t xml:space="preserve">אתה רוצה שנדבר על ההתנתקות, שאתה תבוא ותיתן לי מקרים </w:t>
      </w:r>
      <w:bookmarkStart w:id="65514" w:name="_ETM_Q116_445202"/>
      <w:bookmarkEnd w:id="65514"/>
      <w:r>
        <w:rPr>
          <w:rFonts w:hint="cs"/>
          <w:rtl/>
        </w:rPr>
        <w:t>של מכת"זית שמעיפה חרדי? מה אתה חושב, שלא</w:t>
      </w:r>
      <w:bookmarkStart w:id="65515" w:name="_ETM_Q116_450900"/>
      <w:bookmarkEnd w:id="65515"/>
      <w:r>
        <w:rPr>
          <w:rFonts w:hint="cs"/>
          <w:rtl/>
        </w:rPr>
        <w:t xml:space="preserve"> הזדעזעתי מזה, עם הבואש בכינון ישיר? אז מה, אז אני </w:t>
      </w:r>
      <w:bookmarkStart w:id="65516" w:name="_ETM_Q116_451625"/>
      <w:bookmarkEnd w:id="65516"/>
      <w:r>
        <w:rPr>
          <w:rFonts w:hint="cs"/>
          <w:rtl/>
        </w:rPr>
        <w:t xml:space="preserve">אגיד לך: לא, בהתנתקות היה יותר גרוע או פחות </w:t>
      </w:r>
      <w:bookmarkStart w:id="65517" w:name="_ETM_Q116_452562"/>
      <w:bookmarkEnd w:id="65517"/>
      <w:r>
        <w:rPr>
          <w:rFonts w:hint="cs"/>
          <w:rtl/>
        </w:rPr>
        <w:t>גרוע</w:t>
      </w:r>
      <w:r w:rsidR="00B001AD">
        <w:rPr>
          <w:rFonts w:hint="cs"/>
          <w:rtl/>
        </w:rPr>
        <w:t>,</w:t>
      </w:r>
      <w:r>
        <w:rPr>
          <w:rFonts w:hint="cs"/>
          <w:rtl/>
        </w:rPr>
        <w:t xml:space="preserve"> זו לא תשובה. </w:t>
      </w:r>
      <w:r w:rsidR="00B001AD">
        <w:rPr>
          <w:rFonts w:hint="cs"/>
          <w:rtl/>
        </w:rPr>
        <w:t xml:space="preserve">אתה </w:t>
      </w:r>
      <w:r>
        <w:rPr>
          <w:rFonts w:hint="cs"/>
          <w:rtl/>
        </w:rPr>
        <w:t>תגיד לי: מה אתה משווה</w:t>
      </w:r>
      <w:r w:rsidR="00B001AD">
        <w:rPr>
          <w:rFonts w:hint="cs"/>
          <w:rtl/>
        </w:rPr>
        <w:t>,</w:t>
      </w:r>
      <w:r>
        <w:rPr>
          <w:rFonts w:hint="cs"/>
          <w:rtl/>
        </w:rPr>
        <w:t xml:space="preserve"> למי אכפת מזה? </w:t>
      </w:r>
    </w:p>
    <w:p w:rsidR="00BB59CD" w:rsidRDefault="00BB59CD" w:rsidP="00BB59CD">
      <w:pPr>
        <w:rPr>
          <w:rtl/>
        </w:rPr>
      </w:pPr>
      <w:bookmarkStart w:id="65518" w:name="_ETM_Q116_461299"/>
      <w:bookmarkEnd w:id="65518"/>
    </w:p>
    <w:p w:rsidR="00BB59CD" w:rsidRDefault="00BB59CD" w:rsidP="00B001AD">
      <w:pPr>
        <w:rPr>
          <w:rtl/>
        </w:rPr>
      </w:pPr>
      <w:bookmarkStart w:id="65519" w:name="_ETM_Q116_461471"/>
      <w:bookmarkStart w:id="65520" w:name="_ETM_Q116_461554"/>
      <w:bookmarkStart w:id="65521" w:name="_ETM_Q116_461621"/>
      <w:bookmarkStart w:id="65522" w:name="_ETM_Q116_461040"/>
      <w:bookmarkStart w:id="65523" w:name="_ETM_Q116_461190"/>
      <w:bookmarkEnd w:id="65519"/>
      <w:bookmarkEnd w:id="65520"/>
      <w:bookmarkEnd w:id="65521"/>
      <w:bookmarkEnd w:id="65522"/>
      <w:bookmarkEnd w:id="65523"/>
      <w:r>
        <w:rPr>
          <w:rFonts w:hint="cs"/>
          <w:rtl/>
        </w:rPr>
        <w:t xml:space="preserve">אני רוצה </w:t>
      </w:r>
      <w:bookmarkStart w:id="65524" w:name="_ETM_Q116_461400"/>
      <w:bookmarkEnd w:id="65524"/>
      <w:r>
        <w:rPr>
          <w:rFonts w:hint="cs"/>
          <w:rtl/>
        </w:rPr>
        <w:t xml:space="preserve">לדבר </w:t>
      </w:r>
      <w:bookmarkStart w:id="65525" w:name="_ETM_Q116_461640"/>
      <w:bookmarkEnd w:id="65525"/>
      <w:r>
        <w:rPr>
          <w:rFonts w:hint="cs"/>
          <w:rtl/>
        </w:rPr>
        <w:t xml:space="preserve">איתך </w:t>
      </w:r>
      <w:bookmarkStart w:id="65526" w:name="_ETM_Q116_461970"/>
      <w:bookmarkEnd w:id="65526"/>
      <w:r>
        <w:rPr>
          <w:rFonts w:hint="cs"/>
          <w:rtl/>
        </w:rPr>
        <w:t xml:space="preserve">על </w:t>
      </w:r>
      <w:bookmarkStart w:id="65527" w:name="_ETM_Q116_462060"/>
      <w:bookmarkEnd w:id="65527"/>
      <w:r>
        <w:rPr>
          <w:rFonts w:hint="cs"/>
          <w:rtl/>
        </w:rPr>
        <w:t xml:space="preserve">הבטחת </w:t>
      </w:r>
      <w:bookmarkStart w:id="65528" w:name="_ETM_Q116_462420"/>
      <w:bookmarkEnd w:id="65528"/>
      <w:r>
        <w:rPr>
          <w:rFonts w:hint="cs"/>
          <w:rtl/>
        </w:rPr>
        <w:t xml:space="preserve">בחירות. </w:t>
      </w:r>
      <w:bookmarkStart w:id="65529" w:name="_ETM_Q116_464009"/>
      <w:bookmarkEnd w:id="65529"/>
      <w:r>
        <w:rPr>
          <w:rFonts w:hint="cs"/>
          <w:rtl/>
        </w:rPr>
        <w:t xml:space="preserve">מפלגת </w:t>
      </w:r>
      <w:bookmarkStart w:id="65530" w:name="_ETM_Q116_464490"/>
      <w:bookmarkEnd w:id="65530"/>
      <w:r>
        <w:rPr>
          <w:rFonts w:hint="cs"/>
          <w:rtl/>
        </w:rPr>
        <w:t xml:space="preserve">ש"ס, </w:t>
      </w:r>
      <w:bookmarkStart w:id="65531" w:name="_ETM_Q116_466000"/>
      <w:bookmarkEnd w:id="65531"/>
      <w:r>
        <w:rPr>
          <w:rFonts w:hint="cs"/>
          <w:rtl/>
        </w:rPr>
        <w:t xml:space="preserve">בהסכם </w:t>
      </w:r>
      <w:bookmarkStart w:id="65532" w:name="_ETM_Q116_466599"/>
      <w:bookmarkEnd w:id="65532"/>
      <w:r>
        <w:rPr>
          <w:rFonts w:hint="cs"/>
          <w:rtl/>
        </w:rPr>
        <w:t xml:space="preserve">הקואליציוני, </w:t>
      </w:r>
      <w:bookmarkStart w:id="65533" w:name="_ETM_Q116_467229"/>
      <w:bookmarkEnd w:id="65533"/>
      <w:r>
        <w:rPr>
          <w:rFonts w:hint="cs"/>
          <w:rtl/>
        </w:rPr>
        <w:t xml:space="preserve">סעיף </w:t>
      </w:r>
      <w:bookmarkStart w:id="65534" w:name="_ETM_Q116_467500"/>
      <w:bookmarkEnd w:id="65534"/>
      <w:r>
        <w:rPr>
          <w:rFonts w:hint="cs"/>
          <w:rtl/>
        </w:rPr>
        <w:t xml:space="preserve">43, </w:t>
      </w:r>
      <w:bookmarkStart w:id="65535" w:name="_ETM_Q116_469819"/>
      <w:bookmarkEnd w:id="65535"/>
      <w:r>
        <w:rPr>
          <w:rFonts w:hint="cs"/>
          <w:rtl/>
        </w:rPr>
        <w:t xml:space="preserve">אדוני </w:t>
      </w:r>
      <w:bookmarkStart w:id="65536" w:name="_ETM_Q116_471180"/>
      <w:bookmarkEnd w:id="65536"/>
      <w:r>
        <w:rPr>
          <w:rFonts w:hint="cs"/>
          <w:rtl/>
        </w:rPr>
        <w:t xml:space="preserve">השר </w:t>
      </w:r>
      <w:bookmarkStart w:id="65537" w:name="_ETM_Q116_471539"/>
      <w:bookmarkEnd w:id="65537"/>
      <w:r>
        <w:rPr>
          <w:rFonts w:hint="cs"/>
          <w:rtl/>
        </w:rPr>
        <w:t xml:space="preserve">במשרד </w:t>
      </w:r>
      <w:bookmarkStart w:id="65538" w:name="_ETM_Q116_471990"/>
      <w:bookmarkEnd w:id="65538"/>
      <w:r>
        <w:rPr>
          <w:rFonts w:hint="cs"/>
          <w:rtl/>
        </w:rPr>
        <w:t xml:space="preserve">החינוך, </w:t>
      </w:r>
      <w:bookmarkStart w:id="65539" w:name="_ETM_Q116_473940"/>
      <w:bookmarkEnd w:id="65539"/>
      <w:r>
        <w:rPr>
          <w:rFonts w:hint="cs"/>
          <w:rtl/>
        </w:rPr>
        <w:t xml:space="preserve">או </w:t>
      </w:r>
      <w:bookmarkStart w:id="65540" w:name="_ETM_Q116_474240"/>
      <w:bookmarkEnd w:id="65540"/>
      <w:r>
        <w:rPr>
          <w:rFonts w:hint="cs"/>
          <w:rtl/>
        </w:rPr>
        <w:t xml:space="preserve">סעיף </w:t>
      </w:r>
      <w:bookmarkStart w:id="65541" w:name="_ETM_Q116_474660"/>
      <w:bookmarkEnd w:id="65541"/>
      <w:r>
        <w:rPr>
          <w:rFonts w:hint="cs"/>
          <w:rtl/>
        </w:rPr>
        <w:t xml:space="preserve">126: </w:t>
      </w:r>
      <w:bookmarkStart w:id="65542" w:name="_ETM_Q116_475740"/>
      <w:bookmarkEnd w:id="65542"/>
      <w:r>
        <w:rPr>
          <w:rFonts w:hint="cs"/>
          <w:rtl/>
        </w:rPr>
        <w:t xml:space="preserve">הממשלה </w:t>
      </w:r>
      <w:bookmarkStart w:id="65543" w:name="_ETM_Q116_476220"/>
      <w:bookmarkEnd w:id="65543"/>
      <w:r>
        <w:rPr>
          <w:rFonts w:hint="cs"/>
          <w:rtl/>
        </w:rPr>
        <w:t xml:space="preserve">תפעל </w:t>
      </w:r>
      <w:bookmarkStart w:id="65544" w:name="_ETM_Q116_476520"/>
      <w:bookmarkEnd w:id="65544"/>
      <w:r>
        <w:rPr>
          <w:rFonts w:hint="cs"/>
          <w:rtl/>
        </w:rPr>
        <w:t xml:space="preserve">להקמת </w:t>
      </w:r>
      <w:bookmarkStart w:id="65545" w:name="_ETM_Q116_476880"/>
      <w:bookmarkEnd w:id="65545"/>
      <w:r>
        <w:rPr>
          <w:rFonts w:hint="cs"/>
          <w:rtl/>
        </w:rPr>
        <w:t xml:space="preserve">רשות </w:t>
      </w:r>
      <w:bookmarkStart w:id="65546" w:name="_ETM_Q116_477210"/>
      <w:bookmarkEnd w:id="65546"/>
      <w:r>
        <w:rPr>
          <w:rFonts w:hint="cs"/>
          <w:rtl/>
        </w:rPr>
        <w:t xml:space="preserve">לחינוך </w:t>
      </w:r>
      <w:bookmarkStart w:id="65547" w:name="_ETM_Q116_477589"/>
      <w:bookmarkEnd w:id="65547"/>
      <w:r>
        <w:rPr>
          <w:rFonts w:hint="cs"/>
          <w:rtl/>
        </w:rPr>
        <w:t xml:space="preserve">לגיל </w:t>
      </w:r>
      <w:bookmarkStart w:id="65548" w:name="_ETM_Q116_477889"/>
      <w:bookmarkEnd w:id="65548"/>
      <w:r>
        <w:rPr>
          <w:rFonts w:hint="cs"/>
          <w:rtl/>
        </w:rPr>
        <w:t xml:space="preserve">הרך </w:t>
      </w:r>
      <w:bookmarkStart w:id="65549" w:name="_ETM_Q116_478100"/>
      <w:bookmarkEnd w:id="65549"/>
      <w:r>
        <w:rPr>
          <w:rFonts w:hint="cs"/>
          <w:rtl/>
        </w:rPr>
        <w:t xml:space="preserve">במשרד </w:t>
      </w:r>
      <w:bookmarkStart w:id="65550" w:name="_ETM_Q116_478490"/>
      <w:bookmarkEnd w:id="65550"/>
      <w:r>
        <w:rPr>
          <w:rFonts w:hint="cs"/>
          <w:rtl/>
        </w:rPr>
        <w:t xml:space="preserve">החינוך, </w:t>
      </w:r>
      <w:bookmarkStart w:id="65551" w:name="_ETM_Q116_478850"/>
      <w:bookmarkEnd w:id="65551"/>
      <w:r>
        <w:rPr>
          <w:rFonts w:hint="cs"/>
          <w:rtl/>
        </w:rPr>
        <w:t xml:space="preserve">שתכלול </w:t>
      </w:r>
      <w:bookmarkStart w:id="65552" w:name="_ETM_Q116_479330"/>
      <w:bookmarkEnd w:id="65552"/>
      <w:r>
        <w:rPr>
          <w:rFonts w:hint="cs"/>
          <w:rtl/>
        </w:rPr>
        <w:t xml:space="preserve">את </w:t>
      </w:r>
      <w:bookmarkStart w:id="65553" w:name="_ETM_Q116_479480"/>
      <w:bookmarkEnd w:id="65553"/>
      <w:r>
        <w:rPr>
          <w:rFonts w:hint="cs"/>
          <w:rtl/>
        </w:rPr>
        <w:t xml:space="preserve">הטיפול </w:t>
      </w:r>
      <w:bookmarkStart w:id="65554" w:name="_ETM_Q116_479870"/>
      <w:bookmarkEnd w:id="65554"/>
      <w:r>
        <w:rPr>
          <w:rFonts w:hint="cs"/>
          <w:rtl/>
        </w:rPr>
        <w:t xml:space="preserve">במעונות </w:t>
      </w:r>
      <w:bookmarkStart w:id="65555" w:name="_ETM_Q116_480320"/>
      <w:bookmarkEnd w:id="65555"/>
      <w:r>
        <w:rPr>
          <w:rFonts w:hint="cs"/>
          <w:rtl/>
        </w:rPr>
        <w:t xml:space="preserve">היום. </w:t>
      </w:r>
      <w:bookmarkStart w:id="65556" w:name="_ETM_Q116_480710"/>
      <w:bookmarkEnd w:id="65556"/>
      <w:r>
        <w:rPr>
          <w:rFonts w:hint="cs"/>
          <w:rtl/>
        </w:rPr>
        <w:t xml:space="preserve">איזה </w:t>
      </w:r>
      <w:bookmarkStart w:id="65557" w:name="_ETM_Q116_480949"/>
      <w:bookmarkEnd w:id="65557"/>
      <w:r>
        <w:rPr>
          <w:rFonts w:hint="cs"/>
          <w:rtl/>
        </w:rPr>
        <w:t xml:space="preserve">כיף. </w:t>
      </w:r>
      <w:bookmarkStart w:id="65558" w:name="_ETM_Q116_480000"/>
      <w:bookmarkEnd w:id="65558"/>
      <w:r>
        <w:rPr>
          <w:rFonts w:hint="cs"/>
          <w:rtl/>
        </w:rPr>
        <w:t>נכון, השר?</w:t>
      </w:r>
      <w:bookmarkStart w:id="65559" w:name="_ETM_Q116_480120"/>
      <w:bookmarkStart w:id="65560" w:name="_ETM_Q116_480480"/>
      <w:bookmarkStart w:id="65561" w:name="_ETM_Q116_480900"/>
      <w:bookmarkEnd w:id="65559"/>
      <w:bookmarkEnd w:id="65560"/>
      <w:bookmarkEnd w:id="65561"/>
      <w:r>
        <w:rPr>
          <w:rFonts w:hint="cs"/>
          <w:rtl/>
        </w:rPr>
        <w:t xml:space="preserve"> </w:t>
      </w:r>
      <w:bookmarkStart w:id="65562" w:name="_ETM_Q116_481290"/>
      <w:bookmarkEnd w:id="65562"/>
      <w:r>
        <w:rPr>
          <w:rFonts w:hint="cs"/>
          <w:rtl/>
        </w:rPr>
        <w:t xml:space="preserve">איזה </w:t>
      </w:r>
      <w:bookmarkStart w:id="65563" w:name="_ETM_Q116_481560"/>
      <w:bookmarkEnd w:id="65563"/>
      <w:r>
        <w:rPr>
          <w:rFonts w:hint="cs"/>
          <w:rtl/>
        </w:rPr>
        <w:t xml:space="preserve">כיף </w:t>
      </w:r>
      <w:bookmarkStart w:id="65564" w:name="_ETM_Q116_483239"/>
      <w:bookmarkStart w:id="65565" w:name="_ETM_Q116_484500"/>
      <w:bookmarkStart w:id="65566" w:name="_ETM_Q116_485480"/>
      <w:bookmarkStart w:id="65567" w:name="_ETM_Q116_485720"/>
      <w:bookmarkStart w:id="65568" w:name="_ETM_Q116_485930"/>
      <w:bookmarkEnd w:id="65564"/>
      <w:bookmarkEnd w:id="65565"/>
      <w:bookmarkEnd w:id="65566"/>
      <w:bookmarkEnd w:id="65567"/>
      <w:bookmarkEnd w:id="65568"/>
      <w:r>
        <w:rPr>
          <w:rFonts w:hint="cs"/>
          <w:rtl/>
        </w:rPr>
        <w:t xml:space="preserve">שקיימתם </w:t>
      </w:r>
      <w:bookmarkStart w:id="65569" w:name="_ETM_Q116_486529"/>
      <w:bookmarkEnd w:id="65569"/>
      <w:r>
        <w:rPr>
          <w:rFonts w:hint="cs"/>
          <w:rtl/>
        </w:rPr>
        <w:t xml:space="preserve">את </w:t>
      </w:r>
      <w:bookmarkStart w:id="65570" w:name="_ETM_Q116_486680"/>
      <w:bookmarkEnd w:id="65570"/>
      <w:r>
        <w:rPr>
          <w:rFonts w:hint="cs"/>
          <w:rtl/>
        </w:rPr>
        <w:t xml:space="preserve">הבטחת </w:t>
      </w:r>
      <w:bookmarkStart w:id="65571" w:name="_ETM_Q116_487040"/>
      <w:bookmarkEnd w:id="65571"/>
      <w:r>
        <w:rPr>
          <w:rFonts w:hint="cs"/>
          <w:rtl/>
        </w:rPr>
        <w:t xml:space="preserve">הבחירות </w:t>
      </w:r>
      <w:bookmarkStart w:id="65572" w:name="_ETM_Q116_487430"/>
      <w:bookmarkEnd w:id="65572"/>
      <w:r>
        <w:rPr>
          <w:rFonts w:hint="cs"/>
          <w:rtl/>
        </w:rPr>
        <w:t xml:space="preserve">הזו. </w:t>
      </w:r>
      <w:bookmarkStart w:id="65573" w:name="_ETM_Q116_488339"/>
      <w:bookmarkEnd w:id="65573"/>
      <w:r>
        <w:rPr>
          <w:rFonts w:hint="cs"/>
          <w:rtl/>
        </w:rPr>
        <w:t xml:space="preserve">אני </w:t>
      </w:r>
      <w:bookmarkStart w:id="65574" w:name="_ETM_Q116_489000"/>
      <w:bookmarkEnd w:id="65574"/>
      <w:r>
        <w:rPr>
          <w:rFonts w:hint="cs"/>
          <w:rtl/>
        </w:rPr>
        <w:t xml:space="preserve">רוצה </w:t>
      </w:r>
      <w:bookmarkStart w:id="65575" w:name="_ETM_Q116_489210"/>
      <w:bookmarkEnd w:id="65575"/>
      <w:r>
        <w:rPr>
          <w:rFonts w:hint="cs"/>
          <w:rtl/>
        </w:rPr>
        <w:t xml:space="preserve">להודות </w:t>
      </w:r>
      <w:bookmarkStart w:id="65576" w:name="_ETM_Q116_489480"/>
      <w:bookmarkEnd w:id="65576"/>
      <w:r>
        <w:rPr>
          <w:rFonts w:hint="cs"/>
          <w:rtl/>
        </w:rPr>
        <w:t xml:space="preserve">לך </w:t>
      </w:r>
      <w:bookmarkStart w:id="65577" w:name="_ETM_Q116_489630"/>
      <w:bookmarkEnd w:id="65577"/>
      <w:r>
        <w:rPr>
          <w:rFonts w:hint="cs"/>
          <w:rtl/>
        </w:rPr>
        <w:t xml:space="preserve">מפה </w:t>
      </w:r>
      <w:bookmarkStart w:id="65578" w:name="_ETM_Q116_490320"/>
      <w:bookmarkEnd w:id="65578"/>
      <w:r>
        <w:rPr>
          <w:rFonts w:hint="cs"/>
          <w:rtl/>
        </w:rPr>
        <w:t xml:space="preserve">בתור </w:t>
      </w:r>
      <w:bookmarkStart w:id="65579" w:name="_ETM_Q116_490680"/>
      <w:bookmarkEnd w:id="65579"/>
      <w:r>
        <w:rPr>
          <w:rFonts w:hint="cs"/>
          <w:rtl/>
        </w:rPr>
        <w:t xml:space="preserve">מישהו </w:t>
      </w:r>
      <w:bookmarkStart w:id="65580" w:name="_ETM_Q116_491010"/>
      <w:bookmarkEnd w:id="65580"/>
      <w:r>
        <w:rPr>
          <w:rFonts w:hint="cs"/>
          <w:rtl/>
        </w:rPr>
        <w:t xml:space="preserve">שמגדל </w:t>
      </w:r>
      <w:bookmarkStart w:id="65581" w:name="_ETM_Q116_492570"/>
      <w:bookmarkEnd w:id="65581"/>
      <w:r>
        <w:rPr>
          <w:rFonts w:hint="cs"/>
          <w:rtl/>
        </w:rPr>
        <w:t xml:space="preserve">שני </w:t>
      </w:r>
      <w:bookmarkStart w:id="65582" w:name="_ETM_Q116_492839"/>
      <w:bookmarkEnd w:id="65582"/>
      <w:r>
        <w:rPr>
          <w:rFonts w:hint="cs"/>
          <w:rtl/>
        </w:rPr>
        <w:t xml:space="preserve">ילדים. </w:t>
      </w:r>
      <w:bookmarkStart w:id="65583" w:name="_ETM_Q116_493260"/>
      <w:bookmarkEnd w:id="65583"/>
      <w:r>
        <w:rPr>
          <w:rFonts w:hint="cs"/>
          <w:rtl/>
        </w:rPr>
        <w:t xml:space="preserve">תודה </w:t>
      </w:r>
      <w:bookmarkStart w:id="65584" w:name="_ETM_Q116_493500"/>
      <w:bookmarkEnd w:id="65584"/>
      <w:r>
        <w:rPr>
          <w:rFonts w:hint="cs"/>
          <w:rtl/>
        </w:rPr>
        <w:t xml:space="preserve">רבה. </w:t>
      </w:r>
      <w:bookmarkStart w:id="65585" w:name="_ETM_Q116_494779"/>
      <w:bookmarkEnd w:id="65585"/>
      <w:r>
        <w:rPr>
          <w:rFonts w:hint="cs"/>
          <w:rtl/>
        </w:rPr>
        <w:t xml:space="preserve">תודה </w:t>
      </w:r>
      <w:bookmarkStart w:id="65586" w:name="_ETM_Q116_495049"/>
      <w:bookmarkEnd w:id="65586"/>
      <w:r>
        <w:rPr>
          <w:rFonts w:hint="cs"/>
          <w:rtl/>
        </w:rPr>
        <w:t xml:space="preserve">רבה </w:t>
      </w:r>
      <w:bookmarkStart w:id="65587" w:name="_ETM_Q116_495320"/>
      <w:bookmarkEnd w:id="65587"/>
      <w:r>
        <w:rPr>
          <w:rFonts w:hint="cs"/>
          <w:rtl/>
        </w:rPr>
        <w:t xml:space="preserve">גם </w:t>
      </w:r>
      <w:bookmarkStart w:id="65588" w:name="_ETM_Q116_495529"/>
      <w:bookmarkEnd w:id="65588"/>
      <w:r>
        <w:rPr>
          <w:rFonts w:hint="cs"/>
          <w:rtl/>
        </w:rPr>
        <w:t xml:space="preserve">על </w:t>
      </w:r>
      <w:bookmarkStart w:id="65589" w:name="_ETM_Q116_495650"/>
      <w:bookmarkEnd w:id="65589"/>
      <w:r>
        <w:rPr>
          <w:rFonts w:hint="cs"/>
          <w:rtl/>
        </w:rPr>
        <w:t xml:space="preserve">העלאת </w:t>
      </w:r>
      <w:bookmarkStart w:id="65590" w:name="_ETM_Q116_496100"/>
      <w:bookmarkEnd w:id="65590"/>
      <w:r>
        <w:rPr>
          <w:rFonts w:hint="cs"/>
          <w:rtl/>
        </w:rPr>
        <w:t xml:space="preserve">המחירים </w:t>
      </w:r>
      <w:bookmarkStart w:id="65591" w:name="_ETM_Q116_496670"/>
      <w:bookmarkEnd w:id="65591"/>
      <w:r>
        <w:rPr>
          <w:rFonts w:hint="cs"/>
          <w:rtl/>
        </w:rPr>
        <w:t xml:space="preserve">במעונות </w:t>
      </w:r>
      <w:bookmarkStart w:id="65592" w:name="_ETM_Q116_497210"/>
      <w:bookmarkEnd w:id="65592"/>
      <w:r>
        <w:rPr>
          <w:rFonts w:hint="cs"/>
          <w:rtl/>
        </w:rPr>
        <w:t xml:space="preserve">היום. </w:t>
      </w:r>
      <w:bookmarkStart w:id="65593" w:name="_ETM_Q116_495944"/>
      <w:bookmarkStart w:id="65594" w:name="_ETM_Q116_496099"/>
      <w:bookmarkStart w:id="65595" w:name="_ETM_Q116_497660"/>
      <w:bookmarkEnd w:id="65593"/>
      <w:bookmarkEnd w:id="65594"/>
      <w:bookmarkEnd w:id="65595"/>
      <w:r>
        <w:rPr>
          <w:rFonts w:hint="cs"/>
          <w:rtl/>
        </w:rPr>
        <w:t xml:space="preserve">תודה. </w:t>
      </w:r>
      <w:bookmarkStart w:id="65596" w:name="_ETM_Q116_498940"/>
      <w:bookmarkEnd w:id="65596"/>
      <w:r>
        <w:rPr>
          <w:rFonts w:hint="cs"/>
          <w:rtl/>
        </w:rPr>
        <w:t xml:space="preserve">זה </w:t>
      </w:r>
      <w:bookmarkStart w:id="65597" w:name="_ETM_Q116_499180"/>
      <w:bookmarkEnd w:id="65597"/>
      <w:r>
        <w:rPr>
          <w:rFonts w:hint="cs"/>
          <w:rtl/>
        </w:rPr>
        <w:t xml:space="preserve">אחרי </w:t>
      </w:r>
      <w:bookmarkStart w:id="65598" w:name="_ETM_Q116_499480"/>
      <w:bookmarkEnd w:id="65598"/>
      <w:r>
        <w:rPr>
          <w:rFonts w:hint="cs"/>
          <w:rtl/>
        </w:rPr>
        <w:t xml:space="preserve">ההבטחה </w:t>
      </w:r>
      <w:bookmarkStart w:id="65599" w:name="_ETM_Q116_500260"/>
      <w:bookmarkEnd w:id="65599"/>
      <w:r>
        <w:rPr>
          <w:rFonts w:hint="cs"/>
          <w:rtl/>
        </w:rPr>
        <w:t xml:space="preserve">לחינוך </w:t>
      </w:r>
      <w:bookmarkStart w:id="65600" w:name="_ETM_Q116_500800"/>
      <w:bookmarkEnd w:id="65600"/>
      <w:r>
        <w:rPr>
          <w:rFonts w:hint="cs"/>
          <w:rtl/>
        </w:rPr>
        <w:t xml:space="preserve">חינם </w:t>
      </w:r>
      <w:bookmarkStart w:id="65601" w:name="_ETM_Q116_501220"/>
      <w:bookmarkEnd w:id="65601"/>
      <w:r>
        <w:rPr>
          <w:rFonts w:hint="cs"/>
          <w:rtl/>
        </w:rPr>
        <w:t xml:space="preserve">לגיל </w:t>
      </w:r>
      <w:bookmarkStart w:id="65602" w:name="_ETM_Q116_501550"/>
      <w:bookmarkEnd w:id="65602"/>
      <w:r>
        <w:rPr>
          <w:rFonts w:hint="cs"/>
          <w:rtl/>
        </w:rPr>
        <w:t xml:space="preserve">הרך. </w:t>
      </w:r>
      <w:bookmarkStart w:id="65603" w:name="_ETM_Q116_502289"/>
      <w:bookmarkEnd w:id="65603"/>
      <w:r>
        <w:rPr>
          <w:rFonts w:hint="cs"/>
          <w:rtl/>
        </w:rPr>
        <w:t>תודה.</w:t>
      </w:r>
      <w:bookmarkStart w:id="65604" w:name="_ETM_Q116_500746"/>
      <w:bookmarkStart w:id="65605" w:name="_ETM_Q116_500871"/>
      <w:bookmarkStart w:id="65606" w:name="_ETM_Q116_503210"/>
      <w:bookmarkEnd w:id="65604"/>
      <w:bookmarkEnd w:id="65605"/>
      <w:bookmarkEnd w:id="65606"/>
      <w:r>
        <w:rPr>
          <w:rFonts w:hint="cs"/>
          <w:rtl/>
        </w:rPr>
        <w:t xml:space="preserve"> מיכל, </w:t>
      </w:r>
      <w:bookmarkStart w:id="65607" w:name="_ETM_Q116_504140"/>
      <w:bookmarkStart w:id="65608" w:name="_ETM_Q116_504200"/>
      <w:bookmarkEnd w:id="65607"/>
      <w:bookmarkEnd w:id="65608"/>
      <w:r>
        <w:rPr>
          <w:rFonts w:hint="cs"/>
          <w:rtl/>
        </w:rPr>
        <w:t xml:space="preserve">שומעת? </w:t>
      </w:r>
      <w:bookmarkStart w:id="65609" w:name="_ETM_Q116_504800"/>
      <w:bookmarkEnd w:id="65609"/>
      <w:r>
        <w:rPr>
          <w:rFonts w:hint="cs"/>
          <w:rtl/>
        </w:rPr>
        <w:t xml:space="preserve">צריך </w:t>
      </w:r>
      <w:bookmarkStart w:id="65610" w:name="_ETM_Q116_505010"/>
      <w:bookmarkEnd w:id="65610"/>
      <w:r>
        <w:rPr>
          <w:rFonts w:hint="cs"/>
          <w:rtl/>
        </w:rPr>
        <w:t xml:space="preserve">להגיד </w:t>
      </w:r>
      <w:bookmarkStart w:id="65611" w:name="_ETM_Q116_505220"/>
      <w:bookmarkEnd w:id="65611"/>
      <w:r>
        <w:rPr>
          <w:rFonts w:hint="cs"/>
          <w:rtl/>
        </w:rPr>
        <w:t xml:space="preserve">להם </w:t>
      </w:r>
      <w:bookmarkStart w:id="65612" w:name="_ETM_Q116_505339"/>
      <w:bookmarkEnd w:id="65612"/>
      <w:r>
        <w:rPr>
          <w:rFonts w:hint="cs"/>
          <w:rtl/>
        </w:rPr>
        <w:t>תודה</w:t>
      </w:r>
      <w:r w:rsidR="00B001AD">
        <w:rPr>
          <w:rFonts w:hint="cs"/>
          <w:rtl/>
        </w:rPr>
        <w:t>,</w:t>
      </w:r>
      <w:r>
        <w:rPr>
          <w:rFonts w:hint="cs"/>
          <w:rtl/>
        </w:rPr>
        <w:t xml:space="preserve"> </w:t>
      </w:r>
      <w:bookmarkStart w:id="65613" w:name="_ETM_Q116_506089"/>
      <w:bookmarkEnd w:id="65613"/>
      <w:r>
        <w:rPr>
          <w:rFonts w:hint="cs"/>
          <w:rtl/>
        </w:rPr>
        <w:t xml:space="preserve">קודם </w:t>
      </w:r>
      <w:bookmarkStart w:id="65614" w:name="_ETM_Q116_506300"/>
      <w:bookmarkEnd w:id="65614"/>
      <w:r>
        <w:rPr>
          <w:rFonts w:hint="cs"/>
          <w:rtl/>
        </w:rPr>
        <w:t xml:space="preserve">כול </w:t>
      </w:r>
      <w:bookmarkStart w:id="65615" w:name="_ETM_Q116_506450"/>
      <w:bookmarkEnd w:id="65615"/>
      <w:r>
        <w:rPr>
          <w:rFonts w:hint="cs"/>
          <w:rtl/>
        </w:rPr>
        <w:t xml:space="preserve">על </w:t>
      </w:r>
      <w:bookmarkStart w:id="65616" w:name="_ETM_Q116_506570"/>
      <w:bookmarkEnd w:id="65616"/>
      <w:r>
        <w:rPr>
          <w:rFonts w:hint="cs"/>
          <w:rtl/>
        </w:rPr>
        <w:t xml:space="preserve">הבטחת </w:t>
      </w:r>
      <w:bookmarkStart w:id="65617" w:name="_ETM_Q116_506990"/>
      <w:bookmarkEnd w:id="65617"/>
      <w:r>
        <w:rPr>
          <w:rFonts w:hint="cs"/>
          <w:rtl/>
        </w:rPr>
        <w:t xml:space="preserve">הבחירות </w:t>
      </w:r>
      <w:bookmarkStart w:id="65618" w:name="_ETM_Q116_507410"/>
      <w:bookmarkEnd w:id="65618"/>
      <w:r>
        <w:rPr>
          <w:rFonts w:hint="cs"/>
          <w:rtl/>
        </w:rPr>
        <w:t xml:space="preserve">שלכם. </w:t>
      </w:r>
      <w:bookmarkStart w:id="65619" w:name="_ETM_Q116_507890"/>
      <w:bookmarkEnd w:id="65619"/>
      <w:r>
        <w:rPr>
          <w:rFonts w:hint="cs"/>
          <w:rtl/>
        </w:rPr>
        <w:t xml:space="preserve">נדיר </w:t>
      </w:r>
      <w:bookmarkStart w:id="65620" w:name="_ETM_Q116_508250"/>
      <w:bookmarkEnd w:id="65620"/>
      <w:r>
        <w:rPr>
          <w:rFonts w:hint="cs"/>
          <w:rtl/>
        </w:rPr>
        <w:t xml:space="preserve">מאוד </w:t>
      </w:r>
      <w:bookmarkStart w:id="65621" w:name="_ETM_Q116_508520"/>
      <w:bookmarkEnd w:id="65621"/>
      <w:r>
        <w:rPr>
          <w:rFonts w:hint="cs"/>
          <w:rtl/>
        </w:rPr>
        <w:t xml:space="preserve">שמפלגה </w:t>
      </w:r>
      <w:bookmarkStart w:id="65622" w:name="_ETM_Q116_509060"/>
      <w:bookmarkEnd w:id="65622"/>
      <w:r>
        <w:rPr>
          <w:rFonts w:hint="cs"/>
          <w:rtl/>
        </w:rPr>
        <w:t xml:space="preserve">באה </w:t>
      </w:r>
      <w:bookmarkStart w:id="65623" w:name="_ETM_Q116_509210"/>
      <w:bookmarkEnd w:id="65623"/>
      <w:r>
        <w:rPr>
          <w:rFonts w:hint="cs"/>
          <w:rtl/>
        </w:rPr>
        <w:t xml:space="preserve">ואומרת </w:t>
      </w:r>
      <w:bookmarkStart w:id="65624" w:name="_ETM_Q116_509960"/>
      <w:bookmarkEnd w:id="65624"/>
      <w:r>
        <w:rPr>
          <w:rFonts w:hint="cs"/>
          <w:rtl/>
        </w:rPr>
        <w:t xml:space="preserve">– אגב, </w:t>
      </w:r>
      <w:bookmarkStart w:id="65625" w:name="_ETM_Q116_510260"/>
      <w:bookmarkEnd w:id="65625"/>
      <w:r>
        <w:rPr>
          <w:rFonts w:hint="cs"/>
          <w:rtl/>
        </w:rPr>
        <w:t xml:space="preserve">חם </w:t>
      </w:r>
      <w:bookmarkStart w:id="65626" w:name="_ETM_Q116_510500"/>
      <w:bookmarkEnd w:id="65626"/>
      <w:r>
        <w:rPr>
          <w:rFonts w:hint="cs"/>
          <w:rtl/>
        </w:rPr>
        <w:t xml:space="preserve">פה, </w:t>
      </w:r>
      <w:bookmarkStart w:id="65627" w:name="_ETM_Q116_511210"/>
      <w:bookmarkEnd w:id="65627"/>
      <w:r>
        <w:rPr>
          <w:rFonts w:hint="cs"/>
          <w:rtl/>
        </w:rPr>
        <w:t xml:space="preserve">מי </w:t>
      </w:r>
      <w:bookmarkStart w:id="65628" w:name="_ETM_Q116_511359"/>
      <w:bookmarkEnd w:id="65628"/>
      <w:r>
        <w:rPr>
          <w:rFonts w:hint="cs"/>
          <w:rtl/>
        </w:rPr>
        <w:t xml:space="preserve">שמטפל </w:t>
      </w:r>
      <w:bookmarkStart w:id="65629" w:name="_ETM_Q116_511749"/>
      <w:bookmarkEnd w:id="65629"/>
      <w:r>
        <w:rPr>
          <w:rFonts w:hint="cs"/>
          <w:rtl/>
        </w:rPr>
        <w:t xml:space="preserve">במזגן, </w:t>
      </w:r>
      <w:bookmarkStart w:id="65630" w:name="_ETM_Q116_513370"/>
      <w:bookmarkStart w:id="65631" w:name="_ETM_Q116_514510"/>
      <w:bookmarkEnd w:id="65630"/>
      <w:bookmarkEnd w:id="65631"/>
      <w:r>
        <w:rPr>
          <w:rFonts w:hint="cs"/>
          <w:rtl/>
        </w:rPr>
        <w:t xml:space="preserve">אני </w:t>
      </w:r>
      <w:bookmarkStart w:id="65632" w:name="_ETM_Q116_514690"/>
      <w:bookmarkEnd w:id="65632"/>
      <w:r>
        <w:rPr>
          <w:rFonts w:hint="cs"/>
          <w:rtl/>
        </w:rPr>
        <w:t xml:space="preserve">מסתכל </w:t>
      </w:r>
      <w:bookmarkStart w:id="65633" w:name="_ETM_Q116_515079"/>
      <w:bookmarkEnd w:id="65633"/>
      <w:r>
        <w:rPr>
          <w:rFonts w:hint="cs"/>
          <w:rtl/>
        </w:rPr>
        <w:t xml:space="preserve">על </w:t>
      </w:r>
      <w:bookmarkStart w:id="65634" w:name="_ETM_Q116_515140"/>
      <w:bookmarkEnd w:id="65634"/>
      <w:r>
        <w:rPr>
          <w:rFonts w:hint="cs"/>
          <w:rtl/>
        </w:rPr>
        <w:t xml:space="preserve">אנשים, </w:t>
      </w:r>
      <w:bookmarkStart w:id="65635" w:name="_ETM_Q116_516729"/>
      <w:bookmarkEnd w:id="65635"/>
      <w:r>
        <w:rPr>
          <w:rFonts w:hint="cs"/>
          <w:rtl/>
        </w:rPr>
        <w:t xml:space="preserve">אם </w:t>
      </w:r>
      <w:bookmarkStart w:id="65636" w:name="_ETM_Q116_516909"/>
      <w:bookmarkEnd w:id="65636"/>
      <w:r>
        <w:rPr>
          <w:rFonts w:hint="cs"/>
          <w:rtl/>
        </w:rPr>
        <w:t xml:space="preserve">אפשר </w:t>
      </w:r>
      <w:bookmarkStart w:id="65637" w:name="_ETM_Q116_517539"/>
      <w:bookmarkEnd w:id="65637"/>
      <w:r>
        <w:rPr>
          <w:rFonts w:hint="cs"/>
          <w:rtl/>
        </w:rPr>
        <w:t>2</w:t>
      </w:r>
      <w:bookmarkStart w:id="65638" w:name="_ETM_Q116_518669"/>
      <w:bookmarkEnd w:id="65638"/>
      <w:r w:rsidR="00B001AD">
        <w:rPr>
          <w:rFonts w:hint="eastAsia"/>
          <w:rtl/>
        </w:rPr>
        <w:t>–</w:t>
      </w:r>
      <w:r>
        <w:rPr>
          <w:rFonts w:hint="cs"/>
          <w:rtl/>
        </w:rPr>
        <w:t>3 מעלות</w:t>
      </w:r>
      <w:bookmarkStart w:id="65639" w:name="_ETM_Q116_518250"/>
      <w:bookmarkStart w:id="65640" w:name="_ETM_Q116_518820"/>
      <w:bookmarkStart w:id="65641" w:name="_ETM_Q116_519450"/>
      <w:bookmarkStart w:id="65642" w:name="_ETM_Q116_519839"/>
      <w:bookmarkStart w:id="65643" w:name="_ETM_Q116_522149"/>
      <w:bookmarkEnd w:id="65639"/>
      <w:bookmarkEnd w:id="65640"/>
      <w:bookmarkEnd w:id="65641"/>
      <w:bookmarkEnd w:id="65642"/>
      <w:bookmarkEnd w:id="65643"/>
      <w:r w:rsidR="00B001AD">
        <w:rPr>
          <w:rFonts w:hint="cs"/>
          <w:rtl/>
        </w:rPr>
        <w:t>.</w:t>
      </w:r>
      <w:r>
        <w:rPr>
          <w:rtl/>
        </w:rPr>
        <w:t xml:space="preserve"> </w:t>
      </w:r>
      <w:r>
        <w:rPr>
          <w:rFonts w:hint="cs"/>
          <w:rtl/>
        </w:rPr>
        <w:t xml:space="preserve">אז </w:t>
      </w:r>
      <w:bookmarkStart w:id="65644" w:name="_ETM_Q116_522329"/>
      <w:bookmarkEnd w:id="65644"/>
      <w:r>
        <w:rPr>
          <w:rFonts w:hint="cs"/>
          <w:rtl/>
        </w:rPr>
        <w:t xml:space="preserve">אני </w:t>
      </w:r>
      <w:bookmarkStart w:id="65645" w:name="_ETM_Q116_522479"/>
      <w:bookmarkEnd w:id="65645"/>
      <w:r>
        <w:rPr>
          <w:rFonts w:hint="cs"/>
          <w:rtl/>
        </w:rPr>
        <w:t xml:space="preserve">רוצה </w:t>
      </w:r>
      <w:bookmarkStart w:id="65646" w:name="_ETM_Q116_522719"/>
      <w:bookmarkEnd w:id="65646"/>
      <w:r>
        <w:rPr>
          <w:rFonts w:hint="cs"/>
          <w:rtl/>
        </w:rPr>
        <w:t xml:space="preserve">באמת </w:t>
      </w:r>
      <w:bookmarkStart w:id="65647" w:name="_ETM_Q116_522960"/>
      <w:bookmarkEnd w:id="65647"/>
      <w:r>
        <w:rPr>
          <w:rFonts w:hint="cs"/>
          <w:rtl/>
        </w:rPr>
        <w:t xml:space="preserve">להודות </w:t>
      </w:r>
      <w:bookmarkStart w:id="65648" w:name="_ETM_Q116_523229"/>
      <w:bookmarkEnd w:id="65648"/>
      <w:r>
        <w:rPr>
          <w:rFonts w:hint="cs"/>
          <w:rtl/>
        </w:rPr>
        <w:t xml:space="preserve">לכם </w:t>
      </w:r>
      <w:bookmarkStart w:id="65649" w:name="_ETM_Q116_523529"/>
      <w:bookmarkEnd w:id="65649"/>
      <w:r>
        <w:rPr>
          <w:rFonts w:hint="cs"/>
          <w:rtl/>
        </w:rPr>
        <w:t xml:space="preserve">גם </w:t>
      </w:r>
      <w:bookmarkStart w:id="65650" w:name="_ETM_Q116_524200"/>
      <w:bookmarkEnd w:id="65650"/>
      <w:r>
        <w:rPr>
          <w:rFonts w:hint="cs"/>
          <w:rtl/>
        </w:rPr>
        <w:t xml:space="preserve">על </w:t>
      </w:r>
      <w:bookmarkStart w:id="65651" w:name="_ETM_Q116_524529"/>
      <w:bookmarkEnd w:id="65651"/>
      <w:r>
        <w:rPr>
          <w:rFonts w:hint="cs"/>
          <w:rtl/>
        </w:rPr>
        <w:t xml:space="preserve">מסיבת </w:t>
      </w:r>
      <w:bookmarkStart w:id="65652" w:name="_ETM_Q116_524830"/>
      <w:bookmarkEnd w:id="65652"/>
      <w:r>
        <w:rPr>
          <w:rFonts w:hint="cs"/>
          <w:rtl/>
        </w:rPr>
        <w:t xml:space="preserve">העיתונאים. </w:t>
      </w:r>
      <w:bookmarkStart w:id="65653" w:name="_ETM_Q116_525250"/>
      <w:bookmarkEnd w:id="65653"/>
      <w:r>
        <w:rPr>
          <w:rFonts w:hint="cs"/>
          <w:rtl/>
        </w:rPr>
        <w:t xml:space="preserve">זוכר </w:t>
      </w:r>
      <w:bookmarkStart w:id="65654" w:name="_ETM_Q116_525670"/>
      <w:bookmarkEnd w:id="65654"/>
      <w:r>
        <w:rPr>
          <w:rFonts w:hint="cs"/>
          <w:rtl/>
        </w:rPr>
        <w:t xml:space="preserve">את מסיבת </w:t>
      </w:r>
      <w:bookmarkStart w:id="65655" w:name="_ETM_Q116_526029"/>
      <w:bookmarkEnd w:id="65655"/>
      <w:r>
        <w:rPr>
          <w:rFonts w:hint="cs"/>
          <w:rtl/>
        </w:rPr>
        <w:t>העיתונאים</w:t>
      </w:r>
      <w:bookmarkStart w:id="65656" w:name="_ETM_Q116_528737"/>
      <w:bookmarkEnd w:id="65656"/>
      <w:r>
        <w:rPr>
          <w:rFonts w:hint="cs"/>
          <w:rtl/>
        </w:rPr>
        <w:t xml:space="preserve">, חינוך </w:t>
      </w:r>
      <w:bookmarkStart w:id="65657" w:name="_ETM_Q116_527740"/>
      <w:bookmarkEnd w:id="65657"/>
      <w:r>
        <w:rPr>
          <w:rFonts w:hint="cs"/>
          <w:rtl/>
        </w:rPr>
        <w:t xml:space="preserve">לגיל </w:t>
      </w:r>
      <w:bookmarkStart w:id="65658" w:name="_ETM_Q116_528070"/>
      <w:bookmarkEnd w:id="65658"/>
      <w:r>
        <w:rPr>
          <w:rFonts w:hint="cs"/>
          <w:rtl/>
        </w:rPr>
        <w:t xml:space="preserve">הרך </w:t>
      </w:r>
      <w:bookmarkStart w:id="65659" w:name="_ETM_Q116_528310"/>
      <w:bookmarkEnd w:id="65659"/>
      <w:r>
        <w:rPr>
          <w:rFonts w:hint="cs"/>
          <w:rtl/>
        </w:rPr>
        <w:t xml:space="preserve">חינם? </w:t>
      </w:r>
      <w:bookmarkStart w:id="65660" w:name="_ETM_Q116_528970"/>
      <w:bookmarkEnd w:id="65660"/>
      <w:r>
        <w:rPr>
          <w:rFonts w:hint="cs"/>
          <w:rtl/>
        </w:rPr>
        <w:t xml:space="preserve">השר אביטן, </w:t>
      </w:r>
      <w:bookmarkStart w:id="65661" w:name="_ETM_Q116_530020"/>
      <w:bookmarkEnd w:id="65661"/>
      <w:r>
        <w:rPr>
          <w:rFonts w:hint="cs"/>
          <w:rtl/>
        </w:rPr>
        <w:t xml:space="preserve">לא היית שם. </w:t>
      </w:r>
      <w:bookmarkStart w:id="65662" w:name="_ETM_Q116_530140"/>
      <w:bookmarkStart w:id="65663" w:name="_ETM_Q116_530290"/>
      <w:bookmarkStart w:id="65664" w:name="_ETM_Q116_530739"/>
      <w:bookmarkStart w:id="65665" w:name="_ETM_Q116_530355"/>
      <w:bookmarkEnd w:id="65662"/>
      <w:bookmarkEnd w:id="65663"/>
      <w:bookmarkEnd w:id="65664"/>
      <w:bookmarkEnd w:id="65665"/>
    </w:p>
    <w:p w:rsidR="00BB59CD" w:rsidRDefault="00BB59CD" w:rsidP="00BB59CD">
      <w:pPr>
        <w:rPr>
          <w:rtl/>
        </w:rPr>
      </w:pPr>
      <w:bookmarkStart w:id="65666" w:name="_ETM_Q116_530458"/>
      <w:bookmarkEnd w:id="65666"/>
    </w:p>
    <w:p w:rsidR="00BB59CD" w:rsidRDefault="00BB59CD" w:rsidP="00BB59CD">
      <w:pPr>
        <w:pStyle w:val="af9"/>
        <w:keepNext/>
        <w:rPr>
          <w:rtl/>
        </w:rPr>
      </w:pPr>
      <w:bookmarkStart w:id="65667" w:name="_ETM_Q116_530531"/>
      <w:bookmarkStart w:id="65668" w:name="_ETM_Q116_530627"/>
      <w:bookmarkEnd w:id="65667"/>
      <w:bookmarkEnd w:id="6566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השר </w:t>
      </w:r>
      <w:bookmarkStart w:id="65669" w:name="_ETM_Q116_527459"/>
      <w:bookmarkEnd w:id="65669"/>
      <w:r>
        <w:rPr>
          <w:rFonts w:hint="cs"/>
          <w:rtl/>
        </w:rPr>
        <w:t>ביטון.</w:t>
      </w:r>
    </w:p>
    <w:p w:rsidR="00BB59CD" w:rsidRDefault="00BB59CD" w:rsidP="00BB59CD">
      <w:pPr>
        <w:rPr>
          <w:rtl/>
        </w:rPr>
      </w:pPr>
      <w:bookmarkStart w:id="65670" w:name="_ETM_Q116_528804"/>
      <w:bookmarkStart w:id="65671" w:name="_ETM_Q116_528922"/>
      <w:bookmarkStart w:id="65672" w:name="_ETM_Q116_528981"/>
      <w:bookmarkStart w:id="65673" w:name="_ETM_Q116_529084"/>
      <w:bookmarkEnd w:id="65670"/>
      <w:bookmarkEnd w:id="65671"/>
      <w:bookmarkEnd w:id="65672"/>
      <w:bookmarkEnd w:id="65673"/>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5674" w:name="_ETM_Q116_530030"/>
      <w:bookmarkEnd w:id="65674"/>
      <w:r>
        <w:rPr>
          <w:rFonts w:hint="cs"/>
          <w:rtl/>
        </w:rPr>
        <w:t xml:space="preserve">ביטון. סליחה. למה אביטן? לא היית במסיבת העיתונאים, אז אני לא אפיל </w:t>
      </w:r>
      <w:bookmarkStart w:id="65675" w:name="_ETM_Q116_535347"/>
      <w:bookmarkEnd w:id="65675"/>
      <w:r>
        <w:rPr>
          <w:rFonts w:hint="cs"/>
          <w:rtl/>
        </w:rPr>
        <w:t xml:space="preserve">את האשמה עליך. אבל שר החינוך שלך ושלי - - </w:t>
      </w:r>
      <w:bookmarkStart w:id="65676" w:name="_ETM_Q116_536633"/>
      <w:bookmarkEnd w:id="65676"/>
      <w:r>
        <w:rPr>
          <w:rFonts w:hint="cs"/>
          <w:rtl/>
        </w:rPr>
        <w:t xml:space="preserve">- </w:t>
      </w:r>
    </w:p>
    <w:p w:rsidR="00BB59CD" w:rsidRDefault="00BB59CD" w:rsidP="00BB59CD">
      <w:pPr>
        <w:rPr>
          <w:rtl/>
        </w:rPr>
      </w:pPr>
      <w:bookmarkStart w:id="65677" w:name="_ETM_Q116_537373"/>
      <w:bookmarkStart w:id="65678" w:name="_ETM_Q116_537471"/>
      <w:bookmarkStart w:id="65679" w:name="_ETM_Q116_537528"/>
      <w:bookmarkEnd w:id="65677"/>
      <w:bookmarkEnd w:id="65678"/>
      <w:bookmarkEnd w:id="65679"/>
    </w:p>
    <w:p w:rsidR="00BB59CD" w:rsidRDefault="00BB59CD" w:rsidP="00BB59CD">
      <w:pPr>
        <w:pStyle w:val="af9"/>
        <w:keepNext/>
        <w:rPr>
          <w:rtl/>
        </w:rPr>
      </w:pPr>
      <w:bookmarkStart w:id="65680" w:name="_ETM_Q116_537638"/>
      <w:bookmarkEnd w:id="6568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001AD">
      <w:pPr>
        <w:rPr>
          <w:rtl/>
        </w:rPr>
      </w:pPr>
      <w:bookmarkStart w:id="65681" w:name="_ETM_Q116_539104"/>
      <w:bookmarkEnd w:id="65681"/>
      <w:r>
        <w:rPr>
          <w:rFonts w:hint="cs"/>
          <w:rtl/>
        </w:rPr>
        <w:t xml:space="preserve">אבל השנה הורידו משלוש שנים לשנתיים. </w:t>
      </w:r>
      <w:bookmarkStart w:id="65682" w:name="_ETM_Q116_528051"/>
      <w:bookmarkStart w:id="65683" w:name="_ETM_Q116_528163"/>
      <w:bookmarkStart w:id="65684" w:name="_ETM_Q116_528224"/>
      <w:bookmarkStart w:id="65685" w:name="_ETM_Q116_528301"/>
      <w:bookmarkStart w:id="65686" w:name="_ETM_Q116_528415"/>
      <w:bookmarkStart w:id="65687" w:name="_ETM_Q116_545873"/>
      <w:bookmarkEnd w:id="65682"/>
      <w:bookmarkEnd w:id="65683"/>
      <w:bookmarkEnd w:id="65684"/>
      <w:bookmarkEnd w:id="65685"/>
      <w:bookmarkEnd w:id="65686"/>
      <w:bookmarkEnd w:id="65687"/>
      <w:r>
        <w:rPr>
          <w:rFonts w:hint="cs"/>
          <w:rtl/>
        </w:rPr>
        <w:t>החינוך – מתחיל סבסוד - - -</w:t>
      </w:r>
    </w:p>
    <w:p w:rsidR="00BB59CD" w:rsidRDefault="00BB59CD" w:rsidP="00BB59CD">
      <w:pPr>
        <w:rPr>
          <w:rtl/>
        </w:rPr>
      </w:pPr>
      <w:bookmarkStart w:id="65688" w:name="_ETM_Q116_547789"/>
      <w:bookmarkStart w:id="65689" w:name="_ETM_Q116_547932"/>
      <w:bookmarkEnd w:id="65688"/>
      <w:bookmarkEnd w:id="65689"/>
    </w:p>
    <w:p w:rsidR="00BB59CD" w:rsidRDefault="00BB59CD" w:rsidP="00BB59CD">
      <w:pPr>
        <w:pStyle w:val="af8"/>
        <w:keepNext/>
        <w:rPr>
          <w:rtl/>
        </w:rPr>
      </w:pPr>
      <w:bookmarkStart w:id="65690" w:name="_ETM_Q116_548191"/>
      <w:bookmarkStart w:id="65691" w:name="_ETM_Q116_548315"/>
      <w:bookmarkStart w:id="65692" w:name="_ETM_Q116_548349"/>
      <w:bookmarkStart w:id="65693" w:name="_ETM_Q116_548456"/>
      <w:bookmarkStart w:id="65694" w:name="_ETM_Q116_548539"/>
      <w:bookmarkStart w:id="65695" w:name="_ETM_Q116_548643"/>
      <w:bookmarkStart w:id="65696" w:name="_ETM_Q116_528513"/>
      <w:bookmarkStart w:id="65697" w:name="ET_interruption_6426_71"/>
      <w:bookmarkEnd w:id="65690"/>
      <w:bookmarkEnd w:id="65691"/>
      <w:bookmarkEnd w:id="65692"/>
      <w:bookmarkEnd w:id="65693"/>
      <w:bookmarkEnd w:id="65694"/>
      <w:bookmarkEnd w:id="65695"/>
      <w:bookmarkEnd w:id="65696"/>
      <w:r>
        <w:rPr>
          <w:rStyle w:val="TagStyle"/>
          <w:rFonts w:hint="cs"/>
          <w:rtl/>
        </w:rPr>
        <w:t xml:space="preserve">&lt;&lt; קריאה &gt;&gt; </w:t>
      </w:r>
      <w:r>
        <w:rPr>
          <w:rFonts w:hint="cs"/>
          <w:rtl/>
        </w:rPr>
        <w:t>שר במשרד החינוך חיים ביטון:</w:t>
      </w:r>
      <w:r>
        <w:rPr>
          <w:rStyle w:val="TagStyle"/>
          <w:rtl/>
        </w:rPr>
        <w:t xml:space="preserve"> &lt;&lt; קריאה &gt;&gt;</w:t>
      </w:r>
      <w:bookmarkEnd w:id="65697"/>
      <w:r>
        <w:rPr>
          <w:rFonts w:hint="cs"/>
          <w:rtl/>
        </w:rPr>
        <w:t xml:space="preserve">   </w:t>
      </w:r>
    </w:p>
    <w:p w:rsidR="00BB59CD" w:rsidRDefault="00BB59CD" w:rsidP="00337201">
      <w:pPr>
        <w:rPr>
          <w:rtl/>
          <w:lang w:eastAsia="he-IL"/>
        </w:rPr>
      </w:pPr>
      <w:bookmarkStart w:id="65698" w:name="_ETM_Q116_544848"/>
      <w:bookmarkEnd w:id="65698"/>
    </w:p>
    <w:p w:rsidR="00BB59CD" w:rsidRDefault="00BB59CD" w:rsidP="00BB59CD">
      <w:pPr>
        <w:rPr>
          <w:rtl/>
          <w:lang w:eastAsia="he-IL"/>
        </w:rPr>
      </w:pPr>
      <w:bookmarkStart w:id="65699" w:name="_ETM_Q116_544966"/>
      <w:bookmarkEnd w:id="65699"/>
      <w:r>
        <w:rPr>
          <w:rFonts w:hint="cs"/>
          <w:rtl/>
          <w:lang w:eastAsia="he-IL"/>
        </w:rPr>
        <w:t xml:space="preserve">- - - רק </w:t>
      </w:r>
      <w:bookmarkStart w:id="65700" w:name="_ETM_Q116_546910"/>
      <w:bookmarkEnd w:id="65700"/>
      <w:r>
        <w:rPr>
          <w:rFonts w:hint="cs"/>
          <w:rtl/>
          <w:lang w:eastAsia="he-IL"/>
        </w:rPr>
        <w:t xml:space="preserve">חד-צדדי. </w:t>
      </w:r>
    </w:p>
    <w:p w:rsidR="00BB59CD" w:rsidRDefault="00BB59CD" w:rsidP="00BB59CD">
      <w:pPr>
        <w:rPr>
          <w:rtl/>
          <w:lang w:eastAsia="he-IL"/>
        </w:rPr>
      </w:pPr>
      <w:bookmarkStart w:id="65701" w:name="_ETM_Q116_549820"/>
      <w:bookmarkStart w:id="65702" w:name="_ETM_Q116_549917"/>
      <w:bookmarkEnd w:id="65701"/>
      <w:bookmarkEnd w:id="65702"/>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001AD">
      <w:pPr>
        <w:rPr>
          <w:rtl/>
          <w:lang w:eastAsia="he-IL"/>
        </w:rPr>
      </w:pPr>
      <w:bookmarkStart w:id="65703" w:name="_ETM_Q116_549401"/>
      <w:bookmarkEnd w:id="65703"/>
      <w:r>
        <w:rPr>
          <w:rFonts w:hint="cs"/>
          <w:rtl/>
          <w:lang w:eastAsia="he-IL"/>
        </w:rPr>
        <w:t xml:space="preserve">לא. לא. למה אתה פוסל? בוא, אני רוצה להחמיא </w:t>
      </w:r>
      <w:bookmarkStart w:id="65704" w:name="_ETM_Q116_552868"/>
      <w:bookmarkEnd w:id="65704"/>
      <w:r>
        <w:rPr>
          <w:rFonts w:hint="cs"/>
          <w:rtl/>
          <w:lang w:eastAsia="he-IL"/>
        </w:rPr>
        <w:t xml:space="preserve">לך. תדע לך היום, </w:t>
      </w:r>
      <w:r w:rsidR="00B001AD">
        <w:rPr>
          <w:rFonts w:hint="cs"/>
          <w:rtl/>
          <w:lang w:eastAsia="he-IL"/>
        </w:rPr>
        <w:t>ב</w:t>
      </w:r>
      <w:r>
        <w:rPr>
          <w:rFonts w:hint="cs"/>
          <w:rtl/>
          <w:lang w:eastAsia="he-IL"/>
        </w:rPr>
        <w:t xml:space="preserve">חלק מהשעה שלי יש לי </w:t>
      </w:r>
      <w:bookmarkStart w:id="65705" w:name="_ETM_Q116_549814"/>
      <w:bookmarkEnd w:id="65705"/>
      <w:r>
        <w:rPr>
          <w:rFonts w:hint="cs"/>
          <w:rtl/>
          <w:lang w:eastAsia="he-IL"/>
        </w:rPr>
        <w:t xml:space="preserve">שלוש דקות שאני בא בטוב. אולי אני אפתיע אותך. </w:t>
      </w:r>
      <w:bookmarkStart w:id="65706" w:name="_ETM_Q116_556912"/>
      <w:bookmarkEnd w:id="65706"/>
      <w:r>
        <w:rPr>
          <w:rFonts w:hint="cs"/>
          <w:rtl/>
          <w:lang w:eastAsia="he-IL"/>
        </w:rPr>
        <w:t xml:space="preserve">שלוש דקות היום אני אבוא בטוב. </w:t>
      </w:r>
    </w:p>
    <w:p w:rsidR="00BB59CD" w:rsidRDefault="00BB59CD" w:rsidP="00BB59CD">
      <w:pPr>
        <w:rPr>
          <w:rtl/>
          <w:lang w:eastAsia="he-IL"/>
        </w:rPr>
      </w:pPr>
      <w:bookmarkStart w:id="65707" w:name="_ETM_Q116_563348"/>
      <w:bookmarkStart w:id="65708" w:name="_ETM_Q116_563450"/>
      <w:bookmarkStart w:id="65709" w:name="_ETM_Q116_563523"/>
      <w:bookmarkStart w:id="65710" w:name="_ETM_Q116_563616"/>
      <w:bookmarkStart w:id="65711" w:name="_ETM_Q116_563696"/>
      <w:bookmarkStart w:id="65712" w:name="_ETM_Q116_563815"/>
      <w:bookmarkEnd w:id="65707"/>
      <w:bookmarkEnd w:id="65708"/>
      <w:bookmarkEnd w:id="65709"/>
      <w:bookmarkEnd w:id="65710"/>
      <w:bookmarkEnd w:id="65711"/>
      <w:bookmarkEnd w:id="6571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001AD">
      <w:pPr>
        <w:rPr>
          <w:rtl/>
          <w:lang w:eastAsia="he-IL"/>
        </w:rPr>
      </w:pPr>
      <w:r>
        <w:rPr>
          <w:rFonts w:hint="cs"/>
          <w:rtl/>
          <w:lang w:eastAsia="he-IL"/>
        </w:rPr>
        <w:t xml:space="preserve">אז דיברו </w:t>
      </w:r>
      <w:r w:rsidR="00B001AD">
        <w:rPr>
          <w:rFonts w:hint="cs"/>
          <w:rtl/>
          <w:lang w:eastAsia="he-IL"/>
        </w:rPr>
        <w:t xml:space="preserve">על </w:t>
      </w:r>
      <w:r>
        <w:rPr>
          <w:rFonts w:hint="cs"/>
          <w:rtl/>
          <w:lang w:eastAsia="he-IL"/>
        </w:rPr>
        <w:t xml:space="preserve">אפס עד שלוש. זה </w:t>
      </w:r>
      <w:bookmarkStart w:id="65713" w:name="_ETM_Q116_565418"/>
      <w:bookmarkEnd w:id="65713"/>
      <w:r>
        <w:rPr>
          <w:rFonts w:hint="cs"/>
          <w:rtl/>
          <w:lang w:eastAsia="he-IL"/>
        </w:rPr>
        <w:t xml:space="preserve">מתחיל בשלבים. בשנה הבאה זה יתחיל משנתיים עד שלוש, זה יהיה כבר </w:t>
      </w:r>
      <w:bookmarkStart w:id="65714" w:name="_ETM_Q116_567603"/>
      <w:bookmarkEnd w:id="65714"/>
      <w:r>
        <w:rPr>
          <w:rFonts w:hint="cs"/>
          <w:rtl/>
          <w:lang w:eastAsia="he-IL"/>
        </w:rPr>
        <w:t xml:space="preserve">מימון ממשרד החינוך. </w:t>
      </w:r>
      <w:bookmarkStart w:id="65715" w:name="_ETM_Q116_571924"/>
      <w:bookmarkStart w:id="65716" w:name="_ETM_Q116_572075"/>
      <w:bookmarkStart w:id="65717" w:name="_ETM_Q116_572172"/>
      <w:bookmarkStart w:id="65718" w:name="_ETM_Q116_572256"/>
      <w:bookmarkStart w:id="65719" w:name="_ETM_Q116_573167"/>
      <w:bookmarkEnd w:id="65715"/>
      <w:bookmarkEnd w:id="65716"/>
      <w:bookmarkEnd w:id="65717"/>
      <w:bookmarkEnd w:id="65718"/>
      <w:bookmarkEnd w:id="65719"/>
      <w:r>
        <w:rPr>
          <w:rFonts w:hint="cs"/>
          <w:rtl/>
          <w:lang w:eastAsia="he-IL"/>
        </w:rPr>
        <w:t xml:space="preserve">הינה, השר </w:t>
      </w:r>
      <w:bookmarkStart w:id="65720" w:name="_ETM_Q116_570040"/>
      <w:bookmarkEnd w:id="65720"/>
      <w:r>
        <w:rPr>
          <w:rFonts w:hint="cs"/>
          <w:rtl/>
          <w:lang w:eastAsia="he-IL"/>
        </w:rPr>
        <w:t xml:space="preserve">יגיד לנו. </w:t>
      </w:r>
    </w:p>
    <w:p w:rsidR="00BB59CD" w:rsidRDefault="00BB59CD" w:rsidP="00BB59CD">
      <w:pPr>
        <w:rPr>
          <w:rtl/>
          <w:lang w:eastAsia="he-IL"/>
        </w:rPr>
      </w:pPr>
      <w:bookmarkStart w:id="65721" w:name="_ETM_Q116_572950"/>
      <w:bookmarkStart w:id="65722" w:name="_ETM_Q116_573104"/>
      <w:bookmarkStart w:id="65723" w:name="_ETM_Q116_573150"/>
      <w:bookmarkStart w:id="65724" w:name="_ETM_Q116_573233"/>
      <w:bookmarkEnd w:id="65721"/>
      <w:bookmarkEnd w:id="65722"/>
      <w:bookmarkEnd w:id="65723"/>
      <w:bookmarkEnd w:id="65724"/>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001AD" w:rsidP="00BB59CD">
      <w:pPr>
        <w:rPr>
          <w:rtl/>
          <w:lang w:eastAsia="he-IL"/>
        </w:rPr>
      </w:pPr>
      <w:bookmarkStart w:id="65725" w:name="_ETM_Q116_572306"/>
      <w:bookmarkEnd w:id="65725"/>
      <w:r>
        <w:rPr>
          <w:rFonts w:hint="cs"/>
          <w:rtl/>
          <w:lang w:eastAsia="he-IL"/>
        </w:rPr>
        <w:t xml:space="preserve">אני לא מכיר כזה דבר. </w:t>
      </w:r>
      <w:r w:rsidR="00BB59CD">
        <w:rPr>
          <w:rFonts w:hint="cs"/>
          <w:rtl/>
          <w:lang w:eastAsia="he-IL"/>
        </w:rPr>
        <w:t xml:space="preserve">אני אשמח לשמוע. מגיל שנתיים עד שלוש בפרטי </w:t>
      </w:r>
      <w:bookmarkStart w:id="65726" w:name="_ETM_Q116_578892"/>
      <w:bookmarkEnd w:id="65726"/>
      <w:r w:rsidR="00BB59CD">
        <w:rPr>
          <w:rFonts w:hint="cs"/>
          <w:rtl/>
          <w:lang w:eastAsia="he-IL"/>
        </w:rPr>
        <w:t xml:space="preserve">הופך להיות חינם? בסבסוד? במסובסד? במעונות היום? </w:t>
      </w:r>
    </w:p>
    <w:p w:rsidR="00BB59CD" w:rsidRDefault="00BB59CD" w:rsidP="00BB59CD">
      <w:pPr>
        <w:rPr>
          <w:rtl/>
          <w:lang w:eastAsia="he-IL"/>
        </w:rPr>
      </w:pPr>
      <w:bookmarkStart w:id="65727" w:name="_ETM_Q116_584264"/>
      <w:bookmarkStart w:id="65728" w:name="_ETM_Q116_584396"/>
      <w:bookmarkEnd w:id="65727"/>
      <w:bookmarkEnd w:id="65728"/>
    </w:p>
    <w:p w:rsidR="00BB59CD" w:rsidRDefault="00BB59CD" w:rsidP="00BB59CD">
      <w:pPr>
        <w:pStyle w:val="af8"/>
        <w:keepNext/>
        <w:rPr>
          <w:rtl/>
        </w:rPr>
      </w:pPr>
      <w:bookmarkStart w:id="65729" w:name="ET_interruption_6426_50"/>
      <w:r>
        <w:rPr>
          <w:rStyle w:val="TagStyle"/>
          <w:rFonts w:hint="cs"/>
          <w:rtl/>
        </w:rPr>
        <w:t xml:space="preserve"> &lt;&lt; קריאה &gt;&gt; </w:t>
      </w:r>
      <w:r>
        <w:rPr>
          <w:rFonts w:hint="cs"/>
          <w:rtl/>
        </w:rPr>
        <w:t>שר במשרד החינוך חיים ביטון:</w:t>
      </w:r>
      <w:r>
        <w:rPr>
          <w:rStyle w:val="TagStyle"/>
          <w:rtl/>
        </w:rPr>
        <w:t xml:space="preserve"> &lt;&lt; קריאה &gt;&gt;</w:t>
      </w:r>
      <w:r>
        <w:rPr>
          <w:rFonts w:hint="cs"/>
          <w:rtl/>
        </w:rPr>
        <w:t xml:space="preserve">   </w:t>
      </w:r>
      <w:bookmarkEnd w:id="65729"/>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קודם כול, כן, ויותר מזה. כל ילד, או יותר נכון כל אימא </w:t>
      </w:r>
      <w:bookmarkStart w:id="65730" w:name="_ETM_Q116_586008"/>
      <w:bookmarkEnd w:id="65730"/>
      <w:r>
        <w:rPr>
          <w:rFonts w:hint="cs"/>
          <w:rtl/>
          <w:lang w:eastAsia="he-IL"/>
        </w:rPr>
        <w:t>- - -</w:t>
      </w:r>
    </w:p>
    <w:p w:rsidR="00BB59CD" w:rsidRDefault="00BB59CD" w:rsidP="00BB59CD">
      <w:pPr>
        <w:rPr>
          <w:rtl/>
          <w:lang w:eastAsia="he-IL"/>
        </w:rPr>
      </w:pPr>
    </w:p>
    <w:p w:rsidR="00BB59CD" w:rsidRDefault="00BB59CD" w:rsidP="00BB59CD">
      <w:pPr>
        <w:pStyle w:val="-"/>
        <w:keepNext/>
        <w:rPr>
          <w:rtl/>
        </w:rPr>
      </w:pPr>
      <w:bookmarkStart w:id="65731" w:name="ET_speakercontinue_6361_72"/>
      <w:r>
        <w:rPr>
          <w:rStyle w:val="TagStyle"/>
          <w:rFonts w:hint="cs"/>
          <w:rtl/>
        </w:rPr>
        <w:t xml:space="preserve"> &lt;&lt; דובר_המשך &gt;&gt; </w:t>
      </w:r>
      <w:r>
        <w:rPr>
          <w:rFonts w:hint="cs"/>
          <w:rtl/>
        </w:rPr>
        <w:t>נאור שירי (יש עתיד):</w:t>
      </w:r>
      <w:r>
        <w:rPr>
          <w:rStyle w:val="TagStyle"/>
          <w:rtl/>
        </w:rPr>
        <w:t xml:space="preserve"> &lt;&lt; דובר_המשך &gt;&gt;</w:t>
      </w:r>
      <w:bookmarkEnd w:id="65731"/>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גם אבא. יש גם אימא, ויש גם </w:t>
      </w:r>
      <w:bookmarkStart w:id="65732" w:name="_ETM_Q116_595207"/>
      <w:bookmarkEnd w:id="65732"/>
      <w:r>
        <w:rPr>
          <w:rFonts w:hint="cs"/>
          <w:rtl/>
          <w:lang w:eastAsia="he-IL"/>
        </w:rPr>
        <w:t xml:space="preserve">אבא. תסמוך עליי, אני אבא. </w:t>
      </w:r>
    </w:p>
    <w:p w:rsidR="00BB59CD" w:rsidRDefault="00BB59CD" w:rsidP="00BB59CD">
      <w:pPr>
        <w:rPr>
          <w:rtl/>
          <w:lang w:eastAsia="he-IL"/>
        </w:rPr>
      </w:pPr>
    </w:p>
    <w:p w:rsidR="00BB59CD" w:rsidRDefault="00BB59CD" w:rsidP="00BB59CD">
      <w:pPr>
        <w:pStyle w:val="af8"/>
        <w:keepNext/>
        <w:rPr>
          <w:rtl/>
        </w:rPr>
      </w:pPr>
      <w:bookmarkStart w:id="65733" w:name="ET_interruption_5809_73"/>
      <w:r>
        <w:rPr>
          <w:rStyle w:val="TagStyle"/>
          <w:rFonts w:hint="cs"/>
          <w:rtl/>
        </w:rPr>
        <w:t xml:space="preserve"> &lt;&lt; קריאה &gt;&gt; </w:t>
      </w:r>
      <w:r>
        <w:rPr>
          <w:rFonts w:hint="cs"/>
          <w:rtl/>
        </w:rPr>
        <w:t>מיכל שיר סגמן (יש עתיד):</w:t>
      </w:r>
      <w:r>
        <w:rPr>
          <w:rStyle w:val="TagStyle"/>
          <w:rtl/>
        </w:rPr>
        <w:t xml:space="preserve"> &lt;&lt; קריאה &gt;&gt;</w:t>
      </w:r>
      <w:bookmarkEnd w:id="65733"/>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יש גם אימא ואימא, ואבא ואבא, זה נכון.</w:t>
      </w:r>
    </w:p>
    <w:p w:rsidR="00BB59CD" w:rsidRDefault="00BB59CD" w:rsidP="00BB59CD">
      <w:pPr>
        <w:rPr>
          <w:rtl/>
          <w:lang w:eastAsia="he-IL"/>
        </w:rPr>
      </w:pPr>
      <w:bookmarkStart w:id="65734" w:name="_ETM_Q116_598642"/>
      <w:bookmarkStart w:id="65735" w:name="_ETM_Q116_598765"/>
      <w:bookmarkStart w:id="65736" w:name="_ETM_Q116_598817"/>
      <w:bookmarkEnd w:id="65734"/>
      <w:bookmarkEnd w:id="65735"/>
      <w:bookmarkEnd w:id="65736"/>
    </w:p>
    <w:p w:rsidR="00BB59CD" w:rsidRDefault="00BB59CD" w:rsidP="00BB59CD">
      <w:pPr>
        <w:pStyle w:val="-"/>
        <w:keepNext/>
        <w:rPr>
          <w:rtl/>
        </w:rPr>
      </w:pPr>
      <w:bookmarkStart w:id="65737" w:name="_ETM_Q116_598916"/>
      <w:bookmarkEnd w:id="6573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65738" w:name="_ETM_Q116_599986"/>
      <w:bookmarkEnd w:id="65738"/>
      <w:r>
        <w:rPr>
          <w:rFonts w:hint="cs"/>
          <w:rtl/>
          <w:lang w:eastAsia="he-IL"/>
        </w:rPr>
        <w:t xml:space="preserve">עזוב. אבא ואימא, לא נסבך </w:t>
      </w:r>
      <w:bookmarkStart w:id="65739" w:name="_ETM_Q116_599529"/>
      <w:bookmarkEnd w:id="65739"/>
      <w:r>
        <w:rPr>
          <w:rFonts w:hint="cs"/>
          <w:rtl/>
          <w:lang w:eastAsia="he-IL"/>
        </w:rPr>
        <w:t xml:space="preserve">אותך עכשיו פה. נו, בבקשה. </w:t>
      </w:r>
    </w:p>
    <w:p w:rsidR="00BB59CD" w:rsidRDefault="00BB59CD" w:rsidP="00BB59CD">
      <w:pPr>
        <w:rPr>
          <w:rtl/>
          <w:lang w:eastAsia="he-IL"/>
        </w:rPr>
      </w:pPr>
    </w:p>
    <w:p w:rsidR="00BB59CD" w:rsidRDefault="00BB59CD" w:rsidP="00BB59CD">
      <w:pPr>
        <w:pStyle w:val="af8"/>
        <w:keepNext/>
        <w:rPr>
          <w:rtl/>
        </w:rPr>
      </w:pPr>
      <w:bookmarkStart w:id="65740" w:name="ET_interruption_6426_74"/>
      <w:r>
        <w:rPr>
          <w:rStyle w:val="TagStyle"/>
          <w:rFonts w:hint="cs"/>
          <w:rtl/>
        </w:rPr>
        <w:t xml:space="preserve"> &lt;&lt; קריאה &gt;&gt; </w:t>
      </w:r>
      <w:r>
        <w:rPr>
          <w:rFonts w:hint="cs"/>
          <w:rtl/>
        </w:rPr>
        <w:t>שר במשרד החינוך חיים ביטון:</w:t>
      </w:r>
      <w:r>
        <w:rPr>
          <w:rStyle w:val="TagStyle"/>
          <w:rtl/>
        </w:rPr>
        <w:t xml:space="preserve"> &lt;&lt; קריאה &gt;&gt;</w:t>
      </w:r>
      <w:bookmarkEnd w:id="65740"/>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בקיצור, יש שתי נקודות זיכוי.</w:t>
      </w:r>
      <w:r w:rsidR="00B001AD">
        <w:rPr>
          <w:rFonts w:hint="cs"/>
          <w:rtl/>
          <w:lang w:eastAsia="he-IL"/>
        </w:rPr>
        <w:t xml:space="preserve"> וזה נכנס להורים שיש להם את זה. </w:t>
      </w:r>
    </w:p>
    <w:p w:rsidR="00BB59CD" w:rsidRDefault="00BB59CD" w:rsidP="00BB59CD">
      <w:pPr>
        <w:rPr>
          <w:rtl/>
          <w:lang w:eastAsia="he-IL"/>
        </w:rPr>
      </w:pPr>
      <w:bookmarkStart w:id="65741" w:name="_ETM_Q116_604643"/>
      <w:bookmarkStart w:id="65742" w:name="_ETM_Q116_604781"/>
      <w:bookmarkEnd w:id="65741"/>
      <w:bookmarkEnd w:id="65742"/>
    </w:p>
    <w:p w:rsidR="00BB59CD" w:rsidRDefault="00BB59CD" w:rsidP="00BB59CD">
      <w:pPr>
        <w:pStyle w:val="-"/>
        <w:keepNext/>
        <w:rPr>
          <w:rtl/>
        </w:rPr>
      </w:pPr>
      <w:bookmarkStart w:id="65743" w:name="_ETM_Q116_604872"/>
      <w:bookmarkStart w:id="65744" w:name="_ETM_Q116_604940"/>
      <w:bookmarkStart w:id="65745" w:name="ET_speakercontinue_6361_52"/>
      <w:bookmarkEnd w:id="65743"/>
      <w:bookmarkEnd w:id="6574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745"/>
    </w:p>
    <w:p w:rsidR="00BB59CD" w:rsidRDefault="00BB59CD" w:rsidP="00337201">
      <w:pPr>
        <w:rPr>
          <w:rtl/>
          <w:lang w:eastAsia="he-IL"/>
        </w:rPr>
      </w:pPr>
    </w:p>
    <w:p w:rsidR="00BB59CD" w:rsidRDefault="00BB59CD" w:rsidP="00B001AD">
      <w:pPr>
        <w:rPr>
          <w:rtl/>
          <w:lang w:eastAsia="he-IL"/>
        </w:rPr>
      </w:pPr>
      <w:bookmarkStart w:id="65746" w:name="_ETM_Q116_605861"/>
      <w:bookmarkEnd w:id="65746"/>
      <w:r>
        <w:rPr>
          <w:rFonts w:hint="cs"/>
          <w:rtl/>
          <w:lang w:eastAsia="he-IL"/>
        </w:rPr>
        <w:t xml:space="preserve">940 שקלים. חינם זה לא. </w:t>
      </w:r>
      <w:bookmarkStart w:id="65747" w:name="_ETM_Q116_611250"/>
      <w:bookmarkEnd w:id="65747"/>
      <w:r>
        <w:rPr>
          <w:rFonts w:hint="cs"/>
          <w:rtl/>
          <w:lang w:eastAsia="he-IL"/>
        </w:rPr>
        <w:t xml:space="preserve">אני רק אומר. לא. זה לא חינם. </w:t>
      </w:r>
      <w:bookmarkStart w:id="65748" w:name="_ETM_Q116_612693"/>
      <w:bookmarkEnd w:id="65748"/>
      <w:r>
        <w:rPr>
          <w:rFonts w:hint="cs"/>
          <w:rtl/>
          <w:lang w:eastAsia="he-IL"/>
        </w:rPr>
        <w:t>אני מפרגן. בבקשה, 940 שקלים. אבל העליתם. בכמה? עכשיו העליתם את מעונות היום.</w:t>
      </w:r>
    </w:p>
    <w:p w:rsidR="00BB59CD" w:rsidRDefault="00BB59CD" w:rsidP="00BB59CD">
      <w:pPr>
        <w:rPr>
          <w:rtl/>
          <w:lang w:eastAsia="he-IL"/>
        </w:rPr>
      </w:pPr>
      <w:bookmarkStart w:id="65749" w:name="_ETM_Q116_621847"/>
      <w:bookmarkStart w:id="65750" w:name="_ETM_Q116_621974"/>
      <w:bookmarkStart w:id="65751" w:name="_ETM_Q116_622025"/>
      <w:bookmarkStart w:id="65752" w:name="_ETM_Q116_622143"/>
      <w:bookmarkEnd w:id="65749"/>
      <w:bookmarkEnd w:id="65750"/>
      <w:bookmarkEnd w:id="65751"/>
      <w:bookmarkEnd w:id="6575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65753" w:name="_ETM_Q116_623108"/>
      <w:bookmarkEnd w:id="65753"/>
      <w:r>
        <w:rPr>
          <w:rFonts w:hint="cs"/>
          <w:rtl/>
          <w:lang w:eastAsia="he-IL"/>
        </w:rPr>
        <w:t>המעונות המפוקחים ירד</w:t>
      </w:r>
      <w:r w:rsidR="00B001AD">
        <w:rPr>
          <w:rFonts w:hint="cs"/>
          <w:rtl/>
          <w:lang w:eastAsia="he-IL"/>
        </w:rPr>
        <w:t>ו</w:t>
      </w:r>
      <w:r>
        <w:rPr>
          <w:rFonts w:hint="cs"/>
          <w:rtl/>
          <w:lang w:eastAsia="he-IL"/>
        </w:rPr>
        <w:t xml:space="preserve">. </w:t>
      </w:r>
    </w:p>
    <w:p w:rsidR="00BB59CD" w:rsidRDefault="00BB59CD" w:rsidP="00BB59CD">
      <w:pPr>
        <w:rPr>
          <w:rtl/>
          <w:lang w:eastAsia="he-IL"/>
        </w:rPr>
      </w:pPr>
      <w:bookmarkStart w:id="65754" w:name="_ETM_Q116_625007"/>
      <w:bookmarkStart w:id="65755" w:name="_ETM_Q116_625110"/>
      <w:bookmarkStart w:id="65756" w:name="_ETM_Q116_625150"/>
      <w:bookmarkEnd w:id="65754"/>
      <w:bookmarkEnd w:id="65755"/>
      <w:bookmarkEnd w:id="65756"/>
    </w:p>
    <w:p w:rsidR="00BB59CD" w:rsidRDefault="00BB59CD" w:rsidP="00BB59CD">
      <w:pPr>
        <w:pStyle w:val="-"/>
        <w:keepNext/>
        <w:rPr>
          <w:rtl/>
        </w:rPr>
      </w:pPr>
      <w:bookmarkStart w:id="65757" w:name="_ETM_Q116_625280"/>
      <w:bookmarkEnd w:id="6575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001AD">
      <w:pPr>
        <w:rPr>
          <w:rtl/>
          <w:lang w:eastAsia="he-IL"/>
        </w:rPr>
      </w:pPr>
      <w:bookmarkStart w:id="65758" w:name="_ETM_Q116_626634"/>
      <w:bookmarkEnd w:id="65758"/>
      <w:r>
        <w:rPr>
          <w:rFonts w:hint="cs"/>
          <w:rtl/>
          <w:lang w:eastAsia="he-IL"/>
        </w:rPr>
        <w:t>העלו את המפוקחים.</w:t>
      </w:r>
      <w:bookmarkStart w:id="65759" w:name="_ETM_Q116_624091"/>
      <w:bookmarkEnd w:id="65759"/>
      <w:r>
        <w:rPr>
          <w:rFonts w:hint="cs"/>
          <w:rtl/>
          <w:lang w:eastAsia="he-IL"/>
        </w:rPr>
        <w:t xml:space="preserve"> </w:t>
      </w:r>
      <w:r w:rsidR="00B001AD">
        <w:rPr>
          <w:rFonts w:hint="cs"/>
          <w:rtl/>
          <w:lang w:eastAsia="he-IL"/>
        </w:rPr>
        <w:t>ב</w:t>
      </w:r>
      <w:r>
        <w:rPr>
          <w:rFonts w:hint="cs"/>
          <w:rtl/>
          <w:lang w:eastAsia="he-IL"/>
        </w:rPr>
        <w:t xml:space="preserve">פרטי אתה לא שולט. אתה לא עוזר לי בפרטי. </w:t>
      </w:r>
      <w:bookmarkStart w:id="65760" w:name="_ETM_Q116_625505"/>
      <w:bookmarkEnd w:id="65760"/>
    </w:p>
    <w:p w:rsidR="00BB59CD" w:rsidRDefault="00BB59CD" w:rsidP="00BB59CD">
      <w:pPr>
        <w:rPr>
          <w:rtl/>
          <w:lang w:eastAsia="he-IL"/>
        </w:rPr>
      </w:pPr>
    </w:p>
    <w:p w:rsidR="00BB59CD" w:rsidRDefault="00BB59CD" w:rsidP="00BB59CD">
      <w:pPr>
        <w:pStyle w:val="af8"/>
        <w:keepNext/>
        <w:rPr>
          <w:rtl/>
        </w:rPr>
      </w:pPr>
      <w:bookmarkStart w:id="65761" w:name="_ETM_Q116_630140"/>
      <w:bookmarkStart w:id="65762" w:name="_ETM_Q116_630262"/>
      <w:bookmarkStart w:id="65763" w:name="_ETM_Q116_631332"/>
      <w:bookmarkStart w:id="65764" w:name="ET_interruption_6426_56"/>
      <w:bookmarkEnd w:id="65761"/>
      <w:bookmarkEnd w:id="65762"/>
      <w:bookmarkEnd w:id="65763"/>
      <w:r>
        <w:rPr>
          <w:rStyle w:val="TagStyle"/>
          <w:rFonts w:hint="cs"/>
          <w:rtl/>
        </w:rPr>
        <w:t xml:space="preserve"> &lt;&lt; קריאה &gt;&gt; </w:t>
      </w:r>
      <w:r>
        <w:rPr>
          <w:rFonts w:hint="cs"/>
          <w:rtl/>
        </w:rPr>
        <w:t>שר במשרד החינוך חיים ביטון:</w:t>
      </w:r>
      <w:r>
        <w:rPr>
          <w:rStyle w:val="TagStyle"/>
          <w:rtl/>
        </w:rPr>
        <w:t xml:space="preserve"> &lt;&lt; קריאה &gt;&gt;</w:t>
      </w:r>
      <w:r>
        <w:rPr>
          <w:rFonts w:hint="cs"/>
          <w:rtl/>
        </w:rPr>
        <w:t xml:space="preserve">   </w:t>
      </w:r>
      <w:bookmarkEnd w:id="65764"/>
    </w:p>
    <w:p w:rsidR="00BB59CD" w:rsidRDefault="00BB59CD" w:rsidP="00337201">
      <w:pPr>
        <w:rPr>
          <w:rtl/>
          <w:lang w:eastAsia="he-IL"/>
        </w:rPr>
      </w:pPr>
    </w:p>
    <w:p w:rsidR="00BB59CD" w:rsidRDefault="00BB59CD" w:rsidP="00BB59CD">
      <w:pPr>
        <w:rPr>
          <w:rtl/>
        </w:rPr>
      </w:pPr>
      <w:r>
        <w:rPr>
          <w:rFonts w:hint="cs"/>
          <w:rtl/>
        </w:rPr>
        <w:t>הממשלה הקודמת, שהיית בה</w:t>
      </w:r>
      <w:bookmarkStart w:id="65765" w:name="_ETM_Q116_629316"/>
      <w:bookmarkEnd w:id="65765"/>
      <w:r>
        <w:rPr>
          <w:rFonts w:hint="cs"/>
          <w:rtl/>
        </w:rPr>
        <w:t xml:space="preserve"> </w:t>
      </w:r>
      <w:bookmarkStart w:id="65766" w:name="_ETM_Q116_632714"/>
      <w:bookmarkEnd w:id="65766"/>
      <w:r>
        <w:rPr>
          <w:rFonts w:hint="cs"/>
          <w:rtl/>
        </w:rPr>
        <w:t>- - -</w:t>
      </w:r>
    </w:p>
    <w:p w:rsidR="00BB59CD" w:rsidRDefault="00BB59CD" w:rsidP="00BB59CD">
      <w:pPr>
        <w:rPr>
          <w:rtl/>
        </w:rPr>
      </w:pPr>
      <w:bookmarkStart w:id="65767" w:name="_ETM_Q116_629431"/>
      <w:bookmarkStart w:id="65768" w:name="_ETM_Q116_629480"/>
      <w:bookmarkStart w:id="65769" w:name="_ETM_Q116_629566"/>
      <w:bookmarkEnd w:id="65767"/>
      <w:bookmarkEnd w:id="65768"/>
      <w:bookmarkEnd w:id="65769"/>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001AD">
      <w:pPr>
        <w:rPr>
          <w:rtl/>
        </w:rPr>
      </w:pPr>
      <w:bookmarkStart w:id="65770" w:name="_ETM_Q116_631065"/>
      <w:bookmarkEnd w:id="65770"/>
      <w:r>
        <w:rPr>
          <w:rFonts w:hint="cs"/>
          <w:rtl/>
        </w:rPr>
        <w:t xml:space="preserve">אני לא הייתי בה. לא יצא לך טוב. </w:t>
      </w:r>
      <w:bookmarkStart w:id="65771" w:name="_ETM_Q116_631715"/>
      <w:bookmarkEnd w:id="65771"/>
      <w:r>
        <w:rPr>
          <w:rFonts w:hint="cs"/>
          <w:rtl/>
        </w:rPr>
        <w:t xml:space="preserve">לא הייתי לא בכנסת ולא בממשלה. פעמיים לא יצא </w:t>
      </w:r>
      <w:bookmarkStart w:id="65772" w:name="_ETM_Q116_633244"/>
      <w:bookmarkEnd w:id="65772"/>
      <w:r>
        <w:rPr>
          <w:rFonts w:hint="cs"/>
          <w:rtl/>
        </w:rPr>
        <w:t xml:space="preserve">לך טוב. </w:t>
      </w:r>
    </w:p>
    <w:p w:rsidR="00BB59CD" w:rsidRDefault="00BB59CD" w:rsidP="00BB59CD">
      <w:pPr>
        <w:rPr>
          <w:rtl/>
        </w:rPr>
      </w:pPr>
      <w:bookmarkStart w:id="65773" w:name="_ETM_Q116_643408"/>
      <w:bookmarkStart w:id="65774" w:name="_ETM_Q116_643511"/>
      <w:bookmarkStart w:id="65775" w:name="_ETM_Q116_643599"/>
      <w:bookmarkStart w:id="65776" w:name="_ETM_Q116_643672"/>
      <w:bookmarkEnd w:id="65773"/>
      <w:bookmarkEnd w:id="65774"/>
      <w:bookmarkEnd w:id="65775"/>
      <w:bookmarkEnd w:id="65776"/>
    </w:p>
    <w:p w:rsidR="00BB59CD" w:rsidRDefault="00BB59CD" w:rsidP="00BB59CD">
      <w:pPr>
        <w:pStyle w:val="af8"/>
        <w:keepNext/>
        <w:rPr>
          <w:rtl/>
        </w:rPr>
      </w:pPr>
      <w:bookmarkStart w:id="65777" w:name="ET_interruption_6426_59"/>
      <w:r>
        <w:rPr>
          <w:rStyle w:val="TagStyle"/>
          <w:rFonts w:hint="cs"/>
          <w:rtl/>
        </w:rPr>
        <w:t xml:space="preserve"> &lt;&lt; קריאה &gt;&gt; </w:t>
      </w:r>
      <w:r>
        <w:rPr>
          <w:rFonts w:hint="cs"/>
          <w:rtl/>
        </w:rPr>
        <w:t>שר במשרד החינוך חיים ביטון:</w:t>
      </w:r>
      <w:r>
        <w:rPr>
          <w:rStyle w:val="TagStyle"/>
          <w:rtl/>
        </w:rPr>
        <w:t xml:space="preserve"> &lt;&lt; קריאה &gt;&gt;</w:t>
      </w:r>
      <w:r>
        <w:rPr>
          <w:rFonts w:hint="cs"/>
          <w:rtl/>
        </w:rPr>
        <w:t xml:space="preserve">   </w:t>
      </w:r>
      <w:bookmarkEnd w:id="65777"/>
    </w:p>
    <w:p w:rsidR="00BB59CD" w:rsidRDefault="00BB59CD" w:rsidP="00337201">
      <w:pPr>
        <w:rPr>
          <w:rtl/>
        </w:rPr>
      </w:pPr>
    </w:p>
    <w:p w:rsidR="00BB59CD" w:rsidRDefault="00BB59CD" w:rsidP="00B001AD">
      <w:pPr>
        <w:rPr>
          <w:rtl/>
        </w:rPr>
      </w:pPr>
      <w:bookmarkStart w:id="65778" w:name="_ETM_Q116_652670"/>
      <w:bookmarkEnd w:id="65778"/>
      <w:r>
        <w:rPr>
          <w:rFonts w:hint="cs"/>
          <w:rtl/>
        </w:rPr>
        <w:t xml:space="preserve">התכוונתי שהצבעת. </w:t>
      </w:r>
      <w:r w:rsidR="00B001AD">
        <w:rPr>
          <w:rFonts w:hint="cs"/>
          <w:rtl/>
        </w:rPr>
        <w:t xml:space="preserve">היא </w:t>
      </w:r>
      <w:r>
        <w:rPr>
          <w:rFonts w:hint="cs"/>
          <w:rtl/>
        </w:rPr>
        <w:t>קבעה שיש תוספת של 300 שקל לכל ילד במעון בגלל צרכים</w:t>
      </w:r>
      <w:r w:rsidR="00B001AD">
        <w:rPr>
          <w:rFonts w:hint="cs"/>
          <w:rtl/>
        </w:rPr>
        <w:t>,</w:t>
      </w:r>
      <w:r>
        <w:rPr>
          <w:rFonts w:hint="cs"/>
          <w:rtl/>
        </w:rPr>
        <w:t xml:space="preserve"> בגלל שהמציאות </w:t>
      </w:r>
      <w:bookmarkStart w:id="65779" w:name="_ETM_Q116_653190"/>
      <w:bookmarkEnd w:id="65779"/>
      <w:r>
        <w:rPr>
          <w:rFonts w:hint="cs"/>
          <w:rtl/>
        </w:rPr>
        <w:t xml:space="preserve">הייתה שבמעונות נהגו – ועדה ציבורית קבעה </w:t>
      </w:r>
      <w:bookmarkStart w:id="65780" w:name="_ETM_Q116_658604"/>
      <w:bookmarkEnd w:id="65780"/>
      <w:r>
        <w:rPr>
          <w:rFonts w:hint="cs"/>
          <w:rtl/>
        </w:rPr>
        <w:t xml:space="preserve">תוספת של 300 שקל. במקרה - - - </w:t>
      </w:r>
      <w:bookmarkStart w:id="65781" w:name="_ETM_Q116_666566"/>
      <w:bookmarkEnd w:id="65781"/>
      <w:r>
        <w:rPr>
          <w:rFonts w:hint="cs"/>
          <w:rtl/>
        </w:rPr>
        <w:t xml:space="preserve"> אתה קורא לזה, שהעלינו את השכר. במקביל הבאנו </w:t>
      </w:r>
      <w:bookmarkStart w:id="65782" w:name="_ETM_Q116_661824"/>
      <w:bookmarkEnd w:id="65782"/>
      <w:r>
        <w:rPr>
          <w:rFonts w:hint="cs"/>
          <w:rtl/>
        </w:rPr>
        <w:t>900 ומשהו שקל מול ה-300 שקל להורים.</w:t>
      </w:r>
    </w:p>
    <w:p w:rsidR="00BB59CD" w:rsidRDefault="00BB59CD" w:rsidP="00BB59CD">
      <w:pPr>
        <w:ind w:firstLine="0"/>
        <w:rPr>
          <w:rtl/>
        </w:rPr>
      </w:pPr>
    </w:p>
    <w:p w:rsidR="00BB59CD" w:rsidRDefault="00BB59CD" w:rsidP="00BB59CD">
      <w:pPr>
        <w:pStyle w:val="-"/>
        <w:keepNext/>
        <w:rPr>
          <w:rtl/>
        </w:rPr>
      </w:pPr>
      <w:bookmarkStart w:id="65783" w:name="ET_speakercontinue_6361_6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783"/>
    </w:p>
    <w:p w:rsidR="00BB59CD" w:rsidRDefault="00BB59CD" w:rsidP="00337201">
      <w:pPr>
        <w:rPr>
          <w:rtl/>
        </w:rPr>
      </w:pPr>
    </w:p>
    <w:p w:rsidR="00BB59CD" w:rsidRDefault="00BB59CD" w:rsidP="00BB59CD">
      <w:pPr>
        <w:rPr>
          <w:rtl/>
        </w:rPr>
      </w:pPr>
      <w:r>
        <w:rPr>
          <w:rFonts w:hint="cs"/>
          <w:rtl/>
        </w:rPr>
        <w:t xml:space="preserve">לא 300. </w:t>
      </w:r>
      <w:bookmarkStart w:id="65784" w:name="_ETM_Q116_666550"/>
      <w:bookmarkEnd w:id="65784"/>
      <w:r>
        <w:rPr>
          <w:rFonts w:hint="cs"/>
          <w:rtl/>
        </w:rPr>
        <w:t xml:space="preserve">למה 300? זה 500 שקלים יותר. </w:t>
      </w:r>
    </w:p>
    <w:p w:rsidR="00BB59CD" w:rsidRDefault="00BB59CD" w:rsidP="00BB59CD">
      <w:pPr>
        <w:rPr>
          <w:rtl/>
        </w:rPr>
      </w:pPr>
      <w:bookmarkStart w:id="65785" w:name="_ETM_Q116_674532"/>
      <w:bookmarkStart w:id="65786" w:name="_ETM_Q116_674659"/>
      <w:bookmarkStart w:id="65787" w:name="_ETM_Q116_674723"/>
      <w:bookmarkEnd w:id="65785"/>
      <w:bookmarkEnd w:id="65786"/>
      <w:bookmarkEnd w:id="65787"/>
    </w:p>
    <w:p w:rsidR="00BB59CD" w:rsidRDefault="00BB59CD" w:rsidP="00BB59CD">
      <w:pPr>
        <w:pStyle w:val="af8"/>
        <w:keepNext/>
        <w:rPr>
          <w:rtl/>
        </w:rPr>
      </w:pPr>
      <w:bookmarkStart w:id="65788" w:name="_ETM_Q116_674839"/>
      <w:bookmarkStart w:id="65789" w:name="ET_interruption_6426_61"/>
      <w:bookmarkEnd w:id="65788"/>
      <w:r>
        <w:rPr>
          <w:rStyle w:val="TagStyle"/>
          <w:rFonts w:hint="cs"/>
          <w:rtl/>
        </w:rPr>
        <w:t xml:space="preserve"> &lt;&lt; קריאה &gt;&gt; </w:t>
      </w:r>
      <w:r>
        <w:rPr>
          <w:rFonts w:hint="cs"/>
          <w:rtl/>
        </w:rPr>
        <w:t>שר במשרד החינוך חיים ביטון:</w:t>
      </w:r>
      <w:r>
        <w:rPr>
          <w:rStyle w:val="TagStyle"/>
          <w:rtl/>
        </w:rPr>
        <w:t xml:space="preserve"> &lt;&lt; קריאה &gt;&gt;</w:t>
      </w:r>
      <w:r>
        <w:rPr>
          <w:rFonts w:hint="cs"/>
          <w:rtl/>
        </w:rPr>
        <w:t xml:space="preserve">   </w:t>
      </w:r>
      <w:bookmarkEnd w:id="65789"/>
    </w:p>
    <w:p w:rsidR="00BB59CD" w:rsidRDefault="00BB59CD" w:rsidP="00337201">
      <w:pPr>
        <w:rPr>
          <w:rtl/>
        </w:rPr>
      </w:pPr>
    </w:p>
    <w:p w:rsidR="00BB59CD" w:rsidRDefault="00BB59CD" w:rsidP="00BB59CD">
      <w:pPr>
        <w:rPr>
          <w:rtl/>
        </w:rPr>
      </w:pPr>
      <w:bookmarkStart w:id="65790" w:name="_ETM_Q116_670428"/>
      <w:bookmarkEnd w:id="65790"/>
      <w:r>
        <w:rPr>
          <w:rFonts w:hint="cs"/>
          <w:rtl/>
        </w:rPr>
        <w:t xml:space="preserve">לא. </w:t>
      </w:r>
    </w:p>
    <w:p w:rsidR="00BB59CD" w:rsidRDefault="00BB59CD" w:rsidP="00BB59CD">
      <w:pPr>
        <w:rPr>
          <w:rtl/>
        </w:rPr>
      </w:pPr>
      <w:bookmarkStart w:id="65791" w:name="_ETM_Q116_666655"/>
      <w:bookmarkStart w:id="65792" w:name="_ETM_Q116_676014"/>
      <w:bookmarkStart w:id="65793" w:name="_ETM_Q116_676128"/>
      <w:bookmarkEnd w:id="65791"/>
      <w:bookmarkEnd w:id="65792"/>
      <w:bookmarkEnd w:id="65793"/>
    </w:p>
    <w:p w:rsidR="00BB59CD" w:rsidRDefault="00BB59CD" w:rsidP="00BB59CD">
      <w:pPr>
        <w:pStyle w:val="-"/>
        <w:keepNext/>
        <w:rPr>
          <w:rtl/>
        </w:rPr>
      </w:pPr>
      <w:bookmarkStart w:id="65794" w:name="ET_speakercontinue_6361_62"/>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794"/>
    </w:p>
    <w:p w:rsidR="00BB59CD" w:rsidRDefault="00BB59CD" w:rsidP="00337201">
      <w:pPr>
        <w:rPr>
          <w:rtl/>
        </w:rPr>
      </w:pPr>
    </w:p>
    <w:p w:rsidR="00BB59CD" w:rsidRDefault="00BB59CD" w:rsidP="00B001AD">
      <w:pPr>
        <w:rPr>
          <w:rtl/>
        </w:rPr>
      </w:pPr>
      <w:r>
        <w:rPr>
          <w:rFonts w:hint="cs"/>
          <w:rtl/>
        </w:rPr>
        <w:t>תראה</w:t>
      </w:r>
      <w:bookmarkStart w:id="65795" w:name="_ETM_Q116_676250"/>
      <w:bookmarkEnd w:id="65795"/>
      <w:r>
        <w:rPr>
          <w:rFonts w:hint="cs"/>
          <w:rtl/>
        </w:rPr>
        <w:t xml:space="preserve">, </w:t>
      </w:r>
      <w:r w:rsidR="00B001AD">
        <w:rPr>
          <w:rFonts w:hint="cs"/>
          <w:rtl/>
        </w:rPr>
        <w:t xml:space="preserve">עם </w:t>
      </w:r>
      <w:r>
        <w:rPr>
          <w:rFonts w:hint="cs"/>
          <w:rtl/>
        </w:rPr>
        <w:t xml:space="preserve">המס על השתייה המתוקה והכלים החד-פעמיים ידעתם לטפל בעוולת </w:t>
      </w:r>
      <w:bookmarkStart w:id="65796" w:name="_ETM_Q116_682220"/>
      <w:bookmarkEnd w:id="65796"/>
      <w:r>
        <w:rPr>
          <w:rFonts w:hint="cs"/>
          <w:rtl/>
        </w:rPr>
        <w:t>הממשלה הקודמת. אז בעוולה הזו – שנניח זו עוולה</w:t>
      </w:r>
      <w:r w:rsidR="00B001AD">
        <w:rPr>
          <w:rFonts w:hint="cs"/>
          <w:rtl/>
        </w:rPr>
        <w:t xml:space="preserve"> </w:t>
      </w:r>
      <w:r>
        <w:rPr>
          <w:rFonts w:hint="cs"/>
          <w:rtl/>
        </w:rPr>
        <w:t xml:space="preserve">- - </w:t>
      </w:r>
      <w:bookmarkStart w:id="65797" w:name="_ETM_Q116_684523"/>
      <w:bookmarkEnd w:id="65797"/>
      <w:r>
        <w:rPr>
          <w:rFonts w:hint="cs"/>
          <w:rtl/>
        </w:rPr>
        <w:t>-</w:t>
      </w:r>
    </w:p>
    <w:p w:rsidR="00BB59CD" w:rsidRDefault="00BB59CD" w:rsidP="00BB59CD">
      <w:pPr>
        <w:rPr>
          <w:rtl/>
        </w:rPr>
      </w:pPr>
      <w:bookmarkStart w:id="65798" w:name="_ETM_Q116_685464"/>
      <w:bookmarkEnd w:id="65798"/>
    </w:p>
    <w:p w:rsidR="00BB59CD" w:rsidRDefault="00BB59CD" w:rsidP="00BB59CD">
      <w:pPr>
        <w:pStyle w:val="af8"/>
        <w:keepNext/>
        <w:rPr>
          <w:rtl/>
        </w:rPr>
      </w:pPr>
      <w:bookmarkStart w:id="65799" w:name="ET_interruption_6426_69"/>
      <w:r>
        <w:rPr>
          <w:rStyle w:val="TagStyle"/>
          <w:rFonts w:hint="cs"/>
          <w:rtl/>
        </w:rPr>
        <w:t xml:space="preserve"> &lt;&lt; קריאה &gt;&gt; </w:t>
      </w:r>
      <w:r>
        <w:rPr>
          <w:rFonts w:hint="cs"/>
          <w:rtl/>
        </w:rPr>
        <w:t>שר במשרד החינוך חיים ביטון:</w:t>
      </w:r>
      <w:r>
        <w:rPr>
          <w:rStyle w:val="TagStyle"/>
          <w:rtl/>
        </w:rPr>
        <w:t xml:space="preserve"> &lt;&lt; קריאה &gt;&gt;</w:t>
      </w:r>
      <w:r>
        <w:rPr>
          <w:rFonts w:hint="cs"/>
          <w:rtl/>
        </w:rPr>
        <w:t xml:space="preserve">   </w:t>
      </w:r>
      <w:bookmarkEnd w:id="65799"/>
    </w:p>
    <w:p w:rsidR="00BB59CD" w:rsidRDefault="00BB59CD" w:rsidP="00337201">
      <w:pPr>
        <w:rPr>
          <w:rtl/>
        </w:rPr>
      </w:pPr>
    </w:p>
    <w:p w:rsidR="00BB59CD" w:rsidRDefault="00BB59CD" w:rsidP="00BB59CD">
      <w:pPr>
        <w:rPr>
          <w:rtl/>
        </w:rPr>
      </w:pPr>
      <w:bookmarkStart w:id="65800" w:name="_ETM_Q116_685345"/>
      <w:bookmarkStart w:id="65801" w:name="_ETM_Q116_685625"/>
      <w:bookmarkStart w:id="65802" w:name="_ETM_Q116_685729"/>
      <w:bookmarkEnd w:id="65800"/>
      <w:bookmarkEnd w:id="65801"/>
      <w:bookmarkEnd w:id="65802"/>
      <w:r>
        <w:rPr>
          <w:rFonts w:hint="cs"/>
          <w:rtl/>
        </w:rPr>
        <w:t>- - -</w:t>
      </w:r>
    </w:p>
    <w:p w:rsidR="00BB59CD" w:rsidRDefault="00BB59CD" w:rsidP="00BB59CD">
      <w:pPr>
        <w:rPr>
          <w:rtl/>
        </w:rPr>
      </w:pPr>
      <w:bookmarkStart w:id="65803" w:name="_ETM_Q116_687553"/>
      <w:bookmarkStart w:id="65804" w:name="_ETM_Q116_687645"/>
      <w:bookmarkEnd w:id="65803"/>
      <w:bookmarkEnd w:id="65804"/>
    </w:p>
    <w:p w:rsidR="00BB59CD" w:rsidRDefault="00BB59CD" w:rsidP="00BB59CD">
      <w:pPr>
        <w:pStyle w:val="-"/>
        <w:keepNext/>
        <w:rPr>
          <w:rtl/>
        </w:rPr>
      </w:pPr>
      <w:bookmarkStart w:id="65805" w:name="ET_speakercontinue_6361_7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805"/>
    </w:p>
    <w:p w:rsidR="00BB59CD" w:rsidRDefault="00BB59CD" w:rsidP="00337201">
      <w:pPr>
        <w:rPr>
          <w:rtl/>
        </w:rPr>
      </w:pPr>
    </w:p>
    <w:p w:rsidR="00BB59CD" w:rsidRDefault="00BB59CD" w:rsidP="00BB59CD">
      <w:pPr>
        <w:rPr>
          <w:rtl/>
        </w:rPr>
      </w:pPr>
      <w:bookmarkStart w:id="65806" w:name="_ETM_Q116_689176"/>
      <w:bookmarkStart w:id="65807" w:name="_ETM_Q116_685582"/>
      <w:bookmarkStart w:id="65808" w:name="_ETM_Q116_685653"/>
      <w:bookmarkStart w:id="65809" w:name="_ETM_Q116_685712"/>
      <w:bookmarkEnd w:id="65806"/>
      <w:bookmarkEnd w:id="65807"/>
      <w:bookmarkEnd w:id="65808"/>
      <w:bookmarkEnd w:id="65809"/>
      <w:r>
        <w:rPr>
          <w:rFonts w:hint="cs"/>
          <w:rtl/>
        </w:rPr>
        <w:t>אז ז</w:t>
      </w:r>
      <w:bookmarkStart w:id="65810" w:name="_ETM_Q116_687248"/>
      <w:bookmarkEnd w:id="65810"/>
      <w:r>
        <w:rPr>
          <w:rFonts w:hint="cs"/>
          <w:rtl/>
        </w:rPr>
        <w:t xml:space="preserve">ו לא עוולה. אז אל תגיד לי. אז בוא </w:t>
      </w:r>
      <w:bookmarkStart w:id="65811" w:name="_ETM_Q116_684842"/>
      <w:bookmarkEnd w:id="65811"/>
      <w:r>
        <w:rPr>
          <w:rFonts w:hint="cs"/>
          <w:rtl/>
        </w:rPr>
        <w:t>נהיה אמיתיים. הממשלה הזו העלתה. ועדה ציבורית שמי מינה?</w:t>
      </w:r>
    </w:p>
    <w:p w:rsidR="00BB59CD" w:rsidRDefault="00BB59CD" w:rsidP="00BB59CD">
      <w:pPr>
        <w:rPr>
          <w:rtl/>
        </w:rPr>
      </w:pPr>
    </w:p>
    <w:p w:rsidR="00BB59CD" w:rsidRDefault="00BB59CD" w:rsidP="00BB59CD">
      <w:pPr>
        <w:pStyle w:val="af8"/>
        <w:keepNext/>
        <w:rPr>
          <w:rtl/>
        </w:rPr>
      </w:pPr>
      <w:bookmarkStart w:id="65812" w:name="ET_interruption_6426_63"/>
      <w:r>
        <w:rPr>
          <w:rStyle w:val="TagStyle"/>
          <w:rFonts w:hint="cs"/>
          <w:rtl/>
        </w:rPr>
        <w:t xml:space="preserve"> &lt;&lt; קריאה &gt;&gt; </w:t>
      </w:r>
      <w:r>
        <w:rPr>
          <w:rFonts w:hint="cs"/>
          <w:rtl/>
        </w:rPr>
        <w:t>שר במשרד החינוך חיים ביטון:</w:t>
      </w:r>
      <w:r>
        <w:rPr>
          <w:rStyle w:val="TagStyle"/>
          <w:rtl/>
        </w:rPr>
        <w:t xml:space="preserve"> &lt;&lt; קריאה &gt;&gt;</w:t>
      </w:r>
      <w:r>
        <w:rPr>
          <w:rFonts w:hint="cs"/>
          <w:rtl/>
        </w:rPr>
        <w:t xml:space="preserve">   </w:t>
      </w:r>
      <w:bookmarkEnd w:id="65812"/>
    </w:p>
    <w:p w:rsidR="00BB59CD" w:rsidRDefault="00BB59CD" w:rsidP="00337201">
      <w:pPr>
        <w:rPr>
          <w:rtl/>
        </w:rPr>
      </w:pPr>
    </w:p>
    <w:p w:rsidR="00BB59CD" w:rsidRDefault="00BB59CD" w:rsidP="00BB59CD">
      <w:pPr>
        <w:rPr>
          <w:rtl/>
        </w:rPr>
      </w:pPr>
      <w:r>
        <w:rPr>
          <w:rFonts w:hint="cs"/>
          <w:rtl/>
        </w:rPr>
        <w:t xml:space="preserve">- - - ועדה ציבורית, </w:t>
      </w:r>
      <w:bookmarkStart w:id="65813" w:name="_ETM_Q116_688892"/>
      <w:bookmarkEnd w:id="65813"/>
      <w:r>
        <w:rPr>
          <w:rFonts w:hint="cs"/>
          <w:rtl/>
        </w:rPr>
        <w:t xml:space="preserve">ולא עוולה. </w:t>
      </w:r>
    </w:p>
    <w:p w:rsidR="00BB59CD" w:rsidRDefault="00BB59CD" w:rsidP="00BB59CD">
      <w:pPr>
        <w:rPr>
          <w:rtl/>
        </w:rPr>
      </w:pPr>
    </w:p>
    <w:p w:rsidR="00BB59CD" w:rsidRDefault="00BB59CD" w:rsidP="00BB59CD">
      <w:pPr>
        <w:pStyle w:val="-"/>
        <w:keepNext/>
        <w:rPr>
          <w:rtl/>
        </w:rPr>
      </w:pPr>
      <w:bookmarkStart w:id="65814" w:name="ET_speakercontinue_6361_6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814"/>
    </w:p>
    <w:p w:rsidR="00BB59CD" w:rsidRDefault="00BB59CD" w:rsidP="00337201">
      <w:pPr>
        <w:rPr>
          <w:rtl/>
        </w:rPr>
      </w:pPr>
    </w:p>
    <w:p w:rsidR="00BB59CD" w:rsidRDefault="00BB59CD" w:rsidP="00BB59CD">
      <w:pPr>
        <w:rPr>
          <w:rtl/>
        </w:rPr>
      </w:pPr>
      <w:r>
        <w:rPr>
          <w:rFonts w:hint="cs"/>
          <w:rtl/>
        </w:rPr>
        <w:t>הוועדה הציבורית של שכר חברי הכנסת</w:t>
      </w:r>
      <w:bookmarkStart w:id="65815" w:name="_ETM_Q116_694901"/>
      <w:bookmarkEnd w:id="65815"/>
      <w:r>
        <w:rPr>
          <w:rFonts w:hint="cs"/>
          <w:rtl/>
        </w:rPr>
        <w:t xml:space="preserve"> המליצה להעלות את שכר חברי הכנסת. באה הכנסת ואמרה</w:t>
      </w:r>
      <w:bookmarkStart w:id="65816" w:name="_ETM_Q116_695081"/>
      <w:bookmarkEnd w:id="65816"/>
      <w:r>
        <w:rPr>
          <w:rFonts w:hint="cs"/>
          <w:rtl/>
        </w:rPr>
        <w:t xml:space="preserve">: תודה, לא תודה. יו"ר הקואליציה, יושב-ראש ועדת הכנסת, אמר: </w:t>
      </w:r>
      <w:bookmarkStart w:id="65817" w:name="_ETM_Q116_702647"/>
      <w:bookmarkEnd w:id="65817"/>
      <w:r>
        <w:rPr>
          <w:rFonts w:hint="cs"/>
          <w:rtl/>
        </w:rPr>
        <w:t>תודה רבה על מסקנות הוועדה הציבורית, אני לא מאמץ אותן. אותו הדבר יכלה לעשות הממשלה הזו, אבל לא ניכנס לזה.</w:t>
      </w:r>
      <w:bookmarkStart w:id="65818" w:name="_ETM_Q116_707449"/>
      <w:bookmarkEnd w:id="65818"/>
      <w:r>
        <w:rPr>
          <w:rFonts w:hint="cs"/>
          <w:rtl/>
        </w:rPr>
        <w:t xml:space="preserve"> כי אני חושב - - -</w:t>
      </w:r>
    </w:p>
    <w:p w:rsidR="00BB59CD" w:rsidRDefault="00BB59CD" w:rsidP="00BB59CD">
      <w:pPr>
        <w:rPr>
          <w:rtl/>
        </w:rPr>
      </w:pPr>
      <w:bookmarkStart w:id="65819" w:name="_ETM_Q116_711946"/>
      <w:bookmarkStart w:id="65820" w:name="_ETM_Q116_712068"/>
      <w:bookmarkStart w:id="65821" w:name="_ETM_Q116_712138"/>
      <w:bookmarkEnd w:id="65819"/>
      <w:bookmarkEnd w:id="65820"/>
      <w:bookmarkEnd w:id="65821"/>
    </w:p>
    <w:p w:rsidR="00BB59CD" w:rsidRDefault="00BB59CD" w:rsidP="00BB59CD">
      <w:pPr>
        <w:pStyle w:val="af8"/>
        <w:keepNext/>
        <w:rPr>
          <w:rtl/>
        </w:rPr>
      </w:pPr>
      <w:bookmarkStart w:id="65822" w:name="_ETM_Q116_712240"/>
      <w:bookmarkStart w:id="65823" w:name="ET_interruption_6426_65"/>
      <w:bookmarkEnd w:id="65822"/>
      <w:r>
        <w:rPr>
          <w:rStyle w:val="TagStyle"/>
          <w:rFonts w:hint="cs"/>
          <w:rtl/>
        </w:rPr>
        <w:t xml:space="preserve"> &lt;&lt; קריאה &gt;&gt; </w:t>
      </w:r>
      <w:r>
        <w:rPr>
          <w:rFonts w:hint="cs"/>
          <w:rtl/>
        </w:rPr>
        <w:t>שר במשרד החינוך חיים ביטון:</w:t>
      </w:r>
      <w:r>
        <w:rPr>
          <w:rStyle w:val="TagStyle"/>
          <w:rtl/>
        </w:rPr>
        <w:t xml:space="preserve"> &lt;&lt; קריאה &gt;&gt;</w:t>
      </w:r>
      <w:r>
        <w:rPr>
          <w:rFonts w:hint="cs"/>
          <w:rtl/>
        </w:rPr>
        <w:t xml:space="preserve">   </w:t>
      </w:r>
      <w:bookmarkEnd w:id="65823"/>
    </w:p>
    <w:p w:rsidR="00BB59CD" w:rsidRDefault="00BB59CD" w:rsidP="00337201">
      <w:pPr>
        <w:rPr>
          <w:rtl/>
        </w:rPr>
      </w:pPr>
    </w:p>
    <w:p w:rsidR="00BB59CD" w:rsidRDefault="00BB59CD" w:rsidP="00B001AD">
      <w:pPr>
        <w:rPr>
          <w:rtl/>
        </w:rPr>
      </w:pPr>
      <w:bookmarkStart w:id="65824" w:name="_ETM_Q116_709698"/>
      <w:bookmarkEnd w:id="65824"/>
      <w:r>
        <w:rPr>
          <w:rFonts w:hint="cs"/>
          <w:rtl/>
        </w:rPr>
        <w:t xml:space="preserve">אני לא איכנס, אני רק </w:t>
      </w:r>
      <w:bookmarkStart w:id="65825" w:name="_ETM_Q116_709411"/>
      <w:bookmarkEnd w:id="65825"/>
      <w:r>
        <w:rPr>
          <w:rFonts w:hint="cs"/>
          <w:rtl/>
        </w:rPr>
        <w:t>אומר לך: ועדה ציבורית שקובעת העלאת שכר לחברי הכנסת זה דבר אחד.</w:t>
      </w:r>
      <w:bookmarkStart w:id="65826" w:name="_ETM_Q116_715284"/>
      <w:bookmarkEnd w:id="65826"/>
      <w:r>
        <w:rPr>
          <w:rFonts w:hint="cs"/>
          <w:rtl/>
        </w:rPr>
        <w:t xml:space="preserve"> ועדה ציבורית ש</w:t>
      </w:r>
      <w:r w:rsidR="00B001AD">
        <w:rPr>
          <w:rFonts w:hint="cs"/>
          <w:rtl/>
        </w:rPr>
        <w:t>תקבע</w:t>
      </w:r>
      <w:r>
        <w:rPr>
          <w:rFonts w:hint="cs"/>
          <w:rtl/>
        </w:rPr>
        <w:t xml:space="preserve"> שככלל שלא יעלו את השכר </w:t>
      </w:r>
      <w:bookmarkStart w:id="65827" w:name="_ETM_Q116_718815"/>
      <w:bookmarkEnd w:id="65827"/>
      <w:r w:rsidR="00B001AD">
        <w:rPr>
          <w:rFonts w:hint="cs"/>
          <w:rtl/>
        </w:rPr>
        <w:t>ב</w:t>
      </w:r>
      <w:r>
        <w:rPr>
          <w:rFonts w:hint="cs"/>
          <w:rtl/>
        </w:rPr>
        <w:t xml:space="preserve">-300 שקלים, המציאות תהיה שהמעונות </w:t>
      </w:r>
      <w:r w:rsidR="00B001AD">
        <w:rPr>
          <w:rFonts w:hint="cs"/>
          <w:rtl/>
        </w:rPr>
        <w:t>ייסגרו</w:t>
      </w:r>
      <w:r>
        <w:rPr>
          <w:rFonts w:hint="cs"/>
          <w:rtl/>
        </w:rPr>
        <w:t xml:space="preserve">, אז </w:t>
      </w:r>
      <w:bookmarkStart w:id="65828" w:name="_ETM_Q116_730457"/>
      <w:bookmarkEnd w:id="65828"/>
      <w:r>
        <w:rPr>
          <w:rFonts w:hint="cs"/>
          <w:rtl/>
        </w:rPr>
        <w:t xml:space="preserve">כאן – </w:t>
      </w:r>
      <w:bookmarkStart w:id="65829" w:name="_ETM_Q116_722763"/>
      <w:bookmarkEnd w:id="65829"/>
      <w:r>
        <w:rPr>
          <w:rFonts w:hint="cs"/>
          <w:rtl/>
        </w:rPr>
        <w:t>ואז היא הביאה 900 שקלים - - -</w:t>
      </w:r>
    </w:p>
    <w:p w:rsidR="00BB59CD" w:rsidRDefault="00BB59CD" w:rsidP="00BB59CD">
      <w:pPr>
        <w:rPr>
          <w:rtl/>
        </w:rPr>
      </w:pPr>
      <w:bookmarkStart w:id="65830" w:name="_ETM_Q116_728138"/>
      <w:bookmarkStart w:id="65831" w:name="_ETM_Q116_728256"/>
      <w:bookmarkStart w:id="65832" w:name="_ETM_Q116_728313"/>
      <w:bookmarkStart w:id="65833" w:name="_ETM_Q116_728419"/>
      <w:bookmarkEnd w:id="65830"/>
      <w:bookmarkEnd w:id="65831"/>
      <w:bookmarkEnd w:id="65832"/>
      <w:bookmarkEnd w:id="65833"/>
    </w:p>
    <w:p w:rsidR="00BB59CD" w:rsidRDefault="00BB59CD" w:rsidP="00BB59CD">
      <w:pPr>
        <w:pStyle w:val="-"/>
        <w:keepNext/>
        <w:rPr>
          <w:rtl/>
        </w:rPr>
      </w:pPr>
      <w:bookmarkStart w:id="65834" w:name="ET_speakercontinue_6361_66"/>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834"/>
    </w:p>
    <w:p w:rsidR="00BB59CD" w:rsidRDefault="00BB59CD" w:rsidP="00337201">
      <w:pPr>
        <w:rPr>
          <w:rtl/>
        </w:rPr>
      </w:pPr>
    </w:p>
    <w:p w:rsidR="00BB59CD" w:rsidRDefault="00BB59CD" w:rsidP="00BB59CD">
      <w:pPr>
        <w:rPr>
          <w:rtl/>
        </w:rPr>
      </w:pPr>
      <w:bookmarkStart w:id="65835" w:name="_ETM_Q116_729364"/>
      <w:bookmarkEnd w:id="65835"/>
      <w:r>
        <w:rPr>
          <w:rFonts w:hint="cs"/>
          <w:rtl/>
        </w:rPr>
        <w:t xml:space="preserve">טוב. בקיצור, משלמים </w:t>
      </w:r>
      <w:bookmarkStart w:id="65836" w:name="_ETM_Q116_732620"/>
      <w:bookmarkEnd w:id="65836"/>
      <w:r>
        <w:rPr>
          <w:rFonts w:hint="cs"/>
          <w:rtl/>
        </w:rPr>
        <w:t xml:space="preserve">500 שקלים יותר. לא יודע, מה שנקרא </w:t>
      </w:r>
      <w:r>
        <w:t xml:space="preserve">long story </w:t>
      </w:r>
      <w:bookmarkStart w:id="65837" w:name="_ETM_Q116_735686"/>
      <w:bookmarkEnd w:id="65837"/>
      <w:r>
        <w:t>short</w:t>
      </w:r>
      <w:r>
        <w:rPr>
          <w:rFonts w:hint="cs"/>
          <w:rtl/>
        </w:rPr>
        <w:t xml:space="preserve">. </w:t>
      </w:r>
      <w:bookmarkStart w:id="65838" w:name="_ETM_Q116_731164"/>
      <w:bookmarkEnd w:id="65838"/>
    </w:p>
    <w:p w:rsidR="00BB59CD" w:rsidRDefault="00BB59CD" w:rsidP="00BB59CD">
      <w:pPr>
        <w:rPr>
          <w:rtl/>
        </w:rPr>
      </w:pPr>
      <w:bookmarkStart w:id="65839" w:name="_ETM_Q116_731294"/>
      <w:bookmarkStart w:id="65840" w:name="_ETM_Q116_731320"/>
      <w:bookmarkStart w:id="65841" w:name="_ETM_Q116_731433"/>
      <w:bookmarkEnd w:id="65839"/>
      <w:bookmarkEnd w:id="65840"/>
      <w:bookmarkEnd w:id="65841"/>
    </w:p>
    <w:p w:rsidR="00BB59CD" w:rsidRDefault="00BB59CD" w:rsidP="00BB59CD">
      <w:pPr>
        <w:pStyle w:val="af8"/>
        <w:keepNext/>
        <w:rPr>
          <w:rtl/>
        </w:rPr>
      </w:pPr>
      <w:bookmarkStart w:id="65842" w:name="ET_interruption_6426_67"/>
      <w:r>
        <w:rPr>
          <w:rStyle w:val="TagStyle"/>
          <w:rFonts w:hint="cs"/>
          <w:rtl/>
        </w:rPr>
        <w:t xml:space="preserve"> &lt;&lt; קריאה &gt;&gt; </w:t>
      </w:r>
      <w:r>
        <w:rPr>
          <w:rFonts w:hint="cs"/>
          <w:rtl/>
        </w:rPr>
        <w:t>שר במשרד החינוך חיים ביטון:</w:t>
      </w:r>
      <w:r>
        <w:rPr>
          <w:rStyle w:val="TagStyle"/>
          <w:rtl/>
        </w:rPr>
        <w:t xml:space="preserve"> &lt;&lt; קריאה &gt;&gt;</w:t>
      </w:r>
      <w:r>
        <w:rPr>
          <w:rFonts w:hint="cs"/>
          <w:rtl/>
        </w:rPr>
        <w:t xml:space="preserve">   </w:t>
      </w:r>
      <w:bookmarkEnd w:id="65842"/>
    </w:p>
    <w:p w:rsidR="00BB59CD" w:rsidRDefault="00BB59CD" w:rsidP="00337201">
      <w:pPr>
        <w:rPr>
          <w:rtl/>
        </w:rPr>
      </w:pPr>
    </w:p>
    <w:p w:rsidR="00BB59CD" w:rsidRDefault="00BB59CD" w:rsidP="00BB59CD">
      <w:pPr>
        <w:rPr>
          <w:rtl/>
        </w:rPr>
      </w:pPr>
      <w:bookmarkStart w:id="65843" w:name="_ETM_Q116_737358"/>
      <w:bookmarkEnd w:id="65843"/>
      <w:r>
        <w:rPr>
          <w:rFonts w:hint="cs"/>
          <w:rtl/>
        </w:rPr>
        <w:t>איך?</w:t>
      </w:r>
    </w:p>
    <w:p w:rsidR="00BB59CD" w:rsidRDefault="00BB59CD" w:rsidP="00BB59CD">
      <w:pPr>
        <w:rPr>
          <w:rtl/>
        </w:rPr>
      </w:pPr>
      <w:bookmarkStart w:id="65844" w:name="_ETM_Q116_733194"/>
      <w:bookmarkStart w:id="65845" w:name="_ETM_Q116_733310"/>
      <w:bookmarkEnd w:id="65844"/>
      <w:bookmarkEnd w:id="65845"/>
    </w:p>
    <w:p w:rsidR="00BB59CD" w:rsidRDefault="00BB59CD" w:rsidP="00BB59CD">
      <w:pPr>
        <w:pStyle w:val="-"/>
        <w:keepNext/>
        <w:rPr>
          <w:rtl/>
        </w:rPr>
      </w:pPr>
      <w:bookmarkStart w:id="65846" w:name="_ETM_Q116_733353"/>
      <w:bookmarkStart w:id="65847" w:name="_ETM_Q116_733453"/>
      <w:bookmarkStart w:id="65848" w:name="ET_speakercontinue_6361_68"/>
      <w:bookmarkEnd w:id="65846"/>
      <w:bookmarkEnd w:id="6584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848"/>
    </w:p>
    <w:p w:rsidR="00BB59CD" w:rsidRDefault="00BB59CD" w:rsidP="00337201">
      <w:pPr>
        <w:rPr>
          <w:rtl/>
        </w:rPr>
      </w:pPr>
    </w:p>
    <w:p w:rsidR="00BB59CD" w:rsidRDefault="00BB59CD" w:rsidP="00BB59CD">
      <w:pPr>
        <w:rPr>
          <w:rtl/>
        </w:rPr>
      </w:pPr>
      <w:bookmarkStart w:id="65849" w:name="_ETM_Q116_734442"/>
      <w:bookmarkEnd w:id="65849"/>
      <w:r>
        <w:rPr>
          <w:rFonts w:hint="cs"/>
          <w:rtl/>
        </w:rPr>
        <w:t xml:space="preserve">כי ככה, מעלים ב-500 שקלים למפוקחים. מה </w:t>
      </w:r>
      <w:bookmarkStart w:id="65850" w:name="_ETM_Q116_736784"/>
      <w:bookmarkEnd w:id="65850"/>
      <w:r>
        <w:rPr>
          <w:rFonts w:hint="cs"/>
          <w:rtl/>
        </w:rPr>
        <w:t xml:space="preserve">אני אעשה? זה אתם שחררתם את הטבלה. אני מקריא מהטבלה. </w:t>
      </w:r>
      <w:bookmarkStart w:id="65851" w:name="_ETM_Q116_745576"/>
      <w:bookmarkStart w:id="65852" w:name="_ETM_Q116_751978"/>
      <w:bookmarkEnd w:id="65851"/>
      <w:bookmarkEnd w:id="65852"/>
    </w:p>
    <w:p w:rsidR="00BB59CD" w:rsidRDefault="00BB59CD" w:rsidP="00BB59CD">
      <w:pPr>
        <w:rPr>
          <w:rtl/>
        </w:rPr>
      </w:pPr>
      <w:bookmarkStart w:id="65853" w:name="_ETM_Q116_752094"/>
      <w:bookmarkEnd w:id="65853"/>
    </w:p>
    <w:p w:rsidR="00BB59CD" w:rsidRDefault="00BB59CD" w:rsidP="00BB59CD">
      <w:pPr>
        <w:pStyle w:val="af8"/>
        <w:keepNext/>
        <w:rPr>
          <w:rtl/>
        </w:rPr>
      </w:pPr>
      <w:bookmarkStart w:id="65854" w:name="_ETM_Q116_752167"/>
      <w:bookmarkStart w:id="65855" w:name="_ETM_Q116_752264"/>
      <w:bookmarkStart w:id="65856" w:name="ET_interruption_6426_76"/>
      <w:bookmarkEnd w:id="65854"/>
      <w:bookmarkEnd w:id="65855"/>
      <w:r>
        <w:rPr>
          <w:rStyle w:val="TagStyle"/>
          <w:rFonts w:hint="cs"/>
          <w:rtl/>
        </w:rPr>
        <w:t xml:space="preserve">&lt;&lt; קריאה &gt;&gt; </w:t>
      </w:r>
      <w:r>
        <w:rPr>
          <w:rFonts w:hint="cs"/>
          <w:rtl/>
        </w:rPr>
        <w:t>שר במשרד החינוך חיים ביטון:</w:t>
      </w:r>
      <w:r>
        <w:rPr>
          <w:rStyle w:val="TagStyle"/>
          <w:rtl/>
        </w:rPr>
        <w:t xml:space="preserve"> &lt;&lt; קריאה &gt;&gt;</w:t>
      </w:r>
      <w:bookmarkEnd w:id="65856"/>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ההורים – </w:t>
      </w:r>
      <w:bookmarkStart w:id="65857" w:name="_ETM_Q116_744462"/>
      <w:bookmarkEnd w:id="65857"/>
      <w:r>
        <w:rPr>
          <w:rFonts w:hint="cs"/>
          <w:rtl/>
        </w:rPr>
        <w:t xml:space="preserve">החזירו להם 940 שקל, והם הורידו 300, זה </w:t>
      </w:r>
      <w:bookmarkStart w:id="65858" w:name="_ETM_Q116_749807"/>
      <w:bookmarkEnd w:id="65858"/>
      <w:r>
        <w:rPr>
          <w:rFonts w:hint="cs"/>
          <w:rtl/>
        </w:rPr>
        <w:t xml:space="preserve">640. תבדוק. </w:t>
      </w:r>
    </w:p>
    <w:p w:rsidR="00BB59CD" w:rsidRDefault="00BB59CD" w:rsidP="00BB59CD">
      <w:pPr>
        <w:rPr>
          <w:rtl/>
        </w:rPr>
      </w:pPr>
    </w:p>
    <w:p w:rsidR="00BB59CD" w:rsidRDefault="00BB59CD" w:rsidP="00BB59CD">
      <w:pPr>
        <w:pStyle w:val="-"/>
        <w:keepNext/>
        <w:rPr>
          <w:rtl/>
        </w:rPr>
      </w:pPr>
      <w:bookmarkStart w:id="65859" w:name="ET_speakercontinue_6361_6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859"/>
    </w:p>
    <w:p w:rsidR="00BB59CD" w:rsidRDefault="00BB59CD" w:rsidP="00337201">
      <w:pPr>
        <w:rPr>
          <w:rtl/>
        </w:rPr>
      </w:pPr>
    </w:p>
    <w:p w:rsidR="00BB59CD" w:rsidRDefault="00BB59CD" w:rsidP="00B001AD">
      <w:pPr>
        <w:rPr>
          <w:rtl/>
        </w:rPr>
      </w:pPr>
      <w:r>
        <w:rPr>
          <w:rFonts w:hint="cs"/>
          <w:rtl/>
        </w:rPr>
        <w:t xml:space="preserve">בסדר. אוקיי. אז אני מקריא מהטבלה שלכם, </w:t>
      </w:r>
      <w:bookmarkStart w:id="65860" w:name="_ETM_Q116_754451"/>
      <w:bookmarkEnd w:id="65860"/>
      <w:r>
        <w:rPr>
          <w:rFonts w:hint="cs"/>
          <w:rtl/>
        </w:rPr>
        <w:t xml:space="preserve">שבסוף יוצא 500 שקלים יותר. אתם נותנים את נקודות הזיכוי. </w:t>
      </w:r>
      <w:bookmarkStart w:id="65861" w:name="_ETM_Q116_759148"/>
      <w:bookmarkEnd w:id="65861"/>
      <w:r>
        <w:rPr>
          <w:rFonts w:hint="cs"/>
          <w:rtl/>
        </w:rPr>
        <w:t xml:space="preserve">אבל אני באמת חיכיתי למועצה לגיל הרך, שזה גם בסעיף </w:t>
      </w:r>
      <w:bookmarkStart w:id="65862" w:name="_ETM_Q116_762736"/>
      <w:bookmarkEnd w:id="65862"/>
      <w:r>
        <w:rPr>
          <w:rFonts w:hint="cs"/>
          <w:rtl/>
        </w:rPr>
        <w:t xml:space="preserve">הקואליציוני של המפלגה. </w:t>
      </w:r>
      <w:bookmarkStart w:id="65863" w:name="TOR_Q117"/>
      <w:bookmarkStart w:id="65864" w:name="_ETM_Q117_180000"/>
      <w:bookmarkEnd w:id="65863"/>
      <w:bookmarkEnd w:id="65864"/>
      <w:r>
        <w:rPr>
          <w:rFonts w:hint="cs"/>
          <w:rtl/>
        </w:rPr>
        <w:t>איזו מפלגה? סעיף 126. איזה מפלגה הכניסה את זה</w:t>
      </w:r>
      <w:r w:rsidR="00B001AD">
        <w:rPr>
          <w:rFonts w:hint="cs"/>
          <w:rtl/>
        </w:rPr>
        <w:t>,</w:t>
      </w:r>
      <w:r>
        <w:rPr>
          <w:rFonts w:hint="cs"/>
          <w:rtl/>
        </w:rPr>
        <w:t xml:space="preserve"> וכל הכבוד לה, שהכניסה </w:t>
      </w:r>
      <w:bookmarkStart w:id="65865" w:name="_ETM_Q117_173583"/>
      <w:bookmarkEnd w:id="65865"/>
      <w:r>
        <w:rPr>
          <w:rFonts w:hint="cs"/>
          <w:rtl/>
        </w:rPr>
        <w:t>את הגיל הרך ושמה אותו על ראש שמחתה</w:t>
      </w:r>
      <w:r w:rsidR="00B001AD">
        <w:rPr>
          <w:rFonts w:hint="cs"/>
          <w:rtl/>
        </w:rPr>
        <w:t>?</w:t>
      </w:r>
      <w:r>
        <w:rPr>
          <w:rFonts w:hint="cs"/>
          <w:rtl/>
        </w:rPr>
        <w:t xml:space="preserve"> ניחושים מהקהל? ש"ס. מה </w:t>
      </w:r>
      <w:bookmarkStart w:id="65866" w:name="_ETM_Q117_181517"/>
      <w:bookmarkEnd w:id="65866"/>
      <w:r>
        <w:rPr>
          <w:rFonts w:hint="cs"/>
          <w:rtl/>
        </w:rPr>
        <w:t>קורה עם זה?</w:t>
      </w:r>
    </w:p>
    <w:p w:rsidR="00BB59CD" w:rsidRDefault="00BB59CD" w:rsidP="00BB59CD">
      <w:pPr>
        <w:pStyle w:val="ETSpeechToText"/>
        <w:rPr>
          <w:rtl/>
        </w:rPr>
      </w:pPr>
    </w:p>
    <w:p w:rsidR="00BB59CD" w:rsidRDefault="00BB59CD" w:rsidP="00BB59CD">
      <w:pPr>
        <w:pStyle w:val="af8"/>
        <w:keepNext/>
        <w:rPr>
          <w:rtl/>
        </w:rPr>
      </w:pPr>
      <w:bookmarkStart w:id="65867" w:name="ET_interruption_6426_1"/>
      <w:r>
        <w:rPr>
          <w:rStyle w:val="TagStyle"/>
          <w:rFonts w:hint="cs"/>
          <w:rtl/>
        </w:rPr>
        <w:t xml:space="preserve">&lt;&lt; קריאה &gt;&gt; </w:t>
      </w:r>
      <w:r>
        <w:rPr>
          <w:rFonts w:hint="cs"/>
          <w:rtl/>
        </w:rPr>
        <w:t>שר במשרד החינוך חיים ביטון:</w:t>
      </w:r>
      <w:r>
        <w:rPr>
          <w:rStyle w:val="TagStyle"/>
          <w:rtl/>
        </w:rPr>
        <w:t xml:space="preserve"> &lt;&lt; קריאה &gt;&gt;</w:t>
      </w:r>
      <w:r>
        <w:rPr>
          <w:rFonts w:hint="cs"/>
          <w:rtl/>
        </w:rPr>
        <w:t xml:space="preserve">   </w:t>
      </w:r>
      <w:bookmarkEnd w:id="65867"/>
    </w:p>
    <w:p w:rsidR="00BB59CD" w:rsidRDefault="00BB59CD" w:rsidP="00337201">
      <w:pPr>
        <w:rPr>
          <w:rtl/>
          <w:lang w:eastAsia="he-IL"/>
        </w:rPr>
      </w:pPr>
    </w:p>
    <w:p w:rsidR="00BB59CD" w:rsidRDefault="00BB59CD" w:rsidP="00BB59CD">
      <w:pPr>
        <w:rPr>
          <w:rtl/>
          <w:lang w:eastAsia="he-IL"/>
        </w:rPr>
      </w:pPr>
      <w:r>
        <w:rPr>
          <w:rFonts w:hint="cs"/>
          <w:rtl/>
          <w:lang w:eastAsia="he-IL"/>
        </w:rPr>
        <w:t>יגיע, בעזרת השם.</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BB59CD">
      <w:pPr>
        <w:rPr>
          <w:rtl/>
        </w:rPr>
      </w:pPr>
    </w:p>
    <w:p w:rsidR="00BB59CD" w:rsidRDefault="00BB59CD" w:rsidP="00BB59CD">
      <w:pPr>
        <w:rPr>
          <w:rtl/>
        </w:rPr>
      </w:pPr>
      <w:r>
        <w:rPr>
          <w:rFonts w:hint="cs"/>
          <w:rtl/>
        </w:rPr>
        <w:t>איזה עזרת השם? עכשיו אנחנו צריכים את זה.</w:t>
      </w:r>
    </w:p>
    <w:p w:rsidR="00BB59CD" w:rsidRDefault="00BB59CD" w:rsidP="00BB59CD">
      <w:pPr>
        <w:rPr>
          <w:rtl/>
        </w:rPr>
      </w:pPr>
    </w:p>
    <w:p w:rsidR="00BB59CD" w:rsidRDefault="00BB59CD" w:rsidP="00BB59CD">
      <w:pPr>
        <w:pStyle w:val="af8"/>
        <w:keepNext/>
        <w:rPr>
          <w:rtl/>
        </w:rPr>
      </w:pPr>
      <w:r>
        <w:rPr>
          <w:rStyle w:val="TagStyle"/>
          <w:rFonts w:hint="cs"/>
          <w:rtl/>
        </w:rPr>
        <w:t xml:space="preserve">&lt;&lt; קריאה &gt;&gt; </w:t>
      </w:r>
      <w:r>
        <w:rPr>
          <w:rFonts w:hint="cs"/>
          <w:rtl/>
        </w:rPr>
        <w:t>שר במשרד החינוך חיים ביטון:</w:t>
      </w:r>
      <w:r>
        <w:rPr>
          <w:rStyle w:val="TagStyle"/>
          <w:rtl/>
        </w:rPr>
        <w:t xml:space="preserve"> &lt;&lt; קריאה &gt;&gt;</w:t>
      </w:r>
      <w:r>
        <w:rPr>
          <w:rFonts w:hint="cs"/>
          <w:rtl/>
        </w:rPr>
        <w:t xml:space="preserve">   </w:t>
      </w:r>
    </w:p>
    <w:p w:rsidR="00BB59CD" w:rsidRDefault="00BB59CD" w:rsidP="00BB59CD">
      <w:pPr>
        <w:rPr>
          <w:rtl/>
        </w:rPr>
      </w:pPr>
    </w:p>
    <w:p w:rsidR="00BB59CD" w:rsidRDefault="00BB59CD" w:rsidP="00BB59CD">
      <w:pPr>
        <w:rPr>
          <w:rtl/>
        </w:rPr>
      </w:pPr>
      <w:r>
        <w:rPr>
          <w:rFonts w:hint="cs"/>
          <w:rtl/>
        </w:rPr>
        <w:t>אתה יודע מה זה הסכם קואליציוני?</w:t>
      </w:r>
    </w:p>
    <w:p w:rsidR="00BB59CD" w:rsidRDefault="00BB59CD" w:rsidP="00BB59CD">
      <w:pPr>
        <w:rPr>
          <w:rtl/>
        </w:rPr>
      </w:pPr>
      <w:bookmarkStart w:id="65868" w:name="_ETM_Q117_189116"/>
      <w:bookmarkStart w:id="65869" w:name="_ETM_Q117_189198"/>
      <w:bookmarkEnd w:id="65868"/>
      <w:bookmarkEnd w:id="65869"/>
    </w:p>
    <w:p w:rsidR="00BB59CD" w:rsidRDefault="00BB59CD" w:rsidP="00BB59CD">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w:t>
      </w:r>
      <w:bookmarkStart w:id="65870" w:name="_ETM_Q117_189465"/>
      <w:bookmarkEnd w:id="65870"/>
      <w:r>
        <w:rPr>
          <w:rFonts w:hint="cs"/>
          <w:rtl/>
          <w:lang w:eastAsia="he-IL"/>
        </w:rPr>
        <w:t>חושב שאנחנו קיימנו הכי הרבה סעיפים בהסכם הקואליציוני ביחס לאחרים.</w:t>
      </w:r>
    </w:p>
    <w:p w:rsidR="00BB59CD" w:rsidRDefault="00BB59CD" w:rsidP="00BB59CD">
      <w:pPr>
        <w:rPr>
          <w:rtl/>
          <w:lang w:eastAsia="he-IL"/>
        </w:rPr>
      </w:pPr>
    </w:p>
    <w:p w:rsidR="00BB59CD" w:rsidRDefault="00BB59CD" w:rsidP="00BB59CD">
      <w:pPr>
        <w:pStyle w:val="-"/>
        <w:keepNext/>
        <w:rPr>
          <w:rtl/>
        </w:rPr>
      </w:pPr>
      <w:bookmarkStart w:id="65871" w:name="ET_speakercontinue_6361_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65871"/>
    </w:p>
    <w:p w:rsidR="00BB59CD" w:rsidRDefault="00BB59CD" w:rsidP="00BB59CD">
      <w:pPr>
        <w:rPr>
          <w:rtl/>
        </w:rPr>
      </w:pPr>
    </w:p>
    <w:p w:rsidR="00BB59CD" w:rsidRDefault="00BB59CD" w:rsidP="00DB1905">
      <w:pPr>
        <w:rPr>
          <w:rtl/>
        </w:rPr>
      </w:pPr>
      <w:r>
        <w:rPr>
          <w:rFonts w:hint="cs"/>
          <w:rtl/>
        </w:rPr>
        <w:t xml:space="preserve">כן? אז אתה </w:t>
      </w:r>
      <w:bookmarkStart w:id="65872" w:name="_ETM_Q117_193419"/>
      <w:bookmarkEnd w:id="65872"/>
      <w:r>
        <w:rPr>
          <w:rFonts w:hint="cs"/>
          <w:rtl/>
        </w:rPr>
        <w:t xml:space="preserve">תיכנס </w:t>
      </w:r>
      <w:bookmarkStart w:id="65873" w:name="_ETM_Q117_193839"/>
      <w:bookmarkEnd w:id="65873"/>
      <w:r>
        <w:rPr>
          <w:rFonts w:hint="cs"/>
          <w:rtl/>
        </w:rPr>
        <w:t xml:space="preserve">גם </w:t>
      </w:r>
      <w:bookmarkStart w:id="65874" w:name="_ETM_Q117_194079"/>
      <w:bookmarkEnd w:id="65874"/>
      <w:r>
        <w:rPr>
          <w:rFonts w:hint="cs"/>
          <w:rtl/>
        </w:rPr>
        <w:t xml:space="preserve">בשלוש </w:t>
      </w:r>
      <w:bookmarkStart w:id="65875" w:name="_ETM_Q117_194409"/>
      <w:bookmarkEnd w:id="65875"/>
      <w:r>
        <w:rPr>
          <w:rFonts w:hint="cs"/>
          <w:rtl/>
        </w:rPr>
        <w:t xml:space="preserve">דקות </w:t>
      </w:r>
      <w:bookmarkStart w:id="65876" w:name="_ETM_Q117_194740"/>
      <w:bookmarkEnd w:id="65876"/>
      <w:r>
        <w:rPr>
          <w:rFonts w:hint="cs"/>
          <w:rtl/>
        </w:rPr>
        <w:t xml:space="preserve">פרגון </w:t>
      </w:r>
      <w:bookmarkStart w:id="65877" w:name="_ETM_Q117_195099"/>
      <w:bookmarkEnd w:id="65877"/>
      <w:r>
        <w:rPr>
          <w:rFonts w:hint="cs"/>
          <w:rtl/>
        </w:rPr>
        <w:t xml:space="preserve">שלי – </w:t>
      </w:r>
      <w:bookmarkStart w:id="65878" w:name="_ETM_Q117_195910"/>
      <w:bookmarkEnd w:id="65878"/>
      <w:r>
        <w:rPr>
          <w:rFonts w:hint="cs"/>
          <w:rtl/>
        </w:rPr>
        <w:t xml:space="preserve">למרות </w:t>
      </w:r>
      <w:bookmarkStart w:id="65879" w:name="_ETM_Q117_196150"/>
      <w:bookmarkEnd w:id="65879"/>
      <w:r>
        <w:rPr>
          <w:rFonts w:hint="cs"/>
          <w:rtl/>
        </w:rPr>
        <w:t xml:space="preserve">שאני </w:t>
      </w:r>
      <w:bookmarkStart w:id="65880" w:name="_ETM_Q117_196360"/>
      <w:bookmarkEnd w:id="65880"/>
      <w:r>
        <w:rPr>
          <w:rFonts w:hint="cs"/>
          <w:rtl/>
        </w:rPr>
        <w:t xml:space="preserve">מאוד </w:t>
      </w:r>
      <w:bookmarkStart w:id="65881" w:name="_ETM_Q117_196600"/>
      <w:bookmarkEnd w:id="65881"/>
      <w:r>
        <w:rPr>
          <w:rFonts w:hint="cs"/>
          <w:rtl/>
        </w:rPr>
        <w:t xml:space="preserve">רציתי </w:t>
      </w:r>
      <w:bookmarkStart w:id="65882" w:name="_ETM_Q117_196930"/>
      <w:bookmarkEnd w:id="65882"/>
      <w:r>
        <w:rPr>
          <w:rFonts w:hint="cs"/>
          <w:rtl/>
        </w:rPr>
        <w:t xml:space="preserve">לפרגן </w:t>
      </w:r>
      <w:bookmarkStart w:id="65883" w:name="_ETM_Q117_197289"/>
      <w:bookmarkEnd w:id="65883"/>
      <w:r>
        <w:rPr>
          <w:rFonts w:hint="cs"/>
          <w:rtl/>
        </w:rPr>
        <w:t xml:space="preserve">לדודי </w:t>
      </w:r>
      <w:bookmarkStart w:id="65884" w:name="_ETM_Q117_197590"/>
      <w:bookmarkEnd w:id="65884"/>
      <w:r>
        <w:rPr>
          <w:rFonts w:hint="cs"/>
          <w:rtl/>
        </w:rPr>
        <w:t xml:space="preserve">אמסלם, </w:t>
      </w:r>
      <w:bookmarkStart w:id="65885" w:name="_ETM_Q117_198010"/>
      <w:bookmarkEnd w:id="65885"/>
      <w:r>
        <w:rPr>
          <w:rFonts w:hint="cs"/>
          <w:rtl/>
        </w:rPr>
        <w:t xml:space="preserve">אבל </w:t>
      </w:r>
      <w:bookmarkStart w:id="65886" w:name="_ETM_Q117_198220"/>
      <w:bookmarkEnd w:id="65886"/>
      <w:r>
        <w:rPr>
          <w:rFonts w:hint="cs"/>
          <w:rtl/>
        </w:rPr>
        <w:t xml:space="preserve">אני </w:t>
      </w:r>
      <w:bookmarkStart w:id="65887" w:name="_ETM_Q117_198400"/>
      <w:bookmarkEnd w:id="65887"/>
      <w:r>
        <w:rPr>
          <w:rFonts w:hint="cs"/>
          <w:rtl/>
        </w:rPr>
        <w:t xml:space="preserve">אתן </w:t>
      </w:r>
      <w:bookmarkStart w:id="65888" w:name="_ETM_Q117_198700"/>
      <w:bookmarkEnd w:id="65888"/>
      <w:r>
        <w:rPr>
          <w:rFonts w:hint="cs"/>
          <w:rtl/>
        </w:rPr>
        <w:t xml:space="preserve">לכם </w:t>
      </w:r>
      <w:bookmarkStart w:id="65889" w:name="_ETM_Q117_199000"/>
      <w:bookmarkEnd w:id="65889"/>
      <w:r>
        <w:rPr>
          <w:rFonts w:hint="cs"/>
          <w:rtl/>
        </w:rPr>
        <w:t xml:space="preserve">גם </w:t>
      </w:r>
      <w:bookmarkStart w:id="65890" w:name="_ETM_Q117_199239"/>
      <w:bookmarkEnd w:id="65890"/>
      <w:r>
        <w:rPr>
          <w:rFonts w:hint="cs"/>
          <w:rtl/>
        </w:rPr>
        <w:t xml:space="preserve">איזה </w:t>
      </w:r>
      <w:bookmarkStart w:id="65891" w:name="_ETM_Q117_199420"/>
      <w:bookmarkEnd w:id="65891"/>
      <w:r>
        <w:rPr>
          <w:rFonts w:hint="cs"/>
          <w:rtl/>
        </w:rPr>
        <w:t xml:space="preserve">דקה </w:t>
      </w:r>
      <w:bookmarkStart w:id="65892" w:name="_ETM_Q117_199660"/>
      <w:bookmarkEnd w:id="65892"/>
      <w:r>
        <w:rPr>
          <w:rFonts w:hint="cs"/>
          <w:rtl/>
        </w:rPr>
        <w:t xml:space="preserve">פרגון, </w:t>
      </w:r>
      <w:bookmarkStart w:id="65893" w:name="_ETM_Q117_200230"/>
      <w:bookmarkEnd w:id="65893"/>
      <w:r>
        <w:rPr>
          <w:rFonts w:hint="cs"/>
          <w:rtl/>
        </w:rPr>
        <w:t xml:space="preserve">בסדר? </w:t>
      </w:r>
      <w:bookmarkStart w:id="65894" w:name="_ETM_Q117_201369"/>
      <w:bookmarkEnd w:id="65894"/>
      <w:r>
        <w:rPr>
          <w:rFonts w:hint="cs"/>
          <w:rtl/>
        </w:rPr>
        <w:t xml:space="preserve">אז </w:t>
      </w:r>
      <w:bookmarkStart w:id="65895" w:name="_ETM_Q117_201520"/>
      <w:bookmarkEnd w:id="65895"/>
      <w:r>
        <w:rPr>
          <w:rFonts w:hint="cs"/>
          <w:rtl/>
        </w:rPr>
        <w:t xml:space="preserve">תודה </w:t>
      </w:r>
      <w:bookmarkStart w:id="65896" w:name="_ETM_Q117_201790"/>
      <w:bookmarkEnd w:id="65896"/>
      <w:r>
        <w:rPr>
          <w:rFonts w:hint="cs"/>
          <w:rtl/>
        </w:rPr>
        <w:t xml:space="preserve">רבה </w:t>
      </w:r>
      <w:bookmarkStart w:id="65897" w:name="_ETM_Q117_202000"/>
      <w:bookmarkEnd w:id="65897"/>
      <w:r>
        <w:rPr>
          <w:rFonts w:hint="cs"/>
          <w:rtl/>
        </w:rPr>
        <w:t xml:space="preserve">על </w:t>
      </w:r>
      <w:bookmarkStart w:id="65898" w:name="_ETM_Q117_202060"/>
      <w:bookmarkEnd w:id="65898"/>
      <w:r>
        <w:rPr>
          <w:rFonts w:hint="cs"/>
          <w:rtl/>
        </w:rPr>
        <w:t xml:space="preserve">זה </w:t>
      </w:r>
      <w:bookmarkStart w:id="65899" w:name="_ETM_Q117_202210"/>
      <w:bookmarkEnd w:id="65899"/>
      <w:r>
        <w:rPr>
          <w:rFonts w:hint="cs"/>
          <w:rtl/>
        </w:rPr>
        <w:t xml:space="preserve">שהקמתם </w:t>
      </w:r>
      <w:bookmarkStart w:id="65900" w:name="_ETM_Q117_202660"/>
      <w:bookmarkEnd w:id="65900"/>
      <w:r>
        <w:rPr>
          <w:rFonts w:hint="cs"/>
          <w:rtl/>
        </w:rPr>
        <w:t xml:space="preserve">את </w:t>
      </w:r>
      <w:bookmarkStart w:id="65901" w:name="_ETM_Q117_202720"/>
      <w:bookmarkEnd w:id="65901"/>
      <w:r>
        <w:rPr>
          <w:rFonts w:hint="cs"/>
          <w:rtl/>
        </w:rPr>
        <w:t xml:space="preserve">הרשות </w:t>
      </w:r>
      <w:bookmarkStart w:id="65902" w:name="_ETM_Q117_203050"/>
      <w:bookmarkEnd w:id="65902"/>
      <w:r>
        <w:rPr>
          <w:rFonts w:hint="cs"/>
          <w:rtl/>
        </w:rPr>
        <w:t xml:space="preserve">לגיל הרך, וזו </w:t>
      </w:r>
      <w:bookmarkStart w:id="65903" w:name="_ETM_Q117_203739"/>
      <w:bookmarkEnd w:id="65903"/>
      <w:r>
        <w:rPr>
          <w:rFonts w:hint="cs"/>
          <w:rtl/>
        </w:rPr>
        <w:t xml:space="preserve">גם </w:t>
      </w:r>
      <w:bookmarkStart w:id="65904" w:name="_ETM_Q117_203890"/>
      <w:bookmarkEnd w:id="65904"/>
      <w:r>
        <w:rPr>
          <w:rFonts w:hint="cs"/>
          <w:rtl/>
        </w:rPr>
        <w:t xml:space="preserve">הזדמנות </w:t>
      </w:r>
      <w:bookmarkStart w:id="65905" w:name="_ETM_Q117_204340"/>
      <w:bookmarkEnd w:id="65905"/>
      <w:r>
        <w:rPr>
          <w:rFonts w:hint="cs"/>
          <w:rtl/>
        </w:rPr>
        <w:t xml:space="preserve">מצוינת </w:t>
      </w:r>
      <w:bookmarkStart w:id="65906" w:name="_ETM_Q117_204910"/>
      <w:bookmarkEnd w:id="65906"/>
      <w:r>
        <w:rPr>
          <w:rFonts w:hint="cs"/>
          <w:rtl/>
        </w:rPr>
        <w:t xml:space="preserve">להזכיר </w:t>
      </w:r>
      <w:bookmarkStart w:id="65907" w:name="_ETM_Q117_205360"/>
      <w:bookmarkEnd w:id="65907"/>
      <w:r>
        <w:rPr>
          <w:rFonts w:hint="cs"/>
          <w:rtl/>
        </w:rPr>
        <w:t xml:space="preserve">ש-1 </w:t>
      </w:r>
      <w:bookmarkStart w:id="65908" w:name="_ETM_Q117_205750"/>
      <w:bookmarkEnd w:id="65908"/>
      <w:r>
        <w:rPr>
          <w:rFonts w:hint="cs"/>
          <w:rtl/>
        </w:rPr>
        <w:t xml:space="preserve">בספטמבר </w:t>
      </w:r>
      <w:bookmarkStart w:id="65909" w:name="_ETM_Q117_206079"/>
      <w:bookmarkEnd w:id="65909"/>
      <w:r>
        <w:rPr>
          <w:rFonts w:hint="cs"/>
          <w:rtl/>
        </w:rPr>
        <w:t xml:space="preserve">מגיע, </w:t>
      </w:r>
      <w:bookmarkStart w:id="65910" w:name="_ETM_Q117_206800"/>
      <w:bookmarkEnd w:id="65910"/>
      <w:r>
        <w:rPr>
          <w:rFonts w:hint="cs"/>
          <w:rtl/>
        </w:rPr>
        <w:t xml:space="preserve">והמשבר </w:t>
      </w:r>
      <w:bookmarkStart w:id="65911" w:name="_ETM_Q117_207369"/>
      <w:bookmarkEnd w:id="65911"/>
      <w:r>
        <w:rPr>
          <w:rFonts w:hint="cs"/>
          <w:rtl/>
        </w:rPr>
        <w:t xml:space="preserve">בעולם </w:t>
      </w:r>
      <w:bookmarkStart w:id="65912" w:name="_ETM_Q117_207730"/>
      <w:bookmarkEnd w:id="65912"/>
      <w:r>
        <w:rPr>
          <w:rFonts w:hint="cs"/>
          <w:rtl/>
        </w:rPr>
        <w:t xml:space="preserve">החינוך </w:t>
      </w:r>
      <w:bookmarkStart w:id="65913" w:name="_ETM_Q117_208240"/>
      <w:bookmarkEnd w:id="65913"/>
      <w:r>
        <w:rPr>
          <w:rFonts w:hint="cs"/>
          <w:rtl/>
        </w:rPr>
        <w:t xml:space="preserve">הוא משבר </w:t>
      </w:r>
      <w:bookmarkStart w:id="65914" w:name="_ETM_Q117_209869"/>
      <w:bookmarkEnd w:id="65914"/>
      <w:r>
        <w:rPr>
          <w:rFonts w:hint="cs"/>
          <w:rtl/>
        </w:rPr>
        <w:t xml:space="preserve">– הוא </w:t>
      </w:r>
      <w:bookmarkStart w:id="65915" w:name="_ETM_Q117_210560"/>
      <w:bookmarkEnd w:id="65915"/>
      <w:r>
        <w:rPr>
          <w:rFonts w:hint="cs"/>
          <w:rtl/>
        </w:rPr>
        <w:t xml:space="preserve">כאוס, לא </w:t>
      </w:r>
      <w:bookmarkStart w:id="65916" w:name="_ETM_Q117_210679"/>
      <w:bookmarkEnd w:id="65916"/>
      <w:r>
        <w:rPr>
          <w:rFonts w:hint="cs"/>
          <w:rtl/>
        </w:rPr>
        <w:t xml:space="preserve">פחות, </w:t>
      </w:r>
      <w:bookmarkStart w:id="65917" w:name="_ETM_Q117_211189"/>
      <w:bookmarkEnd w:id="65917"/>
      <w:r>
        <w:rPr>
          <w:rFonts w:hint="cs"/>
          <w:rtl/>
        </w:rPr>
        <w:t xml:space="preserve">אבל </w:t>
      </w:r>
      <w:bookmarkStart w:id="65918" w:name="_ETM_Q117_211640"/>
      <w:bookmarkEnd w:id="65918"/>
      <w:r>
        <w:rPr>
          <w:rFonts w:hint="cs"/>
          <w:rtl/>
        </w:rPr>
        <w:t xml:space="preserve">בסדר, </w:t>
      </w:r>
      <w:bookmarkStart w:id="65919" w:name="_ETM_Q117_211939"/>
      <w:bookmarkEnd w:id="65919"/>
      <w:r>
        <w:rPr>
          <w:rFonts w:hint="cs"/>
          <w:rtl/>
        </w:rPr>
        <w:t xml:space="preserve">למי אכפת, </w:t>
      </w:r>
      <w:bookmarkStart w:id="65920" w:name="_ETM_Q117_212809"/>
      <w:bookmarkEnd w:id="65920"/>
      <w:r>
        <w:rPr>
          <w:rFonts w:hint="cs"/>
          <w:rtl/>
        </w:rPr>
        <w:t xml:space="preserve">נכון? </w:t>
      </w:r>
      <w:bookmarkStart w:id="65921" w:name="_ETM_Q117_213140"/>
      <w:bookmarkEnd w:id="65921"/>
      <w:r>
        <w:rPr>
          <w:rFonts w:hint="cs"/>
          <w:rtl/>
        </w:rPr>
        <w:t xml:space="preserve">אנחנו </w:t>
      </w:r>
      <w:bookmarkStart w:id="65922" w:name="_ETM_Q117_213350"/>
      <w:bookmarkEnd w:id="65922"/>
      <w:r>
        <w:rPr>
          <w:rFonts w:hint="cs"/>
          <w:rtl/>
        </w:rPr>
        <w:t xml:space="preserve">מדברים </w:t>
      </w:r>
      <w:bookmarkStart w:id="65923" w:name="_ETM_Q117_213620"/>
      <w:bookmarkEnd w:id="65923"/>
      <w:r>
        <w:rPr>
          <w:rFonts w:hint="cs"/>
          <w:rtl/>
        </w:rPr>
        <w:t xml:space="preserve">על </w:t>
      </w:r>
      <w:bookmarkStart w:id="65924" w:name="_ETM_Q117_213710"/>
      <w:bookmarkEnd w:id="65924"/>
      <w:r>
        <w:rPr>
          <w:rFonts w:hint="cs"/>
          <w:rtl/>
        </w:rPr>
        <w:t xml:space="preserve">סבירות. </w:t>
      </w:r>
      <w:bookmarkStart w:id="65925" w:name="_ETM_Q117_214129"/>
      <w:bookmarkEnd w:id="65925"/>
      <w:r>
        <w:rPr>
          <w:rFonts w:hint="cs"/>
          <w:rtl/>
        </w:rPr>
        <w:t xml:space="preserve">זה </w:t>
      </w:r>
      <w:bookmarkStart w:id="65926" w:name="_ETM_Q117_214280"/>
      <w:bookmarkEnd w:id="65926"/>
      <w:r>
        <w:rPr>
          <w:rFonts w:hint="cs"/>
          <w:rtl/>
        </w:rPr>
        <w:t>הרבה</w:t>
      </w:r>
      <w:bookmarkStart w:id="65927" w:name="_ETM_Q117_214700"/>
      <w:bookmarkEnd w:id="65927"/>
      <w:r>
        <w:rPr>
          <w:rFonts w:hint="cs"/>
          <w:rtl/>
        </w:rPr>
        <w:t xml:space="preserve"> הרבה </w:t>
      </w:r>
      <w:bookmarkStart w:id="65928" w:name="_ETM_Q117_214909"/>
      <w:bookmarkEnd w:id="65928"/>
      <w:r>
        <w:rPr>
          <w:rFonts w:hint="cs"/>
          <w:rtl/>
        </w:rPr>
        <w:t xml:space="preserve">יותר </w:t>
      </w:r>
      <w:bookmarkStart w:id="65929" w:name="_ETM_Q117_215090"/>
      <w:bookmarkEnd w:id="65929"/>
      <w:r>
        <w:rPr>
          <w:rFonts w:hint="cs"/>
          <w:rtl/>
        </w:rPr>
        <w:t>חשוב, ל</w:t>
      </w:r>
      <w:r w:rsidR="00DB1905">
        <w:rPr>
          <w:rFonts w:hint="cs"/>
          <w:rtl/>
        </w:rPr>
        <w:t>ה</w:t>
      </w:r>
      <w:r>
        <w:rPr>
          <w:rFonts w:hint="cs"/>
          <w:rtl/>
        </w:rPr>
        <w:t>שח</w:t>
      </w:r>
      <w:r w:rsidR="00DB1905">
        <w:rPr>
          <w:rFonts w:hint="cs"/>
          <w:rtl/>
        </w:rPr>
        <w:t>י</w:t>
      </w:r>
      <w:r>
        <w:rPr>
          <w:rFonts w:hint="cs"/>
          <w:rtl/>
        </w:rPr>
        <w:t xml:space="preserve">ת </w:t>
      </w:r>
      <w:bookmarkStart w:id="65930" w:name="_ETM_Q117_215780"/>
      <w:bookmarkStart w:id="65931" w:name="_ETM_Q117_216290"/>
      <w:bookmarkEnd w:id="65930"/>
      <w:bookmarkEnd w:id="65931"/>
      <w:r>
        <w:rPr>
          <w:rFonts w:hint="cs"/>
          <w:rtl/>
        </w:rPr>
        <w:t xml:space="preserve">את </w:t>
      </w:r>
      <w:bookmarkStart w:id="65932" w:name="_ETM_Q117_216409"/>
      <w:bookmarkEnd w:id="65932"/>
      <w:r>
        <w:rPr>
          <w:rFonts w:hint="cs"/>
          <w:rtl/>
        </w:rPr>
        <w:t xml:space="preserve">זמנה </w:t>
      </w:r>
      <w:bookmarkStart w:id="65933" w:name="_ETM_Q117_217280"/>
      <w:bookmarkEnd w:id="65933"/>
      <w:r>
        <w:rPr>
          <w:rFonts w:hint="cs"/>
          <w:rtl/>
        </w:rPr>
        <w:t xml:space="preserve">של </w:t>
      </w:r>
      <w:bookmarkStart w:id="65934" w:name="_ETM_Q117_217550"/>
      <w:bookmarkEnd w:id="65934"/>
      <w:r>
        <w:rPr>
          <w:rFonts w:hint="cs"/>
          <w:rtl/>
        </w:rPr>
        <w:t xml:space="preserve">כנסת </w:t>
      </w:r>
      <w:bookmarkStart w:id="65935" w:name="_ETM_Q117_217970"/>
      <w:bookmarkEnd w:id="65935"/>
      <w:r>
        <w:rPr>
          <w:rFonts w:hint="cs"/>
          <w:rtl/>
        </w:rPr>
        <w:t xml:space="preserve">ישראל </w:t>
      </w:r>
      <w:bookmarkStart w:id="65936" w:name="_ETM_Q117_218449"/>
      <w:bookmarkEnd w:id="65936"/>
      <w:r>
        <w:rPr>
          <w:rFonts w:hint="cs"/>
          <w:rtl/>
        </w:rPr>
        <w:t xml:space="preserve">במשך </w:t>
      </w:r>
      <w:bookmarkStart w:id="65937" w:name="_ETM_Q117_219140"/>
      <w:bookmarkEnd w:id="65937"/>
      <w:r>
        <w:rPr>
          <w:rFonts w:hint="cs"/>
          <w:rtl/>
        </w:rPr>
        <w:t xml:space="preserve">כמעט </w:t>
      </w:r>
      <w:bookmarkStart w:id="65938" w:name="_ETM_Q117_219440"/>
      <w:bookmarkEnd w:id="65938"/>
      <w:r>
        <w:rPr>
          <w:rFonts w:hint="cs"/>
          <w:rtl/>
        </w:rPr>
        <w:t xml:space="preserve">חצי </w:t>
      </w:r>
      <w:bookmarkStart w:id="65939" w:name="_ETM_Q117_219710"/>
      <w:bookmarkEnd w:id="65939"/>
      <w:r>
        <w:rPr>
          <w:rFonts w:hint="cs"/>
          <w:rtl/>
        </w:rPr>
        <w:t xml:space="preserve">שנה </w:t>
      </w:r>
      <w:bookmarkStart w:id="65940" w:name="_ETM_Q117_220370"/>
      <w:bookmarkEnd w:id="65940"/>
      <w:r>
        <w:rPr>
          <w:rFonts w:hint="cs"/>
          <w:rtl/>
        </w:rPr>
        <w:t xml:space="preserve">על </w:t>
      </w:r>
      <w:bookmarkStart w:id="65941" w:name="_ETM_Q117_220550"/>
      <w:bookmarkEnd w:id="65941"/>
      <w:r>
        <w:rPr>
          <w:rFonts w:hint="cs"/>
          <w:rtl/>
        </w:rPr>
        <w:t xml:space="preserve">השטויות </w:t>
      </w:r>
      <w:bookmarkStart w:id="65942" w:name="_ETM_Q117_221120"/>
      <w:bookmarkEnd w:id="65942"/>
      <w:r>
        <w:rPr>
          <w:rFonts w:hint="cs"/>
          <w:rtl/>
        </w:rPr>
        <w:t xml:space="preserve">שרוטמן </w:t>
      </w:r>
      <w:bookmarkStart w:id="65943" w:name="_ETM_Q117_221899"/>
      <w:bookmarkEnd w:id="65943"/>
      <w:r>
        <w:rPr>
          <w:rFonts w:hint="cs"/>
          <w:rtl/>
        </w:rPr>
        <w:t xml:space="preserve">וחבריו </w:t>
      </w:r>
      <w:bookmarkStart w:id="65944" w:name="_ETM_Q117_222590"/>
      <w:bookmarkEnd w:id="65944"/>
      <w:r>
        <w:rPr>
          <w:rFonts w:hint="cs"/>
          <w:rtl/>
        </w:rPr>
        <w:t xml:space="preserve">גוררים </w:t>
      </w:r>
      <w:bookmarkStart w:id="65945" w:name="_ETM_Q117_223250"/>
      <w:bookmarkEnd w:id="65945"/>
      <w:r>
        <w:rPr>
          <w:rFonts w:hint="cs"/>
          <w:rtl/>
        </w:rPr>
        <w:t>אתכם</w:t>
      </w:r>
      <w:r w:rsidR="00DB1905">
        <w:rPr>
          <w:rFonts w:hint="cs"/>
          <w:rtl/>
        </w:rPr>
        <w:t xml:space="preserve"> אליהן</w:t>
      </w:r>
      <w:r>
        <w:rPr>
          <w:rFonts w:hint="cs"/>
          <w:rtl/>
        </w:rPr>
        <w:t xml:space="preserve">. </w:t>
      </w:r>
      <w:bookmarkStart w:id="65946" w:name="_ETM_Q117_223970"/>
      <w:bookmarkEnd w:id="65946"/>
      <w:r>
        <w:rPr>
          <w:rFonts w:hint="cs"/>
          <w:rtl/>
        </w:rPr>
        <w:t xml:space="preserve">אבל </w:t>
      </w:r>
      <w:bookmarkStart w:id="65947" w:name="_ETM_Q117_224180"/>
      <w:bookmarkEnd w:id="65947"/>
      <w:r>
        <w:rPr>
          <w:rFonts w:hint="cs"/>
          <w:rtl/>
        </w:rPr>
        <w:t xml:space="preserve">בסדר, </w:t>
      </w:r>
      <w:bookmarkStart w:id="65948" w:name="_ETM_Q117_224510"/>
      <w:bookmarkEnd w:id="65948"/>
      <w:r>
        <w:rPr>
          <w:rFonts w:hint="cs"/>
          <w:rtl/>
        </w:rPr>
        <w:t xml:space="preserve">נראה </w:t>
      </w:r>
      <w:bookmarkStart w:id="65949" w:name="_ETM_Q117_224780"/>
      <w:bookmarkEnd w:id="65949"/>
      <w:r>
        <w:rPr>
          <w:rFonts w:hint="cs"/>
          <w:rtl/>
        </w:rPr>
        <w:t xml:space="preserve">לאן </w:t>
      </w:r>
      <w:bookmarkStart w:id="65950" w:name="_ETM_Q117_224989"/>
      <w:bookmarkEnd w:id="65950"/>
      <w:r>
        <w:rPr>
          <w:rFonts w:hint="cs"/>
          <w:rtl/>
        </w:rPr>
        <w:t xml:space="preserve">זה </w:t>
      </w:r>
      <w:bookmarkStart w:id="65951" w:name="_ETM_Q117_225110"/>
      <w:bookmarkEnd w:id="65951"/>
      <w:r>
        <w:rPr>
          <w:rFonts w:hint="cs"/>
          <w:rtl/>
        </w:rPr>
        <w:t xml:space="preserve">יביא </w:t>
      </w:r>
      <w:bookmarkStart w:id="65952" w:name="_ETM_Q117_225320"/>
      <w:bookmarkEnd w:id="65952"/>
      <w:r>
        <w:rPr>
          <w:rFonts w:hint="cs"/>
          <w:rtl/>
        </w:rPr>
        <w:t>אתכם.</w:t>
      </w:r>
    </w:p>
    <w:p w:rsidR="00BB59CD" w:rsidRDefault="00BB59CD" w:rsidP="00BB59CD">
      <w:pPr>
        <w:rPr>
          <w:rtl/>
        </w:rPr>
      </w:pPr>
      <w:bookmarkStart w:id="65953" w:name="_ETM_Q117_228606"/>
      <w:bookmarkStart w:id="65954" w:name="_ETM_Q117_228763"/>
      <w:bookmarkEnd w:id="65953"/>
      <w:bookmarkEnd w:id="65954"/>
    </w:p>
    <w:p w:rsidR="00BB59CD" w:rsidRDefault="00BB59CD" w:rsidP="00DB1905">
      <w:pPr>
        <w:rPr>
          <w:rtl/>
        </w:rPr>
      </w:pPr>
      <w:bookmarkStart w:id="65955" w:name="_ETM_Q117_228782"/>
      <w:bookmarkStart w:id="65956" w:name="_ETM_Q117_228878"/>
      <w:bookmarkStart w:id="65957" w:name="_ETM_Q117_226620"/>
      <w:bookmarkStart w:id="65958" w:name="_ETM_Q117_228800"/>
      <w:bookmarkStart w:id="65959" w:name="_ETM_Q117_229520"/>
      <w:bookmarkEnd w:id="65955"/>
      <w:bookmarkEnd w:id="65956"/>
      <w:bookmarkEnd w:id="65957"/>
      <w:bookmarkEnd w:id="65958"/>
      <w:bookmarkEnd w:id="65959"/>
      <w:r>
        <w:rPr>
          <w:rFonts w:hint="cs"/>
          <w:rtl/>
        </w:rPr>
        <w:t xml:space="preserve">בכל </w:t>
      </w:r>
      <w:bookmarkStart w:id="65960" w:name="_ETM_Q117_229909"/>
      <w:bookmarkEnd w:id="65960"/>
      <w:r>
        <w:rPr>
          <w:rFonts w:hint="cs"/>
          <w:rtl/>
        </w:rPr>
        <w:t xml:space="preserve">זאת, </w:t>
      </w:r>
      <w:bookmarkStart w:id="65961" w:name="_ETM_Q117_231020"/>
      <w:bookmarkEnd w:id="65961"/>
      <w:r>
        <w:rPr>
          <w:rFonts w:hint="cs"/>
          <w:rtl/>
        </w:rPr>
        <w:t xml:space="preserve">סקרתי </w:t>
      </w:r>
      <w:bookmarkStart w:id="65962" w:name="_ETM_Q117_231649"/>
      <w:bookmarkEnd w:id="65962"/>
      <w:r>
        <w:rPr>
          <w:rFonts w:hint="cs"/>
          <w:rtl/>
        </w:rPr>
        <w:t xml:space="preserve">את </w:t>
      </w:r>
      <w:bookmarkStart w:id="65963" w:name="_ETM_Q117_231769"/>
      <w:bookmarkEnd w:id="65963"/>
      <w:r>
        <w:rPr>
          <w:rFonts w:hint="cs"/>
          <w:rtl/>
        </w:rPr>
        <w:t xml:space="preserve">פעילותו – </w:t>
      </w:r>
      <w:bookmarkStart w:id="65964" w:name="_ETM_Q117_232219"/>
      <w:bookmarkEnd w:id="65964"/>
      <w:r>
        <w:rPr>
          <w:rFonts w:hint="cs"/>
          <w:rtl/>
        </w:rPr>
        <w:t xml:space="preserve">דיברתי </w:t>
      </w:r>
      <w:bookmarkStart w:id="65965" w:name="_ETM_Q117_232609"/>
      <w:bookmarkEnd w:id="65965"/>
      <w:r>
        <w:rPr>
          <w:rFonts w:hint="cs"/>
          <w:rtl/>
        </w:rPr>
        <w:t xml:space="preserve">על </w:t>
      </w:r>
      <w:bookmarkStart w:id="65966" w:name="_ETM_Q117_232729"/>
      <w:bookmarkEnd w:id="65966"/>
      <w:r>
        <w:rPr>
          <w:rFonts w:hint="cs"/>
          <w:rtl/>
        </w:rPr>
        <w:t xml:space="preserve">הפעילות </w:t>
      </w:r>
      <w:bookmarkStart w:id="65967" w:name="_ETM_Q117_233269"/>
      <w:bookmarkEnd w:id="65967"/>
      <w:r>
        <w:rPr>
          <w:rFonts w:hint="cs"/>
          <w:rtl/>
        </w:rPr>
        <w:t xml:space="preserve">של </w:t>
      </w:r>
      <w:bookmarkStart w:id="65968" w:name="_ETM_Q117_233629"/>
      <w:bookmarkEnd w:id="65968"/>
      <w:r>
        <w:rPr>
          <w:rFonts w:hint="cs"/>
          <w:rtl/>
        </w:rPr>
        <w:t xml:space="preserve">השר </w:t>
      </w:r>
      <w:bookmarkStart w:id="65969" w:name="_ETM_Q117_234350"/>
      <w:bookmarkEnd w:id="65969"/>
      <w:r>
        <w:rPr>
          <w:rFonts w:hint="cs"/>
          <w:rtl/>
        </w:rPr>
        <w:t xml:space="preserve">אמסלם, </w:t>
      </w:r>
      <w:bookmarkStart w:id="65970" w:name="_ETM_Q117_235519"/>
      <w:bookmarkEnd w:id="65970"/>
      <w:r>
        <w:rPr>
          <w:rFonts w:hint="cs"/>
          <w:rtl/>
        </w:rPr>
        <w:t xml:space="preserve">ואני </w:t>
      </w:r>
      <w:bookmarkStart w:id="65971" w:name="_ETM_Q117_235730"/>
      <w:bookmarkEnd w:id="65971"/>
      <w:r>
        <w:rPr>
          <w:rFonts w:hint="cs"/>
          <w:rtl/>
        </w:rPr>
        <w:t xml:space="preserve">חושב </w:t>
      </w:r>
      <w:bookmarkStart w:id="65972" w:name="_ETM_Q117_235910"/>
      <w:bookmarkEnd w:id="65972"/>
      <w:r>
        <w:rPr>
          <w:rFonts w:hint="cs"/>
          <w:rtl/>
        </w:rPr>
        <w:t xml:space="preserve">שנורא </w:t>
      </w:r>
      <w:bookmarkStart w:id="65973" w:name="_ETM_Q117_236390"/>
      <w:bookmarkEnd w:id="65973"/>
      <w:r>
        <w:rPr>
          <w:rFonts w:hint="cs"/>
          <w:rtl/>
        </w:rPr>
        <w:t xml:space="preserve">חשוב </w:t>
      </w:r>
      <w:bookmarkStart w:id="65974" w:name="_ETM_Q117_236780"/>
      <w:bookmarkEnd w:id="65974"/>
      <w:r>
        <w:rPr>
          <w:rFonts w:hint="cs"/>
          <w:rtl/>
        </w:rPr>
        <w:t xml:space="preserve">לפרגן </w:t>
      </w:r>
      <w:bookmarkStart w:id="65975" w:name="_ETM_Q117_237289"/>
      <w:bookmarkEnd w:id="65975"/>
      <w:r>
        <w:rPr>
          <w:rFonts w:hint="cs"/>
          <w:rtl/>
        </w:rPr>
        <w:t xml:space="preserve">לו, </w:t>
      </w:r>
      <w:bookmarkStart w:id="65976" w:name="_ETM_Q117_237980"/>
      <w:bookmarkEnd w:id="65976"/>
      <w:r>
        <w:rPr>
          <w:rFonts w:hint="cs"/>
          <w:rtl/>
        </w:rPr>
        <w:t xml:space="preserve">ואני </w:t>
      </w:r>
      <w:bookmarkStart w:id="65977" w:name="_ETM_Q117_239329"/>
      <w:bookmarkEnd w:id="65977"/>
      <w:r>
        <w:rPr>
          <w:rFonts w:hint="cs"/>
          <w:rtl/>
        </w:rPr>
        <w:t xml:space="preserve">שמתי </w:t>
      </w:r>
      <w:bookmarkStart w:id="65978" w:name="_ETM_Q117_239690"/>
      <w:bookmarkEnd w:id="65978"/>
      <w:r>
        <w:rPr>
          <w:rFonts w:hint="cs"/>
          <w:rtl/>
        </w:rPr>
        <w:t xml:space="preserve">לי </w:t>
      </w:r>
      <w:bookmarkStart w:id="65979" w:name="_ETM_Q117_239780"/>
      <w:bookmarkEnd w:id="65979"/>
      <w:r>
        <w:rPr>
          <w:rFonts w:hint="cs"/>
          <w:rtl/>
        </w:rPr>
        <w:t xml:space="preserve">פה </w:t>
      </w:r>
      <w:bookmarkStart w:id="65980" w:name="_ETM_Q117_239930"/>
      <w:bookmarkEnd w:id="65980"/>
      <w:r>
        <w:rPr>
          <w:rFonts w:hint="cs"/>
          <w:rtl/>
        </w:rPr>
        <w:t xml:space="preserve">מסמך </w:t>
      </w:r>
      <w:bookmarkStart w:id="65981" w:name="_ETM_Q117_241320"/>
      <w:bookmarkEnd w:id="65981"/>
      <w:r>
        <w:rPr>
          <w:rFonts w:hint="cs"/>
          <w:rtl/>
        </w:rPr>
        <w:t xml:space="preserve">שסוקר </w:t>
      </w:r>
      <w:bookmarkStart w:id="65982" w:name="_ETM_Q117_243519"/>
      <w:bookmarkEnd w:id="65982"/>
      <w:r>
        <w:rPr>
          <w:rFonts w:hint="cs"/>
          <w:rtl/>
        </w:rPr>
        <w:t xml:space="preserve">את </w:t>
      </w:r>
      <w:bookmarkStart w:id="65983" w:name="_ETM_Q117_244240"/>
      <w:bookmarkEnd w:id="65983"/>
      <w:r>
        <w:rPr>
          <w:rFonts w:hint="cs"/>
          <w:rtl/>
        </w:rPr>
        <w:t xml:space="preserve">פעילותו </w:t>
      </w:r>
      <w:bookmarkStart w:id="65984" w:name="_ETM_Q117_245079"/>
      <w:bookmarkStart w:id="65985" w:name="_ETM_Q117_245770"/>
      <w:bookmarkEnd w:id="65984"/>
      <w:bookmarkEnd w:id="65985"/>
      <w:r>
        <w:rPr>
          <w:rFonts w:hint="cs"/>
          <w:rtl/>
        </w:rPr>
        <w:t xml:space="preserve">לצמצום </w:t>
      </w:r>
      <w:bookmarkStart w:id="65986" w:name="_ETM_Q117_247000"/>
      <w:bookmarkEnd w:id="65986"/>
      <w:r>
        <w:rPr>
          <w:rFonts w:hint="cs"/>
          <w:rtl/>
        </w:rPr>
        <w:t xml:space="preserve">פערים </w:t>
      </w:r>
      <w:bookmarkStart w:id="65987" w:name="_ETM_Q117_247360"/>
      <w:bookmarkEnd w:id="65987"/>
      <w:r>
        <w:rPr>
          <w:rFonts w:hint="cs"/>
          <w:rtl/>
        </w:rPr>
        <w:t xml:space="preserve">חברתיים </w:t>
      </w:r>
      <w:bookmarkStart w:id="65988" w:name="_ETM_Q117_247959"/>
      <w:bookmarkEnd w:id="65988"/>
      <w:r>
        <w:rPr>
          <w:rFonts w:hint="cs"/>
          <w:rtl/>
        </w:rPr>
        <w:t xml:space="preserve">במדינת </w:t>
      </w:r>
      <w:bookmarkStart w:id="65989" w:name="_ETM_Q117_248560"/>
      <w:bookmarkEnd w:id="65989"/>
      <w:r>
        <w:rPr>
          <w:rFonts w:hint="cs"/>
          <w:rtl/>
        </w:rPr>
        <w:t xml:space="preserve">ישראל </w:t>
      </w:r>
      <w:bookmarkStart w:id="65990" w:name="_ETM_Q117_249009"/>
      <w:bookmarkEnd w:id="65990"/>
      <w:r>
        <w:rPr>
          <w:rFonts w:hint="cs"/>
          <w:rtl/>
        </w:rPr>
        <w:t xml:space="preserve">לאורך </w:t>
      </w:r>
      <w:bookmarkStart w:id="65991" w:name="_ETM_Q117_249340"/>
      <w:bookmarkEnd w:id="65991"/>
      <w:r>
        <w:rPr>
          <w:rFonts w:hint="cs"/>
          <w:rtl/>
        </w:rPr>
        <w:t xml:space="preserve">כל </w:t>
      </w:r>
      <w:bookmarkStart w:id="65992" w:name="_ETM_Q117_249640"/>
      <w:bookmarkEnd w:id="65992"/>
      <w:r>
        <w:rPr>
          <w:rFonts w:hint="cs"/>
          <w:rtl/>
        </w:rPr>
        <w:t xml:space="preserve">שנות </w:t>
      </w:r>
      <w:bookmarkStart w:id="65993" w:name="_ETM_Q117_249939"/>
      <w:bookmarkEnd w:id="65993"/>
      <w:r>
        <w:rPr>
          <w:rFonts w:hint="cs"/>
          <w:rtl/>
        </w:rPr>
        <w:t xml:space="preserve">שירותו </w:t>
      </w:r>
      <w:bookmarkStart w:id="65994" w:name="_ETM_Q117_250600"/>
      <w:bookmarkEnd w:id="65994"/>
      <w:r>
        <w:rPr>
          <w:rFonts w:hint="cs"/>
          <w:rtl/>
        </w:rPr>
        <w:t xml:space="preserve">הציבורי. </w:t>
      </w:r>
      <w:bookmarkStart w:id="65995" w:name="_ETM_Q117_252189"/>
      <w:bookmarkEnd w:id="65995"/>
      <w:r>
        <w:rPr>
          <w:rFonts w:hint="cs"/>
          <w:rtl/>
        </w:rPr>
        <w:t xml:space="preserve">אני </w:t>
      </w:r>
      <w:bookmarkStart w:id="65996" w:name="_ETM_Q117_252399"/>
      <w:bookmarkEnd w:id="65996"/>
      <w:r>
        <w:rPr>
          <w:rFonts w:hint="cs"/>
          <w:rtl/>
        </w:rPr>
        <w:t xml:space="preserve">מתחיל. </w:t>
      </w:r>
      <w:bookmarkStart w:id="65997" w:name="_ETM_Q117_266130"/>
      <w:bookmarkEnd w:id="65997"/>
      <w:r>
        <w:rPr>
          <w:rFonts w:hint="cs"/>
          <w:rtl/>
        </w:rPr>
        <w:t xml:space="preserve">אני </w:t>
      </w:r>
      <w:bookmarkStart w:id="65998" w:name="_ETM_Q117_266280"/>
      <w:bookmarkEnd w:id="65998"/>
      <w:r>
        <w:rPr>
          <w:rFonts w:hint="cs"/>
          <w:rtl/>
        </w:rPr>
        <w:t xml:space="preserve">עובר </w:t>
      </w:r>
      <w:bookmarkStart w:id="65999" w:name="_ETM_Q117_266700"/>
      <w:bookmarkEnd w:id="65999"/>
      <w:r>
        <w:rPr>
          <w:rFonts w:hint="cs"/>
          <w:rtl/>
        </w:rPr>
        <w:t xml:space="preserve">עמוד. </w:t>
      </w:r>
      <w:bookmarkStart w:id="66000" w:name="_ETM_Q117_280240"/>
      <w:bookmarkEnd w:id="66000"/>
      <w:r>
        <w:rPr>
          <w:rFonts w:hint="cs"/>
          <w:rtl/>
        </w:rPr>
        <w:t xml:space="preserve">יש </w:t>
      </w:r>
      <w:bookmarkStart w:id="66001" w:name="_ETM_Q117_280420"/>
      <w:bookmarkEnd w:id="66001"/>
      <w:r>
        <w:rPr>
          <w:rFonts w:hint="cs"/>
          <w:rtl/>
        </w:rPr>
        <w:t xml:space="preserve">פשוט </w:t>
      </w:r>
      <w:bookmarkStart w:id="66002" w:name="_ETM_Q117_280720"/>
      <w:bookmarkEnd w:id="66002"/>
      <w:r>
        <w:rPr>
          <w:rFonts w:hint="cs"/>
          <w:rtl/>
        </w:rPr>
        <w:t xml:space="preserve">הרבה </w:t>
      </w:r>
      <w:bookmarkStart w:id="66003" w:name="_ETM_Q117_280959"/>
      <w:bookmarkEnd w:id="66003"/>
      <w:r>
        <w:rPr>
          <w:rFonts w:hint="cs"/>
          <w:rtl/>
        </w:rPr>
        <w:t xml:space="preserve">פעילות. </w:t>
      </w:r>
      <w:bookmarkStart w:id="66004" w:name="_ETM_Q117_281380"/>
      <w:bookmarkEnd w:id="66004"/>
      <w:r>
        <w:rPr>
          <w:rFonts w:hint="cs"/>
          <w:rtl/>
        </w:rPr>
        <w:t xml:space="preserve">אני </w:t>
      </w:r>
      <w:bookmarkStart w:id="66005" w:name="_ETM_Q117_281530"/>
      <w:bookmarkEnd w:id="66005"/>
      <w:r>
        <w:rPr>
          <w:rFonts w:hint="cs"/>
          <w:rtl/>
        </w:rPr>
        <w:t xml:space="preserve">מקריא </w:t>
      </w:r>
      <w:bookmarkStart w:id="66006" w:name="_ETM_Q117_281830"/>
      <w:bookmarkEnd w:id="66006"/>
      <w:r>
        <w:rPr>
          <w:rFonts w:hint="cs"/>
          <w:rtl/>
        </w:rPr>
        <w:t xml:space="preserve">אותה. </w:t>
      </w:r>
      <w:bookmarkStart w:id="66007" w:name="_ETM_Q117_286999"/>
      <w:bookmarkEnd w:id="66007"/>
    </w:p>
    <w:p w:rsidR="00BB59CD" w:rsidRDefault="00BB59CD" w:rsidP="00BB59CD">
      <w:pPr>
        <w:rPr>
          <w:rtl/>
        </w:rPr>
      </w:pPr>
    </w:p>
    <w:p w:rsidR="00BB59CD" w:rsidRDefault="00BB59CD" w:rsidP="00BB59CD">
      <w:pPr>
        <w:pStyle w:val="af8"/>
        <w:keepNext/>
        <w:rPr>
          <w:rtl/>
        </w:rPr>
      </w:pPr>
      <w:bookmarkStart w:id="66008" w:name="ET_interruption_5809_6"/>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66008"/>
    </w:p>
    <w:p w:rsidR="00BB59CD" w:rsidRDefault="00BB59CD" w:rsidP="00337201">
      <w:pPr>
        <w:rPr>
          <w:rtl/>
        </w:rPr>
      </w:pPr>
    </w:p>
    <w:p w:rsidR="00BB59CD" w:rsidRDefault="00BB59CD" w:rsidP="00BB59CD">
      <w:pPr>
        <w:rPr>
          <w:rtl/>
        </w:rPr>
      </w:pPr>
      <w:r>
        <w:rPr>
          <w:rFonts w:hint="cs"/>
          <w:rtl/>
        </w:rPr>
        <w:t>תקריא אחר כך את הפעילות - -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לא, </w:t>
      </w:r>
      <w:bookmarkStart w:id="66009" w:name="_ETM_Q117_287179"/>
      <w:bookmarkEnd w:id="66009"/>
      <w:r>
        <w:rPr>
          <w:rFonts w:hint="cs"/>
          <w:rtl/>
        </w:rPr>
        <w:t xml:space="preserve">לא, </w:t>
      </w:r>
      <w:bookmarkStart w:id="66010" w:name="_ETM_Q117_287329"/>
      <w:bookmarkEnd w:id="66010"/>
      <w:r>
        <w:rPr>
          <w:rFonts w:hint="cs"/>
          <w:rtl/>
        </w:rPr>
        <w:t xml:space="preserve">שנייה, את מפריעה לי </w:t>
      </w:r>
      <w:bookmarkStart w:id="66011" w:name="_ETM_Q117_288229"/>
      <w:bookmarkEnd w:id="66011"/>
      <w:r>
        <w:rPr>
          <w:rFonts w:hint="cs"/>
          <w:rtl/>
        </w:rPr>
        <w:t xml:space="preserve">באמצע, </w:t>
      </w:r>
      <w:bookmarkStart w:id="66012" w:name="_ETM_Q117_288560"/>
      <w:bookmarkEnd w:id="66012"/>
      <w:r>
        <w:rPr>
          <w:rFonts w:hint="cs"/>
          <w:rtl/>
        </w:rPr>
        <w:t xml:space="preserve">אני </w:t>
      </w:r>
      <w:bookmarkStart w:id="66013" w:name="_ETM_Q117_288709"/>
      <w:bookmarkEnd w:id="66013"/>
      <w:r>
        <w:rPr>
          <w:rFonts w:hint="cs"/>
          <w:rtl/>
        </w:rPr>
        <w:t xml:space="preserve">מקריא </w:t>
      </w:r>
      <w:bookmarkStart w:id="66014" w:name="_ETM_Q117_289159"/>
      <w:bookmarkEnd w:id="66014"/>
      <w:r>
        <w:rPr>
          <w:rFonts w:hint="cs"/>
          <w:rtl/>
        </w:rPr>
        <w:t xml:space="preserve">את </w:t>
      </w:r>
      <w:bookmarkStart w:id="66015" w:name="_ETM_Q117_289279"/>
      <w:bookmarkEnd w:id="66015"/>
      <w:r>
        <w:rPr>
          <w:rFonts w:hint="cs"/>
          <w:rtl/>
        </w:rPr>
        <w:t xml:space="preserve">הפעילות </w:t>
      </w:r>
      <w:bookmarkStart w:id="66016" w:name="_ETM_Q117_289669"/>
      <w:bookmarkEnd w:id="66016"/>
      <w:r>
        <w:rPr>
          <w:rFonts w:hint="cs"/>
          <w:rtl/>
        </w:rPr>
        <w:t xml:space="preserve">שלו </w:t>
      </w:r>
      <w:bookmarkStart w:id="66017" w:name="_ETM_Q117_289880"/>
      <w:bookmarkEnd w:id="66017"/>
      <w:r>
        <w:rPr>
          <w:rFonts w:hint="cs"/>
          <w:rtl/>
        </w:rPr>
        <w:t xml:space="preserve">לצמצום </w:t>
      </w:r>
      <w:bookmarkStart w:id="66018" w:name="_ETM_Q117_291400"/>
      <w:bookmarkEnd w:id="66018"/>
      <w:r>
        <w:rPr>
          <w:rFonts w:hint="cs"/>
          <w:rtl/>
        </w:rPr>
        <w:t xml:space="preserve">הפערים </w:t>
      </w:r>
      <w:bookmarkStart w:id="66019" w:name="_ETM_Q117_291729"/>
      <w:bookmarkEnd w:id="66019"/>
      <w:r>
        <w:rPr>
          <w:rFonts w:hint="cs"/>
          <w:rtl/>
        </w:rPr>
        <w:t xml:space="preserve">החברתיים. </w:t>
      </w:r>
      <w:bookmarkStart w:id="66020" w:name="_ETM_Q117_301289"/>
      <w:bookmarkEnd w:id="66020"/>
      <w:r>
        <w:rPr>
          <w:rFonts w:hint="cs"/>
          <w:rtl/>
        </w:rPr>
        <w:t xml:space="preserve">זה </w:t>
      </w:r>
      <w:bookmarkStart w:id="66021" w:name="_ETM_Q117_301469"/>
      <w:bookmarkEnd w:id="66021"/>
      <w:r>
        <w:rPr>
          <w:rFonts w:hint="cs"/>
          <w:rtl/>
        </w:rPr>
        <w:t xml:space="preserve">באמת </w:t>
      </w:r>
      <w:bookmarkStart w:id="66022" w:name="_ETM_Q117_301799"/>
      <w:bookmarkEnd w:id="66022"/>
      <w:r>
        <w:rPr>
          <w:rFonts w:hint="cs"/>
          <w:rtl/>
        </w:rPr>
        <w:t xml:space="preserve">היה </w:t>
      </w:r>
      <w:bookmarkStart w:id="66023" w:name="_ETM_Q117_301950"/>
      <w:bookmarkEnd w:id="66023"/>
      <w:r>
        <w:rPr>
          <w:rFonts w:hint="cs"/>
          <w:rtl/>
        </w:rPr>
        <w:t xml:space="preserve">טוב. </w:t>
      </w:r>
      <w:bookmarkStart w:id="66024" w:name="_ETM_Q117_324209"/>
      <w:bookmarkEnd w:id="66024"/>
      <w:r>
        <w:rPr>
          <w:rFonts w:hint="cs"/>
          <w:rtl/>
        </w:rPr>
        <w:t xml:space="preserve">טוב, </w:t>
      </w:r>
      <w:bookmarkStart w:id="66025" w:name="_ETM_Q117_324569"/>
      <w:bookmarkEnd w:id="66025"/>
      <w:r>
        <w:rPr>
          <w:rFonts w:hint="cs"/>
          <w:rtl/>
        </w:rPr>
        <w:t xml:space="preserve">זה </w:t>
      </w:r>
      <w:bookmarkStart w:id="66026" w:name="_ETM_Q117_324810"/>
      <w:bookmarkEnd w:id="66026"/>
      <w:r>
        <w:rPr>
          <w:rFonts w:hint="cs"/>
          <w:rtl/>
        </w:rPr>
        <w:t xml:space="preserve">היה </w:t>
      </w:r>
      <w:bookmarkStart w:id="66027" w:name="_ETM_Q117_325999"/>
      <w:bookmarkEnd w:id="66027"/>
      <w:r>
        <w:rPr>
          <w:rFonts w:hint="cs"/>
          <w:rtl/>
        </w:rPr>
        <w:t xml:space="preserve">שתי </w:t>
      </w:r>
      <w:bookmarkStart w:id="66028" w:name="_ETM_Q117_326239"/>
      <w:bookmarkEnd w:id="66028"/>
      <w:r>
        <w:rPr>
          <w:rFonts w:hint="cs"/>
          <w:rtl/>
        </w:rPr>
        <w:t xml:space="preserve">דקות </w:t>
      </w:r>
      <w:bookmarkStart w:id="66029" w:name="_ETM_Q117_327050"/>
      <w:bookmarkStart w:id="66030" w:name="_ETM_Q117_327500"/>
      <w:bookmarkEnd w:id="66029"/>
      <w:bookmarkEnd w:id="66030"/>
      <w:r>
        <w:rPr>
          <w:rFonts w:hint="cs"/>
          <w:rtl/>
        </w:rPr>
        <w:t xml:space="preserve">עמוסות </w:t>
      </w:r>
      <w:bookmarkStart w:id="66031" w:name="_ETM_Q117_330908"/>
      <w:bookmarkEnd w:id="66031"/>
      <w:r>
        <w:rPr>
          <w:rFonts w:hint="cs"/>
          <w:rtl/>
        </w:rPr>
        <w:t xml:space="preserve">במידע </w:t>
      </w:r>
      <w:bookmarkStart w:id="66032" w:name="_ETM_Q117_328829"/>
      <w:bookmarkEnd w:id="66032"/>
      <w:r>
        <w:rPr>
          <w:rFonts w:hint="cs"/>
          <w:rtl/>
        </w:rPr>
        <w:t xml:space="preserve">על </w:t>
      </w:r>
      <w:bookmarkStart w:id="66033" w:name="_ETM_Q117_329780"/>
      <w:bookmarkEnd w:id="66033"/>
      <w:r>
        <w:rPr>
          <w:rFonts w:hint="cs"/>
          <w:rtl/>
        </w:rPr>
        <w:t xml:space="preserve">פעילותו </w:t>
      </w:r>
      <w:bookmarkStart w:id="66034" w:name="_ETM_Q117_330410"/>
      <w:bookmarkEnd w:id="66034"/>
      <w:r>
        <w:rPr>
          <w:rFonts w:hint="cs"/>
          <w:rtl/>
        </w:rPr>
        <w:t xml:space="preserve">הרבה </w:t>
      </w:r>
      <w:bookmarkStart w:id="66035" w:name="_ETM_Q117_331280"/>
      <w:bookmarkEnd w:id="66035"/>
      <w:r>
        <w:rPr>
          <w:rFonts w:hint="cs"/>
          <w:rtl/>
        </w:rPr>
        <w:t xml:space="preserve">של </w:t>
      </w:r>
      <w:bookmarkStart w:id="66036" w:name="_ETM_Q117_331880"/>
      <w:bookmarkEnd w:id="66036"/>
      <w:r>
        <w:rPr>
          <w:rFonts w:hint="cs"/>
          <w:rtl/>
        </w:rPr>
        <w:t xml:space="preserve">השר </w:t>
      </w:r>
      <w:bookmarkStart w:id="66037" w:name="_ETM_Q117_332690"/>
      <w:bookmarkEnd w:id="66037"/>
      <w:r>
        <w:rPr>
          <w:rFonts w:hint="cs"/>
          <w:rtl/>
        </w:rPr>
        <w:t xml:space="preserve">לענייני </w:t>
      </w:r>
      <w:bookmarkStart w:id="66038" w:name="_ETM_Q117_333110"/>
      <w:bookmarkEnd w:id="66038"/>
      <w:r>
        <w:rPr>
          <w:rFonts w:hint="cs"/>
          <w:rtl/>
        </w:rPr>
        <w:t xml:space="preserve">כלום </w:t>
      </w:r>
      <w:bookmarkStart w:id="66039" w:name="_ETM_Q117_333380"/>
      <w:bookmarkEnd w:id="66039"/>
      <w:r>
        <w:rPr>
          <w:rFonts w:hint="cs"/>
          <w:rtl/>
        </w:rPr>
        <w:t xml:space="preserve">ושום </w:t>
      </w:r>
      <w:bookmarkStart w:id="66040" w:name="_ETM_Q117_333620"/>
      <w:bookmarkEnd w:id="66040"/>
      <w:r>
        <w:rPr>
          <w:rFonts w:hint="cs"/>
          <w:rtl/>
        </w:rPr>
        <w:t xml:space="preserve">דבר </w:t>
      </w:r>
      <w:bookmarkStart w:id="66041" w:name="_ETM_Q117_334040"/>
      <w:bookmarkEnd w:id="66041"/>
      <w:r>
        <w:rPr>
          <w:rFonts w:hint="cs"/>
          <w:rtl/>
        </w:rPr>
        <w:t xml:space="preserve">דודי </w:t>
      </w:r>
      <w:bookmarkStart w:id="66042" w:name="_ETM_Q117_334310"/>
      <w:bookmarkEnd w:id="66042"/>
      <w:r>
        <w:rPr>
          <w:rFonts w:hint="cs"/>
          <w:rtl/>
        </w:rPr>
        <w:t>אמסלם.</w:t>
      </w:r>
    </w:p>
    <w:p w:rsidR="00BB59CD" w:rsidRDefault="00BB59CD" w:rsidP="00BB59CD">
      <w:pPr>
        <w:rPr>
          <w:rtl/>
        </w:rPr>
      </w:pPr>
      <w:bookmarkStart w:id="66043" w:name="_ETM_Q117_335771"/>
      <w:bookmarkStart w:id="66044" w:name="_ETM_Q117_335899"/>
      <w:bookmarkEnd w:id="66043"/>
      <w:bookmarkEnd w:id="66044"/>
    </w:p>
    <w:p w:rsidR="00BB59CD" w:rsidRDefault="00BB59CD" w:rsidP="00DB1905">
      <w:pPr>
        <w:rPr>
          <w:rtl/>
        </w:rPr>
      </w:pPr>
      <w:bookmarkStart w:id="66045" w:name="_ETM_Q117_335947"/>
      <w:bookmarkStart w:id="66046" w:name="_ETM_Q117_336022"/>
      <w:bookmarkEnd w:id="66045"/>
      <w:bookmarkEnd w:id="66046"/>
      <w:r>
        <w:rPr>
          <w:rFonts w:hint="cs"/>
          <w:rtl/>
        </w:rPr>
        <w:t xml:space="preserve"> </w:t>
      </w:r>
      <w:bookmarkStart w:id="66047" w:name="_ETM_Q117_335880"/>
      <w:bookmarkEnd w:id="66047"/>
      <w:r>
        <w:rPr>
          <w:rFonts w:hint="cs"/>
          <w:rtl/>
        </w:rPr>
        <w:t xml:space="preserve">רוצה </w:t>
      </w:r>
      <w:bookmarkStart w:id="66048" w:name="_ETM_Q117_336120"/>
      <w:bookmarkEnd w:id="66048"/>
      <w:r>
        <w:rPr>
          <w:rFonts w:hint="cs"/>
          <w:rtl/>
        </w:rPr>
        <w:t xml:space="preserve">לדבר </w:t>
      </w:r>
      <w:bookmarkStart w:id="66049" w:name="_ETM_Q117_336330"/>
      <w:bookmarkEnd w:id="66049"/>
      <w:r>
        <w:rPr>
          <w:rFonts w:hint="cs"/>
          <w:rtl/>
        </w:rPr>
        <w:t xml:space="preserve">קצת </w:t>
      </w:r>
      <w:bookmarkStart w:id="66050" w:name="_ETM_Q117_336600"/>
      <w:bookmarkEnd w:id="66050"/>
      <w:r>
        <w:rPr>
          <w:rFonts w:hint="cs"/>
          <w:rtl/>
        </w:rPr>
        <w:t xml:space="preserve">על </w:t>
      </w:r>
      <w:bookmarkStart w:id="66051" w:name="_ETM_Q117_336690"/>
      <w:bookmarkEnd w:id="66051"/>
      <w:r>
        <w:rPr>
          <w:rFonts w:hint="cs"/>
          <w:rtl/>
        </w:rPr>
        <w:t xml:space="preserve">בריאות, </w:t>
      </w:r>
      <w:bookmarkStart w:id="66052" w:name="_ETM_Q117_337080"/>
      <w:bookmarkEnd w:id="66052"/>
      <w:r>
        <w:rPr>
          <w:rFonts w:hint="cs"/>
          <w:rtl/>
        </w:rPr>
        <w:t xml:space="preserve">פריפריה </w:t>
      </w:r>
      <w:bookmarkStart w:id="66053" w:name="_ETM_Q117_337590"/>
      <w:bookmarkEnd w:id="66053"/>
      <w:r>
        <w:rPr>
          <w:rFonts w:hint="cs"/>
          <w:rtl/>
        </w:rPr>
        <w:t xml:space="preserve">ומרכז, </w:t>
      </w:r>
      <w:bookmarkStart w:id="66054" w:name="_ETM_Q117_338220"/>
      <w:bookmarkEnd w:id="66054"/>
      <w:r>
        <w:rPr>
          <w:rFonts w:hint="cs"/>
          <w:rtl/>
        </w:rPr>
        <w:t xml:space="preserve">אגב </w:t>
      </w:r>
      <w:bookmarkStart w:id="66055" w:name="_ETM_Q117_338580"/>
      <w:bookmarkEnd w:id="66055"/>
      <w:r>
        <w:rPr>
          <w:rFonts w:hint="cs"/>
          <w:rtl/>
        </w:rPr>
        <w:t xml:space="preserve">צמצום </w:t>
      </w:r>
      <w:bookmarkStart w:id="66056" w:name="_ETM_Q117_339090"/>
      <w:bookmarkEnd w:id="66056"/>
      <w:r>
        <w:rPr>
          <w:rFonts w:hint="cs"/>
          <w:rtl/>
        </w:rPr>
        <w:t xml:space="preserve">פערים? </w:t>
      </w:r>
      <w:bookmarkStart w:id="66057" w:name="_ETM_Q117_340959"/>
      <w:bookmarkEnd w:id="66057"/>
      <w:r>
        <w:rPr>
          <w:rFonts w:hint="cs"/>
          <w:rtl/>
        </w:rPr>
        <w:t xml:space="preserve">מה </w:t>
      </w:r>
      <w:bookmarkStart w:id="66058" w:name="_ETM_Q117_341139"/>
      <w:bookmarkEnd w:id="66058"/>
      <w:r>
        <w:rPr>
          <w:rFonts w:hint="cs"/>
          <w:rtl/>
        </w:rPr>
        <w:t xml:space="preserve">עושים </w:t>
      </w:r>
      <w:bookmarkStart w:id="66059" w:name="_ETM_Q117_341410"/>
      <w:bookmarkEnd w:id="66059"/>
      <w:r>
        <w:rPr>
          <w:rFonts w:hint="cs"/>
          <w:rtl/>
        </w:rPr>
        <w:t xml:space="preserve">עם </w:t>
      </w:r>
      <w:bookmarkStart w:id="66060" w:name="_ETM_Q117_341530"/>
      <w:bookmarkEnd w:id="66060"/>
      <w:r>
        <w:rPr>
          <w:rFonts w:hint="cs"/>
          <w:rtl/>
        </w:rPr>
        <w:t xml:space="preserve">הפערים </w:t>
      </w:r>
      <w:bookmarkStart w:id="66061" w:name="_ETM_Q117_341980"/>
      <w:bookmarkEnd w:id="66061"/>
      <w:r>
        <w:rPr>
          <w:rFonts w:hint="cs"/>
          <w:rtl/>
        </w:rPr>
        <w:t xml:space="preserve">בבריאות? </w:t>
      </w:r>
      <w:bookmarkStart w:id="66062" w:name="_ETM_Q117_342430"/>
      <w:bookmarkEnd w:id="66062"/>
      <w:r>
        <w:rPr>
          <w:rFonts w:hint="cs"/>
          <w:rtl/>
        </w:rPr>
        <w:t xml:space="preserve">ראיתי </w:t>
      </w:r>
      <w:bookmarkStart w:id="66063" w:name="_ETM_Q117_342700"/>
      <w:bookmarkEnd w:id="66063"/>
      <w:r>
        <w:rPr>
          <w:rFonts w:hint="cs"/>
          <w:rtl/>
        </w:rPr>
        <w:t xml:space="preserve">שעכשיו </w:t>
      </w:r>
      <w:bookmarkStart w:id="66064" w:name="_ETM_Q117_343030"/>
      <w:bookmarkEnd w:id="66064"/>
      <w:r>
        <w:rPr>
          <w:rFonts w:hint="cs"/>
          <w:rtl/>
        </w:rPr>
        <w:t xml:space="preserve">התפרסם </w:t>
      </w:r>
      <w:bookmarkStart w:id="66065" w:name="_ETM_Q117_343810"/>
      <w:bookmarkEnd w:id="66065"/>
      <w:r>
        <w:rPr>
          <w:rFonts w:hint="cs"/>
          <w:rtl/>
        </w:rPr>
        <w:t xml:space="preserve">דוח על מספר </w:t>
      </w:r>
      <w:bookmarkStart w:id="66066" w:name="_ETM_Q117_345669"/>
      <w:bookmarkEnd w:id="66066"/>
      <w:r>
        <w:rPr>
          <w:rFonts w:hint="cs"/>
          <w:rtl/>
        </w:rPr>
        <w:t xml:space="preserve">הרופאים </w:t>
      </w:r>
      <w:bookmarkStart w:id="66067" w:name="_ETM_Q117_346060"/>
      <w:bookmarkEnd w:id="66067"/>
      <w:r>
        <w:rPr>
          <w:rFonts w:hint="cs"/>
          <w:rtl/>
        </w:rPr>
        <w:t xml:space="preserve">והרופאות </w:t>
      </w:r>
      <w:bookmarkStart w:id="66068" w:name="_ETM_Q117_346480"/>
      <w:bookmarkEnd w:id="66068"/>
      <w:r>
        <w:rPr>
          <w:rFonts w:hint="cs"/>
          <w:rtl/>
        </w:rPr>
        <w:t xml:space="preserve">בצפון </w:t>
      </w:r>
      <w:bookmarkStart w:id="66069" w:name="_ETM_Q117_346900"/>
      <w:bookmarkStart w:id="66070" w:name="_ETM_Q117_346989"/>
      <w:bookmarkEnd w:id="66069"/>
      <w:bookmarkEnd w:id="66070"/>
      <w:r>
        <w:rPr>
          <w:rFonts w:hint="cs"/>
          <w:rtl/>
        </w:rPr>
        <w:t xml:space="preserve">מול </w:t>
      </w:r>
      <w:bookmarkStart w:id="66071" w:name="_ETM_Q117_347169"/>
      <w:bookmarkEnd w:id="66071"/>
      <w:r>
        <w:rPr>
          <w:rFonts w:hint="cs"/>
          <w:rtl/>
        </w:rPr>
        <w:t>המרכז</w:t>
      </w:r>
      <w:r w:rsidR="00DB1905">
        <w:rPr>
          <w:rFonts w:hint="cs"/>
          <w:rtl/>
        </w:rPr>
        <w:t>, ראית</w:t>
      </w:r>
      <w:r>
        <w:rPr>
          <w:rFonts w:hint="cs"/>
          <w:rtl/>
        </w:rPr>
        <w:t xml:space="preserve">? 5.5 </w:t>
      </w:r>
      <w:bookmarkStart w:id="66072" w:name="_ETM_Q117_347889"/>
      <w:bookmarkStart w:id="66073" w:name="_ETM_Q117_348220"/>
      <w:bookmarkStart w:id="66074" w:name="_ETM_Q117_348519"/>
      <w:bookmarkStart w:id="66075" w:name="_ETM_Q117_348849"/>
      <w:bookmarkEnd w:id="66072"/>
      <w:bookmarkEnd w:id="66073"/>
      <w:bookmarkEnd w:id="66074"/>
      <w:bookmarkEnd w:id="66075"/>
      <w:r>
        <w:rPr>
          <w:rFonts w:hint="cs"/>
          <w:rtl/>
        </w:rPr>
        <w:t xml:space="preserve">במרכז, </w:t>
      </w:r>
      <w:bookmarkStart w:id="66076" w:name="_ETM_Q117_349940"/>
      <w:bookmarkEnd w:id="66076"/>
      <w:r>
        <w:rPr>
          <w:rFonts w:hint="cs"/>
          <w:rtl/>
        </w:rPr>
        <w:t xml:space="preserve">בדרום </w:t>
      </w:r>
      <w:bookmarkStart w:id="66077" w:name="_ETM_Q117_350419"/>
      <w:bookmarkEnd w:id="66077"/>
      <w:r>
        <w:rPr>
          <w:rFonts w:hint="cs"/>
          <w:rtl/>
        </w:rPr>
        <w:t xml:space="preserve">2.7. </w:t>
      </w:r>
      <w:bookmarkStart w:id="66078" w:name="_ETM_Q117_351530"/>
      <w:bookmarkEnd w:id="66078"/>
      <w:r>
        <w:rPr>
          <w:rFonts w:hint="cs"/>
          <w:rtl/>
        </w:rPr>
        <w:t xml:space="preserve">יחס </w:t>
      </w:r>
      <w:bookmarkStart w:id="66079" w:name="_ETM_Q117_351950"/>
      <w:bookmarkStart w:id="66080" w:name="_ETM_Q117_352730"/>
      <w:bookmarkEnd w:id="66079"/>
      <w:bookmarkEnd w:id="66080"/>
      <w:r>
        <w:rPr>
          <w:rFonts w:hint="cs"/>
          <w:rtl/>
        </w:rPr>
        <w:t>אחים</w:t>
      </w:r>
      <w:bookmarkStart w:id="66081" w:name="_ETM_Q117_353030"/>
      <w:bookmarkEnd w:id="66081"/>
      <w:r>
        <w:rPr>
          <w:rFonts w:hint="cs"/>
          <w:rtl/>
        </w:rPr>
        <w:t xml:space="preserve">-אחיות – </w:t>
      </w:r>
      <w:bookmarkStart w:id="66082" w:name="_ETM_Q117_353450"/>
      <w:bookmarkEnd w:id="66082"/>
      <w:r>
        <w:rPr>
          <w:rFonts w:hint="cs"/>
          <w:rtl/>
        </w:rPr>
        <w:t xml:space="preserve">6.2 </w:t>
      </w:r>
      <w:bookmarkStart w:id="66083" w:name="_ETM_Q117_354230"/>
      <w:bookmarkEnd w:id="66083"/>
      <w:r>
        <w:rPr>
          <w:rFonts w:hint="cs"/>
          <w:rtl/>
        </w:rPr>
        <w:t xml:space="preserve">מרכז, </w:t>
      </w:r>
      <w:bookmarkStart w:id="66084" w:name="_ETM_Q117_354800"/>
      <w:bookmarkEnd w:id="66084"/>
      <w:r>
        <w:rPr>
          <w:rFonts w:hint="cs"/>
          <w:rtl/>
        </w:rPr>
        <w:t xml:space="preserve">4 </w:t>
      </w:r>
      <w:bookmarkStart w:id="66085" w:name="_ETM_Q117_356549"/>
      <w:bookmarkEnd w:id="66085"/>
      <w:r>
        <w:rPr>
          <w:rFonts w:hint="cs"/>
          <w:rtl/>
        </w:rPr>
        <w:t xml:space="preserve">דרום, </w:t>
      </w:r>
      <w:bookmarkStart w:id="66086" w:name="_ETM_Q117_357449"/>
      <w:bookmarkEnd w:id="66086"/>
      <w:r>
        <w:rPr>
          <w:rFonts w:hint="cs"/>
          <w:rtl/>
        </w:rPr>
        <w:t xml:space="preserve">5.4 </w:t>
      </w:r>
      <w:bookmarkStart w:id="66087" w:name="_ETM_Q117_358800"/>
      <w:bookmarkEnd w:id="66087"/>
      <w:r>
        <w:rPr>
          <w:rFonts w:hint="cs"/>
          <w:rtl/>
        </w:rPr>
        <w:t xml:space="preserve">צפון, </w:t>
      </w:r>
      <w:bookmarkStart w:id="66088" w:name="_ETM_Q117_359550"/>
      <w:bookmarkEnd w:id="66088"/>
      <w:r w:rsidR="00DB1905">
        <w:rPr>
          <w:rFonts w:hint="cs"/>
          <w:rtl/>
        </w:rPr>
        <w:t>ב</w:t>
      </w:r>
      <w:r>
        <w:rPr>
          <w:rFonts w:hint="cs"/>
          <w:rtl/>
        </w:rPr>
        <w:t xml:space="preserve">ירושלים </w:t>
      </w:r>
      <w:bookmarkStart w:id="66089" w:name="_ETM_Q117_360120"/>
      <w:bookmarkEnd w:id="66089"/>
      <w:r>
        <w:rPr>
          <w:rFonts w:hint="cs"/>
          <w:rtl/>
        </w:rPr>
        <w:t xml:space="preserve">5. </w:t>
      </w:r>
      <w:bookmarkStart w:id="66090" w:name="_ETM_Q117_361139"/>
      <w:bookmarkStart w:id="66091" w:name="_ETM_Q117_361620"/>
      <w:bookmarkStart w:id="66092" w:name="_ETM_Q117_361860"/>
      <w:bookmarkEnd w:id="66090"/>
      <w:bookmarkEnd w:id="66091"/>
      <w:bookmarkEnd w:id="66092"/>
      <w:r>
        <w:rPr>
          <w:rFonts w:hint="cs"/>
          <w:rtl/>
        </w:rPr>
        <w:t xml:space="preserve">מה </w:t>
      </w:r>
      <w:bookmarkStart w:id="66093" w:name="_ETM_Q117_362010"/>
      <w:bookmarkEnd w:id="66093"/>
      <w:r>
        <w:rPr>
          <w:rFonts w:hint="cs"/>
          <w:rtl/>
        </w:rPr>
        <w:t xml:space="preserve">עושים </w:t>
      </w:r>
      <w:bookmarkStart w:id="66094" w:name="_ETM_Q117_362310"/>
      <w:bookmarkEnd w:id="66094"/>
      <w:r>
        <w:rPr>
          <w:rFonts w:hint="cs"/>
          <w:rtl/>
        </w:rPr>
        <w:t xml:space="preserve">עם </w:t>
      </w:r>
      <w:bookmarkStart w:id="66095" w:name="_ETM_Q117_362430"/>
      <w:bookmarkEnd w:id="66095"/>
      <w:r>
        <w:rPr>
          <w:rFonts w:hint="cs"/>
          <w:rtl/>
        </w:rPr>
        <w:t xml:space="preserve">זה? </w:t>
      </w:r>
      <w:bookmarkStart w:id="66096" w:name="_ETM_Q117_364639"/>
      <w:bookmarkEnd w:id="66096"/>
      <w:r>
        <w:rPr>
          <w:rFonts w:hint="cs"/>
          <w:rtl/>
        </w:rPr>
        <w:t xml:space="preserve">אתה </w:t>
      </w:r>
      <w:bookmarkStart w:id="66097" w:name="_ETM_Q117_364700"/>
      <w:bookmarkEnd w:id="66097"/>
      <w:r>
        <w:rPr>
          <w:rFonts w:hint="cs"/>
          <w:rtl/>
        </w:rPr>
        <w:t xml:space="preserve">רוצה </w:t>
      </w:r>
      <w:bookmarkStart w:id="66098" w:name="_ETM_Q117_364909"/>
      <w:bookmarkEnd w:id="66098"/>
      <w:r>
        <w:rPr>
          <w:rFonts w:hint="cs"/>
          <w:rtl/>
        </w:rPr>
        <w:t xml:space="preserve">לדבר </w:t>
      </w:r>
      <w:bookmarkStart w:id="66099" w:name="_ETM_Q117_365180"/>
      <w:bookmarkEnd w:id="66099"/>
      <w:r>
        <w:rPr>
          <w:rFonts w:hint="cs"/>
          <w:rtl/>
        </w:rPr>
        <w:t xml:space="preserve">גם </w:t>
      </w:r>
      <w:bookmarkStart w:id="66100" w:name="_ETM_Q117_365329"/>
      <w:bookmarkEnd w:id="66100"/>
      <w:r>
        <w:rPr>
          <w:rFonts w:hint="cs"/>
          <w:rtl/>
        </w:rPr>
        <w:t xml:space="preserve">על </w:t>
      </w:r>
      <w:bookmarkStart w:id="66101" w:name="_ETM_Q117_365450"/>
      <w:bookmarkEnd w:id="66101"/>
      <w:r>
        <w:rPr>
          <w:rFonts w:hint="cs"/>
          <w:rtl/>
        </w:rPr>
        <w:t>ה-</w:t>
      </w:r>
      <w:r>
        <w:t>MRI</w:t>
      </w:r>
      <w:r>
        <w:rPr>
          <w:rFonts w:hint="cs"/>
          <w:rtl/>
        </w:rPr>
        <w:t>?</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DB1905">
      <w:pPr>
        <w:rPr>
          <w:rtl/>
        </w:rPr>
      </w:pPr>
      <w:r>
        <w:rPr>
          <w:rFonts w:hint="cs"/>
          <w:rtl/>
        </w:rPr>
        <w:t xml:space="preserve">אני יכול למנות לך עכשיו שעה את הפעילות. הינה, חבר הכנסת יאסר חוג'יראת, </w:t>
      </w:r>
      <w:bookmarkStart w:id="66102" w:name="_ETM_Q117_368879"/>
      <w:bookmarkStart w:id="66103" w:name="_ETM_Q117_369150"/>
      <w:bookmarkStart w:id="66104" w:name="_ETM_Q117_369419"/>
      <w:bookmarkStart w:id="66105" w:name="_ETM_Q117_369659"/>
      <w:bookmarkStart w:id="66106" w:name="_ETM_Q117_369959"/>
      <w:bookmarkStart w:id="66107" w:name="_ETM_Q117_370650"/>
      <w:bookmarkStart w:id="66108" w:name="_ETM_Q117_371159"/>
      <w:bookmarkStart w:id="66109" w:name="_ETM_Q117_371549"/>
      <w:bookmarkStart w:id="66110" w:name="_ETM_Q117_372800"/>
      <w:bookmarkStart w:id="66111" w:name="_ETM_Q117_373040"/>
      <w:bookmarkStart w:id="66112" w:name="_ETM_Q117_373520"/>
      <w:bookmarkStart w:id="66113" w:name="_ETM_Q117_373970"/>
      <w:bookmarkEnd w:id="66102"/>
      <w:bookmarkEnd w:id="66103"/>
      <w:bookmarkEnd w:id="66104"/>
      <w:bookmarkEnd w:id="66105"/>
      <w:bookmarkEnd w:id="66106"/>
      <w:bookmarkEnd w:id="66107"/>
      <w:bookmarkEnd w:id="66108"/>
      <w:bookmarkEnd w:id="66109"/>
      <w:bookmarkEnd w:id="66110"/>
      <w:bookmarkEnd w:id="66111"/>
      <w:bookmarkEnd w:id="66112"/>
      <w:bookmarkEnd w:id="66113"/>
      <w:r>
        <w:rPr>
          <w:rFonts w:hint="cs"/>
          <w:rtl/>
        </w:rPr>
        <w:t xml:space="preserve">חבר ועדת הבריאות, </w:t>
      </w:r>
      <w:bookmarkStart w:id="66114" w:name="_ETM_Q117_374389"/>
      <w:bookmarkEnd w:id="66114"/>
      <w:r>
        <w:rPr>
          <w:rFonts w:hint="cs"/>
          <w:rtl/>
        </w:rPr>
        <w:t>יכול לספר לך ש</w:t>
      </w:r>
      <w:bookmarkStart w:id="66115" w:name="_ETM_Q117_375320"/>
      <w:bookmarkEnd w:id="66115"/>
      <w:r>
        <w:rPr>
          <w:rFonts w:hint="cs"/>
          <w:rtl/>
        </w:rPr>
        <w:t xml:space="preserve">הוועדה דנה </w:t>
      </w:r>
      <w:bookmarkStart w:id="66116" w:name="_ETM_Q117_378389"/>
      <w:bookmarkEnd w:id="66116"/>
      <w:r>
        <w:rPr>
          <w:rFonts w:hint="cs"/>
          <w:rtl/>
        </w:rPr>
        <w:t xml:space="preserve">כל </w:t>
      </w:r>
      <w:bookmarkStart w:id="66117" w:name="_ETM_Q117_378630"/>
      <w:bookmarkEnd w:id="66117"/>
      <w:r>
        <w:rPr>
          <w:rFonts w:hint="cs"/>
          <w:rtl/>
        </w:rPr>
        <w:t xml:space="preserve">הזמן </w:t>
      </w:r>
      <w:bookmarkStart w:id="66118" w:name="_ETM_Q117_379169"/>
      <w:bookmarkEnd w:id="66118"/>
      <w:r>
        <w:rPr>
          <w:rFonts w:hint="cs"/>
          <w:rtl/>
        </w:rPr>
        <w:t xml:space="preserve">בדיוק </w:t>
      </w:r>
      <w:bookmarkStart w:id="66119" w:name="_ETM_Q117_379620"/>
      <w:bookmarkEnd w:id="66119"/>
      <w:r>
        <w:rPr>
          <w:rFonts w:hint="cs"/>
          <w:rtl/>
        </w:rPr>
        <w:t xml:space="preserve">בנושאים </w:t>
      </w:r>
      <w:bookmarkStart w:id="66120" w:name="_ETM_Q117_380010"/>
      <w:bookmarkEnd w:id="66120"/>
      <w:r>
        <w:rPr>
          <w:rFonts w:hint="cs"/>
          <w:rtl/>
        </w:rPr>
        <w:t xml:space="preserve">האלו </w:t>
      </w:r>
      <w:bookmarkStart w:id="66121" w:name="_ETM_Q117_380220"/>
      <w:bookmarkEnd w:id="66121"/>
      <w:r>
        <w:rPr>
          <w:rFonts w:hint="cs"/>
          <w:rtl/>
        </w:rPr>
        <w:t xml:space="preserve">– פערים. </w:t>
      </w:r>
      <w:bookmarkStart w:id="66122" w:name="_ETM_Q117_382190"/>
      <w:bookmarkEnd w:id="66122"/>
      <w:r>
        <w:rPr>
          <w:rFonts w:hint="cs"/>
          <w:rtl/>
        </w:rPr>
        <w:t xml:space="preserve">אפרופו </w:t>
      </w:r>
      <w:bookmarkStart w:id="66123" w:name="_ETM_Q117_383299"/>
      <w:bookmarkEnd w:id="66123"/>
      <w:r>
        <w:t>MRI</w:t>
      </w:r>
      <w:r>
        <w:rPr>
          <w:rFonts w:hint="cs"/>
          <w:rtl/>
        </w:rPr>
        <w:t xml:space="preserve">, </w:t>
      </w:r>
      <w:bookmarkStart w:id="66124" w:name="_ETM_Q117_383750"/>
      <w:bookmarkEnd w:id="66124"/>
      <w:r>
        <w:rPr>
          <w:rFonts w:hint="cs"/>
          <w:rtl/>
        </w:rPr>
        <w:t xml:space="preserve">היינו </w:t>
      </w:r>
      <w:bookmarkStart w:id="66125" w:name="_ETM_Q117_383959"/>
      <w:bookmarkEnd w:id="66125"/>
      <w:r>
        <w:rPr>
          <w:rFonts w:hint="cs"/>
          <w:rtl/>
        </w:rPr>
        <w:t xml:space="preserve">באילת, </w:t>
      </w:r>
      <w:bookmarkStart w:id="66126" w:name="_ETM_Q117_384560"/>
      <w:bookmarkEnd w:id="66126"/>
      <w:r>
        <w:rPr>
          <w:rFonts w:hint="cs"/>
          <w:rtl/>
        </w:rPr>
        <w:t xml:space="preserve">ושם </w:t>
      </w:r>
      <w:bookmarkStart w:id="66127" w:name="_ETM_Q117_385669"/>
      <w:bookmarkEnd w:id="66127"/>
      <w:r>
        <w:rPr>
          <w:rFonts w:hint="cs"/>
          <w:rtl/>
        </w:rPr>
        <w:t xml:space="preserve">קידמנו </w:t>
      </w:r>
      <w:bookmarkStart w:id="66128" w:name="_ETM_Q117_386060"/>
      <w:bookmarkEnd w:id="66128"/>
      <w:r>
        <w:rPr>
          <w:rFonts w:hint="cs"/>
          <w:rtl/>
        </w:rPr>
        <w:t xml:space="preserve">להם </w:t>
      </w:r>
      <w:bookmarkStart w:id="66129" w:name="_ETM_Q117_386569"/>
      <w:bookmarkEnd w:id="66129"/>
      <w:r>
        <w:rPr>
          <w:rFonts w:hint="cs"/>
          <w:rtl/>
        </w:rPr>
        <w:t xml:space="preserve">אישור </w:t>
      </w:r>
      <w:bookmarkStart w:id="66130" w:name="_ETM_Q117_386870"/>
      <w:bookmarkEnd w:id="66130"/>
      <w:r>
        <w:rPr>
          <w:rFonts w:hint="cs"/>
          <w:rtl/>
        </w:rPr>
        <w:t>ל-</w:t>
      </w:r>
      <w:r>
        <w:t>MRI</w:t>
      </w:r>
      <w:r>
        <w:rPr>
          <w:rFonts w:hint="cs"/>
          <w:rtl/>
        </w:rPr>
        <w:t xml:space="preserve">, </w:t>
      </w:r>
      <w:bookmarkStart w:id="66131" w:name="_ETM_Q117_387230"/>
      <w:bookmarkEnd w:id="66131"/>
      <w:r>
        <w:rPr>
          <w:rFonts w:hint="cs"/>
          <w:rtl/>
        </w:rPr>
        <w:t xml:space="preserve">ויש </w:t>
      </w:r>
      <w:bookmarkStart w:id="66132" w:name="_ETM_Q117_387500"/>
      <w:bookmarkEnd w:id="66132"/>
      <w:r>
        <w:rPr>
          <w:rFonts w:hint="cs"/>
          <w:rtl/>
        </w:rPr>
        <w:t xml:space="preserve">להם </w:t>
      </w:r>
      <w:bookmarkStart w:id="66133" w:name="_ETM_Q117_387709"/>
      <w:bookmarkEnd w:id="66133"/>
      <w:r>
        <w:rPr>
          <w:rFonts w:hint="cs"/>
          <w:rtl/>
        </w:rPr>
        <w:t xml:space="preserve">כבר, </w:t>
      </w:r>
      <w:bookmarkStart w:id="66134" w:name="_ETM_Q117_388010"/>
      <w:bookmarkEnd w:id="66134"/>
      <w:r>
        <w:rPr>
          <w:rFonts w:hint="cs"/>
          <w:rtl/>
        </w:rPr>
        <w:t xml:space="preserve">וזה </w:t>
      </w:r>
      <w:bookmarkStart w:id="66135" w:name="_ETM_Q117_388489"/>
      <w:bookmarkEnd w:id="66135"/>
      <w:r>
        <w:rPr>
          <w:rFonts w:hint="cs"/>
          <w:rtl/>
        </w:rPr>
        <w:t xml:space="preserve">יותקן </w:t>
      </w:r>
      <w:bookmarkStart w:id="66136" w:name="_ETM_Q117_388970"/>
      <w:bookmarkEnd w:id="66136"/>
      <w:r>
        <w:rPr>
          <w:rFonts w:hint="cs"/>
          <w:rtl/>
        </w:rPr>
        <w:t xml:space="preserve">בזמן </w:t>
      </w:r>
      <w:bookmarkStart w:id="66137" w:name="_ETM_Q117_389269"/>
      <w:bookmarkEnd w:id="66137"/>
      <w:r>
        <w:rPr>
          <w:rFonts w:hint="cs"/>
          <w:rtl/>
        </w:rPr>
        <w:t>הקרוב.</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 </w:t>
      </w:r>
      <w:bookmarkStart w:id="66138" w:name="_ETM_Q117_389599"/>
      <w:bookmarkEnd w:id="66138"/>
      <w:r>
        <w:rPr>
          <w:rFonts w:hint="cs"/>
          <w:rtl/>
        </w:rPr>
        <w:t xml:space="preserve">אתה </w:t>
      </w:r>
      <w:bookmarkStart w:id="66139" w:name="_ETM_Q117_389690"/>
      <w:bookmarkEnd w:id="66139"/>
      <w:r>
        <w:rPr>
          <w:rFonts w:hint="cs"/>
          <w:rtl/>
        </w:rPr>
        <w:t xml:space="preserve">זוכר </w:t>
      </w:r>
      <w:bookmarkStart w:id="66140" w:name="_ETM_Q117_389930"/>
      <w:bookmarkEnd w:id="66140"/>
      <w:r>
        <w:rPr>
          <w:rFonts w:hint="cs"/>
          <w:rtl/>
        </w:rPr>
        <w:t xml:space="preserve">שדיברנו </w:t>
      </w:r>
      <w:bookmarkStart w:id="66141" w:name="_ETM_Q117_390379"/>
      <w:bookmarkEnd w:id="66141"/>
      <w:r>
        <w:rPr>
          <w:rFonts w:hint="cs"/>
          <w:rtl/>
        </w:rPr>
        <w:t xml:space="preserve">על </w:t>
      </w:r>
      <w:bookmarkStart w:id="66142" w:name="_ETM_Q117_390500"/>
      <w:bookmarkEnd w:id="66142"/>
      <w:r>
        <w:rPr>
          <w:rFonts w:hint="cs"/>
          <w:rtl/>
        </w:rPr>
        <w:t>אילת וקרן הארנונה?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DB1905">
      <w:pPr>
        <w:rPr>
          <w:rtl/>
        </w:rPr>
      </w:pPr>
      <w:r>
        <w:rPr>
          <w:rFonts w:hint="cs"/>
          <w:rtl/>
        </w:rPr>
        <w:t xml:space="preserve"> </w:t>
      </w:r>
      <w:bookmarkStart w:id="66143" w:name="_ETM_Q117_390889"/>
      <w:bookmarkEnd w:id="66143"/>
      <w:r>
        <w:rPr>
          <w:rFonts w:hint="cs"/>
          <w:rtl/>
        </w:rPr>
        <w:t xml:space="preserve">מקימים </w:t>
      </w:r>
      <w:bookmarkStart w:id="66144" w:name="_ETM_Q117_391400"/>
      <w:bookmarkEnd w:id="66144"/>
      <w:r>
        <w:rPr>
          <w:rFonts w:hint="cs"/>
          <w:rtl/>
        </w:rPr>
        <w:t xml:space="preserve">שם </w:t>
      </w:r>
      <w:bookmarkStart w:id="66145" w:name="_ETM_Q117_391730"/>
      <w:bookmarkStart w:id="66146" w:name="_ETM_Q117_392090"/>
      <w:bookmarkEnd w:id="66145"/>
      <w:bookmarkEnd w:id="66146"/>
      <w:r>
        <w:rPr>
          <w:rFonts w:hint="cs"/>
          <w:rtl/>
        </w:rPr>
        <w:t xml:space="preserve">כרגע בית ספר לרפואה, בשביל שאלה שנמצאים שם </w:t>
      </w:r>
      <w:bookmarkStart w:id="66147" w:name="_ETM_Q117_396409"/>
      <w:bookmarkEnd w:id="66147"/>
      <w:r>
        <w:rPr>
          <w:rFonts w:hint="cs"/>
          <w:rtl/>
        </w:rPr>
        <w:t xml:space="preserve">יישארו. </w:t>
      </w:r>
      <w:bookmarkStart w:id="66148" w:name="_ETM_Q117_397600"/>
      <w:bookmarkEnd w:id="66148"/>
      <w:r>
        <w:rPr>
          <w:rFonts w:hint="cs"/>
          <w:rtl/>
        </w:rPr>
        <w:t xml:space="preserve">היינו </w:t>
      </w:r>
      <w:bookmarkStart w:id="66149" w:name="_ETM_Q117_397990"/>
      <w:bookmarkEnd w:id="66149"/>
      <w:r>
        <w:rPr>
          <w:rFonts w:hint="cs"/>
          <w:rtl/>
        </w:rPr>
        <w:t xml:space="preserve">בבתי </w:t>
      </w:r>
      <w:bookmarkStart w:id="66150" w:name="_ETM_Q117_398410"/>
      <w:bookmarkEnd w:id="66150"/>
      <w:r>
        <w:rPr>
          <w:rFonts w:hint="cs"/>
          <w:rtl/>
        </w:rPr>
        <w:t xml:space="preserve">חולים </w:t>
      </w:r>
      <w:bookmarkStart w:id="66151" w:name="_ETM_Q117_399570"/>
      <w:bookmarkEnd w:id="66151"/>
      <w:r>
        <w:rPr>
          <w:rFonts w:hint="cs"/>
          <w:rtl/>
        </w:rPr>
        <w:t xml:space="preserve">הנצרתיים, </w:t>
      </w:r>
      <w:bookmarkStart w:id="66152" w:name="_ETM_Q117_400950"/>
      <w:bookmarkEnd w:id="66152"/>
      <w:r>
        <w:rPr>
          <w:rFonts w:hint="cs"/>
          <w:rtl/>
        </w:rPr>
        <w:t xml:space="preserve">ולא </w:t>
      </w:r>
      <w:bookmarkStart w:id="66153" w:name="_ETM_Q117_401340"/>
      <w:bookmarkEnd w:id="66153"/>
      <w:r>
        <w:rPr>
          <w:rFonts w:hint="cs"/>
          <w:rtl/>
        </w:rPr>
        <w:t xml:space="preserve">רק, גם </w:t>
      </w:r>
      <w:bookmarkStart w:id="66154" w:name="_ETM_Q117_402090"/>
      <w:bookmarkEnd w:id="66154"/>
      <w:r>
        <w:rPr>
          <w:rFonts w:hint="cs"/>
          <w:rtl/>
        </w:rPr>
        <w:t>בנהר</w:t>
      </w:r>
      <w:r w:rsidR="00DB1905">
        <w:rPr>
          <w:rFonts w:hint="cs"/>
          <w:rtl/>
        </w:rPr>
        <w:t>י</w:t>
      </w:r>
      <w:r>
        <w:rPr>
          <w:rFonts w:hint="cs"/>
          <w:rtl/>
        </w:rPr>
        <w:t xml:space="preserve">ה </w:t>
      </w:r>
      <w:bookmarkStart w:id="66155" w:name="_ETM_Q117_402720"/>
      <w:bookmarkEnd w:id="66155"/>
      <w:r>
        <w:rPr>
          <w:rFonts w:hint="cs"/>
          <w:rtl/>
        </w:rPr>
        <w:t xml:space="preserve">ועוד </w:t>
      </w:r>
      <w:bookmarkStart w:id="66156" w:name="_ETM_Q117_402900"/>
      <w:bookmarkEnd w:id="66156"/>
      <w:r>
        <w:rPr>
          <w:rFonts w:hint="cs"/>
          <w:rtl/>
        </w:rPr>
        <w:t xml:space="preserve">מקומות. הוספנו </w:t>
      </w:r>
      <w:bookmarkStart w:id="66157" w:name="_ETM_Q117_403530"/>
      <w:bookmarkStart w:id="66158" w:name="_ETM_Q117_403800"/>
      <w:bookmarkStart w:id="66159" w:name="_ETM_Q117_403989"/>
      <w:bookmarkEnd w:id="66157"/>
      <w:bookmarkEnd w:id="66158"/>
      <w:bookmarkEnd w:id="66159"/>
      <w:r>
        <w:rPr>
          <w:rFonts w:hint="cs"/>
          <w:rtl/>
        </w:rPr>
        <w:t xml:space="preserve">כסף </w:t>
      </w:r>
      <w:bookmarkStart w:id="66160" w:name="_ETM_Q117_404439"/>
      <w:bookmarkEnd w:id="66160"/>
      <w:r>
        <w:rPr>
          <w:rFonts w:hint="cs"/>
          <w:rtl/>
        </w:rPr>
        <w:t xml:space="preserve">בשביל </w:t>
      </w:r>
      <w:bookmarkStart w:id="66161" w:name="_ETM_Q117_405010"/>
      <w:bookmarkEnd w:id="66161"/>
      <w:r>
        <w:rPr>
          <w:rFonts w:hint="cs"/>
          <w:rtl/>
        </w:rPr>
        <w:t xml:space="preserve">לשפר </w:t>
      </w:r>
      <w:bookmarkStart w:id="66162" w:name="_ETM_Q117_405430"/>
      <w:bookmarkEnd w:id="66162"/>
      <w:r>
        <w:rPr>
          <w:rFonts w:hint="cs"/>
          <w:rtl/>
        </w:rPr>
        <w:t xml:space="preserve">את </w:t>
      </w:r>
      <w:bookmarkStart w:id="66163" w:name="_ETM_Q117_405489"/>
      <w:bookmarkEnd w:id="66163"/>
      <w:r>
        <w:rPr>
          <w:rFonts w:hint="cs"/>
          <w:rtl/>
        </w:rPr>
        <w:t xml:space="preserve">המחלקות </w:t>
      </w:r>
      <w:bookmarkStart w:id="66164" w:name="_ETM_Q117_406029"/>
      <w:bookmarkEnd w:id="66164"/>
      <w:r>
        <w:rPr>
          <w:rFonts w:hint="cs"/>
          <w:rtl/>
        </w:rPr>
        <w:t xml:space="preserve">שמה. </w:t>
      </w:r>
      <w:bookmarkStart w:id="66165" w:name="_ETM_Q117_406880"/>
      <w:bookmarkEnd w:id="66165"/>
      <w:r>
        <w:rPr>
          <w:rFonts w:hint="cs"/>
          <w:rtl/>
        </w:rPr>
        <w:t xml:space="preserve">עידוד </w:t>
      </w:r>
      <w:bookmarkStart w:id="66166" w:name="_ETM_Q117_407180"/>
      <w:bookmarkEnd w:id="66166"/>
      <w:r>
        <w:rPr>
          <w:rFonts w:hint="cs"/>
          <w:rtl/>
        </w:rPr>
        <w:t xml:space="preserve">רופאים. </w:t>
      </w:r>
      <w:bookmarkStart w:id="66167" w:name="_ETM_Q117_408050"/>
      <w:bookmarkEnd w:id="66167"/>
      <w:r>
        <w:rPr>
          <w:rFonts w:hint="cs"/>
          <w:rtl/>
        </w:rPr>
        <w:t xml:space="preserve">הרבה </w:t>
      </w:r>
      <w:bookmarkStart w:id="66168" w:name="_ETM_Q117_408290"/>
      <w:bookmarkEnd w:id="66168"/>
      <w:r>
        <w:rPr>
          <w:rFonts w:hint="cs"/>
          <w:rtl/>
        </w:rPr>
        <w:t xml:space="preserve">פעולות </w:t>
      </w:r>
      <w:bookmarkStart w:id="66169" w:name="_ETM_Q117_408560"/>
      <w:bookmarkEnd w:id="66169"/>
      <w:r>
        <w:rPr>
          <w:rFonts w:hint="cs"/>
          <w:rtl/>
        </w:rPr>
        <w:t xml:space="preserve">שנעשות </w:t>
      </w:r>
      <w:bookmarkStart w:id="66170" w:name="_ETM_Q117_408950"/>
      <w:bookmarkEnd w:id="66170"/>
      <w:r>
        <w:rPr>
          <w:rFonts w:hint="cs"/>
          <w:rtl/>
        </w:rPr>
        <w:t xml:space="preserve">בשביל לצמצם פערים. </w:t>
      </w:r>
      <w:bookmarkStart w:id="66171" w:name="_ETM_Q117_409280"/>
      <w:bookmarkStart w:id="66172" w:name="_ETM_Q117_409580"/>
      <w:bookmarkEnd w:id="66171"/>
      <w:bookmarkEnd w:id="66172"/>
      <w:r>
        <w:rPr>
          <w:rFonts w:hint="cs"/>
          <w:rtl/>
        </w:rPr>
        <w:t xml:space="preserve">עדיין </w:t>
      </w:r>
      <w:bookmarkStart w:id="66173" w:name="_ETM_Q117_409910"/>
      <w:bookmarkEnd w:id="66173"/>
      <w:r>
        <w:rPr>
          <w:rFonts w:hint="cs"/>
          <w:rtl/>
        </w:rPr>
        <w:t xml:space="preserve">נשאר </w:t>
      </w:r>
      <w:bookmarkStart w:id="66174" w:name="_ETM_Q117_410150"/>
      <w:bookmarkEnd w:id="66174"/>
      <w:r>
        <w:rPr>
          <w:rFonts w:hint="cs"/>
          <w:rtl/>
        </w:rPr>
        <w:t xml:space="preserve">עוד מה </w:t>
      </w:r>
      <w:bookmarkStart w:id="66175" w:name="_ETM_Q117_410330"/>
      <w:bookmarkEnd w:id="66175"/>
      <w:r>
        <w:rPr>
          <w:rFonts w:hint="cs"/>
          <w:rtl/>
        </w:rPr>
        <w:t>לעשות, אבל אנחנו עובדים על זה.</w:t>
      </w:r>
      <w:r w:rsidR="00DB1905">
        <w:rPr>
          <w:rFonts w:hint="cs"/>
          <w:rtl/>
        </w:rPr>
        <w:t xml:space="preserve"> תמיד יהיו פערים.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DB1905">
      <w:pPr>
        <w:rPr>
          <w:rtl/>
        </w:rPr>
      </w:pPr>
      <w:r>
        <w:rPr>
          <w:rFonts w:hint="cs"/>
          <w:rtl/>
        </w:rPr>
        <w:t>כמה שנים כבר עושים את הפעילויות האלה?</w:t>
      </w:r>
      <w:r w:rsidR="00DB1905">
        <w:rPr>
          <w:rFonts w:hint="cs"/>
          <w:rtl/>
        </w:rPr>
        <w:t xml:space="preserve"> </w:t>
      </w:r>
      <w:r>
        <w:rPr>
          <w:rFonts w:hint="cs"/>
          <w:rtl/>
        </w:rPr>
        <w:t>כמה</w:t>
      </w:r>
      <w:bookmarkStart w:id="66176" w:name="_ETM_Q117_414569"/>
      <w:bookmarkEnd w:id="66176"/>
      <w:r>
        <w:rPr>
          <w:rFonts w:hint="cs"/>
          <w:rtl/>
        </w:rPr>
        <w:t xml:space="preserve"> שנים </w:t>
      </w:r>
      <w:bookmarkStart w:id="66177" w:name="_ETM_Q117_415560"/>
      <w:bookmarkEnd w:id="66177"/>
      <w:r>
        <w:rPr>
          <w:rFonts w:hint="cs"/>
          <w:rtl/>
        </w:rPr>
        <w:t xml:space="preserve">מדברים </w:t>
      </w:r>
      <w:bookmarkStart w:id="66178" w:name="_ETM_Q117_416279"/>
      <w:bookmarkEnd w:id="66178"/>
      <w:r>
        <w:rPr>
          <w:rFonts w:hint="cs"/>
          <w:rtl/>
        </w:rPr>
        <w:t xml:space="preserve">בבית </w:t>
      </w:r>
      <w:bookmarkStart w:id="66179" w:name="_ETM_Q117_416730"/>
      <w:bookmarkEnd w:id="66179"/>
      <w:r>
        <w:rPr>
          <w:rFonts w:hint="cs"/>
          <w:rtl/>
        </w:rPr>
        <w:t xml:space="preserve">הזה </w:t>
      </w:r>
      <w:bookmarkStart w:id="66180" w:name="_ETM_Q117_417599"/>
      <w:bookmarkStart w:id="66181" w:name="_ETM_Q117_417959"/>
      <w:bookmarkStart w:id="66182" w:name="_ETM_Q117_418409"/>
      <w:bookmarkEnd w:id="66180"/>
      <w:bookmarkEnd w:id="66181"/>
      <w:bookmarkEnd w:id="66182"/>
      <w:r>
        <w:rPr>
          <w:rFonts w:hint="cs"/>
          <w:rtl/>
        </w:rPr>
        <w:t xml:space="preserve">על </w:t>
      </w:r>
      <w:bookmarkStart w:id="66183" w:name="_ETM_Q117_418620"/>
      <w:bookmarkEnd w:id="66183"/>
      <w:r>
        <w:rPr>
          <w:rFonts w:hint="cs"/>
          <w:rtl/>
        </w:rPr>
        <w:t xml:space="preserve">הפערים </w:t>
      </w:r>
      <w:bookmarkStart w:id="66184" w:name="_ETM_Q117_419249"/>
      <w:bookmarkEnd w:id="66184"/>
      <w:r>
        <w:rPr>
          <w:rFonts w:hint="cs"/>
          <w:rtl/>
        </w:rPr>
        <w:t>בבריאות, בחינוך?</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 </w:t>
      </w:r>
      <w:bookmarkStart w:id="66185" w:name="_ETM_Q117_420180"/>
      <w:bookmarkEnd w:id="66185"/>
      <w:r>
        <w:rPr>
          <w:rFonts w:hint="cs"/>
          <w:rtl/>
        </w:rPr>
        <w:t xml:space="preserve">לא </w:t>
      </w:r>
      <w:bookmarkStart w:id="66186" w:name="_ETM_Q117_420389"/>
      <w:bookmarkEnd w:id="66186"/>
      <w:r>
        <w:rPr>
          <w:rFonts w:hint="cs"/>
          <w:rtl/>
        </w:rPr>
        <w:t xml:space="preserve">יעזור. </w:t>
      </w:r>
      <w:bookmarkStart w:id="66187" w:name="_ETM_Q117_420900"/>
      <w:bookmarkEnd w:id="66187"/>
      <w:r>
        <w:rPr>
          <w:rFonts w:hint="cs"/>
          <w:rtl/>
        </w:rPr>
        <w:t xml:space="preserve">יש </w:t>
      </w:r>
      <w:bookmarkStart w:id="66188" w:name="_ETM_Q117_421230"/>
      <w:bookmarkEnd w:id="66188"/>
      <w:r>
        <w:rPr>
          <w:rFonts w:hint="cs"/>
          <w:rtl/>
        </w:rPr>
        <w:t xml:space="preserve">הבדל </w:t>
      </w:r>
      <w:bookmarkStart w:id="66189" w:name="_ETM_Q117_421560"/>
      <w:bookmarkEnd w:id="66189"/>
      <w:r>
        <w:rPr>
          <w:rFonts w:hint="cs"/>
          <w:rtl/>
        </w:rPr>
        <w:t xml:space="preserve">דמוגרפי </w:t>
      </w:r>
      <w:bookmarkStart w:id="66190" w:name="_ETM_Q117_422129"/>
      <w:bookmarkEnd w:id="66190"/>
      <w:r>
        <w:rPr>
          <w:rFonts w:hint="cs"/>
          <w:rtl/>
        </w:rPr>
        <w:t xml:space="preserve">בין נהריה </w:t>
      </w:r>
      <w:bookmarkStart w:id="66191" w:name="_ETM_Q117_422849"/>
      <w:bookmarkEnd w:id="66191"/>
      <w:r>
        <w:rPr>
          <w:rFonts w:hint="cs"/>
          <w:rtl/>
        </w:rPr>
        <w:t xml:space="preserve">לבין </w:t>
      </w:r>
      <w:bookmarkStart w:id="66192" w:name="_ETM_Q117_423150"/>
      <w:bookmarkEnd w:id="66192"/>
      <w:r>
        <w:rPr>
          <w:rFonts w:hint="cs"/>
          <w:rtl/>
        </w:rPr>
        <w:t xml:space="preserve">תל </w:t>
      </w:r>
      <w:bookmarkStart w:id="66193" w:name="_ETM_Q117_423435"/>
      <w:bookmarkEnd w:id="66193"/>
      <w:r>
        <w:rPr>
          <w:rFonts w:hint="cs"/>
          <w:rtl/>
        </w:rPr>
        <w:t>אביב.</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 </w:t>
      </w:r>
      <w:bookmarkStart w:id="66194" w:name="_ETM_Q117_423779"/>
      <w:bookmarkEnd w:id="66194"/>
      <w:r>
        <w:rPr>
          <w:rFonts w:hint="cs"/>
          <w:rtl/>
        </w:rPr>
        <w:t xml:space="preserve">השאלה </w:t>
      </w:r>
      <w:bookmarkStart w:id="66195" w:name="_ETM_Q117_424200"/>
      <w:bookmarkEnd w:id="66195"/>
      <w:r>
        <w:rPr>
          <w:rFonts w:hint="cs"/>
          <w:rtl/>
        </w:rPr>
        <w:t xml:space="preserve">אם </w:t>
      </w:r>
      <w:bookmarkStart w:id="66196" w:name="_ETM_Q117_424319"/>
      <w:bookmarkEnd w:id="66196"/>
      <w:r>
        <w:rPr>
          <w:rFonts w:hint="cs"/>
          <w:rtl/>
        </w:rPr>
        <w:t xml:space="preserve">אנחנו </w:t>
      </w:r>
      <w:bookmarkStart w:id="66197" w:name="_ETM_Q117_424590"/>
      <w:bookmarkEnd w:id="66197"/>
      <w:r>
        <w:rPr>
          <w:rFonts w:hint="cs"/>
          <w:rtl/>
        </w:rPr>
        <w:t xml:space="preserve">לא </w:t>
      </w:r>
      <w:bookmarkStart w:id="66198" w:name="_ETM_Q117_424680"/>
      <w:bookmarkEnd w:id="66198"/>
      <w:r>
        <w:rPr>
          <w:rFonts w:hint="cs"/>
          <w:rtl/>
        </w:rPr>
        <w:t xml:space="preserve">צריכים </w:t>
      </w:r>
      <w:bookmarkStart w:id="66199" w:name="_ETM_Q117_425434"/>
      <w:bookmarkEnd w:id="66199"/>
      <w:r>
        <w:rPr>
          <w:rFonts w:hint="cs"/>
          <w:rtl/>
        </w:rPr>
        <w:t xml:space="preserve">בשלב מסוים לבוא ולהגיד: </w:t>
      </w:r>
      <w:bookmarkStart w:id="66200" w:name="_ETM_Q117_425400"/>
      <w:bookmarkStart w:id="66201" w:name="_ETM_Q117_425579"/>
      <w:bookmarkStart w:id="66202" w:name="_ETM_Q117_425879"/>
      <w:bookmarkStart w:id="66203" w:name="_ETM_Q117_426419"/>
      <w:bookmarkEnd w:id="66200"/>
      <w:bookmarkEnd w:id="66201"/>
      <w:bookmarkEnd w:id="66202"/>
      <w:bookmarkEnd w:id="66203"/>
      <w:r>
        <w:rPr>
          <w:rFonts w:hint="cs"/>
          <w:rtl/>
        </w:rPr>
        <w:t xml:space="preserve">מה </w:t>
      </w:r>
      <w:bookmarkStart w:id="66204" w:name="_ETM_Q117_426569"/>
      <w:bookmarkEnd w:id="66204"/>
      <w:r>
        <w:rPr>
          <w:rFonts w:hint="cs"/>
          <w:rtl/>
        </w:rPr>
        <w:t xml:space="preserve">שאנחנו </w:t>
      </w:r>
      <w:bookmarkStart w:id="66205" w:name="_ETM_Q117_426930"/>
      <w:bookmarkEnd w:id="66205"/>
      <w:r>
        <w:rPr>
          <w:rFonts w:hint="cs"/>
          <w:rtl/>
        </w:rPr>
        <w:t xml:space="preserve">עושים </w:t>
      </w:r>
      <w:bookmarkStart w:id="66206" w:name="_ETM_Q117_427590"/>
      <w:bookmarkEnd w:id="66206"/>
      <w:r w:rsidR="00DB1905">
        <w:rPr>
          <w:rFonts w:hint="eastAsia"/>
          <w:rtl/>
        </w:rPr>
        <w:t>–</w:t>
      </w:r>
      <w:r w:rsidR="00DB1905">
        <w:rPr>
          <w:rFonts w:hint="cs"/>
          <w:rtl/>
        </w:rPr>
        <w:t xml:space="preserve"> </w:t>
      </w:r>
      <w:r>
        <w:rPr>
          <w:rFonts w:hint="cs"/>
          <w:rtl/>
        </w:rPr>
        <w:t xml:space="preserve">לא </w:t>
      </w:r>
      <w:bookmarkStart w:id="66207" w:name="_ETM_Q117_428279"/>
      <w:bookmarkStart w:id="66208" w:name="_ETM_Q117_428489"/>
      <w:bookmarkStart w:id="66209" w:name="_ETM_Q117_428849"/>
      <w:bookmarkEnd w:id="66207"/>
      <w:bookmarkEnd w:id="66208"/>
      <w:bookmarkEnd w:id="66209"/>
      <w:r>
        <w:rPr>
          <w:rFonts w:hint="cs"/>
          <w:rtl/>
        </w:rPr>
        <w:t xml:space="preserve">עושים </w:t>
      </w:r>
      <w:bookmarkStart w:id="66210" w:name="_ETM_Q117_429120"/>
      <w:bookmarkStart w:id="66211" w:name="_ETM_Q117_429209"/>
      <w:bookmarkStart w:id="66212" w:name="_ETM_Q117_429510"/>
      <w:bookmarkEnd w:id="66210"/>
      <w:bookmarkEnd w:id="66211"/>
      <w:bookmarkEnd w:id="66212"/>
      <w:r>
        <w:rPr>
          <w:rFonts w:hint="cs"/>
          <w:rtl/>
        </w:rPr>
        <w:t>טוב.</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6213" w:name="_ETM_Q117_430528"/>
      <w:bookmarkStart w:id="66214" w:name="_ETM_Q117_429124"/>
      <w:bookmarkStart w:id="66215" w:name="_ETM_Q117_429202"/>
      <w:bookmarkEnd w:id="66213"/>
      <w:bookmarkEnd w:id="66214"/>
      <w:bookmarkEnd w:id="66215"/>
      <w:r>
        <w:rPr>
          <w:rFonts w:hint="cs"/>
          <w:rtl/>
        </w:rPr>
        <w:t xml:space="preserve"> </w:t>
      </w:r>
      <w:bookmarkStart w:id="66216" w:name="_ETM_Q117_429749"/>
      <w:bookmarkEnd w:id="66216"/>
      <w:r>
        <w:rPr>
          <w:rFonts w:hint="cs"/>
          <w:rtl/>
        </w:rPr>
        <w:t xml:space="preserve">אבל </w:t>
      </w:r>
      <w:bookmarkStart w:id="66217" w:name="_ETM_Q117_429900"/>
      <w:bookmarkEnd w:id="66217"/>
      <w:r>
        <w:rPr>
          <w:rFonts w:hint="cs"/>
          <w:rtl/>
        </w:rPr>
        <w:t xml:space="preserve">אם </w:t>
      </w:r>
      <w:bookmarkStart w:id="66218" w:name="_ETM_Q117_429989"/>
      <w:bookmarkEnd w:id="66218"/>
      <w:r>
        <w:rPr>
          <w:rFonts w:hint="cs"/>
          <w:rtl/>
        </w:rPr>
        <w:t xml:space="preserve">אנחנו </w:t>
      </w:r>
      <w:bookmarkStart w:id="66219" w:name="_ETM_Q117_430230"/>
      <w:bookmarkEnd w:id="66219"/>
      <w:r>
        <w:rPr>
          <w:rFonts w:hint="cs"/>
          <w:rtl/>
        </w:rPr>
        <w:t xml:space="preserve">עושים </w:t>
      </w:r>
      <w:bookmarkStart w:id="66220" w:name="_ETM_Q117_430499"/>
      <w:bookmarkEnd w:id="66220"/>
      <w:r>
        <w:rPr>
          <w:rFonts w:hint="cs"/>
          <w:rtl/>
        </w:rPr>
        <w:t xml:space="preserve">פעולות </w:t>
      </w:r>
      <w:bookmarkStart w:id="66221" w:name="_ETM_Q117_431040"/>
      <w:bookmarkEnd w:id="66221"/>
      <w:r>
        <w:rPr>
          <w:rFonts w:hint="cs"/>
          <w:rtl/>
        </w:rPr>
        <w:t xml:space="preserve">טובות </w:t>
      </w:r>
      <w:bookmarkStart w:id="66222" w:name="_ETM_Q117_431669"/>
      <w:bookmarkEnd w:id="66222"/>
      <w:r>
        <w:rPr>
          <w:rFonts w:hint="cs"/>
          <w:rtl/>
        </w:rPr>
        <w:t xml:space="preserve">בבתי </w:t>
      </w:r>
      <w:bookmarkStart w:id="66223" w:name="_ETM_Q117_432029"/>
      <w:bookmarkEnd w:id="66223"/>
      <w:r>
        <w:rPr>
          <w:rFonts w:hint="cs"/>
          <w:rtl/>
        </w:rPr>
        <w:t xml:space="preserve">חולים </w:t>
      </w:r>
      <w:bookmarkStart w:id="66224" w:name="_ETM_Q117_432569"/>
      <w:bookmarkEnd w:id="66224"/>
      <w:r>
        <w:rPr>
          <w:rFonts w:hint="cs"/>
          <w:rtl/>
        </w:rPr>
        <w:t>בצפון, אז רופאים טוב</w:t>
      </w:r>
      <w:bookmarkStart w:id="66225" w:name="_ETM_Q117_436489"/>
      <w:bookmarkEnd w:id="66225"/>
      <w:r>
        <w:rPr>
          <w:rFonts w:hint="cs"/>
          <w:rtl/>
        </w:rPr>
        <w:t>ים לא ירצו להיות דווקא - - -</w:t>
      </w:r>
    </w:p>
    <w:p w:rsidR="00BB59CD" w:rsidRDefault="00BB59CD" w:rsidP="00BB59CD">
      <w:pPr>
        <w:rPr>
          <w:rtl/>
        </w:rPr>
      </w:pPr>
      <w:bookmarkStart w:id="66226" w:name="_ETM_Q117_438481"/>
      <w:bookmarkStart w:id="66227" w:name="_ETM_Q117_438592"/>
      <w:bookmarkEnd w:id="66226"/>
      <w:bookmarkEnd w:id="66227"/>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6228" w:name="_ETM_Q117_432989"/>
      <w:bookmarkStart w:id="66229" w:name="_ETM_Q117_433379"/>
      <w:bookmarkStart w:id="66230" w:name="_ETM_Q117_433949"/>
      <w:bookmarkStart w:id="66231" w:name="_ETM_Q117_434459"/>
      <w:bookmarkStart w:id="66232" w:name="_ETM_Q117_434879"/>
      <w:bookmarkStart w:id="66233" w:name="_ETM_Q117_434999"/>
      <w:bookmarkStart w:id="66234" w:name="_ETM_Q117_435359"/>
      <w:bookmarkStart w:id="66235" w:name="_ETM_Q117_435569"/>
      <w:bookmarkStart w:id="66236" w:name="_ETM_Q117_436319"/>
      <w:bookmarkStart w:id="66237" w:name="_ETM_Q117_436560"/>
      <w:bookmarkEnd w:id="66228"/>
      <w:bookmarkEnd w:id="66229"/>
      <w:bookmarkEnd w:id="66230"/>
      <w:bookmarkEnd w:id="66231"/>
      <w:bookmarkEnd w:id="66232"/>
      <w:bookmarkEnd w:id="66233"/>
      <w:bookmarkEnd w:id="66234"/>
      <w:bookmarkEnd w:id="66235"/>
      <w:bookmarkEnd w:id="66236"/>
      <w:bookmarkEnd w:id="66237"/>
      <w:r>
        <w:rPr>
          <w:rFonts w:hint="cs"/>
          <w:rtl/>
        </w:rPr>
        <w:t xml:space="preserve">אבל באיזו </w:t>
      </w:r>
      <w:bookmarkStart w:id="66238" w:name="_ETM_Q117_437099"/>
      <w:bookmarkEnd w:id="66238"/>
      <w:r>
        <w:rPr>
          <w:rFonts w:hint="cs"/>
          <w:rtl/>
        </w:rPr>
        <w:t xml:space="preserve">צורה </w:t>
      </w:r>
      <w:bookmarkStart w:id="66239" w:name="_ETM_Q117_437580"/>
      <w:bookmarkEnd w:id="66239"/>
      <w:r>
        <w:rPr>
          <w:rFonts w:hint="cs"/>
          <w:rtl/>
        </w:rPr>
        <w:t xml:space="preserve">אנחנו </w:t>
      </w:r>
      <w:bookmarkStart w:id="66240" w:name="_ETM_Q117_437940"/>
      <w:bookmarkEnd w:id="66240"/>
      <w:r>
        <w:rPr>
          <w:rFonts w:hint="cs"/>
          <w:rtl/>
        </w:rPr>
        <w:t xml:space="preserve">בודקים </w:t>
      </w:r>
      <w:bookmarkStart w:id="66241" w:name="_ETM_Q117_438750"/>
      <w:bookmarkEnd w:id="66241"/>
      <w:r>
        <w:rPr>
          <w:rFonts w:hint="cs"/>
          <w:rtl/>
        </w:rPr>
        <w:t xml:space="preserve">אם </w:t>
      </w:r>
      <w:bookmarkStart w:id="66242" w:name="_ETM_Q117_438960"/>
      <w:bookmarkEnd w:id="66242"/>
      <w:r>
        <w:rPr>
          <w:rFonts w:hint="cs"/>
          <w:rtl/>
        </w:rPr>
        <w:t xml:space="preserve">הפעילות </w:t>
      </w:r>
      <w:bookmarkStart w:id="66243" w:name="_ETM_Q117_439380"/>
      <w:bookmarkEnd w:id="66243"/>
      <w:r>
        <w:rPr>
          <w:rFonts w:hint="cs"/>
          <w:rtl/>
        </w:rPr>
        <w:t xml:space="preserve">שאנחנו </w:t>
      </w:r>
      <w:bookmarkStart w:id="66244" w:name="_ETM_Q117_439800"/>
      <w:bookmarkEnd w:id="66244"/>
      <w:r>
        <w:rPr>
          <w:rFonts w:hint="cs"/>
          <w:rtl/>
        </w:rPr>
        <w:t xml:space="preserve">עושים </w:t>
      </w:r>
      <w:r>
        <w:t>–</w:t>
      </w:r>
      <w:r>
        <w:rPr>
          <w:rFonts w:hint="cs"/>
          <w:rtl/>
        </w:rPr>
        <w:t xml:space="preserve"> </w:t>
      </w:r>
      <w:bookmarkStart w:id="66245" w:name="_ETM_Q117_441100"/>
      <w:bookmarkEnd w:id="66245"/>
      <w:r>
        <w:rPr>
          <w:rFonts w:hint="cs"/>
          <w:rtl/>
        </w:rPr>
        <w:t xml:space="preserve">ואני </w:t>
      </w:r>
      <w:bookmarkStart w:id="66246" w:name="_ETM_Q117_441370"/>
      <w:bookmarkEnd w:id="66246"/>
      <w:r>
        <w:rPr>
          <w:rFonts w:hint="cs"/>
          <w:rtl/>
        </w:rPr>
        <w:t xml:space="preserve">לא </w:t>
      </w:r>
      <w:bookmarkStart w:id="66247" w:name="_ETM_Q117_441460"/>
      <w:bookmarkEnd w:id="66247"/>
      <w:r>
        <w:rPr>
          <w:rFonts w:hint="cs"/>
          <w:rtl/>
        </w:rPr>
        <w:t xml:space="preserve">מזלזל </w:t>
      </w:r>
      <w:bookmarkStart w:id="66248" w:name="_ETM_Q117_441880"/>
      <w:bookmarkEnd w:id="66248"/>
      <w:r>
        <w:rPr>
          <w:rFonts w:hint="cs"/>
          <w:rtl/>
        </w:rPr>
        <w:t xml:space="preserve">בפעילות </w:t>
      </w:r>
      <w:bookmarkStart w:id="66249" w:name="_ETM_Q117_442300"/>
      <w:bookmarkEnd w:id="66249"/>
      <w:r>
        <w:rPr>
          <w:rFonts w:hint="cs"/>
          <w:rtl/>
        </w:rPr>
        <w:t xml:space="preserve">שעושים, </w:t>
      </w:r>
      <w:bookmarkStart w:id="66250" w:name="_ETM_Q117_442690"/>
      <w:bookmarkEnd w:id="66250"/>
      <w:r>
        <w:rPr>
          <w:rFonts w:hint="cs"/>
          <w:rtl/>
        </w:rPr>
        <w:t xml:space="preserve">אני </w:t>
      </w:r>
      <w:bookmarkStart w:id="66251" w:name="_ETM_Q117_442839"/>
      <w:bookmarkEnd w:id="66251"/>
      <w:r>
        <w:rPr>
          <w:rFonts w:hint="cs"/>
          <w:rtl/>
        </w:rPr>
        <w:t xml:space="preserve">לא </w:t>
      </w:r>
      <w:bookmarkStart w:id="66252" w:name="_ETM_Q117_442930"/>
      <w:bookmarkEnd w:id="66252"/>
      <w:r>
        <w:rPr>
          <w:rFonts w:hint="cs"/>
          <w:rtl/>
        </w:rPr>
        <w:t xml:space="preserve">מזלזל </w:t>
      </w:r>
      <w:bookmarkStart w:id="66253" w:name="_ETM_Q117_443289"/>
      <w:bookmarkEnd w:id="66253"/>
      <w:r>
        <w:rPr>
          <w:rFonts w:hint="cs"/>
          <w:rtl/>
        </w:rPr>
        <w:t xml:space="preserve">בכספים </w:t>
      </w:r>
      <w:bookmarkStart w:id="66254" w:name="_ETM_Q117_443710"/>
      <w:bookmarkEnd w:id="66254"/>
      <w:r>
        <w:rPr>
          <w:rFonts w:hint="cs"/>
          <w:rtl/>
        </w:rPr>
        <w:t xml:space="preserve">שמביאים, </w:t>
      </w:r>
      <w:bookmarkStart w:id="66255" w:name="_ETM_Q117_444100"/>
      <w:bookmarkEnd w:id="66255"/>
      <w:r>
        <w:rPr>
          <w:rFonts w:hint="cs"/>
          <w:rtl/>
        </w:rPr>
        <w:t xml:space="preserve">אני </w:t>
      </w:r>
      <w:bookmarkStart w:id="66256" w:name="_ETM_Q117_444190"/>
      <w:bookmarkEnd w:id="66256"/>
      <w:r>
        <w:rPr>
          <w:rFonts w:hint="cs"/>
          <w:rtl/>
        </w:rPr>
        <w:t xml:space="preserve">לא </w:t>
      </w:r>
      <w:bookmarkStart w:id="66257" w:name="_ETM_Q117_444279"/>
      <w:bookmarkEnd w:id="66257"/>
      <w:r>
        <w:rPr>
          <w:rFonts w:hint="cs"/>
          <w:rtl/>
        </w:rPr>
        <w:t xml:space="preserve">מזלזל </w:t>
      </w:r>
      <w:bookmarkStart w:id="66258" w:name="_ETM_Q117_444580"/>
      <w:bookmarkEnd w:id="66258"/>
      <w:r>
        <w:rPr>
          <w:rFonts w:hint="cs"/>
          <w:rtl/>
        </w:rPr>
        <w:t xml:space="preserve">בכספים </w:t>
      </w:r>
      <w:bookmarkStart w:id="66259" w:name="_ETM_Q117_444970"/>
      <w:bookmarkEnd w:id="66259"/>
      <w:r>
        <w:rPr>
          <w:rFonts w:hint="cs"/>
          <w:rtl/>
        </w:rPr>
        <w:t>הקואליציוניים.</w:t>
      </w:r>
    </w:p>
    <w:p w:rsidR="00BB59CD" w:rsidRDefault="00BB59CD" w:rsidP="00BB59CD">
      <w:pPr>
        <w:rPr>
          <w:rtl/>
        </w:rPr>
      </w:pPr>
      <w:bookmarkStart w:id="66260" w:name="_ETM_Q117_448019"/>
      <w:bookmarkStart w:id="66261" w:name="_ETM_Q117_448132"/>
      <w:bookmarkEnd w:id="66260"/>
      <w:bookmarkEnd w:id="66261"/>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כמה שנים כבר מטפלים בצמצום פערים בנושא </w:t>
      </w:r>
      <w:bookmarkStart w:id="66262" w:name="_ETM_Q117_445479"/>
      <w:bookmarkStart w:id="66263" w:name="_ETM_Q117_445600"/>
      <w:bookmarkStart w:id="66264" w:name="_ETM_Q117_445839"/>
      <w:bookmarkStart w:id="66265" w:name="_ETM_Q117_446110"/>
      <w:bookmarkStart w:id="66266" w:name="_ETM_Q117_446169"/>
      <w:bookmarkStart w:id="66267" w:name="_ETM_Q117_446289"/>
      <w:bookmarkStart w:id="66268" w:name="_ETM_Q117_446800"/>
      <w:bookmarkStart w:id="66269" w:name="_ETM_Q117_447310"/>
      <w:bookmarkStart w:id="66270" w:name="_ETM_Q117_448000"/>
      <w:bookmarkStart w:id="66271" w:name="_ETM_Q117_448360"/>
      <w:bookmarkStart w:id="66272" w:name="_ETM_Q117_448690"/>
      <w:bookmarkEnd w:id="66262"/>
      <w:bookmarkEnd w:id="66263"/>
      <w:bookmarkEnd w:id="66264"/>
      <w:bookmarkEnd w:id="66265"/>
      <w:bookmarkEnd w:id="66266"/>
      <w:bookmarkEnd w:id="66267"/>
      <w:bookmarkEnd w:id="66268"/>
      <w:bookmarkEnd w:id="66269"/>
      <w:bookmarkEnd w:id="66270"/>
      <w:bookmarkEnd w:id="66271"/>
      <w:bookmarkEnd w:id="66272"/>
      <w:r>
        <w:rPr>
          <w:rFonts w:hint="cs"/>
          <w:rtl/>
        </w:rPr>
        <w:t>החינוך?</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תודה. </w:t>
      </w:r>
      <w:bookmarkStart w:id="66273" w:name="_ETM_Q117_450190"/>
      <w:bookmarkEnd w:id="66273"/>
      <w:r>
        <w:rPr>
          <w:rFonts w:hint="cs"/>
          <w:rtl/>
        </w:rPr>
        <w:t xml:space="preserve">מעולה. </w:t>
      </w:r>
      <w:bookmarkStart w:id="66274" w:name="_ETM_Q117_451150"/>
      <w:bookmarkEnd w:id="66274"/>
      <w:r>
        <w:rPr>
          <w:rFonts w:hint="cs"/>
          <w:rtl/>
        </w:rPr>
        <w:t xml:space="preserve">זה </w:t>
      </w:r>
      <w:bookmarkStart w:id="66275" w:name="_ETM_Q117_451270"/>
      <w:bookmarkEnd w:id="66275"/>
      <w:r>
        <w:rPr>
          <w:rFonts w:hint="cs"/>
          <w:rtl/>
        </w:rPr>
        <w:t xml:space="preserve">לא </w:t>
      </w:r>
      <w:bookmarkStart w:id="66276" w:name="_ETM_Q117_451419"/>
      <w:bookmarkEnd w:id="66276"/>
      <w:r>
        <w:rPr>
          <w:rFonts w:hint="cs"/>
          <w:rtl/>
        </w:rPr>
        <w:t>עובד.</w:t>
      </w:r>
      <w:bookmarkStart w:id="66277" w:name="_ETM_Q117_455379"/>
      <w:bookmarkEnd w:id="66277"/>
    </w:p>
    <w:p w:rsidR="00BB59CD" w:rsidRDefault="00BB59CD" w:rsidP="00BB59CD">
      <w:pPr>
        <w:rPr>
          <w:rtl/>
        </w:rPr>
      </w:pPr>
      <w:bookmarkStart w:id="66278" w:name="_ETM_Q117_455489"/>
      <w:bookmarkEnd w:id="66278"/>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לא, אתה לא יכול להגיד שזה לא עובד.</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DB1905">
      <w:pPr>
        <w:rPr>
          <w:rtl/>
        </w:rPr>
      </w:pPr>
      <w:bookmarkStart w:id="66279" w:name="_ETM_Q117_453355"/>
      <w:bookmarkEnd w:id="66279"/>
      <w:r>
        <w:rPr>
          <w:rFonts w:hint="cs"/>
          <w:rtl/>
        </w:rPr>
        <w:t xml:space="preserve">אז </w:t>
      </w:r>
      <w:bookmarkStart w:id="66280" w:name="_ETM_Q117_451900"/>
      <w:bookmarkStart w:id="66281" w:name="_ETM_Q117_452229"/>
      <w:bookmarkStart w:id="66282" w:name="_ETM_Q117_452680"/>
      <w:bookmarkStart w:id="66283" w:name="_ETM_Q117_452860"/>
      <w:bookmarkEnd w:id="66280"/>
      <w:bookmarkEnd w:id="66281"/>
      <w:bookmarkEnd w:id="66282"/>
      <w:bookmarkEnd w:id="66283"/>
      <w:r>
        <w:rPr>
          <w:rFonts w:hint="cs"/>
          <w:rtl/>
        </w:rPr>
        <w:t xml:space="preserve">כנראה </w:t>
      </w:r>
      <w:bookmarkStart w:id="66284" w:name="_ETM_Q117_453310"/>
      <w:bookmarkEnd w:id="66284"/>
      <w:r>
        <w:rPr>
          <w:rFonts w:hint="cs"/>
          <w:rtl/>
        </w:rPr>
        <w:t xml:space="preserve">שאם </w:t>
      </w:r>
      <w:bookmarkStart w:id="66285" w:name="_ETM_Q117_453550"/>
      <w:bookmarkEnd w:id="66285"/>
      <w:r>
        <w:rPr>
          <w:rFonts w:hint="cs"/>
          <w:rtl/>
        </w:rPr>
        <w:t xml:space="preserve">אתה עושה 10, 20 </w:t>
      </w:r>
      <w:bookmarkStart w:id="66286" w:name="_ETM_Q117_453639"/>
      <w:bookmarkStart w:id="66287" w:name="_ETM_Q117_454419"/>
      <w:bookmarkStart w:id="66288" w:name="_ETM_Q117_454690"/>
      <w:bookmarkStart w:id="66289" w:name="_ETM_Q117_455050"/>
      <w:bookmarkEnd w:id="66286"/>
      <w:bookmarkEnd w:id="66287"/>
      <w:bookmarkEnd w:id="66288"/>
      <w:bookmarkEnd w:id="66289"/>
      <w:r>
        <w:rPr>
          <w:rFonts w:hint="cs"/>
          <w:rtl/>
        </w:rPr>
        <w:t xml:space="preserve">שנים </w:t>
      </w:r>
      <w:bookmarkStart w:id="66290" w:name="_ETM_Q117_455650"/>
      <w:bookmarkStart w:id="66291" w:name="_ETM_Q117_455860"/>
      <w:bookmarkStart w:id="66292" w:name="_ETM_Q117_456039"/>
      <w:bookmarkEnd w:id="66290"/>
      <w:bookmarkEnd w:id="66291"/>
      <w:bookmarkEnd w:id="66292"/>
      <w:r>
        <w:rPr>
          <w:rFonts w:hint="cs"/>
          <w:rtl/>
        </w:rPr>
        <w:t xml:space="preserve">את הפעילות </w:t>
      </w:r>
      <w:bookmarkStart w:id="66293" w:name="_ETM_Q117_456400"/>
      <w:bookmarkEnd w:id="66293"/>
      <w:r>
        <w:rPr>
          <w:rFonts w:hint="cs"/>
          <w:rtl/>
        </w:rPr>
        <w:t xml:space="preserve">– </w:t>
      </w:r>
      <w:bookmarkStart w:id="66294" w:name="_ETM_Q117_457060"/>
      <w:bookmarkEnd w:id="66294"/>
      <w:r>
        <w:rPr>
          <w:rFonts w:hint="cs"/>
          <w:rtl/>
        </w:rPr>
        <w:t xml:space="preserve">אתה </w:t>
      </w:r>
      <w:bookmarkStart w:id="66295" w:name="_ETM_Q117_457360"/>
      <w:bookmarkEnd w:id="66295"/>
      <w:r>
        <w:rPr>
          <w:rFonts w:hint="cs"/>
          <w:rtl/>
        </w:rPr>
        <w:t xml:space="preserve">רוצה </w:t>
      </w:r>
      <w:bookmarkStart w:id="66296" w:name="_ETM_Q117_457600"/>
      <w:bookmarkEnd w:id="66296"/>
      <w:r>
        <w:rPr>
          <w:rFonts w:hint="cs"/>
          <w:rtl/>
        </w:rPr>
        <w:t xml:space="preserve">לדבר </w:t>
      </w:r>
      <w:bookmarkStart w:id="66297" w:name="_ETM_Q117_457870"/>
      <w:bookmarkEnd w:id="66297"/>
      <w:r>
        <w:rPr>
          <w:rFonts w:hint="cs"/>
          <w:rtl/>
        </w:rPr>
        <w:t xml:space="preserve">על </w:t>
      </w:r>
      <w:bookmarkStart w:id="66298" w:name="_ETM_Q117_457960"/>
      <w:bookmarkEnd w:id="66298"/>
      <w:r>
        <w:rPr>
          <w:rFonts w:hint="cs"/>
          <w:rtl/>
        </w:rPr>
        <w:t xml:space="preserve">10, </w:t>
      </w:r>
      <w:bookmarkStart w:id="66299" w:name="_ETM_Q117_458259"/>
      <w:bookmarkEnd w:id="66299"/>
      <w:r>
        <w:rPr>
          <w:rFonts w:hint="cs"/>
          <w:rtl/>
        </w:rPr>
        <w:t xml:space="preserve">20 </w:t>
      </w:r>
      <w:bookmarkStart w:id="66300" w:name="_ETM_Q117_458500"/>
      <w:bookmarkEnd w:id="66300"/>
      <w:r>
        <w:rPr>
          <w:rFonts w:hint="cs"/>
          <w:rtl/>
        </w:rPr>
        <w:t xml:space="preserve">שנים </w:t>
      </w:r>
      <w:bookmarkStart w:id="66301" w:name="_ETM_Q117_458830"/>
      <w:bookmarkEnd w:id="66301"/>
      <w:r>
        <w:rPr>
          <w:rFonts w:hint="cs"/>
          <w:rtl/>
        </w:rPr>
        <w:t xml:space="preserve">או 30 </w:t>
      </w:r>
      <w:bookmarkStart w:id="66302" w:name="_ETM_Q117_459160"/>
      <w:bookmarkEnd w:id="66302"/>
      <w:r>
        <w:rPr>
          <w:rFonts w:hint="cs"/>
          <w:rtl/>
        </w:rPr>
        <w:t xml:space="preserve">שנה </w:t>
      </w:r>
      <w:bookmarkStart w:id="66303" w:name="_ETM_Q117_459370"/>
      <w:bookmarkEnd w:id="66303"/>
      <w:r>
        <w:rPr>
          <w:rFonts w:hint="cs"/>
          <w:rtl/>
        </w:rPr>
        <w:t xml:space="preserve">שמפלגת ש"ס </w:t>
      </w:r>
      <w:bookmarkStart w:id="66304" w:name="_ETM_Q117_463151"/>
      <w:bookmarkEnd w:id="66304"/>
      <w:r>
        <w:rPr>
          <w:rFonts w:hint="cs"/>
          <w:rtl/>
        </w:rPr>
        <w:t xml:space="preserve">מנסה לצמצם </w:t>
      </w:r>
      <w:bookmarkStart w:id="66305" w:name="_ETM_Q117_459669"/>
      <w:bookmarkStart w:id="66306" w:name="_ETM_Q117_459850"/>
      <w:bookmarkStart w:id="66307" w:name="_ETM_Q117_460300"/>
      <w:bookmarkStart w:id="66308" w:name="_ETM_Q117_461110"/>
      <w:bookmarkStart w:id="66309" w:name="_ETM_Q117_461710"/>
      <w:bookmarkStart w:id="66310" w:name="_ETM_Q117_462070"/>
      <w:bookmarkEnd w:id="66305"/>
      <w:bookmarkEnd w:id="66306"/>
      <w:bookmarkEnd w:id="66307"/>
      <w:bookmarkEnd w:id="66308"/>
      <w:bookmarkEnd w:id="66309"/>
      <w:bookmarkEnd w:id="66310"/>
      <w:r>
        <w:rPr>
          <w:rFonts w:hint="cs"/>
          <w:rtl/>
        </w:rPr>
        <w:t xml:space="preserve">את </w:t>
      </w:r>
      <w:bookmarkStart w:id="66311" w:name="_ETM_Q117_462520"/>
      <w:bookmarkEnd w:id="66311"/>
      <w:r>
        <w:rPr>
          <w:rFonts w:hint="cs"/>
          <w:rtl/>
        </w:rPr>
        <w:t xml:space="preserve">הפערים </w:t>
      </w:r>
      <w:bookmarkStart w:id="66312" w:name="_ETM_Q117_462910"/>
      <w:bookmarkEnd w:id="66312"/>
      <w:r>
        <w:rPr>
          <w:rFonts w:hint="cs"/>
          <w:rtl/>
        </w:rPr>
        <w:t xml:space="preserve">בחברה </w:t>
      </w:r>
      <w:bookmarkStart w:id="66313" w:name="_ETM_Q117_463300"/>
      <w:bookmarkEnd w:id="66313"/>
      <w:r>
        <w:rPr>
          <w:rFonts w:hint="cs"/>
          <w:rtl/>
        </w:rPr>
        <w:t>הישראלית?</w:t>
      </w:r>
      <w:r w:rsidR="00DB1905">
        <w:rPr>
          <w:rFonts w:hint="cs"/>
          <w:rtl/>
        </w:rPr>
        <w:t xml:space="preserve"> המון שנים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DB1905">
      <w:pPr>
        <w:rPr>
          <w:rtl/>
        </w:rPr>
      </w:pPr>
      <w:bookmarkStart w:id="66314" w:name="_ETM_Q117_464575"/>
      <w:bookmarkEnd w:id="66314"/>
      <w:r>
        <w:rPr>
          <w:rFonts w:hint="cs"/>
          <w:rtl/>
        </w:rPr>
        <w:t>המון פערים מצומצמים</w:t>
      </w:r>
      <w:r w:rsidR="00DB1905">
        <w:rPr>
          <w:rFonts w:hint="cs"/>
          <w:rtl/>
        </w:rPr>
        <w:t xml:space="preserve">, </w:t>
      </w:r>
      <w:bookmarkStart w:id="66315" w:name="_ETM_Q117_465386"/>
      <w:bookmarkStart w:id="66316" w:name="_ETM_Q117_465480"/>
      <w:bookmarkEnd w:id="66315"/>
      <w:bookmarkEnd w:id="66316"/>
      <w:r>
        <w:rPr>
          <w:rFonts w:hint="cs"/>
          <w:rtl/>
        </w:rPr>
        <w:t>אבל המון פערים מצומצמים.</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DB1905" w:rsidP="00BB59CD">
      <w:pPr>
        <w:rPr>
          <w:rtl/>
        </w:rPr>
      </w:pPr>
      <w:bookmarkStart w:id="66317" w:name="_ETM_Q117_463960"/>
      <w:bookmarkStart w:id="66318" w:name="_ETM_Q117_464470"/>
      <w:bookmarkStart w:id="66319" w:name="_ETM_Q117_464979"/>
      <w:bookmarkStart w:id="66320" w:name="_ETM_Q117_465370"/>
      <w:bookmarkStart w:id="66321" w:name="_ETM_Q117_465580"/>
      <w:bookmarkStart w:id="66322" w:name="_ETM_Q117_465880"/>
      <w:bookmarkStart w:id="66323" w:name="_ETM_Q117_466360"/>
      <w:bookmarkStart w:id="66324" w:name="_ETM_Q117_466900"/>
      <w:bookmarkEnd w:id="66317"/>
      <w:bookmarkEnd w:id="66318"/>
      <w:bookmarkEnd w:id="66319"/>
      <w:bookmarkEnd w:id="66320"/>
      <w:bookmarkEnd w:id="66321"/>
      <w:bookmarkEnd w:id="66322"/>
      <w:bookmarkEnd w:id="66323"/>
      <w:bookmarkEnd w:id="66324"/>
      <w:r>
        <w:rPr>
          <w:rFonts w:hint="cs"/>
          <w:rtl/>
        </w:rPr>
        <w:t xml:space="preserve">- - </w:t>
      </w:r>
      <w:r w:rsidR="00BB59CD">
        <w:rPr>
          <w:rFonts w:hint="cs"/>
          <w:rtl/>
        </w:rPr>
        <w:t xml:space="preserve">אבל </w:t>
      </w:r>
      <w:bookmarkStart w:id="66325" w:name="_ETM_Q117_467080"/>
      <w:bookmarkEnd w:id="66325"/>
      <w:r w:rsidR="00BB59CD">
        <w:rPr>
          <w:rFonts w:hint="cs"/>
          <w:rtl/>
        </w:rPr>
        <w:t xml:space="preserve">הפערים </w:t>
      </w:r>
      <w:bookmarkStart w:id="66326" w:name="_ETM_Q117_467830"/>
      <w:bookmarkEnd w:id="66326"/>
      <w:r w:rsidR="00BB59CD">
        <w:rPr>
          <w:rFonts w:hint="cs"/>
          <w:rtl/>
        </w:rPr>
        <w:t xml:space="preserve">רק </w:t>
      </w:r>
      <w:bookmarkStart w:id="66327" w:name="_ETM_Q117_470777"/>
      <w:bookmarkEnd w:id="66327"/>
      <w:r w:rsidR="00BB59CD">
        <w:rPr>
          <w:rFonts w:hint="cs"/>
          <w:rtl/>
        </w:rPr>
        <w:t xml:space="preserve">הולכים </w:t>
      </w:r>
      <w:bookmarkStart w:id="66328" w:name="_ETM_Q117_468100"/>
      <w:bookmarkEnd w:id="66328"/>
      <w:r w:rsidR="00BB59CD">
        <w:rPr>
          <w:rFonts w:hint="cs"/>
          <w:rtl/>
        </w:rPr>
        <w:t>וגדלים.</w:t>
      </w:r>
    </w:p>
    <w:p w:rsidR="00BB59CD" w:rsidRDefault="00BB59CD" w:rsidP="00BB59CD">
      <w:pPr>
        <w:rPr>
          <w:rtl/>
        </w:rPr>
      </w:pPr>
      <w:bookmarkStart w:id="66329" w:name="_ETM_Q117_472074"/>
      <w:bookmarkStart w:id="66330" w:name="_ETM_Q117_472185"/>
      <w:bookmarkEnd w:id="66329"/>
      <w:bookmarkEnd w:id="66330"/>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כשאתה עושה רכבות, אז אתה מצמצם פערים עם הזמן.</w:t>
      </w:r>
    </w:p>
    <w:p w:rsidR="00BB59CD" w:rsidRDefault="00BB59CD" w:rsidP="00BB59CD">
      <w:pPr>
        <w:rPr>
          <w:rtl/>
        </w:rPr>
      </w:pPr>
      <w:bookmarkStart w:id="66331" w:name="_ETM_Q117_473613"/>
      <w:bookmarkStart w:id="66332" w:name="_ETM_Q117_473704"/>
      <w:bookmarkEnd w:id="66331"/>
      <w:bookmarkEnd w:id="66332"/>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6333" w:name="_ETM_Q117_475518"/>
      <w:bookmarkEnd w:id="66333"/>
      <w:r>
        <w:rPr>
          <w:rFonts w:hint="cs"/>
          <w:rtl/>
        </w:rPr>
        <w:t>איזה רכבות עושים?</w:t>
      </w:r>
    </w:p>
    <w:p w:rsidR="00BB59CD" w:rsidRDefault="00BB59CD" w:rsidP="00BB59CD">
      <w:pPr>
        <w:rPr>
          <w:rtl/>
        </w:rPr>
      </w:pPr>
      <w:bookmarkStart w:id="66334" w:name="_ETM_Q117_477359"/>
      <w:bookmarkStart w:id="66335" w:name="_ETM_Q117_477468"/>
      <w:bookmarkEnd w:id="66334"/>
      <w:bookmarkEnd w:id="6633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6336" w:name="_ETM_Q117_478936"/>
      <w:bookmarkEnd w:id="66336"/>
      <w:r>
        <w:rPr>
          <w:rFonts w:hint="cs"/>
          <w:rtl/>
        </w:rPr>
        <w:t xml:space="preserve">לנסוע היום </w:t>
      </w:r>
      <w:bookmarkStart w:id="66337" w:name="_ETM_Q117_472217"/>
      <w:bookmarkStart w:id="66338" w:name="_ETM_Q117_472326"/>
      <w:bookmarkStart w:id="66339" w:name="_ETM_Q117_476089"/>
      <w:bookmarkStart w:id="66340" w:name="_ETM_Q117_476449"/>
      <w:bookmarkStart w:id="66341" w:name="_ETM_Q117_476660"/>
      <w:bookmarkEnd w:id="66337"/>
      <w:bookmarkEnd w:id="66338"/>
      <w:bookmarkEnd w:id="66339"/>
      <w:bookmarkEnd w:id="66340"/>
      <w:bookmarkEnd w:id="66341"/>
      <w:r>
        <w:rPr>
          <w:rFonts w:hint="cs"/>
          <w:rtl/>
        </w:rPr>
        <w:t xml:space="preserve">לנהריה </w:t>
      </w:r>
      <w:bookmarkStart w:id="66342" w:name="_ETM_Q117_477949"/>
      <w:bookmarkEnd w:id="66342"/>
      <w:r>
        <w:rPr>
          <w:rFonts w:hint="cs"/>
          <w:rtl/>
        </w:rPr>
        <w:t xml:space="preserve">או </w:t>
      </w:r>
      <w:bookmarkStart w:id="66343" w:name="_ETM_Q117_478010"/>
      <w:bookmarkEnd w:id="66343"/>
      <w:r>
        <w:rPr>
          <w:rFonts w:hint="cs"/>
          <w:rtl/>
        </w:rPr>
        <w:t xml:space="preserve">לחיפה </w:t>
      </w:r>
      <w:bookmarkStart w:id="66344" w:name="_ETM_Q117_478490"/>
      <w:bookmarkEnd w:id="66344"/>
      <w:r>
        <w:rPr>
          <w:rFonts w:hint="cs"/>
          <w:rtl/>
        </w:rPr>
        <w:t xml:space="preserve">או </w:t>
      </w:r>
      <w:bookmarkStart w:id="66345" w:name="_ETM_Q117_478550"/>
      <w:bookmarkEnd w:id="66345"/>
      <w:r>
        <w:rPr>
          <w:rFonts w:hint="cs"/>
          <w:rtl/>
        </w:rPr>
        <w:t xml:space="preserve">למקומות </w:t>
      </w:r>
      <w:bookmarkStart w:id="66346" w:name="_ETM_Q117_479000"/>
      <w:bookmarkEnd w:id="66346"/>
      <w:r>
        <w:rPr>
          <w:rFonts w:hint="cs"/>
          <w:rtl/>
        </w:rPr>
        <w:t xml:space="preserve">– </w:t>
      </w:r>
      <w:bookmarkStart w:id="66347" w:name="_ETM_Q117_479300"/>
      <w:bookmarkStart w:id="66348" w:name="_ETM_Q117_479510"/>
      <w:bookmarkStart w:id="66349" w:name="_ETM_Q117_479660"/>
      <w:bookmarkStart w:id="66350" w:name="_ETM_Q117_479870"/>
      <w:bookmarkEnd w:id="66347"/>
      <w:bookmarkEnd w:id="66348"/>
      <w:bookmarkEnd w:id="66349"/>
      <w:bookmarkEnd w:id="66350"/>
      <w:r>
        <w:rPr>
          <w:rFonts w:hint="cs"/>
          <w:rtl/>
        </w:rPr>
        <w:t xml:space="preserve">זה </w:t>
      </w:r>
      <w:bookmarkStart w:id="66351" w:name="_ETM_Q117_479990"/>
      <w:bookmarkEnd w:id="66351"/>
      <w:r>
        <w:rPr>
          <w:rFonts w:hint="cs"/>
          <w:rtl/>
        </w:rPr>
        <w:t xml:space="preserve">יותר </w:t>
      </w:r>
      <w:bookmarkStart w:id="66352" w:name="_ETM_Q117_480199"/>
      <w:bookmarkEnd w:id="66352"/>
      <w:r>
        <w:rPr>
          <w:rFonts w:hint="cs"/>
          <w:rtl/>
        </w:rPr>
        <w:t>קרוב.</w:t>
      </w:r>
      <w:bookmarkStart w:id="66353" w:name="_ETM_Q117_481087"/>
      <w:bookmarkEnd w:id="66353"/>
    </w:p>
    <w:p w:rsidR="00BB59CD" w:rsidRDefault="00BB59CD" w:rsidP="00BB59CD">
      <w:pPr>
        <w:rPr>
          <w:rtl/>
        </w:rPr>
      </w:pPr>
      <w:bookmarkStart w:id="66354" w:name="_ETM_Q117_481192"/>
      <w:bookmarkEnd w:id="66354"/>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DB1905">
      <w:pPr>
        <w:rPr>
          <w:rtl/>
        </w:rPr>
      </w:pPr>
      <w:bookmarkStart w:id="66355" w:name="_ETM_Q117_482477"/>
      <w:bookmarkEnd w:id="66355"/>
      <w:r>
        <w:rPr>
          <w:rFonts w:hint="cs"/>
          <w:rtl/>
        </w:rPr>
        <w:t xml:space="preserve">בשנת </w:t>
      </w:r>
      <w:bookmarkStart w:id="66356" w:name="_ETM_Q117_481248"/>
      <w:bookmarkStart w:id="66357" w:name="_ETM_Q117_481342"/>
      <w:bookmarkStart w:id="66358" w:name="_ETM_Q117_480589"/>
      <w:bookmarkStart w:id="66359" w:name="_ETM_Q117_480000"/>
      <w:bookmarkStart w:id="66360" w:name="_ETM_Q117_480240"/>
      <w:bookmarkStart w:id="66361" w:name="_ETM_Q117_480450"/>
      <w:bookmarkStart w:id="66362" w:name="_ETM_Q117_480570"/>
      <w:bookmarkStart w:id="66363" w:name="_ETM_Q117_480779"/>
      <w:bookmarkStart w:id="66364" w:name="_ETM_Q117_481230"/>
      <w:bookmarkStart w:id="66365" w:name="_ETM_Q117_481709"/>
      <w:bookmarkEnd w:id="66356"/>
      <w:bookmarkEnd w:id="66357"/>
      <w:bookmarkEnd w:id="66358"/>
      <w:bookmarkEnd w:id="66359"/>
      <w:bookmarkEnd w:id="66360"/>
      <w:bookmarkEnd w:id="66361"/>
      <w:bookmarkEnd w:id="66362"/>
      <w:bookmarkEnd w:id="66363"/>
      <w:bookmarkEnd w:id="66364"/>
      <w:bookmarkEnd w:id="66365"/>
      <w:r>
        <w:rPr>
          <w:rFonts w:hint="cs"/>
          <w:rtl/>
        </w:rPr>
        <w:t xml:space="preserve">1940 </w:t>
      </w:r>
      <w:bookmarkStart w:id="66366" w:name="_ETM_Q117_482669"/>
      <w:bookmarkEnd w:id="66366"/>
      <w:r>
        <w:rPr>
          <w:rFonts w:hint="cs"/>
          <w:rtl/>
        </w:rPr>
        <w:t xml:space="preserve">היו </w:t>
      </w:r>
      <w:bookmarkStart w:id="66367" w:name="_ETM_Q117_482850"/>
      <w:bookmarkEnd w:id="66367"/>
      <w:r>
        <w:rPr>
          <w:rFonts w:hint="cs"/>
          <w:rtl/>
        </w:rPr>
        <w:t xml:space="preserve">רכבות </w:t>
      </w:r>
      <w:bookmarkStart w:id="66368" w:name="_ETM_Q117_483389"/>
      <w:bookmarkEnd w:id="66368"/>
      <w:r>
        <w:rPr>
          <w:rFonts w:hint="cs"/>
          <w:rtl/>
        </w:rPr>
        <w:t xml:space="preserve">פה. </w:t>
      </w:r>
      <w:bookmarkStart w:id="66369" w:name="_ETM_Q117_483929"/>
      <w:bookmarkEnd w:id="66369"/>
      <w:r>
        <w:rPr>
          <w:rFonts w:hint="cs"/>
          <w:rtl/>
        </w:rPr>
        <w:t xml:space="preserve">אנחנו </w:t>
      </w:r>
      <w:bookmarkStart w:id="66370" w:name="_ETM_Q117_484259"/>
      <w:bookmarkEnd w:id="66370"/>
      <w:r>
        <w:rPr>
          <w:rFonts w:hint="cs"/>
          <w:rtl/>
        </w:rPr>
        <w:t xml:space="preserve">מדברים </w:t>
      </w:r>
      <w:bookmarkStart w:id="66371" w:name="_ETM_Q117_484620"/>
      <w:bookmarkEnd w:id="66371"/>
      <w:r>
        <w:rPr>
          <w:rFonts w:hint="cs"/>
          <w:rtl/>
        </w:rPr>
        <w:t xml:space="preserve">על </w:t>
      </w:r>
      <w:bookmarkStart w:id="66372" w:name="_ETM_Q117_484799"/>
      <w:bookmarkEnd w:id="66372"/>
      <w:r>
        <w:rPr>
          <w:rFonts w:hint="cs"/>
          <w:rtl/>
        </w:rPr>
        <w:t xml:space="preserve">משהו </w:t>
      </w:r>
      <w:bookmarkStart w:id="66373" w:name="_ETM_Q117_485069"/>
      <w:bookmarkEnd w:id="66373"/>
      <w:r>
        <w:rPr>
          <w:rFonts w:hint="cs"/>
          <w:rtl/>
        </w:rPr>
        <w:t xml:space="preserve">שהוא </w:t>
      </w:r>
      <w:bookmarkStart w:id="66374" w:name="_ETM_Q117_485250"/>
      <w:bookmarkEnd w:id="66374"/>
      <w:r>
        <w:rPr>
          <w:rFonts w:hint="cs"/>
          <w:rtl/>
        </w:rPr>
        <w:t xml:space="preserve">היסטורי. </w:t>
      </w:r>
      <w:bookmarkStart w:id="66375" w:name="_ETM_Q117_486899"/>
      <w:bookmarkEnd w:id="66375"/>
      <w:r>
        <w:rPr>
          <w:rFonts w:hint="cs"/>
          <w:rtl/>
        </w:rPr>
        <w:t xml:space="preserve">לא, </w:t>
      </w:r>
      <w:bookmarkStart w:id="66376" w:name="_ETM_Q117_487139"/>
      <w:bookmarkEnd w:id="66376"/>
      <w:r>
        <w:rPr>
          <w:rFonts w:hint="cs"/>
          <w:rtl/>
        </w:rPr>
        <w:t xml:space="preserve">באמת, </w:t>
      </w:r>
      <w:bookmarkStart w:id="66377" w:name="_ETM_Q117_488120"/>
      <w:bookmarkStart w:id="66378" w:name="_ETM_Q117_488570"/>
      <w:bookmarkEnd w:id="66377"/>
      <w:bookmarkEnd w:id="66378"/>
      <w:r>
        <w:rPr>
          <w:rFonts w:hint="cs"/>
          <w:rtl/>
        </w:rPr>
        <w:t xml:space="preserve">זה </w:t>
      </w:r>
      <w:bookmarkStart w:id="66379" w:name="_ETM_Q117_489050"/>
      <w:bookmarkEnd w:id="66379"/>
      <w:r>
        <w:rPr>
          <w:rFonts w:hint="cs"/>
          <w:rtl/>
        </w:rPr>
        <w:t xml:space="preserve">באמת </w:t>
      </w:r>
      <w:bookmarkStart w:id="66380" w:name="_ETM_Q117_489470"/>
      <w:bookmarkEnd w:id="66380"/>
      <w:r>
        <w:rPr>
          <w:rFonts w:hint="cs"/>
          <w:rtl/>
        </w:rPr>
        <w:t xml:space="preserve">עכשיו. </w:t>
      </w:r>
      <w:bookmarkStart w:id="66381" w:name="_ETM_Q117_489770"/>
      <w:bookmarkStart w:id="66382" w:name="_ETM_Q117_490520"/>
      <w:bookmarkStart w:id="66383" w:name="_ETM_Q117_490940"/>
      <w:bookmarkEnd w:id="66381"/>
      <w:bookmarkEnd w:id="66382"/>
      <w:bookmarkEnd w:id="66383"/>
      <w:r>
        <w:rPr>
          <w:rFonts w:hint="cs"/>
          <w:rtl/>
        </w:rPr>
        <w:t xml:space="preserve">20, 30 </w:t>
      </w:r>
      <w:bookmarkStart w:id="66384" w:name="_ETM_Q117_491240"/>
      <w:bookmarkEnd w:id="66384"/>
      <w:r>
        <w:rPr>
          <w:rFonts w:hint="cs"/>
          <w:rtl/>
        </w:rPr>
        <w:t xml:space="preserve">שנה </w:t>
      </w:r>
      <w:bookmarkStart w:id="66385" w:name="_ETM_Q117_492099"/>
      <w:bookmarkEnd w:id="66385"/>
      <w:r>
        <w:rPr>
          <w:rFonts w:hint="cs"/>
          <w:rtl/>
        </w:rPr>
        <w:t xml:space="preserve">המפלגה </w:t>
      </w:r>
      <w:bookmarkStart w:id="66386" w:name="_ETM_Q117_492669"/>
      <w:bookmarkEnd w:id="66386"/>
      <w:r>
        <w:rPr>
          <w:rFonts w:hint="cs"/>
          <w:rtl/>
        </w:rPr>
        <w:t xml:space="preserve">שלך – אין </w:t>
      </w:r>
      <w:bookmarkStart w:id="66387" w:name="_ETM_Q117_493360"/>
      <w:bookmarkEnd w:id="66387"/>
      <w:r>
        <w:rPr>
          <w:rFonts w:hint="cs"/>
          <w:rtl/>
        </w:rPr>
        <w:t xml:space="preserve">מה </w:t>
      </w:r>
      <w:bookmarkStart w:id="66388" w:name="_ETM_Q117_493480"/>
      <w:bookmarkEnd w:id="66388"/>
      <w:r>
        <w:rPr>
          <w:rFonts w:hint="cs"/>
          <w:rtl/>
        </w:rPr>
        <w:t xml:space="preserve">לעשות, כל </w:t>
      </w:r>
      <w:bookmarkStart w:id="66389" w:name="_ETM_Q117_496440"/>
      <w:bookmarkEnd w:id="66389"/>
      <w:r>
        <w:rPr>
          <w:rFonts w:hint="cs"/>
          <w:rtl/>
        </w:rPr>
        <w:t xml:space="preserve">בסיס </w:t>
      </w:r>
      <w:bookmarkStart w:id="66390" w:name="_ETM_Q117_497430"/>
      <w:bookmarkEnd w:id="66390"/>
      <w:r>
        <w:rPr>
          <w:rFonts w:hint="cs"/>
          <w:rtl/>
        </w:rPr>
        <w:t xml:space="preserve">היותה </w:t>
      </w:r>
      <w:bookmarkStart w:id="66391" w:name="_ETM_Q117_498150"/>
      <w:bookmarkStart w:id="66392" w:name="_ETM_Q117_498270"/>
      <w:bookmarkEnd w:id="66391"/>
      <w:bookmarkEnd w:id="66392"/>
      <w:r>
        <w:rPr>
          <w:rFonts w:hint="cs"/>
          <w:rtl/>
        </w:rPr>
        <w:t xml:space="preserve">או בסיס </w:t>
      </w:r>
      <w:bookmarkStart w:id="66393" w:name="_ETM_Q117_498630"/>
      <w:bookmarkEnd w:id="66393"/>
      <w:r>
        <w:rPr>
          <w:rFonts w:hint="cs"/>
          <w:rtl/>
        </w:rPr>
        <w:t xml:space="preserve">קיומה </w:t>
      </w:r>
      <w:bookmarkStart w:id="66394" w:name="_ETM_Q117_499140"/>
      <w:bookmarkEnd w:id="66394"/>
      <w:r>
        <w:rPr>
          <w:rFonts w:hint="cs"/>
          <w:rtl/>
        </w:rPr>
        <w:t xml:space="preserve">ומסד </w:t>
      </w:r>
      <w:bookmarkStart w:id="66395" w:name="_ETM_Q117_499740"/>
      <w:bookmarkEnd w:id="66395"/>
      <w:r>
        <w:rPr>
          <w:rFonts w:hint="cs"/>
          <w:rtl/>
        </w:rPr>
        <w:t xml:space="preserve">קיומה </w:t>
      </w:r>
      <w:bookmarkStart w:id="66396" w:name="_ETM_Q117_500220"/>
      <w:bookmarkEnd w:id="66396"/>
      <w:r>
        <w:rPr>
          <w:rFonts w:hint="cs"/>
          <w:rtl/>
        </w:rPr>
        <w:t xml:space="preserve">היה </w:t>
      </w:r>
      <w:bookmarkStart w:id="66397" w:name="_ETM_Q117_500460"/>
      <w:bookmarkEnd w:id="66397"/>
      <w:r>
        <w:rPr>
          <w:rFonts w:hint="cs"/>
          <w:rtl/>
        </w:rPr>
        <w:t xml:space="preserve">על צמצום </w:t>
      </w:r>
      <w:bookmarkStart w:id="66398" w:name="_ETM_Q117_501300"/>
      <w:bookmarkEnd w:id="66398"/>
      <w:r>
        <w:rPr>
          <w:rFonts w:hint="cs"/>
          <w:rtl/>
        </w:rPr>
        <w:t xml:space="preserve">הפערים </w:t>
      </w:r>
      <w:bookmarkStart w:id="66399" w:name="_ETM_Q117_502050"/>
      <w:bookmarkEnd w:id="66399"/>
      <w:r>
        <w:rPr>
          <w:rFonts w:hint="cs"/>
          <w:rtl/>
        </w:rPr>
        <w:t xml:space="preserve">החברתיים. </w:t>
      </w:r>
      <w:bookmarkStart w:id="66400" w:name="_ETM_Q117_503300"/>
      <w:bookmarkEnd w:id="66400"/>
      <w:r>
        <w:rPr>
          <w:rFonts w:hint="cs"/>
          <w:rtl/>
        </w:rPr>
        <w:t xml:space="preserve">זה </w:t>
      </w:r>
      <w:bookmarkStart w:id="66401" w:name="_ETM_Q117_503509"/>
      <w:bookmarkEnd w:id="66401"/>
      <w:r>
        <w:rPr>
          <w:rFonts w:hint="cs"/>
          <w:rtl/>
        </w:rPr>
        <w:t xml:space="preserve">לא </w:t>
      </w:r>
      <w:bookmarkStart w:id="66402" w:name="_ETM_Q117_503689"/>
      <w:bookmarkEnd w:id="66402"/>
      <w:r>
        <w:rPr>
          <w:rFonts w:hint="cs"/>
          <w:rtl/>
        </w:rPr>
        <w:t xml:space="preserve">עובד. </w:t>
      </w:r>
      <w:bookmarkStart w:id="66403" w:name="_ETM_Q117_504320"/>
      <w:bookmarkEnd w:id="66403"/>
      <w:r>
        <w:rPr>
          <w:rFonts w:hint="cs"/>
          <w:rtl/>
        </w:rPr>
        <w:t xml:space="preserve">משהו </w:t>
      </w:r>
      <w:bookmarkStart w:id="66404" w:name="_ETM_Q117_504769"/>
      <w:bookmarkEnd w:id="66404"/>
      <w:r>
        <w:rPr>
          <w:rFonts w:hint="cs"/>
          <w:rtl/>
        </w:rPr>
        <w:t xml:space="preserve">שעושים לא עושים טוב. </w:t>
      </w:r>
      <w:bookmarkStart w:id="66405" w:name="_ETM_Q117_505757"/>
      <w:bookmarkStart w:id="66406" w:name="_ETM_Q117_505369"/>
      <w:bookmarkStart w:id="66407" w:name="_ETM_Q117_505560"/>
      <w:bookmarkStart w:id="66408" w:name="_ETM_Q117_506339"/>
      <w:bookmarkEnd w:id="66405"/>
      <w:bookmarkEnd w:id="66406"/>
      <w:bookmarkEnd w:id="66407"/>
      <w:bookmarkEnd w:id="66408"/>
      <w:r>
        <w:rPr>
          <w:rFonts w:hint="cs"/>
          <w:rtl/>
        </w:rPr>
        <w:t xml:space="preserve">מסכים? </w:t>
      </w:r>
      <w:bookmarkStart w:id="66409" w:name="_ETM_Q117_506970"/>
      <w:bookmarkEnd w:id="66409"/>
      <w:r>
        <w:rPr>
          <w:rFonts w:hint="cs"/>
          <w:rtl/>
        </w:rPr>
        <w:t xml:space="preserve">כי </w:t>
      </w:r>
      <w:bookmarkStart w:id="66410" w:name="_ETM_Q117_507150"/>
      <w:bookmarkEnd w:id="66410"/>
      <w:r>
        <w:rPr>
          <w:rFonts w:hint="cs"/>
          <w:rtl/>
        </w:rPr>
        <w:t xml:space="preserve">אם </w:t>
      </w:r>
      <w:bookmarkStart w:id="66411" w:name="_ETM_Q117_507210"/>
      <w:bookmarkStart w:id="66412" w:name="_ETM_Q117_507510"/>
      <w:bookmarkStart w:id="66413" w:name="_ETM_Q117_507689"/>
      <w:bookmarkEnd w:id="66411"/>
      <w:bookmarkEnd w:id="66412"/>
      <w:bookmarkEnd w:id="66413"/>
      <w:r>
        <w:rPr>
          <w:rFonts w:hint="cs"/>
          <w:rtl/>
        </w:rPr>
        <w:t xml:space="preserve">הפערים </w:t>
      </w:r>
      <w:bookmarkStart w:id="66414" w:name="_ETM_Q117_508080"/>
      <w:bookmarkEnd w:id="66414"/>
      <w:r>
        <w:rPr>
          <w:rFonts w:hint="cs"/>
          <w:rtl/>
        </w:rPr>
        <w:t xml:space="preserve">החברתיים </w:t>
      </w:r>
      <w:bookmarkStart w:id="66415" w:name="_ETM_Q117_508529"/>
      <w:bookmarkEnd w:id="66415"/>
      <w:r>
        <w:rPr>
          <w:rFonts w:hint="cs"/>
          <w:rtl/>
        </w:rPr>
        <w:t xml:space="preserve">רק </w:t>
      </w:r>
      <w:bookmarkStart w:id="66416" w:name="_ETM_Q117_508800"/>
      <w:bookmarkEnd w:id="66416"/>
      <w:r>
        <w:rPr>
          <w:rFonts w:hint="cs"/>
          <w:rtl/>
        </w:rPr>
        <w:t>עולים</w:t>
      </w:r>
      <w:r w:rsidR="00DB1905">
        <w:rPr>
          <w:rFonts w:hint="cs"/>
          <w:rtl/>
        </w:rPr>
        <w:t>,</w:t>
      </w:r>
      <w:r>
        <w:rPr>
          <w:rFonts w:hint="cs"/>
          <w:rtl/>
        </w:rPr>
        <w:t xml:space="preserve"> </w:t>
      </w:r>
      <w:bookmarkStart w:id="66417" w:name="_ETM_Q117_509519"/>
      <w:bookmarkEnd w:id="66417"/>
      <w:r>
        <w:rPr>
          <w:rFonts w:hint="cs"/>
          <w:rtl/>
        </w:rPr>
        <w:t xml:space="preserve">גדלים, </w:t>
      </w:r>
      <w:bookmarkStart w:id="66418" w:name="_ETM_Q117_510270"/>
      <w:bookmarkEnd w:id="66418"/>
      <w:r>
        <w:rPr>
          <w:rFonts w:hint="cs"/>
          <w:rtl/>
        </w:rPr>
        <w:t xml:space="preserve">אז </w:t>
      </w:r>
      <w:bookmarkStart w:id="66419" w:name="_ETM_Q117_510480"/>
      <w:bookmarkEnd w:id="66419"/>
      <w:r>
        <w:rPr>
          <w:rFonts w:hint="cs"/>
          <w:rtl/>
        </w:rPr>
        <w:t xml:space="preserve">אולי </w:t>
      </w:r>
      <w:bookmarkStart w:id="66420" w:name="_ETM_Q117_510779"/>
      <w:bookmarkEnd w:id="66420"/>
      <w:r>
        <w:rPr>
          <w:rFonts w:hint="cs"/>
          <w:rtl/>
        </w:rPr>
        <w:t xml:space="preserve">משהו </w:t>
      </w:r>
      <w:bookmarkStart w:id="66421" w:name="_ETM_Q117_511080"/>
      <w:bookmarkEnd w:id="66421"/>
      <w:r>
        <w:rPr>
          <w:rFonts w:hint="cs"/>
          <w:rtl/>
        </w:rPr>
        <w:t xml:space="preserve">לא </w:t>
      </w:r>
      <w:bookmarkStart w:id="66422" w:name="_ETM_Q117_511259"/>
      <w:bookmarkEnd w:id="66422"/>
      <w:r>
        <w:rPr>
          <w:rFonts w:hint="cs"/>
          <w:rtl/>
        </w:rPr>
        <w:t xml:space="preserve">עובד טוב, </w:t>
      </w:r>
      <w:bookmarkStart w:id="66423" w:name="_ETM_Q117_511990"/>
      <w:bookmarkEnd w:id="66423"/>
      <w:r>
        <w:rPr>
          <w:rFonts w:hint="cs"/>
          <w:rtl/>
        </w:rPr>
        <w:t xml:space="preserve">אולי </w:t>
      </w:r>
      <w:bookmarkStart w:id="66424" w:name="_ETM_Q117_512440"/>
      <w:bookmarkEnd w:id="66424"/>
      <w:r>
        <w:rPr>
          <w:rFonts w:hint="cs"/>
          <w:rtl/>
        </w:rPr>
        <w:t xml:space="preserve">משהו </w:t>
      </w:r>
      <w:bookmarkStart w:id="66425" w:name="_ETM_Q117_512710"/>
      <w:bookmarkEnd w:id="66425"/>
      <w:r>
        <w:rPr>
          <w:rFonts w:hint="cs"/>
          <w:rtl/>
        </w:rPr>
        <w:t xml:space="preserve">צריך </w:t>
      </w:r>
      <w:bookmarkStart w:id="66426" w:name="_ETM_Q117_512980"/>
      <w:bookmarkEnd w:id="66426"/>
      <w:r>
        <w:rPr>
          <w:rFonts w:hint="cs"/>
          <w:rtl/>
        </w:rPr>
        <w:t xml:space="preserve">לעשות </w:t>
      </w:r>
      <w:bookmarkStart w:id="66427" w:name="_ETM_Q117_513279"/>
      <w:bookmarkEnd w:id="66427"/>
      <w:r>
        <w:rPr>
          <w:rFonts w:hint="cs"/>
          <w:rtl/>
        </w:rPr>
        <w:t xml:space="preserve">שונה. </w:t>
      </w:r>
      <w:bookmarkStart w:id="66428" w:name="_ETM_Q117_514010"/>
      <w:bookmarkEnd w:id="66428"/>
      <w:r>
        <w:rPr>
          <w:rFonts w:hint="cs"/>
          <w:rtl/>
        </w:rPr>
        <w:t xml:space="preserve">אולי </w:t>
      </w:r>
      <w:bookmarkStart w:id="66429" w:name="_ETM_Q117_514370"/>
      <w:bookmarkEnd w:id="66429"/>
      <w:r>
        <w:rPr>
          <w:rFonts w:hint="cs"/>
          <w:rtl/>
        </w:rPr>
        <w:t xml:space="preserve">משהו </w:t>
      </w:r>
      <w:bookmarkStart w:id="66430" w:name="_ETM_Q117_514670"/>
      <w:bookmarkStart w:id="66431" w:name="_ETM_Q117_515059"/>
      <w:bookmarkStart w:id="66432" w:name="_ETM_Q117_515359"/>
      <w:bookmarkEnd w:id="66430"/>
      <w:bookmarkEnd w:id="66431"/>
      <w:bookmarkEnd w:id="66432"/>
      <w:r>
        <w:rPr>
          <w:rFonts w:hint="cs"/>
          <w:rtl/>
        </w:rPr>
        <w:t xml:space="preserve">שאתם </w:t>
      </w:r>
      <w:bookmarkStart w:id="66433" w:name="_ETM_Q117_515779"/>
      <w:bookmarkEnd w:id="66433"/>
      <w:r>
        <w:rPr>
          <w:rFonts w:hint="cs"/>
          <w:rtl/>
        </w:rPr>
        <w:t xml:space="preserve">עושים </w:t>
      </w:r>
      <w:bookmarkStart w:id="66434" w:name="_ETM_Q117_516109"/>
      <w:bookmarkEnd w:id="66434"/>
      <w:r>
        <w:rPr>
          <w:rFonts w:hint="cs"/>
          <w:rtl/>
        </w:rPr>
        <w:t xml:space="preserve">בחינוך </w:t>
      </w:r>
      <w:bookmarkStart w:id="66435" w:name="_ETM_Q117_516559"/>
      <w:bookmarkEnd w:id="66435"/>
      <w:r>
        <w:rPr>
          <w:rFonts w:hint="cs"/>
          <w:rtl/>
        </w:rPr>
        <w:t xml:space="preserve">לא </w:t>
      </w:r>
      <w:bookmarkStart w:id="66436" w:name="_ETM_Q117_516769"/>
      <w:bookmarkEnd w:id="66436"/>
      <w:r>
        <w:rPr>
          <w:rFonts w:hint="cs"/>
          <w:rtl/>
        </w:rPr>
        <w:t xml:space="preserve">עובד </w:t>
      </w:r>
      <w:bookmarkStart w:id="66437" w:name="_ETM_Q117_517069"/>
      <w:bookmarkEnd w:id="66437"/>
      <w:r>
        <w:rPr>
          <w:rFonts w:hint="cs"/>
          <w:rtl/>
        </w:rPr>
        <w:t xml:space="preserve">טוב? </w:t>
      </w:r>
      <w:bookmarkStart w:id="66438" w:name="_ETM_Q117_517850"/>
      <w:bookmarkEnd w:id="66438"/>
    </w:p>
    <w:p w:rsidR="00BB59CD" w:rsidRDefault="00BB59CD" w:rsidP="00BB59CD">
      <w:pPr>
        <w:rPr>
          <w:rtl/>
        </w:rPr>
      </w:pPr>
      <w:bookmarkStart w:id="66439" w:name="_ETM_Q117_523696"/>
      <w:bookmarkStart w:id="66440" w:name="_ETM_Q117_523842"/>
      <w:bookmarkEnd w:id="66439"/>
      <w:bookmarkEnd w:id="66440"/>
    </w:p>
    <w:p w:rsidR="00BB59CD" w:rsidRDefault="00BB59CD" w:rsidP="002F1C45">
      <w:pPr>
        <w:rPr>
          <w:rtl/>
        </w:rPr>
      </w:pPr>
      <w:bookmarkStart w:id="66441" w:name="_ETM_Q117_523907"/>
      <w:bookmarkStart w:id="66442" w:name="_ETM_Q117_523970"/>
      <w:bookmarkEnd w:id="66441"/>
      <w:bookmarkEnd w:id="66442"/>
      <w:r>
        <w:rPr>
          <w:rFonts w:hint="cs"/>
          <w:rtl/>
        </w:rPr>
        <w:t xml:space="preserve">איך </w:t>
      </w:r>
      <w:bookmarkStart w:id="66443" w:name="_ETM_Q117_518059"/>
      <w:bookmarkEnd w:id="66443"/>
      <w:r>
        <w:rPr>
          <w:rFonts w:hint="cs"/>
          <w:rtl/>
        </w:rPr>
        <w:t xml:space="preserve">אתה </w:t>
      </w:r>
      <w:bookmarkStart w:id="66444" w:name="_ETM_Q117_518420"/>
      <w:bookmarkStart w:id="66445" w:name="_ETM_Q117_518600"/>
      <w:bookmarkStart w:id="66446" w:name="_ETM_Q117_518779"/>
      <w:bookmarkEnd w:id="66444"/>
      <w:bookmarkEnd w:id="66445"/>
      <w:bookmarkEnd w:id="66446"/>
      <w:r>
        <w:rPr>
          <w:rFonts w:hint="cs"/>
          <w:rtl/>
        </w:rPr>
        <w:t xml:space="preserve">מודד </w:t>
      </w:r>
      <w:bookmarkStart w:id="66447" w:name="_ETM_Q117_519050"/>
      <w:bookmarkEnd w:id="66447"/>
      <w:r>
        <w:rPr>
          <w:rFonts w:hint="cs"/>
          <w:rtl/>
        </w:rPr>
        <w:t xml:space="preserve">בסוף </w:t>
      </w:r>
      <w:bookmarkStart w:id="66448" w:name="_ETM_Q117_519469"/>
      <w:bookmarkEnd w:id="66448"/>
      <w:r>
        <w:rPr>
          <w:rFonts w:hint="cs"/>
          <w:rtl/>
        </w:rPr>
        <w:t xml:space="preserve">את </w:t>
      </w:r>
      <w:bookmarkStart w:id="66449" w:name="_ETM_Q117_519679"/>
      <w:bookmarkEnd w:id="66449"/>
      <w:r>
        <w:rPr>
          <w:rFonts w:hint="cs"/>
          <w:rtl/>
        </w:rPr>
        <w:t xml:space="preserve">הפעילות </w:t>
      </w:r>
      <w:bookmarkStart w:id="66450" w:name="_ETM_Q117_520070"/>
      <w:bookmarkEnd w:id="66450"/>
      <w:r>
        <w:rPr>
          <w:rFonts w:hint="cs"/>
          <w:rtl/>
        </w:rPr>
        <w:t xml:space="preserve">שאתה </w:t>
      </w:r>
      <w:bookmarkStart w:id="66451" w:name="_ETM_Q117_520279"/>
      <w:bookmarkEnd w:id="66451"/>
      <w:r>
        <w:rPr>
          <w:rFonts w:hint="cs"/>
          <w:rtl/>
        </w:rPr>
        <w:t xml:space="preserve">עושה? </w:t>
      </w:r>
      <w:bookmarkStart w:id="66452" w:name="_ETM_Q117_521070"/>
      <w:bookmarkEnd w:id="66452"/>
      <w:r>
        <w:rPr>
          <w:rFonts w:hint="cs"/>
          <w:rtl/>
        </w:rPr>
        <w:t xml:space="preserve">לא </w:t>
      </w:r>
      <w:bookmarkStart w:id="66453" w:name="_ETM_Q117_521339"/>
      <w:bookmarkEnd w:id="66453"/>
      <w:r>
        <w:rPr>
          <w:rFonts w:hint="cs"/>
          <w:rtl/>
        </w:rPr>
        <w:t xml:space="preserve">במספר </w:t>
      </w:r>
      <w:bookmarkStart w:id="66454" w:name="_ETM_Q117_521789"/>
      <w:bookmarkEnd w:id="66454"/>
      <w:r>
        <w:rPr>
          <w:rFonts w:hint="cs"/>
          <w:rtl/>
        </w:rPr>
        <w:t xml:space="preserve">הכפיים </w:t>
      </w:r>
      <w:bookmarkStart w:id="66455" w:name="_ETM_Q117_522239"/>
      <w:bookmarkEnd w:id="66455"/>
      <w:r>
        <w:rPr>
          <w:rFonts w:hint="cs"/>
          <w:rtl/>
        </w:rPr>
        <w:t xml:space="preserve">שאתה </w:t>
      </w:r>
      <w:bookmarkStart w:id="66456" w:name="_ETM_Q117_522420"/>
      <w:bookmarkEnd w:id="66456"/>
      <w:r>
        <w:rPr>
          <w:rFonts w:hint="cs"/>
          <w:rtl/>
        </w:rPr>
        <w:t xml:space="preserve">מקבל </w:t>
      </w:r>
      <w:bookmarkStart w:id="66457" w:name="_ETM_Q117_522750"/>
      <w:bookmarkEnd w:id="66457"/>
      <w:r>
        <w:rPr>
          <w:rFonts w:hint="cs"/>
          <w:rtl/>
        </w:rPr>
        <w:t xml:space="preserve">במליאה </w:t>
      </w:r>
      <w:bookmarkStart w:id="66458" w:name="_ETM_Q117_523199"/>
      <w:bookmarkEnd w:id="66458"/>
      <w:r>
        <w:rPr>
          <w:rFonts w:hint="cs"/>
          <w:rtl/>
        </w:rPr>
        <w:t xml:space="preserve">על זה </w:t>
      </w:r>
      <w:bookmarkStart w:id="66459" w:name="_ETM_Q117_523350"/>
      <w:bookmarkEnd w:id="66459"/>
      <w:r>
        <w:rPr>
          <w:rFonts w:hint="cs"/>
          <w:rtl/>
        </w:rPr>
        <w:t xml:space="preserve">שהבאת </w:t>
      </w:r>
      <w:bookmarkStart w:id="66460" w:name="_ETM_Q117_525500"/>
      <w:bookmarkStart w:id="66461" w:name="_ETM_Q117_526100"/>
      <w:bookmarkEnd w:id="66460"/>
      <w:bookmarkEnd w:id="66461"/>
      <w:r>
        <w:rPr>
          <w:rFonts w:hint="cs"/>
          <w:rtl/>
        </w:rPr>
        <w:t>40 מיליון שקל</w:t>
      </w:r>
      <w:r w:rsidR="00DB1905">
        <w:rPr>
          <w:rFonts w:hint="cs"/>
          <w:rtl/>
        </w:rPr>
        <w:t>,</w:t>
      </w:r>
      <w:r>
        <w:rPr>
          <w:rFonts w:hint="cs"/>
          <w:rtl/>
        </w:rPr>
        <w:t xml:space="preserve"> </w:t>
      </w:r>
      <w:bookmarkStart w:id="66462" w:name="_ETM_Q117_526370"/>
      <w:bookmarkEnd w:id="66462"/>
      <w:r>
        <w:rPr>
          <w:rFonts w:hint="cs"/>
          <w:rtl/>
        </w:rPr>
        <w:t xml:space="preserve">נניח </w:t>
      </w:r>
      <w:bookmarkStart w:id="66463" w:name="_ETM_Q117_526670"/>
      <w:bookmarkEnd w:id="66463"/>
      <w:r>
        <w:rPr>
          <w:rFonts w:hint="cs"/>
          <w:rtl/>
        </w:rPr>
        <w:t xml:space="preserve">לחדר </w:t>
      </w:r>
      <w:bookmarkStart w:id="66464" w:name="_ETM_Q117_527059"/>
      <w:bookmarkEnd w:id="66464"/>
      <w:r>
        <w:rPr>
          <w:rFonts w:hint="cs"/>
          <w:rtl/>
        </w:rPr>
        <w:t xml:space="preserve">מיון </w:t>
      </w:r>
      <w:bookmarkStart w:id="66465" w:name="_ETM_Q117_527329"/>
      <w:bookmarkEnd w:id="66465"/>
      <w:r>
        <w:rPr>
          <w:rFonts w:hint="cs"/>
          <w:rtl/>
        </w:rPr>
        <w:t xml:space="preserve">קדמי </w:t>
      </w:r>
      <w:bookmarkStart w:id="66466" w:name="_ETM_Q117_527989"/>
      <w:bookmarkEnd w:id="66466"/>
      <w:r>
        <w:rPr>
          <w:rFonts w:hint="cs"/>
          <w:rtl/>
        </w:rPr>
        <w:t>בקריית שמונה</w:t>
      </w:r>
      <w:r w:rsidR="00DB1905">
        <w:rPr>
          <w:rFonts w:hint="cs"/>
          <w:rtl/>
        </w:rPr>
        <w:t>.</w:t>
      </w:r>
      <w:r>
        <w:rPr>
          <w:rFonts w:hint="cs"/>
          <w:rtl/>
        </w:rPr>
        <w:t xml:space="preserve"> </w:t>
      </w:r>
      <w:bookmarkStart w:id="66467" w:name="_ETM_Q117_529129"/>
      <w:bookmarkStart w:id="66468" w:name="_ETM_Q117_529279"/>
      <w:bookmarkEnd w:id="66467"/>
      <w:bookmarkEnd w:id="66468"/>
      <w:r>
        <w:rPr>
          <w:rFonts w:hint="cs"/>
          <w:rtl/>
        </w:rPr>
        <w:t xml:space="preserve">אם </w:t>
      </w:r>
      <w:bookmarkStart w:id="66469" w:name="_ETM_Q117_529489"/>
      <w:bookmarkEnd w:id="66469"/>
      <w:r>
        <w:rPr>
          <w:rFonts w:hint="cs"/>
          <w:rtl/>
        </w:rPr>
        <w:t xml:space="preserve">דיברנו </w:t>
      </w:r>
      <w:bookmarkStart w:id="66470" w:name="_ETM_Q117_529879"/>
      <w:bookmarkEnd w:id="66470"/>
      <w:r>
        <w:rPr>
          <w:rFonts w:hint="cs"/>
          <w:rtl/>
        </w:rPr>
        <w:t xml:space="preserve">על </w:t>
      </w:r>
      <w:bookmarkStart w:id="66471" w:name="_ETM_Q117_530000"/>
      <w:bookmarkEnd w:id="66471"/>
      <w:r>
        <w:rPr>
          <w:rFonts w:hint="cs"/>
          <w:rtl/>
        </w:rPr>
        <w:t>אילת,</w:t>
      </w:r>
      <w:bookmarkStart w:id="66472" w:name="_ETM_Q117_531200"/>
      <w:bookmarkEnd w:id="66472"/>
      <w:r>
        <w:rPr>
          <w:rFonts w:hint="cs"/>
          <w:rtl/>
        </w:rPr>
        <w:t xml:space="preserve"> </w:t>
      </w:r>
      <w:r w:rsidR="00DB1905">
        <w:rPr>
          <w:rFonts w:hint="cs"/>
          <w:rtl/>
        </w:rPr>
        <w:t xml:space="preserve">בטח </w:t>
      </w:r>
      <w:r>
        <w:rPr>
          <w:rFonts w:hint="cs"/>
          <w:rtl/>
        </w:rPr>
        <w:t xml:space="preserve">דיברנו </w:t>
      </w:r>
      <w:bookmarkStart w:id="66473" w:name="_ETM_Q117_531620"/>
      <w:bookmarkEnd w:id="66473"/>
      <w:r>
        <w:rPr>
          <w:rFonts w:hint="cs"/>
          <w:rtl/>
        </w:rPr>
        <w:t xml:space="preserve">על </w:t>
      </w:r>
      <w:bookmarkStart w:id="66474" w:name="_ETM_Q117_531710"/>
      <w:bookmarkEnd w:id="66474"/>
      <w:r>
        <w:rPr>
          <w:rFonts w:hint="cs"/>
          <w:rtl/>
        </w:rPr>
        <w:t xml:space="preserve">אילת </w:t>
      </w:r>
      <w:bookmarkStart w:id="66475" w:name="_ETM_Q117_531920"/>
      <w:bookmarkStart w:id="66476" w:name="_ETM_Q117_532190"/>
      <w:bookmarkEnd w:id="66475"/>
      <w:bookmarkEnd w:id="66476"/>
      <w:r>
        <w:rPr>
          <w:rFonts w:hint="cs"/>
          <w:rtl/>
        </w:rPr>
        <w:t xml:space="preserve">בהקשר </w:t>
      </w:r>
      <w:bookmarkStart w:id="66477" w:name="_ETM_Q117_532520"/>
      <w:bookmarkEnd w:id="66477"/>
      <w:r>
        <w:rPr>
          <w:rFonts w:hint="cs"/>
          <w:rtl/>
        </w:rPr>
        <w:t xml:space="preserve">של </w:t>
      </w:r>
      <w:bookmarkStart w:id="66478" w:name="_ETM_Q117_533779"/>
      <w:bookmarkEnd w:id="66478"/>
      <w:r>
        <w:rPr>
          <w:rFonts w:hint="cs"/>
          <w:rtl/>
        </w:rPr>
        <w:t>פריפריה</w:t>
      </w:r>
      <w:r w:rsidR="00DB1905">
        <w:rPr>
          <w:rFonts w:hint="cs"/>
          <w:rtl/>
        </w:rPr>
        <w:t>;</w:t>
      </w:r>
      <w:r>
        <w:rPr>
          <w:rFonts w:hint="cs"/>
          <w:rtl/>
        </w:rPr>
        <w:t xml:space="preserve"> </w:t>
      </w:r>
      <w:bookmarkStart w:id="66479" w:name="_ETM_Q117_534410"/>
      <w:bookmarkEnd w:id="66479"/>
      <w:r>
        <w:rPr>
          <w:rFonts w:hint="cs"/>
          <w:rtl/>
        </w:rPr>
        <w:t xml:space="preserve">זה </w:t>
      </w:r>
      <w:bookmarkStart w:id="66480" w:name="_ETM_Q117_534649"/>
      <w:bookmarkEnd w:id="66480"/>
      <w:r>
        <w:rPr>
          <w:rFonts w:hint="cs"/>
          <w:rtl/>
        </w:rPr>
        <w:t xml:space="preserve">לא </w:t>
      </w:r>
      <w:bookmarkStart w:id="66481" w:name="_ETM_Q117_534770"/>
      <w:bookmarkEnd w:id="66481"/>
      <w:r>
        <w:rPr>
          <w:rFonts w:hint="cs"/>
          <w:rtl/>
        </w:rPr>
        <w:t xml:space="preserve">רק </w:t>
      </w:r>
      <w:bookmarkStart w:id="66482" w:name="_ETM_Q117_534950"/>
      <w:bookmarkEnd w:id="66482"/>
      <w:r>
        <w:rPr>
          <w:rFonts w:hint="cs"/>
          <w:rtl/>
        </w:rPr>
        <w:t>פריפריה</w:t>
      </w:r>
      <w:r w:rsidR="00DB1905">
        <w:rPr>
          <w:rFonts w:hint="cs"/>
          <w:rtl/>
        </w:rPr>
        <w:t>,</w:t>
      </w:r>
      <w:r>
        <w:rPr>
          <w:rFonts w:hint="cs"/>
          <w:rtl/>
        </w:rPr>
        <w:t xml:space="preserve"> </w:t>
      </w:r>
      <w:bookmarkStart w:id="66483" w:name="_ETM_Q117_535550"/>
      <w:bookmarkEnd w:id="66483"/>
      <w:r>
        <w:rPr>
          <w:rFonts w:hint="cs"/>
          <w:rtl/>
        </w:rPr>
        <w:t xml:space="preserve">זה </w:t>
      </w:r>
      <w:bookmarkStart w:id="66484" w:name="_ETM_Q117_535730"/>
      <w:bookmarkEnd w:id="66484"/>
      <w:r>
        <w:rPr>
          <w:rFonts w:hint="cs"/>
          <w:rtl/>
        </w:rPr>
        <w:t xml:space="preserve">אי, </w:t>
      </w:r>
      <w:bookmarkStart w:id="66485" w:name="_ETM_Q117_536270"/>
      <w:bookmarkEnd w:id="66485"/>
      <w:r>
        <w:rPr>
          <w:rFonts w:hint="cs"/>
          <w:rtl/>
        </w:rPr>
        <w:t xml:space="preserve">אילת. </w:t>
      </w:r>
      <w:bookmarkStart w:id="66486" w:name="_ETM_Q117_536690"/>
      <w:bookmarkEnd w:id="66486"/>
      <w:r>
        <w:rPr>
          <w:rFonts w:hint="cs"/>
          <w:rtl/>
        </w:rPr>
        <w:t xml:space="preserve">דיברנו </w:t>
      </w:r>
      <w:bookmarkStart w:id="66487" w:name="_ETM_Q117_537200"/>
      <w:bookmarkEnd w:id="66487"/>
      <w:r>
        <w:rPr>
          <w:rFonts w:hint="cs"/>
          <w:rtl/>
        </w:rPr>
        <w:t xml:space="preserve">על </w:t>
      </w:r>
      <w:bookmarkStart w:id="66488" w:name="_ETM_Q117_537260"/>
      <w:bookmarkEnd w:id="66488"/>
      <w:r>
        <w:rPr>
          <w:rFonts w:hint="cs"/>
          <w:rtl/>
        </w:rPr>
        <w:t xml:space="preserve">זה </w:t>
      </w:r>
      <w:bookmarkStart w:id="66489" w:name="_ETM_Q117_537379"/>
      <w:bookmarkEnd w:id="66489"/>
      <w:r>
        <w:rPr>
          <w:rFonts w:hint="cs"/>
          <w:rtl/>
        </w:rPr>
        <w:t xml:space="preserve">בהקשר </w:t>
      </w:r>
      <w:bookmarkStart w:id="66490" w:name="_ETM_Q117_537680"/>
      <w:bookmarkEnd w:id="66490"/>
      <w:r>
        <w:rPr>
          <w:rFonts w:hint="cs"/>
          <w:rtl/>
        </w:rPr>
        <w:t xml:space="preserve">של </w:t>
      </w:r>
      <w:bookmarkStart w:id="66491" w:name="_ETM_Q117_538100"/>
      <w:bookmarkEnd w:id="66491"/>
      <w:r>
        <w:rPr>
          <w:rFonts w:hint="cs"/>
          <w:rtl/>
        </w:rPr>
        <w:t xml:space="preserve">קרן </w:t>
      </w:r>
      <w:bookmarkStart w:id="66492" w:name="_ETM_Q117_538430"/>
      <w:bookmarkEnd w:id="66492"/>
      <w:r>
        <w:rPr>
          <w:rFonts w:hint="cs"/>
          <w:rtl/>
        </w:rPr>
        <w:t xml:space="preserve">הארנונה, </w:t>
      </w:r>
      <w:bookmarkStart w:id="66493" w:name="_ETM_Q117_538850"/>
      <w:bookmarkEnd w:id="66493"/>
      <w:r>
        <w:rPr>
          <w:rFonts w:hint="cs"/>
          <w:rtl/>
        </w:rPr>
        <w:t xml:space="preserve">שבה </w:t>
      </w:r>
      <w:bookmarkStart w:id="66494" w:name="_ETM_Q117_539390"/>
      <w:bookmarkEnd w:id="66494"/>
      <w:r>
        <w:rPr>
          <w:rFonts w:hint="cs"/>
          <w:rtl/>
        </w:rPr>
        <w:t xml:space="preserve">אתם </w:t>
      </w:r>
      <w:bookmarkStart w:id="66495" w:name="_ETM_Q117_539660"/>
      <w:bookmarkEnd w:id="66495"/>
      <w:r>
        <w:rPr>
          <w:rFonts w:hint="cs"/>
          <w:rtl/>
        </w:rPr>
        <w:t xml:space="preserve">חישבתם </w:t>
      </w:r>
      <w:bookmarkStart w:id="66496" w:name="_ETM_Q117_540140"/>
      <w:bookmarkEnd w:id="66496"/>
      <w:r>
        <w:rPr>
          <w:rFonts w:hint="cs"/>
          <w:rtl/>
        </w:rPr>
        <w:t xml:space="preserve">את </w:t>
      </w:r>
      <w:bookmarkStart w:id="66497" w:name="_ETM_Q117_540199"/>
      <w:bookmarkEnd w:id="66497"/>
      <w:r>
        <w:rPr>
          <w:rFonts w:hint="cs"/>
          <w:rtl/>
        </w:rPr>
        <w:t xml:space="preserve">זה </w:t>
      </w:r>
      <w:bookmarkStart w:id="66498" w:name="_ETM_Q117_540290"/>
      <w:bookmarkEnd w:id="66498"/>
      <w:r>
        <w:rPr>
          <w:rFonts w:hint="cs"/>
          <w:rtl/>
        </w:rPr>
        <w:t xml:space="preserve">בתצורה </w:t>
      </w:r>
      <w:bookmarkStart w:id="66499" w:name="_ETM_Q117_541140"/>
      <w:bookmarkEnd w:id="66499"/>
      <w:r>
        <w:rPr>
          <w:rFonts w:hint="cs"/>
          <w:rtl/>
        </w:rPr>
        <w:t xml:space="preserve">שפוגעת </w:t>
      </w:r>
      <w:bookmarkStart w:id="66500" w:name="_ETM_Q117_541680"/>
      <w:bookmarkEnd w:id="66500"/>
      <w:r>
        <w:rPr>
          <w:rFonts w:hint="cs"/>
          <w:rtl/>
        </w:rPr>
        <w:t xml:space="preserve">באילת </w:t>
      </w:r>
      <w:bookmarkStart w:id="66501" w:name="_ETM_Q117_542070"/>
      <w:bookmarkEnd w:id="66501"/>
      <w:r>
        <w:rPr>
          <w:rFonts w:hint="cs"/>
          <w:rtl/>
        </w:rPr>
        <w:t xml:space="preserve">בצורה </w:t>
      </w:r>
      <w:bookmarkStart w:id="66502" w:name="_ETM_Q117_542430"/>
      <w:bookmarkEnd w:id="66502"/>
      <w:r>
        <w:rPr>
          <w:rFonts w:hint="cs"/>
          <w:rtl/>
        </w:rPr>
        <w:t xml:space="preserve">אנושה. </w:t>
      </w:r>
      <w:bookmarkStart w:id="66503" w:name="_ETM_Q117_543210"/>
      <w:bookmarkEnd w:id="66503"/>
      <w:r>
        <w:rPr>
          <w:rFonts w:hint="cs"/>
          <w:rtl/>
        </w:rPr>
        <w:t xml:space="preserve">אתם </w:t>
      </w:r>
      <w:bookmarkStart w:id="66504" w:name="_ETM_Q117_543480"/>
      <w:bookmarkEnd w:id="66504"/>
      <w:r>
        <w:rPr>
          <w:rFonts w:hint="cs"/>
          <w:rtl/>
        </w:rPr>
        <w:t xml:space="preserve">חישבתם </w:t>
      </w:r>
      <w:bookmarkStart w:id="66505" w:name="_ETM_Q117_543930"/>
      <w:bookmarkEnd w:id="66505"/>
      <w:r>
        <w:rPr>
          <w:rFonts w:hint="cs"/>
          <w:rtl/>
        </w:rPr>
        <w:t xml:space="preserve">את </w:t>
      </w:r>
      <w:bookmarkStart w:id="66506" w:name="_ETM_Q117_543989"/>
      <w:bookmarkEnd w:id="66506"/>
      <w:r>
        <w:rPr>
          <w:rFonts w:hint="cs"/>
          <w:rtl/>
        </w:rPr>
        <w:t xml:space="preserve">זה </w:t>
      </w:r>
      <w:bookmarkStart w:id="66507" w:name="_ETM_Q117_544110"/>
      <w:bookmarkEnd w:id="66507"/>
      <w:r>
        <w:rPr>
          <w:rFonts w:hint="cs"/>
          <w:rtl/>
        </w:rPr>
        <w:t xml:space="preserve">פר </w:t>
      </w:r>
      <w:bookmarkStart w:id="66508" w:name="_ETM_Q117_546390"/>
      <w:bookmarkEnd w:id="66508"/>
      <w:r>
        <w:rPr>
          <w:rFonts w:hint="cs"/>
          <w:rtl/>
        </w:rPr>
        <w:t xml:space="preserve">למ"ס </w:t>
      </w:r>
      <w:bookmarkStart w:id="66509" w:name="_ETM_Q117_547189"/>
      <w:bookmarkEnd w:id="66509"/>
      <w:r>
        <w:rPr>
          <w:rFonts w:hint="cs"/>
          <w:rtl/>
        </w:rPr>
        <w:t xml:space="preserve">ודירוג </w:t>
      </w:r>
      <w:bookmarkStart w:id="66510" w:name="_ETM_Q117_548270"/>
      <w:bookmarkEnd w:id="66510"/>
      <w:r>
        <w:rPr>
          <w:rFonts w:hint="cs"/>
          <w:rtl/>
        </w:rPr>
        <w:t xml:space="preserve">סוציו-אקונומי, </w:t>
      </w:r>
      <w:bookmarkStart w:id="66511" w:name="_ETM_Q117_549109"/>
      <w:bookmarkEnd w:id="66511"/>
      <w:r>
        <w:rPr>
          <w:rFonts w:hint="cs"/>
          <w:rtl/>
        </w:rPr>
        <w:t xml:space="preserve">ואתם </w:t>
      </w:r>
      <w:bookmarkStart w:id="66512" w:name="_ETM_Q117_549649"/>
      <w:bookmarkEnd w:id="66512"/>
      <w:r>
        <w:rPr>
          <w:rFonts w:hint="cs"/>
          <w:rtl/>
        </w:rPr>
        <w:t xml:space="preserve">לא </w:t>
      </w:r>
      <w:bookmarkStart w:id="66513" w:name="_ETM_Q117_549799"/>
      <w:bookmarkEnd w:id="66513"/>
      <w:r>
        <w:rPr>
          <w:rFonts w:hint="cs"/>
          <w:rtl/>
        </w:rPr>
        <w:t xml:space="preserve">לוקחים </w:t>
      </w:r>
      <w:bookmarkStart w:id="66514" w:name="_ETM_Q117_550099"/>
      <w:bookmarkEnd w:id="66514"/>
      <w:r>
        <w:rPr>
          <w:rFonts w:hint="cs"/>
          <w:rtl/>
        </w:rPr>
        <w:t xml:space="preserve">בחשבון </w:t>
      </w:r>
      <w:bookmarkStart w:id="66515" w:name="_ETM_Q117_550490"/>
      <w:bookmarkEnd w:id="66515"/>
      <w:r>
        <w:rPr>
          <w:rFonts w:hint="cs"/>
          <w:rtl/>
        </w:rPr>
        <w:t xml:space="preserve">בכלל </w:t>
      </w:r>
      <w:bookmarkStart w:id="66516" w:name="_ETM_Q117_550789"/>
      <w:bookmarkEnd w:id="66516"/>
      <w:r>
        <w:rPr>
          <w:rFonts w:hint="cs"/>
          <w:rtl/>
        </w:rPr>
        <w:t xml:space="preserve">שאילת </w:t>
      </w:r>
      <w:bookmarkStart w:id="66517" w:name="_ETM_Q117_551270"/>
      <w:bookmarkEnd w:id="66517"/>
      <w:r>
        <w:rPr>
          <w:rFonts w:hint="cs"/>
          <w:rtl/>
        </w:rPr>
        <w:t xml:space="preserve">מאכלסת </w:t>
      </w:r>
      <w:bookmarkStart w:id="66518" w:name="_ETM_Q117_551899"/>
      <w:bookmarkStart w:id="66519" w:name="_ETM_Q117_553799"/>
      <w:bookmarkEnd w:id="66518"/>
      <w:bookmarkEnd w:id="66519"/>
      <w:r>
        <w:rPr>
          <w:rFonts w:hint="cs"/>
          <w:rtl/>
        </w:rPr>
        <w:t>מאות</w:t>
      </w:r>
      <w:bookmarkStart w:id="66520" w:name="_ETM_Q117_554250"/>
      <w:bookmarkEnd w:id="66520"/>
      <w:r>
        <w:rPr>
          <w:rFonts w:hint="cs"/>
          <w:rtl/>
        </w:rPr>
        <w:t xml:space="preserve"> אלפי </w:t>
      </w:r>
      <w:bookmarkStart w:id="66521" w:name="_ETM_Q117_554520"/>
      <w:bookmarkEnd w:id="66521"/>
      <w:r>
        <w:rPr>
          <w:rFonts w:hint="cs"/>
          <w:rtl/>
        </w:rPr>
        <w:t xml:space="preserve">תיירים </w:t>
      </w:r>
      <w:bookmarkStart w:id="66522" w:name="_ETM_Q117_555000"/>
      <w:bookmarkEnd w:id="66522"/>
      <w:r>
        <w:rPr>
          <w:rFonts w:hint="cs"/>
          <w:rtl/>
        </w:rPr>
        <w:t xml:space="preserve">בחודשים </w:t>
      </w:r>
      <w:bookmarkStart w:id="66523" w:name="_ETM_Q117_555509"/>
      <w:bookmarkEnd w:id="66523"/>
      <w:r>
        <w:rPr>
          <w:rFonts w:hint="cs"/>
          <w:rtl/>
        </w:rPr>
        <w:t xml:space="preserve">עמוסים, </w:t>
      </w:r>
      <w:bookmarkStart w:id="66524" w:name="_ETM_Q117_556470"/>
      <w:bookmarkEnd w:id="66524"/>
      <w:r>
        <w:rPr>
          <w:rFonts w:hint="cs"/>
          <w:rtl/>
        </w:rPr>
        <w:t xml:space="preserve">שמתווספים </w:t>
      </w:r>
      <w:bookmarkStart w:id="66525" w:name="_ETM_Q117_557250"/>
      <w:bookmarkEnd w:id="66525"/>
      <w:r>
        <w:rPr>
          <w:rFonts w:hint="cs"/>
          <w:rtl/>
        </w:rPr>
        <w:t xml:space="preserve">לשירותים </w:t>
      </w:r>
      <w:bookmarkStart w:id="66526" w:name="_ETM_Q117_557790"/>
      <w:bookmarkEnd w:id="66526"/>
      <w:r>
        <w:rPr>
          <w:rFonts w:hint="cs"/>
          <w:rtl/>
        </w:rPr>
        <w:t xml:space="preserve">שהעירייה </w:t>
      </w:r>
      <w:bookmarkStart w:id="66527" w:name="_ETM_Q117_558210"/>
      <w:bookmarkEnd w:id="66527"/>
      <w:r>
        <w:rPr>
          <w:rFonts w:hint="cs"/>
          <w:rtl/>
        </w:rPr>
        <w:t xml:space="preserve">צריכה </w:t>
      </w:r>
      <w:bookmarkStart w:id="66528" w:name="_ETM_Q117_558420"/>
      <w:bookmarkEnd w:id="66528"/>
      <w:r>
        <w:rPr>
          <w:rFonts w:hint="cs"/>
          <w:rtl/>
        </w:rPr>
        <w:t xml:space="preserve">לספק. </w:t>
      </w:r>
      <w:bookmarkStart w:id="66529" w:name="_ETM_Q117_558869"/>
      <w:bookmarkEnd w:id="66529"/>
      <w:r>
        <w:rPr>
          <w:rFonts w:hint="cs"/>
          <w:rtl/>
        </w:rPr>
        <w:t xml:space="preserve">בסוף </w:t>
      </w:r>
      <w:bookmarkStart w:id="66530" w:name="_ETM_Q117_559170"/>
      <w:bookmarkStart w:id="66531" w:name="_ETM_Q117_559290"/>
      <w:bookmarkStart w:id="66532" w:name="_ETM_Q117_559710"/>
      <w:bookmarkEnd w:id="66530"/>
      <w:bookmarkEnd w:id="66531"/>
      <w:bookmarkEnd w:id="66532"/>
      <w:r>
        <w:rPr>
          <w:rFonts w:hint="cs"/>
          <w:rtl/>
        </w:rPr>
        <w:t xml:space="preserve">כשאילת </w:t>
      </w:r>
      <w:bookmarkStart w:id="66533" w:name="_ETM_Q117_560070"/>
      <w:bookmarkEnd w:id="66533"/>
      <w:r>
        <w:rPr>
          <w:rFonts w:hint="cs"/>
          <w:rtl/>
        </w:rPr>
        <w:t xml:space="preserve">מפנה </w:t>
      </w:r>
      <w:bookmarkStart w:id="66534" w:name="_ETM_Q117_560490"/>
      <w:bookmarkEnd w:id="66534"/>
      <w:r>
        <w:rPr>
          <w:rFonts w:hint="cs"/>
          <w:rtl/>
        </w:rPr>
        <w:t xml:space="preserve">אשפה, </w:t>
      </w:r>
      <w:bookmarkStart w:id="66535" w:name="_ETM_Q117_561149"/>
      <w:bookmarkEnd w:id="66535"/>
      <w:r>
        <w:rPr>
          <w:rFonts w:hint="cs"/>
          <w:rtl/>
        </w:rPr>
        <w:t xml:space="preserve">זה </w:t>
      </w:r>
      <w:bookmarkStart w:id="66536" w:name="_ETM_Q117_561299"/>
      <w:bookmarkEnd w:id="66536"/>
      <w:r>
        <w:rPr>
          <w:rFonts w:hint="cs"/>
          <w:rtl/>
        </w:rPr>
        <w:t xml:space="preserve">לא </w:t>
      </w:r>
      <w:bookmarkStart w:id="66537" w:name="_ETM_Q117_561420"/>
      <w:bookmarkEnd w:id="66537"/>
      <w:r>
        <w:rPr>
          <w:rFonts w:hint="cs"/>
          <w:rtl/>
        </w:rPr>
        <w:t xml:space="preserve">כמו </w:t>
      </w:r>
      <w:bookmarkStart w:id="66538" w:name="_ETM_Q117_561600"/>
      <w:bookmarkEnd w:id="66538"/>
      <w:r>
        <w:rPr>
          <w:rFonts w:hint="cs"/>
          <w:rtl/>
        </w:rPr>
        <w:t xml:space="preserve">שרמי </w:t>
      </w:r>
      <w:bookmarkStart w:id="66539" w:name="_ETM_Q117_562649"/>
      <w:bookmarkEnd w:id="66539"/>
      <w:r>
        <w:rPr>
          <w:rFonts w:hint="cs"/>
          <w:rtl/>
        </w:rPr>
        <w:t xml:space="preserve">גרינברג בפתח </w:t>
      </w:r>
      <w:bookmarkStart w:id="66540" w:name="_ETM_Q117_562079"/>
      <w:bookmarkEnd w:id="66540"/>
      <w:r>
        <w:rPr>
          <w:rFonts w:hint="cs"/>
          <w:rtl/>
        </w:rPr>
        <w:t xml:space="preserve">תקווה </w:t>
      </w:r>
      <w:bookmarkStart w:id="66541" w:name="_ETM_Q117_562409"/>
      <w:bookmarkStart w:id="66542" w:name="_ETM_Q117_563750"/>
      <w:bookmarkEnd w:id="66541"/>
      <w:bookmarkEnd w:id="66542"/>
      <w:r>
        <w:rPr>
          <w:rFonts w:hint="cs"/>
          <w:rtl/>
        </w:rPr>
        <w:t xml:space="preserve">מפנה </w:t>
      </w:r>
      <w:bookmarkStart w:id="66543" w:name="_ETM_Q117_564200"/>
      <w:bookmarkEnd w:id="66543"/>
      <w:r>
        <w:rPr>
          <w:rFonts w:hint="cs"/>
          <w:rtl/>
        </w:rPr>
        <w:t xml:space="preserve">אשפה. </w:t>
      </w:r>
      <w:bookmarkStart w:id="66544" w:name="_ETM_Q117_565700"/>
      <w:bookmarkEnd w:id="66544"/>
      <w:r>
        <w:rPr>
          <w:rFonts w:hint="cs"/>
          <w:rtl/>
        </w:rPr>
        <w:t xml:space="preserve">באילת </w:t>
      </w:r>
      <w:bookmarkStart w:id="66545" w:name="_ETM_Q117_566149"/>
      <w:bookmarkEnd w:id="66545"/>
      <w:r>
        <w:rPr>
          <w:rFonts w:hint="cs"/>
          <w:rtl/>
        </w:rPr>
        <w:t xml:space="preserve">מפנים </w:t>
      </w:r>
      <w:bookmarkStart w:id="66546" w:name="_ETM_Q117_566600"/>
      <w:bookmarkEnd w:id="66546"/>
      <w:r>
        <w:rPr>
          <w:rFonts w:hint="cs"/>
          <w:rtl/>
        </w:rPr>
        <w:t xml:space="preserve">פי </w:t>
      </w:r>
      <w:bookmarkStart w:id="66547" w:name="_ETM_Q117_566810"/>
      <w:bookmarkEnd w:id="66547"/>
      <w:r>
        <w:rPr>
          <w:rFonts w:hint="cs"/>
          <w:rtl/>
        </w:rPr>
        <w:t xml:space="preserve">20 </w:t>
      </w:r>
      <w:bookmarkStart w:id="66548" w:name="_ETM_Q117_567139"/>
      <w:bookmarkEnd w:id="66548"/>
      <w:r>
        <w:rPr>
          <w:rFonts w:hint="cs"/>
          <w:rtl/>
        </w:rPr>
        <w:t xml:space="preserve">יותר </w:t>
      </w:r>
      <w:bookmarkStart w:id="66549" w:name="_ETM_Q117_567409"/>
      <w:bookmarkStart w:id="66550" w:name="_ETM_Q117_568609"/>
      <w:bookmarkEnd w:id="66549"/>
      <w:bookmarkEnd w:id="66550"/>
      <w:r>
        <w:rPr>
          <w:rFonts w:hint="cs"/>
          <w:rtl/>
        </w:rPr>
        <w:t xml:space="preserve">אשפה. זוכר </w:t>
      </w:r>
      <w:bookmarkStart w:id="66551" w:name="_ETM_Q117_568939"/>
      <w:bookmarkEnd w:id="66551"/>
      <w:r>
        <w:rPr>
          <w:rFonts w:hint="cs"/>
          <w:rtl/>
        </w:rPr>
        <w:t xml:space="preserve">שדיברנו </w:t>
      </w:r>
      <w:bookmarkStart w:id="66552" w:name="_ETM_Q117_569420"/>
      <w:bookmarkEnd w:id="66552"/>
      <w:r>
        <w:rPr>
          <w:rFonts w:hint="cs"/>
          <w:rtl/>
        </w:rPr>
        <w:t xml:space="preserve">על </w:t>
      </w:r>
      <w:bookmarkStart w:id="66553" w:name="_ETM_Q117_569479"/>
      <w:bookmarkEnd w:id="66553"/>
      <w:r>
        <w:rPr>
          <w:rFonts w:hint="cs"/>
          <w:rtl/>
        </w:rPr>
        <w:t xml:space="preserve">זה? </w:t>
      </w:r>
      <w:bookmarkStart w:id="66554" w:name="_ETM_Q117_569600"/>
      <w:bookmarkEnd w:id="66554"/>
      <w:r>
        <w:rPr>
          <w:rFonts w:hint="cs"/>
          <w:rtl/>
        </w:rPr>
        <w:t xml:space="preserve">אמרתם </w:t>
      </w:r>
      <w:bookmarkStart w:id="66555" w:name="_ETM_Q117_570020"/>
      <w:bookmarkEnd w:id="66555"/>
      <w:r>
        <w:rPr>
          <w:rFonts w:hint="cs"/>
          <w:rtl/>
        </w:rPr>
        <w:t xml:space="preserve">שאתם </w:t>
      </w:r>
      <w:bookmarkStart w:id="66556" w:name="_ETM_Q117_570229"/>
      <w:bookmarkEnd w:id="66556"/>
      <w:r>
        <w:rPr>
          <w:rFonts w:hint="cs"/>
          <w:rtl/>
        </w:rPr>
        <w:t xml:space="preserve">תדאגו </w:t>
      </w:r>
      <w:bookmarkStart w:id="66557" w:name="_ETM_Q117_570679"/>
      <w:bookmarkEnd w:id="66557"/>
      <w:r>
        <w:rPr>
          <w:rFonts w:hint="cs"/>
          <w:rtl/>
        </w:rPr>
        <w:t xml:space="preserve">לאילת </w:t>
      </w:r>
      <w:bookmarkStart w:id="66558" w:name="_ETM_Q117_571039"/>
      <w:bookmarkEnd w:id="66558"/>
      <w:r>
        <w:rPr>
          <w:rFonts w:hint="cs"/>
          <w:rtl/>
        </w:rPr>
        <w:t xml:space="preserve">בסעיף </w:t>
      </w:r>
      <w:bookmarkStart w:id="66559" w:name="_ETM_Q117_571459"/>
      <w:bookmarkEnd w:id="66559"/>
      <w:r>
        <w:rPr>
          <w:rFonts w:hint="cs"/>
          <w:rtl/>
        </w:rPr>
        <w:t>ספציפי</w:t>
      </w:r>
      <w:r w:rsidR="002F1C45">
        <w:rPr>
          <w:rFonts w:hint="cs"/>
          <w:rtl/>
        </w:rPr>
        <w:t>,</w:t>
      </w:r>
      <w:r>
        <w:rPr>
          <w:rFonts w:hint="cs"/>
          <w:rtl/>
        </w:rPr>
        <w:t xml:space="preserve"> </w:t>
      </w:r>
      <w:bookmarkStart w:id="66560" w:name="_ETM_Q117_572209"/>
      <w:bookmarkEnd w:id="66560"/>
      <w:r>
        <w:rPr>
          <w:rFonts w:hint="cs"/>
          <w:rtl/>
        </w:rPr>
        <w:t xml:space="preserve">למה </w:t>
      </w:r>
      <w:bookmarkStart w:id="66561" w:name="_ETM_Q117_572509"/>
      <w:bookmarkEnd w:id="66561"/>
      <w:r>
        <w:rPr>
          <w:rFonts w:hint="cs"/>
          <w:rtl/>
        </w:rPr>
        <w:t xml:space="preserve">הסעיף </w:t>
      </w:r>
      <w:bookmarkStart w:id="66562" w:name="_ETM_Q117_572810"/>
      <w:bookmarkEnd w:id="66562"/>
      <w:r>
        <w:rPr>
          <w:rFonts w:hint="cs"/>
          <w:rtl/>
        </w:rPr>
        <w:t xml:space="preserve">הזה </w:t>
      </w:r>
      <w:bookmarkStart w:id="66563" w:name="_ETM_Q117_572990"/>
      <w:bookmarkEnd w:id="66563"/>
      <w:r>
        <w:rPr>
          <w:rFonts w:hint="cs"/>
          <w:rtl/>
        </w:rPr>
        <w:t xml:space="preserve">עדיין </w:t>
      </w:r>
      <w:bookmarkStart w:id="66564" w:name="_ETM_Q117_573259"/>
      <w:bookmarkEnd w:id="66564"/>
      <w:r>
        <w:rPr>
          <w:rFonts w:hint="cs"/>
          <w:rtl/>
        </w:rPr>
        <w:t xml:space="preserve">לא </w:t>
      </w:r>
      <w:bookmarkStart w:id="66565" w:name="_ETM_Q117_573349"/>
      <w:bookmarkEnd w:id="66565"/>
      <w:r>
        <w:rPr>
          <w:rFonts w:hint="cs"/>
          <w:rtl/>
        </w:rPr>
        <w:t xml:space="preserve">הגיע </w:t>
      </w:r>
      <w:bookmarkStart w:id="66566" w:name="_ETM_Q117_573979"/>
      <w:bookmarkEnd w:id="66566"/>
      <w:r>
        <w:rPr>
          <w:rFonts w:hint="cs"/>
          <w:rtl/>
        </w:rPr>
        <w:t xml:space="preserve">אחרי </w:t>
      </w:r>
      <w:bookmarkStart w:id="66567" w:name="_ETM_Q117_574249"/>
      <w:bookmarkEnd w:id="66567"/>
      <w:r>
        <w:rPr>
          <w:rFonts w:hint="cs"/>
          <w:rtl/>
        </w:rPr>
        <w:t xml:space="preserve">קרן </w:t>
      </w:r>
      <w:bookmarkStart w:id="66568" w:name="_ETM_Q117_574520"/>
      <w:bookmarkEnd w:id="66568"/>
      <w:r>
        <w:rPr>
          <w:rFonts w:hint="cs"/>
          <w:rtl/>
        </w:rPr>
        <w:t xml:space="preserve">הארנונה, </w:t>
      </w:r>
      <w:bookmarkStart w:id="66569" w:name="_ETM_Q117_574849"/>
      <w:bookmarkEnd w:id="66569"/>
      <w:r>
        <w:rPr>
          <w:rFonts w:hint="cs"/>
          <w:rtl/>
        </w:rPr>
        <w:t xml:space="preserve">שלקחה </w:t>
      </w:r>
      <w:bookmarkStart w:id="66570" w:name="_ETM_Q117_575209"/>
      <w:bookmarkEnd w:id="66570"/>
      <w:r>
        <w:rPr>
          <w:rFonts w:hint="cs"/>
          <w:rtl/>
        </w:rPr>
        <w:t xml:space="preserve">מהם 9 מיליון </w:t>
      </w:r>
      <w:bookmarkStart w:id="66571" w:name="_ETM_Q117_575959"/>
      <w:bookmarkEnd w:id="66571"/>
      <w:r>
        <w:rPr>
          <w:rFonts w:hint="cs"/>
          <w:rtl/>
        </w:rPr>
        <w:t xml:space="preserve">שקלים </w:t>
      </w:r>
      <w:bookmarkStart w:id="66572" w:name="_ETM_Q117_576259"/>
      <w:bookmarkEnd w:id="66572"/>
      <w:r>
        <w:rPr>
          <w:rFonts w:hint="cs"/>
          <w:rtl/>
        </w:rPr>
        <w:t xml:space="preserve">בשנה? </w:t>
      </w:r>
      <w:bookmarkStart w:id="66573" w:name="_ETM_Q117_577069"/>
      <w:bookmarkEnd w:id="66573"/>
      <w:r>
        <w:rPr>
          <w:rFonts w:hint="cs"/>
          <w:rtl/>
        </w:rPr>
        <w:t xml:space="preserve">למה </w:t>
      </w:r>
      <w:bookmarkStart w:id="66574" w:name="_ETM_Q117_577339"/>
      <w:bookmarkEnd w:id="66574"/>
      <w:r>
        <w:rPr>
          <w:rFonts w:hint="cs"/>
          <w:rtl/>
        </w:rPr>
        <w:t xml:space="preserve">הסעיף </w:t>
      </w:r>
      <w:bookmarkStart w:id="66575" w:name="_ETM_Q117_577670"/>
      <w:bookmarkEnd w:id="66575"/>
      <w:r>
        <w:rPr>
          <w:rFonts w:hint="cs"/>
          <w:rtl/>
        </w:rPr>
        <w:t xml:space="preserve">הזה </w:t>
      </w:r>
      <w:bookmarkStart w:id="66576" w:name="_ETM_Q117_577880"/>
      <w:bookmarkEnd w:id="66576"/>
      <w:r>
        <w:rPr>
          <w:rFonts w:hint="cs"/>
          <w:rtl/>
        </w:rPr>
        <w:t xml:space="preserve">לא </w:t>
      </w:r>
      <w:bookmarkStart w:id="66577" w:name="_ETM_Q117_577999"/>
      <w:bookmarkEnd w:id="66577"/>
      <w:r>
        <w:rPr>
          <w:rFonts w:hint="cs"/>
          <w:rtl/>
        </w:rPr>
        <w:t xml:space="preserve">הגיע? </w:t>
      </w:r>
      <w:bookmarkStart w:id="66578" w:name="_ETM_Q117_578299"/>
      <w:bookmarkEnd w:id="66578"/>
      <w:r>
        <w:rPr>
          <w:rFonts w:hint="cs"/>
          <w:rtl/>
        </w:rPr>
        <w:t xml:space="preserve">למה </w:t>
      </w:r>
      <w:bookmarkStart w:id="66579" w:name="_ETM_Q117_578539"/>
      <w:bookmarkEnd w:id="66579"/>
      <w:r>
        <w:rPr>
          <w:rFonts w:hint="cs"/>
          <w:rtl/>
        </w:rPr>
        <w:t xml:space="preserve">זה </w:t>
      </w:r>
      <w:bookmarkStart w:id="66580" w:name="_ETM_Q117_578689"/>
      <w:bookmarkEnd w:id="66580"/>
      <w:r>
        <w:rPr>
          <w:rFonts w:hint="cs"/>
          <w:rtl/>
        </w:rPr>
        <w:t xml:space="preserve">לא </w:t>
      </w:r>
      <w:bookmarkStart w:id="66581" w:name="_ETM_Q117_579409"/>
      <w:bookmarkEnd w:id="66581"/>
      <w:r>
        <w:rPr>
          <w:rFonts w:hint="cs"/>
          <w:rtl/>
        </w:rPr>
        <w:t xml:space="preserve">דחוף </w:t>
      </w:r>
      <w:bookmarkStart w:id="66582" w:name="_ETM_Q117_579799"/>
      <w:bookmarkEnd w:id="66582"/>
      <w:r>
        <w:rPr>
          <w:rFonts w:hint="cs"/>
          <w:rtl/>
        </w:rPr>
        <w:t xml:space="preserve">לנו? </w:t>
      </w:r>
      <w:bookmarkStart w:id="66583" w:name="_ETM_Q117_581329"/>
      <w:bookmarkEnd w:id="66583"/>
      <w:r>
        <w:rPr>
          <w:rFonts w:hint="cs"/>
          <w:rtl/>
        </w:rPr>
        <w:t xml:space="preserve">כולנו </w:t>
      </w:r>
      <w:bookmarkStart w:id="66584" w:name="_ETM_Q117_581899"/>
      <w:bookmarkEnd w:id="66584"/>
      <w:r>
        <w:rPr>
          <w:rFonts w:hint="cs"/>
          <w:rtl/>
        </w:rPr>
        <w:t xml:space="preserve">הצבענו </w:t>
      </w:r>
      <w:bookmarkStart w:id="66585" w:name="_ETM_Q117_582469"/>
      <w:bookmarkEnd w:id="66585"/>
      <w:r>
        <w:rPr>
          <w:rFonts w:hint="cs"/>
          <w:rtl/>
        </w:rPr>
        <w:t xml:space="preserve">על </w:t>
      </w:r>
      <w:bookmarkStart w:id="66586" w:name="_ETM_Q117_582619"/>
      <w:bookmarkEnd w:id="66586"/>
      <w:r>
        <w:rPr>
          <w:rFonts w:hint="cs"/>
          <w:rtl/>
        </w:rPr>
        <w:t xml:space="preserve">העיוות </w:t>
      </w:r>
      <w:bookmarkStart w:id="66587" w:name="_ETM_Q117_582979"/>
      <w:bookmarkEnd w:id="66587"/>
      <w:r>
        <w:rPr>
          <w:rFonts w:hint="cs"/>
          <w:rtl/>
        </w:rPr>
        <w:t xml:space="preserve">שיש </w:t>
      </w:r>
      <w:bookmarkStart w:id="66588" w:name="_ETM_Q117_583189"/>
      <w:bookmarkEnd w:id="66588"/>
      <w:r>
        <w:rPr>
          <w:rFonts w:hint="cs"/>
          <w:rtl/>
        </w:rPr>
        <w:t xml:space="preserve">באילת. </w:t>
      </w:r>
      <w:bookmarkStart w:id="66589" w:name="_ETM_Q117_583520"/>
      <w:bookmarkEnd w:id="66589"/>
    </w:p>
    <w:p w:rsidR="00BB59CD" w:rsidRDefault="00BB59CD" w:rsidP="00BB59CD">
      <w:pPr>
        <w:rPr>
          <w:rtl/>
        </w:rPr>
      </w:pPr>
    </w:p>
    <w:p w:rsidR="002F1C45" w:rsidRDefault="00BB59CD" w:rsidP="002F1C45">
      <w:pPr>
        <w:rPr>
          <w:rtl/>
        </w:rPr>
      </w:pPr>
      <w:r>
        <w:rPr>
          <w:rFonts w:hint="cs"/>
          <w:rtl/>
        </w:rPr>
        <w:t xml:space="preserve">גם </w:t>
      </w:r>
      <w:bookmarkStart w:id="66590" w:name="_ETM_Q117_583670"/>
      <w:bookmarkEnd w:id="66590"/>
      <w:r>
        <w:rPr>
          <w:rFonts w:hint="cs"/>
          <w:rtl/>
        </w:rPr>
        <w:t xml:space="preserve">דיברנו </w:t>
      </w:r>
      <w:bookmarkStart w:id="66591" w:name="_ETM_Q117_583999"/>
      <w:bookmarkEnd w:id="66591"/>
      <w:r>
        <w:rPr>
          <w:rFonts w:hint="cs"/>
          <w:rtl/>
        </w:rPr>
        <w:t xml:space="preserve">על </w:t>
      </w:r>
      <w:bookmarkStart w:id="66592" w:name="_ETM_Q117_584089"/>
      <w:bookmarkEnd w:id="66592"/>
      <w:r>
        <w:rPr>
          <w:rFonts w:hint="cs"/>
          <w:rtl/>
        </w:rPr>
        <w:t xml:space="preserve">טבריה. </w:t>
      </w:r>
      <w:bookmarkStart w:id="66593" w:name="_ETM_Q117_584659"/>
      <w:bookmarkEnd w:id="66593"/>
      <w:r>
        <w:rPr>
          <w:rFonts w:hint="cs"/>
          <w:rtl/>
        </w:rPr>
        <w:t xml:space="preserve">למה </w:t>
      </w:r>
      <w:bookmarkStart w:id="66594" w:name="_ETM_Q117_585049"/>
      <w:bookmarkEnd w:id="66594"/>
      <w:r>
        <w:rPr>
          <w:rFonts w:hint="cs"/>
          <w:rtl/>
        </w:rPr>
        <w:t xml:space="preserve">אף </w:t>
      </w:r>
      <w:bookmarkStart w:id="66595" w:name="_ETM_Q117_585139"/>
      <w:bookmarkStart w:id="66596" w:name="_ETM_Q117_585380"/>
      <w:bookmarkEnd w:id="66595"/>
      <w:bookmarkEnd w:id="66596"/>
      <w:r>
        <w:rPr>
          <w:rFonts w:hint="cs"/>
          <w:rtl/>
        </w:rPr>
        <w:t xml:space="preserve">אחד </w:t>
      </w:r>
      <w:bookmarkStart w:id="66597" w:name="_ETM_Q117_586429"/>
      <w:bookmarkEnd w:id="66597"/>
      <w:r>
        <w:rPr>
          <w:rFonts w:hint="cs"/>
          <w:rtl/>
        </w:rPr>
        <w:t xml:space="preserve">לא </w:t>
      </w:r>
      <w:bookmarkStart w:id="66598" w:name="_ETM_Q117_586520"/>
      <w:bookmarkEnd w:id="66598"/>
      <w:r>
        <w:rPr>
          <w:rFonts w:hint="cs"/>
          <w:rtl/>
        </w:rPr>
        <w:t xml:space="preserve">טיפל </w:t>
      </w:r>
      <w:bookmarkStart w:id="66599" w:name="_ETM_Q117_586789"/>
      <w:bookmarkEnd w:id="66599"/>
      <w:r>
        <w:rPr>
          <w:rFonts w:hint="cs"/>
          <w:rtl/>
        </w:rPr>
        <w:t xml:space="preserve">בזה </w:t>
      </w:r>
      <w:bookmarkStart w:id="66600" w:name="_ETM_Q117_587029"/>
      <w:bookmarkEnd w:id="66600"/>
      <w:r>
        <w:rPr>
          <w:rFonts w:hint="cs"/>
          <w:rtl/>
        </w:rPr>
        <w:t xml:space="preserve">עדיין? </w:t>
      </w:r>
      <w:bookmarkStart w:id="66601" w:name="_ETM_Q117_589229"/>
      <w:bookmarkEnd w:id="66601"/>
      <w:r>
        <w:rPr>
          <w:rFonts w:hint="cs"/>
          <w:rtl/>
        </w:rPr>
        <w:t xml:space="preserve">שאלה </w:t>
      </w:r>
      <w:bookmarkStart w:id="66602" w:name="_ETM_Q117_589529"/>
      <w:bookmarkEnd w:id="66602"/>
      <w:r>
        <w:rPr>
          <w:rFonts w:hint="cs"/>
          <w:rtl/>
        </w:rPr>
        <w:t xml:space="preserve">שלא </w:t>
      </w:r>
      <w:bookmarkStart w:id="66603" w:name="_ETM_Q117_589770"/>
      <w:bookmarkEnd w:id="66603"/>
      <w:r>
        <w:rPr>
          <w:rFonts w:hint="cs"/>
          <w:rtl/>
        </w:rPr>
        <w:t xml:space="preserve">תקבל </w:t>
      </w:r>
      <w:bookmarkStart w:id="66604" w:name="_ETM_Q117_590100"/>
      <w:bookmarkEnd w:id="66604"/>
      <w:r w:rsidR="002F1C45">
        <w:rPr>
          <w:rFonts w:hint="cs"/>
          <w:rtl/>
        </w:rPr>
        <w:t xml:space="preserve">עליה </w:t>
      </w:r>
      <w:r>
        <w:rPr>
          <w:rFonts w:hint="cs"/>
          <w:rtl/>
        </w:rPr>
        <w:t xml:space="preserve">תשובה, </w:t>
      </w:r>
      <w:bookmarkStart w:id="66605" w:name="_ETM_Q117_590640"/>
      <w:bookmarkEnd w:id="66605"/>
      <w:r>
        <w:rPr>
          <w:rFonts w:hint="cs"/>
          <w:rtl/>
        </w:rPr>
        <w:t xml:space="preserve">כי </w:t>
      </w:r>
      <w:bookmarkStart w:id="66606" w:name="_ETM_Q117_591029"/>
      <w:bookmarkEnd w:id="66606"/>
      <w:r>
        <w:rPr>
          <w:rFonts w:hint="cs"/>
          <w:rtl/>
        </w:rPr>
        <w:t xml:space="preserve">את </w:t>
      </w:r>
      <w:bookmarkStart w:id="66607" w:name="_ETM_Q117_591210"/>
      <w:bookmarkEnd w:id="66607"/>
      <w:r>
        <w:rPr>
          <w:rFonts w:hint="cs"/>
          <w:rtl/>
        </w:rPr>
        <w:t xml:space="preserve">אף </w:t>
      </w:r>
      <w:bookmarkStart w:id="66608" w:name="_ETM_Q117_591360"/>
      <w:bookmarkStart w:id="66609" w:name="_ETM_Q117_591570"/>
      <w:bookmarkEnd w:id="66608"/>
      <w:bookmarkEnd w:id="66609"/>
      <w:r>
        <w:rPr>
          <w:rFonts w:hint="cs"/>
          <w:rtl/>
        </w:rPr>
        <w:t xml:space="preserve">אחד זה </w:t>
      </w:r>
      <w:bookmarkStart w:id="66610" w:name="_ETM_Q117_591659"/>
      <w:bookmarkEnd w:id="66610"/>
      <w:r>
        <w:rPr>
          <w:rFonts w:hint="cs"/>
          <w:rtl/>
        </w:rPr>
        <w:t xml:space="preserve">לא </w:t>
      </w:r>
      <w:bookmarkStart w:id="66611" w:name="_ETM_Q117_591750"/>
      <w:bookmarkEnd w:id="66611"/>
      <w:r>
        <w:rPr>
          <w:rFonts w:hint="cs"/>
          <w:rtl/>
        </w:rPr>
        <w:t xml:space="preserve">מעניין. </w:t>
      </w:r>
      <w:bookmarkStart w:id="66612" w:name="_ETM_Q117_592170"/>
      <w:bookmarkEnd w:id="66612"/>
      <w:r>
        <w:rPr>
          <w:rFonts w:hint="cs"/>
          <w:rtl/>
        </w:rPr>
        <w:t xml:space="preserve">תושבי </w:t>
      </w:r>
      <w:bookmarkStart w:id="66613" w:name="_ETM_Q117_592529"/>
      <w:bookmarkEnd w:id="66613"/>
      <w:r>
        <w:rPr>
          <w:rFonts w:hint="cs"/>
          <w:rtl/>
        </w:rPr>
        <w:t xml:space="preserve">אילת </w:t>
      </w:r>
      <w:bookmarkStart w:id="66614" w:name="_ETM_Q117_592680"/>
      <w:bookmarkEnd w:id="66614"/>
      <w:r>
        <w:rPr>
          <w:rFonts w:hint="cs"/>
          <w:rtl/>
        </w:rPr>
        <w:t xml:space="preserve">לא </w:t>
      </w:r>
      <w:bookmarkStart w:id="66615" w:name="_ETM_Q117_592799"/>
      <w:bookmarkEnd w:id="66615"/>
      <w:r>
        <w:rPr>
          <w:rFonts w:hint="cs"/>
          <w:rtl/>
        </w:rPr>
        <w:t xml:space="preserve">באמת </w:t>
      </w:r>
      <w:bookmarkStart w:id="66616" w:name="_ETM_Q117_593070"/>
      <w:bookmarkEnd w:id="66616"/>
      <w:r>
        <w:rPr>
          <w:rFonts w:hint="cs"/>
          <w:rtl/>
        </w:rPr>
        <w:t xml:space="preserve">מעניינים. </w:t>
      </w:r>
      <w:bookmarkStart w:id="66617" w:name="_ETM_Q117_593820"/>
      <w:bookmarkEnd w:id="66617"/>
      <w:r>
        <w:rPr>
          <w:rFonts w:hint="cs"/>
          <w:rtl/>
        </w:rPr>
        <w:t xml:space="preserve">לא </w:t>
      </w:r>
      <w:bookmarkStart w:id="66618" w:name="_ETM_Q117_594000"/>
      <w:bookmarkEnd w:id="66618"/>
      <w:r>
        <w:rPr>
          <w:rFonts w:hint="cs"/>
          <w:rtl/>
        </w:rPr>
        <w:t xml:space="preserve">באמת </w:t>
      </w:r>
      <w:bookmarkStart w:id="66619" w:name="_ETM_Q117_594299"/>
      <w:bookmarkEnd w:id="66619"/>
      <w:r>
        <w:rPr>
          <w:rFonts w:hint="cs"/>
          <w:rtl/>
        </w:rPr>
        <w:t xml:space="preserve">מעניין </w:t>
      </w:r>
      <w:bookmarkStart w:id="66620" w:name="_ETM_Q117_594779"/>
      <w:bookmarkStart w:id="66621" w:name="_ETM_Q117_595049"/>
      <w:bookmarkEnd w:id="66620"/>
      <w:bookmarkEnd w:id="66621"/>
      <w:r>
        <w:rPr>
          <w:rFonts w:hint="cs"/>
          <w:rtl/>
        </w:rPr>
        <w:t xml:space="preserve">שאין מיילדות </w:t>
      </w:r>
      <w:bookmarkStart w:id="66622" w:name="_ETM_Q117_595529"/>
      <w:bookmarkEnd w:id="66622"/>
      <w:r>
        <w:rPr>
          <w:rFonts w:hint="cs"/>
          <w:rtl/>
        </w:rPr>
        <w:t xml:space="preserve">באילת; </w:t>
      </w:r>
      <w:bookmarkStart w:id="66623" w:name="_ETM_Q117_596369"/>
      <w:bookmarkEnd w:id="66623"/>
      <w:r>
        <w:rPr>
          <w:rFonts w:hint="cs"/>
          <w:rtl/>
        </w:rPr>
        <w:t xml:space="preserve">לא </w:t>
      </w:r>
      <w:bookmarkStart w:id="66624" w:name="_ETM_Q117_596520"/>
      <w:bookmarkEnd w:id="66624"/>
      <w:r>
        <w:rPr>
          <w:rFonts w:hint="cs"/>
          <w:rtl/>
        </w:rPr>
        <w:t xml:space="preserve">באמת </w:t>
      </w:r>
      <w:bookmarkStart w:id="66625" w:name="_ETM_Q117_596820"/>
      <w:bookmarkEnd w:id="66625"/>
      <w:r>
        <w:rPr>
          <w:rFonts w:hint="cs"/>
          <w:rtl/>
        </w:rPr>
        <w:t xml:space="preserve">מעניין </w:t>
      </w:r>
      <w:bookmarkStart w:id="66626" w:name="_ETM_Q117_597179"/>
      <w:bookmarkEnd w:id="66626"/>
      <w:r w:rsidR="002F1C45">
        <w:rPr>
          <w:rFonts w:hint="cs"/>
          <w:rtl/>
        </w:rPr>
        <w:t>ש</w:t>
      </w:r>
      <w:r>
        <w:rPr>
          <w:rFonts w:hint="cs"/>
          <w:rtl/>
        </w:rPr>
        <w:t xml:space="preserve">אם </w:t>
      </w:r>
      <w:bookmarkStart w:id="66627" w:name="_ETM_Q117_597329"/>
      <w:bookmarkEnd w:id="66627"/>
      <w:r>
        <w:rPr>
          <w:rFonts w:hint="cs"/>
          <w:rtl/>
        </w:rPr>
        <w:t xml:space="preserve">אתה </w:t>
      </w:r>
      <w:bookmarkStart w:id="66628" w:name="_ETM_Q117_597420"/>
      <w:bookmarkEnd w:id="66628"/>
      <w:r>
        <w:rPr>
          <w:rFonts w:hint="cs"/>
          <w:rtl/>
        </w:rPr>
        <w:t xml:space="preserve">מקבל </w:t>
      </w:r>
      <w:bookmarkStart w:id="66629" w:name="_ETM_Q117_597779"/>
      <w:bookmarkEnd w:id="66629"/>
      <w:r>
        <w:rPr>
          <w:rFonts w:hint="cs"/>
          <w:rtl/>
        </w:rPr>
        <w:t xml:space="preserve">חס </w:t>
      </w:r>
      <w:bookmarkStart w:id="66630" w:name="_ETM_Q117_597960"/>
      <w:bookmarkEnd w:id="66630"/>
      <w:r>
        <w:rPr>
          <w:rFonts w:hint="cs"/>
          <w:rtl/>
        </w:rPr>
        <w:t xml:space="preserve">וחלילה </w:t>
      </w:r>
      <w:bookmarkStart w:id="66631" w:name="_ETM_Q117_598409"/>
      <w:bookmarkEnd w:id="66631"/>
      <w:r>
        <w:rPr>
          <w:rFonts w:hint="cs"/>
          <w:rtl/>
        </w:rPr>
        <w:t xml:space="preserve">איזה </w:t>
      </w:r>
      <w:bookmarkStart w:id="66632" w:name="_ETM_Q117_598589"/>
      <w:bookmarkEnd w:id="66632"/>
      <w:r>
        <w:rPr>
          <w:rFonts w:hint="cs"/>
          <w:rtl/>
        </w:rPr>
        <w:t xml:space="preserve">אירוע </w:t>
      </w:r>
      <w:bookmarkStart w:id="66633" w:name="_ETM_Q117_598829"/>
      <w:bookmarkEnd w:id="66633"/>
      <w:r>
        <w:rPr>
          <w:rFonts w:hint="cs"/>
          <w:rtl/>
        </w:rPr>
        <w:t xml:space="preserve">לב, </w:t>
      </w:r>
      <w:bookmarkStart w:id="66634" w:name="_ETM_Q117_600180"/>
      <w:bookmarkEnd w:id="66634"/>
      <w:r>
        <w:rPr>
          <w:rFonts w:hint="cs"/>
          <w:rtl/>
        </w:rPr>
        <w:t xml:space="preserve">אין </w:t>
      </w:r>
      <w:bookmarkStart w:id="66635" w:name="_ETM_Q117_600390"/>
      <w:bookmarkEnd w:id="66635"/>
      <w:r>
        <w:rPr>
          <w:rFonts w:hint="cs"/>
          <w:rtl/>
        </w:rPr>
        <w:t xml:space="preserve">לך </w:t>
      </w:r>
      <w:bookmarkStart w:id="66636" w:name="_ETM_Q117_600630"/>
      <w:bookmarkEnd w:id="66636"/>
      <w:r>
        <w:rPr>
          <w:rFonts w:hint="cs"/>
          <w:rtl/>
        </w:rPr>
        <w:t xml:space="preserve">מה </w:t>
      </w:r>
      <w:bookmarkStart w:id="66637" w:name="_ETM_Q117_600750"/>
      <w:bookmarkEnd w:id="66637"/>
      <w:r>
        <w:rPr>
          <w:rFonts w:hint="cs"/>
          <w:rtl/>
        </w:rPr>
        <w:t>לעשות</w:t>
      </w:r>
      <w:bookmarkStart w:id="66638" w:name="_ETM_Q117_601079"/>
      <w:bookmarkEnd w:id="66638"/>
      <w:r>
        <w:rPr>
          <w:rFonts w:hint="cs"/>
          <w:rtl/>
        </w:rPr>
        <w:t xml:space="preserve"> באילת; </w:t>
      </w:r>
      <w:bookmarkStart w:id="66639" w:name="_ETM_Q117_601589"/>
      <w:bookmarkEnd w:id="66639"/>
      <w:r>
        <w:rPr>
          <w:rFonts w:hint="cs"/>
          <w:rtl/>
        </w:rPr>
        <w:t xml:space="preserve">לא </w:t>
      </w:r>
      <w:bookmarkStart w:id="66640" w:name="_ETM_Q117_601859"/>
      <w:bookmarkEnd w:id="66640"/>
      <w:r>
        <w:rPr>
          <w:rFonts w:hint="cs"/>
          <w:rtl/>
        </w:rPr>
        <w:t xml:space="preserve">באמת </w:t>
      </w:r>
      <w:bookmarkStart w:id="66641" w:name="_ETM_Q117_602279"/>
      <w:bookmarkEnd w:id="66641"/>
      <w:r>
        <w:rPr>
          <w:rFonts w:hint="cs"/>
          <w:rtl/>
        </w:rPr>
        <w:t xml:space="preserve">מעניין </w:t>
      </w:r>
      <w:bookmarkStart w:id="66642" w:name="_ETM_Q117_602579"/>
      <w:bookmarkEnd w:id="66642"/>
      <w:r>
        <w:rPr>
          <w:rFonts w:hint="cs"/>
          <w:rtl/>
        </w:rPr>
        <w:t xml:space="preserve">אתכם </w:t>
      </w:r>
      <w:bookmarkStart w:id="66643" w:name="_ETM_Q117_602850"/>
      <w:bookmarkEnd w:id="66643"/>
      <w:r>
        <w:rPr>
          <w:rFonts w:hint="cs"/>
          <w:rtl/>
        </w:rPr>
        <w:t xml:space="preserve">שדה </w:t>
      </w:r>
      <w:bookmarkStart w:id="66644" w:name="_ETM_Q117_603119"/>
      <w:bookmarkEnd w:id="66644"/>
      <w:r>
        <w:rPr>
          <w:rFonts w:hint="cs"/>
          <w:rtl/>
        </w:rPr>
        <w:t xml:space="preserve">דב. </w:t>
      </w:r>
      <w:bookmarkStart w:id="66645" w:name="_ETM_Q117_603810"/>
      <w:bookmarkEnd w:id="66645"/>
      <w:r>
        <w:rPr>
          <w:rFonts w:hint="cs"/>
          <w:rtl/>
        </w:rPr>
        <w:t xml:space="preserve">לא </w:t>
      </w:r>
      <w:bookmarkStart w:id="66646" w:name="_ETM_Q117_603990"/>
      <w:bookmarkEnd w:id="66646"/>
      <w:r>
        <w:rPr>
          <w:rFonts w:hint="cs"/>
          <w:rtl/>
        </w:rPr>
        <w:t xml:space="preserve">עניין </w:t>
      </w:r>
      <w:bookmarkStart w:id="66647" w:name="_ETM_Q117_604259"/>
      <w:bookmarkEnd w:id="66647"/>
      <w:r>
        <w:rPr>
          <w:rFonts w:hint="cs"/>
          <w:rtl/>
        </w:rPr>
        <w:t xml:space="preserve">אתכם. </w:t>
      </w:r>
      <w:bookmarkStart w:id="66648" w:name="_ETM_Q117_604909"/>
      <w:bookmarkEnd w:id="66648"/>
      <w:r>
        <w:rPr>
          <w:rFonts w:hint="cs"/>
          <w:rtl/>
        </w:rPr>
        <w:t xml:space="preserve">עניינו </w:t>
      </w:r>
      <w:bookmarkStart w:id="66649" w:name="_ETM_Q117_605569"/>
      <w:bookmarkEnd w:id="66649"/>
      <w:r>
        <w:rPr>
          <w:rFonts w:hint="cs"/>
          <w:rtl/>
        </w:rPr>
        <w:t xml:space="preserve">דברים </w:t>
      </w:r>
      <w:bookmarkStart w:id="66650" w:name="_ETM_Q117_605959"/>
      <w:bookmarkEnd w:id="66650"/>
      <w:r>
        <w:rPr>
          <w:rFonts w:hint="cs"/>
          <w:rtl/>
        </w:rPr>
        <w:t xml:space="preserve">אחרים. </w:t>
      </w:r>
      <w:bookmarkStart w:id="66651" w:name="_ETM_Q117_606349"/>
      <w:bookmarkEnd w:id="66651"/>
      <w:r>
        <w:rPr>
          <w:rFonts w:hint="cs"/>
          <w:rtl/>
        </w:rPr>
        <w:t xml:space="preserve">פשוט </w:t>
      </w:r>
      <w:bookmarkStart w:id="66652" w:name="_ETM_Q117_606649"/>
      <w:bookmarkEnd w:id="66652"/>
      <w:r>
        <w:rPr>
          <w:rFonts w:hint="cs"/>
          <w:rtl/>
        </w:rPr>
        <w:t xml:space="preserve">לא </w:t>
      </w:r>
      <w:bookmarkStart w:id="66653" w:name="_ETM_Q117_606709"/>
      <w:bookmarkEnd w:id="66653"/>
      <w:r>
        <w:rPr>
          <w:rFonts w:hint="cs"/>
          <w:rtl/>
        </w:rPr>
        <w:t>עניי</w:t>
      </w:r>
      <w:r w:rsidR="002F1C45">
        <w:rPr>
          <w:rFonts w:hint="cs"/>
          <w:rtl/>
        </w:rPr>
        <w:t>נה</w:t>
      </w:r>
      <w:r>
        <w:rPr>
          <w:rFonts w:hint="cs"/>
          <w:rtl/>
        </w:rPr>
        <w:t xml:space="preserve"> </w:t>
      </w:r>
      <w:bookmarkStart w:id="66654" w:name="_ETM_Q117_606950"/>
      <w:bookmarkEnd w:id="66654"/>
      <w:r>
        <w:rPr>
          <w:rFonts w:hint="cs"/>
          <w:rtl/>
        </w:rPr>
        <w:t xml:space="preserve">אתכם </w:t>
      </w:r>
      <w:bookmarkStart w:id="66655" w:name="_ETM_Q117_607219"/>
      <w:bookmarkEnd w:id="66655"/>
      <w:r>
        <w:rPr>
          <w:rFonts w:hint="cs"/>
          <w:rtl/>
        </w:rPr>
        <w:t xml:space="preserve">אילת. </w:t>
      </w:r>
      <w:bookmarkStart w:id="66656" w:name="_ETM_Q117_607579"/>
      <w:bookmarkEnd w:id="66656"/>
      <w:r>
        <w:rPr>
          <w:rFonts w:hint="cs"/>
          <w:rtl/>
        </w:rPr>
        <w:t xml:space="preserve">לא </w:t>
      </w:r>
      <w:bookmarkStart w:id="66657" w:name="_ETM_Q117_607670"/>
      <w:bookmarkEnd w:id="66657"/>
      <w:r>
        <w:rPr>
          <w:rFonts w:hint="cs"/>
          <w:rtl/>
        </w:rPr>
        <w:t xml:space="preserve">מעניין </w:t>
      </w:r>
      <w:bookmarkStart w:id="66658" w:name="_ETM_Q117_607969"/>
      <w:bookmarkEnd w:id="66658"/>
      <w:r>
        <w:rPr>
          <w:rFonts w:hint="cs"/>
          <w:rtl/>
        </w:rPr>
        <w:t xml:space="preserve">אתכם </w:t>
      </w:r>
      <w:bookmarkStart w:id="66659" w:name="_ETM_Q117_608209"/>
      <w:bookmarkEnd w:id="66659"/>
      <w:r>
        <w:rPr>
          <w:rFonts w:hint="cs"/>
          <w:rtl/>
        </w:rPr>
        <w:t xml:space="preserve">התשתית </w:t>
      </w:r>
      <w:bookmarkStart w:id="66660" w:name="_ETM_Q117_608599"/>
      <w:bookmarkEnd w:id="66660"/>
      <w:r>
        <w:rPr>
          <w:rFonts w:hint="cs"/>
          <w:rtl/>
        </w:rPr>
        <w:t xml:space="preserve">התחבורתית </w:t>
      </w:r>
      <w:bookmarkStart w:id="66661" w:name="_ETM_Q117_609530"/>
      <w:bookmarkStart w:id="66662" w:name="_ETM_Q117_610250"/>
      <w:bookmarkEnd w:id="66661"/>
      <w:bookmarkEnd w:id="66662"/>
      <w:r>
        <w:rPr>
          <w:rFonts w:hint="cs"/>
          <w:rtl/>
        </w:rPr>
        <w:t xml:space="preserve">לאילת. </w:t>
      </w:r>
      <w:bookmarkStart w:id="66663" w:name="_ETM_Q117_611000"/>
      <w:bookmarkEnd w:id="66663"/>
      <w:r>
        <w:rPr>
          <w:rFonts w:hint="cs"/>
          <w:rtl/>
        </w:rPr>
        <w:t xml:space="preserve">זה </w:t>
      </w:r>
      <w:bookmarkStart w:id="66664" w:name="_ETM_Q117_611150"/>
      <w:bookmarkEnd w:id="66664"/>
      <w:r>
        <w:rPr>
          <w:rFonts w:hint="cs"/>
          <w:rtl/>
        </w:rPr>
        <w:t xml:space="preserve">לא </w:t>
      </w:r>
      <w:bookmarkStart w:id="66665" w:name="_ETM_Q117_611239"/>
      <w:bookmarkEnd w:id="66665"/>
      <w:r>
        <w:rPr>
          <w:rFonts w:hint="cs"/>
          <w:rtl/>
        </w:rPr>
        <w:t xml:space="preserve">מעניין. ה-9 מיליון </w:t>
      </w:r>
      <w:bookmarkStart w:id="66666" w:name="_ETM_Q117_612190"/>
      <w:bookmarkStart w:id="66667" w:name="_ETM_Q117_612370"/>
      <w:bookmarkStart w:id="66668" w:name="_ETM_Q117_612849"/>
      <w:bookmarkEnd w:id="66666"/>
      <w:bookmarkEnd w:id="66667"/>
      <w:bookmarkEnd w:id="66668"/>
      <w:r>
        <w:rPr>
          <w:rFonts w:hint="cs"/>
          <w:rtl/>
        </w:rPr>
        <w:t xml:space="preserve">שקלים </w:t>
      </w:r>
      <w:bookmarkStart w:id="66669" w:name="_ETM_Q117_613120"/>
      <w:bookmarkEnd w:id="66669"/>
      <w:r>
        <w:rPr>
          <w:rFonts w:hint="cs"/>
          <w:rtl/>
        </w:rPr>
        <w:t xml:space="preserve">שלקחתם </w:t>
      </w:r>
      <w:bookmarkStart w:id="66670" w:name="_ETM_Q117_613599"/>
      <w:bookmarkEnd w:id="66670"/>
      <w:r>
        <w:rPr>
          <w:rFonts w:hint="cs"/>
          <w:rtl/>
        </w:rPr>
        <w:t xml:space="preserve">להם </w:t>
      </w:r>
      <w:bookmarkStart w:id="66671" w:name="_ETM_Q117_613690"/>
      <w:bookmarkEnd w:id="66671"/>
      <w:r>
        <w:rPr>
          <w:rFonts w:hint="cs"/>
          <w:rtl/>
        </w:rPr>
        <w:t xml:space="preserve">בקרן </w:t>
      </w:r>
      <w:bookmarkStart w:id="66672" w:name="_ETM_Q117_614050"/>
      <w:bookmarkEnd w:id="66672"/>
      <w:r>
        <w:rPr>
          <w:rFonts w:hint="cs"/>
          <w:rtl/>
        </w:rPr>
        <w:t xml:space="preserve">הארנונה, </w:t>
      </w:r>
      <w:bookmarkStart w:id="66673" w:name="_ETM_Q117_614530"/>
      <w:bookmarkEnd w:id="66673"/>
      <w:r>
        <w:rPr>
          <w:rFonts w:hint="cs"/>
          <w:rtl/>
        </w:rPr>
        <w:t xml:space="preserve">אף </w:t>
      </w:r>
      <w:bookmarkStart w:id="66674" w:name="_ETM_Q117_614739"/>
      <w:bookmarkEnd w:id="66674"/>
      <w:r>
        <w:rPr>
          <w:rFonts w:hint="cs"/>
          <w:rtl/>
        </w:rPr>
        <w:t xml:space="preserve">אחד </w:t>
      </w:r>
      <w:bookmarkStart w:id="66675" w:name="_ETM_Q117_615040"/>
      <w:bookmarkStart w:id="66676" w:name="_ETM_Q117_615160"/>
      <w:bookmarkEnd w:id="66675"/>
      <w:bookmarkEnd w:id="66676"/>
      <w:r>
        <w:rPr>
          <w:rFonts w:hint="cs"/>
          <w:rtl/>
        </w:rPr>
        <w:t xml:space="preserve">לא מחזיר </w:t>
      </w:r>
      <w:bookmarkStart w:id="66677" w:name="_ETM_Q117_615520"/>
      <w:bookmarkEnd w:id="66677"/>
      <w:r>
        <w:rPr>
          <w:rFonts w:hint="cs"/>
          <w:rtl/>
        </w:rPr>
        <w:t xml:space="preserve">להם </w:t>
      </w:r>
      <w:bookmarkStart w:id="66678" w:name="_ETM_Q117_615730"/>
      <w:bookmarkEnd w:id="66678"/>
      <w:r>
        <w:rPr>
          <w:rFonts w:hint="cs"/>
          <w:rtl/>
        </w:rPr>
        <w:t xml:space="preserve">את </w:t>
      </w:r>
      <w:bookmarkStart w:id="66679" w:name="_ETM_Q117_615819"/>
      <w:bookmarkEnd w:id="66679"/>
      <w:r>
        <w:rPr>
          <w:rFonts w:hint="cs"/>
          <w:rtl/>
        </w:rPr>
        <w:t xml:space="preserve">זה. </w:t>
      </w:r>
      <w:bookmarkStart w:id="66680" w:name="_ETM_Q117_616360"/>
      <w:bookmarkStart w:id="66681" w:name="_ETM_Q117_616690"/>
      <w:bookmarkEnd w:id="66680"/>
      <w:bookmarkEnd w:id="66681"/>
      <w:r>
        <w:rPr>
          <w:rFonts w:hint="cs"/>
          <w:rtl/>
        </w:rPr>
        <w:t xml:space="preserve">כמה </w:t>
      </w:r>
      <w:bookmarkStart w:id="66682" w:name="_ETM_Q117_616930"/>
      <w:bookmarkEnd w:id="66682"/>
      <w:r>
        <w:rPr>
          <w:rFonts w:hint="cs"/>
          <w:rtl/>
        </w:rPr>
        <w:t xml:space="preserve">חודשים </w:t>
      </w:r>
      <w:bookmarkStart w:id="66683" w:name="_ETM_Q117_617290"/>
      <w:bookmarkEnd w:id="66683"/>
      <w:r>
        <w:rPr>
          <w:rFonts w:hint="cs"/>
          <w:rtl/>
        </w:rPr>
        <w:t xml:space="preserve">עברו </w:t>
      </w:r>
      <w:bookmarkStart w:id="66684" w:name="_ETM_Q117_617500"/>
      <w:bookmarkEnd w:id="66684"/>
      <w:r>
        <w:rPr>
          <w:rFonts w:hint="cs"/>
          <w:rtl/>
        </w:rPr>
        <w:t xml:space="preserve">מאז </w:t>
      </w:r>
      <w:bookmarkStart w:id="66685" w:name="_ETM_Q117_617739"/>
      <w:bookmarkEnd w:id="66685"/>
      <w:r>
        <w:rPr>
          <w:rFonts w:hint="cs"/>
          <w:rtl/>
        </w:rPr>
        <w:t xml:space="preserve">שחוקק </w:t>
      </w:r>
      <w:bookmarkStart w:id="66686" w:name="_ETM_Q117_618340"/>
      <w:bookmarkEnd w:id="66686"/>
      <w:r>
        <w:rPr>
          <w:rFonts w:hint="cs"/>
          <w:rtl/>
        </w:rPr>
        <w:t xml:space="preserve">קרן </w:t>
      </w:r>
      <w:bookmarkStart w:id="66687" w:name="_ETM_Q117_618640"/>
      <w:bookmarkEnd w:id="66687"/>
      <w:r>
        <w:rPr>
          <w:rFonts w:hint="cs"/>
          <w:rtl/>
        </w:rPr>
        <w:t xml:space="preserve">הארנונה? שלושה </w:t>
      </w:r>
      <w:bookmarkStart w:id="66688" w:name="_ETM_Q117_622490"/>
      <w:bookmarkStart w:id="66689" w:name="_ETM_Q117_619060"/>
      <w:bookmarkStart w:id="66690" w:name="_ETM_Q117_620780"/>
      <w:bookmarkEnd w:id="66688"/>
      <w:bookmarkEnd w:id="66689"/>
      <w:bookmarkEnd w:id="66690"/>
      <w:r>
        <w:rPr>
          <w:rFonts w:hint="cs"/>
          <w:rtl/>
        </w:rPr>
        <w:t xml:space="preserve">חודשים </w:t>
      </w:r>
      <w:bookmarkStart w:id="66691" w:name="_ETM_Q117_621140"/>
      <w:bookmarkEnd w:id="66691"/>
      <w:r>
        <w:rPr>
          <w:rFonts w:hint="cs"/>
          <w:rtl/>
        </w:rPr>
        <w:t xml:space="preserve">בערך? </w:t>
      </w:r>
      <w:bookmarkStart w:id="66692" w:name="_ETM_Q117_622330"/>
      <w:bookmarkEnd w:id="66692"/>
      <w:r>
        <w:rPr>
          <w:rFonts w:hint="cs"/>
          <w:rtl/>
        </w:rPr>
        <w:t xml:space="preserve">לא </w:t>
      </w:r>
      <w:bookmarkStart w:id="66693" w:name="_ETM_Q117_622510"/>
      <w:bookmarkEnd w:id="66693"/>
      <w:r>
        <w:rPr>
          <w:rFonts w:hint="cs"/>
          <w:rtl/>
        </w:rPr>
        <w:t xml:space="preserve">טיפלו </w:t>
      </w:r>
      <w:bookmarkStart w:id="66694" w:name="_ETM_Q117_622810"/>
      <w:bookmarkEnd w:id="66694"/>
      <w:r>
        <w:rPr>
          <w:rFonts w:hint="cs"/>
          <w:rtl/>
        </w:rPr>
        <w:t xml:space="preserve">בזה. </w:t>
      </w:r>
      <w:bookmarkStart w:id="66695" w:name="_ETM_Q117_623260"/>
      <w:bookmarkStart w:id="66696" w:name="_ETM_Q117_640468"/>
      <w:bookmarkStart w:id="66697" w:name="_ETM_Q117_640536"/>
      <w:bookmarkStart w:id="66698" w:name="_ETM_Q117_641410"/>
      <w:bookmarkStart w:id="66699" w:name="_ETM_Q117_641474"/>
      <w:bookmarkEnd w:id="66695"/>
      <w:bookmarkEnd w:id="66696"/>
      <w:bookmarkEnd w:id="66697"/>
      <w:bookmarkEnd w:id="66698"/>
      <w:bookmarkEnd w:id="66699"/>
      <w:r>
        <w:rPr>
          <w:rFonts w:hint="cs"/>
          <w:rtl/>
        </w:rPr>
        <w:t xml:space="preserve">אתה </w:t>
      </w:r>
      <w:bookmarkStart w:id="66700" w:name="_ETM_Q117_623410"/>
      <w:bookmarkEnd w:id="66700"/>
      <w:r>
        <w:rPr>
          <w:rFonts w:hint="cs"/>
          <w:rtl/>
        </w:rPr>
        <w:t xml:space="preserve">זוכר </w:t>
      </w:r>
      <w:bookmarkStart w:id="66701" w:name="_ETM_Q117_623650"/>
      <w:bookmarkEnd w:id="66701"/>
      <w:r>
        <w:rPr>
          <w:rFonts w:hint="cs"/>
          <w:rtl/>
        </w:rPr>
        <w:t xml:space="preserve">שאמרת: אל תדאג, תהיה </w:t>
      </w:r>
      <w:bookmarkStart w:id="66702" w:name="_ETM_Q117_624010"/>
      <w:bookmarkStart w:id="66703" w:name="_ETM_Q117_624220"/>
      <w:bookmarkStart w:id="66704" w:name="_ETM_Q117_624550"/>
      <w:bookmarkEnd w:id="66702"/>
      <w:bookmarkEnd w:id="66703"/>
      <w:bookmarkEnd w:id="66704"/>
      <w:r>
        <w:rPr>
          <w:rFonts w:hint="cs"/>
          <w:rtl/>
        </w:rPr>
        <w:t xml:space="preserve">תקנה </w:t>
      </w:r>
      <w:bookmarkStart w:id="66705" w:name="_ETM_Q117_625150"/>
      <w:bookmarkEnd w:id="66705"/>
      <w:r>
        <w:rPr>
          <w:rFonts w:hint="cs"/>
          <w:rtl/>
        </w:rPr>
        <w:t xml:space="preserve">לאילת, </w:t>
      </w:r>
      <w:bookmarkStart w:id="66706" w:name="_ETM_Q117_625660"/>
      <w:bookmarkEnd w:id="66706"/>
      <w:r>
        <w:rPr>
          <w:rFonts w:hint="cs"/>
          <w:rtl/>
        </w:rPr>
        <w:t xml:space="preserve">מטפלים </w:t>
      </w:r>
      <w:bookmarkStart w:id="66707" w:name="_ETM_Q117_626080"/>
      <w:bookmarkEnd w:id="66707"/>
      <w:r>
        <w:rPr>
          <w:rFonts w:hint="cs"/>
          <w:rtl/>
        </w:rPr>
        <w:t xml:space="preserve">בזה? </w:t>
      </w:r>
      <w:bookmarkStart w:id="66708" w:name="_ETM_Q117_627570"/>
      <w:bookmarkEnd w:id="66708"/>
      <w:r>
        <w:rPr>
          <w:rFonts w:hint="cs"/>
          <w:rtl/>
        </w:rPr>
        <w:t xml:space="preserve">לא </w:t>
      </w:r>
      <w:bookmarkStart w:id="66709" w:name="_ETM_Q117_627720"/>
      <w:bookmarkEnd w:id="66709"/>
      <w:r>
        <w:rPr>
          <w:rFonts w:hint="cs"/>
          <w:rtl/>
        </w:rPr>
        <w:t xml:space="preserve">זוכר </w:t>
      </w:r>
      <w:bookmarkStart w:id="66710" w:name="_ETM_Q117_628080"/>
      <w:bookmarkEnd w:id="66710"/>
      <w:r>
        <w:rPr>
          <w:rFonts w:hint="cs"/>
          <w:rtl/>
        </w:rPr>
        <w:t xml:space="preserve">אם אתה </w:t>
      </w:r>
      <w:bookmarkStart w:id="66711" w:name="_ETM_Q117_628260"/>
      <w:bookmarkEnd w:id="66711"/>
      <w:r>
        <w:rPr>
          <w:rFonts w:hint="cs"/>
          <w:rtl/>
        </w:rPr>
        <w:t xml:space="preserve">אמרת </w:t>
      </w:r>
      <w:bookmarkStart w:id="66712" w:name="_ETM_Q117_628560"/>
      <w:bookmarkEnd w:id="66712"/>
      <w:r>
        <w:rPr>
          <w:rFonts w:hint="cs"/>
          <w:rtl/>
        </w:rPr>
        <w:t xml:space="preserve">לי. </w:t>
      </w:r>
      <w:bookmarkStart w:id="66713" w:name="_ETM_Q117_628740"/>
      <w:bookmarkStart w:id="66714" w:name="_ETM_Q117_628860"/>
      <w:bookmarkEnd w:id="66713"/>
      <w:bookmarkEnd w:id="66714"/>
      <w:r>
        <w:rPr>
          <w:rFonts w:hint="cs"/>
          <w:rtl/>
        </w:rPr>
        <w:t xml:space="preserve">לא </w:t>
      </w:r>
      <w:bookmarkStart w:id="66715" w:name="_ETM_Q117_628950"/>
      <w:bookmarkEnd w:id="66715"/>
      <w:r>
        <w:rPr>
          <w:rFonts w:hint="cs"/>
          <w:rtl/>
        </w:rPr>
        <w:t xml:space="preserve">נעים </w:t>
      </w:r>
      <w:bookmarkStart w:id="66716" w:name="_ETM_Q117_629130"/>
      <w:bookmarkEnd w:id="66716"/>
      <w:r>
        <w:rPr>
          <w:rFonts w:hint="cs"/>
          <w:rtl/>
        </w:rPr>
        <w:t xml:space="preserve">לי </w:t>
      </w:r>
      <w:bookmarkStart w:id="66717" w:name="_ETM_Q117_629250"/>
      <w:bookmarkEnd w:id="66717"/>
      <w:r>
        <w:rPr>
          <w:rFonts w:hint="cs"/>
          <w:rtl/>
        </w:rPr>
        <w:t xml:space="preserve">להפיל </w:t>
      </w:r>
      <w:bookmarkStart w:id="66718" w:name="_ETM_Q117_629550"/>
      <w:bookmarkEnd w:id="66718"/>
      <w:r>
        <w:rPr>
          <w:rFonts w:hint="cs"/>
          <w:rtl/>
        </w:rPr>
        <w:t xml:space="preserve">את </w:t>
      </w:r>
      <w:bookmarkStart w:id="66719" w:name="_ETM_Q117_629640"/>
      <w:bookmarkEnd w:id="66719"/>
      <w:r>
        <w:rPr>
          <w:rFonts w:hint="cs"/>
          <w:rtl/>
        </w:rPr>
        <w:t xml:space="preserve">זה </w:t>
      </w:r>
      <w:bookmarkStart w:id="66720" w:name="_ETM_Q117_629730"/>
      <w:bookmarkEnd w:id="66720"/>
      <w:r>
        <w:rPr>
          <w:rFonts w:hint="cs"/>
          <w:rtl/>
        </w:rPr>
        <w:t xml:space="preserve">עליך </w:t>
      </w:r>
      <w:bookmarkStart w:id="66721" w:name="_ETM_Q117_630810"/>
      <w:bookmarkEnd w:id="66721"/>
      <w:r w:rsidR="002F1C45">
        <w:rPr>
          <w:rFonts w:hint="eastAsia"/>
          <w:rtl/>
        </w:rPr>
        <w:t>–</w:t>
      </w:r>
      <w:r w:rsidR="002F1C45">
        <w:rPr>
          <w:rFonts w:hint="cs"/>
          <w:rtl/>
        </w:rPr>
        <w:t xml:space="preserve"> </w:t>
      </w:r>
      <w:bookmarkStart w:id="66722" w:name="_ETM_Q117_653490"/>
      <w:bookmarkStart w:id="66723" w:name="_ETM_Q117_653567"/>
      <w:bookmarkStart w:id="66724" w:name="_ETM_Q117_653620"/>
      <w:bookmarkStart w:id="66725" w:name="_ETM_Q117_653681"/>
      <w:bookmarkEnd w:id="66722"/>
      <w:bookmarkEnd w:id="66723"/>
      <w:bookmarkEnd w:id="66724"/>
      <w:bookmarkEnd w:id="66725"/>
      <w:r>
        <w:rPr>
          <w:rFonts w:hint="cs"/>
          <w:rtl/>
        </w:rPr>
        <w:t>שלום</w:t>
      </w:r>
      <w:r w:rsidR="002F1C45">
        <w:rPr>
          <w:rFonts w:hint="cs"/>
          <w:rtl/>
        </w:rPr>
        <w:t>,</w:t>
      </w:r>
      <w:r>
        <w:rPr>
          <w:rFonts w:hint="cs"/>
          <w:rtl/>
        </w:rPr>
        <w:t xml:space="preserve"> </w:t>
      </w:r>
      <w:bookmarkStart w:id="66726" w:name="_ETM_Q117_631170"/>
      <w:bookmarkEnd w:id="66726"/>
      <w:r>
        <w:rPr>
          <w:rFonts w:hint="cs"/>
          <w:rtl/>
        </w:rPr>
        <w:t xml:space="preserve">חברת </w:t>
      </w:r>
      <w:bookmarkStart w:id="66727" w:name="_ETM_Q117_631500"/>
      <w:bookmarkEnd w:id="66727"/>
      <w:r>
        <w:rPr>
          <w:rFonts w:hint="cs"/>
          <w:rtl/>
        </w:rPr>
        <w:t xml:space="preserve">הכנסת </w:t>
      </w:r>
      <w:bookmarkStart w:id="66728" w:name="_ETM_Q117_633220"/>
      <w:bookmarkEnd w:id="66728"/>
      <w:r>
        <w:rPr>
          <w:rFonts w:hint="cs"/>
          <w:rtl/>
        </w:rPr>
        <w:t xml:space="preserve">דבי </w:t>
      </w:r>
      <w:bookmarkStart w:id="66729" w:name="_ETM_Q117_633580"/>
      <w:bookmarkEnd w:id="66729"/>
      <w:r>
        <w:rPr>
          <w:rFonts w:hint="cs"/>
          <w:rtl/>
        </w:rPr>
        <w:t xml:space="preserve">ביטון. </w:t>
      </w:r>
      <w:bookmarkStart w:id="66730" w:name="_ETM_Q117_635290"/>
      <w:bookmarkEnd w:id="66730"/>
    </w:p>
    <w:p w:rsidR="002F1C45" w:rsidRDefault="002F1C45" w:rsidP="002F1C45">
      <w:pPr>
        <w:rPr>
          <w:rtl/>
        </w:rPr>
      </w:pPr>
    </w:p>
    <w:p w:rsidR="00BB59CD" w:rsidRDefault="00BB59CD" w:rsidP="002F1C45">
      <w:pPr>
        <w:rPr>
          <w:rtl/>
        </w:rPr>
      </w:pPr>
      <w:r>
        <w:rPr>
          <w:rFonts w:hint="cs"/>
          <w:rtl/>
        </w:rPr>
        <w:t xml:space="preserve">אז </w:t>
      </w:r>
      <w:bookmarkStart w:id="66731" w:name="_ETM_Q117_635829"/>
      <w:bookmarkStart w:id="66732" w:name="_ETM_Q117_635920"/>
      <w:bookmarkEnd w:id="66731"/>
      <w:bookmarkEnd w:id="66732"/>
      <w:r w:rsidR="002F1C45">
        <w:rPr>
          <w:rFonts w:hint="cs"/>
          <w:rtl/>
        </w:rPr>
        <w:t xml:space="preserve">את </w:t>
      </w:r>
      <w:r>
        <w:rPr>
          <w:rFonts w:hint="cs"/>
          <w:rtl/>
        </w:rPr>
        <w:t xml:space="preserve">אף אחד זה לא </w:t>
      </w:r>
      <w:bookmarkStart w:id="66733" w:name="_ETM_Q117_636010"/>
      <w:bookmarkEnd w:id="66733"/>
      <w:r>
        <w:rPr>
          <w:rFonts w:hint="cs"/>
          <w:rtl/>
        </w:rPr>
        <w:t xml:space="preserve">באמת </w:t>
      </w:r>
      <w:bookmarkStart w:id="66734" w:name="_ETM_Q117_636249"/>
      <w:bookmarkEnd w:id="66734"/>
      <w:r>
        <w:rPr>
          <w:rFonts w:hint="cs"/>
          <w:rtl/>
        </w:rPr>
        <w:t xml:space="preserve">מעניין. </w:t>
      </w:r>
      <w:bookmarkStart w:id="66735" w:name="_ETM_Q117_637159"/>
      <w:bookmarkEnd w:id="66735"/>
      <w:r>
        <w:rPr>
          <w:rFonts w:hint="cs"/>
          <w:rtl/>
        </w:rPr>
        <w:t xml:space="preserve">הדברים </w:t>
      </w:r>
      <w:bookmarkStart w:id="66736" w:name="_ETM_Q117_637760"/>
      <w:bookmarkEnd w:id="66736"/>
      <w:r>
        <w:rPr>
          <w:rFonts w:hint="cs"/>
          <w:rtl/>
        </w:rPr>
        <w:t xml:space="preserve">האלה </w:t>
      </w:r>
      <w:bookmarkStart w:id="66737" w:name="_ETM_Q117_638060"/>
      <w:bookmarkEnd w:id="66737"/>
      <w:r>
        <w:rPr>
          <w:rFonts w:hint="cs"/>
          <w:rtl/>
        </w:rPr>
        <w:t xml:space="preserve">עוברים </w:t>
      </w:r>
      <w:bookmarkStart w:id="66738" w:name="_ETM_Q117_639459"/>
      <w:bookmarkEnd w:id="66738"/>
      <w:r>
        <w:rPr>
          <w:rFonts w:hint="cs"/>
          <w:rtl/>
        </w:rPr>
        <w:t xml:space="preserve">כאילו </w:t>
      </w:r>
      <w:bookmarkStart w:id="66739" w:name="_ETM_Q117_639989"/>
      <w:bookmarkEnd w:id="66739"/>
      <w:r>
        <w:rPr>
          <w:rFonts w:hint="cs"/>
          <w:rtl/>
        </w:rPr>
        <w:t xml:space="preserve">כלום. </w:t>
      </w:r>
      <w:bookmarkStart w:id="66740" w:name="_ETM_Q117_640810"/>
      <w:bookmarkEnd w:id="66740"/>
      <w:r>
        <w:rPr>
          <w:rFonts w:hint="cs"/>
          <w:rtl/>
        </w:rPr>
        <w:t xml:space="preserve">פשוט </w:t>
      </w:r>
      <w:bookmarkStart w:id="66741" w:name="_ETM_Q117_641380"/>
      <w:bookmarkEnd w:id="66741"/>
      <w:r>
        <w:rPr>
          <w:rFonts w:hint="cs"/>
          <w:rtl/>
        </w:rPr>
        <w:t xml:space="preserve">כלום. </w:t>
      </w:r>
      <w:bookmarkStart w:id="66742" w:name="_ETM_Q117_641770"/>
      <w:bookmarkEnd w:id="66742"/>
      <w:r>
        <w:rPr>
          <w:rFonts w:hint="cs"/>
          <w:rtl/>
        </w:rPr>
        <w:t xml:space="preserve">זה </w:t>
      </w:r>
      <w:bookmarkStart w:id="66743" w:name="_ETM_Q117_641950"/>
      <w:bookmarkEnd w:id="66743"/>
      <w:r>
        <w:rPr>
          <w:rFonts w:hint="cs"/>
          <w:rtl/>
        </w:rPr>
        <w:t xml:space="preserve">פשוט </w:t>
      </w:r>
      <w:bookmarkStart w:id="66744" w:name="_ETM_Q117_642460"/>
      <w:bookmarkEnd w:id="66744"/>
      <w:r>
        <w:rPr>
          <w:rFonts w:hint="cs"/>
          <w:rtl/>
        </w:rPr>
        <w:t xml:space="preserve">לא </w:t>
      </w:r>
      <w:bookmarkStart w:id="66745" w:name="_ETM_Q117_642670"/>
      <w:bookmarkEnd w:id="66745"/>
      <w:r>
        <w:rPr>
          <w:rFonts w:hint="cs"/>
          <w:rtl/>
        </w:rPr>
        <w:t xml:space="preserve">מעניין. </w:t>
      </w:r>
      <w:bookmarkStart w:id="66746" w:name="_ETM_Q117_643670"/>
      <w:bookmarkEnd w:id="66746"/>
      <w:r>
        <w:rPr>
          <w:rFonts w:hint="cs"/>
          <w:rtl/>
        </w:rPr>
        <w:t xml:space="preserve">אנחנו </w:t>
      </w:r>
      <w:bookmarkStart w:id="66747" w:name="_ETM_Q117_643910"/>
      <w:bookmarkEnd w:id="66747"/>
      <w:r>
        <w:rPr>
          <w:rFonts w:hint="cs"/>
          <w:rtl/>
        </w:rPr>
        <w:t xml:space="preserve">דיברנו </w:t>
      </w:r>
      <w:bookmarkStart w:id="66748" w:name="_ETM_Q117_644330"/>
      <w:bookmarkEnd w:id="66748"/>
      <w:r>
        <w:rPr>
          <w:rFonts w:hint="cs"/>
          <w:rtl/>
        </w:rPr>
        <w:t xml:space="preserve">על </w:t>
      </w:r>
      <w:bookmarkStart w:id="66749" w:name="_ETM_Q117_644420"/>
      <w:bookmarkEnd w:id="66749"/>
      <w:r>
        <w:rPr>
          <w:rFonts w:hint="cs"/>
          <w:rtl/>
        </w:rPr>
        <w:t xml:space="preserve">החינוך, </w:t>
      </w:r>
      <w:bookmarkStart w:id="66750" w:name="_ETM_Q117_644840"/>
      <w:bookmarkEnd w:id="66750"/>
      <w:r>
        <w:rPr>
          <w:rFonts w:hint="cs"/>
          <w:rtl/>
        </w:rPr>
        <w:t xml:space="preserve">דיברנו </w:t>
      </w:r>
      <w:bookmarkStart w:id="66751" w:name="_ETM_Q117_645200"/>
      <w:bookmarkEnd w:id="66751"/>
      <w:r>
        <w:rPr>
          <w:rFonts w:hint="cs"/>
          <w:rtl/>
        </w:rPr>
        <w:t xml:space="preserve">על </w:t>
      </w:r>
      <w:bookmarkStart w:id="66752" w:name="_ETM_Q117_645680"/>
      <w:bookmarkEnd w:id="66752"/>
      <w:r>
        <w:rPr>
          <w:rFonts w:hint="cs"/>
          <w:rtl/>
        </w:rPr>
        <w:t xml:space="preserve">מעונות </w:t>
      </w:r>
      <w:bookmarkStart w:id="66753" w:name="_ETM_Q117_646129"/>
      <w:bookmarkEnd w:id="66753"/>
      <w:r>
        <w:rPr>
          <w:rFonts w:hint="cs"/>
          <w:rtl/>
        </w:rPr>
        <w:t xml:space="preserve">היום, </w:t>
      </w:r>
      <w:bookmarkStart w:id="66754" w:name="_ETM_Q117_646400"/>
      <w:bookmarkEnd w:id="66754"/>
      <w:r>
        <w:rPr>
          <w:rFonts w:hint="cs"/>
          <w:rtl/>
        </w:rPr>
        <w:t xml:space="preserve">דיברנו </w:t>
      </w:r>
      <w:bookmarkStart w:id="66755" w:name="_ETM_Q117_646760"/>
      <w:bookmarkEnd w:id="66755"/>
      <w:r>
        <w:rPr>
          <w:rFonts w:hint="cs"/>
          <w:rtl/>
        </w:rPr>
        <w:t xml:space="preserve">על </w:t>
      </w:r>
      <w:bookmarkStart w:id="66756" w:name="_ETM_Q117_646849"/>
      <w:bookmarkEnd w:id="66756"/>
      <w:r>
        <w:rPr>
          <w:rFonts w:hint="cs"/>
          <w:rtl/>
        </w:rPr>
        <w:t xml:space="preserve">תקנות </w:t>
      </w:r>
      <w:bookmarkStart w:id="66757" w:name="_ETM_Q117_647269"/>
      <w:bookmarkEnd w:id="66757"/>
      <w:r>
        <w:rPr>
          <w:rFonts w:hint="cs"/>
          <w:rtl/>
        </w:rPr>
        <w:t xml:space="preserve">שצריך </w:t>
      </w:r>
      <w:bookmarkStart w:id="66758" w:name="_ETM_Q117_647660"/>
      <w:bookmarkEnd w:id="66758"/>
      <w:r>
        <w:rPr>
          <w:rFonts w:hint="cs"/>
          <w:rtl/>
        </w:rPr>
        <w:t>לפקח</w:t>
      </w:r>
      <w:r w:rsidR="002F1C45">
        <w:rPr>
          <w:rFonts w:hint="cs"/>
          <w:rtl/>
        </w:rPr>
        <w:t xml:space="preserve"> עליהן</w:t>
      </w:r>
      <w:r>
        <w:rPr>
          <w:rFonts w:hint="cs"/>
          <w:rtl/>
        </w:rPr>
        <w:t xml:space="preserve">, </w:t>
      </w:r>
      <w:bookmarkStart w:id="66759" w:name="_ETM_Q117_648769"/>
      <w:bookmarkEnd w:id="66759"/>
      <w:r>
        <w:rPr>
          <w:rFonts w:hint="cs"/>
          <w:rtl/>
        </w:rPr>
        <w:t xml:space="preserve">תקנות </w:t>
      </w:r>
      <w:bookmarkStart w:id="66760" w:name="_ETM_Q117_649400"/>
      <w:bookmarkEnd w:id="66760"/>
      <w:r>
        <w:rPr>
          <w:rFonts w:hint="cs"/>
          <w:rtl/>
        </w:rPr>
        <w:t xml:space="preserve">הפיקוח </w:t>
      </w:r>
      <w:bookmarkStart w:id="66761" w:name="_ETM_Q117_650090"/>
      <w:bookmarkEnd w:id="66761"/>
      <w:r>
        <w:rPr>
          <w:rFonts w:hint="cs"/>
          <w:rtl/>
        </w:rPr>
        <w:t xml:space="preserve">שהעבירו </w:t>
      </w:r>
      <w:bookmarkStart w:id="66762" w:name="_ETM_Q117_650510"/>
      <w:bookmarkEnd w:id="66762"/>
      <w:r>
        <w:rPr>
          <w:rFonts w:hint="cs"/>
          <w:rtl/>
        </w:rPr>
        <w:t>פה</w:t>
      </w:r>
      <w:r w:rsidR="002F1C45">
        <w:rPr>
          <w:rFonts w:hint="cs"/>
          <w:rtl/>
        </w:rPr>
        <w:t>.</w:t>
      </w:r>
      <w:r>
        <w:rPr>
          <w:rFonts w:hint="cs"/>
          <w:rtl/>
        </w:rPr>
        <w:t xml:space="preserve"> </w:t>
      </w:r>
      <w:bookmarkStart w:id="66763" w:name="_ETM_Q117_650660"/>
      <w:bookmarkEnd w:id="66763"/>
      <w:r>
        <w:rPr>
          <w:rFonts w:hint="cs"/>
          <w:rtl/>
        </w:rPr>
        <w:t>ב-2018</w:t>
      </w:r>
      <w:bookmarkStart w:id="66764" w:name="_ETM_Q117_651560"/>
      <w:bookmarkStart w:id="66765" w:name="_ETM_Q117_652700"/>
      <w:bookmarkEnd w:id="66764"/>
      <w:bookmarkEnd w:id="66765"/>
      <w:r>
        <w:rPr>
          <w:rFonts w:hint="cs"/>
          <w:rtl/>
        </w:rPr>
        <w:t xml:space="preserve">, 2017 עבר </w:t>
      </w:r>
      <w:bookmarkStart w:id="66766" w:name="_ETM_Q117_653239"/>
      <w:bookmarkEnd w:id="66766"/>
      <w:r>
        <w:rPr>
          <w:rFonts w:hint="cs"/>
          <w:rtl/>
        </w:rPr>
        <w:t xml:space="preserve">חוק </w:t>
      </w:r>
      <w:bookmarkStart w:id="66767" w:name="_ETM_Q117_653480"/>
      <w:bookmarkEnd w:id="66767"/>
      <w:r>
        <w:rPr>
          <w:rFonts w:hint="cs"/>
          <w:rtl/>
        </w:rPr>
        <w:t xml:space="preserve">הפיקוח </w:t>
      </w:r>
      <w:bookmarkStart w:id="66768" w:name="_ETM_Q117_653870"/>
      <w:bookmarkEnd w:id="66768"/>
      <w:r>
        <w:rPr>
          <w:rFonts w:hint="cs"/>
          <w:rtl/>
        </w:rPr>
        <w:t xml:space="preserve">על </w:t>
      </w:r>
      <w:bookmarkStart w:id="66769" w:name="_ETM_Q117_653989"/>
      <w:bookmarkEnd w:id="66769"/>
      <w:r>
        <w:rPr>
          <w:rFonts w:hint="cs"/>
          <w:rtl/>
        </w:rPr>
        <w:t xml:space="preserve">המעונות </w:t>
      </w:r>
      <w:bookmarkStart w:id="66770" w:name="_ETM_Q117_654470"/>
      <w:bookmarkEnd w:id="66770"/>
      <w:r>
        <w:rPr>
          <w:rFonts w:hint="cs"/>
          <w:rtl/>
        </w:rPr>
        <w:t xml:space="preserve">עם </w:t>
      </w:r>
      <w:bookmarkStart w:id="66771" w:name="_ETM_Q117_654560"/>
      <w:bookmarkEnd w:id="66771"/>
      <w:r>
        <w:rPr>
          <w:rFonts w:hint="cs"/>
          <w:rtl/>
        </w:rPr>
        <w:t>המצלמות</w:t>
      </w:r>
      <w:r w:rsidR="002F1C45">
        <w:rPr>
          <w:rFonts w:hint="cs"/>
          <w:rtl/>
        </w:rPr>
        <w:t>;</w:t>
      </w:r>
      <w:r>
        <w:rPr>
          <w:rFonts w:hint="cs"/>
          <w:rtl/>
        </w:rPr>
        <w:t xml:space="preserve"> </w:t>
      </w:r>
      <w:bookmarkStart w:id="66772" w:name="_ETM_Q117_655620"/>
      <w:bookmarkEnd w:id="66772"/>
      <w:r>
        <w:rPr>
          <w:rFonts w:hint="cs"/>
          <w:rtl/>
        </w:rPr>
        <w:t xml:space="preserve">אתה </w:t>
      </w:r>
      <w:bookmarkStart w:id="66773" w:name="_ETM_Q117_655709"/>
      <w:bookmarkEnd w:id="66773"/>
      <w:r>
        <w:rPr>
          <w:rFonts w:hint="cs"/>
          <w:rtl/>
        </w:rPr>
        <w:t xml:space="preserve">יודע </w:t>
      </w:r>
      <w:bookmarkStart w:id="66774" w:name="_ETM_Q117_655889"/>
      <w:bookmarkEnd w:id="66774"/>
      <w:r>
        <w:rPr>
          <w:rFonts w:hint="cs"/>
          <w:rtl/>
        </w:rPr>
        <w:t xml:space="preserve">שעדיין </w:t>
      </w:r>
      <w:bookmarkStart w:id="66775" w:name="_ETM_Q117_656249"/>
      <w:bookmarkEnd w:id="66775"/>
      <w:r>
        <w:rPr>
          <w:rFonts w:hint="cs"/>
          <w:rtl/>
        </w:rPr>
        <w:t xml:space="preserve">לא </w:t>
      </w:r>
      <w:bookmarkStart w:id="66776" w:name="_ETM_Q117_656519"/>
      <w:bookmarkEnd w:id="66776"/>
      <w:r>
        <w:rPr>
          <w:rFonts w:hint="cs"/>
          <w:rtl/>
        </w:rPr>
        <w:t xml:space="preserve">שמו </w:t>
      </w:r>
      <w:bookmarkStart w:id="66777" w:name="_ETM_Q117_656819"/>
      <w:bookmarkEnd w:id="66777"/>
      <w:r>
        <w:rPr>
          <w:rFonts w:hint="cs"/>
          <w:rtl/>
        </w:rPr>
        <w:t xml:space="preserve">תקנות </w:t>
      </w:r>
      <w:bookmarkStart w:id="66778" w:name="_ETM_Q117_657209"/>
      <w:bookmarkEnd w:id="66778"/>
      <w:r>
        <w:rPr>
          <w:rFonts w:hint="cs"/>
          <w:rtl/>
        </w:rPr>
        <w:t xml:space="preserve">על </w:t>
      </w:r>
      <w:bookmarkStart w:id="66779" w:name="_ETM_Q117_657329"/>
      <w:bookmarkEnd w:id="66779"/>
      <w:r>
        <w:rPr>
          <w:rFonts w:hint="cs"/>
          <w:rtl/>
        </w:rPr>
        <w:t xml:space="preserve">זה? </w:t>
      </w:r>
      <w:bookmarkStart w:id="66780" w:name="_ETM_Q117_658719"/>
      <w:bookmarkEnd w:id="66780"/>
      <w:r>
        <w:rPr>
          <w:rFonts w:hint="cs"/>
          <w:rtl/>
        </w:rPr>
        <w:t xml:space="preserve">ב-2017 </w:t>
      </w:r>
      <w:bookmarkStart w:id="66781" w:name="_ETM_Q117_660489"/>
      <w:bookmarkStart w:id="66782" w:name="_ETM_Q117_661060"/>
      <w:bookmarkEnd w:id="66781"/>
      <w:bookmarkEnd w:id="66782"/>
      <w:r>
        <w:rPr>
          <w:rFonts w:hint="cs"/>
          <w:rtl/>
        </w:rPr>
        <w:t xml:space="preserve">או 2018 חוקק </w:t>
      </w:r>
      <w:bookmarkStart w:id="66783" w:name="_ETM_Q117_661510"/>
      <w:bookmarkEnd w:id="66783"/>
      <w:r>
        <w:rPr>
          <w:rFonts w:hint="cs"/>
          <w:rtl/>
        </w:rPr>
        <w:t xml:space="preserve">פה </w:t>
      </w:r>
      <w:bookmarkStart w:id="66784" w:name="_ETM_Q117_661659"/>
      <w:bookmarkEnd w:id="66784"/>
      <w:r>
        <w:rPr>
          <w:rFonts w:hint="cs"/>
          <w:rtl/>
        </w:rPr>
        <w:t xml:space="preserve">החוק </w:t>
      </w:r>
      <w:bookmarkStart w:id="66785" w:name="_ETM_Q117_661930"/>
      <w:bookmarkEnd w:id="66785"/>
      <w:r>
        <w:rPr>
          <w:rFonts w:hint="cs"/>
          <w:rtl/>
        </w:rPr>
        <w:t xml:space="preserve">הזה. </w:t>
      </w:r>
      <w:bookmarkStart w:id="66786" w:name="_ETM_Q117_662740"/>
      <w:bookmarkEnd w:id="66786"/>
      <w:r w:rsidR="002F1C45">
        <w:rPr>
          <w:rFonts w:hint="cs"/>
          <w:rtl/>
        </w:rPr>
        <w:t xml:space="preserve">עדיין </w:t>
      </w:r>
      <w:r>
        <w:rPr>
          <w:rFonts w:hint="cs"/>
          <w:rtl/>
        </w:rPr>
        <w:t xml:space="preserve">לא </w:t>
      </w:r>
      <w:bookmarkStart w:id="66787" w:name="_ETM_Q117_662920"/>
      <w:bookmarkEnd w:id="66787"/>
      <w:r>
        <w:rPr>
          <w:rFonts w:hint="cs"/>
          <w:rtl/>
        </w:rPr>
        <w:t xml:space="preserve">שמו </w:t>
      </w:r>
      <w:bookmarkStart w:id="66788" w:name="_ETM_Q117_663190"/>
      <w:bookmarkStart w:id="66789" w:name="_ETM_Q117_663460"/>
      <w:bookmarkEnd w:id="66788"/>
      <w:bookmarkEnd w:id="66789"/>
      <w:r>
        <w:rPr>
          <w:rFonts w:hint="cs"/>
          <w:rtl/>
        </w:rPr>
        <w:t xml:space="preserve">תקנות. </w:t>
      </w:r>
      <w:bookmarkStart w:id="66790" w:name="_ETM_Q117_664780"/>
      <w:bookmarkEnd w:id="66790"/>
    </w:p>
    <w:p w:rsidR="00BB59CD" w:rsidRDefault="00BB59CD" w:rsidP="00BB59CD">
      <w:pPr>
        <w:rPr>
          <w:rtl/>
        </w:rPr>
      </w:pPr>
      <w:bookmarkStart w:id="66791" w:name="_ETM_Q117_666336"/>
      <w:bookmarkStart w:id="66792" w:name="_ETM_Q117_666450"/>
      <w:bookmarkEnd w:id="66791"/>
      <w:bookmarkEnd w:id="66792"/>
    </w:p>
    <w:p w:rsidR="00BB59CD" w:rsidRDefault="00BB59CD" w:rsidP="00BB59CD">
      <w:pPr>
        <w:pStyle w:val="af9"/>
        <w:keepNext/>
        <w:rPr>
          <w:rtl/>
        </w:rPr>
      </w:pPr>
      <w:bookmarkStart w:id="66793" w:name="_ETM_Q117_666511"/>
      <w:bookmarkStart w:id="66794" w:name="_ETM_Q117_666588"/>
      <w:bookmarkEnd w:id="66793"/>
      <w:bookmarkEnd w:id="6679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2F1C45">
      <w:pPr>
        <w:rPr>
          <w:rtl/>
        </w:rPr>
      </w:pPr>
      <w:bookmarkStart w:id="66795" w:name="_ETM_Q117_666671"/>
      <w:bookmarkStart w:id="66796" w:name="_ETM_Q117_666758"/>
      <w:bookmarkEnd w:id="66795"/>
      <w:bookmarkEnd w:id="66796"/>
      <w:r>
        <w:rPr>
          <w:rFonts w:hint="cs"/>
          <w:rtl/>
        </w:rPr>
        <w:t xml:space="preserve">אני </w:t>
      </w:r>
      <w:bookmarkStart w:id="66797" w:name="_ETM_Q117_664990"/>
      <w:bookmarkEnd w:id="66797"/>
      <w:r>
        <w:rPr>
          <w:rFonts w:hint="cs"/>
          <w:rtl/>
        </w:rPr>
        <w:t xml:space="preserve">מגלה </w:t>
      </w:r>
      <w:bookmarkStart w:id="66798" w:name="_ETM_Q117_665290"/>
      <w:bookmarkEnd w:id="66798"/>
      <w:r>
        <w:rPr>
          <w:rFonts w:hint="cs"/>
          <w:rtl/>
        </w:rPr>
        <w:t xml:space="preserve">תקנות במשרד הבריאות </w:t>
      </w:r>
      <w:bookmarkStart w:id="66799" w:name="_ETM_Q117_666730"/>
      <w:bookmarkEnd w:id="66799"/>
      <w:r w:rsidR="002F1C45">
        <w:rPr>
          <w:rFonts w:hint="cs"/>
          <w:rtl/>
        </w:rPr>
        <w:t>מ</w:t>
      </w:r>
      <w:r>
        <w:rPr>
          <w:rFonts w:hint="cs"/>
          <w:rtl/>
        </w:rPr>
        <w:t xml:space="preserve">לפני </w:t>
      </w:r>
      <w:bookmarkStart w:id="66800" w:name="_ETM_Q117_667030"/>
      <w:bookmarkEnd w:id="66800"/>
      <w:r>
        <w:rPr>
          <w:rFonts w:hint="cs"/>
          <w:rtl/>
        </w:rPr>
        <w:t xml:space="preserve">12 </w:t>
      </w:r>
      <w:bookmarkStart w:id="66801" w:name="_ETM_Q117_667420"/>
      <w:bookmarkEnd w:id="66801"/>
      <w:r>
        <w:rPr>
          <w:rFonts w:hint="cs"/>
          <w:rtl/>
        </w:rPr>
        <w:t xml:space="preserve">שנה </w:t>
      </w:r>
      <w:bookmarkStart w:id="66802" w:name="_ETM_Q117_667660"/>
      <w:bookmarkEnd w:id="66802"/>
      <w:r>
        <w:rPr>
          <w:rFonts w:hint="cs"/>
          <w:rtl/>
        </w:rPr>
        <w:t xml:space="preserve">ולא </w:t>
      </w:r>
      <w:bookmarkStart w:id="66803" w:name="_ETM_Q117_667810"/>
      <w:bookmarkEnd w:id="66803"/>
      <w:r>
        <w:rPr>
          <w:rFonts w:hint="cs"/>
          <w:rtl/>
        </w:rPr>
        <w:t xml:space="preserve">התקינו </w:t>
      </w:r>
      <w:bookmarkStart w:id="66804" w:name="_ETM_Q117_668080"/>
      <w:bookmarkEnd w:id="66804"/>
      <w:r>
        <w:rPr>
          <w:rFonts w:hint="cs"/>
          <w:rtl/>
        </w:rPr>
        <w:t>אות</w:t>
      </w:r>
      <w:bookmarkStart w:id="66805" w:name="_ETM_Q117_668740"/>
      <w:bookmarkEnd w:id="66805"/>
      <w:r>
        <w:rPr>
          <w:rFonts w:hint="cs"/>
          <w:rtl/>
        </w:rPr>
        <w:t>ן עדיין.</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תגיד, </w:t>
      </w:r>
      <w:bookmarkStart w:id="66806" w:name="_ETM_Q117_669310"/>
      <w:bookmarkEnd w:id="66806"/>
      <w:r>
        <w:rPr>
          <w:rFonts w:hint="cs"/>
          <w:rtl/>
        </w:rPr>
        <w:t xml:space="preserve">איך </w:t>
      </w:r>
      <w:bookmarkStart w:id="66807" w:name="_ETM_Q117_669490"/>
      <w:bookmarkEnd w:id="66807"/>
      <w:r>
        <w:rPr>
          <w:rFonts w:hint="cs"/>
          <w:rtl/>
        </w:rPr>
        <w:t xml:space="preserve">זה </w:t>
      </w:r>
      <w:bookmarkStart w:id="66808" w:name="_ETM_Q117_669640"/>
      <w:bookmarkEnd w:id="66808"/>
      <w:r>
        <w:rPr>
          <w:rFonts w:hint="cs"/>
          <w:rtl/>
        </w:rPr>
        <w:t>הגיוני?</w:t>
      </w:r>
    </w:p>
    <w:p w:rsidR="00BB59CD" w:rsidRDefault="00BB59CD" w:rsidP="00BB59CD">
      <w:pPr>
        <w:rPr>
          <w:rtl/>
        </w:rPr>
      </w:pPr>
      <w:bookmarkStart w:id="66809" w:name="_ETM_Q117_672800"/>
      <w:bookmarkStart w:id="66810" w:name="_ETM_Q117_672912"/>
      <w:bookmarkEnd w:id="66809"/>
      <w:bookmarkEnd w:id="66810"/>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6811" w:name="_ETM_Q117_670360"/>
      <w:bookmarkStart w:id="66812" w:name="_ETM_Q117_671590"/>
      <w:bookmarkEnd w:id="66811"/>
      <w:bookmarkEnd w:id="66812"/>
      <w:r>
        <w:rPr>
          <w:rFonts w:hint="cs"/>
          <w:rtl/>
        </w:rPr>
        <w:t xml:space="preserve">הינה, </w:t>
      </w:r>
      <w:bookmarkStart w:id="66813" w:name="_ETM_Q117_671740"/>
      <w:bookmarkEnd w:id="66813"/>
      <w:r>
        <w:rPr>
          <w:rFonts w:hint="cs"/>
          <w:rtl/>
        </w:rPr>
        <w:t xml:space="preserve">ברוך </w:t>
      </w:r>
      <w:bookmarkStart w:id="66814" w:name="_ETM_Q117_672010"/>
      <w:bookmarkEnd w:id="66814"/>
      <w:r>
        <w:rPr>
          <w:rFonts w:hint="cs"/>
          <w:rtl/>
        </w:rPr>
        <w:t xml:space="preserve">השם </w:t>
      </w:r>
      <w:bookmarkStart w:id="66815" w:name="_ETM_Q117_672220"/>
      <w:bookmarkEnd w:id="66815"/>
      <w:r>
        <w:rPr>
          <w:rFonts w:hint="cs"/>
          <w:rtl/>
        </w:rPr>
        <w:t xml:space="preserve">מתקדמים </w:t>
      </w:r>
      <w:bookmarkStart w:id="66816" w:name="_ETM_Q117_672670"/>
      <w:bookmarkEnd w:id="66816"/>
      <w:r>
        <w:rPr>
          <w:rFonts w:hint="cs"/>
          <w:rtl/>
        </w:rPr>
        <w:t xml:space="preserve">הרבה </w:t>
      </w:r>
      <w:bookmarkStart w:id="66817" w:name="_ETM_Q117_672880"/>
      <w:bookmarkEnd w:id="66817"/>
      <w:r>
        <w:rPr>
          <w:rFonts w:hint="cs"/>
          <w:rtl/>
        </w:rPr>
        <w:t>דברים.</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 </w:t>
      </w:r>
      <w:bookmarkStart w:id="66818" w:name="_ETM_Q117_673300"/>
      <w:bookmarkEnd w:id="66818"/>
      <w:r>
        <w:rPr>
          <w:rFonts w:hint="cs"/>
          <w:rtl/>
        </w:rPr>
        <w:t xml:space="preserve">איזה </w:t>
      </w:r>
      <w:bookmarkStart w:id="66819" w:name="_ETM_Q117_673570"/>
      <w:bookmarkEnd w:id="66819"/>
      <w:r>
        <w:rPr>
          <w:rFonts w:hint="cs"/>
          <w:rtl/>
        </w:rPr>
        <w:t xml:space="preserve">ברוך </w:t>
      </w:r>
      <w:bookmarkStart w:id="66820" w:name="_ETM_Q117_673840"/>
      <w:bookmarkEnd w:id="66820"/>
      <w:r>
        <w:rPr>
          <w:rFonts w:hint="cs"/>
          <w:rtl/>
        </w:rPr>
        <w:t xml:space="preserve">השם? </w:t>
      </w:r>
      <w:bookmarkStart w:id="66821" w:name="_ETM_Q117_675080"/>
      <w:bookmarkEnd w:id="66821"/>
    </w:p>
    <w:p w:rsidR="00BB59CD" w:rsidRDefault="00BB59CD" w:rsidP="00BB59CD">
      <w:pPr>
        <w:rPr>
          <w:rtl/>
        </w:rPr>
      </w:pPr>
      <w:bookmarkStart w:id="66822" w:name="_ETM_Q117_677178"/>
      <w:bookmarkStart w:id="66823" w:name="_ETM_Q117_677255"/>
      <w:bookmarkEnd w:id="66822"/>
      <w:bookmarkEnd w:id="66823"/>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6824" w:name="_ETM_Q117_678690"/>
      <w:bookmarkStart w:id="66825" w:name="_ETM_Q117_677324"/>
      <w:bookmarkStart w:id="66826" w:name="_ETM_Q117_677385"/>
      <w:bookmarkEnd w:id="66824"/>
      <w:bookmarkEnd w:id="66825"/>
      <w:bookmarkEnd w:id="66826"/>
      <w:r>
        <w:rPr>
          <w:rFonts w:hint="cs"/>
          <w:rtl/>
        </w:rPr>
        <w:t xml:space="preserve">בדברים </w:t>
      </w:r>
      <w:bookmarkStart w:id="66827" w:name="_ETM_Q117_675440"/>
      <w:bookmarkEnd w:id="66827"/>
      <w:r>
        <w:rPr>
          <w:rFonts w:hint="cs"/>
          <w:rtl/>
        </w:rPr>
        <w:t xml:space="preserve">שאני </w:t>
      </w:r>
      <w:bookmarkStart w:id="66828" w:name="_ETM_Q117_675650"/>
      <w:bookmarkEnd w:id="66828"/>
      <w:r>
        <w:rPr>
          <w:rFonts w:hint="cs"/>
          <w:rtl/>
        </w:rPr>
        <w:t xml:space="preserve">מטפל </w:t>
      </w:r>
      <w:bookmarkStart w:id="66829" w:name="_ETM_Q117_676220"/>
      <w:bookmarkEnd w:id="66829"/>
      <w:r>
        <w:rPr>
          <w:rFonts w:hint="cs"/>
          <w:rtl/>
        </w:rPr>
        <w:t>מתקדמים.</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 </w:t>
      </w:r>
      <w:bookmarkStart w:id="66830" w:name="_ETM_Q117_677739"/>
      <w:bookmarkEnd w:id="66830"/>
      <w:r>
        <w:rPr>
          <w:rFonts w:hint="cs"/>
          <w:rtl/>
        </w:rPr>
        <w:t xml:space="preserve">אתה </w:t>
      </w:r>
      <w:bookmarkStart w:id="66831" w:name="_ETM_Q117_678099"/>
      <w:bookmarkEnd w:id="66831"/>
      <w:r>
        <w:rPr>
          <w:rFonts w:hint="cs"/>
          <w:rtl/>
        </w:rPr>
        <w:t xml:space="preserve">ברוך </w:t>
      </w:r>
      <w:bookmarkStart w:id="66832" w:name="_ETM_Q117_678400"/>
      <w:bookmarkEnd w:id="66832"/>
      <w:r>
        <w:rPr>
          <w:rFonts w:hint="cs"/>
          <w:rtl/>
        </w:rPr>
        <w:t xml:space="preserve">השם </w:t>
      </w:r>
      <w:bookmarkStart w:id="66833" w:name="_ETM_Q117_678639"/>
      <w:bookmarkEnd w:id="66833"/>
      <w:r>
        <w:rPr>
          <w:rFonts w:hint="cs"/>
          <w:rtl/>
        </w:rPr>
        <w:t xml:space="preserve">מטפל. מי </w:t>
      </w:r>
      <w:bookmarkStart w:id="66834" w:name="_ETM_Q117_679830"/>
      <w:bookmarkEnd w:id="66834"/>
      <w:r>
        <w:rPr>
          <w:rFonts w:hint="cs"/>
          <w:rtl/>
        </w:rPr>
        <w:t xml:space="preserve">יטפל </w:t>
      </w:r>
      <w:bookmarkStart w:id="66835" w:name="_ETM_Q117_679510"/>
      <w:bookmarkEnd w:id="66835"/>
      <w:r>
        <w:rPr>
          <w:rFonts w:hint="cs"/>
          <w:rtl/>
        </w:rPr>
        <w:t xml:space="preserve">בפעוטות? </w:t>
      </w:r>
      <w:bookmarkStart w:id="66836" w:name="_ETM_Q117_680620"/>
      <w:bookmarkEnd w:id="66836"/>
      <w:r>
        <w:rPr>
          <w:rFonts w:hint="cs"/>
          <w:rtl/>
        </w:rPr>
        <w:t xml:space="preserve">מי </w:t>
      </w:r>
      <w:bookmarkStart w:id="66837" w:name="_ETM_Q117_680769"/>
      <w:bookmarkEnd w:id="66837"/>
      <w:r>
        <w:rPr>
          <w:rFonts w:hint="cs"/>
          <w:rtl/>
        </w:rPr>
        <w:t xml:space="preserve">יגן </w:t>
      </w:r>
      <w:bookmarkStart w:id="66838" w:name="_ETM_Q117_681010"/>
      <w:bookmarkEnd w:id="66838"/>
      <w:r>
        <w:rPr>
          <w:rFonts w:hint="cs"/>
          <w:rtl/>
        </w:rPr>
        <w:t xml:space="preserve">על </w:t>
      </w:r>
      <w:bookmarkStart w:id="66839" w:name="_ETM_Q117_681129"/>
      <w:bookmarkEnd w:id="66839"/>
      <w:r>
        <w:rPr>
          <w:rFonts w:hint="cs"/>
          <w:rtl/>
        </w:rPr>
        <w:t>פעוטות?</w:t>
      </w:r>
    </w:p>
    <w:p w:rsidR="00BB59CD" w:rsidRDefault="00BB59CD" w:rsidP="00BB59CD">
      <w:pPr>
        <w:rPr>
          <w:rtl/>
        </w:rPr>
      </w:pPr>
      <w:bookmarkStart w:id="66840" w:name="_ETM_Q117_682615"/>
      <w:bookmarkStart w:id="66841" w:name="_ETM_Q117_682720"/>
      <w:bookmarkEnd w:id="66840"/>
      <w:bookmarkEnd w:id="66841"/>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6842" w:name="_ETM_Q117_681669"/>
      <w:bookmarkEnd w:id="66842"/>
      <w:r>
        <w:rPr>
          <w:rFonts w:hint="cs"/>
          <w:rtl/>
        </w:rPr>
        <w:t xml:space="preserve">זה </w:t>
      </w:r>
      <w:bookmarkStart w:id="66843" w:name="_ETM_Q117_681849"/>
      <w:bookmarkEnd w:id="66843"/>
      <w:r>
        <w:rPr>
          <w:rFonts w:hint="cs"/>
          <w:rtl/>
        </w:rPr>
        <w:t xml:space="preserve">חוק </w:t>
      </w:r>
      <w:bookmarkStart w:id="66844" w:name="_ETM_Q117_682060"/>
      <w:bookmarkEnd w:id="66844"/>
      <w:r>
        <w:rPr>
          <w:rFonts w:hint="cs"/>
          <w:rtl/>
        </w:rPr>
        <w:t xml:space="preserve">שהונח </w:t>
      </w:r>
      <w:bookmarkStart w:id="66845" w:name="_ETM_Q117_682419"/>
      <w:bookmarkEnd w:id="66845"/>
      <w:r>
        <w:rPr>
          <w:rFonts w:hint="cs"/>
          <w:rtl/>
        </w:rPr>
        <w:t xml:space="preserve">לקריאה </w:t>
      </w:r>
      <w:bookmarkStart w:id="66846" w:name="_ETM_Q117_682689"/>
      <w:bookmarkEnd w:id="66846"/>
      <w:r>
        <w:rPr>
          <w:rFonts w:hint="cs"/>
          <w:rtl/>
        </w:rPr>
        <w:t xml:space="preserve">שנייה </w:t>
      </w:r>
      <w:bookmarkStart w:id="66847" w:name="_ETM_Q117_682930"/>
      <w:bookmarkEnd w:id="66847"/>
      <w:r>
        <w:rPr>
          <w:rFonts w:hint="cs"/>
          <w:rtl/>
        </w:rPr>
        <w:t>ושלישית.</w:t>
      </w:r>
    </w:p>
    <w:p w:rsidR="00BB59CD" w:rsidRDefault="00BB59CD" w:rsidP="00BB59CD">
      <w:pPr>
        <w:rPr>
          <w:rtl/>
        </w:rPr>
      </w:pPr>
      <w:bookmarkStart w:id="66848" w:name="_ETM_Q117_685293"/>
      <w:bookmarkStart w:id="66849" w:name="_ETM_Q117_685399"/>
      <w:bookmarkEnd w:id="66848"/>
      <w:bookmarkEnd w:id="66849"/>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6850" w:name="_ETM_Q117_685437"/>
      <w:bookmarkStart w:id="66851" w:name="_ETM_Q117_685535"/>
      <w:bookmarkEnd w:id="66850"/>
      <w:bookmarkEnd w:id="66851"/>
      <w:r>
        <w:rPr>
          <w:rFonts w:hint="cs"/>
          <w:rtl/>
        </w:rPr>
        <w:t xml:space="preserve"> </w:t>
      </w:r>
      <w:bookmarkStart w:id="66852" w:name="_ETM_Q117_683769"/>
      <w:bookmarkEnd w:id="66852"/>
      <w:r>
        <w:rPr>
          <w:rFonts w:hint="cs"/>
          <w:rtl/>
        </w:rPr>
        <w:t xml:space="preserve">עוד </w:t>
      </w:r>
      <w:bookmarkStart w:id="66853" w:name="_ETM_Q117_683919"/>
      <w:bookmarkEnd w:id="66853"/>
      <w:r>
        <w:rPr>
          <w:rFonts w:hint="cs"/>
          <w:rtl/>
        </w:rPr>
        <w:t xml:space="preserve">לא </w:t>
      </w:r>
      <w:bookmarkStart w:id="66854" w:name="_ETM_Q117_684010"/>
      <w:bookmarkEnd w:id="66854"/>
      <w:r>
        <w:rPr>
          <w:rFonts w:hint="cs"/>
          <w:rtl/>
        </w:rPr>
        <w:t xml:space="preserve">הספקתי </w:t>
      </w:r>
      <w:bookmarkStart w:id="66855" w:name="_ETM_Q117_684370"/>
      <w:bookmarkEnd w:id="66855"/>
      <w:r>
        <w:rPr>
          <w:rFonts w:hint="cs"/>
          <w:rtl/>
        </w:rPr>
        <w:t xml:space="preserve">לקרוא </w:t>
      </w:r>
      <w:bookmarkStart w:id="66856" w:name="_ETM_Q117_684819"/>
      <w:bookmarkEnd w:id="66856"/>
      <w:r>
        <w:rPr>
          <w:rFonts w:hint="cs"/>
          <w:rtl/>
        </w:rPr>
        <w:t>אותו.</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שנים </w:t>
      </w:r>
      <w:bookmarkStart w:id="66857" w:name="_ETM_Q117_685209"/>
      <w:bookmarkEnd w:id="66857"/>
      <w:r>
        <w:rPr>
          <w:rFonts w:hint="cs"/>
          <w:rtl/>
        </w:rPr>
        <w:t xml:space="preserve">ניסו </w:t>
      </w:r>
      <w:bookmarkStart w:id="66858" w:name="_ETM_Q117_685450"/>
      <w:bookmarkEnd w:id="66858"/>
      <w:r>
        <w:rPr>
          <w:rFonts w:hint="cs"/>
          <w:rtl/>
        </w:rPr>
        <w:t xml:space="preserve">לעשות </w:t>
      </w:r>
      <w:bookmarkStart w:id="66859" w:name="_ETM_Q117_685749"/>
      <w:bookmarkEnd w:id="66859"/>
      <w:r>
        <w:rPr>
          <w:rFonts w:hint="cs"/>
          <w:rtl/>
        </w:rPr>
        <w:t xml:space="preserve">אותו, </w:t>
      </w:r>
      <w:bookmarkStart w:id="66860" w:name="_ETM_Q117_686049"/>
      <w:bookmarkEnd w:id="66860"/>
      <w:r>
        <w:rPr>
          <w:rFonts w:hint="cs"/>
          <w:rtl/>
        </w:rPr>
        <w:t xml:space="preserve">והינה </w:t>
      </w:r>
      <w:bookmarkStart w:id="66861" w:name="_ETM_Q117_686709"/>
      <w:bookmarkEnd w:id="66861"/>
      <w:r>
        <w:rPr>
          <w:rFonts w:hint="cs"/>
          <w:rtl/>
        </w:rPr>
        <w:t xml:space="preserve">והעברנו. </w:t>
      </w:r>
      <w:bookmarkStart w:id="66862" w:name="_ETM_Q117_687760"/>
      <w:bookmarkEnd w:id="66862"/>
    </w:p>
    <w:p w:rsidR="00BB59CD" w:rsidRDefault="00BB59CD" w:rsidP="00BB59CD">
      <w:pPr>
        <w:rPr>
          <w:rtl/>
        </w:rPr>
      </w:pPr>
      <w:bookmarkStart w:id="66863" w:name="_ETM_Q117_688827"/>
      <w:bookmarkStart w:id="66864" w:name="_ETM_Q117_688921"/>
      <w:bookmarkEnd w:id="66863"/>
      <w:bookmarkEnd w:id="66864"/>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6865" w:name="_ETM_Q117_689003"/>
      <w:bookmarkStart w:id="66866" w:name="_ETM_Q117_689080"/>
      <w:bookmarkEnd w:id="66865"/>
      <w:bookmarkEnd w:id="66866"/>
      <w:r>
        <w:rPr>
          <w:rFonts w:hint="cs"/>
          <w:rtl/>
        </w:rPr>
        <w:t xml:space="preserve">אז </w:t>
      </w:r>
      <w:bookmarkStart w:id="66867" w:name="_ETM_Q117_687970"/>
      <w:bookmarkEnd w:id="66867"/>
      <w:r>
        <w:rPr>
          <w:rFonts w:hint="cs"/>
          <w:rtl/>
        </w:rPr>
        <w:t xml:space="preserve">אתה </w:t>
      </w:r>
      <w:bookmarkStart w:id="66868" w:name="_ETM_Q117_688150"/>
      <w:bookmarkEnd w:id="66868"/>
      <w:r>
        <w:rPr>
          <w:rFonts w:hint="cs"/>
          <w:rtl/>
        </w:rPr>
        <w:t xml:space="preserve">אומר </w:t>
      </w:r>
      <w:bookmarkStart w:id="66869" w:name="_ETM_Q117_688360"/>
      <w:bookmarkEnd w:id="66869"/>
      <w:r>
        <w:rPr>
          <w:rFonts w:hint="cs"/>
          <w:rtl/>
        </w:rPr>
        <w:t xml:space="preserve">– </w:t>
      </w:r>
      <w:bookmarkStart w:id="66870" w:name="_ETM_Q117_688810"/>
      <w:bookmarkEnd w:id="66870"/>
      <w:r>
        <w:rPr>
          <w:rFonts w:hint="cs"/>
          <w:rtl/>
        </w:rPr>
        <w:t xml:space="preserve">אני מציג </w:t>
      </w:r>
      <w:bookmarkStart w:id="66871" w:name="_ETM_Q117_689440"/>
      <w:bookmarkEnd w:id="66871"/>
      <w:r>
        <w:rPr>
          <w:rFonts w:hint="cs"/>
          <w:rtl/>
        </w:rPr>
        <w:t xml:space="preserve">בפניך </w:t>
      </w:r>
      <w:bookmarkStart w:id="66872" w:name="_ETM_Q117_690280"/>
      <w:bookmarkEnd w:id="66872"/>
      <w:r>
        <w:rPr>
          <w:rFonts w:hint="cs"/>
          <w:rtl/>
        </w:rPr>
        <w:t xml:space="preserve">קשיים בעולם </w:t>
      </w:r>
      <w:bookmarkStart w:id="66873" w:name="_ETM_Q117_690730"/>
      <w:bookmarkStart w:id="66874" w:name="_ETM_Q117_691090"/>
      <w:bookmarkStart w:id="66875" w:name="_ETM_Q117_691450"/>
      <w:bookmarkEnd w:id="66873"/>
      <w:bookmarkEnd w:id="66874"/>
      <w:bookmarkEnd w:id="66875"/>
      <w:r>
        <w:rPr>
          <w:rFonts w:hint="cs"/>
          <w:rtl/>
        </w:rPr>
        <w:t>החינוך, אתה אומר לי: אני מטפל בזה בעולם הבריאות.</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6876" w:name="_ETM_Q117_694496"/>
      <w:bookmarkEnd w:id="66876"/>
      <w:r>
        <w:rPr>
          <w:rFonts w:hint="cs"/>
          <w:rtl/>
        </w:rPr>
        <w:t>אני - -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2F1C45">
      <w:pPr>
        <w:rPr>
          <w:rtl/>
        </w:rPr>
      </w:pPr>
      <w:bookmarkStart w:id="66877" w:name="_ETM_Q117_691900"/>
      <w:bookmarkStart w:id="66878" w:name="_ETM_Q117_692320"/>
      <w:bookmarkStart w:id="66879" w:name="_ETM_Q117_692410"/>
      <w:bookmarkStart w:id="66880" w:name="_ETM_Q117_692620"/>
      <w:bookmarkStart w:id="66881" w:name="_ETM_Q117_693010"/>
      <w:bookmarkStart w:id="66882" w:name="_ETM_Q117_693280"/>
      <w:bookmarkStart w:id="66883" w:name="_ETM_Q117_694240"/>
      <w:bookmarkStart w:id="66884" w:name="_ETM_Q117_694420"/>
      <w:bookmarkStart w:id="66885" w:name="_ETM_Q117_694510"/>
      <w:bookmarkStart w:id="66886" w:name="_ETM_Q117_694930"/>
      <w:bookmarkEnd w:id="66877"/>
      <w:bookmarkEnd w:id="66878"/>
      <w:bookmarkEnd w:id="66879"/>
      <w:bookmarkEnd w:id="66880"/>
      <w:bookmarkEnd w:id="66881"/>
      <w:bookmarkEnd w:id="66882"/>
      <w:bookmarkEnd w:id="66883"/>
      <w:bookmarkEnd w:id="66884"/>
      <w:bookmarkEnd w:id="66885"/>
      <w:bookmarkEnd w:id="66886"/>
      <w:r>
        <w:rPr>
          <w:rFonts w:hint="cs"/>
          <w:rtl/>
        </w:rPr>
        <w:t xml:space="preserve">אני אשמח </w:t>
      </w:r>
      <w:bookmarkStart w:id="66887" w:name="_ETM_Q117_695260"/>
      <w:bookmarkEnd w:id="66887"/>
      <w:r>
        <w:rPr>
          <w:rFonts w:hint="cs"/>
          <w:rtl/>
        </w:rPr>
        <w:t xml:space="preserve">שאתה </w:t>
      </w:r>
      <w:bookmarkStart w:id="66888" w:name="_ETM_Q117_695470"/>
      <w:bookmarkEnd w:id="66888"/>
      <w:r>
        <w:rPr>
          <w:rFonts w:hint="cs"/>
          <w:rtl/>
        </w:rPr>
        <w:t xml:space="preserve">תדאג </w:t>
      </w:r>
      <w:bookmarkStart w:id="66889" w:name="_ETM_Q117_695830"/>
      <w:bookmarkEnd w:id="66889"/>
      <w:r>
        <w:rPr>
          <w:rFonts w:hint="cs"/>
          <w:rtl/>
        </w:rPr>
        <w:t xml:space="preserve">לבריאות </w:t>
      </w:r>
      <w:bookmarkStart w:id="66890" w:name="_ETM_Q117_696220"/>
      <w:bookmarkEnd w:id="66890"/>
      <w:r>
        <w:rPr>
          <w:rFonts w:hint="cs"/>
          <w:rtl/>
        </w:rPr>
        <w:t xml:space="preserve">באילת. </w:t>
      </w:r>
      <w:bookmarkStart w:id="66891" w:name="_ETM_Q117_696580"/>
      <w:bookmarkEnd w:id="66891"/>
      <w:r>
        <w:rPr>
          <w:rFonts w:hint="cs"/>
          <w:rtl/>
        </w:rPr>
        <w:t xml:space="preserve">שביוספטל </w:t>
      </w:r>
      <w:bookmarkStart w:id="66892" w:name="_ETM_Q117_697800"/>
      <w:bookmarkEnd w:id="66892"/>
      <w:r>
        <w:rPr>
          <w:rFonts w:hint="cs"/>
          <w:rtl/>
        </w:rPr>
        <w:t xml:space="preserve">אנשים </w:t>
      </w:r>
      <w:bookmarkStart w:id="66893" w:name="_ETM_Q117_698220"/>
      <w:bookmarkEnd w:id="66893"/>
      <w:r>
        <w:rPr>
          <w:rFonts w:hint="cs"/>
          <w:rtl/>
        </w:rPr>
        <w:t xml:space="preserve">יוכלו </w:t>
      </w:r>
      <w:bookmarkStart w:id="66894" w:name="_ETM_Q117_698550"/>
      <w:bookmarkEnd w:id="66894"/>
      <w:r>
        <w:rPr>
          <w:rFonts w:hint="cs"/>
          <w:rtl/>
        </w:rPr>
        <w:t xml:space="preserve">לקבל </w:t>
      </w:r>
      <w:bookmarkStart w:id="66895" w:name="_ETM_Q117_699480"/>
      <w:bookmarkEnd w:id="66895"/>
      <w:r>
        <w:rPr>
          <w:rFonts w:hint="cs"/>
          <w:rtl/>
        </w:rPr>
        <w:t xml:space="preserve">שירות </w:t>
      </w:r>
      <w:bookmarkStart w:id="66896" w:name="_ETM_Q117_700080"/>
      <w:bookmarkEnd w:id="66896"/>
      <w:r>
        <w:rPr>
          <w:rFonts w:hint="cs"/>
          <w:rtl/>
        </w:rPr>
        <w:t xml:space="preserve">– אתה </w:t>
      </w:r>
      <w:bookmarkStart w:id="66897" w:name="_ETM_Q117_700290"/>
      <w:bookmarkEnd w:id="66897"/>
      <w:r>
        <w:rPr>
          <w:rFonts w:hint="cs"/>
          <w:rtl/>
        </w:rPr>
        <w:t xml:space="preserve">יודע </w:t>
      </w:r>
      <w:bookmarkStart w:id="66898" w:name="_ETM_Q117_700500"/>
      <w:bookmarkEnd w:id="66898"/>
      <w:r>
        <w:rPr>
          <w:rFonts w:hint="cs"/>
          <w:rtl/>
        </w:rPr>
        <w:t xml:space="preserve">מה? </w:t>
      </w:r>
      <w:bookmarkStart w:id="66899" w:name="_ETM_Q117_700769"/>
      <w:bookmarkEnd w:id="66899"/>
      <w:r>
        <w:rPr>
          <w:rFonts w:hint="cs"/>
          <w:rtl/>
        </w:rPr>
        <w:t xml:space="preserve">לא </w:t>
      </w:r>
      <w:bookmarkStart w:id="66900" w:name="_ETM_Q117_702359"/>
      <w:bookmarkEnd w:id="66900"/>
      <w:r>
        <w:rPr>
          <w:rFonts w:hint="cs"/>
          <w:rtl/>
        </w:rPr>
        <w:t xml:space="preserve">מדהים, </w:t>
      </w:r>
      <w:bookmarkStart w:id="66901" w:name="_ETM_Q117_703569"/>
      <w:bookmarkEnd w:id="66901"/>
      <w:r>
        <w:rPr>
          <w:rFonts w:hint="cs"/>
          <w:rtl/>
        </w:rPr>
        <w:t xml:space="preserve">אבל </w:t>
      </w:r>
      <w:bookmarkStart w:id="66902" w:name="_ETM_Q117_703840"/>
      <w:bookmarkEnd w:id="66902"/>
      <w:r>
        <w:rPr>
          <w:rFonts w:hint="cs"/>
          <w:rtl/>
        </w:rPr>
        <w:t xml:space="preserve">ברוח </w:t>
      </w:r>
      <w:bookmarkStart w:id="66903" w:name="_ETM_Q117_704200"/>
      <w:bookmarkEnd w:id="66903"/>
      <w:r>
        <w:rPr>
          <w:rFonts w:hint="cs"/>
          <w:rtl/>
        </w:rPr>
        <w:t xml:space="preserve">ימים </w:t>
      </w:r>
      <w:bookmarkStart w:id="66904" w:name="_ETM_Q117_704499"/>
      <w:bookmarkEnd w:id="66904"/>
      <w:r>
        <w:rPr>
          <w:rFonts w:hint="cs"/>
          <w:rtl/>
        </w:rPr>
        <w:t>אלו</w:t>
      </w:r>
      <w:bookmarkStart w:id="66905" w:name="_ETM_Q117_704980"/>
      <w:bookmarkEnd w:id="66905"/>
      <w:r>
        <w:rPr>
          <w:rFonts w:hint="cs"/>
          <w:rtl/>
        </w:rPr>
        <w:t xml:space="preserve"> </w:t>
      </w:r>
      <w:r w:rsidR="002F1C45">
        <w:rPr>
          <w:rFonts w:hint="eastAsia"/>
          <w:rtl/>
        </w:rPr>
        <w:t>–</w:t>
      </w:r>
      <w:r w:rsidR="002F1C45">
        <w:rPr>
          <w:rFonts w:hint="cs"/>
          <w:rtl/>
        </w:rPr>
        <w:t xml:space="preserve"> </w:t>
      </w:r>
      <w:r>
        <w:rPr>
          <w:rFonts w:hint="cs"/>
          <w:rtl/>
        </w:rPr>
        <w:t>סביר.</w:t>
      </w:r>
      <w:bookmarkStart w:id="66906" w:name="_ETM_Q117_707109"/>
      <w:bookmarkEnd w:id="66906"/>
      <w:r>
        <w:rPr>
          <w:rFonts w:hint="cs"/>
          <w:rtl/>
        </w:rPr>
        <w:t xml:space="preserve"> אני </w:t>
      </w:r>
      <w:bookmarkStart w:id="66907" w:name="_ETM_Q117_707530"/>
      <w:bookmarkEnd w:id="66907"/>
      <w:r>
        <w:rPr>
          <w:rFonts w:hint="cs"/>
          <w:rtl/>
        </w:rPr>
        <w:t xml:space="preserve">אשמח </w:t>
      </w:r>
      <w:bookmarkStart w:id="66908" w:name="_ETM_Q117_707859"/>
      <w:bookmarkEnd w:id="66908"/>
      <w:r>
        <w:rPr>
          <w:rFonts w:hint="cs"/>
          <w:rtl/>
        </w:rPr>
        <w:t xml:space="preserve">שאם </w:t>
      </w:r>
      <w:bookmarkStart w:id="66909" w:name="_ETM_Q117_708400"/>
      <w:bookmarkEnd w:id="66909"/>
      <w:r>
        <w:rPr>
          <w:rFonts w:hint="cs"/>
          <w:rtl/>
        </w:rPr>
        <w:t xml:space="preserve">אתה </w:t>
      </w:r>
      <w:bookmarkStart w:id="66910" w:name="_ETM_Q117_708579"/>
      <w:bookmarkEnd w:id="66910"/>
      <w:r>
        <w:rPr>
          <w:rFonts w:hint="cs"/>
          <w:rtl/>
        </w:rPr>
        <w:t xml:space="preserve">שובר </w:t>
      </w:r>
      <w:bookmarkStart w:id="66911" w:name="_ETM_Q117_708909"/>
      <w:bookmarkEnd w:id="66911"/>
      <w:r>
        <w:rPr>
          <w:rFonts w:hint="cs"/>
          <w:rtl/>
        </w:rPr>
        <w:t xml:space="preserve">את </w:t>
      </w:r>
      <w:bookmarkStart w:id="66912" w:name="_ETM_Q117_709030"/>
      <w:bookmarkEnd w:id="66912"/>
      <w:r>
        <w:rPr>
          <w:rFonts w:hint="cs"/>
          <w:rtl/>
        </w:rPr>
        <w:t xml:space="preserve">היד </w:t>
      </w:r>
      <w:bookmarkStart w:id="66913" w:name="_ETM_Q117_709299"/>
      <w:bookmarkEnd w:id="66913"/>
      <w:r>
        <w:rPr>
          <w:rFonts w:hint="cs"/>
          <w:rtl/>
        </w:rPr>
        <w:t xml:space="preserve">בגולן, </w:t>
      </w:r>
      <w:bookmarkStart w:id="66914" w:name="_ETM_Q117_709809"/>
      <w:bookmarkEnd w:id="66914"/>
      <w:r>
        <w:rPr>
          <w:rFonts w:hint="cs"/>
          <w:rtl/>
        </w:rPr>
        <w:t xml:space="preserve">לא </w:t>
      </w:r>
      <w:bookmarkStart w:id="66915" w:name="_ETM_Q117_709989"/>
      <w:bookmarkEnd w:id="66915"/>
      <w:r>
        <w:rPr>
          <w:rFonts w:hint="cs"/>
          <w:rtl/>
        </w:rPr>
        <w:t xml:space="preserve">תצטרך </w:t>
      </w:r>
      <w:bookmarkStart w:id="66916" w:name="_ETM_Q117_710319"/>
      <w:bookmarkEnd w:id="66916"/>
      <w:r>
        <w:rPr>
          <w:rFonts w:hint="cs"/>
          <w:rtl/>
        </w:rPr>
        <w:t xml:space="preserve">לנסוע </w:t>
      </w:r>
      <w:bookmarkStart w:id="66917" w:name="_ETM_Q117_710620"/>
      <w:bookmarkEnd w:id="66917"/>
      <w:r>
        <w:rPr>
          <w:rFonts w:hint="cs"/>
          <w:rtl/>
        </w:rPr>
        <w:t xml:space="preserve">שעה </w:t>
      </w:r>
      <w:bookmarkStart w:id="66918" w:name="_ETM_Q117_710859"/>
      <w:bookmarkEnd w:id="66918"/>
      <w:r>
        <w:rPr>
          <w:rFonts w:hint="cs"/>
          <w:rtl/>
        </w:rPr>
        <w:t xml:space="preserve">וחצי </w:t>
      </w:r>
      <w:bookmarkStart w:id="66919" w:name="_ETM_Q117_711400"/>
      <w:bookmarkEnd w:id="66919"/>
      <w:r>
        <w:rPr>
          <w:rFonts w:hint="cs"/>
          <w:rtl/>
        </w:rPr>
        <w:t>לצפת</w:t>
      </w:r>
      <w:bookmarkStart w:id="66920" w:name="_ETM_Q117_712299"/>
      <w:bookmarkEnd w:id="66920"/>
      <w:r w:rsidR="002F1C45">
        <w:rPr>
          <w:rFonts w:hint="cs"/>
          <w:rtl/>
        </w:rPr>
        <w:t xml:space="preserve"> </w:t>
      </w:r>
      <w:r>
        <w:rPr>
          <w:rFonts w:hint="cs"/>
          <w:rtl/>
        </w:rPr>
        <w:t xml:space="preserve">כדי </w:t>
      </w:r>
      <w:bookmarkStart w:id="66921" w:name="_ETM_Q117_712510"/>
      <w:bookmarkEnd w:id="66921"/>
      <w:r>
        <w:rPr>
          <w:rFonts w:hint="cs"/>
          <w:rtl/>
        </w:rPr>
        <w:t xml:space="preserve">שישימו </w:t>
      </w:r>
      <w:bookmarkStart w:id="66922" w:name="_ETM_Q117_712900"/>
      <w:bookmarkEnd w:id="66922"/>
      <w:r>
        <w:rPr>
          <w:rFonts w:hint="cs"/>
          <w:rtl/>
        </w:rPr>
        <w:t>לך גבס.</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2F1C45">
      <w:pPr>
        <w:rPr>
          <w:rtl/>
        </w:rPr>
      </w:pPr>
      <w:r>
        <w:rPr>
          <w:rFonts w:hint="cs"/>
          <w:rtl/>
        </w:rPr>
        <w:t xml:space="preserve">מסכים </w:t>
      </w:r>
      <w:bookmarkStart w:id="66923" w:name="_ETM_Q117_713740"/>
      <w:bookmarkEnd w:id="66923"/>
      <w:r>
        <w:rPr>
          <w:rFonts w:hint="cs"/>
          <w:rtl/>
        </w:rPr>
        <w:t xml:space="preserve">איתך, </w:t>
      </w:r>
      <w:bookmarkStart w:id="66924" w:name="_ETM_Q117_714040"/>
      <w:bookmarkEnd w:id="66924"/>
      <w:r>
        <w:rPr>
          <w:rFonts w:hint="cs"/>
          <w:rtl/>
        </w:rPr>
        <w:t xml:space="preserve">ואמרתי </w:t>
      </w:r>
      <w:bookmarkStart w:id="66925" w:name="_ETM_Q117_714640"/>
      <w:bookmarkEnd w:id="66925"/>
      <w:r>
        <w:rPr>
          <w:rFonts w:hint="cs"/>
          <w:rtl/>
        </w:rPr>
        <w:t xml:space="preserve">שגם </w:t>
      </w:r>
      <w:bookmarkStart w:id="66926" w:name="_ETM_Q117_715720"/>
      <w:bookmarkEnd w:id="66926"/>
      <w:r>
        <w:rPr>
          <w:rFonts w:hint="cs"/>
          <w:rtl/>
        </w:rPr>
        <w:t xml:space="preserve">אני </w:t>
      </w:r>
      <w:bookmarkStart w:id="66927" w:name="_ETM_Q117_715900"/>
      <w:bookmarkEnd w:id="66927"/>
      <w:r>
        <w:rPr>
          <w:rFonts w:hint="cs"/>
          <w:rtl/>
        </w:rPr>
        <w:t xml:space="preserve">וגם </w:t>
      </w:r>
      <w:bookmarkStart w:id="66928" w:name="_ETM_Q117_716140"/>
      <w:bookmarkEnd w:id="66928"/>
      <w:r>
        <w:rPr>
          <w:rFonts w:hint="cs"/>
          <w:rtl/>
        </w:rPr>
        <w:t xml:space="preserve">השר </w:t>
      </w:r>
      <w:bookmarkStart w:id="66929" w:name="_ETM_Q117_716590"/>
      <w:bookmarkEnd w:id="66929"/>
      <w:r>
        <w:rPr>
          <w:rFonts w:hint="cs"/>
          <w:rtl/>
        </w:rPr>
        <w:t xml:space="preserve">ארבל </w:t>
      </w:r>
      <w:bookmarkStart w:id="66930" w:name="_ETM_Q117_716756"/>
      <w:bookmarkStart w:id="66931" w:name="_ETM_Q117_716830"/>
      <w:bookmarkEnd w:id="66930"/>
      <w:bookmarkEnd w:id="66931"/>
      <w:r>
        <w:rPr>
          <w:rFonts w:hint="cs"/>
          <w:rtl/>
        </w:rPr>
        <w:t xml:space="preserve">היינו </w:t>
      </w:r>
      <w:bookmarkStart w:id="66932" w:name="_ETM_Q117_717040"/>
      <w:bookmarkEnd w:id="66932"/>
      <w:r>
        <w:rPr>
          <w:rFonts w:hint="cs"/>
          <w:rtl/>
        </w:rPr>
        <w:t xml:space="preserve">שם </w:t>
      </w:r>
      <w:bookmarkStart w:id="66933" w:name="_ETM_Q117_717280"/>
      <w:bookmarkEnd w:id="66933"/>
      <w:r>
        <w:rPr>
          <w:rFonts w:hint="cs"/>
          <w:rtl/>
        </w:rPr>
        <w:t xml:space="preserve">בבית </w:t>
      </w:r>
      <w:bookmarkStart w:id="66934" w:name="_ETM_Q117_717550"/>
      <w:bookmarkEnd w:id="66934"/>
      <w:r>
        <w:rPr>
          <w:rFonts w:hint="cs"/>
          <w:rtl/>
        </w:rPr>
        <w:t xml:space="preserve">החולים </w:t>
      </w:r>
      <w:bookmarkStart w:id="66935" w:name="_ETM_Q117_717760"/>
      <w:bookmarkEnd w:id="66935"/>
      <w:r>
        <w:rPr>
          <w:rFonts w:hint="cs"/>
          <w:rtl/>
        </w:rPr>
        <w:t xml:space="preserve">יוספטל, </w:t>
      </w:r>
      <w:bookmarkStart w:id="66936" w:name="_ETM_Q117_718210"/>
      <w:bookmarkEnd w:id="66936"/>
      <w:r>
        <w:rPr>
          <w:rFonts w:hint="cs"/>
          <w:rtl/>
        </w:rPr>
        <w:t xml:space="preserve">ואמרנו שבית החולים </w:t>
      </w:r>
      <w:bookmarkStart w:id="66937" w:name="_ETM_Q117_718600"/>
      <w:bookmarkStart w:id="66938" w:name="_ETM_Q117_718929"/>
      <w:bookmarkStart w:id="66939" w:name="_ETM_Q117_719140"/>
      <w:bookmarkEnd w:id="66937"/>
      <w:bookmarkEnd w:id="66938"/>
      <w:bookmarkEnd w:id="66939"/>
      <w:r>
        <w:rPr>
          <w:rFonts w:hint="cs"/>
          <w:rtl/>
        </w:rPr>
        <w:t>יוספטל</w:t>
      </w:r>
      <w:r w:rsidR="002F1C45">
        <w:rPr>
          <w:rFonts w:hint="cs"/>
          <w:rtl/>
        </w:rPr>
        <w:t>,</w:t>
      </w:r>
      <w:r>
        <w:rPr>
          <w:rFonts w:hint="cs"/>
          <w:rtl/>
        </w:rPr>
        <w:t xml:space="preserve"> </w:t>
      </w:r>
      <w:bookmarkStart w:id="66940" w:name="_ETM_Q117_719620"/>
      <w:bookmarkEnd w:id="66940"/>
      <w:r>
        <w:rPr>
          <w:rFonts w:hint="cs"/>
          <w:rtl/>
        </w:rPr>
        <w:t xml:space="preserve">שהוא </w:t>
      </w:r>
      <w:bookmarkStart w:id="66941" w:name="_ETM_Q117_719860"/>
      <w:bookmarkStart w:id="66942" w:name="_ETM_Q117_720580"/>
      <w:bookmarkEnd w:id="66941"/>
      <w:bookmarkEnd w:id="66942"/>
      <w:r w:rsidR="002F1C45">
        <w:rPr>
          <w:rFonts w:hint="cs"/>
          <w:rtl/>
        </w:rPr>
        <w:t xml:space="preserve">כזה </w:t>
      </w:r>
      <w:r>
        <w:rPr>
          <w:rFonts w:hint="cs"/>
          <w:rtl/>
        </w:rPr>
        <w:t>ש</w:t>
      </w:r>
      <w:bookmarkStart w:id="66943" w:name="_ETM_Q117_720820"/>
      <w:bookmarkEnd w:id="66943"/>
      <w:r>
        <w:rPr>
          <w:rFonts w:hint="cs"/>
          <w:rtl/>
        </w:rPr>
        <w:t xml:space="preserve">בית </w:t>
      </w:r>
      <w:bookmarkStart w:id="66944" w:name="_ETM_Q117_721030"/>
      <w:bookmarkEnd w:id="66944"/>
      <w:r w:rsidR="002F1C45">
        <w:rPr>
          <w:rFonts w:hint="cs"/>
          <w:rtl/>
        </w:rPr>
        <w:t>ה</w:t>
      </w:r>
      <w:r>
        <w:rPr>
          <w:rFonts w:hint="cs"/>
          <w:rtl/>
        </w:rPr>
        <w:t xml:space="preserve">חולים </w:t>
      </w:r>
      <w:bookmarkStart w:id="66945" w:name="_ETM_Q117_721240"/>
      <w:bookmarkEnd w:id="66945"/>
      <w:r>
        <w:rPr>
          <w:rFonts w:hint="cs"/>
          <w:rtl/>
        </w:rPr>
        <w:t xml:space="preserve">הכי קרוב אליו הוא </w:t>
      </w:r>
      <w:r w:rsidR="002F1C45">
        <w:rPr>
          <w:rFonts w:hint="cs"/>
          <w:rtl/>
        </w:rPr>
        <w:t xml:space="preserve">במרחק </w:t>
      </w:r>
      <w:r>
        <w:rPr>
          <w:rFonts w:hint="cs"/>
          <w:rtl/>
        </w:rPr>
        <w:t xml:space="preserve">270 </w:t>
      </w:r>
      <w:bookmarkStart w:id="66946" w:name="_ETM_Q117_721570"/>
      <w:bookmarkStart w:id="66947" w:name="_ETM_Q117_721750"/>
      <w:bookmarkStart w:id="66948" w:name="_ETM_Q117_722080"/>
      <w:bookmarkStart w:id="66949" w:name="_ETM_Q117_722380"/>
      <w:bookmarkEnd w:id="66946"/>
      <w:bookmarkEnd w:id="66947"/>
      <w:bookmarkEnd w:id="66948"/>
      <w:bookmarkEnd w:id="66949"/>
      <w:r>
        <w:rPr>
          <w:rFonts w:hint="cs"/>
          <w:rtl/>
        </w:rPr>
        <w:t xml:space="preserve">קילומטר, </w:t>
      </w:r>
      <w:bookmarkStart w:id="66950" w:name="_ETM_Q117_723390"/>
      <w:bookmarkEnd w:id="66950"/>
      <w:r>
        <w:rPr>
          <w:rFonts w:hint="cs"/>
          <w:rtl/>
        </w:rPr>
        <w:t xml:space="preserve">צריך </w:t>
      </w:r>
      <w:bookmarkStart w:id="66951" w:name="_ETM_Q117_723660"/>
      <w:bookmarkEnd w:id="66951"/>
      <w:r>
        <w:rPr>
          <w:rFonts w:hint="cs"/>
          <w:rtl/>
        </w:rPr>
        <w:t>שיהי</w:t>
      </w:r>
      <w:r w:rsidR="002F1C45">
        <w:rPr>
          <w:rFonts w:hint="cs"/>
          <w:rtl/>
        </w:rPr>
        <w:t>ו</w:t>
      </w:r>
      <w:r>
        <w:rPr>
          <w:rFonts w:hint="cs"/>
          <w:rtl/>
        </w:rPr>
        <w:t xml:space="preserve"> לו </w:t>
      </w:r>
      <w:bookmarkStart w:id="66952" w:name="_ETM_Q117_723840"/>
      <w:bookmarkStart w:id="66953" w:name="_ETM_Q117_723959"/>
      <w:bookmarkEnd w:id="66952"/>
      <w:bookmarkEnd w:id="66953"/>
      <w:r>
        <w:rPr>
          <w:rFonts w:hint="cs"/>
          <w:rtl/>
        </w:rPr>
        <w:t xml:space="preserve">כל </w:t>
      </w:r>
      <w:bookmarkStart w:id="66954" w:name="_ETM_Q117_724349"/>
      <w:bookmarkStart w:id="66955" w:name="_ETM_Q117_725220"/>
      <w:bookmarkEnd w:id="66954"/>
      <w:bookmarkEnd w:id="66955"/>
      <w:r>
        <w:rPr>
          <w:rFonts w:hint="cs"/>
          <w:rtl/>
        </w:rPr>
        <w:t>ה-</w:t>
      </w:r>
      <w:r>
        <w:t>facilities</w:t>
      </w:r>
      <w:r>
        <w:rPr>
          <w:rtl/>
        </w:rPr>
        <w:t xml:space="preserve"> </w:t>
      </w:r>
      <w:r>
        <w:rPr>
          <w:rFonts w:hint="cs"/>
          <w:rtl/>
        </w:rPr>
        <w:t xml:space="preserve">של </w:t>
      </w:r>
      <w:bookmarkStart w:id="66956" w:name="_ETM_Q117_726100"/>
      <w:bookmarkEnd w:id="66956"/>
      <w:r>
        <w:rPr>
          <w:rFonts w:hint="cs"/>
          <w:rtl/>
        </w:rPr>
        <w:t xml:space="preserve">הרפואה </w:t>
      </w:r>
      <w:bookmarkStart w:id="66957" w:name="_ETM_Q117_726730"/>
      <w:bookmarkEnd w:id="66957"/>
      <w:r>
        <w:rPr>
          <w:rFonts w:hint="cs"/>
          <w:rtl/>
        </w:rPr>
        <w:t>במקום.</w:t>
      </w:r>
      <w:bookmarkStart w:id="66958" w:name="_ETM_Q117_728101"/>
      <w:bookmarkStart w:id="66959" w:name="_ETM_Q117_728202"/>
      <w:bookmarkEnd w:id="66958"/>
      <w:bookmarkEnd w:id="66959"/>
      <w:r>
        <w:rPr>
          <w:rFonts w:hint="cs"/>
          <w:rtl/>
        </w:rPr>
        <w:t xml:space="preserve"> </w:t>
      </w:r>
      <w:bookmarkStart w:id="66960" w:name="_ETM_Q117_728140"/>
      <w:bookmarkEnd w:id="66960"/>
      <w:r>
        <w:rPr>
          <w:rFonts w:hint="cs"/>
          <w:rtl/>
        </w:rPr>
        <w:t xml:space="preserve">מלב </w:t>
      </w:r>
      <w:bookmarkStart w:id="66961" w:name="_ETM_Q117_729070"/>
      <w:bookmarkEnd w:id="66961"/>
      <w:r>
        <w:rPr>
          <w:rFonts w:hint="cs"/>
          <w:rtl/>
        </w:rPr>
        <w:t xml:space="preserve">עד </w:t>
      </w:r>
      <w:bookmarkStart w:id="66962" w:name="_ETM_Q117_729640"/>
      <w:bookmarkEnd w:id="66962"/>
      <w:r>
        <w:rPr>
          <w:rFonts w:hint="cs"/>
          <w:rtl/>
        </w:rPr>
        <w:t xml:space="preserve">אורתופדיה </w:t>
      </w:r>
      <w:bookmarkStart w:id="66963" w:name="_ETM_Q117_730480"/>
      <w:bookmarkEnd w:id="66963"/>
      <w:r>
        <w:rPr>
          <w:rFonts w:hint="cs"/>
          <w:rtl/>
        </w:rPr>
        <w:t>עד - - -</w:t>
      </w:r>
    </w:p>
    <w:p w:rsidR="00BB59CD" w:rsidRDefault="00BB59CD" w:rsidP="00BB59CD">
      <w:pPr>
        <w:rPr>
          <w:rtl/>
        </w:rPr>
      </w:pPr>
    </w:p>
    <w:p w:rsidR="00BB59CD" w:rsidRDefault="00BB59CD" w:rsidP="00BB59CD">
      <w:pPr>
        <w:pStyle w:val="-"/>
        <w:keepNext/>
        <w:rPr>
          <w:rtl/>
        </w:rPr>
      </w:pPr>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בוא, מתי?</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BB59CD">
      <w:pPr>
        <w:keepNext/>
        <w:rPr>
          <w:rtl/>
        </w:rPr>
      </w:pPr>
      <w:bookmarkStart w:id="66964" w:name="_ETM_Q117_731710"/>
      <w:bookmarkStart w:id="66965" w:name="_ETM_Q117_732790"/>
      <w:bookmarkStart w:id="66966" w:name="_ETM_Q117_733949"/>
      <w:bookmarkEnd w:id="66964"/>
      <w:bookmarkEnd w:id="66965"/>
      <w:bookmarkEnd w:id="66966"/>
    </w:p>
    <w:p w:rsidR="00BB59CD" w:rsidRDefault="00BB59CD" w:rsidP="00BB59CD">
      <w:pPr>
        <w:keepNext/>
        <w:rPr>
          <w:rtl/>
        </w:rPr>
      </w:pPr>
      <w:bookmarkStart w:id="66967" w:name="_ETM_Q117_734082"/>
      <w:bookmarkStart w:id="66968" w:name="_ETM_Q117_733120"/>
      <w:bookmarkStart w:id="66969" w:name="_ETM_Q117_733689"/>
      <w:bookmarkEnd w:id="66967"/>
      <w:bookmarkEnd w:id="66968"/>
      <w:bookmarkEnd w:id="66969"/>
      <w:r>
        <w:rPr>
          <w:rFonts w:hint="cs"/>
          <w:rtl/>
        </w:rPr>
        <w:t xml:space="preserve">מוסיפים מחלקות; מוסיפים </w:t>
      </w:r>
      <w:bookmarkStart w:id="66970" w:name="_ETM_Q117_734049"/>
      <w:bookmarkEnd w:id="66970"/>
      <w:r>
        <w:rPr>
          <w:rFonts w:hint="cs"/>
          <w:rtl/>
        </w:rPr>
        <w:t xml:space="preserve">תקנים </w:t>
      </w:r>
      <w:bookmarkStart w:id="66971" w:name="_ETM_Q117_734620"/>
      <w:bookmarkEnd w:id="66971"/>
      <w:r>
        <w:rPr>
          <w:rFonts w:hint="cs"/>
          <w:rtl/>
        </w:rPr>
        <w:t xml:space="preserve">עכשיו. </w:t>
      </w:r>
      <w:bookmarkStart w:id="66972" w:name="_ETM_Q117_735010"/>
      <w:bookmarkEnd w:id="66972"/>
      <w:r>
        <w:rPr>
          <w:rFonts w:hint="cs"/>
          <w:rtl/>
        </w:rPr>
        <w:t>כן.</w:t>
      </w:r>
      <w:bookmarkStart w:id="66973" w:name="_ETM_Q117_736829"/>
      <w:bookmarkStart w:id="66974" w:name="_ETM_Q117_736944"/>
      <w:bookmarkEnd w:id="66973"/>
      <w:bookmarkEnd w:id="66974"/>
      <w:r>
        <w:rPr>
          <w:rFonts w:hint="cs"/>
          <w:rtl/>
        </w:rPr>
        <w:t xml:space="preserve"> </w:t>
      </w:r>
      <w:bookmarkStart w:id="66975" w:name="_ETM_Q117_736990"/>
      <w:bookmarkEnd w:id="66975"/>
      <w:r>
        <w:rPr>
          <w:rFonts w:hint="cs"/>
          <w:rtl/>
        </w:rPr>
        <w:t xml:space="preserve">הולך </w:t>
      </w:r>
      <w:bookmarkStart w:id="66976" w:name="_ETM_Q117_737230"/>
      <w:bookmarkEnd w:id="66976"/>
      <w:r>
        <w:rPr>
          <w:rFonts w:hint="cs"/>
          <w:rtl/>
        </w:rPr>
        <w:t xml:space="preserve">להיפתח </w:t>
      </w:r>
      <w:bookmarkStart w:id="66977" w:name="_ETM_Q117_737590"/>
      <w:bookmarkEnd w:id="66977"/>
      <w:r>
        <w:rPr>
          <w:rFonts w:hint="cs"/>
          <w:rtl/>
        </w:rPr>
        <w:t xml:space="preserve">שם </w:t>
      </w:r>
      <w:bookmarkStart w:id="66978" w:name="_ETM_Q117_737770"/>
      <w:bookmarkEnd w:id="66978"/>
      <w:r>
        <w:rPr>
          <w:rFonts w:hint="cs"/>
          <w:rtl/>
        </w:rPr>
        <w:t xml:space="preserve">עכשיו מיון ילדים. </w:t>
      </w:r>
      <w:bookmarkStart w:id="66979" w:name="_ETM_Q117_737920"/>
      <w:bookmarkStart w:id="66980" w:name="_ETM_Q117_738429"/>
      <w:bookmarkStart w:id="66981" w:name="_ETM_Q117_738880"/>
      <w:bookmarkEnd w:id="66979"/>
      <w:bookmarkEnd w:id="66980"/>
      <w:bookmarkEnd w:id="66981"/>
      <w:r>
        <w:rPr>
          <w:rFonts w:hint="cs"/>
          <w:rtl/>
        </w:rPr>
        <w:t xml:space="preserve">יש </w:t>
      </w:r>
      <w:bookmarkStart w:id="66982" w:name="_ETM_Q117_740879"/>
      <w:bookmarkEnd w:id="66982"/>
      <w:r>
        <w:rPr>
          <w:rFonts w:hint="cs"/>
          <w:rtl/>
        </w:rPr>
        <w:t>– לך תסתכל בהתקדמות.</w:t>
      </w:r>
    </w:p>
    <w:p w:rsidR="00BB59CD" w:rsidRDefault="00BB59CD" w:rsidP="00BB59CD">
      <w:pPr>
        <w:rPr>
          <w:rtl/>
        </w:rPr>
      </w:pPr>
      <w:bookmarkStart w:id="66983" w:name="_ETM_Q117_743353"/>
      <w:bookmarkStart w:id="66984" w:name="_ETM_Q117_743436"/>
      <w:bookmarkEnd w:id="66983"/>
      <w:bookmarkEnd w:id="66984"/>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2F1C45">
      <w:pPr>
        <w:rPr>
          <w:rtl/>
        </w:rPr>
      </w:pPr>
      <w:bookmarkStart w:id="66985" w:name="_ETM_Q117_743497"/>
      <w:bookmarkStart w:id="66986" w:name="_ETM_Q117_743570"/>
      <w:bookmarkStart w:id="66987" w:name="_ETM_Q117_741210"/>
      <w:bookmarkStart w:id="66988" w:name="_ETM_Q117_741900"/>
      <w:bookmarkEnd w:id="66985"/>
      <w:bookmarkEnd w:id="66986"/>
      <w:bookmarkEnd w:id="66987"/>
      <w:bookmarkEnd w:id="66988"/>
      <w:r>
        <w:rPr>
          <w:rFonts w:hint="cs"/>
          <w:rtl/>
        </w:rPr>
        <w:t xml:space="preserve">הקושי </w:t>
      </w:r>
      <w:bookmarkStart w:id="66989" w:name="_ETM_Q117_742349"/>
      <w:bookmarkEnd w:id="66989"/>
      <w:r>
        <w:rPr>
          <w:rFonts w:hint="cs"/>
          <w:rtl/>
        </w:rPr>
        <w:t xml:space="preserve">שלי </w:t>
      </w:r>
      <w:bookmarkStart w:id="66990" w:name="_ETM_Q117_742979"/>
      <w:bookmarkEnd w:id="66990"/>
      <w:r>
        <w:rPr>
          <w:rFonts w:hint="cs"/>
          <w:rtl/>
        </w:rPr>
        <w:t xml:space="preserve">הוא </w:t>
      </w:r>
      <w:bookmarkStart w:id="66991" w:name="_ETM_Q117_743129"/>
      <w:bookmarkEnd w:id="66991"/>
      <w:r>
        <w:rPr>
          <w:rFonts w:hint="cs"/>
          <w:rtl/>
        </w:rPr>
        <w:t xml:space="preserve">ביכולת </w:t>
      </w:r>
      <w:bookmarkStart w:id="66992" w:name="_ETM_Q117_743759"/>
      <w:bookmarkEnd w:id="66992"/>
      <w:r>
        <w:rPr>
          <w:rFonts w:hint="cs"/>
          <w:rtl/>
        </w:rPr>
        <w:t xml:space="preserve">להבין </w:t>
      </w:r>
      <w:bookmarkStart w:id="66993" w:name="_ETM_Q117_744689"/>
      <w:bookmarkEnd w:id="66993"/>
      <w:r>
        <w:rPr>
          <w:rFonts w:hint="cs"/>
          <w:rtl/>
        </w:rPr>
        <w:t xml:space="preserve">כמה </w:t>
      </w:r>
      <w:bookmarkStart w:id="66994" w:name="_ETM_Q117_745020"/>
      <w:bookmarkEnd w:id="66994"/>
      <w:r>
        <w:rPr>
          <w:rFonts w:hint="cs"/>
          <w:rtl/>
        </w:rPr>
        <w:t xml:space="preserve">מהר </w:t>
      </w:r>
      <w:bookmarkStart w:id="66995" w:name="_ETM_Q117_745469"/>
      <w:bookmarkEnd w:id="66995"/>
      <w:r>
        <w:rPr>
          <w:rFonts w:hint="cs"/>
          <w:rtl/>
        </w:rPr>
        <w:t xml:space="preserve">מסכימים </w:t>
      </w:r>
      <w:bookmarkStart w:id="66996" w:name="_ETM_Q117_746009"/>
      <w:bookmarkEnd w:id="66996"/>
      <w:r>
        <w:rPr>
          <w:rFonts w:hint="cs"/>
          <w:rtl/>
        </w:rPr>
        <w:t xml:space="preserve">על </w:t>
      </w:r>
      <w:bookmarkStart w:id="66997" w:name="_ETM_Q117_746129"/>
      <w:bookmarkEnd w:id="66997"/>
      <w:r>
        <w:rPr>
          <w:rFonts w:hint="cs"/>
          <w:rtl/>
        </w:rPr>
        <w:t xml:space="preserve">14 </w:t>
      </w:r>
      <w:bookmarkStart w:id="66998" w:name="_ETM_Q117_746610"/>
      <w:bookmarkEnd w:id="66998"/>
      <w:r>
        <w:rPr>
          <w:rFonts w:hint="cs"/>
          <w:rtl/>
        </w:rPr>
        <w:t xml:space="preserve">מיליארד </w:t>
      </w:r>
      <w:bookmarkStart w:id="66999" w:name="_ETM_Q117_746969"/>
      <w:bookmarkEnd w:id="66999"/>
      <w:r>
        <w:rPr>
          <w:rFonts w:hint="cs"/>
          <w:rtl/>
        </w:rPr>
        <w:t xml:space="preserve">שקלים </w:t>
      </w:r>
      <w:bookmarkStart w:id="67000" w:name="_ETM_Q117_747300"/>
      <w:bookmarkEnd w:id="67000"/>
      <w:r>
        <w:rPr>
          <w:rFonts w:hint="cs"/>
          <w:rtl/>
        </w:rPr>
        <w:t xml:space="preserve">כספים </w:t>
      </w:r>
      <w:bookmarkStart w:id="67001" w:name="_ETM_Q117_747659"/>
      <w:bookmarkEnd w:id="67001"/>
      <w:r>
        <w:rPr>
          <w:rFonts w:hint="cs"/>
          <w:rtl/>
        </w:rPr>
        <w:t xml:space="preserve">קואליציוניים </w:t>
      </w:r>
      <w:bookmarkStart w:id="67002" w:name="_ETM_Q117_749059"/>
      <w:bookmarkEnd w:id="67002"/>
      <w:r>
        <w:rPr>
          <w:rFonts w:hint="cs"/>
          <w:rtl/>
        </w:rPr>
        <w:t xml:space="preserve">וכמה </w:t>
      </w:r>
      <w:bookmarkStart w:id="67003" w:name="_ETM_Q117_749569"/>
      <w:bookmarkEnd w:id="67003"/>
      <w:r>
        <w:rPr>
          <w:rFonts w:hint="cs"/>
          <w:rtl/>
        </w:rPr>
        <w:t xml:space="preserve">לאט </w:t>
      </w:r>
      <w:bookmarkStart w:id="67004" w:name="_ETM_Q117_751360"/>
      <w:bookmarkEnd w:id="67004"/>
      <w:r>
        <w:rPr>
          <w:rFonts w:hint="cs"/>
          <w:rtl/>
        </w:rPr>
        <w:t xml:space="preserve">יוסיפו </w:t>
      </w:r>
      <w:bookmarkStart w:id="67005" w:name="_ETM_Q117_752470"/>
      <w:bookmarkEnd w:id="67005"/>
      <w:r>
        <w:rPr>
          <w:rFonts w:hint="cs"/>
          <w:rtl/>
        </w:rPr>
        <w:t>ול</w:t>
      </w:r>
      <w:bookmarkStart w:id="67006" w:name="_ETM_Q117_753040"/>
      <w:bookmarkStart w:id="67007" w:name="_ETM_Q117_753490"/>
      <w:bookmarkEnd w:id="67006"/>
      <w:bookmarkEnd w:id="67007"/>
      <w:r>
        <w:rPr>
          <w:rFonts w:hint="cs"/>
          <w:rtl/>
        </w:rPr>
        <w:t xml:space="preserve">ו ארבעה תקנים </w:t>
      </w:r>
      <w:bookmarkStart w:id="67008" w:name="_ETM_Q117_753850"/>
      <w:bookmarkEnd w:id="67008"/>
      <w:r>
        <w:rPr>
          <w:rFonts w:hint="cs"/>
          <w:rtl/>
        </w:rPr>
        <w:t xml:space="preserve">חדשים </w:t>
      </w:r>
      <w:bookmarkStart w:id="67009" w:name="_ETM_Q117_754240"/>
      <w:bookmarkEnd w:id="67009"/>
      <w:r>
        <w:rPr>
          <w:rFonts w:hint="cs"/>
          <w:rtl/>
        </w:rPr>
        <w:t xml:space="preserve">ביוספטל. </w:t>
      </w:r>
      <w:bookmarkStart w:id="67010" w:name="_ETM_Q117_754840"/>
      <w:bookmarkEnd w:id="67010"/>
    </w:p>
    <w:p w:rsidR="00BB59CD" w:rsidRDefault="00BB59CD" w:rsidP="00BB59CD">
      <w:pPr>
        <w:rPr>
          <w:rtl/>
        </w:rPr>
      </w:pPr>
      <w:bookmarkStart w:id="67011" w:name="_ETM_Q117_755659"/>
      <w:bookmarkStart w:id="67012" w:name="_ETM_Q117_755730"/>
      <w:bookmarkEnd w:id="67011"/>
      <w:bookmarkEnd w:id="67012"/>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7013" w:name="_ETM_Q117_755818"/>
      <w:bookmarkStart w:id="67014" w:name="_ETM_Q117_755911"/>
      <w:bookmarkEnd w:id="67013"/>
      <w:bookmarkEnd w:id="67014"/>
      <w:r>
        <w:rPr>
          <w:rFonts w:hint="cs"/>
          <w:rtl/>
        </w:rPr>
        <w:t xml:space="preserve">אתה </w:t>
      </w:r>
      <w:bookmarkStart w:id="67015" w:name="_ETM_Q117_754929"/>
      <w:bookmarkEnd w:id="67015"/>
      <w:r>
        <w:rPr>
          <w:rFonts w:hint="cs"/>
          <w:rtl/>
        </w:rPr>
        <w:t xml:space="preserve">יודע </w:t>
      </w:r>
      <w:bookmarkStart w:id="67016" w:name="_ETM_Q117_755080"/>
      <w:bookmarkEnd w:id="67016"/>
      <w:r>
        <w:rPr>
          <w:rFonts w:hint="cs"/>
          <w:rtl/>
        </w:rPr>
        <w:t xml:space="preserve">שזה </w:t>
      </w:r>
      <w:bookmarkStart w:id="67017" w:name="_ETM_Q117_755260"/>
      <w:bookmarkEnd w:id="67017"/>
      <w:r>
        <w:rPr>
          <w:rFonts w:hint="cs"/>
          <w:rtl/>
        </w:rPr>
        <w:t xml:space="preserve">לא </w:t>
      </w:r>
      <w:bookmarkStart w:id="67018" w:name="_ETM_Q117_755350"/>
      <w:bookmarkEnd w:id="67018"/>
      <w:r>
        <w:rPr>
          <w:rFonts w:hint="cs"/>
          <w:rtl/>
        </w:rPr>
        <w:t xml:space="preserve">באמת </w:t>
      </w:r>
      <w:bookmarkStart w:id="67019" w:name="_ETM_Q117_755620"/>
      <w:bookmarkEnd w:id="67019"/>
      <w:r>
        <w:rPr>
          <w:rFonts w:hint="cs"/>
          <w:rtl/>
        </w:rPr>
        <w:t xml:space="preserve">14 </w:t>
      </w:r>
      <w:bookmarkStart w:id="67020" w:name="_ETM_Q117_756610"/>
      <w:bookmarkStart w:id="67021" w:name="_ETM_Q117_757179"/>
      <w:bookmarkEnd w:id="67020"/>
      <w:bookmarkEnd w:id="67021"/>
      <w:r>
        <w:rPr>
          <w:rFonts w:hint="cs"/>
          <w:rtl/>
        </w:rPr>
        <w:t>מיליארד.</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13 מיליארד?</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לא.</w:t>
      </w:r>
    </w:p>
    <w:p w:rsidR="00BB59CD" w:rsidRDefault="00BB59CD" w:rsidP="00BB59CD">
      <w:pPr>
        <w:rPr>
          <w:rtl/>
        </w:rPr>
      </w:pPr>
      <w:bookmarkStart w:id="67022" w:name="_ETM_Q117_757467"/>
      <w:bookmarkStart w:id="67023" w:name="_ETM_Q117_757569"/>
      <w:bookmarkEnd w:id="67022"/>
      <w:bookmarkEnd w:id="67023"/>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7024" w:name="_ETM_Q117_759096"/>
      <w:bookmarkEnd w:id="67024"/>
      <w:r>
        <w:rPr>
          <w:rFonts w:hint="cs"/>
          <w:rtl/>
        </w:rPr>
        <w:t>7 השנה ו-7 לשנה הבאה? מה זה משנה?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חלק זה תקציב מובנה. זה לא תקציב קואליציוני. גם התקציב של </w:t>
      </w:r>
      <w:bookmarkStart w:id="67025" w:name="_ETM_Q117_764488"/>
      <w:bookmarkEnd w:id="67025"/>
      <w:r>
        <w:rPr>
          <w:rFonts w:hint="cs"/>
          <w:rtl/>
        </w:rPr>
        <w:t>החינוך, למשל, רשום שם</w:t>
      </w:r>
      <w:r w:rsidR="002F1C45">
        <w:rPr>
          <w:rFonts w:hint="cs"/>
          <w:rtl/>
        </w:rPr>
        <w:t>,</w:t>
      </w:r>
      <w:r>
        <w:rPr>
          <w:rFonts w:hint="cs"/>
          <w:rtl/>
        </w:rPr>
        <w:t xml:space="preserve"> 4 מיליארד ש"ח. </w:t>
      </w:r>
    </w:p>
    <w:p w:rsidR="00BB59CD" w:rsidRDefault="00BB59CD" w:rsidP="00BB59CD">
      <w:pPr>
        <w:rPr>
          <w:rtl/>
        </w:rPr>
      </w:pPr>
    </w:p>
    <w:p w:rsidR="00BB59CD" w:rsidRDefault="00BB59CD" w:rsidP="00BB59CD">
      <w:pPr>
        <w:pStyle w:val="-"/>
        <w:keepNext/>
        <w:rPr>
          <w:rtl/>
        </w:rPr>
      </w:pPr>
      <w:bookmarkStart w:id="67026" w:name="TOR_Q118"/>
      <w:bookmarkEnd w:id="67026"/>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2F1C45">
      <w:pPr>
        <w:rPr>
          <w:rtl/>
        </w:rPr>
      </w:pPr>
      <w:r>
        <w:rPr>
          <w:rFonts w:hint="cs"/>
          <w:rtl/>
        </w:rPr>
        <w:t>מה זאת אומרת? זה 14 מיליארד.</w:t>
      </w:r>
      <w:r w:rsidR="002F1C45">
        <w:rPr>
          <w:rFonts w:hint="cs"/>
          <w:rtl/>
        </w:rPr>
        <w:t xml:space="preserve"> </w:t>
      </w:r>
      <w:bookmarkStart w:id="67027" w:name="_ETM_Q118_166332"/>
      <w:bookmarkStart w:id="67028" w:name="_ETM_Q118_166341"/>
      <w:bookmarkStart w:id="67029" w:name="_ETM_Q118_162248"/>
      <w:bookmarkEnd w:id="67027"/>
      <w:bookmarkEnd w:id="67028"/>
      <w:bookmarkEnd w:id="67029"/>
      <w:r>
        <w:rPr>
          <w:rFonts w:hint="cs"/>
          <w:rtl/>
        </w:rPr>
        <w:t>בתקציב דו-שנתי זה 14 מיליארד.</w:t>
      </w:r>
    </w:p>
    <w:p w:rsidR="00BB59CD" w:rsidRDefault="00BB59CD" w:rsidP="00BB59CD">
      <w:pPr>
        <w:rPr>
          <w:rtl/>
        </w:rPr>
      </w:pPr>
      <w:bookmarkStart w:id="67030" w:name="_ETM_Q118_170751"/>
      <w:bookmarkStart w:id="67031" w:name="_ETM_Q118_170843"/>
      <w:bookmarkEnd w:id="67030"/>
      <w:bookmarkEnd w:id="67031"/>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7032" w:name="_ETM_Q118_171498"/>
      <w:bookmarkEnd w:id="67032"/>
      <w:r>
        <w:rPr>
          <w:rFonts w:hint="cs"/>
          <w:rtl/>
        </w:rPr>
        <w:t>לא. בבסיס התקציב נכנס למשל אופק חדש, אז זה 4 מיליארד ש"ח. נכנס אופק חדש.</w:t>
      </w:r>
    </w:p>
    <w:p w:rsidR="00BB59CD" w:rsidRDefault="00BB59CD" w:rsidP="00BB59CD">
      <w:pPr>
        <w:rPr>
          <w:rtl/>
        </w:rPr>
      </w:pPr>
      <w:bookmarkStart w:id="67033" w:name="_ETM_Q118_176239"/>
      <w:bookmarkStart w:id="67034" w:name="_ETM_Q118_176326"/>
      <w:bookmarkEnd w:id="67033"/>
      <w:bookmarkEnd w:id="67034"/>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7035" w:name="_ETM_Q118_177199"/>
      <w:bookmarkEnd w:id="67035"/>
      <w:r>
        <w:rPr>
          <w:rFonts w:hint="cs"/>
          <w:rtl/>
        </w:rPr>
        <w:t>לא כספים קואליציוניים?</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2F1C45">
      <w:pPr>
        <w:rPr>
          <w:rtl/>
        </w:rPr>
      </w:pPr>
      <w:r>
        <w:rPr>
          <w:rFonts w:hint="cs"/>
          <w:rtl/>
        </w:rPr>
        <w:t xml:space="preserve">לא. תוספת כסף לשוטרים בבסיס התקציב. כספים </w:t>
      </w:r>
      <w:bookmarkStart w:id="67036" w:name="_ETM_Q118_180019"/>
      <w:bookmarkEnd w:id="67036"/>
      <w:r>
        <w:rPr>
          <w:rFonts w:hint="cs"/>
          <w:rtl/>
        </w:rPr>
        <w:t xml:space="preserve">קואליציוניים זה כספים לפרויקטים ספציפיים, </w:t>
      </w:r>
      <w:r w:rsidR="002F1C45">
        <w:rPr>
          <w:rFonts w:hint="cs"/>
          <w:rtl/>
        </w:rPr>
        <w:t>ו</w:t>
      </w:r>
      <w:r>
        <w:rPr>
          <w:rFonts w:hint="cs"/>
          <w:rtl/>
        </w:rPr>
        <w:t>הם לפי הגודל של המפלגה הקואליציונית.</w:t>
      </w:r>
    </w:p>
    <w:p w:rsidR="00BB59CD" w:rsidRDefault="00BB59CD" w:rsidP="00BB59CD">
      <w:pPr>
        <w:rPr>
          <w:rtl/>
        </w:rPr>
      </w:pPr>
      <w:bookmarkStart w:id="67037" w:name="_ETM_Q118_176377"/>
      <w:bookmarkStart w:id="67038" w:name="_ETM_Q118_176450"/>
      <w:bookmarkEnd w:id="67037"/>
      <w:bookmarkEnd w:id="67038"/>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7039" w:name="_ETM_Q118_186210"/>
      <w:bookmarkEnd w:id="67039"/>
      <w:r>
        <w:rPr>
          <w:rFonts w:hint="cs"/>
          <w:rtl/>
        </w:rPr>
        <w:t xml:space="preserve">זה </w:t>
      </w:r>
      <w:bookmarkStart w:id="67040" w:name="_ETM_Q118_186359"/>
      <w:bookmarkEnd w:id="67040"/>
      <w:r>
        <w:rPr>
          <w:rFonts w:hint="cs"/>
          <w:rtl/>
        </w:rPr>
        <w:t xml:space="preserve">לא </w:t>
      </w:r>
      <w:bookmarkStart w:id="67041" w:name="_ETM_Q118_186480"/>
      <w:bookmarkEnd w:id="67041"/>
      <w:r>
        <w:rPr>
          <w:rFonts w:hint="cs"/>
          <w:rtl/>
        </w:rPr>
        <w:t xml:space="preserve">נוגד </w:t>
      </w:r>
      <w:bookmarkStart w:id="67042" w:name="_ETM_Q118_186750"/>
      <w:bookmarkEnd w:id="67042"/>
      <w:r>
        <w:rPr>
          <w:rFonts w:hint="cs"/>
          <w:rtl/>
        </w:rPr>
        <w:t xml:space="preserve">את </w:t>
      </w:r>
      <w:bookmarkStart w:id="67043" w:name="_ETM_Q118_186839"/>
      <w:bookmarkEnd w:id="67043"/>
      <w:r>
        <w:rPr>
          <w:rFonts w:hint="cs"/>
          <w:rtl/>
        </w:rPr>
        <w:t xml:space="preserve">מה </w:t>
      </w:r>
      <w:bookmarkStart w:id="67044" w:name="_ETM_Q118_186960"/>
      <w:bookmarkEnd w:id="67044"/>
      <w:r>
        <w:rPr>
          <w:rFonts w:hint="cs"/>
          <w:rtl/>
        </w:rPr>
        <w:t xml:space="preserve">שאני </w:t>
      </w:r>
      <w:bookmarkStart w:id="67045" w:name="_ETM_Q118_187140"/>
      <w:bookmarkEnd w:id="67045"/>
      <w:r>
        <w:rPr>
          <w:rFonts w:hint="cs"/>
          <w:rtl/>
        </w:rPr>
        <w:t xml:space="preserve">אומר. </w:t>
      </w:r>
      <w:bookmarkStart w:id="67046" w:name="_ETM_Q118_187319"/>
      <w:bookmarkEnd w:id="67046"/>
      <w:r>
        <w:rPr>
          <w:rFonts w:hint="cs"/>
          <w:rtl/>
        </w:rPr>
        <w:t xml:space="preserve">בוועדת </w:t>
      </w:r>
      <w:bookmarkStart w:id="67047" w:name="_ETM_Q118_187740"/>
      <w:bookmarkEnd w:id="67047"/>
      <w:r>
        <w:rPr>
          <w:rFonts w:hint="cs"/>
          <w:rtl/>
        </w:rPr>
        <w:t xml:space="preserve">הכספים </w:t>
      </w:r>
      <w:bookmarkStart w:id="67048" w:name="_ETM_Q118_188280"/>
      <w:bookmarkEnd w:id="67048"/>
      <w:r>
        <w:rPr>
          <w:rFonts w:hint="cs"/>
          <w:rtl/>
        </w:rPr>
        <w:t xml:space="preserve">עברו </w:t>
      </w:r>
      <w:bookmarkStart w:id="67049" w:name="_ETM_Q118_189059"/>
      <w:bookmarkEnd w:id="67049"/>
      <w:r>
        <w:rPr>
          <w:rFonts w:hint="cs"/>
          <w:rtl/>
        </w:rPr>
        <w:t>כ-</w:t>
      </w:r>
      <w:bookmarkStart w:id="67050" w:name="_ETM_Q118_189630"/>
      <w:bookmarkEnd w:id="67050"/>
      <w:r>
        <w:rPr>
          <w:rFonts w:hint="cs"/>
          <w:rtl/>
        </w:rPr>
        <w:t xml:space="preserve">13.7 </w:t>
      </w:r>
      <w:bookmarkStart w:id="67051" w:name="_ETM_Q118_190710"/>
      <w:bookmarkEnd w:id="67051"/>
      <w:r>
        <w:rPr>
          <w:rFonts w:hint="cs"/>
          <w:rtl/>
        </w:rPr>
        <w:t xml:space="preserve">מיליארד </w:t>
      </w:r>
      <w:bookmarkStart w:id="67052" w:name="_ETM_Q118_191190"/>
      <w:bookmarkEnd w:id="67052"/>
      <w:r>
        <w:rPr>
          <w:rFonts w:hint="cs"/>
          <w:rtl/>
        </w:rPr>
        <w:t xml:space="preserve">שקלים </w:t>
      </w:r>
      <w:bookmarkStart w:id="67053" w:name="_ETM_Q118_192400"/>
      <w:bookmarkEnd w:id="67053"/>
      <w:r>
        <w:rPr>
          <w:rFonts w:hint="cs"/>
          <w:rtl/>
        </w:rPr>
        <w:t xml:space="preserve">בשנתיים </w:t>
      </w:r>
      <w:bookmarkStart w:id="67054" w:name="_ETM_Q118_193209"/>
      <w:bookmarkEnd w:id="67054"/>
      <w:r>
        <w:rPr>
          <w:rFonts w:hint="cs"/>
          <w:rtl/>
        </w:rPr>
        <w:t>כ</w:t>
      </w:r>
      <w:bookmarkStart w:id="67055" w:name="_ETM_Q118_193329"/>
      <w:bookmarkEnd w:id="67055"/>
      <w:r>
        <w:rPr>
          <w:rFonts w:hint="cs"/>
          <w:rtl/>
        </w:rPr>
        <w:t xml:space="preserve">כספים </w:t>
      </w:r>
      <w:bookmarkStart w:id="67056" w:name="_ETM_Q118_193690"/>
      <w:bookmarkEnd w:id="67056"/>
      <w:r>
        <w:rPr>
          <w:rFonts w:hint="cs"/>
          <w:rtl/>
        </w:rPr>
        <w:t xml:space="preserve">קואליציוניים. </w:t>
      </w:r>
      <w:bookmarkStart w:id="67057" w:name="_ETM_Q118_194259"/>
      <w:bookmarkEnd w:id="67057"/>
      <w:r>
        <w:rPr>
          <w:rFonts w:hint="cs"/>
          <w:rtl/>
        </w:rPr>
        <w:t xml:space="preserve">לא </w:t>
      </w:r>
      <w:bookmarkStart w:id="67058" w:name="_ETM_Q118_194320"/>
      <w:bookmarkEnd w:id="67058"/>
      <w:r>
        <w:rPr>
          <w:rFonts w:hint="cs"/>
          <w:rtl/>
        </w:rPr>
        <w:t xml:space="preserve">לבסיס </w:t>
      </w:r>
      <w:bookmarkStart w:id="67059" w:name="_ETM_Q118_194679"/>
      <w:bookmarkEnd w:id="67059"/>
      <w:r>
        <w:rPr>
          <w:rFonts w:hint="cs"/>
          <w:rtl/>
        </w:rPr>
        <w:t xml:space="preserve">התקציב. </w:t>
      </w:r>
      <w:bookmarkStart w:id="67060" w:name="_ETM_Q118_195650"/>
      <w:bookmarkEnd w:id="67060"/>
      <w:r>
        <w:rPr>
          <w:rFonts w:hint="cs"/>
          <w:rtl/>
        </w:rPr>
        <w:t xml:space="preserve">מה </w:t>
      </w:r>
      <w:bookmarkStart w:id="67061" w:name="_ETM_Q118_195799"/>
      <w:bookmarkStart w:id="67062" w:name="_ETM_Q118_195950"/>
      <w:bookmarkStart w:id="67063" w:name="_ETM_Q118_196100"/>
      <w:bookmarkEnd w:id="67061"/>
      <w:bookmarkEnd w:id="67062"/>
      <w:bookmarkEnd w:id="67063"/>
      <w:r>
        <w:rPr>
          <w:rFonts w:hint="cs"/>
          <w:rtl/>
        </w:rPr>
        <w:t xml:space="preserve">לא </w:t>
      </w:r>
      <w:bookmarkStart w:id="67064" w:name="_ETM_Q118_196189"/>
      <w:bookmarkEnd w:id="67064"/>
      <w:r>
        <w:rPr>
          <w:rFonts w:hint="cs"/>
          <w:rtl/>
        </w:rPr>
        <w:t xml:space="preserve">נכון </w:t>
      </w:r>
      <w:bookmarkStart w:id="67065" w:name="_ETM_Q118_196400"/>
      <w:bookmarkEnd w:id="67065"/>
      <w:r>
        <w:rPr>
          <w:rFonts w:hint="cs"/>
          <w:rtl/>
        </w:rPr>
        <w:t xml:space="preserve">במה </w:t>
      </w:r>
      <w:bookmarkStart w:id="67066" w:name="_ETM_Q118_196579"/>
      <w:bookmarkEnd w:id="67066"/>
      <w:r>
        <w:rPr>
          <w:rFonts w:hint="cs"/>
          <w:rtl/>
        </w:rPr>
        <w:t xml:space="preserve">שאני </w:t>
      </w:r>
      <w:bookmarkStart w:id="67067" w:name="_ETM_Q118_196789"/>
      <w:bookmarkEnd w:id="67067"/>
      <w:r>
        <w:rPr>
          <w:rFonts w:hint="cs"/>
          <w:rtl/>
        </w:rPr>
        <w:t xml:space="preserve">אומר? </w:t>
      </w:r>
      <w:bookmarkStart w:id="67068" w:name="_ETM_Q118_197420"/>
      <w:bookmarkEnd w:id="67068"/>
      <w:r>
        <w:rPr>
          <w:rFonts w:hint="cs"/>
          <w:rtl/>
        </w:rPr>
        <w:t xml:space="preserve">זה </w:t>
      </w:r>
      <w:bookmarkStart w:id="67069" w:name="_ETM_Q118_197779"/>
      <w:bookmarkEnd w:id="67069"/>
      <w:r>
        <w:rPr>
          <w:rFonts w:hint="cs"/>
          <w:rtl/>
        </w:rPr>
        <w:t xml:space="preserve">מה </w:t>
      </w:r>
      <w:bookmarkStart w:id="67070" w:name="_ETM_Q118_197869"/>
      <w:bookmarkEnd w:id="67070"/>
      <w:r>
        <w:rPr>
          <w:rFonts w:hint="cs"/>
          <w:rtl/>
        </w:rPr>
        <w:t xml:space="preserve">שעבר. אין </w:t>
      </w:r>
      <w:bookmarkStart w:id="67071" w:name="_ETM_Q118_198500"/>
      <w:bookmarkEnd w:id="67071"/>
      <w:r>
        <w:rPr>
          <w:rFonts w:hint="cs"/>
          <w:rtl/>
        </w:rPr>
        <w:t xml:space="preserve">מה </w:t>
      </w:r>
      <w:bookmarkStart w:id="67072" w:name="_ETM_Q118_198590"/>
      <w:bookmarkEnd w:id="67072"/>
      <w:r>
        <w:rPr>
          <w:rFonts w:hint="cs"/>
          <w:rtl/>
        </w:rPr>
        <w:t>לעשות.</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 </w:t>
      </w:r>
      <w:bookmarkStart w:id="67073" w:name="_ETM_Q118_198949"/>
      <w:bookmarkEnd w:id="67073"/>
      <w:r>
        <w:rPr>
          <w:rFonts w:hint="cs"/>
          <w:rtl/>
        </w:rPr>
        <w:t xml:space="preserve">שכר </w:t>
      </w:r>
      <w:bookmarkStart w:id="67074" w:name="_ETM_Q118_199310"/>
      <w:bookmarkEnd w:id="67074"/>
      <w:r>
        <w:rPr>
          <w:rFonts w:hint="cs"/>
          <w:rtl/>
        </w:rPr>
        <w:t>השוטרים - -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 </w:t>
      </w:r>
      <w:bookmarkStart w:id="67075" w:name="_ETM_Q118_199759"/>
      <w:bookmarkEnd w:id="67075"/>
      <w:r>
        <w:rPr>
          <w:rFonts w:hint="cs"/>
          <w:rtl/>
        </w:rPr>
        <w:t xml:space="preserve">זה </w:t>
      </w:r>
      <w:bookmarkStart w:id="67076" w:name="_ETM_Q118_199970"/>
      <w:bookmarkEnd w:id="67076"/>
      <w:r>
        <w:rPr>
          <w:rFonts w:hint="cs"/>
          <w:rtl/>
        </w:rPr>
        <w:t xml:space="preserve">גם </w:t>
      </w:r>
      <w:bookmarkStart w:id="67077" w:name="_ETM_Q118_200239"/>
      <w:bookmarkEnd w:id="67077"/>
      <w:r>
        <w:rPr>
          <w:rFonts w:hint="cs"/>
          <w:rtl/>
        </w:rPr>
        <w:t xml:space="preserve">עבר </w:t>
      </w:r>
      <w:bookmarkStart w:id="67078" w:name="_ETM_Q118_200539"/>
      <w:bookmarkEnd w:id="67078"/>
      <w:r>
        <w:rPr>
          <w:rFonts w:hint="cs"/>
          <w:rtl/>
        </w:rPr>
        <w:t>בקואליציוני. המענק היה בקואליציוני.</w:t>
      </w:r>
    </w:p>
    <w:p w:rsidR="00BB59CD" w:rsidRDefault="00BB59CD" w:rsidP="00BB59CD">
      <w:pPr>
        <w:rPr>
          <w:rtl/>
        </w:rPr>
      </w:pPr>
      <w:bookmarkStart w:id="67079" w:name="_ETM_Q118_205021"/>
      <w:bookmarkStart w:id="67080" w:name="_ETM_Q118_205095"/>
      <w:bookmarkEnd w:id="67079"/>
      <w:bookmarkEnd w:id="67080"/>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7081" w:name="_ETM_Q118_203317"/>
      <w:bookmarkEnd w:id="67081"/>
      <w:r>
        <w:rPr>
          <w:rFonts w:hint="cs"/>
          <w:rtl/>
        </w:rPr>
        <w:t>מה זה אומר? שעוד שנתיים  - -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2F1C45">
      <w:pPr>
        <w:rPr>
          <w:rtl/>
        </w:rPr>
      </w:pPr>
      <w:bookmarkStart w:id="67082" w:name="_ETM_Q118_201349"/>
      <w:bookmarkStart w:id="67083" w:name="_ETM_Q118_201710"/>
      <w:bookmarkStart w:id="67084" w:name="_ETM_Q118_202579"/>
      <w:bookmarkStart w:id="67085" w:name="_ETM_Q118_202640"/>
      <w:bookmarkStart w:id="67086" w:name="_ETM_Q118_203180"/>
      <w:bookmarkStart w:id="67087" w:name="_ETM_Q118_203270"/>
      <w:bookmarkStart w:id="67088" w:name="_ETM_Q118_203539"/>
      <w:bookmarkStart w:id="67089" w:name="_ETM_Q118_203900"/>
      <w:bookmarkStart w:id="67090" w:name="_ETM_Q118_204560"/>
      <w:bookmarkEnd w:id="67082"/>
      <w:bookmarkEnd w:id="67083"/>
      <w:bookmarkEnd w:id="67084"/>
      <w:bookmarkEnd w:id="67085"/>
      <w:bookmarkEnd w:id="67086"/>
      <w:bookmarkEnd w:id="67087"/>
      <w:bookmarkEnd w:id="67088"/>
      <w:bookmarkEnd w:id="67089"/>
      <w:bookmarkEnd w:id="67090"/>
      <w:r>
        <w:rPr>
          <w:rFonts w:hint="cs"/>
          <w:rtl/>
        </w:rPr>
        <w:t xml:space="preserve">זה </w:t>
      </w:r>
      <w:bookmarkStart w:id="67091" w:name="_ETM_Q118_204739"/>
      <w:bookmarkEnd w:id="67091"/>
      <w:r>
        <w:rPr>
          <w:rFonts w:hint="cs"/>
          <w:rtl/>
        </w:rPr>
        <w:t xml:space="preserve">מענק, </w:t>
      </w:r>
      <w:bookmarkStart w:id="67092" w:name="_ETM_Q118_205039"/>
      <w:bookmarkEnd w:id="67092"/>
      <w:r>
        <w:rPr>
          <w:rFonts w:hint="cs"/>
          <w:rtl/>
        </w:rPr>
        <w:t xml:space="preserve">זה </w:t>
      </w:r>
      <w:bookmarkStart w:id="67093" w:name="_ETM_Q118_205160"/>
      <w:bookmarkEnd w:id="67093"/>
      <w:r>
        <w:rPr>
          <w:rFonts w:hint="cs"/>
          <w:rtl/>
        </w:rPr>
        <w:t xml:space="preserve">לא </w:t>
      </w:r>
      <w:bookmarkStart w:id="67094" w:name="_ETM_Q118_205250"/>
      <w:bookmarkEnd w:id="67094"/>
      <w:r>
        <w:rPr>
          <w:rFonts w:hint="cs"/>
          <w:rtl/>
        </w:rPr>
        <w:t xml:space="preserve">שכר. </w:t>
      </w:r>
      <w:bookmarkStart w:id="67095" w:name="_ETM_Q118_205820"/>
      <w:bookmarkEnd w:id="67095"/>
      <w:r>
        <w:rPr>
          <w:rFonts w:hint="cs"/>
          <w:rtl/>
        </w:rPr>
        <w:t xml:space="preserve">השכר </w:t>
      </w:r>
      <w:bookmarkStart w:id="67096" w:name="_ETM_Q118_206180"/>
      <w:bookmarkEnd w:id="67096"/>
      <w:r>
        <w:rPr>
          <w:rFonts w:hint="cs"/>
          <w:rtl/>
        </w:rPr>
        <w:t xml:space="preserve">זה </w:t>
      </w:r>
      <w:bookmarkStart w:id="67097" w:name="_ETM_Q118_206329"/>
      <w:bookmarkEnd w:id="67097"/>
      <w:r>
        <w:rPr>
          <w:rFonts w:hint="cs"/>
          <w:rtl/>
        </w:rPr>
        <w:t xml:space="preserve">לבסיס. </w:t>
      </w:r>
      <w:bookmarkStart w:id="67098" w:name="_ETM_Q118_207199"/>
      <w:bookmarkStart w:id="67099" w:name="_ETM_Q118_207560"/>
      <w:bookmarkStart w:id="67100" w:name="_ETM_Q118_207710"/>
      <w:bookmarkStart w:id="67101" w:name="_ETM_Q118_208369"/>
      <w:bookmarkEnd w:id="67098"/>
      <w:bookmarkEnd w:id="67099"/>
      <w:bookmarkEnd w:id="67100"/>
      <w:bookmarkEnd w:id="67101"/>
      <w:r>
        <w:rPr>
          <w:rFonts w:hint="cs"/>
          <w:rtl/>
        </w:rPr>
        <w:t xml:space="preserve">המענק </w:t>
      </w:r>
      <w:bookmarkStart w:id="67102" w:name="_ETM_Q118_208849"/>
      <w:bookmarkEnd w:id="67102"/>
      <w:r>
        <w:rPr>
          <w:rFonts w:hint="cs"/>
          <w:rtl/>
        </w:rPr>
        <w:t xml:space="preserve">היה </w:t>
      </w:r>
      <w:bookmarkStart w:id="67103" w:name="_ETM_Q118_209419"/>
      <w:bookmarkEnd w:id="67103"/>
      <w:r>
        <w:rPr>
          <w:rFonts w:hint="cs"/>
          <w:rtl/>
        </w:rPr>
        <w:t xml:space="preserve">בכספים </w:t>
      </w:r>
      <w:bookmarkStart w:id="67104" w:name="_ETM_Q118_209810"/>
      <w:bookmarkEnd w:id="67104"/>
      <w:r>
        <w:rPr>
          <w:rFonts w:hint="cs"/>
          <w:rtl/>
        </w:rPr>
        <w:t xml:space="preserve">קואליציוניים. </w:t>
      </w:r>
      <w:bookmarkStart w:id="67105" w:name="_ETM_Q118_210199"/>
      <w:bookmarkEnd w:id="67105"/>
      <w:r>
        <w:rPr>
          <w:rFonts w:hint="cs"/>
          <w:rtl/>
        </w:rPr>
        <w:t xml:space="preserve">אגב </w:t>
      </w:r>
      <w:bookmarkStart w:id="67106" w:name="_ETM_Q118_210380"/>
      <w:bookmarkEnd w:id="67106"/>
      <w:r>
        <w:rPr>
          <w:rFonts w:hint="cs"/>
          <w:rtl/>
        </w:rPr>
        <w:t xml:space="preserve">אני </w:t>
      </w:r>
      <w:bookmarkStart w:id="67107" w:name="_ETM_Q118_210470"/>
      <w:bookmarkEnd w:id="67107"/>
      <w:r>
        <w:rPr>
          <w:rFonts w:hint="cs"/>
          <w:rtl/>
        </w:rPr>
        <w:t xml:space="preserve">לא </w:t>
      </w:r>
      <w:bookmarkStart w:id="67108" w:name="_ETM_Q118_210529"/>
      <w:bookmarkEnd w:id="67108"/>
      <w:r>
        <w:rPr>
          <w:rFonts w:hint="cs"/>
          <w:rtl/>
        </w:rPr>
        <w:t xml:space="preserve">מדבר </w:t>
      </w:r>
      <w:bookmarkStart w:id="67109" w:name="_ETM_Q118_210739"/>
      <w:bookmarkEnd w:id="67109"/>
      <w:r>
        <w:rPr>
          <w:rFonts w:hint="cs"/>
          <w:rtl/>
        </w:rPr>
        <w:t xml:space="preserve">על </w:t>
      </w:r>
      <w:bookmarkStart w:id="67110" w:name="_ETM_Q118_210829"/>
      <w:bookmarkEnd w:id="67110"/>
      <w:r>
        <w:rPr>
          <w:rFonts w:hint="cs"/>
          <w:rtl/>
        </w:rPr>
        <w:t xml:space="preserve">זה, </w:t>
      </w:r>
      <w:bookmarkStart w:id="67111" w:name="_ETM_Q118_210919"/>
      <w:bookmarkEnd w:id="67111"/>
      <w:r>
        <w:rPr>
          <w:rFonts w:hint="cs"/>
          <w:rtl/>
        </w:rPr>
        <w:t xml:space="preserve">אבל </w:t>
      </w:r>
      <w:bookmarkStart w:id="67112" w:name="_ETM_Q118_211039"/>
      <w:bookmarkEnd w:id="67112"/>
      <w:r>
        <w:rPr>
          <w:rFonts w:hint="cs"/>
          <w:rtl/>
        </w:rPr>
        <w:t xml:space="preserve">תראה </w:t>
      </w:r>
      <w:bookmarkStart w:id="67113" w:name="_ETM_Q118_211189"/>
      <w:bookmarkEnd w:id="67113"/>
      <w:r w:rsidR="002F1C45">
        <w:rPr>
          <w:rFonts w:hint="cs"/>
          <w:rtl/>
        </w:rPr>
        <w:t>כמה</w:t>
      </w:r>
      <w:r>
        <w:rPr>
          <w:rFonts w:hint="cs"/>
          <w:rtl/>
        </w:rPr>
        <w:t xml:space="preserve"> </w:t>
      </w:r>
      <w:bookmarkStart w:id="67114" w:name="_ETM_Q118_211340"/>
      <w:bookmarkEnd w:id="67114"/>
      <w:r>
        <w:rPr>
          <w:rFonts w:hint="cs"/>
          <w:rtl/>
        </w:rPr>
        <w:t xml:space="preserve">מהר </w:t>
      </w:r>
      <w:bookmarkStart w:id="67115" w:name="_ETM_Q118_211550"/>
      <w:bookmarkEnd w:id="67115"/>
      <w:r>
        <w:rPr>
          <w:rFonts w:hint="cs"/>
          <w:rtl/>
        </w:rPr>
        <w:t xml:space="preserve">זה </w:t>
      </w:r>
      <w:bookmarkStart w:id="67116" w:name="_ETM_Q118_211700"/>
      <w:bookmarkEnd w:id="67116"/>
      <w:r>
        <w:rPr>
          <w:rFonts w:hint="cs"/>
          <w:rtl/>
        </w:rPr>
        <w:t xml:space="preserve">עבר. </w:t>
      </w:r>
      <w:bookmarkStart w:id="67117" w:name="_ETM_Q118_212979"/>
      <w:bookmarkEnd w:id="67117"/>
      <w:r>
        <w:rPr>
          <w:rFonts w:hint="cs"/>
          <w:rtl/>
        </w:rPr>
        <w:t xml:space="preserve">אתה </w:t>
      </w:r>
      <w:bookmarkStart w:id="67118" w:name="_ETM_Q118_213280"/>
      <w:bookmarkEnd w:id="67118"/>
      <w:r>
        <w:rPr>
          <w:rFonts w:hint="cs"/>
          <w:rtl/>
        </w:rPr>
        <w:t xml:space="preserve">מדבר </w:t>
      </w:r>
      <w:bookmarkStart w:id="67119" w:name="_ETM_Q118_213610"/>
      <w:bookmarkEnd w:id="67119"/>
      <w:r>
        <w:rPr>
          <w:rFonts w:hint="cs"/>
          <w:rtl/>
        </w:rPr>
        <w:t xml:space="preserve">איתי </w:t>
      </w:r>
      <w:bookmarkStart w:id="67120" w:name="_ETM_Q118_213729"/>
      <w:bookmarkEnd w:id="67120"/>
      <w:r>
        <w:rPr>
          <w:rFonts w:hint="cs"/>
          <w:rtl/>
        </w:rPr>
        <w:t xml:space="preserve">על </w:t>
      </w:r>
      <w:bookmarkStart w:id="67121" w:name="_ETM_Q118_213790"/>
      <w:bookmarkEnd w:id="67121"/>
      <w:r>
        <w:rPr>
          <w:rFonts w:hint="cs"/>
          <w:rtl/>
        </w:rPr>
        <w:t xml:space="preserve">השכר </w:t>
      </w:r>
      <w:bookmarkStart w:id="67122" w:name="_ETM_Q118_214090"/>
      <w:bookmarkEnd w:id="67122"/>
      <w:r>
        <w:rPr>
          <w:rFonts w:hint="cs"/>
          <w:rtl/>
        </w:rPr>
        <w:t xml:space="preserve">של </w:t>
      </w:r>
      <w:bookmarkStart w:id="67123" w:name="_ETM_Q118_214210"/>
      <w:bookmarkStart w:id="67124" w:name="_ETM_Q118_214630"/>
      <w:bookmarkStart w:id="67125" w:name="_ETM_Q118_214720"/>
      <w:bookmarkStart w:id="67126" w:name="_ETM_Q118_214900"/>
      <w:bookmarkEnd w:id="67123"/>
      <w:bookmarkEnd w:id="67124"/>
      <w:bookmarkEnd w:id="67125"/>
      <w:bookmarkEnd w:id="67126"/>
      <w:r>
        <w:rPr>
          <w:rFonts w:hint="cs"/>
          <w:rtl/>
        </w:rPr>
        <w:t xml:space="preserve">השוטרים </w:t>
      </w:r>
      <w:bookmarkStart w:id="67127" w:name="_ETM_Q118_215290"/>
      <w:bookmarkEnd w:id="67127"/>
      <w:r>
        <w:rPr>
          <w:rFonts w:hint="cs"/>
          <w:rtl/>
        </w:rPr>
        <w:t xml:space="preserve">או </w:t>
      </w:r>
      <w:bookmarkStart w:id="67128" w:name="_ETM_Q118_215380"/>
      <w:bookmarkEnd w:id="67128"/>
      <w:r>
        <w:rPr>
          <w:rFonts w:hint="cs"/>
          <w:rtl/>
        </w:rPr>
        <w:t xml:space="preserve">המענק </w:t>
      </w:r>
      <w:bookmarkStart w:id="67129" w:name="_ETM_Q118_215680"/>
      <w:bookmarkEnd w:id="67129"/>
      <w:r>
        <w:rPr>
          <w:rFonts w:hint="cs"/>
          <w:rtl/>
        </w:rPr>
        <w:t xml:space="preserve">של </w:t>
      </w:r>
      <w:bookmarkStart w:id="67130" w:name="_ETM_Q118_215830"/>
      <w:bookmarkEnd w:id="67130"/>
      <w:r>
        <w:rPr>
          <w:rFonts w:hint="cs"/>
          <w:rtl/>
        </w:rPr>
        <w:t>השוטרים</w:t>
      </w:r>
      <w:r w:rsidR="002F1C45">
        <w:rPr>
          <w:rFonts w:hint="cs"/>
          <w:rtl/>
        </w:rPr>
        <w:t>,</w:t>
      </w:r>
      <w:r>
        <w:rPr>
          <w:rFonts w:hint="cs"/>
          <w:rtl/>
        </w:rPr>
        <w:t xml:space="preserve"> </w:t>
      </w:r>
      <w:bookmarkStart w:id="67131" w:name="_ETM_Q118_216489"/>
      <w:bookmarkEnd w:id="67131"/>
      <w:r>
        <w:rPr>
          <w:rFonts w:hint="cs"/>
          <w:rtl/>
        </w:rPr>
        <w:t xml:space="preserve">אבל </w:t>
      </w:r>
      <w:bookmarkStart w:id="67132" w:name="_ETM_Q118_216670"/>
      <w:bookmarkEnd w:id="67132"/>
      <w:r>
        <w:rPr>
          <w:rFonts w:hint="cs"/>
          <w:rtl/>
        </w:rPr>
        <w:t xml:space="preserve">אתה </w:t>
      </w:r>
      <w:bookmarkStart w:id="67133" w:name="_ETM_Q118_216820"/>
      <w:bookmarkEnd w:id="67133"/>
      <w:r>
        <w:rPr>
          <w:rFonts w:hint="cs"/>
          <w:rtl/>
        </w:rPr>
        <w:t xml:space="preserve">לא </w:t>
      </w:r>
      <w:bookmarkStart w:id="67134" w:name="_ETM_Q118_216880"/>
      <w:bookmarkEnd w:id="67134"/>
      <w:r>
        <w:rPr>
          <w:rFonts w:hint="cs"/>
          <w:rtl/>
        </w:rPr>
        <w:t xml:space="preserve">מדבר </w:t>
      </w:r>
      <w:bookmarkStart w:id="67135" w:name="_ETM_Q118_217180"/>
      <w:bookmarkEnd w:id="67135"/>
      <w:r>
        <w:rPr>
          <w:rFonts w:hint="cs"/>
          <w:rtl/>
        </w:rPr>
        <w:t xml:space="preserve">על </w:t>
      </w:r>
      <w:bookmarkStart w:id="67136" w:name="_ETM_Q118_217270"/>
      <w:bookmarkEnd w:id="67136"/>
      <w:r>
        <w:rPr>
          <w:rFonts w:hint="cs"/>
          <w:rtl/>
        </w:rPr>
        <w:t xml:space="preserve">הדברים </w:t>
      </w:r>
      <w:bookmarkStart w:id="67137" w:name="_ETM_Q118_217570"/>
      <w:bookmarkStart w:id="67138" w:name="_ETM_Q118_217900"/>
      <w:bookmarkStart w:id="67139" w:name="_ETM_Q118_218260"/>
      <w:bookmarkEnd w:id="67137"/>
      <w:bookmarkEnd w:id="67138"/>
      <w:bookmarkEnd w:id="67139"/>
      <w:r>
        <w:rPr>
          <w:rFonts w:hint="cs"/>
          <w:rtl/>
        </w:rPr>
        <w:t xml:space="preserve">שאמרתי. </w:t>
      </w:r>
      <w:bookmarkStart w:id="67140" w:name="_ETM_Q118_219070"/>
      <w:bookmarkEnd w:id="67140"/>
      <w:r>
        <w:rPr>
          <w:rFonts w:hint="cs"/>
          <w:rtl/>
        </w:rPr>
        <w:t xml:space="preserve">כמה </w:t>
      </w:r>
      <w:bookmarkStart w:id="67141" w:name="_ETM_Q118_219340"/>
      <w:bookmarkEnd w:id="67141"/>
      <w:r>
        <w:rPr>
          <w:rFonts w:hint="cs"/>
          <w:rtl/>
        </w:rPr>
        <w:t xml:space="preserve">מהר </w:t>
      </w:r>
      <w:bookmarkStart w:id="67142" w:name="_ETM_Q118_219610"/>
      <w:bookmarkEnd w:id="67142"/>
      <w:r>
        <w:rPr>
          <w:rFonts w:hint="cs"/>
          <w:rtl/>
        </w:rPr>
        <w:t xml:space="preserve">עוברים </w:t>
      </w:r>
      <w:bookmarkStart w:id="67143" w:name="_ETM_Q118_220030"/>
      <w:bookmarkEnd w:id="67143"/>
      <w:r>
        <w:rPr>
          <w:rFonts w:hint="cs"/>
          <w:rtl/>
        </w:rPr>
        <w:t xml:space="preserve">או מסכמים </w:t>
      </w:r>
      <w:bookmarkStart w:id="67144" w:name="_ETM_Q118_220659"/>
      <w:bookmarkEnd w:id="67144"/>
      <w:r>
        <w:rPr>
          <w:rFonts w:hint="cs"/>
          <w:rtl/>
        </w:rPr>
        <w:t xml:space="preserve">על </w:t>
      </w:r>
      <w:bookmarkStart w:id="67145" w:name="_ETM_Q118_220750"/>
      <w:bookmarkEnd w:id="67145"/>
      <w:r>
        <w:rPr>
          <w:rFonts w:hint="cs"/>
          <w:rtl/>
        </w:rPr>
        <w:t xml:space="preserve">העברה </w:t>
      </w:r>
      <w:bookmarkStart w:id="67146" w:name="_ETM_Q118_221170"/>
      <w:bookmarkEnd w:id="67146"/>
      <w:r>
        <w:rPr>
          <w:rFonts w:hint="cs"/>
          <w:rtl/>
        </w:rPr>
        <w:t xml:space="preserve">של </w:t>
      </w:r>
      <w:bookmarkStart w:id="67147" w:name="_ETM_Q118_221409"/>
      <w:bookmarkEnd w:id="67147"/>
      <w:r>
        <w:rPr>
          <w:rFonts w:hint="cs"/>
          <w:rtl/>
        </w:rPr>
        <w:t xml:space="preserve">14 </w:t>
      </w:r>
      <w:bookmarkStart w:id="67148" w:name="_ETM_Q118_221920"/>
      <w:bookmarkEnd w:id="67148"/>
      <w:r>
        <w:rPr>
          <w:rFonts w:hint="cs"/>
          <w:rtl/>
        </w:rPr>
        <w:t xml:space="preserve">מיליארד </w:t>
      </w:r>
      <w:bookmarkStart w:id="67149" w:name="_ETM_Q118_222460"/>
      <w:bookmarkStart w:id="67150" w:name="_ETM_Q118_222790"/>
      <w:bookmarkEnd w:id="67149"/>
      <w:bookmarkEnd w:id="67150"/>
      <w:r>
        <w:rPr>
          <w:rFonts w:hint="cs"/>
          <w:rtl/>
        </w:rPr>
        <w:t xml:space="preserve">שקלים, </w:t>
      </w:r>
      <w:bookmarkStart w:id="67151" w:name="_ETM_Q118_223420"/>
      <w:bookmarkEnd w:id="67151"/>
      <w:r>
        <w:rPr>
          <w:rFonts w:hint="cs"/>
          <w:rtl/>
        </w:rPr>
        <w:t xml:space="preserve">או </w:t>
      </w:r>
      <w:bookmarkStart w:id="67152" w:name="_ETM_Q118_223540"/>
      <w:bookmarkEnd w:id="67152"/>
      <w:r>
        <w:rPr>
          <w:rFonts w:hint="cs"/>
          <w:rtl/>
        </w:rPr>
        <w:t xml:space="preserve">תלושי </w:t>
      </w:r>
      <w:bookmarkStart w:id="67153" w:name="_ETM_Q118_223900"/>
      <w:bookmarkEnd w:id="67153"/>
      <w:r>
        <w:rPr>
          <w:rFonts w:hint="cs"/>
          <w:rtl/>
        </w:rPr>
        <w:t xml:space="preserve">מזון, </w:t>
      </w:r>
      <w:bookmarkStart w:id="67154" w:name="_ETM_Q118_224650"/>
      <w:bookmarkEnd w:id="67154"/>
      <w:r>
        <w:rPr>
          <w:rFonts w:hint="cs"/>
          <w:rtl/>
        </w:rPr>
        <w:t xml:space="preserve">או </w:t>
      </w:r>
      <w:bookmarkStart w:id="67155" w:name="_ETM_Q118_224770"/>
      <w:bookmarkEnd w:id="67155"/>
      <w:r>
        <w:rPr>
          <w:rFonts w:hint="cs"/>
          <w:rtl/>
        </w:rPr>
        <w:t xml:space="preserve">כל </w:t>
      </w:r>
      <w:bookmarkStart w:id="67156" w:name="_ETM_Q118_224950"/>
      <w:bookmarkEnd w:id="67156"/>
      <w:r>
        <w:rPr>
          <w:rFonts w:hint="cs"/>
          <w:rtl/>
        </w:rPr>
        <w:t xml:space="preserve">דבר </w:t>
      </w:r>
      <w:bookmarkStart w:id="67157" w:name="_ETM_Q118_225220"/>
      <w:bookmarkEnd w:id="67157"/>
      <w:r>
        <w:rPr>
          <w:rFonts w:hint="cs"/>
          <w:rtl/>
        </w:rPr>
        <w:t xml:space="preserve">אחר </w:t>
      </w:r>
      <w:bookmarkStart w:id="67158" w:name="_ETM_Q118_225460"/>
      <w:bookmarkEnd w:id="67158"/>
      <w:r>
        <w:rPr>
          <w:rFonts w:hint="cs"/>
          <w:rtl/>
        </w:rPr>
        <w:t>שמאוד</w:t>
      </w:r>
      <w:bookmarkStart w:id="67159" w:name="_ETM_Q118_225850"/>
      <w:bookmarkEnd w:id="67159"/>
      <w:r>
        <w:rPr>
          <w:rFonts w:hint="cs"/>
          <w:rtl/>
        </w:rPr>
        <w:t xml:space="preserve"> מאוד </w:t>
      </w:r>
      <w:bookmarkStart w:id="67160" w:name="_ETM_Q118_226090"/>
      <w:bookmarkEnd w:id="67160"/>
      <w:r>
        <w:rPr>
          <w:rFonts w:hint="cs"/>
          <w:rtl/>
        </w:rPr>
        <w:t>מעניין</w:t>
      </w:r>
      <w:r w:rsidR="002F1C45">
        <w:rPr>
          <w:rFonts w:hint="cs"/>
          <w:rtl/>
        </w:rPr>
        <w:t>?</w:t>
      </w:r>
      <w:r>
        <w:rPr>
          <w:rFonts w:hint="cs"/>
          <w:rtl/>
        </w:rPr>
        <w:t xml:space="preserve"> תראה </w:t>
      </w:r>
      <w:bookmarkStart w:id="67161" w:name="_ETM_Q118_227380"/>
      <w:bookmarkEnd w:id="67161"/>
      <w:r>
        <w:rPr>
          <w:rFonts w:hint="cs"/>
          <w:rtl/>
        </w:rPr>
        <w:t xml:space="preserve">איך </w:t>
      </w:r>
      <w:bookmarkStart w:id="67162" w:name="_ETM_Q118_227650"/>
      <w:bookmarkEnd w:id="67162"/>
      <w:r>
        <w:rPr>
          <w:rFonts w:hint="cs"/>
          <w:rtl/>
        </w:rPr>
        <w:t xml:space="preserve">מהר – </w:t>
      </w:r>
      <w:bookmarkStart w:id="67163" w:name="_ETM_Q118_228040"/>
      <w:bookmarkEnd w:id="67163"/>
      <w:r>
        <w:rPr>
          <w:rFonts w:hint="cs"/>
          <w:rtl/>
        </w:rPr>
        <w:t xml:space="preserve">תוך </w:t>
      </w:r>
      <w:bookmarkStart w:id="67164" w:name="_ETM_Q118_228220"/>
      <w:bookmarkEnd w:id="67164"/>
      <w:r>
        <w:rPr>
          <w:rFonts w:hint="cs"/>
          <w:rtl/>
        </w:rPr>
        <w:t xml:space="preserve">14 </w:t>
      </w:r>
      <w:bookmarkStart w:id="67165" w:name="_ETM_Q118_228699"/>
      <w:bookmarkEnd w:id="67165"/>
      <w:r>
        <w:rPr>
          <w:rFonts w:hint="cs"/>
          <w:rtl/>
        </w:rPr>
        <w:t xml:space="preserve">דיונים – </w:t>
      </w:r>
      <w:bookmarkStart w:id="67166" w:name="_ETM_Q118_229239"/>
      <w:bookmarkEnd w:id="67166"/>
      <w:r>
        <w:rPr>
          <w:rFonts w:hint="cs"/>
          <w:rtl/>
        </w:rPr>
        <w:t xml:space="preserve">אנחנו </w:t>
      </w:r>
      <w:bookmarkStart w:id="67167" w:name="_ETM_Q118_229479"/>
      <w:bookmarkEnd w:id="67167"/>
      <w:r>
        <w:rPr>
          <w:rFonts w:hint="cs"/>
          <w:rtl/>
        </w:rPr>
        <w:t xml:space="preserve">מעבירים </w:t>
      </w:r>
      <w:bookmarkStart w:id="67168" w:name="_ETM_Q118_229930"/>
      <w:bookmarkEnd w:id="67168"/>
      <w:r>
        <w:rPr>
          <w:rFonts w:hint="cs"/>
          <w:rtl/>
        </w:rPr>
        <w:t xml:space="preserve">שינוי </w:t>
      </w:r>
      <w:bookmarkStart w:id="67169" w:name="_ETM_Q118_230290"/>
      <w:bookmarkEnd w:id="67169"/>
      <w:r>
        <w:rPr>
          <w:rFonts w:hint="cs"/>
          <w:rtl/>
        </w:rPr>
        <w:t>חוק</w:t>
      </w:r>
      <w:bookmarkStart w:id="67170" w:name="_ETM_Q118_230559"/>
      <w:bookmarkEnd w:id="67170"/>
      <w:r>
        <w:rPr>
          <w:rFonts w:hint="cs"/>
          <w:rtl/>
        </w:rPr>
        <w:t xml:space="preserve">-יסוד </w:t>
      </w:r>
      <w:bookmarkStart w:id="67171" w:name="_ETM_Q118_230949"/>
      <w:bookmarkEnd w:id="67171"/>
      <w:r>
        <w:rPr>
          <w:rFonts w:hint="cs"/>
          <w:rtl/>
        </w:rPr>
        <w:t xml:space="preserve">שקורע </w:t>
      </w:r>
      <w:bookmarkStart w:id="67172" w:name="_ETM_Q118_231460"/>
      <w:bookmarkEnd w:id="67172"/>
      <w:r>
        <w:rPr>
          <w:rFonts w:hint="cs"/>
          <w:rtl/>
        </w:rPr>
        <w:t xml:space="preserve">את </w:t>
      </w:r>
      <w:bookmarkStart w:id="67173" w:name="_ETM_Q118_231550"/>
      <w:bookmarkEnd w:id="67173"/>
      <w:r>
        <w:rPr>
          <w:rFonts w:hint="cs"/>
          <w:rtl/>
        </w:rPr>
        <w:t xml:space="preserve">המדינה, </w:t>
      </w:r>
      <w:bookmarkStart w:id="67174" w:name="_ETM_Q118_232360"/>
      <w:bookmarkEnd w:id="67174"/>
      <w:r>
        <w:rPr>
          <w:rFonts w:hint="cs"/>
          <w:rtl/>
        </w:rPr>
        <w:t xml:space="preserve">אבל </w:t>
      </w:r>
      <w:bookmarkStart w:id="67175" w:name="_ETM_Q118_232600"/>
      <w:bookmarkEnd w:id="67175"/>
      <w:r>
        <w:rPr>
          <w:rFonts w:hint="cs"/>
          <w:rtl/>
        </w:rPr>
        <w:t xml:space="preserve">כמה </w:t>
      </w:r>
      <w:bookmarkStart w:id="67176" w:name="_ETM_Q118_232900"/>
      <w:bookmarkEnd w:id="67176"/>
      <w:r>
        <w:rPr>
          <w:rFonts w:hint="cs"/>
          <w:rtl/>
        </w:rPr>
        <w:t xml:space="preserve">לאט </w:t>
      </w:r>
      <w:bookmarkStart w:id="67177" w:name="_ETM_Q118_233710"/>
      <w:bookmarkEnd w:id="67177"/>
      <w:r>
        <w:rPr>
          <w:rFonts w:hint="cs"/>
          <w:rtl/>
        </w:rPr>
        <w:t xml:space="preserve">או </w:t>
      </w:r>
      <w:bookmarkStart w:id="67178" w:name="_ETM_Q118_233800"/>
      <w:bookmarkEnd w:id="67178"/>
      <w:r>
        <w:rPr>
          <w:rFonts w:hint="cs"/>
          <w:rtl/>
        </w:rPr>
        <w:t xml:space="preserve">כמה </w:t>
      </w:r>
      <w:bookmarkStart w:id="67179" w:name="_ETM_Q118_234070"/>
      <w:bookmarkEnd w:id="67179"/>
      <w:r>
        <w:rPr>
          <w:rFonts w:hint="cs"/>
          <w:rtl/>
        </w:rPr>
        <w:t xml:space="preserve">שנים </w:t>
      </w:r>
      <w:bookmarkStart w:id="67180" w:name="_ETM_Q118_234400"/>
      <w:bookmarkEnd w:id="67180"/>
      <w:r>
        <w:rPr>
          <w:rFonts w:hint="cs"/>
          <w:rtl/>
        </w:rPr>
        <w:t xml:space="preserve">יצטרכו </w:t>
      </w:r>
      <w:bookmarkStart w:id="67181" w:name="_ETM_Q118_234790"/>
      <w:bookmarkEnd w:id="67181"/>
      <w:r>
        <w:rPr>
          <w:rFonts w:hint="cs"/>
          <w:rtl/>
        </w:rPr>
        <w:t xml:space="preserve">תושבי </w:t>
      </w:r>
      <w:bookmarkStart w:id="67182" w:name="_ETM_Q118_235150"/>
      <w:bookmarkEnd w:id="67182"/>
      <w:r>
        <w:rPr>
          <w:rFonts w:hint="cs"/>
          <w:rtl/>
        </w:rPr>
        <w:t xml:space="preserve">ותושבות </w:t>
      </w:r>
      <w:bookmarkStart w:id="67183" w:name="_ETM_Q118_235660"/>
      <w:bookmarkEnd w:id="67183"/>
      <w:r>
        <w:rPr>
          <w:rFonts w:hint="cs"/>
          <w:rtl/>
        </w:rPr>
        <w:t xml:space="preserve">אילת </w:t>
      </w:r>
      <w:bookmarkStart w:id="67184" w:name="_ETM_Q118_236290"/>
      <w:bookmarkEnd w:id="67184"/>
      <w:r>
        <w:rPr>
          <w:rFonts w:hint="cs"/>
          <w:rtl/>
        </w:rPr>
        <w:t xml:space="preserve">לחכות </w:t>
      </w:r>
      <w:bookmarkStart w:id="67185" w:name="_ETM_Q118_236800"/>
      <w:bookmarkEnd w:id="67185"/>
      <w:r>
        <w:rPr>
          <w:rFonts w:hint="cs"/>
          <w:rtl/>
        </w:rPr>
        <w:t xml:space="preserve">לרפואה </w:t>
      </w:r>
      <w:bookmarkStart w:id="67186" w:name="_ETM_Q118_237460"/>
      <w:bookmarkEnd w:id="67186"/>
      <w:r>
        <w:rPr>
          <w:rFonts w:hint="cs"/>
          <w:rtl/>
        </w:rPr>
        <w:t xml:space="preserve">הוגנת </w:t>
      </w:r>
      <w:bookmarkStart w:id="67187" w:name="_ETM_Q118_237879"/>
      <w:bookmarkEnd w:id="67187"/>
      <w:r>
        <w:rPr>
          <w:rFonts w:hint="cs"/>
          <w:rtl/>
        </w:rPr>
        <w:t xml:space="preserve">במדינת </w:t>
      </w:r>
      <w:bookmarkStart w:id="67188" w:name="_ETM_Q118_238330"/>
      <w:bookmarkEnd w:id="67188"/>
      <w:r>
        <w:rPr>
          <w:rFonts w:hint="cs"/>
          <w:rtl/>
        </w:rPr>
        <w:t xml:space="preserve">ישראל, </w:t>
      </w:r>
      <w:bookmarkStart w:id="67189" w:name="_ETM_Q118_238660"/>
      <w:bookmarkEnd w:id="67189"/>
      <w:r>
        <w:rPr>
          <w:rFonts w:hint="cs"/>
          <w:rtl/>
        </w:rPr>
        <w:t xml:space="preserve">בשנת </w:t>
      </w:r>
      <w:bookmarkStart w:id="67190" w:name="_ETM_Q118_238960"/>
      <w:bookmarkEnd w:id="67190"/>
      <w:r>
        <w:rPr>
          <w:rFonts w:hint="cs"/>
          <w:rtl/>
        </w:rPr>
        <w:t>20</w:t>
      </w:r>
      <w:bookmarkStart w:id="67191" w:name="_ETM_Q118_239425"/>
      <w:bookmarkStart w:id="67192" w:name="_ETM_Q118_239890"/>
      <w:bookmarkEnd w:id="67191"/>
      <w:bookmarkEnd w:id="67192"/>
      <w:r>
        <w:rPr>
          <w:rFonts w:hint="cs"/>
          <w:rtl/>
        </w:rPr>
        <w:t xml:space="preserve">23 </w:t>
      </w:r>
      <w:bookmarkStart w:id="67193" w:name="_ETM_Q118_241377"/>
      <w:bookmarkEnd w:id="67193"/>
      <w:r>
        <w:rPr>
          <w:rFonts w:hint="cs"/>
          <w:rtl/>
        </w:rPr>
        <w:t xml:space="preserve">באילת, </w:t>
      </w:r>
      <w:bookmarkStart w:id="67194" w:name="_ETM_Q118_241160"/>
      <w:bookmarkEnd w:id="67194"/>
      <w:r>
        <w:rPr>
          <w:rFonts w:hint="cs"/>
          <w:rtl/>
        </w:rPr>
        <w:t xml:space="preserve">ואותו </w:t>
      </w:r>
      <w:bookmarkStart w:id="67195" w:name="_ETM_Q118_241489"/>
      <w:bookmarkEnd w:id="67195"/>
      <w:r>
        <w:rPr>
          <w:rFonts w:hint="cs"/>
          <w:rtl/>
        </w:rPr>
        <w:t xml:space="preserve">דבר </w:t>
      </w:r>
      <w:bookmarkStart w:id="67196" w:name="_ETM_Q118_241760"/>
      <w:bookmarkEnd w:id="67196"/>
      <w:r>
        <w:rPr>
          <w:rFonts w:hint="cs"/>
          <w:rtl/>
        </w:rPr>
        <w:t>בגולן</w:t>
      </w:r>
      <w:bookmarkStart w:id="67197" w:name="_ETM_Q118_242390"/>
      <w:bookmarkEnd w:id="67197"/>
      <w:r>
        <w:rPr>
          <w:rFonts w:hint="cs"/>
          <w:rtl/>
        </w:rPr>
        <w:t xml:space="preserve">. </w:t>
      </w:r>
    </w:p>
    <w:p w:rsidR="00BB59CD" w:rsidRDefault="00BB59CD" w:rsidP="00BB59CD">
      <w:pPr>
        <w:rPr>
          <w:rtl/>
        </w:rPr>
      </w:pPr>
    </w:p>
    <w:p w:rsidR="00BB59CD" w:rsidRDefault="00BB59CD" w:rsidP="002F1C45">
      <w:pPr>
        <w:rPr>
          <w:rtl/>
        </w:rPr>
      </w:pPr>
      <w:r>
        <w:rPr>
          <w:rFonts w:hint="cs"/>
          <w:rtl/>
        </w:rPr>
        <w:t xml:space="preserve">אגב </w:t>
      </w:r>
      <w:bookmarkStart w:id="67198" w:name="_ETM_Q118_242719"/>
      <w:bookmarkEnd w:id="67198"/>
      <w:r>
        <w:rPr>
          <w:rFonts w:hint="cs"/>
          <w:rtl/>
        </w:rPr>
        <w:t xml:space="preserve">הכספים </w:t>
      </w:r>
      <w:bookmarkStart w:id="67199" w:name="_ETM_Q118_243140"/>
      <w:bookmarkEnd w:id="67199"/>
      <w:r>
        <w:rPr>
          <w:rFonts w:hint="cs"/>
          <w:rtl/>
        </w:rPr>
        <w:t xml:space="preserve">שהעבירו </w:t>
      </w:r>
      <w:bookmarkStart w:id="67200" w:name="_ETM_Q118_243649"/>
      <w:bookmarkStart w:id="67201" w:name="_ETM_Q118_244610"/>
      <w:bookmarkEnd w:id="67200"/>
      <w:bookmarkEnd w:id="67201"/>
      <w:r>
        <w:rPr>
          <w:rFonts w:hint="cs"/>
          <w:rtl/>
        </w:rPr>
        <w:t xml:space="preserve">להקמת </w:t>
      </w:r>
      <w:bookmarkStart w:id="67202" w:name="_ETM_Q118_245240"/>
      <w:bookmarkEnd w:id="67202"/>
      <w:r>
        <w:rPr>
          <w:rFonts w:hint="cs"/>
          <w:rtl/>
        </w:rPr>
        <w:t xml:space="preserve">חדר </w:t>
      </w:r>
      <w:bookmarkStart w:id="67203" w:name="_ETM_Q118_245600"/>
      <w:bookmarkEnd w:id="67203"/>
      <w:r>
        <w:rPr>
          <w:rFonts w:hint="cs"/>
          <w:rtl/>
        </w:rPr>
        <w:t xml:space="preserve">המיון </w:t>
      </w:r>
      <w:bookmarkStart w:id="67204" w:name="_ETM_Q118_245869"/>
      <w:bookmarkEnd w:id="67204"/>
      <w:r>
        <w:rPr>
          <w:rFonts w:hint="cs"/>
          <w:rtl/>
        </w:rPr>
        <w:t xml:space="preserve">הקדמי </w:t>
      </w:r>
      <w:bookmarkStart w:id="67205" w:name="_ETM_Q118_246409"/>
      <w:bookmarkEnd w:id="67205"/>
      <w:r>
        <w:rPr>
          <w:rFonts w:hint="cs"/>
          <w:rtl/>
        </w:rPr>
        <w:t xml:space="preserve">בקריית שמונה </w:t>
      </w:r>
      <w:bookmarkStart w:id="67206" w:name="_ETM_Q118_247100"/>
      <w:bookmarkEnd w:id="67206"/>
      <w:r>
        <w:rPr>
          <w:rFonts w:hint="cs"/>
          <w:rtl/>
        </w:rPr>
        <w:t xml:space="preserve">– אני </w:t>
      </w:r>
      <w:bookmarkStart w:id="67207" w:name="_ETM_Q118_247250"/>
      <w:bookmarkEnd w:id="67207"/>
      <w:r>
        <w:rPr>
          <w:rFonts w:hint="cs"/>
          <w:rtl/>
        </w:rPr>
        <w:t xml:space="preserve">אשמח </w:t>
      </w:r>
      <w:bookmarkStart w:id="67208" w:name="_ETM_Q118_247459"/>
      <w:bookmarkEnd w:id="67208"/>
      <w:r>
        <w:rPr>
          <w:rFonts w:hint="cs"/>
          <w:rtl/>
        </w:rPr>
        <w:t xml:space="preserve">לראות </w:t>
      </w:r>
      <w:bookmarkStart w:id="67209" w:name="_ETM_Q118_247759"/>
      <w:bookmarkEnd w:id="67209"/>
      <w:r>
        <w:rPr>
          <w:rFonts w:hint="cs"/>
          <w:rtl/>
        </w:rPr>
        <w:t xml:space="preserve">מה </w:t>
      </w:r>
      <w:bookmarkStart w:id="67210" w:name="_ETM_Q118_247880"/>
      <w:bookmarkEnd w:id="67210"/>
      <w:r>
        <w:rPr>
          <w:rFonts w:hint="cs"/>
          <w:rtl/>
        </w:rPr>
        <w:t xml:space="preserve">קורה </w:t>
      </w:r>
      <w:bookmarkStart w:id="67211" w:name="_ETM_Q118_248150"/>
      <w:bookmarkEnd w:id="67211"/>
      <w:r>
        <w:rPr>
          <w:rFonts w:hint="cs"/>
          <w:rtl/>
        </w:rPr>
        <w:t xml:space="preserve">עם </w:t>
      </w:r>
      <w:bookmarkStart w:id="67212" w:name="_ETM_Q118_248240"/>
      <w:bookmarkEnd w:id="67212"/>
      <w:r>
        <w:rPr>
          <w:rFonts w:hint="cs"/>
          <w:rtl/>
        </w:rPr>
        <w:t xml:space="preserve">זה. </w:t>
      </w:r>
      <w:bookmarkStart w:id="67213" w:name="_ETM_Q118_249319"/>
      <w:bookmarkEnd w:id="67213"/>
      <w:r>
        <w:rPr>
          <w:rFonts w:hint="cs"/>
          <w:rtl/>
        </w:rPr>
        <w:t xml:space="preserve">כמה </w:t>
      </w:r>
      <w:bookmarkStart w:id="67214" w:name="_ETM_Q118_249650"/>
      <w:bookmarkEnd w:id="67214"/>
      <w:r>
        <w:rPr>
          <w:rFonts w:hint="cs"/>
          <w:rtl/>
        </w:rPr>
        <w:t xml:space="preserve">מהר. </w:t>
      </w:r>
      <w:bookmarkStart w:id="67215" w:name="_ETM_Q118_250290"/>
      <w:bookmarkEnd w:id="67215"/>
      <w:r>
        <w:rPr>
          <w:rFonts w:hint="cs"/>
          <w:rtl/>
        </w:rPr>
        <w:t xml:space="preserve">כמה </w:t>
      </w:r>
      <w:bookmarkStart w:id="67216" w:name="_ETM_Q118_250709"/>
      <w:bookmarkEnd w:id="67216"/>
      <w:r>
        <w:rPr>
          <w:rFonts w:hint="cs"/>
          <w:rtl/>
        </w:rPr>
        <w:t xml:space="preserve">הם </w:t>
      </w:r>
      <w:bookmarkStart w:id="67217" w:name="_ETM_Q118_250830"/>
      <w:bookmarkEnd w:id="67217"/>
      <w:r>
        <w:rPr>
          <w:rFonts w:hint="cs"/>
          <w:rtl/>
        </w:rPr>
        <w:t xml:space="preserve">יצטרכו </w:t>
      </w:r>
      <w:bookmarkStart w:id="67218" w:name="_ETM_Q118_251190"/>
      <w:bookmarkEnd w:id="67218"/>
      <w:r>
        <w:rPr>
          <w:rFonts w:hint="cs"/>
          <w:rtl/>
        </w:rPr>
        <w:t xml:space="preserve">לחכות </w:t>
      </w:r>
      <w:bookmarkStart w:id="67219" w:name="_ETM_Q118_251730"/>
      <w:bookmarkEnd w:id="67219"/>
      <w:r>
        <w:rPr>
          <w:rFonts w:hint="cs"/>
          <w:rtl/>
        </w:rPr>
        <w:t xml:space="preserve">כדי </w:t>
      </w:r>
      <w:bookmarkStart w:id="67220" w:name="_ETM_Q118_251940"/>
      <w:bookmarkEnd w:id="67220"/>
      <w:r w:rsidR="002F1C45">
        <w:rPr>
          <w:rFonts w:hint="cs"/>
          <w:rtl/>
        </w:rPr>
        <w:t>שת</w:t>
      </w:r>
      <w:r>
        <w:rPr>
          <w:rFonts w:hint="cs"/>
          <w:rtl/>
        </w:rPr>
        <w:t xml:space="preserve">היה </w:t>
      </w:r>
      <w:bookmarkStart w:id="67221" w:name="_ETM_Q118_252150"/>
      <w:bookmarkEnd w:id="67221"/>
      <w:r>
        <w:rPr>
          <w:rFonts w:hint="cs"/>
          <w:rtl/>
        </w:rPr>
        <w:t xml:space="preserve">להם </w:t>
      </w:r>
      <w:bookmarkStart w:id="67222" w:name="_ETM_Q118_252300"/>
      <w:bookmarkEnd w:id="67222"/>
      <w:r>
        <w:rPr>
          <w:rFonts w:hint="cs"/>
          <w:rtl/>
        </w:rPr>
        <w:t xml:space="preserve">מחלקת </w:t>
      </w:r>
      <w:bookmarkStart w:id="67223" w:name="_ETM_Q118_252690"/>
      <w:bookmarkEnd w:id="67223"/>
      <w:r>
        <w:rPr>
          <w:rFonts w:hint="cs"/>
          <w:rtl/>
        </w:rPr>
        <w:t xml:space="preserve">אורתופדיה </w:t>
      </w:r>
      <w:bookmarkStart w:id="67224" w:name="_ETM_Q118_253200"/>
      <w:bookmarkEnd w:id="67224"/>
      <w:r>
        <w:rPr>
          <w:rFonts w:hint="cs"/>
          <w:rtl/>
        </w:rPr>
        <w:t xml:space="preserve">ראויה </w:t>
      </w:r>
      <w:bookmarkStart w:id="67225" w:name="_ETM_Q118_253590"/>
      <w:bookmarkEnd w:id="67225"/>
      <w:r>
        <w:rPr>
          <w:rFonts w:hint="cs"/>
          <w:rtl/>
        </w:rPr>
        <w:t>באילת</w:t>
      </w:r>
      <w:r w:rsidR="002F1C45">
        <w:rPr>
          <w:rFonts w:hint="cs"/>
          <w:rtl/>
        </w:rPr>
        <w:t>,</w:t>
      </w:r>
      <w:r>
        <w:rPr>
          <w:rFonts w:hint="cs"/>
          <w:rtl/>
        </w:rPr>
        <w:t xml:space="preserve"> </w:t>
      </w:r>
      <w:bookmarkStart w:id="67226" w:name="_ETM_Q118_253980"/>
      <w:bookmarkEnd w:id="67226"/>
      <w:r w:rsidR="002F1C45">
        <w:rPr>
          <w:rFonts w:hint="cs"/>
          <w:rtl/>
        </w:rPr>
        <w:t>ו</w:t>
      </w:r>
      <w:r>
        <w:rPr>
          <w:rFonts w:hint="cs"/>
          <w:rtl/>
        </w:rPr>
        <w:t xml:space="preserve">כשמישהו </w:t>
      </w:r>
      <w:bookmarkStart w:id="67227" w:name="_ETM_Q118_254280"/>
      <w:bookmarkEnd w:id="67227"/>
      <w:r>
        <w:rPr>
          <w:rFonts w:hint="cs"/>
          <w:rtl/>
        </w:rPr>
        <w:t xml:space="preserve">שובר </w:t>
      </w:r>
      <w:bookmarkStart w:id="67228" w:name="_ETM_Q118_254580"/>
      <w:bookmarkEnd w:id="67228"/>
      <w:r>
        <w:rPr>
          <w:rFonts w:hint="cs"/>
          <w:rtl/>
        </w:rPr>
        <w:t xml:space="preserve">את </w:t>
      </w:r>
      <w:bookmarkStart w:id="67229" w:name="_ETM_Q118_254730"/>
      <w:bookmarkEnd w:id="67229"/>
      <w:r>
        <w:rPr>
          <w:rFonts w:hint="cs"/>
          <w:rtl/>
        </w:rPr>
        <w:t xml:space="preserve">המרפק הוא </w:t>
      </w:r>
      <w:bookmarkStart w:id="67230" w:name="_ETM_Q118_255630"/>
      <w:bookmarkEnd w:id="67230"/>
      <w:r>
        <w:rPr>
          <w:rFonts w:hint="cs"/>
          <w:rtl/>
        </w:rPr>
        <w:t xml:space="preserve">לא </w:t>
      </w:r>
      <w:bookmarkStart w:id="67231" w:name="_ETM_Q118_255750"/>
      <w:bookmarkEnd w:id="67231"/>
      <w:r>
        <w:rPr>
          <w:rFonts w:hint="cs"/>
          <w:rtl/>
        </w:rPr>
        <w:t xml:space="preserve">יצטרך </w:t>
      </w:r>
      <w:bookmarkStart w:id="67232" w:name="_ETM_Q118_256020"/>
      <w:bookmarkEnd w:id="67232"/>
      <w:r>
        <w:rPr>
          <w:rFonts w:hint="cs"/>
          <w:rtl/>
        </w:rPr>
        <w:t xml:space="preserve">לנסוע </w:t>
      </w:r>
      <w:bookmarkStart w:id="67233" w:name="_ETM_Q118_256380"/>
      <w:bookmarkEnd w:id="67233"/>
      <w:r>
        <w:rPr>
          <w:rFonts w:hint="cs"/>
          <w:rtl/>
        </w:rPr>
        <w:t xml:space="preserve">300 </w:t>
      </w:r>
      <w:bookmarkStart w:id="67234" w:name="_ETM_Q118_256770"/>
      <w:bookmarkEnd w:id="67234"/>
      <w:r>
        <w:rPr>
          <w:rFonts w:hint="cs"/>
          <w:rtl/>
        </w:rPr>
        <w:t xml:space="preserve">קילומטר </w:t>
      </w:r>
      <w:bookmarkStart w:id="67235" w:name="_ETM_Q118_257220"/>
      <w:bookmarkEnd w:id="67235"/>
      <w:r>
        <w:rPr>
          <w:rFonts w:hint="cs"/>
          <w:rtl/>
        </w:rPr>
        <w:t xml:space="preserve">כדי </w:t>
      </w:r>
      <w:bookmarkStart w:id="67236" w:name="_ETM_Q118_257490"/>
      <w:bookmarkEnd w:id="67236"/>
      <w:r>
        <w:rPr>
          <w:rFonts w:hint="cs"/>
          <w:rtl/>
        </w:rPr>
        <w:t xml:space="preserve">שיגבסו </w:t>
      </w:r>
      <w:bookmarkStart w:id="67237" w:name="_ETM_Q118_258450"/>
      <w:bookmarkEnd w:id="67237"/>
      <w:r>
        <w:rPr>
          <w:rFonts w:hint="cs"/>
          <w:rtl/>
        </w:rPr>
        <w:t xml:space="preserve">אותו. </w:t>
      </w:r>
      <w:bookmarkStart w:id="67238" w:name="_ETM_Q118_259850"/>
      <w:bookmarkEnd w:id="67238"/>
      <w:r>
        <w:rPr>
          <w:rFonts w:hint="cs"/>
          <w:rtl/>
        </w:rPr>
        <w:t xml:space="preserve">באיזה </w:t>
      </w:r>
      <w:bookmarkStart w:id="67239" w:name="_ETM_Q118_260270"/>
      <w:bookmarkEnd w:id="67239"/>
      <w:r>
        <w:rPr>
          <w:rFonts w:hint="cs"/>
          <w:rtl/>
        </w:rPr>
        <w:t xml:space="preserve">עולם </w:t>
      </w:r>
      <w:bookmarkStart w:id="67240" w:name="_ETM_Q118_260510"/>
      <w:bookmarkEnd w:id="67240"/>
      <w:r>
        <w:rPr>
          <w:rFonts w:hint="cs"/>
          <w:rtl/>
        </w:rPr>
        <w:t xml:space="preserve">זה </w:t>
      </w:r>
      <w:bookmarkStart w:id="67241" w:name="_ETM_Q118_260630"/>
      <w:bookmarkEnd w:id="67241"/>
      <w:r>
        <w:rPr>
          <w:rFonts w:hint="cs"/>
          <w:rtl/>
        </w:rPr>
        <w:t xml:space="preserve">נשמע </w:t>
      </w:r>
      <w:bookmarkStart w:id="67242" w:name="_ETM_Q118_261470"/>
      <w:bookmarkEnd w:id="67242"/>
      <w:r>
        <w:rPr>
          <w:rFonts w:hint="cs"/>
          <w:rtl/>
        </w:rPr>
        <w:t xml:space="preserve">הגיוני? </w:t>
      </w:r>
      <w:bookmarkStart w:id="67243" w:name="_ETM_Q118_262160"/>
      <w:bookmarkEnd w:id="67243"/>
      <w:r>
        <w:rPr>
          <w:rFonts w:hint="cs"/>
          <w:rtl/>
        </w:rPr>
        <w:t xml:space="preserve">באיזה </w:t>
      </w:r>
      <w:bookmarkStart w:id="67244" w:name="_ETM_Q118_262970"/>
      <w:bookmarkEnd w:id="67244"/>
      <w:r>
        <w:rPr>
          <w:rFonts w:hint="cs"/>
          <w:rtl/>
        </w:rPr>
        <w:t xml:space="preserve">עולם? </w:t>
      </w:r>
      <w:bookmarkStart w:id="67245" w:name="_ETM_Q118_263510"/>
      <w:bookmarkEnd w:id="67245"/>
      <w:r>
        <w:rPr>
          <w:rFonts w:hint="cs"/>
          <w:rtl/>
        </w:rPr>
        <w:t xml:space="preserve">אני </w:t>
      </w:r>
      <w:bookmarkStart w:id="67246" w:name="_ETM_Q118_263690"/>
      <w:bookmarkEnd w:id="67246"/>
      <w:r>
        <w:rPr>
          <w:rFonts w:hint="cs"/>
          <w:rtl/>
        </w:rPr>
        <w:t xml:space="preserve">מנסה </w:t>
      </w:r>
      <w:bookmarkStart w:id="67247" w:name="_ETM_Q118_263930"/>
      <w:bookmarkEnd w:id="67247"/>
      <w:r>
        <w:rPr>
          <w:rFonts w:hint="cs"/>
          <w:rtl/>
        </w:rPr>
        <w:t xml:space="preserve">להבין. </w:t>
      </w:r>
      <w:bookmarkStart w:id="67248" w:name="_ETM_Q118_265440"/>
      <w:bookmarkEnd w:id="67248"/>
      <w:r>
        <w:rPr>
          <w:rFonts w:hint="cs"/>
          <w:rtl/>
        </w:rPr>
        <w:t xml:space="preserve">כמה </w:t>
      </w:r>
      <w:bookmarkStart w:id="67249" w:name="_ETM_Q118_265740"/>
      <w:bookmarkEnd w:id="67249"/>
      <w:r>
        <w:rPr>
          <w:rFonts w:hint="cs"/>
          <w:rtl/>
        </w:rPr>
        <w:t xml:space="preserve">שנים </w:t>
      </w:r>
      <w:bookmarkStart w:id="67250" w:name="_ETM_Q118_266010"/>
      <w:bookmarkEnd w:id="67250"/>
      <w:r>
        <w:rPr>
          <w:rFonts w:hint="cs"/>
          <w:rtl/>
        </w:rPr>
        <w:t xml:space="preserve">אילת </w:t>
      </w:r>
      <w:bookmarkStart w:id="67251" w:name="_ETM_Q118_266220"/>
      <w:bookmarkEnd w:id="67251"/>
      <w:r>
        <w:rPr>
          <w:rFonts w:hint="cs"/>
          <w:rtl/>
        </w:rPr>
        <w:t xml:space="preserve">צריכה </w:t>
      </w:r>
      <w:bookmarkStart w:id="67252" w:name="_ETM_Q118_266459"/>
      <w:bookmarkEnd w:id="67252"/>
      <w:r>
        <w:rPr>
          <w:rFonts w:hint="cs"/>
          <w:rtl/>
        </w:rPr>
        <w:t xml:space="preserve">להתקיים </w:t>
      </w:r>
      <w:bookmarkStart w:id="67253" w:name="_ETM_Q118_266940"/>
      <w:bookmarkEnd w:id="67253"/>
      <w:r>
        <w:rPr>
          <w:rFonts w:hint="cs"/>
          <w:rtl/>
        </w:rPr>
        <w:t xml:space="preserve">כדי </w:t>
      </w:r>
      <w:bookmarkStart w:id="67254" w:name="_ETM_Q118_267150"/>
      <w:bookmarkEnd w:id="67254"/>
      <w:r>
        <w:rPr>
          <w:rFonts w:hint="cs"/>
          <w:rtl/>
        </w:rPr>
        <w:t xml:space="preserve">לקבל </w:t>
      </w:r>
      <w:bookmarkStart w:id="67255" w:name="_ETM_Q118_267420"/>
      <w:bookmarkEnd w:id="67255"/>
      <w:r>
        <w:rPr>
          <w:rFonts w:hint="cs"/>
          <w:rtl/>
        </w:rPr>
        <w:t xml:space="preserve">את </w:t>
      </w:r>
      <w:bookmarkStart w:id="67256" w:name="_ETM_Q118_267510"/>
      <w:bookmarkEnd w:id="67256"/>
      <w:r>
        <w:rPr>
          <w:rFonts w:hint="cs"/>
          <w:rtl/>
        </w:rPr>
        <w:t xml:space="preserve">השירותים </w:t>
      </w:r>
      <w:bookmarkStart w:id="67257" w:name="_ETM_Q118_268170"/>
      <w:bookmarkEnd w:id="67257"/>
      <w:r>
        <w:rPr>
          <w:rFonts w:hint="cs"/>
          <w:rtl/>
        </w:rPr>
        <w:t xml:space="preserve">כמו – </w:t>
      </w:r>
      <w:bookmarkStart w:id="67258" w:name="_ETM_Q118_268410"/>
      <w:bookmarkEnd w:id="67258"/>
      <w:r>
        <w:rPr>
          <w:rFonts w:hint="cs"/>
          <w:rtl/>
        </w:rPr>
        <w:t xml:space="preserve">אתה </w:t>
      </w:r>
      <w:bookmarkStart w:id="67259" w:name="_ETM_Q118_268590"/>
      <w:bookmarkEnd w:id="67259"/>
      <w:r>
        <w:rPr>
          <w:rFonts w:hint="cs"/>
          <w:rtl/>
        </w:rPr>
        <w:t xml:space="preserve">יודע </w:t>
      </w:r>
      <w:bookmarkStart w:id="67260" w:name="_ETM_Q118_268830"/>
      <w:bookmarkEnd w:id="67260"/>
      <w:r>
        <w:rPr>
          <w:rFonts w:hint="cs"/>
          <w:rtl/>
        </w:rPr>
        <w:t>מה</w:t>
      </w:r>
      <w:r w:rsidR="002F1C45">
        <w:rPr>
          <w:rFonts w:hint="cs"/>
          <w:rtl/>
        </w:rPr>
        <w:t>,</w:t>
      </w:r>
      <w:r>
        <w:rPr>
          <w:rFonts w:hint="cs"/>
          <w:rtl/>
        </w:rPr>
        <w:t xml:space="preserve"> </w:t>
      </w:r>
      <w:bookmarkStart w:id="67261" w:name="_ETM_Q118_268980"/>
      <w:bookmarkEnd w:id="67261"/>
      <w:r>
        <w:rPr>
          <w:rFonts w:hint="cs"/>
          <w:rtl/>
        </w:rPr>
        <w:t xml:space="preserve">באר-שבע. </w:t>
      </w:r>
      <w:bookmarkStart w:id="67262" w:name="_ETM_Q118_269880"/>
      <w:bookmarkStart w:id="67263" w:name="_ETM_Q118_270060"/>
      <w:bookmarkEnd w:id="67262"/>
      <w:bookmarkEnd w:id="67263"/>
      <w:r>
        <w:rPr>
          <w:rFonts w:hint="cs"/>
          <w:rtl/>
        </w:rPr>
        <w:t xml:space="preserve">לא </w:t>
      </w:r>
      <w:bookmarkStart w:id="67264" w:name="_ETM_Q118_270120"/>
      <w:bookmarkEnd w:id="67264"/>
      <w:r>
        <w:rPr>
          <w:rFonts w:hint="cs"/>
          <w:rtl/>
        </w:rPr>
        <w:t xml:space="preserve">אגיד </w:t>
      </w:r>
      <w:bookmarkStart w:id="67265" w:name="_ETM_Q118_270330"/>
      <w:bookmarkEnd w:id="67265"/>
      <w:r>
        <w:rPr>
          <w:rFonts w:hint="cs"/>
          <w:rtl/>
        </w:rPr>
        <w:t xml:space="preserve">פתח </w:t>
      </w:r>
      <w:bookmarkStart w:id="67266" w:name="_ETM_Q118_270600"/>
      <w:bookmarkEnd w:id="67266"/>
      <w:r>
        <w:rPr>
          <w:rFonts w:hint="cs"/>
          <w:rtl/>
        </w:rPr>
        <w:t xml:space="preserve">תקווה, </w:t>
      </w:r>
      <w:bookmarkStart w:id="67267" w:name="_ETM_Q118_271260"/>
      <w:bookmarkEnd w:id="67267"/>
      <w:r>
        <w:rPr>
          <w:rFonts w:hint="cs"/>
          <w:rtl/>
        </w:rPr>
        <w:t xml:space="preserve">כי </w:t>
      </w:r>
      <w:bookmarkStart w:id="67268" w:name="_ETM_Q118_271440"/>
      <w:bookmarkEnd w:id="67268"/>
      <w:r>
        <w:rPr>
          <w:rFonts w:hint="cs"/>
          <w:rtl/>
        </w:rPr>
        <w:t xml:space="preserve">רמי </w:t>
      </w:r>
      <w:bookmarkStart w:id="67269" w:name="_ETM_Q118_271650"/>
      <w:bookmarkEnd w:id="67269"/>
      <w:r>
        <w:rPr>
          <w:rFonts w:hint="cs"/>
          <w:rtl/>
        </w:rPr>
        <w:t xml:space="preserve">גרינברג </w:t>
      </w:r>
      <w:bookmarkStart w:id="67270" w:name="_ETM_Q118_272100"/>
      <w:bookmarkEnd w:id="67270"/>
      <w:r>
        <w:rPr>
          <w:rFonts w:hint="cs"/>
          <w:rtl/>
        </w:rPr>
        <w:t xml:space="preserve">דואג </w:t>
      </w:r>
      <w:bookmarkStart w:id="67271" w:name="_ETM_Q118_272430"/>
      <w:bookmarkEnd w:id="67271"/>
      <w:r>
        <w:rPr>
          <w:rFonts w:hint="cs"/>
          <w:rtl/>
        </w:rPr>
        <w:t xml:space="preserve">לכם </w:t>
      </w:r>
      <w:bookmarkStart w:id="67272" w:name="_ETM_Q118_272730"/>
      <w:bookmarkEnd w:id="67272"/>
      <w:r>
        <w:rPr>
          <w:rFonts w:hint="cs"/>
          <w:rtl/>
        </w:rPr>
        <w:t xml:space="preserve">בפתח </w:t>
      </w:r>
      <w:bookmarkStart w:id="67273" w:name="_ETM_Q118_273090"/>
      <w:bookmarkEnd w:id="67273"/>
      <w:r>
        <w:rPr>
          <w:rFonts w:hint="cs"/>
          <w:rtl/>
        </w:rPr>
        <w:t xml:space="preserve">תקווה </w:t>
      </w:r>
      <w:bookmarkStart w:id="67274" w:name="_ETM_Q118_274360"/>
      <w:bookmarkEnd w:id="67274"/>
      <w:r>
        <w:rPr>
          <w:rFonts w:hint="cs"/>
          <w:rtl/>
        </w:rPr>
        <w:t xml:space="preserve">ברמת </w:t>
      </w:r>
      <w:bookmarkStart w:id="67275" w:name="_ETM_Q118_274900"/>
      <w:bookmarkEnd w:id="67275"/>
      <w:r>
        <w:rPr>
          <w:rFonts w:hint="cs"/>
          <w:rtl/>
        </w:rPr>
        <w:t>ה</w:t>
      </w:r>
      <w:bookmarkStart w:id="67276" w:name="_ETM_Q118_276440"/>
      <w:bookmarkEnd w:id="67276"/>
      <w:r>
        <w:rPr>
          <w:rFonts w:hint="cs"/>
          <w:rtl/>
        </w:rPr>
        <w:t xml:space="preserve">פח – </w:t>
      </w:r>
      <w:bookmarkStart w:id="67277" w:name="_ETM_Q118_277520"/>
      <w:bookmarkEnd w:id="67277"/>
      <w:r>
        <w:rPr>
          <w:rFonts w:hint="cs"/>
          <w:rtl/>
        </w:rPr>
        <w:t xml:space="preserve">ונראה </w:t>
      </w:r>
      <w:bookmarkStart w:id="67278" w:name="_ETM_Q118_277790"/>
      <w:bookmarkEnd w:id="67278"/>
      <w:r>
        <w:rPr>
          <w:rFonts w:hint="cs"/>
          <w:rtl/>
        </w:rPr>
        <w:t xml:space="preserve">שאין </w:t>
      </w:r>
      <w:bookmarkStart w:id="67279" w:name="_ETM_Q118_278060"/>
      <w:bookmarkEnd w:id="67279"/>
      <w:r>
        <w:rPr>
          <w:rFonts w:hint="cs"/>
          <w:rtl/>
        </w:rPr>
        <w:t xml:space="preserve">שקית </w:t>
      </w:r>
      <w:bookmarkStart w:id="67280" w:name="_ETM_Q118_278450"/>
      <w:bookmarkEnd w:id="67280"/>
      <w:r>
        <w:rPr>
          <w:rFonts w:hint="cs"/>
          <w:rtl/>
        </w:rPr>
        <w:t xml:space="preserve">בפח, </w:t>
      </w:r>
      <w:bookmarkStart w:id="67281" w:name="_ETM_Q118_278810"/>
      <w:bookmarkEnd w:id="67281"/>
      <w:r>
        <w:rPr>
          <w:rFonts w:hint="cs"/>
          <w:rtl/>
        </w:rPr>
        <w:t xml:space="preserve">נכון? </w:t>
      </w:r>
      <w:bookmarkStart w:id="67282" w:name="_ETM_Q118_281840"/>
      <w:bookmarkEnd w:id="67282"/>
      <w:r>
        <w:rPr>
          <w:rFonts w:hint="cs"/>
          <w:rtl/>
        </w:rPr>
        <w:t xml:space="preserve">אתה </w:t>
      </w:r>
      <w:bookmarkStart w:id="67283" w:name="_ETM_Q118_281959"/>
      <w:bookmarkEnd w:id="67283"/>
      <w:r>
        <w:rPr>
          <w:rFonts w:hint="cs"/>
          <w:rtl/>
        </w:rPr>
        <w:t xml:space="preserve">מסכים. </w:t>
      </w:r>
      <w:bookmarkStart w:id="67284" w:name="_ETM_Q118_282999"/>
      <w:bookmarkEnd w:id="67284"/>
    </w:p>
    <w:p w:rsidR="00BB59CD" w:rsidRDefault="00BB59CD" w:rsidP="00BB59CD">
      <w:pPr>
        <w:rPr>
          <w:rtl/>
        </w:rPr>
      </w:pPr>
      <w:bookmarkStart w:id="67285" w:name="_ETM_Q118_284849"/>
      <w:bookmarkStart w:id="67286" w:name="_ETM_Q118_284938"/>
      <w:bookmarkEnd w:id="67285"/>
      <w:bookmarkEnd w:id="67286"/>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67287" w:name="_ETM_Q118_286566"/>
      <w:bookmarkEnd w:id="67287"/>
      <w:r>
        <w:rPr>
          <w:rFonts w:hint="cs"/>
          <w:rtl/>
        </w:rPr>
        <w:t>לא, לא מגיב.</w:t>
      </w:r>
    </w:p>
    <w:p w:rsidR="00BB59CD" w:rsidRDefault="00BB59CD" w:rsidP="00BB59CD">
      <w:pPr>
        <w:rPr>
          <w:rtl/>
        </w:rPr>
      </w:pPr>
      <w:bookmarkStart w:id="67288" w:name="_ETM_Q118_286409"/>
      <w:bookmarkStart w:id="67289" w:name="_ETM_Q118_286492"/>
      <w:bookmarkEnd w:id="67288"/>
      <w:bookmarkEnd w:id="67289"/>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67290" w:name="_ETM_Q118_287491"/>
      <w:bookmarkEnd w:id="67290"/>
      <w:r>
        <w:rPr>
          <w:rFonts w:hint="cs"/>
          <w:rtl/>
        </w:rPr>
        <w:t xml:space="preserve">אמרתי רמי גרינברג </w:t>
      </w:r>
      <w:bookmarkStart w:id="67291" w:name="_ETM_Q118_288043"/>
      <w:bookmarkEnd w:id="67291"/>
      <w:r>
        <w:rPr>
          <w:rFonts w:hint="cs"/>
          <w:rtl/>
        </w:rPr>
        <w:t xml:space="preserve">– </w:t>
      </w:r>
      <w:bookmarkStart w:id="67292" w:name="_ETM_Q118_285040"/>
      <w:bookmarkStart w:id="67293" w:name="_ETM_Q118_285104"/>
      <w:bookmarkStart w:id="67294" w:name="_ETM_Q118_283959"/>
      <w:bookmarkStart w:id="67295" w:name="_ETM_Q118_284439"/>
      <w:bookmarkStart w:id="67296" w:name="_ETM_Q118_284619"/>
      <w:bookmarkStart w:id="67297" w:name="_ETM_Q118_285470"/>
      <w:bookmarkStart w:id="67298" w:name="_ETM_Q118_285799"/>
      <w:bookmarkStart w:id="67299" w:name="_ETM_Q118_286069"/>
      <w:bookmarkStart w:id="67300" w:name="_ETM_Q118_286430"/>
      <w:bookmarkStart w:id="67301" w:name="_ETM_Q118_287330"/>
      <w:bookmarkEnd w:id="67292"/>
      <w:bookmarkEnd w:id="67293"/>
      <w:bookmarkEnd w:id="67294"/>
      <w:bookmarkEnd w:id="67295"/>
      <w:bookmarkEnd w:id="67296"/>
      <w:bookmarkEnd w:id="67297"/>
      <w:bookmarkEnd w:id="67298"/>
      <w:bookmarkEnd w:id="67299"/>
      <w:bookmarkEnd w:id="67300"/>
      <w:bookmarkEnd w:id="67301"/>
      <w:r>
        <w:rPr>
          <w:rFonts w:hint="cs"/>
          <w:rtl/>
        </w:rPr>
        <w:t xml:space="preserve">לא </w:t>
      </w:r>
      <w:bookmarkStart w:id="67302" w:name="_ETM_Q118_287450"/>
      <w:bookmarkEnd w:id="67302"/>
      <w:r>
        <w:rPr>
          <w:rFonts w:hint="cs"/>
          <w:rtl/>
        </w:rPr>
        <w:t>מגיבים.</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רמי גרינברג ראש </w:t>
      </w:r>
      <w:bookmarkStart w:id="67303" w:name="_ETM_Q118_288969"/>
      <w:bookmarkStart w:id="67304" w:name="_ETM_Q118_289420"/>
      <w:bookmarkStart w:id="67305" w:name="_ETM_Q118_289840"/>
      <w:bookmarkEnd w:id="67303"/>
      <w:bookmarkEnd w:id="67304"/>
      <w:bookmarkEnd w:id="67305"/>
      <w:r w:rsidR="002F1C45">
        <w:rPr>
          <w:rFonts w:hint="cs"/>
          <w:rtl/>
        </w:rPr>
        <w:t xml:space="preserve">עיר </w:t>
      </w:r>
      <w:r>
        <w:rPr>
          <w:rFonts w:hint="cs"/>
          <w:rtl/>
        </w:rPr>
        <w:t xml:space="preserve">מצוין </w:t>
      </w:r>
      <w:bookmarkStart w:id="67306" w:name="_ETM_Q118_290829"/>
      <w:bookmarkEnd w:id="67306"/>
      <w:r>
        <w:rPr>
          <w:rFonts w:hint="cs"/>
          <w:rtl/>
        </w:rPr>
        <w:t>ללא ספק.</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2F1C45">
      <w:pPr>
        <w:rPr>
          <w:rtl/>
        </w:rPr>
      </w:pPr>
      <w:r>
        <w:rPr>
          <w:rFonts w:hint="cs"/>
          <w:rtl/>
        </w:rPr>
        <w:t xml:space="preserve">רמי גרינברג הוא </w:t>
      </w:r>
      <w:bookmarkStart w:id="67307" w:name="_ETM_Q118_291039"/>
      <w:bookmarkStart w:id="67308" w:name="_ETM_Q118_291399"/>
      <w:bookmarkStart w:id="67309" w:name="_ETM_Q118_291909"/>
      <w:bookmarkEnd w:id="67307"/>
      <w:bookmarkEnd w:id="67308"/>
      <w:bookmarkEnd w:id="67309"/>
      <w:r>
        <w:rPr>
          <w:rFonts w:hint="cs"/>
          <w:rtl/>
        </w:rPr>
        <w:t xml:space="preserve">ראש </w:t>
      </w:r>
      <w:bookmarkStart w:id="67310" w:name="_ETM_Q118_292180"/>
      <w:bookmarkEnd w:id="67310"/>
      <w:r>
        <w:rPr>
          <w:rFonts w:hint="cs"/>
          <w:rtl/>
        </w:rPr>
        <w:t xml:space="preserve">עיר </w:t>
      </w:r>
      <w:bookmarkStart w:id="67311" w:name="_ETM_Q118_292329"/>
      <w:bookmarkEnd w:id="67311"/>
      <w:r>
        <w:rPr>
          <w:rFonts w:hint="cs"/>
          <w:rtl/>
        </w:rPr>
        <w:t xml:space="preserve">מצוין </w:t>
      </w:r>
      <w:bookmarkStart w:id="67312" w:name="_ETM_Q118_292810"/>
      <w:bookmarkEnd w:id="67312"/>
      <w:r>
        <w:rPr>
          <w:rFonts w:hint="cs"/>
          <w:rtl/>
        </w:rPr>
        <w:t xml:space="preserve">לגמרי. </w:t>
      </w:r>
      <w:bookmarkStart w:id="67313" w:name="_ETM_Q118_294240"/>
      <w:bookmarkEnd w:id="67313"/>
      <w:r>
        <w:rPr>
          <w:rFonts w:hint="cs"/>
          <w:rtl/>
        </w:rPr>
        <w:t xml:space="preserve">טוב. </w:t>
      </w:r>
      <w:bookmarkStart w:id="67314" w:name="_ETM_Q118_295200"/>
      <w:bookmarkEnd w:id="67314"/>
      <w:r>
        <w:rPr>
          <w:rFonts w:hint="cs"/>
          <w:rtl/>
        </w:rPr>
        <w:t xml:space="preserve">אתה </w:t>
      </w:r>
      <w:bookmarkStart w:id="67315" w:name="_ETM_Q118_295319"/>
      <w:bookmarkEnd w:id="67315"/>
      <w:r>
        <w:rPr>
          <w:rFonts w:hint="cs"/>
          <w:rtl/>
        </w:rPr>
        <w:t xml:space="preserve">רוצה </w:t>
      </w:r>
      <w:bookmarkStart w:id="67316" w:name="_ETM_Q118_295499"/>
      <w:bookmarkEnd w:id="67316"/>
      <w:r>
        <w:rPr>
          <w:rFonts w:hint="cs"/>
          <w:rtl/>
        </w:rPr>
        <w:t xml:space="preserve">לדבר </w:t>
      </w:r>
      <w:bookmarkStart w:id="67317" w:name="_ETM_Q118_295770"/>
      <w:bookmarkEnd w:id="67317"/>
      <w:r>
        <w:rPr>
          <w:rFonts w:hint="cs"/>
          <w:rtl/>
        </w:rPr>
        <w:t xml:space="preserve">על </w:t>
      </w:r>
      <w:bookmarkStart w:id="67318" w:name="_ETM_Q118_295859"/>
      <w:bookmarkEnd w:id="67318"/>
      <w:r>
        <w:rPr>
          <w:rFonts w:hint="cs"/>
          <w:rtl/>
        </w:rPr>
        <w:t xml:space="preserve">הבחירות </w:t>
      </w:r>
      <w:bookmarkStart w:id="67319" w:name="_ETM_Q118_296219"/>
      <w:bookmarkEnd w:id="67319"/>
      <w:r>
        <w:rPr>
          <w:rFonts w:hint="cs"/>
          <w:rtl/>
        </w:rPr>
        <w:t xml:space="preserve">המוניציפליות </w:t>
      </w:r>
      <w:bookmarkStart w:id="67320" w:name="_ETM_Q118_296850"/>
      <w:bookmarkEnd w:id="67320"/>
      <w:r>
        <w:rPr>
          <w:rFonts w:hint="cs"/>
          <w:rtl/>
        </w:rPr>
        <w:t xml:space="preserve">או </w:t>
      </w:r>
      <w:bookmarkStart w:id="67321" w:name="_ETM_Q118_296939"/>
      <w:bookmarkEnd w:id="67321"/>
      <w:r>
        <w:rPr>
          <w:rFonts w:hint="cs"/>
          <w:rtl/>
        </w:rPr>
        <w:t xml:space="preserve">שאתה </w:t>
      </w:r>
      <w:bookmarkStart w:id="67322" w:name="_ETM_Q118_297090"/>
      <w:bookmarkEnd w:id="67322"/>
      <w:r>
        <w:rPr>
          <w:rFonts w:hint="cs"/>
          <w:rtl/>
        </w:rPr>
        <w:t xml:space="preserve">רוצה </w:t>
      </w:r>
      <w:bookmarkStart w:id="67323" w:name="_ETM_Q118_297329"/>
      <w:bookmarkEnd w:id="67323"/>
      <w:r>
        <w:rPr>
          <w:rFonts w:hint="cs"/>
          <w:rtl/>
        </w:rPr>
        <w:t xml:space="preserve">שתי </w:t>
      </w:r>
      <w:bookmarkStart w:id="67324" w:name="_ETM_Q118_297569"/>
      <w:bookmarkEnd w:id="67324"/>
      <w:r>
        <w:rPr>
          <w:rFonts w:hint="cs"/>
          <w:rtl/>
        </w:rPr>
        <w:t xml:space="preserve">דקות </w:t>
      </w:r>
      <w:bookmarkStart w:id="67325" w:name="_ETM_Q118_297810"/>
      <w:bookmarkEnd w:id="67325"/>
      <w:r>
        <w:rPr>
          <w:rFonts w:hint="cs"/>
          <w:rtl/>
        </w:rPr>
        <w:t xml:space="preserve">שאני </w:t>
      </w:r>
      <w:bookmarkStart w:id="67326" w:name="_ETM_Q118_298289"/>
      <w:bookmarkEnd w:id="67326"/>
      <w:r>
        <w:rPr>
          <w:rFonts w:hint="cs"/>
          <w:rtl/>
        </w:rPr>
        <w:t xml:space="preserve">אמשיך </w:t>
      </w:r>
      <w:bookmarkStart w:id="67327" w:name="_ETM_Q118_298710"/>
      <w:bookmarkEnd w:id="67327"/>
      <w:r>
        <w:rPr>
          <w:rFonts w:hint="cs"/>
          <w:rtl/>
        </w:rPr>
        <w:t xml:space="preserve">ואקריא </w:t>
      </w:r>
      <w:bookmarkStart w:id="67328" w:name="_ETM_Q118_299219"/>
      <w:bookmarkEnd w:id="67328"/>
      <w:r>
        <w:rPr>
          <w:rFonts w:hint="cs"/>
          <w:rtl/>
        </w:rPr>
        <w:t xml:space="preserve">את </w:t>
      </w:r>
      <w:bookmarkStart w:id="67329" w:name="_ETM_Q118_299369"/>
      <w:bookmarkEnd w:id="67329"/>
      <w:r>
        <w:rPr>
          <w:rFonts w:hint="cs"/>
          <w:rtl/>
        </w:rPr>
        <w:t xml:space="preserve">ההישגים </w:t>
      </w:r>
      <w:bookmarkStart w:id="67330" w:name="_ETM_Q118_300240"/>
      <w:bookmarkEnd w:id="67330"/>
      <w:r>
        <w:rPr>
          <w:rFonts w:hint="cs"/>
          <w:rtl/>
        </w:rPr>
        <w:t xml:space="preserve">– </w:t>
      </w:r>
      <w:bookmarkStart w:id="67331" w:name="_ETM_Q118_302226"/>
      <w:bookmarkEnd w:id="67331"/>
      <w:r>
        <w:rPr>
          <w:rFonts w:hint="cs"/>
          <w:rtl/>
        </w:rPr>
        <w:t xml:space="preserve">הפעם </w:t>
      </w:r>
      <w:bookmarkStart w:id="67332" w:name="_ETM_Q118_300569"/>
      <w:bookmarkEnd w:id="67332"/>
      <w:r>
        <w:rPr>
          <w:rFonts w:hint="cs"/>
          <w:rtl/>
        </w:rPr>
        <w:t xml:space="preserve">של </w:t>
      </w:r>
      <w:bookmarkStart w:id="67333" w:name="_ETM_Q118_300749"/>
      <w:bookmarkEnd w:id="67333"/>
      <w:r>
        <w:rPr>
          <w:rFonts w:hint="cs"/>
          <w:rtl/>
        </w:rPr>
        <w:t xml:space="preserve">מירי </w:t>
      </w:r>
      <w:bookmarkStart w:id="67334" w:name="_ETM_Q118_301020"/>
      <w:bookmarkEnd w:id="67334"/>
      <w:r>
        <w:rPr>
          <w:rFonts w:hint="cs"/>
          <w:rtl/>
        </w:rPr>
        <w:t xml:space="preserve">רגב </w:t>
      </w:r>
      <w:bookmarkStart w:id="67335" w:name="_ETM_Q118_301499"/>
      <w:bookmarkEnd w:id="67335"/>
      <w:r>
        <w:rPr>
          <w:rFonts w:hint="cs"/>
          <w:rtl/>
        </w:rPr>
        <w:t>– בתחבורה</w:t>
      </w:r>
      <w:r w:rsidR="002F1C45">
        <w:rPr>
          <w:rFonts w:hint="cs"/>
          <w:rtl/>
        </w:rPr>
        <w:t>,</w:t>
      </w:r>
      <w:r>
        <w:rPr>
          <w:rFonts w:hint="cs"/>
          <w:rtl/>
        </w:rPr>
        <w:t xml:space="preserve"> </w:t>
      </w:r>
      <w:bookmarkStart w:id="67336" w:name="_ETM_Q118_302189"/>
      <w:bookmarkEnd w:id="67336"/>
      <w:r>
        <w:rPr>
          <w:rFonts w:hint="cs"/>
          <w:rtl/>
        </w:rPr>
        <w:t xml:space="preserve">לקידום </w:t>
      </w:r>
      <w:bookmarkStart w:id="67337" w:name="_ETM_Q118_302579"/>
      <w:bookmarkEnd w:id="67337"/>
      <w:r>
        <w:rPr>
          <w:rFonts w:hint="cs"/>
          <w:rtl/>
        </w:rPr>
        <w:t xml:space="preserve">תחבורה </w:t>
      </w:r>
      <w:bookmarkStart w:id="67338" w:name="_ETM_Q118_302969"/>
      <w:bookmarkEnd w:id="67338"/>
      <w:r>
        <w:rPr>
          <w:rFonts w:hint="cs"/>
          <w:rtl/>
        </w:rPr>
        <w:t xml:space="preserve">ציבורית </w:t>
      </w:r>
      <w:bookmarkStart w:id="67339" w:name="_ETM_Q118_303479"/>
      <w:bookmarkEnd w:id="67339"/>
      <w:r>
        <w:rPr>
          <w:rFonts w:hint="cs"/>
          <w:rtl/>
        </w:rPr>
        <w:t xml:space="preserve">הוגנת </w:t>
      </w:r>
      <w:bookmarkStart w:id="67340" w:name="_ETM_Q118_303869"/>
      <w:bookmarkEnd w:id="67340"/>
      <w:r>
        <w:rPr>
          <w:rFonts w:hint="cs"/>
          <w:rtl/>
        </w:rPr>
        <w:t xml:space="preserve">ושוויונית </w:t>
      </w:r>
      <w:bookmarkStart w:id="67341" w:name="_ETM_Q118_304409"/>
      <w:bookmarkEnd w:id="67341"/>
      <w:r>
        <w:rPr>
          <w:rFonts w:hint="cs"/>
          <w:rtl/>
        </w:rPr>
        <w:t xml:space="preserve">במדינת </w:t>
      </w:r>
      <w:bookmarkStart w:id="67342" w:name="_ETM_Q118_304829"/>
      <w:bookmarkEnd w:id="67342"/>
      <w:r>
        <w:rPr>
          <w:rFonts w:hint="cs"/>
          <w:rtl/>
        </w:rPr>
        <w:t>ישראל</w:t>
      </w:r>
      <w:r w:rsidR="002F1C45">
        <w:rPr>
          <w:rFonts w:hint="cs"/>
          <w:rtl/>
        </w:rPr>
        <w:t>,</w:t>
      </w:r>
      <w:r>
        <w:rPr>
          <w:rFonts w:hint="cs"/>
          <w:rtl/>
        </w:rPr>
        <w:t xml:space="preserve"> </w:t>
      </w:r>
      <w:bookmarkStart w:id="67343" w:name="_ETM_Q118_306450"/>
      <w:bookmarkStart w:id="67344" w:name="_ETM_Q118_306780"/>
      <w:bookmarkEnd w:id="67343"/>
      <w:bookmarkEnd w:id="67344"/>
      <w:r>
        <w:rPr>
          <w:rFonts w:hint="cs"/>
          <w:rtl/>
        </w:rPr>
        <w:t xml:space="preserve">מה </w:t>
      </w:r>
      <w:bookmarkStart w:id="67345" w:name="_ETM_Q118_306929"/>
      <w:bookmarkEnd w:id="67345"/>
      <w:r>
        <w:rPr>
          <w:rFonts w:hint="cs"/>
          <w:rtl/>
        </w:rPr>
        <w:t xml:space="preserve">אתם </w:t>
      </w:r>
      <w:bookmarkStart w:id="67346" w:name="_ETM_Q118_307109"/>
      <w:bookmarkEnd w:id="67346"/>
      <w:r>
        <w:rPr>
          <w:rFonts w:hint="cs"/>
          <w:rtl/>
        </w:rPr>
        <w:t>מעדיפים</w:t>
      </w:r>
      <w:r w:rsidR="002F1C45">
        <w:rPr>
          <w:rFonts w:hint="cs"/>
          <w:rtl/>
        </w:rPr>
        <w:t>,</w:t>
      </w:r>
      <w:r>
        <w:rPr>
          <w:rFonts w:hint="cs"/>
          <w:rtl/>
        </w:rPr>
        <w:t xml:space="preserve"> </w:t>
      </w:r>
      <w:bookmarkStart w:id="67347" w:name="_ETM_Q118_309159"/>
      <w:bookmarkEnd w:id="67347"/>
      <w:r>
        <w:rPr>
          <w:rFonts w:hint="cs"/>
          <w:rtl/>
        </w:rPr>
        <w:t xml:space="preserve">או </w:t>
      </w:r>
      <w:bookmarkStart w:id="67348" w:name="_ETM_Q118_309310"/>
      <w:bookmarkEnd w:id="67348"/>
      <w:r>
        <w:rPr>
          <w:rFonts w:hint="cs"/>
          <w:rtl/>
        </w:rPr>
        <w:t xml:space="preserve">לקידום </w:t>
      </w:r>
      <w:bookmarkStart w:id="67349" w:name="_ETM_Q118_309760"/>
      <w:bookmarkEnd w:id="67349"/>
      <w:r>
        <w:rPr>
          <w:rFonts w:hint="cs"/>
          <w:rtl/>
        </w:rPr>
        <w:t xml:space="preserve">פרויקט </w:t>
      </w:r>
      <w:bookmarkStart w:id="67350" w:name="_ETM_Q118_310150"/>
      <w:bookmarkEnd w:id="67350"/>
      <w:r>
        <w:rPr>
          <w:rFonts w:hint="cs"/>
          <w:rtl/>
        </w:rPr>
        <w:t>המטרו</w:t>
      </w:r>
      <w:r w:rsidR="002F1C45">
        <w:rPr>
          <w:rFonts w:hint="cs"/>
          <w:rtl/>
        </w:rPr>
        <w:t>?</w:t>
      </w:r>
      <w:r>
        <w:rPr>
          <w:rFonts w:hint="cs"/>
          <w:rtl/>
        </w:rPr>
        <w:t xml:space="preserve"> </w:t>
      </w:r>
      <w:bookmarkStart w:id="67351" w:name="_ETM_Q118_311099"/>
      <w:bookmarkEnd w:id="67351"/>
      <w:r>
        <w:rPr>
          <w:rFonts w:hint="cs"/>
          <w:rtl/>
        </w:rPr>
        <w:t>וא</w:t>
      </w:r>
      <w:r w:rsidR="002F1C45">
        <w:rPr>
          <w:rFonts w:hint="cs"/>
          <w:rtl/>
        </w:rPr>
        <w:t>ל</w:t>
      </w:r>
      <w:r>
        <w:rPr>
          <w:rFonts w:hint="cs"/>
          <w:rtl/>
        </w:rPr>
        <w:t xml:space="preserve">לה, </w:t>
      </w:r>
      <w:bookmarkStart w:id="67352" w:name="_ETM_Q118_311580"/>
      <w:bookmarkEnd w:id="67352"/>
      <w:r>
        <w:rPr>
          <w:rFonts w:hint="cs"/>
          <w:rtl/>
        </w:rPr>
        <w:t>הי</w:t>
      </w:r>
      <w:r w:rsidR="002F1C45">
        <w:rPr>
          <w:rFonts w:hint="cs"/>
          <w:rtl/>
        </w:rPr>
        <w:t>ית</w:t>
      </w:r>
      <w:r>
        <w:rPr>
          <w:rFonts w:hint="cs"/>
          <w:rtl/>
        </w:rPr>
        <w:t xml:space="preserve">ה </w:t>
      </w:r>
      <w:bookmarkStart w:id="67353" w:name="_ETM_Q118_311730"/>
      <w:bookmarkEnd w:id="67353"/>
      <w:r>
        <w:rPr>
          <w:rFonts w:hint="cs"/>
          <w:rtl/>
        </w:rPr>
        <w:t xml:space="preserve">לי </w:t>
      </w:r>
      <w:bookmarkStart w:id="67354" w:name="_ETM_Q118_311849"/>
      <w:bookmarkEnd w:id="67354"/>
      <w:r>
        <w:rPr>
          <w:rFonts w:hint="cs"/>
          <w:rtl/>
        </w:rPr>
        <w:t xml:space="preserve">השבוע </w:t>
      </w:r>
      <w:bookmarkStart w:id="67355" w:name="_ETM_Q118_312270"/>
      <w:bookmarkEnd w:id="67355"/>
      <w:r>
        <w:rPr>
          <w:rFonts w:hint="cs"/>
          <w:rtl/>
        </w:rPr>
        <w:t xml:space="preserve">בוועדת </w:t>
      </w:r>
      <w:bookmarkStart w:id="67356" w:name="_ETM_Q118_312720"/>
      <w:bookmarkEnd w:id="67356"/>
      <w:r>
        <w:rPr>
          <w:rFonts w:hint="cs"/>
          <w:rtl/>
        </w:rPr>
        <w:t xml:space="preserve">הפנים </w:t>
      </w:r>
      <w:bookmarkStart w:id="67357" w:name="_ETM_Q118_313470"/>
      <w:bookmarkEnd w:id="67357"/>
      <w:r>
        <w:rPr>
          <w:rFonts w:hint="cs"/>
          <w:rtl/>
        </w:rPr>
        <w:t>הצגה</w:t>
      </w:r>
      <w:r w:rsidR="002F1C45">
        <w:rPr>
          <w:rFonts w:hint="cs"/>
          <w:rtl/>
        </w:rPr>
        <w:t>,</w:t>
      </w:r>
      <w:r>
        <w:rPr>
          <w:rFonts w:hint="cs"/>
          <w:rtl/>
        </w:rPr>
        <w:t xml:space="preserve"> </w:t>
      </w:r>
      <w:bookmarkStart w:id="67358" w:name="_ETM_Q118_313950"/>
      <w:bookmarkEnd w:id="67358"/>
      <w:r w:rsidR="002F1C45">
        <w:rPr>
          <w:rFonts w:hint="cs"/>
          <w:rtl/>
        </w:rPr>
        <w:t>על ה</w:t>
      </w:r>
      <w:r>
        <w:rPr>
          <w:rFonts w:hint="cs"/>
          <w:rtl/>
        </w:rPr>
        <w:t xml:space="preserve">מטרו. </w:t>
      </w:r>
      <w:bookmarkStart w:id="67359" w:name="_ETM_Q118_315150"/>
      <w:bookmarkEnd w:id="67359"/>
      <w:r>
        <w:rPr>
          <w:rFonts w:hint="cs"/>
          <w:rtl/>
        </w:rPr>
        <w:t xml:space="preserve">אתה </w:t>
      </w:r>
      <w:bookmarkStart w:id="67360" w:name="_ETM_Q118_315389"/>
      <w:bookmarkStart w:id="67361" w:name="_ETM_Q118_315659"/>
      <w:bookmarkStart w:id="67362" w:name="_ETM_Q118_315959"/>
      <w:bookmarkEnd w:id="67360"/>
      <w:bookmarkEnd w:id="67361"/>
      <w:bookmarkEnd w:id="67362"/>
      <w:r>
        <w:rPr>
          <w:rFonts w:hint="cs"/>
          <w:rtl/>
        </w:rPr>
        <w:t xml:space="preserve">ידעת </w:t>
      </w:r>
      <w:bookmarkStart w:id="67363" w:name="_ETM_Q118_316530"/>
      <w:bookmarkEnd w:id="67363"/>
      <w:r>
        <w:rPr>
          <w:rFonts w:hint="cs"/>
          <w:rtl/>
        </w:rPr>
        <w:t xml:space="preserve">שיש </w:t>
      </w:r>
      <w:bookmarkStart w:id="67364" w:name="_ETM_Q118_316860"/>
      <w:bookmarkEnd w:id="67364"/>
      <w:r>
        <w:rPr>
          <w:rFonts w:hint="cs"/>
          <w:rtl/>
        </w:rPr>
        <w:t xml:space="preserve">עימות </w:t>
      </w:r>
      <w:bookmarkStart w:id="67365" w:name="_ETM_Q118_317940"/>
      <w:bookmarkEnd w:id="67365"/>
      <w:r>
        <w:rPr>
          <w:rFonts w:hint="cs"/>
          <w:rtl/>
        </w:rPr>
        <w:t xml:space="preserve">בין </w:t>
      </w:r>
      <w:bookmarkStart w:id="67366" w:name="_ETM_Q118_318180"/>
      <w:bookmarkEnd w:id="67366"/>
      <w:r>
        <w:rPr>
          <w:rFonts w:hint="cs"/>
          <w:rtl/>
        </w:rPr>
        <w:t xml:space="preserve">משרד </w:t>
      </w:r>
      <w:bookmarkStart w:id="67367" w:name="_ETM_Q118_318540"/>
      <w:bookmarkEnd w:id="67367"/>
      <w:r>
        <w:rPr>
          <w:rFonts w:hint="cs"/>
          <w:rtl/>
        </w:rPr>
        <w:t xml:space="preserve">האוצר </w:t>
      </w:r>
      <w:bookmarkStart w:id="67368" w:name="_ETM_Q118_318989"/>
      <w:bookmarkEnd w:id="67368"/>
      <w:r>
        <w:rPr>
          <w:rFonts w:hint="cs"/>
          <w:rtl/>
        </w:rPr>
        <w:t xml:space="preserve">או </w:t>
      </w:r>
      <w:bookmarkStart w:id="67369" w:name="_ETM_Q118_319080"/>
      <w:bookmarkEnd w:id="67369"/>
      <w:r>
        <w:rPr>
          <w:rFonts w:hint="cs"/>
          <w:rtl/>
        </w:rPr>
        <w:t xml:space="preserve">שר </w:t>
      </w:r>
      <w:bookmarkStart w:id="67370" w:name="_ETM_Q118_319319"/>
      <w:bookmarkEnd w:id="67370"/>
      <w:r>
        <w:rPr>
          <w:rFonts w:hint="cs"/>
          <w:rtl/>
        </w:rPr>
        <w:t xml:space="preserve">האוצר </w:t>
      </w:r>
      <w:bookmarkStart w:id="67371" w:name="_ETM_Q118_319739"/>
      <w:bookmarkEnd w:id="67371"/>
      <w:r>
        <w:rPr>
          <w:rFonts w:hint="cs"/>
          <w:rtl/>
        </w:rPr>
        <w:t xml:space="preserve">לשרת </w:t>
      </w:r>
      <w:bookmarkStart w:id="67372" w:name="_ETM_Q118_320129"/>
      <w:bookmarkEnd w:id="67372"/>
      <w:r>
        <w:rPr>
          <w:rFonts w:hint="cs"/>
          <w:rtl/>
        </w:rPr>
        <w:t xml:space="preserve">התחבורה, </w:t>
      </w:r>
      <w:bookmarkStart w:id="67373" w:name="_ETM_Q118_320580"/>
      <w:bookmarkEnd w:id="67373"/>
      <w:r>
        <w:rPr>
          <w:rFonts w:hint="cs"/>
          <w:rtl/>
        </w:rPr>
        <w:t xml:space="preserve">ידעת </w:t>
      </w:r>
      <w:bookmarkStart w:id="67374" w:name="_ETM_Q118_320940"/>
      <w:bookmarkEnd w:id="67374"/>
      <w:r>
        <w:rPr>
          <w:rFonts w:hint="cs"/>
          <w:rtl/>
        </w:rPr>
        <w:t xml:space="preserve">על </w:t>
      </w:r>
      <w:bookmarkStart w:id="67375" w:name="_ETM_Q118_321000"/>
      <w:bookmarkEnd w:id="67375"/>
      <w:r>
        <w:rPr>
          <w:rFonts w:hint="cs"/>
          <w:rtl/>
        </w:rPr>
        <w:t xml:space="preserve">זה? </w:t>
      </w:r>
      <w:bookmarkStart w:id="67376" w:name="_ETM_Q118_322210"/>
      <w:bookmarkEnd w:id="67376"/>
      <w:r>
        <w:rPr>
          <w:rFonts w:hint="cs"/>
          <w:rtl/>
        </w:rPr>
        <w:t xml:space="preserve">אני </w:t>
      </w:r>
      <w:bookmarkStart w:id="67377" w:name="_ETM_Q118_322540"/>
      <w:bookmarkEnd w:id="67377"/>
      <w:r>
        <w:rPr>
          <w:rFonts w:hint="cs"/>
          <w:rtl/>
        </w:rPr>
        <w:t xml:space="preserve">השבוע </w:t>
      </w:r>
      <w:bookmarkStart w:id="67378" w:name="_ETM_Q118_322960"/>
      <w:bookmarkEnd w:id="67378"/>
      <w:r>
        <w:rPr>
          <w:rFonts w:hint="cs"/>
          <w:rtl/>
        </w:rPr>
        <w:t xml:space="preserve">בדיון </w:t>
      </w:r>
      <w:bookmarkStart w:id="67379" w:name="_ETM_Q118_323350"/>
      <w:bookmarkEnd w:id="67379"/>
      <w:r>
        <w:rPr>
          <w:rFonts w:hint="cs"/>
          <w:rtl/>
        </w:rPr>
        <w:t xml:space="preserve">מקרי </w:t>
      </w:r>
      <w:bookmarkStart w:id="67380" w:name="_ETM_Q118_324450"/>
      <w:bookmarkEnd w:id="67380"/>
      <w:r>
        <w:rPr>
          <w:rFonts w:hint="cs"/>
          <w:rtl/>
        </w:rPr>
        <w:t xml:space="preserve">בוועדת </w:t>
      </w:r>
      <w:bookmarkStart w:id="67381" w:name="_ETM_Q118_325079"/>
      <w:bookmarkEnd w:id="67381"/>
      <w:r>
        <w:rPr>
          <w:rFonts w:hint="cs"/>
          <w:rtl/>
        </w:rPr>
        <w:t xml:space="preserve">הפנים. </w:t>
      </w:r>
      <w:bookmarkStart w:id="67382" w:name="_ETM_Q118_325889"/>
      <w:bookmarkEnd w:id="67382"/>
      <w:r>
        <w:rPr>
          <w:rFonts w:hint="cs"/>
          <w:rtl/>
        </w:rPr>
        <w:t xml:space="preserve">במקרה </w:t>
      </w:r>
      <w:bookmarkStart w:id="67383" w:name="_ETM_Q118_326489"/>
      <w:bookmarkEnd w:id="67383"/>
      <w:r>
        <w:rPr>
          <w:rFonts w:hint="cs"/>
          <w:rtl/>
        </w:rPr>
        <w:t xml:space="preserve">יעקב </w:t>
      </w:r>
      <w:bookmarkStart w:id="67384" w:name="_ETM_Q118_326819"/>
      <w:bookmarkEnd w:id="67384"/>
      <w:r>
        <w:rPr>
          <w:rFonts w:hint="cs"/>
          <w:rtl/>
        </w:rPr>
        <w:t xml:space="preserve">אשר </w:t>
      </w:r>
      <w:bookmarkStart w:id="67385" w:name="_ETM_Q118_327120"/>
      <w:bookmarkEnd w:id="67385"/>
      <w:r>
        <w:rPr>
          <w:rFonts w:hint="cs"/>
          <w:rtl/>
        </w:rPr>
        <w:t xml:space="preserve">יש </w:t>
      </w:r>
      <w:bookmarkStart w:id="67386" w:name="_ETM_Q118_327239"/>
      <w:bookmarkEnd w:id="67386"/>
      <w:r>
        <w:rPr>
          <w:rFonts w:hint="cs"/>
          <w:rtl/>
        </w:rPr>
        <w:t xml:space="preserve">לו, </w:t>
      </w:r>
      <w:bookmarkStart w:id="67387" w:name="_ETM_Q118_327659"/>
      <w:bookmarkEnd w:id="67387"/>
      <w:r>
        <w:rPr>
          <w:rFonts w:hint="cs"/>
          <w:rtl/>
        </w:rPr>
        <w:t xml:space="preserve">אתה </w:t>
      </w:r>
      <w:bookmarkStart w:id="67388" w:name="_ETM_Q118_327810"/>
      <w:bookmarkEnd w:id="67388"/>
      <w:r>
        <w:rPr>
          <w:rFonts w:hint="cs"/>
          <w:rtl/>
        </w:rPr>
        <w:t xml:space="preserve">יודע, </w:t>
      </w:r>
      <w:bookmarkStart w:id="67389" w:name="_ETM_Q118_328389"/>
      <w:bookmarkEnd w:id="67389"/>
      <w:r>
        <w:rPr>
          <w:rFonts w:hint="cs"/>
          <w:rtl/>
        </w:rPr>
        <w:t xml:space="preserve">הוא </w:t>
      </w:r>
      <w:bookmarkStart w:id="67390" w:name="_ETM_Q118_328480"/>
      <w:bookmarkEnd w:id="67390"/>
      <w:r>
        <w:rPr>
          <w:rFonts w:hint="cs"/>
          <w:rtl/>
        </w:rPr>
        <w:t xml:space="preserve">צריך </w:t>
      </w:r>
      <w:bookmarkStart w:id="67391" w:name="_ETM_Q118_328659"/>
      <w:bookmarkEnd w:id="67391"/>
      <w:r>
        <w:rPr>
          <w:rFonts w:hint="cs"/>
          <w:rtl/>
        </w:rPr>
        <w:t xml:space="preserve">מדי </w:t>
      </w:r>
      <w:bookmarkStart w:id="67392" w:name="_ETM_Q118_328900"/>
      <w:bookmarkEnd w:id="67392"/>
      <w:r>
        <w:rPr>
          <w:rFonts w:hint="cs"/>
          <w:rtl/>
        </w:rPr>
        <w:t xml:space="preserve">פעם </w:t>
      </w:r>
      <w:bookmarkStart w:id="67393" w:name="_ETM_Q118_329110"/>
      <w:bookmarkEnd w:id="67393"/>
      <w:r>
        <w:rPr>
          <w:rFonts w:hint="cs"/>
          <w:rtl/>
        </w:rPr>
        <w:t xml:space="preserve">הפסקת </w:t>
      </w:r>
      <w:bookmarkStart w:id="67394" w:name="_ETM_Q118_329470"/>
      <w:bookmarkEnd w:id="67394"/>
      <w:r>
        <w:rPr>
          <w:rFonts w:hint="cs"/>
          <w:rtl/>
        </w:rPr>
        <w:t xml:space="preserve">סיגריה – כמו שאתה צריך </w:t>
      </w:r>
      <w:bookmarkStart w:id="67395" w:name="_ETM_Q118_330940"/>
      <w:bookmarkStart w:id="67396" w:name="_ETM_Q118_331300"/>
      <w:bookmarkEnd w:id="67395"/>
      <w:bookmarkEnd w:id="67396"/>
      <w:r>
        <w:rPr>
          <w:rFonts w:hint="cs"/>
          <w:rtl/>
        </w:rPr>
        <w:t xml:space="preserve">לדעתי. </w:t>
      </w:r>
      <w:bookmarkStart w:id="67397" w:name="_ETM_Q118_333250"/>
      <w:bookmarkEnd w:id="67397"/>
      <w:r>
        <w:rPr>
          <w:rFonts w:hint="cs"/>
          <w:rtl/>
        </w:rPr>
        <w:t xml:space="preserve">אתה </w:t>
      </w:r>
      <w:bookmarkStart w:id="67398" w:name="_ETM_Q118_333400"/>
      <w:bookmarkEnd w:id="67398"/>
      <w:r>
        <w:rPr>
          <w:rFonts w:hint="cs"/>
          <w:rtl/>
        </w:rPr>
        <w:t xml:space="preserve">צריך </w:t>
      </w:r>
      <w:bookmarkStart w:id="67399" w:name="_ETM_Q118_333610"/>
      <w:bookmarkEnd w:id="67399"/>
      <w:r>
        <w:rPr>
          <w:rFonts w:hint="cs"/>
          <w:rtl/>
        </w:rPr>
        <w:t xml:space="preserve">שמישהו </w:t>
      </w:r>
      <w:bookmarkStart w:id="67400" w:name="_ETM_Q118_333880"/>
      <w:bookmarkEnd w:id="67400"/>
      <w:r>
        <w:rPr>
          <w:rFonts w:hint="cs"/>
          <w:rtl/>
        </w:rPr>
        <w:t xml:space="preserve">יחליף </w:t>
      </w:r>
      <w:bookmarkStart w:id="67401" w:name="_ETM_Q118_334270"/>
      <w:bookmarkEnd w:id="67401"/>
      <w:r>
        <w:rPr>
          <w:rFonts w:hint="cs"/>
          <w:rtl/>
        </w:rPr>
        <w:t xml:space="preserve">אותך, </w:t>
      </w:r>
      <w:bookmarkStart w:id="67402" w:name="_ETM_Q118_334540"/>
      <w:bookmarkEnd w:id="67402"/>
      <w:r>
        <w:rPr>
          <w:rFonts w:hint="cs"/>
          <w:rtl/>
        </w:rPr>
        <w:t xml:space="preserve">גם </w:t>
      </w:r>
      <w:bookmarkStart w:id="67403" w:name="_ETM_Q118_334720"/>
      <w:bookmarkEnd w:id="67403"/>
      <w:r>
        <w:rPr>
          <w:rFonts w:hint="cs"/>
          <w:rtl/>
        </w:rPr>
        <w:t xml:space="preserve">לדעתי – </w:t>
      </w:r>
      <w:bookmarkStart w:id="67404" w:name="_ETM_Q118_335830"/>
      <w:bookmarkEnd w:id="67404"/>
      <w:r>
        <w:rPr>
          <w:rFonts w:hint="cs"/>
          <w:rtl/>
        </w:rPr>
        <w:t xml:space="preserve">אבל </w:t>
      </w:r>
      <w:bookmarkStart w:id="67405" w:name="_ETM_Q118_336130"/>
      <w:bookmarkEnd w:id="67405"/>
      <w:r>
        <w:rPr>
          <w:rFonts w:hint="cs"/>
          <w:rtl/>
        </w:rPr>
        <w:t xml:space="preserve">הוא </w:t>
      </w:r>
      <w:bookmarkStart w:id="67406" w:name="_ETM_Q118_336310"/>
      <w:bookmarkEnd w:id="67406"/>
      <w:r>
        <w:rPr>
          <w:rFonts w:hint="cs"/>
          <w:rtl/>
        </w:rPr>
        <w:t xml:space="preserve">אוהב </w:t>
      </w:r>
      <w:bookmarkStart w:id="67407" w:name="_ETM_Q118_336490"/>
      <w:bookmarkEnd w:id="67407"/>
      <w:r>
        <w:rPr>
          <w:rFonts w:hint="cs"/>
          <w:rtl/>
        </w:rPr>
        <w:t xml:space="preserve">לצאת </w:t>
      </w:r>
      <w:bookmarkStart w:id="67408" w:name="_ETM_Q118_336820"/>
      <w:bookmarkEnd w:id="67408"/>
      <w:r>
        <w:rPr>
          <w:rFonts w:hint="cs"/>
          <w:rtl/>
        </w:rPr>
        <w:t xml:space="preserve">לעשן, </w:t>
      </w:r>
      <w:bookmarkStart w:id="67409" w:name="_ETM_Q118_337240"/>
      <w:bookmarkEnd w:id="67409"/>
      <w:r>
        <w:rPr>
          <w:rFonts w:hint="cs"/>
          <w:rtl/>
        </w:rPr>
        <w:t xml:space="preserve">ואז </w:t>
      </w:r>
      <w:bookmarkStart w:id="67410" w:name="_ETM_Q118_337450"/>
      <w:bookmarkEnd w:id="67410"/>
      <w:r>
        <w:rPr>
          <w:rFonts w:hint="cs"/>
          <w:rtl/>
        </w:rPr>
        <w:t xml:space="preserve">הוא </w:t>
      </w:r>
      <w:bookmarkStart w:id="67411" w:name="_ETM_Q118_337510"/>
      <w:bookmarkEnd w:id="67411"/>
      <w:r>
        <w:rPr>
          <w:rFonts w:hint="cs"/>
          <w:rtl/>
        </w:rPr>
        <w:t xml:space="preserve">יצא </w:t>
      </w:r>
      <w:bookmarkStart w:id="67412" w:name="_ETM_Q118_337750"/>
      <w:bookmarkEnd w:id="67412"/>
      <w:r>
        <w:rPr>
          <w:rFonts w:hint="cs"/>
          <w:rtl/>
        </w:rPr>
        <w:t xml:space="preserve">לעשן </w:t>
      </w:r>
      <w:bookmarkStart w:id="67413" w:name="_ETM_Q118_338169"/>
      <w:bookmarkEnd w:id="67413"/>
      <w:r>
        <w:rPr>
          <w:rFonts w:hint="cs"/>
          <w:rtl/>
        </w:rPr>
        <w:t>והגיע</w:t>
      </w:r>
      <w:r w:rsidR="002F1C45">
        <w:rPr>
          <w:rFonts w:hint="cs"/>
          <w:rtl/>
        </w:rPr>
        <w:t xml:space="preserve"> </w:t>
      </w:r>
      <w:r>
        <w:rPr>
          <w:rFonts w:hint="cs"/>
          <w:rtl/>
        </w:rPr>
        <w:t>- - -</w:t>
      </w:r>
    </w:p>
    <w:p w:rsidR="00BB59CD" w:rsidRDefault="00BB59CD" w:rsidP="00BB59CD">
      <w:pPr>
        <w:rPr>
          <w:rtl/>
        </w:rPr>
      </w:pPr>
    </w:p>
    <w:p w:rsidR="00BB59CD" w:rsidRDefault="00BB59CD" w:rsidP="00BB59CD">
      <w:pPr>
        <w:pStyle w:val="af8"/>
        <w:keepNext/>
        <w:rPr>
          <w:rtl/>
        </w:rPr>
      </w:pPr>
      <w:bookmarkStart w:id="67414" w:name="ET_interruption_5809_20"/>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67414"/>
    </w:p>
    <w:p w:rsidR="00BB59CD" w:rsidRDefault="00BB59CD" w:rsidP="00337201">
      <w:pPr>
        <w:rPr>
          <w:rtl/>
        </w:rPr>
      </w:pPr>
    </w:p>
    <w:p w:rsidR="00BB59CD" w:rsidRDefault="00BB59CD" w:rsidP="00BB59CD">
      <w:pPr>
        <w:rPr>
          <w:rtl/>
        </w:rPr>
      </w:pPr>
      <w:r>
        <w:rPr>
          <w:rFonts w:hint="cs"/>
          <w:rtl/>
        </w:rPr>
        <w:t>הפסקתי.</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2F1C45">
      <w:pPr>
        <w:rPr>
          <w:rtl/>
        </w:rPr>
      </w:pPr>
      <w:r>
        <w:rPr>
          <w:rFonts w:hint="cs"/>
          <w:rtl/>
        </w:rPr>
        <w:t xml:space="preserve"> </w:t>
      </w:r>
      <w:bookmarkStart w:id="67415" w:name="_ETM_Q118_340079"/>
      <w:bookmarkEnd w:id="67415"/>
      <w:r>
        <w:rPr>
          <w:rFonts w:hint="cs"/>
          <w:rtl/>
        </w:rPr>
        <w:t xml:space="preserve">את </w:t>
      </w:r>
      <w:bookmarkStart w:id="67416" w:name="_ETM_Q118_340260"/>
      <w:bookmarkEnd w:id="67416"/>
      <w:r>
        <w:rPr>
          <w:rFonts w:hint="cs"/>
          <w:rtl/>
        </w:rPr>
        <w:t xml:space="preserve">הפסקת, </w:t>
      </w:r>
      <w:bookmarkStart w:id="67417" w:name="_ETM_Q118_340739"/>
      <w:bookmarkEnd w:id="67417"/>
      <w:r>
        <w:rPr>
          <w:rFonts w:hint="cs"/>
          <w:rtl/>
        </w:rPr>
        <w:t xml:space="preserve">בסדר </w:t>
      </w:r>
      <w:bookmarkStart w:id="67418" w:name="_ETM_Q118_340980"/>
      <w:bookmarkEnd w:id="67418"/>
      <w:r>
        <w:rPr>
          <w:rFonts w:hint="cs"/>
          <w:rtl/>
        </w:rPr>
        <w:t xml:space="preserve">גמור. </w:t>
      </w:r>
      <w:bookmarkStart w:id="67419" w:name="_ETM_Q118_342659"/>
      <w:bookmarkEnd w:id="67419"/>
      <w:r>
        <w:rPr>
          <w:rFonts w:hint="cs"/>
          <w:rtl/>
        </w:rPr>
        <w:t xml:space="preserve">ואז </w:t>
      </w:r>
      <w:bookmarkStart w:id="67420" w:name="_ETM_Q118_342959"/>
      <w:bookmarkEnd w:id="67420"/>
      <w:r>
        <w:rPr>
          <w:rFonts w:hint="cs"/>
          <w:rtl/>
        </w:rPr>
        <w:t>הגיע</w:t>
      </w:r>
      <w:r w:rsidR="002F1C45">
        <w:rPr>
          <w:rFonts w:hint="cs"/>
          <w:rtl/>
        </w:rPr>
        <w:t>ה</w:t>
      </w:r>
      <w:r>
        <w:rPr>
          <w:rFonts w:hint="cs"/>
          <w:rtl/>
        </w:rPr>
        <w:t xml:space="preserve"> </w:t>
      </w:r>
      <w:bookmarkStart w:id="67421" w:name="_ETM_Q118_343560"/>
      <w:bookmarkStart w:id="67422" w:name="_ETM_Q118_346219"/>
      <w:bookmarkEnd w:id="67421"/>
      <w:bookmarkEnd w:id="67422"/>
      <w:r>
        <w:rPr>
          <w:rFonts w:hint="cs"/>
          <w:rtl/>
        </w:rPr>
        <w:t xml:space="preserve">ראש </w:t>
      </w:r>
      <w:bookmarkStart w:id="67423" w:name="_ETM_Q118_346579"/>
      <w:bookmarkEnd w:id="67423"/>
      <w:r w:rsidR="002F1C45">
        <w:rPr>
          <w:rFonts w:hint="cs"/>
          <w:rtl/>
        </w:rPr>
        <w:t>ה</w:t>
      </w:r>
      <w:r>
        <w:rPr>
          <w:rFonts w:hint="cs"/>
          <w:rtl/>
        </w:rPr>
        <w:t>מטה</w:t>
      </w:r>
      <w:bookmarkStart w:id="67424" w:name="_ETM_Q118_347480"/>
      <w:bookmarkEnd w:id="67424"/>
      <w:r>
        <w:rPr>
          <w:rFonts w:hint="cs"/>
          <w:rtl/>
        </w:rPr>
        <w:t xml:space="preserve">, כן </w:t>
      </w:r>
      <w:bookmarkStart w:id="67425" w:name="_ETM_Q118_347689"/>
      <w:bookmarkEnd w:id="67425"/>
      <w:r>
        <w:rPr>
          <w:rFonts w:hint="cs"/>
          <w:rtl/>
        </w:rPr>
        <w:t xml:space="preserve">ראש </w:t>
      </w:r>
      <w:bookmarkStart w:id="67426" w:name="_ETM_Q118_347930"/>
      <w:bookmarkEnd w:id="67426"/>
      <w:r>
        <w:rPr>
          <w:rFonts w:hint="cs"/>
          <w:rtl/>
        </w:rPr>
        <w:t xml:space="preserve">המטה </w:t>
      </w:r>
      <w:bookmarkStart w:id="67427" w:name="_ETM_Q118_348200"/>
      <w:bookmarkEnd w:id="67427"/>
      <w:r>
        <w:rPr>
          <w:rFonts w:hint="cs"/>
          <w:rtl/>
        </w:rPr>
        <w:t xml:space="preserve">של </w:t>
      </w:r>
      <w:bookmarkStart w:id="67428" w:name="_ETM_Q118_349279"/>
      <w:bookmarkEnd w:id="67428"/>
      <w:r>
        <w:rPr>
          <w:rFonts w:hint="cs"/>
          <w:rtl/>
        </w:rPr>
        <w:t xml:space="preserve">מנכ"ל </w:t>
      </w:r>
      <w:bookmarkStart w:id="67429" w:name="_ETM_Q118_349730"/>
      <w:bookmarkEnd w:id="67429"/>
      <w:r>
        <w:rPr>
          <w:rFonts w:hint="cs"/>
          <w:rtl/>
        </w:rPr>
        <w:t xml:space="preserve">משרד </w:t>
      </w:r>
      <w:bookmarkStart w:id="67430" w:name="_ETM_Q118_350059"/>
      <w:bookmarkEnd w:id="67430"/>
      <w:r>
        <w:rPr>
          <w:rFonts w:hint="cs"/>
          <w:rtl/>
        </w:rPr>
        <w:t xml:space="preserve">התחבורה, </w:t>
      </w:r>
      <w:bookmarkStart w:id="67431" w:name="_ETM_Q118_351630"/>
      <w:bookmarkEnd w:id="67431"/>
      <w:r>
        <w:rPr>
          <w:rFonts w:hint="cs"/>
          <w:rtl/>
        </w:rPr>
        <w:t xml:space="preserve">והיא </w:t>
      </w:r>
      <w:bookmarkStart w:id="67432" w:name="_ETM_Q118_351990"/>
      <w:bookmarkEnd w:id="67432"/>
      <w:r>
        <w:rPr>
          <w:rFonts w:hint="cs"/>
          <w:rtl/>
        </w:rPr>
        <w:t xml:space="preserve">באה – </w:t>
      </w:r>
      <w:bookmarkStart w:id="67433" w:name="_ETM_Q118_352200"/>
      <w:bookmarkEnd w:id="67433"/>
      <w:r>
        <w:rPr>
          <w:rFonts w:hint="cs"/>
          <w:rtl/>
        </w:rPr>
        <w:t xml:space="preserve">ואנחנו </w:t>
      </w:r>
      <w:bookmarkStart w:id="67434" w:name="_ETM_Q118_352560"/>
      <w:bookmarkEnd w:id="67434"/>
      <w:r>
        <w:rPr>
          <w:rFonts w:hint="cs"/>
          <w:rtl/>
        </w:rPr>
        <w:t xml:space="preserve">מדברים </w:t>
      </w:r>
      <w:bookmarkStart w:id="67435" w:name="_ETM_Q118_352860"/>
      <w:bookmarkEnd w:id="67435"/>
      <w:r>
        <w:rPr>
          <w:rFonts w:hint="cs"/>
          <w:rtl/>
        </w:rPr>
        <w:t xml:space="preserve">על </w:t>
      </w:r>
      <w:bookmarkStart w:id="67436" w:name="_ETM_Q118_352950"/>
      <w:bookmarkEnd w:id="67436"/>
      <w:r>
        <w:rPr>
          <w:rFonts w:hint="cs"/>
          <w:rtl/>
        </w:rPr>
        <w:t xml:space="preserve">סעיף </w:t>
      </w:r>
      <w:bookmarkStart w:id="67437" w:name="_ETM_Q118_353430"/>
      <w:bookmarkEnd w:id="67437"/>
      <w:r w:rsidR="002F1C45">
        <w:rPr>
          <w:rFonts w:hint="cs"/>
          <w:rtl/>
        </w:rPr>
        <w:t>ש</w:t>
      </w:r>
      <w:r>
        <w:rPr>
          <w:rFonts w:hint="cs"/>
          <w:rtl/>
        </w:rPr>
        <w:t xml:space="preserve">בכלל מדבר </w:t>
      </w:r>
      <w:bookmarkStart w:id="67438" w:name="_ETM_Q118_353910"/>
      <w:bookmarkEnd w:id="67438"/>
      <w:r>
        <w:rPr>
          <w:rFonts w:hint="cs"/>
          <w:rtl/>
        </w:rPr>
        <w:t xml:space="preserve">על איזה </w:t>
      </w:r>
      <w:bookmarkStart w:id="67439" w:name="_ETM_Q118_354210"/>
      <w:bookmarkEnd w:id="67439"/>
      <w:r>
        <w:rPr>
          <w:rFonts w:hint="cs"/>
          <w:rtl/>
        </w:rPr>
        <w:t xml:space="preserve">רגולציה </w:t>
      </w:r>
      <w:bookmarkStart w:id="67440" w:name="_ETM_Q118_354690"/>
      <w:bookmarkEnd w:id="67440"/>
      <w:r>
        <w:rPr>
          <w:rFonts w:hint="cs"/>
          <w:rtl/>
        </w:rPr>
        <w:t xml:space="preserve">מסוימת, </w:t>
      </w:r>
      <w:bookmarkStart w:id="67441" w:name="_ETM_Q118_355080"/>
      <w:bookmarkEnd w:id="67441"/>
      <w:r>
        <w:rPr>
          <w:rFonts w:hint="cs"/>
          <w:rtl/>
        </w:rPr>
        <w:t xml:space="preserve">לא </w:t>
      </w:r>
      <w:bookmarkStart w:id="67442" w:name="_ETM_Q118_355200"/>
      <w:bookmarkEnd w:id="67442"/>
      <w:r>
        <w:rPr>
          <w:rFonts w:hint="cs"/>
          <w:rtl/>
        </w:rPr>
        <w:t xml:space="preserve">קשור </w:t>
      </w:r>
      <w:bookmarkStart w:id="67443" w:name="_ETM_Q118_355470"/>
      <w:bookmarkEnd w:id="67443"/>
      <w:r>
        <w:rPr>
          <w:rFonts w:hint="cs"/>
          <w:rtl/>
        </w:rPr>
        <w:t>ל</w:t>
      </w:r>
      <w:bookmarkStart w:id="67444" w:name="_ETM_Q118_355560"/>
      <w:bookmarkEnd w:id="67444"/>
      <w:r>
        <w:rPr>
          <w:rFonts w:hint="cs"/>
          <w:rtl/>
        </w:rPr>
        <w:t xml:space="preserve">כלום – </w:t>
      </w:r>
      <w:bookmarkStart w:id="67445" w:name="_ETM_Q118_355770"/>
      <w:bookmarkEnd w:id="67445"/>
      <w:r>
        <w:rPr>
          <w:rFonts w:hint="cs"/>
          <w:rtl/>
        </w:rPr>
        <w:t xml:space="preserve">והיא </w:t>
      </w:r>
      <w:bookmarkStart w:id="67446" w:name="_ETM_Q118_355860"/>
      <w:bookmarkEnd w:id="67446"/>
      <w:r>
        <w:rPr>
          <w:rFonts w:hint="cs"/>
          <w:rtl/>
        </w:rPr>
        <w:t xml:space="preserve">אומרת: </w:t>
      </w:r>
      <w:bookmarkStart w:id="67447" w:name="_ETM_Q118_356160"/>
      <w:bookmarkEnd w:id="67447"/>
      <w:r>
        <w:rPr>
          <w:rFonts w:hint="cs"/>
          <w:rtl/>
        </w:rPr>
        <w:t xml:space="preserve">אני </w:t>
      </w:r>
      <w:bookmarkStart w:id="67448" w:name="_ETM_Q118_356310"/>
      <w:bookmarkEnd w:id="67448"/>
      <w:r>
        <w:rPr>
          <w:rFonts w:hint="cs"/>
          <w:rtl/>
        </w:rPr>
        <w:t xml:space="preserve">מבקשת </w:t>
      </w:r>
      <w:bookmarkStart w:id="67449" w:name="_ETM_Q118_356639"/>
      <w:bookmarkEnd w:id="67449"/>
      <w:r>
        <w:rPr>
          <w:rFonts w:hint="cs"/>
          <w:rtl/>
        </w:rPr>
        <w:t xml:space="preserve">להמתין </w:t>
      </w:r>
      <w:bookmarkStart w:id="67450" w:name="_ETM_Q118_357480"/>
      <w:bookmarkEnd w:id="67450"/>
      <w:r>
        <w:rPr>
          <w:rFonts w:hint="cs"/>
          <w:rtl/>
        </w:rPr>
        <w:t xml:space="preserve">כי </w:t>
      </w:r>
      <w:bookmarkStart w:id="67451" w:name="_ETM_Q118_357630"/>
      <w:bookmarkEnd w:id="67451"/>
      <w:r>
        <w:rPr>
          <w:rFonts w:hint="cs"/>
          <w:rtl/>
        </w:rPr>
        <w:t xml:space="preserve">יש </w:t>
      </w:r>
      <w:bookmarkStart w:id="67452" w:name="_ETM_Q118_357810"/>
      <w:bookmarkEnd w:id="67452"/>
      <w:r>
        <w:rPr>
          <w:rFonts w:hint="cs"/>
          <w:rtl/>
        </w:rPr>
        <w:t>אי</w:t>
      </w:r>
      <w:bookmarkStart w:id="67453" w:name="_ETM_Q118_357930"/>
      <w:bookmarkEnd w:id="67453"/>
      <w:r w:rsidR="002F1C45">
        <w:rPr>
          <w:rFonts w:hint="cs"/>
          <w:rtl/>
        </w:rPr>
        <w:t>-</w:t>
      </w:r>
      <w:r>
        <w:rPr>
          <w:rFonts w:hint="cs"/>
          <w:rtl/>
        </w:rPr>
        <w:t xml:space="preserve">הסכמות </w:t>
      </w:r>
      <w:bookmarkStart w:id="67454" w:name="_ETM_Q118_361041"/>
      <w:bookmarkEnd w:id="67454"/>
      <w:r>
        <w:rPr>
          <w:rFonts w:hint="cs"/>
          <w:rtl/>
        </w:rPr>
        <w:t xml:space="preserve">בין </w:t>
      </w:r>
      <w:bookmarkStart w:id="67455" w:name="_ETM_Q118_358290"/>
      <w:bookmarkStart w:id="67456" w:name="_ETM_Q118_358410"/>
      <w:bookmarkStart w:id="67457" w:name="_ETM_Q118_358650"/>
      <w:bookmarkEnd w:id="67455"/>
      <w:bookmarkEnd w:id="67456"/>
      <w:bookmarkEnd w:id="67457"/>
      <w:r>
        <w:rPr>
          <w:rFonts w:hint="cs"/>
          <w:rtl/>
        </w:rPr>
        <w:t xml:space="preserve">משרד </w:t>
      </w:r>
      <w:bookmarkStart w:id="67458" w:name="_ETM_Q118_358980"/>
      <w:bookmarkEnd w:id="67458"/>
      <w:r>
        <w:rPr>
          <w:rFonts w:hint="cs"/>
          <w:rtl/>
        </w:rPr>
        <w:t xml:space="preserve">התחבורה, </w:t>
      </w:r>
      <w:bookmarkStart w:id="67459" w:name="_ETM_Q118_360380"/>
      <w:bookmarkEnd w:id="67459"/>
      <w:r>
        <w:rPr>
          <w:rFonts w:hint="cs"/>
          <w:rtl/>
        </w:rPr>
        <w:t xml:space="preserve">שהוא </w:t>
      </w:r>
      <w:bookmarkStart w:id="67460" w:name="_ETM_Q118_360590"/>
      <w:bookmarkEnd w:id="67460"/>
      <w:r>
        <w:rPr>
          <w:rFonts w:hint="cs"/>
          <w:rtl/>
        </w:rPr>
        <w:t xml:space="preserve">אמור – </w:t>
      </w:r>
      <w:bookmarkStart w:id="67461" w:name="_ETM_Q118_361330"/>
      <w:bookmarkEnd w:id="67461"/>
      <w:r>
        <w:rPr>
          <w:rFonts w:hint="cs"/>
          <w:rtl/>
        </w:rPr>
        <w:t xml:space="preserve">במדינה </w:t>
      </w:r>
      <w:bookmarkStart w:id="67462" w:name="_ETM_Q118_361780"/>
      <w:bookmarkEnd w:id="67462"/>
      <w:r>
        <w:rPr>
          <w:rFonts w:hint="cs"/>
          <w:rtl/>
        </w:rPr>
        <w:t xml:space="preserve">מתוקנת </w:t>
      </w:r>
      <w:bookmarkStart w:id="67463" w:name="_ETM_Q118_362680"/>
      <w:bookmarkEnd w:id="67463"/>
      <w:r>
        <w:rPr>
          <w:rFonts w:hint="cs"/>
          <w:rtl/>
        </w:rPr>
        <w:t xml:space="preserve">משרד </w:t>
      </w:r>
      <w:bookmarkStart w:id="67464" w:name="_ETM_Q118_363040"/>
      <w:bookmarkEnd w:id="67464"/>
      <w:r>
        <w:rPr>
          <w:rFonts w:hint="cs"/>
          <w:rtl/>
        </w:rPr>
        <w:t xml:space="preserve">התחבורה </w:t>
      </w:r>
      <w:bookmarkStart w:id="67465" w:name="_ETM_Q118_363489"/>
      <w:bookmarkEnd w:id="67465"/>
      <w:r>
        <w:rPr>
          <w:rFonts w:hint="cs"/>
          <w:rtl/>
        </w:rPr>
        <w:t xml:space="preserve">מוביל </w:t>
      </w:r>
      <w:bookmarkStart w:id="67466" w:name="_ETM_Q118_363970"/>
      <w:bookmarkEnd w:id="67466"/>
      <w:r>
        <w:rPr>
          <w:rFonts w:hint="cs"/>
          <w:rtl/>
        </w:rPr>
        <w:t xml:space="preserve">פרויקטים </w:t>
      </w:r>
      <w:bookmarkStart w:id="67467" w:name="_ETM_Q118_364480"/>
      <w:bookmarkEnd w:id="67467"/>
      <w:r>
        <w:rPr>
          <w:rFonts w:hint="cs"/>
          <w:rtl/>
        </w:rPr>
        <w:t xml:space="preserve">של </w:t>
      </w:r>
      <w:bookmarkStart w:id="67468" w:name="_ETM_Q118_364870"/>
      <w:bookmarkEnd w:id="67468"/>
      <w:r>
        <w:rPr>
          <w:rFonts w:hint="cs"/>
          <w:rtl/>
        </w:rPr>
        <w:t>תחבורה</w:t>
      </w:r>
      <w:r w:rsidR="002F1C45">
        <w:rPr>
          <w:rFonts w:hint="cs"/>
          <w:rtl/>
        </w:rPr>
        <w:t>,</w:t>
      </w:r>
      <w:r>
        <w:rPr>
          <w:rFonts w:hint="cs"/>
          <w:rtl/>
        </w:rPr>
        <w:t xml:space="preserve"> </w:t>
      </w:r>
      <w:bookmarkStart w:id="67469" w:name="_ETM_Q118_365669"/>
      <w:bookmarkEnd w:id="67469"/>
      <w:r>
        <w:rPr>
          <w:rFonts w:hint="cs"/>
          <w:rtl/>
        </w:rPr>
        <w:t xml:space="preserve">אבל </w:t>
      </w:r>
      <w:bookmarkStart w:id="67470" w:name="_ETM_Q118_365939"/>
      <w:bookmarkEnd w:id="67470"/>
      <w:r>
        <w:rPr>
          <w:rFonts w:hint="cs"/>
          <w:rtl/>
        </w:rPr>
        <w:t>לא</w:t>
      </w:r>
      <w:r w:rsidR="002F1C45">
        <w:rPr>
          <w:rFonts w:hint="cs"/>
          <w:rtl/>
        </w:rPr>
        <w:t>,</w:t>
      </w:r>
      <w:r>
        <w:rPr>
          <w:rFonts w:hint="cs"/>
          <w:rtl/>
        </w:rPr>
        <w:t xml:space="preserve"> </w:t>
      </w:r>
      <w:bookmarkStart w:id="67471" w:name="_ETM_Q118_366209"/>
      <w:bookmarkEnd w:id="67471"/>
      <w:r>
        <w:rPr>
          <w:rFonts w:hint="cs"/>
          <w:rtl/>
        </w:rPr>
        <w:t xml:space="preserve">במדינה </w:t>
      </w:r>
      <w:bookmarkStart w:id="67472" w:name="_ETM_Q118_366659"/>
      <w:bookmarkEnd w:id="67472"/>
      <w:r>
        <w:rPr>
          <w:rFonts w:hint="cs"/>
          <w:rtl/>
        </w:rPr>
        <w:t xml:space="preserve">שלנו </w:t>
      </w:r>
      <w:bookmarkStart w:id="67473" w:name="_ETM_Q118_367019"/>
      <w:bookmarkEnd w:id="67473"/>
      <w:r>
        <w:rPr>
          <w:rFonts w:hint="cs"/>
          <w:rtl/>
        </w:rPr>
        <w:t xml:space="preserve">משרד </w:t>
      </w:r>
      <w:bookmarkStart w:id="67474" w:name="_ETM_Q118_367319"/>
      <w:bookmarkEnd w:id="67474"/>
      <w:r>
        <w:rPr>
          <w:rFonts w:hint="cs"/>
          <w:rtl/>
        </w:rPr>
        <w:t xml:space="preserve">האוצר </w:t>
      </w:r>
      <w:bookmarkStart w:id="67475" w:name="_ETM_Q118_367650"/>
      <w:bookmarkStart w:id="67476" w:name="_ETM_Q118_367950"/>
      <w:bookmarkEnd w:id="67475"/>
      <w:bookmarkEnd w:id="67476"/>
      <w:r>
        <w:rPr>
          <w:rFonts w:hint="cs"/>
          <w:rtl/>
        </w:rPr>
        <w:t>מ</w:t>
      </w:r>
      <w:r w:rsidR="002F1C45">
        <w:rPr>
          <w:rFonts w:hint="cs"/>
          <w:rtl/>
        </w:rPr>
        <w:t>ו</w:t>
      </w:r>
      <w:r>
        <w:rPr>
          <w:rFonts w:hint="cs"/>
          <w:rtl/>
        </w:rPr>
        <w:t xml:space="preserve">ביל אותה </w:t>
      </w:r>
      <w:bookmarkStart w:id="67477" w:name="_ETM_Q118_368219"/>
      <w:bookmarkStart w:id="67478" w:name="_ETM_Q118_368430"/>
      <w:bookmarkEnd w:id="67477"/>
      <w:bookmarkEnd w:id="67478"/>
      <w:r>
        <w:rPr>
          <w:rFonts w:hint="cs"/>
          <w:rtl/>
        </w:rPr>
        <w:t xml:space="preserve">כי הוא המשרד </w:t>
      </w:r>
      <w:bookmarkStart w:id="67479" w:name="_ETM_Q118_368760"/>
      <w:bookmarkEnd w:id="67479"/>
      <w:r>
        <w:rPr>
          <w:rFonts w:hint="cs"/>
          <w:rtl/>
        </w:rPr>
        <w:t xml:space="preserve">החזק </w:t>
      </w:r>
      <w:bookmarkStart w:id="67480" w:name="_ETM_Q118_369120"/>
      <w:bookmarkEnd w:id="67480"/>
      <w:r>
        <w:rPr>
          <w:rFonts w:hint="cs"/>
          <w:rtl/>
        </w:rPr>
        <w:t xml:space="preserve">ביותר </w:t>
      </w:r>
      <w:bookmarkStart w:id="67481" w:name="_ETM_Q118_369930"/>
      <w:bookmarkEnd w:id="67481"/>
      <w:r>
        <w:rPr>
          <w:rFonts w:hint="cs"/>
          <w:rtl/>
        </w:rPr>
        <w:t>בממשלה</w:t>
      </w:r>
      <w:r w:rsidR="002F1C45">
        <w:rPr>
          <w:rFonts w:hint="cs"/>
          <w:rtl/>
        </w:rPr>
        <w:t>.</w:t>
      </w:r>
      <w:r>
        <w:rPr>
          <w:rFonts w:hint="cs"/>
          <w:rtl/>
        </w:rPr>
        <w:t xml:space="preserve"> </w:t>
      </w:r>
      <w:bookmarkStart w:id="67482" w:name="_ETM_Q118_370529"/>
      <w:bookmarkEnd w:id="67482"/>
      <w:r>
        <w:rPr>
          <w:rFonts w:hint="cs"/>
          <w:rtl/>
        </w:rPr>
        <w:t xml:space="preserve">אז </w:t>
      </w:r>
      <w:bookmarkStart w:id="67483" w:name="_ETM_Q118_370769"/>
      <w:bookmarkEnd w:id="67483"/>
      <w:r>
        <w:rPr>
          <w:rFonts w:hint="cs"/>
          <w:rtl/>
        </w:rPr>
        <w:t xml:space="preserve">היא </w:t>
      </w:r>
      <w:bookmarkStart w:id="67484" w:name="_ETM_Q118_370829"/>
      <w:bookmarkEnd w:id="67484"/>
      <w:r>
        <w:rPr>
          <w:rFonts w:hint="cs"/>
          <w:rtl/>
        </w:rPr>
        <w:t xml:space="preserve">אומרת </w:t>
      </w:r>
      <w:bookmarkStart w:id="67485" w:name="_ETM_Q118_371069"/>
      <w:bookmarkEnd w:id="67485"/>
      <w:r w:rsidR="002F1C45">
        <w:rPr>
          <w:rFonts w:hint="cs"/>
          <w:rtl/>
        </w:rPr>
        <w:t>ש</w:t>
      </w:r>
      <w:r>
        <w:rPr>
          <w:rFonts w:hint="cs"/>
          <w:rtl/>
        </w:rPr>
        <w:t xml:space="preserve">יש </w:t>
      </w:r>
      <w:bookmarkStart w:id="67486" w:name="_ETM_Q118_371219"/>
      <w:bookmarkEnd w:id="67486"/>
      <w:r>
        <w:rPr>
          <w:rFonts w:hint="cs"/>
          <w:rtl/>
        </w:rPr>
        <w:t xml:space="preserve">אי-הסכמות </w:t>
      </w:r>
      <w:bookmarkStart w:id="67487" w:name="_ETM_Q118_371790"/>
      <w:bookmarkEnd w:id="67487"/>
      <w:r>
        <w:rPr>
          <w:rFonts w:hint="cs"/>
          <w:rtl/>
        </w:rPr>
        <w:t xml:space="preserve">בינם </w:t>
      </w:r>
      <w:bookmarkStart w:id="67488" w:name="_ETM_Q118_372150"/>
      <w:bookmarkEnd w:id="67488"/>
      <w:r>
        <w:rPr>
          <w:rFonts w:hint="cs"/>
          <w:rtl/>
        </w:rPr>
        <w:t xml:space="preserve">לבין </w:t>
      </w:r>
      <w:bookmarkStart w:id="67489" w:name="_ETM_Q118_372480"/>
      <w:bookmarkEnd w:id="67489"/>
      <w:r>
        <w:rPr>
          <w:rFonts w:hint="cs"/>
          <w:rtl/>
        </w:rPr>
        <w:t xml:space="preserve">משרד </w:t>
      </w:r>
      <w:bookmarkStart w:id="67490" w:name="_ETM_Q118_372840"/>
      <w:bookmarkEnd w:id="67490"/>
      <w:r>
        <w:rPr>
          <w:rFonts w:hint="cs"/>
          <w:rtl/>
        </w:rPr>
        <w:t xml:space="preserve">האוצר, </w:t>
      </w:r>
      <w:bookmarkStart w:id="67491" w:name="_ETM_Q118_373680"/>
      <w:bookmarkEnd w:id="67491"/>
      <w:r>
        <w:rPr>
          <w:rFonts w:hint="cs"/>
          <w:rtl/>
        </w:rPr>
        <w:t xml:space="preserve">ואז </w:t>
      </w:r>
      <w:bookmarkStart w:id="67492" w:name="_ETM_Q118_373919"/>
      <w:bookmarkEnd w:id="67492"/>
      <w:r>
        <w:rPr>
          <w:rFonts w:hint="cs"/>
          <w:rtl/>
        </w:rPr>
        <w:t xml:space="preserve">אני </w:t>
      </w:r>
      <w:bookmarkStart w:id="67493" w:name="_ETM_Q118_374069"/>
      <w:bookmarkEnd w:id="67493"/>
      <w:r>
        <w:rPr>
          <w:rFonts w:hint="cs"/>
          <w:rtl/>
        </w:rPr>
        <w:t xml:space="preserve">אומר: </w:t>
      </w:r>
      <w:bookmarkStart w:id="67494" w:name="_ETM_Q118_374279"/>
      <w:bookmarkEnd w:id="67494"/>
      <w:r>
        <w:rPr>
          <w:rFonts w:hint="cs"/>
          <w:rtl/>
        </w:rPr>
        <w:t xml:space="preserve">רגע, </w:t>
      </w:r>
      <w:bookmarkStart w:id="67495" w:name="_ETM_Q118_374549"/>
      <w:bookmarkEnd w:id="67495"/>
      <w:r>
        <w:rPr>
          <w:rFonts w:hint="cs"/>
          <w:rtl/>
        </w:rPr>
        <w:t xml:space="preserve">רגע. </w:t>
      </w:r>
      <w:bookmarkStart w:id="67496" w:name="_ETM_Q118_375060"/>
      <w:bookmarkEnd w:id="67496"/>
      <w:r>
        <w:rPr>
          <w:rFonts w:hint="cs"/>
          <w:rtl/>
        </w:rPr>
        <w:t>ז</w:t>
      </w:r>
      <w:bookmarkStart w:id="67497" w:name="_ETM_Q118_375209"/>
      <w:bookmarkEnd w:id="67497"/>
      <w:r w:rsidR="002F1C45">
        <w:rPr>
          <w:rFonts w:hint="cs"/>
          <w:rtl/>
        </w:rPr>
        <w:t xml:space="preserve">ו </w:t>
      </w:r>
      <w:r>
        <w:rPr>
          <w:rFonts w:hint="cs"/>
          <w:rtl/>
        </w:rPr>
        <w:t xml:space="preserve">הצעה </w:t>
      </w:r>
      <w:bookmarkStart w:id="67498" w:name="_ETM_Q118_375480"/>
      <w:bookmarkEnd w:id="67498"/>
      <w:r>
        <w:rPr>
          <w:rFonts w:hint="cs"/>
          <w:rtl/>
        </w:rPr>
        <w:t xml:space="preserve">ממשלתית. </w:t>
      </w:r>
      <w:bookmarkStart w:id="67499" w:name="_ETM_Q118_376620"/>
      <w:bookmarkEnd w:id="67499"/>
      <w:r>
        <w:rPr>
          <w:rFonts w:hint="cs"/>
          <w:rtl/>
        </w:rPr>
        <w:t xml:space="preserve">אם </w:t>
      </w:r>
      <w:bookmarkStart w:id="67500" w:name="_ETM_Q118_376799"/>
      <w:bookmarkEnd w:id="67500"/>
      <w:r>
        <w:rPr>
          <w:rFonts w:hint="cs"/>
          <w:rtl/>
        </w:rPr>
        <w:t xml:space="preserve">יש </w:t>
      </w:r>
      <w:bookmarkStart w:id="67501" w:name="_ETM_Q118_376980"/>
      <w:bookmarkEnd w:id="67501"/>
      <w:r>
        <w:rPr>
          <w:rFonts w:hint="cs"/>
          <w:rtl/>
        </w:rPr>
        <w:t xml:space="preserve">עמדת </w:t>
      </w:r>
      <w:bookmarkStart w:id="67502" w:name="_ETM_Q118_377310"/>
      <w:bookmarkEnd w:id="67502"/>
      <w:r>
        <w:rPr>
          <w:rFonts w:hint="cs"/>
          <w:rtl/>
        </w:rPr>
        <w:t xml:space="preserve">ממשלה, </w:t>
      </w:r>
      <w:bookmarkStart w:id="67503" w:name="_ETM_Q118_377939"/>
      <w:bookmarkEnd w:id="67503"/>
      <w:r>
        <w:rPr>
          <w:rFonts w:hint="cs"/>
          <w:rtl/>
        </w:rPr>
        <w:t xml:space="preserve">אתם </w:t>
      </w:r>
      <w:bookmarkStart w:id="67504" w:name="_ETM_Q118_378150"/>
      <w:bookmarkEnd w:id="67504"/>
      <w:r>
        <w:rPr>
          <w:rFonts w:hint="cs"/>
          <w:rtl/>
        </w:rPr>
        <w:t xml:space="preserve">באים </w:t>
      </w:r>
      <w:bookmarkStart w:id="67505" w:name="_ETM_Q118_378419"/>
      <w:bookmarkEnd w:id="67505"/>
      <w:r>
        <w:rPr>
          <w:rFonts w:hint="cs"/>
          <w:rtl/>
        </w:rPr>
        <w:t xml:space="preserve">ביחד, </w:t>
      </w:r>
      <w:bookmarkStart w:id="67506" w:name="_ETM_Q118_379650"/>
      <w:bookmarkEnd w:id="67506"/>
      <w:r>
        <w:rPr>
          <w:rFonts w:hint="cs"/>
          <w:rtl/>
        </w:rPr>
        <w:t xml:space="preserve">ואז </w:t>
      </w:r>
      <w:bookmarkStart w:id="67507" w:name="_ETM_Q118_379950"/>
      <w:bookmarkEnd w:id="67507"/>
      <w:r>
        <w:rPr>
          <w:rFonts w:hint="cs"/>
          <w:rtl/>
        </w:rPr>
        <w:t xml:space="preserve">התגלו </w:t>
      </w:r>
      <w:bookmarkStart w:id="67508" w:name="_ETM_Q118_380669"/>
      <w:bookmarkEnd w:id="67508"/>
      <w:r>
        <w:rPr>
          <w:rFonts w:hint="cs"/>
          <w:rtl/>
        </w:rPr>
        <w:t xml:space="preserve">פערים </w:t>
      </w:r>
      <w:bookmarkStart w:id="67509" w:name="_ETM_Q118_381269"/>
      <w:bookmarkEnd w:id="67509"/>
      <w:r>
        <w:rPr>
          <w:rFonts w:hint="cs"/>
          <w:rtl/>
        </w:rPr>
        <w:t>מאוד</w:t>
      </w:r>
      <w:bookmarkStart w:id="67510" w:name="_ETM_Q118_381569"/>
      <w:bookmarkEnd w:id="67510"/>
      <w:r>
        <w:rPr>
          <w:rFonts w:hint="cs"/>
          <w:rtl/>
        </w:rPr>
        <w:t xml:space="preserve"> מאוד </w:t>
      </w:r>
      <w:bookmarkStart w:id="67511" w:name="_ETM_Q118_381840"/>
      <w:bookmarkEnd w:id="67511"/>
      <w:r>
        <w:rPr>
          <w:rFonts w:hint="cs"/>
          <w:rtl/>
        </w:rPr>
        <w:t xml:space="preserve">גדולים, </w:t>
      </w:r>
      <w:bookmarkStart w:id="67512" w:name="_ETM_Q118_382290"/>
      <w:bookmarkEnd w:id="67512"/>
      <w:r>
        <w:rPr>
          <w:rFonts w:hint="cs"/>
          <w:rtl/>
        </w:rPr>
        <w:t xml:space="preserve">שלדעתי </w:t>
      </w:r>
      <w:bookmarkStart w:id="67513" w:name="_ETM_Q118_383610"/>
      <w:bookmarkEnd w:id="67513"/>
      <w:r>
        <w:rPr>
          <w:rFonts w:hint="cs"/>
          <w:rtl/>
        </w:rPr>
        <w:t xml:space="preserve">– היום </w:t>
      </w:r>
      <w:bookmarkStart w:id="67514" w:name="_ETM_Q118_383970"/>
      <w:bookmarkEnd w:id="67514"/>
      <w:r>
        <w:rPr>
          <w:rFonts w:hint="cs"/>
          <w:rtl/>
        </w:rPr>
        <w:t xml:space="preserve">ראיתי </w:t>
      </w:r>
      <w:bookmarkStart w:id="67515" w:name="_ETM_Q118_384270"/>
      <w:bookmarkEnd w:id="67515"/>
      <w:r>
        <w:rPr>
          <w:rFonts w:hint="cs"/>
          <w:rtl/>
        </w:rPr>
        <w:t xml:space="preserve">איזה </w:t>
      </w:r>
      <w:bookmarkStart w:id="67516" w:name="_ETM_Q118_384450"/>
      <w:bookmarkEnd w:id="67516"/>
      <w:r>
        <w:rPr>
          <w:rFonts w:hint="cs"/>
          <w:rtl/>
        </w:rPr>
        <w:t xml:space="preserve">פוש, </w:t>
      </w:r>
      <w:bookmarkStart w:id="67517" w:name="_ETM_Q118_386190"/>
      <w:bookmarkEnd w:id="67517"/>
      <w:r>
        <w:rPr>
          <w:rFonts w:hint="cs"/>
          <w:rtl/>
        </w:rPr>
        <w:t xml:space="preserve">לדעתי </w:t>
      </w:r>
      <w:bookmarkStart w:id="67518" w:name="_ETM_Q118_386580"/>
      <w:bookmarkEnd w:id="67518"/>
      <w:r>
        <w:rPr>
          <w:rFonts w:hint="cs"/>
          <w:rtl/>
        </w:rPr>
        <w:t xml:space="preserve">זה </w:t>
      </w:r>
      <w:bookmarkStart w:id="67519" w:name="_ETM_Q118_386700"/>
      <w:bookmarkEnd w:id="67519"/>
      <w:r>
        <w:rPr>
          <w:rFonts w:hint="cs"/>
          <w:rtl/>
        </w:rPr>
        <w:t xml:space="preserve">היה </w:t>
      </w:r>
      <w:bookmarkStart w:id="67520" w:name="_ETM_Q118_386819"/>
      <w:bookmarkEnd w:id="67520"/>
      <w:r>
        <w:rPr>
          <w:rFonts w:hint="cs"/>
          <w:rtl/>
        </w:rPr>
        <w:t xml:space="preserve">בארץ, </w:t>
      </w:r>
      <w:bookmarkStart w:id="67521" w:name="_ETM_Q118_387870"/>
      <w:bookmarkEnd w:id="67521"/>
      <w:r>
        <w:rPr>
          <w:rFonts w:hint="cs"/>
          <w:rtl/>
        </w:rPr>
        <w:t xml:space="preserve">שמירי </w:t>
      </w:r>
      <w:bookmarkStart w:id="67522" w:name="_ETM_Q118_388350"/>
      <w:bookmarkEnd w:id="67522"/>
      <w:r>
        <w:rPr>
          <w:rFonts w:hint="cs"/>
          <w:rtl/>
        </w:rPr>
        <w:t xml:space="preserve">רגב </w:t>
      </w:r>
      <w:bookmarkStart w:id="67523" w:name="_ETM_Q118_388680"/>
      <w:bookmarkEnd w:id="67523"/>
      <w:r>
        <w:rPr>
          <w:rFonts w:hint="cs"/>
          <w:rtl/>
        </w:rPr>
        <w:t xml:space="preserve">קיבלה </w:t>
      </w:r>
      <w:bookmarkStart w:id="67524" w:name="_ETM_Q118_389010"/>
      <w:bookmarkEnd w:id="67524"/>
      <w:r>
        <w:rPr>
          <w:rFonts w:hint="cs"/>
          <w:rtl/>
        </w:rPr>
        <w:t xml:space="preserve">מיליארדים </w:t>
      </w:r>
      <w:bookmarkStart w:id="67525" w:name="_ETM_Q118_389520"/>
      <w:bookmarkEnd w:id="67525"/>
      <w:r>
        <w:rPr>
          <w:rFonts w:hint="cs"/>
          <w:rtl/>
        </w:rPr>
        <w:t>ואז היא ת</w:t>
      </w:r>
      <w:bookmarkStart w:id="67526" w:name="_ETM_Q118_389730"/>
      <w:bookmarkEnd w:id="67526"/>
      <w:r>
        <w:rPr>
          <w:rFonts w:hint="cs"/>
          <w:rtl/>
        </w:rPr>
        <w:t xml:space="preserve">שחרר </w:t>
      </w:r>
      <w:bookmarkStart w:id="67527" w:name="_ETM_Q118_390180"/>
      <w:bookmarkEnd w:id="67527"/>
      <w:r>
        <w:rPr>
          <w:rFonts w:hint="cs"/>
          <w:rtl/>
        </w:rPr>
        <w:t xml:space="preserve">את </w:t>
      </w:r>
      <w:bookmarkStart w:id="67528" w:name="_ETM_Q118_390300"/>
      <w:bookmarkEnd w:id="67528"/>
      <w:r>
        <w:rPr>
          <w:rFonts w:hint="cs"/>
          <w:rtl/>
        </w:rPr>
        <w:t xml:space="preserve">המטרו. </w:t>
      </w:r>
      <w:bookmarkStart w:id="67529" w:name="_ETM_Q118_391220"/>
      <w:bookmarkStart w:id="67530" w:name="_ETM_Q118_391490"/>
      <w:bookmarkStart w:id="67531" w:name="_ETM_Q118_398694"/>
      <w:bookmarkEnd w:id="67529"/>
      <w:bookmarkEnd w:id="67530"/>
      <w:bookmarkEnd w:id="67531"/>
    </w:p>
    <w:p w:rsidR="00BB59CD" w:rsidRDefault="00BB59CD" w:rsidP="00BB59CD">
      <w:pPr>
        <w:rPr>
          <w:rtl/>
        </w:rPr>
      </w:pPr>
      <w:bookmarkStart w:id="67532" w:name="_ETM_Q118_398803"/>
      <w:bookmarkEnd w:id="67532"/>
    </w:p>
    <w:p w:rsidR="00BB59CD" w:rsidRDefault="00BB59CD" w:rsidP="002F1C45">
      <w:pPr>
        <w:rPr>
          <w:rtl/>
        </w:rPr>
      </w:pPr>
      <w:bookmarkStart w:id="67533" w:name="_ETM_Q118_399021"/>
      <w:bookmarkStart w:id="67534" w:name="_ETM_Q118_399067"/>
      <w:bookmarkEnd w:id="67533"/>
      <w:bookmarkEnd w:id="67534"/>
      <w:r>
        <w:rPr>
          <w:rFonts w:hint="cs"/>
          <w:rtl/>
        </w:rPr>
        <w:t xml:space="preserve">צריך </w:t>
      </w:r>
      <w:bookmarkStart w:id="67535" w:name="_ETM_Q118_393030"/>
      <w:bookmarkEnd w:id="67535"/>
      <w:r>
        <w:rPr>
          <w:rFonts w:hint="cs"/>
          <w:rtl/>
        </w:rPr>
        <w:t xml:space="preserve">לשלם </w:t>
      </w:r>
      <w:bookmarkStart w:id="67536" w:name="_ETM_Q118_393750"/>
      <w:bookmarkEnd w:id="67536"/>
      <w:r>
        <w:rPr>
          <w:rFonts w:hint="cs"/>
          <w:rtl/>
        </w:rPr>
        <w:t xml:space="preserve">מיליארדים </w:t>
      </w:r>
      <w:bookmarkStart w:id="67537" w:name="_ETM_Q118_394439"/>
      <w:bookmarkEnd w:id="67537"/>
      <w:r>
        <w:rPr>
          <w:rFonts w:hint="cs"/>
          <w:rtl/>
        </w:rPr>
        <w:t xml:space="preserve">למירי </w:t>
      </w:r>
      <w:bookmarkStart w:id="67538" w:name="_ETM_Q118_394829"/>
      <w:bookmarkEnd w:id="67538"/>
      <w:r>
        <w:rPr>
          <w:rFonts w:hint="cs"/>
          <w:rtl/>
        </w:rPr>
        <w:t xml:space="preserve">רגב </w:t>
      </w:r>
      <w:bookmarkStart w:id="67539" w:name="_ETM_Q118_395310"/>
      <w:bookmarkEnd w:id="67539"/>
      <w:r>
        <w:rPr>
          <w:rFonts w:hint="cs"/>
          <w:rtl/>
        </w:rPr>
        <w:t xml:space="preserve">כדי </w:t>
      </w:r>
      <w:bookmarkStart w:id="67540" w:name="_ETM_Q118_395579"/>
      <w:bookmarkEnd w:id="67540"/>
      <w:r>
        <w:rPr>
          <w:rFonts w:hint="cs"/>
          <w:rtl/>
        </w:rPr>
        <w:t xml:space="preserve">שתיתן </w:t>
      </w:r>
      <w:bookmarkStart w:id="67541" w:name="_ETM_Q118_396090"/>
      <w:bookmarkEnd w:id="67541"/>
      <w:r>
        <w:rPr>
          <w:rFonts w:hint="cs"/>
          <w:rtl/>
        </w:rPr>
        <w:t xml:space="preserve">לתושבי </w:t>
      </w:r>
      <w:bookmarkStart w:id="67542" w:name="_ETM_Q118_396569"/>
      <w:bookmarkEnd w:id="67542"/>
      <w:r>
        <w:rPr>
          <w:rFonts w:hint="cs"/>
          <w:rtl/>
        </w:rPr>
        <w:t xml:space="preserve">ותושבות </w:t>
      </w:r>
      <w:bookmarkStart w:id="67543" w:name="_ETM_Q118_397049"/>
      <w:bookmarkEnd w:id="67543"/>
      <w:r>
        <w:rPr>
          <w:rFonts w:hint="cs"/>
          <w:rtl/>
        </w:rPr>
        <w:t xml:space="preserve">מדינת </w:t>
      </w:r>
      <w:bookmarkStart w:id="67544" w:name="_ETM_Q118_397379"/>
      <w:bookmarkEnd w:id="67544"/>
      <w:r>
        <w:rPr>
          <w:rFonts w:hint="cs"/>
          <w:rtl/>
        </w:rPr>
        <w:t xml:space="preserve">ישראל </w:t>
      </w:r>
      <w:bookmarkStart w:id="67545" w:name="_ETM_Q118_397799"/>
      <w:bookmarkEnd w:id="67545"/>
      <w:r>
        <w:rPr>
          <w:rFonts w:hint="cs"/>
          <w:rtl/>
        </w:rPr>
        <w:t>מטרו</w:t>
      </w:r>
      <w:bookmarkStart w:id="67546" w:name="_ETM_Q118_398849"/>
      <w:bookmarkEnd w:id="67546"/>
      <w:r>
        <w:rPr>
          <w:rFonts w:hint="cs"/>
          <w:rtl/>
        </w:rPr>
        <w:t xml:space="preserve">, דבר </w:t>
      </w:r>
      <w:bookmarkStart w:id="67547" w:name="_ETM_Q118_399209"/>
      <w:bookmarkEnd w:id="67547"/>
      <w:r>
        <w:rPr>
          <w:rFonts w:hint="cs"/>
          <w:rtl/>
        </w:rPr>
        <w:t xml:space="preserve">שבכל </w:t>
      </w:r>
      <w:bookmarkStart w:id="67548" w:name="_ETM_Q118_399719"/>
      <w:bookmarkEnd w:id="67548"/>
      <w:r>
        <w:rPr>
          <w:rFonts w:hint="cs"/>
          <w:rtl/>
        </w:rPr>
        <w:t xml:space="preserve">מדינה </w:t>
      </w:r>
      <w:bookmarkStart w:id="67549" w:name="_ETM_Q118_400140"/>
      <w:bookmarkEnd w:id="67549"/>
      <w:r>
        <w:rPr>
          <w:rFonts w:hint="cs"/>
          <w:rtl/>
        </w:rPr>
        <w:t xml:space="preserve">מתוקנת </w:t>
      </w:r>
      <w:bookmarkStart w:id="67550" w:name="_ETM_Q118_400739"/>
      <w:bookmarkEnd w:id="67550"/>
      <w:r>
        <w:rPr>
          <w:rFonts w:hint="cs"/>
          <w:rtl/>
        </w:rPr>
        <w:t xml:space="preserve">אחרת </w:t>
      </w:r>
      <w:bookmarkStart w:id="67551" w:name="_ETM_Q118_401809"/>
      <w:bookmarkEnd w:id="67551"/>
      <w:r>
        <w:rPr>
          <w:rFonts w:hint="cs"/>
          <w:rtl/>
        </w:rPr>
        <w:t xml:space="preserve">קיים. </w:t>
      </w:r>
      <w:bookmarkStart w:id="67552" w:name="_ETM_Q118_402969"/>
      <w:bookmarkStart w:id="67553" w:name="_ETM_Q118_403269"/>
      <w:bookmarkEnd w:id="67552"/>
      <w:bookmarkEnd w:id="67553"/>
      <w:r>
        <w:rPr>
          <w:rFonts w:hint="cs"/>
          <w:rtl/>
        </w:rPr>
        <w:t xml:space="preserve">ואתם </w:t>
      </w:r>
      <w:bookmarkStart w:id="67554" w:name="_ETM_Q118_403480"/>
      <w:bookmarkEnd w:id="67554"/>
      <w:r>
        <w:rPr>
          <w:rFonts w:hint="cs"/>
          <w:rtl/>
        </w:rPr>
        <w:t xml:space="preserve">מדברים </w:t>
      </w:r>
      <w:bookmarkStart w:id="67555" w:name="_ETM_Q118_403840"/>
      <w:bookmarkEnd w:id="67555"/>
      <w:r>
        <w:rPr>
          <w:rFonts w:hint="cs"/>
          <w:rtl/>
        </w:rPr>
        <w:t xml:space="preserve">איתי </w:t>
      </w:r>
      <w:bookmarkStart w:id="67556" w:name="_ETM_Q118_404469"/>
      <w:bookmarkEnd w:id="67556"/>
      <w:r>
        <w:rPr>
          <w:rFonts w:hint="cs"/>
          <w:rtl/>
        </w:rPr>
        <w:t xml:space="preserve">על </w:t>
      </w:r>
      <w:bookmarkStart w:id="67557" w:name="_ETM_Q118_404620"/>
      <w:bookmarkEnd w:id="67557"/>
      <w:r>
        <w:rPr>
          <w:rFonts w:hint="cs"/>
          <w:rtl/>
        </w:rPr>
        <w:t xml:space="preserve">רכבת </w:t>
      </w:r>
      <w:bookmarkStart w:id="67558" w:name="_ETM_Q118_405069"/>
      <w:bookmarkEnd w:id="67558"/>
      <w:r>
        <w:rPr>
          <w:rFonts w:hint="cs"/>
          <w:rtl/>
        </w:rPr>
        <w:t xml:space="preserve">מנהריה </w:t>
      </w:r>
      <w:bookmarkStart w:id="67559" w:name="_ETM_Q118_405640"/>
      <w:bookmarkEnd w:id="67559"/>
      <w:r>
        <w:rPr>
          <w:rFonts w:hint="cs"/>
          <w:rtl/>
        </w:rPr>
        <w:t xml:space="preserve">לתל </w:t>
      </w:r>
      <w:bookmarkStart w:id="67560" w:name="_ETM_Q118_405939"/>
      <w:bookmarkEnd w:id="67560"/>
      <w:r>
        <w:rPr>
          <w:rFonts w:hint="cs"/>
          <w:rtl/>
        </w:rPr>
        <w:t xml:space="preserve">אביב, </w:t>
      </w:r>
      <w:bookmarkStart w:id="67561" w:name="_ETM_Q118_406599"/>
      <w:bookmarkEnd w:id="67561"/>
      <w:r>
        <w:rPr>
          <w:rFonts w:hint="cs"/>
          <w:rtl/>
        </w:rPr>
        <w:t xml:space="preserve">שהטורקים </w:t>
      </w:r>
      <w:bookmarkStart w:id="67562" w:name="_ETM_Q118_407319"/>
      <w:bookmarkEnd w:id="67562"/>
      <w:r>
        <w:rPr>
          <w:rFonts w:hint="cs"/>
          <w:rtl/>
        </w:rPr>
        <w:t xml:space="preserve">עשו </w:t>
      </w:r>
      <w:bookmarkStart w:id="67563" w:name="_ETM_Q118_407530"/>
      <w:bookmarkEnd w:id="67563"/>
      <w:r>
        <w:rPr>
          <w:rFonts w:hint="cs"/>
          <w:rtl/>
        </w:rPr>
        <w:t xml:space="preserve">כבר </w:t>
      </w:r>
      <w:bookmarkStart w:id="67564" w:name="_ETM_Q118_407739"/>
      <w:bookmarkEnd w:id="67564"/>
      <w:r>
        <w:rPr>
          <w:rFonts w:hint="cs"/>
          <w:rtl/>
        </w:rPr>
        <w:t xml:space="preserve">ב-1917 </w:t>
      </w:r>
      <w:bookmarkStart w:id="67565" w:name="_ETM_Q118_408999"/>
      <w:bookmarkEnd w:id="67565"/>
      <w:r>
        <w:rPr>
          <w:rFonts w:hint="cs"/>
          <w:rtl/>
        </w:rPr>
        <w:t xml:space="preserve">פה, או </w:t>
      </w:r>
      <w:bookmarkStart w:id="67566" w:name="_ETM_Q118_409749"/>
      <w:bookmarkEnd w:id="67566"/>
      <w:r>
        <w:rPr>
          <w:rFonts w:hint="cs"/>
          <w:rtl/>
        </w:rPr>
        <w:t xml:space="preserve">אני </w:t>
      </w:r>
      <w:bookmarkStart w:id="67567" w:name="_ETM_Q118_409900"/>
      <w:bookmarkEnd w:id="67567"/>
      <w:r>
        <w:rPr>
          <w:rFonts w:hint="cs"/>
          <w:rtl/>
        </w:rPr>
        <w:t xml:space="preserve">לא </w:t>
      </w:r>
      <w:bookmarkStart w:id="67568" w:name="_ETM_Q118_410019"/>
      <w:bookmarkEnd w:id="67568"/>
      <w:r>
        <w:rPr>
          <w:rFonts w:hint="cs"/>
          <w:rtl/>
        </w:rPr>
        <w:t xml:space="preserve">יודע </w:t>
      </w:r>
      <w:bookmarkStart w:id="67569" w:name="_ETM_Q118_410230"/>
      <w:bookmarkEnd w:id="67569"/>
      <w:r>
        <w:rPr>
          <w:rFonts w:hint="cs"/>
          <w:rtl/>
        </w:rPr>
        <w:t xml:space="preserve">כבר </w:t>
      </w:r>
      <w:bookmarkStart w:id="67570" w:name="_ETM_Q118_410680"/>
      <w:bookmarkEnd w:id="67570"/>
      <w:r>
        <w:rPr>
          <w:rFonts w:hint="cs"/>
          <w:rtl/>
        </w:rPr>
        <w:t xml:space="preserve">מאיזה </w:t>
      </w:r>
      <w:bookmarkStart w:id="67571" w:name="_ETM_Q118_411340"/>
      <w:bookmarkEnd w:id="67571"/>
      <w:r>
        <w:rPr>
          <w:rFonts w:hint="cs"/>
          <w:rtl/>
        </w:rPr>
        <w:t xml:space="preserve">שנה. </w:t>
      </w:r>
      <w:bookmarkStart w:id="67572" w:name="_ETM_Q118_411999"/>
      <w:bookmarkEnd w:id="67572"/>
      <w:r>
        <w:rPr>
          <w:rFonts w:hint="cs"/>
          <w:rtl/>
        </w:rPr>
        <w:t xml:space="preserve">כאילו </w:t>
      </w:r>
      <w:bookmarkStart w:id="67573" w:name="_ETM_Q118_412329"/>
      <w:bookmarkEnd w:id="67573"/>
      <w:r>
        <w:rPr>
          <w:rFonts w:hint="cs"/>
          <w:rtl/>
        </w:rPr>
        <w:t xml:space="preserve">זה </w:t>
      </w:r>
      <w:bookmarkStart w:id="67574" w:name="_ETM_Q118_412510"/>
      <w:bookmarkStart w:id="67575" w:name="_ETM_Q118_413079"/>
      <w:bookmarkEnd w:id="67574"/>
      <w:bookmarkEnd w:id="67575"/>
      <w:r>
        <w:rPr>
          <w:rFonts w:hint="cs"/>
          <w:rtl/>
        </w:rPr>
        <w:t xml:space="preserve">שיא החדשנות </w:t>
      </w:r>
      <w:bookmarkStart w:id="67576" w:name="_ETM_Q118_413859"/>
      <w:bookmarkEnd w:id="67576"/>
      <w:r>
        <w:rPr>
          <w:rFonts w:hint="cs"/>
          <w:rtl/>
        </w:rPr>
        <w:t xml:space="preserve">ואיזו </w:t>
      </w:r>
      <w:bookmarkStart w:id="67577" w:name="_ETM_Q118_414219"/>
      <w:bookmarkEnd w:id="67577"/>
      <w:r>
        <w:rPr>
          <w:rFonts w:hint="cs"/>
          <w:rtl/>
        </w:rPr>
        <w:t xml:space="preserve">פריחה </w:t>
      </w:r>
      <w:bookmarkStart w:id="67578" w:name="_ETM_Q118_414609"/>
      <w:bookmarkEnd w:id="67578"/>
      <w:r>
        <w:rPr>
          <w:rFonts w:hint="cs"/>
          <w:rtl/>
        </w:rPr>
        <w:t xml:space="preserve">לפריפריה, </w:t>
      </w:r>
      <w:bookmarkStart w:id="67579" w:name="_ETM_Q118_415659"/>
      <w:bookmarkEnd w:id="67579"/>
      <w:r>
        <w:rPr>
          <w:rFonts w:hint="cs"/>
          <w:rtl/>
        </w:rPr>
        <w:t xml:space="preserve">רכבת </w:t>
      </w:r>
      <w:bookmarkStart w:id="67580" w:name="_ETM_Q118_416640"/>
      <w:bookmarkEnd w:id="67580"/>
      <w:r>
        <w:rPr>
          <w:rFonts w:hint="cs"/>
          <w:rtl/>
        </w:rPr>
        <w:t xml:space="preserve">שעשו </w:t>
      </w:r>
      <w:bookmarkStart w:id="67581" w:name="_ETM_Q118_417060"/>
      <w:bookmarkEnd w:id="67581"/>
      <w:r>
        <w:rPr>
          <w:rFonts w:hint="cs"/>
          <w:rtl/>
        </w:rPr>
        <w:t xml:space="preserve">כבר </w:t>
      </w:r>
      <w:bookmarkStart w:id="67582" w:name="_ETM_Q118_417299"/>
      <w:bookmarkEnd w:id="67582"/>
      <w:r>
        <w:rPr>
          <w:rFonts w:hint="cs"/>
          <w:rtl/>
        </w:rPr>
        <w:t xml:space="preserve">לפני </w:t>
      </w:r>
      <w:bookmarkStart w:id="67583" w:name="_ETM_Q118_418230"/>
      <w:bookmarkEnd w:id="67583"/>
      <w:r>
        <w:rPr>
          <w:rFonts w:hint="cs"/>
          <w:rtl/>
        </w:rPr>
        <w:t xml:space="preserve">100 </w:t>
      </w:r>
      <w:bookmarkStart w:id="67584" w:name="_ETM_Q118_418590"/>
      <w:bookmarkEnd w:id="67584"/>
      <w:r>
        <w:rPr>
          <w:rFonts w:hint="cs"/>
          <w:rtl/>
        </w:rPr>
        <w:t xml:space="preserve">שנה </w:t>
      </w:r>
      <w:bookmarkStart w:id="67585" w:name="_ETM_Q118_419370"/>
      <w:bookmarkEnd w:id="67585"/>
      <w:r>
        <w:rPr>
          <w:rFonts w:hint="cs"/>
          <w:rtl/>
        </w:rPr>
        <w:t xml:space="preserve">– באמת </w:t>
      </w:r>
      <w:bookmarkStart w:id="67586" w:name="_ETM_Q118_419760"/>
      <w:bookmarkEnd w:id="67586"/>
      <w:r w:rsidR="002F1C45">
        <w:rPr>
          <w:rFonts w:hint="cs"/>
          <w:rtl/>
        </w:rPr>
        <w:t xml:space="preserve">על </w:t>
      </w:r>
      <w:r>
        <w:rPr>
          <w:rFonts w:hint="cs"/>
          <w:rtl/>
        </w:rPr>
        <w:t xml:space="preserve">זה </w:t>
      </w:r>
      <w:bookmarkStart w:id="67587" w:name="_ETM_Q118_420150"/>
      <w:bookmarkEnd w:id="67587"/>
      <w:r>
        <w:rPr>
          <w:rFonts w:hint="cs"/>
          <w:rtl/>
        </w:rPr>
        <w:t xml:space="preserve">הגאווה </w:t>
      </w:r>
      <w:bookmarkStart w:id="67588" w:name="_ETM_Q118_420780"/>
      <w:bookmarkEnd w:id="67588"/>
      <w:r>
        <w:rPr>
          <w:rFonts w:hint="cs"/>
          <w:rtl/>
        </w:rPr>
        <w:t xml:space="preserve">הגדולה </w:t>
      </w:r>
      <w:bookmarkStart w:id="67589" w:name="_ETM_Q118_421170"/>
      <w:bookmarkEnd w:id="67589"/>
      <w:r>
        <w:rPr>
          <w:rFonts w:hint="cs"/>
          <w:rtl/>
        </w:rPr>
        <w:t xml:space="preserve">של </w:t>
      </w:r>
      <w:bookmarkStart w:id="67590" w:name="_ETM_Q118_421890"/>
      <w:bookmarkEnd w:id="67590"/>
      <w:r>
        <w:rPr>
          <w:rFonts w:hint="cs"/>
          <w:rtl/>
        </w:rPr>
        <w:t xml:space="preserve">מירי </w:t>
      </w:r>
      <w:bookmarkStart w:id="67591" w:name="_ETM_Q118_422220"/>
      <w:bookmarkEnd w:id="67591"/>
      <w:r>
        <w:rPr>
          <w:rFonts w:hint="cs"/>
          <w:rtl/>
        </w:rPr>
        <w:t>רגב</w:t>
      </w:r>
      <w:r w:rsidR="002F1C45">
        <w:rPr>
          <w:rFonts w:hint="cs"/>
          <w:rtl/>
        </w:rPr>
        <w:t>.</w:t>
      </w:r>
      <w:r>
        <w:rPr>
          <w:rFonts w:hint="cs"/>
          <w:rtl/>
        </w:rPr>
        <w:t xml:space="preserve"> </w:t>
      </w:r>
      <w:bookmarkStart w:id="67592" w:name="_ETM_Q118_423280"/>
      <w:bookmarkEnd w:id="67592"/>
      <w:r>
        <w:rPr>
          <w:rFonts w:hint="cs"/>
          <w:rtl/>
        </w:rPr>
        <w:t xml:space="preserve">הזמן </w:t>
      </w:r>
      <w:bookmarkStart w:id="67593" w:name="_ETM_Q118_424390"/>
      <w:bookmarkEnd w:id="67593"/>
      <w:r>
        <w:rPr>
          <w:rFonts w:hint="cs"/>
          <w:rtl/>
        </w:rPr>
        <w:t>של</w:t>
      </w:r>
      <w:bookmarkStart w:id="67594" w:name="_ETM_Q118_424690"/>
      <w:bookmarkEnd w:id="67594"/>
      <w:r>
        <w:rPr>
          <w:rFonts w:hint="cs"/>
          <w:rtl/>
        </w:rPr>
        <w:t xml:space="preserve">ה – תגיד </w:t>
      </w:r>
      <w:bookmarkStart w:id="67595" w:name="_ETM_Q118_424930"/>
      <w:bookmarkEnd w:id="67595"/>
      <w:r>
        <w:rPr>
          <w:rFonts w:hint="cs"/>
          <w:rtl/>
        </w:rPr>
        <w:t xml:space="preserve">זה </w:t>
      </w:r>
      <w:bookmarkStart w:id="67596" w:name="_ETM_Q118_425020"/>
      <w:bookmarkEnd w:id="67596"/>
      <w:r>
        <w:rPr>
          <w:rFonts w:hint="cs"/>
          <w:rtl/>
        </w:rPr>
        <w:t xml:space="preserve">מצפצף </w:t>
      </w:r>
      <w:bookmarkStart w:id="67597" w:name="_ETM_Q118_425470"/>
      <w:bookmarkEnd w:id="67597"/>
      <w:r>
        <w:rPr>
          <w:rFonts w:hint="cs"/>
          <w:rtl/>
        </w:rPr>
        <w:t xml:space="preserve">לך </w:t>
      </w:r>
      <w:bookmarkStart w:id="67598" w:name="_ETM_Q118_425590"/>
      <w:bookmarkEnd w:id="67598"/>
      <w:r>
        <w:rPr>
          <w:rFonts w:hint="cs"/>
          <w:rtl/>
        </w:rPr>
        <w:t>עכשיו</w:t>
      </w:r>
      <w:r w:rsidR="002F1C45">
        <w:rPr>
          <w:rFonts w:hint="cs"/>
          <w:rtl/>
        </w:rPr>
        <w:t>,</w:t>
      </w:r>
      <w:r>
        <w:rPr>
          <w:rFonts w:hint="cs"/>
          <w:rtl/>
        </w:rPr>
        <w:t xml:space="preserve"> </w:t>
      </w:r>
      <w:bookmarkStart w:id="67599" w:name="_ETM_Q118_425830"/>
      <w:bookmarkEnd w:id="67599"/>
      <w:r>
        <w:rPr>
          <w:rFonts w:hint="cs"/>
          <w:rtl/>
        </w:rPr>
        <w:t xml:space="preserve">נגיד, </w:t>
      </w:r>
      <w:bookmarkStart w:id="67600" w:name="_ETM_Q118_426069"/>
      <w:bookmarkEnd w:id="67600"/>
      <w:r>
        <w:rPr>
          <w:rFonts w:hint="cs"/>
          <w:rtl/>
        </w:rPr>
        <w:t xml:space="preserve">כשנגמר </w:t>
      </w:r>
      <w:bookmarkStart w:id="67601" w:name="_ETM_Q118_426850"/>
      <w:bookmarkEnd w:id="67601"/>
      <w:r>
        <w:rPr>
          <w:rFonts w:hint="cs"/>
          <w:rtl/>
        </w:rPr>
        <w:t xml:space="preserve">לי </w:t>
      </w:r>
      <w:bookmarkStart w:id="67602" w:name="_ETM_Q118_426940"/>
      <w:bookmarkEnd w:id="67602"/>
      <w:r>
        <w:rPr>
          <w:rFonts w:hint="cs"/>
          <w:rtl/>
        </w:rPr>
        <w:t xml:space="preserve">הזמן? או שמהבהב לך: </w:t>
      </w:r>
      <w:bookmarkStart w:id="67603" w:name="_ETM_Q118_427690"/>
      <w:bookmarkStart w:id="67604" w:name="_ETM_Q118_427840"/>
      <w:bookmarkStart w:id="67605" w:name="_ETM_Q118_428440"/>
      <w:bookmarkEnd w:id="67603"/>
      <w:bookmarkEnd w:id="67604"/>
      <w:bookmarkEnd w:id="67605"/>
      <w:r>
        <w:rPr>
          <w:rFonts w:hint="cs"/>
          <w:rtl/>
        </w:rPr>
        <w:t xml:space="preserve">תעיף </w:t>
      </w:r>
      <w:bookmarkStart w:id="67606" w:name="_ETM_Q118_428800"/>
      <w:bookmarkEnd w:id="67606"/>
      <w:r>
        <w:rPr>
          <w:rFonts w:hint="cs"/>
          <w:rtl/>
        </w:rPr>
        <w:t xml:space="preserve">אותו, </w:t>
      </w:r>
      <w:bookmarkStart w:id="67607" w:name="_ETM_Q118_429069"/>
      <w:bookmarkEnd w:id="67607"/>
      <w:r>
        <w:rPr>
          <w:rFonts w:hint="cs"/>
          <w:rtl/>
        </w:rPr>
        <w:t>כזה?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2F1C45">
      <w:pPr>
        <w:rPr>
          <w:rtl/>
        </w:rPr>
      </w:pPr>
      <w:bookmarkStart w:id="67608" w:name="_ETM_Q118_428857"/>
      <w:bookmarkEnd w:id="67608"/>
      <w:r>
        <w:rPr>
          <w:rFonts w:hint="cs"/>
          <w:rtl/>
        </w:rPr>
        <w:t>אני יודע.</w:t>
      </w:r>
      <w:r w:rsidR="002F1C45">
        <w:rPr>
          <w:rFonts w:hint="cs"/>
          <w:rtl/>
        </w:rPr>
        <w:t xml:space="preserve"> </w:t>
      </w:r>
      <w:bookmarkStart w:id="67609" w:name="_ETM_Q118_429375"/>
      <w:bookmarkStart w:id="67610" w:name="_ETM_Q118_429454"/>
      <w:bookmarkEnd w:id="67609"/>
      <w:bookmarkEnd w:id="67610"/>
      <w:r>
        <w:rPr>
          <w:rFonts w:hint="cs"/>
          <w:rtl/>
        </w:rPr>
        <w:t>יש גם פטיש.</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BB59CD" w:rsidRDefault="00BB59CD" w:rsidP="00337201">
      <w:pPr>
        <w:rPr>
          <w:rtl/>
        </w:rPr>
      </w:pPr>
    </w:p>
    <w:p w:rsidR="00BB59CD" w:rsidRDefault="002F1C45" w:rsidP="00BB59CD">
      <w:pPr>
        <w:rPr>
          <w:rtl/>
        </w:rPr>
      </w:pPr>
      <w:bookmarkStart w:id="67611" w:name="_ETM_Q118_431340"/>
      <w:bookmarkStart w:id="67612" w:name="_ETM_Q118_431549"/>
      <w:bookmarkStart w:id="67613" w:name="_ETM_Q118_432000"/>
      <w:bookmarkStart w:id="67614" w:name="_ETM_Q118_432420"/>
      <w:bookmarkStart w:id="67615" w:name="_ETM_Q118_432720"/>
      <w:bookmarkStart w:id="67616" w:name="_ETM_Q118_433170"/>
      <w:bookmarkEnd w:id="67611"/>
      <w:bookmarkEnd w:id="67612"/>
      <w:bookmarkEnd w:id="67613"/>
      <w:bookmarkEnd w:id="67614"/>
      <w:bookmarkEnd w:id="67615"/>
      <w:bookmarkEnd w:id="67616"/>
      <w:r>
        <w:rPr>
          <w:rFonts w:hint="cs"/>
          <w:rtl/>
        </w:rPr>
        <w:t>ו</w:t>
      </w:r>
      <w:r w:rsidR="00BB59CD">
        <w:rPr>
          <w:rFonts w:hint="cs"/>
          <w:rtl/>
        </w:rPr>
        <w:t xml:space="preserve">ואו. </w:t>
      </w:r>
      <w:bookmarkStart w:id="67617" w:name="_ETM_Q118_433950"/>
      <w:bookmarkEnd w:id="67617"/>
      <w:r w:rsidR="00BB59CD">
        <w:rPr>
          <w:rFonts w:hint="cs"/>
          <w:rtl/>
        </w:rPr>
        <w:t xml:space="preserve">זה </w:t>
      </w:r>
      <w:bookmarkStart w:id="67618" w:name="_ETM_Q118_434129"/>
      <w:bookmarkEnd w:id="67618"/>
      <w:r w:rsidR="00BB59CD">
        <w:rPr>
          <w:rFonts w:hint="cs"/>
          <w:rtl/>
        </w:rPr>
        <w:t xml:space="preserve">היה </w:t>
      </w:r>
      <w:bookmarkStart w:id="67619" w:name="_ETM_Q118_434250"/>
      <w:bookmarkEnd w:id="67619"/>
      <w:r w:rsidR="00BB59CD">
        <w:rPr>
          <w:rFonts w:hint="cs"/>
          <w:rtl/>
        </w:rPr>
        <w:t xml:space="preserve">מאוד </w:t>
      </w:r>
      <w:bookmarkStart w:id="67620" w:name="_ETM_Q118_434489"/>
      <w:bookmarkEnd w:id="67620"/>
      <w:r w:rsidR="00BB59CD">
        <w:rPr>
          <w:rFonts w:hint="cs"/>
          <w:rtl/>
        </w:rPr>
        <w:t xml:space="preserve">רשמי </w:t>
      </w:r>
      <w:bookmarkStart w:id="67621" w:name="_ETM_Q118_434879"/>
      <w:bookmarkEnd w:id="67621"/>
      <w:r w:rsidR="00BB59CD">
        <w:rPr>
          <w:rFonts w:hint="cs"/>
          <w:rtl/>
        </w:rPr>
        <w:t xml:space="preserve">ומפחיד </w:t>
      </w:r>
      <w:bookmarkStart w:id="67622" w:name="_ETM_Q118_435420"/>
      <w:bookmarkEnd w:id="67622"/>
      <w:r w:rsidR="00BB59CD">
        <w:rPr>
          <w:rFonts w:hint="cs"/>
          <w:rtl/>
        </w:rPr>
        <w:t xml:space="preserve">אפילו. </w:t>
      </w:r>
      <w:bookmarkStart w:id="67623" w:name="_ETM_Q118_436250"/>
      <w:bookmarkStart w:id="67624" w:name="_ETM_Q118_436460"/>
      <w:bookmarkEnd w:id="67623"/>
      <w:bookmarkEnd w:id="67624"/>
      <w:r w:rsidR="00BB59CD">
        <w:rPr>
          <w:rFonts w:hint="cs"/>
          <w:rtl/>
        </w:rPr>
        <w:t xml:space="preserve">מה </w:t>
      </w:r>
      <w:bookmarkStart w:id="67625" w:name="_ETM_Q118_436550"/>
      <w:bookmarkEnd w:id="67625"/>
      <w:r w:rsidR="00BB59CD">
        <w:rPr>
          <w:rFonts w:hint="cs"/>
          <w:rtl/>
        </w:rPr>
        <w:t>שכן</w:t>
      </w:r>
      <w:r>
        <w:rPr>
          <w:rFonts w:hint="cs"/>
          <w:rtl/>
        </w:rPr>
        <w:t>,</w:t>
      </w:r>
      <w:r w:rsidR="00BB59CD">
        <w:rPr>
          <w:rFonts w:hint="cs"/>
          <w:rtl/>
        </w:rPr>
        <w:t xml:space="preserve"> </w:t>
      </w:r>
      <w:bookmarkStart w:id="67626" w:name="_ETM_Q118_436880"/>
      <w:bookmarkEnd w:id="67626"/>
      <w:r w:rsidR="00BB59CD">
        <w:rPr>
          <w:rFonts w:hint="cs"/>
          <w:rtl/>
        </w:rPr>
        <w:t xml:space="preserve">זה העיר </w:t>
      </w:r>
      <w:bookmarkStart w:id="67627" w:name="_ETM_Q118_437180"/>
      <w:bookmarkEnd w:id="67627"/>
      <w:r w:rsidR="00BB59CD">
        <w:rPr>
          <w:rFonts w:hint="cs"/>
          <w:rtl/>
        </w:rPr>
        <w:t xml:space="preserve">את </w:t>
      </w:r>
      <w:bookmarkStart w:id="67628" w:name="_ETM_Q118_437300"/>
      <w:bookmarkEnd w:id="67628"/>
      <w:r w:rsidR="00BB59CD">
        <w:rPr>
          <w:rFonts w:hint="cs"/>
          <w:rtl/>
        </w:rPr>
        <w:t xml:space="preserve">השר. </w:t>
      </w:r>
      <w:bookmarkStart w:id="67629" w:name="_ETM_Q118_437980"/>
      <w:bookmarkEnd w:id="67629"/>
      <w:r w:rsidR="00BB59CD">
        <w:rPr>
          <w:rFonts w:hint="cs"/>
          <w:rtl/>
        </w:rPr>
        <w:t xml:space="preserve">אני </w:t>
      </w:r>
      <w:bookmarkStart w:id="67630" w:name="_ETM_Q118_438279"/>
      <w:bookmarkEnd w:id="67630"/>
      <w:r w:rsidR="00BB59CD">
        <w:rPr>
          <w:rFonts w:hint="cs"/>
          <w:rtl/>
        </w:rPr>
        <w:t xml:space="preserve">רוצה </w:t>
      </w:r>
      <w:bookmarkStart w:id="67631" w:name="_ETM_Q118_438490"/>
      <w:bookmarkEnd w:id="67631"/>
      <w:r w:rsidR="00BB59CD">
        <w:rPr>
          <w:rFonts w:hint="cs"/>
          <w:rtl/>
        </w:rPr>
        <w:t xml:space="preserve">להודות </w:t>
      </w:r>
      <w:bookmarkStart w:id="67632" w:name="_ETM_Q118_438760"/>
      <w:bookmarkEnd w:id="67632"/>
      <w:r w:rsidR="00BB59CD">
        <w:rPr>
          <w:rFonts w:hint="cs"/>
          <w:rtl/>
        </w:rPr>
        <w:t xml:space="preserve">לך </w:t>
      </w:r>
      <w:bookmarkStart w:id="67633" w:name="_ETM_Q118_438910"/>
      <w:bookmarkEnd w:id="67633"/>
      <w:r w:rsidR="00BB59CD">
        <w:rPr>
          <w:rFonts w:hint="cs"/>
          <w:rtl/>
        </w:rPr>
        <w:t xml:space="preserve">על </w:t>
      </w:r>
      <w:bookmarkStart w:id="67634" w:name="_ETM_Q118_439000"/>
      <w:bookmarkEnd w:id="67634"/>
      <w:r w:rsidR="00BB59CD">
        <w:rPr>
          <w:rFonts w:hint="cs"/>
          <w:rtl/>
        </w:rPr>
        <w:t xml:space="preserve">הזמן, </w:t>
      </w:r>
      <w:bookmarkStart w:id="67635" w:name="_ETM_Q118_439389"/>
      <w:bookmarkEnd w:id="67635"/>
      <w:r w:rsidR="00BB59CD">
        <w:rPr>
          <w:rFonts w:hint="cs"/>
          <w:rtl/>
        </w:rPr>
        <w:t xml:space="preserve">ואני </w:t>
      </w:r>
      <w:bookmarkStart w:id="67636" w:name="_ETM_Q118_439600"/>
      <w:bookmarkEnd w:id="67636"/>
      <w:r w:rsidR="00BB59CD">
        <w:rPr>
          <w:rFonts w:hint="cs"/>
          <w:rtl/>
        </w:rPr>
        <w:t xml:space="preserve">מקווה </w:t>
      </w:r>
      <w:bookmarkStart w:id="67637" w:name="_ETM_Q118_439930"/>
      <w:bookmarkEnd w:id="67637"/>
      <w:r w:rsidR="00BB59CD">
        <w:rPr>
          <w:rFonts w:hint="cs"/>
          <w:rtl/>
        </w:rPr>
        <w:t xml:space="preserve">שכולנו </w:t>
      </w:r>
      <w:bookmarkStart w:id="67638" w:name="_ETM_Q118_442380"/>
      <w:bookmarkStart w:id="67639" w:name="_ETM_Q118_442470"/>
      <w:bookmarkEnd w:id="67638"/>
      <w:bookmarkEnd w:id="67639"/>
      <w:r w:rsidR="00BB59CD">
        <w:rPr>
          <w:rFonts w:hint="cs"/>
          <w:rtl/>
        </w:rPr>
        <w:t xml:space="preserve">נבין </w:t>
      </w:r>
      <w:bookmarkStart w:id="67640" w:name="_ETM_Q118_442830"/>
      <w:bookmarkEnd w:id="67640"/>
      <w:r w:rsidR="00BB59CD">
        <w:rPr>
          <w:rFonts w:hint="cs"/>
          <w:rtl/>
        </w:rPr>
        <w:t xml:space="preserve">שהחקיקה </w:t>
      </w:r>
      <w:bookmarkStart w:id="67641" w:name="_ETM_Q118_443490"/>
      <w:bookmarkStart w:id="67642" w:name="_ETM_Q118_443760"/>
      <w:bookmarkEnd w:id="67641"/>
      <w:bookmarkEnd w:id="67642"/>
      <w:r w:rsidR="00BB59CD">
        <w:rPr>
          <w:rFonts w:hint="cs"/>
          <w:rtl/>
        </w:rPr>
        <w:t xml:space="preserve">הזו היא חקיקה </w:t>
      </w:r>
      <w:bookmarkStart w:id="67643" w:name="_ETM_Q118_444210"/>
      <w:bookmarkEnd w:id="67643"/>
      <w:r w:rsidR="00BB59CD">
        <w:rPr>
          <w:rFonts w:hint="cs"/>
          <w:rtl/>
        </w:rPr>
        <w:t xml:space="preserve">שמשסעת </w:t>
      </w:r>
      <w:bookmarkStart w:id="67644" w:name="_ETM_Q118_445050"/>
      <w:bookmarkEnd w:id="67644"/>
      <w:r w:rsidR="00BB59CD">
        <w:rPr>
          <w:rFonts w:hint="cs"/>
          <w:rtl/>
        </w:rPr>
        <w:t xml:space="preserve">ומפלגת </w:t>
      </w:r>
      <w:bookmarkStart w:id="67645" w:name="_ETM_Q118_446100"/>
      <w:bookmarkEnd w:id="67645"/>
      <w:r w:rsidR="00BB59CD">
        <w:rPr>
          <w:rFonts w:hint="cs"/>
          <w:rtl/>
        </w:rPr>
        <w:t xml:space="preserve">את </w:t>
      </w:r>
      <w:bookmarkStart w:id="67646" w:name="_ETM_Q118_446279"/>
      <w:bookmarkEnd w:id="67646"/>
      <w:r w:rsidR="00BB59CD">
        <w:rPr>
          <w:rFonts w:hint="cs"/>
          <w:rtl/>
        </w:rPr>
        <w:t xml:space="preserve">העם, </w:t>
      </w:r>
      <w:bookmarkStart w:id="67647" w:name="_ETM_Q118_446820"/>
      <w:bookmarkEnd w:id="67647"/>
      <w:r w:rsidR="00BB59CD">
        <w:rPr>
          <w:rFonts w:hint="cs"/>
          <w:rtl/>
        </w:rPr>
        <w:t xml:space="preserve">ודווקא </w:t>
      </w:r>
      <w:bookmarkStart w:id="67648" w:name="_ETM_Q118_447420"/>
      <w:bookmarkEnd w:id="67648"/>
      <w:r w:rsidR="00BB59CD">
        <w:rPr>
          <w:rFonts w:hint="cs"/>
          <w:rtl/>
        </w:rPr>
        <w:t xml:space="preserve">בימים </w:t>
      </w:r>
      <w:bookmarkStart w:id="67649" w:name="_ETM_Q118_447779"/>
      <w:bookmarkEnd w:id="67649"/>
      <w:r w:rsidR="00BB59CD">
        <w:rPr>
          <w:rFonts w:hint="cs"/>
          <w:rtl/>
        </w:rPr>
        <w:t xml:space="preserve">אלה </w:t>
      </w:r>
      <w:bookmarkStart w:id="67650" w:name="_ETM_Q118_448350"/>
      <w:bookmarkEnd w:id="67650"/>
      <w:r w:rsidR="00BB59CD">
        <w:rPr>
          <w:rFonts w:hint="cs"/>
          <w:rtl/>
        </w:rPr>
        <w:t xml:space="preserve">אתם </w:t>
      </w:r>
      <w:bookmarkStart w:id="67651" w:name="_ETM_Q118_448680"/>
      <w:bookmarkEnd w:id="67651"/>
      <w:r w:rsidR="00BB59CD">
        <w:rPr>
          <w:rFonts w:hint="cs"/>
          <w:rtl/>
        </w:rPr>
        <w:t xml:space="preserve">תהיו </w:t>
      </w:r>
      <w:bookmarkStart w:id="67652" w:name="_ETM_Q118_448950"/>
      <w:bookmarkEnd w:id="67652"/>
      <w:r w:rsidR="00BB59CD">
        <w:rPr>
          <w:rFonts w:hint="cs"/>
          <w:rtl/>
        </w:rPr>
        <w:t xml:space="preserve">אלו </w:t>
      </w:r>
      <w:bookmarkStart w:id="67653" w:name="_ETM_Q118_449160"/>
      <w:bookmarkEnd w:id="67653"/>
      <w:r w:rsidR="00BB59CD">
        <w:rPr>
          <w:rFonts w:hint="cs"/>
          <w:rtl/>
        </w:rPr>
        <w:t xml:space="preserve">שתצביעו </w:t>
      </w:r>
      <w:bookmarkStart w:id="67654" w:name="_ETM_Q118_449820"/>
      <w:bookmarkEnd w:id="67654"/>
      <w:r w:rsidR="00BB59CD">
        <w:rPr>
          <w:rFonts w:hint="cs"/>
          <w:rtl/>
        </w:rPr>
        <w:t xml:space="preserve">נגד. </w:t>
      </w:r>
      <w:bookmarkStart w:id="67655" w:name="_ETM_Q118_450270"/>
      <w:bookmarkEnd w:id="67655"/>
      <w:r w:rsidR="00BB59CD">
        <w:rPr>
          <w:rFonts w:hint="cs"/>
          <w:rtl/>
        </w:rPr>
        <w:t xml:space="preserve">יש </w:t>
      </w:r>
      <w:bookmarkStart w:id="67656" w:name="_ETM_Q118_450450"/>
      <w:bookmarkEnd w:id="67656"/>
      <w:r w:rsidR="00BB59CD">
        <w:rPr>
          <w:rFonts w:hint="cs"/>
          <w:rtl/>
        </w:rPr>
        <w:t xml:space="preserve">לי </w:t>
      </w:r>
      <w:bookmarkStart w:id="67657" w:name="_ETM_Q118_450570"/>
      <w:bookmarkEnd w:id="67657"/>
      <w:r w:rsidR="00BB59CD">
        <w:rPr>
          <w:rFonts w:hint="cs"/>
          <w:rtl/>
        </w:rPr>
        <w:t xml:space="preserve">הרגשה </w:t>
      </w:r>
      <w:bookmarkStart w:id="67658" w:name="_ETM_Q118_450930"/>
      <w:bookmarkEnd w:id="67658"/>
      <w:r w:rsidR="00BB59CD">
        <w:rPr>
          <w:rFonts w:hint="cs"/>
          <w:rtl/>
        </w:rPr>
        <w:t xml:space="preserve">שמכם </w:t>
      </w:r>
      <w:bookmarkStart w:id="67659" w:name="_ETM_Q118_451410"/>
      <w:bookmarkEnd w:id="67659"/>
      <w:r w:rsidR="00BB59CD">
        <w:rPr>
          <w:rFonts w:hint="cs"/>
          <w:rtl/>
        </w:rPr>
        <w:t xml:space="preserve">תבוא </w:t>
      </w:r>
      <w:bookmarkStart w:id="67660" w:name="_ETM_Q118_451650"/>
      <w:bookmarkEnd w:id="67660"/>
      <w:r w:rsidR="00BB59CD">
        <w:rPr>
          <w:rFonts w:hint="cs"/>
          <w:rtl/>
        </w:rPr>
        <w:t>הישועה.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 </w:t>
      </w:r>
      <w:bookmarkStart w:id="67661" w:name="_ETM_Q118_452770"/>
      <w:bookmarkEnd w:id="67661"/>
      <w:r>
        <w:rPr>
          <w:rFonts w:hint="cs"/>
          <w:rtl/>
        </w:rPr>
        <w:t xml:space="preserve">תודה </w:t>
      </w:r>
      <w:bookmarkStart w:id="67662" w:name="_ETM_Q118_453069"/>
      <w:bookmarkEnd w:id="67662"/>
      <w:r>
        <w:rPr>
          <w:rFonts w:hint="cs"/>
          <w:rtl/>
        </w:rPr>
        <w:t xml:space="preserve">רבה </w:t>
      </w:r>
      <w:bookmarkStart w:id="67663" w:name="_ETM_Q118_453490"/>
      <w:bookmarkEnd w:id="67663"/>
      <w:r>
        <w:rPr>
          <w:rFonts w:hint="cs"/>
          <w:rtl/>
        </w:rPr>
        <w:t xml:space="preserve">לחבר </w:t>
      </w:r>
      <w:bookmarkStart w:id="67664" w:name="_ETM_Q118_453879"/>
      <w:bookmarkEnd w:id="67664"/>
      <w:r>
        <w:rPr>
          <w:rFonts w:hint="cs"/>
          <w:rtl/>
        </w:rPr>
        <w:t xml:space="preserve">הכנסת </w:t>
      </w:r>
      <w:bookmarkStart w:id="67665" w:name="_ETM_Q118_454240"/>
      <w:bookmarkEnd w:id="67665"/>
      <w:r>
        <w:rPr>
          <w:rFonts w:hint="cs"/>
          <w:rtl/>
        </w:rPr>
        <w:t xml:space="preserve">נאור שירי. </w:t>
      </w:r>
      <w:bookmarkStart w:id="67666" w:name="_ETM_Q118_457294"/>
      <w:bookmarkStart w:id="67667" w:name="_ETM_Q118_455390"/>
      <w:bookmarkEnd w:id="67666"/>
      <w:bookmarkEnd w:id="67667"/>
      <w:r>
        <w:rPr>
          <w:rFonts w:hint="cs"/>
          <w:rtl/>
        </w:rPr>
        <w:t xml:space="preserve">סך </w:t>
      </w:r>
      <w:bookmarkStart w:id="67668" w:name="_ETM_Q118_455870"/>
      <w:bookmarkEnd w:id="67668"/>
      <w:r>
        <w:rPr>
          <w:rFonts w:hint="cs"/>
          <w:rtl/>
        </w:rPr>
        <w:t xml:space="preserve">הכול </w:t>
      </w:r>
      <w:bookmarkStart w:id="67669" w:name="_ETM_Q118_456050"/>
      <w:bookmarkEnd w:id="67669"/>
      <w:r>
        <w:rPr>
          <w:rFonts w:hint="cs"/>
          <w:rtl/>
        </w:rPr>
        <w:t xml:space="preserve">50 </w:t>
      </w:r>
      <w:bookmarkStart w:id="67670" w:name="_ETM_Q118_456515"/>
      <w:bookmarkEnd w:id="67670"/>
      <w:r>
        <w:rPr>
          <w:rFonts w:hint="cs"/>
          <w:rtl/>
        </w:rPr>
        <w:t xml:space="preserve">דקות, </w:t>
      </w:r>
      <w:bookmarkStart w:id="67671" w:name="_ETM_Q118_456980"/>
      <w:bookmarkEnd w:id="67671"/>
      <w:r>
        <w:rPr>
          <w:rFonts w:hint="cs"/>
          <w:rtl/>
        </w:rPr>
        <w:t xml:space="preserve">אבל </w:t>
      </w:r>
      <w:bookmarkStart w:id="67672" w:name="_ETM_Q118_457190"/>
      <w:bookmarkEnd w:id="67672"/>
      <w:r>
        <w:rPr>
          <w:rFonts w:hint="cs"/>
          <w:rtl/>
        </w:rPr>
        <w:t xml:space="preserve">עמדת </w:t>
      </w:r>
      <w:bookmarkStart w:id="67673" w:name="_ETM_Q118_457490"/>
      <w:bookmarkEnd w:id="67673"/>
      <w:r>
        <w:rPr>
          <w:rFonts w:hint="cs"/>
          <w:rtl/>
        </w:rPr>
        <w:t xml:space="preserve">בזה. </w:t>
      </w:r>
      <w:bookmarkStart w:id="67674" w:name="_ETM_Q118_458360"/>
      <w:bookmarkEnd w:id="67674"/>
      <w:r>
        <w:rPr>
          <w:rFonts w:hint="cs"/>
          <w:rtl/>
        </w:rPr>
        <w:t xml:space="preserve">חברת </w:t>
      </w:r>
      <w:bookmarkStart w:id="67675" w:name="_ETM_Q118_458839"/>
      <w:bookmarkEnd w:id="67675"/>
      <w:r>
        <w:rPr>
          <w:rFonts w:hint="cs"/>
          <w:rtl/>
        </w:rPr>
        <w:t xml:space="preserve">הכנסת </w:t>
      </w:r>
      <w:bookmarkStart w:id="67676" w:name="_ETM_Q118_459199"/>
      <w:bookmarkEnd w:id="67676"/>
      <w:r>
        <w:rPr>
          <w:rFonts w:hint="cs"/>
          <w:rtl/>
        </w:rPr>
        <w:t xml:space="preserve">מיכל </w:t>
      </w:r>
      <w:bookmarkStart w:id="67677" w:name="_ETM_Q118_459529"/>
      <w:bookmarkEnd w:id="67677"/>
      <w:r>
        <w:rPr>
          <w:rFonts w:hint="cs"/>
          <w:rtl/>
        </w:rPr>
        <w:t xml:space="preserve">שיר </w:t>
      </w:r>
      <w:bookmarkStart w:id="67678" w:name="_ETM_Q118_459710"/>
      <w:bookmarkEnd w:id="67678"/>
      <w:r>
        <w:rPr>
          <w:rFonts w:hint="cs"/>
          <w:rtl/>
        </w:rPr>
        <w:t xml:space="preserve">סגמן. </w:t>
      </w:r>
      <w:bookmarkStart w:id="67679" w:name="_ETM_Q118_463980"/>
      <w:bookmarkEnd w:id="67679"/>
      <w:r>
        <w:rPr>
          <w:rFonts w:hint="cs"/>
          <w:rtl/>
        </w:rPr>
        <w:t xml:space="preserve">אף </w:t>
      </w:r>
      <w:bookmarkStart w:id="67680" w:name="_ETM_Q118_464370"/>
      <w:bookmarkEnd w:id="67680"/>
      <w:r>
        <w:rPr>
          <w:rFonts w:hint="cs"/>
          <w:rtl/>
        </w:rPr>
        <w:t>את 50 דקות.</w:t>
      </w:r>
    </w:p>
    <w:p w:rsidR="00BB59CD" w:rsidRDefault="00BB59CD" w:rsidP="00BB59CD">
      <w:pPr>
        <w:rPr>
          <w:rtl/>
        </w:rPr>
      </w:pPr>
      <w:bookmarkStart w:id="67681" w:name="_ETM_Q118_472419"/>
      <w:bookmarkStart w:id="67682" w:name="_ETM_Q118_472524"/>
      <w:bookmarkEnd w:id="67681"/>
      <w:bookmarkEnd w:id="67682"/>
    </w:p>
    <w:p w:rsidR="00BB59CD" w:rsidRDefault="00BB59CD" w:rsidP="00BB59CD">
      <w:pPr>
        <w:pStyle w:val="a5"/>
        <w:keepNext/>
        <w:rPr>
          <w:rtl/>
        </w:rPr>
      </w:pPr>
      <w:bookmarkStart w:id="67683" w:name="ET_speaker_5809_3"/>
      <w:r>
        <w:rPr>
          <w:rStyle w:val="TagStyle"/>
          <w:rFonts w:hint="cs"/>
          <w:rtl/>
        </w:rPr>
        <w:t xml:space="preserve">&lt;&lt; דובר &gt;&gt; </w:t>
      </w:r>
      <w:bookmarkStart w:id="67684" w:name="_Toc141197180"/>
      <w:bookmarkStart w:id="67685" w:name="_Toc141196916"/>
      <w:r>
        <w:rPr>
          <w:rFonts w:hint="cs"/>
          <w:rtl/>
        </w:rPr>
        <w:t>מיכל שיר סגמן (יש עתיד):</w:t>
      </w:r>
      <w:bookmarkEnd w:id="67684"/>
      <w:bookmarkEnd w:id="67685"/>
      <w:r>
        <w:rPr>
          <w:rStyle w:val="TagStyle"/>
          <w:rFonts w:hint="cs"/>
          <w:rtl/>
        </w:rPr>
        <w:t xml:space="preserve"> &lt;&lt; דובר &gt;&gt;</w:t>
      </w:r>
      <w:r>
        <w:rPr>
          <w:rFonts w:hint="cs"/>
          <w:rtl/>
        </w:rPr>
        <w:t xml:space="preserve">   </w:t>
      </w:r>
      <w:bookmarkEnd w:id="67683"/>
    </w:p>
    <w:p w:rsidR="00BB59CD" w:rsidRDefault="00BB59CD" w:rsidP="00337201">
      <w:pPr>
        <w:rPr>
          <w:rtl/>
          <w:lang w:eastAsia="he-IL"/>
        </w:rPr>
      </w:pPr>
    </w:p>
    <w:p w:rsidR="00BB59CD" w:rsidRDefault="00BB59CD" w:rsidP="00750122">
      <w:pPr>
        <w:rPr>
          <w:rtl/>
        </w:rPr>
      </w:pPr>
      <w:r>
        <w:rPr>
          <w:rFonts w:hint="cs"/>
          <w:rtl/>
          <w:lang w:eastAsia="he-IL"/>
        </w:rPr>
        <w:t xml:space="preserve">אדוני היושב-ראש, חבריי חברי הכנסת, הגענו לרגע האמת של מדינת ישראל. מה שהיה הוא לא מה שיהיה עוד. זו האמת. </w:t>
      </w:r>
      <w:bookmarkStart w:id="67686" w:name="_ETM_Q118_492650"/>
      <w:bookmarkEnd w:id="67686"/>
      <w:r>
        <w:rPr>
          <w:rFonts w:hint="cs"/>
          <w:rtl/>
        </w:rPr>
        <w:t xml:space="preserve">מה ששנים </w:t>
      </w:r>
      <w:bookmarkStart w:id="67687" w:name="_ETM_Q118_493370"/>
      <w:bookmarkEnd w:id="67687"/>
      <w:r>
        <w:rPr>
          <w:rFonts w:hint="cs"/>
          <w:rtl/>
        </w:rPr>
        <w:t xml:space="preserve">הדחקנו </w:t>
      </w:r>
      <w:bookmarkStart w:id="67688" w:name="_ETM_Q118_494540"/>
      <w:bookmarkEnd w:id="67688"/>
      <w:r>
        <w:rPr>
          <w:rFonts w:hint="cs"/>
          <w:rtl/>
        </w:rPr>
        <w:t xml:space="preserve">וטואטא </w:t>
      </w:r>
      <w:bookmarkStart w:id="67689" w:name="_ETM_Q118_495200"/>
      <w:bookmarkEnd w:id="67689"/>
      <w:r>
        <w:rPr>
          <w:rFonts w:hint="cs"/>
          <w:rtl/>
        </w:rPr>
        <w:t xml:space="preserve">מתחת </w:t>
      </w:r>
      <w:bookmarkStart w:id="67690" w:name="_ETM_Q118_495560"/>
      <w:bookmarkEnd w:id="67690"/>
      <w:r>
        <w:rPr>
          <w:rFonts w:hint="cs"/>
          <w:rtl/>
        </w:rPr>
        <w:t xml:space="preserve">לשטיח </w:t>
      </w:r>
      <w:bookmarkStart w:id="67691" w:name="_ETM_Q118_496040"/>
      <w:bookmarkEnd w:id="67691"/>
      <w:r>
        <w:rPr>
          <w:rFonts w:hint="cs"/>
          <w:rtl/>
        </w:rPr>
        <w:t xml:space="preserve">והושתק, </w:t>
      </w:r>
      <w:bookmarkStart w:id="67692" w:name="_ETM_Q118_497790"/>
      <w:bookmarkEnd w:id="67692"/>
      <w:r>
        <w:rPr>
          <w:rFonts w:hint="cs"/>
          <w:rtl/>
        </w:rPr>
        <w:t xml:space="preserve">לא </w:t>
      </w:r>
      <w:bookmarkStart w:id="67693" w:name="_ETM_Q118_497940"/>
      <w:bookmarkEnd w:id="67693"/>
      <w:r>
        <w:rPr>
          <w:rFonts w:hint="cs"/>
          <w:rtl/>
        </w:rPr>
        <w:t xml:space="preserve">יוכל </w:t>
      </w:r>
      <w:bookmarkStart w:id="67694" w:name="_ETM_Q118_498330"/>
      <w:bookmarkEnd w:id="67694"/>
      <w:r>
        <w:rPr>
          <w:rFonts w:hint="cs"/>
          <w:rtl/>
        </w:rPr>
        <w:t xml:space="preserve">לעבור </w:t>
      </w:r>
      <w:bookmarkStart w:id="67695" w:name="_ETM_Q118_501000"/>
      <w:bookmarkEnd w:id="67695"/>
      <w:r>
        <w:rPr>
          <w:rFonts w:hint="cs"/>
          <w:rtl/>
        </w:rPr>
        <w:t xml:space="preserve">עוד. בחשש </w:t>
      </w:r>
      <w:bookmarkStart w:id="67696" w:name="_ETM_Q118_501900"/>
      <w:bookmarkEnd w:id="67696"/>
      <w:r>
        <w:rPr>
          <w:rFonts w:hint="cs"/>
          <w:rtl/>
        </w:rPr>
        <w:t xml:space="preserve">ובעצב </w:t>
      </w:r>
      <w:bookmarkStart w:id="67697" w:name="_ETM_Q118_503040"/>
      <w:bookmarkEnd w:id="67697"/>
      <w:r>
        <w:rPr>
          <w:rFonts w:hint="cs"/>
          <w:rtl/>
        </w:rPr>
        <w:t xml:space="preserve">אני </w:t>
      </w:r>
      <w:bookmarkStart w:id="67698" w:name="_ETM_Q118_503250"/>
      <w:bookmarkEnd w:id="67698"/>
      <w:r>
        <w:rPr>
          <w:rFonts w:hint="cs"/>
          <w:rtl/>
        </w:rPr>
        <w:t xml:space="preserve">אומרת: </w:t>
      </w:r>
      <w:bookmarkStart w:id="67699" w:name="_ETM_Q118_504520"/>
      <w:bookmarkEnd w:id="67699"/>
      <w:r>
        <w:rPr>
          <w:rFonts w:hint="cs"/>
          <w:rtl/>
        </w:rPr>
        <w:t xml:space="preserve">אולי </w:t>
      </w:r>
      <w:bookmarkStart w:id="67700" w:name="_ETM_Q118_505089"/>
      <w:bookmarkEnd w:id="67700"/>
      <w:r>
        <w:rPr>
          <w:rFonts w:hint="cs"/>
          <w:rtl/>
        </w:rPr>
        <w:t xml:space="preserve">אור </w:t>
      </w:r>
      <w:bookmarkStart w:id="67701" w:name="_ETM_Q118_505300"/>
      <w:bookmarkEnd w:id="67701"/>
      <w:r>
        <w:rPr>
          <w:rFonts w:hint="cs"/>
          <w:rtl/>
        </w:rPr>
        <w:t xml:space="preserve">השמש </w:t>
      </w:r>
      <w:bookmarkStart w:id="67702" w:name="_ETM_Q118_505750"/>
      <w:bookmarkEnd w:id="67702"/>
      <w:r>
        <w:rPr>
          <w:rFonts w:hint="cs"/>
          <w:rtl/>
        </w:rPr>
        <w:t xml:space="preserve">הוא </w:t>
      </w:r>
      <w:bookmarkStart w:id="67703" w:name="_ETM_Q118_505839"/>
      <w:bookmarkEnd w:id="67703"/>
      <w:r>
        <w:rPr>
          <w:rFonts w:hint="cs"/>
          <w:rtl/>
        </w:rPr>
        <w:t xml:space="preserve">המחטא </w:t>
      </w:r>
      <w:bookmarkStart w:id="67704" w:name="_ETM_Q118_506380"/>
      <w:bookmarkEnd w:id="67704"/>
      <w:r>
        <w:rPr>
          <w:rFonts w:hint="cs"/>
          <w:rtl/>
        </w:rPr>
        <w:t xml:space="preserve">הטוב </w:t>
      </w:r>
      <w:bookmarkStart w:id="67705" w:name="_ETM_Q118_506680"/>
      <w:bookmarkEnd w:id="67705"/>
      <w:r>
        <w:rPr>
          <w:rFonts w:hint="cs"/>
          <w:rtl/>
        </w:rPr>
        <w:t xml:space="preserve">ביותר, </w:t>
      </w:r>
      <w:bookmarkStart w:id="67706" w:name="_ETM_Q118_508320"/>
      <w:bookmarkEnd w:id="67706"/>
      <w:r>
        <w:rPr>
          <w:rFonts w:hint="cs"/>
          <w:rtl/>
        </w:rPr>
        <w:t xml:space="preserve">גם </w:t>
      </w:r>
      <w:bookmarkStart w:id="67707" w:name="_ETM_Q118_508739"/>
      <w:bookmarkEnd w:id="67707"/>
      <w:r>
        <w:rPr>
          <w:rFonts w:hint="cs"/>
          <w:rtl/>
        </w:rPr>
        <w:t xml:space="preserve">כנגד </w:t>
      </w:r>
      <w:bookmarkStart w:id="67708" w:name="_ETM_Q118_509220"/>
      <w:bookmarkEnd w:id="67708"/>
      <w:r>
        <w:rPr>
          <w:rFonts w:hint="cs"/>
          <w:rtl/>
        </w:rPr>
        <w:t xml:space="preserve">אתוסים </w:t>
      </w:r>
      <w:bookmarkStart w:id="67709" w:name="_ETM_Q118_509699"/>
      <w:bookmarkEnd w:id="67709"/>
      <w:r>
        <w:rPr>
          <w:rFonts w:hint="cs"/>
          <w:rtl/>
        </w:rPr>
        <w:t xml:space="preserve">שלא </w:t>
      </w:r>
      <w:bookmarkStart w:id="67710" w:name="_ETM_Q118_509939"/>
      <w:bookmarkEnd w:id="67710"/>
      <w:r>
        <w:rPr>
          <w:rFonts w:hint="cs"/>
          <w:rtl/>
        </w:rPr>
        <w:t xml:space="preserve">תמיד </w:t>
      </w:r>
      <w:bookmarkStart w:id="67711" w:name="_ETM_Q118_510329"/>
      <w:bookmarkEnd w:id="67711"/>
      <w:r>
        <w:rPr>
          <w:rFonts w:hint="cs"/>
          <w:rtl/>
        </w:rPr>
        <w:t xml:space="preserve">עומדים </w:t>
      </w:r>
      <w:bookmarkStart w:id="67712" w:name="_ETM_Q118_510720"/>
      <w:bookmarkEnd w:id="67712"/>
      <w:r>
        <w:rPr>
          <w:rFonts w:hint="cs"/>
          <w:rtl/>
        </w:rPr>
        <w:t xml:space="preserve">במבחן </w:t>
      </w:r>
      <w:bookmarkStart w:id="67713" w:name="_ETM_Q118_511199"/>
      <w:bookmarkEnd w:id="67713"/>
      <w:r>
        <w:rPr>
          <w:rFonts w:hint="cs"/>
          <w:rtl/>
        </w:rPr>
        <w:t>המציאות.</w:t>
      </w:r>
      <w:r w:rsidR="002F1C45">
        <w:rPr>
          <w:rFonts w:hint="cs"/>
          <w:rtl/>
        </w:rPr>
        <w:t xml:space="preserve"> </w:t>
      </w:r>
      <w:bookmarkStart w:id="67714" w:name="_ETM_Q118_512426"/>
      <w:bookmarkStart w:id="67715" w:name="_ETM_Q118_512517"/>
      <w:bookmarkStart w:id="67716" w:name="_ETM_Q118_512602"/>
      <w:bookmarkStart w:id="67717" w:name="_ETM_Q118_512679"/>
      <w:bookmarkStart w:id="67718" w:name="_ETM_Q118_513050"/>
      <w:bookmarkEnd w:id="67714"/>
      <w:bookmarkEnd w:id="67715"/>
      <w:bookmarkEnd w:id="67716"/>
      <w:bookmarkEnd w:id="67717"/>
      <w:bookmarkEnd w:id="67718"/>
      <w:r>
        <w:rPr>
          <w:rFonts w:hint="cs"/>
          <w:rtl/>
        </w:rPr>
        <w:t xml:space="preserve">תמיד </w:t>
      </w:r>
      <w:bookmarkStart w:id="67719" w:name="_ETM_Q118_513380"/>
      <w:bookmarkEnd w:id="67719"/>
      <w:r>
        <w:rPr>
          <w:rFonts w:hint="cs"/>
          <w:rtl/>
        </w:rPr>
        <w:t xml:space="preserve">גדלנו </w:t>
      </w:r>
      <w:bookmarkStart w:id="67720" w:name="_ETM_Q118_513980"/>
      <w:bookmarkEnd w:id="67720"/>
      <w:r>
        <w:rPr>
          <w:rFonts w:hint="cs"/>
          <w:rtl/>
        </w:rPr>
        <w:t xml:space="preserve">על כך </w:t>
      </w:r>
      <w:bookmarkStart w:id="67721" w:name="_ETM_Q118_514370"/>
      <w:bookmarkEnd w:id="67721"/>
      <w:r>
        <w:rPr>
          <w:rFonts w:hint="cs"/>
          <w:rtl/>
        </w:rPr>
        <w:t xml:space="preserve">שאנחנו </w:t>
      </w:r>
      <w:bookmarkStart w:id="67722" w:name="_ETM_Q118_514850"/>
      <w:bookmarkEnd w:id="67722"/>
      <w:r>
        <w:rPr>
          <w:rFonts w:hint="cs"/>
          <w:rtl/>
        </w:rPr>
        <w:t xml:space="preserve">עם </w:t>
      </w:r>
      <w:bookmarkStart w:id="67723" w:name="_ETM_Q118_515000"/>
      <w:bookmarkEnd w:id="67723"/>
      <w:r>
        <w:rPr>
          <w:rFonts w:hint="cs"/>
          <w:rtl/>
        </w:rPr>
        <w:t xml:space="preserve">סגולה </w:t>
      </w:r>
      <w:bookmarkStart w:id="67724" w:name="_ETM_Q118_516680"/>
      <w:bookmarkEnd w:id="67724"/>
      <w:r>
        <w:rPr>
          <w:rFonts w:hint="cs"/>
          <w:rtl/>
        </w:rPr>
        <w:t xml:space="preserve">אבל </w:t>
      </w:r>
      <w:bookmarkStart w:id="67725" w:name="_ETM_Q118_516950"/>
      <w:bookmarkEnd w:id="67725"/>
      <w:r>
        <w:rPr>
          <w:rFonts w:hint="cs"/>
          <w:rtl/>
        </w:rPr>
        <w:t xml:space="preserve">התעלמנו </w:t>
      </w:r>
      <w:bookmarkStart w:id="67726" w:name="_ETM_Q118_517760"/>
      <w:bookmarkEnd w:id="67726"/>
      <w:r>
        <w:rPr>
          <w:rFonts w:hint="cs"/>
          <w:rtl/>
        </w:rPr>
        <w:t xml:space="preserve">לחלוטין </w:t>
      </w:r>
      <w:bookmarkStart w:id="67727" w:name="_ETM_Q118_518360"/>
      <w:bookmarkEnd w:id="67727"/>
      <w:r>
        <w:rPr>
          <w:rFonts w:hint="cs"/>
          <w:rtl/>
        </w:rPr>
        <w:t xml:space="preserve">מכך </w:t>
      </w:r>
      <w:bookmarkStart w:id="67728" w:name="_ETM_Q118_518750"/>
      <w:bookmarkEnd w:id="67728"/>
      <w:r>
        <w:rPr>
          <w:rFonts w:hint="cs"/>
          <w:rtl/>
        </w:rPr>
        <w:t xml:space="preserve">שבתוך </w:t>
      </w:r>
      <w:bookmarkStart w:id="67729" w:name="_ETM_Q118_519410"/>
      <w:bookmarkEnd w:id="67729"/>
      <w:r>
        <w:rPr>
          <w:rFonts w:hint="cs"/>
          <w:rtl/>
        </w:rPr>
        <w:t xml:space="preserve">העם </w:t>
      </w:r>
      <w:bookmarkStart w:id="67730" w:name="_ETM_Q118_519739"/>
      <w:bookmarkEnd w:id="67730"/>
      <w:r>
        <w:rPr>
          <w:rFonts w:hint="cs"/>
          <w:rtl/>
        </w:rPr>
        <w:t xml:space="preserve">שלנו </w:t>
      </w:r>
      <w:bookmarkStart w:id="67731" w:name="_ETM_Q118_521029"/>
      <w:bookmarkEnd w:id="67731"/>
      <w:r>
        <w:rPr>
          <w:rFonts w:hint="cs"/>
          <w:rtl/>
        </w:rPr>
        <w:t xml:space="preserve">לא </w:t>
      </w:r>
      <w:bookmarkStart w:id="67732" w:name="_ETM_Q118_521269"/>
      <w:bookmarkEnd w:id="67732"/>
      <w:r>
        <w:rPr>
          <w:rFonts w:hint="cs"/>
          <w:rtl/>
        </w:rPr>
        <w:t xml:space="preserve">הכול </w:t>
      </w:r>
      <w:bookmarkStart w:id="67733" w:name="_ETM_Q118_521779"/>
      <w:bookmarkEnd w:id="67733"/>
      <w:r>
        <w:rPr>
          <w:rFonts w:hint="cs"/>
          <w:rtl/>
        </w:rPr>
        <w:t xml:space="preserve">כפי </w:t>
      </w:r>
      <w:bookmarkStart w:id="67734" w:name="_ETM_Q118_521989"/>
      <w:bookmarkEnd w:id="67734"/>
      <w:r>
        <w:rPr>
          <w:rFonts w:hint="cs"/>
          <w:rtl/>
        </w:rPr>
        <w:t xml:space="preserve">שקיווינו </w:t>
      </w:r>
      <w:bookmarkStart w:id="67735" w:name="_ETM_Q118_522710"/>
      <w:bookmarkEnd w:id="67735"/>
      <w:r>
        <w:rPr>
          <w:rFonts w:hint="cs"/>
          <w:rtl/>
        </w:rPr>
        <w:t xml:space="preserve">להאמין. </w:t>
      </w:r>
      <w:bookmarkStart w:id="67736" w:name="_ETM_Q118_524760"/>
      <w:bookmarkEnd w:id="67736"/>
      <w:r>
        <w:rPr>
          <w:rFonts w:hint="cs"/>
          <w:rtl/>
        </w:rPr>
        <w:t xml:space="preserve">היינו </w:t>
      </w:r>
      <w:bookmarkStart w:id="67737" w:name="_ETM_Q118_525029"/>
      <w:bookmarkEnd w:id="67737"/>
      <w:r>
        <w:rPr>
          <w:rFonts w:hint="cs"/>
          <w:rtl/>
        </w:rPr>
        <w:t xml:space="preserve">בטוחים, </w:t>
      </w:r>
      <w:bookmarkStart w:id="67738" w:name="_ETM_Q118_525450"/>
      <w:bookmarkEnd w:id="67738"/>
      <w:r>
        <w:rPr>
          <w:rFonts w:hint="cs"/>
          <w:rtl/>
        </w:rPr>
        <w:t xml:space="preserve">שישראל </w:t>
      </w:r>
      <w:bookmarkStart w:id="67739" w:name="_ETM_Q118_526140"/>
      <w:bookmarkEnd w:id="67739"/>
      <w:r>
        <w:rPr>
          <w:rFonts w:hint="cs"/>
          <w:rtl/>
        </w:rPr>
        <w:t>היהודית</w:t>
      </w:r>
      <w:bookmarkStart w:id="67740" w:name="_ETM_Q118_527170"/>
      <w:bookmarkEnd w:id="67740"/>
      <w:r>
        <w:rPr>
          <w:rFonts w:hint="cs"/>
          <w:rtl/>
        </w:rPr>
        <w:t xml:space="preserve">-דמוקרטית </w:t>
      </w:r>
      <w:bookmarkStart w:id="67741" w:name="_ETM_Q118_529510"/>
      <w:bookmarkEnd w:id="67741"/>
      <w:r>
        <w:rPr>
          <w:rFonts w:hint="cs"/>
          <w:rtl/>
        </w:rPr>
        <w:t xml:space="preserve">היא </w:t>
      </w:r>
      <w:bookmarkStart w:id="67742" w:name="_ETM_Q118_529600"/>
      <w:bookmarkEnd w:id="67742"/>
      <w:r>
        <w:rPr>
          <w:rFonts w:hint="cs"/>
          <w:rtl/>
        </w:rPr>
        <w:t xml:space="preserve">עובדה </w:t>
      </w:r>
      <w:bookmarkStart w:id="67743" w:name="_ETM_Q118_529930"/>
      <w:bookmarkEnd w:id="67743"/>
      <w:r>
        <w:rPr>
          <w:rFonts w:hint="cs"/>
          <w:rtl/>
        </w:rPr>
        <w:t xml:space="preserve">קיימת, </w:t>
      </w:r>
      <w:bookmarkStart w:id="67744" w:name="_ETM_Q118_531760"/>
      <w:bookmarkEnd w:id="67744"/>
      <w:r>
        <w:rPr>
          <w:rFonts w:hint="cs"/>
          <w:rtl/>
        </w:rPr>
        <w:t xml:space="preserve">אבל </w:t>
      </w:r>
      <w:bookmarkStart w:id="67745" w:name="_ETM_Q118_532059"/>
      <w:bookmarkEnd w:id="67745"/>
      <w:r>
        <w:rPr>
          <w:rFonts w:hint="cs"/>
          <w:rtl/>
        </w:rPr>
        <w:t xml:space="preserve">בפועל </w:t>
      </w:r>
      <w:bookmarkStart w:id="67746" w:name="_ETM_Q118_533770"/>
      <w:bookmarkEnd w:id="67746"/>
      <w:r>
        <w:rPr>
          <w:rFonts w:hint="cs"/>
          <w:rtl/>
        </w:rPr>
        <w:t xml:space="preserve">אנחנו </w:t>
      </w:r>
      <w:bookmarkStart w:id="67747" w:name="_ETM_Q118_534339"/>
      <w:bookmarkEnd w:id="67747"/>
      <w:r>
        <w:rPr>
          <w:rFonts w:hint="cs"/>
          <w:rtl/>
        </w:rPr>
        <w:t xml:space="preserve">אפשרנו </w:t>
      </w:r>
      <w:bookmarkStart w:id="67748" w:name="_ETM_Q118_535089"/>
      <w:bookmarkEnd w:id="67748"/>
      <w:r>
        <w:rPr>
          <w:rFonts w:hint="cs"/>
          <w:rtl/>
        </w:rPr>
        <w:t>ל</w:t>
      </w:r>
      <w:bookmarkStart w:id="67749" w:name="_ETM_Q118_535240"/>
      <w:bookmarkEnd w:id="67749"/>
      <w:r>
        <w:rPr>
          <w:rFonts w:hint="cs"/>
          <w:rtl/>
        </w:rPr>
        <w:t xml:space="preserve">סוסים </w:t>
      </w:r>
      <w:bookmarkStart w:id="67750" w:name="_ETM_Q118_535690"/>
      <w:bookmarkEnd w:id="67750"/>
      <w:r>
        <w:rPr>
          <w:rFonts w:hint="cs"/>
          <w:rtl/>
        </w:rPr>
        <w:t xml:space="preserve">טרויאניים </w:t>
      </w:r>
      <w:bookmarkStart w:id="67751" w:name="_ETM_Q118_537040"/>
      <w:bookmarkEnd w:id="67751"/>
      <w:r>
        <w:rPr>
          <w:rFonts w:hint="cs"/>
          <w:rtl/>
        </w:rPr>
        <w:t xml:space="preserve">לחדור </w:t>
      </w:r>
      <w:bookmarkStart w:id="67752" w:name="_ETM_Q118_537550"/>
      <w:bookmarkEnd w:id="67752"/>
      <w:r>
        <w:rPr>
          <w:rFonts w:hint="cs"/>
          <w:rtl/>
        </w:rPr>
        <w:t xml:space="preserve">לתוך </w:t>
      </w:r>
      <w:bookmarkStart w:id="67753" w:name="_ETM_Q118_538210"/>
      <w:bookmarkEnd w:id="67753"/>
      <w:r>
        <w:rPr>
          <w:rFonts w:hint="cs"/>
          <w:rtl/>
        </w:rPr>
        <w:t xml:space="preserve">הנהגת </w:t>
      </w:r>
      <w:bookmarkStart w:id="67754" w:name="_ETM_Q118_538930"/>
      <w:bookmarkEnd w:id="67754"/>
      <w:r>
        <w:rPr>
          <w:rFonts w:hint="cs"/>
          <w:rtl/>
        </w:rPr>
        <w:t xml:space="preserve">העם </w:t>
      </w:r>
      <w:bookmarkStart w:id="67755" w:name="_ETM_Q118_539260"/>
      <w:bookmarkEnd w:id="67755"/>
      <w:r>
        <w:rPr>
          <w:rFonts w:hint="cs"/>
          <w:rtl/>
        </w:rPr>
        <w:t xml:space="preserve">שלנו. </w:t>
      </w:r>
      <w:bookmarkStart w:id="67756" w:name="_ETM_Q118_540949"/>
      <w:bookmarkEnd w:id="67756"/>
      <w:r>
        <w:rPr>
          <w:rFonts w:hint="cs"/>
          <w:rtl/>
        </w:rPr>
        <w:t xml:space="preserve">הם </w:t>
      </w:r>
      <w:bookmarkStart w:id="67757" w:name="_ETM_Q118_541159"/>
      <w:bookmarkEnd w:id="67757"/>
      <w:r>
        <w:rPr>
          <w:rFonts w:hint="cs"/>
          <w:rtl/>
        </w:rPr>
        <w:t xml:space="preserve">מעולם </w:t>
      </w:r>
      <w:bookmarkStart w:id="67758" w:name="_ETM_Q118_541670"/>
      <w:bookmarkEnd w:id="67758"/>
      <w:r>
        <w:rPr>
          <w:rFonts w:hint="cs"/>
          <w:rtl/>
        </w:rPr>
        <w:t xml:space="preserve">לא </w:t>
      </w:r>
      <w:bookmarkStart w:id="67759" w:name="_ETM_Q118_541789"/>
      <w:bookmarkEnd w:id="67759"/>
      <w:r>
        <w:rPr>
          <w:rFonts w:hint="cs"/>
          <w:rtl/>
        </w:rPr>
        <w:t xml:space="preserve">תמכו, </w:t>
      </w:r>
      <w:bookmarkStart w:id="67760" w:name="_ETM_Q118_543300"/>
      <w:bookmarkEnd w:id="67760"/>
      <w:r>
        <w:rPr>
          <w:rFonts w:hint="cs"/>
          <w:rtl/>
        </w:rPr>
        <w:t xml:space="preserve">ועדיין </w:t>
      </w:r>
      <w:bookmarkStart w:id="67761" w:name="_ETM_Q118_544079"/>
      <w:bookmarkEnd w:id="67761"/>
      <w:r>
        <w:rPr>
          <w:rFonts w:hint="cs"/>
          <w:rtl/>
        </w:rPr>
        <w:t xml:space="preserve">לא </w:t>
      </w:r>
      <w:bookmarkStart w:id="67762" w:name="_ETM_Q118_544200"/>
      <w:bookmarkEnd w:id="67762"/>
      <w:r>
        <w:rPr>
          <w:rFonts w:hint="cs"/>
          <w:rtl/>
        </w:rPr>
        <w:t xml:space="preserve">תומכים, </w:t>
      </w:r>
      <w:bookmarkStart w:id="67763" w:name="_ETM_Q118_544740"/>
      <w:bookmarkEnd w:id="67763"/>
      <w:r>
        <w:rPr>
          <w:rFonts w:hint="cs"/>
          <w:rtl/>
        </w:rPr>
        <w:t xml:space="preserve">בדמוקרטיה. </w:t>
      </w:r>
      <w:bookmarkStart w:id="67764" w:name="_ETM_Q118_546890"/>
      <w:bookmarkEnd w:id="67764"/>
      <w:r>
        <w:rPr>
          <w:rFonts w:hint="cs"/>
          <w:rtl/>
        </w:rPr>
        <w:t xml:space="preserve">הם </w:t>
      </w:r>
      <w:bookmarkStart w:id="67765" w:name="_ETM_Q118_547070"/>
      <w:bookmarkEnd w:id="67765"/>
      <w:r>
        <w:rPr>
          <w:rFonts w:hint="cs"/>
          <w:rtl/>
        </w:rPr>
        <w:t xml:space="preserve">נהנים </w:t>
      </w:r>
      <w:bookmarkStart w:id="67766" w:name="_ETM_Q118_547460"/>
      <w:bookmarkStart w:id="67767" w:name="_ETM_Q118_548560"/>
      <w:bookmarkEnd w:id="67766"/>
      <w:bookmarkEnd w:id="67767"/>
      <w:r>
        <w:rPr>
          <w:rFonts w:hint="cs"/>
          <w:rtl/>
        </w:rPr>
        <w:t>שנים</w:t>
      </w:r>
      <w:bookmarkStart w:id="67768" w:name="_ETM_Q118_549499"/>
      <w:bookmarkEnd w:id="67768"/>
      <w:r>
        <w:rPr>
          <w:rFonts w:hint="cs"/>
          <w:rtl/>
        </w:rPr>
        <w:t xml:space="preserve"> מבון</w:t>
      </w:r>
      <w:r w:rsidR="00750122">
        <w:rPr>
          <w:rFonts w:hint="cs"/>
          <w:rtl/>
        </w:rPr>
        <w:t>-</w:t>
      </w:r>
      <w:r>
        <w:rPr>
          <w:rFonts w:hint="cs"/>
          <w:rtl/>
        </w:rPr>
        <w:t xml:space="preserve">טון </w:t>
      </w:r>
      <w:bookmarkStart w:id="67769" w:name="_ETM_Q118_549399"/>
      <w:bookmarkEnd w:id="67769"/>
      <w:r>
        <w:rPr>
          <w:rFonts w:hint="cs"/>
          <w:rtl/>
        </w:rPr>
        <w:t>באי</w:t>
      </w:r>
      <w:bookmarkStart w:id="67770" w:name="_ETM_Q118_549670"/>
      <w:bookmarkEnd w:id="67770"/>
      <w:r>
        <w:rPr>
          <w:rFonts w:hint="cs"/>
          <w:rtl/>
        </w:rPr>
        <w:t xml:space="preserve">-שוויון </w:t>
      </w:r>
      <w:bookmarkStart w:id="67771" w:name="_ETM_Q118_550149"/>
      <w:bookmarkEnd w:id="67771"/>
      <w:r>
        <w:rPr>
          <w:rFonts w:hint="cs"/>
          <w:rtl/>
        </w:rPr>
        <w:t xml:space="preserve">בנטל </w:t>
      </w:r>
      <w:bookmarkStart w:id="67772" w:name="_ETM_Q118_551450"/>
      <w:bookmarkEnd w:id="67772"/>
      <w:r>
        <w:rPr>
          <w:rFonts w:hint="cs"/>
          <w:rtl/>
        </w:rPr>
        <w:t xml:space="preserve">או </w:t>
      </w:r>
      <w:bookmarkStart w:id="67773" w:name="_ETM_Q118_551570"/>
      <w:bookmarkEnd w:id="67773"/>
      <w:r>
        <w:rPr>
          <w:rFonts w:hint="cs"/>
          <w:rtl/>
        </w:rPr>
        <w:t xml:space="preserve">ממערכת </w:t>
      </w:r>
      <w:bookmarkStart w:id="67774" w:name="_ETM_Q118_552170"/>
      <w:bookmarkEnd w:id="67774"/>
      <w:r>
        <w:rPr>
          <w:rFonts w:hint="cs"/>
          <w:rtl/>
        </w:rPr>
        <w:t xml:space="preserve">חוקים </w:t>
      </w:r>
      <w:bookmarkStart w:id="67775" w:name="_ETM_Q118_552529"/>
      <w:bookmarkEnd w:id="67775"/>
      <w:r>
        <w:rPr>
          <w:rFonts w:hint="cs"/>
          <w:rtl/>
        </w:rPr>
        <w:t xml:space="preserve">מקבילה </w:t>
      </w:r>
      <w:bookmarkStart w:id="67776" w:name="_ETM_Q118_553100"/>
      <w:bookmarkEnd w:id="67776"/>
      <w:r>
        <w:rPr>
          <w:rFonts w:hint="cs"/>
          <w:rtl/>
        </w:rPr>
        <w:t>ומק</w:t>
      </w:r>
      <w:r w:rsidR="00750122">
        <w:rPr>
          <w:rFonts w:hint="cs"/>
          <w:rtl/>
        </w:rPr>
        <w:t>י</w:t>
      </w:r>
      <w:r>
        <w:rPr>
          <w:rFonts w:hint="cs"/>
          <w:rtl/>
        </w:rPr>
        <w:t xml:space="preserve">לה, או </w:t>
      </w:r>
      <w:bookmarkStart w:id="67777" w:name="_ETM_Q118_555070"/>
      <w:bookmarkEnd w:id="67777"/>
      <w:r>
        <w:rPr>
          <w:rFonts w:hint="cs"/>
          <w:rtl/>
        </w:rPr>
        <w:t xml:space="preserve">פשוט </w:t>
      </w:r>
      <w:bookmarkStart w:id="67778" w:name="_ETM_Q118_555400"/>
      <w:bookmarkEnd w:id="67778"/>
      <w:r>
        <w:rPr>
          <w:rFonts w:hint="cs"/>
          <w:rtl/>
        </w:rPr>
        <w:t xml:space="preserve">סתם </w:t>
      </w:r>
      <w:bookmarkStart w:id="67779" w:name="_ETM_Q118_556210"/>
      <w:bookmarkEnd w:id="67779"/>
      <w:r>
        <w:rPr>
          <w:rFonts w:hint="cs"/>
          <w:rtl/>
        </w:rPr>
        <w:t>מאי</w:t>
      </w:r>
      <w:bookmarkStart w:id="67780" w:name="_ETM_Q118_556630"/>
      <w:bookmarkEnd w:id="67780"/>
      <w:r>
        <w:rPr>
          <w:rFonts w:hint="cs"/>
          <w:rtl/>
        </w:rPr>
        <w:t xml:space="preserve">-אכיפה, </w:t>
      </w:r>
      <w:bookmarkStart w:id="67781" w:name="_ETM_Q118_557320"/>
      <w:bookmarkEnd w:id="67781"/>
      <w:r>
        <w:rPr>
          <w:rFonts w:hint="cs"/>
          <w:rtl/>
        </w:rPr>
        <w:t xml:space="preserve">במיוחד </w:t>
      </w:r>
      <w:bookmarkStart w:id="67782" w:name="_ETM_Q118_557860"/>
      <w:bookmarkEnd w:id="67782"/>
      <w:r>
        <w:rPr>
          <w:rFonts w:hint="cs"/>
          <w:rtl/>
        </w:rPr>
        <w:t xml:space="preserve">בשבילם. </w:t>
      </w:r>
      <w:bookmarkStart w:id="67783" w:name="_ETM_Q118_559950"/>
      <w:bookmarkEnd w:id="67783"/>
      <w:r>
        <w:rPr>
          <w:rFonts w:hint="cs"/>
          <w:rtl/>
        </w:rPr>
        <w:t xml:space="preserve">יושבים </w:t>
      </w:r>
      <w:bookmarkStart w:id="67784" w:name="_ETM_Q118_560520"/>
      <w:bookmarkEnd w:id="67784"/>
      <w:r>
        <w:rPr>
          <w:rFonts w:hint="cs"/>
          <w:rtl/>
        </w:rPr>
        <w:t xml:space="preserve">בממשלה </w:t>
      </w:r>
      <w:bookmarkStart w:id="67785" w:name="_ETM_Q118_561240"/>
      <w:bookmarkEnd w:id="67785"/>
      <w:r>
        <w:rPr>
          <w:rFonts w:hint="cs"/>
          <w:rtl/>
        </w:rPr>
        <w:t xml:space="preserve">שלנו </w:t>
      </w:r>
      <w:bookmarkStart w:id="67786" w:name="_ETM_Q118_561779"/>
      <w:bookmarkEnd w:id="67786"/>
      <w:r>
        <w:rPr>
          <w:rFonts w:hint="cs"/>
          <w:rtl/>
        </w:rPr>
        <w:t xml:space="preserve">אנשים </w:t>
      </w:r>
      <w:bookmarkStart w:id="67787" w:name="_ETM_Q118_562260"/>
      <w:bookmarkEnd w:id="67787"/>
      <w:r>
        <w:rPr>
          <w:rFonts w:hint="cs"/>
          <w:rtl/>
        </w:rPr>
        <w:t xml:space="preserve">שתומכים </w:t>
      </w:r>
      <w:bookmarkStart w:id="67788" w:name="_ETM_Q118_563899"/>
      <w:bookmarkEnd w:id="67788"/>
      <w:r>
        <w:rPr>
          <w:rFonts w:hint="cs"/>
          <w:rtl/>
        </w:rPr>
        <w:t xml:space="preserve">בפוגרומיסטים </w:t>
      </w:r>
      <w:bookmarkStart w:id="67789" w:name="_ETM_Q118_565070"/>
      <w:bookmarkEnd w:id="67789"/>
      <w:r>
        <w:rPr>
          <w:rFonts w:hint="cs"/>
          <w:rtl/>
        </w:rPr>
        <w:t xml:space="preserve">יהודים, </w:t>
      </w:r>
      <w:bookmarkStart w:id="67790" w:name="_ETM_Q118_566700"/>
      <w:bookmarkEnd w:id="67790"/>
      <w:r>
        <w:rPr>
          <w:rFonts w:hint="cs"/>
          <w:rtl/>
        </w:rPr>
        <w:t xml:space="preserve">כי </w:t>
      </w:r>
      <w:bookmarkStart w:id="67791" w:name="_ETM_Q118_566880"/>
      <w:bookmarkEnd w:id="67791"/>
      <w:r>
        <w:rPr>
          <w:rFonts w:hint="cs"/>
          <w:rtl/>
        </w:rPr>
        <w:t xml:space="preserve">בעבורם </w:t>
      </w:r>
      <w:bookmarkStart w:id="67792" w:name="_ETM_Q118_568070"/>
      <w:bookmarkEnd w:id="67792"/>
      <w:r>
        <w:rPr>
          <w:rFonts w:hint="cs"/>
          <w:rtl/>
        </w:rPr>
        <w:t xml:space="preserve">מי </w:t>
      </w:r>
      <w:bookmarkStart w:id="67793" w:name="_ETM_Q118_568310"/>
      <w:bookmarkEnd w:id="67793"/>
      <w:r>
        <w:rPr>
          <w:rFonts w:hint="cs"/>
          <w:rtl/>
        </w:rPr>
        <w:t xml:space="preserve">ששורף </w:t>
      </w:r>
      <w:bookmarkStart w:id="67794" w:name="_ETM_Q118_568939"/>
      <w:bookmarkEnd w:id="67794"/>
      <w:r>
        <w:rPr>
          <w:rFonts w:hint="cs"/>
          <w:rtl/>
        </w:rPr>
        <w:t xml:space="preserve">משפחה </w:t>
      </w:r>
      <w:bookmarkStart w:id="67795" w:name="_ETM_Q118_569540"/>
      <w:bookmarkEnd w:id="67795"/>
      <w:r>
        <w:rPr>
          <w:rFonts w:hint="cs"/>
          <w:rtl/>
        </w:rPr>
        <w:t xml:space="preserve">לא </w:t>
      </w:r>
      <w:bookmarkStart w:id="67796" w:name="_ETM_Q118_569779"/>
      <w:bookmarkEnd w:id="67796"/>
      <w:r>
        <w:rPr>
          <w:rFonts w:hint="cs"/>
          <w:rtl/>
        </w:rPr>
        <w:t xml:space="preserve">יהודית </w:t>
      </w:r>
      <w:bookmarkStart w:id="67797" w:name="_ETM_Q118_571469"/>
      <w:bookmarkEnd w:id="67797"/>
      <w:r>
        <w:rPr>
          <w:rFonts w:hint="cs"/>
          <w:rtl/>
        </w:rPr>
        <w:t xml:space="preserve">הוא </w:t>
      </w:r>
      <w:bookmarkStart w:id="67798" w:name="_ETM_Q118_571560"/>
      <w:bookmarkEnd w:id="67798"/>
      <w:r>
        <w:rPr>
          <w:rFonts w:hint="cs"/>
          <w:rtl/>
        </w:rPr>
        <w:t xml:space="preserve">בכלל </w:t>
      </w:r>
      <w:bookmarkStart w:id="67799" w:name="_ETM_Q118_571950"/>
      <w:bookmarkEnd w:id="67799"/>
      <w:r>
        <w:rPr>
          <w:rFonts w:hint="cs"/>
          <w:rtl/>
        </w:rPr>
        <w:t xml:space="preserve">לא </w:t>
      </w:r>
      <w:bookmarkStart w:id="67800" w:name="_ETM_Q118_572009"/>
      <w:bookmarkEnd w:id="67800"/>
      <w:r>
        <w:rPr>
          <w:rFonts w:hint="cs"/>
          <w:rtl/>
        </w:rPr>
        <w:t xml:space="preserve">טרוריסט. </w:t>
      </w:r>
      <w:bookmarkStart w:id="67801" w:name="_ETM_Q118_573689"/>
      <w:bookmarkEnd w:id="67801"/>
      <w:r>
        <w:rPr>
          <w:rFonts w:hint="cs"/>
          <w:rtl/>
        </w:rPr>
        <w:t xml:space="preserve">וגם </w:t>
      </w:r>
      <w:bookmarkStart w:id="67802" w:name="_ETM_Q118_574079"/>
      <w:bookmarkEnd w:id="67802"/>
      <w:r>
        <w:rPr>
          <w:rFonts w:hint="cs"/>
          <w:rtl/>
        </w:rPr>
        <w:t xml:space="preserve">גרסתם </w:t>
      </w:r>
      <w:bookmarkStart w:id="67803" w:name="_ETM_Q118_574740"/>
      <w:bookmarkStart w:id="67804" w:name="_ETM_Q118_577860"/>
      <w:bookmarkEnd w:id="67803"/>
      <w:bookmarkEnd w:id="67804"/>
      <w:r>
        <w:rPr>
          <w:rFonts w:hint="cs"/>
          <w:rtl/>
        </w:rPr>
        <w:t>ליהדות של ה</w:t>
      </w:r>
      <w:bookmarkStart w:id="67805" w:name="_ETM_Q118_575009"/>
      <w:bookmarkEnd w:id="67805"/>
      <w:r>
        <w:rPr>
          <w:rFonts w:hint="cs"/>
          <w:rtl/>
        </w:rPr>
        <w:t xml:space="preserve">יושבים </w:t>
      </w:r>
      <w:bookmarkStart w:id="67806" w:name="_ETM_Q118_575579"/>
      <w:bookmarkEnd w:id="67806"/>
      <w:r>
        <w:rPr>
          <w:rFonts w:hint="cs"/>
          <w:rtl/>
        </w:rPr>
        <w:t xml:space="preserve">בממשלה </w:t>
      </w:r>
      <w:bookmarkStart w:id="67807" w:name="_ETM_Q118_576960"/>
      <w:bookmarkStart w:id="67808" w:name="_ETM_Q118_579529"/>
      <w:bookmarkEnd w:id="67807"/>
      <w:bookmarkEnd w:id="67808"/>
      <w:r>
        <w:rPr>
          <w:rFonts w:hint="cs"/>
          <w:rtl/>
        </w:rPr>
        <w:t xml:space="preserve">היא </w:t>
      </w:r>
      <w:bookmarkStart w:id="67809" w:name="_ETM_Q118_579680"/>
      <w:bookmarkEnd w:id="67809"/>
      <w:r>
        <w:rPr>
          <w:rFonts w:hint="cs"/>
          <w:rtl/>
        </w:rPr>
        <w:t xml:space="preserve">גרסה </w:t>
      </w:r>
      <w:bookmarkStart w:id="67810" w:name="_ETM_Q118_580130"/>
      <w:bookmarkEnd w:id="67810"/>
      <w:r>
        <w:rPr>
          <w:rFonts w:hint="cs"/>
          <w:rtl/>
        </w:rPr>
        <w:t xml:space="preserve">משיחית, </w:t>
      </w:r>
      <w:bookmarkStart w:id="67811" w:name="_ETM_Q118_582020"/>
      <w:bookmarkEnd w:id="67811"/>
      <w:r>
        <w:rPr>
          <w:rFonts w:hint="cs"/>
          <w:rtl/>
        </w:rPr>
        <w:t xml:space="preserve">היא </w:t>
      </w:r>
      <w:bookmarkStart w:id="67812" w:name="_ETM_Q118_582140"/>
      <w:bookmarkEnd w:id="67812"/>
      <w:r>
        <w:rPr>
          <w:rFonts w:hint="cs"/>
          <w:rtl/>
        </w:rPr>
        <w:t xml:space="preserve">גרסה </w:t>
      </w:r>
      <w:bookmarkStart w:id="67813" w:name="_ETM_Q118_583070"/>
      <w:bookmarkEnd w:id="67813"/>
      <w:r>
        <w:rPr>
          <w:rFonts w:hint="cs"/>
          <w:rtl/>
        </w:rPr>
        <w:t xml:space="preserve">קיצונית, </w:t>
      </w:r>
      <w:bookmarkStart w:id="67814" w:name="_ETM_Q118_584729"/>
      <w:bookmarkEnd w:id="67814"/>
      <w:r>
        <w:rPr>
          <w:rFonts w:hint="cs"/>
          <w:rtl/>
        </w:rPr>
        <w:t xml:space="preserve">היא </w:t>
      </w:r>
      <w:bookmarkStart w:id="67815" w:name="_ETM_Q118_584969"/>
      <w:bookmarkEnd w:id="67815"/>
      <w:r>
        <w:rPr>
          <w:rFonts w:hint="cs"/>
          <w:rtl/>
        </w:rPr>
        <w:t xml:space="preserve">גרסה </w:t>
      </w:r>
      <w:bookmarkStart w:id="67816" w:name="_ETM_Q118_585749"/>
      <w:bookmarkEnd w:id="67816"/>
      <w:r>
        <w:rPr>
          <w:rFonts w:hint="cs"/>
          <w:rtl/>
        </w:rPr>
        <w:t xml:space="preserve">גזענית, </w:t>
      </w:r>
      <w:bookmarkStart w:id="67817" w:name="_ETM_Q118_588249"/>
      <w:bookmarkEnd w:id="67817"/>
      <w:r>
        <w:rPr>
          <w:rFonts w:hint="cs"/>
          <w:rtl/>
        </w:rPr>
        <w:t xml:space="preserve">שונאת </w:t>
      </w:r>
      <w:bookmarkStart w:id="67818" w:name="_ETM_Q118_588849"/>
      <w:bookmarkEnd w:id="67818"/>
      <w:r>
        <w:rPr>
          <w:rFonts w:hint="cs"/>
          <w:rtl/>
        </w:rPr>
        <w:t xml:space="preserve">נשים </w:t>
      </w:r>
      <w:bookmarkStart w:id="67819" w:name="_ETM_Q118_595302"/>
      <w:bookmarkEnd w:id="67819"/>
      <w:r>
        <w:rPr>
          <w:rFonts w:hint="cs"/>
          <w:rtl/>
        </w:rPr>
        <w:t xml:space="preserve">– </w:t>
      </w:r>
      <w:bookmarkStart w:id="67820" w:name="_ETM_Q118_590680"/>
      <w:bookmarkEnd w:id="67820"/>
      <w:r>
        <w:rPr>
          <w:rFonts w:hint="cs"/>
          <w:rtl/>
        </w:rPr>
        <w:t xml:space="preserve">ובעיקר </w:t>
      </w:r>
      <w:bookmarkStart w:id="67821" w:name="_ETM_Q118_591279"/>
      <w:bookmarkEnd w:id="67821"/>
      <w:r>
        <w:rPr>
          <w:rFonts w:hint="cs"/>
          <w:rtl/>
        </w:rPr>
        <w:t xml:space="preserve">שונאת – </w:t>
      </w:r>
      <w:bookmarkStart w:id="67822" w:name="_ETM_Q118_593510"/>
      <w:bookmarkEnd w:id="67822"/>
      <w:r>
        <w:rPr>
          <w:rFonts w:hint="cs"/>
          <w:rtl/>
        </w:rPr>
        <w:t xml:space="preserve">שרוצה </w:t>
      </w:r>
      <w:bookmarkStart w:id="67823" w:name="_ETM_Q118_594020"/>
      <w:bookmarkEnd w:id="67823"/>
      <w:r>
        <w:rPr>
          <w:rFonts w:hint="cs"/>
          <w:rtl/>
        </w:rPr>
        <w:t xml:space="preserve">להשתלט </w:t>
      </w:r>
      <w:bookmarkStart w:id="67824" w:name="_ETM_Q118_594650"/>
      <w:bookmarkEnd w:id="67824"/>
      <w:r>
        <w:rPr>
          <w:rFonts w:hint="cs"/>
          <w:rtl/>
        </w:rPr>
        <w:t xml:space="preserve">ולחסל </w:t>
      </w:r>
      <w:bookmarkStart w:id="67825" w:name="_ETM_Q118_595370"/>
      <w:bookmarkEnd w:id="67825"/>
      <w:r>
        <w:rPr>
          <w:rFonts w:hint="cs"/>
          <w:rtl/>
        </w:rPr>
        <w:t xml:space="preserve">את </w:t>
      </w:r>
      <w:bookmarkStart w:id="67826" w:name="_ETM_Q118_595490"/>
      <w:bookmarkEnd w:id="67826"/>
      <w:r>
        <w:rPr>
          <w:rFonts w:hint="cs"/>
          <w:rtl/>
        </w:rPr>
        <w:t xml:space="preserve">היהדות </w:t>
      </w:r>
      <w:bookmarkStart w:id="67827" w:name="_ETM_Q118_597070"/>
      <w:bookmarkEnd w:id="67827"/>
      <w:r>
        <w:rPr>
          <w:rFonts w:hint="cs"/>
          <w:rtl/>
        </w:rPr>
        <w:t xml:space="preserve">ולחסל </w:t>
      </w:r>
      <w:bookmarkStart w:id="67828" w:name="_ETM_Q118_597850"/>
      <w:bookmarkEnd w:id="67828"/>
      <w:r>
        <w:rPr>
          <w:rFonts w:hint="cs"/>
          <w:rtl/>
        </w:rPr>
        <w:t xml:space="preserve">את </w:t>
      </w:r>
      <w:bookmarkStart w:id="67829" w:name="_ETM_Q118_597970"/>
      <w:bookmarkEnd w:id="67829"/>
      <w:r>
        <w:rPr>
          <w:rFonts w:hint="cs"/>
          <w:rtl/>
        </w:rPr>
        <w:t xml:space="preserve">הדמוקרטיה </w:t>
      </w:r>
      <w:bookmarkStart w:id="67830" w:name="_ETM_Q118_599819"/>
      <w:bookmarkEnd w:id="67830"/>
      <w:r>
        <w:rPr>
          <w:rFonts w:hint="cs"/>
          <w:rtl/>
        </w:rPr>
        <w:t xml:space="preserve">ולחסל </w:t>
      </w:r>
      <w:bookmarkStart w:id="67831" w:name="_ETM_Q118_600749"/>
      <w:bookmarkEnd w:id="67831"/>
      <w:r>
        <w:rPr>
          <w:rFonts w:hint="cs"/>
          <w:rtl/>
        </w:rPr>
        <w:t xml:space="preserve">את </w:t>
      </w:r>
      <w:bookmarkStart w:id="67832" w:name="_ETM_Q118_600929"/>
      <w:bookmarkEnd w:id="67832"/>
      <w:r>
        <w:rPr>
          <w:rFonts w:hint="cs"/>
          <w:rtl/>
        </w:rPr>
        <w:t>הציונות.</w:t>
      </w:r>
    </w:p>
    <w:p w:rsidR="00BB59CD" w:rsidRDefault="00BB59CD" w:rsidP="00BB59CD">
      <w:pPr>
        <w:rPr>
          <w:rtl/>
        </w:rPr>
      </w:pPr>
      <w:bookmarkStart w:id="67833" w:name="_ETM_Q118_600909"/>
      <w:bookmarkStart w:id="67834" w:name="_ETM_Q118_601034"/>
      <w:bookmarkEnd w:id="67833"/>
      <w:bookmarkEnd w:id="67834"/>
    </w:p>
    <w:p w:rsidR="00BB59CD" w:rsidRDefault="00BB59CD" w:rsidP="00750122">
      <w:pPr>
        <w:rPr>
          <w:rtl/>
        </w:rPr>
      </w:pPr>
      <w:bookmarkStart w:id="67835" w:name="_ETM_Q118_601067"/>
      <w:bookmarkStart w:id="67836" w:name="_ETM_Q118_601165"/>
      <w:bookmarkEnd w:id="67835"/>
      <w:bookmarkEnd w:id="67836"/>
      <w:r>
        <w:rPr>
          <w:rFonts w:hint="cs"/>
          <w:rtl/>
        </w:rPr>
        <w:t xml:space="preserve"> </w:t>
      </w:r>
      <w:bookmarkStart w:id="67837" w:name="_ETM_Q118_602799"/>
      <w:bookmarkEnd w:id="67837"/>
      <w:r>
        <w:rPr>
          <w:rFonts w:hint="cs"/>
          <w:rtl/>
        </w:rPr>
        <w:t xml:space="preserve">זה </w:t>
      </w:r>
      <w:bookmarkStart w:id="67838" w:name="_ETM_Q118_603009"/>
      <w:bookmarkEnd w:id="67838"/>
      <w:r>
        <w:rPr>
          <w:rFonts w:hint="cs"/>
          <w:rtl/>
        </w:rPr>
        <w:t xml:space="preserve">לא </w:t>
      </w:r>
      <w:bookmarkStart w:id="67839" w:name="_ETM_Q118_603100"/>
      <w:bookmarkEnd w:id="67839"/>
      <w:r>
        <w:rPr>
          <w:rFonts w:hint="cs"/>
          <w:rtl/>
        </w:rPr>
        <w:t xml:space="preserve">מגיע </w:t>
      </w:r>
      <w:bookmarkStart w:id="67840" w:name="_ETM_Q118_603460"/>
      <w:bookmarkEnd w:id="67840"/>
      <w:r>
        <w:rPr>
          <w:rFonts w:hint="cs"/>
          <w:rtl/>
        </w:rPr>
        <w:t xml:space="preserve">לנו. </w:t>
      </w:r>
      <w:bookmarkStart w:id="67841" w:name="_ETM_Q118_604899"/>
      <w:bookmarkEnd w:id="67841"/>
      <w:r>
        <w:rPr>
          <w:rFonts w:hint="cs"/>
          <w:rtl/>
        </w:rPr>
        <w:t xml:space="preserve">זה </w:t>
      </w:r>
      <w:bookmarkStart w:id="67842" w:name="_ETM_Q118_605049"/>
      <w:bookmarkEnd w:id="67842"/>
      <w:r>
        <w:rPr>
          <w:rFonts w:hint="cs"/>
          <w:rtl/>
        </w:rPr>
        <w:t xml:space="preserve">לא </w:t>
      </w:r>
      <w:bookmarkStart w:id="67843" w:name="_ETM_Q118_605139"/>
      <w:bookmarkEnd w:id="67843"/>
      <w:r>
        <w:rPr>
          <w:rFonts w:hint="cs"/>
          <w:rtl/>
        </w:rPr>
        <w:t xml:space="preserve">מגיע </w:t>
      </w:r>
      <w:bookmarkStart w:id="67844" w:name="_ETM_Q118_605469"/>
      <w:bookmarkEnd w:id="67844"/>
      <w:r>
        <w:rPr>
          <w:rFonts w:hint="cs"/>
          <w:rtl/>
        </w:rPr>
        <w:t xml:space="preserve">לעם </w:t>
      </w:r>
      <w:bookmarkStart w:id="67845" w:name="_ETM_Q118_606310"/>
      <w:bookmarkEnd w:id="67845"/>
      <w:r>
        <w:rPr>
          <w:rFonts w:hint="cs"/>
          <w:rtl/>
        </w:rPr>
        <w:t xml:space="preserve">המופלא </w:t>
      </w:r>
      <w:bookmarkStart w:id="67846" w:name="_ETM_Q118_606880"/>
      <w:bookmarkEnd w:id="67846"/>
      <w:r>
        <w:rPr>
          <w:rFonts w:hint="cs"/>
          <w:rtl/>
        </w:rPr>
        <w:t xml:space="preserve">והמדהים </w:t>
      </w:r>
      <w:bookmarkStart w:id="67847" w:name="_ETM_Q118_607479"/>
      <w:bookmarkEnd w:id="67847"/>
      <w:r>
        <w:rPr>
          <w:rFonts w:hint="cs"/>
          <w:rtl/>
        </w:rPr>
        <w:t xml:space="preserve">הזה. </w:t>
      </w:r>
      <w:bookmarkStart w:id="67848" w:name="_ETM_Q118_608769"/>
      <w:bookmarkEnd w:id="67848"/>
      <w:r>
        <w:rPr>
          <w:rFonts w:hint="cs"/>
          <w:rtl/>
        </w:rPr>
        <w:t xml:space="preserve">לא </w:t>
      </w:r>
      <w:bookmarkStart w:id="67849" w:name="_ETM_Q118_608980"/>
      <w:bookmarkEnd w:id="67849"/>
      <w:r>
        <w:rPr>
          <w:rFonts w:hint="cs"/>
          <w:rtl/>
        </w:rPr>
        <w:t xml:space="preserve">מגיע </w:t>
      </w:r>
      <w:bookmarkStart w:id="67850" w:name="_ETM_Q118_609430"/>
      <w:bookmarkEnd w:id="67850"/>
      <w:r>
        <w:rPr>
          <w:rFonts w:hint="cs"/>
          <w:rtl/>
        </w:rPr>
        <w:t xml:space="preserve">לנו </w:t>
      </w:r>
      <w:bookmarkStart w:id="67851" w:name="_ETM_Q118_609670"/>
      <w:bookmarkEnd w:id="67851"/>
      <w:r>
        <w:rPr>
          <w:rFonts w:hint="cs"/>
          <w:rtl/>
        </w:rPr>
        <w:t xml:space="preserve">שאנחנו </w:t>
      </w:r>
      <w:bookmarkStart w:id="67852" w:name="_ETM_Q118_610330"/>
      <w:bookmarkEnd w:id="67852"/>
      <w:r>
        <w:rPr>
          <w:rFonts w:hint="cs"/>
          <w:rtl/>
        </w:rPr>
        <w:t xml:space="preserve">עכשיו, </w:t>
      </w:r>
      <w:bookmarkStart w:id="67853" w:name="_ETM_Q118_610900"/>
      <w:bookmarkEnd w:id="67853"/>
      <w:r>
        <w:rPr>
          <w:rFonts w:hint="cs"/>
          <w:rtl/>
        </w:rPr>
        <w:t xml:space="preserve">בגללם, </w:t>
      </w:r>
      <w:bookmarkStart w:id="67854" w:name="_ETM_Q118_612190"/>
      <w:bookmarkEnd w:id="67854"/>
      <w:r>
        <w:rPr>
          <w:rFonts w:hint="cs"/>
          <w:rtl/>
        </w:rPr>
        <w:t xml:space="preserve">על </w:t>
      </w:r>
      <w:bookmarkStart w:id="67855" w:name="_ETM_Q118_612400"/>
      <w:bookmarkEnd w:id="67855"/>
      <w:r>
        <w:rPr>
          <w:rFonts w:hint="cs"/>
          <w:rtl/>
        </w:rPr>
        <w:t xml:space="preserve">סף </w:t>
      </w:r>
      <w:bookmarkStart w:id="67856" w:name="_ETM_Q118_612760"/>
      <w:bookmarkEnd w:id="67856"/>
      <w:r>
        <w:rPr>
          <w:rFonts w:hint="cs"/>
          <w:rtl/>
        </w:rPr>
        <w:t xml:space="preserve">חורבן </w:t>
      </w:r>
      <w:bookmarkStart w:id="67857" w:name="_ETM_Q118_613420"/>
      <w:bookmarkEnd w:id="67857"/>
      <w:r>
        <w:rPr>
          <w:rFonts w:hint="cs"/>
          <w:rtl/>
        </w:rPr>
        <w:t xml:space="preserve">בית </w:t>
      </w:r>
      <w:bookmarkStart w:id="67858" w:name="_ETM_Q118_613780"/>
      <w:bookmarkEnd w:id="67858"/>
      <w:r>
        <w:rPr>
          <w:rFonts w:hint="cs"/>
          <w:rtl/>
        </w:rPr>
        <w:t xml:space="preserve">שלישי </w:t>
      </w:r>
      <w:bookmarkStart w:id="67859" w:name="_ETM_Q118_614940"/>
      <w:bookmarkEnd w:id="67859"/>
      <w:r>
        <w:rPr>
          <w:rFonts w:hint="cs"/>
          <w:rtl/>
        </w:rPr>
        <w:t xml:space="preserve">ואולי </w:t>
      </w:r>
      <w:bookmarkStart w:id="67860" w:name="_ETM_Q118_615330"/>
      <w:bookmarkEnd w:id="67860"/>
      <w:r>
        <w:rPr>
          <w:rFonts w:hint="cs"/>
          <w:rtl/>
        </w:rPr>
        <w:t xml:space="preserve">אפילו </w:t>
      </w:r>
      <w:bookmarkStart w:id="67861" w:name="_ETM_Q118_615570"/>
      <w:bookmarkEnd w:id="67861"/>
      <w:r>
        <w:rPr>
          <w:rFonts w:hint="cs"/>
          <w:rtl/>
        </w:rPr>
        <w:t xml:space="preserve">קצת </w:t>
      </w:r>
      <w:bookmarkStart w:id="67862" w:name="_ETM_Q118_615870"/>
      <w:bookmarkStart w:id="67863" w:name="_ETM_Q118_616500"/>
      <w:bookmarkStart w:id="67864" w:name="_ETM_Q118_616770"/>
      <w:bookmarkEnd w:id="67862"/>
      <w:bookmarkEnd w:id="67863"/>
      <w:bookmarkEnd w:id="67864"/>
      <w:r>
        <w:rPr>
          <w:rFonts w:hint="cs"/>
          <w:rtl/>
        </w:rPr>
        <w:t xml:space="preserve">מעט </w:t>
      </w:r>
      <w:bookmarkStart w:id="67865" w:name="_ETM_Q118_617190"/>
      <w:bookmarkEnd w:id="67865"/>
      <w:r>
        <w:rPr>
          <w:rFonts w:hint="cs"/>
          <w:rtl/>
        </w:rPr>
        <w:t xml:space="preserve">מעבר </w:t>
      </w:r>
      <w:bookmarkStart w:id="67866" w:name="_ETM_Q118_617670"/>
      <w:bookmarkEnd w:id="67866"/>
      <w:r>
        <w:rPr>
          <w:rFonts w:hint="cs"/>
          <w:rtl/>
        </w:rPr>
        <w:t xml:space="preserve">לסף – </w:t>
      </w:r>
      <w:bookmarkStart w:id="67867" w:name="_ETM_Q118_618750"/>
      <w:bookmarkEnd w:id="67867"/>
      <w:r>
        <w:rPr>
          <w:rFonts w:hint="cs"/>
          <w:rtl/>
        </w:rPr>
        <w:t xml:space="preserve">ממש </w:t>
      </w:r>
      <w:bookmarkStart w:id="67868" w:name="_ETM_Q118_619200"/>
      <w:bookmarkEnd w:id="67868"/>
      <w:r>
        <w:rPr>
          <w:rFonts w:hint="cs"/>
          <w:rtl/>
        </w:rPr>
        <w:t xml:space="preserve">בתחילת </w:t>
      </w:r>
      <w:bookmarkStart w:id="67869" w:name="_ETM_Q118_619770"/>
      <w:bookmarkEnd w:id="67869"/>
      <w:r>
        <w:rPr>
          <w:rFonts w:hint="cs"/>
          <w:rtl/>
        </w:rPr>
        <w:t xml:space="preserve">החורבן </w:t>
      </w:r>
      <w:bookmarkStart w:id="67870" w:name="_ETM_Q118_620310"/>
      <w:bookmarkEnd w:id="67870"/>
      <w:r>
        <w:rPr>
          <w:rFonts w:hint="cs"/>
          <w:rtl/>
        </w:rPr>
        <w:t>עצמו</w:t>
      </w:r>
      <w:r w:rsidR="00750122">
        <w:rPr>
          <w:rFonts w:hint="cs"/>
          <w:rtl/>
        </w:rPr>
        <w:t>.</w:t>
      </w:r>
      <w:r>
        <w:rPr>
          <w:rFonts w:hint="cs"/>
          <w:rtl/>
        </w:rPr>
        <w:t xml:space="preserve"> </w:t>
      </w:r>
      <w:bookmarkStart w:id="67871" w:name="_ETM_Q118_622080"/>
      <w:bookmarkEnd w:id="67871"/>
      <w:r>
        <w:rPr>
          <w:rFonts w:hint="cs"/>
          <w:rtl/>
        </w:rPr>
        <w:t xml:space="preserve">אבל </w:t>
      </w:r>
      <w:bookmarkStart w:id="67872" w:name="_ETM_Q118_622350"/>
      <w:bookmarkEnd w:id="67872"/>
      <w:r>
        <w:rPr>
          <w:rFonts w:hint="cs"/>
          <w:rtl/>
        </w:rPr>
        <w:t xml:space="preserve">הגיע </w:t>
      </w:r>
      <w:bookmarkStart w:id="67873" w:name="_ETM_Q118_622650"/>
      <w:bookmarkStart w:id="67874" w:name="_ETM_Q118_622830"/>
      <w:bookmarkEnd w:id="67873"/>
      <w:bookmarkEnd w:id="67874"/>
      <w:r>
        <w:rPr>
          <w:rFonts w:hint="cs"/>
          <w:rtl/>
        </w:rPr>
        <w:t xml:space="preserve">הזמן </w:t>
      </w:r>
      <w:bookmarkStart w:id="67875" w:name="_ETM_Q118_623130"/>
      <w:bookmarkEnd w:id="67875"/>
      <w:r>
        <w:rPr>
          <w:rFonts w:hint="cs"/>
          <w:rtl/>
        </w:rPr>
        <w:t xml:space="preserve">גם </w:t>
      </w:r>
      <w:bookmarkStart w:id="67876" w:name="_ETM_Q118_623310"/>
      <w:bookmarkEnd w:id="67876"/>
      <w:r>
        <w:rPr>
          <w:rFonts w:hint="cs"/>
          <w:rtl/>
        </w:rPr>
        <w:t xml:space="preserve">קצת </w:t>
      </w:r>
      <w:bookmarkStart w:id="67877" w:name="_ETM_Q118_623610"/>
      <w:bookmarkEnd w:id="67877"/>
      <w:r>
        <w:rPr>
          <w:rFonts w:hint="cs"/>
          <w:rtl/>
        </w:rPr>
        <w:t xml:space="preserve">לחשבון </w:t>
      </w:r>
      <w:bookmarkStart w:id="67878" w:name="_ETM_Q118_624060"/>
      <w:bookmarkEnd w:id="67878"/>
      <w:r>
        <w:rPr>
          <w:rFonts w:hint="cs"/>
          <w:rtl/>
        </w:rPr>
        <w:t>נפש</w:t>
      </w:r>
      <w:r w:rsidR="00750122">
        <w:rPr>
          <w:rFonts w:hint="cs"/>
          <w:rtl/>
        </w:rPr>
        <w:t>:</w:t>
      </w:r>
      <w:r>
        <w:rPr>
          <w:rFonts w:hint="cs"/>
          <w:rtl/>
        </w:rPr>
        <w:t xml:space="preserve"> </w:t>
      </w:r>
      <w:bookmarkStart w:id="67879" w:name="_ETM_Q118_625420"/>
      <w:bookmarkEnd w:id="67879"/>
      <w:r>
        <w:rPr>
          <w:rFonts w:hint="cs"/>
          <w:rtl/>
        </w:rPr>
        <w:t xml:space="preserve">כשלוקחים </w:t>
      </w:r>
      <w:bookmarkStart w:id="67880" w:name="_ETM_Q118_625960"/>
      <w:bookmarkEnd w:id="67880"/>
      <w:r>
        <w:rPr>
          <w:rFonts w:hint="cs"/>
          <w:rtl/>
        </w:rPr>
        <w:t xml:space="preserve">את </w:t>
      </w:r>
      <w:bookmarkStart w:id="67881" w:name="_ETM_Q118_626110"/>
      <w:bookmarkEnd w:id="67881"/>
      <w:r>
        <w:rPr>
          <w:rFonts w:hint="cs"/>
          <w:rtl/>
        </w:rPr>
        <w:t xml:space="preserve">הערכים </w:t>
      </w:r>
      <w:bookmarkStart w:id="67882" w:name="_ETM_Q118_626680"/>
      <w:bookmarkEnd w:id="67882"/>
      <w:r>
        <w:rPr>
          <w:rFonts w:hint="cs"/>
          <w:rtl/>
        </w:rPr>
        <w:t xml:space="preserve">הבסיסיים </w:t>
      </w:r>
      <w:bookmarkStart w:id="67883" w:name="_ETM_Q118_627370"/>
      <w:bookmarkEnd w:id="67883"/>
      <w:r>
        <w:rPr>
          <w:rFonts w:hint="cs"/>
          <w:rtl/>
        </w:rPr>
        <w:t xml:space="preserve">שלנו </w:t>
      </w:r>
      <w:bookmarkStart w:id="67884" w:name="_ETM_Q118_628120"/>
      <w:bookmarkStart w:id="67885" w:name="_ETM_Q118_628390"/>
      <w:bookmarkStart w:id="67886" w:name="_ETM_Q118_628810"/>
      <w:bookmarkEnd w:id="67884"/>
      <w:bookmarkEnd w:id="67885"/>
      <w:bookmarkEnd w:id="67886"/>
      <w:r>
        <w:rPr>
          <w:rFonts w:hint="cs"/>
          <w:rtl/>
        </w:rPr>
        <w:t xml:space="preserve">כמובנים </w:t>
      </w:r>
      <w:bookmarkStart w:id="67887" w:name="_ETM_Q118_629470"/>
      <w:bookmarkEnd w:id="67887"/>
      <w:r>
        <w:rPr>
          <w:rFonts w:hint="cs"/>
          <w:rtl/>
        </w:rPr>
        <w:t xml:space="preserve">מאליהם </w:t>
      </w:r>
      <w:bookmarkStart w:id="67888" w:name="_ETM_Q118_630769"/>
      <w:bookmarkEnd w:id="67888"/>
      <w:r>
        <w:rPr>
          <w:rFonts w:hint="cs"/>
          <w:rtl/>
        </w:rPr>
        <w:t xml:space="preserve">ומפסיקים </w:t>
      </w:r>
      <w:bookmarkStart w:id="67889" w:name="_ETM_Q118_631640"/>
      <w:bookmarkEnd w:id="67889"/>
      <w:r>
        <w:rPr>
          <w:rFonts w:hint="cs"/>
          <w:rtl/>
        </w:rPr>
        <w:t xml:space="preserve">לחזק </w:t>
      </w:r>
      <w:bookmarkStart w:id="67890" w:name="_ETM_Q118_632150"/>
      <w:bookmarkEnd w:id="67890"/>
      <w:r>
        <w:rPr>
          <w:rFonts w:hint="cs"/>
          <w:rtl/>
        </w:rPr>
        <w:t xml:space="preserve">אותם, </w:t>
      </w:r>
      <w:bookmarkStart w:id="67891" w:name="_ETM_Q118_633450"/>
      <w:bookmarkEnd w:id="67891"/>
      <w:r>
        <w:rPr>
          <w:rFonts w:hint="cs"/>
          <w:rtl/>
        </w:rPr>
        <w:t xml:space="preserve">מפסיקים </w:t>
      </w:r>
      <w:bookmarkStart w:id="67892" w:name="_ETM_Q118_634020"/>
      <w:bookmarkEnd w:id="67892"/>
      <w:r>
        <w:rPr>
          <w:rFonts w:hint="cs"/>
          <w:rtl/>
        </w:rPr>
        <w:t xml:space="preserve">לחנך </w:t>
      </w:r>
      <w:bookmarkStart w:id="67893" w:name="_ETM_Q118_634590"/>
      <w:bookmarkEnd w:id="67893"/>
      <w:r>
        <w:rPr>
          <w:rFonts w:hint="cs"/>
          <w:rtl/>
        </w:rPr>
        <w:t xml:space="preserve">לאורם, </w:t>
      </w:r>
      <w:bookmarkStart w:id="67894" w:name="_ETM_Q118_635420"/>
      <w:bookmarkEnd w:id="67894"/>
      <w:r>
        <w:rPr>
          <w:rFonts w:hint="cs"/>
          <w:rtl/>
        </w:rPr>
        <w:t xml:space="preserve">לתקצב </w:t>
      </w:r>
      <w:bookmarkStart w:id="67895" w:name="_ETM_Q118_636440"/>
      <w:bookmarkEnd w:id="67895"/>
      <w:r>
        <w:rPr>
          <w:rFonts w:hint="cs"/>
          <w:rtl/>
        </w:rPr>
        <w:t xml:space="preserve">אותם, </w:t>
      </w:r>
      <w:bookmarkStart w:id="67896" w:name="_ETM_Q118_637440"/>
      <w:bookmarkEnd w:id="67896"/>
      <w:r>
        <w:rPr>
          <w:rFonts w:hint="cs"/>
          <w:rtl/>
        </w:rPr>
        <w:t xml:space="preserve">ולהילחם </w:t>
      </w:r>
      <w:bookmarkStart w:id="67897" w:name="_ETM_Q118_638220"/>
      <w:bookmarkEnd w:id="67897"/>
      <w:r>
        <w:rPr>
          <w:rFonts w:hint="cs"/>
          <w:rtl/>
        </w:rPr>
        <w:t xml:space="preserve">עליהם, </w:t>
      </w:r>
      <w:bookmarkStart w:id="67898" w:name="_ETM_Q118_639670"/>
      <w:bookmarkEnd w:id="67898"/>
      <w:r>
        <w:rPr>
          <w:rFonts w:hint="cs"/>
          <w:rtl/>
        </w:rPr>
        <w:t xml:space="preserve">יקומו </w:t>
      </w:r>
      <w:bookmarkStart w:id="67899" w:name="_ETM_Q118_640450"/>
      <w:bookmarkEnd w:id="67899"/>
      <w:r>
        <w:rPr>
          <w:rFonts w:hint="cs"/>
          <w:rtl/>
        </w:rPr>
        <w:t xml:space="preserve">אלו </w:t>
      </w:r>
      <w:bookmarkStart w:id="67900" w:name="_ETM_Q118_640810"/>
      <w:bookmarkEnd w:id="67900"/>
      <w:r>
        <w:rPr>
          <w:rFonts w:hint="cs"/>
          <w:rtl/>
        </w:rPr>
        <w:t xml:space="preserve">שירצו </w:t>
      </w:r>
      <w:bookmarkStart w:id="67901" w:name="_ETM_Q118_641470"/>
      <w:bookmarkEnd w:id="67901"/>
      <w:r>
        <w:rPr>
          <w:rFonts w:hint="cs"/>
          <w:rtl/>
        </w:rPr>
        <w:t xml:space="preserve">לפרק </w:t>
      </w:r>
      <w:bookmarkStart w:id="67902" w:name="_ETM_Q118_641980"/>
      <w:bookmarkEnd w:id="67902"/>
      <w:r>
        <w:rPr>
          <w:rFonts w:hint="cs"/>
          <w:rtl/>
        </w:rPr>
        <w:t xml:space="preserve">אותם </w:t>
      </w:r>
      <w:bookmarkStart w:id="67903" w:name="_ETM_Q118_642310"/>
      <w:bookmarkEnd w:id="67903"/>
      <w:r>
        <w:rPr>
          <w:rFonts w:hint="cs"/>
          <w:rtl/>
        </w:rPr>
        <w:t xml:space="preserve">מבפנים </w:t>
      </w:r>
      <w:bookmarkStart w:id="67904" w:name="_ETM_Q118_643560"/>
      <w:bookmarkEnd w:id="67904"/>
      <w:r>
        <w:rPr>
          <w:rFonts w:hint="cs"/>
          <w:rtl/>
        </w:rPr>
        <w:t>ולהחלי</w:t>
      </w:r>
      <w:bookmarkStart w:id="67905" w:name="_ETM_Q118_644340"/>
      <w:bookmarkEnd w:id="67905"/>
      <w:r>
        <w:rPr>
          <w:rFonts w:hint="cs"/>
          <w:rtl/>
        </w:rPr>
        <w:t xml:space="preserve">פם </w:t>
      </w:r>
      <w:bookmarkStart w:id="67906" w:name="_ETM_Q118_644730"/>
      <w:bookmarkEnd w:id="67906"/>
      <w:r>
        <w:rPr>
          <w:rFonts w:hint="cs"/>
          <w:rtl/>
        </w:rPr>
        <w:t xml:space="preserve">במשיחיות, </w:t>
      </w:r>
      <w:bookmarkStart w:id="67907" w:name="_ETM_Q118_646280"/>
      <w:bookmarkEnd w:id="67907"/>
      <w:r>
        <w:rPr>
          <w:rFonts w:hint="cs"/>
          <w:rtl/>
        </w:rPr>
        <w:t xml:space="preserve">קיצוניות </w:t>
      </w:r>
      <w:bookmarkStart w:id="67908" w:name="_ETM_Q118_647670"/>
      <w:bookmarkEnd w:id="67908"/>
      <w:r>
        <w:rPr>
          <w:rFonts w:hint="cs"/>
          <w:rtl/>
        </w:rPr>
        <w:t>ואלימות.</w:t>
      </w:r>
    </w:p>
    <w:p w:rsidR="00BB59CD" w:rsidRDefault="00BB59CD" w:rsidP="00BB59CD">
      <w:pPr>
        <w:rPr>
          <w:rtl/>
        </w:rPr>
      </w:pPr>
      <w:bookmarkStart w:id="67909" w:name="_ETM_Q118_649728"/>
      <w:bookmarkStart w:id="67910" w:name="_ETM_Q118_649838"/>
      <w:bookmarkEnd w:id="67909"/>
      <w:bookmarkEnd w:id="67910"/>
    </w:p>
    <w:p w:rsidR="00BB59CD" w:rsidRDefault="00BB59CD" w:rsidP="00BB59CD">
      <w:pPr>
        <w:rPr>
          <w:rtl/>
        </w:rPr>
      </w:pPr>
      <w:bookmarkStart w:id="67911" w:name="_ETM_Q118_649872"/>
      <w:bookmarkStart w:id="67912" w:name="_ETM_Q118_649955"/>
      <w:bookmarkEnd w:id="67911"/>
      <w:bookmarkEnd w:id="67912"/>
      <w:r>
        <w:rPr>
          <w:rFonts w:hint="cs"/>
          <w:rtl/>
        </w:rPr>
        <w:t xml:space="preserve"> </w:t>
      </w:r>
      <w:bookmarkStart w:id="67913" w:name="_ETM_Q118_650010"/>
      <w:bookmarkEnd w:id="67913"/>
      <w:r>
        <w:rPr>
          <w:rFonts w:hint="cs"/>
          <w:rtl/>
        </w:rPr>
        <w:t xml:space="preserve">תסתכלו </w:t>
      </w:r>
      <w:bookmarkStart w:id="67914" w:name="_ETM_Q118_650519"/>
      <w:bookmarkEnd w:id="67914"/>
      <w:r>
        <w:rPr>
          <w:rFonts w:hint="cs"/>
          <w:rtl/>
        </w:rPr>
        <w:t xml:space="preserve">על </w:t>
      </w:r>
      <w:bookmarkStart w:id="67915" w:name="_ETM_Q118_650639"/>
      <w:bookmarkEnd w:id="67915"/>
      <w:r>
        <w:rPr>
          <w:rFonts w:hint="cs"/>
          <w:rtl/>
        </w:rPr>
        <w:t xml:space="preserve">חברי </w:t>
      </w:r>
      <w:bookmarkStart w:id="67916" w:name="_ETM_Q118_651029"/>
      <w:bookmarkEnd w:id="67916"/>
      <w:r>
        <w:rPr>
          <w:rFonts w:hint="cs"/>
          <w:rtl/>
        </w:rPr>
        <w:t xml:space="preserve">הממשלה </w:t>
      </w:r>
      <w:bookmarkStart w:id="67917" w:name="_ETM_Q118_651840"/>
      <w:bookmarkEnd w:id="67917"/>
      <w:r>
        <w:rPr>
          <w:rFonts w:hint="cs"/>
          <w:rtl/>
        </w:rPr>
        <w:t xml:space="preserve">הנוכחית. </w:t>
      </w:r>
      <w:bookmarkStart w:id="67918" w:name="_ETM_Q118_653810"/>
      <w:bookmarkEnd w:id="67918"/>
      <w:r>
        <w:rPr>
          <w:rFonts w:hint="cs"/>
          <w:rtl/>
        </w:rPr>
        <w:t xml:space="preserve">הרי </w:t>
      </w:r>
      <w:bookmarkStart w:id="67919" w:name="_ETM_Q118_654049"/>
      <w:bookmarkEnd w:id="67919"/>
      <w:r>
        <w:rPr>
          <w:rFonts w:hint="cs"/>
          <w:rtl/>
        </w:rPr>
        <w:t xml:space="preserve">זו </w:t>
      </w:r>
      <w:bookmarkStart w:id="67920" w:name="_ETM_Q118_654230"/>
      <w:bookmarkEnd w:id="67920"/>
      <w:r>
        <w:rPr>
          <w:rFonts w:hint="cs"/>
          <w:rtl/>
        </w:rPr>
        <w:t xml:space="preserve">ממש </w:t>
      </w:r>
      <w:bookmarkStart w:id="67921" w:name="_ETM_Q118_654620"/>
      <w:bookmarkEnd w:id="67921"/>
      <w:r>
        <w:rPr>
          <w:rFonts w:hint="cs"/>
          <w:rtl/>
        </w:rPr>
        <w:t xml:space="preserve">בושה </w:t>
      </w:r>
      <w:bookmarkStart w:id="67922" w:name="_ETM_Q118_655040"/>
      <w:bookmarkEnd w:id="67922"/>
      <w:r>
        <w:rPr>
          <w:rFonts w:hint="cs"/>
          <w:rtl/>
        </w:rPr>
        <w:t xml:space="preserve">שהחבורה </w:t>
      </w:r>
      <w:bookmarkStart w:id="67923" w:name="_ETM_Q118_655909"/>
      <w:bookmarkEnd w:id="67923"/>
      <w:r>
        <w:rPr>
          <w:rFonts w:hint="cs"/>
          <w:rtl/>
        </w:rPr>
        <w:t xml:space="preserve">האנטי-ציונית </w:t>
      </w:r>
      <w:bookmarkStart w:id="67924" w:name="_ETM_Q118_656900"/>
      <w:bookmarkEnd w:id="67924"/>
      <w:r>
        <w:rPr>
          <w:rFonts w:hint="cs"/>
          <w:rtl/>
        </w:rPr>
        <w:t xml:space="preserve">והאנטי-דמוקרטית </w:t>
      </w:r>
      <w:bookmarkStart w:id="67925" w:name="_ETM_Q118_658280"/>
      <w:bookmarkEnd w:id="67925"/>
      <w:r>
        <w:rPr>
          <w:rFonts w:hint="cs"/>
          <w:rtl/>
        </w:rPr>
        <w:t>הזו</w:t>
      </w:r>
      <w:r w:rsidR="00750122">
        <w:rPr>
          <w:rFonts w:hint="cs"/>
          <w:rtl/>
        </w:rPr>
        <w:t>,</w:t>
      </w:r>
      <w:r>
        <w:rPr>
          <w:rFonts w:hint="cs"/>
          <w:rtl/>
        </w:rPr>
        <w:t xml:space="preserve"> </w:t>
      </w:r>
      <w:bookmarkStart w:id="67926" w:name="_ETM_Q118_658519"/>
      <w:bookmarkEnd w:id="67926"/>
      <w:r>
        <w:rPr>
          <w:rFonts w:hint="cs"/>
          <w:rtl/>
        </w:rPr>
        <w:t xml:space="preserve">ברובה, </w:t>
      </w:r>
      <w:bookmarkStart w:id="67927" w:name="_ETM_Q118_659060"/>
      <w:bookmarkEnd w:id="67927"/>
      <w:r>
        <w:rPr>
          <w:rFonts w:hint="cs"/>
          <w:rtl/>
        </w:rPr>
        <w:t xml:space="preserve">בכלל </w:t>
      </w:r>
      <w:bookmarkStart w:id="67928" w:name="_ETM_Q118_659450"/>
      <w:bookmarkEnd w:id="67928"/>
      <w:r>
        <w:rPr>
          <w:rFonts w:hint="cs"/>
          <w:rtl/>
        </w:rPr>
        <w:t xml:space="preserve">נקראת </w:t>
      </w:r>
      <w:bookmarkStart w:id="67929" w:name="_ETM_Q118_659959"/>
      <w:bookmarkEnd w:id="67929"/>
      <w:r>
        <w:rPr>
          <w:rFonts w:hint="cs"/>
          <w:rtl/>
        </w:rPr>
        <w:t xml:space="preserve">ממשלת </w:t>
      </w:r>
      <w:bookmarkStart w:id="67930" w:name="_ETM_Q118_660500"/>
      <w:bookmarkEnd w:id="67930"/>
      <w:r>
        <w:rPr>
          <w:rFonts w:hint="cs"/>
          <w:rtl/>
        </w:rPr>
        <w:t xml:space="preserve">ישראל. </w:t>
      </w:r>
      <w:bookmarkStart w:id="67931" w:name="_ETM_Q118_662630"/>
      <w:bookmarkEnd w:id="67931"/>
      <w:r>
        <w:rPr>
          <w:rFonts w:hint="cs"/>
          <w:rtl/>
        </w:rPr>
        <w:t xml:space="preserve">כמה </w:t>
      </w:r>
      <w:bookmarkStart w:id="67932" w:name="_ETM_Q118_663110"/>
      <w:bookmarkEnd w:id="67932"/>
      <w:r>
        <w:rPr>
          <w:rFonts w:hint="cs"/>
          <w:rtl/>
        </w:rPr>
        <w:t xml:space="preserve">מבין </w:t>
      </w:r>
      <w:bookmarkStart w:id="67933" w:name="_ETM_Q118_663590"/>
      <w:bookmarkEnd w:id="67933"/>
      <w:r>
        <w:rPr>
          <w:rFonts w:hint="cs"/>
          <w:rtl/>
        </w:rPr>
        <w:t xml:space="preserve">חברי </w:t>
      </w:r>
      <w:bookmarkStart w:id="67934" w:name="_ETM_Q118_664040"/>
      <w:bookmarkEnd w:id="67934"/>
      <w:r>
        <w:rPr>
          <w:rFonts w:hint="cs"/>
          <w:rtl/>
        </w:rPr>
        <w:t xml:space="preserve">הממשלה </w:t>
      </w:r>
      <w:bookmarkStart w:id="67935" w:name="_ETM_Q118_664760"/>
      <w:bookmarkEnd w:id="67935"/>
      <w:r>
        <w:rPr>
          <w:rFonts w:hint="cs"/>
          <w:rtl/>
        </w:rPr>
        <w:t xml:space="preserve">הנוכחית </w:t>
      </w:r>
      <w:bookmarkStart w:id="67936" w:name="_ETM_Q118_665330"/>
      <w:bookmarkEnd w:id="67936"/>
      <w:r>
        <w:rPr>
          <w:rFonts w:hint="cs"/>
          <w:rtl/>
        </w:rPr>
        <w:t xml:space="preserve">בכלל </w:t>
      </w:r>
      <w:bookmarkStart w:id="67937" w:name="_ETM_Q118_665750"/>
      <w:bookmarkEnd w:id="67937"/>
      <w:r>
        <w:rPr>
          <w:rFonts w:hint="cs"/>
          <w:rtl/>
        </w:rPr>
        <w:t xml:space="preserve">מאמינים </w:t>
      </w:r>
      <w:bookmarkStart w:id="67938" w:name="_ETM_Q118_666260"/>
      <w:bookmarkEnd w:id="67938"/>
      <w:r>
        <w:rPr>
          <w:rFonts w:hint="cs"/>
          <w:rtl/>
        </w:rPr>
        <w:t xml:space="preserve">בדמוקרטיה, </w:t>
      </w:r>
      <w:bookmarkStart w:id="67939" w:name="_ETM_Q118_667860"/>
      <w:bookmarkEnd w:id="67939"/>
      <w:r>
        <w:rPr>
          <w:rFonts w:hint="cs"/>
          <w:rtl/>
        </w:rPr>
        <w:t xml:space="preserve">בשלטון </w:t>
      </w:r>
      <w:bookmarkStart w:id="67940" w:name="_ETM_Q118_668459"/>
      <w:bookmarkEnd w:id="67940"/>
      <w:r>
        <w:rPr>
          <w:rFonts w:hint="cs"/>
          <w:rtl/>
        </w:rPr>
        <w:t xml:space="preserve">החוק, </w:t>
      </w:r>
      <w:bookmarkStart w:id="67941" w:name="_ETM_Q118_669550"/>
      <w:bookmarkEnd w:id="67941"/>
      <w:r>
        <w:rPr>
          <w:rFonts w:hint="cs"/>
          <w:rtl/>
        </w:rPr>
        <w:t xml:space="preserve">בציונות? </w:t>
      </w:r>
      <w:bookmarkStart w:id="67942" w:name="_ETM_Q118_671380"/>
      <w:bookmarkEnd w:id="67942"/>
      <w:r>
        <w:rPr>
          <w:rFonts w:hint="cs"/>
          <w:rtl/>
        </w:rPr>
        <w:t xml:space="preserve">בואו </w:t>
      </w:r>
      <w:bookmarkStart w:id="67943" w:name="_ETM_Q118_671590"/>
      <w:bookmarkEnd w:id="67943"/>
      <w:r>
        <w:rPr>
          <w:rFonts w:hint="cs"/>
          <w:rtl/>
        </w:rPr>
        <w:t xml:space="preserve">נבדוק. רוצים </w:t>
      </w:r>
      <w:bookmarkStart w:id="67944" w:name="_ETM_Q118_673140"/>
      <w:bookmarkEnd w:id="67944"/>
      <w:r>
        <w:rPr>
          <w:rFonts w:hint="cs"/>
          <w:rtl/>
        </w:rPr>
        <w:t xml:space="preserve">לבדוק? </w:t>
      </w:r>
      <w:bookmarkStart w:id="67945" w:name="_ETM_Q118_675260"/>
      <w:bookmarkEnd w:id="67945"/>
      <w:r>
        <w:rPr>
          <w:rFonts w:hint="cs"/>
          <w:rtl/>
        </w:rPr>
        <w:t xml:space="preserve">שר </w:t>
      </w:r>
      <w:bookmarkStart w:id="67946" w:name="_ETM_Q118_675529"/>
      <w:bookmarkEnd w:id="67946"/>
      <w:r>
        <w:rPr>
          <w:rFonts w:hint="cs"/>
          <w:rtl/>
        </w:rPr>
        <w:t xml:space="preserve">האוצר </w:t>
      </w:r>
      <w:bookmarkStart w:id="67947" w:name="_ETM_Q118_676040"/>
      <w:bookmarkEnd w:id="67947"/>
      <w:r>
        <w:rPr>
          <w:rFonts w:hint="cs"/>
          <w:rtl/>
        </w:rPr>
        <w:t xml:space="preserve">וחצי </w:t>
      </w:r>
      <w:bookmarkStart w:id="67948" w:name="_ETM_Q118_676549"/>
      <w:bookmarkEnd w:id="67948"/>
      <w:r>
        <w:rPr>
          <w:rFonts w:hint="cs"/>
          <w:rtl/>
        </w:rPr>
        <w:t xml:space="preserve">שר </w:t>
      </w:r>
      <w:bookmarkStart w:id="67949" w:name="_ETM_Q118_676879"/>
      <w:bookmarkEnd w:id="67949"/>
      <w:r>
        <w:rPr>
          <w:rFonts w:hint="cs"/>
          <w:rtl/>
        </w:rPr>
        <w:t xml:space="preserve">הביטחון </w:t>
      </w:r>
      <w:bookmarkStart w:id="67950" w:name="_ETM_Q118_677930"/>
      <w:bookmarkEnd w:id="67950"/>
      <w:r>
        <w:rPr>
          <w:rFonts w:hint="cs"/>
          <w:rtl/>
        </w:rPr>
        <w:t xml:space="preserve">בצלאל </w:t>
      </w:r>
      <w:bookmarkStart w:id="67951" w:name="_ETM_Q118_678620"/>
      <w:bookmarkEnd w:id="67951"/>
      <w:r>
        <w:rPr>
          <w:rFonts w:hint="cs"/>
          <w:rtl/>
        </w:rPr>
        <w:t xml:space="preserve">סמוטריץ', </w:t>
      </w:r>
      <w:bookmarkStart w:id="67952" w:name="_ETM_Q118_680040"/>
      <w:bookmarkEnd w:id="67952"/>
      <w:r>
        <w:rPr>
          <w:rFonts w:hint="cs"/>
          <w:rtl/>
        </w:rPr>
        <w:t xml:space="preserve">הוא </w:t>
      </w:r>
      <w:bookmarkStart w:id="67953" w:name="_ETM_Q118_680279"/>
      <w:bookmarkEnd w:id="67953"/>
      <w:r>
        <w:rPr>
          <w:rFonts w:hint="cs"/>
          <w:rtl/>
        </w:rPr>
        <w:t xml:space="preserve">מאמין </w:t>
      </w:r>
      <w:bookmarkStart w:id="67954" w:name="_ETM_Q118_680790"/>
      <w:bookmarkEnd w:id="67954"/>
      <w:r>
        <w:rPr>
          <w:rFonts w:hint="cs"/>
          <w:rtl/>
        </w:rPr>
        <w:t xml:space="preserve">בדמוקרטיה? </w:t>
      </w:r>
      <w:bookmarkStart w:id="67955" w:name="_ETM_Q118_682480"/>
      <w:bookmarkEnd w:id="67955"/>
      <w:r>
        <w:rPr>
          <w:rFonts w:hint="cs"/>
          <w:rtl/>
        </w:rPr>
        <w:t xml:space="preserve">שירי, </w:t>
      </w:r>
      <w:bookmarkStart w:id="67956" w:name="_ETM_Q118_684030"/>
      <w:bookmarkEnd w:id="67956"/>
      <w:r>
        <w:rPr>
          <w:rFonts w:hint="cs"/>
          <w:rtl/>
        </w:rPr>
        <w:t xml:space="preserve">סמוטריץ </w:t>
      </w:r>
      <w:bookmarkStart w:id="67957" w:name="_ETM_Q118_684540"/>
      <w:bookmarkEnd w:id="67957"/>
      <w:r>
        <w:rPr>
          <w:rFonts w:hint="cs"/>
          <w:rtl/>
        </w:rPr>
        <w:t xml:space="preserve">מאמין </w:t>
      </w:r>
      <w:bookmarkStart w:id="67958" w:name="_ETM_Q118_684870"/>
      <w:bookmarkEnd w:id="67958"/>
      <w:r>
        <w:rPr>
          <w:rFonts w:hint="cs"/>
          <w:rtl/>
        </w:rPr>
        <w:t xml:space="preserve">בדמוקרטיה? </w:t>
      </w:r>
      <w:bookmarkStart w:id="67959" w:name="_ETM_Q118_686320"/>
      <w:bookmarkEnd w:id="67959"/>
    </w:p>
    <w:p w:rsidR="00BB59CD" w:rsidRDefault="00BB59CD" w:rsidP="00BB59CD">
      <w:pPr>
        <w:rPr>
          <w:rtl/>
        </w:rPr>
      </w:pPr>
      <w:bookmarkStart w:id="67960" w:name="_ETM_Q118_686865"/>
      <w:bookmarkStart w:id="67961" w:name="_ETM_Q118_686931"/>
      <w:bookmarkEnd w:id="67960"/>
      <w:bookmarkEnd w:id="67961"/>
    </w:p>
    <w:p w:rsidR="00BB59CD" w:rsidRDefault="00BB59CD" w:rsidP="00BB59CD">
      <w:pPr>
        <w:pStyle w:val="af8"/>
        <w:keepNext/>
        <w:rPr>
          <w:rtl/>
        </w:rPr>
      </w:pPr>
      <w:bookmarkStart w:id="67962" w:name="ET_interruption_6361_27"/>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67962"/>
    </w:p>
    <w:p w:rsidR="00BB59CD" w:rsidRDefault="00BB59CD" w:rsidP="00337201">
      <w:pPr>
        <w:rPr>
          <w:rtl/>
        </w:rPr>
      </w:pPr>
    </w:p>
    <w:p w:rsidR="00BB59CD" w:rsidRDefault="00BB59CD" w:rsidP="00BB59CD">
      <w:pPr>
        <w:rPr>
          <w:rtl/>
        </w:rPr>
      </w:pPr>
      <w:r>
        <w:rPr>
          <w:rFonts w:hint="cs"/>
          <w:rtl/>
        </w:rPr>
        <w:t>לא.</w:t>
      </w:r>
    </w:p>
    <w:p w:rsidR="00BB59CD" w:rsidRDefault="00BB59CD" w:rsidP="00BB59CD">
      <w:pPr>
        <w:rPr>
          <w:b/>
          <w:bCs/>
          <w:u w:val="single"/>
          <w:rtl/>
          <w:lang w:eastAsia="he-IL"/>
        </w:rPr>
      </w:pPr>
    </w:p>
    <w:p w:rsidR="00BB59CD" w:rsidRDefault="00BB59CD" w:rsidP="00BB59CD">
      <w:pPr>
        <w:pStyle w:val="-"/>
        <w:keepNext/>
        <w:rPr>
          <w:rtl/>
        </w:rPr>
      </w:pPr>
      <w:bookmarkStart w:id="67963" w:name="ET_speakercontinue_5809_29"/>
      <w:r>
        <w:rPr>
          <w:rStyle w:val="TagStyle"/>
          <w:rFonts w:hint="cs"/>
          <w:rtl/>
        </w:rPr>
        <w:t xml:space="preserve"> &lt;&lt; דובר_המשך &gt;&gt; </w:t>
      </w:r>
      <w:r>
        <w:rPr>
          <w:rFonts w:hint="cs"/>
          <w:rtl/>
        </w:rPr>
        <w:t>מיכל שיר סגמן (יש עתיד):</w:t>
      </w:r>
      <w:r>
        <w:rPr>
          <w:rStyle w:val="TagStyle"/>
          <w:rtl/>
        </w:rPr>
        <w:t xml:space="preserve"> &lt;&lt; דובר_המשך &gt;&gt;</w:t>
      </w:r>
      <w:r>
        <w:rPr>
          <w:rFonts w:hint="cs"/>
          <w:rtl/>
        </w:rPr>
        <w:t xml:space="preserve">   </w:t>
      </w:r>
      <w:bookmarkEnd w:id="67963"/>
    </w:p>
    <w:p w:rsidR="00BB59CD" w:rsidRDefault="00BB59CD" w:rsidP="00337201">
      <w:pPr>
        <w:rPr>
          <w:rtl/>
          <w:lang w:eastAsia="he-IL"/>
        </w:rPr>
      </w:pPr>
    </w:p>
    <w:p w:rsidR="00750122" w:rsidRDefault="00BB59CD" w:rsidP="00750122">
      <w:pPr>
        <w:rPr>
          <w:rtl/>
        </w:rPr>
      </w:pPr>
      <w:bookmarkStart w:id="67964" w:name="_ETM_Q118_687040"/>
      <w:bookmarkStart w:id="67965" w:name="_ETM_Q118_687099"/>
      <w:bookmarkEnd w:id="67964"/>
      <w:bookmarkEnd w:id="67965"/>
      <w:r>
        <w:rPr>
          <w:rFonts w:hint="cs"/>
          <w:rtl/>
        </w:rPr>
        <w:t xml:space="preserve">לא. </w:t>
      </w:r>
      <w:bookmarkStart w:id="67966" w:name="_ETM_Q118_687540"/>
      <w:bookmarkEnd w:id="67966"/>
      <w:r>
        <w:rPr>
          <w:rFonts w:hint="cs"/>
          <w:rtl/>
        </w:rPr>
        <w:t xml:space="preserve">הוא </w:t>
      </w:r>
      <w:bookmarkStart w:id="67967" w:name="_ETM_Q118_687720"/>
      <w:bookmarkEnd w:id="67967"/>
      <w:r>
        <w:rPr>
          <w:rFonts w:hint="cs"/>
          <w:rtl/>
        </w:rPr>
        <w:t xml:space="preserve">מאמין </w:t>
      </w:r>
      <w:bookmarkStart w:id="67968" w:name="_ETM_Q118_688170"/>
      <w:bookmarkEnd w:id="67968"/>
      <w:r>
        <w:rPr>
          <w:rFonts w:hint="cs"/>
          <w:rtl/>
        </w:rPr>
        <w:t xml:space="preserve">קודם </w:t>
      </w:r>
      <w:bookmarkStart w:id="67969" w:name="_ETM_Q118_688590"/>
      <w:bookmarkEnd w:id="67969"/>
      <w:r>
        <w:rPr>
          <w:rFonts w:hint="cs"/>
          <w:rtl/>
        </w:rPr>
        <w:t xml:space="preserve">כול </w:t>
      </w:r>
      <w:bookmarkStart w:id="67970" w:name="_ETM_Q118_688920"/>
      <w:bookmarkEnd w:id="67970"/>
      <w:r w:rsidR="00750122">
        <w:rPr>
          <w:rFonts w:hint="cs"/>
          <w:rtl/>
        </w:rPr>
        <w:t>ב</w:t>
      </w:r>
      <w:r>
        <w:rPr>
          <w:rFonts w:hint="cs"/>
          <w:rtl/>
        </w:rPr>
        <w:t xml:space="preserve">הוראות </w:t>
      </w:r>
      <w:bookmarkStart w:id="67971" w:name="_ETM_Q118_689490"/>
      <w:bookmarkEnd w:id="67971"/>
      <w:r>
        <w:rPr>
          <w:rFonts w:hint="cs"/>
          <w:rtl/>
        </w:rPr>
        <w:t xml:space="preserve">של </w:t>
      </w:r>
      <w:bookmarkStart w:id="67972" w:name="_ETM_Q118_689670"/>
      <w:bookmarkEnd w:id="67972"/>
      <w:r>
        <w:rPr>
          <w:rFonts w:hint="cs"/>
          <w:rtl/>
        </w:rPr>
        <w:t xml:space="preserve">רבנים </w:t>
      </w:r>
      <w:bookmarkStart w:id="67973" w:name="_ETM_Q118_690120"/>
      <w:bookmarkEnd w:id="67973"/>
      <w:r>
        <w:rPr>
          <w:rFonts w:hint="cs"/>
          <w:rtl/>
        </w:rPr>
        <w:t xml:space="preserve">קיצוניים. </w:t>
      </w:r>
      <w:bookmarkStart w:id="67974" w:name="_ETM_Q118_692269"/>
      <w:bookmarkEnd w:id="67974"/>
      <w:r>
        <w:rPr>
          <w:rFonts w:hint="cs"/>
          <w:rtl/>
        </w:rPr>
        <w:t xml:space="preserve">הוא </w:t>
      </w:r>
      <w:bookmarkStart w:id="67975" w:name="_ETM_Q118_692390"/>
      <w:bookmarkEnd w:id="67975"/>
      <w:r>
        <w:rPr>
          <w:rFonts w:hint="cs"/>
          <w:rtl/>
        </w:rPr>
        <w:t xml:space="preserve">מאמין </w:t>
      </w:r>
      <w:bookmarkStart w:id="67976" w:name="_ETM_Q118_692780"/>
      <w:bookmarkEnd w:id="67976"/>
      <w:r>
        <w:rPr>
          <w:rFonts w:hint="cs"/>
          <w:rtl/>
        </w:rPr>
        <w:t xml:space="preserve">בשלטון </w:t>
      </w:r>
      <w:bookmarkStart w:id="67977" w:name="_ETM_Q118_693230"/>
      <w:bookmarkEnd w:id="67977"/>
      <w:r>
        <w:rPr>
          <w:rFonts w:hint="cs"/>
          <w:rtl/>
        </w:rPr>
        <w:t xml:space="preserve">החוק או בחוקי ההלכה? </w:t>
      </w:r>
      <w:bookmarkStart w:id="67978" w:name="_ETM_Q118_693880"/>
      <w:bookmarkStart w:id="67979" w:name="_ETM_Q118_694390"/>
      <w:bookmarkStart w:id="67980" w:name="_ETM_Q118_694960"/>
      <w:bookmarkStart w:id="67981" w:name="_ETM_Q118_696760"/>
      <w:bookmarkEnd w:id="67978"/>
      <w:bookmarkEnd w:id="67979"/>
      <w:bookmarkEnd w:id="67980"/>
      <w:bookmarkEnd w:id="67981"/>
      <w:r>
        <w:rPr>
          <w:rFonts w:hint="cs"/>
          <w:rtl/>
        </w:rPr>
        <w:t xml:space="preserve">האיש </w:t>
      </w:r>
      <w:bookmarkStart w:id="67982" w:name="_ETM_Q118_697209"/>
      <w:bookmarkEnd w:id="67982"/>
      <w:r>
        <w:rPr>
          <w:rFonts w:hint="cs"/>
          <w:rtl/>
        </w:rPr>
        <w:t xml:space="preserve">הזה </w:t>
      </w:r>
      <w:bookmarkStart w:id="67983" w:name="_ETM_Q118_698349"/>
      <w:bookmarkEnd w:id="67983"/>
      <w:r>
        <w:rPr>
          <w:rFonts w:hint="cs"/>
          <w:rtl/>
        </w:rPr>
        <w:t xml:space="preserve">נתפס </w:t>
      </w:r>
      <w:bookmarkStart w:id="67984" w:name="_ETM_Q118_698950"/>
      <w:bookmarkEnd w:id="67984"/>
      <w:r>
        <w:rPr>
          <w:rFonts w:hint="cs"/>
          <w:rtl/>
        </w:rPr>
        <w:t xml:space="preserve">רגע </w:t>
      </w:r>
      <w:bookmarkStart w:id="67985" w:name="_ETM_Q118_699279"/>
      <w:bookmarkEnd w:id="67985"/>
      <w:r>
        <w:rPr>
          <w:rFonts w:hint="cs"/>
          <w:rtl/>
        </w:rPr>
        <w:t xml:space="preserve">לפני </w:t>
      </w:r>
      <w:bookmarkStart w:id="67986" w:name="_ETM_Q118_699639"/>
      <w:bookmarkEnd w:id="67986"/>
      <w:r>
        <w:rPr>
          <w:rFonts w:hint="cs"/>
          <w:rtl/>
        </w:rPr>
        <w:t xml:space="preserve">שביצע </w:t>
      </w:r>
      <w:bookmarkStart w:id="67987" w:name="_ETM_Q118_700239"/>
      <w:bookmarkEnd w:id="67987"/>
      <w:r>
        <w:rPr>
          <w:rFonts w:hint="cs"/>
          <w:rtl/>
        </w:rPr>
        <w:t xml:space="preserve">פיגוע. </w:t>
      </w:r>
      <w:bookmarkStart w:id="67988" w:name="_ETM_Q118_701839"/>
      <w:bookmarkEnd w:id="67988"/>
      <w:r>
        <w:rPr>
          <w:rFonts w:hint="cs"/>
          <w:rtl/>
        </w:rPr>
        <w:t xml:space="preserve">הוא </w:t>
      </w:r>
      <w:bookmarkStart w:id="67989" w:name="_ETM_Q118_702019"/>
      <w:bookmarkEnd w:id="67989"/>
      <w:r>
        <w:rPr>
          <w:rFonts w:hint="cs"/>
          <w:rtl/>
        </w:rPr>
        <w:t xml:space="preserve">תומך </w:t>
      </w:r>
      <w:bookmarkStart w:id="67990" w:name="_ETM_Q118_703040"/>
      <w:bookmarkEnd w:id="67990"/>
      <w:r>
        <w:rPr>
          <w:rFonts w:hint="cs"/>
          <w:rtl/>
        </w:rPr>
        <w:t xml:space="preserve">ונותן </w:t>
      </w:r>
      <w:bookmarkStart w:id="67991" w:name="_ETM_Q118_703579"/>
      <w:bookmarkEnd w:id="67991"/>
      <w:r>
        <w:rPr>
          <w:rFonts w:hint="cs"/>
          <w:rtl/>
        </w:rPr>
        <w:t xml:space="preserve">רוח </w:t>
      </w:r>
      <w:bookmarkStart w:id="67992" w:name="_ETM_Q118_703939"/>
      <w:bookmarkEnd w:id="67992"/>
      <w:r>
        <w:rPr>
          <w:rFonts w:hint="cs"/>
          <w:rtl/>
        </w:rPr>
        <w:t xml:space="preserve">גבית </w:t>
      </w:r>
      <w:bookmarkStart w:id="67993" w:name="_ETM_Q118_704449"/>
      <w:bookmarkEnd w:id="67993"/>
      <w:r>
        <w:rPr>
          <w:rFonts w:hint="cs"/>
          <w:rtl/>
        </w:rPr>
        <w:t xml:space="preserve">לעושי </w:t>
      </w:r>
      <w:bookmarkStart w:id="67994" w:name="_ETM_Q118_704929"/>
      <w:bookmarkEnd w:id="67994"/>
      <w:r>
        <w:rPr>
          <w:rFonts w:hint="cs"/>
          <w:rtl/>
        </w:rPr>
        <w:t xml:space="preserve">פוגרומים </w:t>
      </w:r>
      <w:bookmarkStart w:id="67995" w:name="_ETM_Q118_706349"/>
      <w:bookmarkEnd w:id="67995"/>
      <w:r>
        <w:rPr>
          <w:rFonts w:hint="cs"/>
          <w:rtl/>
        </w:rPr>
        <w:t xml:space="preserve">ולמבצעי </w:t>
      </w:r>
      <w:bookmarkStart w:id="67996" w:name="_ETM_Q118_706859"/>
      <w:bookmarkStart w:id="67997" w:name="_ETM_Q118_707190"/>
      <w:bookmarkEnd w:id="67996"/>
      <w:bookmarkEnd w:id="67997"/>
      <w:r>
        <w:rPr>
          <w:rFonts w:hint="cs"/>
          <w:rtl/>
        </w:rPr>
        <w:t xml:space="preserve">טרור </w:t>
      </w:r>
      <w:bookmarkStart w:id="67998" w:name="_ETM_Q118_707640"/>
      <w:bookmarkEnd w:id="67998"/>
      <w:r>
        <w:rPr>
          <w:rFonts w:hint="cs"/>
          <w:rtl/>
        </w:rPr>
        <w:t xml:space="preserve">יהודי, </w:t>
      </w:r>
      <w:bookmarkStart w:id="67999" w:name="_ETM_Q118_708809"/>
      <w:bookmarkEnd w:id="67999"/>
      <w:r>
        <w:rPr>
          <w:rFonts w:hint="cs"/>
          <w:rtl/>
        </w:rPr>
        <w:t xml:space="preserve">ובואו </w:t>
      </w:r>
      <w:bookmarkStart w:id="68000" w:name="_ETM_Q118_709230"/>
      <w:bookmarkEnd w:id="68000"/>
      <w:r>
        <w:rPr>
          <w:rFonts w:hint="cs"/>
          <w:rtl/>
        </w:rPr>
        <w:t xml:space="preserve">לא </w:t>
      </w:r>
      <w:bookmarkStart w:id="68001" w:name="_ETM_Q118_709439"/>
      <w:bookmarkEnd w:id="68001"/>
      <w:r>
        <w:rPr>
          <w:rFonts w:hint="cs"/>
          <w:rtl/>
        </w:rPr>
        <w:t xml:space="preserve">נשכח </w:t>
      </w:r>
      <w:bookmarkStart w:id="68002" w:name="_ETM_Q118_710010"/>
      <w:bookmarkEnd w:id="68002"/>
      <w:r>
        <w:rPr>
          <w:rFonts w:hint="cs"/>
          <w:rtl/>
        </w:rPr>
        <w:t xml:space="preserve">אפילו </w:t>
      </w:r>
      <w:bookmarkStart w:id="68003" w:name="_ETM_Q118_710280"/>
      <w:bookmarkEnd w:id="68003"/>
      <w:r>
        <w:rPr>
          <w:rFonts w:hint="cs"/>
          <w:rtl/>
        </w:rPr>
        <w:t xml:space="preserve">לרגע </w:t>
      </w:r>
      <w:bookmarkStart w:id="68004" w:name="_ETM_Q118_710790"/>
      <w:bookmarkStart w:id="68005" w:name="_ETM_Q118_711239"/>
      <w:bookmarkEnd w:id="68004"/>
      <w:bookmarkEnd w:id="68005"/>
      <w:r>
        <w:rPr>
          <w:rFonts w:hint="cs"/>
          <w:rtl/>
        </w:rPr>
        <w:t xml:space="preserve">אחד </w:t>
      </w:r>
      <w:bookmarkStart w:id="68006" w:name="_ETM_Q118_712706"/>
      <w:bookmarkEnd w:id="68006"/>
      <w:r>
        <w:rPr>
          <w:rFonts w:hint="cs"/>
          <w:rtl/>
        </w:rPr>
        <w:t xml:space="preserve">את שנאת </w:t>
      </w:r>
      <w:bookmarkStart w:id="68007" w:name="_ETM_Q118_711809"/>
      <w:bookmarkEnd w:id="68007"/>
      <w:r>
        <w:rPr>
          <w:rFonts w:hint="cs"/>
          <w:rtl/>
        </w:rPr>
        <w:t xml:space="preserve">הנשים </w:t>
      </w:r>
      <w:bookmarkStart w:id="68008" w:name="_ETM_Q118_712230"/>
      <w:bookmarkEnd w:id="68008"/>
      <w:r>
        <w:rPr>
          <w:rFonts w:hint="cs"/>
          <w:rtl/>
        </w:rPr>
        <w:t xml:space="preserve">והגזענות, </w:t>
      </w:r>
      <w:bookmarkStart w:id="68009" w:name="_ETM_Q118_713400"/>
      <w:bookmarkEnd w:id="68009"/>
      <w:r>
        <w:rPr>
          <w:rFonts w:hint="cs"/>
          <w:rtl/>
        </w:rPr>
        <w:t xml:space="preserve">שאגב </w:t>
      </w:r>
      <w:bookmarkStart w:id="68010" w:name="_ETM_Q118_714750"/>
      <w:bookmarkEnd w:id="68010"/>
      <w:r>
        <w:rPr>
          <w:rFonts w:hint="cs"/>
          <w:rtl/>
        </w:rPr>
        <w:t xml:space="preserve">הוא </w:t>
      </w:r>
      <w:bookmarkStart w:id="68011" w:name="_ETM_Q118_714929"/>
      <w:bookmarkEnd w:id="68011"/>
      <w:r>
        <w:rPr>
          <w:rFonts w:hint="cs"/>
          <w:rtl/>
        </w:rPr>
        <w:t xml:space="preserve">הוציא </w:t>
      </w:r>
      <w:bookmarkStart w:id="68012" w:name="_ETM_Q118_715319"/>
      <w:bookmarkEnd w:id="68012"/>
      <w:r>
        <w:rPr>
          <w:rFonts w:hint="cs"/>
          <w:rtl/>
        </w:rPr>
        <w:t xml:space="preserve">מהמצע </w:t>
      </w:r>
      <w:bookmarkStart w:id="68013" w:name="_ETM_Q118_715859"/>
      <w:bookmarkEnd w:id="68013"/>
      <w:r>
        <w:rPr>
          <w:rFonts w:hint="cs"/>
          <w:rtl/>
        </w:rPr>
        <w:t xml:space="preserve">שלו </w:t>
      </w:r>
      <w:bookmarkStart w:id="68014" w:name="_ETM_Q118_716099"/>
      <w:bookmarkEnd w:id="68014"/>
      <w:r>
        <w:rPr>
          <w:rFonts w:hint="cs"/>
          <w:rtl/>
        </w:rPr>
        <w:t xml:space="preserve">רגע </w:t>
      </w:r>
      <w:bookmarkStart w:id="68015" w:name="_ETM_Q118_716400"/>
      <w:bookmarkEnd w:id="68015"/>
      <w:r>
        <w:rPr>
          <w:rFonts w:hint="cs"/>
          <w:rtl/>
        </w:rPr>
        <w:t xml:space="preserve">לפני </w:t>
      </w:r>
      <w:bookmarkStart w:id="68016" w:name="_ETM_Q118_716909"/>
      <w:bookmarkEnd w:id="68016"/>
      <w:r>
        <w:rPr>
          <w:rFonts w:hint="cs"/>
          <w:rtl/>
        </w:rPr>
        <w:t xml:space="preserve">שהוא </w:t>
      </w:r>
      <w:bookmarkStart w:id="68017" w:name="_ETM_Q118_717150"/>
      <w:bookmarkEnd w:id="68017"/>
      <w:r>
        <w:rPr>
          <w:rFonts w:hint="cs"/>
          <w:rtl/>
        </w:rPr>
        <w:t xml:space="preserve">ידע </w:t>
      </w:r>
      <w:bookmarkStart w:id="68018" w:name="_ETM_Q118_717450"/>
      <w:bookmarkEnd w:id="68018"/>
      <w:r>
        <w:rPr>
          <w:rFonts w:hint="cs"/>
          <w:rtl/>
        </w:rPr>
        <w:t xml:space="preserve">שהוא </w:t>
      </w:r>
      <w:bookmarkStart w:id="68019" w:name="_ETM_Q118_717659"/>
      <w:bookmarkEnd w:id="68019"/>
      <w:r>
        <w:rPr>
          <w:rFonts w:hint="cs"/>
          <w:rtl/>
        </w:rPr>
        <w:t xml:space="preserve">הולך </w:t>
      </w:r>
      <w:bookmarkStart w:id="68020" w:name="_ETM_Q118_717840"/>
      <w:bookmarkEnd w:id="68020"/>
      <w:r>
        <w:rPr>
          <w:rFonts w:hint="cs"/>
          <w:rtl/>
        </w:rPr>
        <w:t xml:space="preserve">לקבל </w:t>
      </w:r>
      <w:bookmarkStart w:id="68021" w:name="_ETM_Q118_718230"/>
      <w:bookmarkEnd w:id="68021"/>
      <w:r>
        <w:rPr>
          <w:rFonts w:hint="cs"/>
          <w:rtl/>
        </w:rPr>
        <w:t xml:space="preserve">פיצוץ </w:t>
      </w:r>
      <w:bookmarkStart w:id="68022" w:name="_ETM_Q118_718590"/>
      <w:bookmarkEnd w:id="68022"/>
      <w:r>
        <w:rPr>
          <w:rFonts w:hint="cs"/>
          <w:rtl/>
        </w:rPr>
        <w:t xml:space="preserve">בפנים. </w:t>
      </w:r>
      <w:bookmarkStart w:id="68023" w:name="_ETM_Q118_720069"/>
      <w:bookmarkStart w:id="68024" w:name="_ETM_Q118_720400"/>
      <w:bookmarkEnd w:id="68023"/>
      <w:bookmarkEnd w:id="68024"/>
      <w:r>
        <w:rPr>
          <w:rFonts w:hint="cs"/>
          <w:rtl/>
        </w:rPr>
        <w:t xml:space="preserve">טוב, אבל </w:t>
      </w:r>
      <w:bookmarkStart w:id="68025" w:name="_ETM_Q118_720639"/>
      <w:bookmarkEnd w:id="68025"/>
      <w:r>
        <w:rPr>
          <w:rFonts w:hint="cs"/>
          <w:rtl/>
        </w:rPr>
        <w:t xml:space="preserve">אולי </w:t>
      </w:r>
      <w:bookmarkStart w:id="68026" w:name="_ETM_Q118_720909"/>
      <w:bookmarkEnd w:id="68026"/>
      <w:r>
        <w:rPr>
          <w:rFonts w:hint="cs"/>
          <w:rtl/>
        </w:rPr>
        <w:t xml:space="preserve">זה </w:t>
      </w:r>
      <w:bookmarkStart w:id="68027" w:name="_ETM_Q118_721150"/>
      <w:bookmarkEnd w:id="68027"/>
      <w:r>
        <w:rPr>
          <w:rFonts w:hint="cs"/>
          <w:rtl/>
        </w:rPr>
        <w:t xml:space="preserve">מקרי. </w:t>
      </w:r>
      <w:bookmarkStart w:id="68028" w:name="_ETM_Q118_721870"/>
      <w:bookmarkEnd w:id="68028"/>
    </w:p>
    <w:p w:rsidR="00750122" w:rsidRDefault="00750122" w:rsidP="00750122">
      <w:pPr>
        <w:rPr>
          <w:rtl/>
        </w:rPr>
      </w:pPr>
    </w:p>
    <w:p w:rsidR="00BB59CD" w:rsidRDefault="00BB59CD" w:rsidP="00750122">
      <w:pPr>
        <w:rPr>
          <w:rtl/>
        </w:rPr>
      </w:pPr>
      <w:r>
        <w:rPr>
          <w:rFonts w:hint="cs"/>
          <w:rtl/>
        </w:rPr>
        <w:t xml:space="preserve">בואו </w:t>
      </w:r>
      <w:bookmarkStart w:id="68029" w:name="_ETM_Q118_722139"/>
      <w:bookmarkEnd w:id="68029"/>
      <w:r>
        <w:rPr>
          <w:rFonts w:hint="cs"/>
          <w:rtl/>
        </w:rPr>
        <w:t xml:space="preserve">נעבור </w:t>
      </w:r>
      <w:bookmarkStart w:id="68030" w:name="_ETM_Q118_722590"/>
      <w:bookmarkEnd w:id="68030"/>
      <w:r>
        <w:rPr>
          <w:rFonts w:hint="cs"/>
          <w:rtl/>
        </w:rPr>
        <w:t xml:space="preserve">לשאר </w:t>
      </w:r>
      <w:bookmarkStart w:id="68031" w:name="_ETM_Q118_723040"/>
      <w:bookmarkEnd w:id="68031"/>
      <w:r>
        <w:rPr>
          <w:rFonts w:hint="cs"/>
          <w:rtl/>
        </w:rPr>
        <w:t xml:space="preserve">חברי </w:t>
      </w:r>
      <w:bookmarkStart w:id="68032" w:name="_ETM_Q118_723400"/>
      <w:bookmarkEnd w:id="68032"/>
      <w:r>
        <w:rPr>
          <w:rFonts w:hint="cs"/>
          <w:rtl/>
        </w:rPr>
        <w:t xml:space="preserve">הממשלה. </w:t>
      </w:r>
      <w:bookmarkStart w:id="68033" w:name="_ETM_Q118_724299"/>
      <w:bookmarkEnd w:id="68033"/>
      <w:r>
        <w:rPr>
          <w:rFonts w:hint="cs"/>
          <w:rtl/>
        </w:rPr>
        <w:t xml:space="preserve">הם </w:t>
      </w:r>
      <w:bookmarkStart w:id="68034" w:name="_ETM_Q118_724480"/>
      <w:bookmarkEnd w:id="68034"/>
      <w:r>
        <w:rPr>
          <w:rFonts w:hint="cs"/>
          <w:rtl/>
        </w:rPr>
        <w:t xml:space="preserve">הרי </w:t>
      </w:r>
      <w:bookmarkStart w:id="68035" w:name="_ETM_Q118_724659"/>
      <w:bookmarkEnd w:id="68035"/>
      <w:r>
        <w:rPr>
          <w:rFonts w:hint="cs"/>
          <w:rtl/>
        </w:rPr>
        <w:t xml:space="preserve">בטוח </w:t>
      </w:r>
      <w:bookmarkStart w:id="68036" w:name="_ETM_Q118_725019"/>
      <w:bookmarkEnd w:id="68036"/>
      <w:r>
        <w:rPr>
          <w:rFonts w:hint="cs"/>
          <w:rtl/>
        </w:rPr>
        <w:t xml:space="preserve">ישנו </w:t>
      </w:r>
      <w:bookmarkStart w:id="68037" w:name="_ETM_Q118_725349"/>
      <w:bookmarkEnd w:id="68037"/>
      <w:r>
        <w:rPr>
          <w:rFonts w:hint="cs"/>
          <w:rtl/>
        </w:rPr>
        <w:t xml:space="preserve">את </w:t>
      </w:r>
      <w:bookmarkStart w:id="68038" w:name="_ETM_Q118_725439"/>
      <w:bookmarkEnd w:id="68038"/>
      <w:r>
        <w:rPr>
          <w:rFonts w:hint="cs"/>
          <w:rtl/>
        </w:rPr>
        <w:t>התמונה.</w:t>
      </w:r>
      <w:bookmarkStart w:id="68039" w:name="_ETM_Q118_727258"/>
      <w:bookmarkStart w:id="68040" w:name="_ETM_Q118_727354"/>
      <w:bookmarkStart w:id="68041" w:name="_ETM_Q118_727402"/>
      <w:bookmarkStart w:id="68042" w:name="_ETM_Q118_727477"/>
      <w:bookmarkEnd w:id="68039"/>
      <w:bookmarkEnd w:id="68040"/>
      <w:bookmarkEnd w:id="68041"/>
      <w:bookmarkEnd w:id="68042"/>
      <w:r w:rsidR="00750122">
        <w:rPr>
          <w:rFonts w:hint="cs"/>
          <w:rtl/>
        </w:rPr>
        <w:t xml:space="preserve"> </w:t>
      </w:r>
      <w:bookmarkStart w:id="68043" w:name="_ETM_Q118_726750"/>
      <w:bookmarkEnd w:id="68043"/>
      <w:r>
        <w:rPr>
          <w:rFonts w:hint="cs"/>
          <w:rtl/>
        </w:rPr>
        <w:t xml:space="preserve">השר </w:t>
      </w:r>
      <w:bookmarkStart w:id="68044" w:name="_ETM_Q118_727080"/>
      <w:bookmarkEnd w:id="68044"/>
      <w:r>
        <w:rPr>
          <w:rFonts w:hint="cs"/>
          <w:rtl/>
        </w:rPr>
        <w:t xml:space="preserve">לביטחון </w:t>
      </w:r>
      <w:bookmarkStart w:id="68045" w:name="_ETM_Q118_727590"/>
      <w:bookmarkEnd w:id="68045"/>
      <w:r>
        <w:rPr>
          <w:rFonts w:hint="cs"/>
          <w:rtl/>
        </w:rPr>
        <w:t xml:space="preserve">לאומי </w:t>
      </w:r>
      <w:bookmarkStart w:id="68046" w:name="_ETM_Q118_728550"/>
      <w:bookmarkEnd w:id="68046"/>
      <w:r>
        <w:rPr>
          <w:rFonts w:hint="cs"/>
          <w:rtl/>
        </w:rPr>
        <w:t xml:space="preserve">איתמר </w:t>
      </w:r>
      <w:bookmarkStart w:id="68047" w:name="_ETM_Q118_729000"/>
      <w:bookmarkEnd w:id="68047"/>
      <w:r>
        <w:rPr>
          <w:rFonts w:hint="cs"/>
          <w:rtl/>
        </w:rPr>
        <w:t xml:space="preserve">בן </w:t>
      </w:r>
      <w:bookmarkStart w:id="68048" w:name="_ETM_Q118_729210"/>
      <w:bookmarkEnd w:id="68048"/>
      <w:r>
        <w:rPr>
          <w:rFonts w:hint="cs"/>
          <w:rtl/>
        </w:rPr>
        <w:t xml:space="preserve">גביר, </w:t>
      </w:r>
      <w:bookmarkStart w:id="68049" w:name="_ETM_Q118_730200"/>
      <w:bookmarkEnd w:id="68049"/>
      <w:r>
        <w:rPr>
          <w:rFonts w:hint="cs"/>
          <w:rtl/>
        </w:rPr>
        <w:t xml:space="preserve">תומך </w:t>
      </w:r>
      <w:bookmarkStart w:id="68050" w:name="_ETM_Q118_730679"/>
      <w:bookmarkEnd w:id="68050"/>
      <w:r>
        <w:rPr>
          <w:rFonts w:hint="cs"/>
          <w:rtl/>
        </w:rPr>
        <w:t xml:space="preserve">טרור, </w:t>
      </w:r>
      <w:bookmarkStart w:id="68051" w:name="_ETM_Q118_732129"/>
      <w:bookmarkEnd w:id="68051"/>
      <w:r>
        <w:rPr>
          <w:rFonts w:hint="cs"/>
          <w:rtl/>
        </w:rPr>
        <w:t xml:space="preserve">חשוד </w:t>
      </w:r>
      <w:bookmarkStart w:id="68052" w:name="_ETM_Q118_732700"/>
      <w:bookmarkEnd w:id="68052"/>
      <w:r>
        <w:rPr>
          <w:rFonts w:hint="cs"/>
          <w:rtl/>
        </w:rPr>
        <w:t xml:space="preserve">בטרור, </w:t>
      </w:r>
      <w:bookmarkStart w:id="68053" w:name="_ETM_Q118_734159"/>
      <w:bookmarkEnd w:id="68053"/>
      <w:r>
        <w:rPr>
          <w:rFonts w:hint="cs"/>
          <w:rtl/>
        </w:rPr>
        <w:t xml:space="preserve">מייצג </w:t>
      </w:r>
      <w:bookmarkStart w:id="68054" w:name="_ETM_Q118_735029"/>
      <w:bookmarkEnd w:id="68054"/>
      <w:r>
        <w:rPr>
          <w:rFonts w:hint="cs"/>
          <w:rtl/>
        </w:rPr>
        <w:t xml:space="preserve">טרוריסטים, </w:t>
      </w:r>
      <w:bookmarkStart w:id="68055" w:name="_ETM_Q118_736700"/>
      <w:bookmarkEnd w:id="68055"/>
      <w:r>
        <w:rPr>
          <w:rFonts w:hint="cs"/>
          <w:rtl/>
        </w:rPr>
        <w:t xml:space="preserve">בז </w:t>
      </w:r>
      <w:bookmarkStart w:id="68056" w:name="_ETM_Q118_737179"/>
      <w:bookmarkEnd w:id="68056"/>
      <w:r>
        <w:rPr>
          <w:rFonts w:hint="cs"/>
          <w:rtl/>
        </w:rPr>
        <w:t xml:space="preserve">לשלטון </w:t>
      </w:r>
      <w:bookmarkStart w:id="68057" w:name="_ETM_Q118_737929"/>
      <w:bookmarkEnd w:id="68057"/>
      <w:r>
        <w:rPr>
          <w:rFonts w:hint="cs"/>
          <w:rtl/>
        </w:rPr>
        <w:t xml:space="preserve">החוק, </w:t>
      </w:r>
      <w:bookmarkStart w:id="68058" w:name="_ETM_Q118_738770"/>
      <w:bookmarkEnd w:id="68058"/>
      <w:r>
        <w:rPr>
          <w:rFonts w:hint="cs"/>
          <w:rtl/>
        </w:rPr>
        <w:t xml:space="preserve">מתנהג </w:t>
      </w:r>
      <w:bookmarkStart w:id="68059" w:name="_ETM_Q118_739429"/>
      <w:bookmarkEnd w:id="68059"/>
      <w:r>
        <w:rPr>
          <w:rFonts w:hint="cs"/>
          <w:rtl/>
        </w:rPr>
        <w:t xml:space="preserve">כפשיסט, </w:t>
      </w:r>
      <w:bookmarkStart w:id="68060" w:name="_ETM_Q118_740760"/>
      <w:bookmarkEnd w:id="68060"/>
      <w:r>
        <w:rPr>
          <w:rFonts w:hint="cs"/>
          <w:rtl/>
        </w:rPr>
        <w:t xml:space="preserve">וכל </w:t>
      </w:r>
      <w:bookmarkStart w:id="68061" w:name="_ETM_Q118_741300"/>
      <w:bookmarkEnd w:id="68061"/>
      <w:r>
        <w:rPr>
          <w:rFonts w:hint="cs"/>
          <w:rtl/>
        </w:rPr>
        <w:t xml:space="preserve">קשר </w:t>
      </w:r>
      <w:bookmarkStart w:id="68062" w:name="_ETM_Q118_741840"/>
      <w:bookmarkEnd w:id="68062"/>
      <w:r>
        <w:rPr>
          <w:rFonts w:hint="cs"/>
          <w:rtl/>
        </w:rPr>
        <w:t xml:space="preserve">בינו </w:t>
      </w:r>
      <w:bookmarkStart w:id="68063" w:name="_ETM_Q118_742320"/>
      <w:bookmarkEnd w:id="68063"/>
      <w:r>
        <w:rPr>
          <w:rFonts w:hint="cs"/>
          <w:rtl/>
        </w:rPr>
        <w:t xml:space="preserve">לבין </w:t>
      </w:r>
      <w:bookmarkStart w:id="68064" w:name="_ETM_Q118_742679"/>
      <w:bookmarkEnd w:id="68064"/>
      <w:r>
        <w:rPr>
          <w:rFonts w:hint="cs"/>
          <w:rtl/>
        </w:rPr>
        <w:t>דמוקרטיה</w:t>
      </w:r>
      <w:bookmarkStart w:id="68065" w:name="_ETM_Q118_743490"/>
      <w:bookmarkEnd w:id="68065"/>
      <w:r>
        <w:rPr>
          <w:rFonts w:hint="cs"/>
          <w:rtl/>
        </w:rPr>
        <w:t>, ואל</w:t>
      </w:r>
      <w:r w:rsidR="00750122">
        <w:rPr>
          <w:rFonts w:hint="cs"/>
          <w:rtl/>
        </w:rPr>
        <w:t>ל</w:t>
      </w:r>
      <w:r>
        <w:rPr>
          <w:rFonts w:hint="cs"/>
          <w:rtl/>
        </w:rPr>
        <w:t xml:space="preserve">ה, </w:t>
      </w:r>
      <w:bookmarkStart w:id="68066" w:name="_ETM_Q118_743639"/>
      <w:bookmarkStart w:id="68067" w:name="_ETM_Q118_744650"/>
      <w:bookmarkEnd w:id="68066"/>
      <w:bookmarkEnd w:id="68067"/>
      <w:r>
        <w:rPr>
          <w:rFonts w:hint="cs"/>
          <w:rtl/>
        </w:rPr>
        <w:t xml:space="preserve">מקרי </w:t>
      </w:r>
      <w:bookmarkStart w:id="68068" w:name="_ETM_Q118_745160"/>
      <w:bookmarkEnd w:id="68068"/>
      <w:r>
        <w:rPr>
          <w:rFonts w:hint="cs"/>
          <w:rtl/>
        </w:rPr>
        <w:t>לחלוטין</w:t>
      </w:r>
      <w:r w:rsidR="00750122">
        <w:rPr>
          <w:rFonts w:hint="cs"/>
          <w:rtl/>
        </w:rPr>
        <w:t>,</w:t>
      </w:r>
      <w:r>
        <w:rPr>
          <w:rFonts w:hint="cs"/>
          <w:rtl/>
        </w:rPr>
        <w:t xml:space="preserve"> </w:t>
      </w:r>
      <w:bookmarkStart w:id="68069" w:name="_ETM_Q118_746809"/>
      <w:bookmarkEnd w:id="68069"/>
      <w:r>
        <w:rPr>
          <w:rFonts w:hint="cs"/>
          <w:rtl/>
        </w:rPr>
        <w:t xml:space="preserve">הוא </w:t>
      </w:r>
      <w:bookmarkStart w:id="68070" w:name="_ETM_Q118_747140"/>
      <w:bookmarkEnd w:id="68070"/>
      <w:r>
        <w:rPr>
          <w:rFonts w:hint="cs"/>
          <w:rtl/>
        </w:rPr>
        <w:t xml:space="preserve">בעצמו </w:t>
      </w:r>
      <w:bookmarkStart w:id="68071" w:name="_ETM_Q118_748319"/>
      <w:bookmarkEnd w:id="68071"/>
      <w:r>
        <w:rPr>
          <w:rFonts w:hint="cs"/>
          <w:rtl/>
        </w:rPr>
        <w:t xml:space="preserve">סוס </w:t>
      </w:r>
      <w:bookmarkStart w:id="68072" w:name="_ETM_Q118_748860"/>
      <w:bookmarkEnd w:id="68072"/>
      <w:r>
        <w:rPr>
          <w:rFonts w:hint="cs"/>
          <w:rtl/>
        </w:rPr>
        <w:t xml:space="preserve">טרויאני </w:t>
      </w:r>
      <w:bookmarkStart w:id="68073" w:name="_ETM_Q118_749520"/>
      <w:bookmarkEnd w:id="68073"/>
      <w:r>
        <w:rPr>
          <w:rFonts w:hint="cs"/>
          <w:rtl/>
        </w:rPr>
        <w:t xml:space="preserve">שמנצל </w:t>
      </w:r>
      <w:bookmarkStart w:id="68074" w:name="_ETM_Q118_750179"/>
      <w:bookmarkEnd w:id="68074"/>
      <w:r>
        <w:rPr>
          <w:rFonts w:hint="cs"/>
          <w:rtl/>
        </w:rPr>
        <w:t xml:space="preserve">את </w:t>
      </w:r>
      <w:bookmarkStart w:id="68075" w:name="_ETM_Q118_750330"/>
      <w:bookmarkEnd w:id="68075"/>
      <w:r>
        <w:rPr>
          <w:rFonts w:hint="cs"/>
          <w:rtl/>
        </w:rPr>
        <w:t xml:space="preserve">המוסדות </w:t>
      </w:r>
      <w:bookmarkStart w:id="68076" w:name="_ETM_Q118_751050"/>
      <w:bookmarkEnd w:id="68076"/>
      <w:r>
        <w:rPr>
          <w:rFonts w:hint="cs"/>
          <w:rtl/>
        </w:rPr>
        <w:t xml:space="preserve">הדמוקרטיים </w:t>
      </w:r>
      <w:bookmarkStart w:id="68077" w:name="_ETM_Q118_751860"/>
      <w:bookmarkEnd w:id="68077"/>
      <w:r>
        <w:rPr>
          <w:rFonts w:hint="cs"/>
          <w:rtl/>
        </w:rPr>
        <w:t xml:space="preserve">של </w:t>
      </w:r>
      <w:bookmarkStart w:id="68078" w:name="_ETM_Q118_752069"/>
      <w:bookmarkEnd w:id="68078"/>
      <w:r>
        <w:rPr>
          <w:rFonts w:hint="cs"/>
          <w:rtl/>
        </w:rPr>
        <w:t xml:space="preserve">ישראל </w:t>
      </w:r>
      <w:bookmarkStart w:id="68079" w:name="_ETM_Q118_753319"/>
      <w:bookmarkEnd w:id="68079"/>
      <w:r>
        <w:rPr>
          <w:rFonts w:hint="cs"/>
          <w:rtl/>
        </w:rPr>
        <w:t>הציונית</w:t>
      </w:r>
      <w:bookmarkStart w:id="68080" w:name="_ETM_Q118_754219"/>
      <w:bookmarkEnd w:id="68080"/>
      <w:r>
        <w:rPr>
          <w:rFonts w:hint="cs"/>
          <w:rtl/>
        </w:rPr>
        <w:t xml:space="preserve">-יהודית </w:t>
      </w:r>
      <w:bookmarkStart w:id="68081" w:name="_ETM_Q118_754729"/>
      <w:bookmarkEnd w:id="68081"/>
      <w:r>
        <w:rPr>
          <w:rFonts w:hint="cs"/>
          <w:rtl/>
        </w:rPr>
        <w:t xml:space="preserve">וליברלית </w:t>
      </w:r>
      <w:bookmarkStart w:id="68082" w:name="_ETM_Q118_755929"/>
      <w:bookmarkEnd w:id="68082"/>
      <w:r>
        <w:rPr>
          <w:rFonts w:hint="cs"/>
          <w:rtl/>
        </w:rPr>
        <w:t xml:space="preserve">כדי </w:t>
      </w:r>
      <w:bookmarkStart w:id="68083" w:name="_ETM_Q118_756319"/>
      <w:bookmarkEnd w:id="68083"/>
      <w:r>
        <w:rPr>
          <w:rFonts w:hint="cs"/>
          <w:rtl/>
        </w:rPr>
        <w:t xml:space="preserve">להשמיד </w:t>
      </w:r>
      <w:bookmarkStart w:id="68084" w:name="_ETM_Q118_757159"/>
      <w:bookmarkEnd w:id="68084"/>
      <w:r>
        <w:rPr>
          <w:rFonts w:hint="cs"/>
          <w:rtl/>
        </w:rPr>
        <w:t xml:space="preserve">אותה </w:t>
      </w:r>
      <w:bookmarkStart w:id="68085" w:name="_ETM_Q118_757460"/>
      <w:bookmarkEnd w:id="68085"/>
      <w:r>
        <w:rPr>
          <w:rFonts w:hint="cs"/>
          <w:rtl/>
        </w:rPr>
        <w:t>מבפנים.</w:t>
      </w:r>
    </w:p>
    <w:p w:rsidR="00BB59CD" w:rsidRDefault="00BB59CD" w:rsidP="00BB59CD">
      <w:pPr>
        <w:rPr>
          <w:rtl/>
        </w:rPr>
      </w:pPr>
    </w:p>
    <w:p w:rsidR="00BB59CD" w:rsidRDefault="00BB59CD" w:rsidP="00750122">
      <w:pPr>
        <w:rPr>
          <w:rtl/>
        </w:rPr>
      </w:pPr>
      <w:bookmarkStart w:id="68086" w:name="TOR_Q119"/>
      <w:bookmarkEnd w:id="68086"/>
      <w:r>
        <w:rPr>
          <w:rFonts w:hint="cs"/>
          <w:rtl/>
        </w:rPr>
        <w:t xml:space="preserve">שנמשיך? שר הבינוי יצחק גולדקנופ הוא קודם כול אנטי-ציוני. בואו נשים את </w:t>
      </w:r>
      <w:bookmarkStart w:id="68087" w:name="_ETM_Q119_167000"/>
      <w:bookmarkEnd w:id="68087"/>
      <w:r>
        <w:rPr>
          <w:rFonts w:hint="cs"/>
          <w:rtl/>
        </w:rPr>
        <w:t>זה על השולחן. הוא מתנגד לבסיס הקיום הלאומי שלנו כעם במדינה דמוקרטית. הוא לא נשמע לשלטון החוק, אבל הוא כן נהנה ממערכת חוקים מקבילה שסותרת את הממלכתיות הישראלית:</w:t>
      </w:r>
      <w:bookmarkStart w:id="68088" w:name="_ETM_Q119_181000"/>
      <w:bookmarkEnd w:id="68088"/>
      <w:r>
        <w:rPr>
          <w:rFonts w:hint="cs"/>
          <w:rtl/>
        </w:rPr>
        <w:t xml:space="preserve"> נגד החינוך הציוני, נגד שירות, נגד לימודים, נגד פרנסה בכבוד, נגד נשיאה בנטל. אגב, כל נטל, מכל סוג. ובעיקר </w:t>
      </w:r>
      <w:bookmarkStart w:id="68089" w:name="_ETM_Q119_198000"/>
      <w:bookmarkEnd w:id="68089"/>
      <w:r>
        <w:rPr>
          <w:rFonts w:hint="cs"/>
          <w:rtl/>
        </w:rPr>
        <w:t xml:space="preserve">ברגע האמת הוא לא נשמע או יישמע לשלטון החוק אלא אם </w:t>
      </w:r>
      <w:bookmarkStart w:id="68090" w:name="_ETM_Q119_203000"/>
      <w:bookmarkEnd w:id="68090"/>
      <w:r>
        <w:rPr>
          <w:rFonts w:hint="cs"/>
          <w:rtl/>
        </w:rPr>
        <w:t xml:space="preserve">זה באישור האדמו"ר. </w:t>
      </w:r>
    </w:p>
    <w:p w:rsidR="00BB59CD" w:rsidRDefault="00BB59CD" w:rsidP="00BB59CD">
      <w:pPr>
        <w:rPr>
          <w:rtl/>
        </w:rPr>
      </w:pPr>
    </w:p>
    <w:p w:rsidR="00BB59CD" w:rsidRDefault="00BB59CD" w:rsidP="00750122">
      <w:pPr>
        <w:rPr>
          <w:rtl/>
        </w:rPr>
      </w:pPr>
      <w:bookmarkStart w:id="68091" w:name="_ETM_Q119_202000"/>
      <w:bookmarkEnd w:id="68091"/>
      <w:r>
        <w:rPr>
          <w:rFonts w:hint="cs"/>
          <w:rtl/>
        </w:rPr>
        <w:t xml:space="preserve">שנמשיך לחבר הממשלה הבא? אריה דרעי – </w:t>
      </w:r>
      <w:bookmarkStart w:id="68092" w:name="_ETM_Q119_212000"/>
      <w:bookmarkEnd w:id="68092"/>
      <w:r>
        <w:rPr>
          <w:rFonts w:hint="cs"/>
          <w:rtl/>
        </w:rPr>
        <w:t>הלא-שר הכי שר במדינת ישראל, ו</w:t>
      </w:r>
      <w:bookmarkStart w:id="68093" w:name="_ETM_Q119_215000"/>
      <w:bookmarkEnd w:id="68093"/>
      <w:r>
        <w:rPr>
          <w:rFonts w:hint="cs"/>
          <w:rtl/>
        </w:rPr>
        <w:t xml:space="preserve">אחת הסיבות העיקריות שכולנו התכנסנו כאן היום. הוא הרי אחת הסיבות </w:t>
      </w:r>
      <w:bookmarkStart w:id="68094" w:name="_ETM_Q119_220000"/>
      <w:bookmarkEnd w:id="68094"/>
      <w:r>
        <w:rPr>
          <w:rFonts w:hint="cs"/>
          <w:rtl/>
        </w:rPr>
        <w:t xml:space="preserve">שהממשלה בכלל מנסה לחסל את שלטון החוק. עבריין מורשע, אסיר </w:t>
      </w:r>
      <w:bookmarkStart w:id="68095" w:name="_ETM_Q119_228000"/>
      <w:bookmarkEnd w:id="68095"/>
      <w:r>
        <w:rPr>
          <w:rFonts w:hint="cs"/>
          <w:rtl/>
        </w:rPr>
        <w:t xml:space="preserve">משוחרר, פושע שחזר למקום הפשע. לא מאמין בשום ערך דמוקרטי או ליברלי. באמת, אין אפילו טעם להתחיל לפרט במקרה </w:t>
      </w:r>
      <w:bookmarkStart w:id="68096" w:name="_ETM_Q119_235000"/>
      <w:bookmarkEnd w:id="68096"/>
      <w:r>
        <w:rPr>
          <w:rFonts w:hint="cs"/>
          <w:rtl/>
        </w:rPr>
        <w:t xml:space="preserve">שלו, כי פשוט הקמנו ועדת דרעי 1 וועדת דרעי </w:t>
      </w:r>
      <w:r w:rsidR="00750122">
        <w:rPr>
          <w:rFonts w:hint="cs"/>
          <w:rtl/>
        </w:rPr>
        <w:t>2</w:t>
      </w:r>
      <w:r>
        <w:rPr>
          <w:rFonts w:hint="cs"/>
          <w:rtl/>
        </w:rPr>
        <w:t xml:space="preserve"> </w:t>
      </w:r>
      <w:bookmarkStart w:id="68097" w:name="_ETM_Q119_237000"/>
      <w:bookmarkEnd w:id="68097"/>
      <w:r>
        <w:rPr>
          <w:rFonts w:hint="cs"/>
          <w:rtl/>
        </w:rPr>
        <w:t xml:space="preserve">איך שהממשלה הזאת קמה. במקום להתעסק ביוקר המחיה </w:t>
      </w:r>
      <w:bookmarkStart w:id="68098" w:name="_ETM_Q119_246000"/>
      <w:bookmarkEnd w:id="68098"/>
      <w:r>
        <w:rPr>
          <w:rFonts w:hint="cs"/>
          <w:rtl/>
        </w:rPr>
        <w:t xml:space="preserve">כל ממשלת ישראל, כל כנסת ישראל, אשכרה מה שהיא עשתה זה להתעסק בעבריין מורשע שרוצה לחזור למקום הפשע. לא </w:t>
      </w:r>
      <w:bookmarkStart w:id="68099" w:name="_ETM_Q119_255000"/>
      <w:bookmarkEnd w:id="68099"/>
      <w:r>
        <w:rPr>
          <w:rFonts w:hint="cs"/>
          <w:rtl/>
        </w:rPr>
        <w:t>יוקר המחיה, לא ביטחון</w:t>
      </w:r>
      <w:r w:rsidR="00750122">
        <w:rPr>
          <w:rFonts w:hint="cs"/>
          <w:rtl/>
        </w:rPr>
        <w:t>,</w:t>
      </w:r>
      <w:r>
        <w:rPr>
          <w:rFonts w:hint="cs"/>
          <w:rtl/>
        </w:rPr>
        <w:t xml:space="preserve"> כלום. </w:t>
      </w:r>
      <w:bookmarkStart w:id="68100" w:name="_ETM_Q119_260000"/>
      <w:bookmarkEnd w:id="68100"/>
      <w:r>
        <w:rPr>
          <w:rFonts w:hint="cs"/>
          <w:rtl/>
        </w:rPr>
        <w:t xml:space="preserve">רק בזה. </w:t>
      </w:r>
      <w:bookmarkStart w:id="68101" w:name="_ETM_Q119_259000"/>
      <w:bookmarkEnd w:id="68101"/>
      <w:r>
        <w:rPr>
          <w:rFonts w:hint="cs"/>
          <w:rtl/>
        </w:rPr>
        <w:t xml:space="preserve">אז באמת אין טעם להתחיל לפרט, מאחר </w:t>
      </w:r>
      <w:bookmarkStart w:id="68102" w:name="_ETM_Q119_262000"/>
      <w:bookmarkEnd w:id="68102"/>
      <w:r>
        <w:rPr>
          <w:rFonts w:hint="cs"/>
          <w:rtl/>
        </w:rPr>
        <w:t xml:space="preserve">שבזבזנו על האיש הזה חצי שנה מהחיים שלנו. </w:t>
      </w:r>
    </w:p>
    <w:p w:rsidR="00BB59CD" w:rsidRDefault="00BB59CD" w:rsidP="00BB59CD">
      <w:pPr>
        <w:rPr>
          <w:rtl/>
        </w:rPr>
      </w:pPr>
      <w:bookmarkStart w:id="68103" w:name="_ETM_Q119_265000"/>
      <w:bookmarkEnd w:id="68103"/>
    </w:p>
    <w:p w:rsidR="00BB59CD" w:rsidRDefault="00BB59CD" w:rsidP="00BB59CD">
      <w:pPr>
        <w:rPr>
          <w:rtl/>
        </w:rPr>
      </w:pPr>
      <w:bookmarkStart w:id="68104" w:name="_ETM_Q119_266000"/>
      <w:bookmarkEnd w:id="68104"/>
      <w:r>
        <w:rPr>
          <w:rFonts w:hint="cs"/>
          <w:rtl/>
        </w:rPr>
        <w:t>יאללה, הב</w:t>
      </w:r>
      <w:bookmarkStart w:id="68105" w:name="_ETM_Q119_268000"/>
      <w:bookmarkEnd w:id="68105"/>
      <w:r>
        <w:rPr>
          <w:rFonts w:hint="cs"/>
          <w:rtl/>
        </w:rPr>
        <w:t>א בתור. מי עוד יש לנו? בואו נראה:</w:t>
      </w:r>
      <w:bookmarkStart w:id="68106" w:name="_ETM_Q119_270000"/>
      <w:bookmarkEnd w:id="68106"/>
      <w:r>
        <w:rPr>
          <w:rFonts w:hint="cs"/>
          <w:rtl/>
        </w:rPr>
        <w:t xml:space="preserve"> עמיחי אליהו: תומך טרור יהודי משיחי אנטי-דמוקרטי; מאיר </w:t>
      </w:r>
      <w:bookmarkStart w:id="68107" w:name="_ETM_Q119_272000"/>
      <w:bookmarkEnd w:id="68107"/>
      <w:r>
        <w:rPr>
          <w:rFonts w:hint="cs"/>
          <w:rtl/>
        </w:rPr>
        <w:t xml:space="preserve">פרוש – אנטי-ציוני, אנטי-דמוקרטי; אופיר סופר – </w:t>
      </w:r>
      <w:bookmarkStart w:id="68108" w:name="_ETM_Q119_281000"/>
      <w:bookmarkEnd w:id="68108"/>
      <w:r>
        <w:rPr>
          <w:rFonts w:hint="cs"/>
          <w:rtl/>
        </w:rPr>
        <w:t>לא מאמין בדמוקרטיה יהודית, אלא ביהדות הלכתית ללא דמוקרטיה; יצחק וסרלאוף, בחור נחמד</w:t>
      </w:r>
      <w:bookmarkStart w:id="68109" w:name="_ETM_Q119_290000"/>
      <w:bookmarkEnd w:id="68109"/>
      <w:r>
        <w:rPr>
          <w:rFonts w:hint="cs"/>
          <w:rtl/>
        </w:rPr>
        <w:t xml:space="preserve">, אגב. באמת. אבל גם גזען, </w:t>
      </w:r>
      <w:bookmarkStart w:id="68110" w:name="_ETM_Q119_294000"/>
      <w:bookmarkEnd w:id="68110"/>
      <w:r>
        <w:rPr>
          <w:rFonts w:hint="cs"/>
          <w:rtl/>
        </w:rPr>
        <w:t>גם תומך טרור יהודי-משיחי ואנטי-דמוקרטי.</w:t>
      </w:r>
    </w:p>
    <w:p w:rsidR="00BB59CD" w:rsidRDefault="00BB59CD" w:rsidP="00BB59CD">
      <w:pPr>
        <w:rPr>
          <w:rtl/>
        </w:rPr>
      </w:pPr>
    </w:p>
    <w:p w:rsidR="00BB59CD" w:rsidRDefault="00BB59CD" w:rsidP="00750122">
      <w:pPr>
        <w:rPr>
          <w:rtl/>
        </w:rPr>
      </w:pPr>
      <w:bookmarkStart w:id="68111" w:name="_ETM_Q119_297000"/>
      <w:bookmarkEnd w:id="68111"/>
      <w:r>
        <w:rPr>
          <w:rFonts w:hint="cs"/>
          <w:rtl/>
        </w:rPr>
        <w:t xml:space="preserve">כדי </w:t>
      </w:r>
      <w:bookmarkStart w:id="68112" w:name="_ETM_Q119_298000"/>
      <w:bookmarkEnd w:id="68112"/>
      <w:r>
        <w:rPr>
          <w:rFonts w:hint="cs"/>
          <w:rtl/>
        </w:rPr>
        <w:t xml:space="preserve">שלא נישאר פה ממש עד רגע החורבן, אז אני אעשה </w:t>
      </w:r>
      <w:bookmarkStart w:id="68113" w:name="_ETM_Q119_304000"/>
      <w:bookmarkEnd w:id="68113"/>
      <w:r>
        <w:rPr>
          <w:rFonts w:hint="cs"/>
          <w:rtl/>
        </w:rPr>
        <w:t xml:space="preserve">את זה זריז: 75% מסיעות הקואליציה הן או </w:t>
      </w:r>
      <w:bookmarkStart w:id="68114" w:name="_ETM_Q119_308000"/>
      <w:bookmarkEnd w:id="68114"/>
      <w:r>
        <w:rPr>
          <w:rFonts w:hint="cs"/>
          <w:rtl/>
        </w:rPr>
        <w:t>אנטי-ציוניות או אנטי-דמוקרטיות או אנטי</w:t>
      </w:r>
      <w:r w:rsidR="00750122">
        <w:rPr>
          <w:rFonts w:hint="cs"/>
          <w:rtl/>
        </w:rPr>
        <w:t>-</w:t>
      </w:r>
      <w:r>
        <w:rPr>
          <w:rFonts w:hint="cs"/>
          <w:rtl/>
        </w:rPr>
        <w:t xml:space="preserve">ליברליות או מתנגדות לשלטון החוק ובפועל נשמעות לגורמים אחרים אנטי-ממלכתיים. תגידו </w:t>
      </w:r>
      <w:bookmarkStart w:id="68115" w:name="_ETM_Q119_322000"/>
      <w:bookmarkEnd w:id="68115"/>
      <w:r>
        <w:rPr>
          <w:rFonts w:hint="cs"/>
          <w:rtl/>
        </w:rPr>
        <w:t>לי, מי צריך אויבים עם גיס חמישי כזה כרוב בממשלה?</w:t>
      </w:r>
      <w:bookmarkStart w:id="68116" w:name="_ETM_Q119_327000"/>
      <w:bookmarkEnd w:id="68116"/>
      <w:r>
        <w:rPr>
          <w:rFonts w:hint="cs"/>
          <w:rtl/>
        </w:rPr>
        <w:t xml:space="preserve"> </w:t>
      </w:r>
    </w:p>
    <w:p w:rsidR="00BB59CD" w:rsidRDefault="00BB59CD" w:rsidP="00BB59CD">
      <w:pPr>
        <w:rPr>
          <w:rtl/>
        </w:rPr>
      </w:pPr>
      <w:bookmarkStart w:id="68117" w:name="_ETM_Q119_329000"/>
      <w:bookmarkEnd w:id="68117"/>
    </w:p>
    <w:p w:rsidR="00BB59CD" w:rsidRDefault="00BB59CD" w:rsidP="00750122">
      <w:pPr>
        <w:rPr>
          <w:rtl/>
        </w:rPr>
      </w:pPr>
      <w:bookmarkStart w:id="68118" w:name="_ETM_Q119_330000"/>
      <w:bookmarkEnd w:id="68118"/>
      <w:r>
        <w:rPr>
          <w:rFonts w:hint="cs"/>
          <w:rtl/>
        </w:rPr>
        <w:t xml:space="preserve">ואל תחשבו שהשארית – וכשאני אומרת שארית אני כמובן מתכוונת לליכוד הביביסטי – הוא אביר הדמוקרטיה ושלטון החוק. </w:t>
      </w:r>
      <w:bookmarkStart w:id="68119" w:name="_ETM_Q119_336000"/>
      <w:bookmarkEnd w:id="68119"/>
      <w:r>
        <w:rPr>
          <w:rFonts w:hint="cs"/>
          <w:rtl/>
        </w:rPr>
        <w:t xml:space="preserve">עם יד על הלב, במה שונה שלמה </w:t>
      </w:r>
      <w:bookmarkStart w:id="68120" w:name="_ETM_Q119_344000"/>
      <w:bookmarkEnd w:id="68120"/>
      <w:r>
        <w:rPr>
          <w:rFonts w:hint="cs"/>
          <w:rtl/>
        </w:rPr>
        <w:t xml:space="preserve">קרעי מסמוטריץ'? במה שלמה קרעי פחות גזען? במה הוא פחות </w:t>
      </w:r>
      <w:bookmarkStart w:id="68121" w:name="_ETM_Q119_352000"/>
      <w:bookmarkEnd w:id="68121"/>
      <w:r>
        <w:rPr>
          <w:rFonts w:hint="cs"/>
          <w:rtl/>
        </w:rPr>
        <w:t xml:space="preserve">תומך טרור יהודי מבן גביר? במה דודי אמסלם כל כך </w:t>
      </w:r>
      <w:bookmarkStart w:id="68122" w:name="_ETM_Q119_357000"/>
      <w:bookmarkEnd w:id="68122"/>
      <w:r>
        <w:rPr>
          <w:rFonts w:hint="cs"/>
          <w:rtl/>
        </w:rPr>
        <w:t xml:space="preserve">שונה מאלמוג כהן? הרי שניהם סוכני כאוס. הליכוד עבר בשנים האחרונות השתלטות עוינת של משיחיסטים וכהניסטים. וכל כך נוח לביבי </w:t>
      </w:r>
      <w:bookmarkStart w:id="68123" w:name="_ETM_Q119_373000"/>
      <w:bookmarkEnd w:id="68123"/>
      <w:r>
        <w:rPr>
          <w:rFonts w:hint="cs"/>
          <w:rtl/>
        </w:rPr>
        <w:t xml:space="preserve">שלנו לשתף איתם פעולה, רק שהיום הם הזנב שמכשכש בביבי. </w:t>
      </w:r>
      <w:bookmarkStart w:id="68124" w:name="_ETM_Q119_378000"/>
      <w:bookmarkEnd w:id="68124"/>
    </w:p>
    <w:p w:rsidR="00BB59CD" w:rsidRDefault="00BB59CD" w:rsidP="00BB59CD">
      <w:pPr>
        <w:rPr>
          <w:rtl/>
        </w:rPr>
      </w:pPr>
    </w:p>
    <w:p w:rsidR="00BB59CD" w:rsidRDefault="00BB59CD" w:rsidP="00750122">
      <w:pPr>
        <w:rPr>
          <w:rtl/>
        </w:rPr>
      </w:pPr>
      <w:r>
        <w:rPr>
          <w:rFonts w:hint="cs"/>
          <w:rtl/>
        </w:rPr>
        <w:t xml:space="preserve">כן, אסור לנו לשכוח – נשאר לנו בנימין שבתאי צבי נתניהו, שמוביל את כולנו לאבדון וסביבו להקת גרופיות </w:t>
      </w:r>
      <w:bookmarkStart w:id="68125" w:name="_ETM_Q119_392000"/>
      <w:bookmarkEnd w:id="68125"/>
      <w:r>
        <w:rPr>
          <w:rFonts w:hint="cs"/>
          <w:rtl/>
        </w:rPr>
        <w:t>ביביסטיות צווחניות. ומה</w:t>
      </w:r>
      <w:r w:rsidR="00750122">
        <w:rPr>
          <w:rFonts w:hint="cs"/>
          <w:rtl/>
        </w:rPr>
        <w:t>,</w:t>
      </w:r>
      <w:r>
        <w:rPr>
          <w:rFonts w:hint="cs"/>
          <w:rtl/>
        </w:rPr>
        <w:t xml:space="preserve"> בשוליים, במחשכים</w:t>
      </w:r>
      <w:r w:rsidR="00750122">
        <w:rPr>
          <w:rFonts w:hint="cs"/>
          <w:rtl/>
        </w:rPr>
        <w:t>?</w:t>
      </w:r>
      <w:r>
        <w:rPr>
          <w:rFonts w:hint="cs"/>
          <w:rtl/>
        </w:rPr>
        <w:t xml:space="preserve"> אלה שקוראים לעצמם </w:t>
      </w:r>
      <w:bookmarkStart w:id="68126" w:name="_ETM_Q119_401000"/>
      <w:bookmarkEnd w:id="68126"/>
      <w:r>
        <w:rPr>
          <w:rFonts w:hint="cs"/>
          <w:rtl/>
        </w:rPr>
        <w:t xml:space="preserve">– שימו לב, שימו לב – המתונים בליכוד – </w:t>
      </w:r>
      <w:bookmarkStart w:id="68127" w:name="_ETM_Q119_408000"/>
      <w:bookmarkEnd w:id="68127"/>
      <w:r>
        <w:rPr>
          <w:rFonts w:hint="cs"/>
          <w:rtl/>
        </w:rPr>
        <w:t>אני אחזור שוב: בשקט בשקט</w:t>
      </w:r>
      <w:r w:rsidR="00750122">
        <w:rPr>
          <w:rFonts w:hint="cs"/>
          <w:rtl/>
        </w:rPr>
        <w:t>,</w:t>
      </w:r>
      <w:r>
        <w:rPr>
          <w:rFonts w:hint="cs"/>
          <w:rtl/>
        </w:rPr>
        <w:t xml:space="preserve"> במחשכים, יש אלה שקוראים </w:t>
      </w:r>
      <w:bookmarkStart w:id="68128" w:name="_ETM_Q119_415000"/>
      <w:bookmarkEnd w:id="68128"/>
      <w:r>
        <w:rPr>
          <w:rFonts w:hint="cs"/>
          <w:rtl/>
        </w:rPr>
        <w:t xml:space="preserve">לעצמם המתונים בליכוד; או איך ששאר הציבור קורא </w:t>
      </w:r>
      <w:bookmarkStart w:id="68129" w:name="_ETM_Q119_420000"/>
      <w:bookmarkEnd w:id="68129"/>
      <w:r>
        <w:rPr>
          <w:rFonts w:hint="cs"/>
          <w:rtl/>
        </w:rPr>
        <w:t xml:space="preserve">להם: סמרטוטים שתקנים, שמאפשרים את חורבן הבית, כי חשוב להם </w:t>
      </w:r>
      <w:bookmarkStart w:id="68130" w:name="_ETM_Q119_427000"/>
      <w:bookmarkEnd w:id="68130"/>
      <w:r>
        <w:rPr>
          <w:rFonts w:hint="cs"/>
          <w:rtl/>
        </w:rPr>
        <w:t xml:space="preserve">יותר לחמם כיסא של שר או חבר כנסת, והם לא </w:t>
      </w:r>
      <w:bookmarkStart w:id="68131" w:name="_ETM_Q119_431000"/>
      <w:bookmarkEnd w:id="68131"/>
      <w:r>
        <w:rPr>
          <w:rFonts w:hint="cs"/>
          <w:rtl/>
        </w:rPr>
        <w:t xml:space="preserve">מבינים שהכיסא שהם יושבים עליו נמצא על הטיטניק. </w:t>
      </w:r>
      <w:bookmarkStart w:id="68132" w:name="_ETM_Q119_437000"/>
      <w:bookmarkEnd w:id="68132"/>
      <w:r>
        <w:rPr>
          <w:rFonts w:hint="cs"/>
          <w:rtl/>
        </w:rPr>
        <w:t>אתם, חברי הליכוד המתונים, אתם הכי מאכזבים. אתם המעט שנותר ממערכת מפוארת שפעם אני קראתי לה בית; מפלגה ש</w:t>
      </w:r>
      <w:bookmarkStart w:id="68133" w:name="_ETM_Q119_450000"/>
      <w:bookmarkEnd w:id="68133"/>
      <w:r>
        <w:rPr>
          <w:rFonts w:hint="cs"/>
          <w:rtl/>
        </w:rPr>
        <w:t xml:space="preserve">עזבתי לפני שנתיים אחרי 30 שנה, כי ראיתי איך </w:t>
      </w:r>
      <w:bookmarkStart w:id="68134" w:name="_ETM_Q119_456000"/>
      <w:bookmarkEnd w:id="68134"/>
      <w:r>
        <w:rPr>
          <w:rFonts w:hint="cs"/>
          <w:rtl/>
        </w:rPr>
        <w:t>המוסו-ביבי שלכם הורס הכול סביבו. אבל אפילו אני לא תיארתי לעצמי אז שנגיע לשפל כזה. אולי כן. אבל אתם, המתוני</w:t>
      </w:r>
      <w:bookmarkStart w:id="68135" w:name="_ETM_Q119_467000"/>
      <w:bookmarkEnd w:id="68135"/>
      <w:r>
        <w:rPr>
          <w:rFonts w:hint="cs"/>
          <w:rtl/>
        </w:rPr>
        <w:t xml:space="preserve">ם, אתם שתקתם אז ושותקים גם היום, למרות </w:t>
      </w:r>
      <w:bookmarkStart w:id="68136" w:name="_ETM_Q119_475000"/>
      <w:bookmarkEnd w:id="68136"/>
      <w:r>
        <w:rPr>
          <w:rFonts w:hint="cs"/>
          <w:rtl/>
        </w:rPr>
        <w:t xml:space="preserve">החורבן, למרות הקרע, למרות השיסוי. </w:t>
      </w:r>
    </w:p>
    <w:p w:rsidR="00BB59CD" w:rsidRDefault="00BB59CD" w:rsidP="00BB59CD">
      <w:pPr>
        <w:rPr>
          <w:rtl/>
        </w:rPr>
      </w:pPr>
    </w:p>
    <w:p w:rsidR="00BB59CD" w:rsidRDefault="00BB59CD" w:rsidP="00BF01F0">
      <w:pPr>
        <w:rPr>
          <w:rtl/>
        </w:rPr>
      </w:pPr>
      <w:bookmarkStart w:id="68137" w:name="_ETM_Q119_480000"/>
      <w:bookmarkEnd w:id="68137"/>
      <w:r>
        <w:rPr>
          <w:rFonts w:hint="cs"/>
          <w:rtl/>
        </w:rPr>
        <w:t xml:space="preserve">אז אנחנו סיימנו לשתוק כי לא נעים לכם, ואולי כי אתם אוטוטו </w:t>
      </w:r>
      <w:bookmarkStart w:id="68138" w:name="_ETM_Q119_486000"/>
      <w:bookmarkEnd w:id="68138"/>
      <w:r>
        <w:rPr>
          <w:rFonts w:hint="cs"/>
          <w:rtl/>
        </w:rPr>
        <w:t xml:space="preserve">מזיזים את עצמכם כאילו עושים איזשהו מעשה. שקט </w:t>
      </w:r>
      <w:bookmarkStart w:id="68139" w:name="_ETM_Q119_494000"/>
      <w:bookmarkEnd w:id="68139"/>
      <w:r>
        <w:rPr>
          <w:rFonts w:hint="cs"/>
          <w:rtl/>
        </w:rPr>
        <w:t xml:space="preserve">הוא רפש. שקט הוא רפש. ואתם שותקים. תבינו לבד איך ההיסטוריה תגדיר אתכם. אז עם אנומליה כזו, </w:t>
      </w:r>
      <w:r w:rsidR="00750122">
        <w:rPr>
          <w:rFonts w:hint="cs"/>
          <w:rtl/>
        </w:rPr>
        <w:t>כ</w:t>
      </w:r>
      <w:r>
        <w:rPr>
          <w:rFonts w:hint="cs"/>
          <w:rtl/>
        </w:rPr>
        <w:t>שלראשונה מאז הקמת המדינה כמעט כל ממשלת ישראל מתנגדת לדמוקרטיה ליברלית, לפלורליזם וחלק ניכר ממנה גם אנטי</w:t>
      </w:r>
      <w:bookmarkStart w:id="68140" w:name="_ETM_Q119_519000"/>
      <w:bookmarkEnd w:id="68140"/>
      <w:r>
        <w:rPr>
          <w:rFonts w:hint="cs"/>
          <w:rtl/>
        </w:rPr>
        <w:t>-ציוני</w:t>
      </w:r>
      <w:r w:rsidR="00750122">
        <w:rPr>
          <w:rFonts w:hint="cs"/>
          <w:rtl/>
        </w:rPr>
        <w:t>,</w:t>
      </w:r>
      <w:r>
        <w:rPr>
          <w:rFonts w:hint="cs"/>
          <w:rtl/>
        </w:rPr>
        <w:t xml:space="preserve"> מה הפלא שהם רוצים להוביל הפיכה כדי שעם הזמן גם כל שאר המדינה תהפוך להיות כמוהם? </w:t>
      </w:r>
      <w:bookmarkStart w:id="68141" w:name="_ETM_Q119_532000"/>
      <w:bookmarkEnd w:id="68141"/>
      <w:r>
        <w:rPr>
          <w:rFonts w:hint="cs"/>
          <w:rtl/>
        </w:rPr>
        <w:t xml:space="preserve">רק מה </w:t>
      </w:r>
      <w:bookmarkStart w:id="68142" w:name="_ETM_Q119_533000"/>
      <w:bookmarkEnd w:id="68142"/>
      <w:r>
        <w:rPr>
          <w:rFonts w:hint="cs"/>
          <w:rtl/>
        </w:rPr>
        <w:t xml:space="preserve">שהם לא הביאו בחשבון הוא ששאר המדינה סיימה לתפקד </w:t>
      </w:r>
      <w:bookmarkStart w:id="68143" w:name="_ETM_Q119_536000"/>
      <w:bookmarkEnd w:id="68143"/>
      <w:r>
        <w:rPr>
          <w:rFonts w:hint="cs"/>
          <w:rtl/>
        </w:rPr>
        <w:t xml:space="preserve">כחוטבי העצים ושואבי המים של כל אלה שרוצים להשתמש בדמוקרטיה כדי להחריב אותה. לא מדובר פה על עדות או על פוליטיקת זהויות בזויה מבית מדרשו של נתניהו, אלא פשוט </w:t>
      </w:r>
      <w:bookmarkStart w:id="68144" w:name="_ETM_Q119_552000"/>
      <w:bookmarkEnd w:id="68144"/>
      <w:r>
        <w:rPr>
          <w:rFonts w:hint="cs"/>
          <w:rtl/>
        </w:rPr>
        <w:t xml:space="preserve">על מעמד הביניים חוצה עדות, חוצה מחנות – ימין, </w:t>
      </w:r>
      <w:bookmarkStart w:id="68145" w:name="_ETM_Q119_557000"/>
      <w:bookmarkEnd w:id="68145"/>
      <w:r>
        <w:rPr>
          <w:rFonts w:hint="cs"/>
          <w:rtl/>
        </w:rPr>
        <w:t>מרכז ושמאל; שעובד, משלם מיסים, שמאמין בשלטון החוק, ביהדות מכילה</w:t>
      </w:r>
      <w:bookmarkStart w:id="68146" w:name="_ETM_Q119_567000"/>
      <w:bookmarkEnd w:id="68146"/>
      <w:r>
        <w:rPr>
          <w:rFonts w:hint="cs"/>
          <w:rtl/>
        </w:rPr>
        <w:t xml:space="preserve">, בישראליות, בפלורליזם; שלא מוכן להיות יותר הכספומט והנושא בנטל. </w:t>
      </w:r>
      <w:bookmarkStart w:id="68147" w:name="_ETM_Q119_578000"/>
      <w:bookmarkEnd w:id="68147"/>
    </w:p>
    <w:p w:rsidR="00BB59CD" w:rsidRDefault="00BB59CD" w:rsidP="00BB59CD">
      <w:pPr>
        <w:rPr>
          <w:rtl/>
        </w:rPr>
      </w:pPr>
      <w:bookmarkStart w:id="68148" w:name="_ETM_Q119_546468"/>
      <w:bookmarkStart w:id="68149" w:name="_ETM_Q119_546517"/>
      <w:bookmarkEnd w:id="68148"/>
      <w:bookmarkEnd w:id="68149"/>
    </w:p>
    <w:p w:rsidR="00BB59CD" w:rsidRDefault="00BB59CD" w:rsidP="00264869">
      <w:pPr>
        <w:rPr>
          <w:rtl/>
        </w:rPr>
      </w:pPr>
      <w:bookmarkStart w:id="68150" w:name="_ETM_Q119_546594"/>
      <w:bookmarkStart w:id="68151" w:name="_ETM_Q119_546636"/>
      <w:bookmarkEnd w:id="68150"/>
      <w:bookmarkEnd w:id="68151"/>
      <w:r>
        <w:rPr>
          <w:rFonts w:hint="cs"/>
          <w:rtl/>
        </w:rPr>
        <w:t xml:space="preserve">תסתכלו על המפגינים המדהימים האלה; על רבבות הצועדים מגולני ועד </w:t>
      </w:r>
      <w:bookmarkStart w:id="68152" w:name="_ETM_Q119_587000"/>
      <w:bookmarkEnd w:id="68152"/>
      <w:r>
        <w:rPr>
          <w:rFonts w:hint="cs"/>
          <w:rtl/>
        </w:rPr>
        <w:t xml:space="preserve">לסיירת מטכ"ל, לטייסים המצוינים שלנו; ממורים ועד רופאים, </w:t>
      </w:r>
      <w:bookmarkStart w:id="68153" w:name="_ETM_Q119_593000"/>
      <w:bookmarkEnd w:id="68153"/>
      <w:r>
        <w:rPr>
          <w:rFonts w:hint="cs"/>
          <w:rtl/>
        </w:rPr>
        <w:t>הייטקיסטים</w:t>
      </w:r>
      <w:r w:rsidR="00264869">
        <w:rPr>
          <w:rFonts w:hint="cs"/>
          <w:rtl/>
        </w:rPr>
        <w:t>,</w:t>
      </w:r>
      <w:r>
        <w:rPr>
          <w:rFonts w:hint="cs"/>
          <w:rtl/>
        </w:rPr>
        <w:t xml:space="preserve"> מסוריה, מרוקו, פולין </w:t>
      </w:r>
      <w:bookmarkStart w:id="68154" w:name="_ETM_Q119_600000"/>
      <w:bookmarkEnd w:id="68154"/>
      <w:r>
        <w:rPr>
          <w:rFonts w:hint="cs"/>
          <w:rtl/>
        </w:rPr>
        <w:t xml:space="preserve">והונגריה מדן ועד אילת; חובשי כיפה וחילונים גמורים, ניצולי שואה, </w:t>
      </w:r>
      <w:bookmarkStart w:id="68155" w:name="_ETM_Q119_614000"/>
      <w:bookmarkEnd w:id="68155"/>
      <w:r>
        <w:rPr>
          <w:rFonts w:hint="cs"/>
          <w:rtl/>
        </w:rPr>
        <w:t>פנסיונרים, ילדים, צעירים, משפחות, תנועות נוער</w:t>
      </w:r>
      <w:r w:rsidR="00264869">
        <w:rPr>
          <w:rFonts w:hint="cs"/>
          <w:rtl/>
        </w:rPr>
        <w:t>,</w:t>
      </w:r>
      <w:r>
        <w:rPr>
          <w:rFonts w:hint="cs"/>
          <w:rtl/>
        </w:rPr>
        <w:t xml:space="preserve"> מעמד הביניים הישראלי שלא מסכים – אגב, שלא תטעו – בינו לבין עצמו על כל כך הרבה </w:t>
      </w:r>
      <w:bookmarkStart w:id="68156" w:name="_ETM_Q119_627000"/>
      <w:bookmarkEnd w:id="68156"/>
      <w:r>
        <w:rPr>
          <w:rFonts w:hint="cs"/>
          <w:rtl/>
        </w:rPr>
        <w:t>דברים מדינית וכלכלית, אבל כולו</w:t>
      </w:r>
      <w:r w:rsidR="00264869">
        <w:rPr>
          <w:rFonts w:hint="cs"/>
          <w:rtl/>
        </w:rPr>
        <w:t>,</w:t>
      </w:r>
      <w:r>
        <w:rPr>
          <w:rFonts w:hint="cs"/>
          <w:rtl/>
        </w:rPr>
        <w:t xml:space="preserve"> שימו לב</w:t>
      </w:r>
      <w:bookmarkStart w:id="68157" w:name="_ETM_Q119_630000"/>
      <w:bookmarkEnd w:id="68157"/>
      <w:r w:rsidR="00264869">
        <w:rPr>
          <w:rFonts w:hint="cs"/>
          <w:rtl/>
        </w:rPr>
        <w:t>,</w:t>
      </w:r>
      <w:r>
        <w:rPr>
          <w:rFonts w:hint="cs"/>
          <w:rtl/>
        </w:rPr>
        <w:t xml:space="preserve"> כל הקהל שראיתם שעולה לירושלים, גם אם הוא לא מסכים האחד עם השני על כל כך הרבה </w:t>
      </w:r>
      <w:bookmarkStart w:id="68158" w:name="_ETM_Q119_640000"/>
      <w:bookmarkEnd w:id="68158"/>
      <w:r>
        <w:rPr>
          <w:rFonts w:hint="cs"/>
          <w:rtl/>
        </w:rPr>
        <w:t>נושאים, על דבר אחד הוא כן מסכים ללא יוצא מן הכלל, וזה על כללי המשחק הדמוקרטיים</w:t>
      </w:r>
      <w:bookmarkStart w:id="68159" w:name="_ETM_Q119_647000"/>
      <w:bookmarkEnd w:id="68159"/>
      <w:r>
        <w:rPr>
          <w:rFonts w:hint="cs"/>
          <w:rtl/>
        </w:rPr>
        <w:t xml:space="preserve">, על עליונות שלטון החוק, על הסיפור הישראלי הציוני, </w:t>
      </w:r>
      <w:bookmarkStart w:id="68160" w:name="_ETM_Q119_655000"/>
      <w:bookmarkEnd w:id="68160"/>
      <w:r>
        <w:rPr>
          <w:rFonts w:hint="cs"/>
          <w:rtl/>
        </w:rPr>
        <w:t xml:space="preserve">על פלורליזם יהודי. וברגע שהאנטי-דמוקרטים והאנטי-ציונים הורידו את המסכות, </w:t>
      </w:r>
      <w:bookmarkStart w:id="68161" w:name="_ETM_Q119_664000"/>
      <w:bookmarkEnd w:id="68161"/>
      <w:r>
        <w:rPr>
          <w:rFonts w:hint="cs"/>
          <w:rtl/>
        </w:rPr>
        <w:t xml:space="preserve">והחלו בניסיון ההפיכה, במעמד הביניים החליטו שהם סיימו לשתוק. </w:t>
      </w:r>
    </w:p>
    <w:p w:rsidR="00BB59CD" w:rsidRDefault="00BB59CD" w:rsidP="00BB59CD">
      <w:pPr>
        <w:rPr>
          <w:rtl/>
        </w:rPr>
      </w:pPr>
    </w:p>
    <w:p w:rsidR="00BB59CD" w:rsidRDefault="00BB59CD" w:rsidP="00264869">
      <w:pPr>
        <w:rPr>
          <w:rtl/>
        </w:rPr>
      </w:pPr>
      <w:r>
        <w:rPr>
          <w:rFonts w:hint="cs"/>
          <w:rtl/>
        </w:rPr>
        <w:t xml:space="preserve">לכל </w:t>
      </w:r>
      <w:bookmarkStart w:id="68162" w:name="_ETM_Q119_671000"/>
      <w:bookmarkEnd w:id="68162"/>
      <w:r>
        <w:rPr>
          <w:rFonts w:hint="cs"/>
          <w:rtl/>
        </w:rPr>
        <w:t>המסיתים בממשלה ובפרט לעריץ חסר הלב והערכים העומד בראשה</w:t>
      </w:r>
      <w:bookmarkStart w:id="68163" w:name="_ETM_Q119_680000"/>
      <w:bookmarkEnd w:id="68163"/>
      <w:r>
        <w:rPr>
          <w:rFonts w:hint="cs"/>
          <w:rtl/>
        </w:rPr>
        <w:t xml:space="preserve">: אתם כנראה התבלבלתם, ממשלה יקרה. אתם כנראה התבלבלתם. ואני אומר את זה שוב: מה שהיה </w:t>
      </w:r>
      <w:bookmarkStart w:id="68164" w:name="_ETM_Q119_688000"/>
      <w:bookmarkEnd w:id="68164"/>
      <w:r>
        <w:rPr>
          <w:rFonts w:hint="cs"/>
          <w:rtl/>
        </w:rPr>
        <w:t>לא יהיה עוד. זה נגמר. בכניסה לבסיס הטירונות שלי</w:t>
      </w:r>
      <w:r w:rsidR="00264869">
        <w:rPr>
          <w:rFonts w:hint="cs"/>
          <w:rtl/>
        </w:rPr>
        <w:t>,</w:t>
      </w:r>
      <w:r>
        <w:rPr>
          <w:rFonts w:hint="cs"/>
          <w:rtl/>
        </w:rPr>
        <w:t xml:space="preserve"> ששם בהמשך, אגב, גם שימשתי כמפקדת, נכתב על הלוח:</w:t>
      </w:r>
      <w:bookmarkStart w:id="68165" w:name="_ETM_Q119_704000"/>
      <w:bookmarkEnd w:id="68165"/>
      <w:r>
        <w:rPr>
          <w:rFonts w:hint="cs"/>
          <w:rtl/>
        </w:rPr>
        <w:t xml:space="preserve"> תדע כל אם עברייה שהפקידה גורל בניה בידי מפקדים </w:t>
      </w:r>
      <w:bookmarkStart w:id="68166" w:name="_ETM_Q119_709000"/>
      <w:bookmarkEnd w:id="68166"/>
      <w:r>
        <w:rPr>
          <w:rFonts w:hint="cs"/>
          <w:rtl/>
        </w:rPr>
        <w:t xml:space="preserve">הראויים לכך. </w:t>
      </w:r>
      <w:bookmarkStart w:id="68167" w:name="_ETM_Q119_632754"/>
      <w:bookmarkStart w:id="68168" w:name="_ETM_Q119_632810"/>
      <w:bookmarkStart w:id="68169" w:name="_ETM_Q119_632914"/>
      <w:bookmarkStart w:id="68170" w:name="_ETM_Q119_632966"/>
      <w:bookmarkEnd w:id="68167"/>
      <w:bookmarkEnd w:id="68168"/>
      <w:bookmarkEnd w:id="68169"/>
      <w:bookmarkEnd w:id="68170"/>
      <w:r>
        <w:rPr>
          <w:rFonts w:hint="cs"/>
          <w:rtl/>
        </w:rPr>
        <w:t xml:space="preserve">זכותם של רבבות ישראלים לא להתנדב לשרת ממשלה של לא משרתים; ממשלה של משתמטים; ממשלה של אחרים שלא גויסו בכלל, כי הצבא ראה בהם תומכי </w:t>
      </w:r>
      <w:bookmarkStart w:id="68171" w:name="_ETM_Q119_727000"/>
      <w:bookmarkEnd w:id="68171"/>
      <w:r>
        <w:rPr>
          <w:rFonts w:hint="cs"/>
          <w:rtl/>
        </w:rPr>
        <w:t>טרור וסכנה ביטחונית. במי אתם רוצים שהם יאמינו</w:t>
      </w:r>
      <w:r w:rsidR="00264869">
        <w:rPr>
          <w:rFonts w:hint="cs"/>
          <w:rtl/>
        </w:rPr>
        <w:t>,</w:t>
      </w:r>
      <w:r>
        <w:rPr>
          <w:rFonts w:hint="cs"/>
          <w:rtl/>
        </w:rPr>
        <w:t xml:space="preserve"> במי? בבן </w:t>
      </w:r>
      <w:bookmarkStart w:id="68172" w:name="_ETM_Q119_735000"/>
      <w:bookmarkEnd w:id="68172"/>
      <w:r>
        <w:rPr>
          <w:rFonts w:hint="cs"/>
          <w:rtl/>
        </w:rPr>
        <w:t xml:space="preserve">גביר, תומך הטרור? בביבי השקרן, שמקים לעצמו דיקטטורה? הוא יהיה </w:t>
      </w:r>
      <w:bookmarkStart w:id="68173" w:name="_ETM_Q119_741000"/>
      <w:bookmarkEnd w:id="68173"/>
      <w:r>
        <w:rPr>
          <w:rFonts w:hint="cs"/>
          <w:rtl/>
        </w:rPr>
        <w:t>המודל לחיקוי שלהם</w:t>
      </w:r>
      <w:r w:rsidR="00264869">
        <w:rPr>
          <w:rFonts w:hint="cs"/>
          <w:rtl/>
        </w:rPr>
        <w:t>,</w:t>
      </w:r>
      <w:r>
        <w:rPr>
          <w:rFonts w:hint="cs"/>
          <w:rtl/>
        </w:rPr>
        <w:t xml:space="preserve"> של הילדים שלהם? אלה הם אזרחים שמממשים את זכותם המלאה לא לתרום מזמנם, ולא לסכן את חייהם </w:t>
      </w:r>
      <w:bookmarkStart w:id="68174" w:name="_ETM_Q119_758000"/>
      <w:bookmarkEnd w:id="68174"/>
      <w:r>
        <w:rPr>
          <w:rFonts w:hint="cs"/>
          <w:rtl/>
        </w:rPr>
        <w:t xml:space="preserve">בעבור ממשלת הרס שמנסה לחסל את אורח חייהם </w:t>
      </w:r>
      <w:bookmarkStart w:id="68175" w:name="_ETM_Q119_763000"/>
      <w:bookmarkEnd w:id="68175"/>
      <w:r>
        <w:rPr>
          <w:rFonts w:hint="cs"/>
          <w:rtl/>
        </w:rPr>
        <w:t>ואת הממלכתיות הישראלית על הדרך.</w:t>
      </w:r>
    </w:p>
    <w:p w:rsidR="00BB59CD" w:rsidRDefault="00BB59CD" w:rsidP="00BB59CD">
      <w:pPr>
        <w:rPr>
          <w:rtl/>
        </w:rPr>
      </w:pPr>
    </w:p>
    <w:p w:rsidR="00BB59CD" w:rsidRDefault="00BB59CD" w:rsidP="00264869">
      <w:pPr>
        <w:rPr>
          <w:rtl/>
        </w:rPr>
      </w:pPr>
      <w:bookmarkStart w:id="68176" w:name="TOR_Q120"/>
      <w:bookmarkEnd w:id="68176"/>
      <w:r>
        <w:rPr>
          <w:rFonts w:hint="cs"/>
          <w:rtl/>
        </w:rPr>
        <w:t xml:space="preserve">לא לחינם הביביסטים והמשתמטים יוצאים נגד אלה שבוחרים להפסיק להתנדב, שבוחרים להפסיק להגן עליהם בגופם או בעבודתם. תגידו, </w:t>
      </w:r>
      <w:bookmarkStart w:id="68177" w:name="_ETM_Q120_179000"/>
      <w:bookmarkEnd w:id="68177"/>
      <w:r>
        <w:rPr>
          <w:rFonts w:hint="cs"/>
          <w:rtl/>
        </w:rPr>
        <w:t xml:space="preserve">מה נראה לכם? מה נראה לכם? שבן גביר, גיבור המקלדת, </w:t>
      </w:r>
      <w:bookmarkStart w:id="68178" w:name="_ETM_Q120_186000"/>
      <w:bookmarkEnd w:id="68178"/>
      <w:r>
        <w:rPr>
          <w:rFonts w:hint="cs"/>
          <w:rtl/>
        </w:rPr>
        <w:t>יסתנן לסוריה למשימה עלומה? שלה פמיליה תוביל את ההייטק? שגולדקנופ י</w:t>
      </w:r>
      <w:bookmarkStart w:id="68179" w:name="_ETM_Q120_194000"/>
      <w:bookmarkEnd w:id="68179"/>
      <w:r>
        <w:rPr>
          <w:rFonts w:hint="cs"/>
          <w:rtl/>
        </w:rPr>
        <w:t xml:space="preserve">וביל טייסת לתקיפה באיראן? שפרוש – </w:t>
      </w:r>
      <w:bookmarkStart w:id="68180" w:name="_ETM_Q120_200000"/>
      <w:bookmarkEnd w:id="68180"/>
      <w:r>
        <w:rPr>
          <w:rFonts w:hint="cs"/>
          <w:rtl/>
        </w:rPr>
        <w:t>אני יודעת</w:t>
      </w:r>
      <w:r w:rsidR="00264869">
        <w:rPr>
          <w:rFonts w:hint="cs"/>
          <w:rtl/>
        </w:rPr>
        <w:t>,</w:t>
      </w:r>
      <w:r>
        <w:rPr>
          <w:rFonts w:hint="cs"/>
          <w:rtl/>
        </w:rPr>
        <w:t xml:space="preserve"> שפרוש יפתח ציר </w:t>
      </w:r>
      <w:bookmarkStart w:id="68181" w:name="_ETM_Q120_196000"/>
      <w:bookmarkEnd w:id="68181"/>
      <w:r>
        <w:rPr>
          <w:rFonts w:hint="cs"/>
          <w:rtl/>
        </w:rPr>
        <w:t>בלבנון</w:t>
      </w:r>
      <w:r w:rsidR="00264869">
        <w:rPr>
          <w:rFonts w:hint="cs"/>
          <w:rtl/>
        </w:rPr>
        <w:t>,</w:t>
      </w:r>
      <w:r>
        <w:rPr>
          <w:rFonts w:hint="cs"/>
          <w:rtl/>
        </w:rPr>
        <w:t xml:space="preserve"> שאמסלם יזרים מיליארדים של השקעות זרות למדינה</w:t>
      </w:r>
      <w:bookmarkStart w:id="68182" w:name="_ETM_Q120_207000"/>
      <w:bookmarkEnd w:id="68182"/>
      <w:r>
        <w:rPr>
          <w:rFonts w:hint="cs"/>
          <w:rtl/>
        </w:rPr>
        <w:t>, ושאבי מעוז ייצג את ישראל בבירות העולם</w:t>
      </w:r>
      <w:r w:rsidR="00264869">
        <w:rPr>
          <w:rFonts w:hint="cs"/>
          <w:rtl/>
        </w:rPr>
        <w:t>?</w:t>
      </w:r>
      <w:r>
        <w:rPr>
          <w:rFonts w:hint="cs"/>
          <w:rtl/>
        </w:rPr>
        <w:t xml:space="preserve"> יאללה. </w:t>
      </w:r>
      <w:bookmarkStart w:id="68183" w:name="_ETM_Q120_213000"/>
      <w:bookmarkEnd w:id="68183"/>
      <w:r>
        <w:rPr>
          <w:rFonts w:hint="cs"/>
          <w:rtl/>
        </w:rPr>
        <w:t xml:space="preserve">זה מה שאתם רוצים? זה מה שאתם רוצים, ממשלה? זה </w:t>
      </w:r>
      <w:bookmarkStart w:id="68184" w:name="_ETM_Q120_216000"/>
      <w:bookmarkEnd w:id="68184"/>
      <w:r>
        <w:rPr>
          <w:rFonts w:hint="cs"/>
          <w:rtl/>
        </w:rPr>
        <w:t xml:space="preserve">מה שאתם רוצים, לשם אתם מכוונים. יאללה, רוצו, לכו על </w:t>
      </w:r>
      <w:bookmarkStart w:id="68185" w:name="_ETM_Q120_222000"/>
      <w:bookmarkEnd w:id="68185"/>
      <w:r>
        <w:rPr>
          <w:rFonts w:hint="cs"/>
          <w:rtl/>
        </w:rPr>
        <w:t xml:space="preserve">זה, אבל זכותנו לא לשתף עם זה פעולה. חובתנו להתנגד </w:t>
      </w:r>
      <w:bookmarkStart w:id="68186" w:name="_ETM_Q120_230000"/>
      <w:bookmarkEnd w:id="68186"/>
      <w:r>
        <w:rPr>
          <w:rFonts w:hint="cs"/>
          <w:rtl/>
        </w:rPr>
        <w:t>לזה, ובכל הכוח. העם הזה סיים לאפשר לסוסים טרוי</w:t>
      </w:r>
      <w:bookmarkStart w:id="68187" w:name="_ETM_Q120_235000"/>
      <w:bookmarkEnd w:id="68187"/>
      <w:r>
        <w:rPr>
          <w:rFonts w:hint="cs"/>
          <w:rtl/>
        </w:rPr>
        <w:t>אנ</w:t>
      </w:r>
      <w:r w:rsidR="00264869">
        <w:rPr>
          <w:rFonts w:hint="cs"/>
          <w:rtl/>
        </w:rPr>
        <w:t>י</w:t>
      </w:r>
      <w:r>
        <w:rPr>
          <w:rFonts w:hint="cs"/>
          <w:rtl/>
        </w:rPr>
        <w:t xml:space="preserve">ים להשמיד מבפנים את הישראליות, ובטח שלא יסכים להמשיך ולסחוב </w:t>
      </w:r>
      <w:bookmarkStart w:id="68188" w:name="_ETM_Q120_246000"/>
      <w:bookmarkEnd w:id="68188"/>
      <w:r>
        <w:rPr>
          <w:rFonts w:hint="cs"/>
          <w:rtl/>
        </w:rPr>
        <w:t>אות</w:t>
      </w:r>
      <w:r w:rsidR="00264869">
        <w:rPr>
          <w:rFonts w:hint="cs"/>
          <w:rtl/>
        </w:rPr>
        <w:t>ם</w:t>
      </w:r>
      <w:r>
        <w:rPr>
          <w:rFonts w:hint="cs"/>
          <w:rtl/>
        </w:rPr>
        <w:t xml:space="preserve"> על גבו.</w:t>
      </w:r>
    </w:p>
    <w:p w:rsidR="00BB59CD" w:rsidRDefault="00BB59CD" w:rsidP="00BB59CD">
      <w:pPr>
        <w:rPr>
          <w:rtl/>
        </w:rPr>
      </w:pPr>
    </w:p>
    <w:p w:rsidR="00BB59CD" w:rsidRDefault="00BB59CD" w:rsidP="00264869">
      <w:pPr>
        <w:rPr>
          <w:rtl/>
        </w:rPr>
      </w:pPr>
      <w:bookmarkStart w:id="68189" w:name="_ETM_Q120_251000"/>
      <w:bookmarkEnd w:id="68189"/>
      <w:r>
        <w:rPr>
          <w:rFonts w:hint="cs"/>
          <w:rtl/>
        </w:rPr>
        <w:t xml:space="preserve">אנחנו עומדים מול מציאות קשה. אנחנו עומדים מול </w:t>
      </w:r>
      <w:bookmarkStart w:id="68190" w:name="_ETM_Q120_257000"/>
      <w:bookmarkEnd w:id="68190"/>
      <w:r>
        <w:rPr>
          <w:rFonts w:hint="cs"/>
          <w:rtl/>
        </w:rPr>
        <w:t xml:space="preserve">מציאות כואבת. אני, ואיתי כל אזרח ואזרחית – אגב, </w:t>
      </w:r>
      <w:bookmarkStart w:id="68191" w:name="_ETM_Q120_261000"/>
      <w:bookmarkEnd w:id="68191"/>
      <w:r>
        <w:rPr>
          <w:rFonts w:hint="cs"/>
          <w:rtl/>
        </w:rPr>
        <w:t xml:space="preserve">באמת מכל צד במפה הפוליטית – מרגישים פחד, מרגישים כאב, </w:t>
      </w:r>
      <w:bookmarkStart w:id="68192" w:name="_ETM_Q120_271000"/>
      <w:bookmarkEnd w:id="68192"/>
      <w:r>
        <w:rPr>
          <w:rFonts w:hint="cs"/>
          <w:rtl/>
        </w:rPr>
        <w:t>מרגישים חוסר אונים מול המציאות המטורפת</w:t>
      </w:r>
      <w:r w:rsidR="00264869">
        <w:rPr>
          <w:rFonts w:hint="cs"/>
          <w:rtl/>
        </w:rPr>
        <w:t>,</w:t>
      </w:r>
      <w:r>
        <w:rPr>
          <w:rFonts w:hint="cs"/>
          <w:rtl/>
        </w:rPr>
        <w:t xml:space="preserve"> מול המציאות ההזויה שהממשלה </w:t>
      </w:r>
      <w:bookmarkStart w:id="68193" w:name="_ETM_Q120_281000"/>
      <w:bookmarkEnd w:id="68193"/>
      <w:r>
        <w:rPr>
          <w:rFonts w:hint="cs"/>
          <w:rtl/>
        </w:rPr>
        <w:t>המסוכנת הזאת הובילה אותנו אליה בעיניים פקוחות</w:t>
      </w:r>
      <w:r w:rsidR="00264869">
        <w:rPr>
          <w:rFonts w:hint="cs"/>
          <w:rtl/>
        </w:rPr>
        <w:t>,</w:t>
      </w:r>
      <w:r>
        <w:rPr>
          <w:rFonts w:hint="cs"/>
          <w:rtl/>
        </w:rPr>
        <w:t xml:space="preserve"> בכוונ</w:t>
      </w:r>
      <w:r w:rsidR="00264869">
        <w:rPr>
          <w:rFonts w:hint="cs"/>
          <w:rtl/>
        </w:rPr>
        <w:t>ה</w:t>
      </w:r>
      <w:r>
        <w:rPr>
          <w:rFonts w:hint="cs"/>
          <w:rtl/>
        </w:rPr>
        <w:t xml:space="preserve"> תחילה. </w:t>
      </w:r>
      <w:bookmarkStart w:id="68194" w:name="_ETM_Q120_291000"/>
      <w:bookmarkEnd w:id="68194"/>
      <w:r>
        <w:rPr>
          <w:rFonts w:hint="cs"/>
          <w:rtl/>
        </w:rPr>
        <w:t xml:space="preserve">לא התפלקה להם על הדרך איזו הפיכה, שלא תטעו. </w:t>
      </w:r>
      <w:r w:rsidR="00264869">
        <w:rPr>
          <w:rFonts w:hint="cs"/>
          <w:rtl/>
        </w:rPr>
        <w:t xml:space="preserve">זה </w:t>
      </w:r>
      <w:r>
        <w:rPr>
          <w:rFonts w:hint="cs"/>
          <w:rtl/>
        </w:rPr>
        <w:t xml:space="preserve">לא התפלק. הפיכה שלטונית לא מתפלקת על הדרך – </w:t>
      </w:r>
      <w:bookmarkStart w:id="68195" w:name="_ETM_Q120_295000"/>
      <w:bookmarkEnd w:id="68195"/>
      <w:r>
        <w:rPr>
          <w:rFonts w:hint="cs"/>
          <w:rtl/>
        </w:rPr>
        <w:t xml:space="preserve">אופס, קרה לי. </w:t>
      </w:r>
      <w:r w:rsidR="00264869">
        <w:rPr>
          <w:rFonts w:hint="cs"/>
          <w:rtl/>
        </w:rPr>
        <w:t xml:space="preserve">זה </w:t>
      </w:r>
      <w:r>
        <w:rPr>
          <w:rFonts w:hint="cs"/>
          <w:rtl/>
        </w:rPr>
        <w:t>מהלך ציני, מתוכנן, בעיניים פקוחות, בכוונת תחילה.</w:t>
      </w:r>
    </w:p>
    <w:p w:rsidR="00BB59CD" w:rsidRDefault="00BB59CD" w:rsidP="00BB59CD">
      <w:pPr>
        <w:rPr>
          <w:rtl/>
        </w:rPr>
      </w:pPr>
    </w:p>
    <w:p w:rsidR="00BB59CD" w:rsidRDefault="00BB59CD" w:rsidP="00264869">
      <w:pPr>
        <w:rPr>
          <w:rtl/>
        </w:rPr>
      </w:pPr>
      <w:bookmarkStart w:id="68196" w:name="_ETM_Q120_309000"/>
      <w:bookmarkEnd w:id="68196"/>
      <w:r>
        <w:rPr>
          <w:rFonts w:hint="cs"/>
          <w:rtl/>
        </w:rPr>
        <w:t xml:space="preserve">1,000 ימי כיפור לא יעזרו לכם, ממשלת ישראל. כולנו – כל </w:t>
      </w:r>
      <w:bookmarkStart w:id="68197" w:name="_ETM_Q120_313000"/>
      <w:bookmarkEnd w:id="68197"/>
      <w:r>
        <w:rPr>
          <w:rFonts w:hint="cs"/>
          <w:rtl/>
        </w:rPr>
        <w:t xml:space="preserve">אזרח ישראלי, קיווה באיזה שהוא מקום בלב, שאולי, אולי הם </w:t>
      </w:r>
      <w:bookmarkStart w:id="68198" w:name="_ETM_Q120_323000"/>
      <w:bookmarkEnd w:id="68198"/>
      <w:r>
        <w:rPr>
          <w:rFonts w:hint="cs"/>
          <w:rtl/>
        </w:rPr>
        <w:t xml:space="preserve">לא התכוונו לזה. באמת, הרי הם השלטון; הם יכולים הרי </w:t>
      </w:r>
      <w:bookmarkStart w:id="68199" w:name="_ETM_Q120_329000"/>
      <w:bookmarkEnd w:id="68199"/>
      <w:r>
        <w:rPr>
          <w:rFonts w:hint="cs"/>
          <w:rtl/>
        </w:rPr>
        <w:t>להפסיק את הסאגה הזאת בכל רגע נתון</w:t>
      </w:r>
      <w:r w:rsidR="00264869">
        <w:rPr>
          <w:rFonts w:hint="cs"/>
          <w:rtl/>
        </w:rPr>
        <w:t>,</w:t>
      </w:r>
      <w:r>
        <w:rPr>
          <w:rFonts w:hint="cs"/>
          <w:rtl/>
        </w:rPr>
        <w:t xml:space="preserve"> בכל רגע </w:t>
      </w:r>
      <w:bookmarkStart w:id="68200" w:name="_ETM_Q120_332000"/>
      <w:bookmarkEnd w:id="68200"/>
      <w:r>
        <w:rPr>
          <w:rFonts w:hint="cs"/>
          <w:rtl/>
        </w:rPr>
        <w:t xml:space="preserve">נתון. אנחנו, האופוזיציה, מתנגדת. אנחנו מדברים, מבקשים, תעצרו, עושים פיליבסטרים, אבל הרי הממשלה היא שמכוונת את התנועה. הם השלטון, הם </w:t>
      </w:r>
      <w:bookmarkStart w:id="68201" w:name="_ETM_Q120_338000"/>
      <w:bookmarkEnd w:id="68201"/>
      <w:r>
        <w:rPr>
          <w:rFonts w:hint="cs"/>
          <w:rtl/>
        </w:rPr>
        <w:t xml:space="preserve">יכולים להפסיק ברגע. הם יכולים לעשות הכול, הכוח אצלם. </w:t>
      </w:r>
      <w:bookmarkStart w:id="68202" w:name="_ETM_Q120_348000"/>
      <w:bookmarkEnd w:id="68202"/>
      <w:r>
        <w:rPr>
          <w:rFonts w:hint="cs"/>
          <w:rtl/>
        </w:rPr>
        <w:t>הכוח המוחלט, אגב, אצלם.</w:t>
      </w:r>
      <w:bookmarkStart w:id="68203" w:name="_ETM_Q120_350000"/>
      <w:bookmarkEnd w:id="68203"/>
      <w:r w:rsidR="00264869">
        <w:rPr>
          <w:rFonts w:hint="cs"/>
          <w:rtl/>
        </w:rPr>
        <w:t xml:space="preserve"> </w:t>
      </w:r>
      <w:r>
        <w:rPr>
          <w:rFonts w:hint="cs"/>
          <w:rtl/>
        </w:rPr>
        <w:t xml:space="preserve">קיווינו שאולי באמת, אולי הם לא מתכוונים לזה </w:t>
      </w:r>
      <w:bookmarkStart w:id="68204" w:name="_ETM_Q120_355000"/>
      <w:bookmarkEnd w:id="68204"/>
      <w:r>
        <w:rPr>
          <w:rFonts w:hint="cs"/>
          <w:rtl/>
        </w:rPr>
        <w:t>באמת</w:t>
      </w:r>
      <w:r w:rsidR="00264869">
        <w:rPr>
          <w:rFonts w:hint="cs"/>
          <w:rtl/>
        </w:rPr>
        <w:t>,</w:t>
      </w:r>
      <w:r>
        <w:rPr>
          <w:rFonts w:hint="cs"/>
          <w:rtl/>
        </w:rPr>
        <w:t xml:space="preserve"> שהם רואים את הכאב, שהם רואים את הפחד, שהם </w:t>
      </w:r>
      <w:bookmarkStart w:id="68205" w:name="_ETM_Q120_362000"/>
      <w:bookmarkEnd w:id="68205"/>
      <w:r>
        <w:rPr>
          <w:rFonts w:hint="cs"/>
          <w:rtl/>
        </w:rPr>
        <w:t>רואים את הקרע, שיש בהם חמלה</w:t>
      </w:r>
      <w:r w:rsidR="00264869">
        <w:rPr>
          <w:rFonts w:hint="cs"/>
          <w:rtl/>
        </w:rPr>
        <w:t>,</w:t>
      </w:r>
      <w:r>
        <w:rPr>
          <w:rFonts w:hint="cs"/>
          <w:rtl/>
        </w:rPr>
        <w:t xml:space="preserve"> שיש בהם חמלה לעם </w:t>
      </w:r>
      <w:bookmarkStart w:id="68206" w:name="_ETM_Q120_371000"/>
      <w:bookmarkEnd w:id="68206"/>
      <w:r>
        <w:rPr>
          <w:rFonts w:hint="cs"/>
          <w:rtl/>
        </w:rPr>
        <w:t xml:space="preserve">שלהם. חמלה כלפי עם עתיק, עם ששרד ועבר כל כך </w:t>
      </w:r>
      <w:bookmarkStart w:id="68207" w:name="_ETM_Q120_377000"/>
      <w:bookmarkEnd w:id="68207"/>
      <w:r>
        <w:rPr>
          <w:rFonts w:hint="cs"/>
          <w:rtl/>
        </w:rPr>
        <w:t>הרבה</w:t>
      </w:r>
      <w:r w:rsidR="00264869">
        <w:rPr>
          <w:rFonts w:hint="cs"/>
          <w:rtl/>
        </w:rPr>
        <w:t>;</w:t>
      </w:r>
      <w:r>
        <w:rPr>
          <w:rFonts w:hint="cs"/>
          <w:rtl/>
        </w:rPr>
        <w:t xml:space="preserve"> עם ששרד, שרד ושגשג</w:t>
      </w:r>
      <w:r w:rsidR="00264869">
        <w:rPr>
          <w:rFonts w:hint="cs"/>
          <w:rtl/>
        </w:rPr>
        <w:t>,</w:t>
      </w:r>
      <w:r>
        <w:rPr>
          <w:rFonts w:hint="cs"/>
          <w:rtl/>
        </w:rPr>
        <w:t xml:space="preserve"> שרד ונלחם על הביחד</w:t>
      </w:r>
      <w:r w:rsidR="00264869">
        <w:rPr>
          <w:rFonts w:hint="cs"/>
          <w:rtl/>
        </w:rPr>
        <w:t>;</w:t>
      </w:r>
      <w:r>
        <w:rPr>
          <w:rFonts w:hint="cs"/>
          <w:rtl/>
        </w:rPr>
        <w:t xml:space="preserve"> עם </w:t>
      </w:r>
      <w:bookmarkStart w:id="68208" w:name="_ETM_Q120_388000"/>
      <w:bookmarkEnd w:id="68208"/>
      <w:r>
        <w:rPr>
          <w:rFonts w:hint="cs"/>
          <w:rtl/>
        </w:rPr>
        <w:t>עם ערבות הדדית</w:t>
      </w:r>
      <w:r w:rsidR="00264869">
        <w:rPr>
          <w:rFonts w:hint="cs"/>
          <w:rtl/>
        </w:rPr>
        <w:t>,</w:t>
      </w:r>
      <w:r>
        <w:rPr>
          <w:rFonts w:hint="cs"/>
          <w:rtl/>
        </w:rPr>
        <w:t xml:space="preserve"> עם מפואר. אבל לא, לא, אין בהם </w:t>
      </w:r>
      <w:bookmarkStart w:id="68209" w:name="_ETM_Q120_397000"/>
      <w:bookmarkEnd w:id="68209"/>
      <w:r>
        <w:rPr>
          <w:rFonts w:hint="cs"/>
          <w:rtl/>
        </w:rPr>
        <w:t xml:space="preserve">חמלה. הם רוצים למשול. הם רוצים למשול. הם באו למשול. </w:t>
      </w:r>
      <w:bookmarkStart w:id="68210" w:name="_ETM_Q120_409000"/>
      <w:bookmarkEnd w:id="68210"/>
      <w:r>
        <w:rPr>
          <w:rFonts w:hint="cs"/>
          <w:rtl/>
        </w:rPr>
        <w:t>אבל מה שהם לא סיפרו זה שהם באו למשול לבד</w:t>
      </w:r>
      <w:bookmarkStart w:id="68211" w:name="_ETM_Q120_415000"/>
      <w:bookmarkEnd w:id="68211"/>
      <w:r w:rsidR="00264869">
        <w:rPr>
          <w:rFonts w:hint="cs"/>
          <w:rtl/>
        </w:rPr>
        <w:t>,</w:t>
      </w:r>
      <w:r>
        <w:rPr>
          <w:rFonts w:hint="cs"/>
          <w:rtl/>
        </w:rPr>
        <w:t xml:space="preserve"> שהם באו למשול לנצח, ולהפוך את ישראל האהובה שלנו למדינה </w:t>
      </w:r>
      <w:bookmarkStart w:id="68212" w:name="_ETM_Q120_424000"/>
      <w:bookmarkEnd w:id="68212"/>
      <w:r>
        <w:rPr>
          <w:rFonts w:hint="cs"/>
          <w:rtl/>
        </w:rPr>
        <w:t xml:space="preserve">חשוכה, למדינת הלכה. מדינה של בורים ועמי ארצות. מדינה של </w:t>
      </w:r>
      <w:bookmarkStart w:id="68213" w:name="_ETM_Q120_432000"/>
      <w:bookmarkEnd w:id="68213"/>
      <w:r>
        <w:rPr>
          <w:rFonts w:hint="cs"/>
          <w:rtl/>
        </w:rPr>
        <w:t xml:space="preserve">ימי הביניים, שאף אחד אבל אף אחד לא יהיה מעליהם. </w:t>
      </w:r>
      <w:bookmarkStart w:id="68214" w:name="_ETM_Q120_439000"/>
      <w:bookmarkEnd w:id="68214"/>
      <w:r>
        <w:rPr>
          <w:rFonts w:hint="cs"/>
          <w:rtl/>
        </w:rPr>
        <w:t>שאף אחד לא יפקח עליהם.</w:t>
      </w:r>
    </w:p>
    <w:p w:rsidR="00BB59CD" w:rsidRDefault="00BB59CD" w:rsidP="00BB59CD">
      <w:pPr>
        <w:rPr>
          <w:rtl/>
        </w:rPr>
      </w:pPr>
      <w:bookmarkStart w:id="68215" w:name="_ETM_Q120_418653"/>
      <w:bookmarkStart w:id="68216" w:name="_ETM_Q120_418730"/>
      <w:bookmarkEnd w:id="68215"/>
      <w:bookmarkEnd w:id="68216"/>
    </w:p>
    <w:p w:rsidR="00264869" w:rsidRDefault="00BB59CD" w:rsidP="00264869">
      <w:pPr>
        <w:rPr>
          <w:rtl/>
        </w:rPr>
      </w:pPr>
      <w:bookmarkStart w:id="68217" w:name="_ETM_Q120_418777"/>
      <w:bookmarkStart w:id="68218" w:name="_ETM_Q120_418863"/>
      <w:bookmarkEnd w:id="68217"/>
      <w:bookmarkEnd w:id="68218"/>
      <w:r>
        <w:rPr>
          <w:rFonts w:hint="cs"/>
          <w:rtl/>
        </w:rPr>
        <w:t xml:space="preserve">המשטרה שלהם, הצבא שלהם </w:t>
      </w:r>
      <w:bookmarkStart w:id="68219" w:name="_ETM_Q120_442000"/>
      <w:bookmarkEnd w:id="68219"/>
      <w:r w:rsidR="00264869">
        <w:rPr>
          <w:rFonts w:hint="eastAsia"/>
          <w:rtl/>
        </w:rPr>
        <w:t>–</w:t>
      </w:r>
      <w:r w:rsidR="00264869">
        <w:rPr>
          <w:rFonts w:hint="cs"/>
          <w:rtl/>
        </w:rPr>
        <w:t xml:space="preserve"> </w:t>
      </w:r>
      <w:r>
        <w:rPr>
          <w:rFonts w:hint="cs"/>
          <w:rtl/>
        </w:rPr>
        <w:t xml:space="preserve">כי שלמה קרעי, אגב, כבר הודיע שצריך לחסל את צבא </w:t>
      </w:r>
      <w:bookmarkStart w:id="68220" w:name="_ETM_Q120_449000"/>
      <w:bookmarkEnd w:id="68220"/>
      <w:r>
        <w:rPr>
          <w:rFonts w:hint="cs"/>
          <w:rtl/>
        </w:rPr>
        <w:t xml:space="preserve">העם ולהפוך לצבא שכיר. </w:t>
      </w:r>
      <w:bookmarkStart w:id="68221" w:name="_ETM_Q120_293000"/>
      <w:bookmarkEnd w:id="68221"/>
      <w:r>
        <w:rPr>
          <w:rFonts w:hint="cs"/>
          <w:rtl/>
        </w:rPr>
        <w:t>מה, זה יותר פשוט</w:t>
      </w:r>
      <w:r w:rsidR="00264869">
        <w:rPr>
          <w:rFonts w:hint="cs"/>
          <w:rtl/>
        </w:rPr>
        <w:t>,</w:t>
      </w:r>
      <w:r>
        <w:rPr>
          <w:rFonts w:hint="cs"/>
          <w:rtl/>
        </w:rPr>
        <w:t xml:space="preserve"> </w:t>
      </w:r>
      <w:bookmarkStart w:id="68222" w:name="_ETM_Q120_454000"/>
      <w:bookmarkEnd w:id="68222"/>
      <w:r>
        <w:rPr>
          <w:rFonts w:hint="cs"/>
          <w:rtl/>
        </w:rPr>
        <w:t xml:space="preserve">יש לי אנשים שלא מתגייסים, אני הולך ללמד את העם איך לא להתגייס </w:t>
      </w:r>
      <w:bookmarkStart w:id="68223" w:name="_ETM_Q120_452000"/>
      <w:bookmarkEnd w:id="68223"/>
      <w:r>
        <w:rPr>
          <w:rFonts w:hint="cs"/>
          <w:rtl/>
        </w:rPr>
        <w:t xml:space="preserve">ולהשתמט מהצבא, לא לעבוד, לא לשרת, לא לעשות </w:t>
      </w:r>
      <w:bookmarkStart w:id="68224" w:name="_ETM_Q120_456000"/>
      <w:bookmarkEnd w:id="68224"/>
      <w:r>
        <w:rPr>
          <w:rFonts w:hint="cs"/>
          <w:rtl/>
        </w:rPr>
        <w:t>כלום. לחיות פה במדינה – וא</w:t>
      </w:r>
      <w:r w:rsidR="00264869">
        <w:rPr>
          <w:rFonts w:hint="cs"/>
          <w:rtl/>
        </w:rPr>
        <w:t>ל</w:t>
      </w:r>
      <w:r>
        <w:rPr>
          <w:rFonts w:hint="cs"/>
          <w:rtl/>
        </w:rPr>
        <w:t>לה</w:t>
      </w:r>
      <w:r w:rsidR="00264869">
        <w:rPr>
          <w:rFonts w:hint="cs"/>
          <w:rtl/>
        </w:rPr>
        <w:t>,</w:t>
      </w:r>
      <w:r>
        <w:rPr>
          <w:rFonts w:hint="cs"/>
          <w:rtl/>
        </w:rPr>
        <w:t xml:space="preserve"> סבבה. אז לא </w:t>
      </w:r>
      <w:bookmarkStart w:id="68225" w:name="_ETM_Q120_464000"/>
      <w:bookmarkEnd w:id="68225"/>
      <w:r>
        <w:rPr>
          <w:rFonts w:hint="cs"/>
          <w:rtl/>
        </w:rPr>
        <w:t xml:space="preserve">יישאר לי צבא. אני הולך להעביר כאן חוק שמאשר </w:t>
      </w:r>
      <w:bookmarkStart w:id="68226" w:name="_ETM_Q120_467000"/>
      <w:bookmarkEnd w:id="68226"/>
      <w:r>
        <w:rPr>
          <w:rFonts w:hint="cs"/>
          <w:rtl/>
        </w:rPr>
        <w:t>את כל זה</w:t>
      </w:r>
      <w:r w:rsidR="00264869">
        <w:rPr>
          <w:rFonts w:hint="cs"/>
          <w:rtl/>
        </w:rPr>
        <w:t>.</w:t>
      </w:r>
      <w:r>
        <w:rPr>
          <w:rFonts w:hint="cs"/>
          <w:rtl/>
        </w:rPr>
        <w:t xml:space="preserve"> אז בוא</w:t>
      </w:r>
      <w:r w:rsidR="00264869">
        <w:rPr>
          <w:rFonts w:hint="cs"/>
          <w:rtl/>
        </w:rPr>
        <w:t>ו</w:t>
      </w:r>
      <w:r>
        <w:rPr>
          <w:rFonts w:hint="cs"/>
          <w:rtl/>
        </w:rPr>
        <w:t xml:space="preserve"> נסגור את צבא העם, אחד </w:t>
      </w:r>
      <w:bookmarkStart w:id="68227" w:name="_ETM_Q120_474000"/>
      <w:bookmarkEnd w:id="68227"/>
      <w:r>
        <w:rPr>
          <w:rFonts w:hint="cs"/>
          <w:rtl/>
        </w:rPr>
        <w:t>הדברים היותר</w:t>
      </w:r>
      <w:r w:rsidR="00264869">
        <w:rPr>
          <w:rFonts w:hint="cs"/>
          <w:rtl/>
        </w:rPr>
        <w:t>-</w:t>
      </w:r>
      <w:r>
        <w:rPr>
          <w:rFonts w:hint="cs"/>
          <w:rtl/>
        </w:rPr>
        <w:t xml:space="preserve">נפלאים שקרו כאן מקום המדינה, שלא נדבר על </w:t>
      </w:r>
      <w:bookmarkStart w:id="68228" w:name="_ETM_Q120_475000"/>
      <w:bookmarkEnd w:id="68228"/>
      <w:r>
        <w:rPr>
          <w:rFonts w:hint="cs"/>
          <w:rtl/>
        </w:rPr>
        <w:t xml:space="preserve">הביטחון שזה נותן לנו. לא, לא, ונהפוך את זה </w:t>
      </w:r>
      <w:bookmarkStart w:id="68229" w:name="_ETM_Q120_476000"/>
      <w:bookmarkEnd w:id="68229"/>
      <w:r>
        <w:rPr>
          <w:rFonts w:hint="cs"/>
          <w:rtl/>
        </w:rPr>
        <w:t>לצבא שכירים.</w:t>
      </w:r>
      <w:bookmarkStart w:id="68230" w:name="_ETM_Q120_478000"/>
      <w:bookmarkEnd w:id="68230"/>
      <w:r w:rsidR="00264869">
        <w:rPr>
          <w:rFonts w:hint="cs"/>
          <w:rtl/>
        </w:rPr>
        <w:t xml:space="preserve"> </w:t>
      </w:r>
      <w:r>
        <w:rPr>
          <w:rFonts w:hint="cs"/>
          <w:rtl/>
        </w:rPr>
        <w:t xml:space="preserve">אבל יש לי שאלה אליך, שלמה קרעי: אם הממשלה </w:t>
      </w:r>
      <w:bookmarkStart w:id="68231" w:name="_ETM_Q120_484000"/>
      <w:bookmarkEnd w:id="68231"/>
      <w:r>
        <w:rPr>
          <w:rFonts w:hint="cs"/>
          <w:rtl/>
        </w:rPr>
        <w:t xml:space="preserve">שאתה משרת גם לא משרתת בצבא וגם לא עובדת, </w:t>
      </w:r>
      <w:bookmarkStart w:id="68232" w:name="_ETM_Q120_487000"/>
      <w:bookmarkEnd w:id="68232"/>
      <w:r>
        <w:rPr>
          <w:rFonts w:hint="cs"/>
          <w:rtl/>
        </w:rPr>
        <w:t xml:space="preserve">אז מי אמור גם לשרת וגם לעבוד? אה, רגע, אנחנו </w:t>
      </w:r>
      <w:r w:rsidR="00264869">
        <w:rPr>
          <w:rFonts w:hint="cs"/>
          <w:rtl/>
        </w:rPr>
        <w:t xml:space="preserve">כבר </w:t>
      </w:r>
      <w:r>
        <w:rPr>
          <w:rFonts w:hint="cs"/>
          <w:rtl/>
        </w:rPr>
        <w:t>עושים</w:t>
      </w:r>
      <w:r w:rsidR="00264869">
        <w:rPr>
          <w:rFonts w:hint="cs"/>
          <w:rtl/>
        </w:rPr>
        <w:t xml:space="preserve"> גם את זה</w:t>
      </w:r>
      <w:r>
        <w:rPr>
          <w:rFonts w:hint="cs"/>
          <w:rtl/>
        </w:rPr>
        <w:t>. איש חצוף ובזוי.</w:t>
      </w:r>
      <w:bookmarkStart w:id="68233" w:name="_ETM_Q120_497000"/>
      <w:bookmarkStart w:id="68234" w:name="_ETM_Q120_498000"/>
      <w:bookmarkEnd w:id="68233"/>
      <w:bookmarkEnd w:id="68234"/>
      <w:r>
        <w:rPr>
          <w:rFonts w:hint="cs"/>
          <w:rtl/>
        </w:rPr>
        <w:t xml:space="preserve"> ברור לאן הוא </w:t>
      </w:r>
      <w:bookmarkStart w:id="68235" w:name="_ETM_Q120_500000"/>
      <w:bookmarkEnd w:id="68235"/>
      <w:r>
        <w:rPr>
          <w:rFonts w:hint="cs"/>
          <w:rtl/>
        </w:rPr>
        <w:t>והחברים החשוכים שלו רוצים לקחת את המדינה</w:t>
      </w:r>
      <w:r w:rsidR="00264869">
        <w:rPr>
          <w:rFonts w:hint="cs"/>
          <w:rtl/>
        </w:rPr>
        <w:t>.</w:t>
      </w:r>
      <w:r>
        <w:rPr>
          <w:rFonts w:hint="cs"/>
          <w:rtl/>
        </w:rPr>
        <w:t xml:space="preserve"> </w:t>
      </w:r>
    </w:p>
    <w:p w:rsidR="00264869" w:rsidRDefault="00264869" w:rsidP="00264869">
      <w:pPr>
        <w:rPr>
          <w:rtl/>
        </w:rPr>
      </w:pPr>
    </w:p>
    <w:p w:rsidR="00BB59CD" w:rsidRDefault="00BB59CD" w:rsidP="00264869">
      <w:pPr>
        <w:rPr>
          <w:rtl/>
        </w:rPr>
      </w:pPr>
      <w:r>
        <w:rPr>
          <w:rFonts w:hint="cs"/>
          <w:rtl/>
        </w:rPr>
        <w:t xml:space="preserve">אבל לפני הצבא, יש לשלמה קרעי קודם משימה מיוחדת: </w:t>
      </w:r>
      <w:bookmarkStart w:id="68236" w:name="_ETM_Q120_502000"/>
      <w:bookmarkEnd w:id="68236"/>
      <w:r>
        <w:rPr>
          <w:rFonts w:hint="cs"/>
          <w:rtl/>
        </w:rPr>
        <w:t xml:space="preserve">הוא קודם </w:t>
      </w:r>
      <w:bookmarkStart w:id="68237" w:name="_ETM_Q120_504000"/>
      <w:bookmarkEnd w:id="68237"/>
      <w:r>
        <w:rPr>
          <w:rFonts w:hint="cs"/>
          <w:rtl/>
        </w:rPr>
        <w:t xml:space="preserve">הולך להרוס את התקשורת. קודם הוא הולך להרוס </w:t>
      </w:r>
      <w:bookmarkStart w:id="68238" w:name="_ETM_Q120_513000"/>
      <w:bookmarkEnd w:id="68238"/>
      <w:r>
        <w:rPr>
          <w:rFonts w:hint="cs"/>
          <w:rtl/>
        </w:rPr>
        <w:t xml:space="preserve">את כל גופי התקשורת ולסתום פשוט לכולנו את הפה. אמרנו </w:t>
      </w:r>
      <w:bookmarkStart w:id="68239" w:name="_ETM_Q120_517000"/>
      <w:bookmarkEnd w:id="68239"/>
      <w:r>
        <w:rPr>
          <w:rFonts w:hint="cs"/>
          <w:rtl/>
        </w:rPr>
        <w:t xml:space="preserve">דיקטטורה, לא? בואו, חבר'ה, אנחנו מדברים על דיקטטורה. צריך לעמוד לפחות בסטנדרטים בסיסיים – </w:t>
      </w:r>
      <w:r w:rsidR="00264869">
        <w:rPr>
          <w:rFonts w:hint="cs"/>
          <w:rtl/>
        </w:rPr>
        <w:t xml:space="preserve">זה </w:t>
      </w:r>
      <w:r>
        <w:rPr>
          <w:rFonts w:hint="cs"/>
          <w:rtl/>
        </w:rPr>
        <w:t xml:space="preserve">סתימת פיות, זה שלטון מעל החוק, </w:t>
      </w:r>
      <w:bookmarkStart w:id="68240" w:name="_ETM_Q120_521000"/>
      <w:bookmarkEnd w:id="68240"/>
      <w:r>
        <w:rPr>
          <w:rFonts w:hint="cs"/>
          <w:rtl/>
        </w:rPr>
        <w:t xml:space="preserve">זה </w:t>
      </w:r>
      <w:r w:rsidR="00264869">
        <w:rPr>
          <w:rFonts w:hint="cs"/>
          <w:rtl/>
        </w:rPr>
        <w:t>ש</w:t>
      </w:r>
      <w:r>
        <w:rPr>
          <w:rFonts w:hint="cs"/>
          <w:rtl/>
        </w:rPr>
        <w:t xml:space="preserve">אף אחד לא יכול להגיד לשלטון מה לעשות, </w:t>
      </w:r>
      <w:bookmarkStart w:id="68241" w:name="_ETM_Q120_526000"/>
      <w:bookmarkEnd w:id="68241"/>
      <w:r>
        <w:rPr>
          <w:rFonts w:hint="cs"/>
          <w:rtl/>
        </w:rPr>
        <w:t>כאלה. על הדרך אצלנו בדיקטטורה גם יש אנשים פירומנים</w:t>
      </w:r>
      <w:r w:rsidR="00264869">
        <w:rPr>
          <w:rFonts w:hint="cs"/>
          <w:rtl/>
        </w:rPr>
        <w:t>,</w:t>
      </w:r>
      <w:r>
        <w:rPr>
          <w:rFonts w:hint="cs"/>
          <w:rtl/>
        </w:rPr>
        <w:t xml:space="preserve"> קצת </w:t>
      </w:r>
      <w:bookmarkStart w:id="68242" w:name="_ETM_Q120_530000"/>
      <w:bookmarkEnd w:id="68242"/>
      <w:r>
        <w:rPr>
          <w:rFonts w:hint="cs"/>
          <w:rtl/>
        </w:rPr>
        <w:t>מופרעים, תומכי טרור, מורשעים בטרור, עבריינים מורשעים וכו' וכו</w:t>
      </w:r>
      <w:bookmarkStart w:id="68243" w:name="_ETM_Q120_532000"/>
      <w:bookmarkEnd w:id="68243"/>
      <w:r>
        <w:rPr>
          <w:rFonts w:hint="cs"/>
          <w:rtl/>
        </w:rPr>
        <w:t xml:space="preserve">', ראש ממשלה עם כתבי אישום. אתם יודעים, זה לא </w:t>
      </w:r>
      <w:bookmarkStart w:id="68244" w:name="_ETM_Q120_534000"/>
      <w:bookmarkEnd w:id="68244"/>
      <w:r>
        <w:rPr>
          <w:rFonts w:hint="cs"/>
          <w:rtl/>
        </w:rPr>
        <w:t>חובה, בדיקטטורה</w:t>
      </w:r>
      <w:r w:rsidR="00264869">
        <w:rPr>
          <w:rFonts w:hint="cs"/>
          <w:rtl/>
        </w:rPr>
        <w:t>,</w:t>
      </w:r>
      <w:r>
        <w:rPr>
          <w:rFonts w:hint="cs"/>
          <w:rtl/>
        </w:rPr>
        <w:t xml:space="preserve"> זה הבונוס שאנחנו קיבלנו במדינת ישראל.</w:t>
      </w:r>
    </w:p>
    <w:p w:rsidR="00BB59CD" w:rsidRDefault="00BB59CD" w:rsidP="00BB59CD">
      <w:pPr>
        <w:rPr>
          <w:rtl/>
        </w:rPr>
      </w:pPr>
    </w:p>
    <w:p w:rsidR="00BB59CD" w:rsidRDefault="00BB59CD" w:rsidP="00264869">
      <w:pPr>
        <w:rPr>
          <w:rtl/>
        </w:rPr>
      </w:pPr>
      <w:bookmarkStart w:id="68245" w:name="_ETM_Q120_539000"/>
      <w:bookmarkEnd w:id="68245"/>
      <w:r>
        <w:rPr>
          <w:rFonts w:hint="cs"/>
          <w:rtl/>
        </w:rPr>
        <w:t xml:space="preserve">בכאב גדול אני </w:t>
      </w:r>
      <w:bookmarkStart w:id="68246" w:name="_ETM_Q120_548000"/>
      <w:bookmarkEnd w:id="68246"/>
      <w:r>
        <w:rPr>
          <w:rFonts w:hint="cs"/>
          <w:rtl/>
        </w:rPr>
        <w:t xml:space="preserve">אומרת שאנחנו נילחם על הבית השלישי בכל הכוח. ואם צריך, </w:t>
      </w:r>
      <w:bookmarkStart w:id="68247" w:name="_ETM_Q120_558000"/>
      <w:bookmarkEnd w:id="68247"/>
      <w:r>
        <w:rPr>
          <w:rFonts w:hint="cs"/>
          <w:rtl/>
        </w:rPr>
        <w:t xml:space="preserve">אנחנו נבנה גם רביעי וחמישי ושישי, פשוט כי אין לנו </w:t>
      </w:r>
      <w:bookmarkStart w:id="68248" w:name="_ETM_Q120_565000"/>
      <w:bookmarkEnd w:id="68248"/>
      <w:r>
        <w:rPr>
          <w:rFonts w:hint="cs"/>
          <w:rtl/>
        </w:rPr>
        <w:t xml:space="preserve">ארץ אחרת. אין לנו בית אחר. אם מישהו כאן חושב </w:t>
      </w:r>
      <w:bookmarkStart w:id="68249" w:name="_ETM_Q120_564000"/>
      <w:bookmarkEnd w:id="68249"/>
      <w:r>
        <w:rPr>
          <w:rFonts w:hint="cs"/>
          <w:rtl/>
        </w:rPr>
        <w:t xml:space="preserve">שמישהו כאן הולך להתקפל ולהגיד: טוב, סבבה – לא, לא, זה לא הולך לקרות. המחאה הזו היא מחאה שקטה; המחאה </w:t>
      </w:r>
      <w:bookmarkStart w:id="68250" w:name="_ETM_Q120_575000"/>
      <w:bookmarkEnd w:id="68250"/>
      <w:r>
        <w:rPr>
          <w:rFonts w:hint="cs"/>
          <w:rtl/>
        </w:rPr>
        <w:t>הזו היא מחאה ציונית; המחאה הזו היא מחאת דגלים</w:t>
      </w:r>
      <w:r w:rsidR="00264869">
        <w:rPr>
          <w:rFonts w:hint="cs"/>
          <w:rtl/>
        </w:rPr>
        <w:t>,</w:t>
      </w:r>
      <w:r>
        <w:rPr>
          <w:rFonts w:hint="cs"/>
          <w:rtl/>
        </w:rPr>
        <w:t xml:space="preserve"> אבל </w:t>
      </w:r>
      <w:bookmarkStart w:id="68251" w:name="_ETM_Q120_583000"/>
      <w:bookmarkEnd w:id="68251"/>
      <w:r>
        <w:rPr>
          <w:rFonts w:hint="cs"/>
          <w:rtl/>
        </w:rPr>
        <w:t xml:space="preserve">שלא תטעו </w:t>
      </w:r>
      <w:r w:rsidR="00264869">
        <w:rPr>
          <w:rFonts w:hint="eastAsia"/>
          <w:rtl/>
        </w:rPr>
        <w:t>–</w:t>
      </w:r>
      <w:r w:rsidR="00264869">
        <w:rPr>
          <w:rFonts w:hint="cs"/>
          <w:rtl/>
        </w:rPr>
        <w:t xml:space="preserve"> </w:t>
      </w:r>
      <w:r>
        <w:rPr>
          <w:rFonts w:hint="cs"/>
          <w:rtl/>
        </w:rPr>
        <w:t>יושבים שם טייסים שלנו</w:t>
      </w:r>
      <w:r w:rsidR="00264869">
        <w:rPr>
          <w:rFonts w:hint="cs"/>
          <w:rtl/>
        </w:rPr>
        <w:t>,</w:t>
      </w:r>
      <w:r>
        <w:rPr>
          <w:rFonts w:hint="cs"/>
          <w:rtl/>
        </w:rPr>
        <w:t xml:space="preserve"> יושבים שם חיילים </w:t>
      </w:r>
      <w:bookmarkStart w:id="68252" w:name="_ETM_Q120_579000"/>
      <w:bookmarkEnd w:id="68252"/>
      <w:r>
        <w:rPr>
          <w:rFonts w:hint="cs"/>
          <w:rtl/>
        </w:rPr>
        <w:t>שלנו</w:t>
      </w:r>
      <w:r w:rsidR="00264869">
        <w:rPr>
          <w:rFonts w:hint="cs"/>
          <w:rtl/>
        </w:rPr>
        <w:t>,</w:t>
      </w:r>
      <w:r>
        <w:rPr>
          <w:rFonts w:hint="cs"/>
          <w:rtl/>
        </w:rPr>
        <w:t xml:space="preserve"> מלח הארץ שלנו</w:t>
      </w:r>
      <w:r w:rsidR="00264869">
        <w:rPr>
          <w:rFonts w:hint="cs"/>
          <w:rtl/>
        </w:rPr>
        <w:t>.</w:t>
      </w:r>
      <w:r>
        <w:rPr>
          <w:rFonts w:hint="cs"/>
          <w:rtl/>
        </w:rPr>
        <w:t xml:space="preserve"> אף אחד לא הולך לוותר </w:t>
      </w:r>
      <w:bookmarkStart w:id="68253" w:name="_ETM_Q120_591000"/>
      <w:bookmarkEnd w:id="68253"/>
      <w:r>
        <w:rPr>
          <w:rFonts w:hint="cs"/>
          <w:rtl/>
        </w:rPr>
        <w:t xml:space="preserve">בעניין הזה. </w:t>
      </w:r>
      <w:bookmarkStart w:id="68254" w:name="_ETM_Q120_549603"/>
      <w:bookmarkStart w:id="68255" w:name="_ETM_Q120_549659"/>
      <w:bookmarkStart w:id="68256" w:name="_ETM_Q120_549723"/>
      <w:bookmarkStart w:id="68257" w:name="_ETM_Q120_549775"/>
      <w:bookmarkEnd w:id="68254"/>
      <w:bookmarkEnd w:id="68255"/>
      <w:bookmarkEnd w:id="68256"/>
      <w:bookmarkEnd w:id="68257"/>
      <w:r>
        <w:rPr>
          <w:rFonts w:hint="cs"/>
          <w:rtl/>
        </w:rPr>
        <w:t xml:space="preserve">זה שובר את הלב מה </w:t>
      </w:r>
      <w:bookmarkStart w:id="68258" w:name="_ETM_Q120_594000"/>
      <w:bookmarkEnd w:id="68258"/>
      <w:r>
        <w:rPr>
          <w:rFonts w:hint="cs"/>
          <w:rtl/>
        </w:rPr>
        <w:t xml:space="preserve">שזה עושה בעם; זה שובר את הלב שממשלה שיכולה ללחוץ </w:t>
      </w:r>
      <w:bookmarkStart w:id="68259" w:name="_ETM_Q120_595000"/>
      <w:bookmarkEnd w:id="68259"/>
      <w:r>
        <w:rPr>
          <w:rFonts w:hint="cs"/>
          <w:rtl/>
        </w:rPr>
        <w:t xml:space="preserve">על הברקס בכל רגע נתון מסרבת לעשות את זה ומצעידה </w:t>
      </w:r>
      <w:bookmarkStart w:id="68260" w:name="_ETM_Q120_602000"/>
      <w:bookmarkEnd w:id="68260"/>
      <w:r>
        <w:rPr>
          <w:rFonts w:hint="cs"/>
          <w:rtl/>
        </w:rPr>
        <w:t xml:space="preserve">את כולנו לתהום. זה שובר את הלב אבל נצח ישראל </w:t>
      </w:r>
      <w:bookmarkStart w:id="68261" w:name="_ETM_Q120_607000"/>
      <w:bookmarkEnd w:id="68261"/>
      <w:r>
        <w:rPr>
          <w:rFonts w:hint="cs"/>
          <w:rtl/>
        </w:rPr>
        <w:t xml:space="preserve">לא ישקר. אין לנו בית אחר. סיימנו לפחד. סיימנו </w:t>
      </w:r>
      <w:bookmarkStart w:id="68262" w:name="_ETM_Q120_614000"/>
      <w:bookmarkEnd w:id="68262"/>
      <w:r>
        <w:rPr>
          <w:rFonts w:hint="cs"/>
          <w:rtl/>
        </w:rPr>
        <w:t>להתקפל מולם</w:t>
      </w:r>
      <w:r w:rsidR="00264869">
        <w:rPr>
          <w:rFonts w:hint="cs"/>
          <w:rtl/>
        </w:rPr>
        <w:t>,</w:t>
      </w:r>
      <w:r>
        <w:rPr>
          <w:rFonts w:hint="cs"/>
          <w:rtl/>
        </w:rPr>
        <w:t xml:space="preserve"> כי רבותיי, ההיסטוריה חוזרת. מבעירי האסמים שוב </w:t>
      </w:r>
      <w:bookmarkStart w:id="68263" w:name="_ETM_Q120_617000"/>
      <w:bookmarkEnd w:id="68263"/>
      <w:r>
        <w:rPr>
          <w:rFonts w:hint="cs"/>
          <w:rtl/>
        </w:rPr>
        <w:t>מתעוררים בחודש אב, ובאים בשם הקנאות לחסל את העצמאות הישראלית.</w:t>
      </w:r>
      <w:r w:rsidR="00264869">
        <w:rPr>
          <w:rFonts w:hint="cs"/>
          <w:rtl/>
        </w:rPr>
        <w:t xml:space="preserve"> </w:t>
      </w:r>
      <w:r>
        <w:rPr>
          <w:rFonts w:hint="cs"/>
          <w:rtl/>
        </w:rPr>
        <w:t>א</w:t>
      </w:r>
      <w:bookmarkStart w:id="68264" w:name="_ETM_Q120_631000"/>
      <w:bookmarkEnd w:id="68264"/>
      <w:r>
        <w:rPr>
          <w:rFonts w:hint="cs"/>
          <w:rtl/>
        </w:rPr>
        <w:t xml:space="preserve">נחנו </w:t>
      </w:r>
      <w:bookmarkStart w:id="68265" w:name="_ETM_Q120_632000"/>
      <w:bookmarkEnd w:id="68265"/>
      <w:r>
        <w:rPr>
          <w:rFonts w:hint="cs"/>
          <w:rtl/>
        </w:rPr>
        <w:t>לא ניתן לסוסים טרויאני</w:t>
      </w:r>
      <w:r w:rsidR="00264869">
        <w:rPr>
          <w:rFonts w:hint="cs"/>
          <w:rtl/>
        </w:rPr>
        <w:t>י</w:t>
      </w:r>
      <w:r>
        <w:rPr>
          <w:rFonts w:hint="cs"/>
          <w:rtl/>
        </w:rPr>
        <w:t xml:space="preserve">ם, ממלכת יחיד, להשתלט על ישראל היהודית. </w:t>
      </w:r>
      <w:bookmarkStart w:id="68266" w:name="_ETM_Q120_639000"/>
      <w:bookmarkEnd w:id="68266"/>
      <w:r>
        <w:rPr>
          <w:rFonts w:hint="cs"/>
          <w:rtl/>
        </w:rPr>
        <w:t xml:space="preserve">זה או-או. אין יותר הסכמה שבשתיקה; אין יותר הסכמה לעבריינות </w:t>
      </w:r>
      <w:bookmarkStart w:id="68267" w:name="_ETM_Q120_645000"/>
      <w:bookmarkEnd w:id="68267"/>
      <w:r>
        <w:rPr>
          <w:rFonts w:hint="cs"/>
          <w:rtl/>
        </w:rPr>
        <w:t xml:space="preserve">אידיאולוגית; אין יותר אכיפה לא קיימת כנגד פורעים בשם היהדות; </w:t>
      </w:r>
      <w:bookmarkStart w:id="68268" w:name="_ETM_Q120_651000"/>
      <w:bookmarkEnd w:id="68268"/>
      <w:r>
        <w:rPr>
          <w:rFonts w:hint="cs"/>
          <w:rtl/>
        </w:rPr>
        <w:t xml:space="preserve">אין יותר אי-נשיאה בנטל. אין יותר אי-השתתפות בכוח </w:t>
      </w:r>
      <w:bookmarkStart w:id="68269" w:name="_ETM_Q120_660000"/>
      <w:bookmarkEnd w:id="68269"/>
      <w:r>
        <w:rPr>
          <w:rFonts w:hint="cs"/>
          <w:rtl/>
        </w:rPr>
        <w:t xml:space="preserve">העבודה. אין ולא תהיה כל פשרה על הדמוקרטיה הישראלית ועל </w:t>
      </w:r>
      <w:bookmarkStart w:id="68270" w:name="_ETM_Q120_668000"/>
      <w:bookmarkEnd w:id="68270"/>
      <w:r>
        <w:rPr>
          <w:rFonts w:hint="cs"/>
          <w:rtl/>
        </w:rPr>
        <w:t>שלטון החוק.</w:t>
      </w:r>
    </w:p>
    <w:p w:rsidR="00BB59CD" w:rsidRDefault="00BB59CD" w:rsidP="00BB59CD">
      <w:pPr>
        <w:rPr>
          <w:rtl/>
        </w:rPr>
      </w:pPr>
    </w:p>
    <w:p w:rsidR="00BB59CD" w:rsidRDefault="00BB59CD" w:rsidP="00264869">
      <w:pPr>
        <w:rPr>
          <w:rtl/>
        </w:rPr>
      </w:pPr>
      <w:bookmarkStart w:id="68271" w:name="_ETM_Q120_665000"/>
      <w:bookmarkEnd w:id="68271"/>
      <w:r>
        <w:rPr>
          <w:rFonts w:hint="cs"/>
          <w:rtl/>
        </w:rPr>
        <w:t xml:space="preserve">כפי שמורי ורבי מנחם בגין ז"ל אמר: "ובמדינתנו פנימה יהיה הצדק השליט העליון, השליט גם על שליטיה" – ואם </w:t>
      </w:r>
      <w:bookmarkStart w:id="68272" w:name="_ETM_Q120_683000"/>
      <w:bookmarkEnd w:id="68272"/>
      <w:r>
        <w:rPr>
          <w:rFonts w:hint="cs"/>
          <w:rtl/>
        </w:rPr>
        <w:t xml:space="preserve">זה לא נאה לכם, ממשלת החושך, בהצלחה, כי מדינת ישראל </w:t>
      </w:r>
      <w:bookmarkStart w:id="68273" w:name="_ETM_Q120_690000"/>
      <w:bookmarkEnd w:id="68273"/>
      <w:r>
        <w:rPr>
          <w:rFonts w:hint="cs"/>
          <w:rtl/>
        </w:rPr>
        <w:t xml:space="preserve">לנצח תישאר גם יהודית וגם דמוקרטית. אנחנו לא </w:t>
      </w:r>
      <w:bookmarkStart w:id="68274" w:name="_ETM_Q120_696000"/>
      <w:bookmarkEnd w:id="68274"/>
      <w:r>
        <w:rPr>
          <w:rFonts w:hint="cs"/>
          <w:rtl/>
        </w:rPr>
        <w:t xml:space="preserve">ניתן לכם למחוק את המילה </w:t>
      </w:r>
      <w:r w:rsidR="00264869">
        <w:rPr>
          <w:rFonts w:hint="cs"/>
          <w:rtl/>
        </w:rPr>
        <w:t>"</w:t>
      </w:r>
      <w:r>
        <w:rPr>
          <w:rFonts w:hint="cs"/>
          <w:rtl/>
        </w:rPr>
        <w:t>דמוקרטית</w:t>
      </w:r>
      <w:r w:rsidR="00264869">
        <w:rPr>
          <w:rFonts w:hint="cs"/>
          <w:rtl/>
        </w:rPr>
        <w:t>"</w:t>
      </w:r>
      <w:r>
        <w:rPr>
          <w:rFonts w:hint="cs"/>
          <w:rtl/>
        </w:rPr>
        <w:t xml:space="preserve">, וגם לא את המשמעות </w:t>
      </w:r>
      <w:bookmarkStart w:id="68275" w:name="_ETM_Q120_701000"/>
      <w:bookmarkEnd w:id="68275"/>
      <w:r>
        <w:rPr>
          <w:rFonts w:hint="cs"/>
          <w:rtl/>
        </w:rPr>
        <w:t xml:space="preserve">שלה. אנחנו לא ניתן לכם לעוות את היהדות או לדבר </w:t>
      </w:r>
      <w:bookmarkStart w:id="68276" w:name="_ETM_Q120_706000"/>
      <w:bookmarkEnd w:id="68276"/>
      <w:r>
        <w:rPr>
          <w:rFonts w:hint="cs"/>
          <w:rtl/>
        </w:rPr>
        <w:t xml:space="preserve">בשם היהדות, כי גם אנחנו יהודים. אנחנו לא ניתן לכם </w:t>
      </w:r>
      <w:bookmarkStart w:id="68277" w:name="_ETM_Q120_711000"/>
      <w:bookmarkEnd w:id="68277"/>
      <w:r>
        <w:rPr>
          <w:rFonts w:hint="cs"/>
          <w:rtl/>
        </w:rPr>
        <w:t xml:space="preserve">לשרוף את מגילת העצמאות על מזבח הסגידה לעגל הזהב מקיסריה. </w:t>
      </w:r>
      <w:bookmarkStart w:id="68278" w:name="_ETM_Q120_722000"/>
      <w:bookmarkEnd w:id="68278"/>
    </w:p>
    <w:p w:rsidR="00BB59CD" w:rsidRDefault="00BB59CD" w:rsidP="00BB59CD">
      <w:pPr>
        <w:rPr>
          <w:rtl/>
        </w:rPr>
      </w:pPr>
    </w:p>
    <w:p w:rsidR="00BB59CD" w:rsidRDefault="00BB59CD" w:rsidP="004C7921">
      <w:pPr>
        <w:rPr>
          <w:rtl/>
        </w:rPr>
      </w:pPr>
      <w:bookmarkStart w:id="68279" w:name="_ETM_Q120_723000"/>
      <w:bookmarkEnd w:id="68279"/>
      <w:r>
        <w:rPr>
          <w:rFonts w:hint="cs"/>
          <w:rtl/>
        </w:rPr>
        <w:t xml:space="preserve">שלא תטעו, יש ציבור ענק וטוב גם בצד שתומך </w:t>
      </w:r>
      <w:bookmarkStart w:id="68280" w:name="_ETM_Q120_730000"/>
      <w:bookmarkEnd w:id="68280"/>
      <w:r>
        <w:rPr>
          <w:rFonts w:hint="cs"/>
          <w:rtl/>
        </w:rPr>
        <w:t xml:space="preserve">בממשלה. אגב, רובו בכלל לא מבין את משמעות </w:t>
      </w:r>
      <w:bookmarkStart w:id="68281" w:name="_ETM_Q120_731000"/>
      <w:bookmarkEnd w:id="68281"/>
      <w:r>
        <w:rPr>
          <w:rFonts w:hint="cs"/>
          <w:rtl/>
        </w:rPr>
        <w:t xml:space="preserve">ההפיכה שהמנהיגים שלו מובילים. חלקו מוסת, ומקומו איתנו. ממשלת החושך </w:t>
      </w:r>
      <w:bookmarkStart w:id="68282" w:name="_ETM_Q120_746000"/>
      <w:bookmarkEnd w:id="68282"/>
      <w:r>
        <w:rPr>
          <w:rFonts w:hint="cs"/>
          <w:rtl/>
        </w:rPr>
        <w:t xml:space="preserve">מנסה לומר להם שאם הם לא איתם, אז הם לא </w:t>
      </w:r>
      <w:bookmarkStart w:id="68283" w:name="_ETM_Q120_752000"/>
      <w:bookmarkEnd w:id="68283"/>
      <w:r>
        <w:rPr>
          <w:rFonts w:hint="cs"/>
          <w:rtl/>
        </w:rPr>
        <w:t xml:space="preserve">מספיק יהודים. אם הם לא איתם, אז הם לא מספיק </w:t>
      </w:r>
      <w:bookmarkStart w:id="68284" w:name="_ETM_Q120_758000"/>
      <w:bookmarkEnd w:id="68284"/>
      <w:r>
        <w:rPr>
          <w:rFonts w:hint="cs"/>
          <w:rtl/>
        </w:rPr>
        <w:t>דתיים. גם הכיפה</w:t>
      </w:r>
      <w:r w:rsidR="00264869">
        <w:rPr>
          <w:rFonts w:hint="cs"/>
          <w:rtl/>
        </w:rPr>
        <w:t>,</w:t>
      </w:r>
      <w:r>
        <w:rPr>
          <w:rFonts w:hint="cs"/>
          <w:rtl/>
        </w:rPr>
        <w:t xml:space="preserve"> הם מתחילים לשפוט את הכיפה – אם הוא </w:t>
      </w:r>
      <w:bookmarkStart w:id="68285" w:name="_ETM_Q120_762000"/>
      <w:bookmarkEnd w:id="68285"/>
      <w:r>
        <w:rPr>
          <w:rFonts w:hint="cs"/>
          <w:rtl/>
        </w:rPr>
        <w:t>הולך לתמוך ברפורמה</w:t>
      </w:r>
      <w:r w:rsidR="00264869">
        <w:rPr>
          <w:rFonts w:hint="cs"/>
          <w:rtl/>
        </w:rPr>
        <w:t>;</w:t>
      </w:r>
      <w:r>
        <w:rPr>
          <w:rFonts w:hint="cs"/>
          <w:rtl/>
        </w:rPr>
        <w:t xml:space="preserve"> אתם יודעים כמה חרדים וכמה כיפות </w:t>
      </w:r>
      <w:bookmarkStart w:id="68286" w:name="_ETM_Q120_768000"/>
      <w:bookmarkEnd w:id="68286"/>
      <w:r>
        <w:rPr>
          <w:rFonts w:hint="cs"/>
          <w:rtl/>
        </w:rPr>
        <w:t>סרוגות מגיעים להפגנות? אתם יודעים כמה ראיתי בצעדה בירושלים?</w:t>
      </w:r>
      <w:bookmarkStart w:id="68287" w:name="_ETM_Q120_772000"/>
      <w:bookmarkEnd w:id="68287"/>
      <w:r w:rsidR="00264869">
        <w:rPr>
          <w:rFonts w:hint="cs"/>
          <w:rtl/>
        </w:rPr>
        <w:t xml:space="preserve"> </w:t>
      </w:r>
      <w:bookmarkStart w:id="68288" w:name="TOR_Q121"/>
      <w:bookmarkStart w:id="68289" w:name="_ETM_Q121_180000"/>
      <w:bookmarkEnd w:id="68288"/>
      <w:bookmarkEnd w:id="68289"/>
      <w:r>
        <w:rPr>
          <w:rFonts w:hint="cs"/>
          <w:rtl/>
        </w:rPr>
        <w:t xml:space="preserve">אבל לא לא לא, ברגע שהם הולכים לשמור על ערכי השוויון והצדק והדמוקרטיה הם </w:t>
      </w:r>
      <w:bookmarkStart w:id="68290" w:name="_ETM_Q121_178552"/>
      <w:bookmarkEnd w:id="68290"/>
      <w:r>
        <w:rPr>
          <w:rFonts w:hint="cs"/>
          <w:rtl/>
        </w:rPr>
        <w:t xml:space="preserve">לא מספיק דתיים, הם לא מספיק יהודים, ואם הם לא </w:t>
      </w:r>
      <w:bookmarkStart w:id="68291" w:name="_ETM_Q121_182496"/>
      <w:bookmarkStart w:id="68292" w:name="_ETM_Q121_120393"/>
      <w:bookmarkStart w:id="68293" w:name="_ETM_Q121_120489"/>
      <w:bookmarkStart w:id="68294" w:name="_ETM_Q121_180149"/>
      <w:bookmarkStart w:id="68295" w:name="_ETM_Q121_181050"/>
      <w:bookmarkStart w:id="68296" w:name="_ETM_Q121_181230"/>
      <w:bookmarkStart w:id="68297" w:name="_ETM_Q121_181350"/>
      <w:bookmarkStart w:id="68298" w:name="_ETM_Q121_181829"/>
      <w:bookmarkStart w:id="68299" w:name="_ETM_Q121_183749"/>
      <w:bookmarkStart w:id="68300" w:name="_ETM_Q121_184049"/>
      <w:bookmarkStart w:id="68301" w:name="_ETM_Q121_184170"/>
      <w:bookmarkStart w:id="68302" w:name="_ETM_Q121_184319"/>
      <w:bookmarkEnd w:id="68291"/>
      <w:bookmarkEnd w:id="68292"/>
      <w:bookmarkEnd w:id="68293"/>
      <w:bookmarkEnd w:id="68294"/>
      <w:bookmarkEnd w:id="68295"/>
      <w:bookmarkEnd w:id="68296"/>
      <w:bookmarkEnd w:id="68297"/>
      <w:bookmarkEnd w:id="68298"/>
      <w:bookmarkEnd w:id="68299"/>
      <w:bookmarkEnd w:id="68300"/>
      <w:bookmarkEnd w:id="68301"/>
      <w:bookmarkEnd w:id="68302"/>
      <w:r>
        <w:rPr>
          <w:rFonts w:hint="cs"/>
          <w:rtl/>
        </w:rPr>
        <w:t>איתם</w:t>
      </w:r>
      <w:bookmarkStart w:id="68303" w:name="_ETM_Q121_185220"/>
      <w:bookmarkEnd w:id="68303"/>
      <w:r w:rsidR="004C7921">
        <w:rPr>
          <w:rFonts w:hint="cs"/>
          <w:rtl/>
        </w:rPr>
        <w:t xml:space="preserve">, </w:t>
      </w:r>
      <w:r>
        <w:rPr>
          <w:rFonts w:hint="cs"/>
          <w:rtl/>
        </w:rPr>
        <w:t xml:space="preserve">אז </w:t>
      </w:r>
      <w:bookmarkStart w:id="68304" w:name="_ETM_Q121_185399"/>
      <w:bookmarkEnd w:id="68304"/>
      <w:r>
        <w:rPr>
          <w:rFonts w:hint="cs"/>
          <w:rtl/>
        </w:rPr>
        <w:t xml:space="preserve">רחמנא </w:t>
      </w:r>
      <w:bookmarkStart w:id="68305" w:name="_ETM_Q121_186029"/>
      <w:bookmarkEnd w:id="68305"/>
      <w:r>
        <w:rPr>
          <w:rFonts w:hint="cs"/>
          <w:rtl/>
        </w:rPr>
        <w:t xml:space="preserve">ליצלן </w:t>
      </w:r>
      <w:bookmarkStart w:id="68306" w:name="_ETM_Q121_186779"/>
      <w:bookmarkEnd w:id="68306"/>
      <w:r>
        <w:rPr>
          <w:rFonts w:hint="cs"/>
          <w:rtl/>
        </w:rPr>
        <w:t xml:space="preserve">הם </w:t>
      </w:r>
      <w:bookmarkStart w:id="68307" w:name="_ETM_Q121_186930"/>
      <w:bookmarkEnd w:id="68307"/>
      <w:r>
        <w:rPr>
          <w:rFonts w:hint="cs"/>
          <w:rtl/>
        </w:rPr>
        <w:t xml:space="preserve">גם </w:t>
      </w:r>
      <w:bookmarkStart w:id="68308" w:name="_ETM_Q121_187109"/>
      <w:bookmarkEnd w:id="68308"/>
      <w:r>
        <w:rPr>
          <w:rFonts w:hint="cs"/>
          <w:rtl/>
        </w:rPr>
        <w:t xml:space="preserve">שמאלנים, </w:t>
      </w:r>
      <w:bookmarkStart w:id="68309" w:name="_ETM_Q121_188600"/>
      <w:bookmarkEnd w:id="68309"/>
      <w:r>
        <w:rPr>
          <w:rFonts w:hint="cs"/>
          <w:rtl/>
        </w:rPr>
        <w:t xml:space="preserve">ואם </w:t>
      </w:r>
      <w:bookmarkStart w:id="68310" w:name="_ETM_Q121_188869"/>
      <w:bookmarkEnd w:id="68310"/>
      <w:r>
        <w:rPr>
          <w:rFonts w:hint="cs"/>
          <w:rtl/>
        </w:rPr>
        <w:t xml:space="preserve">הם </w:t>
      </w:r>
      <w:bookmarkStart w:id="68311" w:name="_ETM_Q121_189020"/>
      <w:bookmarkEnd w:id="68311"/>
      <w:r>
        <w:rPr>
          <w:rFonts w:hint="cs"/>
          <w:rtl/>
        </w:rPr>
        <w:t xml:space="preserve">לא </w:t>
      </w:r>
      <w:bookmarkStart w:id="68312" w:name="_ETM_Q121_189200"/>
      <w:bookmarkEnd w:id="68312"/>
      <w:r>
        <w:rPr>
          <w:rFonts w:hint="cs"/>
          <w:rtl/>
        </w:rPr>
        <w:t>איתם</w:t>
      </w:r>
      <w:r w:rsidR="004C7921">
        <w:rPr>
          <w:rFonts w:hint="cs"/>
          <w:rtl/>
        </w:rPr>
        <w:t>,</w:t>
      </w:r>
      <w:r>
        <w:rPr>
          <w:rFonts w:hint="cs"/>
          <w:rtl/>
        </w:rPr>
        <w:t xml:space="preserve"> </w:t>
      </w:r>
      <w:bookmarkStart w:id="68313" w:name="_ETM_Q121_189650"/>
      <w:bookmarkEnd w:id="68313"/>
      <w:r>
        <w:rPr>
          <w:rFonts w:hint="cs"/>
          <w:rtl/>
        </w:rPr>
        <w:t xml:space="preserve">אז </w:t>
      </w:r>
      <w:bookmarkStart w:id="68314" w:name="_ETM_Q121_189830"/>
      <w:bookmarkEnd w:id="68314"/>
      <w:r>
        <w:rPr>
          <w:rFonts w:hint="cs"/>
          <w:rtl/>
        </w:rPr>
        <w:t xml:space="preserve">אוי </w:t>
      </w:r>
      <w:bookmarkStart w:id="68315" w:name="_ETM_Q121_190010"/>
      <w:bookmarkEnd w:id="68315"/>
      <w:r>
        <w:rPr>
          <w:rFonts w:hint="cs"/>
          <w:rtl/>
        </w:rPr>
        <w:t xml:space="preserve">ואבוי, </w:t>
      </w:r>
      <w:bookmarkStart w:id="68316" w:name="_ETM_Q121_190490"/>
      <w:bookmarkEnd w:id="68316"/>
      <w:r>
        <w:rPr>
          <w:rFonts w:hint="cs"/>
          <w:rtl/>
        </w:rPr>
        <w:t xml:space="preserve">הם </w:t>
      </w:r>
      <w:bookmarkStart w:id="68317" w:name="_ETM_Q121_190580"/>
      <w:bookmarkEnd w:id="68317"/>
      <w:r>
        <w:rPr>
          <w:rFonts w:hint="cs"/>
          <w:rtl/>
        </w:rPr>
        <w:t xml:space="preserve">אשכנזים. </w:t>
      </w:r>
      <w:bookmarkStart w:id="68318" w:name="_ETM_Q121_192289"/>
      <w:bookmarkEnd w:id="68318"/>
      <w:r>
        <w:rPr>
          <w:rFonts w:hint="cs"/>
          <w:rtl/>
        </w:rPr>
        <w:t xml:space="preserve">לא, </w:t>
      </w:r>
      <w:bookmarkStart w:id="68319" w:name="_ETM_Q121_192469"/>
      <w:bookmarkEnd w:id="68319"/>
      <w:r>
        <w:rPr>
          <w:rFonts w:hint="cs"/>
          <w:rtl/>
        </w:rPr>
        <w:t xml:space="preserve">לא, </w:t>
      </w:r>
      <w:bookmarkStart w:id="68320" w:name="_ETM_Q121_193000"/>
      <w:bookmarkEnd w:id="68320"/>
      <w:r>
        <w:rPr>
          <w:rFonts w:hint="cs"/>
          <w:rtl/>
        </w:rPr>
        <w:t xml:space="preserve">זה </w:t>
      </w:r>
      <w:bookmarkStart w:id="68321" w:name="_ETM_Q121_193210"/>
      <w:bookmarkEnd w:id="68321"/>
      <w:r>
        <w:rPr>
          <w:rFonts w:hint="cs"/>
          <w:rtl/>
        </w:rPr>
        <w:t xml:space="preserve">שהם </w:t>
      </w:r>
      <w:bookmarkStart w:id="68322" w:name="_ETM_Q121_193360"/>
      <w:bookmarkEnd w:id="68322"/>
      <w:r>
        <w:rPr>
          <w:rFonts w:hint="cs"/>
          <w:rtl/>
        </w:rPr>
        <w:t xml:space="preserve">נולדו </w:t>
      </w:r>
      <w:bookmarkStart w:id="68323" w:name="_ETM_Q121_193690"/>
      <w:bookmarkEnd w:id="68323"/>
      <w:r>
        <w:rPr>
          <w:rFonts w:hint="cs"/>
          <w:rtl/>
        </w:rPr>
        <w:t xml:space="preserve">לאבא </w:t>
      </w:r>
      <w:bookmarkStart w:id="68324" w:name="_ETM_Q121_194050"/>
      <w:bookmarkEnd w:id="68324"/>
      <w:r>
        <w:rPr>
          <w:rFonts w:hint="cs"/>
          <w:rtl/>
        </w:rPr>
        <w:t xml:space="preserve">ממרוקו </w:t>
      </w:r>
      <w:bookmarkStart w:id="68325" w:name="_ETM_Q121_194889"/>
      <w:bookmarkEnd w:id="68325"/>
      <w:r>
        <w:rPr>
          <w:rFonts w:hint="cs"/>
          <w:rtl/>
        </w:rPr>
        <w:t xml:space="preserve">ואימא </w:t>
      </w:r>
      <w:bookmarkStart w:id="68326" w:name="_ETM_Q121_195280"/>
      <w:bookmarkEnd w:id="68326"/>
      <w:r>
        <w:rPr>
          <w:rFonts w:hint="cs"/>
          <w:rtl/>
        </w:rPr>
        <w:t xml:space="preserve">מתוניסיה </w:t>
      </w:r>
      <w:bookmarkStart w:id="68327" w:name="_ETM_Q121_196030"/>
      <w:bookmarkEnd w:id="68327"/>
      <w:r>
        <w:rPr>
          <w:rFonts w:hint="cs"/>
          <w:rtl/>
        </w:rPr>
        <w:t xml:space="preserve">לא </w:t>
      </w:r>
      <w:bookmarkStart w:id="68328" w:name="_ETM_Q121_196119"/>
      <w:bookmarkEnd w:id="68328"/>
      <w:r>
        <w:rPr>
          <w:rFonts w:hint="cs"/>
          <w:rtl/>
        </w:rPr>
        <w:t xml:space="preserve">רלוונטי </w:t>
      </w:r>
      <w:bookmarkStart w:id="68329" w:name="_ETM_Q121_196630"/>
      <w:bookmarkEnd w:id="68329"/>
      <w:r>
        <w:rPr>
          <w:rFonts w:hint="cs"/>
          <w:rtl/>
        </w:rPr>
        <w:t xml:space="preserve">בכלל, </w:t>
      </w:r>
      <w:bookmarkStart w:id="68330" w:name="_ETM_Q121_196900"/>
      <w:bookmarkEnd w:id="68330"/>
      <w:r>
        <w:rPr>
          <w:rFonts w:hint="cs"/>
          <w:rtl/>
        </w:rPr>
        <w:t xml:space="preserve">ברגע </w:t>
      </w:r>
      <w:bookmarkStart w:id="68331" w:name="_ETM_Q121_197260"/>
      <w:bookmarkEnd w:id="68331"/>
      <w:r>
        <w:rPr>
          <w:rFonts w:hint="cs"/>
          <w:rtl/>
        </w:rPr>
        <w:t xml:space="preserve">שהם </w:t>
      </w:r>
      <w:bookmarkStart w:id="68332" w:name="_ETM_Q121_197470"/>
      <w:bookmarkEnd w:id="68332"/>
      <w:r>
        <w:rPr>
          <w:rFonts w:hint="cs"/>
          <w:rtl/>
        </w:rPr>
        <w:t xml:space="preserve">עברו </w:t>
      </w:r>
      <w:bookmarkStart w:id="68333" w:name="_ETM_Q121_197680"/>
      <w:bookmarkEnd w:id="68333"/>
      <w:r>
        <w:rPr>
          <w:rFonts w:hint="cs"/>
          <w:rtl/>
        </w:rPr>
        <w:t xml:space="preserve">צד </w:t>
      </w:r>
      <w:bookmarkStart w:id="68334" w:name="_ETM_Q121_197950"/>
      <w:bookmarkEnd w:id="68334"/>
      <w:r>
        <w:rPr>
          <w:rFonts w:hint="cs"/>
          <w:rtl/>
        </w:rPr>
        <w:t xml:space="preserve">הם </w:t>
      </w:r>
      <w:bookmarkStart w:id="68335" w:name="_ETM_Q121_198100"/>
      <w:bookmarkEnd w:id="68335"/>
      <w:r>
        <w:rPr>
          <w:rFonts w:hint="cs"/>
          <w:rtl/>
        </w:rPr>
        <w:t xml:space="preserve">הפכו </w:t>
      </w:r>
      <w:bookmarkStart w:id="68336" w:name="_ETM_Q121_198340"/>
      <w:bookmarkEnd w:id="68336"/>
      <w:r>
        <w:rPr>
          <w:rFonts w:hint="cs"/>
          <w:rtl/>
        </w:rPr>
        <w:t xml:space="preserve">להיות </w:t>
      </w:r>
      <w:bookmarkStart w:id="68337" w:name="_ETM_Q121_198550"/>
      <w:bookmarkEnd w:id="68337"/>
      <w:r>
        <w:rPr>
          <w:rFonts w:hint="cs"/>
          <w:rtl/>
        </w:rPr>
        <w:t xml:space="preserve">אשכנזים. </w:t>
      </w:r>
      <w:bookmarkStart w:id="68338" w:name="_ETM_Q121_200259"/>
      <w:bookmarkEnd w:id="68338"/>
      <w:r>
        <w:rPr>
          <w:rFonts w:hint="cs"/>
          <w:rtl/>
        </w:rPr>
        <w:t xml:space="preserve">הם </w:t>
      </w:r>
      <w:bookmarkStart w:id="68339" w:name="_ETM_Q121_200409"/>
      <w:bookmarkEnd w:id="68339"/>
      <w:r>
        <w:rPr>
          <w:rFonts w:hint="cs"/>
          <w:rtl/>
        </w:rPr>
        <w:t xml:space="preserve">גם </w:t>
      </w:r>
      <w:bookmarkStart w:id="68340" w:name="_ETM_Q121_200619"/>
      <w:bookmarkEnd w:id="68340"/>
      <w:r>
        <w:rPr>
          <w:rFonts w:hint="cs"/>
          <w:rtl/>
        </w:rPr>
        <w:t xml:space="preserve">פריבילגים </w:t>
      </w:r>
      <w:bookmarkStart w:id="68341" w:name="_ETM_Q121_201860"/>
      <w:bookmarkEnd w:id="68341"/>
      <w:r>
        <w:rPr>
          <w:rFonts w:hint="cs"/>
          <w:rtl/>
        </w:rPr>
        <w:t xml:space="preserve">אם </w:t>
      </w:r>
      <w:bookmarkStart w:id="68342" w:name="_ETM_Q121_201980"/>
      <w:bookmarkEnd w:id="68342"/>
      <w:r>
        <w:rPr>
          <w:rFonts w:hint="cs"/>
          <w:rtl/>
        </w:rPr>
        <w:t xml:space="preserve">הם </w:t>
      </w:r>
      <w:bookmarkStart w:id="68343" w:name="_ETM_Q121_202100"/>
      <w:bookmarkEnd w:id="68343"/>
      <w:r>
        <w:rPr>
          <w:rFonts w:hint="cs"/>
          <w:rtl/>
        </w:rPr>
        <w:t xml:space="preserve">לא </w:t>
      </w:r>
      <w:bookmarkStart w:id="68344" w:name="_ETM_Q121_202250"/>
      <w:bookmarkEnd w:id="68344"/>
      <w:r>
        <w:rPr>
          <w:rFonts w:hint="cs"/>
          <w:rtl/>
        </w:rPr>
        <w:t xml:space="preserve">איתם, </w:t>
      </w:r>
      <w:bookmarkStart w:id="68345" w:name="_ETM_Q121_203150"/>
      <w:bookmarkEnd w:id="68345"/>
      <w:r>
        <w:rPr>
          <w:rFonts w:hint="cs"/>
          <w:rtl/>
        </w:rPr>
        <w:t xml:space="preserve">הם </w:t>
      </w:r>
      <w:bookmarkStart w:id="68346" w:name="_ETM_Q121_203210"/>
      <w:bookmarkEnd w:id="68346"/>
      <w:r>
        <w:rPr>
          <w:rFonts w:hint="cs"/>
          <w:rtl/>
        </w:rPr>
        <w:t xml:space="preserve">הפכו </w:t>
      </w:r>
      <w:bookmarkStart w:id="68347" w:name="_ETM_Q121_203420"/>
      <w:bookmarkEnd w:id="68347"/>
      <w:r>
        <w:rPr>
          <w:rFonts w:hint="cs"/>
          <w:rtl/>
        </w:rPr>
        <w:t xml:space="preserve">להיות </w:t>
      </w:r>
      <w:bookmarkStart w:id="68348" w:name="_ETM_Q121_203570"/>
      <w:bookmarkEnd w:id="68348"/>
      <w:r>
        <w:rPr>
          <w:rFonts w:hint="cs"/>
          <w:rtl/>
        </w:rPr>
        <w:t xml:space="preserve">פריבילגים. </w:t>
      </w:r>
      <w:bookmarkStart w:id="68349" w:name="_ETM_Q121_205900"/>
      <w:bookmarkEnd w:id="68349"/>
      <w:r>
        <w:rPr>
          <w:rFonts w:hint="cs"/>
          <w:rtl/>
        </w:rPr>
        <w:t xml:space="preserve">אין </w:t>
      </w:r>
      <w:bookmarkStart w:id="68350" w:name="_ETM_Q121_206140"/>
      <w:bookmarkEnd w:id="68350"/>
      <w:r>
        <w:rPr>
          <w:rFonts w:hint="cs"/>
          <w:rtl/>
        </w:rPr>
        <w:t xml:space="preserve">להם </w:t>
      </w:r>
      <w:bookmarkStart w:id="68351" w:name="_ETM_Q121_206439"/>
      <w:bookmarkEnd w:id="68351"/>
      <w:r>
        <w:rPr>
          <w:rFonts w:hint="cs"/>
          <w:rtl/>
        </w:rPr>
        <w:t xml:space="preserve">אוכל </w:t>
      </w:r>
      <w:bookmarkStart w:id="68352" w:name="_ETM_Q121_206770"/>
      <w:bookmarkEnd w:id="68352"/>
      <w:r>
        <w:rPr>
          <w:rFonts w:hint="cs"/>
          <w:rtl/>
        </w:rPr>
        <w:t xml:space="preserve">לשים </w:t>
      </w:r>
      <w:bookmarkStart w:id="68353" w:name="_ETM_Q121_207070"/>
      <w:bookmarkEnd w:id="68353"/>
      <w:r>
        <w:rPr>
          <w:rFonts w:hint="cs"/>
          <w:rtl/>
        </w:rPr>
        <w:t xml:space="preserve">על </w:t>
      </w:r>
      <w:bookmarkStart w:id="68354" w:name="_ETM_Q121_207160"/>
      <w:bookmarkEnd w:id="68354"/>
      <w:r>
        <w:rPr>
          <w:rFonts w:hint="cs"/>
          <w:rtl/>
        </w:rPr>
        <w:t xml:space="preserve">השולחן </w:t>
      </w:r>
      <w:bookmarkStart w:id="68355" w:name="_ETM_Q121_207699"/>
      <w:bookmarkEnd w:id="68355"/>
      <w:r>
        <w:rPr>
          <w:rFonts w:hint="cs"/>
          <w:rtl/>
        </w:rPr>
        <w:t xml:space="preserve">בגלל </w:t>
      </w:r>
      <w:bookmarkStart w:id="68356" w:name="_ETM_Q121_208029"/>
      <w:bookmarkEnd w:id="68356"/>
      <w:r>
        <w:rPr>
          <w:rFonts w:hint="cs"/>
          <w:rtl/>
        </w:rPr>
        <w:t xml:space="preserve">שהממשלה </w:t>
      </w:r>
      <w:bookmarkStart w:id="68357" w:name="_ETM_Q121_208689"/>
      <w:bookmarkEnd w:id="68357"/>
      <w:r>
        <w:rPr>
          <w:rFonts w:hint="cs"/>
          <w:rtl/>
        </w:rPr>
        <w:t xml:space="preserve">לא </w:t>
      </w:r>
      <w:bookmarkStart w:id="68358" w:name="_ETM_Q121_208810"/>
      <w:bookmarkEnd w:id="68358"/>
      <w:r>
        <w:rPr>
          <w:rFonts w:hint="cs"/>
          <w:rtl/>
        </w:rPr>
        <w:t xml:space="preserve">מטפלת </w:t>
      </w:r>
      <w:bookmarkStart w:id="68359" w:name="_ETM_Q121_209320"/>
      <w:bookmarkEnd w:id="68359"/>
      <w:r>
        <w:rPr>
          <w:rFonts w:hint="cs"/>
          <w:rtl/>
        </w:rPr>
        <w:t xml:space="preserve">ביוקר </w:t>
      </w:r>
      <w:bookmarkStart w:id="68360" w:name="_ETM_Q121_209800"/>
      <w:bookmarkEnd w:id="68360"/>
      <w:r>
        <w:rPr>
          <w:rFonts w:hint="cs"/>
          <w:rtl/>
        </w:rPr>
        <w:t xml:space="preserve">המחיה, </w:t>
      </w:r>
      <w:bookmarkStart w:id="68361" w:name="_ETM_Q121_212030"/>
      <w:bookmarkEnd w:id="68361"/>
      <w:r>
        <w:rPr>
          <w:rFonts w:hint="cs"/>
          <w:rtl/>
        </w:rPr>
        <w:t xml:space="preserve">אין </w:t>
      </w:r>
      <w:bookmarkStart w:id="68362" w:name="_ETM_Q121_212300"/>
      <w:bookmarkEnd w:id="68362"/>
      <w:r>
        <w:rPr>
          <w:rFonts w:hint="cs"/>
          <w:rtl/>
        </w:rPr>
        <w:t xml:space="preserve">להם </w:t>
      </w:r>
      <w:bookmarkStart w:id="68363" w:name="_ETM_Q121_212570"/>
      <w:bookmarkEnd w:id="68363"/>
      <w:r>
        <w:rPr>
          <w:rFonts w:hint="cs"/>
          <w:rtl/>
        </w:rPr>
        <w:t xml:space="preserve">אוכל </w:t>
      </w:r>
      <w:bookmarkStart w:id="68364" w:name="_ETM_Q121_212900"/>
      <w:bookmarkEnd w:id="68364"/>
      <w:r>
        <w:rPr>
          <w:rFonts w:hint="cs"/>
          <w:rtl/>
        </w:rPr>
        <w:t xml:space="preserve">לשים </w:t>
      </w:r>
      <w:bookmarkStart w:id="68365" w:name="_ETM_Q121_213200"/>
      <w:bookmarkEnd w:id="68365"/>
      <w:r>
        <w:rPr>
          <w:rFonts w:hint="cs"/>
          <w:rtl/>
        </w:rPr>
        <w:t xml:space="preserve">על </w:t>
      </w:r>
      <w:bookmarkStart w:id="68366" w:name="_ETM_Q121_213320"/>
      <w:bookmarkEnd w:id="68366"/>
      <w:r>
        <w:rPr>
          <w:rFonts w:hint="cs"/>
          <w:rtl/>
        </w:rPr>
        <w:t xml:space="preserve">השולחן </w:t>
      </w:r>
      <w:bookmarkStart w:id="68367" w:name="_ETM_Q121_214489"/>
      <w:bookmarkEnd w:id="68367"/>
      <w:r>
        <w:rPr>
          <w:rFonts w:hint="cs"/>
          <w:rtl/>
        </w:rPr>
        <w:t xml:space="preserve">כי </w:t>
      </w:r>
      <w:bookmarkStart w:id="68368" w:name="_ETM_Q121_214700"/>
      <w:bookmarkEnd w:id="68368"/>
      <w:r>
        <w:rPr>
          <w:rFonts w:hint="cs"/>
          <w:rtl/>
        </w:rPr>
        <w:t xml:space="preserve">הממשלה </w:t>
      </w:r>
      <w:bookmarkStart w:id="68369" w:name="_ETM_Q121_215540"/>
      <w:bookmarkEnd w:id="68369"/>
      <w:r>
        <w:rPr>
          <w:rFonts w:hint="cs"/>
          <w:rtl/>
        </w:rPr>
        <w:t xml:space="preserve">של </w:t>
      </w:r>
      <w:bookmarkStart w:id="68370" w:name="_ETM_Q121_215750"/>
      <w:bookmarkEnd w:id="68370"/>
      <w:r>
        <w:rPr>
          <w:rFonts w:hint="cs"/>
          <w:rtl/>
        </w:rPr>
        <w:t xml:space="preserve">נתניהו </w:t>
      </w:r>
      <w:bookmarkStart w:id="68371" w:name="_ETM_Q121_216470"/>
      <w:bookmarkEnd w:id="68371"/>
      <w:r>
        <w:rPr>
          <w:rFonts w:hint="cs"/>
          <w:rtl/>
        </w:rPr>
        <w:t xml:space="preserve">במשך </w:t>
      </w:r>
      <w:bookmarkStart w:id="68372" w:name="_ETM_Q121_216920"/>
      <w:bookmarkEnd w:id="68372"/>
      <w:r>
        <w:rPr>
          <w:rFonts w:hint="cs"/>
          <w:rtl/>
        </w:rPr>
        <w:t xml:space="preserve">שני </w:t>
      </w:r>
      <w:bookmarkStart w:id="68373" w:name="_ETM_Q121_217190"/>
      <w:bookmarkEnd w:id="68373"/>
      <w:r>
        <w:rPr>
          <w:rFonts w:hint="cs"/>
          <w:rtl/>
        </w:rPr>
        <w:t xml:space="preserve">עשורים </w:t>
      </w:r>
      <w:bookmarkStart w:id="68374" w:name="_ETM_Q121_217550"/>
      <w:bookmarkEnd w:id="68374"/>
      <w:r>
        <w:rPr>
          <w:rFonts w:hint="cs"/>
          <w:rtl/>
        </w:rPr>
        <w:t xml:space="preserve">הפקירה </w:t>
      </w:r>
      <w:bookmarkStart w:id="68375" w:name="_ETM_Q121_218059"/>
      <w:bookmarkEnd w:id="68375"/>
      <w:r>
        <w:rPr>
          <w:rFonts w:hint="cs"/>
          <w:rtl/>
        </w:rPr>
        <w:t xml:space="preserve">את </w:t>
      </w:r>
      <w:bookmarkStart w:id="68376" w:name="_ETM_Q121_218180"/>
      <w:bookmarkEnd w:id="68376"/>
      <w:r>
        <w:rPr>
          <w:rFonts w:hint="cs"/>
          <w:rtl/>
        </w:rPr>
        <w:t xml:space="preserve">הפריפריה, </w:t>
      </w:r>
      <w:bookmarkStart w:id="68377" w:name="_ETM_Q121_218930"/>
      <w:bookmarkEnd w:id="68377"/>
      <w:r>
        <w:rPr>
          <w:rFonts w:hint="cs"/>
          <w:rtl/>
        </w:rPr>
        <w:t xml:space="preserve">הפקירה </w:t>
      </w:r>
      <w:bookmarkStart w:id="68378" w:name="_ETM_Q121_219440"/>
      <w:bookmarkEnd w:id="68378"/>
      <w:r>
        <w:rPr>
          <w:rFonts w:hint="cs"/>
          <w:rtl/>
        </w:rPr>
        <w:t xml:space="preserve">את </w:t>
      </w:r>
      <w:bookmarkStart w:id="68379" w:name="_ETM_Q121_219530"/>
      <w:bookmarkEnd w:id="68379"/>
      <w:r>
        <w:rPr>
          <w:rFonts w:hint="cs"/>
          <w:rtl/>
        </w:rPr>
        <w:t xml:space="preserve">השכבות </w:t>
      </w:r>
      <w:bookmarkStart w:id="68380" w:name="_ETM_Q121_219979"/>
      <w:bookmarkEnd w:id="68380"/>
      <w:r>
        <w:rPr>
          <w:rFonts w:hint="cs"/>
          <w:rtl/>
        </w:rPr>
        <w:t xml:space="preserve">החלשות, </w:t>
      </w:r>
      <w:bookmarkStart w:id="68381" w:name="_ETM_Q121_221940"/>
      <w:bookmarkEnd w:id="68381"/>
      <w:r>
        <w:rPr>
          <w:rFonts w:hint="cs"/>
          <w:rtl/>
        </w:rPr>
        <w:t xml:space="preserve">אבל </w:t>
      </w:r>
      <w:bookmarkStart w:id="68382" w:name="_ETM_Q121_223620"/>
      <w:bookmarkEnd w:id="68382"/>
      <w:r>
        <w:rPr>
          <w:rFonts w:hint="cs"/>
          <w:rtl/>
        </w:rPr>
        <w:t xml:space="preserve">הרי </w:t>
      </w:r>
      <w:bookmarkStart w:id="68383" w:name="_ETM_Q121_223830"/>
      <w:bookmarkEnd w:id="68383"/>
      <w:r>
        <w:rPr>
          <w:rFonts w:hint="cs"/>
          <w:rtl/>
        </w:rPr>
        <w:t xml:space="preserve">בסוף </w:t>
      </w:r>
      <w:bookmarkStart w:id="68384" w:name="_ETM_Q121_225409"/>
      <w:bookmarkEnd w:id="68384"/>
      <w:r>
        <w:rPr>
          <w:rFonts w:hint="cs"/>
          <w:rtl/>
        </w:rPr>
        <w:t xml:space="preserve">מה </w:t>
      </w:r>
      <w:bookmarkStart w:id="68385" w:name="_ETM_Q121_225739"/>
      <w:bookmarkEnd w:id="68385"/>
      <w:r>
        <w:rPr>
          <w:rFonts w:hint="cs"/>
          <w:rtl/>
        </w:rPr>
        <w:t xml:space="preserve">שיכריע </w:t>
      </w:r>
      <w:bookmarkStart w:id="68386" w:name="_ETM_Q121_227239"/>
      <w:bookmarkEnd w:id="68386"/>
      <w:r>
        <w:rPr>
          <w:rFonts w:hint="cs"/>
          <w:rtl/>
        </w:rPr>
        <w:t xml:space="preserve">זה שאותם </w:t>
      </w:r>
      <w:bookmarkStart w:id="68387" w:name="_ETM_Q121_227899"/>
      <w:bookmarkEnd w:id="68387"/>
      <w:r>
        <w:rPr>
          <w:rFonts w:hint="cs"/>
          <w:rtl/>
        </w:rPr>
        <w:t xml:space="preserve">האנשים </w:t>
      </w:r>
      <w:bookmarkStart w:id="68388" w:name="_ETM_Q121_229830"/>
      <w:bookmarkEnd w:id="68388"/>
      <w:r>
        <w:rPr>
          <w:rFonts w:hint="cs"/>
          <w:rtl/>
        </w:rPr>
        <w:t xml:space="preserve">החליטו </w:t>
      </w:r>
      <w:bookmarkStart w:id="68389" w:name="_ETM_Q121_230310"/>
      <w:bookmarkEnd w:id="68389"/>
      <w:r>
        <w:rPr>
          <w:rFonts w:hint="cs"/>
          <w:rtl/>
        </w:rPr>
        <w:t xml:space="preserve">לצעוד </w:t>
      </w:r>
      <w:bookmarkStart w:id="68390" w:name="_ETM_Q121_230790"/>
      <w:bookmarkEnd w:id="68390"/>
      <w:r>
        <w:rPr>
          <w:rFonts w:hint="cs"/>
          <w:rtl/>
        </w:rPr>
        <w:t xml:space="preserve">למען </w:t>
      </w:r>
      <w:bookmarkStart w:id="68391" w:name="_ETM_Q121_231150"/>
      <w:bookmarkEnd w:id="68391"/>
      <w:r>
        <w:rPr>
          <w:rFonts w:hint="cs"/>
          <w:rtl/>
        </w:rPr>
        <w:t xml:space="preserve">הדמוקרטיה, </w:t>
      </w:r>
      <w:bookmarkStart w:id="68392" w:name="_ETM_Q121_232110"/>
      <w:bookmarkEnd w:id="68392"/>
      <w:r>
        <w:rPr>
          <w:rFonts w:hint="cs"/>
          <w:rtl/>
        </w:rPr>
        <w:t xml:space="preserve">אז </w:t>
      </w:r>
      <w:bookmarkStart w:id="68393" w:name="_ETM_Q121_232350"/>
      <w:bookmarkEnd w:id="68393"/>
      <w:r>
        <w:rPr>
          <w:rFonts w:hint="cs"/>
          <w:rtl/>
        </w:rPr>
        <w:t xml:space="preserve">הם </w:t>
      </w:r>
      <w:bookmarkStart w:id="68394" w:name="_ETM_Q121_232890"/>
      <w:bookmarkEnd w:id="68394"/>
      <w:r>
        <w:rPr>
          <w:rFonts w:hint="cs"/>
          <w:rtl/>
        </w:rPr>
        <w:t xml:space="preserve">הפכו </w:t>
      </w:r>
      <w:bookmarkStart w:id="68395" w:name="_ETM_Q121_233280"/>
      <w:bookmarkEnd w:id="68395"/>
      <w:r>
        <w:rPr>
          <w:rFonts w:hint="cs"/>
          <w:rtl/>
        </w:rPr>
        <w:t xml:space="preserve">להיות </w:t>
      </w:r>
      <w:bookmarkStart w:id="68396" w:name="_ETM_Q121_233670"/>
      <w:bookmarkEnd w:id="68396"/>
      <w:r>
        <w:rPr>
          <w:rFonts w:hint="cs"/>
          <w:rtl/>
        </w:rPr>
        <w:t xml:space="preserve">גם </w:t>
      </w:r>
      <w:bookmarkStart w:id="68397" w:name="_ETM_Q121_235089"/>
      <w:bookmarkEnd w:id="68397"/>
      <w:r>
        <w:rPr>
          <w:rFonts w:hint="cs"/>
          <w:rtl/>
        </w:rPr>
        <w:t>פריבילגים.</w:t>
      </w:r>
    </w:p>
    <w:p w:rsidR="00BB59CD" w:rsidRDefault="00BB59CD" w:rsidP="00BB59CD">
      <w:pPr>
        <w:rPr>
          <w:rtl/>
        </w:rPr>
      </w:pPr>
      <w:bookmarkStart w:id="68398" w:name="_ETM_Q121_236398"/>
      <w:bookmarkEnd w:id="68398"/>
    </w:p>
    <w:p w:rsidR="00BB59CD" w:rsidRDefault="00BB59CD" w:rsidP="004C7921">
      <w:pPr>
        <w:rPr>
          <w:rtl/>
        </w:rPr>
      </w:pPr>
      <w:bookmarkStart w:id="68399" w:name="_ETM_Q121_236590"/>
      <w:bookmarkStart w:id="68400" w:name="_ETM_Q121_236610"/>
      <w:bookmarkStart w:id="68401" w:name="_ETM_Q121_236678"/>
      <w:bookmarkStart w:id="68402" w:name="_ETM_Q121_237929"/>
      <w:bookmarkEnd w:id="68399"/>
      <w:bookmarkEnd w:id="68400"/>
      <w:bookmarkEnd w:id="68401"/>
      <w:bookmarkEnd w:id="68402"/>
      <w:r>
        <w:rPr>
          <w:rFonts w:hint="cs"/>
          <w:rtl/>
        </w:rPr>
        <w:t xml:space="preserve">אבל </w:t>
      </w:r>
      <w:bookmarkStart w:id="68403" w:name="_ETM_Q121_238140"/>
      <w:bookmarkEnd w:id="68403"/>
      <w:r>
        <w:rPr>
          <w:rFonts w:hint="cs"/>
          <w:rtl/>
        </w:rPr>
        <w:t xml:space="preserve">בסוף, </w:t>
      </w:r>
      <w:bookmarkStart w:id="68404" w:name="_ETM_Q121_239010"/>
      <w:bookmarkEnd w:id="68404"/>
      <w:r>
        <w:rPr>
          <w:rFonts w:hint="cs"/>
          <w:rtl/>
        </w:rPr>
        <w:t xml:space="preserve">אתם </w:t>
      </w:r>
      <w:bookmarkStart w:id="68405" w:name="_ETM_Q121_239249"/>
      <w:bookmarkEnd w:id="68405"/>
      <w:r>
        <w:rPr>
          <w:rFonts w:hint="cs"/>
          <w:rtl/>
        </w:rPr>
        <w:t xml:space="preserve">יודעים, </w:t>
      </w:r>
      <w:bookmarkStart w:id="68406" w:name="_ETM_Q121_239579"/>
      <w:bookmarkEnd w:id="68406"/>
      <w:r>
        <w:rPr>
          <w:rFonts w:hint="cs"/>
          <w:rtl/>
        </w:rPr>
        <w:t xml:space="preserve">יש </w:t>
      </w:r>
      <w:bookmarkStart w:id="68407" w:name="_ETM_Q121_239729"/>
      <w:bookmarkEnd w:id="68407"/>
      <w:r>
        <w:rPr>
          <w:rFonts w:hint="cs"/>
          <w:rtl/>
        </w:rPr>
        <w:t xml:space="preserve">גבול </w:t>
      </w:r>
      <w:bookmarkStart w:id="68408" w:name="_ETM_Q121_240979"/>
      <w:bookmarkEnd w:id="68408"/>
      <w:r>
        <w:rPr>
          <w:rFonts w:hint="cs"/>
          <w:rtl/>
        </w:rPr>
        <w:t xml:space="preserve">עד </w:t>
      </w:r>
      <w:bookmarkStart w:id="68409" w:name="_ETM_Q121_241159"/>
      <w:bookmarkEnd w:id="68409"/>
      <w:r>
        <w:rPr>
          <w:rFonts w:hint="cs"/>
          <w:rtl/>
        </w:rPr>
        <w:t xml:space="preserve">כמה </w:t>
      </w:r>
      <w:bookmarkStart w:id="68410" w:name="_ETM_Q121_241489"/>
      <w:bookmarkEnd w:id="68410"/>
      <w:r>
        <w:rPr>
          <w:rFonts w:hint="cs"/>
          <w:rtl/>
        </w:rPr>
        <w:t xml:space="preserve">אפשר </w:t>
      </w:r>
      <w:bookmarkStart w:id="68411" w:name="_ETM_Q121_241850"/>
      <w:bookmarkEnd w:id="68411"/>
      <w:r>
        <w:rPr>
          <w:rFonts w:hint="cs"/>
          <w:rtl/>
        </w:rPr>
        <w:t xml:space="preserve">לשטוף </w:t>
      </w:r>
      <w:bookmarkStart w:id="68412" w:name="_ETM_Q121_242299"/>
      <w:bookmarkEnd w:id="68412"/>
      <w:r>
        <w:rPr>
          <w:rFonts w:hint="cs"/>
          <w:rtl/>
        </w:rPr>
        <w:t xml:space="preserve">את </w:t>
      </w:r>
      <w:bookmarkStart w:id="68413" w:name="_ETM_Q121_242389"/>
      <w:bookmarkEnd w:id="68413"/>
      <w:r>
        <w:rPr>
          <w:rFonts w:hint="cs"/>
          <w:rtl/>
        </w:rPr>
        <w:t xml:space="preserve">הראש </w:t>
      </w:r>
      <w:bookmarkStart w:id="68414" w:name="_ETM_Q121_242690"/>
      <w:bookmarkEnd w:id="68414"/>
      <w:r>
        <w:rPr>
          <w:rFonts w:hint="cs"/>
          <w:rtl/>
        </w:rPr>
        <w:t xml:space="preserve">לאנשים, </w:t>
      </w:r>
      <w:bookmarkStart w:id="68415" w:name="_ETM_Q121_244740"/>
      <w:bookmarkEnd w:id="68415"/>
      <w:r>
        <w:rPr>
          <w:rFonts w:hint="cs"/>
          <w:rtl/>
        </w:rPr>
        <w:t xml:space="preserve">יש </w:t>
      </w:r>
      <w:bookmarkStart w:id="68416" w:name="_ETM_Q121_244950"/>
      <w:bookmarkEnd w:id="68416"/>
      <w:r>
        <w:rPr>
          <w:rFonts w:hint="cs"/>
          <w:rtl/>
        </w:rPr>
        <w:t xml:space="preserve">גבול </w:t>
      </w:r>
      <w:bookmarkStart w:id="68417" w:name="_ETM_Q121_245369"/>
      <w:bookmarkEnd w:id="68417"/>
      <w:r>
        <w:rPr>
          <w:rFonts w:hint="cs"/>
          <w:rtl/>
        </w:rPr>
        <w:t xml:space="preserve">כמה </w:t>
      </w:r>
      <w:bookmarkStart w:id="68418" w:name="_ETM_Q121_245610"/>
      <w:bookmarkEnd w:id="68418"/>
      <w:r>
        <w:rPr>
          <w:rFonts w:hint="cs"/>
          <w:rtl/>
        </w:rPr>
        <w:t xml:space="preserve">אפשר </w:t>
      </w:r>
      <w:bookmarkStart w:id="68419" w:name="_ETM_Q121_245970"/>
      <w:bookmarkEnd w:id="68419"/>
      <w:r>
        <w:rPr>
          <w:rFonts w:hint="cs"/>
          <w:rtl/>
        </w:rPr>
        <w:t xml:space="preserve">לעוור </w:t>
      </w:r>
      <w:bookmarkStart w:id="68420" w:name="_ETM_Q121_247049"/>
      <w:bookmarkEnd w:id="68420"/>
      <w:r>
        <w:rPr>
          <w:rFonts w:hint="cs"/>
          <w:rtl/>
        </w:rPr>
        <w:t xml:space="preserve">את </w:t>
      </w:r>
      <w:bookmarkStart w:id="68421" w:name="_ETM_Q121_247260"/>
      <w:bookmarkEnd w:id="68421"/>
      <w:r>
        <w:rPr>
          <w:rFonts w:hint="cs"/>
          <w:rtl/>
        </w:rPr>
        <w:t xml:space="preserve">הציבור, </w:t>
      </w:r>
      <w:bookmarkStart w:id="68422" w:name="_ETM_Q121_249389"/>
      <w:bookmarkEnd w:id="68422"/>
      <w:r>
        <w:rPr>
          <w:rFonts w:hint="cs"/>
          <w:rtl/>
        </w:rPr>
        <w:t xml:space="preserve">יש </w:t>
      </w:r>
      <w:bookmarkStart w:id="68423" w:name="_ETM_Q121_249659"/>
      <w:bookmarkEnd w:id="68423"/>
      <w:r>
        <w:rPr>
          <w:rFonts w:hint="cs"/>
          <w:rtl/>
        </w:rPr>
        <w:t xml:space="preserve">גבול </w:t>
      </w:r>
      <w:bookmarkStart w:id="68424" w:name="_ETM_Q121_250229"/>
      <w:bookmarkEnd w:id="68424"/>
      <w:r>
        <w:rPr>
          <w:rFonts w:hint="cs"/>
          <w:rtl/>
        </w:rPr>
        <w:t xml:space="preserve">כמה </w:t>
      </w:r>
      <w:bookmarkStart w:id="68425" w:name="_ETM_Q121_250560"/>
      <w:bookmarkEnd w:id="68425"/>
      <w:r>
        <w:rPr>
          <w:rFonts w:hint="cs"/>
          <w:rtl/>
        </w:rPr>
        <w:t xml:space="preserve">אפשר, </w:t>
      </w:r>
      <w:bookmarkStart w:id="68426" w:name="_ETM_Q121_251159"/>
      <w:bookmarkEnd w:id="68426"/>
      <w:r>
        <w:rPr>
          <w:rFonts w:hint="cs"/>
          <w:rtl/>
        </w:rPr>
        <w:t xml:space="preserve">אחרי </w:t>
      </w:r>
      <w:bookmarkStart w:id="68427" w:name="_ETM_Q121_251459"/>
      <w:bookmarkEnd w:id="68427"/>
      <w:r>
        <w:rPr>
          <w:rFonts w:hint="cs"/>
          <w:rtl/>
        </w:rPr>
        <w:t xml:space="preserve">שני </w:t>
      </w:r>
      <w:bookmarkStart w:id="68428" w:name="_ETM_Q121_252090"/>
      <w:bookmarkEnd w:id="68428"/>
      <w:r>
        <w:rPr>
          <w:rFonts w:hint="cs"/>
          <w:rtl/>
        </w:rPr>
        <w:t xml:space="preserve">עשורים </w:t>
      </w:r>
      <w:bookmarkStart w:id="68429" w:name="_ETM_Q121_252869"/>
      <w:bookmarkEnd w:id="68429"/>
      <w:r>
        <w:rPr>
          <w:rFonts w:hint="cs"/>
          <w:rtl/>
        </w:rPr>
        <w:t xml:space="preserve">של </w:t>
      </w:r>
      <w:bookmarkStart w:id="68430" w:name="_ETM_Q121_253170"/>
      <w:bookmarkEnd w:id="68430"/>
      <w:r>
        <w:rPr>
          <w:rFonts w:hint="cs"/>
          <w:rtl/>
        </w:rPr>
        <w:t xml:space="preserve">שלטון, </w:t>
      </w:r>
      <w:bookmarkStart w:id="68431" w:name="_ETM_Q121_253979"/>
      <w:bookmarkEnd w:id="68431"/>
      <w:r>
        <w:rPr>
          <w:rFonts w:hint="cs"/>
          <w:rtl/>
        </w:rPr>
        <w:t xml:space="preserve">לומר </w:t>
      </w:r>
      <w:bookmarkStart w:id="68432" w:name="_ETM_Q121_254639"/>
      <w:bookmarkEnd w:id="68432"/>
      <w:r>
        <w:rPr>
          <w:rFonts w:hint="cs"/>
          <w:rtl/>
        </w:rPr>
        <w:t xml:space="preserve">שהכול </w:t>
      </w:r>
      <w:bookmarkStart w:id="68433" w:name="_ETM_Q121_255600"/>
      <w:bookmarkEnd w:id="68433"/>
      <w:r>
        <w:rPr>
          <w:rFonts w:hint="cs"/>
          <w:rtl/>
        </w:rPr>
        <w:t xml:space="preserve">כל </w:t>
      </w:r>
      <w:bookmarkStart w:id="68434" w:name="_ETM_Q121_256049"/>
      <w:bookmarkEnd w:id="68434"/>
      <w:r>
        <w:rPr>
          <w:rFonts w:hint="cs"/>
          <w:rtl/>
        </w:rPr>
        <w:t xml:space="preserve">הזמן </w:t>
      </w:r>
      <w:bookmarkStart w:id="68435" w:name="_ETM_Q121_256709"/>
      <w:bookmarkEnd w:id="68435"/>
      <w:r>
        <w:rPr>
          <w:rFonts w:hint="cs"/>
          <w:rtl/>
        </w:rPr>
        <w:t xml:space="preserve">באשמת </w:t>
      </w:r>
      <w:bookmarkStart w:id="68436" w:name="_ETM_Q121_257340"/>
      <w:bookmarkEnd w:id="68436"/>
      <w:r>
        <w:rPr>
          <w:rFonts w:hint="cs"/>
          <w:rtl/>
        </w:rPr>
        <w:t xml:space="preserve">מישהו </w:t>
      </w:r>
      <w:bookmarkStart w:id="68437" w:name="_ETM_Q121_257700"/>
      <w:bookmarkEnd w:id="68437"/>
      <w:r>
        <w:rPr>
          <w:rFonts w:hint="cs"/>
          <w:rtl/>
        </w:rPr>
        <w:t xml:space="preserve">אחר. </w:t>
      </w:r>
      <w:bookmarkStart w:id="68438" w:name="_ETM_Q121_258549"/>
      <w:bookmarkEnd w:id="68438"/>
      <w:r>
        <w:rPr>
          <w:rFonts w:hint="cs"/>
          <w:rtl/>
        </w:rPr>
        <w:t xml:space="preserve">די, </w:t>
      </w:r>
      <w:bookmarkStart w:id="68439" w:name="_ETM_Q121_259580"/>
      <w:bookmarkEnd w:id="68439"/>
      <w:r>
        <w:rPr>
          <w:rFonts w:hint="cs"/>
          <w:rtl/>
        </w:rPr>
        <w:t xml:space="preserve">מספיק. </w:t>
      </w:r>
      <w:bookmarkStart w:id="68440" w:name="_ETM_Q121_261180"/>
      <w:bookmarkEnd w:id="68440"/>
      <w:r>
        <w:rPr>
          <w:rFonts w:hint="cs"/>
          <w:rtl/>
        </w:rPr>
        <w:t xml:space="preserve">מספיק. </w:t>
      </w:r>
      <w:bookmarkStart w:id="68441" w:name="_ETM_Q121_262080"/>
      <w:bookmarkEnd w:id="68441"/>
      <w:r>
        <w:rPr>
          <w:rFonts w:hint="cs"/>
          <w:rtl/>
        </w:rPr>
        <w:t>בואו, ה</w:t>
      </w:r>
      <w:bookmarkStart w:id="68442" w:name="_ETM_Q121_262260"/>
      <w:bookmarkEnd w:id="68442"/>
      <w:r>
        <w:rPr>
          <w:rFonts w:hint="cs"/>
          <w:rtl/>
        </w:rPr>
        <w:t xml:space="preserve">ייתי </w:t>
      </w:r>
      <w:bookmarkStart w:id="68443" w:name="_ETM_Q121_262590"/>
      <w:bookmarkEnd w:id="68443"/>
      <w:r>
        <w:rPr>
          <w:rFonts w:hint="cs"/>
          <w:rtl/>
        </w:rPr>
        <w:t xml:space="preserve">בליכוד, </w:t>
      </w:r>
      <w:bookmarkStart w:id="68444" w:name="_ETM_Q121_263689"/>
      <w:bookmarkEnd w:id="68444"/>
      <w:r>
        <w:rPr>
          <w:rFonts w:hint="cs"/>
          <w:rtl/>
        </w:rPr>
        <w:t xml:space="preserve">אני </w:t>
      </w:r>
      <w:bookmarkStart w:id="68445" w:name="_ETM_Q121_263899"/>
      <w:bookmarkEnd w:id="68445"/>
      <w:r>
        <w:rPr>
          <w:rFonts w:hint="cs"/>
          <w:rtl/>
        </w:rPr>
        <w:t xml:space="preserve">יודעת </w:t>
      </w:r>
      <w:bookmarkStart w:id="68446" w:name="_ETM_Q121_264469"/>
      <w:bookmarkEnd w:id="68446"/>
      <w:r>
        <w:rPr>
          <w:rFonts w:hint="cs"/>
          <w:rtl/>
        </w:rPr>
        <w:t xml:space="preserve">את המנגינה, יודעת אותה, יודעת </w:t>
      </w:r>
      <w:bookmarkStart w:id="68447" w:name="_ETM_Q121_265369"/>
      <w:bookmarkStart w:id="68448" w:name="_ETM_Q121_265729"/>
      <w:bookmarkStart w:id="68449" w:name="_ETM_Q121_265819"/>
      <w:bookmarkStart w:id="68450" w:name="_ETM_Q121_266149"/>
      <w:bookmarkStart w:id="68451" w:name="_ETM_Q121_266389"/>
      <w:bookmarkEnd w:id="68447"/>
      <w:bookmarkEnd w:id="68448"/>
      <w:bookmarkEnd w:id="68449"/>
      <w:bookmarkEnd w:id="68450"/>
      <w:bookmarkEnd w:id="68451"/>
      <w:r>
        <w:rPr>
          <w:rFonts w:hint="cs"/>
          <w:rtl/>
        </w:rPr>
        <w:t xml:space="preserve">לדקלם </w:t>
      </w:r>
      <w:bookmarkStart w:id="68452" w:name="_ETM_Q121_266869"/>
      <w:bookmarkEnd w:id="68452"/>
      <w:r>
        <w:rPr>
          <w:rFonts w:hint="cs"/>
          <w:rtl/>
        </w:rPr>
        <w:t xml:space="preserve">אותה </w:t>
      </w:r>
      <w:bookmarkStart w:id="68453" w:name="_ETM_Q121_267079"/>
      <w:bookmarkEnd w:id="68453"/>
      <w:r>
        <w:rPr>
          <w:rFonts w:hint="cs"/>
          <w:rtl/>
        </w:rPr>
        <w:t xml:space="preserve">בעל </w:t>
      </w:r>
      <w:bookmarkStart w:id="68454" w:name="_ETM_Q121_267289"/>
      <w:bookmarkEnd w:id="68454"/>
      <w:r>
        <w:rPr>
          <w:rFonts w:hint="cs"/>
          <w:rtl/>
        </w:rPr>
        <w:t xml:space="preserve">פה. </w:t>
      </w:r>
      <w:bookmarkStart w:id="68455" w:name="_ETM_Q121_267840"/>
      <w:bookmarkEnd w:id="68455"/>
      <w:r>
        <w:rPr>
          <w:rFonts w:hint="cs"/>
          <w:rtl/>
        </w:rPr>
        <w:t xml:space="preserve">חלאס, </w:t>
      </w:r>
      <w:bookmarkStart w:id="68456" w:name="_ETM_Q121_268799"/>
      <w:bookmarkEnd w:id="68456"/>
      <w:r>
        <w:rPr>
          <w:rFonts w:hint="cs"/>
          <w:rtl/>
        </w:rPr>
        <w:t xml:space="preserve">כמה </w:t>
      </w:r>
      <w:bookmarkStart w:id="68457" w:name="_ETM_Q121_269759"/>
      <w:bookmarkEnd w:id="68457"/>
      <w:r>
        <w:rPr>
          <w:rFonts w:hint="cs"/>
          <w:rtl/>
        </w:rPr>
        <w:t xml:space="preserve">אפשר לשיר את </w:t>
      </w:r>
      <w:bookmarkStart w:id="68458" w:name="_ETM_Q121_269540"/>
      <w:bookmarkEnd w:id="68458"/>
      <w:r>
        <w:rPr>
          <w:rFonts w:hint="cs"/>
          <w:rtl/>
        </w:rPr>
        <w:t xml:space="preserve">אותה </w:t>
      </w:r>
      <w:bookmarkStart w:id="68459" w:name="_ETM_Q121_269969"/>
      <w:bookmarkEnd w:id="68459"/>
      <w:r>
        <w:rPr>
          <w:rFonts w:hint="cs"/>
          <w:rtl/>
        </w:rPr>
        <w:t xml:space="preserve">מנגינה </w:t>
      </w:r>
      <w:bookmarkStart w:id="68460" w:name="_ETM_Q121_270450"/>
      <w:bookmarkEnd w:id="68460"/>
      <w:r>
        <w:rPr>
          <w:rFonts w:hint="cs"/>
          <w:rtl/>
        </w:rPr>
        <w:t xml:space="preserve">ולא </w:t>
      </w:r>
      <w:bookmarkStart w:id="68461" w:name="_ETM_Q121_270659"/>
      <w:bookmarkEnd w:id="68461"/>
      <w:r>
        <w:rPr>
          <w:rFonts w:hint="cs"/>
          <w:rtl/>
        </w:rPr>
        <w:t xml:space="preserve">לקחת </w:t>
      </w:r>
      <w:bookmarkStart w:id="68462" w:name="_ETM_Q121_271079"/>
      <w:bookmarkEnd w:id="68462"/>
      <w:r>
        <w:rPr>
          <w:rFonts w:hint="cs"/>
          <w:rtl/>
        </w:rPr>
        <w:t xml:space="preserve">אחריות </w:t>
      </w:r>
      <w:bookmarkStart w:id="68463" w:name="_ETM_Q121_271469"/>
      <w:bookmarkEnd w:id="68463"/>
      <w:r>
        <w:rPr>
          <w:rFonts w:hint="cs"/>
          <w:rtl/>
        </w:rPr>
        <w:t>מינימלית</w:t>
      </w:r>
      <w:r w:rsidR="004C7921">
        <w:rPr>
          <w:rFonts w:hint="cs"/>
          <w:rtl/>
        </w:rPr>
        <w:t>,</w:t>
      </w:r>
      <w:r>
        <w:rPr>
          <w:rFonts w:hint="cs"/>
          <w:rtl/>
        </w:rPr>
        <w:t xml:space="preserve"> כמה?</w:t>
      </w:r>
      <w:r>
        <w:rPr>
          <w:rFonts w:hint="cs"/>
        </w:rPr>
        <w:t xml:space="preserve"> </w:t>
      </w:r>
      <w:bookmarkStart w:id="68464" w:name="_ETM_Q121_273561"/>
      <w:bookmarkStart w:id="68465" w:name="_ETM_Q121_273674"/>
      <w:bookmarkStart w:id="68466" w:name="_ETM_Q121_273712"/>
      <w:bookmarkStart w:id="68467" w:name="_ETM_Q121_273784"/>
      <w:bookmarkStart w:id="68468" w:name="_ETM_Q121_272549"/>
      <w:bookmarkStart w:id="68469" w:name="_ETM_Q121_273899"/>
      <w:bookmarkEnd w:id="68464"/>
      <w:bookmarkEnd w:id="68465"/>
      <w:bookmarkEnd w:id="68466"/>
      <w:bookmarkEnd w:id="68467"/>
      <w:bookmarkEnd w:id="68468"/>
      <w:bookmarkEnd w:id="68469"/>
      <w:r>
        <w:rPr>
          <w:rFonts w:hint="cs"/>
          <w:rtl/>
        </w:rPr>
        <w:t xml:space="preserve">רוב </w:t>
      </w:r>
      <w:bookmarkStart w:id="68470" w:name="_ETM_Q121_275459"/>
      <w:bookmarkEnd w:id="68470"/>
      <w:r>
        <w:rPr>
          <w:rFonts w:hint="cs"/>
          <w:rtl/>
        </w:rPr>
        <w:t xml:space="preserve">הציבור </w:t>
      </w:r>
      <w:bookmarkStart w:id="68471" w:name="_ETM_Q121_276060"/>
      <w:bookmarkEnd w:id="68471"/>
      <w:r>
        <w:rPr>
          <w:rFonts w:hint="cs"/>
          <w:rtl/>
        </w:rPr>
        <w:t xml:space="preserve">שתומך </w:t>
      </w:r>
      <w:bookmarkStart w:id="68472" w:name="_ETM_Q121_276659"/>
      <w:bookmarkEnd w:id="68472"/>
      <w:r>
        <w:rPr>
          <w:rFonts w:hint="cs"/>
          <w:rtl/>
        </w:rPr>
        <w:t xml:space="preserve">היום </w:t>
      </w:r>
      <w:bookmarkStart w:id="68473" w:name="_ETM_Q121_277049"/>
      <w:bookmarkEnd w:id="68473"/>
      <w:r>
        <w:rPr>
          <w:rFonts w:hint="cs"/>
          <w:rtl/>
        </w:rPr>
        <w:t xml:space="preserve">בממשלה, </w:t>
      </w:r>
      <w:bookmarkStart w:id="68474" w:name="_ETM_Q121_279150"/>
      <w:bookmarkEnd w:id="68474"/>
      <w:r>
        <w:rPr>
          <w:rFonts w:hint="cs"/>
          <w:rtl/>
        </w:rPr>
        <w:t xml:space="preserve">יש </w:t>
      </w:r>
      <w:bookmarkStart w:id="68475" w:name="_ETM_Q121_279270"/>
      <w:bookmarkEnd w:id="68475"/>
      <w:r>
        <w:rPr>
          <w:rFonts w:hint="cs"/>
          <w:rtl/>
        </w:rPr>
        <w:t xml:space="preserve">לי </w:t>
      </w:r>
      <w:bookmarkStart w:id="68476" w:name="_ETM_Q121_279360"/>
      <w:bookmarkEnd w:id="68476"/>
      <w:r>
        <w:rPr>
          <w:rFonts w:hint="cs"/>
          <w:rtl/>
        </w:rPr>
        <w:t xml:space="preserve">חדשות </w:t>
      </w:r>
      <w:bookmarkStart w:id="68477" w:name="_ETM_Q121_279750"/>
      <w:bookmarkEnd w:id="68477"/>
      <w:r>
        <w:rPr>
          <w:rFonts w:hint="cs"/>
          <w:rtl/>
        </w:rPr>
        <w:t>בשבילכם,</w:t>
      </w:r>
      <w:bookmarkStart w:id="68478" w:name="_ETM_Q121_281010"/>
      <w:bookmarkEnd w:id="68478"/>
      <w:r>
        <w:rPr>
          <w:rFonts w:hint="cs"/>
          <w:rtl/>
        </w:rPr>
        <w:t xml:space="preserve"> לא </w:t>
      </w:r>
      <w:bookmarkStart w:id="68479" w:name="_ETM_Q121_281400"/>
      <w:bookmarkEnd w:id="68479"/>
      <w:r>
        <w:rPr>
          <w:rFonts w:hint="cs"/>
          <w:rtl/>
        </w:rPr>
        <w:t xml:space="preserve">שונא </w:t>
      </w:r>
      <w:bookmarkStart w:id="68480" w:name="_ETM_Q121_281880"/>
      <w:bookmarkEnd w:id="68480"/>
      <w:r>
        <w:rPr>
          <w:rFonts w:hint="cs"/>
          <w:rtl/>
        </w:rPr>
        <w:t xml:space="preserve">נשים, </w:t>
      </w:r>
      <w:bookmarkStart w:id="68481" w:name="_ETM_Q121_283860"/>
      <w:bookmarkEnd w:id="68481"/>
      <w:r>
        <w:rPr>
          <w:rFonts w:hint="cs"/>
          <w:rtl/>
        </w:rPr>
        <w:t xml:space="preserve">למרות </w:t>
      </w:r>
      <w:bookmarkStart w:id="68482" w:name="_ETM_Q121_284310"/>
      <w:bookmarkEnd w:id="68482"/>
      <w:r>
        <w:rPr>
          <w:rFonts w:hint="cs"/>
          <w:rtl/>
        </w:rPr>
        <w:t xml:space="preserve">שהמנהיגים </w:t>
      </w:r>
      <w:bookmarkStart w:id="68483" w:name="_ETM_Q121_284530"/>
      <w:bookmarkStart w:id="68484" w:name="_ETM_Q121_284680"/>
      <w:bookmarkStart w:id="68485" w:name="_ETM_Q121_284979"/>
      <w:bookmarkEnd w:id="68483"/>
      <w:bookmarkEnd w:id="68484"/>
      <w:bookmarkEnd w:id="68485"/>
      <w:r>
        <w:rPr>
          <w:rFonts w:hint="cs"/>
          <w:rtl/>
        </w:rPr>
        <w:t xml:space="preserve">שלו </w:t>
      </w:r>
      <w:bookmarkStart w:id="68486" w:name="_ETM_Q121_285799"/>
      <w:bookmarkEnd w:id="68486"/>
      <w:r>
        <w:rPr>
          <w:rFonts w:hint="cs"/>
          <w:rtl/>
        </w:rPr>
        <w:t xml:space="preserve">פועלים </w:t>
      </w:r>
      <w:bookmarkStart w:id="68487" w:name="_ETM_Q121_287299"/>
      <w:bookmarkEnd w:id="68487"/>
      <w:r>
        <w:rPr>
          <w:rFonts w:hint="cs"/>
          <w:rtl/>
        </w:rPr>
        <w:t xml:space="preserve">בדיוק למען </w:t>
      </w:r>
      <w:bookmarkStart w:id="68488" w:name="_ETM_Q121_287719"/>
      <w:bookmarkEnd w:id="68488"/>
      <w:r>
        <w:rPr>
          <w:rFonts w:hint="cs"/>
          <w:rtl/>
        </w:rPr>
        <w:t xml:space="preserve">אפליית </w:t>
      </w:r>
      <w:bookmarkStart w:id="68489" w:name="_ETM_Q121_288229"/>
      <w:bookmarkEnd w:id="68489"/>
      <w:r>
        <w:rPr>
          <w:rFonts w:hint="cs"/>
          <w:rtl/>
        </w:rPr>
        <w:t xml:space="preserve">נשים </w:t>
      </w:r>
      <w:bookmarkStart w:id="68490" w:name="_ETM_Q121_288619"/>
      <w:bookmarkEnd w:id="68490"/>
      <w:r>
        <w:rPr>
          <w:rFonts w:hint="cs"/>
          <w:rtl/>
        </w:rPr>
        <w:t xml:space="preserve">ופגיעה </w:t>
      </w:r>
      <w:bookmarkStart w:id="68491" w:name="_ETM_Q121_289070"/>
      <w:bookmarkEnd w:id="68491"/>
      <w:r>
        <w:rPr>
          <w:rFonts w:hint="cs"/>
          <w:rtl/>
        </w:rPr>
        <w:t xml:space="preserve">בהן. </w:t>
      </w:r>
      <w:bookmarkStart w:id="68492" w:name="_ETM_Q121_290740"/>
      <w:bookmarkEnd w:id="68492"/>
      <w:r>
        <w:rPr>
          <w:rFonts w:hint="cs"/>
          <w:rtl/>
        </w:rPr>
        <w:t>רוב</w:t>
      </w:r>
      <w:bookmarkStart w:id="68493" w:name="_ETM_Q121_291280"/>
      <w:bookmarkEnd w:id="68493"/>
      <w:r>
        <w:rPr>
          <w:rFonts w:hint="cs"/>
          <w:rtl/>
        </w:rPr>
        <w:t xml:space="preserve"> הציבור </w:t>
      </w:r>
      <w:bookmarkStart w:id="68494" w:name="_ETM_Q121_291899"/>
      <w:bookmarkEnd w:id="68494"/>
      <w:r>
        <w:rPr>
          <w:rFonts w:hint="cs"/>
          <w:rtl/>
        </w:rPr>
        <w:t>ש</w:t>
      </w:r>
      <w:bookmarkStart w:id="68495" w:name="_ETM_Q121_292109"/>
      <w:bookmarkEnd w:id="68495"/>
      <w:r>
        <w:rPr>
          <w:rFonts w:hint="cs"/>
          <w:rtl/>
        </w:rPr>
        <w:t xml:space="preserve">תומך </w:t>
      </w:r>
      <w:bookmarkStart w:id="68496" w:name="_ETM_Q121_292499"/>
      <w:bookmarkEnd w:id="68496"/>
      <w:r>
        <w:rPr>
          <w:rFonts w:hint="cs"/>
          <w:rtl/>
        </w:rPr>
        <w:t xml:space="preserve">בממשלה </w:t>
      </w:r>
      <w:bookmarkStart w:id="68497" w:name="_ETM_Q121_294069"/>
      <w:bookmarkEnd w:id="68497"/>
      <w:r>
        <w:rPr>
          <w:rFonts w:hint="cs"/>
          <w:rtl/>
        </w:rPr>
        <w:t xml:space="preserve">הוא </w:t>
      </w:r>
      <w:bookmarkStart w:id="68498" w:name="_ETM_Q121_294189"/>
      <w:bookmarkEnd w:id="68498"/>
      <w:r>
        <w:rPr>
          <w:rFonts w:hint="cs"/>
          <w:rtl/>
        </w:rPr>
        <w:t xml:space="preserve">לא </w:t>
      </w:r>
      <w:bookmarkStart w:id="68499" w:name="_ETM_Q121_294310"/>
      <w:bookmarkEnd w:id="68499"/>
      <w:r>
        <w:rPr>
          <w:rFonts w:hint="cs"/>
          <w:rtl/>
        </w:rPr>
        <w:t xml:space="preserve">שונא </w:t>
      </w:r>
      <w:bookmarkStart w:id="68500" w:name="_ETM_Q121_294609"/>
      <w:bookmarkEnd w:id="68500"/>
      <w:r>
        <w:rPr>
          <w:rFonts w:hint="cs"/>
          <w:rtl/>
        </w:rPr>
        <w:t xml:space="preserve">להט"בים, </w:t>
      </w:r>
      <w:bookmarkStart w:id="68501" w:name="_ETM_Q121_294881"/>
      <w:bookmarkStart w:id="68502" w:name="_ETM_Q121_295391"/>
      <w:bookmarkStart w:id="68503" w:name="_ETM_Q121_295465"/>
      <w:bookmarkStart w:id="68504" w:name="_ETM_Q121_296610"/>
      <w:bookmarkEnd w:id="68501"/>
      <w:bookmarkEnd w:id="68502"/>
      <w:bookmarkEnd w:id="68503"/>
      <w:bookmarkEnd w:id="68504"/>
      <w:r>
        <w:rPr>
          <w:rFonts w:hint="cs"/>
          <w:rtl/>
        </w:rPr>
        <w:t xml:space="preserve">אין </w:t>
      </w:r>
      <w:bookmarkStart w:id="68505" w:name="_ETM_Q121_296970"/>
      <w:bookmarkEnd w:id="68505"/>
      <w:r>
        <w:rPr>
          <w:rFonts w:hint="cs"/>
          <w:rtl/>
        </w:rPr>
        <w:t xml:space="preserve">לו בעיה </w:t>
      </w:r>
      <w:bookmarkStart w:id="68506" w:name="_ETM_Q121_297360"/>
      <w:bookmarkEnd w:id="68506"/>
      <w:r>
        <w:rPr>
          <w:rFonts w:hint="cs"/>
          <w:rtl/>
        </w:rPr>
        <w:t xml:space="preserve">עם אבא ואבא ואימא </w:t>
      </w:r>
      <w:bookmarkStart w:id="68507" w:name="_ETM_Q121_297600"/>
      <w:bookmarkEnd w:id="68507"/>
      <w:r>
        <w:rPr>
          <w:rFonts w:hint="cs"/>
          <w:rtl/>
        </w:rPr>
        <w:t xml:space="preserve">ואימא. </w:t>
      </w:r>
      <w:bookmarkStart w:id="68508" w:name="_ETM_Q121_297750"/>
      <w:bookmarkStart w:id="68509" w:name="_ETM_Q121_298170"/>
      <w:bookmarkStart w:id="68510" w:name="_ETM_Q121_298530"/>
      <w:bookmarkStart w:id="68511" w:name="_ETM_Q121_299759"/>
      <w:bookmarkEnd w:id="68508"/>
      <w:bookmarkEnd w:id="68509"/>
      <w:bookmarkEnd w:id="68510"/>
      <w:bookmarkEnd w:id="68511"/>
      <w:r>
        <w:rPr>
          <w:rFonts w:hint="cs"/>
          <w:rtl/>
        </w:rPr>
        <w:t xml:space="preserve">בואו </w:t>
      </w:r>
      <w:bookmarkStart w:id="68512" w:name="_ETM_Q121_299999"/>
      <w:bookmarkEnd w:id="68512"/>
      <w:r>
        <w:rPr>
          <w:rFonts w:hint="cs"/>
          <w:rtl/>
        </w:rPr>
        <w:t xml:space="preserve">נשים </w:t>
      </w:r>
      <w:bookmarkStart w:id="68513" w:name="_ETM_Q121_300270"/>
      <w:bookmarkEnd w:id="68513"/>
      <w:r>
        <w:rPr>
          <w:rFonts w:hint="cs"/>
          <w:rtl/>
        </w:rPr>
        <w:t xml:space="preserve">את </w:t>
      </w:r>
      <w:bookmarkStart w:id="68514" w:name="_ETM_Q121_300359"/>
      <w:bookmarkEnd w:id="68514"/>
      <w:r>
        <w:rPr>
          <w:rFonts w:hint="cs"/>
          <w:rtl/>
        </w:rPr>
        <w:t xml:space="preserve">זה </w:t>
      </w:r>
      <w:bookmarkStart w:id="68515" w:name="_ETM_Q121_300450"/>
      <w:bookmarkEnd w:id="68515"/>
      <w:r>
        <w:rPr>
          <w:rFonts w:hint="cs"/>
          <w:rtl/>
        </w:rPr>
        <w:t xml:space="preserve">רגע </w:t>
      </w:r>
      <w:bookmarkStart w:id="68516" w:name="_ETM_Q121_300749"/>
      <w:bookmarkEnd w:id="68516"/>
      <w:r>
        <w:rPr>
          <w:rFonts w:hint="cs"/>
          <w:rtl/>
        </w:rPr>
        <w:t xml:space="preserve">על </w:t>
      </w:r>
      <w:bookmarkStart w:id="68517" w:name="_ETM_Q121_300840"/>
      <w:bookmarkEnd w:id="68517"/>
      <w:r>
        <w:rPr>
          <w:rFonts w:hint="cs"/>
          <w:rtl/>
        </w:rPr>
        <w:t xml:space="preserve">השולחן. </w:t>
      </w:r>
      <w:bookmarkStart w:id="68518" w:name="_ETM_Q121_301229"/>
      <w:bookmarkEnd w:id="68518"/>
      <w:r>
        <w:rPr>
          <w:rFonts w:hint="cs"/>
          <w:rtl/>
        </w:rPr>
        <w:t>סבבה?</w:t>
      </w:r>
      <w:bookmarkStart w:id="68519" w:name="_ETM_Q121_301600"/>
      <w:bookmarkEnd w:id="68519"/>
      <w:r>
        <w:rPr>
          <w:rFonts w:hint="cs"/>
          <w:rtl/>
        </w:rPr>
        <w:t xml:space="preserve"> </w:t>
      </w:r>
      <w:bookmarkStart w:id="68520" w:name="_ETM_Q121_301750"/>
      <w:bookmarkEnd w:id="68520"/>
      <w:r>
        <w:rPr>
          <w:rFonts w:hint="cs"/>
          <w:rtl/>
        </w:rPr>
        <w:t>רוב</w:t>
      </w:r>
      <w:bookmarkStart w:id="68521" w:name="_ETM_Q121_302110"/>
      <w:bookmarkEnd w:id="68521"/>
      <w:r>
        <w:rPr>
          <w:rFonts w:hint="cs"/>
          <w:rtl/>
        </w:rPr>
        <w:t xml:space="preserve"> הציבור </w:t>
      </w:r>
      <w:bookmarkStart w:id="68522" w:name="_ETM_Q121_302530"/>
      <w:bookmarkEnd w:id="68522"/>
      <w:r>
        <w:rPr>
          <w:rFonts w:hint="cs"/>
          <w:rtl/>
        </w:rPr>
        <w:t xml:space="preserve">שתומך </w:t>
      </w:r>
      <w:bookmarkStart w:id="68523" w:name="_ETM_Q121_302860"/>
      <w:bookmarkEnd w:id="68523"/>
      <w:r>
        <w:rPr>
          <w:rFonts w:hint="cs"/>
          <w:rtl/>
        </w:rPr>
        <w:t xml:space="preserve">בכם, </w:t>
      </w:r>
      <w:bookmarkStart w:id="68524" w:name="_ETM_Q121_304600"/>
      <w:bookmarkEnd w:id="68524"/>
      <w:r>
        <w:rPr>
          <w:rFonts w:hint="cs"/>
          <w:rtl/>
        </w:rPr>
        <w:t xml:space="preserve">למרות </w:t>
      </w:r>
      <w:bookmarkStart w:id="68525" w:name="_ETM_Q121_305079"/>
      <w:bookmarkEnd w:id="68525"/>
      <w:r>
        <w:rPr>
          <w:rFonts w:hint="cs"/>
          <w:rtl/>
        </w:rPr>
        <w:t xml:space="preserve">שהמנהיגים </w:t>
      </w:r>
      <w:bookmarkStart w:id="68526" w:name="_ETM_Q121_305979"/>
      <w:bookmarkEnd w:id="68526"/>
      <w:r>
        <w:rPr>
          <w:rFonts w:hint="cs"/>
          <w:rtl/>
        </w:rPr>
        <w:t xml:space="preserve">שלו </w:t>
      </w:r>
      <w:bookmarkStart w:id="68527" w:name="_ETM_Q121_306429"/>
      <w:bookmarkEnd w:id="68527"/>
      <w:r>
        <w:rPr>
          <w:rFonts w:hint="cs"/>
          <w:rtl/>
        </w:rPr>
        <w:t xml:space="preserve">הם </w:t>
      </w:r>
      <w:bookmarkStart w:id="68528" w:name="_ETM_Q121_306960"/>
      <w:bookmarkEnd w:id="68528"/>
      <w:r>
        <w:rPr>
          <w:rFonts w:hint="cs"/>
          <w:rtl/>
        </w:rPr>
        <w:t xml:space="preserve">הומופובים, </w:t>
      </w:r>
      <w:bookmarkStart w:id="68529" w:name="_ETM_Q121_307049"/>
      <w:bookmarkStart w:id="68530" w:name="_ETM_Q121_308380"/>
      <w:bookmarkEnd w:id="68529"/>
      <w:bookmarkEnd w:id="68530"/>
      <w:r>
        <w:rPr>
          <w:rFonts w:hint="cs"/>
          <w:rtl/>
        </w:rPr>
        <w:t xml:space="preserve">חשוכים, </w:t>
      </w:r>
      <w:bookmarkStart w:id="68531" w:name="_ETM_Q121_309800"/>
      <w:bookmarkEnd w:id="68531"/>
      <w:r>
        <w:rPr>
          <w:rFonts w:hint="cs"/>
          <w:rtl/>
        </w:rPr>
        <w:t xml:space="preserve">שמקדמים </w:t>
      </w:r>
      <w:bookmarkStart w:id="68532" w:name="_ETM_Q121_310490"/>
      <w:bookmarkEnd w:id="68532"/>
      <w:r>
        <w:rPr>
          <w:rFonts w:hint="cs"/>
          <w:rtl/>
        </w:rPr>
        <w:t xml:space="preserve">בפועל </w:t>
      </w:r>
      <w:bookmarkStart w:id="68533" w:name="_ETM_Q121_311510"/>
      <w:bookmarkEnd w:id="68533"/>
      <w:r>
        <w:rPr>
          <w:rFonts w:hint="cs"/>
          <w:rtl/>
        </w:rPr>
        <w:t xml:space="preserve">מדיניות </w:t>
      </w:r>
      <w:bookmarkStart w:id="68534" w:name="_ETM_Q121_312290"/>
      <w:bookmarkEnd w:id="68534"/>
      <w:r>
        <w:rPr>
          <w:rFonts w:hint="cs"/>
          <w:rtl/>
        </w:rPr>
        <w:t xml:space="preserve">שבאה </w:t>
      </w:r>
      <w:bookmarkStart w:id="68535" w:name="_ETM_Q121_312590"/>
      <w:bookmarkEnd w:id="68535"/>
      <w:r>
        <w:rPr>
          <w:rFonts w:hint="cs"/>
          <w:rtl/>
        </w:rPr>
        <w:t xml:space="preserve">לחסל </w:t>
      </w:r>
      <w:bookmarkStart w:id="68536" w:name="_ETM_Q121_313220"/>
      <w:bookmarkEnd w:id="68536"/>
      <w:r>
        <w:rPr>
          <w:rFonts w:hint="cs"/>
          <w:rtl/>
        </w:rPr>
        <w:t xml:space="preserve">את </w:t>
      </w:r>
      <w:bookmarkStart w:id="68537" w:name="_ETM_Q121_313370"/>
      <w:bookmarkEnd w:id="68537"/>
      <w:r>
        <w:rPr>
          <w:rFonts w:hint="cs"/>
          <w:rtl/>
        </w:rPr>
        <w:t xml:space="preserve">הקהילה, </w:t>
      </w:r>
      <w:bookmarkStart w:id="68538" w:name="_ETM_Q121_313910"/>
      <w:bookmarkEnd w:id="68538"/>
      <w:r>
        <w:rPr>
          <w:rFonts w:hint="cs"/>
          <w:rtl/>
        </w:rPr>
        <w:t xml:space="preserve">ולבסוף, </w:t>
      </w:r>
      <w:bookmarkStart w:id="68539" w:name="_ETM_Q121_315439"/>
      <w:bookmarkEnd w:id="68539"/>
      <w:r>
        <w:rPr>
          <w:rFonts w:hint="cs"/>
          <w:rtl/>
        </w:rPr>
        <w:t xml:space="preserve">לכו </w:t>
      </w:r>
      <w:bookmarkStart w:id="68540" w:name="_ETM_Q121_315799"/>
      <w:bookmarkStart w:id="68541" w:name="_ETM_Q121_316040"/>
      <w:bookmarkStart w:id="68542" w:name="_ETM_Q121_316310"/>
      <w:bookmarkEnd w:id="68540"/>
      <w:bookmarkEnd w:id="68541"/>
      <w:bookmarkEnd w:id="68542"/>
      <w:r>
        <w:rPr>
          <w:rFonts w:hint="cs"/>
          <w:rtl/>
        </w:rPr>
        <w:t xml:space="preserve">תדעו, </w:t>
      </w:r>
      <w:bookmarkStart w:id="68543" w:name="_ETM_Q121_317040"/>
      <w:bookmarkEnd w:id="68543"/>
      <w:r>
        <w:rPr>
          <w:rFonts w:hint="cs"/>
          <w:rtl/>
        </w:rPr>
        <w:t xml:space="preserve">אולי </w:t>
      </w:r>
      <w:bookmarkStart w:id="68544" w:name="_ETM_Q121_317280"/>
      <w:bookmarkEnd w:id="68544"/>
      <w:r>
        <w:rPr>
          <w:rFonts w:hint="cs"/>
          <w:rtl/>
        </w:rPr>
        <w:t xml:space="preserve">גם </w:t>
      </w:r>
      <w:bookmarkStart w:id="68545" w:name="_ETM_Q121_317430"/>
      <w:bookmarkEnd w:id="68545"/>
      <w:r>
        <w:rPr>
          <w:rFonts w:hint="cs"/>
          <w:rtl/>
        </w:rPr>
        <w:t xml:space="preserve">להוציא </w:t>
      </w:r>
      <w:bookmarkStart w:id="68546" w:name="_ETM_Q121_317760"/>
      <w:bookmarkEnd w:id="68546"/>
      <w:r>
        <w:rPr>
          <w:rFonts w:hint="cs"/>
          <w:rtl/>
        </w:rPr>
        <w:t xml:space="preserve">אותה </w:t>
      </w:r>
      <w:bookmarkStart w:id="68547" w:name="_ETM_Q121_318000"/>
      <w:bookmarkEnd w:id="68547"/>
      <w:r>
        <w:rPr>
          <w:rFonts w:hint="cs"/>
          <w:rtl/>
        </w:rPr>
        <w:t xml:space="preserve">אל מחוץ </w:t>
      </w:r>
      <w:bookmarkStart w:id="68548" w:name="_ETM_Q121_318330"/>
      <w:bookmarkEnd w:id="68548"/>
      <w:r>
        <w:rPr>
          <w:rFonts w:hint="cs"/>
          <w:rtl/>
        </w:rPr>
        <w:t>לחוק</w:t>
      </w:r>
      <w:r w:rsidR="004C7921">
        <w:rPr>
          <w:rFonts w:hint="cs"/>
          <w:rtl/>
        </w:rPr>
        <w:t xml:space="preserve"> </w:t>
      </w:r>
      <w:r w:rsidR="004C7921">
        <w:rPr>
          <w:rFonts w:hint="eastAsia"/>
          <w:rtl/>
        </w:rPr>
        <w:t>–</w:t>
      </w:r>
      <w:r w:rsidR="004C7921">
        <w:rPr>
          <w:rFonts w:hint="cs"/>
          <w:rtl/>
        </w:rPr>
        <w:t xml:space="preserve"> </w:t>
      </w:r>
      <w:bookmarkStart w:id="68549" w:name="_ETM_Q121_320056"/>
      <w:bookmarkStart w:id="68550" w:name="_ETM_Q121_320168"/>
      <w:bookmarkStart w:id="68551" w:name="_ETM_Q121_320232"/>
      <w:bookmarkStart w:id="68552" w:name="_ETM_Q121_320308"/>
      <w:bookmarkStart w:id="68553" w:name="_ETM_Q121_320500"/>
      <w:bookmarkEnd w:id="68549"/>
      <w:bookmarkEnd w:id="68550"/>
      <w:bookmarkEnd w:id="68551"/>
      <w:bookmarkEnd w:id="68552"/>
      <w:bookmarkEnd w:id="68553"/>
      <w:r>
        <w:rPr>
          <w:rFonts w:hint="cs"/>
          <w:rtl/>
        </w:rPr>
        <w:t xml:space="preserve">רוב </w:t>
      </w:r>
      <w:bookmarkStart w:id="68554" w:name="_ETM_Q121_321100"/>
      <w:bookmarkEnd w:id="68554"/>
      <w:r>
        <w:rPr>
          <w:rFonts w:hint="cs"/>
          <w:rtl/>
        </w:rPr>
        <w:t xml:space="preserve">הציבור </w:t>
      </w:r>
      <w:bookmarkStart w:id="68555" w:name="_ETM_Q121_321940"/>
      <w:bookmarkEnd w:id="68555"/>
      <w:r>
        <w:rPr>
          <w:rFonts w:hint="cs"/>
          <w:rtl/>
        </w:rPr>
        <w:t xml:space="preserve">שתומך </w:t>
      </w:r>
      <w:bookmarkStart w:id="68556" w:name="_ETM_Q121_322510"/>
      <w:bookmarkEnd w:id="68556"/>
      <w:r>
        <w:rPr>
          <w:rFonts w:hint="cs"/>
          <w:rtl/>
        </w:rPr>
        <w:t xml:space="preserve">בממשלה </w:t>
      </w:r>
      <w:bookmarkStart w:id="68557" w:name="_ETM_Q121_324160"/>
      <w:bookmarkEnd w:id="68557"/>
      <w:r>
        <w:rPr>
          <w:rFonts w:hint="cs"/>
          <w:rtl/>
        </w:rPr>
        <w:t xml:space="preserve">לא </w:t>
      </w:r>
      <w:bookmarkStart w:id="68558" w:name="_ETM_Q121_324520"/>
      <w:bookmarkEnd w:id="68558"/>
      <w:r>
        <w:rPr>
          <w:rFonts w:hint="cs"/>
          <w:rtl/>
        </w:rPr>
        <w:t xml:space="preserve">רוצה </w:t>
      </w:r>
      <w:bookmarkStart w:id="68559" w:name="_ETM_Q121_324880"/>
      <w:bookmarkEnd w:id="68559"/>
      <w:r>
        <w:rPr>
          <w:rFonts w:hint="cs"/>
          <w:rtl/>
        </w:rPr>
        <w:t xml:space="preserve">דיקטטורה, </w:t>
      </w:r>
      <w:bookmarkStart w:id="68560" w:name="_ETM_Q121_326519"/>
      <w:bookmarkEnd w:id="68560"/>
      <w:r>
        <w:rPr>
          <w:rFonts w:hint="cs"/>
          <w:rtl/>
        </w:rPr>
        <w:t xml:space="preserve">למרות </w:t>
      </w:r>
      <w:bookmarkStart w:id="68561" w:name="_ETM_Q121_327029"/>
      <w:bookmarkEnd w:id="68561"/>
      <w:r>
        <w:rPr>
          <w:rFonts w:hint="cs"/>
          <w:rtl/>
        </w:rPr>
        <w:t xml:space="preserve">שראש </w:t>
      </w:r>
      <w:bookmarkStart w:id="68562" w:name="_ETM_Q121_327450"/>
      <w:bookmarkEnd w:id="68562"/>
      <w:r>
        <w:rPr>
          <w:rFonts w:hint="cs"/>
          <w:rtl/>
        </w:rPr>
        <w:t xml:space="preserve">הממשלה </w:t>
      </w:r>
      <w:bookmarkStart w:id="68563" w:name="_ETM_Q121_328169"/>
      <w:bookmarkEnd w:id="68563"/>
      <w:r>
        <w:rPr>
          <w:rFonts w:hint="cs"/>
          <w:rtl/>
        </w:rPr>
        <w:t xml:space="preserve">שלו </w:t>
      </w:r>
      <w:bookmarkStart w:id="68564" w:name="_ETM_Q121_329139"/>
      <w:bookmarkEnd w:id="68564"/>
      <w:r>
        <w:rPr>
          <w:rFonts w:hint="cs"/>
          <w:rtl/>
        </w:rPr>
        <w:t xml:space="preserve">מוביל </w:t>
      </w:r>
      <w:bookmarkStart w:id="68565" w:name="_ETM_Q121_330160"/>
      <w:bookmarkEnd w:id="68565"/>
      <w:r>
        <w:rPr>
          <w:rFonts w:hint="cs"/>
          <w:rtl/>
        </w:rPr>
        <w:t xml:space="preserve">בדיוק </w:t>
      </w:r>
      <w:bookmarkStart w:id="68566" w:name="_ETM_Q121_330790"/>
      <w:bookmarkEnd w:id="68566"/>
      <w:r>
        <w:rPr>
          <w:rFonts w:hint="cs"/>
          <w:rtl/>
        </w:rPr>
        <w:t xml:space="preserve">לזה. </w:t>
      </w:r>
      <w:bookmarkStart w:id="68567" w:name="_ETM_Q121_333760"/>
      <w:bookmarkEnd w:id="68567"/>
      <w:r>
        <w:rPr>
          <w:rFonts w:hint="cs"/>
          <w:rtl/>
        </w:rPr>
        <w:t xml:space="preserve">רוב </w:t>
      </w:r>
      <w:bookmarkStart w:id="68568" w:name="_ETM_Q121_334090"/>
      <w:bookmarkEnd w:id="68568"/>
      <w:r>
        <w:rPr>
          <w:rFonts w:hint="cs"/>
          <w:rtl/>
        </w:rPr>
        <w:t xml:space="preserve">הציבור </w:t>
      </w:r>
      <w:bookmarkStart w:id="68569" w:name="_ETM_Q121_336870"/>
      <w:bookmarkEnd w:id="68569"/>
      <w:r>
        <w:rPr>
          <w:rFonts w:hint="cs"/>
          <w:rtl/>
        </w:rPr>
        <w:t xml:space="preserve">שתומך </w:t>
      </w:r>
      <w:bookmarkStart w:id="68570" w:name="_ETM_Q121_337500"/>
      <w:bookmarkEnd w:id="68570"/>
      <w:r>
        <w:rPr>
          <w:rFonts w:hint="cs"/>
          <w:rtl/>
        </w:rPr>
        <w:t xml:space="preserve">בממשלה </w:t>
      </w:r>
      <w:bookmarkStart w:id="68571" w:name="_ETM_Q121_340139"/>
      <w:bookmarkEnd w:id="68571"/>
      <w:r>
        <w:rPr>
          <w:rFonts w:hint="cs"/>
          <w:rtl/>
        </w:rPr>
        <w:t xml:space="preserve">נקרע, </w:t>
      </w:r>
      <w:bookmarkStart w:id="68572" w:name="_ETM_Q121_342319"/>
      <w:bookmarkEnd w:id="68572"/>
      <w:r>
        <w:rPr>
          <w:rFonts w:hint="cs"/>
          <w:rtl/>
        </w:rPr>
        <w:t xml:space="preserve">כואב </w:t>
      </w:r>
      <w:bookmarkStart w:id="68573" w:name="_ETM_Q121_343400"/>
      <w:bookmarkEnd w:id="68573"/>
      <w:r>
        <w:rPr>
          <w:rFonts w:hint="cs"/>
          <w:rtl/>
        </w:rPr>
        <w:t xml:space="preserve">ועצוב </w:t>
      </w:r>
      <w:bookmarkStart w:id="68574" w:name="_ETM_Q121_345090"/>
      <w:bookmarkEnd w:id="68574"/>
      <w:r>
        <w:rPr>
          <w:rFonts w:hint="cs"/>
          <w:rtl/>
        </w:rPr>
        <w:t xml:space="preserve">בדיוק </w:t>
      </w:r>
      <w:bookmarkStart w:id="68575" w:name="_ETM_Q121_345690"/>
      <w:bookmarkEnd w:id="68575"/>
      <w:r>
        <w:rPr>
          <w:rFonts w:hint="cs"/>
          <w:rtl/>
        </w:rPr>
        <w:t xml:space="preserve">כמו </w:t>
      </w:r>
      <w:bookmarkStart w:id="68576" w:name="_ETM_Q121_346349"/>
      <w:bookmarkEnd w:id="68576"/>
      <w:r>
        <w:rPr>
          <w:rFonts w:hint="cs"/>
          <w:rtl/>
        </w:rPr>
        <w:t xml:space="preserve">אחיו </w:t>
      </w:r>
      <w:bookmarkStart w:id="68577" w:name="_ETM_Q121_346650"/>
      <w:bookmarkEnd w:id="68577"/>
      <w:r>
        <w:rPr>
          <w:rFonts w:hint="cs"/>
          <w:rtl/>
        </w:rPr>
        <w:t xml:space="preserve">ואחיותיו </w:t>
      </w:r>
      <w:bookmarkStart w:id="68578" w:name="_ETM_Q121_347829"/>
      <w:bookmarkEnd w:id="68578"/>
      <w:r>
        <w:rPr>
          <w:rFonts w:hint="cs"/>
          <w:rtl/>
        </w:rPr>
        <w:t xml:space="preserve">מהצד </w:t>
      </w:r>
      <w:bookmarkStart w:id="68579" w:name="_ETM_Q121_348400"/>
      <w:bookmarkEnd w:id="68579"/>
      <w:r>
        <w:rPr>
          <w:rFonts w:hint="cs"/>
          <w:rtl/>
        </w:rPr>
        <w:t xml:space="preserve">השני, </w:t>
      </w:r>
      <w:bookmarkStart w:id="68580" w:name="_ETM_Q121_350080"/>
      <w:bookmarkEnd w:id="68580"/>
      <w:r>
        <w:rPr>
          <w:rFonts w:hint="cs"/>
          <w:rtl/>
        </w:rPr>
        <w:t xml:space="preserve">וגם </w:t>
      </w:r>
      <w:bookmarkStart w:id="68581" w:name="_ETM_Q121_350470"/>
      <w:bookmarkEnd w:id="68581"/>
      <w:r>
        <w:rPr>
          <w:rFonts w:hint="cs"/>
          <w:rtl/>
        </w:rPr>
        <w:t xml:space="preserve">הוא </w:t>
      </w:r>
      <w:bookmarkStart w:id="68582" w:name="_ETM_Q121_351790"/>
      <w:bookmarkEnd w:id="68582"/>
      <w:r>
        <w:rPr>
          <w:rFonts w:hint="cs"/>
          <w:rtl/>
        </w:rPr>
        <w:t xml:space="preserve">מבקש </w:t>
      </w:r>
      <w:bookmarkStart w:id="68583" w:name="_ETM_Q121_352330"/>
      <w:bookmarkEnd w:id="68583"/>
      <w:r>
        <w:rPr>
          <w:rFonts w:hint="cs"/>
          <w:rtl/>
        </w:rPr>
        <w:t xml:space="preserve">מכם </w:t>
      </w:r>
      <w:bookmarkStart w:id="68584" w:name="_ETM_Q121_352689"/>
      <w:bookmarkEnd w:id="68584"/>
      <w:r>
        <w:rPr>
          <w:rFonts w:hint="cs"/>
          <w:rtl/>
        </w:rPr>
        <w:t xml:space="preserve">לעצור </w:t>
      </w:r>
      <w:bookmarkStart w:id="68585" w:name="_ETM_Q121_354610"/>
      <w:bookmarkEnd w:id="68585"/>
      <w:r>
        <w:rPr>
          <w:rFonts w:hint="cs"/>
          <w:rtl/>
        </w:rPr>
        <w:t xml:space="preserve">כי </w:t>
      </w:r>
      <w:bookmarkStart w:id="68586" w:name="_ETM_Q121_354880"/>
      <w:bookmarkEnd w:id="68586"/>
      <w:r>
        <w:rPr>
          <w:rFonts w:hint="cs"/>
          <w:rtl/>
        </w:rPr>
        <w:t xml:space="preserve">לציבור </w:t>
      </w:r>
      <w:bookmarkStart w:id="68587" w:name="_ETM_Q121_355450"/>
      <w:bookmarkEnd w:id="68587"/>
      <w:r>
        <w:rPr>
          <w:rFonts w:hint="cs"/>
          <w:rtl/>
        </w:rPr>
        <w:t xml:space="preserve">שתומך </w:t>
      </w:r>
      <w:bookmarkStart w:id="68588" w:name="_ETM_Q121_356110"/>
      <w:bookmarkEnd w:id="68588"/>
      <w:r>
        <w:rPr>
          <w:rFonts w:hint="cs"/>
          <w:rtl/>
        </w:rPr>
        <w:t xml:space="preserve">בממשלה, </w:t>
      </w:r>
      <w:bookmarkStart w:id="68589" w:name="_ETM_Q121_357040"/>
      <w:bookmarkEnd w:id="68589"/>
      <w:r>
        <w:rPr>
          <w:rFonts w:hint="cs"/>
          <w:rtl/>
        </w:rPr>
        <w:t xml:space="preserve">להבדיל </w:t>
      </w:r>
      <w:bookmarkStart w:id="68590" w:name="_ETM_Q121_357700"/>
      <w:bookmarkEnd w:id="68590"/>
      <w:r>
        <w:rPr>
          <w:rFonts w:hint="cs"/>
          <w:rtl/>
        </w:rPr>
        <w:t xml:space="preserve">מחברי </w:t>
      </w:r>
      <w:bookmarkStart w:id="68591" w:name="_ETM_Q121_358300"/>
      <w:bookmarkEnd w:id="68591"/>
      <w:r>
        <w:rPr>
          <w:rFonts w:hint="cs"/>
          <w:rtl/>
        </w:rPr>
        <w:t xml:space="preserve">הממשלה, </w:t>
      </w:r>
      <w:bookmarkStart w:id="68592" w:name="_ETM_Q121_360139"/>
      <w:bookmarkEnd w:id="68592"/>
      <w:r>
        <w:rPr>
          <w:rFonts w:hint="cs"/>
          <w:rtl/>
        </w:rPr>
        <w:t xml:space="preserve">יש </w:t>
      </w:r>
      <w:bookmarkStart w:id="68593" w:name="_ETM_Q121_360500"/>
      <w:bookmarkEnd w:id="68593"/>
      <w:r>
        <w:rPr>
          <w:rFonts w:hint="cs"/>
          <w:rtl/>
        </w:rPr>
        <w:t xml:space="preserve">אהבה </w:t>
      </w:r>
      <w:bookmarkStart w:id="68594" w:name="_ETM_Q121_361550"/>
      <w:bookmarkEnd w:id="68594"/>
      <w:r>
        <w:rPr>
          <w:rFonts w:hint="cs"/>
          <w:rtl/>
        </w:rPr>
        <w:t xml:space="preserve">לעם </w:t>
      </w:r>
      <w:bookmarkStart w:id="68595" w:name="_ETM_Q121_361970"/>
      <w:bookmarkEnd w:id="68595"/>
      <w:r>
        <w:rPr>
          <w:rFonts w:hint="cs"/>
          <w:rtl/>
        </w:rPr>
        <w:t xml:space="preserve">ישראל </w:t>
      </w:r>
      <w:bookmarkStart w:id="68596" w:name="_ETM_Q121_363530"/>
      <w:bookmarkEnd w:id="68596"/>
      <w:r>
        <w:rPr>
          <w:rFonts w:hint="cs"/>
          <w:rtl/>
        </w:rPr>
        <w:t xml:space="preserve">והוא </w:t>
      </w:r>
      <w:bookmarkStart w:id="68597" w:name="_ETM_Q121_363799"/>
      <w:bookmarkEnd w:id="68597"/>
      <w:r>
        <w:rPr>
          <w:rFonts w:hint="cs"/>
          <w:rtl/>
        </w:rPr>
        <w:t xml:space="preserve">לא </w:t>
      </w:r>
      <w:bookmarkStart w:id="68598" w:name="_ETM_Q121_363980"/>
      <w:bookmarkEnd w:id="68598"/>
      <w:r>
        <w:rPr>
          <w:rFonts w:hint="cs"/>
          <w:rtl/>
        </w:rPr>
        <w:t xml:space="preserve">רוצה </w:t>
      </w:r>
      <w:bookmarkStart w:id="68599" w:name="_ETM_Q121_364340"/>
      <w:bookmarkEnd w:id="68599"/>
      <w:r>
        <w:rPr>
          <w:rFonts w:hint="cs"/>
          <w:rtl/>
        </w:rPr>
        <w:t xml:space="preserve">לראות </w:t>
      </w:r>
      <w:bookmarkStart w:id="68600" w:name="_ETM_Q121_364790"/>
      <w:bookmarkEnd w:id="68600"/>
      <w:r>
        <w:rPr>
          <w:rFonts w:hint="cs"/>
          <w:rtl/>
        </w:rPr>
        <w:t xml:space="preserve">את </w:t>
      </w:r>
      <w:bookmarkStart w:id="68601" w:name="_ETM_Q121_364909"/>
      <w:bookmarkEnd w:id="68601"/>
      <w:r>
        <w:rPr>
          <w:rFonts w:hint="cs"/>
          <w:rtl/>
        </w:rPr>
        <w:t xml:space="preserve">הקרע </w:t>
      </w:r>
      <w:bookmarkStart w:id="68602" w:name="_ETM_Q121_365569"/>
      <w:bookmarkEnd w:id="68602"/>
      <w:r>
        <w:rPr>
          <w:rFonts w:hint="cs"/>
          <w:rtl/>
        </w:rPr>
        <w:t xml:space="preserve">האיום </w:t>
      </w:r>
      <w:bookmarkStart w:id="68603" w:name="_ETM_Q121_366379"/>
      <w:bookmarkEnd w:id="68603"/>
      <w:r>
        <w:rPr>
          <w:rFonts w:hint="cs"/>
          <w:rtl/>
        </w:rPr>
        <w:t xml:space="preserve">שהממשלה </w:t>
      </w:r>
      <w:bookmarkStart w:id="68604" w:name="_ETM_Q121_367340"/>
      <w:bookmarkEnd w:id="68604"/>
      <w:r>
        <w:rPr>
          <w:rFonts w:hint="cs"/>
          <w:rtl/>
        </w:rPr>
        <w:t xml:space="preserve">והעומד </w:t>
      </w:r>
      <w:bookmarkStart w:id="68605" w:name="_ETM_Q121_367849"/>
      <w:bookmarkEnd w:id="68605"/>
      <w:r>
        <w:rPr>
          <w:rFonts w:hint="cs"/>
          <w:rtl/>
        </w:rPr>
        <w:t xml:space="preserve">בראשה </w:t>
      </w:r>
      <w:bookmarkStart w:id="68606" w:name="_ETM_Q121_368360"/>
      <w:bookmarkEnd w:id="68606"/>
      <w:r>
        <w:rPr>
          <w:rFonts w:hint="cs"/>
          <w:rtl/>
        </w:rPr>
        <w:t xml:space="preserve">מייצרים </w:t>
      </w:r>
      <w:bookmarkStart w:id="68607" w:name="_ETM_Q121_368900"/>
      <w:bookmarkEnd w:id="68607"/>
      <w:r>
        <w:rPr>
          <w:rFonts w:hint="cs"/>
          <w:rtl/>
        </w:rPr>
        <w:t>לנו בעשר</w:t>
      </w:r>
      <w:bookmarkStart w:id="68608" w:name="_ETM_Q121_369110"/>
      <w:bookmarkEnd w:id="68608"/>
      <w:r>
        <w:rPr>
          <w:rFonts w:hint="cs"/>
          <w:rtl/>
        </w:rPr>
        <w:t xml:space="preserve"> </w:t>
      </w:r>
      <w:bookmarkStart w:id="68609" w:name="_ETM_Q121_369590"/>
      <w:bookmarkEnd w:id="68609"/>
      <w:r>
        <w:rPr>
          <w:rFonts w:hint="cs"/>
          <w:rtl/>
        </w:rPr>
        <w:t xml:space="preserve">אצבעות. </w:t>
      </w:r>
      <w:bookmarkStart w:id="68610" w:name="_ETM_Q121_372550"/>
      <w:bookmarkEnd w:id="68610"/>
    </w:p>
    <w:p w:rsidR="00BB59CD" w:rsidRDefault="00BB59CD" w:rsidP="00BB59CD">
      <w:pPr>
        <w:rPr>
          <w:rtl/>
        </w:rPr>
      </w:pPr>
    </w:p>
    <w:p w:rsidR="00BB59CD" w:rsidRDefault="00BB59CD" w:rsidP="00BB59CD">
      <w:pPr>
        <w:rPr>
          <w:rtl/>
        </w:rPr>
      </w:pPr>
      <w:r>
        <w:rPr>
          <w:rFonts w:hint="cs"/>
          <w:rtl/>
        </w:rPr>
        <w:t xml:space="preserve">אבל </w:t>
      </w:r>
      <w:bookmarkStart w:id="68611" w:name="_ETM_Q121_372849"/>
      <w:bookmarkEnd w:id="68611"/>
      <w:r>
        <w:rPr>
          <w:rFonts w:hint="cs"/>
          <w:rtl/>
        </w:rPr>
        <w:t xml:space="preserve">עם </w:t>
      </w:r>
      <w:bookmarkStart w:id="68612" w:name="_ETM_Q121_373060"/>
      <w:bookmarkEnd w:id="68612"/>
      <w:r>
        <w:rPr>
          <w:rFonts w:hint="cs"/>
          <w:rtl/>
        </w:rPr>
        <w:t xml:space="preserve">הנצח </w:t>
      </w:r>
      <w:bookmarkStart w:id="68613" w:name="_ETM_Q121_373510"/>
      <w:bookmarkEnd w:id="68613"/>
      <w:r>
        <w:rPr>
          <w:rFonts w:hint="cs"/>
          <w:rtl/>
        </w:rPr>
        <w:t xml:space="preserve">לא </w:t>
      </w:r>
      <w:bookmarkStart w:id="68614" w:name="_ETM_Q121_373660"/>
      <w:bookmarkEnd w:id="68614"/>
      <w:r>
        <w:rPr>
          <w:rFonts w:hint="cs"/>
          <w:rtl/>
        </w:rPr>
        <w:t xml:space="preserve">מפחד </w:t>
      </w:r>
      <w:bookmarkStart w:id="68615" w:name="_ETM_Q121_374230"/>
      <w:bookmarkEnd w:id="68615"/>
      <w:r>
        <w:rPr>
          <w:rFonts w:hint="cs"/>
          <w:rtl/>
        </w:rPr>
        <w:t xml:space="preserve">מדרך </w:t>
      </w:r>
      <w:bookmarkStart w:id="68616" w:name="_ETM_Q121_374709"/>
      <w:bookmarkEnd w:id="68616"/>
      <w:r>
        <w:rPr>
          <w:rFonts w:hint="cs"/>
          <w:rtl/>
        </w:rPr>
        <w:t xml:space="preserve">ארוכה. </w:t>
      </w:r>
      <w:bookmarkStart w:id="68617" w:name="_ETM_Q121_376470"/>
      <w:bookmarkEnd w:id="68617"/>
      <w:r>
        <w:rPr>
          <w:rFonts w:hint="cs"/>
          <w:rtl/>
        </w:rPr>
        <w:t xml:space="preserve">אנחנו </w:t>
      </w:r>
      <w:bookmarkStart w:id="68618" w:name="_ETM_Q121_376800"/>
      <w:bookmarkEnd w:id="68618"/>
      <w:r>
        <w:rPr>
          <w:rFonts w:hint="cs"/>
          <w:rtl/>
        </w:rPr>
        <w:t xml:space="preserve">נילחם. </w:t>
      </w:r>
      <w:bookmarkStart w:id="68619" w:name="_ETM_Q121_378850"/>
      <w:bookmarkEnd w:id="68619"/>
      <w:r>
        <w:rPr>
          <w:rFonts w:hint="cs"/>
          <w:rtl/>
        </w:rPr>
        <w:t xml:space="preserve">אנחנו </w:t>
      </w:r>
      <w:bookmarkStart w:id="68620" w:name="_ETM_Q121_379150"/>
      <w:bookmarkEnd w:id="68620"/>
      <w:r>
        <w:rPr>
          <w:rFonts w:hint="cs"/>
          <w:rtl/>
        </w:rPr>
        <w:t xml:space="preserve">נילחם </w:t>
      </w:r>
      <w:bookmarkStart w:id="68621" w:name="_ETM_Q121_380050"/>
      <w:bookmarkEnd w:id="68621"/>
      <w:r>
        <w:rPr>
          <w:rFonts w:hint="cs"/>
          <w:rtl/>
        </w:rPr>
        <w:t xml:space="preserve">בלי </w:t>
      </w:r>
      <w:bookmarkStart w:id="68622" w:name="_ETM_Q121_380290"/>
      <w:bookmarkEnd w:id="68622"/>
      <w:r>
        <w:rPr>
          <w:rFonts w:hint="cs"/>
          <w:rtl/>
        </w:rPr>
        <w:t xml:space="preserve">שום </w:t>
      </w:r>
      <w:bookmarkStart w:id="68623" w:name="_ETM_Q121_380500"/>
      <w:bookmarkEnd w:id="68623"/>
      <w:r>
        <w:rPr>
          <w:rFonts w:hint="cs"/>
          <w:rtl/>
        </w:rPr>
        <w:t xml:space="preserve">פשרה, </w:t>
      </w:r>
      <w:bookmarkStart w:id="68624" w:name="_ETM_Q121_381900"/>
      <w:bookmarkEnd w:id="68624"/>
      <w:r>
        <w:rPr>
          <w:rFonts w:hint="cs"/>
          <w:rtl/>
        </w:rPr>
        <w:t xml:space="preserve">באלו </w:t>
      </w:r>
      <w:bookmarkStart w:id="68625" w:name="_ETM_Q121_382349"/>
      <w:bookmarkEnd w:id="68625"/>
      <w:r>
        <w:rPr>
          <w:rFonts w:hint="cs"/>
          <w:rtl/>
        </w:rPr>
        <w:t xml:space="preserve">בכנסת </w:t>
      </w:r>
      <w:bookmarkStart w:id="68626" w:name="_ETM_Q121_382980"/>
      <w:bookmarkEnd w:id="68626"/>
      <w:r>
        <w:rPr>
          <w:rFonts w:hint="cs"/>
          <w:rtl/>
        </w:rPr>
        <w:t xml:space="preserve">ובממשלה </w:t>
      </w:r>
      <w:bookmarkStart w:id="68627" w:name="_ETM_Q121_383909"/>
      <w:bookmarkEnd w:id="68627"/>
      <w:r>
        <w:rPr>
          <w:rFonts w:hint="cs"/>
          <w:rtl/>
        </w:rPr>
        <w:t xml:space="preserve">שבאים </w:t>
      </w:r>
      <w:bookmarkStart w:id="68628" w:name="_ETM_Q121_384389"/>
      <w:bookmarkEnd w:id="68628"/>
      <w:r>
        <w:rPr>
          <w:rFonts w:hint="cs"/>
          <w:rtl/>
        </w:rPr>
        <w:t xml:space="preserve">לחסל </w:t>
      </w:r>
      <w:bookmarkStart w:id="68629" w:name="_ETM_Q121_385650"/>
      <w:bookmarkEnd w:id="68629"/>
      <w:r>
        <w:rPr>
          <w:rFonts w:hint="cs"/>
          <w:rtl/>
        </w:rPr>
        <w:t xml:space="preserve">את </w:t>
      </w:r>
      <w:bookmarkStart w:id="68630" w:name="_ETM_Q121_385829"/>
      <w:bookmarkEnd w:id="68630"/>
      <w:r>
        <w:rPr>
          <w:rFonts w:hint="cs"/>
          <w:rtl/>
        </w:rPr>
        <w:t xml:space="preserve">ישראל </w:t>
      </w:r>
      <w:bookmarkStart w:id="68631" w:name="_ETM_Q121_386340"/>
      <w:bookmarkEnd w:id="68631"/>
      <w:r>
        <w:rPr>
          <w:rFonts w:hint="cs"/>
          <w:rtl/>
        </w:rPr>
        <w:t xml:space="preserve">עבור </w:t>
      </w:r>
      <w:bookmarkStart w:id="68632" w:name="_ETM_Q121_386609"/>
      <w:bookmarkEnd w:id="68632"/>
      <w:r>
        <w:rPr>
          <w:rFonts w:hint="cs"/>
          <w:rtl/>
        </w:rPr>
        <w:t xml:space="preserve">הקמת </w:t>
      </w:r>
      <w:bookmarkStart w:id="68633" w:name="_ETM_Q121_387090"/>
      <w:bookmarkEnd w:id="68633"/>
      <w:r>
        <w:rPr>
          <w:rFonts w:hint="cs"/>
          <w:rtl/>
        </w:rPr>
        <w:t xml:space="preserve">ממשלת </w:t>
      </w:r>
      <w:bookmarkStart w:id="68634" w:name="_ETM_Q121_387599"/>
      <w:bookmarkEnd w:id="68634"/>
      <w:r>
        <w:rPr>
          <w:rFonts w:hint="cs"/>
          <w:rtl/>
        </w:rPr>
        <w:t xml:space="preserve">החושך </w:t>
      </w:r>
      <w:bookmarkStart w:id="68635" w:name="_ETM_Q121_388859"/>
      <w:bookmarkEnd w:id="68635"/>
      <w:r>
        <w:rPr>
          <w:rFonts w:hint="cs"/>
          <w:rtl/>
        </w:rPr>
        <w:t xml:space="preserve">בראשות </w:t>
      </w:r>
      <w:bookmarkStart w:id="68636" w:name="_ETM_Q121_389430"/>
      <w:bookmarkEnd w:id="68636"/>
      <w:r>
        <w:rPr>
          <w:rFonts w:hint="cs"/>
          <w:rtl/>
        </w:rPr>
        <w:t xml:space="preserve">משיח </w:t>
      </w:r>
      <w:bookmarkStart w:id="68637" w:name="_ETM_Q121_389969"/>
      <w:bookmarkEnd w:id="68637"/>
      <w:r>
        <w:rPr>
          <w:rFonts w:hint="cs"/>
          <w:rtl/>
        </w:rPr>
        <w:t xml:space="preserve">השקר </w:t>
      </w:r>
      <w:bookmarkStart w:id="68638" w:name="_ETM_Q121_390989"/>
      <w:bookmarkEnd w:id="68638"/>
      <w:r>
        <w:rPr>
          <w:rFonts w:hint="cs"/>
          <w:rtl/>
        </w:rPr>
        <w:t xml:space="preserve">נתניהו </w:t>
      </w:r>
      <w:bookmarkStart w:id="68639" w:name="_ETM_Q121_392790"/>
      <w:bookmarkEnd w:id="68639"/>
      <w:r>
        <w:rPr>
          <w:rFonts w:hint="cs"/>
          <w:rtl/>
        </w:rPr>
        <w:t xml:space="preserve">ובשליטת </w:t>
      </w:r>
      <w:bookmarkStart w:id="68640" w:name="_ETM_Q121_393690"/>
      <w:bookmarkEnd w:id="68640"/>
      <w:r>
        <w:rPr>
          <w:rFonts w:hint="cs"/>
          <w:rtl/>
        </w:rPr>
        <w:t xml:space="preserve">בן </w:t>
      </w:r>
      <w:bookmarkStart w:id="68641" w:name="_ETM_Q121_393960"/>
      <w:bookmarkEnd w:id="68641"/>
      <w:r>
        <w:rPr>
          <w:rFonts w:hint="cs"/>
          <w:rtl/>
        </w:rPr>
        <w:t xml:space="preserve">גביר, </w:t>
      </w:r>
      <w:bookmarkStart w:id="68642" w:name="_ETM_Q121_395349"/>
      <w:bookmarkEnd w:id="68642"/>
      <w:r>
        <w:rPr>
          <w:rFonts w:hint="cs"/>
          <w:rtl/>
        </w:rPr>
        <w:t xml:space="preserve">בשליטת </w:t>
      </w:r>
      <w:bookmarkStart w:id="68643" w:name="_ETM_Q121_395890"/>
      <w:bookmarkEnd w:id="68643"/>
      <w:r>
        <w:rPr>
          <w:rFonts w:hint="cs"/>
          <w:rtl/>
        </w:rPr>
        <w:t xml:space="preserve">סמוטריץ', </w:t>
      </w:r>
      <w:bookmarkStart w:id="68644" w:name="_ETM_Q121_397000"/>
      <w:bookmarkEnd w:id="68644"/>
      <w:r>
        <w:rPr>
          <w:rFonts w:hint="cs"/>
          <w:rtl/>
        </w:rPr>
        <w:t xml:space="preserve">דרעי </w:t>
      </w:r>
      <w:bookmarkStart w:id="68645" w:name="_ETM_Q121_397950"/>
      <w:bookmarkEnd w:id="68645"/>
      <w:r>
        <w:rPr>
          <w:rFonts w:hint="cs"/>
          <w:rtl/>
        </w:rPr>
        <w:t>וגולדקנופ.</w:t>
      </w:r>
      <w:bookmarkStart w:id="68646" w:name="_ETM_Q121_398519"/>
      <w:bookmarkStart w:id="68647" w:name="_ETM_Q121_401860"/>
      <w:bookmarkEnd w:id="68646"/>
      <w:bookmarkEnd w:id="68647"/>
      <w:r>
        <w:rPr>
          <w:rFonts w:hint="cs"/>
          <w:rtl/>
        </w:rPr>
        <w:t xml:space="preserve"> </w:t>
      </w:r>
      <w:bookmarkStart w:id="68648" w:name="_ETM_Q121_399525"/>
      <w:bookmarkEnd w:id="68648"/>
      <w:r>
        <w:rPr>
          <w:rFonts w:hint="cs"/>
          <w:rtl/>
        </w:rPr>
        <w:t xml:space="preserve">כל אלה עוד </w:t>
      </w:r>
      <w:bookmarkStart w:id="68649" w:name="_ETM_Q121_402070"/>
      <w:bookmarkEnd w:id="68649"/>
      <w:r>
        <w:rPr>
          <w:rFonts w:hint="cs"/>
          <w:rtl/>
        </w:rPr>
        <w:t xml:space="preserve">ייתנו </w:t>
      </w:r>
      <w:bookmarkStart w:id="68650" w:name="_ETM_Q121_402430"/>
      <w:bookmarkEnd w:id="68650"/>
      <w:r>
        <w:rPr>
          <w:rFonts w:hint="cs"/>
          <w:rtl/>
        </w:rPr>
        <w:t xml:space="preserve">את </w:t>
      </w:r>
      <w:bookmarkStart w:id="68651" w:name="_ETM_Q121_402640"/>
      <w:bookmarkEnd w:id="68651"/>
      <w:r>
        <w:rPr>
          <w:rFonts w:hint="cs"/>
          <w:rtl/>
        </w:rPr>
        <w:t xml:space="preserve">הדין </w:t>
      </w:r>
      <w:bookmarkStart w:id="68652" w:name="_ETM_Q121_403590"/>
      <w:bookmarkEnd w:id="68652"/>
      <w:r>
        <w:rPr>
          <w:rFonts w:hint="cs"/>
          <w:rtl/>
        </w:rPr>
        <w:t xml:space="preserve">גם </w:t>
      </w:r>
      <w:bookmarkStart w:id="68653" w:name="_ETM_Q121_404099"/>
      <w:bookmarkEnd w:id="68653"/>
      <w:r>
        <w:rPr>
          <w:rFonts w:hint="cs"/>
          <w:rtl/>
        </w:rPr>
        <w:t xml:space="preserve">בפני </w:t>
      </w:r>
      <w:bookmarkStart w:id="68654" w:name="_ETM_Q121_404579"/>
      <w:bookmarkEnd w:id="68654"/>
      <w:r>
        <w:rPr>
          <w:rFonts w:hint="cs"/>
          <w:rtl/>
        </w:rPr>
        <w:t xml:space="preserve">בית </w:t>
      </w:r>
      <w:bookmarkStart w:id="68655" w:name="_ETM_Q121_404909"/>
      <w:bookmarkEnd w:id="68655"/>
      <w:r>
        <w:rPr>
          <w:rFonts w:hint="cs"/>
          <w:rtl/>
        </w:rPr>
        <w:t xml:space="preserve">הדין </w:t>
      </w:r>
      <w:bookmarkStart w:id="68656" w:name="_ETM_Q121_405239"/>
      <w:bookmarkEnd w:id="68656"/>
      <w:r>
        <w:rPr>
          <w:rFonts w:hint="cs"/>
          <w:rtl/>
        </w:rPr>
        <w:t xml:space="preserve">של </w:t>
      </w:r>
      <w:bookmarkStart w:id="68657" w:name="_ETM_Q121_405510"/>
      <w:bookmarkEnd w:id="68657"/>
      <w:r>
        <w:rPr>
          <w:rFonts w:hint="cs"/>
          <w:rtl/>
        </w:rPr>
        <w:t xml:space="preserve">מעלה </w:t>
      </w:r>
      <w:bookmarkStart w:id="68658" w:name="_ETM_Q121_406889"/>
      <w:bookmarkEnd w:id="68658"/>
      <w:r>
        <w:rPr>
          <w:rFonts w:hint="cs"/>
          <w:rtl/>
        </w:rPr>
        <w:t xml:space="preserve">וגם </w:t>
      </w:r>
      <w:bookmarkStart w:id="68659" w:name="_ETM_Q121_407400"/>
      <w:bookmarkEnd w:id="68659"/>
      <w:r>
        <w:rPr>
          <w:rFonts w:hint="cs"/>
          <w:rtl/>
        </w:rPr>
        <w:t xml:space="preserve">בספרי </w:t>
      </w:r>
      <w:bookmarkStart w:id="68660" w:name="_ETM_Q121_408029"/>
      <w:bookmarkEnd w:id="68660"/>
      <w:r>
        <w:rPr>
          <w:rFonts w:hint="cs"/>
          <w:rtl/>
        </w:rPr>
        <w:t xml:space="preserve">ההיסטוריה </w:t>
      </w:r>
      <w:bookmarkStart w:id="68661" w:name="_ETM_Q121_408839"/>
      <w:bookmarkEnd w:id="68661"/>
      <w:r>
        <w:rPr>
          <w:rFonts w:hint="cs"/>
          <w:rtl/>
        </w:rPr>
        <w:t xml:space="preserve">של </w:t>
      </w:r>
      <w:bookmarkStart w:id="68662" w:name="_ETM_Q121_409049"/>
      <w:bookmarkEnd w:id="68662"/>
      <w:r>
        <w:rPr>
          <w:rFonts w:hint="cs"/>
          <w:rtl/>
        </w:rPr>
        <w:t xml:space="preserve">העם </w:t>
      </w:r>
      <w:bookmarkStart w:id="68663" w:name="_ETM_Q121_409290"/>
      <w:bookmarkEnd w:id="68663"/>
      <w:r>
        <w:rPr>
          <w:rFonts w:hint="cs"/>
          <w:rtl/>
        </w:rPr>
        <w:t xml:space="preserve">היהודי, </w:t>
      </w:r>
      <w:bookmarkStart w:id="68664" w:name="_ETM_Q121_409829"/>
      <w:bookmarkEnd w:id="68664"/>
      <w:r>
        <w:rPr>
          <w:rFonts w:hint="cs"/>
          <w:rtl/>
        </w:rPr>
        <w:t xml:space="preserve">לדיראון </w:t>
      </w:r>
      <w:bookmarkStart w:id="68665" w:name="_ETM_Q121_410459"/>
      <w:bookmarkEnd w:id="68665"/>
      <w:r>
        <w:rPr>
          <w:rFonts w:hint="cs"/>
          <w:rtl/>
        </w:rPr>
        <w:t xml:space="preserve">עולם. </w:t>
      </w:r>
      <w:bookmarkStart w:id="68666" w:name="_ETM_Q121_412209"/>
      <w:bookmarkEnd w:id="68666"/>
      <w:r>
        <w:rPr>
          <w:rFonts w:hint="cs"/>
          <w:rtl/>
        </w:rPr>
        <w:t xml:space="preserve">אתם, </w:t>
      </w:r>
      <w:bookmarkStart w:id="68667" w:name="_ETM_Q121_412989"/>
      <w:bookmarkEnd w:id="68667"/>
      <w:r>
        <w:rPr>
          <w:rFonts w:hint="cs"/>
          <w:rtl/>
        </w:rPr>
        <w:t xml:space="preserve">ממשלת </w:t>
      </w:r>
      <w:bookmarkStart w:id="68668" w:name="_ETM_Q121_413590"/>
      <w:bookmarkEnd w:id="68668"/>
      <w:r>
        <w:rPr>
          <w:rFonts w:hint="cs"/>
          <w:rtl/>
        </w:rPr>
        <w:t xml:space="preserve">ישראל, </w:t>
      </w:r>
      <w:bookmarkStart w:id="68669" w:name="_ETM_Q121_415019"/>
      <w:bookmarkEnd w:id="68669"/>
      <w:r>
        <w:rPr>
          <w:rFonts w:hint="cs"/>
          <w:rtl/>
        </w:rPr>
        <w:t xml:space="preserve">פרק </w:t>
      </w:r>
      <w:bookmarkStart w:id="68670" w:name="_ETM_Q121_415499"/>
      <w:bookmarkEnd w:id="68670"/>
      <w:r>
        <w:rPr>
          <w:rFonts w:hint="cs"/>
          <w:rtl/>
        </w:rPr>
        <w:t xml:space="preserve">עצוב </w:t>
      </w:r>
      <w:bookmarkStart w:id="68671" w:name="_ETM_Q121_416699"/>
      <w:bookmarkEnd w:id="68671"/>
      <w:r>
        <w:rPr>
          <w:rFonts w:hint="cs"/>
          <w:rtl/>
        </w:rPr>
        <w:t xml:space="preserve">בתולדות </w:t>
      </w:r>
      <w:bookmarkStart w:id="68672" w:name="_ETM_Q121_417510"/>
      <w:bookmarkEnd w:id="68672"/>
      <w:r>
        <w:rPr>
          <w:rFonts w:hint="cs"/>
          <w:rtl/>
        </w:rPr>
        <w:t xml:space="preserve">העם </w:t>
      </w:r>
      <w:bookmarkStart w:id="68673" w:name="_ETM_Q121_417809"/>
      <w:bookmarkEnd w:id="68673"/>
      <w:r>
        <w:rPr>
          <w:rFonts w:hint="cs"/>
          <w:rtl/>
        </w:rPr>
        <w:t xml:space="preserve">היהודי, </w:t>
      </w:r>
      <w:bookmarkStart w:id="68674" w:name="_ETM_Q121_420060"/>
      <w:bookmarkEnd w:id="68674"/>
      <w:r>
        <w:rPr>
          <w:rFonts w:hint="cs"/>
          <w:rtl/>
        </w:rPr>
        <w:t xml:space="preserve">אתם </w:t>
      </w:r>
      <w:bookmarkStart w:id="68675" w:name="_ETM_Q121_421430"/>
      <w:bookmarkEnd w:id="68675"/>
      <w:r>
        <w:rPr>
          <w:rFonts w:hint="cs"/>
          <w:rtl/>
        </w:rPr>
        <w:t xml:space="preserve">בפעם </w:t>
      </w:r>
      <w:bookmarkStart w:id="68676" w:name="_ETM_Q121_422150"/>
      <w:bookmarkEnd w:id="68676"/>
      <w:r>
        <w:rPr>
          <w:rFonts w:hint="cs"/>
          <w:rtl/>
        </w:rPr>
        <w:t xml:space="preserve">הראשונה </w:t>
      </w:r>
      <w:bookmarkStart w:id="68677" w:name="_ETM_Q121_422989"/>
      <w:bookmarkEnd w:id="68677"/>
      <w:r>
        <w:rPr>
          <w:rFonts w:hint="cs"/>
          <w:rtl/>
        </w:rPr>
        <w:t xml:space="preserve">בהיסטוריה </w:t>
      </w:r>
      <w:bookmarkStart w:id="68678" w:name="_ETM_Q121_423859"/>
      <w:bookmarkEnd w:id="68678"/>
      <w:r>
        <w:rPr>
          <w:rFonts w:hint="cs"/>
          <w:rtl/>
        </w:rPr>
        <w:t xml:space="preserve">המודרנית </w:t>
      </w:r>
      <w:bookmarkStart w:id="68679" w:name="_ETM_Q121_424609"/>
      <w:bookmarkEnd w:id="68679"/>
      <w:r>
        <w:rPr>
          <w:rFonts w:hint="cs"/>
          <w:rtl/>
        </w:rPr>
        <w:t xml:space="preserve">של </w:t>
      </w:r>
      <w:bookmarkStart w:id="68680" w:name="_ETM_Q121_424849"/>
      <w:bookmarkEnd w:id="68680"/>
      <w:r>
        <w:rPr>
          <w:rFonts w:hint="cs"/>
          <w:rtl/>
        </w:rPr>
        <w:t xml:space="preserve">עם </w:t>
      </w:r>
      <w:bookmarkStart w:id="68681" w:name="_ETM_Q121_425029"/>
      <w:bookmarkEnd w:id="68681"/>
      <w:r>
        <w:rPr>
          <w:rFonts w:hint="cs"/>
          <w:rtl/>
        </w:rPr>
        <w:t xml:space="preserve">ישראל </w:t>
      </w:r>
      <w:bookmarkStart w:id="68682" w:name="_ETM_Q121_427080"/>
      <w:bookmarkEnd w:id="68682"/>
      <w:r>
        <w:rPr>
          <w:rFonts w:hint="cs"/>
          <w:rtl/>
        </w:rPr>
        <w:t xml:space="preserve">גרמתם </w:t>
      </w:r>
      <w:bookmarkStart w:id="68683" w:name="_ETM_Q121_427769"/>
      <w:bookmarkEnd w:id="68683"/>
      <w:r>
        <w:rPr>
          <w:rFonts w:hint="cs"/>
          <w:rtl/>
        </w:rPr>
        <w:t xml:space="preserve">לאנשים </w:t>
      </w:r>
      <w:bookmarkStart w:id="68684" w:name="_ETM_Q121_428280"/>
      <w:bookmarkEnd w:id="68684"/>
      <w:r>
        <w:rPr>
          <w:rFonts w:hint="cs"/>
          <w:rtl/>
        </w:rPr>
        <w:t xml:space="preserve">להתבייש </w:t>
      </w:r>
      <w:bookmarkStart w:id="68685" w:name="_ETM_Q121_429520"/>
      <w:bookmarkEnd w:id="68685"/>
      <w:r>
        <w:rPr>
          <w:rFonts w:hint="cs"/>
          <w:rtl/>
        </w:rPr>
        <w:t xml:space="preserve">במדינה </w:t>
      </w:r>
      <w:bookmarkStart w:id="68686" w:name="_ETM_Q121_430120"/>
      <w:bookmarkEnd w:id="68686"/>
      <w:r>
        <w:rPr>
          <w:rFonts w:hint="cs"/>
          <w:rtl/>
        </w:rPr>
        <w:t xml:space="preserve">שלנו, </w:t>
      </w:r>
      <w:bookmarkStart w:id="68687" w:name="_ETM_Q121_431430"/>
      <w:bookmarkEnd w:id="68687"/>
      <w:r>
        <w:rPr>
          <w:rFonts w:hint="cs"/>
          <w:rtl/>
        </w:rPr>
        <w:t xml:space="preserve">שהיא </w:t>
      </w:r>
      <w:bookmarkStart w:id="68688" w:name="_ETM_Q121_431760"/>
      <w:bookmarkEnd w:id="68688"/>
      <w:r>
        <w:rPr>
          <w:rFonts w:hint="cs"/>
          <w:rtl/>
        </w:rPr>
        <w:t xml:space="preserve">תמיד </w:t>
      </w:r>
      <w:bookmarkStart w:id="68689" w:name="_ETM_Q121_432150"/>
      <w:bookmarkEnd w:id="68689"/>
      <w:r>
        <w:rPr>
          <w:rFonts w:hint="cs"/>
          <w:rtl/>
        </w:rPr>
        <w:t xml:space="preserve">מקור </w:t>
      </w:r>
      <w:bookmarkStart w:id="68690" w:name="_ETM_Q121_432600"/>
      <w:bookmarkEnd w:id="68690"/>
      <w:r>
        <w:rPr>
          <w:rFonts w:hint="cs"/>
          <w:rtl/>
        </w:rPr>
        <w:t xml:space="preserve">לגאווה </w:t>
      </w:r>
      <w:bookmarkStart w:id="68691" w:name="_ETM_Q121_433470"/>
      <w:bookmarkEnd w:id="68691"/>
      <w:r>
        <w:rPr>
          <w:rFonts w:hint="cs"/>
          <w:rtl/>
        </w:rPr>
        <w:t xml:space="preserve">ולביטחון. </w:t>
      </w:r>
      <w:bookmarkStart w:id="68692" w:name="_ETM_Q121_437210"/>
      <w:bookmarkEnd w:id="68692"/>
      <w:r>
        <w:rPr>
          <w:rFonts w:hint="cs"/>
          <w:rtl/>
        </w:rPr>
        <w:t xml:space="preserve">לא </w:t>
      </w:r>
      <w:bookmarkStart w:id="68693" w:name="_ETM_Q121_437540"/>
      <w:bookmarkEnd w:id="68693"/>
      <w:r>
        <w:rPr>
          <w:rFonts w:hint="cs"/>
          <w:rtl/>
        </w:rPr>
        <w:t xml:space="preserve">אויב </w:t>
      </w:r>
      <w:bookmarkStart w:id="68694" w:name="_ETM_Q121_437960"/>
      <w:bookmarkEnd w:id="68694"/>
      <w:r>
        <w:rPr>
          <w:rFonts w:hint="cs"/>
          <w:rtl/>
        </w:rPr>
        <w:t xml:space="preserve">מבפנים </w:t>
      </w:r>
      <w:bookmarkStart w:id="68695" w:name="_ETM_Q121_438650"/>
      <w:bookmarkEnd w:id="68695"/>
      <w:r>
        <w:rPr>
          <w:rFonts w:hint="cs"/>
          <w:rtl/>
        </w:rPr>
        <w:t xml:space="preserve">הוא </w:t>
      </w:r>
      <w:bookmarkStart w:id="68696" w:name="_ETM_Q121_438770"/>
      <w:bookmarkEnd w:id="68696"/>
      <w:r>
        <w:rPr>
          <w:rFonts w:hint="cs"/>
          <w:rtl/>
        </w:rPr>
        <w:t xml:space="preserve">זה </w:t>
      </w:r>
      <w:bookmarkStart w:id="68697" w:name="_ETM_Q121_439010"/>
      <w:bookmarkEnd w:id="68697"/>
      <w:r>
        <w:rPr>
          <w:rFonts w:hint="cs"/>
          <w:rtl/>
        </w:rPr>
        <w:t xml:space="preserve">שמפורר </w:t>
      </w:r>
      <w:bookmarkStart w:id="68698" w:name="_ETM_Q121_439699"/>
      <w:bookmarkEnd w:id="68698"/>
      <w:r>
        <w:rPr>
          <w:rFonts w:hint="cs"/>
          <w:rtl/>
        </w:rPr>
        <w:t xml:space="preserve">אותנו </w:t>
      </w:r>
      <w:bookmarkStart w:id="68699" w:name="_ETM_Q121_441779"/>
      <w:bookmarkEnd w:id="68699"/>
      <w:r>
        <w:rPr>
          <w:rFonts w:hint="cs"/>
          <w:rtl/>
        </w:rPr>
        <w:t xml:space="preserve">אלא </w:t>
      </w:r>
      <w:bookmarkStart w:id="68700" w:name="_ETM_Q121_442110"/>
      <w:bookmarkEnd w:id="68700"/>
      <w:r>
        <w:rPr>
          <w:rFonts w:hint="cs"/>
          <w:rtl/>
        </w:rPr>
        <w:t xml:space="preserve">אתה, </w:t>
      </w:r>
      <w:bookmarkStart w:id="68701" w:name="_ETM_Q121_442680"/>
      <w:bookmarkEnd w:id="68701"/>
      <w:r>
        <w:rPr>
          <w:rFonts w:hint="cs"/>
          <w:rtl/>
        </w:rPr>
        <w:t xml:space="preserve">מר </w:t>
      </w:r>
      <w:bookmarkStart w:id="68702" w:name="_ETM_Q121_442919"/>
      <w:bookmarkEnd w:id="68702"/>
      <w:r>
        <w:rPr>
          <w:rFonts w:hint="cs"/>
          <w:rtl/>
        </w:rPr>
        <w:t xml:space="preserve">בנימין </w:t>
      </w:r>
      <w:bookmarkStart w:id="68703" w:name="_ETM_Q121_443370"/>
      <w:bookmarkEnd w:id="68703"/>
      <w:r>
        <w:rPr>
          <w:rFonts w:hint="cs"/>
          <w:rtl/>
        </w:rPr>
        <w:t xml:space="preserve">נתניהו; </w:t>
      </w:r>
      <w:bookmarkStart w:id="68704" w:name="_ETM_Q121_446000"/>
      <w:bookmarkEnd w:id="68704"/>
      <w:r>
        <w:rPr>
          <w:rFonts w:hint="cs"/>
          <w:rtl/>
        </w:rPr>
        <w:t xml:space="preserve">לא </w:t>
      </w:r>
      <w:bookmarkStart w:id="68705" w:name="_ETM_Q121_446630"/>
      <w:bookmarkEnd w:id="68705"/>
      <w:r>
        <w:rPr>
          <w:rFonts w:hint="cs"/>
          <w:rtl/>
        </w:rPr>
        <w:t xml:space="preserve">אויב </w:t>
      </w:r>
      <w:bookmarkStart w:id="68706" w:name="_ETM_Q121_447230"/>
      <w:bookmarkEnd w:id="68706"/>
      <w:r>
        <w:rPr>
          <w:rFonts w:hint="cs"/>
          <w:rtl/>
        </w:rPr>
        <w:t xml:space="preserve">מבחוץ </w:t>
      </w:r>
      <w:bookmarkStart w:id="68707" w:name="_ETM_Q121_447860"/>
      <w:bookmarkEnd w:id="68707"/>
      <w:r>
        <w:rPr>
          <w:rFonts w:hint="cs"/>
          <w:rtl/>
        </w:rPr>
        <w:t xml:space="preserve">קורע </w:t>
      </w:r>
      <w:bookmarkStart w:id="68708" w:name="_ETM_Q121_448790"/>
      <w:bookmarkEnd w:id="68708"/>
      <w:r>
        <w:rPr>
          <w:rFonts w:hint="cs"/>
          <w:rtl/>
        </w:rPr>
        <w:t xml:space="preserve">אותנו, </w:t>
      </w:r>
      <w:bookmarkStart w:id="68709" w:name="_ETM_Q121_451010"/>
      <w:bookmarkEnd w:id="68709"/>
      <w:r>
        <w:rPr>
          <w:rFonts w:hint="cs"/>
          <w:rtl/>
        </w:rPr>
        <w:t xml:space="preserve">זה </w:t>
      </w:r>
      <w:bookmarkStart w:id="68710" w:name="_ETM_Q121_451250"/>
      <w:bookmarkEnd w:id="68710"/>
      <w:r>
        <w:rPr>
          <w:rFonts w:hint="cs"/>
          <w:rtl/>
        </w:rPr>
        <w:t xml:space="preserve">אתה, </w:t>
      </w:r>
      <w:bookmarkStart w:id="68711" w:name="_ETM_Q121_452430"/>
      <w:bookmarkEnd w:id="68711"/>
      <w:r>
        <w:rPr>
          <w:rFonts w:hint="cs"/>
          <w:rtl/>
        </w:rPr>
        <w:t xml:space="preserve">בנימין </w:t>
      </w:r>
      <w:bookmarkStart w:id="68712" w:name="_ETM_Q121_452970"/>
      <w:bookmarkEnd w:id="68712"/>
      <w:r>
        <w:rPr>
          <w:rFonts w:hint="cs"/>
          <w:rtl/>
        </w:rPr>
        <w:t xml:space="preserve">נתניהו; </w:t>
      </w:r>
      <w:bookmarkStart w:id="68713" w:name="_ETM_Q121_454939"/>
      <w:bookmarkEnd w:id="68713"/>
      <w:r>
        <w:rPr>
          <w:rFonts w:hint="cs"/>
          <w:rtl/>
        </w:rPr>
        <w:t xml:space="preserve">לא </w:t>
      </w:r>
      <w:bookmarkStart w:id="68714" w:name="_ETM_Q121_455240"/>
      <w:bookmarkEnd w:id="68714"/>
      <w:r>
        <w:rPr>
          <w:rFonts w:hint="cs"/>
          <w:rtl/>
        </w:rPr>
        <w:t xml:space="preserve">אויב </w:t>
      </w:r>
      <w:bookmarkStart w:id="68715" w:name="_ETM_Q121_455659"/>
      <w:bookmarkEnd w:id="68715"/>
      <w:r>
        <w:rPr>
          <w:rFonts w:hint="cs"/>
          <w:rtl/>
        </w:rPr>
        <w:t xml:space="preserve">מבחוץ </w:t>
      </w:r>
      <w:bookmarkStart w:id="68716" w:name="_ETM_Q121_456199"/>
      <w:bookmarkEnd w:id="68716"/>
      <w:r>
        <w:rPr>
          <w:rFonts w:hint="cs"/>
          <w:rtl/>
        </w:rPr>
        <w:t xml:space="preserve">מחסל אותנו </w:t>
      </w:r>
      <w:bookmarkStart w:id="68717" w:name="_ETM_Q121_456770"/>
      <w:bookmarkStart w:id="68718" w:name="_ETM_Q121_456919"/>
      <w:bookmarkStart w:id="68719" w:name="_ETM_Q121_458509"/>
      <w:bookmarkEnd w:id="68717"/>
      <w:bookmarkEnd w:id="68718"/>
      <w:bookmarkEnd w:id="68719"/>
      <w:r>
        <w:rPr>
          <w:rFonts w:hint="cs"/>
          <w:rtl/>
        </w:rPr>
        <w:t xml:space="preserve">אלא </w:t>
      </w:r>
      <w:bookmarkStart w:id="68720" w:name="_ETM_Q121_458900"/>
      <w:bookmarkEnd w:id="68720"/>
      <w:r>
        <w:rPr>
          <w:rFonts w:hint="cs"/>
          <w:rtl/>
        </w:rPr>
        <w:t xml:space="preserve">אתה, </w:t>
      </w:r>
      <w:bookmarkStart w:id="68721" w:name="_ETM_Q121_460110"/>
      <w:bookmarkEnd w:id="68721"/>
      <w:r>
        <w:rPr>
          <w:rFonts w:hint="cs"/>
          <w:rtl/>
        </w:rPr>
        <w:t xml:space="preserve">בנימין </w:t>
      </w:r>
      <w:bookmarkStart w:id="68722" w:name="_ETM_Q121_460650"/>
      <w:bookmarkEnd w:id="68722"/>
      <w:r>
        <w:rPr>
          <w:rFonts w:hint="cs"/>
          <w:rtl/>
        </w:rPr>
        <w:t xml:space="preserve">נתניהו, </w:t>
      </w:r>
      <w:bookmarkStart w:id="68723" w:name="_ETM_Q121_462410"/>
      <w:bookmarkEnd w:id="68723"/>
      <w:r>
        <w:rPr>
          <w:rFonts w:hint="cs"/>
          <w:rtl/>
        </w:rPr>
        <w:t xml:space="preserve">בעיניים </w:t>
      </w:r>
      <w:bookmarkStart w:id="68724" w:name="_ETM_Q121_462889"/>
      <w:bookmarkEnd w:id="68724"/>
      <w:r>
        <w:rPr>
          <w:rFonts w:hint="cs"/>
          <w:rtl/>
        </w:rPr>
        <w:t xml:space="preserve">פקוחות, </w:t>
      </w:r>
      <w:bookmarkStart w:id="68725" w:name="_ETM_Q121_464300"/>
      <w:bookmarkEnd w:id="68725"/>
      <w:r>
        <w:rPr>
          <w:rFonts w:hint="cs"/>
          <w:rtl/>
        </w:rPr>
        <w:t xml:space="preserve">בעשר </w:t>
      </w:r>
      <w:bookmarkStart w:id="68726" w:name="_ETM_Q121_464990"/>
      <w:bookmarkEnd w:id="68726"/>
      <w:r>
        <w:rPr>
          <w:rFonts w:hint="cs"/>
          <w:rtl/>
        </w:rPr>
        <w:t xml:space="preserve">אצבעות, </w:t>
      </w:r>
      <w:bookmarkStart w:id="68727" w:name="_ETM_Q121_466390"/>
      <w:bookmarkEnd w:id="68727"/>
      <w:r>
        <w:rPr>
          <w:rFonts w:hint="cs"/>
          <w:rtl/>
        </w:rPr>
        <w:t xml:space="preserve">והכי </w:t>
      </w:r>
      <w:bookmarkStart w:id="68728" w:name="_ETM_Q121_467110"/>
      <w:bookmarkEnd w:id="68728"/>
      <w:r>
        <w:rPr>
          <w:rFonts w:hint="cs"/>
          <w:rtl/>
        </w:rPr>
        <w:t xml:space="preserve">גרוע, </w:t>
      </w:r>
      <w:bookmarkStart w:id="68729" w:name="_ETM_Q121_468889"/>
      <w:bookmarkEnd w:id="68729"/>
      <w:r>
        <w:rPr>
          <w:rFonts w:hint="cs"/>
          <w:rtl/>
        </w:rPr>
        <w:t xml:space="preserve">בכוונה </w:t>
      </w:r>
      <w:bookmarkStart w:id="68730" w:name="_ETM_Q121_469460"/>
      <w:bookmarkEnd w:id="68730"/>
      <w:r>
        <w:rPr>
          <w:rFonts w:hint="cs"/>
          <w:rtl/>
        </w:rPr>
        <w:t xml:space="preserve">תחילה. </w:t>
      </w:r>
      <w:bookmarkStart w:id="68731" w:name="_ETM_Q121_471100"/>
      <w:bookmarkEnd w:id="68731"/>
      <w:r>
        <w:rPr>
          <w:rFonts w:hint="cs"/>
          <w:rtl/>
        </w:rPr>
        <w:t xml:space="preserve">ועל </w:t>
      </w:r>
      <w:bookmarkStart w:id="68732" w:name="_ETM_Q121_471370"/>
      <w:bookmarkEnd w:id="68732"/>
      <w:r>
        <w:rPr>
          <w:rFonts w:hint="cs"/>
          <w:rtl/>
        </w:rPr>
        <w:t xml:space="preserve">זה </w:t>
      </w:r>
      <w:bookmarkStart w:id="68733" w:name="_ETM_Q121_471580"/>
      <w:bookmarkEnd w:id="68733"/>
      <w:r>
        <w:rPr>
          <w:rFonts w:hint="cs"/>
          <w:rtl/>
        </w:rPr>
        <w:t xml:space="preserve">אין </w:t>
      </w:r>
      <w:bookmarkStart w:id="68734" w:name="_ETM_Q121_471699"/>
      <w:bookmarkEnd w:id="68734"/>
      <w:r>
        <w:rPr>
          <w:rFonts w:hint="cs"/>
          <w:rtl/>
        </w:rPr>
        <w:t xml:space="preserve">סליחה. </w:t>
      </w:r>
      <w:bookmarkStart w:id="68735" w:name="_ETM_Q121_473460"/>
      <w:bookmarkEnd w:id="68735"/>
      <w:r>
        <w:rPr>
          <w:rFonts w:hint="cs"/>
          <w:rtl/>
        </w:rPr>
        <w:t xml:space="preserve">על </w:t>
      </w:r>
      <w:bookmarkStart w:id="68736" w:name="_ETM_Q121_473669"/>
      <w:bookmarkEnd w:id="68736"/>
      <w:r>
        <w:rPr>
          <w:rFonts w:hint="cs"/>
          <w:rtl/>
        </w:rPr>
        <w:t xml:space="preserve">זה </w:t>
      </w:r>
      <w:bookmarkStart w:id="68737" w:name="_ETM_Q121_474150"/>
      <w:bookmarkEnd w:id="68737"/>
      <w:r>
        <w:rPr>
          <w:rFonts w:hint="cs"/>
          <w:rtl/>
        </w:rPr>
        <w:t>אין מחילה.</w:t>
      </w:r>
    </w:p>
    <w:p w:rsidR="00BB59CD" w:rsidRDefault="00BB59CD" w:rsidP="00BB59CD">
      <w:pPr>
        <w:rPr>
          <w:rtl/>
        </w:rPr>
      </w:pPr>
      <w:bookmarkStart w:id="68738" w:name="_ETM_Q121_376165"/>
      <w:bookmarkStart w:id="68739" w:name="_ETM_Q121_376341"/>
      <w:bookmarkStart w:id="68740" w:name="_ETM_Q121_476300"/>
      <w:bookmarkEnd w:id="68738"/>
      <w:bookmarkEnd w:id="68739"/>
      <w:bookmarkEnd w:id="68740"/>
    </w:p>
    <w:p w:rsidR="00BB59CD" w:rsidRDefault="00BB59CD" w:rsidP="00BB59CD">
      <w:pPr>
        <w:rPr>
          <w:rtl/>
        </w:rPr>
      </w:pPr>
      <w:bookmarkStart w:id="68741" w:name="_ETM_Q121_479277"/>
      <w:bookmarkStart w:id="68742" w:name="_ETM_Q121_479373"/>
      <w:bookmarkStart w:id="68743" w:name="_ETM_Q121_479484"/>
      <w:bookmarkStart w:id="68744" w:name="_ETM_Q121_479564"/>
      <w:bookmarkEnd w:id="68741"/>
      <w:bookmarkEnd w:id="68742"/>
      <w:bookmarkEnd w:id="68743"/>
      <w:bookmarkEnd w:id="68744"/>
      <w:r>
        <w:rPr>
          <w:rFonts w:hint="cs"/>
          <w:rtl/>
        </w:rPr>
        <w:t xml:space="preserve">לנצח </w:t>
      </w:r>
      <w:bookmarkStart w:id="68745" w:name="_ETM_Q121_478220"/>
      <w:bookmarkEnd w:id="68745"/>
      <w:r>
        <w:rPr>
          <w:rFonts w:hint="cs"/>
          <w:rtl/>
        </w:rPr>
        <w:t xml:space="preserve">ילמדו </w:t>
      </w:r>
      <w:bookmarkStart w:id="68746" w:name="_ETM_Q121_478940"/>
      <w:bookmarkEnd w:id="68746"/>
      <w:r>
        <w:rPr>
          <w:rFonts w:hint="cs"/>
          <w:rtl/>
        </w:rPr>
        <w:t xml:space="preserve">על </w:t>
      </w:r>
      <w:bookmarkStart w:id="68747" w:name="_ETM_Q121_479060"/>
      <w:bookmarkEnd w:id="68747"/>
      <w:r>
        <w:rPr>
          <w:rFonts w:hint="cs"/>
          <w:rtl/>
        </w:rPr>
        <w:t xml:space="preserve">הימים </w:t>
      </w:r>
      <w:bookmarkStart w:id="68748" w:name="_ETM_Q121_479479"/>
      <w:bookmarkEnd w:id="68748"/>
      <w:r>
        <w:rPr>
          <w:rFonts w:hint="cs"/>
          <w:rtl/>
        </w:rPr>
        <w:t xml:space="preserve">השחורים </w:t>
      </w:r>
      <w:bookmarkStart w:id="68749" w:name="_ETM_Q121_480939"/>
      <w:bookmarkStart w:id="68750" w:name="_ETM_Q121_480440"/>
      <w:bookmarkEnd w:id="68749"/>
      <w:bookmarkEnd w:id="68750"/>
      <w:r>
        <w:rPr>
          <w:rFonts w:hint="cs"/>
          <w:rtl/>
        </w:rPr>
        <w:t xml:space="preserve">של </w:t>
      </w:r>
      <w:bookmarkStart w:id="68751" w:name="_ETM_Q121_480710"/>
      <w:bookmarkEnd w:id="68751"/>
      <w:r>
        <w:rPr>
          <w:rFonts w:hint="cs"/>
          <w:rtl/>
        </w:rPr>
        <w:t xml:space="preserve">שלטון </w:t>
      </w:r>
      <w:bookmarkStart w:id="68752" w:name="_ETM_Q121_481279"/>
      <w:bookmarkEnd w:id="68752"/>
      <w:r>
        <w:rPr>
          <w:rFonts w:hint="cs"/>
          <w:rtl/>
        </w:rPr>
        <w:t xml:space="preserve">נתניהו, </w:t>
      </w:r>
      <w:bookmarkStart w:id="68753" w:name="_ETM_Q121_483330"/>
      <w:bookmarkEnd w:id="68753"/>
      <w:r>
        <w:rPr>
          <w:rFonts w:hint="cs"/>
          <w:rtl/>
        </w:rPr>
        <w:t xml:space="preserve">ואנחנו </w:t>
      </w:r>
      <w:bookmarkStart w:id="68754" w:name="_ETM_Q121_484959"/>
      <w:bookmarkEnd w:id="68754"/>
      <w:r>
        <w:rPr>
          <w:rFonts w:hint="cs"/>
          <w:rtl/>
        </w:rPr>
        <w:t xml:space="preserve">לא </w:t>
      </w:r>
      <w:bookmarkStart w:id="68755" w:name="_ETM_Q121_485229"/>
      <w:bookmarkEnd w:id="68755"/>
      <w:r>
        <w:rPr>
          <w:rFonts w:hint="cs"/>
          <w:rtl/>
        </w:rPr>
        <w:t xml:space="preserve">ניתן </w:t>
      </w:r>
      <w:bookmarkStart w:id="68756" w:name="_ETM_Q121_485649"/>
      <w:bookmarkEnd w:id="68756"/>
      <w:r>
        <w:rPr>
          <w:rFonts w:hint="cs"/>
          <w:rtl/>
        </w:rPr>
        <w:t xml:space="preserve">לפרק </w:t>
      </w:r>
      <w:bookmarkStart w:id="68757" w:name="_ETM_Q121_486309"/>
      <w:bookmarkEnd w:id="68757"/>
      <w:r>
        <w:rPr>
          <w:rFonts w:hint="cs"/>
          <w:rtl/>
        </w:rPr>
        <w:t xml:space="preserve">הזה </w:t>
      </w:r>
      <w:bookmarkStart w:id="68758" w:name="_ETM_Q121_486580"/>
      <w:bookmarkEnd w:id="68758"/>
      <w:r>
        <w:rPr>
          <w:rFonts w:hint="cs"/>
          <w:rtl/>
        </w:rPr>
        <w:t xml:space="preserve">להימחק </w:t>
      </w:r>
      <w:bookmarkStart w:id="68759" w:name="_ETM_Q121_487209"/>
      <w:bookmarkEnd w:id="68759"/>
      <w:r>
        <w:rPr>
          <w:rFonts w:hint="cs"/>
          <w:rtl/>
        </w:rPr>
        <w:t>לעולם,</w:t>
      </w:r>
      <w:bookmarkStart w:id="68760" w:name="_ETM_Q121_489540"/>
      <w:bookmarkEnd w:id="68760"/>
      <w:r>
        <w:rPr>
          <w:rFonts w:hint="cs"/>
          <w:rtl/>
        </w:rPr>
        <w:t xml:space="preserve"> פרק </w:t>
      </w:r>
      <w:bookmarkStart w:id="68761" w:name="_ETM_Q121_490080"/>
      <w:bookmarkEnd w:id="68761"/>
      <w:r>
        <w:rPr>
          <w:rFonts w:hint="cs"/>
          <w:rtl/>
        </w:rPr>
        <w:t xml:space="preserve">של </w:t>
      </w:r>
      <w:bookmarkStart w:id="68762" w:name="_ETM_Q121_490350"/>
      <w:bookmarkEnd w:id="68762"/>
      <w:r>
        <w:rPr>
          <w:rFonts w:hint="cs"/>
          <w:rtl/>
        </w:rPr>
        <w:t xml:space="preserve">גאווה </w:t>
      </w:r>
      <w:bookmarkStart w:id="68763" w:name="_ETM_Q121_491160"/>
      <w:bookmarkEnd w:id="68763"/>
      <w:r>
        <w:rPr>
          <w:rFonts w:hint="cs"/>
          <w:rtl/>
        </w:rPr>
        <w:t xml:space="preserve">לאומית </w:t>
      </w:r>
      <w:bookmarkStart w:id="68764" w:name="_ETM_Q121_492360"/>
      <w:bookmarkEnd w:id="68764"/>
      <w:r>
        <w:rPr>
          <w:rFonts w:hint="cs"/>
          <w:rtl/>
        </w:rPr>
        <w:t xml:space="preserve">והשתאות </w:t>
      </w:r>
      <w:bookmarkStart w:id="68765" w:name="_ETM_Q121_494050"/>
      <w:bookmarkEnd w:id="68765"/>
      <w:r>
        <w:rPr>
          <w:rFonts w:hint="cs"/>
          <w:rtl/>
        </w:rPr>
        <w:t xml:space="preserve">אל </w:t>
      </w:r>
      <w:bookmarkStart w:id="68766" w:name="_ETM_Q121_494230"/>
      <w:bookmarkEnd w:id="68766"/>
      <w:r>
        <w:rPr>
          <w:rFonts w:hint="cs"/>
          <w:rtl/>
        </w:rPr>
        <w:t xml:space="preserve">מול </w:t>
      </w:r>
      <w:bookmarkStart w:id="68767" w:name="_ETM_Q121_494680"/>
      <w:bookmarkEnd w:id="68767"/>
      <w:r>
        <w:rPr>
          <w:rFonts w:hint="cs"/>
          <w:rtl/>
        </w:rPr>
        <w:t xml:space="preserve">עצב </w:t>
      </w:r>
      <w:bookmarkStart w:id="68768" w:name="_ETM_Q121_496010"/>
      <w:bookmarkEnd w:id="68768"/>
      <w:r>
        <w:rPr>
          <w:rFonts w:hint="cs"/>
          <w:rtl/>
        </w:rPr>
        <w:t xml:space="preserve">וחרדה </w:t>
      </w:r>
      <w:bookmarkStart w:id="68769" w:name="_ETM_Q121_496910"/>
      <w:bookmarkEnd w:id="68769"/>
      <w:r>
        <w:rPr>
          <w:rFonts w:hint="cs"/>
          <w:rtl/>
        </w:rPr>
        <w:t xml:space="preserve">אמיתית. </w:t>
      </w:r>
      <w:bookmarkStart w:id="68770" w:name="_ETM_Q121_499100"/>
      <w:bookmarkEnd w:id="68770"/>
      <w:r>
        <w:rPr>
          <w:rFonts w:hint="cs"/>
          <w:rtl/>
        </w:rPr>
        <w:t xml:space="preserve">תמיד, </w:t>
      </w:r>
      <w:bookmarkStart w:id="68771" w:name="_ETM_Q121_501050"/>
      <w:bookmarkEnd w:id="68771"/>
      <w:r>
        <w:rPr>
          <w:rFonts w:hint="cs"/>
          <w:rtl/>
        </w:rPr>
        <w:t xml:space="preserve">אבל </w:t>
      </w:r>
      <w:bookmarkStart w:id="68772" w:name="_ETM_Q121_501410"/>
      <w:bookmarkEnd w:id="68772"/>
      <w:r>
        <w:rPr>
          <w:rFonts w:hint="cs"/>
          <w:rtl/>
        </w:rPr>
        <w:t xml:space="preserve">תמיד, </w:t>
      </w:r>
      <w:bookmarkStart w:id="68773" w:name="_ETM_Q121_502539"/>
      <w:bookmarkEnd w:id="68773"/>
      <w:r>
        <w:rPr>
          <w:rFonts w:hint="cs"/>
          <w:rtl/>
        </w:rPr>
        <w:t xml:space="preserve">נושיט </w:t>
      </w:r>
      <w:bookmarkStart w:id="68774" w:name="_ETM_Q121_503050"/>
      <w:bookmarkEnd w:id="68774"/>
      <w:r>
        <w:rPr>
          <w:rFonts w:hint="cs"/>
          <w:rtl/>
        </w:rPr>
        <w:t xml:space="preserve">יד </w:t>
      </w:r>
      <w:bookmarkStart w:id="68775" w:name="_ETM_Q121_503380"/>
      <w:bookmarkEnd w:id="68775"/>
      <w:r>
        <w:rPr>
          <w:rFonts w:hint="cs"/>
          <w:rtl/>
        </w:rPr>
        <w:t xml:space="preserve">מחבקת </w:t>
      </w:r>
      <w:bookmarkStart w:id="68776" w:name="_ETM_Q121_504130"/>
      <w:bookmarkEnd w:id="68776"/>
      <w:r>
        <w:rPr>
          <w:rFonts w:hint="cs"/>
          <w:rtl/>
        </w:rPr>
        <w:t xml:space="preserve">ועלה </w:t>
      </w:r>
      <w:bookmarkStart w:id="68777" w:name="_ETM_Q121_504550"/>
      <w:bookmarkEnd w:id="68777"/>
      <w:r>
        <w:rPr>
          <w:rFonts w:hint="cs"/>
          <w:rtl/>
        </w:rPr>
        <w:t xml:space="preserve">של </w:t>
      </w:r>
      <w:bookmarkStart w:id="68778" w:name="_ETM_Q121_504789"/>
      <w:bookmarkEnd w:id="68778"/>
      <w:r>
        <w:rPr>
          <w:rFonts w:hint="cs"/>
          <w:rtl/>
        </w:rPr>
        <w:t xml:space="preserve">זית </w:t>
      </w:r>
      <w:bookmarkStart w:id="68779" w:name="_ETM_Q121_505180"/>
      <w:bookmarkEnd w:id="68779"/>
      <w:r>
        <w:rPr>
          <w:rFonts w:hint="cs"/>
          <w:rtl/>
        </w:rPr>
        <w:t xml:space="preserve">לאחינו </w:t>
      </w:r>
      <w:bookmarkStart w:id="68780" w:name="_ETM_Q121_506289"/>
      <w:bookmarkEnd w:id="68780"/>
      <w:r>
        <w:rPr>
          <w:rFonts w:hint="cs"/>
          <w:rtl/>
        </w:rPr>
        <w:t xml:space="preserve">ואחיותינו </w:t>
      </w:r>
      <w:bookmarkStart w:id="68781" w:name="_ETM_Q121_507820"/>
      <w:bookmarkEnd w:id="68781"/>
      <w:r>
        <w:rPr>
          <w:rFonts w:hint="cs"/>
          <w:rtl/>
        </w:rPr>
        <w:t xml:space="preserve">שנשבו </w:t>
      </w:r>
      <w:bookmarkStart w:id="68782" w:name="_ETM_Q121_508630"/>
      <w:bookmarkEnd w:id="68782"/>
      <w:r>
        <w:rPr>
          <w:rFonts w:hint="cs"/>
          <w:rtl/>
        </w:rPr>
        <w:t xml:space="preserve">בידי </w:t>
      </w:r>
      <w:bookmarkStart w:id="68783" w:name="_ETM_Q121_509140"/>
      <w:bookmarkEnd w:id="68783"/>
      <w:r>
        <w:rPr>
          <w:rFonts w:hint="cs"/>
          <w:rtl/>
        </w:rPr>
        <w:t xml:space="preserve">מכונת </w:t>
      </w:r>
      <w:bookmarkStart w:id="68784" w:name="_ETM_Q121_509680"/>
      <w:bookmarkEnd w:id="68784"/>
      <w:r>
        <w:rPr>
          <w:rFonts w:hint="cs"/>
          <w:rtl/>
        </w:rPr>
        <w:t>השקר,</w:t>
      </w:r>
      <w:bookmarkStart w:id="68785" w:name="_ETM_Q121_511779"/>
      <w:bookmarkEnd w:id="68785"/>
      <w:r>
        <w:rPr>
          <w:rFonts w:hint="cs"/>
          <w:rtl/>
        </w:rPr>
        <w:t xml:space="preserve"> שמוחם </w:t>
      </w:r>
      <w:bookmarkStart w:id="68786" w:name="_ETM_Q121_512380"/>
      <w:bookmarkEnd w:id="68786"/>
      <w:r>
        <w:rPr>
          <w:rFonts w:hint="cs"/>
          <w:rtl/>
        </w:rPr>
        <w:t xml:space="preserve">נשטף </w:t>
      </w:r>
      <w:bookmarkStart w:id="68787" w:name="_ETM_Q121_513519"/>
      <w:bookmarkEnd w:id="68787"/>
      <w:r>
        <w:rPr>
          <w:rFonts w:hint="cs"/>
          <w:rtl/>
        </w:rPr>
        <w:t xml:space="preserve">על ידי </w:t>
      </w:r>
      <w:bookmarkStart w:id="68788" w:name="_ETM_Q121_514329"/>
      <w:bookmarkEnd w:id="68788"/>
      <w:r>
        <w:rPr>
          <w:rFonts w:hint="cs"/>
          <w:rtl/>
        </w:rPr>
        <w:t xml:space="preserve">ערוצי </w:t>
      </w:r>
      <w:bookmarkStart w:id="68789" w:name="_ETM_Q121_514870"/>
      <w:bookmarkEnd w:id="68789"/>
      <w:r>
        <w:rPr>
          <w:rFonts w:hint="cs"/>
          <w:rtl/>
        </w:rPr>
        <w:t xml:space="preserve">התעמולה </w:t>
      </w:r>
      <w:bookmarkStart w:id="68790" w:name="_ETM_Q121_515620"/>
      <w:bookmarkEnd w:id="68790"/>
      <w:r>
        <w:rPr>
          <w:rFonts w:hint="cs"/>
          <w:rtl/>
        </w:rPr>
        <w:t xml:space="preserve">ושופרות </w:t>
      </w:r>
      <w:bookmarkStart w:id="68791" w:name="_ETM_Q121_516460"/>
      <w:bookmarkEnd w:id="68791"/>
      <w:r>
        <w:rPr>
          <w:rFonts w:hint="cs"/>
          <w:rtl/>
        </w:rPr>
        <w:t xml:space="preserve">בזויים </w:t>
      </w:r>
      <w:bookmarkStart w:id="68792" w:name="_ETM_Q121_518660"/>
      <w:bookmarkEnd w:id="68792"/>
      <w:r>
        <w:rPr>
          <w:rFonts w:hint="cs"/>
          <w:rtl/>
        </w:rPr>
        <w:t xml:space="preserve">שמקשיבים </w:t>
      </w:r>
      <w:bookmarkStart w:id="68793" w:name="_ETM_Q121_519680"/>
      <w:bookmarkEnd w:id="68793"/>
      <w:r>
        <w:rPr>
          <w:rFonts w:hint="cs"/>
          <w:rtl/>
        </w:rPr>
        <w:t xml:space="preserve">עדיין </w:t>
      </w:r>
      <w:bookmarkStart w:id="68794" w:name="_ETM_Q121_520430"/>
      <w:bookmarkEnd w:id="68794"/>
      <w:r>
        <w:rPr>
          <w:rFonts w:hint="cs"/>
          <w:rtl/>
        </w:rPr>
        <w:t xml:space="preserve">לאלה </w:t>
      </w:r>
      <w:bookmarkStart w:id="68795" w:name="_ETM_Q121_521300"/>
      <w:bookmarkEnd w:id="68795"/>
      <w:r>
        <w:rPr>
          <w:rFonts w:hint="cs"/>
          <w:rtl/>
        </w:rPr>
        <w:t xml:space="preserve">שממשיכים </w:t>
      </w:r>
      <w:bookmarkStart w:id="68796" w:name="_ETM_Q121_522260"/>
      <w:bookmarkEnd w:id="68796"/>
      <w:r>
        <w:rPr>
          <w:rFonts w:hint="cs"/>
          <w:rtl/>
        </w:rPr>
        <w:t xml:space="preserve">להתעקש </w:t>
      </w:r>
      <w:bookmarkStart w:id="68797" w:name="_ETM_Q121_523190"/>
      <w:bookmarkEnd w:id="68797"/>
      <w:r>
        <w:rPr>
          <w:rFonts w:hint="cs"/>
          <w:rtl/>
        </w:rPr>
        <w:t xml:space="preserve">להפוך </w:t>
      </w:r>
      <w:bookmarkStart w:id="68798" w:name="_ETM_Q121_523850"/>
      <w:bookmarkEnd w:id="68798"/>
      <w:r>
        <w:rPr>
          <w:rFonts w:hint="cs"/>
          <w:rtl/>
        </w:rPr>
        <w:t xml:space="preserve">את </w:t>
      </w:r>
      <w:bookmarkStart w:id="68799" w:name="_ETM_Q121_523970"/>
      <w:bookmarkEnd w:id="68799"/>
      <w:r>
        <w:rPr>
          <w:rFonts w:hint="cs"/>
          <w:rtl/>
        </w:rPr>
        <w:t xml:space="preserve">ישראל </w:t>
      </w:r>
      <w:bookmarkStart w:id="68800" w:name="_ETM_Q121_525420"/>
      <w:bookmarkEnd w:id="68800"/>
      <w:r>
        <w:rPr>
          <w:rFonts w:hint="cs"/>
          <w:rtl/>
        </w:rPr>
        <w:t xml:space="preserve">למדינה </w:t>
      </w:r>
      <w:bookmarkStart w:id="68801" w:name="_ETM_Q121_526050"/>
      <w:bookmarkEnd w:id="68801"/>
      <w:r>
        <w:rPr>
          <w:rFonts w:hint="cs"/>
          <w:rtl/>
        </w:rPr>
        <w:t xml:space="preserve">משיחית, </w:t>
      </w:r>
      <w:bookmarkStart w:id="68802" w:name="_ETM_Q121_527720"/>
      <w:bookmarkEnd w:id="68802"/>
      <w:r>
        <w:rPr>
          <w:rFonts w:hint="cs"/>
          <w:rtl/>
        </w:rPr>
        <w:t xml:space="preserve">למדינה </w:t>
      </w:r>
      <w:bookmarkStart w:id="68803" w:name="_ETM_Q121_528350"/>
      <w:bookmarkEnd w:id="68803"/>
      <w:r>
        <w:rPr>
          <w:rFonts w:hint="cs"/>
          <w:rtl/>
        </w:rPr>
        <w:t xml:space="preserve">דתית </w:t>
      </w:r>
      <w:bookmarkStart w:id="68804" w:name="_ETM_Q121_528890"/>
      <w:bookmarkEnd w:id="68804"/>
      <w:r>
        <w:rPr>
          <w:rFonts w:hint="cs"/>
          <w:rtl/>
        </w:rPr>
        <w:t xml:space="preserve">וקיצונית </w:t>
      </w:r>
      <w:bookmarkStart w:id="68805" w:name="_ETM_Q121_529760"/>
      <w:bookmarkEnd w:id="68805"/>
      <w:r>
        <w:rPr>
          <w:rFonts w:hint="cs"/>
          <w:rtl/>
        </w:rPr>
        <w:t xml:space="preserve">ולא </w:t>
      </w:r>
      <w:bookmarkStart w:id="68806" w:name="_ETM_Q121_530060"/>
      <w:bookmarkEnd w:id="68806"/>
      <w:r>
        <w:rPr>
          <w:rFonts w:hint="cs"/>
          <w:rtl/>
        </w:rPr>
        <w:t xml:space="preserve">דמוקרטית. </w:t>
      </w:r>
      <w:bookmarkStart w:id="68807" w:name="_ETM_Q121_532300"/>
      <w:bookmarkEnd w:id="68807"/>
      <w:r>
        <w:rPr>
          <w:rFonts w:hint="cs"/>
          <w:rtl/>
        </w:rPr>
        <w:t xml:space="preserve">אנחנו, </w:t>
      </w:r>
      <w:bookmarkStart w:id="68808" w:name="_ETM_Q121_534239"/>
      <w:bookmarkEnd w:id="68808"/>
      <w:r>
        <w:rPr>
          <w:rFonts w:hint="cs"/>
          <w:rtl/>
        </w:rPr>
        <w:t xml:space="preserve">מול </w:t>
      </w:r>
      <w:bookmarkStart w:id="68809" w:name="_ETM_Q121_534510"/>
      <w:bookmarkEnd w:id="68809"/>
      <w:r>
        <w:rPr>
          <w:rFonts w:hint="cs"/>
          <w:rtl/>
        </w:rPr>
        <w:t xml:space="preserve">ממשלת </w:t>
      </w:r>
      <w:bookmarkStart w:id="68810" w:name="_ETM_Q121_535110"/>
      <w:bookmarkEnd w:id="68810"/>
      <w:r>
        <w:rPr>
          <w:rFonts w:hint="cs"/>
          <w:rtl/>
        </w:rPr>
        <w:t xml:space="preserve">החושך </w:t>
      </w:r>
      <w:bookmarkStart w:id="68811" w:name="_ETM_Q121_535589"/>
      <w:bookmarkEnd w:id="68811"/>
      <w:r>
        <w:rPr>
          <w:rFonts w:hint="cs"/>
          <w:rtl/>
        </w:rPr>
        <w:t xml:space="preserve">הקיצונית, </w:t>
      </w:r>
      <w:bookmarkStart w:id="68812" w:name="_ETM_Q121_537479"/>
      <w:bookmarkEnd w:id="68812"/>
      <w:r>
        <w:rPr>
          <w:rFonts w:hint="cs"/>
          <w:rtl/>
        </w:rPr>
        <w:t xml:space="preserve">נקים </w:t>
      </w:r>
      <w:bookmarkStart w:id="68813" w:name="_ETM_Q121_538109"/>
      <w:bookmarkEnd w:id="68813"/>
      <w:r>
        <w:rPr>
          <w:rFonts w:hint="cs"/>
          <w:rtl/>
        </w:rPr>
        <w:t xml:space="preserve">קיר </w:t>
      </w:r>
      <w:bookmarkStart w:id="68814" w:name="_ETM_Q121_538529"/>
      <w:bookmarkEnd w:id="68814"/>
      <w:r>
        <w:rPr>
          <w:rFonts w:hint="cs"/>
          <w:rtl/>
        </w:rPr>
        <w:t xml:space="preserve">ברזל </w:t>
      </w:r>
      <w:bookmarkStart w:id="68815" w:name="_ETM_Q121_539460"/>
      <w:bookmarkEnd w:id="68815"/>
      <w:r>
        <w:rPr>
          <w:rFonts w:hint="cs"/>
          <w:rtl/>
        </w:rPr>
        <w:t xml:space="preserve">נחוש, </w:t>
      </w:r>
      <w:bookmarkStart w:id="68816" w:name="_ETM_Q121_541620"/>
      <w:bookmarkEnd w:id="68816"/>
      <w:r>
        <w:rPr>
          <w:rFonts w:hint="cs"/>
          <w:rtl/>
        </w:rPr>
        <w:t xml:space="preserve">חזק </w:t>
      </w:r>
      <w:bookmarkStart w:id="68817" w:name="_ETM_Q121_543179"/>
      <w:bookmarkEnd w:id="68817"/>
      <w:r>
        <w:rPr>
          <w:rFonts w:hint="cs"/>
          <w:rtl/>
        </w:rPr>
        <w:t xml:space="preserve">ובעיקר </w:t>
      </w:r>
      <w:bookmarkStart w:id="68818" w:name="_ETM_Q121_543989"/>
      <w:bookmarkEnd w:id="68818"/>
      <w:r>
        <w:rPr>
          <w:rFonts w:hint="cs"/>
          <w:rtl/>
        </w:rPr>
        <w:t xml:space="preserve">מנצח, </w:t>
      </w:r>
      <w:bookmarkStart w:id="68819" w:name="_ETM_Q121_546159"/>
      <w:bookmarkEnd w:id="68819"/>
      <w:r>
        <w:rPr>
          <w:rFonts w:hint="cs"/>
          <w:rtl/>
        </w:rPr>
        <w:t xml:space="preserve">כי </w:t>
      </w:r>
      <w:bookmarkStart w:id="68820" w:name="_ETM_Q121_546310"/>
      <w:bookmarkEnd w:id="68820"/>
      <w:r>
        <w:rPr>
          <w:rFonts w:hint="cs"/>
          <w:rtl/>
        </w:rPr>
        <w:t xml:space="preserve">פשוט </w:t>
      </w:r>
      <w:bookmarkStart w:id="68821" w:name="_ETM_Q121_546670"/>
      <w:bookmarkEnd w:id="68821"/>
      <w:r>
        <w:rPr>
          <w:rFonts w:hint="cs"/>
          <w:rtl/>
        </w:rPr>
        <w:t xml:space="preserve">אין </w:t>
      </w:r>
      <w:bookmarkStart w:id="68822" w:name="_ETM_Q121_546850"/>
      <w:bookmarkEnd w:id="68822"/>
      <w:r>
        <w:rPr>
          <w:rFonts w:hint="cs"/>
          <w:rtl/>
        </w:rPr>
        <w:t xml:space="preserve">לנו </w:t>
      </w:r>
      <w:bookmarkStart w:id="68823" w:name="_ETM_Q121_547060"/>
      <w:bookmarkEnd w:id="68823"/>
      <w:r>
        <w:rPr>
          <w:rFonts w:hint="cs"/>
          <w:rtl/>
        </w:rPr>
        <w:t xml:space="preserve">ארץ </w:t>
      </w:r>
      <w:bookmarkStart w:id="68824" w:name="_ETM_Q121_547390"/>
      <w:bookmarkEnd w:id="68824"/>
      <w:r>
        <w:rPr>
          <w:rFonts w:hint="cs"/>
          <w:rtl/>
        </w:rPr>
        <w:t>אחרת.</w:t>
      </w:r>
    </w:p>
    <w:p w:rsidR="00BB59CD" w:rsidRDefault="00BB59CD" w:rsidP="00BB59CD">
      <w:pPr>
        <w:rPr>
          <w:rtl/>
        </w:rPr>
      </w:pPr>
      <w:bookmarkStart w:id="68825" w:name="_ETM_Q121_550144"/>
      <w:bookmarkStart w:id="68826" w:name="_ETM_Q121_550253"/>
      <w:bookmarkEnd w:id="68825"/>
      <w:bookmarkEnd w:id="68826"/>
    </w:p>
    <w:p w:rsidR="00BB59CD" w:rsidRDefault="00BB59CD" w:rsidP="00A335DD">
      <w:pPr>
        <w:rPr>
          <w:rtl/>
        </w:rPr>
      </w:pPr>
      <w:bookmarkStart w:id="68827" w:name="_ETM_Q121_550305"/>
      <w:bookmarkStart w:id="68828" w:name="_ETM_Q121_550372"/>
      <w:bookmarkStart w:id="68829" w:name="_ETM_Q121_550320"/>
      <w:bookmarkEnd w:id="68827"/>
      <w:bookmarkEnd w:id="68828"/>
      <w:bookmarkEnd w:id="68829"/>
      <w:r>
        <w:rPr>
          <w:rFonts w:hint="cs"/>
          <w:rtl/>
        </w:rPr>
        <w:t xml:space="preserve">אני </w:t>
      </w:r>
      <w:bookmarkStart w:id="68830" w:name="_ETM_Q121_550470"/>
      <w:bookmarkEnd w:id="68830"/>
      <w:r>
        <w:rPr>
          <w:rFonts w:hint="cs"/>
          <w:rtl/>
        </w:rPr>
        <w:t xml:space="preserve">רוצה </w:t>
      </w:r>
      <w:bookmarkStart w:id="68831" w:name="_ETM_Q121_550890"/>
      <w:bookmarkEnd w:id="68831"/>
      <w:r>
        <w:rPr>
          <w:rFonts w:hint="cs"/>
          <w:rtl/>
        </w:rPr>
        <w:t xml:space="preserve">בדקות </w:t>
      </w:r>
      <w:bookmarkStart w:id="68832" w:name="_ETM_Q121_551339"/>
      <w:bookmarkEnd w:id="68832"/>
      <w:r>
        <w:rPr>
          <w:rFonts w:hint="cs"/>
          <w:rtl/>
        </w:rPr>
        <w:t xml:space="preserve">שנשארו </w:t>
      </w:r>
      <w:bookmarkStart w:id="68833" w:name="_ETM_Q121_551940"/>
      <w:bookmarkEnd w:id="68833"/>
      <w:r>
        <w:rPr>
          <w:rFonts w:hint="cs"/>
          <w:rtl/>
        </w:rPr>
        <w:t xml:space="preserve">לי </w:t>
      </w:r>
      <w:bookmarkStart w:id="68834" w:name="_ETM_Q121_554120"/>
      <w:bookmarkEnd w:id="68834"/>
      <w:r>
        <w:rPr>
          <w:rFonts w:hint="cs"/>
          <w:rtl/>
        </w:rPr>
        <w:t xml:space="preserve">לדבר </w:t>
      </w:r>
      <w:bookmarkStart w:id="68835" w:name="_ETM_Q121_554630"/>
      <w:bookmarkEnd w:id="68835"/>
      <w:r>
        <w:rPr>
          <w:rFonts w:hint="cs"/>
          <w:rtl/>
        </w:rPr>
        <w:t xml:space="preserve">על </w:t>
      </w:r>
      <w:bookmarkStart w:id="68836" w:name="_ETM_Q121_554750"/>
      <w:bookmarkEnd w:id="68836"/>
      <w:r>
        <w:rPr>
          <w:rFonts w:hint="cs"/>
          <w:rtl/>
        </w:rPr>
        <w:t xml:space="preserve">משהו </w:t>
      </w:r>
      <w:bookmarkStart w:id="68837" w:name="_ETM_Q121_555110"/>
      <w:bookmarkEnd w:id="68837"/>
      <w:r>
        <w:rPr>
          <w:rFonts w:hint="cs"/>
          <w:rtl/>
        </w:rPr>
        <w:t xml:space="preserve">שהוא </w:t>
      </w:r>
      <w:bookmarkStart w:id="68838" w:name="_ETM_Q121_555290"/>
      <w:bookmarkEnd w:id="68838"/>
      <w:r>
        <w:rPr>
          <w:rFonts w:hint="cs"/>
          <w:rtl/>
        </w:rPr>
        <w:t xml:space="preserve">כואב </w:t>
      </w:r>
      <w:bookmarkStart w:id="68839" w:name="_ETM_Q121_555680"/>
      <w:bookmarkEnd w:id="68839"/>
      <w:r>
        <w:rPr>
          <w:rFonts w:hint="cs"/>
          <w:rtl/>
        </w:rPr>
        <w:t xml:space="preserve">לי </w:t>
      </w:r>
      <w:bookmarkStart w:id="68840" w:name="_ETM_Q121_556370"/>
      <w:bookmarkEnd w:id="68840"/>
      <w:r>
        <w:rPr>
          <w:rFonts w:hint="cs"/>
          <w:rtl/>
        </w:rPr>
        <w:t xml:space="preserve">באופן </w:t>
      </w:r>
      <w:bookmarkStart w:id="68841" w:name="_ETM_Q121_556820"/>
      <w:bookmarkEnd w:id="68841"/>
      <w:r>
        <w:rPr>
          <w:rFonts w:hint="cs"/>
          <w:rtl/>
        </w:rPr>
        <w:t xml:space="preserve">אישי. </w:t>
      </w:r>
      <w:bookmarkStart w:id="68842" w:name="_ETM_Q121_558600"/>
      <w:bookmarkEnd w:id="68842"/>
      <w:r>
        <w:rPr>
          <w:rFonts w:hint="cs"/>
          <w:rtl/>
        </w:rPr>
        <w:t xml:space="preserve">אני </w:t>
      </w:r>
      <w:bookmarkStart w:id="68843" w:name="_ETM_Q121_558810"/>
      <w:bookmarkEnd w:id="68843"/>
      <w:r>
        <w:rPr>
          <w:rFonts w:hint="cs"/>
          <w:rtl/>
        </w:rPr>
        <w:t xml:space="preserve">שומעת </w:t>
      </w:r>
      <w:bookmarkStart w:id="68844" w:name="_ETM_Q121_559259"/>
      <w:bookmarkEnd w:id="68844"/>
      <w:r>
        <w:rPr>
          <w:rFonts w:hint="cs"/>
          <w:rtl/>
        </w:rPr>
        <w:t xml:space="preserve">פה </w:t>
      </w:r>
      <w:bookmarkStart w:id="68845" w:name="_ETM_Q121_559409"/>
      <w:bookmarkEnd w:id="68845"/>
      <w:r>
        <w:rPr>
          <w:rFonts w:hint="cs"/>
          <w:rtl/>
        </w:rPr>
        <w:t xml:space="preserve">שרים </w:t>
      </w:r>
      <w:bookmarkStart w:id="68846" w:name="_ETM_Q121_559799"/>
      <w:bookmarkEnd w:id="68846"/>
      <w:r>
        <w:rPr>
          <w:rFonts w:hint="cs"/>
          <w:rtl/>
        </w:rPr>
        <w:t xml:space="preserve">בממשלה – </w:t>
      </w:r>
      <w:bookmarkStart w:id="68847" w:name="_ETM_Q121_560579"/>
      <w:bookmarkEnd w:id="68847"/>
      <w:r>
        <w:rPr>
          <w:rFonts w:hint="cs"/>
          <w:rtl/>
        </w:rPr>
        <w:t xml:space="preserve">ואני </w:t>
      </w:r>
      <w:bookmarkStart w:id="68848" w:name="_ETM_Q121_560819"/>
      <w:bookmarkEnd w:id="68848"/>
      <w:r>
        <w:rPr>
          <w:rFonts w:hint="cs"/>
          <w:rtl/>
        </w:rPr>
        <w:t xml:space="preserve">רואה </w:t>
      </w:r>
      <w:bookmarkStart w:id="68849" w:name="_ETM_Q121_561029"/>
      <w:bookmarkStart w:id="68850" w:name="_ETM_Q121_561689"/>
      <w:bookmarkEnd w:id="68849"/>
      <w:bookmarkEnd w:id="68850"/>
      <w:r>
        <w:rPr>
          <w:rFonts w:hint="cs"/>
          <w:rtl/>
        </w:rPr>
        <w:t xml:space="preserve">באמת </w:t>
      </w:r>
      <w:bookmarkStart w:id="68851" w:name="_ETM_Q121_563479"/>
      <w:bookmarkStart w:id="68852" w:name="_ETM_Q121_563689"/>
      <w:bookmarkStart w:id="68853" w:name="_ETM_Q121_564020"/>
      <w:bookmarkEnd w:id="68851"/>
      <w:bookmarkEnd w:id="68852"/>
      <w:bookmarkEnd w:id="68853"/>
      <w:r>
        <w:rPr>
          <w:rFonts w:hint="cs"/>
          <w:rtl/>
        </w:rPr>
        <w:t xml:space="preserve">איזשהו </w:t>
      </w:r>
      <w:bookmarkStart w:id="68854" w:name="_ETM_Q121_564409"/>
      <w:bookmarkEnd w:id="68854"/>
      <w:r>
        <w:rPr>
          <w:rFonts w:hint="cs"/>
          <w:rtl/>
        </w:rPr>
        <w:t>עו</w:t>
      </w:r>
      <w:bookmarkStart w:id="68855" w:name="_ETM_Q121_564560"/>
      <w:bookmarkEnd w:id="68855"/>
      <w:r>
        <w:rPr>
          <w:rFonts w:hint="cs"/>
          <w:rtl/>
        </w:rPr>
        <w:t xml:space="preserve">נג, </w:t>
      </w:r>
      <w:bookmarkStart w:id="68856" w:name="_ETM_Q121_563283"/>
      <w:bookmarkEnd w:id="68856"/>
      <w:r>
        <w:rPr>
          <w:rFonts w:hint="cs"/>
          <w:rtl/>
        </w:rPr>
        <w:t xml:space="preserve">איזשהם </w:t>
      </w:r>
      <w:bookmarkStart w:id="68857" w:name="_ETM_Q121_564829"/>
      <w:bookmarkStart w:id="68858" w:name="_ETM_Q121_565339"/>
      <w:bookmarkEnd w:id="68857"/>
      <w:bookmarkEnd w:id="68858"/>
      <w:r>
        <w:rPr>
          <w:rFonts w:hint="cs"/>
          <w:rtl/>
        </w:rPr>
        <w:t xml:space="preserve">חיוכים </w:t>
      </w:r>
      <w:bookmarkStart w:id="68859" w:name="_ETM_Q121_565939"/>
      <w:bookmarkEnd w:id="68859"/>
      <w:r>
        <w:rPr>
          <w:rFonts w:hint="cs"/>
          <w:rtl/>
        </w:rPr>
        <w:t xml:space="preserve">שלא </w:t>
      </w:r>
      <w:bookmarkStart w:id="68860" w:name="_ETM_Q121_566149"/>
      <w:bookmarkEnd w:id="68860"/>
      <w:r>
        <w:rPr>
          <w:rFonts w:hint="cs"/>
          <w:rtl/>
        </w:rPr>
        <w:t xml:space="preserve">כל </w:t>
      </w:r>
      <w:bookmarkStart w:id="68861" w:name="_ETM_Q121_566270"/>
      <w:bookmarkEnd w:id="68861"/>
      <w:r>
        <w:rPr>
          <w:rFonts w:hint="cs"/>
          <w:rtl/>
        </w:rPr>
        <w:t xml:space="preserve">כך </w:t>
      </w:r>
      <w:bookmarkStart w:id="68862" w:name="_ETM_Q121_566420"/>
      <w:bookmarkEnd w:id="68862"/>
      <w:r>
        <w:rPr>
          <w:rFonts w:hint="cs"/>
          <w:rtl/>
        </w:rPr>
        <w:t xml:space="preserve">ברור </w:t>
      </w:r>
      <w:bookmarkStart w:id="68863" w:name="_ETM_Q121_567659"/>
      <w:bookmarkEnd w:id="68863"/>
      <w:r>
        <w:rPr>
          <w:rFonts w:hint="cs"/>
          <w:rtl/>
        </w:rPr>
        <w:t xml:space="preserve">מה </w:t>
      </w:r>
      <w:bookmarkStart w:id="68864" w:name="_ETM_Q121_567990"/>
      <w:bookmarkEnd w:id="68864"/>
      <w:r>
        <w:rPr>
          <w:rFonts w:hint="cs"/>
          <w:rtl/>
        </w:rPr>
        <w:t>מקומם</w:t>
      </w:r>
      <w:bookmarkStart w:id="68865" w:name="_ETM_Q121_568710"/>
      <w:bookmarkEnd w:id="68865"/>
      <w:r>
        <w:rPr>
          <w:rFonts w:hint="cs"/>
          <w:rtl/>
        </w:rPr>
        <w:t xml:space="preserve"> –יושבים </w:t>
      </w:r>
      <w:bookmarkStart w:id="68866" w:name="_ETM_Q121_568950"/>
      <w:bookmarkEnd w:id="68866"/>
      <w:r>
        <w:rPr>
          <w:rFonts w:hint="cs"/>
          <w:rtl/>
        </w:rPr>
        <w:t xml:space="preserve">במליאה </w:t>
      </w:r>
      <w:bookmarkStart w:id="68867" w:name="_ETM_Q121_569399"/>
      <w:bookmarkEnd w:id="68867"/>
      <w:r>
        <w:rPr>
          <w:rFonts w:hint="cs"/>
          <w:rtl/>
        </w:rPr>
        <w:t xml:space="preserve">תמיד </w:t>
      </w:r>
      <w:bookmarkStart w:id="68868" w:name="_ETM_Q121_569759"/>
      <w:bookmarkEnd w:id="68868"/>
      <w:r>
        <w:rPr>
          <w:rFonts w:hint="cs"/>
          <w:rtl/>
        </w:rPr>
        <w:t xml:space="preserve">עם </w:t>
      </w:r>
      <w:bookmarkStart w:id="68869" w:name="_ETM_Q121_569850"/>
      <w:bookmarkEnd w:id="68869"/>
      <w:r>
        <w:rPr>
          <w:rFonts w:hint="cs"/>
          <w:rtl/>
        </w:rPr>
        <w:t xml:space="preserve">איזה </w:t>
      </w:r>
      <w:bookmarkStart w:id="68870" w:name="_ETM_Q121_570029"/>
      <w:bookmarkEnd w:id="68870"/>
      <w:r>
        <w:rPr>
          <w:rFonts w:hint="cs"/>
          <w:rtl/>
        </w:rPr>
        <w:t xml:space="preserve">חיוך </w:t>
      </w:r>
      <w:bookmarkStart w:id="68871" w:name="_ETM_Q121_570390"/>
      <w:bookmarkEnd w:id="68871"/>
      <w:r>
        <w:rPr>
          <w:rFonts w:hint="cs"/>
          <w:rtl/>
        </w:rPr>
        <w:t xml:space="preserve">מאוזן </w:t>
      </w:r>
      <w:bookmarkStart w:id="68872" w:name="_ETM_Q121_570869"/>
      <w:bookmarkEnd w:id="68872"/>
      <w:r>
        <w:rPr>
          <w:rFonts w:hint="cs"/>
          <w:rtl/>
        </w:rPr>
        <w:t xml:space="preserve">לאוזן, </w:t>
      </w:r>
      <w:bookmarkStart w:id="68873" w:name="_ETM_Q121_572000"/>
      <w:bookmarkEnd w:id="68873"/>
      <w:r>
        <w:rPr>
          <w:rFonts w:hint="cs"/>
          <w:rtl/>
        </w:rPr>
        <w:t xml:space="preserve">בזים </w:t>
      </w:r>
      <w:bookmarkStart w:id="68874" w:name="_ETM_Q121_573500"/>
      <w:bookmarkEnd w:id="68874"/>
      <w:r>
        <w:rPr>
          <w:rFonts w:hint="cs"/>
          <w:rtl/>
        </w:rPr>
        <w:t xml:space="preserve">לחצי </w:t>
      </w:r>
      <w:bookmarkStart w:id="68875" w:name="_ETM_Q121_574100"/>
      <w:bookmarkEnd w:id="68875"/>
      <w:r>
        <w:rPr>
          <w:rFonts w:hint="cs"/>
          <w:rtl/>
        </w:rPr>
        <w:t xml:space="preserve">מהעם, בזים </w:t>
      </w:r>
      <w:bookmarkStart w:id="68876" w:name="_ETM_Q121_575180"/>
      <w:bookmarkEnd w:id="68876"/>
      <w:r>
        <w:rPr>
          <w:rFonts w:hint="cs"/>
          <w:rtl/>
        </w:rPr>
        <w:t xml:space="preserve">לחצי </w:t>
      </w:r>
      <w:bookmarkStart w:id="68877" w:name="_ETM_Q121_575570"/>
      <w:bookmarkEnd w:id="68877"/>
      <w:r>
        <w:rPr>
          <w:rFonts w:hint="cs"/>
          <w:rtl/>
        </w:rPr>
        <w:t xml:space="preserve">מעם, </w:t>
      </w:r>
      <w:bookmarkStart w:id="68878" w:name="_ETM_Q121_576049"/>
      <w:bookmarkEnd w:id="68878"/>
      <w:r>
        <w:rPr>
          <w:rFonts w:hint="cs"/>
          <w:rtl/>
        </w:rPr>
        <w:t xml:space="preserve">ליותר </w:t>
      </w:r>
      <w:bookmarkStart w:id="68879" w:name="_ETM_Q121_576380"/>
      <w:bookmarkEnd w:id="68879"/>
      <w:r>
        <w:rPr>
          <w:rFonts w:hint="cs"/>
          <w:rtl/>
        </w:rPr>
        <w:t xml:space="preserve">מחצי </w:t>
      </w:r>
      <w:bookmarkStart w:id="68880" w:name="_ETM_Q121_576740"/>
      <w:bookmarkEnd w:id="68880"/>
      <w:r>
        <w:rPr>
          <w:rFonts w:hint="cs"/>
          <w:rtl/>
        </w:rPr>
        <w:t xml:space="preserve">מהעם, </w:t>
      </w:r>
      <w:bookmarkStart w:id="68881" w:name="_ETM_Q121_577040"/>
      <w:bookmarkEnd w:id="68881"/>
      <w:r>
        <w:rPr>
          <w:rFonts w:hint="cs"/>
          <w:rtl/>
        </w:rPr>
        <w:t xml:space="preserve">כי </w:t>
      </w:r>
      <w:bookmarkStart w:id="68882" w:name="_ETM_Q121_577189"/>
      <w:bookmarkEnd w:id="68882"/>
      <w:r>
        <w:rPr>
          <w:rFonts w:hint="cs"/>
          <w:rtl/>
        </w:rPr>
        <w:t xml:space="preserve">גם </w:t>
      </w:r>
      <w:bookmarkStart w:id="68883" w:name="_ETM_Q121_577339"/>
      <w:bookmarkEnd w:id="68883"/>
      <w:r>
        <w:rPr>
          <w:rFonts w:hint="cs"/>
          <w:rtl/>
        </w:rPr>
        <w:t xml:space="preserve">אלה </w:t>
      </w:r>
      <w:bookmarkStart w:id="68884" w:name="_ETM_Q121_577490"/>
      <w:bookmarkEnd w:id="68884"/>
      <w:r>
        <w:rPr>
          <w:rFonts w:hint="cs"/>
          <w:rtl/>
        </w:rPr>
        <w:t xml:space="preserve">שתומכים </w:t>
      </w:r>
      <w:bookmarkStart w:id="68885" w:name="_ETM_Q121_577939"/>
      <w:bookmarkEnd w:id="68885"/>
      <w:r>
        <w:rPr>
          <w:rFonts w:hint="cs"/>
          <w:rtl/>
        </w:rPr>
        <w:t xml:space="preserve">בהם </w:t>
      </w:r>
      <w:bookmarkStart w:id="68886" w:name="_ETM_Q121_578089"/>
      <w:bookmarkEnd w:id="68886"/>
      <w:r>
        <w:rPr>
          <w:rFonts w:hint="cs"/>
          <w:rtl/>
        </w:rPr>
        <w:t xml:space="preserve">כבר </w:t>
      </w:r>
      <w:bookmarkStart w:id="68887" w:name="_ETM_Q121_578299"/>
      <w:bookmarkEnd w:id="68887"/>
      <w:r>
        <w:rPr>
          <w:rFonts w:hint="cs"/>
          <w:rtl/>
        </w:rPr>
        <w:t xml:space="preserve">לא </w:t>
      </w:r>
      <w:bookmarkStart w:id="68888" w:name="_ETM_Q121_578360"/>
      <w:bookmarkEnd w:id="68888"/>
      <w:r>
        <w:rPr>
          <w:rFonts w:hint="cs"/>
          <w:rtl/>
        </w:rPr>
        <w:t xml:space="preserve">תומכים </w:t>
      </w:r>
      <w:bookmarkStart w:id="68889" w:name="_ETM_Q121_578689"/>
      <w:bookmarkEnd w:id="68889"/>
      <w:r>
        <w:rPr>
          <w:rFonts w:hint="cs"/>
          <w:rtl/>
        </w:rPr>
        <w:t xml:space="preserve">בהם, </w:t>
      </w:r>
      <w:bookmarkStart w:id="68890" w:name="_ETM_Q121_581759"/>
      <w:bookmarkEnd w:id="68890"/>
      <w:r>
        <w:rPr>
          <w:rFonts w:hint="cs"/>
          <w:rtl/>
        </w:rPr>
        <w:t xml:space="preserve">והם </w:t>
      </w:r>
      <w:bookmarkStart w:id="68891" w:name="_ETM_Q121_582089"/>
      <w:bookmarkEnd w:id="68891"/>
      <w:r>
        <w:rPr>
          <w:rFonts w:hint="cs"/>
          <w:rtl/>
        </w:rPr>
        <w:t xml:space="preserve">עומדים </w:t>
      </w:r>
      <w:bookmarkStart w:id="68892" w:name="_ETM_Q121_582570"/>
      <w:bookmarkEnd w:id="68892"/>
      <w:r>
        <w:rPr>
          <w:rFonts w:hint="cs"/>
          <w:rtl/>
        </w:rPr>
        <w:t xml:space="preserve">כאן </w:t>
      </w:r>
      <w:bookmarkStart w:id="68893" w:name="_ETM_Q121_583649"/>
      <w:bookmarkEnd w:id="68893"/>
      <w:r>
        <w:rPr>
          <w:rFonts w:hint="cs"/>
          <w:rtl/>
        </w:rPr>
        <w:t xml:space="preserve">וקוראים </w:t>
      </w:r>
      <w:bookmarkStart w:id="68894" w:name="_ETM_Q121_584219"/>
      <w:bookmarkEnd w:id="68894"/>
      <w:r>
        <w:rPr>
          <w:rFonts w:hint="cs"/>
          <w:rtl/>
        </w:rPr>
        <w:t xml:space="preserve">להם </w:t>
      </w:r>
      <w:bookmarkStart w:id="68895" w:name="_ETM_Q121_584429"/>
      <w:bookmarkEnd w:id="68895"/>
      <w:r>
        <w:rPr>
          <w:rFonts w:hint="cs"/>
          <w:rtl/>
        </w:rPr>
        <w:t>אשכנזים.</w:t>
      </w:r>
      <w:r w:rsidR="00A335DD">
        <w:t xml:space="preserve"> </w:t>
      </w:r>
      <w:bookmarkStart w:id="68896" w:name="_ETM_Q121_584495"/>
      <w:bookmarkStart w:id="68897" w:name="_ETM_Q121_584589"/>
      <w:bookmarkStart w:id="68898" w:name="_ETM_Q121_584653"/>
      <w:bookmarkStart w:id="68899" w:name="_ETM_Q121_584739"/>
      <w:bookmarkStart w:id="68900" w:name="_ETM_Q121_585029"/>
      <w:bookmarkStart w:id="68901" w:name="_ETM_Q121_585240"/>
      <w:bookmarkEnd w:id="68896"/>
      <w:bookmarkEnd w:id="68897"/>
      <w:bookmarkEnd w:id="68898"/>
      <w:bookmarkEnd w:id="68899"/>
      <w:bookmarkEnd w:id="68900"/>
      <w:bookmarkEnd w:id="68901"/>
      <w:r>
        <w:rPr>
          <w:rFonts w:hint="cs"/>
          <w:rtl/>
        </w:rPr>
        <w:t xml:space="preserve">יש </w:t>
      </w:r>
      <w:bookmarkStart w:id="68902" w:name="_ETM_Q121_585329"/>
      <w:bookmarkEnd w:id="68902"/>
      <w:r>
        <w:rPr>
          <w:rFonts w:hint="cs"/>
          <w:rtl/>
        </w:rPr>
        <w:t xml:space="preserve">לי </w:t>
      </w:r>
      <w:bookmarkStart w:id="68903" w:name="_ETM_Q121_585450"/>
      <w:bookmarkEnd w:id="68903"/>
      <w:r>
        <w:rPr>
          <w:rFonts w:hint="cs"/>
          <w:rtl/>
        </w:rPr>
        <w:t xml:space="preserve">שאלה </w:t>
      </w:r>
      <w:bookmarkStart w:id="68904" w:name="_ETM_Q121_585869"/>
      <w:bookmarkEnd w:id="68904"/>
      <w:r>
        <w:rPr>
          <w:rFonts w:hint="cs"/>
          <w:rtl/>
        </w:rPr>
        <w:t xml:space="preserve">אליכם, </w:t>
      </w:r>
      <w:bookmarkStart w:id="68905" w:name="_ETM_Q121_586899"/>
      <w:bookmarkEnd w:id="68905"/>
      <w:r>
        <w:rPr>
          <w:rFonts w:hint="cs"/>
          <w:rtl/>
        </w:rPr>
        <w:t xml:space="preserve">ממשלת </w:t>
      </w:r>
      <w:bookmarkStart w:id="68906" w:name="_ETM_Q121_587439"/>
      <w:bookmarkEnd w:id="68906"/>
      <w:r>
        <w:rPr>
          <w:rFonts w:hint="cs"/>
          <w:rtl/>
        </w:rPr>
        <w:t xml:space="preserve">ישראל </w:t>
      </w:r>
      <w:bookmarkStart w:id="68907" w:name="_ETM_Q121_587920"/>
      <w:bookmarkEnd w:id="68907"/>
      <w:r>
        <w:rPr>
          <w:rFonts w:hint="cs"/>
          <w:rtl/>
        </w:rPr>
        <w:t xml:space="preserve">היקרה. </w:t>
      </w:r>
      <w:bookmarkStart w:id="68908" w:name="_ETM_Q121_589740"/>
      <w:bookmarkEnd w:id="68908"/>
      <w:r>
        <w:rPr>
          <w:rFonts w:hint="cs"/>
          <w:rtl/>
        </w:rPr>
        <w:t xml:space="preserve">אני </w:t>
      </w:r>
      <w:bookmarkStart w:id="68909" w:name="_ETM_Q121_589979"/>
      <w:bookmarkEnd w:id="68909"/>
      <w:r>
        <w:rPr>
          <w:rFonts w:hint="cs"/>
          <w:rtl/>
        </w:rPr>
        <w:t>חצי-</w:t>
      </w:r>
      <w:bookmarkStart w:id="68910" w:name="_ETM_Q121_590279"/>
      <w:bookmarkEnd w:id="68910"/>
      <w:r>
        <w:rPr>
          <w:rFonts w:hint="cs"/>
          <w:rtl/>
        </w:rPr>
        <w:t xml:space="preserve">חצי </w:t>
      </w:r>
      <w:bookmarkStart w:id="68911" w:name="_ETM_Q121_591710"/>
      <w:bookmarkEnd w:id="68911"/>
      <w:r>
        <w:rPr>
          <w:rFonts w:hint="cs"/>
          <w:rtl/>
        </w:rPr>
        <w:t xml:space="preserve">– אני </w:t>
      </w:r>
      <w:bookmarkStart w:id="68912" w:name="_ETM_Q121_591920"/>
      <w:bookmarkEnd w:id="68912"/>
      <w:r>
        <w:rPr>
          <w:rFonts w:hint="cs"/>
          <w:rtl/>
        </w:rPr>
        <w:t xml:space="preserve">חצי </w:t>
      </w:r>
      <w:bookmarkStart w:id="68913" w:name="_ETM_Q121_592159"/>
      <w:bookmarkEnd w:id="68913"/>
      <w:r>
        <w:rPr>
          <w:rFonts w:hint="cs"/>
          <w:rtl/>
        </w:rPr>
        <w:t xml:space="preserve">פולנייה, </w:t>
      </w:r>
      <w:bookmarkStart w:id="68914" w:name="_ETM_Q121_592790"/>
      <w:bookmarkEnd w:id="68914"/>
      <w:r>
        <w:rPr>
          <w:rFonts w:hint="cs"/>
          <w:rtl/>
        </w:rPr>
        <w:t xml:space="preserve">אבא </w:t>
      </w:r>
      <w:bookmarkStart w:id="68915" w:name="_ETM_Q121_592940"/>
      <w:bookmarkEnd w:id="68915"/>
      <w:r>
        <w:rPr>
          <w:rFonts w:hint="cs"/>
          <w:rtl/>
        </w:rPr>
        <w:t xml:space="preserve">שלי </w:t>
      </w:r>
      <w:bookmarkStart w:id="68916" w:name="_ETM_Q121_593089"/>
      <w:bookmarkEnd w:id="68916"/>
      <w:r>
        <w:rPr>
          <w:rFonts w:hint="cs"/>
          <w:rtl/>
        </w:rPr>
        <w:t xml:space="preserve">פולני, </w:t>
      </w:r>
      <w:bookmarkStart w:id="68917" w:name="_ETM_Q121_593479"/>
      <w:bookmarkEnd w:id="68917"/>
      <w:r>
        <w:rPr>
          <w:rFonts w:hint="cs"/>
          <w:rtl/>
        </w:rPr>
        <w:t xml:space="preserve">נולד </w:t>
      </w:r>
      <w:bookmarkStart w:id="68918" w:name="_ETM_Q121_593779"/>
      <w:bookmarkEnd w:id="68918"/>
      <w:r>
        <w:rPr>
          <w:rFonts w:hint="cs"/>
          <w:rtl/>
        </w:rPr>
        <w:t xml:space="preserve">בוורשה </w:t>
      </w:r>
      <w:bookmarkStart w:id="68919" w:name="_ETM_Q121_594950"/>
      <w:bookmarkEnd w:id="68919"/>
      <w:r>
        <w:rPr>
          <w:rFonts w:hint="cs"/>
          <w:rtl/>
        </w:rPr>
        <w:t>לפני מאה</w:t>
      </w:r>
      <w:bookmarkStart w:id="68920" w:name="_ETM_Q121_595279"/>
      <w:bookmarkEnd w:id="68920"/>
      <w:r>
        <w:rPr>
          <w:rFonts w:hint="cs"/>
          <w:rtl/>
        </w:rPr>
        <w:t xml:space="preserve"> </w:t>
      </w:r>
      <w:bookmarkStart w:id="68921" w:name="_ETM_Q121_595520"/>
      <w:bookmarkEnd w:id="68921"/>
      <w:r>
        <w:rPr>
          <w:rFonts w:hint="cs"/>
          <w:rtl/>
        </w:rPr>
        <w:t xml:space="preserve">שנה; </w:t>
      </w:r>
      <w:bookmarkStart w:id="68922" w:name="_ETM_Q121_597100"/>
      <w:bookmarkEnd w:id="68922"/>
      <w:r>
        <w:rPr>
          <w:rFonts w:hint="cs"/>
          <w:rtl/>
        </w:rPr>
        <w:t xml:space="preserve">אימא </w:t>
      </w:r>
      <w:bookmarkStart w:id="68923" w:name="_ETM_Q121_597339"/>
      <w:bookmarkEnd w:id="68923"/>
      <w:r>
        <w:rPr>
          <w:rFonts w:hint="cs"/>
          <w:rtl/>
        </w:rPr>
        <w:t xml:space="preserve">שלי </w:t>
      </w:r>
      <w:bookmarkStart w:id="68924" w:name="_ETM_Q121_597639"/>
      <w:bookmarkEnd w:id="68924"/>
      <w:r>
        <w:rPr>
          <w:rFonts w:hint="cs"/>
          <w:rtl/>
        </w:rPr>
        <w:t xml:space="preserve">לעומת </w:t>
      </w:r>
      <w:bookmarkStart w:id="68925" w:name="_ETM_Q121_598060"/>
      <w:bookmarkEnd w:id="68925"/>
      <w:r>
        <w:rPr>
          <w:rFonts w:hint="cs"/>
          <w:rtl/>
        </w:rPr>
        <w:t xml:space="preserve">זאת </w:t>
      </w:r>
      <w:bookmarkStart w:id="68926" w:name="_ETM_Q121_598929"/>
      <w:bookmarkEnd w:id="68926"/>
      <w:r>
        <w:rPr>
          <w:rFonts w:hint="cs"/>
          <w:rtl/>
        </w:rPr>
        <w:t xml:space="preserve">נולדה </w:t>
      </w:r>
      <w:bookmarkStart w:id="68927" w:name="_ETM_Q121_599319"/>
      <w:bookmarkEnd w:id="68927"/>
      <w:r>
        <w:rPr>
          <w:rFonts w:hint="cs"/>
          <w:rtl/>
        </w:rPr>
        <w:t xml:space="preserve">בטורקיה </w:t>
      </w:r>
      <w:bookmarkStart w:id="68928" w:name="_ETM_Q121_599979"/>
      <w:bookmarkEnd w:id="68928"/>
      <w:r>
        <w:rPr>
          <w:rFonts w:hint="cs"/>
          <w:rtl/>
        </w:rPr>
        <w:t xml:space="preserve">וכל </w:t>
      </w:r>
      <w:bookmarkStart w:id="68929" w:name="_ETM_Q121_600249"/>
      <w:bookmarkEnd w:id="68929"/>
      <w:r>
        <w:rPr>
          <w:rFonts w:hint="cs"/>
          <w:rtl/>
        </w:rPr>
        <w:t xml:space="preserve">המשפחה </w:t>
      </w:r>
      <w:bookmarkStart w:id="68930" w:name="_ETM_Q121_600729"/>
      <w:bookmarkEnd w:id="68930"/>
      <w:r>
        <w:rPr>
          <w:rFonts w:hint="cs"/>
          <w:rtl/>
        </w:rPr>
        <w:t xml:space="preserve">שלה </w:t>
      </w:r>
      <w:bookmarkStart w:id="68931" w:name="_ETM_Q121_600999"/>
      <w:bookmarkEnd w:id="68931"/>
      <w:r>
        <w:rPr>
          <w:rFonts w:hint="cs"/>
          <w:rtl/>
        </w:rPr>
        <w:t xml:space="preserve">נולדה </w:t>
      </w:r>
      <w:bookmarkStart w:id="68932" w:name="_ETM_Q121_601329"/>
      <w:bookmarkEnd w:id="68932"/>
      <w:r>
        <w:rPr>
          <w:rFonts w:hint="cs"/>
          <w:rtl/>
        </w:rPr>
        <w:t xml:space="preserve">בחלב, </w:t>
      </w:r>
      <w:bookmarkStart w:id="68933" w:name="_ETM_Q121_601689"/>
      <w:bookmarkStart w:id="68934" w:name="_ETM_Q121_601810"/>
      <w:bookmarkEnd w:id="68933"/>
      <w:bookmarkEnd w:id="68934"/>
      <w:r>
        <w:rPr>
          <w:rFonts w:hint="cs"/>
          <w:rtl/>
        </w:rPr>
        <w:t xml:space="preserve">סוריה. </w:t>
      </w:r>
      <w:bookmarkStart w:id="68935" w:name="_ETM_Q121_603479"/>
      <w:bookmarkEnd w:id="68935"/>
      <w:r>
        <w:rPr>
          <w:rFonts w:hint="cs"/>
          <w:rtl/>
        </w:rPr>
        <w:t xml:space="preserve">אימא </w:t>
      </w:r>
      <w:bookmarkStart w:id="68936" w:name="_ETM_Q121_603719"/>
      <w:bookmarkEnd w:id="68936"/>
      <w:r>
        <w:rPr>
          <w:rFonts w:hint="cs"/>
          <w:rtl/>
        </w:rPr>
        <w:t xml:space="preserve">שלי </w:t>
      </w:r>
      <w:bookmarkStart w:id="68937" w:name="_ETM_Q121_603960"/>
      <w:bookmarkEnd w:id="68937"/>
      <w:r>
        <w:rPr>
          <w:rFonts w:hint="cs"/>
          <w:rtl/>
        </w:rPr>
        <w:t xml:space="preserve">הייתה </w:t>
      </w:r>
      <w:bookmarkStart w:id="68938" w:name="_ETM_Q121_604140"/>
      <w:bookmarkEnd w:id="68938"/>
      <w:r>
        <w:rPr>
          <w:rFonts w:hint="cs"/>
          <w:rtl/>
        </w:rPr>
        <w:t xml:space="preserve">צריכה </w:t>
      </w:r>
      <w:bookmarkStart w:id="68939" w:name="_ETM_Q121_604409"/>
      <w:bookmarkEnd w:id="68939"/>
      <w:r>
        <w:rPr>
          <w:rFonts w:hint="cs"/>
          <w:rtl/>
        </w:rPr>
        <w:t xml:space="preserve">ללמוד </w:t>
      </w:r>
      <w:bookmarkStart w:id="68940" w:name="_ETM_Q121_604740"/>
      <w:bookmarkEnd w:id="68940"/>
      <w:r>
        <w:rPr>
          <w:rFonts w:hint="cs"/>
          <w:rtl/>
        </w:rPr>
        <w:t xml:space="preserve">עברית </w:t>
      </w:r>
      <w:bookmarkStart w:id="68941" w:name="_ETM_Q121_605159"/>
      <w:bookmarkEnd w:id="68941"/>
      <w:r>
        <w:rPr>
          <w:rFonts w:hint="cs"/>
          <w:rtl/>
        </w:rPr>
        <w:t xml:space="preserve">מערבית </w:t>
      </w:r>
      <w:bookmarkStart w:id="68942" w:name="_ETM_Q121_605759"/>
      <w:bookmarkEnd w:id="68942"/>
      <w:r>
        <w:rPr>
          <w:rFonts w:hint="cs"/>
          <w:rtl/>
        </w:rPr>
        <w:t>בגיל שש,</w:t>
      </w:r>
      <w:bookmarkStart w:id="68943" w:name="_ETM_Q121_606089"/>
      <w:bookmarkEnd w:id="68943"/>
      <w:r>
        <w:rPr>
          <w:rFonts w:hint="cs"/>
          <w:rtl/>
        </w:rPr>
        <w:t xml:space="preserve"> </w:t>
      </w:r>
      <w:bookmarkStart w:id="68944" w:name="_ETM_Q121_606929"/>
      <w:bookmarkEnd w:id="68944"/>
      <w:r>
        <w:rPr>
          <w:rFonts w:hint="cs"/>
          <w:rtl/>
        </w:rPr>
        <w:t xml:space="preserve">לא </w:t>
      </w:r>
      <w:bookmarkStart w:id="68945" w:name="_ETM_Q121_607079"/>
      <w:bookmarkEnd w:id="68945"/>
      <w:r>
        <w:rPr>
          <w:rFonts w:hint="cs"/>
          <w:rtl/>
        </w:rPr>
        <w:t xml:space="preserve">ידעה </w:t>
      </w:r>
      <w:bookmarkStart w:id="68946" w:name="_ETM_Q121_607229"/>
      <w:bookmarkEnd w:id="68946"/>
      <w:r>
        <w:rPr>
          <w:rFonts w:hint="cs"/>
          <w:rtl/>
        </w:rPr>
        <w:t xml:space="preserve">עברית. ידעה </w:t>
      </w:r>
      <w:bookmarkStart w:id="68947" w:name="_ETM_Q121_608040"/>
      <w:bookmarkEnd w:id="68947"/>
      <w:r>
        <w:rPr>
          <w:rFonts w:hint="cs"/>
          <w:rtl/>
        </w:rPr>
        <w:t xml:space="preserve">עברית </w:t>
      </w:r>
      <w:bookmarkStart w:id="68948" w:name="_ETM_Q121_608730"/>
      <w:bookmarkEnd w:id="68948"/>
      <w:r>
        <w:rPr>
          <w:rFonts w:hint="cs"/>
          <w:rtl/>
        </w:rPr>
        <w:t xml:space="preserve">תנ"כית. </w:t>
      </w:r>
      <w:bookmarkStart w:id="68949" w:name="_ETM_Q121_612360"/>
      <w:bookmarkEnd w:id="68949"/>
      <w:r>
        <w:rPr>
          <w:rFonts w:hint="cs"/>
          <w:rtl/>
        </w:rPr>
        <w:t xml:space="preserve">אבא </w:t>
      </w:r>
      <w:bookmarkStart w:id="68950" w:name="_ETM_Q121_612600"/>
      <w:bookmarkEnd w:id="68950"/>
      <w:r>
        <w:rPr>
          <w:rFonts w:hint="cs"/>
          <w:rtl/>
        </w:rPr>
        <w:t xml:space="preserve">שלי </w:t>
      </w:r>
      <w:bookmarkStart w:id="68951" w:name="_ETM_Q121_612930"/>
      <w:bookmarkEnd w:id="68951"/>
      <w:r>
        <w:rPr>
          <w:rFonts w:hint="cs"/>
          <w:rtl/>
        </w:rPr>
        <w:t xml:space="preserve">גילה, </w:t>
      </w:r>
      <w:bookmarkStart w:id="68952" w:name="_ETM_Q121_613470"/>
      <w:bookmarkEnd w:id="68952"/>
      <w:r>
        <w:rPr>
          <w:rFonts w:hint="cs"/>
          <w:rtl/>
        </w:rPr>
        <w:t xml:space="preserve">בדפיקה </w:t>
      </w:r>
      <w:bookmarkStart w:id="68953" w:name="_ETM_Q121_613980"/>
      <w:bookmarkEnd w:id="68953"/>
      <w:r>
        <w:rPr>
          <w:rFonts w:hint="cs"/>
          <w:rtl/>
        </w:rPr>
        <w:t xml:space="preserve">על </w:t>
      </w:r>
      <w:bookmarkStart w:id="68954" w:name="_ETM_Q121_614070"/>
      <w:bookmarkEnd w:id="68954"/>
      <w:r>
        <w:rPr>
          <w:rFonts w:hint="cs"/>
          <w:rtl/>
        </w:rPr>
        <w:t xml:space="preserve">הדלת, </w:t>
      </w:r>
      <w:bookmarkStart w:id="68955" w:name="_ETM_Q121_614430"/>
      <w:bookmarkEnd w:id="68955"/>
      <w:r>
        <w:rPr>
          <w:rFonts w:hint="cs"/>
          <w:rtl/>
        </w:rPr>
        <w:t xml:space="preserve">שכל </w:t>
      </w:r>
      <w:bookmarkStart w:id="68956" w:name="_ETM_Q121_614700"/>
      <w:bookmarkEnd w:id="68956"/>
      <w:r>
        <w:rPr>
          <w:rFonts w:hint="cs"/>
          <w:rtl/>
        </w:rPr>
        <w:t xml:space="preserve">המשפחה </w:t>
      </w:r>
      <w:bookmarkStart w:id="68957" w:name="_ETM_Q121_615210"/>
      <w:bookmarkEnd w:id="68957"/>
      <w:r>
        <w:rPr>
          <w:rFonts w:hint="cs"/>
          <w:rtl/>
        </w:rPr>
        <w:t xml:space="preserve">שלו </w:t>
      </w:r>
      <w:bookmarkStart w:id="68958" w:name="_ETM_Q121_615450"/>
      <w:bookmarkEnd w:id="68958"/>
      <w:r>
        <w:rPr>
          <w:rFonts w:hint="cs"/>
          <w:rtl/>
        </w:rPr>
        <w:t xml:space="preserve">נספתה </w:t>
      </w:r>
      <w:bookmarkStart w:id="68959" w:name="_ETM_Q121_615870"/>
      <w:bookmarkEnd w:id="68959"/>
      <w:r>
        <w:rPr>
          <w:rFonts w:hint="cs"/>
          <w:rtl/>
        </w:rPr>
        <w:t xml:space="preserve">בשואה. </w:t>
      </w:r>
      <w:bookmarkStart w:id="68960" w:name="_ETM_Q121_617550"/>
      <w:bookmarkEnd w:id="68960"/>
      <w:r>
        <w:rPr>
          <w:rFonts w:hint="cs"/>
          <w:rtl/>
        </w:rPr>
        <w:t xml:space="preserve">אימא </w:t>
      </w:r>
      <w:bookmarkStart w:id="68961" w:name="_ETM_Q121_617790"/>
      <w:bookmarkEnd w:id="68961"/>
      <w:r>
        <w:rPr>
          <w:rFonts w:hint="cs"/>
          <w:rtl/>
        </w:rPr>
        <w:t xml:space="preserve">שלי, </w:t>
      </w:r>
      <w:bookmarkStart w:id="68962" w:name="_ETM_Q121_618060"/>
      <w:bookmarkEnd w:id="68962"/>
      <w:r>
        <w:rPr>
          <w:rFonts w:hint="cs"/>
          <w:rtl/>
        </w:rPr>
        <w:t>כש</w:t>
      </w:r>
      <w:bookmarkStart w:id="68963" w:name="_ETM_Q121_618270"/>
      <w:bookmarkEnd w:id="68963"/>
      <w:r>
        <w:rPr>
          <w:rFonts w:hint="cs"/>
          <w:rtl/>
        </w:rPr>
        <w:t xml:space="preserve">עלתה </w:t>
      </w:r>
      <w:bookmarkStart w:id="68964" w:name="_ETM_Q121_618540"/>
      <w:bookmarkEnd w:id="68964"/>
      <w:r>
        <w:rPr>
          <w:rFonts w:hint="cs"/>
          <w:rtl/>
        </w:rPr>
        <w:t xml:space="preserve">לארץ, </w:t>
      </w:r>
      <w:bookmarkStart w:id="68965" w:name="_ETM_Q121_619650"/>
      <w:bookmarkEnd w:id="68965"/>
      <w:r>
        <w:rPr>
          <w:rFonts w:hint="cs"/>
          <w:rtl/>
        </w:rPr>
        <w:t xml:space="preserve">עברה </w:t>
      </w:r>
      <w:bookmarkStart w:id="68966" w:name="_ETM_Q121_619980"/>
      <w:bookmarkEnd w:id="68966"/>
      <w:r>
        <w:rPr>
          <w:rFonts w:hint="cs"/>
          <w:rtl/>
        </w:rPr>
        <w:t xml:space="preserve">טיפולי </w:t>
      </w:r>
      <w:bookmarkStart w:id="68967" w:name="_ETM_Q121_620400"/>
      <w:bookmarkEnd w:id="68967"/>
      <w:r>
        <w:rPr>
          <w:rFonts w:hint="cs"/>
          <w:rtl/>
        </w:rPr>
        <w:t xml:space="preserve">גזזת, </w:t>
      </w:r>
      <w:bookmarkStart w:id="68968" w:name="_ETM_Q121_620910"/>
      <w:bookmarkEnd w:id="68968"/>
      <w:r>
        <w:rPr>
          <w:rFonts w:hint="cs"/>
          <w:rtl/>
        </w:rPr>
        <w:t xml:space="preserve">ולימים, </w:t>
      </w:r>
      <w:bookmarkStart w:id="68969" w:name="_ETM_Q121_621450"/>
      <w:bookmarkEnd w:id="68969"/>
      <w:r>
        <w:rPr>
          <w:rFonts w:hint="cs"/>
          <w:rtl/>
        </w:rPr>
        <w:t xml:space="preserve">אגב, </w:t>
      </w:r>
      <w:bookmarkStart w:id="68970" w:name="_ETM_Q121_621750"/>
      <w:bookmarkEnd w:id="68970"/>
      <w:r>
        <w:rPr>
          <w:rFonts w:hint="cs"/>
          <w:rtl/>
        </w:rPr>
        <w:t xml:space="preserve">זה </w:t>
      </w:r>
      <w:bookmarkStart w:id="68971" w:name="_ETM_Q121_621870"/>
      <w:bookmarkEnd w:id="68971"/>
      <w:r>
        <w:rPr>
          <w:rFonts w:hint="cs"/>
          <w:rtl/>
        </w:rPr>
        <w:t xml:space="preserve">גם </w:t>
      </w:r>
      <w:bookmarkStart w:id="68972" w:name="_ETM_Q121_622020"/>
      <w:bookmarkEnd w:id="68972"/>
      <w:r>
        <w:rPr>
          <w:rFonts w:hint="cs"/>
          <w:rtl/>
        </w:rPr>
        <w:t xml:space="preserve">מה </w:t>
      </w:r>
      <w:bookmarkStart w:id="68973" w:name="_ETM_Q121_622140"/>
      <w:bookmarkEnd w:id="68973"/>
      <w:r>
        <w:rPr>
          <w:rFonts w:hint="cs"/>
          <w:rtl/>
        </w:rPr>
        <w:t xml:space="preserve">שכנראה </w:t>
      </w:r>
      <w:bookmarkStart w:id="68974" w:name="_ETM_Q121_622770"/>
      <w:bookmarkEnd w:id="68974"/>
      <w:r>
        <w:rPr>
          <w:rFonts w:hint="cs"/>
          <w:rtl/>
        </w:rPr>
        <w:t xml:space="preserve">הרג </w:t>
      </w:r>
      <w:bookmarkStart w:id="68975" w:name="_ETM_Q121_623069"/>
      <w:bookmarkEnd w:id="68975"/>
      <w:r>
        <w:rPr>
          <w:rFonts w:hint="cs"/>
          <w:rtl/>
        </w:rPr>
        <w:t xml:space="preserve">אותה. </w:t>
      </w:r>
      <w:bookmarkStart w:id="68976" w:name="_ETM_Q121_626250"/>
      <w:bookmarkEnd w:id="68976"/>
      <w:r>
        <w:rPr>
          <w:rFonts w:hint="cs"/>
          <w:rtl/>
        </w:rPr>
        <w:t xml:space="preserve">אימא </w:t>
      </w:r>
      <w:bookmarkStart w:id="68977" w:name="_ETM_Q121_626490"/>
      <w:bookmarkEnd w:id="68977"/>
      <w:r>
        <w:rPr>
          <w:rFonts w:hint="cs"/>
          <w:rtl/>
        </w:rPr>
        <w:t xml:space="preserve">שלי </w:t>
      </w:r>
      <w:bookmarkStart w:id="68978" w:name="_ETM_Q121_626760"/>
      <w:bookmarkEnd w:id="68978"/>
      <w:r>
        <w:rPr>
          <w:rFonts w:hint="cs"/>
          <w:rtl/>
        </w:rPr>
        <w:t xml:space="preserve">הייתה </w:t>
      </w:r>
      <w:bookmarkStart w:id="68979" w:name="_ETM_Q121_627000"/>
      <w:bookmarkEnd w:id="68979"/>
      <w:r>
        <w:rPr>
          <w:rFonts w:hint="cs"/>
          <w:rtl/>
        </w:rPr>
        <w:t xml:space="preserve">מחוננת </w:t>
      </w:r>
      <w:bookmarkStart w:id="68980" w:name="_ETM_Q121_628020"/>
      <w:bookmarkEnd w:id="68980"/>
      <w:r>
        <w:rPr>
          <w:rFonts w:hint="cs"/>
          <w:rtl/>
        </w:rPr>
        <w:t xml:space="preserve">בכיתה </w:t>
      </w:r>
      <w:bookmarkStart w:id="68981" w:name="_ETM_Q121_628440"/>
      <w:bookmarkEnd w:id="68981"/>
      <w:r>
        <w:rPr>
          <w:rFonts w:hint="cs"/>
          <w:rtl/>
        </w:rPr>
        <w:t xml:space="preserve">של </w:t>
      </w:r>
      <w:bookmarkStart w:id="68982" w:name="_ETM_Q121_628620"/>
      <w:bookmarkEnd w:id="68982"/>
      <w:r>
        <w:rPr>
          <w:rFonts w:hint="cs"/>
          <w:rtl/>
        </w:rPr>
        <w:t xml:space="preserve">אשכנזים, </w:t>
      </w:r>
      <w:bookmarkStart w:id="68983" w:name="_ETM_Q121_629850"/>
      <w:bookmarkEnd w:id="68983"/>
      <w:r>
        <w:rPr>
          <w:rFonts w:hint="cs"/>
          <w:rtl/>
        </w:rPr>
        <w:t xml:space="preserve">ובגלל </w:t>
      </w:r>
      <w:bookmarkStart w:id="68984" w:name="_ETM_Q121_630210"/>
      <w:bookmarkEnd w:id="68984"/>
      <w:r>
        <w:rPr>
          <w:rFonts w:hint="cs"/>
          <w:rtl/>
        </w:rPr>
        <w:t xml:space="preserve">שהיא </w:t>
      </w:r>
      <w:bookmarkStart w:id="68985" w:name="_ETM_Q121_629705"/>
      <w:bookmarkEnd w:id="68985"/>
      <w:r>
        <w:rPr>
          <w:rFonts w:hint="cs"/>
          <w:rtl/>
        </w:rPr>
        <w:t xml:space="preserve">הייתה </w:t>
      </w:r>
      <w:bookmarkStart w:id="68986" w:name="_ETM_Q121_630390"/>
      <w:bookmarkEnd w:id="68986"/>
      <w:r>
        <w:rPr>
          <w:rFonts w:hint="cs"/>
          <w:rtl/>
        </w:rPr>
        <w:t xml:space="preserve">מחוננת </w:t>
      </w:r>
      <w:bookmarkStart w:id="68987" w:name="_ETM_Q121_630900"/>
      <w:bookmarkEnd w:id="68987"/>
      <w:r>
        <w:rPr>
          <w:rFonts w:hint="cs"/>
          <w:rtl/>
        </w:rPr>
        <w:t xml:space="preserve">העבירו </w:t>
      </w:r>
      <w:bookmarkStart w:id="68988" w:name="_ETM_Q121_631230"/>
      <w:bookmarkEnd w:id="68988"/>
      <w:r>
        <w:rPr>
          <w:rFonts w:hint="cs"/>
          <w:rtl/>
        </w:rPr>
        <w:t xml:space="preserve">אותה </w:t>
      </w:r>
      <w:bookmarkStart w:id="68989" w:name="_ETM_Q121_631380"/>
      <w:bookmarkEnd w:id="68989"/>
      <w:r>
        <w:rPr>
          <w:rFonts w:hint="cs"/>
          <w:rtl/>
        </w:rPr>
        <w:t xml:space="preserve">לכיתה </w:t>
      </w:r>
      <w:bookmarkStart w:id="68990" w:name="_ETM_Q121_631710"/>
      <w:bookmarkEnd w:id="68990"/>
      <w:r>
        <w:rPr>
          <w:rFonts w:hint="cs"/>
          <w:rtl/>
        </w:rPr>
        <w:t xml:space="preserve">של </w:t>
      </w:r>
      <w:bookmarkStart w:id="68991" w:name="_ETM_Q121_631860"/>
      <w:bookmarkEnd w:id="68991"/>
      <w:r>
        <w:rPr>
          <w:rFonts w:hint="cs"/>
          <w:rtl/>
        </w:rPr>
        <w:t xml:space="preserve">מזרחים </w:t>
      </w:r>
      <w:bookmarkStart w:id="68992" w:name="_ETM_Q121_632520"/>
      <w:bookmarkEnd w:id="68992"/>
      <w:r>
        <w:rPr>
          <w:rFonts w:hint="cs"/>
          <w:rtl/>
        </w:rPr>
        <w:t xml:space="preserve">במעברות, </w:t>
      </w:r>
      <w:bookmarkStart w:id="68993" w:name="_ETM_Q121_633240"/>
      <w:bookmarkEnd w:id="68993"/>
      <w:r>
        <w:rPr>
          <w:rFonts w:hint="cs"/>
          <w:rtl/>
        </w:rPr>
        <w:t xml:space="preserve">פעם, </w:t>
      </w:r>
      <w:bookmarkStart w:id="68994" w:name="_ETM_Q121_633480"/>
      <w:bookmarkEnd w:id="68994"/>
      <w:r>
        <w:rPr>
          <w:rFonts w:hint="cs"/>
          <w:rtl/>
        </w:rPr>
        <w:t xml:space="preserve">בנס </w:t>
      </w:r>
      <w:bookmarkStart w:id="68995" w:name="_ETM_Q121_633720"/>
      <w:bookmarkEnd w:id="68995"/>
      <w:r>
        <w:rPr>
          <w:rFonts w:hint="cs"/>
          <w:rtl/>
        </w:rPr>
        <w:t xml:space="preserve">ציונה. </w:t>
      </w:r>
      <w:bookmarkStart w:id="68996" w:name="_ETM_Q121_637239"/>
      <w:bookmarkEnd w:id="68996"/>
      <w:r>
        <w:rPr>
          <w:rFonts w:hint="cs"/>
          <w:rtl/>
        </w:rPr>
        <w:t xml:space="preserve">אבא </w:t>
      </w:r>
      <w:bookmarkStart w:id="68997" w:name="_ETM_Q121_637540"/>
      <w:bookmarkEnd w:id="68997"/>
      <w:r>
        <w:rPr>
          <w:rFonts w:hint="cs"/>
          <w:rtl/>
        </w:rPr>
        <w:t xml:space="preserve">שלי </w:t>
      </w:r>
      <w:bookmarkStart w:id="68998" w:name="_ETM_Q121_638379"/>
      <w:bookmarkEnd w:id="68998"/>
      <w:r>
        <w:rPr>
          <w:rFonts w:hint="cs"/>
          <w:rtl/>
        </w:rPr>
        <w:t xml:space="preserve">היה </w:t>
      </w:r>
      <w:bookmarkStart w:id="68999" w:name="_ETM_Q121_638590"/>
      <w:bookmarkEnd w:id="68999"/>
      <w:r>
        <w:rPr>
          <w:rFonts w:hint="cs"/>
          <w:rtl/>
        </w:rPr>
        <w:t xml:space="preserve">צריך </w:t>
      </w:r>
      <w:bookmarkStart w:id="69000" w:name="_ETM_Q121_638980"/>
      <w:bookmarkEnd w:id="69000"/>
      <w:r>
        <w:rPr>
          <w:rFonts w:hint="cs"/>
          <w:rtl/>
        </w:rPr>
        <w:t xml:space="preserve">לצאת </w:t>
      </w:r>
      <w:bookmarkStart w:id="69001" w:name="_ETM_Q121_639370"/>
      <w:bookmarkEnd w:id="69001"/>
      <w:r>
        <w:rPr>
          <w:rFonts w:hint="cs"/>
          <w:rtl/>
        </w:rPr>
        <w:t xml:space="preserve">לעבודה </w:t>
      </w:r>
      <w:bookmarkStart w:id="69002" w:name="_ETM_Q121_639909"/>
      <w:bookmarkEnd w:id="69002"/>
      <w:r>
        <w:rPr>
          <w:rFonts w:hint="cs"/>
          <w:rtl/>
        </w:rPr>
        <w:t xml:space="preserve">בגיל </w:t>
      </w:r>
      <w:bookmarkStart w:id="69003" w:name="_ETM_Q121_640299"/>
      <w:bookmarkEnd w:id="69003"/>
      <w:r>
        <w:rPr>
          <w:rFonts w:hint="cs"/>
          <w:rtl/>
        </w:rPr>
        <w:t xml:space="preserve">צעיר, </w:t>
      </w:r>
      <w:bookmarkStart w:id="69004" w:name="_ETM_Q121_641700"/>
      <w:bookmarkEnd w:id="69004"/>
      <w:r>
        <w:rPr>
          <w:rFonts w:hint="cs"/>
          <w:rtl/>
        </w:rPr>
        <w:t xml:space="preserve">ובגיל </w:t>
      </w:r>
      <w:bookmarkStart w:id="69005" w:name="_ETM_Q121_642209"/>
      <w:bookmarkEnd w:id="69005"/>
      <w:r>
        <w:rPr>
          <w:rFonts w:hint="cs"/>
          <w:rtl/>
        </w:rPr>
        <w:t xml:space="preserve">14 </w:t>
      </w:r>
      <w:bookmarkStart w:id="69006" w:name="_ETM_Q121_642840"/>
      <w:bookmarkEnd w:id="69006"/>
      <w:r>
        <w:rPr>
          <w:rFonts w:hint="cs"/>
          <w:rtl/>
        </w:rPr>
        <w:t xml:space="preserve">הוא </w:t>
      </w:r>
      <w:bookmarkStart w:id="69007" w:name="_ETM_Q121_642959"/>
      <w:bookmarkEnd w:id="69007"/>
      <w:r>
        <w:rPr>
          <w:rFonts w:hint="cs"/>
          <w:rtl/>
        </w:rPr>
        <w:t xml:space="preserve">התגייס </w:t>
      </w:r>
      <w:bookmarkStart w:id="69008" w:name="_ETM_Q121_643440"/>
      <w:bookmarkEnd w:id="69008"/>
      <w:r>
        <w:rPr>
          <w:rFonts w:hint="cs"/>
          <w:rtl/>
        </w:rPr>
        <w:t xml:space="preserve">להגנה </w:t>
      </w:r>
      <w:bookmarkStart w:id="69009" w:name="_ETM_Q121_644069"/>
      <w:bookmarkEnd w:id="69009"/>
      <w:r>
        <w:rPr>
          <w:rFonts w:hint="cs"/>
          <w:rtl/>
        </w:rPr>
        <w:t xml:space="preserve">כדי </w:t>
      </w:r>
      <w:bookmarkStart w:id="69010" w:name="_ETM_Q121_644280"/>
      <w:bookmarkEnd w:id="69010"/>
      <w:r>
        <w:rPr>
          <w:rFonts w:hint="cs"/>
          <w:rtl/>
        </w:rPr>
        <w:t xml:space="preserve">לשמור </w:t>
      </w:r>
      <w:bookmarkStart w:id="69011" w:name="_ETM_Q121_644670"/>
      <w:bookmarkEnd w:id="69011"/>
      <w:r>
        <w:rPr>
          <w:rFonts w:hint="cs"/>
          <w:rtl/>
        </w:rPr>
        <w:t xml:space="preserve">על </w:t>
      </w:r>
      <w:bookmarkStart w:id="69012" w:name="_ETM_Q121_644760"/>
      <w:bookmarkEnd w:id="69012"/>
      <w:r>
        <w:rPr>
          <w:rFonts w:hint="cs"/>
          <w:rtl/>
        </w:rPr>
        <w:t xml:space="preserve">המולדת </w:t>
      </w:r>
      <w:bookmarkStart w:id="69013" w:name="_ETM_Q121_645270"/>
      <w:bookmarkEnd w:id="69013"/>
      <w:r>
        <w:rPr>
          <w:rFonts w:hint="cs"/>
          <w:rtl/>
        </w:rPr>
        <w:t xml:space="preserve">ונאלץ </w:t>
      </w:r>
      <w:bookmarkStart w:id="69014" w:name="_ETM_Q121_645750"/>
      <w:bookmarkStart w:id="69015" w:name="_ETM_Q121_646080"/>
      <w:bookmarkEnd w:id="69014"/>
      <w:bookmarkEnd w:id="69015"/>
      <w:r>
        <w:rPr>
          <w:rFonts w:hint="cs"/>
          <w:rtl/>
        </w:rPr>
        <w:t xml:space="preserve">לישון </w:t>
      </w:r>
      <w:bookmarkStart w:id="69016" w:name="_ETM_Q121_646530"/>
      <w:bookmarkEnd w:id="69016"/>
      <w:r>
        <w:rPr>
          <w:rFonts w:hint="cs"/>
          <w:rtl/>
        </w:rPr>
        <w:t xml:space="preserve">על </w:t>
      </w:r>
      <w:bookmarkStart w:id="69017" w:name="_ETM_Q121_646650"/>
      <w:bookmarkEnd w:id="69017"/>
      <w:r>
        <w:rPr>
          <w:rFonts w:hint="cs"/>
          <w:rtl/>
        </w:rPr>
        <w:t xml:space="preserve">רצפה </w:t>
      </w:r>
      <w:bookmarkStart w:id="69018" w:name="_ETM_Q121_647130"/>
      <w:bookmarkEnd w:id="69018"/>
      <w:r>
        <w:rPr>
          <w:rFonts w:hint="cs"/>
          <w:rtl/>
        </w:rPr>
        <w:t xml:space="preserve">קרה </w:t>
      </w:r>
      <w:bookmarkStart w:id="69019" w:name="_ETM_Q121_647520"/>
      <w:bookmarkEnd w:id="69019"/>
      <w:r>
        <w:rPr>
          <w:rFonts w:hint="cs"/>
          <w:rtl/>
        </w:rPr>
        <w:t xml:space="preserve">בשירותים, </w:t>
      </w:r>
      <w:bookmarkStart w:id="69020" w:name="_ETM_Q121_648840"/>
      <w:bookmarkEnd w:id="69020"/>
      <w:r>
        <w:rPr>
          <w:rFonts w:hint="cs"/>
          <w:rtl/>
        </w:rPr>
        <w:t xml:space="preserve">עם </w:t>
      </w:r>
      <w:bookmarkStart w:id="69021" w:name="_ETM_Q121_648989"/>
      <w:bookmarkEnd w:id="69021"/>
      <w:r>
        <w:rPr>
          <w:rFonts w:hint="cs"/>
          <w:rtl/>
        </w:rPr>
        <w:t xml:space="preserve">בקושי </w:t>
      </w:r>
      <w:bookmarkStart w:id="69022" w:name="_ETM_Q121_649349"/>
      <w:bookmarkEnd w:id="69022"/>
      <w:r>
        <w:rPr>
          <w:rFonts w:hint="cs"/>
          <w:rtl/>
        </w:rPr>
        <w:t xml:space="preserve">שמיכה </w:t>
      </w:r>
      <w:bookmarkStart w:id="69023" w:name="_ETM_Q121_649770"/>
      <w:bookmarkEnd w:id="69023"/>
      <w:r>
        <w:rPr>
          <w:rFonts w:hint="cs"/>
          <w:rtl/>
        </w:rPr>
        <w:t>לגופו.</w:t>
      </w:r>
      <w:bookmarkStart w:id="69024" w:name="_ETM_Q121_650630"/>
      <w:bookmarkStart w:id="69025" w:name="_ETM_Q121_650642"/>
      <w:bookmarkStart w:id="69026" w:name="_ETM_Q121_650723"/>
      <w:bookmarkStart w:id="69027" w:name="_ETM_Q121_650801"/>
      <w:bookmarkStart w:id="69028" w:name="_ETM_Q121_652269"/>
      <w:bookmarkEnd w:id="69024"/>
      <w:bookmarkEnd w:id="69025"/>
      <w:bookmarkEnd w:id="69026"/>
      <w:bookmarkEnd w:id="69027"/>
      <w:bookmarkEnd w:id="69028"/>
      <w:r w:rsidR="00A335DD">
        <w:t xml:space="preserve"> </w:t>
      </w:r>
      <w:r>
        <w:rPr>
          <w:rFonts w:hint="cs"/>
          <w:rtl/>
        </w:rPr>
        <w:t xml:space="preserve">אני </w:t>
      </w:r>
      <w:bookmarkStart w:id="69029" w:name="_ETM_Q121_652449"/>
      <w:bookmarkEnd w:id="69029"/>
      <w:r>
        <w:rPr>
          <w:rFonts w:hint="cs"/>
          <w:rtl/>
        </w:rPr>
        <w:t>חצי-</w:t>
      </w:r>
      <w:bookmarkStart w:id="69030" w:name="_ETM_Q121_652719"/>
      <w:bookmarkEnd w:id="69030"/>
      <w:r>
        <w:rPr>
          <w:rFonts w:hint="cs"/>
          <w:rtl/>
        </w:rPr>
        <w:t xml:space="preserve">חצי </w:t>
      </w:r>
      <w:bookmarkStart w:id="69031" w:name="_ETM_Q121_653559"/>
      <w:bookmarkEnd w:id="69031"/>
      <w:r>
        <w:rPr>
          <w:rFonts w:hint="cs"/>
          <w:rtl/>
        </w:rPr>
        <w:t xml:space="preserve">– אני </w:t>
      </w:r>
      <w:bookmarkStart w:id="69032" w:name="_ETM_Q121_653739"/>
      <w:bookmarkEnd w:id="69032"/>
      <w:r>
        <w:rPr>
          <w:rFonts w:hint="cs"/>
          <w:rtl/>
        </w:rPr>
        <w:t xml:space="preserve">חצי </w:t>
      </w:r>
      <w:bookmarkStart w:id="69033" w:name="_ETM_Q121_654010"/>
      <w:bookmarkEnd w:id="69033"/>
      <w:r>
        <w:rPr>
          <w:rFonts w:hint="cs"/>
          <w:rtl/>
        </w:rPr>
        <w:t xml:space="preserve">פולנייה, </w:t>
      </w:r>
      <w:bookmarkStart w:id="69034" w:name="_ETM_Q121_654519"/>
      <w:bookmarkEnd w:id="69034"/>
      <w:r>
        <w:rPr>
          <w:rFonts w:hint="cs"/>
          <w:rtl/>
        </w:rPr>
        <w:t xml:space="preserve">אני </w:t>
      </w:r>
      <w:bookmarkStart w:id="69035" w:name="_ETM_Q121_654639"/>
      <w:bookmarkEnd w:id="69035"/>
      <w:r>
        <w:rPr>
          <w:rFonts w:hint="cs"/>
          <w:rtl/>
        </w:rPr>
        <w:t xml:space="preserve">חצי </w:t>
      </w:r>
      <w:bookmarkStart w:id="69036" w:name="_ETM_Q121_655500"/>
      <w:bookmarkEnd w:id="69036"/>
      <w:r>
        <w:rPr>
          <w:rFonts w:hint="cs"/>
          <w:rtl/>
        </w:rPr>
        <w:t>ספרדייה.</w:t>
      </w:r>
      <w:bookmarkStart w:id="69037" w:name="_ETM_Q121_656099"/>
      <w:bookmarkEnd w:id="69037"/>
      <w:r>
        <w:rPr>
          <w:rFonts w:hint="cs"/>
          <w:rtl/>
        </w:rPr>
        <w:t xml:space="preserve"> </w:t>
      </w:r>
      <w:bookmarkStart w:id="69038" w:name="_ETM_Q121_656819"/>
      <w:bookmarkEnd w:id="69038"/>
      <w:r>
        <w:rPr>
          <w:rFonts w:hint="cs"/>
          <w:rtl/>
        </w:rPr>
        <w:t xml:space="preserve">סבא </w:t>
      </w:r>
      <w:bookmarkStart w:id="69039" w:name="_ETM_Q121_657180"/>
      <w:bookmarkEnd w:id="69039"/>
      <w:r>
        <w:rPr>
          <w:rFonts w:hint="cs"/>
          <w:rtl/>
        </w:rPr>
        <w:t xml:space="preserve">שלי, </w:t>
      </w:r>
      <w:bookmarkStart w:id="69040" w:name="_ETM_Q121_657569"/>
      <w:bookmarkEnd w:id="69040"/>
      <w:r>
        <w:rPr>
          <w:rFonts w:hint="cs"/>
          <w:rtl/>
        </w:rPr>
        <w:t xml:space="preserve">עליו </w:t>
      </w:r>
      <w:bookmarkStart w:id="69041" w:name="_ETM_Q121_657780"/>
      <w:bookmarkEnd w:id="69041"/>
      <w:r>
        <w:rPr>
          <w:rFonts w:hint="cs"/>
          <w:rtl/>
        </w:rPr>
        <w:t xml:space="preserve">השלום, </w:t>
      </w:r>
      <w:bookmarkStart w:id="69042" w:name="_ETM_Q121_658560"/>
      <w:bookmarkEnd w:id="69042"/>
      <w:r>
        <w:rPr>
          <w:rFonts w:hint="cs"/>
          <w:rtl/>
        </w:rPr>
        <w:t xml:space="preserve">היה </w:t>
      </w:r>
      <w:bookmarkStart w:id="69043" w:name="_ETM_Q121_658830"/>
      <w:bookmarkEnd w:id="69043"/>
      <w:r>
        <w:rPr>
          <w:rFonts w:hint="cs"/>
          <w:rtl/>
        </w:rPr>
        <w:t xml:space="preserve">חותם </w:t>
      </w:r>
      <w:bookmarkStart w:id="69044" w:name="_ETM_Q121_660340"/>
      <w:bookmarkEnd w:id="69044"/>
      <w:r>
        <w:rPr>
          <w:rFonts w:hint="cs"/>
          <w:rtl/>
        </w:rPr>
        <w:t xml:space="preserve">"דוד </w:t>
      </w:r>
      <w:bookmarkStart w:id="69045" w:name="_ETM_Q121_660880"/>
      <w:bookmarkEnd w:id="69045"/>
      <w:r>
        <w:rPr>
          <w:rFonts w:hint="cs"/>
          <w:rtl/>
        </w:rPr>
        <w:t xml:space="preserve">סעדה, </w:t>
      </w:r>
      <w:bookmarkStart w:id="69046" w:name="_ETM_Q121_662290"/>
      <w:bookmarkEnd w:id="69046"/>
      <w:r>
        <w:rPr>
          <w:rFonts w:hint="cs"/>
          <w:rtl/>
        </w:rPr>
        <w:t xml:space="preserve">ס"ט". </w:t>
      </w:r>
      <w:bookmarkStart w:id="69047" w:name="_ETM_Q121_664489"/>
      <w:bookmarkEnd w:id="69047"/>
      <w:r>
        <w:rPr>
          <w:rFonts w:hint="cs"/>
          <w:rtl/>
        </w:rPr>
        <w:t xml:space="preserve">כן, </w:t>
      </w:r>
      <w:bookmarkStart w:id="69048" w:name="_ETM_Q121_665040"/>
      <w:bookmarkEnd w:id="69048"/>
      <w:r>
        <w:rPr>
          <w:rFonts w:hint="cs"/>
          <w:rtl/>
        </w:rPr>
        <w:t xml:space="preserve">אני </w:t>
      </w:r>
      <w:bookmarkStart w:id="69049" w:name="_ETM_Q121_665220"/>
      <w:bookmarkEnd w:id="69049"/>
      <w:r>
        <w:rPr>
          <w:rFonts w:hint="cs"/>
          <w:rtl/>
        </w:rPr>
        <w:t xml:space="preserve">גם </w:t>
      </w:r>
      <w:bookmarkStart w:id="69050" w:name="_ETM_Q121_665460"/>
      <w:bookmarkEnd w:id="69050"/>
      <w:r>
        <w:rPr>
          <w:rFonts w:hint="cs"/>
          <w:rtl/>
        </w:rPr>
        <w:t xml:space="preserve">סעדה </w:t>
      </w:r>
      <w:r>
        <w:rPr>
          <w:rFonts w:hint="cs"/>
          <w:rtl/>
        </w:rPr>
        <w:softHyphen/>
      </w:r>
      <w:r>
        <w:rPr>
          <w:rFonts w:hint="cs"/>
          <w:rtl/>
        </w:rPr>
        <w:softHyphen/>
        <w:t xml:space="preserve">– הסעדה </w:t>
      </w:r>
      <w:bookmarkStart w:id="69051" w:name="_ETM_Q121_666409"/>
      <w:bookmarkStart w:id="69052" w:name="_ETM_Q121_666920"/>
      <w:bookmarkStart w:id="69053" w:name="_ETM_Q121_667099"/>
      <w:bookmarkEnd w:id="69051"/>
      <w:bookmarkEnd w:id="69052"/>
      <w:bookmarkEnd w:id="69053"/>
      <w:r>
        <w:rPr>
          <w:rFonts w:hint="cs"/>
          <w:rtl/>
        </w:rPr>
        <w:t xml:space="preserve">היושב </w:t>
      </w:r>
      <w:bookmarkStart w:id="69054" w:name="_ETM_Q121_667400"/>
      <w:bookmarkEnd w:id="69054"/>
      <w:r>
        <w:rPr>
          <w:rFonts w:hint="cs"/>
          <w:rtl/>
        </w:rPr>
        <w:t xml:space="preserve">פה </w:t>
      </w:r>
      <w:bookmarkStart w:id="69055" w:name="_ETM_Q121_667519"/>
      <w:bookmarkEnd w:id="69055"/>
      <w:r>
        <w:rPr>
          <w:rFonts w:hint="cs"/>
          <w:rtl/>
        </w:rPr>
        <w:t xml:space="preserve">הוא </w:t>
      </w:r>
      <w:bookmarkStart w:id="69056" w:name="_ETM_Q121_667549"/>
      <w:bookmarkEnd w:id="69056"/>
      <w:r>
        <w:rPr>
          <w:rFonts w:hint="cs"/>
          <w:rtl/>
        </w:rPr>
        <w:t xml:space="preserve">לא </w:t>
      </w:r>
      <w:bookmarkStart w:id="69057" w:name="_ETM_Q121_667670"/>
      <w:bookmarkEnd w:id="69057"/>
      <w:r>
        <w:rPr>
          <w:rFonts w:hint="cs"/>
          <w:rtl/>
        </w:rPr>
        <w:t xml:space="preserve">הסעדה </w:t>
      </w:r>
      <w:bookmarkStart w:id="69058" w:name="_ETM_Q121_667939"/>
      <w:bookmarkStart w:id="69059" w:name="_ETM_Q121_668060"/>
      <w:bookmarkEnd w:id="69058"/>
      <w:bookmarkEnd w:id="69059"/>
      <w:r>
        <w:rPr>
          <w:rFonts w:hint="cs"/>
          <w:rtl/>
        </w:rPr>
        <w:t xml:space="preserve">הראשון </w:t>
      </w:r>
      <w:bookmarkStart w:id="69060" w:name="_ETM_Q121_668510"/>
      <w:bookmarkEnd w:id="69060"/>
      <w:r>
        <w:rPr>
          <w:rFonts w:hint="cs"/>
          <w:rtl/>
        </w:rPr>
        <w:t xml:space="preserve">– גם </w:t>
      </w:r>
      <w:bookmarkStart w:id="69061" w:name="_ETM_Q121_668719"/>
      <w:bookmarkEnd w:id="69061"/>
      <w:r>
        <w:rPr>
          <w:rFonts w:hint="cs"/>
          <w:rtl/>
        </w:rPr>
        <w:t xml:space="preserve">אני, </w:t>
      </w:r>
      <w:bookmarkStart w:id="69062" w:name="_ETM_Q121_668900"/>
      <w:bookmarkEnd w:id="69062"/>
      <w:r>
        <w:rPr>
          <w:rFonts w:hint="cs"/>
          <w:rtl/>
        </w:rPr>
        <w:t xml:space="preserve">מיכל </w:t>
      </w:r>
      <w:bookmarkStart w:id="69063" w:name="_ETM_Q121_669379"/>
      <w:bookmarkEnd w:id="69063"/>
      <w:r>
        <w:rPr>
          <w:rFonts w:hint="cs"/>
          <w:rtl/>
        </w:rPr>
        <w:t>סעדה.</w:t>
      </w:r>
    </w:p>
    <w:p w:rsidR="00BB59CD" w:rsidRDefault="00BB59CD" w:rsidP="00BB59CD">
      <w:pPr>
        <w:rPr>
          <w:rtl/>
        </w:rPr>
      </w:pPr>
      <w:bookmarkStart w:id="69064" w:name="_ETM_Q121_670737"/>
      <w:bookmarkEnd w:id="69064"/>
    </w:p>
    <w:p w:rsidR="00BB59CD" w:rsidRDefault="00BB59CD" w:rsidP="00A335DD">
      <w:pPr>
        <w:rPr>
          <w:rtl/>
        </w:rPr>
      </w:pPr>
      <w:bookmarkStart w:id="69065" w:name="_ETM_Q121_670756"/>
      <w:bookmarkStart w:id="69066" w:name="_ETM_Q121_670828"/>
      <w:bookmarkStart w:id="69067" w:name="_ETM_Q121_672470"/>
      <w:bookmarkEnd w:id="69065"/>
      <w:bookmarkEnd w:id="69066"/>
      <w:bookmarkEnd w:id="69067"/>
      <w:r>
        <w:rPr>
          <w:rFonts w:hint="cs"/>
          <w:rtl/>
        </w:rPr>
        <w:t xml:space="preserve">למה </w:t>
      </w:r>
      <w:bookmarkStart w:id="69068" w:name="_ETM_Q121_672760"/>
      <w:bookmarkEnd w:id="69068"/>
      <w:r>
        <w:rPr>
          <w:rFonts w:hint="cs"/>
          <w:rtl/>
        </w:rPr>
        <w:t xml:space="preserve">לעשות </w:t>
      </w:r>
      <w:bookmarkStart w:id="69069" w:name="_ETM_Q121_673150"/>
      <w:bookmarkEnd w:id="69069"/>
      <w:r>
        <w:rPr>
          <w:rFonts w:hint="cs"/>
          <w:rtl/>
        </w:rPr>
        <w:t xml:space="preserve">לנו </w:t>
      </w:r>
      <w:bookmarkStart w:id="69070" w:name="_ETM_Q121_673360"/>
      <w:bookmarkEnd w:id="69070"/>
      <w:r>
        <w:rPr>
          <w:rFonts w:hint="cs"/>
          <w:rtl/>
        </w:rPr>
        <w:t xml:space="preserve">את </w:t>
      </w:r>
      <w:bookmarkStart w:id="69071" w:name="_ETM_Q121_673510"/>
      <w:bookmarkEnd w:id="69071"/>
      <w:r>
        <w:rPr>
          <w:rFonts w:hint="cs"/>
          <w:rtl/>
        </w:rPr>
        <w:t xml:space="preserve">זה? </w:t>
      </w:r>
      <w:bookmarkStart w:id="69072" w:name="_ETM_Q121_675220"/>
      <w:bookmarkEnd w:id="69072"/>
      <w:r>
        <w:rPr>
          <w:rFonts w:hint="cs"/>
          <w:rtl/>
        </w:rPr>
        <w:t xml:space="preserve">למה? </w:t>
      </w:r>
      <w:bookmarkStart w:id="69073" w:name="_ETM_Q121_676410"/>
      <w:bookmarkEnd w:id="69073"/>
      <w:r>
        <w:rPr>
          <w:rFonts w:hint="cs"/>
          <w:rtl/>
        </w:rPr>
        <w:t xml:space="preserve">אני </w:t>
      </w:r>
      <w:bookmarkStart w:id="69074" w:name="_ETM_Q121_676739"/>
      <w:bookmarkEnd w:id="69074"/>
      <w:r>
        <w:rPr>
          <w:rFonts w:hint="cs"/>
          <w:rtl/>
        </w:rPr>
        <w:t xml:space="preserve">התחתנתי </w:t>
      </w:r>
      <w:bookmarkStart w:id="69075" w:name="_ETM_Q121_677370"/>
      <w:bookmarkEnd w:id="69075"/>
      <w:r>
        <w:rPr>
          <w:rFonts w:hint="cs"/>
          <w:rtl/>
        </w:rPr>
        <w:t xml:space="preserve">עם </w:t>
      </w:r>
      <w:bookmarkStart w:id="69076" w:name="_ETM_Q121_677459"/>
      <w:bookmarkEnd w:id="69076"/>
      <w:r>
        <w:rPr>
          <w:rFonts w:hint="cs"/>
          <w:rtl/>
        </w:rPr>
        <w:t xml:space="preserve">ארז. ארז הוא </w:t>
      </w:r>
      <w:bookmarkStart w:id="69077" w:name="_ETM_Q121_680069"/>
      <w:bookmarkEnd w:id="69077"/>
      <w:r>
        <w:rPr>
          <w:rFonts w:hint="cs"/>
          <w:rtl/>
        </w:rPr>
        <w:t xml:space="preserve">חצי עירקי וחצי פולני. </w:t>
      </w:r>
      <w:bookmarkStart w:id="69078" w:name="_ETM_Q121_678709"/>
      <w:bookmarkStart w:id="69079" w:name="_ETM_Q121_678980"/>
      <w:bookmarkStart w:id="69080" w:name="_ETM_Q121_679219"/>
      <w:bookmarkStart w:id="69081" w:name="_ETM_Q121_679670"/>
      <w:bookmarkStart w:id="69082" w:name="_ETM_Q121_679819"/>
      <w:bookmarkStart w:id="69083" w:name="_ETM_Q121_680239"/>
      <w:bookmarkStart w:id="69084" w:name="_ETM_Q121_680390"/>
      <w:bookmarkStart w:id="69085" w:name="_ETM_Q121_681569"/>
      <w:bookmarkEnd w:id="69078"/>
      <w:bookmarkEnd w:id="69079"/>
      <w:bookmarkEnd w:id="69080"/>
      <w:bookmarkEnd w:id="69081"/>
      <w:bookmarkEnd w:id="69082"/>
      <w:bookmarkEnd w:id="69083"/>
      <w:bookmarkEnd w:id="69084"/>
      <w:bookmarkEnd w:id="69085"/>
      <w:r>
        <w:rPr>
          <w:rFonts w:hint="cs"/>
          <w:rtl/>
        </w:rPr>
        <w:t xml:space="preserve">הילדים </w:t>
      </w:r>
      <w:bookmarkStart w:id="69086" w:name="_ETM_Q121_682080"/>
      <w:bookmarkEnd w:id="69086"/>
      <w:r>
        <w:rPr>
          <w:rFonts w:hint="cs"/>
          <w:rtl/>
        </w:rPr>
        <w:t xml:space="preserve">שלי, </w:t>
      </w:r>
      <w:bookmarkStart w:id="69087" w:name="_ETM_Q121_682379"/>
      <w:bookmarkEnd w:id="69087"/>
      <w:r>
        <w:rPr>
          <w:rFonts w:hint="cs"/>
          <w:rtl/>
        </w:rPr>
        <w:t>ה</w:t>
      </w:r>
      <w:bookmarkStart w:id="69088" w:name="_ETM_Q121_682500"/>
      <w:bookmarkEnd w:id="69088"/>
      <w:r>
        <w:rPr>
          <w:rFonts w:hint="cs"/>
          <w:rtl/>
        </w:rPr>
        <w:t xml:space="preserve">מדהימים, </w:t>
      </w:r>
      <w:bookmarkStart w:id="69089" w:name="_ETM_Q121_683950"/>
      <w:bookmarkEnd w:id="69089"/>
      <w:r>
        <w:rPr>
          <w:rFonts w:hint="cs"/>
          <w:rtl/>
        </w:rPr>
        <w:t xml:space="preserve">מה </w:t>
      </w:r>
      <w:bookmarkStart w:id="69090" w:name="_ETM_Q121_684190"/>
      <w:bookmarkEnd w:id="69090"/>
      <w:r>
        <w:rPr>
          <w:rFonts w:hint="cs"/>
          <w:rtl/>
        </w:rPr>
        <w:t xml:space="preserve">הם? </w:t>
      </w:r>
      <w:bookmarkStart w:id="69091" w:name="_ETM_Q121_684989"/>
      <w:bookmarkEnd w:id="69091"/>
      <w:r>
        <w:rPr>
          <w:rFonts w:hint="cs"/>
          <w:rtl/>
        </w:rPr>
        <w:t xml:space="preserve">באמת. </w:t>
      </w:r>
      <w:bookmarkStart w:id="69092" w:name="_ETM_Q121_686070"/>
      <w:bookmarkEnd w:id="69092"/>
      <w:r>
        <w:rPr>
          <w:rFonts w:hint="cs"/>
          <w:rtl/>
        </w:rPr>
        <w:t xml:space="preserve">אני </w:t>
      </w:r>
      <w:bookmarkStart w:id="69093" w:name="_ETM_Q121_686460"/>
      <w:bookmarkEnd w:id="69093"/>
      <w:r>
        <w:rPr>
          <w:rFonts w:hint="cs"/>
          <w:rtl/>
        </w:rPr>
        <w:t xml:space="preserve">באמת </w:t>
      </w:r>
      <w:bookmarkStart w:id="69094" w:name="_ETM_Q121_686760"/>
      <w:bookmarkEnd w:id="69094"/>
      <w:r>
        <w:rPr>
          <w:rFonts w:hint="cs"/>
          <w:rtl/>
        </w:rPr>
        <w:t xml:space="preserve">שואלת </w:t>
      </w:r>
      <w:bookmarkStart w:id="69095" w:name="_ETM_Q121_687150"/>
      <w:bookmarkEnd w:id="69095"/>
      <w:r>
        <w:rPr>
          <w:rFonts w:hint="cs"/>
          <w:rtl/>
        </w:rPr>
        <w:t xml:space="preserve">את </w:t>
      </w:r>
      <w:bookmarkStart w:id="69096" w:name="_ETM_Q121_687240"/>
      <w:bookmarkEnd w:id="69096"/>
      <w:r>
        <w:rPr>
          <w:rFonts w:hint="cs"/>
          <w:rtl/>
        </w:rPr>
        <w:t xml:space="preserve">ממשלת </w:t>
      </w:r>
      <w:bookmarkStart w:id="69097" w:name="_ETM_Q121_687660"/>
      <w:bookmarkEnd w:id="69097"/>
      <w:r>
        <w:rPr>
          <w:rFonts w:hint="cs"/>
          <w:rtl/>
        </w:rPr>
        <w:t xml:space="preserve">ישראל, </w:t>
      </w:r>
      <w:bookmarkStart w:id="69098" w:name="_ETM_Q121_688829"/>
      <w:bookmarkEnd w:id="69098"/>
      <w:r>
        <w:rPr>
          <w:rFonts w:hint="cs"/>
          <w:rtl/>
        </w:rPr>
        <w:t xml:space="preserve">שלא </w:t>
      </w:r>
      <w:bookmarkStart w:id="69099" w:name="_ETM_Q121_689129"/>
      <w:bookmarkEnd w:id="69099"/>
      <w:r>
        <w:rPr>
          <w:rFonts w:hint="cs"/>
          <w:rtl/>
        </w:rPr>
        <w:t xml:space="preserve">מפסיקה </w:t>
      </w:r>
      <w:bookmarkStart w:id="69100" w:name="_ETM_Q121_689909"/>
      <w:bookmarkEnd w:id="69100"/>
      <w:r>
        <w:rPr>
          <w:rFonts w:hint="cs"/>
          <w:rtl/>
        </w:rPr>
        <w:t xml:space="preserve">לדבר </w:t>
      </w:r>
      <w:bookmarkStart w:id="69101" w:name="_ETM_Q121_690299"/>
      <w:bookmarkEnd w:id="69101"/>
      <w:r>
        <w:rPr>
          <w:rFonts w:hint="cs"/>
          <w:rtl/>
        </w:rPr>
        <w:t xml:space="preserve">איתי </w:t>
      </w:r>
      <w:bookmarkStart w:id="69102" w:name="_ETM_Q121_690479"/>
      <w:bookmarkEnd w:id="69102"/>
      <w:r>
        <w:rPr>
          <w:rFonts w:hint="cs"/>
          <w:rtl/>
        </w:rPr>
        <w:t xml:space="preserve">על </w:t>
      </w:r>
      <w:bookmarkStart w:id="69103" w:name="_ETM_Q121_690569"/>
      <w:bookmarkEnd w:id="69103"/>
      <w:r>
        <w:rPr>
          <w:rFonts w:hint="cs"/>
          <w:rtl/>
        </w:rPr>
        <w:t xml:space="preserve">אשכנזים </w:t>
      </w:r>
      <w:bookmarkStart w:id="69104" w:name="_ETM_Q121_691109"/>
      <w:bookmarkEnd w:id="69104"/>
      <w:r>
        <w:rPr>
          <w:rFonts w:hint="cs"/>
          <w:rtl/>
        </w:rPr>
        <w:t xml:space="preserve">ומזרחים, </w:t>
      </w:r>
      <w:bookmarkStart w:id="69105" w:name="_ETM_Q121_693099"/>
      <w:bookmarkEnd w:id="69105"/>
      <w:r>
        <w:rPr>
          <w:rFonts w:hint="cs"/>
          <w:rtl/>
        </w:rPr>
        <w:t xml:space="preserve">מה </w:t>
      </w:r>
      <w:bookmarkStart w:id="69106" w:name="_ETM_Q121_693309"/>
      <w:bookmarkEnd w:id="69106"/>
      <w:r>
        <w:rPr>
          <w:rFonts w:hint="cs"/>
          <w:rtl/>
        </w:rPr>
        <w:t xml:space="preserve">אתם </w:t>
      </w:r>
      <w:bookmarkStart w:id="69107" w:name="_ETM_Q121_693459"/>
      <w:bookmarkEnd w:id="69107"/>
      <w:r>
        <w:rPr>
          <w:rFonts w:hint="cs"/>
          <w:rtl/>
        </w:rPr>
        <w:t xml:space="preserve">רוצים? </w:t>
      </w:r>
      <w:bookmarkStart w:id="69108" w:name="_ETM_Q121_695179"/>
      <w:bookmarkStart w:id="69109" w:name="_ETM_Q121_695390"/>
      <w:bookmarkEnd w:id="69108"/>
      <w:bookmarkEnd w:id="69109"/>
      <w:r>
        <w:rPr>
          <w:rFonts w:hint="cs"/>
          <w:rtl/>
        </w:rPr>
        <w:t xml:space="preserve">מה </w:t>
      </w:r>
      <w:bookmarkStart w:id="69110" w:name="_ETM_Q121_695569"/>
      <w:bookmarkEnd w:id="69110"/>
      <w:r>
        <w:rPr>
          <w:rFonts w:hint="cs"/>
          <w:rtl/>
        </w:rPr>
        <w:t xml:space="preserve">אתם </w:t>
      </w:r>
      <w:bookmarkStart w:id="69111" w:name="_ETM_Q121_695819"/>
      <w:bookmarkEnd w:id="69111"/>
      <w:r>
        <w:rPr>
          <w:rFonts w:hint="cs"/>
          <w:rtl/>
        </w:rPr>
        <w:t xml:space="preserve">רוצים? </w:t>
      </w:r>
      <w:bookmarkStart w:id="69112" w:name="_ETM_Q121_698439"/>
      <w:bookmarkEnd w:id="69112"/>
      <w:r>
        <w:rPr>
          <w:rFonts w:hint="cs"/>
          <w:rtl/>
        </w:rPr>
        <w:t xml:space="preserve">אני </w:t>
      </w:r>
      <w:bookmarkStart w:id="69113" w:name="_ETM_Q121_699099"/>
      <w:bookmarkEnd w:id="69113"/>
      <w:r>
        <w:rPr>
          <w:rFonts w:hint="cs"/>
          <w:rtl/>
        </w:rPr>
        <w:t xml:space="preserve">באמת </w:t>
      </w:r>
      <w:bookmarkStart w:id="69114" w:name="_ETM_Q121_699379"/>
      <w:bookmarkStart w:id="69115" w:name="_ETM_Q121_699469"/>
      <w:bookmarkEnd w:id="69114"/>
      <w:bookmarkEnd w:id="69115"/>
      <w:r>
        <w:rPr>
          <w:rFonts w:hint="cs"/>
          <w:rtl/>
        </w:rPr>
        <w:t>שואלת,</w:t>
      </w:r>
      <w:bookmarkStart w:id="69116" w:name="_ETM_Q121_699739"/>
      <w:bookmarkEnd w:id="69116"/>
      <w:r>
        <w:rPr>
          <w:rFonts w:hint="cs"/>
          <w:rtl/>
        </w:rPr>
        <w:t xml:space="preserve"> מה אתם רוצים?</w:t>
      </w:r>
      <w:r>
        <w:rPr>
          <w:rFonts w:hint="cs"/>
        </w:rPr>
        <w:t xml:space="preserve"> </w:t>
      </w:r>
      <w:bookmarkStart w:id="69117" w:name="_ETM_Q121_700904"/>
      <w:bookmarkStart w:id="69118" w:name="_ETM_Q121_700984"/>
      <w:bookmarkStart w:id="69119" w:name="_ETM_Q121_701097"/>
      <w:bookmarkStart w:id="69120" w:name="_ETM_Q121_701174"/>
      <w:bookmarkStart w:id="69121" w:name="_ETM_Q121_699889"/>
      <w:bookmarkStart w:id="69122" w:name="_ETM_Q121_702200"/>
      <w:bookmarkEnd w:id="69117"/>
      <w:bookmarkEnd w:id="69118"/>
      <w:bookmarkEnd w:id="69119"/>
      <w:bookmarkEnd w:id="69120"/>
      <w:bookmarkEnd w:id="69121"/>
      <w:bookmarkEnd w:id="69122"/>
      <w:r>
        <w:rPr>
          <w:rFonts w:hint="cs"/>
          <w:rtl/>
        </w:rPr>
        <w:t xml:space="preserve">אנחנו </w:t>
      </w:r>
      <w:bookmarkStart w:id="69123" w:name="_ETM_Q121_703370"/>
      <w:bookmarkEnd w:id="69123"/>
      <w:r>
        <w:rPr>
          <w:rFonts w:hint="cs"/>
          <w:rtl/>
        </w:rPr>
        <w:t xml:space="preserve">ישראלים, </w:t>
      </w:r>
      <w:bookmarkStart w:id="69124" w:name="_ETM_Q121_706000"/>
      <w:bookmarkEnd w:id="69124"/>
      <w:r>
        <w:rPr>
          <w:rFonts w:hint="cs"/>
          <w:rtl/>
        </w:rPr>
        <w:t xml:space="preserve">אנחנו </w:t>
      </w:r>
      <w:bookmarkStart w:id="69125" w:name="_ETM_Q121_706420"/>
      <w:bookmarkEnd w:id="69125"/>
      <w:r>
        <w:rPr>
          <w:rFonts w:hint="cs"/>
          <w:rtl/>
        </w:rPr>
        <w:t xml:space="preserve">אוהבים </w:t>
      </w:r>
      <w:bookmarkStart w:id="69126" w:name="_ETM_Q121_706940"/>
      <w:bookmarkEnd w:id="69126"/>
      <w:r>
        <w:rPr>
          <w:rFonts w:hint="cs"/>
          <w:rtl/>
        </w:rPr>
        <w:t xml:space="preserve">את </w:t>
      </w:r>
      <w:bookmarkStart w:id="69127" w:name="_ETM_Q121_707210"/>
      <w:bookmarkEnd w:id="69127"/>
      <w:r>
        <w:rPr>
          <w:rFonts w:hint="cs"/>
          <w:rtl/>
        </w:rPr>
        <w:t xml:space="preserve">המקורות </w:t>
      </w:r>
      <w:bookmarkStart w:id="69128" w:name="_ETM_Q121_706321"/>
      <w:bookmarkStart w:id="69129" w:name="_ETM_Q121_707780"/>
      <w:bookmarkEnd w:id="69128"/>
      <w:bookmarkEnd w:id="69129"/>
      <w:r>
        <w:rPr>
          <w:rFonts w:hint="cs"/>
          <w:rtl/>
        </w:rPr>
        <w:t xml:space="preserve">שלנו, </w:t>
      </w:r>
      <w:bookmarkStart w:id="69130" w:name="_ETM_Q121_709459"/>
      <w:bookmarkEnd w:id="69130"/>
      <w:r>
        <w:rPr>
          <w:rFonts w:hint="cs"/>
          <w:rtl/>
        </w:rPr>
        <w:t xml:space="preserve">נהנים </w:t>
      </w:r>
      <w:bookmarkStart w:id="69131" w:name="_ETM_Q121_709879"/>
      <w:bookmarkEnd w:id="69131"/>
      <w:r>
        <w:rPr>
          <w:rFonts w:hint="cs"/>
          <w:rtl/>
        </w:rPr>
        <w:t xml:space="preserve">מהאוכל, </w:t>
      </w:r>
      <w:bookmarkStart w:id="69132" w:name="_ETM_Q121_711280"/>
      <w:bookmarkEnd w:id="69132"/>
      <w:r>
        <w:rPr>
          <w:rFonts w:hint="cs"/>
          <w:rtl/>
        </w:rPr>
        <w:t xml:space="preserve">נהנים </w:t>
      </w:r>
      <w:bookmarkStart w:id="69133" w:name="_ETM_Q121_711670"/>
      <w:bookmarkEnd w:id="69133"/>
      <w:r>
        <w:rPr>
          <w:rFonts w:hint="cs"/>
          <w:rtl/>
        </w:rPr>
        <w:t xml:space="preserve">מהתרבות, </w:t>
      </w:r>
      <w:bookmarkStart w:id="69134" w:name="_ETM_Q121_713120"/>
      <w:bookmarkEnd w:id="69134"/>
      <w:r>
        <w:rPr>
          <w:rFonts w:hint="cs"/>
          <w:rtl/>
        </w:rPr>
        <w:t xml:space="preserve">נהנים </w:t>
      </w:r>
      <w:bookmarkStart w:id="69135" w:name="_ETM_Q121_713599"/>
      <w:bookmarkEnd w:id="69135"/>
      <w:r>
        <w:rPr>
          <w:rFonts w:hint="cs"/>
          <w:rtl/>
        </w:rPr>
        <w:t xml:space="preserve">מהזיכרונות </w:t>
      </w:r>
      <w:bookmarkStart w:id="69136" w:name="_ETM_Q121_714379"/>
      <w:bookmarkEnd w:id="69136"/>
      <w:r>
        <w:rPr>
          <w:rFonts w:hint="cs"/>
          <w:rtl/>
        </w:rPr>
        <w:t>והסיפורי</w:t>
      </w:r>
      <w:bookmarkStart w:id="69137" w:name="_ETM_Q121_714790"/>
      <w:bookmarkEnd w:id="69137"/>
      <w:r>
        <w:rPr>
          <w:rFonts w:hint="cs"/>
          <w:rtl/>
        </w:rPr>
        <w:t xml:space="preserve">ם, ואללה, </w:t>
      </w:r>
      <w:bookmarkStart w:id="69138" w:name="_ETM_Q121_714849"/>
      <w:bookmarkStart w:id="69139" w:name="_ETM_Q121_716450"/>
      <w:bookmarkStart w:id="69140" w:name="_ETM_Q121_718439"/>
      <w:bookmarkEnd w:id="69138"/>
      <w:bookmarkEnd w:id="69139"/>
      <w:bookmarkEnd w:id="69140"/>
      <w:r>
        <w:rPr>
          <w:rFonts w:hint="cs"/>
          <w:rtl/>
        </w:rPr>
        <w:t xml:space="preserve">די. </w:t>
      </w:r>
      <w:bookmarkStart w:id="69141" w:name="_ETM_Q121_720189"/>
      <w:bookmarkEnd w:id="69141"/>
      <w:r>
        <w:rPr>
          <w:rFonts w:hint="cs"/>
          <w:rtl/>
        </w:rPr>
        <w:t xml:space="preserve">יושב פה </w:t>
      </w:r>
      <w:bookmarkStart w:id="69142" w:name="_ETM_Q121_720670"/>
      <w:bookmarkEnd w:id="69142"/>
      <w:r>
        <w:rPr>
          <w:rFonts w:hint="cs"/>
          <w:rtl/>
        </w:rPr>
        <w:t xml:space="preserve">אמסלם, </w:t>
      </w:r>
      <w:bookmarkStart w:id="69143" w:name="_ETM_Q121_722160"/>
      <w:bookmarkEnd w:id="69143"/>
      <w:r>
        <w:rPr>
          <w:rFonts w:hint="cs"/>
          <w:rtl/>
        </w:rPr>
        <w:t xml:space="preserve">כולו </w:t>
      </w:r>
      <w:bookmarkStart w:id="69144" w:name="_ETM_Q121_722550"/>
      <w:bookmarkEnd w:id="69144"/>
      <w:r>
        <w:rPr>
          <w:rFonts w:hint="cs"/>
          <w:rtl/>
        </w:rPr>
        <w:t xml:space="preserve">מנופח </w:t>
      </w:r>
      <w:bookmarkStart w:id="69145" w:name="_ETM_Q121_722940"/>
      <w:bookmarkEnd w:id="69145"/>
      <w:r>
        <w:rPr>
          <w:rFonts w:hint="cs"/>
          <w:rtl/>
        </w:rPr>
        <w:t xml:space="preserve">כמו איזה </w:t>
      </w:r>
      <w:bookmarkStart w:id="69146" w:name="_ETM_Q121_723480"/>
      <w:bookmarkEnd w:id="69146"/>
      <w:r>
        <w:rPr>
          <w:rFonts w:hint="cs"/>
          <w:rtl/>
        </w:rPr>
        <w:t xml:space="preserve">טווס </w:t>
      </w:r>
      <w:bookmarkStart w:id="69147" w:name="_ETM_Q121_723900"/>
      <w:bookmarkEnd w:id="69147"/>
      <w:r>
        <w:rPr>
          <w:rFonts w:hint="cs"/>
          <w:rtl/>
        </w:rPr>
        <w:t xml:space="preserve">של </w:t>
      </w:r>
      <w:bookmarkStart w:id="69148" w:name="_ETM_Q121_724080"/>
      <w:bookmarkEnd w:id="69148"/>
      <w:r>
        <w:rPr>
          <w:rFonts w:hint="cs"/>
          <w:rtl/>
        </w:rPr>
        <w:t xml:space="preserve">כלום </w:t>
      </w:r>
      <w:bookmarkStart w:id="69149" w:name="_ETM_Q121_726090"/>
      <w:bookmarkEnd w:id="69149"/>
      <w:r>
        <w:rPr>
          <w:rFonts w:hint="cs"/>
          <w:rtl/>
        </w:rPr>
        <w:t xml:space="preserve">ומתחיל </w:t>
      </w:r>
      <w:bookmarkStart w:id="69150" w:name="_ETM_Q121_726929"/>
      <w:bookmarkEnd w:id="69150"/>
      <w:r>
        <w:rPr>
          <w:rFonts w:hint="cs"/>
          <w:rtl/>
        </w:rPr>
        <w:t xml:space="preserve">לספר לי – </w:t>
      </w:r>
      <w:bookmarkStart w:id="69151" w:name="_ETM_Q121_727829"/>
      <w:bookmarkEnd w:id="69151"/>
      <w:r>
        <w:rPr>
          <w:rFonts w:hint="cs"/>
          <w:rtl/>
        </w:rPr>
        <w:t xml:space="preserve">אשכנזים, </w:t>
      </w:r>
      <w:bookmarkStart w:id="69152" w:name="_ETM_Q121_728790"/>
      <w:bookmarkEnd w:id="69152"/>
      <w:r>
        <w:rPr>
          <w:rFonts w:hint="cs"/>
          <w:rtl/>
        </w:rPr>
        <w:t xml:space="preserve">ספרדים, </w:t>
      </w:r>
      <w:bookmarkStart w:id="69153" w:name="_ETM_Q121_729510"/>
      <w:bookmarkEnd w:id="69153"/>
      <w:r w:rsidR="00A335DD">
        <w:rPr>
          <w:rFonts w:hint="cs"/>
          <w:rtl/>
        </w:rPr>
        <w:t>מזרחי</w:t>
      </w:r>
      <w:r>
        <w:rPr>
          <w:rFonts w:hint="cs"/>
          <w:rtl/>
        </w:rPr>
        <w:t xml:space="preserve">ם. </w:t>
      </w:r>
      <w:bookmarkStart w:id="69154" w:name="_ETM_Q121_729929"/>
      <w:bookmarkEnd w:id="69154"/>
      <w:r>
        <w:rPr>
          <w:rFonts w:hint="cs"/>
          <w:rtl/>
        </w:rPr>
        <w:t xml:space="preserve">מי </w:t>
      </w:r>
      <w:bookmarkStart w:id="69155" w:name="_ETM_Q121_730079"/>
      <w:bookmarkEnd w:id="69155"/>
      <w:r>
        <w:rPr>
          <w:rFonts w:hint="cs"/>
          <w:rtl/>
        </w:rPr>
        <w:t xml:space="preserve">אתה </w:t>
      </w:r>
      <w:bookmarkStart w:id="69156" w:name="_ETM_Q121_730260"/>
      <w:bookmarkEnd w:id="69156"/>
      <w:r>
        <w:rPr>
          <w:rFonts w:hint="cs"/>
          <w:rtl/>
        </w:rPr>
        <w:t xml:space="preserve">בכלל? מי אתה </w:t>
      </w:r>
      <w:bookmarkStart w:id="69157" w:name="_ETM_Q121_732426"/>
      <w:bookmarkEnd w:id="69157"/>
      <w:r>
        <w:rPr>
          <w:rFonts w:hint="cs"/>
          <w:rtl/>
        </w:rPr>
        <w:t xml:space="preserve">בכלל </w:t>
      </w:r>
      <w:bookmarkStart w:id="69158" w:name="_ETM_Q121_732670"/>
      <w:bookmarkStart w:id="69159" w:name="_ETM_Q121_733629"/>
      <w:bookmarkEnd w:id="69158"/>
      <w:bookmarkEnd w:id="69159"/>
      <w:r>
        <w:rPr>
          <w:rFonts w:hint="cs"/>
          <w:rtl/>
        </w:rPr>
        <w:t>ש</w:t>
      </w:r>
      <w:bookmarkStart w:id="69160" w:name="_ETM_Q121_733900"/>
      <w:bookmarkEnd w:id="69160"/>
      <w:r>
        <w:rPr>
          <w:rFonts w:hint="cs"/>
          <w:rtl/>
        </w:rPr>
        <w:t xml:space="preserve">תספר </w:t>
      </w:r>
      <w:bookmarkStart w:id="69161" w:name="_ETM_Q121_734379"/>
      <w:bookmarkEnd w:id="69161"/>
      <w:r>
        <w:rPr>
          <w:rFonts w:hint="cs"/>
          <w:rtl/>
        </w:rPr>
        <w:t xml:space="preserve">לי </w:t>
      </w:r>
      <w:bookmarkStart w:id="69162" w:name="_ETM_Q121_734650"/>
      <w:bookmarkEnd w:id="69162"/>
      <w:r>
        <w:rPr>
          <w:rFonts w:hint="cs"/>
          <w:rtl/>
        </w:rPr>
        <w:t xml:space="preserve">מי </w:t>
      </w:r>
      <w:bookmarkStart w:id="69163" w:name="_ETM_Q121_734830"/>
      <w:bookmarkEnd w:id="69163"/>
      <w:r>
        <w:rPr>
          <w:rFonts w:hint="cs"/>
          <w:rtl/>
        </w:rPr>
        <w:t>אני</w:t>
      </w:r>
      <w:bookmarkStart w:id="69164" w:name="_ETM_Q121_737429"/>
      <w:bookmarkEnd w:id="69164"/>
      <w:r>
        <w:rPr>
          <w:rFonts w:hint="cs"/>
          <w:rtl/>
        </w:rPr>
        <w:t xml:space="preserve">? אני </w:t>
      </w:r>
      <w:bookmarkStart w:id="69165" w:name="_ETM_Q121_737610"/>
      <w:bookmarkEnd w:id="69165"/>
      <w:r>
        <w:rPr>
          <w:rFonts w:hint="cs"/>
          <w:rtl/>
        </w:rPr>
        <w:t>חצי-</w:t>
      </w:r>
      <w:bookmarkStart w:id="69166" w:name="_ETM_Q121_737910"/>
      <w:bookmarkEnd w:id="69166"/>
      <w:r>
        <w:rPr>
          <w:rFonts w:hint="cs"/>
          <w:rtl/>
        </w:rPr>
        <w:t xml:space="preserve">חצי. </w:t>
      </w:r>
      <w:bookmarkStart w:id="69167" w:name="_ETM_Q121_739540"/>
      <w:bookmarkEnd w:id="69167"/>
      <w:r>
        <w:rPr>
          <w:rFonts w:hint="cs"/>
          <w:rtl/>
        </w:rPr>
        <w:t xml:space="preserve">הילדים </w:t>
      </w:r>
      <w:bookmarkStart w:id="69168" w:name="_ETM_Q121_739840"/>
      <w:bookmarkEnd w:id="69168"/>
      <w:r>
        <w:rPr>
          <w:rFonts w:hint="cs"/>
          <w:rtl/>
        </w:rPr>
        <w:t xml:space="preserve">שלי הם רבעים. די כבר. </w:t>
      </w:r>
    </w:p>
    <w:p w:rsidR="00BB59CD" w:rsidRDefault="00BB59CD" w:rsidP="00BB59CD">
      <w:pPr>
        <w:rPr>
          <w:rtl/>
        </w:rPr>
      </w:pPr>
      <w:bookmarkStart w:id="69169" w:name="_ETM_Q121_744762"/>
      <w:bookmarkStart w:id="69170" w:name="_ETM_Q121_744821"/>
      <w:bookmarkEnd w:id="69169"/>
      <w:bookmarkEnd w:id="69170"/>
    </w:p>
    <w:p w:rsidR="00BB59CD" w:rsidRDefault="00BB59CD" w:rsidP="00A335DD">
      <w:pPr>
        <w:rPr>
          <w:rtl/>
        </w:rPr>
      </w:pPr>
      <w:bookmarkStart w:id="69171" w:name="_ETM_Q121_744905"/>
      <w:bookmarkStart w:id="69172" w:name="_ETM_Q121_744994"/>
      <w:bookmarkEnd w:id="69171"/>
      <w:bookmarkEnd w:id="69172"/>
      <w:r>
        <w:rPr>
          <w:rFonts w:hint="cs"/>
          <w:rtl/>
        </w:rPr>
        <w:t>ואחר כך, שלב ב',</w:t>
      </w:r>
      <w:bookmarkStart w:id="69173" w:name="_ETM_Q121_749115"/>
      <w:bookmarkEnd w:id="69173"/>
      <w:r>
        <w:rPr>
          <w:rFonts w:hint="cs"/>
          <w:rtl/>
        </w:rPr>
        <w:t xml:space="preserve"> </w:t>
      </w:r>
      <w:bookmarkStart w:id="69174" w:name="_ETM_Q121_751729"/>
      <w:bookmarkEnd w:id="69174"/>
      <w:r>
        <w:rPr>
          <w:rFonts w:hint="cs"/>
          <w:rtl/>
        </w:rPr>
        <w:t xml:space="preserve">שעון הרולקס המנופח הזה </w:t>
      </w:r>
      <w:bookmarkStart w:id="69175" w:name="_ETM_Q121_753600"/>
      <w:bookmarkEnd w:id="69175"/>
      <w:r>
        <w:rPr>
          <w:rFonts w:hint="cs"/>
          <w:rtl/>
        </w:rPr>
        <w:t xml:space="preserve">עומד </w:t>
      </w:r>
      <w:bookmarkStart w:id="69176" w:name="_ETM_Q121_753960"/>
      <w:bookmarkEnd w:id="69176"/>
      <w:r>
        <w:rPr>
          <w:rFonts w:hint="cs"/>
          <w:rtl/>
        </w:rPr>
        <w:t xml:space="preserve">פה </w:t>
      </w:r>
      <w:bookmarkStart w:id="69177" w:name="_ETM_Q121_754110"/>
      <w:bookmarkEnd w:id="69177"/>
      <w:r>
        <w:rPr>
          <w:rFonts w:hint="cs"/>
          <w:rtl/>
        </w:rPr>
        <w:t xml:space="preserve">במליאה </w:t>
      </w:r>
      <w:bookmarkStart w:id="69178" w:name="_ETM_Q121_755600"/>
      <w:bookmarkEnd w:id="69178"/>
      <w:r>
        <w:rPr>
          <w:rFonts w:hint="cs"/>
          <w:rtl/>
        </w:rPr>
        <w:t>ו</w:t>
      </w:r>
      <w:bookmarkStart w:id="69179" w:name="_ETM_Q121_755690"/>
      <w:bookmarkEnd w:id="69179"/>
      <w:r>
        <w:rPr>
          <w:rFonts w:hint="cs"/>
          <w:rtl/>
        </w:rPr>
        <w:t xml:space="preserve">מתחיל </w:t>
      </w:r>
      <w:bookmarkStart w:id="69180" w:name="_ETM_Q121_755960"/>
      <w:bookmarkEnd w:id="69180"/>
      <w:r>
        <w:rPr>
          <w:rFonts w:hint="cs"/>
          <w:rtl/>
        </w:rPr>
        <w:t xml:space="preserve">לספר </w:t>
      </w:r>
      <w:bookmarkStart w:id="69181" w:name="_ETM_Q121_756289"/>
      <w:bookmarkEnd w:id="69181"/>
      <w:r>
        <w:rPr>
          <w:rFonts w:hint="cs"/>
          <w:rtl/>
        </w:rPr>
        <w:t xml:space="preserve">לי </w:t>
      </w:r>
      <w:bookmarkStart w:id="69182" w:name="_ETM_Q121_756440"/>
      <w:bookmarkEnd w:id="69182"/>
      <w:r>
        <w:rPr>
          <w:rFonts w:hint="cs"/>
          <w:rtl/>
        </w:rPr>
        <w:t>מי פריבי</w:t>
      </w:r>
      <w:bookmarkStart w:id="69183" w:name="_ETM_Q121_756710"/>
      <w:bookmarkEnd w:id="69183"/>
      <w:r>
        <w:rPr>
          <w:rFonts w:hint="cs"/>
          <w:rtl/>
        </w:rPr>
        <w:t>לג. וא</w:t>
      </w:r>
      <w:r w:rsidR="00A335DD">
        <w:rPr>
          <w:rFonts w:hint="cs"/>
          <w:rtl/>
        </w:rPr>
        <w:t>ל</w:t>
      </w:r>
      <w:r>
        <w:rPr>
          <w:rFonts w:hint="cs"/>
          <w:rtl/>
        </w:rPr>
        <w:t xml:space="preserve">לה, עומד פה עם </w:t>
      </w:r>
      <w:bookmarkStart w:id="69184" w:name="_ETM_Q121_760003"/>
      <w:bookmarkStart w:id="69185" w:name="_ETM_Q121_759199"/>
      <w:bookmarkStart w:id="69186" w:name="_ETM_Q121_759590"/>
      <w:bookmarkStart w:id="69187" w:name="_ETM_Q121_759740"/>
      <w:bookmarkStart w:id="69188" w:name="_ETM_Q121_759979"/>
      <w:bookmarkEnd w:id="69184"/>
      <w:bookmarkEnd w:id="69185"/>
      <w:bookmarkEnd w:id="69186"/>
      <w:bookmarkEnd w:id="69187"/>
      <w:bookmarkEnd w:id="69188"/>
      <w:r>
        <w:rPr>
          <w:rFonts w:hint="cs"/>
          <w:rtl/>
        </w:rPr>
        <w:t xml:space="preserve">שעון </w:t>
      </w:r>
      <w:bookmarkStart w:id="69189" w:name="_ETM_Q121_760250"/>
      <w:bookmarkEnd w:id="69189"/>
      <w:r>
        <w:rPr>
          <w:rFonts w:hint="cs"/>
          <w:rtl/>
        </w:rPr>
        <w:t xml:space="preserve">רולקס </w:t>
      </w:r>
      <w:bookmarkStart w:id="69190" w:name="_ETM_Q121_761639"/>
      <w:bookmarkEnd w:id="69190"/>
      <w:r>
        <w:rPr>
          <w:rFonts w:hint="cs"/>
          <w:rtl/>
        </w:rPr>
        <w:t xml:space="preserve">ומספר </w:t>
      </w:r>
      <w:bookmarkStart w:id="69191" w:name="_ETM_Q121_762210"/>
      <w:bookmarkEnd w:id="69191"/>
      <w:r>
        <w:rPr>
          <w:rFonts w:hint="cs"/>
          <w:rtl/>
        </w:rPr>
        <w:t xml:space="preserve">לי </w:t>
      </w:r>
      <w:bookmarkStart w:id="69192" w:name="_ETM_Q121_762360"/>
      <w:bookmarkEnd w:id="69192"/>
      <w:r>
        <w:rPr>
          <w:rFonts w:hint="cs"/>
          <w:rtl/>
        </w:rPr>
        <w:t xml:space="preserve">מי </w:t>
      </w:r>
      <w:bookmarkStart w:id="69193" w:name="_ETM_Q121_762630"/>
      <w:bookmarkEnd w:id="69193"/>
      <w:r>
        <w:rPr>
          <w:rFonts w:hint="cs"/>
          <w:rtl/>
        </w:rPr>
        <w:t xml:space="preserve">פריבילג, </w:t>
      </w:r>
      <w:bookmarkStart w:id="69194" w:name="_ETM_Q121_763170"/>
      <w:bookmarkEnd w:id="69194"/>
      <w:r>
        <w:rPr>
          <w:rFonts w:hint="cs"/>
          <w:rtl/>
        </w:rPr>
        <w:t xml:space="preserve">הבוס </w:t>
      </w:r>
      <w:bookmarkStart w:id="69195" w:name="_ETM_Q121_763620"/>
      <w:bookmarkEnd w:id="69195"/>
      <w:r>
        <w:rPr>
          <w:rFonts w:hint="cs"/>
          <w:rtl/>
        </w:rPr>
        <w:t xml:space="preserve">שלו </w:t>
      </w:r>
      <w:bookmarkStart w:id="69196" w:name="_ETM_Q121_763770"/>
      <w:bookmarkEnd w:id="69196"/>
      <w:r>
        <w:rPr>
          <w:rFonts w:hint="cs"/>
          <w:rtl/>
        </w:rPr>
        <w:t xml:space="preserve">גר </w:t>
      </w:r>
      <w:bookmarkStart w:id="69197" w:name="_ETM_Q121_763920"/>
      <w:bookmarkEnd w:id="69197"/>
      <w:r>
        <w:rPr>
          <w:rFonts w:hint="cs"/>
          <w:rtl/>
        </w:rPr>
        <w:t xml:space="preserve">בווילה </w:t>
      </w:r>
      <w:bookmarkStart w:id="69198" w:name="_ETM_Q121_764250"/>
      <w:bookmarkEnd w:id="69198"/>
      <w:r>
        <w:rPr>
          <w:rFonts w:hint="cs"/>
          <w:rtl/>
        </w:rPr>
        <w:t>בקיסריה. אגב, הוא גם אשכנזי.</w:t>
      </w:r>
      <w:bookmarkStart w:id="69199" w:name="_ETM_Q121_764112"/>
      <w:bookmarkStart w:id="69200" w:name="_ETM_Q121_764223"/>
      <w:bookmarkStart w:id="69201" w:name="TOR_Q122"/>
      <w:bookmarkEnd w:id="69199"/>
      <w:bookmarkEnd w:id="69200"/>
      <w:bookmarkEnd w:id="69201"/>
      <w:r>
        <w:rPr>
          <w:rFonts w:hint="cs"/>
          <w:rtl/>
        </w:rPr>
        <w:t xml:space="preserve"> אין פה במדינת ישראל </w:t>
      </w:r>
      <w:bookmarkStart w:id="69202" w:name="_ETM_Q122_174947"/>
      <w:bookmarkEnd w:id="69202"/>
      <w:r>
        <w:rPr>
          <w:rFonts w:hint="cs"/>
          <w:rtl/>
        </w:rPr>
        <w:t xml:space="preserve">אנשים שקיבלו כסף בירושה על ירושה על ירושה. מי </w:t>
      </w:r>
      <w:bookmarkStart w:id="69203" w:name="_ETM_Q122_180329"/>
      <w:bookmarkEnd w:id="69203"/>
      <w:r>
        <w:rPr>
          <w:rFonts w:hint="cs"/>
          <w:rtl/>
        </w:rPr>
        <w:t xml:space="preserve">שהגיע </w:t>
      </w:r>
      <w:bookmarkStart w:id="69204" w:name="_ETM_Q122_180900"/>
      <w:bookmarkEnd w:id="69204"/>
      <w:r>
        <w:rPr>
          <w:rFonts w:hint="cs"/>
          <w:rtl/>
        </w:rPr>
        <w:t xml:space="preserve">מאירופה – </w:t>
      </w:r>
      <w:bookmarkStart w:id="69205" w:name="_ETM_Q122_181469"/>
      <w:bookmarkEnd w:id="69205"/>
      <w:r>
        <w:rPr>
          <w:rFonts w:hint="cs"/>
          <w:rtl/>
        </w:rPr>
        <w:t xml:space="preserve">רצחו </w:t>
      </w:r>
      <w:bookmarkStart w:id="69206" w:name="_ETM_Q122_181860"/>
      <w:bookmarkEnd w:id="69206"/>
      <w:r>
        <w:rPr>
          <w:rFonts w:hint="cs"/>
          <w:rtl/>
        </w:rPr>
        <w:t xml:space="preserve">אותו </w:t>
      </w:r>
      <w:bookmarkStart w:id="69207" w:name="_ETM_Q122_182100"/>
      <w:bookmarkEnd w:id="69207"/>
      <w:r>
        <w:rPr>
          <w:rFonts w:hint="cs"/>
          <w:rtl/>
        </w:rPr>
        <w:t xml:space="preserve">ולקחו </w:t>
      </w:r>
      <w:bookmarkStart w:id="69208" w:name="_ETM_Q122_182550"/>
      <w:bookmarkEnd w:id="69208"/>
      <w:r>
        <w:rPr>
          <w:rFonts w:hint="cs"/>
          <w:rtl/>
        </w:rPr>
        <w:t xml:space="preserve">לו; </w:t>
      </w:r>
      <w:bookmarkStart w:id="69209" w:name="_ETM_Q122_183760"/>
      <w:bookmarkEnd w:id="69209"/>
      <w:r>
        <w:rPr>
          <w:rFonts w:hint="cs"/>
          <w:rtl/>
        </w:rPr>
        <w:t xml:space="preserve">מי </w:t>
      </w:r>
      <w:bookmarkStart w:id="69210" w:name="_ETM_Q122_183970"/>
      <w:bookmarkEnd w:id="69210"/>
      <w:r>
        <w:rPr>
          <w:rFonts w:hint="cs"/>
          <w:rtl/>
        </w:rPr>
        <w:t xml:space="preserve">שהגיע </w:t>
      </w:r>
      <w:bookmarkStart w:id="69211" w:name="_ETM_Q122_184510"/>
      <w:bookmarkEnd w:id="69211"/>
      <w:r>
        <w:rPr>
          <w:rFonts w:hint="cs"/>
          <w:rtl/>
        </w:rPr>
        <w:t xml:space="preserve">ממדינות </w:t>
      </w:r>
      <w:bookmarkStart w:id="69212" w:name="_ETM_Q122_185380"/>
      <w:bookmarkEnd w:id="69212"/>
      <w:r>
        <w:rPr>
          <w:rFonts w:hint="cs"/>
          <w:rtl/>
        </w:rPr>
        <w:t xml:space="preserve">ערב – </w:t>
      </w:r>
      <w:bookmarkStart w:id="69213" w:name="_ETM_Q122_186700"/>
      <w:bookmarkEnd w:id="69213"/>
      <w:r>
        <w:rPr>
          <w:rFonts w:hint="cs"/>
          <w:rtl/>
        </w:rPr>
        <w:t xml:space="preserve">השאיר </w:t>
      </w:r>
      <w:bookmarkStart w:id="69214" w:name="_ETM_Q122_187029"/>
      <w:bookmarkEnd w:id="69214"/>
      <w:r>
        <w:rPr>
          <w:rFonts w:hint="cs"/>
          <w:rtl/>
        </w:rPr>
        <w:t xml:space="preserve">את </w:t>
      </w:r>
      <w:bookmarkStart w:id="69215" w:name="_ETM_Q122_187120"/>
      <w:bookmarkEnd w:id="69215"/>
      <w:r>
        <w:rPr>
          <w:rFonts w:hint="cs"/>
          <w:rtl/>
        </w:rPr>
        <w:t xml:space="preserve">הכסף </w:t>
      </w:r>
      <w:bookmarkStart w:id="69216" w:name="_ETM_Q122_187510"/>
      <w:bookmarkEnd w:id="69216"/>
      <w:r>
        <w:rPr>
          <w:rFonts w:hint="cs"/>
          <w:rtl/>
        </w:rPr>
        <w:t xml:space="preserve">שלו </w:t>
      </w:r>
      <w:bookmarkStart w:id="69217" w:name="_ETM_Q122_187720"/>
      <w:bookmarkEnd w:id="69217"/>
      <w:r>
        <w:rPr>
          <w:rFonts w:hint="cs"/>
          <w:rtl/>
        </w:rPr>
        <w:t xml:space="preserve">בחוץ, </w:t>
      </w:r>
      <w:bookmarkStart w:id="69218" w:name="_ETM_Q122_188590"/>
      <w:bookmarkEnd w:id="69218"/>
      <w:r>
        <w:rPr>
          <w:rFonts w:hint="cs"/>
          <w:rtl/>
        </w:rPr>
        <w:t xml:space="preserve">כמו </w:t>
      </w:r>
      <w:bookmarkStart w:id="69219" w:name="_ETM_Q122_188770"/>
      <w:bookmarkEnd w:id="69219"/>
      <w:r>
        <w:rPr>
          <w:rFonts w:hint="cs"/>
          <w:rtl/>
        </w:rPr>
        <w:t xml:space="preserve">כל </w:t>
      </w:r>
      <w:bookmarkStart w:id="69220" w:name="_ETM_Q122_188980"/>
      <w:bookmarkEnd w:id="69220"/>
      <w:r>
        <w:rPr>
          <w:rFonts w:hint="cs"/>
          <w:rtl/>
        </w:rPr>
        <w:t xml:space="preserve">הסבים </w:t>
      </w:r>
      <w:bookmarkStart w:id="69221" w:name="_ETM_Q122_189400"/>
      <w:bookmarkEnd w:id="69221"/>
      <w:r>
        <w:rPr>
          <w:rFonts w:hint="cs"/>
          <w:rtl/>
        </w:rPr>
        <w:t xml:space="preserve">והסבתות </w:t>
      </w:r>
      <w:bookmarkStart w:id="69222" w:name="_ETM_Q122_189940"/>
      <w:bookmarkEnd w:id="69222"/>
      <w:r>
        <w:rPr>
          <w:rFonts w:hint="cs"/>
          <w:rtl/>
        </w:rPr>
        <w:t xml:space="preserve">שלנו. </w:t>
      </w:r>
      <w:bookmarkStart w:id="69223" w:name="_ETM_Q122_190210"/>
      <w:bookmarkEnd w:id="69223"/>
      <w:r>
        <w:rPr>
          <w:rFonts w:hint="cs"/>
          <w:rtl/>
        </w:rPr>
        <w:t xml:space="preserve">אין </w:t>
      </w:r>
      <w:bookmarkStart w:id="69224" w:name="_ETM_Q122_190389"/>
      <w:bookmarkEnd w:id="69224"/>
      <w:r>
        <w:rPr>
          <w:rFonts w:hint="cs"/>
          <w:rtl/>
        </w:rPr>
        <w:t xml:space="preserve">לנו </w:t>
      </w:r>
      <w:bookmarkStart w:id="69225" w:name="_ETM_Q122_190539"/>
      <w:bookmarkEnd w:id="69225"/>
      <w:r>
        <w:rPr>
          <w:rFonts w:hint="cs"/>
          <w:rtl/>
        </w:rPr>
        <w:t xml:space="preserve">פה </w:t>
      </w:r>
      <w:bookmarkStart w:id="69226" w:name="_ETM_Q122_190719"/>
      <w:bookmarkEnd w:id="69226"/>
      <w:r>
        <w:rPr>
          <w:rFonts w:hint="cs"/>
          <w:rtl/>
        </w:rPr>
        <w:t xml:space="preserve">עשירים. </w:t>
      </w:r>
      <w:bookmarkStart w:id="69227" w:name="_ETM_Q122_192619"/>
      <w:bookmarkEnd w:id="69227"/>
      <w:r>
        <w:rPr>
          <w:rFonts w:hint="cs"/>
          <w:rtl/>
        </w:rPr>
        <w:t xml:space="preserve">כל </w:t>
      </w:r>
      <w:bookmarkStart w:id="69228" w:name="_ETM_Q122_192889"/>
      <w:bookmarkEnd w:id="69228"/>
      <w:r>
        <w:rPr>
          <w:rFonts w:hint="cs"/>
          <w:rtl/>
        </w:rPr>
        <w:t xml:space="preserve">מי </w:t>
      </w:r>
      <w:bookmarkStart w:id="69229" w:name="_ETM_Q122_193009"/>
      <w:bookmarkEnd w:id="69229"/>
      <w:r>
        <w:rPr>
          <w:rFonts w:hint="cs"/>
          <w:rtl/>
        </w:rPr>
        <w:t xml:space="preserve">שיש </w:t>
      </w:r>
      <w:bookmarkStart w:id="69230" w:name="_ETM_Q122_193280"/>
      <w:bookmarkEnd w:id="69230"/>
      <w:r>
        <w:rPr>
          <w:rFonts w:hint="cs"/>
          <w:rtl/>
        </w:rPr>
        <w:t xml:space="preserve">לו </w:t>
      </w:r>
      <w:bookmarkStart w:id="69231" w:name="_ETM_Q122_193369"/>
      <w:bookmarkEnd w:id="69231"/>
      <w:r>
        <w:rPr>
          <w:rFonts w:hint="cs"/>
          <w:rtl/>
        </w:rPr>
        <w:t xml:space="preserve">פה </w:t>
      </w:r>
      <w:bookmarkStart w:id="69232" w:name="_ETM_Q122_193519"/>
      <w:bookmarkEnd w:id="69232"/>
      <w:r>
        <w:rPr>
          <w:rFonts w:hint="cs"/>
          <w:rtl/>
        </w:rPr>
        <w:t xml:space="preserve">כסף </w:t>
      </w:r>
      <w:bookmarkStart w:id="69233" w:name="_ETM_Q122_194869"/>
      <w:bookmarkEnd w:id="69233"/>
      <w:r>
        <w:rPr>
          <w:rFonts w:hint="cs"/>
          <w:rtl/>
        </w:rPr>
        <w:t xml:space="preserve">עבד </w:t>
      </w:r>
      <w:bookmarkStart w:id="69234" w:name="_ETM_Q122_195150"/>
      <w:bookmarkEnd w:id="69234"/>
      <w:r>
        <w:rPr>
          <w:rFonts w:hint="cs"/>
          <w:rtl/>
        </w:rPr>
        <w:t xml:space="preserve">מאוד </w:t>
      </w:r>
      <w:bookmarkStart w:id="69235" w:name="_ETM_Q122_195299"/>
      <w:bookmarkEnd w:id="69235"/>
      <w:r>
        <w:rPr>
          <w:rFonts w:hint="cs"/>
          <w:rtl/>
        </w:rPr>
        <w:t xml:space="preserve">קשה </w:t>
      </w:r>
      <w:bookmarkStart w:id="69236" w:name="_ETM_Q122_195690"/>
      <w:bookmarkEnd w:id="69236"/>
      <w:r>
        <w:rPr>
          <w:rFonts w:hint="cs"/>
          <w:rtl/>
        </w:rPr>
        <w:t xml:space="preserve">בשבילו, </w:t>
      </w:r>
      <w:bookmarkStart w:id="69237" w:name="_ETM_Q122_198189"/>
      <w:bookmarkEnd w:id="69237"/>
      <w:r>
        <w:rPr>
          <w:rFonts w:hint="cs"/>
          <w:rtl/>
        </w:rPr>
        <w:t>מאוד.</w:t>
      </w:r>
    </w:p>
    <w:p w:rsidR="00BB59CD" w:rsidRDefault="00BB59CD" w:rsidP="00BB59CD">
      <w:pPr>
        <w:rPr>
          <w:rtl/>
        </w:rPr>
      </w:pPr>
      <w:bookmarkStart w:id="69238" w:name="_ETM_Q122_204532"/>
      <w:bookmarkStart w:id="69239" w:name="_ETM_Q122_204640"/>
      <w:bookmarkEnd w:id="69238"/>
      <w:bookmarkEnd w:id="69239"/>
    </w:p>
    <w:p w:rsidR="00BB59CD" w:rsidRDefault="00BB59CD" w:rsidP="00A335DD">
      <w:pPr>
        <w:rPr>
          <w:rtl/>
        </w:rPr>
      </w:pPr>
      <w:bookmarkStart w:id="69240" w:name="_ETM_Q122_204675"/>
      <w:bookmarkStart w:id="69241" w:name="_ETM_Q122_204775"/>
      <w:bookmarkStart w:id="69242" w:name="_ETM_Q122_202980"/>
      <w:bookmarkEnd w:id="69240"/>
      <w:bookmarkEnd w:id="69241"/>
      <w:bookmarkEnd w:id="69242"/>
      <w:r>
        <w:rPr>
          <w:rFonts w:hint="cs"/>
          <w:rtl/>
        </w:rPr>
        <w:t xml:space="preserve">ואז </w:t>
      </w:r>
      <w:bookmarkStart w:id="69243" w:name="_ETM_Q122_203189"/>
      <w:bookmarkEnd w:id="69243"/>
      <w:r>
        <w:rPr>
          <w:rFonts w:hint="cs"/>
          <w:rtl/>
        </w:rPr>
        <w:t xml:space="preserve">לבוא </w:t>
      </w:r>
      <w:bookmarkStart w:id="69244" w:name="_ETM_Q122_203460"/>
      <w:bookmarkEnd w:id="69244"/>
      <w:r>
        <w:rPr>
          <w:rFonts w:hint="cs"/>
          <w:rtl/>
        </w:rPr>
        <w:t xml:space="preserve">ולבוז </w:t>
      </w:r>
      <w:bookmarkStart w:id="69245" w:name="_ETM_Q122_204149"/>
      <w:bookmarkEnd w:id="69245"/>
      <w:r>
        <w:rPr>
          <w:rFonts w:hint="cs"/>
          <w:rtl/>
        </w:rPr>
        <w:t xml:space="preserve">לזה. </w:t>
      </w:r>
      <w:bookmarkStart w:id="69246" w:name="_ETM_Q122_204480"/>
      <w:bookmarkEnd w:id="69246"/>
      <w:r>
        <w:rPr>
          <w:rFonts w:hint="cs"/>
          <w:rtl/>
        </w:rPr>
        <w:t xml:space="preserve">קודם </w:t>
      </w:r>
      <w:bookmarkStart w:id="69247" w:name="_ETM_Q122_204719"/>
      <w:bookmarkEnd w:id="69247"/>
      <w:r>
        <w:rPr>
          <w:rFonts w:hint="cs"/>
          <w:rtl/>
        </w:rPr>
        <w:t xml:space="preserve">כול, </w:t>
      </w:r>
      <w:bookmarkStart w:id="69248" w:name="_ETM_Q122_204899"/>
      <w:bookmarkEnd w:id="69248"/>
      <w:r>
        <w:rPr>
          <w:rFonts w:hint="cs"/>
          <w:rtl/>
        </w:rPr>
        <w:t xml:space="preserve">כן, </w:t>
      </w:r>
      <w:bookmarkStart w:id="69249" w:name="_ETM_Q122_205469"/>
      <w:bookmarkEnd w:id="69249"/>
      <w:r>
        <w:rPr>
          <w:rFonts w:hint="cs"/>
          <w:rtl/>
        </w:rPr>
        <w:t xml:space="preserve">יש </w:t>
      </w:r>
      <w:bookmarkStart w:id="69250" w:name="_ETM_Q122_205619"/>
      <w:bookmarkEnd w:id="69250"/>
      <w:r>
        <w:rPr>
          <w:rFonts w:hint="cs"/>
          <w:rtl/>
        </w:rPr>
        <w:t xml:space="preserve">אנשים </w:t>
      </w:r>
      <w:bookmarkStart w:id="69251" w:name="_ETM_Q122_205949"/>
      <w:bookmarkEnd w:id="69251"/>
      <w:r>
        <w:rPr>
          <w:rFonts w:hint="cs"/>
          <w:rtl/>
        </w:rPr>
        <w:t xml:space="preserve">שעשו </w:t>
      </w:r>
      <w:bookmarkStart w:id="69252" w:name="_ETM_Q122_206279"/>
      <w:bookmarkEnd w:id="69252"/>
      <w:r>
        <w:rPr>
          <w:rFonts w:hint="cs"/>
          <w:rtl/>
        </w:rPr>
        <w:t xml:space="preserve">פה </w:t>
      </w:r>
      <w:bookmarkStart w:id="69253" w:name="_ETM_Q122_206429"/>
      <w:bookmarkEnd w:id="69253"/>
      <w:r>
        <w:rPr>
          <w:rFonts w:hint="cs"/>
          <w:rtl/>
        </w:rPr>
        <w:t xml:space="preserve">כסף. </w:t>
      </w:r>
      <w:bookmarkStart w:id="69254" w:name="_ETM_Q122_207800"/>
      <w:bookmarkEnd w:id="69254"/>
      <w:r>
        <w:rPr>
          <w:rFonts w:hint="cs"/>
          <w:rtl/>
        </w:rPr>
        <w:t xml:space="preserve">אתה </w:t>
      </w:r>
      <w:bookmarkStart w:id="69255" w:name="_ETM_Q122_207919"/>
      <w:bookmarkEnd w:id="69255"/>
      <w:r>
        <w:rPr>
          <w:rFonts w:hint="cs"/>
          <w:rtl/>
        </w:rPr>
        <w:t xml:space="preserve">צריך </w:t>
      </w:r>
      <w:bookmarkStart w:id="69256" w:name="_ETM_Q122_208070"/>
      <w:bookmarkEnd w:id="69256"/>
      <w:r>
        <w:rPr>
          <w:rFonts w:hint="cs"/>
          <w:rtl/>
        </w:rPr>
        <w:t xml:space="preserve">להצדיע </w:t>
      </w:r>
      <w:bookmarkStart w:id="69257" w:name="_ETM_Q122_208609"/>
      <w:bookmarkEnd w:id="69257"/>
      <w:r>
        <w:rPr>
          <w:rFonts w:hint="cs"/>
          <w:rtl/>
        </w:rPr>
        <w:t xml:space="preserve">להם. </w:t>
      </w:r>
      <w:bookmarkStart w:id="69258" w:name="_ETM_Q122_208720"/>
      <w:bookmarkEnd w:id="69258"/>
      <w:r>
        <w:rPr>
          <w:rFonts w:hint="cs"/>
          <w:rtl/>
        </w:rPr>
        <w:t xml:space="preserve">בעשר </w:t>
      </w:r>
      <w:bookmarkStart w:id="69259" w:name="_ETM_Q122_209990"/>
      <w:bookmarkStart w:id="69260" w:name="_ETM_Q122_210470"/>
      <w:bookmarkEnd w:id="69259"/>
      <w:bookmarkEnd w:id="69260"/>
      <w:r>
        <w:rPr>
          <w:rFonts w:hint="cs"/>
          <w:rtl/>
        </w:rPr>
        <w:t xml:space="preserve">אצבעות </w:t>
      </w:r>
      <w:bookmarkStart w:id="69261" w:name="_ETM_Q122_210950"/>
      <w:bookmarkEnd w:id="69261"/>
      <w:r>
        <w:rPr>
          <w:rFonts w:hint="cs"/>
          <w:rtl/>
        </w:rPr>
        <w:t xml:space="preserve">הם </w:t>
      </w:r>
      <w:bookmarkStart w:id="69262" w:name="_ETM_Q122_211039"/>
      <w:bookmarkEnd w:id="69262"/>
      <w:r>
        <w:rPr>
          <w:rFonts w:hint="cs"/>
          <w:rtl/>
        </w:rPr>
        <w:t xml:space="preserve">עשו, </w:t>
      </w:r>
      <w:bookmarkStart w:id="69263" w:name="_ETM_Q122_211250"/>
      <w:bookmarkEnd w:id="69263"/>
      <w:r>
        <w:rPr>
          <w:rFonts w:hint="cs"/>
          <w:rtl/>
        </w:rPr>
        <w:t xml:space="preserve">הם </w:t>
      </w:r>
      <w:bookmarkStart w:id="69264" w:name="_ETM_Q122_211340"/>
      <w:bookmarkEnd w:id="69264"/>
      <w:r>
        <w:rPr>
          <w:rFonts w:hint="cs"/>
          <w:rtl/>
        </w:rPr>
        <w:t xml:space="preserve">לא </w:t>
      </w:r>
      <w:bookmarkStart w:id="69265" w:name="_ETM_Q122_211430"/>
      <w:bookmarkEnd w:id="69265"/>
      <w:r>
        <w:rPr>
          <w:rFonts w:hint="cs"/>
          <w:rtl/>
        </w:rPr>
        <w:t xml:space="preserve">גנבו </w:t>
      </w:r>
      <w:bookmarkStart w:id="69266" w:name="_ETM_Q122_211700"/>
      <w:bookmarkEnd w:id="69266"/>
      <w:r>
        <w:rPr>
          <w:rFonts w:hint="cs"/>
          <w:rtl/>
        </w:rPr>
        <w:t xml:space="preserve">אותו </w:t>
      </w:r>
      <w:bookmarkStart w:id="69267" w:name="_ETM_Q122_211900"/>
      <w:bookmarkEnd w:id="69267"/>
      <w:r>
        <w:rPr>
          <w:rFonts w:hint="cs"/>
          <w:rtl/>
        </w:rPr>
        <w:t xml:space="preserve">מאף אחד, </w:t>
      </w:r>
      <w:bookmarkStart w:id="69268" w:name="_ETM_Q122_212079"/>
      <w:bookmarkStart w:id="69269" w:name="_ETM_Q122_212890"/>
      <w:bookmarkEnd w:id="69268"/>
      <w:bookmarkEnd w:id="69269"/>
      <w:r>
        <w:rPr>
          <w:rFonts w:hint="cs"/>
          <w:rtl/>
        </w:rPr>
        <w:t xml:space="preserve">מר </w:t>
      </w:r>
      <w:bookmarkStart w:id="69270" w:name="_ETM_Q122_213130"/>
      <w:bookmarkEnd w:id="69270"/>
      <w:r>
        <w:rPr>
          <w:rFonts w:hint="cs"/>
          <w:rtl/>
        </w:rPr>
        <w:t xml:space="preserve">דודי </w:t>
      </w:r>
      <w:bookmarkStart w:id="69271" w:name="_ETM_Q122_213430"/>
      <w:bookmarkEnd w:id="69271"/>
      <w:r>
        <w:rPr>
          <w:rFonts w:hint="cs"/>
          <w:rtl/>
        </w:rPr>
        <w:t xml:space="preserve">אמסלם, </w:t>
      </w:r>
      <w:bookmarkStart w:id="69272" w:name="_ETM_Q122_214510"/>
      <w:bookmarkEnd w:id="69272"/>
      <w:r>
        <w:rPr>
          <w:rFonts w:hint="cs"/>
          <w:rtl/>
        </w:rPr>
        <w:t xml:space="preserve">שעד </w:t>
      </w:r>
      <w:bookmarkStart w:id="69273" w:name="_ETM_Q122_214750"/>
      <w:bookmarkEnd w:id="69273"/>
      <w:r>
        <w:rPr>
          <w:rFonts w:hint="cs"/>
          <w:rtl/>
        </w:rPr>
        <w:t xml:space="preserve">כמה </w:t>
      </w:r>
      <w:bookmarkStart w:id="69274" w:name="_ETM_Q122_215020"/>
      <w:bookmarkEnd w:id="69274"/>
      <w:r>
        <w:rPr>
          <w:rFonts w:hint="cs"/>
          <w:rtl/>
        </w:rPr>
        <w:t xml:space="preserve">שאני </w:t>
      </w:r>
      <w:bookmarkStart w:id="69275" w:name="_ETM_Q122_215260"/>
      <w:bookmarkEnd w:id="69275"/>
      <w:r>
        <w:rPr>
          <w:rFonts w:hint="cs"/>
          <w:rtl/>
        </w:rPr>
        <w:t xml:space="preserve">יודעת </w:t>
      </w:r>
      <w:bookmarkStart w:id="69276" w:name="_ETM_Q122_215620"/>
      <w:bookmarkEnd w:id="69276"/>
      <w:r>
        <w:rPr>
          <w:rFonts w:hint="cs"/>
          <w:rtl/>
        </w:rPr>
        <w:t xml:space="preserve">שייך </w:t>
      </w:r>
      <w:bookmarkStart w:id="69277" w:name="_ETM_Q122_215950"/>
      <w:bookmarkEnd w:id="69277"/>
      <w:r>
        <w:rPr>
          <w:rFonts w:hint="cs"/>
          <w:rtl/>
        </w:rPr>
        <w:t xml:space="preserve">למפלגה </w:t>
      </w:r>
      <w:bookmarkStart w:id="69278" w:name="_ETM_Q122_216729"/>
      <w:bookmarkEnd w:id="69278"/>
      <w:r>
        <w:rPr>
          <w:rFonts w:hint="cs"/>
          <w:rtl/>
        </w:rPr>
        <w:t xml:space="preserve">שפעם </w:t>
      </w:r>
      <w:bookmarkStart w:id="69279" w:name="_ETM_Q122_217060"/>
      <w:bookmarkEnd w:id="69279"/>
      <w:r>
        <w:rPr>
          <w:rFonts w:hint="cs"/>
          <w:rtl/>
        </w:rPr>
        <w:t xml:space="preserve">הייתה </w:t>
      </w:r>
      <w:bookmarkStart w:id="69280" w:name="_ETM_Q122_217300"/>
      <w:bookmarkEnd w:id="69280"/>
      <w:r>
        <w:rPr>
          <w:rFonts w:hint="cs"/>
          <w:rtl/>
        </w:rPr>
        <w:t xml:space="preserve">לאומית </w:t>
      </w:r>
      <w:bookmarkStart w:id="69281" w:name="_ETM_Q122_217690"/>
      <w:bookmarkEnd w:id="69281"/>
      <w:r>
        <w:rPr>
          <w:rFonts w:hint="cs"/>
          <w:rtl/>
        </w:rPr>
        <w:t xml:space="preserve">וליברלית. </w:t>
      </w:r>
      <w:bookmarkStart w:id="69282" w:name="_ETM_Q122_219550"/>
      <w:bookmarkEnd w:id="69282"/>
      <w:r>
        <w:rPr>
          <w:rFonts w:hint="cs"/>
          <w:rtl/>
        </w:rPr>
        <w:t xml:space="preserve">ליברלית זה </w:t>
      </w:r>
      <w:bookmarkStart w:id="69283" w:name="_ETM_Q122_220300"/>
      <w:bookmarkEnd w:id="69283"/>
      <w:r>
        <w:rPr>
          <w:rFonts w:hint="cs"/>
          <w:rtl/>
        </w:rPr>
        <w:t xml:space="preserve">אומר </w:t>
      </w:r>
      <w:bookmarkStart w:id="69284" w:name="_ETM_Q122_220539"/>
      <w:bookmarkEnd w:id="69284"/>
      <w:r>
        <w:rPr>
          <w:rFonts w:hint="cs"/>
          <w:rtl/>
        </w:rPr>
        <w:t xml:space="preserve">גם </w:t>
      </w:r>
      <w:bookmarkStart w:id="69285" w:name="_ETM_Q122_221199"/>
      <w:bookmarkEnd w:id="69285"/>
      <w:r>
        <w:rPr>
          <w:rFonts w:hint="cs"/>
          <w:rtl/>
        </w:rPr>
        <w:t>שו</w:t>
      </w:r>
      <w:bookmarkStart w:id="69286" w:name="_ETM_Q122_221379"/>
      <w:bookmarkEnd w:id="69286"/>
      <w:r>
        <w:rPr>
          <w:rFonts w:hint="cs"/>
          <w:rtl/>
        </w:rPr>
        <w:t xml:space="preserve">ק חופשי. </w:t>
      </w:r>
      <w:bookmarkStart w:id="69287" w:name="_ETM_Q122_226587"/>
      <w:bookmarkStart w:id="69288" w:name="_ETM_Q122_226660"/>
      <w:bookmarkStart w:id="69289" w:name="_ETM_Q122_226715"/>
      <w:bookmarkStart w:id="69290" w:name="_ETM_Q122_226769"/>
      <w:bookmarkEnd w:id="69287"/>
      <w:bookmarkEnd w:id="69288"/>
      <w:bookmarkEnd w:id="69289"/>
      <w:bookmarkEnd w:id="69290"/>
      <w:r>
        <w:rPr>
          <w:rFonts w:hint="cs"/>
          <w:rtl/>
        </w:rPr>
        <w:t xml:space="preserve">הייתה להם </w:t>
      </w:r>
      <w:bookmarkStart w:id="69291" w:name="_ETM_Q122_224632"/>
      <w:bookmarkStart w:id="69292" w:name="_ETM_Q122_224800"/>
      <w:bookmarkStart w:id="69293" w:name="_ETM_Q122_224821"/>
      <w:bookmarkStart w:id="69294" w:name="_ETM_Q122_224884"/>
      <w:bookmarkStart w:id="69295" w:name="_ETM_Q122_222949"/>
      <w:bookmarkStart w:id="69296" w:name="_ETM_Q122_225579"/>
      <w:bookmarkStart w:id="69297" w:name="_ETM_Q122_225760"/>
      <w:bookmarkStart w:id="69298" w:name="_ETM_Q122_225850"/>
      <w:bookmarkStart w:id="69299" w:name="_ETM_Q122_226250"/>
      <w:bookmarkStart w:id="69300" w:name="_ETM_Q122_227330"/>
      <w:bookmarkStart w:id="69301" w:name="_ETM_Q122_227510"/>
      <w:bookmarkEnd w:id="69291"/>
      <w:bookmarkEnd w:id="69292"/>
      <w:bookmarkEnd w:id="69293"/>
      <w:bookmarkEnd w:id="69294"/>
      <w:bookmarkEnd w:id="69295"/>
      <w:bookmarkEnd w:id="69296"/>
      <w:bookmarkEnd w:id="69297"/>
      <w:bookmarkEnd w:id="69298"/>
      <w:bookmarkEnd w:id="69299"/>
      <w:bookmarkEnd w:id="69300"/>
      <w:bookmarkEnd w:id="69301"/>
      <w:r>
        <w:rPr>
          <w:rFonts w:hint="cs"/>
          <w:rtl/>
        </w:rPr>
        <w:t xml:space="preserve">ההזדמנות. האם </w:t>
      </w:r>
      <w:bookmarkStart w:id="69302" w:name="_ETM_Q122_226274"/>
      <w:bookmarkEnd w:id="69302"/>
      <w:r>
        <w:rPr>
          <w:rFonts w:hint="cs"/>
          <w:rtl/>
        </w:rPr>
        <w:t xml:space="preserve">לכולם הייתה ההזדמנות? לא. </w:t>
      </w:r>
      <w:bookmarkStart w:id="69303" w:name="_ETM_Q122_227930"/>
      <w:bookmarkStart w:id="69304" w:name="_ETM_Q122_228170"/>
      <w:bookmarkStart w:id="69305" w:name="_ETM_Q122_228229"/>
      <w:bookmarkStart w:id="69306" w:name="_ETM_Q122_228650"/>
      <w:bookmarkStart w:id="69307" w:name="_ETM_Q122_230180"/>
      <w:bookmarkEnd w:id="69303"/>
      <w:bookmarkEnd w:id="69304"/>
      <w:bookmarkEnd w:id="69305"/>
      <w:bookmarkEnd w:id="69306"/>
      <w:bookmarkEnd w:id="69307"/>
      <w:r>
        <w:rPr>
          <w:rFonts w:hint="cs"/>
          <w:rtl/>
        </w:rPr>
        <w:t>ל</w:t>
      </w:r>
      <w:bookmarkStart w:id="69308" w:name="_ETM_Q122_230330"/>
      <w:bookmarkEnd w:id="69308"/>
      <w:r>
        <w:rPr>
          <w:rFonts w:hint="cs"/>
          <w:rtl/>
        </w:rPr>
        <w:t xml:space="preserve">משפחה </w:t>
      </w:r>
      <w:bookmarkStart w:id="69309" w:name="_ETM_Q122_230780"/>
      <w:bookmarkEnd w:id="69309"/>
      <w:r>
        <w:rPr>
          <w:rFonts w:hint="cs"/>
          <w:rtl/>
        </w:rPr>
        <w:t xml:space="preserve">שלי </w:t>
      </w:r>
      <w:bookmarkStart w:id="69310" w:name="_ETM_Q122_231050"/>
      <w:bookmarkEnd w:id="69310"/>
      <w:r>
        <w:rPr>
          <w:rFonts w:hint="cs"/>
          <w:rtl/>
        </w:rPr>
        <w:t xml:space="preserve">מהצד </w:t>
      </w:r>
      <w:bookmarkStart w:id="69311" w:name="_ETM_Q122_231650"/>
      <w:bookmarkEnd w:id="69311"/>
      <w:r>
        <w:rPr>
          <w:rFonts w:hint="cs"/>
          <w:rtl/>
        </w:rPr>
        <w:t xml:space="preserve">של </w:t>
      </w:r>
      <w:bookmarkStart w:id="69312" w:name="_ETM_Q122_231890"/>
      <w:bookmarkEnd w:id="69312"/>
      <w:r>
        <w:rPr>
          <w:rFonts w:hint="cs"/>
          <w:rtl/>
        </w:rPr>
        <w:t xml:space="preserve">אימא </w:t>
      </w:r>
      <w:bookmarkStart w:id="69313" w:name="_ETM_Q122_232070"/>
      <w:bookmarkEnd w:id="69313"/>
      <w:r>
        <w:rPr>
          <w:rFonts w:hint="cs"/>
          <w:rtl/>
        </w:rPr>
        <w:t>שלי</w:t>
      </w:r>
      <w:bookmarkStart w:id="69314" w:name="_ETM_Q122_232850"/>
      <w:bookmarkEnd w:id="69314"/>
      <w:r>
        <w:rPr>
          <w:rFonts w:hint="cs"/>
          <w:rtl/>
        </w:rPr>
        <w:t xml:space="preserve"> – פחות. האם </w:t>
      </w:r>
      <w:bookmarkStart w:id="69315" w:name="_ETM_Q122_235380"/>
      <w:bookmarkStart w:id="69316" w:name="_ETM_Q122_236370"/>
      <w:bookmarkEnd w:id="69315"/>
      <w:bookmarkEnd w:id="69316"/>
      <w:r>
        <w:rPr>
          <w:rFonts w:hint="cs"/>
          <w:rtl/>
        </w:rPr>
        <w:t xml:space="preserve">שם </w:t>
      </w:r>
      <w:bookmarkStart w:id="69317" w:name="_ETM_Q122_236670"/>
      <w:bookmarkEnd w:id="69317"/>
      <w:r>
        <w:rPr>
          <w:rFonts w:hint="cs"/>
          <w:rtl/>
        </w:rPr>
        <w:t xml:space="preserve">משפחה </w:t>
      </w:r>
      <w:bookmarkStart w:id="69318" w:name="_ETM_Q122_237120"/>
      <w:bookmarkEnd w:id="69318"/>
      <w:r>
        <w:rPr>
          <w:rFonts w:hint="cs"/>
          <w:rtl/>
        </w:rPr>
        <w:t xml:space="preserve">מזרחי </w:t>
      </w:r>
      <w:bookmarkStart w:id="69319" w:name="_ETM_Q122_238780"/>
      <w:bookmarkEnd w:id="69319"/>
      <w:r>
        <w:rPr>
          <w:rFonts w:hint="cs"/>
          <w:rtl/>
        </w:rPr>
        <w:t xml:space="preserve">עלול </w:t>
      </w:r>
      <w:bookmarkStart w:id="69320" w:name="_ETM_Q122_239140"/>
      <w:bookmarkEnd w:id="69320"/>
      <w:r>
        <w:rPr>
          <w:rFonts w:hint="cs"/>
          <w:rtl/>
        </w:rPr>
        <w:t xml:space="preserve">לקבל </w:t>
      </w:r>
      <w:bookmarkStart w:id="69321" w:name="_ETM_Q122_239470"/>
      <w:bookmarkEnd w:id="69321"/>
      <w:r>
        <w:rPr>
          <w:rFonts w:hint="cs"/>
          <w:rtl/>
        </w:rPr>
        <w:t xml:space="preserve">פחות </w:t>
      </w:r>
      <w:bookmarkStart w:id="69322" w:name="_ETM_Q122_239800"/>
      <w:bookmarkEnd w:id="69322"/>
      <w:r>
        <w:rPr>
          <w:rFonts w:hint="cs"/>
          <w:rtl/>
        </w:rPr>
        <w:t xml:space="preserve">מאשכנזי? </w:t>
      </w:r>
      <w:bookmarkStart w:id="69323" w:name="_ETM_Q122_240340"/>
      <w:bookmarkEnd w:id="69323"/>
      <w:r>
        <w:rPr>
          <w:rFonts w:hint="cs"/>
          <w:rtl/>
        </w:rPr>
        <w:t xml:space="preserve">כן. </w:t>
      </w:r>
      <w:bookmarkStart w:id="69324" w:name="_ETM_Q122_242059"/>
      <w:bookmarkEnd w:id="69324"/>
      <w:r>
        <w:rPr>
          <w:rFonts w:hint="cs"/>
          <w:rtl/>
        </w:rPr>
        <w:t xml:space="preserve">אבל </w:t>
      </w:r>
      <w:bookmarkStart w:id="69325" w:name="_ETM_Q122_243440"/>
      <w:bookmarkEnd w:id="69325"/>
      <w:r>
        <w:rPr>
          <w:rFonts w:hint="cs"/>
          <w:rtl/>
        </w:rPr>
        <w:t xml:space="preserve">את </w:t>
      </w:r>
      <w:bookmarkStart w:id="69326" w:name="_ETM_Q122_241080"/>
      <w:bookmarkStart w:id="69327" w:name="_ETM_Q122_245200"/>
      <w:bookmarkStart w:id="69328" w:name="_ETM_Q122_245459"/>
      <w:bookmarkEnd w:id="69326"/>
      <w:bookmarkEnd w:id="69327"/>
      <w:bookmarkEnd w:id="69328"/>
      <w:r>
        <w:rPr>
          <w:rFonts w:hint="cs"/>
          <w:rtl/>
        </w:rPr>
        <w:t xml:space="preserve">מי </w:t>
      </w:r>
      <w:bookmarkStart w:id="69329" w:name="_ETM_Q122_245819"/>
      <w:bookmarkEnd w:id="69329"/>
      <w:r>
        <w:rPr>
          <w:rFonts w:hint="cs"/>
          <w:rtl/>
        </w:rPr>
        <w:t>אתם מאשימים</w:t>
      </w:r>
      <w:r w:rsidR="00A335DD">
        <w:rPr>
          <w:rFonts w:hint="cs"/>
          <w:rtl/>
        </w:rPr>
        <w:t>,</w:t>
      </w:r>
      <w:r>
        <w:rPr>
          <w:rFonts w:hint="cs"/>
          <w:rtl/>
        </w:rPr>
        <w:t xml:space="preserve"> </w:t>
      </w:r>
      <w:bookmarkStart w:id="69330" w:name="_ETM_Q122_250780"/>
      <w:bookmarkEnd w:id="69330"/>
      <w:r>
        <w:rPr>
          <w:rFonts w:hint="cs"/>
          <w:rtl/>
        </w:rPr>
        <w:t xml:space="preserve">את מי אתם מאשימים? </w:t>
      </w:r>
      <w:bookmarkStart w:id="69331" w:name="_ETM_Q122_251200"/>
      <w:bookmarkEnd w:id="69331"/>
      <w:r>
        <w:rPr>
          <w:rFonts w:hint="cs"/>
          <w:rtl/>
        </w:rPr>
        <w:t xml:space="preserve">תאשימו את </w:t>
      </w:r>
      <w:bookmarkStart w:id="69332" w:name="_ETM_Q122_251290"/>
      <w:bookmarkEnd w:id="69332"/>
      <w:r>
        <w:rPr>
          <w:rFonts w:hint="cs"/>
          <w:rtl/>
        </w:rPr>
        <w:t xml:space="preserve">נתניהו, </w:t>
      </w:r>
      <w:bookmarkStart w:id="69333" w:name="_ETM_Q122_253390"/>
      <w:bookmarkEnd w:id="69333"/>
      <w:r>
        <w:rPr>
          <w:rFonts w:hint="cs"/>
          <w:rtl/>
        </w:rPr>
        <w:t xml:space="preserve">כי </w:t>
      </w:r>
      <w:bookmarkStart w:id="69334" w:name="_ETM_Q122_253510"/>
      <w:bookmarkEnd w:id="69334"/>
      <w:r>
        <w:rPr>
          <w:rFonts w:hint="cs"/>
          <w:rtl/>
        </w:rPr>
        <w:t xml:space="preserve">אתם </w:t>
      </w:r>
      <w:bookmarkStart w:id="69335" w:name="_ETM_Q122_253660"/>
      <w:bookmarkEnd w:id="69335"/>
      <w:r>
        <w:rPr>
          <w:rFonts w:hint="cs"/>
          <w:rtl/>
        </w:rPr>
        <w:t xml:space="preserve">יודעים </w:t>
      </w:r>
      <w:bookmarkStart w:id="69336" w:name="_ETM_Q122_253900"/>
      <w:bookmarkEnd w:id="69336"/>
      <w:r>
        <w:rPr>
          <w:rFonts w:hint="cs"/>
          <w:rtl/>
        </w:rPr>
        <w:t xml:space="preserve">מה </w:t>
      </w:r>
      <w:bookmarkStart w:id="69337" w:name="_ETM_Q122_253990"/>
      <w:bookmarkEnd w:id="69337"/>
      <w:r>
        <w:rPr>
          <w:rFonts w:hint="cs"/>
          <w:rtl/>
        </w:rPr>
        <w:t xml:space="preserve">הוא </w:t>
      </w:r>
      <w:bookmarkStart w:id="69338" w:name="_ETM_Q122_254050"/>
      <w:bookmarkEnd w:id="69338"/>
      <w:r>
        <w:rPr>
          <w:rFonts w:hint="cs"/>
          <w:rtl/>
        </w:rPr>
        <w:t xml:space="preserve">עשה </w:t>
      </w:r>
      <w:bookmarkStart w:id="69339" w:name="_ETM_Q122_254290"/>
      <w:bookmarkEnd w:id="69339"/>
      <w:r>
        <w:rPr>
          <w:rFonts w:hint="cs"/>
          <w:rtl/>
        </w:rPr>
        <w:t xml:space="preserve">פה </w:t>
      </w:r>
      <w:bookmarkStart w:id="69340" w:name="_ETM_Q122_254410"/>
      <w:bookmarkEnd w:id="69340"/>
      <w:r>
        <w:rPr>
          <w:rFonts w:hint="cs"/>
          <w:rtl/>
        </w:rPr>
        <w:t xml:space="preserve">במשך </w:t>
      </w:r>
      <w:bookmarkStart w:id="69341" w:name="_ETM_Q122_254800"/>
      <w:bookmarkEnd w:id="69341"/>
      <w:r>
        <w:rPr>
          <w:rFonts w:hint="cs"/>
          <w:rtl/>
        </w:rPr>
        <w:t xml:space="preserve">שני </w:t>
      </w:r>
      <w:bookmarkStart w:id="69342" w:name="_ETM_Q122_255040"/>
      <w:bookmarkEnd w:id="69342"/>
      <w:r>
        <w:rPr>
          <w:rFonts w:hint="cs"/>
          <w:rtl/>
        </w:rPr>
        <w:t xml:space="preserve">עשורים? </w:t>
      </w:r>
      <w:bookmarkStart w:id="69343" w:name="_ETM_Q122_256539"/>
      <w:bookmarkEnd w:id="69343"/>
      <w:r>
        <w:rPr>
          <w:rFonts w:hint="cs"/>
          <w:rtl/>
        </w:rPr>
        <w:t xml:space="preserve">קיבע </w:t>
      </w:r>
      <w:bookmarkStart w:id="69344" w:name="_ETM_Q122_257109"/>
      <w:bookmarkEnd w:id="69344"/>
      <w:r>
        <w:rPr>
          <w:rFonts w:hint="cs"/>
          <w:rtl/>
        </w:rPr>
        <w:t xml:space="preserve">את </w:t>
      </w:r>
      <w:bookmarkStart w:id="69345" w:name="_ETM_Q122_257289"/>
      <w:bookmarkEnd w:id="69345"/>
      <w:r>
        <w:rPr>
          <w:rFonts w:hint="cs"/>
          <w:rtl/>
        </w:rPr>
        <w:t xml:space="preserve">העוני. </w:t>
      </w:r>
      <w:bookmarkStart w:id="69346" w:name="_ETM_Q122_259430"/>
      <w:bookmarkEnd w:id="69346"/>
      <w:r>
        <w:rPr>
          <w:rFonts w:hint="cs"/>
          <w:rtl/>
        </w:rPr>
        <w:t xml:space="preserve">הוא </w:t>
      </w:r>
      <w:bookmarkStart w:id="69347" w:name="_ETM_Q122_259700"/>
      <w:bookmarkEnd w:id="69347"/>
      <w:r>
        <w:rPr>
          <w:rFonts w:hint="cs"/>
          <w:rtl/>
        </w:rPr>
        <w:t xml:space="preserve">בא </w:t>
      </w:r>
      <w:bookmarkStart w:id="69348" w:name="_ETM_Q122_259970"/>
      <w:bookmarkEnd w:id="69348"/>
      <w:r>
        <w:rPr>
          <w:rFonts w:hint="cs"/>
          <w:rtl/>
        </w:rPr>
        <w:t xml:space="preserve">והוא </w:t>
      </w:r>
      <w:bookmarkStart w:id="69349" w:name="_ETM_Q122_260299"/>
      <w:bookmarkEnd w:id="69349"/>
      <w:r>
        <w:rPr>
          <w:rFonts w:hint="cs"/>
          <w:rtl/>
        </w:rPr>
        <w:t xml:space="preserve">אמר </w:t>
      </w:r>
      <w:bookmarkStart w:id="69350" w:name="_ETM_Q122_260750"/>
      <w:bookmarkEnd w:id="69350"/>
      <w:r>
        <w:rPr>
          <w:rFonts w:hint="cs"/>
          <w:rtl/>
        </w:rPr>
        <w:t xml:space="preserve">לכל </w:t>
      </w:r>
      <w:bookmarkStart w:id="69351" w:name="_ETM_Q122_261229"/>
      <w:bookmarkEnd w:id="69351"/>
      <w:r>
        <w:rPr>
          <w:rFonts w:hint="cs"/>
          <w:rtl/>
        </w:rPr>
        <w:t xml:space="preserve">תושבי </w:t>
      </w:r>
      <w:bookmarkStart w:id="69352" w:name="_ETM_Q122_261650"/>
      <w:bookmarkEnd w:id="69352"/>
      <w:r>
        <w:rPr>
          <w:rFonts w:hint="cs"/>
          <w:rtl/>
        </w:rPr>
        <w:t>הפריפריה:</w:t>
      </w:r>
      <w:bookmarkStart w:id="69353" w:name="_ETM_Q122_264580"/>
      <w:bookmarkEnd w:id="69353"/>
      <w:r>
        <w:rPr>
          <w:rFonts w:hint="cs"/>
          <w:rtl/>
        </w:rPr>
        <w:t xml:space="preserve"> </w:t>
      </w:r>
      <w:bookmarkStart w:id="69354" w:name="_ETM_Q122_265299"/>
      <w:bookmarkStart w:id="69355" w:name="_ETM_Q122_265420"/>
      <w:bookmarkEnd w:id="69354"/>
      <w:bookmarkEnd w:id="69355"/>
      <w:r>
        <w:rPr>
          <w:rFonts w:hint="cs"/>
          <w:rtl/>
        </w:rPr>
        <w:t xml:space="preserve">כל העוולות </w:t>
      </w:r>
      <w:bookmarkStart w:id="69356" w:name="_ETM_Q122_266140"/>
      <w:bookmarkEnd w:id="69356"/>
      <w:r>
        <w:rPr>
          <w:rFonts w:hint="cs"/>
          <w:rtl/>
        </w:rPr>
        <w:t xml:space="preserve">שיש </w:t>
      </w:r>
      <w:bookmarkStart w:id="69357" w:name="_ETM_Q122_266470"/>
      <w:bookmarkEnd w:id="69357"/>
      <w:r>
        <w:rPr>
          <w:rFonts w:hint="cs"/>
          <w:rtl/>
        </w:rPr>
        <w:t xml:space="preserve">לכם </w:t>
      </w:r>
      <w:bookmarkStart w:id="69358" w:name="_ETM_Q122_266770"/>
      <w:bookmarkEnd w:id="69358"/>
      <w:r>
        <w:rPr>
          <w:rFonts w:hint="cs"/>
          <w:rtl/>
        </w:rPr>
        <w:t xml:space="preserve">בחיים, </w:t>
      </w:r>
      <w:bookmarkStart w:id="69359" w:name="_ETM_Q122_268579"/>
      <w:bookmarkEnd w:id="69359"/>
      <w:r>
        <w:rPr>
          <w:rFonts w:hint="cs"/>
          <w:rtl/>
        </w:rPr>
        <w:t xml:space="preserve">וזה </w:t>
      </w:r>
      <w:bookmarkStart w:id="69360" w:name="_ETM_Q122_268850"/>
      <w:bookmarkEnd w:id="69360"/>
      <w:r>
        <w:rPr>
          <w:rFonts w:hint="cs"/>
          <w:rtl/>
        </w:rPr>
        <w:t xml:space="preserve">שקוראים </w:t>
      </w:r>
      <w:bookmarkStart w:id="69361" w:name="_ETM_Q122_269270"/>
      <w:bookmarkEnd w:id="69361"/>
      <w:r>
        <w:rPr>
          <w:rFonts w:hint="cs"/>
          <w:rtl/>
        </w:rPr>
        <w:t xml:space="preserve">לכם </w:t>
      </w:r>
      <w:bookmarkStart w:id="69362" w:name="_ETM_Q122_269659"/>
      <w:bookmarkEnd w:id="69362"/>
      <w:r>
        <w:rPr>
          <w:rFonts w:hint="cs"/>
          <w:rtl/>
        </w:rPr>
        <w:t xml:space="preserve">אמסלם </w:t>
      </w:r>
      <w:bookmarkStart w:id="69363" w:name="_ETM_Q122_270709"/>
      <w:bookmarkEnd w:id="69363"/>
      <w:r>
        <w:rPr>
          <w:rFonts w:hint="cs"/>
          <w:rtl/>
        </w:rPr>
        <w:t xml:space="preserve">וסעדה, </w:t>
      </w:r>
      <w:bookmarkStart w:id="69364" w:name="_ETM_Q122_272560"/>
      <w:bookmarkEnd w:id="69364"/>
      <w:r>
        <w:rPr>
          <w:rFonts w:hint="cs"/>
          <w:rtl/>
        </w:rPr>
        <w:t xml:space="preserve">אתם </w:t>
      </w:r>
      <w:bookmarkStart w:id="69365" w:name="_ETM_Q122_273280"/>
      <w:bookmarkEnd w:id="69365"/>
      <w:r>
        <w:rPr>
          <w:rFonts w:hint="cs"/>
          <w:rtl/>
        </w:rPr>
        <w:t xml:space="preserve">מקופחים </w:t>
      </w:r>
      <w:bookmarkStart w:id="69366" w:name="_ETM_Q122_273720"/>
      <w:bookmarkStart w:id="69367" w:name="_ETM_Q122_275760"/>
      <w:bookmarkEnd w:id="69366"/>
      <w:bookmarkEnd w:id="69367"/>
      <w:r>
        <w:rPr>
          <w:rFonts w:hint="cs"/>
          <w:rtl/>
        </w:rPr>
        <w:t xml:space="preserve">בגלל </w:t>
      </w:r>
      <w:bookmarkStart w:id="69368" w:name="_ETM_Q122_276165"/>
      <w:bookmarkEnd w:id="69368"/>
      <w:r>
        <w:rPr>
          <w:rFonts w:hint="cs"/>
          <w:rtl/>
        </w:rPr>
        <w:t xml:space="preserve">שאתם </w:t>
      </w:r>
      <w:bookmarkStart w:id="69369" w:name="_ETM_Q122_276120"/>
      <w:bookmarkStart w:id="69370" w:name="_ETM_Q122_276420"/>
      <w:bookmarkEnd w:id="69369"/>
      <w:bookmarkEnd w:id="69370"/>
      <w:r>
        <w:rPr>
          <w:rFonts w:hint="cs"/>
          <w:rtl/>
        </w:rPr>
        <w:t xml:space="preserve">כזה, </w:t>
      </w:r>
      <w:bookmarkStart w:id="69371" w:name="_ETM_Q122_277170"/>
      <w:bookmarkEnd w:id="69371"/>
      <w:r>
        <w:rPr>
          <w:rFonts w:hint="cs"/>
          <w:rtl/>
        </w:rPr>
        <w:t xml:space="preserve">אבל </w:t>
      </w:r>
      <w:bookmarkStart w:id="69372" w:name="_ETM_Q122_277410"/>
      <w:bookmarkEnd w:id="69372"/>
      <w:r>
        <w:rPr>
          <w:rFonts w:hint="cs"/>
          <w:rtl/>
        </w:rPr>
        <w:t xml:space="preserve">אני </w:t>
      </w:r>
      <w:bookmarkStart w:id="69373" w:name="_ETM_Q122_277590"/>
      <w:bookmarkEnd w:id="69373"/>
      <w:r>
        <w:rPr>
          <w:rFonts w:hint="cs"/>
          <w:rtl/>
        </w:rPr>
        <w:t xml:space="preserve">שומר </w:t>
      </w:r>
      <w:bookmarkStart w:id="69374" w:name="_ETM_Q122_277950"/>
      <w:bookmarkEnd w:id="69374"/>
      <w:r>
        <w:rPr>
          <w:rFonts w:hint="cs"/>
          <w:rtl/>
        </w:rPr>
        <w:t>עליכם.</w:t>
      </w:r>
      <w:bookmarkStart w:id="69375" w:name="_ETM_Q122_277825"/>
      <w:bookmarkStart w:id="69376" w:name="_ETM_Q122_277925"/>
      <w:bookmarkStart w:id="69377" w:name="_ETM_Q122_277953"/>
      <w:bookmarkStart w:id="69378" w:name="_ETM_Q122_278035"/>
      <w:bookmarkStart w:id="69379" w:name="_ETM_Q122_278310"/>
      <w:bookmarkEnd w:id="69375"/>
      <w:bookmarkEnd w:id="69376"/>
      <w:bookmarkEnd w:id="69377"/>
      <w:bookmarkEnd w:id="69378"/>
      <w:bookmarkEnd w:id="69379"/>
      <w:r w:rsidR="00A335DD">
        <w:rPr>
          <w:rFonts w:hint="cs"/>
          <w:rtl/>
        </w:rPr>
        <w:t xml:space="preserve"> </w:t>
      </w:r>
      <w:r>
        <w:rPr>
          <w:rFonts w:hint="cs"/>
          <w:rtl/>
        </w:rPr>
        <w:t xml:space="preserve">לא, </w:t>
      </w:r>
      <w:bookmarkStart w:id="69380" w:name="_ETM_Q122_278459"/>
      <w:bookmarkEnd w:id="69380"/>
      <w:r>
        <w:rPr>
          <w:rFonts w:hint="cs"/>
          <w:rtl/>
        </w:rPr>
        <w:t xml:space="preserve">לא, </w:t>
      </w:r>
      <w:bookmarkStart w:id="69381" w:name="_ETM_Q122_278580"/>
      <w:bookmarkEnd w:id="69381"/>
      <w:r>
        <w:rPr>
          <w:rFonts w:hint="cs"/>
          <w:rtl/>
        </w:rPr>
        <w:t xml:space="preserve">לא, </w:t>
      </w:r>
      <w:bookmarkStart w:id="69382" w:name="_ETM_Q122_278670"/>
      <w:bookmarkEnd w:id="69382"/>
      <w:r>
        <w:rPr>
          <w:rFonts w:hint="cs"/>
          <w:rtl/>
        </w:rPr>
        <w:t xml:space="preserve">חמוד, </w:t>
      </w:r>
      <w:bookmarkStart w:id="69383" w:name="_ETM_Q122_280200"/>
      <w:bookmarkEnd w:id="69383"/>
      <w:r>
        <w:rPr>
          <w:rFonts w:hint="cs"/>
          <w:rtl/>
        </w:rPr>
        <w:t xml:space="preserve">אתה </w:t>
      </w:r>
      <w:bookmarkStart w:id="69384" w:name="_ETM_Q122_280380"/>
      <w:bookmarkEnd w:id="69384"/>
      <w:r>
        <w:rPr>
          <w:rFonts w:hint="cs"/>
          <w:rtl/>
        </w:rPr>
        <w:t xml:space="preserve">לא </w:t>
      </w:r>
      <w:bookmarkStart w:id="69385" w:name="_ETM_Q122_280499"/>
      <w:bookmarkEnd w:id="69385"/>
      <w:r>
        <w:rPr>
          <w:rFonts w:hint="cs"/>
          <w:rtl/>
        </w:rPr>
        <w:t xml:space="preserve">שומר </w:t>
      </w:r>
      <w:bookmarkStart w:id="69386" w:name="_ETM_Q122_280799"/>
      <w:bookmarkEnd w:id="69386"/>
      <w:r>
        <w:rPr>
          <w:rFonts w:hint="cs"/>
          <w:rtl/>
        </w:rPr>
        <w:t xml:space="preserve">עליהם. </w:t>
      </w:r>
      <w:bookmarkStart w:id="69387" w:name="_ETM_Q122_282230"/>
      <w:bookmarkEnd w:id="69387"/>
      <w:r>
        <w:rPr>
          <w:rFonts w:hint="cs"/>
          <w:rtl/>
        </w:rPr>
        <w:t xml:space="preserve">אתה </w:t>
      </w:r>
      <w:bookmarkStart w:id="69388" w:name="_ETM_Q122_282650"/>
      <w:bookmarkEnd w:id="69388"/>
      <w:r>
        <w:rPr>
          <w:rFonts w:hint="cs"/>
          <w:rtl/>
        </w:rPr>
        <w:t xml:space="preserve">זה </w:t>
      </w:r>
      <w:bookmarkStart w:id="69389" w:name="_ETM_Q122_282830"/>
      <w:bookmarkEnd w:id="69389"/>
      <w:r>
        <w:rPr>
          <w:rFonts w:hint="cs"/>
          <w:rtl/>
        </w:rPr>
        <w:t xml:space="preserve">ששמת </w:t>
      </w:r>
      <w:bookmarkStart w:id="69390" w:name="_ETM_Q122_283400"/>
      <w:bookmarkEnd w:id="69390"/>
      <w:r>
        <w:rPr>
          <w:rFonts w:hint="cs"/>
          <w:rtl/>
        </w:rPr>
        <w:t xml:space="preserve">אותם </w:t>
      </w:r>
      <w:bookmarkStart w:id="69391" w:name="_ETM_Q122_283730"/>
      <w:bookmarkEnd w:id="69391"/>
      <w:r>
        <w:rPr>
          <w:rFonts w:hint="cs"/>
          <w:rtl/>
        </w:rPr>
        <w:t xml:space="preserve">שם, </w:t>
      </w:r>
      <w:bookmarkStart w:id="69392" w:name="_ETM_Q122_284569"/>
      <w:bookmarkEnd w:id="69392"/>
      <w:r>
        <w:rPr>
          <w:rFonts w:hint="cs"/>
          <w:rtl/>
        </w:rPr>
        <w:t xml:space="preserve">אתה </w:t>
      </w:r>
      <w:bookmarkStart w:id="69393" w:name="_ETM_Q122_284840"/>
      <w:bookmarkEnd w:id="69393"/>
      <w:r>
        <w:rPr>
          <w:rFonts w:hint="cs"/>
          <w:rtl/>
        </w:rPr>
        <w:t xml:space="preserve">זה </w:t>
      </w:r>
      <w:bookmarkStart w:id="69394" w:name="_ETM_Q122_284990"/>
      <w:bookmarkEnd w:id="69394"/>
      <w:r>
        <w:rPr>
          <w:rFonts w:hint="cs"/>
          <w:rtl/>
        </w:rPr>
        <w:t xml:space="preserve">שממסמר </w:t>
      </w:r>
      <w:bookmarkStart w:id="69395" w:name="_ETM_Q122_285609"/>
      <w:bookmarkStart w:id="69396" w:name="_ETM_Q122_285789"/>
      <w:bookmarkEnd w:id="69395"/>
      <w:bookmarkEnd w:id="69396"/>
      <w:r>
        <w:rPr>
          <w:rFonts w:hint="cs"/>
          <w:rtl/>
        </w:rPr>
        <w:t xml:space="preserve">אותם </w:t>
      </w:r>
      <w:bookmarkStart w:id="69397" w:name="_ETM_Q122_286119"/>
      <w:bookmarkEnd w:id="69397"/>
      <w:r>
        <w:rPr>
          <w:rFonts w:hint="cs"/>
          <w:rtl/>
        </w:rPr>
        <w:t xml:space="preserve">שם. זה </w:t>
      </w:r>
      <w:bookmarkStart w:id="69398" w:name="_ETM_Q122_288650"/>
      <w:bookmarkEnd w:id="69398"/>
      <w:r>
        <w:rPr>
          <w:rFonts w:hint="cs"/>
          <w:rtl/>
        </w:rPr>
        <w:t xml:space="preserve">נוח </w:t>
      </w:r>
      <w:bookmarkStart w:id="69399" w:name="_ETM_Q122_289280"/>
      <w:bookmarkEnd w:id="69399"/>
      <w:r>
        <w:rPr>
          <w:rFonts w:hint="cs"/>
          <w:rtl/>
        </w:rPr>
        <w:t xml:space="preserve">לך, </w:t>
      </w:r>
      <w:bookmarkStart w:id="69400" w:name="_ETM_Q122_289549"/>
      <w:bookmarkEnd w:id="69400"/>
      <w:r>
        <w:rPr>
          <w:rFonts w:hint="cs"/>
          <w:rtl/>
        </w:rPr>
        <w:t xml:space="preserve">זה </w:t>
      </w:r>
      <w:bookmarkStart w:id="69401" w:name="_ETM_Q122_289670"/>
      <w:bookmarkEnd w:id="69401"/>
      <w:r>
        <w:rPr>
          <w:rFonts w:hint="cs"/>
          <w:rtl/>
        </w:rPr>
        <w:t xml:space="preserve">טוב </w:t>
      </w:r>
      <w:bookmarkStart w:id="69402" w:name="_ETM_Q122_289939"/>
      <w:bookmarkEnd w:id="69402"/>
      <w:r>
        <w:rPr>
          <w:rFonts w:hint="cs"/>
          <w:rtl/>
        </w:rPr>
        <w:t>לך, כי</w:t>
      </w:r>
      <w:bookmarkStart w:id="69403" w:name="_ETM_Q122_291369"/>
      <w:bookmarkStart w:id="69404" w:name="_ETM_Q122_292000"/>
      <w:bookmarkStart w:id="69405" w:name="_ETM_Q122_292300"/>
      <w:bookmarkEnd w:id="69403"/>
      <w:bookmarkEnd w:id="69404"/>
      <w:bookmarkEnd w:id="69405"/>
      <w:r>
        <w:rPr>
          <w:rFonts w:hint="cs"/>
          <w:rtl/>
        </w:rPr>
        <w:t xml:space="preserve"> </w:t>
      </w:r>
      <w:bookmarkStart w:id="69406" w:name="_ETM_Q122_292510"/>
      <w:bookmarkEnd w:id="69406"/>
      <w:r>
        <w:rPr>
          <w:rFonts w:hint="cs"/>
          <w:rtl/>
        </w:rPr>
        <w:t xml:space="preserve">ככל </w:t>
      </w:r>
      <w:bookmarkStart w:id="69407" w:name="_ETM_Q122_292870"/>
      <w:bookmarkEnd w:id="69407"/>
      <w:r>
        <w:rPr>
          <w:rFonts w:hint="cs"/>
          <w:rtl/>
        </w:rPr>
        <w:t xml:space="preserve">שאתה </w:t>
      </w:r>
      <w:bookmarkStart w:id="69408" w:name="_ETM_Q122_292970"/>
      <w:bookmarkEnd w:id="69408"/>
      <w:r>
        <w:rPr>
          <w:rFonts w:hint="cs"/>
          <w:rtl/>
        </w:rPr>
        <w:t xml:space="preserve">מחליש </w:t>
      </w:r>
      <w:bookmarkStart w:id="69409" w:name="_ETM_Q122_293450"/>
      <w:bookmarkEnd w:id="69409"/>
      <w:r>
        <w:rPr>
          <w:rFonts w:hint="cs"/>
          <w:rtl/>
        </w:rPr>
        <w:t xml:space="preserve">אותם </w:t>
      </w:r>
      <w:bookmarkStart w:id="69410" w:name="_ETM_Q122_293720"/>
      <w:bookmarkEnd w:id="69410"/>
      <w:r>
        <w:rPr>
          <w:rFonts w:hint="cs"/>
          <w:rtl/>
        </w:rPr>
        <w:t xml:space="preserve">יותר </w:t>
      </w:r>
      <w:bookmarkStart w:id="69411" w:name="_ETM_Q122_294560"/>
      <w:bookmarkEnd w:id="69411"/>
      <w:r>
        <w:rPr>
          <w:rFonts w:hint="cs"/>
          <w:rtl/>
        </w:rPr>
        <w:t xml:space="preserve">והם יותר רעבים ללחם ויותר </w:t>
      </w:r>
      <w:bookmarkStart w:id="69412" w:name="_ETM_Q122_295744"/>
      <w:bookmarkStart w:id="69413" w:name="_ETM_Q122_295190"/>
      <w:bookmarkStart w:id="69414" w:name="_ETM_Q122_295580"/>
      <w:bookmarkStart w:id="69415" w:name="_ETM_Q122_296060"/>
      <w:bookmarkStart w:id="69416" w:name="_ETM_Q122_296520"/>
      <w:bookmarkEnd w:id="69412"/>
      <w:bookmarkEnd w:id="69413"/>
      <w:bookmarkEnd w:id="69414"/>
      <w:bookmarkEnd w:id="69415"/>
      <w:bookmarkEnd w:id="69416"/>
      <w:r>
        <w:rPr>
          <w:rFonts w:hint="cs"/>
          <w:rtl/>
        </w:rPr>
        <w:t xml:space="preserve">מרגישים </w:t>
      </w:r>
      <w:bookmarkStart w:id="69417" w:name="_ETM_Q122_296969"/>
      <w:bookmarkEnd w:id="69417"/>
      <w:r>
        <w:rPr>
          <w:rFonts w:hint="cs"/>
          <w:rtl/>
        </w:rPr>
        <w:t xml:space="preserve">מקופחים </w:t>
      </w:r>
      <w:bookmarkStart w:id="69418" w:name="_ETM_Q122_297909"/>
      <w:bookmarkEnd w:id="69418"/>
      <w:r>
        <w:rPr>
          <w:rFonts w:hint="cs"/>
          <w:rtl/>
        </w:rPr>
        <w:t xml:space="preserve">ויותר </w:t>
      </w:r>
      <w:bookmarkStart w:id="69419" w:name="_ETM_Q122_298299"/>
      <w:bookmarkEnd w:id="69419"/>
      <w:r>
        <w:rPr>
          <w:rFonts w:hint="cs"/>
          <w:rtl/>
        </w:rPr>
        <w:t xml:space="preserve">חיים </w:t>
      </w:r>
      <w:bookmarkStart w:id="69420" w:name="_ETM_Q122_298749"/>
      <w:bookmarkEnd w:id="69420"/>
      <w:r>
        <w:rPr>
          <w:rFonts w:hint="cs"/>
          <w:rtl/>
        </w:rPr>
        <w:t xml:space="preserve">ב"אכלו לי ושתו לי" – כשהאמסלם שלך והקרעי הזה שלך </w:t>
      </w:r>
      <w:bookmarkStart w:id="69421" w:name="_ETM_Q122_304021"/>
      <w:bookmarkEnd w:id="69421"/>
      <w:r>
        <w:rPr>
          <w:rFonts w:hint="cs"/>
          <w:rtl/>
        </w:rPr>
        <w:t xml:space="preserve">והשופרות הבזויים האלה </w:t>
      </w:r>
      <w:bookmarkStart w:id="69422" w:name="_ETM_Q122_299079"/>
      <w:bookmarkStart w:id="69423" w:name="_ETM_Q122_299350"/>
      <w:bookmarkStart w:id="69424" w:name="_ETM_Q122_299590"/>
      <w:bookmarkStart w:id="69425" w:name="_ETM_Q122_300650"/>
      <w:bookmarkEnd w:id="69422"/>
      <w:bookmarkEnd w:id="69423"/>
      <w:bookmarkEnd w:id="69424"/>
      <w:bookmarkEnd w:id="69425"/>
      <w:r>
        <w:rPr>
          <w:rFonts w:hint="cs"/>
          <w:rtl/>
        </w:rPr>
        <w:t xml:space="preserve">שלך כל היום מפמפמים </w:t>
      </w:r>
      <w:bookmarkStart w:id="69426" w:name="_ETM_Q122_302070"/>
      <w:bookmarkStart w:id="69427" w:name="_ETM_Q122_302250"/>
      <w:bookmarkStart w:id="69428" w:name="_ETM_Q122_303030"/>
      <w:bookmarkStart w:id="69429" w:name="_ETM_Q122_304170"/>
      <w:bookmarkStart w:id="69430" w:name="_ETM_Q122_304830"/>
      <w:bookmarkStart w:id="69431" w:name="_ETM_Q122_305040"/>
      <w:bookmarkStart w:id="69432" w:name="_ETM_Q122_306409"/>
      <w:bookmarkStart w:id="69433" w:name="_ETM_Q122_306619"/>
      <w:bookmarkStart w:id="69434" w:name="_ETM_Q122_307279"/>
      <w:bookmarkStart w:id="69435" w:name="_ETM_Q122_307489"/>
      <w:bookmarkStart w:id="69436" w:name="_ETM_Q122_308739"/>
      <w:bookmarkStart w:id="69437" w:name="_ETM_Q122_308919"/>
      <w:bookmarkStart w:id="69438" w:name="_ETM_Q122_309230"/>
      <w:bookmarkStart w:id="69439" w:name="_ETM_Q122_309620"/>
      <w:bookmarkEnd w:id="69426"/>
      <w:bookmarkEnd w:id="69427"/>
      <w:bookmarkEnd w:id="69428"/>
      <w:bookmarkEnd w:id="69429"/>
      <w:bookmarkEnd w:id="69430"/>
      <w:bookmarkEnd w:id="69431"/>
      <w:bookmarkEnd w:id="69432"/>
      <w:bookmarkEnd w:id="69433"/>
      <w:bookmarkEnd w:id="69434"/>
      <w:bookmarkEnd w:id="69435"/>
      <w:bookmarkEnd w:id="69436"/>
      <w:bookmarkEnd w:id="69437"/>
      <w:bookmarkEnd w:id="69438"/>
      <w:bookmarkEnd w:id="69439"/>
      <w:r>
        <w:rPr>
          <w:rFonts w:hint="cs"/>
          <w:rtl/>
        </w:rPr>
        <w:t xml:space="preserve">לעם הזה למה </w:t>
      </w:r>
      <w:bookmarkStart w:id="69440" w:name="_ETM_Q122_309800"/>
      <w:bookmarkEnd w:id="69440"/>
      <w:r>
        <w:rPr>
          <w:rFonts w:hint="cs"/>
          <w:rtl/>
        </w:rPr>
        <w:t xml:space="preserve">אסור </w:t>
      </w:r>
      <w:bookmarkStart w:id="69441" w:name="_ETM_Q122_310129"/>
      <w:bookmarkEnd w:id="69441"/>
      <w:r>
        <w:rPr>
          <w:rFonts w:hint="cs"/>
          <w:rtl/>
        </w:rPr>
        <w:t xml:space="preserve">לו </w:t>
      </w:r>
      <w:bookmarkStart w:id="69442" w:name="_ETM_Q122_310310"/>
      <w:bookmarkEnd w:id="69442"/>
      <w:r>
        <w:rPr>
          <w:rFonts w:hint="cs"/>
          <w:rtl/>
        </w:rPr>
        <w:t xml:space="preserve">להיות </w:t>
      </w:r>
      <w:bookmarkStart w:id="69443" w:name="_ETM_Q122_310639"/>
      <w:bookmarkEnd w:id="69443"/>
      <w:r>
        <w:rPr>
          <w:rFonts w:hint="cs"/>
          <w:rtl/>
        </w:rPr>
        <w:t xml:space="preserve">ביחד – </w:t>
      </w:r>
      <w:bookmarkStart w:id="69444" w:name="_ETM_Q122_311450"/>
      <w:bookmarkEnd w:id="69444"/>
      <w:r>
        <w:rPr>
          <w:rFonts w:hint="cs"/>
          <w:rtl/>
        </w:rPr>
        <w:t xml:space="preserve">זה </w:t>
      </w:r>
      <w:bookmarkStart w:id="69445" w:name="_ETM_Q122_311900"/>
      <w:bookmarkEnd w:id="69445"/>
      <w:r>
        <w:rPr>
          <w:rFonts w:hint="cs"/>
          <w:rtl/>
        </w:rPr>
        <w:t xml:space="preserve">מה </w:t>
      </w:r>
      <w:bookmarkStart w:id="69446" w:name="_ETM_Q122_312050"/>
      <w:bookmarkEnd w:id="69446"/>
      <w:r>
        <w:rPr>
          <w:rFonts w:hint="cs"/>
          <w:rtl/>
        </w:rPr>
        <w:t xml:space="preserve">שמוביל </w:t>
      </w:r>
      <w:bookmarkStart w:id="69447" w:name="_ETM_Q122_312470"/>
      <w:bookmarkEnd w:id="69447"/>
      <w:r>
        <w:rPr>
          <w:rFonts w:hint="cs"/>
          <w:rtl/>
        </w:rPr>
        <w:t xml:space="preserve">אותך </w:t>
      </w:r>
      <w:bookmarkStart w:id="69448" w:name="_ETM_Q122_312709"/>
      <w:bookmarkEnd w:id="69448"/>
      <w:r>
        <w:rPr>
          <w:rFonts w:hint="cs"/>
          <w:rtl/>
        </w:rPr>
        <w:t>לניצחונות</w:t>
      </w:r>
      <w:bookmarkStart w:id="69449" w:name="_ETM_Q122_313159"/>
      <w:bookmarkStart w:id="69450" w:name="_ETM_Q122_313310"/>
      <w:bookmarkEnd w:id="69449"/>
      <w:bookmarkEnd w:id="69450"/>
      <w:r>
        <w:rPr>
          <w:rFonts w:hint="cs"/>
          <w:rtl/>
        </w:rPr>
        <w:t xml:space="preserve"> </w:t>
      </w:r>
      <w:bookmarkStart w:id="69451" w:name="_ETM_Q122_313799"/>
      <w:bookmarkEnd w:id="69451"/>
      <w:r>
        <w:rPr>
          <w:rFonts w:hint="cs"/>
          <w:rtl/>
        </w:rPr>
        <w:t xml:space="preserve">בבחירות. </w:t>
      </w:r>
      <w:bookmarkStart w:id="69452" w:name="_ETM_Q122_314120"/>
      <w:bookmarkEnd w:id="69452"/>
      <w:r>
        <w:rPr>
          <w:rFonts w:hint="cs"/>
          <w:rtl/>
        </w:rPr>
        <w:t xml:space="preserve">זה </w:t>
      </w:r>
      <w:bookmarkStart w:id="69453" w:name="_ETM_Q122_314389"/>
      <w:bookmarkEnd w:id="69453"/>
      <w:r>
        <w:rPr>
          <w:rFonts w:hint="cs"/>
          <w:rtl/>
        </w:rPr>
        <w:t xml:space="preserve">נגמר. </w:t>
      </w:r>
      <w:bookmarkStart w:id="69454" w:name="_ETM_Q122_315620"/>
      <w:bookmarkStart w:id="69455" w:name="_ETM_Q122_314494"/>
      <w:bookmarkStart w:id="69456" w:name="_ETM_Q122_314584"/>
      <w:bookmarkStart w:id="69457" w:name="_ETM_Q122_314653"/>
      <w:bookmarkStart w:id="69458" w:name="_ETM_Q122_314702"/>
      <w:bookmarkEnd w:id="69454"/>
      <w:bookmarkEnd w:id="69455"/>
      <w:bookmarkEnd w:id="69456"/>
      <w:bookmarkEnd w:id="69457"/>
      <w:bookmarkEnd w:id="69458"/>
      <w:r>
        <w:rPr>
          <w:rFonts w:hint="cs"/>
          <w:rtl/>
        </w:rPr>
        <w:t xml:space="preserve">נגמר. </w:t>
      </w:r>
      <w:bookmarkStart w:id="69459" w:name="_ETM_Q122_316819"/>
      <w:bookmarkEnd w:id="69459"/>
      <w:r>
        <w:rPr>
          <w:rFonts w:hint="cs"/>
          <w:rtl/>
        </w:rPr>
        <w:t xml:space="preserve">אין </w:t>
      </w:r>
      <w:bookmarkStart w:id="69460" w:name="_ETM_Q122_317359"/>
      <w:bookmarkEnd w:id="69460"/>
      <w:r>
        <w:rPr>
          <w:rFonts w:hint="cs"/>
          <w:rtl/>
        </w:rPr>
        <w:t xml:space="preserve">לכם </w:t>
      </w:r>
      <w:bookmarkStart w:id="69461" w:name="_ETM_Q122_317780"/>
      <w:bookmarkEnd w:id="69461"/>
      <w:r>
        <w:rPr>
          <w:rFonts w:hint="cs"/>
          <w:rtl/>
        </w:rPr>
        <w:t xml:space="preserve">את </w:t>
      </w:r>
      <w:bookmarkStart w:id="69462" w:name="_ETM_Q122_317900"/>
      <w:bookmarkEnd w:id="69462"/>
      <w:r>
        <w:rPr>
          <w:rFonts w:hint="cs"/>
          <w:rtl/>
        </w:rPr>
        <w:t xml:space="preserve">זה </w:t>
      </w:r>
      <w:bookmarkStart w:id="69463" w:name="_ETM_Q122_318019"/>
      <w:bookmarkEnd w:id="69463"/>
      <w:r>
        <w:rPr>
          <w:rFonts w:hint="cs"/>
          <w:rtl/>
        </w:rPr>
        <w:t xml:space="preserve">יותר, </w:t>
      </w:r>
      <w:bookmarkStart w:id="69464" w:name="_ETM_Q122_318379"/>
      <w:bookmarkEnd w:id="69464"/>
      <w:r>
        <w:rPr>
          <w:rFonts w:hint="cs"/>
          <w:rtl/>
        </w:rPr>
        <w:t xml:space="preserve">ממשלת </w:t>
      </w:r>
      <w:bookmarkStart w:id="69465" w:name="_ETM_Q122_318919"/>
      <w:bookmarkEnd w:id="69465"/>
      <w:r>
        <w:rPr>
          <w:rFonts w:hint="cs"/>
          <w:rtl/>
        </w:rPr>
        <w:t>ישראל. ה</w:t>
      </w:r>
      <w:bookmarkStart w:id="69466" w:name="_ETM_Q122_319519"/>
      <w:bookmarkEnd w:id="69466"/>
      <w:r>
        <w:rPr>
          <w:rFonts w:hint="cs"/>
          <w:rtl/>
        </w:rPr>
        <w:t xml:space="preserve">סיפור </w:t>
      </w:r>
      <w:bookmarkStart w:id="69467" w:name="_ETM_Q122_320090"/>
      <w:bookmarkEnd w:id="69467"/>
      <w:r>
        <w:rPr>
          <w:rFonts w:hint="cs"/>
          <w:rtl/>
        </w:rPr>
        <w:t xml:space="preserve">הזה </w:t>
      </w:r>
      <w:bookmarkStart w:id="69468" w:name="_ETM_Q122_320959"/>
      <w:bookmarkEnd w:id="69468"/>
      <w:r>
        <w:rPr>
          <w:rFonts w:hint="cs"/>
          <w:rtl/>
        </w:rPr>
        <w:t xml:space="preserve">תם </w:t>
      </w:r>
      <w:bookmarkStart w:id="69469" w:name="_ETM_Q122_321980"/>
      <w:bookmarkEnd w:id="69469"/>
      <w:r>
        <w:rPr>
          <w:rFonts w:hint="cs"/>
          <w:rtl/>
        </w:rPr>
        <w:t xml:space="preserve">ונשלם. </w:t>
      </w:r>
      <w:bookmarkStart w:id="69470" w:name="_ETM_Q122_322790"/>
      <w:bookmarkEnd w:id="69470"/>
      <w:r>
        <w:rPr>
          <w:rFonts w:hint="cs"/>
          <w:rtl/>
        </w:rPr>
        <w:t xml:space="preserve">אנחנו </w:t>
      </w:r>
      <w:bookmarkStart w:id="69471" w:name="_ETM_Q122_323029"/>
      <w:bookmarkEnd w:id="69471"/>
      <w:r>
        <w:rPr>
          <w:rFonts w:hint="cs"/>
          <w:rtl/>
        </w:rPr>
        <w:t xml:space="preserve">נחשוף </w:t>
      </w:r>
      <w:bookmarkStart w:id="69472" w:name="_ETM_Q122_323599"/>
      <w:bookmarkEnd w:id="69472"/>
      <w:r>
        <w:rPr>
          <w:rFonts w:hint="cs"/>
          <w:rtl/>
        </w:rPr>
        <w:t xml:space="preserve">את </w:t>
      </w:r>
      <w:bookmarkStart w:id="69473" w:name="_ETM_Q122_323719"/>
      <w:bookmarkEnd w:id="69473"/>
      <w:r>
        <w:rPr>
          <w:rFonts w:hint="cs"/>
          <w:rtl/>
        </w:rPr>
        <w:t xml:space="preserve">השקר, </w:t>
      </w:r>
      <w:bookmarkStart w:id="69474" w:name="_ETM_Q122_325190"/>
      <w:bookmarkEnd w:id="69474"/>
      <w:r>
        <w:rPr>
          <w:rFonts w:hint="cs"/>
          <w:rtl/>
        </w:rPr>
        <w:t xml:space="preserve">נחשוף </w:t>
      </w:r>
      <w:bookmarkStart w:id="69475" w:name="_ETM_Q122_326060"/>
      <w:bookmarkEnd w:id="69475"/>
      <w:r>
        <w:rPr>
          <w:rFonts w:hint="cs"/>
          <w:rtl/>
        </w:rPr>
        <w:t xml:space="preserve">את </w:t>
      </w:r>
      <w:bookmarkStart w:id="69476" w:name="_ETM_Q122_326210"/>
      <w:bookmarkEnd w:id="69476"/>
      <w:r>
        <w:rPr>
          <w:rFonts w:hint="cs"/>
          <w:rtl/>
        </w:rPr>
        <w:t xml:space="preserve">השקר </w:t>
      </w:r>
      <w:bookmarkStart w:id="69477" w:name="_ETM_Q122_326930"/>
      <w:bookmarkEnd w:id="69477"/>
      <w:r>
        <w:rPr>
          <w:rFonts w:hint="cs"/>
          <w:rtl/>
        </w:rPr>
        <w:t>שלכם.</w:t>
      </w:r>
    </w:p>
    <w:p w:rsidR="00BB59CD" w:rsidRDefault="00BB59CD" w:rsidP="00BB59CD">
      <w:pPr>
        <w:rPr>
          <w:rtl/>
        </w:rPr>
      </w:pPr>
      <w:bookmarkStart w:id="69478" w:name="_ETM_Q122_332622"/>
      <w:bookmarkStart w:id="69479" w:name="_ETM_Q122_332707"/>
      <w:bookmarkEnd w:id="69478"/>
      <w:bookmarkEnd w:id="69479"/>
    </w:p>
    <w:p w:rsidR="00BB59CD" w:rsidRDefault="00BB59CD" w:rsidP="00A335DD">
      <w:pPr>
        <w:rPr>
          <w:rtl/>
        </w:rPr>
      </w:pPr>
      <w:bookmarkStart w:id="69480" w:name="_ETM_Q122_332735"/>
      <w:bookmarkStart w:id="69481" w:name="_ETM_Q122_332818"/>
      <w:bookmarkStart w:id="69482" w:name="_ETM_Q122_330560"/>
      <w:bookmarkEnd w:id="69480"/>
      <w:bookmarkEnd w:id="69481"/>
      <w:bookmarkEnd w:id="69482"/>
      <w:r>
        <w:rPr>
          <w:rFonts w:hint="cs"/>
          <w:rtl/>
        </w:rPr>
        <w:t xml:space="preserve">רק </w:t>
      </w:r>
      <w:bookmarkStart w:id="69483" w:name="_ETM_Q122_331010"/>
      <w:bookmarkEnd w:id="69483"/>
      <w:r>
        <w:rPr>
          <w:rFonts w:hint="cs"/>
          <w:rtl/>
        </w:rPr>
        <w:t>רע.</w:t>
      </w:r>
      <w:bookmarkStart w:id="69484" w:name="_ETM_Q122_331900"/>
      <w:bookmarkEnd w:id="69484"/>
      <w:r>
        <w:rPr>
          <w:rFonts w:hint="cs"/>
          <w:rtl/>
        </w:rPr>
        <w:t xml:space="preserve"> לא, </w:t>
      </w:r>
      <w:bookmarkStart w:id="69485" w:name="_ETM_Q122_332049"/>
      <w:bookmarkEnd w:id="69485"/>
      <w:r>
        <w:rPr>
          <w:rFonts w:hint="cs"/>
          <w:rtl/>
        </w:rPr>
        <w:t xml:space="preserve">באמת, </w:t>
      </w:r>
      <w:bookmarkStart w:id="69486" w:name="_ETM_Q122_332379"/>
      <w:bookmarkEnd w:id="69486"/>
      <w:r>
        <w:rPr>
          <w:rFonts w:hint="cs"/>
          <w:rtl/>
        </w:rPr>
        <w:t xml:space="preserve">אני </w:t>
      </w:r>
      <w:bookmarkStart w:id="69487" w:name="_ETM_Q122_332499"/>
      <w:bookmarkEnd w:id="69487"/>
      <w:r>
        <w:rPr>
          <w:rFonts w:hint="cs"/>
          <w:rtl/>
        </w:rPr>
        <w:t xml:space="preserve">מנסה </w:t>
      </w:r>
      <w:bookmarkStart w:id="69488" w:name="_ETM_Q122_333040"/>
      <w:bookmarkEnd w:id="69488"/>
      <w:r>
        <w:rPr>
          <w:rFonts w:hint="cs"/>
          <w:rtl/>
        </w:rPr>
        <w:t xml:space="preserve">לחשוב, אני </w:t>
      </w:r>
      <w:bookmarkStart w:id="69489" w:name="_ETM_Q122_334819"/>
      <w:bookmarkStart w:id="69490" w:name="_ETM_Q122_334909"/>
      <w:bookmarkEnd w:id="69489"/>
      <w:bookmarkEnd w:id="69490"/>
      <w:r>
        <w:rPr>
          <w:rFonts w:hint="cs"/>
          <w:rtl/>
        </w:rPr>
        <w:t xml:space="preserve">אומרת: </w:t>
      </w:r>
      <w:bookmarkStart w:id="69491" w:name="_ETM_Q122_335150"/>
      <w:bookmarkEnd w:id="69491"/>
      <w:r w:rsidR="00A335DD">
        <w:rPr>
          <w:rFonts w:hint="cs"/>
          <w:rtl/>
        </w:rPr>
        <w:t>ו</w:t>
      </w:r>
      <w:r>
        <w:rPr>
          <w:rFonts w:hint="cs"/>
          <w:rtl/>
        </w:rPr>
        <w:t xml:space="preserve">ואו, </w:t>
      </w:r>
      <w:bookmarkStart w:id="69492" w:name="_ETM_Q122_335629"/>
      <w:bookmarkEnd w:id="69492"/>
      <w:r>
        <w:rPr>
          <w:rFonts w:hint="cs"/>
          <w:rtl/>
        </w:rPr>
        <w:t xml:space="preserve">באתי </w:t>
      </w:r>
      <w:bookmarkStart w:id="69493" w:name="_ETM_Q122_335989"/>
      <w:bookmarkEnd w:id="69493"/>
      <w:r>
        <w:rPr>
          <w:rFonts w:hint="cs"/>
          <w:rtl/>
        </w:rPr>
        <w:t xml:space="preserve">מהצד </w:t>
      </w:r>
      <w:bookmarkStart w:id="69494" w:name="_ETM_Q122_336530"/>
      <w:bookmarkEnd w:id="69494"/>
      <w:r>
        <w:rPr>
          <w:rFonts w:hint="cs"/>
          <w:rtl/>
        </w:rPr>
        <w:t xml:space="preserve">הזה, </w:t>
      </w:r>
      <w:bookmarkStart w:id="69495" w:name="_ETM_Q122_338569"/>
      <w:bookmarkEnd w:id="69495"/>
      <w:r>
        <w:rPr>
          <w:rFonts w:hint="cs"/>
          <w:rtl/>
        </w:rPr>
        <w:t xml:space="preserve">אבל </w:t>
      </w:r>
      <w:bookmarkStart w:id="69496" w:name="_ETM_Q122_338840"/>
      <w:bookmarkEnd w:id="69496"/>
      <w:r>
        <w:rPr>
          <w:rFonts w:hint="cs"/>
          <w:rtl/>
        </w:rPr>
        <w:t xml:space="preserve">ואללה, </w:t>
      </w:r>
      <w:bookmarkStart w:id="69497" w:name="_ETM_Q122_339079"/>
      <w:bookmarkEnd w:id="69497"/>
      <w:r>
        <w:rPr>
          <w:rFonts w:hint="cs"/>
          <w:rtl/>
        </w:rPr>
        <w:t xml:space="preserve">לא, </w:t>
      </w:r>
      <w:bookmarkStart w:id="69498" w:name="_ETM_Q122_339510"/>
      <w:bookmarkEnd w:id="69498"/>
      <w:r>
        <w:rPr>
          <w:rFonts w:hint="cs"/>
          <w:rtl/>
        </w:rPr>
        <w:t xml:space="preserve">לא </w:t>
      </w:r>
      <w:bookmarkStart w:id="69499" w:name="_ETM_Q122_339900"/>
      <w:bookmarkStart w:id="69500" w:name="_ETM_Q122_340080"/>
      <w:bookmarkEnd w:id="69499"/>
      <w:bookmarkEnd w:id="69500"/>
      <w:r>
        <w:rPr>
          <w:rFonts w:hint="cs"/>
          <w:rtl/>
        </w:rPr>
        <w:t xml:space="preserve">מכירה. </w:t>
      </w:r>
      <w:bookmarkStart w:id="69501" w:name="_ETM_Q122_340439"/>
      <w:bookmarkStart w:id="69502" w:name="_ETM_Q122_340620"/>
      <w:bookmarkStart w:id="69503" w:name="_ETM_Q122_340830"/>
      <w:bookmarkEnd w:id="69501"/>
      <w:bookmarkEnd w:id="69502"/>
      <w:bookmarkEnd w:id="69503"/>
      <w:r>
        <w:rPr>
          <w:rFonts w:hint="cs"/>
          <w:rtl/>
        </w:rPr>
        <w:t xml:space="preserve">באמת, </w:t>
      </w:r>
      <w:bookmarkStart w:id="69504" w:name="_ETM_Q122_341069"/>
      <w:bookmarkEnd w:id="69504"/>
      <w:r>
        <w:rPr>
          <w:rFonts w:hint="cs"/>
          <w:rtl/>
        </w:rPr>
        <w:t xml:space="preserve">אין </w:t>
      </w:r>
      <w:bookmarkStart w:id="69505" w:name="_ETM_Q122_341159"/>
      <w:bookmarkEnd w:id="69505"/>
      <w:r>
        <w:rPr>
          <w:rFonts w:hint="cs"/>
          <w:rtl/>
        </w:rPr>
        <w:t xml:space="preserve">לי </w:t>
      </w:r>
      <w:bookmarkStart w:id="69506" w:name="_ETM_Q122_341220"/>
      <w:bookmarkEnd w:id="69506"/>
      <w:r>
        <w:rPr>
          <w:rFonts w:hint="cs"/>
          <w:rtl/>
        </w:rPr>
        <w:t>מושג.</w:t>
      </w:r>
      <w:bookmarkStart w:id="69507" w:name="_ETM_Q122_341549"/>
      <w:bookmarkStart w:id="69508" w:name="_ETM_Q122_341639"/>
      <w:bookmarkEnd w:id="69507"/>
      <w:bookmarkEnd w:id="69508"/>
      <w:r>
        <w:rPr>
          <w:rFonts w:hint="cs"/>
          <w:rtl/>
        </w:rPr>
        <w:t xml:space="preserve"> </w:t>
      </w:r>
      <w:bookmarkStart w:id="69509" w:name="_ETM_Q122_341879"/>
      <w:bookmarkEnd w:id="69509"/>
      <w:r>
        <w:rPr>
          <w:rFonts w:hint="cs"/>
          <w:rtl/>
        </w:rPr>
        <w:t xml:space="preserve">30 </w:t>
      </w:r>
      <w:bookmarkStart w:id="69510" w:name="_ETM_Q122_342209"/>
      <w:bookmarkEnd w:id="69510"/>
      <w:r>
        <w:rPr>
          <w:rFonts w:hint="cs"/>
          <w:rtl/>
        </w:rPr>
        <w:t xml:space="preserve">שנה </w:t>
      </w:r>
      <w:bookmarkStart w:id="69511" w:name="_ETM_Q122_342389"/>
      <w:bookmarkEnd w:id="69511"/>
      <w:r>
        <w:rPr>
          <w:rFonts w:hint="cs"/>
          <w:rtl/>
        </w:rPr>
        <w:t xml:space="preserve">הייתי </w:t>
      </w:r>
      <w:bookmarkStart w:id="69512" w:name="_ETM_Q122_342599"/>
      <w:bookmarkEnd w:id="69512"/>
      <w:r>
        <w:rPr>
          <w:rFonts w:hint="cs"/>
          <w:rtl/>
        </w:rPr>
        <w:t xml:space="preserve">בליכוד, </w:t>
      </w:r>
      <w:bookmarkStart w:id="69513" w:name="_ETM_Q122_342989"/>
      <w:bookmarkEnd w:id="69513"/>
      <w:r>
        <w:rPr>
          <w:rFonts w:hint="cs"/>
          <w:rtl/>
        </w:rPr>
        <w:t xml:space="preserve">אני </w:t>
      </w:r>
      <w:bookmarkStart w:id="69514" w:name="_ETM_Q122_343139"/>
      <w:bookmarkEnd w:id="69514"/>
      <w:r>
        <w:rPr>
          <w:rFonts w:hint="cs"/>
          <w:rtl/>
        </w:rPr>
        <w:t xml:space="preserve">לא </w:t>
      </w:r>
      <w:bookmarkStart w:id="69515" w:name="_ETM_Q122_343230"/>
      <w:bookmarkEnd w:id="69515"/>
      <w:r>
        <w:rPr>
          <w:rFonts w:hint="cs"/>
          <w:rtl/>
        </w:rPr>
        <w:t xml:space="preserve">יודעת </w:t>
      </w:r>
      <w:bookmarkStart w:id="69516" w:name="_ETM_Q122_343379"/>
      <w:bookmarkEnd w:id="69516"/>
      <w:r>
        <w:rPr>
          <w:rFonts w:hint="cs"/>
          <w:rtl/>
        </w:rPr>
        <w:t xml:space="preserve">מי </w:t>
      </w:r>
      <w:bookmarkStart w:id="69517" w:name="_ETM_Q122_343470"/>
      <w:bookmarkEnd w:id="69517"/>
      <w:r>
        <w:rPr>
          <w:rFonts w:hint="cs"/>
          <w:rtl/>
        </w:rPr>
        <w:t xml:space="preserve">זה </w:t>
      </w:r>
      <w:bookmarkStart w:id="69518" w:name="_ETM_Q122_343769"/>
      <w:bookmarkEnd w:id="69518"/>
      <w:r>
        <w:rPr>
          <w:rFonts w:hint="cs"/>
          <w:rtl/>
        </w:rPr>
        <w:t xml:space="preserve">משה </w:t>
      </w:r>
      <w:bookmarkStart w:id="69519" w:name="_ETM_Q122_344099"/>
      <w:bookmarkEnd w:id="69519"/>
      <w:r>
        <w:rPr>
          <w:rFonts w:hint="cs"/>
          <w:rtl/>
        </w:rPr>
        <w:t xml:space="preserve">סעדה, </w:t>
      </w:r>
      <w:bookmarkStart w:id="69520" w:name="_ETM_Q122_344730"/>
      <w:bookmarkEnd w:id="69520"/>
      <w:r>
        <w:rPr>
          <w:rFonts w:hint="cs"/>
          <w:rtl/>
        </w:rPr>
        <w:t xml:space="preserve">לא </w:t>
      </w:r>
      <w:bookmarkStart w:id="69521" w:name="_ETM_Q122_344849"/>
      <w:bookmarkEnd w:id="69521"/>
      <w:r>
        <w:rPr>
          <w:rFonts w:hint="cs"/>
          <w:rtl/>
        </w:rPr>
        <w:t xml:space="preserve">מכירה </w:t>
      </w:r>
      <w:bookmarkStart w:id="69522" w:name="_ETM_Q122_345090"/>
      <w:bookmarkEnd w:id="69522"/>
      <w:r>
        <w:rPr>
          <w:rFonts w:hint="cs"/>
          <w:rtl/>
        </w:rPr>
        <w:t xml:space="preserve">אותו </w:t>
      </w:r>
      <w:bookmarkStart w:id="69523" w:name="_ETM_Q122_345299"/>
      <w:bookmarkEnd w:id="69523"/>
      <w:r>
        <w:rPr>
          <w:rFonts w:hint="cs"/>
          <w:rtl/>
        </w:rPr>
        <w:t xml:space="preserve">מהליכוד, </w:t>
      </w:r>
      <w:bookmarkStart w:id="69524" w:name="_ETM_Q122_346389"/>
      <w:bookmarkEnd w:id="69524"/>
      <w:r>
        <w:rPr>
          <w:rFonts w:hint="cs"/>
          <w:rtl/>
        </w:rPr>
        <w:t xml:space="preserve">באמת; </w:t>
      </w:r>
      <w:bookmarkStart w:id="69525" w:name="_ETM_Q122_347019"/>
      <w:bookmarkEnd w:id="69525"/>
      <w:r>
        <w:rPr>
          <w:rFonts w:hint="cs"/>
          <w:rtl/>
        </w:rPr>
        <w:t xml:space="preserve">דן </w:t>
      </w:r>
      <w:bookmarkStart w:id="69526" w:name="_ETM_Q122_347379"/>
      <w:bookmarkEnd w:id="69526"/>
      <w:r>
        <w:rPr>
          <w:rFonts w:hint="cs"/>
          <w:rtl/>
        </w:rPr>
        <w:t xml:space="preserve">אילוז – </w:t>
      </w:r>
      <w:bookmarkStart w:id="69527" w:name="_ETM_Q122_347709"/>
      <w:bookmarkEnd w:id="69527"/>
      <w:r>
        <w:rPr>
          <w:rFonts w:hint="cs"/>
          <w:rtl/>
        </w:rPr>
        <w:t xml:space="preserve">לא </w:t>
      </w:r>
      <w:bookmarkStart w:id="69528" w:name="_ETM_Q122_347860"/>
      <w:bookmarkEnd w:id="69528"/>
      <w:r>
        <w:rPr>
          <w:rFonts w:hint="cs"/>
          <w:rtl/>
        </w:rPr>
        <w:t xml:space="preserve">יודעת </w:t>
      </w:r>
      <w:bookmarkStart w:id="69529" w:name="_ETM_Q122_348069"/>
      <w:bookmarkEnd w:id="69529"/>
      <w:r>
        <w:rPr>
          <w:rFonts w:hint="cs"/>
          <w:rtl/>
        </w:rPr>
        <w:t xml:space="preserve">מי </w:t>
      </w:r>
      <w:bookmarkStart w:id="69530" w:name="_ETM_Q122_348220"/>
      <w:bookmarkEnd w:id="69530"/>
      <w:r>
        <w:rPr>
          <w:rFonts w:hint="cs"/>
          <w:rtl/>
        </w:rPr>
        <w:t xml:space="preserve">זה, </w:t>
      </w:r>
      <w:bookmarkStart w:id="69531" w:name="_ETM_Q122_348400"/>
      <w:bookmarkEnd w:id="69531"/>
      <w:r>
        <w:rPr>
          <w:rFonts w:hint="cs"/>
          <w:rtl/>
        </w:rPr>
        <w:t xml:space="preserve">בחיי; </w:t>
      </w:r>
      <w:bookmarkStart w:id="69532" w:name="_ETM_Q122_348819"/>
      <w:bookmarkEnd w:id="69532"/>
      <w:r>
        <w:rPr>
          <w:rFonts w:hint="cs"/>
          <w:rtl/>
        </w:rPr>
        <w:t xml:space="preserve">מי </w:t>
      </w:r>
      <w:bookmarkStart w:id="69533" w:name="_ETM_Q122_348940"/>
      <w:bookmarkEnd w:id="69533"/>
      <w:r>
        <w:rPr>
          <w:rFonts w:hint="cs"/>
          <w:rtl/>
        </w:rPr>
        <w:t xml:space="preserve">זה </w:t>
      </w:r>
      <w:bookmarkStart w:id="69534" w:name="_ETM_Q122_349060"/>
      <w:bookmarkEnd w:id="69534"/>
      <w:r>
        <w:rPr>
          <w:rFonts w:hint="cs"/>
          <w:rtl/>
        </w:rPr>
        <w:t xml:space="preserve">שמה? </w:t>
      </w:r>
      <w:bookmarkStart w:id="69535" w:name="_ETM_Q122_349419"/>
      <w:bookmarkEnd w:id="69535"/>
      <w:r>
        <w:rPr>
          <w:rFonts w:hint="cs"/>
          <w:rtl/>
        </w:rPr>
        <w:t xml:space="preserve">מי </w:t>
      </w:r>
      <w:bookmarkStart w:id="69536" w:name="_ETM_Q122_349569"/>
      <w:bookmarkEnd w:id="69536"/>
      <w:r>
        <w:rPr>
          <w:rFonts w:hint="cs"/>
          <w:rtl/>
        </w:rPr>
        <w:t xml:space="preserve">עוד </w:t>
      </w:r>
      <w:bookmarkStart w:id="69537" w:name="_ETM_Q122_349690"/>
      <w:bookmarkEnd w:id="69537"/>
      <w:r>
        <w:rPr>
          <w:rFonts w:hint="cs"/>
          <w:rtl/>
        </w:rPr>
        <w:t xml:space="preserve">יש </w:t>
      </w:r>
      <w:bookmarkStart w:id="69538" w:name="_ETM_Q122_349810"/>
      <w:bookmarkEnd w:id="69538"/>
      <w:r>
        <w:rPr>
          <w:rFonts w:hint="cs"/>
          <w:rtl/>
        </w:rPr>
        <w:t xml:space="preserve">שם? </w:t>
      </w:r>
      <w:bookmarkStart w:id="69539" w:name="_ETM_Q122_349959"/>
      <w:bookmarkEnd w:id="69539"/>
      <w:r>
        <w:rPr>
          <w:rFonts w:hint="cs"/>
          <w:rtl/>
        </w:rPr>
        <w:t xml:space="preserve">חנוך </w:t>
      </w:r>
      <w:bookmarkStart w:id="69540" w:name="_ETM_Q122_350290"/>
      <w:bookmarkEnd w:id="69540"/>
      <w:r>
        <w:rPr>
          <w:rFonts w:hint="cs"/>
          <w:rtl/>
        </w:rPr>
        <w:t xml:space="preserve">מלביצקי, </w:t>
      </w:r>
      <w:bookmarkStart w:id="69541" w:name="_ETM_Q122_350889"/>
      <w:bookmarkStart w:id="69542" w:name="_ETM_Q122_351010"/>
      <w:bookmarkStart w:id="69543" w:name="_ETM_Q122_351250"/>
      <w:bookmarkStart w:id="69544" w:name="_ETM_Q122_351370"/>
      <w:bookmarkEnd w:id="69541"/>
      <w:bookmarkEnd w:id="69542"/>
      <w:bookmarkEnd w:id="69543"/>
      <w:bookmarkEnd w:id="69544"/>
      <w:r>
        <w:rPr>
          <w:rFonts w:hint="cs"/>
          <w:rtl/>
        </w:rPr>
        <w:t xml:space="preserve">בחיי, </w:t>
      </w:r>
      <w:bookmarkStart w:id="69545" w:name="_ETM_Q122_351760"/>
      <w:bookmarkEnd w:id="69545"/>
      <w:r>
        <w:rPr>
          <w:rFonts w:hint="cs"/>
          <w:rtl/>
        </w:rPr>
        <w:t xml:space="preserve">לא </w:t>
      </w:r>
      <w:bookmarkStart w:id="69546" w:name="_ETM_Q122_351849"/>
      <w:bookmarkEnd w:id="69546"/>
      <w:r>
        <w:rPr>
          <w:rFonts w:hint="cs"/>
          <w:rtl/>
        </w:rPr>
        <w:t xml:space="preserve">יודעת </w:t>
      </w:r>
      <w:bookmarkStart w:id="69547" w:name="_ETM_Q122_352030"/>
      <w:bookmarkEnd w:id="69547"/>
      <w:r>
        <w:rPr>
          <w:rFonts w:hint="cs"/>
          <w:rtl/>
        </w:rPr>
        <w:t xml:space="preserve">מי </w:t>
      </w:r>
      <w:bookmarkStart w:id="69548" w:name="_ETM_Q122_352180"/>
      <w:bookmarkEnd w:id="69548"/>
      <w:r>
        <w:rPr>
          <w:rFonts w:hint="cs"/>
          <w:rtl/>
        </w:rPr>
        <w:t xml:space="preserve">הם. </w:t>
      </w:r>
      <w:bookmarkStart w:id="69549" w:name="_ETM_Q122_353080"/>
      <w:bookmarkEnd w:id="69549"/>
      <w:r>
        <w:rPr>
          <w:rFonts w:hint="cs"/>
          <w:rtl/>
        </w:rPr>
        <w:t xml:space="preserve">30 </w:t>
      </w:r>
      <w:bookmarkStart w:id="69550" w:name="_ETM_Q122_353410"/>
      <w:bookmarkEnd w:id="69550"/>
      <w:r>
        <w:rPr>
          <w:rFonts w:hint="cs"/>
          <w:rtl/>
        </w:rPr>
        <w:t xml:space="preserve">שנה </w:t>
      </w:r>
      <w:bookmarkStart w:id="69551" w:name="_ETM_Q122_353590"/>
      <w:bookmarkEnd w:id="69551"/>
      <w:r>
        <w:rPr>
          <w:rFonts w:hint="cs"/>
          <w:rtl/>
        </w:rPr>
        <w:t xml:space="preserve">הייתי </w:t>
      </w:r>
      <w:bookmarkStart w:id="69552" w:name="_ETM_Q122_353770"/>
      <w:bookmarkEnd w:id="69552"/>
      <w:r>
        <w:rPr>
          <w:rFonts w:hint="cs"/>
          <w:rtl/>
        </w:rPr>
        <w:t xml:space="preserve">בליכוד. </w:t>
      </w:r>
      <w:bookmarkStart w:id="69553" w:name="_ETM_Q122_356636"/>
      <w:bookmarkEnd w:id="69553"/>
      <w:r>
        <w:rPr>
          <w:rFonts w:hint="cs"/>
          <w:rtl/>
        </w:rPr>
        <w:t xml:space="preserve">30 שנה, </w:t>
      </w:r>
      <w:bookmarkStart w:id="69554" w:name="_ETM_Q122_356180"/>
      <w:bookmarkEnd w:id="69554"/>
      <w:r>
        <w:rPr>
          <w:rFonts w:hint="cs"/>
          <w:rtl/>
        </w:rPr>
        <w:t xml:space="preserve">לא </w:t>
      </w:r>
      <w:bookmarkStart w:id="69555" w:name="_ETM_Q122_356360"/>
      <w:bookmarkEnd w:id="69555"/>
      <w:r>
        <w:rPr>
          <w:rFonts w:hint="cs"/>
          <w:rtl/>
        </w:rPr>
        <w:t xml:space="preserve">דקה </w:t>
      </w:r>
      <w:bookmarkStart w:id="69556" w:name="_ETM_Q122_356630"/>
      <w:bookmarkEnd w:id="69556"/>
      <w:r>
        <w:rPr>
          <w:rFonts w:hint="cs"/>
          <w:rtl/>
        </w:rPr>
        <w:t xml:space="preserve">או שתיים, כמוהם. </w:t>
      </w:r>
      <w:bookmarkStart w:id="69557" w:name="_ETM_Q122_357475"/>
      <w:bookmarkStart w:id="69558" w:name="_ETM_Q122_357564"/>
      <w:bookmarkStart w:id="69559" w:name="_ETM_Q122_357619"/>
      <w:bookmarkStart w:id="69560" w:name="_ETM_Q122_357697"/>
      <w:bookmarkStart w:id="69561" w:name="_ETM_Q122_356720"/>
      <w:bookmarkStart w:id="69562" w:name="_ETM_Q122_357110"/>
      <w:bookmarkStart w:id="69563" w:name="_ETM_Q122_357350"/>
      <w:bookmarkStart w:id="69564" w:name="_ETM_Q122_358239"/>
      <w:bookmarkEnd w:id="69557"/>
      <w:bookmarkEnd w:id="69558"/>
      <w:bookmarkEnd w:id="69559"/>
      <w:bookmarkEnd w:id="69560"/>
      <w:bookmarkEnd w:id="69561"/>
      <w:bookmarkEnd w:id="69562"/>
      <w:bookmarkEnd w:id="69563"/>
      <w:bookmarkEnd w:id="69564"/>
      <w:r>
        <w:rPr>
          <w:rFonts w:hint="cs"/>
          <w:rtl/>
        </w:rPr>
        <w:t xml:space="preserve">טלי </w:t>
      </w:r>
      <w:bookmarkStart w:id="69565" w:name="_ETM_Q122_358599"/>
      <w:bookmarkEnd w:id="69565"/>
      <w:r>
        <w:rPr>
          <w:rFonts w:hint="cs"/>
          <w:rtl/>
        </w:rPr>
        <w:t xml:space="preserve">גוטליב, באמת לא מכירה. </w:t>
      </w:r>
      <w:bookmarkStart w:id="69566" w:name="_ETM_Q122_360838"/>
      <w:bookmarkStart w:id="69567" w:name="_ETM_Q122_360927"/>
      <w:bookmarkStart w:id="69568" w:name="_ETM_Q122_360981"/>
      <w:bookmarkStart w:id="69569" w:name="_ETM_Q122_361052"/>
      <w:bookmarkStart w:id="69570" w:name="_ETM_Q122_358900"/>
      <w:bookmarkStart w:id="69571" w:name="_ETM_Q122_359379"/>
      <w:bookmarkStart w:id="69572" w:name="_ETM_Q122_359739"/>
      <w:bookmarkStart w:id="69573" w:name="_ETM_Q122_359859"/>
      <w:bookmarkStart w:id="69574" w:name="_ETM_Q122_361230"/>
      <w:bookmarkEnd w:id="69566"/>
      <w:bookmarkEnd w:id="69567"/>
      <w:bookmarkEnd w:id="69568"/>
      <w:bookmarkEnd w:id="69569"/>
      <w:bookmarkEnd w:id="69570"/>
      <w:bookmarkEnd w:id="69571"/>
      <w:bookmarkEnd w:id="69572"/>
      <w:bookmarkEnd w:id="69573"/>
      <w:bookmarkEnd w:id="69574"/>
      <w:r>
        <w:rPr>
          <w:rFonts w:hint="cs"/>
          <w:rtl/>
        </w:rPr>
        <w:t xml:space="preserve">אלה </w:t>
      </w:r>
      <w:bookmarkStart w:id="69575" w:name="_ETM_Q122_361530"/>
      <w:bookmarkEnd w:id="69575"/>
      <w:r>
        <w:rPr>
          <w:rFonts w:hint="cs"/>
          <w:rtl/>
        </w:rPr>
        <w:t xml:space="preserve">אנשים </w:t>
      </w:r>
      <w:bookmarkStart w:id="69576" w:name="_ETM_Q122_362040"/>
      <w:bookmarkEnd w:id="69576"/>
      <w:r>
        <w:rPr>
          <w:rFonts w:hint="cs"/>
          <w:rtl/>
        </w:rPr>
        <w:t xml:space="preserve">שהשתלטו </w:t>
      </w:r>
      <w:bookmarkStart w:id="69577" w:name="_ETM_Q122_362760"/>
      <w:bookmarkEnd w:id="69577"/>
      <w:r>
        <w:rPr>
          <w:rFonts w:hint="cs"/>
          <w:rtl/>
        </w:rPr>
        <w:t xml:space="preserve">השתלטות </w:t>
      </w:r>
      <w:bookmarkStart w:id="69578" w:name="_ETM_Q122_363450"/>
      <w:bookmarkEnd w:id="69578"/>
      <w:r>
        <w:rPr>
          <w:rFonts w:hint="cs"/>
          <w:rtl/>
        </w:rPr>
        <w:t xml:space="preserve">עוינת </w:t>
      </w:r>
      <w:bookmarkStart w:id="69579" w:name="_ETM_Q122_364019"/>
      <w:bookmarkEnd w:id="69579"/>
      <w:r>
        <w:rPr>
          <w:rFonts w:hint="cs"/>
          <w:rtl/>
        </w:rPr>
        <w:t xml:space="preserve">על </w:t>
      </w:r>
      <w:bookmarkStart w:id="69580" w:name="_ETM_Q122_364200"/>
      <w:bookmarkEnd w:id="69580"/>
      <w:r>
        <w:rPr>
          <w:rFonts w:hint="cs"/>
          <w:rtl/>
        </w:rPr>
        <w:t xml:space="preserve">הליכוד. לא יודעת מיהם. </w:t>
      </w:r>
      <w:bookmarkStart w:id="69581" w:name="_ETM_Q122_365360"/>
      <w:bookmarkStart w:id="69582" w:name="_ETM_Q122_370669"/>
      <w:bookmarkEnd w:id="69581"/>
      <w:bookmarkEnd w:id="69582"/>
      <w:r>
        <w:rPr>
          <w:rFonts w:hint="cs"/>
          <w:rtl/>
        </w:rPr>
        <w:t xml:space="preserve">מפלגה </w:t>
      </w:r>
      <w:bookmarkStart w:id="69583" w:name="_ETM_Q122_371389"/>
      <w:bookmarkEnd w:id="69583"/>
      <w:r>
        <w:rPr>
          <w:rFonts w:hint="cs"/>
          <w:rtl/>
        </w:rPr>
        <w:t xml:space="preserve">שהייתה </w:t>
      </w:r>
      <w:bookmarkStart w:id="69584" w:name="_ETM_Q122_371989"/>
      <w:bookmarkEnd w:id="69584"/>
      <w:r>
        <w:rPr>
          <w:rFonts w:hint="cs"/>
          <w:rtl/>
        </w:rPr>
        <w:t xml:space="preserve">לאומית </w:t>
      </w:r>
      <w:bookmarkStart w:id="69585" w:name="_ETM_Q122_372499"/>
      <w:bookmarkEnd w:id="69585"/>
      <w:r>
        <w:rPr>
          <w:rFonts w:hint="cs"/>
          <w:rtl/>
        </w:rPr>
        <w:t xml:space="preserve">וליברלית </w:t>
      </w:r>
      <w:bookmarkStart w:id="69586" w:name="_ETM_Q122_374519"/>
      <w:bookmarkEnd w:id="69586"/>
      <w:r>
        <w:rPr>
          <w:rFonts w:hint="cs"/>
          <w:rtl/>
        </w:rPr>
        <w:t xml:space="preserve">הפכה </w:t>
      </w:r>
      <w:bookmarkStart w:id="69587" w:name="_ETM_Q122_374969"/>
      <w:bookmarkEnd w:id="69587"/>
      <w:r>
        <w:rPr>
          <w:rFonts w:hint="cs"/>
          <w:rtl/>
        </w:rPr>
        <w:t xml:space="preserve">ללאומנית </w:t>
      </w:r>
      <w:bookmarkStart w:id="69588" w:name="_ETM_Q122_375689"/>
      <w:bookmarkEnd w:id="69588"/>
      <w:r>
        <w:rPr>
          <w:rFonts w:hint="cs"/>
          <w:rtl/>
        </w:rPr>
        <w:t xml:space="preserve">ושמרנית. </w:t>
      </w:r>
      <w:bookmarkStart w:id="69589" w:name="_ETM_Q122_377889"/>
      <w:bookmarkEnd w:id="69589"/>
      <w:r>
        <w:rPr>
          <w:rFonts w:hint="cs"/>
          <w:rtl/>
        </w:rPr>
        <w:t xml:space="preserve">כל </w:t>
      </w:r>
      <w:bookmarkStart w:id="69590" w:name="_ETM_Q122_378639"/>
      <w:bookmarkEnd w:id="69590"/>
      <w:r>
        <w:rPr>
          <w:rFonts w:hint="cs"/>
          <w:rtl/>
        </w:rPr>
        <w:t xml:space="preserve">מי </w:t>
      </w:r>
      <w:bookmarkStart w:id="69591" w:name="_ETM_Q122_378909"/>
      <w:bookmarkEnd w:id="69591"/>
      <w:r>
        <w:rPr>
          <w:rFonts w:hint="cs"/>
          <w:rtl/>
        </w:rPr>
        <w:t xml:space="preserve">שמכבד </w:t>
      </w:r>
      <w:bookmarkStart w:id="69592" w:name="_ETM_Q122_379510"/>
      <w:bookmarkEnd w:id="69592"/>
      <w:r>
        <w:rPr>
          <w:rFonts w:hint="cs"/>
          <w:rtl/>
        </w:rPr>
        <w:t xml:space="preserve">את </w:t>
      </w:r>
      <w:bookmarkStart w:id="69593" w:name="_ETM_Q122_379629"/>
      <w:bookmarkEnd w:id="69593"/>
      <w:r>
        <w:rPr>
          <w:rFonts w:hint="cs"/>
          <w:rtl/>
        </w:rPr>
        <w:t xml:space="preserve">עצמו </w:t>
      </w:r>
      <w:bookmarkStart w:id="69594" w:name="_ETM_Q122_379930"/>
      <w:bookmarkEnd w:id="69594"/>
      <w:r>
        <w:rPr>
          <w:rFonts w:hint="cs"/>
          <w:rtl/>
        </w:rPr>
        <w:t xml:space="preserve">כבר </w:t>
      </w:r>
      <w:bookmarkStart w:id="69595" w:name="_ETM_Q122_380169"/>
      <w:bookmarkEnd w:id="69595"/>
      <w:r>
        <w:rPr>
          <w:rFonts w:hint="cs"/>
          <w:rtl/>
        </w:rPr>
        <w:t xml:space="preserve">עזב </w:t>
      </w:r>
      <w:bookmarkStart w:id="69596" w:name="_ETM_Q122_380439"/>
      <w:bookmarkEnd w:id="69596"/>
      <w:r>
        <w:rPr>
          <w:rFonts w:hint="cs"/>
          <w:rtl/>
        </w:rPr>
        <w:t xml:space="preserve">אותה – </w:t>
      </w:r>
      <w:bookmarkStart w:id="69597" w:name="_ETM_Q122_381450"/>
      <w:bookmarkEnd w:id="69597"/>
      <w:r>
        <w:rPr>
          <w:rFonts w:hint="cs"/>
          <w:rtl/>
        </w:rPr>
        <w:t xml:space="preserve">כל </w:t>
      </w:r>
      <w:bookmarkStart w:id="69598" w:name="_ETM_Q122_381690"/>
      <w:bookmarkEnd w:id="69598"/>
      <w:r>
        <w:rPr>
          <w:rFonts w:hint="cs"/>
          <w:rtl/>
        </w:rPr>
        <w:t xml:space="preserve">נסיכי </w:t>
      </w:r>
      <w:bookmarkStart w:id="69599" w:name="_ETM_Q122_382139"/>
      <w:bookmarkEnd w:id="69599"/>
      <w:r>
        <w:rPr>
          <w:rFonts w:hint="cs"/>
          <w:rtl/>
        </w:rPr>
        <w:t xml:space="preserve">הליכוד, </w:t>
      </w:r>
      <w:bookmarkStart w:id="69600" w:name="_ETM_Q122_382590"/>
      <w:bookmarkEnd w:id="69600"/>
      <w:r>
        <w:rPr>
          <w:rFonts w:hint="cs"/>
          <w:rtl/>
        </w:rPr>
        <w:t xml:space="preserve">כל </w:t>
      </w:r>
      <w:bookmarkStart w:id="69601" w:name="_ETM_Q122_382769"/>
      <w:bookmarkEnd w:id="69601"/>
      <w:r>
        <w:rPr>
          <w:rFonts w:hint="cs"/>
          <w:rtl/>
        </w:rPr>
        <w:t xml:space="preserve">מנהיגי </w:t>
      </w:r>
      <w:bookmarkStart w:id="69602" w:name="_ETM_Q122_383280"/>
      <w:bookmarkEnd w:id="69602"/>
      <w:r>
        <w:rPr>
          <w:rFonts w:hint="cs"/>
          <w:rtl/>
        </w:rPr>
        <w:t xml:space="preserve">הליכוד – </w:t>
      </w:r>
      <w:bookmarkStart w:id="69603" w:name="_ETM_Q122_385739"/>
      <w:bookmarkEnd w:id="69603"/>
      <w:r>
        <w:rPr>
          <w:rFonts w:hint="cs"/>
          <w:rtl/>
        </w:rPr>
        <w:t xml:space="preserve">פשוט </w:t>
      </w:r>
      <w:bookmarkStart w:id="69604" w:name="_ETM_Q122_385980"/>
      <w:bookmarkEnd w:id="69604"/>
      <w:r>
        <w:rPr>
          <w:rFonts w:hint="cs"/>
          <w:rtl/>
        </w:rPr>
        <w:t xml:space="preserve">אין </w:t>
      </w:r>
      <w:bookmarkStart w:id="69605" w:name="_ETM_Q122_386069"/>
      <w:bookmarkEnd w:id="69605"/>
      <w:r>
        <w:rPr>
          <w:rFonts w:hint="cs"/>
          <w:rtl/>
        </w:rPr>
        <w:t xml:space="preserve">מה </w:t>
      </w:r>
      <w:bookmarkStart w:id="69606" w:name="_ETM_Q122_386189"/>
      <w:bookmarkEnd w:id="69606"/>
      <w:r>
        <w:rPr>
          <w:rFonts w:hint="cs"/>
          <w:rtl/>
        </w:rPr>
        <w:t xml:space="preserve">לחפש </w:t>
      </w:r>
      <w:bookmarkStart w:id="69607" w:name="_ETM_Q122_386579"/>
      <w:bookmarkEnd w:id="69607"/>
      <w:r>
        <w:rPr>
          <w:rFonts w:hint="cs"/>
          <w:rtl/>
        </w:rPr>
        <w:t xml:space="preserve">שם </w:t>
      </w:r>
      <w:bookmarkStart w:id="69608" w:name="_ETM_Q122_386790"/>
      <w:bookmarkEnd w:id="69608"/>
      <w:r>
        <w:rPr>
          <w:rFonts w:hint="cs"/>
          <w:rtl/>
        </w:rPr>
        <w:t xml:space="preserve">יותר. </w:t>
      </w:r>
      <w:bookmarkStart w:id="69609" w:name="_ETM_Q122_389090"/>
      <w:bookmarkEnd w:id="69609"/>
      <w:r>
        <w:rPr>
          <w:rFonts w:hint="cs"/>
          <w:rtl/>
        </w:rPr>
        <w:t xml:space="preserve">פשוט </w:t>
      </w:r>
      <w:bookmarkStart w:id="69610" w:name="_ETM_Q122_389599"/>
      <w:bookmarkEnd w:id="69610"/>
      <w:r>
        <w:rPr>
          <w:rFonts w:hint="cs"/>
          <w:rtl/>
        </w:rPr>
        <w:t xml:space="preserve">אין </w:t>
      </w:r>
      <w:bookmarkStart w:id="69611" w:name="_ETM_Q122_389689"/>
      <w:bookmarkEnd w:id="69611"/>
      <w:r>
        <w:rPr>
          <w:rFonts w:hint="cs"/>
          <w:rtl/>
        </w:rPr>
        <w:t xml:space="preserve">מה </w:t>
      </w:r>
      <w:bookmarkStart w:id="69612" w:name="_ETM_Q122_389810"/>
      <w:bookmarkEnd w:id="69612"/>
      <w:r>
        <w:rPr>
          <w:rFonts w:hint="cs"/>
          <w:rtl/>
        </w:rPr>
        <w:t xml:space="preserve">לחפש </w:t>
      </w:r>
      <w:bookmarkStart w:id="69613" w:name="_ETM_Q122_390200"/>
      <w:bookmarkEnd w:id="69613"/>
      <w:r>
        <w:rPr>
          <w:rFonts w:hint="cs"/>
          <w:rtl/>
        </w:rPr>
        <w:t xml:space="preserve">שם </w:t>
      </w:r>
      <w:bookmarkStart w:id="69614" w:name="_ETM_Q122_390379"/>
      <w:bookmarkEnd w:id="69614"/>
      <w:r>
        <w:rPr>
          <w:rFonts w:hint="cs"/>
          <w:rtl/>
        </w:rPr>
        <w:t xml:space="preserve">יותר. </w:t>
      </w:r>
      <w:bookmarkStart w:id="69615" w:name="_ETM_Q122_390590"/>
      <w:bookmarkEnd w:id="69615"/>
      <w:r>
        <w:rPr>
          <w:rFonts w:hint="cs"/>
          <w:rtl/>
        </w:rPr>
        <w:t xml:space="preserve">הפכה </w:t>
      </w:r>
      <w:bookmarkStart w:id="69616" w:name="_ETM_Q122_390860"/>
      <w:bookmarkEnd w:id="69616"/>
      <w:r>
        <w:rPr>
          <w:rFonts w:hint="cs"/>
          <w:rtl/>
        </w:rPr>
        <w:t xml:space="preserve">להיות </w:t>
      </w:r>
      <w:bookmarkStart w:id="69617" w:name="_ETM_Q122_391040"/>
      <w:bookmarkEnd w:id="69617"/>
      <w:r>
        <w:rPr>
          <w:rFonts w:hint="cs"/>
          <w:rtl/>
        </w:rPr>
        <w:t xml:space="preserve">מפלגה </w:t>
      </w:r>
      <w:bookmarkStart w:id="69618" w:name="_ETM_Q122_392220"/>
      <w:bookmarkEnd w:id="69618"/>
      <w:r>
        <w:rPr>
          <w:rFonts w:hint="cs"/>
          <w:rtl/>
        </w:rPr>
        <w:t xml:space="preserve">שכל </w:t>
      </w:r>
      <w:bookmarkStart w:id="69619" w:name="_ETM_Q122_392610"/>
      <w:bookmarkEnd w:id="69619"/>
      <w:r>
        <w:rPr>
          <w:rFonts w:hint="cs"/>
          <w:rtl/>
        </w:rPr>
        <w:t xml:space="preserve">היום </w:t>
      </w:r>
      <w:bookmarkStart w:id="69620" w:name="_ETM_Q122_392760"/>
      <w:bookmarkEnd w:id="69620"/>
      <w:r>
        <w:rPr>
          <w:rFonts w:hint="cs"/>
          <w:rtl/>
        </w:rPr>
        <w:t xml:space="preserve">רק </w:t>
      </w:r>
      <w:bookmarkStart w:id="69621" w:name="_ETM_Q122_393000"/>
      <w:bookmarkEnd w:id="69621"/>
      <w:r>
        <w:rPr>
          <w:rFonts w:hint="cs"/>
          <w:rtl/>
        </w:rPr>
        <w:t>משסה.</w:t>
      </w:r>
    </w:p>
    <w:p w:rsidR="00BB59CD" w:rsidRDefault="00BB59CD" w:rsidP="00BB59CD">
      <w:pPr>
        <w:rPr>
          <w:rtl/>
        </w:rPr>
      </w:pPr>
      <w:bookmarkStart w:id="69622" w:name="_ETM_Q122_395805"/>
      <w:bookmarkStart w:id="69623" w:name="_ETM_Q122_395941"/>
      <w:bookmarkEnd w:id="69622"/>
      <w:bookmarkEnd w:id="69623"/>
    </w:p>
    <w:p w:rsidR="00BB59CD" w:rsidRDefault="00BB59CD" w:rsidP="00BB59CD">
      <w:pPr>
        <w:rPr>
          <w:rtl/>
        </w:rPr>
      </w:pPr>
      <w:bookmarkStart w:id="69624" w:name="_ETM_Q122_395973"/>
      <w:bookmarkStart w:id="69625" w:name="_ETM_Q122_396080"/>
      <w:bookmarkStart w:id="69626" w:name="_ETM_Q122_395010"/>
      <w:bookmarkEnd w:id="69624"/>
      <w:bookmarkEnd w:id="69625"/>
      <w:bookmarkEnd w:id="69626"/>
      <w:r>
        <w:rPr>
          <w:rFonts w:hint="cs"/>
          <w:rtl/>
        </w:rPr>
        <w:t xml:space="preserve">אתם </w:t>
      </w:r>
      <w:bookmarkStart w:id="69627" w:name="_ETM_Q122_395370"/>
      <w:bookmarkEnd w:id="69627"/>
      <w:r>
        <w:rPr>
          <w:rFonts w:hint="cs"/>
          <w:rtl/>
        </w:rPr>
        <w:t xml:space="preserve">תגידו </w:t>
      </w:r>
      <w:bookmarkStart w:id="69628" w:name="_ETM_Q122_396000"/>
      <w:bookmarkEnd w:id="69628"/>
      <w:r>
        <w:rPr>
          <w:rFonts w:hint="cs"/>
          <w:rtl/>
        </w:rPr>
        <w:t xml:space="preserve">לי </w:t>
      </w:r>
      <w:bookmarkStart w:id="69629" w:name="_ETM_Q122_396330"/>
      <w:bookmarkEnd w:id="69629"/>
      <w:r>
        <w:rPr>
          <w:rFonts w:hint="cs"/>
          <w:rtl/>
        </w:rPr>
        <w:t xml:space="preserve">מה </w:t>
      </w:r>
      <w:bookmarkStart w:id="69630" w:name="_ETM_Q122_396599"/>
      <w:bookmarkEnd w:id="69630"/>
      <w:r>
        <w:rPr>
          <w:rFonts w:hint="cs"/>
          <w:rtl/>
        </w:rPr>
        <w:t xml:space="preserve">אני </w:t>
      </w:r>
      <w:bookmarkStart w:id="69631" w:name="_ETM_Q122_396780"/>
      <w:bookmarkEnd w:id="69631"/>
      <w:r>
        <w:rPr>
          <w:rFonts w:hint="cs"/>
          <w:rtl/>
        </w:rPr>
        <w:t xml:space="preserve">יותר, </w:t>
      </w:r>
      <w:bookmarkStart w:id="69632" w:name="_ETM_Q122_397349"/>
      <w:bookmarkEnd w:id="69632"/>
      <w:r>
        <w:rPr>
          <w:rFonts w:hint="cs"/>
          <w:rtl/>
        </w:rPr>
        <w:t xml:space="preserve">פולנייה </w:t>
      </w:r>
      <w:bookmarkStart w:id="69633" w:name="_ETM_Q122_398959"/>
      <w:bookmarkEnd w:id="69633"/>
      <w:r>
        <w:rPr>
          <w:rFonts w:hint="cs"/>
          <w:rtl/>
        </w:rPr>
        <w:t>או חלבית? ואלכ,</w:t>
      </w:r>
      <w:bookmarkStart w:id="69634" w:name="_ETM_Q122_400650"/>
      <w:bookmarkEnd w:id="69634"/>
      <w:r>
        <w:rPr>
          <w:rFonts w:hint="cs"/>
          <w:rtl/>
        </w:rPr>
        <w:t xml:space="preserve"> </w:t>
      </w:r>
      <w:bookmarkStart w:id="69635" w:name="_ETM_Q122_400799"/>
      <w:bookmarkEnd w:id="69635"/>
      <w:r>
        <w:rPr>
          <w:rFonts w:hint="cs"/>
          <w:rtl/>
        </w:rPr>
        <w:t xml:space="preserve">אני </w:t>
      </w:r>
      <w:bookmarkStart w:id="69636" w:name="_ETM_Q122_400949"/>
      <w:bookmarkEnd w:id="69636"/>
      <w:r>
        <w:rPr>
          <w:rFonts w:hint="cs"/>
          <w:rtl/>
        </w:rPr>
        <w:t xml:space="preserve">גם </w:t>
      </w:r>
      <w:bookmarkStart w:id="69637" w:name="_ETM_Q122_401279"/>
      <w:bookmarkEnd w:id="69637"/>
      <w:r>
        <w:rPr>
          <w:rFonts w:hint="cs"/>
          <w:rtl/>
        </w:rPr>
        <w:t xml:space="preserve">פולניה </w:t>
      </w:r>
      <w:bookmarkStart w:id="69638" w:name="_ETM_Q122_401999"/>
      <w:bookmarkEnd w:id="69638"/>
      <w:r>
        <w:rPr>
          <w:rFonts w:hint="cs"/>
          <w:rtl/>
        </w:rPr>
        <w:t xml:space="preserve">וגם </w:t>
      </w:r>
      <w:bookmarkStart w:id="69639" w:name="_ETM_Q122_402389"/>
      <w:bookmarkEnd w:id="69639"/>
      <w:r>
        <w:rPr>
          <w:rFonts w:hint="cs"/>
          <w:rtl/>
        </w:rPr>
        <w:t xml:space="preserve">חלבית, </w:t>
      </w:r>
      <w:bookmarkStart w:id="69640" w:name="_ETM_Q122_402689"/>
      <w:bookmarkStart w:id="69641" w:name="_ETM_Q122_402959"/>
      <w:bookmarkEnd w:id="69640"/>
      <w:bookmarkEnd w:id="69641"/>
      <w:r>
        <w:rPr>
          <w:rFonts w:hint="cs"/>
          <w:rtl/>
        </w:rPr>
        <w:t xml:space="preserve">מה </w:t>
      </w:r>
      <w:bookmarkStart w:id="69642" w:name="_ETM_Q122_403079"/>
      <w:bookmarkEnd w:id="69642"/>
      <w:r>
        <w:rPr>
          <w:rFonts w:hint="cs"/>
          <w:rtl/>
        </w:rPr>
        <w:t xml:space="preserve">תעשו </w:t>
      </w:r>
      <w:bookmarkStart w:id="69643" w:name="_ETM_Q122_403439"/>
      <w:bookmarkEnd w:id="69643"/>
      <w:r>
        <w:rPr>
          <w:rFonts w:hint="cs"/>
          <w:rtl/>
        </w:rPr>
        <w:t xml:space="preserve">לי? </w:t>
      </w:r>
      <w:bookmarkStart w:id="69644" w:name="_ETM_Q122_405200"/>
      <w:bookmarkEnd w:id="69644"/>
      <w:r>
        <w:rPr>
          <w:rFonts w:hint="cs"/>
          <w:rtl/>
        </w:rPr>
        <w:t xml:space="preserve">לא, </w:t>
      </w:r>
      <w:bookmarkStart w:id="69645" w:name="_ETM_Q122_406579"/>
      <w:bookmarkEnd w:id="69645"/>
      <w:r>
        <w:rPr>
          <w:rFonts w:hint="cs"/>
          <w:rtl/>
        </w:rPr>
        <w:t xml:space="preserve">באמת, אני </w:t>
      </w:r>
      <w:bookmarkStart w:id="69646" w:name="_ETM_Q122_406879"/>
      <w:bookmarkEnd w:id="69646"/>
      <w:r>
        <w:rPr>
          <w:rFonts w:hint="cs"/>
          <w:rtl/>
        </w:rPr>
        <w:t>חצי-</w:t>
      </w:r>
      <w:bookmarkStart w:id="69647" w:name="_ETM_Q122_407060"/>
      <w:bookmarkEnd w:id="69647"/>
      <w:r>
        <w:rPr>
          <w:rFonts w:hint="cs"/>
          <w:rtl/>
        </w:rPr>
        <w:t xml:space="preserve">חצי. </w:t>
      </w:r>
      <w:bookmarkStart w:id="69648" w:name="_ETM_Q122_407707"/>
      <w:bookmarkEnd w:id="69648"/>
      <w:r>
        <w:rPr>
          <w:rFonts w:hint="cs"/>
          <w:rtl/>
        </w:rPr>
        <w:t xml:space="preserve">דבי, </w:t>
      </w:r>
      <w:bookmarkStart w:id="69649" w:name="_ETM_Q122_407930"/>
      <w:bookmarkStart w:id="69650" w:name="_ETM_Q122_409239"/>
      <w:bookmarkEnd w:id="69649"/>
      <w:bookmarkEnd w:id="69650"/>
      <w:r>
        <w:rPr>
          <w:rFonts w:hint="cs"/>
          <w:rtl/>
        </w:rPr>
        <w:t xml:space="preserve">הם </w:t>
      </w:r>
      <w:bookmarkStart w:id="69651" w:name="_ETM_Q122_409450"/>
      <w:bookmarkEnd w:id="69651"/>
      <w:r>
        <w:rPr>
          <w:rFonts w:hint="cs"/>
          <w:rtl/>
        </w:rPr>
        <w:t xml:space="preserve">רוצים </w:t>
      </w:r>
      <w:bookmarkStart w:id="69652" w:name="_ETM_Q122_409749"/>
      <w:bookmarkEnd w:id="69652"/>
      <w:r>
        <w:rPr>
          <w:rFonts w:hint="cs"/>
          <w:rtl/>
        </w:rPr>
        <w:t xml:space="preserve">שאני </w:t>
      </w:r>
      <w:bookmarkStart w:id="69653" w:name="_ETM_Q122_410049"/>
      <w:bookmarkEnd w:id="69653"/>
      <w:r>
        <w:rPr>
          <w:rFonts w:hint="cs"/>
          <w:rtl/>
        </w:rPr>
        <w:t>אחליט.</w:t>
      </w:r>
    </w:p>
    <w:p w:rsidR="00BB59CD" w:rsidRDefault="00BB59CD" w:rsidP="00BB59CD">
      <w:pPr>
        <w:rPr>
          <w:rtl/>
        </w:rPr>
      </w:pPr>
    </w:p>
    <w:p w:rsidR="00BB59CD" w:rsidRDefault="00BB59CD" w:rsidP="00BB59CD">
      <w:pPr>
        <w:pStyle w:val="af8"/>
        <w:keepNext/>
        <w:rPr>
          <w:rtl/>
        </w:rPr>
      </w:pPr>
      <w:bookmarkStart w:id="69654" w:name="ET_interruption_6341_4"/>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69654"/>
    </w:p>
    <w:p w:rsidR="00BB59CD" w:rsidRDefault="00BB59CD" w:rsidP="00337201">
      <w:pPr>
        <w:rPr>
          <w:rtl/>
          <w:lang w:eastAsia="he-IL"/>
        </w:rPr>
      </w:pPr>
    </w:p>
    <w:p w:rsidR="00BB59CD" w:rsidRDefault="00BB59CD" w:rsidP="00BB59CD">
      <w:pPr>
        <w:rPr>
          <w:rtl/>
          <w:lang w:eastAsia="he-IL"/>
        </w:rPr>
      </w:pPr>
      <w:r>
        <w:rPr>
          <w:rFonts w:hint="cs"/>
          <w:rtl/>
          <w:lang w:eastAsia="he-IL"/>
        </w:rPr>
        <w:t>חצי אוהבים אותך</w:t>
      </w:r>
      <w:r w:rsidR="00A335DD">
        <w:rPr>
          <w:rFonts w:hint="cs"/>
          <w:rtl/>
          <w:lang w:eastAsia="he-IL"/>
        </w:rPr>
        <w:t>,</w:t>
      </w:r>
      <w:r>
        <w:rPr>
          <w:rFonts w:hint="cs"/>
          <w:rtl/>
          <w:lang w:eastAsia="he-IL"/>
        </w:rPr>
        <w:t xml:space="preserve"> וחצי </w:t>
      </w:r>
      <w:r w:rsidR="00A335DD">
        <w:rPr>
          <w:rFonts w:hint="eastAsia"/>
          <w:rtl/>
          <w:lang w:eastAsia="he-IL"/>
        </w:rPr>
        <w:t>–</w:t>
      </w:r>
      <w:r w:rsidR="00A335DD">
        <w:rPr>
          <w:rFonts w:hint="cs"/>
          <w:rtl/>
          <w:lang w:eastAsia="he-IL"/>
        </w:rPr>
        <w:t xml:space="preserve"> </w:t>
      </w:r>
      <w:r>
        <w:rPr>
          <w:rFonts w:hint="cs"/>
          <w:rtl/>
          <w:lang w:eastAsia="he-IL"/>
        </w:rPr>
        <w:t xml:space="preserve">את פריבילגית. </w:t>
      </w:r>
    </w:p>
    <w:p w:rsidR="00BB59CD" w:rsidRDefault="00BB59CD" w:rsidP="00BB59CD">
      <w:pPr>
        <w:rPr>
          <w:rtl/>
          <w:lang w:eastAsia="he-IL"/>
        </w:rPr>
      </w:pPr>
      <w:bookmarkStart w:id="69655" w:name="_ETM_Q122_410658"/>
      <w:bookmarkStart w:id="69656" w:name="_ETM_Q122_410742"/>
      <w:bookmarkEnd w:id="69655"/>
      <w:bookmarkEnd w:id="69656"/>
    </w:p>
    <w:p w:rsidR="00BB59CD" w:rsidRDefault="00BB59CD" w:rsidP="00BB59CD">
      <w:pPr>
        <w:pStyle w:val="-"/>
        <w:keepNext/>
        <w:rPr>
          <w:rtl/>
        </w:rPr>
      </w:pPr>
      <w:bookmarkStart w:id="69657" w:name="ET_speakercontinue_5809_5"/>
      <w:r>
        <w:rPr>
          <w:rStyle w:val="TagStyle"/>
          <w:rFonts w:hint="cs"/>
          <w:rtl/>
        </w:rPr>
        <w:t xml:space="preserve"> &lt;&lt; דובר_המשך &gt;&gt; </w:t>
      </w:r>
      <w:r>
        <w:rPr>
          <w:rFonts w:hint="cs"/>
          <w:rtl/>
        </w:rPr>
        <w:t>מיכל שיר סגמן (יש עתיד):</w:t>
      </w:r>
      <w:r>
        <w:rPr>
          <w:rStyle w:val="TagStyle"/>
          <w:rtl/>
        </w:rPr>
        <w:t xml:space="preserve"> &lt;&lt; דובר_המשך &gt;&gt;</w:t>
      </w:r>
      <w:r>
        <w:rPr>
          <w:rFonts w:hint="cs"/>
          <w:rtl/>
        </w:rPr>
        <w:t xml:space="preserve"> </w:t>
      </w:r>
      <w:bookmarkEnd w:id="69657"/>
    </w:p>
    <w:p w:rsidR="00BB59CD" w:rsidRDefault="00BB59CD" w:rsidP="00337201">
      <w:pPr>
        <w:rPr>
          <w:rtl/>
          <w:lang w:eastAsia="he-IL"/>
        </w:rPr>
      </w:pPr>
    </w:p>
    <w:p w:rsidR="00BB59CD" w:rsidRDefault="00BB59CD" w:rsidP="00BB59CD">
      <w:pPr>
        <w:rPr>
          <w:rtl/>
          <w:lang w:eastAsia="he-IL"/>
        </w:rPr>
      </w:pPr>
      <w:bookmarkStart w:id="69658" w:name="_ETM_Q122_411674"/>
      <w:bookmarkEnd w:id="69658"/>
      <w:r>
        <w:rPr>
          <w:rFonts w:hint="cs"/>
          <w:rtl/>
          <w:lang w:eastAsia="he-IL"/>
        </w:rPr>
        <w:t>כן, חצי פריבילגית.</w:t>
      </w:r>
      <w:bookmarkStart w:id="69659" w:name="_ETM_Q122_414695"/>
      <w:bookmarkEnd w:id="69659"/>
      <w:r>
        <w:rPr>
          <w:rFonts w:hint="cs"/>
          <w:rtl/>
          <w:lang w:eastAsia="he-IL"/>
        </w:rPr>
        <w:t xml:space="preserve"> לא, באמת. </w:t>
      </w:r>
    </w:p>
    <w:p w:rsidR="00BB59CD" w:rsidRDefault="00BB59CD" w:rsidP="00BB59CD">
      <w:pPr>
        <w:rPr>
          <w:rtl/>
          <w:lang w:eastAsia="he-IL"/>
        </w:rPr>
      </w:pPr>
    </w:p>
    <w:p w:rsidR="00BB59CD" w:rsidRDefault="00BB59CD" w:rsidP="00BB59CD">
      <w:pPr>
        <w:pStyle w:val="af8"/>
        <w:keepNext/>
        <w:rPr>
          <w:rtl/>
        </w:rPr>
      </w:pPr>
      <w:bookmarkStart w:id="69660" w:name="ET_interruption_6341_6"/>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69660"/>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תחשבי באיזו שעה </w:t>
      </w:r>
      <w:bookmarkStart w:id="69661" w:name="_ETM_Q122_411857"/>
      <w:bookmarkEnd w:id="69661"/>
      <w:r>
        <w:rPr>
          <w:rFonts w:hint="cs"/>
          <w:rtl/>
          <w:lang w:eastAsia="he-IL"/>
        </w:rPr>
        <w:t>את נמצאת פה.</w:t>
      </w:r>
      <w:bookmarkStart w:id="69662" w:name="_ETM_Q122_401434"/>
      <w:bookmarkEnd w:id="69662"/>
    </w:p>
    <w:p w:rsidR="00BB59CD" w:rsidRDefault="00BB59CD" w:rsidP="00BB59CD">
      <w:pPr>
        <w:rPr>
          <w:rtl/>
          <w:lang w:eastAsia="he-IL"/>
        </w:rPr>
      </w:pPr>
      <w:bookmarkStart w:id="69663" w:name="_ETM_Q122_401993"/>
      <w:bookmarkStart w:id="69664" w:name="_ETM_Q122_402077"/>
      <w:bookmarkEnd w:id="69663"/>
      <w:bookmarkEnd w:id="69664"/>
    </w:p>
    <w:p w:rsidR="00BB59CD" w:rsidRDefault="00BB59CD" w:rsidP="00BB59CD">
      <w:pPr>
        <w:pStyle w:val="-"/>
        <w:keepNext/>
        <w:rPr>
          <w:rtl/>
        </w:rPr>
      </w:pPr>
      <w:bookmarkStart w:id="69665" w:name="ET_speakercontinue_5809_7"/>
      <w:r>
        <w:rPr>
          <w:rStyle w:val="TagStyle"/>
          <w:rFonts w:hint="cs"/>
          <w:rtl/>
        </w:rPr>
        <w:t xml:space="preserve"> &lt;&lt; דובר_המשך &gt;&gt; </w:t>
      </w:r>
      <w:r>
        <w:rPr>
          <w:rFonts w:hint="cs"/>
          <w:rtl/>
        </w:rPr>
        <w:t>מיכל שיר סגמן (יש עתיד):</w:t>
      </w:r>
      <w:r>
        <w:rPr>
          <w:rStyle w:val="TagStyle"/>
          <w:rtl/>
        </w:rPr>
        <w:t xml:space="preserve"> &lt;&lt; דובר_המשך &gt;&gt;</w:t>
      </w:r>
      <w:r>
        <w:rPr>
          <w:rFonts w:hint="cs"/>
          <w:rtl/>
        </w:rPr>
        <w:t xml:space="preserve"> </w:t>
      </w:r>
      <w:bookmarkEnd w:id="69665"/>
    </w:p>
    <w:p w:rsidR="00BB59CD" w:rsidRDefault="00BB59CD" w:rsidP="00337201">
      <w:pPr>
        <w:rPr>
          <w:rtl/>
          <w:lang w:eastAsia="he-IL"/>
        </w:rPr>
      </w:pPr>
    </w:p>
    <w:p w:rsidR="00BB59CD" w:rsidRDefault="00BB59CD" w:rsidP="00BB59CD">
      <w:pPr>
        <w:rPr>
          <w:rtl/>
        </w:rPr>
      </w:pPr>
      <w:bookmarkStart w:id="69666" w:name="_ETM_Q122_402846"/>
      <w:bookmarkEnd w:id="69666"/>
      <w:r>
        <w:rPr>
          <w:rFonts w:hint="cs"/>
          <w:rtl/>
          <w:lang w:eastAsia="he-IL"/>
        </w:rPr>
        <w:t xml:space="preserve">כן, אני באמת </w:t>
      </w:r>
      <w:bookmarkStart w:id="69667" w:name="_ETM_Q122_422626"/>
      <w:bookmarkEnd w:id="69667"/>
      <w:r>
        <w:rPr>
          <w:rFonts w:hint="cs"/>
          <w:rtl/>
          <w:lang w:eastAsia="he-IL"/>
        </w:rPr>
        <w:t xml:space="preserve">תוהה מה רוצים מהחיים של האזרחים. ואז אומרים </w:t>
      </w:r>
      <w:bookmarkStart w:id="69668" w:name="_ETM_Q122_423129"/>
      <w:bookmarkStart w:id="69669" w:name="_ETM_Q122_423370"/>
      <w:bookmarkStart w:id="69670" w:name="_ETM_Q122_423940"/>
      <w:bookmarkStart w:id="69671" w:name="_ETM_Q122_424510"/>
      <w:bookmarkStart w:id="69672" w:name="_ETM_Q122_424659"/>
      <w:bookmarkStart w:id="69673" w:name="_ETM_Q122_425049"/>
      <w:bookmarkStart w:id="69674" w:name="_ETM_Q122_425260"/>
      <w:bookmarkStart w:id="69675" w:name="_ETM_Q122_425500"/>
      <w:bookmarkStart w:id="69676" w:name="_ETM_Q122_426290"/>
      <w:bookmarkStart w:id="69677" w:name="_ETM_Q122_427280"/>
      <w:bookmarkEnd w:id="69668"/>
      <w:bookmarkEnd w:id="69669"/>
      <w:bookmarkEnd w:id="69670"/>
      <w:bookmarkEnd w:id="69671"/>
      <w:bookmarkEnd w:id="69672"/>
      <w:bookmarkEnd w:id="69673"/>
      <w:bookmarkEnd w:id="69674"/>
      <w:bookmarkEnd w:id="69675"/>
      <w:bookmarkEnd w:id="69676"/>
      <w:bookmarkEnd w:id="69677"/>
      <w:r>
        <w:rPr>
          <w:rFonts w:hint="cs"/>
          <w:rtl/>
        </w:rPr>
        <w:t xml:space="preserve">שמי </w:t>
      </w:r>
      <w:bookmarkStart w:id="69678" w:name="_ETM_Q122_427640"/>
      <w:bookmarkEnd w:id="69678"/>
      <w:r>
        <w:rPr>
          <w:rFonts w:hint="cs"/>
          <w:rtl/>
        </w:rPr>
        <w:t xml:space="preserve">שצועד </w:t>
      </w:r>
      <w:bookmarkStart w:id="69679" w:name="_ETM_Q122_428870"/>
      <w:bookmarkEnd w:id="69679"/>
      <w:r>
        <w:rPr>
          <w:rFonts w:hint="cs"/>
          <w:rtl/>
        </w:rPr>
        <w:t xml:space="preserve">במחאה </w:t>
      </w:r>
      <w:bookmarkStart w:id="69680" w:name="_ETM_Q122_431610"/>
      <w:bookmarkEnd w:id="69680"/>
      <w:r>
        <w:rPr>
          <w:rFonts w:hint="cs"/>
          <w:rtl/>
        </w:rPr>
        <w:t xml:space="preserve">אלה </w:t>
      </w:r>
      <w:bookmarkStart w:id="69681" w:name="_ETM_Q122_431850"/>
      <w:bookmarkEnd w:id="69681"/>
      <w:r>
        <w:rPr>
          <w:rFonts w:hint="cs"/>
          <w:rtl/>
        </w:rPr>
        <w:t xml:space="preserve">רק </w:t>
      </w:r>
      <w:bookmarkStart w:id="69682" w:name="_ETM_Q122_432060"/>
      <w:bookmarkEnd w:id="69682"/>
      <w:r>
        <w:rPr>
          <w:rFonts w:hint="cs"/>
          <w:rtl/>
        </w:rPr>
        <w:t xml:space="preserve">אשכנזים </w:t>
      </w:r>
      <w:bookmarkStart w:id="69683" w:name="_ETM_Q122_432790"/>
      <w:bookmarkEnd w:id="69683"/>
      <w:r>
        <w:rPr>
          <w:rFonts w:hint="cs"/>
          <w:rtl/>
        </w:rPr>
        <w:t xml:space="preserve">פריבילגים מהמרכז. </w:t>
      </w:r>
    </w:p>
    <w:p w:rsidR="00BB59CD" w:rsidRDefault="00BB59CD" w:rsidP="00BB59CD">
      <w:pPr>
        <w:rPr>
          <w:rtl/>
        </w:rPr>
      </w:pPr>
    </w:p>
    <w:p w:rsidR="00BB59CD" w:rsidRDefault="00BB59CD" w:rsidP="00BB59CD">
      <w:pPr>
        <w:pStyle w:val="af8"/>
        <w:keepNext/>
        <w:rPr>
          <w:rtl/>
        </w:rPr>
      </w:pPr>
      <w:bookmarkStart w:id="69684" w:name="ET_interruption_6341_8"/>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69684"/>
    </w:p>
    <w:p w:rsidR="00BB59CD" w:rsidRDefault="00BB59CD" w:rsidP="00337201">
      <w:pPr>
        <w:rPr>
          <w:rtl/>
        </w:rPr>
      </w:pPr>
    </w:p>
    <w:p w:rsidR="00BB59CD" w:rsidRDefault="00BB59CD" w:rsidP="00BB59CD">
      <w:pPr>
        <w:rPr>
          <w:rtl/>
        </w:rPr>
      </w:pPr>
      <w:r>
        <w:rPr>
          <w:rFonts w:hint="cs"/>
          <w:rtl/>
        </w:rPr>
        <w:t xml:space="preserve">גם אני צועדת במחאה ואני - </w:t>
      </w:r>
      <w:bookmarkStart w:id="69685" w:name="_ETM_Q122_436854"/>
      <w:bookmarkEnd w:id="69685"/>
      <w:r>
        <w:rPr>
          <w:rFonts w:hint="cs"/>
          <w:rtl/>
        </w:rPr>
        <w:t>- -</w:t>
      </w:r>
    </w:p>
    <w:p w:rsidR="00BB59CD" w:rsidRDefault="00BB59CD" w:rsidP="00BB59CD">
      <w:pPr>
        <w:rPr>
          <w:rtl/>
        </w:rPr>
      </w:pPr>
    </w:p>
    <w:p w:rsidR="00BB59CD" w:rsidRDefault="00BB59CD" w:rsidP="00BB59CD">
      <w:pPr>
        <w:pStyle w:val="-"/>
        <w:keepNext/>
        <w:rPr>
          <w:rtl/>
        </w:rPr>
      </w:pPr>
      <w:bookmarkStart w:id="69686" w:name="ET_speakercontinue_5809_9"/>
      <w:r>
        <w:rPr>
          <w:rStyle w:val="TagStyle"/>
          <w:rFonts w:hint="cs"/>
          <w:rtl/>
        </w:rPr>
        <w:t xml:space="preserve"> &lt;&lt; דובר_המשך &gt;&gt; </w:t>
      </w:r>
      <w:r>
        <w:rPr>
          <w:rFonts w:hint="cs"/>
          <w:rtl/>
        </w:rPr>
        <w:t>מיכל שיר סגמן (יש עתיד):</w:t>
      </w:r>
      <w:r>
        <w:rPr>
          <w:rStyle w:val="TagStyle"/>
          <w:rtl/>
        </w:rPr>
        <w:t xml:space="preserve"> &lt;&lt; דובר_המשך &gt;&gt;</w:t>
      </w:r>
      <w:r>
        <w:rPr>
          <w:rFonts w:hint="cs"/>
          <w:rtl/>
        </w:rPr>
        <w:t xml:space="preserve"> </w:t>
      </w:r>
      <w:bookmarkEnd w:id="69686"/>
    </w:p>
    <w:p w:rsidR="00BB59CD" w:rsidRDefault="00BB59CD" w:rsidP="00337201">
      <w:pPr>
        <w:rPr>
          <w:rtl/>
        </w:rPr>
      </w:pPr>
    </w:p>
    <w:p w:rsidR="00BB59CD" w:rsidRDefault="00BB59CD" w:rsidP="00BB59CD">
      <w:pPr>
        <w:rPr>
          <w:rtl/>
        </w:rPr>
      </w:pPr>
      <w:r>
        <w:rPr>
          <w:rFonts w:hint="cs"/>
          <w:rtl/>
        </w:rPr>
        <w:t xml:space="preserve">לא, לא, דבי. דבי, סליחה, </w:t>
      </w:r>
      <w:bookmarkStart w:id="69687" w:name="_ETM_Q122_433629"/>
      <w:bookmarkStart w:id="69688" w:name="_ETM_Q122_437339"/>
      <w:bookmarkStart w:id="69689" w:name="_ETM_Q122_437669"/>
      <w:bookmarkStart w:id="69690" w:name="_ETM_Q122_437820"/>
      <w:bookmarkStart w:id="69691" w:name="_ETM_Q122_438750"/>
      <w:bookmarkStart w:id="69692" w:name="_ETM_Q122_439110"/>
      <w:bookmarkStart w:id="69693" w:name="_ETM_Q122_439620"/>
      <w:bookmarkEnd w:id="69687"/>
      <w:bookmarkEnd w:id="69688"/>
      <w:bookmarkEnd w:id="69689"/>
      <w:bookmarkEnd w:id="69690"/>
      <w:bookmarkEnd w:id="69691"/>
      <w:bookmarkEnd w:id="69692"/>
      <w:bookmarkEnd w:id="69693"/>
      <w:r>
        <w:rPr>
          <w:rFonts w:hint="cs"/>
          <w:rtl/>
        </w:rPr>
        <w:t xml:space="preserve">אני </w:t>
      </w:r>
      <w:bookmarkStart w:id="69694" w:name="_ETM_Q122_439800"/>
      <w:bookmarkEnd w:id="69694"/>
      <w:r>
        <w:rPr>
          <w:rFonts w:hint="cs"/>
          <w:rtl/>
        </w:rPr>
        <w:t xml:space="preserve">חייבת </w:t>
      </w:r>
      <w:bookmarkStart w:id="69695" w:name="_ETM_Q122_440279"/>
      <w:bookmarkEnd w:id="69695"/>
      <w:r>
        <w:rPr>
          <w:rFonts w:hint="cs"/>
          <w:rtl/>
        </w:rPr>
        <w:t xml:space="preserve">לקטוע </w:t>
      </w:r>
      <w:bookmarkStart w:id="69696" w:name="_ETM_Q122_440880"/>
      <w:bookmarkEnd w:id="69696"/>
      <w:r>
        <w:rPr>
          <w:rFonts w:hint="cs"/>
          <w:rtl/>
        </w:rPr>
        <w:t xml:space="preserve">אותך. </w:t>
      </w:r>
      <w:bookmarkStart w:id="69697" w:name="_ETM_Q122_442080"/>
      <w:bookmarkEnd w:id="69697"/>
      <w:r>
        <w:rPr>
          <w:rFonts w:hint="cs"/>
          <w:rtl/>
        </w:rPr>
        <w:t xml:space="preserve">את </w:t>
      </w:r>
      <w:bookmarkStart w:id="69698" w:name="_ETM_Q122_442439"/>
      <w:bookmarkEnd w:id="69698"/>
      <w:r>
        <w:rPr>
          <w:rFonts w:hint="cs"/>
          <w:rtl/>
        </w:rPr>
        <w:t xml:space="preserve">לא </w:t>
      </w:r>
      <w:bookmarkStart w:id="69699" w:name="_ETM_Q122_442740"/>
      <w:bookmarkEnd w:id="69699"/>
      <w:r>
        <w:rPr>
          <w:rFonts w:hint="cs"/>
          <w:rtl/>
        </w:rPr>
        <w:t xml:space="preserve">דבי </w:t>
      </w:r>
      <w:bookmarkStart w:id="69700" w:name="_ETM_Q122_443279"/>
      <w:bookmarkEnd w:id="69700"/>
      <w:r>
        <w:rPr>
          <w:rFonts w:hint="cs"/>
          <w:rtl/>
        </w:rPr>
        <w:t xml:space="preserve">ביטון </w:t>
      </w:r>
      <w:bookmarkStart w:id="69701" w:name="_ETM_Q122_443759"/>
      <w:bookmarkEnd w:id="69701"/>
      <w:r>
        <w:rPr>
          <w:rFonts w:hint="cs"/>
          <w:rtl/>
        </w:rPr>
        <w:t xml:space="preserve">מהדרום. את דבי ביטוצקי </w:t>
      </w:r>
      <w:bookmarkStart w:id="69702" w:name="_ETM_Q122_445360"/>
      <w:bookmarkStart w:id="69703" w:name="_ETM_Q122_446210"/>
      <w:bookmarkStart w:id="69704" w:name="_ETM_Q122_447020"/>
      <w:bookmarkStart w:id="69705" w:name="_ETM_Q122_447470"/>
      <w:bookmarkStart w:id="69706" w:name="_ETM_Q122_448950"/>
      <w:bookmarkEnd w:id="69702"/>
      <w:bookmarkEnd w:id="69703"/>
      <w:bookmarkEnd w:id="69704"/>
      <w:bookmarkEnd w:id="69705"/>
      <w:bookmarkEnd w:id="69706"/>
      <w:r>
        <w:rPr>
          <w:rFonts w:hint="cs"/>
          <w:rtl/>
        </w:rPr>
        <w:t xml:space="preserve">ממרכז </w:t>
      </w:r>
      <w:bookmarkStart w:id="69707" w:name="_ETM_Q122_449670"/>
      <w:bookmarkEnd w:id="69707"/>
      <w:r>
        <w:rPr>
          <w:rFonts w:hint="cs"/>
          <w:rtl/>
        </w:rPr>
        <w:t xml:space="preserve">הארץ </w:t>
      </w:r>
      <w:bookmarkStart w:id="69708" w:name="_ETM_Q122_450690"/>
      <w:bookmarkEnd w:id="69708"/>
      <w:r>
        <w:rPr>
          <w:rFonts w:hint="cs"/>
          <w:rtl/>
        </w:rPr>
        <w:t xml:space="preserve">ואת </w:t>
      </w:r>
      <w:bookmarkStart w:id="69709" w:name="_ETM_Q122_449206"/>
      <w:bookmarkEnd w:id="69709"/>
      <w:r>
        <w:rPr>
          <w:rFonts w:hint="cs"/>
          <w:rtl/>
        </w:rPr>
        <w:t>פריבילגית.</w:t>
      </w:r>
    </w:p>
    <w:p w:rsidR="00BB59CD" w:rsidRDefault="00BB59CD" w:rsidP="00BB59CD">
      <w:pPr>
        <w:rPr>
          <w:rtl/>
        </w:rPr>
      </w:pPr>
    </w:p>
    <w:p w:rsidR="00BB59CD" w:rsidRDefault="00BB59CD" w:rsidP="00BB59CD">
      <w:pPr>
        <w:pStyle w:val="af8"/>
        <w:keepNext/>
        <w:rPr>
          <w:rtl/>
        </w:rPr>
      </w:pPr>
      <w:bookmarkStart w:id="69710" w:name="ET_interruption_6341_10"/>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69710"/>
    </w:p>
    <w:p w:rsidR="00BB59CD" w:rsidRDefault="00BB59CD" w:rsidP="00337201">
      <w:pPr>
        <w:rPr>
          <w:rtl/>
        </w:rPr>
      </w:pPr>
    </w:p>
    <w:p w:rsidR="00BB59CD" w:rsidRDefault="00BB59CD" w:rsidP="00BB59CD">
      <w:pPr>
        <w:rPr>
          <w:rtl/>
        </w:rPr>
      </w:pPr>
      <w:r>
        <w:rPr>
          <w:rFonts w:hint="cs"/>
          <w:rtl/>
        </w:rPr>
        <w:t xml:space="preserve">אימצתי. </w:t>
      </w:r>
    </w:p>
    <w:p w:rsidR="00BB59CD" w:rsidRDefault="00BB59CD" w:rsidP="00BB59CD">
      <w:pPr>
        <w:rPr>
          <w:rtl/>
        </w:rPr>
      </w:pPr>
      <w:bookmarkStart w:id="69711" w:name="_ETM_Q122_451873"/>
      <w:bookmarkStart w:id="69712" w:name="_ETM_Q122_451947"/>
      <w:bookmarkEnd w:id="69711"/>
      <w:bookmarkEnd w:id="69712"/>
    </w:p>
    <w:p w:rsidR="00BB59CD" w:rsidRDefault="00BB59CD" w:rsidP="00BB59CD">
      <w:pPr>
        <w:pStyle w:val="-"/>
        <w:keepNext/>
        <w:rPr>
          <w:rtl/>
        </w:rPr>
      </w:pPr>
      <w:bookmarkStart w:id="69713" w:name="ET_speakercontinue_5809_11"/>
      <w:r>
        <w:rPr>
          <w:rStyle w:val="TagStyle"/>
          <w:rFonts w:hint="cs"/>
          <w:rtl/>
        </w:rPr>
        <w:t xml:space="preserve"> &lt;&lt; דובר_המשך &gt;&gt; </w:t>
      </w:r>
      <w:r>
        <w:rPr>
          <w:rFonts w:hint="cs"/>
          <w:rtl/>
        </w:rPr>
        <w:t>מיכל שיר סגמן (יש עתיד):</w:t>
      </w:r>
      <w:r>
        <w:rPr>
          <w:rStyle w:val="TagStyle"/>
          <w:rtl/>
        </w:rPr>
        <w:t xml:space="preserve"> &lt;&lt; דובר_המשך &gt;&gt;</w:t>
      </w:r>
      <w:r>
        <w:rPr>
          <w:rFonts w:hint="cs"/>
          <w:rtl/>
        </w:rPr>
        <w:t xml:space="preserve"> </w:t>
      </w:r>
      <w:bookmarkEnd w:id="69713"/>
    </w:p>
    <w:p w:rsidR="00BB59CD" w:rsidRDefault="00BB59CD" w:rsidP="00337201">
      <w:pPr>
        <w:rPr>
          <w:rtl/>
        </w:rPr>
      </w:pPr>
    </w:p>
    <w:p w:rsidR="00BB59CD" w:rsidRDefault="00BB59CD" w:rsidP="00A335DD">
      <w:pPr>
        <w:rPr>
          <w:rtl/>
        </w:rPr>
      </w:pPr>
      <w:bookmarkStart w:id="69714" w:name="_ETM_Q122_452728"/>
      <w:bookmarkStart w:id="69715" w:name="_ETM_Q122_453449"/>
      <w:bookmarkEnd w:id="69714"/>
      <w:bookmarkEnd w:id="69715"/>
      <w:r>
        <w:rPr>
          <w:rFonts w:hint="cs"/>
          <w:rtl/>
        </w:rPr>
        <w:t xml:space="preserve">זה הכול. את </w:t>
      </w:r>
      <w:bookmarkStart w:id="69716" w:name="_ETM_Q122_453659"/>
      <w:bookmarkEnd w:id="69716"/>
      <w:r>
        <w:rPr>
          <w:rFonts w:hint="cs"/>
          <w:rtl/>
        </w:rPr>
        <w:t xml:space="preserve">פריבילגית. </w:t>
      </w:r>
      <w:bookmarkStart w:id="69717" w:name="_ETM_Q122_454289"/>
      <w:bookmarkEnd w:id="69717"/>
      <w:r>
        <w:rPr>
          <w:rFonts w:hint="cs"/>
          <w:rtl/>
        </w:rPr>
        <w:t xml:space="preserve">תפסיקי </w:t>
      </w:r>
      <w:bookmarkStart w:id="69718" w:name="_ETM_Q122_454710"/>
      <w:bookmarkEnd w:id="69718"/>
      <w:r>
        <w:rPr>
          <w:rFonts w:hint="cs"/>
          <w:rtl/>
        </w:rPr>
        <w:t>לשקר, את</w:t>
      </w:r>
      <w:bookmarkStart w:id="69719" w:name="_ETM_Q122_455339"/>
      <w:bookmarkEnd w:id="69719"/>
      <w:r>
        <w:rPr>
          <w:rFonts w:hint="cs"/>
          <w:rtl/>
        </w:rPr>
        <w:t xml:space="preserve"> </w:t>
      </w:r>
      <w:bookmarkStart w:id="69720" w:name="_ETM_Q122_455460"/>
      <w:bookmarkEnd w:id="69720"/>
      <w:r>
        <w:rPr>
          <w:rFonts w:hint="cs"/>
          <w:rtl/>
        </w:rPr>
        <w:t xml:space="preserve">פריבילגית. </w:t>
      </w:r>
      <w:bookmarkStart w:id="69721" w:name="_ETM_Q122_458100"/>
      <w:bookmarkEnd w:id="69721"/>
      <w:r>
        <w:rPr>
          <w:rFonts w:hint="cs"/>
          <w:rtl/>
        </w:rPr>
        <w:t xml:space="preserve">לא, </w:t>
      </w:r>
      <w:bookmarkStart w:id="69722" w:name="_ETM_Q122_458279"/>
      <w:bookmarkEnd w:id="69722"/>
      <w:r>
        <w:rPr>
          <w:rFonts w:hint="cs"/>
          <w:rtl/>
        </w:rPr>
        <w:t xml:space="preserve">בחיי, </w:t>
      </w:r>
      <w:bookmarkStart w:id="69723" w:name="_ETM_Q122_458820"/>
      <w:bookmarkEnd w:id="69723"/>
      <w:r>
        <w:rPr>
          <w:rFonts w:hint="cs"/>
          <w:rtl/>
        </w:rPr>
        <w:t xml:space="preserve">מה </w:t>
      </w:r>
      <w:bookmarkStart w:id="69724" w:name="_ETM_Q122_459029"/>
      <w:bookmarkEnd w:id="69724"/>
      <w:r>
        <w:rPr>
          <w:rFonts w:hint="cs"/>
          <w:rtl/>
        </w:rPr>
        <w:t xml:space="preserve">אתם </w:t>
      </w:r>
      <w:bookmarkStart w:id="69725" w:name="_ETM_Q122_459210"/>
      <w:bookmarkEnd w:id="69725"/>
      <w:r>
        <w:rPr>
          <w:rFonts w:hint="cs"/>
          <w:rtl/>
        </w:rPr>
        <w:t xml:space="preserve">רוצים </w:t>
      </w:r>
      <w:bookmarkStart w:id="69726" w:name="_ETM_Q122_459570"/>
      <w:bookmarkEnd w:id="69726"/>
      <w:r>
        <w:rPr>
          <w:rFonts w:hint="cs"/>
          <w:rtl/>
        </w:rPr>
        <w:t xml:space="preserve">מהעם </w:t>
      </w:r>
      <w:bookmarkStart w:id="69727" w:name="_ETM_Q122_459839"/>
      <w:bookmarkStart w:id="69728" w:name="_ETM_Q122_459960"/>
      <w:bookmarkEnd w:id="69727"/>
      <w:bookmarkEnd w:id="69728"/>
      <w:r>
        <w:rPr>
          <w:rFonts w:hint="cs"/>
          <w:rtl/>
        </w:rPr>
        <w:t>הזה</w:t>
      </w:r>
      <w:r w:rsidR="00A335DD">
        <w:rPr>
          <w:rFonts w:hint="cs"/>
          <w:rtl/>
        </w:rPr>
        <w:t>,</w:t>
      </w:r>
      <w:r>
        <w:rPr>
          <w:rFonts w:hint="cs"/>
          <w:rtl/>
        </w:rPr>
        <w:t xml:space="preserve"> </w:t>
      </w:r>
      <w:bookmarkStart w:id="69729" w:name="_ETM_Q122_461099"/>
      <w:bookmarkEnd w:id="69729"/>
      <w:r>
        <w:rPr>
          <w:rFonts w:hint="cs"/>
          <w:rtl/>
        </w:rPr>
        <w:t xml:space="preserve">מה </w:t>
      </w:r>
      <w:bookmarkStart w:id="69730" w:name="_ETM_Q122_461430"/>
      <w:bookmarkStart w:id="69731" w:name="_ETM_Q122_461509"/>
      <w:bookmarkEnd w:id="69730"/>
      <w:bookmarkEnd w:id="69731"/>
      <w:r>
        <w:rPr>
          <w:rFonts w:hint="cs"/>
          <w:rtl/>
        </w:rPr>
        <w:t xml:space="preserve">אתם </w:t>
      </w:r>
      <w:bookmarkStart w:id="69732" w:name="_ETM_Q122_461629"/>
      <w:bookmarkEnd w:id="69732"/>
      <w:r>
        <w:rPr>
          <w:rFonts w:hint="cs"/>
          <w:rtl/>
        </w:rPr>
        <w:t xml:space="preserve">רוצים? </w:t>
      </w:r>
      <w:bookmarkStart w:id="69733" w:name="_ETM_Q122_464506"/>
      <w:bookmarkStart w:id="69734" w:name="_ETM_Q122_464667"/>
      <w:bookmarkStart w:id="69735" w:name="_ETM_Q122_464701"/>
      <w:bookmarkStart w:id="69736" w:name="_ETM_Q122_464779"/>
      <w:bookmarkStart w:id="69737" w:name="_ETM_Q122_464169"/>
      <w:bookmarkEnd w:id="69733"/>
      <w:bookmarkEnd w:id="69734"/>
      <w:bookmarkEnd w:id="69735"/>
      <w:bookmarkEnd w:id="69736"/>
      <w:bookmarkEnd w:id="69737"/>
      <w:r>
        <w:rPr>
          <w:rFonts w:hint="cs"/>
          <w:rtl/>
        </w:rPr>
        <w:t xml:space="preserve">זה </w:t>
      </w:r>
      <w:bookmarkStart w:id="69738" w:name="_ETM_Q122_464440"/>
      <w:bookmarkEnd w:id="69738"/>
      <w:r>
        <w:rPr>
          <w:rFonts w:hint="cs"/>
          <w:rtl/>
        </w:rPr>
        <w:t xml:space="preserve">הגיע </w:t>
      </w:r>
      <w:bookmarkStart w:id="69739" w:name="_ETM_Q122_464790"/>
      <w:bookmarkEnd w:id="69739"/>
      <w:r>
        <w:rPr>
          <w:rFonts w:hint="cs"/>
          <w:rtl/>
        </w:rPr>
        <w:t xml:space="preserve">לשלב </w:t>
      </w:r>
      <w:bookmarkStart w:id="69740" w:name="_ETM_Q122_465120"/>
      <w:bookmarkEnd w:id="69740"/>
      <w:r>
        <w:rPr>
          <w:rFonts w:hint="cs"/>
          <w:rtl/>
        </w:rPr>
        <w:t xml:space="preserve">שבאמת, </w:t>
      </w:r>
      <w:bookmarkStart w:id="69741" w:name="_ETM_Q122_465600"/>
      <w:bookmarkEnd w:id="69741"/>
      <w:r>
        <w:rPr>
          <w:rFonts w:hint="cs"/>
          <w:rtl/>
        </w:rPr>
        <w:t xml:space="preserve">אני </w:t>
      </w:r>
      <w:bookmarkStart w:id="69742" w:name="_ETM_Q122_465750"/>
      <w:bookmarkEnd w:id="69742"/>
      <w:r>
        <w:rPr>
          <w:rFonts w:hint="cs"/>
          <w:rtl/>
        </w:rPr>
        <w:t xml:space="preserve">באה </w:t>
      </w:r>
      <w:bookmarkStart w:id="69743" w:name="_ETM_Q122_465900"/>
      <w:bookmarkEnd w:id="69743"/>
      <w:r>
        <w:rPr>
          <w:rFonts w:hint="cs"/>
          <w:rtl/>
        </w:rPr>
        <w:t xml:space="preserve">לשמוע </w:t>
      </w:r>
      <w:bookmarkStart w:id="69744" w:name="_ETM_Q122_466230"/>
      <w:bookmarkEnd w:id="69744"/>
      <w:r>
        <w:rPr>
          <w:rFonts w:hint="cs"/>
          <w:rtl/>
        </w:rPr>
        <w:t xml:space="preserve">שירי </w:t>
      </w:r>
      <w:bookmarkStart w:id="69745" w:name="_ETM_Q122_466560"/>
      <w:bookmarkEnd w:id="69745"/>
      <w:r>
        <w:rPr>
          <w:rFonts w:hint="cs"/>
          <w:rtl/>
        </w:rPr>
        <w:t xml:space="preserve">ארץ </w:t>
      </w:r>
      <w:bookmarkStart w:id="69746" w:name="_ETM_Q122_466979"/>
      <w:bookmarkEnd w:id="69746"/>
      <w:r>
        <w:rPr>
          <w:rFonts w:hint="cs"/>
          <w:rtl/>
        </w:rPr>
        <w:t xml:space="preserve">ישראל </w:t>
      </w:r>
      <w:bookmarkStart w:id="69747" w:name="_ETM_Q122_468960"/>
      <w:bookmarkEnd w:id="69747"/>
      <w:r>
        <w:rPr>
          <w:rFonts w:hint="cs"/>
          <w:rtl/>
        </w:rPr>
        <w:t xml:space="preserve">וכואב </w:t>
      </w:r>
      <w:bookmarkStart w:id="69748" w:name="_ETM_Q122_469439"/>
      <w:bookmarkEnd w:id="69748"/>
      <w:r>
        <w:rPr>
          <w:rFonts w:hint="cs"/>
          <w:rtl/>
        </w:rPr>
        <w:t xml:space="preserve">לי, </w:t>
      </w:r>
      <w:bookmarkStart w:id="69749" w:name="_ETM_Q122_470509"/>
      <w:bookmarkEnd w:id="69749"/>
      <w:r>
        <w:rPr>
          <w:rFonts w:hint="cs"/>
          <w:rtl/>
        </w:rPr>
        <w:t xml:space="preserve">כואב </w:t>
      </w:r>
      <w:bookmarkStart w:id="69750" w:name="_ETM_Q122_470779"/>
      <w:bookmarkEnd w:id="69750"/>
      <w:r>
        <w:rPr>
          <w:rFonts w:hint="cs"/>
          <w:rtl/>
        </w:rPr>
        <w:t>לי,</w:t>
      </w:r>
      <w:bookmarkStart w:id="69751" w:name="_ETM_Q122_470900"/>
      <w:bookmarkEnd w:id="69751"/>
      <w:r>
        <w:rPr>
          <w:rFonts w:hint="cs"/>
          <w:rtl/>
        </w:rPr>
        <w:t xml:space="preserve"> </w:t>
      </w:r>
      <w:bookmarkStart w:id="69752" w:name="_ETM_Q122_471410"/>
      <w:bookmarkEnd w:id="69752"/>
      <w:r>
        <w:rPr>
          <w:rFonts w:hint="cs"/>
          <w:rtl/>
        </w:rPr>
        <w:t xml:space="preserve">קשה </w:t>
      </w:r>
      <w:bookmarkStart w:id="69753" w:name="_ETM_Q122_471740"/>
      <w:bookmarkStart w:id="69754" w:name="_ETM_Q122_472160"/>
      <w:bookmarkEnd w:id="69753"/>
      <w:bookmarkEnd w:id="69754"/>
      <w:r>
        <w:rPr>
          <w:rFonts w:hint="cs"/>
          <w:rtl/>
        </w:rPr>
        <w:t xml:space="preserve">לי </w:t>
      </w:r>
      <w:bookmarkStart w:id="69755" w:name="_ETM_Q122_472279"/>
      <w:bookmarkEnd w:id="69755"/>
      <w:r>
        <w:rPr>
          <w:rFonts w:hint="cs"/>
          <w:rtl/>
        </w:rPr>
        <w:t xml:space="preserve">לשמוע </w:t>
      </w:r>
      <w:bookmarkStart w:id="69756" w:name="_ETM_Q122_473500"/>
      <w:bookmarkEnd w:id="69756"/>
      <w:r>
        <w:rPr>
          <w:rFonts w:hint="cs"/>
          <w:rtl/>
        </w:rPr>
        <w:t xml:space="preserve">את </w:t>
      </w:r>
      <w:bookmarkStart w:id="69757" w:name="_ETM_Q122_473800"/>
      <w:bookmarkEnd w:id="69757"/>
      <w:r>
        <w:rPr>
          <w:rFonts w:hint="cs"/>
          <w:rtl/>
        </w:rPr>
        <w:t xml:space="preserve">השירים </w:t>
      </w:r>
      <w:bookmarkStart w:id="69758" w:name="_ETM_Q122_474250"/>
      <w:bookmarkEnd w:id="69758"/>
      <w:r>
        <w:rPr>
          <w:rFonts w:hint="cs"/>
          <w:rtl/>
        </w:rPr>
        <w:t xml:space="preserve">האלה, </w:t>
      </w:r>
      <w:bookmarkStart w:id="69759" w:name="_ETM_Q122_474460"/>
      <w:bookmarkEnd w:id="69759"/>
      <w:r>
        <w:rPr>
          <w:rFonts w:hint="cs"/>
          <w:rtl/>
        </w:rPr>
        <w:t xml:space="preserve">קשה </w:t>
      </w:r>
      <w:bookmarkStart w:id="69760" w:name="_ETM_Q122_474850"/>
      <w:bookmarkEnd w:id="69760"/>
      <w:r>
        <w:rPr>
          <w:rFonts w:hint="cs"/>
          <w:rtl/>
        </w:rPr>
        <w:t>לי.</w:t>
      </w:r>
    </w:p>
    <w:p w:rsidR="00BB59CD" w:rsidRDefault="00BB59CD" w:rsidP="00BB59CD">
      <w:pPr>
        <w:rPr>
          <w:rtl/>
        </w:rPr>
      </w:pPr>
    </w:p>
    <w:p w:rsidR="00BB59CD" w:rsidRDefault="00BB59CD" w:rsidP="00A335DD">
      <w:pPr>
        <w:rPr>
          <w:rtl/>
        </w:rPr>
      </w:pPr>
      <w:bookmarkStart w:id="69761" w:name="_ETM_Q122_476831"/>
      <w:bookmarkStart w:id="69762" w:name="_ETM_Q122_477500"/>
      <w:bookmarkEnd w:id="69761"/>
      <w:bookmarkEnd w:id="69762"/>
      <w:r>
        <w:rPr>
          <w:rFonts w:hint="cs"/>
          <w:rtl/>
        </w:rPr>
        <w:t xml:space="preserve">באים, </w:t>
      </w:r>
      <w:bookmarkStart w:id="69763" w:name="_ETM_Q122_478040"/>
      <w:bookmarkEnd w:id="69763"/>
      <w:r>
        <w:rPr>
          <w:rFonts w:hint="cs"/>
          <w:rtl/>
        </w:rPr>
        <w:t xml:space="preserve">אומרים </w:t>
      </w:r>
      <w:bookmarkStart w:id="69764" w:name="_ETM_Q122_478460"/>
      <w:bookmarkEnd w:id="69764"/>
      <w:r>
        <w:rPr>
          <w:rFonts w:hint="cs"/>
          <w:rtl/>
        </w:rPr>
        <w:t xml:space="preserve">לי </w:t>
      </w:r>
      <w:bookmarkStart w:id="69765" w:name="_ETM_Q122_478700"/>
      <w:bookmarkEnd w:id="69765"/>
      <w:r>
        <w:rPr>
          <w:rFonts w:hint="cs"/>
          <w:rtl/>
        </w:rPr>
        <w:t xml:space="preserve">שאני </w:t>
      </w:r>
      <w:bookmarkStart w:id="69766" w:name="_ETM_Q122_479029"/>
      <w:bookmarkEnd w:id="69766"/>
      <w:r>
        <w:rPr>
          <w:rFonts w:hint="cs"/>
          <w:rtl/>
        </w:rPr>
        <w:t xml:space="preserve">לא </w:t>
      </w:r>
      <w:bookmarkStart w:id="69767" w:name="_ETM_Q122_479150"/>
      <w:bookmarkEnd w:id="69767"/>
      <w:r>
        <w:rPr>
          <w:rFonts w:hint="cs"/>
          <w:rtl/>
        </w:rPr>
        <w:t xml:space="preserve">מספיק </w:t>
      </w:r>
      <w:bookmarkStart w:id="69768" w:name="_ETM_Q122_479660"/>
      <w:bookmarkEnd w:id="69768"/>
      <w:r>
        <w:rPr>
          <w:rFonts w:hint="cs"/>
          <w:rtl/>
        </w:rPr>
        <w:t>יהודייה.</w:t>
      </w:r>
      <w:bookmarkStart w:id="69769" w:name="_ETM_Q122_480000"/>
      <w:bookmarkStart w:id="69770" w:name="_ETM_Q122_480210"/>
      <w:bookmarkEnd w:id="69769"/>
      <w:bookmarkEnd w:id="69770"/>
      <w:r>
        <w:rPr>
          <w:rFonts w:hint="cs"/>
          <w:rtl/>
        </w:rPr>
        <w:t xml:space="preserve"> </w:t>
      </w:r>
      <w:bookmarkStart w:id="69771" w:name="_ETM_Q122_482469"/>
      <w:bookmarkEnd w:id="69771"/>
      <w:r>
        <w:rPr>
          <w:rFonts w:hint="cs"/>
          <w:rtl/>
        </w:rPr>
        <w:t xml:space="preserve">הילדים </w:t>
      </w:r>
      <w:bookmarkStart w:id="69772" w:name="_ETM_Q122_482920"/>
      <w:bookmarkEnd w:id="69772"/>
      <w:r>
        <w:rPr>
          <w:rFonts w:hint="cs"/>
          <w:rtl/>
        </w:rPr>
        <w:t xml:space="preserve">שלי </w:t>
      </w:r>
      <w:bookmarkStart w:id="69773" w:name="_ETM_Q122_483900"/>
      <w:bookmarkEnd w:id="69773"/>
      <w:r>
        <w:rPr>
          <w:rFonts w:hint="cs"/>
          <w:rtl/>
        </w:rPr>
        <w:t xml:space="preserve">בגן </w:t>
      </w:r>
      <w:bookmarkStart w:id="69774" w:name="_ETM_Q122_484410"/>
      <w:bookmarkEnd w:id="69774"/>
      <w:r>
        <w:rPr>
          <w:rFonts w:hint="cs"/>
          <w:rtl/>
        </w:rPr>
        <w:t xml:space="preserve">דתי </w:t>
      </w:r>
      <w:bookmarkStart w:id="69775" w:name="_ETM_Q122_485490"/>
      <w:bookmarkEnd w:id="69775"/>
      <w:r>
        <w:rPr>
          <w:rFonts w:hint="cs"/>
          <w:rtl/>
        </w:rPr>
        <w:t xml:space="preserve">– ואלכ, </w:t>
      </w:r>
      <w:bookmarkStart w:id="69776" w:name="_ETM_Q122_486149"/>
      <w:bookmarkEnd w:id="69776"/>
      <w:r>
        <w:rPr>
          <w:rFonts w:hint="cs"/>
          <w:rtl/>
        </w:rPr>
        <w:t xml:space="preserve">תעמידו </w:t>
      </w:r>
      <w:bookmarkStart w:id="69777" w:name="_ETM_Q122_486779"/>
      <w:bookmarkEnd w:id="69777"/>
      <w:r>
        <w:rPr>
          <w:rFonts w:hint="cs"/>
          <w:rtl/>
        </w:rPr>
        <w:t xml:space="preserve">את </w:t>
      </w:r>
      <w:bookmarkStart w:id="69778" w:name="_ETM_Q122_486839"/>
      <w:bookmarkEnd w:id="69778"/>
      <w:r>
        <w:rPr>
          <w:rFonts w:hint="cs"/>
          <w:rtl/>
        </w:rPr>
        <w:t xml:space="preserve">שני </w:t>
      </w:r>
      <w:bookmarkStart w:id="69779" w:name="_ETM_Q122_487050"/>
      <w:bookmarkEnd w:id="69779"/>
      <w:r>
        <w:rPr>
          <w:rFonts w:hint="cs"/>
          <w:rtl/>
        </w:rPr>
        <w:t xml:space="preserve">הזאטוטים </w:t>
      </w:r>
      <w:bookmarkStart w:id="69780" w:name="_ETM_Q122_487770"/>
      <w:bookmarkEnd w:id="69780"/>
      <w:r>
        <w:rPr>
          <w:rFonts w:hint="cs"/>
          <w:rtl/>
        </w:rPr>
        <w:t xml:space="preserve">האלה, </w:t>
      </w:r>
      <w:bookmarkStart w:id="69781" w:name="_ETM_Q122_488460"/>
      <w:bookmarkEnd w:id="69781"/>
      <w:r>
        <w:rPr>
          <w:rFonts w:hint="cs"/>
          <w:rtl/>
        </w:rPr>
        <w:t xml:space="preserve">מרביצים </w:t>
      </w:r>
      <w:bookmarkStart w:id="69782" w:name="_ETM_Q122_489059"/>
      <w:bookmarkEnd w:id="69782"/>
      <w:r>
        <w:rPr>
          <w:rFonts w:hint="cs"/>
          <w:rtl/>
        </w:rPr>
        <w:t xml:space="preserve">לכם </w:t>
      </w:r>
      <w:bookmarkStart w:id="69783" w:name="_ETM_Q122_489330"/>
      <w:bookmarkEnd w:id="69783"/>
      <w:r>
        <w:rPr>
          <w:rFonts w:hint="cs"/>
          <w:rtl/>
        </w:rPr>
        <w:t xml:space="preserve">פה </w:t>
      </w:r>
      <w:bookmarkStart w:id="69784" w:name="_ETM_Q122_489510"/>
      <w:bookmarkEnd w:id="69784"/>
      <w:r>
        <w:rPr>
          <w:rFonts w:hint="cs"/>
          <w:rtl/>
        </w:rPr>
        <w:t xml:space="preserve">את </w:t>
      </w:r>
      <w:bookmarkStart w:id="69785" w:name="_ETM_Q122_489690"/>
      <w:bookmarkEnd w:id="69785"/>
      <w:r>
        <w:rPr>
          <w:rFonts w:hint="cs"/>
          <w:rtl/>
        </w:rPr>
        <w:t xml:space="preserve">כל </w:t>
      </w:r>
      <w:bookmarkStart w:id="69786" w:name="_ETM_Q122_490049"/>
      <w:bookmarkEnd w:id="69786"/>
      <w:r>
        <w:rPr>
          <w:rFonts w:hint="cs"/>
          <w:rtl/>
        </w:rPr>
        <w:t xml:space="preserve">תפילות </w:t>
      </w:r>
      <w:bookmarkStart w:id="69787" w:name="_ETM_Q122_490500"/>
      <w:bookmarkEnd w:id="69787"/>
      <w:r>
        <w:rPr>
          <w:rFonts w:hint="cs"/>
          <w:rtl/>
        </w:rPr>
        <w:t xml:space="preserve">שחרית, את </w:t>
      </w:r>
      <w:bookmarkStart w:id="69788" w:name="_ETM_Q122_490860"/>
      <w:bookmarkStart w:id="69789" w:name="_ETM_Q122_491519"/>
      <w:bookmarkStart w:id="69790" w:name="_ETM_Q122_491700"/>
      <w:bookmarkEnd w:id="69788"/>
      <w:bookmarkEnd w:id="69789"/>
      <w:bookmarkEnd w:id="69790"/>
      <w:r>
        <w:rPr>
          <w:rFonts w:hint="cs"/>
          <w:rtl/>
        </w:rPr>
        <w:t xml:space="preserve">כל </w:t>
      </w:r>
      <w:bookmarkStart w:id="69791" w:name="_ETM_Q122_492000"/>
      <w:bookmarkEnd w:id="69791"/>
      <w:r>
        <w:rPr>
          <w:rFonts w:hint="cs"/>
          <w:rtl/>
        </w:rPr>
        <w:t xml:space="preserve">קריאת </w:t>
      </w:r>
      <w:bookmarkStart w:id="69792" w:name="_ETM_Q122_492540"/>
      <w:bookmarkEnd w:id="69792"/>
      <w:r>
        <w:rPr>
          <w:rFonts w:hint="cs"/>
          <w:rtl/>
        </w:rPr>
        <w:t xml:space="preserve">שמע, </w:t>
      </w:r>
      <w:bookmarkStart w:id="69793" w:name="_ETM_Q122_493019"/>
      <w:bookmarkEnd w:id="69793"/>
      <w:r>
        <w:rPr>
          <w:rFonts w:hint="cs"/>
          <w:rtl/>
        </w:rPr>
        <w:t xml:space="preserve">הכול </w:t>
      </w:r>
      <w:bookmarkStart w:id="69794" w:name="_ETM_Q122_493440"/>
      <w:bookmarkEnd w:id="69794"/>
      <w:r>
        <w:rPr>
          <w:rFonts w:hint="cs"/>
          <w:rtl/>
        </w:rPr>
        <w:t xml:space="preserve">– טה-טה-טה – </w:t>
      </w:r>
      <w:bookmarkStart w:id="69795" w:name="_ETM_Q122_493589"/>
      <w:bookmarkStart w:id="69796" w:name="_ETM_Q122_493740"/>
      <w:bookmarkStart w:id="69797" w:name="_ETM_Q122_493860"/>
      <w:bookmarkStart w:id="69798" w:name="_ETM_Q122_494010"/>
      <w:bookmarkStart w:id="69799" w:name="_ETM_Q122_494160"/>
      <w:bookmarkStart w:id="69800" w:name="_ETM_Q122_494279"/>
      <w:bookmarkStart w:id="69801" w:name="_ETM_Q122_494460"/>
      <w:bookmarkStart w:id="69802" w:name="_ETM_Q122_494580"/>
      <w:bookmarkStart w:id="69803" w:name="_ETM_Q122_494730"/>
      <w:bookmarkEnd w:id="69795"/>
      <w:bookmarkEnd w:id="69796"/>
      <w:bookmarkEnd w:id="69797"/>
      <w:bookmarkEnd w:id="69798"/>
      <w:bookmarkEnd w:id="69799"/>
      <w:bookmarkEnd w:id="69800"/>
      <w:bookmarkEnd w:id="69801"/>
      <w:bookmarkEnd w:id="69802"/>
      <w:bookmarkEnd w:id="69803"/>
      <w:r>
        <w:rPr>
          <w:rFonts w:hint="cs"/>
          <w:rtl/>
        </w:rPr>
        <w:t xml:space="preserve">אגב, זה </w:t>
      </w:r>
      <w:bookmarkStart w:id="69804" w:name="_ETM_Q122_494820"/>
      <w:bookmarkEnd w:id="69804"/>
      <w:r>
        <w:rPr>
          <w:rFonts w:hint="cs"/>
          <w:rtl/>
        </w:rPr>
        <w:t xml:space="preserve">הדבר </w:t>
      </w:r>
      <w:bookmarkStart w:id="69805" w:name="_ETM_Q122_495029"/>
      <w:bookmarkEnd w:id="69805"/>
      <w:r>
        <w:rPr>
          <w:rFonts w:hint="cs"/>
          <w:rtl/>
        </w:rPr>
        <w:t xml:space="preserve">הכי </w:t>
      </w:r>
      <w:bookmarkStart w:id="69806" w:name="_ETM_Q122_495179"/>
      <w:bookmarkEnd w:id="69806"/>
      <w:r>
        <w:rPr>
          <w:rFonts w:hint="cs"/>
          <w:rtl/>
        </w:rPr>
        <w:t xml:space="preserve">חמוד </w:t>
      </w:r>
      <w:bookmarkStart w:id="69807" w:name="_ETM_Q122_495540"/>
      <w:bookmarkStart w:id="69808" w:name="_ETM_Q122_495750"/>
      <w:bookmarkEnd w:id="69807"/>
      <w:bookmarkEnd w:id="69808"/>
      <w:r>
        <w:rPr>
          <w:rFonts w:hint="cs"/>
          <w:rtl/>
        </w:rPr>
        <w:t xml:space="preserve">שתוכלו </w:t>
      </w:r>
      <w:bookmarkStart w:id="69809" w:name="_ETM_Q122_496050"/>
      <w:bookmarkEnd w:id="69809"/>
      <w:r>
        <w:rPr>
          <w:rFonts w:hint="cs"/>
          <w:rtl/>
        </w:rPr>
        <w:t xml:space="preserve">לשמוע </w:t>
      </w:r>
      <w:bookmarkStart w:id="69810" w:name="_ETM_Q122_496380"/>
      <w:bookmarkEnd w:id="69810"/>
      <w:r>
        <w:rPr>
          <w:rFonts w:hint="cs"/>
          <w:rtl/>
        </w:rPr>
        <w:t xml:space="preserve">אי פעם. </w:t>
      </w:r>
      <w:bookmarkStart w:id="69811" w:name="_ETM_Q122_497009"/>
      <w:bookmarkEnd w:id="69811"/>
      <w:r>
        <w:rPr>
          <w:rFonts w:hint="cs"/>
          <w:rtl/>
        </w:rPr>
        <w:t xml:space="preserve">באמת, </w:t>
      </w:r>
      <w:bookmarkStart w:id="69812" w:name="_ETM_Q122_497430"/>
      <w:bookmarkEnd w:id="69812"/>
      <w:r>
        <w:rPr>
          <w:rFonts w:hint="cs"/>
          <w:rtl/>
        </w:rPr>
        <w:t>בחיי.</w:t>
      </w:r>
      <w:bookmarkStart w:id="69813" w:name="_ETM_Q122_501318"/>
      <w:bookmarkStart w:id="69814" w:name="_ETM_Q122_501445"/>
      <w:bookmarkStart w:id="69815" w:name="_ETM_Q122_501564"/>
      <w:bookmarkStart w:id="69816" w:name="_ETM_Q122_501670"/>
      <w:bookmarkStart w:id="69817" w:name="_ETM_Q122_499910"/>
      <w:bookmarkStart w:id="69818" w:name="_ETM_Q122_500179"/>
      <w:bookmarkEnd w:id="69813"/>
      <w:bookmarkEnd w:id="69814"/>
      <w:bookmarkEnd w:id="69815"/>
      <w:bookmarkEnd w:id="69816"/>
      <w:bookmarkEnd w:id="69817"/>
      <w:bookmarkEnd w:id="69818"/>
      <w:r w:rsidR="00A335DD">
        <w:rPr>
          <w:rFonts w:hint="cs"/>
          <w:rtl/>
        </w:rPr>
        <w:t xml:space="preserve"> אני </w:t>
      </w:r>
      <w:r>
        <w:rPr>
          <w:rFonts w:hint="cs"/>
          <w:rtl/>
        </w:rPr>
        <w:t xml:space="preserve">לא </w:t>
      </w:r>
      <w:bookmarkStart w:id="69819" w:name="_ETM_Q122_500269"/>
      <w:bookmarkEnd w:id="69819"/>
      <w:r>
        <w:rPr>
          <w:rFonts w:hint="cs"/>
          <w:rtl/>
        </w:rPr>
        <w:t>מספיק</w:t>
      </w:r>
      <w:bookmarkStart w:id="69820" w:name="_ETM_Q122_500900"/>
      <w:bookmarkEnd w:id="69820"/>
      <w:r>
        <w:rPr>
          <w:rFonts w:hint="cs"/>
          <w:rtl/>
        </w:rPr>
        <w:t xml:space="preserve"> </w:t>
      </w:r>
      <w:bookmarkStart w:id="69821" w:name="_ETM_Q122_501529"/>
      <w:bookmarkEnd w:id="69821"/>
      <w:r w:rsidR="00A335DD">
        <w:rPr>
          <w:rFonts w:hint="eastAsia"/>
          <w:rtl/>
        </w:rPr>
        <w:t>–</w:t>
      </w:r>
      <w:r w:rsidR="00A335DD">
        <w:rPr>
          <w:rFonts w:hint="cs"/>
          <w:rtl/>
        </w:rPr>
        <w:t xml:space="preserve"> </w:t>
      </w:r>
      <w:r>
        <w:rPr>
          <w:rFonts w:hint="cs"/>
          <w:rtl/>
        </w:rPr>
        <w:t xml:space="preserve">לא, </w:t>
      </w:r>
      <w:bookmarkStart w:id="69822" w:name="_ETM_Q122_501650"/>
      <w:bookmarkEnd w:id="69822"/>
      <w:r>
        <w:rPr>
          <w:rFonts w:hint="cs"/>
          <w:rtl/>
        </w:rPr>
        <w:t xml:space="preserve">באמת. </w:t>
      </w:r>
      <w:bookmarkStart w:id="69823" w:name="_ETM_Q122_502009"/>
      <w:bookmarkStart w:id="69824" w:name="_ETM_Q122_502220"/>
      <w:bookmarkEnd w:id="69823"/>
      <w:bookmarkEnd w:id="69824"/>
      <w:r>
        <w:rPr>
          <w:rFonts w:hint="cs"/>
          <w:rtl/>
        </w:rPr>
        <w:t xml:space="preserve">לפי </w:t>
      </w:r>
      <w:bookmarkStart w:id="69825" w:name="_ETM_Q122_502400"/>
      <w:bookmarkEnd w:id="69825"/>
      <w:r>
        <w:rPr>
          <w:rFonts w:hint="cs"/>
          <w:rtl/>
        </w:rPr>
        <w:t xml:space="preserve">מה </w:t>
      </w:r>
      <w:bookmarkStart w:id="69826" w:name="_ETM_Q122_502550"/>
      <w:bookmarkEnd w:id="69826"/>
      <w:r>
        <w:rPr>
          <w:rFonts w:hint="cs"/>
          <w:rtl/>
        </w:rPr>
        <w:t>אתם שופטים?</w:t>
      </w:r>
      <w:bookmarkStart w:id="69827" w:name="_ETM_Q122_502880"/>
      <w:bookmarkEnd w:id="69827"/>
      <w:r>
        <w:rPr>
          <w:rFonts w:hint="cs"/>
          <w:rtl/>
        </w:rPr>
        <w:t xml:space="preserve"> עכשיו לא בא לי להיות דתייה – ואללה, </w:t>
      </w:r>
      <w:bookmarkStart w:id="69828" w:name="_ETM_Q122_505126"/>
      <w:bookmarkEnd w:id="69828"/>
      <w:r>
        <w:rPr>
          <w:rFonts w:hint="cs"/>
          <w:rtl/>
        </w:rPr>
        <w:t xml:space="preserve">מחר אולי לא יתחשק לי להיות </w:t>
      </w:r>
      <w:bookmarkStart w:id="69829" w:name="_ETM_Q122_503329"/>
      <w:bookmarkStart w:id="69830" w:name="_ETM_Q122_503539"/>
      <w:bookmarkStart w:id="69831" w:name="_ETM_Q122_503929"/>
      <w:bookmarkStart w:id="69832" w:name="_ETM_Q122_504019"/>
      <w:bookmarkStart w:id="69833" w:name="_ETM_Q122_504140"/>
      <w:bookmarkStart w:id="69834" w:name="_ETM_Q122_504230"/>
      <w:bookmarkStart w:id="69835" w:name="_ETM_Q122_504380"/>
      <w:bookmarkEnd w:id="69829"/>
      <w:bookmarkEnd w:id="69830"/>
      <w:bookmarkEnd w:id="69831"/>
      <w:bookmarkEnd w:id="69832"/>
      <w:bookmarkEnd w:id="69833"/>
      <w:bookmarkEnd w:id="69834"/>
      <w:bookmarkEnd w:id="69835"/>
      <w:r>
        <w:rPr>
          <w:rFonts w:hint="cs"/>
          <w:rtl/>
        </w:rPr>
        <w:t xml:space="preserve">דתייה, זה הופך אותי לפחות יהודייה? </w:t>
      </w:r>
      <w:bookmarkStart w:id="69836" w:name="_ETM_Q122_504859"/>
      <w:bookmarkStart w:id="69837" w:name="_ETM_Q122_504949"/>
      <w:bookmarkStart w:id="69838" w:name="_ETM_Q122_506080"/>
      <w:bookmarkStart w:id="69839" w:name="_ETM_Q122_506470"/>
      <w:bookmarkStart w:id="69840" w:name="_ETM_Q122_506740"/>
      <w:bookmarkStart w:id="69841" w:name="_ETM_Q122_506949"/>
      <w:bookmarkStart w:id="69842" w:name="_ETM_Q122_507039"/>
      <w:bookmarkStart w:id="69843" w:name="_ETM_Q122_507369"/>
      <w:bookmarkStart w:id="69844" w:name="_ETM_Q122_507490"/>
      <w:bookmarkStart w:id="69845" w:name="_ETM_Q122_507670"/>
      <w:bookmarkStart w:id="69846" w:name="_ETM_Q122_508670"/>
      <w:bookmarkStart w:id="69847" w:name="_ETM_Q122_508790"/>
      <w:bookmarkStart w:id="69848" w:name="_ETM_Q122_509029"/>
      <w:bookmarkStart w:id="69849" w:name="_ETM_Q122_509180"/>
      <w:bookmarkStart w:id="69850" w:name="_ETM_Q122_509540"/>
      <w:bookmarkStart w:id="69851" w:name="_ETM_Q122_511980"/>
      <w:bookmarkEnd w:id="69836"/>
      <w:bookmarkEnd w:id="69837"/>
      <w:bookmarkEnd w:id="69838"/>
      <w:bookmarkEnd w:id="69839"/>
      <w:bookmarkEnd w:id="69840"/>
      <w:bookmarkEnd w:id="69841"/>
      <w:bookmarkEnd w:id="69842"/>
      <w:bookmarkEnd w:id="69843"/>
      <w:bookmarkEnd w:id="69844"/>
      <w:bookmarkEnd w:id="69845"/>
      <w:bookmarkEnd w:id="69846"/>
      <w:bookmarkEnd w:id="69847"/>
      <w:bookmarkEnd w:id="69848"/>
      <w:bookmarkEnd w:id="69849"/>
      <w:bookmarkEnd w:id="69850"/>
      <w:bookmarkEnd w:id="69851"/>
      <w:r>
        <w:rPr>
          <w:rFonts w:hint="cs"/>
          <w:rtl/>
        </w:rPr>
        <w:t xml:space="preserve">מה </w:t>
      </w:r>
      <w:bookmarkStart w:id="69852" w:name="_ETM_Q122_512190"/>
      <w:bookmarkEnd w:id="69852"/>
      <w:r>
        <w:rPr>
          <w:rFonts w:hint="cs"/>
          <w:rtl/>
        </w:rPr>
        <w:t xml:space="preserve">אמות </w:t>
      </w:r>
      <w:bookmarkStart w:id="69853" w:name="_ETM_Q122_512460"/>
      <w:bookmarkEnd w:id="69853"/>
      <w:r>
        <w:rPr>
          <w:rFonts w:hint="cs"/>
          <w:rtl/>
        </w:rPr>
        <w:t xml:space="preserve">המוסר </w:t>
      </w:r>
      <w:bookmarkStart w:id="69854" w:name="_ETM_Q122_513000"/>
      <w:bookmarkEnd w:id="69854"/>
      <w:r>
        <w:rPr>
          <w:rFonts w:hint="cs"/>
          <w:rtl/>
        </w:rPr>
        <w:t xml:space="preserve">שלכם? </w:t>
      </w:r>
      <w:bookmarkStart w:id="69855" w:name="_ETM_Q122_513450"/>
      <w:bookmarkEnd w:id="69855"/>
      <w:r>
        <w:rPr>
          <w:rFonts w:hint="cs"/>
          <w:rtl/>
        </w:rPr>
        <w:t xml:space="preserve">מה </w:t>
      </w:r>
      <w:bookmarkStart w:id="69856" w:name="_ETM_Q122_513540"/>
      <w:bookmarkEnd w:id="69856"/>
      <w:r>
        <w:rPr>
          <w:rFonts w:hint="cs"/>
          <w:rtl/>
        </w:rPr>
        <w:t xml:space="preserve">אמות </w:t>
      </w:r>
      <w:bookmarkStart w:id="69857" w:name="_ETM_Q122_513779"/>
      <w:bookmarkEnd w:id="69857"/>
      <w:r>
        <w:rPr>
          <w:rFonts w:hint="cs"/>
          <w:rtl/>
        </w:rPr>
        <w:t xml:space="preserve">המידה </w:t>
      </w:r>
      <w:bookmarkStart w:id="69858" w:name="_ETM_Q122_514200"/>
      <w:bookmarkEnd w:id="69858"/>
      <w:r>
        <w:rPr>
          <w:rFonts w:hint="cs"/>
          <w:rtl/>
        </w:rPr>
        <w:t xml:space="preserve">שלכם? </w:t>
      </w:r>
      <w:bookmarkStart w:id="69859" w:name="_ETM_Q122_514740"/>
      <w:bookmarkEnd w:id="69859"/>
      <w:r>
        <w:rPr>
          <w:rFonts w:hint="cs"/>
          <w:rtl/>
        </w:rPr>
        <w:t xml:space="preserve">רק </w:t>
      </w:r>
      <w:bookmarkStart w:id="69860" w:name="_ETM_Q122_515040"/>
      <w:bookmarkEnd w:id="69860"/>
      <w:r>
        <w:rPr>
          <w:rFonts w:hint="cs"/>
          <w:rtl/>
        </w:rPr>
        <w:t xml:space="preserve">מי שהוא </w:t>
      </w:r>
      <w:bookmarkStart w:id="69861" w:name="_ETM_Q122_517129"/>
      <w:bookmarkEnd w:id="69861"/>
      <w:r>
        <w:rPr>
          <w:rFonts w:hint="cs"/>
          <w:rtl/>
        </w:rPr>
        <w:t xml:space="preserve">דתי </w:t>
      </w:r>
      <w:bookmarkStart w:id="69862" w:name="_ETM_Q122_517640"/>
      <w:bookmarkEnd w:id="69862"/>
      <w:r>
        <w:rPr>
          <w:rFonts w:hint="cs"/>
          <w:rtl/>
        </w:rPr>
        <w:t xml:space="preserve">בצורה </w:t>
      </w:r>
      <w:bookmarkStart w:id="69863" w:name="_ETM_Q122_518089"/>
      <w:bookmarkEnd w:id="69863"/>
      <w:r>
        <w:rPr>
          <w:rFonts w:hint="cs"/>
          <w:rtl/>
        </w:rPr>
        <w:t xml:space="preserve">מסוימת? </w:t>
      </w:r>
      <w:bookmarkStart w:id="69864" w:name="_ETM_Q122_520820"/>
      <w:bookmarkEnd w:id="69864"/>
      <w:r>
        <w:rPr>
          <w:rFonts w:hint="cs"/>
          <w:rtl/>
        </w:rPr>
        <w:t xml:space="preserve">מה </w:t>
      </w:r>
      <w:bookmarkStart w:id="69865" w:name="_ETM_Q122_521179"/>
      <w:bookmarkEnd w:id="69865"/>
      <w:r>
        <w:rPr>
          <w:rFonts w:hint="cs"/>
          <w:rtl/>
        </w:rPr>
        <w:t xml:space="preserve">אתם </w:t>
      </w:r>
      <w:bookmarkStart w:id="69866" w:name="_ETM_Q122_521480"/>
      <w:bookmarkEnd w:id="69866"/>
      <w:r>
        <w:rPr>
          <w:rFonts w:hint="cs"/>
          <w:rtl/>
        </w:rPr>
        <w:t xml:space="preserve">רוצים </w:t>
      </w:r>
      <w:bookmarkStart w:id="69867" w:name="_ETM_Q122_521720"/>
      <w:bookmarkEnd w:id="69867"/>
      <w:r>
        <w:rPr>
          <w:rFonts w:hint="cs"/>
          <w:rtl/>
        </w:rPr>
        <w:t xml:space="preserve">מהעם </w:t>
      </w:r>
      <w:bookmarkStart w:id="69868" w:name="_ETM_Q122_522440"/>
      <w:bookmarkEnd w:id="69868"/>
      <w:r>
        <w:rPr>
          <w:rFonts w:hint="cs"/>
          <w:rtl/>
        </w:rPr>
        <w:t>הזה?</w:t>
      </w:r>
    </w:p>
    <w:p w:rsidR="00BB59CD" w:rsidRDefault="00BB59CD" w:rsidP="00BB59CD">
      <w:pPr>
        <w:rPr>
          <w:rtl/>
        </w:rPr>
      </w:pPr>
      <w:bookmarkStart w:id="69869" w:name="_ETM_Q122_523262"/>
      <w:bookmarkStart w:id="69870" w:name="_ETM_Q122_523379"/>
      <w:bookmarkEnd w:id="69869"/>
      <w:bookmarkEnd w:id="69870"/>
    </w:p>
    <w:p w:rsidR="00BB59CD" w:rsidRDefault="00BB59CD" w:rsidP="00BB59CD">
      <w:pPr>
        <w:rPr>
          <w:rtl/>
        </w:rPr>
      </w:pPr>
      <w:bookmarkStart w:id="69871" w:name="_ETM_Q122_523422"/>
      <w:bookmarkStart w:id="69872" w:name="_ETM_Q122_523505"/>
      <w:bookmarkStart w:id="69873" w:name="_ETM_Q122_523839"/>
      <w:bookmarkEnd w:id="69871"/>
      <w:bookmarkEnd w:id="69872"/>
      <w:bookmarkEnd w:id="69873"/>
      <w:r>
        <w:rPr>
          <w:rFonts w:hint="cs"/>
          <w:rtl/>
        </w:rPr>
        <w:t xml:space="preserve">תתחילו </w:t>
      </w:r>
      <w:bookmarkStart w:id="69874" w:name="_ETM_Q122_524199"/>
      <w:bookmarkEnd w:id="69874"/>
      <w:r>
        <w:rPr>
          <w:rFonts w:hint="cs"/>
          <w:rtl/>
        </w:rPr>
        <w:t xml:space="preserve">לטפל </w:t>
      </w:r>
      <w:bookmarkStart w:id="69875" w:name="_ETM_Q122_524769"/>
      <w:bookmarkEnd w:id="69875"/>
      <w:r>
        <w:rPr>
          <w:rFonts w:hint="cs"/>
          <w:rtl/>
        </w:rPr>
        <w:t xml:space="preserve">במה </w:t>
      </w:r>
      <w:bookmarkStart w:id="69876" w:name="_ETM_Q122_525039"/>
      <w:bookmarkEnd w:id="69876"/>
      <w:r>
        <w:rPr>
          <w:rFonts w:hint="cs"/>
          <w:rtl/>
        </w:rPr>
        <w:t xml:space="preserve">שבאמת </w:t>
      </w:r>
      <w:bookmarkStart w:id="69877" w:name="_ETM_Q122_525519"/>
      <w:bookmarkEnd w:id="69877"/>
      <w:r>
        <w:rPr>
          <w:rFonts w:hint="cs"/>
          <w:rtl/>
        </w:rPr>
        <w:t xml:space="preserve">חשוב. </w:t>
      </w:r>
      <w:bookmarkStart w:id="69878" w:name="_ETM_Q122_527120"/>
      <w:bookmarkEnd w:id="69878"/>
      <w:r>
        <w:rPr>
          <w:rFonts w:hint="cs"/>
          <w:rtl/>
        </w:rPr>
        <w:t xml:space="preserve">תתחילו </w:t>
      </w:r>
      <w:bookmarkStart w:id="69879" w:name="_ETM_Q122_527810"/>
      <w:bookmarkEnd w:id="69879"/>
      <w:r>
        <w:rPr>
          <w:rFonts w:hint="cs"/>
          <w:rtl/>
        </w:rPr>
        <w:t xml:space="preserve">לטפל </w:t>
      </w:r>
      <w:bookmarkStart w:id="69880" w:name="_ETM_Q122_529730"/>
      <w:bookmarkEnd w:id="69880"/>
      <w:r>
        <w:rPr>
          <w:rFonts w:hint="cs"/>
          <w:rtl/>
        </w:rPr>
        <w:t>ב</w:t>
      </w:r>
      <w:bookmarkStart w:id="69881" w:name="_ETM_Q122_529969"/>
      <w:bookmarkEnd w:id="69881"/>
      <w:r>
        <w:rPr>
          <w:rFonts w:hint="cs"/>
          <w:rtl/>
        </w:rPr>
        <w:t xml:space="preserve">נשים </w:t>
      </w:r>
      <w:bookmarkStart w:id="69882" w:name="_ETM_Q122_530359"/>
      <w:bookmarkEnd w:id="69882"/>
      <w:r>
        <w:rPr>
          <w:rFonts w:hint="cs"/>
          <w:rtl/>
        </w:rPr>
        <w:t xml:space="preserve">שנרצחות, </w:t>
      </w:r>
      <w:bookmarkStart w:id="69883" w:name="_ETM_Q122_531989"/>
      <w:bookmarkEnd w:id="69883"/>
      <w:r>
        <w:rPr>
          <w:rFonts w:hint="cs"/>
          <w:rtl/>
        </w:rPr>
        <w:t xml:space="preserve">תתחילו </w:t>
      </w:r>
      <w:bookmarkStart w:id="69884" w:name="_ETM_Q122_532469"/>
      <w:bookmarkEnd w:id="69884"/>
      <w:r>
        <w:rPr>
          <w:rFonts w:hint="cs"/>
          <w:rtl/>
        </w:rPr>
        <w:t xml:space="preserve">לטפל </w:t>
      </w:r>
      <w:bookmarkStart w:id="69885" w:name="_ETM_Q122_533519"/>
      <w:bookmarkEnd w:id="69885"/>
      <w:r>
        <w:rPr>
          <w:rFonts w:hint="cs"/>
          <w:rtl/>
        </w:rPr>
        <w:t xml:space="preserve">בנרצחים, </w:t>
      </w:r>
      <w:bookmarkStart w:id="69886" w:name="_ETM_Q122_534570"/>
      <w:bookmarkEnd w:id="69886"/>
      <w:r>
        <w:rPr>
          <w:rFonts w:hint="cs"/>
          <w:rtl/>
        </w:rPr>
        <w:t xml:space="preserve">למרות </w:t>
      </w:r>
      <w:bookmarkStart w:id="69887" w:name="_ETM_Q122_535170"/>
      <w:bookmarkEnd w:id="69887"/>
      <w:r>
        <w:rPr>
          <w:rFonts w:hint="cs"/>
          <w:rtl/>
        </w:rPr>
        <w:t xml:space="preserve">שהם, </w:t>
      </w:r>
      <w:bookmarkStart w:id="69888" w:name="_ETM_Q122_535440"/>
      <w:bookmarkEnd w:id="69888"/>
      <w:r>
        <w:rPr>
          <w:rFonts w:hint="cs"/>
          <w:rtl/>
        </w:rPr>
        <w:t xml:space="preserve">רחמנא </w:t>
      </w:r>
      <w:bookmarkStart w:id="69889" w:name="_ETM_Q122_536010"/>
      <w:bookmarkEnd w:id="69889"/>
      <w:r>
        <w:rPr>
          <w:rFonts w:hint="cs"/>
          <w:rtl/>
        </w:rPr>
        <w:t xml:space="preserve">ליצלן, </w:t>
      </w:r>
      <w:bookmarkStart w:id="69890" w:name="_ETM_Q122_537420"/>
      <w:bookmarkEnd w:id="69890"/>
      <w:r>
        <w:rPr>
          <w:rFonts w:hint="cs"/>
          <w:rtl/>
        </w:rPr>
        <w:t xml:space="preserve">לא </w:t>
      </w:r>
      <w:bookmarkStart w:id="69891" w:name="_ETM_Q122_537629"/>
      <w:bookmarkEnd w:id="69891"/>
      <w:r>
        <w:rPr>
          <w:rFonts w:hint="cs"/>
          <w:rtl/>
        </w:rPr>
        <w:t>יהודים</w:t>
      </w:r>
      <w:bookmarkStart w:id="69892" w:name="_ETM_Q122_539140"/>
      <w:bookmarkEnd w:id="69892"/>
      <w:r>
        <w:rPr>
          <w:rFonts w:hint="cs"/>
          <w:rtl/>
        </w:rPr>
        <w:t xml:space="preserve">. אבל </w:t>
      </w:r>
      <w:bookmarkStart w:id="69893" w:name="_ETM_Q122_539680"/>
      <w:bookmarkEnd w:id="69893"/>
      <w:r>
        <w:rPr>
          <w:rFonts w:hint="cs"/>
          <w:rtl/>
        </w:rPr>
        <w:t xml:space="preserve">אני </w:t>
      </w:r>
      <w:bookmarkStart w:id="69894" w:name="_ETM_Q122_540010"/>
      <w:bookmarkStart w:id="69895" w:name="_ETM_Q122_540190"/>
      <w:bookmarkEnd w:id="69894"/>
      <w:bookmarkEnd w:id="69895"/>
      <w:r>
        <w:rPr>
          <w:rFonts w:hint="cs"/>
          <w:rtl/>
        </w:rPr>
        <w:t xml:space="preserve">אחדש </w:t>
      </w:r>
      <w:bookmarkStart w:id="69896" w:name="_ETM_Q122_540519"/>
      <w:bookmarkEnd w:id="69896"/>
      <w:r>
        <w:rPr>
          <w:rFonts w:hint="cs"/>
          <w:rtl/>
        </w:rPr>
        <w:t xml:space="preserve">לכם </w:t>
      </w:r>
      <w:bookmarkStart w:id="69897" w:name="_ETM_Q122_540760"/>
      <w:bookmarkEnd w:id="69897"/>
      <w:r>
        <w:rPr>
          <w:rFonts w:hint="cs"/>
          <w:rtl/>
        </w:rPr>
        <w:t xml:space="preserve">משהו </w:t>
      </w:r>
      <w:bookmarkStart w:id="69898" w:name="_ETM_Q122_541829"/>
      <w:bookmarkEnd w:id="69898"/>
      <w:r>
        <w:rPr>
          <w:rFonts w:hint="cs"/>
          <w:rtl/>
        </w:rPr>
        <w:t xml:space="preserve">– רגע, </w:t>
      </w:r>
      <w:r>
        <w:t>news flash</w:t>
      </w:r>
      <w:r>
        <w:rPr>
          <w:rtl/>
        </w:rPr>
        <w:t xml:space="preserve"> </w:t>
      </w:r>
      <w:r>
        <w:rPr>
          <w:rFonts w:hint="cs"/>
          <w:rtl/>
        </w:rPr>
        <w:t xml:space="preserve">– </w:t>
      </w:r>
      <w:bookmarkStart w:id="69899" w:name="_ETM_Q122_542770"/>
      <w:bookmarkStart w:id="69900" w:name="_ETM_Q122_542980"/>
      <w:bookmarkStart w:id="69901" w:name="_ETM_Q122_543070"/>
      <w:bookmarkStart w:id="69902" w:name="_ETM_Q122_544090"/>
      <w:bookmarkEnd w:id="69899"/>
      <w:bookmarkEnd w:id="69900"/>
      <w:bookmarkEnd w:id="69901"/>
      <w:bookmarkEnd w:id="69902"/>
      <w:r>
        <w:rPr>
          <w:rFonts w:hint="cs"/>
          <w:rtl/>
        </w:rPr>
        <w:t xml:space="preserve">גם </w:t>
      </w:r>
      <w:bookmarkStart w:id="69903" w:name="_ETM_Q122_544810"/>
      <w:bookmarkEnd w:id="69903"/>
      <w:r>
        <w:rPr>
          <w:rFonts w:hint="cs"/>
          <w:rtl/>
        </w:rPr>
        <w:t xml:space="preserve">מי </w:t>
      </w:r>
      <w:bookmarkStart w:id="69904" w:name="_ETM_Q122_545350"/>
      <w:bookmarkEnd w:id="69904"/>
      <w:r>
        <w:rPr>
          <w:rFonts w:hint="cs"/>
          <w:rtl/>
        </w:rPr>
        <w:t xml:space="preserve">שלא </w:t>
      </w:r>
      <w:bookmarkStart w:id="69905" w:name="_ETM_Q122_545980"/>
      <w:bookmarkEnd w:id="69905"/>
      <w:r>
        <w:rPr>
          <w:rFonts w:hint="cs"/>
          <w:rtl/>
        </w:rPr>
        <w:t xml:space="preserve">יהודי </w:t>
      </w:r>
      <w:bookmarkStart w:id="69906" w:name="_ETM_Q122_546700"/>
      <w:bookmarkEnd w:id="69906"/>
      <w:r>
        <w:rPr>
          <w:rFonts w:hint="cs"/>
          <w:rtl/>
        </w:rPr>
        <w:t xml:space="preserve">מותר </w:t>
      </w:r>
      <w:bookmarkStart w:id="69907" w:name="_ETM_Q122_547150"/>
      <w:bookmarkEnd w:id="69907"/>
      <w:r>
        <w:rPr>
          <w:rFonts w:hint="cs"/>
          <w:rtl/>
        </w:rPr>
        <w:t xml:space="preserve">לו </w:t>
      </w:r>
      <w:bookmarkStart w:id="69908" w:name="_ETM_Q122_547420"/>
      <w:bookmarkEnd w:id="69908"/>
      <w:r>
        <w:rPr>
          <w:rFonts w:hint="cs"/>
          <w:rtl/>
        </w:rPr>
        <w:t xml:space="preserve">לחיות. </w:t>
      </w:r>
      <w:bookmarkStart w:id="69909" w:name="_ETM_Q122_550069"/>
      <w:bookmarkEnd w:id="69909"/>
      <w:r>
        <w:rPr>
          <w:rFonts w:hint="cs"/>
          <w:rtl/>
        </w:rPr>
        <w:t xml:space="preserve">אני </w:t>
      </w:r>
      <w:bookmarkStart w:id="69910" w:name="_ETM_Q122_550189"/>
      <w:bookmarkEnd w:id="69910"/>
      <w:r>
        <w:rPr>
          <w:rFonts w:hint="cs"/>
          <w:rtl/>
        </w:rPr>
        <w:t xml:space="preserve">יודעת </w:t>
      </w:r>
      <w:bookmarkStart w:id="69911" w:name="_ETM_Q122_550639"/>
      <w:bookmarkEnd w:id="69911"/>
      <w:r>
        <w:rPr>
          <w:rFonts w:hint="cs"/>
          <w:rtl/>
        </w:rPr>
        <w:t xml:space="preserve">שקשה </w:t>
      </w:r>
      <w:bookmarkStart w:id="69912" w:name="_ETM_Q122_551689"/>
      <w:bookmarkEnd w:id="69912"/>
      <w:r>
        <w:rPr>
          <w:rFonts w:hint="cs"/>
          <w:rtl/>
        </w:rPr>
        <w:t xml:space="preserve">להכיל </w:t>
      </w:r>
      <w:bookmarkStart w:id="69913" w:name="_ETM_Q122_552319"/>
      <w:bookmarkEnd w:id="69913"/>
      <w:r>
        <w:rPr>
          <w:rFonts w:hint="cs"/>
          <w:rtl/>
        </w:rPr>
        <w:t xml:space="preserve">את </w:t>
      </w:r>
      <w:bookmarkStart w:id="69914" w:name="_ETM_Q122_552499"/>
      <w:bookmarkEnd w:id="69914"/>
      <w:r>
        <w:rPr>
          <w:rFonts w:hint="cs"/>
          <w:rtl/>
        </w:rPr>
        <w:t xml:space="preserve">הדבר </w:t>
      </w:r>
      <w:bookmarkStart w:id="69915" w:name="_ETM_Q122_553790"/>
      <w:bookmarkEnd w:id="69915"/>
      <w:r>
        <w:rPr>
          <w:rFonts w:hint="cs"/>
          <w:rtl/>
        </w:rPr>
        <w:t>הזה,</w:t>
      </w:r>
      <w:bookmarkStart w:id="69916" w:name="_ETM_Q122_553900"/>
      <w:bookmarkEnd w:id="69916"/>
      <w:r>
        <w:rPr>
          <w:rFonts w:hint="cs"/>
          <w:rtl/>
        </w:rPr>
        <w:t xml:space="preserve"> </w:t>
      </w:r>
      <w:bookmarkStart w:id="69917" w:name="_ETM_Q122_554830"/>
      <w:bookmarkEnd w:id="69917"/>
      <w:r>
        <w:rPr>
          <w:rFonts w:hint="cs"/>
          <w:rtl/>
        </w:rPr>
        <w:t xml:space="preserve">אבל </w:t>
      </w:r>
      <w:bookmarkStart w:id="69918" w:name="_ETM_Q122_555160"/>
      <w:bookmarkEnd w:id="69918"/>
      <w:r>
        <w:rPr>
          <w:rFonts w:hint="cs"/>
          <w:rtl/>
        </w:rPr>
        <w:t xml:space="preserve">גם </w:t>
      </w:r>
      <w:bookmarkStart w:id="69919" w:name="_ETM_Q122_555430"/>
      <w:bookmarkStart w:id="69920" w:name="_ETM_Q122_555940"/>
      <w:bookmarkEnd w:id="69919"/>
      <w:bookmarkEnd w:id="69920"/>
      <w:r>
        <w:rPr>
          <w:rFonts w:hint="cs"/>
          <w:rtl/>
        </w:rPr>
        <w:t>מי ש</w:t>
      </w:r>
      <w:bookmarkStart w:id="69921" w:name="_ETM_Q122_556570"/>
      <w:bookmarkEnd w:id="69921"/>
      <w:r>
        <w:rPr>
          <w:rFonts w:hint="cs"/>
          <w:rtl/>
        </w:rPr>
        <w:t xml:space="preserve">לא </w:t>
      </w:r>
      <w:bookmarkStart w:id="69922" w:name="_ETM_Q122_556779"/>
      <w:bookmarkEnd w:id="69922"/>
      <w:r>
        <w:rPr>
          <w:rFonts w:hint="cs"/>
          <w:rtl/>
        </w:rPr>
        <w:t xml:space="preserve">יהודי </w:t>
      </w:r>
      <w:bookmarkStart w:id="69923" w:name="_ETM_Q122_558300"/>
      <w:bookmarkEnd w:id="69923"/>
      <w:r>
        <w:rPr>
          <w:rFonts w:hint="cs"/>
          <w:rtl/>
        </w:rPr>
        <w:t xml:space="preserve">מותר </w:t>
      </w:r>
      <w:bookmarkStart w:id="69924" w:name="_ETM_Q122_558750"/>
      <w:bookmarkEnd w:id="69924"/>
      <w:r>
        <w:rPr>
          <w:rFonts w:hint="cs"/>
          <w:rtl/>
        </w:rPr>
        <w:t xml:space="preserve">לו </w:t>
      </w:r>
      <w:bookmarkStart w:id="69925" w:name="_ETM_Q122_558870"/>
      <w:bookmarkEnd w:id="69925"/>
      <w:r>
        <w:rPr>
          <w:rFonts w:hint="cs"/>
          <w:rtl/>
        </w:rPr>
        <w:t xml:space="preserve">ללכת </w:t>
      </w:r>
      <w:bookmarkStart w:id="69926" w:name="_ETM_Q122_559350"/>
      <w:bookmarkEnd w:id="69926"/>
      <w:r>
        <w:rPr>
          <w:rFonts w:hint="cs"/>
          <w:rtl/>
        </w:rPr>
        <w:t xml:space="preserve">הביתה </w:t>
      </w:r>
      <w:bookmarkStart w:id="69927" w:name="_ETM_Q122_560070"/>
      <w:bookmarkEnd w:id="69927"/>
      <w:r>
        <w:rPr>
          <w:rFonts w:hint="cs"/>
          <w:rtl/>
        </w:rPr>
        <w:t xml:space="preserve">או </w:t>
      </w:r>
      <w:bookmarkStart w:id="69928" w:name="_ETM_Q122_560160"/>
      <w:bookmarkEnd w:id="69928"/>
      <w:r>
        <w:rPr>
          <w:rFonts w:hint="cs"/>
          <w:rtl/>
        </w:rPr>
        <w:t xml:space="preserve">ללכת </w:t>
      </w:r>
      <w:bookmarkStart w:id="69929" w:name="_ETM_Q122_560490"/>
      <w:bookmarkEnd w:id="69929"/>
      <w:r>
        <w:rPr>
          <w:rFonts w:hint="cs"/>
          <w:rtl/>
        </w:rPr>
        <w:t xml:space="preserve">ברחוב </w:t>
      </w:r>
      <w:bookmarkStart w:id="69930" w:name="_ETM_Q122_561240"/>
      <w:bookmarkEnd w:id="69930"/>
      <w:r>
        <w:rPr>
          <w:rFonts w:hint="cs"/>
          <w:rtl/>
        </w:rPr>
        <w:t xml:space="preserve">או </w:t>
      </w:r>
      <w:bookmarkStart w:id="69931" w:name="_ETM_Q122_561360"/>
      <w:bookmarkEnd w:id="69931"/>
      <w:r>
        <w:rPr>
          <w:rFonts w:hint="cs"/>
          <w:rtl/>
        </w:rPr>
        <w:t xml:space="preserve">ללכת </w:t>
      </w:r>
      <w:bookmarkStart w:id="69932" w:name="_ETM_Q122_561750"/>
      <w:bookmarkEnd w:id="69932"/>
      <w:r>
        <w:rPr>
          <w:rFonts w:hint="cs"/>
          <w:rtl/>
        </w:rPr>
        <w:t xml:space="preserve">לשכנה </w:t>
      </w:r>
      <w:bookmarkStart w:id="69933" w:name="_ETM_Q122_562140"/>
      <w:bookmarkEnd w:id="69933"/>
      <w:r>
        <w:rPr>
          <w:rFonts w:hint="cs"/>
          <w:rtl/>
        </w:rPr>
        <w:t xml:space="preserve">ממול </w:t>
      </w:r>
      <w:bookmarkStart w:id="69934" w:name="_ETM_Q122_563250"/>
      <w:bookmarkEnd w:id="69934"/>
      <w:r>
        <w:rPr>
          <w:rFonts w:hint="cs"/>
          <w:rtl/>
        </w:rPr>
        <w:t xml:space="preserve">ולא </w:t>
      </w:r>
      <w:bookmarkStart w:id="69935" w:name="_ETM_Q122_563549"/>
      <w:bookmarkEnd w:id="69935"/>
      <w:r>
        <w:rPr>
          <w:rFonts w:hint="cs"/>
          <w:rtl/>
        </w:rPr>
        <w:t xml:space="preserve">להירצח. </w:t>
      </w:r>
      <w:bookmarkStart w:id="69936" w:name="_ETM_Q122_564920"/>
      <w:bookmarkEnd w:id="69936"/>
      <w:r>
        <w:rPr>
          <w:rFonts w:hint="cs"/>
          <w:rtl/>
        </w:rPr>
        <w:t xml:space="preserve">מותר. </w:t>
      </w:r>
      <w:bookmarkStart w:id="69937" w:name="_ETM_Q122_566899"/>
      <w:bookmarkEnd w:id="69937"/>
      <w:r>
        <w:rPr>
          <w:rFonts w:hint="cs"/>
          <w:rtl/>
        </w:rPr>
        <w:t xml:space="preserve">מותר. </w:t>
      </w:r>
      <w:bookmarkStart w:id="69938" w:name="_ETM_Q122_567500"/>
      <w:bookmarkEnd w:id="69938"/>
      <w:r>
        <w:rPr>
          <w:rFonts w:hint="cs"/>
          <w:rtl/>
        </w:rPr>
        <w:t xml:space="preserve">אז </w:t>
      </w:r>
      <w:bookmarkStart w:id="69939" w:name="_ETM_Q122_567679"/>
      <w:bookmarkEnd w:id="69939"/>
      <w:r>
        <w:rPr>
          <w:rFonts w:hint="cs"/>
          <w:rtl/>
        </w:rPr>
        <w:t xml:space="preserve">אני </w:t>
      </w:r>
      <w:bookmarkStart w:id="69940" w:name="_ETM_Q122_567829"/>
      <w:bookmarkEnd w:id="69940"/>
      <w:r>
        <w:rPr>
          <w:rFonts w:hint="cs"/>
          <w:rtl/>
        </w:rPr>
        <w:t xml:space="preserve">מציעה </w:t>
      </w:r>
      <w:bookmarkStart w:id="69941" w:name="_ETM_Q122_568100"/>
      <w:bookmarkEnd w:id="69941"/>
      <w:r>
        <w:rPr>
          <w:rFonts w:hint="cs"/>
          <w:rtl/>
        </w:rPr>
        <w:t xml:space="preserve">שגם </w:t>
      </w:r>
      <w:bookmarkStart w:id="69942" w:name="_ETM_Q122_568460"/>
      <w:bookmarkEnd w:id="69942"/>
      <w:r>
        <w:rPr>
          <w:rFonts w:hint="cs"/>
          <w:rtl/>
        </w:rPr>
        <w:t xml:space="preserve">בזה </w:t>
      </w:r>
      <w:bookmarkStart w:id="69943" w:name="_ETM_Q122_568740"/>
      <w:bookmarkEnd w:id="69943"/>
      <w:r>
        <w:rPr>
          <w:rFonts w:hint="cs"/>
          <w:rtl/>
        </w:rPr>
        <w:t xml:space="preserve">למשל </w:t>
      </w:r>
      <w:bookmarkStart w:id="69944" w:name="_ETM_Q122_570670"/>
      <w:bookmarkEnd w:id="69944"/>
      <w:r>
        <w:rPr>
          <w:rFonts w:hint="cs"/>
          <w:rtl/>
        </w:rPr>
        <w:t xml:space="preserve">תתחילו </w:t>
      </w:r>
      <w:bookmarkStart w:id="69945" w:name="_ETM_Q122_571119"/>
      <w:bookmarkEnd w:id="69945"/>
      <w:r>
        <w:rPr>
          <w:rFonts w:hint="cs"/>
          <w:rtl/>
        </w:rPr>
        <w:t>לעסוק.</w:t>
      </w:r>
      <w:r w:rsidR="00A335DD">
        <w:rPr>
          <w:rFonts w:hint="cs"/>
          <w:rtl/>
        </w:rPr>
        <w:t xml:space="preserve"> </w:t>
      </w:r>
    </w:p>
    <w:p w:rsidR="00BB59CD" w:rsidRDefault="00BB59CD" w:rsidP="00BB59CD">
      <w:pPr>
        <w:rPr>
          <w:rtl/>
        </w:rPr>
      </w:pPr>
      <w:bookmarkStart w:id="69946" w:name="_ETM_Q122_573380"/>
      <w:bookmarkStart w:id="69947" w:name="_ETM_Q122_573470"/>
      <w:bookmarkEnd w:id="69946"/>
      <w:bookmarkEnd w:id="69947"/>
    </w:p>
    <w:p w:rsidR="00BB59CD" w:rsidRDefault="00BB59CD" w:rsidP="00A335DD">
      <w:pPr>
        <w:rPr>
          <w:rtl/>
        </w:rPr>
      </w:pPr>
      <w:bookmarkStart w:id="69948" w:name="_ETM_Q122_573524"/>
      <w:bookmarkStart w:id="69949" w:name="_ETM_Q122_573603"/>
      <w:bookmarkStart w:id="69950" w:name="_ETM_Q122_572250"/>
      <w:bookmarkEnd w:id="69948"/>
      <w:bookmarkEnd w:id="69949"/>
      <w:bookmarkEnd w:id="69950"/>
      <w:r>
        <w:rPr>
          <w:rFonts w:hint="cs"/>
          <w:rtl/>
        </w:rPr>
        <w:t xml:space="preserve">יש </w:t>
      </w:r>
      <w:bookmarkStart w:id="69951" w:name="_ETM_Q122_572430"/>
      <w:bookmarkEnd w:id="69951"/>
      <w:r>
        <w:rPr>
          <w:rFonts w:hint="cs"/>
          <w:rtl/>
        </w:rPr>
        <w:t xml:space="preserve">פה </w:t>
      </w:r>
      <w:bookmarkStart w:id="69952" w:name="_ETM_Q122_572610"/>
      <w:bookmarkEnd w:id="69952"/>
      <w:r>
        <w:rPr>
          <w:rFonts w:hint="cs"/>
          <w:rtl/>
        </w:rPr>
        <w:t xml:space="preserve">אנשים </w:t>
      </w:r>
      <w:bookmarkStart w:id="69953" w:name="_ETM_Q122_572940"/>
      <w:bookmarkEnd w:id="69953"/>
      <w:r>
        <w:rPr>
          <w:rFonts w:hint="cs"/>
          <w:rtl/>
        </w:rPr>
        <w:t xml:space="preserve">שכבר </w:t>
      </w:r>
      <w:bookmarkStart w:id="69954" w:name="_ETM_Q122_573960"/>
      <w:bookmarkEnd w:id="69954"/>
      <w:r>
        <w:rPr>
          <w:rFonts w:hint="cs"/>
          <w:rtl/>
        </w:rPr>
        <w:t xml:space="preserve">– עזבו </w:t>
      </w:r>
      <w:bookmarkStart w:id="69955" w:name="_ETM_Q122_574290"/>
      <w:bookmarkEnd w:id="69955"/>
      <w:r>
        <w:rPr>
          <w:rFonts w:hint="cs"/>
          <w:rtl/>
        </w:rPr>
        <w:t xml:space="preserve">שהם </w:t>
      </w:r>
      <w:bookmarkStart w:id="69956" w:name="_ETM_Q122_574500"/>
      <w:bookmarkStart w:id="69957" w:name="_ETM_Q122_574890"/>
      <w:bookmarkEnd w:id="69956"/>
      <w:bookmarkEnd w:id="69957"/>
      <w:r>
        <w:rPr>
          <w:rFonts w:hint="cs"/>
          <w:rtl/>
        </w:rPr>
        <w:t xml:space="preserve">לא מורידים </w:t>
      </w:r>
      <w:bookmarkStart w:id="69958" w:name="_ETM_Q122_575370"/>
      <w:bookmarkEnd w:id="69958"/>
      <w:r>
        <w:rPr>
          <w:rFonts w:hint="cs"/>
          <w:rtl/>
        </w:rPr>
        <w:t xml:space="preserve">מצרכים </w:t>
      </w:r>
      <w:bookmarkStart w:id="69959" w:name="_ETM_Q122_575940"/>
      <w:bookmarkEnd w:id="69959"/>
      <w:r>
        <w:rPr>
          <w:rFonts w:hint="cs"/>
          <w:rtl/>
        </w:rPr>
        <w:t xml:space="preserve">מהסופר, </w:t>
      </w:r>
      <w:bookmarkStart w:id="69960" w:name="_ETM_Q122_577439"/>
      <w:bookmarkEnd w:id="69960"/>
      <w:r>
        <w:rPr>
          <w:rFonts w:hint="cs"/>
          <w:rtl/>
        </w:rPr>
        <w:t xml:space="preserve">אין </w:t>
      </w:r>
      <w:bookmarkStart w:id="69961" w:name="_ETM_Q122_577740"/>
      <w:bookmarkEnd w:id="69961"/>
      <w:r>
        <w:rPr>
          <w:rFonts w:hint="cs"/>
          <w:rtl/>
        </w:rPr>
        <w:t xml:space="preserve">להם </w:t>
      </w:r>
      <w:bookmarkStart w:id="69962" w:name="_ETM_Q122_577920"/>
      <w:bookmarkEnd w:id="69962"/>
      <w:r>
        <w:rPr>
          <w:rFonts w:hint="cs"/>
          <w:rtl/>
        </w:rPr>
        <w:t xml:space="preserve">כבר </w:t>
      </w:r>
      <w:bookmarkStart w:id="69963" w:name="_ETM_Q122_578130"/>
      <w:bookmarkEnd w:id="69963"/>
      <w:r>
        <w:rPr>
          <w:rFonts w:hint="cs"/>
          <w:rtl/>
        </w:rPr>
        <w:t xml:space="preserve">להוריד </w:t>
      </w:r>
      <w:bookmarkStart w:id="69964" w:name="_ETM_Q122_578399"/>
      <w:bookmarkEnd w:id="69964"/>
      <w:r>
        <w:rPr>
          <w:rFonts w:hint="cs"/>
          <w:rtl/>
        </w:rPr>
        <w:t xml:space="preserve">מצרכים, </w:t>
      </w:r>
      <w:bookmarkStart w:id="69965" w:name="_ETM_Q122_578880"/>
      <w:bookmarkEnd w:id="69965"/>
      <w:r>
        <w:rPr>
          <w:rFonts w:hint="cs"/>
          <w:rtl/>
        </w:rPr>
        <w:t xml:space="preserve">הם </w:t>
      </w:r>
      <w:bookmarkStart w:id="69966" w:name="_ETM_Q122_578969"/>
      <w:bookmarkEnd w:id="69966"/>
      <w:r>
        <w:rPr>
          <w:rFonts w:hint="cs"/>
          <w:rtl/>
        </w:rPr>
        <w:t xml:space="preserve">כבר </w:t>
      </w:r>
      <w:bookmarkStart w:id="69967" w:name="_ETM_Q122_579179"/>
      <w:bookmarkEnd w:id="69967"/>
      <w:r>
        <w:rPr>
          <w:rFonts w:hint="cs"/>
          <w:rtl/>
        </w:rPr>
        <w:t xml:space="preserve">חותמים </w:t>
      </w:r>
      <w:bookmarkStart w:id="69968" w:name="_ETM_Q122_580139"/>
      <w:bookmarkEnd w:id="69968"/>
      <w:r>
        <w:rPr>
          <w:rFonts w:hint="cs"/>
          <w:rtl/>
        </w:rPr>
        <w:t xml:space="preserve">על </w:t>
      </w:r>
      <w:bookmarkStart w:id="69969" w:name="_ETM_Q122_580319"/>
      <w:bookmarkEnd w:id="69969"/>
      <w:r>
        <w:rPr>
          <w:rFonts w:hint="cs"/>
          <w:rtl/>
        </w:rPr>
        <w:t xml:space="preserve">חתימה </w:t>
      </w:r>
      <w:bookmarkStart w:id="69970" w:name="_ETM_Q122_580770"/>
      <w:bookmarkEnd w:id="69970"/>
      <w:r>
        <w:rPr>
          <w:rFonts w:hint="cs"/>
          <w:rtl/>
        </w:rPr>
        <w:t xml:space="preserve">במכולת, </w:t>
      </w:r>
      <w:bookmarkStart w:id="69971" w:name="_ETM_Q122_581369"/>
      <w:bookmarkEnd w:id="69971"/>
      <w:r>
        <w:rPr>
          <w:rFonts w:hint="cs"/>
          <w:rtl/>
        </w:rPr>
        <w:t xml:space="preserve">על </w:t>
      </w:r>
      <w:bookmarkStart w:id="69972" w:name="_ETM_Q122_581520"/>
      <w:bookmarkEnd w:id="69972"/>
      <w:r>
        <w:rPr>
          <w:rFonts w:hint="cs"/>
          <w:rtl/>
        </w:rPr>
        <w:t xml:space="preserve">עוד </w:t>
      </w:r>
      <w:bookmarkStart w:id="69973" w:name="_ETM_Q122_581700"/>
      <w:bookmarkEnd w:id="69973"/>
      <w:r>
        <w:rPr>
          <w:rFonts w:hint="cs"/>
          <w:rtl/>
        </w:rPr>
        <w:t xml:space="preserve">חתימה </w:t>
      </w:r>
      <w:bookmarkStart w:id="69974" w:name="_ETM_Q122_582089"/>
      <w:bookmarkEnd w:id="69974"/>
      <w:r>
        <w:rPr>
          <w:rFonts w:hint="cs"/>
          <w:rtl/>
        </w:rPr>
        <w:t xml:space="preserve">במכולת, </w:t>
      </w:r>
      <w:bookmarkStart w:id="69975" w:name="_ETM_Q122_582600"/>
      <w:bookmarkEnd w:id="69975"/>
      <w:r>
        <w:rPr>
          <w:rFonts w:hint="cs"/>
          <w:rtl/>
        </w:rPr>
        <w:t xml:space="preserve">כבר </w:t>
      </w:r>
      <w:bookmarkStart w:id="69976" w:name="_ETM_Q122_582779"/>
      <w:bookmarkEnd w:id="69976"/>
      <w:r>
        <w:rPr>
          <w:rFonts w:hint="cs"/>
          <w:rtl/>
        </w:rPr>
        <w:t xml:space="preserve">אין </w:t>
      </w:r>
      <w:bookmarkStart w:id="69977" w:name="_ETM_Q122_582869"/>
      <w:bookmarkEnd w:id="69977"/>
      <w:r>
        <w:rPr>
          <w:rFonts w:hint="cs"/>
          <w:rtl/>
        </w:rPr>
        <w:t xml:space="preserve">להם </w:t>
      </w:r>
      <w:bookmarkStart w:id="69978" w:name="_ETM_Q122_583049"/>
      <w:bookmarkEnd w:id="69978"/>
      <w:r>
        <w:rPr>
          <w:rFonts w:hint="cs"/>
          <w:rtl/>
        </w:rPr>
        <w:t xml:space="preserve">מאיפה, </w:t>
      </w:r>
      <w:bookmarkStart w:id="69979" w:name="_ETM_Q122_584439"/>
      <w:bookmarkEnd w:id="69979"/>
      <w:r>
        <w:rPr>
          <w:rFonts w:hint="cs"/>
          <w:rtl/>
        </w:rPr>
        <w:t xml:space="preserve">אין </w:t>
      </w:r>
      <w:bookmarkStart w:id="69980" w:name="_ETM_Q122_584649"/>
      <w:bookmarkEnd w:id="69980"/>
      <w:r>
        <w:rPr>
          <w:rFonts w:hint="cs"/>
          <w:rtl/>
        </w:rPr>
        <w:t xml:space="preserve">להם </w:t>
      </w:r>
      <w:bookmarkStart w:id="69981" w:name="_ETM_Q122_585240"/>
      <w:bookmarkEnd w:id="69981"/>
      <w:r>
        <w:rPr>
          <w:rFonts w:hint="cs"/>
          <w:rtl/>
        </w:rPr>
        <w:t xml:space="preserve">מאיפה </w:t>
      </w:r>
      <w:bookmarkStart w:id="69982" w:name="_ETM_Q122_585750"/>
      <w:bookmarkEnd w:id="69982"/>
      <w:r>
        <w:rPr>
          <w:rFonts w:hint="cs"/>
          <w:rtl/>
        </w:rPr>
        <w:t xml:space="preserve">לשלם, </w:t>
      </w:r>
      <w:bookmarkStart w:id="69983" w:name="_ETM_Q122_586380"/>
      <w:bookmarkEnd w:id="69983"/>
      <w:r>
        <w:rPr>
          <w:rFonts w:hint="cs"/>
          <w:rtl/>
        </w:rPr>
        <w:t xml:space="preserve">אין </w:t>
      </w:r>
      <w:bookmarkStart w:id="69984" w:name="_ETM_Q122_586529"/>
      <w:bookmarkEnd w:id="69984"/>
      <w:r>
        <w:rPr>
          <w:rFonts w:hint="cs"/>
          <w:rtl/>
        </w:rPr>
        <w:t xml:space="preserve">להם </w:t>
      </w:r>
      <w:bookmarkStart w:id="69985" w:name="_ETM_Q122_587250"/>
      <w:bookmarkEnd w:id="69985"/>
      <w:r>
        <w:rPr>
          <w:rFonts w:hint="cs"/>
          <w:rtl/>
        </w:rPr>
        <w:t xml:space="preserve">מאיפה </w:t>
      </w:r>
      <w:bookmarkStart w:id="69986" w:name="_ETM_Q122_587640"/>
      <w:bookmarkEnd w:id="69986"/>
      <w:r>
        <w:rPr>
          <w:rFonts w:hint="cs"/>
          <w:rtl/>
        </w:rPr>
        <w:t xml:space="preserve">לממן </w:t>
      </w:r>
      <w:bookmarkStart w:id="69987" w:name="_ETM_Q122_588120"/>
      <w:bookmarkEnd w:id="69987"/>
      <w:r>
        <w:rPr>
          <w:rFonts w:hint="cs"/>
          <w:rtl/>
        </w:rPr>
        <w:t xml:space="preserve">את </w:t>
      </w:r>
      <w:bookmarkStart w:id="69988" w:name="_ETM_Q122_588270"/>
      <w:bookmarkEnd w:id="69988"/>
      <w:r>
        <w:rPr>
          <w:rFonts w:hint="cs"/>
          <w:rtl/>
        </w:rPr>
        <w:t xml:space="preserve">האוכל </w:t>
      </w:r>
      <w:bookmarkStart w:id="69989" w:name="_ETM_Q122_588690"/>
      <w:bookmarkEnd w:id="69989"/>
      <w:r>
        <w:rPr>
          <w:rFonts w:hint="cs"/>
          <w:rtl/>
        </w:rPr>
        <w:t xml:space="preserve">על </w:t>
      </w:r>
      <w:bookmarkStart w:id="69990" w:name="_ETM_Q122_588810"/>
      <w:bookmarkEnd w:id="69990"/>
      <w:r>
        <w:rPr>
          <w:rFonts w:hint="cs"/>
          <w:rtl/>
        </w:rPr>
        <w:t xml:space="preserve">השולחן, </w:t>
      </w:r>
      <w:bookmarkStart w:id="69991" w:name="_ETM_Q122_590160"/>
      <w:bookmarkEnd w:id="69991"/>
      <w:r>
        <w:rPr>
          <w:rFonts w:hint="cs"/>
          <w:rtl/>
        </w:rPr>
        <w:t xml:space="preserve">לא </w:t>
      </w:r>
      <w:bookmarkStart w:id="69992" w:name="_ETM_Q122_590400"/>
      <w:bookmarkEnd w:id="69992"/>
      <w:r>
        <w:rPr>
          <w:rFonts w:hint="cs"/>
          <w:rtl/>
        </w:rPr>
        <w:t xml:space="preserve">עוף </w:t>
      </w:r>
      <w:bookmarkStart w:id="69993" w:name="_ETM_Q122_590670"/>
      <w:bookmarkStart w:id="69994" w:name="_ETM_Q122_590820"/>
      <w:bookmarkStart w:id="69995" w:name="_ETM_Q122_591090"/>
      <w:bookmarkEnd w:id="69993"/>
      <w:bookmarkEnd w:id="69994"/>
      <w:bookmarkEnd w:id="69995"/>
      <w:r>
        <w:rPr>
          <w:rFonts w:hint="cs"/>
          <w:rtl/>
        </w:rPr>
        <w:t xml:space="preserve">לשבת </w:t>
      </w:r>
      <w:bookmarkStart w:id="69996" w:name="_ETM_Q122_592990"/>
      <w:bookmarkEnd w:id="69996"/>
      <w:r>
        <w:rPr>
          <w:rFonts w:hint="cs"/>
          <w:rtl/>
        </w:rPr>
        <w:t xml:space="preserve">ולא </w:t>
      </w:r>
      <w:bookmarkStart w:id="69997" w:name="_ETM_Q122_593260"/>
      <w:bookmarkEnd w:id="69997"/>
      <w:r>
        <w:rPr>
          <w:rFonts w:hint="cs"/>
          <w:rtl/>
        </w:rPr>
        <w:t>חסה</w:t>
      </w:r>
      <w:bookmarkStart w:id="69998" w:name="_ETM_Q122_593500"/>
      <w:bookmarkEnd w:id="69998"/>
      <w:r>
        <w:rPr>
          <w:rFonts w:hint="cs"/>
          <w:rtl/>
        </w:rPr>
        <w:t xml:space="preserve"> </w:t>
      </w:r>
      <w:bookmarkStart w:id="69999" w:name="_ETM_Q122_593650"/>
      <w:bookmarkEnd w:id="69999"/>
      <w:r>
        <w:rPr>
          <w:rFonts w:hint="cs"/>
          <w:rtl/>
        </w:rPr>
        <w:t xml:space="preserve">לאמצע </w:t>
      </w:r>
      <w:bookmarkStart w:id="70000" w:name="_ETM_Q122_594010"/>
      <w:bookmarkEnd w:id="70000"/>
      <w:r>
        <w:rPr>
          <w:rFonts w:hint="cs"/>
          <w:rtl/>
        </w:rPr>
        <w:t xml:space="preserve">השבוע. </w:t>
      </w:r>
      <w:bookmarkStart w:id="70001" w:name="_ETM_Q122_594920"/>
      <w:bookmarkEnd w:id="70001"/>
      <w:r>
        <w:rPr>
          <w:rFonts w:hint="cs"/>
          <w:rtl/>
        </w:rPr>
        <w:t xml:space="preserve">אין, </w:t>
      </w:r>
      <w:bookmarkStart w:id="70002" w:name="_ETM_Q122_598659"/>
      <w:bookmarkEnd w:id="70002"/>
      <w:r>
        <w:rPr>
          <w:rFonts w:hint="cs"/>
          <w:rtl/>
        </w:rPr>
        <w:t xml:space="preserve">כי שר </w:t>
      </w:r>
      <w:bookmarkStart w:id="70003" w:name="_ETM_Q122_599139"/>
      <w:bookmarkEnd w:id="70003"/>
      <w:r>
        <w:rPr>
          <w:rFonts w:hint="cs"/>
          <w:rtl/>
        </w:rPr>
        <w:t xml:space="preserve">האוצר </w:t>
      </w:r>
      <w:bookmarkStart w:id="70004" w:name="_ETM_Q122_599770"/>
      <w:bookmarkEnd w:id="70004"/>
      <w:r>
        <w:rPr>
          <w:rFonts w:hint="cs"/>
          <w:rtl/>
        </w:rPr>
        <w:t xml:space="preserve">שלכם </w:t>
      </w:r>
      <w:bookmarkStart w:id="70005" w:name="_ETM_Q122_600459"/>
      <w:bookmarkEnd w:id="70005"/>
      <w:r>
        <w:rPr>
          <w:rFonts w:hint="cs"/>
          <w:rtl/>
        </w:rPr>
        <w:t xml:space="preserve">עסוק </w:t>
      </w:r>
      <w:bookmarkStart w:id="70006" w:name="_ETM_Q122_601119"/>
      <w:bookmarkEnd w:id="70006"/>
      <w:r>
        <w:rPr>
          <w:rFonts w:hint="cs"/>
          <w:rtl/>
        </w:rPr>
        <w:t xml:space="preserve">בלחלטר </w:t>
      </w:r>
      <w:bookmarkStart w:id="70007" w:name="_ETM_Q122_602170"/>
      <w:bookmarkEnd w:id="70007"/>
      <w:r>
        <w:rPr>
          <w:rFonts w:hint="cs"/>
          <w:rtl/>
        </w:rPr>
        <w:t xml:space="preserve">בתור </w:t>
      </w:r>
      <w:bookmarkStart w:id="70008" w:name="_ETM_Q122_602469"/>
      <w:bookmarkEnd w:id="70008"/>
      <w:r>
        <w:rPr>
          <w:rFonts w:hint="cs"/>
          <w:rtl/>
        </w:rPr>
        <w:t xml:space="preserve">חצי </w:t>
      </w:r>
      <w:bookmarkStart w:id="70009" w:name="_ETM_Q122_602979"/>
      <w:bookmarkEnd w:id="70009"/>
      <w:r>
        <w:rPr>
          <w:rFonts w:hint="cs"/>
          <w:rtl/>
        </w:rPr>
        <w:t xml:space="preserve">שר </w:t>
      </w:r>
      <w:bookmarkStart w:id="70010" w:name="_ETM_Q122_603369"/>
      <w:bookmarkEnd w:id="70010"/>
      <w:r>
        <w:rPr>
          <w:rFonts w:hint="cs"/>
          <w:rtl/>
        </w:rPr>
        <w:t xml:space="preserve">ביטחון </w:t>
      </w:r>
      <w:bookmarkStart w:id="70011" w:name="_ETM_Q122_604270"/>
      <w:bookmarkEnd w:id="70011"/>
      <w:r>
        <w:rPr>
          <w:rFonts w:hint="cs"/>
          <w:rtl/>
        </w:rPr>
        <w:t xml:space="preserve">ולהגן </w:t>
      </w:r>
      <w:bookmarkStart w:id="70012" w:name="_ETM_Q122_605020"/>
      <w:bookmarkEnd w:id="70012"/>
      <w:r>
        <w:rPr>
          <w:rFonts w:hint="cs"/>
          <w:rtl/>
        </w:rPr>
        <w:t xml:space="preserve">על </w:t>
      </w:r>
      <w:bookmarkStart w:id="70013" w:name="_ETM_Q122_605109"/>
      <w:bookmarkEnd w:id="70013"/>
      <w:r>
        <w:rPr>
          <w:rFonts w:hint="cs"/>
          <w:rtl/>
        </w:rPr>
        <w:t xml:space="preserve">טרוריסטים </w:t>
      </w:r>
      <w:bookmarkStart w:id="70014" w:name="_ETM_Q122_605719"/>
      <w:bookmarkStart w:id="70015" w:name="_ETM_Q122_605839"/>
      <w:bookmarkEnd w:id="70014"/>
      <w:bookmarkEnd w:id="70015"/>
      <w:r>
        <w:rPr>
          <w:rFonts w:hint="cs"/>
          <w:rtl/>
        </w:rPr>
        <w:t xml:space="preserve">יהודים. </w:t>
      </w:r>
      <w:bookmarkStart w:id="70016" w:name="_ETM_Q122_607399"/>
      <w:bookmarkEnd w:id="70016"/>
      <w:r>
        <w:rPr>
          <w:rFonts w:hint="cs"/>
          <w:rtl/>
        </w:rPr>
        <w:t xml:space="preserve">זה </w:t>
      </w:r>
      <w:bookmarkStart w:id="70017" w:name="_ETM_Q122_608659"/>
      <w:bookmarkEnd w:id="70017"/>
      <w:r>
        <w:rPr>
          <w:rFonts w:hint="cs"/>
          <w:rtl/>
        </w:rPr>
        <w:t xml:space="preserve">למה </w:t>
      </w:r>
      <w:bookmarkStart w:id="70018" w:name="_ETM_Q122_610269"/>
      <w:bookmarkEnd w:id="70018"/>
      <w:r>
        <w:rPr>
          <w:rFonts w:hint="cs"/>
          <w:rtl/>
        </w:rPr>
        <w:t xml:space="preserve">הם </w:t>
      </w:r>
      <w:bookmarkStart w:id="70019" w:name="_ETM_Q122_610450"/>
      <w:bookmarkEnd w:id="70019"/>
      <w:r>
        <w:rPr>
          <w:rFonts w:hint="cs"/>
          <w:rtl/>
        </w:rPr>
        <w:t xml:space="preserve">לא </w:t>
      </w:r>
      <w:bookmarkStart w:id="70020" w:name="_ETM_Q122_610599"/>
      <w:bookmarkEnd w:id="70020"/>
      <w:r>
        <w:rPr>
          <w:rFonts w:hint="cs"/>
          <w:rtl/>
        </w:rPr>
        <w:t xml:space="preserve">מסוגלים </w:t>
      </w:r>
      <w:bookmarkStart w:id="70021" w:name="_ETM_Q122_612370"/>
      <w:bookmarkEnd w:id="70021"/>
      <w:r>
        <w:rPr>
          <w:rFonts w:hint="cs"/>
          <w:rtl/>
        </w:rPr>
        <w:t xml:space="preserve">לגמור </w:t>
      </w:r>
      <w:bookmarkStart w:id="70022" w:name="_ETM_Q122_612790"/>
      <w:bookmarkEnd w:id="70022"/>
      <w:r>
        <w:rPr>
          <w:rFonts w:hint="cs"/>
          <w:rtl/>
        </w:rPr>
        <w:t xml:space="preserve">את </w:t>
      </w:r>
      <w:bookmarkStart w:id="70023" w:name="_ETM_Q122_612910"/>
      <w:bookmarkEnd w:id="70023"/>
      <w:r>
        <w:rPr>
          <w:rFonts w:hint="cs"/>
          <w:rtl/>
        </w:rPr>
        <w:t>החודש.</w:t>
      </w:r>
      <w:r w:rsidR="00A335DD">
        <w:rPr>
          <w:rFonts w:hint="cs"/>
          <w:rtl/>
        </w:rPr>
        <w:t xml:space="preserve"> </w:t>
      </w:r>
      <w:bookmarkStart w:id="70024" w:name="_ETM_Q122_614373"/>
      <w:bookmarkStart w:id="70025" w:name="_ETM_Q122_614454"/>
      <w:bookmarkStart w:id="70026" w:name="_ETM_Q122_614501"/>
      <w:bookmarkStart w:id="70027" w:name="_ETM_Q122_614575"/>
      <w:bookmarkStart w:id="70028" w:name="_ETM_Q122_616239"/>
      <w:bookmarkEnd w:id="70024"/>
      <w:bookmarkEnd w:id="70025"/>
      <w:bookmarkEnd w:id="70026"/>
      <w:bookmarkEnd w:id="70027"/>
      <w:bookmarkEnd w:id="70028"/>
      <w:r>
        <w:rPr>
          <w:rFonts w:hint="cs"/>
          <w:rtl/>
        </w:rPr>
        <w:t xml:space="preserve">אתם </w:t>
      </w:r>
      <w:bookmarkStart w:id="70029" w:name="_ETM_Q122_616540"/>
      <w:bookmarkEnd w:id="70029"/>
      <w:r>
        <w:rPr>
          <w:rFonts w:hint="cs"/>
          <w:rtl/>
        </w:rPr>
        <w:t xml:space="preserve">מובילים </w:t>
      </w:r>
      <w:bookmarkStart w:id="70030" w:name="_ETM_Q122_617590"/>
      <w:bookmarkEnd w:id="70030"/>
      <w:r>
        <w:rPr>
          <w:rFonts w:hint="cs"/>
          <w:rtl/>
        </w:rPr>
        <w:t xml:space="preserve">את </w:t>
      </w:r>
      <w:bookmarkStart w:id="70031" w:name="_ETM_Q122_617799"/>
      <w:bookmarkEnd w:id="70031"/>
      <w:r>
        <w:rPr>
          <w:rFonts w:hint="cs"/>
          <w:rtl/>
        </w:rPr>
        <w:t xml:space="preserve">העם </w:t>
      </w:r>
      <w:bookmarkStart w:id="70032" w:name="_ETM_Q122_618069"/>
      <w:bookmarkEnd w:id="70032"/>
      <w:r>
        <w:rPr>
          <w:rFonts w:hint="cs"/>
          <w:rtl/>
        </w:rPr>
        <w:t xml:space="preserve">הזה </w:t>
      </w:r>
      <w:bookmarkStart w:id="70033" w:name="_ETM_Q122_618700"/>
      <w:bookmarkEnd w:id="70033"/>
      <w:r>
        <w:rPr>
          <w:rFonts w:hint="cs"/>
          <w:rtl/>
        </w:rPr>
        <w:t xml:space="preserve">לתהום, </w:t>
      </w:r>
      <w:bookmarkStart w:id="70034" w:name="_ETM_Q122_621210"/>
      <w:bookmarkEnd w:id="70034"/>
      <w:r>
        <w:rPr>
          <w:rFonts w:hint="cs"/>
          <w:rtl/>
        </w:rPr>
        <w:t xml:space="preserve">לתהום. </w:t>
      </w:r>
      <w:bookmarkStart w:id="70035" w:name="_ETM_Q122_622840"/>
      <w:bookmarkEnd w:id="70035"/>
      <w:r>
        <w:rPr>
          <w:rFonts w:hint="cs"/>
          <w:rtl/>
        </w:rPr>
        <w:t xml:space="preserve">אתם </w:t>
      </w:r>
      <w:bookmarkStart w:id="70036" w:name="_ETM_Q122_623200"/>
      <w:bookmarkEnd w:id="70036"/>
      <w:r>
        <w:rPr>
          <w:rFonts w:hint="cs"/>
          <w:rtl/>
        </w:rPr>
        <w:t xml:space="preserve">מדברים </w:t>
      </w:r>
      <w:bookmarkStart w:id="70037" w:name="_ETM_Q122_623709"/>
      <w:bookmarkEnd w:id="70037"/>
      <w:r>
        <w:rPr>
          <w:rFonts w:hint="cs"/>
          <w:rtl/>
        </w:rPr>
        <w:t xml:space="preserve">איתנו </w:t>
      </w:r>
      <w:bookmarkStart w:id="70038" w:name="_ETM_Q122_624130"/>
      <w:bookmarkEnd w:id="70038"/>
      <w:r>
        <w:rPr>
          <w:rFonts w:hint="cs"/>
          <w:rtl/>
        </w:rPr>
        <w:t>על אחדות?</w:t>
      </w:r>
      <w:r>
        <w:rPr>
          <w:rFonts w:hint="cs"/>
        </w:rPr>
        <w:t xml:space="preserve"> </w:t>
      </w:r>
      <w:r>
        <w:rPr>
          <w:rFonts w:hint="cs"/>
          <w:rtl/>
        </w:rPr>
        <w:t xml:space="preserve">אתם? שלו </w:t>
      </w:r>
      <w:bookmarkStart w:id="70039" w:name="_ETM_Q122_627878"/>
      <w:bookmarkEnd w:id="70039"/>
      <w:r>
        <w:rPr>
          <w:rFonts w:hint="cs"/>
          <w:rtl/>
        </w:rPr>
        <w:t>נעליכם מעל רגליכם</w:t>
      </w:r>
      <w:bookmarkStart w:id="70040" w:name="_ETM_Q122_624610"/>
      <w:bookmarkEnd w:id="70040"/>
      <w:r>
        <w:rPr>
          <w:rFonts w:hint="cs"/>
          <w:rtl/>
        </w:rPr>
        <w:t xml:space="preserve"> </w:t>
      </w:r>
      <w:bookmarkStart w:id="70041" w:name="_ETM_Q122_628190"/>
      <w:bookmarkEnd w:id="70041"/>
      <w:r>
        <w:rPr>
          <w:rFonts w:hint="cs"/>
          <w:rtl/>
        </w:rPr>
        <w:t xml:space="preserve">שאתם בכלל </w:t>
      </w:r>
      <w:bookmarkStart w:id="70042" w:name="_ETM_Q122_630320"/>
      <w:bookmarkStart w:id="70043" w:name="_ETM_Q122_630590"/>
      <w:bookmarkStart w:id="70044" w:name="_ETM_Q122_631430"/>
      <w:bookmarkEnd w:id="70042"/>
      <w:bookmarkEnd w:id="70043"/>
      <w:bookmarkEnd w:id="70044"/>
      <w:r>
        <w:rPr>
          <w:rFonts w:hint="cs"/>
          <w:rtl/>
        </w:rPr>
        <w:t xml:space="preserve">מעזים </w:t>
      </w:r>
      <w:bookmarkStart w:id="70045" w:name="_ETM_Q122_631880"/>
      <w:bookmarkEnd w:id="70045"/>
      <w:r>
        <w:rPr>
          <w:rFonts w:hint="cs"/>
          <w:rtl/>
        </w:rPr>
        <w:t xml:space="preserve">לדבר </w:t>
      </w:r>
      <w:bookmarkStart w:id="70046" w:name="_ETM_Q122_632240"/>
      <w:bookmarkEnd w:id="70046"/>
      <w:r>
        <w:rPr>
          <w:rFonts w:hint="cs"/>
          <w:rtl/>
        </w:rPr>
        <w:t xml:space="preserve">לעם </w:t>
      </w:r>
      <w:bookmarkStart w:id="70047" w:name="_ETM_Q122_632510"/>
      <w:bookmarkEnd w:id="70047"/>
      <w:r>
        <w:rPr>
          <w:rFonts w:hint="cs"/>
          <w:rtl/>
        </w:rPr>
        <w:t xml:space="preserve">הזה, </w:t>
      </w:r>
      <w:bookmarkStart w:id="70048" w:name="_ETM_Q122_633260"/>
      <w:bookmarkEnd w:id="70048"/>
      <w:r>
        <w:rPr>
          <w:rFonts w:hint="cs"/>
          <w:rtl/>
        </w:rPr>
        <w:t xml:space="preserve">אתם </w:t>
      </w:r>
      <w:bookmarkStart w:id="70049" w:name="_ETM_Q122_633379"/>
      <w:bookmarkEnd w:id="70049"/>
      <w:r>
        <w:rPr>
          <w:rFonts w:hint="cs"/>
          <w:rtl/>
        </w:rPr>
        <w:t xml:space="preserve">לא </w:t>
      </w:r>
      <w:bookmarkStart w:id="70050" w:name="_ETM_Q122_633499"/>
      <w:bookmarkEnd w:id="70050"/>
      <w:r>
        <w:rPr>
          <w:rFonts w:hint="cs"/>
          <w:rtl/>
        </w:rPr>
        <w:t xml:space="preserve">ראויים </w:t>
      </w:r>
      <w:bookmarkStart w:id="70051" w:name="_ETM_Q122_633919"/>
      <w:bookmarkEnd w:id="70051"/>
      <w:r>
        <w:rPr>
          <w:rFonts w:hint="cs"/>
          <w:rtl/>
        </w:rPr>
        <w:t xml:space="preserve">לו. </w:t>
      </w:r>
      <w:bookmarkStart w:id="70052" w:name="_ETM_Q122_635370"/>
      <w:bookmarkEnd w:id="70052"/>
      <w:r>
        <w:rPr>
          <w:rFonts w:hint="cs"/>
          <w:rtl/>
        </w:rPr>
        <w:t xml:space="preserve">אתם </w:t>
      </w:r>
      <w:bookmarkStart w:id="70053" w:name="_ETM_Q122_635610"/>
      <w:bookmarkEnd w:id="70053"/>
      <w:r>
        <w:rPr>
          <w:rFonts w:hint="cs"/>
          <w:rtl/>
        </w:rPr>
        <w:t xml:space="preserve">מדברים </w:t>
      </w:r>
      <w:bookmarkStart w:id="70054" w:name="_ETM_Q122_636030"/>
      <w:bookmarkEnd w:id="70054"/>
      <w:r>
        <w:rPr>
          <w:rFonts w:hint="cs"/>
          <w:rtl/>
        </w:rPr>
        <w:t xml:space="preserve">איתנו </w:t>
      </w:r>
      <w:bookmarkStart w:id="70055" w:name="_ETM_Q122_636360"/>
      <w:bookmarkEnd w:id="70055"/>
      <w:r>
        <w:rPr>
          <w:rFonts w:hint="cs"/>
          <w:rtl/>
        </w:rPr>
        <w:t xml:space="preserve">על </w:t>
      </w:r>
      <w:bookmarkStart w:id="70056" w:name="_ETM_Q122_636480"/>
      <w:bookmarkEnd w:id="70056"/>
      <w:r>
        <w:rPr>
          <w:rFonts w:hint="cs"/>
          <w:rtl/>
        </w:rPr>
        <w:t xml:space="preserve">אחדות? </w:t>
      </w:r>
      <w:bookmarkStart w:id="70057" w:name="_ETM_Q122_636840"/>
      <w:bookmarkEnd w:id="70057"/>
      <w:r>
        <w:rPr>
          <w:rFonts w:hint="cs"/>
          <w:rtl/>
        </w:rPr>
        <w:t xml:space="preserve">כל </w:t>
      </w:r>
      <w:bookmarkStart w:id="70058" w:name="_ETM_Q122_636990"/>
      <w:bookmarkEnd w:id="70058"/>
      <w:r>
        <w:rPr>
          <w:rFonts w:hint="cs"/>
          <w:rtl/>
        </w:rPr>
        <w:t xml:space="preserve">מה </w:t>
      </w:r>
      <w:bookmarkStart w:id="70059" w:name="_ETM_Q122_637080"/>
      <w:bookmarkEnd w:id="70059"/>
      <w:r>
        <w:rPr>
          <w:rFonts w:hint="cs"/>
          <w:rtl/>
        </w:rPr>
        <w:t xml:space="preserve">שאתם </w:t>
      </w:r>
      <w:bookmarkStart w:id="70060" w:name="_ETM_Q122_637290"/>
      <w:bookmarkEnd w:id="70060"/>
      <w:r>
        <w:rPr>
          <w:rFonts w:hint="cs"/>
          <w:rtl/>
        </w:rPr>
        <w:t xml:space="preserve">עשיתם </w:t>
      </w:r>
      <w:bookmarkStart w:id="70061" w:name="_ETM_Q122_637680"/>
      <w:bookmarkEnd w:id="70061"/>
      <w:r>
        <w:rPr>
          <w:rFonts w:hint="cs"/>
          <w:rtl/>
        </w:rPr>
        <w:t xml:space="preserve">מהרגע </w:t>
      </w:r>
      <w:bookmarkStart w:id="70062" w:name="_ETM_Q122_638739"/>
      <w:bookmarkEnd w:id="70062"/>
      <w:r>
        <w:rPr>
          <w:rFonts w:hint="cs"/>
          <w:rtl/>
        </w:rPr>
        <w:t xml:space="preserve">שאתם </w:t>
      </w:r>
      <w:bookmarkStart w:id="70063" w:name="_ETM_Q122_639220"/>
      <w:bookmarkEnd w:id="70063"/>
      <w:r>
        <w:rPr>
          <w:rFonts w:hint="cs"/>
          <w:rtl/>
        </w:rPr>
        <w:t xml:space="preserve">נבחרתם </w:t>
      </w:r>
      <w:bookmarkStart w:id="70064" w:name="_ETM_Q122_639879"/>
      <w:bookmarkEnd w:id="70064"/>
      <w:r>
        <w:rPr>
          <w:rFonts w:hint="cs"/>
          <w:rtl/>
        </w:rPr>
        <w:t xml:space="preserve">זה </w:t>
      </w:r>
      <w:bookmarkStart w:id="70065" w:name="_ETM_Q122_641659"/>
      <w:bookmarkEnd w:id="70065"/>
      <w:r>
        <w:rPr>
          <w:rFonts w:hint="cs"/>
          <w:rtl/>
        </w:rPr>
        <w:t xml:space="preserve">רק לשסות. </w:t>
      </w:r>
      <w:bookmarkStart w:id="70066" w:name="_ETM_Q122_643710"/>
      <w:bookmarkEnd w:id="70066"/>
      <w:r>
        <w:rPr>
          <w:rFonts w:hint="cs"/>
          <w:rtl/>
        </w:rPr>
        <w:t>מילה אחת</w:t>
      </w:r>
      <w:bookmarkStart w:id="70067" w:name="_ETM_Q122_644070"/>
      <w:bookmarkEnd w:id="70067"/>
      <w:r>
        <w:rPr>
          <w:rFonts w:hint="cs"/>
          <w:rtl/>
        </w:rPr>
        <w:t xml:space="preserve"> </w:t>
      </w:r>
      <w:bookmarkStart w:id="70068" w:name="_ETM_Q122_644610"/>
      <w:bookmarkEnd w:id="70068"/>
      <w:r>
        <w:rPr>
          <w:rFonts w:hint="cs"/>
          <w:rtl/>
        </w:rPr>
        <w:t xml:space="preserve">מאחדת </w:t>
      </w:r>
      <w:bookmarkStart w:id="70069" w:name="_ETM_Q122_645300"/>
      <w:bookmarkEnd w:id="70069"/>
      <w:r>
        <w:rPr>
          <w:rFonts w:hint="cs"/>
          <w:rtl/>
        </w:rPr>
        <w:t xml:space="preserve">אין </w:t>
      </w:r>
      <w:bookmarkStart w:id="70070" w:name="_ETM_Q122_645510"/>
      <w:bookmarkEnd w:id="70070"/>
      <w:r>
        <w:rPr>
          <w:rFonts w:hint="cs"/>
          <w:rtl/>
        </w:rPr>
        <w:t xml:space="preserve">לכם. </w:t>
      </w:r>
      <w:bookmarkStart w:id="70071" w:name="_ETM_Q122_646530"/>
      <w:bookmarkStart w:id="70072" w:name="_ETM_Q122_643979"/>
      <w:bookmarkStart w:id="70073" w:name="_ETM_Q122_644035"/>
      <w:bookmarkStart w:id="70074" w:name="_ETM_Q122_644155"/>
      <w:bookmarkStart w:id="70075" w:name="_ETM_Q122_644203"/>
      <w:bookmarkEnd w:id="70071"/>
      <w:bookmarkEnd w:id="70072"/>
      <w:bookmarkEnd w:id="70073"/>
      <w:bookmarkEnd w:id="70074"/>
      <w:bookmarkEnd w:id="70075"/>
      <w:r>
        <w:rPr>
          <w:rFonts w:hint="cs"/>
          <w:rtl/>
        </w:rPr>
        <w:t xml:space="preserve">עומד </w:t>
      </w:r>
      <w:bookmarkStart w:id="70076" w:name="_ETM_Q122_646830"/>
      <w:bookmarkEnd w:id="70076"/>
      <w:r>
        <w:rPr>
          <w:rFonts w:hint="cs"/>
          <w:rtl/>
        </w:rPr>
        <w:t xml:space="preserve">פה </w:t>
      </w:r>
      <w:bookmarkStart w:id="70077" w:name="_ETM_Q122_647010"/>
      <w:bookmarkEnd w:id="70077"/>
      <w:r>
        <w:rPr>
          <w:rFonts w:hint="cs"/>
          <w:rtl/>
        </w:rPr>
        <w:t xml:space="preserve">ביבי </w:t>
      </w:r>
      <w:bookmarkStart w:id="70078" w:name="_ETM_Q122_647280"/>
      <w:bookmarkEnd w:id="70078"/>
      <w:r>
        <w:rPr>
          <w:rFonts w:hint="cs"/>
          <w:rtl/>
        </w:rPr>
        <w:t xml:space="preserve">ועושה </w:t>
      </w:r>
      <w:bookmarkStart w:id="70079" w:name="_ETM_Q122_647670"/>
      <w:bookmarkEnd w:id="70079"/>
      <w:r>
        <w:rPr>
          <w:rFonts w:hint="cs"/>
          <w:rtl/>
        </w:rPr>
        <w:t xml:space="preserve">אחדות, </w:t>
      </w:r>
      <w:bookmarkStart w:id="70080" w:name="_ETM_Q122_648120"/>
      <w:bookmarkEnd w:id="70080"/>
      <w:r>
        <w:rPr>
          <w:rFonts w:hint="cs"/>
          <w:rtl/>
        </w:rPr>
        <w:t xml:space="preserve">אומר </w:t>
      </w:r>
      <w:bookmarkStart w:id="70081" w:name="_ETM_Q122_648390"/>
      <w:bookmarkEnd w:id="70081"/>
      <w:r>
        <w:rPr>
          <w:rFonts w:hint="cs"/>
          <w:rtl/>
        </w:rPr>
        <w:t xml:space="preserve">אחדות, </w:t>
      </w:r>
      <w:bookmarkStart w:id="70082" w:name="_ETM_Q122_648750"/>
      <w:bookmarkEnd w:id="70082"/>
      <w:r>
        <w:rPr>
          <w:rFonts w:hint="cs"/>
          <w:rtl/>
        </w:rPr>
        <w:t xml:space="preserve">הוא </w:t>
      </w:r>
      <w:bookmarkStart w:id="70083" w:name="_ETM_Q122_648810"/>
      <w:bookmarkEnd w:id="70083"/>
      <w:r>
        <w:rPr>
          <w:rFonts w:hint="cs"/>
          <w:rtl/>
        </w:rPr>
        <w:t xml:space="preserve">כל </w:t>
      </w:r>
      <w:bookmarkStart w:id="70084" w:name="_ETM_Q122_648959"/>
      <w:bookmarkEnd w:id="70084"/>
      <w:r>
        <w:rPr>
          <w:rFonts w:hint="cs"/>
          <w:rtl/>
        </w:rPr>
        <w:t xml:space="preserve">היום </w:t>
      </w:r>
      <w:bookmarkStart w:id="70085" w:name="_ETM_Q122_649140"/>
      <w:bookmarkEnd w:id="70085"/>
      <w:r>
        <w:rPr>
          <w:rFonts w:hint="cs"/>
          <w:rtl/>
        </w:rPr>
        <w:t xml:space="preserve">רק </w:t>
      </w:r>
      <w:bookmarkStart w:id="70086" w:name="_ETM_Q122_649319"/>
      <w:bookmarkEnd w:id="70086"/>
      <w:r>
        <w:rPr>
          <w:rFonts w:hint="cs"/>
          <w:rtl/>
        </w:rPr>
        <w:t xml:space="preserve">אומר </w:t>
      </w:r>
      <w:bookmarkStart w:id="70087" w:name="_ETM_Q122_649530"/>
      <w:bookmarkEnd w:id="70087"/>
      <w:r>
        <w:rPr>
          <w:rFonts w:hint="cs"/>
          <w:rtl/>
        </w:rPr>
        <w:t xml:space="preserve">אחדות. עלק קינג </w:t>
      </w:r>
      <w:bookmarkStart w:id="70088" w:name="_ETM_Q122_650830"/>
      <w:bookmarkStart w:id="70089" w:name="_ETM_Q122_650040"/>
      <w:bookmarkStart w:id="70090" w:name="_ETM_Q122_650670"/>
      <w:bookmarkEnd w:id="70088"/>
      <w:bookmarkEnd w:id="70089"/>
      <w:bookmarkEnd w:id="70090"/>
      <w:r>
        <w:rPr>
          <w:rFonts w:hint="cs"/>
          <w:rtl/>
        </w:rPr>
        <w:t xml:space="preserve">ביבי, </w:t>
      </w:r>
      <w:bookmarkStart w:id="70091" w:name="_ETM_Q122_653249"/>
      <w:bookmarkEnd w:id="70091"/>
      <w:r>
        <w:rPr>
          <w:rFonts w:hint="cs"/>
          <w:rtl/>
        </w:rPr>
        <w:t>משרת</w:t>
      </w:r>
      <w:bookmarkStart w:id="70092" w:name="_ETM_Q122_653700"/>
      <w:bookmarkEnd w:id="70092"/>
      <w:r>
        <w:rPr>
          <w:rFonts w:hint="cs"/>
          <w:rtl/>
        </w:rPr>
        <w:t xml:space="preserve">ם </w:t>
      </w:r>
      <w:bookmarkStart w:id="70093" w:name="_ETM_Q122_655560"/>
      <w:bookmarkEnd w:id="70093"/>
      <w:r>
        <w:rPr>
          <w:rFonts w:hint="cs"/>
          <w:rtl/>
        </w:rPr>
        <w:t xml:space="preserve">של </w:t>
      </w:r>
      <w:bookmarkStart w:id="70094" w:name="_ETM_Q122_655890"/>
      <w:bookmarkEnd w:id="70094"/>
      <w:r>
        <w:rPr>
          <w:rFonts w:hint="cs"/>
          <w:rtl/>
        </w:rPr>
        <w:t xml:space="preserve">בן </w:t>
      </w:r>
      <w:bookmarkStart w:id="70095" w:name="_ETM_Q122_656219"/>
      <w:bookmarkEnd w:id="70095"/>
      <w:r>
        <w:rPr>
          <w:rFonts w:hint="cs"/>
          <w:rtl/>
        </w:rPr>
        <w:t xml:space="preserve">גביר </w:t>
      </w:r>
      <w:bookmarkStart w:id="70096" w:name="_ETM_Q122_656640"/>
      <w:bookmarkEnd w:id="70096"/>
      <w:r>
        <w:rPr>
          <w:rFonts w:hint="cs"/>
          <w:rtl/>
        </w:rPr>
        <w:t xml:space="preserve">וסמוטריץ', </w:t>
      </w:r>
      <w:bookmarkStart w:id="70097" w:name="_ETM_Q122_658629"/>
      <w:bookmarkEnd w:id="70097"/>
      <w:r>
        <w:rPr>
          <w:rFonts w:hint="cs"/>
          <w:rtl/>
        </w:rPr>
        <w:t xml:space="preserve">קינג </w:t>
      </w:r>
      <w:bookmarkStart w:id="70098" w:name="_ETM_Q122_659190"/>
      <w:bookmarkEnd w:id="70098"/>
      <w:r>
        <w:rPr>
          <w:rFonts w:hint="cs"/>
          <w:rtl/>
        </w:rPr>
        <w:t xml:space="preserve">ביבי </w:t>
      </w:r>
      <w:bookmarkStart w:id="70099" w:name="_ETM_Q122_659550"/>
      <w:bookmarkEnd w:id="70099"/>
      <w:r>
        <w:rPr>
          <w:rFonts w:hint="cs"/>
          <w:rtl/>
        </w:rPr>
        <w:t xml:space="preserve">עלק. </w:t>
      </w:r>
      <w:bookmarkStart w:id="70100" w:name="_ETM_Q122_660500"/>
      <w:bookmarkEnd w:id="70100"/>
      <w:r>
        <w:rPr>
          <w:rFonts w:hint="cs"/>
          <w:rtl/>
        </w:rPr>
        <w:t xml:space="preserve">איזה </w:t>
      </w:r>
      <w:bookmarkStart w:id="70101" w:name="_ETM_Q122_660799"/>
      <w:bookmarkEnd w:id="70101"/>
      <w:r>
        <w:rPr>
          <w:rFonts w:hint="cs"/>
          <w:rtl/>
        </w:rPr>
        <w:t xml:space="preserve">קינג </w:t>
      </w:r>
      <w:bookmarkStart w:id="70102" w:name="_ETM_Q122_661190"/>
      <w:bookmarkEnd w:id="70102"/>
      <w:r>
        <w:rPr>
          <w:rFonts w:hint="cs"/>
          <w:rtl/>
        </w:rPr>
        <w:t xml:space="preserve">ואיזה </w:t>
      </w:r>
      <w:bookmarkStart w:id="70103" w:name="_ETM_Q122_661519"/>
      <w:bookmarkEnd w:id="70103"/>
      <w:r>
        <w:rPr>
          <w:rFonts w:hint="cs"/>
          <w:rtl/>
        </w:rPr>
        <w:t>נעליים.</w:t>
      </w:r>
    </w:p>
    <w:p w:rsidR="00BB59CD" w:rsidRDefault="00BB59CD" w:rsidP="00BB59CD">
      <w:pPr>
        <w:rPr>
          <w:rtl/>
        </w:rPr>
      </w:pPr>
      <w:bookmarkStart w:id="70104" w:name="_ETM_Q122_663348"/>
      <w:bookmarkStart w:id="70105" w:name="_ETM_Q122_663443"/>
      <w:bookmarkEnd w:id="70104"/>
      <w:bookmarkEnd w:id="70105"/>
    </w:p>
    <w:p w:rsidR="00BB59CD" w:rsidRDefault="00BB59CD" w:rsidP="00A335DD">
      <w:pPr>
        <w:rPr>
          <w:rtl/>
        </w:rPr>
      </w:pPr>
      <w:bookmarkStart w:id="70106" w:name="_ETM_Q122_663481"/>
      <w:bookmarkStart w:id="70107" w:name="_ETM_Q122_663554"/>
      <w:bookmarkStart w:id="70108" w:name="_ETM_Q122_668740"/>
      <w:bookmarkEnd w:id="70106"/>
      <w:bookmarkEnd w:id="70107"/>
      <w:bookmarkEnd w:id="70108"/>
      <w:r>
        <w:rPr>
          <w:rFonts w:hint="cs"/>
          <w:rtl/>
        </w:rPr>
        <w:t xml:space="preserve">עצוב, </w:t>
      </w:r>
      <w:bookmarkStart w:id="70109" w:name="_ETM_Q122_669900"/>
      <w:bookmarkEnd w:id="70109"/>
      <w:r>
        <w:rPr>
          <w:rFonts w:hint="cs"/>
          <w:rtl/>
        </w:rPr>
        <w:t xml:space="preserve">פשוט </w:t>
      </w:r>
      <w:bookmarkStart w:id="70110" w:name="_ETM_Q122_670200"/>
      <w:bookmarkEnd w:id="70110"/>
      <w:r>
        <w:rPr>
          <w:rFonts w:hint="cs"/>
          <w:rtl/>
        </w:rPr>
        <w:t xml:space="preserve">עצוב. </w:t>
      </w:r>
      <w:bookmarkStart w:id="70111" w:name="_ETM_Q122_673989"/>
      <w:bookmarkEnd w:id="70111"/>
      <w:r>
        <w:rPr>
          <w:rFonts w:hint="cs"/>
          <w:rtl/>
        </w:rPr>
        <w:t xml:space="preserve">עצוב </w:t>
      </w:r>
      <w:bookmarkStart w:id="70112" w:name="_ETM_Q122_674890"/>
      <w:bookmarkEnd w:id="70112"/>
      <w:r>
        <w:rPr>
          <w:rFonts w:hint="cs"/>
          <w:rtl/>
        </w:rPr>
        <w:t xml:space="preserve">כי </w:t>
      </w:r>
      <w:bookmarkStart w:id="70113" w:name="_ETM_Q122_675129"/>
      <w:bookmarkEnd w:id="70113"/>
      <w:r>
        <w:rPr>
          <w:rFonts w:hint="cs"/>
          <w:rtl/>
        </w:rPr>
        <w:t xml:space="preserve">אפילו </w:t>
      </w:r>
      <w:bookmarkStart w:id="70114" w:name="_ETM_Q122_675519"/>
      <w:bookmarkEnd w:id="70114"/>
      <w:r>
        <w:rPr>
          <w:rFonts w:hint="cs"/>
          <w:rtl/>
        </w:rPr>
        <w:t xml:space="preserve">אני </w:t>
      </w:r>
      <w:bookmarkStart w:id="70115" w:name="_ETM_Q122_675760"/>
      <w:bookmarkEnd w:id="70115"/>
      <w:r>
        <w:rPr>
          <w:rFonts w:hint="cs"/>
          <w:rtl/>
        </w:rPr>
        <w:t xml:space="preserve">האמנתי </w:t>
      </w:r>
      <w:bookmarkStart w:id="70116" w:name="_ETM_Q122_677090"/>
      <w:bookmarkEnd w:id="70116"/>
      <w:r>
        <w:rPr>
          <w:rFonts w:hint="cs"/>
          <w:rtl/>
        </w:rPr>
        <w:t xml:space="preserve">או רציתי </w:t>
      </w:r>
      <w:bookmarkStart w:id="70117" w:name="_ETM_Q122_677629"/>
      <w:bookmarkEnd w:id="70117"/>
      <w:r>
        <w:rPr>
          <w:rFonts w:hint="cs"/>
          <w:rtl/>
        </w:rPr>
        <w:t xml:space="preserve">להאמין </w:t>
      </w:r>
      <w:bookmarkStart w:id="70118" w:name="_ETM_Q122_680219"/>
      <w:bookmarkEnd w:id="70118"/>
      <w:r>
        <w:rPr>
          <w:rFonts w:hint="cs"/>
          <w:rtl/>
        </w:rPr>
        <w:t xml:space="preserve">שיש </w:t>
      </w:r>
      <w:bookmarkStart w:id="70119" w:name="_ETM_Q122_680549"/>
      <w:bookmarkEnd w:id="70119"/>
      <w:r>
        <w:rPr>
          <w:rFonts w:hint="cs"/>
          <w:rtl/>
        </w:rPr>
        <w:t xml:space="preserve">בכם </w:t>
      </w:r>
      <w:bookmarkStart w:id="70120" w:name="_ETM_Q122_682329"/>
      <w:bookmarkEnd w:id="70120"/>
      <w:r>
        <w:rPr>
          <w:rFonts w:hint="cs"/>
          <w:rtl/>
        </w:rPr>
        <w:t xml:space="preserve">טיפה </w:t>
      </w:r>
      <w:bookmarkStart w:id="70121" w:name="_ETM_Q122_682779"/>
      <w:bookmarkEnd w:id="70121"/>
      <w:r>
        <w:rPr>
          <w:rFonts w:hint="cs"/>
          <w:rtl/>
        </w:rPr>
        <w:t xml:space="preserve">חמלה </w:t>
      </w:r>
      <w:bookmarkStart w:id="70122" w:name="_ETM_Q122_684549"/>
      <w:bookmarkEnd w:id="70122"/>
      <w:r>
        <w:rPr>
          <w:rFonts w:hint="cs"/>
          <w:rtl/>
        </w:rPr>
        <w:t xml:space="preserve">ואהבת </w:t>
      </w:r>
      <w:bookmarkStart w:id="70123" w:name="_ETM_Q122_685120"/>
      <w:bookmarkEnd w:id="70123"/>
      <w:r>
        <w:rPr>
          <w:rFonts w:hint="cs"/>
          <w:rtl/>
        </w:rPr>
        <w:t xml:space="preserve">העם – </w:t>
      </w:r>
      <w:bookmarkStart w:id="70124" w:name="_ETM_Q122_686130"/>
      <w:bookmarkEnd w:id="70124"/>
      <w:r>
        <w:rPr>
          <w:rFonts w:hint="cs"/>
          <w:rtl/>
        </w:rPr>
        <w:t xml:space="preserve">כל העם, </w:t>
      </w:r>
      <w:bookmarkStart w:id="70125" w:name="_ETM_Q122_687060"/>
      <w:bookmarkEnd w:id="70125"/>
      <w:r>
        <w:rPr>
          <w:rFonts w:hint="cs"/>
          <w:rtl/>
        </w:rPr>
        <w:t xml:space="preserve">אגב, </w:t>
      </w:r>
      <w:bookmarkStart w:id="70126" w:name="_ETM_Q122_687390"/>
      <w:bookmarkEnd w:id="70126"/>
      <w:r>
        <w:rPr>
          <w:rFonts w:hint="cs"/>
          <w:rtl/>
        </w:rPr>
        <w:t xml:space="preserve">כי </w:t>
      </w:r>
      <w:bookmarkStart w:id="70127" w:name="_ETM_Q122_687570"/>
      <w:bookmarkEnd w:id="70127"/>
      <w:r>
        <w:rPr>
          <w:rFonts w:hint="cs"/>
          <w:rtl/>
        </w:rPr>
        <w:t xml:space="preserve">כשאוהבים </w:t>
      </w:r>
      <w:bookmarkStart w:id="70128" w:name="_ETM_Q122_688050"/>
      <w:bookmarkEnd w:id="70128"/>
      <w:r>
        <w:rPr>
          <w:rFonts w:hint="cs"/>
          <w:rtl/>
        </w:rPr>
        <w:t xml:space="preserve">את </w:t>
      </w:r>
      <w:bookmarkStart w:id="70129" w:name="_ETM_Q122_688170"/>
      <w:bookmarkEnd w:id="70129"/>
      <w:r>
        <w:rPr>
          <w:rFonts w:hint="cs"/>
          <w:rtl/>
        </w:rPr>
        <w:t xml:space="preserve">העם </w:t>
      </w:r>
      <w:bookmarkStart w:id="70130" w:name="_ETM_Q122_688440"/>
      <w:bookmarkEnd w:id="70130"/>
      <w:r>
        <w:rPr>
          <w:rFonts w:hint="cs"/>
          <w:rtl/>
        </w:rPr>
        <w:t xml:space="preserve">לא </w:t>
      </w:r>
      <w:bookmarkStart w:id="70131" w:name="_ETM_Q122_688590"/>
      <w:bookmarkEnd w:id="70131"/>
      <w:r>
        <w:rPr>
          <w:rFonts w:hint="cs"/>
          <w:rtl/>
        </w:rPr>
        <w:t xml:space="preserve">אוהבים </w:t>
      </w:r>
      <w:bookmarkStart w:id="70132" w:name="_ETM_Q122_688860"/>
      <w:bookmarkEnd w:id="70132"/>
      <w:r>
        <w:rPr>
          <w:rFonts w:hint="cs"/>
          <w:rtl/>
        </w:rPr>
        <w:t xml:space="preserve">רק </w:t>
      </w:r>
      <w:bookmarkStart w:id="70133" w:name="_ETM_Q122_689100"/>
      <w:bookmarkEnd w:id="70133"/>
      <w:r>
        <w:rPr>
          <w:rFonts w:hint="cs"/>
          <w:rtl/>
        </w:rPr>
        <w:t xml:space="preserve">חלק </w:t>
      </w:r>
      <w:bookmarkStart w:id="70134" w:name="_ETM_Q122_689460"/>
      <w:bookmarkEnd w:id="70134"/>
      <w:r>
        <w:rPr>
          <w:rFonts w:hint="cs"/>
          <w:rtl/>
        </w:rPr>
        <w:t xml:space="preserve">ממנו, </w:t>
      </w:r>
      <w:bookmarkStart w:id="70135" w:name="_ETM_Q122_690390"/>
      <w:bookmarkEnd w:id="70135"/>
      <w:r>
        <w:rPr>
          <w:rFonts w:hint="cs"/>
          <w:rtl/>
        </w:rPr>
        <w:t xml:space="preserve">אוהבים </w:t>
      </w:r>
      <w:bookmarkStart w:id="70136" w:name="_ETM_Q122_690660"/>
      <w:bookmarkEnd w:id="70136"/>
      <w:r>
        <w:rPr>
          <w:rFonts w:hint="cs"/>
          <w:rtl/>
        </w:rPr>
        <w:t xml:space="preserve">את </w:t>
      </w:r>
      <w:bookmarkStart w:id="70137" w:name="_ETM_Q122_690750"/>
      <w:bookmarkEnd w:id="70137"/>
      <w:r>
        <w:rPr>
          <w:rFonts w:hint="cs"/>
          <w:rtl/>
        </w:rPr>
        <w:t xml:space="preserve">כולו. </w:t>
      </w:r>
      <w:bookmarkStart w:id="70138" w:name="_ETM_Q122_691859"/>
      <w:bookmarkEnd w:id="70138"/>
      <w:r>
        <w:rPr>
          <w:rFonts w:hint="cs"/>
          <w:rtl/>
        </w:rPr>
        <w:t xml:space="preserve">אני </w:t>
      </w:r>
      <w:bookmarkStart w:id="70139" w:name="_ETM_Q122_692040"/>
      <w:bookmarkEnd w:id="70139"/>
      <w:r>
        <w:rPr>
          <w:rFonts w:hint="cs"/>
          <w:rtl/>
        </w:rPr>
        <w:t xml:space="preserve">אוהבת </w:t>
      </w:r>
      <w:bookmarkStart w:id="70140" w:name="_ETM_Q122_692279"/>
      <w:bookmarkEnd w:id="70140"/>
      <w:r>
        <w:rPr>
          <w:rFonts w:hint="cs"/>
          <w:rtl/>
        </w:rPr>
        <w:t xml:space="preserve">את </w:t>
      </w:r>
      <w:bookmarkStart w:id="70141" w:name="_ETM_Q122_692400"/>
      <w:bookmarkEnd w:id="70141"/>
      <w:r>
        <w:rPr>
          <w:rFonts w:hint="cs"/>
          <w:rtl/>
        </w:rPr>
        <w:t xml:space="preserve">החרדים, </w:t>
      </w:r>
      <w:bookmarkStart w:id="70142" w:name="_ETM_Q122_695109"/>
      <w:bookmarkEnd w:id="70142"/>
      <w:r>
        <w:rPr>
          <w:rFonts w:hint="cs"/>
          <w:rtl/>
        </w:rPr>
        <w:t xml:space="preserve">כל </w:t>
      </w:r>
      <w:bookmarkStart w:id="70143" w:name="_ETM_Q122_695349"/>
      <w:bookmarkEnd w:id="70143"/>
      <w:r>
        <w:rPr>
          <w:rFonts w:hint="cs"/>
          <w:rtl/>
        </w:rPr>
        <w:t xml:space="preserve">החרדים, </w:t>
      </w:r>
      <w:bookmarkStart w:id="70144" w:name="_ETM_Q122_696640"/>
      <w:bookmarkEnd w:id="70144"/>
      <w:r>
        <w:rPr>
          <w:rFonts w:hint="cs"/>
          <w:rtl/>
        </w:rPr>
        <w:t xml:space="preserve">אני </w:t>
      </w:r>
      <w:bookmarkStart w:id="70145" w:name="_ETM_Q122_696819"/>
      <w:bookmarkEnd w:id="70145"/>
      <w:r>
        <w:rPr>
          <w:rFonts w:hint="cs"/>
          <w:rtl/>
        </w:rPr>
        <w:t xml:space="preserve">אוהבת </w:t>
      </w:r>
      <w:bookmarkStart w:id="70146" w:name="_ETM_Q122_697000"/>
      <w:bookmarkEnd w:id="70146"/>
      <w:r>
        <w:rPr>
          <w:rFonts w:hint="cs"/>
          <w:rtl/>
        </w:rPr>
        <w:t xml:space="preserve">את </w:t>
      </w:r>
      <w:bookmarkStart w:id="70147" w:name="_ETM_Q122_697179"/>
      <w:bookmarkEnd w:id="70147"/>
      <w:r>
        <w:rPr>
          <w:rFonts w:hint="cs"/>
          <w:rtl/>
        </w:rPr>
        <w:t xml:space="preserve">הכיפות </w:t>
      </w:r>
      <w:bookmarkStart w:id="70148" w:name="_ETM_Q122_697540"/>
      <w:bookmarkStart w:id="70149" w:name="_ETM_Q122_697690"/>
      <w:bookmarkStart w:id="70150" w:name="_ETM_Q122_698050"/>
      <w:bookmarkEnd w:id="70148"/>
      <w:bookmarkEnd w:id="70149"/>
      <w:bookmarkEnd w:id="70150"/>
      <w:r>
        <w:rPr>
          <w:rFonts w:hint="cs"/>
          <w:rtl/>
        </w:rPr>
        <w:t xml:space="preserve">הסרוגות, </w:t>
      </w:r>
      <w:bookmarkStart w:id="70151" w:name="_ETM_Q122_698530"/>
      <w:bookmarkEnd w:id="70151"/>
      <w:r>
        <w:rPr>
          <w:rFonts w:hint="cs"/>
          <w:rtl/>
        </w:rPr>
        <w:t xml:space="preserve">אני </w:t>
      </w:r>
      <w:bookmarkStart w:id="70152" w:name="_ETM_Q122_698650"/>
      <w:bookmarkEnd w:id="70152"/>
      <w:r>
        <w:rPr>
          <w:rFonts w:hint="cs"/>
          <w:rtl/>
        </w:rPr>
        <w:t xml:space="preserve">אוהבת </w:t>
      </w:r>
      <w:bookmarkStart w:id="70153" w:name="_ETM_Q122_698860"/>
      <w:bookmarkEnd w:id="70153"/>
      <w:r>
        <w:rPr>
          <w:rFonts w:hint="cs"/>
          <w:rtl/>
        </w:rPr>
        <w:t xml:space="preserve">את </w:t>
      </w:r>
      <w:bookmarkStart w:id="70154" w:name="_ETM_Q122_698980"/>
      <w:bookmarkEnd w:id="70154"/>
      <w:r>
        <w:rPr>
          <w:rFonts w:hint="cs"/>
          <w:rtl/>
        </w:rPr>
        <w:t xml:space="preserve">המתנחלים, </w:t>
      </w:r>
      <w:bookmarkStart w:id="70155" w:name="_ETM_Q122_700140"/>
      <w:bookmarkEnd w:id="70155"/>
      <w:r>
        <w:rPr>
          <w:rFonts w:hint="cs"/>
          <w:rtl/>
        </w:rPr>
        <w:t xml:space="preserve">את </w:t>
      </w:r>
      <w:bookmarkStart w:id="70156" w:name="_ETM_Q122_700319"/>
      <w:bookmarkEnd w:id="70156"/>
      <w:r>
        <w:rPr>
          <w:rFonts w:hint="cs"/>
          <w:rtl/>
        </w:rPr>
        <w:t xml:space="preserve">המתיישבים </w:t>
      </w:r>
      <w:bookmarkStart w:id="70157" w:name="_ETM_Q122_700890"/>
      <w:bookmarkEnd w:id="70157"/>
      <w:r>
        <w:rPr>
          <w:rFonts w:hint="cs"/>
          <w:rtl/>
        </w:rPr>
        <w:t xml:space="preserve">ביהודה </w:t>
      </w:r>
      <w:bookmarkStart w:id="70158" w:name="_ETM_Q122_701159"/>
      <w:bookmarkEnd w:id="70158"/>
      <w:r>
        <w:rPr>
          <w:rFonts w:hint="cs"/>
          <w:rtl/>
        </w:rPr>
        <w:t xml:space="preserve">ושומרון </w:t>
      </w:r>
      <w:bookmarkStart w:id="70159" w:name="_ETM_Q122_702050"/>
      <w:bookmarkEnd w:id="70159"/>
      <w:r>
        <w:rPr>
          <w:rFonts w:hint="cs"/>
          <w:rtl/>
        </w:rPr>
        <w:t xml:space="preserve">וחברון, </w:t>
      </w:r>
      <w:bookmarkStart w:id="70160" w:name="_ETM_Q122_703859"/>
      <w:bookmarkEnd w:id="70160"/>
      <w:r>
        <w:rPr>
          <w:rFonts w:hint="cs"/>
          <w:rtl/>
        </w:rPr>
        <w:t xml:space="preserve">אני </w:t>
      </w:r>
      <w:bookmarkStart w:id="70161" w:name="_ETM_Q122_704040"/>
      <w:bookmarkEnd w:id="70161"/>
      <w:r>
        <w:rPr>
          <w:rFonts w:hint="cs"/>
          <w:rtl/>
        </w:rPr>
        <w:t xml:space="preserve">אוהבת </w:t>
      </w:r>
      <w:bookmarkStart w:id="70162" w:name="_ETM_Q122_704219"/>
      <w:bookmarkEnd w:id="70162"/>
      <w:r>
        <w:rPr>
          <w:rFonts w:hint="cs"/>
          <w:rtl/>
        </w:rPr>
        <w:t xml:space="preserve">את </w:t>
      </w:r>
      <w:bookmarkStart w:id="70163" w:name="_ETM_Q122_704340"/>
      <w:bookmarkEnd w:id="70163"/>
      <w:r>
        <w:rPr>
          <w:rFonts w:hint="cs"/>
          <w:rtl/>
        </w:rPr>
        <w:t xml:space="preserve">התל-אביבים, </w:t>
      </w:r>
      <w:bookmarkStart w:id="70164" w:name="_ETM_Q122_705359"/>
      <w:bookmarkEnd w:id="70164"/>
      <w:r>
        <w:rPr>
          <w:rFonts w:hint="cs"/>
          <w:rtl/>
        </w:rPr>
        <w:t xml:space="preserve">אני </w:t>
      </w:r>
      <w:bookmarkStart w:id="70165" w:name="_ETM_Q122_705540"/>
      <w:bookmarkEnd w:id="70165"/>
      <w:r>
        <w:rPr>
          <w:rFonts w:hint="cs"/>
          <w:rtl/>
        </w:rPr>
        <w:t xml:space="preserve">אוהבת </w:t>
      </w:r>
      <w:bookmarkStart w:id="70166" w:name="_ETM_Q122_706929"/>
      <w:bookmarkEnd w:id="70166"/>
      <w:r>
        <w:rPr>
          <w:rFonts w:hint="cs"/>
          <w:rtl/>
        </w:rPr>
        <w:t xml:space="preserve">את </w:t>
      </w:r>
      <w:bookmarkStart w:id="70167" w:name="_ETM_Q122_707110"/>
      <w:bookmarkEnd w:id="70167"/>
      <w:r>
        <w:rPr>
          <w:rFonts w:hint="cs"/>
          <w:rtl/>
        </w:rPr>
        <w:t xml:space="preserve">אנשי </w:t>
      </w:r>
      <w:bookmarkStart w:id="70168" w:name="_ETM_Q122_707379"/>
      <w:bookmarkEnd w:id="70168"/>
      <w:r>
        <w:rPr>
          <w:rFonts w:hint="cs"/>
          <w:rtl/>
        </w:rPr>
        <w:t xml:space="preserve">הצפון, </w:t>
      </w:r>
      <w:bookmarkStart w:id="70169" w:name="_ETM_Q122_707890"/>
      <w:bookmarkEnd w:id="70169"/>
      <w:r>
        <w:rPr>
          <w:rFonts w:hint="cs"/>
          <w:rtl/>
        </w:rPr>
        <w:t xml:space="preserve">אני </w:t>
      </w:r>
      <w:bookmarkStart w:id="70170" w:name="_ETM_Q122_708010"/>
      <w:bookmarkEnd w:id="70170"/>
      <w:r>
        <w:rPr>
          <w:rFonts w:hint="cs"/>
          <w:rtl/>
        </w:rPr>
        <w:t xml:space="preserve">אוהבת </w:t>
      </w:r>
      <w:bookmarkStart w:id="70171" w:name="_ETM_Q122_708220"/>
      <w:bookmarkEnd w:id="70171"/>
      <w:r>
        <w:rPr>
          <w:rFonts w:hint="cs"/>
          <w:rtl/>
        </w:rPr>
        <w:t xml:space="preserve">את </w:t>
      </w:r>
      <w:bookmarkStart w:id="70172" w:name="_ETM_Q122_708340"/>
      <w:bookmarkEnd w:id="70172"/>
      <w:r>
        <w:rPr>
          <w:rFonts w:hint="cs"/>
          <w:rtl/>
        </w:rPr>
        <w:t xml:space="preserve">אנשי </w:t>
      </w:r>
      <w:bookmarkStart w:id="70173" w:name="_ETM_Q122_708640"/>
      <w:bookmarkEnd w:id="70173"/>
      <w:r>
        <w:rPr>
          <w:rFonts w:hint="cs"/>
          <w:rtl/>
        </w:rPr>
        <w:t xml:space="preserve">הדרום. </w:t>
      </w:r>
      <w:bookmarkStart w:id="70174" w:name="_ETM_Q122_709960"/>
      <w:bookmarkStart w:id="70175" w:name="_ETM_Q122_699058"/>
      <w:bookmarkStart w:id="70176" w:name="_ETM_Q122_699176"/>
      <w:bookmarkEnd w:id="70174"/>
      <w:bookmarkEnd w:id="70175"/>
      <w:bookmarkEnd w:id="70176"/>
      <w:r>
        <w:rPr>
          <w:rFonts w:hint="cs"/>
          <w:rtl/>
        </w:rPr>
        <w:t xml:space="preserve">אני </w:t>
      </w:r>
      <w:bookmarkStart w:id="70177" w:name="_ETM_Q122_710260"/>
      <w:bookmarkEnd w:id="70177"/>
      <w:r>
        <w:rPr>
          <w:rFonts w:hint="cs"/>
          <w:rtl/>
        </w:rPr>
        <w:t xml:space="preserve">אוהבת </w:t>
      </w:r>
      <w:bookmarkStart w:id="70178" w:name="_ETM_Q122_710500"/>
      <w:bookmarkEnd w:id="70178"/>
      <w:r>
        <w:rPr>
          <w:rFonts w:hint="cs"/>
          <w:rtl/>
        </w:rPr>
        <w:t xml:space="preserve">את </w:t>
      </w:r>
      <w:bookmarkStart w:id="70179" w:name="_ETM_Q122_710650"/>
      <w:bookmarkEnd w:id="70179"/>
      <w:r>
        <w:rPr>
          <w:rFonts w:hint="cs"/>
          <w:rtl/>
        </w:rPr>
        <w:t xml:space="preserve">העם </w:t>
      </w:r>
      <w:bookmarkStart w:id="70180" w:name="_ETM_Q122_710890"/>
      <w:bookmarkEnd w:id="70180"/>
      <w:r>
        <w:rPr>
          <w:rFonts w:hint="cs"/>
          <w:rtl/>
        </w:rPr>
        <w:t xml:space="preserve">הזה. </w:t>
      </w:r>
      <w:bookmarkStart w:id="70181" w:name="_ETM_Q122_712530"/>
      <w:bookmarkEnd w:id="70181"/>
      <w:r>
        <w:rPr>
          <w:rFonts w:hint="cs"/>
          <w:rtl/>
        </w:rPr>
        <w:t xml:space="preserve">אני </w:t>
      </w:r>
      <w:bookmarkStart w:id="70182" w:name="_ETM_Q122_712739"/>
      <w:bookmarkEnd w:id="70182"/>
      <w:r>
        <w:rPr>
          <w:rFonts w:hint="cs"/>
          <w:rtl/>
        </w:rPr>
        <w:t xml:space="preserve">אוהבת </w:t>
      </w:r>
      <w:bookmarkStart w:id="70183" w:name="_ETM_Q122_713099"/>
      <w:bookmarkEnd w:id="70183"/>
      <w:r>
        <w:rPr>
          <w:rFonts w:hint="cs"/>
          <w:rtl/>
        </w:rPr>
        <w:t xml:space="preserve">את </w:t>
      </w:r>
      <w:bookmarkStart w:id="70184" w:name="_ETM_Q122_713249"/>
      <w:bookmarkEnd w:id="70184"/>
      <w:r>
        <w:rPr>
          <w:rFonts w:hint="cs"/>
          <w:rtl/>
        </w:rPr>
        <w:t xml:space="preserve">העם </w:t>
      </w:r>
      <w:bookmarkStart w:id="70185" w:name="_ETM_Q122_713429"/>
      <w:bookmarkEnd w:id="70185"/>
      <w:r>
        <w:rPr>
          <w:rFonts w:hint="cs"/>
          <w:rtl/>
        </w:rPr>
        <w:t xml:space="preserve">הזה. </w:t>
      </w:r>
      <w:bookmarkStart w:id="70186" w:name="_ETM_Q122_713609"/>
      <w:bookmarkEnd w:id="70186"/>
      <w:r>
        <w:rPr>
          <w:rFonts w:hint="cs"/>
          <w:rtl/>
        </w:rPr>
        <w:t xml:space="preserve">אני </w:t>
      </w:r>
      <w:bookmarkStart w:id="70187" w:name="_ETM_Q122_713730"/>
      <w:bookmarkEnd w:id="70187"/>
      <w:r>
        <w:rPr>
          <w:rFonts w:hint="cs"/>
          <w:rtl/>
        </w:rPr>
        <w:t xml:space="preserve">אוהבת </w:t>
      </w:r>
      <w:bookmarkStart w:id="70188" w:name="_ETM_Q122_714510"/>
      <w:bookmarkEnd w:id="70188"/>
      <w:r>
        <w:rPr>
          <w:rFonts w:hint="cs"/>
          <w:rtl/>
        </w:rPr>
        <w:t xml:space="preserve">את </w:t>
      </w:r>
      <w:bookmarkStart w:id="70189" w:name="_ETM_Q122_714659"/>
      <w:bookmarkEnd w:id="70189"/>
      <w:r>
        <w:rPr>
          <w:rFonts w:hint="cs"/>
          <w:rtl/>
        </w:rPr>
        <w:t xml:space="preserve">התמצית </w:t>
      </w:r>
      <w:bookmarkStart w:id="70190" w:name="_ETM_Q122_715439"/>
      <w:bookmarkEnd w:id="70190"/>
      <w:r>
        <w:rPr>
          <w:rFonts w:hint="cs"/>
          <w:rtl/>
        </w:rPr>
        <w:t xml:space="preserve">המזוקקת </w:t>
      </w:r>
      <w:bookmarkStart w:id="70191" w:name="_ETM_Q122_716370"/>
      <w:bookmarkEnd w:id="70191"/>
      <w:r>
        <w:rPr>
          <w:rFonts w:hint="cs"/>
          <w:rtl/>
        </w:rPr>
        <w:t xml:space="preserve">של </w:t>
      </w:r>
      <w:bookmarkStart w:id="70192" w:name="_ETM_Q122_716579"/>
      <w:bookmarkEnd w:id="70192"/>
      <w:r>
        <w:rPr>
          <w:rFonts w:hint="cs"/>
          <w:rtl/>
        </w:rPr>
        <w:t xml:space="preserve">הישראליות. </w:t>
      </w:r>
      <w:bookmarkStart w:id="70193" w:name="_ETM_Q122_717540"/>
      <w:bookmarkEnd w:id="70193"/>
      <w:r>
        <w:rPr>
          <w:rFonts w:hint="cs"/>
          <w:rtl/>
        </w:rPr>
        <w:t xml:space="preserve">אני </w:t>
      </w:r>
      <w:bookmarkStart w:id="70194" w:name="_ETM_Q122_717719"/>
      <w:bookmarkEnd w:id="70194"/>
      <w:r>
        <w:rPr>
          <w:rFonts w:hint="cs"/>
          <w:rtl/>
        </w:rPr>
        <w:t xml:space="preserve">אוהבת </w:t>
      </w:r>
      <w:bookmarkStart w:id="70195" w:name="_ETM_Q122_718049"/>
      <w:bookmarkEnd w:id="70195"/>
      <w:r>
        <w:rPr>
          <w:rFonts w:hint="cs"/>
          <w:rtl/>
        </w:rPr>
        <w:t xml:space="preserve">שאנחנו </w:t>
      </w:r>
      <w:bookmarkStart w:id="70196" w:name="_ETM_Q122_718409"/>
      <w:bookmarkEnd w:id="70196"/>
      <w:r>
        <w:rPr>
          <w:rFonts w:hint="cs"/>
          <w:rtl/>
        </w:rPr>
        <w:t xml:space="preserve">צוחקים </w:t>
      </w:r>
      <w:bookmarkStart w:id="70197" w:name="_ETM_Q122_719040"/>
      <w:bookmarkEnd w:id="70197"/>
      <w:r>
        <w:rPr>
          <w:rFonts w:hint="cs"/>
          <w:rtl/>
        </w:rPr>
        <w:t xml:space="preserve">על </w:t>
      </w:r>
      <w:bookmarkStart w:id="70198" w:name="_ETM_Q122_719159"/>
      <w:bookmarkEnd w:id="70198"/>
      <w:r>
        <w:rPr>
          <w:rFonts w:hint="cs"/>
          <w:rtl/>
        </w:rPr>
        <w:t xml:space="preserve">עצמנו. </w:t>
      </w:r>
      <w:bookmarkStart w:id="70199" w:name="_ETM_Q122_720690"/>
      <w:bookmarkEnd w:id="70199"/>
      <w:r>
        <w:rPr>
          <w:rFonts w:hint="cs"/>
          <w:rtl/>
        </w:rPr>
        <w:t xml:space="preserve">אני </w:t>
      </w:r>
      <w:bookmarkStart w:id="70200" w:name="_ETM_Q122_720990"/>
      <w:bookmarkEnd w:id="70200"/>
      <w:r>
        <w:rPr>
          <w:rFonts w:hint="cs"/>
          <w:rtl/>
        </w:rPr>
        <w:t xml:space="preserve">אוהבת </w:t>
      </w:r>
      <w:bookmarkStart w:id="70201" w:name="_ETM_Q122_721290"/>
      <w:bookmarkEnd w:id="70201"/>
      <w:r>
        <w:rPr>
          <w:rFonts w:hint="cs"/>
          <w:rtl/>
        </w:rPr>
        <w:t xml:space="preserve">את </w:t>
      </w:r>
      <w:bookmarkStart w:id="70202" w:name="_ETM_Q122_721470"/>
      <w:bookmarkEnd w:id="70202"/>
      <w:r>
        <w:rPr>
          <w:rFonts w:hint="cs"/>
          <w:rtl/>
        </w:rPr>
        <w:t xml:space="preserve">הביחד </w:t>
      </w:r>
      <w:bookmarkStart w:id="70203" w:name="_ETM_Q122_722100"/>
      <w:bookmarkEnd w:id="70203"/>
      <w:r>
        <w:rPr>
          <w:rFonts w:hint="cs"/>
          <w:rtl/>
        </w:rPr>
        <w:t xml:space="preserve">שלנו, </w:t>
      </w:r>
      <w:bookmarkStart w:id="70204" w:name="_ETM_Q122_722819"/>
      <w:bookmarkEnd w:id="70204"/>
      <w:r>
        <w:rPr>
          <w:rFonts w:hint="cs"/>
          <w:rtl/>
        </w:rPr>
        <w:t xml:space="preserve">אני </w:t>
      </w:r>
      <w:bookmarkStart w:id="70205" w:name="_ETM_Q122_723000"/>
      <w:bookmarkEnd w:id="70205"/>
      <w:r>
        <w:rPr>
          <w:rFonts w:hint="cs"/>
          <w:rtl/>
        </w:rPr>
        <w:t xml:space="preserve">אוהבת </w:t>
      </w:r>
      <w:bookmarkStart w:id="70206" w:name="_ETM_Q122_723210"/>
      <w:bookmarkEnd w:id="70206"/>
      <w:r>
        <w:rPr>
          <w:rFonts w:hint="cs"/>
          <w:rtl/>
        </w:rPr>
        <w:t xml:space="preserve">את </w:t>
      </w:r>
      <w:bookmarkStart w:id="70207" w:name="_ETM_Q122_723360"/>
      <w:bookmarkEnd w:id="70207"/>
      <w:r>
        <w:rPr>
          <w:rFonts w:hint="cs"/>
          <w:rtl/>
        </w:rPr>
        <w:t xml:space="preserve">הערבות </w:t>
      </w:r>
      <w:bookmarkStart w:id="70208" w:name="_ETM_Q122_723870"/>
      <w:bookmarkEnd w:id="70208"/>
      <w:r>
        <w:rPr>
          <w:rFonts w:hint="cs"/>
          <w:rtl/>
        </w:rPr>
        <w:t xml:space="preserve">ההדדית </w:t>
      </w:r>
      <w:bookmarkStart w:id="70209" w:name="_ETM_Q122_724410"/>
      <w:bookmarkEnd w:id="70209"/>
      <w:r>
        <w:rPr>
          <w:rFonts w:hint="cs"/>
          <w:rtl/>
        </w:rPr>
        <w:t xml:space="preserve">שלנו </w:t>
      </w:r>
      <w:bookmarkStart w:id="70210" w:name="_ETM_Q122_724890"/>
      <w:bookmarkEnd w:id="70210"/>
      <w:r>
        <w:rPr>
          <w:rFonts w:hint="cs"/>
          <w:rtl/>
        </w:rPr>
        <w:t xml:space="preserve">כשיש </w:t>
      </w:r>
      <w:bookmarkStart w:id="70211" w:name="_ETM_Q122_725490"/>
      <w:bookmarkEnd w:id="70211"/>
      <w:r>
        <w:rPr>
          <w:rFonts w:hint="cs"/>
          <w:rtl/>
        </w:rPr>
        <w:t xml:space="preserve">מלחמה </w:t>
      </w:r>
      <w:bookmarkStart w:id="70212" w:name="_ETM_Q122_726059"/>
      <w:bookmarkEnd w:id="70212"/>
      <w:r>
        <w:rPr>
          <w:rFonts w:hint="cs"/>
          <w:rtl/>
        </w:rPr>
        <w:t xml:space="preserve">ופתאום </w:t>
      </w:r>
      <w:bookmarkStart w:id="70213" w:name="_ETM_Q122_726510"/>
      <w:bookmarkEnd w:id="70213"/>
      <w:r>
        <w:rPr>
          <w:rFonts w:hint="cs"/>
          <w:rtl/>
        </w:rPr>
        <w:t xml:space="preserve">כולם </w:t>
      </w:r>
      <w:bookmarkStart w:id="70214" w:name="_ETM_Q122_726959"/>
      <w:bookmarkEnd w:id="70214"/>
      <w:r>
        <w:rPr>
          <w:rFonts w:hint="cs"/>
          <w:rtl/>
        </w:rPr>
        <w:t xml:space="preserve">שמים </w:t>
      </w:r>
      <w:bookmarkStart w:id="70215" w:name="_ETM_Q122_727260"/>
      <w:bookmarkEnd w:id="70215"/>
      <w:r>
        <w:rPr>
          <w:rFonts w:hint="cs"/>
          <w:rtl/>
        </w:rPr>
        <w:t xml:space="preserve">הכול </w:t>
      </w:r>
      <w:bookmarkStart w:id="70216" w:name="_ETM_Q122_727500"/>
      <w:bookmarkEnd w:id="70216"/>
      <w:r>
        <w:rPr>
          <w:rFonts w:hint="cs"/>
          <w:rtl/>
        </w:rPr>
        <w:t xml:space="preserve">בצד </w:t>
      </w:r>
      <w:bookmarkStart w:id="70217" w:name="_ETM_Q122_727860"/>
      <w:bookmarkEnd w:id="70217"/>
      <w:r>
        <w:rPr>
          <w:rFonts w:hint="cs"/>
          <w:rtl/>
        </w:rPr>
        <w:t xml:space="preserve">ופותחים </w:t>
      </w:r>
      <w:bookmarkStart w:id="70218" w:name="_ETM_Q122_728340"/>
      <w:bookmarkEnd w:id="70218"/>
      <w:r>
        <w:rPr>
          <w:rFonts w:hint="cs"/>
          <w:rtl/>
        </w:rPr>
        <w:t xml:space="preserve">את </w:t>
      </w:r>
      <w:bookmarkStart w:id="70219" w:name="_ETM_Q122_728459"/>
      <w:bookmarkEnd w:id="70219"/>
      <w:r>
        <w:rPr>
          <w:rFonts w:hint="cs"/>
          <w:rtl/>
        </w:rPr>
        <w:t>הדלתות.</w:t>
      </w:r>
    </w:p>
    <w:p w:rsidR="00BB59CD" w:rsidRDefault="00BB59CD" w:rsidP="00BB59CD">
      <w:pPr>
        <w:rPr>
          <w:rtl/>
        </w:rPr>
      </w:pPr>
      <w:bookmarkStart w:id="70220" w:name="_ETM_Q122_733506"/>
      <w:bookmarkStart w:id="70221" w:name="_ETM_Q122_733604"/>
      <w:bookmarkEnd w:id="70220"/>
      <w:bookmarkEnd w:id="70221"/>
    </w:p>
    <w:p w:rsidR="00091D8C" w:rsidRDefault="00BB59CD" w:rsidP="00091D8C">
      <w:pPr>
        <w:rPr>
          <w:rtl/>
        </w:rPr>
      </w:pPr>
      <w:bookmarkStart w:id="70222" w:name="_ETM_Q122_733634"/>
      <w:bookmarkStart w:id="70223" w:name="_ETM_Q122_733727"/>
      <w:bookmarkStart w:id="70224" w:name="_ETM_Q122_731959"/>
      <w:bookmarkEnd w:id="70222"/>
      <w:bookmarkEnd w:id="70223"/>
      <w:bookmarkEnd w:id="70224"/>
      <w:r>
        <w:rPr>
          <w:rFonts w:hint="cs"/>
          <w:rtl/>
        </w:rPr>
        <w:t xml:space="preserve">אנחנו </w:t>
      </w:r>
      <w:bookmarkStart w:id="70225" w:name="_ETM_Q122_732790"/>
      <w:bookmarkEnd w:id="70225"/>
      <w:r>
        <w:rPr>
          <w:rFonts w:hint="cs"/>
          <w:rtl/>
        </w:rPr>
        <w:t xml:space="preserve">הצלחנו </w:t>
      </w:r>
      <w:bookmarkStart w:id="70226" w:name="_ETM_Q122_735080"/>
      <w:bookmarkEnd w:id="70226"/>
      <w:r>
        <w:rPr>
          <w:rFonts w:hint="cs"/>
          <w:rtl/>
        </w:rPr>
        <w:t xml:space="preserve">באמת </w:t>
      </w:r>
      <w:bookmarkStart w:id="70227" w:name="_ETM_Q122_735890"/>
      <w:bookmarkEnd w:id="70227"/>
      <w:r>
        <w:rPr>
          <w:rFonts w:hint="cs"/>
          <w:rtl/>
        </w:rPr>
        <w:t xml:space="preserve">לעשות </w:t>
      </w:r>
      <w:bookmarkStart w:id="70228" w:name="_ETM_Q122_736309"/>
      <w:bookmarkEnd w:id="70228"/>
      <w:r>
        <w:rPr>
          <w:rFonts w:hint="cs"/>
          <w:rtl/>
        </w:rPr>
        <w:t xml:space="preserve">את </w:t>
      </w:r>
      <w:bookmarkStart w:id="70229" w:name="_ETM_Q122_736490"/>
      <w:bookmarkEnd w:id="70229"/>
      <w:r>
        <w:rPr>
          <w:rFonts w:hint="cs"/>
          <w:rtl/>
        </w:rPr>
        <w:t>הבלתי</w:t>
      </w:r>
      <w:bookmarkStart w:id="70230" w:name="_ETM_Q122_737030"/>
      <w:bookmarkEnd w:id="70230"/>
      <w:r>
        <w:rPr>
          <w:rFonts w:hint="cs"/>
          <w:rtl/>
        </w:rPr>
        <w:t xml:space="preserve">-אפשרי, </w:t>
      </w:r>
      <w:bookmarkStart w:id="70231" w:name="_ETM_Q122_739800"/>
      <w:bookmarkEnd w:id="70231"/>
      <w:r>
        <w:rPr>
          <w:rFonts w:hint="cs"/>
          <w:rtl/>
        </w:rPr>
        <w:t>ואיכ</w:t>
      </w:r>
      <w:bookmarkStart w:id="70232" w:name="_ETM_Q122_740190"/>
      <w:bookmarkEnd w:id="70232"/>
      <w:r>
        <w:rPr>
          <w:rFonts w:hint="cs"/>
          <w:rtl/>
        </w:rPr>
        <w:t xml:space="preserve">שהו </w:t>
      </w:r>
      <w:bookmarkStart w:id="70233" w:name="_ETM_Q122_741940"/>
      <w:bookmarkEnd w:id="70233"/>
      <w:r>
        <w:rPr>
          <w:rFonts w:hint="cs"/>
          <w:rtl/>
        </w:rPr>
        <w:t xml:space="preserve">האבא </w:t>
      </w:r>
      <w:bookmarkStart w:id="70234" w:name="_ETM_Q122_742419"/>
      <w:bookmarkEnd w:id="70234"/>
      <w:r>
        <w:rPr>
          <w:rFonts w:hint="cs"/>
          <w:rtl/>
        </w:rPr>
        <w:t xml:space="preserve">הפולני </w:t>
      </w:r>
      <w:bookmarkStart w:id="70235" w:name="_ETM_Q122_742870"/>
      <w:bookmarkEnd w:id="70235"/>
      <w:r>
        <w:rPr>
          <w:rFonts w:hint="cs"/>
          <w:rtl/>
        </w:rPr>
        <w:t xml:space="preserve">שלי </w:t>
      </w:r>
      <w:bookmarkStart w:id="70236" w:name="_ETM_Q122_744410"/>
      <w:bookmarkEnd w:id="70236"/>
      <w:r>
        <w:rPr>
          <w:rFonts w:hint="cs"/>
          <w:rtl/>
        </w:rPr>
        <w:t xml:space="preserve">יחד </w:t>
      </w:r>
      <w:bookmarkStart w:id="70237" w:name="_ETM_Q122_744740"/>
      <w:bookmarkEnd w:id="70237"/>
      <w:r>
        <w:rPr>
          <w:rFonts w:hint="cs"/>
          <w:rtl/>
        </w:rPr>
        <w:t xml:space="preserve">עם </w:t>
      </w:r>
      <w:bookmarkStart w:id="70238" w:name="_ETM_Q122_744860"/>
      <w:bookmarkEnd w:id="70238"/>
      <w:r>
        <w:rPr>
          <w:rFonts w:hint="cs"/>
          <w:rtl/>
        </w:rPr>
        <w:t xml:space="preserve">האימא </w:t>
      </w:r>
      <w:bookmarkStart w:id="70239" w:name="_ETM_Q122_745250"/>
      <w:bookmarkEnd w:id="70239"/>
      <w:r>
        <w:rPr>
          <w:rFonts w:hint="cs"/>
          <w:rtl/>
        </w:rPr>
        <w:t xml:space="preserve">שלי </w:t>
      </w:r>
      <w:bookmarkStart w:id="70240" w:name="_ETM_Q122_745520"/>
      <w:bookmarkEnd w:id="70240"/>
      <w:r>
        <w:rPr>
          <w:rFonts w:hint="cs"/>
          <w:rtl/>
        </w:rPr>
        <w:t xml:space="preserve">שדיברה </w:t>
      </w:r>
      <w:bookmarkStart w:id="70241" w:name="_ETM_Q122_746570"/>
      <w:bookmarkEnd w:id="70241"/>
      <w:r>
        <w:rPr>
          <w:rFonts w:hint="cs"/>
          <w:rtl/>
        </w:rPr>
        <w:t xml:space="preserve">ערבית, </w:t>
      </w:r>
      <w:bookmarkStart w:id="70242" w:name="_ETM_Q122_747790"/>
      <w:bookmarkEnd w:id="70242"/>
      <w:r>
        <w:rPr>
          <w:rFonts w:hint="cs"/>
          <w:rtl/>
        </w:rPr>
        <w:t xml:space="preserve">איכשהו </w:t>
      </w:r>
      <w:bookmarkStart w:id="70243" w:name="_ETM_Q122_750379"/>
      <w:bookmarkStart w:id="70244" w:name="_ETM_Q122_751610"/>
      <w:bookmarkEnd w:id="70243"/>
      <w:bookmarkEnd w:id="70244"/>
      <w:r>
        <w:rPr>
          <w:rFonts w:hint="cs"/>
          <w:rtl/>
        </w:rPr>
        <w:t>זה קרה</w:t>
      </w:r>
      <w:bookmarkStart w:id="70245" w:name="_ETM_Q122_755080"/>
      <w:bookmarkEnd w:id="70245"/>
      <w:r>
        <w:rPr>
          <w:rFonts w:hint="cs"/>
          <w:rtl/>
        </w:rPr>
        <w:t xml:space="preserve"> </w:t>
      </w:r>
      <w:bookmarkStart w:id="70246" w:name="_ETM_Q122_754375"/>
      <w:bookmarkEnd w:id="70246"/>
      <w:r>
        <w:rPr>
          <w:rFonts w:hint="cs"/>
          <w:rtl/>
        </w:rPr>
        <w:t xml:space="preserve">– מתרבויות </w:t>
      </w:r>
      <w:bookmarkStart w:id="70247" w:name="_ETM_Q122_755800"/>
      <w:bookmarkEnd w:id="70247"/>
      <w:r>
        <w:rPr>
          <w:rFonts w:hint="cs"/>
          <w:rtl/>
        </w:rPr>
        <w:t xml:space="preserve">שונות, </w:t>
      </w:r>
      <w:bookmarkStart w:id="70248" w:name="_ETM_Q122_756819"/>
      <w:bookmarkEnd w:id="70248"/>
      <w:r>
        <w:rPr>
          <w:rFonts w:hint="cs"/>
          <w:rtl/>
        </w:rPr>
        <w:t xml:space="preserve">ממקומות </w:t>
      </w:r>
      <w:bookmarkStart w:id="70249" w:name="_ETM_Q122_757419"/>
      <w:bookmarkEnd w:id="70249"/>
      <w:r>
        <w:rPr>
          <w:rFonts w:hint="cs"/>
          <w:rtl/>
        </w:rPr>
        <w:t xml:space="preserve">שונים </w:t>
      </w:r>
      <w:bookmarkStart w:id="70250" w:name="_ETM_Q122_757770"/>
      <w:bookmarkEnd w:id="70250"/>
      <w:r>
        <w:rPr>
          <w:rFonts w:hint="cs"/>
          <w:rtl/>
        </w:rPr>
        <w:t xml:space="preserve">בעולם, </w:t>
      </w:r>
      <w:bookmarkStart w:id="70251" w:name="_ETM_Q122_758900"/>
      <w:bookmarkEnd w:id="70251"/>
      <w:r>
        <w:rPr>
          <w:rFonts w:hint="cs"/>
          <w:rtl/>
        </w:rPr>
        <w:t xml:space="preserve">לפעמים </w:t>
      </w:r>
      <w:bookmarkStart w:id="70252" w:name="_ETM_Q122_759290"/>
      <w:bookmarkEnd w:id="70252"/>
      <w:r>
        <w:rPr>
          <w:rFonts w:hint="cs"/>
          <w:rtl/>
        </w:rPr>
        <w:t xml:space="preserve">גם </w:t>
      </w:r>
      <w:bookmarkStart w:id="70253" w:name="_ETM_Q122_759440"/>
      <w:bookmarkEnd w:id="70253"/>
      <w:r>
        <w:rPr>
          <w:rFonts w:hint="cs"/>
          <w:rtl/>
        </w:rPr>
        <w:t xml:space="preserve">משפות </w:t>
      </w:r>
      <w:bookmarkStart w:id="70254" w:name="_ETM_Q122_759889"/>
      <w:bookmarkEnd w:id="70254"/>
      <w:r>
        <w:rPr>
          <w:rFonts w:hint="cs"/>
          <w:rtl/>
        </w:rPr>
        <w:t>אחרות.</w:t>
      </w:r>
      <w:bookmarkStart w:id="70255" w:name="_ETM_Q122_760189"/>
      <w:bookmarkStart w:id="70256" w:name="_ETM_Q122_760284"/>
      <w:bookmarkStart w:id="70257" w:name="_ETM_Q123_180000"/>
      <w:bookmarkEnd w:id="70255"/>
      <w:bookmarkEnd w:id="70256"/>
      <w:bookmarkEnd w:id="70257"/>
      <w:r>
        <w:rPr>
          <w:rFonts w:hint="cs"/>
          <w:rtl/>
        </w:rPr>
        <w:t xml:space="preserve"> להגיע לפה, להילחם, לתפוס נשק ישר מהמשרפות, לתפוס </w:t>
      </w:r>
      <w:bookmarkStart w:id="70258" w:name="_ETM_Q123_171077"/>
      <w:bookmarkEnd w:id="70258"/>
      <w:r>
        <w:rPr>
          <w:rFonts w:hint="cs"/>
          <w:rtl/>
        </w:rPr>
        <w:t>נשק ישר מהאניות לתפוס נשק מ</w:t>
      </w:r>
      <w:r w:rsidR="00091D8C">
        <w:rPr>
          <w:rFonts w:hint="cs"/>
          <w:rtl/>
        </w:rPr>
        <w:t>י</w:t>
      </w:r>
      <w:r>
        <w:rPr>
          <w:rFonts w:hint="cs"/>
          <w:rtl/>
        </w:rPr>
        <w:t>יד אחרי הליכה ממושכת במדבר</w:t>
      </w:r>
      <w:r w:rsidR="00091D8C">
        <w:rPr>
          <w:rFonts w:hint="cs"/>
          <w:rtl/>
        </w:rPr>
        <w:t>,</w:t>
      </w:r>
      <w:r>
        <w:rPr>
          <w:rFonts w:hint="cs"/>
          <w:rtl/>
        </w:rPr>
        <w:t xml:space="preserve"> ולהילחם, להילחם פה, להצליח לייצר פה מדינה</w:t>
      </w:r>
      <w:bookmarkStart w:id="70259" w:name="_ETM_Q123_185073"/>
      <w:bookmarkEnd w:id="70259"/>
      <w:r>
        <w:rPr>
          <w:rFonts w:hint="cs"/>
          <w:rtl/>
        </w:rPr>
        <w:t xml:space="preserve"> לתפארת</w:t>
      </w:r>
      <w:r w:rsidR="00091D8C">
        <w:rPr>
          <w:rFonts w:hint="cs"/>
          <w:rtl/>
        </w:rPr>
        <w:t>,</w:t>
      </w:r>
      <w:r>
        <w:rPr>
          <w:rFonts w:hint="cs"/>
          <w:rtl/>
        </w:rPr>
        <w:t xml:space="preserve"> חזקה, עשירה, יציבה </w:t>
      </w:r>
      <w:r w:rsidR="00091D8C">
        <w:rPr>
          <w:rFonts w:hint="eastAsia"/>
          <w:rtl/>
        </w:rPr>
        <w:t>–</w:t>
      </w:r>
      <w:r w:rsidR="00091D8C">
        <w:rPr>
          <w:rFonts w:hint="cs"/>
          <w:rtl/>
        </w:rPr>
        <w:t xml:space="preserve"> </w:t>
      </w:r>
      <w:r>
        <w:rPr>
          <w:rFonts w:hint="cs"/>
          <w:rtl/>
        </w:rPr>
        <w:t>עם חילוקי דעות מפה</w:t>
      </w:r>
      <w:bookmarkStart w:id="70260" w:name="_ETM_Q123_195566"/>
      <w:bookmarkEnd w:id="70260"/>
      <w:r>
        <w:rPr>
          <w:rFonts w:hint="cs"/>
          <w:rtl/>
        </w:rPr>
        <w:t xml:space="preserve"> עד הודעה חדשה</w:t>
      </w:r>
      <w:r w:rsidR="00091D8C">
        <w:rPr>
          <w:rFonts w:hint="cs"/>
          <w:rtl/>
        </w:rPr>
        <w:t>,</w:t>
      </w:r>
      <w:r>
        <w:rPr>
          <w:rFonts w:hint="cs"/>
          <w:rtl/>
        </w:rPr>
        <w:t xml:space="preserve"> אבל באמת הביחד שלנו אף פעם לא נפגע. לא ככה. לא ככה</w:t>
      </w:r>
      <w:bookmarkStart w:id="70261" w:name="_ETM_Q123_206319"/>
      <w:bookmarkEnd w:id="70261"/>
      <w:r>
        <w:rPr>
          <w:rFonts w:hint="cs"/>
          <w:rtl/>
        </w:rPr>
        <w:t>. הוא לא נפגע במקרה, הוא נפגע כי יש פוגע, ולפוגע הזה קוראים בנימין נתניהו, ו</w:t>
      </w:r>
      <w:r w:rsidR="00091D8C">
        <w:rPr>
          <w:rFonts w:hint="cs"/>
          <w:rtl/>
        </w:rPr>
        <w:t xml:space="preserve">גם </w:t>
      </w:r>
      <w:r>
        <w:rPr>
          <w:rFonts w:hint="cs"/>
          <w:rtl/>
        </w:rPr>
        <w:t xml:space="preserve">המשרתים </w:t>
      </w:r>
      <w:bookmarkStart w:id="70262" w:name="_ETM_Q123_215653"/>
      <w:bookmarkEnd w:id="70262"/>
      <w:r>
        <w:rPr>
          <w:rFonts w:hint="cs"/>
          <w:rtl/>
        </w:rPr>
        <w:t xml:space="preserve">שלו, משרתי הכאוס, שבאמת עבדו יום ולילה, לילה </w:t>
      </w:r>
      <w:bookmarkStart w:id="70263" w:name="_ETM_Q123_221023"/>
      <w:bookmarkEnd w:id="70263"/>
      <w:r>
        <w:rPr>
          <w:rFonts w:hint="cs"/>
          <w:rtl/>
        </w:rPr>
        <w:t>ויום כדי לשסות, לקרוע, להפריד, להאשים, להרוס מבפנים.</w:t>
      </w:r>
      <w:bookmarkStart w:id="70264" w:name="_ETM_Q123_231363"/>
      <w:bookmarkEnd w:id="70264"/>
      <w:r>
        <w:rPr>
          <w:rFonts w:hint="cs"/>
          <w:rtl/>
        </w:rPr>
        <w:t xml:space="preserve"> כל זה כדי שנתניהו לא ילך לכלא; כדי שאריה דרעי, שישב בכלא, יוכל לחזור למקום הפשע; שאנשים שמוכרזים כתומכי </w:t>
      </w:r>
      <w:bookmarkStart w:id="70265" w:name="_ETM_Q123_242544"/>
      <w:bookmarkEnd w:id="70265"/>
      <w:r>
        <w:rPr>
          <w:rFonts w:hint="cs"/>
          <w:rtl/>
        </w:rPr>
        <w:t xml:space="preserve">טרור – שיש נגדם כתבי אישום בגין טרור – </w:t>
      </w:r>
      <w:bookmarkStart w:id="70266" w:name="_ETM_Q123_246335"/>
      <w:bookmarkEnd w:id="70266"/>
      <w:r>
        <w:rPr>
          <w:rFonts w:hint="cs"/>
          <w:rtl/>
        </w:rPr>
        <w:t>ישבו בממשלת ישראל.</w:t>
      </w:r>
      <w:bookmarkStart w:id="70267" w:name="_ETM_Q123_250023"/>
      <w:bookmarkStart w:id="70268" w:name="_ETM_Q123_250098"/>
      <w:bookmarkStart w:id="70269" w:name="_ETM_Q123_250215"/>
      <w:bookmarkStart w:id="70270" w:name="_ETM_Q123_250270"/>
      <w:bookmarkEnd w:id="70267"/>
      <w:bookmarkEnd w:id="70268"/>
      <w:bookmarkEnd w:id="70269"/>
      <w:bookmarkEnd w:id="70270"/>
      <w:r w:rsidR="00091D8C">
        <w:rPr>
          <w:rFonts w:hint="cs"/>
          <w:rtl/>
        </w:rPr>
        <w:t xml:space="preserve"> </w:t>
      </w:r>
      <w:r>
        <w:rPr>
          <w:rFonts w:hint="cs"/>
          <w:rtl/>
        </w:rPr>
        <w:t xml:space="preserve">בסוף זה הסיפור וזאת המציאות הכל-כך עצובה, </w:t>
      </w:r>
      <w:bookmarkStart w:id="70271" w:name="_ETM_Q123_258644"/>
      <w:bookmarkEnd w:id="70271"/>
      <w:r>
        <w:rPr>
          <w:rFonts w:hint="cs"/>
          <w:rtl/>
        </w:rPr>
        <w:t xml:space="preserve">שאנחנו נמצאים בה היום. </w:t>
      </w:r>
      <w:bookmarkStart w:id="70272" w:name="_ETM_Q123_260650"/>
      <w:bookmarkEnd w:id="70272"/>
    </w:p>
    <w:p w:rsidR="00091D8C" w:rsidRDefault="00091D8C" w:rsidP="00091D8C">
      <w:pPr>
        <w:rPr>
          <w:rtl/>
        </w:rPr>
      </w:pPr>
    </w:p>
    <w:p w:rsidR="00BB59CD" w:rsidRDefault="00BB59CD" w:rsidP="00091D8C">
      <w:pPr>
        <w:rPr>
          <w:rtl/>
        </w:rPr>
      </w:pPr>
      <w:r>
        <w:rPr>
          <w:rFonts w:hint="cs"/>
          <w:rtl/>
        </w:rPr>
        <w:t xml:space="preserve">לומר </w:t>
      </w:r>
      <w:bookmarkStart w:id="70273" w:name="_ETM_Q123_261729"/>
      <w:bookmarkEnd w:id="70273"/>
      <w:r>
        <w:rPr>
          <w:rFonts w:hint="cs"/>
          <w:rtl/>
        </w:rPr>
        <w:t xml:space="preserve">לאופוזיציה: </w:t>
      </w:r>
      <w:bookmarkStart w:id="70274" w:name="_ETM_Q123_264400"/>
      <w:bookmarkEnd w:id="70274"/>
      <w:r>
        <w:rPr>
          <w:rFonts w:hint="cs"/>
          <w:rtl/>
        </w:rPr>
        <w:t xml:space="preserve">תעצרו, </w:t>
      </w:r>
      <w:bookmarkStart w:id="70275" w:name="_ETM_Q123_266069"/>
      <w:bookmarkEnd w:id="70275"/>
      <w:r>
        <w:rPr>
          <w:rFonts w:hint="cs"/>
          <w:rtl/>
        </w:rPr>
        <w:t xml:space="preserve">זה </w:t>
      </w:r>
      <w:bookmarkStart w:id="70276" w:name="_ETM_Q123_266250"/>
      <w:bookmarkEnd w:id="70276"/>
      <w:r>
        <w:rPr>
          <w:rFonts w:hint="cs"/>
          <w:rtl/>
        </w:rPr>
        <w:t>מגוחך</w:t>
      </w:r>
      <w:r w:rsidR="00091D8C">
        <w:rPr>
          <w:rFonts w:hint="cs"/>
          <w:rtl/>
        </w:rPr>
        <w:t>;</w:t>
      </w:r>
      <w:r>
        <w:rPr>
          <w:rFonts w:hint="cs"/>
          <w:rtl/>
        </w:rPr>
        <w:t xml:space="preserve"> </w:t>
      </w:r>
      <w:bookmarkStart w:id="70277" w:name="_ETM_Q123_267810"/>
      <w:bookmarkEnd w:id="70277"/>
      <w:r>
        <w:rPr>
          <w:rFonts w:hint="cs"/>
          <w:rtl/>
        </w:rPr>
        <w:t xml:space="preserve">אנחנו </w:t>
      </w:r>
      <w:bookmarkStart w:id="70278" w:name="_ETM_Q123_268259"/>
      <w:bookmarkEnd w:id="70278"/>
      <w:r>
        <w:rPr>
          <w:rFonts w:hint="cs"/>
          <w:rtl/>
        </w:rPr>
        <w:t xml:space="preserve">אופוזיציה, </w:t>
      </w:r>
      <w:bookmarkStart w:id="70279" w:name="_ETM_Q123_268770"/>
      <w:bookmarkEnd w:id="70279"/>
      <w:r>
        <w:rPr>
          <w:rFonts w:hint="cs"/>
          <w:rtl/>
        </w:rPr>
        <w:t xml:space="preserve">התפקיד </w:t>
      </w:r>
      <w:bookmarkStart w:id="70280" w:name="_ETM_Q123_269069"/>
      <w:bookmarkEnd w:id="70280"/>
      <w:r>
        <w:rPr>
          <w:rFonts w:hint="cs"/>
          <w:rtl/>
        </w:rPr>
        <w:t xml:space="preserve">שלנו </w:t>
      </w:r>
      <w:bookmarkStart w:id="70281" w:name="_ETM_Q123_270090"/>
      <w:bookmarkStart w:id="70282" w:name="_ETM_Q123_270659"/>
      <w:bookmarkEnd w:id="70281"/>
      <w:bookmarkEnd w:id="70282"/>
      <w:r>
        <w:rPr>
          <w:rFonts w:hint="cs"/>
          <w:rtl/>
        </w:rPr>
        <w:t xml:space="preserve">בהגדרה </w:t>
      </w:r>
      <w:bookmarkStart w:id="70283" w:name="_ETM_Q123_271049"/>
      <w:bookmarkEnd w:id="70283"/>
      <w:r>
        <w:rPr>
          <w:rFonts w:hint="cs"/>
          <w:rtl/>
        </w:rPr>
        <w:t xml:space="preserve">הוא </w:t>
      </w:r>
      <w:bookmarkStart w:id="70284" w:name="_ETM_Q123_271319"/>
      <w:bookmarkEnd w:id="70284"/>
      <w:r>
        <w:rPr>
          <w:rFonts w:hint="cs"/>
          <w:rtl/>
        </w:rPr>
        <w:t xml:space="preserve">להילחם </w:t>
      </w:r>
      <w:bookmarkStart w:id="70285" w:name="_ETM_Q123_271649"/>
      <w:bookmarkEnd w:id="70285"/>
      <w:r>
        <w:rPr>
          <w:rFonts w:hint="cs"/>
          <w:rtl/>
        </w:rPr>
        <w:t xml:space="preserve">בכם </w:t>
      </w:r>
      <w:bookmarkStart w:id="70286" w:name="_ETM_Q123_271889"/>
      <w:bookmarkEnd w:id="70286"/>
      <w:r>
        <w:rPr>
          <w:rFonts w:hint="cs"/>
          <w:rtl/>
        </w:rPr>
        <w:t xml:space="preserve">ולהפיל </w:t>
      </w:r>
      <w:bookmarkStart w:id="70287" w:name="_ETM_Q123_272249"/>
      <w:bookmarkEnd w:id="70287"/>
      <w:r>
        <w:rPr>
          <w:rFonts w:hint="cs"/>
          <w:rtl/>
        </w:rPr>
        <w:t xml:space="preserve">אתכם. </w:t>
      </w:r>
      <w:bookmarkStart w:id="70288" w:name="_ETM_Q123_274150"/>
      <w:bookmarkEnd w:id="70288"/>
      <w:r>
        <w:rPr>
          <w:rFonts w:hint="cs"/>
          <w:rtl/>
        </w:rPr>
        <w:t xml:space="preserve">אנחנו </w:t>
      </w:r>
      <w:bookmarkStart w:id="70289" w:name="_ETM_Q123_274480"/>
      <w:bookmarkEnd w:id="70289"/>
      <w:r>
        <w:rPr>
          <w:rFonts w:hint="cs"/>
          <w:rtl/>
        </w:rPr>
        <w:t>אופוזיציה</w:t>
      </w:r>
      <w:r w:rsidR="00091D8C">
        <w:rPr>
          <w:rFonts w:hint="cs"/>
          <w:rtl/>
        </w:rPr>
        <w:t>,</w:t>
      </w:r>
      <w:r>
        <w:rPr>
          <w:rFonts w:hint="cs"/>
          <w:rtl/>
        </w:rPr>
        <w:t xml:space="preserve"> </w:t>
      </w:r>
      <w:bookmarkStart w:id="70290" w:name="_ETM_Q123_275020"/>
      <w:bookmarkEnd w:id="70290"/>
      <w:r>
        <w:rPr>
          <w:rFonts w:hint="cs"/>
          <w:rtl/>
        </w:rPr>
        <w:t xml:space="preserve">והתפקיד </w:t>
      </w:r>
      <w:bookmarkStart w:id="70291" w:name="_ETM_Q123_275440"/>
      <w:bookmarkEnd w:id="70291"/>
      <w:r>
        <w:rPr>
          <w:rFonts w:hint="cs"/>
          <w:rtl/>
        </w:rPr>
        <w:t xml:space="preserve">שלנו </w:t>
      </w:r>
      <w:bookmarkStart w:id="70292" w:name="_ETM_Q123_275990"/>
      <w:bookmarkEnd w:id="70292"/>
      <w:r>
        <w:rPr>
          <w:rFonts w:hint="cs"/>
          <w:rtl/>
        </w:rPr>
        <w:t xml:space="preserve">לצעוק. </w:t>
      </w:r>
      <w:bookmarkStart w:id="70293" w:name="_ETM_Q123_277390"/>
      <w:bookmarkEnd w:id="70293"/>
      <w:r>
        <w:rPr>
          <w:rFonts w:hint="cs"/>
          <w:rtl/>
        </w:rPr>
        <w:t xml:space="preserve">אנחנו </w:t>
      </w:r>
      <w:bookmarkStart w:id="70294" w:name="_ETM_Q123_277750"/>
      <w:bookmarkEnd w:id="70294"/>
      <w:r>
        <w:rPr>
          <w:rFonts w:hint="cs"/>
          <w:rtl/>
        </w:rPr>
        <w:t>אופוזיציה</w:t>
      </w:r>
      <w:r w:rsidR="00091D8C">
        <w:rPr>
          <w:rFonts w:hint="cs"/>
          <w:rtl/>
        </w:rPr>
        <w:t>,</w:t>
      </w:r>
      <w:r>
        <w:rPr>
          <w:rFonts w:hint="cs"/>
          <w:rtl/>
        </w:rPr>
        <w:t xml:space="preserve"> </w:t>
      </w:r>
      <w:bookmarkStart w:id="70295" w:name="_ETM_Q123_279270"/>
      <w:bookmarkStart w:id="70296" w:name="_ETM_Q123_279359"/>
      <w:bookmarkEnd w:id="70295"/>
      <w:bookmarkEnd w:id="70296"/>
      <w:r>
        <w:rPr>
          <w:rFonts w:hint="cs"/>
          <w:rtl/>
        </w:rPr>
        <w:t xml:space="preserve">אנחנו </w:t>
      </w:r>
      <w:bookmarkStart w:id="70297" w:name="_ETM_Q123_279539"/>
      <w:bookmarkEnd w:id="70297"/>
      <w:r>
        <w:rPr>
          <w:rFonts w:hint="cs"/>
          <w:rtl/>
        </w:rPr>
        <w:t xml:space="preserve">נפסיד </w:t>
      </w:r>
      <w:bookmarkStart w:id="70298" w:name="_ETM_Q123_279869"/>
      <w:bookmarkEnd w:id="70298"/>
      <w:r>
        <w:rPr>
          <w:rFonts w:hint="cs"/>
          <w:rtl/>
        </w:rPr>
        <w:t xml:space="preserve">פה </w:t>
      </w:r>
      <w:bookmarkStart w:id="70299" w:name="_ETM_Q123_280020"/>
      <w:bookmarkStart w:id="70300" w:name="_ETM_Q123_280259"/>
      <w:bookmarkEnd w:id="70299"/>
      <w:bookmarkEnd w:id="70300"/>
      <w:r>
        <w:rPr>
          <w:rFonts w:hint="cs"/>
          <w:rtl/>
        </w:rPr>
        <w:t>בהצבעות</w:t>
      </w:r>
      <w:r w:rsidR="00091D8C">
        <w:rPr>
          <w:rFonts w:hint="cs"/>
          <w:rtl/>
        </w:rPr>
        <w:t>,</w:t>
      </w:r>
      <w:r>
        <w:rPr>
          <w:rFonts w:hint="cs"/>
          <w:rtl/>
        </w:rPr>
        <w:t xml:space="preserve"> </w:t>
      </w:r>
      <w:bookmarkStart w:id="70301" w:name="_ETM_Q123_280799"/>
      <w:bookmarkEnd w:id="70301"/>
      <w:r>
        <w:rPr>
          <w:rFonts w:hint="cs"/>
          <w:rtl/>
        </w:rPr>
        <w:t xml:space="preserve">זה </w:t>
      </w:r>
      <w:bookmarkStart w:id="70302" w:name="_ETM_Q123_280950"/>
      <w:bookmarkEnd w:id="70302"/>
      <w:r>
        <w:rPr>
          <w:rFonts w:hint="cs"/>
          <w:rtl/>
        </w:rPr>
        <w:t xml:space="preserve">לא </w:t>
      </w:r>
      <w:bookmarkStart w:id="70303" w:name="_ETM_Q123_281039"/>
      <w:bookmarkEnd w:id="70303"/>
      <w:r>
        <w:rPr>
          <w:rFonts w:hint="cs"/>
          <w:rtl/>
        </w:rPr>
        <w:t xml:space="preserve">סוד, </w:t>
      </w:r>
      <w:bookmarkStart w:id="70304" w:name="_ETM_Q123_281310"/>
      <w:bookmarkEnd w:id="70304"/>
      <w:r>
        <w:rPr>
          <w:rFonts w:hint="cs"/>
          <w:rtl/>
        </w:rPr>
        <w:t xml:space="preserve">תעבירו </w:t>
      </w:r>
      <w:bookmarkStart w:id="70305" w:name="_ETM_Q123_281789"/>
      <w:bookmarkEnd w:id="70305"/>
      <w:r>
        <w:rPr>
          <w:rFonts w:hint="cs"/>
          <w:rtl/>
        </w:rPr>
        <w:t xml:space="preserve">את </w:t>
      </w:r>
      <w:bookmarkStart w:id="70306" w:name="_ETM_Q123_281850"/>
      <w:bookmarkEnd w:id="70306"/>
      <w:r>
        <w:rPr>
          <w:rFonts w:hint="cs"/>
          <w:rtl/>
        </w:rPr>
        <w:t xml:space="preserve">מה </w:t>
      </w:r>
      <w:bookmarkStart w:id="70307" w:name="_ETM_Q123_281939"/>
      <w:bookmarkEnd w:id="70307"/>
      <w:r>
        <w:rPr>
          <w:rFonts w:hint="cs"/>
          <w:rtl/>
        </w:rPr>
        <w:t xml:space="preserve">שאתם </w:t>
      </w:r>
      <w:bookmarkStart w:id="70308" w:name="_ETM_Q123_282149"/>
      <w:bookmarkEnd w:id="70308"/>
      <w:r>
        <w:rPr>
          <w:rFonts w:hint="cs"/>
          <w:rtl/>
        </w:rPr>
        <w:t>רוצים</w:t>
      </w:r>
      <w:r w:rsidR="00091D8C">
        <w:rPr>
          <w:rFonts w:hint="cs"/>
          <w:rtl/>
        </w:rPr>
        <w:t>,</w:t>
      </w:r>
      <w:r>
        <w:rPr>
          <w:rFonts w:hint="cs"/>
          <w:rtl/>
        </w:rPr>
        <w:t xml:space="preserve"> </w:t>
      </w:r>
      <w:bookmarkStart w:id="70309" w:name="_ETM_Q123_285639"/>
      <w:bookmarkEnd w:id="70309"/>
      <w:r>
        <w:rPr>
          <w:rFonts w:hint="cs"/>
          <w:rtl/>
        </w:rPr>
        <w:t xml:space="preserve">אבל </w:t>
      </w:r>
      <w:bookmarkStart w:id="70310" w:name="_ETM_Q123_285939"/>
      <w:bookmarkEnd w:id="70310"/>
      <w:r>
        <w:rPr>
          <w:rFonts w:hint="cs"/>
          <w:rtl/>
        </w:rPr>
        <w:t xml:space="preserve">העם הוא </w:t>
      </w:r>
      <w:bookmarkStart w:id="70311" w:name="_ETM_Q123_286179"/>
      <w:bookmarkStart w:id="70312" w:name="_ETM_Q123_286239"/>
      <w:bookmarkEnd w:id="70311"/>
      <w:bookmarkEnd w:id="70312"/>
      <w:r>
        <w:rPr>
          <w:rFonts w:hint="cs"/>
          <w:rtl/>
        </w:rPr>
        <w:t xml:space="preserve">לא אופוזיציה; </w:t>
      </w:r>
      <w:bookmarkStart w:id="70313" w:name="_ETM_Q123_288070"/>
      <w:bookmarkStart w:id="70314" w:name="_ETM_Q123_288670"/>
      <w:bookmarkEnd w:id="70313"/>
      <w:bookmarkEnd w:id="70314"/>
      <w:r>
        <w:rPr>
          <w:rFonts w:hint="cs"/>
          <w:rtl/>
        </w:rPr>
        <w:t xml:space="preserve">העם </w:t>
      </w:r>
      <w:bookmarkStart w:id="70315" w:name="_ETM_Q123_289120"/>
      <w:bookmarkEnd w:id="70315"/>
      <w:r>
        <w:rPr>
          <w:rFonts w:hint="cs"/>
          <w:rtl/>
        </w:rPr>
        <w:t xml:space="preserve">הוא </w:t>
      </w:r>
      <w:bookmarkStart w:id="70316" w:name="_ETM_Q123_289210"/>
      <w:bookmarkEnd w:id="70316"/>
      <w:r>
        <w:rPr>
          <w:rFonts w:hint="cs"/>
          <w:rtl/>
        </w:rPr>
        <w:t xml:space="preserve">לא </w:t>
      </w:r>
      <w:bookmarkStart w:id="70317" w:name="_ETM_Q123_289510"/>
      <w:bookmarkEnd w:id="70317"/>
      <w:r>
        <w:rPr>
          <w:rFonts w:hint="cs"/>
          <w:rtl/>
        </w:rPr>
        <w:t xml:space="preserve">קואליציה </w:t>
      </w:r>
      <w:bookmarkStart w:id="70318" w:name="_ETM_Q123_290020"/>
      <w:bookmarkEnd w:id="70318"/>
      <w:r>
        <w:rPr>
          <w:rFonts w:hint="cs"/>
          <w:rtl/>
        </w:rPr>
        <w:t xml:space="preserve">ואופוזיציה </w:t>
      </w:r>
      <w:bookmarkStart w:id="70319" w:name="_ETM_Q123_292110"/>
      <w:bookmarkEnd w:id="70319"/>
      <w:r>
        <w:rPr>
          <w:rFonts w:hint="cs"/>
          <w:rtl/>
        </w:rPr>
        <w:t xml:space="preserve">והעם </w:t>
      </w:r>
      <w:bookmarkStart w:id="70320" w:name="_ETM_Q123_292650"/>
      <w:bookmarkEnd w:id="70320"/>
      <w:r>
        <w:rPr>
          <w:rFonts w:hint="cs"/>
          <w:rtl/>
        </w:rPr>
        <w:t xml:space="preserve">שלנו </w:t>
      </w:r>
      <w:bookmarkStart w:id="70321" w:name="_ETM_Q123_293580"/>
      <w:bookmarkEnd w:id="70321"/>
      <w:r>
        <w:rPr>
          <w:rFonts w:hint="cs"/>
          <w:rtl/>
        </w:rPr>
        <w:t xml:space="preserve">לא </w:t>
      </w:r>
      <w:bookmarkStart w:id="70322" w:name="_ETM_Q123_293760"/>
      <w:bookmarkEnd w:id="70322"/>
      <w:r>
        <w:rPr>
          <w:rFonts w:hint="cs"/>
          <w:rtl/>
        </w:rPr>
        <w:t xml:space="preserve">ייתן </w:t>
      </w:r>
      <w:bookmarkStart w:id="70323" w:name="_ETM_Q123_294000"/>
      <w:bookmarkEnd w:id="70323"/>
      <w:r>
        <w:rPr>
          <w:rFonts w:hint="cs"/>
          <w:rtl/>
        </w:rPr>
        <w:t xml:space="preserve">לכם </w:t>
      </w:r>
      <w:bookmarkStart w:id="70324" w:name="_ETM_Q123_294270"/>
      <w:bookmarkEnd w:id="70324"/>
      <w:r>
        <w:rPr>
          <w:rFonts w:hint="cs"/>
          <w:rtl/>
        </w:rPr>
        <w:t xml:space="preserve">לעשות </w:t>
      </w:r>
      <w:bookmarkStart w:id="70325" w:name="_ETM_Q123_294600"/>
      <w:bookmarkEnd w:id="70325"/>
      <w:r>
        <w:rPr>
          <w:rFonts w:hint="cs"/>
          <w:rtl/>
        </w:rPr>
        <w:t xml:space="preserve">את </w:t>
      </w:r>
      <w:bookmarkStart w:id="70326" w:name="_ETM_Q123_294690"/>
      <w:bookmarkEnd w:id="70326"/>
      <w:r>
        <w:rPr>
          <w:rFonts w:hint="cs"/>
          <w:rtl/>
        </w:rPr>
        <w:t xml:space="preserve">זה. </w:t>
      </w:r>
      <w:bookmarkStart w:id="70327" w:name="_ETM_Q123_296540"/>
      <w:bookmarkEnd w:id="70327"/>
      <w:r>
        <w:rPr>
          <w:rFonts w:hint="cs"/>
          <w:rtl/>
        </w:rPr>
        <w:t xml:space="preserve">אתם </w:t>
      </w:r>
      <w:bookmarkStart w:id="70328" w:name="_ETM_Q123_296780"/>
      <w:bookmarkEnd w:id="70328"/>
      <w:r>
        <w:rPr>
          <w:rFonts w:hint="cs"/>
          <w:rtl/>
        </w:rPr>
        <w:t xml:space="preserve">יכולים </w:t>
      </w:r>
      <w:bookmarkStart w:id="70329" w:name="_ETM_Q123_296990"/>
      <w:bookmarkEnd w:id="70329"/>
      <w:r>
        <w:rPr>
          <w:rFonts w:hint="cs"/>
          <w:rtl/>
        </w:rPr>
        <w:t xml:space="preserve">להגיד </w:t>
      </w:r>
      <w:bookmarkStart w:id="70330" w:name="_ETM_Q123_297229"/>
      <w:bookmarkEnd w:id="70330"/>
      <w:r>
        <w:rPr>
          <w:rFonts w:hint="cs"/>
          <w:rtl/>
        </w:rPr>
        <w:t xml:space="preserve">לנו </w:t>
      </w:r>
      <w:bookmarkStart w:id="70331" w:name="_ETM_Q123_297409"/>
      <w:bookmarkEnd w:id="70331"/>
      <w:r>
        <w:rPr>
          <w:rFonts w:hint="cs"/>
          <w:rtl/>
        </w:rPr>
        <w:t xml:space="preserve">לעצור </w:t>
      </w:r>
      <w:bookmarkStart w:id="70332" w:name="_ETM_Q123_297800"/>
      <w:bookmarkEnd w:id="70332"/>
      <w:r>
        <w:rPr>
          <w:rFonts w:hint="cs"/>
          <w:rtl/>
        </w:rPr>
        <w:t xml:space="preserve">עד </w:t>
      </w:r>
      <w:bookmarkStart w:id="70333" w:name="_ETM_Q123_297890"/>
      <w:bookmarkEnd w:id="70333"/>
      <w:r>
        <w:rPr>
          <w:rFonts w:hint="cs"/>
          <w:rtl/>
        </w:rPr>
        <w:t xml:space="preserve">מחר </w:t>
      </w:r>
      <w:bookmarkStart w:id="70334" w:name="_ETM_Q123_298130"/>
      <w:bookmarkEnd w:id="70334"/>
      <w:r>
        <w:rPr>
          <w:rFonts w:hint="cs"/>
          <w:rtl/>
        </w:rPr>
        <w:t xml:space="preserve">בבוקר, </w:t>
      </w:r>
      <w:bookmarkStart w:id="70335" w:name="_ETM_Q123_298779"/>
      <w:bookmarkEnd w:id="70335"/>
      <w:r>
        <w:rPr>
          <w:rFonts w:hint="cs"/>
          <w:rtl/>
        </w:rPr>
        <w:t xml:space="preserve">אתם </w:t>
      </w:r>
      <w:bookmarkStart w:id="70336" w:name="_ETM_Q123_299289"/>
      <w:bookmarkEnd w:id="70336"/>
      <w:r>
        <w:rPr>
          <w:rFonts w:hint="cs"/>
          <w:rtl/>
        </w:rPr>
        <w:t xml:space="preserve">אלה </w:t>
      </w:r>
      <w:bookmarkStart w:id="70337" w:name="_ETM_Q123_299529"/>
      <w:bookmarkEnd w:id="70337"/>
      <w:r>
        <w:rPr>
          <w:rFonts w:hint="cs"/>
          <w:rtl/>
        </w:rPr>
        <w:t xml:space="preserve">שלוחצים </w:t>
      </w:r>
      <w:bookmarkStart w:id="70338" w:name="_ETM_Q123_299979"/>
      <w:bookmarkEnd w:id="70338"/>
      <w:r>
        <w:rPr>
          <w:rFonts w:hint="cs"/>
          <w:rtl/>
        </w:rPr>
        <w:t xml:space="preserve">על </w:t>
      </w:r>
      <w:bookmarkStart w:id="70339" w:name="_ETM_Q123_300069"/>
      <w:bookmarkEnd w:id="70339"/>
      <w:r>
        <w:rPr>
          <w:rFonts w:hint="cs"/>
          <w:rtl/>
        </w:rPr>
        <w:t xml:space="preserve">הגז, </w:t>
      </w:r>
      <w:bookmarkStart w:id="70340" w:name="_ETM_Q123_300310"/>
      <w:bookmarkEnd w:id="70340"/>
      <w:r>
        <w:rPr>
          <w:rFonts w:hint="cs"/>
          <w:rtl/>
        </w:rPr>
        <w:t xml:space="preserve">לא </w:t>
      </w:r>
      <w:bookmarkStart w:id="70341" w:name="_ETM_Q123_300429"/>
      <w:bookmarkEnd w:id="70341"/>
      <w:r>
        <w:rPr>
          <w:rFonts w:hint="cs"/>
          <w:rtl/>
        </w:rPr>
        <w:t xml:space="preserve">אף </w:t>
      </w:r>
      <w:bookmarkStart w:id="70342" w:name="_ETM_Q123_300549"/>
      <w:bookmarkEnd w:id="70342"/>
      <w:r>
        <w:rPr>
          <w:rFonts w:hint="cs"/>
          <w:rtl/>
        </w:rPr>
        <w:t xml:space="preserve">אחד </w:t>
      </w:r>
      <w:bookmarkStart w:id="70343" w:name="_ETM_Q123_300759"/>
      <w:bookmarkEnd w:id="70343"/>
      <w:r>
        <w:rPr>
          <w:rFonts w:hint="cs"/>
          <w:rtl/>
        </w:rPr>
        <w:t xml:space="preserve">אחר. </w:t>
      </w:r>
      <w:bookmarkStart w:id="70344" w:name="_ETM_Q123_301789"/>
      <w:bookmarkEnd w:id="70344"/>
      <w:r>
        <w:rPr>
          <w:rFonts w:hint="cs"/>
          <w:rtl/>
        </w:rPr>
        <w:t>היחיד</w:t>
      </w:r>
      <w:r w:rsidR="00091D8C">
        <w:rPr>
          <w:rFonts w:hint="cs"/>
          <w:rtl/>
        </w:rPr>
        <w:t>ים</w:t>
      </w:r>
      <w:r>
        <w:rPr>
          <w:rFonts w:hint="cs"/>
          <w:rtl/>
        </w:rPr>
        <w:t xml:space="preserve"> </w:t>
      </w:r>
      <w:bookmarkStart w:id="70345" w:name="_ETM_Q123_302359"/>
      <w:bookmarkEnd w:id="70345"/>
      <w:r>
        <w:rPr>
          <w:rFonts w:hint="cs"/>
          <w:rtl/>
        </w:rPr>
        <w:t>שיכול</w:t>
      </w:r>
      <w:r w:rsidR="00091D8C">
        <w:rPr>
          <w:rFonts w:hint="cs"/>
          <w:rtl/>
        </w:rPr>
        <w:t>ים</w:t>
      </w:r>
      <w:r>
        <w:rPr>
          <w:rFonts w:hint="cs"/>
          <w:rtl/>
        </w:rPr>
        <w:t xml:space="preserve"> </w:t>
      </w:r>
      <w:bookmarkStart w:id="70346" w:name="_ETM_Q123_302869"/>
      <w:bookmarkEnd w:id="70346"/>
      <w:r>
        <w:rPr>
          <w:rFonts w:hint="cs"/>
          <w:rtl/>
        </w:rPr>
        <w:t xml:space="preserve">לעצור </w:t>
      </w:r>
      <w:bookmarkStart w:id="70347" w:name="_ETM_Q123_304409"/>
      <w:bookmarkEnd w:id="70347"/>
      <w:r>
        <w:rPr>
          <w:rFonts w:hint="cs"/>
          <w:rtl/>
        </w:rPr>
        <w:t xml:space="preserve">את </w:t>
      </w:r>
      <w:bookmarkStart w:id="70348" w:name="_ETM_Q123_304619"/>
      <w:bookmarkEnd w:id="70348"/>
      <w:r>
        <w:rPr>
          <w:rFonts w:hint="cs"/>
          <w:rtl/>
        </w:rPr>
        <w:t xml:space="preserve">ההידרדרות </w:t>
      </w:r>
      <w:bookmarkStart w:id="70349" w:name="_ETM_Q123_305789"/>
      <w:bookmarkEnd w:id="70349"/>
      <w:r>
        <w:rPr>
          <w:rFonts w:hint="cs"/>
          <w:rtl/>
        </w:rPr>
        <w:t xml:space="preserve">המטורפת </w:t>
      </w:r>
      <w:bookmarkStart w:id="70350" w:name="_ETM_Q123_306780"/>
      <w:bookmarkEnd w:id="70350"/>
      <w:r>
        <w:rPr>
          <w:rFonts w:hint="cs"/>
          <w:rtl/>
        </w:rPr>
        <w:t xml:space="preserve">והמפחידה </w:t>
      </w:r>
      <w:bookmarkStart w:id="70351" w:name="_ETM_Q123_307560"/>
      <w:bookmarkStart w:id="70352" w:name="_ETM_Q123_307799"/>
      <w:bookmarkEnd w:id="70351"/>
      <w:bookmarkEnd w:id="70352"/>
      <w:r>
        <w:rPr>
          <w:rFonts w:hint="cs"/>
          <w:rtl/>
        </w:rPr>
        <w:t xml:space="preserve">לתהום, </w:t>
      </w:r>
      <w:bookmarkStart w:id="70353" w:name="_ETM_Q123_308819"/>
      <w:bookmarkStart w:id="70354" w:name="_ETM_Q123_309030"/>
      <w:bookmarkEnd w:id="70353"/>
      <w:bookmarkEnd w:id="70354"/>
      <w:r>
        <w:rPr>
          <w:rFonts w:hint="cs"/>
          <w:rtl/>
        </w:rPr>
        <w:t>ה</w:t>
      </w:r>
      <w:r w:rsidR="00091D8C">
        <w:rPr>
          <w:rFonts w:hint="cs"/>
          <w:rtl/>
        </w:rPr>
        <w:t>ם</w:t>
      </w:r>
      <w:r>
        <w:rPr>
          <w:rFonts w:hint="cs"/>
          <w:rtl/>
        </w:rPr>
        <w:t xml:space="preserve"> אך </w:t>
      </w:r>
      <w:bookmarkStart w:id="70355" w:name="_ETM_Q123_309209"/>
      <w:bookmarkEnd w:id="70355"/>
      <w:r>
        <w:rPr>
          <w:rFonts w:hint="cs"/>
          <w:rtl/>
        </w:rPr>
        <w:t xml:space="preserve">ורק חברי </w:t>
      </w:r>
      <w:bookmarkStart w:id="70356" w:name="_ETM_Q123_309540"/>
      <w:bookmarkEnd w:id="70356"/>
      <w:r>
        <w:rPr>
          <w:rFonts w:hint="cs"/>
          <w:rtl/>
        </w:rPr>
        <w:t xml:space="preserve">ממשלת </w:t>
      </w:r>
      <w:bookmarkStart w:id="70357" w:name="_ETM_Q123_310020"/>
      <w:bookmarkEnd w:id="70357"/>
      <w:r>
        <w:rPr>
          <w:rFonts w:hint="cs"/>
          <w:rtl/>
        </w:rPr>
        <w:t xml:space="preserve">ישראל, </w:t>
      </w:r>
      <w:bookmarkStart w:id="70358" w:name="_ETM_Q123_311319"/>
      <w:bookmarkEnd w:id="70358"/>
      <w:r>
        <w:rPr>
          <w:rFonts w:hint="cs"/>
          <w:rtl/>
        </w:rPr>
        <w:t xml:space="preserve">אך </w:t>
      </w:r>
      <w:bookmarkStart w:id="70359" w:name="_ETM_Q123_311560"/>
      <w:bookmarkEnd w:id="70359"/>
      <w:r>
        <w:rPr>
          <w:rFonts w:hint="cs"/>
          <w:rtl/>
        </w:rPr>
        <w:t xml:space="preserve">ורק </w:t>
      </w:r>
      <w:bookmarkStart w:id="70360" w:name="_ETM_Q123_311859"/>
      <w:bookmarkEnd w:id="70360"/>
      <w:r>
        <w:rPr>
          <w:rFonts w:hint="cs"/>
          <w:rtl/>
        </w:rPr>
        <w:t xml:space="preserve">ממשלת </w:t>
      </w:r>
      <w:bookmarkStart w:id="70361" w:name="_ETM_Q123_312280"/>
      <w:bookmarkEnd w:id="70361"/>
      <w:r>
        <w:rPr>
          <w:rFonts w:hint="cs"/>
          <w:rtl/>
        </w:rPr>
        <w:t>ישראל</w:t>
      </w:r>
      <w:r w:rsidR="00091D8C">
        <w:rPr>
          <w:rFonts w:hint="cs"/>
          <w:rtl/>
        </w:rPr>
        <w:t>,</w:t>
      </w:r>
      <w:r>
        <w:rPr>
          <w:rFonts w:hint="cs"/>
          <w:rtl/>
        </w:rPr>
        <w:t xml:space="preserve"> </w:t>
      </w:r>
      <w:bookmarkStart w:id="70362" w:name="_ETM_Q123_314139"/>
      <w:bookmarkEnd w:id="70362"/>
      <w:r>
        <w:rPr>
          <w:rFonts w:hint="cs"/>
          <w:rtl/>
        </w:rPr>
        <w:t xml:space="preserve">שלא </w:t>
      </w:r>
      <w:bookmarkStart w:id="70363" w:name="_ETM_Q123_314470"/>
      <w:bookmarkEnd w:id="70363"/>
      <w:r>
        <w:rPr>
          <w:rFonts w:hint="cs"/>
          <w:rtl/>
        </w:rPr>
        <w:t xml:space="preserve">מגלה </w:t>
      </w:r>
      <w:bookmarkStart w:id="70364" w:name="_ETM_Q123_314889"/>
      <w:bookmarkEnd w:id="70364"/>
      <w:r>
        <w:rPr>
          <w:rFonts w:hint="cs"/>
          <w:rtl/>
        </w:rPr>
        <w:t xml:space="preserve">מנהיגות </w:t>
      </w:r>
      <w:bookmarkStart w:id="70365" w:name="_ETM_Q123_316269"/>
      <w:bookmarkEnd w:id="70365"/>
      <w:r>
        <w:rPr>
          <w:rFonts w:hint="cs"/>
          <w:rtl/>
        </w:rPr>
        <w:t xml:space="preserve">מיומה </w:t>
      </w:r>
      <w:bookmarkStart w:id="70366" w:name="_ETM_Q123_316719"/>
      <w:bookmarkEnd w:id="70366"/>
      <w:r>
        <w:rPr>
          <w:rFonts w:hint="cs"/>
          <w:rtl/>
        </w:rPr>
        <w:t xml:space="preserve">הראשון. </w:t>
      </w:r>
      <w:bookmarkStart w:id="70367" w:name="_ETM_Q123_317870"/>
      <w:bookmarkEnd w:id="70367"/>
      <w:r>
        <w:rPr>
          <w:rFonts w:hint="cs"/>
          <w:rtl/>
        </w:rPr>
        <w:t xml:space="preserve">אין </w:t>
      </w:r>
      <w:bookmarkStart w:id="70368" w:name="_ETM_Q123_318020"/>
      <w:bookmarkEnd w:id="70368"/>
      <w:r>
        <w:rPr>
          <w:rFonts w:hint="cs"/>
          <w:rtl/>
        </w:rPr>
        <w:t xml:space="preserve">מנהיג </w:t>
      </w:r>
      <w:bookmarkStart w:id="70369" w:name="_ETM_Q123_318500"/>
      <w:bookmarkStart w:id="70370" w:name="_ETM_Q123_331709"/>
      <w:bookmarkEnd w:id="70369"/>
      <w:bookmarkEnd w:id="70370"/>
      <w:r>
        <w:rPr>
          <w:rFonts w:hint="cs"/>
          <w:rtl/>
        </w:rPr>
        <w:t>אחד בסדום. אין אחד שיבוא ויגיד: מספיק. מספיק, השלטון לא עד כדי כך חשוב</w:t>
      </w:r>
      <w:r w:rsidR="00091D8C">
        <w:rPr>
          <w:rFonts w:hint="cs"/>
          <w:rtl/>
        </w:rPr>
        <w:t>,</w:t>
      </w:r>
      <w:r>
        <w:rPr>
          <w:rFonts w:hint="cs"/>
          <w:rtl/>
        </w:rPr>
        <w:t xml:space="preserve"> </w:t>
      </w:r>
      <w:bookmarkStart w:id="70371" w:name="_ETM_Q123_330746"/>
      <w:bookmarkStart w:id="70372" w:name="_ETM_Q123_330852"/>
      <w:bookmarkStart w:id="70373" w:name="_ETM_Q123_330913"/>
      <w:bookmarkStart w:id="70374" w:name="_ETM_Q123_330980"/>
      <w:bookmarkEnd w:id="70371"/>
      <w:bookmarkEnd w:id="70372"/>
      <w:bookmarkEnd w:id="70373"/>
      <w:bookmarkEnd w:id="70374"/>
      <w:r>
        <w:rPr>
          <w:rFonts w:hint="cs"/>
          <w:rtl/>
        </w:rPr>
        <w:t xml:space="preserve">אפשר להמשיך להיות ראש ממשלה ושרים, אפשר להמשיך ולנהל פה את הקואליציה ולעסוק בדברים האמיתיים, בלי לעסוק בחקיקה </w:t>
      </w:r>
      <w:r w:rsidR="00091D8C">
        <w:rPr>
          <w:rFonts w:hint="eastAsia"/>
          <w:rtl/>
        </w:rPr>
        <w:t>–</w:t>
      </w:r>
      <w:r w:rsidR="00091D8C">
        <w:rPr>
          <w:rFonts w:hint="cs"/>
          <w:rtl/>
        </w:rPr>
        <w:t xml:space="preserve"> </w:t>
      </w:r>
      <w:r>
        <w:rPr>
          <w:rFonts w:hint="cs"/>
          <w:rtl/>
        </w:rPr>
        <w:t>שלא אכפת לאף אחד ממנה חוץ מכם, חברי הממשלה; חוץ מלך, נתניהו. באמת, החקיקה לא רלוונטית לאף אחד. תניחו. גלו חמלה כלפי העם הזה</w:t>
      </w:r>
      <w:r w:rsidR="00091D8C">
        <w:rPr>
          <w:rFonts w:hint="cs"/>
          <w:rtl/>
        </w:rPr>
        <w:t>,</w:t>
      </w:r>
      <w:r>
        <w:rPr>
          <w:rFonts w:hint="cs"/>
          <w:rtl/>
        </w:rPr>
        <w:t xml:space="preserve"> כי אחרת העם הזה לא יגלה חמלה כלפיכם.</w:t>
      </w:r>
      <w:bookmarkStart w:id="70375" w:name="_ETM_Q123_360604"/>
      <w:bookmarkEnd w:id="70375"/>
      <w:r>
        <w:rPr>
          <w:rFonts w:hint="cs"/>
          <w:rtl/>
        </w:rPr>
        <w:t xml:space="preserve"> </w:t>
      </w:r>
    </w:p>
    <w:p w:rsidR="00BB59CD" w:rsidRDefault="00BB59CD" w:rsidP="00BB59CD">
      <w:pPr>
        <w:rPr>
          <w:rtl/>
        </w:rPr>
      </w:pPr>
      <w:bookmarkStart w:id="70376" w:name="_ETM_Q123_370468"/>
      <w:bookmarkStart w:id="70377" w:name="_ETM_Q123_370530"/>
      <w:bookmarkEnd w:id="70376"/>
      <w:bookmarkEnd w:id="70377"/>
    </w:p>
    <w:p w:rsidR="00BB59CD" w:rsidRDefault="00BB59CD" w:rsidP="00091D8C">
      <w:pPr>
        <w:rPr>
          <w:rtl/>
        </w:rPr>
      </w:pPr>
      <w:bookmarkStart w:id="70378" w:name="_ETM_Q123_370592"/>
      <w:bookmarkStart w:id="70379" w:name="_ETM_Q123_370634"/>
      <w:bookmarkEnd w:id="70378"/>
      <w:bookmarkEnd w:id="70379"/>
      <w:r>
        <w:rPr>
          <w:rFonts w:hint="cs"/>
          <w:rtl/>
        </w:rPr>
        <w:t xml:space="preserve">אני רוצה לסיים בתפילה: "אנא בכוח גדולת ימינך תתיר צרורה. </w:t>
      </w:r>
      <w:bookmarkStart w:id="70380" w:name="_ETM_Q123_372404"/>
      <w:bookmarkEnd w:id="70380"/>
      <w:r>
        <w:rPr>
          <w:rFonts w:hint="cs"/>
          <w:rtl/>
        </w:rPr>
        <w:t>קבל רינת עמך, שגבנו</w:t>
      </w:r>
      <w:r w:rsidR="00091D8C">
        <w:rPr>
          <w:rFonts w:hint="cs"/>
          <w:rtl/>
        </w:rPr>
        <w:t>,</w:t>
      </w:r>
      <w:r>
        <w:rPr>
          <w:rFonts w:hint="cs"/>
          <w:rtl/>
        </w:rPr>
        <w:t xml:space="preserve"> טהרנו נורא. נא </w:t>
      </w:r>
      <w:bookmarkStart w:id="70381" w:name="_ETM_Q123_379342"/>
      <w:bookmarkEnd w:id="70381"/>
      <w:r>
        <w:rPr>
          <w:rFonts w:hint="cs"/>
          <w:rtl/>
        </w:rPr>
        <w:t>גיבור דורשי ייחודך, כבבת שומרם. ברכם, טהרם, רחמי צדקתך תמיד גומלם. חסין, קדוש, ברוב טובך נהל עדתך. יחיד גאה, לעמך פנה, זוכרי קדושתך, שוועתנו קבל ושמע צעקתנו יודע תעלומות. ברוך שם כבוד מלכותו לעולם ועד"</w:t>
      </w:r>
      <w:bookmarkStart w:id="70382" w:name="_ETM_Q123_408996"/>
      <w:bookmarkEnd w:id="70382"/>
      <w:r>
        <w:rPr>
          <w:rFonts w:hint="cs"/>
          <w:rtl/>
        </w:rPr>
        <w:t xml:space="preserve">. אמן. </w:t>
      </w:r>
    </w:p>
    <w:p w:rsidR="00BB59CD" w:rsidRDefault="00BB59CD" w:rsidP="00BB59CD">
      <w:pPr>
        <w:rPr>
          <w:rtl/>
        </w:rPr>
      </w:pPr>
      <w:bookmarkStart w:id="70383" w:name="_ETM_Q123_408368"/>
      <w:bookmarkStart w:id="70384" w:name="_ETM_Q123_408415"/>
      <w:bookmarkEnd w:id="70383"/>
      <w:bookmarkEnd w:id="70384"/>
    </w:p>
    <w:p w:rsidR="00BB59CD" w:rsidRDefault="00BB59CD" w:rsidP="00091D8C">
      <w:pPr>
        <w:rPr>
          <w:rtl/>
        </w:rPr>
      </w:pPr>
      <w:bookmarkStart w:id="70385" w:name="_ETM_Q123_408511"/>
      <w:bookmarkStart w:id="70386" w:name="_ETM_Q123_408548"/>
      <w:bookmarkEnd w:id="70385"/>
      <w:bookmarkEnd w:id="70386"/>
      <w:r>
        <w:rPr>
          <w:rFonts w:hint="cs"/>
          <w:rtl/>
        </w:rPr>
        <w:t xml:space="preserve">תמיד תזכרו, עם הנצח לא מפחד מדרך </w:t>
      </w:r>
      <w:bookmarkStart w:id="70387" w:name="_ETM_Q123_417947"/>
      <w:bookmarkEnd w:id="70387"/>
      <w:r>
        <w:rPr>
          <w:rFonts w:hint="cs"/>
          <w:rtl/>
        </w:rPr>
        <w:t xml:space="preserve">ארוכה, ואתם תישארו רק פרק עצוב בהיסטוריה של העם </w:t>
      </w:r>
      <w:bookmarkStart w:id="70388" w:name="_ETM_Q123_428649"/>
      <w:bookmarkEnd w:id="70388"/>
      <w:r>
        <w:rPr>
          <w:rFonts w:hint="cs"/>
          <w:rtl/>
        </w:rPr>
        <w:t xml:space="preserve">היהודי. מאחר שאני יודעת היסטוריה, אני יודעת שהעם </w:t>
      </w:r>
      <w:bookmarkStart w:id="70389" w:name="_ETM_Q123_434450"/>
      <w:bookmarkEnd w:id="70389"/>
      <w:r>
        <w:rPr>
          <w:rFonts w:hint="cs"/>
          <w:rtl/>
        </w:rPr>
        <w:t>שלנו חזק יותר מכל פולש ומכל הורס</w:t>
      </w:r>
      <w:r w:rsidR="00091D8C">
        <w:rPr>
          <w:rFonts w:hint="cs"/>
          <w:rtl/>
        </w:rPr>
        <w:t>,</w:t>
      </w:r>
      <w:r>
        <w:rPr>
          <w:rFonts w:hint="cs"/>
          <w:rtl/>
        </w:rPr>
        <w:t xml:space="preserve"> וזה לא </w:t>
      </w:r>
      <w:bookmarkStart w:id="70390" w:name="_ETM_Q123_438506"/>
      <w:bookmarkEnd w:id="70390"/>
      <w:r>
        <w:rPr>
          <w:rFonts w:hint="cs"/>
          <w:rtl/>
        </w:rPr>
        <w:t xml:space="preserve">משנה אם המהרסים באו מבפנים או מבחוץ. כל גלות בסוף </w:t>
      </w:r>
      <w:bookmarkStart w:id="70391" w:name="_ETM_Q123_444053"/>
      <w:bookmarkEnd w:id="70391"/>
      <w:r>
        <w:rPr>
          <w:rFonts w:hint="cs"/>
          <w:rtl/>
        </w:rPr>
        <w:t>נגמרה. יש לנו עם נהדר</w:t>
      </w:r>
      <w:r w:rsidR="00091D8C">
        <w:rPr>
          <w:rFonts w:hint="cs"/>
          <w:rtl/>
        </w:rPr>
        <w:t>,</w:t>
      </w:r>
      <w:r>
        <w:rPr>
          <w:rFonts w:hint="cs"/>
          <w:rtl/>
        </w:rPr>
        <w:t xml:space="preserve"> ואנחנו נשמור עליו, והוא ישמור </w:t>
      </w:r>
      <w:bookmarkStart w:id="70392" w:name="_ETM_Q123_451159"/>
      <w:bookmarkEnd w:id="70392"/>
      <w:r>
        <w:rPr>
          <w:rFonts w:hint="cs"/>
          <w:rtl/>
        </w:rPr>
        <w:t>על עצמו. מפה אני שולחת בוקר טוב אל כל האוהלים בחוץ. שתו קפה, תתחילו את הצעדה, אנחנו איתכם. בתוך כל החושך הזה, בתוך כל הסיוט הזה, בתוך כל חלום הבלהות הזה את</w:t>
      </w:r>
      <w:bookmarkStart w:id="70393" w:name="_ETM_Q123_467470"/>
      <w:bookmarkEnd w:id="70393"/>
      <w:r>
        <w:rPr>
          <w:rFonts w:hint="cs"/>
          <w:rtl/>
        </w:rPr>
        <w:t>ם לפיד של אור</w:t>
      </w:r>
      <w:r w:rsidR="00091D8C">
        <w:rPr>
          <w:rFonts w:hint="cs"/>
          <w:rtl/>
        </w:rPr>
        <w:t>,</w:t>
      </w:r>
      <w:r>
        <w:rPr>
          <w:rFonts w:hint="cs"/>
          <w:rtl/>
        </w:rPr>
        <w:t xml:space="preserve"> לפיד של אש; אתם </w:t>
      </w:r>
      <w:bookmarkStart w:id="70394" w:name="_ETM_Q123_476112"/>
      <w:bookmarkEnd w:id="70394"/>
      <w:r>
        <w:rPr>
          <w:rFonts w:hint="cs"/>
          <w:rtl/>
        </w:rPr>
        <w:t xml:space="preserve">גורמים לי תחושת גאווה עצומה. עם ישראל חי, </w:t>
      </w:r>
      <w:bookmarkStart w:id="70395" w:name="_ETM_Q123_482106"/>
      <w:bookmarkEnd w:id="70395"/>
      <w:r>
        <w:rPr>
          <w:rFonts w:hint="cs"/>
          <w:rtl/>
        </w:rPr>
        <w:t>תודה רבה.</w:t>
      </w:r>
    </w:p>
    <w:p w:rsidR="00BB59CD" w:rsidRDefault="00BB59CD" w:rsidP="00BB59CD">
      <w:pPr>
        <w:rPr>
          <w:rtl/>
        </w:rPr>
      </w:pPr>
      <w:bookmarkStart w:id="70396" w:name="_ETM_Q123_483642"/>
      <w:bookmarkStart w:id="70397" w:name="_ETM_Q123_483739"/>
      <w:bookmarkEnd w:id="70396"/>
      <w:bookmarkEnd w:id="70397"/>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70398" w:name="_ETM_Q123_490102"/>
      <w:bookmarkEnd w:id="70398"/>
      <w:r>
        <w:rPr>
          <w:rFonts w:hint="cs"/>
          <w:rtl/>
        </w:rPr>
        <w:t xml:space="preserve">תודה רבה. חברת הכנסת דבי ביטון, בבקשה, 20 </w:t>
      </w:r>
      <w:bookmarkStart w:id="70399" w:name="_ETM_Q123_501851"/>
      <w:bookmarkEnd w:id="70399"/>
      <w:r>
        <w:rPr>
          <w:rFonts w:hint="cs"/>
          <w:rtl/>
        </w:rPr>
        <w:t xml:space="preserve">דקות לרשותך. </w:t>
      </w:r>
    </w:p>
    <w:p w:rsidR="00BB59CD" w:rsidRDefault="00BB59CD" w:rsidP="00BB59CD">
      <w:pPr>
        <w:rPr>
          <w:rtl/>
        </w:rPr>
      </w:pPr>
      <w:bookmarkStart w:id="70400" w:name="_ETM_Q123_492210"/>
      <w:bookmarkStart w:id="70401" w:name="_ETM_Q123_492299"/>
      <w:bookmarkEnd w:id="70400"/>
      <w:bookmarkEnd w:id="70401"/>
    </w:p>
    <w:p w:rsidR="00BB59CD" w:rsidRDefault="00BB59CD" w:rsidP="00BB59CD">
      <w:pPr>
        <w:pStyle w:val="a5"/>
        <w:keepNext/>
        <w:rPr>
          <w:rtl/>
        </w:rPr>
      </w:pPr>
      <w:bookmarkStart w:id="70402" w:name="ET_speaker_6341_2"/>
      <w:r>
        <w:rPr>
          <w:rStyle w:val="TagStyle"/>
          <w:rFonts w:hint="cs"/>
          <w:rtl/>
        </w:rPr>
        <w:t xml:space="preserve"> &lt;&lt; דובר &gt;&gt; </w:t>
      </w:r>
      <w:bookmarkStart w:id="70403" w:name="_Toc141197181"/>
      <w:bookmarkStart w:id="70404" w:name="_Toc141196917"/>
      <w:r>
        <w:rPr>
          <w:rFonts w:hint="cs"/>
          <w:rtl/>
        </w:rPr>
        <w:t>דבי ביטון (יש עתיד):</w:t>
      </w:r>
      <w:bookmarkEnd w:id="70403"/>
      <w:bookmarkEnd w:id="70404"/>
      <w:r>
        <w:rPr>
          <w:rStyle w:val="TagStyle"/>
          <w:rFonts w:hint="cs"/>
          <w:rtl/>
        </w:rPr>
        <w:t xml:space="preserve"> &lt;&lt; דובר &gt;&gt;</w:t>
      </w:r>
      <w:r>
        <w:rPr>
          <w:rFonts w:hint="cs"/>
          <w:rtl/>
        </w:rPr>
        <w:t xml:space="preserve">  </w:t>
      </w:r>
      <w:bookmarkEnd w:id="70402"/>
    </w:p>
    <w:p w:rsidR="00BB59CD" w:rsidRDefault="00BB59CD" w:rsidP="00337201">
      <w:pPr>
        <w:rPr>
          <w:rtl/>
        </w:rPr>
      </w:pPr>
    </w:p>
    <w:p w:rsidR="00BB59CD" w:rsidRDefault="00BB59CD" w:rsidP="00BB59CD">
      <w:pPr>
        <w:rPr>
          <w:rtl/>
        </w:rPr>
      </w:pPr>
      <w:bookmarkStart w:id="70405" w:name="_ETM_Q123_496191"/>
      <w:bookmarkStart w:id="70406" w:name="_ETM_Q123_496238"/>
      <w:bookmarkStart w:id="70407" w:name="_ETM_Q123_483834"/>
      <w:bookmarkStart w:id="70408" w:name="_ETM_Q123_483910"/>
      <w:bookmarkStart w:id="70409" w:name="_ETM_Q123_510470"/>
      <w:bookmarkEnd w:id="70405"/>
      <w:bookmarkEnd w:id="70406"/>
      <w:bookmarkEnd w:id="70407"/>
      <w:bookmarkEnd w:id="70408"/>
      <w:bookmarkEnd w:id="70409"/>
      <w:r>
        <w:rPr>
          <w:rFonts w:hint="cs"/>
          <w:rtl/>
        </w:rPr>
        <w:t xml:space="preserve">אדוני </w:t>
      </w:r>
      <w:bookmarkStart w:id="70410" w:name="_ETM_Q123_510890"/>
      <w:bookmarkEnd w:id="70410"/>
      <w:r>
        <w:rPr>
          <w:rFonts w:hint="cs"/>
          <w:rtl/>
        </w:rPr>
        <w:t xml:space="preserve">היושב-ראש, </w:t>
      </w:r>
      <w:bookmarkStart w:id="70411" w:name="_ETM_Q123_512770"/>
      <w:bookmarkEnd w:id="70411"/>
      <w:r>
        <w:rPr>
          <w:rFonts w:hint="cs"/>
          <w:rtl/>
        </w:rPr>
        <w:t xml:space="preserve">כבוד </w:t>
      </w:r>
      <w:bookmarkStart w:id="70412" w:name="_ETM_Q123_513100"/>
      <w:bookmarkEnd w:id="70412"/>
      <w:r>
        <w:rPr>
          <w:rFonts w:hint="cs"/>
          <w:rtl/>
        </w:rPr>
        <w:t xml:space="preserve">השר – </w:t>
      </w:r>
      <w:bookmarkStart w:id="70413" w:name="_ETM_Q123_513730"/>
      <w:bookmarkEnd w:id="70413"/>
      <w:r>
        <w:rPr>
          <w:rFonts w:hint="cs"/>
          <w:rtl/>
        </w:rPr>
        <w:t xml:space="preserve">יש </w:t>
      </w:r>
      <w:bookmarkStart w:id="70414" w:name="_ETM_Q123_513910"/>
      <w:bookmarkEnd w:id="70414"/>
      <w:r>
        <w:rPr>
          <w:rFonts w:hint="cs"/>
          <w:rtl/>
        </w:rPr>
        <w:t xml:space="preserve">כאן </w:t>
      </w:r>
      <w:bookmarkStart w:id="70415" w:name="_ETM_Q123_514060"/>
      <w:bookmarkEnd w:id="70415"/>
      <w:r>
        <w:rPr>
          <w:rFonts w:hint="cs"/>
          <w:rtl/>
        </w:rPr>
        <w:t>שר?</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70416" w:name="_ETM_Q123_515230"/>
      <w:bookmarkEnd w:id="70416"/>
      <w:r>
        <w:rPr>
          <w:rFonts w:hint="cs"/>
          <w:rtl/>
        </w:rPr>
        <w:t>כן.</w:t>
      </w:r>
    </w:p>
    <w:p w:rsidR="00BB59CD" w:rsidRDefault="00BB59CD" w:rsidP="00BB59CD">
      <w:pPr>
        <w:rPr>
          <w:rtl/>
        </w:rPr>
      </w:pPr>
    </w:p>
    <w:p w:rsidR="00BB59CD" w:rsidRDefault="00BB59CD" w:rsidP="00BB59CD">
      <w:pPr>
        <w:pStyle w:val="-"/>
        <w:keepNext/>
        <w:rPr>
          <w:rtl/>
        </w:rPr>
      </w:pPr>
      <w:bookmarkStart w:id="70417" w:name="ET_speakercontinue_6341_4"/>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70417"/>
    </w:p>
    <w:p w:rsidR="00BB59CD" w:rsidRDefault="00BB59CD" w:rsidP="00337201">
      <w:pPr>
        <w:rPr>
          <w:rtl/>
        </w:rPr>
      </w:pPr>
    </w:p>
    <w:p w:rsidR="00BB59CD" w:rsidRDefault="00BB59CD" w:rsidP="00091D8C">
      <w:pPr>
        <w:rPr>
          <w:rtl/>
        </w:rPr>
      </w:pPr>
      <w:bookmarkStart w:id="70418" w:name="_ETM_Q123_517320"/>
      <w:bookmarkEnd w:id="70418"/>
      <w:r>
        <w:rPr>
          <w:rFonts w:hint="cs"/>
          <w:rtl/>
        </w:rPr>
        <w:t xml:space="preserve">כנסת </w:t>
      </w:r>
      <w:bookmarkStart w:id="70419" w:name="_ETM_Q123_517800"/>
      <w:bookmarkEnd w:id="70419"/>
      <w:r>
        <w:rPr>
          <w:rFonts w:hint="cs"/>
          <w:rtl/>
        </w:rPr>
        <w:t xml:space="preserve">נכבדה, </w:t>
      </w:r>
      <w:bookmarkStart w:id="70420" w:name="_ETM_Q123_519520"/>
      <w:bookmarkEnd w:id="70420"/>
      <w:r>
        <w:rPr>
          <w:rFonts w:hint="cs"/>
          <w:rtl/>
        </w:rPr>
        <w:t xml:space="preserve">חברתי </w:t>
      </w:r>
      <w:bookmarkStart w:id="70421" w:name="_ETM_Q123_520120"/>
      <w:bookmarkEnd w:id="70421"/>
      <w:r>
        <w:rPr>
          <w:rFonts w:hint="cs"/>
          <w:rtl/>
        </w:rPr>
        <w:t xml:space="preserve">מיכל </w:t>
      </w:r>
      <w:bookmarkStart w:id="70422" w:name="_ETM_Q123_520629"/>
      <w:bookmarkEnd w:id="70422"/>
      <w:r>
        <w:rPr>
          <w:rFonts w:hint="cs"/>
          <w:rtl/>
        </w:rPr>
        <w:t xml:space="preserve">סיימה </w:t>
      </w:r>
      <w:bookmarkStart w:id="70423" w:name="_ETM_Q123_521079"/>
      <w:bookmarkEnd w:id="70423"/>
      <w:r>
        <w:rPr>
          <w:rFonts w:hint="cs"/>
          <w:rtl/>
        </w:rPr>
        <w:t xml:space="preserve">בתפילה </w:t>
      </w:r>
      <w:bookmarkStart w:id="70424" w:name="_ETM_Q123_522609"/>
      <w:bookmarkEnd w:id="70424"/>
      <w:r>
        <w:rPr>
          <w:rFonts w:hint="cs"/>
          <w:rtl/>
        </w:rPr>
        <w:t xml:space="preserve">ואני </w:t>
      </w:r>
      <w:bookmarkStart w:id="70425" w:name="_ETM_Q123_523029"/>
      <w:bookmarkEnd w:id="70425"/>
      <w:r>
        <w:rPr>
          <w:rFonts w:hint="cs"/>
          <w:rtl/>
        </w:rPr>
        <w:t xml:space="preserve">אפתח </w:t>
      </w:r>
      <w:bookmarkStart w:id="70426" w:name="_ETM_Q123_523479"/>
      <w:bookmarkEnd w:id="70426"/>
      <w:r>
        <w:rPr>
          <w:rFonts w:hint="cs"/>
          <w:rtl/>
        </w:rPr>
        <w:t xml:space="preserve">בתפילה: </w:t>
      </w:r>
      <w:bookmarkStart w:id="70427" w:name="_ETM_Q123_526670"/>
      <w:bookmarkEnd w:id="70427"/>
      <w:r>
        <w:rPr>
          <w:rFonts w:hint="cs"/>
          <w:rtl/>
        </w:rPr>
        <w:t xml:space="preserve">"מזמור </w:t>
      </w:r>
      <w:bookmarkStart w:id="70428" w:name="_ETM_Q123_527540"/>
      <w:bookmarkEnd w:id="70428"/>
      <w:r>
        <w:rPr>
          <w:rFonts w:hint="cs"/>
          <w:rtl/>
        </w:rPr>
        <w:t xml:space="preserve">שיר </w:t>
      </w:r>
      <w:bookmarkStart w:id="70429" w:name="_ETM_Q123_527839"/>
      <w:bookmarkEnd w:id="70429"/>
      <w:r>
        <w:rPr>
          <w:rFonts w:hint="cs"/>
          <w:rtl/>
        </w:rPr>
        <w:t xml:space="preserve">חנכת </w:t>
      </w:r>
      <w:bookmarkStart w:id="70430" w:name="_ETM_Q123_528470"/>
      <w:bookmarkEnd w:id="70430"/>
      <w:r>
        <w:rPr>
          <w:rFonts w:hint="cs"/>
          <w:rtl/>
        </w:rPr>
        <w:t xml:space="preserve">הבית </w:t>
      </w:r>
      <w:bookmarkStart w:id="70431" w:name="_ETM_Q123_528890"/>
      <w:bookmarkEnd w:id="70431"/>
      <w:r>
        <w:rPr>
          <w:rFonts w:hint="cs"/>
          <w:rtl/>
        </w:rPr>
        <w:t>לדוד</w:t>
      </w:r>
      <w:r w:rsidR="00091D8C">
        <w:rPr>
          <w:rFonts w:hint="cs"/>
          <w:rtl/>
        </w:rPr>
        <w:t>.</w:t>
      </w:r>
      <w:r>
        <w:rPr>
          <w:rFonts w:hint="cs"/>
          <w:rtl/>
        </w:rPr>
        <w:t xml:space="preserve"> </w:t>
      </w:r>
      <w:bookmarkStart w:id="70432" w:name="_ETM_Q123_530739"/>
      <w:bookmarkEnd w:id="70432"/>
      <w:r>
        <w:rPr>
          <w:rFonts w:hint="cs"/>
          <w:rtl/>
        </w:rPr>
        <w:t>ארוממך ה' כי דליתני ולא שמחת אויב</w:t>
      </w:r>
      <w:r w:rsidR="00091D8C">
        <w:rPr>
          <w:rFonts w:hint="cs"/>
          <w:rtl/>
        </w:rPr>
        <w:t>י</w:t>
      </w:r>
      <w:r>
        <w:rPr>
          <w:rFonts w:hint="cs"/>
          <w:rtl/>
        </w:rPr>
        <w:t xml:space="preserve"> לי. ה' אלהי, שועתי אליך ותרפאני. ה', העלית מן שאול נפשי, חייתני מירדי בור. </w:t>
      </w:r>
      <w:bookmarkStart w:id="70433" w:name="_ETM_Q123_545920"/>
      <w:bookmarkEnd w:id="70433"/>
      <w:r>
        <w:rPr>
          <w:rFonts w:hint="cs"/>
          <w:rtl/>
        </w:rPr>
        <w:t>זמרו לה</w:t>
      </w:r>
      <w:r w:rsidR="00091D8C">
        <w:rPr>
          <w:rFonts w:hint="cs"/>
          <w:rtl/>
        </w:rPr>
        <w:t>'</w:t>
      </w:r>
      <w:r>
        <w:rPr>
          <w:rFonts w:hint="cs"/>
          <w:rtl/>
        </w:rPr>
        <w:t xml:space="preserve"> חסידיו והודו לזכר קדשו, כי רגע באפו חיים ברצונו, לערב ילין בכי ולבקר </w:t>
      </w:r>
      <w:bookmarkStart w:id="70434" w:name="_ETM_Q123_557011"/>
      <w:bookmarkEnd w:id="70434"/>
      <w:r>
        <w:rPr>
          <w:rFonts w:hint="cs"/>
          <w:rtl/>
        </w:rPr>
        <w:t>רנה. ואני אמרתי בשלוי בל אמוט לעולם. ה' ברצונך העמדת</w:t>
      </w:r>
      <w:r w:rsidR="00091D8C">
        <w:rPr>
          <w:rFonts w:hint="cs"/>
          <w:rtl/>
        </w:rPr>
        <w:t>ה</w:t>
      </w:r>
      <w:r>
        <w:rPr>
          <w:rFonts w:hint="cs"/>
          <w:rtl/>
        </w:rPr>
        <w:t xml:space="preserve"> להררי עוז, הסתרת פניך הייתי נבהל. אליך ה' אקרא </w:t>
      </w:r>
      <w:bookmarkStart w:id="70435" w:name="_ETM_Q123_568876"/>
      <w:bookmarkEnd w:id="70435"/>
      <w:r>
        <w:rPr>
          <w:rFonts w:hint="cs"/>
          <w:rtl/>
        </w:rPr>
        <w:t>ואל ה' אתחנן. מה בצע בדמי ברדתי אל שחת</w:t>
      </w:r>
      <w:bookmarkStart w:id="70436" w:name="_ETM_Q123_578158"/>
      <w:bookmarkEnd w:id="70436"/>
      <w:r>
        <w:rPr>
          <w:rFonts w:hint="cs"/>
          <w:rtl/>
        </w:rPr>
        <w:t>, היודך עפר היגיד אמתך. שמע ה' וחנני ה'</w:t>
      </w:r>
      <w:r w:rsidR="00091D8C">
        <w:rPr>
          <w:rFonts w:hint="cs"/>
          <w:rtl/>
        </w:rPr>
        <w:t>,</w:t>
      </w:r>
      <w:r>
        <w:rPr>
          <w:rFonts w:hint="cs"/>
          <w:rtl/>
        </w:rPr>
        <w:t xml:space="preserve"> </w:t>
      </w:r>
      <w:bookmarkStart w:id="70437" w:name="_ETM_Q123_589660"/>
      <w:bookmarkEnd w:id="70437"/>
      <w:r w:rsidR="00091D8C">
        <w:rPr>
          <w:rFonts w:hint="cs"/>
          <w:rtl/>
        </w:rPr>
        <w:t>היה ע</w:t>
      </w:r>
      <w:r>
        <w:rPr>
          <w:rFonts w:hint="cs"/>
          <w:rtl/>
        </w:rPr>
        <w:t>זר לי. הפכת מספדי למחול לי, פיתחת שקי ותאזרני שמחה. למען יזמרך כבוד ולא ידם, ה' אלהי</w:t>
      </w:r>
      <w:bookmarkStart w:id="70438" w:name="_ETM_Q123_597963"/>
      <w:bookmarkEnd w:id="70438"/>
      <w:r>
        <w:rPr>
          <w:rFonts w:hint="cs"/>
          <w:rtl/>
        </w:rPr>
        <w:t xml:space="preserve"> לעולם אודך". </w:t>
      </w:r>
    </w:p>
    <w:p w:rsidR="00BB59CD" w:rsidRDefault="00BB59CD" w:rsidP="00BB59CD">
      <w:pPr>
        <w:rPr>
          <w:rtl/>
        </w:rPr>
      </w:pPr>
      <w:bookmarkStart w:id="70439" w:name="_ETM_Q123_607058"/>
      <w:bookmarkStart w:id="70440" w:name="_ETM_Q123_607134"/>
      <w:bookmarkStart w:id="70441" w:name="_ETM_Q123_607243"/>
      <w:bookmarkEnd w:id="70439"/>
      <w:bookmarkEnd w:id="70440"/>
      <w:bookmarkEnd w:id="70441"/>
    </w:p>
    <w:p w:rsidR="00BB59CD" w:rsidRDefault="00BB59CD" w:rsidP="00BB59CD">
      <w:pPr>
        <w:rPr>
          <w:rtl/>
        </w:rPr>
      </w:pPr>
      <w:bookmarkStart w:id="70442" w:name="_ETM_Q123_607309"/>
      <w:bookmarkEnd w:id="70442"/>
      <w:r>
        <w:rPr>
          <w:rFonts w:hint="cs"/>
          <w:rtl/>
        </w:rPr>
        <w:t xml:space="preserve">כבוד היושב-ראש, פרק תהילים הוא משהו מתבקש </w:t>
      </w:r>
      <w:bookmarkStart w:id="70443" w:name="_ETM_Q123_615220"/>
      <w:bookmarkEnd w:id="70443"/>
      <w:r>
        <w:rPr>
          <w:rFonts w:hint="cs"/>
          <w:rtl/>
        </w:rPr>
        <w:t xml:space="preserve">בכל בוקר. הבוקר הזה הוא בוקר קשה. לא בכדי אני פונה, ופונה בקול רם. פונה לאלוהים, כי התחושה שלי היא </w:t>
      </w:r>
      <w:bookmarkStart w:id="70444" w:name="_ETM_Q123_626686"/>
      <w:bookmarkEnd w:id="70444"/>
      <w:r>
        <w:rPr>
          <w:rFonts w:hint="cs"/>
          <w:rtl/>
        </w:rPr>
        <w:t xml:space="preserve">בעצם שהוא היחיד ככל הנראה שיכול לסייע במה שקורה כאן. </w:t>
      </w:r>
      <w:bookmarkStart w:id="70445" w:name="_ETM_Q123_632543"/>
      <w:bookmarkEnd w:id="70445"/>
    </w:p>
    <w:p w:rsidR="00BB59CD" w:rsidRDefault="00BB59CD" w:rsidP="00BB59CD">
      <w:pPr>
        <w:rPr>
          <w:rtl/>
        </w:rPr>
      </w:pPr>
      <w:bookmarkStart w:id="70446" w:name="_ETM_Q123_636205"/>
      <w:bookmarkStart w:id="70447" w:name="_ETM_Q123_636253"/>
      <w:bookmarkEnd w:id="70446"/>
      <w:bookmarkEnd w:id="70447"/>
    </w:p>
    <w:p w:rsidR="00BB59CD" w:rsidRDefault="00BB59CD" w:rsidP="00091D8C">
      <w:pPr>
        <w:rPr>
          <w:rtl/>
        </w:rPr>
      </w:pPr>
      <w:bookmarkStart w:id="70448" w:name="_ETM_Q123_636332"/>
      <w:bookmarkStart w:id="70449" w:name="_ETM_Q123_636390"/>
      <w:bookmarkEnd w:id="70448"/>
      <w:bookmarkEnd w:id="70449"/>
      <w:r>
        <w:rPr>
          <w:rFonts w:hint="cs"/>
          <w:rtl/>
        </w:rPr>
        <w:t xml:space="preserve">אתחיל בנאומי ושוב אשא תפילה לחיי העם הזה. מי ייתן ואחדותנו תשוב, תהא דעתנו אשר תהא. אין מנוס, בטרם </w:t>
      </w:r>
      <w:bookmarkStart w:id="70450" w:name="_ETM_Q123_654058"/>
      <w:bookmarkEnd w:id="70450"/>
      <w:r>
        <w:rPr>
          <w:rFonts w:hint="cs"/>
          <w:rtl/>
        </w:rPr>
        <w:t>תתקבל ההכרעה הגורלית, שמביאה איתה את ההפיכה המשפטית</w:t>
      </w:r>
      <w:r w:rsidR="00091D8C">
        <w:rPr>
          <w:rFonts w:hint="cs"/>
          <w:rtl/>
        </w:rPr>
        <w:t>,</w:t>
      </w:r>
      <w:r>
        <w:rPr>
          <w:rFonts w:hint="cs"/>
          <w:rtl/>
        </w:rPr>
        <w:t xml:space="preserve"> אעשה</w:t>
      </w:r>
      <w:bookmarkStart w:id="70451" w:name="_ETM_Q123_662115"/>
      <w:bookmarkEnd w:id="70451"/>
      <w:r>
        <w:rPr>
          <w:rFonts w:hint="cs"/>
          <w:rtl/>
        </w:rPr>
        <w:t xml:space="preserve"> ניסיון אחרון ולא נואש, כי אם מלא תקווה, שההפיכה המשפטית </w:t>
      </w:r>
      <w:bookmarkStart w:id="70452" w:name="_ETM_Q123_664786"/>
      <w:bookmarkEnd w:id="70452"/>
      <w:r>
        <w:rPr>
          <w:rFonts w:hint="cs"/>
          <w:rtl/>
        </w:rPr>
        <w:t xml:space="preserve">וביטול עילת הסבירות </w:t>
      </w:r>
      <w:r w:rsidR="00091D8C">
        <w:rPr>
          <w:rFonts w:hint="cs"/>
          <w:rtl/>
        </w:rPr>
        <w:t>ייעצרו</w:t>
      </w:r>
      <w:r>
        <w:rPr>
          <w:rFonts w:hint="cs"/>
          <w:rtl/>
        </w:rPr>
        <w:t xml:space="preserve">. </w:t>
      </w:r>
    </w:p>
    <w:p w:rsidR="00BB59CD" w:rsidRDefault="00BB59CD" w:rsidP="00BB59CD">
      <w:pPr>
        <w:rPr>
          <w:rtl/>
        </w:rPr>
      </w:pPr>
      <w:bookmarkStart w:id="70453" w:name="_ETM_Q123_671525"/>
      <w:bookmarkStart w:id="70454" w:name="_ETM_Q123_671601"/>
      <w:bookmarkEnd w:id="70453"/>
      <w:bookmarkEnd w:id="70454"/>
    </w:p>
    <w:p w:rsidR="00BB59CD" w:rsidRDefault="00BB59CD" w:rsidP="00EA25B7">
      <w:pPr>
        <w:rPr>
          <w:rtl/>
        </w:rPr>
      </w:pPr>
      <w:bookmarkStart w:id="70455" w:name="_ETM_Q123_671778"/>
      <w:bookmarkStart w:id="70456" w:name="_ETM_Q123_671841"/>
      <w:bookmarkStart w:id="70457" w:name="_ETM_Q123_671866"/>
      <w:bookmarkStart w:id="70458" w:name="_ETM_Q123_671915"/>
      <w:bookmarkEnd w:id="70455"/>
      <w:bookmarkEnd w:id="70456"/>
      <w:bookmarkEnd w:id="70457"/>
      <w:bookmarkEnd w:id="70458"/>
      <w:r>
        <w:rPr>
          <w:rFonts w:hint="cs"/>
          <w:rtl/>
        </w:rPr>
        <w:t>אני בוחרת לפתוח את נאומי בדבריו של איש החינוך, סופר ומרצה, מר אברהם</w:t>
      </w:r>
      <w:bookmarkStart w:id="70459" w:name="_ETM_Q123_678508"/>
      <w:bookmarkEnd w:id="70459"/>
      <w:r>
        <w:rPr>
          <w:rFonts w:hint="cs"/>
          <w:rtl/>
        </w:rPr>
        <w:t xml:space="preserve"> פרנק, שלהערכתי סיכם פחות או יותר את מה שקורה: </w:t>
      </w:r>
      <w:bookmarkStart w:id="70460" w:name="_ETM_Q123_684376"/>
      <w:bookmarkStart w:id="70461" w:name="_ETM_Q123_684437"/>
      <w:bookmarkStart w:id="70462" w:name="_ETM_Q123_684521"/>
      <w:bookmarkStart w:id="70463" w:name="_ETM_Q123_684579"/>
      <w:bookmarkEnd w:id="70460"/>
      <w:bookmarkEnd w:id="70461"/>
      <w:bookmarkEnd w:id="70462"/>
      <w:bookmarkEnd w:id="70463"/>
      <w:r>
        <w:rPr>
          <w:rFonts w:hint="cs"/>
          <w:rtl/>
        </w:rPr>
        <w:t>"לפני חצי שנה הופיעה בשמינו ממשלה מוזרה, משהו שלא הכ</w:t>
      </w:r>
      <w:r w:rsidR="00EA25B7">
        <w:rPr>
          <w:rFonts w:hint="cs"/>
          <w:rtl/>
        </w:rPr>
        <w:t xml:space="preserve">רנו במהלך 75 </w:t>
      </w:r>
      <w:r>
        <w:rPr>
          <w:rFonts w:hint="cs"/>
          <w:rtl/>
        </w:rPr>
        <w:t>השנים האחרונות: ממשלה שמרבית השרים בה אינם מתאימים לתפקידם, והם גורמים נזקים גדולים</w:t>
      </w:r>
      <w:r w:rsidR="00EA25B7">
        <w:rPr>
          <w:rFonts w:hint="cs"/>
          <w:rtl/>
        </w:rPr>
        <w:t>,</w:t>
      </w:r>
      <w:r>
        <w:rPr>
          <w:rFonts w:hint="cs"/>
          <w:rtl/>
        </w:rPr>
        <w:t xml:space="preserve"> כל אחד בתחומו – ובכל זאת לא לכך הדברים מכוונים. בממשלה הזאת ישנם שלושה אנשים שהמוזרות שלהם עולה על כל השאר. </w:t>
      </w:r>
      <w:bookmarkStart w:id="70464" w:name="_ETM_Q123_825527"/>
      <w:bookmarkEnd w:id="70464"/>
      <w:r>
        <w:rPr>
          <w:rFonts w:hint="cs"/>
          <w:rtl/>
        </w:rPr>
        <w:t xml:space="preserve">מדובר בראש הממשלה בנימין נתניהו" – שבמעמד זה אאחל לו בריאות, ואני מקווה שעכשיו </w:t>
      </w:r>
      <w:bookmarkStart w:id="70465" w:name="_ETM_Q123_731975"/>
      <w:bookmarkEnd w:id="70465"/>
      <w:r>
        <w:rPr>
          <w:rFonts w:hint="cs"/>
          <w:rtl/>
        </w:rPr>
        <w:t>הוא יחוש יותר טוב ודעתו תהיה יותר נוחה לקבל החלטות הגיוניות – "שר המשפטים יריב לוין וראש ועדת חוקה חוק ומשפט שמחה רוטמן. האנשים הללו הצליחו להביא את המדינה - - - לאי-סדר, שמביאים את ראשי המדינות להתבונן בנו בהשתאות</w:t>
      </w:r>
      <w:r w:rsidR="00EA25B7">
        <w:rPr>
          <w:rFonts w:hint="cs"/>
          <w:rtl/>
        </w:rPr>
        <w:t>"</w:t>
      </w:r>
      <w:r>
        <w:rPr>
          <w:rFonts w:hint="cs"/>
          <w:rtl/>
        </w:rPr>
        <w:t xml:space="preserve">. החלוקה בין מדינות רודניות לחופשיות היא בוטה לאחרונה - - </w:t>
      </w:r>
      <w:r w:rsidR="00091D8C">
        <w:rPr>
          <w:rFonts w:hint="cs"/>
          <w:rtl/>
        </w:rPr>
        <w:t xml:space="preserve">- </w:t>
      </w:r>
      <w:r>
        <w:rPr>
          <w:rFonts w:hint="cs"/>
          <w:rtl/>
        </w:rPr>
        <w:t>באה לענות על רצונם של אישים ספציפיים לשלוט ללא מצרים. כל אלה אינם רוצים בטובת המדינות ואזרחיהן. האם זו גם כוונתה של השלישי</w:t>
      </w:r>
      <w:r w:rsidR="00091D8C">
        <w:rPr>
          <w:rFonts w:hint="cs"/>
          <w:rtl/>
        </w:rPr>
        <w:t>י</w:t>
      </w:r>
      <w:r>
        <w:rPr>
          <w:rFonts w:hint="cs"/>
          <w:rtl/>
        </w:rPr>
        <w:t xml:space="preserve">ה? </w:t>
      </w:r>
    </w:p>
    <w:p w:rsidR="00BB59CD" w:rsidRDefault="00BB59CD" w:rsidP="00BB59CD">
      <w:pPr>
        <w:rPr>
          <w:rtl/>
        </w:rPr>
      </w:pPr>
    </w:p>
    <w:p w:rsidR="00BB59CD" w:rsidRDefault="00EA25B7" w:rsidP="00EA25B7">
      <w:pPr>
        <w:rPr>
          <w:rFonts w:ascii="Segoe UI Historic" w:hAnsi="Segoe UI Historic" w:cs="Segoe UI Historic"/>
          <w:rtl/>
        </w:rPr>
      </w:pPr>
      <w:bookmarkStart w:id="70466" w:name="TOR_Q124"/>
      <w:bookmarkStart w:id="70467" w:name="_ETM_Q124_140420"/>
      <w:bookmarkStart w:id="70468" w:name="_ETM_Q124_140496"/>
      <w:bookmarkEnd w:id="70466"/>
      <w:bookmarkEnd w:id="70467"/>
      <w:bookmarkEnd w:id="70468"/>
      <w:r>
        <w:rPr>
          <w:rFonts w:hint="cs"/>
          <w:rtl/>
        </w:rPr>
        <w:t>"</w:t>
      </w:r>
      <w:r w:rsidR="00BB59CD">
        <w:rPr>
          <w:rFonts w:hint="cs"/>
          <w:rtl/>
        </w:rPr>
        <w:t>המוזר מבין שלושת האישים בממשלת ישראל הוא כצפוי ראש הממשלה</w:t>
      </w:r>
      <w:r>
        <w:rPr>
          <w:rFonts w:hint="cs"/>
          <w:rtl/>
        </w:rPr>
        <w:t>"</w:t>
      </w:r>
      <w:r w:rsidR="00BB59CD">
        <w:rPr>
          <w:rFonts w:hint="cs"/>
          <w:rtl/>
        </w:rPr>
        <w:t xml:space="preserve">. במשך חצי שנה עוברים עליו </w:t>
      </w:r>
      <w:r>
        <w:t>D9</w:t>
      </w:r>
      <w:r w:rsidR="00BB59CD">
        <w:rPr>
          <w:rFonts w:hint="cs"/>
          <w:rtl/>
        </w:rPr>
        <w:t xml:space="preserve"> הלוך וחזור, אבל את הקלפים – אם יש קלפים – </w:t>
      </w:r>
      <w:r>
        <w:rPr>
          <w:rFonts w:hint="cs"/>
          <w:rtl/>
        </w:rPr>
        <w:t>"</w:t>
      </w:r>
      <w:r w:rsidR="00BB59CD">
        <w:rPr>
          <w:rFonts w:hint="cs"/>
          <w:rtl/>
        </w:rPr>
        <w:t>הוא מצליח לשמור קרוב לחזה; לא ניתן לדעת מה הם מחביאים</w:t>
      </w:r>
      <w:r w:rsidR="00BB59CD">
        <w:rPr>
          <w:rFonts w:cs="Times New Roman"/>
          <w:rtl/>
        </w:rPr>
        <w:t xml:space="preserve">. </w:t>
      </w:r>
      <w:r w:rsidR="00BB59CD">
        <w:rPr>
          <w:rFonts w:hint="cs"/>
          <w:rtl/>
        </w:rPr>
        <w:t>הוא משאיר את רוב העשייה לשני שותפיו לחקיקה</w:t>
      </w:r>
      <w:r w:rsidR="00BB59CD">
        <w:rPr>
          <w:rFonts w:cs="Times New Roman"/>
          <w:rtl/>
        </w:rPr>
        <w:t xml:space="preserve">, </w:t>
      </w:r>
      <w:r w:rsidR="00BB59CD">
        <w:rPr>
          <w:rFonts w:hint="cs"/>
          <w:rtl/>
        </w:rPr>
        <w:t>שדרכם לכאורה נהירה להם</w:t>
      </w:r>
      <w:r w:rsidR="00BB59CD">
        <w:rPr>
          <w:rFonts w:cs="Segoe UI Historic"/>
        </w:rPr>
        <w:t>.</w:t>
      </w:r>
      <w:r>
        <w:rPr>
          <w:rFonts w:cs="Segoe UI Historic" w:hint="cs"/>
          <w:rtl/>
        </w:rPr>
        <w:t xml:space="preserve"> </w:t>
      </w:r>
      <w:r w:rsidR="00BB59CD">
        <w:rPr>
          <w:rFonts w:hint="cs"/>
          <w:rtl/>
        </w:rPr>
        <w:t xml:space="preserve">נתניהו התחיל את כהונתו השנייה כראש ממשלה ב-2009, ולמעט פסק זמן קצר הוא מכהן בתפקיד ברצף. חלק מן התכונות המאפיינות אותו, הן קבועות: במיוחד יכולתו לומר את 'מה שצריך' ולא את </w:t>
      </w:r>
      <w:r>
        <w:rPr>
          <w:rFonts w:hint="cs"/>
          <w:rtl/>
        </w:rPr>
        <w:t>ה</w:t>
      </w:r>
      <w:r w:rsidR="00BB59CD">
        <w:rPr>
          <w:rFonts w:hint="cs"/>
          <w:rtl/>
        </w:rPr>
        <w:t>עובדות</w:t>
      </w:r>
      <w:r w:rsidR="00BB59CD">
        <w:rPr>
          <w:rFonts w:cs="Times New Roman"/>
          <w:rtl/>
        </w:rPr>
        <w:t xml:space="preserve">. </w:t>
      </w:r>
      <w:r w:rsidR="00BB59CD">
        <w:rPr>
          <w:rFonts w:hint="cs"/>
          <w:rtl/>
        </w:rPr>
        <w:t>אבל לכך הוא הוסיף במחצית השנה האחרונה תכונות חדשות</w:t>
      </w:r>
      <w:r>
        <w:rPr>
          <w:rFonts w:hint="cs"/>
          <w:rtl/>
        </w:rPr>
        <w:t>,</w:t>
      </w:r>
      <w:r w:rsidR="00BB59CD">
        <w:rPr>
          <w:rFonts w:hint="cs"/>
          <w:rtl/>
        </w:rPr>
        <w:t xml:space="preserve"> ובהן בעיקר נכונותו להחריב את המדינה, מה שלא היה מוכן לעשות בעבר</w:t>
      </w:r>
      <w:r w:rsidR="00BB59CD">
        <w:rPr>
          <w:rFonts w:cs="Times New Roman"/>
          <w:rtl/>
        </w:rPr>
        <w:t xml:space="preserve"> - - - </w:t>
      </w:r>
      <w:r w:rsidR="00BB59CD">
        <w:rPr>
          <w:rFonts w:hint="cs"/>
          <w:rtl/>
        </w:rPr>
        <w:t>הציבור, גם מימין וגם משמאל, משער שהוא מוביל את ממשלתו לכך, שתשחרר אותו מאישומים פליליים, מה שהיה נכון בעבר. החקיקה שהתאימה לכך אז, פסקת ההתגברות, נזנחה בינתיים לטובת כיוון אחר – עילת הסבירות. בַקרב על עילת הסבירות נחרבת עכשיו המדינה</w:t>
      </w:r>
      <w:r w:rsidR="00BB59CD">
        <w:rPr>
          <w:rFonts w:cs="Segoe UI Historic"/>
        </w:rPr>
        <w:t>.</w:t>
      </w:r>
    </w:p>
    <w:p w:rsidR="00BB59CD" w:rsidRDefault="00BB59CD" w:rsidP="00BB59CD">
      <w:pPr>
        <w:rPr>
          <w:rFonts w:ascii="Segoe UI Historic" w:hAnsi="Segoe UI Historic" w:cs="Segoe UI Historic"/>
          <w:rtl/>
        </w:rPr>
      </w:pPr>
      <w:bookmarkStart w:id="70469" w:name="_ETM_Q124_279026"/>
      <w:bookmarkStart w:id="70470" w:name="_ETM_Q124_279114"/>
      <w:bookmarkEnd w:id="70469"/>
      <w:bookmarkEnd w:id="70470"/>
    </w:p>
    <w:p w:rsidR="00BB59CD" w:rsidRDefault="00EA25B7" w:rsidP="00EA25B7">
      <w:pPr>
        <w:rPr>
          <w:rtl/>
        </w:rPr>
      </w:pPr>
      <w:r>
        <w:rPr>
          <w:rFonts w:hint="cs"/>
          <w:rtl/>
        </w:rPr>
        <w:t>"</w:t>
      </w:r>
      <w:r w:rsidR="00BB59CD">
        <w:rPr>
          <w:rFonts w:hint="cs"/>
          <w:rtl/>
        </w:rPr>
        <w:t>השניים שיודעים פחות או יותר מה רצונם הם לוין ורוטמן</w:t>
      </w:r>
      <w:r w:rsidR="00BB59CD">
        <w:rPr>
          <w:rFonts w:cs="Times New Roman"/>
          <w:rtl/>
        </w:rPr>
        <w:t xml:space="preserve">. </w:t>
      </w:r>
      <w:r w:rsidR="00BB59CD">
        <w:rPr>
          <w:rFonts w:hint="cs"/>
          <w:rtl/>
        </w:rPr>
        <w:t xml:space="preserve">שניהם מלאי משטמה כלפי מערכת המשפט, ומלאי שמחה לנוכח ביטויי יהדות המתחזקים בחברה הישראלית. לוין היה אחד המקדמים של חוק הלאום, שהותיר אזרחים ישראלים רבים ממורמרים מאחור. שני אישים אזוטריים אלה קיבלו מידי ראש הממשלה את התפקידים המתאימים בכדי שיוכלו לקדם באופן ממשי את מה שרצו. </w:t>
      </w:r>
      <w:bookmarkStart w:id="70471" w:name="_ETM_Q124_322066"/>
      <w:bookmarkStart w:id="70472" w:name="_ETM_Q124_322121"/>
      <w:bookmarkStart w:id="70473" w:name="_ETM_Q124_322480"/>
      <w:bookmarkStart w:id="70474" w:name="_ETM_Q124_322540"/>
      <w:bookmarkEnd w:id="70471"/>
      <w:bookmarkEnd w:id="70472"/>
      <w:bookmarkEnd w:id="70473"/>
      <w:bookmarkEnd w:id="70474"/>
      <w:r w:rsidR="00BB59CD">
        <w:rPr>
          <w:rFonts w:hint="cs"/>
          <w:rtl/>
        </w:rPr>
        <w:t>סביב השלישייה הזאת נמצאים השרים</w:t>
      </w:r>
      <w:r>
        <w:rPr>
          <w:rFonts w:hint="cs"/>
          <w:rtl/>
        </w:rPr>
        <w:t>"</w:t>
      </w:r>
      <w:r w:rsidR="00BB59CD">
        <w:rPr>
          <w:rFonts w:hint="cs"/>
          <w:rtl/>
        </w:rPr>
        <w:t xml:space="preserve">, שמנצלים כל רגע מתאים לשדוד את הקופה הציבורית - - - כלהקת צבועים. את אלה מקיפים </w:t>
      </w:r>
      <w:r>
        <w:rPr>
          <w:rFonts w:hint="cs"/>
          <w:rtl/>
        </w:rPr>
        <w:t>"</w:t>
      </w:r>
      <w:r w:rsidR="00BB59CD">
        <w:rPr>
          <w:rFonts w:hint="cs"/>
          <w:rtl/>
        </w:rPr>
        <w:t>מעגלים רבים של תומכים שאינם יודעים לאשור</w:t>
      </w:r>
      <w:r>
        <w:rPr>
          <w:rFonts w:hint="cs"/>
          <w:rtl/>
        </w:rPr>
        <w:t>ם</w:t>
      </w:r>
      <w:r w:rsidR="00BB59CD">
        <w:rPr>
          <w:rFonts w:hint="cs"/>
          <w:rtl/>
        </w:rPr>
        <w:t xml:space="preserve"> במה הם תומכים: בבריחת הון מישראל? בבריחת מילואימניקים מצה"ל?</w:t>
      </w:r>
      <w:r>
        <w:rPr>
          <w:rFonts w:hint="cs"/>
          <w:rtl/>
        </w:rPr>
        <w:t>"</w:t>
      </w:r>
      <w:r w:rsidR="00BB59CD">
        <w:rPr>
          <w:rFonts w:hint="cs"/>
          <w:rtl/>
        </w:rPr>
        <w:t xml:space="preserve"> בבריחת דברי חכמים</w:t>
      </w:r>
      <w:r>
        <w:rPr>
          <w:rFonts w:hint="cs"/>
          <w:rtl/>
        </w:rPr>
        <w:t>,</w:t>
      </w:r>
      <w:r w:rsidR="00BB59CD">
        <w:rPr>
          <w:rFonts w:hint="cs"/>
          <w:rtl/>
        </w:rPr>
        <w:t xml:space="preserve"> שאין דבריהם בנחת נשמעים</w:t>
      </w:r>
      <w:r>
        <w:rPr>
          <w:rFonts w:hint="cs"/>
          <w:rtl/>
        </w:rPr>
        <w:t>,</w:t>
      </w:r>
      <w:r w:rsidR="00BB59CD">
        <w:rPr>
          <w:rFonts w:hint="cs"/>
          <w:rtl/>
        </w:rPr>
        <w:t xml:space="preserve"> אל מחוזות תרבות אחרים? </w:t>
      </w:r>
      <w:r>
        <w:rPr>
          <w:rFonts w:hint="cs"/>
          <w:rtl/>
        </w:rPr>
        <w:t>"</w:t>
      </w:r>
      <w:r w:rsidR="00BB59CD">
        <w:rPr>
          <w:rFonts w:hint="cs"/>
          <w:rtl/>
        </w:rPr>
        <w:t>כל תחום שהממשלה נוגעת בו, בהשראת המהפכה המשפטית, נפגע קשה</w:t>
      </w:r>
      <w:r w:rsidR="00BB59CD">
        <w:rPr>
          <w:rFonts w:cs="Segoe UI Historic"/>
        </w:rPr>
        <w:t>.</w:t>
      </w:r>
      <w:r>
        <w:rPr>
          <w:rFonts w:cs="Segoe UI Historic" w:hint="cs"/>
          <w:rtl/>
        </w:rPr>
        <w:t xml:space="preserve"> </w:t>
      </w:r>
      <w:r w:rsidR="00BB59CD">
        <w:rPr>
          <w:rFonts w:hint="cs"/>
          <w:rtl/>
        </w:rPr>
        <w:t>מה כולל עתה שדה הקרב</w:t>
      </w:r>
      <w:r>
        <w:rPr>
          <w:rFonts w:hint="cs"/>
          <w:rtl/>
        </w:rPr>
        <w:t>?</w:t>
      </w:r>
      <w:r w:rsidR="00BB59CD">
        <w:rPr>
          <w:rFonts w:cs="Segoe UI Historic"/>
        </w:rPr>
        <w:t> </w:t>
      </w:r>
      <w:r w:rsidR="00BB59CD">
        <w:rPr>
          <w:rFonts w:hint="cs"/>
          <w:rtl/>
        </w:rPr>
        <w:t>את השלישייה המהפכנית שבה שניים יודעים ואחד אולי</w:t>
      </w:r>
      <w:r>
        <w:rPr>
          <w:rFonts w:hint="cs"/>
          <w:rtl/>
        </w:rPr>
        <w:t>"</w:t>
      </w:r>
      <w:r w:rsidR="00BB59CD">
        <w:rPr>
          <w:rFonts w:hint="cs"/>
          <w:rtl/>
        </w:rPr>
        <w:t xml:space="preserve">; חבורה טורפת ובוזזת סביבה, שהתגלגלה להיות חברי ממשלה; </w:t>
      </w:r>
      <w:r>
        <w:rPr>
          <w:rFonts w:hint="cs"/>
          <w:rtl/>
        </w:rPr>
        <w:t>"</w:t>
      </w:r>
      <w:r w:rsidR="00BB59CD">
        <w:rPr>
          <w:rFonts w:hint="cs"/>
          <w:rtl/>
        </w:rPr>
        <w:t xml:space="preserve">ורבים שתומכים בהם בגין שתי עילות: הכינוי 'ימין' והאיש בנימין. מול אלה ממוקמת המחאה - </w:t>
      </w:r>
      <w:bookmarkStart w:id="70475" w:name="_ETM_Q124_397857"/>
      <w:bookmarkEnd w:id="70475"/>
      <w:r w:rsidR="00BB59CD">
        <w:rPr>
          <w:rFonts w:hint="cs"/>
          <w:rtl/>
        </w:rPr>
        <w:t xml:space="preserve">- - </w:t>
      </w:r>
      <w:r>
        <w:rPr>
          <w:rFonts w:hint="cs"/>
          <w:rtl/>
        </w:rPr>
        <w:t>ש</w:t>
      </w:r>
      <w:r w:rsidR="00BB59CD">
        <w:rPr>
          <w:rFonts w:hint="cs"/>
          <w:rtl/>
        </w:rPr>
        <w:t xml:space="preserve">תצטרך להמתין לבג"ץ שידחה את החקיקה החדשה. </w:t>
      </w:r>
      <w:r>
        <w:rPr>
          <w:rFonts w:hint="cs"/>
          <w:rtl/>
        </w:rPr>
        <w:t>י</w:t>
      </w:r>
      <w:r w:rsidR="00BB59CD">
        <w:rPr>
          <w:rFonts w:hint="cs"/>
          <w:rtl/>
        </w:rPr>
        <w:t>יתכן שבמקום ההוא, היכן שהבג"ץ יאמר את דברו, שם נמצא את ראשיתה של מלחמת אזרחים מטורפת וחסרת פש</w:t>
      </w:r>
      <w:r w:rsidR="00BB59CD">
        <w:rPr>
          <w:rFonts w:ascii="Segoe UI Historic" w:hAnsi="Segoe UI Historic" w:cstheme="minorBidi" w:hint="cs"/>
          <w:rtl/>
        </w:rPr>
        <w:t>ר".</w:t>
      </w:r>
      <w:r>
        <w:rPr>
          <w:rFonts w:ascii="Segoe UI Historic" w:hAnsi="Segoe UI Historic" w:cstheme="minorBidi" w:hint="cs"/>
          <w:rtl/>
        </w:rPr>
        <w:t xml:space="preserve"> </w:t>
      </w:r>
      <w:r w:rsidR="00BB59CD">
        <w:rPr>
          <w:rFonts w:hint="cs"/>
          <w:rtl/>
        </w:rPr>
        <w:t>מתוך דבריו של מר פרנק אברהם.</w:t>
      </w:r>
    </w:p>
    <w:p w:rsidR="00BB59CD" w:rsidRDefault="00BB59CD" w:rsidP="00BB59CD">
      <w:pPr>
        <w:rPr>
          <w:rtl/>
        </w:rPr>
      </w:pPr>
      <w:bookmarkStart w:id="70476" w:name="_ETM_Q124_408034"/>
      <w:bookmarkStart w:id="70477" w:name="_ETM_Q124_408103"/>
      <w:bookmarkEnd w:id="70476"/>
      <w:bookmarkEnd w:id="70477"/>
    </w:p>
    <w:p w:rsidR="00BB59CD" w:rsidRDefault="00BB59CD" w:rsidP="00EA25B7">
      <w:pPr>
        <w:rPr>
          <w:rtl/>
        </w:rPr>
      </w:pPr>
      <w:bookmarkStart w:id="70478" w:name="_ETM_Q124_408154"/>
      <w:bookmarkStart w:id="70479" w:name="_ETM_Q124_408211"/>
      <w:bookmarkEnd w:id="70478"/>
      <w:bookmarkEnd w:id="70479"/>
      <w:r>
        <w:rPr>
          <w:rFonts w:hint="cs"/>
          <w:rtl/>
        </w:rPr>
        <w:t xml:space="preserve">אדוני היושב-ראש, מדינת </w:t>
      </w:r>
      <w:bookmarkStart w:id="70480" w:name="_ETM_Q124_414474"/>
      <w:bookmarkEnd w:id="70480"/>
      <w:r>
        <w:rPr>
          <w:rFonts w:hint="cs"/>
          <w:rtl/>
        </w:rPr>
        <w:t>ישראל יהודית, דמוקרטית וליברלית ולא ניתנה לנו על מגש של</w:t>
      </w:r>
      <w:bookmarkStart w:id="70481" w:name="_ETM_Q124_417888"/>
      <w:bookmarkEnd w:id="70481"/>
      <w:r>
        <w:rPr>
          <w:rFonts w:hint="cs"/>
          <w:rtl/>
        </w:rPr>
        <w:t xml:space="preserve"> כסף. את דבריו של שר המשפטים יריב </w:t>
      </w:r>
      <w:bookmarkStart w:id="70482" w:name="_ETM_Q124_425533"/>
      <w:bookmarkEnd w:id="70482"/>
      <w:r>
        <w:rPr>
          <w:rFonts w:hint="cs"/>
          <w:rtl/>
        </w:rPr>
        <w:t>לוין מיוני 2021 – אני רוצה</w:t>
      </w:r>
      <w:r w:rsidR="00EA25B7">
        <w:rPr>
          <w:rFonts w:hint="cs"/>
          <w:rtl/>
        </w:rPr>
        <w:t>,</w:t>
      </w:r>
      <w:r>
        <w:rPr>
          <w:rFonts w:hint="cs"/>
          <w:rtl/>
        </w:rPr>
        <w:t xml:space="preserve"> אדוני, כנסת נכבדה, </w:t>
      </w:r>
      <w:r w:rsidR="00EA25B7">
        <w:rPr>
          <w:rFonts w:hint="cs"/>
          <w:rtl/>
        </w:rPr>
        <w:t>ש</w:t>
      </w:r>
      <w:r>
        <w:rPr>
          <w:rFonts w:hint="cs"/>
          <w:rtl/>
        </w:rPr>
        <w:t>תקשיבו. השאלה היא מה השתנה. כך הוא אמר: "יש מינימום" – הוא אמר, הוא כעס, הוא דיבר</w:t>
      </w:r>
      <w:r w:rsidR="00EA25B7">
        <w:rPr>
          <w:rFonts w:hint="cs"/>
          <w:rtl/>
        </w:rPr>
        <w:t>;</w:t>
      </w:r>
      <w:r>
        <w:rPr>
          <w:rFonts w:hint="cs"/>
          <w:rtl/>
        </w:rPr>
        <w:t xml:space="preserve"> מי שרואה את הסרטון</w:t>
      </w:r>
      <w:bookmarkStart w:id="70483" w:name="_ETM_Q124_444422"/>
      <w:bookmarkEnd w:id="70483"/>
      <w:r>
        <w:rPr>
          <w:rFonts w:hint="cs"/>
          <w:rtl/>
        </w:rPr>
        <w:t xml:space="preserve"> יכול להבין שבאמת הוא התכוון, לשם שינוי –</w:t>
      </w:r>
      <w:r>
        <w:rPr>
          <w:rFonts w:hint="cs"/>
          <w:rtl/>
          <w:lang w:eastAsia="he-IL"/>
        </w:rPr>
        <w:t xml:space="preserve"> "יש מינימום של </w:t>
      </w:r>
      <w:bookmarkStart w:id="70484" w:name="_ETM_Q1_4554660"/>
      <w:bookmarkEnd w:id="70484"/>
      <w:r>
        <w:rPr>
          <w:rFonts w:hint="cs"/>
          <w:rtl/>
          <w:lang w:eastAsia="he-IL"/>
        </w:rPr>
        <w:t>מידה של סבירות. לא לכל דבר צריך להגיד אמן, כי איזושהי סיעה בקואליציה מכל מיני" סיבות אישיות</w:t>
      </w:r>
      <w:r>
        <w:rPr>
          <w:rFonts w:hint="cs"/>
          <w:rtl/>
        </w:rPr>
        <w:t xml:space="preserve"> – מוכר לכם? </w:t>
      </w:r>
      <w:r>
        <w:rPr>
          <w:rFonts w:hint="cs"/>
          <w:rtl/>
          <w:lang w:eastAsia="he-IL"/>
        </w:rPr>
        <w:t xml:space="preserve"> "החליטה שהיא </w:t>
      </w:r>
      <w:bookmarkStart w:id="70485" w:name="_ETM_Q1_4562784"/>
      <w:bookmarkEnd w:id="70485"/>
      <w:r>
        <w:rPr>
          <w:rFonts w:hint="cs"/>
          <w:rtl/>
          <w:lang w:eastAsia="he-IL"/>
        </w:rPr>
        <w:t xml:space="preserve">תסדר את החוק לפי בן אדם או לפי איזה אינטרס מסוים שלו - - - לפעמים צריך להגיד </w:t>
      </w:r>
      <w:bookmarkStart w:id="70486" w:name="_ETM_Q1_4578079"/>
      <w:bookmarkEnd w:id="70486"/>
      <w:r>
        <w:rPr>
          <w:rFonts w:hint="cs"/>
          <w:rtl/>
          <w:lang w:eastAsia="he-IL"/>
        </w:rPr>
        <w:t>לאנשים: עד כאן".</w:t>
      </w:r>
    </w:p>
    <w:p w:rsidR="00BB59CD" w:rsidRDefault="00BB59CD" w:rsidP="00BB59CD">
      <w:pPr>
        <w:rPr>
          <w:rtl/>
        </w:rPr>
      </w:pPr>
    </w:p>
    <w:p w:rsidR="00BB59CD" w:rsidRDefault="00BB59CD" w:rsidP="006F4935">
      <w:pPr>
        <w:rPr>
          <w:rtl/>
        </w:rPr>
      </w:pPr>
      <w:r>
        <w:rPr>
          <w:rFonts w:hint="cs"/>
          <w:rtl/>
        </w:rPr>
        <w:t>השר לוין, עד כאן, אתה אמרת</w:t>
      </w:r>
      <w:bookmarkStart w:id="70487" w:name="_ETM_Q124_483184"/>
      <w:bookmarkEnd w:id="70487"/>
      <w:r w:rsidR="006F4935">
        <w:rPr>
          <w:rFonts w:hint="cs"/>
          <w:rtl/>
        </w:rPr>
        <w:t>.</w:t>
      </w:r>
      <w:r>
        <w:rPr>
          <w:rFonts w:hint="cs"/>
          <w:rtl/>
        </w:rPr>
        <w:t xml:space="preserve"> "עכשיו אגיד לכם" – הוא ממשיך – "יותר מזה. אם כל זה לא מספיק, מנהלים את התהליך הזה במהירות שיא" – וואו, איך זה מזכיר לי משהו – "כאילו זה הדבר הכי חשוב </w:t>
      </w:r>
      <w:bookmarkStart w:id="70488" w:name="_ETM_Q124_498411"/>
      <w:bookmarkEnd w:id="70488"/>
      <w:r>
        <w:rPr>
          <w:rFonts w:hint="cs"/>
          <w:rtl/>
        </w:rPr>
        <w:t xml:space="preserve">בעולם, כאילו אם אנחנו לא נסיים מהר מהר את </w:t>
      </w:r>
      <w:bookmarkStart w:id="70489" w:name="_ETM_Q124_501589"/>
      <w:bookmarkEnd w:id="70489"/>
      <w:r>
        <w:rPr>
          <w:rFonts w:hint="cs"/>
          <w:rtl/>
        </w:rPr>
        <w:t>הסידור הזה או את הדברים, איך אומרים? העולם ייחרב"</w:t>
      </w:r>
      <w:bookmarkStart w:id="70490" w:name="_ETM_Q124_507501"/>
      <w:bookmarkEnd w:id="70490"/>
      <w:r>
        <w:rPr>
          <w:rFonts w:hint="cs"/>
          <w:rtl/>
        </w:rPr>
        <w:t>. כן, השר לוין, רוטמן, ראש הממשלה. כן, העולם</w:t>
      </w:r>
      <w:bookmarkStart w:id="70491" w:name="_ETM_Q124_511779"/>
      <w:bookmarkEnd w:id="70491"/>
      <w:r>
        <w:rPr>
          <w:rFonts w:hint="cs"/>
          <w:rtl/>
        </w:rPr>
        <w:t xml:space="preserve"> ייחרב. השר לוין, זה מה שאתה אמרת ביוני 2021, זה </w:t>
      </w:r>
      <w:bookmarkStart w:id="70492" w:name="_ETM_Q124_519109"/>
      <w:bookmarkEnd w:id="70492"/>
      <w:r>
        <w:rPr>
          <w:rFonts w:hint="cs"/>
          <w:rtl/>
        </w:rPr>
        <w:t xml:space="preserve">לא היה מזמן. אז אתה עכשיו כן מסכים להחריב את </w:t>
      </w:r>
      <w:bookmarkStart w:id="70493" w:name="_ETM_Q124_521464"/>
      <w:bookmarkEnd w:id="70493"/>
      <w:r>
        <w:rPr>
          <w:rFonts w:hint="cs"/>
          <w:rtl/>
        </w:rPr>
        <w:t>העולם? את המדינה שלנו, יותר נכון.</w:t>
      </w:r>
    </w:p>
    <w:p w:rsidR="00BB59CD" w:rsidRDefault="00BB59CD" w:rsidP="00BB59CD">
      <w:pPr>
        <w:rPr>
          <w:rtl/>
        </w:rPr>
      </w:pPr>
    </w:p>
    <w:p w:rsidR="00BB59CD" w:rsidRDefault="00BB59CD" w:rsidP="00BB59CD">
      <w:pPr>
        <w:rPr>
          <w:rtl/>
        </w:rPr>
      </w:pPr>
      <w:r>
        <w:rPr>
          <w:rFonts w:hint="cs"/>
          <w:rtl/>
        </w:rPr>
        <w:t xml:space="preserve">ואז הקינוח: "מקיימים </w:t>
      </w:r>
      <w:bookmarkStart w:id="70494" w:name="_ETM_Q1_4597238"/>
      <w:bookmarkEnd w:id="70494"/>
      <w:r>
        <w:rPr>
          <w:rFonts w:hint="cs"/>
          <w:rtl/>
        </w:rPr>
        <w:t xml:space="preserve">הליך מהיר, בלי שיקול דעת, בלי לבחון את המשמעות של </w:t>
      </w:r>
      <w:bookmarkStart w:id="70495" w:name="_ETM_Q1_4600815"/>
      <w:bookmarkEnd w:id="70495"/>
      <w:r>
        <w:rPr>
          <w:rFonts w:hint="cs"/>
          <w:rtl/>
        </w:rPr>
        <w:t xml:space="preserve">הדבר הזה, בלי לבחון את השלכות </w:t>
      </w:r>
      <w:bookmarkStart w:id="70496" w:name="_ETM_Q1_4603467"/>
      <w:bookmarkEnd w:id="70496"/>
      <w:r>
        <w:rPr>
          <w:rFonts w:hint="cs"/>
          <w:rtl/>
        </w:rPr>
        <w:t xml:space="preserve">הרוחב של הדבר הזה" – השר לוין, אתה משפטן </w:t>
      </w:r>
      <w:bookmarkStart w:id="70497" w:name="_ETM_Q124_545501"/>
      <w:bookmarkEnd w:id="70497"/>
      <w:r>
        <w:rPr>
          <w:rFonts w:hint="cs"/>
          <w:rtl/>
        </w:rPr>
        <w:t xml:space="preserve">מקצוען, איך יכול להיות שאתה לא מבחין בהשלכות הרוחב </w:t>
      </w:r>
      <w:bookmarkStart w:id="70498" w:name="_ETM_Q124_551641"/>
      <w:bookmarkEnd w:id="70498"/>
      <w:r>
        <w:rPr>
          <w:rFonts w:hint="cs"/>
          <w:rtl/>
        </w:rPr>
        <w:t xml:space="preserve">שדיברת עליהן – "אני פונה אליכם, </w:t>
      </w:r>
      <w:bookmarkStart w:id="70499" w:name="_ETM_Q124_558663"/>
      <w:bookmarkEnd w:id="70499"/>
      <w:r>
        <w:rPr>
          <w:rFonts w:hint="cs"/>
          <w:rtl/>
        </w:rPr>
        <w:t xml:space="preserve">חבריי" – אני אומרת את מה שאמר השר לוין ב-2021 – "אני פונה אליכם ואומר לכם עוד פעם, </w:t>
      </w:r>
      <w:bookmarkStart w:id="70500" w:name="_ETM_Q124_567793"/>
      <w:bookmarkEnd w:id="70500"/>
      <w:r>
        <w:rPr>
          <w:rFonts w:hint="cs"/>
          <w:rtl/>
        </w:rPr>
        <w:t xml:space="preserve">תעשו חושבים, תעצרו את הדיון הזה, אל תעשו דברים </w:t>
      </w:r>
      <w:bookmarkStart w:id="70501" w:name="_ETM_Q124_570260"/>
      <w:bookmarkEnd w:id="70501"/>
      <w:r>
        <w:rPr>
          <w:rFonts w:hint="cs"/>
          <w:rtl/>
        </w:rPr>
        <w:t xml:space="preserve">שאסור לעשות אותם". </w:t>
      </w:r>
    </w:p>
    <w:p w:rsidR="00BB59CD" w:rsidRDefault="00BB59CD" w:rsidP="00BB59CD">
      <w:pPr>
        <w:rPr>
          <w:rtl/>
        </w:rPr>
      </w:pPr>
    </w:p>
    <w:p w:rsidR="00BB59CD" w:rsidRDefault="00BB59CD" w:rsidP="006F4935">
      <w:pPr>
        <w:rPr>
          <w:rtl/>
        </w:rPr>
      </w:pPr>
      <w:r>
        <w:rPr>
          <w:rFonts w:hint="cs"/>
          <w:rtl/>
        </w:rPr>
        <w:t xml:space="preserve">כבוד היושב-ראש, כמה זה מתאים לתקופה הזו ולמילים האלה עכשיו, ולמעמד הזה. שר המשפטים יריב לוין </w:t>
      </w:r>
      <w:bookmarkStart w:id="70502" w:name="_ETM_Q124_586331"/>
      <w:bookmarkEnd w:id="70502"/>
      <w:r>
        <w:rPr>
          <w:rFonts w:hint="cs"/>
          <w:rtl/>
        </w:rPr>
        <w:t>אמר את זה בקולו; אלו דבריו, זה מה שהוא חושב</w:t>
      </w:r>
      <w:bookmarkStart w:id="70503" w:name="_ETM_Q124_585705"/>
      <w:bookmarkEnd w:id="70503"/>
      <w:r>
        <w:rPr>
          <w:rFonts w:hint="cs"/>
          <w:rtl/>
        </w:rPr>
        <w:t xml:space="preserve"> על עילת הסבירות. לא אומרים לה אמן. תעצרו, </w:t>
      </w:r>
      <w:bookmarkStart w:id="70504" w:name="_ETM_Q124_592117"/>
      <w:bookmarkEnd w:id="70504"/>
      <w:r>
        <w:rPr>
          <w:rFonts w:hint="cs"/>
          <w:rtl/>
        </w:rPr>
        <w:t xml:space="preserve">תחשבו, יש לזה השלכות. מה פספסנו, מה פספסנו? השר לוין, איך בשנתיים הפכת את עורך וחשיבתך. מדוע היום אתה </w:t>
      </w:r>
      <w:bookmarkStart w:id="70505" w:name="_ETM_Q124_611334"/>
      <w:bookmarkEnd w:id="70505"/>
      <w:r>
        <w:rPr>
          <w:rFonts w:hint="cs"/>
          <w:rtl/>
        </w:rPr>
        <w:t>לא זועק: עצרו עכשיו</w:t>
      </w:r>
      <w:r w:rsidR="006F4935">
        <w:rPr>
          <w:rFonts w:hint="cs"/>
          <w:rtl/>
        </w:rPr>
        <w:t>?</w:t>
      </w:r>
      <w:r>
        <w:rPr>
          <w:rFonts w:hint="cs"/>
          <w:rtl/>
        </w:rPr>
        <w:t xml:space="preserve"> אה, סליחה, נזכרתי, יש כמה </w:t>
      </w:r>
      <w:bookmarkStart w:id="70506" w:name="_ETM_Q124_618051"/>
      <w:bookmarkEnd w:id="70506"/>
      <w:r>
        <w:rPr>
          <w:rFonts w:hint="cs"/>
          <w:rtl/>
        </w:rPr>
        <w:t>מינויים על הפרק שלא נמצאו סבירים לשרת אותנו האזרחים</w:t>
      </w:r>
      <w:bookmarkStart w:id="70507" w:name="_ETM_Q124_628060"/>
      <w:bookmarkEnd w:id="70507"/>
      <w:r>
        <w:rPr>
          <w:rFonts w:hint="cs"/>
          <w:rtl/>
        </w:rPr>
        <w:t>, אז למה אכפת אם מחריבים את המדינה</w:t>
      </w:r>
      <w:r w:rsidR="006F4935">
        <w:rPr>
          <w:rFonts w:hint="cs"/>
          <w:rtl/>
        </w:rPr>
        <w:t>?</w:t>
      </w:r>
      <w:r>
        <w:rPr>
          <w:rFonts w:hint="cs"/>
          <w:rtl/>
        </w:rPr>
        <w:t xml:space="preserve"> באמת, למי </w:t>
      </w:r>
      <w:bookmarkStart w:id="70508" w:name="_ETM_Q124_630925"/>
      <w:bookmarkEnd w:id="70508"/>
      <w:r>
        <w:rPr>
          <w:rFonts w:hint="cs"/>
          <w:rtl/>
        </w:rPr>
        <w:t>זה אכפת</w:t>
      </w:r>
      <w:r w:rsidR="006F4935">
        <w:rPr>
          <w:rFonts w:hint="cs"/>
          <w:rtl/>
        </w:rPr>
        <w:t>,</w:t>
      </w:r>
      <w:r>
        <w:rPr>
          <w:rFonts w:hint="cs"/>
          <w:rtl/>
        </w:rPr>
        <w:t xml:space="preserve"> העיקר שהם ישבו על הכיסאות שנוחים להם, ושעם ישראל, מדינת ישראל, אזרחי מדינת ישראל, </w:t>
      </w:r>
      <w:bookmarkStart w:id="70509" w:name="_ETM_Q124_635893"/>
      <w:bookmarkEnd w:id="70509"/>
      <w:r>
        <w:rPr>
          <w:rFonts w:hint="cs"/>
          <w:rtl/>
        </w:rPr>
        <w:t xml:space="preserve">שנתנו בכם את אמונם ונתנו לכם את קולם – תראו איך אתם גומלים להם. </w:t>
      </w:r>
    </w:p>
    <w:p w:rsidR="00BB59CD" w:rsidRDefault="00BB59CD" w:rsidP="00BB59CD">
      <w:pPr>
        <w:rPr>
          <w:rtl/>
        </w:rPr>
      </w:pPr>
      <w:bookmarkStart w:id="70510" w:name="_ETM_Q124_647686"/>
      <w:bookmarkStart w:id="70511" w:name="_ETM_Q124_647749"/>
      <w:bookmarkEnd w:id="70510"/>
      <w:bookmarkEnd w:id="70511"/>
    </w:p>
    <w:p w:rsidR="00BB59CD" w:rsidRDefault="00BB59CD" w:rsidP="006F4935">
      <w:pPr>
        <w:rPr>
          <w:rtl/>
        </w:rPr>
      </w:pPr>
      <w:bookmarkStart w:id="70512" w:name="_ETM_Q124_647814"/>
      <w:bookmarkStart w:id="70513" w:name="_ETM_Q124_647864"/>
      <w:bookmarkEnd w:id="70512"/>
      <w:bookmarkEnd w:id="70513"/>
      <w:r>
        <w:rPr>
          <w:rFonts w:hint="cs"/>
          <w:rtl/>
        </w:rPr>
        <w:t xml:space="preserve">אתם לא חושבים על הכלכלה שלהם; בתי ספר ומסגרות לילדים עם </w:t>
      </w:r>
      <w:bookmarkStart w:id="70514" w:name="_ETM_Q124_653024"/>
      <w:bookmarkEnd w:id="70514"/>
      <w:r>
        <w:rPr>
          <w:rFonts w:hint="cs"/>
          <w:rtl/>
        </w:rPr>
        <w:t>צרכים מיוחדים נסגרים, חוסר במטפלות ומורים. אנשים עסוקים בקשיי מחיה מטורפים, ומה הכי</w:t>
      </w:r>
      <w:r w:rsidR="006F4935">
        <w:rPr>
          <w:rFonts w:hint="cs"/>
          <w:rtl/>
        </w:rPr>
        <w:t xml:space="preserve"> </w:t>
      </w:r>
      <w:r>
        <w:rPr>
          <w:rFonts w:hint="cs"/>
          <w:rtl/>
        </w:rPr>
        <w:t xml:space="preserve">חשוב בחצי השנה </w:t>
      </w:r>
      <w:bookmarkStart w:id="70515" w:name="_ETM_Q124_664675"/>
      <w:bookmarkEnd w:id="70515"/>
      <w:r>
        <w:rPr>
          <w:rFonts w:hint="cs"/>
          <w:rtl/>
        </w:rPr>
        <w:t xml:space="preserve">מאז שממשלת ישראל נבחרה? ברור, לרפד את המקורבים, </w:t>
      </w:r>
      <w:bookmarkStart w:id="70516" w:name="_ETM_Q124_670481"/>
      <w:bookmarkEnd w:id="70516"/>
      <w:r>
        <w:rPr>
          <w:rFonts w:hint="cs"/>
          <w:rtl/>
        </w:rPr>
        <w:t xml:space="preserve">לסדר עוד כמה תפקידים, כי מה אכפת לנו, 120 חברי כנסת, מהם 64 מעולים שמצביעים למען עצמם. אני </w:t>
      </w:r>
      <w:bookmarkStart w:id="70517" w:name="_ETM_Q124_686752"/>
      <w:bookmarkEnd w:id="70517"/>
      <w:r>
        <w:rPr>
          <w:rFonts w:hint="cs"/>
          <w:rtl/>
        </w:rPr>
        <w:t>באמת יכולה לומר לאדוני שלא פיללתי</w:t>
      </w:r>
      <w:bookmarkStart w:id="70518" w:name="_ETM_Q124_689536"/>
      <w:bookmarkEnd w:id="70518"/>
      <w:r>
        <w:rPr>
          <w:rFonts w:hint="cs"/>
          <w:rtl/>
        </w:rPr>
        <w:t xml:space="preserve"> שלכנסת מהסוג הזה אני מגיעה; יושבים כאן אנשים שנבחרו, שרים </w:t>
      </w:r>
      <w:bookmarkStart w:id="70519" w:name="_ETM_Q124_693697"/>
      <w:bookmarkEnd w:id="70519"/>
      <w:r>
        <w:rPr>
          <w:rFonts w:hint="cs"/>
          <w:rtl/>
        </w:rPr>
        <w:t xml:space="preserve">שחוץ מלראות את הדבשת של עצמם לא עושים </w:t>
      </w:r>
      <w:bookmarkStart w:id="70520" w:name="_ETM_Q124_697681"/>
      <w:bookmarkEnd w:id="70520"/>
      <w:r>
        <w:rPr>
          <w:rFonts w:hint="cs"/>
          <w:rtl/>
        </w:rPr>
        <w:t xml:space="preserve">דבר ולא חצי דבר למען אזרחי ישראל. </w:t>
      </w:r>
    </w:p>
    <w:p w:rsidR="00BB59CD" w:rsidRDefault="00BB59CD" w:rsidP="00BB59CD">
      <w:pPr>
        <w:rPr>
          <w:rtl/>
        </w:rPr>
      </w:pPr>
      <w:bookmarkStart w:id="70521" w:name="_ETM_Q124_315164"/>
      <w:bookmarkStart w:id="70522" w:name="_ETM_Q124_315231"/>
      <w:bookmarkEnd w:id="70521"/>
      <w:bookmarkEnd w:id="70522"/>
    </w:p>
    <w:p w:rsidR="00BB59CD" w:rsidRDefault="00BB59CD" w:rsidP="006F4935">
      <w:pPr>
        <w:rPr>
          <w:rtl/>
        </w:rPr>
      </w:pPr>
      <w:bookmarkStart w:id="70523" w:name="_ETM_Q124_315280"/>
      <w:bookmarkStart w:id="70524" w:name="_ETM_Q124_358770"/>
      <w:bookmarkStart w:id="70525" w:name="_ETM_Q124_437690"/>
      <w:bookmarkStart w:id="70526" w:name="_ETM_Q124_494799"/>
      <w:bookmarkStart w:id="70527" w:name="_ETM_Q124_587139"/>
      <w:bookmarkStart w:id="70528" w:name="_ETM_Q124_645139"/>
      <w:bookmarkStart w:id="70529" w:name="_ETM_Q124_703300"/>
      <w:bookmarkEnd w:id="70523"/>
      <w:bookmarkEnd w:id="70524"/>
      <w:bookmarkEnd w:id="70525"/>
      <w:bookmarkEnd w:id="70526"/>
      <w:bookmarkEnd w:id="70527"/>
      <w:bookmarkEnd w:id="70528"/>
      <w:bookmarkEnd w:id="70529"/>
      <w:r>
        <w:rPr>
          <w:rFonts w:hint="cs"/>
          <w:rtl/>
        </w:rPr>
        <w:t xml:space="preserve">עם </w:t>
      </w:r>
      <w:bookmarkStart w:id="70530" w:name="_ETM_Q124_703570"/>
      <w:bookmarkEnd w:id="70530"/>
      <w:r>
        <w:rPr>
          <w:rFonts w:hint="cs"/>
          <w:rtl/>
        </w:rPr>
        <w:t xml:space="preserve">הנצח </w:t>
      </w:r>
      <w:bookmarkStart w:id="70531" w:name="_ETM_Q124_704350"/>
      <w:bookmarkEnd w:id="70531"/>
      <w:r>
        <w:rPr>
          <w:rFonts w:hint="cs"/>
          <w:rtl/>
        </w:rPr>
        <w:t xml:space="preserve">ידע </w:t>
      </w:r>
      <w:bookmarkStart w:id="70532" w:name="_ETM_Q124_704679"/>
      <w:bookmarkEnd w:id="70532"/>
      <w:r>
        <w:rPr>
          <w:rFonts w:hint="cs"/>
          <w:rtl/>
        </w:rPr>
        <w:t xml:space="preserve">סבל </w:t>
      </w:r>
      <w:bookmarkStart w:id="70533" w:name="_ETM_Q124_705130"/>
      <w:bookmarkEnd w:id="70533"/>
      <w:r>
        <w:rPr>
          <w:rFonts w:hint="cs"/>
          <w:rtl/>
        </w:rPr>
        <w:t xml:space="preserve">רב. </w:t>
      </w:r>
      <w:bookmarkStart w:id="70534" w:name="_ETM_Q124_706090"/>
      <w:bookmarkEnd w:id="70534"/>
      <w:r w:rsidR="006F4935">
        <w:rPr>
          <w:rFonts w:hint="cs"/>
          <w:rtl/>
        </w:rPr>
        <w:t>אלפיים</w:t>
      </w:r>
      <w:r>
        <w:rPr>
          <w:rFonts w:hint="cs"/>
          <w:rtl/>
        </w:rPr>
        <w:t xml:space="preserve"> </w:t>
      </w:r>
      <w:bookmarkStart w:id="70535" w:name="_ETM_Q124_706600"/>
      <w:bookmarkEnd w:id="70535"/>
      <w:r>
        <w:rPr>
          <w:rFonts w:hint="cs"/>
          <w:rtl/>
        </w:rPr>
        <w:t xml:space="preserve">שנות </w:t>
      </w:r>
      <w:bookmarkStart w:id="70536" w:name="_ETM_Q124_707020"/>
      <w:bookmarkEnd w:id="70536"/>
      <w:r>
        <w:rPr>
          <w:rFonts w:hint="cs"/>
          <w:rtl/>
        </w:rPr>
        <w:t xml:space="preserve">גלות. </w:t>
      </w:r>
      <w:bookmarkStart w:id="70537" w:name="_ETM_Q124_708890"/>
      <w:bookmarkEnd w:id="70537"/>
      <w:r>
        <w:rPr>
          <w:rFonts w:hint="cs"/>
          <w:rtl/>
        </w:rPr>
        <w:t xml:space="preserve">בימים </w:t>
      </w:r>
      <w:bookmarkStart w:id="70538" w:name="_ETM_Q124_709429"/>
      <w:bookmarkEnd w:id="70538"/>
      <w:r>
        <w:rPr>
          <w:rFonts w:hint="cs"/>
          <w:rtl/>
        </w:rPr>
        <w:t xml:space="preserve">האחרונים, </w:t>
      </w:r>
      <w:bookmarkStart w:id="70539" w:name="_ETM_Q124_710770"/>
      <w:bookmarkEnd w:id="70539"/>
      <w:r>
        <w:rPr>
          <w:rFonts w:hint="cs"/>
          <w:rtl/>
        </w:rPr>
        <w:t xml:space="preserve">כמו </w:t>
      </w:r>
      <w:bookmarkStart w:id="70540" w:name="_ETM_Q124_711069"/>
      <w:bookmarkEnd w:id="70540"/>
      <w:r>
        <w:rPr>
          <w:rFonts w:hint="cs"/>
          <w:rtl/>
        </w:rPr>
        <w:t xml:space="preserve">מאות </w:t>
      </w:r>
      <w:bookmarkStart w:id="70541" w:name="_ETM_Q124_711580"/>
      <w:bookmarkEnd w:id="70541"/>
      <w:r>
        <w:rPr>
          <w:rFonts w:hint="cs"/>
          <w:rtl/>
        </w:rPr>
        <w:t xml:space="preserve">אלפים, </w:t>
      </w:r>
      <w:bookmarkStart w:id="70542" w:name="_ETM_Q124_712600"/>
      <w:bookmarkEnd w:id="70542"/>
      <w:r>
        <w:rPr>
          <w:rFonts w:hint="cs"/>
          <w:rtl/>
        </w:rPr>
        <w:t xml:space="preserve">הצטרפתי </w:t>
      </w:r>
      <w:bookmarkStart w:id="70543" w:name="_ETM_Q124_714120"/>
      <w:bookmarkEnd w:id="70543"/>
      <w:r>
        <w:rPr>
          <w:rFonts w:hint="cs"/>
          <w:rtl/>
        </w:rPr>
        <w:t xml:space="preserve">למוחים </w:t>
      </w:r>
      <w:bookmarkStart w:id="70544" w:name="_ETM_Q124_714840"/>
      <w:bookmarkEnd w:id="70544"/>
      <w:r>
        <w:rPr>
          <w:rFonts w:hint="cs"/>
          <w:rtl/>
        </w:rPr>
        <w:t xml:space="preserve">שעשו </w:t>
      </w:r>
      <w:bookmarkStart w:id="70545" w:name="_ETM_Q124_715319"/>
      <w:bookmarkEnd w:id="70545"/>
      <w:r>
        <w:rPr>
          <w:rFonts w:hint="cs"/>
          <w:rtl/>
        </w:rPr>
        <w:t xml:space="preserve">את </w:t>
      </w:r>
      <w:bookmarkStart w:id="70546" w:name="_ETM_Q124_715439"/>
      <w:bookmarkEnd w:id="70546"/>
      <w:r>
        <w:rPr>
          <w:rFonts w:hint="cs"/>
          <w:rtl/>
        </w:rPr>
        <w:t xml:space="preserve">דרכם </w:t>
      </w:r>
      <w:bookmarkStart w:id="70547" w:name="_ETM_Q124_715949"/>
      <w:bookmarkEnd w:id="70547"/>
      <w:r>
        <w:rPr>
          <w:rFonts w:hint="cs"/>
          <w:rtl/>
        </w:rPr>
        <w:t xml:space="preserve">לירושלים. </w:t>
      </w:r>
      <w:bookmarkStart w:id="70548" w:name="_ETM_Q124_717150"/>
      <w:bookmarkEnd w:id="70548"/>
      <w:r>
        <w:rPr>
          <w:rFonts w:hint="cs"/>
          <w:rtl/>
        </w:rPr>
        <w:t xml:space="preserve">כן, </w:t>
      </w:r>
      <w:bookmarkStart w:id="70549" w:name="_ETM_Q124_717540"/>
      <w:bookmarkEnd w:id="70549"/>
      <w:r>
        <w:rPr>
          <w:rFonts w:hint="cs"/>
          <w:rtl/>
        </w:rPr>
        <w:t xml:space="preserve">עשו </w:t>
      </w:r>
      <w:bookmarkStart w:id="70550" w:name="_ETM_Q124_717809"/>
      <w:bookmarkEnd w:id="70550"/>
      <w:r>
        <w:rPr>
          <w:rFonts w:hint="cs"/>
          <w:rtl/>
        </w:rPr>
        <w:t xml:space="preserve">את </w:t>
      </w:r>
      <w:bookmarkStart w:id="70551" w:name="_ETM_Q124_717929"/>
      <w:bookmarkEnd w:id="70551"/>
      <w:r>
        <w:rPr>
          <w:rFonts w:hint="cs"/>
          <w:rtl/>
        </w:rPr>
        <w:t xml:space="preserve">דרכם </w:t>
      </w:r>
      <w:bookmarkStart w:id="70552" w:name="_ETM_Q124_718379"/>
      <w:bookmarkEnd w:id="70552"/>
      <w:r>
        <w:rPr>
          <w:rFonts w:hint="cs"/>
          <w:rtl/>
        </w:rPr>
        <w:t xml:space="preserve">ברגל, </w:t>
      </w:r>
      <w:bookmarkStart w:id="70553" w:name="_ETM_Q124_719749"/>
      <w:bookmarkEnd w:id="70553"/>
      <w:r>
        <w:rPr>
          <w:rFonts w:hint="cs"/>
          <w:rtl/>
        </w:rPr>
        <w:t xml:space="preserve">עשו </w:t>
      </w:r>
      <w:bookmarkStart w:id="70554" w:name="_ETM_Q124_720170"/>
      <w:bookmarkEnd w:id="70554"/>
      <w:r>
        <w:rPr>
          <w:rFonts w:hint="cs"/>
          <w:rtl/>
        </w:rPr>
        <w:t xml:space="preserve">דרכם </w:t>
      </w:r>
      <w:bookmarkStart w:id="70555" w:name="_ETM_Q124_721189"/>
      <w:bookmarkEnd w:id="70555"/>
      <w:r>
        <w:rPr>
          <w:rFonts w:hint="cs"/>
          <w:rtl/>
        </w:rPr>
        <w:t xml:space="preserve">בתקופת </w:t>
      </w:r>
      <w:bookmarkStart w:id="70556" w:name="_ETM_Q124_721819"/>
      <w:bookmarkEnd w:id="70556"/>
      <w:r>
        <w:rPr>
          <w:rFonts w:hint="cs"/>
          <w:rtl/>
        </w:rPr>
        <w:t xml:space="preserve">בין </w:t>
      </w:r>
      <w:bookmarkStart w:id="70557" w:name="_ETM_Q124_722059"/>
      <w:bookmarkEnd w:id="70557"/>
      <w:r>
        <w:rPr>
          <w:rFonts w:hint="cs"/>
          <w:rtl/>
        </w:rPr>
        <w:t xml:space="preserve">המצרים. </w:t>
      </w:r>
      <w:bookmarkStart w:id="70558" w:name="_ETM_Q124_723400"/>
      <w:bookmarkStart w:id="70559" w:name="_ETM_Q124_724599"/>
      <w:bookmarkEnd w:id="70558"/>
      <w:bookmarkEnd w:id="70559"/>
      <w:r>
        <w:rPr>
          <w:rFonts w:hint="cs"/>
          <w:rtl/>
        </w:rPr>
        <w:t xml:space="preserve">בעוד </w:t>
      </w:r>
      <w:bookmarkStart w:id="70560" w:name="_ETM_Q124_725019"/>
      <w:bookmarkEnd w:id="70560"/>
      <w:r>
        <w:rPr>
          <w:rFonts w:hint="cs"/>
          <w:rtl/>
        </w:rPr>
        <w:t xml:space="preserve">כמה </w:t>
      </w:r>
      <w:bookmarkStart w:id="70561" w:name="_ETM_Q124_725290"/>
      <w:bookmarkEnd w:id="70561"/>
      <w:r>
        <w:rPr>
          <w:rFonts w:hint="cs"/>
          <w:rtl/>
        </w:rPr>
        <w:t xml:space="preserve">ימים </w:t>
      </w:r>
      <w:bookmarkStart w:id="70562" w:name="_ETM_Q124_726640"/>
      <w:bookmarkEnd w:id="70562"/>
      <w:r>
        <w:rPr>
          <w:rFonts w:hint="cs"/>
          <w:rtl/>
        </w:rPr>
        <w:t xml:space="preserve">נצום. </w:t>
      </w:r>
      <w:bookmarkStart w:id="70563" w:name="_ETM_Q124_727809"/>
      <w:bookmarkEnd w:id="70563"/>
      <w:r>
        <w:rPr>
          <w:rFonts w:hint="cs"/>
          <w:rtl/>
        </w:rPr>
        <w:t xml:space="preserve">ערב תשעה </w:t>
      </w:r>
      <w:bookmarkStart w:id="70564" w:name="_ETM_Q124_728890"/>
      <w:bookmarkEnd w:id="70564"/>
      <w:r>
        <w:rPr>
          <w:rFonts w:hint="cs"/>
          <w:rtl/>
        </w:rPr>
        <w:t xml:space="preserve">באב, </w:t>
      </w:r>
      <w:bookmarkStart w:id="70565" w:name="_ETM_Q124_729590"/>
      <w:bookmarkEnd w:id="70565"/>
      <w:r>
        <w:rPr>
          <w:rFonts w:hint="cs"/>
          <w:rtl/>
        </w:rPr>
        <w:t xml:space="preserve">חורבן </w:t>
      </w:r>
      <w:bookmarkStart w:id="70566" w:name="_ETM_Q124_730069"/>
      <w:bookmarkEnd w:id="70566"/>
      <w:r>
        <w:rPr>
          <w:rFonts w:hint="cs"/>
          <w:rtl/>
        </w:rPr>
        <w:t xml:space="preserve">הבית </w:t>
      </w:r>
      <w:bookmarkStart w:id="70567" w:name="_ETM_Q124_730519"/>
      <w:bookmarkEnd w:id="70567"/>
      <w:r>
        <w:rPr>
          <w:rFonts w:hint="cs"/>
          <w:rtl/>
        </w:rPr>
        <w:t xml:space="preserve">השני, </w:t>
      </w:r>
      <w:bookmarkStart w:id="70568" w:name="_ETM_Q124_731490"/>
      <w:bookmarkEnd w:id="70568"/>
      <w:r>
        <w:rPr>
          <w:rFonts w:hint="cs"/>
          <w:rtl/>
        </w:rPr>
        <w:t xml:space="preserve">וכמה </w:t>
      </w:r>
      <w:bookmarkStart w:id="70569" w:name="_ETM_Q124_731880"/>
      <w:bookmarkEnd w:id="70569"/>
      <w:r w:rsidR="006F4935">
        <w:rPr>
          <w:rFonts w:hint="cs"/>
          <w:rtl/>
        </w:rPr>
        <w:t xml:space="preserve">זה </w:t>
      </w:r>
      <w:r>
        <w:rPr>
          <w:rFonts w:hint="cs"/>
          <w:rtl/>
        </w:rPr>
        <w:t>סימבולי</w:t>
      </w:r>
      <w:r w:rsidR="006F4935">
        <w:rPr>
          <w:rFonts w:hint="cs"/>
          <w:rtl/>
        </w:rPr>
        <w:t>, עם</w:t>
      </w:r>
      <w:r>
        <w:rPr>
          <w:rFonts w:hint="cs"/>
          <w:rtl/>
        </w:rPr>
        <w:t xml:space="preserve"> </w:t>
      </w:r>
      <w:bookmarkStart w:id="70570" w:name="_ETM_Q124_732780"/>
      <w:bookmarkEnd w:id="70570"/>
      <w:r>
        <w:rPr>
          <w:rFonts w:hint="cs"/>
          <w:rtl/>
        </w:rPr>
        <w:t xml:space="preserve">מה </w:t>
      </w:r>
      <w:bookmarkStart w:id="70571" w:name="_ETM_Q124_733050"/>
      <w:bookmarkEnd w:id="70571"/>
      <w:r>
        <w:rPr>
          <w:rFonts w:hint="cs"/>
          <w:rtl/>
        </w:rPr>
        <w:t xml:space="preserve">שקורה </w:t>
      </w:r>
      <w:bookmarkStart w:id="70572" w:name="_ETM_Q124_733559"/>
      <w:bookmarkEnd w:id="70572"/>
      <w:r>
        <w:rPr>
          <w:rFonts w:hint="cs"/>
          <w:rtl/>
        </w:rPr>
        <w:t xml:space="preserve">עכשיו. </w:t>
      </w:r>
      <w:bookmarkStart w:id="70573" w:name="_ETM_Q124_734980"/>
      <w:bookmarkEnd w:id="70573"/>
      <w:r>
        <w:rPr>
          <w:rFonts w:hint="cs"/>
          <w:rtl/>
        </w:rPr>
        <w:t xml:space="preserve">אולי </w:t>
      </w:r>
      <w:bookmarkStart w:id="70574" w:name="_ETM_Q124_739738"/>
      <w:bookmarkEnd w:id="70574"/>
      <w:r>
        <w:rPr>
          <w:rFonts w:hint="cs"/>
          <w:rtl/>
        </w:rPr>
        <w:t>פעם אח</w:t>
      </w:r>
      <w:r w:rsidR="006F4935">
        <w:rPr>
          <w:rFonts w:hint="cs"/>
          <w:rtl/>
        </w:rPr>
        <w:t>ת</w:t>
      </w:r>
      <w:r>
        <w:rPr>
          <w:rFonts w:hint="cs"/>
          <w:rtl/>
        </w:rPr>
        <w:t xml:space="preserve">, פעם אחת בחוכמתנו, בתבונתנו, באמת, בהגינות </w:t>
      </w:r>
      <w:bookmarkStart w:id="70575" w:name="_ETM_Q124_742465"/>
      <w:bookmarkEnd w:id="70575"/>
      <w:r>
        <w:rPr>
          <w:rFonts w:hint="cs"/>
          <w:rtl/>
        </w:rPr>
        <w:t xml:space="preserve">שלנו נציל את החורבן של הבית השלישי. כנראה שבבתים הקודמים לא היה לנו את הכוח, אני מאמינה שהיום </w:t>
      </w:r>
      <w:bookmarkStart w:id="70576" w:name="_ETM_Q124_755241"/>
      <w:bookmarkEnd w:id="70576"/>
      <w:r>
        <w:rPr>
          <w:rFonts w:hint="cs"/>
          <w:rtl/>
        </w:rPr>
        <w:t xml:space="preserve">יש לנו כוח – והרבה כוח. </w:t>
      </w:r>
    </w:p>
    <w:p w:rsidR="00BB59CD" w:rsidRDefault="00BB59CD" w:rsidP="00BB59CD">
      <w:pPr>
        <w:rPr>
          <w:rtl/>
        </w:rPr>
      </w:pPr>
    </w:p>
    <w:p w:rsidR="00BB59CD" w:rsidRDefault="00BB59CD" w:rsidP="006F4935">
      <w:pPr>
        <w:rPr>
          <w:rtl/>
        </w:rPr>
      </w:pPr>
      <w:r>
        <w:rPr>
          <w:rFonts w:hint="cs"/>
          <w:rtl/>
        </w:rPr>
        <w:t>נקודת שיא</w:t>
      </w:r>
      <w:r w:rsidR="006F4935">
        <w:rPr>
          <w:rFonts w:hint="cs"/>
          <w:rtl/>
        </w:rPr>
        <w:t>,</w:t>
      </w:r>
      <w:r>
        <w:rPr>
          <w:rFonts w:hint="cs"/>
          <w:rtl/>
        </w:rPr>
        <w:t xml:space="preserve"> לאחר שבחצי השנה האחרונה התובנה העיקרית שאני נתקל</w:t>
      </w:r>
      <w:r w:rsidR="006F4935">
        <w:rPr>
          <w:rFonts w:hint="cs"/>
          <w:rtl/>
        </w:rPr>
        <w:t>ת</w:t>
      </w:r>
      <w:r>
        <w:rPr>
          <w:rFonts w:hint="cs"/>
          <w:rtl/>
        </w:rPr>
        <w:t xml:space="preserve"> בה יום-יום מורכבת מתחושת חוסר ביטחון ל</w:t>
      </w:r>
      <w:r w:rsidR="006F4935">
        <w:rPr>
          <w:rFonts w:hint="cs"/>
          <w:rtl/>
        </w:rPr>
        <w:t>גבי</w:t>
      </w:r>
      <w:r>
        <w:rPr>
          <w:rFonts w:hint="cs"/>
          <w:rtl/>
        </w:rPr>
        <w:t xml:space="preserve"> העתיד הדמוקרטי של ישראל. </w:t>
      </w:r>
      <w:bookmarkStart w:id="70577" w:name="_ETM_Q124_772808"/>
      <w:bookmarkStart w:id="70578" w:name="_ETM_Q124_777501"/>
      <w:bookmarkStart w:id="70579" w:name="_ETM_Q124_777584"/>
      <w:bookmarkStart w:id="70580" w:name="TOR_Q125"/>
      <w:bookmarkStart w:id="70581" w:name="_ETM_Q125_183645"/>
      <w:bookmarkEnd w:id="70577"/>
      <w:bookmarkEnd w:id="70578"/>
      <w:bookmarkEnd w:id="70579"/>
      <w:bookmarkEnd w:id="70580"/>
      <w:bookmarkEnd w:id="70581"/>
      <w:r>
        <w:rPr>
          <w:rFonts w:hint="cs"/>
          <w:rtl/>
        </w:rPr>
        <w:t xml:space="preserve">הכוח של דמוקרטיה מושם במערכותיה ומוסדותיה, ואם מתעלמים מהם </w:t>
      </w:r>
      <w:r w:rsidR="006F4935">
        <w:rPr>
          <w:rFonts w:hint="eastAsia"/>
          <w:rtl/>
        </w:rPr>
        <w:t>–</w:t>
      </w:r>
      <w:r w:rsidR="006F4935">
        <w:rPr>
          <w:rFonts w:hint="cs"/>
          <w:rtl/>
        </w:rPr>
        <w:t xml:space="preserve"> </w:t>
      </w:r>
      <w:r>
        <w:rPr>
          <w:rFonts w:hint="cs"/>
          <w:rtl/>
        </w:rPr>
        <w:t xml:space="preserve">יכולים להיקלע לתחתית המדרגה. </w:t>
      </w:r>
      <w:bookmarkStart w:id="70582" w:name="_ETM_Q125_180269"/>
      <w:bookmarkStart w:id="70583" w:name="_ETM_Q125_182020"/>
      <w:bookmarkEnd w:id="70582"/>
      <w:bookmarkEnd w:id="70583"/>
      <w:r>
        <w:rPr>
          <w:rFonts w:hint="cs"/>
          <w:rtl/>
        </w:rPr>
        <w:t xml:space="preserve">ראינו </w:t>
      </w:r>
      <w:bookmarkStart w:id="70584" w:name="_ETM_Q125_182379"/>
      <w:bookmarkEnd w:id="70584"/>
      <w:r>
        <w:rPr>
          <w:rFonts w:hint="cs"/>
          <w:rtl/>
        </w:rPr>
        <w:t xml:space="preserve">בהיסטוריה </w:t>
      </w:r>
      <w:bookmarkStart w:id="70585" w:name="_ETM_Q125_183009"/>
      <w:bookmarkEnd w:id="70585"/>
      <w:r>
        <w:rPr>
          <w:rFonts w:hint="cs"/>
          <w:rtl/>
        </w:rPr>
        <w:t xml:space="preserve">של </w:t>
      </w:r>
      <w:bookmarkStart w:id="70586" w:name="_ETM_Q125_183310"/>
      <w:bookmarkEnd w:id="70586"/>
      <w:r>
        <w:rPr>
          <w:rFonts w:hint="cs"/>
          <w:rtl/>
        </w:rPr>
        <w:t xml:space="preserve">אחרים, </w:t>
      </w:r>
      <w:bookmarkStart w:id="70587" w:name="_ETM_Q125_184059"/>
      <w:bookmarkEnd w:id="70587"/>
      <w:r>
        <w:rPr>
          <w:rFonts w:hint="cs"/>
          <w:rtl/>
        </w:rPr>
        <w:t xml:space="preserve">קיימות </w:t>
      </w:r>
      <w:bookmarkStart w:id="70588" w:name="_ETM_Q125_184600"/>
      <w:bookmarkEnd w:id="70588"/>
      <w:r>
        <w:rPr>
          <w:rFonts w:hint="cs"/>
          <w:rtl/>
        </w:rPr>
        <w:t xml:space="preserve">תופעות </w:t>
      </w:r>
      <w:bookmarkStart w:id="70589" w:name="_ETM_Q125_185650"/>
      <w:bookmarkEnd w:id="70589"/>
      <w:r>
        <w:rPr>
          <w:rFonts w:hint="cs"/>
          <w:rtl/>
        </w:rPr>
        <w:t xml:space="preserve">שאם </w:t>
      </w:r>
      <w:bookmarkStart w:id="70590" w:name="_ETM_Q125_185980"/>
      <w:bookmarkEnd w:id="70590"/>
      <w:r>
        <w:rPr>
          <w:rFonts w:hint="cs"/>
          <w:rtl/>
        </w:rPr>
        <w:t xml:space="preserve">לא </w:t>
      </w:r>
      <w:bookmarkStart w:id="70591" w:name="_ETM_Q125_186130"/>
      <w:bookmarkEnd w:id="70591"/>
      <w:r>
        <w:rPr>
          <w:rFonts w:hint="cs"/>
          <w:rtl/>
        </w:rPr>
        <w:t xml:space="preserve">יתווספו </w:t>
      </w:r>
      <w:bookmarkStart w:id="70592" w:name="_ETM_Q125_186820"/>
      <w:bookmarkEnd w:id="70592"/>
      <w:r>
        <w:rPr>
          <w:rFonts w:hint="cs"/>
          <w:rtl/>
        </w:rPr>
        <w:t xml:space="preserve">אליהן </w:t>
      </w:r>
      <w:bookmarkStart w:id="70593" w:name="_ETM_Q125_187270"/>
      <w:bookmarkEnd w:id="70593"/>
      <w:r>
        <w:rPr>
          <w:rFonts w:hint="cs"/>
          <w:rtl/>
        </w:rPr>
        <w:t xml:space="preserve">אמצעים </w:t>
      </w:r>
      <w:bookmarkStart w:id="70594" w:name="_ETM_Q125_188410"/>
      <w:bookmarkEnd w:id="70594"/>
      <w:r>
        <w:rPr>
          <w:rFonts w:hint="cs"/>
          <w:rtl/>
        </w:rPr>
        <w:t>מאזנים</w:t>
      </w:r>
      <w:r w:rsidR="006F4935">
        <w:rPr>
          <w:rFonts w:hint="cs"/>
          <w:rtl/>
        </w:rPr>
        <w:t>,</w:t>
      </w:r>
      <w:r>
        <w:rPr>
          <w:rFonts w:hint="cs"/>
          <w:rtl/>
        </w:rPr>
        <w:t xml:space="preserve"> </w:t>
      </w:r>
      <w:bookmarkStart w:id="70595" w:name="_ETM_Q125_189730"/>
      <w:bookmarkEnd w:id="70595"/>
      <w:r>
        <w:rPr>
          <w:rFonts w:hint="cs"/>
          <w:rtl/>
        </w:rPr>
        <w:t xml:space="preserve">הן יכולות </w:t>
      </w:r>
      <w:bookmarkStart w:id="70596" w:name="_ETM_Q125_190360"/>
      <w:bookmarkEnd w:id="70596"/>
      <w:r>
        <w:rPr>
          <w:rFonts w:hint="cs"/>
          <w:rtl/>
        </w:rPr>
        <w:t xml:space="preserve">לסיים </w:t>
      </w:r>
      <w:bookmarkStart w:id="70597" w:name="_ETM_Q125_191139"/>
      <w:bookmarkEnd w:id="70597"/>
      <w:r>
        <w:rPr>
          <w:rFonts w:hint="cs"/>
          <w:rtl/>
        </w:rPr>
        <w:t xml:space="preserve">בקידום </w:t>
      </w:r>
      <w:bookmarkStart w:id="70598" w:name="_ETM_Q125_191740"/>
      <w:bookmarkEnd w:id="70598"/>
      <w:r>
        <w:rPr>
          <w:rFonts w:hint="cs"/>
          <w:rtl/>
        </w:rPr>
        <w:t xml:space="preserve">ההליכים </w:t>
      </w:r>
      <w:bookmarkStart w:id="70599" w:name="_ETM_Q125_192309"/>
      <w:bookmarkEnd w:id="70599"/>
      <w:r>
        <w:rPr>
          <w:rFonts w:hint="cs"/>
          <w:rtl/>
        </w:rPr>
        <w:t xml:space="preserve">של </w:t>
      </w:r>
      <w:bookmarkStart w:id="70600" w:name="_ETM_Q125_192639"/>
      <w:bookmarkEnd w:id="70600"/>
      <w:r>
        <w:rPr>
          <w:rFonts w:hint="cs"/>
          <w:rtl/>
        </w:rPr>
        <w:t xml:space="preserve">קיצון </w:t>
      </w:r>
      <w:bookmarkStart w:id="70601" w:name="_ETM_Q125_193119"/>
      <w:bookmarkEnd w:id="70601"/>
      <w:r>
        <w:rPr>
          <w:rFonts w:hint="cs"/>
          <w:rtl/>
        </w:rPr>
        <w:t xml:space="preserve">פוליטי. </w:t>
      </w:r>
      <w:bookmarkStart w:id="70602" w:name="_ETM_Q125_194830"/>
      <w:bookmarkStart w:id="70603" w:name="_ETM_Q125_196239"/>
      <w:bookmarkStart w:id="70604" w:name="_ETM_Q125_196285"/>
      <w:bookmarkStart w:id="70605" w:name="_ETM_Q125_196369"/>
      <w:bookmarkStart w:id="70606" w:name="_ETM_Q125_196412"/>
      <w:bookmarkEnd w:id="70602"/>
      <w:bookmarkEnd w:id="70603"/>
      <w:bookmarkEnd w:id="70604"/>
      <w:bookmarkEnd w:id="70605"/>
      <w:bookmarkEnd w:id="70606"/>
      <w:r>
        <w:rPr>
          <w:rFonts w:hint="cs"/>
          <w:rtl/>
        </w:rPr>
        <w:t xml:space="preserve">הדמוקרטיה </w:t>
      </w:r>
      <w:bookmarkStart w:id="70607" w:name="_ETM_Q125_196600"/>
      <w:bookmarkEnd w:id="70607"/>
      <w:r>
        <w:rPr>
          <w:rFonts w:hint="cs"/>
          <w:rtl/>
        </w:rPr>
        <w:t xml:space="preserve">היא </w:t>
      </w:r>
      <w:bookmarkStart w:id="70608" w:name="_ETM_Q125_196840"/>
      <w:bookmarkEnd w:id="70608"/>
      <w:r>
        <w:rPr>
          <w:rFonts w:hint="cs"/>
          <w:rtl/>
        </w:rPr>
        <w:t xml:space="preserve">בלתי </w:t>
      </w:r>
      <w:bookmarkStart w:id="70609" w:name="_ETM_Q125_197230"/>
      <w:bookmarkEnd w:id="70609"/>
      <w:r>
        <w:rPr>
          <w:rFonts w:hint="cs"/>
          <w:rtl/>
        </w:rPr>
        <w:t xml:space="preserve">מושלמת, </w:t>
      </w:r>
      <w:bookmarkStart w:id="70610" w:name="_ETM_Q125_198630"/>
      <w:bookmarkEnd w:id="70610"/>
      <w:r>
        <w:rPr>
          <w:rFonts w:hint="cs"/>
          <w:rtl/>
        </w:rPr>
        <w:t xml:space="preserve">אך </w:t>
      </w:r>
      <w:bookmarkStart w:id="70611" w:name="_ETM_Q125_198810"/>
      <w:bookmarkEnd w:id="70611"/>
      <w:r>
        <w:rPr>
          <w:rFonts w:hint="cs"/>
          <w:rtl/>
        </w:rPr>
        <w:t xml:space="preserve">למעשה </w:t>
      </w:r>
      <w:bookmarkStart w:id="70612" w:name="_ETM_Q125_199710"/>
      <w:bookmarkEnd w:id="70612"/>
      <w:r>
        <w:rPr>
          <w:rFonts w:hint="cs"/>
          <w:rtl/>
        </w:rPr>
        <w:t xml:space="preserve">זו הייחודיות </w:t>
      </w:r>
      <w:bookmarkStart w:id="70613" w:name="_ETM_Q125_200610"/>
      <w:bookmarkEnd w:id="70613"/>
      <w:r>
        <w:rPr>
          <w:rFonts w:hint="cs"/>
          <w:rtl/>
        </w:rPr>
        <w:t xml:space="preserve">שלה </w:t>
      </w:r>
      <w:bookmarkStart w:id="70614" w:name="_ETM_Q125_201750"/>
      <w:bookmarkEnd w:id="70614"/>
      <w:r w:rsidR="006F4935">
        <w:rPr>
          <w:rFonts w:hint="eastAsia"/>
          <w:rtl/>
        </w:rPr>
        <w:t>–</w:t>
      </w:r>
      <w:r w:rsidR="006F4935">
        <w:rPr>
          <w:rFonts w:hint="cs"/>
          <w:rtl/>
        </w:rPr>
        <w:t xml:space="preserve"> </w:t>
      </w:r>
      <w:r>
        <w:rPr>
          <w:rFonts w:hint="cs"/>
          <w:rtl/>
        </w:rPr>
        <w:t xml:space="preserve">היכולת </w:t>
      </w:r>
      <w:bookmarkStart w:id="70615" w:name="_ETM_Q125_202500"/>
      <w:bookmarkEnd w:id="70615"/>
      <w:r>
        <w:rPr>
          <w:rFonts w:hint="cs"/>
          <w:rtl/>
        </w:rPr>
        <w:t xml:space="preserve">להתמודד </w:t>
      </w:r>
      <w:bookmarkStart w:id="70616" w:name="_ETM_Q125_203130"/>
      <w:bookmarkEnd w:id="70616"/>
      <w:r>
        <w:rPr>
          <w:rFonts w:hint="cs"/>
          <w:rtl/>
        </w:rPr>
        <w:t xml:space="preserve">עם </w:t>
      </w:r>
      <w:bookmarkStart w:id="70617" w:name="_ETM_Q125_203250"/>
      <w:bookmarkEnd w:id="70617"/>
      <w:r>
        <w:rPr>
          <w:rFonts w:hint="cs"/>
          <w:rtl/>
        </w:rPr>
        <w:t xml:space="preserve">הקושי </w:t>
      </w:r>
      <w:bookmarkStart w:id="70618" w:name="_ETM_Q125_204239"/>
      <w:bookmarkEnd w:id="70618"/>
      <w:r>
        <w:rPr>
          <w:rFonts w:hint="cs"/>
          <w:rtl/>
        </w:rPr>
        <w:t xml:space="preserve">ולהתפתח </w:t>
      </w:r>
      <w:bookmarkStart w:id="70619" w:name="_ETM_Q125_205050"/>
      <w:bookmarkEnd w:id="70619"/>
      <w:r>
        <w:rPr>
          <w:rFonts w:hint="cs"/>
          <w:rtl/>
        </w:rPr>
        <w:t xml:space="preserve">תוך </w:t>
      </w:r>
      <w:bookmarkStart w:id="70620" w:name="_ETM_Q125_205440"/>
      <w:bookmarkEnd w:id="70620"/>
      <w:r>
        <w:rPr>
          <w:rFonts w:hint="cs"/>
          <w:rtl/>
        </w:rPr>
        <w:t xml:space="preserve">כדי </w:t>
      </w:r>
      <w:bookmarkStart w:id="70621" w:name="_ETM_Q125_205739"/>
      <w:bookmarkEnd w:id="70621"/>
      <w:r>
        <w:rPr>
          <w:rFonts w:hint="cs"/>
          <w:rtl/>
        </w:rPr>
        <w:t xml:space="preserve">שמירה </w:t>
      </w:r>
      <w:bookmarkStart w:id="70622" w:name="_ETM_Q125_206280"/>
      <w:bookmarkEnd w:id="70622"/>
      <w:r>
        <w:rPr>
          <w:rFonts w:hint="cs"/>
          <w:rtl/>
        </w:rPr>
        <w:t xml:space="preserve">על מסגרות. </w:t>
      </w:r>
      <w:bookmarkStart w:id="70623" w:name="_ETM_Q125_207519"/>
      <w:bookmarkEnd w:id="70623"/>
      <w:r>
        <w:rPr>
          <w:rFonts w:hint="cs"/>
          <w:rtl/>
        </w:rPr>
        <w:t xml:space="preserve">מסגרת </w:t>
      </w:r>
      <w:bookmarkStart w:id="70624" w:name="_ETM_Q125_208269"/>
      <w:bookmarkEnd w:id="70624"/>
      <w:r>
        <w:rPr>
          <w:rFonts w:hint="cs"/>
          <w:rtl/>
        </w:rPr>
        <w:t xml:space="preserve">יסודית </w:t>
      </w:r>
      <w:bookmarkStart w:id="70625" w:name="_ETM_Q125_209080"/>
      <w:bookmarkEnd w:id="70625"/>
      <w:r>
        <w:rPr>
          <w:rFonts w:hint="cs"/>
          <w:rtl/>
        </w:rPr>
        <w:t xml:space="preserve">של </w:t>
      </w:r>
      <w:bookmarkStart w:id="70626" w:name="_ETM_Q125_209349"/>
      <w:bookmarkEnd w:id="70626"/>
      <w:r>
        <w:rPr>
          <w:rFonts w:hint="cs"/>
          <w:rtl/>
        </w:rPr>
        <w:t>ערכים</w:t>
      </w:r>
      <w:r w:rsidR="006F4935">
        <w:rPr>
          <w:rFonts w:hint="cs"/>
          <w:rtl/>
        </w:rPr>
        <w:t>,</w:t>
      </w:r>
      <w:r>
        <w:rPr>
          <w:rFonts w:hint="cs"/>
          <w:rtl/>
        </w:rPr>
        <w:t xml:space="preserve"> </w:t>
      </w:r>
      <w:bookmarkStart w:id="70627" w:name="_ETM_Q125_209830"/>
      <w:bookmarkEnd w:id="70627"/>
      <w:r>
        <w:rPr>
          <w:rFonts w:hint="cs"/>
          <w:rtl/>
        </w:rPr>
        <w:t>מקובלת</w:t>
      </w:r>
      <w:r w:rsidR="006F4935">
        <w:rPr>
          <w:rFonts w:hint="cs"/>
          <w:rtl/>
        </w:rPr>
        <w:t>,</w:t>
      </w:r>
      <w:r>
        <w:rPr>
          <w:rFonts w:hint="cs"/>
          <w:rtl/>
        </w:rPr>
        <w:t xml:space="preserve"> </w:t>
      </w:r>
      <w:bookmarkStart w:id="70628" w:name="_ETM_Q125_210939"/>
      <w:bookmarkEnd w:id="70628"/>
      <w:r>
        <w:rPr>
          <w:rFonts w:hint="cs"/>
          <w:rtl/>
        </w:rPr>
        <w:t xml:space="preserve">היא </w:t>
      </w:r>
      <w:bookmarkStart w:id="70629" w:name="_ETM_Q125_211060"/>
      <w:bookmarkEnd w:id="70629"/>
      <w:r>
        <w:rPr>
          <w:rFonts w:hint="cs"/>
          <w:rtl/>
        </w:rPr>
        <w:t xml:space="preserve">מה </w:t>
      </w:r>
      <w:bookmarkStart w:id="70630" w:name="_ETM_Q125_211210"/>
      <w:bookmarkEnd w:id="70630"/>
      <w:r>
        <w:rPr>
          <w:rFonts w:hint="cs"/>
          <w:rtl/>
        </w:rPr>
        <w:t xml:space="preserve">שהופך </w:t>
      </w:r>
      <w:bookmarkStart w:id="70631" w:name="_ETM_Q125_211810"/>
      <w:bookmarkEnd w:id="70631"/>
      <w:r>
        <w:rPr>
          <w:rFonts w:hint="cs"/>
          <w:rtl/>
        </w:rPr>
        <w:t xml:space="preserve">אותה </w:t>
      </w:r>
      <w:bookmarkStart w:id="70632" w:name="_ETM_Q125_212530"/>
      <w:bookmarkEnd w:id="70632"/>
      <w:r>
        <w:rPr>
          <w:rFonts w:hint="cs"/>
          <w:rtl/>
        </w:rPr>
        <w:t xml:space="preserve">לכל </w:t>
      </w:r>
      <w:bookmarkStart w:id="70633" w:name="_ETM_Q125_213040"/>
      <w:bookmarkEnd w:id="70633"/>
      <w:r>
        <w:rPr>
          <w:rFonts w:hint="cs"/>
          <w:rtl/>
        </w:rPr>
        <w:t xml:space="preserve">כך </w:t>
      </w:r>
      <w:bookmarkStart w:id="70634" w:name="_ETM_Q125_213280"/>
      <w:bookmarkEnd w:id="70634"/>
      <w:r>
        <w:rPr>
          <w:rFonts w:hint="cs"/>
          <w:rtl/>
        </w:rPr>
        <w:t xml:space="preserve">חשובה </w:t>
      </w:r>
      <w:bookmarkStart w:id="70635" w:name="_ETM_Q125_214000"/>
      <w:bookmarkEnd w:id="70635"/>
      <w:r>
        <w:rPr>
          <w:rFonts w:hint="cs"/>
          <w:rtl/>
        </w:rPr>
        <w:t>ומיוחדת.</w:t>
      </w:r>
    </w:p>
    <w:p w:rsidR="00BB59CD" w:rsidRDefault="00BB59CD" w:rsidP="00BB59CD">
      <w:pPr>
        <w:rPr>
          <w:rtl/>
        </w:rPr>
      </w:pPr>
      <w:bookmarkStart w:id="70636" w:name="_ETM_Q125_214909"/>
      <w:bookmarkStart w:id="70637" w:name="_ETM_Q125_214985"/>
      <w:bookmarkEnd w:id="70636"/>
      <w:bookmarkEnd w:id="70637"/>
    </w:p>
    <w:p w:rsidR="00BB59CD" w:rsidRDefault="00BB59CD" w:rsidP="006F4935">
      <w:pPr>
        <w:rPr>
          <w:rtl/>
        </w:rPr>
      </w:pPr>
      <w:bookmarkStart w:id="70638" w:name="_ETM_Q125_215102"/>
      <w:bookmarkStart w:id="70639" w:name="_ETM_Q125_215155"/>
      <w:bookmarkStart w:id="70640" w:name="_ETM_Q125_215789"/>
      <w:bookmarkEnd w:id="70638"/>
      <w:bookmarkEnd w:id="70639"/>
      <w:bookmarkEnd w:id="70640"/>
      <w:r>
        <w:rPr>
          <w:rFonts w:hint="cs"/>
          <w:rtl/>
        </w:rPr>
        <w:t xml:space="preserve">אנחנו </w:t>
      </w:r>
      <w:bookmarkStart w:id="70641" w:name="_ETM_Q125_216390"/>
      <w:bookmarkEnd w:id="70641"/>
      <w:r>
        <w:rPr>
          <w:rFonts w:hint="cs"/>
          <w:rtl/>
        </w:rPr>
        <w:t xml:space="preserve">נמצאים </w:t>
      </w:r>
      <w:bookmarkStart w:id="70642" w:name="_ETM_Q125_216989"/>
      <w:bookmarkEnd w:id="70642"/>
      <w:r>
        <w:rPr>
          <w:rFonts w:hint="cs"/>
          <w:rtl/>
        </w:rPr>
        <w:t xml:space="preserve">היום </w:t>
      </w:r>
      <w:bookmarkStart w:id="70643" w:name="_ETM_Q125_217949"/>
      <w:bookmarkEnd w:id="70643"/>
      <w:r>
        <w:rPr>
          <w:rFonts w:hint="cs"/>
          <w:rtl/>
        </w:rPr>
        <w:t xml:space="preserve">בשלב </w:t>
      </w:r>
      <w:bookmarkStart w:id="70644" w:name="_ETM_Q125_218489"/>
      <w:bookmarkEnd w:id="70644"/>
      <w:r>
        <w:rPr>
          <w:rFonts w:hint="cs"/>
          <w:rtl/>
        </w:rPr>
        <w:t xml:space="preserve">קריטי </w:t>
      </w:r>
      <w:bookmarkStart w:id="70645" w:name="_ETM_Q125_219000"/>
      <w:bookmarkEnd w:id="70645"/>
      <w:r>
        <w:rPr>
          <w:rFonts w:hint="cs"/>
          <w:rtl/>
        </w:rPr>
        <w:t xml:space="preserve">בהיסטוריה </w:t>
      </w:r>
      <w:bookmarkStart w:id="70646" w:name="_ETM_Q125_221310"/>
      <w:bookmarkEnd w:id="70646"/>
      <w:r>
        <w:rPr>
          <w:rFonts w:hint="cs"/>
          <w:rtl/>
        </w:rPr>
        <w:t xml:space="preserve">שלנו. </w:t>
      </w:r>
      <w:bookmarkStart w:id="70647" w:name="_ETM_Q125_222360"/>
      <w:bookmarkEnd w:id="70647"/>
      <w:r>
        <w:rPr>
          <w:rFonts w:hint="cs"/>
          <w:rtl/>
        </w:rPr>
        <w:t xml:space="preserve">75 </w:t>
      </w:r>
      <w:bookmarkStart w:id="70648" w:name="_ETM_Q125_223440"/>
      <w:bookmarkEnd w:id="70648"/>
      <w:r>
        <w:rPr>
          <w:rFonts w:hint="cs"/>
          <w:rtl/>
        </w:rPr>
        <w:t xml:space="preserve">שנים </w:t>
      </w:r>
      <w:bookmarkStart w:id="70649" w:name="_ETM_Q125_223890"/>
      <w:bookmarkEnd w:id="70649"/>
      <w:r>
        <w:rPr>
          <w:rFonts w:hint="cs"/>
          <w:rtl/>
        </w:rPr>
        <w:t xml:space="preserve">הביאו </w:t>
      </w:r>
      <w:bookmarkStart w:id="70650" w:name="_ETM_Q125_224309"/>
      <w:bookmarkEnd w:id="70650"/>
      <w:r>
        <w:rPr>
          <w:rFonts w:hint="cs"/>
          <w:rtl/>
        </w:rPr>
        <w:t xml:space="preserve">אותנו </w:t>
      </w:r>
      <w:bookmarkStart w:id="70651" w:name="_ETM_Q125_224940"/>
      <w:bookmarkEnd w:id="70651"/>
      <w:r>
        <w:rPr>
          <w:rFonts w:hint="cs"/>
          <w:rtl/>
        </w:rPr>
        <w:t xml:space="preserve">לנקודה </w:t>
      </w:r>
      <w:bookmarkStart w:id="70652" w:name="_ETM_Q125_225570"/>
      <w:bookmarkEnd w:id="70652"/>
      <w:r>
        <w:rPr>
          <w:rFonts w:hint="cs"/>
          <w:rtl/>
        </w:rPr>
        <w:t xml:space="preserve">הזו. </w:t>
      </w:r>
      <w:bookmarkStart w:id="70653" w:name="_ETM_Q125_226699"/>
      <w:bookmarkEnd w:id="70653"/>
      <w:r>
        <w:rPr>
          <w:rFonts w:hint="cs"/>
          <w:rtl/>
        </w:rPr>
        <w:t xml:space="preserve">הנזק </w:t>
      </w:r>
      <w:bookmarkStart w:id="70654" w:name="_ETM_Q125_227210"/>
      <w:bookmarkEnd w:id="70654"/>
      <w:r>
        <w:rPr>
          <w:rFonts w:hint="cs"/>
          <w:rtl/>
        </w:rPr>
        <w:t xml:space="preserve">שגרמתם – </w:t>
      </w:r>
      <w:bookmarkStart w:id="70655" w:name="_ETM_Q125_228670"/>
      <w:bookmarkEnd w:id="70655"/>
      <w:r>
        <w:rPr>
          <w:rFonts w:hint="cs"/>
          <w:rtl/>
        </w:rPr>
        <w:t xml:space="preserve">ייתכן </w:t>
      </w:r>
      <w:bookmarkStart w:id="70656" w:name="_ETM_Q125_229390"/>
      <w:bookmarkEnd w:id="70656"/>
      <w:r>
        <w:rPr>
          <w:rFonts w:hint="cs"/>
          <w:rtl/>
        </w:rPr>
        <w:t xml:space="preserve">ששנים </w:t>
      </w:r>
      <w:bookmarkStart w:id="70657" w:name="_ETM_Q125_229960"/>
      <w:bookmarkEnd w:id="70657"/>
      <w:r>
        <w:rPr>
          <w:rFonts w:hint="cs"/>
          <w:rtl/>
        </w:rPr>
        <w:t xml:space="preserve">נצטרך </w:t>
      </w:r>
      <w:bookmarkStart w:id="70658" w:name="_ETM_Q125_230440"/>
      <w:bookmarkEnd w:id="70658"/>
      <w:r>
        <w:rPr>
          <w:rFonts w:hint="cs"/>
          <w:rtl/>
        </w:rPr>
        <w:t xml:space="preserve">לתקן. </w:t>
      </w:r>
      <w:bookmarkStart w:id="70659" w:name="_ETM_Q125_231140"/>
      <w:bookmarkEnd w:id="70659"/>
      <w:r>
        <w:rPr>
          <w:rFonts w:hint="cs"/>
          <w:rtl/>
        </w:rPr>
        <w:t xml:space="preserve">עוד </w:t>
      </w:r>
      <w:bookmarkStart w:id="70660" w:name="_ETM_Q125_231380"/>
      <w:bookmarkEnd w:id="70660"/>
      <w:r>
        <w:rPr>
          <w:rFonts w:hint="cs"/>
          <w:rtl/>
        </w:rPr>
        <w:t xml:space="preserve">אפשר </w:t>
      </w:r>
      <w:bookmarkStart w:id="70661" w:name="_ETM_Q125_231770"/>
      <w:bookmarkEnd w:id="70661"/>
      <w:r>
        <w:rPr>
          <w:rFonts w:hint="cs"/>
          <w:rtl/>
        </w:rPr>
        <w:t xml:space="preserve">לעצור. </w:t>
      </w:r>
      <w:bookmarkStart w:id="70662" w:name="_ETM_Q125_233380"/>
      <w:bookmarkEnd w:id="70662"/>
      <w:r>
        <w:rPr>
          <w:rFonts w:hint="cs"/>
          <w:rtl/>
        </w:rPr>
        <w:t xml:space="preserve">התהליכים </w:t>
      </w:r>
      <w:bookmarkStart w:id="70663" w:name="_ETM_Q125_234070"/>
      <w:bookmarkEnd w:id="70663"/>
      <w:r>
        <w:rPr>
          <w:rFonts w:hint="cs"/>
          <w:rtl/>
        </w:rPr>
        <w:t xml:space="preserve">שעושים </w:t>
      </w:r>
      <w:bookmarkStart w:id="70664" w:name="_ETM_Q125_234460"/>
      <w:bookmarkEnd w:id="70664"/>
      <w:r>
        <w:rPr>
          <w:rFonts w:hint="cs"/>
          <w:rtl/>
        </w:rPr>
        <w:t xml:space="preserve">ראש </w:t>
      </w:r>
      <w:bookmarkStart w:id="70665" w:name="_ETM_Q125_234730"/>
      <w:bookmarkEnd w:id="70665"/>
      <w:r>
        <w:rPr>
          <w:rFonts w:hint="cs"/>
          <w:rtl/>
        </w:rPr>
        <w:t xml:space="preserve">הממשלה </w:t>
      </w:r>
      <w:bookmarkStart w:id="70666" w:name="_ETM_Q125_235390"/>
      <w:bookmarkEnd w:id="70666"/>
      <w:r>
        <w:rPr>
          <w:rFonts w:hint="cs"/>
          <w:rtl/>
        </w:rPr>
        <w:t xml:space="preserve">נתניהו, </w:t>
      </w:r>
      <w:bookmarkStart w:id="70667" w:name="_ETM_Q125_236200"/>
      <w:bookmarkEnd w:id="70667"/>
      <w:r>
        <w:rPr>
          <w:rFonts w:hint="cs"/>
          <w:rtl/>
        </w:rPr>
        <w:t xml:space="preserve">שר </w:t>
      </w:r>
      <w:bookmarkStart w:id="70668" w:name="_ETM_Q125_236560"/>
      <w:bookmarkEnd w:id="70668"/>
      <w:r>
        <w:rPr>
          <w:rFonts w:hint="cs"/>
          <w:rtl/>
        </w:rPr>
        <w:t xml:space="preserve">המשפטים </w:t>
      </w:r>
      <w:bookmarkStart w:id="70669" w:name="_ETM_Q125_237190"/>
      <w:bookmarkStart w:id="70670" w:name="_ETM_Q125_237430"/>
      <w:bookmarkEnd w:id="70669"/>
      <w:bookmarkEnd w:id="70670"/>
      <w:r>
        <w:rPr>
          <w:rFonts w:hint="cs"/>
          <w:rtl/>
        </w:rPr>
        <w:t xml:space="preserve">יריב </w:t>
      </w:r>
      <w:bookmarkStart w:id="70671" w:name="_ETM_Q125_237730"/>
      <w:bookmarkEnd w:id="70671"/>
      <w:r>
        <w:rPr>
          <w:rFonts w:hint="cs"/>
          <w:rtl/>
        </w:rPr>
        <w:t xml:space="preserve">לוין </w:t>
      </w:r>
      <w:bookmarkStart w:id="70672" w:name="_ETM_Q125_238420"/>
      <w:bookmarkEnd w:id="70672"/>
      <w:r>
        <w:rPr>
          <w:rFonts w:hint="cs"/>
          <w:rtl/>
        </w:rPr>
        <w:t xml:space="preserve">ושאר </w:t>
      </w:r>
      <w:bookmarkStart w:id="70673" w:name="_ETM_Q125_238840"/>
      <w:bookmarkEnd w:id="70673"/>
      <w:r>
        <w:rPr>
          <w:rFonts w:hint="cs"/>
          <w:rtl/>
        </w:rPr>
        <w:t xml:space="preserve">חברי </w:t>
      </w:r>
      <w:bookmarkStart w:id="70674" w:name="_ETM_Q125_239230"/>
      <w:bookmarkEnd w:id="70674"/>
      <w:r>
        <w:rPr>
          <w:rFonts w:hint="cs"/>
          <w:rtl/>
        </w:rPr>
        <w:t xml:space="preserve">הממשלה </w:t>
      </w:r>
      <w:bookmarkStart w:id="70675" w:name="_ETM_Q125_239740"/>
      <w:bookmarkEnd w:id="70675"/>
      <w:r>
        <w:rPr>
          <w:rFonts w:hint="cs"/>
          <w:rtl/>
        </w:rPr>
        <w:t xml:space="preserve">והקואליציה </w:t>
      </w:r>
      <w:bookmarkStart w:id="70676" w:name="_ETM_Q125_241139"/>
      <w:bookmarkEnd w:id="70676"/>
      <w:r>
        <w:rPr>
          <w:rFonts w:hint="cs"/>
          <w:rtl/>
        </w:rPr>
        <w:t xml:space="preserve">גורמים </w:t>
      </w:r>
      <w:bookmarkStart w:id="70677" w:name="_ETM_Q125_242249"/>
      <w:bookmarkEnd w:id="70677"/>
      <w:r>
        <w:rPr>
          <w:rFonts w:hint="cs"/>
          <w:rtl/>
        </w:rPr>
        <w:t xml:space="preserve">לפירוק </w:t>
      </w:r>
      <w:bookmarkStart w:id="70678" w:name="_ETM_Q125_242819"/>
      <w:bookmarkEnd w:id="70678"/>
      <w:r>
        <w:rPr>
          <w:rFonts w:hint="cs"/>
          <w:rtl/>
        </w:rPr>
        <w:t xml:space="preserve">התהליכים </w:t>
      </w:r>
      <w:bookmarkStart w:id="70679" w:name="_ETM_Q125_243420"/>
      <w:bookmarkEnd w:id="70679"/>
      <w:r>
        <w:rPr>
          <w:rFonts w:hint="cs"/>
          <w:rtl/>
        </w:rPr>
        <w:t xml:space="preserve">הדמוקרטיים </w:t>
      </w:r>
      <w:bookmarkStart w:id="70680" w:name="_ETM_Q125_244799"/>
      <w:bookmarkEnd w:id="70680"/>
      <w:r>
        <w:rPr>
          <w:rFonts w:hint="cs"/>
          <w:rtl/>
        </w:rPr>
        <w:t xml:space="preserve">במדינת </w:t>
      </w:r>
      <w:bookmarkStart w:id="70681" w:name="_ETM_Q125_245340"/>
      <w:bookmarkEnd w:id="70681"/>
      <w:r>
        <w:rPr>
          <w:rFonts w:hint="cs"/>
          <w:rtl/>
        </w:rPr>
        <w:t xml:space="preserve">ישראל. </w:t>
      </w:r>
      <w:bookmarkStart w:id="70682" w:name="_ETM_Q125_247020"/>
      <w:bookmarkStart w:id="70683" w:name="_ETM_Q125_247770"/>
      <w:bookmarkEnd w:id="70682"/>
      <w:bookmarkEnd w:id="70683"/>
      <w:r>
        <w:rPr>
          <w:rFonts w:hint="cs"/>
          <w:rtl/>
        </w:rPr>
        <w:t xml:space="preserve">באמצעות </w:t>
      </w:r>
      <w:bookmarkStart w:id="70684" w:name="_ETM_Q125_248670"/>
      <w:bookmarkEnd w:id="70684"/>
      <w:r>
        <w:rPr>
          <w:rFonts w:hint="cs"/>
          <w:rtl/>
        </w:rPr>
        <w:t xml:space="preserve">ביטול </w:t>
      </w:r>
      <w:bookmarkStart w:id="70685" w:name="_ETM_Q125_249180"/>
      <w:bookmarkEnd w:id="70685"/>
      <w:r>
        <w:rPr>
          <w:rFonts w:hint="cs"/>
          <w:rtl/>
        </w:rPr>
        <w:t xml:space="preserve">עילת </w:t>
      </w:r>
      <w:bookmarkStart w:id="70686" w:name="_ETM_Q125_249510"/>
      <w:bookmarkEnd w:id="70686"/>
      <w:r>
        <w:rPr>
          <w:rFonts w:hint="cs"/>
          <w:rtl/>
        </w:rPr>
        <w:t xml:space="preserve">הסבירות </w:t>
      </w:r>
      <w:bookmarkStart w:id="70687" w:name="_ETM_Q125_250390"/>
      <w:bookmarkEnd w:id="70687"/>
      <w:r>
        <w:rPr>
          <w:rFonts w:hint="cs"/>
          <w:rtl/>
        </w:rPr>
        <w:t xml:space="preserve">הם מאיימים על מתן </w:t>
      </w:r>
      <w:bookmarkStart w:id="70688" w:name="_ETM_Q125_251290"/>
      <w:bookmarkEnd w:id="70688"/>
      <w:r>
        <w:rPr>
          <w:rFonts w:hint="cs"/>
          <w:rtl/>
        </w:rPr>
        <w:t xml:space="preserve">אור </w:t>
      </w:r>
      <w:bookmarkStart w:id="70689" w:name="_ETM_Q125_251560"/>
      <w:bookmarkEnd w:id="70689"/>
      <w:r>
        <w:rPr>
          <w:rFonts w:hint="cs"/>
          <w:rtl/>
        </w:rPr>
        <w:t xml:space="preserve">ירוק </w:t>
      </w:r>
      <w:bookmarkStart w:id="70690" w:name="_ETM_Q125_252130"/>
      <w:bookmarkEnd w:id="70690"/>
      <w:r>
        <w:rPr>
          <w:rFonts w:hint="cs"/>
          <w:rtl/>
        </w:rPr>
        <w:t xml:space="preserve">להפעלת </w:t>
      </w:r>
      <w:bookmarkStart w:id="70691" w:name="_ETM_Q125_253180"/>
      <w:bookmarkEnd w:id="70691"/>
      <w:r>
        <w:rPr>
          <w:rFonts w:hint="cs"/>
          <w:rtl/>
        </w:rPr>
        <w:t xml:space="preserve">תהליכים </w:t>
      </w:r>
      <w:bookmarkStart w:id="70692" w:name="_ETM_Q125_253780"/>
      <w:bookmarkEnd w:id="70692"/>
      <w:r>
        <w:rPr>
          <w:rFonts w:hint="cs"/>
          <w:rtl/>
        </w:rPr>
        <w:t xml:space="preserve">רבים </w:t>
      </w:r>
      <w:bookmarkStart w:id="70693" w:name="_ETM_Q125_254590"/>
      <w:bookmarkEnd w:id="70693"/>
      <w:r>
        <w:rPr>
          <w:rFonts w:hint="cs"/>
          <w:rtl/>
        </w:rPr>
        <w:t xml:space="preserve">לשינוי </w:t>
      </w:r>
      <w:bookmarkStart w:id="70694" w:name="_ETM_Q125_255310"/>
      <w:bookmarkEnd w:id="70694"/>
      <w:r>
        <w:rPr>
          <w:rFonts w:hint="cs"/>
          <w:rtl/>
        </w:rPr>
        <w:t xml:space="preserve">המשטר </w:t>
      </w:r>
      <w:bookmarkStart w:id="70695" w:name="_ETM_Q125_255819"/>
      <w:bookmarkEnd w:id="70695"/>
      <w:r>
        <w:rPr>
          <w:rFonts w:hint="cs"/>
          <w:rtl/>
        </w:rPr>
        <w:t xml:space="preserve">הדמוקרטי </w:t>
      </w:r>
      <w:bookmarkStart w:id="70696" w:name="_ETM_Q125_256979"/>
      <w:bookmarkEnd w:id="70696"/>
      <w:r>
        <w:rPr>
          <w:rFonts w:hint="cs"/>
          <w:rtl/>
        </w:rPr>
        <w:t xml:space="preserve">במדינת </w:t>
      </w:r>
      <w:bookmarkStart w:id="70697" w:name="_ETM_Q125_257670"/>
      <w:bookmarkEnd w:id="70697"/>
      <w:r>
        <w:rPr>
          <w:rFonts w:hint="cs"/>
          <w:rtl/>
        </w:rPr>
        <w:t>ישראל.</w:t>
      </w:r>
    </w:p>
    <w:p w:rsidR="00BB59CD" w:rsidRDefault="00BB59CD" w:rsidP="00BB59CD">
      <w:pPr>
        <w:rPr>
          <w:rtl/>
        </w:rPr>
      </w:pPr>
      <w:bookmarkStart w:id="70698" w:name="_ETM_Q125_255741"/>
      <w:bookmarkStart w:id="70699" w:name="_ETM_Q125_255851"/>
      <w:bookmarkEnd w:id="70698"/>
      <w:bookmarkEnd w:id="70699"/>
    </w:p>
    <w:p w:rsidR="00BB59CD" w:rsidRDefault="00BB59CD" w:rsidP="006F4935">
      <w:pPr>
        <w:rPr>
          <w:rtl/>
        </w:rPr>
      </w:pPr>
      <w:bookmarkStart w:id="70700" w:name="_ETM_Q125_255948"/>
      <w:bookmarkStart w:id="70701" w:name="_ETM_Q125_256003"/>
      <w:bookmarkStart w:id="70702" w:name="_ETM_Q125_259530"/>
      <w:bookmarkEnd w:id="70700"/>
      <w:bookmarkEnd w:id="70701"/>
      <w:bookmarkEnd w:id="70702"/>
      <w:r>
        <w:rPr>
          <w:rFonts w:hint="cs"/>
          <w:rtl/>
        </w:rPr>
        <w:t xml:space="preserve">אני </w:t>
      </w:r>
      <w:bookmarkStart w:id="70703" w:name="_ETM_Q125_259890"/>
      <w:bookmarkEnd w:id="70703"/>
      <w:r>
        <w:rPr>
          <w:rFonts w:hint="cs"/>
          <w:rtl/>
        </w:rPr>
        <w:t xml:space="preserve">יוצאת, </w:t>
      </w:r>
      <w:bookmarkStart w:id="70704" w:name="_ETM_Q125_260250"/>
      <w:bookmarkEnd w:id="70704"/>
      <w:r>
        <w:rPr>
          <w:rFonts w:hint="cs"/>
          <w:rtl/>
        </w:rPr>
        <w:t xml:space="preserve">אדוני, </w:t>
      </w:r>
      <w:bookmarkStart w:id="70705" w:name="_ETM_Q125_260700"/>
      <w:bookmarkEnd w:id="70705"/>
      <w:r>
        <w:rPr>
          <w:rFonts w:hint="cs"/>
          <w:rtl/>
        </w:rPr>
        <w:t xml:space="preserve">לרחובות </w:t>
      </w:r>
      <w:bookmarkStart w:id="70706" w:name="_ETM_Q125_261900"/>
      <w:bookmarkEnd w:id="70706"/>
      <w:r>
        <w:rPr>
          <w:rFonts w:hint="cs"/>
          <w:rtl/>
        </w:rPr>
        <w:t xml:space="preserve">ואני </w:t>
      </w:r>
      <w:bookmarkStart w:id="70707" w:name="_ETM_Q125_262319"/>
      <w:bookmarkEnd w:id="70707"/>
      <w:r>
        <w:rPr>
          <w:rFonts w:hint="cs"/>
          <w:rtl/>
        </w:rPr>
        <w:t xml:space="preserve">שומעת: </w:t>
      </w:r>
      <w:bookmarkStart w:id="70708" w:name="_ETM_Q125_262890"/>
      <w:bookmarkEnd w:id="70708"/>
      <w:r>
        <w:rPr>
          <w:rFonts w:hint="cs"/>
          <w:rtl/>
        </w:rPr>
        <w:t xml:space="preserve">מה </w:t>
      </w:r>
      <w:bookmarkStart w:id="70709" w:name="_ETM_Q125_263100"/>
      <w:bookmarkEnd w:id="70709"/>
      <w:r>
        <w:rPr>
          <w:rFonts w:hint="cs"/>
          <w:rtl/>
        </w:rPr>
        <w:t>ההיסטריה</w:t>
      </w:r>
      <w:r w:rsidR="006F4935">
        <w:rPr>
          <w:rFonts w:hint="cs"/>
          <w:rtl/>
        </w:rPr>
        <w:t>,</w:t>
      </w:r>
      <w:r>
        <w:rPr>
          <w:rFonts w:hint="cs"/>
          <w:rtl/>
        </w:rPr>
        <w:t xml:space="preserve"> </w:t>
      </w:r>
      <w:bookmarkStart w:id="70710" w:name="_ETM_Q125_264030"/>
      <w:bookmarkEnd w:id="70710"/>
      <w:r>
        <w:rPr>
          <w:rFonts w:hint="cs"/>
          <w:rtl/>
        </w:rPr>
        <w:t xml:space="preserve">מה </w:t>
      </w:r>
      <w:bookmarkStart w:id="70711" w:name="_ETM_Q125_264330"/>
      <w:bookmarkEnd w:id="70711"/>
      <w:r>
        <w:rPr>
          <w:rFonts w:hint="cs"/>
          <w:rtl/>
        </w:rPr>
        <w:t xml:space="preserve">ההיסטריה? </w:t>
      </w:r>
      <w:bookmarkStart w:id="70712" w:name="_ETM_Q125_265560"/>
      <w:bookmarkEnd w:id="70712"/>
      <w:r>
        <w:rPr>
          <w:rFonts w:hint="cs"/>
          <w:rtl/>
        </w:rPr>
        <w:t xml:space="preserve">זו </w:t>
      </w:r>
      <w:bookmarkStart w:id="70713" w:name="_ETM_Q125_265860"/>
      <w:bookmarkEnd w:id="70713"/>
      <w:r>
        <w:rPr>
          <w:rFonts w:hint="cs"/>
          <w:rtl/>
        </w:rPr>
        <w:t xml:space="preserve">עילה, זו רק עילה. </w:t>
      </w:r>
      <w:bookmarkStart w:id="70714" w:name="_ETM_Q125_267979"/>
      <w:bookmarkEnd w:id="70714"/>
      <w:r>
        <w:rPr>
          <w:rFonts w:hint="cs"/>
          <w:rtl/>
        </w:rPr>
        <w:t xml:space="preserve">אני </w:t>
      </w:r>
      <w:bookmarkStart w:id="70715" w:name="_ETM_Q125_268310"/>
      <w:bookmarkEnd w:id="70715"/>
      <w:r>
        <w:rPr>
          <w:rFonts w:hint="cs"/>
          <w:rtl/>
        </w:rPr>
        <w:t xml:space="preserve">תוהה, </w:t>
      </w:r>
      <w:bookmarkStart w:id="70716" w:name="_ETM_Q125_269280"/>
      <w:bookmarkEnd w:id="70716"/>
      <w:r>
        <w:rPr>
          <w:rFonts w:hint="cs"/>
          <w:rtl/>
        </w:rPr>
        <w:t xml:space="preserve">העילה </w:t>
      </w:r>
      <w:bookmarkStart w:id="70717" w:name="_ETM_Q125_269759"/>
      <w:bookmarkEnd w:id="70717"/>
      <w:r>
        <w:rPr>
          <w:rFonts w:hint="cs"/>
          <w:rtl/>
        </w:rPr>
        <w:t xml:space="preserve">הזאת </w:t>
      </w:r>
      <w:bookmarkStart w:id="70718" w:name="_ETM_Q125_270030"/>
      <w:bookmarkStart w:id="70719" w:name="_ETM_Q125_270780"/>
      <w:bookmarkEnd w:id="70718"/>
      <w:bookmarkEnd w:id="70719"/>
      <w:r>
        <w:rPr>
          <w:rFonts w:hint="cs"/>
          <w:rtl/>
        </w:rPr>
        <w:t xml:space="preserve">הצילה </w:t>
      </w:r>
      <w:bookmarkStart w:id="70720" w:name="_ETM_Q125_271170"/>
      <w:bookmarkEnd w:id="70720"/>
      <w:r>
        <w:rPr>
          <w:rFonts w:hint="cs"/>
          <w:rtl/>
        </w:rPr>
        <w:t xml:space="preserve">לי </w:t>
      </w:r>
      <w:bookmarkStart w:id="70721" w:name="_ETM_Q125_271289"/>
      <w:bookmarkEnd w:id="70721"/>
      <w:r>
        <w:rPr>
          <w:rFonts w:hint="cs"/>
          <w:rtl/>
        </w:rPr>
        <w:t xml:space="preserve">את </w:t>
      </w:r>
      <w:bookmarkStart w:id="70722" w:name="_ETM_Q125_271380"/>
      <w:bookmarkEnd w:id="70722"/>
      <w:r>
        <w:rPr>
          <w:rFonts w:hint="cs"/>
          <w:rtl/>
        </w:rPr>
        <w:t xml:space="preserve">הבית, </w:t>
      </w:r>
      <w:bookmarkStart w:id="70723" w:name="_ETM_Q125_271979"/>
      <w:bookmarkEnd w:id="70723"/>
      <w:r>
        <w:rPr>
          <w:rFonts w:hint="cs"/>
          <w:rtl/>
        </w:rPr>
        <w:t xml:space="preserve">הצילה </w:t>
      </w:r>
      <w:bookmarkStart w:id="70724" w:name="_ETM_Q125_272369"/>
      <w:bookmarkEnd w:id="70724"/>
      <w:r>
        <w:rPr>
          <w:rFonts w:hint="cs"/>
          <w:rtl/>
        </w:rPr>
        <w:t xml:space="preserve">לי </w:t>
      </w:r>
      <w:bookmarkStart w:id="70725" w:name="_ETM_Q125_272459"/>
      <w:bookmarkEnd w:id="70725"/>
      <w:r>
        <w:rPr>
          <w:rFonts w:hint="cs"/>
          <w:rtl/>
        </w:rPr>
        <w:t xml:space="preserve">את </w:t>
      </w:r>
      <w:bookmarkStart w:id="70726" w:name="_ETM_Q125_272549"/>
      <w:bookmarkEnd w:id="70726"/>
      <w:r>
        <w:rPr>
          <w:rFonts w:hint="cs"/>
          <w:rtl/>
        </w:rPr>
        <w:t xml:space="preserve">הנכדים, </w:t>
      </w:r>
      <w:bookmarkStart w:id="70727" w:name="_ETM_Q125_273609"/>
      <w:bookmarkEnd w:id="70727"/>
      <w:r>
        <w:rPr>
          <w:rFonts w:hint="cs"/>
          <w:rtl/>
        </w:rPr>
        <w:t xml:space="preserve">הצילה </w:t>
      </w:r>
      <w:bookmarkStart w:id="70728" w:name="_ETM_Q125_274090"/>
      <w:bookmarkEnd w:id="70728"/>
      <w:r>
        <w:rPr>
          <w:rFonts w:hint="cs"/>
          <w:rtl/>
        </w:rPr>
        <w:t xml:space="preserve">את </w:t>
      </w:r>
      <w:bookmarkStart w:id="70729" w:name="_ETM_Q125_274240"/>
      <w:bookmarkEnd w:id="70729"/>
      <w:r>
        <w:rPr>
          <w:rFonts w:hint="cs"/>
          <w:rtl/>
        </w:rPr>
        <w:t xml:space="preserve">העיר </w:t>
      </w:r>
      <w:bookmarkStart w:id="70730" w:name="_ETM_Q125_274509"/>
      <w:bookmarkEnd w:id="70730"/>
      <w:r>
        <w:rPr>
          <w:rFonts w:hint="cs"/>
          <w:rtl/>
        </w:rPr>
        <w:t xml:space="preserve">שלי; כי </w:t>
      </w:r>
      <w:bookmarkStart w:id="70731" w:name="_ETM_Q125_275360"/>
      <w:bookmarkEnd w:id="70731"/>
      <w:r>
        <w:rPr>
          <w:rFonts w:hint="cs"/>
          <w:rtl/>
        </w:rPr>
        <w:t xml:space="preserve">דווקא </w:t>
      </w:r>
      <w:bookmarkStart w:id="70732" w:name="_ETM_Q125_276020"/>
      <w:bookmarkEnd w:id="70732"/>
      <w:r>
        <w:rPr>
          <w:rFonts w:hint="cs"/>
          <w:rtl/>
        </w:rPr>
        <w:t xml:space="preserve">בגלל </w:t>
      </w:r>
      <w:bookmarkStart w:id="70733" w:name="_ETM_Q125_276440"/>
      <w:bookmarkEnd w:id="70733"/>
      <w:r>
        <w:rPr>
          <w:rFonts w:hint="cs"/>
          <w:rtl/>
        </w:rPr>
        <w:t xml:space="preserve">עילת </w:t>
      </w:r>
      <w:bookmarkStart w:id="70734" w:name="_ETM_Q125_276860"/>
      <w:bookmarkEnd w:id="70734"/>
      <w:r>
        <w:rPr>
          <w:rFonts w:hint="cs"/>
          <w:rtl/>
        </w:rPr>
        <w:t xml:space="preserve">הסבירות </w:t>
      </w:r>
      <w:bookmarkStart w:id="70735" w:name="_ETM_Q125_277640"/>
      <w:bookmarkEnd w:id="70735"/>
      <w:r>
        <w:rPr>
          <w:rFonts w:hint="cs"/>
          <w:rtl/>
        </w:rPr>
        <w:t xml:space="preserve">בחרו </w:t>
      </w:r>
      <w:bookmarkStart w:id="70736" w:name="_ETM_Q125_278450"/>
      <w:bookmarkEnd w:id="70736"/>
      <w:r>
        <w:rPr>
          <w:rFonts w:hint="cs"/>
          <w:rtl/>
        </w:rPr>
        <w:t xml:space="preserve">למגן </w:t>
      </w:r>
      <w:bookmarkStart w:id="70737" w:name="_ETM_Q125_280069"/>
      <w:bookmarkEnd w:id="70737"/>
      <w:r>
        <w:rPr>
          <w:rFonts w:hint="cs"/>
          <w:rtl/>
        </w:rPr>
        <w:t xml:space="preserve">את </w:t>
      </w:r>
      <w:bookmarkStart w:id="70738" w:name="_ETM_Q125_280219"/>
      <w:bookmarkEnd w:id="70738"/>
      <w:r>
        <w:rPr>
          <w:rFonts w:hint="cs"/>
          <w:rtl/>
        </w:rPr>
        <w:t xml:space="preserve">בתי </w:t>
      </w:r>
      <w:bookmarkStart w:id="70739" w:name="_ETM_Q125_280520"/>
      <w:bookmarkEnd w:id="70739"/>
      <w:r>
        <w:rPr>
          <w:rFonts w:hint="cs"/>
          <w:rtl/>
        </w:rPr>
        <w:t xml:space="preserve">הספר, </w:t>
      </w:r>
      <w:bookmarkStart w:id="70740" w:name="_ETM_Q125_281900"/>
      <w:bookmarkEnd w:id="70740"/>
      <w:r>
        <w:rPr>
          <w:rFonts w:hint="cs"/>
          <w:rtl/>
        </w:rPr>
        <w:t xml:space="preserve">את </w:t>
      </w:r>
      <w:bookmarkStart w:id="70741" w:name="_ETM_Q125_282110"/>
      <w:bookmarkEnd w:id="70741"/>
      <w:r>
        <w:rPr>
          <w:rFonts w:hint="cs"/>
          <w:rtl/>
        </w:rPr>
        <w:t xml:space="preserve">הגנים, </w:t>
      </w:r>
      <w:bookmarkStart w:id="70742" w:name="_ETM_Q125_282830"/>
      <w:bookmarkEnd w:id="70742"/>
      <w:r>
        <w:rPr>
          <w:rFonts w:hint="cs"/>
          <w:rtl/>
        </w:rPr>
        <w:t xml:space="preserve">את </w:t>
      </w:r>
      <w:bookmarkStart w:id="70743" w:name="_ETM_Q125_282980"/>
      <w:bookmarkEnd w:id="70743"/>
      <w:r>
        <w:rPr>
          <w:rFonts w:hint="cs"/>
          <w:rtl/>
        </w:rPr>
        <w:t xml:space="preserve">מערכת </w:t>
      </w:r>
      <w:bookmarkStart w:id="70744" w:name="_ETM_Q125_283520"/>
      <w:bookmarkEnd w:id="70744"/>
      <w:r>
        <w:rPr>
          <w:rFonts w:hint="cs"/>
          <w:rtl/>
        </w:rPr>
        <w:t xml:space="preserve">החינוך </w:t>
      </w:r>
      <w:bookmarkStart w:id="70745" w:name="_ETM_Q125_285250"/>
      <w:bookmarkEnd w:id="70745"/>
      <w:r>
        <w:rPr>
          <w:rFonts w:hint="cs"/>
          <w:rtl/>
        </w:rPr>
        <w:t xml:space="preserve">בעוטף </w:t>
      </w:r>
      <w:bookmarkStart w:id="70746" w:name="_ETM_Q125_285760"/>
      <w:bookmarkEnd w:id="70746"/>
      <w:r>
        <w:rPr>
          <w:rFonts w:hint="cs"/>
          <w:rtl/>
        </w:rPr>
        <w:t xml:space="preserve">עזה </w:t>
      </w:r>
      <w:bookmarkStart w:id="70747" w:name="_ETM_Q125_286150"/>
      <w:bookmarkEnd w:id="70747"/>
      <w:r>
        <w:rPr>
          <w:rFonts w:hint="cs"/>
          <w:rtl/>
        </w:rPr>
        <w:t xml:space="preserve">ובשדרות. </w:t>
      </w:r>
      <w:bookmarkStart w:id="70748" w:name="_ETM_Q125_287260"/>
      <w:bookmarkEnd w:id="70748"/>
      <w:r>
        <w:rPr>
          <w:rFonts w:hint="cs"/>
          <w:rtl/>
        </w:rPr>
        <w:t xml:space="preserve">אני </w:t>
      </w:r>
      <w:bookmarkStart w:id="70749" w:name="_ETM_Q125_287470"/>
      <w:bookmarkEnd w:id="70749"/>
      <w:r>
        <w:rPr>
          <w:rFonts w:hint="cs"/>
          <w:rtl/>
        </w:rPr>
        <w:t xml:space="preserve">לא </w:t>
      </w:r>
      <w:bookmarkStart w:id="70750" w:name="_ETM_Q125_287560"/>
      <w:bookmarkEnd w:id="70750"/>
      <w:r>
        <w:rPr>
          <w:rFonts w:hint="cs"/>
          <w:rtl/>
        </w:rPr>
        <w:t xml:space="preserve">רוצה </w:t>
      </w:r>
      <w:bookmarkStart w:id="70751" w:name="_ETM_Q125_287860"/>
      <w:bookmarkEnd w:id="70751"/>
      <w:r>
        <w:rPr>
          <w:rFonts w:hint="cs"/>
          <w:rtl/>
        </w:rPr>
        <w:t xml:space="preserve">לחשוב </w:t>
      </w:r>
      <w:bookmarkStart w:id="70752" w:name="_ETM_Q125_288580"/>
      <w:bookmarkEnd w:id="70752"/>
      <w:r>
        <w:rPr>
          <w:rFonts w:hint="cs"/>
          <w:rtl/>
        </w:rPr>
        <w:t xml:space="preserve">מה </w:t>
      </w:r>
      <w:bookmarkStart w:id="70753" w:name="_ETM_Q125_288790"/>
      <w:bookmarkEnd w:id="70753"/>
      <w:r>
        <w:rPr>
          <w:rFonts w:hint="cs"/>
          <w:rtl/>
        </w:rPr>
        <w:t xml:space="preserve">היה </w:t>
      </w:r>
      <w:bookmarkStart w:id="70754" w:name="_ETM_Q125_289030"/>
      <w:bookmarkEnd w:id="70754"/>
      <w:r>
        <w:rPr>
          <w:rFonts w:hint="cs"/>
          <w:rtl/>
        </w:rPr>
        <w:t xml:space="preserve">קורה </w:t>
      </w:r>
      <w:bookmarkStart w:id="70755" w:name="_ETM_Q125_289330"/>
      <w:bookmarkEnd w:id="70755"/>
      <w:r>
        <w:rPr>
          <w:rFonts w:hint="cs"/>
          <w:rtl/>
        </w:rPr>
        <w:t xml:space="preserve">אלמלא </w:t>
      </w:r>
      <w:bookmarkStart w:id="70756" w:name="_ETM_Q125_289720"/>
      <w:bookmarkStart w:id="70757" w:name="_ETM_Q125_289900"/>
      <w:bookmarkEnd w:id="70756"/>
      <w:bookmarkEnd w:id="70757"/>
      <w:r>
        <w:rPr>
          <w:rFonts w:hint="cs"/>
          <w:rtl/>
        </w:rPr>
        <w:t xml:space="preserve">הייתה </w:t>
      </w:r>
      <w:bookmarkStart w:id="70758" w:name="_ETM_Q125_290230"/>
      <w:bookmarkEnd w:id="70758"/>
      <w:r>
        <w:rPr>
          <w:rFonts w:hint="cs"/>
          <w:rtl/>
        </w:rPr>
        <w:t xml:space="preserve">העילה </w:t>
      </w:r>
      <w:bookmarkStart w:id="70759" w:name="_ETM_Q125_290350"/>
      <w:bookmarkEnd w:id="70759"/>
      <w:r>
        <w:rPr>
          <w:rFonts w:hint="cs"/>
          <w:rtl/>
        </w:rPr>
        <w:t xml:space="preserve">הזו, </w:t>
      </w:r>
      <w:bookmarkStart w:id="70760" w:name="_ETM_Q125_291360"/>
      <w:bookmarkEnd w:id="70760"/>
      <w:r>
        <w:rPr>
          <w:rFonts w:hint="cs"/>
          <w:rtl/>
        </w:rPr>
        <w:t xml:space="preserve">כמה </w:t>
      </w:r>
      <w:bookmarkStart w:id="70761" w:name="_ETM_Q125_291750"/>
      <w:bookmarkEnd w:id="70761"/>
      <w:r>
        <w:rPr>
          <w:rFonts w:hint="cs"/>
          <w:rtl/>
        </w:rPr>
        <w:t xml:space="preserve">קורבנות </w:t>
      </w:r>
      <w:bookmarkStart w:id="70762" w:name="_ETM_Q125_292380"/>
      <w:bookmarkEnd w:id="70762"/>
      <w:r>
        <w:rPr>
          <w:rFonts w:hint="cs"/>
          <w:rtl/>
        </w:rPr>
        <w:t>וילדים</w:t>
      </w:r>
      <w:r w:rsidR="006F4935">
        <w:rPr>
          <w:rFonts w:hint="cs"/>
          <w:rtl/>
        </w:rPr>
        <w:t>,</w:t>
      </w:r>
      <w:r>
        <w:rPr>
          <w:rFonts w:hint="cs"/>
          <w:rtl/>
        </w:rPr>
        <w:t xml:space="preserve"> </w:t>
      </w:r>
      <w:bookmarkStart w:id="70763" w:name="_ETM_Q125_293220"/>
      <w:bookmarkEnd w:id="70763"/>
      <w:r>
        <w:rPr>
          <w:rFonts w:hint="cs"/>
          <w:rtl/>
        </w:rPr>
        <w:t>חלילה</w:t>
      </w:r>
      <w:r w:rsidR="006F4935">
        <w:rPr>
          <w:rFonts w:hint="cs"/>
          <w:rtl/>
        </w:rPr>
        <w:t>,</w:t>
      </w:r>
      <w:r>
        <w:rPr>
          <w:rFonts w:hint="cs"/>
          <w:rtl/>
        </w:rPr>
        <w:t xml:space="preserve"> </w:t>
      </w:r>
      <w:bookmarkStart w:id="70764" w:name="_ETM_Q125_293729"/>
      <w:bookmarkEnd w:id="70764"/>
      <w:r>
        <w:rPr>
          <w:rFonts w:hint="cs"/>
          <w:rtl/>
        </w:rPr>
        <w:t xml:space="preserve">היינו </w:t>
      </w:r>
      <w:bookmarkStart w:id="70765" w:name="_ETM_Q125_294030"/>
      <w:bookmarkEnd w:id="70765"/>
      <w:r>
        <w:rPr>
          <w:rFonts w:hint="cs"/>
          <w:rtl/>
        </w:rPr>
        <w:t xml:space="preserve">קוברים. </w:t>
      </w:r>
      <w:bookmarkStart w:id="70766" w:name="_ETM_Q125_295020"/>
      <w:bookmarkStart w:id="70767" w:name="_ETM_Q125_300316"/>
      <w:bookmarkStart w:id="70768" w:name="_ETM_Q125_300405"/>
      <w:bookmarkEnd w:id="70766"/>
      <w:bookmarkEnd w:id="70767"/>
      <w:bookmarkEnd w:id="70768"/>
      <w:r>
        <w:rPr>
          <w:rFonts w:hint="cs"/>
          <w:rtl/>
        </w:rPr>
        <w:t xml:space="preserve">אז </w:t>
      </w:r>
      <w:bookmarkStart w:id="70769" w:name="_ETM_Q125_295260"/>
      <w:bookmarkEnd w:id="70769"/>
      <w:r>
        <w:rPr>
          <w:rFonts w:hint="cs"/>
          <w:rtl/>
        </w:rPr>
        <w:t xml:space="preserve">אני, </w:t>
      </w:r>
      <w:bookmarkStart w:id="70770" w:name="_ETM_Q125_296009"/>
      <w:bookmarkEnd w:id="70770"/>
      <w:r>
        <w:rPr>
          <w:rFonts w:hint="cs"/>
          <w:rtl/>
        </w:rPr>
        <w:t xml:space="preserve">כתושבת </w:t>
      </w:r>
      <w:bookmarkStart w:id="70771" w:name="_ETM_Q125_296759"/>
      <w:bookmarkEnd w:id="70771"/>
      <w:r>
        <w:rPr>
          <w:rFonts w:hint="cs"/>
          <w:rtl/>
        </w:rPr>
        <w:t xml:space="preserve">הדרום, </w:t>
      </w:r>
      <w:bookmarkStart w:id="70772" w:name="_ETM_Q125_298160"/>
      <w:bookmarkEnd w:id="70772"/>
      <w:r>
        <w:rPr>
          <w:rFonts w:hint="cs"/>
          <w:rtl/>
        </w:rPr>
        <w:t xml:space="preserve">כאימא </w:t>
      </w:r>
      <w:bookmarkStart w:id="70773" w:name="_ETM_Q125_298850"/>
      <w:bookmarkEnd w:id="70773"/>
      <w:r>
        <w:rPr>
          <w:rFonts w:hint="cs"/>
          <w:rtl/>
        </w:rPr>
        <w:t xml:space="preserve">שמתגוררת </w:t>
      </w:r>
      <w:bookmarkStart w:id="70774" w:name="_ETM_Q125_299570"/>
      <w:bookmarkEnd w:id="70774"/>
      <w:r>
        <w:rPr>
          <w:rFonts w:hint="cs"/>
          <w:rtl/>
        </w:rPr>
        <w:t xml:space="preserve">בשדרות </w:t>
      </w:r>
      <w:bookmarkStart w:id="70775" w:name="_ETM_Q125_300200"/>
      <w:bookmarkEnd w:id="70775"/>
      <w:r>
        <w:rPr>
          <w:rFonts w:hint="cs"/>
          <w:rtl/>
        </w:rPr>
        <w:t xml:space="preserve">ויש </w:t>
      </w:r>
      <w:bookmarkStart w:id="70776" w:name="_ETM_Q125_300440"/>
      <w:bookmarkEnd w:id="70776"/>
      <w:r>
        <w:rPr>
          <w:rFonts w:hint="cs"/>
          <w:rtl/>
        </w:rPr>
        <w:t xml:space="preserve">לה </w:t>
      </w:r>
      <w:bookmarkStart w:id="70777" w:name="_ETM_Q125_300560"/>
      <w:bookmarkEnd w:id="70777"/>
      <w:r>
        <w:rPr>
          <w:rFonts w:hint="cs"/>
          <w:rtl/>
        </w:rPr>
        <w:t xml:space="preserve">נכדים </w:t>
      </w:r>
      <w:bookmarkStart w:id="70778" w:name="_ETM_Q125_301070"/>
      <w:bookmarkEnd w:id="70778"/>
      <w:r>
        <w:rPr>
          <w:rFonts w:hint="cs"/>
          <w:rtl/>
        </w:rPr>
        <w:t xml:space="preserve">בכפר </w:t>
      </w:r>
      <w:bookmarkStart w:id="70779" w:name="_ETM_Q125_301460"/>
      <w:bookmarkEnd w:id="70779"/>
      <w:r>
        <w:rPr>
          <w:rFonts w:hint="cs"/>
          <w:rtl/>
        </w:rPr>
        <w:t xml:space="preserve">עזה, </w:t>
      </w:r>
      <w:bookmarkStart w:id="70780" w:name="_ETM_Q125_302300"/>
      <w:bookmarkEnd w:id="70780"/>
      <w:r>
        <w:rPr>
          <w:rFonts w:hint="cs"/>
          <w:rtl/>
        </w:rPr>
        <w:t xml:space="preserve">אני </w:t>
      </w:r>
      <w:bookmarkStart w:id="70781" w:name="_ETM_Q125_302600"/>
      <w:bookmarkEnd w:id="70781"/>
      <w:r>
        <w:rPr>
          <w:rFonts w:hint="cs"/>
          <w:rtl/>
        </w:rPr>
        <w:t xml:space="preserve">חייבת </w:t>
      </w:r>
      <w:bookmarkStart w:id="70782" w:name="_ETM_Q125_303140"/>
      <w:bookmarkEnd w:id="70782"/>
      <w:r>
        <w:rPr>
          <w:rFonts w:hint="cs"/>
          <w:rtl/>
        </w:rPr>
        <w:t xml:space="preserve">לעילה </w:t>
      </w:r>
      <w:bookmarkStart w:id="70783" w:name="_ETM_Q125_303590"/>
      <w:bookmarkEnd w:id="70783"/>
      <w:r>
        <w:rPr>
          <w:rFonts w:hint="cs"/>
          <w:rtl/>
        </w:rPr>
        <w:t xml:space="preserve">הזו </w:t>
      </w:r>
      <w:bookmarkStart w:id="70784" w:name="_ETM_Q125_304460"/>
      <w:bookmarkEnd w:id="70784"/>
      <w:r>
        <w:rPr>
          <w:rFonts w:hint="cs"/>
          <w:rtl/>
        </w:rPr>
        <w:t xml:space="preserve">את </w:t>
      </w:r>
      <w:bookmarkStart w:id="70785" w:name="_ETM_Q125_304640"/>
      <w:bookmarkEnd w:id="70785"/>
      <w:r>
        <w:rPr>
          <w:rFonts w:hint="cs"/>
          <w:rtl/>
        </w:rPr>
        <w:t xml:space="preserve">חיי </w:t>
      </w:r>
      <w:bookmarkStart w:id="70786" w:name="_ETM_Q125_305030"/>
      <w:bookmarkEnd w:id="70786"/>
      <w:r>
        <w:rPr>
          <w:rFonts w:hint="cs"/>
          <w:rtl/>
        </w:rPr>
        <w:t xml:space="preserve">נכדיי </w:t>
      </w:r>
      <w:bookmarkStart w:id="70787" w:name="_ETM_Q125_305840"/>
      <w:bookmarkEnd w:id="70787"/>
      <w:r>
        <w:rPr>
          <w:rFonts w:hint="cs"/>
          <w:rtl/>
        </w:rPr>
        <w:t xml:space="preserve">וחיי </w:t>
      </w:r>
      <w:bookmarkStart w:id="70788" w:name="_ETM_Q125_306290"/>
      <w:bookmarkEnd w:id="70788"/>
      <w:r>
        <w:rPr>
          <w:rFonts w:hint="cs"/>
          <w:rtl/>
        </w:rPr>
        <w:t xml:space="preserve">ילדיי. </w:t>
      </w:r>
      <w:bookmarkStart w:id="70789" w:name="_ETM_Q125_307369"/>
      <w:bookmarkStart w:id="70790" w:name="_ETM_Q125_308559"/>
      <w:bookmarkStart w:id="70791" w:name="_ETM_Q125_308609"/>
      <w:bookmarkStart w:id="70792" w:name="_ETM_Q125_308719"/>
      <w:bookmarkStart w:id="70793" w:name="_ETM_Q125_308762"/>
      <w:bookmarkEnd w:id="70789"/>
      <w:bookmarkEnd w:id="70790"/>
      <w:bookmarkEnd w:id="70791"/>
      <w:bookmarkEnd w:id="70792"/>
      <w:bookmarkEnd w:id="70793"/>
      <w:r>
        <w:rPr>
          <w:rFonts w:hint="cs"/>
          <w:rtl/>
        </w:rPr>
        <w:t xml:space="preserve">אז </w:t>
      </w:r>
      <w:bookmarkStart w:id="70794" w:name="_ETM_Q125_307819"/>
      <w:bookmarkEnd w:id="70794"/>
      <w:r>
        <w:rPr>
          <w:rFonts w:hint="cs"/>
          <w:rtl/>
        </w:rPr>
        <w:t>בואו</w:t>
      </w:r>
      <w:r w:rsidR="006F4935">
        <w:rPr>
          <w:rFonts w:hint="cs"/>
          <w:rtl/>
        </w:rPr>
        <w:t>,</w:t>
      </w:r>
      <w:r>
        <w:rPr>
          <w:rFonts w:hint="cs"/>
          <w:rtl/>
        </w:rPr>
        <w:t xml:space="preserve"> </w:t>
      </w:r>
      <w:bookmarkStart w:id="70795" w:name="_ETM_Q125_308239"/>
      <w:bookmarkEnd w:id="70795"/>
      <w:r w:rsidR="006F4935">
        <w:rPr>
          <w:rFonts w:hint="cs"/>
          <w:rtl/>
        </w:rPr>
        <w:t>תי</w:t>
      </w:r>
      <w:r>
        <w:rPr>
          <w:rFonts w:hint="cs"/>
          <w:rtl/>
        </w:rPr>
        <w:t xml:space="preserve">מנעו </w:t>
      </w:r>
      <w:bookmarkStart w:id="70796" w:name="_ETM_Q125_308840"/>
      <w:bookmarkEnd w:id="70796"/>
      <w:r>
        <w:rPr>
          <w:rFonts w:hint="cs"/>
          <w:rtl/>
        </w:rPr>
        <w:t xml:space="preserve">מלשאול </w:t>
      </w:r>
      <w:bookmarkStart w:id="70797" w:name="_ETM_Q125_309470"/>
      <w:bookmarkEnd w:id="70797"/>
      <w:r>
        <w:rPr>
          <w:rFonts w:hint="cs"/>
          <w:rtl/>
        </w:rPr>
        <w:t>למה.</w:t>
      </w:r>
    </w:p>
    <w:p w:rsidR="00BB59CD" w:rsidRDefault="00BB59CD" w:rsidP="00BB59CD">
      <w:pPr>
        <w:rPr>
          <w:rtl/>
        </w:rPr>
      </w:pPr>
      <w:bookmarkStart w:id="70798" w:name="_ETM_Q125_309127"/>
      <w:bookmarkStart w:id="70799" w:name="_ETM_Q125_309186"/>
      <w:bookmarkEnd w:id="70798"/>
      <w:bookmarkEnd w:id="70799"/>
    </w:p>
    <w:p w:rsidR="00BB59CD" w:rsidRDefault="00BB59CD" w:rsidP="006F4935">
      <w:pPr>
        <w:rPr>
          <w:rtl/>
        </w:rPr>
      </w:pPr>
      <w:bookmarkStart w:id="70800" w:name="_ETM_Q125_309270"/>
      <w:bookmarkStart w:id="70801" w:name="_ETM_Q125_309326"/>
      <w:bookmarkStart w:id="70802" w:name="_ETM_Q125_310430"/>
      <w:bookmarkStart w:id="70803" w:name="_ETM_Q125_310970"/>
      <w:bookmarkEnd w:id="70800"/>
      <w:bookmarkEnd w:id="70801"/>
      <w:bookmarkEnd w:id="70802"/>
      <w:bookmarkEnd w:id="70803"/>
      <w:r>
        <w:rPr>
          <w:rFonts w:hint="cs"/>
          <w:rtl/>
        </w:rPr>
        <w:t xml:space="preserve">אם </w:t>
      </w:r>
      <w:bookmarkStart w:id="70804" w:name="_ETM_Q125_311090"/>
      <w:bookmarkEnd w:id="70804"/>
      <w:r>
        <w:rPr>
          <w:rFonts w:hint="cs"/>
          <w:rtl/>
        </w:rPr>
        <w:t xml:space="preserve">נעבור </w:t>
      </w:r>
      <w:bookmarkStart w:id="70805" w:name="_ETM_Q125_311569"/>
      <w:bookmarkEnd w:id="70805"/>
      <w:r>
        <w:rPr>
          <w:rFonts w:hint="cs"/>
          <w:rtl/>
        </w:rPr>
        <w:t xml:space="preserve">על </w:t>
      </w:r>
      <w:bookmarkStart w:id="70806" w:name="_ETM_Q125_311689"/>
      <w:bookmarkEnd w:id="70806"/>
      <w:r>
        <w:rPr>
          <w:rFonts w:hint="cs"/>
          <w:rtl/>
        </w:rPr>
        <w:t xml:space="preserve">כל </w:t>
      </w:r>
      <w:bookmarkStart w:id="70807" w:name="_ETM_Q125_312019"/>
      <w:bookmarkEnd w:id="70807"/>
      <w:r>
        <w:rPr>
          <w:rFonts w:hint="cs"/>
          <w:rtl/>
        </w:rPr>
        <w:t xml:space="preserve">ההיסטוריה, </w:t>
      </w:r>
      <w:bookmarkStart w:id="70808" w:name="_ETM_Q125_313600"/>
      <w:bookmarkEnd w:id="70808"/>
      <w:r>
        <w:rPr>
          <w:rFonts w:hint="cs"/>
          <w:rtl/>
        </w:rPr>
        <w:t xml:space="preserve">כל </w:t>
      </w:r>
      <w:bookmarkStart w:id="70809" w:name="_ETM_Q125_313900"/>
      <w:bookmarkEnd w:id="70809"/>
      <w:r>
        <w:rPr>
          <w:rFonts w:hint="cs"/>
          <w:rtl/>
        </w:rPr>
        <w:t xml:space="preserve">ההיסטוריה </w:t>
      </w:r>
      <w:bookmarkStart w:id="70810" w:name="_ETM_Q125_314680"/>
      <w:bookmarkEnd w:id="70810"/>
      <w:r>
        <w:rPr>
          <w:rFonts w:hint="cs"/>
          <w:rtl/>
        </w:rPr>
        <w:t xml:space="preserve">של עילת הסבירות </w:t>
      </w:r>
      <w:bookmarkStart w:id="70811" w:name="_ETM_Q125_316300"/>
      <w:bookmarkEnd w:id="70811"/>
      <w:r>
        <w:rPr>
          <w:rFonts w:hint="cs"/>
          <w:rtl/>
        </w:rPr>
        <w:t xml:space="preserve">והשימוש </w:t>
      </w:r>
      <w:bookmarkStart w:id="70812" w:name="_ETM_Q125_316960"/>
      <w:bookmarkEnd w:id="70812"/>
      <w:r>
        <w:rPr>
          <w:rFonts w:hint="cs"/>
          <w:rtl/>
        </w:rPr>
        <w:t xml:space="preserve">בה של </w:t>
      </w:r>
      <w:bookmarkStart w:id="70813" w:name="_ETM_Q125_317110"/>
      <w:bookmarkEnd w:id="70813"/>
      <w:r>
        <w:rPr>
          <w:rFonts w:hint="cs"/>
          <w:rtl/>
        </w:rPr>
        <w:t xml:space="preserve">בית </w:t>
      </w:r>
      <w:bookmarkStart w:id="70814" w:name="_ETM_Q125_317350"/>
      <w:bookmarkEnd w:id="70814"/>
      <w:r w:rsidR="006F4935">
        <w:rPr>
          <w:rFonts w:hint="cs"/>
          <w:rtl/>
        </w:rPr>
        <w:t>ה</w:t>
      </w:r>
      <w:r>
        <w:rPr>
          <w:rFonts w:hint="cs"/>
          <w:rtl/>
        </w:rPr>
        <w:t xml:space="preserve">משפט </w:t>
      </w:r>
      <w:bookmarkStart w:id="70815" w:name="_ETM_Q125_318799"/>
      <w:bookmarkEnd w:id="70815"/>
      <w:r w:rsidR="006F4935">
        <w:rPr>
          <w:rFonts w:hint="eastAsia"/>
          <w:rtl/>
        </w:rPr>
        <w:t>–</w:t>
      </w:r>
      <w:r w:rsidR="006F4935">
        <w:rPr>
          <w:rFonts w:hint="cs"/>
          <w:rtl/>
        </w:rPr>
        <w:t xml:space="preserve"> </w:t>
      </w:r>
      <w:r>
        <w:rPr>
          <w:rFonts w:hint="cs"/>
          <w:rtl/>
        </w:rPr>
        <w:t xml:space="preserve">כמה </w:t>
      </w:r>
      <w:bookmarkStart w:id="70816" w:name="_ETM_Q125_319279"/>
      <w:bookmarkEnd w:id="70816"/>
      <w:r>
        <w:rPr>
          <w:rFonts w:hint="cs"/>
          <w:rtl/>
        </w:rPr>
        <w:t xml:space="preserve">הם </w:t>
      </w:r>
      <w:bookmarkStart w:id="70817" w:name="_ETM_Q125_319370"/>
      <w:bookmarkEnd w:id="70817"/>
      <w:r>
        <w:rPr>
          <w:rFonts w:hint="cs"/>
          <w:rtl/>
        </w:rPr>
        <w:t xml:space="preserve">כבר </w:t>
      </w:r>
      <w:bookmarkStart w:id="70818" w:name="_ETM_Q125_319879"/>
      <w:bookmarkEnd w:id="70818"/>
      <w:r>
        <w:rPr>
          <w:rFonts w:hint="cs"/>
          <w:rtl/>
        </w:rPr>
        <w:t xml:space="preserve">השתמשו? </w:t>
      </w:r>
      <w:bookmarkStart w:id="70819" w:name="_ETM_Q125_321210"/>
      <w:bookmarkEnd w:id="70819"/>
      <w:r>
        <w:rPr>
          <w:rFonts w:hint="cs"/>
          <w:rtl/>
        </w:rPr>
        <w:t xml:space="preserve">תראו </w:t>
      </w:r>
      <w:bookmarkStart w:id="70820" w:name="_ETM_Q125_321750"/>
      <w:bookmarkEnd w:id="70820"/>
      <w:r>
        <w:rPr>
          <w:rFonts w:hint="cs"/>
          <w:rtl/>
        </w:rPr>
        <w:t xml:space="preserve">לי </w:t>
      </w:r>
      <w:bookmarkStart w:id="70821" w:name="_ETM_Q125_321990"/>
      <w:bookmarkEnd w:id="70821"/>
      <w:r>
        <w:rPr>
          <w:rFonts w:hint="cs"/>
          <w:rtl/>
        </w:rPr>
        <w:t xml:space="preserve">עילה </w:t>
      </w:r>
      <w:bookmarkStart w:id="70822" w:name="_ETM_Q125_322230"/>
      <w:bookmarkStart w:id="70823" w:name="_ETM_Q125_322950"/>
      <w:bookmarkEnd w:id="70822"/>
      <w:bookmarkEnd w:id="70823"/>
      <w:r>
        <w:rPr>
          <w:rFonts w:hint="cs"/>
          <w:rtl/>
        </w:rPr>
        <w:t xml:space="preserve">אחת </w:t>
      </w:r>
      <w:bookmarkStart w:id="70824" w:name="_ETM_Q125_324974"/>
      <w:bookmarkEnd w:id="70824"/>
      <w:r>
        <w:rPr>
          <w:rFonts w:hint="cs"/>
          <w:rtl/>
        </w:rPr>
        <w:t xml:space="preserve">שאתם </w:t>
      </w:r>
      <w:bookmarkStart w:id="70825" w:name="_ETM_Q125_323250"/>
      <w:bookmarkEnd w:id="70825"/>
      <w:r>
        <w:rPr>
          <w:rFonts w:hint="cs"/>
          <w:rtl/>
        </w:rPr>
        <w:t xml:space="preserve">חושבים </w:t>
      </w:r>
      <w:bookmarkStart w:id="70826" w:name="_ETM_Q125_323639"/>
      <w:bookmarkEnd w:id="70826"/>
      <w:r>
        <w:rPr>
          <w:rFonts w:hint="cs"/>
          <w:rtl/>
        </w:rPr>
        <w:t xml:space="preserve">שהיא </w:t>
      </w:r>
      <w:bookmarkStart w:id="70827" w:name="_ETM_Q125_323880"/>
      <w:bookmarkEnd w:id="70827"/>
      <w:r>
        <w:rPr>
          <w:rFonts w:hint="cs"/>
          <w:rtl/>
        </w:rPr>
        <w:t xml:space="preserve">לא </w:t>
      </w:r>
      <w:bookmarkStart w:id="70828" w:name="_ETM_Q125_324000"/>
      <w:bookmarkEnd w:id="70828"/>
      <w:r>
        <w:rPr>
          <w:rFonts w:hint="cs"/>
          <w:rtl/>
        </w:rPr>
        <w:t xml:space="preserve">הייתה </w:t>
      </w:r>
      <w:bookmarkStart w:id="70829" w:name="_ETM_Q125_324300"/>
      <w:bookmarkEnd w:id="70829"/>
      <w:r>
        <w:rPr>
          <w:rFonts w:hint="cs"/>
          <w:rtl/>
        </w:rPr>
        <w:t xml:space="preserve">סבירה. </w:t>
      </w:r>
      <w:bookmarkStart w:id="70830" w:name="_ETM_Q125_325930"/>
      <w:bookmarkEnd w:id="70830"/>
      <w:r>
        <w:rPr>
          <w:rFonts w:hint="cs"/>
          <w:rtl/>
        </w:rPr>
        <w:t xml:space="preserve">ואני </w:t>
      </w:r>
      <w:bookmarkStart w:id="70831" w:name="_ETM_Q125_326169"/>
      <w:bookmarkEnd w:id="70831"/>
      <w:r>
        <w:rPr>
          <w:rFonts w:hint="cs"/>
          <w:rtl/>
        </w:rPr>
        <w:t xml:space="preserve">אומר </w:t>
      </w:r>
      <w:bookmarkStart w:id="70832" w:name="_ETM_Q125_326740"/>
      <w:bookmarkEnd w:id="70832"/>
      <w:r>
        <w:rPr>
          <w:rFonts w:hint="cs"/>
          <w:rtl/>
        </w:rPr>
        <w:t xml:space="preserve">כאן </w:t>
      </w:r>
      <w:bookmarkStart w:id="70833" w:name="_ETM_Q125_327849"/>
      <w:bookmarkEnd w:id="70833"/>
      <w:r>
        <w:rPr>
          <w:rFonts w:hint="cs"/>
          <w:rtl/>
        </w:rPr>
        <w:t xml:space="preserve">בריש </w:t>
      </w:r>
      <w:bookmarkStart w:id="70834" w:name="_ETM_Q125_328150"/>
      <w:bookmarkEnd w:id="70834"/>
      <w:r>
        <w:rPr>
          <w:rFonts w:hint="cs"/>
          <w:rtl/>
        </w:rPr>
        <w:t xml:space="preserve">גלי, </w:t>
      </w:r>
      <w:bookmarkStart w:id="70835" w:name="_ETM_Q125_328810"/>
      <w:bookmarkEnd w:id="70835"/>
      <w:r>
        <w:rPr>
          <w:rFonts w:hint="cs"/>
          <w:rtl/>
        </w:rPr>
        <w:t xml:space="preserve">אני </w:t>
      </w:r>
      <w:bookmarkStart w:id="70836" w:name="_ETM_Q125_329139"/>
      <w:bookmarkEnd w:id="70836"/>
      <w:r>
        <w:rPr>
          <w:rFonts w:hint="cs"/>
          <w:rtl/>
        </w:rPr>
        <w:t xml:space="preserve">בעד </w:t>
      </w:r>
      <w:bookmarkStart w:id="70837" w:name="_ETM_Q125_329680"/>
      <w:bookmarkEnd w:id="70837"/>
      <w:r>
        <w:rPr>
          <w:rFonts w:hint="cs"/>
          <w:rtl/>
        </w:rPr>
        <w:t xml:space="preserve">רפורמה </w:t>
      </w:r>
      <w:bookmarkStart w:id="70838" w:name="_ETM_Q125_330230"/>
      <w:bookmarkEnd w:id="70838"/>
      <w:r>
        <w:rPr>
          <w:rFonts w:hint="cs"/>
          <w:rtl/>
        </w:rPr>
        <w:t xml:space="preserve">בבתי </w:t>
      </w:r>
      <w:bookmarkStart w:id="70839" w:name="_ETM_Q125_330709"/>
      <w:bookmarkEnd w:id="70839"/>
      <w:r>
        <w:rPr>
          <w:rFonts w:hint="cs"/>
          <w:rtl/>
        </w:rPr>
        <w:t xml:space="preserve">המשפט. </w:t>
      </w:r>
      <w:bookmarkStart w:id="70840" w:name="_ETM_Q125_331790"/>
      <w:bookmarkEnd w:id="70840"/>
      <w:r>
        <w:rPr>
          <w:rFonts w:hint="cs"/>
          <w:rtl/>
        </w:rPr>
        <w:t xml:space="preserve">כיהנתי </w:t>
      </w:r>
      <w:bookmarkStart w:id="70841" w:name="_ETM_Q125_332300"/>
      <w:bookmarkEnd w:id="70841"/>
      <w:r>
        <w:rPr>
          <w:rFonts w:hint="cs"/>
          <w:rtl/>
        </w:rPr>
        <w:t xml:space="preserve">מספיק </w:t>
      </w:r>
      <w:bookmarkStart w:id="70842" w:name="_ETM_Q125_332840"/>
      <w:bookmarkEnd w:id="70842"/>
      <w:r>
        <w:rPr>
          <w:rFonts w:hint="cs"/>
          <w:rtl/>
        </w:rPr>
        <w:t xml:space="preserve">שנים; </w:t>
      </w:r>
      <w:bookmarkStart w:id="70843" w:name="_ETM_Q125_333319"/>
      <w:bookmarkEnd w:id="70843"/>
      <w:r>
        <w:rPr>
          <w:rFonts w:hint="cs"/>
          <w:rtl/>
        </w:rPr>
        <w:t xml:space="preserve">הייתי </w:t>
      </w:r>
      <w:bookmarkStart w:id="70844" w:name="_ETM_Q125_333590"/>
      <w:bookmarkEnd w:id="70844"/>
      <w:r>
        <w:rPr>
          <w:rFonts w:hint="cs"/>
          <w:rtl/>
        </w:rPr>
        <w:t xml:space="preserve">עורכת דין, </w:t>
      </w:r>
      <w:bookmarkStart w:id="70845" w:name="_ETM_Q125_334519"/>
      <w:bookmarkEnd w:id="70845"/>
      <w:r>
        <w:rPr>
          <w:rFonts w:hint="cs"/>
          <w:rtl/>
        </w:rPr>
        <w:t xml:space="preserve">וראיתי </w:t>
      </w:r>
      <w:bookmarkStart w:id="70846" w:name="_ETM_Q125_334909"/>
      <w:bookmarkEnd w:id="70846"/>
      <w:r>
        <w:rPr>
          <w:rFonts w:hint="cs"/>
          <w:rtl/>
        </w:rPr>
        <w:t xml:space="preserve">גם </w:t>
      </w:r>
      <w:bookmarkStart w:id="70847" w:name="_ETM_Q125_335120"/>
      <w:bookmarkEnd w:id="70847"/>
      <w:r>
        <w:rPr>
          <w:rFonts w:hint="cs"/>
          <w:rtl/>
        </w:rPr>
        <w:t xml:space="preserve">מה </w:t>
      </w:r>
      <w:bookmarkStart w:id="70848" w:name="_ETM_Q125_335239"/>
      <w:bookmarkEnd w:id="70848"/>
      <w:r>
        <w:rPr>
          <w:rFonts w:hint="cs"/>
          <w:rtl/>
        </w:rPr>
        <w:t xml:space="preserve">קורה </w:t>
      </w:r>
      <w:bookmarkStart w:id="70849" w:name="_ETM_Q125_335450"/>
      <w:bookmarkStart w:id="70850" w:name="_ETM_Q125_336230"/>
      <w:bookmarkEnd w:id="70849"/>
      <w:bookmarkEnd w:id="70850"/>
      <w:r>
        <w:rPr>
          <w:rFonts w:hint="cs"/>
          <w:rtl/>
        </w:rPr>
        <w:t xml:space="preserve">בפרוזדורים, </w:t>
      </w:r>
      <w:bookmarkStart w:id="70851" w:name="_ETM_Q125_337410"/>
      <w:bookmarkEnd w:id="70851"/>
      <w:r>
        <w:rPr>
          <w:rFonts w:hint="cs"/>
          <w:rtl/>
        </w:rPr>
        <w:t xml:space="preserve">באולמות </w:t>
      </w:r>
      <w:bookmarkStart w:id="70852" w:name="_ETM_Q125_338400"/>
      <w:bookmarkEnd w:id="70852"/>
      <w:r>
        <w:rPr>
          <w:rFonts w:hint="cs"/>
          <w:rtl/>
        </w:rPr>
        <w:t xml:space="preserve">ומאחורי </w:t>
      </w:r>
      <w:bookmarkStart w:id="70853" w:name="_ETM_Q125_339060"/>
      <w:bookmarkEnd w:id="70853"/>
      <w:r>
        <w:rPr>
          <w:rFonts w:hint="cs"/>
          <w:rtl/>
        </w:rPr>
        <w:t xml:space="preserve">הקלעים. </w:t>
      </w:r>
      <w:bookmarkStart w:id="70854" w:name="_ETM_Q125_339909"/>
      <w:bookmarkEnd w:id="70854"/>
      <w:r>
        <w:rPr>
          <w:rFonts w:hint="cs"/>
          <w:rtl/>
        </w:rPr>
        <w:t xml:space="preserve">יש </w:t>
      </w:r>
      <w:bookmarkStart w:id="70855" w:name="_ETM_Q125_340360"/>
      <w:bookmarkEnd w:id="70855"/>
      <w:r>
        <w:rPr>
          <w:rFonts w:hint="cs"/>
          <w:rtl/>
        </w:rPr>
        <w:t xml:space="preserve">המון </w:t>
      </w:r>
      <w:bookmarkStart w:id="70856" w:name="_ETM_Q125_341470"/>
      <w:bookmarkEnd w:id="70856"/>
      <w:r>
        <w:rPr>
          <w:rFonts w:hint="cs"/>
          <w:rtl/>
        </w:rPr>
        <w:t xml:space="preserve">רצון </w:t>
      </w:r>
      <w:bookmarkStart w:id="70857" w:name="_ETM_Q125_342280"/>
      <w:bookmarkEnd w:id="70857"/>
      <w:r>
        <w:rPr>
          <w:rFonts w:hint="cs"/>
          <w:rtl/>
        </w:rPr>
        <w:t xml:space="preserve">ויש </w:t>
      </w:r>
      <w:bookmarkStart w:id="70858" w:name="_ETM_Q125_342610"/>
      <w:bookmarkEnd w:id="70858"/>
      <w:r>
        <w:rPr>
          <w:rFonts w:hint="cs"/>
          <w:rtl/>
        </w:rPr>
        <w:t xml:space="preserve">צורך </w:t>
      </w:r>
      <w:bookmarkStart w:id="70859" w:name="_ETM_Q125_343060"/>
      <w:bookmarkEnd w:id="70859"/>
      <w:r>
        <w:rPr>
          <w:rFonts w:hint="cs"/>
          <w:rtl/>
        </w:rPr>
        <w:t xml:space="preserve">לעשות </w:t>
      </w:r>
      <w:bookmarkStart w:id="70860" w:name="_ETM_Q125_343450"/>
      <w:bookmarkEnd w:id="70860"/>
      <w:r>
        <w:rPr>
          <w:rFonts w:hint="cs"/>
          <w:rtl/>
        </w:rPr>
        <w:t xml:space="preserve">רפורמה. </w:t>
      </w:r>
      <w:bookmarkStart w:id="70861" w:name="_ETM_Q125_344530"/>
      <w:bookmarkEnd w:id="70861"/>
      <w:r>
        <w:rPr>
          <w:rFonts w:hint="cs"/>
          <w:rtl/>
        </w:rPr>
        <w:t xml:space="preserve">אבל </w:t>
      </w:r>
      <w:bookmarkStart w:id="70862" w:name="_ETM_Q125_344889"/>
      <w:bookmarkEnd w:id="70862"/>
      <w:r>
        <w:rPr>
          <w:rFonts w:hint="cs"/>
          <w:rtl/>
        </w:rPr>
        <w:t xml:space="preserve">בטח </w:t>
      </w:r>
      <w:bookmarkStart w:id="70863" w:name="_ETM_Q125_345370"/>
      <w:bookmarkEnd w:id="70863"/>
      <w:r>
        <w:rPr>
          <w:rFonts w:hint="cs"/>
          <w:rtl/>
        </w:rPr>
        <w:t xml:space="preserve">ובטח </w:t>
      </w:r>
      <w:bookmarkStart w:id="70864" w:name="_ETM_Q125_346239"/>
      <w:bookmarkEnd w:id="70864"/>
      <w:r>
        <w:rPr>
          <w:rFonts w:hint="cs"/>
          <w:rtl/>
        </w:rPr>
        <w:t xml:space="preserve">לא </w:t>
      </w:r>
      <w:bookmarkStart w:id="70865" w:name="_ETM_Q125_346450"/>
      <w:bookmarkEnd w:id="70865"/>
      <w:r>
        <w:rPr>
          <w:rFonts w:hint="cs"/>
          <w:rtl/>
        </w:rPr>
        <w:t xml:space="preserve">לקחת </w:t>
      </w:r>
      <w:bookmarkStart w:id="70866" w:name="_ETM_Q125_346930"/>
      <w:bookmarkEnd w:id="70866"/>
      <w:r>
        <w:rPr>
          <w:rFonts w:hint="cs"/>
          <w:rtl/>
        </w:rPr>
        <w:t xml:space="preserve">את </w:t>
      </w:r>
      <w:bookmarkStart w:id="70867" w:name="_ETM_Q125_347049"/>
      <w:bookmarkEnd w:id="70867"/>
      <w:r>
        <w:rPr>
          <w:rFonts w:hint="cs"/>
          <w:rtl/>
        </w:rPr>
        <w:t xml:space="preserve">עילת </w:t>
      </w:r>
      <w:bookmarkStart w:id="70868" w:name="_ETM_Q125_347470"/>
      <w:bookmarkEnd w:id="70868"/>
      <w:r>
        <w:rPr>
          <w:rFonts w:hint="cs"/>
          <w:rtl/>
        </w:rPr>
        <w:t xml:space="preserve">הסבירות </w:t>
      </w:r>
      <w:bookmarkStart w:id="70869" w:name="_ETM_Q125_348370"/>
      <w:bookmarkEnd w:id="70869"/>
      <w:r>
        <w:rPr>
          <w:rFonts w:hint="cs"/>
          <w:rtl/>
        </w:rPr>
        <w:t xml:space="preserve">ולהפוך </w:t>
      </w:r>
      <w:bookmarkStart w:id="70870" w:name="_ETM_Q125_349010"/>
      <w:bookmarkEnd w:id="70870"/>
      <w:r>
        <w:rPr>
          <w:rFonts w:hint="cs"/>
          <w:rtl/>
        </w:rPr>
        <w:t xml:space="preserve">אותה </w:t>
      </w:r>
      <w:bookmarkStart w:id="70871" w:name="_ETM_Q125_349579"/>
      <w:bookmarkEnd w:id="70871"/>
      <w:r>
        <w:rPr>
          <w:rFonts w:hint="cs"/>
          <w:rtl/>
        </w:rPr>
        <w:t xml:space="preserve">לעילה </w:t>
      </w:r>
      <w:bookmarkStart w:id="70872" w:name="_ETM_Q125_350060"/>
      <w:bookmarkEnd w:id="70872"/>
      <w:r>
        <w:rPr>
          <w:rFonts w:hint="cs"/>
          <w:rtl/>
        </w:rPr>
        <w:t xml:space="preserve">מאוד </w:t>
      </w:r>
      <w:bookmarkStart w:id="70873" w:name="_ETM_Q125_350450"/>
      <w:bookmarkEnd w:id="70873"/>
      <w:r>
        <w:rPr>
          <w:rFonts w:hint="cs"/>
          <w:rtl/>
        </w:rPr>
        <w:t xml:space="preserve">מאוד </w:t>
      </w:r>
      <w:bookmarkStart w:id="70874" w:name="_ETM_Q125_350719"/>
      <w:bookmarkEnd w:id="70874"/>
      <w:r>
        <w:rPr>
          <w:rFonts w:hint="cs"/>
          <w:rtl/>
        </w:rPr>
        <w:t xml:space="preserve">מיוחדת, </w:t>
      </w:r>
      <w:bookmarkStart w:id="70875" w:name="_ETM_Q125_351950"/>
      <w:bookmarkEnd w:id="70875"/>
      <w:r>
        <w:rPr>
          <w:rFonts w:hint="cs"/>
          <w:rtl/>
        </w:rPr>
        <w:t xml:space="preserve">עילה </w:t>
      </w:r>
      <w:bookmarkStart w:id="70876" w:name="_ETM_Q125_352280"/>
      <w:bookmarkEnd w:id="70876"/>
      <w:r>
        <w:rPr>
          <w:rFonts w:hint="cs"/>
          <w:rtl/>
        </w:rPr>
        <w:t xml:space="preserve">שמאפשרת </w:t>
      </w:r>
      <w:bookmarkStart w:id="70877" w:name="_ETM_Q125_353030"/>
      <w:bookmarkEnd w:id="70877"/>
      <w:r>
        <w:rPr>
          <w:rFonts w:hint="cs"/>
          <w:rtl/>
        </w:rPr>
        <w:t xml:space="preserve">הרבה </w:t>
      </w:r>
      <w:bookmarkStart w:id="70878" w:name="_ETM_Q125_353540"/>
      <w:bookmarkEnd w:id="70878"/>
      <w:r>
        <w:rPr>
          <w:rFonts w:hint="cs"/>
          <w:rtl/>
        </w:rPr>
        <w:t xml:space="preserve">כוח </w:t>
      </w:r>
      <w:bookmarkStart w:id="70879" w:name="_ETM_Q125_353959"/>
      <w:bookmarkEnd w:id="70879"/>
      <w:r>
        <w:rPr>
          <w:rFonts w:hint="cs"/>
          <w:rtl/>
        </w:rPr>
        <w:t xml:space="preserve">לשרים, </w:t>
      </w:r>
      <w:bookmarkStart w:id="70880" w:name="_ETM_Q125_354769"/>
      <w:bookmarkEnd w:id="70880"/>
      <w:r>
        <w:rPr>
          <w:rFonts w:hint="cs"/>
          <w:rtl/>
        </w:rPr>
        <w:t>למינויים.</w:t>
      </w:r>
      <w:bookmarkStart w:id="70881" w:name="_ETM_Q125_357436"/>
      <w:bookmarkEnd w:id="70881"/>
    </w:p>
    <w:p w:rsidR="00BB59CD" w:rsidRDefault="00BB59CD" w:rsidP="00BB59CD">
      <w:pPr>
        <w:rPr>
          <w:rtl/>
        </w:rPr>
      </w:pPr>
      <w:bookmarkStart w:id="70882" w:name="_ETM_Q125_357504"/>
      <w:bookmarkEnd w:id="70882"/>
    </w:p>
    <w:p w:rsidR="00BB59CD" w:rsidRDefault="00BB59CD" w:rsidP="006F4935">
      <w:pPr>
        <w:rPr>
          <w:rtl/>
        </w:rPr>
      </w:pPr>
      <w:bookmarkStart w:id="70883" w:name="_ETM_Q125_357643"/>
      <w:bookmarkStart w:id="70884" w:name="_ETM_Q125_357703"/>
      <w:bookmarkStart w:id="70885" w:name="_ETM_Q125_356829"/>
      <w:bookmarkEnd w:id="70883"/>
      <w:bookmarkEnd w:id="70884"/>
      <w:bookmarkEnd w:id="70885"/>
      <w:r>
        <w:rPr>
          <w:rFonts w:hint="cs"/>
          <w:rtl/>
        </w:rPr>
        <w:t xml:space="preserve">אני </w:t>
      </w:r>
      <w:bookmarkStart w:id="70886" w:name="_ETM_Q125_357069"/>
      <w:bookmarkStart w:id="70887" w:name="_ETM_Q125_357249"/>
      <w:bookmarkEnd w:id="70886"/>
      <w:bookmarkEnd w:id="70887"/>
      <w:r>
        <w:rPr>
          <w:rFonts w:hint="cs"/>
          <w:rtl/>
        </w:rPr>
        <w:t xml:space="preserve">חושבת </w:t>
      </w:r>
      <w:bookmarkStart w:id="70888" w:name="_ETM_Q125_357730"/>
      <w:bookmarkEnd w:id="70888"/>
      <w:r>
        <w:rPr>
          <w:rFonts w:hint="cs"/>
          <w:rtl/>
        </w:rPr>
        <w:t xml:space="preserve">שלא </w:t>
      </w:r>
      <w:bookmarkStart w:id="70889" w:name="_ETM_Q125_358029"/>
      <w:bookmarkEnd w:id="70889"/>
      <w:r>
        <w:rPr>
          <w:rFonts w:hint="cs"/>
          <w:rtl/>
        </w:rPr>
        <w:t xml:space="preserve">תמיד </w:t>
      </w:r>
      <w:bookmarkStart w:id="70890" w:name="_ETM_Q125_358389"/>
      <w:bookmarkEnd w:id="70890"/>
      <w:r>
        <w:rPr>
          <w:rFonts w:hint="cs"/>
          <w:rtl/>
        </w:rPr>
        <w:t xml:space="preserve">צריך </w:t>
      </w:r>
      <w:bookmarkStart w:id="70891" w:name="_ETM_Q125_358689"/>
      <w:bookmarkEnd w:id="70891"/>
      <w:r>
        <w:rPr>
          <w:rFonts w:hint="cs"/>
          <w:rtl/>
        </w:rPr>
        <w:t xml:space="preserve">להתערב, </w:t>
      </w:r>
      <w:bookmarkStart w:id="70892" w:name="_ETM_Q125_359590"/>
      <w:bookmarkEnd w:id="70892"/>
      <w:r>
        <w:rPr>
          <w:rFonts w:hint="cs"/>
          <w:rtl/>
        </w:rPr>
        <w:t xml:space="preserve">אבל </w:t>
      </w:r>
      <w:bookmarkStart w:id="70893" w:name="_ETM_Q125_360340"/>
      <w:bookmarkEnd w:id="70893"/>
      <w:r>
        <w:rPr>
          <w:rFonts w:hint="cs"/>
          <w:rtl/>
        </w:rPr>
        <w:t xml:space="preserve">כשאתה </w:t>
      </w:r>
      <w:bookmarkStart w:id="70894" w:name="_ETM_Q125_360849"/>
      <w:bookmarkEnd w:id="70894"/>
      <w:r>
        <w:rPr>
          <w:rFonts w:hint="cs"/>
          <w:rtl/>
        </w:rPr>
        <w:t xml:space="preserve">מביא </w:t>
      </w:r>
      <w:bookmarkStart w:id="70895" w:name="_ETM_Q125_361269"/>
      <w:bookmarkEnd w:id="70895"/>
      <w:r>
        <w:rPr>
          <w:rFonts w:hint="cs"/>
          <w:rtl/>
        </w:rPr>
        <w:t xml:space="preserve">מינוי </w:t>
      </w:r>
      <w:bookmarkStart w:id="70896" w:name="_ETM_Q125_362319"/>
      <w:bookmarkEnd w:id="70896"/>
      <w:r>
        <w:rPr>
          <w:rFonts w:hint="cs"/>
          <w:rtl/>
        </w:rPr>
        <w:t xml:space="preserve">שהוא </w:t>
      </w:r>
      <w:bookmarkStart w:id="70897" w:name="_ETM_Q125_362529"/>
      <w:bookmarkEnd w:id="70897"/>
      <w:r>
        <w:rPr>
          <w:rFonts w:hint="cs"/>
          <w:rtl/>
        </w:rPr>
        <w:t xml:space="preserve">באמת </w:t>
      </w:r>
      <w:bookmarkStart w:id="70898" w:name="_ETM_Q125_362919"/>
      <w:bookmarkEnd w:id="70898"/>
      <w:r>
        <w:rPr>
          <w:rFonts w:hint="cs"/>
          <w:rtl/>
        </w:rPr>
        <w:t xml:space="preserve">לא </w:t>
      </w:r>
      <w:bookmarkStart w:id="70899" w:name="_ETM_Q125_363069"/>
      <w:bookmarkEnd w:id="70899"/>
      <w:r>
        <w:rPr>
          <w:rFonts w:hint="cs"/>
          <w:rtl/>
        </w:rPr>
        <w:t xml:space="preserve">סביר </w:t>
      </w:r>
      <w:r>
        <w:t>–</w:t>
      </w:r>
      <w:r>
        <w:rPr>
          <w:rFonts w:hint="cs"/>
          <w:rtl/>
        </w:rPr>
        <w:t xml:space="preserve"> </w:t>
      </w:r>
      <w:bookmarkStart w:id="70900" w:name="_ETM_Q125_363489"/>
      <w:bookmarkEnd w:id="70900"/>
      <w:r>
        <w:rPr>
          <w:rFonts w:hint="cs"/>
          <w:rtl/>
        </w:rPr>
        <w:t xml:space="preserve">הרי </w:t>
      </w:r>
      <w:bookmarkStart w:id="70901" w:name="_ETM_Q125_364089"/>
      <w:bookmarkEnd w:id="70901"/>
      <w:r>
        <w:rPr>
          <w:rFonts w:hint="cs"/>
          <w:rtl/>
        </w:rPr>
        <w:t xml:space="preserve">בחיים </w:t>
      </w:r>
      <w:bookmarkStart w:id="70902" w:name="_ETM_Q125_364480"/>
      <w:bookmarkEnd w:id="70902"/>
      <w:r>
        <w:rPr>
          <w:rFonts w:hint="cs"/>
          <w:rtl/>
        </w:rPr>
        <w:t xml:space="preserve">שלנו, </w:t>
      </w:r>
      <w:bookmarkStart w:id="70903" w:name="_ETM_Q125_364900"/>
      <w:bookmarkEnd w:id="70903"/>
      <w:r>
        <w:rPr>
          <w:rFonts w:hint="cs"/>
          <w:rtl/>
        </w:rPr>
        <w:t xml:space="preserve">אנחנו </w:t>
      </w:r>
      <w:bookmarkStart w:id="70904" w:name="_ETM_Q125_365169"/>
      <w:bookmarkEnd w:id="70904"/>
      <w:r>
        <w:rPr>
          <w:rFonts w:hint="cs"/>
          <w:rtl/>
        </w:rPr>
        <w:t xml:space="preserve">חיים </w:t>
      </w:r>
      <w:bookmarkStart w:id="70905" w:name="_ETM_Q125_365469"/>
      <w:bookmarkEnd w:id="70905"/>
      <w:r>
        <w:rPr>
          <w:rFonts w:hint="cs"/>
          <w:rtl/>
        </w:rPr>
        <w:t xml:space="preserve">על </w:t>
      </w:r>
      <w:bookmarkStart w:id="70906" w:name="_ETM_Q125_365559"/>
      <w:bookmarkEnd w:id="70906"/>
      <w:r>
        <w:rPr>
          <w:rFonts w:hint="cs"/>
          <w:rtl/>
        </w:rPr>
        <w:t xml:space="preserve">סבירות, </w:t>
      </w:r>
      <w:bookmarkStart w:id="70907" w:name="_ETM_Q125_366370"/>
      <w:bookmarkEnd w:id="70907"/>
      <w:r>
        <w:rPr>
          <w:rFonts w:hint="cs"/>
          <w:rtl/>
        </w:rPr>
        <w:t xml:space="preserve">בשגרה </w:t>
      </w:r>
      <w:bookmarkStart w:id="70908" w:name="_ETM_Q125_367059"/>
      <w:bookmarkEnd w:id="70908"/>
      <w:r>
        <w:rPr>
          <w:rFonts w:hint="cs"/>
          <w:rtl/>
        </w:rPr>
        <w:t xml:space="preserve">שלנו – </w:t>
      </w:r>
      <w:bookmarkStart w:id="70909" w:name="_ETM_Q125_367870"/>
      <w:bookmarkEnd w:id="70909"/>
      <w:r>
        <w:rPr>
          <w:rFonts w:hint="cs"/>
          <w:rtl/>
        </w:rPr>
        <w:t xml:space="preserve">כשאתה </w:t>
      </w:r>
      <w:bookmarkStart w:id="70910" w:name="_ETM_Q125_368230"/>
      <w:bookmarkEnd w:id="70910"/>
      <w:r>
        <w:rPr>
          <w:rFonts w:hint="cs"/>
          <w:rtl/>
        </w:rPr>
        <w:t xml:space="preserve">אתה </w:t>
      </w:r>
      <w:bookmarkStart w:id="70911" w:name="_ETM_Q125_368349"/>
      <w:bookmarkEnd w:id="70911"/>
      <w:r>
        <w:rPr>
          <w:rFonts w:hint="cs"/>
          <w:rtl/>
        </w:rPr>
        <w:t xml:space="preserve">מביא </w:t>
      </w:r>
      <w:bookmarkStart w:id="70912" w:name="_ETM_Q125_368590"/>
      <w:bookmarkEnd w:id="70912"/>
      <w:r>
        <w:rPr>
          <w:rFonts w:hint="cs"/>
          <w:rtl/>
        </w:rPr>
        <w:t xml:space="preserve">איזה </w:t>
      </w:r>
      <w:bookmarkStart w:id="70913" w:name="_ETM_Q125_368739"/>
      <w:bookmarkEnd w:id="70913"/>
      <w:r>
        <w:rPr>
          <w:rFonts w:hint="cs"/>
          <w:rtl/>
        </w:rPr>
        <w:t xml:space="preserve">מינוי </w:t>
      </w:r>
      <w:bookmarkStart w:id="70914" w:name="_ETM_Q125_369459"/>
      <w:bookmarkEnd w:id="70914"/>
      <w:r>
        <w:rPr>
          <w:rFonts w:hint="cs"/>
          <w:rtl/>
        </w:rPr>
        <w:t xml:space="preserve">ואתה </w:t>
      </w:r>
      <w:bookmarkStart w:id="70915" w:name="_ETM_Q125_369730"/>
      <w:bookmarkEnd w:id="70915"/>
      <w:r>
        <w:rPr>
          <w:rFonts w:hint="cs"/>
          <w:rtl/>
        </w:rPr>
        <w:t xml:space="preserve">אומר: בואנ'ה, </w:t>
      </w:r>
      <w:bookmarkStart w:id="70916" w:name="_ETM_Q125_371210"/>
      <w:bookmarkEnd w:id="70916"/>
      <w:r>
        <w:rPr>
          <w:rFonts w:hint="cs"/>
          <w:rtl/>
        </w:rPr>
        <w:t xml:space="preserve">זה </w:t>
      </w:r>
      <w:bookmarkStart w:id="70917" w:name="_ETM_Q125_371360"/>
      <w:bookmarkEnd w:id="70917"/>
      <w:r>
        <w:rPr>
          <w:rFonts w:hint="cs"/>
          <w:rtl/>
        </w:rPr>
        <w:t xml:space="preserve">לא </w:t>
      </w:r>
      <w:bookmarkStart w:id="70918" w:name="_ETM_Q125_371480"/>
      <w:bookmarkStart w:id="70919" w:name="_ETM_Q125_371690"/>
      <w:bookmarkEnd w:id="70918"/>
      <w:bookmarkEnd w:id="70919"/>
      <w:r>
        <w:rPr>
          <w:rFonts w:hint="cs"/>
          <w:rtl/>
        </w:rPr>
        <w:t>רציני</w:t>
      </w:r>
      <w:r w:rsidR="006F4935">
        <w:rPr>
          <w:rFonts w:hint="cs"/>
          <w:rtl/>
        </w:rPr>
        <w:t>,</w:t>
      </w:r>
      <w:r>
        <w:rPr>
          <w:rFonts w:hint="cs"/>
          <w:rtl/>
        </w:rPr>
        <w:t xml:space="preserve"> </w:t>
      </w:r>
      <w:bookmarkStart w:id="70920" w:name="_ETM_Q125_372169"/>
      <w:bookmarkEnd w:id="70920"/>
      <w:r>
        <w:rPr>
          <w:rFonts w:hint="cs"/>
          <w:rtl/>
        </w:rPr>
        <w:t xml:space="preserve">זה </w:t>
      </w:r>
      <w:bookmarkStart w:id="70921" w:name="_ETM_Q125_372350"/>
      <w:bookmarkEnd w:id="70921"/>
      <w:r>
        <w:rPr>
          <w:rFonts w:hint="cs"/>
          <w:rtl/>
        </w:rPr>
        <w:t xml:space="preserve">לא </w:t>
      </w:r>
      <w:bookmarkStart w:id="70922" w:name="_ETM_Q125_372470"/>
      <w:bookmarkEnd w:id="70922"/>
      <w:r>
        <w:rPr>
          <w:rFonts w:hint="cs"/>
          <w:rtl/>
        </w:rPr>
        <w:t xml:space="preserve">רציני. אז </w:t>
      </w:r>
      <w:bookmarkStart w:id="70923" w:name="_ETM_Q125_372610"/>
      <w:bookmarkStart w:id="70924" w:name="_ETM_Q125_375090"/>
      <w:bookmarkStart w:id="70925" w:name="_ETM_Q125_375480"/>
      <w:bookmarkEnd w:id="70923"/>
      <w:bookmarkEnd w:id="70924"/>
      <w:bookmarkEnd w:id="70925"/>
      <w:r>
        <w:rPr>
          <w:rFonts w:hint="cs"/>
          <w:rtl/>
        </w:rPr>
        <w:t xml:space="preserve">לבוא </w:t>
      </w:r>
      <w:bookmarkStart w:id="70926" w:name="_ETM_Q125_375810"/>
      <w:bookmarkEnd w:id="70926"/>
      <w:r>
        <w:rPr>
          <w:rFonts w:hint="cs"/>
          <w:rtl/>
        </w:rPr>
        <w:t xml:space="preserve">עכשיו </w:t>
      </w:r>
      <w:bookmarkStart w:id="70927" w:name="_ETM_Q125_376139"/>
      <w:bookmarkEnd w:id="70927"/>
      <w:r>
        <w:rPr>
          <w:rFonts w:hint="cs"/>
          <w:rtl/>
        </w:rPr>
        <w:t xml:space="preserve">ולהגיד: לא, </w:t>
      </w:r>
      <w:bookmarkStart w:id="70928" w:name="_ETM_Q125_376889"/>
      <w:bookmarkEnd w:id="70928"/>
      <w:r>
        <w:rPr>
          <w:rFonts w:hint="cs"/>
          <w:rtl/>
        </w:rPr>
        <w:t xml:space="preserve">מה </w:t>
      </w:r>
      <w:bookmarkStart w:id="70929" w:name="_ETM_Q125_377070"/>
      <w:bookmarkEnd w:id="70929"/>
      <w:r>
        <w:rPr>
          <w:rFonts w:hint="cs"/>
          <w:rtl/>
        </w:rPr>
        <w:t xml:space="preserve">שאמר </w:t>
      </w:r>
      <w:bookmarkStart w:id="70930" w:name="_ETM_Q125_377489"/>
      <w:bookmarkEnd w:id="70930"/>
      <w:r>
        <w:rPr>
          <w:rFonts w:hint="cs"/>
          <w:rtl/>
        </w:rPr>
        <w:t xml:space="preserve">אנחנו </w:t>
      </w:r>
      <w:bookmarkStart w:id="70931" w:name="_ETM_Q125_378090"/>
      <w:bookmarkEnd w:id="70931"/>
      <w:r>
        <w:rPr>
          <w:rFonts w:hint="cs"/>
          <w:rtl/>
        </w:rPr>
        <w:t>זה קודש</w:t>
      </w:r>
      <w:r w:rsidR="006F4935">
        <w:rPr>
          <w:rFonts w:hint="cs"/>
          <w:rtl/>
        </w:rPr>
        <w:t>-</w:t>
      </w:r>
      <w:r>
        <w:rPr>
          <w:rFonts w:hint="cs"/>
          <w:rtl/>
        </w:rPr>
        <w:t>קודשים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דבי, זו בדיוק </w:t>
      </w:r>
      <w:bookmarkStart w:id="70932" w:name="_ETM_Q125_378629"/>
      <w:bookmarkEnd w:id="70932"/>
      <w:r>
        <w:rPr>
          <w:rFonts w:hint="cs"/>
          <w:rtl/>
        </w:rPr>
        <w:t>השאלה,</w:t>
      </w:r>
      <w:bookmarkStart w:id="70933" w:name="_ETM_Q125_379319"/>
      <w:bookmarkStart w:id="70934" w:name="_ETM_Q125_379739"/>
      <w:bookmarkStart w:id="70935" w:name="_ETM_Q125_380549"/>
      <w:bookmarkEnd w:id="70933"/>
      <w:bookmarkEnd w:id="70934"/>
      <w:bookmarkEnd w:id="70935"/>
      <w:r>
        <w:rPr>
          <w:rFonts w:hint="cs"/>
          <w:rtl/>
        </w:rPr>
        <w:t xml:space="preserve"> מי </w:t>
      </w:r>
      <w:bookmarkStart w:id="70936" w:name="_ETM_Q125_380999"/>
      <w:bookmarkStart w:id="70937" w:name="_ETM_Q125_381569"/>
      <w:bookmarkStart w:id="70938" w:name="_ETM_Q125_381870"/>
      <w:bookmarkStart w:id="70939" w:name="_ETM_Q125_382109"/>
      <w:bookmarkEnd w:id="70936"/>
      <w:bookmarkEnd w:id="70937"/>
      <w:bookmarkEnd w:id="70938"/>
      <w:bookmarkEnd w:id="70939"/>
      <w:r>
        <w:rPr>
          <w:rFonts w:hint="cs"/>
          <w:rtl/>
        </w:rPr>
        <w:t xml:space="preserve">מחליט </w:t>
      </w:r>
      <w:bookmarkStart w:id="70940" w:name="_ETM_Q125_382620"/>
      <w:bookmarkEnd w:id="70940"/>
      <w:r>
        <w:rPr>
          <w:rFonts w:hint="cs"/>
          <w:rtl/>
        </w:rPr>
        <w:t xml:space="preserve">מה </w:t>
      </w:r>
      <w:bookmarkStart w:id="70941" w:name="_ETM_Q125_382769"/>
      <w:bookmarkEnd w:id="70941"/>
      <w:r>
        <w:rPr>
          <w:rFonts w:hint="cs"/>
          <w:rtl/>
        </w:rPr>
        <w:t xml:space="preserve">רציני </w:t>
      </w:r>
      <w:bookmarkStart w:id="70942" w:name="_ETM_Q125_383280"/>
      <w:bookmarkEnd w:id="70942"/>
      <w:r>
        <w:rPr>
          <w:rFonts w:hint="cs"/>
          <w:rtl/>
        </w:rPr>
        <w:t xml:space="preserve">ומה לא </w:t>
      </w:r>
      <w:bookmarkStart w:id="70943" w:name="_ETM_Q125_383370"/>
      <w:bookmarkEnd w:id="70943"/>
      <w:r>
        <w:rPr>
          <w:rFonts w:hint="cs"/>
          <w:rtl/>
        </w:rPr>
        <w:t>רציני.</w:t>
      </w:r>
    </w:p>
    <w:p w:rsidR="00BB59CD" w:rsidRDefault="00BB59CD" w:rsidP="00BB59CD">
      <w:pPr>
        <w:rPr>
          <w:rtl/>
        </w:rPr>
      </w:pPr>
      <w:bookmarkStart w:id="70944" w:name="_ETM_Q125_385862"/>
      <w:bookmarkStart w:id="70945" w:name="_ETM_Q125_385946"/>
      <w:bookmarkEnd w:id="70944"/>
      <w:bookmarkEnd w:id="70945"/>
    </w:p>
    <w:p w:rsidR="00BB59CD" w:rsidRDefault="00BB59CD" w:rsidP="00BB59CD">
      <w:pPr>
        <w:pStyle w:val="a5"/>
        <w:keepNext/>
        <w:rPr>
          <w:rtl/>
        </w:rPr>
      </w:pPr>
      <w:bookmarkStart w:id="70946" w:name="ET_speaker_6341_11"/>
      <w:r>
        <w:rPr>
          <w:rStyle w:val="TagStyle"/>
          <w:rFonts w:hint="cs"/>
          <w:rtl/>
        </w:rPr>
        <w:t xml:space="preserve"> &lt;&lt; דובר &gt;&gt; </w:t>
      </w:r>
      <w:bookmarkStart w:id="70947" w:name="_Toc141197182"/>
      <w:bookmarkStart w:id="70948" w:name="_Toc141196918"/>
      <w:r>
        <w:rPr>
          <w:rFonts w:hint="cs"/>
          <w:rtl/>
        </w:rPr>
        <w:t>דבי ביטון (יש עתיד):</w:t>
      </w:r>
      <w:bookmarkEnd w:id="70947"/>
      <w:bookmarkEnd w:id="70948"/>
      <w:r>
        <w:rPr>
          <w:rStyle w:val="TagStyle"/>
          <w:rFonts w:hint="cs"/>
          <w:rtl/>
        </w:rPr>
        <w:t xml:space="preserve"> &lt;&lt; דובר &gt;&gt;</w:t>
      </w:r>
      <w:r>
        <w:rPr>
          <w:rFonts w:hint="cs"/>
          <w:rtl/>
        </w:rPr>
        <w:t xml:space="preserve">   </w:t>
      </w:r>
      <w:bookmarkEnd w:id="70946"/>
    </w:p>
    <w:p w:rsidR="00BB59CD" w:rsidRDefault="00BB59CD" w:rsidP="00337201">
      <w:pPr>
        <w:rPr>
          <w:rtl/>
        </w:rPr>
      </w:pPr>
    </w:p>
    <w:p w:rsidR="00BB59CD" w:rsidRDefault="00BB59CD" w:rsidP="006F4935">
      <w:pPr>
        <w:rPr>
          <w:rtl/>
        </w:rPr>
      </w:pPr>
      <w:bookmarkStart w:id="70949" w:name="_ETM_Q125_384549"/>
      <w:bookmarkEnd w:id="70949"/>
      <w:r>
        <w:rPr>
          <w:rFonts w:hint="cs"/>
          <w:rtl/>
        </w:rPr>
        <w:t xml:space="preserve">מי </w:t>
      </w:r>
      <w:bookmarkStart w:id="70950" w:name="_ETM_Q125_384730"/>
      <w:bookmarkEnd w:id="70950"/>
      <w:r>
        <w:rPr>
          <w:rFonts w:hint="cs"/>
          <w:rtl/>
        </w:rPr>
        <w:t xml:space="preserve">שצריך </w:t>
      </w:r>
      <w:bookmarkStart w:id="70951" w:name="_ETM_Q125_385209"/>
      <w:bookmarkEnd w:id="70951"/>
      <w:r>
        <w:rPr>
          <w:rFonts w:hint="cs"/>
          <w:rtl/>
        </w:rPr>
        <w:t xml:space="preserve">להחליט </w:t>
      </w:r>
      <w:bookmarkStart w:id="70952" w:name="_ETM_Q125_386019"/>
      <w:bookmarkEnd w:id="70952"/>
      <w:r>
        <w:rPr>
          <w:rFonts w:hint="cs"/>
          <w:rtl/>
        </w:rPr>
        <w:t xml:space="preserve">זה </w:t>
      </w:r>
      <w:bookmarkStart w:id="70953" w:name="_ETM_Q125_386200"/>
      <w:bookmarkEnd w:id="70953"/>
      <w:r>
        <w:rPr>
          <w:rFonts w:hint="cs"/>
          <w:rtl/>
        </w:rPr>
        <w:t xml:space="preserve">באמת </w:t>
      </w:r>
      <w:bookmarkStart w:id="70954" w:name="_ETM_Q125_387120"/>
      <w:bookmarkEnd w:id="70954"/>
      <w:r>
        <w:rPr>
          <w:rFonts w:hint="cs"/>
          <w:rtl/>
        </w:rPr>
        <w:t xml:space="preserve">הנבחרים, </w:t>
      </w:r>
      <w:bookmarkStart w:id="70955" w:name="_ETM_Q125_389020"/>
      <w:bookmarkEnd w:id="70955"/>
      <w:r>
        <w:rPr>
          <w:rFonts w:hint="cs"/>
          <w:rtl/>
        </w:rPr>
        <w:t xml:space="preserve">אבל </w:t>
      </w:r>
      <w:bookmarkStart w:id="70956" w:name="_ETM_Q125_389380"/>
      <w:bookmarkEnd w:id="70956"/>
      <w:r>
        <w:rPr>
          <w:rFonts w:hint="cs"/>
          <w:rtl/>
        </w:rPr>
        <w:t xml:space="preserve">עם </w:t>
      </w:r>
      <w:bookmarkStart w:id="70957" w:name="_ETM_Q125_389560"/>
      <w:bookmarkEnd w:id="70957"/>
      <w:r>
        <w:rPr>
          <w:rFonts w:hint="cs"/>
          <w:rtl/>
        </w:rPr>
        <w:t xml:space="preserve">זאת, </w:t>
      </w:r>
      <w:bookmarkStart w:id="70958" w:name="_ETM_Q125_390630"/>
      <w:bookmarkEnd w:id="70958"/>
      <w:r>
        <w:rPr>
          <w:rFonts w:hint="cs"/>
          <w:rtl/>
        </w:rPr>
        <w:t xml:space="preserve">אנחנו </w:t>
      </w:r>
      <w:bookmarkStart w:id="70959" w:name="_ETM_Q125_391340"/>
      <w:bookmarkEnd w:id="70959"/>
      <w:r>
        <w:rPr>
          <w:rFonts w:hint="cs"/>
          <w:rtl/>
        </w:rPr>
        <w:t xml:space="preserve">באמת </w:t>
      </w:r>
      <w:bookmarkStart w:id="70960" w:name="_ETM_Q125_392090"/>
      <w:bookmarkEnd w:id="70960"/>
      <w:r>
        <w:rPr>
          <w:rFonts w:hint="cs"/>
          <w:rtl/>
        </w:rPr>
        <w:t xml:space="preserve">בשר </w:t>
      </w:r>
      <w:bookmarkStart w:id="70961" w:name="_ETM_Q125_392450"/>
      <w:bookmarkEnd w:id="70961"/>
      <w:r>
        <w:rPr>
          <w:rFonts w:hint="cs"/>
          <w:rtl/>
        </w:rPr>
        <w:t xml:space="preserve">ודם, </w:t>
      </w:r>
      <w:bookmarkStart w:id="70962" w:name="_ETM_Q125_394889"/>
      <w:bookmarkEnd w:id="70962"/>
      <w:r>
        <w:rPr>
          <w:rFonts w:hint="cs"/>
          <w:rtl/>
        </w:rPr>
        <w:t xml:space="preserve">אנחנו </w:t>
      </w:r>
      <w:bookmarkStart w:id="70963" w:name="_ETM_Q125_395309"/>
      <w:bookmarkEnd w:id="70963"/>
      <w:r>
        <w:rPr>
          <w:rFonts w:hint="cs"/>
          <w:rtl/>
        </w:rPr>
        <w:t xml:space="preserve">ילדי </w:t>
      </w:r>
      <w:bookmarkStart w:id="70964" w:name="_ETM_Q125_395699"/>
      <w:bookmarkEnd w:id="70964"/>
      <w:r>
        <w:rPr>
          <w:rFonts w:hint="cs"/>
          <w:rtl/>
        </w:rPr>
        <w:t xml:space="preserve">האלוהים </w:t>
      </w:r>
      <w:bookmarkStart w:id="70965" w:name="_ETM_Q125_396239"/>
      <w:bookmarkEnd w:id="70965"/>
      <w:r>
        <w:rPr>
          <w:rFonts w:hint="cs"/>
          <w:rtl/>
        </w:rPr>
        <w:t xml:space="preserve">מבחינתי, </w:t>
      </w:r>
      <w:bookmarkStart w:id="70966" w:name="_ETM_Q125_397049"/>
      <w:bookmarkEnd w:id="70966"/>
      <w:r>
        <w:rPr>
          <w:rFonts w:hint="cs"/>
          <w:rtl/>
        </w:rPr>
        <w:t xml:space="preserve">וגם </w:t>
      </w:r>
      <w:bookmarkStart w:id="70967" w:name="_ETM_Q125_397430"/>
      <w:bookmarkEnd w:id="70967"/>
      <w:r>
        <w:rPr>
          <w:rFonts w:hint="cs"/>
          <w:rtl/>
        </w:rPr>
        <w:t xml:space="preserve">לנו </w:t>
      </w:r>
      <w:bookmarkStart w:id="70968" w:name="_ETM_Q125_397849"/>
      <w:bookmarkEnd w:id="70968"/>
      <w:r>
        <w:rPr>
          <w:rFonts w:hint="cs"/>
          <w:rtl/>
        </w:rPr>
        <w:t xml:space="preserve">לפעמים </w:t>
      </w:r>
      <w:bookmarkStart w:id="70969" w:name="_ETM_Q125_398390"/>
      <w:bookmarkEnd w:id="70969"/>
      <w:r>
        <w:rPr>
          <w:rFonts w:hint="cs"/>
          <w:rtl/>
        </w:rPr>
        <w:t xml:space="preserve">עלול </w:t>
      </w:r>
      <w:bookmarkStart w:id="70970" w:name="_ETM_Q125_398629"/>
      <w:bookmarkEnd w:id="70970"/>
      <w:r>
        <w:rPr>
          <w:rFonts w:hint="cs"/>
          <w:rtl/>
        </w:rPr>
        <w:t xml:space="preserve">להיות </w:t>
      </w:r>
      <w:bookmarkStart w:id="70971" w:name="_ETM_Q125_398870"/>
      <w:bookmarkEnd w:id="70971"/>
      <w:r>
        <w:rPr>
          <w:rFonts w:hint="cs"/>
          <w:rtl/>
        </w:rPr>
        <w:t xml:space="preserve">שיקול </w:t>
      </w:r>
      <w:bookmarkStart w:id="70972" w:name="_ETM_Q125_399230"/>
      <w:bookmarkEnd w:id="70972"/>
      <w:r>
        <w:rPr>
          <w:rFonts w:hint="cs"/>
          <w:rtl/>
        </w:rPr>
        <w:t xml:space="preserve">דעת. </w:t>
      </w:r>
      <w:bookmarkStart w:id="70973" w:name="_ETM_Q125_399530"/>
      <w:bookmarkEnd w:id="70973"/>
    </w:p>
    <w:p w:rsidR="00BB59CD" w:rsidRDefault="00BB59CD" w:rsidP="00BB59CD">
      <w:pPr>
        <w:rPr>
          <w:rtl/>
        </w:rPr>
      </w:pPr>
      <w:bookmarkStart w:id="70974" w:name="_ETM_Q125_406598"/>
      <w:bookmarkStart w:id="70975" w:name="_ETM_Q125_406644"/>
      <w:bookmarkEnd w:id="70974"/>
      <w:bookmarkEnd w:id="70975"/>
    </w:p>
    <w:p w:rsidR="00BB59CD" w:rsidRDefault="00BB59CD" w:rsidP="00BB59CD">
      <w:pPr>
        <w:rPr>
          <w:rtl/>
        </w:rPr>
      </w:pPr>
      <w:bookmarkStart w:id="70976" w:name="_ETM_Q125_406702"/>
      <w:bookmarkStart w:id="70977" w:name="_ETM_Q125_406757"/>
      <w:bookmarkEnd w:id="70976"/>
      <w:bookmarkEnd w:id="70977"/>
      <w:r>
        <w:rPr>
          <w:rFonts w:hint="cs"/>
          <w:rtl/>
        </w:rPr>
        <w:t xml:space="preserve">כשיושבים </w:t>
      </w:r>
      <w:bookmarkStart w:id="70978" w:name="_ETM_Q125_401099"/>
      <w:bookmarkEnd w:id="70978"/>
      <w:r>
        <w:rPr>
          <w:rFonts w:hint="cs"/>
          <w:rtl/>
        </w:rPr>
        <w:t xml:space="preserve">משפטנים </w:t>
      </w:r>
      <w:bookmarkStart w:id="70979" w:name="_ETM_Q125_402060"/>
      <w:bookmarkEnd w:id="70979"/>
      <w:r>
        <w:rPr>
          <w:rFonts w:hint="cs"/>
          <w:rtl/>
        </w:rPr>
        <w:t xml:space="preserve">וחושבים </w:t>
      </w:r>
      <w:bookmarkStart w:id="70980" w:name="_ETM_Q125_402510"/>
      <w:bookmarkEnd w:id="70980"/>
      <w:r>
        <w:rPr>
          <w:rFonts w:hint="cs"/>
          <w:rtl/>
        </w:rPr>
        <w:t xml:space="preserve">שסעד </w:t>
      </w:r>
      <w:bookmarkStart w:id="70981" w:name="_ETM_Q125_403019"/>
      <w:bookmarkEnd w:id="70981"/>
      <w:r>
        <w:rPr>
          <w:rFonts w:hint="cs"/>
          <w:rtl/>
        </w:rPr>
        <w:t xml:space="preserve">נכון </w:t>
      </w:r>
      <w:bookmarkStart w:id="70982" w:name="_ETM_Q125_403439"/>
      <w:bookmarkEnd w:id="70982"/>
      <w:r>
        <w:rPr>
          <w:rFonts w:hint="cs"/>
          <w:rtl/>
        </w:rPr>
        <w:t xml:space="preserve">היה </w:t>
      </w:r>
      <w:bookmarkStart w:id="70983" w:name="_ETM_Q125_403680"/>
      <w:bookmarkEnd w:id="70983"/>
      <w:r>
        <w:rPr>
          <w:rFonts w:hint="cs"/>
          <w:rtl/>
        </w:rPr>
        <w:t xml:space="preserve">לא </w:t>
      </w:r>
      <w:bookmarkStart w:id="70984" w:name="_ETM_Q125_403890"/>
      <w:bookmarkEnd w:id="70984"/>
      <w:r>
        <w:rPr>
          <w:rFonts w:hint="cs"/>
          <w:rtl/>
        </w:rPr>
        <w:t>סביר, לא סביר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אז </w:t>
      </w:r>
      <w:bookmarkStart w:id="70985" w:name="_ETM_Q125_405560"/>
      <w:bookmarkEnd w:id="70985"/>
      <w:r>
        <w:rPr>
          <w:rFonts w:hint="cs"/>
          <w:rtl/>
        </w:rPr>
        <w:t xml:space="preserve">את </w:t>
      </w:r>
      <w:bookmarkStart w:id="70986" w:name="_ETM_Q125_405740"/>
      <w:bookmarkEnd w:id="70986"/>
      <w:r>
        <w:rPr>
          <w:rFonts w:hint="cs"/>
          <w:rtl/>
        </w:rPr>
        <w:t xml:space="preserve">חוזרת </w:t>
      </w:r>
      <w:bookmarkStart w:id="70987" w:name="_ETM_Q125_406670"/>
      <w:bookmarkEnd w:id="70987"/>
      <w:r>
        <w:rPr>
          <w:rFonts w:hint="cs"/>
          <w:rtl/>
        </w:rPr>
        <w:t>לאותה נקודה.</w:t>
      </w:r>
    </w:p>
    <w:p w:rsidR="00BB59CD" w:rsidRDefault="00BB59CD" w:rsidP="00BB59CD">
      <w:pPr>
        <w:rPr>
          <w:rtl/>
        </w:rPr>
      </w:pPr>
      <w:bookmarkStart w:id="70988" w:name="_ETM_Q125_403881"/>
      <w:bookmarkStart w:id="70989" w:name="_ETM_Q125_403934"/>
      <w:bookmarkEnd w:id="70988"/>
      <w:bookmarkEnd w:id="70989"/>
    </w:p>
    <w:p w:rsidR="00BB59CD" w:rsidRDefault="00BB59CD" w:rsidP="00BB59CD">
      <w:pPr>
        <w:pStyle w:val="-"/>
        <w:keepNext/>
        <w:rPr>
          <w:rtl/>
        </w:rPr>
      </w:pPr>
      <w:bookmarkStart w:id="70990" w:name="ET_speakercontinue_6341_13"/>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70990"/>
    </w:p>
    <w:p w:rsidR="00BB59CD" w:rsidRDefault="00BB59CD" w:rsidP="00337201">
      <w:pPr>
        <w:rPr>
          <w:rtl/>
        </w:rPr>
      </w:pPr>
    </w:p>
    <w:p w:rsidR="00BB59CD" w:rsidRDefault="00BB59CD" w:rsidP="00BB59CD">
      <w:pPr>
        <w:rPr>
          <w:rtl/>
        </w:rPr>
      </w:pPr>
      <w:bookmarkStart w:id="70991" w:name="_ETM_Q125_404570"/>
      <w:bookmarkStart w:id="70992" w:name="_ETM_Q125_407210"/>
      <w:bookmarkEnd w:id="70991"/>
      <w:bookmarkEnd w:id="70992"/>
      <w:r>
        <w:rPr>
          <w:rFonts w:hint="cs"/>
          <w:rtl/>
        </w:rPr>
        <w:t xml:space="preserve">השאלה </w:t>
      </w:r>
      <w:bookmarkStart w:id="70993" w:name="_ETM_Q125_407690"/>
      <w:bookmarkEnd w:id="70993"/>
      <w:r>
        <w:rPr>
          <w:rFonts w:hint="cs"/>
          <w:rtl/>
        </w:rPr>
        <w:t>שלי, גם כשבית משפט - - -</w:t>
      </w:r>
    </w:p>
    <w:p w:rsidR="00BB59CD" w:rsidRDefault="00BB59CD" w:rsidP="00BB59CD">
      <w:pPr>
        <w:rPr>
          <w:rtl/>
        </w:rPr>
      </w:pPr>
      <w:bookmarkStart w:id="70994" w:name="_ETM_Q125_407712"/>
      <w:bookmarkStart w:id="70995" w:name="_ETM_Q125_407782"/>
      <w:bookmarkEnd w:id="70994"/>
      <w:bookmarkEnd w:id="7099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70996" w:name="_ETM_Q125_408664"/>
      <w:bookmarkEnd w:id="70996"/>
      <w:r>
        <w:rPr>
          <w:rFonts w:hint="cs"/>
          <w:rtl/>
        </w:rPr>
        <w:t xml:space="preserve">שלושה, או </w:t>
      </w:r>
      <w:bookmarkStart w:id="70997" w:name="_ETM_Q125_410672"/>
      <w:bookmarkEnd w:id="70997"/>
      <w:r>
        <w:rPr>
          <w:rFonts w:hint="cs"/>
          <w:rtl/>
        </w:rPr>
        <w:t xml:space="preserve">שבעה, או שמונה, הם </w:t>
      </w:r>
      <w:bookmarkStart w:id="70998" w:name="_ETM_Q125_410390"/>
      <w:bookmarkEnd w:id="70998"/>
      <w:r>
        <w:rPr>
          <w:rFonts w:hint="cs"/>
          <w:rtl/>
        </w:rPr>
        <w:t xml:space="preserve">עליוני </w:t>
      </w:r>
      <w:bookmarkStart w:id="70999" w:name="_ETM_Q125_410900"/>
      <w:bookmarkEnd w:id="70999"/>
      <w:r>
        <w:rPr>
          <w:rFonts w:hint="cs"/>
          <w:rtl/>
        </w:rPr>
        <w:t xml:space="preserve">העם, </w:t>
      </w:r>
      <w:bookmarkStart w:id="71000" w:name="_ETM_Q125_411440"/>
      <w:bookmarkStart w:id="71001" w:name="_ETM_Q125_411740"/>
      <w:bookmarkEnd w:id="71000"/>
      <w:bookmarkEnd w:id="71001"/>
      <w:r>
        <w:rPr>
          <w:rFonts w:hint="cs"/>
          <w:rtl/>
        </w:rPr>
        <w:t xml:space="preserve">אנחנו </w:t>
      </w:r>
      <w:bookmarkStart w:id="71002" w:name="_ETM_Q125_412070"/>
      <w:bookmarkEnd w:id="71002"/>
      <w:r>
        <w:rPr>
          <w:rFonts w:hint="cs"/>
          <w:rtl/>
        </w:rPr>
        <w:t xml:space="preserve">בני אדם </w:t>
      </w:r>
      <w:bookmarkStart w:id="71003" w:name="_ETM_Q125_412820"/>
      <w:bookmarkEnd w:id="71003"/>
      <w:r>
        <w:rPr>
          <w:rFonts w:hint="cs"/>
          <w:rtl/>
        </w:rPr>
        <w:t xml:space="preserve">והם </w:t>
      </w:r>
      <w:bookmarkStart w:id="71004" w:name="_ETM_Q125_413090"/>
      <w:bookmarkEnd w:id="71004"/>
      <w:r>
        <w:rPr>
          <w:rFonts w:hint="cs"/>
          <w:rtl/>
        </w:rPr>
        <w:t>המלאכים.</w:t>
      </w:r>
    </w:p>
    <w:p w:rsidR="00BB59CD" w:rsidRDefault="00BB59CD" w:rsidP="00BB59CD">
      <w:pPr>
        <w:rPr>
          <w:rtl/>
        </w:rPr>
      </w:pPr>
    </w:p>
    <w:p w:rsidR="00BB59CD" w:rsidRDefault="00BB59CD" w:rsidP="00BB59CD">
      <w:pPr>
        <w:pStyle w:val="-"/>
        <w:keepNext/>
        <w:rPr>
          <w:rtl/>
        </w:rPr>
      </w:pPr>
      <w:bookmarkStart w:id="71005" w:name="ET_speakercontinue_6341_15"/>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71005"/>
    </w:p>
    <w:p w:rsidR="00BB59CD" w:rsidRDefault="00BB59CD" w:rsidP="00337201">
      <w:pPr>
        <w:rPr>
          <w:rtl/>
        </w:rPr>
      </w:pPr>
    </w:p>
    <w:p w:rsidR="00BB59CD" w:rsidRDefault="00BB59CD" w:rsidP="006F4935">
      <w:pPr>
        <w:rPr>
          <w:rtl/>
        </w:rPr>
      </w:pPr>
      <w:bookmarkStart w:id="71006" w:name="_ETM_Q125_413630"/>
      <w:bookmarkEnd w:id="71006"/>
      <w:r>
        <w:rPr>
          <w:rFonts w:hint="cs"/>
          <w:rtl/>
        </w:rPr>
        <w:t xml:space="preserve">הם לא עליוני העם, אבל אם אתה </w:t>
      </w:r>
      <w:bookmarkStart w:id="71007" w:name="_ETM_Q125_413810"/>
      <w:bookmarkEnd w:id="71007"/>
      <w:r>
        <w:rPr>
          <w:rFonts w:hint="cs"/>
          <w:rtl/>
        </w:rPr>
        <w:t xml:space="preserve">מסתכל </w:t>
      </w:r>
      <w:bookmarkStart w:id="71008" w:name="_ETM_Q125_414320"/>
      <w:bookmarkEnd w:id="71008"/>
      <w:r>
        <w:rPr>
          <w:rFonts w:hint="cs"/>
          <w:rtl/>
        </w:rPr>
        <w:t xml:space="preserve">על </w:t>
      </w:r>
      <w:bookmarkStart w:id="71009" w:name="_ETM_Q125_414470"/>
      <w:bookmarkEnd w:id="71009"/>
      <w:r>
        <w:rPr>
          <w:rFonts w:hint="cs"/>
          <w:rtl/>
        </w:rPr>
        <w:t xml:space="preserve">ההחלטות </w:t>
      </w:r>
      <w:bookmarkStart w:id="71010" w:name="_ETM_Q125_415100"/>
      <w:bookmarkEnd w:id="71010"/>
      <w:r>
        <w:rPr>
          <w:rFonts w:hint="cs"/>
          <w:rtl/>
        </w:rPr>
        <w:t xml:space="preserve">בסבירות </w:t>
      </w:r>
      <w:r>
        <w:t>–</w:t>
      </w:r>
      <w:r>
        <w:rPr>
          <w:rFonts w:hint="cs"/>
          <w:rtl/>
        </w:rPr>
        <w:t xml:space="preserve"> </w:t>
      </w:r>
      <w:bookmarkStart w:id="71011" w:name="_ETM_Q125_415700"/>
      <w:bookmarkEnd w:id="71011"/>
      <w:r>
        <w:rPr>
          <w:rFonts w:hint="cs"/>
          <w:rtl/>
        </w:rPr>
        <w:t xml:space="preserve">ואתה </w:t>
      </w:r>
      <w:bookmarkStart w:id="71012" w:name="_ETM_Q125_415910"/>
      <w:bookmarkEnd w:id="71012"/>
      <w:r>
        <w:rPr>
          <w:rFonts w:hint="cs"/>
          <w:rtl/>
        </w:rPr>
        <w:t xml:space="preserve">יכול </w:t>
      </w:r>
      <w:bookmarkStart w:id="71013" w:name="_ETM_Q125_416240"/>
      <w:bookmarkEnd w:id="71013"/>
      <w:r>
        <w:rPr>
          <w:rFonts w:hint="cs"/>
          <w:rtl/>
        </w:rPr>
        <w:t xml:space="preserve">לעבור </w:t>
      </w:r>
      <w:bookmarkStart w:id="71014" w:name="_ETM_Q125_416570"/>
      <w:bookmarkEnd w:id="71014"/>
      <w:r>
        <w:rPr>
          <w:rFonts w:hint="cs"/>
          <w:rtl/>
        </w:rPr>
        <w:t xml:space="preserve">עליהן, </w:t>
      </w:r>
      <w:bookmarkStart w:id="71015" w:name="_ETM_Q125_416810"/>
      <w:bookmarkEnd w:id="71015"/>
      <w:r>
        <w:rPr>
          <w:rFonts w:hint="cs"/>
          <w:rtl/>
        </w:rPr>
        <w:t xml:space="preserve">אין </w:t>
      </w:r>
      <w:bookmarkStart w:id="71016" w:name="_ETM_Q125_417110"/>
      <w:bookmarkEnd w:id="71016"/>
      <w:r>
        <w:rPr>
          <w:rFonts w:hint="cs"/>
          <w:rtl/>
        </w:rPr>
        <w:t xml:space="preserve">הרבה, יש </w:t>
      </w:r>
      <w:r w:rsidR="006F4935">
        <w:rPr>
          <w:rFonts w:hint="cs"/>
          <w:rtl/>
        </w:rPr>
        <w:t>ב</w:t>
      </w:r>
      <w:r>
        <w:rPr>
          <w:rFonts w:hint="cs"/>
          <w:rtl/>
        </w:rPr>
        <w:t xml:space="preserve">סך הכול איזה </w:t>
      </w:r>
      <w:bookmarkStart w:id="71017" w:name="_ETM_Q125_418130"/>
      <w:bookmarkEnd w:id="71017"/>
      <w:r>
        <w:rPr>
          <w:rFonts w:hint="cs"/>
          <w:rtl/>
        </w:rPr>
        <w:t xml:space="preserve">22 </w:t>
      </w:r>
      <w:bookmarkStart w:id="71018" w:name="_ETM_Q125_418910"/>
      <w:bookmarkEnd w:id="71018"/>
      <w:r>
        <w:rPr>
          <w:rFonts w:hint="cs"/>
          <w:rtl/>
        </w:rPr>
        <w:t>כאלה</w:t>
      </w:r>
      <w:bookmarkStart w:id="71019" w:name="_ETM_Q125_419810"/>
      <w:bookmarkEnd w:id="71019"/>
      <w:r>
        <w:rPr>
          <w:rFonts w:hint="cs"/>
          <w:rtl/>
        </w:rPr>
        <w:t xml:space="preserve"> ואנחנו </w:t>
      </w:r>
      <w:bookmarkStart w:id="71020" w:name="_ETM_Q125_420140"/>
      <w:bookmarkEnd w:id="71020"/>
      <w:r>
        <w:rPr>
          <w:rFonts w:hint="cs"/>
          <w:rtl/>
        </w:rPr>
        <w:t xml:space="preserve">מדברים </w:t>
      </w:r>
      <w:bookmarkStart w:id="71021" w:name="_ETM_Q125_420830"/>
      <w:bookmarkEnd w:id="71021"/>
      <w:r>
        <w:rPr>
          <w:rFonts w:hint="cs"/>
          <w:rtl/>
        </w:rPr>
        <w:t xml:space="preserve">על </w:t>
      </w:r>
      <w:bookmarkStart w:id="71022" w:name="_ETM_Q125_421010"/>
      <w:bookmarkEnd w:id="71022"/>
      <w:r>
        <w:rPr>
          <w:rFonts w:hint="cs"/>
          <w:rtl/>
        </w:rPr>
        <w:t xml:space="preserve">כהונה </w:t>
      </w:r>
      <w:bookmarkStart w:id="71023" w:name="_ETM_Q125_421400"/>
      <w:bookmarkEnd w:id="71023"/>
      <w:r>
        <w:rPr>
          <w:rFonts w:hint="cs"/>
          <w:rtl/>
        </w:rPr>
        <w:t xml:space="preserve">מאוד </w:t>
      </w:r>
      <w:bookmarkStart w:id="71024" w:name="_ETM_Q125_421730"/>
      <w:bookmarkEnd w:id="71024"/>
      <w:r>
        <w:rPr>
          <w:rFonts w:hint="cs"/>
          <w:rtl/>
        </w:rPr>
        <w:t xml:space="preserve">מאוד </w:t>
      </w:r>
      <w:bookmarkStart w:id="71025" w:name="_ETM_Q125_421970"/>
      <w:bookmarkEnd w:id="71025"/>
      <w:r>
        <w:rPr>
          <w:rFonts w:hint="cs"/>
          <w:rtl/>
        </w:rPr>
        <w:t xml:space="preserve">ארוכה </w:t>
      </w:r>
      <w:bookmarkStart w:id="71026" w:name="_ETM_Q125_422900"/>
      <w:bookmarkEnd w:id="71026"/>
      <w:r>
        <w:rPr>
          <w:rFonts w:hint="cs"/>
          <w:rtl/>
        </w:rPr>
        <w:t xml:space="preserve">– למה </w:t>
      </w:r>
      <w:bookmarkStart w:id="71027" w:name="_ETM_Q125_423380"/>
      <w:bookmarkEnd w:id="71027"/>
      <w:r>
        <w:rPr>
          <w:rFonts w:hint="cs"/>
          <w:rtl/>
        </w:rPr>
        <w:t xml:space="preserve">צריך </w:t>
      </w:r>
      <w:bookmarkStart w:id="71028" w:name="_ETM_Q125_423590"/>
      <w:bookmarkEnd w:id="71028"/>
      <w:r>
        <w:rPr>
          <w:rFonts w:hint="cs"/>
          <w:rtl/>
        </w:rPr>
        <w:t xml:space="preserve">לתת </w:t>
      </w:r>
      <w:bookmarkStart w:id="71029" w:name="_ETM_Q125_423980"/>
      <w:bookmarkEnd w:id="71029"/>
      <w:r>
        <w:rPr>
          <w:rFonts w:hint="cs"/>
          <w:rtl/>
        </w:rPr>
        <w:t xml:space="preserve">כוח </w:t>
      </w:r>
      <w:bookmarkStart w:id="71030" w:name="_ETM_Q125_424430"/>
      <w:bookmarkEnd w:id="71030"/>
      <w:r>
        <w:rPr>
          <w:rFonts w:hint="cs"/>
          <w:rtl/>
        </w:rPr>
        <w:t xml:space="preserve">מסוים </w:t>
      </w:r>
      <w:bookmarkStart w:id="71031" w:name="_ETM_Q125_425540"/>
      <w:bookmarkEnd w:id="71031"/>
      <w:r>
        <w:rPr>
          <w:rFonts w:hint="cs"/>
          <w:rtl/>
        </w:rPr>
        <w:t xml:space="preserve">גם </w:t>
      </w:r>
      <w:bookmarkStart w:id="71032" w:name="_ETM_Q125_425870"/>
      <w:bookmarkEnd w:id="71032"/>
      <w:r w:rsidR="006F4935">
        <w:rPr>
          <w:rFonts w:hint="cs"/>
          <w:rtl/>
        </w:rPr>
        <w:t>ל</w:t>
      </w:r>
      <w:r>
        <w:rPr>
          <w:rFonts w:hint="cs"/>
          <w:rtl/>
        </w:rPr>
        <w:t xml:space="preserve">נבחרים? </w:t>
      </w:r>
      <w:bookmarkStart w:id="71033" w:name="_ETM_Q125_427269"/>
      <w:bookmarkEnd w:id="71033"/>
      <w:r>
        <w:rPr>
          <w:rFonts w:hint="cs"/>
          <w:rtl/>
        </w:rPr>
        <w:t xml:space="preserve">למה </w:t>
      </w:r>
      <w:bookmarkStart w:id="71034" w:name="_ETM_Q125_427569"/>
      <w:bookmarkEnd w:id="71034"/>
      <w:r>
        <w:rPr>
          <w:rFonts w:hint="cs"/>
          <w:rtl/>
        </w:rPr>
        <w:t xml:space="preserve">צריך </w:t>
      </w:r>
      <w:bookmarkStart w:id="71035" w:name="_ETM_Q125_427840"/>
      <w:bookmarkEnd w:id="71035"/>
      <w:r>
        <w:rPr>
          <w:rFonts w:hint="cs"/>
          <w:rtl/>
        </w:rPr>
        <w:t xml:space="preserve">לתת את </w:t>
      </w:r>
      <w:bookmarkStart w:id="71036" w:name="_ETM_Q125_427930"/>
      <w:bookmarkEnd w:id="71036"/>
      <w:r>
        <w:rPr>
          <w:rFonts w:hint="cs"/>
          <w:rtl/>
        </w:rPr>
        <w:t xml:space="preserve">הכוח? הרי </w:t>
      </w:r>
      <w:bookmarkStart w:id="71037" w:name="_ETM_Q125_428500"/>
      <w:bookmarkEnd w:id="71037"/>
      <w:r>
        <w:rPr>
          <w:rFonts w:hint="cs"/>
          <w:rtl/>
        </w:rPr>
        <w:t xml:space="preserve">הכוח </w:t>
      </w:r>
      <w:bookmarkStart w:id="71038" w:name="_ETM_Q125_428860"/>
      <w:bookmarkEnd w:id="71038"/>
      <w:r>
        <w:rPr>
          <w:rFonts w:hint="cs"/>
          <w:rtl/>
        </w:rPr>
        <w:t xml:space="preserve">הזה </w:t>
      </w:r>
      <w:bookmarkStart w:id="71039" w:name="_ETM_Q125_429129"/>
      <w:bookmarkEnd w:id="71039"/>
      <w:r>
        <w:rPr>
          <w:rFonts w:hint="cs"/>
          <w:rtl/>
        </w:rPr>
        <w:t xml:space="preserve">ידוע, </w:t>
      </w:r>
      <w:bookmarkStart w:id="71040" w:name="_ETM_Q125_430040"/>
      <w:bookmarkEnd w:id="71040"/>
      <w:r>
        <w:rPr>
          <w:rFonts w:hint="cs"/>
          <w:rtl/>
        </w:rPr>
        <w:t>ו</w:t>
      </w:r>
      <w:r w:rsidR="006F4935">
        <w:rPr>
          <w:rFonts w:hint="cs"/>
          <w:rtl/>
        </w:rPr>
        <w:t>זה</w:t>
      </w:r>
      <w:r>
        <w:rPr>
          <w:rFonts w:hint="cs"/>
          <w:rtl/>
        </w:rPr>
        <w:t xml:space="preserve"> </w:t>
      </w:r>
      <w:bookmarkStart w:id="71041" w:name="_ETM_Q125_430249"/>
      <w:bookmarkEnd w:id="71041"/>
      <w:r>
        <w:rPr>
          <w:rFonts w:hint="cs"/>
          <w:rtl/>
        </w:rPr>
        <w:t xml:space="preserve">לא </w:t>
      </w:r>
      <w:bookmarkStart w:id="71042" w:name="_ETM_Q125_430370"/>
      <w:bookmarkEnd w:id="71042"/>
      <w:r>
        <w:rPr>
          <w:rFonts w:hint="cs"/>
          <w:rtl/>
        </w:rPr>
        <w:t xml:space="preserve">בא רק </w:t>
      </w:r>
      <w:bookmarkStart w:id="71043" w:name="_ETM_Q125_430700"/>
      <w:bookmarkEnd w:id="71043"/>
      <w:r>
        <w:rPr>
          <w:rFonts w:hint="cs"/>
          <w:rtl/>
        </w:rPr>
        <w:t>מכאן</w:t>
      </w:r>
      <w:r w:rsidR="006F4935">
        <w:rPr>
          <w:rFonts w:hint="cs"/>
          <w:rtl/>
        </w:rPr>
        <w:t>,</w:t>
      </w:r>
      <w:r>
        <w:rPr>
          <w:rFonts w:hint="cs"/>
          <w:rtl/>
        </w:rPr>
        <w:t xml:space="preserve"> </w:t>
      </w:r>
      <w:bookmarkStart w:id="71044" w:name="_ETM_Q125_431209"/>
      <w:bookmarkEnd w:id="71044"/>
      <w:r>
        <w:rPr>
          <w:rFonts w:hint="cs"/>
          <w:rtl/>
        </w:rPr>
        <w:t xml:space="preserve">ידוע </w:t>
      </w:r>
      <w:bookmarkStart w:id="71045" w:name="_ETM_Q125_431689"/>
      <w:bookmarkEnd w:id="71045"/>
      <w:r>
        <w:rPr>
          <w:rFonts w:hint="cs"/>
          <w:rtl/>
        </w:rPr>
        <w:t xml:space="preserve">שהוא </w:t>
      </w:r>
      <w:bookmarkStart w:id="71046" w:name="_ETM_Q125_431810"/>
      <w:bookmarkEnd w:id="71046"/>
      <w:r>
        <w:rPr>
          <w:rFonts w:hint="cs"/>
          <w:rtl/>
        </w:rPr>
        <w:t xml:space="preserve">עלול </w:t>
      </w:r>
      <w:bookmarkStart w:id="71047" w:name="_ETM_Q125_432049"/>
      <w:bookmarkEnd w:id="71047"/>
      <w:r>
        <w:rPr>
          <w:rFonts w:hint="cs"/>
          <w:rtl/>
        </w:rPr>
        <w:t xml:space="preserve">להיות </w:t>
      </w:r>
      <w:bookmarkStart w:id="71048" w:name="_ETM_Q125_432530"/>
      <w:bookmarkEnd w:id="71048"/>
      <w:r>
        <w:rPr>
          <w:rFonts w:hint="cs"/>
          <w:rtl/>
        </w:rPr>
        <w:t xml:space="preserve">משחית. </w:t>
      </w:r>
      <w:bookmarkStart w:id="71049" w:name="_ETM_Q125_433639"/>
      <w:bookmarkEnd w:id="71049"/>
      <w:r>
        <w:rPr>
          <w:rFonts w:hint="cs"/>
          <w:rtl/>
        </w:rPr>
        <w:t xml:space="preserve">יש </w:t>
      </w:r>
      <w:bookmarkStart w:id="71050" w:name="_ETM_Q125_433849"/>
      <w:bookmarkEnd w:id="71050"/>
      <w:r>
        <w:rPr>
          <w:rFonts w:hint="cs"/>
          <w:rtl/>
        </w:rPr>
        <w:t xml:space="preserve">את </w:t>
      </w:r>
      <w:bookmarkStart w:id="71051" w:name="_ETM_Q125_433969"/>
      <w:bookmarkEnd w:id="71051"/>
      <w:r>
        <w:rPr>
          <w:rFonts w:hint="cs"/>
          <w:rtl/>
        </w:rPr>
        <w:t xml:space="preserve">זה </w:t>
      </w:r>
      <w:bookmarkStart w:id="71052" w:name="_ETM_Q125_434089"/>
      <w:bookmarkEnd w:id="71052"/>
      <w:r>
        <w:rPr>
          <w:rFonts w:hint="cs"/>
          <w:rtl/>
        </w:rPr>
        <w:t xml:space="preserve">בפולין </w:t>
      </w:r>
      <w:bookmarkStart w:id="71053" w:name="_ETM_Q125_435019"/>
      <w:bookmarkEnd w:id="71053"/>
      <w:r>
        <w:rPr>
          <w:rFonts w:hint="cs"/>
          <w:rtl/>
        </w:rPr>
        <w:t xml:space="preserve">ויש </w:t>
      </w:r>
      <w:bookmarkStart w:id="71054" w:name="_ETM_Q125_435349"/>
      <w:bookmarkEnd w:id="71054"/>
      <w:r>
        <w:rPr>
          <w:rFonts w:hint="cs"/>
          <w:rtl/>
        </w:rPr>
        <w:t xml:space="preserve">את </w:t>
      </w:r>
      <w:bookmarkStart w:id="71055" w:name="_ETM_Q125_435469"/>
      <w:bookmarkEnd w:id="71055"/>
      <w:r>
        <w:rPr>
          <w:rFonts w:hint="cs"/>
          <w:rtl/>
        </w:rPr>
        <w:t xml:space="preserve">זה </w:t>
      </w:r>
      <w:bookmarkStart w:id="71056" w:name="_ETM_Q125_435589"/>
      <w:bookmarkEnd w:id="71056"/>
      <w:r>
        <w:rPr>
          <w:rFonts w:hint="cs"/>
          <w:rtl/>
        </w:rPr>
        <w:t xml:space="preserve">בטורקיה. </w:t>
      </w:r>
      <w:bookmarkStart w:id="71057" w:name="_ETM_Q125_436290"/>
      <w:bookmarkEnd w:id="71057"/>
      <w:r>
        <w:rPr>
          <w:rFonts w:hint="cs"/>
          <w:rtl/>
        </w:rPr>
        <w:t xml:space="preserve">גם </w:t>
      </w:r>
      <w:bookmarkStart w:id="71058" w:name="_ETM_Q125_436650"/>
      <w:bookmarkEnd w:id="71058"/>
      <w:r>
        <w:rPr>
          <w:rFonts w:hint="cs"/>
          <w:rtl/>
        </w:rPr>
        <w:t xml:space="preserve">הם דמוקרטיים, גם </w:t>
      </w:r>
      <w:bookmarkStart w:id="71059" w:name="_ETM_Q125_437639"/>
      <w:bookmarkEnd w:id="71059"/>
      <w:r>
        <w:rPr>
          <w:rFonts w:hint="cs"/>
          <w:rtl/>
        </w:rPr>
        <w:t xml:space="preserve">הם הולכים </w:t>
      </w:r>
      <w:bookmarkStart w:id="71060" w:name="_ETM_Q125_437940"/>
      <w:bookmarkEnd w:id="71060"/>
      <w:r>
        <w:rPr>
          <w:rFonts w:hint="cs"/>
          <w:rtl/>
        </w:rPr>
        <w:t xml:space="preserve">לבחור. </w:t>
      </w:r>
      <w:bookmarkStart w:id="71061" w:name="_ETM_Q125_438389"/>
      <w:bookmarkEnd w:id="71061"/>
      <w:r>
        <w:rPr>
          <w:rFonts w:hint="cs"/>
          <w:rtl/>
        </w:rPr>
        <w:t xml:space="preserve">איזה </w:t>
      </w:r>
      <w:bookmarkStart w:id="71062" w:name="_ETM_Q125_438660"/>
      <w:bookmarkEnd w:id="71062"/>
      <w:r>
        <w:rPr>
          <w:rFonts w:hint="cs"/>
          <w:rtl/>
        </w:rPr>
        <w:t xml:space="preserve">יופי. </w:t>
      </w:r>
      <w:bookmarkStart w:id="71063" w:name="_ETM_Q125_439800"/>
      <w:bookmarkEnd w:id="71063"/>
    </w:p>
    <w:p w:rsidR="00BB59CD" w:rsidRDefault="00BB59CD" w:rsidP="00BB59CD">
      <w:pPr>
        <w:rPr>
          <w:rtl/>
        </w:rPr>
      </w:pPr>
    </w:p>
    <w:p w:rsidR="006F4935" w:rsidRDefault="00BB59CD" w:rsidP="006F4935">
      <w:pPr>
        <w:rPr>
          <w:rtl/>
        </w:rPr>
      </w:pPr>
      <w:r>
        <w:rPr>
          <w:rFonts w:hint="cs"/>
          <w:rtl/>
        </w:rPr>
        <w:t xml:space="preserve">תסתכל </w:t>
      </w:r>
      <w:bookmarkStart w:id="71064" w:name="_ETM_Q125_440279"/>
      <w:bookmarkEnd w:id="71064"/>
      <w:r>
        <w:rPr>
          <w:rFonts w:hint="cs"/>
          <w:rtl/>
        </w:rPr>
        <w:t xml:space="preserve">מה </w:t>
      </w:r>
      <w:bookmarkStart w:id="71065" w:name="_ETM_Q125_440430"/>
      <w:bookmarkEnd w:id="71065"/>
      <w:r>
        <w:rPr>
          <w:rFonts w:hint="cs"/>
          <w:rtl/>
        </w:rPr>
        <w:t xml:space="preserve">אנחנו </w:t>
      </w:r>
      <w:bookmarkStart w:id="71066" w:name="_ETM_Q125_440760"/>
      <w:bookmarkEnd w:id="71066"/>
      <w:r>
        <w:rPr>
          <w:rFonts w:hint="cs"/>
          <w:rtl/>
        </w:rPr>
        <w:t xml:space="preserve">רואים </w:t>
      </w:r>
      <w:bookmarkStart w:id="71067" w:name="_ETM_Q125_441000"/>
      <w:bookmarkEnd w:id="71067"/>
      <w:r>
        <w:rPr>
          <w:rFonts w:hint="cs"/>
          <w:rtl/>
        </w:rPr>
        <w:t xml:space="preserve">בזמן </w:t>
      </w:r>
      <w:bookmarkStart w:id="71068" w:name="_ETM_Q125_441390"/>
      <w:bookmarkEnd w:id="71068"/>
      <w:r>
        <w:rPr>
          <w:rFonts w:hint="cs"/>
          <w:rtl/>
        </w:rPr>
        <w:t xml:space="preserve">האחרון, </w:t>
      </w:r>
      <w:bookmarkStart w:id="71069" w:name="_ETM_Q125_442230"/>
      <w:bookmarkEnd w:id="71069"/>
      <w:r>
        <w:rPr>
          <w:rFonts w:hint="cs"/>
          <w:rtl/>
        </w:rPr>
        <w:t xml:space="preserve">רק </w:t>
      </w:r>
      <w:bookmarkStart w:id="71070" w:name="_ETM_Q125_442470"/>
      <w:bookmarkEnd w:id="71070"/>
      <w:r>
        <w:rPr>
          <w:rFonts w:hint="cs"/>
          <w:rtl/>
        </w:rPr>
        <w:t xml:space="preserve">מינוי </w:t>
      </w:r>
      <w:bookmarkStart w:id="71071" w:name="_ETM_Q125_442740"/>
      <w:bookmarkEnd w:id="71071"/>
      <w:r>
        <w:rPr>
          <w:rFonts w:hint="cs"/>
          <w:rtl/>
        </w:rPr>
        <w:t xml:space="preserve">של מקורב, </w:t>
      </w:r>
      <w:bookmarkStart w:id="71072" w:name="_ETM_Q125_443670"/>
      <w:bookmarkEnd w:id="71072"/>
      <w:r>
        <w:rPr>
          <w:rFonts w:hint="cs"/>
          <w:rtl/>
        </w:rPr>
        <w:t xml:space="preserve">רק </w:t>
      </w:r>
      <w:bookmarkStart w:id="71073" w:name="_ETM_Q125_443970"/>
      <w:bookmarkEnd w:id="71073"/>
      <w:r>
        <w:rPr>
          <w:rFonts w:hint="cs"/>
          <w:rtl/>
        </w:rPr>
        <w:t>פיטורי</w:t>
      </w:r>
      <w:r w:rsidR="006F4935">
        <w:rPr>
          <w:rFonts w:hint="cs"/>
          <w:rtl/>
        </w:rPr>
        <w:t>ם</w:t>
      </w:r>
      <w:r>
        <w:rPr>
          <w:rFonts w:hint="cs"/>
          <w:rtl/>
        </w:rPr>
        <w:t xml:space="preserve">, </w:t>
      </w:r>
      <w:bookmarkStart w:id="71074" w:name="_ETM_Q125_444720"/>
      <w:bookmarkEnd w:id="71074"/>
      <w:r>
        <w:rPr>
          <w:rFonts w:hint="cs"/>
          <w:rtl/>
        </w:rPr>
        <w:t xml:space="preserve">לא </w:t>
      </w:r>
      <w:bookmarkStart w:id="71075" w:name="_ETM_Q125_444900"/>
      <w:bookmarkEnd w:id="71075"/>
      <w:r>
        <w:rPr>
          <w:rFonts w:hint="cs"/>
          <w:rtl/>
        </w:rPr>
        <w:t xml:space="preserve">מקבלים </w:t>
      </w:r>
      <w:bookmarkStart w:id="71076" w:name="_ETM_Q125_445350"/>
      <w:bookmarkEnd w:id="71076"/>
      <w:r>
        <w:rPr>
          <w:rFonts w:hint="cs"/>
          <w:rtl/>
        </w:rPr>
        <w:t xml:space="preserve">את </w:t>
      </w:r>
      <w:bookmarkStart w:id="71077" w:name="_ETM_Q125_445500"/>
      <w:bookmarkEnd w:id="71077"/>
      <w:r>
        <w:rPr>
          <w:rFonts w:hint="cs"/>
          <w:rtl/>
        </w:rPr>
        <w:t xml:space="preserve">המקורב </w:t>
      </w:r>
      <w:bookmarkStart w:id="71078" w:name="_ETM_Q125_446040"/>
      <w:bookmarkEnd w:id="71078"/>
      <w:r>
        <w:rPr>
          <w:rFonts w:hint="cs"/>
          <w:rtl/>
        </w:rPr>
        <w:t xml:space="preserve">הזה </w:t>
      </w:r>
      <w:bookmarkStart w:id="71079" w:name="_ETM_Q125_446550"/>
      <w:bookmarkEnd w:id="71079"/>
      <w:r>
        <w:rPr>
          <w:rFonts w:hint="cs"/>
          <w:rtl/>
        </w:rPr>
        <w:t xml:space="preserve">אז </w:t>
      </w:r>
      <w:bookmarkStart w:id="71080" w:name="_ETM_Q125_446730"/>
      <w:bookmarkStart w:id="71081" w:name="_ETM_Q125_446880"/>
      <w:bookmarkEnd w:id="71080"/>
      <w:bookmarkEnd w:id="71081"/>
      <w:r>
        <w:rPr>
          <w:rFonts w:hint="cs"/>
          <w:rtl/>
        </w:rPr>
        <w:t xml:space="preserve">שולחים </w:t>
      </w:r>
      <w:bookmarkStart w:id="71082" w:name="_ETM_Q125_447240"/>
      <w:bookmarkEnd w:id="71082"/>
      <w:r>
        <w:rPr>
          <w:rFonts w:hint="cs"/>
          <w:rtl/>
        </w:rPr>
        <w:t xml:space="preserve">אותו </w:t>
      </w:r>
      <w:bookmarkStart w:id="71083" w:name="_ETM_Q125_447450"/>
      <w:bookmarkStart w:id="71084" w:name="_ETM_Q125_447779"/>
      <w:bookmarkEnd w:id="71083"/>
      <w:bookmarkEnd w:id="71084"/>
      <w:r>
        <w:rPr>
          <w:rFonts w:hint="cs"/>
          <w:rtl/>
        </w:rPr>
        <w:t>ל</w:t>
      </w:r>
      <w:bookmarkStart w:id="71085" w:name="_ETM_Q125_448080"/>
      <w:bookmarkEnd w:id="71085"/>
      <w:r>
        <w:rPr>
          <w:rFonts w:hint="cs"/>
          <w:rtl/>
        </w:rPr>
        <w:t xml:space="preserve">איזה </w:t>
      </w:r>
      <w:bookmarkStart w:id="71086" w:name="_ETM_Q125_448260"/>
      <w:bookmarkEnd w:id="71086"/>
      <w:r>
        <w:rPr>
          <w:rFonts w:hint="cs"/>
          <w:rtl/>
        </w:rPr>
        <w:t xml:space="preserve">השתלמות </w:t>
      </w:r>
      <w:bookmarkStart w:id="71087" w:name="_ETM_Q125_448800"/>
      <w:bookmarkEnd w:id="71087"/>
      <w:r>
        <w:rPr>
          <w:rFonts w:hint="cs"/>
          <w:rtl/>
        </w:rPr>
        <w:t xml:space="preserve">קצרה </w:t>
      </w:r>
      <w:bookmarkStart w:id="71088" w:name="_ETM_Q125_450210"/>
      <w:bookmarkEnd w:id="71088"/>
      <w:r>
        <w:rPr>
          <w:rFonts w:hint="cs"/>
          <w:rtl/>
        </w:rPr>
        <w:t xml:space="preserve">ואז </w:t>
      </w:r>
      <w:bookmarkStart w:id="71089" w:name="_ETM_Q125_450510"/>
      <w:bookmarkEnd w:id="71089"/>
      <w:r>
        <w:rPr>
          <w:rFonts w:hint="cs"/>
          <w:rtl/>
        </w:rPr>
        <w:t xml:space="preserve">הוא </w:t>
      </w:r>
      <w:bookmarkStart w:id="71090" w:name="_ETM_Q125_450570"/>
      <w:bookmarkEnd w:id="71090"/>
      <w:r>
        <w:rPr>
          <w:rFonts w:hint="cs"/>
          <w:rtl/>
        </w:rPr>
        <w:t xml:space="preserve">חוזר. </w:t>
      </w:r>
      <w:bookmarkStart w:id="71091" w:name="_ETM_Q125_451289"/>
      <w:bookmarkEnd w:id="71091"/>
      <w:r>
        <w:rPr>
          <w:rFonts w:hint="cs"/>
          <w:rtl/>
        </w:rPr>
        <w:t xml:space="preserve">והינה </w:t>
      </w:r>
      <w:bookmarkStart w:id="71092" w:name="_ETM_Q125_451589"/>
      <w:bookmarkEnd w:id="71092"/>
      <w:r>
        <w:rPr>
          <w:rFonts w:hint="cs"/>
          <w:rtl/>
        </w:rPr>
        <w:t xml:space="preserve">בא </w:t>
      </w:r>
      <w:bookmarkStart w:id="71093" w:name="_ETM_Q125_451710"/>
      <w:bookmarkEnd w:id="71093"/>
      <w:r>
        <w:rPr>
          <w:rFonts w:hint="cs"/>
          <w:rtl/>
        </w:rPr>
        <w:t xml:space="preserve">לנו </w:t>
      </w:r>
      <w:bookmarkStart w:id="71094" w:name="_ETM_Q125_451919"/>
      <w:bookmarkEnd w:id="71094"/>
      <w:r>
        <w:rPr>
          <w:rFonts w:hint="cs"/>
          <w:rtl/>
        </w:rPr>
        <w:t xml:space="preserve">חוק </w:t>
      </w:r>
      <w:bookmarkStart w:id="71095" w:name="_ETM_Q125_452190"/>
      <w:bookmarkEnd w:id="71095"/>
      <w:r>
        <w:rPr>
          <w:rFonts w:hint="cs"/>
          <w:rtl/>
        </w:rPr>
        <w:t xml:space="preserve">טבריה, </w:t>
      </w:r>
      <w:bookmarkStart w:id="71096" w:name="_ETM_Q125_452940"/>
      <w:bookmarkEnd w:id="71096"/>
      <w:r>
        <w:rPr>
          <w:rFonts w:hint="cs"/>
          <w:rtl/>
        </w:rPr>
        <w:t xml:space="preserve">והינה </w:t>
      </w:r>
      <w:bookmarkStart w:id="71097" w:name="_ETM_Q125_453360"/>
      <w:bookmarkEnd w:id="71097"/>
      <w:r>
        <w:rPr>
          <w:rFonts w:hint="cs"/>
          <w:rtl/>
        </w:rPr>
        <w:t xml:space="preserve">באה </w:t>
      </w:r>
      <w:bookmarkStart w:id="71098" w:name="_ETM_Q125_453509"/>
      <w:bookmarkEnd w:id="71098"/>
      <w:r>
        <w:rPr>
          <w:rFonts w:hint="cs"/>
          <w:rtl/>
        </w:rPr>
        <w:t xml:space="preserve">לנו </w:t>
      </w:r>
      <w:bookmarkStart w:id="71099" w:name="_ETM_Q125_453779"/>
      <w:bookmarkEnd w:id="71099"/>
      <w:r>
        <w:rPr>
          <w:rFonts w:hint="cs"/>
          <w:rtl/>
        </w:rPr>
        <w:t xml:space="preserve">הרבנות. </w:t>
      </w:r>
      <w:bookmarkStart w:id="71100" w:name="_ETM_Q125_454910"/>
      <w:bookmarkEnd w:id="71100"/>
      <w:r>
        <w:rPr>
          <w:rFonts w:hint="cs"/>
          <w:rtl/>
        </w:rPr>
        <w:t xml:space="preserve">מה </w:t>
      </w:r>
      <w:bookmarkStart w:id="71101" w:name="_ETM_Q125_455060"/>
      <w:bookmarkEnd w:id="71101"/>
      <w:r>
        <w:rPr>
          <w:rFonts w:hint="cs"/>
          <w:rtl/>
        </w:rPr>
        <w:t xml:space="preserve">קרה </w:t>
      </w:r>
      <w:bookmarkStart w:id="71102" w:name="_ETM_Q125_455390"/>
      <w:bookmarkEnd w:id="71102"/>
      <w:r>
        <w:rPr>
          <w:rFonts w:hint="cs"/>
          <w:rtl/>
        </w:rPr>
        <w:t xml:space="preserve">לכם? </w:t>
      </w:r>
      <w:bookmarkStart w:id="71103" w:name="_ETM_Q125_455839"/>
      <w:bookmarkEnd w:id="71103"/>
      <w:r>
        <w:rPr>
          <w:rFonts w:hint="cs"/>
          <w:rtl/>
        </w:rPr>
        <w:t xml:space="preserve">מה </w:t>
      </w:r>
      <w:bookmarkStart w:id="71104" w:name="_ETM_Q125_455990"/>
      <w:bookmarkEnd w:id="71104"/>
      <w:r>
        <w:rPr>
          <w:rFonts w:hint="cs"/>
          <w:rtl/>
        </w:rPr>
        <w:t xml:space="preserve">קרה </w:t>
      </w:r>
      <w:bookmarkStart w:id="71105" w:name="_ETM_Q125_456339"/>
      <w:bookmarkEnd w:id="71105"/>
      <w:r>
        <w:rPr>
          <w:rFonts w:hint="cs"/>
          <w:rtl/>
        </w:rPr>
        <w:t xml:space="preserve">לכם? </w:t>
      </w:r>
      <w:bookmarkStart w:id="71106" w:name="_ETM_Q125_457210"/>
      <w:bookmarkEnd w:id="71106"/>
      <w:r>
        <w:rPr>
          <w:rFonts w:hint="cs"/>
          <w:rtl/>
        </w:rPr>
        <w:t xml:space="preserve">זה </w:t>
      </w:r>
      <w:bookmarkStart w:id="71107" w:name="_ETM_Q125_457390"/>
      <w:bookmarkEnd w:id="71107"/>
      <w:r>
        <w:rPr>
          <w:rFonts w:hint="cs"/>
          <w:rtl/>
        </w:rPr>
        <w:t xml:space="preserve">מה </w:t>
      </w:r>
      <w:bookmarkStart w:id="71108" w:name="_ETM_Q125_457510"/>
      <w:bookmarkEnd w:id="71108"/>
      <w:r>
        <w:rPr>
          <w:rFonts w:hint="cs"/>
          <w:rtl/>
        </w:rPr>
        <w:t xml:space="preserve">שאלוהים </w:t>
      </w:r>
      <w:bookmarkStart w:id="71109" w:name="_ETM_Q125_457900"/>
      <w:bookmarkEnd w:id="71109"/>
      <w:r>
        <w:rPr>
          <w:rFonts w:hint="cs"/>
          <w:rtl/>
        </w:rPr>
        <w:t xml:space="preserve">ציפה </w:t>
      </w:r>
      <w:bookmarkStart w:id="71110" w:name="_ETM_Q125_458400"/>
      <w:bookmarkEnd w:id="71110"/>
      <w:r>
        <w:rPr>
          <w:rFonts w:hint="cs"/>
          <w:rtl/>
        </w:rPr>
        <w:t xml:space="preserve">מאיתנו? </w:t>
      </w:r>
      <w:bookmarkStart w:id="71111" w:name="_ETM_Q125_459790"/>
      <w:bookmarkEnd w:id="71111"/>
      <w:r>
        <w:rPr>
          <w:rFonts w:hint="cs"/>
          <w:rtl/>
        </w:rPr>
        <w:t xml:space="preserve">מדינת </w:t>
      </w:r>
      <w:bookmarkStart w:id="71112" w:name="_ETM_Q125_460000"/>
      <w:bookmarkEnd w:id="71112"/>
      <w:r>
        <w:rPr>
          <w:rFonts w:hint="cs"/>
          <w:rtl/>
        </w:rPr>
        <w:t xml:space="preserve">ישראל, </w:t>
      </w:r>
      <w:bookmarkStart w:id="71113" w:name="_ETM_Q125_460630"/>
      <w:bookmarkEnd w:id="71113"/>
      <w:r>
        <w:rPr>
          <w:rFonts w:hint="cs"/>
          <w:rtl/>
        </w:rPr>
        <w:t xml:space="preserve">העם </w:t>
      </w:r>
      <w:bookmarkStart w:id="71114" w:name="_ETM_Q125_460930"/>
      <w:bookmarkEnd w:id="71114"/>
      <w:r>
        <w:rPr>
          <w:rFonts w:hint="cs"/>
          <w:rtl/>
        </w:rPr>
        <w:t xml:space="preserve">הכי </w:t>
      </w:r>
      <w:bookmarkStart w:id="71115" w:name="_ETM_Q125_461200"/>
      <w:bookmarkEnd w:id="71115"/>
      <w:r>
        <w:rPr>
          <w:rFonts w:hint="cs"/>
          <w:rtl/>
        </w:rPr>
        <w:t xml:space="preserve">מוסרי, </w:t>
      </w:r>
      <w:bookmarkStart w:id="71116" w:name="_ETM_Q125_462250"/>
      <w:bookmarkEnd w:id="71116"/>
      <w:r>
        <w:rPr>
          <w:rFonts w:hint="cs"/>
          <w:rtl/>
        </w:rPr>
        <w:t xml:space="preserve">הכי </w:t>
      </w:r>
      <w:bookmarkStart w:id="71117" w:name="_ETM_Q125_462520"/>
      <w:bookmarkEnd w:id="71117"/>
      <w:r>
        <w:rPr>
          <w:rFonts w:hint="cs"/>
          <w:rtl/>
        </w:rPr>
        <w:t xml:space="preserve">דמוקרטי, </w:t>
      </w:r>
      <w:bookmarkStart w:id="71118" w:name="_ETM_Q125_463570"/>
      <w:bookmarkEnd w:id="71118"/>
      <w:r>
        <w:rPr>
          <w:rFonts w:hint="cs"/>
          <w:rtl/>
        </w:rPr>
        <w:t xml:space="preserve">הכי </w:t>
      </w:r>
      <w:bookmarkStart w:id="71119" w:name="_ETM_Q125_463870"/>
      <w:bookmarkEnd w:id="71119"/>
      <w:r>
        <w:rPr>
          <w:rFonts w:hint="cs"/>
          <w:rtl/>
        </w:rPr>
        <w:t xml:space="preserve">מכיל, </w:t>
      </w:r>
      <w:bookmarkStart w:id="71120" w:name="_ETM_Q125_464589"/>
      <w:bookmarkEnd w:id="71120"/>
      <w:r>
        <w:rPr>
          <w:rFonts w:hint="cs"/>
          <w:rtl/>
        </w:rPr>
        <w:t xml:space="preserve">הכי </w:t>
      </w:r>
      <w:bookmarkStart w:id="71121" w:name="_ETM_Q125_464890"/>
      <w:bookmarkEnd w:id="71121"/>
      <w:r>
        <w:rPr>
          <w:rFonts w:hint="cs"/>
          <w:rtl/>
        </w:rPr>
        <w:t xml:space="preserve">יהודי – </w:t>
      </w:r>
      <w:bookmarkStart w:id="71122" w:name="_ETM_Q125_465960"/>
      <w:bookmarkEnd w:id="71122"/>
      <w:r>
        <w:rPr>
          <w:rFonts w:hint="cs"/>
          <w:rtl/>
        </w:rPr>
        <w:t xml:space="preserve">איך </w:t>
      </w:r>
      <w:bookmarkStart w:id="71123" w:name="_ETM_Q125_466170"/>
      <w:bookmarkEnd w:id="71123"/>
      <w:r>
        <w:rPr>
          <w:rFonts w:hint="cs"/>
          <w:rtl/>
        </w:rPr>
        <w:t xml:space="preserve">קורה </w:t>
      </w:r>
      <w:bookmarkStart w:id="71124" w:name="_ETM_Q125_466440"/>
      <w:bookmarkEnd w:id="71124"/>
      <w:r>
        <w:rPr>
          <w:rFonts w:hint="cs"/>
          <w:rtl/>
        </w:rPr>
        <w:t xml:space="preserve">שבתוך </w:t>
      </w:r>
      <w:bookmarkStart w:id="71125" w:name="_ETM_Q125_467040"/>
      <w:bookmarkEnd w:id="71125"/>
      <w:r>
        <w:rPr>
          <w:rFonts w:hint="cs"/>
          <w:rtl/>
        </w:rPr>
        <w:t xml:space="preserve">הבית </w:t>
      </w:r>
      <w:bookmarkStart w:id="71126" w:name="_ETM_Q125_467550"/>
      <w:bookmarkEnd w:id="71126"/>
      <w:r>
        <w:rPr>
          <w:rFonts w:hint="cs"/>
          <w:rtl/>
        </w:rPr>
        <w:t xml:space="preserve">שלנו, </w:t>
      </w:r>
      <w:bookmarkStart w:id="71127" w:name="_ETM_Q125_468000"/>
      <w:bookmarkEnd w:id="71127"/>
      <w:r>
        <w:rPr>
          <w:rFonts w:hint="cs"/>
          <w:rtl/>
        </w:rPr>
        <w:t xml:space="preserve">הבית, </w:t>
      </w:r>
      <w:bookmarkStart w:id="71128" w:name="_ETM_Q125_468630"/>
      <w:bookmarkEnd w:id="71128"/>
      <w:r>
        <w:rPr>
          <w:rFonts w:hint="cs"/>
          <w:rtl/>
        </w:rPr>
        <w:t xml:space="preserve">הבית </w:t>
      </w:r>
      <w:bookmarkStart w:id="71129" w:name="_ETM_Q125_469020"/>
      <w:bookmarkEnd w:id="71129"/>
      <w:r>
        <w:rPr>
          <w:rFonts w:hint="cs"/>
          <w:rtl/>
        </w:rPr>
        <w:t>הזה</w:t>
      </w:r>
      <w:r w:rsidR="006F4935">
        <w:rPr>
          <w:rFonts w:hint="cs"/>
          <w:rtl/>
        </w:rPr>
        <w:t>,</w:t>
      </w:r>
      <w:r>
        <w:rPr>
          <w:rFonts w:hint="cs"/>
          <w:rtl/>
        </w:rPr>
        <w:t xml:space="preserve"> </w:t>
      </w:r>
      <w:bookmarkStart w:id="71130" w:name="_ETM_Q125_469589"/>
      <w:bookmarkEnd w:id="71130"/>
      <w:r>
        <w:rPr>
          <w:rFonts w:hint="cs"/>
          <w:rtl/>
        </w:rPr>
        <w:t xml:space="preserve">וזה </w:t>
      </w:r>
      <w:bookmarkStart w:id="71131" w:name="_ETM_Q125_469860"/>
      <w:bookmarkEnd w:id="71131"/>
      <w:r>
        <w:rPr>
          <w:rFonts w:hint="cs"/>
          <w:rtl/>
        </w:rPr>
        <w:t xml:space="preserve">הבית </w:t>
      </w:r>
      <w:bookmarkStart w:id="71132" w:name="_ETM_Q125_470160"/>
      <w:bookmarkEnd w:id="71132"/>
      <w:r>
        <w:rPr>
          <w:rFonts w:hint="cs"/>
          <w:rtl/>
        </w:rPr>
        <w:t xml:space="preserve">היחיד </w:t>
      </w:r>
      <w:bookmarkStart w:id="71133" w:name="_ETM_Q125_470520"/>
      <w:bookmarkEnd w:id="71133"/>
      <w:r>
        <w:rPr>
          <w:rFonts w:hint="cs"/>
          <w:rtl/>
        </w:rPr>
        <w:t xml:space="preserve">שיש </w:t>
      </w:r>
      <w:bookmarkStart w:id="71134" w:name="_ETM_Q125_470730"/>
      <w:bookmarkEnd w:id="71134"/>
      <w:r>
        <w:rPr>
          <w:rFonts w:hint="cs"/>
          <w:rtl/>
        </w:rPr>
        <w:t xml:space="preserve">לנו </w:t>
      </w:r>
      <w:bookmarkStart w:id="71135" w:name="_ETM_Q125_470940"/>
      <w:bookmarkEnd w:id="71135"/>
      <w:r>
        <w:rPr>
          <w:rFonts w:hint="cs"/>
          <w:rtl/>
        </w:rPr>
        <w:t xml:space="preserve">כרגע </w:t>
      </w:r>
      <w:r>
        <w:t>–</w:t>
      </w:r>
      <w:r>
        <w:rPr>
          <w:rFonts w:hint="cs"/>
          <w:rtl/>
        </w:rPr>
        <w:t xml:space="preserve"> </w:t>
      </w:r>
      <w:bookmarkStart w:id="71136" w:name="_ETM_Q125_471660"/>
      <w:bookmarkEnd w:id="71136"/>
      <w:r>
        <w:rPr>
          <w:rFonts w:hint="cs"/>
          <w:rtl/>
        </w:rPr>
        <w:t xml:space="preserve">איך </w:t>
      </w:r>
      <w:bookmarkStart w:id="71137" w:name="_ETM_Q125_471810"/>
      <w:bookmarkEnd w:id="71137"/>
      <w:r>
        <w:rPr>
          <w:rFonts w:hint="cs"/>
          <w:rtl/>
        </w:rPr>
        <w:t xml:space="preserve">הגענו </w:t>
      </w:r>
      <w:bookmarkStart w:id="71138" w:name="_ETM_Q125_472140"/>
      <w:bookmarkEnd w:id="71138"/>
      <w:r>
        <w:rPr>
          <w:rFonts w:hint="cs"/>
          <w:rtl/>
        </w:rPr>
        <w:t xml:space="preserve">למצב </w:t>
      </w:r>
      <w:bookmarkStart w:id="71139" w:name="_ETM_Q125_472680"/>
      <w:bookmarkEnd w:id="71139"/>
      <w:r>
        <w:rPr>
          <w:rFonts w:hint="cs"/>
          <w:rtl/>
        </w:rPr>
        <w:t xml:space="preserve">הזה? </w:t>
      </w:r>
      <w:bookmarkStart w:id="71140" w:name="_ETM_Q125_474050"/>
      <w:bookmarkEnd w:id="71140"/>
    </w:p>
    <w:p w:rsidR="006F4935" w:rsidRDefault="006F4935" w:rsidP="006F4935">
      <w:pPr>
        <w:rPr>
          <w:rtl/>
        </w:rPr>
      </w:pPr>
      <w:bookmarkStart w:id="71141" w:name="_ETM_Q0_74696492"/>
      <w:bookmarkStart w:id="71142" w:name="_ETM_Q0_74696605"/>
      <w:bookmarkEnd w:id="71141"/>
      <w:bookmarkEnd w:id="71142"/>
    </w:p>
    <w:p w:rsidR="00BB59CD" w:rsidRDefault="00BB59CD" w:rsidP="006F4935">
      <w:pPr>
        <w:rPr>
          <w:rtl/>
        </w:rPr>
      </w:pPr>
      <w:bookmarkStart w:id="71143" w:name="_ETM_Q0_74696677"/>
      <w:bookmarkStart w:id="71144" w:name="_ETM_Q0_74696759"/>
      <w:bookmarkEnd w:id="71143"/>
      <w:bookmarkEnd w:id="71144"/>
      <w:r>
        <w:rPr>
          <w:rFonts w:hint="cs"/>
          <w:rtl/>
        </w:rPr>
        <w:t>כמה דקות נשארו לי, אדוני?</w:t>
      </w:r>
    </w:p>
    <w:p w:rsidR="00BB59CD" w:rsidRDefault="00BB59CD" w:rsidP="00BB59CD">
      <w:pPr>
        <w:rPr>
          <w:rtl/>
        </w:rPr>
      </w:pPr>
      <w:bookmarkStart w:id="71145" w:name="_ETM_Q125_473659"/>
      <w:bookmarkStart w:id="71146" w:name="_ETM_Q125_473711"/>
      <w:bookmarkEnd w:id="71145"/>
      <w:bookmarkEnd w:id="71146"/>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71147" w:name="_ETM_Q125_474323"/>
      <w:bookmarkEnd w:id="71147"/>
      <w:r>
        <w:rPr>
          <w:rFonts w:hint="cs"/>
          <w:rtl/>
        </w:rPr>
        <w:t xml:space="preserve">הסתיים </w:t>
      </w:r>
      <w:bookmarkStart w:id="71148" w:name="_ETM_Q125_475910"/>
      <w:bookmarkEnd w:id="71148"/>
      <w:r>
        <w:rPr>
          <w:rFonts w:hint="cs"/>
          <w:rtl/>
        </w:rPr>
        <w:t>זמנך.</w:t>
      </w:r>
    </w:p>
    <w:p w:rsidR="00BB59CD" w:rsidRDefault="00BB59CD" w:rsidP="00BB59CD">
      <w:pPr>
        <w:rPr>
          <w:rtl/>
        </w:rPr>
      </w:pPr>
      <w:bookmarkStart w:id="71149" w:name="_ETM_Q125_479438"/>
      <w:bookmarkStart w:id="71150" w:name="_ETM_Q125_479529"/>
      <w:bookmarkEnd w:id="71149"/>
      <w:bookmarkEnd w:id="71150"/>
    </w:p>
    <w:p w:rsidR="00BB59CD" w:rsidRDefault="00BB59CD" w:rsidP="00BB59CD">
      <w:pPr>
        <w:pStyle w:val="-"/>
        <w:keepNext/>
        <w:rPr>
          <w:rtl/>
        </w:rPr>
      </w:pPr>
      <w:bookmarkStart w:id="71151" w:name="ET_speakercontinue_6341_17"/>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71151"/>
    </w:p>
    <w:p w:rsidR="00BB59CD" w:rsidRDefault="00BB59CD" w:rsidP="00337201">
      <w:pPr>
        <w:rPr>
          <w:rtl/>
        </w:rPr>
      </w:pPr>
    </w:p>
    <w:p w:rsidR="00BB59CD" w:rsidRDefault="00BB59CD" w:rsidP="00BB59CD">
      <w:pPr>
        <w:rPr>
          <w:rtl/>
        </w:rPr>
      </w:pPr>
      <w:bookmarkStart w:id="71152" w:name="_ETM_Q125_480221"/>
      <w:bookmarkStart w:id="71153" w:name="_ETM_Q125_480330"/>
      <w:bookmarkEnd w:id="71152"/>
      <w:bookmarkEnd w:id="71153"/>
      <w:r>
        <w:rPr>
          <w:rFonts w:hint="cs"/>
          <w:rtl/>
        </w:rPr>
        <w:t xml:space="preserve">אדוני, </w:t>
      </w:r>
      <w:bookmarkStart w:id="71154" w:name="_ETM_Q125_480689"/>
      <w:bookmarkEnd w:id="71154"/>
      <w:r>
        <w:rPr>
          <w:rFonts w:hint="cs"/>
          <w:rtl/>
        </w:rPr>
        <w:t xml:space="preserve">ברשותך </w:t>
      </w:r>
      <w:bookmarkStart w:id="71155" w:name="_ETM_Q125_480000"/>
      <w:bookmarkStart w:id="71156" w:name="_ETM_Q125_480420"/>
      <w:bookmarkStart w:id="71157" w:name="_ETM_Q125_481529"/>
      <w:bookmarkEnd w:id="71155"/>
      <w:bookmarkEnd w:id="71156"/>
      <w:bookmarkEnd w:id="71157"/>
      <w:r>
        <w:rPr>
          <w:rFonts w:hint="cs"/>
          <w:rtl/>
        </w:rPr>
        <w:t xml:space="preserve">כמה </w:t>
      </w:r>
      <w:bookmarkStart w:id="71158" w:name="_ETM_Q125_481800"/>
      <w:bookmarkEnd w:id="71158"/>
      <w:r>
        <w:rPr>
          <w:rFonts w:hint="cs"/>
          <w:rtl/>
        </w:rPr>
        <w:t xml:space="preserve">דקות. </w:t>
      </w:r>
      <w:bookmarkStart w:id="71159" w:name="_ETM_Q125_482220"/>
      <w:bookmarkEnd w:id="71159"/>
      <w:r>
        <w:rPr>
          <w:rFonts w:hint="cs"/>
          <w:rtl/>
        </w:rPr>
        <w:t xml:space="preserve">יש </w:t>
      </w:r>
      <w:bookmarkStart w:id="71160" w:name="_ETM_Q125_482399"/>
      <w:bookmarkEnd w:id="71160"/>
      <w:r>
        <w:rPr>
          <w:rFonts w:hint="cs"/>
          <w:rtl/>
        </w:rPr>
        <w:t xml:space="preserve">לי </w:t>
      </w:r>
      <w:bookmarkStart w:id="71161" w:name="_ETM_Q125_482520"/>
      <w:bookmarkStart w:id="71162" w:name="_ETM_Q125_482700"/>
      <w:bookmarkStart w:id="71163" w:name="_ETM_Q125_482790"/>
      <w:bookmarkEnd w:id="71161"/>
      <w:bookmarkEnd w:id="71162"/>
      <w:bookmarkEnd w:id="71163"/>
      <w:r>
        <w:rPr>
          <w:rFonts w:hint="cs"/>
          <w:rtl/>
        </w:rPr>
        <w:t xml:space="preserve">עוד </w:t>
      </w:r>
      <w:bookmarkStart w:id="71164" w:name="_ETM_Q125_482939"/>
      <w:bookmarkEnd w:id="71164"/>
      <w:r>
        <w:rPr>
          <w:rFonts w:hint="cs"/>
          <w:rtl/>
        </w:rPr>
        <w:t xml:space="preserve">הרבה </w:t>
      </w:r>
      <w:bookmarkStart w:id="71165" w:name="_ETM_Q125_483240"/>
      <w:bookmarkEnd w:id="71165"/>
      <w:r>
        <w:rPr>
          <w:rFonts w:hint="cs"/>
          <w:rtl/>
        </w:rPr>
        <w:t xml:space="preserve">מה </w:t>
      </w:r>
      <w:bookmarkStart w:id="71166" w:name="_ETM_Q125_483360"/>
      <w:bookmarkEnd w:id="71166"/>
      <w:r>
        <w:rPr>
          <w:rFonts w:hint="cs"/>
          <w:rtl/>
        </w:rPr>
        <w:t xml:space="preserve">לומר, </w:t>
      </w:r>
      <w:bookmarkStart w:id="71167" w:name="_ETM_Q125_484200"/>
      <w:bookmarkEnd w:id="71167"/>
      <w:r>
        <w:rPr>
          <w:rFonts w:hint="cs"/>
          <w:rtl/>
        </w:rPr>
        <w:t xml:space="preserve">אבל </w:t>
      </w:r>
      <w:bookmarkStart w:id="71168" w:name="_ETM_Q125_484500"/>
      <w:bookmarkEnd w:id="71168"/>
      <w:r>
        <w:rPr>
          <w:rFonts w:hint="cs"/>
          <w:rtl/>
        </w:rPr>
        <w:t xml:space="preserve">אני </w:t>
      </w:r>
      <w:bookmarkStart w:id="71169" w:name="_ETM_Q125_484620"/>
      <w:bookmarkEnd w:id="71169"/>
      <w:r>
        <w:rPr>
          <w:rFonts w:hint="cs"/>
          <w:rtl/>
        </w:rPr>
        <w:t xml:space="preserve">רוצה </w:t>
      </w:r>
      <w:bookmarkStart w:id="71170" w:name="_ETM_Q125_484950"/>
      <w:bookmarkEnd w:id="71170"/>
      <w:r>
        <w:rPr>
          <w:rFonts w:hint="cs"/>
          <w:rtl/>
        </w:rPr>
        <w:t>לסיים בנימה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30 שניות יש לך.</w:t>
      </w:r>
    </w:p>
    <w:p w:rsidR="00BB59CD" w:rsidRDefault="00BB59CD" w:rsidP="00BB59CD">
      <w:pPr>
        <w:rPr>
          <w:rtl/>
        </w:rPr>
      </w:pPr>
      <w:bookmarkStart w:id="71171" w:name="_ETM_Q125_485449"/>
      <w:bookmarkStart w:id="71172" w:name="_ETM_Q125_485511"/>
      <w:bookmarkEnd w:id="71171"/>
      <w:bookmarkEnd w:id="71172"/>
    </w:p>
    <w:p w:rsidR="00BB59CD" w:rsidRDefault="00BB59CD" w:rsidP="00BB59CD">
      <w:pPr>
        <w:pStyle w:val="af8"/>
        <w:keepNext/>
        <w:rPr>
          <w:rtl/>
        </w:rPr>
      </w:pPr>
      <w:bookmarkStart w:id="71173" w:name="ET_interruption_5726_20"/>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71173"/>
    </w:p>
    <w:p w:rsidR="00BB59CD" w:rsidRDefault="00BB59CD" w:rsidP="00337201">
      <w:pPr>
        <w:rPr>
          <w:rtl/>
        </w:rPr>
      </w:pPr>
    </w:p>
    <w:p w:rsidR="00BB59CD" w:rsidRDefault="00BB59CD" w:rsidP="00BB59CD">
      <w:pPr>
        <w:rPr>
          <w:rtl/>
        </w:rPr>
      </w:pPr>
      <w:bookmarkStart w:id="71174" w:name="_ETM_Q125_497536"/>
      <w:bookmarkEnd w:id="71174"/>
      <w:r>
        <w:rPr>
          <w:rFonts w:hint="cs"/>
          <w:rtl/>
        </w:rPr>
        <w:t>- - -</w:t>
      </w:r>
    </w:p>
    <w:p w:rsidR="00BB59CD" w:rsidRDefault="00BB59CD" w:rsidP="00BB59CD">
      <w:pPr>
        <w:rPr>
          <w:rtl/>
        </w:rPr>
      </w:pPr>
    </w:p>
    <w:p w:rsidR="00BB59CD" w:rsidRDefault="00BB59CD" w:rsidP="00BB59CD">
      <w:pPr>
        <w:pStyle w:val="-"/>
        <w:keepNext/>
        <w:rPr>
          <w:rtl/>
        </w:rPr>
      </w:pPr>
      <w:bookmarkStart w:id="71175" w:name="ET_speakercontinue_6341_19"/>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71175"/>
    </w:p>
    <w:p w:rsidR="00BB59CD" w:rsidRDefault="00BB59CD" w:rsidP="00337201">
      <w:pPr>
        <w:rPr>
          <w:rtl/>
        </w:rPr>
      </w:pPr>
    </w:p>
    <w:p w:rsidR="00BB59CD" w:rsidRDefault="00BB59CD" w:rsidP="00BB59CD">
      <w:pPr>
        <w:rPr>
          <w:rtl/>
        </w:rPr>
      </w:pPr>
      <w:bookmarkStart w:id="71176" w:name="_ETM_Q125_486173"/>
      <w:bookmarkStart w:id="71177" w:name="_ETM_Q125_485580"/>
      <w:bookmarkStart w:id="71178" w:name="_ETM_Q125_485850"/>
      <w:bookmarkStart w:id="71179" w:name="_ETM_Q125_486390"/>
      <w:bookmarkStart w:id="71180" w:name="_ETM_Q125_487259"/>
      <w:bookmarkStart w:id="71181" w:name="_ETM_Q125_490019"/>
      <w:bookmarkStart w:id="71182" w:name="_ETM_Q125_493879"/>
      <w:bookmarkEnd w:id="71176"/>
      <w:bookmarkEnd w:id="71177"/>
      <w:bookmarkEnd w:id="71178"/>
      <w:bookmarkEnd w:id="71179"/>
      <w:bookmarkEnd w:id="71180"/>
      <w:bookmarkEnd w:id="71181"/>
      <w:bookmarkEnd w:id="71182"/>
      <w:r>
        <w:rPr>
          <w:rFonts w:hint="cs"/>
          <w:rtl/>
        </w:rPr>
        <w:t xml:space="preserve">אני שמחה שאני מעניינת. </w:t>
      </w:r>
      <w:bookmarkStart w:id="71183" w:name="_ETM_Q125_496390"/>
      <w:bookmarkStart w:id="71184" w:name="_ETM_Q125_497230"/>
      <w:bookmarkStart w:id="71185" w:name="_ETM_Q125_498369"/>
      <w:bookmarkStart w:id="71186" w:name="_ETM_Q125_499330"/>
      <w:bookmarkStart w:id="71187" w:name="_ETM_Q125_499540"/>
      <w:bookmarkStart w:id="71188" w:name="_ETM_Q125_500470"/>
      <w:bookmarkEnd w:id="71183"/>
      <w:bookmarkEnd w:id="71184"/>
      <w:bookmarkEnd w:id="71185"/>
      <w:bookmarkEnd w:id="71186"/>
      <w:bookmarkEnd w:id="71187"/>
      <w:bookmarkEnd w:id="71188"/>
      <w:r>
        <w:rPr>
          <w:rFonts w:hint="cs"/>
          <w:rtl/>
        </w:rPr>
        <w:t>אסיים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71189" w:name="_ETM_Q125_501043"/>
      <w:bookmarkEnd w:id="71189"/>
      <w:r>
        <w:rPr>
          <w:rFonts w:hint="cs"/>
          <w:rtl/>
        </w:rPr>
        <w:t xml:space="preserve">הוא </w:t>
      </w:r>
      <w:bookmarkStart w:id="71190" w:name="_ETM_Q125_501792"/>
      <w:bookmarkEnd w:id="71190"/>
      <w:r>
        <w:rPr>
          <w:rFonts w:hint="cs"/>
          <w:rtl/>
        </w:rPr>
        <w:t>ג'נטלמן, לא מעבר לכך.</w:t>
      </w:r>
    </w:p>
    <w:p w:rsidR="00BB59CD" w:rsidRDefault="00BB59CD" w:rsidP="00BB59CD">
      <w:pPr>
        <w:rPr>
          <w:rtl/>
        </w:rPr>
      </w:pPr>
    </w:p>
    <w:p w:rsidR="00BB59CD" w:rsidRDefault="00BB59CD" w:rsidP="00BB59CD">
      <w:pPr>
        <w:pStyle w:val="-"/>
        <w:keepNext/>
        <w:rPr>
          <w:rtl/>
        </w:rPr>
      </w:pPr>
      <w:bookmarkStart w:id="71191" w:name="ET_speakercontinue_6341_22"/>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71191"/>
    </w:p>
    <w:p w:rsidR="00BB59CD" w:rsidRDefault="00BB59CD" w:rsidP="00337201">
      <w:pPr>
        <w:rPr>
          <w:rtl/>
        </w:rPr>
      </w:pPr>
    </w:p>
    <w:p w:rsidR="00BB59CD" w:rsidRDefault="00BB59CD" w:rsidP="00BB59CD">
      <w:pPr>
        <w:rPr>
          <w:rtl/>
        </w:rPr>
      </w:pPr>
      <w:r>
        <w:rPr>
          <w:rFonts w:hint="cs"/>
          <w:rtl/>
        </w:rPr>
        <w:t xml:space="preserve">יש לי עוד הרבה, </w:t>
      </w:r>
      <w:bookmarkStart w:id="71192" w:name="_ETM_Q125_500830"/>
      <w:bookmarkEnd w:id="71192"/>
      <w:r>
        <w:rPr>
          <w:rFonts w:hint="cs"/>
          <w:rtl/>
        </w:rPr>
        <w:t xml:space="preserve">אבל </w:t>
      </w:r>
      <w:bookmarkStart w:id="71193" w:name="_ETM_Q125_501160"/>
      <w:bookmarkEnd w:id="71193"/>
      <w:r>
        <w:rPr>
          <w:rFonts w:hint="cs"/>
          <w:rtl/>
        </w:rPr>
        <w:t xml:space="preserve">אני </w:t>
      </w:r>
      <w:bookmarkStart w:id="71194" w:name="_ETM_Q125_501550"/>
      <w:bookmarkEnd w:id="71194"/>
      <w:r>
        <w:rPr>
          <w:rFonts w:hint="cs"/>
          <w:rtl/>
        </w:rPr>
        <w:t xml:space="preserve">בטוחה </w:t>
      </w:r>
      <w:bookmarkStart w:id="71195" w:name="_ETM_Q125_502000"/>
      <w:bookmarkEnd w:id="71195"/>
      <w:r>
        <w:rPr>
          <w:rFonts w:hint="cs"/>
          <w:rtl/>
        </w:rPr>
        <w:t xml:space="preserve">שהעברתי </w:t>
      </w:r>
      <w:bookmarkStart w:id="71196" w:name="_ETM_Q125_502720"/>
      <w:bookmarkEnd w:id="71196"/>
      <w:r>
        <w:rPr>
          <w:rFonts w:hint="cs"/>
          <w:rtl/>
        </w:rPr>
        <w:t xml:space="preserve">לפחות </w:t>
      </w:r>
      <w:bookmarkStart w:id="71197" w:name="_ETM_Q125_502930"/>
      <w:bookmarkStart w:id="71198" w:name="_ETM_Q125_503710"/>
      <w:bookmarkStart w:id="71199" w:name="_ETM_Q125_504010"/>
      <w:bookmarkEnd w:id="71197"/>
      <w:bookmarkEnd w:id="71198"/>
      <w:bookmarkEnd w:id="71199"/>
      <w:r>
        <w:rPr>
          <w:rFonts w:hint="cs"/>
          <w:rtl/>
        </w:rPr>
        <w:t xml:space="preserve">את </w:t>
      </w:r>
      <w:bookmarkStart w:id="71200" w:name="_ETM_Q125_504130"/>
      <w:bookmarkEnd w:id="71200"/>
      <w:r>
        <w:rPr>
          <w:rFonts w:hint="cs"/>
          <w:rtl/>
        </w:rPr>
        <w:t xml:space="preserve">תחושותיי, </w:t>
      </w:r>
      <w:bookmarkStart w:id="71201" w:name="_ETM_Q125_504939"/>
      <w:bookmarkEnd w:id="71201"/>
      <w:r>
        <w:rPr>
          <w:rFonts w:hint="cs"/>
          <w:rtl/>
        </w:rPr>
        <w:t xml:space="preserve">את </w:t>
      </w:r>
      <w:bookmarkStart w:id="71202" w:name="_ETM_Q125_505060"/>
      <w:bookmarkEnd w:id="71202"/>
      <w:r>
        <w:rPr>
          <w:rFonts w:hint="cs"/>
          <w:rtl/>
        </w:rPr>
        <w:t xml:space="preserve">המסר, </w:t>
      </w:r>
      <w:bookmarkStart w:id="71203" w:name="_ETM_Q125_506279"/>
      <w:bookmarkEnd w:id="71203"/>
      <w:r>
        <w:rPr>
          <w:rFonts w:hint="cs"/>
          <w:rtl/>
        </w:rPr>
        <w:t xml:space="preserve">ושלא </w:t>
      </w:r>
      <w:bookmarkStart w:id="71204" w:name="_ETM_Q125_506670"/>
      <w:bookmarkEnd w:id="71204"/>
      <w:r>
        <w:rPr>
          <w:rFonts w:hint="cs"/>
          <w:rtl/>
        </w:rPr>
        <w:t xml:space="preserve">תהיינה </w:t>
      </w:r>
      <w:bookmarkStart w:id="71205" w:name="_ETM_Q125_506970"/>
      <w:bookmarkStart w:id="71206" w:name="_ETM_Q125_508170"/>
      <w:bookmarkStart w:id="71207" w:name="_ETM_Q125_508410"/>
      <w:bookmarkStart w:id="71208" w:name="_ETM_Q125_508680"/>
      <w:bookmarkStart w:id="71209" w:name="_ETM_Q125_509070"/>
      <w:bookmarkEnd w:id="71205"/>
      <w:bookmarkEnd w:id="71206"/>
      <w:bookmarkEnd w:id="71207"/>
      <w:bookmarkEnd w:id="71208"/>
      <w:bookmarkEnd w:id="71209"/>
      <w:r>
        <w:rPr>
          <w:rFonts w:hint="cs"/>
          <w:rtl/>
        </w:rPr>
        <w:t>אי-הבנות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באת ערני, חבר הכנסת ינון אזולאי. </w:t>
      </w:r>
      <w:bookmarkStart w:id="71210" w:name="_ETM_Q125_512100"/>
      <w:bookmarkEnd w:id="71210"/>
      <w:r>
        <w:rPr>
          <w:rFonts w:hint="cs"/>
          <w:rtl/>
        </w:rPr>
        <w:t>ישנת טוב.</w:t>
      </w:r>
    </w:p>
    <w:p w:rsidR="00BB59CD" w:rsidRDefault="00BB59CD" w:rsidP="00BB59CD">
      <w:pPr>
        <w:rPr>
          <w:rtl/>
        </w:rPr>
      </w:pPr>
      <w:bookmarkStart w:id="71211" w:name="_ETM_Q125_517614"/>
      <w:bookmarkStart w:id="71212" w:name="_ETM_Q125_517656"/>
      <w:bookmarkEnd w:id="71211"/>
      <w:bookmarkEnd w:id="71212"/>
    </w:p>
    <w:p w:rsidR="00BB59CD" w:rsidRDefault="00BB59CD" w:rsidP="00BB59CD">
      <w:pPr>
        <w:pStyle w:val="-"/>
        <w:keepNext/>
        <w:rPr>
          <w:rtl/>
        </w:rPr>
      </w:pPr>
      <w:bookmarkStart w:id="71213" w:name="ET_speakercontinue_6341_25"/>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71213"/>
    </w:p>
    <w:p w:rsidR="00BB59CD" w:rsidRDefault="00BB59CD" w:rsidP="00337201">
      <w:pPr>
        <w:rPr>
          <w:rtl/>
        </w:rPr>
      </w:pPr>
    </w:p>
    <w:p w:rsidR="00BB59CD" w:rsidRDefault="00BB59CD" w:rsidP="006F4935">
      <w:pPr>
        <w:rPr>
          <w:rtl/>
        </w:rPr>
      </w:pPr>
      <w:bookmarkStart w:id="71214" w:name="_ETM_Q125_518218"/>
      <w:bookmarkStart w:id="71215" w:name="_ETM_Q125_512250"/>
      <w:bookmarkStart w:id="71216" w:name="_ETM_Q125_512550"/>
      <w:bookmarkStart w:id="71217" w:name="_ETM_Q125_512850"/>
      <w:bookmarkEnd w:id="71214"/>
      <w:bookmarkEnd w:id="71215"/>
      <w:bookmarkEnd w:id="71216"/>
      <w:bookmarkEnd w:id="71217"/>
      <w:r>
        <w:rPr>
          <w:rFonts w:hint="cs"/>
          <w:rtl/>
        </w:rPr>
        <w:t xml:space="preserve">אני אוהבת </w:t>
      </w:r>
      <w:bookmarkStart w:id="71218" w:name="_ETM_Q125_513239"/>
      <w:bookmarkEnd w:id="71218"/>
      <w:r>
        <w:rPr>
          <w:rFonts w:hint="cs"/>
          <w:rtl/>
        </w:rPr>
        <w:t xml:space="preserve">את </w:t>
      </w:r>
      <w:bookmarkStart w:id="71219" w:name="_ETM_Q125_513390"/>
      <w:bookmarkEnd w:id="71219"/>
      <w:r>
        <w:rPr>
          <w:rFonts w:hint="cs"/>
          <w:rtl/>
        </w:rPr>
        <w:t xml:space="preserve">הבית </w:t>
      </w:r>
      <w:bookmarkStart w:id="71220" w:name="_ETM_Q125_513900"/>
      <w:bookmarkEnd w:id="71220"/>
      <w:r>
        <w:rPr>
          <w:rFonts w:hint="cs"/>
          <w:rtl/>
        </w:rPr>
        <w:t xml:space="preserve">הזה, אני </w:t>
      </w:r>
      <w:bookmarkStart w:id="71221" w:name="_ETM_Q125_518735"/>
      <w:bookmarkEnd w:id="71221"/>
      <w:r>
        <w:rPr>
          <w:rFonts w:hint="cs"/>
          <w:rtl/>
        </w:rPr>
        <w:t xml:space="preserve">אוהבת את האנשים כאנשים, </w:t>
      </w:r>
      <w:bookmarkStart w:id="71222" w:name="_ETM_Q125_514290"/>
      <w:bookmarkStart w:id="71223" w:name="_ETM_Q125_514650"/>
      <w:bookmarkStart w:id="71224" w:name="_ETM_Q125_517559"/>
      <w:bookmarkEnd w:id="71222"/>
      <w:bookmarkEnd w:id="71223"/>
      <w:bookmarkEnd w:id="71224"/>
      <w:r>
        <w:rPr>
          <w:rFonts w:hint="cs"/>
          <w:rtl/>
        </w:rPr>
        <w:t xml:space="preserve">ולכן </w:t>
      </w:r>
      <w:bookmarkStart w:id="71225" w:name="_ETM_Q125_518850"/>
      <w:bookmarkEnd w:id="71225"/>
      <w:r>
        <w:rPr>
          <w:rFonts w:hint="cs"/>
          <w:rtl/>
        </w:rPr>
        <w:t xml:space="preserve">אנחנו </w:t>
      </w:r>
      <w:bookmarkStart w:id="71226" w:name="_ETM_Q125_519300"/>
      <w:bookmarkEnd w:id="71226"/>
      <w:r>
        <w:rPr>
          <w:rFonts w:hint="cs"/>
          <w:rtl/>
        </w:rPr>
        <w:t xml:space="preserve">צריכים </w:t>
      </w:r>
      <w:bookmarkStart w:id="71227" w:name="_ETM_Q125_519930"/>
      <w:bookmarkEnd w:id="71227"/>
      <w:r>
        <w:rPr>
          <w:rFonts w:hint="cs"/>
          <w:rtl/>
        </w:rPr>
        <w:t xml:space="preserve">באמת </w:t>
      </w:r>
      <w:bookmarkStart w:id="71228" w:name="_ETM_Q125_520350"/>
      <w:bookmarkEnd w:id="71228"/>
      <w:r>
        <w:rPr>
          <w:rFonts w:hint="cs"/>
          <w:rtl/>
        </w:rPr>
        <w:t xml:space="preserve">לעשות </w:t>
      </w:r>
      <w:bookmarkStart w:id="71229" w:name="_ETM_Q125_520770"/>
      <w:bookmarkEnd w:id="71229"/>
      <w:r>
        <w:rPr>
          <w:rFonts w:hint="cs"/>
          <w:rtl/>
        </w:rPr>
        <w:t xml:space="preserve">רגע </w:t>
      </w:r>
      <w:bookmarkStart w:id="71230" w:name="_ETM_Q125_521129"/>
      <w:bookmarkEnd w:id="71230"/>
      <w:r>
        <w:rPr>
          <w:rFonts w:hint="cs"/>
          <w:rtl/>
        </w:rPr>
        <w:t xml:space="preserve">חושבים. </w:t>
      </w:r>
      <w:bookmarkStart w:id="71231" w:name="_ETM_Q125_522629"/>
      <w:bookmarkStart w:id="71232" w:name="_ETM_Q125_522809"/>
      <w:bookmarkStart w:id="71233" w:name="_ETM_Q125_522989"/>
      <w:bookmarkStart w:id="71234" w:name="_ETM_Q125_524140"/>
      <w:bookmarkEnd w:id="71231"/>
      <w:bookmarkEnd w:id="71232"/>
      <w:bookmarkEnd w:id="71233"/>
      <w:bookmarkEnd w:id="71234"/>
      <w:r>
        <w:rPr>
          <w:rFonts w:hint="cs"/>
          <w:rtl/>
        </w:rPr>
        <w:t xml:space="preserve">אני </w:t>
      </w:r>
      <w:bookmarkStart w:id="71235" w:name="_ETM_Q125_524410"/>
      <w:bookmarkEnd w:id="71235"/>
      <w:r>
        <w:rPr>
          <w:rFonts w:hint="cs"/>
          <w:rtl/>
        </w:rPr>
        <w:t xml:space="preserve">אסיים </w:t>
      </w:r>
      <w:bookmarkStart w:id="71236" w:name="_ETM_Q125_524949"/>
      <w:bookmarkEnd w:id="71236"/>
      <w:r>
        <w:rPr>
          <w:rFonts w:hint="cs"/>
          <w:rtl/>
        </w:rPr>
        <w:t xml:space="preserve">עם </w:t>
      </w:r>
      <w:bookmarkStart w:id="71237" w:name="_ETM_Q125_525969"/>
      <w:bookmarkEnd w:id="71237"/>
      <w:r>
        <w:rPr>
          <w:rFonts w:hint="cs"/>
          <w:rtl/>
        </w:rPr>
        <w:t xml:space="preserve">מילות </w:t>
      </w:r>
      <w:bookmarkStart w:id="71238" w:name="_ETM_Q125_527170"/>
      <w:bookmarkEnd w:id="71238"/>
      <w:r>
        <w:rPr>
          <w:rFonts w:hint="cs"/>
          <w:rtl/>
        </w:rPr>
        <w:t xml:space="preserve">השיר </w:t>
      </w:r>
      <w:bookmarkStart w:id="71239" w:name="_ETM_Q125_527559"/>
      <w:bookmarkEnd w:id="71239"/>
      <w:r>
        <w:rPr>
          <w:rFonts w:hint="cs"/>
          <w:rtl/>
        </w:rPr>
        <w:t xml:space="preserve">של </w:t>
      </w:r>
      <w:bookmarkStart w:id="71240" w:name="_ETM_Q125_527980"/>
      <w:bookmarkEnd w:id="71240"/>
      <w:r>
        <w:rPr>
          <w:rFonts w:hint="cs"/>
          <w:rtl/>
        </w:rPr>
        <w:t xml:space="preserve">יוחאי </w:t>
      </w:r>
      <w:bookmarkStart w:id="71241" w:name="_ETM_Q125_528430"/>
      <w:bookmarkEnd w:id="71241"/>
      <w:r w:rsidR="006F4935">
        <w:rPr>
          <w:rFonts w:hint="cs"/>
          <w:rtl/>
        </w:rPr>
        <w:t>בן אב"י.</w:t>
      </w:r>
      <w:r>
        <w:rPr>
          <w:rFonts w:hint="cs"/>
          <w:rtl/>
        </w:rPr>
        <w:t xml:space="preserve"> "שוב הוא שב / ראש חודש אב / בלי רוח בלי עב / בלי שיר ובלי תו / וממרום שנותיו / הוא זועק כמו סב: / 'רב לכם, רב!' /</w:t>
      </w:r>
      <w:bookmarkStart w:id="71242" w:name="_ETM_Q125_533619"/>
      <w:bookmarkStart w:id="71243" w:name="_ETM_Q125_533674"/>
      <w:bookmarkEnd w:id="71242"/>
      <w:bookmarkEnd w:id="71243"/>
      <w:r>
        <w:rPr>
          <w:rFonts w:hint="cs"/>
          <w:rtl/>
        </w:rPr>
        <w:t xml:space="preserve"> ודורש מעכשיו / </w:t>
      </w:r>
      <w:bookmarkStart w:id="71244" w:name="_ETM_Q125_538275"/>
      <w:bookmarkStart w:id="71245" w:name="_ETM_Q125_538320"/>
      <w:bookmarkEnd w:id="71244"/>
      <w:bookmarkEnd w:id="71245"/>
      <w:r>
        <w:rPr>
          <w:rFonts w:hint="cs"/>
          <w:rtl/>
        </w:rPr>
        <w:t>מבניו ובנותיו /</w:t>
      </w:r>
      <w:bookmarkStart w:id="71246" w:name="_ETM_Q125_541539"/>
      <w:bookmarkEnd w:id="71246"/>
      <w:r>
        <w:rPr>
          <w:rFonts w:hint="cs"/>
          <w:rtl/>
        </w:rPr>
        <w:t xml:space="preserve"> </w:t>
      </w:r>
      <w:bookmarkStart w:id="71247" w:name="_ETM_Q125_541588"/>
      <w:bookmarkEnd w:id="71247"/>
      <w:r>
        <w:rPr>
          <w:rFonts w:hint="cs"/>
          <w:rtl/>
        </w:rPr>
        <w:t xml:space="preserve">שאיש את אחיו / </w:t>
      </w:r>
      <w:bookmarkStart w:id="71248" w:name="_ETM_Q125_551363"/>
      <w:bookmarkStart w:id="71249" w:name="_ETM_Q125_551426"/>
      <w:bookmarkEnd w:id="71248"/>
      <w:bookmarkEnd w:id="71249"/>
      <w:r>
        <w:rPr>
          <w:rFonts w:hint="cs"/>
          <w:rtl/>
        </w:rPr>
        <w:t>רק יאהב ויאהב</w:t>
      </w:r>
      <w:r w:rsidR="006F4935">
        <w:rPr>
          <w:rFonts w:hint="cs"/>
          <w:rtl/>
        </w:rPr>
        <w:t>.</w:t>
      </w:r>
      <w:r>
        <w:rPr>
          <w:rFonts w:hint="cs"/>
          <w:rtl/>
        </w:rPr>
        <w:t xml:space="preserve">" </w:t>
      </w:r>
    </w:p>
    <w:p w:rsidR="00BB59CD" w:rsidRDefault="00BB59CD" w:rsidP="00BB59CD">
      <w:pPr>
        <w:rPr>
          <w:rtl/>
        </w:rPr>
      </w:pPr>
      <w:bookmarkStart w:id="71250" w:name="_ETM_Q125_552816"/>
      <w:bookmarkStart w:id="71251" w:name="_ETM_Q125_552884"/>
      <w:bookmarkEnd w:id="71250"/>
      <w:bookmarkEnd w:id="71251"/>
    </w:p>
    <w:p w:rsidR="00BB59CD" w:rsidRDefault="00BB59CD" w:rsidP="00BB59CD">
      <w:pPr>
        <w:rPr>
          <w:rtl/>
        </w:rPr>
      </w:pPr>
      <w:bookmarkStart w:id="71252" w:name="_ETM_Q125_553073"/>
      <w:bookmarkStart w:id="71253" w:name="_ETM_Q125_553122"/>
      <w:bookmarkEnd w:id="71252"/>
      <w:bookmarkEnd w:id="71253"/>
      <w:r>
        <w:rPr>
          <w:rFonts w:hint="cs"/>
          <w:rtl/>
        </w:rPr>
        <w:t>אז,</w:t>
      </w:r>
      <w:bookmarkStart w:id="71254" w:name="_ETM_Q125_554416"/>
      <w:bookmarkEnd w:id="71254"/>
      <w:r>
        <w:rPr>
          <w:rFonts w:hint="cs"/>
          <w:rtl/>
        </w:rPr>
        <w:t xml:space="preserve"> </w:t>
      </w:r>
      <w:bookmarkStart w:id="71255" w:name="_ETM_Q125_552290"/>
      <w:bookmarkEnd w:id="71255"/>
      <w:r>
        <w:rPr>
          <w:rFonts w:hint="cs"/>
          <w:rtl/>
        </w:rPr>
        <w:t xml:space="preserve">אדוני, </w:t>
      </w:r>
      <w:bookmarkStart w:id="71256" w:name="_ETM_Q125_552589"/>
      <w:bookmarkEnd w:id="71256"/>
      <w:r>
        <w:rPr>
          <w:rFonts w:hint="cs"/>
          <w:rtl/>
        </w:rPr>
        <w:t xml:space="preserve">אני </w:t>
      </w:r>
      <w:bookmarkStart w:id="71257" w:name="_ETM_Q125_552740"/>
      <w:bookmarkEnd w:id="71257"/>
      <w:r>
        <w:rPr>
          <w:rFonts w:hint="cs"/>
          <w:rtl/>
        </w:rPr>
        <w:t xml:space="preserve">חושבת </w:t>
      </w:r>
      <w:bookmarkStart w:id="71258" w:name="_ETM_Q125_553370"/>
      <w:bookmarkEnd w:id="71258"/>
      <w:r>
        <w:rPr>
          <w:rFonts w:hint="cs"/>
          <w:rtl/>
        </w:rPr>
        <w:t>ש</w:t>
      </w:r>
      <w:bookmarkStart w:id="71259" w:name="_ETM_Q125_553970"/>
      <w:bookmarkEnd w:id="71259"/>
      <w:r>
        <w:rPr>
          <w:rFonts w:hint="cs"/>
          <w:rtl/>
        </w:rPr>
        <w:t xml:space="preserve">באמת </w:t>
      </w:r>
      <w:bookmarkStart w:id="71260" w:name="_ETM_Q125_554810"/>
      <w:bookmarkEnd w:id="71260"/>
      <w:r>
        <w:rPr>
          <w:rFonts w:hint="cs"/>
          <w:rtl/>
        </w:rPr>
        <w:t xml:space="preserve">המילים </w:t>
      </w:r>
      <w:bookmarkStart w:id="71261" w:name="_ETM_Q125_555229"/>
      <w:bookmarkEnd w:id="71261"/>
      <w:r>
        <w:rPr>
          <w:rFonts w:hint="cs"/>
          <w:rtl/>
        </w:rPr>
        <w:t xml:space="preserve">שנאמרו </w:t>
      </w:r>
      <w:bookmarkStart w:id="71262" w:name="_ETM_Q125_555830"/>
      <w:bookmarkEnd w:id="71262"/>
      <w:r>
        <w:rPr>
          <w:rFonts w:hint="cs"/>
          <w:rtl/>
        </w:rPr>
        <w:t xml:space="preserve">כאן </w:t>
      </w:r>
      <w:bookmarkStart w:id="71263" w:name="_ETM_Q125_557050"/>
      <w:bookmarkStart w:id="71264" w:name="_ETM_Q125_557140"/>
      <w:bookmarkEnd w:id="71263"/>
      <w:bookmarkEnd w:id="71264"/>
      <w:r>
        <w:rPr>
          <w:rFonts w:hint="cs"/>
          <w:rtl/>
        </w:rPr>
        <w:t xml:space="preserve">מדברות </w:t>
      </w:r>
      <w:bookmarkStart w:id="71265" w:name="_ETM_Q125_557590"/>
      <w:bookmarkEnd w:id="71265"/>
      <w:r>
        <w:rPr>
          <w:rFonts w:hint="cs"/>
          <w:rtl/>
        </w:rPr>
        <w:t xml:space="preserve">בעד </w:t>
      </w:r>
      <w:bookmarkStart w:id="71266" w:name="_ETM_Q125_557860"/>
      <w:bookmarkEnd w:id="71266"/>
      <w:r>
        <w:rPr>
          <w:rFonts w:hint="cs"/>
          <w:rtl/>
        </w:rPr>
        <w:t xml:space="preserve">עצמן. </w:t>
      </w:r>
      <w:bookmarkStart w:id="71267" w:name="_ETM_Q125_558910"/>
      <w:bookmarkEnd w:id="71267"/>
      <w:r>
        <w:rPr>
          <w:rFonts w:hint="cs"/>
          <w:rtl/>
        </w:rPr>
        <w:t xml:space="preserve">אני </w:t>
      </w:r>
      <w:bookmarkStart w:id="71268" w:name="_ETM_Q125_559090"/>
      <w:bookmarkEnd w:id="71268"/>
      <w:r>
        <w:rPr>
          <w:rFonts w:hint="cs"/>
          <w:rtl/>
        </w:rPr>
        <w:t xml:space="preserve">רוצה </w:t>
      </w:r>
      <w:bookmarkStart w:id="71269" w:name="_ETM_Q125_560240"/>
      <w:bookmarkEnd w:id="71269"/>
      <w:r>
        <w:rPr>
          <w:rFonts w:hint="cs"/>
          <w:rtl/>
        </w:rPr>
        <w:t xml:space="preserve">רק לסיום – </w:t>
      </w:r>
      <w:bookmarkStart w:id="71270" w:name="_ETM_Q125_560840"/>
      <w:bookmarkEnd w:id="71270"/>
      <w:r>
        <w:rPr>
          <w:rFonts w:hint="cs"/>
          <w:rtl/>
        </w:rPr>
        <w:t xml:space="preserve">סיום </w:t>
      </w:r>
      <w:bookmarkStart w:id="71271" w:name="_ETM_Q125_561200"/>
      <w:bookmarkEnd w:id="71271"/>
      <w:r>
        <w:rPr>
          <w:rFonts w:hint="cs"/>
          <w:rtl/>
        </w:rPr>
        <w:t xml:space="preserve">סיומת – </w:t>
      </w:r>
      <w:bookmarkStart w:id="71272" w:name="_ETM_Q125_563560"/>
      <w:bookmarkEnd w:id="71272"/>
      <w:r>
        <w:rPr>
          <w:rFonts w:hint="cs"/>
          <w:rtl/>
        </w:rPr>
        <w:t xml:space="preserve">למסור </w:t>
      </w:r>
      <w:bookmarkStart w:id="71273" w:name="_ETM_Q125_563980"/>
      <w:bookmarkEnd w:id="71273"/>
      <w:r>
        <w:rPr>
          <w:rFonts w:hint="cs"/>
          <w:rtl/>
        </w:rPr>
        <w:t xml:space="preserve">את </w:t>
      </w:r>
      <w:bookmarkStart w:id="71274" w:name="_ETM_Q125_564160"/>
      <w:bookmarkEnd w:id="71274"/>
      <w:r>
        <w:rPr>
          <w:rFonts w:hint="cs"/>
          <w:rtl/>
        </w:rPr>
        <w:t xml:space="preserve">אהבתי </w:t>
      </w:r>
      <w:bookmarkStart w:id="71275" w:name="_ETM_Q125_565270"/>
      <w:bookmarkEnd w:id="71275"/>
      <w:r>
        <w:rPr>
          <w:rFonts w:hint="cs"/>
          <w:rtl/>
        </w:rPr>
        <w:t xml:space="preserve">ואת </w:t>
      </w:r>
      <w:bookmarkStart w:id="71276" w:name="_ETM_Q125_569094"/>
      <w:bookmarkEnd w:id="71276"/>
      <w:r>
        <w:rPr>
          <w:rFonts w:hint="cs"/>
          <w:rtl/>
        </w:rPr>
        <w:t xml:space="preserve">תמיכתי </w:t>
      </w:r>
      <w:bookmarkStart w:id="71277" w:name="_ETM_Q125_566810"/>
      <w:bookmarkEnd w:id="71277"/>
      <w:r>
        <w:rPr>
          <w:rFonts w:hint="cs"/>
          <w:rtl/>
        </w:rPr>
        <w:t xml:space="preserve">לכל </w:t>
      </w:r>
      <w:bookmarkStart w:id="71278" w:name="_ETM_Q125_567170"/>
      <w:bookmarkEnd w:id="71278"/>
      <w:r>
        <w:rPr>
          <w:rFonts w:hint="cs"/>
          <w:rtl/>
        </w:rPr>
        <w:t xml:space="preserve">המפגינים </w:t>
      </w:r>
      <w:bookmarkStart w:id="71279" w:name="_ETM_Q125_568040"/>
      <w:bookmarkEnd w:id="71279"/>
      <w:r>
        <w:rPr>
          <w:rFonts w:hint="cs"/>
          <w:rtl/>
        </w:rPr>
        <w:t xml:space="preserve">והמפגינות, אתם </w:t>
      </w:r>
      <w:bookmarkStart w:id="71280" w:name="_ETM_Q125_569690"/>
      <w:bookmarkEnd w:id="71280"/>
      <w:r>
        <w:rPr>
          <w:rFonts w:hint="cs"/>
          <w:rtl/>
        </w:rPr>
        <w:t xml:space="preserve">האור </w:t>
      </w:r>
      <w:bookmarkStart w:id="71281" w:name="_ETM_Q125_570440"/>
      <w:bookmarkEnd w:id="71281"/>
      <w:r>
        <w:rPr>
          <w:rFonts w:hint="cs"/>
          <w:rtl/>
        </w:rPr>
        <w:t xml:space="preserve">בקצה </w:t>
      </w:r>
      <w:bookmarkStart w:id="71282" w:name="_ETM_Q125_570890"/>
      <w:bookmarkEnd w:id="71282"/>
      <w:r>
        <w:rPr>
          <w:rFonts w:hint="cs"/>
          <w:rtl/>
        </w:rPr>
        <w:t xml:space="preserve">המנהרה </w:t>
      </w:r>
      <w:bookmarkStart w:id="71283" w:name="_ETM_Q125_571700"/>
      <w:bookmarkEnd w:id="71283"/>
      <w:r>
        <w:rPr>
          <w:rFonts w:hint="cs"/>
          <w:rtl/>
        </w:rPr>
        <w:t>- - -</w:t>
      </w:r>
    </w:p>
    <w:p w:rsidR="00BB59CD" w:rsidRDefault="00BB59CD" w:rsidP="00BB59CD">
      <w:pPr>
        <w:rPr>
          <w:rtl/>
        </w:rPr>
      </w:pPr>
      <w:bookmarkStart w:id="71284" w:name="_ETM_Q125_570759"/>
      <w:bookmarkStart w:id="71285" w:name="_ETM_Q125_570811"/>
      <w:bookmarkEnd w:id="71284"/>
      <w:bookmarkEnd w:id="7128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71286" w:name="_ETM_Q125_571416"/>
      <w:bookmarkEnd w:id="71286"/>
      <w:r>
        <w:rPr>
          <w:rFonts w:hint="cs"/>
          <w:rtl/>
        </w:rPr>
        <w:t xml:space="preserve">לכל עם </w:t>
      </w:r>
      <w:bookmarkStart w:id="71287" w:name="_ETM_Q125_571820"/>
      <w:bookmarkEnd w:id="71287"/>
      <w:r>
        <w:rPr>
          <w:rFonts w:hint="cs"/>
          <w:rtl/>
        </w:rPr>
        <w:t>ישראל.</w:t>
      </w:r>
      <w:bookmarkStart w:id="71288" w:name="_ETM_Q125_574440"/>
      <w:bookmarkEnd w:id="71288"/>
    </w:p>
    <w:p w:rsidR="00BB59CD" w:rsidRDefault="00BB59CD" w:rsidP="00BB59CD">
      <w:pPr>
        <w:rPr>
          <w:rtl/>
        </w:rPr>
      </w:pPr>
      <w:bookmarkStart w:id="71289" w:name="_ETM_Q125_574493"/>
      <w:bookmarkEnd w:id="71289"/>
    </w:p>
    <w:p w:rsidR="00BB59CD" w:rsidRDefault="00BB59CD" w:rsidP="00BB59CD">
      <w:pPr>
        <w:pStyle w:val="-"/>
        <w:keepNext/>
        <w:rPr>
          <w:rtl/>
        </w:rPr>
      </w:pPr>
      <w:bookmarkStart w:id="71290" w:name="ET_speakercontinue_6341_27"/>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71290"/>
    </w:p>
    <w:p w:rsidR="00BB59CD" w:rsidRDefault="00BB59CD" w:rsidP="00337201">
      <w:pPr>
        <w:rPr>
          <w:rtl/>
        </w:rPr>
      </w:pPr>
    </w:p>
    <w:p w:rsidR="00BB59CD" w:rsidRDefault="00BB59CD" w:rsidP="00BB59CD">
      <w:pPr>
        <w:rPr>
          <w:rtl/>
        </w:rPr>
      </w:pPr>
      <w:bookmarkStart w:id="71291" w:name="_ETM_Q125_575198"/>
      <w:bookmarkStart w:id="71292" w:name="_ETM_Q125_572689"/>
      <w:bookmarkStart w:id="71293" w:name="_ETM_Q125_572959"/>
      <w:bookmarkEnd w:id="71291"/>
      <w:bookmarkEnd w:id="71292"/>
      <w:bookmarkEnd w:id="71293"/>
      <w:r>
        <w:rPr>
          <w:rFonts w:hint="cs"/>
          <w:rtl/>
        </w:rPr>
        <w:t xml:space="preserve">וכל </w:t>
      </w:r>
      <w:bookmarkStart w:id="71294" w:name="_ETM_Q125_573170"/>
      <w:bookmarkStart w:id="71295" w:name="_ETM_Q125_573319"/>
      <w:bookmarkStart w:id="71296" w:name="_ETM_Q125_573649"/>
      <w:bookmarkEnd w:id="71294"/>
      <w:bookmarkEnd w:id="71295"/>
      <w:bookmarkEnd w:id="71296"/>
      <w:r>
        <w:rPr>
          <w:rFonts w:hint="cs"/>
          <w:rtl/>
        </w:rPr>
        <w:t xml:space="preserve">עם </w:t>
      </w:r>
      <w:bookmarkStart w:id="71297" w:name="_ETM_Q125_573770"/>
      <w:bookmarkEnd w:id="71297"/>
      <w:r>
        <w:rPr>
          <w:rFonts w:hint="cs"/>
          <w:rtl/>
        </w:rPr>
        <w:t xml:space="preserve">ישראל. </w:t>
      </w:r>
    </w:p>
    <w:p w:rsidR="00BB59CD" w:rsidRDefault="00BB59CD" w:rsidP="00BB59CD">
      <w:pPr>
        <w:rPr>
          <w:rtl/>
        </w:rPr>
      </w:pPr>
    </w:p>
    <w:p w:rsidR="00BB59CD" w:rsidRDefault="00BB59CD" w:rsidP="006F4935">
      <w:pPr>
        <w:rPr>
          <w:rtl/>
        </w:rPr>
      </w:pPr>
      <w:r>
        <w:rPr>
          <w:rFonts w:hint="cs"/>
          <w:rtl/>
        </w:rPr>
        <w:t xml:space="preserve">זה בסדר </w:t>
      </w:r>
      <w:bookmarkStart w:id="71298" w:name="_ETM_Q125_575179"/>
      <w:bookmarkEnd w:id="71298"/>
      <w:r>
        <w:rPr>
          <w:rFonts w:hint="cs"/>
          <w:rtl/>
        </w:rPr>
        <w:t xml:space="preserve">להיות </w:t>
      </w:r>
      <w:bookmarkStart w:id="71299" w:name="_ETM_Q125_575479"/>
      <w:bookmarkEnd w:id="71299"/>
      <w:r>
        <w:rPr>
          <w:rFonts w:hint="cs"/>
          <w:rtl/>
        </w:rPr>
        <w:t xml:space="preserve">בעד </w:t>
      </w:r>
      <w:bookmarkStart w:id="71300" w:name="_ETM_Q125_576200"/>
      <w:bookmarkEnd w:id="71300"/>
      <w:r>
        <w:rPr>
          <w:rFonts w:hint="cs"/>
          <w:rtl/>
        </w:rPr>
        <w:t xml:space="preserve">ונגד. </w:t>
      </w:r>
      <w:bookmarkStart w:id="71301" w:name="_ETM_Q125_576829"/>
      <w:bookmarkEnd w:id="71301"/>
      <w:r>
        <w:rPr>
          <w:rFonts w:hint="cs"/>
          <w:rtl/>
        </w:rPr>
        <w:t xml:space="preserve">ואתמול, </w:t>
      </w:r>
      <w:bookmarkStart w:id="71302" w:name="_ETM_Q125_577249"/>
      <w:bookmarkEnd w:id="71302"/>
      <w:r>
        <w:rPr>
          <w:rFonts w:hint="cs"/>
          <w:rtl/>
        </w:rPr>
        <w:t xml:space="preserve">אדוני, </w:t>
      </w:r>
      <w:bookmarkStart w:id="71303" w:name="_ETM_Q125_577579"/>
      <w:bookmarkEnd w:id="71303"/>
      <w:r>
        <w:rPr>
          <w:rFonts w:hint="cs"/>
          <w:rtl/>
        </w:rPr>
        <w:t xml:space="preserve">אני </w:t>
      </w:r>
      <w:bookmarkStart w:id="71304" w:name="_ETM_Q125_577700"/>
      <w:bookmarkEnd w:id="71304"/>
      <w:r>
        <w:rPr>
          <w:rFonts w:hint="cs"/>
          <w:rtl/>
        </w:rPr>
        <w:t xml:space="preserve">לא </w:t>
      </w:r>
      <w:bookmarkStart w:id="71305" w:name="_ETM_Q125_577759"/>
      <w:bookmarkEnd w:id="71305"/>
      <w:r>
        <w:rPr>
          <w:rFonts w:hint="cs"/>
          <w:rtl/>
        </w:rPr>
        <w:t xml:space="preserve">יודעת </w:t>
      </w:r>
      <w:bookmarkStart w:id="71306" w:name="_ETM_Q125_577939"/>
      <w:bookmarkEnd w:id="71306"/>
      <w:r>
        <w:rPr>
          <w:rFonts w:hint="cs"/>
          <w:rtl/>
        </w:rPr>
        <w:t xml:space="preserve">אם </w:t>
      </w:r>
      <w:bookmarkStart w:id="71307" w:name="_ETM_Q125_578029"/>
      <w:bookmarkEnd w:id="71307"/>
      <w:r>
        <w:rPr>
          <w:rFonts w:hint="cs"/>
          <w:rtl/>
        </w:rPr>
        <w:t xml:space="preserve">אדוני </w:t>
      </w:r>
      <w:bookmarkStart w:id="71308" w:name="_ETM_Q125_578329"/>
      <w:bookmarkEnd w:id="71308"/>
      <w:r>
        <w:rPr>
          <w:rFonts w:hint="cs"/>
          <w:rtl/>
        </w:rPr>
        <w:t xml:space="preserve">ראה </w:t>
      </w:r>
      <w:bookmarkStart w:id="71309" w:name="_ETM_Q125_579369"/>
      <w:bookmarkEnd w:id="71309"/>
      <w:r>
        <w:rPr>
          <w:rFonts w:hint="cs"/>
          <w:rtl/>
        </w:rPr>
        <w:t xml:space="preserve">בטלוויזיה, </w:t>
      </w:r>
      <w:bookmarkStart w:id="71310" w:name="_ETM_Q125_580839"/>
      <w:bookmarkEnd w:id="71310"/>
      <w:r>
        <w:rPr>
          <w:rFonts w:hint="cs"/>
          <w:rtl/>
        </w:rPr>
        <w:t xml:space="preserve">כשהם </w:t>
      </w:r>
      <w:bookmarkStart w:id="71311" w:name="_ETM_Q125_581170"/>
      <w:bookmarkEnd w:id="71311"/>
      <w:r>
        <w:rPr>
          <w:rFonts w:hint="cs"/>
          <w:rtl/>
        </w:rPr>
        <w:t xml:space="preserve">ירדו </w:t>
      </w:r>
      <w:bookmarkStart w:id="71312" w:name="_ETM_Q125_581560"/>
      <w:bookmarkEnd w:id="71312"/>
      <w:r>
        <w:rPr>
          <w:rFonts w:hint="cs"/>
          <w:rtl/>
        </w:rPr>
        <w:t xml:space="preserve">מהרכבת, </w:t>
      </w:r>
      <w:bookmarkStart w:id="71313" w:name="_ETM_Q125_582869"/>
      <w:bookmarkEnd w:id="71313"/>
      <w:r>
        <w:rPr>
          <w:rFonts w:hint="cs"/>
          <w:rtl/>
        </w:rPr>
        <w:t xml:space="preserve">אלה </w:t>
      </w:r>
      <w:bookmarkStart w:id="71314" w:name="_ETM_Q125_583200"/>
      <w:bookmarkEnd w:id="71314"/>
      <w:r>
        <w:rPr>
          <w:rFonts w:hint="cs"/>
          <w:rtl/>
        </w:rPr>
        <w:t xml:space="preserve">למעלה </w:t>
      </w:r>
      <w:bookmarkStart w:id="71315" w:name="_ETM_Q125_583709"/>
      <w:bookmarkEnd w:id="71315"/>
      <w:r>
        <w:rPr>
          <w:rFonts w:hint="cs"/>
          <w:rtl/>
        </w:rPr>
        <w:t xml:space="preserve">ואלה </w:t>
      </w:r>
      <w:bookmarkStart w:id="71316" w:name="_ETM_Q125_584099"/>
      <w:bookmarkEnd w:id="71316"/>
      <w:r>
        <w:rPr>
          <w:rFonts w:hint="cs"/>
          <w:rtl/>
        </w:rPr>
        <w:t xml:space="preserve">למטה והם החזיקו </w:t>
      </w:r>
      <w:bookmarkStart w:id="71317" w:name="_ETM_Q125_586139"/>
      <w:bookmarkEnd w:id="71317"/>
      <w:r>
        <w:rPr>
          <w:rFonts w:hint="cs"/>
          <w:rtl/>
        </w:rPr>
        <w:t xml:space="preserve">ידיים </w:t>
      </w:r>
      <w:bookmarkStart w:id="71318" w:name="_ETM_Q125_586770"/>
      <w:bookmarkEnd w:id="71318"/>
      <w:r>
        <w:rPr>
          <w:rFonts w:hint="cs"/>
          <w:rtl/>
        </w:rPr>
        <w:t xml:space="preserve">ואמרו </w:t>
      </w:r>
      <w:bookmarkStart w:id="71319" w:name="_ETM_Q125_587130"/>
      <w:bookmarkStart w:id="71320" w:name="_ETM_Q125_587609"/>
      <w:bookmarkEnd w:id="71319"/>
      <w:bookmarkEnd w:id="71320"/>
      <w:r>
        <w:rPr>
          <w:rFonts w:hint="cs"/>
          <w:rtl/>
        </w:rPr>
        <w:t xml:space="preserve">אחד לשני: </w:t>
      </w:r>
      <w:bookmarkStart w:id="71321" w:name="_ETM_Q125_588029"/>
      <w:bookmarkEnd w:id="71321"/>
      <w:r>
        <w:rPr>
          <w:rFonts w:hint="cs"/>
          <w:rtl/>
        </w:rPr>
        <w:t xml:space="preserve">אני </w:t>
      </w:r>
      <w:bookmarkStart w:id="71322" w:name="_ETM_Q125_588299"/>
      <w:bookmarkEnd w:id="71322"/>
      <w:r>
        <w:rPr>
          <w:rFonts w:hint="cs"/>
          <w:rtl/>
        </w:rPr>
        <w:t>אוהב אותך.</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6F4935" w:rsidP="00BB59CD">
      <w:pPr>
        <w:rPr>
          <w:rtl/>
        </w:rPr>
      </w:pPr>
      <w:r>
        <w:rPr>
          <w:rFonts w:hint="cs"/>
          <w:rtl/>
        </w:rPr>
        <w:t xml:space="preserve">זה עם ישראל. </w:t>
      </w:r>
      <w:r w:rsidR="00BB59CD">
        <w:rPr>
          <w:rFonts w:hint="cs"/>
          <w:rtl/>
        </w:rPr>
        <w:t>גם ברכבת עצמה, אגב, רואים אותם ביחד.</w:t>
      </w:r>
      <w:bookmarkStart w:id="71323" w:name="_ETM_Q125_588225"/>
      <w:bookmarkEnd w:id="71323"/>
    </w:p>
    <w:p w:rsidR="00BB59CD" w:rsidRDefault="00BB59CD" w:rsidP="00BB59CD">
      <w:pPr>
        <w:rPr>
          <w:rtl/>
        </w:rPr>
      </w:pPr>
      <w:bookmarkStart w:id="71324" w:name="_ETM_Q125_588275"/>
      <w:bookmarkEnd w:id="71324"/>
    </w:p>
    <w:p w:rsidR="00BB59CD" w:rsidRDefault="00BB59CD" w:rsidP="00BB59CD">
      <w:pPr>
        <w:pStyle w:val="-"/>
        <w:keepNext/>
        <w:rPr>
          <w:rtl/>
        </w:rPr>
      </w:pPr>
      <w:bookmarkStart w:id="71325" w:name="ET_speakercontinue_6341_33"/>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71325"/>
    </w:p>
    <w:p w:rsidR="00BB59CD" w:rsidRDefault="00BB59CD" w:rsidP="00337201">
      <w:pPr>
        <w:rPr>
          <w:rtl/>
        </w:rPr>
      </w:pPr>
    </w:p>
    <w:p w:rsidR="00BB59CD" w:rsidRDefault="00BB59CD" w:rsidP="00BB59CD">
      <w:pPr>
        <w:rPr>
          <w:rtl/>
        </w:rPr>
      </w:pPr>
      <w:bookmarkStart w:id="71326" w:name="_ETM_Q125_588919"/>
      <w:bookmarkStart w:id="71327" w:name="_ETM_Q125_588569"/>
      <w:bookmarkStart w:id="71328" w:name="_ETM_Q125_589169"/>
      <w:bookmarkStart w:id="71329" w:name="_ETM_Q125_589289"/>
      <w:bookmarkStart w:id="71330" w:name="_ETM_Q125_589679"/>
      <w:bookmarkStart w:id="71331" w:name="_ETM_Q125_590069"/>
      <w:bookmarkStart w:id="71332" w:name="_ETM_Q125_590279"/>
      <w:bookmarkStart w:id="71333" w:name="_ETM_Q125_590489"/>
      <w:bookmarkStart w:id="71334" w:name="_ETM_Q125_590939"/>
      <w:bookmarkStart w:id="71335" w:name="_ETM_Q125_591539"/>
      <w:bookmarkEnd w:id="71326"/>
      <w:bookmarkEnd w:id="71327"/>
      <w:bookmarkEnd w:id="71328"/>
      <w:bookmarkEnd w:id="71329"/>
      <w:bookmarkEnd w:id="71330"/>
      <w:bookmarkEnd w:id="71331"/>
      <w:bookmarkEnd w:id="71332"/>
      <w:bookmarkEnd w:id="71333"/>
      <w:bookmarkEnd w:id="71334"/>
      <w:bookmarkEnd w:id="71335"/>
      <w:r>
        <w:rPr>
          <w:rFonts w:hint="cs"/>
          <w:rtl/>
        </w:rPr>
        <w:t xml:space="preserve">ולכן, אני </w:t>
      </w:r>
      <w:bookmarkStart w:id="71336" w:name="_ETM_Q125_591810"/>
      <w:bookmarkEnd w:id="71336"/>
      <w:r>
        <w:rPr>
          <w:rFonts w:hint="cs"/>
          <w:rtl/>
        </w:rPr>
        <w:t xml:space="preserve">מבקשת </w:t>
      </w:r>
      <w:bookmarkStart w:id="71337" w:name="_ETM_Q125_592979"/>
      <w:bookmarkEnd w:id="71337"/>
      <w:r>
        <w:rPr>
          <w:rFonts w:hint="cs"/>
          <w:rtl/>
        </w:rPr>
        <w:t xml:space="preserve">שזה </w:t>
      </w:r>
      <w:bookmarkStart w:id="71338" w:name="_ETM_Q125_593459"/>
      <w:bookmarkEnd w:id="71338"/>
      <w:r>
        <w:rPr>
          <w:rFonts w:hint="cs"/>
          <w:rtl/>
        </w:rPr>
        <w:t xml:space="preserve">יהיה </w:t>
      </w:r>
      <w:bookmarkStart w:id="71339" w:name="_ETM_Q125_593669"/>
      <w:bookmarkEnd w:id="71339"/>
      <w:r>
        <w:rPr>
          <w:rFonts w:hint="cs"/>
          <w:rtl/>
        </w:rPr>
        <w:t xml:space="preserve">המצב. </w:t>
      </w:r>
      <w:bookmarkStart w:id="71340" w:name="_ETM_Q125_594629"/>
      <w:bookmarkEnd w:id="71340"/>
      <w:r>
        <w:rPr>
          <w:rFonts w:hint="cs"/>
          <w:rtl/>
        </w:rPr>
        <w:t xml:space="preserve">אנחנו </w:t>
      </w:r>
      <w:bookmarkStart w:id="71341" w:name="_ETM_Q125_595229"/>
      <w:bookmarkEnd w:id="71341"/>
      <w:r>
        <w:rPr>
          <w:rFonts w:hint="cs"/>
          <w:rtl/>
        </w:rPr>
        <w:t xml:space="preserve">נאהב </w:t>
      </w:r>
      <w:bookmarkStart w:id="71342" w:name="_ETM_Q125_595529"/>
      <w:bookmarkStart w:id="71343" w:name="_ETM_Q125_595799"/>
      <w:bookmarkEnd w:id="71342"/>
      <w:bookmarkEnd w:id="71343"/>
      <w:r>
        <w:rPr>
          <w:rFonts w:hint="cs"/>
          <w:rtl/>
        </w:rPr>
        <w:t xml:space="preserve">אחד את </w:t>
      </w:r>
      <w:bookmarkStart w:id="71344" w:name="_ETM_Q125_595859"/>
      <w:bookmarkEnd w:id="71344"/>
      <w:r>
        <w:rPr>
          <w:rFonts w:hint="cs"/>
          <w:rtl/>
        </w:rPr>
        <w:t xml:space="preserve">השני </w:t>
      </w:r>
      <w:bookmarkStart w:id="71345" w:name="_ETM_Q125_596249"/>
      <w:bookmarkEnd w:id="71345"/>
      <w:r>
        <w:rPr>
          <w:rFonts w:hint="cs"/>
          <w:rtl/>
        </w:rPr>
        <w:t xml:space="preserve">ונגיע </w:t>
      </w:r>
      <w:bookmarkStart w:id="71346" w:name="_ETM_Q125_596909"/>
      <w:bookmarkEnd w:id="71346"/>
      <w:r>
        <w:rPr>
          <w:rFonts w:hint="cs"/>
          <w:rtl/>
        </w:rPr>
        <w:t>להסכמות.</w:t>
      </w:r>
    </w:p>
    <w:p w:rsidR="00BB59CD" w:rsidRDefault="00BB59CD" w:rsidP="00BB59CD">
      <w:pPr>
        <w:rPr>
          <w:rtl/>
        </w:rPr>
      </w:pPr>
      <w:bookmarkStart w:id="71347" w:name="_ETM_Q125_599623"/>
      <w:bookmarkStart w:id="71348" w:name="_ETM_Q125_599695"/>
      <w:bookmarkEnd w:id="71347"/>
      <w:bookmarkEnd w:id="71348"/>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6F4935">
      <w:pPr>
        <w:rPr>
          <w:rtl/>
        </w:rPr>
      </w:pPr>
      <w:bookmarkStart w:id="71349" w:name="_ETM_Q125_600333"/>
      <w:bookmarkStart w:id="71350" w:name="_ETM_Q125_598689"/>
      <w:bookmarkEnd w:id="71349"/>
      <w:bookmarkEnd w:id="71350"/>
      <w:r>
        <w:rPr>
          <w:rFonts w:hint="cs"/>
          <w:rtl/>
        </w:rPr>
        <w:t xml:space="preserve">תודה </w:t>
      </w:r>
      <w:bookmarkStart w:id="71351" w:name="_ETM_Q125_598990"/>
      <w:bookmarkEnd w:id="71351"/>
      <w:r>
        <w:rPr>
          <w:rFonts w:hint="cs"/>
          <w:rtl/>
        </w:rPr>
        <w:t xml:space="preserve">רבה </w:t>
      </w:r>
      <w:bookmarkStart w:id="71352" w:name="_ETM_Q125_599259"/>
      <w:bookmarkEnd w:id="71352"/>
      <w:r>
        <w:rPr>
          <w:rFonts w:hint="cs"/>
          <w:rtl/>
        </w:rPr>
        <w:t>ל</w:t>
      </w:r>
      <w:bookmarkStart w:id="71353" w:name="_ETM_Q125_599409"/>
      <w:bookmarkEnd w:id="71353"/>
      <w:r>
        <w:rPr>
          <w:rFonts w:hint="cs"/>
          <w:rtl/>
        </w:rPr>
        <w:t xml:space="preserve">חברת </w:t>
      </w:r>
      <w:bookmarkStart w:id="71354" w:name="_ETM_Q125_599680"/>
      <w:bookmarkEnd w:id="71354"/>
      <w:r>
        <w:rPr>
          <w:rFonts w:hint="cs"/>
          <w:rtl/>
        </w:rPr>
        <w:t xml:space="preserve">הכנסת </w:t>
      </w:r>
      <w:bookmarkStart w:id="71355" w:name="_ETM_Q125_600070"/>
      <w:bookmarkEnd w:id="71355"/>
      <w:r>
        <w:rPr>
          <w:rFonts w:hint="cs"/>
          <w:rtl/>
        </w:rPr>
        <w:t xml:space="preserve">דבי </w:t>
      </w:r>
      <w:bookmarkStart w:id="71356" w:name="_ETM_Q125_600279"/>
      <w:bookmarkEnd w:id="71356"/>
      <w:r>
        <w:rPr>
          <w:rFonts w:hint="cs"/>
          <w:rtl/>
        </w:rPr>
        <w:t xml:space="preserve">ביטון. </w:t>
      </w:r>
      <w:bookmarkStart w:id="71357" w:name="_ETM_Q125_602350"/>
      <w:bookmarkEnd w:id="71357"/>
      <w:r>
        <w:rPr>
          <w:rFonts w:hint="cs"/>
          <w:rtl/>
        </w:rPr>
        <w:t xml:space="preserve">הדובר </w:t>
      </w:r>
      <w:bookmarkStart w:id="71358" w:name="_ETM_Q125_602740"/>
      <w:bookmarkEnd w:id="71358"/>
      <w:r>
        <w:rPr>
          <w:rFonts w:hint="cs"/>
          <w:rtl/>
        </w:rPr>
        <w:t>הבא</w:t>
      </w:r>
      <w:bookmarkStart w:id="71359" w:name="_ETM_Q125_603009"/>
      <w:bookmarkEnd w:id="71359"/>
      <w:r w:rsidR="006F4935">
        <w:rPr>
          <w:rFonts w:hint="cs"/>
          <w:rtl/>
        </w:rPr>
        <w:t>,</w:t>
      </w:r>
      <w:r>
        <w:rPr>
          <w:rFonts w:hint="cs"/>
          <w:rtl/>
        </w:rPr>
        <w:t xml:space="preserve"> חבר </w:t>
      </w:r>
      <w:bookmarkStart w:id="71360" w:name="_ETM_Q125_603279"/>
      <w:bookmarkEnd w:id="71360"/>
      <w:r>
        <w:rPr>
          <w:rFonts w:hint="cs"/>
          <w:rtl/>
        </w:rPr>
        <w:t xml:space="preserve">הכנסת </w:t>
      </w:r>
      <w:bookmarkStart w:id="71361" w:name="_ETM_Q125_604479"/>
      <w:bookmarkEnd w:id="71361"/>
      <w:r>
        <w:rPr>
          <w:rFonts w:hint="cs"/>
          <w:rtl/>
        </w:rPr>
        <w:t xml:space="preserve">ד"ר </w:t>
      </w:r>
      <w:bookmarkStart w:id="71362" w:name="_ETM_Q125_605810"/>
      <w:bookmarkEnd w:id="71362"/>
      <w:r>
        <w:rPr>
          <w:rFonts w:hint="cs"/>
          <w:rtl/>
        </w:rPr>
        <w:t xml:space="preserve">יאסר </w:t>
      </w:r>
      <w:bookmarkStart w:id="71363" w:name="_ETM_Q125_606230"/>
      <w:bookmarkEnd w:id="71363"/>
      <w:r>
        <w:rPr>
          <w:rFonts w:hint="cs"/>
          <w:rtl/>
        </w:rPr>
        <w:t xml:space="preserve">חוג'יראת, </w:t>
      </w:r>
      <w:bookmarkStart w:id="71364" w:name="_ETM_Q125_607950"/>
      <w:bookmarkEnd w:id="71364"/>
      <w:r>
        <w:rPr>
          <w:rFonts w:hint="cs"/>
          <w:rtl/>
        </w:rPr>
        <w:t xml:space="preserve">חבר </w:t>
      </w:r>
      <w:bookmarkStart w:id="71365" w:name="_ETM_Q125_608310"/>
      <w:bookmarkEnd w:id="71365"/>
      <w:r>
        <w:rPr>
          <w:rFonts w:hint="cs"/>
          <w:rtl/>
        </w:rPr>
        <w:t xml:space="preserve">ועדת </w:t>
      </w:r>
      <w:bookmarkStart w:id="71366" w:name="_ETM_Q125_608640"/>
      <w:bookmarkEnd w:id="71366"/>
      <w:r>
        <w:rPr>
          <w:rFonts w:hint="cs"/>
          <w:rtl/>
        </w:rPr>
        <w:t>הבריאות.</w:t>
      </w:r>
    </w:p>
    <w:p w:rsidR="00BB59CD" w:rsidRDefault="00BB59CD" w:rsidP="00BB59CD">
      <w:pPr>
        <w:rPr>
          <w:rtl/>
        </w:rPr>
      </w:pPr>
    </w:p>
    <w:p w:rsidR="00BB59CD" w:rsidRDefault="00BB59CD" w:rsidP="00BB59CD">
      <w:pPr>
        <w:pStyle w:val="af8"/>
        <w:keepNext/>
        <w:rPr>
          <w:rtl/>
        </w:rPr>
      </w:pPr>
      <w:bookmarkStart w:id="71367" w:name="ET_interruption_6350_34"/>
      <w:r>
        <w:rPr>
          <w:rStyle w:val="TagStyle"/>
          <w:rFonts w:hint="cs"/>
          <w:rtl/>
        </w:rPr>
        <w:t xml:space="preserve"> &lt;&lt; קריאה &gt;&gt; </w:t>
      </w:r>
      <w:r>
        <w:rPr>
          <w:rFonts w:hint="cs"/>
          <w:rtl/>
        </w:rPr>
        <w:t>יאסר חוג'יראת (רע"מ – הרשימה הערבית המאוחדת):</w:t>
      </w:r>
      <w:r>
        <w:rPr>
          <w:rStyle w:val="TagStyle"/>
          <w:rtl/>
        </w:rPr>
        <w:t xml:space="preserve"> &lt;&lt; קריאה &gt;&gt;</w:t>
      </w:r>
      <w:r>
        <w:rPr>
          <w:rFonts w:hint="cs"/>
          <w:rtl/>
        </w:rPr>
        <w:t xml:space="preserve">   </w:t>
      </w:r>
      <w:bookmarkEnd w:id="71367"/>
    </w:p>
    <w:p w:rsidR="00BB59CD" w:rsidRDefault="00BB59CD" w:rsidP="00337201">
      <w:pPr>
        <w:rPr>
          <w:rtl/>
          <w:lang w:eastAsia="he-IL"/>
        </w:rPr>
      </w:pPr>
    </w:p>
    <w:p w:rsidR="00BB59CD" w:rsidRDefault="00BB59CD" w:rsidP="00337201">
      <w:pPr>
        <w:rPr>
          <w:rtl/>
          <w:lang w:eastAsia="he-IL"/>
        </w:rPr>
      </w:pPr>
      <w:r>
        <w:rPr>
          <w:rFonts w:hint="cs"/>
          <w:rtl/>
          <w:lang w:eastAsia="he-IL"/>
        </w:rPr>
        <w:t>הגיע המחליף שלך, לחכות לו?</w:t>
      </w:r>
    </w:p>
    <w:p w:rsidR="00BB59CD" w:rsidRDefault="00BB59CD" w:rsidP="00BB59CD">
      <w:pPr>
        <w:rPr>
          <w:rtl/>
          <w:lang w:eastAsia="he-IL"/>
        </w:rPr>
      </w:pPr>
    </w:p>
    <w:p w:rsidR="00BB59CD" w:rsidRDefault="00BB59CD" w:rsidP="00BB59CD">
      <w:pPr>
        <w:pStyle w:val="af9"/>
        <w:keepNext/>
        <w:rPr>
          <w:rtl/>
        </w:rPr>
      </w:pPr>
      <w:bookmarkStart w:id="71368" w:name="_ETM_Q125_607237"/>
      <w:bookmarkStart w:id="71369" w:name="_ETM_Q125_607296"/>
      <w:bookmarkEnd w:id="71368"/>
      <w:bookmarkEnd w:id="71369"/>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BB59CD">
      <w:pPr>
        <w:rPr>
          <w:rtl/>
        </w:rPr>
      </w:pPr>
    </w:p>
    <w:p w:rsidR="00BB59CD" w:rsidRDefault="00BB59CD" w:rsidP="00BB59CD">
      <w:pPr>
        <w:rPr>
          <w:rtl/>
        </w:rPr>
      </w:pPr>
      <w:bookmarkStart w:id="71370" w:name="_ETM_Q125_607694"/>
      <w:bookmarkStart w:id="71371" w:name="_ETM_Q125_607736"/>
      <w:bookmarkEnd w:id="71370"/>
      <w:bookmarkEnd w:id="71371"/>
      <w:r>
        <w:rPr>
          <w:rFonts w:hint="cs"/>
          <w:rtl/>
        </w:rPr>
        <w:t xml:space="preserve">חצי שעה לרשותך. </w:t>
      </w:r>
    </w:p>
    <w:p w:rsidR="00BB59CD" w:rsidRDefault="00BB59CD" w:rsidP="00BB59CD">
      <w:pPr>
        <w:rPr>
          <w:rtl/>
        </w:rPr>
      </w:pPr>
      <w:bookmarkStart w:id="71372" w:name="_ETM_Q125_632931"/>
      <w:bookmarkStart w:id="71373" w:name="_ETM_Q125_632972"/>
      <w:bookmarkEnd w:id="71372"/>
      <w:bookmarkEnd w:id="71373"/>
    </w:p>
    <w:p w:rsidR="00BB59CD" w:rsidRDefault="00BB59CD" w:rsidP="00BB59CD">
      <w:pPr>
        <w:rPr>
          <w:rtl/>
        </w:rPr>
      </w:pPr>
      <w:bookmarkStart w:id="71374" w:name="_ETM_Q125_633066"/>
      <w:bookmarkStart w:id="71375" w:name="_ETM_Q125_633109"/>
      <w:bookmarkEnd w:id="71374"/>
      <w:bookmarkEnd w:id="71375"/>
      <w:r>
        <w:rPr>
          <w:rFonts w:hint="cs"/>
          <w:rtl/>
        </w:rPr>
        <w:t xml:space="preserve">עוד לא בירכתי ברכות </w:t>
      </w:r>
      <w:bookmarkStart w:id="71376" w:name="_ETM_Q125_632929"/>
      <w:bookmarkEnd w:id="71376"/>
      <w:r>
        <w:rPr>
          <w:rFonts w:hint="cs"/>
          <w:rtl/>
        </w:rPr>
        <w:t xml:space="preserve">התורה, אז אני לא יכול להגיד דברי תורה. תביאו לו </w:t>
      </w:r>
      <w:bookmarkStart w:id="71377" w:name="_ETM_Q125_631073"/>
      <w:bookmarkEnd w:id="71377"/>
      <w:r>
        <w:rPr>
          <w:rFonts w:hint="cs"/>
          <w:rtl/>
        </w:rPr>
        <w:t xml:space="preserve">מים, כוס מים </w:t>
      </w:r>
      <w:r>
        <w:t>–</w:t>
      </w:r>
      <w:r>
        <w:rPr>
          <w:rFonts w:hint="cs"/>
          <w:rtl/>
        </w:rPr>
        <w:t xml:space="preserve"> יש לו חצי שעה כאן. קפה, אוכל.</w:t>
      </w:r>
    </w:p>
    <w:p w:rsidR="00BB59CD" w:rsidRDefault="00BB59CD" w:rsidP="00BB59CD">
      <w:pPr>
        <w:rPr>
          <w:rtl/>
        </w:rPr>
      </w:pPr>
    </w:p>
    <w:p w:rsidR="00BB59CD" w:rsidRDefault="00BB59CD" w:rsidP="00BB59CD">
      <w:pPr>
        <w:pStyle w:val="a5"/>
        <w:keepNext/>
        <w:rPr>
          <w:rtl/>
        </w:rPr>
      </w:pPr>
      <w:bookmarkStart w:id="71378" w:name="_ETM_Q125_645734"/>
      <w:bookmarkStart w:id="71379" w:name="_ETM_Q125_645789"/>
      <w:bookmarkStart w:id="71380" w:name="ET_speaker_6350_35"/>
      <w:bookmarkEnd w:id="71378"/>
      <w:bookmarkEnd w:id="71379"/>
      <w:r>
        <w:rPr>
          <w:rStyle w:val="TagStyle"/>
          <w:rFonts w:hint="cs"/>
          <w:rtl/>
        </w:rPr>
        <w:t xml:space="preserve">&lt;&lt; דובר &gt;&gt; </w:t>
      </w:r>
      <w:bookmarkStart w:id="71381" w:name="_Toc141197183"/>
      <w:bookmarkStart w:id="71382" w:name="_Toc141196919"/>
      <w:r>
        <w:rPr>
          <w:rFonts w:hint="cs"/>
          <w:rtl/>
        </w:rPr>
        <w:t>יאסר חוג'יראת (רע"מ – הרשימה הערבית המאוחדת):</w:t>
      </w:r>
      <w:bookmarkEnd w:id="71381"/>
      <w:bookmarkEnd w:id="71382"/>
      <w:r>
        <w:rPr>
          <w:rStyle w:val="TagStyle"/>
          <w:rFonts w:hint="cs"/>
          <w:rtl/>
        </w:rPr>
        <w:t xml:space="preserve"> &lt;&lt; דובר &gt;&gt;</w:t>
      </w:r>
      <w:r>
        <w:rPr>
          <w:rFonts w:hint="cs"/>
          <w:rtl/>
        </w:rPr>
        <w:t xml:space="preserve">   </w:t>
      </w:r>
      <w:bookmarkEnd w:id="71380"/>
    </w:p>
    <w:p w:rsidR="00BB59CD" w:rsidRDefault="00BB59CD" w:rsidP="00337201">
      <w:pPr>
        <w:rPr>
          <w:rtl/>
        </w:rPr>
      </w:pPr>
    </w:p>
    <w:p w:rsidR="00BB59CD" w:rsidRDefault="00BB59CD" w:rsidP="00BB59CD">
      <w:pPr>
        <w:rPr>
          <w:rtl/>
        </w:rPr>
      </w:pPr>
      <w:r>
        <w:rPr>
          <w:rFonts w:hint="cs"/>
          <w:rtl/>
        </w:rPr>
        <w:t>סנדוויצ'ים.</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6F4935">
      <w:pPr>
        <w:rPr>
          <w:rtl/>
        </w:rPr>
      </w:pPr>
      <w:r>
        <w:rPr>
          <w:rFonts w:hint="cs"/>
          <w:rtl/>
        </w:rPr>
        <w:t xml:space="preserve">סנדוויצ'ים. אתה </w:t>
      </w:r>
      <w:bookmarkStart w:id="71383" w:name="_ETM_Q125_643670"/>
      <w:bookmarkEnd w:id="71383"/>
      <w:r>
        <w:rPr>
          <w:rFonts w:hint="cs"/>
          <w:rtl/>
        </w:rPr>
        <w:t xml:space="preserve">כבר </w:t>
      </w:r>
      <w:bookmarkStart w:id="71384" w:name="_ETM_Q125_643850"/>
      <w:bookmarkEnd w:id="71384"/>
      <w:r>
        <w:rPr>
          <w:rFonts w:hint="cs"/>
          <w:rtl/>
        </w:rPr>
        <w:t xml:space="preserve">אחרי </w:t>
      </w:r>
      <w:bookmarkStart w:id="71385" w:name="_ETM_Q125_644030"/>
      <w:bookmarkEnd w:id="71385"/>
      <w:r>
        <w:rPr>
          <w:rFonts w:hint="cs"/>
          <w:rtl/>
        </w:rPr>
        <w:t xml:space="preserve">התפילה </w:t>
      </w:r>
      <w:bookmarkStart w:id="71386" w:name="_ETM_Q125_644390"/>
      <w:bookmarkEnd w:id="71386"/>
      <w:r>
        <w:rPr>
          <w:rFonts w:hint="cs"/>
          <w:rtl/>
        </w:rPr>
        <w:t>בטח.</w:t>
      </w:r>
      <w:r w:rsidR="006F4935">
        <w:rPr>
          <w:rFonts w:hint="cs"/>
          <w:rtl/>
        </w:rPr>
        <w:t xml:space="preserve"> </w:t>
      </w:r>
      <w:r>
        <w:rPr>
          <w:rFonts w:hint="cs"/>
          <w:rtl/>
        </w:rPr>
        <w:t xml:space="preserve">אני עוד לא. </w:t>
      </w:r>
    </w:p>
    <w:p w:rsidR="00BB59CD" w:rsidRDefault="00BB59CD" w:rsidP="00BB59CD">
      <w:pPr>
        <w:rPr>
          <w:rtl/>
        </w:rPr>
      </w:pPr>
      <w:bookmarkStart w:id="71387" w:name="_ETM_Q125_646764"/>
      <w:bookmarkStart w:id="71388" w:name="_ETM_Q125_646817"/>
      <w:bookmarkEnd w:id="71387"/>
      <w:bookmarkEnd w:id="71388"/>
    </w:p>
    <w:p w:rsidR="00BB59CD" w:rsidRDefault="00BB59CD" w:rsidP="00BB59CD">
      <w:pPr>
        <w:pStyle w:val="-"/>
        <w:keepNext/>
        <w:rPr>
          <w:rtl/>
        </w:rPr>
      </w:pPr>
      <w:bookmarkStart w:id="71389" w:name="ET_speakercontinue_6350_39"/>
      <w:r>
        <w:rPr>
          <w:rStyle w:val="TagStyle"/>
          <w:rFonts w:hint="cs"/>
          <w:rtl/>
        </w:rPr>
        <w:t xml:space="preserve"> &lt;&lt; דובר_המשך &gt;&gt; </w:t>
      </w:r>
      <w:r>
        <w:rPr>
          <w:rFonts w:hint="cs"/>
          <w:rtl/>
        </w:rPr>
        <w:t>יאסר חוג'יראת (רע"מ – הרשימה הערבית המאוחדת):</w:t>
      </w:r>
      <w:r>
        <w:rPr>
          <w:rStyle w:val="TagStyle"/>
          <w:rtl/>
        </w:rPr>
        <w:t xml:space="preserve"> &lt;&lt; דובר_המשך &gt;&gt;</w:t>
      </w:r>
      <w:r>
        <w:rPr>
          <w:rFonts w:hint="cs"/>
          <w:rtl/>
        </w:rPr>
        <w:t xml:space="preserve">   </w:t>
      </w:r>
      <w:bookmarkEnd w:id="71389"/>
    </w:p>
    <w:p w:rsidR="00BB59CD" w:rsidRDefault="00BB59CD" w:rsidP="00337201">
      <w:pPr>
        <w:rPr>
          <w:rtl/>
        </w:rPr>
      </w:pPr>
    </w:p>
    <w:p w:rsidR="00BB59CD" w:rsidRDefault="00BB59CD" w:rsidP="00BB59CD">
      <w:pPr>
        <w:rPr>
          <w:rtl/>
        </w:rPr>
      </w:pPr>
      <w:bookmarkStart w:id="71390" w:name="_ETM_Q125_647478"/>
      <w:bookmarkEnd w:id="71390"/>
      <w:r>
        <w:rPr>
          <w:rFonts w:hint="cs"/>
          <w:rtl/>
        </w:rPr>
        <w:t xml:space="preserve">עוד לא. </w:t>
      </w:r>
      <w:bookmarkStart w:id="71391" w:name="_ETM_Q125_646800"/>
      <w:bookmarkStart w:id="71392" w:name="_ETM_Q125_647099"/>
      <w:bookmarkStart w:id="71393" w:name="_ETM_Q125_647280"/>
      <w:bookmarkStart w:id="71394" w:name="_ETM_Q125_647459"/>
      <w:bookmarkStart w:id="71395" w:name="_ETM_Q125_647730"/>
      <w:bookmarkStart w:id="71396" w:name="_ETM_Q125_647910"/>
      <w:bookmarkStart w:id="71397" w:name="_ETM_Q125_648209"/>
      <w:bookmarkEnd w:id="71391"/>
      <w:bookmarkEnd w:id="71392"/>
      <w:bookmarkEnd w:id="71393"/>
      <w:bookmarkEnd w:id="71394"/>
      <w:bookmarkEnd w:id="71395"/>
      <w:bookmarkEnd w:id="71396"/>
      <w:bookmarkEnd w:id="71397"/>
      <w:r>
        <w:rPr>
          <w:rFonts w:hint="cs"/>
          <w:rtl/>
        </w:rPr>
        <w:t xml:space="preserve">אני </w:t>
      </w:r>
      <w:bookmarkStart w:id="71398" w:name="_ETM_Q125_648390"/>
      <w:bookmarkEnd w:id="71398"/>
      <w:r>
        <w:rPr>
          <w:rFonts w:hint="cs"/>
          <w:rtl/>
        </w:rPr>
        <w:t xml:space="preserve">התפללתי </w:t>
      </w:r>
      <w:bookmarkStart w:id="71399" w:name="_ETM_Q125_649530"/>
      <w:bookmarkEnd w:id="71399"/>
      <w:r>
        <w:rPr>
          <w:rFonts w:hint="cs"/>
          <w:rtl/>
        </w:rPr>
        <w:t xml:space="preserve">ושאלנו מאלוהים </w:t>
      </w:r>
      <w:bookmarkStart w:id="71400" w:name="_ETM_Q125_652770"/>
      <w:bookmarkEnd w:id="71400"/>
      <w:r>
        <w:rPr>
          <w:rFonts w:hint="cs"/>
          <w:rtl/>
        </w:rPr>
        <w:t xml:space="preserve">שיהיה </w:t>
      </w:r>
      <w:bookmarkStart w:id="71401" w:name="_ETM_Q125_652980"/>
      <w:bookmarkEnd w:id="71401"/>
      <w:r>
        <w:rPr>
          <w:rFonts w:hint="cs"/>
          <w:rtl/>
        </w:rPr>
        <w:t xml:space="preserve">רק </w:t>
      </w:r>
      <w:bookmarkStart w:id="71402" w:name="_ETM_Q125_653130"/>
      <w:bookmarkEnd w:id="71402"/>
      <w:r>
        <w:rPr>
          <w:rFonts w:hint="cs"/>
          <w:rtl/>
        </w:rPr>
        <w:t xml:space="preserve">טוב </w:t>
      </w:r>
      <w:bookmarkStart w:id="71403" w:name="_ETM_Q125_653340"/>
      <w:bookmarkEnd w:id="71403"/>
      <w:r>
        <w:rPr>
          <w:rFonts w:hint="cs"/>
          <w:rtl/>
        </w:rPr>
        <w:t xml:space="preserve">לכולם. </w:t>
      </w:r>
    </w:p>
    <w:p w:rsidR="00BB59CD" w:rsidRDefault="00BB59CD" w:rsidP="00BB59CD">
      <w:pPr>
        <w:rPr>
          <w:rtl/>
        </w:rPr>
      </w:pPr>
      <w:bookmarkStart w:id="71404" w:name="_ETM_Q125_648965"/>
      <w:bookmarkStart w:id="71405" w:name="_ETM_Q125_649019"/>
      <w:bookmarkEnd w:id="71404"/>
      <w:bookmarkEnd w:id="71405"/>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71406" w:name="_ETM_Q125_649708"/>
      <w:bookmarkEnd w:id="71406"/>
      <w:r>
        <w:rPr>
          <w:rFonts w:hint="cs"/>
          <w:rtl/>
        </w:rPr>
        <w:t xml:space="preserve">אני </w:t>
      </w:r>
      <w:bookmarkStart w:id="71407" w:name="_ETM_Q125_649650"/>
      <w:bookmarkEnd w:id="71407"/>
      <w:r>
        <w:rPr>
          <w:rFonts w:hint="cs"/>
          <w:rtl/>
        </w:rPr>
        <w:t xml:space="preserve">משעה </w:t>
      </w:r>
      <w:bookmarkStart w:id="71408" w:name="_ETM_Q125_649980"/>
      <w:bookmarkEnd w:id="71408"/>
      <w:r>
        <w:rPr>
          <w:rFonts w:hint="cs"/>
          <w:rtl/>
        </w:rPr>
        <w:t xml:space="preserve">03:00 </w:t>
      </w:r>
      <w:bookmarkStart w:id="71409" w:name="_ETM_Q125_650370"/>
      <w:bookmarkEnd w:id="71409"/>
      <w:r>
        <w:rPr>
          <w:rFonts w:hint="cs"/>
          <w:rtl/>
        </w:rPr>
        <w:t xml:space="preserve">פה, </w:t>
      </w:r>
      <w:bookmarkStart w:id="71410" w:name="_ETM_Q125_650550"/>
      <w:bookmarkEnd w:id="71410"/>
      <w:r>
        <w:rPr>
          <w:rFonts w:hint="cs"/>
          <w:rtl/>
        </w:rPr>
        <w:t xml:space="preserve">אז </w:t>
      </w:r>
      <w:bookmarkStart w:id="71411" w:name="_ETM_Q125_650670"/>
      <w:bookmarkEnd w:id="71411"/>
      <w:r>
        <w:rPr>
          <w:rFonts w:hint="cs"/>
          <w:rtl/>
        </w:rPr>
        <w:t xml:space="preserve">איך </w:t>
      </w:r>
      <w:bookmarkStart w:id="71412" w:name="_ETM_Q125_650760"/>
      <w:bookmarkEnd w:id="71412"/>
      <w:r>
        <w:rPr>
          <w:rFonts w:hint="cs"/>
          <w:rtl/>
        </w:rPr>
        <w:t>אני אתפלל?</w:t>
      </w:r>
    </w:p>
    <w:p w:rsidR="00BB59CD" w:rsidRDefault="00BB59CD" w:rsidP="00BB59CD">
      <w:pPr>
        <w:rPr>
          <w:rtl/>
        </w:rPr>
      </w:pPr>
      <w:bookmarkStart w:id="71413" w:name="_ETM_Q125_649084"/>
      <w:bookmarkStart w:id="71414" w:name="_ETM_Q125_649138"/>
      <w:bookmarkEnd w:id="71413"/>
      <w:bookmarkEnd w:id="71414"/>
    </w:p>
    <w:p w:rsidR="00BB59CD" w:rsidRDefault="00BB59CD" w:rsidP="00BB59CD">
      <w:pPr>
        <w:pStyle w:val="-"/>
        <w:keepNext/>
        <w:rPr>
          <w:rtl/>
        </w:rPr>
      </w:pPr>
      <w:bookmarkStart w:id="71415" w:name="ET_speakercontinue_6350_41"/>
      <w:r>
        <w:rPr>
          <w:rStyle w:val="TagStyle"/>
          <w:rFonts w:hint="cs"/>
          <w:rtl/>
        </w:rPr>
        <w:t xml:space="preserve"> &lt;&lt; דובר_המשך &gt;&gt; </w:t>
      </w:r>
      <w:r>
        <w:rPr>
          <w:rFonts w:hint="cs"/>
          <w:rtl/>
        </w:rPr>
        <w:t>יאסר חוג'יראת (רע"מ – הרשימה הערבית המאוחדת):</w:t>
      </w:r>
      <w:r>
        <w:rPr>
          <w:rStyle w:val="TagStyle"/>
          <w:rtl/>
        </w:rPr>
        <w:t xml:space="preserve"> &lt;&lt; דובר_המשך &gt;&gt;</w:t>
      </w:r>
      <w:r>
        <w:rPr>
          <w:rFonts w:hint="cs"/>
          <w:rtl/>
        </w:rPr>
        <w:t xml:space="preserve">   </w:t>
      </w:r>
      <w:bookmarkEnd w:id="71415"/>
    </w:p>
    <w:p w:rsidR="00BB59CD" w:rsidRDefault="00BB59CD" w:rsidP="00337201">
      <w:pPr>
        <w:rPr>
          <w:rtl/>
        </w:rPr>
      </w:pPr>
    </w:p>
    <w:p w:rsidR="001271E0" w:rsidRDefault="00BB59CD" w:rsidP="001271E0">
      <w:pPr>
        <w:rPr>
          <w:rtl/>
        </w:rPr>
      </w:pPr>
      <w:bookmarkStart w:id="71416" w:name="_ETM_Q125_649798"/>
      <w:bookmarkStart w:id="71417" w:name="_ETM_Q125_655500"/>
      <w:bookmarkEnd w:id="71416"/>
      <w:bookmarkEnd w:id="71417"/>
      <w:r>
        <w:rPr>
          <w:rFonts w:hint="cs"/>
          <w:rtl/>
        </w:rPr>
        <w:t xml:space="preserve">טוב, </w:t>
      </w:r>
      <w:bookmarkStart w:id="71418" w:name="_ETM_Q125_656610"/>
      <w:bookmarkEnd w:id="71418"/>
      <w:r>
        <w:rPr>
          <w:rFonts w:hint="cs"/>
          <w:rtl/>
        </w:rPr>
        <w:t xml:space="preserve">אז </w:t>
      </w:r>
      <w:bookmarkStart w:id="71419" w:name="_ETM_Q125_656790"/>
      <w:bookmarkEnd w:id="71419"/>
      <w:r>
        <w:rPr>
          <w:rFonts w:hint="cs"/>
          <w:rtl/>
        </w:rPr>
        <w:t xml:space="preserve">אני </w:t>
      </w:r>
      <w:bookmarkStart w:id="71420" w:name="_ETM_Q125_656940"/>
      <w:bookmarkEnd w:id="71420"/>
      <w:r>
        <w:rPr>
          <w:rFonts w:hint="cs"/>
          <w:rtl/>
        </w:rPr>
        <w:t xml:space="preserve">מתחיל. </w:t>
      </w:r>
      <w:bookmarkStart w:id="71421" w:name="_ETM_Q125_659400"/>
      <w:bookmarkEnd w:id="71421"/>
      <w:r>
        <w:rPr>
          <w:rFonts w:hint="cs"/>
          <w:rtl/>
        </w:rPr>
        <w:t xml:space="preserve">כבוד </w:t>
      </w:r>
      <w:bookmarkStart w:id="71422" w:name="_ETM_Q125_659700"/>
      <w:bookmarkEnd w:id="71422"/>
      <w:r>
        <w:rPr>
          <w:rFonts w:hint="cs"/>
          <w:rtl/>
        </w:rPr>
        <w:t xml:space="preserve">יושב-הראש, </w:t>
      </w:r>
      <w:bookmarkStart w:id="71423" w:name="_ETM_Q125_661329"/>
      <w:bookmarkEnd w:id="71423"/>
      <w:r>
        <w:rPr>
          <w:rFonts w:hint="cs"/>
          <w:rtl/>
        </w:rPr>
        <w:t xml:space="preserve">כנסת </w:t>
      </w:r>
      <w:bookmarkStart w:id="71424" w:name="_ETM_Q125_661719"/>
      <w:bookmarkEnd w:id="71424"/>
      <w:r>
        <w:rPr>
          <w:rFonts w:hint="cs"/>
          <w:rtl/>
        </w:rPr>
        <w:t xml:space="preserve">נכבדה, </w:t>
      </w:r>
      <w:bookmarkStart w:id="71425" w:name="_ETM_Q125_663099"/>
      <w:bookmarkEnd w:id="71425"/>
      <w:r>
        <w:rPr>
          <w:rFonts w:hint="cs"/>
          <w:rtl/>
        </w:rPr>
        <w:t xml:space="preserve">חבריי </w:t>
      </w:r>
      <w:bookmarkStart w:id="71426" w:name="_ETM_Q125_663610"/>
      <w:bookmarkEnd w:id="71426"/>
      <w:r>
        <w:rPr>
          <w:rFonts w:hint="cs"/>
          <w:rtl/>
        </w:rPr>
        <w:t xml:space="preserve">חברי </w:t>
      </w:r>
      <w:bookmarkStart w:id="71427" w:name="_ETM_Q125_663909"/>
      <w:bookmarkEnd w:id="71427"/>
      <w:r>
        <w:rPr>
          <w:rFonts w:hint="cs"/>
          <w:rtl/>
        </w:rPr>
        <w:t xml:space="preserve">הכנסת. </w:t>
      </w:r>
      <w:bookmarkStart w:id="71428" w:name="_ETM_Q125_667040"/>
      <w:bookmarkStart w:id="71429" w:name="_ETM_Q125_667219"/>
      <w:bookmarkEnd w:id="71428"/>
      <w:bookmarkEnd w:id="71429"/>
      <w:r>
        <w:rPr>
          <w:rFonts w:hint="cs"/>
          <w:rtl/>
        </w:rPr>
        <w:t xml:space="preserve">אחזור </w:t>
      </w:r>
      <w:bookmarkStart w:id="71430" w:name="_ETM_Q125_667609"/>
      <w:bookmarkEnd w:id="71430"/>
      <w:r>
        <w:rPr>
          <w:rFonts w:hint="cs"/>
          <w:rtl/>
        </w:rPr>
        <w:t xml:space="preserve">לזיכרונות </w:t>
      </w:r>
      <w:bookmarkStart w:id="71431" w:name="_ETM_Q125_668450"/>
      <w:bookmarkEnd w:id="71431"/>
      <w:r>
        <w:rPr>
          <w:rFonts w:hint="cs"/>
          <w:rtl/>
        </w:rPr>
        <w:t xml:space="preserve">לפני </w:t>
      </w:r>
      <w:bookmarkStart w:id="71432" w:name="_ETM_Q125_668749"/>
      <w:bookmarkEnd w:id="71432"/>
      <w:r>
        <w:rPr>
          <w:rFonts w:hint="cs"/>
          <w:rtl/>
        </w:rPr>
        <w:t xml:space="preserve">שנתיים, </w:t>
      </w:r>
      <w:bookmarkStart w:id="71433" w:name="_ETM_Q125_669379"/>
      <w:bookmarkEnd w:id="71433"/>
      <w:r>
        <w:rPr>
          <w:rFonts w:hint="cs"/>
          <w:rtl/>
        </w:rPr>
        <w:t xml:space="preserve">במאי </w:t>
      </w:r>
      <w:bookmarkStart w:id="71434" w:name="_ETM_Q125_670400"/>
      <w:bookmarkEnd w:id="71434"/>
      <w:r>
        <w:rPr>
          <w:rFonts w:hint="cs"/>
          <w:rtl/>
        </w:rPr>
        <w:t xml:space="preserve">שנת </w:t>
      </w:r>
      <w:bookmarkStart w:id="71435" w:name="_ETM_Q125_670700"/>
      <w:bookmarkEnd w:id="71435"/>
      <w:r>
        <w:rPr>
          <w:rFonts w:hint="cs"/>
          <w:rtl/>
        </w:rPr>
        <w:t>20</w:t>
      </w:r>
      <w:bookmarkStart w:id="71436" w:name="_ETM_Q125_673080"/>
      <w:bookmarkEnd w:id="71436"/>
      <w:r>
        <w:rPr>
          <w:rFonts w:hint="cs"/>
          <w:rtl/>
        </w:rPr>
        <w:t xml:space="preserve">21, כשהיה </w:t>
      </w:r>
      <w:bookmarkStart w:id="71437" w:name="_ETM_Q125_673560"/>
      <w:bookmarkEnd w:id="71437"/>
      <w:r>
        <w:rPr>
          <w:rFonts w:hint="cs"/>
          <w:rtl/>
        </w:rPr>
        <w:t xml:space="preserve">חבר </w:t>
      </w:r>
      <w:bookmarkStart w:id="71438" w:name="_ETM_Q125_673890"/>
      <w:bookmarkEnd w:id="71438"/>
      <w:r>
        <w:rPr>
          <w:rFonts w:hint="cs"/>
          <w:rtl/>
        </w:rPr>
        <w:t xml:space="preserve">כנסת </w:t>
      </w:r>
      <w:bookmarkStart w:id="71439" w:name="_ETM_Q125_674580"/>
      <w:bookmarkStart w:id="71440" w:name="_ETM_Q125_675450"/>
      <w:bookmarkEnd w:id="71439"/>
      <w:bookmarkEnd w:id="71440"/>
      <w:r>
        <w:rPr>
          <w:rFonts w:hint="cs"/>
          <w:rtl/>
        </w:rPr>
        <w:t xml:space="preserve">שביקש </w:t>
      </w:r>
      <w:bookmarkStart w:id="71441" w:name="_ETM_Q125_676080"/>
      <w:bookmarkEnd w:id="71441"/>
      <w:r>
        <w:rPr>
          <w:rFonts w:hint="cs"/>
          <w:rtl/>
        </w:rPr>
        <w:t xml:space="preserve">והכניס </w:t>
      </w:r>
      <w:bookmarkStart w:id="71442" w:name="_ETM_Q125_676680"/>
      <w:bookmarkEnd w:id="71442"/>
      <w:r>
        <w:rPr>
          <w:rFonts w:hint="cs"/>
          <w:rtl/>
        </w:rPr>
        <w:t xml:space="preserve">את </w:t>
      </w:r>
      <w:bookmarkStart w:id="71443" w:name="_ETM_Q125_680471"/>
      <w:bookmarkEnd w:id="71443"/>
      <w:r>
        <w:rPr>
          <w:rFonts w:hint="cs"/>
          <w:rtl/>
        </w:rPr>
        <w:t xml:space="preserve">האוהדים שלו </w:t>
      </w:r>
      <w:bookmarkStart w:id="71444" w:name="_ETM_Q125_679260"/>
      <w:bookmarkEnd w:id="71444"/>
      <w:r>
        <w:rPr>
          <w:rFonts w:hint="cs"/>
          <w:rtl/>
        </w:rPr>
        <w:t xml:space="preserve">ואת </w:t>
      </w:r>
      <w:bookmarkStart w:id="71445" w:name="_ETM_Q125_679379"/>
      <w:bookmarkEnd w:id="71445"/>
      <w:r>
        <w:rPr>
          <w:rFonts w:hint="cs"/>
          <w:rtl/>
        </w:rPr>
        <w:t xml:space="preserve">המתנחלים </w:t>
      </w:r>
      <w:bookmarkStart w:id="71446" w:name="_ETM_Q125_682030"/>
      <w:bookmarkEnd w:id="71446"/>
      <w:r>
        <w:rPr>
          <w:rFonts w:hint="cs"/>
          <w:rtl/>
        </w:rPr>
        <w:t xml:space="preserve">לתוך </w:t>
      </w:r>
      <w:bookmarkStart w:id="71447" w:name="_ETM_Q125_682780"/>
      <w:bookmarkEnd w:id="71447"/>
      <w:r>
        <w:rPr>
          <w:rFonts w:hint="cs"/>
          <w:rtl/>
        </w:rPr>
        <w:t xml:space="preserve">הערים </w:t>
      </w:r>
      <w:bookmarkStart w:id="71448" w:name="_ETM_Q125_683140"/>
      <w:bookmarkEnd w:id="71448"/>
      <w:r>
        <w:rPr>
          <w:rFonts w:hint="cs"/>
          <w:rtl/>
        </w:rPr>
        <w:t xml:space="preserve">המעורבות </w:t>
      </w:r>
      <w:bookmarkStart w:id="71449" w:name="_ETM_Q125_683890"/>
      <w:bookmarkEnd w:id="71449"/>
      <w:r>
        <w:rPr>
          <w:rFonts w:hint="cs"/>
          <w:rtl/>
        </w:rPr>
        <w:t xml:space="preserve">כדי </w:t>
      </w:r>
      <w:bookmarkStart w:id="71450" w:name="_ETM_Q125_684130"/>
      <w:bookmarkEnd w:id="71450"/>
      <w:r>
        <w:rPr>
          <w:rFonts w:hint="cs"/>
          <w:rtl/>
        </w:rPr>
        <w:t xml:space="preserve">להשליט </w:t>
      </w:r>
      <w:bookmarkStart w:id="71451" w:name="_ETM_Q125_684490"/>
      <w:bookmarkEnd w:id="71451"/>
      <w:r>
        <w:rPr>
          <w:rFonts w:hint="cs"/>
          <w:rtl/>
        </w:rPr>
        <w:t xml:space="preserve">סדר. </w:t>
      </w:r>
      <w:bookmarkStart w:id="71452" w:name="_ETM_Q125_687439"/>
      <w:bookmarkEnd w:id="71452"/>
      <w:r>
        <w:rPr>
          <w:rFonts w:hint="cs"/>
          <w:rtl/>
        </w:rPr>
        <w:t xml:space="preserve">מתנחלים </w:t>
      </w:r>
      <w:bookmarkStart w:id="71453" w:name="_ETM_Q125_688400"/>
      <w:bookmarkEnd w:id="71453"/>
      <w:r>
        <w:rPr>
          <w:rFonts w:hint="cs"/>
          <w:rtl/>
        </w:rPr>
        <w:t xml:space="preserve">חמושים </w:t>
      </w:r>
      <w:bookmarkStart w:id="71454" w:name="_ETM_Q125_689150"/>
      <w:bookmarkEnd w:id="71454"/>
      <w:r>
        <w:rPr>
          <w:rFonts w:hint="cs"/>
          <w:rtl/>
        </w:rPr>
        <w:t xml:space="preserve">הסתובבו </w:t>
      </w:r>
      <w:bookmarkStart w:id="71455" w:name="_ETM_Q125_689749"/>
      <w:bookmarkEnd w:id="71455"/>
      <w:r>
        <w:rPr>
          <w:rFonts w:hint="cs"/>
          <w:rtl/>
        </w:rPr>
        <w:t xml:space="preserve">בתוך </w:t>
      </w:r>
      <w:bookmarkStart w:id="71456" w:name="_ETM_Q125_690079"/>
      <w:bookmarkEnd w:id="71456"/>
      <w:r>
        <w:rPr>
          <w:rFonts w:hint="cs"/>
          <w:rtl/>
        </w:rPr>
        <w:t xml:space="preserve">העיר, </w:t>
      </w:r>
      <w:bookmarkStart w:id="71457" w:name="_ETM_Q125_692579"/>
      <w:bookmarkEnd w:id="71457"/>
      <w:r>
        <w:rPr>
          <w:rFonts w:hint="cs"/>
          <w:rtl/>
        </w:rPr>
        <w:t xml:space="preserve">בערים </w:t>
      </w:r>
      <w:bookmarkStart w:id="71458" w:name="_ETM_Q125_692999"/>
      <w:bookmarkEnd w:id="71458"/>
      <w:r>
        <w:rPr>
          <w:rFonts w:hint="cs"/>
          <w:rtl/>
        </w:rPr>
        <w:t xml:space="preserve">המעורבות – </w:t>
      </w:r>
      <w:bookmarkStart w:id="71459" w:name="_ETM_Q125_693569"/>
      <w:bookmarkEnd w:id="71459"/>
      <w:r>
        <w:rPr>
          <w:rFonts w:hint="cs"/>
          <w:rtl/>
        </w:rPr>
        <w:t xml:space="preserve">במיוחד </w:t>
      </w:r>
      <w:bookmarkStart w:id="71460" w:name="_ETM_Q125_694049"/>
      <w:bookmarkEnd w:id="71460"/>
      <w:r>
        <w:rPr>
          <w:rFonts w:hint="cs"/>
          <w:rtl/>
        </w:rPr>
        <w:t xml:space="preserve">בלוד, </w:t>
      </w:r>
      <w:bookmarkStart w:id="71461" w:name="_ETM_Q125_695000"/>
      <w:bookmarkEnd w:id="71461"/>
      <w:r>
        <w:rPr>
          <w:rFonts w:hint="cs"/>
          <w:rtl/>
        </w:rPr>
        <w:t xml:space="preserve">בחיפה, </w:t>
      </w:r>
      <w:bookmarkStart w:id="71462" w:name="_ETM_Q125_697260"/>
      <w:bookmarkEnd w:id="71462"/>
      <w:r>
        <w:rPr>
          <w:rFonts w:hint="cs"/>
          <w:rtl/>
        </w:rPr>
        <w:t>בעכו</w:t>
      </w:r>
      <w:r w:rsidR="001271E0">
        <w:rPr>
          <w:rFonts w:hint="cs"/>
          <w:rtl/>
        </w:rPr>
        <w:t>.</w:t>
      </w:r>
      <w:r>
        <w:rPr>
          <w:rFonts w:hint="cs"/>
          <w:rtl/>
        </w:rPr>
        <w:t xml:space="preserve"> </w:t>
      </w:r>
      <w:bookmarkStart w:id="71463" w:name="_ETM_Q125_699280"/>
      <w:bookmarkEnd w:id="71463"/>
      <w:r>
        <w:rPr>
          <w:rFonts w:hint="cs"/>
          <w:rtl/>
        </w:rPr>
        <w:t xml:space="preserve">היום, </w:t>
      </w:r>
      <w:bookmarkStart w:id="71464" w:name="_ETM_Q125_701069"/>
      <w:bookmarkEnd w:id="71464"/>
      <w:r>
        <w:rPr>
          <w:rFonts w:hint="cs"/>
          <w:rtl/>
        </w:rPr>
        <w:t xml:space="preserve">אותו </w:t>
      </w:r>
      <w:bookmarkStart w:id="71465" w:name="_ETM_Q125_701340"/>
      <w:bookmarkEnd w:id="71465"/>
      <w:r>
        <w:rPr>
          <w:rFonts w:hint="cs"/>
          <w:rtl/>
        </w:rPr>
        <w:t xml:space="preserve">חבר </w:t>
      </w:r>
      <w:bookmarkStart w:id="71466" w:name="_ETM_Q125_701700"/>
      <w:bookmarkEnd w:id="71466"/>
      <w:r>
        <w:rPr>
          <w:rFonts w:hint="cs"/>
          <w:rtl/>
        </w:rPr>
        <w:t xml:space="preserve">הכנסת </w:t>
      </w:r>
      <w:bookmarkStart w:id="71467" w:name="_ETM_Q125_702420"/>
      <w:bookmarkEnd w:id="71467"/>
      <w:r>
        <w:rPr>
          <w:rFonts w:hint="cs"/>
          <w:rtl/>
        </w:rPr>
        <w:t xml:space="preserve">הפך </w:t>
      </w:r>
      <w:bookmarkStart w:id="71468" w:name="_ETM_Q125_702780"/>
      <w:bookmarkEnd w:id="71468"/>
      <w:r>
        <w:rPr>
          <w:rFonts w:hint="cs"/>
          <w:rtl/>
        </w:rPr>
        <w:t xml:space="preserve">להיות </w:t>
      </w:r>
      <w:bookmarkStart w:id="71469" w:name="_ETM_Q125_703349"/>
      <w:bookmarkEnd w:id="71469"/>
      <w:r>
        <w:rPr>
          <w:rFonts w:hint="cs"/>
          <w:rtl/>
        </w:rPr>
        <w:t xml:space="preserve">השר </w:t>
      </w:r>
      <w:bookmarkStart w:id="71470" w:name="_ETM_Q125_703860"/>
      <w:bookmarkEnd w:id="71470"/>
      <w:r>
        <w:rPr>
          <w:rFonts w:hint="cs"/>
          <w:rtl/>
        </w:rPr>
        <w:t xml:space="preserve">לביטחון </w:t>
      </w:r>
      <w:bookmarkStart w:id="71471" w:name="_ETM_Q125_704429"/>
      <w:bookmarkEnd w:id="71471"/>
      <w:r>
        <w:rPr>
          <w:rFonts w:hint="cs"/>
          <w:rtl/>
        </w:rPr>
        <w:t xml:space="preserve">הלאומי. </w:t>
      </w:r>
      <w:bookmarkStart w:id="71472" w:name="_ETM_Q125_705790"/>
      <w:bookmarkEnd w:id="71472"/>
      <w:r>
        <w:rPr>
          <w:rFonts w:hint="cs"/>
          <w:rtl/>
        </w:rPr>
        <w:t xml:space="preserve">שר </w:t>
      </w:r>
      <w:bookmarkStart w:id="71473" w:name="_ETM_Q125_706090"/>
      <w:bookmarkEnd w:id="71473"/>
      <w:r>
        <w:rPr>
          <w:rFonts w:hint="cs"/>
          <w:rtl/>
        </w:rPr>
        <w:t xml:space="preserve">גזען. </w:t>
      </w:r>
      <w:bookmarkStart w:id="71474" w:name="_ETM_Q125_707670"/>
      <w:bookmarkEnd w:id="71474"/>
      <w:r>
        <w:rPr>
          <w:rFonts w:hint="cs"/>
          <w:rtl/>
        </w:rPr>
        <w:t xml:space="preserve">זה </w:t>
      </w:r>
      <w:bookmarkStart w:id="71475" w:name="_ETM_Q125_707910"/>
      <w:bookmarkEnd w:id="71475"/>
      <w:r>
        <w:rPr>
          <w:rFonts w:hint="cs"/>
          <w:rtl/>
        </w:rPr>
        <w:t xml:space="preserve">לא </w:t>
      </w:r>
      <w:bookmarkStart w:id="71476" w:name="_ETM_Q125_708030"/>
      <w:bookmarkEnd w:id="71476"/>
      <w:r>
        <w:rPr>
          <w:rFonts w:hint="cs"/>
          <w:rtl/>
        </w:rPr>
        <w:t xml:space="preserve">סביר. </w:t>
      </w:r>
      <w:bookmarkStart w:id="71477" w:name="_ETM_Q125_710429"/>
      <w:bookmarkEnd w:id="71477"/>
    </w:p>
    <w:p w:rsidR="001271E0" w:rsidRDefault="001271E0" w:rsidP="001271E0">
      <w:pPr>
        <w:rPr>
          <w:rtl/>
        </w:rPr>
      </w:pPr>
    </w:p>
    <w:p w:rsidR="00BB59CD" w:rsidRDefault="00BB59CD" w:rsidP="001271E0">
      <w:pPr>
        <w:rPr>
          <w:rtl/>
        </w:rPr>
      </w:pPr>
      <w:r>
        <w:rPr>
          <w:rFonts w:hint="cs"/>
          <w:rtl/>
        </w:rPr>
        <w:t xml:space="preserve">אבל </w:t>
      </w:r>
      <w:bookmarkStart w:id="71478" w:name="_ETM_Q125_710670"/>
      <w:bookmarkEnd w:id="71478"/>
      <w:r>
        <w:rPr>
          <w:rFonts w:hint="cs"/>
          <w:rtl/>
        </w:rPr>
        <w:t xml:space="preserve">כרגע </w:t>
      </w:r>
      <w:bookmarkStart w:id="71479" w:name="_ETM_Q125_711059"/>
      <w:bookmarkEnd w:id="71479"/>
      <w:r>
        <w:rPr>
          <w:rFonts w:hint="cs"/>
          <w:rtl/>
        </w:rPr>
        <w:t xml:space="preserve">אנחנו </w:t>
      </w:r>
      <w:bookmarkStart w:id="71480" w:name="_ETM_Q125_711239"/>
      <w:bookmarkEnd w:id="71480"/>
      <w:r>
        <w:rPr>
          <w:rFonts w:hint="cs"/>
          <w:rtl/>
        </w:rPr>
        <w:t xml:space="preserve">מתמודדים </w:t>
      </w:r>
      <w:bookmarkStart w:id="71481" w:name="_ETM_Q125_712650"/>
      <w:bookmarkEnd w:id="71481"/>
      <w:r>
        <w:rPr>
          <w:rFonts w:hint="cs"/>
          <w:rtl/>
        </w:rPr>
        <w:t xml:space="preserve">מול </w:t>
      </w:r>
      <w:bookmarkStart w:id="71482" w:name="_ETM_Q125_712980"/>
      <w:bookmarkEnd w:id="71482"/>
      <w:r>
        <w:rPr>
          <w:rFonts w:hint="cs"/>
          <w:rtl/>
        </w:rPr>
        <w:t xml:space="preserve">ממשלה </w:t>
      </w:r>
      <w:bookmarkStart w:id="71483" w:name="_ETM_Q125_713490"/>
      <w:bookmarkEnd w:id="71483"/>
      <w:r>
        <w:rPr>
          <w:rFonts w:hint="cs"/>
          <w:rtl/>
        </w:rPr>
        <w:t xml:space="preserve">שהולכת </w:t>
      </w:r>
      <w:bookmarkStart w:id="71484" w:name="_ETM_Q125_714790"/>
      <w:bookmarkEnd w:id="71484"/>
      <w:r>
        <w:rPr>
          <w:rFonts w:hint="cs"/>
          <w:rtl/>
        </w:rPr>
        <w:t xml:space="preserve">לבטל </w:t>
      </w:r>
      <w:bookmarkStart w:id="71485" w:name="_ETM_Q125_715450"/>
      <w:bookmarkEnd w:id="71485"/>
      <w:r>
        <w:rPr>
          <w:rFonts w:hint="cs"/>
          <w:rtl/>
        </w:rPr>
        <w:t xml:space="preserve">את </w:t>
      </w:r>
      <w:bookmarkStart w:id="71486" w:name="_ETM_Q125_715599"/>
      <w:bookmarkEnd w:id="71486"/>
      <w:r>
        <w:rPr>
          <w:rFonts w:hint="cs"/>
          <w:rtl/>
        </w:rPr>
        <w:t xml:space="preserve">עילת </w:t>
      </w:r>
      <w:bookmarkStart w:id="71487" w:name="_ETM_Q125_715900"/>
      <w:bookmarkEnd w:id="71487"/>
      <w:r>
        <w:rPr>
          <w:rFonts w:hint="cs"/>
          <w:rtl/>
        </w:rPr>
        <w:t xml:space="preserve">הסבירות. </w:t>
      </w:r>
      <w:bookmarkStart w:id="71488" w:name="_ETM_Q125_717950"/>
      <w:bookmarkEnd w:id="71488"/>
      <w:r>
        <w:rPr>
          <w:rFonts w:hint="cs"/>
          <w:rtl/>
        </w:rPr>
        <w:t xml:space="preserve">בואו </w:t>
      </w:r>
      <w:bookmarkStart w:id="71489" w:name="_ETM_Q125_718309"/>
      <w:bookmarkEnd w:id="71489"/>
      <w:r>
        <w:rPr>
          <w:rFonts w:hint="cs"/>
          <w:rtl/>
        </w:rPr>
        <w:t xml:space="preserve">תסביר </w:t>
      </w:r>
      <w:bookmarkStart w:id="71490" w:name="_ETM_Q125_718849"/>
      <w:bookmarkEnd w:id="71490"/>
      <w:r>
        <w:rPr>
          <w:rFonts w:hint="cs"/>
          <w:rtl/>
        </w:rPr>
        <w:t xml:space="preserve">לי </w:t>
      </w:r>
      <w:bookmarkStart w:id="71491" w:name="_ETM_Q125_719760"/>
      <w:bookmarkEnd w:id="71491"/>
      <w:r>
        <w:rPr>
          <w:rFonts w:hint="cs"/>
          <w:rtl/>
        </w:rPr>
        <w:t xml:space="preserve">מה </w:t>
      </w:r>
      <w:bookmarkStart w:id="71492" w:name="_ETM_Q125_720390"/>
      <w:bookmarkEnd w:id="71492"/>
      <w:r>
        <w:rPr>
          <w:rFonts w:hint="cs"/>
          <w:rtl/>
        </w:rPr>
        <w:t xml:space="preserve">ימנע </w:t>
      </w:r>
      <w:bookmarkStart w:id="71493" w:name="_ETM_Q125_720929"/>
      <w:bookmarkEnd w:id="71493"/>
      <w:r>
        <w:rPr>
          <w:rFonts w:hint="cs"/>
          <w:rtl/>
        </w:rPr>
        <w:t xml:space="preserve">משיגעון </w:t>
      </w:r>
      <w:bookmarkStart w:id="71494" w:name="_ETM_Q125_721980"/>
      <w:bookmarkEnd w:id="71494"/>
      <w:r>
        <w:rPr>
          <w:rFonts w:hint="cs"/>
          <w:rtl/>
        </w:rPr>
        <w:t xml:space="preserve">הילדות </w:t>
      </w:r>
      <w:bookmarkStart w:id="71495" w:name="_ETM_Q125_722519"/>
      <w:bookmarkEnd w:id="71495"/>
      <w:r>
        <w:rPr>
          <w:rFonts w:hint="cs"/>
          <w:rtl/>
        </w:rPr>
        <w:t xml:space="preserve">של השר </w:t>
      </w:r>
      <w:bookmarkStart w:id="71496" w:name="_ETM_Q125_722999"/>
      <w:bookmarkEnd w:id="71496"/>
      <w:r>
        <w:rPr>
          <w:rFonts w:hint="cs"/>
          <w:rtl/>
        </w:rPr>
        <w:t xml:space="preserve">לביטחון </w:t>
      </w:r>
      <w:bookmarkStart w:id="71497" w:name="_ETM_Q125_723510"/>
      <w:bookmarkEnd w:id="71497"/>
      <w:r>
        <w:rPr>
          <w:rFonts w:hint="cs"/>
          <w:rtl/>
        </w:rPr>
        <w:t xml:space="preserve">הלאומי </w:t>
      </w:r>
      <w:bookmarkStart w:id="71498" w:name="_ETM_Q125_724640"/>
      <w:bookmarkEnd w:id="71498"/>
      <w:r>
        <w:rPr>
          <w:rFonts w:hint="cs"/>
          <w:rtl/>
        </w:rPr>
        <w:t xml:space="preserve">להקים </w:t>
      </w:r>
      <w:bookmarkStart w:id="71499" w:name="_ETM_Q125_725150"/>
      <w:bookmarkEnd w:id="71499"/>
      <w:r>
        <w:rPr>
          <w:rFonts w:hint="cs"/>
          <w:rtl/>
        </w:rPr>
        <w:t xml:space="preserve">מיליציות </w:t>
      </w:r>
      <w:bookmarkStart w:id="71500" w:name="_ETM_Q125_726300"/>
      <w:bookmarkEnd w:id="71500"/>
      <w:r>
        <w:rPr>
          <w:rFonts w:hint="cs"/>
          <w:rtl/>
        </w:rPr>
        <w:t xml:space="preserve">חמושות </w:t>
      </w:r>
      <w:bookmarkStart w:id="71501" w:name="_ETM_Q125_727510"/>
      <w:bookmarkEnd w:id="71501"/>
      <w:r>
        <w:rPr>
          <w:rFonts w:hint="cs"/>
          <w:rtl/>
        </w:rPr>
        <w:t xml:space="preserve">שיסתובבו </w:t>
      </w:r>
      <w:bookmarkStart w:id="71502" w:name="_ETM_Q125_728319"/>
      <w:bookmarkEnd w:id="71502"/>
      <w:r>
        <w:rPr>
          <w:rFonts w:hint="cs"/>
          <w:rtl/>
        </w:rPr>
        <w:t xml:space="preserve">ביישובים </w:t>
      </w:r>
      <w:bookmarkStart w:id="71503" w:name="_ETM_Q125_728860"/>
      <w:bookmarkEnd w:id="71503"/>
      <w:r>
        <w:rPr>
          <w:rFonts w:hint="cs"/>
          <w:rtl/>
        </w:rPr>
        <w:t xml:space="preserve">הערביים </w:t>
      </w:r>
      <w:bookmarkStart w:id="71504" w:name="_ETM_Q125_729989"/>
      <w:bookmarkEnd w:id="71504"/>
      <w:r>
        <w:rPr>
          <w:rFonts w:hint="cs"/>
          <w:rtl/>
        </w:rPr>
        <w:t xml:space="preserve">או </w:t>
      </w:r>
      <w:bookmarkStart w:id="71505" w:name="_ETM_Q125_730260"/>
      <w:bookmarkEnd w:id="71505"/>
      <w:r>
        <w:rPr>
          <w:rFonts w:hint="cs"/>
          <w:rtl/>
        </w:rPr>
        <w:t xml:space="preserve">כל </w:t>
      </w:r>
      <w:bookmarkStart w:id="71506" w:name="_ETM_Q125_730500"/>
      <w:bookmarkEnd w:id="71506"/>
      <w:r>
        <w:rPr>
          <w:rFonts w:hint="cs"/>
          <w:rtl/>
        </w:rPr>
        <w:t xml:space="preserve">יישוב </w:t>
      </w:r>
      <w:bookmarkStart w:id="71507" w:name="_ETM_Q125_731769"/>
      <w:bookmarkEnd w:id="71507"/>
      <w:r>
        <w:rPr>
          <w:rFonts w:hint="cs"/>
          <w:rtl/>
        </w:rPr>
        <w:t xml:space="preserve">שמנוגד </w:t>
      </w:r>
      <w:bookmarkStart w:id="71508" w:name="_ETM_Q125_732309"/>
      <w:bookmarkEnd w:id="71508"/>
      <w:r>
        <w:rPr>
          <w:rFonts w:hint="cs"/>
          <w:rtl/>
        </w:rPr>
        <w:t xml:space="preserve">לתפיסת </w:t>
      </w:r>
      <w:bookmarkStart w:id="71509" w:name="_ETM_Q125_733199"/>
      <w:bookmarkEnd w:id="71509"/>
      <w:r>
        <w:rPr>
          <w:rFonts w:hint="cs"/>
          <w:rtl/>
        </w:rPr>
        <w:t xml:space="preserve">העולם </w:t>
      </w:r>
      <w:bookmarkStart w:id="71510" w:name="_ETM_Q125_733769"/>
      <w:bookmarkEnd w:id="71510"/>
      <w:r>
        <w:rPr>
          <w:rFonts w:hint="cs"/>
          <w:rtl/>
        </w:rPr>
        <w:t xml:space="preserve">של </w:t>
      </w:r>
      <w:bookmarkStart w:id="71511" w:name="_ETM_Q125_733979"/>
      <w:bookmarkStart w:id="71512" w:name="_ETM_Q125_735260"/>
      <w:bookmarkEnd w:id="71511"/>
      <w:bookmarkEnd w:id="71512"/>
      <w:r>
        <w:rPr>
          <w:rFonts w:hint="cs"/>
          <w:rtl/>
        </w:rPr>
        <w:t xml:space="preserve">השר, ויבצעו </w:t>
      </w:r>
      <w:bookmarkStart w:id="71513" w:name="_ETM_Q125_735860"/>
      <w:bookmarkEnd w:id="71513"/>
      <w:r>
        <w:rPr>
          <w:rFonts w:hint="cs"/>
          <w:rtl/>
        </w:rPr>
        <w:t xml:space="preserve">בהם </w:t>
      </w:r>
      <w:bookmarkStart w:id="71514" w:name="_ETM_Q125_736280"/>
      <w:bookmarkEnd w:id="71514"/>
      <w:r>
        <w:rPr>
          <w:rFonts w:hint="cs"/>
          <w:rtl/>
        </w:rPr>
        <w:t xml:space="preserve">טבח, פשעי שנאה, </w:t>
      </w:r>
      <w:bookmarkStart w:id="71515" w:name="_ETM_Q125_738699"/>
      <w:bookmarkEnd w:id="71515"/>
      <w:r>
        <w:rPr>
          <w:rFonts w:hint="cs"/>
          <w:rtl/>
        </w:rPr>
        <w:t xml:space="preserve">כמו </w:t>
      </w:r>
      <w:bookmarkStart w:id="71516" w:name="_ETM_Q125_738969"/>
      <w:bookmarkEnd w:id="71516"/>
      <w:r>
        <w:rPr>
          <w:rFonts w:hint="cs"/>
          <w:rtl/>
        </w:rPr>
        <w:t xml:space="preserve">הפוגרום </w:t>
      </w:r>
      <w:bookmarkStart w:id="71517" w:name="_ETM_Q125_739419"/>
      <w:bookmarkEnd w:id="71517"/>
      <w:r>
        <w:rPr>
          <w:rFonts w:hint="cs"/>
          <w:rtl/>
        </w:rPr>
        <w:t xml:space="preserve">שהיה </w:t>
      </w:r>
      <w:bookmarkStart w:id="71518" w:name="_ETM_Q125_739689"/>
      <w:bookmarkEnd w:id="71518"/>
      <w:r>
        <w:rPr>
          <w:rFonts w:hint="cs"/>
          <w:rtl/>
        </w:rPr>
        <w:t xml:space="preserve">בחווארה, </w:t>
      </w:r>
      <w:bookmarkStart w:id="71519" w:name="_ETM_Q125_741130"/>
      <w:bookmarkEnd w:id="71519"/>
      <w:r>
        <w:rPr>
          <w:rFonts w:hint="cs"/>
          <w:rtl/>
        </w:rPr>
        <w:t xml:space="preserve">אום צפא </w:t>
      </w:r>
      <w:bookmarkStart w:id="71520" w:name="_ETM_Q125_741789"/>
      <w:bookmarkEnd w:id="71520"/>
      <w:r>
        <w:rPr>
          <w:rFonts w:hint="cs"/>
          <w:rtl/>
        </w:rPr>
        <w:t xml:space="preserve">ועוד </w:t>
      </w:r>
      <w:bookmarkStart w:id="71521" w:name="_ETM_Q125_743270"/>
      <w:bookmarkEnd w:id="71521"/>
      <w:r>
        <w:rPr>
          <w:rFonts w:hint="cs"/>
          <w:rtl/>
        </w:rPr>
        <w:t xml:space="preserve">יישובים </w:t>
      </w:r>
      <w:bookmarkStart w:id="71522" w:name="_ETM_Q125_744590"/>
      <w:bookmarkEnd w:id="71522"/>
      <w:r>
        <w:rPr>
          <w:rFonts w:hint="cs"/>
          <w:rtl/>
        </w:rPr>
        <w:t xml:space="preserve">אחרים </w:t>
      </w:r>
      <w:bookmarkStart w:id="71523" w:name="_ETM_Q125_745920"/>
      <w:bookmarkEnd w:id="71523"/>
      <w:r>
        <w:rPr>
          <w:rFonts w:hint="cs"/>
          <w:rtl/>
        </w:rPr>
        <w:t xml:space="preserve">בגדה. </w:t>
      </w:r>
      <w:bookmarkStart w:id="71524" w:name="_ETM_Q125_748389"/>
      <w:bookmarkStart w:id="71525" w:name="_ETM_Q125_748124"/>
      <w:bookmarkStart w:id="71526" w:name="_ETM_Q125_748176"/>
      <w:bookmarkStart w:id="71527" w:name="_ETM_Q125_748284"/>
      <w:bookmarkStart w:id="71528" w:name="_ETM_Q125_748335"/>
      <w:bookmarkStart w:id="71529" w:name="_ETM_Q125_748690"/>
      <w:bookmarkStart w:id="71530" w:name="_ETM_Q125_756445"/>
      <w:bookmarkEnd w:id="71524"/>
      <w:bookmarkEnd w:id="71525"/>
      <w:bookmarkEnd w:id="71526"/>
      <w:bookmarkEnd w:id="71527"/>
      <w:bookmarkEnd w:id="71528"/>
      <w:bookmarkEnd w:id="71529"/>
      <w:bookmarkEnd w:id="71530"/>
      <w:r>
        <w:rPr>
          <w:rFonts w:hint="cs"/>
          <w:rtl/>
        </w:rPr>
        <w:t xml:space="preserve">הרי עכשיו </w:t>
      </w:r>
      <w:bookmarkStart w:id="71531" w:name="_ETM_Q125_750020"/>
      <w:bookmarkEnd w:id="71531"/>
      <w:r>
        <w:rPr>
          <w:rFonts w:hint="cs"/>
          <w:rtl/>
        </w:rPr>
        <w:t xml:space="preserve">זה </w:t>
      </w:r>
      <w:bookmarkStart w:id="71532" w:name="_ETM_Q125_750260"/>
      <w:bookmarkEnd w:id="71532"/>
      <w:r>
        <w:rPr>
          <w:rFonts w:hint="cs"/>
          <w:rtl/>
        </w:rPr>
        <w:t xml:space="preserve">לא </w:t>
      </w:r>
      <w:bookmarkStart w:id="71533" w:name="_ETM_Q125_750380"/>
      <w:bookmarkEnd w:id="71533"/>
      <w:r>
        <w:rPr>
          <w:rFonts w:hint="cs"/>
          <w:rtl/>
        </w:rPr>
        <w:t xml:space="preserve">צריך </w:t>
      </w:r>
      <w:bookmarkStart w:id="71534" w:name="_ETM_Q125_750679"/>
      <w:bookmarkEnd w:id="71534"/>
      <w:r>
        <w:rPr>
          <w:rFonts w:hint="cs"/>
          <w:rtl/>
        </w:rPr>
        <w:t xml:space="preserve">להיות </w:t>
      </w:r>
      <w:bookmarkStart w:id="71535" w:name="_ETM_Q125_751190"/>
      <w:bookmarkEnd w:id="71535"/>
      <w:r>
        <w:rPr>
          <w:rFonts w:hint="cs"/>
          <w:rtl/>
        </w:rPr>
        <w:t xml:space="preserve">סביר. </w:t>
      </w:r>
      <w:bookmarkStart w:id="71536" w:name="_ETM_Q125_753300"/>
      <w:bookmarkEnd w:id="71536"/>
    </w:p>
    <w:p w:rsidR="00BB59CD" w:rsidRDefault="00BB59CD" w:rsidP="00BB59CD">
      <w:pPr>
        <w:rPr>
          <w:rtl/>
        </w:rPr>
      </w:pPr>
      <w:bookmarkStart w:id="71537" w:name="_ETM_Q125_754542"/>
      <w:bookmarkStart w:id="71538" w:name="_ETM_Q125_754582"/>
      <w:bookmarkEnd w:id="71537"/>
      <w:bookmarkEnd w:id="71538"/>
    </w:p>
    <w:p w:rsidR="002F7246" w:rsidRDefault="00BB59CD" w:rsidP="002F7246">
      <w:pPr>
        <w:rPr>
          <w:rtl/>
        </w:rPr>
      </w:pPr>
      <w:bookmarkStart w:id="71539" w:name="_ETM_Q125_754685"/>
      <w:bookmarkStart w:id="71540" w:name="_ETM_Q125_754722"/>
      <w:bookmarkEnd w:id="71539"/>
      <w:bookmarkEnd w:id="71540"/>
      <w:r>
        <w:rPr>
          <w:rFonts w:hint="cs"/>
          <w:rtl/>
        </w:rPr>
        <w:t xml:space="preserve">אותו </w:t>
      </w:r>
      <w:bookmarkStart w:id="71541" w:name="_ETM_Q125_753720"/>
      <w:bookmarkEnd w:id="71541"/>
      <w:r>
        <w:rPr>
          <w:rFonts w:hint="cs"/>
          <w:rtl/>
        </w:rPr>
        <w:t xml:space="preserve">שר </w:t>
      </w:r>
      <w:bookmarkStart w:id="71542" w:name="_ETM_Q125_753990"/>
      <w:bookmarkEnd w:id="71542"/>
      <w:r>
        <w:rPr>
          <w:rFonts w:hint="cs"/>
          <w:rtl/>
        </w:rPr>
        <w:t xml:space="preserve">מנסה </w:t>
      </w:r>
      <w:bookmarkStart w:id="71543" w:name="_ETM_Q125_754380"/>
      <w:bookmarkEnd w:id="71543"/>
      <w:r>
        <w:rPr>
          <w:rFonts w:hint="cs"/>
          <w:rtl/>
        </w:rPr>
        <w:t xml:space="preserve">לקדם </w:t>
      </w:r>
      <w:bookmarkStart w:id="71544" w:name="_ETM_Q125_754800"/>
      <w:bookmarkEnd w:id="71544"/>
      <w:r>
        <w:rPr>
          <w:rFonts w:hint="cs"/>
          <w:rtl/>
        </w:rPr>
        <w:t xml:space="preserve">הצעת </w:t>
      </w:r>
      <w:bookmarkStart w:id="71545" w:name="_ETM_Q125_755220"/>
      <w:bookmarkEnd w:id="71545"/>
      <w:r>
        <w:rPr>
          <w:rFonts w:hint="cs"/>
          <w:rtl/>
        </w:rPr>
        <w:t xml:space="preserve">חוק </w:t>
      </w:r>
      <w:bookmarkStart w:id="71546" w:name="_ETM_Q125_756190"/>
      <w:bookmarkEnd w:id="71546"/>
      <w:r>
        <w:rPr>
          <w:rFonts w:hint="cs"/>
          <w:rtl/>
        </w:rPr>
        <w:t xml:space="preserve">לביטול </w:t>
      </w:r>
      <w:bookmarkStart w:id="71547" w:name="_ETM_Q125_757689"/>
      <w:bookmarkEnd w:id="71547"/>
      <w:r>
        <w:rPr>
          <w:rFonts w:hint="cs"/>
          <w:rtl/>
        </w:rPr>
        <w:t xml:space="preserve">יציאת </w:t>
      </w:r>
      <w:bookmarkStart w:id="71548" w:name="_ETM_Q125_758289"/>
      <w:bookmarkEnd w:id="71548"/>
      <w:r>
        <w:rPr>
          <w:rFonts w:hint="cs"/>
          <w:rtl/>
        </w:rPr>
        <w:t xml:space="preserve">ערבים </w:t>
      </w:r>
      <w:bookmarkStart w:id="71549" w:name="_ETM_Q125_758949"/>
      <w:bookmarkEnd w:id="71549"/>
      <w:r>
        <w:rPr>
          <w:rFonts w:hint="cs"/>
          <w:rtl/>
        </w:rPr>
        <w:t xml:space="preserve">לחו"ל. </w:t>
      </w:r>
      <w:bookmarkStart w:id="71550" w:name="_ETM_Q125_760429"/>
      <w:bookmarkEnd w:id="71550"/>
      <w:r>
        <w:rPr>
          <w:rFonts w:hint="cs"/>
          <w:rtl/>
        </w:rPr>
        <w:t xml:space="preserve">בעוד </w:t>
      </w:r>
      <w:bookmarkStart w:id="71551" w:name="_ETM_Q125_760940"/>
      <w:bookmarkEnd w:id="71551"/>
      <w:r>
        <w:rPr>
          <w:rFonts w:hint="cs"/>
          <w:rtl/>
        </w:rPr>
        <w:t xml:space="preserve">אזרחים </w:t>
      </w:r>
      <w:bookmarkStart w:id="71552" w:name="_ETM_Q125_761390"/>
      <w:bookmarkEnd w:id="71552"/>
      <w:r>
        <w:rPr>
          <w:rFonts w:hint="cs"/>
          <w:rtl/>
        </w:rPr>
        <w:t xml:space="preserve">יכולים </w:t>
      </w:r>
      <w:bookmarkStart w:id="71553" w:name="_ETM_Q125_761720"/>
      <w:bookmarkEnd w:id="71553"/>
      <w:r>
        <w:rPr>
          <w:rFonts w:hint="cs"/>
          <w:rtl/>
        </w:rPr>
        <w:t xml:space="preserve">להסתובב </w:t>
      </w:r>
      <w:bookmarkStart w:id="71554" w:name="_ETM_Q125_762500"/>
      <w:bookmarkEnd w:id="71554"/>
      <w:r>
        <w:rPr>
          <w:rFonts w:hint="cs"/>
          <w:rtl/>
        </w:rPr>
        <w:t xml:space="preserve">בחופשיות </w:t>
      </w:r>
      <w:bookmarkStart w:id="71555" w:name="_ETM_Q125_763610"/>
      <w:bookmarkEnd w:id="71555"/>
      <w:r>
        <w:rPr>
          <w:rFonts w:hint="cs"/>
          <w:rtl/>
        </w:rPr>
        <w:t xml:space="preserve">ואין </w:t>
      </w:r>
      <w:bookmarkStart w:id="71556" w:name="_ETM_Q125_764179"/>
      <w:bookmarkEnd w:id="71556"/>
      <w:r>
        <w:rPr>
          <w:rFonts w:hint="cs"/>
          <w:rtl/>
        </w:rPr>
        <w:t xml:space="preserve">מי </w:t>
      </w:r>
      <w:bookmarkStart w:id="71557" w:name="_ETM_Q125_764390"/>
      <w:bookmarkEnd w:id="71557"/>
      <w:r>
        <w:rPr>
          <w:rFonts w:hint="cs"/>
          <w:rtl/>
        </w:rPr>
        <w:t>שימנע זאת</w:t>
      </w:r>
      <w:bookmarkStart w:id="71558" w:name="_ETM_Q125_765540"/>
      <w:bookmarkStart w:id="71559" w:name="_ETM_Q125_767260"/>
      <w:bookmarkEnd w:id="71558"/>
      <w:bookmarkEnd w:id="71559"/>
      <w:r>
        <w:rPr>
          <w:rFonts w:hint="cs"/>
          <w:rtl/>
        </w:rPr>
        <w:t xml:space="preserve">, הרי החלטת השר </w:t>
      </w:r>
      <w:bookmarkStart w:id="71560" w:name="_ETM_Q125_768380"/>
      <w:bookmarkStart w:id="71561" w:name="_ETM_Q125_769960"/>
      <w:bookmarkEnd w:id="71560"/>
      <w:bookmarkEnd w:id="71561"/>
      <w:r>
        <w:rPr>
          <w:rFonts w:hint="cs"/>
          <w:rtl/>
        </w:rPr>
        <w:t xml:space="preserve">לא </w:t>
      </w:r>
      <w:bookmarkStart w:id="71562" w:name="_ETM_Q125_770229"/>
      <w:bookmarkEnd w:id="71562"/>
      <w:r>
        <w:rPr>
          <w:rFonts w:hint="cs"/>
          <w:rtl/>
        </w:rPr>
        <w:t xml:space="preserve">אמורה </w:t>
      </w:r>
      <w:bookmarkStart w:id="71563" w:name="_ETM_Q125_770589"/>
      <w:bookmarkEnd w:id="71563"/>
      <w:r>
        <w:rPr>
          <w:rFonts w:hint="cs"/>
          <w:rtl/>
        </w:rPr>
        <w:t xml:space="preserve">להיות </w:t>
      </w:r>
      <w:bookmarkStart w:id="71564" w:name="_ETM_Q125_773050"/>
      <w:bookmarkEnd w:id="71564"/>
      <w:r>
        <w:rPr>
          <w:rFonts w:hint="cs"/>
          <w:rtl/>
        </w:rPr>
        <w:t xml:space="preserve">סבירה. בתור </w:t>
      </w:r>
      <w:bookmarkStart w:id="71565" w:name="_ETM_Q125_773469"/>
      <w:bookmarkEnd w:id="71565"/>
      <w:r>
        <w:rPr>
          <w:rFonts w:hint="cs"/>
          <w:rtl/>
        </w:rPr>
        <w:t xml:space="preserve">ערבי </w:t>
      </w:r>
      <w:bookmarkStart w:id="71566" w:name="_ETM_Q125_774249"/>
      <w:bookmarkEnd w:id="71566"/>
      <w:r>
        <w:rPr>
          <w:rFonts w:hint="cs"/>
          <w:rtl/>
        </w:rPr>
        <w:t xml:space="preserve">אזרח </w:t>
      </w:r>
      <w:bookmarkStart w:id="71567" w:name="_ETM_Q125_774699"/>
      <w:bookmarkEnd w:id="71567"/>
      <w:r>
        <w:rPr>
          <w:rFonts w:hint="cs"/>
          <w:rtl/>
        </w:rPr>
        <w:t xml:space="preserve">מדינת </w:t>
      </w:r>
      <w:bookmarkStart w:id="71568" w:name="_ETM_Q125_775179"/>
      <w:bookmarkEnd w:id="71568"/>
      <w:r>
        <w:rPr>
          <w:rFonts w:hint="cs"/>
          <w:rtl/>
        </w:rPr>
        <w:t xml:space="preserve">ישראל </w:t>
      </w:r>
      <w:bookmarkStart w:id="71569" w:name="_ETM_Q125_776320"/>
      <w:bookmarkEnd w:id="71569"/>
      <w:r>
        <w:rPr>
          <w:rFonts w:hint="cs"/>
          <w:rtl/>
        </w:rPr>
        <w:t xml:space="preserve">אני </w:t>
      </w:r>
      <w:bookmarkStart w:id="71570" w:name="_ETM_Q125_776530"/>
      <w:bookmarkEnd w:id="71570"/>
      <w:r>
        <w:rPr>
          <w:rFonts w:hint="cs"/>
          <w:rtl/>
        </w:rPr>
        <w:t xml:space="preserve">בספק </w:t>
      </w:r>
      <w:bookmarkStart w:id="71571" w:name="_ETM_Q125_777160"/>
      <w:bookmarkEnd w:id="71571"/>
      <w:r>
        <w:rPr>
          <w:rFonts w:hint="cs"/>
          <w:rtl/>
        </w:rPr>
        <w:t xml:space="preserve">אם </w:t>
      </w:r>
      <w:bookmarkStart w:id="71572" w:name="_ETM_Q125_777370"/>
      <w:bookmarkEnd w:id="71572"/>
      <w:r>
        <w:rPr>
          <w:rFonts w:hint="cs"/>
          <w:rtl/>
        </w:rPr>
        <w:t xml:space="preserve">המינוי </w:t>
      </w:r>
      <w:bookmarkStart w:id="71573" w:name="_ETM_Q125_777850"/>
      <w:bookmarkEnd w:id="71573"/>
      <w:r>
        <w:rPr>
          <w:rFonts w:hint="cs"/>
          <w:rtl/>
        </w:rPr>
        <w:t xml:space="preserve">של </w:t>
      </w:r>
      <w:bookmarkStart w:id="71574" w:name="_ETM_Q125_778030"/>
      <w:bookmarkEnd w:id="71574"/>
      <w:r>
        <w:rPr>
          <w:rFonts w:hint="cs"/>
          <w:rtl/>
        </w:rPr>
        <w:t xml:space="preserve">בן </w:t>
      </w:r>
      <w:bookmarkStart w:id="71575" w:name="_ETM_Q125_778240"/>
      <w:bookmarkEnd w:id="71575"/>
      <w:r>
        <w:rPr>
          <w:rFonts w:hint="cs"/>
          <w:rtl/>
        </w:rPr>
        <w:t xml:space="preserve">גביר </w:t>
      </w:r>
      <w:bookmarkStart w:id="71576" w:name="_ETM_Q125_779470"/>
      <w:bookmarkEnd w:id="71576"/>
      <w:r>
        <w:rPr>
          <w:rFonts w:hint="cs"/>
          <w:rtl/>
        </w:rPr>
        <w:t xml:space="preserve">עומד </w:t>
      </w:r>
      <w:bookmarkStart w:id="71577" w:name="_ETM_Q125_779889"/>
      <w:bookmarkEnd w:id="71577"/>
      <w:r>
        <w:rPr>
          <w:rFonts w:hint="cs"/>
          <w:rtl/>
        </w:rPr>
        <w:t xml:space="preserve">בעילת </w:t>
      </w:r>
      <w:bookmarkStart w:id="71578" w:name="_ETM_Q125_780220"/>
      <w:bookmarkEnd w:id="71578"/>
      <w:r>
        <w:rPr>
          <w:rFonts w:hint="cs"/>
          <w:rtl/>
        </w:rPr>
        <w:t xml:space="preserve">הסבירות, למרות שבג"ץ </w:t>
      </w:r>
      <w:bookmarkStart w:id="71579" w:name="_ETM_Q125_785600"/>
      <w:bookmarkEnd w:id="71579"/>
      <w:r>
        <w:rPr>
          <w:rFonts w:hint="cs"/>
          <w:rtl/>
        </w:rPr>
        <w:t xml:space="preserve">אישר את המינוי, על ידי שימוש בעילת הסבירות. </w:t>
      </w:r>
      <w:bookmarkStart w:id="71580" w:name="TOR_Q126"/>
      <w:bookmarkStart w:id="71581" w:name="_ETM_Q126_189900"/>
      <w:bookmarkEnd w:id="71580"/>
      <w:bookmarkEnd w:id="71581"/>
      <w:r>
        <w:rPr>
          <w:rFonts w:hint="cs"/>
          <w:rtl/>
        </w:rPr>
        <w:t xml:space="preserve">אך עכשיו </w:t>
      </w:r>
      <w:bookmarkStart w:id="71582" w:name="_ETM_Q126_190530"/>
      <w:bookmarkEnd w:id="71582"/>
      <w:r>
        <w:rPr>
          <w:rFonts w:hint="cs"/>
          <w:rtl/>
        </w:rPr>
        <w:t xml:space="preserve">אני </w:t>
      </w:r>
      <w:bookmarkStart w:id="71583" w:name="_ETM_Q126_190710"/>
      <w:bookmarkEnd w:id="71583"/>
      <w:r>
        <w:rPr>
          <w:rFonts w:hint="cs"/>
          <w:rtl/>
        </w:rPr>
        <w:t xml:space="preserve">חרד </w:t>
      </w:r>
      <w:bookmarkStart w:id="71584" w:name="_ETM_Q126_191070"/>
      <w:bookmarkEnd w:id="71584"/>
      <w:r>
        <w:rPr>
          <w:rFonts w:hint="cs"/>
          <w:rtl/>
        </w:rPr>
        <w:t xml:space="preserve">יותר </w:t>
      </w:r>
      <w:bookmarkStart w:id="71585" w:name="_ETM_Q126_191820"/>
      <w:bookmarkEnd w:id="71585"/>
      <w:r>
        <w:rPr>
          <w:rFonts w:hint="cs"/>
          <w:rtl/>
        </w:rPr>
        <w:t xml:space="preserve">מהחלטותיו </w:t>
      </w:r>
      <w:bookmarkStart w:id="71586" w:name="_ETM_Q126_192719"/>
      <w:bookmarkEnd w:id="71586"/>
      <w:r>
        <w:rPr>
          <w:rFonts w:hint="cs"/>
          <w:rtl/>
        </w:rPr>
        <w:t xml:space="preserve">הקיצוניות </w:t>
      </w:r>
      <w:bookmarkStart w:id="71587" w:name="_ETM_Q126_194650"/>
      <w:bookmarkEnd w:id="71587"/>
      <w:r>
        <w:rPr>
          <w:rFonts w:hint="cs"/>
          <w:rtl/>
        </w:rPr>
        <w:t xml:space="preserve">שלא </w:t>
      </w:r>
      <w:bookmarkStart w:id="71588" w:name="_ETM_Q126_194920"/>
      <w:bookmarkEnd w:id="71588"/>
      <w:r>
        <w:rPr>
          <w:rFonts w:hint="cs"/>
          <w:rtl/>
        </w:rPr>
        <w:t xml:space="preserve">צריכות </w:t>
      </w:r>
      <w:bookmarkStart w:id="71589" w:name="_ETM_Q126_195340"/>
      <w:bookmarkEnd w:id="71589"/>
      <w:r>
        <w:rPr>
          <w:rFonts w:hint="cs"/>
          <w:rtl/>
        </w:rPr>
        <w:t xml:space="preserve">לעמוד </w:t>
      </w:r>
      <w:bookmarkStart w:id="71590" w:name="_ETM_Q126_196140"/>
      <w:bookmarkEnd w:id="71590"/>
      <w:r>
        <w:rPr>
          <w:rFonts w:hint="cs"/>
          <w:rtl/>
        </w:rPr>
        <w:t xml:space="preserve">במבחן </w:t>
      </w:r>
      <w:bookmarkStart w:id="71591" w:name="_ETM_Q126_197449"/>
      <w:bookmarkEnd w:id="71591"/>
      <w:r>
        <w:rPr>
          <w:rFonts w:hint="cs"/>
          <w:rtl/>
        </w:rPr>
        <w:t xml:space="preserve">הסבירות. </w:t>
      </w:r>
      <w:bookmarkStart w:id="71592" w:name="_ETM_Q126_201420"/>
      <w:bookmarkEnd w:id="71592"/>
      <w:r>
        <w:rPr>
          <w:rFonts w:hint="cs"/>
          <w:rtl/>
        </w:rPr>
        <w:t xml:space="preserve">הוא מנסה </w:t>
      </w:r>
      <w:bookmarkStart w:id="71593" w:name="_ETM_Q126_201900"/>
      <w:bookmarkEnd w:id="71593"/>
      <w:r>
        <w:rPr>
          <w:rFonts w:hint="cs"/>
          <w:rtl/>
        </w:rPr>
        <w:t xml:space="preserve">לקדם </w:t>
      </w:r>
      <w:bookmarkStart w:id="71594" w:name="_ETM_Q126_202320"/>
      <w:bookmarkEnd w:id="71594"/>
      <w:r>
        <w:rPr>
          <w:rFonts w:hint="cs"/>
          <w:rtl/>
        </w:rPr>
        <w:t xml:space="preserve">חקיקה </w:t>
      </w:r>
      <w:bookmarkStart w:id="71595" w:name="_ETM_Q126_203550"/>
      <w:bookmarkEnd w:id="71595"/>
      <w:r>
        <w:rPr>
          <w:rFonts w:hint="cs"/>
          <w:rtl/>
        </w:rPr>
        <w:t xml:space="preserve">מפלה </w:t>
      </w:r>
      <w:bookmarkStart w:id="71596" w:name="_ETM_Q126_204060"/>
      <w:bookmarkEnd w:id="71596"/>
      <w:r>
        <w:rPr>
          <w:rFonts w:hint="cs"/>
          <w:rtl/>
        </w:rPr>
        <w:t xml:space="preserve">בין </w:t>
      </w:r>
      <w:bookmarkStart w:id="71597" w:name="_ETM_Q126_204329"/>
      <w:bookmarkEnd w:id="71597"/>
      <w:r>
        <w:rPr>
          <w:rFonts w:hint="cs"/>
          <w:rtl/>
        </w:rPr>
        <w:t xml:space="preserve">בני אדם </w:t>
      </w:r>
      <w:bookmarkStart w:id="71598" w:name="_ETM_Q126_205949"/>
      <w:bookmarkEnd w:id="71598"/>
      <w:r>
        <w:rPr>
          <w:rFonts w:hint="cs"/>
          <w:rtl/>
        </w:rPr>
        <w:t xml:space="preserve">בהצעתו </w:t>
      </w:r>
      <w:bookmarkStart w:id="71599" w:name="_ETM_Q126_206669"/>
      <w:bookmarkEnd w:id="71599"/>
      <w:r>
        <w:rPr>
          <w:rFonts w:hint="cs"/>
          <w:rtl/>
        </w:rPr>
        <w:t>של</w:t>
      </w:r>
      <w:bookmarkStart w:id="71600" w:name="_ETM_Q126_206880"/>
      <w:bookmarkEnd w:id="71600"/>
      <w:r>
        <w:rPr>
          <w:rFonts w:hint="cs"/>
          <w:rtl/>
        </w:rPr>
        <w:t xml:space="preserve">ערבים </w:t>
      </w:r>
      <w:bookmarkStart w:id="71601" w:name="_ETM_Q126_207390"/>
      <w:bookmarkEnd w:id="71601"/>
      <w:r>
        <w:rPr>
          <w:rFonts w:hint="cs"/>
          <w:rtl/>
        </w:rPr>
        <w:t xml:space="preserve">אסור </w:t>
      </w:r>
      <w:bookmarkStart w:id="71602" w:name="_ETM_Q126_207810"/>
      <w:bookmarkEnd w:id="71602"/>
      <w:r>
        <w:rPr>
          <w:rFonts w:hint="cs"/>
          <w:rtl/>
        </w:rPr>
        <w:t xml:space="preserve">לצאת </w:t>
      </w:r>
      <w:bookmarkStart w:id="71603" w:name="_ETM_Q126_208230"/>
      <w:bookmarkEnd w:id="71603"/>
      <w:r>
        <w:rPr>
          <w:rFonts w:hint="cs"/>
          <w:rtl/>
        </w:rPr>
        <w:t xml:space="preserve">מהארץ </w:t>
      </w:r>
      <w:bookmarkStart w:id="71604" w:name="_ETM_Q126_209470"/>
      <w:bookmarkEnd w:id="71604"/>
      <w:r>
        <w:rPr>
          <w:rFonts w:hint="cs"/>
          <w:rtl/>
        </w:rPr>
        <w:t xml:space="preserve">וליהודים </w:t>
      </w:r>
      <w:bookmarkStart w:id="71605" w:name="_ETM_Q126_210340"/>
      <w:bookmarkEnd w:id="71605"/>
      <w:r>
        <w:rPr>
          <w:rFonts w:hint="cs"/>
          <w:rtl/>
        </w:rPr>
        <w:t xml:space="preserve">מותר. </w:t>
      </w:r>
      <w:bookmarkStart w:id="71606" w:name="_ETM_Q126_211750"/>
      <w:bookmarkEnd w:id="71606"/>
      <w:r>
        <w:rPr>
          <w:rFonts w:hint="cs"/>
          <w:rtl/>
        </w:rPr>
        <w:t xml:space="preserve">בעולם </w:t>
      </w:r>
      <w:bookmarkStart w:id="71607" w:name="_ETM_Q126_212260"/>
      <w:bookmarkEnd w:id="71607"/>
      <w:r>
        <w:rPr>
          <w:rFonts w:hint="cs"/>
          <w:rtl/>
        </w:rPr>
        <w:t xml:space="preserve">המערבי </w:t>
      </w:r>
      <w:bookmarkStart w:id="71608" w:name="_ETM_Q126_213630"/>
      <w:bookmarkEnd w:id="71608"/>
      <w:r>
        <w:rPr>
          <w:rFonts w:hint="cs"/>
          <w:rtl/>
        </w:rPr>
        <w:t xml:space="preserve">קוראים </w:t>
      </w:r>
      <w:bookmarkStart w:id="71609" w:name="_ETM_Q126_214110"/>
      <w:bookmarkEnd w:id="71609"/>
      <w:r>
        <w:rPr>
          <w:rFonts w:hint="cs"/>
          <w:rtl/>
        </w:rPr>
        <w:t xml:space="preserve">לזה </w:t>
      </w:r>
      <w:bookmarkStart w:id="71610" w:name="_ETM_Q126_214680"/>
      <w:bookmarkEnd w:id="71610"/>
      <w:r>
        <w:rPr>
          <w:rFonts w:hint="cs"/>
          <w:rtl/>
        </w:rPr>
        <w:t xml:space="preserve">אפרטהייד. </w:t>
      </w:r>
      <w:bookmarkStart w:id="71611" w:name="_ETM_Q126_216840"/>
      <w:bookmarkEnd w:id="71611"/>
    </w:p>
    <w:p w:rsidR="002F7246" w:rsidRDefault="002F7246" w:rsidP="002F7246">
      <w:pPr>
        <w:rPr>
          <w:rtl/>
        </w:rPr>
      </w:pPr>
    </w:p>
    <w:p w:rsidR="00BB59CD" w:rsidRDefault="00BB59CD" w:rsidP="002F7246">
      <w:pPr>
        <w:rPr>
          <w:rtl/>
        </w:rPr>
      </w:pPr>
      <w:r>
        <w:rPr>
          <w:rFonts w:hint="cs"/>
          <w:rtl/>
        </w:rPr>
        <w:t xml:space="preserve">ביבי, </w:t>
      </w:r>
      <w:bookmarkStart w:id="71612" w:name="_ETM_Q126_217620"/>
      <w:bookmarkEnd w:id="71612"/>
      <w:r>
        <w:rPr>
          <w:rFonts w:hint="cs"/>
          <w:rtl/>
        </w:rPr>
        <w:t xml:space="preserve">ראש הממשלה, </w:t>
      </w:r>
      <w:bookmarkStart w:id="71613" w:name="_ETM_Q126_219149"/>
      <w:bookmarkEnd w:id="71613"/>
      <w:r>
        <w:rPr>
          <w:rFonts w:hint="cs"/>
          <w:rtl/>
        </w:rPr>
        <w:t xml:space="preserve">אני </w:t>
      </w:r>
      <w:bookmarkStart w:id="71614" w:name="_ETM_Q126_219390"/>
      <w:bookmarkEnd w:id="71614"/>
      <w:r>
        <w:rPr>
          <w:rFonts w:hint="cs"/>
          <w:rtl/>
        </w:rPr>
        <w:t xml:space="preserve">מודיע </w:t>
      </w:r>
      <w:bookmarkStart w:id="71615" w:name="_ETM_Q126_219690"/>
      <w:bookmarkEnd w:id="71615"/>
      <w:r>
        <w:rPr>
          <w:rFonts w:hint="cs"/>
          <w:rtl/>
        </w:rPr>
        <w:t xml:space="preserve">לך </w:t>
      </w:r>
      <w:bookmarkStart w:id="71616" w:name="_ETM_Q126_220620"/>
      <w:bookmarkEnd w:id="71616"/>
      <w:r>
        <w:rPr>
          <w:rFonts w:hint="cs"/>
          <w:rtl/>
        </w:rPr>
        <w:t xml:space="preserve">מבמה </w:t>
      </w:r>
      <w:bookmarkStart w:id="71617" w:name="_ETM_Q126_221159"/>
      <w:bookmarkEnd w:id="71617"/>
      <w:r>
        <w:rPr>
          <w:rFonts w:hint="cs"/>
          <w:rtl/>
        </w:rPr>
        <w:t xml:space="preserve">זו, </w:t>
      </w:r>
      <w:bookmarkStart w:id="71618" w:name="_ETM_Q126_222030"/>
      <w:bookmarkEnd w:id="71618"/>
      <w:r>
        <w:rPr>
          <w:rFonts w:hint="cs"/>
          <w:rtl/>
        </w:rPr>
        <w:t xml:space="preserve">נכשלת, </w:t>
      </w:r>
      <w:bookmarkStart w:id="71619" w:name="_ETM_Q126_223079"/>
      <w:bookmarkEnd w:id="71619"/>
      <w:r>
        <w:rPr>
          <w:rFonts w:hint="cs"/>
          <w:rtl/>
        </w:rPr>
        <w:t xml:space="preserve">נכשלת </w:t>
      </w:r>
      <w:bookmarkStart w:id="71620" w:name="_ETM_Q126_224250"/>
      <w:bookmarkEnd w:id="71620"/>
      <w:r>
        <w:rPr>
          <w:rFonts w:hint="cs"/>
          <w:rtl/>
        </w:rPr>
        <w:t xml:space="preserve">בטיפול </w:t>
      </w:r>
      <w:bookmarkStart w:id="71621" w:name="_ETM_Q126_225329"/>
      <w:bookmarkEnd w:id="71621"/>
      <w:r>
        <w:rPr>
          <w:rFonts w:hint="cs"/>
          <w:rtl/>
        </w:rPr>
        <w:t xml:space="preserve">בחברה </w:t>
      </w:r>
      <w:bookmarkStart w:id="71622" w:name="_ETM_Q126_225809"/>
      <w:bookmarkEnd w:id="71622"/>
      <w:r>
        <w:rPr>
          <w:rFonts w:hint="cs"/>
          <w:rtl/>
        </w:rPr>
        <w:t xml:space="preserve">הערבית. </w:t>
      </w:r>
      <w:bookmarkStart w:id="71623" w:name="_ETM_Q126_230489"/>
      <w:bookmarkStart w:id="71624" w:name="_ETM_Q126_233911"/>
      <w:bookmarkStart w:id="71625" w:name="_ETM_Q126_233962"/>
      <w:bookmarkStart w:id="71626" w:name="_ETM_Q126_234054"/>
      <w:bookmarkStart w:id="71627" w:name="_ETM_Q126_234094"/>
      <w:bookmarkEnd w:id="71623"/>
      <w:bookmarkEnd w:id="71624"/>
      <w:bookmarkEnd w:id="71625"/>
      <w:bookmarkEnd w:id="71626"/>
      <w:bookmarkEnd w:id="71627"/>
      <w:r>
        <w:rPr>
          <w:rFonts w:hint="cs"/>
          <w:rtl/>
        </w:rPr>
        <w:t xml:space="preserve">בסוף </w:t>
      </w:r>
      <w:bookmarkStart w:id="71628" w:name="_ETM_Q126_230969"/>
      <w:bookmarkEnd w:id="71628"/>
      <w:r>
        <w:rPr>
          <w:rFonts w:hint="cs"/>
          <w:rtl/>
        </w:rPr>
        <w:t xml:space="preserve">השבוע </w:t>
      </w:r>
      <w:bookmarkStart w:id="71629" w:name="_ETM_Q126_231449"/>
      <w:bookmarkEnd w:id="71629"/>
      <w:r>
        <w:rPr>
          <w:rFonts w:hint="cs"/>
          <w:rtl/>
        </w:rPr>
        <w:t xml:space="preserve">האחרון </w:t>
      </w:r>
      <w:bookmarkStart w:id="71630" w:name="_ETM_Q126_232680"/>
      <w:bookmarkEnd w:id="71630"/>
      <w:r>
        <w:rPr>
          <w:rFonts w:hint="cs"/>
          <w:rtl/>
        </w:rPr>
        <w:t xml:space="preserve">אירעו </w:t>
      </w:r>
      <w:bookmarkStart w:id="71631" w:name="_ETM_Q126_233039"/>
      <w:bookmarkEnd w:id="71631"/>
      <w:r>
        <w:rPr>
          <w:rFonts w:hint="cs"/>
          <w:rtl/>
        </w:rPr>
        <w:t xml:space="preserve">פיגועים, </w:t>
      </w:r>
      <w:bookmarkStart w:id="71632" w:name="_ETM_Q126_234059"/>
      <w:bookmarkEnd w:id="71632"/>
      <w:r>
        <w:rPr>
          <w:rFonts w:hint="cs"/>
          <w:rtl/>
        </w:rPr>
        <w:t xml:space="preserve">שגבו </w:t>
      </w:r>
      <w:bookmarkStart w:id="71633" w:name="_ETM_Q126_234540"/>
      <w:bookmarkEnd w:id="71633"/>
      <w:r>
        <w:rPr>
          <w:rFonts w:hint="cs"/>
          <w:rtl/>
        </w:rPr>
        <w:t xml:space="preserve">חיי </w:t>
      </w:r>
      <w:bookmarkStart w:id="71634" w:name="_ETM_Q126_234839"/>
      <w:bookmarkStart w:id="71635" w:name="_ETM_Q126_235620"/>
      <w:bookmarkEnd w:id="71634"/>
      <w:bookmarkEnd w:id="71635"/>
      <w:r>
        <w:rPr>
          <w:rFonts w:hint="cs"/>
          <w:rtl/>
        </w:rPr>
        <w:t xml:space="preserve">שבעה אנשים </w:t>
      </w:r>
      <w:bookmarkStart w:id="71636" w:name="_ETM_Q126_236070"/>
      <w:bookmarkEnd w:id="71636"/>
      <w:r>
        <w:rPr>
          <w:rFonts w:hint="cs"/>
          <w:rtl/>
        </w:rPr>
        <w:t xml:space="preserve">מהחברה </w:t>
      </w:r>
      <w:bookmarkStart w:id="71637" w:name="_ETM_Q126_236489"/>
      <w:bookmarkEnd w:id="71637"/>
      <w:r>
        <w:rPr>
          <w:rFonts w:hint="cs"/>
          <w:rtl/>
        </w:rPr>
        <w:t xml:space="preserve">הערבית. </w:t>
      </w:r>
      <w:bookmarkStart w:id="71638" w:name="_ETM_Q126_238380"/>
      <w:bookmarkEnd w:id="71638"/>
      <w:r>
        <w:rPr>
          <w:rFonts w:hint="cs"/>
          <w:rtl/>
        </w:rPr>
        <w:t xml:space="preserve">היום </w:t>
      </w:r>
      <w:bookmarkStart w:id="71639" w:name="_ETM_Q126_240059"/>
      <w:bookmarkEnd w:id="71639"/>
      <w:r>
        <w:rPr>
          <w:rFonts w:hint="cs"/>
          <w:rtl/>
        </w:rPr>
        <w:t xml:space="preserve">אנו </w:t>
      </w:r>
      <w:bookmarkStart w:id="71640" w:name="_ETM_Q126_240239"/>
      <w:bookmarkEnd w:id="71640"/>
      <w:r>
        <w:rPr>
          <w:rFonts w:hint="cs"/>
          <w:rtl/>
        </w:rPr>
        <w:t xml:space="preserve">סופרים </w:t>
      </w:r>
      <w:bookmarkStart w:id="71641" w:name="_ETM_Q126_240809"/>
      <w:bookmarkEnd w:id="71641"/>
      <w:r>
        <w:rPr>
          <w:rFonts w:hint="cs"/>
          <w:rtl/>
        </w:rPr>
        <w:t xml:space="preserve">את </w:t>
      </w:r>
      <w:bookmarkStart w:id="71642" w:name="_ETM_Q126_240959"/>
      <w:bookmarkEnd w:id="71642"/>
      <w:r>
        <w:rPr>
          <w:rFonts w:hint="cs"/>
          <w:rtl/>
        </w:rPr>
        <w:t xml:space="preserve">הנרצח </w:t>
      </w:r>
      <w:bookmarkStart w:id="71643" w:name="_ETM_Q126_241409"/>
      <w:bookmarkEnd w:id="71643"/>
      <w:r>
        <w:rPr>
          <w:rFonts w:hint="cs"/>
          <w:rtl/>
        </w:rPr>
        <w:t xml:space="preserve">ה-129 </w:t>
      </w:r>
      <w:bookmarkStart w:id="71644" w:name="_ETM_Q126_243059"/>
      <w:bookmarkEnd w:id="71644"/>
      <w:r>
        <w:rPr>
          <w:rFonts w:hint="cs"/>
          <w:rtl/>
        </w:rPr>
        <w:t xml:space="preserve">שלנו. </w:t>
      </w:r>
      <w:bookmarkStart w:id="71645" w:name="_ETM_Q126_244520"/>
      <w:bookmarkEnd w:id="71645"/>
      <w:r>
        <w:rPr>
          <w:rFonts w:hint="cs"/>
          <w:rtl/>
        </w:rPr>
        <w:t xml:space="preserve">על </w:t>
      </w:r>
      <w:bookmarkStart w:id="71646" w:name="_ETM_Q126_244700"/>
      <w:bookmarkEnd w:id="71646"/>
      <w:r>
        <w:rPr>
          <w:rFonts w:hint="cs"/>
          <w:rtl/>
        </w:rPr>
        <w:t xml:space="preserve">פי </w:t>
      </w:r>
      <w:bookmarkStart w:id="71647" w:name="_ETM_Q126_244819"/>
      <w:bookmarkEnd w:id="71647"/>
      <w:r>
        <w:rPr>
          <w:rFonts w:hint="cs"/>
          <w:rtl/>
        </w:rPr>
        <w:t xml:space="preserve">סיכום </w:t>
      </w:r>
      <w:bookmarkStart w:id="71648" w:name="_ETM_Q126_245209"/>
      <w:bookmarkEnd w:id="71648"/>
      <w:r>
        <w:rPr>
          <w:rFonts w:hint="cs"/>
          <w:rtl/>
        </w:rPr>
        <w:t xml:space="preserve">של </w:t>
      </w:r>
      <w:bookmarkStart w:id="71649" w:name="_ETM_Q126_245390"/>
      <w:bookmarkEnd w:id="71649"/>
      <w:r>
        <w:rPr>
          <w:rFonts w:hint="cs"/>
          <w:rtl/>
        </w:rPr>
        <w:t xml:space="preserve">200 </w:t>
      </w:r>
      <w:bookmarkStart w:id="71650" w:name="_ETM_Q126_245840"/>
      <w:bookmarkEnd w:id="71650"/>
      <w:r>
        <w:rPr>
          <w:rFonts w:hint="cs"/>
          <w:rtl/>
        </w:rPr>
        <w:t xml:space="preserve">ימים </w:t>
      </w:r>
      <w:bookmarkStart w:id="71651" w:name="_ETM_Q126_246750"/>
      <w:bookmarkEnd w:id="71651"/>
      <w:r>
        <w:rPr>
          <w:rFonts w:hint="cs"/>
          <w:rtl/>
        </w:rPr>
        <w:t xml:space="preserve">מתחילת </w:t>
      </w:r>
      <w:bookmarkStart w:id="71652" w:name="_ETM_Q126_247380"/>
      <w:bookmarkEnd w:id="71652"/>
      <w:r>
        <w:rPr>
          <w:rFonts w:hint="cs"/>
          <w:rtl/>
        </w:rPr>
        <w:t xml:space="preserve">השנה – </w:t>
      </w:r>
      <w:bookmarkStart w:id="71653" w:name="_ETM_Q126_248840"/>
      <w:bookmarkEnd w:id="71653"/>
      <w:r>
        <w:rPr>
          <w:rFonts w:hint="cs"/>
          <w:rtl/>
        </w:rPr>
        <w:t xml:space="preserve">של </w:t>
      </w:r>
      <w:bookmarkStart w:id="71654" w:name="_ETM_Q126_249109"/>
      <w:bookmarkEnd w:id="71654"/>
      <w:r>
        <w:rPr>
          <w:rFonts w:hint="cs"/>
          <w:rtl/>
        </w:rPr>
        <w:t xml:space="preserve">מרכז </w:t>
      </w:r>
      <w:bookmarkStart w:id="71655" w:name="_ETM_Q126_249590"/>
      <w:bookmarkEnd w:id="71655"/>
      <w:r>
        <w:rPr>
          <w:rFonts w:hint="cs"/>
          <w:rtl/>
        </w:rPr>
        <w:t xml:space="preserve">אמאן </w:t>
      </w:r>
      <w:bookmarkStart w:id="71656" w:name="_ETM_Q126_250080"/>
      <w:bookmarkEnd w:id="71656"/>
      <w:r>
        <w:rPr>
          <w:rFonts w:hint="cs"/>
          <w:rtl/>
        </w:rPr>
        <w:t xml:space="preserve">לחברה </w:t>
      </w:r>
      <w:bookmarkStart w:id="71657" w:name="_ETM_Q126_250680"/>
      <w:bookmarkEnd w:id="71657"/>
      <w:r>
        <w:rPr>
          <w:rFonts w:hint="cs"/>
          <w:rtl/>
        </w:rPr>
        <w:t xml:space="preserve">בטוחה – </w:t>
      </w:r>
      <w:bookmarkStart w:id="71658" w:name="_ETM_Q126_253330"/>
      <w:bookmarkEnd w:id="71658"/>
      <w:r>
        <w:rPr>
          <w:rFonts w:hint="cs"/>
          <w:rtl/>
        </w:rPr>
        <w:t xml:space="preserve">יש </w:t>
      </w:r>
      <w:bookmarkStart w:id="71659" w:name="_ETM_Q126_253600"/>
      <w:bookmarkEnd w:id="71659"/>
      <w:r>
        <w:rPr>
          <w:rFonts w:hint="cs"/>
          <w:rtl/>
        </w:rPr>
        <w:t xml:space="preserve">לנו </w:t>
      </w:r>
      <w:bookmarkStart w:id="71660" w:name="_ETM_Q126_253840"/>
      <w:bookmarkStart w:id="71661" w:name="_ETM_Q126_254620"/>
      <w:bookmarkStart w:id="71662" w:name="_ETM_Q126_254920"/>
      <w:bookmarkStart w:id="71663" w:name="_ETM_Q126_255159"/>
      <w:bookmarkStart w:id="71664" w:name="_ETM_Q126_255459"/>
      <w:bookmarkStart w:id="71665" w:name="_ETM_Q126_255700"/>
      <w:bookmarkEnd w:id="71660"/>
      <w:bookmarkEnd w:id="71661"/>
      <w:bookmarkEnd w:id="71662"/>
      <w:bookmarkEnd w:id="71663"/>
      <w:bookmarkEnd w:id="71664"/>
      <w:bookmarkEnd w:id="71665"/>
      <w:r>
        <w:rPr>
          <w:rFonts w:hint="cs"/>
          <w:rtl/>
        </w:rPr>
        <w:t xml:space="preserve">129 פיגועים </w:t>
      </w:r>
      <w:bookmarkStart w:id="71666" w:name="_ETM_Q126_256579"/>
      <w:bookmarkEnd w:id="71666"/>
      <w:r>
        <w:rPr>
          <w:rFonts w:hint="cs"/>
          <w:rtl/>
        </w:rPr>
        <w:t xml:space="preserve">תחת </w:t>
      </w:r>
      <w:bookmarkStart w:id="71667" w:name="_ETM_Q126_257060"/>
      <w:bookmarkEnd w:id="71667"/>
      <w:r>
        <w:rPr>
          <w:rFonts w:hint="cs"/>
          <w:rtl/>
        </w:rPr>
        <w:t xml:space="preserve">אחריות </w:t>
      </w:r>
      <w:bookmarkStart w:id="71668" w:name="_ETM_Q126_257630"/>
      <w:bookmarkEnd w:id="71668"/>
      <w:r>
        <w:rPr>
          <w:rFonts w:hint="cs"/>
          <w:rtl/>
        </w:rPr>
        <w:t xml:space="preserve">ראש </w:t>
      </w:r>
      <w:bookmarkStart w:id="71669" w:name="_ETM_Q126_257869"/>
      <w:bookmarkEnd w:id="71669"/>
      <w:r>
        <w:rPr>
          <w:rFonts w:hint="cs"/>
          <w:rtl/>
        </w:rPr>
        <w:t xml:space="preserve">הממשלה </w:t>
      </w:r>
      <w:bookmarkStart w:id="71670" w:name="_ETM_Q126_258319"/>
      <w:bookmarkEnd w:id="71670"/>
      <w:r>
        <w:rPr>
          <w:rFonts w:hint="cs"/>
          <w:rtl/>
        </w:rPr>
        <w:t xml:space="preserve">בנימין </w:t>
      </w:r>
      <w:bookmarkStart w:id="71671" w:name="_ETM_Q126_258860"/>
      <w:bookmarkEnd w:id="71671"/>
      <w:r>
        <w:rPr>
          <w:rFonts w:hint="cs"/>
          <w:rtl/>
        </w:rPr>
        <w:t xml:space="preserve">נתניהו </w:t>
      </w:r>
      <w:bookmarkStart w:id="71672" w:name="_ETM_Q126_260310"/>
      <w:bookmarkEnd w:id="71672"/>
      <w:r>
        <w:rPr>
          <w:rFonts w:hint="cs"/>
          <w:rtl/>
        </w:rPr>
        <w:t>ו</w:t>
      </w:r>
      <w:bookmarkStart w:id="71673" w:name="_ETM_Q126_260819"/>
      <w:bookmarkEnd w:id="71673"/>
      <w:r>
        <w:rPr>
          <w:rFonts w:hint="cs"/>
          <w:rtl/>
        </w:rPr>
        <w:t xml:space="preserve">השר הגזען </w:t>
      </w:r>
      <w:bookmarkStart w:id="71674" w:name="_ETM_Q126_262109"/>
      <w:bookmarkEnd w:id="71674"/>
      <w:r>
        <w:rPr>
          <w:rFonts w:hint="cs"/>
          <w:rtl/>
        </w:rPr>
        <w:t xml:space="preserve">בן </w:t>
      </w:r>
      <w:bookmarkStart w:id="71675" w:name="_ETM_Q126_262319"/>
      <w:bookmarkEnd w:id="71675"/>
      <w:r>
        <w:rPr>
          <w:rFonts w:hint="cs"/>
          <w:rtl/>
        </w:rPr>
        <w:t xml:space="preserve">גביר, </w:t>
      </w:r>
      <w:bookmarkStart w:id="71676" w:name="_ETM_Q126_263329"/>
      <w:bookmarkEnd w:id="71676"/>
      <w:r>
        <w:rPr>
          <w:rFonts w:hint="cs"/>
          <w:rtl/>
        </w:rPr>
        <w:t xml:space="preserve">לעומת </w:t>
      </w:r>
      <w:bookmarkStart w:id="71677" w:name="_ETM_Q126_264319"/>
      <w:bookmarkEnd w:id="71677"/>
      <w:r>
        <w:rPr>
          <w:rFonts w:hint="cs"/>
          <w:rtl/>
        </w:rPr>
        <w:t xml:space="preserve">54 </w:t>
      </w:r>
      <w:bookmarkStart w:id="71678" w:name="_ETM_Q126_265189"/>
      <w:bookmarkStart w:id="71679" w:name="_ETM_Q126_266030"/>
      <w:bookmarkEnd w:id="71678"/>
      <w:bookmarkEnd w:id="71679"/>
      <w:r>
        <w:rPr>
          <w:rFonts w:hint="cs"/>
          <w:rtl/>
        </w:rPr>
        <w:t xml:space="preserve">נרצחים בשנה </w:t>
      </w:r>
      <w:bookmarkStart w:id="71680" w:name="_ETM_Q126_266509"/>
      <w:bookmarkEnd w:id="71680"/>
      <w:r>
        <w:rPr>
          <w:rFonts w:hint="cs"/>
          <w:rtl/>
        </w:rPr>
        <w:t xml:space="preserve">שעברה. </w:t>
      </w:r>
      <w:bookmarkStart w:id="71681" w:name="_ETM_Q126_267709"/>
      <w:bookmarkEnd w:id="71681"/>
      <w:r>
        <w:rPr>
          <w:rFonts w:hint="cs"/>
          <w:rtl/>
        </w:rPr>
        <w:t xml:space="preserve">זו עלייה </w:t>
      </w:r>
      <w:bookmarkStart w:id="71682" w:name="_ETM_Q126_268039"/>
      <w:bookmarkEnd w:id="71682"/>
      <w:r>
        <w:rPr>
          <w:rFonts w:hint="cs"/>
          <w:rtl/>
        </w:rPr>
        <w:t>פי</w:t>
      </w:r>
      <w:bookmarkStart w:id="71683" w:name="_ETM_Q126_268219"/>
      <w:bookmarkEnd w:id="71683"/>
      <w:r w:rsidR="002F7246">
        <w:rPr>
          <w:rFonts w:hint="cs"/>
          <w:rtl/>
        </w:rPr>
        <w:t xml:space="preserve"> שניים וחצי</w:t>
      </w:r>
      <w:r>
        <w:rPr>
          <w:rFonts w:hint="cs"/>
          <w:rtl/>
        </w:rPr>
        <w:t xml:space="preserve"> </w:t>
      </w:r>
      <w:bookmarkStart w:id="71684" w:name="_ETM_Q126_269520"/>
      <w:bookmarkEnd w:id="71684"/>
      <w:r>
        <w:rPr>
          <w:rFonts w:hint="cs"/>
          <w:rtl/>
        </w:rPr>
        <w:t xml:space="preserve">במספר </w:t>
      </w:r>
      <w:bookmarkStart w:id="71685" w:name="_ETM_Q126_270060"/>
      <w:bookmarkEnd w:id="71685"/>
      <w:r>
        <w:rPr>
          <w:rFonts w:hint="cs"/>
          <w:rtl/>
        </w:rPr>
        <w:t xml:space="preserve">הקורבנות. </w:t>
      </w:r>
      <w:bookmarkStart w:id="71686" w:name="_ETM_Q126_272399"/>
      <w:bookmarkStart w:id="71687" w:name="_ETM_Q126_272245"/>
      <w:bookmarkStart w:id="71688" w:name="_ETM_Q126_272348"/>
      <w:bookmarkStart w:id="71689" w:name="_ETM_Q126_272374"/>
      <w:bookmarkStart w:id="71690" w:name="_ETM_Q126_272417"/>
      <w:bookmarkEnd w:id="71686"/>
      <w:bookmarkEnd w:id="71687"/>
      <w:bookmarkEnd w:id="71688"/>
      <w:bookmarkEnd w:id="71689"/>
      <w:bookmarkEnd w:id="71690"/>
      <w:r>
        <w:rPr>
          <w:rFonts w:hint="cs"/>
          <w:rtl/>
        </w:rPr>
        <w:t xml:space="preserve">כיום </w:t>
      </w:r>
      <w:bookmarkStart w:id="71691" w:name="_ETM_Q126_272759"/>
      <w:bookmarkEnd w:id="71691"/>
      <w:r>
        <w:rPr>
          <w:rFonts w:hint="cs"/>
          <w:rtl/>
        </w:rPr>
        <w:t xml:space="preserve">יש </w:t>
      </w:r>
      <w:bookmarkStart w:id="71692" w:name="_ETM_Q126_272939"/>
      <w:bookmarkEnd w:id="71692"/>
      <w:r>
        <w:rPr>
          <w:rFonts w:hint="cs"/>
          <w:rtl/>
        </w:rPr>
        <w:t xml:space="preserve">בחברה </w:t>
      </w:r>
      <w:bookmarkStart w:id="71693" w:name="_ETM_Q126_273359"/>
      <w:bookmarkEnd w:id="71693"/>
      <w:r>
        <w:rPr>
          <w:rFonts w:hint="cs"/>
          <w:rtl/>
        </w:rPr>
        <w:t xml:space="preserve">הערבית </w:t>
      </w:r>
      <w:bookmarkStart w:id="71694" w:name="_ETM_Q126_273749"/>
      <w:bookmarkEnd w:id="71694"/>
      <w:r>
        <w:rPr>
          <w:rFonts w:hint="cs"/>
          <w:rtl/>
        </w:rPr>
        <w:t xml:space="preserve">כ-500 </w:t>
      </w:r>
      <w:bookmarkStart w:id="71695" w:name="_ETM_Q126_274439"/>
      <w:bookmarkEnd w:id="71695"/>
      <w:r>
        <w:rPr>
          <w:rFonts w:hint="cs"/>
          <w:rtl/>
        </w:rPr>
        <w:t xml:space="preserve">פצועים, </w:t>
      </w:r>
      <w:bookmarkStart w:id="71696" w:name="_ETM_Q126_275720"/>
      <w:bookmarkEnd w:id="71696"/>
      <w:r>
        <w:rPr>
          <w:rFonts w:hint="cs"/>
          <w:rtl/>
        </w:rPr>
        <w:t xml:space="preserve">והשנה </w:t>
      </w:r>
      <w:bookmarkStart w:id="71697" w:name="_ETM_Q126_276890"/>
      <w:bookmarkEnd w:id="71697"/>
      <w:r>
        <w:rPr>
          <w:rFonts w:hint="cs"/>
          <w:rtl/>
        </w:rPr>
        <w:t xml:space="preserve">הייתה </w:t>
      </w:r>
      <w:bookmarkStart w:id="71698" w:name="_ETM_Q126_277340"/>
      <w:bookmarkEnd w:id="71698"/>
      <w:r>
        <w:rPr>
          <w:rFonts w:hint="cs"/>
          <w:rtl/>
        </w:rPr>
        <w:t xml:space="preserve">עלייה </w:t>
      </w:r>
      <w:bookmarkStart w:id="71699" w:name="_ETM_Q126_277610"/>
      <w:bookmarkEnd w:id="71699"/>
      <w:r>
        <w:rPr>
          <w:rFonts w:hint="cs"/>
          <w:rtl/>
        </w:rPr>
        <w:t>של פי</w:t>
      </w:r>
      <w:bookmarkStart w:id="71700" w:name="_ETM_Q126_277790"/>
      <w:bookmarkStart w:id="71701" w:name="_ETM_Q126_278600"/>
      <w:bookmarkEnd w:id="71700"/>
      <w:bookmarkEnd w:id="71701"/>
      <w:r w:rsidR="002F7246">
        <w:rPr>
          <w:rFonts w:hint="cs"/>
          <w:rtl/>
        </w:rPr>
        <w:t xml:space="preserve"> </w:t>
      </w:r>
      <w:r>
        <w:rPr>
          <w:rFonts w:hint="cs"/>
          <w:rtl/>
        </w:rPr>
        <w:t xml:space="preserve">ארבעה </w:t>
      </w:r>
      <w:bookmarkStart w:id="71702" w:name="_ETM_Q126_278990"/>
      <w:bookmarkEnd w:id="71702"/>
      <w:r>
        <w:rPr>
          <w:rFonts w:hint="cs"/>
          <w:rtl/>
        </w:rPr>
        <w:t xml:space="preserve">במספר </w:t>
      </w:r>
      <w:bookmarkStart w:id="71703" w:name="_ETM_Q126_279050"/>
      <w:bookmarkEnd w:id="71703"/>
      <w:r>
        <w:rPr>
          <w:rFonts w:hint="cs"/>
          <w:rtl/>
        </w:rPr>
        <w:t xml:space="preserve">הפצועים, </w:t>
      </w:r>
      <w:bookmarkStart w:id="71704" w:name="_ETM_Q126_280010"/>
      <w:bookmarkEnd w:id="71704"/>
      <w:r>
        <w:rPr>
          <w:rFonts w:hint="cs"/>
          <w:rtl/>
        </w:rPr>
        <w:t xml:space="preserve">על </w:t>
      </w:r>
      <w:bookmarkStart w:id="71705" w:name="_ETM_Q126_280190"/>
      <w:bookmarkEnd w:id="71705"/>
      <w:r>
        <w:rPr>
          <w:rFonts w:hint="cs"/>
          <w:rtl/>
        </w:rPr>
        <w:t xml:space="preserve">פי </w:t>
      </w:r>
      <w:bookmarkStart w:id="71706" w:name="_ETM_Q126_280340"/>
      <w:bookmarkEnd w:id="71706"/>
      <w:r>
        <w:rPr>
          <w:rFonts w:hint="cs"/>
          <w:rtl/>
        </w:rPr>
        <w:t xml:space="preserve">הנתונים </w:t>
      </w:r>
      <w:bookmarkStart w:id="71707" w:name="_ETM_Q126_281150"/>
      <w:bookmarkEnd w:id="71707"/>
      <w:r>
        <w:rPr>
          <w:rFonts w:hint="cs"/>
          <w:rtl/>
        </w:rPr>
        <w:t xml:space="preserve">של </w:t>
      </w:r>
      <w:bookmarkStart w:id="71708" w:name="_ETM_Q126_281390"/>
      <w:bookmarkEnd w:id="71708"/>
      <w:r>
        <w:rPr>
          <w:rFonts w:hint="cs"/>
          <w:rtl/>
        </w:rPr>
        <w:t xml:space="preserve">מרכז </w:t>
      </w:r>
      <w:bookmarkStart w:id="71709" w:name="_ETM_Q126_282110"/>
      <w:bookmarkEnd w:id="71709"/>
      <w:r>
        <w:rPr>
          <w:rFonts w:hint="cs"/>
          <w:rtl/>
        </w:rPr>
        <w:t xml:space="preserve">אמאן </w:t>
      </w:r>
      <w:bookmarkStart w:id="71710" w:name="_ETM_Q126_282950"/>
      <w:bookmarkEnd w:id="71710"/>
      <w:r>
        <w:rPr>
          <w:rFonts w:hint="cs"/>
          <w:rtl/>
        </w:rPr>
        <w:t xml:space="preserve">לחברה </w:t>
      </w:r>
      <w:bookmarkStart w:id="71711" w:name="_ETM_Q126_283400"/>
      <w:bookmarkEnd w:id="71711"/>
      <w:r>
        <w:rPr>
          <w:rFonts w:hint="cs"/>
          <w:rtl/>
        </w:rPr>
        <w:t xml:space="preserve">בטוחה; </w:t>
      </w:r>
      <w:bookmarkStart w:id="71712" w:name="_ETM_Q126_285319"/>
      <w:bookmarkEnd w:id="71712"/>
      <w:r>
        <w:rPr>
          <w:rFonts w:hint="cs"/>
          <w:rtl/>
        </w:rPr>
        <w:t xml:space="preserve">אלפי </w:t>
      </w:r>
      <w:bookmarkStart w:id="71713" w:name="_ETM_Q126_285680"/>
      <w:bookmarkEnd w:id="71713"/>
      <w:r>
        <w:rPr>
          <w:rFonts w:hint="cs"/>
          <w:rtl/>
        </w:rPr>
        <w:t xml:space="preserve">נפגעי </w:t>
      </w:r>
      <w:bookmarkStart w:id="71714" w:name="_ETM_Q126_286069"/>
      <w:bookmarkEnd w:id="71714"/>
      <w:r>
        <w:rPr>
          <w:rFonts w:hint="cs"/>
          <w:rtl/>
        </w:rPr>
        <w:t xml:space="preserve">נפש, </w:t>
      </w:r>
      <w:bookmarkStart w:id="71715" w:name="_ETM_Q126_287630"/>
      <w:bookmarkEnd w:id="71715"/>
      <w:r>
        <w:rPr>
          <w:rFonts w:hint="cs"/>
          <w:rtl/>
        </w:rPr>
        <w:t xml:space="preserve">מאות </w:t>
      </w:r>
      <w:bookmarkStart w:id="71716" w:name="_ETM_Q126_288619"/>
      <w:bookmarkEnd w:id="71716"/>
      <w:r>
        <w:rPr>
          <w:rFonts w:hint="cs"/>
          <w:rtl/>
        </w:rPr>
        <w:t xml:space="preserve">יתומות </w:t>
      </w:r>
      <w:bookmarkStart w:id="71717" w:name="_ETM_Q126_289219"/>
      <w:bookmarkEnd w:id="71717"/>
      <w:r>
        <w:rPr>
          <w:rFonts w:hint="cs"/>
          <w:rtl/>
        </w:rPr>
        <w:t xml:space="preserve">ויתומים; </w:t>
      </w:r>
      <w:bookmarkStart w:id="71718" w:name="_ETM_Q126_291130"/>
      <w:bookmarkEnd w:id="71718"/>
      <w:r>
        <w:rPr>
          <w:rFonts w:hint="cs"/>
          <w:rtl/>
        </w:rPr>
        <w:t xml:space="preserve">עשרות </w:t>
      </w:r>
      <w:bookmarkStart w:id="71719" w:name="_ETM_Q126_291760"/>
      <w:bookmarkEnd w:id="71719"/>
      <w:r>
        <w:rPr>
          <w:rFonts w:hint="cs"/>
          <w:rtl/>
        </w:rPr>
        <w:t>אלמנות</w:t>
      </w:r>
      <w:r w:rsidR="002F7246">
        <w:rPr>
          <w:rFonts w:hint="cs"/>
          <w:rtl/>
        </w:rPr>
        <w:t>.</w:t>
      </w:r>
      <w:r>
        <w:rPr>
          <w:rFonts w:hint="cs"/>
          <w:rtl/>
        </w:rPr>
        <w:t xml:space="preserve"> </w:t>
      </w:r>
      <w:bookmarkStart w:id="71720" w:name="_ETM_Q126_294049"/>
      <w:bookmarkEnd w:id="71720"/>
      <w:r>
        <w:rPr>
          <w:rFonts w:hint="cs"/>
          <w:rtl/>
        </w:rPr>
        <w:t xml:space="preserve">והגרוע </w:t>
      </w:r>
      <w:bookmarkStart w:id="71721" w:name="_ETM_Q126_294740"/>
      <w:bookmarkEnd w:id="71721"/>
      <w:r>
        <w:rPr>
          <w:rFonts w:hint="cs"/>
          <w:rtl/>
        </w:rPr>
        <w:t>מכ</w:t>
      </w:r>
      <w:r w:rsidR="002F7246">
        <w:rPr>
          <w:rFonts w:hint="cs"/>
          <w:rtl/>
        </w:rPr>
        <w:t>ו</w:t>
      </w:r>
      <w:r>
        <w:rPr>
          <w:rFonts w:hint="cs"/>
          <w:rtl/>
        </w:rPr>
        <w:t xml:space="preserve">ל הוא </w:t>
      </w:r>
      <w:bookmarkStart w:id="71722" w:name="_ETM_Q126_295520"/>
      <w:bookmarkEnd w:id="71722"/>
      <w:r>
        <w:rPr>
          <w:rFonts w:hint="cs"/>
          <w:rtl/>
        </w:rPr>
        <w:t xml:space="preserve">שישנה </w:t>
      </w:r>
      <w:bookmarkStart w:id="71723" w:name="_ETM_Q126_296060"/>
      <w:bookmarkEnd w:id="71723"/>
      <w:r>
        <w:rPr>
          <w:rFonts w:hint="cs"/>
          <w:rtl/>
        </w:rPr>
        <w:t xml:space="preserve">חברה </w:t>
      </w:r>
      <w:bookmarkStart w:id="71724" w:name="_ETM_Q126_296479"/>
      <w:bookmarkEnd w:id="71724"/>
      <w:r>
        <w:rPr>
          <w:rFonts w:hint="cs"/>
          <w:rtl/>
        </w:rPr>
        <w:t xml:space="preserve">שלמה, </w:t>
      </w:r>
      <w:bookmarkStart w:id="71725" w:name="_ETM_Q126_297630"/>
      <w:bookmarkEnd w:id="71725"/>
      <w:r>
        <w:rPr>
          <w:rFonts w:hint="cs"/>
          <w:rtl/>
        </w:rPr>
        <w:t xml:space="preserve">המונה </w:t>
      </w:r>
      <w:bookmarkStart w:id="71726" w:name="_ETM_Q126_298139"/>
      <w:bookmarkEnd w:id="71726"/>
      <w:r>
        <w:rPr>
          <w:rFonts w:hint="cs"/>
          <w:rtl/>
        </w:rPr>
        <w:t xml:space="preserve">מעל </w:t>
      </w:r>
      <w:bookmarkStart w:id="71727" w:name="_ETM_Q126_298560"/>
      <w:bookmarkStart w:id="71728" w:name="_ETM_Q126_298829"/>
      <w:bookmarkStart w:id="71729" w:name="_ETM_Q126_300610"/>
      <w:bookmarkEnd w:id="71727"/>
      <w:bookmarkEnd w:id="71728"/>
      <w:bookmarkEnd w:id="71729"/>
      <w:r w:rsidR="002F7246">
        <w:rPr>
          <w:rFonts w:hint="cs"/>
          <w:rtl/>
        </w:rPr>
        <w:t xml:space="preserve">שני </w:t>
      </w:r>
      <w:r>
        <w:rPr>
          <w:rFonts w:hint="cs"/>
          <w:rtl/>
        </w:rPr>
        <w:t xml:space="preserve">מיליון איש, </w:t>
      </w:r>
      <w:bookmarkStart w:id="71730" w:name="_ETM_Q126_301090"/>
      <w:bookmarkEnd w:id="71730"/>
      <w:r>
        <w:rPr>
          <w:rFonts w:hint="cs"/>
          <w:rtl/>
        </w:rPr>
        <w:t xml:space="preserve">שנמצאת </w:t>
      </w:r>
      <w:bookmarkStart w:id="71731" w:name="_ETM_Q126_301600"/>
      <w:bookmarkEnd w:id="71731"/>
      <w:r>
        <w:rPr>
          <w:rFonts w:hint="cs"/>
          <w:rtl/>
        </w:rPr>
        <w:t xml:space="preserve">בחרדה </w:t>
      </w:r>
      <w:bookmarkStart w:id="71732" w:name="_ETM_Q126_303020"/>
      <w:bookmarkEnd w:id="71732"/>
      <w:r>
        <w:rPr>
          <w:rFonts w:hint="cs"/>
          <w:rtl/>
        </w:rPr>
        <w:t>יום</w:t>
      </w:r>
      <w:bookmarkStart w:id="71733" w:name="_ETM_Q126_303649"/>
      <w:bookmarkEnd w:id="71733"/>
      <w:r>
        <w:rPr>
          <w:rFonts w:hint="cs"/>
          <w:rtl/>
        </w:rPr>
        <w:t xml:space="preserve">-יומית. </w:t>
      </w:r>
      <w:bookmarkStart w:id="71734" w:name="_ETM_Q126_306179"/>
      <w:bookmarkStart w:id="71735" w:name="_ETM_Q126_307277"/>
      <w:bookmarkStart w:id="71736" w:name="_ETM_Q126_307335"/>
      <w:bookmarkStart w:id="71737" w:name="_ETM_Q126_307139"/>
      <w:bookmarkEnd w:id="71734"/>
      <w:bookmarkEnd w:id="71735"/>
      <w:bookmarkEnd w:id="71736"/>
      <w:bookmarkEnd w:id="71737"/>
      <w:r w:rsidR="002F7246">
        <w:rPr>
          <w:rFonts w:hint="cs"/>
          <w:rtl/>
        </w:rPr>
        <w:t>שני</w:t>
      </w:r>
      <w:r>
        <w:rPr>
          <w:rFonts w:hint="cs"/>
          <w:rtl/>
        </w:rPr>
        <w:t xml:space="preserve"> מיליון אנשים </w:t>
      </w:r>
      <w:bookmarkStart w:id="71738" w:name="_ETM_Q126_308010"/>
      <w:bookmarkEnd w:id="71738"/>
      <w:r>
        <w:rPr>
          <w:rFonts w:hint="cs"/>
          <w:rtl/>
        </w:rPr>
        <w:t xml:space="preserve">ללא </w:t>
      </w:r>
      <w:bookmarkStart w:id="71739" w:name="_ETM_Q126_308610"/>
      <w:bookmarkEnd w:id="71739"/>
      <w:r>
        <w:rPr>
          <w:rFonts w:hint="cs"/>
          <w:rtl/>
        </w:rPr>
        <w:t xml:space="preserve">ביטחון </w:t>
      </w:r>
      <w:bookmarkStart w:id="71740" w:name="_ETM_Q126_309180"/>
      <w:bookmarkEnd w:id="71740"/>
      <w:r>
        <w:rPr>
          <w:rFonts w:hint="cs"/>
          <w:rtl/>
        </w:rPr>
        <w:t>אישי</w:t>
      </w:r>
      <w:r w:rsidR="002F7246">
        <w:rPr>
          <w:rFonts w:hint="cs"/>
          <w:rtl/>
        </w:rPr>
        <w:t>,</w:t>
      </w:r>
      <w:r>
        <w:rPr>
          <w:rFonts w:hint="cs"/>
          <w:rtl/>
        </w:rPr>
        <w:t xml:space="preserve"> 2 מיליון </w:t>
      </w:r>
      <w:bookmarkStart w:id="71741" w:name="_ETM_Q126_312000"/>
      <w:bookmarkEnd w:id="71741"/>
      <w:r>
        <w:rPr>
          <w:rFonts w:hint="cs"/>
          <w:rtl/>
        </w:rPr>
        <w:t xml:space="preserve">אנשים </w:t>
      </w:r>
      <w:bookmarkStart w:id="71742" w:name="_ETM_Q126_314169"/>
      <w:bookmarkEnd w:id="71742"/>
      <w:r>
        <w:rPr>
          <w:rFonts w:hint="cs"/>
          <w:rtl/>
        </w:rPr>
        <w:t xml:space="preserve">שאיבדו </w:t>
      </w:r>
      <w:bookmarkStart w:id="71743" w:name="_ETM_Q126_314950"/>
      <w:bookmarkEnd w:id="71743"/>
      <w:r>
        <w:rPr>
          <w:rFonts w:hint="cs"/>
          <w:rtl/>
        </w:rPr>
        <w:t xml:space="preserve">את </w:t>
      </w:r>
      <w:bookmarkStart w:id="71744" w:name="_ETM_Q126_315159"/>
      <w:bookmarkEnd w:id="71744"/>
      <w:r>
        <w:rPr>
          <w:rFonts w:hint="cs"/>
          <w:rtl/>
        </w:rPr>
        <w:t xml:space="preserve">האמון </w:t>
      </w:r>
      <w:bookmarkStart w:id="71745" w:name="_ETM_Q126_316139"/>
      <w:bookmarkEnd w:id="71745"/>
      <w:r>
        <w:rPr>
          <w:rFonts w:hint="cs"/>
          <w:rtl/>
        </w:rPr>
        <w:t>בממשלה</w:t>
      </w:r>
      <w:r w:rsidR="002F7246">
        <w:rPr>
          <w:rFonts w:hint="cs"/>
          <w:rtl/>
        </w:rPr>
        <w:t>,</w:t>
      </w:r>
      <w:r>
        <w:rPr>
          <w:rFonts w:hint="cs"/>
          <w:rtl/>
        </w:rPr>
        <w:t xml:space="preserve"> </w:t>
      </w:r>
      <w:r w:rsidR="002F7246">
        <w:rPr>
          <w:rFonts w:hint="cs"/>
          <w:rtl/>
        </w:rPr>
        <w:t>שני</w:t>
      </w:r>
      <w:r>
        <w:rPr>
          <w:rFonts w:hint="cs"/>
          <w:rtl/>
        </w:rPr>
        <w:t xml:space="preserve"> </w:t>
      </w:r>
      <w:bookmarkStart w:id="71746" w:name="_ETM_Q126_319246"/>
      <w:bookmarkEnd w:id="71746"/>
      <w:r>
        <w:rPr>
          <w:rFonts w:hint="cs"/>
          <w:rtl/>
        </w:rPr>
        <w:t xml:space="preserve">מיליון </w:t>
      </w:r>
      <w:bookmarkStart w:id="71747" w:name="_ETM_Q126_319160"/>
      <w:bookmarkEnd w:id="71747"/>
      <w:r>
        <w:rPr>
          <w:rFonts w:hint="cs"/>
          <w:rtl/>
        </w:rPr>
        <w:t xml:space="preserve">אנשים </w:t>
      </w:r>
      <w:bookmarkStart w:id="71748" w:name="_ETM_Q126_320300"/>
      <w:bookmarkEnd w:id="71748"/>
      <w:r>
        <w:rPr>
          <w:rFonts w:hint="cs"/>
          <w:rtl/>
        </w:rPr>
        <w:t xml:space="preserve">החרדים </w:t>
      </w:r>
      <w:bookmarkStart w:id="71749" w:name="_ETM_Q126_321850"/>
      <w:bookmarkStart w:id="71750" w:name="_ETM_Q126_322090"/>
      <w:bookmarkEnd w:id="71749"/>
      <w:bookmarkEnd w:id="71750"/>
      <w:r>
        <w:rPr>
          <w:rFonts w:hint="cs"/>
          <w:rtl/>
        </w:rPr>
        <w:t xml:space="preserve">לעתיד </w:t>
      </w:r>
      <w:bookmarkStart w:id="71751" w:name="_ETM_Q126_322510"/>
      <w:bookmarkEnd w:id="71751"/>
      <w:r>
        <w:rPr>
          <w:rFonts w:hint="cs"/>
          <w:rtl/>
        </w:rPr>
        <w:t>שלהם ושל</w:t>
      </w:r>
      <w:bookmarkStart w:id="71752" w:name="_ETM_Q126_323530"/>
      <w:bookmarkEnd w:id="71752"/>
      <w:r>
        <w:rPr>
          <w:rFonts w:hint="cs"/>
          <w:rtl/>
        </w:rPr>
        <w:t xml:space="preserve"> </w:t>
      </w:r>
      <w:bookmarkStart w:id="71753" w:name="_ETM_Q126_323889"/>
      <w:bookmarkEnd w:id="71753"/>
      <w:r>
        <w:rPr>
          <w:rFonts w:hint="cs"/>
          <w:rtl/>
        </w:rPr>
        <w:t xml:space="preserve">ילדיהם. </w:t>
      </w:r>
      <w:bookmarkStart w:id="71754" w:name="_ETM_Q126_326639"/>
      <w:bookmarkEnd w:id="71754"/>
      <w:r>
        <w:rPr>
          <w:rFonts w:hint="cs"/>
          <w:rtl/>
        </w:rPr>
        <w:t xml:space="preserve">אלפים </w:t>
      </w:r>
      <w:bookmarkStart w:id="71755" w:name="_ETM_Q126_328069"/>
      <w:bookmarkEnd w:id="71755"/>
      <w:r>
        <w:rPr>
          <w:rFonts w:hint="cs"/>
          <w:rtl/>
        </w:rPr>
        <w:t xml:space="preserve">מסתתרים </w:t>
      </w:r>
      <w:bookmarkStart w:id="71756" w:name="_ETM_Q126_328669"/>
      <w:bookmarkEnd w:id="71756"/>
      <w:r>
        <w:rPr>
          <w:rFonts w:hint="cs"/>
          <w:rtl/>
        </w:rPr>
        <w:t xml:space="preserve">בבתיהם, </w:t>
      </w:r>
      <w:bookmarkStart w:id="71757" w:name="_ETM_Q126_329819"/>
      <w:bookmarkEnd w:id="71757"/>
      <w:r>
        <w:rPr>
          <w:rFonts w:hint="cs"/>
          <w:rtl/>
        </w:rPr>
        <w:t xml:space="preserve">בגלל </w:t>
      </w:r>
      <w:bookmarkStart w:id="71758" w:name="_ETM_Q126_330480"/>
      <w:bookmarkEnd w:id="71758"/>
      <w:r>
        <w:rPr>
          <w:rFonts w:hint="cs"/>
          <w:rtl/>
        </w:rPr>
        <w:t xml:space="preserve">הפחד </w:t>
      </w:r>
      <w:bookmarkStart w:id="71759" w:name="_ETM_Q126_330930"/>
      <w:bookmarkEnd w:id="71759"/>
      <w:r>
        <w:rPr>
          <w:rFonts w:hint="cs"/>
          <w:rtl/>
        </w:rPr>
        <w:t xml:space="preserve">להיות </w:t>
      </w:r>
      <w:bookmarkStart w:id="71760" w:name="_ETM_Q126_332150"/>
      <w:bookmarkEnd w:id="71760"/>
      <w:r>
        <w:rPr>
          <w:rFonts w:hint="cs"/>
          <w:rtl/>
        </w:rPr>
        <w:t xml:space="preserve">במקום </w:t>
      </w:r>
      <w:bookmarkStart w:id="71761" w:name="_ETM_Q126_332719"/>
      <w:bookmarkEnd w:id="71761"/>
      <w:r>
        <w:rPr>
          <w:rFonts w:hint="cs"/>
          <w:rtl/>
        </w:rPr>
        <w:t>הלא</w:t>
      </w:r>
      <w:bookmarkStart w:id="71762" w:name="_ETM_Q126_332930"/>
      <w:bookmarkEnd w:id="71762"/>
      <w:r>
        <w:rPr>
          <w:rFonts w:hint="cs"/>
          <w:rtl/>
        </w:rPr>
        <w:t xml:space="preserve">-נכון </w:t>
      </w:r>
      <w:bookmarkStart w:id="71763" w:name="_ETM_Q126_334139"/>
      <w:bookmarkEnd w:id="71763"/>
      <w:r>
        <w:rPr>
          <w:rFonts w:hint="cs"/>
          <w:rtl/>
        </w:rPr>
        <w:t xml:space="preserve">בזמן </w:t>
      </w:r>
      <w:bookmarkStart w:id="71764" w:name="_ETM_Q126_334709"/>
      <w:bookmarkEnd w:id="71764"/>
      <w:r>
        <w:rPr>
          <w:rFonts w:hint="cs"/>
          <w:rtl/>
        </w:rPr>
        <w:t>הלא</w:t>
      </w:r>
      <w:bookmarkStart w:id="71765" w:name="_ETM_Q126_334889"/>
      <w:bookmarkEnd w:id="71765"/>
      <w:r>
        <w:rPr>
          <w:rFonts w:hint="cs"/>
          <w:rtl/>
        </w:rPr>
        <w:t xml:space="preserve">-נכון. </w:t>
      </w:r>
      <w:bookmarkStart w:id="71766" w:name="_ETM_Q126_335669"/>
      <w:bookmarkEnd w:id="71766"/>
      <w:r>
        <w:rPr>
          <w:rFonts w:hint="cs"/>
          <w:rtl/>
        </w:rPr>
        <w:t xml:space="preserve">אני </w:t>
      </w:r>
      <w:bookmarkStart w:id="71767" w:name="_ETM_Q126_336030"/>
      <w:bookmarkEnd w:id="71767"/>
      <w:r>
        <w:rPr>
          <w:rFonts w:hint="cs"/>
          <w:rtl/>
        </w:rPr>
        <w:t xml:space="preserve">מכיר </w:t>
      </w:r>
      <w:bookmarkStart w:id="71768" w:name="_ETM_Q126_336389"/>
      <w:bookmarkEnd w:id="71768"/>
      <w:r>
        <w:rPr>
          <w:rFonts w:hint="cs"/>
          <w:rtl/>
        </w:rPr>
        <w:t xml:space="preserve">אישית </w:t>
      </w:r>
      <w:bookmarkStart w:id="71769" w:name="_ETM_Q126_337750"/>
      <w:bookmarkEnd w:id="71769"/>
      <w:r>
        <w:rPr>
          <w:rFonts w:hint="cs"/>
          <w:rtl/>
        </w:rPr>
        <w:t xml:space="preserve">הרבה </w:t>
      </w:r>
      <w:bookmarkStart w:id="71770" w:name="_ETM_Q126_338050"/>
      <w:bookmarkEnd w:id="71770"/>
      <w:r>
        <w:rPr>
          <w:rFonts w:hint="cs"/>
          <w:rtl/>
        </w:rPr>
        <w:t xml:space="preserve">משפחות </w:t>
      </w:r>
      <w:bookmarkStart w:id="71771" w:name="_ETM_Q126_339250"/>
      <w:bookmarkEnd w:id="71771"/>
      <w:r>
        <w:rPr>
          <w:rFonts w:hint="cs"/>
          <w:rtl/>
        </w:rPr>
        <w:t xml:space="preserve">בעיר </w:t>
      </w:r>
      <w:bookmarkStart w:id="71772" w:name="_ETM_Q126_339849"/>
      <w:bookmarkEnd w:id="71772"/>
      <w:r>
        <w:rPr>
          <w:rFonts w:hint="cs"/>
          <w:rtl/>
        </w:rPr>
        <w:t xml:space="preserve">שפרעם </w:t>
      </w:r>
      <w:bookmarkStart w:id="71773" w:name="_ETM_Q126_340960"/>
      <w:bookmarkEnd w:id="71773"/>
      <w:r>
        <w:rPr>
          <w:rFonts w:hint="cs"/>
          <w:rtl/>
        </w:rPr>
        <w:t xml:space="preserve">שלא </w:t>
      </w:r>
      <w:bookmarkStart w:id="71774" w:name="_ETM_Q126_341260"/>
      <w:bookmarkEnd w:id="71774"/>
      <w:r>
        <w:rPr>
          <w:rFonts w:hint="cs"/>
          <w:rtl/>
        </w:rPr>
        <w:t xml:space="preserve">יוצאות </w:t>
      </w:r>
      <w:bookmarkStart w:id="71775" w:name="_ETM_Q126_341620"/>
      <w:bookmarkEnd w:id="71775"/>
      <w:r>
        <w:rPr>
          <w:rFonts w:hint="cs"/>
          <w:rtl/>
        </w:rPr>
        <w:t xml:space="preserve">החוצה </w:t>
      </w:r>
      <w:bookmarkStart w:id="71776" w:name="_ETM_Q126_342070"/>
      <w:bookmarkEnd w:id="71776"/>
      <w:r>
        <w:rPr>
          <w:rFonts w:hint="cs"/>
          <w:rtl/>
        </w:rPr>
        <w:t xml:space="preserve">מפחד </w:t>
      </w:r>
      <w:bookmarkStart w:id="71777" w:name="_ETM_Q126_342639"/>
      <w:bookmarkEnd w:id="71777"/>
      <w:r>
        <w:rPr>
          <w:rFonts w:hint="cs"/>
          <w:rtl/>
        </w:rPr>
        <w:t xml:space="preserve">שיפגעו </w:t>
      </w:r>
      <w:bookmarkStart w:id="71778" w:name="_ETM_Q126_343120"/>
      <w:bookmarkEnd w:id="71778"/>
      <w:r>
        <w:rPr>
          <w:rFonts w:hint="cs"/>
          <w:rtl/>
        </w:rPr>
        <w:t xml:space="preserve">בהן, כי הם </w:t>
      </w:r>
      <w:bookmarkStart w:id="71779" w:name="_ETM_Q126_344519"/>
      <w:bookmarkEnd w:id="71779"/>
      <w:r>
        <w:rPr>
          <w:rFonts w:hint="cs"/>
          <w:rtl/>
        </w:rPr>
        <w:t xml:space="preserve">קרובי </w:t>
      </w:r>
      <w:bookmarkStart w:id="71780" w:name="_ETM_Q126_345000"/>
      <w:bookmarkEnd w:id="71780"/>
      <w:r>
        <w:rPr>
          <w:rFonts w:hint="cs"/>
          <w:rtl/>
        </w:rPr>
        <w:t xml:space="preserve">משפחה </w:t>
      </w:r>
      <w:bookmarkStart w:id="71781" w:name="_ETM_Q126_345480"/>
      <w:bookmarkEnd w:id="71781"/>
      <w:r>
        <w:rPr>
          <w:rFonts w:hint="cs"/>
          <w:rtl/>
        </w:rPr>
        <w:t xml:space="preserve">אולי </w:t>
      </w:r>
      <w:bookmarkStart w:id="71782" w:name="_ETM_Q126_345959"/>
      <w:bookmarkEnd w:id="71782"/>
      <w:r>
        <w:rPr>
          <w:rFonts w:hint="cs"/>
          <w:rtl/>
        </w:rPr>
        <w:t xml:space="preserve">למשפחת פשע </w:t>
      </w:r>
      <w:bookmarkStart w:id="71783" w:name="_ETM_Q126_347000"/>
      <w:bookmarkEnd w:id="71783"/>
      <w:r>
        <w:rPr>
          <w:rFonts w:hint="cs"/>
          <w:rtl/>
        </w:rPr>
        <w:t xml:space="preserve">או </w:t>
      </w:r>
      <w:bookmarkStart w:id="71784" w:name="_ETM_Q126_347269"/>
      <w:bookmarkEnd w:id="71784"/>
      <w:r>
        <w:rPr>
          <w:rFonts w:hint="cs"/>
          <w:rtl/>
        </w:rPr>
        <w:t xml:space="preserve">ארגון </w:t>
      </w:r>
      <w:bookmarkStart w:id="71785" w:name="_ETM_Q126_347569"/>
      <w:bookmarkEnd w:id="71785"/>
      <w:r>
        <w:rPr>
          <w:rFonts w:hint="cs"/>
          <w:rtl/>
        </w:rPr>
        <w:t>פשע.</w:t>
      </w:r>
      <w:bookmarkStart w:id="71786" w:name="_ETM_Q126_352138"/>
      <w:bookmarkStart w:id="71787" w:name="_ETM_Q126_352211"/>
      <w:bookmarkStart w:id="71788" w:name="_ETM_Q126_352283"/>
      <w:bookmarkStart w:id="71789" w:name="_ETM_Q126_352343"/>
      <w:bookmarkStart w:id="71790" w:name="_ETM_Q126_356070"/>
      <w:bookmarkStart w:id="71791" w:name="_ETM_Q126_356164"/>
      <w:bookmarkStart w:id="71792" w:name="_ETM_Q126_356194"/>
      <w:bookmarkStart w:id="71793" w:name="_ETM_Q126_356262"/>
      <w:bookmarkEnd w:id="71786"/>
      <w:bookmarkEnd w:id="71787"/>
      <w:bookmarkEnd w:id="71788"/>
      <w:bookmarkEnd w:id="71789"/>
      <w:bookmarkEnd w:id="71790"/>
      <w:bookmarkEnd w:id="71791"/>
      <w:bookmarkEnd w:id="71792"/>
      <w:bookmarkEnd w:id="71793"/>
      <w:r>
        <w:rPr>
          <w:rFonts w:hint="cs"/>
          <w:rtl/>
        </w:rPr>
        <w:t xml:space="preserve"> </w:t>
      </w:r>
      <w:r w:rsidR="002F7246">
        <w:rPr>
          <w:rFonts w:hint="cs"/>
          <w:rtl/>
        </w:rPr>
        <w:t>שני</w:t>
      </w:r>
      <w:r>
        <w:rPr>
          <w:rFonts w:hint="cs"/>
          <w:rtl/>
        </w:rPr>
        <w:t xml:space="preserve"> מיליון </w:t>
      </w:r>
      <w:bookmarkStart w:id="71794" w:name="_ETM_Q126_353389"/>
      <w:bookmarkEnd w:id="71794"/>
      <w:r>
        <w:rPr>
          <w:rFonts w:hint="cs"/>
          <w:rtl/>
        </w:rPr>
        <w:t xml:space="preserve">אנשים </w:t>
      </w:r>
      <w:bookmarkStart w:id="71795" w:name="_ETM_Q126_354139"/>
      <w:bookmarkEnd w:id="71795"/>
      <w:r>
        <w:rPr>
          <w:rFonts w:hint="cs"/>
          <w:rtl/>
        </w:rPr>
        <w:t xml:space="preserve">חסרי </w:t>
      </w:r>
      <w:bookmarkStart w:id="71796" w:name="_ETM_Q126_354560"/>
      <w:bookmarkEnd w:id="71796"/>
      <w:r>
        <w:rPr>
          <w:rFonts w:hint="cs"/>
          <w:rtl/>
        </w:rPr>
        <w:t>אונים</w:t>
      </w:r>
      <w:r w:rsidR="002F7246">
        <w:rPr>
          <w:rFonts w:hint="cs"/>
          <w:rtl/>
        </w:rPr>
        <w:t>,</w:t>
      </w:r>
      <w:r>
        <w:rPr>
          <w:rFonts w:hint="cs"/>
          <w:rtl/>
        </w:rPr>
        <w:t xml:space="preserve"> </w:t>
      </w:r>
      <w:r w:rsidR="002F7246">
        <w:rPr>
          <w:rFonts w:hint="cs"/>
          <w:rtl/>
        </w:rPr>
        <w:t>שני</w:t>
      </w:r>
      <w:r>
        <w:rPr>
          <w:rFonts w:hint="cs"/>
          <w:rtl/>
        </w:rPr>
        <w:t xml:space="preserve"> מיליון </w:t>
      </w:r>
      <w:bookmarkStart w:id="71797" w:name="_ETM_Q126_358160"/>
      <w:bookmarkEnd w:id="71797"/>
      <w:r>
        <w:rPr>
          <w:rFonts w:hint="cs"/>
          <w:rtl/>
        </w:rPr>
        <w:t xml:space="preserve">אנשים </w:t>
      </w:r>
      <w:bookmarkStart w:id="71798" w:name="_ETM_Q126_358820"/>
      <w:bookmarkEnd w:id="71798"/>
      <w:r>
        <w:rPr>
          <w:rFonts w:hint="cs"/>
          <w:rtl/>
        </w:rPr>
        <w:t xml:space="preserve">שקופים </w:t>
      </w:r>
      <w:bookmarkStart w:id="71799" w:name="_ETM_Q126_360250"/>
      <w:bookmarkEnd w:id="71799"/>
      <w:r>
        <w:rPr>
          <w:rFonts w:hint="cs"/>
          <w:rtl/>
        </w:rPr>
        <w:t xml:space="preserve">לממשלה, </w:t>
      </w:r>
      <w:bookmarkStart w:id="71800" w:name="_ETM_Q126_361760"/>
      <w:bookmarkEnd w:id="71800"/>
      <w:r>
        <w:rPr>
          <w:rFonts w:hint="cs"/>
          <w:rtl/>
        </w:rPr>
        <w:t xml:space="preserve">שכינתה </w:t>
      </w:r>
      <w:bookmarkStart w:id="71801" w:name="_ETM_Q126_362359"/>
      <w:bookmarkEnd w:id="71801"/>
      <w:r>
        <w:rPr>
          <w:rFonts w:hint="cs"/>
          <w:rtl/>
        </w:rPr>
        <w:t xml:space="preserve">את </w:t>
      </w:r>
      <w:bookmarkStart w:id="71802" w:name="_ETM_Q126_362450"/>
      <w:bookmarkEnd w:id="71802"/>
      <w:r>
        <w:rPr>
          <w:rFonts w:hint="cs"/>
          <w:rtl/>
        </w:rPr>
        <w:t xml:space="preserve">עצמה </w:t>
      </w:r>
      <w:bookmarkStart w:id="71803" w:name="_ETM_Q126_363510"/>
      <w:bookmarkEnd w:id="71803"/>
      <w:r>
        <w:rPr>
          <w:rFonts w:hint="cs"/>
          <w:rtl/>
        </w:rPr>
        <w:t xml:space="preserve">ימין </w:t>
      </w:r>
      <w:bookmarkStart w:id="71804" w:name="_ETM_Q126_364560"/>
      <w:bookmarkEnd w:id="71804"/>
      <w:r>
        <w:rPr>
          <w:rFonts w:hint="cs"/>
          <w:rtl/>
        </w:rPr>
        <w:t xml:space="preserve">מלא </w:t>
      </w:r>
      <w:bookmarkStart w:id="71805" w:name="_ETM_Q126_365400"/>
      <w:bookmarkEnd w:id="71805"/>
      <w:r>
        <w:rPr>
          <w:rFonts w:hint="cs"/>
          <w:rtl/>
        </w:rPr>
        <w:t xml:space="preserve">על </w:t>
      </w:r>
      <w:bookmarkStart w:id="71806" w:name="_ETM_Q126_365610"/>
      <w:bookmarkEnd w:id="71806"/>
      <w:r>
        <w:rPr>
          <w:rFonts w:hint="cs"/>
          <w:rtl/>
        </w:rPr>
        <w:t xml:space="preserve">מלא; </w:t>
      </w:r>
      <w:r w:rsidR="002F7246">
        <w:rPr>
          <w:rFonts w:hint="cs"/>
          <w:rtl/>
        </w:rPr>
        <w:t>שני</w:t>
      </w:r>
      <w:r>
        <w:rPr>
          <w:rFonts w:hint="cs"/>
          <w:rtl/>
        </w:rPr>
        <w:t xml:space="preserve"> מיליון </w:t>
      </w:r>
      <w:bookmarkStart w:id="71807" w:name="_ETM_Q126_368329"/>
      <w:bookmarkEnd w:id="71807"/>
      <w:r>
        <w:rPr>
          <w:rFonts w:hint="cs"/>
          <w:rtl/>
        </w:rPr>
        <w:t xml:space="preserve">אנשים </w:t>
      </w:r>
      <w:bookmarkStart w:id="71808" w:name="_ETM_Q126_369550"/>
      <w:bookmarkEnd w:id="71808"/>
      <w:r>
        <w:rPr>
          <w:rFonts w:hint="cs"/>
          <w:rtl/>
        </w:rPr>
        <w:t xml:space="preserve">איבדו </w:t>
      </w:r>
      <w:bookmarkStart w:id="71809" w:name="_ETM_Q126_370030"/>
      <w:bookmarkEnd w:id="71809"/>
      <w:r>
        <w:rPr>
          <w:rFonts w:hint="cs"/>
          <w:rtl/>
        </w:rPr>
        <w:t xml:space="preserve">אמון </w:t>
      </w:r>
      <w:bookmarkStart w:id="71810" w:name="_ETM_Q126_370389"/>
      <w:bookmarkEnd w:id="71810"/>
      <w:r>
        <w:rPr>
          <w:rFonts w:hint="cs"/>
          <w:rtl/>
        </w:rPr>
        <w:t xml:space="preserve">בכל </w:t>
      </w:r>
      <w:bookmarkStart w:id="71811" w:name="_ETM_Q126_370690"/>
      <w:bookmarkEnd w:id="71811"/>
      <w:r>
        <w:rPr>
          <w:rFonts w:hint="cs"/>
          <w:rtl/>
        </w:rPr>
        <w:t xml:space="preserve">מחאה </w:t>
      </w:r>
      <w:bookmarkStart w:id="71812" w:name="_ETM_Q126_371139"/>
      <w:bookmarkEnd w:id="71812"/>
      <w:r>
        <w:rPr>
          <w:rFonts w:hint="cs"/>
          <w:rtl/>
        </w:rPr>
        <w:t xml:space="preserve">לגיטימית; </w:t>
      </w:r>
      <w:r w:rsidR="002F7246">
        <w:rPr>
          <w:rFonts w:hint="cs"/>
          <w:rtl/>
        </w:rPr>
        <w:t>שני</w:t>
      </w:r>
      <w:r>
        <w:rPr>
          <w:rFonts w:hint="cs"/>
          <w:rtl/>
        </w:rPr>
        <w:t xml:space="preserve"> מיליון </w:t>
      </w:r>
      <w:bookmarkStart w:id="71813" w:name="_ETM_Q126_373749"/>
      <w:bookmarkEnd w:id="71813"/>
      <w:r>
        <w:rPr>
          <w:rFonts w:hint="cs"/>
          <w:rtl/>
        </w:rPr>
        <w:t xml:space="preserve">אנשים </w:t>
      </w:r>
      <w:bookmarkStart w:id="71814" w:name="_ETM_Q126_375960"/>
      <w:bookmarkStart w:id="71815" w:name="_ETM_Q126_376290"/>
      <w:bookmarkEnd w:id="71814"/>
      <w:bookmarkEnd w:id="71815"/>
      <w:r>
        <w:rPr>
          <w:rFonts w:hint="cs"/>
          <w:rtl/>
        </w:rPr>
        <w:t xml:space="preserve">המאמינים </w:t>
      </w:r>
      <w:bookmarkStart w:id="71816" w:name="_ETM_Q126_377460"/>
      <w:bookmarkEnd w:id="71816"/>
      <w:r>
        <w:rPr>
          <w:rFonts w:hint="cs"/>
          <w:rtl/>
        </w:rPr>
        <w:t xml:space="preserve">כי </w:t>
      </w:r>
      <w:bookmarkStart w:id="71817" w:name="_ETM_Q126_377700"/>
      <w:bookmarkEnd w:id="71817"/>
      <w:r>
        <w:rPr>
          <w:rFonts w:hint="cs"/>
          <w:rtl/>
        </w:rPr>
        <w:t xml:space="preserve">לממשלה </w:t>
      </w:r>
      <w:bookmarkStart w:id="71818" w:name="_ETM_Q126_378590"/>
      <w:bookmarkEnd w:id="71818"/>
      <w:r>
        <w:rPr>
          <w:rFonts w:hint="cs"/>
          <w:rtl/>
        </w:rPr>
        <w:t xml:space="preserve">לא </w:t>
      </w:r>
      <w:bookmarkStart w:id="71819" w:name="_ETM_Q126_378889"/>
      <w:bookmarkEnd w:id="71819"/>
      <w:r>
        <w:rPr>
          <w:rFonts w:hint="cs"/>
          <w:rtl/>
        </w:rPr>
        <w:t xml:space="preserve">אכפת. </w:t>
      </w:r>
      <w:bookmarkStart w:id="71820" w:name="_ETM_Q126_380740"/>
      <w:bookmarkEnd w:id="71820"/>
      <w:r>
        <w:rPr>
          <w:rFonts w:hint="cs"/>
          <w:rtl/>
        </w:rPr>
        <w:t xml:space="preserve">כיום </w:t>
      </w:r>
      <w:bookmarkStart w:id="71821" w:name="_ETM_Q126_382260"/>
      <w:bookmarkEnd w:id="71821"/>
      <w:r>
        <w:rPr>
          <w:rFonts w:hint="cs"/>
          <w:rtl/>
        </w:rPr>
        <w:t xml:space="preserve">אני </w:t>
      </w:r>
      <w:bookmarkStart w:id="71822" w:name="_ETM_Q126_382530"/>
      <w:bookmarkEnd w:id="71822"/>
      <w:r>
        <w:rPr>
          <w:rFonts w:hint="cs"/>
          <w:rtl/>
        </w:rPr>
        <w:t xml:space="preserve">בספק </w:t>
      </w:r>
      <w:bookmarkStart w:id="71823" w:name="_ETM_Q126_383879"/>
      <w:bookmarkEnd w:id="71823"/>
      <w:r>
        <w:rPr>
          <w:rFonts w:hint="cs"/>
          <w:rtl/>
        </w:rPr>
        <w:t xml:space="preserve">אם </w:t>
      </w:r>
      <w:bookmarkStart w:id="71824" w:name="_ETM_Q126_384060"/>
      <w:bookmarkEnd w:id="71824"/>
      <w:r>
        <w:rPr>
          <w:rFonts w:hint="cs"/>
          <w:rtl/>
        </w:rPr>
        <w:t xml:space="preserve">בן </w:t>
      </w:r>
      <w:bookmarkStart w:id="71825" w:name="_ETM_Q126_384269"/>
      <w:bookmarkEnd w:id="71825"/>
      <w:r>
        <w:rPr>
          <w:rFonts w:hint="cs"/>
          <w:rtl/>
        </w:rPr>
        <w:t xml:space="preserve">גביר </w:t>
      </w:r>
      <w:bookmarkStart w:id="71826" w:name="_ETM_Q126_385180"/>
      <w:bookmarkEnd w:id="71826"/>
      <w:r>
        <w:rPr>
          <w:rFonts w:hint="cs"/>
          <w:rtl/>
        </w:rPr>
        <w:t xml:space="preserve">נלחם </w:t>
      </w:r>
      <w:bookmarkStart w:id="71827" w:name="_ETM_Q126_385599"/>
      <w:bookmarkEnd w:id="71827"/>
      <w:r>
        <w:rPr>
          <w:rFonts w:hint="cs"/>
          <w:rtl/>
        </w:rPr>
        <w:t xml:space="preserve">בפשיעה </w:t>
      </w:r>
      <w:bookmarkStart w:id="71828" w:name="_ETM_Q126_387249"/>
      <w:bookmarkEnd w:id="71828"/>
      <w:r>
        <w:rPr>
          <w:rFonts w:hint="cs"/>
          <w:rtl/>
        </w:rPr>
        <w:t xml:space="preserve">או </w:t>
      </w:r>
      <w:bookmarkStart w:id="71829" w:name="_ETM_Q126_387830"/>
      <w:bookmarkEnd w:id="71829"/>
      <w:r>
        <w:rPr>
          <w:rFonts w:hint="cs"/>
          <w:rtl/>
        </w:rPr>
        <w:t xml:space="preserve">נלחם </w:t>
      </w:r>
      <w:bookmarkStart w:id="71830" w:name="_ETM_Q126_388430"/>
      <w:bookmarkEnd w:id="71830"/>
      <w:r>
        <w:rPr>
          <w:rFonts w:hint="cs"/>
          <w:rtl/>
        </w:rPr>
        <w:t xml:space="preserve">לצידה. </w:t>
      </w:r>
      <w:bookmarkStart w:id="71831" w:name="_ETM_Q126_390840"/>
      <w:bookmarkEnd w:id="71831"/>
      <w:r>
        <w:rPr>
          <w:rFonts w:hint="cs"/>
          <w:rtl/>
        </w:rPr>
        <w:t xml:space="preserve">גם </w:t>
      </w:r>
      <w:bookmarkStart w:id="71832" w:name="_ETM_Q126_391379"/>
      <w:bookmarkEnd w:id="71832"/>
      <w:r>
        <w:rPr>
          <w:rFonts w:hint="cs"/>
          <w:rtl/>
        </w:rPr>
        <w:t>כאן</w:t>
      </w:r>
      <w:r w:rsidR="002F7246">
        <w:rPr>
          <w:rFonts w:hint="cs"/>
          <w:rtl/>
        </w:rPr>
        <w:t>,</w:t>
      </w:r>
      <w:r>
        <w:rPr>
          <w:rFonts w:hint="cs"/>
          <w:rtl/>
        </w:rPr>
        <w:t xml:space="preserve"> </w:t>
      </w:r>
      <w:bookmarkStart w:id="71833" w:name="_ETM_Q126_393129"/>
      <w:bookmarkEnd w:id="71833"/>
      <w:r>
        <w:rPr>
          <w:rFonts w:hint="cs"/>
          <w:rtl/>
        </w:rPr>
        <w:t xml:space="preserve">ביבי </w:t>
      </w:r>
      <w:bookmarkStart w:id="71834" w:name="_ETM_Q126_393580"/>
      <w:bookmarkEnd w:id="71834"/>
      <w:r>
        <w:rPr>
          <w:rFonts w:hint="cs"/>
          <w:rtl/>
        </w:rPr>
        <w:t xml:space="preserve">וממשלתו, </w:t>
      </w:r>
      <w:bookmarkStart w:id="71835" w:name="_ETM_Q126_394930"/>
      <w:bookmarkEnd w:id="71835"/>
      <w:r>
        <w:rPr>
          <w:rFonts w:hint="cs"/>
          <w:rtl/>
        </w:rPr>
        <w:t xml:space="preserve">נכשלתם. </w:t>
      </w:r>
      <w:bookmarkStart w:id="71836" w:name="_ETM_Q126_396370"/>
      <w:bookmarkEnd w:id="71836"/>
      <w:r>
        <w:rPr>
          <w:rFonts w:hint="cs"/>
          <w:rtl/>
        </w:rPr>
        <w:t xml:space="preserve">נכשלתם </w:t>
      </w:r>
      <w:bookmarkStart w:id="71837" w:name="_ETM_Q126_396939"/>
      <w:bookmarkEnd w:id="71837"/>
      <w:r>
        <w:rPr>
          <w:rFonts w:hint="cs"/>
          <w:rtl/>
        </w:rPr>
        <w:t xml:space="preserve">בטיפול </w:t>
      </w:r>
      <w:bookmarkStart w:id="71838" w:name="_ETM_Q126_397590"/>
      <w:bookmarkEnd w:id="71838"/>
      <w:r>
        <w:rPr>
          <w:rFonts w:hint="cs"/>
          <w:rtl/>
        </w:rPr>
        <w:t xml:space="preserve">בפשיעה </w:t>
      </w:r>
      <w:bookmarkStart w:id="71839" w:name="_ETM_Q126_398010"/>
      <w:bookmarkEnd w:id="71839"/>
      <w:r>
        <w:rPr>
          <w:rFonts w:hint="cs"/>
          <w:rtl/>
        </w:rPr>
        <w:t xml:space="preserve">בחברה </w:t>
      </w:r>
      <w:bookmarkStart w:id="71840" w:name="_ETM_Q126_398430"/>
      <w:bookmarkEnd w:id="71840"/>
      <w:r>
        <w:rPr>
          <w:rFonts w:hint="cs"/>
          <w:rtl/>
        </w:rPr>
        <w:t xml:space="preserve">הערבית; </w:t>
      </w:r>
      <w:bookmarkStart w:id="71841" w:name="_ETM_Q126_400240"/>
      <w:bookmarkEnd w:id="71841"/>
      <w:r>
        <w:rPr>
          <w:rFonts w:hint="cs"/>
          <w:rtl/>
        </w:rPr>
        <w:t xml:space="preserve">נכשלתם </w:t>
      </w:r>
      <w:bookmarkStart w:id="71842" w:name="_ETM_Q126_402540"/>
      <w:bookmarkEnd w:id="71842"/>
      <w:r>
        <w:rPr>
          <w:rFonts w:hint="cs"/>
          <w:rtl/>
        </w:rPr>
        <w:t xml:space="preserve">בניסיון </w:t>
      </w:r>
      <w:bookmarkStart w:id="71843" w:name="_ETM_Q126_403230"/>
      <w:bookmarkEnd w:id="71843"/>
      <w:r>
        <w:rPr>
          <w:rFonts w:hint="cs"/>
          <w:rtl/>
        </w:rPr>
        <w:t xml:space="preserve">לפגוע </w:t>
      </w:r>
      <w:bookmarkStart w:id="71844" w:name="_ETM_Q126_403709"/>
      <w:bookmarkEnd w:id="71844"/>
      <w:r>
        <w:rPr>
          <w:rFonts w:hint="cs"/>
          <w:rtl/>
        </w:rPr>
        <w:t xml:space="preserve">גם </w:t>
      </w:r>
      <w:bookmarkStart w:id="71845" w:name="_ETM_Q126_403980"/>
      <w:bookmarkEnd w:id="71845"/>
      <w:r>
        <w:rPr>
          <w:rFonts w:hint="cs"/>
          <w:rtl/>
        </w:rPr>
        <w:t xml:space="preserve">בתקציבים </w:t>
      </w:r>
      <w:bookmarkStart w:id="71846" w:name="_ETM_Q126_405470"/>
      <w:bookmarkEnd w:id="71846"/>
      <w:r>
        <w:rPr>
          <w:rFonts w:hint="cs"/>
          <w:rtl/>
        </w:rPr>
        <w:t xml:space="preserve">המגיעים </w:t>
      </w:r>
      <w:bookmarkStart w:id="71847" w:name="_ETM_Q126_405980"/>
      <w:bookmarkEnd w:id="71847"/>
      <w:r>
        <w:rPr>
          <w:rFonts w:hint="cs"/>
          <w:rtl/>
        </w:rPr>
        <w:t xml:space="preserve">לחברה </w:t>
      </w:r>
      <w:bookmarkStart w:id="71848" w:name="_ETM_Q126_406340"/>
      <w:bookmarkEnd w:id="71848"/>
      <w:r>
        <w:rPr>
          <w:rFonts w:hint="cs"/>
          <w:rtl/>
        </w:rPr>
        <w:t xml:space="preserve">הערבית </w:t>
      </w:r>
      <w:bookmarkStart w:id="71849" w:name="_ETM_Q126_408600"/>
      <w:bookmarkStart w:id="71850" w:name="_ETM_Q126_408900"/>
      <w:bookmarkEnd w:id="71849"/>
      <w:bookmarkEnd w:id="71850"/>
      <w:r>
        <w:rPr>
          <w:rFonts w:hint="cs"/>
          <w:rtl/>
        </w:rPr>
        <w:t xml:space="preserve">ובכל </w:t>
      </w:r>
      <w:bookmarkStart w:id="71851" w:name="_ETM_Q126_409170"/>
      <w:bookmarkEnd w:id="71851"/>
      <w:r>
        <w:rPr>
          <w:rFonts w:hint="cs"/>
          <w:rtl/>
        </w:rPr>
        <w:t xml:space="preserve">מה </w:t>
      </w:r>
      <w:bookmarkStart w:id="71852" w:name="_ETM_Q126_409320"/>
      <w:bookmarkEnd w:id="71852"/>
      <w:r>
        <w:rPr>
          <w:rFonts w:hint="cs"/>
          <w:rtl/>
        </w:rPr>
        <w:t xml:space="preserve">שקשור </w:t>
      </w:r>
      <w:bookmarkStart w:id="71853" w:name="_ETM_Q126_410640"/>
      <w:bookmarkEnd w:id="71853"/>
      <w:r>
        <w:rPr>
          <w:rFonts w:hint="cs"/>
          <w:rtl/>
        </w:rPr>
        <w:t xml:space="preserve">לחברה </w:t>
      </w:r>
      <w:bookmarkStart w:id="71854" w:name="_ETM_Q126_411120"/>
      <w:bookmarkEnd w:id="71854"/>
      <w:r>
        <w:rPr>
          <w:rFonts w:hint="cs"/>
          <w:rtl/>
        </w:rPr>
        <w:t xml:space="preserve">הערבית. </w:t>
      </w:r>
      <w:bookmarkStart w:id="71855" w:name="_ETM_Q126_412430"/>
      <w:bookmarkStart w:id="71856" w:name="_ETM_Q126_413150"/>
      <w:bookmarkEnd w:id="71855"/>
      <w:bookmarkEnd w:id="71856"/>
      <w:r>
        <w:rPr>
          <w:rFonts w:hint="cs"/>
          <w:rtl/>
        </w:rPr>
        <w:t xml:space="preserve">קיבלתם </w:t>
      </w:r>
      <w:bookmarkStart w:id="71857" w:name="_ETM_Q126_413750"/>
      <w:bookmarkEnd w:id="71857"/>
      <w:r>
        <w:rPr>
          <w:rFonts w:hint="cs"/>
          <w:rtl/>
        </w:rPr>
        <w:t xml:space="preserve">ציון </w:t>
      </w:r>
      <w:bookmarkStart w:id="71858" w:name="_ETM_Q126_415189"/>
      <w:bookmarkEnd w:id="71858"/>
      <w:r>
        <w:rPr>
          <w:rFonts w:hint="cs"/>
          <w:rtl/>
        </w:rPr>
        <w:t xml:space="preserve">מצוין </w:t>
      </w:r>
      <w:bookmarkStart w:id="71859" w:name="_ETM_Q126_416460"/>
      <w:bookmarkEnd w:id="71859"/>
      <w:r>
        <w:rPr>
          <w:rFonts w:hint="cs"/>
          <w:rtl/>
        </w:rPr>
        <w:t xml:space="preserve">בסיסמאות, </w:t>
      </w:r>
      <w:bookmarkStart w:id="71860" w:name="_ETM_Q126_417879"/>
      <w:bookmarkEnd w:id="71860"/>
      <w:r>
        <w:rPr>
          <w:rFonts w:hint="cs"/>
          <w:rtl/>
        </w:rPr>
        <w:t xml:space="preserve">אבל </w:t>
      </w:r>
      <w:bookmarkStart w:id="71861" w:name="_ETM_Q126_419010"/>
      <w:bookmarkEnd w:id="71861"/>
      <w:r>
        <w:rPr>
          <w:rFonts w:hint="cs"/>
          <w:rtl/>
        </w:rPr>
        <w:t xml:space="preserve">ציון </w:t>
      </w:r>
      <w:bookmarkStart w:id="71862" w:name="_ETM_Q126_419400"/>
      <w:bookmarkEnd w:id="71862"/>
      <w:r>
        <w:rPr>
          <w:rFonts w:hint="cs"/>
          <w:rtl/>
        </w:rPr>
        <w:t xml:space="preserve">נכשל </w:t>
      </w:r>
      <w:bookmarkStart w:id="71863" w:name="_ETM_Q126_420800"/>
      <w:bookmarkEnd w:id="71863"/>
      <w:r>
        <w:rPr>
          <w:rFonts w:hint="cs"/>
          <w:rtl/>
        </w:rPr>
        <w:t xml:space="preserve">בביצוע. </w:t>
      </w:r>
      <w:bookmarkStart w:id="71864" w:name="_ETM_Q126_427900"/>
      <w:bookmarkEnd w:id="71864"/>
    </w:p>
    <w:p w:rsidR="00BB59CD" w:rsidRDefault="00BB59CD" w:rsidP="00BB59CD">
      <w:pPr>
        <w:rPr>
          <w:rtl/>
        </w:rPr>
      </w:pPr>
      <w:bookmarkStart w:id="71865" w:name="_ETM_Q126_424053"/>
      <w:bookmarkStart w:id="71866" w:name="_ETM_Q126_424100"/>
      <w:bookmarkEnd w:id="71865"/>
      <w:bookmarkEnd w:id="71866"/>
    </w:p>
    <w:p w:rsidR="00BB59CD" w:rsidRDefault="00BB59CD" w:rsidP="002F7246">
      <w:pPr>
        <w:rPr>
          <w:rtl/>
        </w:rPr>
      </w:pPr>
      <w:bookmarkStart w:id="71867" w:name="_ETM_Q126_424213"/>
      <w:bookmarkStart w:id="71868" w:name="_ETM_Q126_424246"/>
      <w:bookmarkEnd w:id="71867"/>
      <w:bookmarkEnd w:id="71868"/>
      <w:r>
        <w:rPr>
          <w:rFonts w:hint="cs"/>
          <w:rtl/>
        </w:rPr>
        <w:t xml:space="preserve">מאז </w:t>
      </w:r>
      <w:bookmarkStart w:id="71869" w:name="_ETM_Q126_428439"/>
      <w:bookmarkEnd w:id="71869"/>
      <w:r>
        <w:rPr>
          <w:rFonts w:hint="cs"/>
          <w:rtl/>
        </w:rPr>
        <w:t xml:space="preserve">השבעת </w:t>
      </w:r>
      <w:bookmarkStart w:id="71870" w:name="_ETM_Q126_429310"/>
      <w:bookmarkEnd w:id="71870"/>
      <w:r>
        <w:rPr>
          <w:rFonts w:hint="cs"/>
          <w:rtl/>
        </w:rPr>
        <w:t xml:space="preserve">הממשלה </w:t>
      </w:r>
      <w:bookmarkStart w:id="71871" w:name="_ETM_Q126_429819"/>
      <w:bookmarkEnd w:id="71871"/>
      <w:r>
        <w:rPr>
          <w:rFonts w:hint="cs"/>
          <w:rtl/>
        </w:rPr>
        <w:t xml:space="preserve">הנוכחית </w:t>
      </w:r>
      <w:bookmarkStart w:id="71872" w:name="_ETM_Q126_431269"/>
      <w:bookmarkEnd w:id="71872"/>
      <w:r>
        <w:rPr>
          <w:rFonts w:hint="cs"/>
          <w:rtl/>
        </w:rPr>
        <w:t xml:space="preserve">הונחו עשרות </w:t>
      </w:r>
      <w:bookmarkStart w:id="71873" w:name="_ETM_Q126_432049"/>
      <w:bookmarkEnd w:id="71873"/>
      <w:r>
        <w:rPr>
          <w:rFonts w:hint="cs"/>
          <w:rtl/>
        </w:rPr>
        <w:t xml:space="preserve">הצעות </w:t>
      </w:r>
      <w:bookmarkStart w:id="71874" w:name="_ETM_Q126_432499"/>
      <w:bookmarkEnd w:id="71874"/>
      <w:r>
        <w:rPr>
          <w:rFonts w:hint="cs"/>
          <w:rtl/>
        </w:rPr>
        <w:t xml:space="preserve">חוק, </w:t>
      </w:r>
      <w:bookmarkStart w:id="71875" w:name="_ETM_Q126_433599"/>
      <w:bookmarkEnd w:id="71875"/>
      <w:r>
        <w:rPr>
          <w:rFonts w:hint="cs"/>
          <w:rtl/>
        </w:rPr>
        <w:t xml:space="preserve">הצעות </w:t>
      </w:r>
      <w:bookmarkStart w:id="71876" w:name="_ETM_Q126_434169"/>
      <w:bookmarkEnd w:id="71876"/>
      <w:r>
        <w:rPr>
          <w:rFonts w:hint="cs"/>
          <w:rtl/>
        </w:rPr>
        <w:t xml:space="preserve">לסדר-היום, </w:t>
      </w:r>
      <w:bookmarkStart w:id="71877" w:name="_ETM_Q126_435530"/>
      <w:bookmarkStart w:id="71878" w:name="_ETM_Q126_435980"/>
      <w:bookmarkStart w:id="71879" w:name="_ETM_Q126_437389"/>
      <w:bookmarkEnd w:id="71877"/>
      <w:bookmarkEnd w:id="71878"/>
      <w:bookmarkEnd w:id="71879"/>
      <w:r>
        <w:rPr>
          <w:rFonts w:hint="cs"/>
          <w:rtl/>
        </w:rPr>
        <w:t xml:space="preserve">עשרות </w:t>
      </w:r>
      <w:bookmarkStart w:id="71880" w:name="_ETM_Q126_437870"/>
      <w:bookmarkStart w:id="71881" w:name="_ETM_Q126_438740"/>
      <w:bookmarkStart w:id="71882" w:name="_ETM_Q126_439759"/>
      <w:bookmarkEnd w:id="71880"/>
      <w:bookmarkEnd w:id="71881"/>
      <w:bookmarkEnd w:id="71882"/>
      <w:r>
        <w:rPr>
          <w:rFonts w:hint="cs"/>
          <w:rtl/>
        </w:rPr>
        <w:t xml:space="preserve">הצהרות </w:t>
      </w:r>
      <w:bookmarkStart w:id="71883" w:name="_ETM_Q126_440330"/>
      <w:bookmarkEnd w:id="71883"/>
      <w:r>
        <w:rPr>
          <w:rFonts w:hint="cs"/>
          <w:rtl/>
        </w:rPr>
        <w:t xml:space="preserve">של </w:t>
      </w:r>
      <w:bookmarkStart w:id="71884" w:name="_ETM_Q126_440479"/>
      <w:bookmarkEnd w:id="71884"/>
      <w:r>
        <w:rPr>
          <w:rFonts w:hint="cs"/>
          <w:rtl/>
        </w:rPr>
        <w:t xml:space="preserve">שרים </w:t>
      </w:r>
      <w:bookmarkStart w:id="71885" w:name="_ETM_Q126_440900"/>
      <w:bookmarkEnd w:id="71885"/>
      <w:r>
        <w:rPr>
          <w:rFonts w:hint="cs"/>
          <w:rtl/>
        </w:rPr>
        <w:t xml:space="preserve">וחברי </w:t>
      </w:r>
      <w:bookmarkStart w:id="71886" w:name="_ETM_Q126_441319"/>
      <w:bookmarkEnd w:id="71886"/>
      <w:r>
        <w:rPr>
          <w:rFonts w:hint="cs"/>
          <w:rtl/>
        </w:rPr>
        <w:t xml:space="preserve">כנסת </w:t>
      </w:r>
      <w:bookmarkStart w:id="71887" w:name="_ETM_Q126_441860"/>
      <w:bookmarkEnd w:id="71887"/>
      <w:r>
        <w:rPr>
          <w:rFonts w:hint="cs"/>
          <w:rtl/>
        </w:rPr>
        <w:t xml:space="preserve">גזעניות, </w:t>
      </w:r>
      <w:bookmarkStart w:id="71888" w:name="_ETM_Q126_443380"/>
      <w:bookmarkEnd w:id="71888"/>
      <w:r>
        <w:rPr>
          <w:rFonts w:hint="cs"/>
          <w:rtl/>
        </w:rPr>
        <w:t xml:space="preserve">שינוי </w:t>
      </w:r>
      <w:bookmarkStart w:id="71889" w:name="_ETM_Q126_444100"/>
      <w:bookmarkEnd w:id="71889"/>
      <w:r>
        <w:rPr>
          <w:rFonts w:hint="cs"/>
          <w:rtl/>
        </w:rPr>
        <w:t xml:space="preserve">ייעוד </w:t>
      </w:r>
      <w:bookmarkStart w:id="71890" w:name="_ETM_Q126_444490"/>
      <w:bookmarkEnd w:id="71890"/>
      <w:r>
        <w:rPr>
          <w:rFonts w:hint="cs"/>
          <w:rtl/>
        </w:rPr>
        <w:t xml:space="preserve">תקציבים </w:t>
      </w:r>
      <w:bookmarkStart w:id="71891" w:name="_ETM_Q126_446430"/>
      <w:bookmarkEnd w:id="71891"/>
      <w:r>
        <w:rPr>
          <w:rFonts w:hint="cs"/>
          <w:rtl/>
        </w:rPr>
        <w:t xml:space="preserve">ומדיניות </w:t>
      </w:r>
      <w:bookmarkStart w:id="71892" w:name="_ETM_Q126_448110"/>
      <w:bookmarkStart w:id="71893" w:name="_ETM_Q126_449589"/>
      <w:bookmarkEnd w:id="71892"/>
      <w:bookmarkEnd w:id="71893"/>
      <w:r>
        <w:rPr>
          <w:rFonts w:hint="cs"/>
          <w:rtl/>
        </w:rPr>
        <w:t xml:space="preserve">אחת, שמטרתה </w:t>
      </w:r>
      <w:bookmarkStart w:id="71894" w:name="_ETM_Q126_451080"/>
      <w:bookmarkEnd w:id="71894"/>
      <w:r>
        <w:rPr>
          <w:rFonts w:hint="cs"/>
          <w:rtl/>
        </w:rPr>
        <w:t xml:space="preserve">היחידה </w:t>
      </w:r>
      <w:bookmarkStart w:id="71895" w:name="_ETM_Q126_452660"/>
      <w:bookmarkEnd w:id="71895"/>
      <w:r>
        <w:rPr>
          <w:rFonts w:hint="cs"/>
          <w:rtl/>
        </w:rPr>
        <w:t xml:space="preserve">היא </w:t>
      </w:r>
      <w:bookmarkStart w:id="71896" w:name="_ETM_Q126_452839"/>
      <w:bookmarkEnd w:id="71896"/>
      <w:r>
        <w:rPr>
          <w:rFonts w:hint="cs"/>
          <w:rtl/>
        </w:rPr>
        <w:t xml:space="preserve">לפגוע </w:t>
      </w:r>
      <w:bookmarkStart w:id="71897" w:name="_ETM_Q126_453349"/>
      <w:bookmarkEnd w:id="71897"/>
      <w:r>
        <w:rPr>
          <w:rFonts w:hint="cs"/>
          <w:rtl/>
        </w:rPr>
        <w:t xml:space="preserve">בחברה </w:t>
      </w:r>
      <w:bookmarkStart w:id="71898" w:name="_ETM_Q126_454779"/>
      <w:bookmarkEnd w:id="71898"/>
      <w:r>
        <w:rPr>
          <w:rFonts w:hint="cs"/>
          <w:rtl/>
        </w:rPr>
        <w:t xml:space="preserve">הערבית </w:t>
      </w:r>
      <w:bookmarkStart w:id="71899" w:name="_ETM_Q126_455740"/>
      <w:bookmarkEnd w:id="71899"/>
      <w:r>
        <w:rPr>
          <w:rFonts w:hint="cs"/>
          <w:rtl/>
        </w:rPr>
        <w:t xml:space="preserve">ובניה. </w:t>
      </w:r>
      <w:bookmarkStart w:id="71900" w:name="_ETM_Q126_458240"/>
      <w:bookmarkEnd w:id="71900"/>
      <w:r>
        <w:rPr>
          <w:rFonts w:hint="cs"/>
          <w:rtl/>
        </w:rPr>
        <w:t xml:space="preserve">ממשלה </w:t>
      </w:r>
      <w:bookmarkStart w:id="71901" w:name="_ETM_Q126_458750"/>
      <w:bookmarkEnd w:id="71901"/>
      <w:r>
        <w:rPr>
          <w:rFonts w:hint="cs"/>
          <w:rtl/>
        </w:rPr>
        <w:t xml:space="preserve">הנלחמת </w:t>
      </w:r>
      <w:bookmarkStart w:id="71902" w:name="_ETM_Q126_459320"/>
      <w:bookmarkEnd w:id="71902"/>
      <w:r>
        <w:rPr>
          <w:rFonts w:hint="cs"/>
          <w:rtl/>
        </w:rPr>
        <w:t xml:space="preserve">בחברה </w:t>
      </w:r>
      <w:bookmarkStart w:id="71903" w:name="_ETM_Q126_459800"/>
      <w:bookmarkEnd w:id="71903"/>
      <w:r>
        <w:rPr>
          <w:rFonts w:hint="cs"/>
          <w:rtl/>
        </w:rPr>
        <w:t xml:space="preserve">הערבית </w:t>
      </w:r>
      <w:bookmarkStart w:id="71904" w:name="_ETM_Q126_460760"/>
      <w:bookmarkEnd w:id="71904"/>
      <w:r>
        <w:rPr>
          <w:rFonts w:hint="cs"/>
          <w:rtl/>
        </w:rPr>
        <w:t xml:space="preserve">במקום </w:t>
      </w:r>
      <w:bookmarkStart w:id="71905" w:name="_ETM_Q126_461510"/>
      <w:bookmarkEnd w:id="71905"/>
      <w:r>
        <w:rPr>
          <w:rFonts w:hint="cs"/>
          <w:rtl/>
        </w:rPr>
        <w:t xml:space="preserve">להילחם </w:t>
      </w:r>
      <w:bookmarkStart w:id="71906" w:name="_ETM_Q126_462020"/>
      <w:bookmarkEnd w:id="71906"/>
      <w:r>
        <w:rPr>
          <w:rFonts w:hint="cs"/>
          <w:rtl/>
        </w:rPr>
        <w:t xml:space="preserve">בפשיעה </w:t>
      </w:r>
      <w:bookmarkStart w:id="71907" w:name="_ETM_Q126_463180"/>
      <w:bookmarkEnd w:id="71907"/>
      <w:r>
        <w:rPr>
          <w:rFonts w:hint="cs"/>
          <w:rtl/>
        </w:rPr>
        <w:t xml:space="preserve">בחברה </w:t>
      </w:r>
      <w:bookmarkStart w:id="71908" w:name="_ETM_Q126_463629"/>
      <w:bookmarkEnd w:id="71908"/>
      <w:r>
        <w:rPr>
          <w:rFonts w:hint="cs"/>
          <w:rtl/>
        </w:rPr>
        <w:t xml:space="preserve">הערבית. </w:t>
      </w:r>
      <w:bookmarkStart w:id="71909" w:name="_ETM_Q126_465750"/>
      <w:bookmarkStart w:id="71910" w:name="_ETM_Q126_466290"/>
      <w:bookmarkEnd w:id="71909"/>
      <w:bookmarkEnd w:id="71910"/>
      <w:r>
        <w:rPr>
          <w:rFonts w:hint="cs"/>
          <w:rtl/>
        </w:rPr>
        <w:t xml:space="preserve">הפשיעה והאלימות </w:t>
      </w:r>
      <w:bookmarkStart w:id="71911" w:name="_ETM_Q126_468080"/>
      <w:bookmarkEnd w:id="71911"/>
      <w:r>
        <w:rPr>
          <w:rFonts w:hint="cs"/>
          <w:rtl/>
        </w:rPr>
        <w:t xml:space="preserve">המשתוללת </w:t>
      </w:r>
      <w:bookmarkStart w:id="71912" w:name="_ETM_Q126_468950"/>
      <w:bookmarkEnd w:id="71912"/>
      <w:r>
        <w:rPr>
          <w:rFonts w:hint="cs"/>
          <w:rtl/>
        </w:rPr>
        <w:t xml:space="preserve">בחברה </w:t>
      </w:r>
      <w:bookmarkStart w:id="71913" w:name="_ETM_Q126_469400"/>
      <w:bookmarkEnd w:id="71913"/>
      <w:r>
        <w:rPr>
          <w:rFonts w:hint="cs"/>
          <w:rtl/>
        </w:rPr>
        <w:t xml:space="preserve">הערבית </w:t>
      </w:r>
      <w:bookmarkStart w:id="71914" w:name="_ETM_Q126_470779"/>
      <w:bookmarkStart w:id="71915" w:name="_ETM_Q126_470900"/>
      <w:bookmarkEnd w:id="71914"/>
      <w:bookmarkEnd w:id="71915"/>
      <w:r>
        <w:rPr>
          <w:rFonts w:hint="cs"/>
          <w:rtl/>
        </w:rPr>
        <w:t xml:space="preserve">מזכירה </w:t>
      </w:r>
      <w:bookmarkStart w:id="71916" w:name="_ETM_Q126_471380"/>
      <w:bookmarkEnd w:id="71916"/>
      <w:r>
        <w:rPr>
          <w:rFonts w:hint="cs"/>
          <w:rtl/>
        </w:rPr>
        <w:t xml:space="preserve">לי </w:t>
      </w:r>
      <w:bookmarkStart w:id="71917" w:name="_ETM_Q126_472100"/>
      <w:bookmarkEnd w:id="71917"/>
      <w:r>
        <w:rPr>
          <w:rFonts w:hint="cs"/>
          <w:rtl/>
        </w:rPr>
        <w:t xml:space="preserve">את </w:t>
      </w:r>
      <w:bookmarkStart w:id="71918" w:name="_ETM_Q126_472310"/>
      <w:bookmarkEnd w:id="71918"/>
      <w:r>
        <w:rPr>
          <w:rFonts w:hint="cs"/>
          <w:rtl/>
        </w:rPr>
        <w:t xml:space="preserve">הסרטים </w:t>
      </w:r>
      <w:bookmarkStart w:id="71919" w:name="_ETM_Q126_473000"/>
      <w:bookmarkEnd w:id="71919"/>
      <w:r>
        <w:rPr>
          <w:rFonts w:hint="cs"/>
          <w:rtl/>
        </w:rPr>
        <w:t xml:space="preserve">בשנות </w:t>
      </w:r>
      <w:bookmarkStart w:id="71920" w:name="_ETM_Q126_473389"/>
      <w:bookmarkEnd w:id="71920"/>
      <w:r>
        <w:rPr>
          <w:rFonts w:hint="cs"/>
          <w:rtl/>
        </w:rPr>
        <w:t>ה</w:t>
      </w:r>
      <w:bookmarkStart w:id="71921" w:name="_ETM_Q126_474460"/>
      <w:bookmarkEnd w:id="71921"/>
      <w:r>
        <w:rPr>
          <w:rFonts w:hint="cs"/>
          <w:rtl/>
        </w:rPr>
        <w:t xml:space="preserve">שמונים על </w:t>
      </w:r>
      <w:bookmarkStart w:id="71922" w:name="_ETM_Q126_474789"/>
      <w:bookmarkEnd w:id="71922"/>
      <w:r>
        <w:rPr>
          <w:rFonts w:hint="cs"/>
          <w:rtl/>
        </w:rPr>
        <w:t xml:space="preserve">מערב </w:t>
      </w:r>
      <w:bookmarkStart w:id="71923" w:name="_ETM_Q126_475150"/>
      <w:bookmarkEnd w:id="71923"/>
      <w:r>
        <w:rPr>
          <w:rFonts w:hint="cs"/>
          <w:rtl/>
        </w:rPr>
        <w:t xml:space="preserve">פרוע. </w:t>
      </w:r>
      <w:bookmarkStart w:id="71924" w:name="_ETM_Q126_476800"/>
      <w:bookmarkEnd w:id="71924"/>
      <w:r>
        <w:rPr>
          <w:rFonts w:hint="cs"/>
          <w:rtl/>
        </w:rPr>
        <w:t xml:space="preserve">אין </w:t>
      </w:r>
      <w:bookmarkStart w:id="71925" w:name="_ETM_Q126_477070"/>
      <w:bookmarkEnd w:id="71925"/>
      <w:r>
        <w:rPr>
          <w:rFonts w:hint="cs"/>
          <w:rtl/>
        </w:rPr>
        <w:t xml:space="preserve">דין </w:t>
      </w:r>
      <w:bookmarkStart w:id="71926" w:name="_ETM_Q126_477370"/>
      <w:bookmarkEnd w:id="71926"/>
      <w:r>
        <w:rPr>
          <w:rFonts w:hint="cs"/>
          <w:rtl/>
        </w:rPr>
        <w:t xml:space="preserve">ואין </w:t>
      </w:r>
      <w:bookmarkStart w:id="71927" w:name="_ETM_Q126_477610"/>
      <w:bookmarkEnd w:id="71927"/>
      <w:r>
        <w:rPr>
          <w:rFonts w:hint="cs"/>
          <w:rtl/>
        </w:rPr>
        <w:t xml:space="preserve">דיין. </w:t>
      </w:r>
      <w:bookmarkStart w:id="71928" w:name="_ETM_Q126_479310"/>
      <w:bookmarkEnd w:id="71928"/>
      <w:r>
        <w:rPr>
          <w:rFonts w:hint="cs"/>
          <w:rtl/>
        </w:rPr>
        <w:t xml:space="preserve">אנחנו </w:t>
      </w:r>
      <w:bookmarkStart w:id="71929" w:name="_ETM_Q126_479669"/>
      <w:bookmarkEnd w:id="71929"/>
      <w:r>
        <w:rPr>
          <w:rFonts w:hint="cs"/>
          <w:rtl/>
        </w:rPr>
        <w:t xml:space="preserve">חסרי </w:t>
      </w:r>
      <w:bookmarkStart w:id="71930" w:name="_ETM_Q126_480060"/>
      <w:bookmarkEnd w:id="71930"/>
      <w:r>
        <w:rPr>
          <w:rFonts w:hint="cs"/>
          <w:rtl/>
        </w:rPr>
        <w:t xml:space="preserve">אונים. </w:t>
      </w:r>
      <w:bookmarkStart w:id="71931" w:name="_ETM_Q126_484009"/>
      <w:bookmarkEnd w:id="71931"/>
    </w:p>
    <w:p w:rsidR="00BB59CD" w:rsidRDefault="00BB59CD" w:rsidP="00BB59CD">
      <w:pPr>
        <w:rPr>
          <w:rtl/>
        </w:rPr>
      </w:pPr>
    </w:p>
    <w:p w:rsidR="00BB59CD" w:rsidRDefault="00BB59CD" w:rsidP="002F7246">
      <w:pPr>
        <w:rPr>
          <w:rtl/>
        </w:rPr>
      </w:pPr>
      <w:r>
        <w:rPr>
          <w:rFonts w:hint="cs"/>
          <w:rtl/>
        </w:rPr>
        <w:t xml:space="preserve">האם </w:t>
      </w:r>
      <w:bookmarkStart w:id="71932" w:name="_ETM_Q126_484279"/>
      <w:bookmarkStart w:id="71933" w:name="_ETM_Q126_484490"/>
      <w:bookmarkEnd w:id="71932"/>
      <w:bookmarkEnd w:id="71933"/>
      <w:r>
        <w:rPr>
          <w:rFonts w:hint="cs"/>
          <w:rtl/>
        </w:rPr>
        <w:t xml:space="preserve">ניכנס </w:t>
      </w:r>
      <w:bookmarkStart w:id="71934" w:name="_ETM_Q126_484819"/>
      <w:bookmarkEnd w:id="71934"/>
      <w:r>
        <w:rPr>
          <w:rFonts w:hint="cs"/>
          <w:rtl/>
        </w:rPr>
        <w:t xml:space="preserve">לייאוש? </w:t>
      </w:r>
      <w:bookmarkStart w:id="71935" w:name="_ETM_Q126_486060"/>
      <w:bookmarkEnd w:id="71935"/>
      <w:r>
        <w:rPr>
          <w:rFonts w:hint="cs"/>
          <w:rtl/>
        </w:rPr>
        <w:t xml:space="preserve">אולי. </w:t>
      </w:r>
      <w:bookmarkStart w:id="71936" w:name="_ETM_Q126_488040"/>
      <w:bookmarkEnd w:id="71936"/>
      <w:r>
        <w:rPr>
          <w:rFonts w:hint="cs"/>
          <w:rtl/>
        </w:rPr>
        <w:t xml:space="preserve">הרבה </w:t>
      </w:r>
      <w:bookmarkStart w:id="71937" w:name="_ETM_Q126_488370"/>
      <w:bookmarkEnd w:id="71937"/>
      <w:r>
        <w:rPr>
          <w:rFonts w:hint="cs"/>
          <w:rtl/>
        </w:rPr>
        <w:t xml:space="preserve">אנשים </w:t>
      </w:r>
      <w:bookmarkStart w:id="71938" w:name="_ETM_Q126_488789"/>
      <w:bookmarkEnd w:id="71938"/>
      <w:r>
        <w:rPr>
          <w:rFonts w:hint="cs"/>
          <w:rtl/>
        </w:rPr>
        <w:t xml:space="preserve">נורמטיביים </w:t>
      </w:r>
      <w:bookmarkStart w:id="71939" w:name="_ETM_Q126_491009"/>
      <w:bookmarkEnd w:id="71939"/>
      <w:r>
        <w:rPr>
          <w:rFonts w:hint="cs"/>
          <w:rtl/>
        </w:rPr>
        <w:t xml:space="preserve">התחילו </w:t>
      </w:r>
      <w:bookmarkStart w:id="71940" w:name="_ETM_Q126_491490"/>
      <w:bookmarkEnd w:id="71940"/>
      <w:r>
        <w:rPr>
          <w:rFonts w:hint="cs"/>
          <w:rtl/>
        </w:rPr>
        <w:t xml:space="preserve">לחפש </w:t>
      </w:r>
      <w:bookmarkStart w:id="71941" w:name="_ETM_Q126_491940"/>
      <w:bookmarkEnd w:id="71941"/>
      <w:r>
        <w:rPr>
          <w:rFonts w:hint="cs"/>
          <w:rtl/>
        </w:rPr>
        <w:t xml:space="preserve">דרכים </w:t>
      </w:r>
      <w:bookmarkStart w:id="71942" w:name="_ETM_Q126_492330"/>
      <w:bookmarkEnd w:id="71942"/>
      <w:r>
        <w:rPr>
          <w:rFonts w:hint="cs"/>
          <w:rtl/>
        </w:rPr>
        <w:t xml:space="preserve">לרכישת </w:t>
      </w:r>
      <w:bookmarkStart w:id="71943" w:name="_ETM_Q126_492929"/>
      <w:bookmarkEnd w:id="71943"/>
      <w:r>
        <w:rPr>
          <w:rFonts w:hint="cs"/>
          <w:rtl/>
        </w:rPr>
        <w:t xml:space="preserve">נשק </w:t>
      </w:r>
      <w:bookmarkStart w:id="71944" w:name="_ETM_Q126_493559"/>
      <w:bookmarkEnd w:id="71944"/>
      <w:r>
        <w:rPr>
          <w:rFonts w:hint="cs"/>
          <w:rtl/>
        </w:rPr>
        <w:t xml:space="preserve">כדי </w:t>
      </w:r>
      <w:bookmarkStart w:id="71945" w:name="_ETM_Q126_493859"/>
      <w:bookmarkEnd w:id="71945"/>
      <w:r>
        <w:rPr>
          <w:rFonts w:hint="cs"/>
          <w:rtl/>
        </w:rPr>
        <w:t xml:space="preserve">להגן </w:t>
      </w:r>
      <w:bookmarkStart w:id="71946" w:name="_ETM_Q126_494189"/>
      <w:bookmarkEnd w:id="71946"/>
      <w:r>
        <w:rPr>
          <w:rFonts w:hint="cs"/>
          <w:rtl/>
        </w:rPr>
        <w:t xml:space="preserve">על </w:t>
      </w:r>
      <w:bookmarkStart w:id="71947" w:name="_ETM_Q126_494309"/>
      <w:bookmarkEnd w:id="71947"/>
      <w:r>
        <w:rPr>
          <w:rFonts w:hint="cs"/>
          <w:rtl/>
        </w:rPr>
        <w:t xml:space="preserve">עצמם. </w:t>
      </w:r>
      <w:bookmarkStart w:id="71948" w:name="_ETM_Q126_496970"/>
      <w:bookmarkEnd w:id="71948"/>
      <w:r>
        <w:rPr>
          <w:rFonts w:hint="cs"/>
          <w:rtl/>
        </w:rPr>
        <w:t xml:space="preserve">אולי </w:t>
      </w:r>
      <w:bookmarkStart w:id="71949" w:name="_ETM_Q126_497330"/>
      <w:bookmarkEnd w:id="71949"/>
      <w:r>
        <w:rPr>
          <w:rFonts w:hint="cs"/>
          <w:rtl/>
        </w:rPr>
        <w:t xml:space="preserve">זה </w:t>
      </w:r>
      <w:bookmarkStart w:id="71950" w:name="_ETM_Q126_497480"/>
      <w:bookmarkEnd w:id="71950"/>
      <w:r>
        <w:rPr>
          <w:rFonts w:hint="cs"/>
          <w:rtl/>
        </w:rPr>
        <w:t xml:space="preserve">הפתרון – </w:t>
      </w:r>
      <w:bookmarkStart w:id="71951" w:name="_ETM_Q126_498990"/>
      <w:bookmarkEnd w:id="71951"/>
      <w:r>
        <w:rPr>
          <w:rFonts w:hint="cs"/>
          <w:rtl/>
        </w:rPr>
        <w:t xml:space="preserve">כי </w:t>
      </w:r>
      <w:bookmarkStart w:id="71952" w:name="_ETM_Q126_499170"/>
      <w:bookmarkEnd w:id="71952"/>
      <w:r>
        <w:rPr>
          <w:rFonts w:hint="cs"/>
          <w:rtl/>
        </w:rPr>
        <w:t xml:space="preserve">אם </w:t>
      </w:r>
      <w:bookmarkStart w:id="71953" w:name="_ETM_Q126_499320"/>
      <w:bookmarkEnd w:id="71953"/>
      <w:r>
        <w:rPr>
          <w:rFonts w:hint="cs"/>
          <w:rtl/>
        </w:rPr>
        <w:t xml:space="preserve">הממשלה </w:t>
      </w:r>
      <w:bookmarkStart w:id="71954" w:name="_ETM_Q126_499770"/>
      <w:bookmarkEnd w:id="71954"/>
      <w:r>
        <w:rPr>
          <w:rFonts w:hint="cs"/>
          <w:rtl/>
        </w:rPr>
        <w:t xml:space="preserve">לא </w:t>
      </w:r>
      <w:bookmarkStart w:id="71955" w:name="_ETM_Q126_499920"/>
      <w:bookmarkEnd w:id="71955"/>
      <w:r>
        <w:rPr>
          <w:rFonts w:hint="cs"/>
          <w:rtl/>
        </w:rPr>
        <w:t xml:space="preserve">מצליחה </w:t>
      </w:r>
      <w:bookmarkStart w:id="71956" w:name="_ETM_Q126_500339"/>
      <w:bookmarkEnd w:id="71956"/>
      <w:r>
        <w:rPr>
          <w:rFonts w:hint="cs"/>
          <w:rtl/>
        </w:rPr>
        <w:t xml:space="preserve">לטפל </w:t>
      </w:r>
      <w:bookmarkStart w:id="71957" w:name="_ETM_Q126_500790"/>
      <w:bookmarkEnd w:id="71957"/>
      <w:r>
        <w:rPr>
          <w:rFonts w:hint="cs"/>
          <w:rtl/>
        </w:rPr>
        <w:t>בפשיעה</w:t>
      </w:r>
      <w:r w:rsidR="002F7246">
        <w:rPr>
          <w:rFonts w:hint="cs"/>
          <w:rtl/>
        </w:rPr>
        <w:t>,</w:t>
      </w:r>
      <w:r>
        <w:rPr>
          <w:rFonts w:hint="cs"/>
          <w:rtl/>
        </w:rPr>
        <w:t xml:space="preserve"> </w:t>
      </w:r>
      <w:bookmarkStart w:id="71958" w:name="_ETM_Q126_502070"/>
      <w:bookmarkEnd w:id="71958"/>
      <w:r>
        <w:rPr>
          <w:rFonts w:hint="cs"/>
          <w:rtl/>
        </w:rPr>
        <w:t xml:space="preserve">לא </w:t>
      </w:r>
      <w:bookmarkStart w:id="71959" w:name="_ETM_Q126_502370"/>
      <w:bookmarkEnd w:id="71959"/>
      <w:r>
        <w:rPr>
          <w:rFonts w:hint="cs"/>
          <w:rtl/>
        </w:rPr>
        <w:t xml:space="preserve">מצליחה </w:t>
      </w:r>
      <w:bookmarkStart w:id="71960" w:name="_ETM_Q126_502820"/>
      <w:bookmarkEnd w:id="71960"/>
      <w:r>
        <w:rPr>
          <w:rFonts w:hint="cs"/>
          <w:rtl/>
        </w:rPr>
        <w:t xml:space="preserve">להילחם </w:t>
      </w:r>
      <w:bookmarkStart w:id="71961" w:name="_ETM_Q126_503360"/>
      <w:bookmarkEnd w:id="71961"/>
      <w:r>
        <w:rPr>
          <w:rFonts w:hint="cs"/>
          <w:rtl/>
        </w:rPr>
        <w:t>בפשיעה</w:t>
      </w:r>
      <w:r w:rsidR="002F7246">
        <w:rPr>
          <w:rFonts w:hint="cs"/>
          <w:rtl/>
        </w:rPr>
        <w:t>,</w:t>
      </w:r>
      <w:r>
        <w:rPr>
          <w:rFonts w:hint="cs"/>
          <w:rtl/>
        </w:rPr>
        <w:t xml:space="preserve"> </w:t>
      </w:r>
      <w:bookmarkStart w:id="71962" w:name="_ETM_Q126_504720"/>
      <w:bookmarkEnd w:id="71962"/>
      <w:r>
        <w:rPr>
          <w:rFonts w:hint="cs"/>
          <w:rtl/>
        </w:rPr>
        <w:t xml:space="preserve">אולי </w:t>
      </w:r>
      <w:bookmarkStart w:id="71963" w:name="_ETM_Q126_505170"/>
      <w:bookmarkEnd w:id="71963"/>
      <w:r>
        <w:rPr>
          <w:rFonts w:hint="cs"/>
          <w:rtl/>
        </w:rPr>
        <w:t xml:space="preserve">הפתרון </w:t>
      </w:r>
      <w:bookmarkStart w:id="71964" w:name="_ETM_Q126_505650"/>
      <w:bookmarkEnd w:id="71964"/>
      <w:r>
        <w:rPr>
          <w:rFonts w:hint="cs"/>
          <w:rtl/>
        </w:rPr>
        <w:t xml:space="preserve">הוא </w:t>
      </w:r>
      <w:bookmarkStart w:id="71965" w:name="_ETM_Q126_506160"/>
      <w:bookmarkEnd w:id="71965"/>
      <w:r>
        <w:rPr>
          <w:rFonts w:hint="cs"/>
          <w:rtl/>
        </w:rPr>
        <w:t xml:space="preserve">לדאוג </w:t>
      </w:r>
      <w:bookmarkStart w:id="71966" w:name="_ETM_Q126_506790"/>
      <w:bookmarkEnd w:id="71966"/>
      <w:r>
        <w:rPr>
          <w:rFonts w:hint="cs"/>
          <w:rtl/>
        </w:rPr>
        <w:t xml:space="preserve">שהממשלה </w:t>
      </w:r>
      <w:bookmarkStart w:id="71967" w:name="_ETM_Q126_507360"/>
      <w:bookmarkEnd w:id="71967"/>
      <w:r>
        <w:rPr>
          <w:rFonts w:hint="cs"/>
          <w:rtl/>
        </w:rPr>
        <w:t xml:space="preserve">תיתן </w:t>
      </w:r>
      <w:bookmarkStart w:id="71968" w:name="_ETM_Q126_508050"/>
      <w:bookmarkEnd w:id="71968"/>
      <w:r>
        <w:rPr>
          <w:rFonts w:hint="cs"/>
          <w:rtl/>
        </w:rPr>
        <w:t xml:space="preserve">נשק </w:t>
      </w:r>
      <w:bookmarkStart w:id="71969" w:name="_ETM_Q126_508710"/>
      <w:bookmarkEnd w:id="71969"/>
      <w:r>
        <w:rPr>
          <w:rFonts w:hint="cs"/>
          <w:rtl/>
        </w:rPr>
        <w:t xml:space="preserve">לכל </w:t>
      </w:r>
      <w:bookmarkStart w:id="71970" w:name="_ETM_Q126_509100"/>
      <w:bookmarkEnd w:id="71970"/>
      <w:r>
        <w:rPr>
          <w:rFonts w:hint="cs"/>
          <w:rtl/>
        </w:rPr>
        <w:t xml:space="preserve">אזרח </w:t>
      </w:r>
      <w:bookmarkStart w:id="71971" w:name="_ETM_Q126_509940"/>
      <w:bookmarkEnd w:id="71971"/>
      <w:r>
        <w:rPr>
          <w:rFonts w:hint="cs"/>
          <w:rtl/>
        </w:rPr>
        <w:t xml:space="preserve">ערבי? </w:t>
      </w:r>
      <w:bookmarkStart w:id="71972" w:name="_ETM_Q126_511130"/>
      <w:bookmarkEnd w:id="71972"/>
      <w:r>
        <w:rPr>
          <w:rFonts w:hint="cs"/>
          <w:rtl/>
        </w:rPr>
        <w:t xml:space="preserve">אולי </w:t>
      </w:r>
      <w:bookmarkStart w:id="71973" w:name="_ETM_Q126_511550"/>
      <w:bookmarkEnd w:id="71973"/>
      <w:r>
        <w:rPr>
          <w:rFonts w:hint="cs"/>
          <w:rtl/>
        </w:rPr>
        <w:t xml:space="preserve">זו </w:t>
      </w:r>
      <w:bookmarkStart w:id="71974" w:name="_ETM_Q126_511759"/>
      <w:bookmarkEnd w:id="71974"/>
      <w:r>
        <w:rPr>
          <w:rFonts w:hint="cs"/>
          <w:rtl/>
        </w:rPr>
        <w:t xml:space="preserve">הדרך </w:t>
      </w:r>
      <w:bookmarkStart w:id="71975" w:name="_ETM_Q126_512680"/>
      <w:bookmarkEnd w:id="71975"/>
      <w:r>
        <w:rPr>
          <w:rFonts w:hint="cs"/>
          <w:rtl/>
        </w:rPr>
        <w:t xml:space="preserve">שבאמצעותה </w:t>
      </w:r>
      <w:bookmarkStart w:id="71976" w:name="_ETM_Q126_513730"/>
      <w:bookmarkEnd w:id="71976"/>
      <w:r>
        <w:rPr>
          <w:rFonts w:hint="cs"/>
          <w:rtl/>
        </w:rPr>
        <w:t xml:space="preserve">נוכל </w:t>
      </w:r>
      <w:bookmarkStart w:id="71977" w:name="_ETM_Q126_514089"/>
      <w:bookmarkEnd w:id="71977"/>
      <w:r>
        <w:rPr>
          <w:rFonts w:hint="cs"/>
          <w:rtl/>
        </w:rPr>
        <w:t xml:space="preserve">להילחם </w:t>
      </w:r>
      <w:bookmarkStart w:id="71978" w:name="_ETM_Q126_515020"/>
      <w:bookmarkEnd w:id="71978"/>
      <w:r>
        <w:rPr>
          <w:rFonts w:hint="cs"/>
          <w:rtl/>
        </w:rPr>
        <w:t>בפשיעה</w:t>
      </w:r>
      <w:r w:rsidR="002F7246">
        <w:rPr>
          <w:rFonts w:hint="cs"/>
          <w:rtl/>
        </w:rPr>
        <w:t>,</w:t>
      </w:r>
      <w:r>
        <w:rPr>
          <w:rFonts w:hint="cs"/>
          <w:rtl/>
        </w:rPr>
        <w:t xml:space="preserve"> </w:t>
      </w:r>
      <w:bookmarkStart w:id="71979" w:name="_ETM_Q126_515920"/>
      <w:bookmarkEnd w:id="71979"/>
      <w:r>
        <w:rPr>
          <w:rFonts w:hint="cs"/>
          <w:rtl/>
        </w:rPr>
        <w:t xml:space="preserve">כי </w:t>
      </w:r>
      <w:bookmarkStart w:id="71980" w:name="_ETM_Q126_516100"/>
      <w:bookmarkEnd w:id="71980"/>
      <w:r>
        <w:rPr>
          <w:rFonts w:hint="cs"/>
          <w:rtl/>
        </w:rPr>
        <w:t xml:space="preserve">אין </w:t>
      </w:r>
      <w:bookmarkStart w:id="71981" w:name="_ETM_Q126_516279"/>
      <w:bookmarkEnd w:id="71981"/>
      <w:r>
        <w:rPr>
          <w:rFonts w:hint="cs"/>
          <w:rtl/>
        </w:rPr>
        <w:t xml:space="preserve">לנו </w:t>
      </w:r>
      <w:bookmarkStart w:id="71982" w:name="_ETM_Q126_516970"/>
      <w:bookmarkEnd w:id="71982"/>
      <w:r>
        <w:rPr>
          <w:rFonts w:hint="cs"/>
          <w:rtl/>
        </w:rPr>
        <w:t xml:space="preserve">דרך </w:t>
      </w:r>
      <w:bookmarkStart w:id="71983" w:name="_ETM_Q126_517300"/>
      <w:bookmarkStart w:id="71984" w:name="_ETM_Q126_517720"/>
      <w:bookmarkStart w:id="71985" w:name="_ETM_Q126_518940"/>
      <w:bookmarkEnd w:id="71983"/>
      <w:bookmarkEnd w:id="71984"/>
      <w:bookmarkEnd w:id="71985"/>
      <w:r>
        <w:rPr>
          <w:rFonts w:hint="cs"/>
          <w:rtl/>
        </w:rPr>
        <w:t xml:space="preserve">אחרת? </w:t>
      </w:r>
      <w:bookmarkStart w:id="71986" w:name="_ETM_Q126_520540"/>
      <w:bookmarkStart w:id="71987" w:name="_ETM_Q126_522701"/>
      <w:bookmarkStart w:id="71988" w:name="_ETM_Q126_522768"/>
      <w:bookmarkStart w:id="71989" w:name="_ETM_Q126_522862"/>
      <w:bookmarkStart w:id="71990" w:name="_ETM_Q126_522912"/>
      <w:bookmarkEnd w:id="71986"/>
      <w:bookmarkEnd w:id="71987"/>
      <w:bookmarkEnd w:id="71988"/>
      <w:bookmarkEnd w:id="71989"/>
      <w:bookmarkEnd w:id="71990"/>
      <w:r>
        <w:rPr>
          <w:rFonts w:hint="cs"/>
          <w:rtl/>
        </w:rPr>
        <w:t xml:space="preserve">הממשלה </w:t>
      </w:r>
      <w:bookmarkStart w:id="71991" w:name="_ETM_Q126_521850"/>
      <w:bookmarkEnd w:id="71991"/>
      <w:r>
        <w:rPr>
          <w:rFonts w:hint="cs"/>
          <w:rtl/>
        </w:rPr>
        <w:t xml:space="preserve">לא </w:t>
      </w:r>
      <w:bookmarkStart w:id="71992" w:name="_ETM_Q126_522120"/>
      <w:bookmarkEnd w:id="71992"/>
      <w:r>
        <w:rPr>
          <w:rFonts w:hint="cs"/>
          <w:rtl/>
        </w:rPr>
        <w:t xml:space="preserve">עושה </w:t>
      </w:r>
      <w:bookmarkStart w:id="71993" w:name="_ETM_Q126_497146"/>
      <w:bookmarkEnd w:id="71993"/>
      <w:r>
        <w:rPr>
          <w:rFonts w:hint="cs"/>
          <w:rtl/>
        </w:rPr>
        <w:t xml:space="preserve">את </w:t>
      </w:r>
      <w:bookmarkStart w:id="71994" w:name="_ETM_Q126_522510"/>
      <w:bookmarkEnd w:id="71994"/>
      <w:r>
        <w:rPr>
          <w:rFonts w:hint="cs"/>
          <w:rtl/>
        </w:rPr>
        <w:t xml:space="preserve">מה </w:t>
      </w:r>
      <w:bookmarkStart w:id="71995" w:name="_ETM_Q126_522779"/>
      <w:bookmarkEnd w:id="71995"/>
      <w:r>
        <w:rPr>
          <w:rFonts w:hint="cs"/>
          <w:rtl/>
        </w:rPr>
        <w:t xml:space="preserve">שמוטל </w:t>
      </w:r>
      <w:bookmarkStart w:id="71996" w:name="_ETM_Q126_523139"/>
      <w:bookmarkEnd w:id="71996"/>
      <w:r>
        <w:rPr>
          <w:rFonts w:hint="cs"/>
          <w:rtl/>
        </w:rPr>
        <w:t xml:space="preserve">עליה. </w:t>
      </w:r>
      <w:bookmarkStart w:id="71997" w:name="_ETM_Q126_524529"/>
      <w:bookmarkEnd w:id="71997"/>
      <w:r>
        <w:rPr>
          <w:rFonts w:hint="cs"/>
          <w:rtl/>
        </w:rPr>
        <w:t xml:space="preserve">השר </w:t>
      </w:r>
      <w:bookmarkStart w:id="71998" w:name="_ETM_Q126_524980"/>
      <w:bookmarkEnd w:id="71998"/>
      <w:r>
        <w:rPr>
          <w:rFonts w:hint="cs"/>
          <w:rtl/>
        </w:rPr>
        <w:t xml:space="preserve">לביטחון </w:t>
      </w:r>
      <w:bookmarkStart w:id="71999" w:name="_ETM_Q126_525820"/>
      <w:bookmarkEnd w:id="71999"/>
      <w:r>
        <w:rPr>
          <w:rFonts w:hint="cs"/>
          <w:rtl/>
        </w:rPr>
        <w:t xml:space="preserve">לאומי </w:t>
      </w:r>
      <w:bookmarkStart w:id="72000" w:name="_ETM_Q126_526660"/>
      <w:bookmarkEnd w:id="72000"/>
      <w:r>
        <w:rPr>
          <w:rFonts w:hint="cs"/>
          <w:rtl/>
        </w:rPr>
        <w:t xml:space="preserve">מעופף. </w:t>
      </w:r>
      <w:bookmarkStart w:id="72001" w:name="_ETM_Q126_527960"/>
      <w:bookmarkEnd w:id="72001"/>
      <w:r>
        <w:rPr>
          <w:rFonts w:hint="cs"/>
          <w:rtl/>
        </w:rPr>
        <w:t xml:space="preserve">הוא </w:t>
      </w:r>
      <w:bookmarkStart w:id="72002" w:name="_ETM_Q126_528050"/>
      <w:bookmarkEnd w:id="72002"/>
      <w:r>
        <w:rPr>
          <w:rFonts w:hint="cs"/>
          <w:rtl/>
        </w:rPr>
        <w:t xml:space="preserve">חושב </w:t>
      </w:r>
      <w:bookmarkStart w:id="72003" w:name="_ETM_Q126_528319"/>
      <w:bookmarkEnd w:id="72003"/>
      <w:r>
        <w:rPr>
          <w:rFonts w:hint="cs"/>
          <w:rtl/>
        </w:rPr>
        <w:t xml:space="preserve">שהוא עצמו </w:t>
      </w:r>
      <w:bookmarkStart w:id="72004" w:name="_ETM_Q126_528679"/>
      <w:bookmarkEnd w:id="72004"/>
      <w:r>
        <w:rPr>
          <w:rFonts w:hint="cs"/>
          <w:rtl/>
        </w:rPr>
        <w:t xml:space="preserve">עדיין </w:t>
      </w:r>
      <w:bookmarkStart w:id="72005" w:name="_ETM_Q126_529039"/>
      <w:bookmarkEnd w:id="72005"/>
      <w:r>
        <w:rPr>
          <w:rFonts w:hint="cs"/>
          <w:rtl/>
        </w:rPr>
        <w:t xml:space="preserve">חבר </w:t>
      </w:r>
      <w:bookmarkStart w:id="72006" w:name="_ETM_Q126_529309"/>
      <w:bookmarkEnd w:id="72006"/>
      <w:r>
        <w:rPr>
          <w:rFonts w:hint="cs"/>
          <w:rtl/>
        </w:rPr>
        <w:t xml:space="preserve">כנסת </w:t>
      </w:r>
      <w:bookmarkStart w:id="72007" w:name="_ETM_Q126_529729"/>
      <w:bookmarkEnd w:id="72007"/>
      <w:r>
        <w:rPr>
          <w:rFonts w:hint="cs"/>
          <w:rtl/>
        </w:rPr>
        <w:t xml:space="preserve">באופוזיציה. </w:t>
      </w:r>
      <w:bookmarkStart w:id="72008" w:name="_ETM_Q126_531770"/>
      <w:bookmarkEnd w:id="72008"/>
      <w:r>
        <w:rPr>
          <w:rFonts w:hint="cs"/>
          <w:rtl/>
        </w:rPr>
        <w:t xml:space="preserve">המשטרה – </w:t>
      </w:r>
      <w:bookmarkStart w:id="72009" w:name="_ETM_Q126_532879"/>
      <w:bookmarkEnd w:id="72009"/>
      <w:r>
        <w:rPr>
          <w:rFonts w:hint="cs"/>
          <w:rtl/>
        </w:rPr>
        <w:t xml:space="preserve">אני </w:t>
      </w:r>
      <w:bookmarkStart w:id="72010" w:name="_ETM_Q126_533120"/>
      <w:bookmarkEnd w:id="72010"/>
      <w:r>
        <w:rPr>
          <w:rFonts w:hint="cs"/>
          <w:rtl/>
        </w:rPr>
        <w:t xml:space="preserve">לא </w:t>
      </w:r>
      <w:bookmarkStart w:id="72011" w:name="_ETM_Q126_533210"/>
      <w:bookmarkEnd w:id="72011"/>
      <w:r>
        <w:rPr>
          <w:rFonts w:hint="cs"/>
          <w:rtl/>
        </w:rPr>
        <w:t xml:space="preserve">יודע </w:t>
      </w:r>
      <w:bookmarkStart w:id="72012" w:name="_ETM_Q126_533390"/>
      <w:bookmarkEnd w:id="72012"/>
      <w:r>
        <w:rPr>
          <w:rFonts w:hint="cs"/>
          <w:rtl/>
        </w:rPr>
        <w:t xml:space="preserve">מה </w:t>
      </w:r>
      <w:bookmarkStart w:id="72013" w:name="_ETM_Q126_533510"/>
      <w:bookmarkEnd w:id="72013"/>
      <w:r>
        <w:rPr>
          <w:rFonts w:hint="cs"/>
          <w:rtl/>
        </w:rPr>
        <w:t xml:space="preserve">היא </w:t>
      </w:r>
      <w:bookmarkStart w:id="72014" w:name="_ETM_Q126_533600"/>
      <w:bookmarkEnd w:id="72014"/>
      <w:r>
        <w:rPr>
          <w:rFonts w:hint="cs"/>
          <w:rtl/>
        </w:rPr>
        <w:t xml:space="preserve">עושה. </w:t>
      </w:r>
      <w:bookmarkStart w:id="72015" w:name="_ETM_Q126_535230"/>
      <w:bookmarkEnd w:id="72015"/>
      <w:r>
        <w:rPr>
          <w:rFonts w:hint="cs"/>
          <w:rtl/>
        </w:rPr>
        <w:t xml:space="preserve">הרבה </w:t>
      </w:r>
      <w:bookmarkStart w:id="72016" w:name="_ETM_Q126_535589"/>
      <w:bookmarkEnd w:id="72016"/>
      <w:r>
        <w:rPr>
          <w:rFonts w:hint="cs"/>
          <w:rtl/>
        </w:rPr>
        <w:t xml:space="preserve">רצח </w:t>
      </w:r>
      <w:bookmarkStart w:id="72017" w:name="_ETM_Q126_536940"/>
      <w:bookmarkEnd w:id="72017"/>
      <w:r>
        <w:rPr>
          <w:rFonts w:hint="cs"/>
          <w:rtl/>
        </w:rPr>
        <w:t xml:space="preserve">וחוסר </w:t>
      </w:r>
      <w:bookmarkStart w:id="72018" w:name="_ETM_Q126_537480"/>
      <w:bookmarkEnd w:id="72018"/>
      <w:r>
        <w:rPr>
          <w:rFonts w:hint="cs"/>
          <w:rtl/>
        </w:rPr>
        <w:t>פ</w:t>
      </w:r>
      <w:r w:rsidR="002F7246">
        <w:rPr>
          <w:rFonts w:hint="cs"/>
          <w:rtl/>
        </w:rPr>
        <w:t>י</w:t>
      </w:r>
      <w:r>
        <w:rPr>
          <w:rFonts w:hint="cs"/>
          <w:rtl/>
        </w:rPr>
        <w:t xml:space="preserve">ענוח – </w:t>
      </w:r>
      <w:bookmarkStart w:id="72019" w:name="_ETM_Q126_538610"/>
      <w:bookmarkEnd w:id="72019"/>
      <w:r>
        <w:rPr>
          <w:rFonts w:hint="cs"/>
          <w:rtl/>
        </w:rPr>
        <w:t xml:space="preserve">כמעט </w:t>
      </w:r>
      <w:bookmarkStart w:id="72020" w:name="_ETM_Q126_539149"/>
      <w:bookmarkStart w:id="72021" w:name="_ETM_Q126_539660"/>
      <w:bookmarkEnd w:id="72020"/>
      <w:bookmarkEnd w:id="72021"/>
      <w:r>
        <w:rPr>
          <w:rFonts w:hint="cs"/>
          <w:rtl/>
        </w:rPr>
        <w:t xml:space="preserve">אפס </w:t>
      </w:r>
      <w:bookmarkStart w:id="72022" w:name="_ETM_Q126_541766"/>
      <w:bookmarkEnd w:id="72022"/>
      <w:r>
        <w:rPr>
          <w:rFonts w:hint="cs"/>
          <w:rtl/>
        </w:rPr>
        <w:t>פ</w:t>
      </w:r>
      <w:r w:rsidR="002F7246">
        <w:rPr>
          <w:rFonts w:hint="cs"/>
          <w:rtl/>
        </w:rPr>
        <w:t>י</w:t>
      </w:r>
      <w:r>
        <w:rPr>
          <w:rFonts w:hint="cs"/>
          <w:rtl/>
        </w:rPr>
        <w:t xml:space="preserve">ענוח </w:t>
      </w:r>
      <w:bookmarkStart w:id="72023" w:name="_ETM_Q126_540140"/>
      <w:bookmarkEnd w:id="72023"/>
      <w:r>
        <w:rPr>
          <w:rFonts w:hint="cs"/>
          <w:rtl/>
        </w:rPr>
        <w:t xml:space="preserve">של </w:t>
      </w:r>
      <w:bookmarkStart w:id="72024" w:name="_ETM_Q126_540320"/>
      <w:bookmarkEnd w:id="72024"/>
      <w:r>
        <w:rPr>
          <w:rFonts w:hint="cs"/>
          <w:rtl/>
        </w:rPr>
        <w:t xml:space="preserve">מקרי הרצח. </w:t>
      </w:r>
      <w:bookmarkStart w:id="72025" w:name="_ETM_Q126_548240"/>
      <w:bookmarkEnd w:id="72025"/>
    </w:p>
    <w:p w:rsidR="00BB59CD" w:rsidRDefault="00BB59CD" w:rsidP="00BB59CD">
      <w:pPr>
        <w:rPr>
          <w:rtl/>
        </w:rPr>
      </w:pPr>
      <w:bookmarkStart w:id="72026" w:name="_ETM_Q126_552086"/>
      <w:bookmarkStart w:id="72027" w:name="_ETM_Q126_552140"/>
      <w:bookmarkEnd w:id="72026"/>
      <w:bookmarkEnd w:id="72027"/>
    </w:p>
    <w:p w:rsidR="00BB59CD" w:rsidRDefault="00BB59CD" w:rsidP="002F7246">
      <w:pPr>
        <w:rPr>
          <w:rtl/>
        </w:rPr>
      </w:pPr>
      <w:bookmarkStart w:id="72028" w:name="_ETM_Q126_552230"/>
      <w:bookmarkStart w:id="72029" w:name="_ETM_Q126_552286"/>
      <w:bookmarkEnd w:id="72028"/>
      <w:bookmarkEnd w:id="72029"/>
      <w:r>
        <w:rPr>
          <w:rFonts w:hint="cs"/>
          <w:rtl/>
        </w:rPr>
        <w:t xml:space="preserve">דוח </w:t>
      </w:r>
      <w:bookmarkStart w:id="72030" w:name="_ETM_Q126_548750"/>
      <w:bookmarkEnd w:id="72030"/>
      <w:r>
        <w:rPr>
          <w:rFonts w:hint="cs"/>
          <w:rtl/>
        </w:rPr>
        <w:t xml:space="preserve">אמאן </w:t>
      </w:r>
      <w:bookmarkStart w:id="72031" w:name="_ETM_Q126_550270"/>
      <w:bookmarkEnd w:id="72031"/>
      <w:r>
        <w:rPr>
          <w:rFonts w:hint="cs"/>
          <w:rtl/>
        </w:rPr>
        <w:t xml:space="preserve">לחברה </w:t>
      </w:r>
      <w:bookmarkStart w:id="72032" w:name="_ETM_Q126_550930"/>
      <w:bookmarkEnd w:id="72032"/>
      <w:r>
        <w:rPr>
          <w:rFonts w:hint="cs"/>
          <w:rtl/>
        </w:rPr>
        <w:t xml:space="preserve">בטוחה </w:t>
      </w:r>
      <w:bookmarkStart w:id="72033" w:name="_ETM_Q126_552299"/>
      <w:bookmarkStart w:id="72034" w:name="_ETM_Q126_552810"/>
      <w:bookmarkEnd w:id="72033"/>
      <w:bookmarkEnd w:id="72034"/>
      <w:r>
        <w:rPr>
          <w:rFonts w:hint="cs"/>
          <w:rtl/>
        </w:rPr>
        <w:t xml:space="preserve">מציין </w:t>
      </w:r>
      <w:bookmarkStart w:id="72035" w:name="_ETM_Q126_555490"/>
      <w:bookmarkEnd w:id="72035"/>
      <w:r>
        <w:rPr>
          <w:rFonts w:hint="cs"/>
          <w:rtl/>
        </w:rPr>
        <w:t xml:space="preserve">את </w:t>
      </w:r>
      <w:bookmarkStart w:id="72036" w:name="_ETM_Q126_555670"/>
      <w:bookmarkEnd w:id="72036"/>
      <w:r>
        <w:rPr>
          <w:rFonts w:hint="cs"/>
          <w:rtl/>
        </w:rPr>
        <w:t xml:space="preserve">המחירים </w:t>
      </w:r>
      <w:bookmarkStart w:id="72037" w:name="_ETM_Q126_556560"/>
      <w:bookmarkEnd w:id="72037"/>
      <w:r>
        <w:rPr>
          <w:rFonts w:hint="cs"/>
          <w:rtl/>
        </w:rPr>
        <w:t xml:space="preserve">הכבדים </w:t>
      </w:r>
      <w:bookmarkStart w:id="72038" w:name="_ETM_Q126_558450"/>
      <w:bookmarkEnd w:id="72038"/>
      <w:r>
        <w:rPr>
          <w:rFonts w:hint="cs"/>
          <w:rtl/>
        </w:rPr>
        <w:t xml:space="preserve">שמשלמת </w:t>
      </w:r>
      <w:bookmarkStart w:id="72039" w:name="_ETM_Q126_559140"/>
      <w:bookmarkEnd w:id="72039"/>
      <w:r>
        <w:rPr>
          <w:rFonts w:hint="cs"/>
          <w:rtl/>
        </w:rPr>
        <w:t xml:space="preserve">החברה </w:t>
      </w:r>
      <w:bookmarkStart w:id="72040" w:name="_ETM_Q126_559740"/>
      <w:bookmarkEnd w:id="72040"/>
      <w:r>
        <w:rPr>
          <w:rFonts w:hint="cs"/>
          <w:rtl/>
        </w:rPr>
        <w:t xml:space="preserve">הערבית </w:t>
      </w:r>
      <w:bookmarkStart w:id="72041" w:name="_ETM_Q126_561250"/>
      <w:bookmarkEnd w:id="72041"/>
      <w:r>
        <w:rPr>
          <w:rFonts w:hint="cs"/>
          <w:rtl/>
        </w:rPr>
        <w:t xml:space="preserve">כתוצאה </w:t>
      </w:r>
      <w:bookmarkStart w:id="72042" w:name="_ETM_Q126_562180"/>
      <w:bookmarkEnd w:id="72042"/>
      <w:r>
        <w:rPr>
          <w:rFonts w:hint="cs"/>
          <w:rtl/>
        </w:rPr>
        <w:t xml:space="preserve">מהידרדרות </w:t>
      </w:r>
      <w:bookmarkStart w:id="72043" w:name="_ETM_Q126_563320"/>
      <w:bookmarkEnd w:id="72043"/>
      <w:r>
        <w:rPr>
          <w:rFonts w:hint="cs"/>
          <w:rtl/>
        </w:rPr>
        <w:t xml:space="preserve">הערכים </w:t>
      </w:r>
      <w:bookmarkStart w:id="72044" w:name="_ETM_Q126_564520"/>
      <w:bookmarkEnd w:id="72044"/>
      <w:r>
        <w:rPr>
          <w:rFonts w:hint="cs"/>
          <w:rtl/>
        </w:rPr>
        <w:t xml:space="preserve">בקרב </w:t>
      </w:r>
      <w:bookmarkStart w:id="72045" w:name="_ETM_Q126_565270"/>
      <w:bookmarkEnd w:id="72045"/>
      <w:r>
        <w:rPr>
          <w:rFonts w:hint="cs"/>
          <w:rtl/>
        </w:rPr>
        <w:t xml:space="preserve">הצעירים, </w:t>
      </w:r>
      <w:bookmarkStart w:id="72046" w:name="_ETM_Q126_566710"/>
      <w:bookmarkEnd w:id="72046"/>
      <w:r>
        <w:rPr>
          <w:rFonts w:hint="cs"/>
          <w:rtl/>
        </w:rPr>
        <w:t xml:space="preserve">שכן </w:t>
      </w:r>
      <w:bookmarkStart w:id="72047" w:name="_ETM_Q126_567729"/>
      <w:bookmarkEnd w:id="72047"/>
      <w:r>
        <w:rPr>
          <w:rFonts w:hint="cs"/>
          <w:rtl/>
        </w:rPr>
        <w:t xml:space="preserve">הפשיעה </w:t>
      </w:r>
      <w:bookmarkStart w:id="72048" w:name="_ETM_Q126_568479"/>
      <w:bookmarkEnd w:id="72048"/>
      <w:r>
        <w:rPr>
          <w:rFonts w:hint="cs"/>
          <w:rtl/>
        </w:rPr>
        <w:t xml:space="preserve">אינה </w:t>
      </w:r>
      <w:bookmarkStart w:id="72049" w:name="_ETM_Q126_568810"/>
      <w:bookmarkEnd w:id="72049"/>
      <w:r>
        <w:rPr>
          <w:rFonts w:hint="cs"/>
          <w:rtl/>
        </w:rPr>
        <w:t xml:space="preserve">מבדילה </w:t>
      </w:r>
      <w:bookmarkStart w:id="72050" w:name="_ETM_Q126_570520"/>
      <w:bookmarkEnd w:id="72050"/>
      <w:r>
        <w:rPr>
          <w:rFonts w:hint="cs"/>
          <w:rtl/>
        </w:rPr>
        <w:t xml:space="preserve">עוד </w:t>
      </w:r>
      <w:bookmarkStart w:id="72051" w:name="_ETM_Q126_571120"/>
      <w:bookmarkEnd w:id="72051"/>
      <w:r>
        <w:rPr>
          <w:rFonts w:hint="cs"/>
          <w:rtl/>
        </w:rPr>
        <w:t xml:space="preserve">בין </w:t>
      </w:r>
      <w:bookmarkStart w:id="72052" w:name="_ETM_Q126_571480"/>
      <w:bookmarkEnd w:id="72052"/>
      <w:r>
        <w:rPr>
          <w:rFonts w:hint="cs"/>
          <w:rtl/>
        </w:rPr>
        <w:t xml:space="preserve">ילד </w:t>
      </w:r>
      <w:bookmarkStart w:id="72053" w:name="_ETM_Q126_571930"/>
      <w:bookmarkEnd w:id="72053"/>
      <w:r>
        <w:rPr>
          <w:rFonts w:hint="cs"/>
          <w:rtl/>
        </w:rPr>
        <w:t xml:space="preserve">לצעיר, </w:t>
      </w:r>
      <w:bookmarkStart w:id="72054" w:name="_ETM_Q126_573930"/>
      <w:bookmarkEnd w:id="72054"/>
      <w:r>
        <w:rPr>
          <w:rFonts w:hint="cs"/>
          <w:rtl/>
        </w:rPr>
        <w:t xml:space="preserve">או </w:t>
      </w:r>
      <w:bookmarkStart w:id="72055" w:name="_ETM_Q126_574080"/>
      <w:bookmarkEnd w:id="72055"/>
      <w:r>
        <w:rPr>
          <w:rFonts w:hint="cs"/>
          <w:rtl/>
        </w:rPr>
        <w:t xml:space="preserve">בין </w:t>
      </w:r>
      <w:bookmarkStart w:id="72056" w:name="_ETM_Q126_574350"/>
      <w:bookmarkEnd w:id="72056"/>
      <w:r>
        <w:rPr>
          <w:rFonts w:hint="cs"/>
          <w:rtl/>
        </w:rPr>
        <w:t xml:space="preserve">גבר </w:t>
      </w:r>
      <w:bookmarkStart w:id="72057" w:name="_ETM_Q126_575350"/>
      <w:bookmarkEnd w:id="72057"/>
      <w:r>
        <w:rPr>
          <w:rFonts w:hint="cs"/>
          <w:rtl/>
        </w:rPr>
        <w:t xml:space="preserve">לאישה </w:t>
      </w:r>
      <w:bookmarkStart w:id="72058" w:name="_ETM_Q126_577420"/>
      <w:bookmarkStart w:id="72059" w:name="_ETM_Q126_577540"/>
      <w:bookmarkEnd w:id="72058"/>
      <w:bookmarkEnd w:id="72059"/>
      <w:r>
        <w:rPr>
          <w:rFonts w:hint="cs"/>
          <w:rtl/>
        </w:rPr>
        <w:t xml:space="preserve">ובין </w:t>
      </w:r>
      <w:bookmarkStart w:id="72060" w:name="_ETM_Q126_577779"/>
      <w:bookmarkEnd w:id="72060"/>
      <w:r>
        <w:rPr>
          <w:rFonts w:hint="cs"/>
          <w:rtl/>
        </w:rPr>
        <w:t xml:space="preserve">העוסקים </w:t>
      </w:r>
      <w:bookmarkStart w:id="72061" w:name="_ETM_Q126_578290"/>
      <w:bookmarkEnd w:id="72061"/>
      <w:r>
        <w:rPr>
          <w:rFonts w:hint="cs"/>
          <w:rtl/>
        </w:rPr>
        <w:t xml:space="preserve">בעולם </w:t>
      </w:r>
      <w:bookmarkStart w:id="72062" w:name="_ETM_Q126_578680"/>
      <w:bookmarkEnd w:id="72062"/>
      <w:r>
        <w:rPr>
          <w:rFonts w:hint="cs"/>
          <w:rtl/>
        </w:rPr>
        <w:t xml:space="preserve">הפשע </w:t>
      </w:r>
      <w:bookmarkStart w:id="72063" w:name="_ETM_Q126_579810"/>
      <w:bookmarkEnd w:id="72063"/>
      <w:r>
        <w:rPr>
          <w:rFonts w:hint="cs"/>
          <w:rtl/>
        </w:rPr>
        <w:t xml:space="preserve">לבין </w:t>
      </w:r>
      <w:bookmarkStart w:id="72064" w:name="_ETM_Q126_580350"/>
      <w:bookmarkEnd w:id="72064"/>
      <w:r>
        <w:rPr>
          <w:rFonts w:hint="cs"/>
          <w:rtl/>
        </w:rPr>
        <w:t xml:space="preserve">מי </w:t>
      </w:r>
      <w:bookmarkStart w:id="72065" w:name="_ETM_Q126_580619"/>
      <w:bookmarkEnd w:id="72065"/>
      <w:r>
        <w:rPr>
          <w:rFonts w:hint="cs"/>
          <w:rtl/>
        </w:rPr>
        <w:t xml:space="preserve">שאין </w:t>
      </w:r>
      <w:bookmarkStart w:id="72066" w:name="_ETM_Q126_581460"/>
      <w:bookmarkEnd w:id="72066"/>
      <w:r>
        <w:rPr>
          <w:rFonts w:hint="cs"/>
          <w:rtl/>
        </w:rPr>
        <w:t xml:space="preserve">לו </w:t>
      </w:r>
      <w:bookmarkStart w:id="72067" w:name="_ETM_Q126_581700"/>
      <w:bookmarkEnd w:id="72067"/>
      <w:r>
        <w:rPr>
          <w:rFonts w:hint="cs"/>
          <w:rtl/>
        </w:rPr>
        <w:t xml:space="preserve">כל </w:t>
      </w:r>
      <w:bookmarkStart w:id="72068" w:name="_ETM_Q126_581969"/>
      <w:bookmarkEnd w:id="72068"/>
      <w:r>
        <w:rPr>
          <w:rFonts w:hint="cs"/>
          <w:rtl/>
        </w:rPr>
        <w:t xml:space="preserve">קשר </w:t>
      </w:r>
      <w:bookmarkStart w:id="72069" w:name="_ETM_Q126_583710"/>
      <w:bookmarkEnd w:id="72069"/>
      <w:r>
        <w:rPr>
          <w:rFonts w:hint="cs"/>
          <w:rtl/>
        </w:rPr>
        <w:t xml:space="preserve">אליו. </w:t>
      </w:r>
      <w:bookmarkStart w:id="72070" w:name="_ETM_Q126_585180"/>
      <w:bookmarkEnd w:id="72070"/>
      <w:r>
        <w:rPr>
          <w:rFonts w:hint="cs"/>
          <w:rtl/>
        </w:rPr>
        <w:t xml:space="preserve">כל </w:t>
      </w:r>
      <w:bookmarkStart w:id="72071" w:name="_ETM_Q126_585479"/>
      <w:bookmarkEnd w:id="72071"/>
      <w:r>
        <w:rPr>
          <w:rFonts w:hint="cs"/>
          <w:rtl/>
        </w:rPr>
        <w:t xml:space="preserve">זה </w:t>
      </w:r>
      <w:bookmarkStart w:id="72072" w:name="_ETM_Q126_586700"/>
      <w:bookmarkEnd w:id="72072"/>
      <w:r>
        <w:rPr>
          <w:rFonts w:hint="cs"/>
          <w:rtl/>
        </w:rPr>
        <w:t xml:space="preserve">מתווסף </w:t>
      </w:r>
      <w:bookmarkStart w:id="72073" w:name="_ETM_Q126_587689"/>
      <w:bookmarkEnd w:id="72073"/>
      <w:r>
        <w:rPr>
          <w:rFonts w:hint="cs"/>
          <w:rtl/>
        </w:rPr>
        <w:t xml:space="preserve">להידרדרות </w:t>
      </w:r>
      <w:bookmarkStart w:id="72074" w:name="_ETM_Q126_588560"/>
      <w:bookmarkEnd w:id="72074"/>
      <w:r>
        <w:rPr>
          <w:rFonts w:hint="cs"/>
          <w:rtl/>
        </w:rPr>
        <w:t xml:space="preserve">החינוכית </w:t>
      </w:r>
      <w:bookmarkStart w:id="72075" w:name="_ETM_Q126_589700"/>
      <w:bookmarkEnd w:id="72075"/>
      <w:r>
        <w:rPr>
          <w:rFonts w:hint="cs"/>
          <w:rtl/>
        </w:rPr>
        <w:t xml:space="preserve">החברתית </w:t>
      </w:r>
      <w:bookmarkStart w:id="72076" w:name="_ETM_Q126_590810"/>
      <w:bookmarkEnd w:id="72076"/>
      <w:r>
        <w:rPr>
          <w:rFonts w:hint="cs"/>
          <w:rtl/>
        </w:rPr>
        <w:t xml:space="preserve">והכלכלית </w:t>
      </w:r>
      <w:bookmarkStart w:id="72077" w:name="_ETM_Q126_592170"/>
      <w:bookmarkEnd w:id="72077"/>
      <w:r>
        <w:rPr>
          <w:rFonts w:hint="cs"/>
          <w:rtl/>
        </w:rPr>
        <w:t xml:space="preserve">ביישובים </w:t>
      </w:r>
      <w:bookmarkStart w:id="72078" w:name="_ETM_Q126_593189"/>
      <w:bookmarkEnd w:id="72078"/>
      <w:r>
        <w:rPr>
          <w:rFonts w:hint="cs"/>
          <w:rtl/>
        </w:rPr>
        <w:t xml:space="preserve">הערביים. </w:t>
      </w:r>
    </w:p>
    <w:p w:rsidR="00BB59CD" w:rsidRDefault="00BB59CD" w:rsidP="00BB59CD">
      <w:pPr>
        <w:rPr>
          <w:rtl/>
        </w:rPr>
      </w:pPr>
      <w:bookmarkStart w:id="72079" w:name="_ETM_Q126_610441"/>
      <w:bookmarkStart w:id="72080" w:name="_ETM_Q126_610493"/>
      <w:bookmarkEnd w:id="72079"/>
      <w:bookmarkEnd w:id="72080"/>
    </w:p>
    <w:p w:rsidR="00BB59CD" w:rsidRDefault="00BB59CD" w:rsidP="002F7246">
      <w:pPr>
        <w:rPr>
          <w:rtl/>
        </w:rPr>
      </w:pPr>
      <w:bookmarkStart w:id="72081" w:name="_ETM_Q126_610584"/>
      <w:bookmarkStart w:id="72082" w:name="_ETM_Q126_610627"/>
      <w:bookmarkEnd w:id="72081"/>
      <w:bookmarkEnd w:id="72082"/>
      <w:r>
        <w:rPr>
          <w:rFonts w:hint="cs"/>
          <w:rtl/>
        </w:rPr>
        <w:t xml:space="preserve">אחד </w:t>
      </w:r>
      <w:bookmarkStart w:id="72083" w:name="_ETM_Q126_595919"/>
      <w:bookmarkStart w:id="72084" w:name="_ETM_Q126_596279"/>
      <w:bookmarkEnd w:id="72083"/>
      <w:bookmarkEnd w:id="72084"/>
      <w:r>
        <w:rPr>
          <w:rFonts w:hint="cs"/>
          <w:rtl/>
        </w:rPr>
        <w:t xml:space="preserve">הגורמים </w:t>
      </w:r>
      <w:bookmarkStart w:id="72085" w:name="_ETM_Q126_596909"/>
      <w:bookmarkEnd w:id="72085"/>
      <w:r>
        <w:rPr>
          <w:rFonts w:hint="cs"/>
          <w:rtl/>
        </w:rPr>
        <w:t>ל</w:t>
      </w:r>
      <w:bookmarkStart w:id="72086" w:name="_ETM_Q126_597029"/>
      <w:bookmarkEnd w:id="72086"/>
      <w:r>
        <w:rPr>
          <w:rFonts w:hint="cs"/>
          <w:rtl/>
        </w:rPr>
        <w:t xml:space="preserve">אלימות </w:t>
      </w:r>
      <w:bookmarkStart w:id="72087" w:name="_ETM_Q126_597569"/>
      <w:bookmarkEnd w:id="72087"/>
      <w:r>
        <w:rPr>
          <w:rFonts w:hint="cs"/>
          <w:rtl/>
        </w:rPr>
        <w:t xml:space="preserve">ולפשיעה </w:t>
      </w:r>
      <w:bookmarkStart w:id="72088" w:name="_ETM_Q126_598079"/>
      <w:bookmarkEnd w:id="72088"/>
      <w:r>
        <w:rPr>
          <w:rFonts w:hint="cs"/>
          <w:rtl/>
        </w:rPr>
        <w:t xml:space="preserve">בחברה </w:t>
      </w:r>
      <w:bookmarkStart w:id="72089" w:name="_ETM_Q126_598499"/>
      <w:bookmarkEnd w:id="72089"/>
      <w:r>
        <w:rPr>
          <w:rFonts w:hint="cs"/>
          <w:rtl/>
        </w:rPr>
        <w:t xml:space="preserve">הערבית </w:t>
      </w:r>
      <w:bookmarkStart w:id="72090" w:name="_ETM_Q126_600589"/>
      <w:bookmarkEnd w:id="72090"/>
      <w:r>
        <w:rPr>
          <w:rFonts w:hint="cs"/>
          <w:rtl/>
        </w:rPr>
        <w:t xml:space="preserve">הוא </w:t>
      </w:r>
      <w:bookmarkStart w:id="72091" w:name="_ETM_Q126_600770"/>
      <w:bookmarkEnd w:id="72091"/>
      <w:r>
        <w:rPr>
          <w:rFonts w:hint="cs"/>
          <w:rtl/>
        </w:rPr>
        <w:t xml:space="preserve">השקעה </w:t>
      </w:r>
      <w:bookmarkStart w:id="72092" w:name="_ETM_Q126_601189"/>
      <w:bookmarkEnd w:id="72092"/>
      <w:r>
        <w:rPr>
          <w:rFonts w:hint="cs"/>
          <w:rtl/>
        </w:rPr>
        <w:t xml:space="preserve">נמוכה </w:t>
      </w:r>
      <w:bookmarkStart w:id="72093" w:name="_ETM_Q126_602679"/>
      <w:bookmarkEnd w:id="72093"/>
      <w:r>
        <w:rPr>
          <w:rFonts w:hint="cs"/>
          <w:rtl/>
        </w:rPr>
        <w:t xml:space="preserve">במסגרות </w:t>
      </w:r>
      <w:bookmarkStart w:id="72094" w:name="_ETM_Q126_603369"/>
      <w:bookmarkEnd w:id="72094"/>
      <w:r w:rsidR="002F7246">
        <w:rPr>
          <w:rFonts w:hint="cs"/>
          <w:rtl/>
        </w:rPr>
        <w:t>ב</w:t>
      </w:r>
      <w:r>
        <w:rPr>
          <w:rFonts w:hint="cs"/>
          <w:rtl/>
        </w:rPr>
        <w:t xml:space="preserve">חינוך </w:t>
      </w:r>
      <w:bookmarkStart w:id="72095" w:name="_ETM_Q126_603969"/>
      <w:bookmarkEnd w:id="72095"/>
      <w:r>
        <w:rPr>
          <w:rFonts w:hint="cs"/>
          <w:rtl/>
        </w:rPr>
        <w:t>הבלתי</w:t>
      </w:r>
      <w:bookmarkStart w:id="72096" w:name="_ETM_Q126_604479"/>
      <w:bookmarkEnd w:id="72096"/>
      <w:r>
        <w:rPr>
          <w:rFonts w:hint="cs"/>
          <w:rtl/>
        </w:rPr>
        <w:t xml:space="preserve">-פורמלי </w:t>
      </w:r>
      <w:bookmarkStart w:id="72097" w:name="_ETM_Q126_605229"/>
      <w:bookmarkEnd w:id="72097"/>
      <w:r>
        <w:rPr>
          <w:rFonts w:hint="cs"/>
          <w:rtl/>
        </w:rPr>
        <w:t xml:space="preserve">לבני </w:t>
      </w:r>
      <w:bookmarkStart w:id="72098" w:name="_ETM_Q126_605589"/>
      <w:bookmarkEnd w:id="72098"/>
      <w:r>
        <w:rPr>
          <w:rFonts w:hint="cs"/>
          <w:rtl/>
        </w:rPr>
        <w:t xml:space="preserve">הנוער. </w:t>
      </w:r>
      <w:bookmarkStart w:id="72099" w:name="_ETM_Q126_608520"/>
      <w:bookmarkEnd w:id="72099"/>
      <w:r>
        <w:rPr>
          <w:rFonts w:hint="cs"/>
          <w:rtl/>
        </w:rPr>
        <w:t xml:space="preserve">ככל </w:t>
      </w:r>
      <w:bookmarkStart w:id="72100" w:name="_ETM_Q126_608880"/>
      <w:bookmarkEnd w:id="72100"/>
      <w:r>
        <w:rPr>
          <w:rFonts w:hint="cs"/>
          <w:rtl/>
        </w:rPr>
        <w:t xml:space="preserve">שההשקעה </w:t>
      </w:r>
      <w:bookmarkStart w:id="72101" w:name="_ETM_Q126_609420"/>
      <w:bookmarkEnd w:id="72101"/>
      <w:r>
        <w:rPr>
          <w:rFonts w:hint="cs"/>
          <w:rtl/>
        </w:rPr>
        <w:t xml:space="preserve">נמוכה </w:t>
      </w:r>
      <w:bookmarkStart w:id="72102" w:name="_ETM_Q126_609870"/>
      <w:bookmarkEnd w:id="72102"/>
      <w:r>
        <w:rPr>
          <w:rFonts w:hint="cs"/>
          <w:rtl/>
        </w:rPr>
        <w:t xml:space="preserve">יותר, </w:t>
      </w:r>
      <w:bookmarkStart w:id="72103" w:name="_ETM_Q126_611110"/>
      <w:bookmarkEnd w:id="72103"/>
      <w:r>
        <w:rPr>
          <w:rFonts w:hint="cs"/>
          <w:rtl/>
        </w:rPr>
        <w:t xml:space="preserve">הפוטנציאל </w:t>
      </w:r>
      <w:bookmarkStart w:id="72104" w:name="_ETM_Q126_611920"/>
      <w:bookmarkEnd w:id="72104"/>
      <w:r>
        <w:rPr>
          <w:rFonts w:hint="cs"/>
          <w:rtl/>
        </w:rPr>
        <w:t xml:space="preserve">של </w:t>
      </w:r>
      <w:bookmarkStart w:id="72105" w:name="_ETM_Q126_612160"/>
      <w:bookmarkEnd w:id="72105"/>
      <w:r>
        <w:rPr>
          <w:rFonts w:hint="cs"/>
          <w:rtl/>
        </w:rPr>
        <w:t xml:space="preserve">בני </w:t>
      </w:r>
      <w:bookmarkStart w:id="72106" w:name="_ETM_Q126_612400"/>
      <w:bookmarkEnd w:id="72106"/>
      <w:r>
        <w:rPr>
          <w:rFonts w:hint="cs"/>
          <w:rtl/>
        </w:rPr>
        <w:t xml:space="preserve">הנוער </w:t>
      </w:r>
      <w:bookmarkStart w:id="72107" w:name="_ETM_Q126_613060"/>
      <w:bookmarkEnd w:id="72107"/>
      <w:r>
        <w:rPr>
          <w:rFonts w:hint="cs"/>
          <w:rtl/>
        </w:rPr>
        <w:t xml:space="preserve">להידרדר </w:t>
      </w:r>
      <w:bookmarkStart w:id="72108" w:name="_ETM_Q126_614230"/>
      <w:bookmarkEnd w:id="72108"/>
      <w:r>
        <w:rPr>
          <w:rFonts w:hint="cs"/>
          <w:rtl/>
        </w:rPr>
        <w:t xml:space="preserve">גבוה </w:t>
      </w:r>
      <w:bookmarkStart w:id="72109" w:name="_ETM_Q126_614650"/>
      <w:bookmarkEnd w:id="72109"/>
      <w:r>
        <w:rPr>
          <w:rFonts w:hint="cs"/>
          <w:rtl/>
        </w:rPr>
        <w:t xml:space="preserve">יותר. </w:t>
      </w:r>
      <w:bookmarkStart w:id="72110" w:name="_ETM_Q126_616580"/>
      <w:bookmarkEnd w:id="72110"/>
      <w:r>
        <w:rPr>
          <w:rFonts w:hint="cs"/>
          <w:rtl/>
        </w:rPr>
        <w:t xml:space="preserve">ישנה </w:t>
      </w:r>
      <w:bookmarkStart w:id="72111" w:name="_ETM_Q126_616939"/>
      <w:bookmarkEnd w:id="72111"/>
      <w:r>
        <w:rPr>
          <w:rFonts w:hint="cs"/>
          <w:rtl/>
        </w:rPr>
        <w:t xml:space="preserve">חשיבות </w:t>
      </w:r>
      <w:bookmarkStart w:id="72112" w:name="_ETM_Q126_618209"/>
      <w:bookmarkEnd w:id="72112"/>
      <w:r>
        <w:rPr>
          <w:rFonts w:hint="cs"/>
          <w:rtl/>
        </w:rPr>
        <w:t xml:space="preserve">להגדיל </w:t>
      </w:r>
      <w:bookmarkStart w:id="72113" w:name="_ETM_Q126_619139"/>
      <w:bookmarkEnd w:id="72113"/>
      <w:r>
        <w:rPr>
          <w:rFonts w:hint="cs"/>
          <w:rtl/>
        </w:rPr>
        <w:t xml:space="preserve">את </w:t>
      </w:r>
      <w:bookmarkStart w:id="72114" w:name="_ETM_Q126_619349"/>
      <w:bookmarkEnd w:id="72114"/>
      <w:r>
        <w:rPr>
          <w:rFonts w:hint="cs"/>
          <w:rtl/>
        </w:rPr>
        <w:t xml:space="preserve">התקציבים </w:t>
      </w:r>
      <w:bookmarkStart w:id="72115" w:name="_ETM_Q126_620740"/>
      <w:bookmarkEnd w:id="72115"/>
      <w:r>
        <w:rPr>
          <w:rFonts w:hint="cs"/>
          <w:rtl/>
        </w:rPr>
        <w:t xml:space="preserve">לחינוך </w:t>
      </w:r>
      <w:bookmarkStart w:id="72116" w:name="_ETM_Q126_621790"/>
      <w:bookmarkEnd w:id="72116"/>
      <w:r>
        <w:rPr>
          <w:rFonts w:hint="cs"/>
          <w:rtl/>
        </w:rPr>
        <w:t>הבלתי</w:t>
      </w:r>
      <w:bookmarkStart w:id="72117" w:name="_ETM_Q126_622240"/>
      <w:bookmarkEnd w:id="72117"/>
      <w:r>
        <w:rPr>
          <w:rFonts w:hint="cs"/>
          <w:rtl/>
        </w:rPr>
        <w:t xml:space="preserve">-פורמלי </w:t>
      </w:r>
      <w:bookmarkStart w:id="72118" w:name="_ETM_Q126_622780"/>
      <w:bookmarkEnd w:id="72118"/>
      <w:r>
        <w:rPr>
          <w:rFonts w:hint="cs"/>
          <w:rtl/>
        </w:rPr>
        <w:t xml:space="preserve">ביישובים </w:t>
      </w:r>
      <w:bookmarkStart w:id="72119" w:name="_ETM_Q126_623290"/>
      <w:bookmarkEnd w:id="72119"/>
      <w:r>
        <w:rPr>
          <w:rFonts w:hint="cs"/>
          <w:rtl/>
        </w:rPr>
        <w:t xml:space="preserve">הערביים, </w:t>
      </w:r>
      <w:bookmarkStart w:id="72120" w:name="_ETM_Q126_624689"/>
      <w:bookmarkEnd w:id="72120"/>
      <w:r>
        <w:rPr>
          <w:rFonts w:hint="cs"/>
          <w:rtl/>
        </w:rPr>
        <w:t xml:space="preserve">בכל </w:t>
      </w:r>
      <w:bookmarkStart w:id="72121" w:name="_ETM_Q126_625140"/>
      <w:bookmarkEnd w:id="72121"/>
      <w:r>
        <w:rPr>
          <w:rFonts w:hint="cs"/>
          <w:rtl/>
        </w:rPr>
        <w:t xml:space="preserve">היישובים </w:t>
      </w:r>
      <w:bookmarkStart w:id="72122" w:name="_ETM_Q126_625829"/>
      <w:bookmarkEnd w:id="72122"/>
      <w:r>
        <w:rPr>
          <w:rFonts w:hint="cs"/>
          <w:rtl/>
        </w:rPr>
        <w:t xml:space="preserve">בעלי </w:t>
      </w:r>
      <w:bookmarkStart w:id="72123" w:name="_ETM_Q126_626640"/>
      <w:bookmarkEnd w:id="72123"/>
      <w:r>
        <w:rPr>
          <w:rFonts w:hint="cs"/>
          <w:rtl/>
        </w:rPr>
        <w:t xml:space="preserve">מעמד </w:t>
      </w:r>
      <w:bookmarkStart w:id="72124" w:name="_ETM_Q126_627329"/>
      <w:bookmarkEnd w:id="72124"/>
      <w:r>
        <w:rPr>
          <w:rFonts w:hint="cs"/>
          <w:rtl/>
        </w:rPr>
        <w:t xml:space="preserve">סוציו-אקונומי </w:t>
      </w:r>
      <w:bookmarkStart w:id="72125" w:name="_ETM_Q126_628260"/>
      <w:bookmarkEnd w:id="72125"/>
      <w:r>
        <w:rPr>
          <w:rFonts w:hint="cs"/>
          <w:rtl/>
        </w:rPr>
        <w:t xml:space="preserve">או </w:t>
      </w:r>
      <w:bookmarkStart w:id="72126" w:name="_ETM_Q126_628379"/>
      <w:bookmarkEnd w:id="72126"/>
      <w:r>
        <w:rPr>
          <w:rFonts w:hint="cs"/>
          <w:rtl/>
        </w:rPr>
        <w:t xml:space="preserve">דירוג </w:t>
      </w:r>
      <w:bookmarkStart w:id="72127" w:name="_ETM_Q126_628709"/>
      <w:bookmarkStart w:id="72128" w:name="_ETM_Q126_629099"/>
      <w:bookmarkStart w:id="72129" w:name="_ETM_Q126_629459"/>
      <w:bookmarkEnd w:id="72127"/>
      <w:bookmarkEnd w:id="72128"/>
      <w:bookmarkEnd w:id="72129"/>
      <w:r>
        <w:rPr>
          <w:rFonts w:hint="cs"/>
          <w:rtl/>
        </w:rPr>
        <w:t xml:space="preserve">סוציו-אקונומי </w:t>
      </w:r>
      <w:bookmarkStart w:id="72130" w:name="_ETM_Q126_630900"/>
      <w:bookmarkEnd w:id="72130"/>
      <w:r>
        <w:rPr>
          <w:rFonts w:hint="cs"/>
          <w:rtl/>
        </w:rPr>
        <w:t xml:space="preserve">נמוכים. </w:t>
      </w:r>
      <w:bookmarkStart w:id="72131" w:name="_ETM_Q126_632889"/>
      <w:bookmarkEnd w:id="72131"/>
      <w:r w:rsidR="002F7246">
        <w:rPr>
          <w:rFonts w:hint="cs"/>
          <w:rtl/>
        </w:rPr>
        <w:t>ו</w:t>
      </w:r>
      <w:r>
        <w:rPr>
          <w:rFonts w:hint="cs"/>
          <w:rtl/>
        </w:rPr>
        <w:t xml:space="preserve">לא </w:t>
      </w:r>
      <w:bookmarkStart w:id="72132" w:name="_ETM_Q126_633189"/>
      <w:bookmarkEnd w:id="72132"/>
      <w:r>
        <w:rPr>
          <w:rFonts w:hint="cs"/>
          <w:rtl/>
        </w:rPr>
        <w:t xml:space="preserve">רק </w:t>
      </w:r>
      <w:bookmarkStart w:id="72133" w:name="_ETM_Q126_633489"/>
      <w:bookmarkEnd w:id="72133"/>
      <w:r>
        <w:rPr>
          <w:rFonts w:hint="cs"/>
          <w:rtl/>
        </w:rPr>
        <w:t xml:space="preserve">הגדלת </w:t>
      </w:r>
      <w:bookmarkStart w:id="72134" w:name="_ETM_Q126_634269"/>
      <w:bookmarkEnd w:id="72134"/>
      <w:r>
        <w:rPr>
          <w:rFonts w:hint="cs"/>
          <w:rtl/>
        </w:rPr>
        <w:t xml:space="preserve">התקציב </w:t>
      </w:r>
      <w:bookmarkStart w:id="72135" w:name="_ETM_Q126_635760"/>
      <w:bookmarkEnd w:id="72135"/>
      <w:r>
        <w:rPr>
          <w:rFonts w:hint="cs"/>
          <w:rtl/>
        </w:rPr>
        <w:t xml:space="preserve">אלא </w:t>
      </w:r>
      <w:bookmarkStart w:id="72136" w:name="_ETM_Q126_636030"/>
      <w:bookmarkEnd w:id="72136"/>
      <w:r>
        <w:rPr>
          <w:rFonts w:hint="cs"/>
          <w:rtl/>
        </w:rPr>
        <w:t xml:space="preserve">להפוך </w:t>
      </w:r>
      <w:bookmarkStart w:id="72137" w:name="_ETM_Q126_637090"/>
      <w:bookmarkEnd w:id="72137"/>
      <w:r>
        <w:rPr>
          <w:rFonts w:hint="cs"/>
          <w:rtl/>
        </w:rPr>
        <w:t xml:space="preserve">את </w:t>
      </w:r>
      <w:bookmarkStart w:id="72138" w:name="_ETM_Q126_637299"/>
      <w:bookmarkEnd w:id="72138"/>
      <w:r>
        <w:rPr>
          <w:rFonts w:hint="cs"/>
          <w:rtl/>
        </w:rPr>
        <w:t xml:space="preserve">החינוך </w:t>
      </w:r>
      <w:bookmarkStart w:id="72139" w:name="_ETM_Q126_638140"/>
      <w:bookmarkEnd w:id="72139"/>
      <w:r>
        <w:rPr>
          <w:rFonts w:hint="cs"/>
          <w:rtl/>
        </w:rPr>
        <w:t>הבלתי</w:t>
      </w:r>
      <w:bookmarkStart w:id="72140" w:name="_ETM_Q126_638739"/>
      <w:bookmarkEnd w:id="72140"/>
      <w:r>
        <w:rPr>
          <w:rFonts w:hint="cs"/>
          <w:rtl/>
        </w:rPr>
        <w:t xml:space="preserve">-פורמלי </w:t>
      </w:r>
      <w:bookmarkStart w:id="72141" w:name="_ETM_Q126_640970"/>
      <w:bookmarkStart w:id="72142" w:name="_ETM_Q126_642110"/>
      <w:bookmarkEnd w:id="72141"/>
      <w:bookmarkEnd w:id="72142"/>
      <w:r>
        <w:rPr>
          <w:rFonts w:hint="cs"/>
          <w:rtl/>
        </w:rPr>
        <w:t xml:space="preserve">לחובה – חובה </w:t>
      </w:r>
      <w:bookmarkStart w:id="72143" w:name="_ETM_Q126_643360"/>
      <w:bookmarkEnd w:id="72143"/>
      <w:r>
        <w:rPr>
          <w:rFonts w:hint="cs"/>
          <w:rtl/>
        </w:rPr>
        <w:t xml:space="preserve">שתאפשר </w:t>
      </w:r>
      <w:bookmarkStart w:id="72144" w:name="_ETM_Q126_644410"/>
      <w:bookmarkEnd w:id="72144"/>
      <w:r>
        <w:rPr>
          <w:rFonts w:hint="cs"/>
          <w:rtl/>
        </w:rPr>
        <w:t xml:space="preserve">לכל </w:t>
      </w:r>
      <w:bookmarkStart w:id="72145" w:name="_ETM_Q126_645580"/>
      <w:bookmarkEnd w:id="72145"/>
      <w:r>
        <w:rPr>
          <w:rFonts w:hint="cs"/>
          <w:rtl/>
        </w:rPr>
        <w:t xml:space="preserve">ילד </w:t>
      </w:r>
      <w:bookmarkStart w:id="72146" w:name="_ETM_Q126_646540"/>
      <w:bookmarkEnd w:id="72146"/>
      <w:r>
        <w:rPr>
          <w:rFonts w:hint="cs"/>
          <w:rtl/>
        </w:rPr>
        <w:t xml:space="preserve">וצעיר </w:t>
      </w:r>
      <w:bookmarkStart w:id="72147" w:name="_ETM_Q126_647590"/>
      <w:bookmarkEnd w:id="72147"/>
      <w:r>
        <w:rPr>
          <w:rFonts w:hint="cs"/>
          <w:rtl/>
        </w:rPr>
        <w:t xml:space="preserve">שתהיה </w:t>
      </w:r>
      <w:bookmarkStart w:id="72148" w:name="_ETM_Q126_648100"/>
      <w:bookmarkEnd w:id="72148"/>
      <w:r>
        <w:rPr>
          <w:rFonts w:hint="cs"/>
          <w:rtl/>
        </w:rPr>
        <w:t xml:space="preserve">לו </w:t>
      </w:r>
      <w:bookmarkStart w:id="72149" w:name="_ETM_Q126_648400"/>
      <w:bookmarkEnd w:id="72149"/>
      <w:r>
        <w:rPr>
          <w:rFonts w:hint="cs"/>
          <w:rtl/>
        </w:rPr>
        <w:t xml:space="preserve">מסגרת </w:t>
      </w:r>
      <w:bookmarkStart w:id="72150" w:name="_ETM_Q126_649450"/>
      <w:bookmarkEnd w:id="72150"/>
      <w:r>
        <w:rPr>
          <w:rFonts w:hint="cs"/>
          <w:rtl/>
        </w:rPr>
        <w:t xml:space="preserve">גם </w:t>
      </w:r>
      <w:bookmarkStart w:id="72151" w:name="_ETM_Q126_650280"/>
      <w:bookmarkEnd w:id="72151"/>
      <w:r>
        <w:rPr>
          <w:rFonts w:hint="cs"/>
          <w:rtl/>
        </w:rPr>
        <w:t xml:space="preserve">אחרי </w:t>
      </w:r>
      <w:bookmarkStart w:id="72152" w:name="_ETM_Q126_651260"/>
      <w:bookmarkEnd w:id="72152"/>
      <w:r>
        <w:rPr>
          <w:rFonts w:hint="cs"/>
          <w:rtl/>
        </w:rPr>
        <w:t xml:space="preserve">השעות </w:t>
      </w:r>
      <w:bookmarkStart w:id="72153" w:name="_ETM_Q126_652040"/>
      <w:bookmarkEnd w:id="72153"/>
      <w:r>
        <w:rPr>
          <w:rFonts w:hint="cs"/>
          <w:rtl/>
        </w:rPr>
        <w:t xml:space="preserve">הרגילות </w:t>
      </w:r>
      <w:bookmarkStart w:id="72154" w:name="_ETM_Q126_653030"/>
      <w:bookmarkEnd w:id="72154"/>
      <w:r>
        <w:rPr>
          <w:rFonts w:hint="cs"/>
          <w:rtl/>
        </w:rPr>
        <w:t xml:space="preserve">של </w:t>
      </w:r>
      <w:bookmarkStart w:id="72155" w:name="_ETM_Q126_653599"/>
      <w:bookmarkEnd w:id="72155"/>
      <w:r>
        <w:rPr>
          <w:rFonts w:hint="cs"/>
          <w:rtl/>
        </w:rPr>
        <w:t>הלימוד.</w:t>
      </w:r>
      <w:bookmarkStart w:id="72156" w:name="_ETM_Q126_656184"/>
      <w:bookmarkStart w:id="72157" w:name="_ETM_Q126_656251"/>
      <w:bookmarkStart w:id="72158" w:name="_ETM_Q126_656360"/>
      <w:bookmarkStart w:id="72159" w:name="_ETM_Q126_656427"/>
      <w:bookmarkStart w:id="72160" w:name="_ETM_Q126_656069"/>
      <w:bookmarkEnd w:id="72156"/>
      <w:bookmarkEnd w:id="72157"/>
      <w:bookmarkEnd w:id="72158"/>
      <w:bookmarkEnd w:id="72159"/>
      <w:bookmarkEnd w:id="72160"/>
      <w:r>
        <w:rPr>
          <w:rFonts w:hint="cs"/>
          <w:rtl/>
        </w:rPr>
        <w:t xml:space="preserve"> צעד </w:t>
      </w:r>
      <w:bookmarkStart w:id="72161" w:name="_ETM_Q126_656549"/>
      <w:bookmarkEnd w:id="72161"/>
      <w:r>
        <w:rPr>
          <w:rFonts w:hint="cs"/>
          <w:rtl/>
        </w:rPr>
        <w:t xml:space="preserve">זה </w:t>
      </w:r>
      <w:bookmarkStart w:id="72162" w:name="_ETM_Q126_657480"/>
      <w:bookmarkEnd w:id="72162"/>
      <w:r>
        <w:rPr>
          <w:rFonts w:hint="cs"/>
          <w:rtl/>
        </w:rPr>
        <w:t xml:space="preserve">יכול </w:t>
      </w:r>
      <w:bookmarkStart w:id="72163" w:name="_ETM_Q126_657930"/>
      <w:bookmarkEnd w:id="72163"/>
      <w:r>
        <w:rPr>
          <w:rFonts w:hint="cs"/>
          <w:rtl/>
        </w:rPr>
        <w:t xml:space="preserve">להוביל </w:t>
      </w:r>
      <w:bookmarkStart w:id="72164" w:name="_ETM_Q126_658950"/>
      <w:bookmarkEnd w:id="72164"/>
      <w:r>
        <w:rPr>
          <w:rFonts w:hint="cs"/>
          <w:rtl/>
        </w:rPr>
        <w:t xml:space="preserve">להקטנת </w:t>
      </w:r>
      <w:bookmarkStart w:id="72165" w:name="_ETM_Q126_660000"/>
      <w:bookmarkEnd w:id="72165"/>
      <w:r>
        <w:rPr>
          <w:rFonts w:hint="cs"/>
          <w:rtl/>
        </w:rPr>
        <w:t xml:space="preserve">מעשי הפשיעה </w:t>
      </w:r>
      <w:bookmarkStart w:id="72166" w:name="_ETM_Q126_660840"/>
      <w:bookmarkEnd w:id="72166"/>
      <w:r>
        <w:rPr>
          <w:rFonts w:hint="cs"/>
          <w:rtl/>
        </w:rPr>
        <w:t xml:space="preserve">והאלימות </w:t>
      </w:r>
      <w:bookmarkStart w:id="72167" w:name="_ETM_Q126_661860"/>
      <w:bookmarkEnd w:id="72167"/>
      <w:r>
        <w:rPr>
          <w:rFonts w:hint="cs"/>
          <w:rtl/>
        </w:rPr>
        <w:t xml:space="preserve">בחברה </w:t>
      </w:r>
      <w:bookmarkStart w:id="72168" w:name="_ETM_Q126_662430"/>
      <w:bookmarkEnd w:id="72168"/>
      <w:r>
        <w:rPr>
          <w:rFonts w:hint="cs"/>
          <w:rtl/>
        </w:rPr>
        <w:t xml:space="preserve">הערבית </w:t>
      </w:r>
      <w:bookmarkStart w:id="72169" w:name="_ETM_Q126_663209"/>
      <w:bookmarkEnd w:id="72169"/>
      <w:r>
        <w:rPr>
          <w:rFonts w:hint="cs"/>
          <w:rtl/>
        </w:rPr>
        <w:t xml:space="preserve">לאורך </w:t>
      </w:r>
      <w:bookmarkStart w:id="72170" w:name="_ETM_Q126_663780"/>
      <w:bookmarkEnd w:id="72170"/>
      <w:r>
        <w:rPr>
          <w:rFonts w:hint="cs"/>
          <w:rtl/>
        </w:rPr>
        <w:t xml:space="preserve">זמן. </w:t>
      </w:r>
      <w:bookmarkStart w:id="72171" w:name="_ETM_Q126_672950"/>
      <w:bookmarkEnd w:id="72171"/>
    </w:p>
    <w:p w:rsidR="00BB59CD" w:rsidRDefault="00BB59CD" w:rsidP="00BB59CD">
      <w:pPr>
        <w:rPr>
          <w:rtl/>
        </w:rPr>
      </w:pPr>
      <w:bookmarkStart w:id="72172" w:name="_ETM_Q126_667144"/>
      <w:bookmarkStart w:id="72173" w:name="_ETM_Q126_667190"/>
      <w:bookmarkEnd w:id="72172"/>
      <w:bookmarkEnd w:id="72173"/>
    </w:p>
    <w:p w:rsidR="002F7246" w:rsidRDefault="00BB59CD" w:rsidP="002F7246">
      <w:pPr>
        <w:rPr>
          <w:rtl/>
        </w:rPr>
      </w:pPr>
      <w:bookmarkStart w:id="72174" w:name="_ETM_Q126_667271"/>
      <w:bookmarkStart w:id="72175" w:name="_ETM_Q126_667309"/>
      <w:bookmarkEnd w:id="72174"/>
      <w:bookmarkEnd w:id="72175"/>
      <w:r>
        <w:rPr>
          <w:rFonts w:hint="cs"/>
          <w:rtl/>
        </w:rPr>
        <w:t xml:space="preserve">כבוד </w:t>
      </w:r>
      <w:bookmarkStart w:id="72176" w:name="_ETM_Q126_673310"/>
      <w:bookmarkEnd w:id="72176"/>
      <w:r>
        <w:rPr>
          <w:rFonts w:hint="cs"/>
          <w:rtl/>
        </w:rPr>
        <w:t xml:space="preserve">היושב-ראש, </w:t>
      </w:r>
      <w:bookmarkStart w:id="72177" w:name="_ETM_Q126_674849"/>
      <w:bookmarkEnd w:id="72177"/>
      <w:r>
        <w:rPr>
          <w:rFonts w:hint="cs"/>
          <w:rtl/>
        </w:rPr>
        <w:t xml:space="preserve">אנחנו </w:t>
      </w:r>
      <w:bookmarkStart w:id="72178" w:name="_ETM_Q126_675120"/>
      <w:bookmarkEnd w:id="72178"/>
      <w:r>
        <w:rPr>
          <w:rFonts w:hint="cs"/>
          <w:rtl/>
        </w:rPr>
        <w:t xml:space="preserve">חיים </w:t>
      </w:r>
      <w:bookmarkStart w:id="72179" w:name="_ETM_Q126_675450"/>
      <w:bookmarkEnd w:id="72179"/>
      <w:r>
        <w:rPr>
          <w:rFonts w:hint="cs"/>
          <w:rtl/>
        </w:rPr>
        <w:t xml:space="preserve">במדינה </w:t>
      </w:r>
      <w:bookmarkStart w:id="72180" w:name="_ETM_Q126_677040"/>
      <w:bookmarkStart w:id="72181" w:name="_ETM_Q126_677430"/>
      <w:bookmarkEnd w:id="72180"/>
      <w:bookmarkEnd w:id="72181"/>
      <w:r>
        <w:rPr>
          <w:rFonts w:hint="cs"/>
          <w:rtl/>
        </w:rPr>
        <w:t xml:space="preserve">שבה אלפי </w:t>
      </w:r>
      <w:bookmarkStart w:id="72182" w:name="_ETM_Q126_677819"/>
      <w:bookmarkEnd w:id="72182"/>
      <w:r>
        <w:rPr>
          <w:rFonts w:hint="cs"/>
          <w:rtl/>
        </w:rPr>
        <w:t xml:space="preserve">מורים </w:t>
      </w:r>
      <w:bookmarkStart w:id="72183" w:name="_ETM_Q126_678239"/>
      <w:bookmarkEnd w:id="72183"/>
      <w:r>
        <w:rPr>
          <w:rFonts w:hint="cs"/>
          <w:rtl/>
        </w:rPr>
        <w:t xml:space="preserve">מהחברה </w:t>
      </w:r>
      <w:bookmarkStart w:id="72184" w:name="_ETM_Q126_678719"/>
      <w:bookmarkEnd w:id="72184"/>
      <w:r>
        <w:rPr>
          <w:rFonts w:hint="cs"/>
          <w:rtl/>
        </w:rPr>
        <w:t xml:space="preserve">הערבית </w:t>
      </w:r>
      <w:bookmarkStart w:id="72185" w:name="_ETM_Q126_679739"/>
      <w:bookmarkEnd w:id="72185"/>
      <w:r>
        <w:rPr>
          <w:rFonts w:hint="cs"/>
          <w:rtl/>
        </w:rPr>
        <w:t xml:space="preserve">מובטלים; </w:t>
      </w:r>
      <w:bookmarkStart w:id="72186" w:name="_ETM_Q126_681420"/>
      <w:bookmarkEnd w:id="72186"/>
      <w:r>
        <w:rPr>
          <w:rFonts w:hint="cs"/>
          <w:rtl/>
        </w:rPr>
        <w:t xml:space="preserve">מאות </w:t>
      </w:r>
      <w:bookmarkStart w:id="72187" w:name="_ETM_Q126_682170"/>
      <w:bookmarkEnd w:id="72187"/>
      <w:r>
        <w:rPr>
          <w:rFonts w:hint="cs"/>
          <w:rtl/>
        </w:rPr>
        <w:t xml:space="preserve">או </w:t>
      </w:r>
      <w:bookmarkStart w:id="72188" w:name="_ETM_Q126_682380"/>
      <w:bookmarkEnd w:id="72188"/>
      <w:r>
        <w:rPr>
          <w:rFonts w:hint="cs"/>
          <w:rtl/>
        </w:rPr>
        <w:t xml:space="preserve">אלפי </w:t>
      </w:r>
      <w:bookmarkStart w:id="72189" w:name="_ETM_Q126_682740"/>
      <w:bookmarkEnd w:id="72189"/>
      <w:r>
        <w:rPr>
          <w:rFonts w:hint="cs"/>
          <w:rtl/>
        </w:rPr>
        <w:t xml:space="preserve">רופאים </w:t>
      </w:r>
      <w:bookmarkStart w:id="72190" w:name="_ETM_Q126_683940"/>
      <w:bookmarkEnd w:id="72190"/>
      <w:r>
        <w:rPr>
          <w:rFonts w:hint="cs"/>
          <w:rtl/>
        </w:rPr>
        <w:t xml:space="preserve">ממתינים </w:t>
      </w:r>
      <w:bookmarkStart w:id="72191" w:name="_ETM_Q126_685050"/>
      <w:bookmarkEnd w:id="72191"/>
      <w:r>
        <w:rPr>
          <w:rFonts w:hint="cs"/>
          <w:rtl/>
        </w:rPr>
        <w:t xml:space="preserve">להתמחות. </w:t>
      </w:r>
      <w:bookmarkStart w:id="72192" w:name="_ETM_Q126_687530"/>
      <w:bookmarkStart w:id="72193" w:name="_ETM_Q126_687860"/>
      <w:bookmarkEnd w:id="72192"/>
      <w:bookmarkEnd w:id="72193"/>
      <w:r>
        <w:rPr>
          <w:rFonts w:hint="cs"/>
          <w:rtl/>
        </w:rPr>
        <w:t xml:space="preserve">גם </w:t>
      </w:r>
      <w:bookmarkStart w:id="72194" w:name="_ETM_Q126_688070"/>
      <w:bookmarkEnd w:id="72194"/>
      <w:r>
        <w:rPr>
          <w:rFonts w:hint="cs"/>
          <w:rtl/>
        </w:rPr>
        <w:t xml:space="preserve">כאן </w:t>
      </w:r>
      <w:bookmarkStart w:id="72195" w:name="_ETM_Q126_689050"/>
      <w:bookmarkEnd w:id="72195"/>
      <w:r>
        <w:rPr>
          <w:rFonts w:hint="cs"/>
          <w:rtl/>
        </w:rPr>
        <w:t xml:space="preserve">אין </w:t>
      </w:r>
      <w:bookmarkStart w:id="72196" w:name="_ETM_Q126_689230"/>
      <w:bookmarkEnd w:id="72196"/>
      <w:r>
        <w:rPr>
          <w:rFonts w:hint="cs"/>
          <w:rtl/>
        </w:rPr>
        <w:t xml:space="preserve">לנו </w:t>
      </w:r>
      <w:bookmarkStart w:id="72197" w:name="_ETM_Q126_689470"/>
      <w:bookmarkEnd w:id="72197"/>
      <w:r>
        <w:rPr>
          <w:rFonts w:hint="cs"/>
          <w:rtl/>
        </w:rPr>
        <w:t xml:space="preserve">אפילו נתונים </w:t>
      </w:r>
      <w:bookmarkStart w:id="72198" w:name="_ETM_Q126_689950"/>
      <w:bookmarkEnd w:id="72198"/>
      <w:r>
        <w:rPr>
          <w:rFonts w:hint="cs"/>
          <w:rtl/>
        </w:rPr>
        <w:t xml:space="preserve">מדויקים; </w:t>
      </w:r>
      <w:bookmarkStart w:id="72199" w:name="_ETM_Q126_690640"/>
      <w:bookmarkEnd w:id="72199"/>
      <w:r>
        <w:rPr>
          <w:rFonts w:hint="cs"/>
          <w:rtl/>
        </w:rPr>
        <w:t xml:space="preserve">גם </w:t>
      </w:r>
      <w:bookmarkStart w:id="72200" w:name="_ETM_Q126_690940"/>
      <w:bookmarkEnd w:id="72200"/>
      <w:r>
        <w:rPr>
          <w:rFonts w:hint="cs"/>
          <w:rtl/>
        </w:rPr>
        <w:t xml:space="preserve">למשרד הבריאות </w:t>
      </w:r>
      <w:bookmarkStart w:id="72201" w:name="_ETM_Q126_692200"/>
      <w:bookmarkEnd w:id="72201"/>
      <w:r>
        <w:rPr>
          <w:rFonts w:hint="cs"/>
          <w:rtl/>
        </w:rPr>
        <w:t xml:space="preserve">אין </w:t>
      </w:r>
      <w:bookmarkStart w:id="72202" w:name="_ETM_Q126_692439"/>
      <w:bookmarkEnd w:id="72202"/>
      <w:r>
        <w:rPr>
          <w:rFonts w:hint="cs"/>
          <w:rtl/>
        </w:rPr>
        <w:t xml:space="preserve">נתונים </w:t>
      </w:r>
      <w:bookmarkStart w:id="72203" w:name="_ETM_Q126_692829"/>
      <w:bookmarkEnd w:id="72203"/>
      <w:r>
        <w:rPr>
          <w:rFonts w:hint="cs"/>
          <w:rtl/>
        </w:rPr>
        <w:t xml:space="preserve">מדויקים </w:t>
      </w:r>
      <w:bookmarkStart w:id="72204" w:name="_ETM_Q126_693340"/>
      <w:bookmarkEnd w:id="72204"/>
      <w:r>
        <w:rPr>
          <w:rFonts w:hint="cs"/>
          <w:rtl/>
        </w:rPr>
        <w:t xml:space="preserve">של מספר </w:t>
      </w:r>
      <w:bookmarkStart w:id="72205" w:name="_ETM_Q126_693879"/>
      <w:bookmarkEnd w:id="72205"/>
      <w:r>
        <w:rPr>
          <w:rFonts w:hint="cs"/>
          <w:rtl/>
        </w:rPr>
        <w:t xml:space="preserve">הרופאים </w:t>
      </w:r>
      <w:bookmarkStart w:id="72206" w:name="_ETM_Q126_694989"/>
      <w:bookmarkEnd w:id="72206"/>
      <w:r>
        <w:rPr>
          <w:rFonts w:hint="cs"/>
          <w:rtl/>
        </w:rPr>
        <w:t xml:space="preserve">הממתינים </w:t>
      </w:r>
      <w:bookmarkStart w:id="72207" w:name="_ETM_Q126_696340"/>
      <w:bookmarkEnd w:id="72207"/>
      <w:r>
        <w:rPr>
          <w:rFonts w:hint="cs"/>
          <w:rtl/>
        </w:rPr>
        <w:t xml:space="preserve">להתמחות, </w:t>
      </w:r>
      <w:bookmarkStart w:id="72208" w:name="_ETM_Q126_697750"/>
      <w:bookmarkEnd w:id="72208"/>
      <w:r>
        <w:rPr>
          <w:rFonts w:hint="cs"/>
          <w:rtl/>
        </w:rPr>
        <w:t xml:space="preserve">או </w:t>
      </w:r>
      <w:bookmarkStart w:id="72209" w:name="_ETM_Q126_697929"/>
      <w:bookmarkEnd w:id="72209"/>
      <w:r>
        <w:rPr>
          <w:rFonts w:hint="cs"/>
          <w:rtl/>
        </w:rPr>
        <w:t xml:space="preserve">שלא </w:t>
      </w:r>
      <w:bookmarkStart w:id="72210" w:name="_ETM_Q126_698200"/>
      <w:bookmarkEnd w:id="72210"/>
      <w:r>
        <w:rPr>
          <w:rFonts w:hint="cs"/>
          <w:rtl/>
        </w:rPr>
        <w:t xml:space="preserve">עברו </w:t>
      </w:r>
      <w:bookmarkStart w:id="72211" w:name="_ETM_Q126_698470"/>
      <w:bookmarkEnd w:id="72211"/>
      <w:r>
        <w:rPr>
          <w:rFonts w:hint="cs"/>
          <w:rtl/>
        </w:rPr>
        <w:t xml:space="preserve">את </w:t>
      </w:r>
      <w:bookmarkStart w:id="72212" w:name="_ETM_Q126_698590"/>
      <w:bookmarkEnd w:id="72212"/>
      <w:r>
        <w:rPr>
          <w:rFonts w:hint="cs"/>
          <w:rtl/>
        </w:rPr>
        <w:t xml:space="preserve">הבחינה </w:t>
      </w:r>
      <w:bookmarkStart w:id="72213" w:name="_ETM_Q126_699550"/>
      <w:bookmarkEnd w:id="72213"/>
      <w:r>
        <w:rPr>
          <w:rFonts w:hint="cs"/>
          <w:rtl/>
        </w:rPr>
        <w:t xml:space="preserve">ומחכים </w:t>
      </w:r>
      <w:bookmarkStart w:id="72214" w:name="_ETM_Q126_700670"/>
      <w:bookmarkEnd w:id="72214"/>
      <w:r>
        <w:rPr>
          <w:rFonts w:hint="cs"/>
          <w:rtl/>
        </w:rPr>
        <w:t xml:space="preserve">לעבור </w:t>
      </w:r>
      <w:bookmarkStart w:id="72215" w:name="_ETM_Q126_701180"/>
      <w:bookmarkEnd w:id="72215"/>
      <w:r>
        <w:rPr>
          <w:rFonts w:hint="cs"/>
          <w:rtl/>
        </w:rPr>
        <w:t xml:space="preserve">אותה, </w:t>
      </w:r>
      <w:bookmarkStart w:id="72216" w:name="_ETM_Q126_702829"/>
      <w:bookmarkEnd w:id="72216"/>
      <w:r>
        <w:rPr>
          <w:rFonts w:hint="cs"/>
          <w:rtl/>
        </w:rPr>
        <w:t xml:space="preserve">למרות </w:t>
      </w:r>
      <w:bookmarkStart w:id="72217" w:name="_ETM_Q126_703639"/>
      <w:bookmarkEnd w:id="72217"/>
      <w:r>
        <w:rPr>
          <w:rFonts w:hint="cs"/>
          <w:rtl/>
        </w:rPr>
        <w:t xml:space="preserve">המחסור </w:t>
      </w:r>
      <w:bookmarkStart w:id="72218" w:name="_ETM_Q126_704389"/>
      <w:bookmarkEnd w:id="72218"/>
      <w:r>
        <w:rPr>
          <w:rFonts w:hint="cs"/>
          <w:rtl/>
        </w:rPr>
        <w:t xml:space="preserve">הזועק </w:t>
      </w:r>
      <w:bookmarkStart w:id="72219" w:name="_ETM_Q126_705049"/>
      <w:bookmarkEnd w:id="72219"/>
      <w:r>
        <w:rPr>
          <w:rFonts w:hint="cs"/>
          <w:rtl/>
        </w:rPr>
        <w:t xml:space="preserve">ברופאים </w:t>
      </w:r>
      <w:bookmarkStart w:id="72220" w:name="_ETM_Q126_705739"/>
      <w:bookmarkEnd w:id="72220"/>
      <w:r w:rsidR="002F7246">
        <w:rPr>
          <w:rFonts w:hint="eastAsia"/>
          <w:rtl/>
        </w:rPr>
        <w:t>–</w:t>
      </w:r>
      <w:r w:rsidR="002F7246">
        <w:rPr>
          <w:rFonts w:hint="cs"/>
          <w:rtl/>
        </w:rPr>
        <w:t xml:space="preserve"> </w:t>
      </w:r>
      <w:r>
        <w:rPr>
          <w:rFonts w:hint="cs"/>
          <w:rtl/>
        </w:rPr>
        <w:t xml:space="preserve">ובאנשי </w:t>
      </w:r>
      <w:bookmarkStart w:id="72221" w:name="_ETM_Q126_706159"/>
      <w:bookmarkEnd w:id="72221"/>
      <w:r>
        <w:rPr>
          <w:rFonts w:hint="cs"/>
          <w:rtl/>
        </w:rPr>
        <w:t xml:space="preserve">הוראה. </w:t>
      </w:r>
      <w:bookmarkStart w:id="72222" w:name="_ETM_Q126_707780"/>
      <w:bookmarkStart w:id="72223" w:name="_ETM_Q126_716074"/>
      <w:bookmarkStart w:id="72224" w:name="_ETM_Q126_716116"/>
      <w:bookmarkStart w:id="72225" w:name="_ETM_Q126_716234"/>
      <w:bookmarkStart w:id="72226" w:name="_ETM_Q126_716269"/>
      <w:bookmarkEnd w:id="72222"/>
      <w:bookmarkEnd w:id="72223"/>
      <w:bookmarkEnd w:id="72224"/>
      <w:bookmarkEnd w:id="72225"/>
      <w:bookmarkEnd w:id="72226"/>
    </w:p>
    <w:p w:rsidR="002F7246" w:rsidRDefault="002F7246" w:rsidP="002F7246">
      <w:pPr>
        <w:rPr>
          <w:rtl/>
        </w:rPr>
      </w:pPr>
    </w:p>
    <w:p w:rsidR="00BB59CD" w:rsidRDefault="00BB59CD" w:rsidP="002F7246">
      <w:pPr>
        <w:rPr>
          <w:rtl/>
        </w:rPr>
      </w:pPr>
      <w:r>
        <w:rPr>
          <w:rFonts w:hint="cs"/>
          <w:rtl/>
        </w:rPr>
        <w:t xml:space="preserve">הממשלה </w:t>
      </w:r>
      <w:bookmarkStart w:id="72227" w:name="_ETM_Q126_709150"/>
      <w:bookmarkEnd w:id="72227"/>
      <w:r>
        <w:rPr>
          <w:rFonts w:hint="cs"/>
          <w:rtl/>
        </w:rPr>
        <w:t xml:space="preserve">חוסמת </w:t>
      </w:r>
      <w:bookmarkStart w:id="72228" w:name="_ETM_Q126_710049"/>
      <w:bookmarkEnd w:id="72228"/>
      <w:r>
        <w:rPr>
          <w:rFonts w:hint="cs"/>
          <w:rtl/>
        </w:rPr>
        <w:t xml:space="preserve">את </w:t>
      </w:r>
      <w:bookmarkStart w:id="72229" w:name="_ETM_Q126_710260"/>
      <w:bookmarkEnd w:id="72229"/>
      <w:r>
        <w:rPr>
          <w:rFonts w:hint="cs"/>
          <w:rtl/>
        </w:rPr>
        <w:t xml:space="preserve">היצע </w:t>
      </w:r>
      <w:bookmarkStart w:id="72230" w:name="_ETM_Q126_710709"/>
      <w:bookmarkEnd w:id="72230"/>
      <w:r>
        <w:rPr>
          <w:rFonts w:hint="cs"/>
          <w:rtl/>
        </w:rPr>
        <w:t xml:space="preserve">הדיור </w:t>
      </w:r>
      <w:bookmarkStart w:id="72231" w:name="_ETM_Q126_711989"/>
      <w:bookmarkEnd w:id="72231"/>
      <w:r>
        <w:rPr>
          <w:rFonts w:hint="cs"/>
          <w:rtl/>
        </w:rPr>
        <w:t xml:space="preserve">במחירים </w:t>
      </w:r>
      <w:bookmarkStart w:id="72232" w:name="_ETM_Q126_712829"/>
      <w:bookmarkEnd w:id="72232"/>
      <w:r>
        <w:rPr>
          <w:rFonts w:hint="cs"/>
          <w:rtl/>
        </w:rPr>
        <w:t>מופקעים</w:t>
      </w:r>
      <w:r w:rsidR="002F7246">
        <w:rPr>
          <w:rFonts w:hint="cs"/>
          <w:rtl/>
        </w:rPr>
        <w:t>.</w:t>
      </w:r>
      <w:r>
        <w:rPr>
          <w:rFonts w:hint="cs"/>
          <w:rtl/>
        </w:rPr>
        <w:t xml:space="preserve"> </w:t>
      </w:r>
      <w:bookmarkStart w:id="72233" w:name="_ETM_Q126_716139"/>
      <w:bookmarkEnd w:id="72233"/>
      <w:r>
        <w:rPr>
          <w:rFonts w:hint="cs"/>
          <w:rtl/>
        </w:rPr>
        <w:t xml:space="preserve">למרות </w:t>
      </w:r>
      <w:bookmarkStart w:id="72234" w:name="_ETM_Q126_716769"/>
      <w:bookmarkEnd w:id="72234"/>
      <w:r>
        <w:rPr>
          <w:rFonts w:hint="cs"/>
          <w:rtl/>
        </w:rPr>
        <w:t xml:space="preserve">שגם יש </w:t>
      </w:r>
      <w:bookmarkStart w:id="72235" w:name="_ETM_Q126_717069"/>
      <w:bookmarkEnd w:id="72235"/>
      <w:r>
        <w:rPr>
          <w:rFonts w:hint="cs"/>
          <w:rtl/>
        </w:rPr>
        <w:t xml:space="preserve">ביקוש </w:t>
      </w:r>
      <w:bookmarkStart w:id="72236" w:name="_ETM_Q126_718809"/>
      <w:bookmarkEnd w:id="72236"/>
      <w:r>
        <w:rPr>
          <w:rFonts w:hint="cs"/>
          <w:rtl/>
        </w:rPr>
        <w:t xml:space="preserve">ביישובים </w:t>
      </w:r>
      <w:bookmarkStart w:id="72237" w:name="_ETM_Q126_719559"/>
      <w:bookmarkEnd w:id="72237"/>
      <w:r>
        <w:rPr>
          <w:rFonts w:hint="cs"/>
          <w:rtl/>
        </w:rPr>
        <w:t xml:space="preserve">הערביים </w:t>
      </w:r>
      <w:bookmarkStart w:id="72238" w:name="_ETM_Q126_720069"/>
      <w:bookmarkEnd w:id="72238"/>
      <w:r>
        <w:rPr>
          <w:rFonts w:hint="cs"/>
          <w:rtl/>
        </w:rPr>
        <w:t xml:space="preserve">בכלל, </w:t>
      </w:r>
      <w:bookmarkStart w:id="72239" w:name="_ETM_Q126_721300"/>
      <w:bookmarkEnd w:id="72239"/>
      <w:r>
        <w:rPr>
          <w:rFonts w:hint="cs"/>
          <w:rtl/>
        </w:rPr>
        <w:t>והבדוא</w:t>
      </w:r>
      <w:r w:rsidR="002F7246">
        <w:rPr>
          <w:rFonts w:hint="cs"/>
          <w:rtl/>
        </w:rPr>
        <w:t>י</w:t>
      </w:r>
      <w:r>
        <w:rPr>
          <w:rFonts w:hint="cs"/>
          <w:rtl/>
        </w:rPr>
        <w:t xml:space="preserve">ים </w:t>
      </w:r>
      <w:bookmarkStart w:id="72240" w:name="_ETM_Q126_721690"/>
      <w:bookmarkEnd w:id="72240"/>
      <w:r>
        <w:rPr>
          <w:rFonts w:hint="cs"/>
          <w:rtl/>
        </w:rPr>
        <w:t xml:space="preserve">בצפון </w:t>
      </w:r>
      <w:bookmarkStart w:id="72241" w:name="_ETM_Q126_722319"/>
      <w:bookmarkEnd w:id="72241"/>
      <w:r>
        <w:rPr>
          <w:rFonts w:hint="cs"/>
          <w:rtl/>
        </w:rPr>
        <w:t xml:space="preserve">בפרט, </w:t>
      </w:r>
      <w:bookmarkStart w:id="72242" w:name="_ETM_Q126_724370"/>
      <w:bookmarkEnd w:id="72242"/>
      <w:r>
        <w:rPr>
          <w:rFonts w:hint="cs"/>
          <w:rtl/>
        </w:rPr>
        <w:t xml:space="preserve">ההיצע </w:t>
      </w:r>
      <w:bookmarkStart w:id="72243" w:name="_ETM_Q126_725179"/>
      <w:bookmarkEnd w:id="72243"/>
      <w:r>
        <w:rPr>
          <w:rFonts w:hint="cs"/>
          <w:rtl/>
        </w:rPr>
        <w:t xml:space="preserve">הוא </w:t>
      </w:r>
      <w:bookmarkStart w:id="72244" w:name="_ETM_Q126_725299"/>
      <w:bookmarkEnd w:id="72244"/>
      <w:r>
        <w:rPr>
          <w:rFonts w:hint="cs"/>
          <w:rtl/>
        </w:rPr>
        <w:t xml:space="preserve">תמיד </w:t>
      </w:r>
      <w:bookmarkStart w:id="72245" w:name="_ETM_Q126_726510"/>
      <w:bookmarkEnd w:id="72245"/>
      <w:r>
        <w:rPr>
          <w:rFonts w:hint="cs"/>
          <w:rtl/>
        </w:rPr>
        <w:t xml:space="preserve">נמוך. </w:t>
      </w:r>
      <w:bookmarkStart w:id="72246" w:name="_ETM_Q126_728120"/>
      <w:bookmarkEnd w:id="72246"/>
      <w:r>
        <w:rPr>
          <w:rFonts w:hint="cs"/>
          <w:rtl/>
        </w:rPr>
        <w:t xml:space="preserve">מוציאים </w:t>
      </w:r>
      <w:bookmarkStart w:id="72247" w:name="_ETM_Q126_728630"/>
      <w:bookmarkEnd w:id="72247"/>
      <w:r>
        <w:rPr>
          <w:rFonts w:hint="cs"/>
          <w:rtl/>
        </w:rPr>
        <w:t xml:space="preserve">מכרז </w:t>
      </w:r>
      <w:bookmarkStart w:id="72248" w:name="_ETM_Q126_728929"/>
      <w:bookmarkEnd w:id="72248"/>
      <w:r>
        <w:rPr>
          <w:rFonts w:hint="cs"/>
          <w:rtl/>
        </w:rPr>
        <w:t xml:space="preserve">של </w:t>
      </w:r>
      <w:bookmarkStart w:id="72249" w:name="_ETM_Q126_729140"/>
      <w:bookmarkEnd w:id="72249"/>
      <w:r>
        <w:rPr>
          <w:rFonts w:hint="cs"/>
          <w:rtl/>
        </w:rPr>
        <w:t xml:space="preserve">מספר </w:t>
      </w:r>
      <w:bookmarkStart w:id="72250" w:name="_ETM_Q126_729530"/>
      <w:bookmarkEnd w:id="72250"/>
      <w:r>
        <w:rPr>
          <w:rFonts w:hint="cs"/>
          <w:rtl/>
        </w:rPr>
        <w:t xml:space="preserve">בודד </w:t>
      </w:r>
      <w:bookmarkStart w:id="72251" w:name="_ETM_Q126_729950"/>
      <w:bookmarkEnd w:id="72251"/>
      <w:r>
        <w:rPr>
          <w:rFonts w:hint="cs"/>
          <w:rtl/>
        </w:rPr>
        <w:t xml:space="preserve">של </w:t>
      </w:r>
      <w:bookmarkStart w:id="72252" w:name="_ETM_Q126_730429"/>
      <w:bookmarkEnd w:id="72252"/>
      <w:r>
        <w:rPr>
          <w:rFonts w:hint="cs"/>
          <w:rtl/>
        </w:rPr>
        <w:t xml:space="preserve">מגרשים, </w:t>
      </w:r>
      <w:bookmarkStart w:id="72253" w:name="_ETM_Q126_731690"/>
      <w:bookmarkEnd w:id="72253"/>
      <w:r>
        <w:rPr>
          <w:rFonts w:hint="cs"/>
          <w:rtl/>
        </w:rPr>
        <w:t xml:space="preserve">ומתמודדים </w:t>
      </w:r>
      <w:bookmarkStart w:id="72254" w:name="_ETM_Q126_732559"/>
      <w:bookmarkEnd w:id="72254"/>
      <w:r>
        <w:rPr>
          <w:rFonts w:hint="cs"/>
          <w:rtl/>
        </w:rPr>
        <w:t xml:space="preserve">על המכרז </w:t>
      </w:r>
      <w:bookmarkStart w:id="72255" w:name="_ETM_Q126_735790"/>
      <w:bookmarkStart w:id="72256" w:name="_ETM_Q126_732770"/>
      <w:bookmarkStart w:id="72257" w:name="_ETM_Q126_733640"/>
      <w:bookmarkStart w:id="72258" w:name="_ETM_Q126_734790"/>
      <w:bookmarkEnd w:id="72255"/>
      <w:bookmarkEnd w:id="72256"/>
      <w:bookmarkEnd w:id="72257"/>
      <w:bookmarkEnd w:id="72258"/>
      <w:r>
        <w:rPr>
          <w:rFonts w:hint="cs"/>
          <w:rtl/>
        </w:rPr>
        <w:t xml:space="preserve">עשרות ולפעמים </w:t>
      </w:r>
      <w:bookmarkStart w:id="72259" w:name="_ETM_Q126_735239"/>
      <w:bookmarkEnd w:id="72259"/>
      <w:r>
        <w:rPr>
          <w:rFonts w:hint="cs"/>
          <w:rtl/>
        </w:rPr>
        <w:t xml:space="preserve">גם </w:t>
      </w:r>
      <w:bookmarkStart w:id="72260" w:name="_ETM_Q126_735450"/>
      <w:bookmarkEnd w:id="72260"/>
      <w:r>
        <w:rPr>
          <w:rFonts w:hint="cs"/>
          <w:rtl/>
        </w:rPr>
        <w:t xml:space="preserve">מאות, </w:t>
      </w:r>
      <w:bookmarkStart w:id="72261" w:name="_ETM_Q126_736200"/>
      <w:bookmarkEnd w:id="72261"/>
      <w:r>
        <w:rPr>
          <w:rFonts w:hint="cs"/>
          <w:rtl/>
        </w:rPr>
        <w:t xml:space="preserve">כדי </w:t>
      </w:r>
      <w:bookmarkStart w:id="72262" w:name="_ETM_Q126_736530"/>
      <w:bookmarkEnd w:id="72262"/>
      <w:r>
        <w:rPr>
          <w:rFonts w:hint="cs"/>
          <w:rtl/>
        </w:rPr>
        <w:t xml:space="preserve">לקבל </w:t>
      </w:r>
      <w:bookmarkStart w:id="72263" w:name="_ETM_Q126_737909"/>
      <w:bookmarkEnd w:id="72263"/>
      <w:r>
        <w:rPr>
          <w:rFonts w:hint="cs"/>
          <w:rtl/>
        </w:rPr>
        <w:t xml:space="preserve">מגרש </w:t>
      </w:r>
      <w:bookmarkStart w:id="72264" w:name="_ETM_Q126_738690"/>
      <w:bookmarkEnd w:id="72264"/>
      <w:r>
        <w:rPr>
          <w:rFonts w:hint="cs"/>
          <w:rtl/>
        </w:rPr>
        <w:t xml:space="preserve">שיכולים </w:t>
      </w:r>
      <w:bookmarkStart w:id="72265" w:name="_ETM_Q126_739400"/>
      <w:bookmarkEnd w:id="72265"/>
      <w:r>
        <w:rPr>
          <w:rFonts w:hint="cs"/>
          <w:rtl/>
        </w:rPr>
        <w:t xml:space="preserve">לבנות </w:t>
      </w:r>
      <w:bookmarkStart w:id="72266" w:name="_ETM_Q126_740029"/>
      <w:bookmarkEnd w:id="72266"/>
      <w:r>
        <w:rPr>
          <w:rFonts w:hint="cs"/>
          <w:rtl/>
        </w:rPr>
        <w:t xml:space="preserve">בו </w:t>
      </w:r>
      <w:bookmarkStart w:id="72267" w:name="_ETM_Q126_740179"/>
      <w:bookmarkEnd w:id="72267"/>
      <w:r>
        <w:rPr>
          <w:rFonts w:hint="cs"/>
          <w:rtl/>
        </w:rPr>
        <w:t xml:space="preserve">ולהקים </w:t>
      </w:r>
      <w:bookmarkStart w:id="72268" w:name="_ETM_Q126_740569"/>
      <w:bookmarkEnd w:id="72268"/>
      <w:r>
        <w:rPr>
          <w:rFonts w:hint="cs"/>
          <w:rtl/>
        </w:rPr>
        <w:t xml:space="preserve">משפחה </w:t>
      </w:r>
      <w:bookmarkStart w:id="72269" w:name="_ETM_Q126_741380"/>
      <w:bookmarkEnd w:id="72269"/>
      <w:r>
        <w:rPr>
          <w:rFonts w:hint="cs"/>
          <w:rtl/>
        </w:rPr>
        <w:t xml:space="preserve">בכבוד. </w:t>
      </w:r>
      <w:bookmarkStart w:id="72270" w:name="_ETM_Q126_743840"/>
      <w:bookmarkStart w:id="72271" w:name="_ETM_Q126_745592"/>
      <w:bookmarkStart w:id="72272" w:name="_ETM_Q126_745629"/>
      <w:bookmarkStart w:id="72273" w:name="_ETM_Q126_745768"/>
      <w:bookmarkStart w:id="72274" w:name="_ETM_Q126_745800"/>
      <w:bookmarkEnd w:id="72270"/>
      <w:bookmarkEnd w:id="72271"/>
      <w:bookmarkEnd w:id="72272"/>
      <w:bookmarkEnd w:id="72273"/>
      <w:bookmarkEnd w:id="72274"/>
      <w:r>
        <w:rPr>
          <w:rFonts w:hint="cs"/>
          <w:rtl/>
        </w:rPr>
        <w:t xml:space="preserve">כל </w:t>
      </w:r>
      <w:bookmarkStart w:id="72275" w:name="_ETM_Q126_744140"/>
      <w:bookmarkEnd w:id="72275"/>
      <w:r>
        <w:rPr>
          <w:rFonts w:hint="cs"/>
          <w:rtl/>
        </w:rPr>
        <w:t xml:space="preserve">זה </w:t>
      </w:r>
      <w:bookmarkStart w:id="72276" w:name="_ETM_Q126_744650"/>
      <w:bookmarkEnd w:id="72276"/>
      <w:r>
        <w:rPr>
          <w:rFonts w:hint="cs"/>
          <w:rtl/>
        </w:rPr>
        <w:t xml:space="preserve">משדל </w:t>
      </w:r>
      <w:bookmarkStart w:id="72277" w:name="_ETM_Q126_745250"/>
      <w:bookmarkEnd w:id="72277"/>
      <w:r>
        <w:rPr>
          <w:rFonts w:hint="cs"/>
          <w:rtl/>
        </w:rPr>
        <w:t xml:space="preserve">את הצעירים </w:t>
      </w:r>
      <w:bookmarkStart w:id="72278" w:name="_ETM_Q126_746590"/>
      <w:bookmarkEnd w:id="72278"/>
      <w:r>
        <w:rPr>
          <w:rFonts w:hint="cs"/>
          <w:rtl/>
        </w:rPr>
        <w:t xml:space="preserve">לבנות </w:t>
      </w:r>
      <w:bookmarkStart w:id="72279" w:name="_ETM_Q126_748000"/>
      <w:bookmarkEnd w:id="72279"/>
      <w:r>
        <w:rPr>
          <w:rFonts w:hint="cs"/>
          <w:rtl/>
        </w:rPr>
        <w:t xml:space="preserve">ללא היתרים, </w:t>
      </w:r>
      <w:bookmarkStart w:id="72280" w:name="_ETM_Q126_749580"/>
      <w:bookmarkEnd w:id="72280"/>
      <w:r>
        <w:rPr>
          <w:rFonts w:hint="cs"/>
          <w:rtl/>
        </w:rPr>
        <w:t xml:space="preserve">לעשות </w:t>
      </w:r>
      <w:bookmarkStart w:id="72281" w:name="_ETM_Q126_749909"/>
      <w:bookmarkEnd w:id="72281"/>
      <w:r>
        <w:rPr>
          <w:rFonts w:hint="cs"/>
          <w:rtl/>
        </w:rPr>
        <w:t xml:space="preserve">בנייה </w:t>
      </w:r>
      <w:bookmarkStart w:id="72282" w:name="_ETM_Q126_751039"/>
      <w:bookmarkEnd w:id="72282"/>
      <w:r>
        <w:rPr>
          <w:rFonts w:hint="cs"/>
          <w:rtl/>
        </w:rPr>
        <w:t xml:space="preserve">בלי </w:t>
      </w:r>
      <w:bookmarkStart w:id="72283" w:name="_ETM_Q126_751370"/>
      <w:bookmarkEnd w:id="72283"/>
      <w:r>
        <w:rPr>
          <w:rFonts w:hint="cs"/>
          <w:rtl/>
        </w:rPr>
        <w:t xml:space="preserve">היתר, </w:t>
      </w:r>
      <w:bookmarkStart w:id="72284" w:name="_ETM_Q126_752570"/>
      <w:bookmarkEnd w:id="72284"/>
      <w:r>
        <w:rPr>
          <w:rFonts w:hint="cs"/>
          <w:rtl/>
        </w:rPr>
        <w:t xml:space="preserve">כי </w:t>
      </w:r>
      <w:bookmarkStart w:id="72285" w:name="_ETM_Q126_753020"/>
      <w:bookmarkEnd w:id="72285"/>
      <w:r>
        <w:rPr>
          <w:rFonts w:hint="cs"/>
          <w:rtl/>
        </w:rPr>
        <w:t xml:space="preserve">אין </w:t>
      </w:r>
      <w:bookmarkStart w:id="72286" w:name="_ETM_Q126_753260"/>
      <w:bookmarkEnd w:id="72286"/>
      <w:r>
        <w:rPr>
          <w:rFonts w:hint="cs"/>
          <w:rtl/>
        </w:rPr>
        <w:t xml:space="preserve">להם </w:t>
      </w:r>
      <w:bookmarkStart w:id="72287" w:name="_ETM_Q126_754130"/>
      <w:bookmarkEnd w:id="72287"/>
      <w:r>
        <w:rPr>
          <w:rFonts w:hint="cs"/>
          <w:rtl/>
        </w:rPr>
        <w:t xml:space="preserve">ברירה </w:t>
      </w:r>
      <w:bookmarkStart w:id="72288" w:name="_ETM_Q126_755410"/>
      <w:bookmarkEnd w:id="72288"/>
      <w:r>
        <w:rPr>
          <w:rFonts w:hint="cs"/>
          <w:rtl/>
        </w:rPr>
        <w:t xml:space="preserve">אחרת. </w:t>
      </w:r>
      <w:bookmarkStart w:id="72289" w:name="_ETM_Q126_756470"/>
      <w:bookmarkEnd w:id="72289"/>
      <w:r>
        <w:rPr>
          <w:rFonts w:hint="cs"/>
          <w:rtl/>
        </w:rPr>
        <w:t xml:space="preserve">אין </w:t>
      </w:r>
      <w:bookmarkStart w:id="72290" w:name="_ETM_Q126_756679"/>
      <w:bookmarkEnd w:id="72290"/>
      <w:r>
        <w:rPr>
          <w:rFonts w:hint="cs"/>
          <w:rtl/>
        </w:rPr>
        <w:t xml:space="preserve">מגרשים. </w:t>
      </w:r>
      <w:bookmarkStart w:id="72291" w:name="_ETM_Q126_757190"/>
      <w:bookmarkEnd w:id="72291"/>
      <w:r>
        <w:rPr>
          <w:rFonts w:hint="cs"/>
          <w:rtl/>
        </w:rPr>
        <w:t xml:space="preserve">לפעמים </w:t>
      </w:r>
      <w:bookmarkStart w:id="72292" w:name="_ETM_Q126_757610"/>
      <w:bookmarkEnd w:id="72292"/>
      <w:r>
        <w:rPr>
          <w:rFonts w:hint="cs"/>
          <w:rtl/>
        </w:rPr>
        <w:t xml:space="preserve">נאלצים </w:t>
      </w:r>
      <w:bookmarkStart w:id="72293" w:name="_ETM_Q126_758030"/>
      <w:bookmarkEnd w:id="72293"/>
      <w:r>
        <w:rPr>
          <w:rFonts w:hint="cs"/>
          <w:rtl/>
        </w:rPr>
        <w:t xml:space="preserve">לבנות </w:t>
      </w:r>
      <w:bookmarkStart w:id="72294" w:name="_ETM_Q126_759000"/>
      <w:bookmarkEnd w:id="72294"/>
      <w:r>
        <w:rPr>
          <w:rFonts w:hint="cs"/>
          <w:rtl/>
        </w:rPr>
        <w:t xml:space="preserve">עוד </w:t>
      </w:r>
      <w:bookmarkStart w:id="72295" w:name="_ETM_Q126_759330"/>
      <w:bookmarkEnd w:id="72295"/>
      <w:r>
        <w:rPr>
          <w:rFonts w:hint="cs"/>
          <w:rtl/>
        </w:rPr>
        <w:t xml:space="preserve">קומה </w:t>
      </w:r>
      <w:bookmarkStart w:id="72296" w:name="_ETM_Q126_759720"/>
      <w:bookmarkEnd w:id="72296"/>
      <w:r>
        <w:rPr>
          <w:rFonts w:hint="cs"/>
          <w:rtl/>
        </w:rPr>
        <w:t xml:space="preserve">על </w:t>
      </w:r>
      <w:bookmarkStart w:id="72297" w:name="_ETM_Q126_759870"/>
      <w:bookmarkEnd w:id="72297"/>
      <w:r>
        <w:rPr>
          <w:rFonts w:hint="cs"/>
          <w:rtl/>
        </w:rPr>
        <w:t xml:space="preserve">הבית </w:t>
      </w:r>
      <w:bookmarkStart w:id="72298" w:name="_ETM_Q126_760169"/>
      <w:bookmarkEnd w:id="72298"/>
      <w:r>
        <w:rPr>
          <w:rFonts w:hint="cs"/>
          <w:rtl/>
        </w:rPr>
        <w:t xml:space="preserve">של </w:t>
      </w:r>
      <w:bookmarkStart w:id="72299" w:name="_ETM_Q126_760290"/>
      <w:bookmarkEnd w:id="72299"/>
      <w:r>
        <w:rPr>
          <w:rFonts w:hint="cs"/>
          <w:rtl/>
        </w:rPr>
        <w:t xml:space="preserve">ההורים, </w:t>
      </w:r>
      <w:bookmarkStart w:id="72300" w:name="_ETM_Q126_761100"/>
      <w:bookmarkEnd w:id="72300"/>
      <w:r>
        <w:rPr>
          <w:rFonts w:hint="cs"/>
          <w:rtl/>
        </w:rPr>
        <w:t xml:space="preserve">ולפעמים </w:t>
      </w:r>
      <w:bookmarkStart w:id="72301" w:name="_ETM_Q126_761550"/>
      <w:bookmarkEnd w:id="72301"/>
      <w:r>
        <w:rPr>
          <w:rFonts w:hint="cs"/>
          <w:rtl/>
        </w:rPr>
        <w:t xml:space="preserve">יש </w:t>
      </w:r>
      <w:bookmarkStart w:id="72302" w:name="_ETM_Q126_761729"/>
      <w:bookmarkEnd w:id="72302"/>
      <w:r>
        <w:rPr>
          <w:rFonts w:hint="cs"/>
          <w:rtl/>
        </w:rPr>
        <w:t xml:space="preserve">להם </w:t>
      </w:r>
      <w:bookmarkStart w:id="72303" w:name="_ETM_Q126_761880"/>
      <w:bookmarkEnd w:id="72303"/>
      <w:r>
        <w:rPr>
          <w:rFonts w:hint="cs"/>
          <w:rtl/>
        </w:rPr>
        <w:t xml:space="preserve">אדמה </w:t>
      </w:r>
      <w:bookmarkStart w:id="72304" w:name="_ETM_Q126_762179"/>
      <w:bookmarkEnd w:id="72304"/>
      <w:r>
        <w:rPr>
          <w:rFonts w:hint="cs"/>
          <w:rtl/>
        </w:rPr>
        <w:t xml:space="preserve">פרטית </w:t>
      </w:r>
      <w:bookmarkStart w:id="72305" w:name="_ETM_Q126_762780"/>
      <w:bookmarkEnd w:id="72305"/>
      <w:r>
        <w:rPr>
          <w:rFonts w:hint="cs"/>
          <w:rtl/>
        </w:rPr>
        <w:t xml:space="preserve">והם נאלצים </w:t>
      </w:r>
      <w:bookmarkStart w:id="72306" w:name="_ETM_Q126_763229"/>
      <w:bookmarkEnd w:id="72306"/>
      <w:r>
        <w:rPr>
          <w:rFonts w:hint="cs"/>
          <w:rtl/>
        </w:rPr>
        <w:t xml:space="preserve">לבנות </w:t>
      </w:r>
      <w:bookmarkStart w:id="72307" w:name="_ETM_Q126_763530"/>
      <w:bookmarkStart w:id="72308" w:name="_ETM_Q126_763889"/>
      <w:bookmarkEnd w:id="72307"/>
      <w:bookmarkEnd w:id="72308"/>
      <w:r>
        <w:rPr>
          <w:rFonts w:hint="cs"/>
          <w:rtl/>
        </w:rPr>
        <w:t xml:space="preserve">באדמה </w:t>
      </w:r>
      <w:bookmarkStart w:id="72309" w:name="_ETM_Q126_764460"/>
      <w:bookmarkEnd w:id="72309"/>
      <w:r>
        <w:rPr>
          <w:rFonts w:hint="cs"/>
          <w:rtl/>
        </w:rPr>
        <w:t xml:space="preserve">הפרטית, </w:t>
      </w:r>
      <w:bookmarkStart w:id="72310" w:name="_ETM_Q126_765360"/>
      <w:bookmarkEnd w:id="72310"/>
      <w:r>
        <w:rPr>
          <w:rFonts w:hint="cs"/>
          <w:rtl/>
        </w:rPr>
        <w:t xml:space="preserve">למרות </w:t>
      </w:r>
      <w:bookmarkStart w:id="72311" w:name="_ETM_Q126_765720"/>
      <w:bookmarkEnd w:id="72311"/>
      <w:r>
        <w:rPr>
          <w:rFonts w:hint="cs"/>
          <w:rtl/>
        </w:rPr>
        <w:t xml:space="preserve">שהאדמה </w:t>
      </w:r>
      <w:bookmarkStart w:id="72312" w:name="_ETM_Q126_766259"/>
      <w:bookmarkEnd w:id="72312"/>
      <w:r>
        <w:rPr>
          <w:rFonts w:hint="cs"/>
          <w:rtl/>
        </w:rPr>
        <w:t xml:space="preserve">אולי </w:t>
      </w:r>
      <w:bookmarkStart w:id="72313" w:name="_ETM_Q126_766470"/>
      <w:bookmarkEnd w:id="72313"/>
      <w:r>
        <w:rPr>
          <w:rFonts w:hint="cs"/>
          <w:rtl/>
        </w:rPr>
        <w:t xml:space="preserve">אפילו </w:t>
      </w:r>
      <w:bookmarkStart w:id="72314" w:name="_ETM_Q126_766710"/>
      <w:bookmarkEnd w:id="72314"/>
      <w:r>
        <w:rPr>
          <w:rFonts w:hint="cs"/>
          <w:rtl/>
        </w:rPr>
        <w:t xml:space="preserve">מחוץ </w:t>
      </w:r>
      <w:bookmarkStart w:id="72315" w:name="_ETM_Q126_767130"/>
      <w:bookmarkEnd w:id="72315"/>
      <w:r>
        <w:rPr>
          <w:rFonts w:hint="cs"/>
          <w:rtl/>
        </w:rPr>
        <w:t xml:space="preserve">לקו </w:t>
      </w:r>
      <w:bookmarkStart w:id="72316" w:name="_ETM_Q126_768300"/>
      <w:bookmarkEnd w:id="72316"/>
      <w:r>
        <w:rPr>
          <w:rFonts w:hint="cs"/>
          <w:rtl/>
        </w:rPr>
        <w:t xml:space="preserve">הכחול </w:t>
      </w:r>
      <w:bookmarkStart w:id="72317" w:name="_ETM_Q126_768990"/>
      <w:bookmarkEnd w:id="72317"/>
      <w:r>
        <w:rPr>
          <w:rFonts w:hint="cs"/>
          <w:rtl/>
        </w:rPr>
        <w:t xml:space="preserve">של </w:t>
      </w:r>
      <w:bookmarkStart w:id="72318" w:name="_ETM_Q126_769200"/>
      <w:bookmarkEnd w:id="72318"/>
      <w:r>
        <w:rPr>
          <w:rFonts w:hint="cs"/>
          <w:rtl/>
        </w:rPr>
        <w:t xml:space="preserve">אותו </w:t>
      </w:r>
      <w:bookmarkStart w:id="72319" w:name="_ETM_Q126_769410"/>
      <w:bookmarkEnd w:id="72319"/>
      <w:r>
        <w:rPr>
          <w:rFonts w:hint="cs"/>
          <w:rtl/>
        </w:rPr>
        <w:t xml:space="preserve">יישוב – </w:t>
      </w:r>
      <w:bookmarkStart w:id="72320" w:name="_ETM_Q126_770460"/>
      <w:bookmarkEnd w:id="72320"/>
      <w:r>
        <w:rPr>
          <w:rFonts w:hint="cs"/>
          <w:rtl/>
        </w:rPr>
        <w:t xml:space="preserve">כי </w:t>
      </w:r>
      <w:bookmarkStart w:id="72321" w:name="_ETM_Q126_770730"/>
      <w:bookmarkEnd w:id="72321"/>
      <w:r>
        <w:rPr>
          <w:rFonts w:hint="cs"/>
          <w:rtl/>
        </w:rPr>
        <w:t xml:space="preserve">אין </w:t>
      </w:r>
      <w:bookmarkStart w:id="72322" w:name="_ETM_Q126_771809"/>
      <w:bookmarkEnd w:id="72322"/>
      <w:r>
        <w:rPr>
          <w:rFonts w:hint="cs"/>
          <w:rtl/>
        </w:rPr>
        <w:t>פתרונות.</w:t>
      </w:r>
      <w:bookmarkStart w:id="72323" w:name="_ETM_Q126_776839"/>
      <w:bookmarkStart w:id="72324" w:name="_ETM_Q126_776888"/>
      <w:bookmarkStart w:id="72325" w:name="TOR_Q127"/>
      <w:bookmarkEnd w:id="72323"/>
      <w:bookmarkEnd w:id="72324"/>
      <w:bookmarkEnd w:id="72325"/>
      <w:r w:rsidR="002F7246">
        <w:rPr>
          <w:rFonts w:hint="cs"/>
          <w:rtl/>
        </w:rPr>
        <w:t xml:space="preserve"> </w:t>
      </w:r>
      <w:r>
        <w:rPr>
          <w:rFonts w:hint="cs"/>
          <w:rtl/>
        </w:rPr>
        <w:t xml:space="preserve">לפעמים זה גם מפנה את הצעיר עצמו, כשאין לו את היכולת לעמוד </w:t>
      </w:r>
      <w:bookmarkStart w:id="72326" w:name="_ETM_Q127_181250"/>
      <w:bookmarkEnd w:id="72326"/>
      <w:r>
        <w:rPr>
          <w:rFonts w:hint="cs"/>
          <w:rtl/>
        </w:rPr>
        <w:t>ב</w:t>
      </w:r>
      <w:bookmarkStart w:id="72327" w:name="_ETM_Q127_182460"/>
      <w:bookmarkStart w:id="72328" w:name="_ETM_Q127_183000"/>
      <w:bookmarkEnd w:id="72327"/>
      <w:bookmarkEnd w:id="72328"/>
      <w:r>
        <w:rPr>
          <w:rFonts w:hint="cs"/>
          <w:rtl/>
        </w:rPr>
        <w:t xml:space="preserve">עלויות של קניית </w:t>
      </w:r>
      <w:bookmarkStart w:id="72329" w:name="_ETM_Q127_201209"/>
      <w:bookmarkStart w:id="72330" w:name="_ETM_Q127_197637"/>
      <w:bookmarkStart w:id="72331" w:name="_ETM_Q127_194625"/>
      <w:bookmarkEnd w:id="72329"/>
      <w:bookmarkEnd w:id="72330"/>
      <w:bookmarkEnd w:id="72331"/>
      <w:r>
        <w:rPr>
          <w:rFonts w:hint="cs"/>
          <w:rtl/>
        </w:rPr>
        <w:t xml:space="preserve">מגרשים, </w:t>
      </w:r>
      <w:bookmarkStart w:id="72332" w:name="_ETM_Q127_183750"/>
      <w:bookmarkStart w:id="72333" w:name="_ETM_Q127_185009"/>
      <w:bookmarkEnd w:id="72332"/>
      <w:bookmarkEnd w:id="72333"/>
      <w:r>
        <w:rPr>
          <w:rFonts w:hint="cs"/>
          <w:rtl/>
        </w:rPr>
        <w:t xml:space="preserve">לדרך </w:t>
      </w:r>
      <w:bookmarkStart w:id="72334" w:name="_ETM_Q127_185519"/>
      <w:bookmarkEnd w:id="72334"/>
      <w:r>
        <w:rPr>
          <w:rFonts w:hint="cs"/>
          <w:rtl/>
        </w:rPr>
        <w:t xml:space="preserve">המילוט </w:t>
      </w:r>
      <w:bookmarkStart w:id="72335" w:name="_ETM_Q127_186630"/>
      <w:bookmarkEnd w:id="72335"/>
      <w:r>
        <w:rPr>
          <w:rFonts w:hint="cs"/>
          <w:rtl/>
        </w:rPr>
        <w:t xml:space="preserve">שנקראת </w:t>
      </w:r>
      <w:bookmarkStart w:id="72336" w:name="_ETM_Q127_186990"/>
      <w:bookmarkStart w:id="72337" w:name="_ETM_Q127_187080"/>
      <w:bookmarkEnd w:id="72336"/>
      <w:bookmarkEnd w:id="72337"/>
      <w:r>
        <w:rPr>
          <w:rFonts w:hint="cs"/>
          <w:rtl/>
        </w:rPr>
        <w:t>פשע</w:t>
      </w:r>
      <w:bookmarkStart w:id="72338" w:name="_ETM_Q127_185850"/>
      <w:bookmarkEnd w:id="72338"/>
      <w:r>
        <w:rPr>
          <w:rFonts w:hint="cs"/>
          <w:rtl/>
        </w:rPr>
        <w:t xml:space="preserve">, </w:t>
      </w:r>
      <w:bookmarkStart w:id="72339" w:name="_ETM_Q127_189039"/>
      <w:bookmarkEnd w:id="72339"/>
      <w:r>
        <w:rPr>
          <w:rFonts w:hint="cs"/>
          <w:rtl/>
        </w:rPr>
        <w:t xml:space="preserve">ואני </w:t>
      </w:r>
      <w:bookmarkStart w:id="72340" w:name="_ETM_Q127_189250"/>
      <w:bookmarkEnd w:id="72340"/>
      <w:r>
        <w:rPr>
          <w:rFonts w:hint="cs"/>
          <w:rtl/>
        </w:rPr>
        <w:t xml:space="preserve">אתייחס </w:t>
      </w:r>
      <w:bookmarkStart w:id="72341" w:name="_ETM_Q127_189610"/>
      <w:bookmarkEnd w:id="72341"/>
      <w:r>
        <w:rPr>
          <w:rFonts w:hint="cs"/>
          <w:rtl/>
        </w:rPr>
        <w:t xml:space="preserve">לזה </w:t>
      </w:r>
      <w:bookmarkStart w:id="72342" w:name="_ETM_Q127_189880"/>
      <w:bookmarkEnd w:id="72342"/>
      <w:r>
        <w:rPr>
          <w:rFonts w:hint="cs"/>
          <w:rtl/>
        </w:rPr>
        <w:t xml:space="preserve">גם </w:t>
      </w:r>
      <w:bookmarkStart w:id="72343" w:name="_ETM_Q127_190059"/>
      <w:bookmarkEnd w:id="72343"/>
      <w:r>
        <w:rPr>
          <w:rFonts w:hint="cs"/>
          <w:rtl/>
        </w:rPr>
        <w:t xml:space="preserve">בהמשך. </w:t>
      </w:r>
      <w:bookmarkStart w:id="72344" w:name="_ETM_Q127_191839"/>
      <w:bookmarkEnd w:id="72344"/>
      <w:r>
        <w:rPr>
          <w:rFonts w:hint="cs"/>
          <w:rtl/>
        </w:rPr>
        <w:t xml:space="preserve">פנו </w:t>
      </w:r>
      <w:bookmarkStart w:id="72345" w:name="_ETM_Q127_192139"/>
      <w:bookmarkEnd w:id="72345"/>
      <w:r>
        <w:rPr>
          <w:rFonts w:hint="cs"/>
          <w:rtl/>
        </w:rPr>
        <w:t xml:space="preserve">אליי </w:t>
      </w:r>
      <w:bookmarkStart w:id="72346" w:name="_ETM_Q127_192789"/>
      <w:bookmarkEnd w:id="72346"/>
      <w:r>
        <w:rPr>
          <w:rFonts w:hint="cs"/>
          <w:rtl/>
        </w:rPr>
        <w:t xml:space="preserve">הרבה </w:t>
      </w:r>
      <w:bookmarkStart w:id="72347" w:name="_ETM_Q127_193210"/>
      <w:bookmarkEnd w:id="72347"/>
      <w:r>
        <w:rPr>
          <w:rFonts w:hint="cs"/>
          <w:rtl/>
        </w:rPr>
        <w:t xml:space="preserve">זוגות </w:t>
      </w:r>
      <w:bookmarkStart w:id="72348" w:name="_ETM_Q127_193570"/>
      <w:bookmarkEnd w:id="72348"/>
      <w:r>
        <w:rPr>
          <w:rFonts w:hint="cs"/>
          <w:rtl/>
        </w:rPr>
        <w:t xml:space="preserve">צעירים </w:t>
      </w:r>
      <w:bookmarkStart w:id="72349" w:name="_ETM_Q127_194740"/>
      <w:bookmarkEnd w:id="72349"/>
      <w:r>
        <w:rPr>
          <w:rFonts w:hint="cs"/>
          <w:rtl/>
        </w:rPr>
        <w:t xml:space="preserve">המחכים </w:t>
      </w:r>
      <w:bookmarkStart w:id="72350" w:name="_ETM_Q127_195970"/>
      <w:bookmarkStart w:id="72351" w:name="_ETM_Q127_192579"/>
      <w:bookmarkStart w:id="72352" w:name="_ETM_Q127_187939"/>
      <w:bookmarkStart w:id="72353" w:name="_ETM_Q127_183699"/>
      <w:bookmarkStart w:id="72354" w:name="_ETM_Q127_181559"/>
      <w:bookmarkStart w:id="72355" w:name="_ETM_Q127_176899"/>
      <w:bookmarkStart w:id="72356" w:name="_ETM_Q127_173400"/>
      <w:bookmarkEnd w:id="72350"/>
      <w:bookmarkEnd w:id="72351"/>
      <w:bookmarkEnd w:id="72352"/>
      <w:bookmarkEnd w:id="72353"/>
      <w:bookmarkEnd w:id="72354"/>
      <w:bookmarkEnd w:id="72355"/>
      <w:bookmarkEnd w:id="72356"/>
      <w:r>
        <w:rPr>
          <w:rFonts w:hint="cs"/>
          <w:rtl/>
        </w:rPr>
        <w:t xml:space="preserve">לרכישת </w:t>
      </w:r>
      <w:bookmarkStart w:id="72357" w:name="_ETM_Q127_196510"/>
      <w:bookmarkEnd w:id="72357"/>
      <w:r>
        <w:rPr>
          <w:rFonts w:hint="cs"/>
          <w:rtl/>
        </w:rPr>
        <w:t>מג</w:t>
      </w:r>
      <w:bookmarkStart w:id="72358" w:name="_ETM_Q127_174060"/>
      <w:bookmarkEnd w:id="72358"/>
      <w:r>
        <w:rPr>
          <w:rFonts w:hint="cs"/>
          <w:rtl/>
        </w:rPr>
        <w:t xml:space="preserve">רש </w:t>
      </w:r>
      <w:bookmarkStart w:id="72359" w:name="_ETM_Q127_197579"/>
      <w:bookmarkEnd w:id="72359"/>
      <w:r>
        <w:rPr>
          <w:rFonts w:hint="cs"/>
          <w:rtl/>
        </w:rPr>
        <w:t xml:space="preserve">לבנייה </w:t>
      </w:r>
      <w:bookmarkStart w:id="72360" w:name="_ETM_Q127_198600"/>
      <w:bookmarkEnd w:id="72360"/>
      <w:r>
        <w:rPr>
          <w:rFonts w:hint="cs"/>
          <w:rtl/>
        </w:rPr>
        <w:t>ב</w:t>
      </w:r>
      <w:bookmarkStart w:id="72361" w:name="_ETM_Q127_201980"/>
      <w:bookmarkEnd w:id="72361"/>
      <w:r>
        <w:rPr>
          <w:rFonts w:hint="cs"/>
          <w:rtl/>
        </w:rPr>
        <w:t>מחיר סביר: מזרז</w:t>
      </w:r>
      <w:bookmarkStart w:id="72362" w:name="_ETM_Q127_198259"/>
      <w:bookmarkEnd w:id="72362"/>
      <w:r>
        <w:rPr>
          <w:rFonts w:hint="cs"/>
          <w:rtl/>
        </w:rPr>
        <w:t>יר,</w:t>
      </w:r>
      <w:bookmarkStart w:id="72363" w:name="_ETM_Q127_196299"/>
      <w:bookmarkEnd w:id="72363"/>
      <w:r>
        <w:rPr>
          <w:rFonts w:hint="cs"/>
          <w:rtl/>
        </w:rPr>
        <w:t xml:space="preserve"> </w:t>
      </w:r>
      <w:bookmarkStart w:id="72364" w:name="_ETM_Q127_203480"/>
      <w:bookmarkEnd w:id="72364"/>
      <w:r>
        <w:rPr>
          <w:rFonts w:hint="cs"/>
          <w:rtl/>
        </w:rPr>
        <w:t xml:space="preserve">מבסמת </w:t>
      </w:r>
      <w:bookmarkStart w:id="72365" w:name="_ETM_Q127_203989"/>
      <w:bookmarkEnd w:id="72365"/>
      <w:r>
        <w:rPr>
          <w:rFonts w:hint="cs"/>
          <w:rtl/>
        </w:rPr>
        <w:t xml:space="preserve">טבעון, </w:t>
      </w:r>
      <w:bookmarkStart w:id="72366" w:name="_ETM_Q127_204950"/>
      <w:bookmarkEnd w:id="72366"/>
      <w:r>
        <w:rPr>
          <w:rFonts w:hint="cs"/>
          <w:rtl/>
        </w:rPr>
        <w:t xml:space="preserve">מאבטין, מכעביה, </w:t>
      </w:r>
      <w:bookmarkStart w:id="72367" w:name="_ETM_Q127_206929"/>
      <w:bookmarkEnd w:id="72367"/>
      <w:r>
        <w:rPr>
          <w:rFonts w:hint="cs"/>
          <w:rtl/>
        </w:rPr>
        <w:t>מנוג'ידאת</w:t>
      </w:r>
      <w:bookmarkStart w:id="72368" w:name="_ETM_Q127_202539"/>
      <w:bookmarkEnd w:id="72368"/>
      <w:r>
        <w:rPr>
          <w:rFonts w:hint="cs"/>
          <w:rtl/>
        </w:rPr>
        <w:t xml:space="preserve"> </w:t>
      </w:r>
      <w:bookmarkStart w:id="72369" w:name="_ETM_Q127_208460"/>
      <w:bookmarkEnd w:id="72369"/>
      <w:r>
        <w:rPr>
          <w:rFonts w:hint="cs"/>
          <w:rtl/>
        </w:rPr>
        <w:t>מש</w:t>
      </w:r>
      <w:bookmarkStart w:id="72370" w:name="_ETM_Q127_206270"/>
      <w:bookmarkEnd w:id="72370"/>
      <w:r>
        <w:rPr>
          <w:rFonts w:hint="cs"/>
          <w:rtl/>
        </w:rPr>
        <w:t xml:space="preserve">בלי, </w:t>
      </w:r>
      <w:bookmarkStart w:id="72371" w:name="_ETM_Q127_209489"/>
      <w:bookmarkEnd w:id="72371"/>
      <w:r>
        <w:rPr>
          <w:rFonts w:hint="cs"/>
          <w:rtl/>
        </w:rPr>
        <w:t xml:space="preserve">מטמרה, </w:t>
      </w:r>
      <w:bookmarkStart w:id="72372" w:name="_ETM_Q127_209970"/>
      <w:bookmarkEnd w:id="72372"/>
      <w:r>
        <w:rPr>
          <w:rFonts w:hint="cs"/>
          <w:rtl/>
        </w:rPr>
        <w:t xml:space="preserve">מכפר </w:t>
      </w:r>
      <w:bookmarkStart w:id="72373" w:name="_ETM_Q127_210210"/>
      <w:bookmarkEnd w:id="72373"/>
      <w:r>
        <w:rPr>
          <w:rFonts w:hint="cs"/>
          <w:rtl/>
        </w:rPr>
        <w:t xml:space="preserve">מנדא </w:t>
      </w:r>
      <w:bookmarkStart w:id="72374" w:name="_ETM_Q127_210720"/>
      <w:bookmarkEnd w:id="72374"/>
      <w:r>
        <w:rPr>
          <w:rFonts w:hint="cs"/>
          <w:rtl/>
        </w:rPr>
        <w:t>ו</w:t>
      </w:r>
      <w:r w:rsidR="002F7246">
        <w:rPr>
          <w:rFonts w:hint="cs"/>
          <w:rtl/>
        </w:rPr>
        <w:t>מ</w:t>
      </w:r>
      <w:r>
        <w:rPr>
          <w:rFonts w:hint="cs"/>
          <w:rtl/>
        </w:rPr>
        <w:t xml:space="preserve">עוד </w:t>
      </w:r>
      <w:bookmarkStart w:id="72375" w:name="_ETM_Q127_211499"/>
      <w:bookmarkEnd w:id="72375"/>
      <w:r>
        <w:rPr>
          <w:rFonts w:hint="cs"/>
          <w:rtl/>
        </w:rPr>
        <w:t xml:space="preserve">הרבה </w:t>
      </w:r>
      <w:bookmarkStart w:id="72376" w:name="_ETM_Q127_211890"/>
      <w:bookmarkEnd w:id="72376"/>
      <w:r>
        <w:rPr>
          <w:rFonts w:hint="cs"/>
          <w:rtl/>
        </w:rPr>
        <w:t xml:space="preserve">יישובים. </w:t>
      </w:r>
      <w:bookmarkStart w:id="72377" w:name="_ETM_Q127_212370"/>
      <w:bookmarkStart w:id="72378" w:name="_ETM_Q127_212610"/>
      <w:bookmarkEnd w:id="72377"/>
      <w:bookmarkEnd w:id="72378"/>
      <w:r>
        <w:rPr>
          <w:rFonts w:hint="cs"/>
          <w:rtl/>
        </w:rPr>
        <w:t>הרבה צעירים</w:t>
      </w:r>
      <w:bookmarkStart w:id="72379" w:name="_ETM_Q127_211774"/>
      <w:bookmarkEnd w:id="72379"/>
      <w:r>
        <w:rPr>
          <w:rFonts w:hint="cs"/>
          <w:rtl/>
        </w:rPr>
        <w:t xml:space="preserve"> </w:t>
      </w:r>
      <w:bookmarkStart w:id="72380" w:name="_ETM_Q127_213000"/>
      <w:bookmarkEnd w:id="72380"/>
      <w:r>
        <w:rPr>
          <w:rFonts w:hint="cs"/>
          <w:rtl/>
        </w:rPr>
        <w:t xml:space="preserve">פונים </w:t>
      </w:r>
      <w:bookmarkStart w:id="72381" w:name="_ETM_Q127_213420"/>
      <w:bookmarkEnd w:id="72381"/>
      <w:r>
        <w:rPr>
          <w:rFonts w:hint="cs"/>
          <w:rtl/>
        </w:rPr>
        <w:t>אליי</w:t>
      </w:r>
      <w:bookmarkStart w:id="72382" w:name="_ETM_Q127_213629"/>
      <w:bookmarkStart w:id="72383" w:name="_ETM_Q127_211977"/>
      <w:bookmarkStart w:id="72384" w:name="_ETM_Q127_209988"/>
      <w:bookmarkEnd w:id="72382"/>
      <w:bookmarkEnd w:id="72383"/>
      <w:bookmarkEnd w:id="72384"/>
      <w:r>
        <w:rPr>
          <w:rFonts w:hint="cs"/>
          <w:rtl/>
        </w:rPr>
        <w:t xml:space="preserve"> ואומרים: </w:t>
      </w:r>
      <w:bookmarkStart w:id="72385" w:name="_ETM_Q127_214659"/>
      <w:bookmarkEnd w:id="72385"/>
      <w:r>
        <w:rPr>
          <w:rFonts w:hint="cs"/>
          <w:rtl/>
        </w:rPr>
        <w:t xml:space="preserve">אני </w:t>
      </w:r>
      <w:bookmarkStart w:id="72386" w:name="_ETM_Q127_214900"/>
      <w:bookmarkEnd w:id="72386"/>
      <w:r>
        <w:rPr>
          <w:rFonts w:hint="cs"/>
          <w:rtl/>
        </w:rPr>
        <w:t xml:space="preserve">רוצה </w:t>
      </w:r>
      <w:bookmarkStart w:id="72387" w:name="_ETM_Q127_215229"/>
      <w:bookmarkEnd w:id="72387"/>
      <w:r>
        <w:rPr>
          <w:rFonts w:hint="cs"/>
          <w:rtl/>
        </w:rPr>
        <w:t xml:space="preserve">מגרש, </w:t>
      </w:r>
      <w:bookmarkStart w:id="72388" w:name="_ETM_Q127_216500"/>
      <w:bookmarkEnd w:id="72388"/>
      <w:r>
        <w:rPr>
          <w:rFonts w:hint="cs"/>
          <w:rtl/>
        </w:rPr>
        <w:t xml:space="preserve">אני </w:t>
      </w:r>
      <w:bookmarkStart w:id="72389" w:name="_ETM_Q127_216649"/>
      <w:bookmarkEnd w:id="72389"/>
      <w:r>
        <w:rPr>
          <w:rFonts w:hint="cs"/>
          <w:rtl/>
        </w:rPr>
        <w:t xml:space="preserve">רוצה </w:t>
      </w:r>
      <w:bookmarkStart w:id="72390" w:name="_ETM_Q127_216890"/>
      <w:bookmarkEnd w:id="72390"/>
      <w:r>
        <w:rPr>
          <w:rFonts w:hint="cs"/>
          <w:rtl/>
        </w:rPr>
        <w:t>שי</w:t>
      </w:r>
      <w:bookmarkStart w:id="72391" w:name="_ETM_Q127_218220"/>
      <w:bookmarkEnd w:id="72391"/>
      <w:r>
        <w:rPr>
          <w:rFonts w:hint="cs"/>
          <w:rtl/>
        </w:rPr>
        <w:t>היו לנו</w:t>
      </w:r>
      <w:bookmarkStart w:id="72392" w:name="_ETM_Q127_216698"/>
      <w:bookmarkEnd w:id="72392"/>
      <w:r>
        <w:rPr>
          <w:rFonts w:hint="cs"/>
          <w:rtl/>
        </w:rPr>
        <w:t xml:space="preserve"> </w:t>
      </w:r>
      <w:bookmarkStart w:id="72393" w:name="_ETM_Q127_218640"/>
      <w:bookmarkEnd w:id="72393"/>
      <w:r>
        <w:rPr>
          <w:rFonts w:hint="cs"/>
          <w:rtl/>
        </w:rPr>
        <w:t>מכרזים</w:t>
      </w:r>
      <w:bookmarkStart w:id="72394" w:name="_ETM_Q127_220069"/>
      <w:bookmarkStart w:id="72395" w:name="_ETM_Q127_225483"/>
      <w:bookmarkStart w:id="72396" w:name="_ETM_Q127_234495"/>
      <w:bookmarkEnd w:id="72394"/>
      <w:bookmarkEnd w:id="72395"/>
      <w:bookmarkEnd w:id="72396"/>
      <w:r>
        <w:rPr>
          <w:rFonts w:hint="cs"/>
          <w:rtl/>
        </w:rPr>
        <w:t xml:space="preserve">, </w:t>
      </w:r>
      <w:bookmarkStart w:id="72397" w:name="_ETM_Q127_223005"/>
      <w:bookmarkEnd w:id="72397"/>
      <w:r>
        <w:rPr>
          <w:rFonts w:hint="cs"/>
          <w:rtl/>
        </w:rPr>
        <w:t xml:space="preserve">אני </w:t>
      </w:r>
      <w:bookmarkStart w:id="72398" w:name="_ETM_Q127_220219"/>
      <w:bookmarkEnd w:id="72398"/>
      <w:r>
        <w:rPr>
          <w:rFonts w:hint="cs"/>
          <w:rtl/>
        </w:rPr>
        <w:t xml:space="preserve">רוצה </w:t>
      </w:r>
      <w:bookmarkStart w:id="72399" w:name="_ETM_Q127_220429"/>
      <w:bookmarkEnd w:id="72399"/>
      <w:r>
        <w:rPr>
          <w:rFonts w:hint="cs"/>
          <w:rtl/>
        </w:rPr>
        <w:t xml:space="preserve">לקנות </w:t>
      </w:r>
      <w:bookmarkStart w:id="72400" w:name="_ETM_Q127_220729"/>
      <w:bookmarkEnd w:id="72400"/>
      <w:r>
        <w:rPr>
          <w:rFonts w:hint="cs"/>
          <w:rtl/>
        </w:rPr>
        <w:t xml:space="preserve">מגרש, </w:t>
      </w:r>
      <w:bookmarkStart w:id="72401" w:name="_ETM_Q127_221120"/>
      <w:bookmarkEnd w:id="72401"/>
      <w:r>
        <w:rPr>
          <w:rFonts w:hint="cs"/>
          <w:rtl/>
        </w:rPr>
        <w:t xml:space="preserve">אני </w:t>
      </w:r>
      <w:bookmarkStart w:id="72402" w:name="_ETM_Q127_221210"/>
      <w:bookmarkEnd w:id="72402"/>
      <w:r>
        <w:rPr>
          <w:rFonts w:hint="cs"/>
          <w:rtl/>
        </w:rPr>
        <w:t xml:space="preserve">רוצה </w:t>
      </w:r>
      <w:bookmarkStart w:id="72403" w:name="_ETM_Q127_221420"/>
      <w:bookmarkEnd w:id="72403"/>
      <w:r>
        <w:rPr>
          <w:rFonts w:hint="cs"/>
          <w:rtl/>
        </w:rPr>
        <w:t>לבנות –</w:t>
      </w:r>
      <w:bookmarkStart w:id="72404" w:name="_ETM_Q127_225801"/>
      <w:bookmarkEnd w:id="72404"/>
      <w:r>
        <w:rPr>
          <w:rFonts w:hint="cs"/>
          <w:rtl/>
        </w:rPr>
        <w:t xml:space="preserve"> </w:t>
      </w:r>
      <w:bookmarkStart w:id="72405" w:name="_ETM_Q127_221870"/>
      <w:bookmarkEnd w:id="72405"/>
      <w:r>
        <w:rPr>
          <w:rFonts w:hint="cs"/>
          <w:rtl/>
        </w:rPr>
        <w:t xml:space="preserve">ואין </w:t>
      </w:r>
      <w:bookmarkStart w:id="72406" w:name="_ETM_Q127_222260"/>
      <w:bookmarkEnd w:id="72406"/>
      <w:r>
        <w:rPr>
          <w:rFonts w:hint="cs"/>
          <w:rtl/>
        </w:rPr>
        <w:t xml:space="preserve">לנו. </w:t>
      </w:r>
      <w:bookmarkStart w:id="72407" w:name="_ETM_Q127_225729"/>
      <w:bookmarkEnd w:id="72407"/>
    </w:p>
    <w:p w:rsidR="00BB59CD" w:rsidRDefault="00BB59CD" w:rsidP="00BB59CD">
      <w:pPr>
        <w:rPr>
          <w:rtl/>
        </w:rPr>
      </w:pPr>
    </w:p>
    <w:p w:rsidR="00BB59CD" w:rsidRDefault="00BB59CD" w:rsidP="002F7246">
      <w:pPr>
        <w:rPr>
          <w:rtl/>
        </w:rPr>
      </w:pPr>
      <w:r>
        <w:rPr>
          <w:rFonts w:hint="cs"/>
          <w:rtl/>
        </w:rPr>
        <w:t xml:space="preserve">פנו </w:t>
      </w:r>
      <w:bookmarkStart w:id="72408" w:name="_ETM_Q127_226000"/>
      <w:bookmarkEnd w:id="72408"/>
      <w:r>
        <w:rPr>
          <w:rFonts w:hint="cs"/>
          <w:rtl/>
        </w:rPr>
        <w:t xml:space="preserve">אליי </w:t>
      </w:r>
      <w:bookmarkStart w:id="72409" w:name="_ETM_Q127_226240"/>
      <w:bookmarkEnd w:id="72409"/>
      <w:r>
        <w:rPr>
          <w:rFonts w:hint="cs"/>
          <w:rtl/>
        </w:rPr>
        <w:t xml:space="preserve">הרבה </w:t>
      </w:r>
      <w:bookmarkStart w:id="72410" w:name="_ETM_Q127_226479"/>
      <w:bookmarkEnd w:id="72410"/>
      <w:r>
        <w:rPr>
          <w:rFonts w:hint="cs"/>
          <w:rtl/>
        </w:rPr>
        <w:t xml:space="preserve">רופאים </w:t>
      </w:r>
      <w:bookmarkStart w:id="72411" w:name="_ETM_Q127_226870"/>
      <w:bookmarkEnd w:id="72411"/>
      <w:r>
        <w:rPr>
          <w:rFonts w:hint="cs"/>
          <w:rtl/>
        </w:rPr>
        <w:t xml:space="preserve">הממתינים </w:t>
      </w:r>
      <w:bookmarkStart w:id="72412" w:name="_ETM_Q127_227380"/>
      <w:bookmarkEnd w:id="72412"/>
      <w:r>
        <w:rPr>
          <w:rFonts w:hint="cs"/>
          <w:rtl/>
        </w:rPr>
        <w:t xml:space="preserve">לתקן </w:t>
      </w:r>
      <w:bookmarkStart w:id="72413" w:name="_ETM_Q127_227800"/>
      <w:bookmarkEnd w:id="72413"/>
      <w:r>
        <w:rPr>
          <w:rFonts w:hint="cs"/>
          <w:rtl/>
        </w:rPr>
        <w:t xml:space="preserve">להתמחות. </w:t>
      </w:r>
      <w:bookmarkStart w:id="72414" w:name="_ETM_Q127_229340"/>
      <w:bookmarkEnd w:id="72414"/>
      <w:r>
        <w:rPr>
          <w:rFonts w:hint="cs"/>
          <w:rtl/>
        </w:rPr>
        <w:t xml:space="preserve">פורסמו </w:t>
      </w:r>
      <w:bookmarkStart w:id="72415" w:name="_ETM_Q127_229790"/>
      <w:bookmarkEnd w:id="72415"/>
      <w:r>
        <w:rPr>
          <w:rFonts w:hint="cs"/>
          <w:rtl/>
        </w:rPr>
        <w:t xml:space="preserve">לא </w:t>
      </w:r>
      <w:bookmarkStart w:id="72416" w:name="_ETM_Q127_229940"/>
      <w:bookmarkEnd w:id="72416"/>
      <w:r>
        <w:rPr>
          <w:rFonts w:hint="cs"/>
          <w:rtl/>
        </w:rPr>
        <w:t xml:space="preserve">מזמן – </w:t>
      </w:r>
      <w:bookmarkStart w:id="72417" w:name="_ETM_Q127_231460"/>
      <w:bookmarkEnd w:id="72417"/>
      <w:r>
        <w:rPr>
          <w:rFonts w:hint="cs"/>
          <w:rtl/>
        </w:rPr>
        <w:t xml:space="preserve">גם </w:t>
      </w:r>
      <w:bookmarkStart w:id="72418" w:name="_ETM_Q127_231790"/>
      <w:bookmarkEnd w:id="72418"/>
      <w:r>
        <w:rPr>
          <w:rFonts w:hint="cs"/>
          <w:rtl/>
        </w:rPr>
        <w:t xml:space="preserve">בישיבה </w:t>
      </w:r>
      <w:bookmarkStart w:id="72419" w:name="_ETM_Q127_232240"/>
      <w:bookmarkEnd w:id="72419"/>
      <w:r>
        <w:rPr>
          <w:rFonts w:hint="cs"/>
          <w:rtl/>
        </w:rPr>
        <w:t xml:space="preserve">שלי עם </w:t>
      </w:r>
      <w:bookmarkStart w:id="72420" w:name="_ETM_Q127_232570"/>
      <w:bookmarkEnd w:id="72420"/>
      <w:r>
        <w:rPr>
          <w:rFonts w:hint="cs"/>
          <w:rtl/>
        </w:rPr>
        <w:t xml:space="preserve">שר </w:t>
      </w:r>
      <w:bookmarkStart w:id="72421" w:name="_ETM_Q127_232960"/>
      <w:bookmarkEnd w:id="72421"/>
      <w:r>
        <w:rPr>
          <w:rFonts w:hint="cs"/>
          <w:rtl/>
        </w:rPr>
        <w:t xml:space="preserve">הבריאות – </w:t>
      </w:r>
      <w:bookmarkStart w:id="72422" w:name="_ETM_Q127_233800"/>
      <w:bookmarkEnd w:id="72422"/>
      <w:r>
        <w:rPr>
          <w:rFonts w:hint="cs"/>
          <w:rtl/>
        </w:rPr>
        <w:t xml:space="preserve">כ-180 </w:t>
      </w:r>
      <w:bookmarkStart w:id="72423" w:name="_ETM_Q127_234610"/>
      <w:bookmarkEnd w:id="72423"/>
      <w:r>
        <w:rPr>
          <w:rFonts w:hint="cs"/>
          <w:rtl/>
        </w:rPr>
        <w:t xml:space="preserve">תקנים, </w:t>
      </w:r>
      <w:bookmarkStart w:id="72424" w:name="_ETM_Q127_235030"/>
      <w:bookmarkEnd w:id="72424"/>
      <w:r>
        <w:rPr>
          <w:rFonts w:hint="cs"/>
          <w:rtl/>
        </w:rPr>
        <w:t xml:space="preserve">בעיקר </w:t>
      </w:r>
      <w:bookmarkStart w:id="72425" w:name="_ETM_Q127_237690"/>
      <w:bookmarkEnd w:id="72425"/>
      <w:r>
        <w:rPr>
          <w:rFonts w:hint="cs"/>
          <w:rtl/>
        </w:rPr>
        <w:t xml:space="preserve">לפריפריה. </w:t>
      </w:r>
      <w:bookmarkStart w:id="72426" w:name="_ETM_Q127_239499"/>
      <w:bookmarkEnd w:id="72426"/>
      <w:r>
        <w:rPr>
          <w:rFonts w:hint="cs"/>
          <w:rtl/>
        </w:rPr>
        <w:t xml:space="preserve">אבל </w:t>
      </w:r>
      <w:bookmarkStart w:id="72427" w:name="_ETM_Q127_239739"/>
      <w:bookmarkEnd w:id="72427"/>
      <w:r>
        <w:rPr>
          <w:rFonts w:hint="cs"/>
          <w:rtl/>
        </w:rPr>
        <w:t xml:space="preserve">זה </w:t>
      </w:r>
      <w:bookmarkStart w:id="72428" w:name="_ETM_Q127_239889"/>
      <w:bookmarkEnd w:id="72428"/>
      <w:r>
        <w:rPr>
          <w:rFonts w:hint="cs"/>
          <w:rtl/>
        </w:rPr>
        <w:t xml:space="preserve">עדיין </w:t>
      </w:r>
      <w:bookmarkStart w:id="72429" w:name="_ETM_Q127_240190"/>
      <w:bookmarkEnd w:id="72429"/>
      <w:r>
        <w:rPr>
          <w:rFonts w:hint="cs"/>
          <w:rtl/>
        </w:rPr>
        <w:t xml:space="preserve">לא </w:t>
      </w:r>
      <w:bookmarkStart w:id="72430" w:name="_ETM_Q127_240280"/>
      <w:bookmarkEnd w:id="72430"/>
      <w:r>
        <w:rPr>
          <w:rFonts w:hint="cs"/>
          <w:rtl/>
        </w:rPr>
        <w:t xml:space="preserve">מספיק </w:t>
      </w:r>
      <w:bookmarkStart w:id="72431" w:name="_ETM_Q127_241380"/>
      <w:bookmarkEnd w:id="72431"/>
      <w:r>
        <w:rPr>
          <w:rFonts w:hint="cs"/>
          <w:rtl/>
        </w:rPr>
        <w:t xml:space="preserve">ועדיין </w:t>
      </w:r>
      <w:bookmarkStart w:id="72432" w:name="_ETM_Q127_242370"/>
      <w:bookmarkEnd w:id="72432"/>
      <w:r>
        <w:rPr>
          <w:rFonts w:hint="cs"/>
          <w:rtl/>
        </w:rPr>
        <w:t xml:space="preserve">לא </w:t>
      </w:r>
      <w:bookmarkStart w:id="72433" w:name="_ETM_Q127_242610"/>
      <w:bookmarkEnd w:id="72433"/>
      <w:r>
        <w:rPr>
          <w:rFonts w:hint="cs"/>
          <w:rtl/>
        </w:rPr>
        <w:t xml:space="preserve">יודעים </w:t>
      </w:r>
      <w:bookmarkStart w:id="72434" w:name="_ETM_Q127_242969"/>
      <w:bookmarkEnd w:id="72434"/>
      <w:r>
        <w:rPr>
          <w:rFonts w:hint="cs"/>
          <w:rtl/>
        </w:rPr>
        <w:t xml:space="preserve">איך </w:t>
      </w:r>
      <w:bookmarkStart w:id="72435" w:name="_ETM_Q127_243239"/>
      <w:bookmarkEnd w:id="72435"/>
      <w:r>
        <w:rPr>
          <w:rFonts w:hint="cs"/>
          <w:rtl/>
        </w:rPr>
        <w:t xml:space="preserve">לפנות </w:t>
      </w:r>
      <w:bookmarkStart w:id="72436" w:name="_ETM_Q127_243690"/>
      <w:bookmarkEnd w:id="72436"/>
      <w:r>
        <w:rPr>
          <w:rFonts w:hint="cs"/>
          <w:rtl/>
        </w:rPr>
        <w:t xml:space="preserve">ולמי </w:t>
      </w:r>
      <w:bookmarkStart w:id="72437" w:name="_ETM_Q127_244110"/>
      <w:bookmarkEnd w:id="72437"/>
      <w:r>
        <w:rPr>
          <w:rFonts w:hint="cs"/>
          <w:rtl/>
        </w:rPr>
        <w:t xml:space="preserve">לפנות. </w:t>
      </w:r>
      <w:bookmarkStart w:id="72438" w:name="_ETM_Q127_245250"/>
      <w:bookmarkStart w:id="72439" w:name="_ETM_Q127_247249"/>
      <w:bookmarkEnd w:id="72438"/>
      <w:bookmarkEnd w:id="72439"/>
      <w:r>
        <w:rPr>
          <w:rFonts w:hint="cs"/>
          <w:rtl/>
        </w:rPr>
        <w:t xml:space="preserve">ועדיין </w:t>
      </w:r>
      <w:bookmarkStart w:id="72440" w:name="_ETM_Q127_245850"/>
      <w:bookmarkEnd w:id="72440"/>
      <w:r>
        <w:rPr>
          <w:rFonts w:hint="cs"/>
          <w:rtl/>
        </w:rPr>
        <w:t xml:space="preserve">מי </w:t>
      </w:r>
      <w:bookmarkStart w:id="72441" w:name="_ETM_Q127_246030"/>
      <w:bookmarkEnd w:id="72441"/>
      <w:r>
        <w:rPr>
          <w:rFonts w:hint="cs"/>
          <w:rtl/>
        </w:rPr>
        <w:t xml:space="preserve">שמחליטים </w:t>
      </w:r>
      <w:bookmarkStart w:id="72442" w:name="_ETM_Q127_246840"/>
      <w:bookmarkEnd w:id="72442"/>
      <w:r>
        <w:rPr>
          <w:rFonts w:hint="cs"/>
          <w:rtl/>
        </w:rPr>
        <w:t>ל</w:t>
      </w:r>
      <w:bookmarkStart w:id="72443" w:name="_ETM_Q127_247350"/>
      <w:bookmarkEnd w:id="72443"/>
      <w:r>
        <w:rPr>
          <w:rFonts w:hint="cs"/>
          <w:rtl/>
        </w:rPr>
        <w:t>גבי ההתמחויות</w:t>
      </w:r>
      <w:bookmarkStart w:id="72444" w:name="_ETM_Q127_247470"/>
      <w:bookmarkEnd w:id="72444"/>
      <w:r>
        <w:rPr>
          <w:rFonts w:hint="cs"/>
          <w:rtl/>
        </w:rPr>
        <w:t xml:space="preserve"> </w:t>
      </w:r>
      <w:bookmarkStart w:id="72445" w:name="_ETM_Q127_247830"/>
      <w:bookmarkEnd w:id="72445"/>
      <w:r>
        <w:rPr>
          <w:rFonts w:hint="cs"/>
          <w:rtl/>
        </w:rPr>
        <w:t xml:space="preserve">הם </w:t>
      </w:r>
      <w:bookmarkStart w:id="72446" w:name="_ETM_Q127_248010"/>
      <w:bookmarkEnd w:id="72446"/>
      <w:r>
        <w:rPr>
          <w:rFonts w:hint="cs"/>
          <w:rtl/>
        </w:rPr>
        <w:t xml:space="preserve">מנהלי </w:t>
      </w:r>
      <w:bookmarkStart w:id="72447" w:name="_ETM_Q127_248700"/>
      <w:bookmarkEnd w:id="72447"/>
      <w:r>
        <w:rPr>
          <w:rFonts w:hint="cs"/>
          <w:rtl/>
        </w:rPr>
        <w:t xml:space="preserve">המחלקות, </w:t>
      </w:r>
      <w:bookmarkStart w:id="72448" w:name="_ETM_Q127_249300"/>
      <w:bookmarkStart w:id="72449" w:name="_ETM_Q127_255167"/>
      <w:bookmarkEnd w:id="72448"/>
      <w:bookmarkEnd w:id="72449"/>
      <w:r>
        <w:rPr>
          <w:rFonts w:hint="cs"/>
          <w:rtl/>
        </w:rPr>
        <w:t xml:space="preserve">ולפעמים, </w:t>
      </w:r>
      <w:bookmarkStart w:id="72450" w:name="_ETM_Q127_250490"/>
      <w:bookmarkEnd w:id="72450"/>
      <w:r>
        <w:rPr>
          <w:rFonts w:hint="cs"/>
          <w:rtl/>
        </w:rPr>
        <w:t xml:space="preserve">וזה </w:t>
      </w:r>
      <w:bookmarkStart w:id="72451" w:name="_ETM_Q127_250880"/>
      <w:bookmarkStart w:id="72452" w:name="_ETM_Q127_250970"/>
      <w:bookmarkEnd w:id="72451"/>
      <w:bookmarkEnd w:id="72452"/>
      <w:r>
        <w:rPr>
          <w:rFonts w:hint="cs"/>
          <w:rtl/>
        </w:rPr>
        <w:t xml:space="preserve">קורה, </w:t>
      </w:r>
      <w:bookmarkStart w:id="72453" w:name="_ETM_Q127_252380"/>
      <w:bookmarkStart w:id="72454" w:name="_ETM_Q127_261616"/>
      <w:bookmarkStart w:id="72455" w:name="_ETM_Q127_284264"/>
      <w:bookmarkStart w:id="72456" w:name="_ETM_Q127_280456"/>
      <w:bookmarkStart w:id="72457" w:name="_ETM_Q127_277651"/>
      <w:bookmarkEnd w:id="72453"/>
      <w:bookmarkEnd w:id="72454"/>
      <w:bookmarkEnd w:id="72455"/>
      <w:bookmarkEnd w:id="72456"/>
      <w:bookmarkEnd w:id="72457"/>
      <w:r>
        <w:rPr>
          <w:rFonts w:hint="cs"/>
          <w:rtl/>
        </w:rPr>
        <w:t xml:space="preserve">יש </w:t>
      </w:r>
      <w:bookmarkStart w:id="72458" w:name="_ETM_Q127_252770"/>
      <w:bookmarkEnd w:id="72458"/>
      <w:r>
        <w:rPr>
          <w:rFonts w:hint="cs"/>
          <w:rtl/>
        </w:rPr>
        <w:t xml:space="preserve">העדפה </w:t>
      </w:r>
      <w:bookmarkStart w:id="72459" w:name="_ETM_Q127_253740"/>
      <w:bookmarkEnd w:id="72459"/>
      <w:r>
        <w:rPr>
          <w:rFonts w:hint="cs"/>
          <w:rtl/>
        </w:rPr>
        <w:t xml:space="preserve">לבוגרי </w:t>
      </w:r>
      <w:bookmarkStart w:id="72460" w:name="_ETM_Q127_254280"/>
      <w:bookmarkEnd w:id="72460"/>
      <w:r>
        <w:rPr>
          <w:rFonts w:hint="cs"/>
          <w:rtl/>
        </w:rPr>
        <w:t xml:space="preserve">הארץ, </w:t>
      </w:r>
      <w:bookmarkStart w:id="72461" w:name="_ETM_Q127_255520"/>
      <w:bookmarkEnd w:id="72461"/>
      <w:r>
        <w:rPr>
          <w:rFonts w:hint="cs"/>
          <w:rtl/>
        </w:rPr>
        <w:t xml:space="preserve">ובוגרי </w:t>
      </w:r>
      <w:bookmarkStart w:id="72462" w:name="_ETM_Q127_256000"/>
      <w:bookmarkEnd w:id="72462"/>
      <w:r>
        <w:rPr>
          <w:rFonts w:hint="cs"/>
          <w:rtl/>
        </w:rPr>
        <w:t xml:space="preserve">חו"ל </w:t>
      </w:r>
      <w:bookmarkStart w:id="72463" w:name="_ETM_Q127_256979"/>
      <w:bookmarkEnd w:id="72463"/>
      <w:r>
        <w:rPr>
          <w:rFonts w:hint="cs"/>
          <w:rtl/>
        </w:rPr>
        <w:t xml:space="preserve">הם </w:t>
      </w:r>
      <w:bookmarkStart w:id="72464" w:name="_ETM_Q127_257250"/>
      <w:bookmarkEnd w:id="72464"/>
      <w:r>
        <w:rPr>
          <w:rFonts w:hint="cs"/>
          <w:rtl/>
        </w:rPr>
        <w:t xml:space="preserve">תמיד </w:t>
      </w:r>
      <w:bookmarkStart w:id="72465" w:name="_ETM_Q127_258670"/>
      <w:bookmarkEnd w:id="72465"/>
      <w:r>
        <w:rPr>
          <w:rFonts w:hint="cs"/>
          <w:rtl/>
        </w:rPr>
        <w:t xml:space="preserve">סוג </w:t>
      </w:r>
      <w:bookmarkStart w:id="72466" w:name="_ETM_Q127_259060"/>
      <w:bookmarkEnd w:id="72466"/>
      <w:r>
        <w:rPr>
          <w:rFonts w:hint="cs"/>
          <w:rtl/>
        </w:rPr>
        <w:t xml:space="preserve">ב', </w:t>
      </w:r>
      <w:bookmarkStart w:id="72467" w:name="_ETM_Q127_259860"/>
      <w:bookmarkEnd w:id="72467"/>
      <w:r>
        <w:rPr>
          <w:rFonts w:hint="cs"/>
          <w:rtl/>
        </w:rPr>
        <w:t xml:space="preserve">למרות </w:t>
      </w:r>
      <w:bookmarkStart w:id="72468" w:name="_ETM_Q127_261990"/>
      <w:bookmarkEnd w:id="72468"/>
      <w:r>
        <w:rPr>
          <w:rFonts w:hint="cs"/>
          <w:rtl/>
        </w:rPr>
        <w:t>שמ</w:t>
      </w:r>
      <w:bookmarkStart w:id="72469" w:name="_ETM_Q127_262830"/>
      <w:bookmarkEnd w:id="72469"/>
      <w:r>
        <w:rPr>
          <w:rFonts w:hint="cs"/>
          <w:rtl/>
        </w:rPr>
        <w:t xml:space="preserve">ההיכרות </w:t>
      </w:r>
      <w:bookmarkStart w:id="72470" w:name="_ETM_Q127_263340"/>
      <w:bookmarkStart w:id="72471" w:name="_ETM_Q127_263610"/>
      <w:bookmarkEnd w:id="72470"/>
      <w:bookmarkEnd w:id="72471"/>
      <w:r>
        <w:rPr>
          <w:rFonts w:hint="cs"/>
          <w:rtl/>
        </w:rPr>
        <w:t xml:space="preserve">האישית שלי </w:t>
      </w:r>
      <w:bookmarkStart w:id="72472" w:name="_ETM_Q127_264090"/>
      <w:bookmarkEnd w:id="72472"/>
      <w:r>
        <w:rPr>
          <w:rFonts w:hint="cs"/>
          <w:rtl/>
        </w:rPr>
        <w:t xml:space="preserve">יש </w:t>
      </w:r>
      <w:bookmarkStart w:id="72473" w:name="_ETM_Q127_264300"/>
      <w:bookmarkEnd w:id="72473"/>
      <w:r>
        <w:rPr>
          <w:rFonts w:hint="cs"/>
          <w:rtl/>
        </w:rPr>
        <w:t xml:space="preserve">הרבה </w:t>
      </w:r>
      <w:bookmarkStart w:id="72474" w:name="_ETM_Q127_264690"/>
      <w:bookmarkEnd w:id="72474"/>
      <w:r>
        <w:rPr>
          <w:rFonts w:hint="cs"/>
          <w:rtl/>
        </w:rPr>
        <w:t xml:space="preserve">מנהלי </w:t>
      </w:r>
      <w:bookmarkStart w:id="72475" w:name="_ETM_Q127_265080"/>
      <w:bookmarkEnd w:id="72475"/>
      <w:r>
        <w:rPr>
          <w:rFonts w:hint="cs"/>
          <w:rtl/>
        </w:rPr>
        <w:t xml:space="preserve">מחלקות </w:t>
      </w:r>
      <w:bookmarkStart w:id="72476" w:name="_ETM_Q127_265650"/>
      <w:bookmarkEnd w:id="72476"/>
      <w:r>
        <w:rPr>
          <w:rFonts w:hint="cs"/>
          <w:rtl/>
        </w:rPr>
        <w:t xml:space="preserve">שהם </w:t>
      </w:r>
      <w:bookmarkStart w:id="72477" w:name="_ETM_Q127_265830"/>
      <w:bookmarkEnd w:id="72477"/>
      <w:r>
        <w:rPr>
          <w:rFonts w:hint="cs"/>
          <w:rtl/>
        </w:rPr>
        <w:t xml:space="preserve">בוגרי </w:t>
      </w:r>
      <w:bookmarkStart w:id="72478" w:name="_ETM_Q127_266130"/>
      <w:bookmarkEnd w:id="72478"/>
      <w:r>
        <w:rPr>
          <w:rFonts w:hint="cs"/>
          <w:rtl/>
        </w:rPr>
        <w:t xml:space="preserve">חו"ל, </w:t>
      </w:r>
      <w:bookmarkStart w:id="72479" w:name="_ETM_Q127_266700"/>
      <w:bookmarkEnd w:id="72479"/>
      <w:r>
        <w:rPr>
          <w:rFonts w:hint="cs"/>
          <w:rtl/>
        </w:rPr>
        <w:t xml:space="preserve">רופאים </w:t>
      </w:r>
      <w:bookmarkStart w:id="72480" w:name="_ETM_Q127_267270"/>
      <w:bookmarkEnd w:id="72480"/>
      <w:r>
        <w:rPr>
          <w:rFonts w:hint="cs"/>
          <w:rtl/>
        </w:rPr>
        <w:t xml:space="preserve">מצוינים </w:t>
      </w:r>
      <w:bookmarkStart w:id="72481" w:name="_ETM_Q127_268260"/>
      <w:bookmarkEnd w:id="72481"/>
      <w:r>
        <w:rPr>
          <w:rFonts w:hint="cs"/>
          <w:rtl/>
        </w:rPr>
        <w:t xml:space="preserve">בכל </w:t>
      </w:r>
      <w:bookmarkStart w:id="72482" w:name="_ETM_Q127_268620"/>
      <w:bookmarkEnd w:id="72482"/>
      <w:r>
        <w:rPr>
          <w:rFonts w:hint="cs"/>
          <w:rtl/>
        </w:rPr>
        <w:t xml:space="preserve">התחומים. </w:t>
      </w:r>
      <w:bookmarkStart w:id="72483" w:name="_ETM_Q127_269880"/>
      <w:bookmarkStart w:id="72484" w:name="_ETM_Q127_270180"/>
      <w:bookmarkEnd w:id="72483"/>
      <w:bookmarkEnd w:id="72484"/>
      <w:r>
        <w:rPr>
          <w:rFonts w:hint="cs"/>
          <w:rtl/>
        </w:rPr>
        <w:t xml:space="preserve">לצערי </w:t>
      </w:r>
      <w:bookmarkStart w:id="72485" w:name="_ETM_Q127_271080"/>
      <w:bookmarkStart w:id="72486" w:name="_ETM_Q127_272100"/>
      <w:bookmarkEnd w:id="72485"/>
      <w:bookmarkEnd w:id="72486"/>
      <w:r>
        <w:rPr>
          <w:rFonts w:hint="cs"/>
          <w:rtl/>
        </w:rPr>
        <w:t xml:space="preserve">בתוך </w:t>
      </w:r>
      <w:bookmarkStart w:id="72487" w:name="_ETM_Q127_272940"/>
      <w:bookmarkEnd w:id="72487"/>
      <w:r>
        <w:rPr>
          <w:rFonts w:hint="cs"/>
          <w:rtl/>
        </w:rPr>
        <w:t xml:space="preserve">מערכת </w:t>
      </w:r>
      <w:bookmarkStart w:id="72488" w:name="_ETM_Q127_273450"/>
      <w:bookmarkEnd w:id="72488"/>
      <w:r>
        <w:rPr>
          <w:rFonts w:hint="cs"/>
          <w:rtl/>
        </w:rPr>
        <w:t xml:space="preserve">הבריאות, </w:t>
      </w:r>
      <w:bookmarkStart w:id="72489" w:name="_ETM_Q127_274380"/>
      <w:bookmarkEnd w:id="72489"/>
      <w:r>
        <w:rPr>
          <w:rFonts w:hint="cs"/>
          <w:rtl/>
        </w:rPr>
        <w:t xml:space="preserve">אצל </w:t>
      </w:r>
      <w:bookmarkStart w:id="72490" w:name="_ETM_Q127_274619"/>
      <w:bookmarkEnd w:id="72490"/>
      <w:r>
        <w:rPr>
          <w:rFonts w:hint="cs"/>
          <w:rtl/>
        </w:rPr>
        <w:t xml:space="preserve">מנהלי </w:t>
      </w:r>
      <w:bookmarkStart w:id="72491" w:name="_ETM_Q127_274950"/>
      <w:bookmarkEnd w:id="72491"/>
      <w:r>
        <w:rPr>
          <w:rFonts w:hint="cs"/>
          <w:rtl/>
        </w:rPr>
        <w:t xml:space="preserve">המחלקות, </w:t>
      </w:r>
      <w:bookmarkStart w:id="72492" w:name="_ETM_Q127_276039"/>
      <w:bookmarkEnd w:id="72492"/>
      <w:r>
        <w:rPr>
          <w:rFonts w:hint="cs"/>
          <w:rtl/>
        </w:rPr>
        <w:t xml:space="preserve">עדיין </w:t>
      </w:r>
      <w:bookmarkStart w:id="72493" w:name="_ETM_Q127_277090"/>
      <w:bookmarkEnd w:id="72493"/>
      <w:r>
        <w:rPr>
          <w:rFonts w:hint="cs"/>
          <w:rtl/>
        </w:rPr>
        <w:t xml:space="preserve">רואים </w:t>
      </w:r>
      <w:bookmarkStart w:id="72494" w:name="_ETM_Q127_277899"/>
      <w:bookmarkEnd w:id="72494"/>
      <w:r>
        <w:rPr>
          <w:rFonts w:hint="cs"/>
          <w:rtl/>
        </w:rPr>
        <w:t xml:space="preserve">בבוגרי </w:t>
      </w:r>
      <w:bookmarkStart w:id="72495" w:name="_ETM_Q127_278439"/>
      <w:bookmarkEnd w:id="72495"/>
      <w:r>
        <w:rPr>
          <w:rFonts w:hint="cs"/>
          <w:rtl/>
        </w:rPr>
        <w:t xml:space="preserve">חו"ל </w:t>
      </w:r>
      <w:bookmarkStart w:id="72496" w:name="_ETM_Q127_279189"/>
      <w:bookmarkEnd w:id="72496"/>
      <w:r>
        <w:rPr>
          <w:rFonts w:hint="cs"/>
          <w:rtl/>
        </w:rPr>
        <w:t xml:space="preserve">סוג </w:t>
      </w:r>
      <w:bookmarkStart w:id="72497" w:name="_ETM_Q127_279520"/>
      <w:bookmarkEnd w:id="72497"/>
      <w:r>
        <w:rPr>
          <w:rFonts w:hint="cs"/>
          <w:rtl/>
        </w:rPr>
        <w:t>ב'</w:t>
      </w:r>
      <w:bookmarkStart w:id="72498" w:name="_ETM_Q127_297208"/>
      <w:bookmarkEnd w:id="72498"/>
      <w:r>
        <w:rPr>
          <w:rFonts w:hint="cs"/>
          <w:rtl/>
        </w:rPr>
        <w:t xml:space="preserve">, </w:t>
      </w:r>
      <w:bookmarkStart w:id="72499" w:name="_ETM_Q127_280329"/>
      <w:bookmarkStart w:id="72500" w:name="_ETM_Q127_280689"/>
      <w:bookmarkStart w:id="72501" w:name="_ETM_Q127_281170"/>
      <w:bookmarkEnd w:id="72499"/>
      <w:bookmarkEnd w:id="72500"/>
      <w:bookmarkEnd w:id="72501"/>
      <w:r>
        <w:rPr>
          <w:rFonts w:hint="cs"/>
          <w:rtl/>
        </w:rPr>
        <w:t xml:space="preserve">נותנים </w:t>
      </w:r>
      <w:bookmarkStart w:id="72502" w:name="_ETM_Q127_281529"/>
      <w:bookmarkEnd w:id="72502"/>
      <w:r>
        <w:rPr>
          <w:rFonts w:hint="cs"/>
          <w:rtl/>
        </w:rPr>
        <w:t xml:space="preserve">להם </w:t>
      </w:r>
      <w:bookmarkStart w:id="72503" w:name="_ETM_Q127_281829"/>
      <w:bookmarkStart w:id="72504" w:name="_ETM_Q127_281979"/>
      <w:bookmarkEnd w:id="72503"/>
      <w:bookmarkEnd w:id="72504"/>
      <w:r>
        <w:rPr>
          <w:rFonts w:hint="cs"/>
          <w:rtl/>
        </w:rPr>
        <w:t xml:space="preserve">התמחות </w:t>
      </w:r>
      <w:bookmarkStart w:id="72505" w:name="_ETM_Q127_282340"/>
      <w:bookmarkEnd w:id="72505"/>
      <w:r>
        <w:rPr>
          <w:rFonts w:hint="cs"/>
          <w:rtl/>
        </w:rPr>
        <w:t xml:space="preserve">רק </w:t>
      </w:r>
      <w:bookmarkStart w:id="72506" w:name="_ETM_Q127_282520"/>
      <w:bookmarkEnd w:id="72506"/>
      <w:r>
        <w:rPr>
          <w:rFonts w:hint="cs"/>
          <w:rtl/>
        </w:rPr>
        <w:t xml:space="preserve">מחוסר </w:t>
      </w:r>
      <w:bookmarkStart w:id="72507" w:name="_ETM_Q127_283599"/>
      <w:bookmarkEnd w:id="72507"/>
      <w:r>
        <w:rPr>
          <w:rFonts w:hint="cs"/>
          <w:rtl/>
        </w:rPr>
        <w:t>ברירה.</w:t>
      </w:r>
      <w:bookmarkStart w:id="72508" w:name="_ETM_Q127_288751"/>
      <w:bookmarkEnd w:id="72508"/>
      <w:r>
        <w:rPr>
          <w:rFonts w:hint="cs"/>
          <w:rtl/>
        </w:rPr>
        <w:t xml:space="preserve"> </w:t>
      </w:r>
      <w:bookmarkStart w:id="72509" w:name="_ETM_Q127_284499"/>
      <w:bookmarkEnd w:id="72509"/>
      <w:r>
        <w:rPr>
          <w:rFonts w:hint="cs"/>
          <w:rtl/>
        </w:rPr>
        <w:t xml:space="preserve">ואת </w:t>
      </w:r>
      <w:bookmarkStart w:id="72510" w:name="_ETM_Q127_284770"/>
      <w:bookmarkEnd w:id="72510"/>
      <w:r>
        <w:rPr>
          <w:rFonts w:hint="cs"/>
          <w:rtl/>
        </w:rPr>
        <w:t xml:space="preserve">זה </w:t>
      </w:r>
      <w:bookmarkStart w:id="72511" w:name="_ETM_Q127_285529"/>
      <w:bookmarkEnd w:id="72511"/>
      <w:r>
        <w:rPr>
          <w:rFonts w:hint="cs"/>
          <w:rtl/>
        </w:rPr>
        <w:t xml:space="preserve">צריך </w:t>
      </w:r>
      <w:bookmarkStart w:id="72512" w:name="_ETM_Q127_285950"/>
      <w:bookmarkEnd w:id="72512"/>
      <w:r>
        <w:rPr>
          <w:rFonts w:hint="cs"/>
          <w:rtl/>
        </w:rPr>
        <w:t>לש</w:t>
      </w:r>
      <w:bookmarkStart w:id="72513" w:name="_ETM_Q127_285018"/>
      <w:bookmarkEnd w:id="72513"/>
      <w:r>
        <w:rPr>
          <w:rFonts w:hint="cs"/>
          <w:rtl/>
        </w:rPr>
        <w:t xml:space="preserve">נות. </w:t>
      </w:r>
      <w:bookmarkStart w:id="72514" w:name="_ETM_Q127_288100"/>
      <w:bookmarkEnd w:id="72514"/>
      <w:r>
        <w:rPr>
          <w:rFonts w:hint="cs"/>
          <w:rtl/>
        </w:rPr>
        <w:t xml:space="preserve">אני </w:t>
      </w:r>
      <w:bookmarkStart w:id="72515" w:name="_ETM_Q127_288310"/>
      <w:bookmarkEnd w:id="72515"/>
      <w:r>
        <w:rPr>
          <w:rFonts w:hint="cs"/>
          <w:rtl/>
        </w:rPr>
        <w:t xml:space="preserve">פונה </w:t>
      </w:r>
      <w:bookmarkStart w:id="72516" w:name="_ETM_Q127_288640"/>
      <w:bookmarkEnd w:id="72516"/>
      <w:r>
        <w:rPr>
          <w:rFonts w:hint="cs"/>
          <w:rtl/>
        </w:rPr>
        <w:t xml:space="preserve">מכאן </w:t>
      </w:r>
      <w:bookmarkStart w:id="72517" w:name="_ETM_Q127_289000"/>
      <w:bookmarkEnd w:id="72517"/>
      <w:r>
        <w:rPr>
          <w:rFonts w:hint="cs"/>
          <w:rtl/>
        </w:rPr>
        <w:t xml:space="preserve">לשר </w:t>
      </w:r>
      <w:bookmarkStart w:id="72518" w:name="_ETM_Q127_289299"/>
      <w:bookmarkEnd w:id="72518"/>
      <w:r>
        <w:rPr>
          <w:rFonts w:hint="cs"/>
          <w:rtl/>
        </w:rPr>
        <w:t xml:space="preserve">הבריאות </w:t>
      </w:r>
      <w:bookmarkStart w:id="72519" w:name="_ETM_Q127_290390"/>
      <w:bookmarkEnd w:id="72519"/>
      <w:r>
        <w:rPr>
          <w:rFonts w:hint="cs"/>
          <w:rtl/>
        </w:rPr>
        <w:t>ו</w:t>
      </w:r>
      <w:bookmarkStart w:id="72520" w:name="_ETM_Q127_290480"/>
      <w:bookmarkEnd w:id="72520"/>
      <w:r>
        <w:rPr>
          <w:rFonts w:hint="cs"/>
          <w:rtl/>
        </w:rPr>
        <w:t xml:space="preserve">מבקש </w:t>
      </w:r>
      <w:bookmarkStart w:id="72521" w:name="_ETM_Q127_291320"/>
      <w:bookmarkEnd w:id="72521"/>
      <w:r>
        <w:rPr>
          <w:rFonts w:hint="cs"/>
          <w:rtl/>
        </w:rPr>
        <w:t xml:space="preserve">להקים </w:t>
      </w:r>
      <w:bookmarkStart w:id="72522" w:name="_ETM_Q127_291890"/>
      <w:bookmarkEnd w:id="72522"/>
      <w:r>
        <w:rPr>
          <w:rFonts w:hint="cs"/>
          <w:rtl/>
        </w:rPr>
        <w:t xml:space="preserve">ועדה </w:t>
      </w:r>
      <w:bookmarkStart w:id="72523" w:name="_ETM_Q127_292310"/>
      <w:bookmarkEnd w:id="72523"/>
      <w:r>
        <w:rPr>
          <w:rFonts w:hint="cs"/>
          <w:rtl/>
        </w:rPr>
        <w:t xml:space="preserve">מיידית </w:t>
      </w:r>
      <w:bookmarkStart w:id="72524" w:name="_ETM_Q127_293210"/>
      <w:bookmarkEnd w:id="72524"/>
      <w:r>
        <w:rPr>
          <w:rFonts w:hint="cs"/>
          <w:rtl/>
        </w:rPr>
        <w:t xml:space="preserve">שתיתן </w:t>
      </w:r>
      <w:bookmarkStart w:id="72525" w:name="_ETM_Q127_293750"/>
      <w:bookmarkStart w:id="72526" w:name="_ETM_Q127_294410"/>
      <w:bookmarkEnd w:id="72525"/>
      <w:bookmarkEnd w:id="72526"/>
      <w:r>
        <w:rPr>
          <w:rFonts w:hint="cs"/>
          <w:rtl/>
        </w:rPr>
        <w:t xml:space="preserve">פתרונות אחת </w:t>
      </w:r>
      <w:bookmarkStart w:id="72527" w:name="_ETM_Q127_294890"/>
      <w:bookmarkEnd w:id="72527"/>
      <w:r>
        <w:rPr>
          <w:rFonts w:hint="cs"/>
          <w:rtl/>
        </w:rPr>
        <w:t xml:space="preserve">ולתמיד </w:t>
      </w:r>
      <w:bookmarkStart w:id="72528" w:name="_ETM_Q127_296310"/>
      <w:bookmarkEnd w:id="72528"/>
      <w:r>
        <w:rPr>
          <w:rFonts w:hint="cs"/>
          <w:rtl/>
        </w:rPr>
        <w:t xml:space="preserve">לכל </w:t>
      </w:r>
      <w:bookmarkStart w:id="72529" w:name="_ETM_Q127_297030"/>
      <w:bookmarkEnd w:id="72529"/>
      <w:r>
        <w:rPr>
          <w:rFonts w:hint="cs"/>
          <w:rtl/>
        </w:rPr>
        <w:t xml:space="preserve">הסוגיה </w:t>
      </w:r>
      <w:bookmarkStart w:id="72530" w:name="_ETM_Q127_297720"/>
      <w:bookmarkEnd w:id="72530"/>
      <w:r>
        <w:rPr>
          <w:rFonts w:hint="cs"/>
          <w:rtl/>
        </w:rPr>
        <w:t xml:space="preserve">הזאת </w:t>
      </w:r>
      <w:bookmarkStart w:id="72531" w:name="_ETM_Q127_298020"/>
      <w:bookmarkEnd w:id="72531"/>
      <w:r>
        <w:rPr>
          <w:rFonts w:hint="cs"/>
          <w:rtl/>
        </w:rPr>
        <w:t xml:space="preserve">של </w:t>
      </w:r>
      <w:bookmarkStart w:id="72532" w:name="_ETM_Q127_298200"/>
      <w:bookmarkEnd w:id="72532"/>
      <w:r>
        <w:rPr>
          <w:rFonts w:hint="cs"/>
          <w:rtl/>
        </w:rPr>
        <w:t xml:space="preserve">הרופאים </w:t>
      </w:r>
      <w:bookmarkStart w:id="72533" w:name="_ETM_Q127_298920"/>
      <w:bookmarkEnd w:id="72533"/>
      <w:r>
        <w:rPr>
          <w:rFonts w:hint="cs"/>
          <w:rtl/>
        </w:rPr>
        <w:t xml:space="preserve">הממתינים </w:t>
      </w:r>
      <w:bookmarkStart w:id="72534" w:name="_ETM_Q127_300380"/>
      <w:bookmarkEnd w:id="72534"/>
      <w:r>
        <w:rPr>
          <w:rFonts w:hint="cs"/>
          <w:rtl/>
        </w:rPr>
        <w:t xml:space="preserve">להתמחות. </w:t>
      </w:r>
      <w:bookmarkStart w:id="72535" w:name="_ETM_Q127_302979"/>
      <w:bookmarkEnd w:id="72535"/>
    </w:p>
    <w:p w:rsidR="00BB59CD" w:rsidRDefault="00BB59CD" w:rsidP="00BB59CD">
      <w:pPr>
        <w:rPr>
          <w:rtl/>
        </w:rPr>
      </w:pPr>
    </w:p>
    <w:p w:rsidR="00BB59CD" w:rsidRDefault="00BB59CD" w:rsidP="002F7246">
      <w:pPr>
        <w:rPr>
          <w:rtl/>
        </w:rPr>
      </w:pPr>
      <w:r>
        <w:rPr>
          <w:rFonts w:hint="cs"/>
          <w:rtl/>
        </w:rPr>
        <w:t xml:space="preserve">גם </w:t>
      </w:r>
      <w:bookmarkStart w:id="72536" w:name="_ETM_Q127_303399"/>
      <w:bookmarkEnd w:id="72536"/>
      <w:r>
        <w:rPr>
          <w:rFonts w:hint="cs"/>
          <w:rtl/>
        </w:rPr>
        <w:t xml:space="preserve">לשר </w:t>
      </w:r>
      <w:bookmarkStart w:id="72537" w:name="_ETM_Q127_303700"/>
      <w:bookmarkEnd w:id="72537"/>
      <w:r>
        <w:rPr>
          <w:rFonts w:hint="cs"/>
          <w:rtl/>
        </w:rPr>
        <w:t xml:space="preserve">החינוך </w:t>
      </w:r>
      <w:bookmarkStart w:id="72538" w:name="_ETM_Q127_304859"/>
      <w:bookmarkEnd w:id="72538"/>
      <w:r>
        <w:rPr>
          <w:rFonts w:hint="cs"/>
          <w:rtl/>
        </w:rPr>
        <w:t xml:space="preserve">אני </w:t>
      </w:r>
      <w:bookmarkStart w:id="72539" w:name="_ETM_Q127_305069"/>
      <w:bookmarkEnd w:id="72539"/>
      <w:r>
        <w:rPr>
          <w:rFonts w:hint="cs"/>
          <w:rtl/>
        </w:rPr>
        <w:t xml:space="preserve">פונה, </w:t>
      </w:r>
      <w:bookmarkStart w:id="72540" w:name="_ETM_Q127_305340"/>
      <w:bookmarkEnd w:id="72540"/>
      <w:r>
        <w:rPr>
          <w:rFonts w:hint="cs"/>
          <w:rtl/>
        </w:rPr>
        <w:t xml:space="preserve">להקים </w:t>
      </w:r>
      <w:bookmarkStart w:id="72541" w:name="_ETM_Q127_305789"/>
      <w:bookmarkEnd w:id="72541"/>
      <w:r>
        <w:rPr>
          <w:rFonts w:hint="cs"/>
          <w:rtl/>
        </w:rPr>
        <w:t xml:space="preserve">ועדה </w:t>
      </w:r>
      <w:bookmarkStart w:id="72542" w:name="_ETM_Q127_307000"/>
      <w:bookmarkEnd w:id="72542"/>
      <w:r>
        <w:rPr>
          <w:rFonts w:hint="cs"/>
          <w:rtl/>
        </w:rPr>
        <w:t>ש</w:t>
      </w:r>
      <w:bookmarkStart w:id="72543" w:name="_ETM_Q127_307180"/>
      <w:bookmarkEnd w:id="72543"/>
      <w:r>
        <w:rPr>
          <w:rFonts w:hint="cs"/>
          <w:rtl/>
        </w:rPr>
        <w:t xml:space="preserve">תבדוק </w:t>
      </w:r>
      <w:bookmarkStart w:id="72544" w:name="_ETM_Q127_307780"/>
      <w:bookmarkEnd w:id="72544"/>
      <w:r>
        <w:rPr>
          <w:rFonts w:hint="cs"/>
          <w:rtl/>
        </w:rPr>
        <w:t xml:space="preserve">ותיתן </w:t>
      </w:r>
      <w:bookmarkStart w:id="72545" w:name="_ETM_Q127_309010"/>
      <w:bookmarkEnd w:id="72545"/>
      <w:r>
        <w:rPr>
          <w:rFonts w:hint="cs"/>
          <w:rtl/>
        </w:rPr>
        <w:t xml:space="preserve">פתרונות </w:t>
      </w:r>
      <w:bookmarkStart w:id="72546" w:name="_ETM_Q127_310300"/>
      <w:bookmarkEnd w:id="72546"/>
      <w:r>
        <w:rPr>
          <w:rFonts w:hint="cs"/>
          <w:rtl/>
        </w:rPr>
        <w:t xml:space="preserve">לכל </w:t>
      </w:r>
      <w:bookmarkStart w:id="72547" w:name="_ETM_Q127_310780"/>
      <w:bookmarkEnd w:id="72547"/>
      <w:r>
        <w:rPr>
          <w:rFonts w:hint="cs"/>
          <w:rtl/>
        </w:rPr>
        <w:t xml:space="preserve">המורים, </w:t>
      </w:r>
      <w:bookmarkStart w:id="72548" w:name="_ETM_Q127_312080"/>
      <w:bookmarkEnd w:id="72548"/>
      <w:r>
        <w:rPr>
          <w:rFonts w:hint="cs"/>
          <w:rtl/>
        </w:rPr>
        <w:t xml:space="preserve">בעיקר </w:t>
      </w:r>
      <w:bookmarkStart w:id="72549" w:name="_ETM_Q127_312560"/>
      <w:bookmarkEnd w:id="72549"/>
      <w:r>
        <w:rPr>
          <w:rFonts w:hint="cs"/>
          <w:rtl/>
        </w:rPr>
        <w:t xml:space="preserve">בצפון, </w:t>
      </w:r>
      <w:bookmarkStart w:id="72550" w:name="_ETM_Q127_313460"/>
      <w:bookmarkEnd w:id="72550"/>
      <w:r>
        <w:rPr>
          <w:rFonts w:hint="cs"/>
          <w:rtl/>
        </w:rPr>
        <w:t xml:space="preserve">הממתינים </w:t>
      </w:r>
      <w:bookmarkStart w:id="72551" w:name="_ETM_Q127_314720"/>
      <w:bookmarkEnd w:id="72551"/>
      <w:r>
        <w:rPr>
          <w:rFonts w:hint="cs"/>
          <w:rtl/>
        </w:rPr>
        <w:t xml:space="preserve">לשיבוץ </w:t>
      </w:r>
      <w:bookmarkStart w:id="72552" w:name="_ETM_Q127_315560"/>
      <w:bookmarkEnd w:id="72552"/>
      <w:r>
        <w:rPr>
          <w:rFonts w:hint="cs"/>
          <w:rtl/>
        </w:rPr>
        <w:t xml:space="preserve">מזה </w:t>
      </w:r>
      <w:bookmarkStart w:id="72553" w:name="_ETM_Q127_315919"/>
      <w:bookmarkEnd w:id="72553"/>
      <w:r>
        <w:rPr>
          <w:rFonts w:hint="cs"/>
          <w:rtl/>
        </w:rPr>
        <w:t xml:space="preserve">מספר </w:t>
      </w:r>
      <w:bookmarkStart w:id="72554" w:name="_ETM_Q127_316250"/>
      <w:bookmarkEnd w:id="72554"/>
      <w:r>
        <w:rPr>
          <w:rFonts w:hint="cs"/>
          <w:rtl/>
        </w:rPr>
        <w:t xml:space="preserve">שנים. </w:t>
      </w:r>
      <w:bookmarkStart w:id="72555" w:name="_ETM_Q127_317500"/>
      <w:bookmarkEnd w:id="72555"/>
      <w:r>
        <w:rPr>
          <w:rFonts w:hint="cs"/>
          <w:rtl/>
        </w:rPr>
        <w:t xml:space="preserve">כבוד </w:t>
      </w:r>
      <w:bookmarkStart w:id="72556" w:name="_ETM_Q127_317770"/>
      <w:bookmarkEnd w:id="72556"/>
      <w:r>
        <w:rPr>
          <w:rFonts w:hint="cs"/>
          <w:rtl/>
        </w:rPr>
        <w:t xml:space="preserve">היושב-ראש, </w:t>
      </w:r>
      <w:bookmarkStart w:id="72557" w:name="_ETM_Q127_318370"/>
      <w:bookmarkEnd w:id="72557"/>
      <w:r>
        <w:rPr>
          <w:rFonts w:hint="cs"/>
          <w:rtl/>
        </w:rPr>
        <w:t xml:space="preserve">יש </w:t>
      </w:r>
      <w:bookmarkStart w:id="72558" w:name="_ETM_Q127_318580"/>
      <w:bookmarkEnd w:id="72558"/>
      <w:r>
        <w:rPr>
          <w:rFonts w:hint="cs"/>
          <w:rtl/>
        </w:rPr>
        <w:t xml:space="preserve">שאומרים </w:t>
      </w:r>
      <w:bookmarkStart w:id="72559" w:name="_ETM_Q127_319610"/>
      <w:bookmarkEnd w:id="72559"/>
      <w:r>
        <w:rPr>
          <w:rFonts w:hint="cs"/>
          <w:rtl/>
        </w:rPr>
        <w:t xml:space="preserve">שבצפון – </w:t>
      </w:r>
      <w:bookmarkStart w:id="72560" w:name="_ETM_Q127_320360"/>
      <w:bookmarkEnd w:id="72560"/>
      <w:r>
        <w:rPr>
          <w:rFonts w:hint="cs"/>
          <w:rtl/>
        </w:rPr>
        <w:t xml:space="preserve">באזור </w:t>
      </w:r>
      <w:bookmarkStart w:id="72561" w:name="_ETM_Q127_320660"/>
      <w:bookmarkEnd w:id="72561"/>
      <w:r>
        <w:rPr>
          <w:rFonts w:hint="cs"/>
          <w:rtl/>
        </w:rPr>
        <w:t xml:space="preserve">הצפון </w:t>
      </w:r>
      <w:bookmarkStart w:id="72562" w:name="_ETM_Q127_321110"/>
      <w:bookmarkEnd w:id="72562"/>
      <w:r>
        <w:rPr>
          <w:rFonts w:hint="cs"/>
          <w:rtl/>
        </w:rPr>
        <w:t xml:space="preserve">בלבד – </w:t>
      </w:r>
      <w:bookmarkStart w:id="72563" w:name="_ETM_Q127_321410"/>
      <w:bookmarkEnd w:id="72563"/>
      <w:r>
        <w:rPr>
          <w:rFonts w:hint="cs"/>
          <w:rtl/>
        </w:rPr>
        <w:t xml:space="preserve">יש </w:t>
      </w:r>
      <w:bookmarkStart w:id="72564" w:name="_ETM_Q127_321560"/>
      <w:bookmarkEnd w:id="72564"/>
      <w:r>
        <w:rPr>
          <w:rFonts w:hint="cs"/>
          <w:rtl/>
        </w:rPr>
        <w:t xml:space="preserve">כ-10,000 </w:t>
      </w:r>
      <w:bookmarkStart w:id="72565" w:name="_ETM_Q127_322490"/>
      <w:bookmarkStart w:id="72566" w:name="_ETM_Q127_328617"/>
      <w:bookmarkStart w:id="72567" w:name="_ETM_Q127_324565"/>
      <w:bookmarkStart w:id="72568" w:name="_ETM_Q127_322165"/>
      <w:bookmarkEnd w:id="72565"/>
      <w:bookmarkEnd w:id="72566"/>
      <w:bookmarkEnd w:id="72567"/>
      <w:bookmarkEnd w:id="72568"/>
      <w:r>
        <w:rPr>
          <w:rFonts w:hint="cs"/>
          <w:rtl/>
        </w:rPr>
        <w:t xml:space="preserve">מורים </w:t>
      </w:r>
      <w:bookmarkStart w:id="72569" w:name="_ETM_Q127_322970"/>
      <w:bookmarkEnd w:id="72569"/>
      <w:r>
        <w:rPr>
          <w:rFonts w:hint="cs"/>
          <w:rtl/>
        </w:rPr>
        <w:t>מובטלים</w:t>
      </w:r>
      <w:bookmarkStart w:id="72570" w:name="_ETM_Q127_325447"/>
      <w:bookmarkStart w:id="72571" w:name="_ETM_Q127_323468"/>
      <w:bookmarkStart w:id="72572" w:name="_ETM_Q127_319187"/>
      <w:bookmarkEnd w:id="72570"/>
      <w:bookmarkEnd w:id="72571"/>
      <w:bookmarkEnd w:id="72572"/>
      <w:r>
        <w:rPr>
          <w:rFonts w:hint="cs"/>
          <w:rtl/>
        </w:rPr>
        <w:t xml:space="preserve"> </w:t>
      </w:r>
      <w:bookmarkStart w:id="72573" w:name="_ETM_Q127_324130"/>
      <w:bookmarkEnd w:id="72573"/>
      <w:r>
        <w:rPr>
          <w:rFonts w:hint="cs"/>
          <w:rtl/>
        </w:rPr>
        <w:t xml:space="preserve">מזה </w:t>
      </w:r>
      <w:bookmarkStart w:id="72574" w:name="_ETM_Q127_324370"/>
      <w:bookmarkEnd w:id="72574"/>
      <w:r>
        <w:rPr>
          <w:rFonts w:hint="cs"/>
          <w:rtl/>
        </w:rPr>
        <w:t xml:space="preserve">הרבה </w:t>
      </w:r>
      <w:bookmarkStart w:id="72575" w:name="_ETM_Q127_324610"/>
      <w:bookmarkEnd w:id="72575"/>
      <w:r>
        <w:rPr>
          <w:rFonts w:hint="cs"/>
          <w:rtl/>
        </w:rPr>
        <w:t xml:space="preserve">שנים, </w:t>
      </w:r>
      <w:bookmarkStart w:id="72576" w:name="_ETM_Q127_325480"/>
      <w:bookmarkEnd w:id="72576"/>
      <w:r>
        <w:rPr>
          <w:rFonts w:hint="cs"/>
          <w:rtl/>
        </w:rPr>
        <w:t xml:space="preserve">שמחכים </w:t>
      </w:r>
      <w:bookmarkStart w:id="72577" w:name="_ETM_Q127_326730"/>
      <w:bookmarkStart w:id="72578" w:name="_ETM_Q127_326999"/>
      <w:bookmarkEnd w:id="72577"/>
      <w:bookmarkEnd w:id="72578"/>
      <w:r>
        <w:rPr>
          <w:rFonts w:hint="cs"/>
          <w:rtl/>
        </w:rPr>
        <w:t xml:space="preserve">ומתחרים </w:t>
      </w:r>
      <w:bookmarkStart w:id="72579" w:name="_ETM_Q127_328160"/>
      <w:bookmarkEnd w:id="72579"/>
      <w:r>
        <w:rPr>
          <w:rFonts w:hint="cs"/>
          <w:rtl/>
        </w:rPr>
        <w:t xml:space="preserve">לקבל </w:t>
      </w:r>
      <w:bookmarkStart w:id="72580" w:name="_ETM_Q127_329540"/>
      <w:bookmarkEnd w:id="72580"/>
      <w:r>
        <w:rPr>
          <w:rFonts w:hint="cs"/>
          <w:rtl/>
        </w:rPr>
        <w:t xml:space="preserve">את </w:t>
      </w:r>
      <w:bookmarkStart w:id="72581" w:name="_ETM_Q127_329690"/>
      <w:bookmarkEnd w:id="72581"/>
      <w:r>
        <w:rPr>
          <w:rFonts w:hint="cs"/>
          <w:rtl/>
        </w:rPr>
        <w:t xml:space="preserve">השיבוץ </w:t>
      </w:r>
      <w:bookmarkStart w:id="72582" w:name="_ETM_Q127_330169"/>
      <w:bookmarkEnd w:id="72582"/>
      <w:r>
        <w:rPr>
          <w:rFonts w:hint="cs"/>
          <w:rtl/>
        </w:rPr>
        <w:t xml:space="preserve">שלהם </w:t>
      </w:r>
      <w:bookmarkStart w:id="72583" w:name="_ETM_Q127_330380"/>
      <w:bookmarkEnd w:id="72583"/>
      <w:r>
        <w:rPr>
          <w:rFonts w:hint="cs"/>
          <w:rtl/>
        </w:rPr>
        <w:t xml:space="preserve">בתוך </w:t>
      </w:r>
      <w:bookmarkStart w:id="72584" w:name="_ETM_Q127_330620"/>
      <w:bookmarkEnd w:id="72584"/>
      <w:r>
        <w:rPr>
          <w:rFonts w:hint="cs"/>
          <w:rtl/>
        </w:rPr>
        <w:t xml:space="preserve">בתי </w:t>
      </w:r>
      <w:bookmarkStart w:id="72585" w:name="_ETM_Q127_330889"/>
      <w:bookmarkEnd w:id="72585"/>
      <w:r>
        <w:rPr>
          <w:rFonts w:hint="cs"/>
          <w:rtl/>
        </w:rPr>
        <w:t xml:space="preserve">הספר. </w:t>
      </w:r>
      <w:bookmarkStart w:id="72586" w:name="_ETM_Q127_332230"/>
      <w:bookmarkEnd w:id="72586"/>
      <w:r>
        <w:rPr>
          <w:rFonts w:hint="cs"/>
          <w:rtl/>
        </w:rPr>
        <w:t xml:space="preserve">חלק, </w:t>
      </w:r>
      <w:bookmarkStart w:id="72587" w:name="_ETM_Q127_332680"/>
      <w:bookmarkEnd w:id="72587"/>
      <w:r>
        <w:rPr>
          <w:rFonts w:hint="cs"/>
          <w:rtl/>
        </w:rPr>
        <w:t xml:space="preserve">מייאוש, </w:t>
      </w:r>
      <w:bookmarkStart w:id="72588" w:name="_ETM_Q127_334290"/>
      <w:bookmarkEnd w:id="72588"/>
      <w:r>
        <w:rPr>
          <w:rFonts w:hint="cs"/>
          <w:rtl/>
        </w:rPr>
        <w:t xml:space="preserve">נוסע </w:t>
      </w:r>
      <w:bookmarkStart w:id="72589" w:name="_ETM_Q127_334980"/>
      <w:bookmarkEnd w:id="72589"/>
      <w:r>
        <w:rPr>
          <w:rFonts w:hint="cs"/>
          <w:rtl/>
        </w:rPr>
        <w:t xml:space="preserve">לדרום. </w:t>
      </w:r>
      <w:bookmarkStart w:id="72590" w:name="_ETM_Q127_335580"/>
      <w:bookmarkEnd w:id="72590"/>
      <w:r>
        <w:rPr>
          <w:rFonts w:hint="cs"/>
          <w:rtl/>
        </w:rPr>
        <w:t xml:space="preserve">ואני </w:t>
      </w:r>
      <w:bookmarkStart w:id="72591" w:name="_ETM_Q127_335760"/>
      <w:bookmarkEnd w:id="72591"/>
      <w:r>
        <w:rPr>
          <w:rFonts w:hint="cs"/>
          <w:rtl/>
        </w:rPr>
        <w:t xml:space="preserve">מכיר </w:t>
      </w:r>
      <w:bookmarkStart w:id="72592" w:name="_ETM_Q127_336120"/>
      <w:bookmarkStart w:id="72593" w:name="_ETM_Q127_336330"/>
      <w:bookmarkEnd w:id="72592"/>
      <w:bookmarkEnd w:id="72593"/>
      <w:r>
        <w:rPr>
          <w:rFonts w:hint="cs"/>
          <w:rtl/>
        </w:rPr>
        <w:t xml:space="preserve">אישית </w:t>
      </w:r>
      <w:bookmarkStart w:id="72594" w:name="_ETM_Q127_337270"/>
      <w:bookmarkEnd w:id="72594"/>
      <w:r>
        <w:rPr>
          <w:rFonts w:hint="cs"/>
          <w:rtl/>
        </w:rPr>
        <w:t xml:space="preserve">גם הרבה </w:t>
      </w:r>
      <w:bookmarkStart w:id="72595" w:name="_ETM_Q127_337660"/>
      <w:bookmarkEnd w:id="72595"/>
      <w:r>
        <w:rPr>
          <w:rFonts w:hint="cs"/>
          <w:rtl/>
        </w:rPr>
        <w:t xml:space="preserve">מורות, </w:t>
      </w:r>
      <w:bookmarkStart w:id="72596" w:name="_ETM_Q127_338520"/>
      <w:bookmarkEnd w:id="72596"/>
      <w:r>
        <w:rPr>
          <w:rFonts w:hint="cs"/>
          <w:rtl/>
        </w:rPr>
        <w:t>נשים,</w:t>
      </w:r>
      <w:bookmarkStart w:id="72597" w:name="_ETM_Q127_335728"/>
      <w:bookmarkEnd w:id="72597"/>
      <w:r>
        <w:rPr>
          <w:rFonts w:hint="cs"/>
          <w:rtl/>
        </w:rPr>
        <w:t xml:space="preserve"> </w:t>
      </w:r>
      <w:bookmarkStart w:id="72598" w:name="_ETM_Q127_339330"/>
      <w:bookmarkEnd w:id="72598"/>
      <w:r>
        <w:rPr>
          <w:rFonts w:hint="cs"/>
          <w:rtl/>
        </w:rPr>
        <w:t xml:space="preserve">שעוזבות </w:t>
      </w:r>
      <w:bookmarkStart w:id="72599" w:name="_ETM_Q127_339780"/>
      <w:bookmarkEnd w:id="72599"/>
      <w:r>
        <w:rPr>
          <w:rFonts w:hint="cs"/>
          <w:rtl/>
        </w:rPr>
        <w:t xml:space="preserve">את </w:t>
      </w:r>
      <w:bookmarkStart w:id="72600" w:name="_ETM_Q127_339900"/>
      <w:bookmarkEnd w:id="72600"/>
      <w:r>
        <w:rPr>
          <w:rFonts w:hint="cs"/>
          <w:rtl/>
        </w:rPr>
        <w:t xml:space="preserve">הבתים </w:t>
      </w:r>
      <w:bookmarkStart w:id="72601" w:name="_ETM_Q127_340260"/>
      <w:bookmarkEnd w:id="72601"/>
      <w:r>
        <w:rPr>
          <w:rFonts w:hint="cs"/>
          <w:rtl/>
        </w:rPr>
        <w:t xml:space="preserve">שלהן </w:t>
      </w:r>
      <w:bookmarkStart w:id="72602" w:name="_ETM_Q127_340500"/>
      <w:bookmarkEnd w:id="72602"/>
      <w:r>
        <w:rPr>
          <w:rFonts w:hint="cs"/>
          <w:rtl/>
        </w:rPr>
        <w:t xml:space="preserve">בשעה </w:t>
      </w:r>
      <w:bookmarkStart w:id="72603" w:name="_ETM_Q127_340830"/>
      <w:bookmarkEnd w:id="72603"/>
      <w:r>
        <w:rPr>
          <w:rFonts w:hint="cs"/>
          <w:rtl/>
        </w:rPr>
        <w:t xml:space="preserve">04:00 </w:t>
      </w:r>
      <w:bookmarkStart w:id="72604" w:name="_ETM_Q127_341069"/>
      <w:bookmarkStart w:id="72605" w:name="_ETM_Q127_342120"/>
      <w:bookmarkEnd w:id="72604"/>
      <w:bookmarkEnd w:id="72605"/>
      <w:r>
        <w:rPr>
          <w:rFonts w:hint="cs"/>
          <w:rtl/>
        </w:rPr>
        <w:t xml:space="preserve">כדי </w:t>
      </w:r>
      <w:bookmarkStart w:id="72606" w:name="_ETM_Q127_342360"/>
      <w:bookmarkEnd w:id="72606"/>
      <w:r>
        <w:rPr>
          <w:rFonts w:hint="cs"/>
          <w:rtl/>
        </w:rPr>
        <w:t xml:space="preserve">להגיע </w:t>
      </w:r>
      <w:bookmarkStart w:id="72607" w:name="_ETM_Q127_342959"/>
      <w:bookmarkEnd w:id="72607"/>
      <w:r>
        <w:rPr>
          <w:rFonts w:hint="cs"/>
          <w:rtl/>
        </w:rPr>
        <w:t xml:space="preserve">וללמד </w:t>
      </w:r>
      <w:bookmarkStart w:id="72608" w:name="_ETM_Q127_344220"/>
      <w:bookmarkEnd w:id="72608"/>
      <w:r>
        <w:rPr>
          <w:rFonts w:hint="cs"/>
          <w:rtl/>
        </w:rPr>
        <w:t xml:space="preserve">בדרום, </w:t>
      </w:r>
      <w:bookmarkStart w:id="72609" w:name="_ETM_Q127_345260"/>
      <w:bookmarkEnd w:id="72609"/>
      <w:r>
        <w:rPr>
          <w:rFonts w:hint="cs"/>
          <w:rtl/>
        </w:rPr>
        <w:t xml:space="preserve">בנגב, </w:t>
      </w:r>
      <w:bookmarkStart w:id="72610" w:name="_ETM_Q127_345859"/>
      <w:bookmarkEnd w:id="72610"/>
      <w:r>
        <w:rPr>
          <w:rFonts w:hint="cs"/>
          <w:rtl/>
        </w:rPr>
        <w:t xml:space="preserve">שאנחנו </w:t>
      </w:r>
      <w:bookmarkStart w:id="72611" w:name="_ETM_Q127_346219"/>
      <w:bookmarkEnd w:id="72611"/>
      <w:r>
        <w:rPr>
          <w:rFonts w:hint="cs"/>
          <w:rtl/>
        </w:rPr>
        <w:t xml:space="preserve">מאוד </w:t>
      </w:r>
      <w:bookmarkStart w:id="72612" w:name="_ETM_Q127_346579"/>
      <w:bookmarkEnd w:id="72612"/>
      <w:r>
        <w:rPr>
          <w:rFonts w:hint="cs"/>
          <w:rtl/>
        </w:rPr>
        <w:t>אוהבים</w:t>
      </w:r>
      <w:bookmarkStart w:id="72613" w:name="_ETM_Q127_346999"/>
      <w:bookmarkEnd w:id="72613"/>
      <w:r>
        <w:rPr>
          <w:rFonts w:hint="cs"/>
          <w:rtl/>
        </w:rPr>
        <w:t xml:space="preserve"> ואנחנו </w:t>
      </w:r>
      <w:bookmarkStart w:id="72614" w:name="_ETM_Q127_347450"/>
      <w:bookmarkStart w:id="72615" w:name="_ETM_Q127_345838"/>
      <w:bookmarkEnd w:id="72614"/>
      <w:bookmarkEnd w:id="72615"/>
      <w:r>
        <w:rPr>
          <w:rFonts w:hint="cs"/>
          <w:rtl/>
        </w:rPr>
        <w:t xml:space="preserve">רוצים </w:t>
      </w:r>
      <w:bookmarkStart w:id="72616" w:name="_ETM_Q127_347779"/>
      <w:bookmarkEnd w:id="72616"/>
      <w:r>
        <w:rPr>
          <w:rFonts w:hint="cs"/>
          <w:rtl/>
        </w:rPr>
        <w:t xml:space="preserve">לעזור </w:t>
      </w:r>
      <w:bookmarkStart w:id="72617" w:name="_ETM_Q127_348169"/>
      <w:bookmarkEnd w:id="72617"/>
      <w:r>
        <w:rPr>
          <w:rFonts w:hint="cs"/>
          <w:rtl/>
        </w:rPr>
        <w:t xml:space="preserve">ולתת </w:t>
      </w:r>
      <w:bookmarkStart w:id="72618" w:name="_ETM_Q127_348590"/>
      <w:bookmarkEnd w:id="72618"/>
      <w:r>
        <w:rPr>
          <w:rFonts w:hint="cs"/>
          <w:rtl/>
        </w:rPr>
        <w:t>לו</w:t>
      </w:r>
      <w:bookmarkStart w:id="72619" w:name="_ETM_Q127_362918"/>
      <w:bookmarkEnd w:id="72619"/>
      <w:r>
        <w:rPr>
          <w:rFonts w:hint="cs"/>
          <w:rtl/>
        </w:rPr>
        <w:t xml:space="preserve">. </w:t>
      </w:r>
      <w:bookmarkStart w:id="72620" w:name="_ETM_Q127_349279"/>
      <w:bookmarkEnd w:id="72620"/>
      <w:r>
        <w:rPr>
          <w:rFonts w:hint="cs"/>
          <w:rtl/>
        </w:rPr>
        <w:t xml:space="preserve">אבל </w:t>
      </w:r>
      <w:bookmarkStart w:id="72621" w:name="_ETM_Q127_349549"/>
      <w:bookmarkEnd w:id="72621"/>
      <w:r>
        <w:rPr>
          <w:rFonts w:hint="cs"/>
          <w:rtl/>
        </w:rPr>
        <w:t xml:space="preserve">זו </w:t>
      </w:r>
      <w:bookmarkStart w:id="72622" w:name="_ETM_Q127_349639"/>
      <w:bookmarkEnd w:id="72622"/>
      <w:r>
        <w:rPr>
          <w:rFonts w:hint="cs"/>
          <w:rtl/>
        </w:rPr>
        <w:t xml:space="preserve">סוגיה </w:t>
      </w:r>
      <w:bookmarkStart w:id="72623" w:name="_ETM_Q127_350840"/>
      <w:bookmarkEnd w:id="72623"/>
      <w:r>
        <w:rPr>
          <w:rFonts w:hint="cs"/>
          <w:rtl/>
        </w:rPr>
        <w:t>ש</w:t>
      </w:r>
      <w:r w:rsidR="002F7246">
        <w:rPr>
          <w:rFonts w:hint="cs"/>
          <w:rtl/>
        </w:rPr>
        <w:t xml:space="preserve">בה צריך </w:t>
      </w:r>
      <w:r>
        <w:rPr>
          <w:rFonts w:hint="cs"/>
          <w:rtl/>
        </w:rPr>
        <w:t>לתת</w:t>
      </w:r>
      <w:bookmarkStart w:id="72624" w:name="_ETM_Q127_351138"/>
      <w:bookmarkEnd w:id="72624"/>
      <w:r>
        <w:rPr>
          <w:rFonts w:hint="cs"/>
          <w:rtl/>
        </w:rPr>
        <w:t xml:space="preserve"> </w:t>
      </w:r>
      <w:bookmarkStart w:id="72625" w:name="_ETM_Q127_352760"/>
      <w:bookmarkEnd w:id="72625"/>
      <w:r>
        <w:rPr>
          <w:rFonts w:hint="cs"/>
          <w:rtl/>
        </w:rPr>
        <w:t>פתרון</w:t>
      </w:r>
      <w:r w:rsidR="002F7246">
        <w:rPr>
          <w:rFonts w:hint="cs"/>
          <w:rtl/>
        </w:rPr>
        <w:t>,</w:t>
      </w:r>
      <w:r>
        <w:rPr>
          <w:rFonts w:hint="cs"/>
          <w:rtl/>
        </w:rPr>
        <w:t xml:space="preserve"> </w:t>
      </w:r>
      <w:bookmarkStart w:id="72626" w:name="_ETM_Q127_353359"/>
      <w:bookmarkEnd w:id="72626"/>
      <w:r>
        <w:rPr>
          <w:rFonts w:hint="cs"/>
          <w:rtl/>
        </w:rPr>
        <w:t xml:space="preserve">כי אנחנו כן </w:t>
      </w:r>
      <w:bookmarkStart w:id="72627" w:name="_ETM_Q127_354169"/>
      <w:bookmarkEnd w:id="72627"/>
      <w:r>
        <w:rPr>
          <w:rFonts w:hint="cs"/>
          <w:rtl/>
        </w:rPr>
        <w:t xml:space="preserve">רוצים </w:t>
      </w:r>
      <w:bookmarkStart w:id="72628" w:name="_ETM_Q127_354439"/>
      <w:bookmarkEnd w:id="72628"/>
      <w:r>
        <w:rPr>
          <w:rFonts w:hint="cs"/>
          <w:rtl/>
        </w:rPr>
        <w:t>שה</w:t>
      </w:r>
      <w:bookmarkStart w:id="72629" w:name="_ETM_Q127_355148"/>
      <w:bookmarkEnd w:id="72629"/>
      <w:r>
        <w:rPr>
          <w:rFonts w:hint="cs"/>
          <w:rtl/>
        </w:rPr>
        <w:t xml:space="preserve">נגב </w:t>
      </w:r>
      <w:bookmarkStart w:id="72630" w:name="_ETM_Q127_354980"/>
      <w:bookmarkEnd w:id="72630"/>
      <w:r>
        <w:rPr>
          <w:rFonts w:hint="cs"/>
          <w:rtl/>
        </w:rPr>
        <w:t xml:space="preserve">יספק </w:t>
      </w:r>
      <w:bookmarkStart w:id="72631" w:name="_ETM_Q127_355340"/>
      <w:bookmarkEnd w:id="72631"/>
      <w:r>
        <w:rPr>
          <w:rFonts w:hint="cs"/>
          <w:rtl/>
        </w:rPr>
        <w:t xml:space="preserve">את </w:t>
      </w:r>
      <w:bookmarkStart w:id="72632" w:name="_ETM_Q127_355459"/>
      <w:bookmarkEnd w:id="72632"/>
      <w:r>
        <w:rPr>
          <w:rFonts w:hint="cs"/>
          <w:rtl/>
        </w:rPr>
        <w:t xml:space="preserve">עצמו, </w:t>
      </w:r>
      <w:bookmarkStart w:id="72633" w:name="_ETM_Q127_356230"/>
      <w:bookmarkEnd w:id="72633"/>
      <w:r>
        <w:rPr>
          <w:rFonts w:hint="cs"/>
          <w:rtl/>
        </w:rPr>
        <w:t xml:space="preserve">אנחנו </w:t>
      </w:r>
      <w:bookmarkStart w:id="72634" w:name="_ETM_Q127_356469"/>
      <w:bookmarkEnd w:id="72634"/>
      <w:r>
        <w:rPr>
          <w:rFonts w:hint="cs"/>
          <w:rtl/>
        </w:rPr>
        <w:t xml:space="preserve">כן </w:t>
      </w:r>
      <w:bookmarkStart w:id="72635" w:name="_ETM_Q127_356739"/>
      <w:bookmarkEnd w:id="72635"/>
      <w:r>
        <w:rPr>
          <w:rFonts w:hint="cs"/>
          <w:rtl/>
        </w:rPr>
        <w:t xml:space="preserve">רוצים </w:t>
      </w:r>
      <w:bookmarkStart w:id="72636" w:name="_ETM_Q127_357040"/>
      <w:bookmarkEnd w:id="72636"/>
      <w:r>
        <w:rPr>
          <w:rFonts w:hint="cs"/>
          <w:rtl/>
        </w:rPr>
        <w:t xml:space="preserve">שבני </w:t>
      </w:r>
      <w:bookmarkStart w:id="72637" w:name="_ETM_Q127_357370"/>
      <w:bookmarkEnd w:id="72637"/>
      <w:r>
        <w:rPr>
          <w:rFonts w:hint="cs"/>
          <w:rtl/>
        </w:rPr>
        <w:t xml:space="preserve">הנגב </w:t>
      </w:r>
      <w:bookmarkStart w:id="72638" w:name="_ETM_Q127_357760"/>
      <w:bookmarkEnd w:id="72638"/>
      <w:r>
        <w:rPr>
          <w:rFonts w:hint="cs"/>
          <w:rtl/>
        </w:rPr>
        <w:t xml:space="preserve">יִלְמדו </w:t>
      </w:r>
      <w:bookmarkStart w:id="72639" w:name="_ETM_Q127_358629"/>
      <w:bookmarkEnd w:id="72639"/>
      <w:r>
        <w:rPr>
          <w:rFonts w:hint="cs"/>
          <w:rtl/>
        </w:rPr>
        <w:t>ו</w:t>
      </w:r>
      <w:bookmarkStart w:id="72640" w:name="_ETM_Q127_358930"/>
      <w:bookmarkEnd w:id="72640"/>
      <w:r>
        <w:rPr>
          <w:rFonts w:hint="cs"/>
          <w:rtl/>
        </w:rPr>
        <w:t xml:space="preserve">גם </w:t>
      </w:r>
      <w:bookmarkStart w:id="72641" w:name="_ETM_Q127_359550"/>
      <w:bookmarkEnd w:id="72641"/>
      <w:r>
        <w:rPr>
          <w:rFonts w:hint="cs"/>
          <w:rtl/>
        </w:rPr>
        <w:t xml:space="preserve">יְלַמדו </w:t>
      </w:r>
      <w:bookmarkStart w:id="72642" w:name="_ETM_Q127_360480"/>
      <w:bookmarkEnd w:id="72642"/>
      <w:r>
        <w:rPr>
          <w:rFonts w:hint="cs"/>
          <w:rtl/>
        </w:rPr>
        <w:t xml:space="preserve">בתוך </w:t>
      </w:r>
      <w:bookmarkStart w:id="72643" w:name="_ETM_Q127_360840"/>
      <w:bookmarkEnd w:id="72643"/>
      <w:r>
        <w:rPr>
          <w:rFonts w:hint="cs"/>
          <w:rtl/>
        </w:rPr>
        <w:t xml:space="preserve">היישובים </w:t>
      </w:r>
      <w:bookmarkStart w:id="72644" w:name="_ETM_Q127_361230"/>
      <w:bookmarkEnd w:id="72644"/>
      <w:r>
        <w:rPr>
          <w:rFonts w:hint="cs"/>
          <w:rtl/>
        </w:rPr>
        <w:t xml:space="preserve">שלהם. </w:t>
      </w:r>
      <w:bookmarkStart w:id="72645" w:name="_ETM_Q127_363310"/>
      <w:bookmarkEnd w:id="72645"/>
    </w:p>
    <w:p w:rsidR="00BB59CD" w:rsidRDefault="00BB59CD" w:rsidP="00BB59CD">
      <w:pPr>
        <w:rPr>
          <w:rtl/>
        </w:rPr>
      </w:pPr>
    </w:p>
    <w:p w:rsidR="00BB59CD" w:rsidRDefault="00BB59CD" w:rsidP="00BB59CD">
      <w:pPr>
        <w:rPr>
          <w:rtl/>
        </w:rPr>
      </w:pPr>
      <w:r>
        <w:rPr>
          <w:rFonts w:hint="cs"/>
          <w:rtl/>
        </w:rPr>
        <w:t xml:space="preserve">הגיע </w:t>
      </w:r>
      <w:bookmarkStart w:id="72646" w:name="_ETM_Q127_363669"/>
      <w:bookmarkEnd w:id="72646"/>
      <w:r>
        <w:rPr>
          <w:rFonts w:hint="cs"/>
          <w:rtl/>
        </w:rPr>
        <w:t xml:space="preserve">הזמן </w:t>
      </w:r>
      <w:bookmarkStart w:id="72647" w:name="_ETM_Q127_364910"/>
      <w:bookmarkEnd w:id="72647"/>
      <w:r>
        <w:rPr>
          <w:rFonts w:hint="cs"/>
          <w:rtl/>
        </w:rPr>
        <w:t xml:space="preserve">שהממשלה </w:t>
      </w:r>
      <w:bookmarkStart w:id="72648" w:name="_ETM_Q127_365480"/>
      <w:bookmarkEnd w:id="72648"/>
      <w:r>
        <w:rPr>
          <w:rFonts w:hint="cs"/>
          <w:rtl/>
        </w:rPr>
        <w:t xml:space="preserve">תפתור </w:t>
      </w:r>
      <w:bookmarkStart w:id="72649" w:name="_ETM_Q127_365959"/>
      <w:bookmarkEnd w:id="72649"/>
      <w:r>
        <w:rPr>
          <w:rFonts w:hint="cs"/>
          <w:rtl/>
        </w:rPr>
        <w:t xml:space="preserve">באופן </w:t>
      </w:r>
      <w:bookmarkStart w:id="72650" w:name="_ETM_Q127_366770"/>
      <w:bookmarkEnd w:id="72650"/>
      <w:r>
        <w:rPr>
          <w:rFonts w:hint="cs"/>
          <w:rtl/>
        </w:rPr>
        <w:t xml:space="preserve">יסודי </w:t>
      </w:r>
      <w:bookmarkStart w:id="72651" w:name="_ETM_Q127_368340"/>
      <w:bookmarkEnd w:id="72651"/>
      <w:r>
        <w:rPr>
          <w:rFonts w:hint="cs"/>
          <w:rtl/>
        </w:rPr>
        <w:t xml:space="preserve">את </w:t>
      </w:r>
      <w:bookmarkStart w:id="72652" w:name="_ETM_Q127_368489"/>
      <w:bookmarkEnd w:id="72652"/>
      <w:r>
        <w:rPr>
          <w:rFonts w:hint="cs"/>
          <w:rtl/>
        </w:rPr>
        <w:t xml:space="preserve">כל </w:t>
      </w:r>
      <w:bookmarkStart w:id="72653" w:name="_ETM_Q127_368700"/>
      <w:bookmarkEnd w:id="72653"/>
      <w:r>
        <w:rPr>
          <w:rFonts w:hint="cs"/>
          <w:rtl/>
        </w:rPr>
        <w:t xml:space="preserve">הבעיות </w:t>
      </w:r>
      <w:bookmarkStart w:id="72654" w:name="_ETM_Q127_369150"/>
      <w:bookmarkEnd w:id="72654"/>
      <w:r>
        <w:rPr>
          <w:rFonts w:hint="cs"/>
          <w:rtl/>
        </w:rPr>
        <w:t xml:space="preserve">בחברה </w:t>
      </w:r>
      <w:bookmarkStart w:id="72655" w:name="_ETM_Q127_369720"/>
      <w:bookmarkEnd w:id="72655"/>
      <w:r>
        <w:rPr>
          <w:rFonts w:hint="cs"/>
          <w:rtl/>
        </w:rPr>
        <w:t xml:space="preserve">הערבית, </w:t>
      </w:r>
      <w:bookmarkStart w:id="72656" w:name="_ETM_Q127_370980"/>
      <w:bookmarkEnd w:id="72656"/>
      <w:r>
        <w:rPr>
          <w:rFonts w:hint="cs"/>
          <w:rtl/>
        </w:rPr>
        <w:t xml:space="preserve">ולא </w:t>
      </w:r>
      <w:bookmarkStart w:id="72657" w:name="_ETM_Q127_371790"/>
      <w:bookmarkEnd w:id="72657"/>
      <w:r>
        <w:rPr>
          <w:rFonts w:hint="cs"/>
          <w:rtl/>
        </w:rPr>
        <w:t>לה</w:t>
      </w:r>
      <w:bookmarkStart w:id="72658" w:name="_ETM_Q127_369788"/>
      <w:bookmarkStart w:id="72659" w:name="_ETM_Q127_372197"/>
      <w:bookmarkEnd w:id="72658"/>
      <w:bookmarkEnd w:id="72659"/>
      <w:r>
        <w:rPr>
          <w:rFonts w:hint="cs"/>
          <w:rtl/>
        </w:rPr>
        <w:t xml:space="preserve">סתפק </w:t>
      </w:r>
      <w:bookmarkStart w:id="72660" w:name="_ETM_Q127_372690"/>
      <w:bookmarkEnd w:id="72660"/>
      <w:r>
        <w:rPr>
          <w:rFonts w:hint="cs"/>
          <w:rtl/>
        </w:rPr>
        <w:t xml:space="preserve">במתן </w:t>
      </w:r>
      <w:bookmarkStart w:id="72661" w:name="_ETM_Q127_373410"/>
      <w:bookmarkEnd w:id="72661"/>
      <w:r>
        <w:rPr>
          <w:rFonts w:hint="cs"/>
          <w:rtl/>
        </w:rPr>
        <w:t xml:space="preserve">אקמול. </w:t>
      </w:r>
      <w:bookmarkStart w:id="72662" w:name="_ETM_Q127_374760"/>
      <w:bookmarkEnd w:id="72662"/>
      <w:r>
        <w:rPr>
          <w:rFonts w:hint="cs"/>
          <w:rtl/>
        </w:rPr>
        <w:t xml:space="preserve">אתם יודעים, אקמול </w:t>
      </w:r>
      <w:bookmarkStart w:id="72663" w:name="_ETM_Q127_375269"/>
      <w:bookmarkStart w:id="72664" w:name="_ETM_Q127_376019"/>
      <w:bookmarkEnd w:id="72663"/>
      <w:bookmarkEnd w:id="72664"/>
      <w:r>
        <w:rPr>
          <w:rFonts w:hint="cs"/>
          <w:rtl/>
        </w:rPr>
        <w:t xml:space="preserve">זה </w:t>
      </w:r>
      <w:bookmarkStart w:id="72665" w:name="_ETM_Q127_376260"/>
      <w:bookmarkEnd w:id="72665"/>
      <w:r>
        <w:rPr>
          <w:rFonts w:hint="cs"/>
          <w:rtl/>
        </w:rPr>
        <w:t xml:space="preserve">לא </w:t>
      </w:r>
      <w:bookmarkStart w:id="72666" w:name="_ETM_Q127_376379"/>
      <w:bookmarkEnd w:id="72666"/>
      <w:r>
        <w:rPr>
          <w:rFonts w:hint="cs"/>
          <w:rtl/>
        </w:rPr>
        <w:t xml:space="preserve">פתרון. </w:t>
      </w:r>
      <w:bookmarkStart w:id="72667" w:name="_ETM_Q127_381430"/>
      <w:bookmarkEnd w:id="72667"/>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צפרא טבא לשר.</w:t>
      </w:r>
    </w:p>
    <w:p w:rsidR="00BB59CD" w:rsidRDefault="00BB59CD" w:rsidP="00BB59CD">
      <w:pPr>
        <w:rPr>
          <w:rtl/>
        </w:rPr>
      </w:pPr>
    </w:p>
    <w:p w:rsidR="00BB59CD" w:rsidRDefault="00BB59CD" w:rsidP="00BB59CD">
      <w:pPr>
        <w:pStyle w:val="-"/>
        <w:keepNext/>
        <w:rPr>
          <w:rtl/>
        </w:rPr>
      </w:pPr>
      <w:bookmarkStart w:id="72668" w:name="ET_speakercontinue_6350_2"/>
      <w:r>
        <w:rPr>
          <w:rStyle w:val="TagStyle"/>
          <w:rFonts w:hint="cs"/>
          <w:rtl/>
        </w:rPr>
        <w:t xml:space="preserve"> &lt;&lt; דובר_המשך &gt;&gt; </w:t>
      </w:r>
      <w:r>
        <w:rPr>
          <w:rFonts w:hint="cs"/>
          <w:rtl/>
        </w:rPr>
        <w:t>יאסר חוג'יראת (רע"מ – הרשימה הערבית המאוחדת):</w:t>
      </w:r>
      <w:r>
        <w:rPr>
          <w:rStyle w:val="TagStyle"/>
          <w:rtl/>
        </w:rPr>
        <w:t xml:space="preserve"> &lt;&lt; דובר_המשך &gt;&gt;</w:t>
      </w:r>
      <w:r>
        <w:rPr>
          <w:rFonts w:hint="cs"/>
          <w:rtl/>
        </w:rPr>
        <w:t xml:space="preserve">   </w:t>
      </w:r>
      <w:bookmarkEnd w:id="72668"/>
    </w:p>
    <w:p w:rsidR="00BB59CD" w:rsidRDefault="00BB59CD" w:rsidP="00337201">
      <w:pPr>
        <w:rPr>
          <w:rtl/>
        </w:rPr>
      </w:pPr>
    </w:p>
    <w:p w:rsidR="00BB59CD" w:rsidRDefault="00BB59CD" w:rsidP="00BF03B2">
      <w:pPr>
        <w:rPr>
          <w:rtl/>
        </w:rPr>
      </w:pPr>
      <w:r>
        <w:rPr>
          <w:rFonts w:hint="cs"/>
          <w:rtl/>
        </w:rPr>
        <w:t xml:space="preserve">תדמיין </w:t>
      </w:r>
      <w:bookmarkStart w:id="72669" w:name="_ETM_Q127_381969"/>
      <w:bookmarkEnd w:id="72669"/>
      <w:r>
        <w:rPr>
          <w:rFonts w:hint="cs"/>
          <w:rtl/>
        </w:rPr>
        <w:t xml:space="preserve">לעצמך, כבוד היושב-ראש, </w:t>
      </w:r>
      <w:bookmarkStart w:id="72670" w:name="_ETM_Q127_382840"/>
      <w:bookmarkStart w:id="72671" w:name="_ETM_Q127_383439"/>
      <w:bookmarkStart w:id="72672" w:name="_ETM_Q127_386159"/>
      <w:bookmarkStart w:id="72673" w:name="_ETM_Q127_379817"/>
      <w:bookmarkEnd w:id="72670"/>
      <w:bookmarkEnd w:id="72671"/>
      <w:bookmarkEnd w:id="72672"/>
      <w:bookmarkEnd w:id="72673"/>
      <w:r>
        <w:rPr>
          <w:rFonts w:hint="cs"/>
          <w:rtl/>
        </w:rPr>
        <w:t xml:space="preserve">שיש </w:t>
      </w:r>
      <w:bookmarkStart w:id="72674" w:name="_ETM_Q127_386489"/>
      <w:bookmarkEnd w:id="72674"/>
      <w:r>
        <w:rPr>
          <w:rFonts w:hint="cs"/>
          <w:rtl/>
        </w:rPr>
        <w:t xml:space="preserve">בתוך </w:t>
      </w:r>
      <w:bookmarkStart w:id="72675" w:name="_ETM_Q127_387620"/>
      <w:bookmarkEnd w:id="72675"/>
      <w:r>
        <w:rPr>
          <w:rFonts w:hint="cs"/>
          <w:rtl/>
        </w:rPr>
        <w:t xml:space="preserve">בית, </w:t>
      </w:r>
      <w:bookmarkStart w:id="72676" w:name="_ETM_Q127_389360"/>
      <w:bookmarkEnd w:id="72676"/>
      <w:r>
        <w:rPr>
          <w:rFonts w:hint="cs"/>
          <w:rtl/>
        </w:rPr>
        <w:t xml:space="preserve">במשפחה, </w:t>
      </w:r>
      <w:bookmarkStart w:id="72677" w:name="_ETM_Q127_390840"/>
      <w:bookmarkStart w:id="72678" w:name="_ETM_Q127_391418"/>
      <w:bookmarkStart w:id="72679" w:name="_ETM_Q127_387478"/>
      <w:bookmarkEnd w:id="72677"/>
      <w:r>
        <w:rPr>
          <w:rFonts w:hint="cs"/>
          <w:rtl/>
        </w:rPr>
        <w:t xml:space="preserve">מורה </w:t>
      </w:r>
      <w:bookmarkStart w:id="72680" w:name="_ETM_Q127_391139"/>
      <w:bookmarkEnd w:id="72678"/>
      <w:bookmarkEnd w:id="72679"/>
      <w:bookmarkEnd w:id="72680"/>
      <w:r>
        <w:rPr>
          <w:rFonts w:hint="cs"/>
          <w:rtl/>
        </w:rPr>
        <w:t xml:space="preserve">מובטל </w:t>
      </w:r>
      <w:bookmarkStart w:id="72681" w:name="_ETM_Q127_392510"/>
      <w:bookmarkEnd w:id="72681"/>
      <w:r>
        <w:rPr>
          <w:rFonts w:hint="cs"/>
          <w:rtl/>
        </w:rPr>
        <w:t xml:space="preserve">או </w:t>
      </w:r>
      <w:bookmarkStart w:id="72682" w:name="_ETM_Q127_394400"/>
      <w:bookmarkEnd w:id="72682"/>
      <w:r>
        <w:rPr>
          <w:rFonts w:hint="cs"/>
          <w:rtl/>
        </w:rPr>
        <w:t xml:space="preserve">רופא </w:t>
      </w:r>
      <w:bookmarkStart w:id="72683" w:name="_ETM_Q127_395209"/>
      <w:bookmarkEnd w:id="72683"/>
      <w:r>
        <w:rPr>
          <w:rFonts w:hint="cs"/>
          <w:rtl/>
        </w:rPr>
        <w:t>מובטל</w:t>
      </w:r>
      <w:bookmarkStart w:id="72684" w:name="_ETM_Q127_393657"/>
      <w:bookmarkStart w:id="72685" w:name="_ETM_Q127_405907"/>
      <w:bookmarkEnd w:id="72684"/>
      <w:bookmarkEnd w:id="72685"/>
      <w:r>
        <w:rPr>
          <w:rFonts w:hint="cs"/>
          <w:rtl/>
        </w:rPr>
        <w:t xml:space="preserve"> </w:t>
      </w:r>
      <w:bookmarkStart w:id="72686" w:name="_ETM_Q127_395840"/>
      <w:bookmarkEnd w:id="72686"/>
      <w:r>
        <w:rPr>
          <w:rFonts w:hint="cs"/>
          <w:rtl/>
        </w:rPr>
        <w:t xml:space="preserve">שמחכה </w:t>
      </w:r>
      <w:bookmarkStart w:id="72687" w:name="_ETM_Q127_396379"/>
      <w:bookmarkEnd w:id="72687"/>
      <w:r>
        <w:rPr>
          <w:rFonts w:hint="cs"/>
          <w:rtl/>
        </w:rPr>
        <w:t>ל</w:t>
      </w:r>
      <w:bookmarkStart w:id="72688" w:name="_ETM_Q127_396500"/>
      <w:bookmarkEnd w:id="72688"/>
      <w:r>
        <w:rPr>
          <w:rFonts w:hint="cs"/>
          <w:rtl/>
        </w:rPr>
        <w:t xml:space="preserve">התמחות. </w:t>
      </w:r>
      <w:bookmarkStart w:id="72689" w:name="_ETM_Q127_399859"/>
      <w:bookmarkEnd w:id="72689"/>
      <w:r>
        <w:rPr>
          <w:rFonts w:hint="cs"/>
          <w:rtl/>
        </w:rPr>
        <w:t xml:space="preserve">במקום </w:t>
      </w:r>
      <w:bookmarkStart w:id="72690" w:name="_ETM_Q127_400340"/>
      <w:bookmarkEnd w:id="72690"/>
      <w:r>
        <w:rPr>
          <w:rFonts w:hint="cs"/>
          <w:rtl/>
        </w:rPr>
        <w:t xml:space="preserve">שהרופא </w:t>
      </w:r>
      <w:bookmarkStart w:id="72691" w:name="_ETM_Q127_400939"/>
      <w:bookmarkEnd w:id="72691"/>
      <w:r>
        <w:rPr>
          <w:rFonts w:hint="cs"/>
          <w:rtl/>
        </w:rPr>
        <w:t xml:space="preserve">המובטל </w:t>
      </w:r>
      <w:bookmarkStart w:id="72692" w:name="_ETM_Q127_402530"/>
      <w:bookmarkEnd w:id="72692"/>
      <w:r>
        <w:rPr>
          <w:rFonts w:hint="cs"/>
          <w:rtl/>
        </w:rPr>
        <w:t xml:space="preserve">או </w:t>
      </w:r>
      <w:bookmarkStart w:id="72693" w:name="_ETM_Q127_402740"/>
      <w:bookmarkEnd w:id="72693"/>
      <w:r>
        <w:rPr>
          <w:rFonts w:hint="cs"/>
          <w:rtl/>
        </w:rPr>
        <w:t xml:space="preserve">איש </w:t>
      </w:r>
      <w:bookmarkStart w:id="72694" w:name="_ETM_Q127_403070"/>
      <w:bookmarkEnd w:id="72694"/>
      <w:r>
        <w:rPr>
          <w:rFonts w:hint="cs"/>
          <w:rtl/>
        </w:rPr>
        <w:t xml:space="preserve">החינוך, </w:t>
      </w:r>
      <w:bookmarkStart w:id="72695" w:name="_ETM_Q127_403750"/>
      <w:bookmarkEnd w:id="72695"/>
      <w:r>
        <w:rPr>
          <w:rFonts w:hint="cs"/>
          <w:rtl/>
        </w:rPr>
        <w:t xml:space="preserve">המורה </w:t>
      </w:r>
      <w:bookmarkStart w:id="72696" w:name="_ETM_Q127_404320"/>
      <w:bookmarkEnd w:id="72696"/>
      <w:r>
        <w:rPr>
          <w:rFonts w:hint="cs"/>
          <w:rtl/>
        </w:rPr>
        <w:t xml:space="preserve">המובטל, </w:t>
      </w:r>
      <w:bookmarkStart w:id="72697" w:name="_ETM_Q127_405340"/>
      <w:bookmarkStart w:id="72698" w:name="_ETM_Q127_405640"/>
      <w:bookmarkEnd w:id="72697"/>
      <w:bookmarkEnd w:id="72698"/>
      <w:r>
        <w:rPr>
          <w:rFonts w:hint="cs"/>
          <w:rtl/>
        </w:rPr>
        <w:t xml:space="preserve">ישמש </w:t>
      </w:r>
      <w:bookmarkStart w:id="72699" w:name="_ETM_Q127_406120"/>
      <w:bookmarkEnd w:id="72699"/>
      <w:r>
        <w:rPr>
          <w:rFonts w:hint="cs"/>
          <w:rtl/>
        </w:rPr>
        <w:t xml:space="preserve">דוגמה </w:t>
      </w:r>
      <w:bookmarkStart w:id="72700" w:name="_ETM_Q127_406879"/>
      <w:bookmarkEnd w:id="72700"/>
      <w:r>
        <w:rPr>
          <w:rFonts w:hint="cs"/>
          <w:rtl/>
        </w:rPr>
        <w:t xml:space="preserve">טובה </w:t>
      </w:r>
      <w:bookmarkStart w:id="72701" w:name="_ETM_Q127_408390"/>
      <w:bookmarkEnd w:id="72701"/>
      <w:r>
        <w:rPr>
          <w:rFonts w:hint="cs"/>
          <w:rtl/>
        </w:rPr>
        <w:t xml:space="preserve">לבני </w:t>
      </w:r>
      <w:bookmarkStart w:id="72702" w:name="_ETM_Q127_408840"/>
      <w:bookmarkEnd w:id="72702"/>
      <w:r>
        <w:rPr>
          <w:rFonts w:hint="cs"/>
          <w:rtl/>
        </w:rPr>
        <w:t xml:space="preserve">המשפחה, </w:t>
      </w:r>
      <w:bookmarkStart w:id="72703" w:name="_ETM_Q127_409560"/>
      <w:bookmarkEnd w:id="72703"/>
      <w:r>
        <w:rPr>
          <w:rFonts w:hint="cs"/>
          <w:rtl/>
        </w:rPr>
        <w:t xml:space="preserve">לילדים, </w:t>
      </w:r>
      <w:bookmarkStart w:id="72704" w:name="_ETM_Q127_411069"/>
      <w:bookmarkStart w:id="72705" w:name="_ETM_Q127_413438"/>
      <w:bookmarkStart w:id="72706" w:name="_ETM_Q127_409269"/>
      <w:bookmarkEnd w:id="72704"/>
      <w:bookmarkEnd w:id="72705"/>
      <w:bookmarkEnd w:id="72706"/>
      <w:r>
        <w:rPr>
          <w:rFonts w:hint="cs"/>
          <w:rtl/>
        </w:rPr>
        <w:t xml:space="preserve">אז </w:t>
      </w:r>
      <w:bookmarkStart w:id="72707" w:name="_ETM_Q127_411280"/>
      <w:bookmarkEnd w:id="72707"/>
      <w:r>
        <w:rPr>
          <w:rFonts w:hint="cs"/>
          <w:rtl/>
        </w:rPr>
        <w:t xml:space="preserve">המשפחה </w:t>
      </w:r>
      <w:bookmarkStart w:id="72708" w:name="_ETM_Q127_411790"/>
      <w:bookmarkEnd w:id="72708"/>
      <w:r>
        <w:rPr>
          <w:rFonts w:hint="cs"/>
          <w:rtl/>
        </w:rPr>
        <w:t xml:space="preserve">והצעירים </w:t>
      </w:r>
      <w:bookmarkStart w:id="72709" w:name="_ETM_Q127_412269"/>
      <w:bookmarkEnd w:id="72709"/>
      <w:r>
        <w:rPr>
          <w:rFonts w:hint="cs"/>
          <w:rtl/>
        </w:rPr>
        <w:t xml:space="preserve">מסתכלים </w:t>
      </w:r>
      <w:bookmarkStart w:id="72710" w:name="_ETM_Q127_412689"/>
      <w:bookmarkEnd w:id="72710"/>
      <w:r>
        <w:rPr>
          <w:rFonts w:hint="cs"/>
          <w:rtl/>
        </w:rPr>
        <w:t>על</w:t>
      </w:r>
      <w:bookmarkStart w:id="72711" w:name="_ETM_Q127_412810"/>
      <w:bookmarkEnd w:id="72711"/>
      <w:r>
        <w:rPr>
          <w:rFonts w:hint="cs"/>
          <w:rtl/>
        </w:rPr>
        <w:t>יו, והצעיר אומ</w:t>
      </w:r>
      <w:bookmarkStart w:id="72712" w:name="_ETM_Q127_412930"/>
      <w:bookmarkEnd w:id="72712"/>
      <w:r>
        <w:rPr>
          <w:rFonts w:hint="cs"/>
          <w:rtl/>
        </w:rPr>
        <w:t xml:space="preserve">ר – </w:t>
      </w:r>
      <w:bookmarkStart w:id="72713" w:name="_ETM_Q127_413750"/>
      <w:bookmarkEnd w:id="72713"/>
      <w:r>
        <w:rPr>
          <w:rFonts w:hint="cs"/>
          <w:rtl/>
        </w:rPr>
        <w:t xml:space="preserve">ואנחנו </w:t>
      </w:r>
      <w:bookmarkStart w:id="72714" w:name="_ETM_Q127_414110"/>
      <w:bookmarkEnd w:id="72714"/>
      <w:r>
        <w:rPr>
          <w:rFonts w:hint="cs"/>
          <w:rtl/>
        </w:rPr>
        <w:t xml:space="preserve">כבר שומעים </w:t>
      </w:r>
      <w:bookmarkStart w:id="72715" w:name="_ETM_Q127_414409"/>
      <w:bookmarkEnd w:id="72715"/>
      <w:r>
        <w:rPr>
          <w:rFonts w:hint="cs"/>
          <w:rtl/>
        </w:rPr>
        <w:t xml:space="preserve">את </w:t>
      </w:r>
      <w:bookmarkStart w:id="72716" w:name="_ETM_Q127_414500"/>
      <w:bookmarkEnd w:id="72716"/>
      <w:r>
        <w:rPr>
          <w:rFonts w:hint="cs"/>
          <w:rtl/>
        </w:rPr>
        <w:t>זה</w:t>
      </w:r>
      <w:bookmarkStart w:id="72717" w:name="_ETM_Q127_414650"/>
      <w:bookmarkEnd w:id="72717"/>
      <w:r>
        <w:rPr>
          <w:rFonts w:hint="cs"/>
          <w:rtl/>
        </w:rPr>
        <w:t xml:space="preserve"> – </w:t>
      </w:r>
      <w:bookmarkStart w:id="72718" w:name="_ETM_Q127_414980"/>
      <w:bookmarkEnd w:id="72718"/>
      <w:r>
        <w:rPr>
          <w:rFonts w:hint="cs"/>
          <w:rtl/>
        </w:rPr>
        <w:t>הוא אומר</w:t>
      </w:r>
      <w:bookmarkStart w:id="72719" w:name="_ETM_Q127_411807"/>
      <w:bookmarkStart w:id="72720" w:name="_ETM_Q127_417699"/>
      <w:bookmarkEnd w:id="72719"/>
      <w:bookmarkEnd w:id="72720"/>
      <w:r>
        <w:rPr>
          <w:rFonts w:hint="cs"/>
          <w:rtl/>
        </w:rPr>
        <w:t xml:space="preserve">: </w:t>
      </w:r>
      <w:bookmarkStart w:id="72721" w:name="_ETM_Q127_415250"/>
      <w:bookmarkEnd w:id="72721"/>
      <w:r>
        <w:rPr>
          <w:rFonts w:hint="cs"/>
          <w:rtl/>
        </w:rPr>
        <w:t xml:space="preserve">למה </w:t>
      </w:r>
      <w:bookmarkStart w:id="72722" w:name="_ETM_Q127_415400"/>
      <w:bookmarkEnd w:id="72722"/>
      <w:r>
        <w:rPr>
          <w:rFonts w:hint="cs"/>
          <w:rtl/>
        </w:rPr>
        <w:t xml:space="preserve">שווה לי </w:t>
      </w:r>
      <w:bookmarkStart w:id="72723" w:name="_ETM_Q127_415700"/>
      <w:bookmarkEnd w:id="72723"/>
      <w:r>
        <w:rPr>
          <w:rFonts w:hint="cs"/>
          <w:rtl/>
        </w:rPr>
        <w:t>ללמוד</w:t>
      </w:r>
      <w:r w:rsidR="00BF03B2">
        <w:rPr>
          <w:rFonts w:hint="cs"/>
          <w:rtl/>
        </w:rPr>
        <w:t>,</w:t>
      </w:r>
      <w:r>
        <w:rPr>
          <w:rFonts w:hint="cs"/>
          <w:rtl/>
        </w:rPr>
        <w:t xml:space="preserve"> </w:t>
      </w:r>
      <w:bookmarkStart w:id="72724" w:name="_ETM_Q127_416999"/>
      <w:bookmarkEnd w:id="72724"/>
      <w:r>
        <w:rPr>
          <w:rFonts w:hint="cs"/>
          <w:rtl/>
        </w:rPr>
        <w:t xml:space="preserve">אני </w:t>
      </w:r>
      <w:bookmarkStart w:id="72725" w:name="_ETM_Q127_417209"/>
      <w:bookmarkEnd w:id="72725"/>
      <w:r>
        <w:rPr>
          <w:rFonts w:hint="cs"/>
          <w:rtl/>
        </w:rPr>
        <w:t xml:space="preserve">משקיע </w:t>
      </w:r>
      <w:bookmarkStart w:id="72726" w:name="_ETM_Q127_418339"/>
      <w:bookmarkEnd w:id="72726"/>
      <w:r>
        <w:rPr>
          <w:rFonts w:hint="cs"/>
          <w:rtl/>
        </w:rPr>
        <w:t xml:space="preserve">שש </w:t>
      </w:r>
      <w:bookmarkStart w:id="72727" w:name="_ETM_Q127_418849"/>
      <w:bookmarkEnd w:id="72727"/>
      <w:r>
        <w:rPr>
          <w:rFonts w:hint="cs"/>
          <w:rtl/>
        </w:rPr>
        <w:t xml:space="preserve">שנים </w:t>
      </w:r>
      <w:bookmarkStart w:id="72728" w:name="_ETM_Q127_419510"/>
      <w:bookmarkEnd w:id="72728"/>
      <w:r>
        <w:rPr>
          <w:rFonts w:hint="cs"/>
          <w:rtl/>
        </w:rPr>
        <w:t>או</w:t>
      </w:r>
      <w:bookmarkStart w:id="72729" w:name="_ETM_Q127_419659"/>
      <w:bookmarkEnd w:id="72729"/>
      <w:r>
        <w:rPr>
          <w:rFonts w:hint="cs"/>
          <w:rtl/>
        </w:rPr>
        <w:t xml:space="preserve"> שלוש </w:t>
      </w:r>
      <w:bookmarkStart w:id="72730" w:name="_ETM_Q127_420049"/>
      <w:bookmarkEnd w:id="72730"/>
      <w:r>
        <w:rPr>
          <w:rFonts w:hint="cs"/>
          <w:rtl/>
        </w:rPr>
        <w:t xml:space="preserve">שנים, </w:t>
      </w:r>
      <w:bookmarkStart w:id="72731" w:name="_ETM_Q127_420960"/>
      <w:bookmarkEnd w:id="72731"/>
      <w:r>
        <w:rPr>
          <w:rFonts w:hint="cs"/>
          <w:rtl/>
        </w:rPr>
        <w:t xml:space="preserve">לומד, </w:t>
      </w:r>
      <w:bookmarkStart w:id="72732" w:name="_ETM_Q127_421710"/>
      <w:bookmarkEnd w:id="72732"/>
      <w:r>
        <w:rPr>
          <w:rFonts w:hint="cs"/>
          <w:rtl/>
        </w:rPr>
        <w:t xml:space="preserve">ואני </w:t>
      </w:r>
      <w:bookmarkStart w:id="72733" w:name="_ETM_Q127_421950"/>
      <w:bookmarkEnd w:id="72733"/>
      <w:r>
        <w:rPr>
          <w:rFonts w:hint="cs"/>
          <w:rtl/>
        </w:rPr>
        <w:t xml:space="preserve">רואה </w:t>
      </w:r>
      <w:bookmarkStart w:id="72734" w:name="_ETM_Q127_422100"/>
      <w:bookmarkEnd w:id="72734"/>
      <w:r>
        <w:rPr>
          <w:rFonts w:hint="cs"/>
          <w:rtl/>
        </w:rPr>
        <w:t xml:space="preserve">אותם </w:t>
      </w:r>
      <w:bookmarkStart w:id="72735" w:name="_ETM_Q127_422340"/>
      <w:bookmarkEnd w:id="72735"/>
      <w:r>
        <w:rPr>
          <w:rFonts w:hint="cs"/>
          <w:rtl/>
        </w:rPr>
        <w:t>מובטלים,</w:t>
      </w:r>
      <w:bookmarkStart w:id="72736" w:name="_ETM_Q127_441936"/>
      <w:bookmarkStart w:id="72737" w:name="_ETM_Q127_454893"/>
      <w:bookmarkStart w:id="72738" w:name="_ETM_Q127_450226"/>
      <w:bookmarkStart w:id="72739" w:name="_ETM_Q127_445545"/>
      <w:bookmarkStart w:id="72740" w:name="_ETM_Q127_444839"/>
      <w:bookmarkStart w:id="72741" w:name="_ETM_Q127_440412"/>
      <w:bookmarkStart w:id="72742" w:name="_ETM_Q127_436945"/>
      <w:bookmarkStart w:id="72743" w:name="_ETM_Q127_436089"/>
      <w:bookmarkStart w:id="72744" w:name="_ETM_Q127_431618"/>
      <w:bookmarkStart w:id="72745" w:name="_ETM_Q127_428345"/>
      <w:bookmarkStart w:id="72746" w:name="_ETM_Q127_424657"/>
      <w:bookmarkStart w:id="72747" w:name="_ETM_Q127_421520"/>
      <w:bookmarkEnd w:id="72736"/>
      <w:bookmarkEnd w:id="72737"/>
      <w:bookmarkEnd w:id="72738"/>
      <w:bookmarkEnd w:id="72739"/>
      <w:bookmarkEnd w:id="72740"/>
      <w:bookmarkEnd w:id="72741"/>
      <w:bookmarkEnd w:id="72742"/>
      <w:bookmarkEnd w:id="72743"/>
      <w:bookmarkEnd w:id="72744"/>
      <w:bookmarkEnd w:id="72745"/>
      <w:bookmarkEnd w:id="72746"/>
      <w:bookmarkEnd w:id="72747"/>
      <w:r>
        <w:rPr>
          <w:rFonts w:hint="cs"/>
          <w:rtl/>
        </w:rPr>
        <w:t xml:space="preserve"> אין להם עבודה, </w:t>
      </w:r>
      <w:bookmarkStart w:id="72748" w:name="_ETM_Q127_423569"/>
      <w:bookmarkStart w:id="72749" w:name="_ETM_Q127_423869"/>
      <w:bookmarkStart w:id="72750" w:name="_ETM_Q127_424589"/>
      <w:bookmarkStart w:id="72751" w:name="_ETM_Q127_426379"/>
      <w:bookmarkStart w:id="72752" w:name="_ETM_Q127_422658"/>
      <w:bookmarkEnd w:id="72748"/>
      <w:bookmarkEnd w:id="72749"/>
      <w:bookmarkEnd w:id="72750"/>
      <w:bookmarkEnd w:id="72751"/>
      <w:bookmarkEnd w:id="72752"/>
      <w:r>
        <w:rPr>
          <w:rFonts w:hint="cs"/>
          <w:rtl/>
        </w:rPr>
        <w:t xml:space="preserve">הם מתחננים </w:t>
      </w:r>
      <w:bookmarkStart w:id="72753" w:name="_ETM_Q127_426029"/>
      <w:bookmarkStart w:id="72754" w:name="_ETM_Q127_426209"/>
      <w:bookmarkEnd w:id="72753"/>
      <w:bookmarkEnd w:id="72754"/>
      <w:r>
        <w:rPr>
          <w:rFonts w:hint="cs"/>
          <w:rtl/>
        </w:rPr>
        <w:t xml:space="preserve">לראש </w:t>
      </w:r>
      <w:bookmarkStart w:id="72755" w:name="_ETM_Q127_426510"/>
      <w:bookmarkEnd w:id="72755"/>
      <w:r>
        <w:rPr>
          <w:rFonts w:hint="cs"/>
          <w:rtl/>
        </w:rPr>
        <w:t xml:space="preserve">המועצה </w:t>
      </w:r>
      <w:bookmarkStart w:id="72756" w:name="_ETM_Q127_427290"/>
      <w:bookmarkEnd w:id="72756"/>
      <w:r>
        <w:rPr>
          <w:rFonts w:hint="cs"/>
          <w:rtl/>
        </w:rPr>
        <w:t xml:space="preserve">או </w:t>
      </w:r>
      <w:bookmarkStart w:id="72757" w:name="_ETM_Q127_427469"/>
      <w:bookmarkEnd w:id="72757"/>
      <w:r>
        <w:rPr>
          <w:rFonts w:hint="cs"/>
          <w:rtl/>
        </w:rPr>
        <w:t xml:space="preserve">לחבר </w:t>
      </w:r>
      <w:bookmarkStart w:id="72758" w:name="_ETM_Q127_427859"/>
      <w:bookmarkEnd w:id="72758"/>
      <w:r>
        <w:rPr>
          <w:rFonts w:hint="cs"/>
          <w:rtl/>
        </w:rPr>
        <w:t xml:space="preserve">כנסת </w:t>
      </w:r>
      <w:bookmarkStart w:id="72759" w:name="_ETM_Q127_428519"/>
      <w:bookmarkEnd w:id="72759"/>
      <w:r>
        <w:rPr>
          <w:rFonts w:hint="cs"/>
          <w:rtl/>
        </w:rPr>
        <w:t xml:space="preserve">או </w:t>
      </w:r>
      <w:bookmarkStart w:id="72760" w:name="_ETM_Q127_428639"/>
      <w:bookmarkEnd w:id="72760"/>
      <w:r>
        <w:rPr>
          <w:rFonts w:hint="cs"/>
          <w:rtl/>
        </w:rPr>
        <w:t>ל</w:t>
      </w:r>
      <w:bookmarkStart w:id="72761" w:name="_ETM_Q127_428729"/>
      <w:bookmarkEnd w:id="72761"/>
      <w:r>
        <w:rPr>
          <w:rFonts w:hint="cs"/>
          <w:rtl/>
        </w:rPr>
        <w:t xml:space="preserve">כל </w:t>
      </w:r>
      <w:bookmarkStart w:id="72762" w:name="_ETM_Q127_428849"/>
      <w:bookmarkEnd w:id="72762"/>
      <w:r>
        <w:rPr>
          <w:rFonts w:hint="cs"/>
          <w:rtl/>
        </w:rPr>
        <w:t xml:space="preserve">האנשים </w:t>
      </w:r>
      <w:bookmarkStart w:id="72763" w:name="_ETM_Q127_429089"/>
      <w:bookmarkEnd w:id="72763"/>
      <w:r>
        <w:rPr>
          <w:rFonts w:hint="cs"/>
          <w:rtl/>
        </w:rPr>
        <w:t xml:space="preserve">שיש </w:t>
      </w:r>
      <w:bookmarkStart w:id="72764" w:name="_ETM_Q127_429299"/>
      <w:bookmarkEnd w:id="72764"/>
      <w:r>
        <w:rPr>
          <w:rFonts w:hint="cs"/>
          <w:rtl/>
        </w:rPr>
        <w:t xml:space="preserve">להם </w:t>
      </w:r>
      <w:bookmarkStart w:id="72765" w:name="_ETM_Q127_429479"/>
      <w:bookmarkEnd w:id="72765"/>
      <w:r>
        <w:rPr>
          <w:rFonts w:hint="cs"/>
          <w:rtl/>
        </w:rPr>
        <w:t xml:space="preserve">קשרים. </w:t>
      </w:r>
      <w:bookmarkStart w:id="72766" w:name="_ETM_Q127_429779"/>
      <w:bookmarkStart w:id="72767" w:name="_ETM_Q127_429900"/>
      <w:bookmarkEnd w:id="72766"/>
      <w:bookmarkEnd w:id="72767"/>
      <w:r>
        <w:rPr>
          <w:rFonts w:hint="cs"/>
          <w:rtl/>
        </w:rPr>
        <w:t xml:space="preserve">לצערנו </w:t>
      </w:r>
      <w:bookmarkStart w:id="72768" w:name="_ETM_Q127_430439"/>
      <w:bookmarkStart w:id="72769" w:name="_ETM_Q127_431180"/>
      <w:bookmarkEnd w:id="72768"/>
      <w:bookmarkEnd w:id="72769"/>
      <w:r>
        <w:rPr>
          <w:rFonts w:hint="cs"/>
          <w:rtl/>
        </w:rPr>
        <w:t xml:space="preserve">במדינה </w:t>
      </w:r>
      <w:bookmarkStart w:id="72770" w:name="_ETM_Q127_431630"/>
      <w:bookmarkEnd w:id="72770"/>
      <w:r>
        <w:rPr>
          <w:rFonts w:hint="cs"/>
          <w:rtl/>
        </w:rPr>
        <w:t>הזאת</w:t>
      </w:r>
      <w:bookmarkStart w:id="72771" w:name="_ETM_Q127_432890"/>
      <w:bookmarkEnd w:id="72771"/>
      <w:r>
        <w:rPr>
          <w:rFonts w:hint="cs"/>
          <w:rtl/>
        </w:rPr>
        <w:t xml:space="preserve"> גם </w:t>
      </w:r>
      <w:bookmarkStart w:id="72772" w:name="_ETM_Q127_437129"/>
      <w:bookmarkEnd w:id="72772"/>
      <w:r>
        <w:rPr>
          <w:rFonts w:hint="cs"/>
          <w:rtl/>
        </w:rPr>
        <w:t xml:space="preserve">הפרוטקציה </w:t>
      </w:r>
      <w:bookmarkStart w:id="72773" w:name="_ETM_Q127_434919"/>
      <w:bookmarkEnd w:id="72773"/>
      <w:r>
        <w:rPr>
          <w:rFonts w:hint="cs"/>
          <w:rtl/>
        </w:rPr>
        <w:t xml:space="preserve">זה </w:t>
      </w:r>
      <w:bookmarkStart w:id="72774" w:name="_ETM_Q127_435159"/>
      <w:bookmarkEnd w:id="72774"/>
      <w:r>
        <w:rPr>
          <w:rFonts w:hint="cs"/>
          <w:rtl/>
        </w:rPr>
        <w:t xml:space="preserve">חלק </w:t>
      </w:r>
      <w:bookmarkStart w:id="72775" w:name="_ETM_Q127_435489"/>
      <w:bookmarkEnd w:id="72775"/>
      <w:r>
        <w:rPr>
          <w:rFonts w:hint="cs"/>
          <w:rtl/>
        </w:rPr>
        <w:t xml:space="preserve">מהנוף </w:t>
      </w:r>
      <w:bookmarkStart w:id="72776" w:name="_ETM_Q127_436990"/>
      <w:bookmarkEnd w:id="72776"/>
      <w:r>
        <w:rPr>
          <w:rFonts w:hint="cs"/>
          <w:rtl/>
        </w:rPr>
        <w:t xml:space="preserve">בשיבוץ </w:t>
      </w:r>
      <w:bookmarkStart w:id="72777" w:name="_ETM_Q127_437860"/>
      <w:bookmarkEnd w:id="72777"/>
      <w:r>
        <w:rPr>
          <w:rFonts w:hint="cs"/>
          <w:rtl/>
        </w:rPr>
        <w:t xml:space="preserve">ומינוי </w:t>
      </w:r>
      <w:bookmarkStart w:id="72778" w:name="_ETM_Q127_438939"/>
      <w:bookmarkEnd w:id="72778"/>
      <w:r>
        <w:rPr>
          <w:rFonts w:hint="cs"/>
          <w:rtl/>
        </w:rPr>
        <w:t xml:space="preserve">אנשים. </w:t>
      </w:r>
      <w:bookmarkStart w:id="72779" w:name="_ETM_Q127_440560"/>
      <w:bookmarkEnd w:id="72779"/>
      <w:r>
        <w:rPr>
          <w:rFonts w:hint="cs"/>
          <w:rtl/>
        </w:rPr>
        <w:t xml:space="preserve">אז </w:t>
      </w:r>
      <w:bookmarkStart w:id="72780" w:name="_ETM_Q127_440800"/>
      <w:bookmarkEnd w:id="72780"/>
      <w:r>
        <w:rPr>
          <w:rFonts w:hint="cs"/>
          <w:rtl/>
        </w:rPr>
        <w:t xml:space="preserve">מה </w:t>
      </w:r>
      <w:bookmarkStart w:id="72781" w:name="_ETM_Q127_441010"/>
      <w:bookmarkStart w:id="72782" w:name="_ETM_Q127_441100"/>
      <w:bookmarkEnd w:id="72781"/>
      <w:bookmarkEnd w:id="72782"/>
      <w:r>
        <w:rPr>
          <w:rFonts w:hint="cs"/>
          <w:rtl/>
        </w:rPr>
        <w:t xml:space="preserve">אומר צעיר כזה? </w:t>
      </w:r>
      <w:bookmarkStart w:id="72783" w:name="_ETM_Q127_441700"/>
      <w:bookmarkEnd w:id="72783"/>
      <w:r>
        <w:rPr>
          <w:rFonts w:hint="cs"/>
          <w:rtl/>
        </w:rPr>
        <w:t xml:space="preserve">הוא </w:t>
      </w:r>
      <w:bookmarkStart w:id="72784" w:name="_ETM_Q127_441850"/>
      <w:bookmarkEnd w:id="72784"/>
      <w:r>
        <w:rPr>
          <w:rFonts w:hint="cs"/>
          <w:rtl/>
        </w:rPr>
        <w:t xml:space="preserve">אומר: בשביל מה </w:t>
      </w:r>
      <w:bookmarkStart w:id="72785" w:name="_ETM_Q127_442389"/>
      <w:bookmarkStart w:id="72786" w:name="_ETM_Q127_442810"/>
      <w:bookmarkStart w:id="72787" w:name="_ETM_Q127_449924"/>
      <w:bookmarkStart w:id="72788" w:name="_ETM_Q127_445947"/>
      <w:bookmarkStart w:id="72789" w:name="_ETM_Q127_442598"/>
      <w:bookmarkEnd w:id="72785"/>
      <w:bookmarkEnd w:id="72786"/>
      <w:bookmarkEnd w:id="72787"/>
      <w:bookmarkEnd w:id="72788"/>
      <w:bookmarkEnd w:id="72789"/>
      <w:r>
        <w:rPr>
          <w:rFonts w:hint="cs"/>
          <w:rtl/>
        </w:rPr>
        <w:t>ל</w:t>
      </w:r>
      <w:bookmarkStart w:id="72790" w:name="_ETM_Q127_445833"/>
      <w:bookmarkEnd w:id="72790"/>
      <w:r>
        <w:rPr>
          <w:rFonts w:hint="cs"/>
          <w:rtl/>
        </w:rPr>
        <w:t>למוד?</w:t>
      </w:r>
      <w:bookmarkStart w:id="72791" w:name="_ETM_Q127_439088"/>
      <w:bookmarkEnd w:id="72791"/>
      <w:r>
        <w:rPr>
          <w:rFonts w:hint="cs"/>
          <w:rtl/>
        </w:rPr>
        <w:t xml:space="preserve"> </w:t>
      </w:r>
      <w:bookmarkStart w:id="72792" w:name="_ETM_Q127_444230"/>
      <w:bookmarkEnd w:id="72792"/>
      <w:r>
        <w:rPr>
          <w:rFonts w:hint="cs"/>
          <w:rtl/>
        </w:rPr>
        <w:t xml:space="preserve">אני </w:t>
      </w:r>
      <w:bookmarkStart w:id="72793" w:name="_ETM_Q127_444589"/>
      <w:bookmarkEnd w:id="72793"/>
      <w:r>
        <w:rPr>
          <w:rFonts w:hint="cs"/>
          <w:rtl/>
        </w:rPr>
        <w:t xml:space="preserve">מסתכל </w:t>
      </w:r>
      <w:bookmarkStart w:id="72794" w:name="_ETM_Q127_445160"/>
      <w:bookmarkEnd w:id="72794"/>
      <w:r>
        <w:rPr>
          <w:rFonts w:hint="cs"/>
          <w:rtl/>
        </w:rPr>
        <w:t>מהצד,</w:t>
      </w:r>
      <w:bookmarkStart w:id="72795" w:name="_ETM_Q127_442858"/>
      <w:bookmarkEnd w:id="72795"/>
      <w:r>
        <w:rPr>
          <w:rFonts w:hint="cs"/>
          <w:rtl/>
        </w:rPr>
        <w:t xml:space="preserve"> </w:t>
      </w:r>
      <w:bookmarkStart w:id="72796" w:name="_ETM_Q127_445700"/>
      <w:bookmarkEnd w:id="72796"/>
      <w:r>
        <w:rPr>
          <w:rFonts w:hint="cs"/>
          <w:rtl/>
        </w:rPr>
        <w:t xml:space="preserve">בחוץ </w:t>
      </w:r>
      <w:bookmarkStart w:id="72797" w:name="_ETM_Q127_446150"/>
      <w:bookmarkEnd w:id="72797"/>
      <w:r>
        <w:rPr>
          <w:rFonts w:hint="cs"/>
          <w:rtl/>
        </w:rPr>
        <w:t xml:space="preserve">אני </w:t>
      </w:r>
      <w:bookmarkStart w:id="72798" w:name="_ETM_Q127_446270"/>
      <w:bookmarkEnd w:id="72798"/>
      <w:r>
        <w:rPr>
          <w:rFonts w:hint="cs"/>
          <w:rtl/>
        </w:rPr>
        <w:t xml:space="preserve">רואה </w:t>
      </w:r>
      <w:bookmarkStart w:id="72799" w:name="_ETM_Q127_446480"/>
      <w:bookmarkEnd w:id="72799"/>
      <w:r>
        <w:rPr>
          <w:rFonts w:hint="cs"/>
          <w:rtl/>
        </w:rPr>
        <w:t xml:space="preserve">צעירים </w:t>
      </w:r>
      <w:bookmarkStart w:id="72800" w:name="_ETM_Q127_447520"/>
      <w:bookmarkEnd w:id="72800"/>
      <w:r>
        <w:rPr>
          <w:rFonts w:hint="cs"/>
          <w:rtl/>
        </w:rPr>
        <w:t xml:space="preserve">נוסעים </w:t>
      </w:r>
      <w:bookmarkStart w:id="72801" w:name="_ETM_Q127_447969"/>
      <w:bookmarkEnd w:id="72801"/>
      <w:r>
        <w:rPr>
          <w:rFonts w:hint="cs"/>
          <w:rtl/>
        </w:rPr>
        <w:t xml:space="preserve">ברכבים </w:t>
      </w:r>
      <w:bookmarkStart w:id="72802" w:name="_ETM_Q127_448539"/>
      <w:bookmarkEnd w:id="72802"/>
      <w:r>
        <w:rPr>
          <w:rFonts w:hint="cs"/>
          <w:rtl/>
        </w:rPr>
        <w:t xml:space="preserve">מפוארים </w:t>
      </w:r>
      <w:bookmarkStart w:id="72803" w:name="_ETM_Q127_449589"/>
      <w:bookmarkEnd w:id="72803"/>
      <w:r>
        <w:rPr>
          <w:rFonts w:hint="cs"/>
          <w:rtl/>
        </w:rPr>
        <w:t xml:space="preserve">בני </w:t>
      </w:r>
      <w:bookmarkStart w:id="72804" w:name="_ETM_Q127_449949"/>
      <w:bookmarkEnd w:id="72804"/>
      <w:r>
        <w:rPr>
          <w:rFonts w:hint="cs"/>
          <w:rtl/>
        </w:rPr>
        <w:t>שנת</w:t>
      </w:r>
      <w:bookmarkStart w:id="72805" w:name="_ETM_Q127_449030"/>
      <w:bookmarkEnd w:id="72805"/>
      <w:r>
        <w:rPr>
          <w:rFonts w:hint="cs"/>
          <w:rtl/>
        </w:rPr>
        <w:t xml:space="preserve">ם, </w:t>
      </w:r>
      <w:bookmarkStart w:id="72806" w:name="_ETM_Q127_452060"/>
      <w:bookmarkEnd w:id="72806"/>
      <w:r>
        <w:rPr>
          <w:rFonts w:hint="cs"/>
          <w:rtl/>
        </w:rPr>
        <w:t xml:space="preserve">מסתובבים </w:t>
      </w:r>
      <w:bookmarkStart w:id="72807" w:name="_ETM_Q127_452540"/>
      <w:bookmarkEnd w:id="72807"/>
      <w:r>
        <w:rPr>
          <w:rFonts w:hint="cs"/>
          <w:rtl/>
        </w:rPr>
        <w:t xml:space="preserve">עם </w:t>
      </w:r>
      <w:bookmarkStart w:id="72808" w:name="_ETM_Q127_452690"/>
      <w:bookmarkEnd w:id="72808"/>
      <w:r>
        <w:rPr>
          <w:rFonts w:hint="cs"/>
          <w:rtl/>
        </w:rPr>
        <w:t xml:space="preserve">כסף – </w:t>
      </w:r>
      <w:bookmarkStart w:id="72809" w:name="_ETM_Q127_454050"/>
      <w:bookmarkEnd w:id="72809"/>
      <w:r>
        <w:rPr>
          <w:rFonts w:hint="cs"/>
          <w:rtl/>
        </w:rPr>
        <w:t xml:space="preserve">מראים </w:t>
      </w:r>
      <w:bookmarkStart w:id="72810" w:name="_ETM_Q127_454409"/>
      <w:bookmarkEnd w:id="72810"/>
      <w:r>
        <w:rPr>
          <w:rFonts w:hint="cs"/>
          <w:rtl/>
        </w:rPr>
        <w:t xml:space="preserve">לו </w:t>
      </w:r>
      <w:bookmarkStart w:id="72811" w:name="_ETM_Q127_454529"/>
      <w:bookmarkEnd w:id="72811"/>
      <w:r>
        <w:rPr>
          <w:rFonts w:hint="cs"/>
          <w:rtl/>
        </w:rPr>
        <w:t xml:space="preserve">כסף, </w:t>
      </w:r>
      <w:bookmarkStart w:id="72812" w:name="_ETM_Q127_454889"/>
      <w:bookmarkStart w:id="72813" w:name="_ETM_Q127_455159"/>
      <w:bookmarkEnd w:id="72812"/>
      <w:bookmarkEnd w:id="72813"/>
      <w:r>
        <w:rPr>
          <w:rFonts w:hint="cs"/>
          <w:rtl/>
        </w:rPr>
        <w:t xml:space="preserve">שטרות </w:t>
      </w:r>
      <w:bookmarkStart w:id="72814" w:name="_ETM_Q127_455490"/>
      <w:bookmarkEnd w:id="72814"/>
      <w:r>
        <w:rPr>
          <w:rFonts w:hint="cs"/>
          <w:rtl/>
        </w:rPr>
        <w:t>של</w:t>
      </w:r>
      <w:bookmarkStart w:id="72815" w:name="_ETM_Q127_455639"/>
      <w:bookmarkEnd w:id="72815"/>
      <w:r>
        <w:rPr>
          <w:rFonts w:hint="cs"/>
          <w:rtl/>
        </w:rPr>
        <w:t xml:space="preserve"> </w:t>
      </w:r>
      <w:bookmarkStart w:id="72816" w:name="_ETM_Q127_456029"/>
      <w:bookmarkEnd w:id="72816"/>
      <w:r>
        <w:rPr>
          <w:rFonts w:hint="cs"/>
          <w:rtl/>
        </w:rPr>
        <w:t xml:space="preserve">200 </w:t>
      </w:r>
      <w:bookmarkStart w:id="72817" w:name="_ETM_Q127_456419"/>
      <w:bookmarkEnd w:id="72817"/>
      <w:r>
        <w:rPr>
          <w:rFonts w:hint="cs"/>
          <w:rtl/>
        </w:rPr>
        <w:t xml:space="preserve">שקלים, </w:t>
      </w:r>
      <w:bookmarkStart w:id="72818" w:name="_ETM_Q127_457860"/>
      <w:bookmarkStart w:id="72819" w:name="_ETM_Q127_455029"/>
      <w:bookmarkStart w:id="72820" w:name="_ETM_Q127_458669"/>
      <w:bookmarkEnd w:id="72818"/>
      <w:bookmarkEnd w:id="72819"/>
      <w:bookmarkEnd w:id="72820"/>
      <w:r>
        <w:rPr>
          <w:rFonts w:hint="cs"/>
          <w:rtl/>
        </w:rPr>
        <w:t>חבילות,</w:t>
      </w:r>
      <w:bookmarkStart w:id="72821" w:name="_ETM_Q127_472639"/>
      <w:bookmarkEnd w:id="72821"/>
      <w:r>
        <w:rPr>
          <w:rFonts w:hint="cs"/>
          <w:rtl/>
        </w:rPr>
        <w:t xml:space="preserve"> </w:t>
      </w:r>
      <w:bookmarkStart w:id="72822" w:name="_ETM_Q127_460240"/>
      <w:bookmarkEnd w:id="72822"/>
      <w:r>
        <w:rPr>
          <w:rFonts w:hint="cs"/>
          <w:rtl/>
        </w:rPr>
        <w:t xml:space="preserve">ואז </w:t>
      </w:r>
      <w:bookmarkStart w:id="72823" w:name="_ETM_Q127_460420"/>
      <w:bookmarkEnd w:id="72823"/>
      <w:r>
        <w:rPr>
          <w:rFonts w:hint="cs"/>
          <w:rtl/>
        </w:rPr>
        <w:t xml:space="preserve">הוא </w:t>
      </w:r>
      <w:bookmarkStart w:id="72824" w:name="_ETM_Q127_460480"/>
      <w:bookmarkEnd w:id="72824"/>
      <w:r>
        <w:rPr>
          <w:rFonts w:hint="cs"/>
          <w:rtl/>
        </w:rPr>
        <w:t xml:space="preserve">אומר: </w:t>
      </w:r>
      <w:bookmarkStart w:id="72825" w:name="_ETM_Q127_460660"/>
      <w:bookmarkEnd w:id="72825"/>
      <w:r>
        <w:rPr>
          <w:rFonts w:hint="cs"/>
          <w:rtl/>
        </w:rPr>
        <w:t>תסתכל</w:t>
      </w:r>
      <w:bookmarkStart w:id="72826" w:name="_ETM_Q127_468151"/>
      <w:bookmarkStart w:id="72827" w:name="_ETM_Q127_463469"/>
      <w:bookmarkEnd w:id="72826"/>
      <w:bookmarkEnd w:id="72827"/>
      <w:r w:rsidR="00BF03B2">
        <w:rPr>
          <w:rFonts w:hint="cs"/>
          <w:rtl/>
        </w:rPr>
        <w:t>,</w:t>
      </w:r>
      <w:r>
        <w:rPr>
          <w:rFonts w:hint="cs"/>
          <w:rtl/>
        </w:rPr>
        <w:t xml:space="preserve"> </w:t>
      </w:r>
      <w:bookmarkStart w:id="72828" w:name="_ETM_Q127_463250"/>
      <w:bookmarkEnd w:id="72828"/>
      <w:r>
        <w:rPr>
          <w:rFonts w:hint="cs"/>
          <w:rtl/>
        </w:rPr>
        <w:t xml:space="preserve">אתה </w:t>
      </w:r>
      <w:bookmarkStart w:id="72829" w:name="_ETM_Q127_463700"/>
      <w:bookmarkEnd w:id="72829"/>
      <w:r>
        <w:rPr>
          <w:rFonts w:hint="cs"/>
          <w:rtl/>
        </w:rPr>
        <w:t xml:space="preserve">רואה </w:t>
      </w:r>
      <w:bookmarkStart w:id="72830" w:name="_ETM_Q127_463940"/>
      <w:bookmarkEnd w:id="72830"/>
      <w:r>
        <w:rPr>
          <w:rFonts w:hint="cs"/>
          <w:rtl/>
        </w:rPr>
        <w:t xml:space="preserve">שחלק </w:t>
      </w:r>
      <w:bookmarkStart w:id="72831" w:name="_ETM_Q127_464330"/>
      <w:bookmarkEnd w:id="72831"/>
      <w:r>
        <w:rPr>
          <w:rFonts w:hint="cs"/>
          <w:rtl/>
        </w:rPr>
        <w:t xml:space="preserve">גדול </w:t>
      </w:r>
      <w:bookmarkStart w:id="72832" w:name="_ETM_Q127_464660"/>
      <w:bookmarkEnd w:id="72832"/>
      <w:r>
        <w:rPr>
          <w:rFonts w:hint="cs"/>
          <w:rtl/>
        </w:rPr>
        <w:t xml:space="preserve">מאותם צעירים </w:t>
      </w:r>
      <w:bookmarkStart w:id="72833" w:name="_ETM_Q127_465020"/>
      <w:bookmarkStart w:id="72834" w:name="_ETM_Q127_465350"/>
      <w:bookmarkEnd w:id="72833"/>
      <w:bookmarkEnd w:id="72834"/>
      <w:r>
        <w:rPr>
          <w:rFonts w:hint="cs"/>
          <w:rtl/>
        </w:rPr>
        <w:t xml:space="preserve">בעצם </w:t>
      </w:r>
      <w:bookmarkStart w:id="72835" w:name="_ETM_Q127_466279"/>
      <w:bookmarkStart w:id="72836" w:name="_ETM_Q127_467639"/>
      <w:bookmarkEnd w:id="72835"/>
      <w:bookmarkEnd w:id="72836"/>
      <w:r>
        <w:rPr>
          <w:rFonts w:hint="cs"/>
          <w:rtl/>
        </w:rPr>
        <w:t xml:space="preserve">קיבלו </w:t>
      </w:r>
      <w:bookmarkStart w:id="72837" w:name="_ETM_Q127_467969"/>
      <w:bookmarkEnd w:id="72837"/>
      <w:r>
        <w:rPr>
          <w:rFonts w:hint="cs"/>
          <w:rtl/>
        </w:rPr>
        <w:t xml:space="preserve">את </w:t>
      </w:r>
      <w:bookmarkStart w:id="72838" w:name="_ETM_Q127_468060"/>
      <w:bookmarkEnd w:id="72838"/>
      <w:r>
        <w:rPr>
          <w:rFonts w:hint="cs"/>
          <w:rtl/>
        </w:rPr>
        <w:t xml:space="preserve">זה </w:t>
      </w:r>
      <w:bookmarkStart w:id="72839" w:name="_ETM_Q127_468599"/>
      <w:bookmarkEnd w:id="72839"/>
      <w:r>
        <w:rPr>
          <w:rFonts w:hint="cs"/>
          <w:rtl/>
        </w:rPr>
        <w:t xml:space="preserve">כי </w:t>
      </w:r>
      <w:bookmarkStart w:id="72840" w:name="_ETM_Q127_468779"/>
      <w:bookmarkEnd w:id="72840"/>
      <w:r>
        <w:rPr>
          <w:rFonts w:hint="cs"/>
          <w:rtl/>
        </w:rPr>
        <w:t xml:space="preserve">הם </w:t>
      </w:r>
      <w:bookmarkStart w:id="72841" w:name="_ETM_Q127_470639"/>
      <w:bookmarkEnd w:id="72841"/>
      <w:r>
        <w:rPr>
          <w:rFonts w:hint="cs"/>
          <w:rtl/>
        </w:rPr>
        <w:t xml:space="preserve">סטו </w:t>
      </w:r>
      <w:bookmarkStart w:id="72842" w:name="_ETM_Q127_471669"/>
      <w:bookmarkEnd w:id="72842"/>
      <w:r>
        <w:rPr>
          <w:rFonts w:hint="cs"/>
          <w:rtl/>
        </w:rPr>
        <w:t xml:space="preserve">והתחילו </w:t>
      </w:r>
      <w:bookmarkStart w:id="72843" w:name="_ETM_Q127_472240"/>
      <w:bookmarkEnd w:id="72843"/>
      <w:r>
        <w:rPr>
          <w:rFonts w:hint="cs"/>
          <w:rtl/>
        </w:rPr>
        <w:t xml:space="preserve">לעבוד </w:t>
      </w:r>
      <w:bookmarkStart w:id="72844" w:name="_ETM_Q127_472839"/>
      <w:bookmarkEnd w:id="72844"/>
      <w:r>
        <w:rPr>
          <w:rFonts w:hint="cs"/>
          <w:rtl/>
        </w:rPr>
        <w:t xml:space="preserve">בתוך </w:t>
      </w:r>
      <w:bookmarkStart w:id="72845" w:name="_ETM_Q127_473199"/>
      <w:bookmarkEnd w:id="72845"/>
      <w:r>
        <w:rPr>
          <w:rFonts w:hint="cs"/>
          <w:rtl/>
        </w:rPr>
        <w:t xml:space="preserve">עולם </w:t>
      </w:r>
      <w:bookmarkStart w:id="72846" w:name="_ETM_Q127_473439"/>
      <w:bookmarkEnd w:id="72846"/>
      <w:r>
        <w:rPr>
          <w:rFonts w:hint="cs"/>
          <w:rtl/>
        </w:rPr>
        <w:t xml:space="preserve">הפשע </w:t>
      </w:r>
      <w:bookmarkStart w:id="72847" w:name="_ETM_Q127_473889"/>
      <w:bookmarkEnd w:id="72847"/>
      <w:r>
        <w:rPr>
          <w:rFonts w:hint="cs"/>
          <w:rtl/>
        </w:rPr>
        <w:t xml:space="preserve">ועם </w:t>
      </w:r>
      <w:bookmarkStart w:id="72848" w:name="_ETM_Q127_474099"/>
      <w:bookmarkEnd w:id="72848"/>
      <w:r>
        <w:rPr>
          <w:rFonts w:hint="cs"/>
          <w:rtl/>
        </w:rPr>
        <w:t xml:space="preserve">משפחות </w:t>
      </w:r>
      <w:bookmarkStart w:id="72849" w:name="_ETM_Q127_474520"/>
      <w:bookmarkEnd w:id="72849"/>
      <w:r>
        <w:rPr>
          <w:rFonts w:hint="cs"/>
          <w:rtl/>
        </w:rPr>
        <w:t xml:space="preserve">הפשע. </w:t>
      </w:r>
      <w:bookmarkStart w:id="72850" w:name="_ETM_Q127_475569"/>
      <w:bookmarkEnd w:id="72850"/>
    </w:p>
    <w:p w:rsidR="00BB59CD" w:rsidRDefault="00BB59CD" w:rsidP="00BB59CD">
      <w:pPr>
        <w:rPr>
          <w:rtl/>
        </w:rPr>
      </w:pPr>
    </w:p>
    <w:p w:rsidR="00BB59CD" w:rsidRDefault="00BB59CD" w:rsidP="00BF03B2">
      <w:pPr>
        <w:rPr>
          <w:rtl/>
        </w:rPr>
      </w:pPr>
      <w:r>
        <w:rPr>
          <w:rFonts w:hint="cs"/>
          <w:rtl/>
        </w:rPr>
        <w:t xml:space="preserve">האם </w:t>
      </w:r>
      <w:bookmarkStart w:id="72851" w:name="_ETM_Q127_476229"/>
      <w:bookmarkEnd w:id="72851"/>
      <w:r>
        <w:rPr>
          <w:rFonts w:hint="cs"/>
          <w:rtl/>
        </w:rPr>
        <w:t xml:space="preserve">זה </w:t>
      </w:r>
      <w:bookmarkStart w:id="72852" w:name="_ETM_Q127_476529"/>
      <w:bookmarkEnd w:id="72852"/>
      <w:r>
        <w:rPr>
          <w:rFonts w:hint="cs"/>
          <w:rtl/>
        </w:rPr>
        <w:t xml:space="preserve">מה </w:t>
      </w:r>
      <w:bookmarkStart w:id="72853" w:name="_ETM_Q127_476680"/>
      <w:bookmarkEnd w:id="72853"/>
      <w:r>
        <w:rPr>
          <w:rFonts w:hint="cs"/>
          <w:rtl/>
        </w:rPr>
        <w:t xml:space="preserve">שאנחנו </w:t>
      </w:r>
      <w:bookmarkStart w:id="72854" w:name="_ETM_Q127_476949"/>
      <w:bookmarkEnd w:id="72854"/>
      <w:r>
        <w:rPr>
          <w:rFonts w:hint="cs"/>
          <w:rtl/>
        </w:rPr>
        <w:t xml:space="preserve">רוצים </w:t>
      </w:r>
      <w:bookmarkStart w:id="72855" w:name="_ETM_Q127_477369"/>
      <w:bookmarkEnd w:id="72855"/>
      <w:r>
        <w:rPr>
          <w:rFonts w:hint="cs"/>
          <w:rtl/>
        </w:rPr>
        <w:t xml:space="preserve">להגיד </w:t>
      </w:r>
      <w:bookmarkStart w:id="72856" w:name="_ETM_Q127_477789"/>
      <w:bookmarkEnd w:id="72856"/>
      <w:r>
        <w:rPr>
          <w:rFonts w:hint="cs"/>
          <w:rtl/>
        </w:rPr>
        <w:t xml:space="preserve">לדור </w:t>
      </w:r>
      <w:bookmarkStart w:id="72857" w:name="_ETM_Q127_478059"/>
      <w:bookmarkEnd w:id="72857"/>
      <w:r>
        <w:rPr>
          <w:rFonts w:hint="cs"/>
          <w:rtl/>
        </w:rPr>
        <w:t xml:space="preserve">הצעיר? </w:t>
      </w:r>
      <w:bookmarkStart w:id="72858" w:name="_ETM_Q127_479180"/>
      <w:bookmarkEnd w:id="72858"/>
      <w:r>
        <w:rPr>
          <w:rFonts w:hint="cs"/>
          <w:rtl/>
        </w:rPr>
        <w:t xml:space="preserve">האם </w:t>
      </w:r>
      <w:bookmarkStart w:id="72859" w:name="_ETM_Q127_479449"/>
      <w:bookmarkEnd w:id="72859"/>
      <w:r>
        <w:rPr>
          <w:rFonts w:hint="cs"/>
          <w:rtl/>
        </w:rPr>
        <w:t xml:space="preserve">זה </w:t>
      </w:r>
      <w:bookmarkStart w:id="72860" w:name="_ETM_Q127_479629"/>
      <w:bookmarkEnd w:id="72860"/>
      <w:r>
        <w:rPr>
          <w:rFonts w:hint="cs"/>
          <w:rtl/>
        </w:rPr>
        <w:t xml:space="preserve">המסר </w:t>
      </w:r>
      <w:bookmarkStart w:id="72861" w:name="_ETM_Q127_480110"/>
      <w:bookmarkEnd w:id="72861"/>
      <w:r>
        <w:rPr>
          <w:rFonts w:hint="cs"/>
          <w:rtl/>
        </w:rPr>
        <w:t>שלנו</w:t>
      </w:r>
      <w:bookmarkStart w:id="72862" w:name="_ETM_Q127_480000"/>
      <w:bookmarkStart w:id="72863" w:name="_ETM_Q127_480149"/>
      <w:bookmarkStart w:id="72864" w:name="_ETM_Q127_480659"/>
      <w:bookmarkStart w:id="72865" w:name="_ETM_Q127_481949"/>
      <w:bookmarkStart w:id="72866" w:name="_ETM_Q127_482520"/>
      <w:bookmarkStart w:id="72867" w:name="_ETM_Q127_482899"/>
      <w:bookmarkStart w:id="72868" w:name="_ETM_Q127_483499"/>
      <w:bookmarkEnd w:id="72862"/>
      <w:bookmarkEnd w:id="72863"/>
      <w:bookmarkEnd w:id="72864"/>
      <w:bookmarkEnd w:id="72865"/>
      <w:bookmarkEnd w:id="72866"/>
      <w:bookmarkEnd w:id="72867"/>
      <w:bookmarkEnd w:id="72868"/>
      <w:r>
        <w:rPr>
          <w:rFonts w:hint="cs"/>
          <w:rtl/>
        </w:rPr>
        <w:t xml:space="preserve"> </w:t>
      </w:r>
      <w:bookmarkStart w:id="72869" w:name="_ETM_Q127_482299"/>
      <w:bookmarkEnd w:id="72869"/>
      <w:r>
        <w:rPr>
          <w:rFonts w:hint="cs"/>
          <w:rtl/>
        </w:rPr>
        <w:t xml:space="preserve">לצעירים </w:t>
      </w:r>
      <w:bookmarkStart w:id="72870" w:name="_ETM_Q127_484279"/>
      <w:bookmarkEnd w:id="72870"/>
      <w:r>
        <w:rPr>
          <w:rFonts w:hint="cs"/>
          <w:rtl/>
        </w:rPr>
        <w:t xml:space="preserve">בחברה </w:t>
      </w:r>
      <w:bookmarkStart w:id="72871" w:name="_ETM_Q127_484729"/>
      <w:bookmarkEnd w:id="72871"/>
      <w:r>
        <w:rPr>
          <w:rFonts w:hint="cs"/>
          <w:rtl/>
        </w:rPr>
        <w:t xml:space="preserve">הערבית? </w:t>
      </w:r>
      <w:bookmarkStart w:id="72872" w:name="_ETM_Q127_485630"/>
      <w:bookmarkEnd w:id="72872"/>
      <w:r>
        <w:rPr>
          <w:rFonts w:hint="cs"/>
          <w:rtl/>
        </w:rPr>
        <w:t xml:space="preserve">האם </w:t>
      </w:r>
      <w:bookmarkStart w:id="72873" w:name="_ETM_Q127_485839"/>
      <w:bookmarkEnd w:id="72873"/>
      <w:r>
        <w:rPr>
          <w:rFonts w:hint="cs"/>
          <w:rtl/>
        </w:rPr>
        <w:t xml:space="preserve">זה </w:t>
      </w:r>
      <w:bookmarkStart w:id="72874" w:name="_ETM_Q127_485990"/>
      <w:bookmarkEnd w:id="72874"/>
      <w:r>
        <w:rPr>
          <w:rFonts w:hint="cs"/>
          <w:rtl/>
        </w:rPr>
        <w:t xml:space="preserve">המסר </w:t>
      </w:r>
      <w:bookmarkStart w:id="72875" w:name="_ETM_Q127_486380"/>
      <w:bookmarkEnd w:id="72875"/>
      <w:r>
        <w:rPr>
          <w:rFonts w:hint="cs"/>
          <w:rtl/>
        </w:rPr>
        <w:t xml:space="preserve">שלנו </w:t>
      </w:r>
      <w:bookmarkStart w:id="72876" w:name="_ETM_Q127_486769"/>
      <w:bookmarkEnd w:id="72876"/>
      <w:r>
        <w:rPr>
          <w:rFonts w:hint="cs"/>
          <w:rtl/>
        </w:rPr>
        <w:t xml:space="preserve">לילדים </w:t>
      </w:r>
      <w:bookmarkStart w:id="72877" w:name="_ETM_Q127_487219"/>
      <w:bookmarkEnd w:id="72877"/>
      <w:r>
        <w:rPr>
          <w:rFonts w:hint="cs"/>
          <w:rtl/>
        </w:rPr>
        <w:t xml:space="preserve">שלנו? </w:t>
      </w:r>
      <w:bookmarkStart w:id="72878" w:name="_ETM_Q127_488380"/>
      <w:bookmarkEnd w:id="72878"/>
      <w:r>
        <w:rPr>
          <w:rFonts w:hint="cs"/>
          <w:rtl/>
        </w:rPr>
        <w:t xml:space="preserve">הגיע </w:t>
      </w:r>
      <w:bookmarkStart w:id="72879" w:name="_ETM_Q127_488740"/>
      <w:bookmarkEnd w:id="72879"/>
      <w:r>
        <w:rPr>
          <w:rFonts w:hint="cs"/>
          <w:rtl/>
        </w:rPr>
        <w:t xml:space="preserve">הזמן </w:t>
      </w:r>
      <w:bookmarkStart w:id="72880" w:name="_ETM_Q127_490009"/>
      <w:bookmarkEnd w:id="72880"/>
      <w:r>
        <w:rPr>
          <w:rFonts w:hint="cs"/>
          <w:rtl/>
        </w:rPr>
        <w:t xml:space="preserve">לתת </w:t>
      </w:r>
      <w:bookmarkStart w:id="72881" w:name="_ETM_Q127_490849"/>
      <w:bookmarkEnd w:id="72881"/>
      <w:r>
        <w:rPr>
          <w:rFonts w:hint="cs"/>
          <w:rtl/>
        </w:rPr>
        <w:t xml:space="preserve">פתרונות </w:t>
      </w:r>
      <w:bookmarkStart w:id="72882" w:name="_ETM_Q127_492110"/>
      <w:bookmarkEnd w:id="72882"/>
      <w:r>
        <w:rPr>
          <w:rFonts w:hint="cs"/>
          <w:rtl/>
        </w:rPr>
        <w:t xml:space="preserve">גם </w:t>
      </w:r>
      <w:bookmarkStart w:id="72883" w:name="_ETM_Q127_492529"/>
      <w:bookmarkEnd w:id="72883"/>
      <w:r>
        <w:rPr>
          <w:rFonts w:hint="cs"/>
          <w:rtl/>
        </w:rPr>
        <w:t xml:space="preserve">למורים, </w:t>
      </w:r>
      <w:bookmarkStart w:id="72884" w:name="_ETM_Q127_493429"/>
      <w:bookmarkEnd w:id="72884"/>
      <w:r>
        <w:rPr>
          <w:rFonts w:hint="cs"/>
          <w:rtl/>
        </w:rPr>
        <w:t xml:space="preserve">גם </w:t>
      </w:r>
      <w:bookmarkStart w:id="72885" w:name="_ETM_Q127_493759"/>
      <w:bookmarkEnd w:id="72885"/>
      <w:r>
        <w:rPr>
          <w:rFonts w:hint="cs"/>
          <w:rtl/>
        </w:rPr>
        <w:t xml:space="preserve">לאקדמאים, </w:t>
      </w:r>
      <w:bookmarkStart w:id="72886" w:name="_ETM_Q127_494869"/>
      <w:bookmarkEnd w:id="72886"/>
      <w:r>
        <w:rPr>
          <w:rFonts w:hint="cs"/>
          <w:rtl/>
        </w:rPr>
        <w:t xml:space="preserve">גם </w:t>
      </w:r>
      <w:bookmarkStart w:id="72887" w:name="_ETM_Q127_495230"/>
      <w:bookmarkEnd w:id="72887"/>
      <w:r>
        <w:rPr>
          <w:rFonts w:hint="cs"/>
          <w:rtl/>
        </w:rPr>
        <w:t>לרופאים –</w:t>
      </w:r>
      <w:bookmarkStart w:id="72888" w:name="_ETM_Q127_501853"/>
      <w:bookmarkEnd w:id="72888"/>
      <w:r>
        <w:rPr>
          <w:rFonts w:hint="cs"/>
          <w:rtl/>
        </w:rPr>
        <w:t xml:space="preserve"> </w:t>
      </w:r>
      <w:bookmarkStart w:id="72889" w:name="_ETM_Q127_495859"/>
      <w:bookmarkEnd w:id="72889"/>
      <w:r>
        <w:rPr>
          <w:rFonts w:hint="cs"/>
          <w:rtl/>
        </w:rPr>
        <w:t xml:space="preserve">שימצאו </w:t>
      </w:r>
      <w:bookmarkStart w:id="72890" w:name="_ETM_Q127_496430"/>
      <w:bookmarkEnd w:id="72890"/>
      <w:r>
        <w:rPr>
          <w:rFonts w:hint="cs"/>
          <w:rtl/>
        </w:rPr>
        <w:t xml:space="preserve">עבודה </w:t>
      </w:r>
      <w:bookmarkStart w:id="72891" w:name="_ETM_Q127_496910"/>
      <w:bookmarkEnd w:id="72891"/>
      <w:r>
        <w:rPr>
          <w:rFonts w:hint="cs"/>
          <w:rtl/>
        </w:rPr>
        <w:t>ו</w:t>
      </w:r>
      <w:bookmarkStart w:id="72892" w:name="_ETM_Q127_497269"/>
      <w:bookmarkEnd w:id="72892"/>
      <w:r>
        <w:rPr>
          <w:rFonts w:hint="cs"/>
          <w:rtl/>
        </w:rPr>
        <w:t xml:space="preserve">יחיו </w:t>
      </w:r>
      <w:bookmarkStart w:id="72893" w:name="_ETM_Q127_497720"/>
      <w:bookmarkEnd w:id="72893"/>
      <w:r>
        <w:rPr>
          <w:rFonts w:hint="cs"/>
          <w:rtl/>
        </w:rPr>
        <w:t xml:space="preserve">בכבוד. </w:t>
      </w:r>
      <w:bookmarkStart w:id="72894" w:name="_ETM_Q127_498589"/>
      <w:bookmarkEnd w:id="72894"/>
      <w:r>
        <w:rPr>
          <w:rFonts w:hint="cs"/>
          <w:rtl/>
        </w:rPr>
        <w:t xml:space="preserve">כי </w:t>
      </w:r>
      <w:bookmarkStart w:id="72895" w:name="_ETM_Q127_498860"/>
      <w:bookmarkStart w:id="72896" w:name="_ETM_Q127_499779"/>
      <w:bookmarkEnd w:id="72895"/>
      <w:bookmarkEnd w:id="72896"/>
      <w:r>
        <w:rPr>
          <w:rFonts w:hint="cs"/>
          <w:rtl/>
        </w:rPr>
        <w:t>הם</w:t>
      </w:r>
      <w:bookmarkStart w:id="72897" w:name="_ETM_Q127_500679"/>
      <w:bookmarkEnd w:id="72897"/>
      <w:r>
        <w:rPr>
          <w:rFonts w:hint="cs"/>
          <w:rtl/>
        </w:rPr>
        <w:t xml:space="preserve">, הם אמורים </w:t>
      </w:r>
      <w:bookmarkStart w:id="72898" w:name="_ETM_Q127_501339"/>
      <w:bookmarkEnd w:id="72898"/>
      <w:r>
        <w:rPr>
          <w:rFonts w:hint="cs"/>
          <w:rtl/>
        </w:rPr>
        <w:t xml:space="preserve">לשמש </w:t>
      </w:r>
      <w:bookmarkStart w:id="72899" w:name="_ETM_Q127_501970"/>
      <w:bookmarkEnd w:id="72899"/>
      <w:r>
        <w:rPr>
          <w:rFonts w:hint="cs"/>
          <w:rtl/>
        </w:rPr>
        <w:t xml:space="preserve">דוגמה </w:t>
      </w:r>
      <w:bookmarkStart w:id="72900" w:name="_ETM_Q127_502779"/>
      <w:bookmarkEnd w:id="72900"/>
      <w:r>
        <w:rPr>
          <w:rFonts w:hint="cs"/>
          <w:rtl/>
        </w:rPr>
        <w:t xml:space="preserve">לכל </w:t>
      </w:r>
      <w:bookmarkStart w:id="72901" w:name="_ETM_Q127_503230"/>
      <w:bookmarkEnd w:id="72901"/>
      <w:r>
        <w:rPr>
          <w:rFonts w:hint="cs"/>
          <w:rtl/>
        </w:rPr>
        <w:t xml:space="preserve">ילד </w:t>
      </w:r>
      <w:bookmarkStart w:id="72902" w:name="_ETM_Q127_503619"/>
      <w:bookmarkEnd w:id="72902"/>
      <w:r>
        <w:rPr>
          <w:rFonts w:hint="cs"/>
          <w:rtl/>
        </w:rPr>
        <w:t xml:space="preserve">ולכל </w:t>
      </w:r>
      <w:bookmarkStart w:id="72903" w:name="_ETM_Q127_504010"/>
      <w:bookmarkEnd w:id="72903"/>
      <w:r>
        <w:rPr>
          <w:rFonts w:hint="cs"/>
          <w:rtl/>
        </w:rPr>
        <w:t xml:space="preserve">צעיר </w:t>
      </w:r>
      <w:bookmarkStart w:id="72904" w:name="_ETM_Q127_504310"/>
      <w:bookmarkEnd w:id="72904"/>
      <w:r>
        <w:rPr>
          <w:rFonts w:hint="cs"/>
          <w:rtl/>
        </w:rPr>
        <w:t>ערבי,</w:t>
      </w:r>
      <w:bookmarkStart w:id="72905" w:name="_ETM_Q127_501958"/>
      <w:bookmarkEnd w:id="72905"/>
      <w:r>
        <w:rPr>
          <w:rFonts w:hint="cs"/>
          <w:rtl/>
        </w:rPr>
        <w:t xml:space="preserve"> </w:t>
      </w:r>
      <w:bookmarkStart w:id="72906" w:name="_ETM_Q127_505089"/>
      <w:bookmarkEnd w:id="72906"/>
      <w:r>
        <w:rPr>
          <w:rFonts w:hint="cs"/>
          <w:rtl/>
        </w:rPr>
        <w:t xml:space="preserve">ולא </w:t>
      </w:r>
      <w:bookmarkStart w:id="72907" w:name="_ETM_Q127_505720"/>
      <w:bookmarkEnd w:id="72907"/>
      <w:r>
        <w:rPr>
          <w:rFonts w:hint="cs"/>
          <w:rtl/>
        </w:rPr>
        <w:t xml:space="preserve">הילדים </w:t>
      </w:r>
      <w:bookmarkStart w:id="72908" w:name="_ETM_Q127_506410"/>
      <w:bookmarkEnd w:id="72908"/>
      <w:r>
        <w:rPr>
          <w:rFonts w:hint="cs"/>
          <w:rtl/>
        </w:rPr>
        <w:t xml:space="preserve">או </w:t>
      </w:r>
      <w:bookmarkStart w:id="72909" w:name="_ETM_Q127_506560"/>
      <w:bookmarkEnd w:id="72909"/>
      <w:r>
        <w:rPr>
          <w:rFonts w:hint="cs"/>
          <w:rtl/>
        </w:rPr>
        <w:t xml:space="preserve">החיילים </w:t>
      </w:r>
      <w:bookmarkStart w:id="72910" w:name="_ETM_Q127_507400"/>
      <w:bookmarkEnd w:id="72910"/>
      <w:r>
        <w:rPr>
          <w:rFonts w:hint="cs"/>
          <w:rtl/>
        </w:rPr>
        <w:t xml:space="preserve">של </w:t>
      </w:r>
      <w:bookmarkStart w:id="72911" w:name="_ETM_Q127_507610"/>
      <w:bookmarkEnd w:id="72911"/>
      <w:r>
        <w:rPr>
          <w:rFonts w:hint="cs"/>
          <w:rtl/>
        </w:rPr>
        <w:t xml:space="preserve">משפחות </w:t>
      </w:r>
      <w:bookmarkStart w:id="72912" w:name="_ETM_Q127_508060"/>
      <w:bookmarkEnd w:id="72912"/>
      <w:r>
        <w:rPr>
          <w:rFonts w:hint="cs"/>
          <w:rtl/>
        </w:rPr>
        <w:t>הפשע</w:t>
      </w:r>
      <w:bookmarkStart w:id="72913" w:name="_ETM_Q127_508899"/>
      <w:bookmarkStart w:id="72914" w:name="_ETM_Q127_509679"/>
      <w:bookmarkEnd w:id="72913"/>
      <w:bookmarkEnd w:id="72914"/>
      <w:r>
        <w:rPr>
          <w:rFonts w:hint="cs"/>
          <w:rtl/>
        </w:rPr>
        <w:t>, ש</w:t>
      </w:r>
      <w:bookmarkStart w:id="72915" w:name="_ETM_Q127_509339"/>
      <w:bookmarkEnd w:id="72915"/>
      <w:r>
        <w:rPr>
          <w:rFonts w:hint="cs"/>
          <w:rtl/>
        </w:rPr>
        <w:t>היום גם הם משמשים</w:t>
      </w:r>
      <w:bookmarkStart w:id="72916" w:name="_ETM_Q127_510369"/>
      <w:bookmarkEnd w:id="72916"/>
      <w:r>
        <w:rPr>
          <w:rFonts w:hint="cs"/>
          <w:rtl/>
        </w:rPr>
        <w:t xml:space="preserve">, </w:t>
      </w:r>
      <w:bookmarkStart w:id="72917" w:name="_ETM_Q127_511089"/>
      <w:bookmarkEnd w:id="72917"/>
      <w:r>
        <w:rPr>
          <w:rFonts w:hint="cs"/>
          <w:rtl/>
        </w:rPr>
        <w:t xml:space="preserve">לצערי, </w:t>
      </w:r>
      <w:bookmarkStart w:id="72918" w:name="_ETM_Q127_512200"/>
      <w:bookmarkStart w:id="72919" w:name="_ETM_Q127_512650"/>
      <w:bookmarkStart w:id="72920" w:name="_ETM_Q127_512829"/>
      <w:bookmarkStart w:id="72921" w:name="_ETM_Q127_470759"/>
      <w:bookmarkStart w:id="72922" w:name="_ETM_Q127_467349"/>
      <w:bookmarkStart w:id="72923" w:name="_ETM_Q127_465148"/>
      <w:bookmarkStart w:id="72924" w:name="_ETM_Q127_465099"/>
      <w:bookmarkStart w:id="72925" w:name="_ETM_Q127_461509"/>
      <w:bookmarkStart w:id="72926" w:name="_ETM_Q127_511399"/>
      <w:bookmarkEnd w:id="72918"/>
      <w:bookmarkEnd w:id="72919"/>
      <w:bookmarkEnd w:id="72920"/>
      <w:bookmarkEnd w:id="72921"/>
      <w:bookmarkEnd w:id="72922"/>
      <w:bookmarkEnd w:id="72923"/>
      <w:bookmarkEnd w:id="72924"/>
      <w:bookmarkEnd w:id="72925"/>
      <w:bookmarkEnd w:id="72926"/>
      <w:r>
        <w:rPr>
          <w:rFonts w:hint="cs"/>
          <w:rtl/>
        </w:rPr>
        <w:t xml:space="preserve">דוגמה </w:t>
      </w:r>
      <w:bookmarkStart w:id="72927" w:name="_ETM_Q127_513460"/>
      <w:bookmarkEnd w:id="72927"/>
      <w:r>
        <w:rPr>
          <w:rFonts w:hint="cs"/>
          <w:rtl/>
        </w:rPr>
        <w:t xml:space="preserve">אישית </w:t>
      </w:r>
      <w:bookmarkStart w:id="72928" w:name="_ETM_Q127_514089"/>
      <w:bookmarkEnd w:id="72928"/>
      <w:r>
        <w:rPr>
          <w:rFonts w:hint="cs"/>
          <w:rtl/>
        </w:rPr>
        <w:t xml:space="preserve">לצעירים </w:t>
      </w:r>
      <w:bookmarkStart w:id="72929" w:name="_ETM_Q127_514630"/>
      <w:bookmarkEnd w:id="72929"/>
      <w:r>
        <w:rPr>
          <w:rFonts w:hint="cs"/>
          <w:rtl/>
        </w:rPr>
        <w:t xml:space="preserve">שלנו </w:t>
      </w:r>
      <w:bookmarkStart w:id="72930" w:name="_ETM_Q127_515190"/>
      <w:bookmarkEnd w:id="72930"/>
      <w:r>
        <w:rPr>
          <w:rFonts w:hint="cs"/>
          <w:rtl/>
        </w:rPr>
        <w:t xml:space="preserve">בחברה </w:t>
      </w:r>
      <w:bookmarkStart w:id="72931" w:name="_ETM_Q127_515699"/>
      <w:bookmarkEnd w:id="72931"/>
      <w:r>
        <w:rPr>
          <w:rFonts w:hint="cs"/>
          <w:rtl/>
        </w:rPr>
        <w:t xml:space="preserve">הערבית. </w:t>
      </w:r>
      <w:bookmarkStart w:id="72932" w:name="_ETM_Q127_524570"/>
      <w:bookmarkEnd w:id="72932"/>
    </w:p>
    <w:p w:rsidR="00BB59CD" w:rsidRDefault="00BB59CD" w:rsidP="00BB59CD">
      <w:pPr>
        <w:rPr>
          <w:rtl/>
        </w:rPr>
      </w:pPr>
    </w:p>
    <w:p w:rsidR="00BB59CD" w:rsidRDefault="00BB59CD" w:rsidP="00B94088">
      <w:pPr>
        <w:rPr>
          <w:rtl/>
        </w:rPr>
      </w:pPr>
      <w:r>
        <w:rPr>
          <w:rFonts w:hint="cs"/>
          <w:rtl/>
        </w:rPr>
        <w:t xml:space="preserve">ברשותך, </w:t>
      </w:r>
      <w:bookmarkStart w:id="72933" w:name="_ETM_Q127_525650"/>
      <w:bookmarkEnd w:id="72933"/>
      <w:r>
        <w:rPr>
          <w:rFonts w:hint="cs"/>
          <w:rtl/>
        </w:rPr>
        <w:t xml:space="preserve">כבוד </w:t>
      </w:r>
      <w:bookmarkStart w:id="72934" w:name="_ETM_Q127_525860"/>
      <w:bookmarkEnd w:id="72934"/>
      <w:r>
        <w:rPr>
          <w:rFonts w:hint="cs"/>
          <w:rtl/>
        </w:rPr>
        <w:t xml:space="preserve">היושב-ראש, </w:t>
      </w:r>
      <w:bookmarkStart w:id="72935" w:name="_ETM_Q127_526670"/>
      <w:bookmarkEnd w:id="72935"/>
      <w:r>
        <w:rPr>
          <w:rFonts w:hint="cs"/>
          <w:rtl/>
        </w:rPr>
        <w:t xml:space="preserve">אני </w:t>
      </w:r>
      <w:bookmarkStart w:id="72936" w:name="_ETM_Q127_526850"/>
      <w:bookmarkEnd w:id="72936"/>
      <w:r>
        <w:rPr>
          <w:rFonts w:hint="cs"/>
          <w:rtl/>
        </w:rPr>
        <w:t xml:space="preserve">אעבור לערבית. </w:t>
      </w:r>
      <w:bookmarkStart w:id="72937" w:name="_ETM_Q127_527210"/>
      <w:bookmarkStart w:id="72938" w:name="_ETM_Q127_656460"/>
      <w:bookmarkEnd w:id="72937"/>
      <w:bookmarkEnd w:id="72938"/>
      <w:r>
        <w:rPr>
          <w:rFonts w:hint="cs"/>
          <w:rtl/>
        </w:rPr>
        <w:t>(אומר דברים בשפה הערבית, להלן תרגומם: בני החברה שלי היקרים, במאי 2021 חבר כנסת הסית את חבריו עברייני הגבעות, אשר לא מבינים שפה מלבד שפת הכוח, נגד האזרחים הערבים אשר מתגוררים בערים המעורבות. הוא הצית את האש הז</w:t>
      </w:r>
      <w:r w:rsidR="00B94088">
        <w:rPr>
          <w:rFonts w:hint="cs"/>
          <w:rtl/>
        </w:rPr>
        <w:t>את,</w:t>
      </w:r>
      <w:r>
        <w:rPr>
          <w:rFonts w:hint="cs"/>
          <w:rtl/>
        </w:rPr>
        <w:t xml:space="preserve"> והם איימו על האנשים בכלי הנשק שלהם והפיצו שחיתות עלי אדמות. היום המסית הזה, הנאשם בטרור, הוא השר שאמור להיות אחראי לביטחון התושבים. זו מציאות הזויה. </w:t>
      </w:r>
    </w:p>
    <w:p w:rsidR="00BB59CD" w:rsidRDefault="00BB59CD" w:rsidP="00BB59CD">
      <w:pPr>
        <w:rPr>
          <w:rtl/>
        </w:rPr>
      </w:pPr>
    </w:p>
    <w:p w:rsidR="00BB59CD" w:rsidRDefault="00BB59CD" w:rsidP="00B94088">
      <w:pPr>
        <w:rPr>
          <w:rtl/>
        </w:rPr>
      </w:pPr>
      <w:r>
        <w:rPr>
          <w:rFonts w:hint="cs"/>
          <w:rtl/>
        </w:rPr>
        <w:t>עכשיו אנחנו עומדים מול ממשלה אשר פועלת לביטול עילת הסבירות, ובראשה עומדים שרים וחברי כנסת מסיתים וגזענים. זכותנו לשאול, בתור אזרחים ערבים</w:t>
      </w:r>
      <w:r w:rsidR="00B94088">
        <w:rPr>
          <w:rFonts w:hint="cs"/>
          <w:rtl/>
        </w:rPr>
        <w:t>:</w:t>
      </w:r>
      <w:r>
        <w:rPr>
          <w:rFonts w:hint="cs"/>
          <w:rtl/>
        </w:rPr>
        <w:t xml:space="preserve"> מה ימנע מהגזענים האלה להקים פלוגות פשיסטיות חמושות שמטרתן להטיל טרור על האנשים החפים מפשע ביישובים הערביים שלנו, או הלא-ערבים? מה ימנע מבן גביר והפלוגות הפשיסטיות שלו לבצע מעשי טווח ופשעי שנאה, כמו שהם עשו בעבר בחווארה ובכפרים ערביים אחרים בגדה המערבית? עם עילת הסבירות אנחנו רואים שיש גזענות ומעשים גזעניים, אפילו בתוך הכפרים שלנו, לעיתים; אם כך</w:t>
      </w:r>
      <w:r w:rsidR="00B94088">
        <w:rPr>
          <w:rFonts w:hint="cs"/>
          <w:rtl/>
        </w:rPr>
        <w:t>,</w:t>
      </w:r>
      <w:r>
        <w:rPr>
          <w:rFonts w:hint="cs"/>
          <w:rtl/>
        </w:rPr>
        <w:t xml:space="preserve"> מה יקרה אם נבטל את עילת הסבירות? אז המצב יהפוך להיות גרוע יותר ויותר ויותר. אנחנו רואים באופן ברור איך עובד השר לחקיקת חוקים </w:t>
      </w:r>
      <w:r w:rsidR="00B94088">
        <w:rPr>
          <w:rFonts w:hint="cs"/>
          <w:rtl/>
        </w:rPr>
        <w:t xml:space="preserve">כדי </w:t>
      </w:r>
      <w:r>
        <w:rPr>
          <w:rFonts w:hint="cs"/>
          <w:rtl/>
        </w:rPr>
        <w:t>לשלול מהערבים את הזכויות שלהם ואת החופש הכי בסיסי שלהם, ובין היתר את זכותם לניידות, להבעה ולחיות בביטחון, ולאחרונה השר הזה רוצה לחוקק חוק שמגביל את החופש של האזרח הערבי בנסיעות לחו"ל. מי ימנע מהפשיסט הזה לעשות צעדים כאל</w:t>
      </w:r>
      <w:r w:rsidR="00B94088">
        <w:rPr>
          <w:rFonts w:hint="cs"/>
          <w:rtl/>
        </w:rPr>
        <w:t>ה</w:t>
      </w:r>
      <w:r>
        <w:rPr>
          <w:rFonts w:hint="cs"/>
          <w:rtl/>
        </w:rPr>
        <w:t>? הצעדים האל</w:t>
      </w:r>
      <w:r w:rsidR="00B94088">
        <w:rPr>
          <w:rFonts w:hint="cs"/>
          <w:rtl/>
        </w:rPr>
        <w:t>ה</w:t>
      </w:r>
      <w:r>
        <w:rPr>
          <w:rFonts w:hint="cs"/>
          <w:rtl/>
        </w:rPr>
        <w:t xml:space="preserve"> הם בעצם הידרדרות למשטר אפרטהייד. </w:t>
      </w:r>
    </w:p>
    <w:p w:rsidR="00BB59CD" w:rsidRDefault="00BB59CD" w:rsidP="00BB59CD">
      <w:pPr>
        <w:rPr>
          <w:rtl/>
        </w:rPr>
      </w:pPr>
    </w:p>
    <w:p w:rsidR="00BB59CD" w:rsidRDefault="00BB59CD" w:rsidP="00B94088">
      <w:pPr>
        <w:rPr>
          <w:rFonts w:asciiTheme="minorHAnsi" w:hAnsiTheme="minorHAnsi" w:cstheme="minorBidi"/>
          <w:rtl/>
        </w:rPr>
      </w:pPr>
      <w:r>
        <w:rPr>
          <w:rFonts w:hint="cs"/>
          <w:rtl/>
        </w:rPr>
        <w:t>אני פונה אליכם מבמה זו בתור אזרח ערבי אשר דואג לעתיד של ילדי החברה של</w:t>
      </w:r>
      <w:r w:rsidR="00B94088">
        <w:rPr>
          <w:rFonts w:hint="cs"/>
          <w:rtl/>
        </w:rPr>
        <w:t>ו</w:t>
      </w:r>
      <w:r>
        <w:rPr>
          <w:rFonts w:hint="cs"/>
          <w:rtl/>
        </w:rPr>
        <w:t xml:space="preserve"> מהמדיניות הזו, מצמצום החופש בחברה הערבית, כשבן גביר יושב בחיבוק ידיים כלפי מה שקורה ומה שיקרה. חברי הכנסת המכובדים, לצערי ולדאבוני</w:t>
      </w:r>
      <w:r w:rsidR="00B94088">
        <w:rPr>
          <w:rFonts w:hint="cs"/>
          <w:rtl/>
        </w:rPr>
        <w:t>,</w:t>
      </w:r>
      <w:r>
        <w:rPr>
          <w:rFonts w:hint="cs"/>
          <w:rtl/>
        </w:rPr>
        <w:t xml:space="preserve"> ממשלת בן גביר לא מתעניינת במה שקורה בחברה הערבית שלנו, בפשעי הרצח והטרור בחברה. 129 נרצחו מאז תחילת השנה, וממשלת נתניהו ובן גביר בעולם אחר, אין להם קשר למציאות הז</w:t>
      </w:r>
      <w:r w:rsidR="00B94088">
        <w:rPr>
          <w:rFonts w:hint="cs"/>
          <w:rtl/>
        </w:rPr>
        <w:t>את</w:t>
      </w:r>
      <w:r>
        <w:rPr>
          <w:rFonts w:hint="cs"/>
          <w:rtl/>
        </w:rPr>
        <w:t xml:space="preserve"> שהחברה הערבית שלנו חיה בה כמעט באופן יום-יומי.)</w:t>
      </w:r>
    </w:p>
    <w:p w:rsidR="00BB59CD" w:rsidRDefault="00BB59CD" w:rsidP="00BB59CD">
      <w:pPr>
        <w:rPr>
          <w:rtl/>
        </w:rPr>
      </w:pPr>
    </w:p>
    <w:p w:rsidR="00BB59CD" w:rsidRDefault="00BB59CD" w:rsidP="00BB59CD">
      <w:pPr>
        <w:pStyle w:val="af9"/>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הדבר היחיד שהצלחתי להבין ממך זה "גביר", "בן גביר".</w:t>
      </w:r>
    </w:p>
    <w:p w:rsidR="00BB59CD" w:rsidRDefault="00BB59CD" w:rsidP="00BB59CD">
      <w:pPr>
        <w:rPr>
          <w:rtl/>
          <w:lang w:eastAsia="he-IL"/>
        </w:rPr>
      </w:pPr>
    </w:p>
    <w:p w:rsidR="00BB59CD" w:rsidRDefault="00BB59CD" w:rsidP="00BB59CD">
      <w:pPr>
        <w:pStyle w:val="-"/>
        <w:keepNext/>
        <w:rPr>
          <w:rtl/>
        </w:rPr>
      </w:pPr>
      <w:bookmarkStart w:id="72939" w:name="ET_speakercontinue_6350_9"/>
      <w:r>
        <w:rPr>
          <w:rStyle w:val="TagStyle"/>
          <w:rFonts w:hint="cs"/>
          <w:rtl/>
        </w:rPr>
        <w:t xml:space="preserve"> &lt;&lt; דובר_המשך &gt;&gt; </w:t>
      </w:r>
      <w:r>
        <w:rPr>
          <w:rFonts w:hint="cs"/>
          <w:rtl/>
        </w:rPr>
        <w:t>יאסר חוג'יראת (רע"מ – הרשימה הערבית המאוחדת):</w:t>
      </w:r>
      <w:r>
        <w:rPr>
          <w:rStyle w:val="TagStyle"/>
          <w:rtl/>
        </w:rPr>
        <w:t xml:space="preserve"> &lt;&lt; דובר_המשך &gt;&gt;</w:t>
      </w:r>
      <w:r>
        <w:rPr>
          <w:rFonts w:hint="cs"/>
          <w:rtl/>
        </w:rPr>
        <w:t xml:space="preserve">   </w:t>
      </w:r>
      <w:bookmarkEnd w:id="72939"/>
    </w:p>
    <w:p w:rsidR="00BB59CD" w:rsidRDefault="00BB59CD" w:rsidP="00337201">
      <w:pPr>
        <w:rPr>
          <w:rtl/>
          <w:lang w:eastAsia="he-IL"/>
        </w:rPr>
      </w:pPr>
    </w:p>
    <w:p w:rsidR="00BB59CD" w:rsidRDefault="00BB59CD" w:rsidP="00B94088">
      <w:pPr>
        <w:rPr>
          <w:rtl/>
        </w:rPr>
      </w:pPr>
      <w:r>
        <w:rPr>
          <w:rFonts w:hint="cs"/>
          <w:rtl/>
        </w:rPr>
        <w:t>תכף אני אסביר לך, זה מה שתרגמת</w:t>
      </w:r>
      <w:bookmarkStart w:id="72940" w:name="_ETM_Q128_152370"/>
      <w:bookmarkEnd w:id="72940"/>
      <w:r>
        <w:rPr>
          <w:rFonts w:hint="cs"/>
          <w:rtl/>
        </w:rPr>
        <w:t>י קודם. (אומר דברים בשפה הערבית, להלן תרגומם: נוסף על מספר הנרצחים יש בערך 500 פצועים מפשעים אלו. אלפי ילדים סובלים מהשפעות נפשיות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צפרא טבא, צפרא טבא לרבנן.</w:t>
      </w:r>
    </w:p>
    <w:p w:rsidR="00BB59CD" w:rsidRDefault="00BB59CD" w:rsidP="00BB59CD">
      <w:pPr>
        <w:rPr>
          <w:rtl/>
        </w:rPr>
      </w:pPr>
    </w:p>
    <w:p w:rsidR="00BB59CD" w:rsidRDefault="00BB59CD" w:rsidP="00BB59CD">
      <w:pPr>
        <w:pStyle w:val="-"/>
        <w:keepNext/>
        <w:rPr>
          <w:rtl/>
        </w:rPr>
      </w:pPr>
      <w:bookmarkStart w:id="72941" w:name="ET_speakercontinue_6350_10"/>
      <w:r>
        <w:rPr>
          <w:rStyle w:val="TagStyle"/>
          <w:rFonts w:hint="cs"/>
          <w:rtl/>
        </w:rPr>
        <w:t xml:space="preserve"> &lt;&lt; דובר_המשך &gt;&gt; </w:t>
      </w:r>
      <w:r>
        <w:rPr>
          <w:rFonts w:hint="cs"/>
          <w:rtl/>
        </w:rPr>
        <w:t>יאסר חוג'יראת (רע"מ – הרשימה הערבית המאוחדת):</w:t>
      </w:r>
      <w:r>
        <w:rPr>
          <w:rStyle w:val="TagStyle"/>
          <w:rtl/>
        </w:rPr>
        <w:t xml:space="preserve"> &lt;&lt; דובר_המשך &gt;&gt;</w:t>
      </w:r>
      <w:r>
        <w:rPr>
          <w:rFonts w:hint="cs"/>
          <w:rtl/>
        </w:rPr>
        <w:t xml:space="preserve">   </w:t>
      </w:r>
      <w:bookmarkEnd w:id="72941"/>
    </w:p>
    <w:p w:rsidR="00BB59CD" w:rsidRDefault="00BB59CD" w:rsidP="00337201">
      <w:pPr>
        <w:rPr>
          <w:rtl/>
          <w:lang w:eastAsia="he-IL"/>
        </w:rPr>
      </w:pPr>
      <w:bookmarkStart w:id="72942" w:name="_ETM_Q128_6410"/>
      <w:bookmarkStart w:id="72943" w:name="_ETM_Q128_6506"/>
      <w:bookmarkEnd w:id="72942"/>
      <w:bookmarkEnd w:id="72943"/>
    </w:p>
    <w:p w:rsidR="00BB59CD" w:rsidRDefault="00BB59CD" w:rsidP="00B94088">
      <w:pPr>
        <w:rPr>
          <w:rtl/>
        </w:rPr>
      </w:pPr>
      <w:bookmarkStart w:id="72944" w:name="_ETM_Q128_7191"/>
      <w:bookmarkStart w:id="72945" w:name="_ETM_Q128_7271"/>
      <w:bookmarkEnd w:id="72944"/>
      <w:bookmarkEnd w:id="72945"/>
      <w:r>
        <w:rPr>
          <w:rFonts w:hint="cs"/>
          <w:rtl/>
          <w:lang w:eastAsia="he-IL"/>
        </w:rPr>
        <w:t xml:space="preserve">(- - מסוכנות בגלל מה שקורה. </w:t>
      </w:r>
      <w:r>
        <w:rPr>
          <w:rFonts w:hint="cs"/>
          <w:rtl/>
        </w:rPr>
        <w:t>ילדים לא ישנים בלילות מהפחד, מאות אלמנות ובתים הרוסים. שני מיליון אזרחים ערבים חיים במצב של אובדן הביטחון האישי והחברתי. שני מיליון ערבים מתמודדים עם מלחמה ארורה לבדם. אלפי אזרחים ערבים לא יוצאים מבתיהם מהפחד של כדור תועה. אבות ואימהות יוצרים איתי קשר כדי להביע את החשש שלהם לבניהם ו</w:t>
      </w:r>
      <w:r w:rsidR="00B94088">
        <w:rPr>
          <w:rFonts w:hint="cs"/>
          <w:rtl/>
        </w:rPr>
        <w:t>ל</w:t>
      </w:r>
      <w:r>
        <w:rPr>
          <w:rFonts w:hint="cs"/>
          <w:rtl/>
        </w:rPr>
        <w:t>בנותיהם. שני מיליון ערבים חשים חוסר אונים מוחלט</w:t>
      </w:r>
      <w:r w:rsidR="00B94088">
        <w:rPr>
          <w:rFonts w:hint="cs"/>
          <w:rtl/>
        </w:rPr>
        <w:t>.</w:t>
      </w:r>
      <w:r>
        <w:rPr>
          <w:rFonts w:hint="cs"/>
          <w:rtl/>
        </w:rPr>
        <w:t xml:space="preserve"> הם חסרי אונים, שני מיליון ערבים שהממשלה מתעלמת מהמציאות שלהם ומתייחסת אליהם כאילו היו אוויר, כאילו הם לא קיימים. שני מיליון ערבים הם כאילו חבית של אבק שרפה. הם לא יכולים לשאת עוד דיכוי, פחד ואפליה. </w:t>
      </w:r>
    </w:p>
    <w:p w:rsidR="00BB59CD" w:rsidRDefault="00BB59CD" w:rsidP="00BB59CD">
      <w:pPr>
        <w:rPr>
          <w:rtl/>
        </w:rPr>
      </w:pPr>
    </w:p>
    <w:p w:rsidR="00BB59CD" w:rsidRDefault="00BB59CD" w:rsidP="00B94088">
      <w:pPr>
        <w:rPr>
          <w:rtl/>
        </w:rPr>
      </w:pPr>
      <w:r>
        <w:rPr>
          <w:rFonts w:hint="cs"/>
          <w:rtl/>
        </w:rPr>
        <w:t>והיום אני בטוח יותר שהשר הזה לא נלחם בפשיעה כמו שהוא נלחם בקידום ופיתוח החברה הערבית שלנו. מאז מינויה של הממשלה הז</w:t>
      </w:r>
      <w:r w:rsidR="00B94088">
        <w:rPr>
          <w:rFonts w:hint="cs"/>
          <w:rtl/>
        </w:rPr>
        <w:t>את</w:t>
      </w:r>
      <w:r>
        <w:rPr>
          <w:rFonts w:hint="cs"/>
          <w:rtl/>
        </w:rPr>
        <w:t xml:space="preserve"> מדיניות האפליה בעלייה מתמשכת בכל הרבדים. עשרות חוקים מנציחים את האפליה הגזענית כלפינו, עד כדי כך שאפילו ההצהרות הגזעניות הפכו להיות דבר נורמטיבי לחלוטין, לצערי ללא כל פיקוח וללא אדם שיכול לטפל בזה ולתת את הדין על כך. אנחנו</w:t>
      </w:r>
      <w:r w:rsidR="00B94088">
        <w:rPr>
          <w:rFonts w:hint="cs"/>
          <w:rtl/>
        </w:rPr>
        <w:t>,</w:t>
      </w:r>
      <w:r>
        <w:rPr>
          <w:rFonts w:hint="cs"/>
          <w:rtl/>
        </w:rPr>
        <w:t xml:space="preserve"> הערבים במדינה הז</w:t>
      </w:r>
      <w:r w:rsidR="00B94088">
        <w:rPr>
          <w:rFonts w:hint="cs"/>
          <w:rtl/>
        </w:rPr>
        <w:t>את</w:t>
      </w:r>
      <w:r>
        <w:rPr>
          <w:rFonts w:hint="cs"/>
          <w:rtl/>
        </w:rPr>
        <w:t>, אחי יוסף עטאונה, סובלים מאפליה ומרדיפה גזענית</w:t>
      </w:r>
      <w:r w:rsidR="00B94088">
        <w:rPr>
          <w:rFonts w:hint="cs"/>
          <w:rtl/>
        </w:rPr>
        <w:t>.</w:t>
      </w:r>
      <w:r>
        <w:rPr>
          <w:rFonts w:hint="cs"/>
          <w:rtl/>
        </w:rPr>
        <w:t xml:space="preserve"> אנחנו מרגישים שהמציאות שלנו הופכת לגרועה יותר. לדאבוני אני אומר שיש מצב של תסכול בחברה הערבית שלנו. אלפי מורים ערבים מחוסרי עבודה, אלפי רופאים מחפשים התמחויות, ולמרות המחסור והצורך ברופאים במדינה הזאת, המדינה מפנה את גבה למאות בוגרים. לאלפי אזרחים אין יכולת לרכוש דירה צנועה, או אפילו – קוראים לזה "מספר" אצלנו, קוראים לזה "מגרש", או "מספר", מגרש לבנייה. אז הזוגות הצעירים החלו להרגיש באובדן האופק והתקווה. לצעירים שלנו אין מסגרות מתאימות, ובכל זאת משבשים החלטות ממשלה קודמות שניתנו לשם שיפור אורח חייהם. ככל הנראה המטרה היא סגירת דלתות התקווה בפניהם והשארת דלת הפשע פתוחה בפניהם. זו מדיניות מכוונת, לצערי, ואני לא חושב שזה מקרי. </w:t>
      </w:r>
    </w:p>
    <w:p w:rsidR="00BB59CD" w:rsidRDefault="00BB59CD" w:rsidP="00BB59CD">
      <w:pPr>
        <w:rPr>
          <w:rtl/>
        </w:rPr>
      </w:pPr>
    </w:p>
    <w:p w:rsidR="00BB59CD" w:rsidRDefault="00BB59CD" w:rsidP="00CF7BDD">
      <w:pPr>
        <w:rPr>
          <w:rtl/>
          <w:lang w:eastAsia="he-IL"/>
        </w:rPr>
      </w:pPr>
      <w:r>
        <w:rPr>
          <w:rFonts w:hint="cs"/>
          <w:rtl/>
        </w:rPr>
        <w:t>לכן אני אומר מעל בימה זו, מעל בימת הכנסת: אני דורש מממשלת בן גביר והפשיסטים סביבו לעצור את המדיניות הגזענית הזו, אם היא תימשך היא תביא הרס על כולנו. ואני אומר זאת באופן ברור</w:t>
      </w:r>
      <w:r w:rsidR="00CF7BDD">
        <w:rPr>
          <w:rFonts w:hint="cs"/>
          <w:rtl/>
        </w:rPr>
        <w:t>.</w:t>
      </w:r>
      <w:r>
        <w:rPr>
          <w:rFonts w:hint="cs"/>
          <w:rtl/>
        </w:rPr>
        <w:t xml:space="preserve"> אם הספינה תטבע, כולנו נטבע יחד איתה. ולבסוף, עם כל זה - -</w:t>
      </w:r>
      <w:r>
        <w:rPr>
          <w:rFonts w:hint="cs"/>
          <w:rtl/>
          <w:lang w:eastAsia="he-IL"/>
        </w:rPr>
        <w:t>)</w:t>
      </w:r>
    </w:p>
    <w:p w:rsidR="00BB59CD" w:rsidRDefault="00BB59CD" w:rsidP="00BB59CD">
      <w:pPr>
        <w:rPr>
          <w:rtl/>
          <w:lang w:eastAsia="he-IL"/>
        </w:rPr>
      </w:pPr>
    </w:p>
    <w:p w:rsidR="00BB59CD" w:rsidRDefault="00BB59CD" w:rsidP="00BB59CD">
      <w:pPr>
        <w:pStyle w:val="af8"/>
        <w:keepNext/>
        <w:rPr>
          <w:rtl/>
        </w:rPr>
      </w:pPr>
      <w:bookmarkStart w:id="72946" w:name="ET_interruption_6392_11"/>
      <w:r>
        <w:rPr>
          <w:rStyle w:val="TagStyle"/>
          <w:rFonts w:hint="cs"/>
          <w:rtl/>
        </w:rPr>
        <w:t xml:space="preserve"> &lt;&lt; קריאה &gt;&gt; </w:t>
      </w:r>
      <w:r>
        <w:rPr>
          <w:rFonts w:hint="cs"/>
          <w:rtl/>
        </w:rPr>
        <w:t>שר המשפטים יריב לוין:</w:t>
      </w:r>
      <w:r>
        <w:rPr>
          <w:rStyle w:val="TagStyle"/>
          <w:rtl/>
        </w:rPr>
        <w:t xml:space="preserve"> &lt;&lt; קריאה &gt;&gt;</w:t>
      </w:r>
      <w:r>
        <w:rPr>
          <w:rFonts w:hint="cs"/>
          <w:rtl/>
        </w:rPr>
        <w:t xml:space="preserve">   </w:t>
      </w:r>
      <w:bookmarkEnd w:id="72946"/>
    </w:p>
    <w:p w:rsidR="00BB59CD" w:rsidRDefault="00BB59CD" w:rsidP="00337201">
      <w:pPr>
        <w:rPr>
          <w:rtl/>
          <w:lang w:eastAsia="he-IL"/>
        </w:rPr>
      </w:pPr>
    </w:p>
    <w:p w:rsidR="00BB59CD" w:rsidRDefault="00BB59CD" w:rsidP="00BB59CD">
      <w:pPr>
        <w:rPr>
          <w:rtl/>
          <w:lang w:eastAsia="he-IL"/>
        </w:rPr>
      </w:pPr>
      <w:r>
        <w:rPr>
          <w:rFonts w:hint="cs"/>
          <w:rtl/>
          <w:lang w:eastAsia="he-IL"/>
        </w:rPr>
        <w:t>דחִילכ</w:t>
      </w:r>
      <w:bookmarkStart w:id="72947" w:name="_ETM_Q128_397710"/>
      <w:bookmarkEnd w:id="72947"/>
      <w:r>
        <w:rPr>
          <w:rFonts w:hint="cs"/>
          <w:rtl/>
          <w:lang w:eastAsia="he-IL"/>
        </w:rPr>
        <w:t>, זה ארבע וחצי דקות, זה - - -</w:t>
      </w:r>
    </w:p>
    <w:p w:rsidR="00BB59CD" w:rsidRDefault="00BB59CD" w:rsidP="00BB59CD">
      <w:pPr>
        <w:rPr>
          <w:rtl/>
          <w:lang w:eastAsia="he-IL"/>
        </w:rPr>
      </w:pPr>
    </w:p>
    <w:p w:rsidR="00BB59CD" w:rsidRDefault="00BB59CD" w:rsidP="00BB59CD">
      <w:pPr>
        <w:pStyle w:val="-"/>
        <w:keepNext/>
        <w:rPr>
          <w:rtl/>
        </w:rPr>
      </w:pPr>
      <w:bookmarkStart w:id="72948" w:name="ET_speakercontinue_6350_12"/>
      <w:r>
        <w:rPr>
          <w:rStyle w:val="TagStyle"/>
          <w:rFonts w:hint="cs"/>
          <w:rtl/>
        </w:rPr>
        <w:t xml:space="preserve"> &lt;&lt; דובר_המשך &gt;&gt; </w:t>
      </w:r>
      <w:r>
        <w:rPr>
          <w:rFonts w:hint="cs"/>
          <w:rtl/>
        </w:rPr>
        <w:t>יאסר חוג'יראת (רע"מ – הרשימה הערבית המאוחדת):</w:t>
      </w:r>
      <w:r>
        <w:rPr>
          <w:rStyle w:val="TagStyle"/>
          <w:rtl/>
        </w:rPr>
        <w:t xml:space="preserve"> &lt;&lt; דובר_המשך &gt;&gt;</w:t>
      </w:r>
      <w:r>
        <w:rPr>
          <w:rFonts w:hint="cs"/>
          <w:rtl/>
        </w:rPr>
        <w:t xml:space="preserve">   </w:t>
      </w:r>
      <w:bookmarkEnd w:id="72948"/>
    </w:p>
    <w:p w:rsidR="00BB59CD" w:rsidRDefault="00BB59CD" w:rsidP="00337201">
      <w:pPr>
        <w:rPr>
          <w:rtl/>
          <w:lang w:eastAsia="he-IL"/>
        </w:rPr>
      </w:pPr>
    </w:p>
    <w:p w:rsidR="00BB59CD" w:rsidRDefault="00BB59CD" w:rsidP="00CF7BDD">
      <w:pPr>
        <w:rPr>
          <w:rtl/>
          <w:lang w:eastAsia="he-IL"/>
        </w:rPr>
      </w:pPr>
      <w:r>
        <w:rPr>
          <w:rFonts w:hint="cs"/>
          <w:rtl/>
          <w:lang w:eastAsia="he-IL"/>
        </w:rPr>
        <w:t xml:space="preserve">עדיין לא, אני מושך. </w:t>
      </w:r>
      <w:bookmarkStart w:id="72949" w:name="_ETM_Q128_397370"/>
      <w:bookmarkStart w:id="72950" w:name="_ETM_Q128_399380"/>
      <w:bookmarkStart w:id="72951" w:name="_ETM_Q128_424159"/>
      <w:bookmarkStart w:id="72952" w:name="_ETM_Q128_424216"/>
      <w:bookmarkStart w:id="72953" w:name="_ETM_Q128_424366"/>
      <w:bookmarkStart w:id="72954" w:name="_ETM_Q128_424416"/>
      <w:bookmarkEnd w:id="72949"/>
      <w:bookmarkEnd w:id="72950"/>
      <w:bookmarkEnd w:id="72951"/>
      <w:bookmarkEnd w:id="72952"/>
      <w:bookmarkEnd w:id="72953"/>
      <w:bookmarkEnd w:id="72954"/>
      <w:r>
        <w:rPr>
          <w:rFonts w:hint="cs"/>
          <w:rtl/>
          <w:lang w:eastAsia="he-IL"/>
        </w:rPr>
        <w:t>לכן אני אומר</w:t>
      </w:r>
      <w:r w:rsidR="00CF7BDD">
        <w:rPr>
          <w:rFonts w:hint="cs"/>
          <w:rtl/>
          <w:lang w:eastAsia="he-IL"/>
        </w:rPr>
        <w:t>:</w:t>
      </w:r>
      <w:r>
        <w:rPr>
          <w:rFonts w:hint="cs"/>
          <w:rtl/>
          <w:lang w:eastAsia="he-IL"/>
        </w:rPr>
        <w:t xml:space="preserve"> (אומר דברים בשפה הערבית, להלן תרגומם: </w:t>
      </w:r>
      <w:r>
        <w:rPr>
          <w:rFonts w:hint="cs"/>
          <w:rtl/>
        </w:rPr>
        <w:t xml:space="preserve">אנחנו עם שלא מתייאש. נכון שעייפנו ומאסנו </w:t>
      </w:r>
      <w:r w:rsidR="00CF7BDD">
        <w:rPr>
          <w:rFonts w:hint="cs"/>
          <w:rtl/>
        </w:rPr>
        <w:t>ב</w:t>
      </w:r>
      <w:r>
        <w:rPr>
          <w:rFonts w:hint="cs"/>
          <w:rtl/>
        </w:rPr>
        <w:t>מצב החברה שלנו, אולם אני אומר זאת מכאן, ואני אומר זאת לכל אחד: אנחנו נמשיך להיות אופטימיים עד שהמצב הזה יהפוך להיות הכי טוב. אנחנו רוצים לחיות, ורוצים את החיים, ורוצים לחיות בכבוד, ואנחנו רוצים להילחם ולהתמודד עם כל הקשיים למען עתיד טוב יותר עבורנו ועבור הילדים שלנו</w:t>
      </w:r>
      <w:r w:rsidR="00CF7BDD">
        <w:rPr>
          <w:rFonts w:hint="cs"/>
          <w:rtl/>
        </w:rPr>
        <w:t>.</w:t>
      </w:r>
      <w:r>
        <w:rPr>
          <w:rFonts w:hint="cs"/>
          <w:rtl/>
          <w:lang w:eastAsia="he-IL"/>
        </w:rPr>
        <w:t>)</w:t>
      </w:r>
    </w:p>
    <w:p w:rsidR="00BB59CD" w:rsidRDefault="00BB59CD" w:rsidP="00BB59CD">
      <w:pPr>
        <w:rPr>
          <w:rtl/>
          <w:lang w:eastAsia="he-IL"/>
        </w:rPr>
      </w:pPr>
    </w:p>
    <w:p w:rsidR="00BB59CD" w:rsidRDefault="00BB59CD" w:rsidP="00BF03B2">
      <w:pPr>
        <w:rPr>
          <w:rtl/>
        </w:rPr>
      </w:pPr>
      <w:r>
        <w:rPr>
          <w:rFonts w:hint="cs"/>
          <w:rtl/>
        </w:rPr>
        <w:t xml:space="preserve">ולפני </w:t>
      </w:r>
      <w:bookmarkStart w:id="72955" w:name="_ETM_Q128_444639"/>
      <w:bookmarkEnd w:id="72955"/>
      <w:r>
        <w:rPr>
          <w:rFonts w:hint="cs"/>
          <w:rtl/>
        </w:rPr>
        <w:t xml:space="preserve">שאני </w:t>
      </w:r>
      <w:bookmarkStart w:id="72956" w:name="_ETM_Q128_444850"/>
      <w:bookmarkEnd w:id="72956"/>
      <w:r>
        <w:rPr>
          <w:rFonts w:hint="cs"/>
          <w:rtl/>
        </w:rPr>
        <w:t xml:space="preserve">מסיים </w:t>
      </w:r>
      <w:bookmarkStart w:id="72957" w:name="_ETM_Q128_445979"/>
      <w:bookmarkEnd w:id="72957"/>
      <w:r>
        <w:rPr>
          <w:rFonts w:hint="cs"/>
          <w:rtl/>
        </w:rPr>
        <w:t xml:space="preserve">אני </w:t>
      </w:r>
      <w:bookmarkStart w:id="72958" w:name="_ETM_Q128_446189"/>
      <w:bookmarkEnd w:id="72958"/>
      <w:r>
        <w:rPr>
          <w:rFonts w:hint="cs"/>
          <w:rtl/>
        </w:rPr>
        <w:t xml:space="preserve">חייב </w:t>
      </w:r>
      <w:bookmarkStart w:id="72959" w:name="_ETM_Q128_447089"/>
      <w:bookmarkStart w:id="72960" w:name="_ETM_Q128_447479"/>
      <w:bookmarkEnd w:id="72959"/>
      <w:bookmarkEnd w:id="72960"/>
      <w:r>
        <w:rPr>
          <w:rFonts w:hint="cs"/>
          <w:rtl/>
        </w:rPr>
        <w:t xml:space="preserve">להגיד </w:t>
      </w:r>
      <w:bookmarkStart w:id="72961" w:name="_ETM_Q128_447839"/>
      <w:bookmarkEnd w:id="72961"/>
      <w:r>
        <w:rPr>
          <w:rFonts w:hint="cs"/>
          <w:rtl/>
        </w:rPr>
        <w:t xml:space="preserve">משהו גם על הנגב. </w:t>
      </w:r>
      <w:bookmarkStart w:id="72962" w:name="_ETM_Q128_447050"/>
      <w:bookmarkEnd w:id="72962"/>
      <w:r>
        <w:rPr>
          <w:rFonts w:hint="cs"/>
          <w:rtl/>
        </w:rPr>
        <w:t xml:space="preserve">כל תושבי הנגב </w:t>
      </w:r>
      <w:bookmarkStart w:id="72963" w:name="_ETM_Q128_453330"/>
      <w:bookmarkEnd w:id="72963"/>
      <w:r>
        <w:rPr>
          <w:rFonts w:hint="cs"/>
          <w:rtl/>
        </w:rPr>
        <w:t xml:space="preserve">הם אנשים שאני אוהב אותם מאוד, אני מעריך אותם </w:t>
      </w:r>
      <w:bookmarkStart w:id="72964" w:name="_ETM_Q128_448110"/>
      <w:bookmarkStart w:id="72965" w:name="_ETM_Q128_462470"/>
      <w:bookmarkEnd w:id="72964"/>
      <w:bookmarkEnd w:id="72965"/>
      <w:r>
        <w:rPr>
          <w:rFonts w:hint="cs"/>
          <w:rtl/>
        </w:rPr>
        <w:t xml:space="preserve">ומגיע </w:t>
      </w:r>
      <w:bookmarkStart w:id="72966" w:name="_ETM_Q128_462920"/>
      <w:bookmarkEnd w:id="72966"/>
      <w:r>
        <w:rPr>
          <w:rFonts w:hint="cs"/>
          <w:rtl/>
        </w:rPr>
        <w:t xml:space="preserve">להם </w:t>
      </w:r>
      <w:bookmarkStart w:id="72967" w:name="_ETM_Q128_463130"/>
      <w:bookmarkStart w:id="72968" w:name="_ETM_Q128_463370"/>
      <w:bookmarkStart w:id="72969" w:name="_ETM_Q128_459739"/>
      <w:bookmarkEnd w:id="72967"/>
      <w:bookmarkEnd w:id="72968"/>
      <w:bookmarkEnd w:id="72969"/>
      <w:r>
        <w:rPr>
          <w:rFonts w:hint="cs"/>
          <w:rtl/>
        </w:rPr>
        <w:t xml:space="preserve">גם לחיות. </w:t>
      </w:r>
      <w:bookmarkStart w:id="72970" w:name="_ETM_Q128_466430"/>
      <w:bookmarkEnd w:id="72970"/>
      <w:r>
        <w:rPr>
          <w:rFonts w:hint="cs"/>
          <w:rtl/>
        </w:rPr>
        <w:t xml:space="preserve">אני </w:t>
      </w:r>
      <w:bookmarkStart w:id="72971" w:name="_ETM_Q128_466669"/>
      <w:bookmarkEnd w:id="72971"/>
      <w:r>
        <w:rPr>
          <w:rFonts w:hint="cs"/>
          <w:rtl/>
        </w:rPr>
        <w:t xml:space="preserve">רק </w:t>
      </w:r>
      <w:bookmarkStart w:id="72972" w:name="_ETM_Q128_466819"/>
      <w:bookmarkEnd w:id="72972"/>
      <w:r>
        <w:rPr>
          <w:rFonts w:hint="cs"/>
          <w:rtl/>
        </w:rPr>
        <w:t xml:space="preserve">אתן </w:t>
      </w:r>
      <w:bookmarkStart w:id="72973" w:name="_ETM_Q128_466969"/>
      <w:bookmarkEnd w:id="72973"/>
      <w:r>
        <w:rPr>
          <w:rFonts w:hint="cs"/>
          <w:rtl/>
        </w:rPr>
        <w:t xml:space="preserve">נתונים </w:t>
      </w:r>
      <w:bookmarkStart w:id="72974" w:name="_ETM_Q128_469670"/>
      <w:bookmarkEnd w:id="72974"/>
      <w:r>
        <w:rPr>
          <w:rFonts w:hint="cs"/>
          <w:rtl/>
        </w:rPr>
        <w:t xml:space="preserve">שהתפרסמו </w:t>
      </w:r>
      <w:bookmarkStart w:id="72975" w:name="_ETM_Q128_472270"/>
      <w:bookmarkEnd w:id="72975"/>
      <w:r>
        <w:rPr>
          <w:rFonts w:hint="cs"/>
          <w:rtl/>
        </w:rPr>
        <w:t xml:space="preserve">על ידי </w:t>
      </w:r>
      <w:bookmarkStart w:id="72976" w:name="_ETM_Q128_472659"/>
      <w:bookmarkEnd w:id="72976"/>
      <w:r>
        <w:rPr>
          <w:rFonts w:hint="cs"/>
          <w:rtl/>
        </w:rPr>
        <w:t>הממ"מ, אני אומר כאן גם את זה</w:t>
      </w:r>
      <w:bookmarkStart w:id="72977" w:name="_ETM_Q128_473860"/>
      <w:bookmarkStart w:id="72978" w:name="_ETM_Q128_474129"/>
      <w:bookmarkStart w:id="72979" w:name="_ETM_Q128_474309"/>
      <w:bookmarkStart w:id="72980" w:name="_ETM_Q128_474430"/>
      <w:bookmarkStart w:id="72981" w:name="_ETM_Q128_474669"/>
      <w:bookmarkStart w:id="72982" w:name="_ETM_Q128_475670"/>
      <w:bookmarkStart w:id="72983" w:name="_ETM_Q128_474329"/>
      <w:bookmarkStart w:id="72984" w:name="_ETM_Q128_484997"/>
      <w:bookmarkEnd w:id="72977"/>
      <w:bookmarkEnd w:id="72978"/>
      <w:bookmarkEnd w:id="72979"/>
      <w:bookmarkEnd w:id="72980"/>
      <w:bookmarkEnd w:id="72981"/>
      <w:bookmarkEnd w:id="72982"/>
      <w:bookmarkEnd w:id="72983"/>
      <w:bookmarkEnd w:id="72984"/>
      <w:r>
        <w:rPr>
          <w:rFonts w:hint="cs"/>
          <w:rtl/>
        </w:rPr>
        <w:t>,</w:t>
      </w:r>
      <w:bookmarkStart w:id="72985" w:name="_ETM_Q128_479397"/>
      <w:bookmarkEnd w:id="72985"/>
      <w:r>
        <w:rPr>
          <w:rFonts w:hint="cs"/>
          <w:rtl/>
        </w:rPr>
        <w:t xml:space="preserve"> </w:t>
      </w:r>
      <w:bookmarkStart w:id="72986" w:name="_ETM_Q128_504866"/>
      <w:bookmarkStart w:id="72987" w:name="_ETM_Q128_500996"/>
      <w:bookmarkStart w:id="72988" w:name="_ETM_Q128_497016"/>
      <w:bookmarkStart w:id="72989" w:name="_ETM_Q128_492866"/>
      <w:bookmarkStart w:id="72990" w:name="_ETM_Q128_488375"/>
      <w:bookmarkStart w:id="72991" w:name="_ETM_Q128_484445"/>
      <w:bookmarkStart w:id="72992" w:name="_ETM_Q128_480114"/>
      <w:bookmarkEnd w:id="72986"/>
      <w:bookmarkEnd w:id="72987"/>
      <w:bookmarkEnd w:id="72988"/>
      <w:bookmarkEnd w:id="72989"/>
      <w:bookmarkEnd w:id="72990"/>
      <w:bookmarkEnd w:id="72991"/>
      <w:bookmarkEnd w:id="72992"/>
      <w:r>
        <w:rPr>
          <w:rFonts w:hint="cs"/>
          <w:rtl/>
        </w:rPr>
        <w:t>לז</w:t>
      </w:r>
      <w:bookmarkStart w:id="72993" w:name="_ETM_Q128_475349"/>
      <w:bookmarkEnd w:id="72993"/>
      <w:r>
        <w:rPr>
          <w:rFonts w:hint="cs"/>
          <w:rtl/>
        </w:rPr>
        <w:t xml:space="preserve">כותו </w:t>
      </w:r>
      <w:bookmarkStart w:id="72994" w:name="_ETM_Q128_476270"/>
      <w:bookmarkEnd w:id="72994"/>
      <w:r>
        <w:rPr>
          <w:rFonts w:hint="cs"/>
          <w:rtl/>
        </w:rPr>
        <w:t xml:space="preserve">של </w:t>
      </w:r>
      <w:bookmarkStart w:id="72995" w:name="_ETM_Q128_477430"/>
      <w:bookmarkEnd w:id="72995"/>
      <w:r>
        <w:rPr>
          <w:rFonts w:hint="cs"/>
          <w:rtl/>
        </w:rPr>
        <w:t xml:space="preserve">חבר </w:t>
      </w:r>
      <w:bookmarkStart w:id="72996" w:name="_ETM_Q128_477759"/>
      <w:bookmarkEnd w:id="72996"/>
      <w:r>
        <w:rPr>
          <w:rFonts w:hint="cs"/>
          <w:rtl/>
        </w:rPr>
        <w:t xml:space="preserve">הכנסת </w:t>
      </w:r>
      <w:bookmarkStart w:id="72997" w:name="_ETM_Q128_478630"/>
      <w:bookmarkStart w:id="72998" w:name="_ETM_Q128_475680"/>
      <w:bookmarkEnd w:id="72997"/>
      <w:bookmarkEnd w:id="72998"/>
      <w:r>
        <w:rPr>
          <w:rFonts w:hint="cs"/>
          <w:rtl/>
        </w:rPr>
        <w:t xml:space="preserve">אבו </w:t>
      </w:r>
      <w:bookmarkStart w:id="72999" w:name="_ETM_Q128_478870"/>
      <w:bookmarkEnd w:id="72999"/>
      <w:r>
        <w:rPr>
          <w:rFonts w:hint="cs"/>
          <w:rtl/>
        </w:rPr>
        <w:t xml:space="preserve">בשאר, </w:t>
      </w:r>
      <w:bookmarkStart w:id="73000" w:name="_ETM_Q128_479410"/>
      <w:bookmarkEnd w:id="73000"/>
      <w:r>
        <w:rPr>
          <w:rFonts w:hint="cs"/>
          <w:rtl/>
        </w:rPr>
        <w:t>יוסף אל-עטאונה, על</w:t>
      </w:r>
      <w:bookmarkStart w:id="73001" w:name="_ETM_Q128_479770"/>
      <w:bookmarkStart w:id="73002" w:name="_ETM_Q128_480070"/>
      <w:bookmarkEnd w:id="73001"/>
      <w:bookmarkEnd w:id="73002"/>
      <w:r>
        <w:rPr>
          <w:rFonts w:hint="cs"/>
          <w:rtl/>
        </w:rPr>
        <w:t xml:space="preserve"> </w:t>
      </w:r>
      <w:bookmarkStart w:id="73003" w:name="_ETM_Q128_480339"/>
      <w:bookmarkEnd w:id="73003"/>
      <w:r>
        <w:rPr>
          <w:rFonts w:hint="cs"/>
          <w:rtl/>
        </w:rPr>
        <w:t xml:space="preserve">יום </w:t>
      </w:r>
      <w:bookmarkStart w:id="73004" w:name="_ETM_Q128_480550"/>
      <w:bookmarkEnd w:id="73004"/>
      <w:r>
        <w:rPr>
          <w:rFonts w:hint="cs"/>
          <w:rtl/>
        </w:rPr>
        <w:t xml:space="preserve">הנגב </w:t>
      </w:r>
      <w:bookmarkStart w:id="73005" w:name="_ETM_Q128_480880"/>
      <w:bookmarkEnd w:id="73005"/>
      <w:r>
        <w:rPr>
          <w:rFonts w:hint="cs"/>
          <w:rtl/>
        </w:rPr>
        <w:t>שהוא עשה.</w:t>
      </w:r>
      <w:bookmarkStart w:id="73006" w:name="_ETM_Q128_476879"/>
      <w:bookmarkStart w:id="73007" w:name="_ETM_Q128_474139"/>
      <w:bookmarkEnd w:id="73006"/>
      <w:bookmarkEnd w:id="73007"/>
      <w:r>
        <w:rPr>
          <w:rFonts w:hint="cs"/>
          <w:rtl/>
        </w:rPr>
        <w:t xml:space="preserve"> </w:t>
      </w:r>
      <w:bookmarkStart w:id="73008" w:name="_ETM_Q128_480000"/>
      <w:bookmarkStart w:id="73009" w:name="_ETM_Q128_480210"/>
      <w:bookmarkStart w:id="73010" w:name="_ETM_Q128_480329"/>
      <w:bookmarkStart w:id="73011" w:name="_ETM_Q128_480659"/>
      <w:bookmarkStart w:id="73012" w:name="_ETM_Q128_481110"/>
      <w:bookmarkStart w:id="73013" w:name="_ETM_Q128_481469"/>
      <w:bookmarkStart w:id="73014" w:name="_ETM_Q128_483350"/>
      <w:bookmarkEnd w:id="73008"/>
      <w:bookmarkEnd w:id="73009"/>
      <w:bookmarkEnd w:id="73010"/>
      <w:bookmarkEnd w:id="73011"/>
      <w:bookmarkEnd w:id="73012"/>
      <w:bookmarkEnd w:id="73013"/>
      <w:bookmarkEnd w:id="73014"/>
      <w:r>
        <w:rPr>
          <w:rFonts w:hint="cs"/>
          <w:rtl/>
        </w:rPr>
        <w:t xml:space="preserve">בנגב גרים </w:t>
      </w:r>
      <w:bookmarkStart w:id="73015" w:name="_ETM_Q128_483709"/>
      <w:bookmarkStart w:id="73016" w:name="_ETM_Q128_484850"/>
      <w:bookmarkStart w:id="73017" w:name="_ETM_Q128_488492"/>
      <w:bookmarkEnd w:id="73015"/>
      <w:bookmarkEnd w:id="73016"/>
      <w:bookmarkEnd w:id="73017"/>
      <w:r>
        <w:rPr>
          <w:rFonts w:hint="cs"/>
          <w:rtl/>
        </w:rPr>
        <w:t>מש</w:t>
      </w:r>
      <w:bookmarkStart w:id="73018" w:name="_ETM_Q128_482139"/>
      <w:bookmarkEnd w:id="73018"/>
      <w:r>
        <w:rPr>
          <w:rFonts w:hint="cs"/>
          <w:rtl/>
        </w:rPr>
        <w:t xml:space="preserve">הו </w:t>
      </w:r>
      <w:bookmarkStart w:id="73019" w:name="_ETM_Q128_485210"/>
      <w:bookmarkEnd w:id="73019"/>
      <w:r>
        <w:rPr>
          <w:rFonts w:hint="cs"/>
          <w:rtl/>
        </w:rPr>
        <w:t xml:space="preserve">כמו </w:t>
      </w:r>
      <w:bookmarkStart w:id="73020" w:name="_ETM_Q128_485450"/>
      <w:bookmarkEnd w:id="73020"/>
      <w:r>
        <w:rPr>
          <w:rFonts w:hint="cs"/>
          <w:rtl/>
        </w:rPr>
        <w:t xml:space="preserve">300,000 </w:t>
      </w:r>
      <w:bookmarkStart w:id="73021" w:name="_ETM_Q128_486809"/>
      <w:bookmarkEnd w:id="73021"/>
      <w:r>
        <w:rPr>
          <w:rFonts w:hint="cs"/>
          <w:rtl/>
        </w:rPr>
        <w:t xml:space="preserve">תושבים; </w:t>
      </w:r>
      <w:bookmarkStart w:id="73022" w:name="_ETM_Q128_489160"/>
      <w:bookmarkEnd w:id="73022"/>
      <w:r>
        <w:rPr>
          <w:rFonts w:hint="cs"/>
          <w:rtl/>
        </w:rPr>
        <w:t xml:space="preserve">70% </w:t>
      </w:r>
      <w:bookmarkStart w:id="73023" w:name="_ETM_Q128_489940"/>
      <w:bookmarkEnd w:id="73023"/>
      <w:r>
        <w:rPr>
          <w:rFonts w:hint="cs"/>
          <w:rtl/>
        </w:rPr>
        <w:t xml:space="preserve">מהם </w:t>
      </w:r>
      <w:bookmarkStart w:id="73024" w:name="_ETM_Q128_490150"/>
      <w:bookmarkEnd w:id="73024"/>
      <w:r>
        <w:rPr>
          <w:rFonts w:hint="cs"/>
          <w:rtl/>
        </w:rPr>
        <w:t>מ</w:t>
      </w:r>
      <w:bookmarkStart w:id="73025" w:name="_ETM_Q128_490540"/>
      <w:bookmarkEnd w:id="73025"/>
      <w:r>
        <w:rPr>
          <w:rFonts w:hint="cs"/>
          <w:rtl/>
        </w:rPr>
        <w:t>תגוררים</w:t>
      </w:r>
      <w:bookmarkStart w:id="73026" w:name="_ETM_Q128_488389"/>
      <w:bookmarkEnd w:id="73026"/>
      <w:r>
        <w:rPr>
          <w:rFonts w:hint="cs"/>
          <w:rtl/>
        </w:rPr>
        <w:t xml:space="preserve"> </w:t>
      </w:r>
      <w:bookmarkStart w:id="73027" w:name="_ETM_Q128_491940"/>
      <w:bookmarkEnd w:id="73027"/>
      <w:r>
        <w:rPr>
          <w:rFonts w:hint="cs"/>
          <w:rtl/>
        </w:rPr>
        <w:t xml:space="preserve">ביישובי </w:t>
      </w:r>
      <w:bookmarkStart w:id="73028" w:name="_ETM_Q128_492660"/>
      <w:bookmarkEnd w:id="73028"/>
      <w:r>
        <w:rPr>
          <w:rFonts w:hint="cs"/>
          <w:rtl/>
        </w:rPr>
        <w:t xml:space="preserve">קבע, </w:t>
      </w:r>
      <w:bookmarkStart w:id="73029" w:name="_ETM_Q128_493599"/>
      <w:bookmarkEnd w:id="73029"/>
      <w:r>
        <w:rPr>
          <w:rFonts w:hint="cs"/>
          <w:rtl/>
        </w:rPr>
        <w:t xml:space="preserve">29% </w:t>
      </w:r>
      <w:bookmarkStart w:id="73030" w:name="_ETM_Q128_494889"/>
      <w:bookmarkEnd w:id="73030"/>
      <w:r>
        <w:rPr>
          <w:rFonts w:hint="cs"/>
          <w:rtl/>
        </w:rPr>
        <w:t xml:space="preserve">מתגוררים </w:t>
      </w:r>
      <w:bookmarkStart w:id="73031" w:name="_ETM_Q128_496170"/>
      <w:bookmarkEnd w:id="73031"/>
      <w:r>
        <w:rPr>
          <w:rFonts w:hint="cs"/>
          <w:rtl/>
        </w:rPr>
        <w:t xml:space="preserve">בפזורות, </w:t>
      </w:r>
      <w:bookmarkStart w:id="73032" w:name="_ETM_Q128_497070"/>
      <w:bookmarkEnd w:id="73032"/>
      <w:r>
        <w:rPr>
          <w:rFonts w:hint="cs"/>
          <w:rtl/>
        </w:rPr>
        <w:t xml:space="preserve">בערים </w:t>
      </w:r>
      <w:bookmarkStart w:id="73033" w:name="_ETM_Q128_497670"/>
      <w:bookmarkEnd w:id="73033"/>
      <w:r>
        <w:rPr>
          <w:rFonts w:hint="cs"/>
          <w:rtl/>
        </w:rPr>
        <w:t xml:space="preserve">או </w:t>
      </w:r>
      <w:bookmarkStart w:id="73034" w:name="_ETM_Q128_497789"/>
      <w:bookmarkEnd w:id="73034"/>
      <w:r>
        <w:rPr>
          <w:rFonts w:hint="cs"/>
          <w:rtl/>
        </w:rPr>
        <w:t xml:space="preserve">בכפרים </w:t>
      </w:r>
      <w:bookmarkStart w:id="73035" w:name="_ETM_Q128_498300"/>
      <w:bookmarkEnd w:id="73035"/>
      <w:r>
        <w:rPr>
          <w:rFonts w:hint="cs"/>
          <w:rtl/>
        </w:rPr>
        <w:t>לא מוכרים</w:t>
      </w:r>
      <w:bookmarkStart w:id="73036" w:name="_ETM_Q128_494269"/>
      <w:bookmarkEnd w:id="73036"/>
      <w:r>
        <w:rPr>
          <w:rFonts w:hint="cs"/>
          <w:rtl/>
        </w:rPr>
        <w:t xml:space="preserve">. </w:t>
      </w:r>
      <w:bookmarkStart w:id="73037" w:name="_ETM_Q128_501100"/>
      <w:bookmarkStart w:id="73038" w:name="_ETM_Q128_501520"/>
      <w:bookmarkEnd w:id="73037"/>
      <w:bookmarkEnd w:id="73038"/>
      <w:r>
        <w:rPr>
          <w:rFonts w:hint="cs"/>
          <w:rtl/>
        </w:rPr>
        <w:t xml:space="preserve">לפי </w:t>
      </w:r>
      <w:bookmarkStart w:id="73039" w:name="_ETM_Q128_501850"/>
      <w:bookmarkEnd w:id="73039"/>
      <w:r>
        <w:rPr>
          <w:rFonts w:hint="cs"/>
          <w:rtl/>
        </w:rPr>
        <w:t xml:space="preserve">הלמ"ס </w:t>
      </w:r>
      <w:bookmarkStart w:id="73040" w:name="_ETM_Q128_502600"/>
      <w:bookmarkEnd w:id="73040"/>
      <w:r>
        <w:rPr>
          <w:rFonts w:hint="cs"/>
          <w:rtl/>
        </w:rPr>
        <w:t xml:space="preserve">כ-54% </w:t>
      </w:r>
      <w:bookmarkStart w:id="73041" w:name="_ETM_Q128_505180"/>
      <w:bookmarkEnd w:id="73041"/>
      <w:r>
        <w:rPr>
          <w:rFonts w:hint="cs"/>
          <w:rtl/>
        </w:rPr>
        <w:t>מ</w:t>
      </w:r>
      <w:bookmarkStart w:id="73042" w:name="_ETM_Q128_505990"/>
      <w:bookmarkStart w:id="73043" w:name="_ETM_Q128_506260"/>
      <w:bookmarkEnd w:id="73042"/>
      <w:bookmarkEnd w:id="73043"/>
      <w:r>
        <w:rPr>
          <w:rFonts w:hint="cs"/>
          <w:rtl/>
        </w:rPr>
        <w:t xml:space="preserve">תושבי הנגב </w:t>
      </w:r>
      <w:bookmarkStart w:id="73044" w:name="_ETM_Q128_506890"/>
      <w:bookmarkEnd w:id="73044"/>
      <w:r>
        <w:rPr>
          <w:rFonts w:hint="cs"/>
          <w:rtl/>
        </w:rPr>
        <w:t xml:space="preserve">הם צעירים </w:t>
      </w:r>
      <w:bookmarkStart w:id="73045" w:name="_ETM_Q128_507910"/>
      <w:bookmarkEnd w:id="73045"/>
      <w:r>
        <w:rPr>
          <w:rFonts w:hint="cs"/>
          <w:rtl/>
        </w:rPr>
        <w:t xml:space="preserve">מתחת </w:t>
      </w:r>
      <w:bookmarkStart w:id="73046" w:name="_ETM_Q128_508360"/>
      <w:bookmarkEnd w:id="73046"/>
      <w:r>
        <w:rPr>
          <w:rFonts w:hint="cs"/>
          <w:rtl/>
        </w:rPr>
        <w:t xml:space="preserve">לגיל </w:t>
      </w:r>
      <w:bookmarkStart w:id="73047" w:name="_ETM_Q128_508600"/>
      <w:bookmarkEnd w:id="73047"/>
      <w:r>
        <w:rPr>
          <w:rFonts w:hint="cs"/>
          <w:rtl/>
        </w:rPr>
        <w:t>18</w:t>
      </w:r>
      <w:bookmarkStart w:id="73048" w:name="_ETM_Q128_509619"/>
      <w:bookmarkEnd w:id="73048"/>
      <w:r>
        <w:rPr>
          <w:rFonts w:hint="cs"/>
          <w:rtl/>
        </w:rPr>
        <w:t xml:space="preserve">, אז החברה </w:t>
      </w:r>
      <w:bookmarkStart w:id="73049" w:name="_ETM_Q128_509830"/>
      <w:bookmarkStart w:id="73050" w:name="_ETM_Q128_510859"/>
      <w:bookmarkStart w:id="73051" w:name="_ETM_Q128_505140"/>
      <w:bookmarkEnd w:id="73049"/>
      <w:bookmarkEnd w:id="73050"/>
      <w:bookmarkEnd w:id="73051"/>
      <w:r>
        <w:rPr>
          <w:rFonts w:hint="cs"/>
          <w:rtl/>
        </w:rPr>
        <w:t xml:space="preserve">צעירה. </w:t>
      </w:r>
      <w:bookmarkStart w:id="73052" w:name="_ETM_Q128_514029"/>
      <w:bookmarkStart w:id="73053" w:name="_ETM_Q128_526235"/>
      <w:bookmarkStart w:id="73054" w:name="_ETM_Q128_526365"/>
      <w:bookmarkStart w:id="73055" w:name="_ETM_Q128_526474"/>
      <w:bookmarkStart w:id="73056" w:name="_ETM_Q128_526565"/>
      <w:bookmarkEnd w:id="73052"/>
      <w:bookmarkEnd w:id="73053"/>
      <w:bookmarkEnd w:id="73054"/>
      <w:bookmarkEnd w:id="73055"/>
      <w:bookmarkEnd w:id="73056"/>
      <w:r>
        <w:rPr>
          <w:rFonts w:hint="cs"/>
          <w:rtl/>
        </w:rPr>
        <w:t xml:space="preserve">יש </w:t>
      </w:r>
      <w:bookmarkStart w:id="73057" w:name="_ETM_Q128_514270"/>
      <w:bookmarkEnd w:id="73057"/>
      <w:r>
        <w:rPr>
          <w:rFonts w:hint="cs"/>
          <w:rtl/>
        </w:rPr>
        <w:t xml:space="preserve">הרבה </w:t>
      </w:r>
      <w:bookmarkStart w:id="73058" w:name="_ETM_Q128_514539"/>
      <w:bookmarkEnd w:id="73058"/>
      <w:r>
        <w:rPr>
          <w:rFonts w:hint="cs"/>
          <w:rtl/>
        </w:rPr>
        <w:t xml:space="preserve">מה </w:t>
      </w:r>
      <w:bookmarkStart w:id="73059" w:name="_ETM_Q128_514690"/>
      <w:bookmarkEnd w:id="73059"/>
      <w:r>
        <w:rPr>
          <w:rFonts w:hint="cs"/>
          <w:rtl/>
        </w:rPr>
        <w:t xml:space="preserve">לעשות </w:t>
      </w:r>
      <w:bookmarkStart w:id="73060" w:name="_ETM_Q128_515140"/>
      <w:bookmarkEnd w:id="73060"/>
      <w:r>
        <w:rPr>
          <w:rFonts w:hint="cs"/>
          <w:rtl/>
        </w:rPr>
        <w:t xml:space="preserve">בנגב. </w:t>
      </w:r>
      <w:bookmarkStart w:id="73061" w:name="_ETM_Q128_516409"/>
      <w:bookmarkEnd w:id="73061"/>
      <w:r>
        <w:rPr>
          <w:rFonts w:hint="cs"/>
          <w:rtl/>
        </w:rPr>
        <w:t xml:space="preserve">אחוז </w:t>
      </w:r>
      <w:bookmarkStart w:id="73062" w:name="_ETM_Q128_516949"/>
      <w:bookmarkEnd w:id="73062"/>
      <w:r>
        <w:rPr>
          <w:rFonts w:hint="cs"/>
          <w:rtl/>
        </w:rPr>
        <w:t xml:space="preserve">הזכאות </w:t>
      </w:r>
      <w:bookmarkStart w:id="73063" w:name="_ETM_Q128_517729"/>
      <w:bookmarkEnd w:id="73063"/>
      <w:r>
        <w:rPr>
          <w:rFonts w:hint="cs"/>
          <w:rtl/>
        </w:rPr>
        <w:t xml:space="preserve">לבגרות </w:t>
      </w:r>
      <w:bookmarkStart w:id="73064" w:name="_ETM_Q128_518300"/>
      <w:bookmarkEnd w:id="73064"/>
      <w:r>
        <w:rPr>
          <w:rFonts w:hint="cs"/>
          <w:rtl/>
        </w:rPr>
        <w:t xml:space="preserve">זה </w:t>
      </w:r>
      <w:bookmarkStart w:id="73065" w:name="_ETM_Q128_518420"/>
      <w:bookmarkStart w:id="73066" w:name="_ETM_Q128_518749"/>
      <w:bookmarkEnd w:id="73065"/>
      <w:bookmarkEnd w:id="73066"/>
      <w:r>
        <w:rPr>
          <w:rFonts w:hint="cs"/>
          <w:rtl/>
        </w:rPr>
        <w:t>ב</w:t>
      </w:r>
      <w:bookmarkStart w:id="73067" w:name="_ETM_Q128_514340"/>
      <w:bookmarkEnd w:id="73067"/>
      <w:r>
        <w:rPr>
          <w:rFonts w:hint="cs"/>
          <w:rtl/>
        </w:rPr>
        <w:t xml:space="preserve">ערך </w:t>
      </w:r>
      <w:bookmarkStart w:id="73068" w:name="_ETM_Q128_518989"/>
      <w:bookmarkEnd w:id="73068"/>
      <w:r>
        <w:rPr>
          <w:rFonts w:hint="cs"/>
          <w:rtl/>
        </w:rPr>
        <w:t>60%</w:t>
      </w:r>
      <w:bookmarkStart w:id="73069" w:name="_ETM_Q128_520100"/>
      <w:bookmarkEnd w:id="73069"/>
      <w:r>
        <w:rPr>
          <w:rFonts w:hint="cs"/>
          <w:rtl/>
        </w:rPr>
        <w:t xml:space="preserve">, אבל </w:t>
      </w:r>
      <w:bookmarkStart w:id="73070" w:name="_ETM_Q128_520370"/>
      <w:bookmarkEnd w:id="73070"/>
      <w:r>
        <w:rPr>
          <w:rFonts w:hint="cs"/>
          <w:rtl/>
        </w:rPr>
        <w:t>אחוז ה</w:t>
      </w:r>
      <w:bookmarkStart w:id="73071" w:name="_ETM_Q128_521770"/>
      <w:bookmarkEnd w:id="73071"/>
      <w:r>
        <w:rPr>
          <w:rFonts w:hint="cs"/>
          <w:rtl/>
        </w:rPr>
        <w:t xml:space="preserve">זכאות </w:t>
      </w:r>
      <w:bookmarkStart w:id="73072" w:name="_ETM_Q128_523200"/>
      <w:bookmarkEnd w:id="73072"/>
      <w:r>
        <w:rPr>
          <w:rFonts w:hint="cs"/>
          <w:rtl/>
        </w:rPr>
        <w:t xml:space="preserve">לבגרות </w:t>
      </w:r>
      <w:bookmarkStart w:id="73073" w:name="_ETM_Q128_524160"/>
      <w:bookmarkEnd w:id="73073"/>
      <w:r>
        <w:rPr>
          <w:rFonts w:hint="cs"/>
          <w:rtl/>
        </w:rPr>
        <w:t>ש</w:t>
      </w:r>
      <w:bookmarkStart w:id="73074" w:name="_ETM_Q128_524460"/>
      <w:bookmarkStart w:id="73075" w:name="_ETM_Q128_522360"/>
      <w:bookmarkEnd w:id="73074"/>
      <w:bookmarkEnd w:id="73075"/>
      <w:r>
        <w:rPr>
          <w:rFonts w:hint="cs"/>
          <w:rtl/>
        </w:rPr>
        <w:t xml:space="preserve">עומדת </w:t>
      </w:r>
      <w:bookmarkStart w:id="73076" w:name="_ETM_Q128_524880"/>
      <w:bookmarkEnd w:id="73076"/>
      <w:r>
        <w:rPr>
          <w:rFonts w:hint="cs"/>
          <w:rtl/>
        </w:rPr>
        <w:t xml:space="preserve">בתנאי </w:t>
      </w:r>
      <w:bookmarkStart w:id="73077" w:name="_ETM_Q128_525210"/>
      <w:bookmarkEnd w:id="73077"/>
      <w:r>
        <w:rPr>
          <w:rFonts w:hint="cs"/>
          <w:rtl/>
        </w:rPr>
        <w:t xml:space="preserve">הסף </w:t>
      </w:r>
      <w:bookmarkStart w:id="73078" w:name="_ETM_Q128_525690"/>
      <w:bookmarkEnd w:id="73078"/>
      <w:r>
        <w:rPr>
          <w:rFonts w:hint="cs"/>
          <w:rtl/>
        </w:rPr>
        <w:t xml:space="preserve">לקבלה </w:t>
      </w:r>
      <w:bookmarkStart w:id="73079" w:name="_ETM_Q128_526260"/>
      <w:bookmarkEnd w:id="73079"/>
      <w:r>
        <w:rPr>
          <w:rFonts w:hint="cs"/>
          <w:rtl/>
        </w:rPr>
        <w:t xml:space="preserve">לאקדמיה </w:t>
      </w:r>
      <w:bookmarkStart w:id="73080" w:name="_ETM_Q128_526860"/>
      <w:bookmarkEnd w:id="73080"/>
      <w:r>
        <w:rPr>
          <w:rFonts w:hint="cs"/>
          <w:rtl/>
        </w:rPr>
        <w:t xml:space="preserve">זה </w:t>
      </w:r>
      <w:bookmarkStart w:id="73081" w:name="_ETM_Q128_527010"/>
      <w:bookmarkEnd w:id="73081"/>
      <w:r>
        <w:rPr>
          <w:rFonts w:hint="cs"/>
          <w:rtl/>
        </w:rPr>
        <w:t xml:space="preserve">משהו </w:t>
      </w:r>
      <w:bookmarkStart w:id="73082" w:name="_ETM_Q128_527250"/>
      <w:bookmarkEnd w:id="73082"/>
      <w:r>
        <w:rPr>
          <w:rFonts w:hint="cs"/>
          <w:rtl/>
        </w:rPr>
        <w:t xml:space="preserve">כמו </w:t>
      </w:r>
      <w:bookmarkStart w:id="73083" w:name="_ETM_Q128_527400"/>
      <w:bookmarkEnd w:id="73083"/>
      <w:r>
        <w:rPr>
          <w:rFonts w:hint="cs"/>
          <w:rtl/>
        </w:rPr>
        <w:t xml:space="preserve">27%. </w:t>
      </w:r>
      <w:bookmarkStart w:id="73084" w:name="_ETM_Q128_529170"/>
      <w:bookmarkEnd w:id="73084"/>
      <w:r>
        <w:rPr>
          <w:rFonts w:hint="cs"/>
          <w:rtl/>
        </w:rPr>
        <w:t xml:space="preserve">זאת </w:t>
      </w:r>
      <w:bookmarkStart w:id="73085" w:name="_ETM_Q128_529290"/>
      <w:bookmarkEnd w:id="73085"/>
      <w:r>
        <w:rPr>
          <w:rFonts w:hint="cs"/>
          <w:rtl/>
        </w:rPr>
        <w:t xml:space="preserve">אומרת, </w:t>
      </w:r>
      <w:bookmarkStart w:id="73086" w:name="_ETM_Q128_529559"/>
      <w:bookmarkEnd w:id="73086"/>
      <w:r>
        <w:rPr>
          <w:rFonts w:hint="cs"/>
          <w:rtl/>
        </w:rPr>
        <w:t xml:space="preserve">יש </w:t>
      </w:r>
      <w:bookmarkStart w:id="73087" w:name="_ETM_Q128_529860"/>
      <w:bookmarkEnd w:id="73087"/>
      <w:r>
        <w:rPr>
          <w:rFonts w:hint="cs"/>
          <w:rtl/>
        </w:rPr>
        <w:t xml:space="preserve">עוד </w:t>
      </w:r>
      <w:bookmarkStart w:id="73088" w:name="_ETM_Q128_530250"/>
      <w:bookmarkEnd w:id="73088"/>
      <w:r>
        <w:rPr>
          <w:rFonts w:hint="cs"/>
          <w:rtl/>
        </w:rPr>
        <w:t xml:space="preserve">הרבה </w:t>
      </w:r>
      <w:bookmarkStart w:id="73089" w:name="_ETM_Q128_530640"/>
      <w:bookmarkEnd w:id="73089"/>
      <w:r>
        <w:rPr>
          <w:rFonts w:hint="cs"/>
          <w:rtl/>
        </w:rPr>
        <w:t xml:space="preserve">מה </w:t>
      </w:r>
      <w:bookmarkStart w:id="73090" w:name="_ETM_Q128_530820"/>
      <w:bookmarkEnd w:id="73090"/>
      <w:r>
        <w:rPr>
          <w:rFonts w:hint="cs"/>
          <w:rtl/>
        </w:rPr>
        <w:t xml:space="preserve">להשקיע, </w:t>
      </w:r>
      <w:bookmarkStart w:id="73091" w:name="_ETM_Q128_531719"/>
      <w:bookmarkEnd w:id="73091"/>
      <w:r>
        <w:rPr>
          <w:rFonts w:hint="cs"/>
          <w:rtl/>
        </w:rPr>
        <w:t xml:space="preserve">גם </w:t>
      </w:r>
      <w:bookmarkStart w:id="73092" w:name="_ETM_Q128_532050"/>
      <w:bookmarkEnd w:id="73092"/>
      <w:r>
        <w:rPr>
          <w:rFonts w:hint="cs"/>
          <w:rtl/>
        </w:rPr>
        <w:t xml:space="preserve">בחינוך, </w:t>
      </w:r>
      <w:bookmarkStart w:id="73093" w:name="_ETM_Q128_533250"/>
      <w:bookmarkEnd w:id="73093"/>
      <w:r>
        <w:rPr>
          <w:rFonts w:hint="cs"/>
          <w:rtl/>
        </w:rPr>
        <w:t xml:space="preserve">כדי </w:t>
      </w:r>
      <w:bookmarkStart w:id="73094" w:name="_ETM_Q128_533610"/>
      <w:bookmarkEnd w:id="73094"/>
      <w:r>
        <w:rPr>
          <w:rFonts w:hint="cs"/>
          <w:rtl/>
        </w:rPr>
        <w:t xml:space="preserve">לקדם </w:t>
      </w:r>
      <w:bookmarkStart w:id="73095" w:name="_ETM_Q128_534589"/>
      <w:bookmarkEnd w:id="73095"/>
      <w:r>
        <w:rPr>
          <w:rFonts w:hint="cs"/>
          <w:rtl/>
        </w:rPr>
        <w:t xml:space="preserve">את </w:t>
      </w:r>
      <w:bookmarkStart w:id="73096" w:name="_ETM_Q128_534860"/>
      <w:bookmarkEnd w:id="73096"/>
      <w:r>
        <w:rPr>
          <w:rFonts w:hint="cs"/>
          <w:rtl/>
        </w:rPr>
        <w:t xml:space="preserve">החברה </w:t>
      </w:r>
      <w:bookmarkStart w:id="73097" w:name="_ETM_Q128_536129"/>
      <w:bookmarkStart w:id="73098" w:name="_ETM_Q128_537079"/>
      <w:bookmarkEnd w:id="73097"/>
      <w:bookmarkEnd w:id="73098"/>
      <w:r>
        <w:rPr>
          <w:rFonts w:hint="cs"/>
          <w:rtl/>
        </w:rPr>
        <w:t>הבדואית בנגב.</w:t>
      </w:r>
      <w:bookmarkStart w:id="73099" w:name="_ETM_Q128_534861"/>
      <w:bookmarkEnd w:id="73099"/>
      <w:r>
        <w:rPr>
          <w:rFonts w:hint="cs"/>
          <w:rtl/>
        </w:rPr>
        <w:t xml:space="preserve"> </w:t>
      </w:r>
      <w:bookmarkStart w:id="73100" w:name="_ETM_Q128_537680"/>
      <w:bookmarkEnd w:id="73100"/>
      <w:r>
        <w:rPr>
          <w:rFonts w:hint="cs"/>
          <w:rtl/>
        </w:rPr>
        <w:t xml:space="preserve">יש </w:t>
      </w:r>
      <w:bookmarkStart w:id="73101" w:name="_ETM_Q128_537890"/>
      <w:bookmarkEnd w:id="73101"/>
      <w:r>
        <w:rPr>
          <w:rFonts w:hint="cs"/>
          <w:rtl/>
        </w:rPr>
        <w:t xml:space="preserve">כיום </w:t>
      </w:r>
      <w:bookmarkStart w:id="73102" w:name="_ETM_Q128_538190"/>
      <w:bookmarkEnd w:id="73102"/>
      <w:r>
        <w:rPr>
          <w:rFonts w:hint="cs"/>
          <w:rtl/>
        </w:rPr>
        <w:t xml:space="preserve">כ-4,000 </w:t>
      </w:r>
      <w:bookmarkStart w:id="73103" w:name="_ETM_Q128_538640"/>
      <w:bookmarkStart w:id="73104" w:name="_ETM_Q128_538940"/>
      <w:bookmarkEnd w:id="73103"/>
      <w:bookmarkEnd w:id="73104"/>
      <w:r>
        <w:rPr>
          <w:rFonts w:hint="cs"/>
          <w:rtl/>
        </w:rPr>
        <w:t xml:space="preserve">סטודנטים, </w:t>
      </w:r>
      <w:bookmarkStart w:id="73105" w:name="_ETM_Q128_540140"/>
      <w:bookmarkEnd w:id="73105"/>
      <w:r>
        <w:rPr>
          <w:rFonts w:hint="cs"/>
          <w:rtl/>
        </w:rPr>
        <w:t xml:space="preserve">יש </w:t>
      </w:r>
      <w:bookmarkStart w:id="73106" w:name="_ETM_Q128_540379"/>
      <w:bookmarkEnd w:id="73106"/>
      <w:r>
        <w:rPr>
          <w:rFonts w:hint="cs"/>
          <w:rtl/>
        </w:rPr>
        <w:t xml:space="preserve">הרבה </w:t>
      </w:r>
      <w:bookmarkStart w:id="73107" w:name="_ETM_Q128_540710"/>
      <w:bookmarkEnd w:id="73107"/>
      <w:r>
        <w:rPr>
          <w:rFonts w:hint="cs"/>
          <w:rtl/>
        </w:rPr>
        <w:t xml:space="preserve">סיפורי </w:t>
      </w:r>
      <w:bookmarkStart w:id="73108" w:name="_ETM_Q128_541039"/>
      <w:bookmarkEnd w:id="73108"/>
      <w:r>
        <w:rPr>
          <w:rFonts w:hint="cs"/>
          <w:rtl/>
        </w:rPr>
        <w:t xml:space="preserve">הצלחה, </w:t>
      </w:r>
      <w:bookmarkStart w:id="73109" w:name="_ETM_Q128_542559"/>
      <w:bookmarkEnd w:id="73109"/>
      <w:r>
        <w:rPr>
          <w:rFonts w:hint="cs"/>
          <w:rtl/>
        </w:rPr>
        <w:t xml:space="preserve">אנחנו </w:t>
      </w:r>
      <w:bookmarkStart w:id="73110" w:name="_ETM_Q128_542920"/>
      <w:bookmarkEnd w:id="73110"/>
      <w:r>
        <w:rPr>
          <w:rFonts w:hint="cs"/>
          <w:rtl/>
        </w:rPr>
        <w:t xml:space="preserve">כן </w:t>
      </w:r>
      <w:bookmarkStart w:id="73111" w:name="_ETM_Q128_543160"/>
      <w:bookmarkEnd w:id="73111"/>
      <w:r>
        <w:rPr>
          <w:rFonts w:hint="cs"/>
          <w:rtl/>
        </w:rPr>
        <w:t xml:space="preserve">רוצים </w:t>
      </w:r>
      <w:bookmarkStart w:id="73112" w:name="_ETM_Q128_544180"/>
      <w:bookmarkEnd w:id="73112"/>
      <w:r>
        <w:rPr>
          <w:rFonts w:hint="cs"/>
          <w:rtl/>
        </w:rPr>
        <w:t xml:space="preserve">לתת </w:t>
      </w:r>
      <w:bookmarkStart w:id="73113" w:name="_ETM_Q128_544690"/>
      <w:bookmarkEnd w:id="73113"/>
      <w:r>
        <w:rPr>
          <w:rFonts w:hint="cs"/>
          <w:rtl/>
        </w:rPr>
        <w:t xml:space="preserve">להם </w:t>
      </w:r>
      <w:bookmarkStart w:id="73114" w:name="_ETM_Q128_545229"/>
      <w:bookmarkEnd w:id="73114"/>
      <w:r>
        <w:rPr>
          <w:rFonts w:hint="cs"/>
          <w:rtl/>
        </w:rPr>
        <w:t>תקווה.</w:t>
      </w:r>
      <w:bookmarkStart w:id="73115" w:name="_ETM_Q128_549230"/>
      <w:bookmarkEnd w:id="73115"/>
      <w:r>
        <w:rPr>
          <w:rFonts w:hint="cs"/>
          <w:rtl/>
        </w:rPr>
        <w:t xml:space="preserve"> </w:t>
      </w:r>
      <w:bookmarkStart w:id="73116" w:name="_ETM_Q128_547390"/>
      <w:bookmarkEnd w:id="73116"/>
      <w:r>
        <w:rPr>
          <w:rFonts w:hint="cs"/>
          <w:rtl/>
        </w:rPr>
        <w:t xml:space="preserve">ובמקום </w:t>
      </w:r>
      <w:bookmarkStart w:id="73117" w:name="_ETM_Q128_551200"/>
      <w:bookmarkEnd w:id="73117"/>
      <w:r>
        <w:rPr>
          <w:rFonts w:hint="cs"/>
          <w:rtl/>
        </w:rPr>
        <w:t xml:space="preserve">שהממשלה </w:t>
      </w:r>
      <w:bookmarkStart w:id="73118" w:name="_ETM_Q128_552250"/>
      <w:bookmarkEnd w:id="73118"/>
      <w:r>
        <w:rPr>
          <w:rFonts w:hint="cs"/>
          <w:rtl/>
        </w:rPr>
        <w:t xml:space="preserve">תשקיע </w:t>
      </w:r>
      <w:bookmarkStart w:id="73119" w:name="_ETM_Q128_554189"/>
      <w:bookmarkEnd w:id="73119"/>
      <w:r>
        <w:rPr>
          <w:rFonts w:hint="cs"/>
          <w:rtl/>
        </w:rPr>
        <w:t xml:space="preserve">בתשתיות, </w:t>
      </w:r>
      <w:bookmarkStart w:id="73120" w:name="_ETM_Q128_555299"/>
      <w:bookmarkEnd w:id="73120"/>
      <w:r>
        <w:rPr>
          <w:rFonts w:hint="cs"/>
          <w:rtl/>
        </w:rPr>
        <w:t xml:space="preserve">בחינוך, </w:t>
      </w:r>
      <w:bookmarkStart w:id="73121" w:name="_ETM_Q128_557270"/>
      <w:bookmarkEnd w:id="73121"/>
      <w:r>
        <w:rPr>
          <w:rFonts w:hint="cs"/>
          <w:rtl/>
        </w:rPr>
        <w:t xml:space="preserve">בהכרה </w:t>
      </w:r>
      <w:bookmarkStart w:id="73122" w:name="_ETM_Q128_557930"/>
      <w:bookmarkEnd w:id="73122"/>
      <w:r>
        <w:rPr>
          <w:rFonts w:hint="cs"/>
          <w:rtl/>
        </w:rPr>
        <w:t xml:space="preserve">ביישובים </w:t>
      </w:r>
      <w:bookmarkStart w:id="73123" w:name="_ETM_Q128_558470"/>
      <w:bookmarkEnd w:id="73123"/>
      <w:r>
        <w:rPr>
          <w:rFonts w:hint="cs"/>
          <w:rtl/>
        </w:rPr>
        <w:t>הבלתי</w:t>
      </w:r>
      <w:bookmarkStart w:id="73124" w:name="_ETM_Q128_558770"/>
      <w:bookmarkEnd w:id="73124"/>
      <w:r>
        <w:rPr>
          <w:rFonts w:hint="cs"/>
          <w:rtl/>
        </w:rPr>
        <w:t xml:space="preserve">-מוכרים, </w:t>
      </w:r>
      <w:bookmarkStart w:id="73125" w:name="_ETM_Q128_560080"/>
      <w:bookmarkEnd w:id="73125"/>
      <w:r>
        <w:rPr>
          <w:rFonts w:hint="cs"/>
          <w:rtl/>
        </w:rPr>
        <w:t xml:space="preserve">לתת </w:t>
      </w:r>
      <w:bookmarkStart w:id="73126" w:name="_ETM_Q128_560590"/>
      <w:bookmarkEnd w:id="73126"/>
      <w:r>
        <w:rPr>
          <w:rFonts w:hint="cs"/>
          <w:rtl/>
        </w:rPr>
        <w:t>ל</w:t>
      </w:r>
      <w:bookmarkStart w:id="73127" w:name="_ETM_Q128_561010"/>
      <w:bookmarkEnd w:id="73127"/>
      <w:r>
        <w:rPr>
          <w:rFonts w:hint="cs"/>
          <w:rtl/>
        </w:rPr>
        <w:t xml:space="preserve">אנשי </w:t>
      </w:r>
      <w:bookmarkStart w:id="73128" w:name="_ETM_Q128_561430"/>
      <w:bookmarkEnd w:id="73128"/>
      <w:r>
        <w:rPr>
          <w:rFonts w:hint="cs"/>
          <w:rtl/>
        </w:rPr>
        <w:t xml:space="preserve">הנגב, </w:t>
      </w:r>
      <w:bookmarkStart w:id="73129" w:name="_ETM_Q128_562649"/>
      <w:bookmarkEnd w:id="73129"/>
      <w:r>
        <w:rPr>
          <w:rFonts w:hint="cs"/>
          <w:rtl/>
        </w:rPr>
        <w:t xml:space="preserve">לבדואים </w:t>
      </w:r>
      <w:bookmarkStart w:id="73130" w:name="_ETM_Q128_563279"/>
      <w:bookmarkEnd w:id="73130"/>
      <w:r>
        <w:rPr>
          <w:rFonts w:hint="cs"/>
          <w:rtl/>
        </w:rPr>
        <w:t xml:space="preserve">בנגב, </w:t>
      </w:r>
      <w:bookmarkStart w:id="73131" w:name="_ETM_Q128_563909"/>
      <w:bookmarkEnd w:id="73131"/>
      <w:r>
        <w:rPr>
          <w:rFonts w:hint="cs"/>
          <w:rtl/>
        </w:rPr>
        <w:t>תקווה</w:t>
      </w:r>
      <w:bookmarkStart w:id="73132" w:name="_ETM_Q128_565479"/>
      <w:bookmarkEnd w:id="73132"/>
      <w:r>
        <w:rPr>
          <w:rFonts w:hint="cs"/>
          <w:rtl/>
        </w:rPr>
        <w:t xml:space="preserve"> –</w:t>
      </w:r>
      <w:bookmarkStart w:id="73133" w:name="_ETM_Q128_559513"/>
      <w:bookmarkEnd w:id="73133"/>
      <w:r>
        <w:rPr>
          <w:rFonts w:hint="cs"/>
          <w:rtl/>
        </w:rPr>
        <w:t xml:space="preserve"> </w:t>
      </w:r>
      <w:bookmarkStart w:id="73134" w:name="_ETM_Q128_561300"/>
      <w:bookmarkEnd w:id="73134"/>
      <w:r>
        <w:rPr>
          <w:rFonts w:hint="cs"/>
          <w:rtl/>
        </w:rPr>
        <w:t xml:space="preserve">היא </w:t>
      </w:r>
      <w:bookmarkStart w:id="73135" w:name="_ETM_Q128_565630"/>
      <w:bookmarkEnd w:id="73135"/>
      <w:r>
        <w:rPr>
          <w:rFonts w:hint="cs"/>
          <w:rtl/>
        </w:rPr>
        <w:t xml:space="preserve">עסוקה </w:t>
      </w:r>
      <w:bookmarkStart w:id="73136" w:name="_ETM_Q128_566110"/>
      <w:bookmarkEnd w:id="73136"/>
      <w:r>
        <w:rPr>
          <w:rFonts w:hint="cs"/>
          <w:rtl/>
        </w:rPr>
        <w:t xml:space="preserve">כל </w:t>
      </w:r>
      <w:bookmarkStart w:id="73137" w:name="_ETM_Q128_566320"/>
      <w:bookmarkEnd w:id="73137"/>
      <w:r>
        <w:rPr>
          <w:rFonts w:hint="cs"/>
          <w:rtl/>
        </w:rPr>
        <w:t xml:space="preserve">הזמן </w:t>
      </w:r>
      <w:bookmarkStart w:id="73138" w:name="_ETM_Q128_567529"/>
      <w:bookmarkEnd w:id="73138"/>
      <w:r>
        <w:rPr>
          <w:rFonts w:hint="cs"/>
          <w:rtl/>
        </w:rPr>
        <w:t xml:space="preserve">באיך </w:t>
      </w:r>
      <w:bookmarkStart w:id="73139" w:name="_ETM_Q128_568039"/>
      <w:bookmarkEnd w:id="73139"/>
      <w:r>
        <w:rPr>
          <w:rFonts w:hint="cs"/>
          <w:rtl/>
        </w:rPr>
        <w:t xml:space="preserve">להרוס </w:t>
      </w:r>
      <w:bookmarkStart w:id="73140" w:name="_ETM_Q128_568819"/>
      <w:bookmarkEnd w:id="73140"/>
      <w:r>
        <w:rPr>
          <w:rFonts w:hint="cs"/>
          <w:rtl/>
        </w:rPr>
        <w:t xml:space="preserve">את </w:t>
      </w:r>
      <w:bookmarkStart w:id="73141" w:name="_ETM_Q128_568999"/>
      <w:bookmarkEnd w:id="73141"/>
      <w:r>
        <w:rPr>
          <w:rFonts w:hint="cs"/>
          <w:rtl/>
        </w:rPr>
        <w:t xml:space="preserve">החיים </w:t>
      </w:r>
      <w:bookmarkStart w:id="73142" w:name="_ETM_Q128_569329"/>
      <w:bookmarkEnd w:id="73142"/>
      <w:r>
        <w:rPr>
          <w:rFonts w:hint="cs"/>
          <w:rtl/>
        </w:rPr>
        <w:t>שלהם,</w:t>
      </w:r>
      <w:bookmarkStart w:id="73143" w:name="_ETM_Q128_574557"/>
      <w:bookmarkStart w:id="73144" w:name="_ETM_Q128_571120"/>
      <w:bookmarkEnd w:id="73143"/>
      <w:bookmarkEnd w:id="73144"/>
      <w:r>
        <w:rPr>
          <w:rFonts w:hint="cs"/>
          <w:rtl/>
        </w:rPr>
        <w:t xml:space="preserve"> </w:t>
      </w:r>
      <w:bookmarkStart w:id="73145" w:name="_ETM_Q128_570420"/>
      <w:bookmarkEnd w:id="73145"/>
      <w:r>
        <w:rPr>
          <w:rFonts w:hint="cs"/>
          <w:rtl/>
        </w:rPr>
        <w:t xml:space="preserve">להרוס </w:t>
      </w:r>
      <w:bookmarkStart w:id="73146" w:name="_ETM_Q128_570870"/>
      <w:bookmarkEnd w:id="73146"/>
      <w:r>
        <w:rPr>
          <w:rFonts w:hint="cs"/>
          <w:rtl/>
        </w:rPr>
        <w:t>בתים.</w:t>
      </w:r>
      <w:bookmarkStart w:id="73147" w:name="_ETM_Q128_578219"/>
      <w:bookmarkEnd w:id="73147"/>
      <w:r>
        <w:rPr>
          <w:rFonts w:hint="cs"/>
          <w:rtl/>
        </w:rPr>
        <w:t xml:space="preserve"> </w:t>
      </w:r>
      <w:bookmarkStart w:id="73148" w:name="_ETM_Q128_573100"/>
      <w:bookmarkEnd w:id="73148"/>
      <w:r>
        <w:rPr>
          <w:rFonts w:hint="cs"/>
          <w:rtl/>
        </w:rPr>
        <w:t xml:space="preserve">כמעט </w:t>
      </w:r>
      <w:bookmarkStart w:id="73149" w:name="_ETM_Q128_573460"/>
      <w:bookmarkEnd w:id="73149"/>
      <w:r>
        <w:rPr>
          <w:rFonts w:hint="cs"/>
          <w:rtl/>
        </w:rPr>
        <w:t xml:space="preserve">כל </w:t>
      </w:r>
      <w:bookmarkStart w:id="73150" w:name="_ETM_Q128_573729"/>
      <w:bookmarkEnd w:id="73150"/>
      <w:r>
        <w:rPr>
          <w:rFonts w:hint="cs"/>
          <w:rtl/>
        </w:rPr>
        <w:t xml:space="preserve">יום </w:t>
      </w:r>
      <w:bookmarkStart w:id="73151" w:name="_ETM_Q128_573999"/>
      <w:bookmarkStart w:id="73152" w:name="_ETM_Q128_574240"/>
      <w:bookmarkStart w:id="73153" w:name="_ETM_Q128_574359"/>
      <w:bookmarkStart w:id="73154" w:name="_ETM_Q128_573682"/>
      <w:bookmarkStart w:id="73155" w:name="_ETM_Q128_569779"/>
      <w:bookmarkEnd w:id="73151"/>
      <w:bookmarkEnd w:id="73152"/>
      <w:bookmarkEnd w:id="73153"/>
      <w:bookmarkEnd w:id="73154"/>
      <w:bookmarkEnd w:id="73155"/>
      <w:r>
        <w:rPr>
          <w:rFonts w:hint="cs"/>
          <w:rtl/>
        </w:rPr>
        <w:t xml:space="preserve">שני הם </w:t>
      </w:r>
      <w:bookmarkStart w:id="73156" w:name="_ETM_Q128_569965"/>
      <w:bookmarkEnd w:id="73156"/>
      <w:r>
        <w:rPr>
          <w:rFonts w:hint="cs"/>
          <w:rtl/>
        </w:rPr>
        <w:t xml:space="preserve">הורסים </w:t>
      </w:r>
      <w:bookmarkStart w:id="73157" w:name="_ETM_Q128_574689"/>
      <w:bookmarkEnd w:id="73157"/>
      <w:r>
        <w:rPr>
          <w:rFonts w:hint="cs"/>
          <w:rtl/>
        </w:rPr>
        <w:t xml:space="preserve">בתים, </w:t>
      </w:r>
      <w:bookmarkStart w:id="73158" w:name="_ETM_Q128_575560"/>
      <w:bookmarkEnd w:id="73158"/>
      <w:r>
        <w:rPr>
          <w:rFonts w:hint="cs"/>
          <w:rtl/>
        </w:rPr>
        <w:t xml:space="preserve">הורסים </w:t>
      </w:r>
      <w:bookmarkStart w:id="73159" w:name="_ETM_Q128_575920"/>
      <w:bookmarkEnd w:id="73159"/>
      <w:r>
        <w:rPr>
          <w:rFonts w:hint="cs"/>
          <w:rtl/>
        </w:rPr>
        <w:t xml:space="preserve">משפחות </w:t>
      </w:r>
      <w:bookmarkStart w:id="73160" w:name="_ETM_Q128_576369"/>
      <w:bookmarkEnd w:id="73160"/>
      <w:r>
        <w:rPr>
          <w:rFonts w:hint="cs"/>
          <w:rtl/>
        </w:rPr>
        <w:t xml:space="preserve">שלמות. היא </w:t>
      </w:r>
      <w:bookmarkStart w:id="73161" w:name="_ETM_Q128_577930"/>
      <w:bookmarkEnd w:id="73161"/>
      <w:r>
        <w:rPr>
          <w:rFonts w:hint="cs"/>
          <w:rtl/>
        </w:rPr>
        <w:t xml:space="preserve">צריכה </w:t>
      </w:r>
      <w:bookmarkStart w:id="73162" w:name="_ETM_Q128_578409"/>
      <w:bookmarkEnd w:id="73162"/>
      <w:r>
        <w:rPr>
          <w:rFonts w:hint="cs"/>
          <w:rtl/>
        </w:rPr>
        <w:t xml:space="preserve">להשקיע </w:t>
      </w:r>
      <w:bookmarkStart w:id="73163" w:name="_ETM_Q128_580000"/>
      <w:bookmarkEnd w:id="73163"/>
      <w:r>
        <w:rPr>
          <w:rFonts w:hint="cs"/>
          <w:rtl/>
        </w:rPr>
        <w:t xml:space="preserve">בפיתוח </w:t>
      </w:r>
      <w:bookmarkStart w:id="73164" w:name="_ETM_Q128_580689"/>
      <w:bookmarkEnd w:id="73164"/>
      <w:r>
        <w:rPr>
          <w:rFonts w:hint="cs"/>
          <w:rtl/>
        </w:rPr>
        <w:t xml:space="preserve">התשתיות, </w:t>
      </w:r>
      <w:bookmarkStart w:id="73165" w:name="_ETM_Q128_581760"/>
      <w:bookmarkEnd w:id="73165"/>
      <w:r>
        <w:rPr>
          <w:rFonts w:hint="cs"/>
          <w:rtl/>
        </w:rPr>
        <w:t>בבניי</w:t>
      </w:r>
      <w:bookmarkStart w:id="73166" w:name="_ETM_Q128_578100"/>
      <w:bookmarkEnd w:id="73166"/>
      <w:r>
        <w:rPr>
          <w:rFonts w:hint="cs"/>
          <w:rtl/>
        </w:rPr>
        <w:t xml:space="preserve">ה, </w:t>
      </w:r>
      <w:bookmarkStart w:id="73167" w:name="_ETM_Q128_583250"/>
      <w:bookmarkEnd w:id="73167"/>
      <w:r>
        <w:rPr>
          <w:rFonts w:hint="cs"/>
          <w:rtl/>
        </w:rPr>
        <w:t xml:space="preserve">במקום </w:t>
      </w:r>
      <w:bookmarkStart w:id="73168" w:name="_ETM_Q128_583700"/>
      <w:bookmarkEnd w:id="73168"/>
      <w:r>
        <w:rPr>
          <w:rFonts w:hint="cs"/>
          <w:rtl/>
        </w:rPr>
        <w:t xml:space="preserve">להשקיע </w:t>
      </w:r>
      <w:bookmarkStart w:id="73169" w:name="_ETM_Q128_584149"/>
      <w:bookmarkEnd w:id="73169"/>
      <w:r>
        <w:rPr>
          <w:rFonts w:hint="cs"/>
          <w:rtl/>
        </w:rPr>
        <w:t xml:space="preserve">בהריסות. </w:t>
      </w:r>
      <w:bookmarkStart w:id="73170" w:name="_ETM_Q128_585439"/>
      <w:bookmarkEnd w:id="73170"/>
      <w:r>
        <w:rPr>
          <w:rFonts w:hint="cs"/>
          <w:rtl/>
        </w:rPr>
        <w:t xml:space="preserve">כי </w:t>
      </w:r>
      <w:bookmarkStart w:id="73171" w:name="_ETM_Q128_585679"/>
      <w:bookmarkEnd w:id="73171"/>
      <w:r>
        <w:rPr>
          <w:rFonts w:hint="cs"/>
          <w:rtl/>
        </w:rPr>
        <w:t xml:space="preserve">גם להם </w:t>
      </w:r>
      <w:bookmarkStart w:id="73172" w:name="_ETM_Q128_586810"/>
      <w:bookmarkStart w:id="73173" w:name="_ETM_Q128_587909"/>
      <w:bookmarkEnd w:id="73172"/>
      <w:bookmarkEnd w:id="73173"/>
      <w:r>
        <w:rPr>
          <w:rFonts w:hint="cs"/>
          <w:rtl/>
        </w:rPr>
        <w:t xml:space="preserve">מגיע </w:t>
      </w:r>
      <w:bookmarkStart w:id="73174" w:name="_ETM_Q128_589170"/>
      <w:bookmarkEnd w:id="73174"/>
      <w:r>
        <w:rPr>
          <w:rFonts w:hint="cs"/>
          <w:rtl/>
        </w:rPr>
        <w:t xml:space="preserve">לחיות. </w:t>
      </w:r>
      <w:bookmarkStart w:id="73175" w:name="_ETM_Q128_590310"/>
      <w:bookmarkEnd w:id="73175"/>
      <w:r>
        <w:rPr>
          <w:rFonts w:hint="cs"/>
          <w:rtl/>
        </w:rPr>
        <w:t xml:space="preserve">תודה, </w:t>
      </w:r>
      <w:bookmarkStart w:id="73176" w:name="_ETM_Q128_591540"/>
      <w:bookmarkEnd w:id="73176"/>
      <w:r>
        <w:rPr>
          <w:rFonts w:hint="cs"/>
          <w:rtl/>
        </w:rPr>
        <w:t xml:space="preserve">כבוד </w:t>
      </w:r>
      <w:bookmarkStart w:id="73177" w:name="_ETM_Q128_592030"/>
      <w:bookmarkEnd w:id="73177"/>
      <w:r>
        <w:rPr>
          <w:rFonts w:hint="cs"/>
          <w:rtl/>
        </w:rPr>
        <w:t>ה</w:t>
      </w:r>
      <w:bookmarkStart w:id="73178" w:name="_ETM_Q128_591720"/>
      <w:bookmarkEnd w:id="73178"/>
      <w:r>
        <w:rPr>
          <w:rFonts w:hint="cs"/>
          <w:rtl/>
        </w:rPr>
        <w:t>יושב</w:t>
      </w:r>
      <w:bookmarkStart w:id="73179" w:name="_ETM_Q128_591960"/>
      <w:bookmarkEnd w:id="73179"/>
      <w:r>
        <w:rPr>
          <w:rFonts w:hint="cs"/>
          <w:rtl/>
        </w:rPr>
        <w:t>-ראש</w:t>
      </w:r>
      <w:r w:rsidR="00BF03B2">
        <w:rPr>
          <w:rFonts w:hint="cs"/>
          <w:rtl/>
        </w:rPr>
        <w:t>.</w:t>
      </w:r>
      <w:r>
        <w:rPr>
          <w:rFonts w:hint="cs"/>
          <w:rtl/>
        </w:rPr>
        <w:t xml:space="preserve"> </w:t>
      </w:r>
      <w:bookmarkStart w:id="73180" w:name="_ETM_Q128_593170"/>
      <w:bookmarkEnd w:id="73180"/>
      <w:r>
        <w:rPr>
          <w:rFonts w:hint="cs"/>
          <w:rtl/>
        </w:rPr>
        <w:t xml:space="preserve">תודה </w:t>
      </w:r>
      <w:bookmarkStart w:id="73181" w:name="_ETM_Q128_593440"/>
      <w:bookmarkEnd w:id="73181"/>
      <w:r>
        <w:rPr>
          <w:rFonts w:hint="cs"/>
          <w:rtl/>
        </w:rPr>
        <w:t xml:space="preserve">לכם. </w:t>
      </w:r>
      <w:bookmarkStart w:id="73182" w:name="_ETM_Q128_595610"/>
      <w:bookmarkEnd w:id="73182"/>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תודה </w:t>
      </w:r>
      <w:bookmarkStart w:id="73183" w:name="_ETM_Q128_595880"/>
      <w:bookmarkEnd w:id="73183"/>
      <w:r>
        <w:rPr>
          <w:rFonts w:hint="cs"/>
          <w:rtl/>
        </w:rPr>
        <w:t xml:space="preserve">רבה </w:t>
      </w:r>
      <w:bookmarkStart w:id="73184" w:name="_ETM_Q128_596150"/>
      <w:bookmarkEnd w:id="73184"/>
      <w:r>
        <w:rPr>
          <w:rFonts w:hint="cs"/>
          <w:rtl/>
        </w:rPr>
        <w:t xml:space="preserve">לחבר </w:t>
      </w:r>
      <w:bookmarkStart w:id="73185" w:name="_ETM_Q128_596480"/>
      <w:bookmarkEnd w:id="73185"/>
      <w:r>
        <w:rPr>
          <w:rFonts w:hint="cs"/>
          <w:rtl/>
        </w:rPr>
        <w:t xml:space="preserve">הכנסת </w:t>
      </w:r>
      <w:bookmarkStart w:id="73186" w:name="_ETM_Q128_596900"/>
      <w:bookmarkEnd w:id="73186"/>
      <w:r>
        <w:rPr>
          <w:rFonts w:hint="cs"/>
          <w:rtl/>
        </w:rPr>
        <w:t xml:space="preserve">יאסר </w:t>
      </w:r>
      <w:bookmarkStart w:id="73187" w:name="_ETM_Q128_597140"/>
      <w:bookmarkEnd w:id="73187"/>
      <w:r>
        <w:rPr>
          <w:rFonts w:hint="cs"/>
          <w:rtl/>
        </w:rPr>
        <w:t xml:space="preserve">חוג'יראת. </w:t>
      </w:r>
      <w:bookmarkStart w:id="73188" w:name="_ETM_Q128_598010"/>
      <w:bookmarkEnd w:id="73188"/>
      <w:r>
        <w:rPr>
          <w:rFonts w:hint="cs"/>
          <w:rtl/>
        </w:rPr>
        <w:t xml:space="preserve">הדובר </w:t>
      </w:r>
      <w:bookmarkStart w:id="73189" w:name="_ETM_Q128_598400"/>
      <w:bookmarkEnd w:id="73189"/>
      <w:r>
        <w:rPr>
          <w:rFonts w:hint="cs"/>
          <w:rtl/>
        </w:rPr>
        <w:t xml:space="preserve">הבא, </w:t>
      </w:r>
      <w:bookmarkStart w:id="73190" w:name="_ETM_Q128_598580"/>
      <w:bookmarkEnd w:id="73190"/>
      <w:r>
        <w:rPr>
          <w:rFonts w:hint="cs"/>
          <w:rtl/>
        </w:rPr>
        <w:t xml:space="preserve">חבר </w:t>
      </w:r>
      <w:bookmarkStart w:id="73191" w:name="_ETM_Q128_598850"/>
      <w:bookmarkEnd w:id="73191"/>
      <w:r>
        <w:rPr>
          <w:rFonts w:hint="cs"/>
          <w:rtl/>
        </w:rPr>
        <w:t xml:space="preserve">הכנסת </w:t>
      </w:r>
      <w:bookmarkStart w:id="73192" w:name="_ETM_Q128_599360"/>
      <w:bookmarkEnd w:id="73192"/>
      <w:r>
        <w:rPr>
          <w:rFonts w:hint="cs"/>
          <w:rtl/>
        </w:rPr>
        <w:t xml:space="preserve">יוסף </w:t>
      </w:r>
      <w:bookmarkStart w:id="73193" w:name="_ETM_Q128_600140"/>
      <w:bookmarkEnd w:id="73193"/>
      <w:r>
        <w:rPr>
          <w:rFonts w:hint="cs"/>
          <w:rtl/>
        </w:rPr>
        <w:t xml:space="preserve">עטאונה, </w:t>
      </w:r>
      <w:bookmarkStart w:id="73194" w:name="_ETM_Q128_613480"/>
      <w:bookmarkEnd w:id="73194"/>
      <w:r>
        <w:rPr>
          <w:rFonts w:hint="cs"/>
          <w:rtl/>
        </w:rPr>
        <w:t xml:space="preserve">25 </w:t>
      </w:r>
      <w:bookmarkStart w:id="73195" w:name="_ETM_Q128_614170"/>
      <w:bookmarkEnd w:id="73195"/>
      <w:r>
        <w:rPr>
          <w:rFonts w:hint="cs"/>
          <w:rtl/>
        </w:rPr>
        <w:t>דקות.</w:t>
      </w:r>
      <w:bookmarkStart w:id="73196" w:name="_ETM_Q128_629329"/>
      <w:bookmarkEnd w:id="73196"/>
      <w:r>
        <w:rPr>
          <w:rFonts w:hint="cs"/>
          <w:rtl/>
        </w:rPr>
        <w:t xml:space="preserve"> </w:t>
      </w:r>
      <w:bookmarkStart w:id="73197" w:name="_ETM_Q128_631450"/>
      <w:bookmarkEnd w:id="73197"/>
    </w:p>
    <w:p w:rsidR="00BB59CD" w:rsidRDefault="00BB59CD" w:rsidP="00BB59CD">
      <w:pPr>
        <w:rPr>
          <w:rtl/>
        </w:rPr>
      </w:pPr>
    </w:p>
    <w:p w:rsidR="00BB59CD" w:rsidRDefault="00BB59CD" w:rsidP="00BB59CD">
      <w:pPr>
        <w:pStyle w:val="a5"/>
        <w:keepNext/>
        <w:rPr>
          <w:rtl/>
        </w:rPr>
      </w:pPr>
      <w:bookmarkStart w:id="73198" w:name="ET_speaker_5696_3"/>
      <w:bookmarkStart w:id="73199" w:name="_ETM_Q128_637361"/>
      <w:bookmarkStart w:id="73200" w:name="_ETM_Q128_633481"/>
      <w:bookmarkStart w:id="73201" w:name="_ETM_Q128_629301"/>
      <w:r>
        <w:rPr>
          <w:rStyle w:val="TagStyle"/>
          <w:rFonts w:hint="cs"/>
          <w:rtl/>
        </w:rPr>
        <w:t xml:space="preserve"> &lt;&lt; דובר &gt;&gt; </w:t>
      </w:r>
      <w:bookmarkStart w:id="73202" w:name="_Toc141197184"/>
      <w:bookmarkStart w:id="73203" w:name="_Toc141196920"/>
      <w:r>
        <w:rPr>
          <w:rFonts w:hint="cs"/>
          <w:rtl/>
        </w:rPr>
        <w:t>יוסף עטאונה (חד"ש-תע"ל):</w:t>
      </w:r>
      <w:bookmarkEnd w:id="73202"/>
      <w:bookmarkEnd w:id="73203"/>
      <w:r>
        <w:rPr>
          <w:rStyle w:val="TagStyle"/>
          <w:rFonts w:hint="cs"/>
          <w:rtl/>
        </w:rPr>
        <w:t xml:space="preserve"> &lt;&lt; דובר &gt;&gt;</w:t>
      </w:r>
      <w:r>
        <w:rPr>
          <w:rFonts w:hint="cs"/>
          <w:rtl/>
        </w:rPr>
        <w:t xml:space="preserve">   </w:t>
      </w:r>
      <w:bookmarkEnd w:id="73198"/>
    </w:p>
    <w:bookmarkEnd w:id="73199"/>
    <w:bookmarkEnd w:id="73200"/>
    <w:bookmarkEnd w:id="73201"/>
    <w:p w:rsidR="00BB59CD" w:rsidRDefault="00BB59CD" w:rsidP="00337201">
      <w:pPr>
        <w:rPr>
          <w:rtl/>
        </w:rPr>
      </w:pPr>
    </w:p>
    <w:p w:rsidR="00BB59CD" w:rsidRDefault="00BB59CD" w:rsidP="00BB59CD">
      <w:pPr>
        <w:rPr>
          <w:rtl/>
        </w:rPr>
      </w:pPr>
      <w:r>
        <w:rPr>
          <w:rFonts w:hint="cs"/>
          <w:rtl/>
        </w:rPr>
        <w:t xml:space="preserve">כבוד </w:t>
      </w:r>
      <w:bookmarkStart w:id="73204" w:name="_ETM_Q128_631810"/>
      <w:bookmarkEnd w:id="73204"/>
      <w:r>
        <w:rPr>
          <w:rFonts w:hint="cs"/>
          <w:rtl/>
        </w:rPr>
        <w:t xml:space="preserve">היושב-ראש, </w:t>
      </w:r>
      <w:bookmarkStart w:id="73205" w:name="_ETM_Q128_634709"/>
      <w:bookmarkStart w:id="73206" w:name="_ETM_Q128_634890"/>
      <w:bookmarkEnd w:id="73205"/>
      <w:bookmarkEnd w:id="73206"/>
      <w:r>
        <w:rPr>
          <w:rFonts w:hint="cs"/>
          <w:rtl/>
        </w:rPr>
        <w:t>כבוד השר, כנסת</w:t>
      </w:r>
      <w:bookmarkStart w:id="73207" w:name="_ETM_Q128_636329"/>
      <w:bookmarkEnd w:id="73207"/>
      <w:r>
        <w:rPr>
          <w:rFonts w:hint="cs"/>
          <w:rtl/>
        </w:rPr>
        <w:t xml:space="preserve"> </w:t>
      </w:r>
      <w:bookmarkStart w:id="73208" w:name="_ETM_Q128_636620"/>
      <w:bookmarkEnd w:id="73208"/>
      <w:r>
        <w:rPr>
          <w:rFonts w:hint="cs"/>
          <w:rtl/>
        </w:rPr>
        <w:t xml:space="preserve">נכבדה, </w:t>
      </w:r>
      <w:bookmarkStart w:id="73209" w:name="_ETM_Q128_638340"/>
      <w:bookmarkStart w:id="73210" w:name="_ETM_Q128_638080"/>
      <w:bookmarkStart w:id="73211" w:name="_ETM_Q128_634450"/>
      <w:bookmarkEnd w:id="73209"/>
      <w:bookmarkEnd w:id="73210"/>
      <w:bookmarkEnd w:id="73211"/>
      <w:r>
        <w:rPr>
          <w:rFonts w:hint="cs"/>
          <w:rtl/>
        </w:rPr>
        <w:t xml:space="preserve">כנסת </w:t>
      </w:r>
      <w:bookmarkStart w:id="73212" w:name="_ETM_Q128_638790"/>
      <w:bookmarkEnd w:id="73212"/>
      <w:r>
        <w:rPr>
          <w:rFonts w:hint="cs"/>
          <w:rtl/>
        </w:rPr>
        <w:t xml:space="preserve">ריקה </w:t>
      </w:r>
      <w:bookmarkStart w:id="73213" w:name="_ETM_Q128_640299"/>
      <w:bookmarkEnd w:id="73213"/>
      <w:r>
        <w:rPr>
          <w:rFonts w:hint="cs"/>
          <w:rtl/>
        </w:rPr>
        <w:t xml:space="preserve">בשעות </w:t>
      </w:r>
      <w:bookmarkStart w:id="73214" w:name="_ETM_Q128_640629"/>
      <w:bookmarkEnd w:id="73214"/>
      <w:r>
        <w:rPr>
          <w:rFonts w:hint="cs"/>
          <w:rtl/>
        </w:rPr>
        <w:t xml:space="preserve">הבוקר, </w:t>
      </w:r>
      <w:bookmarkStart w:id="73215" w:name="_ETM_Q128_643439"/>
      <w:bookmarkEnd w:id="73215"/>
      <w:r>
        <w:rPr>
          <w:rFonts w:hint="cs"/>
          <w:rtl/>
        </w:rPr>
        <w:t xml:space="preserve">כבוד </w:t>
      </w:r>
      <w:bookmarkStart w:id="73216" w:name="_ETM_Q128_643650"/>
      <w:bookmarkEnd w:id="73216"/>
      <w:r>
        <w:rPr>
          <w:rFonts w:hint="cs"/>
          <w:rtl/>
        </w:rPr>
        <w:t xml:space="preserve">היושב-ראש, </w:t>
      </w:r>
      <w:bookmarkStart w:id="73217" w:name="_ETM_Q128_646060"/>
      <w:bookmarkEnd w:id="73217"/>
      <w:r>
        <w:rPr>
          <w:rFonts w:hint="cs"/>
          <w:rtl/>
        </w:rPr>
        <w:t xml:space="preserve">אני </w:t>
      </w:r>
      <w:bookmarkStart w:id="73218" w:name="_ETM_Q128_646299"/>
      <w:bookmarkEnd w:id="73218"/>
      <w:r>
        <w:rPr>
          <w:rFonts w:hint="cs"/>
          <w:rtl/>
        </w:rPr>
        <w:t xml:space="preserve">שואל, </w:t>
      </w:r>
      <w:bookmarkStart w:id="73219" w:name="_ETM_Q128_647819"/>
      <w:bookmarkEnd w:id="73219"/>
      <w:r>
        <w:rPr>
          <w:rFonts w:hint="cs"/>
          <w:rtl/>
        </w:rPr>
        <w:t xml:space="preserve">שואלים גם </w:t>
      </w:r>
      <w:bookmarkStart w:id="73220" w:name="_ETM_Q128_648060"/>
      <w:bookmarkEnd w:id="73220"/>
      <w:r>
        <w:rPr>
          <w:rFonts w:hint="cs"/>
          <w:rtl/>
        </w:rPr>
        <w:t>הרבה</w:t>
      </w:r>
      <w:bookmarkStart w:id="73221" w:name="_ETM_Q128_648360"/>
      <w:bookmarkStart w:id="73222" w:name="_ETM_Q128_654622"/>
      <w:bookmarkEnd w:id="73221"/>
      <w:bookmarkEnd w:id="73222"/>
      <w:r>
        <w:rPr>
          <w:rFonts w:hint="cs"/>
          <w:rtl/>
        </w:rPr>
        <w:t xml:space="preserve">, </w:t>
      </w:r>
      <w:bookmarkStart w:id="73223" w:name="_ETM_Q128_650680"/>
      <w:bookmarkEnd w:id="73223"/>
      <w:r>
        <w:rPr>
          <w:rFonts w:hint="cs"/>
          <w:rtl/>
        </w:rPr>
        <w:t xml:space="preserve">למה </w:t>
      </w:r>
      <w:bookmarkStart w:id="73224" w:name="_ETM_Q128_651700"/>
      <w:bookmarkStart w:id="73225" w:name="_ETM_Q128_652030"/>
      <w:bookmarkStart w:id="73226" w:name="_ETM_Q128_652510"/>
      <w:bookmarkEnd w:id="73224"/>
      <w:bookmarkEnd w:id="73225"/>
      <w:bookmarkEnd w:id="73226"/>
      <w:r>
        <w:rPr>
          <w:rFonts w:hint="cs"/>
          <w:rtl/>
        </w:rPr>
        <w:t xml:space="preserve">הממשלה </w:t>
      </w:r>
      <w:bookmarkStart w:id="73227" w:name="_ETM_Q128_653470"/>
      <w:bookmarkEnd w:id="73227"/>
      <w:r>
        <w:rPr>
          <w:rFonts w:hint="cs"/>
          <w:rtl/>
        </w:rPr>
        <w:t xml:space="preserve">הזו </w:t>
      </w:r>
      <w:bookmarkStart w:id="73228" w:name="_ETM_Q128_655060"/>
      <w:bookmarkEnd w:id="73228"/>
      <w:r>
        <w:rPr>
          <w:rFonts w:hint="cs"/>
          <w:rtl/>
        </w:rPr>
        <w:t xml:space="preserve">נלחמת </w:t>
      </w:r>
      <w:bookmarkStart w:id="73229" w:name="_ETM_Q128_655989"/>
      <w:bookmarkEnd w:id="73229"/>
      <w:r>
        <w:rPr>
          <w:rFonts w:hint="cs"/>
          <w:rtl/>
        </w:rPr>
        <w:t xml:space="preserve">כל כך לבטל </w:t>
      </w:r>
      <w:bookmarkStart w:id="73230" w:name="_ETM_Q128_657129"/>
      <w:bookmarkEnd w:id="73230"/>
      <w:r>
        <w:rPr>
          <w:rFonts w:hint="cs"/>
          <w:rtl/>
        </w:rPr>
        <w:t xml:space="preserve">את </w:t>
      </w:r>
      <w:bookmarkStart w:id="73231" w:name="_ETM_Q128_657310"/>
      <w:bookmarkEnd w:id="73231"/>
      <w:r>
        <w:rPr>
          <w:rFonts w:hint="cs"/>
          <w:rtl/>
        </w:rPr>
        <w:t xml:space="preserve">עילת </w:t>
      </w:r>
      <w:bookmarkStart w:id="73232" w:name="_ETM_Q128_657939"/>
      <w:bookmarkEnd w:id="73232"/>
      <w:r>
        <w:rPr>
          <w:rFonts w:hint="cs"/>
          <w:rtl/>
        </w:rPr>
        <w:t xml:space="preserve">הסבירות? </w:t>
      </w:r>
      <w:bookmarkStart w:id="73233" w:name="_ETM_Q128_660629"/>
      <w:bookmarkEnd w:id="73233"/>
      <w:r>
        <w:rPr>
          <w:rFonts w:hint="cs"/>
          <w:rtl/>
        </w:rPr>
        <w:t xml:space="preserve">יש </w:t>
      </w:r>
      <w:bookmarkStart w:id="73234" w:name="_ETM_Q128_660840"/>
      <w:bookmarkEnd w:id="73234"/>
      <w:r>
        <w:rPr>
          <w:rFonts w:hint="cs"/>
          <w:rtl/>
        </w:rPr>
        <w:t xml:space="preserve">פתגם </w:t>
      </w:r>
      <w:bookmarkStart w:id="73235" w:name="_ETM_Q128_661230"/>
      <w:bookmarkEnd w:id="73235"/>
      <w:r>
        <w:rPr>
          <w:rFonts w:hint="cs"/>
          <w:rtl/>
        </w:rPr>
        <w:t xml:space="preserve">שאומר </w:t>
      </w:r>
      <w:bookmarkStart w:id="73236" w:name="_ETM_Q128_663129"/>
      <w:bookmarkEnd w:id="73236"/>
      <w:r>
        <w:rPr>
          <w:rFonts w:hint="cs"/>
          <w:rtl/>
        </w:rPr>
        <w:t xml:space="preserve">שעל </w:t>
      </w:r>
      <w:bookmarkStart w:id="73237" w:name="_ETM_Q128_663459"/>
      <w:bookmarkEnd w:id="73237"/>
      <w:r>
        <w:rPr>
          <w:rFonts w:hint="cs"/>
          <w:rtl/>
        </w:rPr>
        <w:t xml:space="preserve">ראש </w:t>
      </w:r>
      <w:bookmarkStart w:id="73238" w:name="_ETM_Q128_663849"/>
      <w:bookmarkEnd w:id="73238"/>
      <w:r>
        <w:rPr>
          <w:rFonts w:hint="cs"/>
          <w:rtl/>
        </w:rPr>
        <w:t xml:space="preserve">הגנב </w:t>
      </w:r>
      <w:bookmarkStart w:id="73239" w:name="_ETM_Q128_665470"/>
      <w:bookmarkEnd w:id="73239"/>
      <w:r>
        <w:rPr>
          <w:rFonts w:hint="cs"/>
          <w:rtl/>
        </w:rPr>
        <w:t xml:space="preserve">בוער </w:t>
      </w:r>
      <w:bookmarkStart w:id="73240" w:name="_ETM_Q128_666490"/>
      <w:bookmarkEnd w:id="73240"/>
      <w:r>
        <w:rPr>
          <w:rFonts w:hint="cs"/>
          <w:rtl/>
        </w:rPr>
        <w:t xml:space="preserve">הכובע. </w:t>
      </w:r>
      <w:bookmarkStart w:id="73241" w:name="_ETM_Q128_668589"/>
      <w:bookmarkEnd w:id="73241"/>
      <w:r>
        <w:rPr>
          <w:rFonts w:hint="cs"/>
          <w:rtl/>
        </w:rPr>
        <w:t xml:space="preserve">רק </w:t>
      </w:r>
      <w:bookmarkStart w:id="73242" w:name="_ETM_Q128_668859"/>
      <w:bookmarkEnd w:id="73242"/>
      <w:r>
        <w:rPr>
          <w:rFonts w:hint="cs"/>
          <w:rtl/>
        </w:rPr>
        <w:t>מי שי</w:t>
      </w:r>
      <w:bookmarkStart w:id="73243" w:name="_ETM_Q128_670100"/>
      <w:bookmarkEnd w:id="73243"/>
      <w:r>
        <w:rPr>
          <w:rFonts w:hint="cs"/>
          <w:rtl/>
        </w:rPr>
        <w:t xml:space="preserve">ש </w:t>
      </w:r>
      <w:bookmarkStart w:id="73244" w:name="_ETM_Q128_670460"/>
      <w:bookmarkEnd w:id="73244"/>
      <w:r>
        <w:rPr>
          <w:rFonts w:hint="cs"/>
          <w:rtl/>
        </w:rPr>
        <w:t xml:space="preserve">לו </w:t>
      </w:r>
      <w:bookmarkStart w:id="73245" w:name="_ETM_Q128_671150"/>
      <w:bookmarkEnd w:id="73245"/>
      <w:r>
        <w:rPr>
          <w:rFonts w:hint="cs"/>
          <w:rtl/>
        </w:rPr>
        <w:t xml:space="preserve">כוונות </w:t>
      </w:r>
      <w:bookmarkStart w:id="73246" w:name="_ETM_Q128_672139"/>
      <w:bookmarkEnd w:id="73246"/>
      <w:r>
        <w:rPr>
          <w:rFonts w:hint="cs"/>
          <w:rtl/>
        </w:rPr>
        <w:t>ז</w:t>
      </w:r>
      <w:bookmarkStart w:id="73247" w:name="_ETM_Q128_672469"/>
      <w:bookmarkEnd w:id="73247"/>
      <w:r>
        <w:rPr>
          <w:rFonts w:hint="cs"/>
          <w:rtl/>
        </w:rPr>
        <w:t xml:space="preserve">דוניות </w:t>
      </w:r>
      <w:bookmarkStart w:id="73248" w:name="_ETM_Q128_674029"/>
      <w:bookmarkEnd w:id="73248"/>
      <w:r>
        <w:rPr>
          <w:rFonts w:hint="cs"/>
          <w:rtl/>
        </w:rPr>
        <w:t xml:space="preserve">להחלטות </w:t>
      </w:r>
      <w:bookmarkStart w:id="73249" w:name="_ETM_Q128_675230"/>
      <w:bookmarkEnd w:id="73249"/>
      <w:r>
        <w:rPr>
          <w:rFonts w:hint="cs"/>
          <w:rtl/>
        </w:rPr>
        <w:t xml:space="preserve">לא </w:t>
      </w:r>
      <w:bookmarkStart w:id="73250" w:name="_ETM_Q128_675889"/>
      <w:bookmarkEnd w:id="73250"/>
      <w:r>
        <w:rPr>
          <w:rFonts w:hint="cs"/>
          <w:rtl/>
        </w:rPr>
        <w:t xml:space="preserve">סבירות </w:t>
      </w:r>
      <w:bookmarkStart w:id="73251" w:name="_ETM_Q128_677540"/>
      <w:bookmarkEnd w:id="73251"/>
      <w:r>
        <w:rPr>
          <w:rFonts w:hint="cs"/>
          <w:rtl/>
        </w:rPr>
        <w:t xml:space="preserve">נלחם </w:t>
      </w:r>
      <w:bookmarkStart w:id="73252" w:name="_ETM_Q128_678740"/>
      <w:bookmarkEnd w:id="73252"/>
      <w:r>
        <w:rPr>
          <w:rFonts w:hint="cs"/>
          <w:rtl/>
        </w:rPr>
        <w:t xml:space="preserve">ונאבק </w:t>
      </w:r>
      <w:bookmarkStart w:id="73253" w:name="_ETM_Q128_680080"/>
      <w:bookmarkEnd w:id="73253"/>
      <w:r>
        <w:rPr>
          <w:rFonts w:hint="cs"/>
          <w:rtl/>
        </w:rPr>
        <w:t xml:space="preserve">כל </w:t>
      </w:r>
      <w:bookmarkStart w:id="73254" w:name="_ETM_Q128_680410"/>
      <w:bookmarkEnd w:id="73254"/>
      <w:r>
        <w:rPr>
          <w:rFonts w:hint="cs"/>
          <w:rtl/>
        </w:rPr>
        <w:t xml:space="preserve">כך </w:t>
      </w:r>
      <w:bookmarkStart w:id="73255" w:name="_ETM_Q128_681810"/>
      <w:bookmarkEnd w:id="73255"/>
      <w:r>
        <w:rPr>
          <w:rFonts w:hint="cs"/>
          <w:rtl/>
        </w:rPr>
        <w:t xml:space="preserve">לחוקק </w:t>
      </w:r>
      <w:bookmarkStart w:id="73256" w:name="_ETM_Q128_683340"/>
      <w:bookmarkEnd w:id="73256"/>
      <w:r>
        <w:rPr>
          <w:rFonts w:hint="cs"/>
          <w:rtl/>
        </w:rPr>
        <w:t xml:space="preserve">את </w:t>
      </w:r>
      <w:bookmarkStart w:id="73257" w:name="_ETM_Q128_683579"/>
      <w:bookmarkEnd w:id="73257"/>
      <w:r>
        <w:rPr>
          <w:rFonts w:hint="cs"/>
          <w:rtl/>
        </w:rPr>
        <w:t xml:space="preserve">ביטול </w:t>
      </w:r>
      <w:bookmarkStart w:id="73258" w:name="_ETM_Q128_684599"/>
      <w:bookmarkEnd w:id="73258"/>
      <w:r>
        <w:rPr>
          <w:rFonts w:hint="cs"/>
          <w:rtl/>
        </w:rPr>
        <w:t xml:space="preserve">עילת </w:t>
      </w:r>
      <w:bookmarkStart w:id="73259" w:name="_ETM_Q128_685349"/>
      <w:bookmarkEnd w:id="73259"/>
      <w:r>
        <w:rPr>
          <w:rFonts w:hint="cs"/>
          <w:rtl/>
        </w:rPr>
        <w:t xml:space="preserve">הסבירות. </w:t>
      </w:r>
      <w:bookmarkStart w:id="73260" w:name="_ETM_Q128_688599"/>
      <w:bookmarkEnd w:id="73260"/>
      <w:r>
        <w:rPr>
          <w:rFonts w:hint="cs"/>
          <w:rtl/>
        </w:rPr>
        <w:t xml:space="preserve">יוזם </w:t>
      </w:r>
      <w:bookmarkStart w:id="73261" w:name="_ETM_Q128_690049"/>
      <w:bookmarkEnd w:id="73261"/>
      <w:r>
        <w:rPr>
          <w:rFonts w:hint="cs"/>
          <w:rtl/>
        </w:rPr>
        <w:t xml:space="preserve">ההצעה, </w:t>
      </w:r>
      <w:bookmarkStart w:id="73262" w:name="_ETM_Q128_692020"/>
      <w:bookmarkEnd w:id="73262"/>
      <w:r>
        <w:rPr>
          <w:rFonts w:hint="cs"/>
          <w:rtl/>
        </w:rPr>
        <w:t xml:space="preserve">חבר </w:t>
      </w:r>
      <w:bookmarkStart w:id="73263" w:name="_ETM_Q128_692410"/>
      <w:bookmarkEnd w:id="73263"/>
      <w:r>
        <w:rPr>
          <w:rFonts w:hint="cs"/>
          <w:rtl/>
        </w:rPr>
        <w:t xml:space="preserve">הכנסת </w:t>
      </w:r>
      <w:bookmarkStart w:id="73264" w:name="_ETM_Q128_693790"/>
      <w:bookmarkEnd w:id="73264"/>
      <w:r>
        <w:rPr>
          <w:rFonts w:hint="cs"/>
          <w:rtl/>
        </w:rPr>
        <w:t xml:space="preserve">שמחה </w:t>
      </w:r>
      <w:bookmarkStart w:id="73265" w:name="_ETM_Q128_694270"/>
      <w:bookmarkEnd w:id="73265"/>
      <w:r>
        <w:rPr>
          <w:rFonts w:hint="cs"/>
          <w:rtl/>
        </w:rPr>
        <w:t xml:space="preserve">רוטמן, </w:t>
      </w:r>
      <w:bookmarkStart w:id="73266" w:name="_ETM_Q128_696160"/>
      <w:bookmarkEnd w:id="73266"/>
      <w:r>
        <w:rPr>
          <w:rFonts w:hint="cs"/>
          <w:rtl/>
        </w:rPr>
        <w:t xml:space="preserve">עמד </w:t>
      </w:r>
      <w:bookmarkStart w:id="73267" w:name="_ETM_Q128_698830"/>
      <w:bookmarkEnd w:id="73267"/>
      <w:r>
        <w:rPr>
          <w:rFonts w:hint="cs"/>
          <w:rtl/>
        </w:rPr>
        <w:t xml:space="preserve">על </w:t>
      </w:r>
      <w:bookmarkStart w:id="73268" w:name="_ETM_Q128_699010"/>
      <w:bookmarkEnd w:id="73268"/>
      <w:r>
        <w:rPr>
          <w:rFonts w:hint="cs"/>
          <w:rtl/>
        </w:rPr>
        <w:t xml:space="preserve">דוכן </w:t>
      </w:r>
      <w:bookmarkStart w:id="73269" w:name="_ETM_Q128_699670"/>
      <w:bookmarkEnd w:id="73269"/>
      <w:r>
        <w:rPr>
          <w:rFonts w:hint="cs"/>
          <w:rtl/>
        </w:rPr>
        <w:t xml:space="preserve">זה </w:t>
      </w:r>
      <w:bookmarkStart w:id="73270" w:name="_ETM_Q128_700599"/>
      <w:bookmarkEnd w:id="73270"/>
      <w:r>
        <w:rPr>
          <w:rFonts w:hint="cs"/>
          <w:rtl/>
        </w:rPr>
        <w:t xml:space="preserve">אתמול </w:t>
      </w:r>
      <w:bookmarkStart w:id="73271" w:name="_ETM_Q128_702799"/>
      <w:bookmarkEnd w:id="73271"/>
      <w:r>
        <w:rPr>
          <w:rFonts w:hint="cs"/>
          <w:rtl/>
        </w:rPr>
        <w:t>ו</w:t>
      </w:r>
      <w:bookmarkStart w:id="73272" w:name="_ETM_Q128_703129"/>
      <w:bookmarkEnd w:id="73272"/>
      <w:r>
        <w:rPr>
          <w:rFonts w:hint="cs"/>
          <w:rtl/>
        </w:rPr>
        <w:t xml:space="preserve">אמר </w:t>
      </w:r>
      <w:bookmarkStart w:id="73273" w:name="_ETM_Q128_703890"/>
      <w:bookmarkEnd w:id="73273"/>
      <w:r>
        <w:rPr>
          <w:rFonts w:hint="cs"/>
          <w:rtl/>
        </w:rPr>
        <w:t xml:space="preserve">שזה </w:t>
      </w:r>
      <w:bookmarkStart w:id="73274" w:name="_ETM_Q128_704309"/>
      <w:bookmarkEnd w:id="73274"/>
      <w:r>
        <w:rPr>
          <w:rFonts w:hint="cs"/>
          <w:rtl/>
        </w:rPr>
        <w:t xml:space="preserve">לא </w:t>
      </w:r>
      <w:bookmarkStart w:id="73275" w:name="_ETM_Q128_704730"/>
      <w:bookmarkEnd w:id="73275"/>
      <w:r>
        <w:rPr>
          <w:rFonts w:hint="cs"/>
          <w:rtl/>
        </w:rPr>
        <w:t xml:space="preserve">סוף </w:t>
      </w:r>
      <w:bookmarkStart w:id="73276" w:name="_ETM_Q128_705390"/>
      <w:bookmarkEnd w:id="73276"/>
      <w:r>
        <w:rPr>
          <w:rFonts w:hint="cs"/>
          <w:rtl/>
        </w:rPr>
        <w:t xml:space="preserve">העולם </w:t>
      </w:r>
      <w:bookmarkStart w:id="73277" w:name="_ETM_Q128_706769"/>
      <w:bookmarkEnd w:id="73277"/>
      <w:r>
        <w:rPr>
          <w:rFonts w:hint="cs"/>
          <w:rtl/>
        </w:rPr>
        <w:t xml:space="preserve">אם </w:t>
      </w:r>
      <w:bookmarkStart w:id="73278" w:name="_ETM_Q128_707190"/>
      <w:bookmarkEnd w:id="73278"/>
      <w:r>
        <w:rPr>
          <w:rFonts w:hint="cs"/>
          <w:rtl/>
        </w:rPr>
        <w:t xml:space="preserve">מבטלים </w:t>
      </w:r>
      <w:bookmarkStart w:id="73279" w:name="_ETM_Q128_708120"/>
      <w:bookmarkEnd w:id="73279"/>
      <w:r>
        <w:rPr>
          <w:rFonts w:hint="cs"/>
          <w:rtl/>
        </w:rPr>
        <w:t xml:space="preserve">את </w:t>
      </w:r>
      <w:bookmarkStart w:id="73280" w:name="_ETM_Q128_708270"/>
      <w:bookmarkEnd w:id="73280"/>
      <w:r>
        <w:rPr>
          <w:rFonts w:hint="cs"/>
          <w:rtl/>
        </w:rPr>
        <w:t xml:space="preserve">עילת </w:t>
      </w:r>
      <w:bookmarkStart w:id="73281" w:name="_ETM_Q128_708900"/>
      <w:bookmarkEnd w:id="73281"/>
      <w:r>
        <w:rPr>
          <w:rFonts w:hint="cs"/>
          <w:rtl/>
        </w:rPr>
        <w:t xml:space="preserve">הסבירות. </w:t>
      </w:r>
      <w:bookmarkStart w:id="73282" w:name="_ETM_Q128_710889"/>
      <w:bookmarkEnd w:id="73282"/>
      <w:r>
        <w:rPr>
          <w:rFonts w:hint="cs"/>
          <w:rtl/>
        </w:rPr>
        <w:t xml:space="preserve">הוא </w:t>
      </w:r>
      <w:bookmarkStart w:id="73283" w:name="_ETM_Q128_711189"/>
      <w:bookmarkEnd w:id="73283"/>
      <w:r>
        <w:rPr>
          <w:rFonts w:hint="cs"/>
          <w:rtl/>
        </w:rPr>
        <w:t xml:space="preserve">גם אמר </w:t>
      </w:r>
      <w:bookmarkStart w:id="73284" w:name="_ETM_Q128_711819"/>
      <w:bookmarkStart w:id="73285" w:name="_ETM_Q128_713129"/>
      <w:bookmarkStart w:id="73286" w:name="_ETM_Q128_707432"/>
      <w:bookmarkEnd w:id="73284"/>
      <w:bookmarkEnd w:id="73285"/>
      <w:bookmarkEnd w:id="73286"/>
      <w:r>
        <w:rPr>
          <w:rFonts w:hint="cs"/>
          <w:rtl/>
        </w:rPr>
        <w:t xml:space="preserve">שהשמיים </w:t>
      </w:r>
      <w:bookmarkStart w:id="73287" w:name="_ETM_Q128_714650"/>
      <w:bookmarkEnd w:id="73287"/>
      <w:r>
        <w:rPr>
          <w:rFonts w:hint="cs"/>
          <w:rtl/>
        </w:rPr>
        <w:t xml:space="preserve">לא </w:t>
      </w:r>
      <w:bookmarkStart w:id="73288" w:name="_ETM_Q128_714920"/>
      <w:bookmarkStart w:id="73289" w:name="_ETM_Q128_715069"/>
      <w:bookmarkEnd w:id="73288"/>
      <w:bookmarkEnd w:id="73289"/>
      <w:r>
        <w:rPr>
          <w:rFonts w:hint="cs"/>
          <w:rtl/>
        </w:rPr>
        <w:t>יי</w:t>
      </w:r>
      <w:bookmarkStart w:id="73290" w:name="_ETM_Q128_714173"/>
      <w:bookmarkEnd w:id="73290"/>
      <w:r>
        <w:rPr>
          <w:rFonts w:hint="cs"/>
          <w:rtl/>
        </w:rPr>
        <w:t xml:space="preserve">פלו </w:t>
      </w:r>
      <w:bookmarkStart w:id="73291" w:name="_ETM_Q128_715940"/>
      <w:bookmarkEnd w:id="73291"/>
      <w:r>
        <w:rPr>
          <w:rFonts w:hint="cs"/>
          <w:rtl/>
        </w:rPr>
        <w:t xml:space="preserve">אם </w:t>
      </w:r>
      <w:bookmarkStart w:id="73292" w:name="_ETM_Q128_716360"/>
      <w:bookmarkEnd w:id="73292"/>
      <w:r>
        <w:rPr>
          <w:rFonts w:hint="cs"/>
          <w:rtl/>
        </w:rPr>
        <w:t xml:space="preserve">יבטלו </w:t>
      </w:r>
      <w:bookmarkStart w:id="73293" w:name="_ETM_Q128_717260"/>
      <w:bookmarkEnd w:id="73293"/>
      <w:r>
        <w:rPr>
          <w:rFonts w:hint="cs"/>
          <w:rtl/>
        </w:rPr>
        <w:t xml:space="preserve">את </w:t>
      </w:r>
      <w:bookmarkStart w:id="73294" w:name="_ETM_Q128_717500"/>
      <w:bookmarkEnd w:id="73294"/>
      <w:r>
        <w:rPr>
          <w:rFonts w:hint="cs"/>
          <w:rtl/>
        </w:rPr>
        <w:t xml:space="preserve">עילת </w:t>
      </w:r>
      <w:bookmarkStart w:id="73295" w:name="_ETM_Q128_718069"/>
      <w:bookmarkEnd w:id="73295"/>
      <w:r>
        <w:rPr>
          <w:rFonts w:hint="cs"/>
          <w:rtl/>
        </w:rPr>
        <w:t xml:space="preserve">הסבירות. </w:t>
      </w:r>
      <w:bookmarkStart w:id="73296" w:name="_ETM_Q128_720590"/>
      <w:bookmarkEnd w:id="73296"/>
      <w:r>
        <w:rPr>
          <w:rFonts w:hint="cs"/>
          <w:rtl/>
        </w:rPr>
        <w:t xml:space="preserve">אם </w:t>
      </w:r>
      <w:bookmarkStart w:id="73297" w:name="_ETM_Q128_720830"/>
      <w:bookmarkStart w:id="73298" w:name="_ETM_Q128_721010"/>
      <w:bookmarkStart w:id="73299" w:name="_ETM_Q128_721309"/>
      <w:bookmarkEnd w:id="73297"/>
      <w:bookmarkEnd w:id="73298"/>
      <w:bookmarkEnd w:id="73299"/>
      <w:r>
        <w:rPr>
          <w:rFonts w:hint="cs"/>
          <w:rtl/>
        </w:rPr>
        <w:t>זה לא כל כך</w:t>
      </w:r>
      <w:bookmarkStart w:id="73300" w:name="_ETM_Q128_720382"/>
      <w:bookmarkEnd w:id="73300"/>
      <w:r>
        <w:rPr>
          <w:rFonts w:hint="cs"/>
          <w:rtl/>
        </w:rPr>
        <w:t xml:space="preserve"> </w:t>
      </w:r>
      <w:bookmarkStart w:id="73301" w:name="_ETM_Q128_721580"/>
      <w:bookmarkEnd w:id="73301"/>
      <w:r>
        <w:rPr>
          <w:rFonts w:hint="cs"/>
          <w:rtl/>
        </w:rPr>
        <w:t xml:space="preserve">מהותי, </w:t>
      </w:r>
      <w:bookmarkStart w:id="73302" w:name="_ETM_Q128_723660"/>
      <w:bookmarkEnd w:id="73302"/>
      <w:r>
        <w:rPr>
          <w:rFonts w:hint="cs"/>
          <w:rtl/>
        </w:rPr>
        <w:t xml:space="preserve">אם </w:t>
      </w:r>
      <w:bookmarkStart w:id="73303" w:name="_ETM_Q128_723870"/>
      <w:bookmarkEnd w:id="73303"/>
      <w:r>
        <w:rPr>
          <w:rFonts w:hint="cs"/>
          <w:rtl/>
        </w:rPr>
        <w:t xml:space="preserve">זה </w:t>
      </w:r>
      <w:bookmarkStart w:id="73304" w:name="_ETM_Q128_724050"/>
      <w:bookmarkEnd w:id="73304"/>
      <w:r>
        <w:rPr>
          <w:rFonts w:hint="cs"/>
          <w:rtl/>
        </w:rPr>
        <w:t xml:space="preserve">לא </w:t>
      </w:r>
      <w:bookmarkStart w:id="73305" w:name="_ETM_Q128_724140"/>
      <w:bookmarkEnd w:id="73305"/>
      <w:r>
        <w:rPr>
          <w:rFonts w:hint="cs"/>
          <w:rtl/>
        </w:rPr>
        <w:t xml:space="preserve">כל </w:t>
      </w:r>
      <w:bookmarkStart w:id="73306" w:name="_ETM_Q128_724319"/>
      <w:bookmarkEnd w:id="73306"/>
      <w:r>
        <w:rPr>
          <w:rFonts w:hint="cs"/>
          <w:rtl/>
        </w:rPr>
        <w:t xml:space="preserve">כך </w:t>
      </w:r>
      <w:bookmarkStart w:id="73307" w:name="_ETM_Q128_724650"/>
      <w:bookmarkEnd w:id="73307"/>
      <w:r>
        <w:rPr>
          <w:rFonts w:hint="cs"/>
          <w:rtl/>
        </w:rPr>
        <w:t xml:space="preserve">חשוב, </w:t>
      </w:r>
      <w:bookmarkStart w:id="73308" w:name="_ETM_Q128_726500"/>
      <w:bookmarkEnd w:id="73308"/>
      <w:r>
        <w:rPr>
          <w:rFonts w:hint="cs"/>
          <w:rtl/>
        </w:rPr>
        <w:t xml:space="preserve">למה </w:t>
      </w:r>
      <w:bookmarkStart w:id="73309" w:name="_ETM_Q128_727370"/>
      <w:bookmarkEnd w:id="73309"/>
      <w:r>
        <w:rPr>
          <w:rFonts w:hint="cs"/>
          <w:rtl/>
        </w:rPr>
        <w:t xml:space="preserve">ממשיכים </w:t>
      </w:r>
      <w:bookmarkStart w:id="73310" w:name="_ETM_Q128_728390"/>
      <w:bookmarkEnd w:id="73310"/>
      <w:r>
        <w:rPr>
          <w:rFonts w:hint="cs"/>
          <w:rtl/>
        </w:rPr>
        <w:t xml:space="preserve">במהלך </w:t>
      </w:r>
      <w:bookmarkStart w:id="73311" w:name="_ETM_Q128_729410"/>
      <w:bookmarkEnd w:id="73311"/>
      <w:r>
        <w:rPr>
          <w:rFonts w:hint="cs"/>
          <w:rtl/>
        </w:rPr>
        <w:t xml:space="preserve">הזה </w:t>
      </w:r>
      <w:bookmarkStart w:id="73312" w:name="_ETM_Q128_730489"/>
      <w:bookmarkEnd w:id="73312"/>
      <w:r>
        <w:rPr>
          <w:rFonts w:hint="cs"/>
          <w:rtl/>
        </w:rPr>
        <w:t xml:space="preserve">למרות </w:t>
      </w:r>
      <w:bookmarkStart w:id="73313" w:name="_ETM_Q128_731269"/>
      <w:bookmarkEnd w:id="73313"/>
      <w:r>
        <w:rPr>
          <w:rFonts w:hint="cs"/>
          <w:rtl/>
        </w:rPr>
        <w:t xml:space="preserve">שיש </w:t>
      </w:r>
      <w:bookmarkStart w:id="73314" w:name="_ETM_Q128_732319"/>
      <w:bookmarkEnd w:id="73314"/>
      <w:r>
        <w:rPr>
          <w:rFonts w:hint="cs"/>
          <w:rtl/>
        </w:rPr>
        <w:t xml:space="preserve">מחאה </w:t>
      </w:r>
      <w:bookmarkStart w:id="73315" w:name="_ETM_Q128_733679"/>
      <w:bookmarkEnd w:id="73315"/>
      <w:r>
        <w:rPr>
          <w:rFonts w:hint="cs"/>
          <w:rtl/>
        </w:rPr>
        <w:t xml:space="preserve">ברחובות </w:t>
      </w:r>
      <w:bookmarkStart w:id="73316" w:name="_ETM_Q128_734760"/>
      <w:bookmarkEnd w:id="73316"/>
      <w:r>
        <w:rPr>
          <w:rFonts w:hint="cs"/>
          <w:rtl/>
        </w:rPr>
        <w:t xml:space="preserve">זה </w:t>
      </w:r>
      <w:bookmarkStart w:id="73317" w:name="_ETM_Q128_734999"/>
      <w:bookmarkEnd w:id="73317"/>
      <w:r>
        <w:rPr>
          <w:rFonts w:hint="cs"/>
          <w:rtl/>
        </w:rPr>
        <w:t xml:space="preserve">חודשים </w:t>
      </w:r>
      <w:bookmarkStart w:id="73318" w:name="_ETM_Q128_735980"/>
      <w:bookmarkEnd w:id="73318"/>
      <w:r>
        <w:rPr>
          <w:rFonts w:hint="cs"/>
          <w:rtl/>
        </w:rPr>
        <w:t xml:space="preserve">רבים </w:t>
      </w:r>
      <w:bookmarkStart w:id="73319" w:name="_ETM_Q128_737449"/>
      <w:bookmarkEnd w:id="73319"/>
      <w:r>
        <w:rPr>
          <w:rFonts w:hint="cs"/>
          <w:rtl/>
        </w:rPr>
        <w:t xml:space="preserve">– מחאה </w:t>
      </w:r>
      <w:bookmarkStart w:id="73320" w:name="_ETM_Q128_738199"/>
      <w:bookmarkEnd w:id="73320"/>
      <w:r>
        <w:rPr>
          <w:rFonts w:hint="cs"/>
          <w:rtl/>
        </w:rPr>
        <w:t xml:space="preserve">שראויה </w:t>
      </w:r>
      <w:bookmarkStart w:id="73321" w:name="_ETM_Q128_739419"/>
      <w:bookmarkEnd w:id="73321"/>
      <w:r>
        <w:rPr>
          <w:rFonts w:hint="cs"/>
          <w:rtl/>
        </w:rPr>
        <w:t>ל</w:t>
      </w:r>
      <w:bookmarkStart w:id="73322" w:name="_ETM_Q128_739690"/>
      <w:bookmarkStart w:id="73323" w:name="_ETM_Q128_739809"/>
      <w:bookmarkEnd w:id="73322"/>
      <w:bookmarkEnd w:id="73323"/>
      <w:r>
        <w:rPr>
          <w:rFonts w:hint="cs"/>
          <w:rtl/>
        </w:rPr>
        <w:t xml:space="preserve">הוקרה </w:t>
      </w:r>
      <w:bookmarkStart w:id="73324" w:name="_ETM_Q128_740679"/>
      <w:bookmarkEnd w:id="73324"/>
      <w:r>
        <w:rPr>
          <w:rFonts w:hint="cs"/>
          <w:rtl/>
        </w:rPr>
        <w:t xml:space="preserve">ולהערכה? </w:t>
      </w:r>
      <w:bookmarkStart w:id="73325" w:name="_ETM_Q128_744449"/>
      <w:bookmarkStart w:id="73326" w:name="_ETM_Q128_774179"/>
      <w:bookmarkStart w:id="73327" w:name="_ETM_Q128_774570"/>
      <w:bookmarkEnd w:id="73325"/>
      <w:bookmarkEnd w:id="73326"/>
      <w:bookmarkEnd w:id="73327"/>
    </w:p>
    <w:p w:rsidR="00BB59CD" w:rsidRDefault="00BB59CD" w:rsidP="00BB59CD">
      <w:pPr>
        <w:rPr>
          <w:rtl/>
        </w:rPr>
      </w:pPr>
    </w:p>
    <w:p w:rsidR="00BB59CD" w:rsidRDefault="00BB59CD" w:rsidP="00BB59CD">
      <w:pPr>
        <w:rPr>
          <w:rtl/>
        </w:rPr>
      </w:pPr>
      <w:bookmarkStart w:id="73328" w:name="TOR_Q129"/>
      <w:bookmarkEnd w:id="73328"/>
      <w:r>
        <w:rPr>
          <w:rFonts w:hint="cs"/>
          <w:rtl/>
        </w:rPr>
        <w:t xml:space="preserve">בדרך </w:t>
      </w:r>
      <w:bookmarkStart w:id="73329" w:name="_ETM_Q128_744900"/>
      <w:bookmarkEnd w:id="73329"/>
      <w:r>
        <w:rPr>
          <w:rFonts w:hint="cs"/>
          <w:rtl/>
        </w:rPr>
        <w:t xml:space="preserve">לכאן </w:t>
      </w:r>
      <w:bookmarkStart w:id="73330" w:name="_ETM_Q128_745229"/>
      <w:bookmarkEnd w:id="73330"/>
      <w:r>
        <w:rPr>
          <w:rFonts w:hint="cs"/>
          <w:rtl/>
        </w:rPr>
        <w:t xml:space="preserve">בשעות </w:t>
      </w:r>
      <w:bookmarkStart w:id="73331" w:name="_ETM_Q128_745590"/>
      <w:bookmarkEnd w:id="73331"/>
      <w:r>
        <w:rPr>
          <w:rFonts w:hint="cs"/>
          <w:rtl/>
        </w:rPr>
        <w:t xml:space="preserve">הבוקר </w:t>
      </w:r>
      <w:bookmarkStart w:id="73332" w:name="_ETM_Q128_745979"/>
      <w:bookmarkEnd w:id="73332"/>
      <w:r>
        <w:rPr>
          <w:rFonts w:hint="cs"/>
          <w:rtl/>
        </w:rPr>
        <w:t xml:space="preserve">המוקדמות </w:t>
      </w:r>
      <w:bookmarkStart w:id="73333" w:name="_ETM_Q128_747870"/>
      <w:bookmarkEnd w:id="73333"/>
      <w:r>
        <w:rPr>
          <w:rFonts w:hint="cs"/>
          <w:rtl/>
        </w:rPr>
        <w:t xml:space="preserve">ראיתי </w:t>
      </w:r>
      <w:bookmarkStart w:id="73334" w:name="_ETM_Q128_749280"/>
      <w:bookmarkEnd w:id="73334"/>
      <w:r>
        <w:rPr>
          <w:rFonts w:hint="cs"/>
          <w:rtl/>
        </w:rPr>
        <w:t xml:space="preserve">את </w:t>
      </w:r>
      <w:bookmarkStart w:id="73335" w:name="_ETM_Q128_749490"/>
      <w:bookmarkEnd w:id="73335"/>
      <w:r>
        <w:rPr>
          <w:rFonts w:hint="cs"/>
          <w:rtl/>
        </w:rPr>
        <w:t xml:space="preserve">האוהלים. </w:t>
      </w:r>
      <w:bookmarkStart w:id="73336" w:name="_ETM_Q128_752200"/>
      <w:bookmarkEnd w:id="73336"/>
      <w:r>
        <w:rPr>
          <w:rFonts w:hint="cs"/>
          <w:rtl/>
        </w:rPr>
        <w:t xml:space="preserve">אנשים </w:t>
      </w:r>
      <w:bookmarkStart w:id="73337" w:name="_ETM_Q128_753429"/>
      <w:bookmarkEnd w:id="73337"/>
      <w:r>
        <w:rPr>
          <w:rFonts w:hint="cs"/>
          <w:rtl/>
        </w:rPr>
        <w:t xml:space="preserve">עזבו </w:t>
      </w:r>
      <w:bookmarkStart w:id="73338" w:name="_ETM_Q128_753880"/>
      <w:bookmarkEnd w:id="73338"/>
      <w:r>
        <w:rPr>
          <w:rFonts w:hint="cs"/>
          <w:rtl/>
        </w:rPr>
        <w:t xml:space="preserve">את </w:t>
      </w:r>
      <w:bookmarkStart w:id="73339" w:name="_ETM_Q128_753970"/>
      <w:bookmarkEnd w:id="73339"/>
      <w:r>
        <w:rPr>
          <w:rFonts w:hint="cs"/>
          <w:rtl/>
        </w:rPr>
        <w:t xml:space="preserve">הבתים </w:t>
      </w:r>
      <w:bookmarkStart w:id="73340" w:name="_ETM_Q128_754390"/>
      <w:bookmarkStart w:id="73341" w:name="_ETM_Q128_737033"/>
      <w:bookmarkEnd w:id="73340"/>
      <w:bookmarkEnd w:id="73341"/>
      <w:r>
        <w:rPr>
          <w:rFonts w:hint="cs"/>
          <w:rtl/>
        </w:rPr>
        <w:t xml:space="preserve">שלהם, </w:t>
      </w:r>
      <w:bookmarkStart w:id="73342" w:name="_ETM_Q128_756570"/>
      <w:bookmarkEnd w:id="73342"/>
      <w:r>
        <w:rPr>
          <w:rFonts w:hint="cs"/>
          <w:rtl/>
        </w:rPr>
        <w:t xml:space="preserve">באו </w:t>
      </w:r>
      <w:bookmarkStart w:id="73343" w:name="_ETM_Q128_757580"/>
      <w:bookmarkEnd w:id="73343"/>
      <w:r>
        <w:rPr>
          <w:rFonts w:hint="cs"/>
          <w:rtl/>
        </w:rPr>
        <w:t xml:space="preserve">למחות </w:t>
      </w:r>
      <w:bookmarkStart w:id="73344" w:name="_ETM_Q128_758389"/>
      <w:bookmarkEnd w:id="73344"/>
      <w:r>
        <w:rPr>
          <w:rFonts w:hint="cs"/>
          <w:rtl/>
        </w:rPr>
        <w:t xml:space="preserve">ולהתנגד </w:t>
      </w:r>
      <w:bookmarkStart w:id="73345" w:name="_ETM_Q128_759750"/>
      <w:bookmarkEnd w:id="73345"/>
      <w:r>
        <w:rPr>
          <w:rFonts w:hint="cs"/>
          <w:rtl/>
        </w:rPr>
        <w:t xml:space="preserve">למהלך. </w:t>
      </w:r>
      <w:bookmarkStart w:id="73346" w:name="_ETM_Q128_763750"/>
      <w:bookmarkStart w:id="73347" w:name="_ETM_Q129_156396"/>
      <w:bookmarkStart w:id="73348" w:name="_ETM_Q129_155406"/>
      <w:bookmarkEnd w:id="73346"/>
      <w:bookmarkEnd w:id="73347"/>
      <w:bookmarkEnd w:id="73348"/>
    </w:p>
    <w:p w:rsidR="00BB59CD" w:rsidRDefault="00BB59CD" w:rsidP="00337201"/>
    <w:p w:rsidR="00BB59CD" w:rsidRDefault="00BB59CD" w:rsidP="00BB59CD">
      <w:pPr>
        <w:pStyle w:val="af8"/>
        <w:keepNext/>
        <w:rPr>
          <w:rtl/>
        </w:rPr>
      </w:pPr>
      <w:bookmarkStart w:id="73349" w:name="ET_interruption_6505_8"/>
      <w:r>
        <w:rPr>
          <w:rStyle w:val="TagStyle"/>
          <w:rFonts w:hint="cs"/>
          <w:rtl/>
        </w:rPr>
        <w:t xml:space="preserve"> &lt;&lt; קריאה &gt;&gt; </w:t>
      </w:r>
      <w:r>
        <w:rPr>
          <w:rFonts w:hint="cs"/>
          <w:rtl/>
        </w:rPr>
        <w:t>שר העבודה יואב בן צור:</w:t>
      </w:r>
      <w:r>
        <w:rPr>
          <w:rStyle w:val="TagStyle"/>
          <w:rtl/>
        </w:rPr>
        <w:t xml:space="preserve"> &lt;&lt; קריאה &gt;&gt;</w:t>
      </w:r>
      <w:r>
        <w:rPr>
          <w:rFonts w:hint="cs"/>
          <w:rtl/>
        </w:rPr>
        <w:t xml:space="preserve">   </w:t>
      </w:r>
      <w:bookmarkEnd w:id="73349"/>
    </w:p>
    <w:p w:rsidR="00BB59CD" w:rsidRDefault="00BB59CD" w:rsidP="00337201">
      <w:pPr>
        <w:rPr>
          <w:rtl/>
        </w:rPr>
      </w:pPr>
    </w:p>
    <w:p w:rsidR="00BB59CD" w:rsidRDefault="00BB59CD" w:rsidP="00BB59CD">
      <w:pPr>
        <w:rPr>
          <w:rtl/>
        </w:rPr>
      </w:pPr>
      <w:r>
        <w:rPr>
          <w:rFonts w:hint="cs"/>
          <w:rtl/>
        </w:rPr>
        <w:t>מי מימן את האוהלים?</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אני אומר לך, </w:t>
      </w:r>
      <w:bookmarkStart w:id="73350" w:name="_ETM_Q129_168806"/>
      <w:bookmarkEnd w:id="73350"/>
      <w:r>
        <w:rPr>
          <w:rFonts w:hint="cs"/>
          <w:rtl/>
        </w:rPr>
        <w:t xml:space="preserve">המחזה עצמו ממש מעורר הרבה כבוד, כשאנשים דבקים </w:t>
      </w:r>
      <w:bookmarkStart w:id="73351" w:name="_ETM_Q129_176934"/>
      <w:bookmarkEnd w:id="73351"/>
      <w:r>
        <w:rPr>
          <w:rFonts w:hint="cs"/>
          <w:rtl/>
        </w:rPr>
        <w:t>במטרה ונלחמים למען הדמוקרטיה.</w:t>
      </w:r>
    </w:p>
    <w:p w:rsidR="00BB59CD" w:rsidRDefault="00BB59CD" w:rsidP="00BB59CD">
      <w:pPr>
        <w:rPr>
          <w:rtl/>
        </w:rPr>
      </w:pPr>
    </w:p>
    <w:p w:rsidR="00BB59CD" w:rsidRDefault="00BB59CD" w:rsidP="00BB59CD">
      <w:pPr>
        <w:pStyle w:val="af8"/>
        <w:keepNext/>
        <w:rPr>
          <w:rtl/>
        </w:rPr>
      </w:pPr>
      <w:bookmarkStart w:id="73352" w:name="ET_interruption_6505_10"/>
      <w:r>
        <w:rPr>
          <w:rStyle w:val="TagStyle"/>
          <w:rFonts w:hint="cs"/>
          <w:rtl/>
        </w:rPr>
        <w:t xml:space="preserve"> &lt;&lt; קריאה &gt;&gt; </w:t>
      </w:r>
      <w:r>
        <w:rPr>
          <w:rFonts w:hint="cs"/>
          <w:rtl/>
        </w:rPr>
        <w:t>שר העבודה יואב בן צור:</w:t>
      </w:r>
      <w:r>
        <w:rPr>
          <w:rStyle w:val="TagStyle"/>
          <w:rtl/>
        </w:rPr>
        <w:t xml:space="preserve"> &lt;&lt; קריאה &gt;&gt;</w:t>
      </w:r>
      <w:r>
        <w:rPr>
          <w:rFonts w:hint="cs"/>
          <w:rtl/>
        </w:rPr>
        <w:t xml:space="preserve">   </w:t>
      </w:r>
      <w:bookmarkEnd w:id="73352"/>
    </w:p>
    <w:p w:rsidR="00BB59CD" w:rsidRDefault="00BB59CD" w:rsidP="00337201">
      <w:pPr>
        <w:rPr>
          <w:rtl/>
        </w:rPr>
      </w:pPr>
    </w:p>
    <w:p w:rsidR="00BB59CD" w:rsidRDefault="00BB59CD" w:rsidP="00BB59CD">
      <w:pPr>
        <w:rPr>
          <w:rtl/>
        </w:rPr>
      </w:pPr>
      <w:r>
        <w:rPr>
          <w:rFonts w:hint="cs"/>
          <w:rtl/>
        </w:rPr>
        <w:t>תגיד לי, מי שילם על האוהלים האלה?</w:t>
      </w:r>
      <w:bookmarkStart w:id="73353" w:name="_ETM_Q129_176678"/>
      <w:bookmarkEnd w:id="73353"/>
    </w:p>
    <w:p w:rsidR="00BB59CD" w:rsidRDefault="00BB59CD" w:rsidP="00BB59CD">
      <w:pPr>
        <w:rPr>
          <w:b/>
          <w:bCs/>
          <w:sz w:val="20"/>
          <w:szCs w:val="20"/>
          <w:rt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73354" w:name="_ETM_Q129_173368"/>
      <w:bookmarkEnd w:id="73354"/>
      <w:r>
        <w:rPr>
          <w:rFonts w:hint="cs"/>
          <w:rtl/>
        </w:rPr>
        <w:t>ספונטני. כולם אותם מזרונים, אותם אוהלים.</w:t>
      </w:r>
      <w:r w:rsidR="00BF03B2">
        <w:rPr>
          <w:rFonts w:hint="cs"/>
          <w:rtl/>
        </w:rPr>
        <w:t xml:space="preserve"> מחאה ספונטנית. </w:t>
      </w:r>
    </w:p>
    <w:p w:rsidR="00BB59CD" w:rsidRDefault="00BB59CD" w:rsidP="00BB59CD">
      <w:pPr>
        <w:rPr>
          <w:rtl/>
        </w:rPr>
      </w:pPr>
    </w:p>
    <w:p w:rsidR="00BB59CD" w:rsidRDefault="00BB59CD" w:rsidP="00BB59CD">
      <w:pPr>
        <w:pStyle w:val="-"/>
        <w:keepNext/>
        <w:rPr>
          <w:rtl/>
        </w:rPr>
      </w:pPr>
      <w:bookmarkStart w:id="73355" w:name="ET_speakercontinue_5696_6"/>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73355"/>
    </w:p>
    <w:p w:rsidR="00BB59CD" w:rsidRDefault="00BB59CD" w:rsidP="00337201">
      <w:pPr>
        <w:rPr>
          <w:rtl/>
        </w:rPr>
      </w:pPr>
    </w:p>
    <w:p w:rsidR="00BB59CD" w:rsidRDefault="00BB59CD" w:rsidP="00BF03B2">
      <w:pPr>
        <w:rPr>
          <w:rtl/>
        </w:rPr>
      </w:pPr>
      <w:bookmarkStart w:id="73356" w:name="_ETM_Q129_187998"/>
      <w:bookmarkEnd w:id="73356"/>
      <w:r>
        <w:rPr>
          <w:rFonts w:hint="cs"/>
          <w:rtl/>
        </w:rPr>
        <w:t xml:space="preserve">כבוד </w:t>
      </w:r>
      <w:bookmarkStart w:id="73357" w:name="_ETM_Q129_180539"/>
      <w:bookmarkEnd w:id="73357"/>
      <w:r>
        <w:rPr>
          <w:rFonts w:hint="cs"/>
          <w:rtl/>
        </w:rPr>
        <w:t xml:space="preserve">היושב-ראש, </w:t>
      </w:r>
      <w:r w:rsidR="00BF03B2">
        <w:rPr>
          <w:rFonts w:hint="cs"/>
          <w:rtl/>
        </w:rPr>
        <w:t xml:space="preserve">כבוד השר, </w:t>
      </w:r>
      <w:bookmarkStart w:id="73358" w:name="_ETM_Q129_189890"/>
      <w:bookmarkEnd w:id="73358"/>
      <w:r>
        <w:rPr>
          <w:rFonts w:hint="cs"/>
          <w:rtl/>
        </w:rPr>
        <w:t xml:space="preserve">אנחנו </w:t>
      </w:r>
      <w:bookmarkStart w:id="73359" w:name="_ETM_Q129_190369"/>
      <w:bookmarkEnd w:id="73359"/>
      <w:r>
        <w:rPr>
          <w:rFonts w:hint="cs"/>
          <w:rtl/>
        </w:rPr>
        <w:t xml:space="preserve">כמיעוט </w:t>
      </w:r>
      <w:bookmarkStart w:id="73360" w:name="_ETM_Q129_190850"/>
      <w:bookmarkEnd w:id="73360"/>
      <w:r>
        <w:rPr>
          <w:rFonts w:hint="cs"/>
          <w:rtl/>
        </w:rPr>
        <w:t xml:space="preserve">לאומי, </w:t>
      </w:r>
      <w:bookmarkStart w:id="73361" w:name="_ETM_Q129_191910"/>
      <w:bookmarkEnd w:id="73361"/>
      <w:r>
        <w:rPr>
          <w:rFonts w:hint="cs"/>
          <w:rtl/>
        </w:rPr>
        <w:t xml:space="preserve">כערבים </w:t>
      </w:r>
      <w:bookmarkStart w:id="73362" w:name="_ETM_Q129_193599"/>
      <w:bookmarkEnd w:id="73362"/>
      <w:r>
        <w:rPr>
          <w:rFonts w:hint="cs"/>
          <w:rtl/>
        </w:rPr>
        <w:t xml:space="preserve">אזרחי </w:t>
      </w:r>
      <w:bookmarkStart w:id="73363" w:name="_ETM_Q129_194259"/>
      <w:bookmarkEnd w:id="73363"/>
      <w:r>
        <w:rPr>
          <w:rFonts w:hint="cs"/>
          <w:rtl/>
        </w:rPr>
        <w:t xml:space="preserve">מדינת </w:t>
      </w:r>
      <w:bookmarkStart w:id="73364" w:name="_ETM_Q129_194709"/>
      <w:bookmarkEnd w:id="73364"/>
      <w:r>
        <w:rPr>
          <w:rFonts w:hint="cs"/>
          <w:rtl/>
        </w:rPr>
        <w:t xml:space="preserve">ישראל, </w:t>
      </w:r>
      <w:bookmarkStart w:id="73365" w:name="_ETM_Q129_196070"/>
      <w:bookmarkStart w:id="73366" w:name="_ETM_Q129_196400"/>
      <w:bookmarkEnd w:id="73365"/>
      <w:bookmarkEnd w:id="73366"/>
      <w:r>
        <w:rPr>
          <w:rFonts w:hint="cs"/>
          <w:rtl/>
        </w:rPr>
        <w:t xml:space="preserve">הכי </w:t>
      </w:r>
      <w:bookmarkStart w:id="73367" w:name="_ETM_Q129_196820"/>
      <w:bookmarkEnd w:id="73367"/>
      <w:r>
        <w:rPr>
          <w:rFonts w:hint="cs"/>
          <w:rtl/>
        </w:rPr>
        <w:t xml:space="preserve">ביקורתיים </w:t>
      </w:r>
      <w:bookmarkStart w:id="73368" w:name="_ETM_Q129_197989"/>
      <w:bookmarkEnd w:id="73368"/>
      <w:r>
        <w:rPr>
          <w:rFonts w:hint="cs"/>
          <w:rtl/>
        </w:rPr>
        <w:t xml:space="preserve">כלפי </w:t>
      </w:r>
      <w:bookmarkStart w:id="73369" w:name="_ETM_Q129_198860"/>
      <w:bookmarkEnd w:id="73369"/>
      <w:r>
        <w:rPr>
          <w:rFonts w:hint="cs"/>
          <w:rtl/>
        </w:rPr>
        <w:t xml:space="preserve">מערכת </w:t>
      </w:r>
      <w:bookmarkStart w:id="73370" w:name="_ETM_Q129_199670"/>
      <w:bookmarkEnd w:id="73370"/>
      <w:r>
        <w:rPr>
          <w:rFonts w:hint="cs"/>
          <w:rtl/>
        </w:rPr>
        <w:t xml:space="preserve">המשפט. </w:t>
      </w:r>
      <w:bookmarkStart w:id="73371" w:name="_ETM_Q129_201230"/>
      <w:bookmarkEnd w:id="73371"/>
      <w:r>
        <w:rPr>
          <w:rFonts w:hint="cs"/>
          <w:rtl/>
        </w:rPr>
        <w:t xml:space="preserve">מערכת </w:t>
      </w:r>
      <w:bookmarkStart w:id="73372" w:name="_ETM_Q129_202040"/>
      <w:bookmarkEnd w:id="73372"/>
      <w:r>
        <w:rPr>
          <w:rFonts w:hint="cs"/>
          <w:rtl/>
        </w:rPr>
        <w:t xml:space="preserve">המשפט </w:t>
      </w:r>
      <w:bookmarkStart w:id="73373" w:name="_ETM_Q129_203210"/>
      <w:bookmarkEnd w:id="73373"/>
      <w:r>
        <w:rPr>
          <w:rFonts w:hint="cs"/>
          <w:rtl/>
        </w:rPr>
        <w:t xml:space="preserve">שנים </w:t>
      </w:r>
      <w:bookmarkStart w:id="73374" w:name="_ETM_Q129_204110"/>
      <w:bookmarkEnd w:id="73374"/>
      <w:r>
        <w:rPr>
          <w:rFonts w:hint="cs"/>
          <w:rtl/>
        </w:rPr>
        <w:t xml:space="preserve">על </w:t>
      </w:r>
      <w:bookmarkStart w:id="73375" w:name="_ETM_Q129_204350"/>
      <w:bookmarkEnd w:id="73375"/>
      <w:r>
        <w:rPr>
          <w:rFonts w:hint="cs"/>
          <w:rtl/>
        </w:rPr>
        <w:t xml:space="preserve">גבי </w:t>
      </w:r>
      <w:bookmarkStart w:id="73376" w:name="_ETM_Q129_205100"/>
      <w:bookmarkEnd w:id="73376"/>
      <w:r>
        <w:rPr>
          <w:rFonts w:hint="cs"/>
          <w:rtl/>
        </w:rPr>
        <w:t xml:space="preserve">שנים </w:t>
      </w:r>
      <w:bookmarkStart w:id="73377" w:name="_ETM_Q129_206699"/>
      <w:bookmarkEnd w:id="73377"/>
      <w:r>
        <w:rPr>
          <w:rFonts w:hint="cs"/>
          <w:rtl/>
        </w:rPr>
        <w:t xml:space="preserve">לא </w:t>
      </w:r>
      <w:bookmarkStart w:id="73378" w:name="_ETM_Q129_207330"/>
      <w:bookmarkEnd w:id="73378"/>
      <w:r>
        <w:rPr>
          <w:rFonts w:hint="cs"/>
          <w:rtl/>
        </w:rPr>
        <w:t xml:space="preserve">מצאה </w:t>
      </w:r>
      <w:bookmarkStart w:id="73379" w:name="_ETM_Q129_208560"/>
      <w:bookmarkEnd w:id="73379"/>
      <w:r>
        <w:rPr>
          <w:rFonts w:hint="cs"/>
          <w:rtl/>
        </w:rPr>
        <w:t xml:space="preserve">לנכון </w:t>
      </w:r>
      <w:bookmarkStart w:id="73380" w:name="_ETM_Q129_209849"/>
      <w:bookmarkEnd w:id="73380"/>
      <w:r>
        <w:rPr>
          <w:rFonts w:hint="cs"/>
          <w:rtl/>
        </w:rPr>
        <w:t xml:space="preserve">להשוות </w:t>
      </w:r>
      <w:bookmarkStart w:id="73381" w:name="_ETM_Q129_210990"/>
      <w:bookmarkEnd w:id="73381"/>
      <w:r>
        <w:rPr>
          <w:rFonts w:hint="cs"/>
          <w:rtl/>
        </w:rPr>
        <w:t xml:space="preserve">בינינו </w:t>
      </w:r>
      <w:bookmarkStart w:id="73382" w:name="_ETM_Q129_211830"/>
      <w:bookmarkEnd w:id="73382"/>
      <w:r>
        <w:rPr>
          <w:rFonts w:hint="cs"/>
          <w:rtl/>
        </w:rPr>
        <w:t xml:space="preserve">לבין </w:t>
      </w:r>
      <w:bookmarkStart w:id="73383" w:name="_ETM_Q129_212610"/>
      <w:bookmarkEnd w:id="73383"/>
      <w:r>
        <w:rPr>
          <w:rFonts w:hint="cs"/>
          <w:rtl/>
        </w:rPr>
        <w:t xml:space="preserve">הרוב </w:t>
      </w:r>
      <w:bookmarkStart w:id="73384" w:name="_ETM_Q129_213239"/>
      <w:bookmarkEnd w:id="73384"/>
      <w:r>
        <w:rPr>
          <w:rFonts w:hint="cs"/>
          <w:rtl/>
        </w:rPr>
        <w:t xml:space="preserve">היהודי </w:t>
      </w:r>
      <w:bookmarkStart w:id="73385" w:name="_ETM_Q129_214290"/>
      <w:bookmarkEnd w:id="73385"/>
      <w:r>
        <w:rPr>
          <w:rFonts w:hint="cs"/>
          <w:rtl/>
        </w:rPr>
        <w:t xml:space="preserve">בסוגיות </w:t>
      </w:r>
      <w:bookmarkStart w:id="73386" w:name="_ETM_Q129_215370"/>
      <w:bookmarkEnd w:id="73386"/>
      <w:r>
        <w:rPr>
          <w:rFonts w:hint="cs"/>
          <w:rtl/>
        </w:rPr>
        <w:t xml:space="preserve">המהותיות </w:t>
      </w:r>
      <w:bookmarkStart w:id="73387" w:name="_ETM_Q129_216629"/>
      <w:bookmarkEnd w:id="73387"/>
      <w:r>
        <w:rPr>
          <w:rFonts w:hint="cs"/>
          <w:rtl/>
        </w:rPr>
        <w:t xml:space="preserve">ביותר </w:t>
      </w:r>
      <w:bookmarkStart w:id="73388" w:name="_ETM_Q129_217670"/>
      <w:bookmarkEnd w:id="73388"/>
      <w:r>
        <w:rPr>
          <w:rFonts w:hint="cs"/>
          <w:rtl/>
        </w:rPr>
        <w:t>– ב</w:t>
      </w:r>
      <w:bookmarkStart w:id="73389" w:name="_ETM_Q129_217940"/>
      <w:bookmarkEnd w:id="73389"/>
      <w:r>
        <w:rPr>
          <w:rFonts w:hint="cs"/>
          <w:rtl/>
        </w:rPr>
        <w:t xml:space="preserve">סוגיית </w:t>
      </w:r>
      <w:bookmarkStart w:id="73390" w:name="_ETM_Q129_218450"/>
      <w:bookmarkEnd w:id="73390"/>
      <w:r>
        <w:rPr>
          <w:rFonts w:hint="cs"/>
          <w:rtl/>
        </w:rPr>
        <w:t xml:space="preserve">הקרקעות </w:t>
      </w:r>
      <w:bookmarkStart w:id="73391" w:name="_ETM_Q129_219590"/>
      <w:bookmarkEnd w:id="73391"/>
      <w:r>
        <w:rPr>
          <w:rFonts w:hint="cs"/>
          <w:rtl/>
        </w:rPr>
        <w:t xml:space="preserve">ובסוגיית </w:t>
      </w:r>
      <w:bookmarkStart w:id="73392" w:name="_ETM_Q129_220460"/>
      <w:bookmarkEnd w:id="73392"/>
      <w:r>
        <w:rPr>
          <w:rFonts w:hint="cs"/>
          <w:rtl/>
        </w:rPr>
        <w:t>הביטחון.</w:t>
      </w:r>
      <w:bookmarkStart w:id="73393" w:name="_ETM_Q129_217897"/>
      <w:bookmarkEnd w:id="73393"/>
      <w:r>
        <w:rPr>
          <w:rFonts w:hint="cs"/>
          <w:rtl/>
        </w:rPr>
        <w:t xml:space="preserve"> </w:t>
      </w:r>
      <w:bookmarkStart w:id="73394" w:name="_ETM_Q129_221840"/>
      <w:bookmarkEnd w:id="73394"/>
      <w:r>
        <w:rPr>
          <w:rFonts w:hint="cs"/>
          <w:rtl/>
        </w:rPr>
        <w:t xml:space="preserve">כבוד </w:t>
      </w:r>
      <w:bookmarkStart w:id="73395" w:name="_ETM_Q129_222229"/>
      <w:bookmarkEnd w:id="73395"/>
      <w:r>
        <w:rPr>
          <w:rFonts w:hint="cs"/>
          <w:rtl/>
        </w:rPr>
        <w:t xml:space="preserve">היושב-ראש, </w:t>
      </w:r>
      <w:bookmarkStart w:id="73396" w:name="_ETM_Q129_223800"/>
      <w:bookmarkEnd w:id="73396"/>
      <w:r>
        <w:rPr>
          <w:rFonts w:hint="cs"/>
          <w:rtl/>
        </w:rPr>
        <w:t xml:space="preserve">אני </w:t>
      </w:r>
      <w:bookmarkStart w:id="73397" w:name="_ETM_Q129_224130"/>
      <w:bookmarkEnd w:id="73397"/>
      <w:r>
        <w:rPr>
          <w:rFonts w:hint="cs"/>
          <w:rtl/>
        </w:rPr>
        <w:t xml:space="preserve">רוצה </w:t>
      </w:r>
      <w:bookmarkStart w:id="73398" w:name="_ETM_Q129_224400"/>
      <w:bookmarkEnd w:id="73398"/>
      <w:r>
        <w:rPr>
          <w:rFonts w:hint="cs"/>
          <w:rtl/>
        </w:rPr>
        <w:t xml:space="preserve">להגיד </w:t>
      </w:r>
      <w:bookmarkStart w:id="73399" w:name="_ETM_Q129_224670"/>
      <w:bookmarkEnd w:id="73399"/>
      <w:r>
        <w:rPr>
          <w:rFonts w:hint="cs"/>
          <w:rtl/>
        </w:rPr>
        <w:t xml:space="preserve">לך, </w:t>
      </w:r>
      <w:bookmarkStart w:id="73400" w:name="_ETM_Q129_224970"/>
      <w:bookmarkEnd w:id="73400"/>
      <w:r>
        <w:rPr>
          <w:rFonts w:hint="cs"/>
          <w:rtl/>
        </w:rPr>
        <w:t xml:space="preserve">גם </w:t>
      </w:r>
      <w:bookmarkStart w:id="73401" w:name="_ETM_Q129_225210"/>
      <w:bookmarkEnd w:id="73401"/>
      <w:r>
        <w:rPr>
          <w:rFonts w:hint="cs"/>
          <w:rtl/>
        </w:rPr>
        <w:t xml:space="preserve">בדבריו </w:t>
      </w:r>
      <w:bookmarkStart w:id="73402" w:name="_ETM_Q129_225630"/>
      <w:bookmarkEnd w:id="73402"/>
      <w:r>
        <w:rPr>
          <w:rFonts w:hint="cs"/>
          <w:rtl/>
        </w:rPr>
        <w:t xml:space="preserve">של </w:t>
      </w:r>
      <w:bookmarkStart w:id="73403" w:name="_ETM_Q129_225840"/>
      <w:bookmarkEnd w:id="73403"/>
      <w:r>
        <w:rPr>
          <w:rFonts w:hint="cs"/>
          <w:rtl/>
        </w:rPr>
        <w:t xml:space="preserve">שמחה </w:t>
      </w:r>
      <w:bookmarkStart w:id="73404" w:name="_ETM_Q129_226530"/>
      <w:bookmarkEnd w:id="73404"/>
      <w:r>
        <w:rPr>
          <w:rFonts w:hint="cs"/>
          <w:rtl/>
        </w:rPr>
        <w:t xml:space="preserve">רוטמן </w:t>
      </w:r>
      <w:bookmarkStart w:id="73405" w:name="_ETM_Q129_227310"/>
      <w:bookmarkEnd w:id="73405"/>
      <w:r>
        <w:rPr>
          <w:rFonts w:hint="cs"/>
          <w:rtl/>
        </w:rPr>
        <w:t xml:space="preserve">אתמול </w:t>
      </w:r>
      <w:bookmarkStart w:id="73406" w:name="_ETM_Q129_227820"/>
      <w:bookmarkEnd w:id="73406"/>
      <w:r>
        <w:rPr>
          <w:rFonts w:hint="cs"/>
          <w:rtl/>
        </w:rPr>
        <w:t xml:space="preserve">בהצגת </w:t>
      </w:r>
      <w:bookmarkStart w:id="73407" w:name="_ETM_Q129_228630"/>
      <w:bookmarkEnd w:id="73407"/>
      <w:r>
        <w:rPr>
          <w:rFonts w:hint="cs"/>
          <w:rtl/>
        </w:rPr>
        <w:t xml:space="preserve">ההצעה </w:t>
      </w:r>
      <w:bookmarkStart w:id="73408" w:name="_ETM_Q129_230179"/>
      <w:bookmarkEnd w:id="73408"/>
      <w:r>
        <w:rPr>
          <w:rFonts w:hint="cs"/>
          <w:rtl/>
        </w:rPr>
        <w:t xml:space="preserve">הוא </w:t>
      </w:r>
      <w:bookmarkStart w:id="73409" w:name="_ETM_Q129_230479"/>
      <w:bookmarkEnd w:id="73409"/>
      <w:r>
        <w:rPr>
          <w:rFonts w:hint="cs"/>
          <w:rtl/>
        </w:rPr>
        <w:t xml:space="preserve">השתמש </w:t>
      </w:r>
      <w:bookmarkStart w:id="73410" w:name="_ETM_Q129_232379"/>
      <w:bookmarkEnd w:id="73410"/>
      <w:r>
        <w:rPr>
          <w:rFonts w:hint="cs"/>
          <w:rtl/>
        </w:rPr>
        <w:t xml:space="preserve">בדוגמאות </w:t>
      </w:r>
      <w:bookmarkStart w:id="73411" w:name="_ETM_Q129_235560"/>
      <w:bookmarkStart w:id="73412" w:name="_ETM_Q129_235920"/>
      <w:bookmarkStart w:id="73413" w:name="_ETM_Q129_248818"/>
      <w:bookmarkStart w:id="73414" w:name="_ETM_Q129_245009"/>
      <w:bookmarkEnd w:id="73411"/>
      <w:bookmarkEnd w:id="73412"/>
      <w:bookmarkEnd w:id="73413"/>
      <w:bookmarkEnd w:id="73414"/>
      <w:r>
        <w:rPr>
          <w:rFonts w:hint="cs"/>
          <w:rtl/>
        </w:rPr>
        <w:t xml:space="preserve">שבהן שרים </w:t>
      </w:r>
      <w:bookmarkStart w:id="73415" w:name="_ETM_Q129_236890"/>
      <w:bookmarkEnd w:id="73415"/>
      <w:r>
        <w:rPr>
          <w:rFonts w:hint="cs"/>
          <w:rtl/>
        </w:rPr>
        <w:t xml:space="preserve">וממשלות </w:t>
      </w:r>
      <w:bookmarkStart w:id="73416" w:name="_ETM_Q129_237940"/>
      <w:bookmarkEnd w:id="73416"/>
      <w:r>
        <w:rPr>
          <w:rFonts w:hint="cs"/>
          <w:rtl/>
        </w:rPr>
        <w:t xml:space="preserve">קיבלו, </w:t>
      </w:r>
      <w:bookmarkStart w:id="73417" w:name="_ETM_Q129_240070"/>
      <w:bookmarkEnd w:id="73417"/>
      <w:r>
        <w:rPr>
          <w:rFonts w:hint="cs"/>
          <w:rtl/>
        </w:rPr>
        <w:t xml:space="preserve">ובית </w:t>
      </w:r>
      <w:bookmarkStart w:id="73418" w:name="_ETM_Q129_240579"/>
      <w:bookmarkEnd w:id="73418"/>
      <w:r>
        <w:rPr>
          <w:rFonts w:hint="cs"/>
          <w:rtl/>
        </w:rPr>
        <w:t xml:space="preserve">המשפט </w:t>
      </w:r>
      <w:bookmarkStart w:id="73419" w:name="_ETM_Q129_241960"/>
      <w:bookmarkStart w:id="73420" w:name="_ETM_Q129_242200"/>
      <w:bookmarkEnd w:id="73419"/>
      <w:bookmarkEnd w:id="73420"/>
      <w:r>
        <w:rPr>
          <w:rFonts w:hint="cs"/>
          <w:rtl/>
        </w:rPr>
        <w:t xml:space="preserve">התערב. </w:t>
      </w:r>
      <w:bookmarkStart w:id="73421" w:name="_ETM_Q129_244000"/>
      <w:bookmarkEnd w:id="73421"/>
      <w:r>
        <w:rPr>
          <w:rFonts w:hint="cs"/>
          <w:rtl/>
        </w:rPr>
        <w:t xml:space="preserve">כל </w:t>
      </w:r>
      <w:bookmarkStart w:id="73422" w:name="_ETM_Q129_244390"/>
      <w:bookmarkEnd w:id="73422"/>
      <w:r>
        <w:rPr>
          <w:rFonts w:hint="cs"/>
          <w:rtl/>
        </w:rPr>
        <w:t xml:space="preserve">הדוגמאות </w:t>
      </w:r>
      <w:bookmarkStart w:id="73423" w:name="_ETM_Q129_246130"/>
      <w:bookmarkEnd w:id="73423"/>
      <w:r>
        <w:rPr>
          <w:rFonts w:hint="cs"/>
          <w:rtl/>
        </w:rPr>
        <w:t xml:space="preserve">ששמחה רוטמן </w:t>
      </w:r>
      <w:bookmarkStart w:id="73424" w:name="_ETM_Q129_246640"/>
      <w:bookmarkStart w:id="73425" w:name="_ETM_Q129_246969"/>
      <w:bookmarkStart w:id="73426" w:name="_ETM_Q129_247209"/>
      <w:bookmarkEnd w:id="73424"/>
      <w:bookmarkEnd w:id="73425"/>
      <w:bookmarkEnd w:id="73426"/>
      <w:r>
        <w:rPr>
          <w:rFonts w:hint="cs"/>
          <w:rtl/>
        </w:rPr>
        <w:t>העלה</w:t>
      </w:r>
      <w:bookmarkStart w:id="73427" w:name="_ETM_Q129_243697"/>
      <w:bookmarkEnd w:id="73427"/>
      <w:r>
        <w:rPr>
          <w:rFonts w:hint="cs"/>
          <w:rtl/>
        </w:rPr>
        <w:t xml:space="preserve"> </w:t>
      </w:r>
      <w:bookmarkStart w:id="73428" w:name="_ETM_Q129_247689"/>
      <w:bookmarkEnd w:id="73428"/>
      <w:r>
        <w:rPr>
          <w:rFonts w:hint="cs"/>
          <w:rtl/>
        </w:rPr>
        <w:t xml:space="preserve">בהצעה </w:t>
      </w:r>
      <w:bookmarkStart w:id="73429" w:name="_ETM_Q129_248530"/>
      <w:bookmarkEnd w:id="73429"/>
      <w:r>
        <w:rPr>
          <w:rFonts w:hint="cs"/>
          <w:rtl/>
        </w:rPr>
        <w:t xml:space="preserve">שלו </w:t>
      </w:r>
      <w:bookmarkStart w:id="73430" w:name="_ETM_Q129_250800"/>
      <w:bookmarkEnd w:id="73430"/>
      <w:r>
        <w:rPr>
          <w:rFonts w:hint="cs"/>
          <w:rtl/>
        </w:rPr>
        <w:t xml:space="preserve">מדברות </w:t>
      </w:r>
      <w:bookmarkStart w:id="73431" w:name="_ETM_Q129_251850"/>
      <w:bookmarkEnd w:id="73431"/>
      <w:r>
        <w:rPr>
          <w:rFonts w:hint="cs"/>
          <w:rtl/>
        </w:rPr>
        <w:t xml:space="preserve">בצורה </w:t>
      </w:r>
      <w:bookmarkStart w:id="73432" w:name="_ETM_Q129_252720"/>
      <w:bookmarkEnd w:id="73432"/>
      <w:r>
        <w:rPr>
          <w:rFonts w:hint="cs"/>
          <w:rtl/>
        </w:rPr>
        <w:t xml:space="preserve">ישירה </w:t>
      </w:r>
      <w:bookmarkStart w:id="73433" w:name="_ETM_Q129_253789"/>
      <w:bookmarkEnd w:id="73433"/>
      <w:r>
        <w:rPr>
          <w:rFonts w:hint="cs"/>
          <w:rtl/>
        </w:rPr>
        <w:t xml:space="preserve">על החלטות </w:t>
      </w:r>
      <w:bookmarkStart w:id="73434" w:name="_ETM_Q129_254179"/>
      <w:bookmarkStart w:id="73435" w:name="_ETM_Q129_255890"/>
      <w:bookmarkEnd w:id="73434"/>
      <w:bookmarkEnd w:id="73435"/>
      <w:r>
        <w:rPr>
          <w:rFonts w:hint="cs"/>
          <w:rtl/>
        </w:rPr>
        <w:t>ש</w:t>
      </w:r>
      <w:bookmarkStart w:id="73436" w:name="_ETM_Q129_256100"/>
      <w:bookmarkEnd w:id="73436"/>
      <w:r>
        <w:rPr>
          <w:rFonts w:hint="cs"/>
          <w:rtl/>
        </w:rPr>
        <w:t xml:space="preserve">ממשלות </w:t>
      </w:r>
      <w:bookmarkStart w:id="73437" w:name="_ETM_Q129_257670"/>
      <w:bookmarkEnd w:id="73437"/>
      <w:r>
        <w:rPr>
          <w:rFonts w:hint="cs"/>
          <w:rtl/>
        </w:rPr>
        <w:t xml:space="preserve">ושרים </w:t>
      </w:r>
      <w:bookmarkStart w:id="73438" w:name="_ETM_Q129_259220"/>
      <w:bookmarkEnd w:id="73438"/>
      <w:r>
        <w:rPr>
          <w:rFonts w:hint="cs"/>
          <w:rtl/>
        </w:rPr>
        <w:t xml:space="preserve">קיבלו, </w:t>
      </w:r>
      <w:bookmarkStart w:id="73439" w:name="_ETM_Q129_260430"/>
      <w:bookmarkEnd w:id="73439"/>
      <w:r>
        <w:rPr>
          <w:rFonts w:hint="cs"/>
          <w:rtl/>
        </w:rPr>
        <w:t xml:space="preserve">ובית </w:t>
      </w:r>
      <w:bookmarkStart w:id="73440" w:name="_ETM_Q129_261240"/>
      <w:bookmarkEnd w:id="73440"/>
      <w:r>
        <w:rPr>
          <w:rFonts w:hint="cs"/>
          <w:rtl/>
        </w:rPr>
        <w:t xml:space="preserve">המשפט </w:t>
      </w:r>
      <w:bookmarkStart w:id="73441" w:name="_ETM_Q129_262170"/>
      <w:bookmarkStart w:id="73442" w:name="_ETM_Q129_262530"/>
      <w:bookmarkEnd w:id="73441"/>
      <w:bookmarkEnd w:id="73442"/>
      <w:r>
        <w:rPr>
          <w:rFonts w:hint="cs"/>
          <w:rtl/>
        </w:rPr>
        <w:t xml:space="preserve">התערב. </w:t>
      </w:r>
      <w:bookmarkStart w:id="73443" w:name="_ETM_Q129_263619"/>
      <w:bookmarkEnd w:id="73443"/>
      <w:r>
        <w:rPr>
          <w:rFonts w:hint="cs"/>
          <w:rtl/>
        </w:rPr>
        <w:t xml:space="preserve">למרות </w:t>
      </w:r>
      <w:bookmarkStart w:id="73444" w:name="_ETM_Q129_264369"/>
      <w:bookmarkEnd w:id="73444"/>
      <w:r>
        <w:rPr>
          <w:rFonts w:hint="cs"/>
          <w:rtl/>
        </w:rPr>
        <w:t xml:space="preserve">כל </w:t>
      </w:r>
      <w:bookmarkStart w:id="73445" w:name="_ETM_Q129_264670"/>
      <w:bookmarkEnd w:id="73445"/>
      <w:r>
        <w:rPr>
          <w:rFonts w:hint="cs"/>
          <w:rtl/>
        </w:rPr>
        <w:t xml:space="preserve">הביקורת </w:t>
      </w:r>
      <w:bookmarkStart w:id="73446" w:name="_ETM_Q129_266479"/>
      <w:bookmarkEnd w:id="73446"/>
      <w:r>
        <w:rPr>
          <w:rFonts w:hint="cs"/>
          <w:rtl/>
        </w:rPr>
        <w:t xml:space="preserve">על </w:t>
      </w:r>
      <w:bookmarkStart w:id="73447" w:name="_ETM_Q129_266689"/>
      <w:bookmarkEnd w:id="73447"/>
      <w:r>
        <w:rPr>
          <w:rFonts w:hint="cs"/>
          <w:rtl/>
        </w:rPr>
        <w:t xml:space="preserve">המערכת, </w:t>
      </w:r>
      <w:bookmarkStart w:id="73448" w:name="_ETM_Q129_268830"/>
      <w:bookmarkStart w:id="73449" w:name="_ETM_Q129_269790"/>
      <w:bookmarkStart w:id="73450" w:name="_ETM_Q129_271929"/>
      <w:bookmarkEnd w:id="73448"/>
      <w:bookmarkEnd w:id="73449"/>
      <w:bookmarkEnd w:id="73450"/>
      <w:r>
        <w:rPr>
          <w:rFonts w:hint="cs"/>
          <w:rtl/>
        </w:rPr>
        <w:t xml:space="preserve">בית </w:t>
      </w:r>
      <w:bookmarkStart w:id="73451" w:name="_ETM_Q129_272319"/>
      <w:bookmarkEnd w:id="73451"/>
      <w:r>
        <w:rPr>
          <w:rFonts w:hint="cs"/>
          <w:rtl/>
        </w:rPr>
        <w:t xml:space="preserve">המשפט </w:t>
      </w:r>
      <w:bookmarkStart w:id="73452" w:name="_ETM_Q129_273979"/>
      <w:bookmarkEnd w:id="73452"/>
      <w:r>
        <w:rPr>
          <w:rFonts w:hint="cs"/>
          <w:rtl/>
        </w:rPr>
        <w:t xml:space="preserve">עדיין נשאר </w:t>
      </w:r>
      <w:bookmarkStart w:id="73453" w:name="_ETM_Q129_272278"/>
      <w:bookmarkEnd w:id="73453"/>
      <w:r>
        <w:rPr>
          <w:rFonts w:hint="cs"/>
          <w:rtl/>
        </w:rPr>
        <w:t>עבורנו</w:t>
      </w:r>
      <w:bookmarkStart w:id="73454" w:name="_ETM_Q129_281127"/>
      <w:bookmarkEnd w:id="73454"/>
      <w:r>
        <w:rPr>
          <w:rFonts w:hint="cs"/>
          <w:rtl/>
        </w:rPr>
        <w:t xml:space="preserve"> – </w:t>
      </w:r>
      <w:bookmarkStart w:id="73455" w:name="_ETM_Q129_274759"/>
      <w:bookmarkEnd w:id="73455"/>
      <w:r>
        <w:rPr>
          <w:rFonts w:hint="cs"/>
          <w:rtl/>
        </w:rPr>
        <w:t xml:space="preserve">כמיעוט </w:t>
      </w:r>
      <w:bookmarkStart w:id="73456" w:name="_ETM_Q129_275729"/>
      <w:bookmarkEnd w:id="73456"/>
      <w:r>
        <w:rPr>
          <w:rFonts w:hint="cs"/>
          <w:rtl/>
        </w:rPr>
        <w:t xml:space="preserve">לאומי, </w:t>
      </w:r>
      <w:bookmarkStart w:id="73457" w:name="_ETM_Q129_276780"/>
      <w:bookmarkEnd w:id="73457"/>
      <w:r>
        <w:rPr>
          <w:rFonts w:hint="cs"/>
          <w:rtl/>
        </w:rPr>
        <w:t>כ</w:t>
      </w:r>
      <w:bookmarkStart w:id="73458" w:name="_ETM_Q129_276959"/>
      <w:bookmarkEnd w:id="73458"/>
      <w:r>
        <w:rPr>
          <w:rFonts w:hint="cs"/>
          <w:rtl/>
        </w:rPr>
        <w:t xml:space="preserve">אזרחים </w:t>
      </w:r>
      <w:bookmarkStart w:id="73459" w:name="_ETM_Q129_277380"/>
      <w:bookmarkEnd w:id="73459"/>
      <w:r>
        <w:rPr>
          <w:rFonts w:hint="cs"/>
          <w:rtl/>
        </w:rPr>
        <w:t xml:space="preserve">בתוך </w:t>
      </w:r>
      <w:bookmarkStart w:id="73460" w:name="_ETM_Q129_277709"/>
      <w:bookmarkEnd w:id="73460"/>
      <w:r>
        <w:rPr>
          <w:rFonts w:hint="cs"/>
          <w:rtl/>
        </w:rPr>
        <w:t xml:space="preserve">מדינת </w:t>
      </w:r>
      <w:bookmarkStart w:id="73461" w:name="_ETM_Q129_278130"/>
      <w:bookmarkEnd w:id="73461"/>
      <w:r>
        <w:rPr>
          <w:rFonts w:hint="cs"/>
          <w:rtl/>
        </w:rPr>
        <w:t>ישראל –</w:t>
      </w:r>
      <w:bookmarkStart w:id="73462" w:name="_ETM_Q129_278218"/>
      <w:bookmarkEnd w:id="73462"/>
      <w:r>
        <w:rPr>
          <w:rFonts w:hint="cs"/>
          <w:rtl/>
        </w:rPr>
        <w:t xml:space="preserve"> </w:t>
      </w:r>
      <w:bookmarkStart w:id="73463" w:name="_ETM_Q129_279560"/>
      <w:bookmarkStart w:id="73464" w:name="_ETM_Q129_280729"/>
      <w:bookmarkEnd w:id="73463"/>
      <w:bookmarkEnd w:id="73464"/>
      <w:r>
        <w:rPr>
          <w:rFonts w:hint="cs"/>
          <w:rtl/>
        </w:rPr>
        <w:t xml:space="preserve">קו </w:t>
      </w:r>
      <w:bookmarkStart w:id="73465" w:name="_ETM_Q129_281209"/>
      <w:bookmarkEnd w:id="73465"/>
      <w:r>
        <w:rPr>
          <w:rFonts w:hint="cs"/>
          <w:rtl/>
        </w:rPr>
        <w:t xml:space="preserve">ההגנה </w:t>
      </w:r>
      <w:bookmarkStart w:id="73466" w:name="_ETM_Q129_282110"/>
      <w:bookmarkEnd w:id="73466"/>
      <w:r>
        <w:rPr>
          <w:rFonts w:hint="cs"/>
          <w:rtl/>
        </w:rPr>
        <w:t xml:space="preserve">אחרון. </w:t>
      </w:r>
      <w:bookmarkStart w:id="73467" w:name="_ETM_Q129_283649"/>
      <w:bookmarkStart w:id="73468" w:name="_ETM_Q129_284880"/>
      <w:bookmarkStart w:id="73469" w:name="_ETM_Q129_285630"/>
      <w:bookmarkEnd w:id="73467"/>
      <w:bookmarkEnd w:id="73468"/>
      <w:bookmarkEnd w:id="73469"/>
    </w:p>
    <w:p w:rsidR="00BB59CD" w:rsidRDefault="00BB59CD" w:rsidP="00BB59CD">
      <w:pPr>
        <w:rPr>
          <w:rtl/>
        </w:rPr>
      </w:pPr>
      <w:bookmarkStart w:id="73470" w:name="_ETM_Q129_147070"/>
      <w:bookmarkStart w:id="73471" w:name="_ETM_Q129_147146"/>
      <w:bookmarkEnd w:id="73470"/>
      <w:bookmarkEnd w:id="73471"/>
    </w:p>
    <w:p w:rsidR="00BB59CD" w:rsidRDefault="00BB59CD" w:rsidP="00597063">
      <w:pPr>
        <w:rPr>
          <w:rtl/>
        </w:rPr>
      </w:pPr>
      <w:bookmarkStart w:id="73472" w:name="_ETM_Q129_175234"/>
      <w:bookmarkStart w:id="73473" w:name="_ETM_Q129_147256"/>
      <w:bookmarkStart w:id="73474" w:name="_ETM_Q129_147311"/>
      <w:bookmarkStart w:id="73475" w:name="_ETM_Q129_175499"/>
      <w:bookmarkStart w:id="73476" w:name="_ETM_Q129_171689"/>
      <w:bookmarkStart w:id="73477" w:name="_ETM_Q129_167309"/>
      <w:bookmarkStart w:id="73478" w:name="_ETM_Q129_163539"/>
      <w:bookmarkStart w:id="73479" w:name="_ETM_Q129_159529"/>
      <w:bookmarkStart w:id="73480" w:name="_ETM_Q129_155638"/>
      <w:bookmarkStart w:id="73481" w:name="_ETM_Q129_152338"/>
      <w:bookmarkStart w:id="73482" w:name="_ETM_Q129_147417"/>
      <w:bookmarkStart w:id="73483" w:name="_ETM_Q129_147480"/>
      <w:bookmarkStart w:id="73484" w:name="_ETM_Q129_286079"/>
      <w:bookmarkEnd w:id="73472"/>
      <w:bookmarkEnd w:id="73473"/>
      <w:bookmarkEnd w:id="73474"/>
      <w:bookmarkEnd w:id="73475"/>
      <w:bookmarkEnd w:id="73476"/>
      <w:bookmarkEnd w:id="73477"/>
      <w:bookmarkEnd w:id="73478"/>
      <w:bookmarkEnd w:id="73479"/>
      <w:bookmarkEnd w:id="73480"/>
      <w:bookmarkEnd w:id="73481"/>
      <w:bookmarkEnd w:id="73482"/>
      <w:bookmarkEnd w:id="73483"/>
      <w:bookmarkEnd w:id="73484"/>
      <w:r>
        <w:rPr>
          <w:rFonts w:hint="cs"/>
          <w:rtl/>
        </w:rPr>
        <w:t>נכון שקו ההגנה האחרון</w:t>
      </w:r>
      <w:bookmarkStart w:id="73485" w:name="_ETM_Q129_286740"/>
      <w:bookmarkStart w:id="73486" w:name="_ETM_Q129_295758"/>
      <w:bookmarkEnd w:id="73485"/>
      <w:bookmarkEnd w:id="73486"/>
      <w:r>
        <w:rPr>
          <w:rFonts w:hint="cs"/>
          <w:rtl/>
        </w:rPr>
        <w:t xml:space="preserve"> </w:t>
      </w:r>
      <w:bookmarkStart w:id="73487" w:name="_ETM_Q129_286950"/>
      <w:bookmarkEnd w:id="73487"/>
      <w:r>
        <w:rPr>
          <w:rFonts w:hint="cs"/>
          <w:rtl/>
        </w:rPr>
        <w:t xml:space="preserve">לא </w:t>
      </w:r>
      <w:bookmarkStart w:id="73488" w:name="_ETM_Q129_287159"/>
      <w:bookmarkEnd w:id="73488"/>
      <w:r>
        <w:rPr>
          <w:rFonts w:hint="cs"/>
          <w:rtl/>
        </w:rPr>
        <w:t xml:space="preserve">כל </w:t>
      </w:r>
      <w:bookmarkStart w:id="73489" w:name="_ETM_Q129_287429"/>
      <w:bookmarkEnd w:id="73489"/>
      <w:r>
        <w:rPr>
          <w:rFonts w:hint="cs"/>
          <w:rtl/>
        </w:rPr>
        <w:t xml:space="preserve">כך </w:t>
      </w:r>
      <w:bookmarkStart w:id="73490" w:name="_ETM_Q129_288680"/>
      <w:bookmarkEnd w:id="73490"/>
      <w:r>
        <w:rPr>
          <w:rFonts w:hint="cs"/>
          <w:rtl/>
        </w:rPr>
        <w:t xml:space="preserve">מגן </w:t>
      </w:r>
      <w:bookmarkStart w:id="73491" w:name="_ETM_Q129_289190"/>
      <w:bookmarkEnd w:id="73491"/>
      <w:r>
        <w:rPr>
          <w:rFonts w:hint="cs"/>
          <w:rtl/>
        </w:rPr>
        <w:t>עלינ</w:t>
      </w:r>
      <w:bookmarkStart w:id="73492" w:name="_ETM_Q129_283737"/>
      <w:bookmarkEnd w:id="73492"/>
      <w:r>
        <w:rPr>
          <w:rFonts w:hint="cs"/>
          <w:rtl/>
        </w:rPr>
        <w:t xml:space="preserve">ו </w:t>
      </w:r>
      <w:bookmarkStart w:id="73493" w:name="_ETM_Q129_290840"/>
      <w:bookmarkEnd w:id="73493"/>
      <w:r>
        <w:rPr>
          <w:rFonts w:hint="cs"/>
          <w:rtl/>
        </w:rPr>
        <w:t>ב</w:t>
      </w:r>
      <w:bookmarkStart w:id="73494" w:name="_ETM_Q129_291049"/>
      <w:bookmarkEnd w:id="73494"/>
      <w:r>
        <w:rPr>
          <w:rFonts w:hint="cs"/>
          <w:rtl/>
        </w:rPr>
        <w:t xml:space="preserve">סוגיות </w:t>
      </w:r>
      <w:bookmarkStart w:id="73495" w:name="_ETM_Q129_292209"/>
      <w:bookmarkEnd w:id="73495"/>
      <w:r>
        <w:rPr>
          <w:rFonts w:hint="cs"/>
          <w:rtl/>
        </w:rPr>
        <w:t xml:space="preserve">הכי </w:t>
      </w:r>
      <w:bookmarkStart w:id="73496" w:name="_ETM_Q129_292539"/>
      <w:bookmarkEnd w:id="73496"/>
      <w:r>
        <w:rPr>
          <w:rFonts w:hint="cs"/>
          <w:rtl/>
        </w:rPr>
        <w:t xml:space="preserve">מרכזיות </w:t>
      </w:r>
      <w:bookmarkStart w:id="73497" w:name="_ETM_Q129_293740"/>
      <w:bookmarkEnd w:id="73497"/>
      <w:r>
        <w:rPr>
          <w:rFonts w:hint="cs"/>
          <w:rtl/>
        </w:rPr>
        <w:t xml:space="preserve">עבורנו. </w:t>
      </w:r>
      <w:bookmarkStart w:id="73498" w:name="_ETM_Q129_296009"/>
      <w:bookmarkEnd w:id="73498"/>
      <w:r>
        <w:rPr>
          <w:rFonts w:hint="cs"/>
          <w:rtl/>
        </w:rPr>
        <w:t xml:space="preserve">קו </w:t>
      </w:r>
      <w:bookmarkStart w:id="73499" w:name="_ETM_Q129_296280"/>
      <w:bookmarkEnd w:id="73499"/>
      <w:r>
        <w:rPr>
          <w:rFonts w:hint="cs"/>
          <w:rtl/>
        </w:rPr>
        <w:t xml:space="preserve">ההגנה </w:t>
      </w:r>
      <w:bookmarkStart w:id="73500" w:name="_ETM_Q129_297149"/>
      <w:bookmarkEnd w:id="73500"/>
      <w:r>
        <w:rPr>
          <w:rFonts w:hint="cs"/>
          <w:rtl/>
        </w:rPr>
        <w:t xml:space="preserve">של </w:t>
      </w:r>
      <w:bookmarkStart w:id="73501" w:name="_ETM_Q129_297420"/>
      <w:bookmarkEnd w:id="73501"/>
      <w:r>
        <w:rPr>
          <w:rFonts w:hint="cs"/>
          <w:rtl/>
        </w:rPr>
        <w:t xml:space="preserve">בית </w:t>
      </w:r>
      <w:bookmarkStart w:id="73502" w:name="_ETM_Q129_297659"/>
      <w:bookmarkEnd w:id="73502"/>
      <w:r>
        <w:rPr>
          <w:rFonts w:hint="cs"/>
          <w:rtl/>
        </w:rPr>
        <w:t xml:space="preserve">המשפט </w:t>
      </w:r>
      <w:bookmarkStart w:id="73503" w:name="_ETM_Q129_298259"/>
      <w:bookmarkEnd w:id="73503"/>
      <w:r>
        <w:rPr>
          <w:rFonts w:hint="cs"/>
          <w:rtl/>
        </w:rPr>
        <w:t xml:space="preserve">העליון </w:t>
      </w:r>
      <w:bookmarkStart w:id="73504" w:name="_ETM_Q129_299819"/>
      <w:bookmarkEnd w:id="73504"/>
      <w:r>
        <w:rPr>
          <w:rFonts w:hint="cs"/>
          <w:rtl/>
        </w:rPr>
        <w:t xml:space="preserve">לא </w:t>
      </w:r>
      <w:bookmarkStart w:id="73505" w:name="_ETM_Q129_300329"/>
      <w:bookmarkEnd w:id="73505"/>
      <w:r>
        <w:rPr>
          <w:rFonts w:hint="cs"/>
          <w:rtl/>
        </w:rPr>
        <w:t xml:space="preserve">הגן </w:t>
      </w:r>
      <w:bookmarkStart w:id="73506" w:name="_ETM_Q129_300810"/>
      <w:bookmarkEnd w:id="73506"/>
      <w:r>
        <w:rPr>
          <w:rFonts w:hint="cs"/>
          <w:rtl/>
        </w:rPr>
        <w:t xml:space="preserve">על </w:t>
      </w:r>
      <w:bookmarkStart w:id="73507" w:name="_ETM_Q129_300959"/>
      <w:bookmarkEnd w:id="73507"/>
      <w:r>
        <w:rPr>
          <w:rFonts w:hint="cs"/>
          <w:rtl/>
        </w:rPr>
        <w:t xml:space="preserve">המיעוט </w:t>
      </w:r>
      <w:bookmarkStart w:id="73508" w:name="_ETM_Q129_301439"/>
      <w:bookmarkEnd w:id="73508"/>
      <w:r>
        <w:rPr>
          <w:rFonts w:hint="cs"/>
          <w:rtl/>
        </w:rPr>
        <w:t xml:space="preserve">הלאומי </w:t>
      </w:r>
      <w:bookmarkStart w:id="73509" w:name="_ETM_Q129_301920"/>
      <w:bookmarkEnd w:id="73509"/>
      <w:r>
        <w:rPr>
          <w:rFonts w:hint="cs"/>
          <w:rtl/>
        </w:rPr>
        <w:t>הערבי</w:t>
      </w:r>
      <w:bookmarkStart w:id="73510" w:name="_ETM_Q129_302399"/>
      <w:bookmarkEnd w:id="73510"/>
      <w:r>
        <w:rPr>
          <w:rFonts w:hint="cs"/>
          <w:rtl/>
        </w:rPr>
        <w:t xml:space="preserve">-הפלסטיני, לא </w:t>
      </w:r>
      <w:bookmarkStart w:id="73511" w:name="_ETM_Q129_303569"/>
      <w:bookmarkEnd w:id="73511"/>
      <w:r>
        <w:rPr>
          <w:rFonts w:hint="cs"/>
          <w:rtl/>
        </w:rPr>
        <w:t xml:space="preserve">בחוק </w:t>
      </w:r>
      <w:bookmarkStart w:id="73512" w:name="_ETM_Q129_304049"/>
      <w:bookmarkEnd w:id="73512"/>
      <w:r>
        <w:rPr>
          <w:rFonts w:hint="cs"/>
          <w:rtl/>
        </w:rPr>
        <w:t xml:space="preserve">הלאום </w:t>
      </w:r>
      <w:bookmarkStart w:id="73513" w:name="_ETM_Q129_306140"/>
      <w:bookmarkStart w:id="73514" w:name="_ETM_Q129_306320"/>
      <w:bookmarkEnd w:id="73513"/>
      <w:bookmarkEnd w:id="73514"/>
      <w:r>
        <w:rPr>
          <w:rFonts w:hint="cs"/>
          <w:rtl/>
        </w:rPr>
        <w:t xml:space="preserve">ולא </w:t>
      </w:r>
      <w:bookmarkStart w:id="73515" w:name="_ETM_Q129_306650"/>
      <w:bookmarkEnd w:id="73515"/>
      <w:r>
        <w:rPr>
          <w:rFonts w:hint="cs"/>
          <w:rtl/>
        </w:rPr>
        <w:t>ב</w:t>
      </w:r>
      <w:bookmarkStart w:id="73516" w:name="_ETM_Q129_303436"/>
      <w:bookmarkEnd w:id="73516"/>
      <w:r>
        <w:rPr>
          <w:rFonts w:hint="cs"/>
          <w:rtl/>
        </w:rPr>
        <w:t xml:space="preserve">חוק </w:t>
      </w:r>
      <w:bookmarkStart w:id="73517" w:name="_ETM_Q129_306890"/>
      <w:bookmarkEnd w:id="73517"/>
      <w:r>
        <w:rPr>
          <w:rFonts w:hint="cs"/>
          <w:rtl/>
        </w:rPr>
        <w:t xml:space="preserve">קמיניץ </w:t>
      </w:r>
      <w:bookmarkStart w:id="73518" w:name="_ETM_Q129_308360"/>
      <w:bookmarkEnd w:id="73518"/>
      <w:r>
        <w:rPr>
          <w:rFonts w:hint="cs"/>
          <w:rtl/>
        </w:rPr>
        <w:t xml:space="preserve">ולא </w:t>
      </w:r>
      <w:bookmarkStart w:id="73519" w:name="_ETM_Q129_308750"/>
      <w:bookmarkEnd w:id="73519"/>
      <w:r>
        <w:rPr>
          <w:rFonts w:hint="cs"/>
          <w:rtl/>
        </w:rPr>
        <w:t xml:space="preserve">במשפט </w:t>
      </w:r>
      <w:bookmarkStart w:id="73520" w:name="_ETM_Q129_309260"/>
      <w:bookmarkEnd w:id="73520"/>
      <w:r>
        <w:rPr>
          <w:rFonts w:hint="cs"/>
          <w:rtl/>
        </w:rPr>
        <w:t>אל-עראקיב</w:t>
      </w:r>
      <w:bookmarkStart w:id="73521" w:name="_ETM_Q129_305986"/>
      <w:bookmarkEnd w:id="73521"/>
      <w:r>
        <w:rPr>
          <w:rFonts w:hint="cs"/>
          <w:rtl/>
        </w:rPr>
        <w:t xml:space="preserve"> </w:t>
      </w:r>
      <w:bookmarkStart w:id="73522" w:name="_ETM_Q129_309470"/>
      <w:bookmarkStart w:id="73523" w:name="_ETM_Q129_306886"/>
      <w:bookmarkStart w:id="73524" w:name="_ETM_Q129_311010"/>
      <w:bookmarkEnd w:id="73522"/>
      <w:bookmarkEnd w:id="73523"/>
      <w:bookmarkEnd w:id="73524"/>
      <w:r>
        <w:rPr>
          <w:rFonts w:hint="cs"/>
          <w:rtl/>
        </w:rPr>
        <w:t xml:space="preserve">ולא </w:t>
      </w:r>
      <w:bookmarkStart w:id="73525" w:name="_ETM_Q129_311400"/>
      <w:bookmarkEnd w:id="73525"/>
      <w:r>
        <w:rPr>
          <w:rFonts w:hint="cs"/>
          <w:rtl/>
        </w:rPr>
        <w:t>ברצח</w:t>
      </w:r>
      <w:bookmarkStart w:id="73526" w:name="_ETM_Q129_311879"/>
      <w:bookmarkStart w:id="73527" w:name="_ETM_Q129_314200"/>
      <w:bookmarkEnd w:id="73526"/>
      <w:bookmarkEnd w:id="73527"/>
      <w:r>
        <w:rPr>
          <w:rFonts w:hint="cs"/>
          <w:rtl/>
        </w:rPr>
        <w:t xml:space="preserve"> יעקוב אבו אלקיעאן. ב</w:t>
      </w:r>
      <w:bookmarkStart w:id="73528" w:name="_ETM_Q129_314500"/>
      <w:bookmarkEnd w:id="73528"/>
      <w:r>
        <w:rPr>
          <w:rFonts w:hint="cs"/>
          <w:rtl/>
        </w:rPr>
        <w:t xml:space="preserve">הרבה </w:t>
      </w:r>
      <w:bookmarkStart w:id="73529" w:name="_ETM_Q129_315130"/>
      <w:bookmarkEnd w:id="73529"/>
      <w:r>
        <w:rPr>
          <w:rFonts w:hint="cs"/>
          <w:rtl/>
        </w:rPr>
        <w:t xml:space="preserve">סוגיות </w:t>
      </w:r>
      <w:bookmarkStart w:id="73530" w:name="_ETM_Q129_316090"/>
      <w:bookmarkEnd w:id="73530"/>
      <w:r>
        <w:rPr>
          <w:rFonts w:hint="cs"/>
          <w:rtl/>
        </w:rPr>
        <w:t xml:space="preserve">לא </w:t>
      </w:r>
      <w:bookmarkStart w:id="73531" w:name="_ETM_Q129_316600"/>
      <w:bookmarkEnd w:id="73531"/>
      <w:r>
        <w:rPr>
          <w:rFonts w:hint="cs"/>
          <w:rtl/>
        </w:rPr>
        <w:t xml:space="preserve">מצאנו </w:t>
      </w:r>
      <w:bookmarkStart w:id="73532" w:name="_ETM_Q129_317999"/>
      <w:bookmarkEnd w:id="73532"/>
      <w:r>
        <w:rPr>
          <w:rFonts w:hint="cs"/>
          <w:rtl/>
        </w:rPr>
        <w:t xml:space="preserve">את </w:t>
      </w:r>
      <w:bookmarkStart w:id="73533" w:name="_ETM_Q129_318389"/>
      <w:bookmarkEnd w:id="73533"/>
      <w:r>
        <w:rPr>
          <w:rFonts w:hint="cs"/>
          <w:rtl/>
        </w:rPr>
        <w:t xml:space="preserve">הצדק </w:t>
      </w:r>
      <w:bookmarkStart w:id="73534" w:name="_ETM_Q129_319409"/>
      <w:bookmarkEnd w:id="73534"/>
      <w:r>
        <w:rPr>
          <w:rFonts w:hint="cs"/>
          <w:rtl/>
        </w:rPr>
        <w:t>ב</w:t>
      </w:r>
      <w:bookmarkStart w:id="73535" w:name="_ETM_Q129_320159"/>
      <w:bookmarkEnd w:id="73535"/>
      <w:r>
        <w:rPr>
          <w:rFonts w:hint="cs"/>
          <w:rtl/>
        </w:rPr>
        <w:t xml:space="preserve">בית </w:t>
      </w:r>
      <w:bookmarkStart w:id="73536" w:name="_ETM_Q129_320579"/>
      <w:bookmarkEnd w:id="73536"/>
      <w:r>
        <w:rPr>
          <w:rFonts w:hint="cs"/>
          <w:rtl/>
        </w:rPr>
        <w:t xml:space="preserve">המשפט, </w:t>
      </w:r>
      <w:bookmarkStart w:id="73537" w:name="_ETM_Q129_322190"/>
      <w:bookmarkEnd w:id="73537"/>
      <w:r>
        <w:rPr>
          <w:rFonts w:hint="cs"/>
          <w:rtl/>
        </w:rPr>
        <w:t xml:space="preserve">אבל </w:t>
      </w:r>
      <w:bookmarkStart w:id="73538" w:name="_ETM_Q129_322550"/>
      <w:bookmarkEnd w:id="73538"/>
      <w:r>
        <w:rPr>
          <w:rFonts w:hint="cs"/>
          <w:rtl/>
        </w:rPr>
        <w:t xml:space="preserve">בכל </w:t>
      </w:r>
      <w:bookmarkStart w:id="73539" w:name="_ETM_Q129_322970"/>
      <w:bookmarkEnd w:id="73539"/>
      <w:r>
        <w:rPr>
          <w:rFonts w:hint="cs"/>
          <w:rtl/>
        </w:rPr>
        <w:t xml:space="preserve">זאת, </w:t>
      </w:r>
      <w:bookmarkStart w:id="73540" w:name="_ETM_Q129_324260"/>
      <w:bookmarkEnd w:id="73540"/>
      <w:r>
        <w:rPr>
          <w:rFonts w:hint="cs"/>
          <w:rtl/>
        </w:rPr>
        <w:t xml:space="preserve">עדיין, </w:t>
      </w:r>
      <w:bookmarkStart w:id="73541" w:name="_ETM_Q129_325580"/>
      <w:bookmarkEnd w:id="73541"/>
      <w:r>
        <w:rPr>
          <w:rFonts w:hint="cs"/>
          <w:rtl/>
        </w:rPr>
        <w:t xml:space="preserve">מהכוונה </w:t>
      </w:r>
      <w:bookmarkStart w:id="73542" w:name="_ETM_Q129_327110"/>
      <w:bookmarkEnd w:id="73542"/>
      <w:r w:rsidR="00597063">
        <w:rPr>
          <w:rFonts w:hint="cs"/>
          <w:rtl/>
        </w:rPr>
        <w:t>ל</w:t>
      </w:r>
      <w:r>
        <w:rPr>
          <w:rFonts w:hint="cs"/>
          <w:rtl/>
        </w:rPr>
        <w:t xml:space="preserve">ביטול </w:t>
      </w:r>
      <w:bookmarkStart w:id="73543" w:name="_ETM_Q129_328930"/>
      <w:bookmarkEnd w:id="73543"/>
      <w:r>
        <w:rPr>
          <w:rFonts w:hint="cs"/>
          <w:rtl/>
        </w:rPr>
        <w:t xml:space="preserve">ומהדוגמאות </w:t>
      </w:r>
      <w:bookmarkStart w:id="73544" w:name="_ETM_Q129_330540"/>
      <w:bookmarkStart w:id="73545" w:name="_ETM_Q129_331200"/>
      <w:bookmarkEnd w:id="73544"/>
      <w:bookmarkEnd w:id="73545"/>
      <w:r>
        <w:rPr>
          <w:rFonts w:hint="cs"/>
          <w:rtl/>
        </w:rPr>
        <w:t xml:space="preserve">ששמחה רוטמן </w:t>
      </w:r>
      <w:bookmarkStart w:id="73546" w:name="_ETM_Q129_331560"/>
      <w:bookmarkEnd w:id="73546"/>
      <w:r>
        <w:rPr>
          <w:rFonts w:hint="cs"/>
          <w:rtl/>
        </w:rPr>
        <w:t xml:space="preserve">מדבר </w:t>
      </w:r>
      <w:bookmarkStart w:id="73547" w:name="_ETM_Q129_332460"/>
      <w:bookmarkEnd w:id="73547"/>
      <w:r>
        <w:rPr>
          <w:rFonts w:hint="cs"/>
          <w:rtl/>
        </w:rPr>
        <w:t>עליהן</w:t>
      </w:r>
      <w:bookmarkStart w:id="73548" w:name="_ETM_Q129_328548"/>
      <w:bookmarkEnd w:id="73548"/>
      <w:r>
        <w:rPr>
          <w:rFonts w:hint="cs"/>
          <w:rtl/>
        </w:rPr>
        <w:t xml:space="preserve">, </w:t>
      </w:r>
      <w:bookmarkStart w:id="73549" w:name="_ETM_Q129_333720"/>
      <w:bookmarkStart w:id="73550" w:name="_ETM_Q129_334620"/>
      <w:bookmarkEnd w:id="73549"/>
      <w:bookmarkEnd w:id="73550"/>
      <w:r>
        <w:rPr>
          <w:rFonts w:hint="cs"/>
          <w:rtl/>
        </w:rPr>
        <w:t xml:space="preserve">כמיעוט </w:t>
      </w:r>
      <w:bookmarkStart w:id="73551" w:name="_ETM_Q129_335819"/>
      <w:bookmarkEnd w:id="73551"/>
      <w:r>
        <w:rPr>
          <w:rFonts w:hint="cs"/>
          <w:rtl/>
        </w:rPr>
        <w:t xml:space="preserve">יש </w:t>
      </w:r>
      <w:bookmarkStart w:id="73552" w:name="_ETM_Q129_336270"/>
      <w:bookmarkEnd w:id="73552"/>
      <w:r>
        <w:rPr>
          <w:rFonts w:hint="cs"/>
          <w:rtl/>
        </w:rPr>
        <w:t xml:space="preserve">לנו </w:t>
      </w:r>
      <w:bookmarkStart w:id="73553" w:name="_ETM_Q129_337210"/>
      <w:bookmarkStart w:id="73554" w:name="_ETM_Q129_337480"/>
      <w:bookmarkStart w:id="73555" w:name="_ETM_Q129_337900"/>
      <w:bookmarkEnd w:id="73553"/>
      <w:bookmarkEnd w:id="73554"/>
      <w:bookmarkEnd w:id="73555"/>
      <w:r>
        <w:rPr>
          <w:rFonts w:hint="cs"/>
          <w:rtl/>
        </w:rPr>
        <w:t xml:space="preserve">את כל </w:t>
      </w:r>
      <w:bookmarkStart w:id="73556" w:name="_ETM_Q129_376836"/>
      <w:bookmarkEnd w:id="73556"/>
      <w:r>
        <w:rPr>
          <w:rFonts w:hint="cs"/>
          <w:rtl/>
        </w:rPr>
        <w:t xml:space="preserve">החשש. </w:t>
      </w:r>
      <w:bookmarkStart w:id="73557" w:name="_ETM_Q129_339280"/>
      <w:bookmarkEnd w:id="73557"/>
      <w:r>
        <w:rPr>
          <w:rFonts w:hint="cs"/>
          <w:rtl/>
        </w:rPr>
        <w:t xml:space="preserve">במיוחד </w:t>
      </w:r>
      <w:bookmarkStart w:id="73558" w:name="_ETM_Q129_340750"/>
      <w:bookmarkEnd w:id="73558"/>
      <w:r>
        <w:rPr>
          <w:rFonts w:hint="cs"/>
          <w:rtl/>
        </w:rPr>
        <w:t xml:space="preserve">בממשלה </w:t>
      </w:r>
      <w:bookmarkStart w:id="73559" w:name="_ETM_Q129_341919"/>
      <w:bookmarkEnd w:id="73559"/>
      <w:r>
        <w:rPr>
          <w:rFonts w:hint="cs"/>
          <w:rtl/>
        </w:rPr>
        <w:t xml:space="preserve">הזו, </w:t>
      </w:r>
      <w:bookmarkStart w:id="73560" w:name="_ETM_Q129_343489"/>
      <w:bookmarkEnd w:id="73560"/>
      <w:r>
        <w:rPr>
          <w:rFonts w:hint="cs"/>
          <w:rtl/>
        </w:rPr>
        <w:t xml:space="preserve">ממשלה </w:t>
      </w:r>
      <w:bookmarkStart w:id="73561" w:name="_ETM_Q129_344269"/>
      <w:bookmarkEnd w:id="73561"/>
      <w:r>
        <w:rPr>
          <w:rFonts w:hint="cs"/>
          <w:rtl/>
        </w:rPr>
        <w:t xml:space="preserve">שבמרכזה – </w:t>
      </w:r>
      <w:bookmarkStart w:id="73562" w:name="_ETM_Q129_346189"/>
      <w:bookmarkEnd w:id="73562"/>
      <w:r>
        <w:rPr>
          <w:rFonts w:hint="cs"/>
          <w:rtl/>
        </w:rPr>
        <w:t xml:space="preserve">גם </w:t>
      </w:r>
      <w:bookmarkStart w:id="73563" w:name="_ETM_Q129_346669"/>
      <w:bookmarkEnd w:id="73563"/>
      <w:r>
        <w:rPr>
          <w:rFonts w:hint="cs"/>
          <w:rtl/>
        </w:rPr>
        <w:t xml:space="preserve">מי </w:t>
      </w:r>
      <w:bookmarkStart w:id="73564" w:name="_ETM_Q129_347029"/>
      <w:bookmarkEnd w:id="73564"/>
      <w:r>
        <w:rPr>
          <w:rFonts w:hint="cs"/>
          <w:rtl/>
        </w:rPr>
        <w:t xml:space="preserve">שמציע </w:t>
      </w:r>
      <w:bookmarkStart w:id="73565" w:name="_ETM_Q129_347510"/>
      <w:bookmarkEnd w:id="73565"/>
      <w:r>
        <w:rPr>
          <w:rFonts w:hint="cs"/>
          <w:rtl/>
        </w:rPr>
        <w:t xml:space="preserve">את </w:t>
      </w:r>
      <w:bookmarkStart w:id="73566" w:name="_ETM_Q129_347689"/>
      <w:bookmarkStart w:id="73567" w:name="_ETM_Q129_354760"/>
      <w:bookmarkStart w:id="73568" w:name="_ETM_Q129_355389"/>
      <w:bookmarkEnd w:id="73566"/>
      <w:bookmarkEnd w:id="73567"/>
      <w:bookmarkEnd w:id="73568"/>
      <w:r>
        <w:rPr>
          <w:rFonts w:hint="cs"/>
          <w:rtl/>
        </w:rPr>
        <w:t xml:space="preserve">ההצעה </w:t>
      </w:r>
      <w:bookmarkStart w:id="73569" w:name="_ETM_Q129_355900"/>
      <w:bookmarkEnd w:id="73569"/>
      <w:r>
        <w:rPr>
          <w:rFonts w:hint="cs"/>
          <w:rtl/>
        </w:rPr>
        <w:t xml:space="preserve">בא ממנה – מפלגה </w:t>
      </w:r>
      <w:bookmarkStart w:id="73570" w:name="_ETM_Q129_358130"/>
      <w:bookmarkEnd w:id="73570"/>
      <w:r>
        <w:rPr>
          <w:rFonts w:hint="cs"/>
          <w:rtl/>
        </w:rPr>
        <w:t xml:space="preserve">שיש </w:t>
      </w:r>
      <w:bookmarkStart w:id="73571" w:name="_ETM_Q129_358639"/>
      <w:bookmarkEnd w:id="73571"/>
      <w:r>
        <w:rPr>
          <w:rFonts w:hint="cs"/>
          <w:rtl/>
        </w:rPr>
        <w:t xml:space="preserve">לה </w:t>
      </w:r>
      <w:bookmarkStart w:id="73572" w:name="_ETM_Q129_358940"/>
      <w:bookmarkEnd w:id="73572"/>
      <w:r>
        <w:rPr>
          <w:rFonts w:hint="cs"/>
          <w:rtl/>
        </w:rPr>
        <w:t xml:space="preserve">את </w:t>
      </w:r>
      <w:bookmarkStart w:id="73573" w:name="_ETM_Q129_359120"/>
      <w:bookmarkEnd w:id="73573"/>
      <w:r>
        <w:rPr>
          <w:rFonts w:hint="cs"/>
          <w:rtl/>
        </w:rPr>
        <w:t xml:space="preserve">כל </w:t>
      </w:r>
      <w:bookmarkStart w:id="73574" w:name="_ETM_Q129_359540"/>
      <w:bookmarkEnd w:id="73574"/>
      <w:r>
        <w:rPr>
          <w:rFonts w:hint="cs"/>
          <w:rtl/>
        </w:rPr>
        <w:t xml:space="preserve">התוכניות </w:t>
      </w:r>
      <w:bookmarkStart w:id="73575" w:name="_ETM_Q129_361040"/>
      <w:bookmarkEnd w:id="73575"/>
      <w:r>
        <w:rPr>
          <w:rFonts w:hint="cs"/>
          <w:rtl/>
        </w:rPr>
        <w:t xml:space="preserve">הכי </w:t>
      </w:r>
      <w:bookmarkStart w:id="73576" w:name="_ETM_Q129_361519"/>
      <w:bookmarkEnd w:id="73576"/>
      <w:r>
        <w:rPr>
          <w:rFonts w:hint="cs"/>
          <w:rtl/>
        </w:rPr>
        <w:t xml:space="preserve">הרסניות </w:t>
      </w:r>
      <w:bookmarkStart w:id="73577" w:name="_ETM_Q129_362819"/>
      <w:bookmarkStart w:id="73578" w:name="_ETM_Q129_362999"/>
      <w:bookmarkEnd w:id="73577"/>
      <w:bookmarkEnd w:id="73578"/>
      <w:r>
        <w:rPr>
          <w:rFonts w:hint="cs"/>
          <w:rtl/>
        </w:rPr>
        <w:t xml:space="preserve">כלפי </w:t>
      </w:r>
      <w:bookmarkStart w:id="73579" w:name="_ETM_Q129_363510"/>
      <w:bookmarkEnd w:id="73579"/>
      <w:r>
        <w:rPr>
          <w:rFonts w:hint="cs"/>
          <w:rtl/>
        </w:rPr>
        <w:t xml:space="preserve">האוכלוסייה </w:t>
      </w:r>
      <w:bookmarkStart w:id="73580" w:name="_ETM_Q129_364409"/>
      <w:bookmarkEnd w:id="73580"/>
      <w:r>
        <w:rPr>
          <w:rFonts w:hint="cs"/>
          <w:rtl/>
        </w:rPr>
        <w:t xml:space="preserve">הערבית </w:t>
      </w:r>
      <w:bookmarkStart w:id="73581" w:name="_ETM_Q129_365650"/>
      <w:bookmarkEnd w:id="73581"/>
      <w:r>
        <w:rPr>
          <w:rFonts w:hint="cs"/>
          <w:rtl/>
        </w:rPr>
        <w:t xml:space="preserve">וגם </w:t>
      </w:r>
      <w:bookmarkStart w:id="73582" w:name="_ETM_Q129_366309"/>
      <w:bookmarkEnd w:id="73582"/>
      <w:r>
        <w:rPr>
          <w:rFonts w:hint="cs"/>
          <w:rtl/>
        </w:rPr>
        <w:t xml:space="preserve">כלפי </w:t>
      </w:r>
      <w:bookmarkStart w:id="73583" w:name="_ETM_Q129_366819"/>
      <w:bookmarkEnd w:id="73583"/>
      <w:r>
        <w:rPr>
          <w:rFonts w:hint="cs"/>
          <w:rtl/>
        </w:rPr>
        <w:t xml:space="preserve">הפלסטינים </w:t>
      </w:r>
      <w:bookmarkStart w:id="73584" w:name="_ETM_Q129_368079"/>
      <w:bookmarkEnd w:id="73584"/>
      <w:r>
        <w:rPr>
          <w:rFonts w:hint="cs"/>
          <w:rtl/>
        </w:rPr>
        <w:t xml:space="preserve">בשטחים </w:t>
      </w:r>
      <w:bookmarkStart w:id="73585" w:name="_ETM_Q129_368799"/>
      <w:bookmarkEnd w:id="73585"/>
      <w:r>
        <w:rPr>
          <w:rFonts w:hint="cs"/>
          <w:rtl/>
        </w:rPr>
        <w:t xml:space="preserve">הכבושים, </w:t>
      </w:r>
      <w:bookmarkStart w:id="73586" w:name="_ETM_Q129_370070"/>
      <w:bookmarkStart w:id="73587" w:name="_ETM_Q129_370580"/>
      <w:bookmarkStart w:id="73588" w:name="_ETM_Q129_370820"/>
      <w:bookmarkEnd w:id="73586"/>
      <w:bookmarkEnd w:id="73587"/>
      <w:bookmarkEnd w:id="73588"/>
      <w:r>
        <w:rPr>
          <w:rFonts w:hint="cs"/>
          <w:rtl/>
        </w:rPr>
        <w:t xml:space="preserve">כולל סיפוח </w:t>
      </w:r>
      <w:bookmarkStart w:id="73589" w:name="_ETM_Q129_372080"/>
      <w:bookmarkEnd w:id="73589"/>
      <w:r>
        <w:rPr>
          <w:rFonts w:hint="cs"/>
          <w:rtl/>
        </w:rPr>
        <w:t xml:space="preserve">שטחי </w:t>
      </w:r>
      <w:bookmarkStart w:id="73590" w:name="_ETM_Q129_373040"/>
      <w:bookmarkEnd w:id="73590"/>
      <w:r>
        <w:t>C</w:t>
      </w:r>
      <w:bookmarkStart w:id="73591" w:name="_ETM_Q129_375709"/>
      <w:bookmarkEnd w:id="73591"/>
      <w:r>
        <w:rPr>
          <w:rFonts w:hint="cs"/>
          <w:rtl/>
        </w:rPr>
        <w:t xml:space="preserve">. ההצעה </w:t>
      </w:r>
      <w:bookmarkStart w:id="73592" w:name="_ETM_Q129_376340"/>
      <w:bookmarkEnd w:id="73592"/>
      <w:r>
        <w:rPr>
          <w:rFonts w:hint="cs"/>
          <w:rtl/>
        </w:rPr>
        <w:t xml:space="preserve">שמביאים, </w:t>
      </w:r>
      <w:bookmarkStart w:id="73593" w:name="_ETM_Q129_377150"/>
      <w:bookmarkEnd w:id="73593"/>
      <w:r>
        <w:rPr>
          <w:rFonts w:hint="cs"/>
          <w:rtl/>
        </w:rPr>
        <w:t>לבטל,</w:t>
      </w:r>
      <w:bookmarkStart w:id="73594" w:name="_ETM_Q129_380768"/>
      <w:bookmarkEnd w:id="73594"/>
      <w:r>
        <w:rPr>
          <w:rFonts w:hint="cs"/>
          <w:rtl/>
        </w:rPr>
        <w:t xml:space="preserve"> </w:t>
      </w:r>
      <w:bookmarkStart w:id="73595" w:name="_ETM_Q129_379109"/>
      <w:bookmarkStart w:id="73596" w:name="_ETM_Q129_379319"/>
      <w:bookmarkEnd w:id="73595"/>
      <w:bookmarkEnd w:id="73596"/>
      <w:r>
        <w:rPr>
          <w:rFonts w:hint="cs"/>
          <w:rtl/>
        </w:rPr>
        <w:t xml:space="preserve">מראה </w:t>
      </w:r>
      <w:bookmarkStart w:id="73597" w:name="_ETM_Q129_380519"/>
      <w:bookmarkEnd w:id="73597"/>
      <w:r>
        <w:rPr>
          <w:rFonts w:hint="cs"/>
          <w:rtl/>
        </w:rPr>
        <w:t xml:space="preserve">על </w:t>
      </w:r>
      <w:bookmarkStart w:id="73598" w:name="_ETM_Q129_380849"/>
      <w:bookmarkEnd w:id="73598"/>
      <w:r>
        <w:rPr>
          <w:rFonts w:hint="cs"/>
          <w:rtl/>
        </w:rPr>
        <w:t xml:space="preserve">איזו </w:t>
      </w:r>
      <w:bookmarkStart w:id="73599" w:name="_ETM_Q129_381419"/>
      <w:bookmarkEnd w:id="73599"/>
      <w:r>
        <w:rPr>
          <w:rFonts w:hint="cs"/>
          <w:rtl/>
        </w:rPr>
        <w:t xml:space="preserve">ממשלה </w:t>
      </w:r>
      <w:bookmarkStart w:id="73600" w:name="_ETM_Q129_383650"/>
      <w:bookmarkEnd w:id="73600"/>
      <w:r>
        <w:rPr>
          <w:rFonts w:hint="cs"/>
          <w:rtl/>
        </w:rPr>
        <w:t xml:space="preserve">אנחנו </w:t>
      </w:r>
      <w:bookmarkStart w:id="73601" w:name="_ETM_Q129_384400"/>
      <w:bookmarkEnd w:id="73601"/>
      <w:r>
        <w:rPr>
          <w:rFonts w:hint="cs"/>
          <w:rtl/>
        </w:rPr>
        <w:t>מדברים.</w:t>
      </w:r>
      <w:bookmarkStart w:id="73602" w:name="_ETM_Q129_385799"/>
      <w:bookmarkEnd w:id="73602"/>
    </w:p>
    <w:p w:rsidR="00BB59CD" w:rsidRDefault="00BB59CD" w:rsidP="00BB59CD">
      <w:pPr>
        <w:rPr>
          <w:rtl/>
        </w:rPr>
      </w:pPr>
    </w:p>
    <w:p w:rsidR="00BB59CD" w:rsidRDefault="00BB59CD" w:rsidP="00597063">
      <w:pPr>
        <w:rPr>
          <w:rtl/>
        </w:rPr>
      </w:pPr>
      <w:r>
        <w:rPr>
          <w:rFonts w:hint="cs"/>
          <w:rtl/>
        </w:rPr>
        <w:t xml:space="preserve">החשש </w:t>
      </w:r>
      <w:bookmarkStart w:id="73603" w:name="_ETM_Q129_386430"/>
      <w:bookmarkEnd w:id="73603"/>
      <w:r>
        <w:rPr>
          <w:rFonts w:hint="cs"/>
          <w:rtl/>
        </w:rPr>
        <w:t xml:space="preserve">שלנו </w:t>
      </w:r>
      <w:bookmarkStart w:id="73604" w:name="_ETM_Q129_387480"/>
      <w:bookmarkEnd w:id="73604"/>
      <w:r>
        <w:rPr>
          <w:rFonts w:hint="cs"/>
          <w:rtl/>
        </w:rPr>
        <w:t xml:space="preserve">מהחלטות </w:t>
      </w:r>
      <w:bookmarkStart w:id="73605" w:name="_ETM_Q129_388560"/>
      <w:bookmarkEnd w:id="73605"/>
      <w:r>
        <w:rPr>
          <w:rFonts w:hint="cs"/>
          <w:rtl/>
        </w:rPr>
        <w:t xml:space="preserve">לא </w:t>
      </w:r>
      <w:bookmarkStart w:id="73606" w:name="_ETM_Q129_388980"/>
      <w:bookmarkEnd w:id="73606"/>
      <w:r>
        <w:rPr>
          <w:rFonts w:hint="cs"/>
          <w:rtl/>
        </w:rPr>
        <w:t xml:space="preserve">סבירות </w:t>
      </w:r>
      <w:bookmarkStart w:id="73607" w:name="_ETM_Q129_390999"/>
      <w:bookmarkEnd w:id="73607"/>
      <w:r>
        <w:rPr>
          <w:rFonts w:hint="cs"/>
          <w:rtl/>
        </w:rPr>
        <w:t xml:space="preserve">הוא </w:t>
      </w:r>
      <w:bookmarkStart w:id="73608" w:name="_ETM_Q129_391180"/>
      <w:bookmarkEnd w:id="73608"/>
      <w:r>
        <w:rPr>
          <w:rFonts w:hint="cs"/>
          <w:rtl/>
        </w:rPr>
        <w:t xml:space="preserve">חשש </w:t>
      </w:r>
      <w:bookmarkStart w:id="73609" w:name="_ETM_Q129_391779"/>
      <w:bookmarkEnd w:id="73609"/>
      <w:r>
        <w:rPr>
          <w:rFonts w:hint="cs"/>
          <w:rtl/>
        </w:rPr>
        <w:t xml:space="preserve">אמיתי. </w:t>
      </w:r>
      <w:bookmarkStart w:id="73610" w:name="_ETM_Q129_393230"/>
      <w:bookmarkEnd w:id="73610"/>
      <w:r>
        <w:rPr>
          <w:rFonts w:hint="cs"/>
          <w:rtl/>
        </w:rPr>
        <w:t xml:space="preserve">כי </w:t>
      </w:r>
      <w:bookmarkStart w:id="73611" w:name="_ETM_Q129_393560"/>
      <w:bookmarkEnd w:id="73611"/>
      <w:r>
        <w:rPr>
          <w:rFonts w:hint="cs"/>
          <w:rtl/>
        </w:rPr>
        <w:t xml:space="preserve">ההחלטה </w:t>
      </w:r>
      <w:bookmarkStart w:id="73612" w:name="_ETM_Q129_394340"/>
      <w:bookmarkEnd w:id="73612"/>
      <w:r>
        <w:rPr>
          <w:rFonts w:hint="cs"/>
          <w:rtl/>
        </w:rPr>
        <w:t xml:space="preserve">הראשונה, </w:t>
      </w:r>
      <w:bookmarkStart w:id="73613" w:name="_ETM_Q129_395700"/>
      <w:bookmarkEnd w:id="73613"/>
      <w:r>
        <w:rPr>
          <w:rFonts w:hint="cs"/>
          <w:rtl/>
        </w:rPr>
        <w:t>מה</w:t>
      </w:r>
      <w:bookmarkStart w:id="73614" w:name="_ETM_Q129_395999"/>
      <w:bookmarkEnd w:id="73614"/>
      <w:r>
        <w:rPr>
          <w:rFonts w:hint="cs"/>
          <w:rtl/>
        </w:rPr>
        <w:t xml:space="preserve">ראשונות </w:t>
      </w:r>
      <w:bookmarkStart w:id="73615" w:name="_ETM_Q129_396540"/>
      <w:bookmarkEnd w:id="73615"/>
      <w:r>
        <w:rPr>
          <w:rFonts w:hint="cs"/>
          <w:rtl/>
        </w:rPr>
        <w:t xml:space="preserve">של </w:t>
      </w:r>
      <w:bookmarkStart w:id="73616" w:name="_ETM_Q129_396780"/>
      <w:bookmarkEnd w:id="73616"/>
      <w:r>
        <w:rPr>
          <w:rFonts w:hint="cs"/>
          <w:rtl/>
        </w:rPr>
        <w:t xml:space="preserve">הממשלה </w:t>
      </w:r>
      <w:bookmarkStart w:id="73617" w:name="_ETM_Q129_397260"/>
      <w:bookmarkEnd w:id="73617"/>
      <w:r>
        <w:rPr>
          <w:rFonts w:hint="cs"/>
          <w:rtl/>
        </w:rPr>
        <w:t xml:space="preserve">הזו, </w:t>
      </w:r>
      <w:bookmarkStart w:id="73618" w:name="_ETM_Q129_398280"/>
      <w:bookmarkEnd w:id="73618"/>
      <w:r>
        <w:rPr>
          <w:rFonts w:hint="cs"/>
          <w:rtl/>
        </w:rPr>
        <w:t xml:space="preserve">ההחלטה </w:t>
      </w:r>
      <w:bookmarkStart w:id="73619" w:name="_ETM_Q129_399120"/>
      <w:bookmarkEnd w:id="73619"/>
      <w:r>
        <w:rPr>
          <w:rFonts w:hint="cs"/>
          <w:rtl/>
        </w:rPr>
        <w:t>ה</w:t>
      </w:r>
      <w:bookmarkStart w:id="73620" w:name="_ETM_Q129_399299"/>
      <w:bookmarkEnd w:id="73620"/>
      <w:r>
        <w:rPr>
          <w:rFonts w:hint="cs"/>
          <w:rtl/>
        </w:rPr>
        <w:t>בלתי</w:t>
      </w:r>
      <w:bookmarkStart w:id="73621" w:name="_ETM_Q129_399870"/>
      <w:bookmarkEnd w:id="73621"/>
      <w:r>
        <w:rPr>
          <w:rFonts w:hint="cs"/>
          <w:rtl/>
        </w:rPr>
        <w:t xml:space="preserve">-סבירה </w:t>
      </w:r>
      <w:bookmarkStart w:id="73622" w:name="_ETM_Q129_400530"/>
      <w:bookmarkEnd w:id="73622"/>
      <w:r>
        <w:rPr>
          <w:rFonts w:hint="cs"/>
          <w:rtl/>
        </w:rPr>
        <w:t xml:space="preserve">בעליל, </w:t>
      </w:r>
      <w:bookmarkStart w:id="73623" w:name="_ETM_Q129_401519"/>
      <w:bookmarkEnd w:id="73623"/>
      <w:r>
        <w:rPr>
          <w:rFonts w:hint="cs"/>
          <w:rtl/>
        </w:rPr>
        <w:t xml:space="preserve">היא </w:t>
      </w:r>
      <w:bookmarkStart w:id="73624" w:name="_ETM_Q129_401700"/>
      <w:bookmarkEnd w:id="73624"/>
      <w:r>
        <w:rPr>
          <w:rFonts w:hint="cs"/>
          <w:rtl/>
        </w:rPr>
        <w:t xml:space="preserve">ההחלטה </w:t>
      </w:r>
      <w:bookmarkStart w:id="73625" w:name="_ETM_Q129_402810"/>
      <w:bookmarkEnd w:id="73625"/>
      <w:r>
        <w:rPr>
          <w:rFonts w:hint="cs"/>
          <w:rtl/>
        </w:rPr>
        <w:t xml:space="preserve">למנות </w:t>
      </w:r>
      <w:bookmarkStart w:id="73626" w:name="_ETM_Q129_403560"/>
      <w:bookmarkEnd w:id="73626"/>
      <w:r>
        <w:rPr>
          <w:rFonts w:hint="cs"/>
          <w:rtl/>
        </w:rPr>
        <w:t xml:space="preserve">לשר </w:t>
      </w:r>
      <w:bookmarkStart w:id="73627" w:name="_ETM_Q129_404680"/>
      <w:bookmarkEnd w:id="73627"/>
      <w:r>
        <w:rPr>
          <w:rFonts w:hint="cs"/>
          <w:rtl/>
        </w:rPr>
        <w:t>אדם</w:t>
      </w:r>
      <w:bookmarkStart w:id="73628" w:name="_ETM_Q129_406590"/>
      <w:bookmarkEnd w:id="73628"/>
      <w:r>
        <w:rPr>
          <w:rFonts w:hint="cs"/>
          <w:rtl/>
        </w:rPr>
        <w:t>, חבר כנסת, שמורש</w:t>
      </w:r>
      <w:bookmarkStart w:id="73629" w:name="_ETM_Q129_406920"/>
      <w:bookmarkStart w:id="73630" w:name="_ETM_Q129_407220"/>
      <w:bookmarkStart w:id="73631" w:name="_ETM_Q129_408030"/>
      <w:bookmarkStart w:id="73632" w:name="_ETM_Q129_408240"/>
      <w:bookmarkEnd w:id="73629"/>
      <w:bookmarkEnd w:id="73630"/>
      <w:bookmarkEnd w:id="73631"/>
      <w:bookmarkEnd w:id="73632"/>
      <w:r>
        <w:rPr>
          <w:rFonts w:hint="cs"/>
          <w:rtl/>
        </w:rPr>
        <w:t xml:space="preserve">ע </w:t>
      </w:r>
      <w:bookmarkStart w:id="73633" w:name="_ETM_Q129_408750"/>
      <w:bookmarkEnd w:id="73633"/>
      <w:r>
        <w:rPr>
          <w:rFonts w:hint="cs"/>
          <w:rtl/>
        </w:rPr>
        <w:t>בטרור.</w:t>
      </w:r>
      <w:bookmarkStart w:id="73634" w:name="_ETM_Q129_408658"/>
      <w:bookmarkEnd w:id="73634"/>
      <w:r>
        <w:rPr>
          <w:rFonts w:hint="cs"/>
          <w:rtl/>
        </w:rPr>
        <w:t xml:space="preserve"> </w:t>
      </w:r>
      <w:bookmarkStart w:id="73635" w:name="_ETM_Q129_410689"/>
      <w:bookmarkEnd w:id="73635"/>
      <w:r>
        <w:rPr>
          <w:rFonts w:hint="cs"/>
          <w:rtl/>
        </w:rPr>
        <w:t xml:space="preserve">הוא </w:t>
      </w:r>
      <w:bookmarkStart w:id="73636" w:name="_ETM_Q129_410900"/>
      <w:bookmarkEnd w:id="73636"/>
      <w:r>
        <w:rPr>
          <w:rFonts w:hint="cs"/>
          <w:rtl/>
        </w:rPr>
        <w:t xml:space="preserve">לא </w:t>
      </w:r>
      <w:bookmarkStart w:id="73637" w:name="_ETM_Q129_411079"/>
      <w:bookmarkEnd w:id="73637"/>
      <w:r>
        <w:rPr>
          <w:rFonts w:hint="cs"/>
          <w:rtl/>
        </w:rPr>
        <w:t xml:space="preserve">רק </w:t>
      </w:r>
      <w:bookmarkStart w:id="73638" w:name="_ETM_Q129_411260"/>
      <w:bookmarkEnd w:id="73638"/>
      <w:r>
        <w:rPr>
          <w:rFonts w:hint="cs"/>
          <w:rtl/>
        </w:rPr>
        <w:t xml:space="preserve">מורשע </w:t>
      </w:r>
      <w:bookmarkStart w:id="73639" w:name="_ETM_Q129_411680"/>
      <w:bookmarkEnd w:id="73639"/>
      <w:r>
        <w:rPr>
          <w:rFonts w:hint="cs"/>
          <w:rtl/>
        </w:rPr>
        <w:t xml:space="preserve">בטרור, </w:t>
      </w:r>
      <w:bookmarkStart w:id="73640" w:name="_ETM_Q129_413310"/>
      <w:bookmarkEnd w:id="73640"/>
      <w:r>
        <w:rPr>
          <w:rFonts w:hint="cs"/>
          <w:rtl/>
        </w:rPr>
        <w:t xml:space="preserve">הוא </w:t>
      </w:r>
      <w:bookmarkStart w:id="73641" w:name="_ETM_Q129_413459"/>
      <w:bookmarkEnd w:id="73641"/>
      <w:r>
        <w:rPr>
          <w:rFonts w:hint="cs"/>
          <w:rtl/>
        </w:rPr>
        <w:t xml:space="preserve">חבר </w:t>
      </w:r>
      <w:bookmarkStart w:id="73642" w:name="_ETM_Q129_413970"/>
      <w:bookmarkEnd w:id="73642"/>
      <w:r>
        <w:rPr>
          <w:rFonts w:hint="cs"/>
          <w:rtl/>
        </w:rPr>
        <w:t xml:space="preserve">כנסת </w:t>
      </w:r>
      <w:bookmarkStart w:id="73643" w:name="_ETM_Q129_415180"/>
      <w:bookmarkEnd w:id="73643"/>
      <w:r>
        <w:rPr>
          <w:rFonts w:hint="cs"/>
          <w:rtl/>
        </w:rPr>
        <w:t xml:space="preserve">שבשנים </w:t>
      </w:r>
      <w:bookmarkStart w:id="73644" w:name="_ETM_Q129_416020"/>
      <w:bookmarkEnd w:id="73644"/>
      <w:r>
        <w:rPr>
          <w:rFonts w:hint="cs"/>
          <w:rtl/>
        </w:rPr>
        <w:t xml:space="preserve">האחרונות – </w:t>
      </w:r>
      <w:bookmarkStart w:id="73645" w:name="_ETM_Q129_417430"/>
      <w:bookmarkEnd w:id="73645"/>
      <w:r>
        <w:rPr>
          <w:rFonts w:hint="cs"/>
          <w:rtl/>
        </w:rPr>
        <w:t xml:space="preserve">בשנה </w:t>
      </w:r>
      <w:bookmarkStart w:id="73646" w:name="_ETM_Q129_417969"/>
      <w:bookmarkEnd w:id="73646"/>
      <w:r>
        <w:rPr>
          <w:rFonts w:hint="cs"/>
          <w:rtl/>
        </w:rPr>
        <w:t xml:space="preserve">האחרונה </w:t>
      </w:r>
      <w:bookmarkStart w:id="73647" w:name="_ETM_Q129_418510"/>
      <w:bookmarkEnd w:id="73647"/>
      <w:r>
        <w:rPr>
          <w:rFonts w:hint="cs"/>
          <w:rtl/>
        </w:rPr>
        <w:t xml:space="preserve">במיוחד, </w:t>
      </w:r>
      <w:bookmarkStart w:id="73648" w:name="_ETM_Q129_419230"/>
      <w:bookmarkEnd w:id="73648"/>
      <w:r>
        <w:rPr>
          <w:rFonts w:hint="cs"/>
          <w:rtl/>
        </w:rPr>
        <w:t xml:space="preserve">בקמפיין </w:t>
      </w:r>
      <w:bookmarkStart w:id="73649" w:name="_ETM_Q129_419920"/>
      <w:bookmarkEnd w:id="73649"/>
      <w:r>
        <w:rPr>
          <w:rFonts w:hint="cs"/>
          <w:rtl/>
        </w:rPr>
        <w:t xml:space="preserve">הבחירות </w:t>
      </w:r>
      <w:bookmarkStart w:id="73650" w:name="_ETM_Q129_420549"/>
      <w:bookmarkEnd w:id="73650"/>
      <w:r>
        <w:rPr>
          <w:rFonts w:hint="cs"/>
          <w:rtl/>
        </w:rPr>
        <w:t xml:space="preserve">שלו – </w:t>
      </w:r>
      <w:bookmarkStart w:id="73651" w:name="_ETM_Q129_438748"/>
      <w:bookmarkEnd w:id="73651"/>
      <w:r>
        <w:rPr>
          <w:rFonts w:hint="cs"/>
          <w:rtl/>
        </w:rPr>
        <w:t>הסית</w:t>
      </w:r>
      <w:bookmarkStart w:id="73652" w:name="_ETM_Q129_421980"/>
      <w:bookmarkEnd w:id="73652"/>
      <w:r>
        <w:rPr>
          <w:rFonts w:hint="cs"/>
          <w:rtl/>
        </w:rPr>
        <w:t xml:space="preserve"> </w:t>
      </w:r>
      <w:bookmarkStart w:id="73653" w:name="_ETM_Q129_422879"/>
      <w:bookmarkEnd w:id="73653"/>
      <w:r>
        <w:rPr>
          <w:rFonts w:hint="cs"/>
          <w:rtl/>
        </w:rPr>
        <w:t xml:space="preserve">מסביב </w:t>
      </w:r>
      <w:bookmarkStart w:id="73654" w:name="_ETM_Q129_423810"/>
      <w:bookmarkEnd w:id="73654"/>
      <w:r>
        <w:rPr>
          <w:rFonts w:hint="cs"/>
          <w:rtl/>
        </w:rPr>
        <w:t xml:space="preserve">לשעון </w:t>
      </w:r>
      <w:bookmarkStart w:id="73655" w:name="_ETM_Q129_425120"/>
      <w:bookmarkEnd w:id="73655"/>
      <w:r>
        <w:rPr>
          <w:rFonts w:hint="cs"/>
          <w:rtl/>
        </w:rPr>
        <w:t xml:space="preserve">נגד </w:t>
      </w:r>
      <w:bookmarkStart w:id="73656" w:name="_ETM_Q129_425719"/>
      <w:bookmarkEnd w:id="73656"/>
      <w:r>
        <w:rPr>
          <w:rFonts w:hint="cs"/>
          <w:rtl/>
        </w:rPr>
        <w:t xml:space="preserve">האוכלוסייה </w:t>
      </w:r>
      <w:bookmarkStart w:id="73657" w:name="_ETM_Q129_426680"/>
      <w:bookmarkEnd w:id="73657"/>
      <w:r>
        <w:rPr>
          <w:rFonts w:hint="cs"/>
          <w:rtl/>
        </w:rPr>
        <w:t xml:space="preserve">הערבית ובמיוחד </w:t>
      </w:r>
      <w:bookmarkStart w:id="73658" w:name="_ETM_Q129_429590"/>
      <w:bookmarkEnd w:id="73658"/>
      <w:r>
        <w:rPr>
          <w:rFonts w:hint="cs"/>
          <w:rtl/>
        </w:rPr>
        <w:t xml:space="preserve">בנגב </w:t>
      </w:r>
      <w:bookmarkStart w:id="73659" w:name="_ETM_Q129_430790"/>
      <w:bookmarkEnd w:id="73659"/>
      <w:r>
        <w:rPr>
          <w:rFonts w:hint="cs"/>
          <w:rtl/>
        </w:rPr>
        <w:t>ו</w:t>
      </w:r>
      <w:bookmarkStart w:id="73660" w:name="_ETM_Q129_430910"/>
      <w:bookmarkEnd w:id="73660"/>
      <w:r>
        <w:rPr>
          <w:rFonts w:hint="cs"/>
          <w:rtl/>
        </w:rPr>
        <w:t xml:space="preserve">בערים </w:t>
      </w:r>
      <w:bookmarkStart w:id="73661" w:name="_ETM_Q129_431360"/>
      <w:bookmarkEnd w:id="73661"/>
      <w:r>
        <w:rPr>
          <w:rFonts w:hint="cs"/>
          <w:rtl/>
        </w:rPr>
        <w:t>המעורבות.</w:t>
      </w:r>
      <w:bookmarkStart w:id="73662" w:name="_ETM_Q129_427988"/>
      <w:bookmarkEnd w:id="73662"/>
      <w:r>
        <w:rPr>
          <w:rFonts w:hint="cs"/>
          <w:rtl/>
        </w:rPr>
        <w:t xml:space="preserve"> </w:t>
      </w:r>
      <w:bookmarkStart w:id="73663" w:name="_ETM_Q129_433400"/>
      <w:bookmarkEnd w:id="73663"/>
      <w:r>
        <w:rPr>
          <w:rFonts w:hint="cs"/>
          <w:rtl/>
        </w:rPr>
        <w:t xml:space="preserve">האם </w:t>
      </w:r>
      <w:bookmarkStart w:id="73664" w:name="_ETM_Q129_433880"/>
      <w:bookmarkEnd w:id="73664"/>
      <w:r>
        <w:rPr>
          <w:rFonts w:hint="cs"/>
          <w:rtl/>
        </w:rPr>
        <w:t xml:space="preserve">זו </w:t>
      </w:r>
      <w:bookmarkStart w:id="73665" w:name="_ETM_Q129_434390"/>
      <w:bookmarkEnd w:id="73665"/>
      <w:r>
        <w:rPr>
          <w:rFonts w:hint="cs"/>
          <w:rtl/>
        </w:rPr>
        <w:t xml:space="preserve">החלטה </w:t>
      </w:r>
      <w:bookmarkStart w:id="73666" w:name="_ETM_Q129_435230"/>
      <w:bookmarkEnd w:id="73666"/>
      <w:r>
        <w:rPr>
          <w:rFonts w:hint="cs"/>
          <w:rtl/>
        </w:rPr>
        <w:t xml:space="preserve">סבירה </w:t>
      </w:r>
      <w:bookmarkStart w:id="73667" w:name="_ETM_Q129_437180"/>
      <w:bookmarkEnd w:id="73667"/>
      <w:r>
        <w:rPr>
          <w:rFonts w:hint="cs"/>
          <w:rtl/>
        </w:rPr>
        <w:t xml:space="preserve">למנות </w:t>
      </w:r>
      <w:bookmarkStart w:id="73668" w:name="_ETM_Q129_437960"/>
      <w:bookmarkEnd w:id="73668"/>
      <w:r>
        <w:rPr>
          <w:rFonts w:hint="cs"/>
          <w:rtl/>
        </w:rPr>
        <w:t xml:space="preserve">חבר </w:t>
      </w:r>
      <w:bookmarkStart w:id="73669" w:name="_ETM_Q129_438440"/>
      <w:bookmarkEnd w:id="73669"/>
      <w:r>
        <w:rPr>
          <w:rFonts w:hint="cs"/>
          <w:rtl/>
        </w:rPr>
        <w:t xml:space="preserve">כנסת </w:t>
      </w:r>
      <w:bookmarkStart w:id="73670" w:name="_ETM_Q129_438980"/>
      <w:bookmarkEnd w:id="73670"/>
      <w:r>
        <w:rPr>
          <w:rFonts w:hint="cs"/>
          <w:rtl/>
        </w:rPr>
        <w:t xml:space="preserve">מורשע </w:t>
      </w:r>
      <w:bookmarkStart w:id="73671" w:name="_ETM_Q129_439520"/>
      <w:bookmarkEnd w:id="73671"/>
      <w:r>
        <w:rPr>
          <w:rFonts w:hint="cs"/>
          <w:rtl/>
        </w:rPr>
        <w:t xml:space="preserve">בטרור </w:t>
      </w:r>
      <w:bookmarkStart w:id="73672" w:name="_ETM_Q129_440779"/>
      <w:bookmarkEnd w:id="73672"/>
      <w:r>
        <w:rPr>
          <w:rFonts w:hint="cs"/>
          <w:rtl/>
        </w:rPr>
        <w:t xml:space="preserve">לשר </w:t>
      </w:r>
      <w:bookmarkStart w:id="73673" w:name="_ETM_Q129_441949"/>
      <w:bookmarkEnd w:id="73673"/>
      <w:r>
        <w:rPr>
          <w:rFonts w:hint="cs"/>
          <w:rtl/>
        </w:rPr>
        <w:t xml:space="preserve">לביטחון </w:t>
      </w:r>
      <w:bookmarkStart w:id="73674" w:name="_ETM_Q129_443389"/>
      <w:bookmarkEnd w:id="73674"/>
      <w:r>
        <w:rPr>
          <w:rFonts w:hint="cs"/>
          <w:rtl/>
        </w:rPr>
        <w:t>לאומי</w:t>
      </w:r>
      <w:bookmarkStart w:id="73675" w:name="_ETM_Q129_445919"/>
      <w:bookmarkEnd w:id="73675"/>
      <w:r>
        <w:rPr>
          <w:rFonts w:hint="cs"/>
          <w:rtl/>
        </w:rPr>
        <w:t xml:space="preserve">? השר </w:t>
      </w:r>
      <w:bookmarkStart w:id="73676" w:name="_ETM_Q129_446339"/>
      <w:bookmarkEnd w:id="73676"/>
      <w:r>
        <w:rPr>
          <w:rFonts w:hint="cs"/>
          <w:rtl/>
        </w:rPr>
        <w:t xml:space="preserve">הזה, </w:t>
      </w:r>
      <w:bookmarkStart w:id="73677" w:name="_ETM_Q129_446639"/>
      <w:bookmarkStart w:id="73678" w:name="_ETM_Q129_446760"/>
      <w:bookmarkStart w:id="73679" w:name="_ETM_Q129_446850"/>
      <w:bookmarkEnd w:id="73677"/>
      <w:bookmarkEnd w:id="73678"/>
      <w:bookmarkEnd w:id="73679"/>
      <w:r>
        <w:rPr>
          <w:rFonts w:hint="cs"/>
          <w:rtl/>
        </w:rPr>
        <w:t xml:space="preserve">שהסית </w:t>
      </w:r>
      <w:bookmarkStart w:id="73680" w:name="_ETM_Q129_447150"/>
      <w:bookmarkEnd w:id="73680"/>
      <w:r>
        <w:rPr>
          <w:rFonts w:hint="cs"/>
          <w:rtl/>
        </w:rPr>
        <w:t xml:space="preserve">נגד </w:t>
      </w:r>
      <w:bookmarkStart w:id="73681" w:name="_ETM_Q129_447449"/>
      <w:bookmarkEnd w:id="73681"/>
      <w:r>
        <w:rPr>
          <w:rFonts w:hint="cs"/>
          <w:rtl/>
        </w:rPr>
        <w:t xml:space="preserve">האוכלוסייה </w:t>
      </w:r>
      <w:bookmarkStart w:id="73682" w:name="_ETM_Q129_447960"/>
      <w:bookmarkEnd w:id="73682"/>
      <w:r>
        <w:rPr>
          <w:rFonts w:hint="cs"/>
          <w:rtl/>
        </w:rPr>
        <w:t xml:space="preserve">הערבית </w:t>
      </w:r>
      <w:bookmarkStart w:id="73683" w:name="_ETM_Q129_449180"/>
      <w:bookmarkEnd w:id="73683"/>
      <w:r>
        <w:rPr>
          <w:rFonts w:hint="cs"/>
          <w:rtl/>
        </w:rPr>
        <w:t xml:space="preserve">מסביב </w:t>
      </w:r>
      <w:bookmarkStart w:id="73684" w:name="_ETM_Q129_449779"/>
      <w:bookmarkEnd w:id="73684"/>
      <w:r>
        <w:rPr>
          <w:rFonts w:hint="cs"/>
          <w:rtl/>
        </w:rPr>
        <w:t xml:space="preserve">לשעון, </w:t>
      </w:r>
      <w:bookmarkStart w:id="73685" w:name="_ETM_Q129_451550"/>
      <w:bookmarkStart w:id="73686" w:name="_ETM_Q129_452000"/>
      <w:bookmarkStart w:id="73687" w:name="_ETM_Q129_452450"/>
      <w:bookmarkStart w:id="73688" w:name="_ETM_Q129_469997"/>
      <w:bookmarkEnd w:id="73685"/>
      <w:bookmarkEnd w:id="73686"/>
      <w:bookmarkEnd w:id="73687"/>
      <w:bookmarkEnd w:id="73688"/>
      <w:r>
        <w:rPr>
          <w:rFonts w:hint="cs"/>
          <w:rtl/>
        </w:rPr>
        <w:t>המושג ש</w:t>
      </w:r>
      <w:bookmarkStart w:id="73689" w:name="_ETM_Q129_453238"/>
      <w:bookmarkStart w:id="73690" w:name="_ETM_Q129_453520"/>
      <w:bookmarkEnd w:id="73689"/>
      <w:bookmarkEnd w:id="73690"/>
      <w:r>
        <w:rPr>
          <w:rFonts w:hint="cs"/>
          <w:rtl/>
        </w:rPr>
        <w:t xml:space="preserve">הוא השתמש </w:t>
      </w:r>
      <w:bookmarkStart w:id="73691" w:name="_ETM_Q129_454240"/>
      <w:bookmarkEnd w:id="73691"/>
      <w:r>
        <w:rPr>
          <w:rFonts w:hint="cs"/>
          <w:rtl/>
        </w:rPr>
        <w:t xml:space="preserve">בו </w:t>
      </w:r>
      <w:bookmarkStart w:id="73692" w:name="_ETM_Q129_454960"/>
      <w:bookmarkEnd w:id="73692"/>
      <w:r>
        <w:rPr>
          <w:rFonts w:hint="cs"/>
          <w:rtl/>
        </w:rPr>
        <w:t xml:space="preserve">הכי הרבה </w:t>
      </w:r>
      <w:bookmarkStart w:id="73693" w:name="_ETM_Q129_478647"/>
      <w:bookmarkEnd w:id="73693"/>
      <w:r>
        <w:rPr>
          <w:rFonts w:hint="cs"/>
          <w:rtl/>
        </w:rPr>
        <w:t xml:space="preserve">זה </w:t>
      </w:r>
      <w:bookmarkStart w:id="73694" w:name="_ETM_Q129_455470"/>
      <w:bookmarkEnd w:id="73694"/>
      <w:r>
        <w:rPr>
          <w:rFonts w:hint="cs"/>
          <w:rtl/>
        </w:rPr>
        <w:t xml:space="preserve">נושא </w:t>
      </w:r>
      <w:bookmarkStart w:id="73695" w:name="_ETM_Q129_456129"/>
      <w:bookmarkEnd w:id="73695"/>
      <w:r>
        <w:rPr>
          <w:rFonts w:hint="cs"/>
          <w:rtl/>
        </w:rPr>
        <w:t>המשילות</w:t>
      </w:r>
      <w:r w:rsidR="00597063">
        <w:rPr>
          <w:rFonts w:hint="cs"/>
          <w:rtl/>
        </w:rPr>
        <w:t>,</w:t>
      </w:r>
      <w:r>
        <w:rPr>
          <w:rFonts w:hint="cs"/>
          <w:rtl/>
        </w:rPr>
        <w:t xml:space="preserve"> </w:t>
      </w:r>
      <w:bookmarkStart w:id="73696" w:name="_ETM_Q129_458710"/>
      <w:bookmarkEnd w:id="73696"/>
      <w:r>
        <w:rPr>
          <w:rFonts w:hint="cs"/>
          <w:rtl/>
        </w:rPr>
        <w:t xml:space="preserve">גם </w:t>
      </w:r>
      <w:bookmarkStart w:id="73697" w:name="_ETM_Q129_459939"/>
      <w:bookmarkEnd w:id="73697"/>
      <w:r>
        <w:rPr>
          <w:rFonts w:hint="cs"/>
          <w:rtl/>
        </w:rPr>
        <w:t>בהגנה</w:t>
      </w:r>
      <w:bookmarkStart w:id="73698" w:name="_ETM_Q129_461168"/>
      <w:bookmarkEnd w:id="73698"/>
      <w:r>
        <w:rPr>
          <w:rFonts w:hint="cs"/>
          <w:rtl/>
        </w:rPr>
        <w:t xml:space="preserve"> </w:t>
      </w:r>
      <w:bookmarkStart w:id="73699" w:name="_ETM_Q129_461110"/>
      <w:bookmarkEnd w:id="73699"/>
      <w:r>
        <w:rPr>
          <w:rFonts w:hint="cs"/>
          <w:rtl/>
        </w:rPr>
        <w:t xml:space="preserve">ובוויכוח </w:t>
      </w:r>
      <w:bookmarkStart w:id="73700" w:name="_ETM_Q129_462430"/>
      <w:bookmarkEnd w:id="73700"/>
      <w:r>
        <w:rPr>
          <w:rFonts w:hint="cs"/>
          <w:rtl/>
        </w:rPr>
        <w:t xml:space="preserve">על </w:t>
      </w:r>
      <w:bookmarkStart w:id="73701" w:name="_ETM_Q129_462669"/>
      <w:bookmarkEnd w:id="73701"/>
      <w:r>
        <w:rPr>
          <w:rFonts w:hint="cs"/>
          <w:rtl/>
        </w:rPr>
        <w:t xml:space="preserve">ביטול </w:t>
      </w:r>
      <w:bookmarkStart w:id="73702" w:name="_ETM_Q129_463569"/>
      <w:bookmarkEnd w:id="73702"/>
      <w:r>
        <w:rPr>
          <w:rFonts w:hint="cs"/>
          <w:rtl/>
        </w:rPr>
        <w:t xml:space="preserve">עילת </w:t>
      </w:r>
      <w:bookmarkStart w:id="73703" w:name="_ETM_Q129_464199"/>
      <w:bookmarkEnd w:id="73703"/>
      <w:r>
        <w:rPr>
          <w:rFonts w:hint="cs"/>
          <w:rtl/>
        </w:rPr>
        <w:t>הסבירות</w:t>
      </w:r>
      <w:bookmarkStart w:id="73704" w:name="_ETM_Q129_511453"/>
      <w:bookmarkStart w:id="73705" w:name="_ETM_Q129_506923"/>
      <w:bookmarkStart w:id="73706" w:name="_ETM_Q129_502615"/>
      <w:bookmarkStart w:id="73707" w:name="_ETM_Q129_498157"/>
      <w:bookmarkStart w:id="73708" w:name="_ETM_Q129_494152"/>
      <w:bookmarkEnd w:id="73704"/>
      <w:bookmarkEnd w:id="73705"/>
      <w:bookmarkEnd w:id="73706"/>
      <w:bookmarkEnd w:id="73707"/>
      <w:bookmarkEnd w:id="73708"/>
      <w:r w:rsidR="00597063">
        <w:rPr>
          <w:rFonts w:hint="cs"/>
          <w:rtl/>
        </w:rPr>
        <w:t>.</w:t>
      </w:r>
      <w:r>
        <w:rPr>
          <w:rFonts w:hint="cs"/>
          <w:rtl/>
        </w:rPr>
        <w:t xml:space="preserve"> </w:t>
      </w:r>
      <w:bookmarkStart w:id="73709" w:name="_ETM_Q129_475652"/>
      <w:bookmarkStart w:id="73710" w:name="_ETM_Q129_475736"/>
      <w:bookmarkStart w:id="73711" w:name="_ETM_Q129_475827"/>
      <w:bookmarkStart w:id="73712" w:name="_ETM_Q129_475895"/>
      <w:bookmarkStart w:id="73713" w:name="_ETM_Q129_475987"/>
      <w:bookmarkStart w:id="73714" w:name="_ETM_Q129_476059"/>
      <w:bookmarkStart w:id="73715" w:name="_ETM_Q129_465180"/>
      <w:bookmarkEnd w:id="73709"/>
      <w:bookmarkEnd w:id="73710"/>
      <w:bookmarkEnd w:id="73711"/>
      <w:bookmarkEnd w:id="73712"/>
      <w:bookmarkEnd w:id="73713"/>
      <w:bookmarkEnd w:id="73714"/>
      <w:bookmarkEnd w:id="73715"/>
      <w:r>
        <w:rPr>
          <w:rFonts w:hint="cs"/>
          <w:rtl/>
        </w:rPr>
        <w:t xml:space="preserve">מה </w:t>
      </w:r>
      <w:bookmarkStart w:id="73716" w:name="_ETM_Q129_465389"/>
      <w:bookmarkEnd w:id="73716"/>
      <w:r>
        <w:rPr>
          <w:rFonts w:hint="cs"/>
          <w:rtl/>
        </w:rPr>
        <w:t xml:space="preserve">אומרת </w:t>
      </w:r>
      <w:bookmarkStart w:id="73717" w:name="_ETM_Q129_465779"/>
      <w:bookmarkStart w:id="73718" w:name="_ETM_Q129_465990"/>
      <w:bookmarkEnd w:id="73717"/>
      <w:bookmarkEnd w:id="73718"/>
      <w:r>
        <w:rPr>
          <w:rFonts w:hint="cs"/>
          <w:rtl/>
        </w:rPr>
        <w:t xml:space="preserve">הממשלה? </w:t>
      </w:r>
      <w:bookmarkStart w:id="73719" w:name="_ETM_Q129_467089"/>
      <w:bookmarkEnd w:id="73719"/>
      <w:r>
        <w:rPr>
          <w:rFonts w:hint="cs"/>
          <w:rtl/>
        </w:rPr>
        <w:t xml:space="preserve">אנחנו </w:t>
      </w:r>
      <w:bookmarkStart w:id="73720" w:name="_ETM_Q129_468169"/>
      <w:bookmarkEnd w:id="73720"/>
      <w:r>
        <w:rPr>
          <w:rFonts w:hint="cs"/>
          <w:rtl/>
        </w:rPr>
        <w:t xml:space="preserve">רוצים </w:t>
      </w:r>
      <w:bookmarkStart w:id="73721" w:name="_ETM_Q129_469279"/>
      <w:bookmarkEnd w:id="73721"/>
      <w:r>
        <w:rPr>
          <w:rFonts w:hint="cs"/>
          <w:rtl/>
        </w:rPr>
        <w:t>למשול</w:t>
      </w:r>
      <w:bookmarkStart w:id="73722" w:name="_ETM_Q129_471219"/>
      <w:bookmarkEnd w:id="73722"/>
      <w:r>
        <w:rPr>
          <w:rFonts w:hint="cs"/>
          <w:rtl/>
        </w:rPr>
        <w:t xml:space="preserve">. </w:t>
      </w:r>
      <w:bookmarkStart w:id="73723" w:name="_ETM_Q129_481957"/>
      <w:bookmarkStart w:id="73724" w:name="_ETM_Q129_478787"/>
      <w:bookmarkStart w:id="73725" w:name="_ETM_Q129_474057"/>
      <w:bookmarkEnd w:id="73723"/>
      <w:bookmarkEnd w:id="73724"/>
      <w:bookmarkEnd w:id="73725"/>
      <w:r>
        <w:rPr>
          <w:rFonts w:hint="cs"/>
          <w:rtl/>
        </w:rPr>
        <w:t xml:space="preserve">אני </w:t>
      </w:r>
      <w:bookmarkStart w:id="73726" w:name="_ETM_Q129_471460"/>
      <w:bookmarkEnd w:id="73726"/>
      <w:r>
        <w:rPr>
          <w:rFonts w:hint="cs"/>
          <w:rtl/>
        </w:rPr>
        <w:t xml:space="preserve">רוצה </w:t>
      </w:r>
      <w:bookmarkStart w:id="73727" w:name="_ETM_Q129_471789"/>
      <w:bookmarkEnd w:id="73727"/>
      <w:r>
        <w:rPr>
          <w:rFonts w:hint="cs"/>
          <w:rtl/>
        </w:rPr>
        <w:t xml:space="preserve">לעמת </w:t>
      </w:r>
      <w:bookmarkStart w:id="73728" w:name="_ETM_Q129_472210"/>
      <w:bookmarkEnd w:id="73728"/>
      <w:r>
        <w:rPr>
          <w:rFonts w:hint="cs"/>
          <w:rtl/>
        </w:rPr>
        <w:t xml:space="preserve">את </w:t>
      </w:r>
      <w:bookmarkStart w:id="73729" w:name="_ETM_Q129_472300"/>
      <w:bookmarkEnd w:id="73729"/>
      <w:r>
        <w:rPr>
          <w:rFonts w:hint="cs"/>
          <w:rtl/>
        </w:rPr>
        <w:t xml:space="preserve">הממשלה </w:t>
      </w:r>
      <w:bookmarkStart w:id="73730" w:name="_ETM_Q129_472870"/>
      <w:bookmarkEnd w:id="73730"/>
      <w:r>
        <w:rPr>
          <w:rFonts w:hint="cs"/>
          <w:rtl/>
        </w:rPr>
        <w:t xml:space="preserve">הזו, </w:t>
      </w:r>
      <w:bookmarkStart w:id="73731" w:name="_ETM_Q129_473589"/>
      <w:bookmarkEnd w:id="73731"/>
      <w:r>
        <w:rPr>
          <w:rFonts w:hint="cs"/>
          <w:rtl/>
        </w:rPr>
        <w:t xml:space="preserve">כבוד </w:t>
      </w:r>
      <w:bookmarkStart w:id="73732" w:name="_ETM_Q129_473860"/>
      <w:bookmarkEnd w:id="73732"/>
      <w:r>
        <w:rPr>
          <w:rFonts w:hint="cs"/>
          <w:rtl/>
        </w:rPr>
        <w:t xml:space="preserve">היושב-ראש, </w:t>
      </w:r>
      <w:bookmarkStart w:id="73733" w:name="_ETM_Q129_475370"/>
      <w:bookmarkStart w:id="73734" w:name="_ETM_Q129_475580"/>
      <w:bookmarkEnd w:id="73733"/>
      <w:bookmarkEnd w:id="73734"/>
      <w:r>
        <w:rPr>
          <w:rFonts w:hint="cs"/>
          <w:rtl/>
        </w:rPr>
        <w:t xml:space="preserve">עם </w:t>
      </w:r>
      <w:bookmarkStart w:id="73735" w:name="_ETM_Q129_475669"/>
      <w:bookmarkEnd w:id="73735"/>
      <w:r>
        <w:rPr>
          <w:rFonts w:hint="cs"/>
          <w:rtl/>
        </w:rPr>
        <w:t xml:space="preserve">משילות </w:t>
      </w:r>
      <w:bookmarkStart w:id="73736" w:name="_ETM_Q129_477120"/>
      <w:bookmarkEnd w:id="73736"/>
      <w:r>
        <w:rPr>
          <w:rFonts w:hint="cs"/>
          <w:rtl/>
        </w:rPr>
        <w:t>ו</w:t>
      </w:r>
      <w:bookmarkStart w:id="73737" w:name="_ETM_Q129_477660"/>
      <w:bookmarkEnd w:id="73737"/>
      <w:r>
        <w:rPr>
          <w:rFonts w:hint="cs"/>
          <w:rtl/>
        </w:rPr>
        <w:t xml:space="preserve">מהי </w:t>
      </w:r>
      <w:bookmarkStart w:id="73738" w:name="_ETM_Q129_478170"/>
      <w:bookmarkEnd w:id="73738"/>
      <w:r>
        <w:rPr>
          <w:rFonts w:hint="cs"/>
          <w:rtl/>
        </w:rPr>
        <w:t xml:space="preserve">משילות </w:t>
      </w:r>
      <w:bookmarkStart w:id="73739" w:name="_ETM_Q129_479279"/>
      <w:bookmarkEnd w:id="73739"/>
      <w:r>
        <w:rPr>
          <w:rFonts w:hint="cs"/>
          <w:rtl/>
        </w:rPr>
        <w:t>אמיתית</w:t>
      </w:r>
      <w:r w:rsidR="00597063">
        <w:rPr>
          <w:rFonts w:hint="cs"/>
          <w:rtl/>
        </w:rPr>
        <w:t>:</w:t>
      </w:r>
      <w:r>
        <w:rPr>
          <w:rFonts w:hint="cs"/>
          <w:rtl/>
        </w:rPr>
        <w:t xml:space="preserve"> </w:t>
      </w:r>
      <w:bookmarkStart w:id="73740" w:name="_ETM_Q129_480669"/>
      <w:bookmarkEnd w:id="73740"/>
      <w:r>
        <w:rPr>
          <w:rFonts w:hint="cs"/>
          <w:rtl/>
        </w:rPr>
        <w:t xml:space="preserve">החברה </w:t>
      </w:r>
      <w:bookmarkStart w:id="73741" w:name="_ETM_Q129_481209"/>
      <w:bookmarkEnd w:id="73741"/>
      <w:r>
        <w:rPr>
          <w:rFonts w:hint="cs"/>
          <w:rtl/>
        </w:rPr>
        <w:t xml:space="preserve">הערבית </w:t>
      </w:r>
      <w:bookmarkStart w:id="73742" w:name="_ETM_Q129_481660"/>
      <w:bookmarkEnd w:id="73742"/>
      <w:r>
        <w:rPr>
          <w:rFonts w:hint="cs"/>
          <w:rtl/>
        </w:rPr>
        <w:t>מדממת,</w:t>
      </w:r>
      <w:bookmarkStart w:id="73743" w:name="_ETM_Q129_494198"/>
      <w:bookmarkEnd w:id="73743"/>
      <w:r>
        <w:rPr>
          <w:rFonts w:hint="cs"/>
          <w:rtl/>
        </w:rPr>
        <w:t xml:space="preserve"> </w:t>
      </w:r>
      <w:bookmarkStart w:id="73744" w:name="_ETM_Q129_483550"/>
      <w:bookmarkEnd w:id="73744"/>
      <w:r>
        <w:rPr>
          <w:rFonts w:hint="cs"/>
          <w:rtl/>
        </w:rPr>
        <w:t xml:space="preserve">אנחנו </w:t>
      </w:r>
      <w:bookmarkStart w:id="73745" w:name="_ETM_Q129_485020"/>
      <w:bookmarkEnd w:id="73745"/>
      <w:r>
        <w:rPr>
          <w:rFonts w:hint="cs"/>
          <w:rtl/>
        </w:rPr>
        <w:t xml:space="preserve">סופרים </w:t>
      </w:r>
      <w:bookmarkStart w:id="73746" w:name="_ETM_Q129_486540"/>
      <w:bookmarkEnd w:id="73746"/>
      <w:r>
        <w:rPr>
          <w:rFonts w:hint="cs"/>
          <w:rtl/>
        </w:rPr>
        <w:t xml:space="preserve">את </w:t>
      </w:r>
      <w:bookmarkStart w:id="73747" w:name="_ETM_Q129_486810"/>
      <w:bookmarkEnd w:id="73747"/>
      <w:r>
        <w:rPr>
          <w:rFonts w:hint="cs"/>
          <w:rtl/>
        </w:rPr>
        <w:t xml:space="preserve">המתים, </w:t>
      </w:r>
      <w:bookmarkStart w:id="73748" w:name="_ETM_Q129_487740"/>
      <w:bookmarkEnd w:id="73748"/>
      <w:r>
        <w:rPr>
          <w:rFonts w:hint="cs"/>
          <w:rtl/>
        </w:rPr>
        <w:t xml:space="preserve">את </w:t>
      </w:r>
      <w:bookmarkStart w:id="73749" w:name="_ETM_Q129_487920"/>
      <w:bookmarkEnd w:id="73749"/>
      <w:r>
        <w:rPr>
          <w:rFonts w:hint="cs"/>
          <w:rtl/>
        </w:rPr>
        <w:t xml:space="preserve">ילדינו, </w:t>
      </w:r>
      <w:bookmarkStart w:id="73750" w:name="_ETM_Q129_488910"/>
      <w:bookmarkEnd w:id="73750"/>
      <w:r>
        <w:rPr>
          <w:rFonts w:hint="cs"/>
          <w:rtl/>
        </w:rPr>
        <w:t xml:space="preserve">כמעט </w:t>
      </w:r>
      <w:bookmarkStart w:id="73751" w:name="_ETM_Q129_489799"/>
      <w:bookmarkEnd w:id="73751"/>
      <w:r>
        <w:rPr>
          <w:rFonts w:hint="cs"/>
          <w:rtl/>
        </w:rPr>
        <w:t xml:space="preserve">כל </w:t>
      </w:r>
      <w:bookmarkStart w:id="73752" w:name="_ETM_Q129_490490"/>
      <w:bookmarkEnd w:id="73752"/>
      <w:r>
        <w:rPr>
          <w:rFonts w:hint="cs"/>
          <w:rtl/>
        </w:rPr>
        <w:t xml:space="preserve">יום. </w:t>
      </w:r>
      <w:bookmarkStart w:id="73753" w:name="_ETM_Q129_491719"/>
      <w:bookmarkEnd w:id="73753"/>
      <w:r>
        <w:rPr>
          <w:rFonts w:hint="cs"/>
          <w:rtl/>
        </w:rPr>
        <w:t xml:space="preserve">רק </w:t>
      </w:r>
      <w:bookmarkStart w:id="73754" w:name="_ETM_Q129_492019"/>
      <w:bookmarkEnd w:id="73754"/>
      <w:r>
        <w:rPr>
          <w:rFonts w:hint="cs"/>
          <w:rtl/>
        </w:rPr>
        <w:t xml:space="preserve">בחודש </w:t>
      </w:r>
      <w:bookmarkStart w:id="73755" w:name="_ETM_Q129_492559"/>
      <w:bookmarkEnd w:id="73755"/>
      <w:r>
        <w:rPr>
          <w:rFonts w:hint="cs"/>
          <w:rtl/>
        </w:rPr>
        <w:t xml:space="preserve">יולי </w:t>
      </w:r>
      <w:bookmarkStart w:id="73756" w:name="_ETM_Q129_493570"/>
      <w:bookmarkEnd w:id="73756"/>
      <w:r>
        <w:rPr>
          <w:rFonts w:hint="cs"/>
          <w:rtl/>
        </w:rPr>
        <w:t xml:space="preserve">– 21 </w:t>
      </w:r>
      <w:bookmarkStart w:id="73757" w:name="_ETM_Q129_495160"/>
      <w:bookmarkEnd w:id="73757"/>
      <w:r>
        <w:rPr>
          <w:rFonts w:hint="cs"/>
          <w:rtl/>
        </w:rPr>
        <w:t xml:space="preserve">נרצחים. </w:t>
      </w:r>
      <w:bookmarkStart w:id="73758" w:name="_ETM_Q129_496539"/>
      <w:bookmarkEnd w:id="73758"/>
      <w:r>
        <w:rPr>
          <w:rFonts w:hint="cs"/>
          <w:rtl/>
        </w:rPr>
        <w:t xml:space="preserve">מי </w:t>
      </w:r>
      <w:bookmarkStart w:id="73759" w:name="_ETM_Q129_496750"/>
      <w:bookmarkEnd w:id="73759"/>
      <w:r>
        <w:rPr>
          <w:rFonts w:hint="cs"/>
          <w:rtl/>
        </w:rPr>
        <w:t xml:space="preserve">שדיבר </w:t>
      </w:r>
      <w:bookmarkStart w:id="73760" w:name="_ETM_Q129_497350"/>
      <w:bookmarkEnd w:id="73760"/>
      <w:r>
        <w:rPr>
          <w:rFonts w:hint="cs"/>
          <w:rtl/>
        </w:rPr>
        <w:t>על משילות</w:t>
      </w:r>
      <w:bookmarkStart w:id="73761" w:name="_ETM_Q129_500109"/>
      <w:bookmarkStart w:id="73762" w:name="_ETM_Q129_500439"/>
      <w:bookmarkStart w:id="73763" w:name="_ETM_Q129_500830"/>
      <w:bookmarkStart w:id="73764" w:name="_ETM_Q129_501800"/>
      <w:bookmarkEnd w:id="73761"/>
      <w:bookmarkEnd w:id="73762"/>
      <w:bookmarkEnd w:id="73763"/>
      <w:bookmarkEnd w:id="73764"/>
      <w:r>
        <w:rPr>
          <w:rFonts w:hint="cs"/>
          <w:rtl/>
        </w:rPr>
        <w:t>, והוא, הוא ולא מישהו אחר, השר לביטחון לאומי –</w:t>
      </w:r>
      <w:bookmarkStart w:id="73765" w:name="_ETM_Q129_520536"/>
      <w:bookmarkEnd w:id="73765"/>
      <w:r>
        <w:rPr>
          <w:rFonts w:hint="cs"/>
          <w:rtl/>
        </w:rPr>
        <w:t xml:space="preserve"> מי מושל היום ב</w:t>
      </w:r>
      <w:bookmarkStart w:id="73766" w:name="_ETM_Q129_502400"/>
      <w:bookmarkStart w:id="73767" w:name="_ETM_Q129_502550"/>
      <w:bookmarkStart w:id="73768" w:name="_ETM_Q129_502910"/>
      <w:bookmarkStart w:id="73769" w:name="_ETM_Q129_503240"/>
      <w:bookmarkStart w:id="73770" w:name="_ETM_Q129_504750"/>
      <w:bookmarkStart w:id="73771" w:name="_ETM_Q129_505390"/>
      <w:bookmarkStart w:id="73772" w:name="_ETM_Q129_498878"/>
      <w:bookmarkStart w:id="73773" w:name="_ETM_Q129_505599"/>
      <w:bookmarkStart w:id="73774" w:name="_ETM_Q129_505900"/>
      <w:bookmarkEnd w:id="73766"/>
      <w:bookmarkEnd w:id="73767"/>
      <w:bookmarkEnd w:id="73768"/>
      <w:bookmarkEnd w:id="73769"/>
      <w:bookmarkEnd w:id="73770"/>
      <w:bookmarkEnd w:id="73771"/>
      <w:bookmarkEnd w:id="73772"/>
      <w:bookmarkEnd w:id="73773"/>
      <w:bookmarkEnd w:id="73774"/>
      <w:r>
        <w:rPr>
          <w:rFonts w:hint="cs"/>
          <w:rtl/>
        </w:rPr>
        <w:t xml:space="preserve">רחוב </w:t>
      </w:r>
      <w:bookmarkStart w:id="73775" w:name="_ETM_Q129_506320"/>
      <w:bookmarkEnd w:id="73775"/>
      <w:r>
        <w:rPr>
          <w:rFonts w:hint="cs"/>
          <w:rtl/>
        </w:rPr>
        <w:t xml:space="preserve">הערבי, </w:t>
      </w:r>
      <w:bookmarkStart w:id="73776" w:name="_ETM_Q129_507380"/>
      <w:bookmarkEnd w:id="73776"/>
      <w:r>
        <w:rPr>
          <w:rFonts w:hint="cs"/>
          <w:rtl/>
        </w:rPr>
        <w:t xml:space="preserve">בחברה </w:t>
      </w:r>
      <w:bookmarkStart w:id="73777" w:name="_ETM_Q129_508010"/>
      <w:bookmarkEnd w:id="73777"/>
      <w:r>
        <w:rPr>
          <w:rFonts w:hint="cs"/>
          <w:rtl/>
        </w:rPr>
        <w:t>הערבית</w:t>
      </w:r>
      <w:r w:rsidR="00597063">
        <w:rPr>
          <w:rFonts w:hint="cs"/>
          <w:rtl/>
        </w:rPr>
        <w:t>,</w:t>
      </w:r>
      <w:r>
        <w:rPr>
          <w:rFonts w:hint="cs"/>
          <w:rtl/>
        </w:rPr>
        <w:t xml:space="preserve"> </w:t>
      </w:r>
      <w:bookmarkStart w:id="73778" w:name="_ETM_Q129_509259"/>
      <w:bookmarkEnd w:id="73778"/>
      <w:r>
        <w:rPr>
          <w:rFonts w:hint="cs"/>
          <w:rtl/>
        </w:rPr>
        <w:t xml:space="preserve">האם </w:t>
      </w:r>
      <w:bookmarkStart w:id="73779" w:name="_ETM_Q129_509650"/>
      <w:bookmarkStart w:id="73780" w:name="_ETM_Q129_505907"/>
      <w:bookmarkStart w:id="73781" w:name="_ETM_Q129_509859"/>
      <w:bookmarkEnd w:id="73779"/>
      <w:bookmarkEnd w:id="73780"/>
      <w:bookmarkEnd w:id="73781"/>
      <w:r>
        <w:rPr>
          <w:rFonts w:hint="cs"/>
          <w:rtl/>
        </w:rPr>
        <w:t xml:space="preserve">ממשלת </w:t>
      </w:r>
      <w:bookmarkStart w:id="73782" w:name="_ETM_Q129_510369"/>
      <w:bookmarkEnd w:id="73782"/>
      <w:r>
        <w:rPr>
          <w:rFonts w:hint="cs"/>
          <w:rtl/>
        </w:rPr>
        <w:t xml:space="preserve">נתניהו </w:t>
      </w:r>
      <w:bookmarkStart w:id="73783" w:name="_ETM_Q129_511480"/>
      <w:bookmarkEnd w:id="73783"/>
      <w:r>
        <w:rPr>
          <w:rFonts w:hint="cs"/>
          <w:rtl/>
        </w:rPr>
        <w:t xml:space="preserve">ובן </w:t>
      </w:r>
      <w:bookmarkStart w:id="73784" w:name="_ETM_Q129_511869"/>
      <w:bookmarkEnd w:id="73784"/>
      <w:r>
        <w:rPr>
          <w:rFonts w:hint="cs"/>
          <w:rtl/>
        </w:rPr>
        <w:t xml:space="preserve">גביר </w:t>
      </w:r>
      <w:bookmarkStart w:id="73785" w:name="_ETM_Q129_512739"/>
      <w:bookmarkStart w:id="73786" w:name="_ETM_Q129_513339"/>
      <w:bookmarkEnd w:id="73785"/>
      <w:bookmarkEnd w:id="73786"/>
      <w:r>
        <w:rPr>
          <w:rFonts w:hint="cs"/>
          <w:rtl/>
        </w:rPr>
        <w:t xml:space="preserve">וסמוטריץ' </w:t>
      </w:r>
      <w:bookmarkStart w:id="73787" w:name="_ETM_Q129_514450"/>
      <w:bookmarkEnd w:id="73787"/>
      <w:r>
        <w:rPr>
          <w:rFonts w:hint="cs"/>
          <w:rtl/>
        </w:rPr>
        <w:t xml:space="preserve">או </w:t>
      </w:r>
      <w:bookmarkStart w:id="73788" w:name="_ETM_Q129_515239"/>
      <w:bookmarkEnd w:id="73788"/>
      <w:r>
        <w:rPr>
          <w:rFonts w:hint="cs"/>
          <w:rtl/>
        </w:rPr>
        <w:t xml:space="preserve">ארגוני </w:t>
      </w:r>
      <w:bookmarkStart w:id="73789" w:name="_ETM_Q129_516050"/>
      <w:bookmarkEnd w:id="73789"/>
      <w:r>
        <w:rPr>
          <w:rFonts w:hint="cs"/>
          <w:rtl/>
        </w:rPr>
        <w:t>הפשיעה?</w:t>
      </w:r>
      <w:bookmarkStart w:id="73790" w:name="_ETM_Q129_512468"/>
      <w:bookmarkEnd w:id="73790"/>
      <w:r>
        <w:rPr>
          <w:rFonts w:hint="cs"/>
          <w:rtl/>
        </w:rPr>
        <w:t xml:space="preserve"> </w:t>
      </w:r>
      <w:bookmarkStart w:id="73791" w:name="_ETM_Q129_517460"/>
      <w:bookmarkEnd w:id="73791"/>
      <w:r>
        <w:rPr>
          <w:rFonts w:hint="cs"/>
          <w:rtl/>
        </w:rPr>
        <w:t xml:space="preserve">מבחן </w:t>
      </w:r>
      <w:bookmarkStart w:id="73792" w:name="_ETM_Q129_518149"/>
      <w:bookmarkEnd w:id="73792"/>
      <w:r>
        <w:rPr>
          <w:rFonts w:hint="cs"/>
          <w:rtl/>
        </w:rPr>
        <w:t xml:space="preserve">התוצאה </w:t>
      </w:r>
      <w:bookmarkStart w:id="73793" w:name="_ETM_Q129_519920"/>
      <w:bookmarkEnd w:id="73793"/>
      <w:r>
        <w:rPr>
          <w:rFonts w:hint="cs"/>
          <w:rtl/>
        </w:rPr>
        <w:t xml:space="preserve">מראה </w:t>
      </w:r>
      <w:bookmarkStart w:id="73794" w:name="_ETM_Q129_524672"/>
      <w:bookmarkEnd w:id="73794"/>
      <w:r>
        <w:rPr>
          <w:rFonts w:hint="cs"/>
          <w:rtl/>
        </w:rPr>
        <w:t xml:space="preserve">בצורה </w:t>
      </w:r>
      <w:bookmarkStart w:id="73795" w:name="_ETM_Q129_520730"/>
      <w:bookmarkEnd w:id="73795"/>
      <w:r>
        <w:rPr>
          <w:rFonts w:hint="cs"/>
          <w:rtl/>
        </w:rPr>
        <w:t xml:space="preserve">ברורה </w:t>
      </w:r>
      <w:bookmarkStart w:id="73796" w:name="_ETM_Q129_521989"/>
      <w:bookmarkEnd w:id="73796"/>
      <w:r>
        <w:rPr>
          <w:rFonts w:hint="cs"/>
          <w:rtl/>
        </w:rPr>
        <w:t>ש</w:t>
      </w:r>
      <w:bookmarkStart w:id="73797" w:name="_ETM_Q129_522230"/>
      <w:bookmarkStart w:id="73798" w:name="_ETM_Q129_522649"/>
      <w:bookmarkEnd w:id="73797"/>
      <w:bookmarkEnd w:id="73798"/>
      <w:r>
        <w:rPr>
          <w:rFonts w:hint="cs"/>
          <w:rtl/>
        </w:rPr>
        <w:t>מי ששולט, מי שמושלים, מי שמ</w:t>
      </w:r>
      <w:bookmarkStart w:id="73799" w:name="_ETM_Q129_522829"/>
      <w:bookmarkStart w:id="73800" w:name="_ETM_Q129_523739"/>
      <w:bookmarkStart w:id="73801" w:name="_ETM_Q129_524219"/>
      <w:bookmarkStart w:id="73802" w:name="_ETM_Q129_525350"/>
      <w:bookmarkStart w:id="73803" w:name="_ETM_Q129_525589"/>
      <w:bookmarkStart w:id="73804" w:name="_ETM_Q129_525860"/>
      <w:bookmarkStart w:id="73805" w:name="_ETM_Q129_522997"/>
      <w:bookmarkEnd w:id="73799"/>
      <w:bookmarkEnd w:id="73800"/>
      <w:bookmarkEnd w:id="73801"/>
      <w:bookmarkEnd w:id="73802"/>
      <w:bookmarkEnd w:id="73803"/>
      <w:bookmarkEnd w:id="73804"/>
      <w:bookmarkEnd w:id="73805"/>
      <w:r>
        <w:rPr>
          <w:rFonts w:hint="cs"/>
          <w:rtl/>
        </w:rPr>
        <w:t xml:space="preserve">הלכים </w:t>
      </w:r>
      <w:bookmarkStart w:id="73806" w:name="_ETM_Q129_526399"/>
      <w:bookmarkEnd w:id="73806"/>
      <w:r>
        <w:rPr>
          <w:rFonts w:hint="cs"/>
          <w:rtl/>
        </w:rPr>
        <w:t xml:space="preserve">אימים </w:t>
      </w:r>
      <w:bookmarkStart w:id="73807" w:name="_ETM_Q129_526879"/>
      <w:bookmarkEnd w:id="73807"/>
      <w:r>
        <w:rPr>
          <w:rFonts w:hint="cs"/>
          <w:rtl/>
        </w:rPr>
        <w:t xml:space="preserve">על </w:t>
      </w:r>
      <w:bookmarkStart w:id="73808" w:name="_ETM_Q129_527059"/>
      <w:bookmarkEnd w:id="73808"/>
      <w:r>
        <w:rPr>
          <w:rFonts w:hint="cs"/>
          <w:rtl/>
        </w:rPr>
        <w:t xml:space="preserve">החברה </w:t>
      </w:r>
      <w:bookmarkStart w:id="73809" w:name="_ETM_Q129_527629"/>
      <w:bookmarkEnd w:id="73809"/>
      <w:r>
        <w:rPr>
          <w:rFonts w:hint="cs"/>
          <w:rtl/>
        </w:rPr>
        <w:t xml:space="preserve">הערבית </w:t>
      </w:r>
      <w:bookmarkStart w:id="73810" w:name="_ETM_Q129_532384"/>
      <w:bookmarkStart w:id="73811" w:name="_ETM_Q129_528700"/>
      <w:bookmarkEnd w:id="73810"/>
      <w:bookmarkEnd w:id="73811"/>
      <w:r>
        <w:rPr>
          <w:rFonts w:hint="cs"/>
          <w:rtl/>
        </w:rPr>
        <w:t xml:space="preserve">הם </w:t>
      </w:r>
      <w:bookmarkStart w:id="73812" w:name="_ETM_Q129_529180"/>
      <w:bookmarkEnd w:id="73812"/>
      <w:r>
        <w:rPr>
          <w:rFonts w:hint="cs"/>
          <w:rtl/>
        </w:rPr>
        <w:t xml:space="preserve">ארגוני הפשיעה. </w:t>
      </w:r>
      <w:bookmarkStart w:id="73813" w:name="_ETM_Q129_530980"/>
      <w:bookmarkEnd w:id="73813"/>
      <w:r>
        <w:rPr>
          <w:rFonts w:hint="cs"/>
          <w:rtl/>
        </w:rPr>
        <w:t>ולכן,</w:t>
      </w:r>
      <w:bookmarkStart w:id="73814" w:name="_ETM_Q129_529497"/>
      <w:bookmarkEnd w:id="73814"/>
      <w:r>
        <w:rPr>
          <w:rFonts w:hint="cs"/>
          <w:rtl/>
        </w:rPr>
        <w:t xml:space="preserve"> </w:t>
      </w:r>
      <w:bookmarkStart w:id="73815" w:name="_ETM_Q129_532190"/>
      <w:bookmarkEnd w:id="73815"/>
      <w:r>
        <w:rPr>
          <w:rFonts w:hint="cs"/>
          <w:rtl/>
        </w:rPr>
        <w:t xml:space="preserve">גם </w:t>
      </w:r>
      <w:bookmarkStart w:id="73816" w:name="_ETM_Q129_532460"/>
      <w:bookmarkEnd w:id="73816"/>
      <w:r>
        <w:rPr>
          <w:rFonts w:hint="cs"/>
          <w:rtl/>
        </w:rPr>
        <w:t xml:space="preserve">ראש </w:t>
      </w:r>
      <w:bookmarkStart w:id="73817" w:name="_ETM_Q129_532699"/>
      <w:bookmarkEnd w:id="73817"/>
      <w:r>
        <w:rPr>
          <w:rFonts w:hint="cs"/>
          <w:rtl/>
        </w:rPr>
        <w:t xml:space="preserve">הממשלה, </w:t>
      </w:r>
      <w:bookmarkStart w:id="73818" w:name="_ETM_Q129_533829"/>
      <w:bookmarkEnd w:id="73818"/>
      <w:r>
        <w:rPr>
          <w:rFonts w:hint="cs"/>
          <w:rtl/>
        </w:rPr>
        <w:t xml:space="preserve">גם </w:t>
      </w:r>
      <w:bookmarkStart w:id="73819" w:name="_ETM_Q129_534160"/>
      <w:bookmarkEnd w:id="73819"/>
      <w:r>
        <w:rPr>
          <w:rFonts w:hint="cs"/>
          <w:rtl/>
        </w:rPr>
        <w:t xml:space="preserve">כל </w:t>
      </w:r>
      <w:bookmarkStart w:id="73820" w:name="_ETM_Q129_534390"/>
      <w:bookmarkEnd w:id="73820"/>
      <w:r>
        <w:rPr>
          <w:rFonts w:hint="cs"/>
          <w:rtl/>
        </w:rPr>
        <w:t xml:space="preserve">הממשלה </w:t>
      </w:r>
      <w:bookmarkStart w:id="73821" w:name="_ETM_Q129_535700"/>
      <w:bookmarkEnd w:id="73821"/>
      <w:r>
        <w:rPr>
          <w:rFonts w:hint="cs"/>
          <w:rtl/>
        </w:rPr>
        <w:t>ו</w:t>
      </w:r>
      <w:bookmarkStart w:id="73822" w:name="_ETM_Q129_536697"/>
      <w:bookmarkEnd w:id="73822"/>
      <w:r>
        <w:rPr>
          <w:rFonts w:hint="cs"/>
          <w:rtl/>
        </w:rPr>
        <w:t xml:space="preserve">גם </w:t>
      </w:r>
      <w:bookmarkStart w:id="73823" w:name="_ETM_Q129_536390"/>
      <w:bookmarkEnd w:id="73823"/>
      <w:r>
        <w:rPr>
          <w:rFonts w:hint="cs"/>
          <w:rtl/>
        </w:rPr>
        <w:t xml:space="preserve">שר </w:t>
      </w:r>
      <w:bookmarkStart w:id="73824" w:name="_ETM_Q129_536930"/>
      <w:bookmarkEnd w:id="73824"/>
      <w:r>
        <w:rPr>
          <w:rFonts w:hint="cs"/>
          <w:rtl/>
        </w:rPr>
        <w:t xml:space="preserve">הביזיון </w:t>
      </w:r>
      <w:bookmarkStart w:id="73825" w:name="_ETM_Q129_537860"/>
      <w:bookmarkEnd w:id="73825"/>
      <w:r>
        <w:rPr>
          <w:rFonts w:hint="cs"/>
          <w:rtl/>
        </w:rPr>
        <w:t xml:space="preserve">הלאומי </w:t>
      </w:r>
      <w:bookmarkStart w:id="73826" w:name="_ETM_Q129_538760"/>
      <w:bookmarkEnd w:id="73826"/>
      <w:r>
        <w:rPr>
          <w:rFonts w:hint="cs"/>
          <w:rtl/>
        </w:rPr>
        <w:t xml:space="preserve">צריכים </w:t>
      </w:r>
      <w:bookmarkStart w:id="73827" w:name="_ETM_Q129_539480"/>
      <w:bookmarkEnd w:id="73827"/>
      <w:r>
        <w:rPr>
          <w:rFonts w:hint="cs"/>
          <w:rtl/>
        </w:rPr>
        <w:t xml:space="preserve">להתפטר </w:t>
      </w:r>
      <w:bookmarkStart w:id="73828" w:name="_ETM_Q129_540380"/>
      <w:bookmarkEnd w:id="73828"/>
      <w:r>
        <w:rPr>
          <w:rFonts w:hint="cs"/>
          <w:rtl/>
        </w:rPr>
        <w:t xml:space="preserve">מיידית. </w:t>
      </w:r>
      <w:bookmarkStart w:id="73829" w:name="_ETM_Q129_541850"/>
      <w:bookmarkEnd w:id="73829"/>
      <w:r>
        <w:rPr>
          <w:rFonts w:hint="cs"/>
          <w:rtl/>
        </w:rPr>
        <w:t xml:space="preserve">מי </w:t>
      </w:r>
      <w:bookmarkStart w:id="73830" w:name="_ETM_Q129_542149"/>
      <w:bookmarkEnd w:id="73830"/>
      <w:r>
        <w:rPr>
          <w:rFonts w:hint="cs"/>
          <w:rtl/>
        </w:rPr>
        <w:t xml:space="preserve">שלא </w:t>
      </w:r>
      <w:bookmarkStart w:id="73831" w:name="_ETM_Q129_542570"/>
      <w:bookmarkStart w:id="73832" w:name="_ETM_Q129_543800"/>
      <w:bookmarkEnd w:id="73831"/>
      <w:bookmarkEnd w:id="73832"/>
      <w:r>
        <w:rPr>
          <w:rFonts w:hint="cs"/>
          <w:rtl/>
        </w:rPr>
        <w:t>יכול להיאבק</w:t>
      </w:r>
      <w:bookmarkStart w:id="73833" w:name="_ETM_Q129_542026"/>
      <w:bookmarkEnd w:id="73833"/>
      <w:r>
        <w:rPr>
          <w:rFonts w:hint="cs"/>
          <w:rtl/>
        </w:rPr>
        <w:t xml:space="preserve"> </w:t>
      </w:r>
      <w:bookmarkStart w:id="73834" w:name="_ETM_Q129_544549"/>
      <w:bookmarkEnd w:id="73834"/>
      <w:r>
        <w:rPr>
          <w:rFonts w:hint="cs"/>
          <w:rtl/>
        </w:rPr>
        <w:t xml:space="preserve">בארגוני </w:t>
      </w:r>
      <w:bookmarkStart w:id="73835" w:name="_ETM_Q129_545149"/>
      <w:bookmarkEnd w:id="73835"/>
      <w:r>
        <w:rPr>
          <w:rFonts w:hint="cs"/>
          <w:rtl/>
        </w:rPr>
        <w:t xml:space="preserve">פשיעה </w:t>
      </w:r>
      <w:bookmarkStart w:id="73836" w:name="_ETM_Q129_546290"/>
      <w:bookmarkEnd w:id="73836"/>
      <w:r>
        <w:rPr>
          <w:rFonts w:hint="cs"/>
          <w:rtl/>
        </w:rPr>
        <w:t xml:space="preserve">ונותן </w:t>
      </w:r>
      <w:bookmarkStart w:id="73837" w:name="_ETM_Q129_546979"/>
      <w:bookmarkEnd w:id="73837"/>
      <w:r>
        <w:rPr>
          <w:rFonts w:hint="cs"/>
          <w:rtl/>
        </w:rPr>
        <w:t xml:space="preserve">להם </w:t>
      </w:r>
      <w:bookmarkStart w:id="73838" w:name="_ETM_Q129_547310"/>
      <w:bookmarkEnd w:id="73838"/>
      <w:r>
        <w:rPr>
          <w:rFonts w:hint="cs"/>
          <w:rtl/>
        </w:rPr>
        <w:t xml:space="preserve">לעשות </w:t>
      </w:r>
      <w:bookmarkStart w:id="73839" w:name="_ETM_Q129_547760"/>
      <w:bookmarkEnd w:id="73839"/>
      <w:r>
        <w:rPr>
          <w:rFonts w:hint="cs"/>
          <w:rtl/>
        </w:rPr>
        <w:t xml:space="preserve">מה </w:t>
      </w:r>
      <w:bookmarkStart w:id="73840" w:name="_ETM_Q129_547939"/>
      <w:bookmarkEnd w:id="73840"/>
      <w:r>
        <w:rPr>
          <w:rFonts w:hint="cs"/>
          <w:rtl/>
        </w:rPr>
        <w:t xml:space="preserve">שהם </w:t>
      </w:r>
      <w:bookmarkStart w:id="73841" w:name="_ETM_Q129_548210"/>
      <w:bookmarkEnd w:id="73841"/>
      <w:r>
        <w:rPr>
          <w:rFonts w:hint="cs"/>
          <w:rtl/>
        </w:rPr>
        <w:t xml:space="preserve">רוצים </w:t>
      </w:r>
      <w:bookmarkStart w:id="73842" w:name="_ETM_Q129_548630"/>
      <w:bookmarkEnd w:id="73842"/>
      <w:r>
        <w:rPr>
          <w:rFonts w:hint="cs"/>
          <w:rtl/>
        </w:rPr>
        <w:t xml:space="preserve">בחברה </w:t>
      </w:r>
      <w:bookmarkStart w:id="73843" w:name="_ETM_Q129_549110"/>
      <w:bookmarkEnd w:id="73843"/>
      <w:r>
        <w:rPr>
          <w:rFonts w:hint="cs"/>
          <w:rtl/>
        </w:rPr>
        <w:t xml:space="preserve">הערבית – </w:t>
      </w:r>
      <w:bookmarkStart w:id="73844" w:name="_ETM_Q129_550250"/>
      <w:bookmarkEnd w:id="73844"/>
      <w:r>
        <w:rPr>
          <w:rFonts w:hint="cs"/>
          <w:rtl/>
        </w:rPr>
        <w:t xml:space="preserve">אין </w:t>
      </w:r>
      <w:bookmarkStart w:id="73845" w:name="_ETM_Q129_550580"/>
      <w:bookmarkEnd w:id="73845"/>
      <w:r>
        <w:rPr>
          <w:rFonts w:hint="cs"/>
          <w:rtl/>
        </w:rPr>
        <w:t xml:space="preserve">לו </w:t>
      </w:r>
      <w:bookmarkStart w:id="73846" w:name="_ETM_Q129_550880"/>
      <w:bookmarkEnd w:id="73846"/>
      <w:r>
        <w:rPr>
          <w:rFonts w:hint="cs"/>
          <w:rtl/>
        </w:rPr>
        <w:t xml:space="preserve">זכות </w:t>
      </w:r>
      <w:bookmarkStart w:id="73847" w:name="_ETM_Q129_551630"/>
      <w:bookmarkEnd w:id="73847"/>
      <w:r>
        <w:rPr>
          <w:rFonts w:hint="cs"/>
          <w:rtl/>
        </w:rPr>
        <w:t xml:space="preserve">למשול. </w:t>
      </w:r>
      <w:bookmarkStart w:id="73848" w:name="_ETM_Q129_552770"/>
      <w:bookmarkEnd w:id="73848"/>
    </w:p>
    <w:p w:rsidR="00BB59CD" w:rsidRDefault="00BB59CD" w:rsidP="00BB59CD">
      <w:pPr>
        <w:rPr>
          <w:rtl/>
        </w:rPr>
      </w:pPr>
    </w:p>
    <w:p w:rsidR="00BB59CD" w:rsidRDefault="00BB59CD" w:rsidP="00597063">
      <w:pPr>
        <w:rPr>
          <w:rtl/>
        </w:rPr>
      </w:pPr>
      <w:r>
        <w:rPr>
          <w:rFonts w:hint="cs"/>
          <w:rtl/>
        </w:rPr>
        <w:t xml:space="preserve">מי </w:t>
      </w:r>
      <w:bookmarkStart w:id="73849" w:name="_ETM_Q129_553040"/>
      <w:bookmarkEnd w:id="73849"/>
      <w:r>
        <w:rPr>
          <w:rFonts w:hint="cs"/>
          <w:rtl/>
        </w:rPr>
        <w:t>ש</w:t>
      </w:r>
      <w:bookmarkStart w:id="73850" w:name="_ETM_Q129_553520"/>
      <w:bookmarkStart w:id="73851" w:name="_ETM_Q129_553759"/>
      <w:bookmarkEnd w:id="73850"/>
      <w:bookmarkEnd w:id="73851"/>
      <w:r>
        <w:rPr>
          <w:rFonts w:hint="cs"/>
          <w:rtl/>
        </w:rPr>
        <w:t xml:space="preserve">דיבר </w:t>
      </w:r>
      <w:bookmarkStart w:id="73852" w:name="_ETM_Q129_554930"/>
      <w:bookmarkEnd w:id="73852"/>
      <w:r>
        <w:rPr>
          <w:rFonts w:hint="cs"/>
          <w:rtl/>
        </w:rPr>
        <w:t xml:space="preserve">במשך </w:t>
      </w:r>
      <w:bookmarkStart w:id="73853" w:name="_ETM_Q129_555500"/>
      <w:bookmarkEnd w:id="73853"/>
      <w:r>
        <w:rPr>
          <w:rFonts w:hint="cs"/>
          <w:rtl/>
        </w:rPr>
        <w:t xml:space="preserve">שנה </w:t>
      </w:r>
      <w:bookmarkStart w:id="73854" w:name="_ETM_Q129_555859"/>
      <w:bookmarkEnd w:id="73854"/>
      <w:r>
        <w:rPr>
          <w:rFonts w:hint="cs"/>
          <w:rtl/>
        </w:rPr>
        <w:t xml:space="preserve">שלמה, </w:t>
      </w:r>
      <w:bookmarkStart w:id="73855" w:name="_ETM_Q129_556850"/>
      <w:bookmarkEnd w:id="73855"/>
      <w:r>
        <w:rPr>
          <w:rFonts w:hint="cs"/>
          <w:rtl/>
        </w:rPr>
        <w:t xml:space="preserve">וכל הכותרות "משילות" – איפה המשילות, כבוד היושב הראש? 129 </w:t>
      </w:r>
      <w:bookmarkStart w:id="73856" w:name="_ETM_Q129_558529"/>
      <w:bookmarkStart w:id="73857" w:name="_ETM_Q129_558740"/>
      <w:bookmarkStart w:id="73858" w:name="_ETM_Q129_559839"/>
      <w:bookmarkStart w:id="73859" w:name="_ETM_Q129_560140"/>
      <w:bookmarkStart w:id="73860" w:name="_ETM_Q129_560320"/>
      <w:bookmarkStart w:id="73861" w:name="_ETM_Q129_560560"/>
      <w:bookmarkStart w:id="73862" w:name="_ETM_Q129_560680"/>
      <w:bookmarkStart w:id="73863" w:name="_ETM_Q129_560920"/>
      <w:bookmarkStart w:id="73864" w:name="_ETM_Q129_561820"/>
      <w:bookmarkStart w:id="73865" w:name="_ETM_Q129_562299"/>
      <w:bookmarkStart w:id="73866" w:name="_ETM_Q129_562510"/>
      <w:bookmarkStart w:id="73867" w:name="_ETM_Q129_563740"/>
      <w:bookmarkEnd w:id="73856"/>
      <w:bookmarkEnd w:id="73857"/>
      <w:bookmarkEnd w:id="73858"/>
      <w:bookmarkEnd w:id="73859"/>
      <w:bookmarkEnd w:id="73860"/>
      <w:bookmarkEnd w:id="73861"/>
      <w:bookmarkEnd w:id="73862"/>
      <w:bookmarkEnd w:id="73863"/>
      <w:bookmarkEnd w:id="73864"/>
      <w:bookmarkEnd w:id="73865"/>
      <w:bookmarkEnd w:id="73866"/>
      <w:bookmarkEnd w:id="73867"/>
      <w:r>
        <w:rPr>
          <w:rFonts w:hint="cs"/>
          <w:rtl/>
        </w:rPr>
        <w:t>נרצחים</w:t>
      </w:r>
      <w:bookmarkStart w:id="73868" w:name="_ETM_Q129_558636"/>
      <w:bookmarkStart w:id="73869" w:name="_ETM_Q129_564760"/>
      <w:bookmarkStart w:id="73870" w:name="_ETM_Q129_566975"/>
      <w:bookmarkEnd w:id="73868"/>
      <w:bookmarkEnd w:id="73869"/>
      <w:bookmarkEnd w:id="73870"/>
      <w:r w:rsidR="00597063">
        <w:rPr>
          <w:rFonts w:hint="cs"/>
          <w:rtl/>
        </w:rPr>
        <w:t>,</w:t>
      </w:r>
      <w:r>
        <w:rPr>
          <w:rFonts w:hint="cs"/>
          <w:rtl/>
        </w:rPr>
        <w:t xml:space="preserve"> לא </w:t>
      </w:r>
      <w:bookmarkStart w:id="73871" w:name="_ETM_Q129_565390"/>
      <w:bookmarkEnd w:id="73871"/>
      <w:r>
        <w:rPr>
          <w:rFonts w:hint="cs"/>
          <w:rtl/>
        </w:rPr>
        <w:t xml:space="preserve">יכול </w:t>
      </w:r>
      <w:bookmarkStart w:id="73872" w:name="_ETM_Q129_566140"/>
      <w:bookmarkEnd w:id="73872"/>
      <w:r>
        <w:rPr>
          <w:rFonts w:hint="cs"/>
          <w:rtl/>
        </w:rPr>
        <w:t xml:space="preserve">להיות </w:t>
      </w:r>
      <w:bookmarkStart w:id="73873" w:name="_ETM_Q129_566890"/>
      <w:bookmarkEnd w:id="73873"/>
      <w:r>
        <w:rPr>
          <w:rFonts w:hint="cs"/>
          <w:rtl/>
        </w:rPr>
        <w:t xml:space="preserve">המצב </w:t>
      </w:r>
      <w:bookmarkStart w:id="73874" w:name="_ETM_Q129_568009"/>
      <w:bookmarkStart w:id="73875" w:name="_ETM_Q129_568729"/>
      <w:bookmarkEnd w:id="73874"/>
      <w:bookmarkEnd w:id="73875"/>
      <w:r>
        <w:rPr>
          <w:rFonts w:hint="cs"/>
          <w:rtl/>
        </w:rPr>
        <w:t xml:space="preserve">בחברה </w:t>
      </w:r>
      <w:bookmarkStart w:id="73876" w:name="_ETM_Q129_569420"/>
      <w:bookmarkEnd w:id="73876"/>
      <w:r>
        <w:rPr>
          <w:rFonts w:hint="cs"/>
          <w:rtl/>
        </w:rPr>
        <w:t xml:space="preserve">הערבית. </w:t>
      </w:r>
      <w:bookmarkStart w:id="73877" w:name="_ETM_Q129_570620"/>
      <w:bookmarkEnd w:id="73877"/>
      <w:r>
        <w:rPr>
          <w:rFonts w:hint="cs"/>
          <w:rtl/>
        </w:rPr>
        <w:t xml:space="preserve">אם </w:t>
      </w:r>
      <w:bookmarkStart w:id="73878" w:name="_ETM_Q129_570890"/>
      <w:bookmarkEnd w:id="73878"/>
      <w:r>
        <w:rPr>
          <w:rFonts w:hint="cs"/>
          <w:rtl/>
        </w:rPr>
        <w:t xml:space="preserve">הייתה </w:t>
      </w:r>
      <w:bookmarkStart w:id="73879" w:name="_ETM_Q129_571339"/>
      <w:bookmarkEnd w:id="73879"/>
      <w:r>
        <w:rPr>
          <w:rFonts w:hint="cs"/>
          <w:rtl/>
        </w:rPr>
        <w:t xml:space="preserve">ממשלה </w:t>
      </w:r>
      <w:bookmarkStart w:id="73880" w:name="_ETM_Q129_572529"/>
      <w:bookmarkEnd w:id="73880"/>
      <w:r>
        <w:rPr>
          <w:rFonts w:hint="cs"/>
          <w:rtl/>
        </w:rPr>
        <w:t>אמיתית</w:t>
      </w:r>
      <w:bookmarkStart w:id="73881" w:name="_ETM_Q129_573759"/>
      <w:bookmarkEnd w:id="73881"/>
      <w:r>
        <w:rPr>
          <w:rFonts w:hint="cs"/>
          <w:rtl/>
        </w:rPr>
        <w:t xml:space="preserve"> </w:t>
      </w:r>
      <w:bookmarkStart w:id="73882" w:name="_ETM_Q129_573939"/>
      <w:bookmarkEnd w:id="73882"/>
      <w:r>
        <w:rPr>
          <w:rFonts w:hint="cs"/>
          <w:rtl/>
        </w:rPr>
        <w:t xml:space="preserve">שרוצה </w:t>
      </w:r>
      <w:bookmarkStart w:id="73883" w:name="_ETM_Q129_574689"/>
      <w:bookmarkEnd w:id="73883"/>
      <w:r>
        <w:rPr>
          <w:rFonts w:hint="cs"/>
          <w:rtl/>
        </w:rPr>
        <w:t xml:space="preserve">למשול, היא </w:t>
      </w:r>
      <w:bookmarkStart w:id="73884" w:name="_ETM_Q129_575969"/>
      <w:bookmarkEnd w:id="73884"/>
      <w:r>
        <w:rPr>
          <w:rFonts w:hint="cs"/>
          <w:rtl/>
        </w:rPr>
        <w:t xml:space="preserve">הייתה </w:t>
      </w:r>
      <w:bookmarkStart w:id="73885" w:name="_ETM_Q129_576539"/>
      <w:bookmarkEnd w:id="73885"/>
      <w:r>
        <w:rPr>
          <w:rFonts w:hint="cs"/>
          <w:rtl/>
        </w:rPr>
        <w:t>צריכ</w:t>
      </w:r>
      <w:bookmarkStart w:id="73886" w:name="_ETM_Q129_577785"/>
      <w:bookmarkEnd w:id="73886"/>
      <w:r>
        <w:rPr>
          <w:rFonts w:hint="cs"/>
          <w:rtl/>
        </w:rPr>
        <w:t xml:space="preserve">ה </w:t>
      </w:r>
      <w:bookmarkStart w:id="73887" w:name="_ETM_Q129_577140"/>
      <w:bookmarkEnd w:id="73887"/>
      <w:r>
        <w:rPr>
          <w:rFonts w:hint="cs"/>
          <w:rtl/>
        </w:rPr>
        <w:t xml:space="preserve">להכריז </w:t>
      </w:r>
      <w:bookmarkStart w:id="73888" w:name="_ETM_Q129_578200"/>
      <w:bookmarkEnd w:id="73888"/>
      <w:r>
        <w:rPr>
          <w:rFonts w:hint="cs"/>
          <w:rtl/>
        </w:rPr>
        <w:t xml:space="preserve">על </w:t>
      </w:r>
      <w:bookmarkStart w:id="73889" w:name="_ETM_Q129_578529"/>
      <w:bookmarkEnd w:id="73889"/>
      <w:r>
        <w:rPr>
          <w:rFonts w:hint="cs"/>
          <w:rtl/>
        </w:rPr>
        <w:t xml:space="preserve">מצב </w:t>
      </w:r>
      <w:bookmarkStart w:id="73890" w:name="_ETM_Q129_579279"/>
      <w:bookmarkEnd w:id="73890"/>
      <w:r>
        <w:rPr>
          <w:rFonts w:hint="cs"/>
          <w:rtl/>
        </w:rPr>
        <w:t xml:space="preserve">חירום </w:t>
      </w:r>
      <w:bookmarkStart w:id="73891" w:name="_ETM_Q129_580299"/>
      <w:bookmarkEnd w:id="73891"/>
      <w:r>
        <w:rPr>
          <w:rFonts w:hint="cs"/>
          <w:rtl/>
        </w:rPr>
        <w:t xml:space="preserve">בחברה </w:t>
      </w:r>
      <w:bookmarkStart w:id="73892" w:name="_ETM_Q129_580930"/>
      <w:bookmarkEnd w:id="73892"/>
      <w:r>
        <w:rPr>
          <w:rFonts w:hint="cs"/>
          <w:rtl/>
        </w:rPr>
        <w:t xml:space="preserve">הערבית. </w:t>
      </w:r>
      <w:bookmarkStart w:id="73893" w:name="_ETM_Q129_582270"/>
      <w:bookmarkEnd w:id="73893"/>
      <w:r>
        <w:rPr>
          <w:rFonts w:hint="cs"/>
          <w:rtl/>
        </w:rPr>
        <w:t xml:space="preserve">אין </w:t>
      </w:r>
      <w:bookmarkStart w:id="73894" w:name="_ETM_Q129_582570"/>
      <w:bookmarkEnd w:id="73894"/>
      <w:r>
        <w:rPr>
          <w:rFonts w:hint="cs"/>
          <w:rtl/>
        </w:rPr>
        <w:t xml:space="preserve">לנו </w:t>
      </w:r>
      <w:bookmarkStart w:id="73895" w:name="_ETM_Q129_582900"/>
      <w:bookmarkEnd w:id="73895"/>
      <w:r>
        <w:rPr>
          <w:rFonts w:hint="cs"/>
          <w:rtl/>
        </w:rPr>
        <w:t xml:space="preserve">כחברי </w:t>
      </w:r>
      <w:bookmarkStart w:id="73896" w:name="_ETM_Q129_583380"/>
      <w:bookmarkEnd w:id="73896"/>
      <w:r>
        <w:rPr>
          <w:rFonts w:hint="cs"/>
          <w:rtl/>
        </w:rPr>
        <w:t xml:space="preserve">כנסת, </w:t>
      </w:r>
      <w:bookmarkStart w:id="73897" w:name="_ETM_Q129_584520"/>
      <w:bookmarkEnd w:id="73897"/>
      <w:r>
        <w:rPr>
          <w:rFonts w:hint="cs"/>
          <w:rtl/>
        </w:rPr>
        <w:t xml:space="preserve">אין </w:t>
      </w:r>
      <w:bookmarkStart w:id="73898" w:name="_ETM_Q129_584789"/>
      <w:bookmarkEnd w:id="73898"/>
      <w:r>
        <w:rPr>
          <w:rFonts w:hint="cs"/>
          <w:rtl/>
        </w:rPr>
        <w:t xml:space="preserve">לנו </w:t>
      </w:r>
      <w:bookmarkStart w:id="73899" w:name="_ETM_Q129_585029"/>
      <w:bookmarkEnd w:id="73899"/>
      <w:r>
        <w:rPr>
          <w:rFonts w:hint="cs"/>
          <w:rtl/>
        </w:rPr>
        <w:t>כ</w:t>
      </w:r>
      <w:bookmarkStart w:id="73900" w:name="_ETM_Q129_585240"/>
      <w:bookmarkStart w:id="73901" w:name="_ETM_Q129_581715"/>
      <w:bookmarkEnd w:id="73900"/>
      <w:bookmarkEnd w:id="73901"/>
      <w:r>
        <w:rPr>
          <w:rFonts w:hint="cs"/>
          <w:rtl/>
        </w:rPr>
        <w:t xml:space="preserve">ראשי </w:t>
      </w:r>
      <w:bookmarkStart w:id="73902" w:name="_ETM_Q129_585479"/>
      <w:bookmarkEnd w:id="73902"/>
      <w:r>
        <w:rPr>
          <w:rFonts w:hint="cs"/>
          <w:rtl/>
        </w:rPr>
        <w:t xml:space="preserve">רשויות </w:t>
      </w:r>
      <w:bookmarkStart w:id="73903" w:name="_ETM_Q129_585959"/>
      <w:bookmarkEnd w:id="73903"/>
      <w:r>
        <w:rPr>
          <w:rFonts w:hint="cs"/>
          <w:rtl/>
        </w:rPr>
        <w:t xml:space="preserve">בחברה </w:t>
      </w:r>
      <w:bookmarkStart w:id="73904" w:name="_ETM_Q129_586469"/>
      <w:bookmarkEnd w:id="73904"/>
      <w:r>
        <w:rPr>
          <w:rFonts w:hint="cs"/>
          <w:rtl/>
        </w:rPr>
        <w:t xml:space="preserve">הערבית, </w:t>
      </w:r>
      <w:bookmarkStart w:id="73905" w:name="_ETM_Q129_587399"/>
      <w:bookmarkEnd w:id="73905"/>
      <w:r>
        <w:rPr>
          <w:rFonts w:hint="cs"/>
          <w:rtl/>
        </w:rPr>
        <w:t xml:space="preserve">את </w:t>
      </w:r>
      <w:bookmarkStart w:id="73906" w:name="_ETM_Q129_587670"/>
      <w:bookmarkEnd w:id="73906"/>
      <w:r>
        <w:rPr>
          <w:rFonts w:hint="cs"/>
          <w:rtl/>
        </w:rPr>
        <w:t xml:space="preserve">הכוח </w:t>
      </w:r>
      <w:bookmarkStart w:id="73907" w:name="_ETM_Q129_589710"/>
      <w:bookmarkEnd w:id="73907"/>
      <w:r>
        <w:rPr>
          <w:rFonts w:hint="cs"/>
          <w:rtl/>
        </w:rPr>
        <w:t xml:space="preserve">להילחם בארגוני </w:t>
      </w:r>
      <w:bookmarkStart w:id="73908" w:name="_ETM_Q129_590339"/>
      <w:bookmarkEnd w:id="73908"/>
      <w:r>
        <w:rPr>
          <w:rFonts w:hint="cs"/>
          <w:rtl/>
        </w:rPr>
        <w:t xml:space="preserve">הפשיעה – </w:t>
      </w:r>
      <w:bookmarkStart w:id="73909" w:name="_ETM_Q129_591360"/>
      <w:bookmarkEnd w:id="73909"/>
      <w:r>
        <w:rPr>
          <w:rFonts w:hint="cs"/>
          <w:rtl/>
        </w:rPr>
        <w:t xml:space="preserve">זה </w:t>
      </w:r>
      <w:bookmarkStart w:id="73910" w:name="_ETM_Q129_591689"/>
      <w:bookmarkStart w:id="73911" w:name="_ETM_Q129_592115"/>
      <w:bookmarkEnd w:id="73910"/>
      <w:bookmarkEnd w:id="73911"/>
      <w:r>
        <w:rPr>
          <w:rFonts w:hint="cs"/>
          <w:rtl/>
        </w:rPr>
        <w:t>תפקיד</w:t>
      </w:r>
      <w:bookmarkStart w:id="73912" w:name="_ETM_Q129_591970"/>
      <w:bookmarkEnd w:id="73912"/>
      <w:r>
        <w:rPr>
          <w:rFonts w:hint="cs"/>
          <w:rtl/>
        </w:rPr>
        <w:t xml:space="preserve"> </w:t>
      </w:r>
      <w:bookmarkStart w:id="73913" w:name="_ETM_Q129_592779"/>
      <w:bookmarkEnd w:id="73913"/>
      <w:r>
        <w:rPr>
          <w:rFonts w:hint="cs"/>
          <w:rtl/>
        </w:rPr>
        <w:t xml:space="preserve">של </w:t>
      </w:r>
      <w:bookmarkStart w:id="73914" w:name="_ETM_Q129_593110"/>
      <w:bookmarkEnd w:id="73914"/>
      <w:r>
        <w:rPr>
          <w:rFonts w:hint="cs"/>
          <w:rtl/>
        </w:rPr>
        <w:t xml:space="preserve">ממשלה, </w:t>
      </w:r>
      <w:bookmarkStart w:id="73915" w:name="_ETM_Q129_594320"/>
      <w:bookmarkEnd w:id="73915"/>
      <w:r>
        <w:rPr>
          <w:rFonts w:hint="cs"/>
          <w:rtl/>
        </w:rPr>
        <w:t xml:space="preserve">זה </w:t>
      </w:r>
      <w:bookmarkStart w:id="73916" w:name="_ETM_Q129_594589"/>
      <w:bookmarkEnd w:id="73916"/>
      <w:r>
        <w:rPr>
          <w:rFonts w:hint="cs"/>
          <w:rtl/>
        </w:rPr>
        <w:t>תפקיד</w:t>
      </w:r>
      <w:bookmarkStart w:id="73917" w:name="_ETM_Q129_592565"/>
      <w:bookmarkEnd w:id="73917"/>
      <w:r>
        <w:rPr>
          <w:rFonts w:hint="cs"/>
          <w:rtl/>
        </w:rPr>
        <w:t xml:space="preserve"> </w:t>
      </w:r>
      <w:bookmarkStart w:id="73918" w:name="_ETM_Q129_595490"/>
      <w:bookmarkEnd w:id="73918"/>
      <w:r>
        <w:rPr>
          <w:rFonts w:hint="cs"/>
          <w:rtl/>
        </w:rPr>
        <w:t xml:space="preserve">של </w:t>
      </w:r>
      <w:bookmarkStart w:id="73919" w:name="_ETM_Q129_595760"/>
      <w:bookmarkEnd w:id="73919"/>
      <w:r>
        <w:rPr>
          <w:rFonts w:hint="cs"/>
          <w:rtl/>
        </w:rPr>
        <w:t>משטרה</w:t>
      </w:r>
      <w:r w:rsidR="00597063">
        <w:rPr>
          <w:rFonts w:hint="cs"/>
          <w:rtl/>
        </w:rPr>
        <w:t>.</w:t>
      </w:r>
      <w:r>
        <w:rPr>
          <w:rFonts w:hint="cs"/>
          <w:rtl/>
        </w:rPr>
        <w:t xml:space="preserve"> </w:t>
      </w:r>
      <w:bookmarkStart w:id="73920" w:name="_ETM_Q129_596960"/>
      <w:bookmarkEnd w:id="73920"/>
      <w:r>
        <w:rPr>
          <w:rFonts w:hint="cs"/>
          <w:rtl/>
        </w:rPr>
        <w:t xml:space="preserve">אבל </w:t>
      </w:r>
      <w:bookmarkStart w:id="73921" w:name="_ETM_Q129_597320"/>
      <w:bookmarkEnd w:id="73921"/>
      <w:r>
        <w:rPr>
          <w:rFonts w:hint="cs"/>
          <w:rtl/>
        </w:rPr>
        <w:t xml:space="preserve">למשטרה </w:t>
      </w:r>
      <w:bookmarkStart w:id="73922" w:name="_ETM_Q129_598250"/>
      <w:bookmarkEnd w:id="73922"/>
      <w:r>
        <w:rPr>
          <w:rFonts w:hint="cs"/>
          <w:rtl/>
        </w:rPr>
        <w:t xml:space="preserve">יש </w:t>
      </w:r>
      <w:bookmarkStart w:id="73923" w:name="_ETM_Q129_598880"/>
      <w:bookmarkEnd w:id="73923"/>
      <w:r>
        <w:rPr>
          <w:rFonts w:hint="cs"/>
          <w:rtl/>
        </w:rPr>
        <w:t xml:space="preserve">סדר </w:t>
      </w:r>
      <w:bookmarkStart w:id="73924" w:name="_ETM_Q129_599630"/>
      <w:bookmarkEnd w:id="73924"/>
      <w:r>
        <w:rPr>
          <w:rFonts w:hint="cs"/>
          <w:rtl/>
        </w:rPr>
        <w:t xml:space="preserve">עדיפות </w:t>
      </w:r>
      <w:bookmarkStart w:id="73925" w:name="_ETM_Q129_600680"/>
      <w:bookmarkEnd w:id="73925"/>
      <w:r>
        <w:rPr>
          <w:rFonts w:hint="cs"/>
          <w:rtl/>
        </w:rPr>
        <w:t>שונה.</w:t>
      </w:r>
      <w:bookmarkStart w:id="73926" w:name="_ETM_Q129_636728"/>
      <w:bookmarkStart w:id="73927" w:name="_ETM_Q129_632015"/>
      <w:bookmarkStart w:id="73928" w:name="_ETM_Q129_627951"/>
      <w:bookmarkStart w:id="73929" w:name="_ETM_Q129_624273"/>
      <w:bookmarkStart w:id="73930" w:name="_ETM_Q129_620793"/>
      <w:bookmarkStart w:id="73931" w:name="_ETM_Q129_616875"/>
      <w:bookmarkStart w:id="73932" w:name="_ETM_Q129_613542"/>
      <w:bookmarkStart w:id="73933" w:name="_ETM_Q129_610153"/>
      <w:bookmarkStart w:id="73934" w:name="_ETM_Q129_607555"/>
      <w:bookmarkStart w:id="73935" w:name="_ETM_Q129_603594"/>
      <w:bookmarkStart w:id="73936" w:name="_ETM_Q129_600821"/>
      <w:bookmarkStart w:id="73937" w:name="_ETM_Q129_597238"/>
      <w:bookmarkEnd w:id="73926"/>
      <w:bookmarkEnd w:id="73927"/>
      <w:bookmarkEnd w:id="73928"/>
      <w:bookmarkEnd w:id="73929"/>
      <w:bookmarkEnd w:id="73930"/>
      <w:bookmarkEnd w:id="73931"/>
      <w:bookmarkEnd w:id="73932"/>
      <w:bookmarkEnd w:id="73933"/>
      <w:bookmarkEnd w:id="73934"/>
      <w:bookmarkEnd w:id="73935"/>
      <w:bookmarkEnd w:id="73936"/>
      <w:bookmarkEnd w:id="73937"/>
      <w:r>
        <w:rPr>
          <w:rFonts w:hint="cs"/>
          <w:rtl/>
        </w:rPr>
        <w:t xml:space="preserve"> </w:t>
      </w:r>
      <w:bookmarkStart w:id="73938" w:name="_ETM_Q129_602140"/>
      <w:bookmarkEnd w:id="73938"/>
      <w:r>
        <w:rPr>
          <w:rFonts w:hint="cs"/>
          <w:rtl/>
        </w:rPr>
        <w:t xml:space="preserve">אנחנו </w:t>
      </w:r>
      <w:bookmarkStart w:id="73939" w:name="_ETM_Q129_602619"/>
      <w:bookmarkEnd w:id="73939"/>
      <w:r>
        <w:rPr>
          <w:rFonts w:hint="cs"/>
          <w:rtl/>
        </w:rPr>
        <w:t xml:space="preserve">ניצבים </w:t>
      </w:r>
      <w:bookmarkStart w:id="73940" w:name="_ETM_Q129_604159"/>
      <w:bookmarkEnd w:id="73940"/>
      <w:r>
        <w:rPr>
          <w:rFonts w:hint="cs"/>
          <w:rtl/>
        </w:rPr>
        <w:t xml:space="preserve">בפני </w:t>
      </w:r>
      <w:bookmarkStart w:id="73941" w:name="_ETM_Q129_604579"/>
      <w:bookmarkEnd w:id="73941"/>
      <w:r>
        <w:rPr>
          <w:rFonts w:hint="cs"/>
          <w:rtl/>
        </w:rPr>
        <w:t xml:space="preserve">ממשלה, </w:t>
      </w:r>
      <w:bookmarkStart w:id="73942" w:name="_ETM_Q129_606020"/>
      <w:bookmarkEnd w:id="73942"/>
      <w:r>
        <w:rPr>
          <w:rFonts w:hint="cs"/>
          <w:rtl/>
        </w:rPr>
        <w:t xml:space="preserve">בפני </w:t>
      </w:r>
      <w:bookmarkStart w:id="73943" w:name="_ETM_Q129_606529"/>
      <w:bookmarkEnd w:id="73943"/>
      <w:r>
        <w:rPr>
          <w:rFonts w:hint="cs"/>
          <w:rtl/>
        </w:rPr>
        <w:t xml:space="preserve">שר </w:t>
      </w:r>
      <w:bookmarkStart w:id="73944" w:name="_ETM_Q129_607679"/>
      <w:bookmarkEnd w:id="73944"/>
      <w:r>
        <w:rPr>
          <w:rFonts w:hint="cs"/>
          <w:rtl/>
        </w:rPr>
        <w:t>ש</w:t>
      </w:r>
      <w:bookmarkStart w:id="73945" w:name="_ETM_Q129_607950"/>
      <w:bookmarkStart w:id="73946" w:name="_ETM_Q129_606395"/>
      <w:bookmarkEnd w:id="73945"/>
      <w:bookmarkEnd w:id="73946"/>
      <w:r>
        <w:rPr>
          <w:rFonts w:hint="cs"/>
          <w:rtl/>
        </w:rPr>
        <w:t xml:space="preserve">מבדיל </w:t>
      </w:r>
      <w:bookmarkStart w:id="73947" w:name="_ETM_Q129_608760"/>
      <w:bookmarkEnd w:id="73947"/>
      <w:r>
        <w:rPr>
          <w:rFonts w:hint="cs"/>
          <w:rtl/>
        </w:rPr>
        <w:t xml:space="preserve">בין </w:t>
      </w:r>
      <w:bookmarkStart w:id="73948" w:name="_ETM_Q129_609060"/>
      <w:bookmarkEnd w:id="73948"/>
      <w:r>
        <w:rPr>
          <w:rFonts w:hint="cs"/>
          <w:rtl/>
        </w:rPr>
        <w:t xml:space="preserve">דם </w:t>
      </w:r>
      <w:bookmarkStart w:id="73949" w:name="_ETM_Q129_609720"/>
      <w:bookmarkEnd w:id="73949"/>
      <w:r>
        <w:rPr>
          <w:rFonts w:hint="cs"/>
          <w:rtl/>
        </w:rPr>
        <w:t xml:space="preserve">לדם. </w:t>
      </w:r>
      <w:bookmarkStart w:id="73950" w:name="_ETM_Q129_611650"/>
      <w:bookmarkStart w:id="73951" w:name="_ETM_Q129_612840"/>
      <w:bookmarkEnd w:id="73950"/>
      <w:bookmarkEnd w:id="73951"/>
      <w:r>
        <w:rPr>
          <w:rFonts w:hint="cs"/>
          <w:rtl/>
        </w:rPr>
        <w:t xml:space="preserve">השר </w:t>
      </w:r>
      <w:bookmarkStart w:id="73952" w:name="_ETM_Q129_613350"/>
      <w:bookmarkEnd w:id="73952"/>
      <w:r>
        <w:rPr>
          <w:rFonts w:hint="cs"/>
          <w:rtl/>
        </w:rPr>
        <w:t xml:space="preserve">הזה, </w:t>
      </w:r>
      <w:bookmarkStart w:id="73953" w:name="_ETM_Q129_618237"/>
      <w:bookmarkEnd w:id="73953"/>
      <w:r>
        <w:rPr>
          <w:rFonts w:hint="cs"/>
          <w:rtl/>
        </w:rPr>
        <w:t xml:space="preserve">אם </w:t>
      </w:r>
      <w:bookmarkStart w:id="73954" w:name="_ETM_Q129_614470"/>
      <w:bookmarkStart w:id="73955" w:name="_ETM_Q129_614920"/>
      <w:bookmarkStart w:id="73956" w:name="_ETM_Q129_615220"/>
      <w:bookmarkStart w:id="73957" w:name="_ETM_Q129_615459"/>
      <w:bookmarkStart w:id="73958" w:name="_ETM_Q129_616959"/>
      <w:bookmarkEnd w:id="73954"/>
      <w:bookmarkEnd w:id="73955"/>
      <w:bookmarkEnd w:id="73956"/>
      <w:bookmarkEnd w:id="73957"/>
      <w:bookmarkEnd w:id="73958"/>
      <w:r>
        <w:rPr>
          <w:rFonts w:hint="cs"/>
          <w:rtl/>
        </w:rPr>
        <w:t>ה-</w:t>
      </w:r>
      <w:bookmarkStart w:id="73959" w:name="_ETM_Q129_617140"/>
      <w:bookmarkStart w:id="73960" w:name="_ETM_Q129_614836"/>
      <w:bookmarkEnd w:id="73959"/>
      <w:bookmarkEnd w:id="73960"/>
      <w:r>
        <w:rPr>
          <w:rFonts w:hint="cs"/>
          <w:rtl/>
        </w:rPr>
        <w:t xml:space="preserve">129 </w:t>
      </w:r>
      <w:bookmarkStart w:id="73961" w:name="_ETM_Q129_620230"/>
      <w:bookmarkEnd w:id="73961"/>
      <w:r>
        <w:rPr>
          <w:rFonts w:hint="cs"/>
          <w:rtl/>
        </w:rPr>
        <w:t>שנרצחו – עם</w:t>
      </w:r>
      <w:bookmarkStart w:id="73962" w:name="_ETM_Q129_622140"/>
      <w:bookmarkEnd w:id="73962"/>
      <w:r>
        <w:rPr>
          <w:rFonts w:hint="cs"/>
          <w:rtl/>
        </w:rPr>
        <w:t xml:space="preserve"> </w:t>
      </w:r>
      <w:bookmarkStart w:id="73963" w:name="_ETM_Q129_622500"/>
      <w:bookmarkEnd w:id="73963"/>
      <w:r>
        <w:rPr>
          <w:rFonts w:hint="cs"/>
          <w:rtl/>
        </w:rPr>
        <w:t>אות</w:t>
      </w:r>
      <w:bookmarkStart w:id="73964" w:name="_ETM_Q129_623160"/>
      <w:bookmarkStart w:id="73965" w:name="_ETM_Q129_623310"/>
      <w:bookmarkStart w:id="73966" w:name="_ETM_Q129_623760"/>
      <w:bookmarkStart w:id="73967" w:name="_ETM_Q129_624239"/>
      <w:bookmarkEnd w:id="73964"/>
      <w:bookmarkEnd w:id="73965"/>
      <w:bookmarkEnd w:id="73966"/>
      <w:bookmarkEnd w:id="73967"/>
      <w:r>
        <w:rPr>
          <w:rFonts w:hint="cs"/>
          <w:rtl/>
        </w:rPr>
        <w:t xml:space="preserve">ם כלי נשק, </w:t>
      </w:r>
      <w:bookmarkStart w:id="73968" w:name="_ETM_Q129_624750"/>
      <w:bookmarkStart w:id="73969" w:name="_ETM_Q129_621916"/>
      <w:bookmarkEnd w:id="73968"/>
      <w:bookmarkEnd w:id="73969"/>
      <w:r>
        <w:rPr>
          <w:rFonts w:hint="cs"/>
          <w:rtl/>
        </w:rPr>
        <w:t xml:space="preserve">כבוד </w:t>
      </w:r>
      <w:bookmarkStart w:id="73970" w:name="_ETM_Q129_625200"/>
      <w:bookmarkEnd w:id="73970"/>
      <w:r>
        <w:rPr>
          <w:rFonts w:hint="cs"/>
          <w:rtl/>
        </w:rPr>
        <w:t xml:space="preserve">היושב-ראש, </w:t>
      </w:r>
      <w:bookmarkStart w:id="73971" w:name="_ETM_Q129_626910"/>
      <w:bookmarkEnd w:id="73971"/>
      <w:r>
        <w:rPr>
          <w:rFonts w:hint="cs"/>
          <w:rtl/>
        </w:rPr>
        <w:t xml:space="preserve">ועם </w:t>
      </w:r>
      <w:bookmarkStart w:id="73972" w:name="_ETM_Q129_627300"/>
      <w:bookmarkEnd w:id="73972"/>
      <w:r>
        <w:rPr>
          <w:rFonts w:hint="cs"/>
          <w:rtl/>
        </w:rPr>
        <w:t xml:space="preserve">אותו </w:t>
      </w:r>
      <w:bookmarkStart w:id="73973" w:name="_ETM_Q129_627840"/>
      <w:bookmarkEnd w:id="73973"/>
      <w:r>
        <w:rPr>
          <w:rFonts w:hint="cs"/>
          <w:rtl/>
        </w:rPr>
        <w:t xml:space="preserve">רוצח </w:t>
      </w:r>
      <w:bookmarkStart w:id="73974" w:name="_ETM_Q129_628260"/>
      <w:bookmarkEnd w:id="73974"/>
      <w:r>
        <w:rPr>
          <w:rFonts w:hint="cs"/>
          <w:rtl/>
        </w:rPr>
        <w:t>עבריין –</w:t>
      </w:r>
      <w:bookmarkStart w:id="73975" w:name="_ETM_Q129_646115"/>
      <w:bookmarkEnd w:id="73975"/>
      <w:r>
        <w:rPr>
          <w:rFonts w:hint="cs"/>
          <w:rtl/>
        </w:rPr>
        <w:t xml:space="preserve"> </w:t>
      </w:r>
      <w:bookmarkStart w:id="73976" w:name="_ETM_Q129_630630"/>
      <w:bookmarkEnd w:id="73976"/>
      <w:r>
        <w:rPr>
          <w:rFonts w:hint="cs"/>
          <w:rtl/>
        </w:rPr>
        <w:t xml:space="preserve">אם </w:t>
      </w:r>
      <w:bookmarkStart w:id="73977" w:name="_ETM_Q129_630930"/>
      <w:bookmarkEnd w:id="73977"/>
      <w:r>
        <w:rPr>
          <w:rFonts w:hint="cs"/>
          <w:rtl/>
        </w:rPr>
        <w:t xml:space="preserve">התוצאה </w:t>
      </w:r>
      <w:bookmarkStart w:id="73978" w:name="_ETM_Q129_633010"/>
      <w:bookmarkEnd w:id="73978"/>
      <w:r>
        <w:rPr>
          <w:rFonts w:hint="cs"/>
          <w:rtl/>
        </w:rPr>
        <w:t xml:space="preserve">הייתה </w:t>
      </w:r>
      <w:bookmarkStart w:id="73979" w:name="_ETM_Q129_634349"/>
      <w:bookmarkEnd w:id="73979"/>
      <w:r>
        <w:rPr>
          <w:rFonts w:hint="cs"/>
          <w:rtl/>
        </w:rPr>
        <w:t xml:space="preserve">129 </w:t>
      </w:r>
      <w:bookmarkStart w:id="73980" w:name="_ETM_Q129_635760"/>
      <w:bookmarkEnd w:id="73980"/>
      <w:r>
        <w:rPr>
          <w:rFonts w:hint="cs"/>
          <w:rtl/>
        </w:rPr>
        <w:t xml:space="preserve">יהודים, </w:t>
      </w:r>
      <w:bookmarkStart w:id="73981" w:name="_ETM_Q129_636910"/>
      <w:bookmarkEnd w:id="73981"/>
      <w:r>
        <w:rPr>
          <w:rFonts w:hint="cs"/>
          <w:rtl/>
        </w:rPr>
        <w:t xml:space="preserve">אני </w:t>
      </w:r>
      <w:bookmarkStart w:id="73982" w:name="_ETM_Q129_637180"/>
      <w:bookmarkEnd w:id="73982"/>
      <w:r>
        <w:rPr>
          <w:rFonts w:hint="cs"/>
          <w:rtl/>
        </w:rPr>
        <w:t xml:space="preserve">בטוח </w:t>
      </w:r>
      <w:bookmarkStart w:id="73983" w:name="_ETM_Q129_637959"/>
      <w:bookmarkEnd w:id="73983"/>
      <w:r>
        <w:rPr>
          <w:rFonts w:hint="cs"/>
          <w:rtl/>
        </w:rPr>
        <w:t xml:space="preserve">ואתה </w:t>
      </w:r>
      <w:bookmarkStart w:id="73984" w:name="_ETM_Q129_638470"/>
      <w:bookmarkEnd w:id="73984"/>
      <w:r>
        <w:rPr>
          <w:rFonts w:hint="cs"/>
          <w:rtl/>
        </w:rPr>
        <w:t xml:space="preserve">בטוח </w:t>
      </w:r>
      <w:bookmarkStart w:id="73985" w:name="_ETM_Q129_639310"/>
      <w:bookmarkStart w:id="73986" w:name="_ETM_Q129_639640"/>
      <w:bookmarkEnd w:id="73985"/>
      <w:bookmarkEnd w:id="73986"/>
      <w:r>
        <w:rPr>
          <w:rFonts w:hint="cs"/>
          <w:rtl/>
        </w:rPr>
        <w:t xml:space="preserve">וכל </w:t>
      </w:r>
      <w:bookmarkStart w:id="73987" w:name="_ETM_Q129_640030"/>
      <w:bookmarkEnd w:id="73987"/>
      <w:r>
        <w:rPr>
          <w:rFonts w:hint="cs"/>
          <w:rtl/>
        </w:rPr>
        <w:t xml:space="preserve">האזרחים </w:t>
      </w:r>
      <w:bookmarkStart w:id="73988" w:name="_ETM_Q129_640690"/>
      <w:bookmarkEnd w:id="73988"/>
      <w:r>
        <w:rPr>
          <w:rFonts w:hint="cs"/>
          <w:rtl/>
        </w:rPr>
        <w:t xml:space="preserve">במדינת </w:t>
      </w:r>
      <w:bookmarkStart w:id="73989" w:name="_ETM_Q129_641170"/>
      <w:bookmarkEnd w:id="73989"/>
      <w:r>
        <w:rPr>
          <w:rFonts w:hint="cs"/>
          <w:rtl/>
        </w:rPr>
        <w:t xml:space="preserve">ישראל, </w:t>
      </w:r>
      <w:bookmarkStart w:id="73990" w:name="_ETM_Q129_641890"/>
      <w:bookmarkEnd w:id="73990"/>
      <w:r>
        <w:rPr>
          <w:rFonts w:hint="cs"/>
          <w:rtl/>
        </w:rPr>
        <w:t xml:space="preserve">ערבים </w:t>
      </w:r>
      <w:bookmarkStart w:id="73991" w:name="_ETM_Q129_642610"/>
      <w:bookmarkEnd w:id="73991"/>
      <w:r>
        <w:rPr>
          <w:rFonts w:hint="cs"/>
          <w:rtl/>
        </w:rPr>
        <w:t xml:space="preserve">ויהודים, </w:t>
      </w:r>
      <w:bookmarkStart w:id="73992" w:name="_ETM_Q129_643640"/>
      <w:bookmarkStart w:id="73993" w:name="_ETM_Q129_643790"/>
      <w:bookmarkStart w:id="73994" w:name="_ETM_Q129_644450"/>
      <w:bookmarkEnd w:id="73992"/>
      <w:bookmarkEnd w:id="73993"/>
      <w:bookmarkEnd w:id="73994"/>
      <w:r>
        <w:rPr>
          <w:rFonts w:hint="cs"/>
          <w:rtl/>
        </w:rPr>
        <w:t xml:space="preserve">בטוחים בזה </w:t>
      </w:r>
      <w:bookmarkStart w:id="73995" w:name="_ETM_Q129_645379"/>
      <w:bookmarkEnd w:id="73995"/>
      <w:r>
        <w:rPr>
          <w:rFonts w:hint="cs"/>
          <w:rtl/>
        </w:rPr>
        <w:t>ש</w:t>
      </w:r>
      <w:bookmarkStart w:id="73996" w:name="_ETM_Q129_645650"/>
      <w:bookmarkEnd w:id="73996"/>
      <w:r>
        <w:rPr>
          <w:rFonts w:hint="cs"/>
          <w:rtl/>
        </w:rPr>
        <w:t xml:space="preserve">ראש </w:t>
      </w:r>
      <w:bookmarkStart w:id="73997" w:name="_ETM_Q129_645920"/>
      <w:bookmarkEnd w:id="73997"/>
      <w:r>
        <w:rPr>
          <w:rFonts w:hint="cs"/>
          <w:rtl/>
        </w:rPr>
        <w:t xml:space="preserve">הממשלה </w:t>
      </w:r>
      <w:bookmarkStart w:id="73998" w:name="_ETM_Q129_646819"/>
      <w:bookmarkEnd w:id="73998"/>
      <w:r>
        <w:rPr>
          <w:rFonts w:hint="cs"/>
          <w:rtl/>
        </w:rPr>
        <w:t xml:space="preserve">היה </w:t>
      </w:r>
      <w:bookmarkStart w:id="73999" w:name="_ETM_Q129_647599"/>
      <w:bookmarkEnd w:id="73999"/>
      <w:r>
        <w:rPr>
          <w:rFonts w:hint="cs"/>
          <w:rtl/>
        </w:rPr>
        <w:t xml:space="preserve">מכריז </w:t>
      </w:r>
      <w:bookmarkStart w:id="74000" w:name="_ETM_Q129_648319"/>
      <w:bookmarkEnd w:id="74000"/>
      <w:r>
        <w:rPr>
          <w:rFonts w:hint="cs"/>
          <w:rtl/>
        </w:rPr>
        <w:t xml:space="preserve">על </w:t>
      </w:r>
      <w:bookmarkStart w:id="74001" w:name="_ETM_Q129_648530"/>
      <w:bookmarkEnd w:id="74001"/>
      <w:r>
        <w:rPr>
          <w:rFonts w:hint="cs"/>
          <w:rtl/>
        </w:rPr>
        <w:t xml:space="preserve">מצב </w:t>
      </w:r>
      <w:bookmarkStart w:id="74002" w:name="_ETM_Q129_649250"/>
      <w:bookmarkEnd w:id="74002"/>
      <w:r>
        <w:rPr>
          <w:rFonts w:hint="cs"/>
          <w:rtl/>
        </w:rPr>
        <w:t xml:space="preserve">חירום. </w:t>
      </w:r>
      <w:bookmarkStart w:id="74003" w:name="_ETM_Q129_650239"/>
      <w:bookmarkEnd w:id="74003"/>
      <w:r>
        <w:rPr>
          <w:rFonts w:hint="cs"/>
          <w:rtl/>
        </w:rPr>
        <w:t xml:space="preserve">אבל </w:t>
      </w:r>
      <w:bookmarkStart w:id="74004" w:name="_ETM_Q129_650569"/>
      <w:bookmarkEnd w:id="74004"/>
      <w:r>
        <w:rPr>
          <w:rFonts w:hint="cs"/>
          <w:rtl/>
        </w:rPr>
        <w:t xml:space="preserve">עוד </w:t>
      </w:r>
      <w:bookmarkStart w:id="74005" w:name="_ETM_Q129_650689"/>
      <w:bookmarkEnd w:id="74005"/>
      <w:r>
        <w:rPr>
          <w:rFonts w:hint="cs"/>
          <w:rtl/>
        </w:rPr>
        <w:t xml:space="preserve">פעם, </w:t>
      </w:r>
      <w:bookmarkStart w:id="74006" w:name="_ETM_Q129_651499"/>
      <w:bookmarkEnd w:id="74006"/>
      <w:r>
        <w:rPr>
          <w:rFonts w:hint="cs"/>
          <w:rtl/>
        </w:rPr>
        <w:t xml:space="preserve">אנחנו </w:t>
      </w:r>
      <w:bookmarkStart w:id="74007" w:name="_ETM_Q129_652010"/>
      <w:bookmarkEnd w:id="74007"/>
      <w:r>
        <w:rPr>
          <w:rFonts w:hint="cs"/>
          <w:rtl/>
        </w:rPr>
        <w:t xml:space="preserve">ניצבים </w:t>
      </w:r>
      <w:bookmarkStart w:id="74008" w:name="_ETM_Q129_652549"/>
      <w:bookmarkEnd w:id="74008"/>
      <w:r>
        <w:rPr>
          <w:rFonts w:hint="cs"/>
          <w:rtl/>
        </w:rPr>
        <w:t xml:space="preserve">בפני </w:t>
      </w:r>
      <w:bookmarkStart w:id="74009" w:name="_ETM_Q129_652849"/>
      <w:bookmarkEnd w:id="74009"/>
      <w:r>
        <w:rPr>
          <w:rFonts w:hint="cs"/>
          <w:rtl/>
        </w:rPr>
        <w:t xml:space="preserve">ממשלה </w:t>
      </w:r>
      <w:bookmarkStart w:id="74010" w:name="_ETM_Q129_654019"/>
      <w:bookmarkEnd w:id="74010"/>
      <w:r>
        <w:rPr>
          <w:rFonts w:hint="cs"/>
          <w:rtl/>
        </w:rPr>
        <w:t xml:space="preserve">שמבדילה </w:t>
      </w:r>
      <w:bookmarkStart w:id="74011" w:name="_ETM_Q129_654680"/>
      <w:bookmarkEnd w:id="74011"/>
      <w:r>
        <w:rPr>
          <w:rFonts w:hint="cs"/>
          <w:rtl/>
        </w:rPr>
        <w:t xml:space="preserve">בין </w:t>
      </w:r>
      <w:bookmarkStart w:id="74012" w:name="_ETM_Q129_654919"/>
      <w:bookmarkEnd w:id="74012"/>
      <w:r>
        <w:rPr>
          <w:rFonts w:hint="cs"/>
          <w:rtl/>
        </w:rPr>
        <w:t xml:space="preserve">אזרח </w:t>
      </w:r>
      <w:bookmarkStart w:id="74013" w:name="_ETM_Q129_655669"/>
      <w:bookmarkEnd w:id="74013"/>
      <w:r>
        <w:rPr>
          <w:rFonts w:hint="cs"/>
          <w:rtl/>
        </w:rPr>
        <w:t xml:space="preserve">לאזרח, </w:t>
      </w:r>
      <w:bookmarkStart w:id="74014" w:name="_ETM_Q129_656749"/>
      <w:bookmarkEnd w:id="74014"/>
      <w:r>
        <w:rPr>
          <w:rFonts w:hint="cs"/>
          <w:rtl/>
        </w:rPr>
        <w:t xml:space="preserve">מבדילה </w:t>
      </w:r>
      <w:bookmarkStart w:id="74015" w:name="_ETM_Q129_657349"/>
      <w:bookmarkEnd w:id="74015"/>
      <w:r>
        <w:rPr>
          <w:rFonts w:hint="cs"/>
          <w:rtl/>
        </w:rPr>
        <w:t xml:space="preserve">בין </w:t>
      </w:r>
      <w:bookmarkStart w:id="74016" w:name="_ETM_Q129_657620"/>
      <w:bookmarkEnd w:id="74016"/>
      <w:r>
        <w:rPr>
          <w:rFonts w:hint="cs"/>
          <w:rtl/>
        </w:rPr>
        <w:t xml:space="preserve">דם </w:t>
      </w:r>
      <w:bookmarkStart w:id="74017" w:name="_ETM_Q129_657950"/>
      <w:bookmarkEnd w:id="74017"/>
      <w:r>
        <w:rPr>
          <w:rFonts w:hint="cs"/>
          <w:rtl/>
        </w:rPr>
        <w:t xml:space="preserve">לדם, </w:t>
      </w:r>
      <w:bookmarkStart w:id="74018" w:name="_ETM_Q129_658760"/>
      <w:bookmarkEnd w:id="74018"/>
      <w:r>
        <w:rPr>
          <w:rFonts w:hint="cs"/>
          <w:rtl/>
        </w:rPr>
        <w:t xml:space="preserve">ולכן </w:t>
      </w:r>
      <w:bookmarkStart w:id="74019" w:name="_ETM_Q129_659599"/>
      <w:bookmarkEnd w:id="74019"/>
      <w:r>
        <w:rPr>
          <w:rFonts w:hint="cs"/>
          <w:rtl/>
        </w:rPr>
        <w:t xml:space="preserve">היא </w:t>
      </w:r>
      <w:bookmarkStart w:id="74020" w:name="_ETM_Q129_659749"/>
      <w:bookmarkEnd w:id="74020"/>
      <w:r>
        <w:rPr>
          <w:rFonts w:hint="cs"/>
          <w:rtl/>
        </w:rPr>
        <w:t xml:space="preserve">לא </w:t>
      </w:r>
      <w:bookmarkStart w:id="74021" w:name="_ETM_Q129_660169"/>
      <w:bookmarkEnd w:id="74021"/>
      <w:r>
        <w:rPr>
          <w:rFonts w:hint="cs"/>
          <w:rtl/>
        </w:rPr>
        <w:t xml:space="preserve">מטפלת. </w:t>
      </w:r>
      <w:bookmarkStart w:id="74022" w:name="_ETM_Q129_661400"/>
      <w:bookmarkEnd w:id="74022"/>
    </w:p>
    <w:p w:rsidR="00BB59CD" w:rsidRDefault="00BB59CD" w:rsidP="00BB59CD">
      <w:pPr>
        <w:rPr>
          <w:rtl/>
        </w:rPr>
      </w:pPr>
      <w:bookmarkStart w:id="74023" w:name="_ETM_Q129_613848"/>
      <w:bookmarkStart w:id="74024" w:name="_ETM_Q129_613915"/>
      <w:bookmarkEnd w:id="74023"/>
      <w:bookmarkEnd w:id="74024"/>
    </w:p>
    <w:p w:rsidR="00BB59CD" w:rsidRDefault="00BB59CD" w:rsidP="00BB59CD">
      <w:pPr>
        <w:rPr>
          <w:rtl/>
        </w:rPr>
      </w:pPr>
      <w:bookmarkStart w:id="74025" w:name="_ETM_Q129_614179"/>
      <w:bookmarkStart w:id="74026" w:name="_ETM_Q129_614252"/>
      <w:bookmarkEnd w:id="74025"/>
      <w:bookmarkEnd w:id="74026"/>
      <w:r>
        <w:rPr>
          <w:rFonts w:hint="cs"/>
          <w:rtl/>
        </w:rPr>
        <w:t xml:space="preserve">דם </w:t>
      </w:r>
      <w:bookmarkStart w:id="74027" w:name="_ETM_Q129_662489"/>
      <w:bookmarkEnd w:id="74027"/>
      <w:r>
        <w:rPr>
          <w:rFonts w:hint="cs"/>
          <w:rtl/>
        </w:rPr>
        <w:t xml:space="preserve">בנינו </w:t>
      </w:r>
      <w:bookmarkStart w:id="74028" w:name="_ETM_Q129_663449"/>
      <w:bookmarkEnd w:id="74028"/>
      <w:r>
        <w:rPr>
          <w:rFonts w:hint="cs"/>
          <w:rtl/>
        </w:rPr>
        <w:t xml:space="preserve">לא </w:t>
      </w:r>
      <w:bookmarkStart w:id="74029" w:name="_ETM_Q129_664019"/>
      <w:bookmarkEnd w:id="74029"/>
      <w:r>
        <w:rPr>
          <w:rFonts w:hint="cs"/>
          <w:rtl/>
        </w:rPr>
        <w:t xml:space="preserve">יהיה </w:t>
      </w:r>
      <w:bookmarkStart w:id="74030" w:name="_ETM_Q129_664799"/>
      <w:bookmarkEnd w:id="74030"/>
      <w:r>
        <w:rPr>
          <w:rFonts w:hint="cs"/>
          <w:rtl/>
        </w:rPr>
        <w:t xml:space="preserve">הפקר. </w:t>
      </w:r>
      <w:bookmarkStart w:id="74031" w:name="_ETM_Q129_666400"/>
      <w:bookmarkEnd w:id="74031"/>
      <w:r>
        <w:rPr>
          <w:rFonts w:hint="cs"/>
          <w:rtl/>
        </w:rPr>
        <w:t xml:space="preserve">אנחנו </w:t>
      </w:r>
      <w:bookmarkStart w:id="74032" w:name="_ETM_Q129_667180"/>
      <w:bookmarkEnd w:id="74032"/>
      <w:r>
        <w:rPr>
          <w:rFonts w:hint="cs"/>
          <w:rtl/>
        </w:rPr>
        <w:t>נמ</w:t>
      </w:r>
      <w:bookmarkStart w:id="74033" w:name="_ETM_Q129_677985"/>
      <w:bookmarkEnd w:id="74033"/>
      <w:r>
        <w:rPr>
          <w:rFonts w:hint="cs"/>
          <w:rtl/>
        </w:rPr>
        <w:t xml:space="preserve">שיך, </w:t>
      </w:r>
      <w:bookmarkStart w:id="74034" w:name="_ETM_Q129_668410"/>
      <w:bookmarkStart w:id="74035" w:name="_ETM_Q129_668709"/>
      <w:bookmarkEnd w:id="74034"/>
      <w:bookmarkEnd w:id="74035"/>
      <w:r>
        <w:rPr>
          <w:rFonts w:hint="cs"/>
          <w:rtl/>
        </w:rPr>
        <w:t xml:space="preserve">כהנהגת </w:t>
      </w:r>
      <w:bookmarkStart w:id="74036" w:name="_ETM_Q129_669010"/>
      <w:bookmarkEnd w:id="74036"/>
      <w:r>
        <w:rPr>
          <w:rFonts w:hint="cs"/>
          <w:rtl/>
        </w:rPr>
        <w:t>האוכלוס</w:t>
      </w:r>
      <w:bookmarkStart w:id="74037" w:name="_ETM_Q129_667565"/>
      <w:bookmarkEnd w:id="74037"/>
      <w:r>
        <w:rPr>
          <w:rFonts w:hint="cs"/>
          <w:rtl/>
        </w:rPr>
        <w:t xml:space="preserve">ייה </w:t>
      </w:r>
      <w:bookmarkStart w:id="74038" w:name="_ETM_Q129_669550"/>
      <w:bookmarkEnd w:id="74038"/>
      <w:r>
        <w:rPr>
          <w:rFonts w:hint="cs"/>
          <w:rtl/>
        </w:rPr>
        <w:t xml:space="preserve">הערבית, </w:t>
      </w:r>
      <w:bookmarkStart w:id="74039" w:name="_ETM_Q129_670890"/>
      <w:bookmarkEnd w:id="74039"/>
      <w:r>
        <w:rPr>
          <w:rFonts w:hint="cs"/>
          <w:rtl/>
        </w:rPr>
        <w:t xml:space="preserve">להעלות </w:t>
      </w:r>
      <w:bookmarkStart w:id="74040" w:name="_ETM_Q129_671730"/>
      <w:bookmarkEnd w:id="74040"/>
      <w:r>
        <w:rPr>
          <w:rFonts w:hint="cs"/>
          <w:rtl/>
        </w:rPr>
        <w:t xml:space="preserve">את </w:t>
      </w:r>
      <w:bookmarkStart w:id="74041" w:name="_ETM_Q129_672000"/>
      <w:bookmarkEnd w:id="74041"/>
      <w:r>
        <w:rPr>
          <w:rFonts w:hint="cs"/>
          <w:rtl/>
        </w:rPr>
        <w:t xml:space="preserve">הנושא </w:t>
      </w:r>
      <w:bookmarkStart w:id="74042" w:name="_ETM_Q129_672750"/>
      <w:bookmarkEnd w:id="74042"/>
      <w:r>
        <w:rPr>
          <w:rFonts w:hint="cs"/>
          <w:rtl/>
        </w:rPr>
        <w:t>הזה.</w:t>
      </w:r>
      <w:bookmarkStart w:id="74043" w:name="_ETM_Q129_683574"/>
      <w:bookmarkEnd w:id="74043"/>
      <w:r>
        <w:rPr>
          <w:rFonts w:hint="cs"/>
          <w:rtl/>
        </w:rPr>
        <w:t xml:space="preserve"> </w:t>
      </w:r>
      <w:bookmarkStart w:id="74044" w:name="_ETM_Q129_673780"/>
      <w:bookmarkEnd w:id="74044"/>
      <w:r>
        <w:rPr>
          <w:rFonts w:hint="cs"/>
          <w:rtl/>
        </w:rPr>
        <w:t xml:space="preserve">על </w:t>
      </w:r>
      <w:bookmarkStart w:id="74045" w:name="_ETM_Q129_674019"/>
      <w:bookmarkEnd w:id="74045"/>
      <w:r>
        <w:rPr>
          <w:rFonts w:hint="cs"/>
          <w:rtl/>
        </w:rPr>
        <w:t xml:space="preserve">הממשלה </w:t>
      </w:r>
      <w:bookmarkStart w:id="74046" w:name="_ETM_Q129_674680"/>
      <w:bookmarkEnd w:id="74046"/>
      <w:r>
        <w:rPr>
          <w:rFonts w:hint="cs"/>
          <w:rtl/>
        </w:rPr>
        <w:t xml:space="preserve">לקבל </w:t>
      </w:r>
      <w:bookmarkStart w:id="74047" w:name="_ETM_Q129_675340"/>
      <w:bookmarkEnd w:id="74047"/>
      <w:r>
        <w:rPr>
          <w:rFonts w:hint="cs"/>
          <w:rtl/>
        </w:rPr>
        <w:t xml:space="preserve">אחריות </w:t>
      </w:r>
      <w:bookmarkStart w:id="74048" w:name="_ETM_Q129_676030"/>
      <w:bookmarkEnd w:id="74048"/>
      <w:r>
        <w:rPr>
          <w:rFonts w:hint="cs"/>
          <w:rtl/>
        </w:rPr>
        <w:t xml:space="preserve">ולהתחיל </w:t>
      </w:r>
      <w:bookmarkStart w:id="74049" w:name="_ETM_Q129_676750"/>
      <w:bookmarkEnd w:id="74049"/>
      <w:r>
        <w:rPr>
          <w:rFonts w:hint="cs"/>
          <w:rtl/>
        </w:rPr>
        <w:t>לטפל</w:t>
      </w:r>
      <w:bookmarkStart w:id="74050" w:name="_ETM_Q129_678170"/>
      <w:bookmarkEnd w:id="74050"/>
      <w:r>
        <w:rPr>
          <w:rFonts w:hint="cs"/>
          <w:rtl/>
        </w:rPr>
        <w:t>. אם לא יטפלו בפשיעה</w:t>
      </w:r>
      <w:bookmarkStart w:id="74051" w:name="_ETM_Q129_679040"/>
      <w:bookmarkStart w:id="74052" w:name="_ETM_Q129_679220"/>
      <w:bookmarkStart w:id="74053" w:name="_ETM_Q129_677565"/>
      <w:bookmarkEnd w:id="74051"/>
      <w:bookmarkEnd w:id="74052"/>
      <w:bookmarkEnd w:id="74053"/>
      <w:r>
        <w:rPr>
          <w:rFonts w:hint="cs"/>
          <w:rtl/>
        </w:rPr>
        <w:t xml:space="preserve"> </w:t>
      </w:r>
      <w:bookmarkStart w:id="74054" w:name="_ETM_Q129_679520"/>
      <w:bookmarkEnd w:id="74054"/>
      <w:r>
        <w:rPr>
          <w:rFonts w:hint="cs"/>
          <w:rtl/>
        </w:rPr>
        <w:t xml:space="preserve">בחברה </w:t>
      </w:r>
      <w:bookmarkStart w:id="74055" w:name="_ETM_Q129_680060"/>
      <w:bookmarkEnd w:id="74055"/>
      <w:r>
        <w:rPr>
          <w:rFonts w:hint="cs"/>
          <w:rtl/>
        </w:rPr>
        <w:t xml:space="preserve">הערבית, </w:t>
      </w:r>
      <w:bookmarkStart w:id="74056" w:name="_ETM_Q129_681140"/>
      <w:bookmarkEnd w:id="74056"/>
      <w:r>
        <w:rPr>
          <w:rFonts w:hint="cs"/>
          <w:rtl/>
        </w:rPr>
        <w:t xml:space="preserve">היא </w:t>
      </w:r>
      <w:bookmarkStart w:id="74057" w:name="_ETM_Q129_681349"/>
      <w:bookmarkEnd w:id="74057"/>
      <w:r>
        <w:rPr>
          <w:rFonts w:hint="cs"/>
          <w:rtl/>
        </w:rPr>
        <w:t xml:space="preserve">תעבור </w:t>
      </w:r>
      <w:bookmarkStart w:id="74058" w:name="_ETM_Q129_682400"/>
      <w:bookmarkEnd w:id="74058"/>
      <w:r>
        <w:rPr>
          <w:rFonts w:hint="cs"/>
          <w:rtl/>
        </w:rPr>
        <w:t xml:space="preserve">לערים </w:t>
      </w:r>
      <w:bookmarkStart w:id="74059" w:name="_ETM_Q129_683060"/>
      <w:bookmarkEnd w:id="74059"/>
      <w:r>
        <w:rPr>
          <w:rFonts w:hint="cs"/>
          <w:rtl/>
        </w:rPr>
        <w:t xml:space="preserve">היהודיות, </w:t>
      </w:r>
      <w:bookmarkStart w:id="74060" w:name="_ETM_Q129_684799"/>
      <w:bookmarkEnd w:id="74060"/>
      <w:r>
        <w:rPr>
          <w:rFonts w:hint="cs"/>
          <w:rtl/>
        </w:rPr>
        <w:t xml:space="preserve">ושם </w:t>
      </w:r>
      <w:bookmarkStart w:id="74061" w:name="_ETM_Q129_685400"/>
      <w:bookmarkEnd w:id="74061"/>
      <w:r>
        <w:rPr>
          <w:rFonts w:hint="cs"/>
          <w:rtl/>
        </w:rPr>
        <w:t xml:space="preserve">אולי </w:t>
      </w:r>
      <w:bookmarkStart w:id="74062" w:name="_ETM_Q129_685670"/>
      <w:bookmarkEnd w:id="74062"/>
      <w:r>
        <w:rPr>
          <w:rFonts w:hint="cs"/>
          <w:rtl/>
        </w:rPr>
        <w:t xml:space="preserve">תתחילו </w:t>
      </w:r>
      <w:bookmarkStart w:id="74063" w:name="_ETM_Q129_686480"/>
      <w:bookmarkEnd w:id="74063"/>
      <w:r>
        <w:rPr>
          <w:rFonts w:hint="cs"/>
          <w:rtl/>
        </w:rPr>
        <w:t>ל</w:t>
      </w:r>
      <w:bookmarkStart w:id="74064" w:name="_ETM_Q129_686840"/>
      <w:bookmarkEnd w:id="74064"/>
      <w:r>
        <w:rPr>
          <w:rFonts w:hint="cs"/>
          <w:rtl/>
        </w:rPr>
        <w:t xml:space="preserve">התעורר. </w:t>
      </w:r>
      <w:bookmarkStart w:id="74065" w:name="_ETM_Q129_688330"/>
      <w:bookmarkStart w:id="74066" w:name="_ETM_Q129_696835"/>
      <w:bookmarkStart w:id="74067" w:name="_ETM_Q129_9758"/>
      <w:bookmarkStart w:id="74068" w:name="_ETM_Q129_9855"/>
      <w:bookmarkEnd w:id="74065"/>
      <w:bookmarkEnd w:id="74066"/>
      <w:bookmarkEnd w:id="74067"/>
      <w:bookmarkEnd w:id="74068"/>
      <w:r>
        <w:rPr>
          <w:rFonts w:hint="cs"/>
          <w:rtl/>
        </w:rPr>
        <w:t xml:space="preserve">אני </w:t>
      </w:r>
      <w:bookmarkStart w:id="74069" w:name="_ETM_Q129_688600"/>
      <w:bookmarkEnd w:id="74069"/>
      <w:r>
        <w:rPr>
          <w:rFonts w:hint="cs"/>
          <w:rtl/>
        </w:rPr>
        <w:t xml:space="preserve">חושב </w:t>
      </w:r>
      <w:bookmarkStart w:id="74070" w:name="_ETM_Q129_689560"/>
      <w:bookmarkEnd w:id="74070"/>
      <w:r>
        <w:rPr>
          <w:rFonts w:hint="cs"/>
          <w:rtl/>
        </w:rPr>
        <w:t xml:space="preserve">שאין </w:t>
      </w:r>
      <w:bookmarkStart w:id="74071" w:name="_ETM_Q129_690040"/>
      <w:bookmarkEnd w:id="74071"/>
      <w:r>
        <w:rPr>
          <w:rFonts w:hint="cs"/>
          <w:rtl/>
        </w:rPr>
        <w:t xml:space="preserve">החלטה </w:t>
      </w:r>
      <w:bookmarkStart w:id="74072" w:name="_ETM_Q129_691239"/>
      <w:bookmarkEnd w:id="74072"/>
      <w:r>
        <w:rPr>
          <w:rFonts w:hint="cs"/>
          <w:rtl/>
        </w:rPr>
        <w:t xml:space="preserve">בממשלה </w:t>
      </w:r>
      <w:bookmarkStart w:id="74073" w:name="_ETM_Q129_691989"/>
      <w:bookmarkEnd w:id="74073"/>
      <w:r>
        <w:rPr>
          <w:rFonts w:hint="cs"/>
          <w:rtl/>
        </w:rPr>
        <w:t xml:space="preserve">הזו </w:t>
      </w:r>
      <w:bookmarkStart w:id="74074" w:name="_ETM_Q129_692829"/>
      <w:bookmarkEnd w:id="74074"/>
      <w:r>
        <w:rPr>
          <w:rFonts w:hint="cs"/>
          <w:rtl/>
        </w:rPr>
        <w:t>ל</w:t>
      </w:r>
      <w:bookmarkStart w:id="74075" w:name="_ETM_Q129_693489"/>
      <w:bookmarkEnd w:id="74075"/>
      <w:r>
        <w:rPr>
          <w:rFonts w:hint="cs"/>
          <w:rtl/>
        </w:rPr>
        <w:t xml:space="preserve">טפל בפשיעה </w:t>
      </w:r>
      <w:bookmarkStart w:id="74076" w:name="_ETM_Q129_693999"/>
      <w:bookmarkEnd w:id="74076"/>
      <w:r>
        <w:rPr>
          <w:rFonts w:hint="cs"/>
          <w:rtl/>
        </w:rPr>
        <w:t xml:space="preserve">בחברה </w:t>
      </w:r>
      <w:bookmarkStart w:id="74077" w:name="_ETM_Q129_694510"/>
      <w:bookmarkEnd w:id="74077"/>
      <w:r>
        <w:rPr>
          <w:rFonts w:hint="cs"/>
          <w:rtl/>
        </w:rPr>
        <w:t>הערבית</w:t>
      </w:r>
      <w:bookmarkStart w:id="74078" w:name="_ETM_Q129_696590"/>
      <w:bookmarkEnd w:id="74078"/>
      <w:r>
        <w:rPr>
          <w:rFonts w:hint="cs"/>
          <w:rtl/>
        </w:rPr>
        <w:t xml:space="preserve">, </w:t>
      </w:r>
      <w:bookmarkStart w:id="74079" w:name="_ETM_Q129_711185"/>
      <w:bookmarkEnd w:id="74079"/>
      <w:r>
        <w:rPr>
          <w:rFonts w:hint="cs"/>
          <w:rtl/>
        </w:rPr>
        <w:t xml:space="preserve">באיום </w:t>
      </w:r>
      <w:bookmarkStart w:id="74080" w:name="_ETM_Q129_697340"/>
      <w:bookmarkEnd w:id="74080"/>
      <w:r>
        <w:rPr>
          <w:rFonts w:hint="cs"/>
          <w:rtl/>
        </w:rPr>
        <w:t>של הפשיעה.</w:t>
      </w:r>
    </w:p>
    <w:p w:rsidR="00BB59CD" w:rsidRDefault="00BB59CD" w:rsidP="00BB59CD">
      <w:pPr>
        <w:rPr>
          <w:rtl/>
        </w:rPr>
      </w:pPr>
      <w:bookmarkStart w:id="74081" w:name="_ETM_Q129_717954"/>
      <w:bookmarkStart w:id="74082" w:name="_ETM_Q129_718032"/>
      <w:bookmarkEnd w:id="74081"/>
      <w:bookmarkEnd w:id="74082"/>
    </w:p>
    <w:p w:rsidR="00BB59CD" w:rsidRDefault="00BB59CD" w:rsidP="00597063">
      <w:pPr>
        <w:rPr>
          <w:rtl/>
        </w:rPr>
      </w:pPr>
      <w:bookmarkStart w:id="74083" w:name="_ETM_Q129_718099"/>
      <w:bookmarkStart w:id="74084" w:name="_ETM_Q129_718156"/>
      <w:bookmarkStart w:id="74085" w:name="_ETM_Q129_697730"/>
      <w:bookmarkStart w:id="74086" w:name="_ETM_Q129_699639"/>
      <w:bookmarkStart w:id="74087" w:name="_ETM_Q129_720495"/>
      <w:bookmarkEnd w:id="74083"/>
      <w:bookmarkEnd w:id="74084"/>
      <w:bookmarkEnd w:id="74085"/>
      <w:bookmarkEnd w:id="74086"/>
      <w:bookmarkEnd w:id="74087"/>
      <w:r>
        <w:rPr>
          <w:rFonts w:hint="cs"/>
          <w:rtl/>
        </w:rPr>
        <w:t xml:space="preserve">כמיעוט </w:t>
      </w:r>
      <w:bookmarkStart w:id="74088" w:name="_ETM_Q129_700150"/>
      <w:bookmarkEnd w:id="74088"/>
      <w:r>
        <w:rPr>
          <w:rFonts w:hint="cs"/>
          <w:rtl/>
        </w:rPr>
        <w:t xml:space="preserve">לאומי </w:t>
      </w:r>
      <w:bookmarkStart w:id="74089" w:name="_ETM_Q129_702199"/>
      <w:bookmarkEnd w:id="74089"/>
      <w:r>
        <w:rPr>
          <w:rFonts w:hint="cs"/>
          <w:rtl/>
        </w:rPr>
        <w:t xml:space="preserve">מ-48' </w:t>
      </w:r>
      <w:bookmarkStart w:id="74090" w:name="_ETM_Q129_703249"/>
      <w:bookmarkEnd w:id="74090"/>
      <w:r>
        <w:rPr>
          <w:rFonts w:hint="cs"/>
          <w:rtl/>
        </w:rPr>
        <w:t xml:space="preserve">ועד </w:t>
      </w:r>
      <w:bookmarkStart w:id="74091" w:name="_ETM_Q129_703459"/>
      <w:bookmarkEnd w:id="74091"/>
      <w:r>
        <w:rPr>
          <w:rFonts w:hint="cs"/>
          <w:rtl/>
        </w:rPr>
        <w:t xml:space="preserve">היום, </w:t>
      </w:r>
      <w:bookmarkStart w:id="74092" w:name="_ETM_Q129_704799"/>
      <w:bookmarkEnd w:id="74092"/>
      <w:r>
        <w:rPr>
          <w:rFonts w:hint="cs"/>
          <w:rtl/>
        </w:rPr>
        <w:t xml:space="preserve">היו </w:t>
      </w:r>
      <w:bookmarkStart w:id="74093" w:name="_ETM_Q129_705309"/>
      <w:bookmarkEnd w:id="74093"/>
      <w:r>
        <w:rPr>
          <w:rFonts w:hint="cs"/>
          <w:rtl/>
        </w:rPr>
        <w:t xml:space="preserve">לפנינו </w:t>
      </w:r>
      <w:bookmarkStart w:id="74094" w:name="_ETM_Q129_706120"/>
      <w:bookmarkEnd w:id="74094"/>
      <w:r>
        <w:rPr>
          <w:rFonts w:hint="cs"/>
          <w:rtl/>
        </w:rPr>
        <w:t xml:space="preserve">הרבה </w:t>
      </w:r>
      <w:bookmarkStart w:id="74095" w:name="_ETM_Q129_706599"/>
      <w:bookmarkEnd w:id="74095"/>
      <w:r>
        <w:rPr>
          <w:rFonts w:hint="cs"/>
          <w:rtl/>
        </w:rPr>
        <w:t xml:space="preserve">אתגרים </w:t>
      </w:r>
      <w:bookmarkStart w:id="74096" w:name="_ETM_Q129_707740"/>
      <w:bookmarkEnd w:id="74096"/>
      <w:r>
        <w:rPr>
          <w:rFonts w:hint="cs"/>
          <w:rtl/>
        </w:rPr>
        <w:t xml:space="preserve">והרבה </w:t>
      </w:r>
      <w:bookmarkStart w:id="74097" w:name="_ETM_Q129_708400"/>
      <w:bookmarkEnd w:id="74097"/>
      <w:r>
        <w:rPr>
          <w:rFonts w:hint="cs"/>
          <w:rtl/>
        </w:rPr>
        <w:t>איומים,</w:t>
      </w:r>
      <w:bookmarkStart w:id="74098" w:name="_ETM_Q129_721656"/>
      <w:bookmarkEnd w:id="74098"/>
      <w:r>
        <w:rPr>
          <w:rFonts w:hint="cs"/>
          <w:rtl/>
        </w:rPr>
        <w:t xml:space="preserve"> </w:t>
      </w:r>
      <w:bookmarkStart w:id="74099" w:name="_ETM_Q129_709370"/>
      <w:bookmarkEnd w:id="74099"/>
      <w:r>
        <w:rPr>
          <w:rFonts w:hint="cs"/>
          <w:rtl/>
        </w:rPr>
        <w:t xml:space="preserve">ועברנו </w:t>
      </w:r>
      <w:bookmarkStart w:id="74100" w:name="_ETM_Q129_710150"/>
      <w:bookmarkEnd w:id="74100"/>
      <w:r>
        <w:rPr>
          <w:rFonts w:hint="cs"/>
          <w:rtl/>
        </w:rPr>
        <w:t xml:space="preserve">אותם, </w:t>
      </w:r>
      <w:bookmarkStart w:id="74101" w:name="_ETM_Q129_711179"/>
      <w:bookmarkEnd w:id="74101"/>
      <w:r>
        <w:rPr>
          <w:rFonts w:hint="cs"/>
          <w:rtl/>
        </w:rPr>
        <w:t xml:space="preserve">כולל </w:t>
      </w:r>
      <w:bookmarkStart w:id="74102" w:name="_ETM_Q129_711569"/>
      <w:bookmarkStart w:id="74103" w:name="_ETM_Q129_719986"/>
      <w:bookmarkStart w:id="74104" w:name="_ETM_Q129_715087"/>
      <w:bookmarkEnd w:id="74102"/>
      <w:bookmarkEnd w:id="74103"/>
      <w:bookmarkEnd w:id="74104"/>
      <w:r>
        <w:rPr>
          <w:rFonts w:hint="cs"/>
          <w:rtl/>
        </w:rPr>
        <w:t xml:space="preserve">ממשל </w:t>
      </w:r>
      <w:bookmarkStart w:id="74105" w:name="_ETM_Q129_711929"/>
      <w:bookmarkEnd w:id="74105"/>
      <w:r>
        <w:rPr>
          <w:rFonts w:hint="cs"/>
          <w:rtl/>
        </w:rPr>
        <w:t xml:space="preserve">צבאי </w:t>
      </w:r>
      <w:bookmarkStart w:id="74106" w:name="_ETM_Q129_713480"/>
      <w:bookmarkEnd w:id="74106"/>
      <w:r>
        <w:rPr>
          <w:rFonts w:hint="cs"/>
          <w:rtl/>
        </w:rPr>
        <w:t xml:space="preserve">על </w:t>
      </w:r>
      <w:bookmarkStart w:id="74107" w:name="_ETM_Q129_713809"/>
      <w:bookmarkEnd w:id="74107"/>
      <w:r>
        <w:rPr>
          <w:rFonts w:hint="cs"/>
          <w:rtl/>
        </w:rPr>
        <w:t xml:space="preserve">האוכלוסייה </w:t>
      </w:r>
      <w:bookmarkStart w:id="74108" w:name="_ETM_Q129_714290"/>
      <w:bookmarkEnd w:id="74108"/>
      <w:r>
        <w:rPr>
          <w:rFonts w:hint="cs"/>
          <w:rtl/>
        </w:rPr>
        <w:t xml:space="preserve">הערבית. </w:t>
      </w:r>
      <w:bookmarkStart w:id="74109" w:name="_ETM_Q129_715470"/>
      <w:bookmarkEnd w:id="74109"/>
      <w:r>
        <w:rPr>
          <w:rFonts w:hint="cs"/>
          <w:rtl/>
        </w:rPr>
        <w:t xml:space="preserve">אבל </w:t>
      </w:r>
      <w:bookmarkStart w:id="74110" w:name="_ETM_Q129_715890"/>
      <w:bookmarkEnd w:id="74110"/>
      <w:r>
        <w:rPr>
          <w:rFonts w:hint="cs"/>
          <w:rtl/>
        </w:rPr>
        <w:t xml:space="preserve">לפי </w:t>
      </w:r>
      <w:bookmarkStart w:id="74111" w:name="_ETM_Q129_716130"/>
      <w:bookmarkEnd w:id="74111"/>
      <w:r>
        <w:rPr>
          <w:rFonts w:hint="cs"/>
          <w:rtl/>
        </w:rPr>
        <w:t xml:space="preserve">דעתי, </w:t>
      </w:r>
      <w:bookmarkStart w:id="74112" w:name="_ETM_Q129_716700"/>
      <w:bookmarkEnd w:id="74112"/>
      <w:r>
        <w:rPr>
          <w:rFonts w:hint="cs"/>
          <w:rtl/>
        </w:rPr>
        <w:t xml:space="preserve">אני </w:t>
      </w:r>
      <w:bookmarkStart w:id="74113" w:name="_ETM_Q129_717030"/>
      <w:bookmarkEnd w:id="74113"/>
      <w:r>
        <w:rPr>
          <w:rFonts w:hint="cs"/>
          <w:rtl/>
        </w:rPr>
        <w:t xml:space="preserve">מאמין </w:t>
      </w:r>
      <w:bookmarkStart w:id="74114" w:name="_ETM_Q129_718730"/>
      <w:bookmarkEnd w:id="74114"/>
      <w:r>
        <w:rPr>
          <w:rFonts w:hint="cs"/>
          <w:rtl/>
        </w:rPr>
        <w:t xml:space="preserve">שהאיום </w:t>
      </w:r>
      <w:bookmarkStart w:id="74115" w:name="_ETM_Q129_719750"/>
      <w:bookmarkEnd w:id="74115"/>
      <w:r>
        <w:rPr>
          <w:rFonts w:hint="cs"/>
          <w:rtl/>
        </w:rPr>
        <w:t xml:space="preserve">הגדול </w:t>
      </w:r>
      <w:bookmarkStart w:id="74116" w:name="_ETM_Q129_720590"/>
      <w:bookmarkEnd w:id="74116"/>
      <w:r>
        <w:rPr>
          <w:rFonts w:hint="cs"/>
          <w:rtl/>
        </w:rPr>
        <w:t xml:space="preserve">ביותר </w:t>
      </w:r>
      <w:bookmarkStart w:id="74117" w:name="_ETM_Q129_721370"/>
      <w:bookmarkEnd w:id="74117"/>
      <w:r>
        <w:rPr>
          <w:rFonts w:hint="cs"/>
          <w:rtl/>
        </w:rPr>
        <w:t xml:space="preserve">על </w:t>
      </w:r>
      <w:bookmarkStart w:id="74118" w:name="_ETM_Q129_721640"/>
      <w:bookmarkEnd w:id="74118"/>
      <w:r>
        <w:rPr>
          <w:rFonts w:hint="cs"/>
          <w:rtl/>
        </w:rPr>
        <w:t xml:space="preserve">החברה </w:t>
      </w:r>
      <w:bookmarkStart w:id="74119" w:name="_ETM_Q129_722240"/>
      <w:bookmarkEnd w:id="74119"/>
      <w:r>
        <w:rPr>
          <w:rFonts w:hint="cs"/>
          <w:rtl/>
        </w:rPr>
        <w:t xml:space="preserve">הערבית </w:t>
      </w:r>
      <w:bookmarkStart w:id="74120" w:name="_ETM_Q129_723530"/>
      <w:bookmarkEnd w:id="74120"/>
      <w:r>
        <w:rPr>
          <w:rFonts w:hint="cs"/>
          <w:rtl/>
        </w:rPr>
        <w:t xml:space="preserve">מאז </w:t>
      </w:r>
      <w:bookmarkStart w:id="74121" w:name="_ETM_Q129_724129"/>
      <w:bookmarkEnd w:id="74121"/>
      <w:r>
        <w:rPr>
          <w:rFonts w:hint="cs"/>
          <w:rtl/>
        </w:rPr>
        <w:t xml:space="preserve">48' </w:t>
      </w:r>
      <w:bookmarkStart w:id="74122" w:name="_ETM_Q129_725929"/>
      <w:bookmarkEnd w:id="74122"/>
      <w:r>
        <w:rPr>
          <w:rFonts w:hint="cs"/>
          <w:rtl/>
        </w:rPr>
        <w:t xml:space="preserve">ועד </w:t>
      </w:r>
      <w:bookmarkStart w:id="74123" w:name="_ETM_Q129_726390"/>
      <w:bookmarkEnd w:id="74123"/>
      <w:r>
        <w:rPr>
          <w:rFonts w:hint="cs"/>
          <w:rtl/>
        </w:rPr>
        <w:t>היום</w:t>
      </w:r>
      <w:bookmarkStart w:id="74124" w:name="_ETM_Q129_729267"/>
      <w:bookmarkEnd w:id="74124"/>
      <w:r>
        <w:rPr>
          <w:rFonts w:hint="cs"/>
          <w:rtl/>
        </w:rPr>
        <w:t xml:space="preserve"> </w:t>
      </w:r>
      <w:bookmarkStart w:id="74125" w:name="_ETM_Q129_727360"/>
      <w:bookmarkEnd w:id="74125"/>
      <w:r>
        <w:rPr>
          <w:rFonts w:hint="cs"/>
          <w:rtl/>
        </w:rPr>
        <w:t xml:space="preserve">זה </w:t>
      </w:r>
      <w:bookmarkStart w:id="74126" w:name="_ETM_Q129_727599"/>
      <w:bookmarkEnd w:id="74126"/>
      <w:r>
        <w:rPr>
          <w:rFonts w:hint="cs"/>
          <w:rtl/>
        </w:rPr>
        <w:t xml:space="preserve">ארגוני </w:t>
      </w:r>
      <w:bookmarkStart w:id="74127" w:name="_ETM_Q129_728230"/>
      <w:bookmarkEnd w:id="74127"/>
      <w:r>
        <w:rPr>
          <w:rFonts w:hint="cs"/>
          <w:rtl/>
        </w:rPr>
        <w:t xml:space="preserve">הפשיעה. </w:t>
      </w:r>
      <w:bookmarkStart w:id="74128" w:name="_ETM_Q129_729949"/>
      <w:bookmarkEnd w:id="74128"/>
      <w:r>
        <w:rPr>
          <w:rFonts w:hint="cs"/>
          <w:rtl/>
        </w:rPr>
        <w:t xml:space="preserve">כי </w:t>
      </w:r>
      <w:bookmarkStart w:id="74129" w:name="_ETM_Q129_730249"/>
      <w:bookmarkEnd w:id="74129"/>
      <w:r>
        <w:rPr>
          <w:rFonts w:hint="cs"/>
          <w:rtl/>
        </w:rPr>
        <w:t xml:space="preserve">אחרי </w:t>
      </w:r>
      <w:bookmarkStart w:id="74130" w:name="_ETM_Q129_730819"/>
      <w:bookmarkEnd w:id="74130"/>
      <w:r>
        <w:rPr>
          <w:rFonts w:hint="cs"/>
          <w:rtl/>
        </w:rPr>
        <w:t>א</w:t>
      </w:r>
      <w:bookmarkStart w:id="74131" w:name="_ETM_Q129_730999"/>
      <w:bookmarkEnd w:id="74131"/>
      <w:r>
        <w:rPr>
          <w:rFonts w:hint="cs"/>
          <w:rtl/>
        </w:rPr>
        <w:t>ירועי</w:t>
      </w:r>
      <w:bookmarkStart w:id="74132" w:name="_ETM_Q129_731717"/>
      <w:bookmarkEnd w:id="74132"/>
      <w:r>
        <w:rPr>
          <w:rFonts w:hint="cs"/>
          <w:rtl/>
        </w:rPr>
        <w:t xml:space="preserve"> </w:t>
      </w:r>
      <w:bookmarkStart w:id="74133" w:name="_ETM_Q129_731230"/>
      <w:bookmarkEnd w:id="74133"/>
      <w:r>
        <w:rPr>
          <w:rFonts w:hint="cs"/>
          <w:rtl/>
        </w:rPr>
        <w:t xml:space="preserve">אוקטובר </w:t>
      </w:r>
      <w:bookmarkStart w:id="74134" w:name="_ETM_Q129_731890"/>
      <w:bookmarkEnd w:id="74134"/>
      <w:r>
        <w:rPr>
          <w:rFonts w:hint="cs"/>
          <w:rtl/>
        </w:rPr>
        <w:t xml:space="preserve">2000 </w:t>
      </w:r>
      <w:bookmarkStart w:id="74135" w:name="_ETM_Q129_732940"/>
      <w:bookmarkEnd w:id="74135"/>
      <w:r>
        <w:rPr>
          <w:rFonts w:hint="cs"/>
          <w:rtl/>
        </w:rPr>
        <w:t xml:space="preserve">מישהו </w:t>
      </w:r>
      <w:bookmarkStart w:id="74136" w:name="_ETM_Q129_733240"/>
      <w:bookmarkStart w:id="74137" w:name="_ETM_Q129_734080"/>
      <w:bookmarkEnd w:id="74136"/>
      <w:bookmarkEnd w:id="74137"/>
      <w:r>
        <w:rPr>
          <w:rFonts w:hint="cs"/>
          <w:rtl/>
        </w:rPr>
        <w:t xml:space="preserve">החליט </w:t>
      </w:r>
      <w:bookmarkStart w:id="74138" w:name="_ETM_Q129_735040"/>
      <w:bookmarkEnd w:id="74138"/>
      <w:r>
        <w:rPr>
          <w:rFonts w:hint="cs"/>
          <w:rtl/>
        </w:rPr>
        <w:t>לפורר</w:t>
      </w:r>
      <w:bookmarkStart w:id="74139" w:name="_ETM_Q129_733617"/>
      <w:bookmarkEnd w:id="74139"/>
      <w:r>
        <w:rPr>
          <w:rFonts w:hint="cs"/>
          <w:rtl/>
        </w:rPr>
        <w:t xml:space="preserve"> </w:t>
      </w:r>
      <w:bookmarkStart w:id="74140" w:name="_ETM_Q129_735890"/>
      <w:bookmarkEnd w:id="74140"/>
      <w:r>
        <w:rPr>
          <w:rFonts w:hint="cs"/>
          <w:rtl/>
        </w:rPr>
        <w:t xml:space="preserve">את </w:t>
      </w:r>
      <w:bookmarkStart w:id="74141" w:name="_ETM_Q129_736100"/>
      <w:bookmarkEnd w:id="74141"/>
      <w:r>
        <w:rPr>
          <w:rFonts w:hint="cs"/>
          <w:rtl/>
        </w:rPr>
        <w:t xml:space="preserve">החברה </w:t>
      </w:r>
      <w:bookmarkStart w:id="74142" w:name="_ETM_Q129_736759"/>
      <w:bookmarkEnd w:id="74142"/>
      <w:r>
        <w:rPr>
          <w:rFonts w:hint="cs"/>
          <w:rtl/>
        </w:rPr>
        <w:t xml:space="preserve">הערבית. </w:t>
      </w:r>
      <w:bookmarkStart w:id="74143" w:name="_ETM_Q129_737940"/>
      <w:bookmarkEnd w:id="74143"/>
      <w:r>
        <w:rPr>
          <w:rFonts w:hint="cs"/>
          <w:rtl/>
        </w:rPr>
        <w:t xml:space="preserve">ארגוני </w:t>
      </w:r>
      <w:bookmarkStart w:id="74144" w:name="_ETM_Q129_738690"/>
      <w:bookmarkEnd w:id="74144"/>
      <w:r>
        <w:rPr>
          <w:rFonts w:hint="cs"/>
          <w:rtl/>
        </w:rPr>
        <w:t xml:space="preserve">הפשיעה </w:t>
      </w:r>
      <w:bookmarkStart w:id="74145" w:name="_ETM_Q129_740100"/>
      <w:bookmarkEnd w:id="74145"/>
      <w:r>
        <w:rPr>
          <w:rFonts w:hint="cs"/>
          <w:rtl/>
        </w:rPr>
        <w:t xml:space="preserve">מאיימים </w:t>
      </w:r>
      <w:bookmarkStart w:id="74146" w:name="_ETM_Q129_741270"/>
      <w:bookmarkEnd w:id="74146"/>
      <w:r>
        <w:rPr>
          <w:rFonts w:hint="cs"/>
          <w:rtl/>
        </w:rPr>
        <w:t xml:space="preserve">על </w:t>
      </w:r>
      <w:bookmarkStart w:id="74147" w:name="_ETM_Q129_741750"/>
      <w:bookmarkEnd w:id="74147"/>
      <w:r>
        <w:rPr>
          <w:rFonts w:hint="cs"/>
          <w:rtl/>
        </w:rPr>
        <w:t xml:space="preserve">יסוד </w:t>
      </w:r>
      <w:bookmarkStart w:id="74148" w:name="_ETM_Q129_742539"/>
      <w:bookmarkEnd w:id="74148"/>
      <w:r>
        <w:rPr>
          <w:rFonts w:hint="cs"/>
          <w:rtl/>
        </w:rPr>
        <w:t xml:space="preserve">קיומנו </w:t>
      </w:r>
      <w:bookmarkStart w:id="74149" w:name="_ETM_Q129_743439"/>
      <w:bookmarkEnd w:id="74149"/>
      <w:r>
        <w:rPr>
          <w:rFonts w:hint="cs"/>
          <w:rtl/>
        </w:rPr>
        <w:t xml:space="preserve">כחברה. </w:t>
      </w:r>
      <w:bookmarkStart w:id="74150" w:name="_ETM_Q129_745900"/>
      <w:bookmarkEnd w:id="74150"/>
      <w:r>
        <w:rPr>
          <w:rFonts w:hint="cs"/>
          <w:rtl/>
        </w:rPr>
        <w:t xml:space="preserve">יש </w:t>
      </w:r>
      <w:bookmarkStart w:id="74151" w:name="_ETM_Q129_746200"/>
      <w:bookmarkEnd w:id="74151"/>
      <w:r>
        <w:rPr>
          <w:rFonts w:hint="cs"/>
          <w:rtl/>
        </w:rPr>
        <w:t xml:space="preserve">מי </w:t>
      </w:r>
      <w:bookmarkStart w:id="74152" w:name="_ETM_Q129_746890"/>
      <w:bookmarkEnd w:id="74152"/>
      <w:r>
        <w:rPr>
          <w:rFonts w:hint="cs"/>
          <w:rtl/>
        </w:rPr>
        <w:t xml:space="preserve">שהחליט לפורר </w:t>
      </w:r>
      <w:bookmarkStart w:id="74153" w:name="_ETM_Q129_750000"/>
      <w:bookmarkEnd w:id="74153"/>
      <w:r>
        <w:rPr>
          <w:rFonts w:hint="cs"/>
          <w:rtl/>
        </w:rPr>
        <w:t xml:space="preserve">אותנו </w:t>
      </w:r>
      <w:bookmarkStart w:id="74154" w:name="_ETM_Q129_745967"/>
      <w:bookmarkEnd w:id="74154"/>
      <w:r>
        <w:rPr>
          <w:rFonts w:hint="cs"/>
          <w:rtl/>
        </w:rPr>
        <w:t xml:space="preserve">כחברה, </w:t>
      </w:r>
      <w:bookmarkStart w:id="74155" w:name="_ETM_Q129_751050"/>
      <w:bookmarkEnd w:id="74155"/>
      <w:r>
        <w:rPr>
          <w:rFonts w:hint="cs"/>
          <w:rtl/>
        </w:rPr>
        <w:t xml:space="preserve">כמיעוט </w:t>
      </w:r>
      <w:bookmarkStart w:id="74156" w:name="_ETM_Q129_751979"/>
      <w:bookmarkEnd w:id="74156"/>
      <w:r>
        <w:rPr>
          <w:rFonts w:hint="cs"/>
          <w:rtl/>
        </w:rPr>
        <w:t xml:space="preserve">שיש לו </w:t>
      </w:r>
      <w:bookmarkStart w:id="74157" w:name="_ETM_Q129_752370"/>
      <w:bookmarkEnd w:id="74157"/>
      <w:r>
        <w:rPr>
          <w:rFonts w:hint="cs"/>
          <w:rtl/>
        </w:rPr>
        <w:t xml:space="preserve">זהות, </w:t>
      </w:r>
      <w:bookmarkStart w:id="74158" w:name="_ETM_Q129_753300"/>
      <w:bookmarkEnd w:id="74158"/>
      <w:r>
        <w:rPr>
          <w:rFonts w:hint="cs"/>
          <w:rtl/>
        </w:rPr>
        <w:t>ש</w:t>
      </w:r>
      <w:bookmarkStart w:id="74159" w:name="_ETM_Q129_753479"/>
      <w:bookmarkStart w:id="74160" w:name="_ETM_Q129_752867"/>
      <w:bookmarkEnd w:id="74159"/>
      <w:bookmarkEnd w:id="74160"/>
      <w:r>
        <w:rPr>
          <w:rFonts w:hint="cs"/>
          <w:rtl/>
        </w:rPr>
        <w:t xml:space="preserve">יש </w:t>
      </w:r>
      <w:bookmarkStart w:id="74161" w:name="_ETM_Q129_753749"/>
      <w:bookmarkEnd w:id="74161"/>
      <w:r>
        <w:rPr>
          <w:rFonts w:hint="cs"/>
          <w:rtl/>
        </w:rPr>
        <w:t xml:space="preserve">לו </w:t>
      </w:r>
      <w:bookmarkStart w:id="74162" w:name="_ETM_Q129_754439"/>
      <w:bookmarkEnd w:id="74162"/>
      <w:r>
        <w:rPr>
          <w:rFonts w:hint="cs"/>
          <w:rtl/>
        </w:rPr>
        <w:t xml:space="preserve">גם </w:t>
      </w:r>
      <w:bookmarkStart w:id="74163" w:name="_ETM_Q129_755070"/>
      <w:bookmarkEnd w:id="74163"/>
      <w:r>
        <w:rPr>
          <w:rFonts w:hint="cs"/>
          <w:rtl/>
        </w:rPr>
        <w:t xml:space="preserve">זכויות </w:t>
      </w:r>
      <w:bookmarkStart w:id="74164" w:name="_ETM_Q129_755880"/>
      <w:bookmarkEnd w:id="74164"/>
      <w:r>
        <w:rPr>
          <w:rFonts w:hint="cs"/>
          <w:rtl/>
        </w:rPr>
        <w:t>לאומיות.</w:t>
      </w:r>
      <w:bookmarkStart w:id="74165" w:name="_ETM_Q129_754637"/>
      <w:bookmarkEnd w:id="74165"/>
      <w:r>
        <w:rPr>
          <w:rFonts w:hint="cs"/>
          <w:rtl/>
        </w:rPr>
        <w:t xml:space="preserve"> </w:t>
      </w:r>
      <w:bookmarkStart w:id="74166" w:name="_ETM_Q129_756940"/>
      <w:bookmarkEnd w:id="74166"/>
      <w:r>
        <w:rPr>
          <w:rFonts w:hint="cs"/>
          <w:rtl/>
        </w:rPr>
        <w:t xml:space="preserve">דרך </w:t>
      </w:r>
      <w:bookmarkStart w:id="74167" w:name="_ETM_Q129_757900"/>
      <w:bookmarkEnd w:id="74167"/>
      <w:r>
        <w:rPr>
          <w:rFonts w:hint="cs"/>
          <w:rtl/>
        </w:rPr>
        <w:t xml:space="preserve">ארגוני </w:t>
      </w:r>
      <w:bookmarkStart w:id="74168" w:name="_ETM_Q129_758620"/>
      <w:bookmarkEnd w:id="74168"/>
      <w:r>
        <w:rPr>
          <w:rFonts w:hint="cs"/>
          <w:rtl/>
        </w:rPr>
        <w:t xml:space="preserve">הפשיעה </w:t>
      </w:r>
      <w:bookmarkStart w:id="74169" w:name="_ETM_Q129_759460"/>
      <w:bookmarkEnd w:id="74169"/>
      <w:r>
        <w:rPr>
          <w:rFonts w:hint="cs"/>
          <w:rtl/>
        </w:rPr>
        <w:t>מצאו - - -</w:t>
      </w:r>
    </w:p>
    <w:p w:rsidR="00BB59CD" w:rsidRDefault="00BB59CD" w:rsidP="00BB59CD">
      <w:pPr>
        <w:rPr>
          <w:rtl/>
        </w:rPr>
      </w:pPr>
    </w:p>
    <w:p w:rsidR="00BB59CD" w:rsidRDefault="00BB59CD" w:rsidP="00BB59CD">
      <w:pPr>
        <w:pStyle w:val="af9"/>
        <w:keepNext/>
        <w:rPr>
          <w:rtl/>
        </w:rPr>
      </w:pPr>
      <w:bookmarkStart w:id="74170" w:name="TOR_Q130"/>
      <w:bookmarkEnd w:id="74170"/>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לא חושב שמישהו החליט. אני אסביר לך משהו, גם אנחנו סובלים מזה. אני רוצה להשתתף בדברים שלך. נגב, </w:t>
      </w:r>
      <w:bookmarkStart w:id="74171" w:name="_ETM_Q130_166000"/>
      <w:bookmarkEnd w:id="74171"/>
      <w:r>
        <w:rPr>
          <w:rFonts w:hint="cs"/>
          <w:rtl/>
          <w:lang w:eastAsia="he-IL"/>
        </w:rPr>
        <w:t xml:space="preserve">גליל – אם לא יטפלו בפשיעה, זה פוגע גם בנו. אומנם </w:t>
      </w:r>
      <w:bookmarkStart w:id="74172" w:name="_ETM_Q130_169000"/>
      <w:bookmarkEnd w:id="74172"/>
      <w:r>
        <w:rPr>
          <w:rFonts w:hint="cs"/>
          <w:rtl/>
          <w:lang w:eastAsia="he-IL"/>
        </w:rPr>
        <w:t xml:space="preserve">נרצחים כרגע מהצד הערבי, אבל עדיין אצלנו יש, אני אומר </w:t>
      </w:r>
      <w:bookmarkStart w:id="74173" w:name="_ETM_Q130_171000"/>
      <w:bookmarkEnd w:id="74173"/>
      <w:r>
        <w:rPr>
          <w:rFonts w:hint="cs"/>
          <w:rtl/>
          <w:lang w:eastAsia="he-IL"/>
        </w:rPr>
        <w:t xml:space="preserve">לך, דברים שעושים: פוגעים בעסקים הערבים וגם </w:t>
      </w:r>
      <w:bookmarkStart w:id="74174" w:name="_ETM_Q130_177000"/>
      <w:bookmarkEnd w:id="74174"/>
      <w:r>
        <w:rPr>
          <w:rFonts w:hint="cs"/>
          <w:rtl/>
          <w:lang w:eastAsia="he-IL"/>
        </w:rPr>
        <w:t xml:space="preserve">ביהודים, וצריך לטפל בזה. צריך להגביר יותר כוחות, להגדיר את </w:t>
      </w:r>
      <w:bookmarkStart w:id="74175" w:name="_ETM_Q130_181000"/>
      <w:bookmarkEnd w:id="74175"/>
      <w:r>
        <w:rPr>
          <w:rFonts w:hint="cs"/>
          <w:rtl/>
          <w:lang w:eastAsia="he-IL"/>
        </w:rPr>
        <w:t xml:space="preserve">זה כמשימה לאומית. </w:t>
      </w:r>
    </w:p>
    <w:p w:rsidR="00BB59CD" w:rsidRDefault="00BB59CD" w:rsidP="00BB59CD">
      <w:pPr>
        <w:rPr>
          <w:rtl/>
          <w:lang w:eastAsia="he-IL"/>
        </w:rPr>
      </w:pPr>
    </w:p>
    <w:p w:rsidR="00BB59CD" w:rsidRDefault="00BB59CD" w:rsidP="00BB59CD">
      <w:pPr>
        <w:pStyle w:val="af8"/>
        <w:keepNext/>
        <w:rPr>
          <w:rtl/>
        </w:rPr>
      </w:pPr>
      <w:bookmarkStart w:id="74176" w:name="ET_interruption_5761_6"/>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74176"/>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אז למה לא אומרים - - - </w:t>
      </w:r>
    </w:p>
    <w:p w:rsidR="00BB59CD" w:rsidRDefault="00BB59CD" w:rsidP="00BB59CD">
      <w:pPr>
        <w:rPr>
          <w:rtl/>
          <w:lang w:eastAsia="he-IL"/>
        </w:rPr>
      </w:pPr>
    </w:p>
    <w:p w:rsidR="00BB59CD" w:rsidRDefault="00BB59CD" w:rsidP="00BB59CD">
      <w:pPr>
        <w:pStyle w:val="af9"/>
        <w:keepNext/>
        <w:rPr>
          <w:rtl/>
        </w:rPr>
      </w:pPr>
      <w:bookmarkStart w:id="74177" w:name="ET_yor_6490_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7417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אין לך ויכוח איתי, באמת. בנושא </w:t>
      </w:r>
      <w:bookmarkStart w:id="74178" w:name="_ETM_Q130_184000"/>
      <w:bookmarkEnd w:id="74178"/>
      <w:r>
        <w:rPr>
          <w:rFonts w:hint="cs"/>
          <w:rtl/>
          <w:lang w:eastAsia="he-IL"/>
        </w:rPr>
        <w:t xml:space="preserve">הזה לא. </w:t>
      </w:r>
    </w:p>
    <w:p w:rsidR="00BB59CD" w:rsidRDefault="00BB59CD" w:rsidP="00BB59CD">
      <w:pPr>
        <w:rPr>
          <w:rtl/>
          <w:lang w:eastAsia="he-IL"/>
        </w:rPr>
      </w:pPr>
    </w:p>
    <w:p w:rsidR="00BB59CD" w:rsidRDefault="00BB59CD" w:rsidP="00BB59CD">
      <w:pPr>
        <w:pStyle w:val="af8"/>
        <w:keepNext/>
        <w:rPr>
          <w:rtl/>
        </w:rPr>
      </w:pPr>
      <w:bookmarkStart w:id="74179" w:name="ET_interruption_5761_8"/>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74179"/>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אומרת, אז למה לא אומרים לשר שלכם, המתבטל -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597063">
      <w:pPr>
        <w:rPr>
          <w:rtl/>
          <w:lang w:eastAsia="he-IL"/>
        </w:rPr>
      </w:pPr>
      <w:r>
        <w:rPr>
          <w:rFonts w:hint="cs"/>
          <w:rtl/>
          <w:lang w:eastAsia="he-IL"/>
        </w:rPr>
        <w:t xml:space="preserve">במוצאי </w:t>
      </w:r>
      <w:bookmarkStart w:id="74180" w:name="_ETM_Q130_188000"/>
      <w:bookmarkEnd w:id="74180"/>
      <w:r>
        <w:rPr>
          <w:rFonts w:hint="cs"/>
          <w:rtl/>
          <w:lang w:eastAsia="he-IL"/>
        </w:rPr>
        <w:t xml:space="preserve">שבת הייתי בכפר יאסיף, ירו על בית של אישה מבוגרת, </w:t>
      </w:r>
      <w:bookmarkStart w:id="74181" w:name="_ETM_Q130_194000"/>
      <w:bookmarkEnd w:id="74181"/>
      <w:r>
        <w:rPr>
          <w:rFonts w:hint="cs"/>
          <w:rtl/>
          <w:lang w:eastAsia="he-IL"/>
        </w:rPr>
        <w:t xml:space="preserve">ערבייה, נוצרית אומנם – אין הבדל, זה לא משנה </w:t>
      </w:r>
      <w:bookmarkStart w:id="74182" w:name="_ETM_Q130_199000"/>
      <w:bookmarkEnd w:id="74182"/>
      <w:r>
        <w:rPr>
          <w:rFonts w:hint="cs"/>
          <w:rtl/>
          <w:lang w:eastAsia="he-IL"/>
        </w:rPr>
        <w:t xml:space="preserve">נוצרית או מוסלמית. הייתי שם בבית וביקשתי ממפקד המחוז, אמרתי: </w:t>
      </w:r>
      <w:bookmarkStart w:id="74183" w:name="_ETM_Q130_201000"/>
      <w:bookmarkEnd w:id="74183"/>
      <w:r>
        <w:rPr>
          <w:rFonts w:hint="cs"/>
          <w:rtl/>
          <w:lang w:eastAsia="he-IL"/>
        </w:rPr>
        <w:t xml:space="preserve">תגיע, תראה, יורים עליה כי הבן שלה שוטר והוא ירה </w:t>
      </w:r>
      <w:bookmarkStart w:id="74184" w:name="_ETM_Q130_206000"/>
      <w:bookmarkEnd w:id="74184"/>
      <w:r>
        <w:rPr>
          <w:rFonts w:hint="cs"/>
          <w:rtl/>
          <w:lang w:eastAsia="he-IL"/>
        </w:rPr>
        <w:t xml:space="preserve">על איש פשיעה שירה על אזרחים תמימים. ערבים, משפחה </w:t>
      </w:r>
      <w:bookmarkStart w:id="74185" w:name="_ETM_Q130_209000"/>
      <w:bookmarkEnd w:id="74185"/>
      <w:r>
        <w:rPr>
          <w:rFonts w:hint="cs"/>
          <w:rtl/>
          <w:lang w:eastAsia="he-IL"/>
        </w:rPr>
        <w:t>ערבייה, הוא ירה עליהם</w:t>
      </w:r>
      <w:r w:rsidR="00597063">
        <w:rPr>
          <w:rFonts w:hint="cs"/>
          <w:rtl/>
          <w:lang w:eastAsia="he-IL"/>
        </w:rPr>
        <w:t>.</w:t>
      </w:r>
      <w:r>
        <w:rPr>
          <w:rFonts w:hint="cs"/>
          <w:rtl/>
          <w:lang w:eastAsia="he-IL"/>
        </w:rPr>
        <w:t xml:space="preserve"> למה? כי הוא רצה לסחוט אותם. אז אני הגעתי לשם במוצאי שבת, דיברתי והסתובבתי ברחוב </w:t>
      </w:r>
      <w:bookmarkStart w:id="74186" w:name="_ETM_Q130_213000"/>
      <w:bookmarkEnd w:id="74186"/>
      <w:r>
        <w:rPr>
          <w:rFonts w:hint="cs"/>
          <w:rtl/>
          <w:lang w:eastAsia="he-IL"/>
        </w:rPr>
        <w:t xml:space="preserve">עם השוטרים, רציתי לראות שיש שם ביטחון. דיברתי עם בן </w:t>
      </w:r>
      <w:bookmarkStart w:id="74187" w:name="_ETM_Q130_218000"/>
      <w:bookmarkEnd w:id="74187"/>
      <w:r>
        <w:rPr>
          <w:rFonts w:hint="cs"/>
          <w:rtl/>
          <w:lang w:eastAsia="he-IL"/>
        </w:rPr>
        <w:t xml:space="preserve">גביר, עצרו שני אנשים. </w:t>
      </w:r>
    </w:p>
    <w:p w:rsidR="00BB59CD" w:rsidRDefault="00BB59CD" w:rsidP="00BB59CD">
      <w:pPr>
        <w:rPr>
          <w:rtl/>
          <w:lang w:eastAsia="he-IL"/>
        </w:rPr>
      </w:pPr>
    </w:p>
    <w:p w:rsidR="00BB59CD" w:rsidRDefault="00BB59CD" w:rsidP="00BB59CD">
      <w:pPr>
        <w:pStyle w:val="af8"/>
        <w:keepNext/>
        <w:rPr>
          <w:rtl/>
        </w:rPr>
      </w:pPr>
      <w:bookmarkStart w:id="74188" w:name="ET_interruption_5761_9"/>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74188"/>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BB59CD">
      <w:pPr>
        <w:ind w:left="720" w:firstLine="0"/>
        <w:rPr>
          <w:lang w:eastAsia="he-IL"/>
        </w:rPr>
      </w:pPr>
    </w:p>
    <w:p w:rsidR="00BB59CD" w:rsidRDefault="00BB59CD" w:rsidP="00BB59CD">
      <w:pPr>
        <w:pStyle w:val="af9"/>
        <w:keepNext/>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lang w:eastAsia="he-IL"/>
        </w:rPr>
      </w:pPr>
    </w:p>
    <w:p w:rsidR="00BB59CD" w:rsidRDefault="00BB59CD" w:rsidP="00BB59CD">
      <w:pPr>
        <w:rPr>
          <w:rtl/>
          <w:lang w:eastAsia="he-IL"/>
        </w:rPr>
      </w:pPr>
      <w:r>
        <w:rPr>
          <w:rFonts w:hint="cs"/>
          <w:rtl/>
          <w:lang w:eastAsia="he-IL"/>
        </w:rPr>
        <w:t xml:space="preserve">תקשיבי רגע, עצרו שני אנשים. אני רציתי את </w:t>
      </w:r>
      <w:bookmarkStart w:id="74189" w:name="_ETM_Q130_222000"/>
      <w:bookmarkEnd w:id="74189"/>
      <w:r>
        <w:rPr>
          <w:rFonts w:hint="cs"/>
          <w:rtl/>
          <w:lang w:eastAsia="he-IL"/>
        </w:rPr>
        <w:t xml:space="preserve">העזרה שלכם. אם לא הייתה עכשיו פגרה, הייתי מבקש לעשות </w:t>
      </w:r>
      <w:bookmarkStart w:id="74190" w:name="_ETM_Q130_224000"/>
      <w:bookmarkEnd w:id="74190"/>
      <w:r>
        <w:rPr>
          <w:rFonts w:hint="cs"/>
          <w:rtl/>
          <w:lang w:eastAsia="he-IL"/>
        </w:rPr>
        <w:t xml:space="preserve">דיון והייתי מצרף אתכם. </w:t>
      </w:r>
    </w:p>
    <w:p w:rsidR="00BB59CD" w:rsidRDefault="00BB59CD" w:rsidP="00BB59CD">
      <w:pPr>
        <w:rPr>
          <w:rtl/>
          <w:lang w:eastAsia="he-IL"/>
        </w:rPr>
      </w:pPr>
    </w:p>
    <w:p w:rsidR="00BB59CD" w:rsidRDefault="00BB59CD" w:rsidP="00BB59CD">
      <w:pPr>
        <w:pStyle w:val="-"/>
        <w:keepNext/>
        <w:rPr>
          <w:rtl/>
        </w:rPr>
      </w:pPr>
      <w:bookmarkStart w:id="74191" w:name="ET_speakercontinue_5696_10"/>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74191"/>
    </w:p>
    <w:p w:rsidR="00BB59CD" w:rsidRDefault="00BB59CD" w:rsidP="00337201">
      <w:pPr>
        <w:rPr>
          <w:rtl/>
          <w:lang w:eastAsia="he-IL"/>
        </w:rPr>
      </w:pPr>
    </w:p>
    <w:p w:rsidR="00BB59CD" w:rsidRDefault="00BB59CD" w:rsidP="00597063">
      <w:pPr>
        <w:rPr>
          <w:rtl/>
          <w:lang w:eastAsia="he-IL"/>
        </w:rPr>
      </w:pPr>
      <w:r>
        <w:rPr>
          <w:rFonts w:hint="cs"/>
          <w:rtl/>
          <w:lang w:eastAsia="he-IL"/>
        </w:rPr>
        <w:t xml:space="preserve">כבוד היושב-ראש, כשאני אומר שמישהו החליט, עצם אי-קבלת ההחלטה לא להילחם ולא להכריז על מצב חירום </w:t>
      </w:r>
      <w:bookmarkStart w:id="74192" w:name="_ETM_Q130_238000"/>
      <w:bookmarkEnd w:id="74192"/>
      <w:r>
        <w:rPr>
          <w:rFonts w:hint="cs"/>
          <w:rtl/>
          <w:lang w:eastAsia="he-IL"/>
        </w:rPr>
        <w:t xml:space="preserve">– אי-ההחלטה היא החלטה לגבי ההמשך וההפקרות. האינטרס שלי, שלך </w:t>
      </w:r>
      <w:bookmarkStart w:id="74193" w:name="_ETM_Q130_245000"/>
      <w:bookmarkEnd w:id="74193"/>
      <w:r>
        <w:rPr>
          <w:rFonts w:hint="cs"/>
          <w:rtl/>
          <w:lang w:eastAsia="he-IL"/>
        </w:rPr>
        <w:t xml:space="preserve">ושל כולנו, זה להילחם בארגוני הפשיעה שמאיימים על החברה הערבית. </w:t>
      </w:r>
      <w:bookmarkStart w:id="74194" w:name="_ETM_Q130_248000"/>
      <w:bookmarkEnd w:id="74194"/>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לגמרי. גם כתושב הצפון, אני מכיר את זה.</w:t>
      </w:r>
    </w:p>
    <w:p w:rsidR="00BB59CD" w:rsidRDefault="00BB59CD" w:rsidP="00BB59CD">
      <w:pPr>
        <w:rPr>
          <w:rtl/>
          <w:lang w:eastAsia="he-IL"/>
        </w:rPr>
      </w:pPr>
    </w:p>
    <w:p w:rsidR="00BB59CD" w:rsidRDefault="00BB59CD" w:rsidP="00BB59CD">
      <w:pPr>
        <w:pStyle w:val="-"/>
        <w:keepNext/>
        <w:rPr>
          <w:rtl/>
        </w:rPr>
      </w:pPr>
      <w:bookmarkStart w:id="74195" w:name="ET_speakercontinue_5696_13"/>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74195"/>
    </w:p>
    <w:p w:rsidR="00BB59CD" w:rsidRDefault="00BB59CD" w:rsidP="00337201">
      <w:pPr>
        <w:rPr>
          <w:rtl/>
          <w:lang w:eastAsia="he-IL"/>
        </w:rPr>
      </w:pPr>
    </w:p>
    <w:p w:rsidR="00BB59CD" w:rsidRDefault="00BB59CD" w:rsidP="00597063">
      <w:pPr>
        <w:rPr>
          <w:rtl/>
          <w:lang w:eastAsia="he-IL"/>
        </w:rPr>
      </w:pPr>
      <w:r>
        <w:rPr>
          <w:rFonts w:hint="cs"/>
          <w:rtl/>
          <w:lang w:eastAsia="he-IL"/>
        </w:rPr>
        <w:t>כבוד היושב-ראש, אני חוזר למחאה, למאבק למען הדמוקרטיה. עוד פעם, כמיעוט לאומי</w:t>
      </w:r>
      <w:r w:rsidR="00597063">
        <w:rPr>
          <w:rFonts w:hint="cs"/>
          <w:rtl/>
          <w:lang w:eastAsia="he-IL"/>
        </w:rPr>
        <w:t xml:space="preserve"> אנחנו נאבקנו</w:t>
      </w:r>
      <w:r>
        <w:rPr>
          <w:rFonts w:hint="cs"/>
          <w:rtl/>
          <w:lang w:eastAsia="he-IL"/>
        </w:rPr>
        <w:t xml:space="preserve"> שנים רבות על דמוקרטיה, והיום יש את </w:t>
      </w:r>
      <w:bookmarkStart w:id="74196" w:name="_ETM_Q130_274000"/>
      <w:bookmarkEnd w:id="74196"/>
      <w:r>
        <w:rPr>
          <w:rFonts w:hint="cs"/>
          <w:rtl/>
          <w:lang w:eastAsia="he-IL"/>
        </w:rPr>
        <w:t xml:space="preserve">המחאה על הדמוקרטיה. ולכן אני רוצה להגיד לכל מי שמשתתף </w:t>
      </w:r>
      <w:bookmarkStart w:id="74197" w:name="_ETM_Q130_278000"/>
      <w:bookmarkEnd w:id="74197"/>
      <w:r>
        <w:rPr>
          <w:rFonts w:hint="cs"/>
          <w:rtl/>
          <w:lang w:eastAsia="he-IL"/>
        </w:rPr>
        <w:t xml:space="preserve">במחאות: זה חשוב, זה ראוי, זה כוח לכל חברה, אבל </w:t>
      </w:r>
      <w:bookmarkStart w:id="74198" w:name="_ETM_Q130_292000"/>
      <w:bookmarkEnd w:id="74198"/>
      <w:r>
        <w:rPr>
          <w:rFonts w:hint="cs"/>
          <w:rtl/>
          <w:lang w:eastAsia="he-IL"/>
        </w:rPr>
        <w:t>אני גם רוצה להעלות סוגיה מאוד מהותית לגבי דמוקרטיה. דמוקרטיה</w:t>
      </w:r>
      <w:bookmarkStart w:id="74199" w:name="_ETM_Q130_297000"/>
      <w:bookmarkEnd w:id="74199"/>
      <w:r>
        <w:rPr>
          <w:rFonts w:hint="cs"/>
          <w:rtl/>
          <w:lang w:eastAsia="he-IL"/>
        </w:rPr>
        <w:t xml:space="preserve"> לא ניתנת לחלוקה, ודמוקרטיה היא דמוקרטיה לכולם, גם </w:t>
      </w:r>
      <w:bookmarkStart w:id="74200" w:name="_ETM_Q130_308000"/>
      <w:bookmarkEnd w:id="74200"/>
      <w:r>
        <w:rPr>
          <w:rFonts w:hint="cs"/>
          <w:rtl/>
          <w:lang w:eastAsia="he-IL"/>
        </w:rPr>
        <w:t xml:space="preserve">לערבים, גם ליהודים, גם ליהודים וערבים כאחד. דמוקרטיה היא </w:t>
      </w:r>
      <w:bookmarkStart w:id="74201" w:name="_ETM_Q130_315000"/>
      <w:bookmarkEnd w:id="74201"/>
      <w:r>
        <w:rPr>
          <w:rFonts w:hint="cs"/>
          <w:rtl/>
          <w:lang w:eastAsia="he-IL"/>
        </w:rPr>
        <w:t xml:space="preserve">בכל מקום, היא גם בקפלן, היא גם בירושלים, </w:t>
      </w:r>
      <w:bookmarkStart w:id="74202" w:name="_ETM_Q130_322000"/>
      <w:bookmarkEnd w:id="74202"/>
      <w:r>
        <w:rPr>
          <w:rFonts w:hint="cs"/>
          <w:rtl/>
          <w:lang w:eastAsia="he-IL"/>
        </w:rPr>
        <w:t xml:space="preserve">היא צריכה להיות גם בשטחים הכבושים. מי שמוביל את ההצעה </w:t>
      </w:r>
      <w:bookmarkStart w:id="74203" w:name="_ETM_Q130_329000"/>
      <w:bookmarkEnd w:id="74203"/>
      <w:r>
        <w:rPr>
          <w:rFonts w:hint="cs"/>
          <w:rtl/>
          <w:lang w:eastAsia="he-IL"/>
        </w:rPr>
        <w:t xml:space="preserve">של ביטול עילת הסבירות הם מובילי ההתנחלויות בשטחים הכבושים, והשטחים </w:t>
      </w:r>
      <w:bookmarkStart w:id="74204" w:name="_ETM_Q130_341000"/>
      <w:bookmarkEnd w:id="74204"/>
      <w:r>
        <w:rPr>
          <w:rFonts w:hint="cs"/>
          <w:rtl/>
          <w:lang w:eastAsia="he-IL"/>
        </w:rPr>
        <w:t>הכבושים והכיבוש לא יכולים להיות עם דמוקרטיה, שניהם לא</w:t>
      </w:r>
      <w:bookmarkStart w:id="74205" w:name="_ETM_Q130_346000"/>
      <w:bookmarkEnd w:id="74205"/>
      <w:r>
        <w:rPr>
          <w:rFonts w:hint="cs"/>
          <w:rtl/>
          <w:lang w:eastAsia="he-IL"/>
        </w:rPr>
        <w:t xml:space="preserve"> ילכו ביחד. מי שרוצה דמוקרטיה אמיתית לכולם צריך להיות </w:t>
      </w:r>
      <w:bookmarkStart w:id="74206" w:name="_ETM_Q130_356000"/>
      <w:bookmarkEnd w:id="74206"/>
      <w:r>
        <w:rPr>
          <w:rFonts w:hint="cs"/>
          <w:rtl/>
          <w:lang w:eastAsia="he-IL"/>
        </w:rPr>
        <w:t xml:space="preserve">במאבק על כל שוויון אזרחי חברתי בתוך החברה. מי שנלחם </w:t>
      </w:r>
      <w:bookmarkStart w:id="74207" w:name="_ETM_Q130_364000"/>
      <w:bookmarkEnd w:id="74207"/>
      <w:r>
        <w:rPr>
          <w:rFonts w:hint="cs"/>
          <w:rtl/>
          <w:lang w:eastAsia="he-IL"/>
        </w:rPr>
        <w:t xml:space="preserve">למען דמוקרטיה לא יכול להסכים עם מצב של </w:t>
      </w:r>
      <w:bookmarkStart w:id="74208" w:name="_ETM_Q130_370000"/>
      <w:bookmarkEnd w:id="74208"/>
      <w:r>
        <w:rPr>
          <w:rFonts w:hint="cs"/>
          <w:rtl/>
          <w:lang w:eastAsia="he-IL"/>
        </w:rPr>
        <w:t>אי-הכרה בכפרים, הכפרים הלא-מוכרים בנגב. מי שמאמין בדמוקרטיה אמיתית</w:t>
      </w:r>
      <w:bookmarkStart w:id="74209" w:name="_ETM_Q130_376000"/>
      <w:bookmarkEnd w:id="74209"/>
      <w:r>
        <w:rPr>
          <w:rFonts w:hint="cs"/>
          <w:rtl/>
          <w:lang w:eastAsia="he-IL"/>
        </w:rPr>
        <w:t xml:space="preserve"> לא צריך להשלים עם זה שמפלים בין אזרח לאזרח. </w:t>
      </w:r>
      <w:bookmarkStart w:id="74210" w:name="_ETM_Q130_387000"/>
      <w:bookmarkEnd w:id="74210"/>
      <w:r>
        <w:rPr>
          <w:rFonts w:hint="cs"/>
          <w:rtl/>
          <w:lang w:eastAsia="he-IL"/>
        </w:rPr>
        <w:t>אין דמוקרטיה עם חוק הלאום ואין דמוקרטיה עם קמיניץ וכל</w:t>
      </w:r>
      <w:bookmarkStart w:id="74211" w:name="_ETM_Q130_392000"/>
      <w:bookmarkEnd w:id="74211"/>
      <w:r>
        <w:rPr>
          <w:rFonts w:hint="cs"/>
          <w:rtl/>
          <w:lang w:eastAsia="he-IL"/>
        </w:rPr>
        <w:t xml:space="preserve"> הקנסות שהחברה הערבית משלמת יום-יום. </w:t>
      </w:r>
    </w:p>
    <w:p w:rsidR="00BB59CD" w:rsidRDefault="00BB59CD" w:rsidP="00BB59CD">
      <w:pPr>
        <w:rPr>
          <w:rtl/>
          <w:lang w:eastAsia="he-IL"/>
        </w:rPr>
      </w:pPr>
    </w:p>
    <w:p w:rsidR="00BB59CD" w:rsidRDefault="00BB59CD" w:rsidP="00BB59CD">
      <w:pPr>
        <w:rPr>
          <w:rtl/>
          <w:lang w:eastAsia="he-IL"/>
        </w:rPr>
      </w:pPr>
      <w:bookmarkStart w:id="74212" w:name="_ETM_Q130_398000"/>
      <w:bookmarkEnd w:id="74212"/>
      <w:r>
        <w:rPr>
          <w:rFonts w:hint="cs"/>
          <w:rtl/>
          <w:lang w:eastAsia="he-IL"/>
        </w:rPr>
        <w:t xml:space="preserve">כבוד היושב-ראש, </w:t>
      </w:r>
      <w:bookmarkStart w:id="74213" w:name="_ETM_Q130_403000"/>
      <w:bookmarkEnd w:id="74213"/>
      <w:r>
        <w:rPr>
          <w:rFonts w:hint="cs"/>
          <w:rtl/>
          <w:lang w:eastAsia="he-IL"/>
        </w:rPr>
        <w:t xml:space="preserve">אנחנו בסוף המושב הראשון של הכנסת העשרים-וחמש. מאז </w:t>
      </w:r>
      <w:bookmarkStart w:id="74214" w:name="_ETM_Q130_410000"/>
      <w:bookmarkEnd w:id="74214"/>
      <w:r>
        <w:rPr>
          <w:rFonts w:hint="cs"/>
          <w:rtl/>
          <w:lang w:eastAsia="he-IL"/>
        </w:rPr>
        <w:t xml:space="preserve">שהגעתי לכנסת, לפני כמעט חצי שנה, אין פעם שלא עליתי </w:t>
      </w:r>
      <w:bookmarkStart w:id="74215" w:name="_ETM_Q130_418000"/>
      <w:bookmarkEnd w:id="74215"/>
      <w:r>
        <w:rPr>
          <w:rFonts w:hint="cs"/>
          <w:rtl/>
          <w:lang w:eastAsia="he-IL"/>
        </w:rPr>
        <w:t xml:space="preserve">לדוכן זה ולא העליתי את הסוגיה הכי כואבת, הכי </w:t>
      </w:r>
      <w:bookmarkStart w:id="74216" w:name="_ETM_Q130_426000"/>
      <w:bookmarkEnd w:id="74216"/>
      <w:r>
        <w:rPr>
          <w:rFonts w:hint="cs"/>
          <w:rtl/>
          <w:lang w:eastAsia="he-IL"/>
        </w:rPr>
        <w:t xml:space="preserve">קשה, הכי צודקת, וזו הסוגיה של האוכלוסייה הערבית הבדואית </w:t>
      </w:r>
      <w:bookmarkStart w:id="74217" w:name="_ETM_Q130_435000"/>
      <w:bookmarkEnd w:id="74217"/>
      <w:r>
        <w:rPr>
          <w:rFonts w:hint="cs"/>
          <w:rtl/>
          <w:lang w:eastAsia="he-IL"/>
        </w:rPr>
        <w:t>בנגב. הסוגיה של האוכלוסייה הערבית הבדואית בנגב – זה 75</w:t>
      </w:r>
      <w:bookmarkStart w:id="74218" w:name="_ETM_Q130_445000"/>
      <w:bookmarkEnd w:id="74218"/>
      <w:r>
        <w:rPr>
          <w:rFonts w:hint="cs"/>
          <w:rtl/>
          <w:lang w:eastAsia="he-IL"/>
        </w:rPr>
        <w:t xml:space="preserve"> שנה שהמדינה לא מוצאת לנכון לטפל בסוגיה הזאת. ולמה המדינה </w:t>
      </w:r>
      <w:bookmarkStart w:id="74219" w:name="_ETM_Q130_456000"/>
      <w:bookmarkEnd w:id="74219"/>
      <w:r>
        <w:rPr>
          <w:rFonts w:hint="cs"/>
          <w:rtl/>
          <w:lang w:eastAsia="he-IL"/>
        </w:rPr>
        <w:t xml:space="preserve">לא מוצאת את הדרך לפתור את הסוגיה של האוכלוסייה </w:t>
      </w:r>
      <w:bookmarkStart w:id="74220" w:name="_ETM_Q130_464000"/>
      <w:bookmarkEnd w:id="74220"/>
      <w:r>
        <w:rPr>
          <w:rFonts w:hint="cs"/>
          <w:rtl/>
          <w:lang w:eastAsia="he-IL"/>
        </w:rPr>
        <w:t xml:space="preserve">הערבית הבדואית בנגב? כי מההתחלה כל ההתייחסות לאוכלוסייה הערבית הבדואית </w:t>
      </w:r>
      <w:bookmarkStart w:id="74221" w:name="_ETM_Q130_476000"/>
      <w:bookmarkEnd w:id="74221"/>
      <w:r>
        <w:rPr>
          <w:rFonts w:hint="cs"/>
          <w:rtl/>
          <w:lang w:eastAsia="he-IL"/>
        </w:rPr>
        <w:t xml:space="preserve">בנגב הייתה התייחסות עוינת. לכן אף אחד לא ראה אותם </w:t>
      </w:r>
      <w:bookmarkStart w:id="74222" w:name="_ETM_Q130_486000"/>
      <w:bookmarkEnd w:id="74222"/>
      <w:r>
        <w:rPr>
          <w:rFonts w:hint="cs"/>
          <w:rtl/>
          <w:lang w:eastAsia="he-IL"/>
        </w:rPr>
        <w:t xml:space="preserve">בתכנון. הם היו שקופים במשך שנים ועד יום זה. כ-100,000 </w:t>
      </w:r>
      <w:bookmarkStart w:id="74223" w:name="_ETM_Q130_493000"/>
      <w:bookmarkEnd w:id="74223"/>
      <w:r>
        <w:rPr>
          <w:rFonts w:hint="cs"/>
          <w:rtl/>
          <w:lang w:eastAsia="he-IL"/>
        </w:rPr>
        <w:t xml:space="preserve">תושבים חיים בכפרים הלא-מוכרים בנגב. ומה זה כפר לא </w:t>
      </w:r>
      <w:bookmarkStart w:id="74224" w:name="_ETM_Q130_504000"/>
      <w:bookmarkEnd w:id="74224"/>
      <w:r>
        <w:rPr>
          <w:rFonts w:hint="cs"/>
          <w:rtl/>
          <w:lang w:eastAsia="he-IL"/>
        </w:rPr>
        <w:t xml:space="preserve">מוכר? מזה נגזרים גורל וחיים של אנשים, של נשים, של </w:t>
      </w:r>
      <w:bookmarkStart w:id="74225" w:name="_ETM_Q130_512000"/>
      <w:bookmarkEnd w:id="74225"/>
      <w:r>
        <w:rPr>
          <w:rFonts w:hint="cs"/>
          <w:rtl/>
          <w:lang w:eastAsia="he-IL"/>
        </w:rPr>
        <w:t xml:space="preserve">ילדים, שאין להם זכות לא לשירותי חינוך, לא לבריאות, </w:t>
      </w:r>
      <w:bookmarkStart w:id="74226" w:name="_ETM_Q130_517000"/>
      <w:bookmarkEnd w:id="74226"/>
      <w:r>
        <w:rPr>
          <w:rFonts w:hint="cs"/>
          <w:rtl/>
          <w:lang w:eastAsia="he-IL"/>
        </w:rPr>
        <w:t xml:space="preserve">לא לחשמל, לא למים, לא לרווחה. המדינה לא רואה אותם </w:t>
      </w:r>
      <w:bookmarkStart w:id="74227" w:name="_ETM_Q130_527000"/>
      <w:bookmarkEnd w:id="74227"/>
      <w:r>
        <w:rPr>
          <w:rFonts w:hint="cs"/>
          <w:rtl/>
          <w:lang w:eastAsia="he-IL"/>
        </w:rPr>
        <w:t xml:space="preserve">בשום דרך. המדינה רואה אותם בתוך תפיסה גזענית בתכנון, </w:t>
      </w:r>
      <w:bookmarkStart w:id="74228" w:name="_ETM_Q130_538000"/>
      <w:bookmarkEnd w:id="74228"/>
      <w:r>
        <w:rPr>
          <w:rFonts w:hint="cs"/>
          <w:rtl/>
          <w:lang w:eastAsia="he-IL"/>
        </w:rPr>
        <w:t xml:space="preserve">איך לרכז אותם ריכוז כפוי תחת תכנון גזעני. </w:t>
      </w:r>
    </w:p>
    <w:p w:rsidR="00BB59CD" w:rsidRDefault="00BB59CD" w:rsidP="00BB59CD">
      <w:pPr>
        <w:rPr>
          <w:rtl/>
          <w:lang w:eastAsia="he-IL"/>
        </w:rPr>
      </w:pPr>
    </w:p>
    <w:p w:rsidR="00BB59CD" w:rsidRDefault="00BB59CD" w:rsidP="00597063">
      <w:pPr>
        <w:rPr>
          <w:rtl/>
          <w:lang w:eastAsia="he-IL"/>
        </w:rPr>
      </w:pPr>
      <w:r>
        <w:rPr>
          <w:rFonts w:hint="cs"/>
          <w:rtl/>
          <w:lang w:eastAsia="he-IL"/>
        </w:rPr>
        <w:t xml:space="preserve">אכן, </w:t>
      </w:r>
      <w:bookmarkStart w:id="74229" w:name="_ETM_Q130_549000"/>
      <w:bookmarkEnd w:id="74229"/>
      <w:r>
        <w:rPr>
          <w:rFonts w:hint="cs"/>
          <w:rtl/>
          <w:lang w:eastAsia="he-IL"/>
        </w:rPr>
        <w:t xml:space="preserve">מי שנלחם על הדמוקרטיה, התכנון בנגב הוא תכנון שונה. יש </w:t>
      </w:r>
      <w:bookmarkStart w:id="74230" w:name="_ETM_Q130_555000"/>
      <w:bookmarkEnd w:id="74230"/>
      <w:r>
        <w:rPr>
          <w:rFonts w:hint="cs"/>
          <w:rtl/>
          <w:lang w:eastAsia="he-IL"/>
        </w:rPr>
        <w:t xml:space="preserve">תכנון לערבים ויש תכנון ליהודים. הנוסחה הזאת צריכה להסתיים. כשבאים </w:t>
      </w:r>
      <w:bookmarkStart w:id="74231" w:name="_ETM_Q130_566000"/>
      <w:bookmarkEnd w:id="74231"/>
      <w:r>
        <w:rPr>
          <w:rFonts w:hint="cs"/>
          <w:rtl/>
          <w:lang w:eastAsia="he-IL"/>
        </w:rPr>
        <w:t xml:space="preserve">לתכנן רוצים לרכז מקסימום ערבים בדואים על מינימום קרקע </w:t>
      </w:r>
      <w:bookmarkStart w:id="74232" w:name="_ETM_Q130_577000"/>
      <w:bookmarkEnd w:id="74232"/>
      <w:r>
        <w:rPr>
          <w:rFonts w:hint="cs"/>
          <w:rtl/>
          <w:lang w:eastAsia="he-IL"/>
        </w:rPr>
        <w:t xml:space="preserve">ומינימום יהודים על מקסימום קרקע. התכנון הוא גזעני בנגב, והוא </w:t>
      </w:r>
      <w:bookmarkStart w:id="74233" w:name="_ETM_Q130_586000"/>
      <w:bookmarkEnd w:id="74233"/>
      <w:r>
        <w:rPr>
          <w:rFonts w:hint="cs"/>
          <w:rtl/>
          <w:lang w:eastAsia="he-IL"/>
        </w:rPr>
        <w:t xml:space="preserve">שונה כי ליהודים בנגב מותר להתיישב איפה שהם רוצים </w:t>
      </w:r>
      <w:bookmarkStart w:id="74234" w:name="_ETM_Q130_595000"/>
      <w:bookmarkEnd w:id="74234"/>
      <w:r>
        <w:rPr>
          <w:rFonts w:hint="cs"/>
          <w:rtl/>
          <w:lang w:eastAsia="he-IL"/>
        </w:rPr>
        <w:t xml:space="preserve">ובכל צורה שהם רוצים. יהודי בבאר שבע בנגב יכול </w:t>
      </w:r>
      <w:bookmarkStart w:id="74235" w:name="_ETM_Q130_601000"/>
      <w:bookmarkEnd w:id="74235"/>
      <w:r>
        <w:rPr>
          <w:rFonts w:hint="cs"/>
          <w:rtl/>
          <w:lang w:eastAsia="he-IL"/>
        </w:rPr>
        <w:t xml:space="preserve">לגור בקיבוץ, במושב, ביישוב קהילתי, בחוות בודדים, בכל דרך </w:t>
      </w:r>
      <w:bookmarkStart w:id="74236" w:name="_ETM_Q130_608000"/>
      <w:bookmarkEnd w:id="74236"/>
      <w:r>
        <w:rPr>
          <w:rFonts w:hint="cs"/>
          <w:rtl/>
          <w:lang w:eastAsia="he-IL"/>
        </w:rPr>
        <w:t xml:space="preserve">אפשרית. ואותנו, אותנו רוצים לרכז ביישובי ריכוז שנכשלו. הריכוזים </w:t>
      </w:r>
      <w:bookmarkStart w:id="74237" w:name="_ETM_Q130_622000"/>
      <w:bookmarkEnd w:id="74237"/>
      <w:r>
        <w:rPr>
          <w:rFonts w:hint="cs"/>
          <w:rtl/>
          <w:lang w:eastAsia="he-IL"/>
        </w:rPr>
        <w:t xml:space="preserve">של הכפרים נכשלו. הנתונים מראים בצורה הכי ברורה שהיישובים הכי </w:t>
      </w:r>
      <w:bookmarkStart w:id="74238" w:name="_ETM_Q130_630000"/>
      <w:bookmarkEnd w:id="74238"/>
      <w:r>
        <w:rPr>
          <w:rFonts w:hint="cs"/>
          <w:rtl/>
          <w:lang w:eastAsia="he-IL"/>
        </w:rPr>
        <w:t>חלשים חברתית-כלכלית בארץ הם היישובים הערביים הבדואיים בנגב. למה</w:t>
      </w:r>
      <w:bookmarkStart w:id="74239" w:name="_ETM_Q130_640000"/>
      <w:bookmarkEnd w:id="74239"/>
      <w:r>
        <w:rPr>
          <w:rFonts w:hint="cs"/>
          <w:rtl/>
          <w:lang w:eastAsia="he-IL"/>
        </w:rPr>
        <w:t xml:space="preserve"> הם נחשבים הכי חלשים? כי לא הושקע בהם </w:t>
      </w:r>
      <w:r w:rsidR="00597063">
        <w:rPr>
          <w:rFonts w:hint="cs"/>
          <w:rtl/>
          <w:lang w:eastAsia="he-IL"/>
        </w:rPr>
        <w:t>כלום</w:t>
      </w:r>
      <w:r>
        <w:rPr>
          <w:rFonts w:hint="cs"/>
          <w:rtl/>
          <w:lang w:eastAsia="he-IL"/>
        </w:rPr>
        <w:t xml:space="preserve"> בתשתיות, </w:t>
      </w:r>
      <w:bookmarkStart w:id="74240" w:name="_ETM_Q130_650000"/>
      <w:bookmarkEnd w:id="74240"/>
      <w:r>
        <w:rPr>
          <w:rFonts w:hint="cs"/>
          <w:rtl/>
          <w:lang w:eastAsia="he-IL"/>
        </w:rPr>
        <w:t xml:space="preserve">לא הושקע בחינוך, לא בתברואה, לא ברווחה, לא בתעסוקה, </w:t>
      </w:r>
      <w:bookmarkStart w:id="74241" w:name="_ETM_Q130_658000"/>
      <w:bookmarkEnd w:id="74241"/>
      <w:r>
        <w:rPr>
          <w:rFonts w:hint="cs"/>
          <w:rtl/>
          <w:lang w:eastAsia="he-IL"/>
        </w:rPr>
        <w:t xml:space="preserve">כי ראו אותם כדרך לרכז ולנשל אותם. </w:t>
      </w:r>
      <w:bookmarkStart w:id="74242" w:name="_ETM_Q130_665000"/>
      <w:bookmarkEnd w:id="74242"/>
    </w:p>
    <w:p w:rsidR="00BB59CD" w:rsidRDefault="00BB59CD" w:rsidP="00BB59CD">
      <w:pPr>
        <w:rPr>
          <w:rtl/>
          <w:lang w:eastAsia="he-IL"/>
        </w:rPr>
      </w:pPr>
    </w:p>
    <w:p w:rsidR="00BB59CD" w:rsidRDefault="00BB59CD" w:rsidP="00BB59CD">
      <w:pPr>
        <w:rPr>
          <w:rtl/>
          <w:lang w:eastAsia="he-IL"/>
        </w:rPr>
      </w:pPr>
      <w:bookmarkStart w:id="74243" w:name="_ETM_Q130_668000"/>
      <w:bookmarkEnd w:id="74243"/>
      <w:r>
        <w:rPr>
          <w:rFonts w:hint="cs"/>
          <w:rtl/>
          <w:lang w:eastAsia="he-IL"/>
        </w:rPr>
        <w:t xml:space="preserve">בשנתיים האחרונות אנחנו עדים לגל הריסת בתים מתמשך. אי-אפשר </w:t>
      </w:r>
      <w:bookmarkStart w:id="74244" w:name="_ETM_Q130_678000"/>
      <w:bookmarkEnd w:id="74244"/>
      <w:r>
        <w:rPr>
          <w:rFonts w:hint="cs"/>
          <w:rtl/>
          <w:lang w:eastAsia="he-IL"/>
        </w:rPr>
        <w:t xml:space="preserve">שהמדינה רק תהרוס בנגב, הגיע הזמן להכיר גם </w:t>
      </w:r>
      <w:bookmarkStart w:id="74245" w:name="_ETM_Q130_684000"/>
      <w:bookmarkEnd w:id="74245"/>
      <w:r>
        <w:rPr>
          <w:rFonts w:hint="cs"/>
          <w:rtl/>
          <w:lang w:eastAsia="he-IL"/>
        </w:rPr>
        <w:t xml:space="preserve">בכפרים הלא-מוכרים, לשבת עם האנשים ולהתחיל לתכנן את ההכרה </w:t>
      </w:r>
      <w:bookmarkStart w:id="74246" w:name="_ETM_Q130_693000"/>
      <w:bookmarkEnd w:id="74246"/>
      <w:r>
        <w:rPr>
          <w:rFonts w:hint="cs"/>
          <w:rtl/>
          <w:lang w:eastAsia="he-IL"/>
        </w:rPr>
        <w:t xml:space="preserve">ביישובים. אנחנו לא מבקשים שום דבר ייחודי, כבוד היושב-ראש, עבור </w:t>
      </w:r>
      <w:bookmarkStart w:id="74247" w:name="_ETM_Q130_702000"/>
      <w:bookmarkEnd w:id="74247"/>
      <w:r>
        <w:rPr>
          <w:rFonts w:hint="cs"/>
          <w:rtl/>
          <w:lang w:eastAsia="he-IL"/>
        </w:rPr>
        <w:t>האוכלוסייה הערבית הבדואית בנגב. אנחנו מבקשים אותו עיקרון של תכנון</w:t>
      </w:r>
      <w:bookmarkStart w:id="74248" w:name="_ETM_Q130_709000"/>
      <w:bookmarkEnd w:id="74248"/>
      <w:r>
        <w:rPr>
          <w:rFonts w:hint="cs"/>
          <w:rtl/>
          <w:lang w:eastAsia="he-IL"/>
        </w:rPr>
        <w:t xml:space="preserve"> שוויוני לערבים ויהודים, להתחיל לתכנן. אם ניקח את </w:t>
      </w:r>
      <w:bookmarkStart w:id="74249" w:name="_ETM_Q130_718000"/>
      <w:bookmarkEnd w:id="74249"/>
      <w:r>
        <w:rPr>
          <w:rFonts w:hint="cs"/>
          <w:rtl/>
          <w:lang w:eastAsia="he-IL"/>
        </w:rPr>
        <w:t>אזור בקעת באר שבע, בתוך אזור בקעת באר שבע (חוזר על השם בערבית</w:t>
      </w:r>
      <w:r>
        <w:rPr>
          <w:rFonts w:ascii="Segoe UI Emoji" w:eastAsia="Segoe UI Emoji" w:hAnsi="Segoe UI Emoji" w:cs="Times New Roman"/>
          <w:rtl/>
          <w:lang w:eastAsia="he-IL"/>
        </w:rPr>
        <w:t>)</w:t>
      </w:r>
      <w:r>
        <w:rPr>
          <w:rFonts w:hint="cs"/>
          <w:rtl/>
          <w:lang w:eastAsia="he-IL"/>
        </w:rPr>
        <w:t xml:space="preserve"> יש כ-30,000 תושבים. </w:t>
      </w:r>
      <w:bookmarkStart w:id="74250" w:name="_ETM_Q130_725000"/>
      <w:bookmarkEnd w:id="74250"/>
      <w:r>
        <w:rPr>
          <w:rFonts w:hint="cs"/>
          <w:rtl/>
          <w:lang w:eastAsia="he-IL"/>
        </w:rPr>
        <w:t xml:space="preserve">30,000 תושבים </w:t>
      </w:r>
      <w:bookmarkStart w:id="74251" w:name="_ETM_Q130_739000"/>
      <w:bookmarkEnd w:id="74251"/>
      <w:r>
        <w:rPr>
          <w:rFonts w:hint="cs"/>
          <w:rtl/>
          <w:lang w:eastAsia="he-IL"/>
        </w:rPr>
        <w:t>בשישה יישובים לא מוכרים, וכל הדרישה של האנשים האלה</w:t>
      </w:r>
      <w:bookmarkStart w:id="74252" w:name="_ETM_Q130_745000"/>
      <w:bookmarkEnd w:id="74252"/>
      <w:r>
        <w:rPr>
          <w:rFonts w:hint="cs"/>
          <w:rtl/>
          <w:lang w:eastAsia="he-IL"/>
        </w:rPr>
        <w:t xml:space="preserve"> להכרה היא על בין 20,000 ל-30,000 דונם. </w:t>
      </w:r>
    </w:p>
    <w:p w:rsidR="00BB59CD" w:rsidRDefault="00BB59CD" w:rsidP="00BB59CD">
      <w:pPr>
        <w:rPr>
          <w:rtl/>
          <w:lang w:eastAsia="he-IL"/>
        </w:rPr>
      </w:pPr>
      <w:bookmarkStart w:id="74253" w:name="_ETM_Q130_675000"/>
      <w:bookmarkEnd w:id="74253"/>
    </w:p>
    <w:p w:rsidR="00BB59CD" w:rsidRDefault="00BB59CD" w:rsidP="00597063">
      <w:pPr>
        <w:rPr>
          <w:rtl/>
          <w:lang w:eastAsia="he-IL"/>
        </w:rPr>
      </w:pPr>
      <w:bookmarkStart w:id="74254" w:name="TOR_Q131"/>
      <w:bookmarkEnd w:id="74254"/>
      <w:r>
        <w:rPr>
          <w:rFonts w:hint="cs"/>
          <w:rtl/>
          <w:lang w:eastAsia="he-IL"/>
        </w:rPr>
        <w:t xml:space="preserve">אני רוצה להגיד לך, כבוד היושב-ראש, שבמועצה אזורית מרחבים, לא רחוק מששת היישובים של בקעת באר שבע, יש </w:t>
      </w:r>
      <w:bookmarkStart w:id="74255" w:name="_ETM_Q131_165000"/>
      <w:bookmarkEnd w:id="74255"/>
      <w:r>
        <w:rPr>
          <w:rFonts w:hint="cs"/>
          <w:rtl/>
          <w:lang w:eastAsia="he-IL"/>
        </w:rPr>
        <w:t>18 יישובים יהודיים – קיבוצים, מושבים וגם יישוב קהילתי.</w:t>
      </w:r>
      <w:bookmarkStart w:id="74256" w:name="_ETM_Q131_174000"/>
      <w:bookmarkEnd w:id="74256"/>
      <w:r>
        <w:rPr>
          <w:rFonts w:hint="cs"/>
          <w:rtl/>
          <w:lang w:eastAsia="he-IL"/>
        </w:rPr>
        <w:t xml:space="preserve"> 18 יישובים בשטח עם רצף טריטוריאלי </w:t>
      </w:r>
      <w:bookmarkStart w:id="74257" w:name="_ETM_Q131_178000"/>
      <w:bookmarkEnd w:id="74257"/>
      <w:r>
        <w:rPr>
          <w:rFonts w:hint="cs"/>
          <w:rtl/>
          <w:lang w:eastAsia="he-IL"/>
        </w:rPr>
        <w:t xml:space="preserve">של 585,000 דונם. כל הדרישות של הערבים הבדואים בנגב </w:t>
      </w:r>
      <w:bookmarkStart w:id="74258" w:name="_ETM_Q131_190000"/>
      <w:bookmarkEnd w:id="74258"/>
      <w:r>
        <w:rPr>
          <w:rFonts w:hint="cs"/>
          <w:rtl/>
          <w:lang w:eastAsia="he-IL"/>
        </w:rPr>
        <w:t xml:space="preserve">לקרקע זה על 3% משטח הנגב, זה בסביבות 400,000 דונם. </w:t>
      </w:r>
      <w:bookmarkStart w:id="74259" w:name="_ETM_Q131_200000"/>
      <w:bookmarkEnd w:id="74259"/>
      <w:r>
        <w:rPr>
          <w:rFonts w:hint="cs"/>
          <w:rtl/>
          <w:lang w:eastAsia="he-IL"/>
        </w:rPr>
        <w:t xml:space="preserve">באים, מסיתים נגד האוכלוסייה הערבית הבדואית בנגב ואומרים שהיא רוצה </w:t>
      </w:r>
      <w:bookmarkStart w:id="74260" w:name="_ETM_Q131_207000"/>
      <w:bookmarkEnd w:id="74260"/>
      <w:r>
        <w:rPr>
          <w:rFonts w:hint="cs"/>
          <w:rtl/>
          <w:lang w:eastAsia="he-IL"/>
        </w:rPr>
        <w:t xml:space="preserve">להשתלט על השטח. אנחנו מבקשים, בנגב יש </w:t>
      </w:r>
      <w:bookmarkStart w:id="74261" w:name="_ETM_Q131_218000"/>
      <w:bookmarkEnd w:id="74261"/>
      <w:r>
        <w:rPr>
          <w:rFonts w:hint="cs"/>
          <w:rtl/>
          <w:lang w:eastAsia="he-IL"/>
        </w:rPr>
        <w:t>16 מועצות אזוריות, תנו לנו רק את השטח של מרחבים</w:t>
      </w:r>
      <w:bookmarkStart w:id="74262" w:name="_ETM_Q131_224000"/>
      <w:bookmarkEnd w:id="74262"/>
      <w:r>
        <w:rPr>
          <w:rFonts w:hint="cs"/>
          <w:rtl/>
          <w:lang w:eastAsia="he-IL"/>
        </w:rPr>
        <w:t xml:space="preserve">, עם 18 יישובים ו-13,000 תושבים, ואנחנו נפתור את </w:t>
      </w:r>
      <w:bookmarkStart w:id="74263" w:name="_ETM_Q131_232000"/>
      <w:bookmarkEnd w:id="74263"/>
      <w:r>
        <w:rPr>
          <w:rFonts w:hint="cs"/>
          <w:rtl/>
          <w:lang w:eastAsia="he-IL"/>
        </w:rPr>
        <w:t xml:space="preserve">הסוגיה ונכיר בכפרים הלא-מוכרים בנגב. </w:t>
      </w:r>
      <w:bookmarkStart w:id="74264" w:name="_ETM_Q131_242000"/>
      <w:bookmarkEnd w:id="74264"/>
      <w:r>
        <w:rPr>
          <w:rFonts w:hint="cs"/>
          <w:rtl/>
          <w:lang w:eastAsia="he-IL"/>
        </w:rPr>
        <w:t xml:space="preserve">כשמדברים על תכנון, זה </w:t>
      </w:r>
      <w:bookmarkStart w:id="74265" w:name="_ETM_Q131_241000"/>
      <w:bookmarkEnd w:id="74265"/>
      <w:r>
        <w:rPr>
          <w:rFonts w:hint="cs"/>
          <w:rtl/>
          <w:lang w:eastAsia="he-IL"/>
        </w:rPr>
        <w:t xml:space="preserve">תכנון שונה, גם במועצות האזוריות אל-קסום ונווה מדבר. </w:t>
      </w:r>
      <w:bookmarkStart w:id="74266" w:name="_ETM_Q131_247000"/>
      <w:bookmarkEnd w:id="74266"/>
      <w:r>
        <w:rPr>
          <w:rFonts w:hint="cs"/>
          <w:rtl/>
          <w:lang w:eastAsia="he-IL"/>
        </w:rPr>
        <w:t>התכנון בהן שונה מכל המועצות האזוריות בארץ. אין רצף טריטוריאלי</w:t>
      </w:r>
      <w:bookmarkStart w:id="74267" w:name="_ETM_Q131_259000"/>
      <w:bookmarkEnd w:id="74267"/>
      <w:r>
        <w:rPr>
          <w:rFonts w:hint="cs"/>
          <w:rtl/>
          <w:lang w:eastAsia="he-IL"/>
        </w:rPr>
        <w:t xml:space="preserve"> בתוך המועצות האזוריות האלה. אם היה אותו תכנון כמו </w:t>
      </w:r>
      <w:r w:rsidR="00597063">
        <w:rPr>
          <w:rFonts w:hint="cs"/>
          <w:rtl/>
          <w:lang w:eastAsia="he-IL"/>
        </w:rPr>
        <w:t>ב</w:t>
      </w:r>
      <w:r>
        <w:rPr>
          <w:rFonts w:hint="cs"/>
          <w:rtl/>
          <w:lang w:eastAsia="he-IL"/>
        </w:rPr>
        <w:t>מרחבים</w:t>
      </w:r>
      <w:bookmarkStart w:id="74268" w:name="_ETM_Q131_267000"/>
      <w:bookmarkEnd w:id="74268"/>
      <w:r>
        <w:rPr>
          <w:rFonts w:hint="cs"/>
          <w:rtl/>
          <w:lang w:eastAsia="he-IL"/>
        </w:rPr>
        <w:t xml:space="preserve">, רמת נגב, תמר, בני שמעון, אם זה היה אותו </w:t>
      </w:r>
      <w:bookmarkStart w:id="74269" w:name="_ETM_Q131_274000"/>
      <w:bookmarkEnd w:id="74269"/>
      <w:r>
        <w:rPr>
          <w:rFonts w:hint="cs"/>
          <w:rtl/>
          <w:lang w:eastAsia="he-IL"/>
        </w:rPr>
        <w:t xml:space="preserve">תכנון היינו יכולים לענות על – 90% מההכרה בכפרים הלא-מוכרים. </w:t>
      </w:r>
      <w:bookmarkStart w:id="74270" w:name="_ETM_Q131_284000"/>
      <w:bookmarkStart w:id="74271" w:name="_ETM_Q131_287000"/>
      <w:bookmarkEnd w:id="74270"/>
      <w:bookmarkEnd w:id="74271"/>
      <w:r>
        <w:rPr>
          <w:rFonts w:hint="cs"/>
          <w:rtl/>
          <w:lang w:eastAsia="he-IL"/>
        </w:rPr>
        <w:t>כבוד היושב-ראש, הסוגיה הכי כואבת והכי קשה והכי צודקת</w:t>
      </w:r>
      <w:r w:rsidR="00597063">
        <w:rPr>
          <w:rFonts w:hint="cs"/>
          <w:rtl/>
          <w:lang w:eastAsia="he-IL"/>
        </w:rPr>
        <w:t>,</w:t>
      </w:r>
      <w:r>
        <w:rPr>
          <w:rFonts w:hint="cs"/>
          <w:rtl/>
          <w:lang w:eastAsia="he-IL"/>
        </w:rPr>
        <w:t xml:space="preserve"> </w:t>
      </w:r>
      <w:bookmarkStart w:id="74272" w:name="_ETM_Q131_295000"/>
      <w:bookmarkEnd w:id="74272"/>
      <w:r>
        <w:rPr>
          <w:rFonts w:hint="cs"/>
          <w:rtl/>
          <w:lang w:eastAsia="he-IL"/>
        </w:rPr>
        <w:t>שצריכה לעניין את כולם</w:t>
      </w:r>
      <w:r w:rsidR="00597063">
        <w:rPr>
          <w:rFonts w:hint="cs"/>
          <w:rtl/>
          <w:lang w:eastAsia="he-IL"/>
        </w:rPr>
        <w:t>,</w:t>
      </w:r>
      <w:r>
        <w:rPr>
          <w:rFonts w:hint="cs"/>
          <w:rtl/>
          <w:lang w:eastAsia="he-IL"/>
        </w:rPr>
        <w:t xml:space="preserve"> היא הכרה בכפרים הלא-מוכרים בנגב </w:t>
      </w:r>
      <w:bookmarkStart w:id="74273" w:name="_ETM_Q131_303000"/>
      <w:bookmarkEnd w:id="74273"/>
      <w:r>
        <w:rPr>
          <w:rFonts w:hint="cs"/>
          <w:rtl/>
          <w:lang w:eastAsia="he-IL"/>
        </w:rPr>
        <w:t xml:space="preserve">ולהפסיק את הריסת הבתים ולספק פתרונות לאנשים, תודה רבה. </w:t>
      </w:r>
      <w:bookmarkStart w:id="74274" w:name="_ETM_Q131_309000"/>
      <w:bookmarkEnd w:id="74274"/>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תודה רבה. חברת הכנסת אימאן ח'טיב יאסין, בבקשה.</w:t>
      </w:r>
    </w:p>
    <w:p w:rsidR="00BB59CD" w:rsidRDefault="00BB59CD" w:rsidP="00BB59CD">
      <w:pPr>
        <w:rPr>
          <w:rtl/>
          <w:lang w:eastAsia="he-IL"/>
        </w:rPr>
      </w:pPr>
    </w:p>
    <w:p w:rsidR="00BB59CD" w:rsidRDefault="00BB59CD" w:rsidP="00BB59CD">
      <w:pPr>
        <w:pStyle w:val="a5"/>
        <w:keepNext/>
        <w:rPr>
          <w:rtl/>
        </w:rPr>
      </w:pPr>
      <w:bookmarkStart w:id="74275" w:name="ET_speaker_5918_5"/>
      <w:r>
        <w:rPr>
          <w:rStyle w:val="TagStyle"/>
          <w:rFonts w:hint="cs"/>
          <w:rtl/>
        </w:rPr>
        <w:t xml:space="preserve"> &lt;&lt; דובר &gt;&gt; </w:t>
      </w:r>
      <w:bookmarkStart w:id="74276" w:name="_Toc141197185"/>
      <w:bookmarkStart w:id="74277" w:name="_Toc141196921"/>
      <w:r>
        <w:rPr>
          <w:rFonts w:hint="cs"/>
          <w:rtl/>
        </w:rPr>
        <w:t>אימאן ח'טיב יאסין (רע"מ – הרשימה הערבית המאוחדת):</w:t>
      </w:r>
      <w:bookmarkEnd w:id="74276"/>
      <w:bookmarkEnd w:id="74277"/>
      <w:r>
        <w:rPr>
          <w:rStyle w:val="TagStyle"/>
          <w:rFonts w:hint="cs"/>
          <w:rtl/>
        </w:rPr>
        <w:t xml:space="preserve"> &lt;&lt; דובר &gt;&gt;</w:t>
      </w:r>
      <w:r>
        <w:rPr>
          <w:rFonts w:hint="cs"/>
          <w:rtl/>
        </w:rPr>
        <w:t xml:space="preserve"> </w:t>
      </w:r>
      <w:bookmarkEnd w:id="7427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כבוד היושב בראש, כנסת נכבדה, כנסת ריקה. </w:t>
      </w:r>
    </w:p>
    <w:p w:rsidR="00BB59CD" w:rsidRDefault="00BB59CD" w:rsidP="00BB59CD">
      <w:pPr>
        <w:rPr>
          <w:rtl/>
          <w:lang w:eastAsia="he-IL"/>
        </w:rPr>
      </w:pPr>
    </w:p>
    <w:p w:rsidR="00BB59CD" w:rsidRDefault="00BB59CD" w:rsidP="00BB59CD">
      <w:pPr>
        <w:pStyle w:val="af8"/>
        <w:keepNext/>
        <w:rPr>
          <w:rtl/>
        </w:rPr>
      </w:pPr>
      <w:bookmarkStart w:id="74278" w:name="ET_interruption_5761_7"/>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74278"/>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למה? אנחנו </w:t>
      </w:r>
      <w:bookmarkStart w:id="74279" w:name="_ETM_Q131_366000"/>
      <w:bookmarkEnd w:id="74279"/>
      <w:r>
        <w:rPr>
          <w:rFonts w:hint="cs"/>
          <w:rtl/>
          <w:lang w:eastAsia="he-IL"/>
        </w:rPr>
        <w:t>רוב.</w:t>
      </w:r>
    </w:p>
    <w:p w:rsidR="00BB59CD" w:rsidRDefault="00BB59CD" w:rsidP="00BB59CD">
      <w:pPr>
        <w:rPr>
          <w:rtl/>
          <w:lang w:eastAsia="he-IL"/>
        </w:rPr>
      </w:pPr>
    </w:p>
    <w:p w:rsidR="00BB59CD" w:rsidRDefault="00BB59CD" w:rsidP="00BB59CD">
      <w:pPr>
        <w:pStyle w:val="-"/>
        <w:keepNext/>
        <w:rPr>
          <w:rtl/>
        </w:rPr>
      </w:pPr>
      <w:bookmarkStart w:id="74280" w:name="ET_speakercontinue_5918_8"/>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74280"/>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נכון, אנחנו רוב עכשיו, את ואני והשר.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למה,</w:t>
      </w:r>
      <w:r>
        <w:rPr>
          <w:rFonts w:hint="cs"/>
          <w:lang w:eastAsia="he-IL"/>
        </w:rPr>
        <w:t xml:space="preserve"> </w:t>
      </w:r>
      <w:r>
        <w:rPr>
          <w:rFonts w:hint="cs"/>
          <w:rtl/>
          <w:lang w:eastAsia="he-IL"/>
        </w:rPr>
        <w:t xml:space="preserve">שווה, לא? </w:t>
      </w:r>
    </w:p>
    <w:p w:rsidR="00BB59CD" w:rsidRDefault="00BB59CD" w:rsidP="00BB59CD">
      <w:pPr>
        <w:rPr>
          <w:rtl/>
          <w:lang w:eastAsia="he-IL"/>
        </w:rPr>
      </w:pPr>
    </w:p>
    <w:p w:rsidR="00BB59CD" w:rsidRDefault="00BB59CD" w:rsidP="00BB59CD">
      <w:pPr>
        <w:pStyle w:val="-"/>
        <w:keepNext/>
        <w:rPr>
          <w:rtl/>
        </w:rPr>
      </w:pPr>
      <w:bookmarkStart w:id="74281" w:name="ET_speakercontinue_5918_9"/>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74281"/>
    </w:p>
    <w:p w:rsidR="00BB59CD" w:rsidRDefault="00BB59CD" w:rsidP="00337201">
      <w:pPr>
        <w:rPr>
          <w:rtl/>
          <w:lang w:eastAsia="he-IL"/>
        </w:rPr>
      </w:pPr>
    </w:p>
    <w:p w:rsidR="00BB59CD" w:rsidRDefault="00BB59CD" w:rsidP="00BB59CD">
      <w:pPr>
        <w:rPr>
          <w:rtl/>
          <w:lang w:eastAsia="he-IL"/>
        </w:rPr>
      </w:pPr>
      <w:bookmarkStart w:id="74282" w:name="_ETM_Q131_371000"/>
      <w:bookmarkEnd w:id="74282"/>
      <w:r>
        <w:rPr>
          <w:rFonts w:hint="cs"/>
          <w:rtl/>
          <w:lang w:eastAsia="he-IL"/>
        </w:rPr>
        <w:t xml:space="preserve">אה, יש שוויון, יש שניים-שניים. שוויון, רגע היסטורי. </w:t>
      </w:r>
    </w:p>
    <w:p w:rsidR="00BB59CD" w:rsidRDefault="00BB59CD" w:rsidP="00BB59CD">
      <w:pPr>
        <w:rPr>
          <w:rtl/>
          <w:lang w:eastAsia="he-IL"/>
        </w:rPr>
      </w:pPr>
      <w:bookmarkStart w:id="74283" w:name="_ETM_Q131_378000"/>
      <w:bookmarkEnd w:id="74283"/>
    </w:p>
    <w:p w:rsidR="00BB59CD" w:rsidRDefault="00BB59CD" w:rsidP="00BB59CD">
      <w:pPr>
        <w:pStyle w:val="af8"/>
        <w:keepNext/>
        <w:rPr>
          <w:rtl/>
        </w:rPr>
      </w:pPr>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בואי נעשה הפיכה </w:t>
      </w:r>
      <w:bookmarkStart w:id="74284" w:name="_ETM_Q131_374000"/>
      <w:bookmarkEnd w:id="74284"/>
      <w:r>
        <w:rPr>
          <w:rFonts w:hint="cs"/>
          <w:rtl/>
          <w:lang w:eastAsia="he-IL"/>
        </w:rPr>
        <w:t xml:space="preserve">משטרית. </w:t>
      </w:r>
    </w:p>
    <w:p w:rsidR="00BB59CD" w:rsidRDefault="00BB59CD" w:rsidP="00BB59CD">
      <w:pPr>
        <w:rPr>
          <w:rtl/>
        </w:rPr>
      </w:pPr>
    </w:p>
    <w:p w:rsidR="00BB59CD" w:rsidRDefault="00BB59CD" w:rsidP="00BB59CD">
      <w:pPr>
        <w:pStyle w:val="af8"/>
        <w:keepNext/>
        <w:rPr>
          <w:rtl/>
        </w:rPr>
      </w:pPr>
      <w:bookmarkStart w:id="74285" w:name="ET_interruption_5696_12"/>
      <w:r>
        <w:rPr>
          <w:rStyle w:val="TagStyle"/>
          <w:rFonts w:hint="cs"/>
          <w:rtl/>
        </w:rPr>
        <w:t xml:space="preserve">&lt;&lt; קריאה &gt;&gt; </w:t>
      </w:r>
      <w:r>
        <w:rPr>
          <w:rFonts w:hint="cs"/>
          <w:rtl/>
        </w:rPr>
        <w:t>יוסף עטאונה (חד"ש-תע"ל):</w:t>
      </w:r>
      <w:r>
        <w:rPr>
          <w:rStyle w:val="TagStyle"/>
          <w:rtl/>
        </w:rPr>
        <w:t xml:space="preserve"> &lt;&lt; קריאה &gt;&gt;</w:t>
      </w:r>
      <w:r>
        <w:rPr>
          <w:rFonts w:hint="cs"/>
          <w:rtl/>
        </w:rPr>
        <w:t xml:space="preserve"> </w:t>
      </w:r>
      <w:bookmarkEnd w:id="74285"/>
    </w:p>
    <w:p w:rsidR="00BB59CD" w:rsidRDefault="00BB59CD" w:rsidP="00337201">
      <w:pPr>
        <w:rPr>
          <w:rtl/>
          <w:lang w:eastAsia="he-IL"/>
        </w:rPr>
      </w:pPr>
    </w:p>
    <w:p w:rsidR="00BB59CD" w:rsidRDefault="00BB59CD" w:rsidP="00BB59CD">
      <w:pPr>
        <w:rPr>
          <w:rtl/>
          <w:lang w:eastAsia="he-IL"/>
        </w:rPr>
      </w:pPr>
      <w:r>
        <w:rPr>
          <w:rFonts w:hint="cs"/>
          <w:rtl/>
          <w:lang w:eastAsia="he-IL"/>
        </w:rPr>
        <w:t>שלושה-שניים.</w:t>
      </w:r>
    </w:p>
    <w:p w:rsidR="00BB59CD" w:rsidRDefault="00BB59CD" w:rsidP="00BB59CD">
      <w:pPr>
        <w:rPr>
          <w:rtl/>
          <w:lang w:eastAsia="he-IL"/>
        </w:rPr>
      </w:pPr>
    </w:p>
    <w:p w:rsidR="00BB59CD" w:rsidRDefault="00BB59CD" w:rsidP="00BB59CD">
      <w:pPr>
        <w:pStyle w:val="-"/>
        <w:keepNext/>
        <w:rPr>
          <w:rtl/>
        </w:rPr>
      </w:pPr>
      <w:bookmarkStart w:id="74286" w:name="ET_speakercontinue_5918_10"/>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74286"/>
    </w:p>
    <w:p w:rsidR="00BB59CD" w:rsidRDefault="00BB59CD" w:rsidP="00337201">
      <w:pPr>
        <w:rPr>
          <w:rtl/>
          <w:lang w:eastAsia="he-IL"/>
        </w:rPr>
      </w:pPr>
    </w:p>
    <w:p w:rsidR="00BB59CD" w:rsidRDefault="00597063" w:rsidP="00597063">
      <w:pPr>
        <w:rPr>
          <w:rtl/>
          <w:lang w:eastAsia="he-IL"/>
        </w:rPr>
      </w:pPr>
      <w:r>
        <w:rPr>
          <w:rFonts w:hint="cs"/>
          <w:rtl/>
          <w:lang w:eastAsia="he-IL"/>
        </w:rPr>
        <w:t xml:space="preserve">אז מה יש לנו כאן? </w:t>
      </w:r>
      <w:r w:rsidR="00BB59CD">
        <w:rPr>
          <w:rFonts w:hint="cs"/>
          <w:rtl/>
          <w:lang w:eastAsia="he-IL"/>
        </w:rPr>
        <w:t xml:space="preserve">אז יש לנו רוב </w:t>
      </w:r>
      <w:r>
        <w:rPr>
          <w:rFonts w:hint="eastAsia"/>
          <w:rtl/>
          <w:lang w:eastAsia="he-IL"/>
        </w:rPr>
        <w:t>–</w:t>
      </w:r>
      <w:r>
        <w:rPr>
          <w:rFonts w:hint="cs"/>
          <w:rtl/>
          <w:lang w:eastAsia="he-IL"/>
        </w:rPr>
        <w:t xml:space="preserve"> </w:t>
      </w:r>
      <w:r w:rsidR="00BB59CD">
        <w:rPr>
          <w:rFonts w:hint="cs"/>
          <w:rtl/>
          <w:lang w:eastAsia="he-IL"/>
        </w:rPr>
        <w:t xml:space="preserve">יעטיכ אל-עאפיה, </w:t>
      </w:r>
      <w:bookmarkStart w:id="74287" w:name="_ETM_Q131_389000"/>
      <w:bookmarkEnd w:id="74287"/>
      <w:r w:rsidR="00BB59CD">
        <w:rPr>
          <w:rFonts w:hint="cs"/>
          <w:rtl/>
          <w:lang w:eastAsia="he-IL"/>
        </w:rPr>
        <w:t>יוסף. אז מה יש לנו כאן? איזו ממשלה יש</w:t>
      </w:r>
      <w:r>
        <w:rPr>
          <w:rFonts w:hint="cs"/>
          <w:rtl/>
          <w:lang w:eastAsia="he-IL"/>
        </w:rPr>
        <w:t>,</w:t>
      </w:r>
      <w:r w:rsidR="00BB59CD">
        <w:rPr>
          <w:rFonts w:hint="cs"/>
          <w:rtl/>
          <w:lang w:eastAsia="he-IL"/>
        </w:rPr>
        <w:t xml:space="preserve"> ועל </w:t>
      </w:r>
      <w:bookmarkStart w:id="74288" w:name="_ETM_Q131_399000"/>
      <w:bookmarkEnd w:id="74288"/>
      <w:r w:rsidR="00BB59CD">
        <w:rPr>
          <w:rFonts w:hint="cs"/>
          <w:rtl/>
          <w:lang w:eastAsia="he-IL"/>
        </w:rPr>
        <w:t xml:space="preserve">מה המהומה ומה המאומה? תחילה בואו לא נשכח, ונזכיר </w:t>
      </w:r>
      <w:bookmarkStart w:id="74289" w:name="_ETM_Q131_411000"/>
      <w:bookmarkEnd w:id="74289"/>
      <w:r w:rsidR="00BB59CD">
        <w:rPr>
          <w:rFonts w:hint="cs"/>
          <w:rtl/>
          <w:lang w:eastAsia="he-IL"/>
        </w:rPr>
        <w:t xml:space="preserve">לכולנו מה אמור להיות תפקידה של ממשלה ואת מי היא </w:t>
      </w:r>
      <w:bookmarkStart w:id="74290" w:name="_ETM_Q131_419000"/>
      <w:bookmarkEnd w:id="74290"/>
      <w:r w:rsidR="00BB59CD">
        <w:rPr>
          <w:rFonts w:hint="cs"/>
          <w:rtl/>
          <w:lang w:eastAsia="he-IL"/>
        </w:rPr>
        <w:t>אמורה לשרת</w:t>
      </w:r>
      <w:r>
        <w:rPr>
          <w:rFonts w:hint="cs"/>
          <w:rtl/>
          <w:lang w:eastAsia="he-IL"/>
        </w:rPr>
        <w:t>.</w:t>
      </w:r>
      <w:r w:rsidR="00BB59CD">
        <w:rPr>
          <w:rFonts w:hint="cs"/>
          <w:rtl/>
          <w:lang w:eastAsia="he-IL"/>
        </w:rPr>
        <w:t xml:space="preserve"> אז קבלו דוגמאות לשרים שנמצאים בממשלה הזאת. </w:t>
      </w:r>
      <w:bookmarkStart w:id="74291" w:name="_ETM_Q131_739876"/>
      <w:bookmarkStart w:id="74292" w:name="_ETM_Q131_740064"/>
      <w:bookmarkStart w:id="74293" w:name="_ETM_Q131_740377"/>
      <w:bookmarkStart w:id="74294" w:name="_ETM_Q131_740502"/>
      <w:bookmarkEnd w:id="74291"/>
      <w:bookmarkEnd w:id="74292"/>
      <w:bookmarkEnd w:id="74293"/>
      <w:bookmarkEnd w:id="74294"/>
      <w:r w:rsidR="00BB59CD">
        <w:rPr>
          <w:rFonts w:hint="cs"/>
          <w:rtl/>
          <w:lang w:eastAsia="he-IL"/>
        </w:rPr>
        <w:t xml:space="preserve">תחילה, </w:t>
      </w:r>
      <w:bookmarkStart w:id="74295" w:name="_ETM_Q131_432000"/>
      <w:bookmarkEnd w:id="74295"/>
      <w:r w:rsidR="00BB59CD">
        <w:rPr>
          <w:rFonts w:hint="cs"/>
          <w:rtl/>
          <w:lang w:eastAsia="he-IL"/>
        </w:rPr>
        <w:t xml:space="preserve">אחד השרים הבכירים מבקש למחוק עם, או לפחות חלק מעם. </w:t>
      </w:r>
      <w:bookmarkStart w:id="74296" w:name="_ETM_Q131_442000"/>
      <w:bookmarkEnd w:id="74296"/>
      <w:r w:rsidR="00BB59CD">
        <w:rPr>
          <w:rFonts w:hint="cs"/>
          <w:rtl/>
          <w:lang w:eastAsia="he-IL"/>
        </w:rPr>
        <w:t xml:space="preserve">אזכיר לכם, הוא ביקש למחוק את חווארה. ושר אחר </w:t>
      </w:r>
      <w:bookmarkStart w:id="74297" w:name="_ETM_Q131_452000"/>
      <w:bookmarkEnd w:id="74297"/>
      <w:r w:rsidR="00BB59CD">
        <w:rPr>
          <w:rFonts w:hint="cs"/>
          <w:rtl/>
          <w:lang w:eastAsia="he-IL"/>
        </w:rPr>
        <w:t xml:space="preserve">באותה ממשלה מבקש לקבל עליונות ומתאר את העם היהודי כעם </w:t>
      </w:r>
      <w:bookmarkStart w:id="74298" w:name="_ETM_Q131_462000"/>
      <w:bookmarkEnd w:id="74298"/>
      <w:r w:rsidR="00BB59CD">
        <w:rPr>
          <w:rFonts w:hint="cs"/>
          <w:rtl/>
          <w:lang w:eastAsia="he-IL"/>
        </w:rPr>
        <w:t xml:space="preserve">הקדוש. אז עם קדוש הוא בראש וראשונה אמור </w:t>
      </w:r>
      <w:bookmarkStart w:id="74299" w:name="_ETM_Q131_474000"/>
      <w:bookmarkEnd w:id="74299"/>
      <w:r w:rsidR="00BB59CD">
        <w:rPr>
          <w:rFonts w:hint="cs"/>
          <w:rtl/>
          <w:lang w:eastAsia="he-IL"/>
        </w:rPr>
        <w:t xml:space="preserve">לכבד קודם כול את קדושת החיים ולהגן עליהם, כולל </w:t>
      </w:r>
      <w:bookmarkStart w:id="74300" w:name="_ETM_Q131_482000"/>
      <w:bookmarkEnd w:id="74300"/>
      <w:r w:rsidR="00BB59CD">
        <w:rPr>
          <w:rFonts w:hint="cs"/>
          <w:rtl/>
          <w:lang w:eastAsia="he-IL"/>
        </w:rPr>
        <w:t xml:space="preserve">של האחרים. כן, כולל של האחרים שהם לא מהעם שלו. </w:t>
      </w:r>
      <w:bookmarkStart w:id="74301" w:name="_ETM_Q131_488000"/>
      <w:bookmarkStart w:id="74302" w:name="_ETM_Q131_746133"/>
      <w:bookmarkStart w:id="74303" w:name="_ETM_Q131_746212"/>
      <w:bookmarkStart w:id="74304" w:name="_ETM_Q131_746663"/>
      <w:bookmarkStart w:id="74305" w:name="_ETM_Q131_746758"/>
      <w:bookmarkEnd w:id="74301"/>
      <w:bookmarkEnd w:id="74302"/>
      <w:bookmarkEnd w:id="74303"/>
      <w:bookmarkEnd w:id="74304"/>
      <w:bookmarkEnd w:id="74305"/>
      <w:r w:rsidR="00BB59CD">
        <w:rPr>
          <w:rFonts w:hint="cs"/>
          <w:rtl/>
          <w:lang w:eastAsia="he-IL"/>
        </w:rPr>
        <w:t xml:space="preserve">שר נוסף בממשלה הזאת, שר המשפטים, שאמור להיות אמון </w:t>
      </w:r>
      <w:bookmarkStart w:id="74306" w:name="_ETM_Q131_504000"/>
      <w:bookmarkEnd w:id="74306"/>
      <w:r w:rsidR="00BB59CD">
        <w:rPr>
          <w:rFonts w:hint="cs"/>
          <w:rtl/>
          <w:lang w:eastAsia="he-IL"/>
        </w:rPr>
        <w:t xml:space="preserve">על הצדק, אבל כמובן צדק במקום הזה אין – מה </w:t>
      </w:r>
      <w:bookmarkStart w:id="74307" w:name="_ETM_Q131_513000"/>
      <w:bookmarkEnd w:id="74307"/>
      <w:r w:rsidR="00BB59CD">
        <w:rPr>
          <w:rFonts w:hint="cs"/>
          <w:rtl/>
          <w:lang w:eastAsia="he-IL"/>
        </w:rPr>
        <w:t xml:space="preserve">הטענה של שר המשפטים לעילת הסבירות, ולמה היא צריכה להשתנות </w:t>
      </w:r>
      <w:bookmarkStart w:id="74308" w:name="_ETM_Q131_522000"/>
      <w:bookmarkEnd w:id="74308"/>
      <w:r w:rsidR="00BB59CD">
        <w:rPr>
          <w:rFonts w:hint="cs"/>
          <w:rtl/>
          <w:lang w:eastAsia="he-IL"/>
        </w:rPr>
        <w:t xml:space="preserve">או </w:t>
      </w:r>
      <w:r>
        <w:rPr>
          <w:rFonts w:hint="cs"/>
          <w:rtl/>
          <w:lang w:eastAsia="he-IL"/>
        </w:rPr>
        <w:t xml:space="preserve">צריך </w:t>
      </w:r>
      <w:r w:rsidR="00BB59CD">
        <w:rPr>
          <w:rFonts w:hint="cs"/>
          <w:rtl/>
          <w:lang w:eastAsia="he-IL"/>
        </w:rPr>
        <w:t xml:space="preserve">לבטל אותה, אם היה עולה בידו? לדעתו, צריך </w:t>
      </w:r>
      <w:bookmarkStart w:id="74309" w:name="_ETM_Q131_530000"/>
      <w:bookmarkEnd w:id="74309"/>
      <w:r w:rsidR="00BB59CD">
        <w:rPr>
          <w:rFonts w:hint="cs"/>
          <w:rtl/>
          <w:lang w:eastAsia="he-IL"/>
        </w:rPr>
        <w:t>לשנות את השיטה לבחירת השופטים</w:t>
      </w:r>
      <w:r>
        <w:rPr>
          <w:rFonts w:hint="cs"/>
          <w:rtl/>
          <w:lang w:eastAsia="he-IL"/>
        </w:rPr>
        <w:t>.</w:t>
      </w:r>
      <w:r w:rsidR="00BB59CD">
        <w:rPr>
          <w:rFonts w:hint="cs"/>
          <w:rtl/>
          <w:lang w:eastAsia="he-IL"/>
        </w:rPr>
        <w:t xml:space="preserve"> כי מה קורה בשטח? יהודים </w:t>
      </w:r>
      <w:bookmarkStart w:id="74310" w:name="_ETM_Q131_539000"/>
      <w:bookmarkEnd w:id="74310"/>
      <w:r w:rsidR="00BB59CD">
        <w:rPr>
          <w:rFonts w:hint="cs"/>
          <w:rtl/>
          <w:lang w:eastAsia="he-IL"/>
        </w:rPr>
        <w:t xml:space="preserve">בורחים מהגליל כי ערבים באים וקונים דירות בערים המעורבות, ולכן </w:t>
      </w:r>
      <w:bookmarkStart w:id="74311" w:name="_ETM_Q131_549000"/>
      <w:bookmarkEnd w:id="74311"/>
      <w:r w:rsidR="00BB59CD">
        <w:rPr>
          <w:rFonts w:hint="cs"/>
          <w:rtl/>
          <w:lang w:eastAsia="he-IL"/>
        </w:rPr>
        <w:t xml:space="preserve">זו סיבה מאוד מוצדקת לשנות את השיטה ולעשות רפורמה, </w:t>
      </w:r>
      <w:bookmarkStart w:id="74312" w:name="_ETM_Q131_560000"/>
      <w:bookmarkEnd w:id="74312"/>
      <w:r w:rsidR="00BB59CD">
        <w:rPr>
          <w:rFonts w:hint="cs"/>
          <w:rtl/>
          <w:lang w:eastAsia="he-IL"/>
        </w:rPr>
        <w:t xml:space="preserve">לדבריו. וכולנו יודעים שזאת בכלל לא רפורמה, זה </w:t>
      </w:r>
      <w:bookmarkStart w:id="74313" w:name="_ETM_Q131_571000"/>
      <w:bookmarkEnd w:id="74313"/>
      <w:r w:rsidR="00BB59CD">
        <w:rPr>
          <w:rFonts w:hint="cs"/>
          <w:rtl/>
          <w:lang w:eastAsia="he-IL"/>
        </w:rPr>
        <w:t xml:space="preserve">מהלך לשירות של אנשים ומגזרים ספציפיים ולא משהו אחר. </w:t>
      </w:r>
    </w:p>
    <w:p w:rsidR="00BB59CD" w:rsidRDefault="00BB59CD" w:rsidP="00BB59CD">
      <w:pPr>
        <w:rPr>
          <w:rtl/>
          <w:lang w:eastAsia="he-IL"/>
        </w:rPr>
      </w:pPr>
    </w:p>
    <w:p w:rsidR="00BB59CD" w:rsidRDefault="00BB59CD" w:rsidP="00D94B83">
      <w:pPr>
        <w:rPr>
          <w:rtl/>
          <w:lang w:eastAsia="he-IL"/>
        </w:rPr>
      </w:pPr>
      <w:bookmarkStart w:id="74314" w:name="_ETM_Q131_586000"/>
      <w:bookmarkEnd w:id="74314"/>
      <w:r>
        <w:rPr>
          <w:rFonts w:hint="cs"/>
          <w:rtl/>
          <w:lang w:eastAsia="he-IL"/>
        </w:rPr>
        <w:t>תגידו</w:t>
      </w:r>
      <w:bookmarkStart w:id="74315" w:name="_ETM_Q131_587000"/>
      <w:bookmarkEnd w:id="74315"/>
      <w:r>
        <w:rPr>
          <w:rFonts w:hint="cs"/>
          <w:rtl/>
          <w:lang w:eastAsia="he-IL"/>
        </w:rPr>
        <w:t xml:space="preserve"> לי, בבקשה, מה ההבדל בין האנשים האלה לאנשים מהמשטרים </w:t>
      </w:r>
      <w:bookmarkStart w:id="74316" w:name="_ETM_Q131_596000"/>
      <w:bookmarkEnd w:id="74316"/>
      <w:r>
        <w:rPr>
          <w:rFonts w:hint="cs"/>
          <w:rtl/>
          <w:lang w:eastAsia="he-IL"/>
        </w:rPr>
        <w:t>האפלים, בזמנים האפלים, שהאמינו בטוהר הגזע</w:t>
      </w:r>
      <w:r w:rsidR="00597063">
        <w:rPr>
          <w:rFonts w:hint="cs"/>
          <w:rtl/>
          <w:lang w:eastAsia="he-IL"/>
        </w:rPr>
        <w:t>,</w:t>
      </w:r>
      <w:r>
        <w:rPr>
          <w:rFonts w:hint="cs"/>
          <w:rtl/>
          <w:lang w:eastAsia="he-IL"/>
        </w:rPr>
        <w:t xml:space="preserve"> </w:t>
      </w:r>
      <w:bookmarkStart w:id="74317" w:name="_ETM_Q131_605000"/>
      <w:bookmarkEnd w:id="74317"/>
      <w:r>
        <w:rPr>
          <w:rFonts w:hint="cs"/>
          <w:rtl/>
          <w:lang w:eastAsia="he-IL"/>
        </w:rPr>
        <w:t>וכולנו יודעים מה הייתה התוצאה</w:t>
      </w:r>
      <w:r w:rsidR="00597063">
        <w:rPr>
          <w:rFonts w:hint="cs"/>
          <w:rtl/>
          <w:lang w:eastAsia="he-IL"/>
        </w:rPr>
        <w:t>?</w:t>
      </w:r>
      <w:r>
        <w:rPr>
          <w:rFonts w:hint="cs"/>
          <w:rtl/>
          <w:lang w:eastAsia="he-IL"/>
        </w:rPr>
        <w:t xml:space="preserve"> מה ההבדל בינם לבין העובדה </w:t>
      </w:r>
      <w:bookmarkStart w:id="74318" w:name="_ETM_Q131_613000"/>
      <w:bookmarkEnd w:id="74318"/>
      <w:r>
        <w:rPr>
          <w:rFonts w:hint="cs"/>
          <w:rtl/>
          <w:lang w:eastAsia="he-IL"/>
        </w:rPr>
        <w:t xml:space="preserve">שקורית כאן במדינת ישראל 2023, כאשר חייהם של הערבים </w:t>
      </w:r>
      <w:bookmarkStart w:id="74319" w:name="_ETM_Q131_626000"/>
      <w:bookmarkEnd w:id="74319"/>
      <w:r>
        <w:rPr>
          <w:rFonts w:hint="cs"/>
          <w:rtl/>
          <w:lang w:eastAsia="he-IL"/>
        </w:rPr>
        <w:t>אינם חשובים כלל</w:t>
      </w:r>
      <w:r w:rsidR="00D94B83">
        <w:rPr>
          <w:rFonts w:hint="cs"/>
          <w:rtl/>
          <w:lang w:eastAsia="he-IL"/>
        </w:rPr>
        <w:t>,</w:t>
      </w:r>
      <w:r>
        <w:rPr>
          <w:rFonts w:hint="cs"/>
          <w:rtl/>
          <w:lang w:eastAsia="he-IL"/>
        </w:rPr>
        <w:t xml:space="preserve"> כאשר הרוב עומד דומם, והרשויות, במקום </w:t>
      </w:r>
      <w:bookmarkStart w:id="74320" w:name="_ETM_Q131_637000"/>
      <w:bookmarkEnd w:id="74320"/>
      <w:r>
        <w:rPr>
          <w:rFonts w:hint="cs"/>
          <w:rtl/>
          <w:lang w:eastAsia="he-IL"/>
        </w:rPr>
        <w:t xml:space="preserve">שימלאו את תפקידן בהגנה על האזרחים הערבים, הרשויות מעלימות </w:t>
      </w:r>
      <w:bookmarkStart w:id="74321" w:name="_ETM_Q131_644000"/>
      <w:bookmarkEnd w:id="74321"/>
      <w:r>
        <w:rPr>
          <w:rFonts w:hint="cs"/>
          <w:rtl/>
          <w:lang w:eastAsia="he-IL"/>
        </w:rPr>
        <w:t>עין ועומדות ומסתכלות מהצד</w:t>
      </w:r>
      <w:r w:rsidR="00D94B83">
        <w:rPr>
          <w:rFonts w:hint="cs"/>
          <w:rtl/>
          <w:lang w:eastAsia="he-IL"/>
        </w:rPr>
        <w:t>?</w:t>
      </w:r>
      <w:r>
        <w:rPr>
          <w:rFonts w:hint="cs"/>
          <w:rtl/>
          <w:lang w:eastAsia="he-IL"/>
        </w:rPr>
        <w:t xml:space="preserve"> </w:t>
      </w:r>
    </w:p>
    <w:p w:rsidR="00BB59CD" w:rsidRDefault="00BB59CD" w:rsidP="00BB59CD">
      <w:pPr>
        <w:rPr>
          <w:rtl/>
          <w:lang w:eastAsia="he-IL"/>
        </w:rPr>
      </w:pPr>
    </w:p>
    <w:p w:rsidR="00BB59CD" w:rsidRDefault="00BB59CD" w:rsidP="00D94B83">
      <w:pPr>
        <w:rPr>
          <w:rtl/>
          <w:lang w:eastAsia="he-IL"/>
        </w:rPr>
      </w:pPr>
      <w:bookmarkStart w:id="74322" w:name="_ETM_Q131_650000"/>
      <w:bookmarkEnd w:id="74322"/>
      <w:r>
        <w:rPr>
          <w:rFonts w:hint="cs"/>
          <w:rtl/>
          <w:lang w:eastAsia="he-IL"/>
        </w:rPr>
        <w:t>שר אחר בממשלה הזאת, שהיה אמור</w:t>
      </w:r>
      <w:bookmarkStart w:id="74323" w:name="_ETM_Q131_656000"/>
      <w:bookmarkEnd w:id="74323"/>
      <w:r>
        <w:rPr>
          <w:rFonts w:hint="cs"/>
          <w:rtl/>
          <w:lang w:eastAsia="he-IL"/>
        </w:rPr>
        <w:t xml:space="preserve"> להיות אמון על הביטחון האישי של האזרחים, האמת שלא מתאים </w:t>
      </w:r>
      <w:bookmarkStart w:id="74324" w:name="_ETM_Q131_664000"/>
      <w:bookmarkEnd w:id="74324"/>
      <w:r>
        <w:rPr>
          <w:rFonts w:hint="cs"/>
          <w:rtl/>
          <w:lang w:eastAsia="he-IL"/>
        </w:rPr>
        <w:t>לו, ומתאים לו השם שרכש לעצמו ושינה</w:t>
      </w:r>
      <w:r w:rsidR="00D94B83">
        <w:rPr>
          <w:rFonts w:hint="cs"/>
          <w:rtl/>
          <w:lang w:eastAsia="he-IL"/>
        </w:rPr>
        <w:t>,</w:t>
      </w:r>
      <w:r>
        <w:rPr>
          <w:rFonts w:hint="cs"/>
          <w:rtl/>
          <w:lang w:eastAsia="he-IL"/>
        </w:rPr>
        <w:t xml:space="preserve"> </w:t>
      </w:r>
      <w:bookmarkStart w:id="74325" w:name="_ETM_Q131_673000"/>
      <w:bookmarkEnd w:id="74325"/>
      <w:r>
        <w:rPr>
          <w:rFonts w:hint="cs"/>
          <w:rtl/>
          <w:lang w:eastAsia="he-IL"/>
        </w:rPr>
        <w:t>מהיום הראשון</w:t>
      </w:r>
      <w:r w:rsidR="00D94B83">
        <w:rPr>
          <w:rFonts w:hint="cs"/>
          <w:rtl/>
          <w:lang w:eastAsia="he-IL"/>
        </w:rPr>
        <w:t>,</w:t>
      </w:r>
      <w:r>
        <w:rPr>
          <w:rFonts w:hint="cs"/>
          <w:rtl/>
          <w:lang w:eastAsia="he-IL"/>
        </w:rPr>
        <w:t xml:space="preserve"> לשר לביטחון לאומי, כי לפי שיקולו וראות</w:t>
      </w:r>
      <w:bookmarkStart w:id="74326" w:name="_ETM_Q131_683000"/>
      <w:bookmarkEnd w:id="74326"/>
      <w:r>
        <w:rPr>
          <w:rFonts w:hint="cs"/>
          <w:rtl/>
          <w:lang w:eastAsia="he-IL"/>
        </w:rPr>
        <w:t xml:space="preserve"> עיניו הביטחון האישי לא צריך להיות של כלל האזרחים במדינת</w:t>
      </w:r>
      <w:bookmarkStart w:id="74327" w:name="_ETM_Q131_693000"/>
      <w:bookmarkEnd w:id="74327"/>
      <w:r>
        <w:rPr>
          <w:rFonts w:hint="cs"/>
          <w:rtl/>
          <w:lang w:eastAsia="he-IL"/>
        </w:rPr>
        <w:t xml:space="preserve"> ישראל, שהם לא שייכים כולם לאותו לאום. לכן הוא </w:t>
      </w:r>
      <w:bookmarkStart w:id="74328" w:name="_ETM_Q131_701000"/>
      <w:bookmarkEnd w:id="74328"/>
      <w:r>
        <w:rPr>
          <w:rFonts w:hint="cs"/>
          <w:rtl/>
          <w:lang w:eastAsia="he-IL"/>
        </w:rPr>
        <w:t xml:space="preserve">השר לביטחון לאומי, רק לביטחון של בני הלאום שלו, בני </w:t>
      </w:r>
      <w:bookmarkStart w:id="74329" w:name="_ETM_Q131_710000"/>
      <w:bookmarkEnd w:id="74329"/>
      <w:r>
        <w:rPr>
          <w:rFonts w:hint="cs"/>
          <w:rtl/>
          <w:lang w:eastAsia="he-IL"/>
        </w:rPr>
        <w:t xml:space="preserve">הלאום היהודי. אחרת, המציאות הייתה אחרת. והאמת המפתיעה, </w:t>
      </w:r>
      <w:bookmarkStart w:id="74330" w:name="_ETM_Q131_725000"/>
      <w:bookmarkEnd w:id="74330"/>
      <w:r>
        <w:rPr>
          <w:rFonts w:hint="cs"/>
          <w:rtl/>
          <w:lang w:eastAsia="he-IL"/>
        </w:rPr>
        <w:t xml:space="preserve">ששמו שר לביטחון של האנשים </w:t>
      </w:r>
      <w:r w:rsidR="00D94B83">
        <w:rPr>
          <w:rFonts w:hint="cs"/>
          <w:rtl/>
          <w:lang w:eastAsia="he-IL"/>
        </w:rPr>
        <w:t>כ</w:t>
      </w:r>
      <w:r>
        <w:rPr>
          <w:rFonts w:hint="cs"/>
          <w:rtl/>
          <w:lang w:eastAsia="he-IL"/>
        </w:rPr>
        <w:t>שבינתיים החלק שמשלם את המחירי</w:t>
      </w:r>
      <w:bookmarkStart w:id="74331" w:name="_ETM_Q131_736000"/>
      <w:bookmarkEnd w:id="74331"/>
      <w:r>
        <w:rPr>
          <w:rFonts w:hint="cs"/>
          <w:rtl/>
          <w:lang w:eastAsia="he-IL"/>
        </w:rPr>
        <w:t xml:space="preserve">ם, לא רק שהוא לא נמצא באג'נדה של אותו </w:t>
      </w:r>
      <w:bookmarkStart w:id="74332" w:name="_ETM_Q131_738000"/>
      <w:bookmarkEnd w:id="74332"/>
      <w:r>
        <w:rPr>
          <w:rFonts w:hint="cs"/>
          <w:rtl/>
          <w:lang w:eastAsia="he-IL"/>
        </w:rPr>
        <w:t xml:space="preserve">שר </w:t>
      </w:r>
      <w:r w:rsidR="00D94B83">
        <w:rPr>
          <w:rFonts w:hint="eastAsia"/>
          <w:rtl/>
          <w:lang w:eastAsia="he-IL"/>
        </w:rPr>
        <w:t>–</w:t>
      </w:r>
      <w:r w:rsidR="00D94B83">
        <w:rPr>
          <w:rFonts w:hint="cs"/>
          <w:rtl/>
          <w:lang w:eastAsia="he-IL"/>
        </w:rPr>
        <w:t xml:space="preserve"> </w:t>
      </w:r>
      <w:r>
        <w:rPr>
          <w:rFonts w:hint="cs"/>
          <w:rtl/>
          <w:lang w:eastAsia="he-IL"/>
        </w:rPr>
        <w:t xml:space="preserve">הוא פעל והאמין כל חייו ולאורך כל דרכו על </w:t>
      </w:r>
      <w:bookmarkStart w:id="74333" w:name="_ETM_Q131_754000"/>
      <w:bookmarkEnd w:id="74333"/>
      <w:r>
        <w:rPr>
          <w:rFonts w:hint="cs"/>
          <w:rtl/>
          <w:lang w:eastAsia="he-IL"/>
        </w:rPr>
        <w:t xml:space="preserve">מנת לגרום נזק ולגרש את הערבים. </w:t>
      </w:r>
      <w:bookmarkStart w:id="74334" w:name="_ETM_Q131_767000"/>
      <w:bookmarkStart w:id="74335" w:name="TOR_Q132"/>
      <w:bookmarkEnd w:id="74334"/>
      <w:bookmarkEnd w:id="74335"/>
      <w:r>
        <w:rPr>
          <w:rFonts w:hint="cs"/>
          <w:rtl/>
          <w:lang w:eastAsia="he-IL"/>
        </w:rPr>
        <w:t xml:space="preserve">(אומרת בערבית: כמו שאומרים בערבית, האכיל את החתול בחלב, אחי יוסף, שישמור על החלב. ברור מה התוצאה.) ואת התוצאה אנחנו רואים בשטח. </w:t>
      </w:r>
      <w:bookmarkStart w:id="74336" w:name="_ETM_Q132_185109"/>
      <w:bookmarkEnd w:id="74336"/>
    </w:p>
    <w:p w:rsidR="00BB59CD" w:rsidRDefault="00BB59CD" w:rsidP="00BB59CD">
      <w:pPr>
        <w:rPr>
          <w:rtl/>
          <w:lang w:eastAsia="he-IL"/>
        </w:rPr>
      </w:pPr>
    </w:p>
    <w:p w:rsidR="00BB59CD" w:rsidRDefault="00BB59CD" w:rsidP="00D94B83">
      <w:pPr>
        <w:rPr>
          <w:rtl/>
          <w:lang w:eastAsia="he-IL"/>
        </w:rPr>
      </w:pPr>
      <w:r>
        <w:rPr>
          <w:rFonts w:hint="cs"/>
          <w:rtl/>
        </w:rPr>
        <w:t xml:space="preserve">אז </w:t>
      </w:r>
      <w:bookmarkStart w:id="74337" w:name="_ETM_Q132_185319"/>
      <w:bookmarkEnd w:id="74337"/>
      <w:r>
        <w:rPr>
          <w:rFonts w:hint="cs"/>
          <w:rtl/>
        </w:rPr>
        <w:t xml:space="preserve">באמת </w:t>
      </w:r>
      <w:bookmarkStart w:id="74338" w:name="_ETM_Q132_186140"/>
      <w:bookmarkEnd w:id="74338"/>
      <w:r>
        <w:rPr>
          <w:rFonts w:hint="cs"/>
          <w:rtl/>
        </w:rPr>
        <w:t xml:space="preserve">על </w:t>
      </w:r>
      <w:bookmarkStart w:id="74339" w:name="_ETM_Q132_186350"/>
      <w:bookmarkEnd w:id="74339"/>
      <w:r>
        <w:rPr>
          <w:rFonts w:hint="cs"/>
          <w:rtl/>
        </w:rPr>
        <w:t xml:space="preserve">מה </w:t>
      </w:r>
      <w:bookmarkStart w:id="74340" w:name="_ETM_Q132_186529"/>
      <w:bookmarkEnd w:id="74340"/>
      <w:r>
        <w:rPr>
          <w:rFonts w:hint="cs"/>
          <w:rtl/>
        </w:rPr>
        <w:t xml:space="preserve">מדברים </w:t>
      </w:r>
      <w:bookmarkStart w:id="74341" w:name="_ETM_Q132_187100"/>
      <w:bookmarkEnd w:id="74341"/>
      <w:r>
        <w:rPr>
          <w:rFonts w:hint="cs"/>
          <w:rtl/>
        </w:rPr>
        <w:t xml:space="preserve">כאן? </w:t>
      </w:r>
      <w:bookmarkStart w:id="74342" w:name="_ETM_Q132_190180"/>
      <w:bookmarkEnd w:id="74342"/>
      <w:r>
        <w:rPr>
          <w:rFonts w:hint="cs"/>
          <w:rtl/>
        </w:rPr>
        <w:t xml:space="preserve">בחודשים </w:t>
      </w:r>
      <w:bookmarkStart w:id="74343" w:name="_ETM_Q132_190990"/>
      <w:bookmarkEnd w:id="74343"/>
      <w:r>
        <w:rPr>
          <w:rFonts w:hint="cs"/>
          <w:rtl/>
        </w:rPr>
        <w:t xml:space="preserve">האחרונים </w:t>
      </w:r>
      <w:bookmarkStart w:id="74344" w:name="_ETM_Q132_193920"/>
      <w:bookmarkEnd w:id="74344"/>
      <w:r>
        <w:rPr>
          <w:rFonts w:hint="cs"/>
          <w:rtl/>
        </w:rPr>
        <w:t xml:space="preserve">מאז </w:t>
      </w:r>
      <w:bookmarkStart w:id="74345" w:name="_ETM_Q132_194310"/>
      <w:bookmarkStart w:id="74346" w:name="_ETM_Q132_194400"/>
      <w:bookmarkEnd w:id="74345"/>
      <w:bookmarkEnd w:id="74346"/>
      <w:r>
        <w:rPr>
          <w:rFonts w:hint="cs"/>
          <w:rtl/>
        </w:rPr>
        <w:t xml:space="preserve">תחילתו </w:t>
      </w:r>
      <w:bookmarkStart w:id="74347" w:name="_ETM_Q132_194910"/>
      <w:bookmarkEnd w:id="74347"/>
      <w:r>
        <w:rPr>
          <w:rFonts w:hint="cs"/>
          <w:rtl/>
        </w:rPr>
        <w:t xml:space="preserve">של </w:t>
      </w:r>
      <w:bookmarkStart w:id="74348" w:name="_ETM_Q132_195150"/>
      <w:bookmarkEnd w:id="74348"/>
      <w:r>
        <w:rPr>
          <w:rFonts w:hint="cs"/>
          <w:rtl/>
        </w:rPr>
        <w:t xml:space="preserve">המושב </w:t>
      </w:r>
      <w:bookmarkStart w:id="74349" w:name="_ETM_Q132_195750"/>
      <w:bookmarkEnd w:id="74349"/>
      <w:r>
        <w:rPr>
          <w:rFonts w:hint="cs"/>
          <w:rtl/>
        </w:rPr>
        <w:t>הזה</w:t>
      </w:r>
      <w:bookmarkStart w:id="74350" w:name="_ETM_Q132_198000"/>
      <w:bookmarkStart w:id="74351" w:name="_ETM_Q132_198590"/>
      <w:bookmarkEnd w:id="74350"/>
      <w:bookmarkEnd w:id="74351"/>
      <w:r>
        <w:rPr>
          <w:rFonts w:hint="cs"/>
          <w:rtl/>
        </w:rPr>
        <w:t xml:space="preserve"> המושג </w:t>
      </w:r>
      <w:bookmarkStart w:id="74352" w:name="_ETM_Q132_198829"/>
      <w:bookmarkEnd w:id="74352"/>
      <w:r>
        <w:rPr>
          <w:rFonts w:hint="cs"/>
          <w:rtl/>
        </w:rPr>
        <w:t xml:space="preserve">המרכזי </w:t>
      </w:r>
      <w:bookmarkStart w:id="74353" w:name="_ETM_Q132_201189"/>
      <w:bookmarkEnd w:id="74353"/>
      <w:r>
        <w:rPr>
          <w:rFonts w:hint="cs"/>
          <w:rtl/>
        </w:rPr>
        <w:t xml:space="preserve">והפחד </w:t>
      </w:r>
      <w:bookmarkStart w:id="74354" w:name="_ETM_Q132_202329"/>
      <w:bookmarkEnd w:id="74354"/>
      <w:r>
        <w:rPr>
          <w:rFonts w:hint="cs"/>
          <w:rtl/>
        </w:rPr>
        <w:t xml:space="preserve">הענק </w:t>
      </w:r>
      <w:bookmarkStart w:id="74355" w:name="_ETM_Q132_203989"/>
      <w:bookmarkEnd w:id="74355"/>
      <w:r>
        <w:rPr>
          <w:rFonts w:hint="cs"/>
          <w:rtl/>
        </w:rPr>
        <w:t xml:space="preserve">והדיבור </w:t>
      </w:r>
      <w:bookmarkStart w:id="74356" w:name="_ETM_Q132_207980"/>
      <w:bookmarkEnd w:id="74356"/>
      <w:r>
        <w:rPr>
          <w:rFonts w:hint="cs"/>
          <w:rtl/>
        </w:rPr>
        <w:t xml:space="preserve">במקום </w:t>
      </w:r>
      <w:bookmarkStart w:id="74357" w:name="_ETM_Q132_208820"/>
      <w:bookmarkEnd w:id="74357"/>
      <w:r>
        <w:rPr>
          <w:rFonts w:hint="cs"/>
          <w:rtl/>
        </w:rPr>
        <w:t xml:space="preserve">הזה </w:t>
      </w:r>
      <w:bookmarkStart w:id="74358" w:name="_ETM_Q132_210130"/>
      <w:bookmarkEnd w:id="74358"/>
      <w:r>
        <w:rPr>
          <w:rFonts w:hint="cs"/>
          <w:rtl/>
        </w:rPr>
        <w:t xml:space="preserve">סבים </w:t>
      </w:r>
      <w:bookmarkStart w:id="74359" w:name="_ETM_Q132_210970"/>
      <w:bookmarkEnd w:id="74359"/>
      <w:r>
        <w:rPr>
          <w:rFonts w:hint="cs"/>
          <w:rtl/>
        </w:rPr>
        <w:t xml:space="preserve">סביב </w:t>
      </w:r>
      <w:bookmarkStart w:id="74360" w:name="_ETM_Q132_212100"/>
      <w:bookmarkEnd w:id="74360"/>
      <w:r>
        <w:rPr>
          <w:rFonts w:hint="cs"/>
          <w:rtl/>
        </w:rPr>
        <w:t xml:space="preserve">המושג </w:t>
      </w:r>
      <w:bookmarkStart w:id="74361" w:name="_ETM_Q132_213239"/>
      <w:bookmarkEnd w:id="74361"/>
      <w:r>
        <w:rPr>
          <w:rFonts w:hint="cs"/>
          <w:rtl/>
        </w:rPr>
        <w:t xml:space="preserve">דמוקרטיה. </w:t>
      </w:r>
      <w:bookmarkStart w:id="74362" w:name="_ETM_Q132_216249"/>
      <w:bookmarkEnd w:id="74362"/>
      <w:r>
        <w:rPr>
          <w:rFonts w:hint="cs"/>
          <w:rtl/>
        </w:rPr>
        <w:t xml:space="preserve">בקרים </w:t>
      </w:r>
      <w:bookmarkStart w:id="74363" w:name="_ETM_Q132_216670"/>
      <w:bookmarkEnd w:id="74363"/>
      <w:r>
        <w:rPr>
          <w:rFonts w:hint="cs"/>
          <w:rtl/>
        </w:rPr>
        <w:t xml:space="preserve">וערבים </w:t>
      </w:r>
      <w:bookmarkStart w:id="74364" w:name="_ETM_Q132_218280"/>
      <w:bookmarkEnd w:id="74364"/>
      <w:r>
        <w:rPr>
          <w:rFonts w:hint="cs"/>
          <w:rtl/>
        </w:rPr>
        <w:t xml:space="preserve">עולים </w:t>
      </w:r>
      <w:bookmarkStart w:id="74365" w:name="_ETM_Q132_218670"/>
      <w:bookmarkEnd w:id="74365"/>
      <w:r>
        <w:rPr>
          <w:rFonts w:hint="cs"/>
          <w:rtl/>
        </w:rPr>
        <w:t xml:space="preserve">לכאן </w:t>
      </w:r>
      <w:bookmarkStart w:id="74366" w:name="_ETM_Q132_218970"/>
      <w:bookmarkEnd w:id="74366"/>
      <w:r>
        <w:rPr>
          <w:rFonts w:hint="cs"/>
          <w:rtl/>
        </w:rPr>
        <w:t xml:space="preserve">אנשים </w:t>
      </w:r>
      <w:bookmarkStart w:id="74367" w:name="_ETM_Q132_220650"/>
      <w:bookmarkEnd w:id="74367"/>
      <w:r>
        <w:rPr>
          <w:rFonts w:hint="cs"/>
          <w:rtl/>
        </w:rPr>
        <w:t xml:space="preserve">משני </w:t>
      </w:r>
      <w:bookmarkStart w:id="74368" w:name="_ETM_Q132_221100"/>
      <w:bookmarkEnd w:id="74368"/>
      <w:r>
        <w:rPr>
          <w:rFonts w:hint="cs"/>
          <w:rtl/>
        </w:rPr>
        <w:t>הצדדים</w:t>
      </w:r>
      <w:bookmarkStart w:id="74369" w:name="_ETM_Q132_223190"/>
      <w:bookmarkEnd w:id="74369"/>
      <w:r>
        <w:rPr>
          <w:rFonts w:hint="cs"/>
          <w:rtl/>
        </w:rPr>
        <w:t xml:space="preserve"> – כן, </w:t>
      </w:r>
      <w:bookmarkStart w:id="74370" w:name="_ETM_Q132_223909"/>
      <w:bookmarkEnd w:id="74370"/>
      <w:r>
        <w:rPr>
          <w:rFonts w:hint="cs"/>
          <w:rtl/>
        </w:rPr>
        <w:t xml:space="preserve">יש </w:t>
      </w:r>
      <w:bookmarkStart w:id="74371" w:name="_ETM_Q132_224210"/>
      <w:bookmarkEnd w:id="74371"/>
      <w:r>
        <w:rPr>
          <w:rFonts w:hint="cs"/>
          <w:rtl/>
        </w:rPr>
        <w:t xml:space="preserve">כאן </w:t>
      </w:r>
      <w:bookmarkStart w:id="74372" w:name="_ETM_Q132_224450"/>
      <w:bookmarkEnd w:id="74372"/>
      <w:r>
        <w:rPr>
          <w:rFonts w:hint="cs"/>
          <w:rtl/>
        </w:rPr>
        <w:t xml:space="preserve">שני </w:t>
      </w:r>
      <w:bookmarkStart w:id="74373" w:name="_ETM_Q132_224750"/>
      <w:bookmarkEnd w:id="74373"/>
      <w:r>
        <w:rPr>
          <w:rFonts w:hint="cs"/>
          <w:rtl/>
        </w:rPr>
        <w:t xml:space="preserve">צדדים </w:t>
      </w:r>
      <w:bookmarkStart w:id="74374" w:name="_ETM_Q132_225409"/>
      <w:bookmarkEnd w:id="74374"/>
      <w:r>
        <w:rPr>
          <w:rFonts w:hint="cs"/>
          <w:rtl/>
        </w:rPr>
        <w:t xml:space="preserve">במפורש – </w:t>
      </w:r>
      <w:bookmarkStart w:id="74375" w:name="_ETM_Q132_227239"/>
      <w:bookmarkEnd w:id="74375"/>
      <w:r>
        <w:rPr>
          <w:rFonts w:hint="cs"/>
          <w:rtl/>
        </w:rPr>
        <w:t>ו</w:t>
      </w:r>
      <w:bookmarkStart w:id="74376" w:name="_ETM_Q132_227570"/>
      <w:bookmarkEnd w:id="74376"/>
      <w:r>
        <w:rPr>
          <w:rFonts w:hint="cs"/>
          <w:rtl/>
        </w:rPr>
        <w:t xml:space="preserve">מדברים </w:t>
      </w:r>
      <w:bookmarkStart w:id="74377" w:name="_ETM_Q132_228109"/>
      <w:bookmarkEnd w:id="74377"/>
      <w:r>
        <w:rPr>
          <w:rFonts w:hint="cs"/>
          <w:rtl/>
        </w:rPr>
        <w:t xml:space="preserve">על </w:t>
      </w:r>
      <w:bookmarkStart w:id="74378" w:name="_ETM_Q132_228289"/>
      <w:bookmarkEnd w:id="74378"/>
      <w:r>
        <w:rPr>
          <w:rFonts w:hint="cs"/>
          <w:rtl/>
        </w:rPr>
        <w:t>הדמוקרטיה</w:t>
      </w:r>
      <w:bookmarkStart w:id="74379" w:name="_ETM_Q132_231139"/>
      <w:bookmarkEnd w:id="74379"/>
      <w:r>
        <w:rPr>
          <w:rFonts w:hint="cs"/>
          <w:rtl/>
        </w:rPr>
        <w:t>, כל</w:t>
      </w:r>
      <w:bookmarkStart w:id="74380" w:name="_ETM_Q132_231589"/>
      <w:bookmarkEnd w:id="74380"/>
      <w:r>
        <w:rPr>
          <w:rFonts w:hint="cs"/>
          <w:rtl/>
        </w:rPr>
        <w:t xml:space="preserve"> אחד </w:t>
      </w:r>
      <w:bookmarkStart w:id="74381" w:name="_ETM_Q132_232920"/>
      <w:bookmarkEnd w:id="74381"/>
      <w:r>
        <w:rPr>
          <w:rFonts w:hint="cs"/>
          <w:rtl/>
        </w:rPr>
        <w:t xml:space="preserve">מהמקום </w:t>
      </w:r>
      <w:bookmarkStart w:id="74382" w:name="_ETM_Q132_234149"/>
      <w:bookmarkEnd w:id="74382"/>
      <w:r>
        <w:rPr>
          <w:rFonts w:hint="cs"/>
          <w:rtl/>
        </w:rPr>
        <w:t xml:space="preserve">ומנקודת </w:t>
      </w:r>
      <w:bookmarkStart w:id="74383" w:name="_ETM_Q132_235019"/>
      <w:bookmarkEnd w:id="74383"/>
      <w:r>
        <w:rPr>
          <w:rFonts w:hint="cs"/>
          <w:rtl/>
        </w:rPr>
        <w:t xml:space="preserve">המבט </w:t>
      </w:r>
      <w:bookmarkStart w:id="74384" w:name="_ETM_Q132_235530"/>
      <w:bookmarkEnd w:id="74384"/>
      <w:r>
        <w:rPr>
          <w:rFonts w:hint="cs"/>
          <w:rtl/>
        </w:rPr>
        <w:t xml:space="preserve">שלו. </w:t>
      </w:r>
      <w:bookmarkStart w:id="74385" w:name="_ETM_Q132_238250"/>
      <w:bookmarkEnd w:id="74385"/>
      <w:r>
        <w:rPr>
          <w:rFonts w:hint="cs"/>
          <w:rtl/>
        </w:rPr>
        <w:t xml:space="preserve">שני </w:t>
      </w:r>
      <w:bookmarkStart w:id="74386" w:name="_ETM_Q132_238670"/>
      <w:bookmarkEnd w:id="74386"/>
      <w:r>
        <w:rPr>
          <w:rFonts w:hint="cs"/>
          <w:rtl/>
        </w:rPr>
        <w:t xml:space="preserve">הצדדים </w:t>
      </w:r>
      <w:bookmarkStart w:id="74387" w:name="_ETM_Q132_239539"/>
      <w:bookmarkEnd w:id="74387"/>
      <w:r>
        <w:rPr>
          <w:rFonts w:hint="cs"/>
          <w:rtl/>
        </w:rPr>
        <w:t xml:space="preserve">טוענים </w:t>
      </w:r>
      <w:bookmarkStart w:id="74388" w:name="_ETM_Q132_240230"/>
      <w:bookmarkEnd w:id="74388"/>
      <w:r>
        <w:rPr>
          <w:rFonts w:hint="cs"/>
          <w:rtl/>
        </w:rPr>
        <w:t xml:space="preserve">שהם </w:t>
      </w:r>
      <w:bookmarkStart w:id="74389" w:name="_ETM_Q132_240589"/>
      <w:bookmarkEnd w:id="74389"/>
      <w:r>
        <w:rPr>
          <w:rFonts w:hint="cs"/>
          <w:rtl/>
        </w:rPr>
        <w:t>חוששים</w:t>
      </w:r>
      <w:bookmarkStart w:id="74390" w:name="_ETM_Q132_240800"/>
      <w:bookmarkEnd w:id="74390"/>
      <w:r>
        <w:rPr>
          <w:rFonts w:hint="cs"/>
          <w:rtl/>
        </w:rPr>
        <w:t xml:space="preserve"> </w:t>
      </w:r>
      <w:bookmarkStart w:id="74391" w:name="_ETM_Q132_242420"/>
      <w:bookmarkEnd w:id="74391"/>
      <w:r>
        <w:rPr>
          <w:rFonts w:hint="cs"/>
          <w:rtl/>
        </w:rPr>
        <w:t>ל</w:t>
      </w:r>
      <w:bookmarkStart w:id="74392" w:name="_ETM_Q132_242660"/>
      <w:bookmarkEnd w:id="74392"/>
      <w:r>
        <w:rPr>
          <w:rFonts w:hint="cs"/>
          <w:rtl/>
        </w:rPr>
        <w:t xml:space="preserve">קיומה </w:t>
      </w:r>
      <w:bookmarkStart w:id="74393" w:name="_ETM_Q132_243200"/>
      <w:bookmarkEnd w:id="74393"/>
      <w:r>
        <w:rPr>
          <w:rFonts w:hint="cs"/>
          <w:rtl/>
        </w:rPr>
        <w:t xml:space="preserve">של </w:t>
      </w:r>
      <w:bookmarkStart w:id="74394" w:name="_ETM_Q132_243440"/>
      <w:bookmarkEnd w:id="74394"/>
      <w:r>
        <w:rPr>
          <w:rFonts w:hint="cs"/>
          <w:rtl/>
        </w:rPr>
        <w:t xml:space="preserve">הדמוקרטיה, </w:t>
      </w:r>
      <w:bookmarkStart w:id="74395" w:name="_ETM_Q132_245590"/>
      <w:bookmarkEnd w:id="74395"/>
      <w:r>
        <w:rPr>
          <w:rFonts w:hint="cs"/>
          <w:rtl/>
        </w:rPr>
        <w:t xml:space="preserve">והכול </w:t>
      </w:r>
      <w:bookmarkStart w:id="74396" w:name="_ETM_Q132_246610"/>
      <w:bookmarkEnd w:id="74396"/>
      <w:r>
        <w:rPr>
          <w:rFonts w:hint="cs"/>
          <w:rtl/>
        </w:rPr>
        <w:t xml:space="preserve">למענה. </w:t>
      </w:r>
      <w:bookmarkStart w:id="74397" w:name="_ETM_Q132_250110"/>
      <w:bookmarkEnd w:id="74397"/>
      <w:r>
        <w:rPr>
          <w:rFonts w:hint="cs"/>
          <w:rtl/>
        </w:rPr>
        <w:t>צד</w:t>
      </w:r>
      <w:bookmarkStart w:id="74398" w:name="_ETM_Q132_250440"/>
      <w:bookmarkEnd w:id="74398"/>
      <w:r>
        <w:rPr>
          <w:rFonts w:hint="cs"/>
          <w:rtl/>
        </w:rPr>
        <w:t xml:space="preserve"> אחד </w:t>
      </w:r>
      <w:bookmarkStart w:id="74399" w:name="_ETM_Q132_250770"/>
      <w:bookmarkEnd w:id="74399"/>
      <w:r>
        <w:rPr>
          <w:rFonts w:hint="cs"/>
          <w:rtl/>
        </w:rPr>
        <w:t xml:space="preserve">טוען </w:t>
      </w:r>
      <w:bookmarkStart w:id="74400" w:name="_ETM_Q132_251190"/>
      <w:bookmarkEnd w:id="74400"/>
      <w:r>
        <w:rPr>
          <w:rFonts w:hint="cs"/>
          <w:rtl/>
        </w:rPr>
        <w:t xml:space="preserve">שהתיקון </w:t>
      </w:r>
      <w:bookmarkStart w:id="74401" w:name="_ETM_Q132_252000"/>
      <w:bookmarkEnd w:id="74401"/>
      <w:r>
        <w:rPr>
          <w:rFonts w:hint="cs"/>
          <w:rtl/>
        </w:rPr>
        <w:t xml:space="preserve">שהוא </w:t>
      </w:r>
      <w:bookmarkStart w:id="74402" w:name="_ETM_Q132_252360"/>
      <w:bookmarkEnd w:id="74402"/>
      <w:r>
        <w:rPr>
          <w:rFonts w:hint="cs"/>
          <w:rtl/>
        </w:rPr>
        <w:t xml:space="preserve">מביא </w:t>
      </w:r>
      <w:bookmarkStart w:id="74403" w:name="_ETM_Q132_253479"/>
      <w:bookmarkEnd w:id="74403"/>
      <w:r>
        <w:rPr>
          <w:rFonts w:hint="cs"/>
          <w:rtl/>
        </w:rPr>
        <w:t xml:space="preserve">הוא </w:t>
      </w:r>
      <w:bookmarkStart w:id="74404" w:name="_ETM_Q132_253719"/>
      <w:bookmarkEnd w:id="74404"/>
      <w:r>
        <w:rPr>
          <w:rFonts w:hint="cs"/>
          <w:rtl/>
        </w:rPr>
        <w:t xml:space="preserve">למען </w:t>
      </w:r>
      <w:bookmarkStart w:id="74405" w:name="_ETM_Q132_254350"/>
      <w:bookmarkEnd w:id="74405"/>
      <w:r>
        <w:rPr>
          <w:rFonts w:hint="cs"/>
          <w:rtl/>
        </w:rPr>
        <w:t xml:space="preserve">זה </w:t>
      </w:r>
      <w:bookmarkStart w:id="74406" w:name="_ETM_Q132_255429"/>
      <w:bookmarkEnd w:id="74406"/>
      <w:r>
        <w:rPr>
          <w:rFonts w:hint="cs"/>
          <w:rtl/>
        </w:rPr>
        <w:t xml:space="preserve">שהמדינה </w:t>
      </w:r>
      <w:bookmarkStart w:id="74407" w:name="_ETM_Q132_256329"/>
      <w:bookmarkEnd w:id="74407"/>
      <w:r>
        <w:rPr>
          <w:rFonts w:hint="cs"/>
          <w:rtl/>
        </w:rPr>
        <w:t xml:space="preserve">תהיה </w:t>
      </w:r>
      <w:bookmarkStart w:id="74408" w:name="_ETM_Q132_256840"/>
      <w:bookmarkEnd w:id="74408"/>
      <w:r>
        <w:rPr>
          <w:rFonts w:hint="cs"/>
          <w:rtl/>
        </w:rPr>
        <w:t xml:space="preserve">יהודית </w:t>
      </w:r>
      <w:bookmarkStart w:id="74409" w:name="_ETM_Q132_257560"/>
      <w:bookmarkEnd w:id="74409"/>
      <w:r>
        <w:rPr>
          <w:rFonts w:hint="cs"/>
          <w:rtl/>
        </w:rPr>
        <w:t xml:space="preserve">ודמוקרטית, </w:t>
      </w:r>
      <w:bookmarkStart w:id="74410" w:name="_ETM_Q132_260410"/>
      <w:bookmarkEnd w:id="74410"/>
      <w:r>
        <w:rPr>
          <w:rFonts w:hint="cs"/>
          <w:rtl/>
        </w:rPr>
        <w:t xml:space="preserve">והצד </w:t>
      </w:r>
      <w:bookmarkStart w:id="74411" w:name="_ETM_Q132_260950"/>
      <w:bookmarkEnd w:id="74411"/>
      <w:r>
        <w:rPr>
          <w:rFonts w:hint="cs"/>
          <w:rtl/>
        </w:rPr>
        <w:t xml:space="preserve">השני </w:t>
      </w:r>
      <w:bookmarkStart w:id="74412" w:name="_ETM_Q132_261400"/>
      <w:bookmarkEnd w:id="74412"/>
      <w:r>
        <w:rPr>
          <w:rFonts w:hint="cs"/>
          <w:rtl/>
        </w:rPr>
        <w:t xml:space="preserve">טוען </w:t>
      </w:r>
      <w:bookmarkStart w:id="74413" w:name="_ETM_Q132_262600"/>
      <w:bookmarkEnd w:id="74413"/>
      <w:r>
        <w:rPr>
          <w:rFonts w:hint="cs"/>
          <w:rtl/>
        </w:rPr>
        <w:t xml:space="preserve">שהצעד </w:t>
      </w:r>
      <w:bookmarkStart w:id="74414" w:name="_ETM_Q132_263620"/>
      <w:bookmarkEnd w:id="74414"/>
      <w:r>
        <w:rPr>
          <w:rFonts w:hint="cs"/>
          <w:rtl/>
        </w:rPr>
        <w:t xml:space="preserve">של </w:t>
      </w:r>
      <w:bookmarkStart w:id="74415" w:name="_ETM_Q132_264040"/>
      <w:bookmarkEnd w:id="74415"/>
      <w:r>
        <w:rPr>
          <w:rFonts w:hint="cs"/>
          <w:rtl/>
        </w:rPr>
        <w:t xml:space="preserve">החקיקה </w:t>
      </w:r>
      <w:bookmarkStart w:id="74416" w:name="_ETM_Q132_264670"/>
      <w:bookmarkEnd w:id="74416"/>
      <w:r>
        <w:rPr>
          <w:rFonts w:hint="cs"/>
          <w:rtl/>
        </w:rPr>
        <w:t xml:space="preserve">הזאת </w:t>
      </w:r>
      <w:bookmarkStart w:id="74417" w:name="_ETM_Q132_265770"/>
      <w:bookmarkEnd w:id="74417"/>
      <w:r>
        <w:rPr>
          <w:rFonts w:hint="cs"/>
          <w:rtl/>
        </w:rPr>
        <w:t xml:space="preserve">מחריב </w:t>
      </w:r>
      <w:bookmarkStart w:id="74418" w:name="_ETM_Q132_267330"/>
      <w:bookmarkEnd w:id="74418"/>
      <w:r>
        <w:rPr>
          <w:rFonts w:hint="cs"/>
          <w:rtl/>
        </w:rPr>
        <w:t xml:space="preserve">את </w:t>
      </w:r>
      <w:bookmarkStart w:id="74419" w:name="_ETM_Q132_267600"/>
      <w:bookmarkEnd w:id="74419"/>
      <w:r>
        <w:rPr>
          <w:rFonts w:hint="cs"/>
          <w:rtl/>
        </w:rPr>
        <w:t xml:space="preserve">המדינה </w:t>
      </w:r>
      <w:bookmarkStart w:id="74420" w:name="_ETM_Q132_268170"/>
      <w:bookmarkEnd w:id="74420"/>
      <w:r>
        <w:rPr>
          <w:rFonts w:hint="cs"/>
          <w:rtl/>
        </w:rPr>
        <w:t xml:space="preserve">הנאורה </w:t>
      </w:r>
      <w:bookmarkStart w:id="74421" w:name="_ETM_Q132_269370"/>
      <w:bookmarkEnd w:id="74421"/>
      <w:r>
        <w:rPr>
          <w:rFonts w:hint="cs"/>
          <w:rtl/>
        </w:rPr>
        <w:t xml:space="preserve">וגורם </w:t>
      </w:r>
      <w:bookmarkStart w:id="74422" w:name="_ETM_Q132_270690"/>
      <w:bookmarkEnd w:id="74422"/>
      <w:r>
        <w:rPr>
          <w:rFonts w:hint="cs"/>
          <w:rtl/>
        </w:rPr>
        <w:t xml:space="preserve">לה </w:t>
      </w:r>
      <w:bookmarkStart w:id="74423" w:name="_ETM_Q132_271319"/>
      <w:bookmarkEnd w:id="74423"/>
      <w:r>
        <w:rPr>
          <w:rFonts w:hint="cs"/>
          <w:rtl/>
        </w:rPr>
        <w:t>לה</w:t>
      </w:r>
      <w:bookmarkStart w:id="74424" w:name="_ETM_Q132_271740"/>
      <w:bookmarkEnd w:id="74424"/>
      <w:r>
        <w:rPr>
          <w:rFonts w:hint="cs"/>
          <w:rtl/>
        </w:rPr>
        <w:t xml:space="preserve">פסיק </w:t>
      </w:r>
      <w:bookmarkStart w:id="74425" w:name="_ETM_Q132_272430"/>
      <w:bookmarkEnd w:id="74425"/>
      <w:r>
        <w:rPr>
          <w:rFonts w:hint="cs"/>
          <w:rtl/>
        </w:rPr>
        <w:t xml:space="preserve">להיות </w:t>
      </w:r>
      <w:bookmarkStart w:id="74426" w:name="_ETM_Q132_272910"/>
      <w:bookmarkEnd w:id="74426"/>
      <w:r>
        <w:rPr>
          <w:rFonts w:hint="cs"/>
          <w:rtl/>
        </w:rPr>
        <w:t>דמוקרטית.</w:t>
      </w:r>
      <w:bookmarkStart w:id="74427" w:name="_ETM_Q132_275069"/>
      <w:bookmarkEnd w:id="74427"/>
    </w:p>
    <w:p w:rsidR="00BB59CD" w:rsidRDefault="00BB59CD" w:rsidP="00BB59CD">
      <w:pPr>
        <w:rPr>
          <w:rtl/>
        </w:rPr>
      </w:pPr>
      <w:bookmarkStart w:id="74428" w:name="_ETM_Q132_276521"/>
      <w:bookmarkStart w:id="74429" w:name="_ETM_Q132_276604"/>
      <w:bookmarkStart w:id="74430" w:name="_ETM_Q132_276640"/>
      <w:bookmarkEnd w:id="74428"/>
      <w:bookmarkEnd w:id="74429"/>
      <w:bookmarkEnd w:id="74430"/>
    </w:p>
    <w:p w:rsidR="00BB59CD" w:rsidRDefault="00BB59CD" w:rsidP="00D94B83">
      <w:pPr>
        <w:rPr>
          <w:rtl/>
        </w:rPr>
      </w:pPr>
      <w:bookmarkStart w:id="74431" w:name="_ETM_Q132_276701"/>
      <w:bookmarkEnd w:id="74431"/>
      <w:r>
        <w:rPr>
          <w:rFonts w:hint="cs"/>
          <w:rtl/>
        </w:rPr>
        <w:t xml:space="preserve">ואני </w:t>
      </w:r>
      <w:bookmarkStart w:id="74432" w:name="_ETM_Q132_276280"/>
      <w:bookmarkEnd w:id="74432"/>
      <w:r>
        <w:rPr>
          <w:rFonts w:hint="cs"/>
          <w:rtl/>
        </w:rPr>
        <w:t xml:space="preserve">אומרת </w:t>
      </w:r>
      <w:bookmarkStart w:id="74433" w:name="_ETM_Q132_276700"/>
      <w:bookmarkEnd w:id="74433"/>
      <w:r>
        <w:rPr>
          <w:rFonts w:hint="cs"/>
          <w:rtl/>
        </w:rPr>
        <w:t xml:space="preserve">לכם, האמת היא </w:t>
      </w:r>
      <w:bookmarkStart w:id="74434" w:name="_ETM_Q132_275979"/>
      <w:bookmarkStart w:id="74435" w:name="_ETM_Q132_277920"/>
      <w:bookmarkEnd w:id="74434"/>
      <w:bookmarkEnd w:id="74435"/>
      <w:r>
        <w:rPr>
          <w:rFonts w:hint="cs"/>
          <w:rtl/>
        </w:rPr>
        <w:t xml:space="preserve">שכל </w:t>
      </w:r>
      <w:bookmarkStart w:id="74436" w:name="_ETM_Q132_278280"/>
      <w:bookmarkEnd w:id="74436"/>
      <w:r>
        <w:rPr>
          <w:rFonts w:hint="cs"/>
          <w:rtl/>
        </w:rPr>
        <w:t xml:space="preserve">מה </w:t>
      </w:r>
      <w:bookmarkStart w:id="74437" w:name="_ETM_Q132_278490"/>
      <w:bookmarkEnd w:id="74437"/>
      <w:r>
        <w:rPr>
          <w:rFonts w:hint="cs"/>
          <w:rtl/>
        </w:rPr>
        <w:t>שקורה</w:t>
      </w:r>
      <w:bookmarkStart w:id="74438" w:name="_ETM_Q132_279150"/>
      <w:bookmarkEnd w:id="74438"/>
      <w:r>
        <w:rPr>
          <w:rFonts w:hint="cs"/>
          <w:rtl/>
        </w:rPr>
        <w:t xml:space="preserve"> </w:t>
      </w:r>
      <w:bookmarkStart w:id="74439" w:name="_ETM_Q132_279600"/>
      <w:bookmarkEnd w:id="74439"/>
      <w:r>
        <w:rPr>
          <w:rFonts w:hint="cs"/>
          <w:rtl/>
        </w:rPr>
        <w:t xml:space="preserve">כאן </w:t>
      </w:r>
      <w:bookmarkStart w:id="74440" w:name="_ETM_Q132_280639"/>
      <w:bookmarkEnd w:id="74440"/>
      <w:r>
        <w:rPr>
          <w:rFonts w:hint="cs"/>
          <w:rtl/>
        </w:rPr>
        <w:t xml:space="preserve">הוא </w:t>
      </w:r>
      <w:bookmarkStart w:id="74441" w:name="_ETM_Q132_281119"/>
      <w:bookmarkEnd w:id="74441"/>
      <w:r>
        <w:rPr>
          <w:rFonts w:hint="cs"/>
          <w:rtl/>
        </w:rPr>
        <w:t>ל</w:t>
      </w:r>
      <w:bookmarkStart w:id="74442" w:name="_ETM_Q132_281270"/>
      <w:bookmarkStart w:id="74443" w:name="_ETM_Q132_281689"/>
      <w:bookmarkEnd w:id="74442"/>
      <w:bookmarkEnd w:id="74443"/>
      <w:r>
        <w:rPr>
          <w:rFonts w:hint="cs"/>
          <w:rtl/>
        </w:rPr>
        <w:t xml:space="preserve">מען </w:t>
      </w:r>
      <w:bookmarkStart w:id="74444" w:name="_ETM_Q132_282720"/>
      <w:bookmarkEnd w:id="74444"/>
      <w:r>
        <w:rPr>
          <w:rFonts w:hint="cs"/>
          <w:rtl/>
        </w:rPr>
        <w:t xml:space="preserve">זה שתהיה </w:t>
      </w:r>
      <w:bookmarkStart w:id="74445" w:name="_ETM_Q132_283530"/>
      <w:bookmarkEnd w:id="74445"/>
      <w:r>
        <w:rPr>
          <w:rFonts w:hint="cs"/>
          <w:rtl/>
        </w:rPr>
        <w:t>יהודית</w:t>
      </w:r>
      <w:r w:rsidR="00D94B83">
        <w:rPr>
          <w:rFonts w:hint="cs"/>
          <w:rtl/>
        </w:rPr>
        <w:t>,</w:t>
      </w:r>
      <w:r>
        <w:rPr>
          <w:rFonts w:hint="cs"/>
          <w:rtl/>
        </w:rPr>
        <w:t xml:space="preserve"> ורק </w:t>
      </w:r>
      <w:bookmarkStart w:id="74446" w:name="_ETM_Q132_286580"/>
      <w:bookmarkEnd w:id="74446"/>
      <w:r>
        <w:rPr>
          <w:rFonts w:hint="cs"/>
          <w:rtl/>
        </w:rPr>
        <w:t xml:space="preserve">יהודית. </w:t>
      </w:r>
      <w:bookmarkStart w:id="74447" w:name="_ETM_Q132_289500"/>
      <w:bookmarkEnd w:id="74447"/>
      <w:r>
        <w:rPr>
          <w:rFonts w:hint="cs"/>
          <w:rtl/>
        </w:rPr>
        <w:t xml:space="preserve">אז </w:t>
      </w:r>
      <w:bookmarkStart w:id="74448" w:name="_ETM_Q132_289680"/>
      <w:bookmarkEnd w:id="74448"/>
      <w:r>
        <w:rPr>
          <w:rFonts w:hint="cs"/>
          <w:rtl/>
        </w:rPr>
        <w:t xml:space="preserve">תרשו </w:t>
      </w:r>
      <w:bookmarkStart w:id="74449" w:name="_ETM_Q132_290130"/>
      <w:bookmarkEnd w:id="74449"/>
      <w:r>
        <w:rPr>
          <w:rFonts w:hint="cs"/>
          <w:rtl/>
        </w:rPr>
        <w:t xml:space="preserve">לי </w:t>
      </w:r>
      <w:bookmarkStart w:id="74450" w:name="_ETM_Q132_290280"/>
      <w:bookmarkEnd w:id="74450"/>
      <w:r>
        <w:rPr>
          <w:rFonts w:hint="cs"/>
          <w:rtl/>
        </w:rPr>
        <w:t xml:space="preserve">להגיד </w:t>
      </w:r>
      <w:bookmarkStart w:id="74451" w:name="_ETM_Q132_290760"/>
      <w:bookmarkEnd w:id="74451"/>
      <w:r>
        <w:rPr>
          <w:rFonts w:hint="cs"/>
          <w:rtl/>
        </w:rPr>
        <w:t xml:space="preserve">לכם </w:t>
      </w:r>
      <w:bookmarkStart w:id="74452" w:name="_ETM_Q132_292640"/>
      <w:bookmarkEnd w:id="74452"/>
      <w:r>
        <w:rPr>
          <w:rFonts w:hint="cs"/>
          <w:rtl/>
        </w:rPr>
        <w:t xml:space="preserve">שהדמוקרטיה המהותית </w:t>
      </w:r>
      <w:bookmarkStart w:id="74453" w:name="_ETM_Q132_293210"/>
      <w:bookmarkStart w:id="74454" w:name="_ETM_Q132_293549"/>
      <w:bookmarkStart w:id="74455" w:name="_ETM_Q132_293880"/>
      <w:bookmarkStart w:id="74456" w:name="_ETM_Q132_295299"/>
      <w:bookmarkEnd w:id="74453"/>
      <w:bookmarkEnd w:id="74454"/>
      <w:bookmarkEnd w:id="74455"/>
      <w:bookmarkEnd w:id="74456"/>
      <w:r>
        <w:rPr>
          <w:rFonts w:hint="cs"/>
          <w:rtl/>
        </w:rPr>
        <w:t xml:space="preserve">היא </w:t>
      </w:r>
      <w:bookmarkStart w:id="74457" w:name="_ETM_Q132_295510"/>
      <w:bookmarkEnd w:id="74457"/>
      <w:r>
        <w:rPr>
          <w:rFonts w:hint="cs"/>
          <w:rtl/>
        </w:rPr>
        <w:t xml:space="preserve">שמירה </w:t>
      </w:r>
      <w:bookmarkStart w:id="74458" w:name="_ETM_Q132_296709"/>
      <w:bookmarkEnd w:id="74458"/>
      <w:r>
        <w:rPr>
          <w:rFonts w:hint="cs"/>
          <w:rtl/>
        </w:rPr>
        <w:t xml:space="preserve">על </w:t>
      </w:r>
      <w:bookmarkStart w:id="74459" w:name="_ETM_Q132_297009"/>
      <w:bookmarkEnd w:id="74459"/>
      <w:r>
        <w:rPr>
          <w:rFonts w:hint="cs"/>
          <w:rtl/>
        </w:rPr>
        <w:t xml:space="preserve">זכויות </w:t>
      </w:r>
      <w:bookmarkStart w:id="74460" w:name="_ETM_Q132_297520"/>
      <w:bookmarkEnd w:id="74460"/>
      <w:r>
        <w:rPr>
          <w:rFonts w:hint="cs"/>
          <w:rtl/>
        </w:rPr>
        <w:t xml:space="preserve">המיעוט, </w:t>
      </w:r>
      <w:bookmarkStart w:id="74461" w:name="_ETM_Q132_298990"/>
      <w:bookmarkEnd w:id="74461"/>
      <w:r>
        <w:rPr>
          <w:rFonts w:hint="cs"/>
          <w:rtl/>
        </w:rPr>
        <w:t xml:space="preserve">ולא </w:t>
      </w:r>
      <w:bookmarkStart w:id="74462" w:name="_ETM_Q132_299439"/>
      <w:bookmarkEnd w:id="74462"/>
      <w:r>
        <w:rPr>
          <w:rFonts w:hint="cs"/>
          <w:rtl/>
        </w:rPr>
        <w:t xml:space="preserve">רק </w:t>
      </w:r>
      <w:bookmarkStart w:id="74463" w:name="_ETM_Q132_299710"/>
      <w:bookmarkEnd w:id="74463"/>
      <w:r>
        <w:rPr>
          <w:rFonts w:hint="cs"/>
          <w:rtl/>
        </w:rPr>
        <w:t xml:space="preserve">שלטון </w:t>
      </w:r>
      <w:bookmarkStart w:id="74464" w:name="_ETM_Q132_300280"/>
      <w:bookmarkEnd w:id="74464"/>
      <w:r>
        <w:rPr>
          <w:rFonts w:hint="cs"/>
          <w:rtl/>
        </w:rPr>
        <w:t xml:space="preserve">הרוב; </w:t>
      </w:r>
      <w:bookmarkStart w:id="74465" w:name="_ETM_Q132_301639"/>
      <w:bookmarkEnd w:id="74465"/>
      <w:r>
        <w:rPr>
          <w:rFonts w:hint="cs"/>
          <w:rtl/>
        </w:rPr>
        <w:t xml:space="preserve">נהפוך </w:t>
      </w:r>
      <w:bookmarkStart w:id="74466" w:name="_ETM_Q132_302389"/>
      <w:bookmarkEnd w:id="74466"/>
      <w:r>
        <w:rPr>
          <w:rFonts w:hint="cs"/>
          <w:rtl/>
        </w:rPr>
        <w:t xml:space="preserve">הוא, </w:t>
      </w:r>
      <w:bookmarkStart w:id="74467" w:name="_ETM_Q132_303829"/>
      <w:bookmarkEnd w:id="74467"/>
      <w:r>
        <w:rPr>
          <w:rFonts w:hint="cs"/>
          <w:rtl/>
        </w:rPr>
        <w:t xml:space="preserve">דמוקרטיה </w:t>
      </w:r>
      <w:bookmarkStart w:id="74468" w:name="_ETM_Q132_305570"/>
      <w:bookmarkEnd w:id="74468"/>
      <w:r>
        <w:rPr>
          <w:rFonts w:hint="cs"/>
          <w:rtl/>
        </w:rPr>
        <w:t xml:space="preserve">היא </w:t>
      </w:r>
      <w:bookmarkStart w:id="74469" w:name="_ETM_Q132_305840"/>
      <w:bookmarkStart w:id="74470" w:name="_ETM_Q132_306180"/>
      <w:bookmarkEnd w:id="74469"/>
      <w:bookmarkEnd w:id="74470"/>
      <w:r>
        <w:rPr>
          <w:rFonts w:hint="cs"/>
          <w:rtl/>
        </w:rPr>
        <w:t xml:space="preserve">המחויבות </w:t>
      </w:r>
      <w:bookmarkStart w:id="74471" w:name="_ETM_Q132_306870"/>
      <w:bookmarkEnd w:id="74471"/>
      <w:r>
        <w:rPr>
          <w:rFonts w:hint="cs"/>
          <w:rtl/>
        </w:rPr>
        <w:t xml:space="preserve">של </w:t>
      </w:r>
      <w:bookmarkStart w:id="74472" w:name="_ETM_Q132_307200"/>
      <w:bookmarkEnd w:id="74472"/>
      <w:r>
        <w:rPr>
          <w:rFonts w:hint="cs"/>
          <w:rtl/>
        </w:rPr>
        <w:t xml:space="preserve">הרוב </w:t>
      </w:r>
      <w:bookmarkStart w:id="74473" w:name="_ETM_Q132_308489"/>
      <w:bookmarkEnd w:id="74473"/>
      <w:r>
        <w:rPr>
          <w:rFonts w:hint="cs"/>
          <w:rtl/>
        </w:rPr>
        <w:t xml:space="preserve">כלפי </w:t>
      </w:r>
      <w:bookmarkStart w:id="74474" w:name="_ETM_Q132_309090"/>
      <w:bookmarkEnd w:id="74474"/>
      <w:r>
        <w:rPr>
          <w:rFonts w:hint="cs"/>
          <w:rtl/>
        </w:rPr>
        <w:t>המיעוט</w:t>
      </w:r>
      <w:bookmarkStart w:id="74475" w:name="_ETM_Q132_310760"/>
      <w:bookmarkEnd w:id="74475"/>
      <w:r>
        <w:rPr>
          <w:rFonts w:hint="cs"/>
          <w:rtl/>
        </w:rPr>
        <w:t xml:space="preserve">, מה עוד </w:t>
      </w:r>
      <w:bookmarkStart w:id="74476" w:name="_ETM_Q132_312019"/>
      <w:bookmarkEnd w:id="74476"/>
      <w:r>
        <w:rPr>
          <w:rFonts w:hint="cs"/>
          <w:rtl/>
        </w:rPr>
        <w:t xml:space="preserve">שבמקרה </w:t>
      </w:r>
      <w:bookmarkStart w:id="74477" w:name="_ETM_Q132_312889"/>
      <w:bookmarkEnd w:id="74477"/>
      <w:r>
        <w:rPr>
          <w:rFonts w:hint="cs"/>
          <w:rtl/>
        </w:rPr>
        <w:t xml:space="preserve">שלנו </w:t>
      </w:r>
      <w:bookmarkStart w:id="74478" w:name="_ETM_Q132_314120"/>
      <w:bookmarkEnd w:id="74478"/>
      <w:r>
        <w:rPr>
          <w:rFonts w:hint="cs"/>
          <w:rtl/>
        </w:rPr>
        <w:t xml:space="preserve">מדובר </w:t>
      </w:r>
      <w:bookmarkStart w:id="74479" w:name="_ETM_Q132_315110"/>
      <w:bookmarkEnd w:id="74479"/>
      <w:r>
        <w:rPr>
          <w:rFonts w:hint="cs"/>
          <w:rtl/>
        </w:rPr>
        <w:t xml:space="preserve">במיעוט </w:t>
      </w:r>
      <w:bookmarkStart w:id="74480" w:name="_ETM_Q132_315799"/>
      <w:bookmarkEnd w:id="74480"/>
      <w:r>
        <w:rPr>
          <w:rFonts w:hint="cs"/>
          <w:rtl/>
        </w:rPr>
        <w:t>ילידי.</w:t>
      </w:r>
    </w:p>
    <w:p w:rsidR="00BB59CD" w:rsidRDefault="00BB59CD" w:rsidP="00BB59CD">
      <w:pPr>
        <w:rPr>
          <w:rtl/>
        </w:rPr>
      </w:pPr>
      <w:bookmarkStart w:id="74481" w:name="_ETM_Q132_320016"/>
      <w:bookmarkStart w:id="74482" w:name="_ETM_Q132_320114"/>
      <w:bookmarkStart w:id="74483" w:name="_ETM_Q132_320201"/>
      <w:bookmarkEnd w:id="74481"/>
      <w:bookmarkEnd w:id="74482"/>
      <w:bookmarkEnd w:id="74483"/>
    </w:p>
    <w:p w:rsidR="00BB59CD" w:rsidRDefault="00BB59CD" w:rsidP="00D94B83">
      <w:pPr>
        <w:rPr>
          <w:rtl/>
        </w:rPr>
      </w:pPr>
      <w:bookmarkStart w:id="74484" w:name="_ETM_Q132_320289"/>
      <w:bookmarkEnd w:id="74484"/>
      <w:r>
        <w:rPr>
          <w:rFonts w:hint="cs"/>
          <w:rtl/>
        </w:rPr>
        <w:t xml:space="preserve"> </w:t>
      </w:r>
      <w:bookmarkStart w:id="74485" w:name="_ETM_Q132_319200"/>
      <w:bookmarkEnd w:id="74485"/>
      <w:r>
        <w:rPr>
          <w:rFonts w:hint="cs"/>
          <w:rtl/>
        </w:rPr>
        <w:t xml:space="preserve">אז </w:t>
      </w:r>
      <w:bookmarkStart w:id="74486" w:name="_ETM_Q132_319500"/>
      <w:bookmarkEnd w:id="74486"/>
      <w:r>
        <w:rPr>
          <w:rFonts w:hint="cs"/>
          <w:rtl/>
        </w:rPr>
        <w:t xml:space="preserve">איפה הייתה </w:t>
      </w:r>
      <w:bookmarkStart w:id="74487" w:name="_ETM_Q132_320220"/>
      <w:bookmarkEnd w:id="74487"/>
      <w:r>
        <w:rPr>
          <w:rFonts w:hint="cs"/>
          <w:rtl/>
        </w:rPr>
        <w:t xml:space="preserve">הדמוקרטיה </w:t>
      </w:r>
      <w:bookmarkStart w:id="74488" w:name="_ETM_Q132_321090"/>
      <w:bookmarkEnd w:id="74488"/>
      <w:r>
        <w:rPr>
          <w:rFonts w:hint="cs"/>
          <w:rtl/>
        </w:rPr>
        <w:t xml:space="preserve">הזאת </w:t>
      </w:r>
      <w:bookmarkStart w:id="74489" w:name="_ETM_Q132_321360"/>
      <w:bookmarkEnd w:id="74489"/>
      <w:r>
        <w:rPr>
          <w:rFonts w:hint="cs"/>
          <w:rtl/>
        </w:rPr>
        <w:t>כש</w:t>
      </w:r>
      <w:bookmarkStart w:id="74490" w:name="_ETM_Q132_321720"/>
      <w:bookmarkEnd w:id="74490"/>
      <w:r>
        <w:rPr>
          <w:rFonts w:hint="cs"/>
          <w:rtl/>
        </w:rPr>
        <w:t xml:space="preserve">קבעו </w:t>
      </w:r>
      <w:bookmarkStart w:id="74491" w:name="_ETM_Q132_323160"/>
      <w:bookmarkEnd w:id="74491"/>
      <w:r>
        <w:rPr>
          <w:rFonts w:hint="cs"/>
          <w:rtl/>
        </w:rPr>
        <w:t xml:space="preserve">והעבירו </w:t>
      </w:r>
      <w:bookmarkStart w:id="74492" w:name="_ETM_Q132_323970"/>
      <w:bookmarkEnd w:id="74492"/>
      <w:r>
        <w:rPr>
          <w:rFonts w:hint="cs"/>
          <w:rtl/>
        </w:rPr>
        <w:t xml:space="preserve">את </w:t>
      </w:r>
      <w:bookmarkStart w:id="74493" w:name="_ETM_Q132_326300"/>
      <w:bookmarkEnd w:id="74493"/>
      <w:r>
        <w:rPr>
          <w:rFonts w:hint="cs"/>
          <w:rtl/>
        </w:rPr>
        <w:t xml:space="preserve">חוק הלאום וקטלגו אותנו </w:t>
      </w:r>
      <w:bookmarkStart w:id="74494" w:name="_ETM_Q132_327790"/>
      <w:bookmarkEnd w:id="74494"/>
      <w:r>
        <w:rPr>
          <w:rFonts w:hint="cs"/>
          <w:rtl/>
        </w:rPr>
        <w:t xml:space="preserve">כאזרחים </w:t>
      </w:r>
      <w:bookmarkStart w:id="74495" w:name="_ETM_Q132_328540"/>
      <w:bookmarkEnd w:id="74495"/>
      <w:r>
        <w:rPr>
          <w:rFonts w:hint="cs"/>
          <w:rtl/>
        </w:rPr>
        <w:t xml:space="preserve">סוג </w:t>
      </w:r>
      <w:bookmarkStart w:id="74496" w:name="_ETM_Q132_328959"/>
      <w:bookmarkEnd w:id="74496"/>
      <w:r>
        <w:rPr>
          <w:rFonts w:hint="cs"/>
          <w:rtl/>
        </w:rPr>
        <w:t xml:space="preserve">ב' </w:t>
      </w:r>
      <w:bookmarkStart w:id="74497" w:name="_ETM_Q132_329260"/>
      <w:bookmarkEnd w:id="74497"/>
      <w:r>
        <w:rPr>
          <w:rFonts w:hint="cs"/>
          <w:rtl/>
        </w:rPr>
        <w:t xml:space="preserve">ואולי </w:t>
      </w:r>
      <w:bookmarkStart w:id="74498" w:name="_ETM_Q132_329860"/>
      <w:bookmarkEnd w:id="74498"/>
      <w:r>
        <w:rPr>
          <w:rFonts w:hint="cs"/>
          <w:rtl/>
        </w:rPr>
        <w:t xml:space="preserve">פחות </w:t>
      </w:r>
      <w:bookmarkStart w:id="74499" w:name="_ETM_Q132_330340"/>
      <w:bookmarkEnd w:id="74499"/>
      <w:r>
        <w:rPr>
          <w:rFonts w:hint="cs"/>
          <w:rtl/>
        </w:rPr>
        <w:t xml:space="preserve">בהרבה? </w:t>
      </w:r>
      <w:bookmarkStart w:id="74500" w:name="_ETM_Q132_334790"/>
      <w:bookmarkEnd w:id="74500"/>
      <w:r>
        <w:rPr>
          <w:rFonts w:hint="cs"/>
          <w:rtl/>
        </w:rPr>
        <w:t xml:space="preserve">ואיפה </w:t>
      </w:r>
      <w:bookmarkStart w:id="74501" w:name="_ETM_Q132_335480"/>
      <w:bookmarkEnd w:id="74501"/>
      <w:r>
        <w:rPr>
          <w:rFonts w:hint="cs"/>
          <w:rtl/>
        </w:rPr>
        <w:t xml:space="preserve">נמצאת </w:t>
      </w:r>
      <w:bookmarkStart w:id="74502" w:name="_ETM_Q132_336109"/>
      <w:bookmarkEnd w:id="74502"/>
      <w:r>
        <w:rPr>
          <w:rFonts w:hint="cs"/>
          <w:rtl/>
        </w:rPr>
        <w:t xml:space="preserve">הדמוקרטיה </w:t>
      </w:r>
      <w:bookmarkStart w:id="74503" w:name="_ETM_Q132_337069"/>
      <w:bookmarkEnd w:id="74503"/>
      <w:r>
        <w:rPr>
          <w:rFonts w:hint="cs"/>
          <w:rtl/>
        </w:rPr>
        <w:t xml:space="preserve">הזאת </w:t>
      </w:r>
      <w:bookmarkStart w:id="74504" w:name="_ETM_Q132_337519"/>
      <w:bookmarkEnd w:id="74504"/>
      <w:r>
        <w:rPr>
          <w:rFonts w:hint="cs"/>
          <w:rtl/>
        </w:rPr>
        <w:t xml:space="preserve">כאשר </w:t>
      </w:r>
      <w:bookmarkStart w:id="74505" w:name="_ETM_Q132_338450"/>
      <w:bookmarkStart w:id="74506" w:name="_ETM_Q132_338810"/>
      <w:bookmarkEnd w:id="74505"/>
      <w:bookmarkEnd w:id="74506"/>
      <w:r>
        <w:rPr>
          <w:rFonts w:hint="cs"/>
          <w:rtl/>
        </w:rPr>
        <w:t>לי</w:t>
      </w:r>
      <w:r w:rsidR="00D94B83">
        <w:rPr>
          <w:rFonts w:hint="cs"/>
          <w:rtl/>
        </w:rPr>
        <w:t>,</w:t>
      </w:r>
      <w:r>
        <w:rPr>
          <w:rFonts w:hint="cs"/>
          <w:rtl/>
        </w:rPr>
        <w:t xml:space="preserve"> </w:t>
      </w:r>
      <w:bookmarkStart w:id="74507" w:name="_ETM_Q132_338959"/>
      <w:bookmarkEnd w:id="74507"/>
      <w:r>
        <w:rPr>
          <w:rFonts w:hint="cs"/>
          <w:rtl/>
        </w:rPr>
        <w:t xml:space="preserve">כאזרחית </w:t>
      </w:r>
      <w:bookmarkStart w:id="74508" w:name="_ETM_Q132_339739"/>
      <w:bookmarkEnd w:id="74508"/>
      <w:r>
        <w:rPr>
          <w:rFonts w:hint="cs"/>
          <w:rtl/>
        </w:rPr>
        <w:t xml:space="preserve">ערבייה </w:t>
      </w:r>
      <w:bookmarkStart w:id="74509" w:name="_ETM_Q132_340400"/>
      <w:bookmarkEnd w:id="74509"/>
      <w:r>
        <w:rPr>
          <w:rFonts w:hint="cs"/>
          <w:rtl/>
        </w:rPr>
        <w:t xml:space="preserve">ילידית, </w:t>
      </w:r>
      <w:bookmarkStart w:id="74510" w:name="_ETM_Q132_342379"/>
      <w:bookmarkEnd w:id="74510"/>
      <w:r>
        <w:rPr>
          <w:rFonts w:hint="cs"/>
          <w:rtl/>
        </w:rPr>
        <w:t xml:space="preserve">אין לא </w:t>
      </w:r>
      <w:bookmarkStart w:id="74511" w:name="_ETM_Q132_342709"/>
      <w:bookmarkEnd w:id="74511"/>
      <w:r>
        <w:rPr>
          <w:rFonts w:hint="cs"/>
          <w:rtl/>
        </w:rPr>
        <w:t xml:space="preserve">את </w:t>
      </w:r>
      <w:bookmarkStart w:id="74512" w:name="_ETM_Q132_342889"/>
      <w:bookmarkEnd w:id="74512"/>
      <w:r>
        <w:rPr>
          <w:rFonts w:hint="cs"/>
          <w:rtl/>
        </w:rPr>
        <w:t xml:space="preserve">הזכות </w:t>
      </w:r>
      <w:bookmarkStart w:id="74513" w:name="_ETM_Q132_344260"/>
      <w:bookmarkStart w:id="74514" w:name="_ETM_Q132_344530"/>
      <w:bookmarkEnd w:id="74513"/>
      <w:bookmarkEnd w:id="74514"/>
      <w:r>
        <w:rPr>
          <w:rFonts w:hint="cs"/>
          <w:rtl/>
        </w:rPr>
        <w:t xml:space="preserve">ולא </w:t>
      </w:r>
      <w:bookmarkStart w:id="74515" w:name="_ETM_Q132_344800"/>
      <w:bookmarkEnd w:id="74515"/>
      <w:r>
        <w:rPr>
          <w:rFonts w:hint="cs"/>
          <w:rtl/>
        </w:rPr>
        <w:t xml:space="preserve">את </w:t>
      </w:r>
      <w:bookmarkStart w:id="74516" w:name="_ETM_Q132_345010"/>
      <w:bookmarkEnd w:id="74516"/>
      <w:r>
        <w:rPr>
          <w:rFonts w:hint="cs"/>
          <w:rtl/>
        </w:rPr>
        <w:t xml:space="preserve">היכולת </w:t>
      </w:r>
      <w:bookmarkStart w:id="74517" w:name="_ETM_Q132_346739"/>
      <w:bookmarkEnd w:id="74517"/>
      <w:r>
        <w:rPr>
          <w:rFonts w:hint="cs"/>
          <w:rtl/>
        </w:rPr>
        <w:t xml:space="preserve">לבנות </w:t>
      </w:r>
      <w:bookmarkStart w:id="74518" w:name="_ETM_Q132_347430"/>
      <w:bookmarkEnd w:id="74518"/>
      <w:r>
        <w:rPr>
          <w:rFonts w:hint="cs"/>
          <w:rtl/>
        </w:rPr>
        <w:t xml:space="preserve">בית </w:t>
      </w:r>
      <w:bookmarkStart w:id="74519" w:name="_ETM_Q132_348090"/>
      <w:bookmarkEnd w:id="74519"/>
      <w:r>
        <w:rPr>
          <w:rFonts w:hint="cs"/>
          <w:rtl/>
        </w:rPr>
        <w:t xml:space="preserve">מעל </w:t>
      </w:r>
      <w:bookmarkStart w:id="74520" w:name="_ETM_Q132_348510"/>
      <w:bookmarkStart w:id="74521" w:name="_ETM_Q132_348659"/>
      <w:bookmarkEnd w:id="74520"/>
      <w:bookmarkEnd w:id="74521"/>
      <w:r>
        <w:rPr>
          <w:rFonts w:hint="cs"/>
          <w:rtl/>
        </w:rPr>
        <w:t xml:space="preserve">אדמתי </w:t>
      </w:r>
      <w:bookmarkStart w:id="74522" w:name="_ETM_Q132_349169"/>
      <w:bookmarkEnd w:id="74522"/>
      <w:r>
        <w:rPr>
          <w:rFonts w:hint="cs"/>
          <w:rtl/>
        </w:rPr>
        <w:t>שלי, שירשתי</w:t>
      </w:r>
      <w:bookmarkStart w:id="74523" w:name="_ETM_Q132_349739"/>
      <w:bookmarkStart w:id="74524" w:name="_ETM_Q132_350129"/>
      <w:bookmarkEnd w:id="74523"/>
      <w:bookmarkEnd w:id="74524"/>
      <w:r>
        <w:rPr>
          <w:rFonts w:hint="cs"/>
          <w:rtl/>
        </w:rPr>
        <w:t xml:space="preserve"> </w:t>
      </w:r>
      <w:bookmarkStart w:id="74525" w:name="_ETM_Q132_350549"/>
      <w:bookmarkStart w:id="74526" w:name="_ETM_Q132_350939"/>
      <w:bookmarkEnd w:id="74525"/>
      <w:bookmarkEnd w:id="74526"/>
      <w:r>
        <w:rPr>
          <w:rFonts w:hint="cs"/>
          <w:rtl/>
        </w:rPr>
        <w:t>מהוריי וסביי?</w:t>
      </w:r>
      <w:bookmarkStart w:id="74527" w:name="_ETM_Q132_351540"/>
      <w:bookmarkStart w:id="74528" w:name="_ETM_Q132_351930"/>
      <w:bookmarkEnd w:id="74527"/>
      <w:bookmarkEnd w:id="74528"/>
      <w:r>
        <w:rPr>
          <w:rFonts w:hint="cs"/>
          <w:rtl/>
        </w:rPr>
        <w:t xml:space="preserve"> </w:t>
      </w:r>
      <w:bookmarkStart w:id="74529" w:name="_ETM_Q132_355590"/>
      <w:bookmarkEnd w:id="74529"/>
      <w:r>
        <w:rPr>
          <w:rFonts w:hint="cs"/>
          <w:rtl/>
        </w:rPr>
        <w:t xml:space="preserve">איך </w:t>
      </w:r>
      <w:bookmarkStart w:id="74530" w:name="_ETM_Q132_355889"/>
      <w:bookmarkEnd w:id="74530"/>
      <w:r>
        <w:rPr>
          <w:rFonts w:hint="cs"/>
          <w:rtl/>
        </w:rPr>
        <w:t xml:space="preserve">יכולה </w:t>
      </w:r>
      <w:bookmarkStart w:id="74531" w:name="_ETM_Q132_356460"/>
      <w:bookmarkEnd w:id="74531"/>
      <w:r>
        <w:rPr>
          <w:rFonts w:hint="cs"/>
          <w:rtl/>
        </w:rPr>
        <w:t xml:space="preserve">הדמוקרטיה </w:t>
      </w:r>
      <w:bookmarkStart w:id="74532" w:name="_ETM_Q132_357630"/>
      <w:bookmarkEnd w:id="74532"/>
      <w:r>
        <w:rPr>
          <w:rFonts w:hint="cs"/>
          <w:rtl/>
        </w:rPr>
        <w:t xml:space="preserve">להתקיים </w:t>
      </w:r>
      <w:bookmarkStart w:id="74533" w:name="_ETM_Q132_358350"/>
      <w:bookmarkEnd w:id="74533"/>
      <w:r>
        <w:rPr>
          <w:rFonts w:hint="cs"/>
          <w:rtl/>
        </w:rPr>
        <w:t xml:space="preserve">יחד </w:t>
      </w:r>
      <w:bookmarkStart w:id="74534" w:name="_ETM_Q132_359460"/>
      <w:bookmarkEnd w:id="74534"/>
      <w:r>
        <w:rPr>
          <w:rFonts w:hint="cs"/>
          <w:rtl/>
        </w:rPr>
        <w:t xml:space="preserve">עם </w:t>
      </w:r>
      <w:bookmarkStart w:id="74535" w:name="_ETM_Q132_359610"/>
      <w:bookmarkEnd w:id="74535"/>
      <w:r>
        <w:rPr>
          <w:rFonts w:hint="cs"/>
          <w:rtl/>
        </w:rPr>
        <w:t xml:space="preserve">תשלום </w:t>
      </w:r>
      <w:bookmarkStart w:id="74536" w:name="_ETM_Q132_360030"/>
      <w:bookmarkEnd w:id="74536"/>
      <w:r>
        <w:rPr>
          <w:rFonts w:hint="cs"/>
          <w:rtl/>
        </w:rPr>
        <w:t xml:space="preserve">קנסות במאות אלפי </w:t>
      </w:r>
      <w:bookmarkStart w:id="74537" w:name="_ETM_Q132_360690"/>
      <w:bookmarkStart w:id="74538" w:name="_ETM_Q132_364080"/>
      <w:bookmarkEnd w:id="74537"/>
      <w:bookmarkEnd w:id="74538"/>
      <w:r>
        <w:rPr>
          <w:rFonts w:hint="cs"/>
          <w:rtl/>
        </w:rPr>
        <w:t xml:space="preserve">שקלים </w:t>
      </w:r>
      <w:bookmarkStart w:id="74539" w:name="_ETM_Q132_365410"/>
      <w:bookmarkEnd w:id="74539"/>
      <w:r>
        <w:rPr>
          <w:rFonts w:hint="cs"/>
          <w:rtl/>
        </w:rPr>
        <w:t xml:space="preserve">על </w:t>
      </w:r>
      <w:bookmarkStart w:id="74540" w:name="_ETM_Q132_365740"/>
      <w:bookmarkEnd w:id="74540"/>
      <w:r>
        <w:rPr>
          <w:rFonts w:hint="cs"/>
          <w:rtl/>
        </w:rPr>
        <w:t xml:space="preserve">בנייה </w:t>
      </w:r>
      <w:bookmarkStart w:id="74541" w:name="_ETM_Q132_366250"/>
      <w:bookmarkEnd w:id="74541"/>
      <w:r>
        <w:rPr>
          <w:rFonts w:hint="cs"/>
          <w:rtl/>
        </w:rPr>
        <w:t xml:space="preserve">תחת </w:t>
      </w:r>
      <w:bookmarkStart w:id="74542" w:name="_ETM_Q132_366700"/>
      <w:bookmarkEnd w:id="74542"/>
      <w:r>
        <w:rPr>
          <w:rFonts w:hint="cs"/>
          <w:rtl/>
        </w:rPr>
        <w:t xml:space="preserve">ההגדרה </w:t>
      </w:r>
      <w:bookmarkStart w:id="74543" w:name="_ETM_Q132_367780"/>
      <w:bookmarkEnd w:id="74543"/>
      <w:r>
        <w:rPr>
          <w:rFonts w:hint="cs"/>
          <w:rtl/>
        </w:rPr>
        <w:t xml:space="preserve">"לא חוקית"? </w:t>
      </w:r>
      <w:bookmarkStart w:id="74544" w:name="_ETM_Q132_370010"/>
      <w:bookmarkEnd w:id="74544"/>
      <w:r>
        <w:rPr>
          <w:rFonts w:hint="cs"/>
          <w:rtl/>
        </w:rPr>
        <w:t xml:space="preserve">יעני </w:t>
      </w:r>
      <w:bookmarkStart w:id="74545" w:name="_ETM_Q132_370430"/>
      <w:bookmarkEnd w:id="74545"/>
      <w:r>
        <w:rPr>
          <w:rFonts w:hint="cs"/>
          <w:rtl/>
        </w:rPr>
        <w:t>ב</w:t>
      </w:r>
      <w:bookmarkStart w:id="74546" w:name="_ETM_Q132_370639"/>
      <w:bookmarkEnd w:id="74546"/>
      <w:r>
        <w:rPr>
          <w:rFonts w:hint="cs"/>
          <w:rtl/>
        </w:rPr>
        <w:t>ערבית (אומרת בערבית: השופט והתליין – חד הם).</w:t>
      </w:r>
      <w:bookmarkStart w:id="74547" w:name="_ETM_Q132_371940"/>
      <w:bookmarkStart w:id="74548" w:name="_ETM_Q132_377299"/>
      <w:bookmarkEnd w:id="74547"/>
      <w:bookmarkEnd w:id="74548"/>
      <w:r w:rsidR="00D94B83">
        <w:rPr>
          <w:rFonts w:hint="cs"/>
          <w:rtl/>
        </w:rPr>
        <w:t xml:space="preserve"> </w:t>
      </w:r>
      <w:r>
        <w:rPr>
          <w:rFonts w:hint="cs"/>
          <w:rtl/>
        </w:rPr>
        <w:t xml:space="preserve">איך </w:t>
      </w:r>
      <w:bookmarkStart w:id="74549" w:name="_ETM_Q132_377599"/>
      <w:bookmarkStart w:id="74550" w:name="_ETM_Q132_377689"/>
      <w:bookmarkEnd w:id="74549"/>
      <w:bookmarkEnd w:id="74550"/>
      <w:r>
        <w:rPr>
          <w:rFonts w:hint="cs"/>
          <w:rtl/>
        </w:rPr>
        <w:t xml:space="preserve">יכולה </w:t>
      </w:r>
      <w:bookmarkStart w:id="74551" w:name="_ETM_Q132_378139"/>
      <w:bookmarkEnd w:id="74551"/>
      <w:r>
        <w:rPr>
          <w:rFonts w:hint="cs"/>
          <w:rtl/>
        </w:rPr>
        <w:t xml:space="preserve">להתקיים </w:t>
      </w:r>
      <w:bookmarkStart w:id="74552" w:name="_ETM_Q132_378859"/>
      <w:bookmarkEnd w:id="74552"/>
      <w:r>
        <w:rPr>
          <w:rFonts w:hint="cs"/>
          <w:rtl/>
        </w:rPr>
        <w:t xml:space="preserve">דמוקרטיה </w:t>
      </w:r>
      <w:bookmarkStart w:id="74553" w:name="_ETM_Q132_379700"/>
      <w:bookmarkEnd w:id="74553"/>
      <w:r>
        <w:rPr>
          <w:rFonts w:hint="cs"/>
          <w:rtl/>
        </w:rPr>
        <w:t xml:space="preserve">עם הריסות </w:t>
      </w:r>
      <w:bookmarkStart w:id="74554" w:name="_ETM_Q132_380510"/>
      <w:bookmarkEnd w:id="74554"/>
      <w:r>
        <w:rPr>
          <w:rFonts w:hint="cs"/>
          <w:rtl/>
        </w:rPr>
        <w:t xml:space="preserve">ממושכות </w:t>
      </w:r>
      <w:bookmarkStart w:id="74555" w:name="_ETM_Q132_382370"/>
      <w:bookmarkEnd w:id="74555"/>
      <w:r>
        <w:rPr>
          <w:rFonts w:hint="cs"/>
          <w:rtl/>
        </w:rPr>
        <w:t xml:space="preserve">וזריקת </w:t>
      </w:r>
      <w:bookmarkStart w:id="74556" w:name="_ETM_Q132_383269"/>
      <w:bookmarkEnd w:id="74556"/>
      <w:r>
        <w:rPr>
          <w:rFonts w:hint="cs"/>
          <w:rtl/>
        </w:rPr>
        <w:t xml:space="preserve">אנשים </w:t>
      </w:r>
      <w:bookmarkStart w:id="74557" w:name="_ETM_Q132_383930"/>
      <w:bookmarkEnd w:id="74557"/>
      <w:r>
        <w:rPr>
          <w:rFonts w:hint="cs"/>
          <w:rtl/>
        </w:rPr>
        <w:t xml:space="preserve">ללא </w:t>
      </w:r>
      <w:bookmarkStart w:id="74558" w:name="_ETM_Q132_384290"/>
      <w:bookmarkEnd w:id="74558"/>
      <w:r>
        <w:rPr>
          <w:rFonts w:hint="cs"/>
          <w:rtl/>
        </w:rPr>
        <w:t xml:space="preserve">קורת </w:t>
      </w:r>
      <w:bookmarkStart w:id="74559" w:name="_ETM_Q132_384799"/>
      <w:bookmarkEnd w:id="74559"/>
      <w:r>
        <w:rPr>
          <w:rFonts w:hint="cs"/>
          <w:rtl/>
        </w:rPr>
        <w:t xml:space="preserve">גג </w:t>
      </w:r>
      <w:bookmarkStart w:id="74560" w:name="_ETM_Q132_386209"/>
      <w:bookmarkEnd w:id="74560"/>
      <w:r>
        <w:rPr>
          <w:rFonts w:hint="cs"/>
          <w:rtl/>
        </w:rPr>
        <w:t xml:space="preserve">בלי </w:t>
      </w:r>
      <w:bookmarkStart w:id="74561" w:name="_ETM_Q132_386599"/>
      <w:bookmarkEnd w:id="74561"/>
      <w:r>
        <w:rPr>
          <w:rFonts w:hint="cs"/>
          <w:rtl/>
        </w:rPr>
        <w:t xml:space="preserve">להתחשב </w:t>
      </w:r>
      <w:bookmarkStart w:id="74562" w:name="_ETM_Q132_387589"/>
      <w:bookmarkEnd w:id="74562"/>
      <w:r>
        <w:rPr>
          <w:rFonts w:hint="cs"/>
          <w:rtl/>
        </w:rPr>
        <w:t xml:space="preserve">בהם, </w:t>
      </w:r>
      <w:bookmarkStart w:id="74563" w:name="_ETM_Q132_388549"/>
      <w:bookmarkEnd w:id="74563"/>
      <w:r>
        <w:rPr>
          <w:rFonts w:hint="cs"/>
          <w:rtl/>
        </w:rPr>
        <w:t xml:space="preserve">לא </w:t>
      </w:r>
      <w:bookmarkStart w:id="74564" w:name="_ETM_Q132_388849"/>
      <w:bookmarkEnd w:id="74564"/>
      <w:r>
        <w:rPr>
          <w:rFonts w:hint="cs"/>
          <w:rtl/>
        </w:rPr>
        <w:t xml:space="preserve">בקור </w:t>
      </w:r>
      <w:bookmarkStart w:id="74565" w:name="_ETM_Q132_390880"/>
      <w:bookmarkEnd w:id="74565"/>
      <w:r>
        <w:rPr>
          <w:rFonts w:hint="cs"/>
          <w:rtl/>
        </w:rPr>
        <w:t xml:space="preserve">ולא </w:t>
      </w:r>
      <w:bookmarkStart w:id="74566" w:name="_ETM_Q132_391599"/>
      <w:bookmarkEnd w:id="74566"/>
      <w:r>
        <w:rPr>
          <w:rFonts w:hint="cs"/>
          <w:rtl/>
        </w:rPr>
        <w:t>בשרב?</w:t>
      </w:r>
      <w:bookmarkStart w:id="74567" w:name="_ETM_Q132_391989"/>
      <w:bookmarkEnd w:id="74567"/>
      <w:r>
        <w:rPr>
          <w:rFonts w:hint="cs"/>
          <w:rtl/>
        </w:rPr>
        <w:t xml:space="preserve"> </w:t>
      </w:r>
      <w:bookmarkStart w:id="74568" w:name="_ETM_Q132_394400"/>
      <w:bookmarkEnd w:id="74568"/>
      <w:r>
        <w:rPr>
          <w:rFonts w:hint="cs"/>
          <w:rtl/>
        </w:rPr>
        <w:t xml:space="preserve">תגידו </w:t>
      </w:r>
      <w:bookmarkStart w:id="74569" w:name="_ETM_Q132_394909"/>
      <w:bookmarkEnd w:id="74569"/>
      <w:r>
        <w:rPr>
          <w:rFonts w:hint="cs"/>
          <w:rtl/>
        </w:rPr>
        <w:t xml:space="preserve">לי, </w:t>
      </w:r>
      <w:bookmarkStart w:id="74570" w:name="_ETM_Q132_396469"/>
      <w:bookmarkEnd w:id="74570"/>
      <w:r>
        <w:rPr>
          <w:rFonts w:hint="cs"/>
          <w:rtl/>
        </w:rPr>
        <w:t xml:space="preserve">תגידו </w:t>
      </w:r>
      <w:bookmarkStart w:id="74571" w:name="_ETM_Q132_396920"/>
      <w:bookmarkEnd w:id="74571"/>
      <w:r>
        <w:rPr>
          <w:rFonts w:hint="cs"/>
          <w:rtl/>
        </w:rPr>
        <w:t xml:space="preserve">לעצמכם, </w:t>
      </w:r>
      <w:bookmarkStart w:id="74572" w:name="_ETM_Q132_398999"/>
      <w:bookmarkEnd w:id="74572"/>
      <w:r>
        <w:rPr>
          <w:rFonts w:hint="cs"/>
          <w:rtl/>
        </w:rPr>
        <w:t xml:space="preserve">איך </w:t>
      </w:r>
      <w:bookmarkStart w:id="74573" w:name="_ETM_Q132_399269"/>
      <w:bookmarkStart w:id="74574" w:name="_ETM_Q132_399359"/>
      <w:bookmarkEnd w:id="74573"/>
      <w:bookmarkEnd w:id="74574"/>
      <w:r>
        <w:rPr>
          <w:rFonts w:hint="cs"/>
          <w:rtl/>
        </w:rPr>
        <w:t xml:space="preserve">יכולה </w:t>
      </w:r>
      <w:bookmarkStart w:id="74575" w:name="_ETM_Q132_399810"/>
      <w:bookmarkEnd w:id="74575"/>
      <w:r>
        <w:rPr>
          <w:rFonts w:hint="cs"/>
          <w:rtl/>
        </w:rPr>
        <w:t xml:space="preserve">להתקיים </w:t>
      </w:r>
      <w:bookmarkStart w:id="74576" w:name="_ETM_Q132_400530"/>
      <w:bookmarkEnd w:id="74576"/>
      <w:r>
        <w:rPr>
          <w:rFonts w:hint="cs"/>
          <w:rtl/>
        </w:rPr>
        <w:t xml:space="preserve">דמוקרטיה </w:t>
      </w:r>
      <w:bookmarkStart w:id="74577" w:name="_ETM_Q132_402330"/>
      <w:bookmarkEnd w:id="74577"/>
      <w:r>
        <w:rPr>
          <w:rFonts w:hint="cs"/>
          <w:rtl/>
        </w:rPr>
        <w:t xml:space="preserve">כאשר </w:t>
      </w:r>
      <w:bookmarkStart w:id="74578" w:name="_ETM_Q132_403110"/>
      <w:bookmarkEnd w:id="74578"/>
      <w:r>
        <w:rPr>
          <w:rFonts w:hint="cs"/>
          <w:rtl/>
        </w:rPr>
        <w:t xml:space="preserve">יותר </w:t>
      </w:r>
      <w:bookmarkStart w:id="74579" w:name="_ETM_Q132_403590"/>
      <w:bookmarkEnd w:id="74579"/>
      <w:r>
        <w:rPr>
          <w:rFonts w:hint="cs"/>
          <w:rtl/>
        </w:rPr>
        <w:t xml:space="preserve">מ-130,000 </w:t>
      </w:r>
      <w:bookmarkStart w:id="74580" w:name="_ETM_Q132_405900"/>
      <w:bookmarkEnd w:id="74580"/>
      <w:r>
        <w:rPr>
          <w:rFonts w:hint="cs"/>
          <w:rtl/>
        </w:rPr>
        <w:t xml:space="preserve">אזרחים, </w:t>
      </w:r>
      <w:bookmarkStart w:id="74581" w:name="_ETM_Q132_407190"/>
      <w:bookmarkEnd w:id="74581"/>
      <w:r>
        <w:rPr>
          <w:rFonts w:hint="cs"/>
          <w:rtl/>
        </w:rPr>
        <w:t xml:space="preserve">תינוקות, </w:t>
      </w:r>
      <w:bookmarkStart w:id="74582" w:name="_ETM_Q132_408150"/>
      <w:bookmarkEnd w:id="74582"/>
      <w:r>
        <w:rPr>
          <w:rFonts w:hint="cs"/>
          <w:rtl/>
        </w:rPr>
        <w:t xml:space="preserve">ילדים, </w:t>
      </w:r>
      <w:bookmarkStart w:id="74583" w:name="_ETM_Q132_408870"/>
      <w:bookmarkEnd w:id="74583"/>
      <w:r>
        <w:rPr>
          <w:rFonts w:hint="cs"/>
          <w:rtl/>
        </w:rPr>
        <w:t xml:space="preserve">נשים </w:t>
      </w:r>
      <w:bookmarkStart w:id="74584" w:name="_ETM_Q132_409440"/>
      <w:bookmarkEnd w:id="74584"/>
      <w:r>
        <w:rPr>
          <w:rFonts w:hint="cs"/>
          <w:rtl/>
        </w:rPr>
        <w:t xml:space="preserve">ומבוגרים </w:t>
      </w:r>
      <w:bookmarkStart w:id="74585" w:name="_ETM_Q132_410900"/>
      <w:bookmarkEnd w:id="74585"/>
      <w:r>
        <w:rPr>
          <w:rFonts w:hint="cs"/>
          <w:rtl/>
        </w:rPr>
        <w:t xml:space="preserve">שגרים </w:t>
      </w:r>
      <w:bookmarkStart w:id="74586" w:name="_ETM_Q132_412129"/>
      <w:bookmarkEnd w:id="74586"/>
      <w:r>
        <w:rPr>
          <w:rFonts w:hint="cs"/>
          <w:rtl/>
        </w:rPr>
        <w:t xml:space="preserve">על </w:t>
      </w:r>
      <w:bookmarkStart w:id="74587" w:name="_ETM_Q132_412370"/>
      <w:bookmarkStart w:id="74588" w:name="_ETM_Q132_412549"/>
      <w:bookmarkEnd w:id="74587"/>
      <w:bookmarkEnd w:id="74588"/>
      <w:r>
        <w:rPr>
          <w:rFonts w:hint="cs"/>
          <w:rtl/>
        </w:rPr>
        <w:t xml:space="preserve">אדמת </w:t>
      </w:r>
      <w:bookmarkStart w:id="74589" w:name="_ETM_Q132_413489"/>
      <w:bookmarkEnd w:id="74589"/>
      <w:r>
        <w:rPr>
          <w:rFonts w:hint="cs"/>
          <w:rtl/>
        </w:rPr>
        <w:t xml:space="preserve">הוריהם </w:t>
      </w:r>
      <w:bookmarkStart w:id="74590" w:name="_ETM_Q132_414359"/>
      <w:bookmarkEnd w:id="74590"/>
      <w:r>
        <w:rPr>
          <w:rFonts w:hint="cs"/>
          <w:rtl/>
        </w:rPr>
        <w:t>אבותיהם</w:t>
      </w:r>
      <w:bookmarkStart w:id="74591" w:name="_ETM_Q132_416849"/>
      <w:bookmarkEnd w:id="74591"/>
      <w:r>
        <w:rPr>
          <w:rFonts w:hint="cs"/>
          <w:rtl/>
        </w:rPr>
        <w:t xml:space="preserve">, חיים </w:t>
      </w:r>
      <w:bookmarkStart w:id="74592" w:name="_ETM_Q132_417480"/>
      <w:bookmarkEnd w:id="74592"/>
      <w:r>
        <w:rPr>
          <w:rFonts w:hint="cs"/>
          <w:rtl/>
        </w:rPr>
        <w:t xml:space="preserve">בתנאים </w:t>
      </w:r>
      <w:bookmarkStart w:id="74593" w:name="_ETM_Q132_418319"/>
      <w:bookmarkEnd w:id="74593"/>
      <w:r>
        <w:rPr>
          <w:rFonts w:hint="cs"/>
          <w:rtl/>
        </w:rPr>
        <w:t>מעידן (אומרת בערבית: האבן), מהפרה-היסטוריה</w:t>
      </w:r>
      <w:bookmarkStart w:id="74594" w:name="_ETM_Q132_420299"/>
      <w:bookmarkStart w:id="74595" w:name="_ETM_Q132_420450"/>
      <w:bookmarkStart w:id="74596" w:name="_ETM_Q132_420870"/>
      <w:bookmarkStart w:id="74597" w:name="_ETM_Q132_421629"/>
      <w:bookmarkStart w:id="74598" w:name="_ETM_Q132_421989"/>
      <w:bookmarkStart w:id="74599" w:name="_ETM_Q132_422200"/>
      <w:bookmarkEnd w:id="74594"/>
      <w:bookmarkEnd w:id="74595"/>
      <w:bookmarkEnd w:id="74596"/>
      <w:bookmarkEnd w:id="74597"/>
      <w:bookmarkEnd w:id="74598"/>
      <w:bookmarkEnd w:id="74599"/>
      <w:r>
        <w:rPr>
          <w:rFonts w:hint="cs"/>
          <w:rtl/>
        </w:rPr>
        <w:t xml:space="preserve">, </w:t>
      </w:r>
      <w:bookmarkStart w:id="74600" w:name="_ETM_Q132_423659"/>
      <w:bookmarkEnd w:id="74600"/>
      <w:r>
        <w:rPr>
          <w:rFonts w:hint="cs"/>
          <w:rtl/>
        </w:rPr>
        <w:t xml:space="preserve">בלי </w:t>
      </w:r>
      <w:bookmarkStart w:id="74601" w:name="_ETM_Q132_424079"/>
      <w:bookmarkEnd w:id="74601"/>
      <w:r>
        <w:rPr>
          <w:rFonts w:hint="cs"/>
          <w:rtl/>
        </w:rPr>
        <w:t xml:space="preserve">שום </w:t>
      </w:r>
      <w:bookmarkStart w:id="74602" w:name="_ETM_Q132_424769"/>
      <w:bookmarkEnd w:id="74602"/>
      <w:r>
        <w:rPr>
          <w:rFonts w:hint="cs"/>
          <w:rtl/>
        </w:rPr>
        <w:t xml:space="preserve">שירותים </w:t>
      </w:r>
      <w:bookmarkStart w:id="74603" w:name="_ETM_Q132_425730"/>
      <w:bookmarkEnd w:id="74603"/>
      <w:r>
        <w:rPr>
          <w:rFonts w:hint="cs"/>
          <w:rtl/>
        </w:rPr>
        <w:t xml:space="preserve">אלמנטריים </w:t>
      </w:r>
      <w:bookmarkStart w:id="74604" w:name="_ETM_Q132_426629"/>
      <w:bookmarkEnd w:id="74604"/>
      <w:r>
        <w:rPr>
          <w:rFonts w:hint="cs"/>
          <w:rtl/>
        </w:rPr>
        <w:t xml:space="preserve">לחיים, </w:t>
      </w:r>
      <w:bookmarkStart w:id="74605" w:name="_ETM_Q132_427889"/>
      <w:bookmarkEnd w:id="74605"/>
      <w:r>
        <w:rPr>
          <w:rFonts w:hint="cs"/>
          <w:rtl/>
        </w:rPr>
        <w:t xml:space="preserve">לא </w:t>
      </w:r>
      <w:bookmarkStart w:id="74606" w:name="_ETM_Q132_428129"/>
      <w:bookmarkEnd w:id="74606"/>
      <w:r>
        <w:rPr>
          <w:rFonts w:hint="cs"/>
          <w:rtl/>
        </w:rPr>
        <w:t xml:space="preserve">בריאות, </w:t>
      </w:r>
      <w:bookmarkStart w:id="74607" w:name="_ETM_Q132_429219"/>
      <w:bookmarkEnd w:id="74607"/>
      <w:r>
        <w:rPr>
          <w:rFonts w:hint="cs"/>
          <w:rtl/>
        </w:rPr>
        <w:t xml:space="preserve">לא </w:t>
      </w:r>
      <w:bookmarkStart w:id="74608" w:name="_ETM_Q132_429579"/>
      <w:bookmarkEnd w:id="74608"/>
      <w:r>
        <w:rPr>
          <w:rFonts w:hint="cs"/>
          <w:rtl/>
        </w:rPr>
        <w:t xml:space="preserve">חינוך, </w:t>
      </w:r>
      <w:bookmarkStart w:id="74609" w:name="_ETM_Q132_430650"/>
      <w:bookmarkEnd w:id="74609"/>
      <w:r>
        <w:rPr>
          <w:rFonts w:hint="cs"/>
          <w:rtl/>
        </w:rPr>
        <w:t xml:space="preserve">בלי </w:t>
      </w:r>
      <w:bookmarkStart w:id="74610" w:name="_ETM_Q132_430980"/>
      <w:bookmarkEnd w:id="74610"/>
      <w:r>
        <w:rPr>
          <w:rFonts w:hint="cs"/>
          <w:rtl/>
        </w:rPr>
        <w:t xml:space="preserve">מים </w:t>
      </w:r>
      <w:bookmarkStart w:id="74611" w:name="_ETM_Q132_432459"/>
      <w:bookmarkEnd w:id="74611"/>
      <w:r>
        <w:rPr>
          <w:rFonts w:hint="cs"/>
          <w:rtl/>
        </w:rPr>
        <w:t>ו</w:t>
      </w:r>
      <w:bookmarkStart w:id="74612" w:name="_ETM_Q132_432549"/>
      <w:bookmarkEnd w:id="74612"/>
      <w:r>
        <w:rPr>
          <w:rFonts w:hint="cs"/>
          <w:rtl/>
        </w:rPr>
        <w:t xml:space="preserve">בלי </w:t>
      </w:r>
      <w:bookmarkStart w:id="74613" w:name="_ETM_Q132_432790"/>
      <w:bookmarkEnd w:id="74613"/>
      <w:r>
        <w:rPr>
          <w:rFonts w:hint="cs"/>
          <w:rtl/>
        </w:rPr>
        <w:t xml:space="preserve">חשמל? </w:t>
      </w:r>
      <w:bookmarkStart w:id="74614" w:name="_ETM_Q132_435190"/>
      <w:bookmarkEnd w:id="74614"/>
      <w:r>
        <w:rPr>
          <w:rFonts w:hint="cs"/>
          <w:rtl/>
        </w:rPr>
        <w:t xml:space="preserve">תגידו </w:t>
      </w:r>
      <w:bookmarkStart w:id="74615" w:name="_ETM_Q132_435820"/>
      <w:bookmarkEnd w:id="74615"/>
      <w:r>
        <w:rPr>
          <w:rFonts w:hint="cs"/>
          <w:rtl/>
        </w:rPr>
        <w:t xml:space="preserve">לי, </w:t>
      </w:r>
      <w:bookmarkStart w:id="74616" w:name="_ETM_Q132_438370"/>
      <w:bookmarkEnd w:id="74616"/>
      <w:r>
        <w:rPr>
          <w:rFonts w:hint="cs"/>
          <w:rtl/>
        </w:rPr>
        <w:t xml:space="preserve">למה </w:t>
      </w:r>
      <w:bookmarkStart w:id="74617" w:name="_ETM_Q132_439870"/>
      <w:bookmarkEnd w:id="74617"/>
      <w:r>
        <w:rPr>
          <w:rFonts w:hint="cs"/>
          <w:rtl/>
        </w:rPr>
        <w:t>ל</w:t>
      </w:r>
      <w:bookmarkStart w:id="74618" w:name="_ETM_Q132_440110"/>
      <w:bookmarkEnd w:id="74618"/>
      <w:r>
        <w:rPr>
          <w:rFonts w:hint="cs"/>
          <w:rtl/>
        </w:rPr>
        <w:t xml:space="preserve">למאר </w:t>
      </w:r>
      <w:bookmarkStart w:id="74619" w:name="_ETM_Q132_442349"/>
      <w:bookmarkEnd w:id="74619"/>
      <w:r>
        <w:rPr>
          <w:rFonts w:hint="cs"/>
          <w:rtl/>
        </w:rPr>
        <w:t xml:space="preserve">בת </w:t>
      </w:r>
      <w:bookmarkStart w:id="74620" w:name="_ETM_Q132_442680"/>
      <w:bookmarkEnd w:id="74620"/>
      <w:r>
        <w:rPr>
          <w:rFonts w:hint="cs"/>
          <w:rtl/>
        </w:rPr>
        <w:t>ה</w:t>
      </w:r>
      <w:bookmarkStart w:id="74621" w:name="_ETM_Q132_444410"/>
      <w:bookmarkEnd w:id="74621"/>
      <w:r>
        <w:rPr>
          <w:rFonts w:hint="cs"/>
          <w:rtl/>
        </w:rPr>
        <w:t>שבע, ש</w:t>
      </w:r>
      <w:bookmarkStart w:id="74622" w:name="_ETM_Q132_444680"/>
      <w:bookmarkEnd w:id="74622"/>
      <w:r>
        <w:rPr>
          <w:rFonts w:hint="cs"/>
          <w:rtl/>
        </w:rPr>
        <w:t xml:space="preserve">באה </w:t>
      </w:r>
      <w:bookmarkStart w:id="74623" w:name="_ETM_Q132_445010"/>
      <w:bookmarkEnd w:id="74623"/>
      <w:r>
        <w:rPr>
          <w:rFonts w:hint="cs"/>
          <w:rtl/>
        </w:rPr>
        <w:t xml:space="preserve">להראות </w:t>
      </w:r>
      <w:bookmarkStart w:id="74624" w:name="_ETM_Q132_445700"/>
      <w:bookmarkEnd w:id="74624"/>
      <w:r>
        <w:rPr>
          <w:rFonts w:hint="cs"/>
          <w:rtl/>
        </w:rPr>
        <w:t xml:space="preserve">לי </w:t>
      </w:r>
      <w:bookmarkStart w:id="74625" w:name="_ETM_Q132_446180"/>
      <w:bookmarkEnd w:id="74625"/>
      <w:r>
        <w:rPr>
          <w:rFonts w:hint="cs"/>
          <w:rtl/>
        </w:rPr>
        <w:t xml:space="preserve">את </w:t>
      </w:r>
      <w:bookmarkStart w:id="74626" w:name="_ETM_Q132_446390"/>
      <w:bookmarkEnd w:id="74626"/>
      <w:r>
        <w:rPr>
          <w:rFonts w:hint="cs"/>
          <w:rtl/>
        </w:rPr>
        <w:t xml:space="preserve">הדרך </w:t>
      </w:r>
      <w:bookmarkStart w:id="74627" w:name="_ETM_Q132_447889"/>
      <w:bookmarkEnd w:id="74627"/>
      <w:r>
        <w:rPr>
          <w:rFonts w:hint="cs"/>
          <w:rtl/>
        </w:rPr>
        <w:t xml:space="preserve">בחושך, </w:t>
      </w:r>
      <w:bookmarkStart w:id="74628" w:name="_ETM_Q132_450039"/>
      <w:bookmarkEnd w:id="74628"/>
      <w:r>
        <w:rPr>
          <w:rFonts w:hint="cs"/>
          <w:rtl/>
        </w:rPr>
        <w:t xml:space="preserve">לא </w:t>
      </w:r>
      <w:bookmarkStart w:id="74629" w:name="_ETM_Q132_450430"/>
      <w:bookmarkEnd w:id="74629"/>
      <w:r>
        <w:rPr>
          <w:rFonts w:hint="cs"/>
          <w:rtl/>
        </w:rPr>
        <w:t xml:space="preserve">מגיע </w:t>
      </w:r>
      <w:bookmarkStart w:id="74630" w:name="_ETM_Q132_453089"/>
      <w:bookmarkEnd w:id="74630"/>
      <w:r>
        <w:rPr>
          <w:rFonts w:hint="cs"/>
          <w:rtl/>
        </w:rPr>
        <w:t xml:space="preserve">בית </w:t>
      </w:r>
      <w:bookmarkStart w:id="74631" w:name="_ETM_Q132_455000"/>
      <w:bookmarkEnd w:id="74631"/>
      <w:r>
        <w:rPr>
          <w:rFonts w:hint="cs"/>
          <w:rtl/>
        </w:rPr>
        <w:t xml:space="preserve">עם </w:t>
      </w:r>
      <w:bookmarkStart w:id="74632" w:name="_ETM_Q132_455180"/>
      <w:bookmarkEnd w:id="74632"/>
      <w:r>
        <w:rPr>
          <w:rFonts w:hint="cs"/>
          <w:rtl/>
        </w:rPr>
        <w:t xml:space="preserve">חשמל </w:t>
      </w:r>
      <w:bookmarkStart w:id="74633" w:name="_ETM_Q132_455930"/>
      <w:bookmarkEnd w:id="74633"/>
      <w:r>
        <w:rPr>
          <w:rFonts w:hint="cs"/>
          <w:rtl/>
        </w:rPr>
        <w:t>ואור</w:t>
      </w:r>
      <w:bookmarkStart w:id="74634" w:name="_ETM_Q132_458120"/>
      <w:bookmarkEnd w:id="74634"/>
      <w:r>
        <w:rPr>
          <w:rFonts w:hint="cs"/>
          <w:rtl/>
        </w:rPr>
        <w:t xml:space="preserve">, עם </w:t>
      </w:r>
      <w:bookmarkStart w:id="74635" w:name="_ETM_Q132_458330"/>
      <w:bookmarkEnd w:id="74635"/>
      <w:r>
        <w:rPr>
          <w:rFonts w:hint="cs"/>
          <w:rtl/>
        </w:rPr>
        <w:t xml:space="preserve">שולחן </w:t>
      </w:r>
      <w:bookmarkStart w:id="74636" w:name="_ETM_Q132_458990"/>
      <w:bookmarkEnd w:id="74636"/>
      <w:r>
        <w:rPr>
          <w:rFonts w:hint="cs"/>
          <w:rtl/>
        </w:rPr>
        <w:t xml:space="preserve">כתיבה, </w:t>
      </w:r>
      <w:bookmarkStart w:id="74637" w:name="_ETM_Q132_461050"/>
      <w:bookmarkEnd w:id="74637"/>
      <w:r>
        <w:rPr>
          <w:rFonts w:hint="cs"/>
          <w:rtl/>
        </w:rPr>
        <w:t xml:space="preserve">עם </w:t>
      </w:r>
      <w:bookmarkStart w:id="74638" w:name="_ETM_Q132_461319"/>
      <w:bookmarkStart w:id="74639" w:name="_ETM_Q132_461589"/>
      <w:bookmarkEnd w:id="74638"/>
      <w:bookmarkEnd w:id="74639"/>
      <w:r>
        <w:rPr>
          <w:rFonts w:hint="cs"/>
          <w:rtl/>
        </w:rPr>
        <w:t xml:space="preserve">שירותים </w:t>
      </w:r>
      <w:bookmarkStart w:id="74640" w:name="_ETM_Q132_462010"/>
      <w:bookmarkEnd w:id="74640"/>
      <w:r>
        <w:rPr>
          <w:rFonts w:hint="cs"/>
          <w:rtl/>
        </w:rPr>
        <w:t xml:space="preserve">בתוך </w:t>
      </w:r>
      <w:bookmarkStart w:id="74641" w:name="_ETM_Q132_462460"/>
      <w:bookmarkEnd w:id="74641"/>
      <w:r>
        <w:rPr>
          <w:rFonts w:hint="cs"/>
          <w:rtl/>
        </w:rPr>
        <w:t xml:space="preserve">הבית, </w:t>
      </w:r>
      <w:bookmarkStart w:id="74642" w:name="_ETM_Q132_464069"/>
      <w:bookmarkEnd w:id="74642"/>
      <w:r>
        <w:rPr>
          <w:rFonts w:hint="cs"/>
          <w:rtl/>
        </w:rPr>
        <w:t xml:space="preserve">עם </w:t>
      </w:r>
      <w:bookmarkStart w:id="74643" w:name="_ETM_Q132_464370"/>
      <w:bookmarkEnd w:id="74643"/>
      <w:r>
        <w:rPr>
          <w:rFonts w:hint="cs"/>
          <w:rtl/>
        </w:rPr>
        <w:t xml:space="preserve">מים </w:t>
      </w:r>
      <w:bookmarkStart w:id="74644" w:name="_ETM_Q132_464789"/>
      <w:bookmarkEnd w:id="74644"/>
      <w:r>
        <w:rPr>
          <w:rFonts w:hint="cs"/>
          <w:rtl/>
        </w:rPr>
        <w:t xml:space="preserve">להתקלח, </w:t>
      </w:r>
      <w:bookmarkStart w:id="74645" w:name="_ETM_Q132_466659"/>
      <w:bookmarkEnd w:id="74645"/>
      <w:r>
        <w:rPr>
          <w:rFonts w:hint="cs"/>
          <w:rtl/>
        </w:rPr>
        <w:t xml:space="preserve">עם </w:t>
      </w:r>
      <w:bookmarkStart w:id="74646" w:name="_ETM_Q132_466870"/>
      <w:bookmarkEnd w:id="74646"/>
      <w:r>
        <w:rPr>
          <w:rFonts w:hint="cs"/>
          <w:rtl/>
        </w:rPr>
        <w:t xml:space="preserve">בית </w:t>
      </w:r>
      <w:bookmarkStart w:id="74647" w:name="_ETM_Q132_467110"/>
      <w:bookmarkEnd w:id="74647"/>
      <w:r>
        <w:rPr>
          <w:rFonts w:hint="cs"/>
          <w:rtl/>
        </w:rPr>
        <w:t xml:space="preserve">ספר </w:t>
      </w:r>
      <w:bookmarkStart w:id="74648" w:name="_ETM_Q132_467919"/>
      <w:bookmarkEnd w:id="74648"/>
      <w:r>
        <w:rPr>
          <w:rFonts w:hint="cs"/>
          <w:rtl/>
        </w:rPr>
        <w:t xml:space="preserve">בנסיעה </w:t>
      </w:r>
      <w:bookmarkStart w:id="74649" w:name="_ETM_Q132_468490"/>
      <w:bookmarkEnd w:id="74649"/>
      <w:r>
        <w:rPr>
          <w:rFonts w:hint="cs"/>
          <w:rtl/>
        </w:rPr>
        <w:t>סביר</w:t>
      </w:r>
      <w:bookmarkStart w:id="74650" w:name="_ETM_Q132_470839"/>
      <w:bookmarkEnd w:id="74650"/>
      <w:r>
        <w:rPr>
          <w:rFonts w:hint="cs"/>
          <w:rtl/>
        </w:rPr>
        <w:t xml:space="preserve">ה? אגב, </w:t>
      </w:r>
      <w:bookmarkStart w:id="74651" w:name="_ETM_Q132_471380"/>
      <w:bookmarkEnd w:id="74651"/>
      <w:r>
        <w:rPr>
          <w:rFonts w:hint="cs"/>
          <w:rtl/>
        </w:rPr>
        <w:t xml:space="preserve">עילת </w:t>
      </w:r>
      <w:bookmarkStart w:id="74652" w:name="_ETM_Q132_471740"/>
      <w:bookmarkEnd w:id="74652"/>
      <w:r>
        <w:rPr>
          <w:rFonts w:hint="cs"/>
          <w:rtl/>
        </w:rPr>
        <w:t xml:space="preserve">הסבירות – </w:t>
      </w:r>
      <w:bookmarkStart w:id="74653" w:name="_ETM_Q132_473839"/>
      <w:bookmarkEnd w:id="74653"/>
      <w:r>
        <w:rPr>
          <w:rFonts w:hint="cs"/>
          <w:rtl/>
        </w:rPr>
        <w:t>למה ללמאר</w:t>
      </w:r>
      <w:bookmarkStart w:id="74654" w:name="_ETM_Q132_474680"/>
      <w:bookmarkEnd w:id="74654"/>
      <w:r>
        <w:rPr>
          <w:rFonts w:hint="cs"/>
          <w:rtl/>
        </w:rPr>
        <w:t xml:space="preserve"> מאבו</w:t>
      </w:r>
      <w:r w:rsidR="00D94B83">
        <w:rPr>
          <w:rFonts w:hint="cs"/>
          <w:rtl/>
        </w:rPr>
        <w:t xml:space="preserve"> </w:t>
      </w:r>
      <w:r>
        <w:rPr>
          <w:rFonts w:hint="cs"/>
          <w:rtl/>
        </w:rPr>
        <w:t>טלח</w:t>
      </w:r>
      <w:bookmarkStart w:id="74655" w:name="_ETM_Q132_475400"/>
      <w:bookmarkStart w:id="74656" w:name="_ETM_Q132_475940"/>
      <w:bookmarkEnd w:id="74655"/>
      <w:bookmarkEnd w:id="74656"/>
      <w:r>
        <w:rPr>
          <w:rFonts w:hint="cs"/>
          <w:rtl/>
        </w:rPr>
        <w:t xml:space="preserve"> </w:t>
      </w:r>
      <w:bookmarkStart w:id="74657" w:name="_ETM_Q132_476479"/>
      <w:bookmarkEnd w:id="74657"/>
      <w:r>
        <w:rPr>
          <w:rFonts w:hint="cs"/>
          <w:rtl/>
        </w:rPr>
        <w:t xml:space="preserve">ולחברות </w:t>
      </w:r>
      <w:bookmarkStart w:id="74658" w:name="_ETM_Q132_477440"/>
      <w:bookmarkEnd w:id="74658"/>
      <w:r>
        <w:rPr>
          <w:rFonts w:hint="cs"/>
          <w:rtl/>
        </w:rPr>
        <w:t xml:space="preserve">שלה </w:t>
      </w:r>
      <w:bookmarkStart w:id="74659" w:name="_ETM_Q132_480160"/>
      <w:bookmarkEnd w:id="74659"/>
      <w:r>
        <w:rPr>
          <w:rFonts w:hint="cs"/>
          <w:rtl/>
        </w:rPr>
        <w:t>ו</w:t>
      </w:r>
      <w:bookmarkStart w:id="74660" w:name="_ETM_Q132_480400"/>
      <w:bookmarkEnd w:id="74660"/>
      <w:r>
        <w:rPr>
          <w:rFonts w:hint="cs"/>
          <w:rtl/>
        </w:rPr>
        <w:t xml:space="preserve">לילדים </w:t>
      </w:r>
      <w:bookmarkStart w:id="74661" w:name="_ETM_Q132_481060"/>
      <w:bookmarkEnd w:id="74661"/>
      <w:r>
        <w:rPr>
          <w:rFonts w:hint="cs"/>
          <w:rtl/>
        </w:rPr>
        <w:t>בני גילה</w:t>
      </w:r>
      <w:bookmarkStart w:id="74662" w:name="_ETM_Q132_480810"/>
      <w:bookmarkStart w:id="74663" w:name="_ETM_Q132_481050"/>
      <w:bookmarkStart w:id="74664" w:name="_ETM_Q132_481709"/>
      <w:bookmarkStart w:id="74665" w:name="_ETM_Q132_482040"/>
      <w:bookmarkEnd w:id="74662"/>
      <w:bookmarkEnd w:id="74663"/>
      <w:bookmarkEnd w:id="74664"/>
      <w:bookmarkEnd w:id="74665"/>
      <w:r>
        <w:rPr>
          <w:rFonts w:hint="cs"/>
          <w:rtl/>
        </w:rPr>
        <w:t xml:space="preserve"> </w:t>
      </w:r>
      <w:bookmarkStart w:id="74666" w:name="_ETM_Q132_484049"/>
      <w:bookmarkEnd w:id="74666"/>
      <w:r>
        <w:rPr>
          <w:rFonts w:hint="cs"/>
          <w:rtl/>
        </w:rPr>
        <w:t xml:space="preserve">לא </w:t>
      </w:r>
      <w:bookmarkStart w:id="74667" w:name="_ETM_Q132_484500"/>
      <w:bookmarkEnd w:id="74667"/>
      <w:r>
        <w:rPr>
          <w:rFonts w:hint="cs"/>
          <w:rtl/>
        </w:rPr>
        <w:t xml:space="preserve">מגיעות </w:t>
      </w:r>
      <w:bookmarkStart w:id="74668" w:name="_ETM_Q132_486170"/>
      <w:bookmarkEnd w:id="74668"/>
      <w:r>
        <w:rPr>
          <w:rFonts w:hint="cs"/>
          <w:rtl/>
        </w:rPr>
        <w:t xml:space="preserve">זכויות </w:t>
      </w:r>
      <w:bookmarkStart w:id="74669" w:name="_ETM_Q132_486740"/>
      <w:bookmarkEnd w:id="74669"/>
      <w:r>
        <w:rPr>
          <w:rFonts w:hint="cs"/>
          <w:rtl/>
        </w:rPr>
        <w:t xml:space="preserve">כמו </w:t>
      </w:r>
      <w:bookmarkStart w:id="74670" w:name="_ETM_Q132_487160"/>
      <w:bookmarkEnd w:id="74670"/>
      <w:r>
        <w:rPr>
          <w:rFonts w:hint="cs"/>
          <w:rtl/>
        </w:rPr>
        <w:t xml:space="preserve">כל </w:t>
      </w:r>
      <w:bookmarkStart w:id="74671" w:name="_ETM_Q132_487430"/>
      <w:bookmarkEnd w:id="74671"/>
      <w:r>
        <w:rPr>
          <w:rFonts w:hint="cs"/>
          <w:rtl/>
        </w:rPr>
        <w:t xml:space="preserve">ילד </w:t>
      </w:r>
      <w:bookmarkStart w:id="74672" w:name="_ETM_Q132_487880"/>
      <w:bookmarkEnd w:id="74672"/>
      <w:r>
        <w:rPr>
          <w:rFonts w:hint="cs"/>
          <w:rtl/>
        </w:rPr>
        <w:t xml:space="preserve">אחר </w:t>
      </w:r>
      <w:bookmarkStart w:id="74673" w:name="_ETM_Q132_488389"/>
      <w:bookmarkEnd w:id="74673"/>
      <w:r>
        <w:rPr>
          <w:rFonts w:hint="cs"/>
          <w:rtl/>
        </w:rPr>
        <w:t xml:space="preserve">במדינה </w:t>
      </w:r>
      <w:bookmarkStart w:id="74674" w:name="_ETM_Q132_488990"/>
      <w:bookmarkEnd w:id="74674"/>
      <w:r>
        <w:rPr>
          <w:rFonts w:hint="cs"/>
          <w:rtl/>
        </w:rPr>
        <w:t>הזאת?</w:t>
      </w:r>
      <w:bookmarkStart w:id="74675" w:name="_ETM_Q132_491130"/>
      <w:bookmarkEnd w:id="74675"/>
      <w:r>
        <w:rPr>
          <w:rFonts w:hint="cs"/>
          <w:rtl/>
        </w:rPr>
        <w:t xml:space="preserve"> יש </w:t>
      </w:r>
      <w:bookmarkStart w:id="74676" w:name="_ETM_Q132_491519"/>
      <w:bookmarkEnd w:id="74676"/>
      <w:r>
        <w:rPr>
          <w:rFonts w:hint="cs"/>
          <w:rtl/>
        </w:rPr>
        <w:t xml:space="preserve">משהו </w:t>
      </w:r>
      <w:bookmarkStart w:id="74677" w:name="_ETM_Q132_491969"/>
      <w:bookmarkEnd w:id="74677"/>
      <w:r>
        <w:rPr>
          <w:rFonts w:hint="cs"/>
          <w:rtl/>
        </w:rPr>
        <w:t xml:space="preserve">סביר </w:t>
      </w:r>
      <w:bookmarkStart w:id="74678" w:name="_ETM_Q132_492839"/>
      <w:bookmarkEnd w:id="74678"/>
      <w:r>
        <w:rPr>
          <w:rFonts w:hint="cs"/>
          <w:rtl/>
        </w:rPr>
        <w:t xml:space="preserve">בדבר </w:t>
      </w:r>
      <w:bookmarkStart w:id="74679" w:name="_ETM_Q132_493290"/>
      <w:bookmarkEnd w:id="74679"/>
      <w:r>
        <w:rPr>
          <w:rFonts w:hint="cs"/>
          <w:rtl/>
        </w:rPr>
        <w:t>הזה?</w:t>
      </w:r>
    </w:p>
    <w:p w:rsidR="00BB59CD" w:rsidRDefault="00BB59CD" w:rsidP="00BB59CD">
      <w:pPr>
        <w:rPr>
          <w:rtl/>
        </w:rPr>
      </w:pPr>
    </w:p>
    <w:p w:rsidR="00BB59CD" w:rsidRDefault="00BB59CD" w:rsidP="00BB59CD">
      <w:pPr>
        <w:rPr>
          <w:rtl/>
        </w:rPr>
      </w:pPr>
      <w:bookmarkStart w:id="74680" w:name="_ETM_Q132_497064"/>
      <w:bookmarkStart w:id="74681" w:name="_ETM_Q132_497167"/>
      <w:bookmarkEnd w:id="74680"/>
      <w:bookmarkEnd w:id="74681"/>
      <w:r>
        <w:rPr>
          <w:rFonts w:hint="cs"/>
          <w:rtl/>
        </w:rPr>
        <w:t xml:space="preserve"> </w:t>
      </w:r>
      <w:bookmarkStart w:id="74682" w:name="_ETM_Q132_495049"/>
      <w:bookmarkEnd w:id="74682"/>
      <w:r>
        <w:rPr>
          <w:rFonts w:hint="cs"/>
          <w:rtl/>
        </w:rPr>
        <w:t xml:space="preserve">אני </w:t>
      </w:r>
      <w:bookmarkStart w:id="74683" w:name="_ETM_Q132_495410"/>
      <w:bookmarkEnd w:id="74683"/>
      <w:r>
        <w:rPr>
          <w:rFonts w:hint="cs"/>
          <w:rtl/>
        </w:rPr>
        <w:t xml:space="preserve">רוצה </w:t>
      </w:r>
      <w:bookmarkStart w:id="74684" w:name="_ETM_Q132_497180"/>
      <w:bookmarkEnd w:id="74684"/>
      <w:r>
        <w:rPr>
          <w:rFonts w:hint="cs"/>
          <w:rtl/>
        </w:rPr>
        <w:t xml:space="preserve">שתגידו </w:t>
      </w:r>
      <w:bookmarkStart w:id="74685" w:name="_ETM_Q132_497810"/>
      <w:bookmarkStart w:id="74686" w:name="_ETM_Q132_501029"/>
      <w:bookmarkEnd w:id="74685"/>
      <w:bookmarkEnd w:id="74686"/>
      <w:r>
        <w:rPr>
          <w:rFonts w:hint="cs"/>
          <w:rtl/>
        </w:rPr>
        <w:t xml:space="preserve">את </w:t>
      </w:r>
      <w:bookmarkStart w:id="74687" w:name="_ETM_Q132_501210"/>
      <w:bookmarkEnd w:id="74687"/>
      <w:r>
        <w:rPr>
          <w:rFonts w:hint="cs"/>
          <w:rtl/>
        </w:rPr>
        <w:t xml:space="preserve">זה לעצמכם, </w:t>
      </w:r>
      <w:bookmarkStart w:id="74688" w:name="_ETM_Q132_502470"/>
      <w:bookmarkEnd w:id="74688"/>
      <w:r>
        <w:rPr>
          <w:rFonts w:hint="cs"/>
          <w:rtl/>
        </w:rPr>
        <w:t xml:space="preserve">לא </w:t>
      </w:r>
      <w:bookmarkStart w:id="74689" w:name="_ETM_Q132_502829"/>
      <w:bookmarkEnd w:id="74689"/>
      <w:r>
        <w:rPr>
          <w:rFonts w:hint="cs"/>
          <w:rtl/>
        </w:rPr>
        <w:t xml:space="preserve">לי. </w:t>
      </w:r>
      <w:bookmarkStart w:id="74690" w:name="_ETM_Q132_504380"/>
      <w:bookmarkEnd w:id="74690"/>
      <w:r>
        <w:rPr>
          <w:rFonts w:hint="cs"/>
          <w:rtl/>
        </w:rPr>
        <w:t xml:space="preserve">שיהיה </w:t>
      </w:r>
      <w:bookmarkStart w:id="74691" w:name="_ETM_Q132_505010"/>
      <w:bookmarkEnd w:id="74691"/>
      <w:r>
        <w:rPr>
          <w:rFonts w:hint="cs"/>
          <w:rtl/>
        </w:rPr>
        <w:t xml:space="preserve">לכם </w:t>
      </w:r>
      <w:bookmarkStart w:id="74692" w:name="_ETM_Q132_505400"/>
      <w:bookmarkEnd w:id="74692"/>
      <w:r>
        <w:rPr>
          <w:rFonts w:hint="cs"/>
          <w:rtl/>
        </w:rPr>
        <w:t xml:space="preserve">האומץ </w:t>
      </w:r>
      <w:bookmarkStart w:id="74693" w:name="_ETM_Q132_506210"/>
      <w:bookmarkEnd w:id="74693"/>
      <w:r>
        <w:rPr>
          <w:rFonts w:hint="cs"/>
          <w:rtl/>
        </w:rPr>
        <w:t xml:space="preserve">להגיד </w:t>
      </w:r>
      <w:bookmarkStart w:id="74694" w:name="_ETM_Q132_506689"/>
      <w:bookmarkEnd w:id="74694"/>
      <w:r>
        <w:rPr>
          <w:rFonts w:hint="cs"/>
          <w:rtl/>
        </w:rPr>
        <w:t xml:space="preserve">את </w:t>
      </w:r>
      <w:bookmarkStart w:id="74695" w:name="_ETM_Q132_506810"/>
      <w:bookmarkEnd w:id="74695"/>
      <w:r>
        <w:rPr>
          <w:rFonts w:hint="cs"/>
          <w:rtl/>
        </w:rPr>
        <w:t xml:space="preserve">זה </w:t>
      </w:r>
      <w:bookmarkStart w:id="74696" w:name="_ETM_Q132_507020"/>
      <w:bookmarkEnd w:id="74696"/>
      <w:r>
        <w:rPr>
          <w:rFonts w:hint="cs"/>
          <w:rtl/>
        </w:rPr>
        <w:t xml:space="preserve">לעולם. </w:t>
      </w:r>
      <w:bookmarkStart w:id="74697" w:name="_ETM_Q132_512260"/>
      <w:bookmarkEnd w:id="74697"/>
      <w:r>
        <w:rPr>
          <w:rFonts w:hint="cs"/>
          <w:rtl/>
        </w:rPr>
        <w:t>תגיד</w:t>
      </w:r>
      <w:bookmarkStart w:id="74698" w:name="_ETM_Q132_512800"/>
      <w:bookmarkEnd w:id="74698"/>
      <w:r>
        <w:rPr>
          <w:rFonts w:hint="cs"/>
          <w:rtl/>
        </w:rPr>
        <w:t xml:space="preserve">ו, </w:t>
      </w:r>
      <w:bookmarkStart w:id="74699" w:name="_ETM_Q132_512860"/>
      <w:bookmarkEnd w:id="74699"/>
      <w:r>
        <w:rPr>
          <w:rFonts w:hint="cs"/>
          <w:rtl/>
        </w:rPr>
        <w:t xml:space="preserve">בחייכם, </w:t>
      </w:r>
      <w:bookmarkStart w:id="74700" w:name="_ETM_Q132_515150"/>
      <w:bookmarkEnd w:id="74700"/>
      <w:r>
        <w:rPr>
          <w:rFonts w:hint="cs"/>
          <w:rtl/>
        </w:rPr>
        <w:t xml:space="preserve">זאת </w:t>
      </w:r>
      <w:bookmarkStart w:id="74701" w:name="_ETM_Q132_515570"/>
      <w:bookmarkEnd w:id="74701"/>
      <w:r>
        <w:rPr>
          <w:rFonts w:hint="cs"/>
          <w:rtl/>
        </w:rPr>
        <w:t xml:space="preserve">הדמוקרטיה </w:t>
      </w:r>
      <w:bookmarkStart w:id="74702" w:name="_ETM_Q132_516589"/>
      <w:bookmarkEnd w:id="74702"/>
      <w:r>
        <w:rPr>
          <w:rFonts w:hint="cs"/>
          <w:rtl/>
        </w:rPr>
        <w:t xml:space="preserve">שאתם </w:t>
      </w:r>
      <w:bookmarkStart w:id="74703" w:name="_ETM_Q132_517220"/>
      <w:bookmarkEnd w:id="74703"/>
      <w:r>
        <w:rPr>
          <w:rFonts w:hint="cs"/>
          <w:rtl/>
        </w:rPr>
        <w:t xml:space="preserve">נלחמים עליה? </w:t>
      </w:r>
      <w:bookmarkStart w:id="74704" w:name="_ETM_Q132_519819"/>
      <w:bookmarkEnd w:id="74704"/>
      <w:r>
        <w:rPr>
          <w:rFonts w:hint="cs"/>
          <w:rtl/>
        </w:rPr>
        <w:t xml:space="preserve">זאת </w:t>
      </w:r>
      <w:bookmarkStart w:id="74705" w:name="_ETM_Q132_520479"/>
      <w:bookmarkEnd w:id="74705"/>
      <w:r>
        <w:rPr>
          <w:rFonts w:hint="cs"/>
          <w:rtl/>
        </w:rPr>
        <w:t>מדינ</w:t>
      </w:r>
      <w:bookmarkStart w:id="74706" w:name="_ETM_Q132_521109"/>
      <w:bookmarkEnd w:id="74706"/>
      <w:r>
        <w:rPr>
          <w:rFonts w:hint="cs"/>
          <w:rtl/>
        </w:rPr>
        <w:t xml:space="preserve">ת האור </w:t>
      </w:r>
      <w:bookmarkStart w:id="74707" w:name="_ETM_Q132_522190"/>
      <w:bookmarkEnd w:id="74707"/>
      <w:r>
        <w:rPr>
          <w:rFonts w:hint="cs"/>
          <w:rtl/>
        </w:rPr>
        <w:t xml:space="preserve">באמצע </w:t>
      </w:r>
      <w:bookmarkStart w:id="74708" w:name="_ETM_Q132_522489"/>
      <w:bookmarkEnd w:id="74708"/>
      <w:r>
        <w:rPr>
          <w:rFonts w:hint="cs"/>
          <w:rtl/>
        </w:rPr>
        <w:t xml:space="preserve">הג'ונגל – </w:t>
      </w:r>
      <w:bookmarkStart w:id="74709" w:name="_ETM_Q132_523879"/>
      <w:bookmarkEnd w:id="74709"/>
      <w:r>
        <w:rPr>
          <w:rFonts w:hint="cs"/>
          <w:rtl/>
        </w:rPr>
        <w:t xml:space="preserve">איך </w:t>
      </w:r>
      <w:bookmarkStart w:id="74710" w:name="_ETM_Q132_524120"/>
      <w:bookmarkEnd w:id="74710"/>
      <w:r>
        <w:rPr>
          <w:rFonts w:hint="cs"/>
          <w:rtl/>
        </w:rPr>
        <w:t xml:space="preserve">שהגדיר </w:t>
      </w:r>
      <w:bookmarkStart w:id="74711" w:name="_ETM_Q132_524909"/>
      <w:bookmarkEnd w:id="74711"/>
      <w:r>
        <w:rPr>
          <w:rFonts w:hint="cs"/>
          <w:rtl/>
        </w:rPr>
        <w:t xml:space="preserve">אותה </w:t>
      </w:r>
      <w:bookmarkStart w:id="74712" w:name="_ETM_Q132_525899"/>
      <w:bookmarkEnd w:id="74712"/>
      <w:r>
        <w:rPr>
          <w:rFonts w:hint="cs"/>
          <w:rtl/>
        </w:rPr>
        <w:t xml:space="preserve">ראש </w:t>
      </w:r>
      <w:bookmarkStart w:id="74713" w:name="_ETM_Q132_526260"/>
      <w:bookmarkEnd w:id="74713"/>
      <w:r>
        <w:rPr>
          <w:rFonts w:hint="cs"/>
          <w:rtl/>
        </w:rPr>
        <w:t xml:space="preserve">הממשלה – </w:t>
      </w:r>
      <w:bookmarkStart w:id="74714" w:name="_ETM_Q132_528420"/>
      <w:bookmarkEnd w:id="74714"/>
      <w:r>
        <w:rPr>
          <w:rFonts w:hint="cs"/>
          <w:rtl/>
        </w:rPr>
        <w:t xml:space="preserve">שאתם </w:t>
      </w:r>
      <w:bookmarkStart w:id="74715" w:name="_ETM_Q132_529170"/>
      <w:bookmarkEnd w:id="74715"/>
      <w:r>
        <w:rPr>
          <w:rFonts w:hint="cs"/>
          <w:rtl/>
        </w:rPr>
        <w:t xml:space="preserve">מתגאים </w:t>
      </w:r>
      <w:bookmarkStart w:id="74716" w:name="_ETM_Q132_529800"/>
      <w:bookmarkEnd w:id="74716"/>
      <w:r>
        <w:rPr>
          <w:rFonts w:hint="cs"/>
          <w:rtl/>
        </w:rPr>
        <w:t xml:space="preserve">בה? </w:t>
      </w:r>
      <w:bookmarkStart w:id="74717" w:name="_ETM_Q132_531830"/>
      <w:bookmarkEnd w:id="74717"/>
      <w:r>
        <w:rPr>
          <w:rFonts w:hint="cs"/>
          <w:rtl/>
        </w:rPr>
        <w:t xml:space="preserve">אז </w:t>
      </w:r>
      <w:bookmarkStart w:id="74718" w:name="_ETM_Q132_532149"/>
      <w:bookmarkEnd w:id="74718"/>
      <w:r>
        <w:rPr>
          <w:rFonts w:hint="cs"/>
          <w:rtl/>
        </w:rPr>
        <w:t xml:space="preserve">על </w:t>
      </w:r>
      <w:bookmarkStart w:id="74719" w:name="_ETM_Q132_532300"/>
      <w:bookmarkEnd w:id="74719"/>
      <w:r>
        <w:rPr>
          <w:rFonts w:hint="cs"/>
          <w:rtl/>
        </w:rPr>
        <w:t xml:space="preserve">מה </w:t>
      </w:r>
      <w:bookmarkStart w:id="74720" w:name="_ETM_Q132_533649"/>
      <w:bookmarkEnd w:id="74720"/>
      <w:r>
        <w:rPr>
          <w:rFonts w:hint="cs"/>
          <w:rtl/>
        </w:rPr>
        <w:t xml:space="preserve">מדברים </w:t>
      </w:r>
      <w:bookmarkStart w:id="74721" w:name="_ETM_Q132_534399"/>
      <w:bookmarkEnd w:id="74721"/>
      <w:r>
        <w:rPr>
          <w:rFonts w:hint="cs"/>
          <w:rtl/>
        </w:rPr>
        <w:t xml:space="preserve">ומתייפחים </w:t>
      </w:r>
      <w:bookmarkStart w:id="74722" w:name="_ETM_Q132_535300"/>
      <w:bookmarkEnd w:id="74722"/>
      <w:r>
        <w:rPr>
          <w:rFonts w:hint="cs"/>
          <w:rtl/>
        </w:rPr>
        <w:t>כאן?</w:t>
      </w:r>
      <w:bookmarkStart w:id="74723" w:name="_ETM_Q132_537750"/>
      <w:bookmarkEnd w:id="74723"/>
    </w:p>
    <w:p w:rsidR="00BB59CD" w:rsidRDefault="00BB59CD" w:rsidP="00BB59CD">
      <w:pPr>
        <w:rPr>
          <w:rtl/>
        </w:rPr>
      </w:pPr>
      <w:bookmarkStart w:id="74724" w:name="_ETM_Q132_538819"/>
      <w:bookmarkStart w:id="74725" w:name="_ETM_Q132_538911"/>
      <w:bookmarkEnd w:id="74724"/>
      <w:bookmarkEnd w:id="74725"/>
    </w:p>
    <w:p w:rsidR="00BB59CD" w:rsidRDefault="00BB59CD" w:rsidP="00BB59CD">
      <w:pPr>
        <w:rPr>
          <w:rtl/>
        </w:rPr>
      </w:pPr>
      <w:r>
        <w:rPr>
          <w:rFonts w:hint="cs"/>
          <w:rtl/>
        </w:rPr>
        <w:t xml:space="preserve">אני </w:t>
      </w:r>
      <w:bookmarkStart w:id="74726" w:name="_ETM_Q132_537960"/>
      <w:bookmarkEnd w:id="74726"/>
      <w:r>
        <w:rPr>
          <w:rFonts w:hint="cs"/>
          <w:rtl/>
        </w:rPr>
        <w:t xml:space="preserve">אומרת </w:t>
      </w:r>
      <w:bookmarkStart w:id="74727" w:name="_ETM_Q132_538379"/>
      <w:bookmarkEnd w:id="74727"/>
      <w:r>
        <w:rPr>
          <w:rFonts w:hint="cs"/>
          <w:rtl/>
        </w:rPr>
        <w:t xml:space="preserve">לכם </w:t>
      </w:r>
      <w:bookmarkStart w:id="74728" w:name="_ETM_Q132_538920"/>
      <w:bookmarkEnd w:id="74728"/>
      <w:r>
        <w:rPr>
          <w:rFonts w:hint="cs"/>
          <w:rtl/>
        </w:rPr>
        <w:t xml:space="preserve">על </w:t>
      </w:r>
      <w:bookmarkStart w:id="74729" w:name="_ETM_Q132_539160"/>
      <w:bookmarkEnd w:id="74729"/>
      <w:r>
        <w:rPr>
          <w:rFonts w:hint="cs"/>
          <w:rtl/>
        </w:rPr>
        <w:t xml:space="preserve">מה </w:t>
      </w:r>
      <w:bookmarkStart w:id="74730" w:name="_ETM_Q132_539399"/>
      <w:bookmarkEnd w:id="74730"/>
      <w:r>
        <w:rPr>
          <w:rFonts w:hint="cs"/>
          <w:rtl/>
        </w:rPr>
        <w:t xml:space="preserve">באמת </w:t>
      </w:r>
      <w:bookmarkStart w:id="74731" w:name="_ETM_Q132_540980"/>
      <w:bookmarkEnd w:id="74731"/>
      <w:r>
        <w:rPr>
          <w:rFonts w:hint="cs"/>
          <w:rtl/>
        </w:rPr>
        <w:t xml:space="preserve">שווה </w:t>
      </w:r>
      <w:bookmarkStart w:id="74732" w:name="_ETM_Q132_541460"/>
      <w:bookmarkEnd w:id="74732"/>
      <w:r>
        <w:rPr>
          <w:rFonts w:hint="cs"/>
          <w:rtl/>
        </w:rPr>
        <w:t xml:space="preserve">להתייפח: </w:t>
      </w:r>
      <w:bookmarkStart w:id="74733" w:name="_ETM_Q132_544200"/>
      <w:bookmarkEnd w:id="74733"/>
      <w:r>
        <w:rPr>
          <w:rFonts w:hint="cs"/>
          <w:rtl/>
        </w:rPr>
        <w:t xml:space="preserve">שווה </w:t>
      </w:r>
      <w:bookmarkStart w:id="74734" w:name="_ETM_Q132_544680"/>
      <w:bookmarkStart w:id="74735" w:name="_ETM_Q132_546660"/>
      <w:bookmarkEnd w:id="74734"/>
      <w:bookmarkEnd w:id="74735"/>
      <w:r>
        <w:rPr>
          <w:rFonts w:hint="cs"/>
          <w:rtl/>
        </w:rPr>
        <w:t xml:space="preserve">להתייפח על 129 </w:t>
      </w:r>
      <w:bookmarkStart w:id="74736" w:name="_ETM_Q132_547810"/>
      <w:bookmarkEnd w:id="74736"/>
      <w:r>
        <w:rPr>
          <w:rFonts w:hint="cs"/>
          <w:rtl/>
        </w:rPr>
        <w:t xml:space="preserve">נרצחים </w:t>
      </w:r>
      <w:bookmarkStart w:id="74737" w:name="_ETM_Q132_548470"/>
      <w:bookmarkEnd w:id="74737"/>
      <w:r>
        <w:rPr>
          <w:rFonts w:hint="cs"/>
          <w:rtl/>
        </w:rPr>
        <w:t xml:space="preserve">ונרצחות </w:t>
      </w:r>
      <w:bookmarkStart w:id="74738" w:name="_ETM_Q132_550420"/>
      <w:bookmarkEnd w:id="74738"/>
      <w:r>
        <w:rPr>
          <w:rFonts w:hint="cs"/>
          <w:rtl/>
        </w:rPr>
        <w:t xml:space="preserve">מתחילת </w:t>
      </w:r>
      <w:bookmarkStart w:id="74739" w:name="_ETM_Q132_551110"/>
      <w:bookmarkEnd w:id="74739"/>
      <w:r>
        <w:rPr>
          <w:rFonts w:hint="cs"/>
          <w:rtl/>
        </w:rPr>
        <w:t xml:space="preserve">השנה </w:t>
      </w:r>
      <w:bookmarkStart w:id="74740" w:name="_ETM_Q132_551590"/>
      <w:bookmarkEnd w:id="74740"/>
      <w:r>
        <w:rPr>
          <w:rFonts w:hint="cs"/>
          <w:rtl/>
        </w:rPr>
        <w:t xml:space="preserve">הזאת, </w:t>
      </w:r>
      <w:bookmarkStart w:id="74741" w:name="_ETM_Q132_553490"/>
      <w:bookmarkEnd w:id="74741"/>
      <w:r>
        <w:rPr>
          <w:rFonts w:hint="cs"/>
          <w:rtl/>
        </w:rPr>
        <w:t xml:space="preserve">אשר </w:t>
      </w:r>
      <w:bookmarkStart w:id="74742" w:name="_ETM_Q132_553880"/>
      <w:bookmarkEnd w:id="74742"/>
      <w:r>
        <w:rPr>
          <w:rFonts w:hint="cs"/>
          <w:rtl/>
        </w:rPr>
        <w:t xml:space="preserve">מתווספים </w:t>
      </w:r>
      <w:bookmarkStart w:id="74743" w:name="_ETM_Q132_556089"/>
      <w:bookmarkEnd w:id="74743"/>
      <w:r>
        <w:rPr>
          <w:rFonts w:hint="cs"/>
          <w:rtl/>
        </w:rPr>
        <w:t>למאות</w:t>
      </w:r>
      <w:bookmarkStart w:id="74744" w:name="_ETM_Q132_559200"/>
      <w:bookmarkEnd w:id="74744"/>
      <w:r>
        <w:rPr>
          <w:rFonts w:hint="cs"/>
          <w:rtl/>
        </w:rPr>
        <w:t xml:space="preserve"> </w:t>
      </w:r>
      <w:bookmarkStart w:id="74745" w:name="_ETM_Q132_559770"/>
      <w:bookmarkEnd w:id="74745"/>
      <w:r>
        <w:rPr>
          <w:rFonts w:hint="cs"/>
          <w:rtl/>
        </w:rPr>
        <w:t xml:space="preserve">ולאלפים </w:t>
      </w:r>
      <w:bookmarkStart w:id="74746" w:name="_ETM_Q132_561560"/>
      <w:bookmarkStart w:id="74747" w:name="_ETM_Q132_563810"/>
      <w:bookmarkStart w:id="74748" w:name="_ETM_Q132_564439"/>
      <w:bookmarkEnd w:id="74746"/>
      <w:bookmarkEnd w:id="74747"/>
      <w:bookmarkEnd w:id="74748"/>
      <w:r>
        <w:rPr>
          <w:rFonts w:hint="cs"/>
          <w:rtl/>
        </w:rPr>
        <w:t xml:space="preserve">בשני </w:t>
      </w:r>
      <w:bookmarkStart w:id="74749" w:name="_ETM_Q132_564890"/>
      <w:bookmarkEnd w:id="74749"/>
      <w:r>
        <w:rPr>
          <w:rFonts w:hint="cs"/>
          <w:rtl/>
        </w:rPr>
        <w:t xml:space="preserve">העשורים </w:t>
      </w:r>
      <w:bookmarkStart w:id="74750" w:name="_ETM_Q132_565460"/>
      <w:bookmarkEnd w:id="74750"/>
      <w:r>
        <w:rPr>
          <w:rFonts w:hint="cs"/>
          <w:rtl/>
        </w:rPr>
        <w:t xml:space="preserve">האחרונים, </w:t>
      </w:r>
      <w:bookmarkStart w:id="74751" w:name="_ETM_Q132_567610"/>
      <w:bookmarkEnd w:id="74751"/>
      <w:r>
        <w:rPr>
          <w:rFonts w:hint="cs"/>
          <w:rtl/>
        </w:rPr>
        <w:t xml:space="preserve">מתווספים </w:t>
      </w:r>
      <w:bookmarkStart w:id="74752" w:name="_ETM_Q132_569500"/>
      <w:bookmarkEnd w:id="74752"/>
      <w:r>
        <w:rPr>
          <w:rFonts w:hint="cs"/>
          <w:rtl/>
        </w:rPr>
        <w:t xml:space="preserve">למעגל </w:t>
      </w:r>
      <w:bookmarkStart w:id="74753" w:name="_ETM_Q132_570279"/>
      <w:bookmarkEnd w:id="74753"/>
      <w:r>
        <w:rPr>
          <w:rFonts w:hint="cs"/>
          <w:rtl/>
        </w:rPr>
        <w:t xml:space="preserve">השכול </w:t>
      </w:r>
      <w:bookmarkStart w:id="74754" w:name="_ETM_Q132_574720"/>
      <w:bookmarkEnd w:id="74754"/>
      <w:r>
        <w:rPr>
          <w:rFonts w:hint="cs"/>
          <w:rtl/>
        </w:rPr>
        <w:t xml:space="preserve">והאבל </w:t>
      </w:r>
      <w:bookmarkStart w:id="74755" w:name="_ETM_Q132_577770"/>
      <w:bookmarkEnd w:id="74755"/>
      <w:r>
        <w:rPr>
          <w:rFonts w:hint="cs"/>
          <w:rtl/>
        </w:rPr>
        <w:t xml:space="preserve">והפחד. </w:t>
      </w:r>
      <w:bookmarkStart w:id="74756" w:name="_ETM_Q132_580630"/>
      <w:bookmarkEnd w:id="74756"/>
      <w:r>
        <w:rPr>
          <w:rFonts w:hint="cs"/>
          <w:rtl/>
        </w:rPr>
        <w:t xml:space="preserve">עשרות </w:t>
      </w:r>
      <w:bookmarkStart w:id="74757" w:name="_ETM_Q132_581470"/>
      <w:bookmarkEnd w:id="74757"/>
      <w:r>
        <w:rPr>
          <w:rFonts w:hint="cs"/>
          <w:rtl/>
        </w:rPr>
        <w:t xml:space="preserve">אלפי </w:t>
      </w:r>
      <w:bookmarkStart w:id="74758" w:name="_ETM_Q132_582520"/>
      <w:bookmarkEnd w:id="74758"/>
      <w:r>
        <w:rPr>
          <w:rFonts w:hint="cs"/>
          <w:rtl/>
        </w:rPr>
        <w:t xml:space="preserve">משפחות </w:t>
      </w:r>
      <w:bookmarkStart w:id="74759" w:name="_ETM_Q132_583510"/>
      <w:bookmarkEnd w:id="74759"/>
      <w:r>
        <w:rPr>
          <w:rFonts w:hint="cs"/>
          <w:rtl/>
        </w:rPr>
        <w:t xml:space="preserve">בחברה </w:t>
      </w:r>
      <w:bookmarkStart w:id="74760" w:name="_ETM_Q132_584140"/>
      <w:bookmarkEnd w:id="74760"/>
      <w:r>
        <w:rPr>
          <w:rFonts w:hint="cs"/>
          <w:rtl/>
        </w:rPr>
        <w:t xml:space="preserve">הערבית </w:t>
      </w:r>
      <w:bookmarkStart w:id="74761" w:name="_ETM_Q132_588079"/>
      <w:bookmarkEnd w:id="74761"/>
      <w:r>
        <w:rPr>
          <w:rFonts w:hint="cs"/>
          <w:rtl/>
        </w:rPr>
        <w:t xml:space="preserve">חיות </w:t>
      </w:r>
      <w:bookmarkStart w:id="74762" w:name="_ETM_Q132_589999"/>
      <w:bookmarkEnd w:id="74762"/>
      <w:r>
        <w:rPr>
          <w:rFonts w:hint="cs"/>
          <w:rtl/>
        </w:rPr>
        <w:t>בתוך</w:t>
      </w:r>
      <w:bookmarkStart w:id="74763" w:name="_ETM_Q132_593460"/>
      <w:bookmarkEnd w:id="74763"/>
      <w:r>
        <w:rPr>
          <w:rFonts w:hint="cs"/>
          <w:rtl/>
        </w:rPr>
        <w:t xml:space="preserve"> </w:t>
      </w:r>
      <w:bookmarkStart w:id="74764" w:name="_ETM_Q132_593710"/>
      <w:bookmarkEnd w:id="74764"/>
      <w:r>
        <w:rPr>
          <w:rFonts w:hint="cs"/>
          <w:rtl/>
        </w:rPr>
        <w:t xml:space="preserve">הטראומה </w:t>
      </w:r>
      <w:bookmarkStart w:id="74765" w:name="_ETM_Q132_594370"/>
      <w:bookmarkEnd w:id="74765"/>
      <w:r>
        <w:rPr>
          <w:rFonts w:hint="cs"/>
          <w:rtl/>
        </w:rPr>
        <w:t xml:space="preserve">הזאת, </w:t>
      </w:r>
      <w:bookmarkStart w:id="74766" w:name="_ETM_Q132_596540"/>
      <w:bookmarkStart w:id="74767" w:name="_ETM_Q132_596839"/>
      <w:bookmarkEnd w:id="74766"/>
      <w:bookmarkEnd w:id="74767"/>
      <w:r>
        <w:rPr>
          <w:rFonts w:hint="cs"/>
          <w:rtl/>
        </w:rPr>
        <w:t xml:space="preserve">ובינתיים </w:t>
      </w:r>
      <w:bookmarkStart w:id="74768" w:name="_ETM_Q132_597589"/>
      <w:bookmarkStart w:id="74769" w:name="_ETM_Q132_597710"/>
      <w:bookmarkEnd w:id="74768"/>
      <w:bookmarkEnd w:id="74769"/>
      <w:r>
        <w:rPr>
          <w:rFonts w:hint="cs"/>
          <w:rtl/>
        </w:rPr>
        <w:t xml:space="preserve">לא </w:t>
      </w:r>
      <w:bookmarkStart w:id="74770" w:name="_ETM_Q132_597979"/>
      <w:bookmarkEnd w:id="74770"/>
      <w:r>
        <w:rPr>
          <w:rFonts w:hint="cs"/>
          <w:rtl/>
        </w:rPr>
        <w:t xml:space="preserve">רואות </w:t>
      </w:r>
      <w:bookmarkStart w:id="74771" w:name="_ETM_Q132_599200"/>
      <w:bookmarkEnd w:id="74771"/>
      <w:r>
        <w:rPr>
          <w:rFonts w:hint="cs"/>
          <w:rtl/>
        </w:rPr>
        <w:t xml:space="preserve">אור </w:t>
      </w:r>
      <w:bookmarkStart w:id="74772" w:name="_ETM_Q132_601420"/>
      <w:bookmarkEnd w:id="74772"/>
      <w:r>
        <w:rPr>
          <w:rFonts w:hint="cs"/>
          <w:rtl/>
        </w:rPr>
        <w:t xml:space="preserve">בקצה </w:t>
      </w:r>
      <w:bookmarkStart w:id="74773" w:name="_ETM_Q132_602080"/>
      <w:bookmarkEnd w:id="74773"/>
      <w:r>
        <w:rPr>
          <w:rFonts w:hint="cs"/>
          <w:rtl/>
        </w:rPr>
        <w:t xml:space="preserve">המנהרה; </w:t>
      </w:r>
      <w:bookmarkStart w:id="74774" w:name="_ETM_Q132_606899"/>
      <w:bookmarkEnd w:id="74774"/>
      <w:r>
        <w:rPr>
          <w:rFonts w:hint="cs"/>
          <w:rtl/>
        </w:rPr>
        <w:t>שני מיליון</w:t>
      </w:r>
      <w:bookmarkStart w:id="74775" w:name="_ETM_Q132_607509"/>
      <w:bookmarkEnd w:id="74775"/>
      <w:r>
        <w:rPr>
          <w:rFonts w:hint="cs"/>
          <w:rtl/>
        </w:rPr>
        <w:t xml:space="preserve"> </w:t>
      </w:r>
      <w:bookmarkStart w:id="74776" w:name="_ETM_Q132_607899"/>
      <w:bookmarkEnd w:id="74776"/>
      <w:r>
        <w:rPr>
          <w:rFonts w:hint="cs"/>
          <w:rtl/>
        </w:rPr>
        <w:t xml:space="preserve">אזרחים </w:t>
      </w:r>
      <w:bookmarkStart w:id="74777" w:name="_ETM_Q132_608560"/>
      <w:bookmarkEnd w:id="74777"/>
      <w:r>
        <w:rPr>
          <w:rFonts w:hint="cs"/>
          <w:rtl/>
        </w:rPr>
        <w:t xml:space="preserve">במדינה </w:t>
      </w:r>
      <w:bookmarkStart w:id="74778" w:name="_ETM_Q132_609129"/>
      <w:bookmarkEnd w:id="74778"/>
      <w:r>
        <w:rPr>
          <w:rFonts w:hint="cs"/>
          <w:rtl/>
        </w:rPr>
        <w:t xml:space="preserve">הזאת </w:t>
      </w:r>
      <w:bookmarkStart w:id="74779" w:name="_ETM_Q132_610870"/>
      <w:bookmarkEnd w:id="74779"/>
      <w:r>
        <w:rPr>
          <w:rFonts w:hint="cs"/>
          <w:rtl/>
        </w:rPr>
        <w:t>חיי</w:t>
      </w:r>
      <w:bookmarkStart w:id="74780" w:name="_ETM_Q132_611200"/>
      <w:bookmarkEnd w:id="74780"/>
      <w:r>
        <w:rPr>
          <w:rFonts w:hint="cs"/>
          <w:rtl/>
        </w:rPr>
        <w:t xml:space="preserve">ם </w:t>
      </w:r>
      <w:bookmarkStart w:id="74781" w:name="_ETM_Q132_612099"/>
      <w:bookmarkEnd w:id="74781"/>
      <w:r>
        <w:rPr>
          <w:rFonts w:hint="cs"/>
          <w:rtl/>
        </w:rPr>
        <w:t xml:space="preserve">בפחד </w:t>
      </w:r>
      <w:bookmarkStart w:id="74782" w:name="_ETM_Q132_612819"/>
      <w:bookmarkStart w:id="74783" w:name="_ETM_Q132_613150"/>
      <w:bookmarkStart w:id="74784" w:name="_ETM_Q132_615989"/>
      <w:bookmarkEnd w:id="74782"/>
      <w:bookmarkEnd w:id="74783"/>
      <w:bookmarkEnd w:id="74784"/>
      <w:r>
        <w:rPr>
          <w:rFonts w:hint="cs"/>
          <w:rtl/>
        </w:rPr>
        <w:t xml:space="preserve">ממושך. אני </w:t>
      </w:r>
      <w:bookmarkStart w:id="74785" w:name="_ETM_Q132_616260"/>
      <w:bookmarkEnd w:id="74785"/>
      <w:r>
        <w:rPr>
          <w:rFonts w:hint="cs"/>
          <w:rtl/>
        </w:rPr>
        <w:t xml:space="preserve">אומרת </w:t>
      </w:r>
      <w:bookmarkStart w:id="74786" w:name="_ETM_Q132_616680"/>
      <w:bookmarkEnd w:id="74786"/>
      <w:r>
        <w:rPr>
          <w:rFonts w:hint="cs"/>
          <w:rtl/>
        </w:rPr>
        <w:t xml:space="preserve">לכם </w:t>
      </w:r>
      <w:bookmarkStart w:id="74787" w:name="_ETM_Q132_618390"/>
      <w:bookmarkEnd w:id="74787"/>
      <w:r>
        <w:rPr>
          <w:rFonts w:hint="cs"/>
          <w:rtl/>
        </w:rPr>
        <w:t>כ</w:t>
      </w:r>
      <w:bookmarkStart w:id="74788" w:name="_ETM_Q132_618660"/>
      <w:bookmarkEnd w:id="74788"/>
      <w:r>
        <w:rPr>
          <w:rFonts w:hint="cs"/>
          <w:rtl/>
        </w:rPr>
        <w:t xml:space="preserve">אימא – </w:t>
      </w:r>
      <w:bookmarkStart w:id="74789" w:name="_ETM_Q132_621000"/>
      <w:bookmarkEnd w:id="74789"/>
      <w:r>
        <w:rPr>
          <w:rFonts w:hint="cs"/>
          <w:rtl/>
        </w:rPr>
        <w:t xml:space="preserve">חוששת </w:t>
      </w:r>
      <w:bookmarkStart w:id="74790" w:name="_ETM_Q132_621660"/>
      <w:bookmarkEnd w:id="74790"/>
      <w:r>
        <w:rPr>
          <w:rFonts w:hint="cs"/>
          <w:rtl/>
        </w:rPr>
        <w:t xml:space="preserve">לילדיי, </w:t>
      </w:r>
      <w:bookmarkStart w:id="74791" w:name="_ETM_Q132_626569"/>
      <w:bookmarkEnd w:id="74791"/>
      <w:r>
        <w:rPr>
          <w:rFonts w:hint="cs"/>
          <w:rtl/>
        </w:rPr>
        <w:t xml:space="preserve">חוששת </w:t>
      </w:r>
      <w:bookmarkStart w:id="74792" w:name="_ETM_Q132_629010"/>
      <w:bookmarkEnd w:id="74792"/>
      <w:r>
        <w:rPr>
          <w:rFonts w:hint="cs"/>
          <w:rtl/>
        </w:rPr>
        <w:t xml:space="preserve">לילדים </w:t>
      </w:r>
      <w:bookmarkStart w:id="74793" w:name="_ETM_Q132_630890"/>
      <w:bookmarkEnd w:id="74793"/>
      <w:r>
        <w:rPr>
          <w:rFonts w:hint="cs"/>
          <w:rtl/>
        </w:rPr>
        <w:t>הקטנים</w:t>
      </w:r>
      <w:r w:rsidR="00D94B83">
        <w:rPr>
          <w:rFonts w:hint="cs"/>
          <w:rtl/>
        </w:rPr>
        <w:t>,</w:t>
      </w:r>
      <w:r>
        <w:rPr>
          <w:rFonts w:hint="cs"/>
          <w:rtl/>
        </w:rPr>
        <w:t xml:space="preserve"> </w:t>
      </w:r>
      <w:bookmarkStart w:id="74794" w:name="_ETM_Q132_631730"/>
      <w:bookmarkEnd w:id="74794"/>
      <w:r>
        <w:rPr>
          <w:rFonts w:hint="cs"/>
          <w:rtl/>
        </w:rPr>
        <w:t xml:space="preserve">שכבר </w:t>
      </w:r>
      <w:bookmarkStart w:id="74795" w:name="_ETM_Q132_632260"/>
      <w:bookmarkEnd w:id="74795"/>
      <w:r>
        <w:rPr>
          <w:rFonts w:hint="cs"/>
          <w:rtl/>
        </w:rPr>
        <w:t xml:space="preserve">אין </w:t>
      </w:r>
      <w:bookmarkStart w:id="74796" w:name="_ETM_Q132_632470"/>
      <w:bookmarkEnd w:id="74796"/>
      <w:r>
        <w:rPr>
          <w:rFonts w:hint="cs"/>
          <w:rtl/>
        </w:rPr>
        <w:t xml:space="preserve">להם </w:t>
      </w:r>
      <w:bookmarkStart w:id="74797" w:name="_ETM_Q132_632680"/>
      <w:bookmarkEnd w:id="74797"/>
      <w:r>
        <w:rPr>
          <w:rFonts w:hint="cs"/>
          <w:rtl/>
        </w:rPr>
        <w:t xml:space="preserve">אפשרות </w:t>
      </w:r>
      <w:bookmarkStart w:id="74798" w:name="_ETM_Q132_633220"/>
      <w:bookmarkEnd w:id="74798"/>
      <w:r>
        <w:rPr>
          <w:rFonts w:hint="cs"/>
          <w:rtl/>
        </w:rPr>
        <w:t xml:space="preserve">לצאת </w:t>
      </w:r>
      <w:bookmarkStart w:id="74799" w:name="_ETM_Q132_633780"/>
      <w:bookmarkEnd w:id="74799"/>
      <w:r>
        <w:rPr>
          <w:rFonts w:hint="cs"/>
          <w:rtl/>
        </w:rPr>
        <w:t xml:space="preserve">מחוץ </w:t>
      </w:r>
      <w:bookmarkStart w:id="74800" w:name="_ETM_Q132_634170"/>
      <w:bookmarkEnd w:id="74800"/>
      <w:r>
        <w:rPr>
          <w:rFonts w:hint="cs"/>
          <w:rtl/>
        </w:rPr>
        <w:t xml:space="preserve">לבית </w:t>
      </w:r>
      <w:bookmarkStart w:id="74801" w:name="_ETM_Q132_634980"/>
      <w:bookmarkEnd w:id="74801"/>
      <w:r>
        <w:rPr>
          <w:rFonts w:hint="cs"/>
          <w:rtl/>
        </w:rPr>
        <w:t xml:space="preserve">ולשחק, </w:t>
      </w:r>
      <w:bookmarkStart w:id="74802" w:name="_ETM_Q132_640260"/>
      <w:bookmarkEnd w:id="74802"/>
      <w:r>
        <w:rPr>
          <w:rFonts w:hint="cs"/>
          <w:rtl/>
        </w:rPr>
        <w:t xml:space="preserve">אין </w:t>
      </w:r>
      <w:bookmarkStart w:id="74803" w:name="_ETM_Q132_640530"/>
      <w:bookmarkEnd w:id="74803"/>
      <w:r>
        <w:rPr>
          <w:rFonts w:hint="cs"/>
          <w:rtl/>
        </w:rPr>
        <w:t xml:space="preserve">ביטחון </w:t>
      </w:r>
      <w:bookmarkStart w:id="74804" w:name="_ETM_Q132_641130"/>
      <w:bookmarkEnd w:id="74804"/>
      <w:r>
        <w:rPr>
          <w:rFonts w:hint="cs"/>
          <w:rtl/>
        </w:rPr>
        <w:t xml:space="preserve">אישי. </w:t>
      </w:r>
      <w:bookmarkStart w:id="74805" w:name="_ETM_Q132_645180"/>
      <w:bookmarkEnd w:id="74805"/>
      <w:r>
        <w:rPr>
          <w:rFonts w:hint="cs"/>
          <w:rtl/>
        </w:rPr>
        <w:t xml:space="preserve">אם </w:t>
      </w:r>
      <w:bookmarkStart w:id="74806" w:name="_ETM_Q132_645360"/>
      <w:bookmarkEnd w:id="74806"/>
      <w:r>
        <w:rPr>
          <w:rFonts w:hint="cs"/>
          <w:rtl/>
        </w:rPr>
        <w:t xml:space="preserve">לא </w:t>
      </w:r>
      <w:bookmarkStart w:id="74807" w:name="_ETM_Q132_645470"/>
      <w:bookmarkEnd w:id="74807"/>
      <w:r>
        <w:rPr>
          <w:rFonts w:hint="cs"/>
          <w:rtl/>
        </w:rPr>
        <w:t>מ</w:t>
      </w:r>
      <w:bookmarkStart w:id="74808" w:name="_ETM_Q132_645770"/>
      <w:bookmarkEnd w:id="74808"/>
      <w:r>
        <w:rPr>
          <w:rFonts w:hint="cs"/>
          <w:rtl/>
        </w:rPr>
        <w:t xml:space="preserve">כדור, </w:t>
      </w:r>
      <w:bookmarkStart w:id="74809" w:name="_ETM_Q132_647320"/>
      <w:bookmarkStart w:id="74810" w:name="_ETM_Q132_647560"/>
      <w:bookmarkEnd w:id="74809"/>
      <w:bookmarkEnd w:id="74810"/>
      <w:r>
        <w:rPr>
          <w:rFonts w:hint="cs"/>
          <w:rtl/>
        </w:rPr>
        <w:t xml:space="preserve">מתאונת </w:t>
      </w:r>
      <w:bookmarkStart w:id="74811" w:name="_ETM_Q132_648250"/>
      <w:bookmarkEnd w:id="74811"/>
      <w:r>
        <w:rPr>
          <w:rFonts w:hint="cs"/>
          <w:rtl/>
        </w:rPr>
        <w:t xml:space="preserve">דרכים; </w:t>
      </w:r>
      <w:bookmarkStart w:id="74812" w:name="_ETM_Q132_650290"/>
      <w:bookmarkEnd w:id="74812"/>
      <w:r>
        <w:rPr>
          <w:rFonts w:hint="cs"/>
          <w:rtl/>
        </w:rPr>
        <w:t xml:space="preserve">אם </w:t>
      </w:r>
      <w:bookmarkStart w:id="74813" w:name="_ETM_Q132_650500"/>
      <w:bookmarkEnd w:id="74813"/>
      <w:r>
        <w:rPr>
          <w:rFonts w:hint="cs"/>
          <w:rtl/>
        </w:rPr>
        <w:t xml:space="preserve">לא </w:t>
      </w:r>
      <w:bookmarkStart w:id="74814" w:name="_ETM_Q132_650709"/>
      <w:bookmarkEnd w:id="74814"/>
      <w:r>
        <w:rPr>
          <w:rFonts w:hint="cs"/>
          <w:rtl/>
        </w:rPr>
        <w:t xml:space="preserve">מתאונת </w:t>
      </w:r>
      <w:bookmarkStart w:id="74815" w:name="_ETM_Q132_651340"/>
      <w:bookmarkEnd w:id="74815"/>
      <w:r>
        <w:rPr>
          <w:rFonts w:hint="cs"/>
          <w:rtl/>
        </w:rPr>
        <w:t xml:space="preserve">דרכים, </w:t>
      </w:r>
      <w:bookmarkStart w:id="74816" w:name="_ETM_Q132_652490"/>
      <w:bookmarkStart w:id="74817" w:name="_ETM_Q132_652730"/>
      <w:bookmarkEnd w:id="74816"/>
      <w:bookmarkEnd w:id="74817"/>
      <w:r>
        <w:rPr>
          <w:rFonts w:hint="cs"/>
          <w:rtl/>
        </w:rPr>
        <w:t xml:space="preserve">מתאונת </w:t>
      </w:r>
      <w:bookmarkStart w:id="74818" w:name="_ETM_Q132_653360"/>
      <w:bookmarkEnd w:id="74818"/>
      <w:r>
        <w:rPr>
          <w:rFonts w:hint="cs"/>
          <w:rtl/>
        </w:rPr>
        <w:t xml:space="preserve">עבודה. </w:t>
      </w:r>
    </w:p>
    <w:p w:rsidR="00BB59CD" w:rsidRDefault="00BB59CD" w:rsidP="00BB59CD">
      <w:pPr>
        <w:rPr>
          <w:rtl/>
        </w:rPr>
      </w:pPr>
      <w:bookmarkStart w:id="74819" w:name="_ETM_Q132_656768"/>
      <w:bookmarkStart w:id="74820" w:name="_ETM_Q132_656883"/>
      <w:bookmarkEnd w:id="74819"/>
      <w:bookmarkEnd w:id="74820"/>
    </w:p>
    <w:p w:rsidR="00BB59CD" w:rsidRDefault="00BB59CD" w:rsidP="00BB59CD">
      <w:pPr>
        <w:pStyle w:val="af8"/>
        <w:keepNext/>
        <w:rPr>
          <w:rtl/>
        </w:rPr>
      </w:pPr>
      <w:bookmarkStart w:id="74821" w:name="ET_interruption_5761_2"/>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74821"/>
    </w:p>
    <w:p w:rsidR="00BB59CD" w:rsidRDefault="00BB59CD" w:rsidP="00337201">
      <w:pPr>
        <w:rPr>
          <w:rtl/>
        </w:rPr>
      </w:pPr>
    </w:p>
    <w:p w:rsidR="00BB59CD" w:rsidRDefault="00BB59CD" w:rsidP="00BB59CD">
      <w:pPr>
        <w:rPr>
          <w:rtl/>
        </w:rPr>
      </w:pPr>
      <w:r>
        <w:rPr>
          <w:rFonts w:hint="cs"/>
          <w:rtl/>
        </w:rPr>
        <w:t>- - -</w:t>
      </w:r>
    </w:p>
    <w:p w:rsidR="00BB59CD" w:rsidRDefault="00BB59CD" w:rsidP="00BB59CD">
      <w:pPr>
        <w:rPr>
          <w:rtl/>
        </w:rPr>
      </w:pPr>
    </w:p>
    <w:p w:rsidR="00BB59CD" w:rsidRDefault="00BB59CD" w:rsidP="00BB59CD">
      <w:pPr>
        <w:pStyle w:val="-"/>
        <w:keepNext/>
        <w:rPr>
          <w:rtl/>
        </w:rPr>
      </w:pPr>
      <w:bookmarkStart w:id="74822" w:name="ET_speakercontinue_5918_3"/>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74822"/>
    </w:p>
    <w:p w:rsidR="00BB59CD" w:rsidRDefault="00BB59CD" w:rsidP="00337201">
      <w:pPr>
        <w:rPr>
          <w:rtl/>
        </w:rPr>
      </w:pPr>
    </w:p>
    <w:p w:rsidR="00BB59CD" w:rsidRDefault="00BB59CD" w:rsidP="00D94B83">
      <w:pPr>
        <w:rPr>
          <w:rtl/>
        </w:rPr>
      </w:pPr>
      <w:r>
        <w:rPr>
          <w:rFonts w:hint="cs"/>
          <w:rtl/>
        </w:rPr>
        <w:t>אללה יברכך.</w:t>
      </w:r>
      <w:bookmarkStart w:id="74823" w:name="_ETM_Q132_656930"/>
      <w:bookmarkStart w:id="74824" w:name="_ETM_Q132_657170"/>
      <w:bookmarkStart w:id="74825" w:name="_ETM_Q132_657560"/>
      <w:bookmarkStart w:id="74826" w:name="_ETM_Q132_660180"/>
      <w:bookmarkEnd w:id="74823"/>
      <w:bookmarkEnd w:id="74824"/>
      <w:bookmarkEnd w:id="74825"/>
      <w:bookmarkEnd w:id="74826"/>
      <w:r>
        <w:rPr>
          <w:rFonts w:hint="cs"/>
          <w:rtl/>
        </w:rPr>
        <w:t xml:space="preserve"> אז </w:t>
      </w:r>
      <w:bookmarkStart w:id="74827" w:name="_ETM_Q132_660720"/>
      <w:bookmarkEnd w:id="74827"/>
      <w:r>
        <w:rPr>
          <w:rFonts w:hint="cs"/>
          <w:rtl/>
        </w:rPr>
        <w:t xml:space="preserve">מה הממשלה </w:t>
      </w:r>
      <w:bookmarkStart w:id="74828" w:name="_ETM_Q132_661379"/>
      <w:bookmarkEnd w:id="74828"/>
      <w:r>
        <w:rPr>
          <w:rFonts w:hint="cs"/>
          <w:rtl/>
        </w:rPr>
        <w:t xml:space="preserve">הזאת </w:t>
      </w:r>
      <w:bookmarkStart w:id="74829" w:name="_ETM_Q132_661680"/>
      <w:bookmarkEnd w:id="74829"/>
      <w:r>
        <w:rPr>
          <w:rFonts w:hint="cs"/>
          <w:rtl/>
        </w:rPr>
        <w:t xml:space="preserve">הבטיחה </w:t>
      </w:r>
      <w:bookmarkStart w:id="74830" w:name="_ETM_Q132_662099"/>
      <w:bookmarkEnd w:id="74830"/>
      <w:r>
        <w:rPr>
          <w:rFonts w:hint="cs"/>
          <w:rtl/>
        </w:rPr>
        <w:t>לנו</w:t>
      </w:r>
      <w:bookmarkStart w:id="74831" w:name="_ETM_Q132_662400"/>
      <w:bookmarkEnd w:id="74831"/>
      <w:r>
        <w:rPr>
          <w:rFonts w:hint="cs"/>
          <w:rtl/>
        </w:rPr>
        <w:t xml:space="preserve"> </w:t>
      </w:r>
      <w:bookmarkStart w:id="74832" w:name="_ETM_Q132_664019"/>
      <w:bookmarkEnd w:id="74832"/>
      <w:r>
        <w:rPr>
          <w:rFonts w:hint="cs"/>
          <w:rtl/>
        </w:rPr>
        <w:t xml:space="preserve">ומה </w:t>
      </w:r>
      <w:bookmarkStart w:id="74833" w:name="_ETM_Q132_664470"/>
      <w:bookmarkEnd w:id="74833"/>
      <w:r>
        <w:rPr>
          <w:rFonts w:hint="cs"/>
          <w:rtl/>
        </w:rPr>
        <w:t xml:space="preserve">קיבלנו </w:t>
      </w:r>
      <w:bookmarkStart w:id="74834" w:name="_ETM_Q132_665040"/>
      <w:bookmarkEnd w:id="74834"/>
      <w:r>
        <w:rPr>
          <w:rFonts w:hint="cs"/>
          <w:rtl/>
        </w:rPr>
        <w:t xml:space="preserve">בחזרה? </w:t>
      </w:r>
      <w:bookmarkStart w:id="74835" w:name="_ETM_Q132_667250"/>
      <w:bookmarkEnd w:id="74835"/>
      <w:r>
        <w:rPr>
          <w:rFonts w:hint="cs"/>
          <w:rtl/>
        </w:rPr>
        <w:t xml:space="preserve">ביטחון </w:t>
      </w:r>
      <w:bookmarkStart w:id="74836" w:name="_ETM_Q132_667849"/>
      <w:bookmarkEnd w:id="74836"/>
      <w:r>
        <w:rPr>
          <w:rFonts w:hint="cs"/>
          <w:rtl/>
        </w:rPr>
        <w:t xml:space="preserve">אישי – </w:t>
      </w:r>
      <w:bookmarkStart w:id="74837" w:name="_ETM_Q132_669240"/>
      <w:bookmarkEnd w:id="74837"/>
      <w:r>
        <w:rPr>
          <w:rFonts w:hint="cs"/>
          <w:rtl/>
        </w:rPr>
        <w:t xml:space="preserve">אין, כבר </w:t>
      </w:r>
      <w:bookmarkStart w:id="74838" w:name="_ETM_Q132_669600"/>
      <w:bookmarkEnd w:id="74838"/>
      <w:r>
        <w:rPr>
          <w:rFonts w:hint="cs"/>
          <w:rtl/>
        </w:rPr>
        <w:t xml:space="preserve">אמרנו; </w:t>
      </w:r>
      <w:bookmarkStart w:id="74839" w:name="_ETM_Q132_672410"/>
      <w:bookmarkEnd w:id="74839"/>
      <w:r>
        <w:rPr>
          <w:rFonts w:hint="cs"/>
          <w:rtl/>
        </w:rPr>
        <w:t xml:space="preserve">מלחמה </w:t>
      </w:r>
      <w:bookmarkStart w:id="74840" w:name="_ETM_Q132_673030"/>
      <w:bookmarkEnd w:id="74840"/>
      <w:r>
        <w:rPr>
          <w:rFonts w:hint="cs"/>
          <w:rtl/>
        </w:rPr>
        <w:t xml:space="preserve">בעוני </w:t>
      </w:r>
      <w:bookmarkStart w:id="74841" w:name="_ETM_Q132_673390"/>
      <w:bookmarkStart w:id="74842" w:name="_ETM_Q132_674410"/>
      <w:bookmarkEnd w:id="74841"/>
      <w:bookmarkEnd w:id="74842"/>
      <w:r>
        <w:rPr>
          <w:rFonts w:hint="cs"/>
          <w:rtl/>
        </w:rPr>
        <w:t xml:space="preserve">ויוקר </w:t>
      </w:r>
      <w:bookmarkStart w:id="74843" w:name="_ETM_Q132_676550"/>
      <w:bookmarkEnd w:id="74843"/>
      <w:r>
        <w:rPr>
          <w:rFonts w:hint="cs"/>
          <w:rtl/>
        </w:rPr>
        <w:t>המחיה</w:t>
      </w:r>
      <w:bookmarkStart w:id="74844" w:name="_ETM_Q132_679060"/>
      <w:bookmarkStart w:id="74845" w:name="_ETM_Q132_679650"/>
      <w:bookmarkEnd w:id="74844"/>
      <w:bookmarkEnd w:id="74845"/>
      <w:r>
        <w:rPr>
          <w:rFonts w:hint="cs"/>
          <w:rtl/>
        </w:rPr>
        <w:t xml:space="preserve"> –</w:t>
      </w:r>
      <w:bookmarkStart w:id="74846" w:name="_ETM_Q132_679799"/>
      <w:bookmarkEnd w:id="74846"/>
      <w:r>
        <w:rPr>
          <w:rFonts w:hint="cs"/>
          <w:rtl/>
        </w:rPr>
        <w:t xml:space="preserve"> המעגל </w:t>
      </w:r>
      <w:bookmarkStart w:id="74847" w:name="_ETM_Q132_680700"/>
      <w:bookmarkEnd w:id="74847"/>
      <w:r>
        <w:rPr>
          <w:rFonts w:hint="cs"/>
          <w:rtl/>
        </w:rPr>
        <w:t xml:space="preserve">של </w:t>
      </w:r>
      <w:bookmarkStart w:id="74848" w:name="_ETM_Q132_681090"/>
      <w:bookmarkEnd w:id="74848"/>
      <w:r>
        <w:rPr>
          <w:rFonts w:hint="cs"/>
          <w:rtl/>
        </w:rPr>
        <w:t xml:space="preserve">העוני רק </w:t>
      </w:r>
      <w:bookmarkStart w:id="74849" w:name="_ETM_Q132_681450"/>
      <w:bookmarkEnd w:id="74849"/>
      <w:r>
        <w:rPr>
          <w:rFonts w:hint="cs"/>
          <w:rtl/>
        </w:rPr>
        <w:t xml:space="preserve">הולך </w:t>
      </w:r>
      <w:bookmarkStart w:id="74850" w:name="_ETM_Q132_681870"/>
      <w:bookmarkEnd w:id="74850"/>
      <w:r>
        <w:rPr>
          <w:rFonts w:hint="cs"/>
          <w:rtl/>
        </w:rPr>
        <w:t xml:space="preserve">ומתרחב: </w:t>
      </w:r>
      <w:bookmarkStart w:id="74851" w:name="_ETM_Q132_685860"/>
      <w:bookmarkEnd w:id="74851"/>
      <w:r>
        <w:rPr>
          <w:rFonts w:hint="cs"/>
          <w:rtl/>
        </w:rPr>
        <w:t xml:space="preserve">40% </w:t>
      </w:r>
      <w:bookmarkStart w:id="74852" w:name="_ETM_Q132_686819"/>
      <w:bookmarkEnd w:id="74852"/>
      <w:r>
        <w:rPr>
          <w:rFonts w:hint="cs"/>
          <w:rtl/>
        </w:rPr>
        <w:t xml:space="preserve">מאזרחי </w:t>
      </w:r>
      <w:bookmarkStart w:id="74853" w:name="_ETM_Q132_687480"/>
      <w:bookmarkEnd w:id="74853"/>
      <w:r>
        <w:rPr>
          <w:rFonts w:hint="cs"/>
          <w:rtl/>
        </w:rPr>
        <w:t xml:space="preserve">המדינה </w:t>
      </w:r>
      <w:bookmarkStart w:id="74854" w:name="_ETM_Q132_688350"/>
      <w:bookmarkEnd w:id="74854"/>
      <w:r>
        <w:rPr>
          <w:rFonts w:hint="cs"/>
          <w:rtl/>
        </w:rPr>
        <w:t xml:space="preserve">חיים </w:t>
      </w:r>
      <w:bookmarkStart w:id="74855" w:name="_ETM_Q132_688890"/>
      <w:bookmarkEnd w:id="74855"/>
      <w:r>
        <w:rPr>
          <w:rFonts w:hint="cs"/>
          <w:rtl/>
        </w:rPr>
        <w:t xml:space="preserve">מתחת </w:t>
      </w:r>
      <w:bookmarkStart w:id="74856" w:name="_ETM_Q132_689340"/>
      <w:bookmarkEnd w:id="74856"/>
      <w:r>
        <w:rPr>
          <w:rFonts w:hint="cs"/>
          <w:rtl/>
        </w:rPr>
        <w:t xml:space="preserve">לקו </w:t>
      </w:r>
      <w:bookmarkStart w:id="74857" w:name="_ETM_Q132_689670"/>
      <w:bookmarkEnd w:id="74857"/>
      <w:r>
        <w:rPr>
          <w:rFonts w:hint="cs"/>
          <w:rtl/>
        </w:rPr>
        <w:t xml:space="preserve">העוני, </w:t>
      </w:r>
      <w:bookmarkStart w:id="74858" w:name="_ETM_Q132_691379"/>
      <w:bookmarkEnd w:id="74858"/>
      <w:r>
        <w:rPr>
          <w:rFonts w:hint="cs"/>
          <w:rtl/>
        </w:rPr>
        <w:t xml:space="preserve">יותר </w:t>
      </w:r>
      <w:bookmarkStart w:id="74859" w:name="_ETM_Q132_691980"/>
      <w:bookmarkEnd w:id="74859"/>
      <w:r>
        <w:rPr>
          <w:rFonts w:hint="cs"/>
          <w:rtl/>
        </w:rPr>
        <w:t xml:space="preserve">מ-52% </w:t>
      </w:r>
      <w:bookmarkStart w:id="74860" w:name="_ETM_Q132_694940"/>
      <w:bookmarkEnd w:id="74860"/>
      <w:r>
        <w:rPr>
          <w:rFonts w:hint="cs"/>
          <w:rtl/>
        </w:rPr>
        <w:t xml:space="preserve">מהילדים </w:t>
      </w:r>
      <w:bookmarkStart w:id="74861" w:name="_ETM_Q132_695809"/>
      <w:bookmarkEnd w:id="74861"/>
      <w:r>
        <w:rPr>
          <w:rFonts w:hint="cs"/>
          <w:rtl/>
        </w:rPr>
        <w:t xml:space="preserve">הערבים </w:t>
      </w:r>
      <w:bookmarkStart w:id="74862" w:name="_ETM_Q132_697890"/>
      <w:bookmarkEnd w:id="74862"/>
      <w:r>
        <w:rPr>
          <w:rFonts w:hint="cs"/>
          <w:rtl/>
        </w:rPr>
        <w:t xml:space="preserve">חיים </w:t>
      </w:r>
      <w:bookmarkStart w:id="74863" w:name="_ETM_Q132_699019"/>
      <w:bookmarkEnd w:id="74863"/>
      <w:r>
        <w:rPr>
          <w:rFonts w:hint="cs"/>
          <w:rtl/>
        </w:rPr>
        <w:t xml:space="preserve">בתוך </w:t>
      </w:r>
      <w:bookmarkStart w:id="74864" w:name="_ETM_Q132_699679"/>
      <w:bookmarkEnd w:id="74864"/>
      <w:r>
        <w:rPr>
          <w:rFonts w:hint="cs"/>
          <w:rtl/>
        </w:rPr>
        <w:t>העוני</w:t>
      </w:r>
      <w:r w:rsidR="00D94B83">
        <w:rPr>
          <w:rFonts w:hint="cs"/>
          <w:rtl/>
        </w:rPr>
        <w:t>, ו</w:t>
      </w:r>
      <w:bookmarkStart w:id="74865" w:name="_ETM_Q132_703779"/>
      <w:bookmarkEnd w:id="74865"/>
      <w:r>
        <w:rPr>
          <w:rFonts w:hint="cs"/>
          <w:rtl/>
        </w:rPr>
        <w:t xml:space="preserve">לאלפי </w:t>
      </w:r>
      <w:bookmarkStart w:id="74866" w:name="_ETM_Q132_704319"/>
      <w:bookmarkEnd w:id="74866"/>
      <w:r>
        <w:rPr>
          <w:rFonts w:hint="cs"/>
          <w:rtl/>
        </w:rPr>
        <w:t xml:space="preserve">משפחות – </w:t>
      </w:r>
      <w:bookmarkStart w:id="74867" w:name="_ETM_Q132_706230"/>
      <w:bookmarkEnd w:id="74867"/>
      <w:r>
        <w:rPr>
          <w:rFonts w:hint="cs"/>
          <w:rtl/>
        </w:rPr>
        <w:t xml:space="preserve">עשרות </w:t>
      </w:r>
      <w:bookmarkStart w:id="74868" w:name="_ETM_Q132_706950"/>
      <w:bookmarkEnd w:id="74868"/>
      <w:r>
        <w:rPr>
          <w:rFonts w:hint="cs"/>
          <w:rtl/>
        </w:rPr>
        <w:t xml:space="preserve">ומאות </w:t>
      </w:r>
      <w:bookmarkStart w:id="74869" w:name="_ETM_Q132_707400"/>
      <w:bookmarkEnd w:id="74869"/>
      <w:r>
        <w:rPr>
          <w:rFonts w:hint="cs"/>
          <w:rtl/>
        </w:rPr>
        <w:t xml:space="preserve">אלפי </w:t>
      </w:r>
      <w:bookmarkStart w:id="74870" w:name="_ETM_Q132_707730"/>
      <w:bookmarkEnd w:id="74870"/>
      <w:r>
        <w:rPr>
          <w:rFonts w:hint="cs"/>
          <w:rtl/>
        </w:rPr>
        <w:t xml:space="preserve">משפחות </w:t>
      </w:r>
      <w:bookmarkStart w:id="74871" w:name="_ETM_Q132_710179"/>
      <w:bookmarkEnd w:id="74871"/>
      <w:r>
        <w:rPr>
          <w:rFonts w:hint="cs"/>
          <w:rtl/>
        </w:rPr>
        <w:t xml:space="preserve">– אין </w:t>
      </w:r>
      <w:bookmarkStart w:id="74872" w:name="_ETM_Q132_710390"/>
      <w:bookmarkStart w:id="74873" w:name="_ETM_Q132_710780"/>
      <w:bookmarkEnd w:id="74872"/>
      <w:bookmarkEnd w:id="74873"/>
      <w:r>
        <w:rPr>
          <w:rFonts w:hint="cs"/>
          <w:rtl/>
        </w:rPr>
        <w:t xml:space="preserve">איך </w:t>
      </w:r>
      <w:bookmarkStart w:id="74874" w:name="_ETM_Q132_711049"/>
      <w:bookmarkEnd w:id="74874"/>
      <w:r>
        <w:rPr>
          <w:rFonts w:hint="cs"/>
          <w:rtl/>
        </w:rPr>
        <w:t xml:space="preserve">לגמור </w:t>
      </w:r>
      <w:bookmarkStart w:id="74875" w:name="_ETM_Q132_711590"/>
      <w:bookmarkEnd w:id="74875"/>
      <w:r>
        <w:rPr>
          <w:rFonts w:hint="cs"/>
          <w:rtl/>
        </w:rPr>
        <w:t xml:space="preserve">את </w:t>
      </w:r>
      <w:bookmarkStart w:id="74876" w:name="_ETM_Q132_711739"/>
      <w:bookmarkEnd w:id="74876"/>
      <w:r>
        <w:rPr>
          <w:rFonts w:hint="cs"/>
          <w:rtl/>
        </w:rPr>
        <w:t xml:space="preserve">החודש. </w:t>
      </w:r>
      <w:bookmarkStart w:id="74877" w:name="_ETM_Q132_715069"/>
      <w:bookmarkEnd w:id="74877"/>
      <w:r>
        <w:rPr>
          <w:rFonts w:hint="cs"/>
          <w:rtl/>
        </w:rPr>
        <w:t xml:space="preserve">האבות </w:t>
      </w:r>
      <w:bookmarkStart w:id="74878" w:name="_ETM_Q132_715970"/>
      <w:bookmarkEnd w:id="74878"/>
      <w:r>
        <w:rPr>
          <w:rFonts w:hint="cs"/>
          <w:rtl/>
        </w:rPr>
        <w:t xml:space="preserve">והאימהות </w:t>
      </w:r>
      <w:bookmarkStart w:id="74879" w:name="_ETM_Q132_716690"/>
      <w:bookmarkEnd w:id="74879"/>
      <w:r>
        <w:rPr>
          <w:rFonts w:hint="cs"/>
          <w:rtl/>
        </w:rPr>
        <w:t xml:space="preserve">שלנו </w:t>
      </w:r>
      <w:bookmarkStart w:id="74880" w:name="_ETM_Q132_720100"/>
      <w:bookmarkEnd w:id="74880"/>
      <w:r>
        <w:rPr>
          <w:rFonts w:hint="cs"/>
          <w:rtl/>
        </w:rPr>
        <w:t xml:space="preserve">מתלבטים </w:t>
      </w:r>
      <w:bookmarkStart w:id="74881" w:name="_ETM_Q132_722019"/>
      <w:bookmarkEnd w:id="74881"/>
      <w:r>
        <w:rPr>
          <w:rFonts w:hint="cs"/>
          <w:rtl/>
        </w:rPr>
        <w:t xml:space="preserve">ומתלבטות </w:t>
      </w:r>
      <w:bookmarkStart w:id="74882" w:name="_ETM_Q132_724959"/>
      <w:bookmarkEnd w:id="74882"/>
      <w:r>
        <w:rPr>
          <w:rFonts w:hint="cs"/>
          <w:rtl/>
        </w:rPr>
        <w:t xml:space="preserve">מה </w:t>
      </w:r>
      <w:bookmarkStart w:id="74883" w:name="_ETM_Q132_725290"/>
      <w:bookmarkEnd w:id="74883"/>
      <w:r>
        <w:rPr>
          <w:rFonts w:hint="cs"/>
          <w:rtl/>
        </w:rPr>
        <w:t>לקנות: את</w:t>
      </w:r>
      <w:bookmarkStart w:id="74884" w:name="_ETM_Q132_727500"/>
      <w:bookmarkStart w:id="74885" w:name="_ETM_Q132_727740"/>
      <w:bookmarkEnd w:id="74884"/>
      <w:bookmarkEnd w:id="74885"/>
      <w:r>
        <w:rPr>
          <w:rFonts w:hint="cs"/>
          <w:rtl/>
        </w:rPr>
        <w:t xml:space="preserve"> התרופה </w:t>
      </w:r>
      <w:bookmarkStart w:id="74886" w:name="_ETM_Q132_729859"/>
      <w:bookmarkEnd w:id="74886"/>
      <w:r>
        <w:rPr>
          <w:rFonts w:hint="cs"/>
          <w:rtl/>
        </w:rPr>
        <w:t xml:space="preserve">או </w:t>
      </w:r>
      <w:bookmarkStart w:id="74887" w:name="_ETM_Q132_730099"/>
      <w:bookmarkEnd w:id="74887"/>
      <w:r>
        <w:rPr>
          <w:rFonts w:hint="cs"/>
          <w:rtl/>
        </w:rPr>
        <w:t xml:space="preserve">את </w:t>
      </w:r>
      <w:bookmarkStart w:id="74888" w:name="_ETM_Q132_730249"/>
      <w:bookmarkEnd w:id="74888"/>
      <w:r>
        <w:rPr>
          <w:rFonts w:hint="cs"/>
          <w:rtl/>
        </w:rPr>
        <w:t xml:space="preserve">האוכל </w:t>
      </w:r>
      <w:bookmarkStart w:id="74889" w:name="_ETM_Q132_732569"/>
      <w:bookmarkEnd w:id="74889"/>
      <w:r>
        <w:rPr>
          <w:rFonts w:hint="cs"/>
          <w:rtl/>
        </w:rPr>
        <w:t xml:space="preserve">או </w:t>
      </w:r>
      <w:bookmarkStart w:id="74890" w:name="_ETM_Q132_732719"/>
      <w:bookmarkEnd w:id="74890"/>
      <w:r>
        <w:rPr>
          <w:rFonts w:hint="cs"/>
          <w:rtl/>
        </w:rPr>
        <w:t xml:space="preserve">לשלם </w:t>
      </w:r>
      <w:bookmarkStart w:id="74891" w:name="_ETM_Q132_733200"/>
      <w:bookmarkEnd w:id="74891"/>
      <w:r>
        <w:rPr>
          <w:rFonts w:hint="cs"/>
          <w:rtl/>
        </w:rPr>
        <w:t xml:space="preserve">את </w:t>
      </w:r>
      <w:bookmarkStart w:id="74892" w:name="_ETM_Q132_733349"/>
      <w:bookmarkEnd w:id="74892"/>
      <w:r>
        <w:rPr>
          <w:rFonts w:hint="cs"/>
          <w:rtl/>
        </w:rPr>
        <w:t xml:space="preserve">החשמל? </w:t>
      </w:r>
      <w:bookmarkStart w:id="74893" w:name="_ETM_Q132_738740"/>
      <w:bookmarkEnd w:id="74893"/>
      <w:r>
        <w:rPr>
          <w:rFonts w:hint="cs"/>
          <w:rtl/>
        </w:rPr>
        <w:t xml:space="preserve">אז </w:t>
      </w:r>
      <w:bookmarkStart w:id="74894" w:name="_ETM_Q132_739499"/>
      <w:bookmarkEnd w:id="74894"/>
      <w:r>
        <w:rPr>
          <w:rFonts w:hint="cs"/>
          <w:rtl/>
        </w:rPr>
        <w:t xml:space="preserve">זו המלחמה </w:t>
      </w:r>
      <w:bookmarkStart w:id="74895" w:name="_ETM_Q132_740069"/>
      <w:bookmarkEnd w:id="74895"/>
      <w:r>
        <w:rPr>
          <w:rFonts w:hint="cs"/>
          <w:rtl/>
        </w:rPr>
        <w:t xml:space="preserve">בעוני – הסיסמה </w:t>
      </w:r>
      <w:bookmarkStart w:id="74896" w:name="_ETM_Q132_741939"/>
      <w:bookmarkEnd w:id="74896"/>
      <w:r>
        <w:rPr>
          <w:rFonts w:hint="cs"/>
          <w:rtl/>
        </w:rPr>
        <w:t xml:space="preserve">המנופחת שמתפוצצת </w:t>
      </w:r>
      <w:bookmarkStart w:id="74897" w:name="_ETM_Q132_742229"/>
      <w:bookmarkStart w:id="74898" w:name="_ETM_Q132_742949"/>
      <w:bookmarkStart w:id="74899" w:name="_ETM_Q132_743129"/>
      <w:bookmarkStart w:id="74900" w:name="_ETM_Q132_743429"/>
      <w:bookmarkStart w:id="74901" w:name="_ETM_Q132_745660"/>
      <w:bookmarkStart w:id="74902" w:name="_ETM_Q132_746890"/>
      <w:bookmarkEnd w:id="74897"/>
      <w:bookmarkEnd w:id="74898"/>
      <w:bookmarkEnd w:id="74899"/>
      <w:bookmarkEnd w:id="74900"/>
      <w:bookmarkEnd w:id="74901"/>
      <w:bookmarkEnd w:id="74902"/>
      <w:r>
        <w:rPr>
          <w:rFonts w:hint="cs"/>
          <w:rtl/>
        </w:rPr>
        <w:t xml:space="preserve">לנו </w:t>
      </w:r>
      <w:bookmarkStart w:id="74903" w:name="_ETM_Q132_747870"/>
      <w:bookmarkEnd w:id="74903"/>
      <w:r>
        <w:rPr>
          <w:rFonts w:hint="cs"/>
          <w:rtl/>
        </w:rPr>
        <w:t xml:space="preserve">בפנים </w:t>
      </w:r>
      <w:bookmarkStart w:id="74904" w:name="_ETM_Q132_749400"/>
      <w:bookmarkEnd w:id="74904"/>
      <w:r>
        <w:rPr>
          <w:rFonts w:hint="cs"/>
          <w:rtl/>
        </w:rPr>
        <w:t>יום-יום.</w:t>
      </w:r>
    </w:p>
    <w:p w:rsidR="00BB59CD" w:rsidRDefault="00BB59CD" w:rsidP="00BB59CD">
      <w:pPr>
        <w:rPr>
          <w:rtl/>
        </w:rPr>
      </w:pPr>
    </w:p>
    <w:p w:rsidR="00BB59CD" w:rsidRDefault="00BB59CD" w:rsidP="00337201">
      <w:pPr>
        <w:rPr>
          <w:rtl/>
          <w:lang w:eastAsia="he-IL"/>
        </w:rPr>
      </w:pPr>
      <w:bookmarkStart w:id="74905" w:name="TOR_Q133"/>
      <w:bookmarkStart w:id="74906" w:name="_ETM_Q133_41000"/>
      <w:bookmarkEnd w:id="74905"/>
      <w:bookmarkEnd w:id="74906"/>
      <w:r>
        <w:rPr>
          <w:rFonts w:hint="cs"/>
          <w:rtl/>
          <w:lang w:eastAsia="he-IL"/>
        </w:rPr>
        <w:t xml:space="preserve">ההבטחה השנייה – זוכרת, עאידה? חינוך חינם מלידה עד שלוש. זוכרת? </w:t>
      </w:r>
    </w:p>
    <w:p w:rsidR="00BB59CD" w:rsidRDefault="00BB59CD" w:rsidP="00BB59CD">
      <w:pPr>
        <w:rPr>
          <w:rtl/>
          <w:lang w:eastAsia="he-IL"/>
        </w:rPr>
      </w:pPr>
    </w:p>
    <w:p w:rsidR="00BB59CD" w:rsidRDefault="00BB59CD" w:rsidP="00BB59CD">
      <w:pPr>
        <w:pStyle w:val="af8"/>
        <w:keepNext/>
        <w:rPr>
          <w:rtl/>
        </w:rPr>
      </w:pPr>
      <w:bookmarkStart w:id="74907" w:name="_ETM_Q133_164000"/>
      <w:bookmarkEnd w:id="74907"/>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74908" w:name="_ETM_Q133_169000"/>
      <w:bookmarkEnd w:id="74908"/>
      <w:r>
        <w:rPr>
          <w:rFonts w:hint="cs"/>
          <w:rtl/>
          <w:lang w:eastAsia="he-IL"/>
        </w:rPr>
        <w:t xml:space="preserve">- - - </w:t>
      </w:r>
    </w:p>
    <w:p w:rsidR="00BB59CD" w:rsidRDefault="00BB59CD" w:rsidP="00BB59CD">
      <w:pPr>
        <w:rPr>
          <w:rtl/>
          <w:lang w:eastAsia="he-IL"/>
        </w:rPr>
      </w:pPr>
      <w:bookmarkStart w:id="74909" w:name="_ETM_Q133_172000"/>
      <w:bookmarkEnd w:id="74909"/>
    </w:p>
    <w:p w:rsidR="00BB59CD" w:rsidRDefault="00BB59CD" w:rsidP="00BB59CD">
      <w:pPr>
        <w:pStyle w:val="-"/>
        <w:keepNext/>
        <w:rPr>
          <w:rtl/>
        </w:rPr>
      </w:pPr>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D94B83">
      <w:pPr>
        <w:rPr>
          <w:rtl/>
        </w:rPr>
      </w:pPr>
      <w:r>
        <w:rPr>
          <w:rFonts w:hint="cs"/>
          <w:rtl/>
          <w:lang w:eastAsia="he-IL"/>
        </w:rPr>
        <w:t xml:space="preserve">ראש </w:t>
      </w:r>
      <w:bookmarkStart w:id="74910" w:name="_ETM_Q133_171000"/>
      <w:bookmarkEnd w:id="74910"/>
      <w:r>
        <w:rPr>
          <w:rFonts w:hint="cs"/>
          <w:rtl/>
          <w:lang w:eastAsia="he-IL"/>
        </w:rPr>
        <w:t>ממשלה שיצא והבטיח שהדבר הראשון שהוא יעשה – חינוך חינם</w:t>
      </w:r>
      <w:bookmarkStart w:id="74911" w:name="_ETM_Q133_179000"/>
      <w:bookmarkEnd w:id="74911"/>
      <w:r>
        <w:rPr>
          <w:rFonts w:hint="cs"/>
          <w:rtl/>
          <w:lang w:eastAsia="he-IL"/>
        </w:rPr>
        <w:t xml:space="preserve"> מלידה עד שלוש. </w:t>
      </w:r>
      <w:bookmarkStart w:id="74912" w:name="_ETM_Q133_181760"/>
      <w:bookmarkEnd w:id="74912"/>
      <w:r>
        <w:rPr>
          <w:rFonts w:hint="cs"/>
          <w:rtl/>
        </w:rPr>
        <w:t xml:space="preserve">אז </w:t>
      </w:r>
      <w:bookmarkStart w:id="74913" w:name="_ETM_Q133_183330"/>
      <w:bookmarkEnd w:id="74913"/>
      <w:r>
        <w:rPr>
          <w:rFonts w:hint="cs"/>
          <w:rtl/>
        </w:rPr>
        <w:t xml:space="preserve">תשמעו, </w:t>
      </w:r>
      <w:bookmarkStart w:id="74914" w:name="_ETM_Q133_186040"/>
      <w:bookmarkEnd w:id="74914"/>
      <w:r>
        <w:rPr>
          <w:rFonts w:hint="cs"/>
          <w:rtl/>
        </w:rPr>
        <w:t xml:space="preserve">גם </w:t>
      </w:r>
      <w:bookmarkStart w:id="74915" w:name="_ETM_Q133_186729"/>
      <w:bookmarkEnd w:id="74915"/>
      <w:r>
        <w:rPr>
          <w:rFonts w:hint="cs"/>
          <w:rtl/>
        </w:rPr>
        <w:t xml:space="preserve">חינוך </w:t>
      </w:r>
      <w:bookmarkStart w:id="74916" w:name="_ETM_Q133_187179"/>
      <w:bookmarkEnd w:id="74916"/>
      <w:r>
        <w:rPr>
          <w:rFonts w:hint="cs"/>
          <w:rtl/>
        </w:rPr>
        <w:t xml:space="preserve">חינם </w:t>
      </w:r>
      <w:bookmarkStart w:id="74917" w:name="_ETM_Q133_187660"/>
      <w:bookmarkEnd w:id="74917"/>
      <w:r>
        <w:rPr>
          <w:rFonts w:hint="cs"/>
          <w:rtl/>
        </w:rPr>
        <w:t xml:space="preserve">שקיים </w:t>
      </w:r>
      <w:bookmarkStart w:id="74918" w:name="_ETM_Q133_188440"/>
      <w:bookmarkEnd w:id="74918"/>
      <w:r>
        <w:rPr>
          <w:rFonts w:hint="cs"/>
          <w:rtl/>
        </w:rPr>
        <w:t xml:space="preserve">היום, </w:t>
      </w:r>
      <w:bookmarkStart w:id="74919" w:name="_ETM_Q133_190150"/>
      <w:bookmarkEnd w:id="74919"/>
      <w:r>
        <w:rPr>
          <w:rFonts w:hint="cs"/>
          <w:rtl/>
        </w:rPr>
        <w:t xml:space="preserve">שלוש </w:t>
      </w:r>
      <w:bookmarkStart w:id="74920" w:name="_ETM_Q133_192530"/>
      <w:bookmarkEnd w:id="74920"/>
      <w:r>
        <w:rPr>
          <w:rFonts w:hint="cs"/>
          <w:rtl/>
        </w:rPr>
        <w:t xml:space="preserve">עד </w:t>
      </w:r>
      <w:bookmarkStart w:id="74921" w:name="_ETM_Q133_192769"/>
      <w:bookmarkEnd w:id="74921"/>
      <w:r>
        <w:rPr>
          <w:rFonts w:hint="cs"/>
          <w:rtl/>
        </w:rPr>
        <w:t xml:space="preserve">תיכון, </w:t>
      </w:r>
      <w:bookmarkStart w:id="74922" w:name="_ETM_Q133_194559"/>
      <w:bookmarkEnd w:id="74922"/>
      <w:r>
        <w:rPr>
          <w:rFonts w:hint="cs"/>
          <w:rtl/>
        </w:rPr>
        <w:t xml:space="preserve">הוא </w:t>
      </w:r>
      <w:bookmarkStart w:id="74923" w:name="_ETM_Q133_194769"/>
      <w:bookmarkEnd w:id="74923"/>
      <w:r>
        <w:rPr>
          <w:rFonts w:hint="cs"/>
          <w:rtl/>
        </w:rPr>
        <w:t xml:space="preserve">בכלל </w:t>
      </w:r>
      <w:bookmarkStart w:id="74924" w:name="_ETM_Q133_195549"/>
      <w:bookmarkStart w:id="74925" w:name="_ETM_Q133_196060"/>
      <w:bookmarkEnd w:id="74924"/>
      <w:bookmarkEnd w:id="74925"/>
      <w:r>
        <w:rPr>
          <w:rFonts w:hint="cs"/>
          <w:rtl/>
        </w:rPr>
        <w:t xml:space="preserve">בכלל לא </w:t>
      </w:r>
      <w:bookmarkStart w:id="74926" w:name="_ETM_Q133_196180"/>
      <w:bookmarkEnd w:id="74926"/>
      <w:r>
        <w:rPr>
          <w:rFonts w:hint="cs"/>
          <w:rtl/>
        </w:rPr>
        <w:t xml:space="preserve">חינם </w:t>
      </w:r>
      <w:r>
        <w:t>–</w:t>
      </w:r>
      <w:r>
        <w:rPr>
          <w:rFonts w:hint="cs"/>
          <w:rtl/>
        </w:rPr>
        <w:t xml:space="preserve"> </w:t>
      </w:r>
      <w:bookmarkStart w:id="74927" w:name="_ETM_Q133_198960"/>
      <w:bookmarkEnd w:id="74927"/>
      <w:r>
        <w:rPr>
          <w:rFonts w:hint="cs"/>
          <w:rtl/>
        </w:rPr>
        <w:t xml:space="preserve">תשלומי </w:t>
      </w:r>
      <w:bookmarkStart w:id="74928" w:name="_ETM_Q133_199590"/>
      <w:bookmarkEnd w:id="74928"/>
      <w:r>
        <w:rPr>
          <w:rFonts w:hint="cs"/>
          <w:rtl/>
        </w:rPr>
        <w:t xml:space="preserve">הורים, </w:t>
      </w:r>
      <w:bookmarkStart w:id="74929" w:name="_ETM_Q133_202100"/>
      <w:bookmarkEnd w:id="74929"/>
      <w:r>
        <w:rPr>
          <w:rFonts w:hint="cs"/>
          <w:rtl/>
        </w:rPr>
        <w:t xml:space="preserve">שיעורים </w:t>
      </w:r>
      <w:bookmarkStart w:id="74930" w:name="_ETM_Q133_202730"/>
      <w:bookmarkEnd w:id="74930"/>
      <w:r>
        <w:rPr>
          <w:rFonts w:hint="cs"/>
          <w:rtl/>
        </w:rPr>
        <w:t xml:space="preserve">פרטיים, </w:t>
      </w:r>
      <w:bookmarkStart w:id="74931" w:name="_ETM_Q133_204919"/>
      <w:bookmarkEnd w:id="74931"/>
      <w:r>
        <w:rPr>
          <w:rFonts w:hint="cs"/>
          <w:rtl/>
        </w:rPr>
        <w:t xml:space="preserve">תשלומים </w:t>
      </w:r>
      <w:bookmarkStart w:id="74932" w:name="_ETM_Q133_205609"/>
      <w:bookmarkEnd w:id="74932"/>
      <w:r>
        <w:rPr>
          <w:rFonts w:hint="cs"/>
          <w:rtl/>
        </w:rPr>
        <w:t xml:space="preserve">נלווים. </w:t>
      </w:r>
      <w:bookmarkStart w:id="74933" w:name="_ETM_Q133_207300"/>
      <w:bookmarkEnd w:id="74933"/>
      <w:r>
        <w:rPr>
          <w:rFonts w:hint="cs"/>
          <w:rtl/>
        </w:rPr>
        <w:t xml:space="preserve">אתם </w:t>
      </w:r>
      <w:bookmarkStart w:id="74934" w:name="_ETM_Q133_207600"/>
      <w:bookmarkEnd w:id="74934"/>
      <w:r>
        <w:rPr>
          <w:rFonts w:hint="cs"/>
          <w:rtl/>
        </w:rPr>
        <w:t xml:space="preserve">יודעים </w:t>
      </w:r>
      <w:bookmarkStart w:id="74935" w:name="_ETM_Q133_208020"/>
      <w:bookmarkEnd w:id="74935"/>
      <w:r>
        <w:rPr>
          <w:rFonts w:hint="cs"/>
          <w:rtl/>
        </w:rPr>
        <w:t xml:space="preserve">מה? עוד יותר </w:t>
      </w:r>
      <w:bookmarkStart w:id="74936" w:name="_ETM_Q133_211000"/>
      <w:bookmarkEnd w:id="74936"/>
      <w:r>
        <w:rPr>
          <w:rFonts w:hint="cs"/>
          <w:rtl/>
        </w:rPr>
        <w:t>גרוע מזה</w:t>
      </w:r>
      <w:bookmarkStart w:id="74937" w:name="_ETM_Q133_209050"/>
      <w:bookmarkStart w:id="74938" w:name="_ETM_Q133_210039"/>
      <w:bookmarkStart w:id="74939" w:name="_ETM_Q133_210250"/>
      <w:bookmarkStart w:id="74940" w:name="_ETM_Q133_210640"/>
      <w:bookmarkStart w:id="74941" w:name="_ETM_Q133_211090"/>
      <w:bookmarkEnd w:id="74937"/>
      <w:bookmarkEnd w:id="74938"/>
      <w:bookmarkEnd w:id="74939"/>
      <w:bookmarkEnd w:id="74940"/>
      <w:bookmarkEnd w:id="74941"/>
      <w:r>
        <w:rPr>
          <w:rFonts w:hint="cs"/>
          <w:rtl/>
        </w:rPr>
        <w:t xml:space="preserve">: </w:t>
      </w:r>
      <w:bookmarkStart w:id="74942" w:name="_ETM_Q133_212650"/>
      <w:bookmarkEnd w:id="74942"/>
      <w:r>
        <w:rPr>
          <w:rFonts w:hint="cs"/>
          <w:rtl/>
        </w:rPr>
        <w:t xml:space="preserve">יש </w:t>
      </w:r>
      <w:bookmarkStart w:id="74943" w:name="_ETM_Q133_212950"/>
      <w:bookmarkEnd w:id="74943"/>
      <w:r>
        <w:rPr>
          <w:rFonts w:hint="cs"/>
          <w:rtl/>
        </w:rPr>
        <w:t xml:space="preserve">לנו </w:t>
      </w:r>
      <w:bookmarkStart w:id="74944" w:name="_ETM_Q133_214059"/>
      <w:bookmarkEnd w:id="74944"/>
      <w:r>
        <w:rPr>
          <w:rFonts w:hint="cs"/>
          <w:rtl/>
        </w:rPr>
        <w:t xml:space="preserve">ילדים </w:t>
      </w:r>
      <w:bookmarkStart w:id="74945" w:name="_ETM_Q133_215610"/>
      <w:bookmarkEnd w:id="74945"/>
      <w:r>
        <w:rPr>
          <w:rFonts w:hint="cs"/>
          <w:rtl/>
        </w:rPr>
        <w:t xml:space="preserve">בגילי </w:t>
      </w:r>
      <w:bookmarkStart w:id="74946" w:name="_ETM_Q133_216260"/>
      <w:bookmarkStart w:id="74947" w:name="_ETM_Q133_216620"/>
      <w:bookmarkEnd w:id="74946"/>
      <w:bookmarkEnd w:id="74947"/>
      <w:r>
        <w:rPr>
          <w:rFonts w:hint="cs"/>
          <w:rtl/>
        </w:rPr>
        <w:t xml:space="preserve">חינוך </w:t>
      </w:r>
      <w:bookmarkStart w:id="74948" w:name="_ETM_Q133_217640"/>
      <w:bookmarkEnd w:id="74948"/>
      <w:r>
        <w:rPr>
          <w:rFonts w:hint="cs"/>
          <w:rtl/>
        </w:rPr>
        <w:t xml:space="preserve">חובה </w:t>
      </w:r>
      <w:bookmarkStart w:id="74949" w:name="_ETM_Q133_218479"/>
      <w:bookmarkEnd w:id="74949"/>
      <w:r>
        <w:rPr>
          <w:rFonts w:hint="cs"/>
          <w:rtl/>
        </w:rPr>
        <w:t xml:space="preserve">חינם </w:t>
      </w:r>
      <w:bookmarkStart w:id="74950" w:name="_ETM_Q133_219870"/>
      <w:bookmarkEnd w:id="74950"/>
      <w:r>
        <w:rPr>
          <w:rFonts w:hint="cs"/>
          <w:rtl/>
        </w:rPr>
        <w:t xml:space="preserve">שאין </w:t>
      </w:r>
      <w:bookmarkStart w:id="74951" w:name="_ETM_Q133_220500"/>
      <w:bookmarkEnd w:id="74951"/>
      <w:r>
        <w:rPr>
          <w:rFonts w:hint="cs"/>
          <w:rtl/>
        </w:rPr>
        <w:t xml:space="preserve">להם </w:t>
      </w:r>
      <w:bookmarkStart w:id="74952" w:name="_ETM_Q133_221070"/>
      <w:bookmarkEnd w:id="74952"/>
      <w:r>
        <w:rPr>
          <w:rFonts w:hint="cs"/>
          <w:rtl/>
        </w:rPr>
        <w:t xml:space="preserve">מסגרת </w:t>
      </w:r>
      <w:bookmarkStart w:id="74953" w:name="_ETM_Q133_221880"/>
      <w:bookmarkEnd w:id="74953"/>
      <w:r>
        <w:rPr>
          <w:rFonts w:hint="cs"/>
          <w:rtl/>
        </w:rPr>
        <w:t xml:space="preserve">חינוכית </w:t>
      </w:r>
      <w:bookmarkStart w:id="74954" w:name="_ETM_Q133_223210"/>
      <w:bookmarkEnd w:id="74954"/>
      <w:r>
        <w:rPr>
          <w:rFonts w:hint="cs"/>
          <w:rtl/>
        </w:rPr>
        <w:t xml:space="preserve">ללכת </w:t>
      </w:r>
      <w:bookmarkStart w:id="74955" w:name="_ETM_Q133_223809"/>
      <w:bookmarkEnd w:id="74955"/>
      <w:r>
        <w:rPr>
          <w:rFonts w:hint="cs"/>
          <w:rtl/>
        </w:rPr>
        <w:t xml:space="preserve">אליה, </w:t>
      </w:r>
      <w:bookmarkStart w:id="74956" w:name="_ETM_Q133_225930"/>
      <w:bookmarkEnd w:id="74956"/>
      <w:r>
        <w:rPr>
          <w:rFonts w:hint="cs"/>
          <w:rtl/>
        </w:rPr>
        <w:t xml:space="preserve">והם </w:t>
      </w:r>
      <w:bookmarkStart w:id="74957" w:name="_ETM_Q133_226350"/>
      <w:bookmarkStart w:id="74958" w:name="_ETM_Q133_226550"/>
      <w:bookmarkStart w:id="74959" w:name="_ETM_Q133_226610"/>
      <w:bookmarkEnd w:id="74957"/>
      <w:bookmarkEnd w:id="74958"/>
      <w:bookmarkEnd w:id="74959"/>
      <w:r>
        <w:rPr>
          <w:rFonts w:hint="cs"/>
          <w:rtl/>
        </w:rPr>
        <w:t xml:space="preserve">צריכים </w:t>
      </w:r>
      <w:bookmarkStart w:id="74960" w:name="_ETM_Q133_227750"/>
      <w:bookmarkEnd w:id="74960"/>
      <w:r>
        <w:rPr>
          <w:rFonts w:hint="cs"/>
          <w:rtl/>
        </w:rPr>
        <w:t xml:space="preserve">לנסוע </w:t>
      </w:r>
      <w:bookmarkStart w:id="74961" w:name="_ETM_Q133_228559"/>
      <w:bookmarkEnd w:id="74961"/>
      <w:r>
        <w:rPr>
          <w:rFonts w:hint="cs"/>
          <w:rtl/>
        </w:rPr>
        <w:t xml:space="preserve">בכל </w:t>
      </w:r>
      <w:bookmarkStart w:id="74962" w:name="_ETM_Q133_228950"/>
      <w:bookmarkEnd w:id="74962"/>
      <w:r>
        <w:rPr>
          <w:rFonts w:hint="cs"/>
          <w:rtl/>
        </w:rPr>
        <w:t xml:space="preserve">יום </w:t>
      </w:r>
      <w:bookmarkStart w:id="74963" w:name="_ETM_Q133_229879"/>
      <w:bookmarkEnd w:id="74963"/>
      <w:r>
        <w:rPr>
          <w:rFonts w:hint="cs"/>
          <w:rtl/>
        </w:rPr>
        <w:t xml:space="preserve">עשרות </w:t>
      </w:r>
      <w:bookmarkStart w:id="74964" w:name="_ETM_Q133_230420"/>
      <w:bookmarkEnd w:id="74964"/>
      <w:r>
        <w:rPr>
          <w:rFonts w:hint="cs"/>
          <w:rtl/>
        </w:rPr>
        <w:t xml:space="preserve">קילומטרים </w:t>
      </w:r>
      <w:bookmarkStart w:id="74965" w:name="_ETM_Q133_231290"/>
      <w:bookmarkEnd w:id="74965"/>
      <w:r>
        <w:rPr>
          <w:rFonts w:hint="cs"/>
          <w:rtl/>
        </w:rPr>
        <w:t xml:space="preserve">כדי </w:t>
      </w:r>
      <w:bookmarkStart w:id="74966" w:name="_ETM_Q133_232440"/>
      <w:bookmarkEnd w:id="74966"/>
      <w:r>
        <w:rPr>
          <w:rFonts w:hint="cs"/>
          <w:rtl/>
        </w:rPr>
        <w:t xml:space="preserve">להגיע </w:t>
      </w:r>
      <w:bookmarkStart w:id="74967" w:name="_ETM_Q133_233280"/>
      <w:bookmarkEnd w:id="74967"/>
      <w:r>
        <w:rPr>
          <w:rFonts w:hint="cs"/>
          <w:rtl/>
        </w:rPr>
        <w:t xml:space="preserve">למסגרת </w:t>
      </w:r>
      <w:bookmarkStart w:id="74968" w:name="_ETM_Q133_233969"/>
      <w:bookmarkEnd w:id="74968"/>
      <w:r>
        <w:rPr>
          <w:rFonts w:hint="cs"/>
          <w:rtl/>
        </w:rPr>
        <w:t xml:space="preserve">שלהם </w:t>
      </w:r>
      <w:bookmarkStart w:id="74969" w:name="_ETM_Q133_236250"/>
      <w:bookmarkEnd w:id="74969"/>
      <w:r>
        <w:rPr>
          <w:rFonts w:hint="cs"/>
          <w:rtl/>
        </w:rPr>
        <w:t xml:space="preserve">ופעמים </w:t>
      </w:r>
      <w:bookmarkStart w:id="74970" w:name="_ETM_Q133_237000"/>
      <w:bookmarkEnd w:id="74970"/>
      <w:r>
        <w:rPr>
          <w:rFonts w:hint="cs"/>
          <w:rtl/>
        </w:rPr>
        <w:t xml:space="preserve">רבות </w:t>
      </w:r>
      <w:bookmarkStart w:id="74971" w:name="_ETM_Q133_238320"/>
      <w:bookmarkEnd w:id="74971"/>
      <w:r>
        <w:rPr>
          <w:rFonts w:hint="cs"/>
          <w:rtl/>
        </w:rPr>
        <w:t xml:space="preserve">לסכן </w:t>
      </w:r>
      <w:bookmarkStart w:id="74972" w:name="_ETM_Q133_239280"/>
      <w:bookmarkEnd w:id="74972"/>
      <w:r>
        <w:rPr>
          <w:rFonts w:hint="cs"/>
          <w:rtl/>
        </w:rPr>
        <w:t xml:space="preserve">את </w:t>
      </w:r>
      <w:bookmarkStart w:id="74973" w:name="_ETM_Q133_239430"/>
      <w:bookmarkEnd w:id="74973"/>
      <w:r>
        <w:rPr>
          <w:rFonts w:hint="cs"/>
          <w:rtl/>
        </w:rPr>
        <w:t xml:space="preserve">חייהם </w:t>
      </w:r>
      <w:bookmarkStart w:id="74974" w:name="_ETM_Q133_240679"/>
      <w:bookmarkEnd w:id="74974"/>
      <w:r>
        <w:rPr>
          <w:rFonts w:hint="cs"/>
          <w:rtl/>
        </w:rPr>
        <w:t xml:space="preserve">גם </w:t>
      </w:r>
      <w:bookmarkStart w:id="74975" w:name="_ETM_Q133_241039"/>
      <w:bookmarkEnd w:id="74975"/>
      <w:r>
        <w:rPr>
          <w:rFonts w:hint="cs"/>
          <w:rtl/>
        </w:rPr>
        <w:t>בחורף</w:t>
      </w:r>
      <w:bookmarkStart w:id="74976" w:name="_ETM_Q133_242149"/>
      <w:bookmarkEnd w:id="74976"/>
      <w:r>
        <w:rPr>
          <w:rFonts w:hint="cs"/>
          <w:rtl/>
        </w:rPr>
        <w:t xml:space="preserve"> וגם </w:t>
      </w:r>
      <w:bookmarkStart w:id="74977" w:name="_ETM_Q133_242479"/>
      <w:bookmarkEnd w:id="74977"/>
      <w:r>
        <w:rPr>
          <w:rFonts w:hint="cs"/>
          <w:rtl/>
        </w:rPr>
        <w:t>בקיץ.</w:t>
      </w:r>
      <w:bookmarkStart w:id="74978" w:name="_ETM_Q133_246000"/>
      <w:bookmarkStart w:id="74979" w:name="_ETM_Q133_247000"/>
      <w:bookmarkStart w:id="74980" w:name="_ETM_Q133_244010"/>
      <w:bookmarkEnd w:id="74978"/>
      <w:bookmarkEnd w:id="74979"/>
      <w:bookmarkEnd w:id="74980"/>
      <w:r>
        <w:rPr>
          <w:rFonts w:hint="cs"/>
          <w:rtl/>
        </w:rPr>
        <w:t xml:space="preserve"> אז </w:t>
      </w:r>
      <w:bookmarkStart w:id="74981" w:name="_ETM_Q133_245409"/>
      <w:bookmarkEnd w:id="74981"/>
      <w:r>
        <w:rPr>
          <w:rFonts w:hint="cs"/>
          <w:rtl/>
        </w:rPr>
        <w:t xml:space="preserve">לא רק שאין </w:t>
      </w:r>
      <w:bookmarkStart w:id="74982" w:name="_ETM_Q133_245979"/>
      <w:bookmarkEnd w:id="74982"/>
      <w:r>
        <w:rPr>
          <w:rFonts w:hint="cs"/>
          <w:rtl/>
        </w:rPr>
        <w:t xml:space="preserve">לנו </w:t>
      </w:r>
      <w:bookmarkStart w:id="74983" w:name="_ETM_Q133_247220"/>
      <w:bookmarkEnd w:id="74983"/>
      <w:r>
        <w:rPr>
          <w:rFonts w:hint="cs"/>
          <w:rtl/>
        </w:rPr>
        <w:t xml:space="preserve">חינוך </w:t>
      </w:r>
      <w:bookmarkStart w:id="74984" w:name="_ETM_Q133_247850"/>
      <w:bookmarkEnd w:id="74984"/>
      <w:r>
        <w:rPr>
          <w:rFonts w:hint="cs"/>
          <w:rtl/>
        </w:rPr>
        <w:t xml:space="preserve">חינם </w:t>
      </w:r>
      <w:bookmarkStart w:id="74985" w:name="_ETM_Q133_248360"/>
      <w:bookmarkEnd w:id="74985"/>
      <w:r>
        <w:rPr>
          <w:rFonts w:hint="cs"/>
          <w:rtl/>
        </w:rPr>
        <w:t>מ</w:t>
      </w:r>
      <w:bookmarkStart w:id="74986" w:name="_ETM_Q133_248510"/>
      <w:bookmarkEnd w:id="74986"/>
      <w:r>
        <w:rPr>
          <w:rFonts w:hint="cs"/>
          <w:rtl/>
        </w:rPr>
        <w:t xml:space="preserve">לידה </w:t>
      </w:r>
      <w:bookmarkStart w:id="74987" w:name="_ETM_Q133_248870"/>
      <w:bookmarkEnd w:id="74987"/>
      <w:r>
        <w:rPr>
          <w:rFonts w:hint="cs"/>
          <w:rtl/>
        </w:rPr>
        <w:t>עד</w:t>
      </w:r>
      <w:bookmarkStart w:id="74988" w:name="_ETM_Q133_249050"/>
      <w:bookmarkEnd w:id="74988"/>
      <w:r>
        <w:rPr>
          <w:rFonts w:hint="cs"/>
          <w:rtl/>
        </w:rPr>
        <w:t xml:space="preserve"> שלוש</w:t>
      </w:r>
      <w:bookmarkStart w:id="74989" w:name="_ETM_Q133_251069"/>
      <w:bookmarkEnd w:id="74989"/>
      <w:r>
        <w:rPr>
          <w:rFonts w:hint="cs"/>
          <w:rtl/>
        </w:rPr>
        <w:t xml:space="preserve">, אני </w:t>
      </w:r>
      <w:bookmarkStart w:id="74990" w:name="_ETM_Q133_251340"/>
      <w:bookmarkEnd w:id="74990"/>
      <w:r>
        <w:rPr>
          <w:rFonts w:hint="cs"/>
          <w:rtl/>
        </w:rPr>
        <w:t xml:space="preserve">אגיד </w:t>
      </w:r>
      <w:bookmarkStart w:id="74991" w:name="_ETM_Q133_251700"/>
      <w:bookmarkEnd w:id="74991"/>
      <w:r>
        <w:rPr>
          <w:rFonts w:hint="cs"/>
          <w:rtl/>
        </w:rPr>
        <w:t xml:space="preserve">לכם </w:t>
      </w:r>
      <w:bookmarkStart w:id="74992" w:name="_ETM_Q133_252150"/>
      <w:bookmarkEnd w:id="74992"/>
      <w:r>
        <w:rPr>
          <w:rFonts w:hint="cs"/>
          <w:rtl/>
        </w:rPr>
        <w:t xml:space="preserve">מה עוד </w:t>
      </w:r>
      <w:bookmarkStart w:id="74993" w:name="_ETM_Q133_252420"/>
      <w:bookmarkEnd w:id="74993"/>
      <w:r>
        <w:rPr>
          <w:rFonts w:hint="cs"/>
          <w:rtl/>
        </w:rPr>
        <w:t xml:space="preserve">יותר </w:t>
      </w:r>
      <w:bookmarkStart w:id="74994" w:name="_ETM_Q133_252810"/>
      <w:bookmarkEnd w:id="74994"/>
      <w:r>
        <w:rPr>
          <w:rFonts w:hint="cs"/>
          <w:rtl/>
        </w:rPr>
        <w:t xml:space="preserve">גרוע </w:t>
      </w:r>
      <w:bookmarkStart w:id="74995" w:name="_ETM_Q133_254740"/>
      <w:bookmarkEnd w:id="74995"/>
      <w:r w:rsidR="00D94B83">
        <w:rPr>
          <w:rFonts w:hint="eastAsia"/>
          <w:rtl/>
        </w:rPr>
        <w:t>–</w:t>
      </w:r>
      <w:r w:rsidR="00D94B83">
        <w:rPr>
          <w:rFonts w:hint="cs"/>
          <w:rtl/>
        </w:rPr>
        <w:t xml:space="preserve"> </w:t>
      </w:r>
      <w:r>
        <w:rPr>
          <w:rFonts w:hint="cs"/>
          <w:rtl/>
        </w:rPr>
        <w:t xml:space="preserve">זה </w:t>
      </w:r>
      <w:bookmarkStart w:id="74996" w:name="_ETM_Q133_255280"/>
      <w:bookmarkEnd w:id="74996"/>
      <w:r>
        <w:rPr>
          <w:rFonts w:hint="cs"/>
          <w:rtl/>
        </w:rPr>
        <w:t xml:space="preserve">לא </w:t>
      </w:r>
      <w:bookmarkStart w:id="74997" w:name="_ETM_Q133_255490"/>
      <w:bookmarkEnd w:id="74997"/>
      <w:r>
        <w:rPr>
          <w:rFonts w:hint="cs"/>
          <w:rtl/>
        </w:rPr>
        <w:t xml:space="preserve">יהיה </w:t>
      </w:r>
      <w:bookmarkStart w:id="74998" w:name="_ETM_Q133_256060"/>
      <w:bookmarkEnd w:id="74998"/>
      <w:r>
        <w:rPr>
          <w:rFonts w:hint="cs"/>
          <w:rtl/>
        </w:rPr>
        <w:t xml:space="preserve">ולא </w:t>
      </w:r>
      <w:bookmarkStart w:id="74999" w:name="_ETM_Q133_256450"/>
      <w:bookmarkEnd w:id="74999"/>
      <w:r>
        <w:rPr>
          <w:rFonts w:hint="cs"/>
          <w:rtl/>
        </w:rPr>
        <w:t xml:space="preserve">יקרה </w:t>
      </w:r>
      <w:bookmarkStart w:id="75000" w:name="_ETM_Q133_256930"/>
      <w:bookmarkEnd w:id="75000"/>
      <w:r>
        <w:rPr>
          <w:rFonts w:hint="cs"/>
          <w:rtl/>
        </w:rPr>
        <w:t xml:space="preserve">בשנים </w:t>
      </w:r>
      <w:bookmarkStart w:id="75001" w:name="_ETM_Q133_257470"/>
      <w:bookmarkEnd w:id="75001"/>
      <w:r>
        <w:rPr>
          <w:rFonts w:hint="cs"/>
          <w:rtl/>
        </w:rPr>
        <w:t xml:space="preserve">הבאות. </w:t>
      </w:r>
      <w:bookmarkStart w:id="75002" w:name="_ETM_Q133_259229"/>
      <w:bookmarkEnd w:id="75002"/>
      <w:r>
        <w:rPr>
          <w:rFonts w:hint="cs"/>
          <w:rtl/>
        </w:rPr>
        <w:t xml:space="preserve">אנחנו </w:t>
      </w:r>
      <w:bookmarkStart w:id="75003" w:name="_ETM_Q133_259920"/>
      <w:bookmarkEnd w:id="75003"/>
      <w:r>
        <w:rPr>
          <w:rFonts w:hint="cs"/>
          <w:rtl/>
        </w:rPr>
        <w:t xml:space="preserve">נמשיך </w:t>
      </w:r>
      <w:bookmarkStart w:id="75004" w:name="_ETM_Q133_260430"/>
      <w:bookmarkEnd w:id="75004"/>
      <w:r>
        <w:rPr>
          <w:rFonts w:hint="cs"/>
          <w:rtl/>
        </w:rPr>
        <w:t xml:space="preserve">לשמוע </w:t>
      </w:r>
      <w:bookmarkStart w:id="75005" w:name="_ETM_Q133_260940"/>
      <w:bookmarkEnd w:id="75005"/>
      <w:r>
        <w:rPr>
          <w:rFonts w:hint="cs"/>
          <w:rtl/>
        </w:rPr>
        <w:t xml:space="preserve">הבטחות, </w:t>
      </w:r>
      <w:bookmarkStart w:id="75006" w:name="_ETM_Q133_261869"/>
      <w:bookmarkEnd w:id="75006"/>
      <w:r>
        <w:rPr>
          <w:rFonts w:hint="cs"/>
          <w:rtl/>
        </w:rPr>
        <w:t xml:space="preserve">לצערי </w:t>
      </w:r>
      <w:bookmarkStart w:id="75007" w:name="_ETM_Q133_262560"/>
      <w:bookmarkEnd w:id="75007"/>
      <w:r>
        <w:rPr>
          <w:rFonts w:hint="cs"/>
          <w:rtl/>
        </w:rPr>
        <w:t xml:space="preserve">הרב. </w:t>
      </w:r>
      <w:bookmarkStart w:id="75008" w:name="_ETM_Q133_268110"/>
      <w:bookmarkEnd w:id="75008"/>
    </w:p>
    <w:p w:rsidR="00BB59CD" w:rsidRDefault="00BB59CD" w:rsidP="00BB59CD">
      <w:pPr>
        <w:rPr>
          <w:rtl/>
        </w:rPr>
      </w:pPr>
      <w:bookmarkStart w:id="75009" w:name="_ETM_Q133_283199"/>
      <w:bookmarkEnd w:id="75009"/>
    </w:p>
    <w:p w:rsidR="00BB59CD" w:rsidRDefault="00BB59CD" w:rsidP="00D94B83">
      <w:pPr>
        <w:rPr>
          <w:rtl/>
        </w:rPr>
      </w:pPr>
      <w:bookmarkStart w:id="75010" w:name="_ETM_Q133_283308"/>
      <w:bookmarkStart w:id="75011" w:name="_ETM_Q133_283345"/>
      <w:bookmarkStart w:id="75012" w:name="_ETM_Q133_283394"/>
      <w:bookmarkEnd w:id="75010"/>
      <w:bookmarkEnd w:id="75011"/>
      <w:bookmarkEnd w:id="75012"/>
      <w:r>
        <w:rPr>
          <w:rFonts w:hint="cs"/>
          <w:rtl/>
        </w:rPr>
        <w:t xml:space="preserve">אז </w:t>
      </w:r>
      <w:bookmarkStart w:id="75013" w:name="_ETM_Q133_268470"/>
      <w:bookmarkEnd w:id="75013"/>
      <w:r>
        <w:rPr>
          <w:rFonts w:hint="cs"/>
          <w:rtl/>
        </w:rPr>
        <w:t xml:space="preserve">מה </w:t>
      </w:r>
      <w:bookmarkStart w:id="75014" w:name="_ETM_Q133_268680"/>
      <w:bookmarkEnd w:id="75014"/>
      <w:r>
        <w:rPr>
          <w:rFonts w:hint="cs"/>
          <w:rtl/>
        </w:rPr>
        <w:t xml:space="preserve">קיבלנו? </w:t>
      </w:r>
      <w:bookmarkStart w:id="75015" w:name="_ETM_Q133_272170"/>
      <w:bookmarkEnd w:id="75015"/>
      <w:r>
        <w:rPr>
          <w:rFonts w:hint="cs"/>
          <w:rtl/>
        </w:rPr>
        <w:t>קיבלנו הפיכה משטרית</w:t>
      </w:r>
      <w:bookmarkStart w:id="75016" w:name="_ETM_Q133_272380"/>
      <w:bookmarkStart w:id="75017" w:name="_ETM_Q133_274170"/>
      <w:bookmarkStart w:id="75018" w:name="_ETM_Q133_275880"/>
      <w:bookmarkStart w:id="75019" w:name="_ETM_Q133_276479"/>
      <w:bookmarkStart w:id="75020" w:name="_ETM_Q133_278810"/>
      <w:bookmarkEnd w:id="75016"/>
      <w:bookmarkEnd w:id="75017"/>
      <w:bookmarkEnd w:id="75018"/>
      <w:bookmarkEnd w:id="75019"/>
      <w:bookmarkEnd w:id="75020"/>
      <w:r>
        <w:rPr>
          <w:rFonts w:hint="cs"/>
          <w:rtl/>
        </w:rPr>
        <w:t xml:space="preserve">, </w:t>
      </w:r>
      <w:bookmarkStart w:id="75021" w:name="_ETM_Q133_279049"/>
      <w:bookmarkEnd w:id="75021"/>
      <w:r>
        <w:rPr>
          <w:rFonts w:hint="cs"/>
          <w:rtl/>
        </w:rPr>
        <w:t xml:space="preserve">שבאה </w:t>
      </w:r>
      <w:bookmarkStart w:id="75022" w:name="_ETM_Q133_281009"/>
      <w:bookmarkEnd w:id="75022"/>
      <w:r>
        <w:rPr>
          <w:rFonts w:hint="cs"/>
          <w:rtl/>
        </w:rPr>
        <w:t xml:space="preserve">קודם </w:t>
      </w:r>
      <w:bookmarkStart w:id="75023" w:name="_ETM_Q133_281520"/>
      <w:bookmarkEnd w:id="75023"/>
      <w:r>
        <w:rPr>
          <w:rFonts w:hint="cs"/>
          <w:rtl/>
        </w:rPr>
        <w:t xml:space="preserve">כול </w:t>
      </w:r>
      <w:bookmarkStart w:id="75024" w:name="_ETM_Q133_282950"/>
      <w:bookmarkEnd w:id="75024"/>
      <w:r>
        <w:rPr>
          <w:rFonts w:hint="cs"/>
          <w:rtl/>
        </w:rPr>
        <w:t xml:space="preserve">לבטל </w:t>
      </w:r>
      <w:bookmarkStart w:id="75025" w:name="_ETM_Q133_283880"/>
      <w:bookmarkEnd w:id="75025"/>
      <w:r>
        <w:rPr>
          <w:rFonts w:hint="cs"/>
          <w:rtl/>
        </w:rPr>
        <w:t xml:space="preserve">את </w:t>
      </w:r>
      <w:bookmarkStart w:id="75026" w:name="_ETM_Q133_284179"/>
      <w:bookmarkEnd w:id="75026"/>
      <w:r>
        <w:rPr>
          <w:rFonts w:hint="cs"/>
          <w:rtl/>
        </w:rPr>
        <w:t xml:space="preserve">עילת </w:t>
      </w:r>
      <w:bookmarkStart w:id="75027" w:name="_ETM_Q133_284509"/>
      <w:bookmarkEnd w:id="75027"/>
      <w:r>
        <w:rPr>
          <w:rFonts w:hint="cs"/>
          <w:rtl/>
        </w:rPr>
        <w:t xml:space="preserve">הסבירות – </w:t>
      </w:r>
      <w:bookmarkStart w:id="75028" w:name="_ETM_Q133_288189"/>
      <w:bookmarkEnd w:id="75028"/>
      <w:r>
        <w:rPr>
          <w:rFonts w:hint="cs"/>
          <w:rtl/>
        </w:rPr>
        <w:t xml:space="preserve">כאילו </w:t>
      </w:r>
      <w:bookmarkStart w:id="75029" w:name="_ETM_Q133_288549"/>
      <w:bookmarkEnd w:id="75029"/>
      <w:r>
        <w:rPr>
          <w:rFonts w:hint="cs"/>
          <w:rtl/>
        </w:rPr>
        <w:t xml:space="preserve">העילה </w:t>
      </w:r>
      <w:bookmarkStart w:id="75030" w:name="_ETM_Q133_289389"/>
      <w:bookmarkEnd w:id="75030"/>
      <w:r>
        <w:rPr>
          <w:rFonts w:hint="cs"/>
          <w:rtl/>
        </w:rPr>
        <w:t xml:space="preserve">הזאת </w:t>
      </w:r>
      <w:bookmarkStart w:id="75031" w:name="_ETM_Q133_290409"/>
      <w:bookmarkStart w:id="75032" w:name="_ETM_Q133_292000"/>
      <w:bookmarkEnd w:id="75031"/>
      <w:bookmarkEnd w:id="75032"/>
      <w:r>
        <w:rPr>
          <w:rFonts w:hint="cs"/>
          <w:rtl/>
        </w:rPr>
        <w:t xml:space="preserve">עשתה </w:t>
      </w:r>
      <w:bookmarkStart w:id="75033" w:name="_ETM_Q133_293380"/>
      <w:bookmarkEnd w:id="75033"/>
      <w:r>
        <w:rPr>
          <w:rFonts w:hint="cs"/>
          <w:rtl/>
        </w:rPr>
        <w:t xml:space="preserve">עבודה </w:t>
      </w:r>
      <w:bookmarkStart w:id="75034" w:name="_ETM_Q133_294659"/>
      <w:bookmarkEnd w:id="75034"/>
      <w:r>
        <w:rPr>
          <w:rFonts w:hint="cs"/>
          <w:rtl/>
        </w:rPr>
        <w:t xml:space="preserve">לפני כן. </w:t>
      </w:r>
      <w:bookmarkStart w:id="75035" w:name="_ETM_Q133_296009"/>
      <w:bookmarkEnd w:id="75035"/>
      <w:r>
        <w:rPr>
          <w:rFonts w:hint="cs"/>
          <w:rtl/>
        </w:rPr>
        <w:t xml:space="preserve">אני </w:t>
      </w:r>
      <w:bookmarkStart w:id="75036" w:name="_ETM_Q133_296280"/>
      <w:bookmarkEnd w:id="75036"/>
      <w:r>
        <w:rPr>
          <w:rFonts w:hint="cs"/>
          <w:rtl/>
        </w:rPr>
        <w:t xml:space="preserve">אומרת </w:t>
      </w:r>
      <w:bookmarkStart w:id="75037" w:name="_ETM_Q133_296759"/>
      <w:bookmarkEnd w:id="75037"/>
      <w:r>
        <w:rPr>
          <w:rFonts w:hint="cs"/>
          <w:rtl/>
        </w:rPr>
        <w:t xml:space="preserve">לכם: </w:t>
      </w:r>
      <w:bookmarkStart w:id="75038" w:name="_ETM_Q133_301170"/>
      <w:bookmarkEnd w:id="75038"/>
      <w:r>
        <w:rPr>
          <w:rFonts w:hint="cs"/>
          <w:rtl/>
        </w:rPr>
        <w:t xml:space="preserve">כלום </w:t>
      </w:r>
      <w:bookmarkStart w:id="75039" w:name="_ETM_Q133_302200"/>
      <w:bookmarkEnd w:id="75039"/>
      <w:r>
        <w:rPr>
          <w:rFonts w:hint="cs"/>
          <w:rtl/>
        </w:rPr>
        <w:t xml:space="preserve">היא לא </w:t>
      </w:r>
      <w:bookmarkStart w:id="75040" w:name="_ETM_Q133_302560"/>
      <w:bookmarkEnd w:id="75040"/>
      <w:r>
        <w:rPr>
          <w:rFonts w:hint="cs"/>
          <w:rtl/>
        </w:rPr>
        <w:t xml:space="preserve">עשתה. </w:t>
      </w:r>
      <w:bookmarkStart w:id="75041" w:name="_ETM_Q133_304219"/>
      <w:bookmarkEnd w:id="75041"/>
      <w:r>
        <w:rPr>
          <w:rFonts w:hint="cs"/>
          <w:rtl/>
        </w:rPr>
        <w:t xml:space="preserve">חוק </w:t>
      </w:r>
      <w:bookmarkStart w:id="75042" w:name="_ETM_Q133_304729"/>
      <w:bookmarkEnd w:id="75042"/>
      <w:r>
        <w:rPr>
          <w:rFonts w:hint="cs"/>
          <w:rtl/>
        </w:rPr>
        <w:t xml:space="preserve">הלאום </w:t>
      </w:r>
      <w:bookmarkStart w:id="75043" w:name="_ETM_Q133_306830"/>
      <w:bookmarkEnd w:id="75043"/>
      <w:r>
        <w:rPr>
          <w:rFonts w:hint="cs"/>
          <w:rtl/>
        </w:rPr>
        <w:t xml:space="preserve">הוא </w:t>
      </w:r>
      <w:bookmarkStart w:id="75044" w:name="_ETM_Q133_308220"/>
      <w:bookmarkEnd w:id="75044"/>
      <w:r>
        <w:rPr>
          <w:rFonts w:hint="cs"/>
          <w:rtl/>
        </w:rPr>
        <w:t xml:space="preserve">ההוכחה </w:t>
      </w:r>
      <w:bookmarkStart w:id="75045" w:name="_ETM_Q133_310680"/>
      <w:bookmarkEnd w:id="75045"/>
      <w:r>
        <w:rPr>
          <w:rFonts w:hint="cs"/>
          <w:rtl/>
        </w:rPr>
        <w:t>המובהקת</w:t>
      </w:r>
      <w:bookmarkStart w:id="75046" w:name="_ETM_Q133_310970"/>
      <w:bookmarkEnd w:id="75046"/>
      <w:r>
        <w:rPr>
          <w:rFonts w:hint="cs"/>
          <w:rtl/>
        </w:rPr>
        <w:t xml:space="preserve">, </w:t>
      </w:r>
      <w:bookmarkStart w:id="75047" w:name="_ETM_Q133_313000"/>
      <w:bookmarkEnd w:id="75047"/>
      <w:r>
        <w:rPr>
          <w:rFonts w:hint="cs"/>
          <w:rtl/>
        </w:rPr>
        <w:t xml:space="preserve">הכתובה, המיושמת, שאין שום דבר סביר במדינה הזאת. </w:t>
      </w:r>
      <w:bookmarkStart w:id="75048" w:name="_ETM_Q133_318000"/>
      <w:bookmarkStart w:id="75049" w:name="_ETM_Q133_324000"/>
      <w:bookmarkStart w:id="75050" w:name="_ETM_Q133_318370"/>
      <w:bookmarkStart w:id="75051" w:name="_ETM_Q133_323459"/>
      <w:bookmarkEnd w:id="75048"/>
      <w:bookmarkEnd w:id="75049"/>
      <w:bookmarkEnd w:id="75050"/>
      <w:bookmarkEnd w:id="75051"/>
      <w:r>
        <w:rPr>
          <w:rFonts w:hint="cs"/>
          <w:rtl/>
        </w:rPr>
        <w:t xml:space="preserve">מה </w:t>
      </w:r>
      <w:bookmarkStart w:id="75052" w:name="_ETM_Q133_323819"/>
      <w:bookmarkEnd w:id="75052"/>
      <w:r>
        <w:rPr>
          <w:rFonts w:hint="cs"/>
          <w:rtl/>
        </w:rPr>
        <w:t xml:space="preserve">קיבלנו? קיבלנו (אומרת דברים </w:t>
      </w:r>
      <w:bookmarkStart w:id="75053" w:name="_ETM_Q133_355000"/>
      <w:bookmarkEnd w:id="75053"/>
      <w:r>
        <w:rPr>
          <w:rFonts w:hint="cs"/>
          <w:rtl/>
        </w:rPr>
        <w:t>בשפה הערבית, להלן תרגומם: ממשלת גירוש וייהוד</w:t>
      </w:r>
      <w:r w:rsidR="00CF7BDD">
        <w:rPr>
          <w:rFonts w:hint="cs"/>
          <w:rtl/>
        </w:rPr>
        <w:t>,</w:t>
      </w:r>
      <w:r>
        <w:rPr>
          <w:rFonts w:hint="cs"/>
          <w:rtl/>
        </w:rPr>
        <w:t xml:space="preserve"> ממשלה שמתנהגת ממקומות של נקמה ועוינות כלפי כל מה שהוא ערבי במדינה הז</w:t>
      </w:r>
      <w:r w:rsidR="00CF7BDD">
        <w:rPr>
          <w:rFonts w:hint="cs"/>
          <w:rtl/>
        </w:rPr>
        <w:t>את;</w:t>
      </w:r>
      <w:r>
        <w:rPr>
          <w:rFonts w:hint="cs"/>
          <w:rtl/>
        </w:rPr>
        <w:t xml:space="preserve"> ממשלה שמשליכה אל </w:t>
      </w:r>
      <w:r w:rsidR="00CF7BDD">
        <w:rPr>
          <w:rFonts w:hint="cs"/>
          <w:rtl/>
        </w:rPr>
        <w:t>ה</w:t>
      </w:r>
      <w:r>
        <w:rPr>
          <w:rFonts w:hint="cs"/>
          <w:rtl/>
        </w:rPr>
        <w:t xml:space="preserve">קיר את הצרכים שלנו, ששמחה </w:t>
      </w:r>
      <w:r w:rsidR="00CF7BDD">
        <w:rPr>
          <w:rFonts w:hint="cs"/>
          <w:rtl/>
        </w:rPr>
        <w:t>ע</w:t>
      </w:r>
      <w:r>
        <w:rPr>
          <w:rFonts w:hint="cs"/>
          <w:rtl/>
        </w:rPr>
        <w:t>ל</w:t>
      </w:r>
      <w:r w:rsidR="00CF7BDD">
        <w:rPr>
          <w:rFonts w:hint="cs"/>
          <w:rtl/>
        </w:rPr>
        <w:t xml:space="preserve"> ה</w:t>
      </w:r>
      <w:r>
        <w:rPr>
          <w:rFonts w:hint="cs"/>
          <w:rtl/>
        </w:rPr>
        <w:t>רצח שלנו. אם היא לא הייתה כזאת, היא הייתה עוצרת את מפל הדם ברחובות שלנו, לא הייתה מרשה לילדינו להפוך ליתומים ו</w:t>
      </w:r>
      <w:r w:rsidR="00CF7BDD">
        <w:rPr>
          <w:rFonts w:hint="cs"/>
          <w:rtl/>
        </w:rPr>
        <w:t>ל</w:t>
      </w:r>
      <w:r>
        <w:rPr>
          <w:rFonts w:hint="cs"/>
          <w:rtl/>
        </w:rPr>
        <w:t xml:space="preserve">נשינו </w:t>
      </w:r>
      <w:r w:rsidR="00CF7BDD">
        <w:rPr>
          <w:rFonts w:hint="cs"/>
          <w:rtl/>
        </w:rPr>
        <w:t xml:space="preserve">להפוך </w:t>
      </w:r>
      <w:r>
        <w:rPr>
          <w:rFonts w:hint="cs"/>
          <w:rtl/>
        </w:rPr>
        <w:t xml:space="preserve">לאלמנות. קיבלנו ממשלה מתנחלת פשיסטית אשר רוצחת את אנשינו בפלסטין, הורסת את בתיהם ושורפת את העצים שלהם. קיבלנו ממשלה שהורסת את בתינו ומשאירה את ילדינו חסרי מחסה, מותירה את ילדינו ישנים ערומים בנגב, בגליל, במרכז ובכל מקום שהוא ערבי; ממשלה אשר פורצת לאל-אקצא שלנו ומשחיתה אותו. </w:t>
      </w:r>
    </w:p>
    <w:p w:rsidR="00BB59CD" w:rsidRDefault="00BB59CD" w:rsidP="00BB59CD">
      <w:pPr>
        <w:rPr>
          <w:rtl/>
        </w:rPr>
      </w:pPr>
    </w:p>
    <w:p w:rsidR="00BB59CD" w:rsidRDefault="00BB59CD" w:rsidP="00D94B83">
      <w:pPr>
        <w:rPr>
          <w:rtl/>
        </w:rPr>
      </w:pPr>
      <w:r>
        <w:rPr>
          <w:rFonts w:hint="cs"/>
          <w:rtl/>
        </w:rPr>
        <w:t xml:space="preserve">אחיי, אחיותיי, מערכת המשפט בישראל מעולם לא הייתה הוגנת כלפינו, אפילו כאשר נרצחים ילדינו על ידי אנשי המשטרה עצמה. אנשי המשטרה היו אמורים ועודם אמורים במדינה דמוקרטית להגן עלינו בתור אזרחים ילידים, אולם זה לא קרה </w:t>
      </w:r>
      <w:r w:rsidR="00D94B83">
        <w:rPr>
          <w:rFonts w:hint="cs"/>
          <w:rtl/>
        </w:rPr>
        <w:t>מ</w:t>
      </w:r>
      <w:r>
        <w:rPr>
          <w:rFonts w:hint="cs"/>
          <w:rtl/>
        </w:rPr>
        <w:t xml:space="preserve">עולם. אני אומרת לכם בתקיפות שהדמוקרטיה נמצאת וקיימת רק היכן שאין לא כיבוש, לא עוני, לא רצח, לא גזענות ולא אזרחים מדרגה ראשונה, ואחרים – שיכה בהם המבול. רק שם נמצאת הדמוקרטיה, ובטוח שהיא רחוקה מאוד מכאן. </w:t>
      </w:r>
    </w:p>
    <w:p w:rsidR="00BB59CD" w:rsidRDefault="00BB59CD" w:rsidP="00BB59CD">
      <w:pPr>
        <w:rPr>
          <w:rtl/>
        </w:rPr>
      </w:pPr>
    </w:p>
    <w:p w:rsidR="00BB59CD" w:rsidRDefault="00BB59CD" w:rsidP="00CF7BDD">
      <w:pPr>
        <w:rPr>
          <w:rtl/>
        </w:rPr>
      </w:pPr>
      <w:r>
        <w:rPr>
          <w:rFonts w:hint="cs"/>
          <w:rtl/>
        </w:rPr>
        <w:t xml:space="preserve">הקריאה האחרונה שלי אליכם, אנשיי בחברה הערבית: בתחילת השבוע הבא, ביום ראשון הבא, ב-30 לחודש זה, ישנה יוזמה </w:t>
      </w:r>
      <w:r w:rsidR="00CF7BDD">
        <w:rPr>
          <w:rFonts w:hint="cs"/>
          <w:rtl/>
        </w:rPr>
        <w:t xml:space="preserve">של </w:t>
      </w:r>
      <w:r>
        <w:rPr>
          <w:rFonts w:hint="cs"/>
          <w:rtl/>
        </w:rPr>
        <w:t xml:space="preserve">ארגונים חברתיים לצעדה והפגנה מסיבית במרכז תל אביב, כדי שהחברה היהודית וכל העולם יראו מה קורה לנו בחברה </w:t>
      </w:r>
      <w:r w:rsidR="00CF7BDD">
        <w:rPr>
          <w:rFonts w:hint="cs"/>
          <w:rtl/>
        </w:rPr>
        <w:t>ה</w:t>
      </w:r>
      <w:r>
        <w:rPr>
          <w:rFonts w:hint="cs"/>
          <w:rtl/>
        </w:rPr>
        <w:t>ערבית</w:t>
      </w:r>
      <w:r w:rsidR="00CF7BDD">
        <w:rPr>
          <w:rFonts w:hint="cs"/>
          <w:rtl/>
        </w:rPr>
        <w:t>,</w:t>
      </w:r>
      <w:r>
        <w:rPr>
          <w:rFonts w:hint="cs"/>
          <w:rtl/>
        </w:rPr>
        <w:t xml:space="preserve"> אשר סובלת מהפשע המאורגן ומשלמת את המחיר הכי יקר שניתן, בחיי בניה ובנותיה. שם הצעדה הז</w:t>
      </w:r>
      <w:r w:rsidR="00CF7BDD">
        <w:rPr>
          <w:rFonts w:hint="cs"/>
          <w:rtl/>
        </w:rPr>
        <w:t>את</w:t>
      </w:r>
      <w:r>
        <w:rPr>
          <w:rFonts w:hint="cs"/>
          <w:rtl/>
        </w:rPr>
        <w:t xml:space="preserve"> הוא "צעדת המתים". אני קוראת לכם שתהיו כולכם חיים ותזעקו את זעקתם בקול רם ושתהיו שותפים להשמעת הזעקה הז</w:t>
      </w:r>
      <w:r w:rsidR="00CF7BDD">
        <w:rPr>
          <w:rFonts w:hint="cs"/>
          <w:rtl/>
        </w:rPr>
        <w:t>את</w:t>
      </w:r>
      <w:r>
        <w:rPr>
          <w:rFonts w:hint="cs"/>
          <w:rtl/>
        </w:rPr>
        <w:t xml:space="preserve"> לכל העולם. מי ייתן, מי ייתן והיא תישמע. תהיו בריאים.)</w:t>
      </w:r>
    </w:p>
    <w:p w:rsidR="00BB59CD" w:rsidRDefault="00BB59CD" w:rsidP="00BB59CD">
      <w:pPr>
        <w:rPr>
          <w:rtl/>
        </w:rPr>
      </w:pPr>
      <w:bookmarkStart w:id="75054" w:name="_ETM_Q133_359000"/>
      <w:bookmarkEnd w:id="75054"/>
    </w:p>
    <w:p w:rsidR="00BB59CD" w:rsidRDefault="00BB59CD" w:rsidP="00BB59CD">
      <w:pPr>
        <w:pStyle w:val="af9"/>
        <w:keepNext/>
        <w:rPr>
          <w:rtl/>
        </w:rPr>
      </w:pPr>
      <w:bookmarkStart w:id="75055" w:name="_ETM_Q133_360000"/>
      <w:bookmarkEnd w:id="7505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75056" w:name="_ETM_Q133_470000"/>
      <w:bookmarkEnd w:id="75056"/>
      <w:r>
        <w:rPr>
          <w:rFonts w:hint="cs"/>
          <w:rtl/>
        </w:rPr>
        <w:t xml:space="preserve">תודה </w:t>
      </w:r>
      <w:bookmarkStart w:id="75057" w:name="_ETM_Q133_619309"/>
      <w:bookmarkEnd w:id="75057"/>
      <w:r>
        <w:rPr>
          <w:rFonts w:hint="cs"/>
          <w:rtl/>
        </w:rPr>
        <w:t xml:space="preserve">רבה. </w:t>
      </w:r>
      <w:bookmarkStart w:id="75058" w:name="_ETM_Q133_620100"/>
      <w:bookmarkEnd w:id="75058"/>
      <w:r>
        <w:rPr>
          <w:rFonts w:hint="cs"/>
          <w:rtl/>
        </w:rPr>
        <w:t xml:space="preserve">חברת </w:t>
      </w:r>
      <w:bookmarkStart w:id="75059" w:name="_ETM_Q133_620520"/>
      <w:bookmarkEnd w:id="75059"/>
      <w:r>
        <w:rPr>
          <w:rFonts w:hint="cs"/>
          <w:rtl/>
        </w:rPr>
        <w:t xml:space="preserve">הכנסת </w:t>
      </w:r>
      <w:bookmarkStart w:id="75060" w:name="_ETM_Q133_621060"/>
      <w:bookmarkEnd w:id="75060"/>
      <w:r>
        <w:rPr>
          <w:rFonts w:hint="cs"/>
          <w:rtl/>
        </w:rPr>
        <w:t xml:space="preserve">עאידה </w:t>
      </w:r>
      <w:bookmarkStart w:id="75061" w:name="_ETM_Q133_621330"/>
      <w:bookmarkEnd w:id="75061"/>
      <w:r>
        <w:rPr>
          <w:rFonts w:hint="cs"/>
          <w:rtl/>
        </w:rPr>
        <w:t xml:space="preserve">תומא </w:t>
      </w:r>
      <w:bookmarkStart w:id="75062" w:name="_ETM_Q133_621570"/>
      <w:bookmarkEnd w:id="75062"/>
      <w:r>
        <w:rPr>
          <w:rFonts w:hint="cs"/>
          <w:rtl/>
        </w:rPr>
        <w:t>סלימאן</w:t>
      </w:r>
      <w:bookmarkStart w:id="75063" w:name="_ETM_Q133_649879"/>
      <w:bookmarkEnd w:id="75063"/>
      <w:r>
        <w:rPr>
          <w:rFonts w:hint="cs"/>
          <w:rtl/>
        </w:rPr>
        <w:t xml:space="preserve">. </w:t>
      </w:r>
    </w:p>
    <w:p w:rsidR="00BB59CD" w:rsidRDefault="00BB59CD" w:rsidP="00BB59CD">
      <w:pPr>
        <w:rPr>
          <w:rtl/>
        </w:rPr>
      </w:pPr>
    </w:p>
    <w:p w:rsidR="00BB59CD" w:rsidRDefault="00BB59CD" w:rsidP="00BB59CD">
      <w:pPr>
        <w:pStyle w:val="a5"/>
        <w:keepNext/>
        <w:rPr>
          <w:rtl/>
        </w:rPr>
      </w:pPr>
      <w:bookmarkStart w:id="75064" w:name="ET_speaker_5761_5"/>
      <w:r>
        <w:rPr>
          <w:rStyle w:val="TagStyle"/>
          <w:rFonts w:hint="cs"/>
          <w:rtl/>
        </w:rPr>
        <w:t xml:space="preserve"> &lt;&lt; דובר &gt;&gt; </w:t>
      </w:r>
      <w:bookmarkStart w:id="75065" w:name="_Toc141197186"/>
      <w:bookmarkStart w:id="75066" w:name="_Toc141196922"/>
      <w:r>
        <w:rPr>
          <w:rFonts w:hint="cs"/>
          <w:rtl/>
        </w:rPr>
        <w:t>עאידה תומא סלימאן (חד"ש-תע"ל):</w:t>
      </w:r>
      <w:bookmarkEnd w:id="75065"/>
      <w:bookmarkEnd w:id="75066"/>
      <w:r>
        <w:rPr>
          <w:rStyle w:val="TagStyle"/>
          <w:rFonts w:hint="cs"/>
          <w:rtl/>
        </w:rPr>
        <w:t xml:space="preserve"> &lt;&lt; דובר &gt;&gt;</w:t>
      </w:r>
      <w:r>
        <w:rPr>
          <w:rFonts w:hint="cs"/>
          <w:rtl/>
        </w:rPr>
        <w:t xml:space="preserve">   </w:t>
      </w:r>
      <w:bookmarkEnd w:id="75064"/>
    </w:p>
    <w:p w:rsidR="00BB59CD" w:rsidRDefault="00BB59CD" w:rsidP="00337201">
      <w:pPr>
        <w:rPr>
          <w:rtl/>
        </w:rPr>
      </w:pPr>
    </w:p>
    <w:p w:rsidR="00BB59CD" w:rsidRDefault="00BB59CD" w:rsidP="00BB59CD">
      <w:pPr>
        <w:rPr>
          <w:rtl/>
        </w:rPr>
      </w:pPr>
      <w:r>
        <w:rPr>
          <w:rFonts w:hint="cs"/>
          <w:rtl/>
        </w:rPr>
        <w:t xml:space="preserve">בוקר </w:t>
      </w:r>
      <w:bookmarkStart w:id="75067" w:name="_ETM_Q133_650269"/>
      <w:bookmarkEnd w:id="75067"/>
      <w:r>
        <w:rPr>
          <w:rFonts w:hint="cs"/>
          <w:rtl/>
        </w:rPr>
        <w:t xml:space="preserve">טוב, </w:t>
      </w:r>
      <w:bookmarkStart w:id="75068" w:name="_ETM_Q133_653110"/>
      <w:bookmarkEnd w:id="75068"/>
      <w:r>
        <w:rPr>
          <w:rFonts w:hint="cs"/>
          <w:rtl/>
        </w:rPr>
        <w:t xml:space="preserve">כבוד </w:t>
      </w:r>
      <w:bookmarkStart w:id="75069" w:name="_ETM_Q133_653410"/>
      <w:bookmarkEnd w:id="75069"/>
      <w:r>
        <w:rPr>
          <w:rFonts w:hint="cs"/>
          <w:rtl/>
        </w:rPr>
        <w:t xml:space="preserve">היושב-ראש. </w:t>
      </w:r>
      <w:bookmarkStart w:id="75070" w:name="_ETM_Q133_655110"/>
      <w:bookmarkEnd w:id="75070"/>
      <w:r>
        <w:rPr>
          <w:rFonts w:hint="cs"/>
          <w:rtl/>
        </w:rPr>
        <w:t xml:space="preserve">כנסת </w:t>
      </w:r>
      <w:bookmarkStart w:id="75071" w:name="_ETM_Q133_655650"/>
      <w:bookmarkEnd w:id="75071"/>
      <w:r>
        <w:rPr>
          <w:rFonts w:hint="cs"/>
          <w:rtl/>
        </w:rPr>
        <w:t xml:space="preserve">נכבדה, </w:t>
      </w:r>
      <w:bookmarkStart w:id="75072" w:name="_ETM_Q133_657480"/>
      <w:bookmarkEnd w:id="75072"/>
      <w:r>
        <w:rPr>
          <w:rFonts w:hint="cs"/>
          <w:rtl/>
        </w:rPr>
        <w:t xml:space="preserve">כנסת </w:t>
      </w:r>
      <w:bookmarkStart w:id="75073" w:name="_ETM_Q133_658050"/>
      <w:bookmarkEnd w:id="75073"/>
      <w:r>
        <w:rPr>
          <w:rFonts w:hint="cs"/>
          <w:rtl/>
        </w:rPr>
        <w:t xml:space="preserve">כמעט </w:t>
      </w:r>
      <w:bookmarkStart w:id="75074" w:name="_ETM_Q133_658560"/>
      <w:bookmarkEnd w:id="75074"/>
      <w:r>
        <w:rPr>
          <w:rFonts w:hint="cs"/>
          <w:rtl/>
        </w:rPr>
        <w:t>ריקה</w:t>
      </w:r>
      <w:bookmarkStart w:id="75075" w:name="_ETM_Q133_662810"/>
      <w:bookmarkEnd w:id="75075"/>
      <w:r>
        <w:rPr>
          <w:rFonts w:hint="cs"/>
          <w:rtl/>
        </w:rPr>
        <w:t xml:space="preserve">, למרות </w:t>
      </w:r>
      <w:bookmarkStart w:id="75076" w:name="_ETM_Q133_663770"/>
      <w:bookmarkEnd w:id="75076"/>
      <w:r>
        <w:rPr>
          <w:rFonts w:hint="cs"/>
          <w:rtl/>
        </w:rPr>
        <w:t xml:space="preserve">שאנחנו </w:t>
      </w:r>
      <w:bookmarkStart w:id="75077" w:name="_ETM_Q133_664550"/>
      <w:bookmarkEnd w:id="75077"/>
      <w:r>
        <w:rPr>
          <w:rFonts w:hint="cs"/>
          <w:rtl/>
        </w:rPr>
        <w:t xml:space="preserve">בפתחו </w:t>
      </w:r>
      <w:bookmarkStart w:id="75078" w:name="_ETM_Q133_665150"/>
      <w:bookmarkEnd w:id="75078"/>
      <w:r>
        <w:rPr>
          <w:rFonts w:hint="cs"/>
          <w:rtl/>
        </w:rPr>
        <w:t xml:space="preserve">של </w:t>
      </w:r>
      <w:bookmarkStart w:id="75079" w:name="_ETM_Q133_665390"/>
      <w:bookmarkEnd w:id="75079"/>
      <w:r>
        <w:rPr>
          <w:rFonts w:hint="cs"/>
          <w:rtl/>
        </w:rPr>
        <w:t xml:space="preserve">יום </w:t>
      </w:r>
      <w:bookmarkStart w:id="75080" w:name="_ETM_Q133_665780"/>
      <w:bookmarkEnd w:id="75080"/>
      <w:r>
        <w:rPr>
          <w:rFonts w:hint="cs"/>
          <w:rtl/>
        </w:rPr>
        <w:t xml:space="preserve">שכנראה </w:t>
      </w:r>
      <w:bookmarkStart w:id="75081" w:name="_ETM_Q133_666470"/>
      <w:bookmarkEnd w:id="75081"/>
      <w:r>
        <w:rPr>
          <w:rFonts w:hint="cs"/>
          <w:rtl/>
        </w:rPr>
        <w:t xml:space="preserve">יירשם </w:t>
      </w:r>
      <w:bookmarkStart w:id="75082" w:name="_ETM_Q133_667700"/>
      <w:bookmarkEnd w:id="75082"/>
      <w:r>
        <w:rPr>
          <w:rFonts w:hint="cs"/>
          <w:rtl/>
        </w:rPr>
        <w:t>כיום</w:t>
      </w:r>
      <w:bookmarkStart w:id="75083" w:name="_ETM_Q133_668450"/>
      <w:bookmarkEnd w:id="75083"/>
      <w:r>
        <w:rPr>
          <w:rFonts w:hint="cs"/>
          <w:rtl/>
        </w:rPr>
        <w:t xml:space="preserve"> היסטורי, </w:t>
      </w:r>
      <w:bookmarkStart w:id="75084" w:name="_ETM_Q133_668790"/>
      <w:bookmarkStart w:id="75085" w:name="_ETM_Q133_670249"/>
      <w:bookmarkEnd w:id="75084"/>
      <w:bookmarkEnd w:id="75085"/>
      <w:r>
        <w:rPr>
          <w:rFonts w:hint="cs"/>
          <w:rtl/>
        </w:rPr>
        <w:t xml:space="preserve">שיירשם </w:t>
      </w:r>
      <w:bookmarkStart w:id="75086" w:name="_ETM_Q133_671029"/>
      <w:bookmarkEnd w:id="75086"/>
      <w:r>
        <w:rPr>
          <w:rFonts w:hint="cs"/>
          <w:rtl/>
        </w:rPr>
        <w:t xml:space="preserve">כיום </w:t>
      </w:r>
      <w:bookmarkStart w:id="75087" w:name="_ETM_Q133_671800"/>
      <w:bookmarkEnd w:id="75087"/>
      <w:r>
        <w:rPr>
          <w:rFonts w:hint="cs"/>
          <w:rtl/>
        </w:rPr>
        <w:t xml:space="preserve">שקרו </w:t>
      </w:r>
      <w:bookmarkStart w:id="75088" w:name="_ETM_Q133_672430"/>
      <w:bookmarkEnd w:id="75088"/>
      <w:r>
        <w:rPr>
          <w:rFonts w:hint="cs"/>
          <w:rtl/>
        </w:rPr>
        <w:t xml:space="preserve">בו </w:t>
      </w:r>
      <w:bookmarkStart w:id="75089" w:name="_ETM_Q133_672670"/>
      <w:bookmarkEnd w:id="75089"/>
      <w:r>
        <w:rPr>
          <w:rFonts w:hint="cs"/>
          <w:rtl/>
        </w:rPr>
        <w:t xml:space="preserve">דברים </w:t>
      </w:r>
      <w:bookmarkStart w:id="75090" w:name="_ETM_Q133_673510"/>
      <w:bookmarkEnd w:id="75090"/>
      <w:r>
        <w:rPr>
          <w:rFonts w:hint="cs"/>
          <w:rtl/>
        </w:rPr>
        <w:t xml:space="preserve">שישנו </w:t>
      </w:r>
      <w:bookmarkStart w:id="75091" w:name="_ETM_Q133_674870"/>
      <w:bookmarkEnd w:id="75091"/>
      <w:r>
        <w:rPr>
          <w:rFonts w:hint="cs"/>
          <w:rtl/>
        </w:rPr>
        <w:t xml:space="preserve">את </w:t>
      </w:r>
      <w:bookmarkStart w:id="75092" w:name="_ETM_Q133_675610"/>
      <w:bookmarkEnd w:id="75092"/>
      <w:r>
        <w:rPr>
          <w:rFonts w:hint="cs"/>
          <w:rtl/>
        </w:rPr>
        <w:t xml:space="preserve">פני </w:t>
      </w:r>
      <w:bookmarkStart w:id="75093" w:name="_ETM_Q133_677290"/>
      <w:bookmarkEnd w:id="75093"/>
      <w:r>
        <w:rPr>
          <w:rFonts w:hint="cs"/>
          <w:rtl/>
        </w:rPr>
        <w:t xml:space="preserve">הארץ </w:t>
      </w:r>
      <w:bookmarkStart w:id="75094" w:name="_ETM_Q133_677890"/>
      <w:bookmarkEnd w:id="75094"/>
      <w:r>
        <w:rPr>
          <w:rFonts w:hint="cs"/>
          <w:rtl/>
        </w:rPr>
        <w:t xml:space="preserve">הזו. </w:t>
      </w:r>
      <w:bookmarkStart w:id="75095" w:name="_ETM_Q133_679409"/>
      <w:bookmarkEnd w:id="75095"/>
      <w:r>
        <w:rPr>
          <w:rFonts w:hint="cs"/>
          <w:rtl/>
        </w:rPr>
        <w:t xml:space="preserve">אבל </w:t>
      </w:r>
      <w:bookmarkStart w:id="75096" w:name="_ETM_Q133_679769"/>
      <w:bookmarkEnd w:id="75096"/>
      <w:r>
        <w:rPr>
          <w:rFonts w:hint="cs"/>
          <w:rtl/>
        </w:rPr>
        <w:t xml:space="preserve">בכל </w:t>
      </w:r>
      <w:bookmarkStart w:id="75097" w:name="_ETM_Q133_680189"/>
      <w:bookmarkEnd w:id="75097"/>
      <w:r>
        <w:rPr>
          <w:rFonts w:hint="cs"/>
          <w:rtl/>
        </w:rPr>
        <w:t xml:space="preserve">זאת, </w:t>
      </w:r>
      <w:bookmarkStart w:id="75098" w:name="_ETM_Q133_682050"/>
      <w:bookmarkEnd w:id="75098"/>
      <w:r>
        <w:rPr>
          <w:rFonts w:hint="cs"/>
          <w:rtl/>
        </w:rPr>
        <w:t xml:space="preserve">השבוע </w:t>
      </w:r>
      <w:bookmarkStart w:id="75099" w:name="_ETM_Q133_682680"/>
      <w:bookmarkEnd w:id="75099"/>
      <w:r>
        <w:rPr>
          <w:rFonts w:hint="cs"/>
          <w:rtl/>
        </w:rPr>
        <w:t xml:space="preserve">הזה </w:t>
      </w:r>
      <w:bookmarkStart w:id="75100" w:name="_ETM_Q133_683099"/>
      <w:bookmarkEnd w:id="75100"/>
      <w:r>
        <w:rPr>
          <w:rFonts w:hint="cs"/>
          <w:rtl/>
        </w:rPr>
        <w:t xml:space="preserve">התחיל </w:t>
      </w:r>
      <w:bookmarkStart w:id="75101" w:name="_ETM_Q133_683940"/>
      <w:bookmarkEnd w:id="75101"/>
      <w:r>
        <w:rPr>
          <w:rFonts w:hint="cs"/>
          <w:rtl/>
        </w:rPr>
        <w:t xml:space="preserve">כאשר </w:t>
      </w:r>
      <w:bookmarkStart w:id="75102" w:name="_ETM_Q133_685609"/>
      <w:bookmarkEnd w:id="75102"/>
      <w:r>
        <w:rPr>
          <w:rFonts w:hint="cs"/>
          <w:rtl/>
        </w:rPr>
        <w:t xml:space="preserve">במוצאי שבת </w:t>
      </w:r>
      <w:bookmarkStart w:id="75103" w:name="_ETM_Q133_689590"/>
      <w:bookmarkEnd w:id="75103"/>
      <w:r>
        <w:rPr>
          <w:rFonts w:hint="cs"/>
          <w:rtl/>
        </w:rPr>
        <w:t xml:space="preserve">כתב </w:t>
      </w:r>
      <w:bookmarkStart w:id="75104" w:name="_ETM_Q133_691340"/>
      <w:bookmarkEnd w:id="75104"/>
      <w:r>
        <w:rPr>
          <w:rFonts w:hint="cs"/>
          <w:rtl/>
        </w:rPr>
        <w:t>וביש</w:t>
      </w:r>
      <w:bookmarkStart w:id="75105" w:name="_ETM_Q133_692420"/>
      <w:bookmarkEnd w:id="75105"/>
      <w:r>
        <w:rPr>
          <w:rFonts w:hint="cs"/>
          <w:rtl/>
        </w:rPr>
        <w:t xml:space="preserve">ר השר </w:t>
      </w:r>
      <w:bookmarkStart w:id="75106" w:name="_ETM_Q133_692959"/>
      <w:bookmarkEnd w:id="75106"/>
      <w:r>
        <w:rPr>
          <w:rFonts w:hint="cs"/>
          <w:rtl/>
        </w:rPr>
        <w:t xml:space="preserve">בן </w:t>
      </w:r>
      <w:bookmarkStart w:id="75107" w:name="_ETM_Q133_693200"/>
      <w:bookmarkEnd w:id="75107"/>
      <w:r>
        <w:rPr>
          <w:rFonts w:hint="cs"/>
          <w:rtl/>
        </w:rPr>
        <w:t xml:space="preserve">גביר: </w:t>
      </w:r>
      <w:bookmarkStart w:id="75108" w:name="_ETM_Q133_694579"/>
      <w:bookmarkEnd w:id="75108"/>
      <w:r>
        <w:rPr>
          <w:rFonts w:hint="cs"/>
          <w:rtl/>
        </w:rPr>
        <w:t xml:space="preserve">"שבוע </w:t>
      </w:r>
      <w:bookmarkStart w:id="75109" w:name="_ETM_Q133_695689"/>
      <w:bookmarkEnd w:id="75109"/>
      <w:r>
        <w:rPr>
          <w:rFonts w:hint="cs"/>
          <w:rtl/>
        </w:rPr>
        <w:t xml:space="preserve">טוב, </w:t>
      </w:r>
      <w:bookmarkStart w:id="75110" w:name="_ETM_Q133_696719"/>
      <w:bookmarkEnd w:id="75110"/>
      <w:r>
        <w:rPr>
          <w:rFonts w:hint="cs"/>
          <w:rtl/>
        </w:rPr>
        <w:t xml:space="preserve">בר </w:t>
      </w:r>
      <w:bookmarkStart w:id="75111" w:name="_ETM_Q133_697409"/>
      <w:bookmarkEnd w:id="75111"/>
      <w:r>
        <w:rPr>
          <w:rFonts w:hint="cs"/>
          <w:rtl/>
        </w:rPr>
        <w:t xml:space="preserve">הסלטים </w:t>
      </w:r>
      <w:bookmarkStart w:id="75112" w:name="_ETM_Q133_698700"/>
      <w:bookmarkEnd w:id="75112"/>
      <w:r>
        <w:rPr>
          <w:rFonts w:hint="cs"/>
          <w:rtl/>
        </w:rPr>
        <w:t xml:space="preserve">פתוח". </w:t>
      </w:r>
      <w:bookmarkStart w:id="75113" w:name="_ETM_Q133_700450"/>
      <w:bookmarkEnd w:id="75113"/>
      <w:r>
        <w:rPr>
          <w:rFonts w:hint="cs"/>
          <w:rtl/>
        </w:rPr>
        <w:t xml:space="preserve">כן, </w:t>
      </w:r>
      <w:bookmarkStart w:id="75114" w:name="_ETM_Q133_701829"/>
      <w:bookmarkEnd w:id="75114"/>
      <w:r>
        <w:rPr>
          <w:rFonts w:hint="cs"/>
          <w:rtl/>
        </w:rPr>
        <w:t xml:space="preserve">באותה </w:t>
      </w:r>
      <w:bookmarkStart w:id="75115" w:name="_ETM_Q133_702519"/>
      <w:bookmarkEnd w:id="75115"/>
      <w:r>
        <w:rPr>
          <w:rFonts w:hint="cs"/>
          <w:rtl/>
        </w:rPr>
        <w:t xml:space="preserve">המידה </w:t>
      </w:r>
      <w:bookmarkStart w:id="75116" w:name="_ETM_Q133_703629"/>
      <w:bookmarkEnd w:id="75116"/>
      <w:r>
        <w:rPr>
          <w:rFonts w:hint="cs"/>
          <w:rtl/>
        </w:rPr>
        <w:t xml:space="preserve">שהוא </w:t>
      </w:r>
      <w:bookmarkStart w:id="75117" w:name="_ETM_Q133_704859"/>
      <w:bookmarkEnd w:id="75117"/>
      <w:r>
        <w:rPr>
          <w:rFonts w:hint="cs"/>
          <w:rtl/>
        </w:rPr>
        <w:t xml:space="preserve">גזען </w:t>
      </w:r>
      <w:bookmarkStart w:id="75118" w:name="_ETM_Q133_705519"/>
      <w:bookmarkEnd w:id="75118"/>
      <w:r>
        <w:rPr>
          <w:rFonts w:hint="cs"/>
          <w:rtl/>
        </w:rPr>
        <w:t xml:space="preserve">ולאומן, </w:t>
      </w:r>
      <w:bookmarkStart w:id="75119" w:name="_ETM_Q133_707040"/>
      <w:bookmarkEnd w:id="75119"/>
      <w:r>
        <w:rPr>
          <w:rFonts w:hint="cs"/>
          <w:rtl/>
        </w:rPr>
        <w:t xml:space="preserve">בן </w:t>
      </w:r>
      <w:bookmarkStart w:id="75120" w:name="_ETM_Q133_707340"/>
      <w:bookmarkEnd w:id="75120"/>
      <w:r>
        <w:rPr>
          <w:rFonts w:hint="cs"/>
          <w:rtl/>
        </w:rPr>
        <w:t xml:space="preserve">גביר </w:t>
      </w:r>
      <w:bookmarkStart w:id="75121" w:name="_ETM_Q133_707879"/>
      <w:bookmarkEnd w:id="75121"/>
      <w:r>
        <w:rPr>
          <w:rFonts w:hint="cs"/>
          <w:rtl/>
        </w:rPr>
        <w:t xml:space="preserve">הוא </w:t>
      </w:r>
      <w:bookmarkStart w:id="75122" w:name="_ETM_Q133_708179"/>
      <w:bookmarkEnd w:id="75122"/>
      <w:r>
        <w:rPr>
          <w:rFonts w:hint="cs"/>
          <w:rtl/>
        </w:rPr>
        <w:t xml:space="preserve">אידיאולוג </w:t>
      </w:r>
      <w:bookmarkStart w:id="75123" w:name="_ETM_Q133_709109"/>
      <w:bookmarkEnd w:id="75123"/>
      <w:r>
        <w:rPr>
          <w:rFonts w:hint="cs"/>
          <w:rtl/>
        </w:rPr>
        <w:t xml:space="preserve">לא </w:t>
      </w:r>
      <w:bookmarkStart w:id="75124" w:name="_ETM_Q133_709409"/>
      <w:bookmarkEnd w:id="75124"/>
      <w:r>
        <w:rPr>
          <w:rFonts w:hint="cs"/>
          <w:rtl/>
        </w:rPr>
        <w:t xml:space="preserve">צבוע, </w:t>
      </w:r>
      <w:bookmarkStart w:id="75125" w:name="_ETM_Q133_710819"/>
      <w:bookmarkEnd w:id="75125"/>
      <w:r>
        <w:rPr>
          <w:rFonts w:hint="cs"/>
          <w:rtl/>
        </w:rPr>
        <w:t xml:space="preserve">ודווקא </w:t>
      </w:r>
      <w:bookmarkStart w:id="75126" w:name="_ETM_Q133_712139"/>
      <w:bookmarkEnd w:id="75126"/>
      <w:r>
        <w:rPr>
          <w:rFonts w:hint="cs"/>
          <w:rtl/>
        </w:rPr>
        <w:t xml:space="preserve">יודע </w:t>
      </w:r>
      <w:bookmarkStart w:id="75127" w:name="_ETM_Q133_713010"/>
      <w:bookmarkEnd w:id="75127"/>
      <w:r>
        <w:rPr>
          <w:rFonts w:hint="cs"/>
          <w:rtl/>
        </w:rPr>
        <w:t xml:space="preserve">טוב </w:t>
      </w:r>
      <w:bookmarkStart w:id="75128" w:name="_ETM_Q133_713519"/>
      <w:bookmarkEnd w:id="75128"/>
      <w:r>
        <w:rPr>
          <w:rFonts w:hint="cs"/>
          <w:rtl/>
        </w:rPr>
        <w:t xml:space="preserve">מאוד </w:t>
      </w:r>
      <w:bookmarkStart w:id="75129" w:name="_ETM_Q133_714120"/>
      <w:bookmarkEnd w:id="75129"/>
      <w:r>
        <w:rPr>
          <w:rFonts w:hint="cs"/>
          <w:rtl/>
        </w:rPr>
        <w:t xml:space="preserve">מה </w:t>
      </w:r>
      <w:bookmarkStart w:id="75130" w:name="_ETM_Q133_714389"/>
      <w:bookmarkEnd w:id="75130"/>
      <w:r>
        <w:rPr>
          <w:rFonts w:hint="cs"/>
          <w:rtl/>
        </w:rPr>
        <w:t xml:space="preserve">הוא </w:t>
      </w:r>
      <w:bookmarkStart w:id="75131" w:name="_ETM_Q133_714540"/>
      <w:bookmarkEnd w:id="75131"/>
      <w:r>
        <w:rPr>
          <w:rFonts w:hint="cs"/>
          <w:rtl/>
        </w:rPr>
        <w:t xml:space="preserve">רוצה. </w:t>
      </w:r>
      <w:bookmarkStart w:id="75132" w:name="_ETM_Q133_716210"/>
      <w:bookmarkEnd w:id="75132"/>
    </w:p>
    <w:p w:rsidR="00BB59CD" w:rsidRDefault="00BB59CD" w:rsidP="00BB59CD">
      <w:pPr>
        <w:rPr>
          <w:rtl/>
        </w:rPr>
      </w:pPr>
    </w:p>
    <w:p w:rsidR="00BB59CD" w:rsidRDefault="00BB59CD" w:rsidP="00D94B83">
      <w:pPr>
        <w:rPr>
          <w:rtl/>
        </w:rPr>
      </w:pPr>
      <w:bookmarkStart w:id="75133" w:name="_ETM_Q133_713000"/>
      <w:bookmarkEnd w:id="75133"/>
      <w:r>
        <w:rPr>
          <w:rFonts w:hint="cs"/>
          <w:rtl/>
        </w:rPr>
        <w:t xml:space="preserve">אל </w:t>
      </w:r>
      <w:bookmarkStart w:id="75134" w:name="_ETM_Q133_716450"/>
      <w:bookmarkEnd w:id="75134"/>
      <w:r>
        <w:rPr>
          <w:rFonts w:hint="cs"/>
          <w:rtl/>
        </w:rPr>
        <w:t xml:space="preserve">מול </w:t>
      </w:r>
      <w:bookmarkStart w:id="75135" w:name="_ETM_Q133_716790"/>
      <w:bookmarkEnd w:id="75135"/>
      <w:r>
        <w:rPr>
          <w:rFonts w:hint="cs"/>
          <w:rtl/>
        </w:rPr>
        <w:t xml:space="preserve">המחאה </w:t>
      </w:r>
      <w:bookmarkStart w:id="75136" w:name="_ETM_Q133_717599"/>
      <w:bookmarkEnd w:id="75136"/>
      <w:r>
        <w:rPr>
          <w:rFonts w:hint="cs"/>
          <w:rtl/>
        </w:rPr>
        <w:t xml:space="preserve">הגוברת </w:t>
      </w:r>
      <w:bookmarkStart w:id="75137" w:name="_ETM_Q133_719230"/>
      <w:bookmarkEnd w:id="75137"/>
      <w:r>
        <w:rPr>
          <w:rFonts w:hint="cs"/>
          <w:rtl/>
        </w:rPr>
        <w:t xml:space="preserve">מנסים </w:t>
      </w:r>
      <w:bookmarkStart w:id="75138" w:name="_ETM_Q133_719860"/>
      <w:bookmarkEnd w:id="75138"/>
      <w:r>
        <w:rPr>
          <w:rFonts w:hint="cs"/>
          <w:rtl/>
        </w:rPr>
        <w:t xml:space="preserve">בקואליציה </w:t>
      </w:r>
      <w:bookmarkStart w:id="75139" w:name="_ETM_Q133_720730"/>
      <w:bookmarkEnd w:id="75139"/>
      <w:r>
        <w:rPr>
          <w:rFonts w:hint="cs"/>
          <w:rtl/>
        </w:rPr>
        <w:t xml:space="preserve">לשכך </w:t>
      </w:r>
      <w:bookmarkStart w:id="75140" w:name="_ETM_Q133_721480"/>
      <w:bookmarkEnd w:id="75140"/>
      <w:r>
        <w:rPr>
          <w:rFonts w:hint="cs"/>
          <w:rtl/>
        </w:rPr>
        <w:t xml:space="preserve">את </w:t>
      </w:r>
      <w:bookmarkStart w:id="75141" w:name="_ETM_Q133_721629"/>
      <w:bookmarkEnd w:id="75141"/>
      <w:r>
        <w:rPr>
          <w:rFonts w:hint="cs"/>
          <w:rtl/>
        </w:rPr>
        <w:t xml:space="preserve">הכאב </w:t>
      </w:r>
      <w:bookmarkStart w:id="75142" w:name="_ETM_Q133_722230"/>
      <w:bookmarkEnd w:id="75142"/>
      <w:r>
        <w:rPr>
          <w:rFonts w:hint="cs"/>
          <w:rtl/>
        </w:rPr>
        <w:t xml:space="preserve">בכך </w:t>
      </w:r>
      <w:bookmarkStart w:id="75143" w:name="_ETM_Q133_723239"/>
      <w:bookmarkEnd w:id="75143"/>
      <w:r>
        <w:rPr>
          <w:rFonts w:hint="cs"/>
          <w:rtl/>
        </w:rPr>
        <w:t xml:space="preserve">שאומרים </w:t>
      </w:r>
      <w:bookmarkStart w:id="75144" w:name="_ETM_Q133_724470"/>
      <w:bookmarkEnd w:id="75144"/>
      <w:r>
        <w:rPr>
          <w:rFonts w:hint="cs"/>
          <w:rtl/>
        </w:rPr>
        <w:t xml:space="preserve">שאחרי </w:t>
      </w:r>
      <w:bookmarkStart w:id="75145" w:name="_ETM_Q133_725129"/>
      <w:bookmarkEnd w:id="75145"/>
      <w:r>
        <w:rPr>
          <w:rFonts w:hint="cs"/>
          <w:rtl/>
        </w:rPr>
        <w:t xml:space="preserve">שיעבור </w:t>
      </w:r>
      <w:bookmarkStart w:id="75146" w:name="_ETM_Q133_725790"/>
      <w:bookmarkEnd w:id="75146"/>
      <w:r>
        <w:rPr>
          <w:rFonts w:hint="cs"/>
          <w:rtl/>
        </w:rPr>
        <w:t xml:space="preserve">החוק, </w:t>
      </w:r>
      <w:bookmarkStart w:id="75147" w:name="_ETM_Q133_726719"/>
      <w:bookmarkEnd w:id="75147"/>
      <w:r>
        <w:rPr>
          <w:rFonts w:hint="cs"/>
          <w:rtl/>
        </w:rPr>
        <w:t xml:space="preserve">הכול </w:t>
      </w:r>
      <w:bookmarkStart w:id="75148" w:name="_ETM_Q133_727709"/>
      <w:bookmarkEnd w:id="75148"/>
      <w:r>
        <w:rPr>
          <w:rFonts w:hint="cs"/>
          <w:rtl/>
        </w:rPr>
        <w:t xml:space="preserve">יהיה </w:t>
      </w:r>
      <w:bookmarkStart w:id="75149" w:name="_ETM_Q133_728579"/>
      <w:bookmarkEnd w:id="75149"/>
      <w:r>
        <w:rPr>
          <w:rFonts w:hint="cs"/>
          <w:rtl/>
        </w:rPr>
        <w:t xml:space="preserve">בהסכמה </w:t>
      </w:r>
      <w:bookmarkStart w:id="75150" w:name="_ETM_Q133_729719"/>
      <w:bookmarkStart w:id="75151" w:name="_ETM_Q133_729840"/>
      <w:bookmarkEnd w:id="75150"/>
      <w:bookmarkEnd w:id="75151"/>
      <w:r>
        <w:rPr>
          <w:rFonts w:hint="cs"/>
          <w:rtl/>
        </w:rPr>
        <w:t>ובריסון</w:t>
      </w:r>
      <w:bookmarkStart w:id="75152" w:name="_ETM_Q133_731480"/>
      <w:bookmarkEnd w:id="75152"/>
      <w:r>
        <w:rPr>
          <w:rFonts w:hint="cs"/>
          <w:rtl/>
        </w:rPr>
        <w:t xml:space="preserve">. חלקים </w:t>
      </w:r>
      <w:bookmarkStart w:id="75153" w:name="_ETM_Q133_732170"/>
      <w:bookmarkEnd w:id="75153"/>
      <w:r>
        <w:rPr>
          <w:rFonts w:hint="cs"/>
          <w:rtl/>
        </w:rPr>
        <w:t xml:space="preserve">באופוזיציה </w:t>
      </w:r>
      <w:bookmarkStart w:id="75154" w:name="_ETM_Q133_733760"/>
      <w:bookmarkEnd w:id="75154"/>
      <w:r>
        <w:rPr>
          <w:rFonts w:hint="cs"/>
          <w:rtl/>
        </w:rPr>
        <w:t xml:space="preserve">ממשיכים </w:t>
      </w:r>
      <w:bookmarkStart w:id="75155" w:name="_ETM_Q133_734599"/>
      <w:bookmarkEnd w:id="75155"/>
      <w:r>
        <w:rPr>
          <w:rFonts w:hint="cs"/>
          <w:rtl/>
        </w:rPr>
        <w:t xml:space="preserve">לשחק </w:t>
      </w:r>
      <w:bookmarkStart w:id="75156" w:name="_ETM_Q133_735319"/>
      <w:bookmarkEnd w:id="75156"/>
      <w:r>
        <w:rPr>
          <w:rFonts w:hint="cs"/>
          <w:rtl/>
        </w:rPr>
        <w:t xml:space="preserve">לידיהם </w:t>
      </w:r>
      <w:bookmarkStart w:id="75157" w:name="_ETM_Q133_736670"/>
      <w:bookmarkEnd w:id="75157"/>
      <w:r>
        <w:rPr>
          <w:rFonts w:hint="cs"/>
          <w:rtl/>
        </w:rPr>
        <w:t xml:space="preserve">ומגלים </w:t>
      </w:r>
      <w:bookmarkStart w:id="75158" w:name="_ETM_Q133_737480"/>
      <w:bookmarkEnd w:id="75158"/>
      <w:r>
        <w:rPr>
          <w:rFonts w:hint="cs"/>
          <w:rtl/>
        </w:rPr>
        <w:t xml:space="preserve">התקרנפות </w:t>
      </w:r>
      <w:bookmarkStart w:id="75159" w:name="_ETM_Q133_737690"/>
      <w:bookmarkStart w:id="75160" w:name="_ETM_Q133_738110"/>
      <w:bookmarkStart w:id="75161" w:name="_ETM_Q133_738679"/>
      <w:bookmarkEnd w:id="75159"/>
      <w:bookmarkEnd w:id="75160"/>
      <w:bookmarkEnd w:id="75161"/>
      <w:r>
        <w:rPr>
          <w:rFonts w:hint="cs"/>
          <w:rtl/>
        </w:rPr>
        <w:t xml:space="preserve">פעם </w:t>
      </w:r>
      <w:bookmarkStart w:id="75162" w:name="_ETM_Q133_739610"/>
      <w:bookmarkEnd w:id="75162"/>
      <w:r>
        <w:rPr>
          <w:rFonts w:hint="cs"/>
          <w:rtl/>
        </w:rPr>
        <w:t xml:space="preserve">אחר </w:t>
      </w:r>
      <w:bookmarkStart w:id="75163" w:name="_ETM_Q133_740120"/>
      <w:bookmarkEnd w:id="75163"/>
      <w:r>
        <w:rPr>
          <w:rFonts w:hint="cs"/>
          <w:rtl/>
        </w:rPr>
        <w:t xml:space="preserve">פעם, </w:t>
      </w:r>
      <w:bookmarkStart w:id="75164" w:name="_ETM_Q133_741210"/>
      <w:bookmarkEnd w:id="75164"/>
      <w:r>
        <w:rPr>
          <w:rFonts w:hint="cs"/>
          <w:rtl/>
        </w:rPr>
        <w:t xml:space="preserve">מציעים </w:t>
      </w:r>
      <w:bookmarkStart w:id="75165" w:name="_ETM_Q133_742199"/>
      <w:bookmarkEnd w:id="75165"/>
      <w:r>
        <w:rPr>
          <w:rFonts w:hint="cs"/>
          <w:rtl/>
        </w:rPr>
        <w:t xml:space="preserve">שוב </w:t>
      </w:r>
      <w:bookmarkStart w:id="75166" w:name="_ETM_Q133_743159"/>
      <w:bookmarkEnd w:id="75166"/>
      <w:r>
        <w:rPr>
          <w:rFonts w:hint="cs"/>
          <w:rtl/>
        </w:rPr>
        <w:t xml:space="preserve">להתכנס </w:t>
      </w:r>
      <w:bookmarkStart w:id="75167" w:name="_ETM_Q133_744150"/>
      <w:bookmarkEnd w:id="75167"/>
      <w:r>
        <w:rPr>
          <w:rFonts w:hint="cs"/>
          <w:rtl/>
        </w:rPr>
        <w:t xml:space="preserve">מסביב </w:t>
      </w:r>
      <w:bookmarkStart w:id="75168" w:name="_ETM_Q133_744840"/>
      <w:bookmarkEnd w:id="75168"/>
      <w:r>
        <w:rPr>
          <w:rFonts w:hint="cs"/>
          <w:rtl/>
        </w:rPr>
        <w:t xml:space="preserve">לשולחן </w:t>
      </w:r>
      <w:bookmarkStart w:id="75169" w:name="_ETM_Q133_746099"/>
      <w:bookmarkEnd w:id="75169"/>
      <w:r>
        <w:rPr>
          <w:rFonts w:hint="cs"/>
          <w:rtl/>
        </w:rPr>
        <w:t xml:space="preserve">הסחיטה </w:t>
      </w:r>
      <w:bookmarkStart w:id="75170" w:name="_ETM_Q133_747150"/>
      <w:bookmarkEnd w:id="75170"/>
      <w:r>
        <w:rPr>
          <w:rFonts w:hint="cs"/>
          <w:rtl/>
        </w:rPr>
        <w:t>ב</w:t>
      </w:r>
      <w:bookmarkStart w:id="75171" w:name="_ETM_Q133_748470"/>
      <w:bookmarkEnd w:id="75171"/>
      <w:r>
        <w:rPr>
          <w:rFonts w:hint="cs"/>
          <w:rtl/>
        </w:rPr>
        <w:t xml:space="preserve">אצטלה של </w:t>
      </w:r>
      <w:bookmarkStart w:id="75172" w:name="_ETM_Q133_749159"/>
      <w:bookmarkEnd w:id="75172"/>
      <w:r>
        <w:rPr>
          <w:rFonts w:hint="cs"/>
          <w:rtl/>
        </w:rPr>
        <w:t xml:space="preserve">הידברות. </w:t>
      </w:r>
      <w:bookmarkStart w:id="75173" w:name="_ETM_Q133_750929"/>
      <w:bookmarkEnd w:id="75173"/>
      <w:r>
        <w:rPr>
          <w:rFonts w:hint="cs"/>
          <w:rtl/>
        </w:rPr>
        <w:t xml:space="preserve">בערבית </w:t>
      </w:r>
      <w:bookmarkStart w:id="75174" w:name="_ETM_Q133_751679"/>
      <w:bookmarkEnd w:id="75174"/>
      <w:r>
        <w:rPr>
          <w:rFonts w:hint="cs"/>
          <w:rtl/>
        </w:rPr>
        <w:t xml:space="preserve">אומרים: (אומרת בערבית ומתרגמת:) </w:t>
      </w:r>
      <w:bookmarkStart w:id="75175" w:name="_ETM_Q133_752550"/>
      <w:bookmarkStart w:id="75176" w:name="_ETM_Q133_752910"/>
      <w:bookmarkStart w:id="75177" w:name="_ETM_Q133_753630"/>
      <w:bookmarkStart w:id="75178" w:name="_ETM_Q133_754320"/>
      <w:bookmarkStart w:id="75179" w:name="_ETM_Q133_754559"/>
      <w:bookmarkStart w:id="75180" w:name="_ETM_Q133_755190"/>
      <w:bookmarkStart w:id="75181" w:name="_ETM_Q133_756170"/>
      <w:bookmarkStart w:id="75182" w:name="_ETM_Q133_756290"/>
      <w:bookmarkEnd w:id="75175"/>
      <w:bookmarkEnd w:id="75176"/>
      <w:bookmarkEnd w:id="75177"/>
      <w:bookmarkEnd w:id="75178"/>
      <w:bookmarkEnd w:id="75179"/>
      <w:bookmarkEnd w:id="75180"/>
      <w:bookmarkEnd w:id="75181"/>
      <w:bookmarkEnd w:id="75182"/>
      <w:r>
        <w:rPr>
          <w:rFonts w:hint="cs"/>
          <w:rtl/>
        </w:rPr>
        <w:t xml:space="preserve">ובתרגום </w:t>
      </w:r>
      <w:bookmarkStart w:id="75183" w:name="_ETM_Q133_756920"/>
      <w:bookmarkEnd w:id="75183"/>
      <w:r>
        <w:rPr>
          <w:rFonts w:hint="cs"/>
          <w:rtl/>
        </w:rPr>
        <w:t xml:space="preserve">חופשי: </w:t>
      </w:r>
      <w:bookmarkStart w:id="75184" w:name="_ETM_Q133_758110"/>
      <w:bookmarkEnd w:id="75184"/>
      <w:r>
        <w:rPr>
          <w:rFonts w:hint="cs"/>
          <w:rtl/>
        </w:rPr>
        <w:t xml:space="preserve">קבלו </w:t>
      </w:r>
      <w:bookmarkStart w:id="75185" w:name="_ETM_Q133_758400"/>
      <w:bookmarkStart w:id="75186" w:name="_ETM_Q133_758970"/>
      <w:bookmarkEnd w:id="75185"/>
      <w:bookmarkEnd w:id="75186"/>
      <w:r>
        <w:rPr>
          <w:rFonts w:hint="cs"/>
          <w:rtl/>
        </w:rPr>
        <w:t xml:space="preserve">את </w:t>
      </w:r>
      <w:bookmarkStart w:id="75187" w:name="_ETM_Q133_759210"/>
      <w:bookmarkEnd w:id="75187"/>
      <w:r>
        <w:rPr>
          <w:rFonts w:hint="cs"/>
          <w:rtl/>
        </w:rPr>
        <w:t xml:space="preserve">הסודות </w:t>
      </w:r>
      <w:bookmarkStart w:id="75188" w:name="_ETM_Q133_759960"/>
      <w:bookmarkEnd w:id="75188"/>
      <w:r>
        <w:rPr>
          <w:rFonts w:hint="cs"/>
          <w:rtl/>
        </w:rPr>
        <w:t xml:space="preserve">שלהם </w:t>
      </w:r>
      <w:bookmarkStart w:id="75189" w:name="_ETM_Q133_761040"/>
      <w:bookmarkEnd w:id="75189"/>
      <w:r>
        <w:rPr>
          <w:rFonts w:hint="cs"/>
          <w:rtl/>
        </w:rPr>
        <w:t xml:space="preserve">מהקטנים </w:t>
      </w:r>
      <w:bookmarkStart w:id="75190" w:name="_ETM_Q133_762120"/>
      <w:bookmarkEnd w:id="75190"/>
      <w:r>
        <w:rPr>
          <w:rFonts w:hint="cs"/>
          <w:rtl/>
        </w:rPr>
        <w:t xml:space="preserve">שביניהם. </w:t>
      </w:r>
      <w:bookmarkStart w:id="75191" w:name="_ETM_Q133_763650"/>
      <w:bookmarkStart w:id="75192" w:name="_ETM_Q133_769000"/>
      <w:bookmarkStart w:id="75193" w:name="_ETM_Q133_770000"/>
      <w:bookmarkStart w:id="75194" w:name="TOR_Q134"/>
      <w:bookmarkEnd w:id="75191"/>
      <w:bookmarkEnd w:id="75192"/>
      <w:bookmarkEnd w:id="75193"/>
      <w:bookmarkEnd w:id="75194"/>
      <w:r>
        <w:rPr>
          <w:rFonts w:hint="cs"/>
          <w:rtl/>
        </w:rPr>
        <w:t xml:space="preserve">בגרסה של ישראל 2023 הפתגם היותר-מדויק: קבלו את </w:t>
      </w:r>
      <w:bookmarkStart w:id="75195" w:name="_ETM_Q134_149000"/>
      <w:bookmarkEnd w:id="75195"/>
      <w:r>
        <w:rPr>
          <w:rFonts w:hint="cs"/>
          <w:rtl/>
        </w:rPr>
        <w:t xml:space="preserve">הסודות שלהם מגזעניהם. </w:t>
      </w:r>
      <w:bookmarkStart w:id="75196" w:name="_ETM_Q134_177000"/>
      <w:bookmarkEnd w:id="75196"/>
      <w:r>
        <w:rPr>
          <w:rFonts w:hint="cs"/>
          <w:rtl/>
        </w:rPr>
        <w:t xml:space="preserve">שר נוער הגבעות שתומך ברוצח ברוך </w:t>
      </w:r>
      <w:bookmarkStart w:id="75197" w:name="_ETM_Q134_181010"/>
      <w:bookmarkEnd w:id="75197"/>
      <w:r>
        <w:rPr>
          <w:rFonts w:hint="cs"/>
          <w:rtl/>
        </w:rPr>
        <w:t xml:space="preserve">גולדשטיין </w:t>
      </w:r>
      <w:bookmarkStart w:id="75198" w:name="_ETM_Q134_182270"/>
      <w:bookmarkEnd w:id="75198"/>
      <w:r>
        <w:rPr>
          <w:rFonts w:hint="cs"/>
          <w:rtl/>
        </w:rPr>
        <w:t xml:space="preserve">יודע </w:t>
      </w:r>
      <w:bookmarkStart w:id="75199" w:name="_ETM_Q134_182879"/>
      <w:bookmarkEnd w:id="75199"/>
      <w:r>
        <w:rPr>
          <w:rFonts w:hint="cs"/>
          <w:rtl/>
        </w:rPr>
        <w:t xml:space="preserve">טוב </w:t>
      </w:r>
      <w:bookmarkStart w:id="75200" w:name="_ETM_Q134_183479"/>
      <w:bookmarkEnd w:id="75200"/>
      <w:r>
        <w:rPr>
          <w:rFonts w:hint="cs"/>
          <w:rtl/>
        </w:rPr>
        <w:t xml:space="preserve">טוב </w:t>
      </w:r>
      <w:bookmarkStart w:id="75201" w:name="_ETM_Q134_184140"/>
      <w:bookmarkEnd w:id="75201"/>
      <w:r>
        <w:rPr>
          <w:rFonts w:hint="cs"/>
          <w:rtl/>
        </w:rPr>
        <w:t xml:space="preserve">מה </w:t>
      </w:r>
      <w:bookmarkStart w:id="75202" w:name="_ETM_Q134_184410"/>
      <w:bookmarkEnd w:id="75202"/>
      <w:r>
        <w:rPr>
          <w:rFonts w:hint="cs"/>
          <w:rtl/>
        </w:rPr>
        <w:t xml:space="preserve">הוא </w:t>
      </w:r>
      <w:bookmarkStart w:id="75203" w:name="_ETM_Q134_184620"/>
      <w:bookmarkEnd w:id="75203"/>
      <w:r>
        <w:rPr>
          <w:rFonts w:hint="cs"/>
          <w:rtl/>
        </w:rPr>
        <w:t xml:space="preserve">אומר. </w:t>
      </w:r>
      <w:bookmarkStart w:id="75204" w:name="_ETM_Q134_185819"/>
      <w:bookmarkEnd w:id="75204"/>
      <w:r>
        <w:rPr>
          <w:rFonts w:hint="cs"/>
          <w:rtl/>
        </w:rPr>
        <w:t xml:space="preserve">החוק </w:t>
      </w:r>
      <w:bookmarkStart w:id="75205" w:name="_ETM_Q134_186509"/>
      <w:bookmarkEnd w:id="75205"/>
      <w:r>
        <w:rPr>
          <w:rFonts w:hint="cs"/>
          <w:rtl/>
        </w:rPr>
        <w:t xml:space="preserve">לביטול </w:t>
      </w:r>
      <w:bookmarkStart w:id="75206" w:name="_ETM_Q134_187229"/>
      <w:bookmarkEnd w:id="75206"/>
      <w:r>
        <w:rPr>
          <w:rFonts w:hint="cs"/>
          <w:rtl/>
        </w:rPr>
        <w:t xml:space="preserve">עילת </w:t>
      </w:r>
      <w:bookmarkStart w:id="75207" w:name="_ETM_Q134_187680"/>
      <w:bookmarkEnd w:id="75207"/>
      <w:r>
        <w:rPr>
          <w:rFonts w:hint="cs"/>
          <w:rtl/>
        </w:rPr>
        <w:t xml:space="preserve">הסבירות </w:t>
      </w:r>
      <w:bookmarkStart w:id="75208" w:name="_ETM_Q134_188820"/>
      <w:bookmarkEnd w:id="75208"/>
      <w:r>
        <w:rPr>
          <w:rFonts w:hint="cs"/>
          <w:rtl/>
        </w:rPr>
        <w:t xml:space="preserve">הוא </w:t>
      </w:r>
      <w:bookmarkStart w:id="75209" w:name="_ETM_Q134_189059"/>
      <w:bookmarkEnd w:id="75209"/>
      <w:r>
        <w:rPr>
          <w:rFonts w:hint="cs"/>
          <w:rtl/>
        </w:rPr>
        <w:t xml:space="preserve">רק </w:t>
      </w:r>
      <w:bookmarkStart w:id="75210" w:name="_ETM_Q134_189539"/>
      <w:bookmarkEnd w:id="75210"/>
      <w:r>
        <w:rPr>
          <w:rFonts w:hint="cs"/>
          <w:rtl/>
        </w:rPr>
        <w:t xml:space="preserve">הסלט </w:t>
      </w:r>
      <w:bookmarkStart w:id="75211" w:name="_ETM_Q134_190710"/>
      <w:bookmarkEnd w:id="75211"/>
      <w:r>
        <w:rPr>
          <w:rFonts w:hint="cs"/>
          <w:rtl/>
        </w:rPr>
        <w:t xml:space="preserve">לפני </w:t>
      </w:r>
      <w:bookmarkStart w:id="75212" w:name="_ETM_Q134_191490"/>
      <w:bookmarkEnd w:id="75212"/>
      <w:r>
        <w:rPr>
          <w:rFonts w:hint="cs"/>
          <w:rtl/>
        </w:rPr>
        <w:t xml:space="preserve">המנה </w:t>
      </w:r>
      <w:bookmarkStart w:id="75213" w:name="_ETM_Q134_192150"/>
      <w:bookmarkEnd w:id="75213"/>
      <w:r>
        <w:rPr>
          <w:rFonts w:hint="cs"/>
          <w:rtl/>
        </w:rPr>
        <w:t xml:space="preserve">העיקרית. </w:t>
      </w:r>
      <w:bookmarkStart w:id="75214" w:name="_ETM_Q134_193499"/>
      <w:bookmarkEnd w:id="75214"/>
      <w:r>
        <w:rPr>
          <w:rFonts w:hint="cs"/>
          <w:rtl/>
        </w:rPr>
        <w:t xml:space="preserve">והבר – </w:t>
      </w:r>
      <w:bookmarkStart w:id="75215" w:name="_ETM_Q134_194999"/>
      <w:bookmarkEnd w:id="75215"/>
      <w:r>
        <w:rPr>
          <w:rFonts w:hint="cs"/>
          <w:rtl/>
        </w:rPr>
        <w:t xml:space="preserve">בר </w:t>
      </w:r>
      <w:bookmarkStart w:id="75216" w:name="_ETM_Q134_195389"/>
      <w:bookmarkEnd w:id="75216"/>
      <w:r>
        <w:rPr>
          <w:rFonts w:hint="cs"/>
          <w:rtl/>
        </w:rPr>
        <w:t>הסלט</w:t>
      </w:r>
      <w:bookmarkStart w:id="75217" w:name="_ETM_Q134_196079"/>
      <w:bookmarkStart w:id="75218" w:name="_ETM_Q134_196619"/>
      <w:bookmarkStart w:id="75219" w:name="_ETM_Q134_197130"/>
      <w:bookmarkStart w:id="75220" w:name="_ETM_Q134_197400"/>
      <w:bookmarkStart w:id="75221" w:name="_ETM_Q134_198570"/>
      <w:bookmarkEnd w:id="75217"/>
      <w:bookmarkEnd w:id="75218"/>
      <w:bookmarkEnd w:id="75219"/>
      <w:bookmarkEnd w:id="75220"/>
      <w:bookmarkEnd w:id="75221"/>
      <w:r>
        <w:rPr>
          <w:rFonts w:hint="cs"/>
          <w:rtl/>
        </w:rPr>
        <w:t xml:space="preserve"> פתוח, לפי בן גביר, </w:t>
      </w:r>
      <w:bookmarkStart w:id="75222" w:name="_ETM_Q134_200100"/>
      <w:bookmarkEnd w:id="75222"/>
      <w:r>
        <w:rPr>
          <w:rFonts w:hint="cs"/>
          <w:rtl/>
        </w:rPr>
        <w:t xml:space="preserve">ואנו </w:t>
      </w:r>
      <w:bookmarkStart w:id="75223" w:name="_ETM_Q134_200730"/>
      <w:bookmarkEnd w:id="75223"/>
      <w:r>
        <w:rPr>
          <w:rFonts w:hint="cs"/>
          <w:rtl/>
        </w:rPr>
        <w:t xml:space="preserve">עוד </w:t>
      </w:r>
      <w:bookmarkStart w:id="75224" w:name="_ETM_Q134_201060"/>
      <w:bookmarkEnd w:id="75224"/>
      <w:r>
        <w:rPr>
          <w:rFonts w:hint="cs"/>
          <w:rtl/>
        </w:rPr>
        <w:t xml:space="preserve">עתידים </w:t>
      </w:r>
      <w:bookmarkStart w:id="75225" w:name="_ETM_Q134_201840"/>
      <w:bookmarkEnd w:id="75225"/>
      <w:r>
        <w:rPr>
          <w:rFonts w:hint="cs"/>
          <w:rtl/>
        </w:rPr>
        <w:t xml:space="preserve">לטעום </w:t>
      </w:r>
      <w:bookmarkStart w:id="75226" w:name="_ETM_Q134_202410"/>
      <w:bookmarkEnd w:id="75226"/>
      <w:r>
        <w:rPr>
          <w:rFonts w:hint="cs"/>
          <w:rtl/>
        </w:rPr>
        <w:t xml:space="preserve">מהמגוון </w:t>
      </w:r>
      <w:bookmarkStart w:id="75227" w:name="_ETM_Q134_203340"/>
      <w:bookmarkEnd w:id="75227"/>
      <w:r>
        <w:rPr>
          <w:rFonts w:hint="cs"/>
          <w:rtl/>
        </w:rPr>
        <w:t xml:space="preserve">הרחב </w:t>
      </w:r>
      <w:bookmarkStart w:id="75228" w:name="_ETM_Q134_203910"/>
      <w:bookmarkEnd w:id="75228"/>
      <w:r>
        <w:rPr>
          <w:rFonts w:hint="cs"/>
          <w:rtl/>
        </w:rPr>
        <w:t>שלו.</w:t>
      </w:r>
      <w:bookmarkStart w:id="75229" w:name="_ETM_Q134_205260"/>
      <w:bookmarkEnd w:id="75229"/>
      <w:r>
        <w:rPr>
          <w:rFonts w:hint="cs"/>
          <w:rtl/>
        </w:rPr>
        <w:t xml:space="preserve"> החוק </w:t>
      </w:r>
      <w:bookmarkStart w:id="75230" w:name="_ETM_Q134_205920"/>
      <w:bookmarkEnd w:id="75230"/>
      <w:r>
        <w:rPr>
          <w:rFonts w:hint="cs"/>
          <w:rtl/>
        </w:rPr>
        <w:t xml:space="preserve">הזה </w:t>
      </w:r>
      <w:bookmarkStart w:id="75231" w:name="_ETM_Q134_206910"/>
      <w:bookmarkEnd w:id="75231"/>
      <w:r>
        <w:rPr>
          <w:rFonts w:hint="cs"/>
          <w:rtl/>
        </w:rPr>
        <w:t xml:space="preserve">הוא </w:t>
      </w:r>
      <w:bookmarkStart w:id="75232" w:name="_ETM_Q134_207359"/>
      <w:bookmarkEnd w:id="75232"/>
      <w:r>
        <w:rPr>
          <w:rFonts w:hint="cs"/>
          <w:rtl/>
        </w:rPr>
        <w:t xml:space="preserve">הצעד </w:t>
      </w:r>
      <w:bookmarkStart w:id="75233" w:name="_ETM_Q134_208109"/>
      <w:bookmarkEnd w:id="75233"/>
      <w:r>
        <w:rPr>
          <w:rFonts w:hint="cs"/>
          <w:rtl/>
        </w:rPr>
        <w:t xml:space="preserve">הראשון </w:t>
      </w:r>
      <w:bookmarkStart w:id="75234" w:name="_ETM_Q134_209380"/>
      <w:bookmarkEnd w:id="75234"/>
      <w:r>
        <w:rPr>
          <w:rFonts w:hint="cs"/>
          <w:rtl/>
        </w:rPr>
        <w:t xml:space="preserve">לפני </w:t>
      </w:r>
      <w:bookmarkStart w:id="75235" w:name="_ETM_Q134_210099"/>
      <w:bookmarkEnd w:id="75235"/>
      <w:r>
        <w:rPr>
          <w:rFonts w:hint="cs"/>
          <w:rtl/>
        </w:rPr>
        <w:t>שי</w:t>
      </w:r>
      <w:bookmarkStart w:id="75236" w:name="_ETM_Q134_210429"/>
      <w:bookmarkEnd w:id="75236"/>
      <w:r>
        <w:rPr>
          <w:rFonts w:hint="cs"/>
          <w:rtl/>
        </w:rPr>
        <w:t xml:space="preserve">שנו </w:t>
      </w:r>
      <w:bookmarkStart w:id="75237" w:name="_ETM_Q134_211000"/>
      <w:bookmarkEnd w:id="75237"/>
      <w:r>
        <w:rPr>
          <w:rFonts w:hint="cs"/>
          <w:rtl/>
        </w:rPr>
        <w:t xml:space="preserve">את </w:t>
      </w:r>
      <w:bookmarkStart w:id="75238" w:name="_ETM_Q134_211179"/>
      <w:bookmarkEnd w:id="75238"/>
      <w:r>
        <w:rPr>
          <w:rFonts w:hint="cs"/>
          <w:rtl/>
        </w:rPr>
        <w:t xml:space="preserve">הרכב </w:t>
      </w:r>
      <w:bookmarkStart w:id="75239" w:name="_ETM_Q134_211750"/>
      <w:bookmarkEnd w:id="75239"/>
      <w:r>
        <w:rPr>
          <w:rFonts w:hint="cs"/>
          <w:rtl/>
        </w:rPr>
        <w:t xml:space="preserve">ועדת </w:t>
      </w:r>
      <w:bookmarkStart w:id="75240" w:name="_ETM_Q134_212320"/>
      <w:bookmarkEnd w:id="75240"/>
      <w:r>
        <w:rPr>
          <w:rFonts w:hint="cs"/>
          <w:rtl/>
        </w:rPr>
        <w:t xml:space="preserve">השופטים </w:t>
      </w:r>
      <w:bookmarkStart w:id="75241" w:name="_ETM_Q134_213640"/>
      <w:bookmarkEnd w:id="75241"/>
      <w:r>
        <w:rPr>
          <w:rFonts w:hint="cs"/>
          <w:rtl/>
        </w:rPr>
        <w:t xml:space="preserve">וידאגו </w:t>
      </w:r>
      <w:bookmarkStart w:id="75242" w:name="_ETM_Q134_214600"/>
      <w:bookmarkEnd w:id="75242"/>
      <w:r>
        <w:rPr>
          <w:rFonts w:hint="cs"/>
          <w:rtl/>
        </w:rPr>
        <w:t xml:space="preserve">למנות </w:t>
      </w:r>
      <w:bookmarkStart w:id="75243" w:name="_ETM_Q134_215260"/>
      <w:bookmarkEnd w:id="75243"/>
      <w:r>
        <w:rPr>
          <w:rFonts w:hint="cs"/>
          <w:rtl/>
        </w:rPr>
        <w:t xml:space="preserve">שופטים </w:t>
      </w:r>
      <w:bookmarkStart w:id="75244" w:name="_ETM_Q134_215979"/>
      <w:bookmarkEnd w:id="75244"/>
      <w:r>
        <w:rPr>
          <w:rFonts w:hint="cs"/>
          <w:rtl/>
        </w:rPr>
        <w:t>שמרנים</w:t>
      </w:r>
      <w:bookmarkStart w:id="75245" w:name="_ETM_Q134_217370"/>
      <w:bookmarkEnd w:id="75245"/>
      <w:r>
        <w:rPr>
          <w:rFonts w:hint="cs"/>
          <w:rtl/>
        </w:rPr>
        <w:t xml:space="preserve">, לפני </w:t>
      </w:r>
      <w:bookmarkStart w:id="75246" w:name="_ETM_Q134_218120"/>
      <w:bookmarkEnd w:id="75246"/>
      <w:r>
        <w:rPr>
          <w:rFonts w:hint="cs"/>
          <w:rtl/>
        </w:rPr>
        <w:t xml:space="preserve">שיבקשו </w:t>
      </w:r>
      <w:bookmarkStart w:id="75247" w:name="_ETM_Q134_219290"/>
      <w:bookmarkEnd w:id="75247"/>
      <w:r>
        <w:rPr>
          <w:rFonts w:hint="cs"/>
          <w:rtl/>
        </w:rPr>
        <w:t xml:space="preserve">להתגבר </w:t>
      </w:r>
      <w:bookmarkStart w:id="75248" w:name="_ETM_Q134_220190"/>
      <w:bookmarkEnd w:id="75248"/>
      <w:r>
        <w:rPr>
          <w:rFonts w:hint="cs"/>
          <w:rtl/>
        </w:rPr>
        <w:t xml:space="preserve">על </w:t>
      </w:r>
      <w:bookmarkStart w:id="75249" w:name="_ETM_Q134_220430"/>
      <w:bookmarkEnd w:id="75249"/>
      <w:r>
        <w:rPr>
          <w:rFonts w:hint="cs"/>
          <w:rtl/>
        </w:rPr>
        <w:t xml:space="preserve">החלטות </w:t>
      </w:r>
      <w:bookmarkStart w:id="75250" w:name="_ETM_Q134_221239"/>
      <w:bookmarkEnd w:id="75250"/>
      <w:r>
        <w:rPr>
          <w:rFonts w:hint="cs"/>
          <w:rtl/>
        </w:rPr>
        <w:t xml:space="preserve">בג"ץ </w:t>
      </w:r>
      <w:bookmarkStart w:id="75251" w:name="_ETM_Q134_222399"/>
      <w:bookmarkEnd w:id="75251"/>
      <w:r>
        <w:rPr>
          <w:rFonts w:hint="cs"/>
          <w:rtl/>
        </w:rPr>
        <w:t xml:space="preserve">ויעבירו </w:t>
      </w:r>
      <w:bookmarkStart w:id="75252" w:name="_ETM_Q134_223539"/>
      <w:bookmarkEnd w:id="75252"/>
      <w:r>
        <w:rPr>
          <w:rFonts w:hint="cs"/>
          <w:rtl/>
        </w:rPr>
        <w:t xml:space="preserve">את </w:t>
      </w:r>
      <w:bookmarkStart w:id="75253" w:name="_ETM_Q134_223780"/>
      <w:bookmarkEnd w:id="75253"/>
      <w:r>
        <w:rPr>
          <w:rFonts w:hint="cs"/>
          <w:rtl/>
        </w:rPr>
        <w:t xml:space="preserve">החוק </w:t>
      </w:r>
      <w:bookmarkStart w:id="75254" w:name="_ETM_Q134_224729"/>
      <w:bookmarkEnd w:id="75254"/>
      <w:r>
        <w:rPr>
          <w:rFonts w:hint="cs"/>
          <w:rtl/>
        </w:rPr>
        <w:t xml:space="preserve">למינוי </w:t>
      </w:r>
      <w:bookmarkStart w:id="75255" w:name="_ETM_Q134_225600"/>
      <w:bookmarkEnd w:id="75255"/>
      <w:r>
        <w:rPr>
          <w:rFonts w:hint="cs"/>
          <w:rtl/>
        </w:rPr>
        <w:t xml:space="preserve">בובות </w:t>
      </w:r>
      <w:bookmarkStart w:id="75256" w:name="_ETM_Q134_226589"/>
      <w:bookmarkEnd w:id="75256"/>
      <w:r>
        <w:rPr>
          <w:rFonts w:hint="cs"/>
          <w:rtl/>
        </w:rPr>
        <w:t xml:space="preserve">במקום </w:t>
      </w:r>
      <w:bookmarkStart w:id="75257" w:name="_ETM_Q134_227579"/>
      <w:bookmarkEnd w:id="75257"/>
      <w:r>
        <w:rPr>
          <w:rFonts w:hint="cs"/>
          <w:rtl/>
        </w:rPr>
        <w:t>יו</w:t>
      </w:r>
      <w:bookmarkStart w:id="75258" w:name="_ETM_Q134_227909"/>
      <w:bookmarkEnd w:id="75258"/>
      <w:r>
        <w:rPr>
          <w:rFonts w:hint="cs"/>
          <w:rtl/>
        </w:rPr>
        <w:t>עמ"שים.</w:t>
      </w:r>
    </w:p>
    <w:p w:rsidR="00BB59CD" w:rsidRDefault="00BB59CD" w:rsidP="00BB59CD">
      <w:pPr>
        <w:rPr>
          <w:rtl/>
        </w:rPr>
      </w:pPr>
    </w:p>
    <w:p w:rsidR="00BB59CD" w:rsidRDefault="00BB59CD" w:rsidP="00D94B83">
      <w:pPr>
        <w:rPr>
          <w:rtl/>
        </w:rPr>
      </w:pPr>
      <w:bookmarkStart w:id="75259" w:name="_ETM_Q134_229310"/>
      <w:bookmarkEnd w:id="75259"/>
      <w:r>
        <w:rPr>
          <w:rFonts w:hint="cs"/>
          <w:rtl/>
        </w:rPr>
        <w:t xml:space="preserve">אבל </w:t>
      </w:r>
      <w:bookmarkStart w:id="75260" w:name="_ETM_Q134_229760"/>
      <w:bookmarkEnd w:id="75260"/>
      <w:r>
        <w:rPr>
          <w:rFonts w:hint="cs"/>
          <w:rtl/>
        </w:rPr>
        <w:t xml:space="preserve">את כל </w:t>
      </w:r>
      <w:bookmarkStart w:id="75261" w:name="_ETM_Q134_230090"/>
      <w:bookmarkEnd w:id="75261"/>
      <w:r>
        <w:rPr>
          <w:rFonts w:hint="cs"/>
          <w:rtl/>
        </w:rPr>
        <w:t xml:space="preserve">זה </w:t>
      </w:r>
      <w:bookmarkStart w:id="75262" w:name="_ETM_Q134_230659"/>
      <w:bookmarkEnd w:id="75262"/>
      <w:r>
        <w:rPr>
          <w:rFonts w:hint="cs"/>
          <w:rtl/>
        </w:rPr>
        <w:t xml:space="preserve">כבר </w:t>
      </w:r>
      <w:bookmarkStart w:id="75263" w:name="_ETM_Q134_231080"/>
      <w:bookmarkEnd w:id="75263"/>
      <w:r>
        <w:rPr>
          <w:rFonts w:hint="cs"/>
          <w:rtl/>
        </w:rPr>
        <w:t xml:space="preserve">אמרו </w:t>
      </w:r>
      <w:bookmarkStart w:id="75264" w:name="_ETM_Q134_231440"/>
      <w:bookmarkEnd w:id="75264"/>
      <w:r>
        <w:rPr>
          <w:rFonts w:hint="cs"/>
          <w:rtl/>
        </w:rPr>
        <w:t xml:space="preserve">הח"כים </w:t>
      </w:r>
      <w:bookmarkStart w:id="75265" w:name="_ETM_Q134_232070"/>
      <w:bookmarkEnd w:id="75265"/>
      <w:r>
        <w:rPr>
          <w:rFonts w:hint="cs"/>
          <w:rtl/>
        </w:rPr>
        <w:t xml:space="preserve">והח"כיות </w:t>
      </w:r>
      <w:bookmarkStart w:id="75266" w:name="_ETM_Q134_233300"/>
      <w:bookmarkEnd w:id="75266"/>
      <w:r>
        <w:rPr>
          <w:rFonts w:hint="cs"/>
          <w:rtl/>
        </w:rPr>
        <w:t xml:space="preserve">שעלו </w:t>
      </w:r>
      <w:bookmarkStart w:id="75267" w:name="_ETM_Q134_233870"/>
      <w:bookmarkEnd w:id="75267"/>
      <w:r>
        <w:rPr>
          <w:rFonts w:hint="cs"/>
          <w:rtl/>
        </w:rPr>
        <w:t xml:space="preserve">מאז </w:t>
      </w:r>
      <w:bookmarkStart w:id="75268" w:name="_ETM_Q134_234320"/>
      <w:bookmarkEnd w:id="75268"/>
      <w:r>
        <w:rPr>
          <w:rFonts w:hint="cs"/>
          <w:rtl/>
        </w:rPr>
        <w:t xml:space="preserve">אתמול </w:t>
      </w:r>
      <w:bookmarkStart w:id="75269" w:name="_ETM_Q134_235210"/>
      <w:bookmarkStart w:id="75270" w:name="_ETM_Q134_235780"/>
      <w:bookmarkEnd w:id="75269"/>
      <w:bookmarkEnd w:id="75270"/>
      <w:r>
        <w:rPr>
          <w:rFonts w:hint="cs"/>
          <w:rtl/>
        </w:rPr>
        <w:t xml:space="preserve">וסיפרו עד כמה </w:t>
      </w:r>
      <w:bookmarkStart w:id="75271" w:name="_ETM_Q134_236140"/>
      <w:bookmarkStart w:id="75272" w:name="_ETM_Q134_236350"/>
      <w:bookmarkStart w:id="75273" w:name="_ETM_Q134_236920"/>
      <w:bookmarkEnd w:id="75271"/>
      <w:bookmarkEnd w:id="75272"/>
      <w:bookmarkEnd w:id="75273"/>
      <w:r>
        <w:rPr>
          <w:rFonts w:hint="cs"/>
          <w:rtl/>
        </w:rPr>
        <w:t xml:space="preserve">החוק </w:t>
      </w:r>
      <w:bookmarkStart w:id="75274" w:name="_ETM_Q134_237309"/>
      <w:bookmarkEnd w:id="75274"/>
      <w:r>
        <w:rPr>
          <w:rFonts w:hint="cs"/>
          <w:rtl/>
        </w:rPr>
        <w:t xml:space="preserve">הזה </w:t>
      </w:r>
      <w:bookmarkStart w:id="75275" w:name="_ETM_Q134_237760"/>
      <w:bookmarkEnd w:id="75275"/>
      <w:r>
        <w:rPr>
          <w:rFonts w:hint="cs"/>
          <w:rtl/>
        </w:rPr>
        <w:t xml:space="preserve">מהווה </w:t>
      </w:r>
      <w:bookmarkStart w:id="75276" w:name="_ETM_Q134_238720"/>
      <w:bookmarkEnd w:id="75276"/>
      <w:r>
        <w:rPr>
          <w:rFonts w:hint="cs"/>
          <w:rtl/>
        </w:rPr>
        <w:t xml:space="preserve">פתח </w:t>
      </w:r>
      <w:bookmarkStart w:id="75277" w:name="_ETM_Q134_239710"/>
      <w:bookmarkEnd w:id="75277"/>
      <w:r>
        <w:rPr>
          <w:rFonts w:hint="cs"/>
          <w:rtl/>
        </w:rPr>
        <w:t xml:space="preserve">לשחיתות </w:t>
      </w:r>
      <w:bookmarkStart w:id="75278" w:name="_ETM_Q134_240789"/>
      <w:bookmarkEnd w:id="75278"/>
      <w:r>
        <w:rPr>
          <w:rFonts w:hint="cs"/>
          <w:rtl/>
        </w:rPr>
        <w:t xml:space="preserve">שלטונית. </w:t>
      </w:r>
      <w:bookmarkStart w:id="75279" w:name="_ETM_Q134_242449"/>
      <w:bookmarkEnd w:id="75279"/>
      <w:r>
        <w:rPr>
          <w:rFonts w:hint="cs"/>
          <w:rtl/>
        </w:rPr>
        <w:t xml:space="preserve">כל </w:t>
      </w:r>
      <w:bookmarkStart w:id="75280" w:name="_ETM_Q134_242989"/>
      <w:bookmarkStart w:id="75281" w:name="_ETM_Q134_243109"/>
      <w:bookmarkStart w:id="75282" w:name="_ETM_Q134_243469"/>
      <w:bookmarkStart w:id="75283" w:name="_ETM_Q134_244689"/>
      <w:bookmarkEnd w:id="75280"/>
      <w:bookmarkEnd w:id="75281"/>
      <w:bookmarkEnd w:id="75282"/>
      <w:bookmarkEnd w:id="75283"/>
      <w:r>
        <w:rPr>
          <w:rFonts w:hint="cs"/>
          <w:rtl/>
        </w:rPr>
        <w:t xml:space="preserve">חששם </w:t>
      </w:r>
      <w:bookmarkStart w:id="75284" w:name="_ETM_Q134_247000"/>
      <w:bookmarkEnd w:id="75284"/>
      <w:r>
        <w:rPr>
          <w:rFonts w:hint="cs"/>
          <w:rtl/>
        </w:rPr>
        <w:t xml:space="preserve">המוצדק, </w:t>
      </w:r>
      <w:bookmarkStart w:id="75285" w:name="_ETM_Q134_246500"/>
      <w:bookmarkEnd w:id="75285"/>
      <w:r>
        <w:rPr>
          <w:rFonts w:hint="cs"/>
          <w:rtl/>
        </w:rPr>
        <w:t xml:space="preserve">ולא </w:t>
      </w:r>
      <w:bookmarkStart w:id="75286" w:name="_ETM_Q134_246860"/>
      <w:bookmarkEnd w:id="75286"/>
      <w:r>
        <w:rPr>
          <w:rFonts w:hint="cs"/>
          <w:rtl/>
        </w:rPr>
        <w:t xml:space="preserve">אמרתי </w:t>
      </w:r>
      <w:bookmarkStart w:id="75287" w:name="_ETM_Q134_247400"/>
      <w:bookmarkEnd w:id="75287"/>
      <w:r>
        <w:rPr>
          <w:rFonts w:hint="cs"/>
          <w:rtl/>
        </w:rPr>
        <w:t xml:space="preserve">אחרת, </w:t>
      </w:r>
      <w:bookmarkStart w:id="75288" w:name="_ETM_Q134_248580"/>
      <w:bookmarkEnd w:id="75288"/>
      <w:r>
        <w:rPr>
          <w:rFonts w:hint="cs"/>
          <w:rtl/>
        </w:rPr>
        <w:t xml:space="preserve">הוא </w:t>
      </w:r>
      <w:bookmarkStart w:id="75289" w:name="_ETM_Q134_249569"/>
      <w:bookmarkEnd w:id="75289"/>
      <w:r>
        <w:rPr>
          <w:rFonts w:hint="cs"/>
          <w:rtl/>
        </w:rPr>
        <w:t xml:space="preserve">איך לא </w:t>
      </w:r>
      <w:bookmarkStart w:id="75290" w:name="_ETM_Q134_249990"/>
      <w:bookmarkEnd w:id="75290"/>
      <w:r>
        <w:rPr>
          <w:rFonts w:hint="cs"/>
          <w:rtl/>
        </w:rPr>
        <w:t xml:space="preserve">ימונה </w:t>
      </w:r>
      <w:bookmarkStart w:id="75291" w:name="_ETM_Q134_251189"/>
      <w:bookmarkEnd w:id="75291"/>
      <w:r>
        <w:rPr>
          <w:rFonts w:hint="cs"/>
          <w:rtl/>
        </w:rPr>
        <w:t xml:space="preserve">חמור </w:t>
      </w:r>
      <w:bookmarkStart w:id="75292" w:name="_ETM_Q134_251790"/>
      <w:bookmarkEnd w:id="75292"/>
      <w:r>
        <w:rPr>
          <w:rFonts w:hint="cs"/>
          <w:rtl/>
        </w:rPr>
        <w:t xml:space="preserve">למפכ"ל, </w:t>
      </w:r>
      <w:bookmarkStart w:id="75293" w:name="_ETM_Q134_253549"/>
      <w:bookmarkEnd w:id="75293"/>
      <w:r>
        <w:rPr>
          <w:rFonts w:hint="cs"/>
          <w:rtl/>
        </w:rPr>
        <w:t xml:space="preserve">ואיך </w:t>
      </w:r>
      <w:bookmarkStart w:id="75294" w:name="_ETM_Q134_254180"/>
      <w:bookmarkEnd w:id="75294"/>
      <w:r>
        <w:rPr>
          <w:rFonts w:hint="cs"/>
          <w:rtl/>
        </w:rPr>
        <w:t xml:space="preserve">לא </w:t>
      </w:r>
      <w:bookmarkStart w:id="75295" w:name="_ETM_Q134_254450"/>
      <w:bookmarkEnd w:id="75295"/>
      <w:r>
        <w:rPr>
          <w:rFonts w:hint="cs"/>
          <w:rtl/>
        </w:rPr>
        <w:t xml:space="preserve">תפוטר </w:t>
      </w:r>
      <w:bookmarkStart w:id="75296" w:name="_ETM_Q134_255530"/>
      <w:bookmarkEnd w:id="75296"/>
      <w:r>
        <w:rPr>
          <w:rFonts w:hint="cs"/>
          <w:rtl/>
        </w:rPr>
        <w:t xml:space="preserve">היועמ"שית, </w:t>
      </w:r>
      <w:bookmarkStart w:id="75297" w:name="_ETM_Q134_257170"/>
      <w:bookmarkEnd w:id="75297"/>
      <w:r>
        <w:rPr>
          <w:rFonts w:hint="cs"/>
          <w:rtl/>
        </w:rPr>
        <w:t xml:space="preserve">ואיך </w:t>
      </w:r>
      <w:bookmarkStart w:id="75298" w:name="_ETM_Q134_257860"/>
      <w:bookmarkEnd w:id="75298"/>
      <w:r>
        <w:rPr>
          <w:rFonts w:hint="cs"/>
          <w:rtl/>
        </w:rPr>
        <w:t xml:space="preserve">לא </w:t>
      </w:r>
      <w:bookmarkStart w:id="75299" w:name="_ETM_Q134_258280"/>
      <w:bookmarkEnd w:id="75299"/>
      <w:r>
        <w:rPr>
          <w:rFonts w:hint="cs"/>
          <w:rtl/>
        </w:rPr>
        <w:t xml:space="preserve">יעמידו </w:t>
      </w:r>
      <w:bookmarkStart w:id="75300" w:name="_ETM_Q134_259060"/>
      <w:bookmarkEnd w:id="75300"/>
      <w:r>
        <w:rPr>
          <w:rFonts w:hint="cs"/>
          <w:rtl/>
        </w:rPr>
        <w:t xml:space="preserve">לדין </w:t>
      </w:r>
      <w:bookmarkStart w:id="75301" w:name="_ETM_Q134_259630"/>
      <w:bookmarkEnd w:id="75301"/>
      <w:r>
        <w:rPr>
          <w:rFonts w:hint="cs"/>
          <w:rtl/>
        </w:rPr>
        <w:t xml:space="preserve">חיילים </w:t>
      </w:r>
      <w:bookmarkStart w:id="75302" w:name="_ETM_Q134_260920"/>
      <w:bookmarkEnd w:id="75302"/>
      <w:r>
        <w:rPr>
          <w:rFonts w:hint="cs"/>
          <w:rtl/>
        </w:rPr>
        <w:t xml:space="preserve">שמבצעים </w:t>
      </w:r>
      <w:bookmarkStart w:id="75303" w:name="_ETM_Q134_261970"/>
      <w:bookmarkEnd w:id="75303"/>
      <w:r>
        <w:rPr>
          <w:rFonts w:hint="cs"/>
          <w:rtl/>
        </w:rPr>
        <w:t xml:space="preserve">פשעי </w:t>
      </w:r>
      <w:bookmarkStart w:id="75304" w:name="_ETM_Q134_262480"/>
      <w:bookmarkEnd w:id="75304"/>
      <w:r>
        <w:rPr>
          <w:rFonts w:hint="cs"/>
          <w:rtl/>
        </w:rPr>
        <w:t xml:space="preserve">מלחמה </w:t>
      </w:r>
      <w:bookmarkStart w:id="75305" w:name="_ETM_Q134_263780"/>
      <w:bookmarkEnd w:id="75305"/>
      <w:r>
        <w:rPr>
          <w:rFonts w:hint="cs"/>
          <w:rtl/>
        </w:rPr>
        <w:t xml:space="preserve">מול </w:t>
      </w:r>
      <w:bookmarkStart w:id="75306" w:name="_ETM_Q134_264140"/>
      <w:bookmarkEnd w:id="75306"/>
      <w:r>
        <w:rPr>
          <w:rFonts w:hint="cs"/>
          <w:rtl/>
        </w:rPr>
        <w:t xml:space="preserve">טריבונלים </w:t>
      </w:r>
      <w:bookmarkStart w:id="75307" w:name="_ETM_Q134_265189"/>
      <w:bookmarkEnd w:id="75307"/>
      <w:r>
        <w:rPr>
          <w:rFonts w:hint="cs"/>
          <w:rtl/>
        </w:rPr>
        <w:t xml:space="preserve">בין-לאומיים – </w:t>
      </w:r>
      <w:bookmarkStart w:id="75308" w:name="_ETM_Q134_266810"/>
      <w:bookmarkEnd w:id="75308"/>
      <w:r>
        <w:rPr>
          <w:rFonts w:hint="cs"/>
          <w:rtl/>
        </w:rPr>
        <w:t xml:space="preserve">רוצים </w:t>
      </w:r>
      <w:bookmarkStart w:id="75309" w:name="_ETM_Q134_267560"/>
      <w:bookmarkEnd w:id="75309"/>
      <w:r>
        <w:rPr>
          <w:rFonts w:hint="cs"/>
          <w:rtl/>
        </w:rPr>
        <w:t xml:space="preserve">שהם </w:t>
      </w:r>
      <w:bookmarkStart w:id="75310" w:name="_ETM_Q134_267920"/>
      <w:bookmarkEnd w:id="75310"/>
      <w:r>
        <w:rPr>
          <w:rFonts w:hint="cs"/>
          <w:rtl/>
        </w:rPr>
        <w:t xml:space="preserve">ימשיכו </w:t>
      </w:r>
      <w:bookmarkStart w:id="75311" w:name="_ETM_Q134_268700"/>
      <w:bookmarkEnd w:id="75311"/>
      <w:r>
        <w:rPr>
          <w:rFonts w:hint="cs"/>
          <w:rtl/>
        </w:rPr>
        <w:t xml:space="preserve">לפשוע </w:t>
      </w:r>
      <w:bookmarkStart w:id="75312" w:name="_ETM_Q134_269950"/>
      <w:bookmarkEnd w:id="75312"/>
      <w:r>
        <w:rPr>
          <w:rFonts w:hint="cs"/>
          <w:rtl/>
        </w:rPr>
        <w:t xml:space="preserve">ואחר </w:t>
      </w:r>
      <w:bookmarkStart w:id="75313" w:name="_ETM_Q134_270580"/>
      <w:bookmarkEnd w:id="75313"/>
      <w:r>
        <w:rPr>
          <w:rFonts w:hint="cs"/>
          <w:rtl/>
        </w:rPr>
        <w:t xml:space="preserve">כך </w:t>
      </w:r>
      <w:bookmarkStart w:id="75314" w:name="_ETM_Q134_270909"/>
      <w:bookmarkEnd w:id="75314"/>
      <w:r>
        <w:rPr>
          <w:rFonts w:hint="cs"/>
          <w:rtl/>
        </w:rPr>
        <w:t xml:space="preserve">יוכלו </w:t>
      </w:r>
      <w:bookmarkStart w:id="75315" w:name="_ETM_Q134_271479"/>
      <w:bookmarkEnd w:id="75315"/>
      <w:r>
        <w:rPr>
          <w:rFonts w:hint="cs"/>
          <w:rtl/>
        </w:rPr>
        <w:t xml:space="preserve">לנפוש </w:t>
      </w:r>
      <w:bookmarkStart w:id="75316" w:name="_ETM_Q134_272530"/>
      <w:bookmarkEnd w:id="75316"/>
      <w:r>
        <w:rPr>
          <w:rFonts w:hint="cs"/>
          <w:rtl/>
        </w:rPr>
        <w:t xml:space="preserve">בנינוחות </w:t>
      </w:r>
      <w:bookmarkStart w:id="75317" w:name="_ETM_Q134_273459"/>
      <w:bookmarkEnd w:id="75317"/>
      <w:r>
        <w:rPr>
          <w:rFonts w:hint="cs"/>
          <w:rtl/>
        </w:rPr>
        <w:t>בעולם.</w:t>
      </w:r>
      <w:bookmarkStart w:id="75318" w:name="_ETM_Q134_269000"/>
      <w:bookmarkStart w:id="75319" w:name="_ETM_Q134_270000"/>
      <w:bookmarkEnd w:id="75318"/>
      <w:bookmarkEnd w:id="75319"/>
      <w:r>
        <w:rPr>
          <w:rFonts w:hint="cs"/>
          <w:rtl/>
        </w:rPr>
        <w:t xml:space="preserve"> </w:t>
      </w:r>
      <w:bookmarkStart w:id="75320" w:name="_ETM_Q134_274740"/>
      <w:bookmarkEnd w:id="75320"/>
      <w:r>
        <w:rPr>
          <w:rFonts w:hint="cs"/>
          <w:rtl/>
        </w:rPr>
        <w:t xml:space="preserve">ולא </w:t>
      </w:r>
      <w:bookmarkStart w:id="75321" w:name="_ETM_Q134_275340"/>
      <w:bookmarkEnd w:id="75321"/>
      <w:r>
        <w:rPr>
          <w:rFonts w:hint="cs"/>
          <w:rtl/>
        </w:rPr>
        <w:t xml:space="preserve">שואלים: </w:t>
      </w:r>
      <w:bookmarkStart w:id="75322" w:name="_ETM_Q134_276829"/>
      <w:bookmarkEnd w:id="75322"/>
      <w:r>
        <w:rPr>
          <w:rFonts w:hint="cs"/>
          <w:rtl/>
        </w:rPr>
        <w:t xml:space="preserve">למה </w:t>
      </w:r>
      <w:bookmarkStart w:id="75323" w:name="_ETM_Q134_277249"/>
      <w:bookmarkEnd w:id="75323"/>
      <w:r>
        <w:rPr>
          <w:rFonts w:hint="cs"/>
          <w:rtl/>
        </w:rPr>
        <w:t xml:space="preserve">חיילים </w:t>
      </w:r>
      <w:bookmarkStart w:id="75324" w:name="_ETM_Q134_277850"/>
      <w:bookmarkEnd w:id="75324"/>
      <w:r>
        <w:rPr>
          <w:rFonts w:hint="cs"/>
          <w:rtl/>
        </w:rPr>
        <w:t xml:space="preserve">צריכים </w:t>
      </w:r>
      <w:bookmarkStart w:id="75325" w:name="_ETM_Q134_279230"/>
      <w:bookmarkEnd w:id="75325"/>
      <w:r>
        <w:rPr>
          <w:rFonts w:hint="cs"/>
          <w:rtl/>
        </w:rPr>
        <w:t>ל</w:t>
      </w:r>
      <w:bookmarkStart w:id="75326" w:name="_ETM_Q134_279980"/>
      <w:bookmarkEnd w:id="75326"/>
      <w:r>
        <w:rPr>
          <w:rFonts w:hint="cs"/>
          <w:rtl/>
        </w:rPr>
        <w:t xml:space="preserve">קבל </w:t>
      </w:r>
      <w:bookmarkStart w:id="75327" w:name="_ETM_Q134_280880"/>
      <w:bookmarkEnd w:id="75327"/>
      <w:r>
        <w:rPr>
          <w:rFonts w:hint="cs"/>
          <w:rtl/>
        </w:rPr>
        <w:t xml:space="preserve">הגנה </w:t>
      </w:r>
      <w:bookmarkStart w:id="75328" w:name="_ETM_Q134_282649"/>
      <w:bookmarkEnd w:id="75328"/>
      <w:r>
        <w:rPr>
          <w:rFonts w:hint="cs"/>
          <w:rtl/>
        </w:rPr>
        <w:t xml:space="preserve">על </w:t>
      </w:r>
      <w:bookmarkStart w:id="75329" w:name="_ETM_Q134_282920"/>
      <w:bookmarkEnd w:id="75329"/>
      <w:r>
        <w:rPr>
          <w:rFonts w:hint="cs"/>
          <w:rtl/>
        </w:rPr>
        <w:t xml:space="preserve">ביצוע </w:t>
      </w:r>
      <w:bookmarkStart w:id="75330" w:name="_ETM_Q134_283640"/>
      <w:bookmarkEnd w:id="75330"/>
      <w:r>
        <w:rPr>
          <w:rFonts w:hint="cs"/>
          <w:rtl/>
        </w:rPr>
        <w:t xml:space="preserve">פשעי </w:t>
      </w:r>
      <w:bookmarkStart w:id="75331" w:name="_ETM_Q134_284119"/>
      <w:bookmarkEnd w:id="75331"/>
      <w:r>
        <w:rPr>
          <w:rFonts w:hint="cs"/>
          <w:rtl/>
        </w:rPr>
        <w:t xml:space="preserve">מלחמה? </w:t>
      </w:r>
      <w:bookmarkStart w:id="75332" w:name="_ETM_Q134_285149"/>
      <w:bookmarkEnd w:id="75332"/>
      <w:r>
        <w:rPr>
          <w:rFonts w:hint="cs"/>
          <w:rtl/>
        </w:rPr>
        <w:t xml:space="preserve">ולמה </w:t>
      </w:r>
      <w:bookmarkStart w:id="75333" w:name="_ETM_Q134_285780"/>
      <w:bookmarkEnd w:id="75333"/>
      <w:r>
        <w:rPr>
          <w:rFonts w:hint="cs"/>
          <w:rtl/>
        </w:rPr>
        <w:t xml:space="preserve">פשעי </w:t>
      </w:r>
      <w:bookmarkStart w:id="75334" w:name="_ETM_Q134_286319"/>
      <w:bookmarkEnd w:id="75334"/>
      <w:r>
        <w:rPr>
          <w:rFonts w:hint="cs"/>
          <w:rtl/>
        </w:rPr>
        <w:t xml:space="preserve">מלחמה </w:t>
      </w:r>
      <w:bookmarkStart w:id="75335" w:name="_ETM_Q134_286950"/>
      <w:bookmarkEnd w:id="75335"/>
      <w:r>
        <w:rPr>
          <w:rFonts w:hint="cs"/>
          <w:rtl/>
        </w:rPr>
        <w:t xml:space="preserve">צריכים </w:t>
      </w:r>
      <w:bookmarkStart w:id="75336" w:name="_ETM_Q134_287490"/>
      <w:bookmarkEnd w:id="75336"/>
      <w:r>
        <w:rPr>
          <w:rFonts w:hint="cs"/>
          <w:rtl/>
        </w:rPr>
        <w:t>להיות?</w:t>
      </w:r>
      <w:r w:rsidR="00D94B83">
        <w:rPr>
          <w:rFonts w:hint="cs"/>
          <w:rtl/>
        </w:rPr>
        <w:t xml:space="preserve"> </w:t>
      </w:r>
      <w:bookmarkStart w:id="75337" w:name="_ETM_Q134_290000"/>
      <w:bookmarkStart w:id="75338" w:name="_ETM_Q134_289150"/>
      <w:bookmarkEnd w:id="75337"/>
      <w:bookmarkEnd w:id="75338"/>
      <w:r>
        <w:rPr>
          <w:rFonts w:hint="cs"/>
          <w:rtl/>
        </w:rPr>
        <w:t xml:space="preserve">אני </w:t>
      </w:r>
      <w:bookmarkStart w:id="75339" w:name="_ETM_Q134_289480"/>
      <w:bookmarkEnd w:id="75339"/>
      <w:r>
        <w:rPr>
          <w:rFonts w:hint="cs"/>
          <w:rtl/>
        </w:rPr>
        <w:t xml:space="preserve">דווקא </w:t>
      </w:r>
      <w:bookmarkStart w:id="75340" w:name="_ETM_Q134_289960"/>
      <w:bookmarkEnd w:id="75340"/>
      <w:r>
        <w:rPr>
          <w:rFonts w:hint="cs"/>
          <w:rtl/>
        </w:rPr>
        <w:t xml:space="preserve">רוצה </w:t>
      </w:r>
      <w:bookmarkStart w:id="75341" w:name="_ETM_Q134_290350"/>
      <w:bookmarkEnd w:id="75341"/>
      <w:r>
        <w:rPr>
          <w:rFonts w:hint="cs"/>
          <w:rtl/>
        </w:rPr>
        <w:t xml:space="preserve">להתעכב </w:t>
      </w:r>
      <w:bookmarkStart w:id="75342" w:name="_ETM_Q134_291159"/>
      <w:bookmarkEnd w:id="75342"/>
      <w:r>
        <w:rPr>
          <w:rFonts w:hint="cs"/>
          <w:rtl/>
        </w:rPr>
        <w:t xml:space="preserve">על </w:t>
      </w:r>
      <w:bookmarkStart w:id="75343" w:name="_ETM_Q134_291370"/>
      <w:bookmarkEnd w:id="75343"/>
      <w:r>
        <w:rPr>
          <w:rFonts w:hint="cs"/>
          <w:rtl/>
        </w:rPr>
        <w:t xml:space="preserve">השחיתות </w:t>
      </w:r>
      <w:bookmarkStart w:id="75344" w:name="_ETM_Q134_292180"/>
      <w:bookmarkEnd w:id="75344"/>
      <w:r>
        <w:rPr>
          <w:rFonts w:hint="cs"/>
          <w:rtl/>
        </w:rPr>
        <w:t xml:space="preserve">הפוליטית </w:t>
      </w:r>
      <w:bookmarkStart w:id="75345" w:name="_ETM_Q134_293050"/>
      <w:bookmarkEnd w:id="75345"/>
      <w:r>
        <w:rPr>
          <w:rFonts w:hint="cs"/>
          <w:rtl/>
        </w:rPr>
        <w:t xml:space="preserve">והמוסרית, </w:t>
      </w:r>
      <w:bookmarkStart w:id="75346" w:name="_ETM_Q134_294869"/>
      <w:bookmarkEnd w:id="75346"/>
      <w:r>
        <w:rPr>
          <w:rFonts w:hint="cs"/>
          <w:rtl/>
        </w:rPr>
        <w:t xml:space="preserve">על </w:t>
      </w:r>
      <w:bookmarkStart w:id="75347" w:name="_ETM_Q134_295170"/>
      <w:bookmarkEnd w:id="75347"/>
      <w:r>
        <w:rPr>
          <w:rFonts w:hint="cs"/>
          <w:rtl/>
        </w:rPr>
        <w:t xml:space="preserve">המדינה </w:t>
      </w:r>
      <w:bookmarkStart w:id="75348" w:name="_ETM_Q134_296009"/>
      <w:bookmarkEnd w:id="75348"/>
      <w:r>
        <w:rPr>
          <w:rFonts w:hint="cs"/>
          <w:rtl/>
        </w:rPr>
        <w:t xml:space="preserve">שהימין </w:t>
      </w:r>
      <w:bookmarkStart w:id="75349" w:name="_ETM_Q134_296850"/>
      <w:bookmarkEnd w:id="75349"/>
      <w:r>
        <w:rPr>
          <w:rFonts w:hint="cs"/>
          <w:rtl/>
        </w:rPr>
        <w:t xml:space="preserve">חותר </w:t>
      </w:r>
      <w:bookmarkStart w:id="75350" w:name="_ETM_Q134_297479"/>
      <w:bookmarkEnd w:id="75350"/>
      <w:r>
        <w:rPr>
          <w:rFonts w:hint="cs"/>
          <w:rtl/>
        </w:rPr>
        <w:t xml:space="preserve">אליה </w:t>
      </w:r>
      <w:bookmarkStart w:id="75351" w:name="_ETM_Q134_297929"/>
      <w:bookmarkEnd w:id="75351"/>
      <w:r>
        <w:rPr>
          <w:rFonts w:hint="cs"/>
          <w:rtl/>
        </w:rPr>
        <w:t xml:space="preserve">בגלוי </w:t>
      </w:r>
      <w:r>
        <w:t>–</w:t>
      </w:r>
      <w:r>
        <w:rPr>
          <w:rFonts w:hint="cs"/>
          <w:rtl/>
        </w:rPr>
        <w:t xml:space="preserve"> </w:t>
      </w:r>
      <w:bookmarkStart w:id="75352" w:name="_ETM_Q134_299249"/>
      <w:bookmarkEnd w:id="75352"/>
      <w:r>
        <w:rPr>
          <w:rFonts w:hint="cs"/>
          <w:rtl/>
        </w:rPr>
        <w:t xml:space="preserve">ישראל </w:t>
      </w:r>
      <w:bookmarkStart w:id="75353" w:name="_ETM_Q134_300479"/>
      <w:bookmarkEnd w:id="75353"/>
      <w:r>
        <w:rPr>
          <w:rFonts w:hint="cs"/>
          <w:rtl/>
        </w:rPr>
        <w:t xml:space="preserve">היהודית </w:t>
      </w:r>
      <w:bookmarkStart w:id="75354" w:name="_ETM_Q134_301719"/>
      <w:bookmarkEnd w:id="75354"/>
      <w:r>
        <w:rPr>
          <w:rFonts w:hint="cs"/>
          <w:rtl/>
        </w:rPr>
        <w:t xml:space="preserve">והסבירה </w:t>
      </w:r>
      <w:bookmarkStart w:id="75355" w:name="_ETM_Q134_302889"/>
      <w:bookmarkEnd w:id="75355"/>
      <w:r>
        <w:rPr>
          <w:rFonts w:hint="cs"/>
          <w:rtl/>
        </w:rPr>
        <w:t xml:space="preserve">בעיני </w:t>
      </w:r>
      <w:bookmarkStart w:id="75356" w:name="_ETM_Q134_303489"/>
      <w:bookmarkEnd w:id="75356"/>
      <w:r>
        <w:rPr>
          <w:rFonts w:hint="cs"/>
          <w:rtl/>
        </w:rPr>
        <w:t xml:space="preserve">שריה. </w:t>
      </w:r>
      <w:bookmarkStart w:id="75357" w:name="_ETM_Q134_304850"/>
      <w:bookmarkEnd w:id="75357"/>
      <w:r>
        <w:rPr>
          <w:rFonts w:hint="cs"/>
          <w:rtl/>
        </w:rPr>
        <w:t xml:space="preserve">וכל </w:t>
      </w:r>
      <w:bookmarkStart w:id="75358" w:name="_ETM_Q134_305659"/>
      <w:bookmarkEnd w:id="75358"/>
      <w:r>
        <w:rPr>
          <w:rFonts w:hint="cs"/>
          <w:rtl/>
        </w:rPr>
        <w:t xml:space="preserve">העיוורון </w:t>
      </w:r>
      <w:bookmarkStart w:id="75359" w:name="_ETM_Q134_306439"/>
      <w:bookmarkEnd w:id="75359"/>
      <w:r>
        <w:rPr>
          <w:rFonts w:hint="cs"/>
          <w:rtl/>
        </w:rPr>
        <w:t xml:space="preserve">של </w:t>
      </w:r>
      <w:bookmarkStart w:id="75360" w:name="_ETM_Q134_306770"/>
      <w:bookmarkEnd w:id="75360"/>
      <w:r>
        <w:rPr>
          <w:rFonts w:hint="cs"/>
          <w:rtl/>
        </w:rPr>
        <w:t xml:space="preserve">רוב </w:t>
      </w:r>
      <w:bookmarkStart w:id="75361" w:name="_ETM_Q134_307280"/>
      <w:bookmarkEnd w:id="75361"/>
      <w:r>
        <w:rPr>
          <w:rFonts w:hint="cs"/>
          <w:rtl/>
        </w:rPr>
        <w:t xml:space="preserve">חוגי </w:t>
      </w:r>
      <w:bookmarkStart w:id="75362" w:name="_ETM_Q134_307820"/>
      <w:bookmarkEnd w:id="75362"/>
      <w:r>
        <w:rPr>
          <w:rFonts w:hint="cs"/>
          <w:rtl/>
        </w:rPr>
        <w:t xml:space="preserve">המחאה, </w:t>
      </w:r>
      <w:bookmarkStart w:id="75363" w:name="_ETM_Q134_309050"/>
      <w:bookmarkEnd w:id="75363"/>
      <w:r>
        <w:rPr>
          <w:rFonts w:hint="cs"/>
          <w:rtl/>
        </w:rPr>
        <w:t xml:space="preserve">שעל </w:t>
      </w:r>
      <w:bookmarkStart w:id="75364" w:name="_ETM_Q134_309710"/>
      <w:bookmarkEnd w:id="75364"/>
      <w:r>
        <w:rPr>
          <w:rFonts w:hint="cs"/>
          <w:rtl/>
        </w:rPr>
        <w:t xml:space="preserve">אף </w:t>
      </w:r>
      <w:bookmarkStart w:id="75365" w:name="_ETM_Q134_310100"/>
      <w:bookmarkEnd w:id="75365"/>
      <w:r>
        <w:rPr>
          <w:rFonts w:hint="cs"/>
          <w:rtl/>
        </w:rPr>
        <w:t xml:space="preserve">עוצמתה </w:t>
      </w:r>
      <w:bookmarkStart w:id="75366" w:name="_ETM_Q134_311460"/>
      <w:bookmarkEnd w:id="75366"/>
      <w:r>
        <w:rPr>
          <w:rFonts w:hint="cs"/>
          <w:rtl/>
        </w:rPr>
        <w:t>ו</w:t>
      </w:r>
      <w:bookmarkStart w:id="75367" w:name="_ETM_Q134_311760"/>
      <w:bookmarkEnd w:id="75367"/>
      <w:r>
        <w:rPr>
          <w:rFonts w:hint="cs"/>
          <w:rtl/>
        </w:rPr>
        <w:t xml:space="preserve">צדקת </w:t>
      </w:r>
      <w:bookmarkStart w:id="75368" w:name="_ETM_Q134_312690"/>
      <w:bookmarkEnd w:id="75368"/>
      <w:r>
        <w:rPr>
          <w:rFonts w:hint="cs"/>
          <w:rtl/>
        </w:rPr>
        <w:t xml:space="preserve">דרישותיה, היא </w:t>
      </w:r>
      <w:bookmarkStart w:id="75369" w:name="_ETM_Q134_314850"/>
      <w:bookmarkEnd w:id="75369"/>
      <w:r>
        <w:rPr>
          <w:rFonts w:hint="cs"/>
          <w:rtl/>
        </w:rPr>
        <w:t xml:space="preserve">מבקשת </w:t>
      </w:r>
      <w:bookmarkStart w:id="75370" w:name="_ETM_Q134_315870"/>
      <w:bookmarkEnd w:id="75370"/>
      <w:r>
        <w:rPr>
          <w:rFonts w:hint="cs"/>
          <w:rtl/>
        </w:rPr>
        <w:t xml:space="preserve">לשמר </w:t>
      </w:r>
      <w:bookmarkStart w:id="75371" w:name="_ETM_Q134_316980"/>
      <w:bookmarkEnd w:id="75371"/>
      <w:r>
        <w:rPr>
          <w:rFonts w:hint="cs"/>
          <w:rtl/>
        </w:rPr>
        <w:t xml:space="preserve">את </w:t>
      </w:r>
      <w:bookmarkStart w:id="75372" w:name="_ETM_Q134_317340"/>
      <w:bookmarkEnd w:id="75372"/>
      <w:r>
        <w:rPr>
          <w:rFonts w:hint="cs"/>
          <w:rtl/>
        </w:rPr>
        <w:t xml:space="preserve">המצב </w:t>
      </w:r>
      <w:bookmarkStart w:id="75373" w:name="_ETM_Q134_318150"/>
      <w:bookmarkEnd w:id="75373"/>
      <w:r>
        <w:rPr>
          <w:rFonts w:hint="cs"/>
          <w:rtl/>
        </w:rPr>
        <w:t xml:space="preserve">הקיים, </w:t>
      </w:r>
      <w:bookmarkStart w:id="75374" w:name="_ETM_Q134_319470"/>
      <w:bookmarkEnd w:id="75374"/>
      <w:r>
        <w:rPr>
          <w:rFonts w:hint="cs"/>
          <w:rtl/>
        </w:rPr>
        <w:t xml:space="preserve">המצב </w:t>
      </w:r>
      <w:bookmarkStart w:id="75375" w:name="_ETM_Q134_320280"/>
      <w:bookmarkEnd w:id="75375"/>
      <w:r>
        <w:rPr>
          <w:rFonts w:hint="cs"/>
          <w:rtl/>
        </w:rPr>
        <w:t xml:space="preserve">הקיים </w:t>
      </w:r>
      <w:bookmarkStart w:id="75376" w:name="_ETM_Q134_321090"/>
      <w:bookmarkEnd w:id="75376"/>
      <w:r>
        <w:rPr>
          <w:rFonts w:hint="cs"/>
          <w:rtl/>
        </w:rPr>
        <w:t xml:space="preserve">של </w:t>
      </w:r>
      <w:bookmarkStart w:id="75377" w:name="_ETM_Q134_321419"/>
      <w:bookmarkEnd w:id="75377"/>
      <w:r>
        <w:rPr>
          <w:rFonts w:hint="cs"/>
          <w:rtl/>
        </w:rPr>
        <w:t xml:space="preserve">אפליה </w:t>
      </w:r>
      <w:bookmarkStart w:id="75378" w:name="_ETM_Q134_322050"/>
      <w:bookmarkEnd w:id="75378"/>
      <w:r>
        <w:rPr>
          <w:rFonts w:hint="cs"/>
          <w:rtl/>
        </w:rPr>
        <w:t xml:space="preserve">גזענית </w:t>
      </w:r>
      <w:bookmarkStart w:id="75379" w:name="_ETM_Q134_323190"/>
      <w:bookmarkEnd w:id="75379"/>
      <w:r>
        <w:rPr>
          <w:rFonts w:hint="cs"/>
          <w:rtl/>
        </w:rPr>
        <w:t>ו</w:t>
      </w:r>
      <w:bookmarkStart w:id="75380" w:name="_ETM_Q134_323459"/>
      <w:bookmarkEnd w:id="75380"/>
      <w:r>
        <w:rPr>
          <w:rFonts w:hint="cs"/>
          <w:rtl/>
        </w:rPr>
        <w:t xml:space="preserve">דמוקרטיה </w:t>
      </w:r>
      <w:bookmarkStart w:id="75381" w:name="_ETM_Q134_324810"/>
      <w:bookmarkEnd w:id="75381"/>
      <w:r>
        <w:rPr>
          <w:rFonts w:hint="cs"/>
          <w:rtl/>
        </w:rPr>
        <w:t xml:space="preserve">ליהודים </w:t>
      </w:r>
      <w:bookmarkStart w:id="75382" w:name="_ETM_Q134_325650"/>
      <w:bookmarkEnd w:id="75382"/>
      <w:r>
        <w:rPr>
          <w:rFonts w:hint="cs"/>
          <w:rtl/>
        </w:rPr>
        <w:t>בלבד.</w:t>
      </w:r>
    </w:p>
    <w:p w:rsidR="00BB59CD" w:rsidRDefault="00BB59CD" w:rsidP="00BB59CD">
      <w:pPr>
        <w:rPr>
          <w:rtl/>
        </w:rPr>
      </w:pPr>
      <w:bookmarkStart w:id="75383" w:name="_ETM_Q134_325000"/>
      <w:bookmarkEnd w:id="75383"/>
    </w:p>
    <w:p w:rsidR="00BB59CD" w:rsidRDefault="00BB59CD" w:rsidP="00D94B83">
      <w:pPr>
        <w:rPr>
          <w:rtl/>
        </w:rPr>
      </w:pPr>
      <w:bookmarkStart w:id="75384" w:name="_ETM_Q134_326000"/>
      <w:bookmarkStart w:id="75385" w:name="_ETM_Q134_327120"/>
      <w:bookmarkEnd w:id="75384"/>
      <w:bookmarkEnd w:id="75385"/>
      <w:r>
        <w:rPr>
          <w:rFonts w:hint="cs"/>
          <w:rtl/>
        </w:rPr>
        <w:t xml:space="preserve">מנמקים </w:t>
      </w:r>
      <w:bookmarkStart w:id="75386" w:name="_ETM_Q134_327870"/>
      <w:bookmarkEnd w:id="75386"/>
      <w:r>
        <w:rPr>
          <w:rFonts w:hint="cs"/>
          <w:rtl/>
        </w:rPr>
        <w:t xml:space="preserve">את </w:t>
      </w:r>
      <w:bookmarkStart w:id="75387" w:name="_ETM_Q134_328050"/>
      <w:bookmarkEnd w:id="75387"/>
      <w:r>
        <w:rPr>
          <w:rFonts w:hint="cs"/>
          <w:rtl/>
        </w:rPr>
        <w:t xml:space="preserve">הצורך </w:t>
      </w:r>
      <w:bookmarkStart w:id="75388" w:name="_ETM_Q134_328830"/>
      <w:bookmarkEnd w:id="75388"/>
      <w:r>
        <w:rPr>
          <w:rFonts w:hint="cs"/>
          <w:rtl/>
        </w:rPr>
        <w:t xml:space="preserve">בעילת </w:t>
      </w:r>
      <w:bookmarkStart w:id="75389" w:name="_ETM_Q134_329490"/>
      <w:bookmarkEnd w:id="75389"/>
      <w:r>
        <w:rPr>
          <w:rFonts w:hint="cs"/>
          <w:rtl/>
        </w:rPr>
        <w:t xml:space="preserve">הסבירות </w:t>
      </w:r>
      <w:bookmarkStart w:id="75390" w:name="_ETM_Q134_330240"/>
      <w:bookmarkEnd w:id="75390"/>
      <w:r>
        <w:rPr>
          <w:rFonts w:hint="cs"/>
          <w:rtl/>
        </w:rPr>
        <w:t xml:space="preserve">בכך </w:t>
      </w:r>
      <w:bookmarkStart w:id="75391" w:name="_ETM_Q134_331629"/>
      <w:bookmarkEnd w:id="75391"/>
      <w:r>
        <w:rPr>
          <w:rFonts w:hint="cs"/>
          <w:rtl/>
        </w:rPr>
        <w:t xml:space="preserve">שלא ייתכן </w:t>
      </w:r>
      <w:bookmarkStart w:id="75392" w:name="_ETM_Q134_332499"/>
      <w:bookmarkEnd w:id="75392"/>
      <w:r>
        <w:rPr>
          <w:rFonts w:hint="cs"/>
          <w:rtl/>
        </w:rPr>
        <w:t xml:space="preserve">כי </w:t>
      </w:r>
      <w:bookmarkStart w:id="75393" w:name="_ETM_Q134_332739"/>
      <w:bookmarkEnd w:id="75393"/>
      <w:r>
        <w:rPr>
          <w:rFonts w:hint="cs"/>
          <w:rtl/>
        </w:rPr>
        <w:t xml:space="preserve">בית </w:t>
      </w:r>
      <w:bookmarkStart w:id="75394" w:name="_ETM_Q134_333099"/>
      <w:bookmarkEnd w:id="75394"/>
      <w:r>
        <w:rPr>
          <w:rFonts w:hint="cs"/>
          <w:rtl/>
        </w:rPr>
        <w:t xml:space="preserve">המשפט </w:t>
      </w:r>
      <w:bookmarkStart w:id="75395" w:name="_ETM_Q134_333790"/>
      <w:bookmarkEnd w:id="75395"/>
      <w:r>
        <w:rPr>
          <w:rFonts w:hint="cs"/>
          <w:rtl/>
        </w:rPr>
        <w:t xml:space="preserve">יחליף </w:t>
      </w:r>
      <w:bookmarkStart w:id="75396" w:name="_ETM_Q134_334480"/>
      <w:bookmarkEnd w:id="75396"/>
      <w:r>
        <w:rPr>
          <w:rFonts w:hint="cs"/>
          <w:rtl/>
        </w:rPr>
        <w:t xml:space="preserve">את </w:t>
      </w:r>
      <w:bookmarkStart w:id="75397" w:name="_ETM_Q134_334659"/>
      <w:bookmarkEnd w:id="75397"/>
      <w:r>
        <w:rPr>
          <w:rFonts w:hint="cs"/>
          <w:rtl/>
        </w:rPr>
        <w:t xml:space="preserve">הכרעת </w:t>
      </w:r>
      <w:bookmarkStart w:id="75398" w:name="_ETM_Q134_335349"/>
      <w:bookmarkEnd w:id="75398"/>
      <w:r>
        <w:rPr>
          <w:rFonts w:hint="cs"/>
          <w:rtl/>
        </w:rPr>
        <w:t xml:space="preserve">העם. </w:t>
      </w:r>
      <w:bookmarkStart w:id="75399" w:name="_ETM_Q134_336799"/>
      <w:bookmarkEnd w:id="75399"/>
      <w:r>
        <w:rPr>
          <w:rFonts w:hint="cs"/>
          <w:rtl/>
        </w:rPr>
        <w:t xml:space="preserve">מדוע </w:t>
      </w:r>
      <w:bookmarkStart w:id="75400" w:name="_ETM_Q134_337430"/>
      <w:bookmarkEnd w:id="75400"/>
      <w:r>
        <w:rPr>
          <w:rFonts w:hint="cs"/>
          <w:rtl/>
        </w:rPr>
        <w:t xml:space="preserve">שהשופט </w:t>
      </w:r>
      <w:bookmarkStart w:id="75401" w:name="_ETM_Q134_338389"/>
      <w:bookmarkEnd w:id="75401"/>
      <w:r>
        <w:rPr>
          <w:rFonts w:hint="cs"/>
          <w:rtl/>
        </w:rPr>
        <w:t xml:space="preserve">יחליט </w:t>
      </w:r>
      <w:bookmarkStart w:id="75402" w:name="_ETM_Q134_339379"/>
      <w:bookmarkEnd w:id="75402"/>
      <w:r>
        <w:rPr>
          <w:rFonts w:hint="cs"/>
          <w:rtl/>
        </w:rPr>
        <w:t xml:space="preserve">מה </w:t>
      </w:r>
      <w:bookmarkStart w:id="75403" w:name="_ETM_Q134_339680"/>
      <w:bookmarkStart w:id="75404" w:name="_ETM_Q134_339829"/>
      <w:bookmarkEnd w:id="75403"/>
      <w:bookmarkEnd w:id="75404"/>
      <w:r>
        <w:rPr>
          <w:rFonts w:hint="cs"/>
          <w:rtl/>
        </w:rPr>
        <w:t xml:space="preserve">סביר </w:t>
      </w:r>
      <w:bookmarkStart w:id="75405" w:name="_ETM_Q134_339989"/>
      <w:bookmarkStart w:id="75406" w:name="_ETM_Q134_340859"/>
      <w:bookmarkEnd w:id="75405"/>
      <w:bookmarkEnd w:id="75406"/>
      <w:r>
        <w:rPr>
          <w:rFonts w:hint="cs"/>
          <w:rtl/>
        </w:rPr>
        <w:t xml:space="preserve">במקום </w:t>
      </w:r>
      <w:bookmarkStart w:id="75407" w:name="_ETM_Q134_341760"/>
      <w:bookmarkEnd w:id="75407"/>
      <w:r>
        <w:rPr>
          <w:rFonts w:hint="cs"/>
          <w:rtl/>
        </w:rPr>
        <w:t xml:space="preserve">נבחר </w:t>
      </w:r>
      <w:bookmarkStart w:id="75408" w:name="_ETM_Q134_342389"/>
      <w:bookmarkEnd w:id="75408"/>
      <w:r>
        <w:rPr>
          <w:rFonts w:hint="cs"/>
          <w:rtl/>
        </w:rPr>
        <w:t xml:space="preserve">ציבור, </w:t>
      </w:r>
      <w:bookmarkStart w:id="75409" w:name="_ETM_Q134_343260"/>
      <w:bookmarkEnd w:id="75409"/>
      <w:r>
        <w:rPr>
          <w:rFonts w:hint="cs"/>
          <w:rtl/>
        </w:rPr>
        <w:t xml:space="preserve">אומרים </w:t>
      </w:r>
      <w:bookmarkStart w:id="75410" w:name="_ETM_Q134_343709"/>
      <w:bookmarkEnd w:id="75410"/>
      <w:r>
        <w:rPr>
          <w:rFonts w:hint="cs"/>
          <w:rtl/>
        </w:rPr>
        <w:t xml:space="preserve">לנו. </w:t>
      </w:r>
      <w:bookmarkStart w:id="75411" w:name="_ETM_Q134_345709"/>
      <w:bookmarkEnd w:id="75411"/>
      <w:r>
        <w:rPr>
          <w:rFonts w:hint="cs"/>
          <w:rtl/>
        </w:rPr>
        <w:t xml:space="preserve">אז </w:t>
      </w:r>
      <w:bookmarkStart w:id="75412" w:name="_ETM_Q134_346260"/>
      <w:bookmarkEnd w:id="75412"/>
      <w:r>
        <w:rPr>
          <w:rFonts w:hint="cs"/>
          <w:rtl/>
        </w:rPr>
        <w:t xml:space="preserve">איזה החלטות </w:t>
      </w:r>
      <w:bookmarkStart w:id="75413" w:name="_ETM_Q134_347220"/>
      <w:bookmarkEnd w:id="75413"/>
      <w:r>
        <w:rPr>
          <w:rFonts w:hint="cs"/>
          <w:rtl/>
        </w:rPr>
        <w:t xml:space="preserve">סבירות </w:t>
      </w:r>
      <w:bookmarkStart w:id="75414" w:name="_ETM_Q134_348150"/>
      <w:bookmarkEnd w:id="75414"/>
      <w:r>
        <w:rPr>
          <w:rFonts w:hint="cs"/>
          <w:rtl/>
        </w:rPr>
        <w:t xml:space="preserve">אנו </w:t>
      </w:r>
      <w:bookmarkStart w:id="75415" w:name="_ETM_Q134_348540"/>
      <w:bookmarkEnd w:id="75415"/>
      <w:r>
        <w:rPr>
          <w:rFonts w:hint="cs"/>
          <w:rtl/>
        </w:rPr>
        <w:t xml:space="preserve">צפויים </w:t>
      </w:r>
      <w:bookmarkStart w:id="75416" w:name="_ETM_Q134_349200"/>
      <w:bookmarkEnd w:id="75416"/>
      <w:r>
        <w:rPr>
          <w:rFonts w:hint="cs"/>
          <w:rtl/>
        </w:rPr>
        <w:t xml:space="preserve">וצפויות </w:t>
      </w:r>
      <w:bookmarkStart w:id="75417" w:name="_ETM_Q134_349950"/>
      <w:bookmarkEnd w:id="75417"/>
      <w:r>
        <w:rPr>
          <w:rFonts w:hint="cs"/>
          <w:rtl/>
        </w:rPr>
        <w:t xml:space="preserve">לקבל </w:t>
      </w:r>
      <w:bookmarkStart w:id="75418" w:name="_ETM_Q134_351030"/>
      <w:bookmarkEnd w:id="75418"/>
      <w:r>
        <w:rPr>
          <w:rFonts w:hint="cs"/>
          <w:rtl/>
        </w:rPr>
        <w:t xml:space="preserve">מממשלת </w:t>
      </w:r>
      <w:bookmarkStart w:id="75419" w:name="_ETM_Q134_352409"/>
      <w:bookmarkEnd w:id="75419"/>
      <w:r>
        <w:rPr>
          <w:rFonts w:hint="cs"/>
          <w:rtl/>
        </w:rPr>
        <w:t xml:space="preserve">נתניהו, </w:t>
      </w:r>
      <w:bookmarkStart w:id="75420" w:name="_ETM_Q134_353489"/>
      <w:bookmarkEnd w:id="75420"/>
      <w:r>
        <w:rPr>
          <w:rFonts w:hint="cs"/>
          <w:rtl/>
        </w:rPr>
        <w:t xml:space="preserve">סמוטריץ' </w:t>
      </w:r>
      <w:bookmarkStart w:id="75421" w:name="_ETM_Q134_354480"/>
      <w:bookmarkEnd w:id="75421"/>
      <w:r>
        <w:rPr>
          <w:rFonts w:hint="cs"/>
          <w:rtl/>
        </w:rPr>
        <w:t xml:space="preserve">ובן </w:t>
      </w:r>
      <w:bookmarkStart w:id="75422" w:name="_ETM_Q134_354720"/>
      <w:bookmarkEnd w:id="75422"/>
      <w:r>
        <w:rPr>
          <w:rFonts w:hint="cs"/>
          <w:rtl/>
        </w:rPr>
        <w:t>גביר?</w:t>
      </w:r>
      <w:bookmarkStart w:id="75423" w:name="_ETM_Q134_355000"/>
      <w:bookmarkStart w:id="75424" w:name="_ETM_Q134_356000"/>
      <w:bookmarkStart w:id="75425" w:name="_ETM_Q134_356519"/>
      <w:bookmarkEnd w:id="75423"/>
      <w:bookmarkEnd w:id="75424"/>
      <w:bookmarkEnd w:id="75425"/>
      <w:r>
        <w:rPr>
          <w:rFonts w:hint="cs"/>
          <w:rtl/>
        </w:rPr>
        <w:t xml:space="preserve"> מי </w:t>
      </w:r>
      <w:bookmarkStart w:id="75426" w:name="_ETM_Q134_356819"/>
      <w:bookmarkEnd w:id="75426"/>
      <w:r>
        <w:rPr>
          <w:rFonts w:hint="cs"/>
          <w:rtl/>
        </w:rPr>
        <w:t xml:space="preserve">שעומד </w:t>
      </w:r>
      <w:bookmarkStart w:id="75427" w:name="_ETM_Q134_357449"/>
      <w:bookmarkEnd w:id="75427"/>
      <w:r>
        <w:rPr>
          <w:rFonts w:hint="cs"/>
          <w:rtl/>
        </w:rPr>
        <w:t xml:space="preserve">בראש </w:t>
      </w:r>
      <w:bookmarkStart w:id="75428" w:name="_ETM_Q134_357930"/>
      <w:bookmarkEnd w:id="75428"/>
      <w:r>
        <w:rPr>
          <w:rFonts w:hint="cs"/>
          <w:rtl/>
        </w:rPr>
        <w:t xml:space="preserve">הממשלה </w:t>
      </w:r>
      <w:bookmarkStart w:id="75429" w:name="_ETM_Q134_358980"/>
      <w:bookmarkEnd w:id="75429"/>
      <w:r>
        <w:rPr>
          <w:rFonts w:hint="cs"/>
          <w:rtl/>
        </w:rPr>
        <w:t xml:space="preserve">הזו </w:t>
      </w:r>
      <w:bookmarkStart w:id="75430" w:name="_ETM_Q134_360280"/>
      <w:bookmarkStart w:id="75431" w:name="_ETM_Q134_360520"/>
      <w:bookmarkEnd w:id="75430"/>
      <w:bookmarkEnd w:id="75431"/>
      <w:r>
        <w:rPr>
          <w:rFonts w:hint="cs"/>
          <w:rtl/>
        </w:rPr>
        <w:t xml:space="preserve">מואשם </w:t>
      </w:r>
      <w:bookmarkStart w:id="75432" w:name="_ETM_Q134_361120"/>
      <w:bookmarkEnd w:id="75432"/>
      <w:r>
        <w:rPr>
          <w:rFonts w:hint="cs"/>
          <w:rtl/>
        </w:rPr>
        <w:t xml:space="preserve">בפלילים, </w:t>
      </w:r>
      <w:bookmarkStart w:id="75433" w:name="_ETM_Q134_362389"/>
      <w:bookmarkEnd w:id="75433"/>
      <w:r w:rsidR="00D94B83">
        <w:rPr>
          <w:rFonts w:hint="cs"/>
          <w:rtl/>
        </w:rPr>
        <w:t>ו</w:t>
      </w:r>
      <w:r>
        <w:rPr>
          <w:rFonts w:hint="cs"/>
          <w:rtl/>
        </w:rPr>
        <w:t xml:space="preserve">לפני </w:t>
      </w:r>
      <w:bookmarkStart w:id="75434" w:name="_ETM_Q134_362989"/>
      <w:bookmarkStart w:id="75435" w:name="_ETM_Q134_363620"/>
      <w:bookmarkEnd w:id="75434"/>
      <w:bookmarkEnd w:id="75435"/>
      <w:r>
        <w:rPr>
          <w:rFonts w:hint="cs"/>
          <w:rtl/>
        </w:rPr>
        <w:t xml:space="preserve">שמונה שנים </w:t>
      </w:r>
      <w:bookmarkStart w:id="75436" w:name="_ETM_Q134_364750"/>
      <w:bookmarkEnd w:id="75436"/>
      <w:r>
        <w:rPr>
          <w:rFonts w:hint="cs"/>
          <w:rtl/>
        </w:rPr>
        <w:t xml:space="preserve">עמד </w:t>
      </w:r>
      <w:bookmarkStart w:id="75437" w:name="_ETM_Q134_365260"/>
      <w:bookmarkEnd w:id="75437"/>
      <w:r>
        <w:rPr>
          <w:rFonts w:hint="cs"/>
          <w:rtl/>
        </w:rPr>
        <w:t xml:space="preserve">והפחיד </w:t>
      </w:r>
      <w:bookmarkStart w:id="75438" w:name="_ETM_Q134_366040"/>
      <w:bookmarkEnd w:id="75438"/>
      <w:r>
        <w:rPr>
          <w:rFonts w:hint="cs"/>
          <w:rtl/>
        </w:rPr>
        <w:t xml:space="preserve">את </w:t>
      </w:r>
      <w:bookmarkStart w:id="75439" w:name="_ETM_Q134_366220"/>
      <w:bookmarkEnd w:id="75439"/>
      <w:r>
        <w:rPr>
          <w:rFonts w:hint="cs"/>
          <w:rtl/>
        </w:rPr>
        <w:t xml:space="preserve">היהודים </w:t>
      </w:r>
      <w:bookmarkStart w:id="75440" w:name="_ETM_Q134_367180"/>
      <w:bookmarkEnd w:id="75440"/>
      <w:r>
        <w:rPr>
          <w:rFonts w:hint="cs"/>
          <w:rtl/>
        </w:rPr>
        <w:t xml:space="preserve">מפני </w:t>
      </w:r>
      <w:bookmarkStart w:id="75441" w:name="_ETM_Q134_367540"/>
      <w:bookmarkEnd w:id="75441"/>
      <w:r>
        <w:rPr>
          <w:rFonts w:hint="cs"/>
          <w:rtl/>
        </w:rPr>
        <w:t xml:space="preserve">האזרחים </w:t>
      </w:r>
      <w:bookmarkStart w:id="75442" w:name="_ETM_Q134_368350"/>
      <w:bookmarkEnd w:id="75442"/>
      <w:r>
        <w:rPr>
          <w:rFonts w:hint="cs"/>
          <w:rtl/>
        </w:rPr>
        <w:t>הערבים</w:t>
      </w:r>
      <w:bookmarkStart w:id="75443" w:name="_ETM_Q134_369580"/>
      <w:bookmarkEnd w:id="75443"/>
      <w:r>
        <w:rPr>
          <w:rFonts w:hint="cs"/>
          <w:rtl/>
        </w:rPr>
        <w:t xml:space="preserve"> שנוהרים </w:t>
      </w:r>
      <w:bookmarkStart w:id="75444" w:name="_ETM_Q134_370630"/>
      <w:bookmarkEnd w:id="75444"/>
      <w:r>
        <w:rPr>
          <w:rFonts w:hint="cs"/>
          <w:rtl/>
        </w:rPr>
        <w:t xml:space="preserve">באוטובוסים </w:t>
      </w:r>
      <w:bookmarkStart w:id="75445" w:name="_ETM_Q134_371650"/>
      <w:bookmarkEnd w:id="75445"/>
      <w:r>
        <w:rPr>
          <w:rFonts w:hint="cs"/>
          <w:rtl/>
        </w:rPr>
        <w:t xml:space="preserve">לקלפיות </w:t>
      </w:r>
      <w:bookmarkStart w:id="75446" w:name="_ETM_Q134_373060"/>
      <w:bookmarkStart w:id="75447" w:name="_ETM_Q134_373270"/>
      <w:bookmarkStart w:id="75448" w:name="_ETM_Q134_373930"/>
      <w:bookmarkEnd w:id="75446"/>
      <w:bookmarkEnd w:id="75447"/>
      <w:bookmarkEnd w:id="75448"/>
      <w:r>
        <w:rPr>
          <w:rFonts w:hint="cs"/>
          <w:rtl/>
        </w:rPr>
        <w:t xml:space="preserve">ושיקר במצח </w:t>
      </w:r>
      <w:bookmarkStart w:id="75449" w:name="_ETM_Q134_374650"/>
      <w:bookmarkEnd w:id="75449"/>
      <w:r>
        <w:rPr>
          <w:rFonts w:hint="cs"/>
          <w:rtl/>
        </w:rPr>
        <w:t xml:space="preserve">נחושה </w:t>
      </w:r>
      <w:bookmarkStart w:id="75450" w:name="_ETM_Q134_376000"/>
      <w:bookmarkEnd w:id="75450"/>
      <w:r>
        <w:rPr>
          <w:rFonts w:hint="cs"/>
          <w:rtl/>
        </w:rPr>
        <w:t xml:space="preserve">שהנהגת </w:t>
      </w:r>
      <w:bookmarkStart w:id="75451" w:name="_ETM_Q134_376600"/>
      <w:bookmarkStart w:id="75452" w:name="_ETM_Q134_376960"/>
      <w:bookmarkEnd w:id="75451"/>
      <w:bookmarkEnd w:id="75452"/>
      <w:r>
        <w:rPr>
          <w:rFonts w:hint="cs"/>
          <w:rtl/>
        </w:rPr>
        <w:t xml:space="preserve">הציבור </w:t>
      </w:r>
      <w:bookmarkStart w:id="75453" w:name="_ETM_Q134_377620"/>
      <w:bookmarkEnd w:id="75453"/>
      <w:r>
        <w:rPr>
          <w:rFonts w:hint="cs"/>
          <w:rtl/>
        </w:rPr>
        <w:t xml:space="preserve">הערבי </w:t>
      </w:r>
      <w:bookmarkStart w:id="75454" w:name="_ETM_Q134_378800"/>
      <w:bookmarkEnd w:id="75454"/>
      <w:r>
        <w:rPr>
          <w:rFonts w:hint="cs"/>
          <w:rtl/>
        </w:rPr>
        <w:t xml:space="preserve">הולכת </w:t>
      </w:r>
      <w:bookmarkStart w:id="75455" w:name="_ETM_Q134_379520"/>
      <w:bookmarkEnd w:id="75455"/>
      <w:r>
        <w:rPr>
          <w:rFonts w:hint="cs"/>
          <w:rtl/>
        </w:rPr>
        <w:t xml:space="preserve">תחת </w:t>
      </w:r>
      <w:bookmarkStart w:id="75456" w:name="_ETM_Q134_380030"/>
      <w:bookmarkEnd w:id="75456"/>
      <w:r>
        <w:rPr>
          <w:rFonts w:hint="cs"/>
          <w:rtl/>
        </w:rPr>
        <w:t xml:space="preserve">דגלי </w:t>
      </w:r>
      <w:bookmarkStart w:id="75457" w:name="_ETM_Q134_380630"/>
      <w:bookmarkEnd w:id="75457"/>
      <w:r>
        <w:rPr>
          <w:rFonts w:hint="cs"/>
          <w:rtl/>
        </w:rPr>
        <w:t xml:space="preserve">דאעש. </w:t>
      </w:r>
      <w:bookmarkStart w:id="75458" w:name="_ETM_Q134_381990"/>
      <w:bookmarkEnd w:id="75458"/>
      <w:r>
        <w:rPr>
          <w:rFonts w:hint="cs"/>
          <w:rtl/>
        </w:rPr>
        <w:t xml:space="preserve">סביר, </w:t>
      </w:r>
      <w:bookmarkStart w:id="75459" w:name="_ETM_Q134_382770"/>
      <w:bookmarkEnd w:id="75459"/>
      <w:r>
        <w:rPr>
          <w:rFonts w:hint="cs"/>
          <w:rtl/>
        </w:rPr>
        <w:t xml:space="preserve">לא? </w:t>
      </w:r>
      <w:bookmarkStart w:id="75460" w:name="_ETM_Q134_384380"/>
      <w:bookmarkEnd w:id="75460"/>
      <w:r>
        <w:rPr>
          <w:rFonts w:hint="cs"/>
          <w:rtl/>
        </w:rPr>
        <w:t xml:space="preserve">כנראה </w:t>
      </w:r>
      <w:bookmarkStart w:id="75461" w:name="_ETM_Q134_385070"/>
      <w:bookmarkStart w:id="75462" w:name="_ETM_Q134_385310"/>
      <w:bookmarkEnd w:id="75461"/>
      <w:bookmarkEnd w:id="75462"/>
      <w:r>
        <w:rPr>
          <w:rFonts w:hint="cs"/>
          <w:rtl/>
        </w:rPr>
        <w:t>סביר.</w:t>
      </w:r>
    </w:p>
    <w:p w:rsidR="00BB59CD" w:rsidRDefault="00BB59CD" w:rsidP="00BB59CD">
      <w:pPr>
        <w:rPr>
          <w:rtl/>
        </w:rPr>
      </w:pPr>
      <w:bookmarkStart w:id="75463" w:name="_ETM_Q134_385000"/>
      <w:bookmarkEnd w:id="75463"/>
    </w:p>
    <w:p w:rsidR="00BB59CD" w:rsidRDefault="00BB59CD" w:rsidP="00BB59CD">
      <w:pPr>
        <w:rPr>
          <w:rtl/>
        </w:rPr>
      </w:pPr>
      <w:bookmarkStart w:id="75464" w:name="_ETM_Q134_386000"/>
      <w:bookmarkStart w:id="75465" w:name="_ETM_Q134_387110"/>
      <w:bookmarkEnd w:id="75464"/>
      <w:bookmarkEnd w:id="75465"/>
      <w:r>
        <w:rPr>
          <w:rFonts w:hint="cs"/>
          <w:rtl/>
        </w:rPr>
        <w:t xml:space="preserve">בראש </w:t>
      </w:r>
      <w:bookmarkStart w:id="75466" w:name="_ETM_Q134_387620"/>
      <w:bookmarkEnd w:id="75466"/>
      <w:r>
        <w:rPr>
          <w:rFonts w:hint="cs"/>
          <w:rtl/>
        </w:rPr>
        <w:t xml:space="preserve">משרד </w:t>
      </w:r>
      <w:bookmarkStart w:id="75467" w:name="_ETM_Q134_388280"/>
      <w:bookmarkEnd w:id="75467"/>
      <w:r>
        <w:rPr>
          <w:rFonts w:hint="cs"/>
          <w:rtl/>
        </w:rPr>
        <w:t xml:space="preserve">האנרגיה </w:t>
      </w:r>
      <w:bookmarkStart w:id="75468" w:name="_ETM_Q134_389180"/>
      <w:bookmarkEnd w:id="75468"/>
      <w:r>
        <w:rPr>
          <w:rFonts w:hint="cs"/>
          <w:rtl/>
        </w:rPr>
        <w:t xml:space="preserve">של </w:t>
      </w:r>
      <w:bookmarkStart w:id="75469" w:name="_ETM_Q134_389630"/>
      <w:bookmarkEnd w:id="75469"/>
      <w:r>
        <w:rPr>
          <w:rFonts w:hint="cs"/>
          <w:rtl/>
        </w:rPr>
        <w:t xml:space="preserve">הממשלה </w:t>
      </w:r>
      <w:bookmarkStart w:id="75470" w:name="_ETM_Q134_390320"/>
      <w:bookmarkEnd w:id="75470"/>
      <w:r>
        <w:rPr>
          <w:rFonts w:hint="cs"/>
          <w:rtl/>
        </w:rPr>
        <w:t>הזו</w:t>
      </w:r>
      <w:bookmarkStart w:id="75471" w:name="_ETM_Q134_390740"/>
      <w:bookmarkEnd w:id="75471"/>
      <w:r>
        <w:rPr>
          <w:rFonts w:hint="cs"/>
          <w:rtl/>
        </w:rPr>
        <w:t xml:space="preserve">, של </w:t>
      </w:r>
      <w:bookmarkStart w:id="75472" w:name="_ETM_Q134_391040"/>
      <w:bookmarkEnd w:id="75472"/>
      <w:r>
        <w:rPr>
          <w:rFonts w:hint="cs"/>
          <w:rtl/>
        </w:rPr>
        <w:t xml:space="preserve">ישראל </w:t>
      </w:r>
      <w:bookmarkStart w:id="75473" w:name="_ETM_Q134_392010"/>
      <w:bookmarkEnd w:id="75473"/>
      <w:r>
        <w:rPr>
          <w:rFonts w:hint="cs"/>
          <w:rtl/>
        </w:rPr>
        <w:t>2023</w:t>
      </w:r>
      <w:bookmarkStart w:id="75474" w:name="_ETM_Q134_394540"/>
      <w:bookmarkEnd w:id="75474"/>
      <w:r>
        <w:rPr>
          <w:rFonts w:hint="cs"/>
          <w:rtl/>
        </w:rPr>
        <w:t xml:space="preserve">, עומד </w:t>
      </w:r>
      <w:bookmarkStart w:id="75475" w:name="_ETM_Q134_395019"/>
      <w:bookmarkEnd w:id="75475"/>
      <w:r>
        <w:rPr>
          <w:rFonts w:hint="cs"/>
          <w:rtl/>
        </w:rPr>
        <w:t xml:space="preserve">השר </w:t>
      </w:r>
      <w:bookmarkStart w:id="75476" w:name="_ETM_Q134_395589"/>
      <w:bookmarkEnd w:id="75476"/>
      <w:r>
        <w:rPr>
          <w:rFonts w:hint="cs"/>
          <w:rtl/>
        </w:rPr>
        <w:t xml:space="preserve">ישראל </w:t>
      </w:r>
      <w:bookmarkStart w:id="75477" w:name="_ETM_Q134_396279"/>
      <w:bookmarkEnd w:id="75477"/>
      <w:r>
        <w:rPr>
          <w:rFonts w:hint="cs"/>
          <w:rtl/>
        </w:rPr>
        <w:t xml:space="preserve">כץ, </w:t>
      </w:r>
      <w:bookmarkStart w:id="75478" w:name="_ETM_Q134_397300"/>
      <w:bookmarkEnd w:id="75478"/>
      <w:r>
        <w:rPr>
          <w:rFonts w:hint="cs"/>
          <w:rtl/>
        </w:rPr>
        <w:t xml:space="preserve">שאיים </w:t>
      </w:r>
      <w:bookmarkStart w:id="75479" w:name="_ETM_Q134_398170"/>
      <w:bookmarkEnd w:id="75479"/>
      <w:r>
        <w:rPr>
          <w:rFonts w:hint="cs"/>
          <w:rtl/>
        </w:rPr>
        <w:t xml:space="preserve">מעל </w:t>
      </w:r>
      <w:bookmarkStart w:id="75480" w:name="_ETM_Q134_398680"/>
      <w:bookmarkEnd w:id="75480"/>
      <w:r>
        <w:rPr>
          <w:rFonts w:hint="cs"/>
          <w:rtl/>
        </w:rPr>
        <w:t xml:space="preserve">הבמה </w:t>
      </w:r>
      <w:bookmarkStart w:id="75481" w:name="_ETM_Q134_399459"/>
      <w:bookmarkEnd w:id="75481"/>
      <w:r>
        <w:rPr>
          <w:rFonts w:hint="cs"/>
          <w:rtl/>
        </w:rPr>
        <w:t xml:space="preserve">הזו </w:t>
      </w:r>
      <w:bookmarkStart w:id="75482" w:name="_ETM_Q134_400540"/>
      <w:bookmarkEnd w:id="75482"/>
      <w:r>
        <w:rPr>
          <w:rFonts w:hint="cs"/>
          <w:rtl/>
        </w:rPr>
        <w:t xml:space="preserve">בנכבה </w:t>
      </w:r>
      <w:bookmarkStart w:id="75483" w:name="_ETM_Q134_401109"/>
      <w:bookmarkEnd w:id="75483"/>
      <w:r>
        <w:rPr>
          <w:rFonts w:hint="cs"/>
          <w:rtl/>
        </w:rPr>
        <w:t xml:space="preserve">שנייה. </w:t>
      </w:r>
      <w:bookmarkStart w:id="75484" w:name="_ETM_Q134_402760"/>
      <w:bookmarkEnd w:id="75484"/>
      <w:r>
        <w:rPr>
          <w:rFonts w:hint="cs"/>
          <w:rtl/>
        </w:rPr>
        <w:t xml:space="preserve">זכרו </w:t>
      </w:r>
      <w:bookmarkStart w:id="75485" w:name="_ETM_Q134_403620"/>
      <w:bookmarkEnd w:id="75485"/>
      <w:r>
        <w:rPr>
          <w:rFonts w:hint="cs"/>
          <w:rtl/>
        </w:rPr>
        <w:t xml:space="preserve">את </w:t>
      </w:r>
      <w:bookmarkStart w:id="75486" w:name="_ETM_Q134_403919"/>
      <w:bookmarkEnd w:id="75486"/>
      <w:r>
        <w:rPr>
          <w:rFonts w:hint="cs"/>
          <w:rtl/>
        </w:rPr>
        <w:t xml:space="preserve">1948, </w:t>
      </w:r>
      <w:bookmarkStart w:id="75487" w:name="_ETM_Q134_406559"/>
      <w:bookmarkEnd w:id="75487"/>
      <w:r>
        <w:rPr>
          <w:rFonts w:hint="cs"/>
          <w:rtl/>
        </w:rPr>
        <w:t xml:space="preserve">אמר </w:t>
      </w:r>
      <w:bookmarkStart w:id="75488" w:name="_ETM_Q134_406980"/>
      <w:bookmarkEnd w:id="75488"/>
      <w:r>
        <w:rPr>
          <w:rFonts w:hint="cs"/>
          <w:rtl/>
        </w:rPr>
        <w:t xml:space="preserve">לנו. </w:t>
      </w:r>
      <w:bookmarkStart w:id="75489" w:name="_ETM_Q134_408370"/>
      <w:bookmarkStart w:id="75490" w:name="_ETM_Q134_408519"/>
      <w:bookmarkStart w:id="75491" w:name="_ETM_Q134_408700"/>
      <w:bookmarkEnd w:id="75489"/>
      <w:bookmarkEnd w:id="75490"/>
      <w:bookmarkEnd w:id="75491"/>
      <w:r>
        <w:rPr>
          <w:rFonts w:hint="cs"/>
          <w:rtl/>
        </w:rPr>
        <w:t xml:space="preserve">זכרו את </w:t>
      </w:r>
      <w:bookmarkStart w:id="75492" w:name="_ETM_Q134_410000"/>
      <w:bookmarkEnd w:id="75492"/>
      <w:r>
        <w:rPr>
          <w:rFonts w:hint="cs"/>
          <w:rtl/>
        </w:rPr>
        <w:t xml:space="preserve">מלחמת </w:t>
      </w:r>
      <w:bookmarkStart w:id="75493" w:name="_ETM_Q134_408970"/>
      <w:bookmarkStart w:id="75494" w:name="_ETM_Q134_409090"/>
      <w:bookmarkStart w:id="75495" w:name="_ETM_Q134_409569"/>
      <w:bookmarkStart w:id="75496" w:name="_ETM_Q134_409750"/>
      <w:bookmarkEnd w:id="75493"/>
      <w:bookmarkEnd w:id="75494"/>
      <w:bookmarkEnd w:id="75495"/>
      <w:bookmarkEnd w:id="75496"/>
      <w:r>
        <w:rPr>
          <w:rFonts w:hint="cs"/>
          <w:rtl/>
        </w:rPr>
        <w:t xml:space="preserve">העצמאות </w:t>
      </w:r>
      <w:bookmarkStart w:id="75497" w:name="_ETM_Q134_410650"/>
      <w:bookmarkEnd w:id="75497"/>
      <w:r>
        <w:rPr>
          <w:rFonts w:hint="cs"/>
          <w:rtl/>
        </w:rPr>
        <w:t xml:space="preserve">שלנו </w:t>
      </w:r>
      <w:bookmarkStart w:id="75498" w:name="_ETM_Q134_411760"/>
      <w:bookmarkEnd w:id="75498"/>
      <w:r>
        <w:rPr>
          <w:rFonts w:hint="cs"/>
          <w:rtl/>
        </w:rPr>
        <w:t xml:space="preserve">והנכבה </w:t>
      </w:r>
      <w:bookmarkStart w:id="75499" w:name="_ETM_Q134_412780"/>
      <w:bookmarkEnd w:id="75499"/>
      <w:r>
        <w:rPr>
          <w:rFonts w:hint="cs"/>
          <w:rtl/>
        </w:rPr>
        <w:t xml:space="preserve">שלכם. </w:t>
      </w:r>
      <w:bookmarkStart w:id="75500" w:name="_ETM_Q134_414099"/>
      <w:bookmarkEnd w:id="75500"/>
      <w:r>
        <w:rPr>
          <w:rFonts w:hint="cs"/>
          <w:rtl/>
        </w:rPr>
        <w:t xml:space="preserve">תשאלו </w:t>
      </w:r>
      <w:bookmarkStart w:id="75501" w:name="_ETM_Q134_414940"/>
      <w:bookmarkStart w:id="75502" w:name="_ETM_Q134_415000"/>
      <w:bookmarkEnd w:id="75501"/>
      <w:bookmarkEnd w:id="75502"/>
      <w:r>
        <w:rPr>
          <w:rFonts w:hint="cs"/>
          <w:rtl/>
        </w:rPr>
        <w:t>את ה</w:t>
      </w:r>
      <w:bookmarkStart w:id="75503" w:name="_ETM_Q134_415300"/>
      <w:bookmarkEnd w:id="75503"/>
      <w:r>
        <w:rPr>
          <w:rFonts w:hint="cs"/>
          <w:rtl/>
        </w:rPr>
        <w:t xml:space="preserve">מבוגרים </w:t>
      </w:r>
      <w:bookmarkStart w:id="75504" w:name="_ETM_Q134_416140"/>
      <w:bookmarkEnd w:id="75504"/>
      <w:r>
        <w:rPr>
          <w:rFonts w:hint="cs"/>
          <w:rtl/>
        </w:rPr>
        <w:t xml:space="preserve">אצלכם, </w:t>
      </w:r>
      <w:bookmarkStart w:id="75505" w:name="_ETM_Q134_417299"/>
      <w:bookmarkEnd w:id="75505"/>
      <w:r>
        <w:rPr>
          <w:rFonts w:hint="cs"/>
          <w:rtl/>
        </w:rPr>
        <w:t xml:space="preserve">את </w:t>
      </w:r>
      <w:bookmarkStart w:id="75506" w:name="_ETM_Q134_417689"/>
      <w:bookmarkEnd w:id="75506"/>
      <w:r>
        <w:rPr>
          <w:rFonts w:hint="cs"/>
          <w:rtl/>
        </w:rPr>
        <w:t xml:space="preserve">הסבתות </w:t>
      </w:r>
      <w:bookmarkStart w:id="75507" w:name="_ETM_Q134_418799"/>
      <w:bookmarkEnd w:id="75507"/>
      <w:r>
        <w:rPr>
          <w:rFonts w:hint="cs"/>
          <w:rtl/>
        </w:rPr>
        <w:t xml:space="preserve">והסבים, </w:t>
      </w:r>
      <w:bookmarkStart w:id="75508" w:name="_ETM_Q134_420330"/>
      <w:bookmarkEnd w:id="75508"/>
      <w:r>
        <w:rPr>
          <w:rFonts w:hint="cs"/>
          <w:rtl/>
        </w:rPr>
        <w:t xml:space="preserve">אמר </w:t>
      </w:r>
      <w:bookmarkStart w:id="75509" w:name="_ETM_Q134_420810"/>
      <w:bookmarkEnd w:id="75509"/>
      <w:r>
        <w:rPr>
          <w:rFonts w:hint="cs"/>
          <w:rtl/>
        </w:rPr>
        <w:t xml:space="preserve">לנו. </w:t>
      </w:r>
      <w:bookmarkStart w:id="75510" w:name="_ETM_Q134_421980"/>
      <w:bookmarkEnd w:id="75510"/>
      <w:r>
        <w:rPr>
          <w:rFonts w:hint="cs"/>
          <w:rtl/>
        </w:rPr>
        <w:t xml:space="preserve">במדינת </w:t>
      </w:r>
      <w:bookmarkStart w:id="75511" w:name="_ETM_Q134_422849"/>
      <w:bookmarkEnd w:id="75511"/>
      <w:r>
        <w:rPr>
          <w:rFonts w:hint="cs"/>
          <w:rtl/>
        </w:rPr>
        <w:t xml:space="preserve">העליונות </w:t>
      </w:r>
      <w:bookmarkStart w:id="75512" w:name="_ETM_Q134_423780"/>
      <w:bookmarkEnd w:id="75512"/>
      <w:r>
        <w:rPr>
          <w:rFonts w:hint="cs"/>
          <w:rtl/>
        </w:rPr>
        <w:t xml:space="preserve">היהודית </w:t>
      </w:r>
      <w:bookmarkStart w:id="75513" w:name="_ETM_Q134_424920"/>
      <w:bookmarkStart w:id="75514" w:name="_ETM_Q134_425550"/>
      <w:bookmarkEnd w:id="75513"/>
      <w:bookmarkEnd w:id="75514"/>
      <w:r>
        <w:rPr>
          <w:rFonts w:hint="cs"/>
          <w:rtl/>
        </w:rPr>
        <w:t xml:space="preserve"> מדוע זה </w:t>
      </w:r>
      <w:bookmarkStart w:id="75515" w:name="_ETM_Q134_425760"/>
      <w:bookmarkEnd w:id="75515"/>
      <w:r>
        <w:rPr>
          <w:rFonts w:hint="cs"/>
          <w:rtl/>
        </w:rPr>
        <w:t xml:space="preserve">לא </w:t>
      </w:r>
      <w:bookmarkStart w:id="75516" w:name="_ETM_Q134_425970"/>
      <w:bookmarkEnd w:id="75516"/>
      <w:r>
        <w:rPr>
          <w:rFonts w:hint="cs"/>
          <w:rtl/>
        </w:rPr>
        <w:t xml:space="preserve">סביר? </w:t>
      </w:r>
      <w:bookmarkStart w:id="75517" w:name="_ETM_Q134_427110"/>
      <w:bookmarkEnd w:id="75517"/>
      <w:r>
        <w:rPr>
          <w:rFonts w:hint="cs"/>
          <w:rtl/>
        </w:rPr>
        <w:t xml:space="preserve">סביר </w:t>
      </w:r>
      <w:bookmarkStart w:id="75518" w:name="_ETM_Q134_427739"/>
      <w:bookmarkEnd w:id="75518"/>
      <w:r>
        <w:rPr>
          <w:rFonts w:hint="cs"/>
          <w:rtl/>
        </w:rPr>
        <w:t xml:space="preserve">ועוד </w:t>
      </w:r>
      <w:bookmarkStart w:id="75519" w:name="_ETM_Q134_428220"/>
      <w:bookmarkEnd w:id="75519"/>
      <w:r>
        <w:rPr>
          <w:rFonts w:hint="cs"/>
          <w:rtl/>
        </w:rPr>
        <w:t>איך.</w:t>
      </w:r>
    </w:p>
    <w:p w:rsidR="00BB59CD" w:rsidRDefault="00BB59CD" w:rsidP="00BB59CD">
      <w:pPr>
        <w:rPr>
          <w:rtl/>
        </w:rPr>
      </w:pPr>
    </w:p>
    <w:p w:rsidR="00BB59CD" w:rsidRDefault="00BB59CD" w:rsidP="00BB59CD">
      <w:pPr>
        <w:rPr>
          <w:rtl/>
        </w:rPr>
      </w:pPr>
      <w:bookmarkStart w:id="75520" w:name="_ETM_Q134_426000"/>
      <w:bookmarkStart w:id="75521" w:name="_ETM_Q134_429629"/>
      <w:bookmarkEnd w:id="75520"/>
      <w:bookmarkEnd w:id="75521"/>
      <w:r>
        <w:rPr>
          <w:rFonts w:hint="cs"/>
          <w:rtl/>
        </w:rPr>
        <w:t xml:space="preserve">גם </w:t>
      </w:r>
      <w:bookmarkStart w:id="75522" w:name="_ETM_Q134_429989"/>
      <w:bookmarkStart w:id="75523" w:name="_ETM_Q134_430650"/>
      <w:bookmarkEnd w:id="75522"/>
      <w:bookmarkEnd w:id="75523"/>
      <w:r>
        <w:rPr>
          <w:rFonts w:hint="cs"/>
          <w:rtl/>
        </w:rPr>
        <w:t xml:space="preserve">השר האמון </w:t>
      </w:r>
      <w:bookmarkStart w:id="75524" w:name="_ETM_Q134_431280"/>
      <w:bookmarkEnd w:id="75524"/>
      <w:r>
        <w:rPr>
          <w:rFonts w:hint="cs"/>
          <w:rtl/>
        </w:rPr>
        <w:t xml:space="preserve">על </w:t>
      </w:r>
      <w:bookmarkStart w:id="75525" w:name="_ETM_Q134_431670"/>
      <w:bookmarkEnd w:id="75525"/>
      <w:r>
        <w:rPr>
          <w:rFonts w:hint="cs"/>
          <w:rtl/>
        </w:rPr>
        <w:t xml:space="preserve">הביטחון, </w:t>
      </w:r>
      <w:bookmarkStart w:id="75526" w:name="_ETM_Q134_433000"/>
      <w:bookmarkEnd w:id="75526"/>
      <w:r>
        <w:rPr>
          <w:rFonts w:hint="cs"/>
          <w:rtl/>
        </w:rPr>
        <w:t xml:space="preserve">זה </w:t>
      </w:r>
      <w:bookmarkStart w:id="75527" w:name="_ETM_Q134_433480"/>
      <w:bookmarkStart w:id="75528" w:name="_ETM_Q134_433870"/>
      <w:bookmarkStart w:id="75529" w:name="_ETM_Q134_434140"/>
      <w:bookmarkStart w:id="75530" w:name="_ETM_Q134_434439"/>
      <w:bookmarkEnd w:id="75527"/>
      <w:bookmarkEnd w:id="75528"/>
      <w:bookmarkEnd w:id="75529"/>
      <w:bookmarkEnd w:id="75530"/>
      <w:r>
        <w:rPr>
          <w:rFonts w:hint="cs"/>
          <w:rtl/>
        </w:rPr>
        <w:t xml:space="preserve">שלמענו יצאו </w:t>
      </w:r>
      <w:bookmarkStart w:id="75531" w:name="_ETM_Q134_435129"/>
      <w:bookmarkEnd w:id="75531"/>
      <w:r>
        <w:rPr>
          <w:rFonts w:hint="cs"/>
          <w:rtl/>
        </w:rPr>
        <w:t xml:space="preserve">המונים </w:t>
      </w:r>
      <w:bookmarkStart w:id="75532" w:name="_ETM_Q134_435730"/>
      <w:bookmarkEnd w:id="75532"/>
      <w:r>
        <w:rPr>
          <w:rFonts w:hint="cs"/>
          <w:rtl/>
        </w:rPr>
        <w:t xml:space="preserve">לרחובות </w:t>
      </w:r>
      <w:bookmarkStart w:id="75533" w:name="_ETM_Q134_437270"/>
      <w:bookmarkStart w:id="75534" w:name="_ETM_Q134_437689"/>
      <w:bookmarkEnd w:id="75533"/>
      <w:bookmarkEnd w:id="75534"/>
      <w:r>
        <w:rPr>
          <w:rFonts w:hint="cs"/>
          <w:rtl/>
        </w:rPr>
        <w:t xml:space="preserve">כשפוטר </w:t>
      </w:r>
      <w:bookmarkStart w:id="75535" w:name="_ETM_Q134_438289"/>
      <w:bookmarkEnd w:id="75535"/>
      <w:r>
        <w:rPr>
          <w:rFonts w:hint="cs"/>
          <w:rtl/>
        </w:rPr>
        <w:t xml:space="preserve">על ידי </w:t>
      </w:r>
      <w:bookmarkStart w:id="75536" w:name="_ETM_Q134_438830"/>
      <w:bookmarkEnd w:id="75536"/>
      <w:r>
        <w:rPr>
          <w:rFonts w:hint="cs"/>
          <w:rtl/>
        </w:rPr>
        <w:t xml:space="preserve">נתניהו, </w:t>
      </w:r>
      <w:bookmarkStart w:id="75537" w:name="_ETM_Q134_440089"/>
      <w:bookmarkEnd w:id="75537"/>
      <w:r>
        <w:rPr>
          <w:rFonts w:hint="cs"/>
          <w:rtl/>
        </w:rPr>
        <w:t xml:space="preserve">לא </w:t>
      </w:r>
      <w:bookmarkStart w:id="75538" w:name="_ETM_Q134_440509"/>
      <w:bookmarkEnd w:id="75538"/>
      <w:r>
        <w:rPr>
          <w:rFonts w:hint="cs"/>
          <w:rtl/>
        </w:rPr>
        <w:t xml:space="preserve">בחל </w:t>
      </w:r>
      <w:bookmarkStart w:id="75539" w:name="_ETM_Q134_441169"/>
      <w:bookmarkEnd w:id="75539"/>
      <w:r>
        <w:rPr>
          <w:rFonts w:hint="cs"/>
          <w:rtl/>
        </w:rPr>
        <w:t xml:space="preserve">באיומים </w:t>
      </w:r>
      <w:bookmarkStart w:id="75540" w:name="_ETM_Q134_442509"/>
      <w:bookmarkEnd w:id="75540"/>
      <w:r>
        <w:rPr>
          <w:rFonts w:hint="cs"/>
          <w:rtl/>
        </w:rPr>
        <w:t xml:space="preserve">שאם </w:t>
      </w:r>
      <w:bookmarkStart w:id="75541" w:name="_ETM_Q134_442930"/>
      <w:bookmarkEnd w:id="75541"/>
      <w:r>
        <w:rPr>
          <w:rFonts w:hint="cs"/>
          <w:rtl/>
        </w:rPr>
        <w:t xml:space="preserve">נחזור </w:t>
      </w:r>
      <w:bookmarkStart w:id="75542" w:name="_ETM_Q134_443430"/>
      <w:bookmarkStart w:id="75543" w:name="_ETM_Q134_444060"/>
      <w:bookmarkStart w:id="75544" w:name="_ETM_Q134_444539"/>
      <w:bookmarkEnd w:id="75542"/>
      <w:bookmarkEnd w:id="75543"/>
      <w:bookmarkEnd w:id="75544"/>
      <w:r>
        <w:rPr>
          <w:rFonts w:hint="cs"/>
          <w:rtl/>
        </w:rPr>
        <w:t xml:space="preserve">על הטעות </w:t>
      </w:r>
      <w:bookmarkStart w:id="75545" w:name="_ETM_Q134_443000"/>
      <w:bookmarkEnd w:id="75545"/>
      <w:r>
        <w:rPr>
          <w:rFonts w:hint="cs"/>
          <w:rtl/>
        </w:rPr>
        <w:t xml:space="preserve">של </w:t>
      </w:r>
      <w:bookmarkStart w:id="75546" w:name="_ETM_Q134_444839"/>
      <w:bookmarkEnd w:id="75546"/>
      <w:r>
        <w:rPr>
          <w:rFonts w:hint="cs"/>
          <w:rtl/>
        </w:rPr>
        <w:t xml:space="preserve">1948, </w:t>
      </w:r>
      <w:bookmarkStart w:id="75547" w:name="_ETM_Q134_447520"/>
      <w:bookmarkEnd w:id="75547"/>
      <w:r>
        <w:rPr>
          <w:rFonts w:hint="cs"/>
          <w:rtl/>
        </w:rPr>
        <w:t xml:space="preserve">הרי </w:t>
      </w:r>
      <w:bookmarkStart w:id="75548" w:name="_ETM_Q134_448029"/>
      <w:bookmarkEnd w:id="75548"/>
      <w:r>
        <w:rPr>
          <w:rFonts w:hint="cs"/>
          <w:rtl/>
        </w:rPr>
        <w:t xml:space="preserve">שהיהודים </w:t>
      </w:r>
      <w:bookmarkStart w:id="75549" w:name="_ETM_Q134_449139"/>
      <w:bookmarkEnd w:id="75549"/>
      <w:r>
        <w:rPr>
          <w:rFonts w:hint="cs"/>
          <w:rtl/>
        </w:rPr>
        <w:t xml:space="preserve">יוציאו </w:t>
      </w:r>
      <w:bookmarkStart w:id="75550" w:name="_ETM_Q134_450159"/>
      <w:bookmarkEnd w:id="75550"/>
      <w:r>
        <w:rPr>
          <w:rFonts w:hint="cs"/>
          <w:rtl/>
        </w:rPr>
        <w:t xml:space="preserve">את </w:t>
      </w:r>
      <w:bookmarkStart w:id="75551" w:name="_ETM_Q134_450370"/>
      <w:bookmarkEnd w:id="75551"/>
      <w:r>
        <w:rPr>
          <w:rFonts w:hint="cs"/>
          <w:rtl/>
        </w:rPr>
        <w:t xml:space="preserve">הידיים </w:t>
      </w:r>
      <w:bookmarkStart w:id="75552" w:name="_ETM_Q134_451240"/>
      <w:bookmarkEnd w:id="75552"/>
      <w:r>
        <w:rPr>
          <w:rFonts w:hint="cs"/>
          <w:rtl/>
        </w:rPr>
        <w:t xml:space="preserve">מהכיסים, </w:t>
      </w:r>
      <w:bookmarkStart w:id="75553" w:name="_ETM_Q134_452770"/>
      <w:bookmarkEnd w:id="75553"/>
      <w:r>
        <w:rPr>
          <w:rFonts w:hint="cs"/>
          <w:rtl/>
        </w:rPr>
        <w:t>והמחירים</w:t>
      </w:r>
      <w:bookmarkStart w:id="75554" w:name="_ETM_Q134_454240"/>
      <w:bookmarkEnd w:id="75554"/>
      <w:r>
        <w:rPr>
          <w:rFonts w:hint="cs"/>
          <w:rtl/>
        </w:rPr>
        <w:t xml:space="preserve">, אמר </w:t>
      </w:r>
      <w:bookmarkStart w:id="75555" w:name="_ETM_Q134_454659"/>
      <w:bookmarkEnd w:id="75555"/>
      <w:r>
        <w:rPr>
          <w:rFonts w:hint="cs"/>
          <w:rtl/>
        </w:rPr>
        <w:t xml:space="preserve">לנו, </w:t>
      </w:r>
      <w:bookmarkStart w:id="75556" w:name="_ETM_Q134_455439"/>
      <w:bookmarkEnd w:id="75556"/>
      <w:r>
        <w:rPr>
          <w:rFonts w:hint="cs"/>
          <w:rtl/>
        </w:rPr>
        <w:t xml:space="preserve">יהיו </w:t>
      </w:r>
      <w:bookmarkStart w:id="75557" w:name="_ETM_Q134_455949"/>
      <w:bookmarkEnd w:id="75557"/>
      <w:r>
        <w:rPr>
          <w:rFonts w:hint="cs"/>
          <w:rtl/>
        </w:rPr>
        <w:t xml:space="preserve">כבדים </w:t>
      </w:r>
      <w:r>
        <w:t>–</w:t>
      </w:r>
      <w:r>
        <w:rPr>
          <w:rFonts w:hint="cs"/>
          <w:rtl/>
        </w:rPr>
        <w:t xml:space="preserve"> </w:t>
      </w:r>
      <w:bookmarkStart w:id="75558" w:name="_ETM_Q134_457150"/>
      <w:bookmarkEnd w:id="75558"/>
      <w:r>
        <w:rPr>
          <w:rFonts w:hint="cs"/>
          <w:rtl/>
        </w:rPr>
        <w:t xml:space="preserve">ואללה, </w:t>
      </w:r>
      <w:bookmarkStart w:id="75559" w:name="_ETM_Q134_457630"/>
      <w:bookmarkEnd w:id="75559"/>
      <w:r>
        <w:rPr>
          <w:rFonts w:hint="cs"/>
          <w:rtl/>
        </w:rPr>
        <w:t xml:space="preserve">גם </w:t>
      </w:r>
      <w:bookmarkStart w:id="75560" w:name="_ETM_Q134_457930"/>
      <w:bookmarkEnd w:id="75560"/>
      <w:r>
        <w:rPr>
          <w:rFonts w:hint="cs"/>
          <w:rtl/>
        </w:rPr>
        <w:t xml:space="preserve">סביר. </w:t>
      </w:r>
      <w:bookmarkStart w:id="75561" w:name="_ETM_Q134_455000"/>
      <w:bookmarkStart w:id="75562" w:name="_ETM_Q134_460330"/>
      <w:bookmarkEnd w:id="75561"/>
      <w:bookmarkEnd w:id="75562"/>
      <w:r>
        <w:rPr>
          <w:rFonts w:hint="cs"/>
          <w:rtl/>
        </w:rPr>
        <w:t xml:space="preserve">מי </w:t>
      </w:r>
      <w:bookmarkStart w:id="75563" w:name="_ETM_Q134_460660"/>
      <w:bookmarkEnd w:id="75563"/>
      <w:r>
        <w:rPr>
          <w:rFonts w:hint="cs"/>
          <w:rtl/>
        </w:rPr>
        <w:t xml:space="preserve">שמתחרה </w:t>
      </w:r>
      <w:bookmarkStart w:id="75564" w:name="_ETM_Q134_461740"/>
      <w:bookmarkStart w:id="75565" w:name="_ETM_Q134_462460"/>
      <w:bookmarkStart w:id="75566" w:name="_ETM_Q134_462759"/>
      <w:bookmarkEnd w:id="75564"/>
      <w:bookmarkEnd w:id="75565"/>
      <w:bookmarkEnd w:id="75566"/>
      <w:r>
        <w:rPr>
          <w:rFonts w:hint="cs"/>
          <w:rtl/>
        </w:rPr>
        <w:t xml:space="preserve">בשר </w:t>
      </w:r>
      <w:bookmarkStart w:id="75567" w:name="_ETM_Q134_463150"/>
      <w:bookmarkEnd w:id="75567"/>
      <w:r>
        <w:rPr>
          <w:rFonts w:hint="cs"/>
          <w:rtl/>
        </w:rPr>
        <w:t xml:space="preserve">המלחמה </w:t>
      </w:r>
      <w:bookmarkStart w:id="75568" w:name="_ETM_Q134_464020"/>
      <w:bookmarkEnd w:id="75568"/>
      <w:r>
        <w:rPr>
          <w:rFonts w:hint="cs"/>
          <w:rtl/>
        </w:rPr>
        <w:t xml:space="preserve">על </w:t>
      </w:r>
      <w:bookmarkStart w:id="75569" w:name="_ETM_Q134_464139"/>
      <w:bookmarkEnd w:id="75569"/>
      <w:r>
        <w:rPr>
          <w:rFonts w:hint="cs"/>
          <w:rtl/>
        </w:rPr>
        <w:t>סמכויותיו,</w:t>
      </w:r>
      <w:bookmarkStart w:id="75570" w:name="_ETM_Q134_465940"/>
      <w:bookmarkEnd w:id="75570"/>
      <w:r>
        <w:rPr>
          <w:rFonts w:hint="cs"/>
          <w:rtl/>
        </w:rPr>
        <w:t xml:space="preserve"> מושל</w:t>
      </w:r>
      <w:bookmarkStart w:id="75571" w:name="_ETM_Q134_466570"/>
      <w:bookmarkEnd w:id="75571"/>
      <w:r>
        <w:rPr>
          <w:rFonts w:hint="cs"/>
          <w:rtl/>
        </w:rPr>
        <w:t xml:space="preserve"> הגדה </w:t>
      </w:r>
      <w:bookmarkStart w:id="75572" w:name="_ETM_Q134_467320"/>
      <w:bookmarkEnd w:id="75572"/>
      <w:r>
        <w:rPr>
          <w:rFonts w:hint="cs"/>
          <w:rtl/>
        </w:rPr>
        <w:t xml:space="preserve">המערבית, </w:t>
      </w:r>
      <w:bookmarkStart w:id="75573" w:name="_ETM_Q134_469639"/>
      <w:bookmarkStart w:id="75574" w:name="_ETM_Q134_470360"/>
      <w:bookmarkStart w:id="75575" w:name="_ETM_Q134_470690"/>
      <w:bookmarkEnd w:id="75573"/>
      <w:bookmarkEnd w:id="75574"/>
      <w:bookmarkEnd w:id="75575"/>
      <w:r>
        <w:rPr>
          <w:rFonts w:hint="cs"/>
          <w:rtl/>
        </w:rPr>
        <w:t xml:space="preserve">סמוטריץ' "גרנדמייזר", </w:t>
      </w:r>
      <w:bookmarkStart w:id="75576" w:name="_ETM_Q134_472309"/>
      <w:bookmarkEnd w:id="75576"/>
      <w:r>
        <w:rPr>
          <w:rFonts w:hint="cs"/>
          <w:rtl/>
        </w:rPr>
        <w:t>אמר</w:t>
      </w:r>
      <w:bookmarkStart w:id="75577" w:name="_ETM_Q134_472729"/>
      <w:bookmarkEnd w:id="75577"/>
      <w:r>
        <w:rPr>
          <w:rFonts w:hint="cs"/>
          <w:rtl/>
        </w:rPr>
        <w:t xml:space="preserve"> שצריך </w:t>
      </w:r>
      <w:bookmarkStart w:id="75578" w:name="_ETM_Q134_473659"/>
      <w:bookmarkEnd w:id="75578"/>
      <w:r>
        <w:rPr>
          <w:rFonts w:hint="cs"/>
          <w:rtl/>
        </w:rPr>
        <w:t xml:space="preserve">לשרוף </w:t>
      </w:r>
      <w:bookmarkStart w:id="75579" w:name="_ETM_Q134_474810"/>
      <w:bookmarkEnd w:id="75579"/>
      <w:r>
        <w:rPr>
          <w:rFonts w:hint="cs"/>
          <w:rtl/>
        </w:rPr>
        <w:t xml:space="preserve">את </w:t>
      </w:r>
      <w:bookmarkStart w:id="75580" w:name="_ETM_Q134_475139"/>
      <w:bookmarkEnd w:id="75580"/>
      <w:r>
        <w:rPr>
          <w:rFonts w:hint="cs"/>
          <w:rtl/>
        </w:rPr>
        <w:t xml:space="preserve">חווארה, </w:t>
      </w:r>
      <w:bookmarkStart w:id="75581" w:name="_ETM_Q134_476790"/>
      <w:bookmarkEnd w:id="75581"/>
      <w:r>
        <w:rPr>
          <w:rFonts w:hint="cs"/>
          <w:rtl/>
        </w:rPr>
        <w:t>ו</w:t>
      </w:r>
      <w:bookmarkStart w:id="75582" w:name="_ETM_Q134_477639"/>
      <w:bookmarkEnd w:id="75582"/>
      <w:r>
        <w:rPr>
          <w:rFonts w:hint="cs"/>
          <w:rtl/>
        </w:rPr>
        <w:t xml:space="preserve">רוצה שאשתו וכל נשות </w:t>
      </w:r>
      <w:bookmarkStart w:id="75583" w:name="_ETM_Q134_479020"/>
      <w:bookmarkStart w:id="75584" w:name="_ETM_Q134_479339"/>
      <w:bookmarkStart w:id="75585" w:name="_ETM_Q134_479699"/>
      <w:bookmarkStart w:id="75586" w:name="_ETM_Q134_480240"/>
      <w:bookmarkStart w:id="75587" w:name="_ETM_Q134_480000"/>
      <w:bookmarkEnd w:id="75583"/>
      <w:bookmarkEnd w:id="75584"/>
      <w:bookmarkEnd w:id="75585"/>
      <w:bookmarkEnd w:id="75586"/>
      <w:bookmarkEnd w:id="75587"/>
      <w:r>
        <w:rPr>
          <w:rFonts w:hint="cs"/>
          <w:rtl/>
        </w:rPr>
        <w:t xml:space="preserve">ישראל </w:t>
      </w:r>
      <w:bookmarkStart w:id="75588" w:name="_ETM_Q134_481369"/>
      <w:bookmarkEnd w:id="75588"/>
      <w:r>
        <w:rPr>
          <w:rFonts w:hint="cs"/>
          <w:rtl/>
        </w:rPr>
        <w:t xml:space="preserve">ילדו </w:t>
      </w:r>
      <w:bookmarkStart w:id="75589" w:name="_ETM_Q134_482150"/>
      <w:bookmarkEnd w:id="75589"/>
      <w:r>
        <w:rPr>
          <w:rFonts w:hint="cs"/>
          <w:rtl/>
        </w:rPr>
        <w:t xml:space="preserve">בסביבה </w:t>
      </w:r>
      <w:bookmarkStart w:id="75590" w:name="_ETM_Q134_483080"/>
      <w:bookmarkEnd w:id="75590"/>
      <w:r>
        <w:rPr>
          <w:rFonts w:hint="cs"/>
          <w:rtl/>
        </w:rPr>
        <w:t xml:space="preserve">טהורה </w:t>
      </w:r>
      <w:bookmarkStart w:id="75591" w:name="_ETM_Q134_483830"/>
      <w:bookmarkEnd w:id="75591"/>
      <w:r>
        <w:rPr>
          <w:rFonts w:hint="cs"/>
          <w:rtl/>
        </w:rPr>
        <w:t xml:space="preserve">מערביות. </w:t>
      </w:r>
      <w:bookmarkStart w:id="75592" w:name="_ETM_Q134_485459"/>
      <w:bookmarkEnd w:id="75592"/>
      <w:r>
        <w:rPr>
          <w:rFonts w:hint="cs"/>
          <w:rtl/>
        </w:rPr>
        <w:t xml:space="preserve">מה </w:t>
      </w:r>
      <w:bookmarkStart w:id="75593" w:name="_ETM_Q134_485759"/>
      <w:bookmarkEnd w:id="75593"/>
      <w:r>
        <w:rPr>
          <w:rFonts w:hint="cs"/>
          <w:rtl/>
        </w:rPr>
        <w:t xml:space="preserve">לא </w:t>
      </w:r>
      <w:bookmarkStart w:id="75594" w:name="_ETM_Q134_485939"/>
      <w:bookmarkEnd w:id="75594"/>
      <w:r>
        <w:rPr>
          <w:rFonts w:hint="cs"/>
          <w:rtl/>
        </w:rPr>
        <w:t xml:space="preserve">סביר </w:t>
      </w:r>
      <w:bookmarkStart w:id="75595" w:name="_ETM_Q134_486450"/>
      <w:bookmarkEnd w:id="75595"/>
      <w:r>
        <w:rPr>
          <w:rFonts w:hint="cs"/>
          <w:rtl/>
        </w:rPr>
        <w:t xml:space="preserve">בזה, </w:t>
      </w:r>
      <w:bookmarkStart w:id="75596" w:name="_ETM_Q134_487469"/>
      <w:bookmarkStart w:id="75597" w:name="_ETM_Q134_487889"/>
      <w:bookmarkEnd w:id="75596"/>
      <w:bookmarkEnd w:id="75597"/>
      <w:r>
        <w:rPr>
          <w:rFonts w:hint="cs"/>
          <w:rtl/>
        </w:rPr>
        <w:t xml:space="preserve">כשהיהודית </w:t>
      </w:r>
      <w:bookmarkStart w:id="75598" w:name="_ETM_Q134_488920"/>
      <w:bookmarkEnd w:id="75598"/>
      <w:r>
        <w:rPr>
          <w:rFonts w:hint="cs"/>
          <w:rtl/>
        </w:rPr>
        <w:t xml:space="preserve">קודמת </w:t>
      </w:r>
      <w:bookmarkStart w:id="75599" w:name="_ETM_Q134_489610"/>
      <w:bookmarkEnd w:id="75599"/>
      <w:r>
        <w:rPr>
          <w:rFonts w:hint="cs"/>
          <w:rtl/>
        </w:rPr>
        <w:t>לדמוקרטיה?</w:t>
      </w:r>
    </w:p>
    <w:p w:rsidR="00BB59CD" w:rsidRDefault="00BB59CD" w:rsidP="00BB59CD">
      <w:pPr>
        <w:rPr>
          <w:rtl/>
        </w:rPr>
      </w:pPr>
    </w:p>
    <w:p w:rsidR="00BB59CD" w:rsidRDefault="00BB59CD" w:rsidP="00D94B83">
      <w:pPr>
        <w:rPr>
          <w:rtl/>
        </w:rPr>
      </w:pPr>
      <w:bookmarkStart w:id="75600" w:name="_ETM_Q134_493000"/>
      <w:bookmarkStart w:id="75601" w:name="_ETM_Q134_492029"/>
      <w:bookmarkStart w:id="75602" w:name="_ETM_Q134_492389"/>
      <w:bookmarkStart w:id="75603" w:name="_ETM_Q134_492799"/>
      <w:bookmarkEnd w:id="75600"/>
      <w:bookmarkEnd w:id="75601"/>
      <w:bookmarkEnd w:id="75602"/>
      <w:bookmarkEnd w:id="75603"/>
      <w:r>
        <w:rPr>
          <w:rFonts w:hint="cs"/>
          <w:rtl/>
        </w:rPr>
        <w:t>ושותפו ל</w:t>
      </w:r>
      <w:bookmarkStart w:id="75604" w:name="_ETM_Q134_493070"/>
      <w:bookmarkEnd w:id="75604"/>
      <w:r>
        <w:rPr>
          <w:rFonts w:hint="cs"/>
          <w:rtl/>
        </w:rPr>
        <w:t xml:space="preserve">דרך </w:t>
      </w:r>
      <w:bookmarkStart w:id="75605" w:name="_ETM_Q134_493579"/>
      <w:bookmarkEnd w:id="75605"/>
      <w:r>
        <w:rPr>
          <w:rFonts w:hint="cs"/>
          <w:rtl/>
        </w:rPr>
        <w:t xml:space="preserve">ולחזון – </w:t>
      </w:r>
      <w:bookmarkStart w:id="75606" w:name="_ETM_Q134_495019"/>
      <w:bookmarkEnd w:id="75606"/>
      <w:r>
        <w:rPr>
          <w:rFonts w:hint="cs"/>
          <w:rtl/>
        </w:rPr>
        <w:t xml:space="preserve">תומך </w:t>
      </w:r>
      <w:bookmarkStart w:id="75607" w:name="_ETM_Q134_495589"/>
      <w:bookmarkStart w:id="75608" w:name="_ETM_Q134_495990"/>
      <w:bookmarkStart w:id="75609" w:name="_ETM_Q134_496199"/>
      <w:bookmarkEnd w:id="75607"/>
      <w:bookmarkEnd w:id="75608"/>
      <w:bookmarkEnd w:id="75609"/>
      <w:r>
        <w:rPr>
          <w:rFonts w:hint="cs"/>
          <w:rtl/>
        </w:rPr>
        <w:t xml:space="preserve">הטרור המורשע, </w:t>
      </w:r>
      <w:bookmarkStart w:id="75610" w:name="_ETM_Q134_497520"/>
      <w:bookmarkEnd w:id="75610"/>
      <w:r>
        <w:rPr>
          <w:rFonts w:hint="cs"/>
          <w:rtl/>
        </w:rPr>
        <w:t xml:space="preserve">נער </w:t>
      </w:r>
      <w:bookmarkStart w:id="75611" w:name="_ETM_Q134_498180"/>
      <w:bookmarkEnd w:id="75611"/>
      <w:r>
        <w:rPr>
          <w:rFonts w:hint="cs"/>
          <w:rtl/>
        </w:rPr>
        <w:t xml:space="preserve">הגבעות </w:t>
      </w:r>
      <w:bookmarkStart w:id="75612" w:name="_ETM_Q134_499410"/>
      <w:bookmarkEnd w:id="75612"/>
      <w:r>
        <w:rPr>
          <w:rFonts w:hint="cs"/>
          <w:rtl/>
        </w:rPr>
        <w:t xml:space="preserve">שלאחרונה </w:t>
      </w:r>
      <w:bookmarkStart w:id="75613" w:name="_ETM_Q134_500310"/>
      <w:bookmarkEnd w:id="75613"/>
      <w:r>
        <w:rPr>
          <w:rFonts w:hint="cs"/>
          <w:rtl/>
        </w:rPr>
        <w:t xml:space="preserve">קנה </w:t>
      </w:r>
      <w:bookmarkStart w:id="75614" w:name="_ETM_Q134_500700"/>
      <w:bookmarkEnd w:id="75614"/>
      <w:r>
        <w:rPr>
          <w:rFonts w:hint="cs"/>
          <w:rtl/>
        </w:rPr>
        <w:t>חליפות</w:t>
      </w:r>
      <w:bookmarkStart w:id="75615" w:name="_ETM_Q134_502240"/>
      <w:bookmarkEnd w:id="75615"/>
      <w:r>
        <w:rPr>
          <w:rFonts w:hint="cs"/>
          <w:rtl/>
        </w:rPr>
        <w:t xml:space="preserve">, רוצה </w:t>
      </w:r>
      <w:bookmarkStart w:id="75616" w:name="_ETM_Q134_502869"/>
      <w:bookmarkEnd w:id="75616"/>
      <w:r>
        <w:rPr>
          <w:rFonts w:hint="cs"/>
          <w:rtl/>
        </w:rPr>
        <w:t>לערוף ראשים</w:t>
      </w:r>
      <w:bookmarkStart w:id="75617" w:name="_ETM_Q134_503529"/>
      <w:bookmarkStart w:id="75618" w:name="_ETM_Q134_504099"/>
      <w:bookmarkEnd w:id="75617"/>
      <w:bookmarkEnd w:id="75618"/>
      <w:r>
        <w:rPr>
          <w:rFonts w:hint="cs"/>
          <w:rtl/>
        </w:rPr>
        <w:t xml:space="preserve"> בעזה </w:t>
      </w:r>
      <w:bookmarkStart w:id="75619" w:name="_ETM_Q134_505359"/>
      <w:bookmarkEnd w:id="75619"/>
      <w:r>
        <w:rPr>
          <w:rFonts w:hint="cs"/>
          <w:rtl/>
        </w:rPr>
        <w:t xml:space="preserve">ולמשול </w:t>
      </w:r>
      <w:bookmarkStart w:id="75620" w:name="_ETM_Q134_506289"/>
      <w:bookmarkEnd w:id="75620"/>
      <w:r>
        <w:rPr>
          <w:rFonts w:hint="cs"/>
          <w:rtl/>
        </w:rPr>
        <w:t xml:space="preserve">באמצעות </w:t>
      </w:r>
      <w:bookmarkStart w:id="75621" w:name="_ETM_Q134_507160"/>
      <w:bookmarkEnd w:id="75621"/>
      <w:r>
        <w:rPr>
          <w:rFonts w:hint="cs"/>
          <w:rtl/>
        </w:rPr>
        <w:t xml:space="preserve">מיליציות </w:t>
      </w:r>
      <w:bookmarkStart w:id="75622" w:name="_ETM_Q134_507000"/>
      <w:bookmarkStart w:id="75623" w:name="_ETM_Q134_507490"/>
      <w:bookmarkStart w:id="75624" w:name="_ETM_Q134_507849"/>
      <w:bookmarkEnd w:id="75622"/>
      <w:bookmarkEnd w:id="75623"/>
      <w:bookmarkEnd w:id="75624"/>
      <w:r>
        <w:rPr>
          <w:rFonts w:hint="cs"/>
          <w:rtl/>
        </w:rPr>
        <w:t xml:space="preserve">של </w:t>
      </w:r>
      <w:bookmarkStart w:id="75625" w:name="_ETM_Q134_508119"/>
      <w:bookmarkEnd w:id="75625"/>
      <w:r>
        <w:rPr>
          <w:rFonts w:hint="cs"/>
          <w:rtl/>
        </w:rPr>
        <w:t xml:space="preserve">פורעי </w:t>
      </w:r>
      <w:bookmarkStart w:id="75626" w:name="_ETM_Q134_508689"/>
      <w:bookmarkEnd w:id="75626"/>
      <w:r>
        <w:rPr>
          <w:rFonts w:hint="cs"/>
          <w:rtl/>
        </w:rPr>
        <w:t xml:space="preserve">חוק </w:t>
      </w:r>
      <w:bookmarkStart w:id="75627" w:name="_ETM_Q134_509020"/>
      <w:bookmarkEnd w:id="75627"/>
      <w:r>
        <w:rPr>
          <w:rFonts w:hint="cs"/>
          <w:rtl/>
        </w:rPr>
        <w:t xml:space="preserve">בנגב. </w:t>
      </w:r>
      <w:bookmarkStart w:id="75628" w:name="_ETM_Q134_510329"/>
      <w:bookmarkEnd w:id="75628"/>
      <w:r>
        <w:rPr>
          <w:rFonts w:hint="cs"/>
          <w:rtl/>
        </w:rPr>
        <w:t xml:space="preserve">השר </w:t>
      </w:r>
      <w:bookmarkStart w:id="75629" w:name="_ETM_Q134_510869"/>
      <w:bookmarkEnd w:id="75629"/>
      <w:r>
        <w:rPr>
          <w:rFonts w:hint="cs"/>
          <w:rtl/>
        </w:rPr>
        <w:t xml:space="preserve">הזה – </w:t>
      </w:r>
      <w:bookmarkStart w:id="75630" w:name="_ETM_Q134_512010"/>
      <w:bookmarkEnd w:id="75630"/>
      <w:r>
        <w:rPr>
          <w:rFonts w:hint="cs"/>
          <w:rtl/>
        </w:rPr>
        <w:t xml:space="preserve">אזרחים </w:t>
      </w:r>
      <w:bookmarkStart w:id="75631" w:name="_ETM_Q134_512880"/>
      <w:bookmarkEnd w:id="75631"/>
      <w:r>
        <w:rPr>
          <w:rFonts w:hint="cs"/>
          <w:rtl/>
        </w:rPr>
        <w:t xml:space="preserve">ערבים </w:t>
      </w:r>
      <w:bookmarkStart w:id="75632" w:name="_ETM_Q134_513480"/>
      <w:bookmarkEnd w:id="75632"/>
      <w:r>
        <w:rPr>
          <w:rFonts w:hint="cs"/>
          <w:rtl/>
        </w:rPr>
        <w:t xml:space="preserve">נהרגים </w:t>
      </w:r>
      <w:bookmarkStart w:id="75633" w:name="_ETM_Q134_514140"/>
      <w:bookmarkEnd w:id="75633"/>
      <w:r>
        <w:rPr>
          <w:rFonts w:hint="cs"/>
          <w:rtl/>
        </w:rPr>
        <w:t xml:space="preserve">בזה </w:t>
      </w:r>
      <w:bookmarkStart w:id="75634" w:name="_ETM_Q134_514500"/>
      <w:bookmarkEnd w:id="75634"/>
      <w:r>
        <w:rPr>
          <w:rFonts w:hint="cs"/>
          <w:rtl/>
        </w:rPr>
        <w:t xml:space="preserve">אחר </w:t>
      </w:r>
      <w:bookmarkStart w:id="75635" w:name="_ETM_Q134_515010"/>
      <w:bookmarkEnd w:id="75635"/>
      <w:r>
        <w:rPr>
          <w:rFonts w:hint="cs"/>
          <w:rtl/>
        </w:rPr>
        <w:t xml:space="preserve">זה, </w:t>
      </w:r>
      <w:bookmarkStart w:id="75636" w:name="_ETM_Q134_515910"/>
      <w:bookmarkEnd w:id="75636"/>
      <w:r>
        <w:rPr>
          <w:rFonts w:hint="cs"/>
          <w:rtl/>
        </w:rPr>
        <w:t xml:space="preserve">והוא </w:t>
      </w:r>
      <w:bookmarkStart w:id="75637" w:name="_ETM_Q134_516300"/>
      <w:bookmarkEnd w:id="75637"/>
      <w:r>
        <w:rPr>
          <w:rFonts w:hint="cs"/>
          <w:rtl/>
        </w:rPr>
        <w:t xml:space="preserve">לא </w:t>
      </w:r>
      <w:bookmarkStart w:id="75638" w:name="_ETM_Q134_516870"/>
      <w:bookmarkEnd w:id="75638"/>
      <w:r>
        <w:rPr>
          <w:rFonts w:hint="cs"/>
          <w:rtl/>
        </w:rPr>
        <w:t xml:space="preserve">מתבייש </w:t>
      </w:r>
      <w:bookmarkStart w:id="75639" w:name="_ETM_Q134_517650"/>
      <w:bookmarkEnd w:id="75639"/>
      <w:r>
        <w:rPr>
          <w:rFonts w:hint="cs"/>
          <w:rtl/>
        </w:rPr>
        <w:t xml:space="preserve">להלין </w:t>
      </w:r>
      <w:bookmarkStart w:id="75640" w:name="_ETM_Q134_518360"/>
      <w:bookmarkStart w:id="75641" w:name="_ETM_Q134_518570"/>
      <w:bookmarkEnd w:id="75640"/>
      <w:bookmarkEnd w:id="75641"/>
      <w:r>
        <w:rPr>
          <w:rFonts w:hint="cs"/>
          <w:rtl/>
        </w:rPr>
        <w:t xml:space="preserve">על </w:t>
      </w:r>
      <w:bookmarkStart w:id="75642" w:name="_ETM_Q134_518700"/>
      <w:bookmarkEnd w:id="75642"/>
      <w:r>
        <w:rPr>
          <w:rFonts w:hint="cs"/>
          <w:rtl/>
        </w:rPr>
        <w:t xml:space="preserve">זה </w:t>
      </w:r>
      <w:bookmarkStart w:id="75643" w:name="_ETM_Q134_519420"/>
      <w:bookmarkEnd w:id="75643"/>
      <w:r>
        <w:rPr>
          <w:rFonts w:hint="cs"/>
          <w:rtl/>
        </w:rPr>
        <w:t>ש</w:t>
      </w:r>
      <w:bookmarkStart w:id="75644" w:name="_ETM_Q134_519660"/>
      <w:bookmarkEnd w:id="75644"/>
      <w:r>
        <w:rPr>
          <w:rFonts w:hint="cs"/>
          <w:rtl/>
        </w:rPr>
        <w:t xml:space="preserve">פעילי </w:t>
      </w:r>
      <w:bookmarkStart w:id="75645" w:name="_ETM_Q134_520230"/>
      <w:bookmarkEnd w:id="75645"/>
      <w:r>
        <w:rPr>
          <w:rFonts w:hint="cs"/>
          <w:rtl/>
        </w:rPr>
        <w:t xml:space="preserve">שמאל </w:t>
      </w:r>
      <w:bookmarkStart w:id="75646" w:name="_ETM_Q134_521190"/>
      <w:bookmarkEnd w:id="75646"/>
      <w:r>
        <w:rPr>
          <w:rFonts w:hint="cs"/>
          <w:rtl/>
        </w:rPr>
        <w:t xml:space="preserve">הפריעו </w:t>
      </w:r>
      <w:bookmarkStart w:id="75647" w:name="_ETM_Q134_521700"/>
      <w:bookmarkStart w:id="75648" w:name="_ETM_Q134_521820"/>
      <w:bookmarkEnd w:id="75647"/>
      <w:bookmarkEnd w:id="75648"/>
      <w:r>
        <w:rPr>
          <w:rFonts w:hint="cs"/>
          <w:rtl/>
        </w:rPr>
        <w:t xml:space="preserve">לו </w:t>
      </w:r>
      <w:bookmarkStart w:id="75649" w:name="_ETM_Q134_522029"/>
      <w:bookmarkEnd w:id="75649"/>
      <w:r>
        <w:rPr>
          <w:rFonts w:hint="cs"/>
          <w:rtl/>
        </w:rPr>
        <w:t xml:space="preserve">במהלך </w:t>
      </w:r>
      <w:bookmarkStart w:id="75650" w:name="_ETM_Q134_523110"/>
      <w:bookmarkEnd w:id="75650"/>
      <w:r>
        <w:rPr>
          <w:rFonts w:hint="cs"/>
          <w:rtl/>
        </w:rPr>
        <w:t xml:space="preserve">ארוחה </w:t>
      </w:r>
      <w:bookmarkStart w:id="75651" w:name="_ETM_Q134_523770"/>
      <w:bookmarkEnd w:id="75651"/>
      <w:r>
        <w:rPr>
          <w:rFonts w:hint="cs"/>
          <w:rtl/>
        </w:rPr>
        <w:t xml:space="preserve">עם </w:t>
      </w:r>
      <w:bookmarkStart w:id="75652" w:name="_ETM_Q134_523980"/>
      <w:bookmarkEnd w:id="75652"/>
      <w:r>
        <w:rPr>
          <w:rFonts w:hint="cs"/>
          <w:rtl/>
        </w:rPr>
        <w:t>אשתו.</w:t>
      </w:r>
      <w:bookmarkStart w:id="75653" w:name="_ETM_Q134_524000"/>
      <w:bookmarkStart w:id="75654" w:name="_ETM_Q134_525000"/>
      <w:bookmarkStart w:id="75655" w:name="_ETM_Q134_525339"/>
      <w:bookmarkEnd w:id="75653"/>
      <w:bookmarkEnd w:id="75654"/>
      <w:bookmarkEnd w:id="75655"/>
      <w:r>
        <w:rPr>
          <w:rFonts w:hint="cs"/>
          <w:rtl/>
        </w:rPr>
        <w:t xml:space="preserve"> 120</w:t>
      </w:r>
      <w:bookmarkStart w:id="75656" w:name="_ETM_Q134_526420"/>
      <w:bookmarkEnd w:id="75656"/>
      <w:r>
        <w:rPr>
          <w:rFonts w:hint="cs"/>
          <w:rtl/>
        </w:rPr>
        <w:t xml:space="preserve"> אזרחים </w:t>
      </w:r>
      <w:bookmarkStart w:id="75657" w:name="_ETM_Q134_527050"/>
      <w:bookmarkEnd w:id="75657"/>
      <w:r>
        <w:rPr>
          <w:rFonts w:hint="cs"/>
          <w:rtl/>
        </w:rPr>
        <w:t>ערבי</w:t>
      </w:r>
      <w:bookmarkStart w:id="75658" w:name="_ETM_Q134_528760"/>
      <w:bookmarkEnd w:id="75658"/>
      <w:r>
        <w:rPr>
          <w:rFonts w:hint="cs"/>
          <w:rtl/>
        </w:rPr>
        <w:t xml:space="preserve">ם ואזרחיות </w:t>
      </w:r>
      <w:bookmarkStart w:id="75659" w:name="_ETM_Q134_528010"/>
      <w:bookmarkEnd w:id="75659"/>
      <w:r>
        <w:rPr>
          <w:rFonts w:hint="cs"/>
          <w:rtl/>
        </w:rPr>
        <w:t xml:space="preserve">ערביות נרצחו </w:t>
      </w:r>
      <w:bookmarkStart w:id="75660" w:name="_ETM_Q134_529839"/>
      <w:bookmarkEnd w:id="75660"/>
      <w:r>
        <w:rPr>
          <w:rFonts w:hint="cs"/>
          <w:rtl/>
        </w:rPr>
        <w:t xml:space="preserve">מתחילת </w:t>
      </w:r>
      <w:bookmarkStart w:id="75661" w:name="_ETM_Q134_530620"/>
      <w:bookmarkEnd w:id="75661"/>
      <w:r>
        <w:rPr>
          <w:rFonts w:hint="cs"/>
          <w:rtl/>
        </w:rPr>
        <w:t xml:space="preserve">השנה. </w:t>
      </w:r>
      <w:bookmarkStart w:id="75662" w:name="_ETM_Q134_531600"/>
      <w:bookmarkEnd w:id="75662"/>
      <w:r w:rsidR="00D94B83">
        <w:rPr>
          <w:rFonts w:hint="cs"/>
          <w:rtl/>
        </w:rPr>
        <w:t xml:space="preserve">האם </w:t>
      </w:r>
      <w:r>
        <w:rPr>
          <w:rFonts w:hint="cs"/>
          <w:rtl/>
        </w:rPr>
        <w:t xml:space="preserve">סביר שהשר </w:t>
      </w:r>
      <w:bookmarkStart w:id="75663" w:name="_ETM_Q134_533339"/>
      <w:bookmarkEnd w:id="75663"/>
      <w:r>
        <w:rPr>
          <w:rFonts w:hint="cs"/>
          <w:rtl/>
        </w:rPr>
        <w:t xml:space="preserve">לביטחון </w:t>
      </w:r>
      <w:bookmarkStart w:id="75664" w:name="_ETM_Q134_534239"/>
      <w:bookmarkEnd w:id="75664"/>
      <w:r>
        <w:rPr>
          <w:rFonts w:hint="cs"/>
          <w:rtl/>
        </w:rPr>
        <w:t xml:space="preserve">פנים </w:t>
      </w:r>
      <w:bookmarkStart w:id="75665" w:name="_ETM_Q134_535139"/>
      <w:bookmarkEnd w:id="75665"/>
      <w:r>
        <w:rPr>
          <w:rFonts w:hint="cs"/>
          <w:rtl/>
        </w:rPr>
        <w:t xml:space="preserve">במדינת </w:t>
      </w:r>
      <w:bookmarkStart w:id="75666" w:name="_ETM_Q134_536100"/>
      <w:bookmarkEnd w:id="75666"/>
      <w:r>
        <w:rPr>
          <w:rFonts w:hint="cs"/>
          <w:rtl/>
        </w:rPr>
        <w:t xml:space="preserve">כל </w:t>
      </w:r>
      <w:bookmarkStart w:id="75667" w:name="_ETM_Q134_536459"/>
      <w:bookmarkEnd w:id="75667"/>
      <w:r>
        <w:rPr>
          <w:rFonts w:hint="cs"/>
          <w:rtl/>
        </w:rPr>
        <w:t>מתנחלי</w:t>
      </w:r>
      <w:bookmarkStart w:id="75668" w:name="_ETM_Q134_537269"/>
      <w:bookmarkEnd w:id="75668"/>
      <w:r>
        <w:rPr>
          <w:rFonts w:hint="cs"/>
          <w:rtl/>
        </w:rPr>
        <w:t xml:space="preserve">ה יתפנה </w:t>
      </w:r>
      <w:bookmarkStart w:id="75669" w:name="_ETM_Q134_538730"/>
      <w:bookmarkEnd w:id="75669"/>
      <w:r>
        <w:rPr>
          <w:rFonts w:hint="cs"/>
          <w:rtl/>
        </w:rPr>
        <w:t xml:space="preserve">לכך? </w:t>
      </w:r>
      <w:bookmarkStart w:id="75670" w:name="_ETM_Q134_540279"/>
      <w:bookmarkEnd w:id="75670"/>
      <w:r>
        <w:rPr>
          <w:rFonts w:hint="cs"/>
          <w:rtl/>
        </w:rPr>
        <w:t xml:space="preserve">לא </w:t>
      </w:r>
      <w:bookmarkStart w:id="75671" w:name="_ETM_Q134_540579"/>
      <w:bookmarkEnd w:id="75671"/>
      <w:r>
        <w:rPr>
          <w:rFonts w:hint="cs"/>
          <w:rtl/>
        </w:rPr>
        <w:t xml:space="preserve">סביר </w:t>
      </w:r>
      <w:bookmarkStart w:id="75672" w:name="_ETM_Q134_541059"/>
      <w:bookmarkEnd w:id="75672"/>
      <w:r>
        <w:rPr>
          <w:rFonts w:hint="cs"/>
          <w:rtl/>
        </w:rPr>
        <w:t>בעליל.</w:t>
      </w:r>
    </w:p>
    <w:p w:rsidR="00BB59CD" w:rsidRDefault="00BB59CD" w:rsidP="00BB59CD">
      <w:pPr>
        <w:rPr>
          <w:rtl/>
        </w:rPr>
      </w:pPr>
    </w:p>
    <w:p w:rsidR="00BB59CD" w:rsidRDefault="00BB59CD" w:rsidP="00BB59CD">
      <w:pPr>
        <w:rPr>
          <w:rtl/>
        </w:rPr>
      </w:pPr>
      <w:bookmarkStart w:id="75673" w:name="_ETM_Q134_542710"/>
      <w:bookmarkEnd w:id="75673"/>
      <w:r>
        <w:rPr>
          <w:rFonts w:hint="cs"/>
          <w:rtl/>
        </w:rPr>
        <w:t xml:space="preserve">מי </w:t>
      </w:r>
      <w:bookmarkStart w:id="75674" w:name="_ETM_Q134_543039"/>
      <w:bookmarkEnd w:id="75674"/>
      <w:r>
        <w:rPr>
          <w:rFonts w:hint="cs"/>
          <w:rtl/>
        </w:rPr>
        <w:t xml:space="preserve">שעוד </w:t>
      </w:r>
      <w:bookmarkStart w:id="75675" w:name="_ETM_Q134_545220"/>
      <w:bookmarkEnd w:id="75675"/>
      <w:r>
        <w:rPr>
          <w:rFonts w:hint="cs"/>
          <w:rtl/>
        </w:rPr>
        <w:t xml:space="preserve">יושבת </w:t>
      </w:r>
      <w:bookmarkStart w:id="75676" w:name="_ETM_Q134_546060"/>
      <w:bookmarkEnd w:id="75676"/>
      <w:r>
        <w:rPr>
          <w:rFonts w:hint="cs"/>
          <w:rtl/>
        </w:rPr>
        <w:t xml:space="preserve">סביב </w:t>
      </w:r>
      <w:bookmarkStart w:id="75677" w:name="_ETM_Q134_546509"/>
      <w:bookmarkEnd w:id="75677"/>
      <w:r>
        <w:rPr>
          <w:rFonts w:hint="cs"/>
          <w:rtl/>
        </w:rPr>
        <w:t xml:space="preserve">לשולחן </w:t>
      </w:r>
      <w:bookmarkStart w:id="75678" w:name="_ETM_Q134_547290"/>
      <w:bookmarkEnd w:id="75678"/>
      <w:r>
        <w:rPr>
          <w:rFonts w:hint="cs"/>
          <w:rtl/>
        </w:rPr>
        <w:t xml:space="preserve">הממשלה </w:t>
      </w:r>
      <w:bookmarkStart w:id="75679" w:name="_ETM_Q134_548100"/>
      <w:bookmarkEnd w:id="75679"/>
      <w:r>
        <w:rPr>
          <w:rFonts w:hint="cs"/>
          <w:rtl/>
        </w:rPr>
        <w:t xml:space="preserve">הסבירה </w:t>
      </w:r>
      <w:bookmarkStart w:id="75680" w:name="_ETM_Q134_549890"/>
      <w:bookmarkEnd w:id="75680"/>
      <w:r>
        <w:rPr>
          <w:rFonts w:hint="cs"/>
          <w:rtl/>
        </w:rPr>
        <w:t xml:space="preserve">היא </w:t>
      </w:r>
      <w:bookmarkStart w:id="75681" w:name="_ETM_Q134_550130"/>
      <w:bookmarkEnd w:id="75681"/>
      <w:r>
        <w:rPr>
          <w:rFonts w:hint="cs"/>
          <w:rtl/>
        </w:rPr>
        <w:t xml:space="preserve">השרה </w:t>
      </w:r>
      <w:bookmarkStart w:id="75682" w:name="_ETM_Q134_551090"/>
      <w:bookmarkStart w:id="75683" w:name="_ETM_Q134_551510"/>
      <w:bookmarkEnd w:id="75682"/>
      <w:bookmarkEnd w:id="75683"/>
      <w:r>
        <w:rPr>
          <w:rFonts w:hint="cs"/>
          <w:rtl/>
        </w:rPr>
        <w:t xml:space="preserve">הסבירה </w:t>
      </w:r>
      <w:bookmarkStart w:id="75684" w:name="_ETM_Q134_552050"/>
      <w:bookmarkEnd w:id="75684"/>
      <w:r>
        <w:rPr>
          <w:rFonts w:hint="cs"/>
          <w:rtl/>
        </w:rPr>
        <w:t xml:space="preserve">מאוד </w:t>
      </w:r>
      <w:bookmarkStart w:id="75685" w:name="_ETM_Q134_553480"/>
      <w:bookmarkEnd w:id="75685"/>
      <w:r>
        <w:rPr>
          <w:rFonts w:hint="cs"/>
          <w:rtl/>
        </w:rPr>
        <w:t xml:space="preserve">מירי </w:t>
      </w:r>
      <w:bookmarkStart w:id="75686" w:name="_ETM_Q134_553930"/>
      <w:bookmarkEnd w:id="75686"/>
      <w:r>
        <w:rPr>
          <w:rFonts w:hint="cs"/>
          <w:rtl/>
        </w:rPr>
        <w:t xml:space="preserve">רגב, </w:t>
      </w:r>
      <w:bookmarkStart w:id="75687" w:name="_ETM_Q134_555140"/>
      <w:bookmarkEnd w:id="75687"/>
      <w:r>
        <w:rPr>
          <w:rFonts w:hint="cs"/>
          <w:rtl/>
        </w:rPr>
        <w:t xml:space="preserve">שכינתה </w:t>
      </w:r>
      <w:bookmarkStart w:id="75688" w:name="_ETM_Q134_556100"/>
      <w:bookmarkEnd w:id="75688"/>
      <w:r>
        <w:rPr>
          <w:rFonts w:hint="cs"/>
          <w:rtl/>
        </w:rPr>
        <w:t xml:space="preserve">מבקשי </w:t>
      </w:r>
      <w:bookmarkStart w:id="75689" w:name="_ETM_Q134_556939"/>
      <w:bookmarkEnd w:id="75689"/>
      <w:r>
        <w:rPr>
          <w:rFonts w:hint="cs"/>
          <w:rtl/>
        </w:rPr>
        <w:t xml:space="preserve">מקלט </w:t>
      </w:r>
      <w:bookmarkStart w:id="75690" w:name="_ETM_Q134_557920"/>
      <w:bookmarkEnd w:id="75690"/>
      <w:r>
        <w:rPr>
          <w:rFonts w:hint="cs"/>
          <w:rtl/>
        </w:rPr>
        <w:t>כ</w:t>
      </w:r>
      <w:bookmarkStart w:id="75691" w:name="_ETM_Q134_558220"/>
      <w:bookmarkEnd w:id="75691"/>
      <w:r>
        <w:rPr>
          <w:rFonts w:hint="cs"/>
          <w:rtl/>
        </w:rPr>
        <w:t xml:space="preserve">סרטן </w:t>
      </w:r>
      <w:bookmarkStart w:id="75692" w:name="_ETM_Q134_559029"/>
      <w:bookmarkEnd w:id="75692"/>
      <w:r>
        <w:rPr>
          <w:rFonts w:hint="cs"/>
          <w:rtl/>
        </w:rPr>
        <w:t xml:space="preserve">בגוף </w:t>
      </w:r>
      <w:bookmarkStart w:id="75693" w:name="_ETM_Q134_559540"/>
      <w:bookmarkEnd w:id="75693"/>
      <w:r>
        <w:rPr>
          <w:rFonts w:hint="cs"/>
          <w:rtl/>
        </w:rPr>
        <w:t xml:space="preserve">שלנו. </w:t>
      </w:r>
      <w:bookmarkStart w:id="75694" w:name="_ETM_Q134_560950"/>
      <w:bookmarkEnd w:id="75694"/>
      <w:r>
        <w:rPr>
          <w:rFonts w:hint="cs"/>
          <w:rtl/>
        </w:rPr>
        <w:t xml:space="preserve">ועוד </w:t>
      </w:r>
      <w:bookmarkStart w:id="75695" w:name="_ETM_Q134_561460"/>
      <w:bookmarkEnd w:id="75695"/>
      <w:r>
        <w:rPr>
          <w:rFonts w:hint="cs"/>
          <w:rtl/>
        </w:rPr>
        <w:t xml:space="preserve">שרה </w:t>
      </w:r>
      <w:bookmarkStart w:id="75696" w:name="_ETM_Q134_562389"/>
      <w:bookmarkEnd w:id="75696"/>
      <w:r>
        <w:rPr>
          <w:rFonts w:hint="cs"/>
          <w:rtl/>
        </w:rPr>
        <w:t xml:space="preserve">לא </w:t>
      </w:r>
      <w:bookmarkStart w:id="75697" w:name="_ETM_Q134_562719"/>
      <w:bookmarkEnd w:id="75697"/>
      <w:r>
        <w:rPr>
          <w:rFonts w:hint="cs"/>
          <w:rtl/>
        </w:rPr>
        <w:t xml:space="preserve">פחות </w:t>
      </w:r>
      <w:bookmarkStart w:id="75698" w:name="_ETM_Q134_563350"/>
      <w:bookmarkEnd w:id="75698"/>
      <w:r>
        <w:rPr>
          <w:rFonts w:hint="cs"/>
          <w:rtl/>
        </w:rPr>
        <w:t xml:space="preserve">סבירה, </w:t>
      </w:r>
      <w:bookmarkStart w:id="75699" w:name="_ETM_Q134_564529"/>
      <w:bookmarkEnd w:id="75699"/>
      <w:r>
        <w:rPr>
          <w:rFonts w:hint="cs"/>
          <w:rtl/>
        </w:rPr>
        <w:t xml:space="preserve">שאמונה </w:t>
      </w:r>
      <w:bookmarkStart w:id="75700" w:name="_ETM_Q134_565789"/>
      <w:bookmarkEnd w:id="75700"/>
      <w:r>
        <w:rPr>
          <w:rFonts w:hint="cs"/>
          <w:rtl/>
        </w:rPr>
        <w:t xml:space="preserve">על </w:t>
      </w:r>
      <w:bookmarkStart w:id="75701" w:name="_ETM_Q134_566369"/>
      <w:bookmarkEnd w:id="75701"/>
      <w:r>
        <w:rPr>
          <w:rFonts w:hint="cs"/>
          <w:rtl/>
        </w:rPr>
        <w:t xml:space="preserve">שוויון </w:t>
      </w:r>
      <w:bookmarkStart w:id="75702" w:name="_ETM_Q134_567209"/>
      <w:bookmarkEnd w:id="75702"/>
      <w:r>
        <w:rPr>
          <w:rFonts w:hint="cs"/>
          <w:rtl/>
        </w:rPr>
        <w:t xml:space="preserve">מגדרי, </w:t>
      </w:r>
      <w:bookmarkStart w:id="75703" w:name="_ETM_Q134_568920"/>
      <w:bookmarkEnd w:id="75703"/>
      <w:r>
        <w:rPr>
          <w:rFonts w:hint="cs"/>
          <w:rtl/>
        </w:rPr>
        <w:t xml:space="preserve">והדבר </w:t>
      </w:r>
      <w:bookmarkStart w:id="75704" w:name="_ETM_Q134_569540"/>
      <w:bookmarkStart w:id="75705" w:name="_ETM_Q134_569779"/>
      <w:bookmarkEnd w:id="75704"/>
      <w:bookmarkEnd w:id="75705"/>
      <w:r>
        <w:rPr>
          <w:rFonts w:hint="cs"/>
          <w:rtl/>
        </w:rPr>
        <w:t xml:space="preserve">הראשון </w:t>
      </w:r>
      <w:bookmarkStart w:id="75706" w:name="_ETM_Q134_571159"/>
      <w:bookmarkEnd w:id="75706"/>
      <w:r>
        <w:rPr>
          <w:rFonts w:hint="cs"/>
          <w:rtl/>
        </w:rPr>
        <w:t xml:space="preserve">שהיא </w:t>
      </w:r>
      <w:bookmarkStart w:id="75707" w:name="_ETM_Q134_571549"/>
      <w:bookmarkEnd w:id="75707"/>
      <w:r>
        <w:rPr>
          <w:rFonts w:hint="cs"/>
          <w:rtl/>
        </w:rPr>
        <w:t xml:space="preserve">רוצה </w:t>
      </w:r>
      <w:bookmarkStart w:id="75708" w:name="_ETM_Q134_572089"/>
      <w:bookmarkEnd w:id="75708"/>
      <w:r>
        <w:rPr>
          <w:rFonts w:hint="cs"/>
          <w:rtl/>
        </w:rPr>
        <w:t xml:space="preserve">לעשות </w:t>
      </w:r>
      <w:bookmarkStart w:id="75709" w:name="_ETM_Q134_573179"/>
      <w:bookmarkEnd w:id="75709"/>
      <w:r>
        <w:rPr>
          <w:rFonts w:hint="cs"/>
          <w:rtl/>
        </w:rPr>
        <w:t xml:space="preserve">הוא לבטל </w:t>
      </w:r>
      <w:bookmarkStart w:id="75710" w:name="_ETM_Q134_574319"/>
      <w:bookmarkEnd w:id="75710"/>
      <w:r>
        <w:rPr>
          <w:rFonts w:hint="cs"/>
          <w:rtl/>
        </w:rPr>
        <w:t xml:space="preserve">את </w:t>
      </w:r>
      <w:bookmarkStart w:id="75711" w:name="_ETM_Q134_574499"/>
      <w:bookmarkEnd w:id="75711"/>
      <w:r>
        <w:rPr>
          <w:rFonts w:hint="cs"/>
          <w:rtl/>
        </w:rPr>
        <w:t xml:space="preserve">הרשות </w:t>
      </w:r>
      <w:bookmarkStart w:id="75712" w:name="_ETM_Q134_575069"/>
      <w:bookmarkEnd w:id="75712"/>
      <w:r>
        <w:rPr>
          <w:rFonts w:hint="cs"/>
          <w:rtl/>
        </w:rPr>
        <w:t xml:space="preserve">לקידום </w:t>
      </w:r>
      <w:bookmarkStart w:id="75713" w:name="_ETM_Q134_575609"/>
      <w:bookmarkEnd w:id="75713"/>
      <w:r>
        <w:rPr>
          <w:rFonts w:hint="cs"/>
          <w:rtl/>
        </w:rPr>
        <w:t xml:space="preserve">מעמד </w:t>
      </w:r>
      <w:bookmarkStart w:id="75714" w:name="_ETM_Q134_576029"/>
      <w:bookmarkEnd w:id="75714"/>
      <w:r>
        <w:rPr>
          <w:rFonts w:hint="cs"/>
          <w:rtl/>
        </w:rPr>
        <w:t xml:space="preserve">האישה </w:t>
      </w:r>
      <w:bookmarkStart w:id="75715" w:name="_ETM_Q134_577200"/>
      <w:bookmarkEnd w:id="75715"/>
      <w:r>
        <w:rPr>
          <w:rFonts w:hint="cs"/>
          <w:rtl/>
        </w:rPr>
        <w:t xml:space="preserve">ולתמוך </w:t>
      </w:r>
      <w:bookmarkStart w:id="75716" w:name="_ETM_Q134_578159"/>
      <w:bookmarkEnd w:id="75716"/>
      <w:r>
        <w:rPr>
          <w:rFonts w:hint="cs"/>
          <w:rtl/>
        </w:rPr>
        <w:t xml:space="preserve">בהפרדה </w:t>
      </w:r>
      <w:bookmarkStart w:id="75717" w:name="_ETM_Q134_579029"/>
      <w:bookmarkEnd w:id="75717"/>
      <w:r>
        <w:rPr>
          <w:rFonts w:hint="cs"/>
          <w:rtl/>
        </w:rPr>
        <w:t xml:space="preserve">מגדרית, </w:t>
      </w:r>
      <w:bookmarkStart w:id="75718" w:name="_ETM_Q134_580409"/>
      <w:bookmarkEnd w:id="75718"/>
      <w:r>
        <w:rPr>
          <w:rFonts w:hint="cs"/>
          <w:rtl/>
        </w:rPr>
        <w:t xml:space="preserve">כלומר </w:t>
      </w:r>
      <w:bookmarkStart w:id="75719" w:name="_ETM_Q134_580950"/>
      <w:bookmarkEnd w:id="75719"/>
      <w:r>
        <w:rPr>
          <w:rFonts w:hint="cs"/>
          <w:rtl/>
        </w:rPr>
        <w:t xml:space="preserve">הדרת </w:t>
      </w:r>
      <w:bookmarkStart w:id="75720" w:name="_ETM_Q134_581520"/>
      <w:bookmarkEnd w:id="75720"/>
      <w:r>
        <w:rPr>
          <w:rFonts w:hint="cs"/>
          <w:rtl/>
        </w:rPr>
        <w:t xml:space="preserve">נשים </w:t>
      </w:r>
      <w:bookmarkStart w:id="75721" w:name="_ETM_Q134_581999"/>
      <w:bookmarkEnd w:id="75721"/>
      <w:r>
        <w:rPr>
          <w:rFonts w:hint="cs"/>
          <w:rtl/>
        </w:rPr>
        <w:t xml:space="preserve">מהמרחב </w:t>
      </w:r>
      <w:bookmarkStart w:id="75722" w:name="_ETM_Q134_582719"/>
      <w:bookmarkEnd w:id="75722"/>
      <w:r>
        <w:rPr>
          <w:rFonts w:hint="cs"/>
          <w:rtl/>
        </w:rPr>
        <w:t xml:space="preserve">הציבורי, </w:t>
      </w:r>
      <w:bookmarkStart w:id="75723" w:name="_ETM_Q134_583799"/>
      <w:bookmarkEnd w:id="75723"/>
      <w:r>
        <w:rPr>
          <w:rFonts w:hint="cs"/>
          <w:rtl/>
        </w:rPr>
        <w:t xml:space="preserve">ועוד </w:t>
      </w:r>
      <w:bookmarkStart w:id="75724" w:name="_ETM_Q134_585189"/>
      <w:bookmarkEnd w:id="75724"/>
      <w:r>
        <w:rPr>
          <w:rFonts w:hint="cs"/>
          <w:rtl/>
        </w:rPr>
        <w:t xml:space="preserve">שרה </w:t>
      </w:r>
      <w:bookmarkStart w:id="75725" w:name="_ETM_Q134_586339"/>
      <w:bookmarkEnd w:id="75725"/>
      <w:r>
        <w:rPr>
          <w:rFonts w:hint="cs"/>
          <w:rtl/>
        </w:rPr>
        <w:t xml:space="preserve">עם </w:t>
      </w:r>
      <w:bookmarkStart w:id="75726" w:name="_ETM_Q134_586759"/>
      <w:bookmarkEnd w:id="75726"/>
      <w:r>
        <w:rPr>
          <w:rFonts w:hint="cs"/>
          <w:rtl/>
        </w:rPr>
        <w:t xml:space="preserve">תגובות </w:t>
      </w:r>
      <w:bookmarkStart w:id="75727" w:name="_ETM_Q134_587389"/>
      <w:bookmarkEnd w:id="75727"/>
      <w:r>
        <w:rPr>
          <w:rFonts w:hint="cs"/>
          <w:rtl/>
        </w:rPr>
        <w:t xml:space="preserve">מאוד </w:t>
      </w:r>
      <w:bookmarkStart w:id="75728" w:name="_ETM_Q134_587810"/>
      <w:bookmarkStart w:id="75729" w:name="_ETM_Q134_587869"/>
      <w:bookmarkEnd w:id="75728"/>
      <w:bookmarkEnd w:id="75729"/>
      <w:r>
        <w:rPr>
          <w:rFonts w:hint="cs"/>
          <w:rtl/>
        </w:rPr>
        <w:t xml:space="preserve">סבירות – </w:t>
      </w:r>
      <w:bookmarkStart w:id="75730" w:name="_ETM_Q134_589000"/>
      <w:bookmarkEnd w:id="75730"/>
      <w:r>
        <w:rPr>
          <w:rFonts w:hint="cs"/>
          <w:rtl/>
        </w:rPr>
        <w:t xml:space="preserve">מתעצבנת </w:t>
      </w:r>
      <w:bookmarkStart w:id="75731" w:name="_ETM_Q134_590459"/>
      <w:bookmarkEnd w:id="75731"/>
      <w:r>
        <w:rPr>
          <w:rFonts w:hint="cs"/>
          <w:rtl/>
        </w:rPr>
        <w:t xml:space="preserve">והולכת </w:t>
      </w:r>
      <w:bookmarkStart w:id="75732" w:name="_ETM_Q134_591389"/>
      <w:bookmarkEnd w:id="75732"/>
      <w:r>
        <w:rPr>
          <w:rFonts w:hint="cs"/>
          <w:rtl/>
        </w:rPr>
        <w:t xml:space="preserve">לשבור </w:t>
      </w:r>
      <w:bookmarkStart w:id="75733" w:name="_ETM_Q134_592229"/>
      <w:bookmarkEnd w:id="75733"/>
      <w:r>
        <w:rPr>
          <w:rFonts w:hint="cs"/>
          <w:rtl/>
        </w:rPr>
        <w:t xml:space="preserve">אגרטלים </w:t>
      </w:r>
      <w:bookmarkStart w:id="75734" w:name="_ETM_Q134_593459"/>
      <w:bookmarkEnd w:id="75734"/>
      <w:r>
        <w:rPr>
          <w:rFonts w:hint="cs"/>
          <w:rtl/>
        </w:rPr>
        <w:t xml:space="preserve">בדרך </w:t>
      </w:r>
      <w:bookmarkStart w:id="75735" w:name="_ETM_Q134_594179"/>
      <w:bookmarkEnd w:id="75735"/>
      <w:r>
        <w:rPr>
          <w:rFonts w:hint="cs"/>
          <w:rtl/>
        </w:rPr>
        <w:t xml:space="preserve">להסברה </w:t>
      </w:r>
      <w:bookmarkStart w:id="75736" w:name="_ETM_Q134_594929"/>
      <w:bookmarkEnd w:id="75736"/>
      <w:r>
        <w:rPr>
          <w:rFonts w:hint="cs"/>
          <w:rtl/>
        </w:rPr>
        <w:t xml:space="preserve">נכונה. </w:t>
      </w:r>
      <w:bookmarkStart w:id="75737" w:name="_ETM_Q134_596009"/>
      <w:bookmarkEnd w:id="75737"/>
      <w:r>
        <w:rPr>
          <w:rFonts w:hint="cs"/>
          <w:rtl/>
        </w:rPr>
        <w:t xml:space="preserve">תגידו, </w:t>
      </w:r>
      <w:bookmarkStart w:id="75738" w:name="_ETM_Q134_596520"/>
      <w:bookmarkEnd w:id="75738"/>
      <w:r>
        <w:rPr>
          <w:rFonts w:hint="cs"/>
          <w:rtl/>
        </w:rPr>
        <w:t xml:space="preserve">מה </w:t>
      </w:r>
      <w:bookmarkStart w:id="75739" w:name="_ETM_Q134_596729"/>
      <w:bookmarkEnd w:id="75739"/>
      <w:r>
        <w:rPr>
          <w:rFonts w:hint="cs"/>
          <w:rtl/>
        </w:rPr>
        <w:t xml:space="preserve">לא </w:t>
      </w:r>
      <w:bookmarkStart w:id="75740" w:name="_ETM_Q134_596939"/>
      <w:bookmarkEnd w:id="75740"/>
      <w:r>
        <w:rPr>
          <w:rFonts w:hint="cs"/>
          <w:rtl/>
        </w:rPr>
        <w:t xml:space="preserve">סביר </w:t>
      </w:r>
      <w:bookmarkStart w:id="75741" w:name="_ETM_Q134_597599"/>
      <w:bookmarkEnd w:id="75741"/>
      <w:r>
        <w:rPr>
          <w:rFonts w:hint="cs"/>
          <w:rtl/>
        </w:rPr>
        <w:t>בזה?</w:t>
      </w:r>
    </w:p>
    <w:p w:rsidR="00BB59CD" w:rsidRDefault="00BB59CD" w:rsidP="00BB59CD">
      <w:pPr>
        <w:rPr>
          <w:rtl/>
        </w:rPr>
      </w:pPr>
      <w:bookmarkStart w:id="75742" w:name="_ETM_Q134_598000"/>
      <w:bookmarkEnd w:id="75742"/>
    </w:p>
    <w:p w:rsidR="00903A0D" w:rsidRDefault="00BB59CD" w:rsidP="00BB59CD">
      <w:pPr>
        <w:rPr>
          <w:rtl/>
        </w:rPr>
      </w:pPr>
      <w:bookmarkStart w:id="75743" w:name="_ETM_Q134_599000"/>
      <w:bookmarkStart w:id="75744" w:name="_ETM_Q134_600420"/>
      <w:bookmarkEnd w:id="75743"/>
      <w:bookmarkEnd w:id="75744"/>
      <w:r>
        <w:rPr>
          <w:rFonts w:hint="cs"/>
          <w:rtl/>
        </w:rPr>
        <w:t xml:space="preserve">לא </w:t>
      </w:r>
      <w:bookmarkStart w:id="75745" w:name="_ETM_Q134_600659"/>
      <w:bookmarkEnd w:id="75745"/>
      <w:r>
        <w:rPr>
          <w:rFonts w:hint="cs"/>
          <w:rtl/>
        </w:rPr>
        <w:t xml:space="preserve">מספיק </w:t>
      </w:r>
      <w:bookmarkStart w:id="75746" w:name="_ETM_Q134_601320"/>
      <w:bookmarkEnd w:id="75746"/>
      <w:r>
        <w:rPr>
          <w:rFonts w:hint="cs"/>
          <w:rtl/>
        </w:rPr>
        <w:t xml:space="preserve">לכם? </w:t>
      </w:r>
      <w:bookmarkStart w:id="75747" w:name="_ETM_Q134_602409"/>
      <w:bookmarkEnd w:id="75747"/>
      <w:r>
        <w:rPr>
          <w:rFonts w:hint="cs"/>
          <w:rtl/>
        </w:rPr>
        <w:t xml:space="preserve">אז </w:t>
      </w:r>
      <w:bookmarkStart w:id="75748" w:name="_ETM_Q134_602799"/>
      <w:bookmarkEnd w:id="75748"/>
      <w:r>
        <w:rPr>
          <w:rFonts w:hint="cs"/>
          <w:rtl/>
        </w:rPr>
        <w:t xml:space="preserve">השר </w:t>
      </w:r>
      <w:bookmarkStart w:id="75749" w:name="_ETM_Q134_603220"/>
      <w:bookmarkEnd w:id="75749"/>
      <w:r>
        <w:rPr>
          <w:rFonts w:hint="cs"/>
          <w:rtl/>
        </w:rPr>
        <w:t xml:space="preserve">האמון </w:t>
      </w:r>
      <w:bookmarkStart w:id="75750" w:name="_ETM_Q134_603760"/>
      <w:bookmarkEnd w:id="75750"/>
      <w:r>
        <w:rPr>
          <w:rFonts w:hint="cs"/>
          <w:rtl/>
        </w:rPr>
        <w:t xml:space="preserve">על </w:t>
      </w:r>
      <w:bookmarkStart w:id="75751" w:name="_ETM_Q134_603970"/>
      <w:bookmarkEnd w:id="75751"/>
      <w:r>
        <w:rPr>
          <w:rFonts w:hint="cs"/>
          <w:rtl/>
        </w:rPr>
        <w:t xml:space="preserve">ההפיכה </w:t>
      </w:r>
      <w:bookmarkStart w:id="75752" w:name="_ETM_Q134_604720"/>
      <w:bookmarkEnd w:id="75752"/>
      <w:r>
        <w:rPr>
          <w:rFonts w:hint="cs"/>
          <w:rtl/>
        </w:rPr>
        <w:t xml:space="preserve">הזו, </w:t>
      </w:r>
      <w:bookmarkStart w:id="75753" w:name="_ETM_Q134_605589"/>
      <w:bookmarkEnd w:id="75753"/>
      <w:r>
        <w:rPr>
          <w:rFonts w:hint="cs"/>
          <w:rtl/>
        </w:rPr>
        <w:t xml:space="preserve">ששקד </w:t>
      </w:r>
      <w:bookmarkStart w:id="75754" w:name="_ETM_Q134_605950"/>
      <w:bookmarkStart w:id="75755" w:name="_ETM_Q134_606279"/>
      <w:bookmarkEnd w:id="75754"/>
      <w:bookmarkEnd w:id="75755"/>
      <w:r>
        <w:rPr>
          <w:rFonts w:hint="cs"/>
          <w:rtl/>
        </w:rPr>
        <w:t xml:space="preserve">עליה </w:t>
      </w:r>
      <w:bookmarkStart w:id="75756" w:name="_ETM_Q134_606700"/>
      <w:bookmarkEnd w:id="75756"/>
      <w:r>
        <w:rPr>
          <w:rFonts w:hint="cs"/>
          <w:rtl/>
        </w:rPr>
        <w:t xml:space="preserve">20 </w:t>
      </w:r>
      <w:bookmarkStart w:id="75757" w:name="_ETM_Q134_607119"/>
      <w:bookmarkEnd w:id="75757"/>
      <w:r>
        <w:rPr>
          <w:rFonts w:hint="cs"/>
          <w:rtl/>
        </w:rPr>
        <w:t xml:space="preserve">שנה </w:t>
      </w:r>
      <w:bookmarkStart w:id="75758" w:name="_ETM_Q134_607999"/>
      <w:bookmarkEnd w:id="75758"/>
      <w:r>
        <w:rPr>
          <w:rFonts w:hint="cs"/>
          <w:rtl/>
        </w:rPr>
        <w:t xml:space="preserve">עד </w:t>
      </w:r>
      <w:bookmarkStart w:id="75759" w:name="_ETM_Q134_608239"/>
      <w:bookmarkEnd w:id="75759"/>
      <w:r>
        <w:rPr>
          <w:rFonts w:hint="cs"/>
          <w:rtl/>
        </w:rPr>
        <w:t xml:space="preserve">שהתחיל </w:t>
      </w:r>
      <w:bookmarkStart w:id="75760" w:name="_ETM_Q134_608839"/>
      <w:bookmarkStart w:id="75761" w:name="_ETM_Q134_608989"/>
      <w:bookmarkEnd w:id="75760"/>
      <w:bookmarkEnd w:id="75761"/>
      <w:r>
        <w:rPr>
          <w:rFonts w:hint="cs"/>
          <w:rtl/>
        </w:rPr>
        <w:t xml:space="preserve">להוציאה </w:t>
      </w:r>
      <w:bookmarkStart w:id="75762" w:name="_ETM_Q134_609530"/>
      <w:bookmarkEnd w:id="75762"/>
      <w:r>
        <w:rPr>
          <w:rFonts w:hint="cs"/>
          <w:rtl/>
        </w:rPr>
        <w:t xml:space="preserve">לאור, </w:t>
      </w:r>
      <w:bookmarkStart w:id="75763" w:name="_ETM_Q134_610459"/>
      <w:bookmarkEnd w:id="75763"/>
      <w:r>
        <w:rPr>
          <w:rFonts w:hint="cs"/>
          <w:rtl/>
        </w:rPr>
        <w:t xml:space="preserve">רוצה </w:t>
      </w:r>
      <w:bookmarkStart w:id="75764" w:name="_ETM_Q134_610879"/>
      <w:bookmarkEnd w:id="75764"/>
      <w:r>
        <w:rPr>
          <w:rFonts w:hint="cs"/>
          <w:rtl/>
        </w:rPr>
        <w:t xml:space="preserve">לשנות </w:t>
      </w:r>
      <w:bookmarkStart w:id="75765" w:name="_ETM_Q134_611480"/>
      <w:bookmarkEnd w:id="75765"/>
      <w:r>
        <w:rPr>
          <w:rFonts w:hint="cs"/>
          <w:rtl/>
        </w:rPr>
        <w:t xml:space="preserve">את </w:t>
      </w:r>
      <w:bookmarkStart w:id="75766" w:name="_ETM_Q134_611659"/>
      <w:bookmarkEnd w:id="75766"/>
      <w:r>
        <w:rPr>
          <w:rFonts w:hint="cs"/>
          <w:rtl/>
        </w:rPr>
        <w:t xml:space="preserve">הרכב </w:t>
      </w:r>
      <w:bookmarkStart w:id="75767" w:name="_ETM_Q134_612110"/>
      <w:bookmarkEnd w:id="75767"/>
      <w:r>
        <w:rPr>
          <w:rFonts w:hint="cs"/>
          <w:rtl/>
        </w:rPr>
        <w:t xml:space="preserve">השופטים </w:t>
      </w:r>
      <w:bookmarkStart w:id="75768" w:name="_ETM_Q134_613129"/>
      <w:bookmarkEnd w:id="75768"/>
      <w:r>
        <w:rPr>
          <w:rFonts w:hint="cs"/>
          <w:rtl/>
        </w:rPr>
        <w:t xml:space="preserve">שיושב </w:t>
      </w:r>
      <w:bookmarkStart w:id="75769" w:name="_ETM_Q134_613730"/>
      <w:bookmarkEnd w:id="75769"/>
      <w:r>
        <w:rPr>
          <w:rFonts w:hint="cs"/>
          <w:rtl/>
        </w:rPr>
        <w:t xml:space="preserve">בעליון. </w:t>
      </w:r>
      <w:bookmarkStart w:id="75770" w:name="_ETM_Q134_616200"/>
      <w:bookmarkEnd w:id="75770"/>
      <w:r>
        <w:rPr>
          <w:rFonts w:hint="cs"/>
          <w:rtl/>
        </w:rPr>
        <w:t xml:space="preserve">הוא </w:t>
      </w:r>
      <w:bookmarkStart w:id="75771" w:name="_ETM_Q134_616769"/>
      <w:bookmarkEnd w:id="75771"/>
      <w:r>
        <w:rPr>
          <w:rFonts w:hint="cs"/>
          <w:rtl/>
        </w:rPr>
        <w:t xml:space="preserve">טוען </w:t>
      </w:r>
      <w:bookmarkStart w:id="75772" w:name="_ETM_Q134_617430"/>
      <w:bookmarkEnd w:id="75772"/>
      <w:r>
        <w:rPr>
          <w:rFonts w:hint="cs"/>
          <w:rtl/>
        </w:rPr>
        <w:t xml:space="preserve">שהוא </w:t>
      </w:r>
      <w:bookmarkStart w:id="75773" w:name="_ETM_Q134_617760"/>
      <w:bookmarkEnd w:id="75773"/>
      <w:r>
        <w:rPr>
          <w:rFonts w:hint="cs"/>
          <w:rtl/>
        </w:rPr>
        <w:t xml:space="preserve">רוצה </w:t>
      </w:r>
      <w:bookmarkStart w:id="75774" w:name="_ETM_Q134_618209"/>
      <w:bookmarkEnd w:id="75774"/>
      <w:r>
        <w:rPr>
          <w:rFonts w:hint="cs"/>
          <w:rtl/>
        </w:rPr>
        <w:t xml:space="preserve">לשנות </w:t>
      </w:r>
      <w:bookmarkStart w:id="75775" w:name="_ETM_Q134_618840"/>
      <w:bookmarkEnd w:id="75775"/>
      <w:r>
        <w:rPr>
          <w:rFonts w:hint="cs"/>
          <w:rtl/>
        </w:rPr>
        <w:t xml:space="preserve">את </w:t>
      </w:r>
      <w:bookmarkStart w:id="75776" w:name="_ETM_Q134_618989"/>
      <w:bookmarkEnd w:id="75776"/>
      <w:r>
        <w:rPr>
          <w:rFonts w:hint="cs"/>
          <w:rtl/>
        </w:rPr>
        <w:t xml:space="preserve">זה </w:t>
      </w:r>
      <w:bookmarkStart w:id="75777" w:name="_ETM_Q134_619470"/>
      <w:bookmarkEnd w:id="75777"/>
      <w:r>
        <w:rPr>
          <w:rFonts w:hint="cs"/>
          <w:rtl/>
        </w:rPr>
        <w:t xml:space="preserve">להרכב </w:t>
      </w:r>
      <w:bookmarkStart w:id="75778" w:name="_ETM_Q134_620129"/>
      <w:bookmarkEnd w:id="75778"/>
      <w:r>
        <w:rPr>
          <w:rFonts w:hint="cs"/>
          <w:rtl/>
        </w:rPr>
        <w:t xml:space="preserve">שמבין </w:t>
      </w:r>
      <w:bookmarkStart w:id="75779" w:name="_ETM_Q134_621390"/>
      <w:bookmarkEnd w:id="75779"/>
      <w:r>
        <w:t>–</w:t>
      </w:r>
      <w:r>
        <w:rPr>
          <w:rFonts w:hint="cs"/>
          <w:rtl/>
        </w:rPr>
        <w:t xml:space="preserve"> </w:t>
      </w:r>
      <w:bookmarkStart w:id="75780" w:name="_ETM_Q134_622079"/>
      <w:bookmarkEnd w:id="75780"/>
      <w:r>
        <w:rPr>
          <w:rFonts w:hint="cs"/>
          <w:rtl/>
        </w:rPr>
        <w:t>בחדרי</w:t>
      </w:r>
      <w:bookmarkStart w:id="75781" w:name="_ETM_Q134_622620"/>
      <w:bookmarkEnd w:id="75781"/>
      <w:r>
        <w:rPr>
          <w:rFonts w:hint="cs"/>
          <w:rtl/>
        </w:rPr>
        <w:t xml:space="preserve">-חדרים </w:t>
      </w:r>
      <w:bookmarkStart w:id="75782" w:name="_ETM_Q134_623129"/>
      <w:bookmarkEnd w:id="75782"/>
      <w:r>
        <w:rPr>
          <w:rFonts w:hint="cs"/>
          <w:rtl/>
        </w:rPr>
        <w:t xml:space="preserve">הוא </w:t>
      </w:r>
      <w:bookmarkStart w:id="75783" w:name="_ETM_Q134_623250"/>
      <w:bookmarkEnd w:id="75783"/>
      <w:r>
        <w:rPr>
          <w:rFonts w:hint="cs"/>
          <w:rtl/>
        </w:rPr>
        <w:t xml:space="preserve">אומר </w:t>
      </w:r>
      <w:bookmarkStart w:id="75784" w:name="_ETM_Q134_623549"/>
      <w:bookmarkEnd w:id="75784"/>
      <w:r>
        <w:rPr>
          <w:rFonts w:hint="cs"/>
          <w:rtl/>
        </w:rPr>
        <w:t xml:space="preserve">את </w:t>
      </w:r>
      <w:bookmarkStart w:id="75785" w:name="_ETM_Q134_623670"/>
      <w:bookmarkEnd w:id="75785"/>
      <w:r>
        <w:rPr>
          <w:rFonts w:hint="cs"/>
          <w:rtl/>
        </w:rPr>
        <w:t>זה</w:t>
      </w:r>
      <w:bookmarkStart w:id="75786" w:name="_ETM_Q134_624410"/>
      <w:bookmarkEnd w:id="75786"/>
      <w:r>
        <w:rPr>
          <w:rFonts w:hint="cs"/>
          <w:rtl/>
        </w:rPr>
        <w:t xml:space="preserve"> </w:t>
      </w:r>
      <w:r>
        <w:t>–</w:t>
      </w:r>
      <w:r>
        <w:rPr>
          <w:rFonts w:hint="cs"/>
          <w:rtl/>
        </w:rPr>
        <w:t xml:space="preserve"> כי הערבים </w:t>
      </w:r>
      <w:bookmarkStart w:id="75787" w:name="_ETM_Q134_625130"/>
      <w:bookmarkEnd w:id="75787"/>
      <w:r>
        <w:rPr>
          <w:rFonts w:hint="cs"/>
          <w:rtl/>
        </w:rPr>
        <w:t xml:space="preserve">קונים </w:t>
      </w:r>
      <w:bookmarkStart w:id="75788" w:name="_ETM_Q134_625640"/>
      <w:bookmarkEnd w:id="75788"/>
      <w:r>
        <w:rPr>
          <w:rFonts w:hint="cs"/>
          <w:rtl/>
        </w:rPr>
        <w:t xml:space="preserve">דירות </w:t>
      </w:r>
      <w:bookmarkStart w:id="75789" w:name="_ETM_Q134_626450"/>
      <w:bookmarkEnd w:id="75789"/>
      <w:r>
        <w:rPr>
          <w:rFonts w:hint="cs"/>
          <w:rtl/>
        </w:rPr>
        <w:t xml:space="preserve">וגורמים </w:t>
      </w:r>
      <w:bookmarkStart w:id="75790" w:name="_ETM_Q134_627200"/>
      <w:bookmarkEnd w:id="75790"/>
      <w:r>
        <w:rPr>
          <w:rFonts w:hint="cs"/>
          <w:rtl/>
        </w:rPr>
        <w:t xml:space="preserve">ליהודים </w:t>
      </w:r>
      <w:bookmarkStart w:id="75791" w:name="_ETM_Q134_628040"/>
      <w:bookmarkEnd w:id="75791"/>
      <w:r>
        <w:rPr>
          <w:rFonts w:hint="cs"/>
          <w:rtl/>
        </w:rPr>
        <w:t xml:space="preserve">לעזוב. </w:t>
      </w:r>
      <w:bookmarkStart w:id="75792" w:name="_ETM_Q134_630570"/>
      <w:bookmarkEnd w:id="75792"/>
    </w:p>
    <w:p w:rsidR="00903A0D" w:rsidRDefault="00903A0D" w:rsidP="00BB59CD">
      <w:pPr>
        <w:rPr>
          <w:rtl/>
        </w:rPr>
      </w:pPr>
    </w:p>
    <w:p w:rsidR="00BB59CD" w:rsidRDefault="00BB59CD" w:rsidP="00903A0D">
      <w:pPr>
        <w:rPr>
          <w:rtl/>
        </w:rPr>
      </w:pPr>
      <w:r>
        <w:rPr>
          <w:rFonts w:hint="cs"/>
          <w:rtl/>
        </w:rPr>
        <w:t xml:space="preserve">אז </w:t>
      </w:r>
      <w:bookmarkStart w:id="75793" w:name="_ETM_Q134_630870"/>
      <w:bookmarkEnd w:id="75793"/>
      <w:r>
        <w:rPr>
          <w:rFonts w:hint="cs"/>
          <w:rtl/>
        </w:rPr>
        <w:t xml:space="preserve">לתפארת </w:t>
      </w:r>
      <w:bookmarkStart w:id="75794" w:name="_ETM_Q134_631140"/>
      <w:bookmarkStart w:id="75795" w:name="_ETM_Q134_631620"/>
      <w:bookmarkStart w:id="75796" w:name="_ETM_Q134_631770"/>
      <w:bookmarkEnd w:id="75794"/>
      <w:bookmarkEnd w:id="75795"/>
      <w:bookmarkEnd w:id="75796"/>
      <w:r>
        <w:rPr>
          <w:rFonts w:hint="cs"/>
          <w:rtl/>
        </w:rPr>
        <w:t xml:space="preserve">מי </w:t>
      </w:r>
      <w:bookmarkStart w:id="75797" w:name="_ETM_Q134_632010"/>
      <w:bookmarkEnd w:id="75797"/>
      <w:r>
        <w:rPr>
          <w:rFonts w:hint="cs"/>
          <w:rtl/>
        </w:rPr>
        <w:t xml:space="preserve">שהרימו </w:t>
      </w:r>
      <w:bookmarkStart w:id="75798" w:name="_ETM_Q134_632700"/>
      <w:bookmarkEnd w:id="75798"/>
      <w:r>
        <w:rPr>
          <w:rFonts w:hint="cs"/>
          <w:rtl/>
        </w:rPr>
        <w:t xml:space="preserve">ידיים </w:t>
      </w:r>
      <w:bookmarkStart w:id="75799" w:name="_ETM_Q134_633390"/>
      <w:bookmarkEnd w:id="75799"/>
      <w:r>
        <w:rPr>
          <w:rFonts w:hint="cs"/>
          <w:rtl/>
        </w:rPr>
        <w:t xml:space="preserve">ב-2018 </w:t>
      </w:r>
      <w:bookmarkStart w:id="75800" w:name="_ETM_Q134_635070"/>
      <w:bookmarkEnd w:id="75800"/>
      <w:r>
        <w:rPr>
          <w:rFonts w:hint="cs"/>
          <w:rtl/>
        </w:rPr>
        <w:t xml:space="preserve">בעד </w:t>
      </w:r>
      <w:bookmarkStart w:id="75801" w:name="_ETM_Q134_635460"/>
      <w:bookmarkEnd w:id="75801"/>
      <w:r>
        <w:rPr>
          <w:rFonts w:hint="cs"/>
          <w:rtl/>
        </w:rPr>
        <w:t xml:space="preserve">חוק </w:t>
      </w:r>
      <w:bookmarkStart w:id="75802" w:name="_ETM_Q134_635820"/>
      <w:bookmarkEnd w:id="75802"/>
      <w:r>
        <w:rPr>
          <w:rFonts w:hint="cs"/>
          <w:rtl/>
        </w:rPr>
        <w:t xml:space="preserve">הלאום, </w:t>
      </w:r>
      <w:bookmarkStart w:id="75803" w:name="_ETM_Q134_637870"/>
      <w:bookmarkEnd w:id="75803"/>
      <w:r>
        <w:rPr>
          <w:rFonts w:hint="cs"/>
          <w:rtl/>
        </w:rPr>
        <w:t xml:space="preserve">ואני </w:t>
      </w:r>
      <w:bookmarkStart w:id="75804" w:name="_ETM_Q134_638350"/>
      <w:bookmarkEnd w:id="75804"/>
      <w:r>
        <w:rPr>
          <w:rFonts w:hint="cs"/>
          <w:rtl/>
        </w:rPr>
        <w:t xml:space="preserve">כוללת </w:t>
      </w:r>
      <w:bookmarkStart w:id="75805" w:name="_ETM_Q134_638920"/>
      <w:bookmarkEnd w:id="75805"/>
      <w:r>
        <w:rPr>
          <w:rFonts w:hint="cs"/>
          <w:rtl/>
        </w:rPr>
        <w:t xml:space="preserve">גם </w:t>
      </w:r>
      <w:bookmarkStart w:id="75806" w:name="_ETM_Q134_639160"/>
      <w:bookmarkEnd w:id="75806"/>
      <w:r>
        <w:rPr>
          <w:rFonts w:hint="cs"/>
          <w:rtl/>
        </w:rPr>
        <w:t xml:space="preserve">את </w:t>
      </w:r>
      <w:bookmarkStart w:id="75807" w:name="_ETM_Q134_639340"/>
      <w:bookmarkEnd w:id="75807"/>
      <w:r>
        <w:rPr>
          <w:rFonts w:hint="cs"/>
          <w:rtl/>
        </w:rPr>
        <w:t xml:space="preserve">בג"ץ, </w:t>
      </w:r>
      <w:bookmarkStart w:id="75808" w:name="_ETM_Q134_640410"/>
      <w:bookmarkEnd w:id="75808"/>
      <w:r>
        <w:rPr>
          <w:rFonts w:hint="cs"/>
          <w:rtl/>
        </w:rPr>
        <w:t xml:space="preserve">שנתן </w:t>
      </w:r>
      <w:bookmarkStart w:id="75809" w:name="_ETM_Q134_641070"/>
      <w:bookmarkEnd w:id="75809"/>
      <w:r>
        <w:rPr>
          <w:rFonts w:hint="cs"/>
          <w:rtl/>
        </w:rPr>
        <w:t xml:space="preserve">גושפנקה </w:t>
      </w:r>
      <w:bookmarkStart w:id="75810" w:name="_ETM_Q134_642030"/>
      <w:bookmarkEnd w:id="75810"/>
      <w:r>
        <w:rPr>
          <w:rFonts w:hint="cs"/>
          <w:rtl/>
        </w:rPr>
        <w:t xml:space="preserve">בזה </w:t>
      </w:r>
      <w:bookmarkStart w:id="75811" w:name="_ETM_Q134_642450"/>
      <w:bookmarkEnd w:id="75811"/>
      <w:r>
        <w:rPr>
          <w:rFonts w:hint="cs"/>
          <w:rtl/>
        </w:rPr>
        <w:t>ש</w:t>
      </w:r>
      <w:bookmarkStart w:id="75812" w:name="_ETM_Q134_642690"/>
      <w:bookmarkEnd w:id="75812"/>
      <w:r>
        <w:rPr>
          <w:rFonts w:hint="cs"/>
          <w:rtl/>
        </w:rPr>
        <w:t xml:space="preserve">זרק </w:t>
      </w:r>
      <w:bookmarkStart w:id="75813" w:name="_ETM_Q134_643080"/>
      <w:bookmarkStart w:id="75814" w:name="_ETM_Q134_643440"/>
      <w:bookmarkEnd w:id="75813"/>
      <w:bookmarkEnd w:id="75814"/>
      <w:r>
        <w:rPr>
          <w:rFonts w:hint="cs"/>
          <w:rtl/>
        </w:rPr>
        <w:t xml:space="preserve">את העותרים </w:t>
      </w:r>
      <w:bookmarkStart w:id="75815" w:name="_ETM_Q134_644310"/>
      <w:bookmarkEnd w:id="75815"/>
      <w:r>
        <w:rPr>
          <w:rFonts w:hint="cs"/>
          <w:rtl/>
        </w:rPr>
        <w:t>מהמדרגות</w:t>
      </w:r>
      <w:bookmarkStart w:id="75816" w:name="_ETM_Q134_645990"/>
      <w:bookmarkEnd w:id="75816"/>
      <w:r>
        <w:rPr>
          <w:rFonts w:hint="cs"/>
          <w:rtl/>
        </w:rPr>
        <w:t xml:space="preserve">, ומי </w:t>
      </w:r>
      <w:bookmarkStart w:id="75817" w:name="_ETM_Q134_646470"/>
      <w:bookmarkEnd w:id="75817"/>
      <w:r>
        <w:rPr>
          <w:rFonts w:hint="cs"/>
          <w:rtl/>
        </w:rPr>
        <w:t xml:space="preserve">שמילאו </w:t>
      </w:r>
      <w:bookmarkStart w:id="75818" w:name="_ETM_Q134_647160"/>
      <w:bookmarkEnd w:id="75818"/>
      <w:r>
        <w:rPr>
          <w:rFonts w:hint="cs"/>
          <w:rtl/>
        </w:rPr>
        <w:t xml:space="preserve">את </w:t>
      </w:r>
      <w:bookmarkStart w:id="75819" w:name="_ETM_Q134_647340"/>
      <w:bookmarkEnd w:id="75819"/>
      <w:r>
        <w:rPr>
          <w:rFonts w:hint="cs"/>
          <w:rtl/>
        </w:rPr>
        <w:t xml:space="preserve">פיהם </w:t>
      </w:r>
      <w:bookmarkStart w:id="75820" w:name="_ETM_Q134_647910"/>
      <w:bookmarkEnd w:id="75820"/>
      <w:r>
        <w:rPr>
          <w:rFonts w:hint="cs"/>
          <w:rtl/>
        </w:rPr>
        <w:t xml:space="preserve">מים </w:t>
      </w:r>
      <w:bookmarkStart w:id="75821" w:name="_ETM_Q134_648330"/>
      <w:bookmarkEnd w:id="75821"/>
      <w:r>
        <w:rPr>
          <w:rFonts w:hint="cs"/>
          <w:rtl/>
        </w:rPr>
        <w:t xml:space="preserve">פעם </w:t>
      </w:r>
      <w:bookmarkStart w:id="75822" w:name="_ETM_Q134_648780"/>
      <w:bookmarkEnd w:id="75822"/>
      <w:r>
        <w:rPr>
          <w:rFonts w:hint="cs"/>
          <w:rtl/>
        </w:rPr>
        <w:t xml:space="preserve">אחר </w:t>
      </w:r>
      <w:bookmarkStart w:id="75823" w:name="_ETM_Q134_649200"/>
      <w:bookmarkEnd w:id="75823"/>
      <w:r>
        <w:rPr>
          <w:rFonts w:hint="cs"/>
          <w:rtl/>
        </w:rPr>
        <w:t xml:space="preserve">פעם </w:t>
      </w:r>
      <w:bookmarkStart w:id="75824" w:name="_ETM_Q134_650160"/>
      <w:bookmarkStart w:id="75825" w:name="_ETM_Q134_650400"/>
      <w:bookmarkEnd w:id="75824"/>
      <w:bookmarkEnd w:id="75825"/>
      <w:r>
        <w:rPr>
          <w:rFonts w:hint="cs"/>
          <w:rtl/>
        </w:rPr>
        <w:t xml:space="preserve">מול </w:t>
      </w:r>
      <w:bookmarkStart w:id="75826" w:name="_ETM_Q134_650700"/>
      <w:bookmarkEnd w:id="75826"/>
      <w:r>
        <w:rPr>
          <w:rFonts w:hint="cs"/>
          <w:rtl/>
        </w:rPr>
        <w:t xml:space="preserve">הגזענות </w:t>
      </w:r>
      <w:bookmarkStart w:id="75827" w:name="_ETM_Q134_651450"/>
      <w:bookmarkEnd w:id="75827"/>
      <w:r>
        <w:rPr>
          <w:rFonts w:hint="cs"/>
          <w:rtl/>
        </w:rPr>
        <w:t xml:space="preserve">והאפליה </w:t>
      </w:r>
      <w:bookmarkStart w:id="75828" w:name="_ETM_Q134_652320"/>
      <w:bookmarkEnd w:id="75828"/>
      <w:r>
        <w:rPr>
          <w:rFonts w:hint="cs"/>
          <w:rtl/>
        </w:rPr>
        <w:t xml:space="preserve">הדוהרות, </w:t>
      </w:r>
      <w:bookmarkStart w:id="75829" w:name="_ETM_Q134_653700"/>
      <w:bookmarkEnd w:id="75829"/>
      <w:r>
        <w:rPr>
          <w:rFonts w:hint="cs"/>
          <w:rtl/>
        </w:rPr>
        <w:t>ומי ש</w:t>
      </w:r>
      <w:bookmarkStart w:id="75830" w:name="_ETM_Q134_654420"/>
      <w:bookmarkEnd w:id="75830"/>
      <w:r>
        <w:rPr>
          <w:rFonts w:hint="cs"/>
          <w:rtl/>
        </w:rPr>
        <w:t xml:space="preserve">בשם </w:t>
      </w:r>
      <w:bookmarkStart w:id="75831" w:name="_ETM_Q134_654990"/>
      <w:bookmarkEnd w:id="75831"/>
      <w:r>
        <w:rPr>
          <w:rFonts w:hint="cs"/>
          <w:rtl/>
        </w:rPr>
        <w:t xml:space="preserve">הביטחון </w:t>
      </w:r>
      <w:bookmarkStart w:id="75832" w:name="_ETM_Q134_655830"/>
      <w:bookmarkEnd w:id="75832"/>
      <w:r>
        <w:rPr>
          <w:rFonts w:hint="cs"/>
          <w:rtl/>
        </w:rPr>
        <w:t xml:space="preserve">המדומה </w:t>
      </w:r>
      <w:bookmarkStart w:id="75833" w:name="_ETM_Q134_656610"/>
      <w:bookmarkStart w:id="75834" w:name="_ETM_Q134_657890"/>
      <w:bookmarkEnd w:id="75833"/>
      <w:bookmarkEnd w:id="75834"/>
      <w:r>
        <w:rPr>
          <w:rFonts w:hint="cs"/>
          <w:rtl/>
        </w:rPr>
        <w:t xml:space="preserve">אין </w:t>
      </w:r>
      <w:bookmarkStart w:id="75835" w:name="_ETM_Q134_658129"/>
      <w:bookmarkEnd w:id="75835"/>
      <w:r>
        <w:rPr>
          <w:rFonts w:hint="cs"/>
          <w:rtl/>
        </w:rPr>
        <w:t xml:space="preserve">להם </w:t>
      </w:r>
      <w:bookmarkStart w:id="75836" w:name="_ETM_Q134_658400"/>
      <w:bookmarkEnd w:id="75836"/>
      <w:r>
        <w:rPr>
          <w:rFonts w:hint="cs"/>
          <w:rtl/>
        </w:rPr>
        <w:t xml:space="preserve">בעיה </w:t>
      </w:r>
      <w:bookmarkStart w:id="75837" w:name="_ETM_Q134_658849"/>
      <w:bookmarkEnd w:id="75837"/>
      <w:r>
        <w:rPr>
          <w:rFonts w:hint="cs"/>
          <w:rtl/>
        </w:rPr>
        <w:t xml:space="preserve">להמשיך </w:t>
      </w:r>
      <w:bookmarkStart w:id="75838" w:name="_ETM_Q134_659510"/>
      <w:bookmarkEnd w:id="75838"/>
      <w:r>
        <w:rPr>
          <w:rFonts w:hint="cs"/>
          <w:rtl/>
        </w:rPr>
        <w:t xml:space="preserve">להכות </w:t>
      </w:r>
      <w:bookmarkStart w:id="75839" w:name="_ETM_Q134_660140"/>
      <w:bookmarkEnd w:id="75839"/>
      <w:r>
        <w:rPr>
          <w:rFonts w:hint="cs"/>
          <w:rtl/>
        </w:rPr>
        <w:t xml:space="preserve">פלסטינים </w:t>
      </w:r>
      <w:bookmarkStart w:id="75840" w:name="_ETM_Q134_661720"/>
      <w:bookmarkEnd w:id="75840"/>
      <w:r>
        <w:rPr>
          <w:rFonts w:hint="cs"/>
          <w:rtl/>
        </w:rPr>
        <w:t xml:space="preserve">ולשתוק </w:t>
      </w:r>
      <w:bookmarkStart w:id="75841" w:name="_ETM_Q134_662340"/>
      <w:bookmarkStart w:id="75842" w:name="_ETM_Q134_662730"/>
      <w:bookmarkEnd w:id="75841"/>
      <w:bookmarkEnd w:id="75842"/>
      <w:r>
        <w:rPr>
          <w:rFonts w:hint="cs"/>
          <w:rtl/>
        </w:rPr>
        <w:t xml:space="preserve">מול </w:t>
      </w:r>
      <w:bookmarkStart w:id="75843" w:name="_ETM_Q134_663060"/>
      <w:bookmarkEnd w:id="75843"/>
      <w:r>
        <w:rPr>
          <w:rFonts w:hint="cs"/>
          <w:rtl/>
        </w:rPr>
        <w:t xml:space="preserve">הפוגרומים </w:t>
      </w:r>
      <w:bookmarkStart w:id="75844" w:name="_ETM_Q134_663989"/>
      <w:bookmarkEnd w:id="75844"/>
      <w:r>
        <w:rPr>
          <w:rFonts w:hint="cs"/>
          <w:rtl/>
        </w:rPr>
        <w:t xml:space="preserve">של </w:t>
      </w:r>
      <w:bookmarkStart w:id="75845" w:name="_ETM_Q134_664290"/>
      <w:bookmarkEnd w:id="75845"/>
      <w:r>
        <w:rPr>
          <w:rFonts w:hint="cs"/>
          <w:rtl/>
        </w:rPr>
        <w:t xml:space="preserve">המתנחלים, </w:t>
      </w:r>
      <w:bookmarkStart w:id="75846" w:name="_ETM_Q134_665490"/>
      <w:bookmarkEnd w:id="75846"/>
      <w:r>
        <w:rPr>
          <w:rFonts w:hint="cs"/>
          <w:rtl/>
        </w:rPr>
        <w:t xml:space="preserve">בעוד </w:t>
      </w:r>
      <w:bookmarkStart w:id="75847" w:name="_ETM_Q134_666000"/>
      <w:bookmarkEnd w:id="75847"/>
      <w:r>
        <w:rPr>
          <w:rFonts w:hint="cs"/>
          <w:rtl/>
        </w:rPr>
        <w:t xml:space="preserve">הצבא </w:t>
      </w:r>
      <w:bookmarkStart w:id="75848" w:name="_ETM_Q134_666690"/>
      <w:bookmarkEnd w:id="75848"/>
      <w:r>
        <w:rPr>
          <w:rFonts w:hint="cs"/>
          <w:rtl/>
        </w:rPr>
        <w:t xml:space="preserve">עומד </w:t>
      </w:r>
      <w:bookmarkStart w:id="75849" w:name="_ETM_Q134_667140"/>
      <w:bookmarkEnd w:id="75849"/>
      <w:r>
        <w:rPr>
          <w:rFonts w:hint="cs"/>
          <w:rtl/>
        </w:rPr>
        <w:t xml:space="preserve">מנגד </w:t>
      </w:r>
      <w:bookmarkStart w:id="75850" w:name="_ETM_Q134_668160"/>
      <w:bookmarkEnd w:id="75850"/>
      <w:r>
        <w:rPr>
          <w:rFonts w:hint="cs"/>
          <w:rtl/>
        </w:rPr>
        <w:t xml:space="preserve">מול </w:t>
      </w:r>
      <w:bookmarkStart w:id="75851" w:name="_ETM_Q134_668640"/>
      <w:bookmarkEnd w:id="75851"/>
      <w:r>
        <w:rPr>
          <w:rFonts w:hint="cs"/>
          <w:rtl/>
        </w:rPr>
        <w:t xml:space="preserve">חווארה </w:t>
      </w:r>
      <w:bookmarkStart w:id="75852" w:name="_ETM_Q134_669720"/>
      <w:bookmarkEnd w:id="75852"/>
      <w:r>
        <w:rPr>
          <w:rFonts w:hint="cs"/>
          <w:rtl/>
        </w:rPr>
        <w:t xml:space="preserve">עולה </w:t>
      </w:r>
      <w:bookmarkStart w:id="75853" w:name="_ETM_Q134_670080"/>
      <w:bookmarkEnd w:id="75853"/>
      <w:r>
        <w:rPr>
          <w:rFonts w:hint="cs"/>
          <w:rtl/>
        </w:rPr>
        <w:t>בלהבות</w:t>
      </w:r>
      <w:r w:rsidR="00903A0D">
        <w:rPr>
          <w:rFonts w:hint="cs"/>
          <w:rtl/>
        </w:rPr>
        <w:t>;</w:t>
      </w:r>
      <w:r>
        <w:rPr>
          <w:rFonts w:hint="cs"/>
          <w:rtl/>
        </w:rPr>
        <w:t xml:space="preserve"> </w:t>
      </w:r>
      <w:bookmarkStart w:id="75854" w:name="_ETM_Q134_673760"/>
      <w:bookmarkStart w:id="75855" w:name="_ETM_Q134_670000"/>
      <w:bookmarkEnd w:id="75854"/>
      <w:bookmarkEnd w:id="75855"/>
      <w:r>
        <w:rPr>
          <w:rFonts w:hint="cs"/>
          <w:rtl/>
        </w:rPr>
        <w:t xml:space="preserve">למען </w:t>
      </w:r>
      <w:bookmarkStart w:id="75856" w:name="_ETM_Q134_674190"/>
      <w:bookmarkEnd w:id="75856"/>
      <w:r>
        <w:rPr>
          <w:rFonts w:hint="cs"/>
          <w:rtl/>
        </w:rPr>
        <w:t xml:space="preserve">אלה </w:t>
      </w:r>
      <w:bookmarkStart w:id="75857" w:name="_ETM_Q134_674880"/>
      <w:bookmarkEnd w:id="75857"/>
      <w:r>
        <w:rPr>
          <w:rFonts w:hint="cs"/>
          <w:rtl/>
        </w:rPr>
        <w:t xml:space="preserve">שתמכו </w:t>
      </w:r>
      <w:bookmarkStart w:id="75858" w:name="_ETM_Q134_675630"/>
      <w:bookmarkEnd w:id="75858"/>
      <w:r>
        <w:rPr>
          <w:rFonts w:hint="cs"/>
          <w:rtl/>
        </w:rPr>
        <w:t xml:space="preserve">בחוק </w:t>
      </w:r>
      <w:bookmarkStart w:id="75859" w:name="_ETM_Q134_676200"/>
      <w:bookmarkEnd w:id="75859"/>
      <w:r>
        <w:rPr>
          <w:rFonts w:hint="cs"/>
          <w:rtl/>
        </w:rPr>
        <w:t xml:space="preserve">לביטול </w:t>
      </w:r>
      <w:bookmarkStart w:id="75860" w:name="_ETM_Q134_676890"/>
      <w:bookmarkEnd w:id="75860"/>
      <w:r>
        <w:rPr>
          <w:rFonts w:hint="cs"/>
          <w:rtl/>
        </w:rPr>
        <w:t xml:space="preserve">ההתנתקות, </w:t>
      </w:r>
      <w:bookmarkStart w:id="75861" w:name="_ETM_Q134_678530"/>
      <w:bookmarkEnd w:id="75861"/>
      <w:r>
        <w:rPr>
          <w:rFonts w:hint="cs"/>
          <w:rtl/>
        </w:rPr>
        <w:t xml:space="preserve">והם </w:t>
      </w:r>
      <w:bookmarkStart w:id="75862" w:name="_ETM_Q134_678860"/>
      <w:bookmarkEnd w:id="75862"/>
      <w:r>
        <w:rPr>
          <w:rFonts w:hint="cs"/>
          <w:rtl/>
        </w:rPr>
        <w:t xml:space="preserve">יושבים </w:t>
      </w:r>
      <w:bookmarkStart w:id="75863" w:name="_ETM_Q134_679280"/>
      <w:bookmarkEnd w:id="75863"/>
      <w:r>
        <w:rPr>
          <w:rFonts w:hint="cs"/>
          <w:rtl/>
        </w:rPr>
        <w:t xml:space="preserve">באופוזיציה, </w:t>
      </w:r>
      <w:bookmarkStart w:id="75864" w:name="_ETM_Q134_681839"/>
      <w:bookmarkEnd w:id="75864"/>
      <w:r>
        <w:rPr>
          <w:rFonts w:hint="cs"/>
          <w:rtl/>
        </w:rPr>
        <w:t xml:space="preserve">תמכו </w:t>
      </w:r>
      <w:bookmarkStart w:id="75865" w:name="_ETM_Q134_682409"/>
      <w:bookmarkEnd w:id="75865"/>
      <w:r>
        <w:rPr>
          <w:rFonts w:hint="cs"/>
          <w:rtl/>
        </w:rPr>
        <w:t xml:space="preserve">בחוק </w:t>
      </w:r>
      <w:bookmarkStart w:id="75866" w:name="_ETM_Q134_682919"/>
      <w:bookmarkEnd w:id="75866"/>
      <w:r>
        <w:rPr>
          <w:rFonts w:hint="cs"/>
          <w:rtl/>
        </w:rPr>
        <w:t xml:space="preserve">איחוד </w:t>
      </w:r>
      <w:bookmarkStart w:id="75867" w:name="_ETM_Q134_683339"/>
      <w:bookmarkEnd w:id="75867"/>
      <w:r>
        <w:rPr>
          <w:rFonts w:hint="cs"/>
          <w:rtl/>
        </w:rPr>
        <w:t xml:space="preserve">משפחות </w:t>
      </w:r>
      <w:bookmarkStart w:id="75868" w:name="_ETM_Q134_684849"/>
      <w:bookmarkEnd w:id="75868"/>
      <w:r>
        <w:rPr>
          <w:rFonts w:hint="cs"/>
          <w:rtl/>
        </w:rPr>
        <w:t>ו</w:t>
      </w:r>
      <w:bookmarkStart w:id="75869" w:name="_ETM_Q134_685959"/>
      <w:bookmarkEnd w:id="75869"/>
      <w:r>
        <w:rPr>
          <w:rFonts w:hint="cs"/>
          <w:rtl/>
        </w:rPr>
        <w:t xml:space="preserve">תקנות </w:t>
      </w:r>
      <w:bookmarkStart w:id="75870" w:name="_ETM_Q134_686680"/>
      <w:bookmarkEnd w:id="75870"/>
      <w:r>
        <w:rPr>
          <w:rFonts w:hint="cs"/>
          <w:rtl/>
        </w:rPr>
        <w:t xml:space="preserve">האפרטהייד </w:t>
      </w:r>
      <w:bookmarkStart w:id="75871" w:name="_ETM_Q134_687639"/>
      <w:bookmarkEnd w:id="75871"/>
      <w:r>
        <w:rPr>
          <w:rFonts w:hint="cs"/>
          <w:rtl/>
        </w:rPr>
        <w:t xml:space="preserve">בגדה </w:t>
      </w:r>
      <w:bookmarkStart w:id="75872" w:name="_ETM_Q134_688269"/>
      <w:bookmarkEnd w:id="75872"/>
      <w:r>
        <w:rPr>
          <w:rFonts w:hint="cs"/>
          <w:rtl/>
        </w:rPr>
        <w:t xml:space="preserve">הכבושה, </w:t>
      </w:r>
      <w:bookmarkStart w:id="75873" w:name="_ETM_Q134_689439"/>
      <w:bookmarkEnd w:id="75873"/>
      <w:r>
        <w:rPr>
          <w:rFonts w:hint="cs"/>
          <w:rtl/>
        </w:rPr>
        <w:t xml:space="preserve">ורק </w:t>
      </w:r>
      <w:bookmarkStart w:id="75874" w:name="_ETM_Q134_690010"/>
      <w:bookmarkEnd w:id="75874"/>
      <w:r>
        <w:rPr>
          <w:rFonts w:hint="cs"/>
          <w:rtl/>
        </w:rPr>
        <w:t xml:space="preserve">לפני </w:t>
      </w:r>
      <w:bookmarkStart w:id="75875" w:name="_ETM_Q134_690549"/>
      <w:bookmarkEnd w:id="75875"/>
      <w:r>
        <w:rPr>
          <w:rFonts w:hint="cs"/>
          <w:rtl/>
        </w:rPr>
        <w:t xml:space="preserve">שבועיים </w:t>
      </w:r>
      <w:bookmarkStart w:id="75876" w:name="_ETM_Q134_691890"/>
      <w:bookmarkEnd w:id="75876"/>
      <w:r>
        <w:rPr>
          <w:rFonts w:hint="cs"/>
          <w:rtl/>
        </w:rPr>
        <w:t xml:space="preserve">הצביעו </w:t>
      </w:r>
      <w:bookmarkStart w:id="75877" w:name="_ETM_Q134_692640"/>
      <w:bookmarkEnd w:id="75877"/>
      <w:r>
        <w:rPr>
          <w:rFonts w:hint="cs"/>
          <w:rtl/>
        </w:rPr>
        <w:t xml:space="preserve">בעד </w:t>
      </w:r>
      <w:bookmarkStart w:id="75878" w:name="_ETM_Q134_693059"/>
      <w:bookmarkEnd w:id="75878"/>
      <w:r>
        <w:rPr>
          <w:rFonts w:hint="cs"/>
          <w:rtl/>
        </w:rPr>
        <w:t xml:space="preserve">נציג </w:t>
      </w:r>
      <w:bookmarkStart w:id="75879" w:name="_ETM_Q134_693599"/>
      <w:bookmarkEnd w:id="75879"/>
      <w:r>
        <w:rPr>
          <w:rFonts w:hint="cs"/>
          <w:rtl/>
        </w:rPr>
        <w:t xml:space="preserve">הקואליציה </w:t>
      </w:r>
      <w:bookmarkStart w:id="75880" w:name="_ETM_Q134_694500"/>
      <w:bookmarkEnd w:id="75880"/>
      <w:r>
        <w:rPr>
          <w:rFonts w:hint="cs"/>
          <w:rtl/>
        </w:rPr>
        <w:t xml:space="preserve">בוועדה </w:t>
      </w:r>
      <w:bookmarkStart w:id="75881" w:name="_ETM_Q134_695159"/>
      <w:bookmarkEnd w:id="75881"/>
      <w:r>
        <w:rPr>
          <w:rFonts w:hint="cs"/>
          <w:rtl/>
        </w:rPr>
        <w:t xml:space="preserve">לבחירת </w:t>
      </w:r>
      <w:bookmarkStart w:id="75882" w:name="_ETM_Q134_695909"/>
      <w:bookmarkEnd w:id="75882"/>
      <w:r>
        <w:rPr>
          <w:rFonts w:hint="cs"/>
          <w:rtl/>
        </w:rPr>
        <w:t xml:space="preserve">השופטים </w:t>
      </w:r>
      <w:r w:rsidR="00903A0D">
        <w:rPr>
          <w:rFonts w:hint="eastAsia"/>
          <w:rtl/>
        </w:rPr>
        <w:t>–</w:t>
      </w:r>
      <w:r w:rsidR="00903A0D">
        <w:rPr>
          <w:rFonts w:hint="cs"/>
          <w:rtl/>
        </w:rPr>
        <w:t xml:space="preserve"> </w:t>
      </w:r>
      <w:r>
        <w:rPr>
          <w:rFonts w:hint="cs"/>
          <w:rtl/>
        </w:rPr>
        <w:t xml:space="preserve">אותו </w:t>
      </w:r>
      <w:bookmarkStart w:id="75883" w:name="_ETM_Q134_697470"/>
      <w:bookmarkEnd w:id="75883"/>
      <w:r>
        <w:rPr>
          <w:rFonts w:hint="cs"/>
          <w:rtl/>
        </w:rPr>
        <w:t xml:space="preserve">קרויזר </w:t>
      </w:r>
      <w:bookmarkStart w:id="75884" w:name="_ETM_Q134_698159"/>
      <w:bookmarkEnd w:id="75884"/>
      <w:r>
        <w:rPr>
          <w:rFonts w:hint="cs"/>
          <w:rtl/>
        </w:rPr>
        <w:t xml:space="preserve">שאמר </w:t>
      </w:r>
      <w:bookmarkStart w:id="75885" w:name="_ETM_Q134_699209"/>
      <w:bookmarkEnd w:id="75885"/>
      <w:r>
        <w:rPr>
          <w:rFonts w:hint="cs"/>
          <w:rtl/>
        </w:rPr>
        <w:t xml:space="preserve">שלא </w:t>
      </w:r>
      <w:bookmarkStart w:id="75886" w:name="_ETM_Q134_699540"/>
      <w:bookmarkEnd w:id="75886"/>
      <w:r>
        <w:rPr>
          <w:rFonts w:hint="cs"/>
          <w:rtl/>
        </w:rPr>
        <w:t xml:space="preserve">סביר </w:t>
      </w:r>
      <w:bookmarkStart w:id="75887" w:name="_ETM_Q134_700760"/>
      <w:bookmarkEnd w:id="75887"/>
      <w:r>
        <w:rPr>
          <w:rFonts w:hint="cs"/>
          <w:rtl/>
        </w:rPr>
        <w:t>שי</w:t>
      </w:r>
      <w:bookmarkStart w:id="75888" w:name="_ETM_Q134_701150"/>
      <w:bookmarkEnd w:id="75888"/>
      <w:r>
        <w:rPr>
          <w:rFonts w:hint="cs"/>
          <w:rtl/>
        </w:rPr>
        <w:t xml:space="preserve">מונה </w:t>
      </w:r>
      <w:bookmarkStart w:id="75889" w:name="_ETM_Q134_701599"/>
      <w:bookmarkEnd w:id="75889"/>
      <w:r>
        <w:rPr>
          <w:rFonts w:hint="cs"/>
          <w:rtl/>
        </w:rPr>
        <w:t xml:space="preserve">שופט </w:t>
      </w:r>
      <w:bookmarkStart w:id="75890" w:name="_ETM_Q134_702319"/>
      <w:bookmarkEnd w:id="75890"/>
      <w:r>
        <w:rPr>
          <w:rFonts w:hint="cs"/>
          <w:rtl/>
        </w:rPr>
        <w:t xml:space="preserve">ערבי </w:t>
      </w:r>
      <w:bookmarkStart w:id="75891" w:name="_ETM_Q134_702889"/>
      <w:bookmarkEnd w:id="75891"/>
      <w:r>
        <w:rPr>
          <w:rFonts w:hint="cs"/>
          <w:rtl/>
        </w:rPr>
        <w:t xml:space="preserve">לעליון </w:t>
      </w:r>
      <w:bookmarkStart w:id="75892" w:name="_ETM_Q134_704069"/>
      <w:bookmarkEnd w:id="75892"/>
      <w:r>
        <w:rPr>
          <w:rFonts w:hint="cs"/>
          <w:rtl/>
        </w:rPr>
        <w:t xml:space="preserve">אלא </w:t>
      </w:r>
      <w:bookmarkStart w:id="75893" w:name="_ETM_Q134_704460"/>
      <w:bookmarkEnd w:id="75893"/>
      <w:r>
        <w:rPr>
          <w:rFonts w:hint="cs"/>
          <w:rtl/>
        </w:rPr>
        <w:t xml:space="preserve">אם </w:t>
      </w:r>
      <w:bookmarkStart w:id="75894" w:name="_ETM_Q134_704670"/>
      <w:bookmarkEnd w:id="75894"/>
      <w:r>
        <w:rPr>
          <w:rFonts w:hint="cs"/>
          <w:rtl/>
        </w:rPr>
        <w:t xml:space="preserve">כן הוא </w:t>
      </w:r>
      <w:bookmarkStart w:id="75895" w:name="_ETM_Q134_704850"/>
      <w:bookmarkEnd w:id="75895"/>
      <w:r>
        <w:rPr>
          <w:rFonts w:hint="cs"/>
          <w:rtl/>
        </w:rPr>
        <w:t xml:space="preserve">מתחבר </w:t>
      </w:r>
      <w:bookmarkStart w:id="75896" w:name="_ETM_Q134_705900"/>
      <w:bookmarkEnd w:id="75896"/>
      <w:r>
        <w:rPr>
          <w:rFonts w:hint="cs"/>
          <w:rtl/>
        </w:rPr>
        <w:t xml:space="preserve">לערכי </w:t>
      </w:r>
      <w:bookmarkStart w:id="75897" w:name="_ETM_Q134_706650"/>
      <w:bookmarkEnd w:id="75897"/>
      <w:r>
        <w:rPr>
          <w:rFonts w:hint="cs"/>
          <w:rtl/>
        </w:rPr>
        <w:t>הציונות</w:t>
      </w:r>
      <w:bookmarkStart w:id="75898" w:name="_ETM_Q134_709000"/>
      <w:bookmarkStart w:id="75899" w:name="_ETM_Q134_708480"/>
      <w:bookmarkEnd w:id="75898"/>
      <w:bookmarkEnd w:id="75899"/>
      <w:r>
        <w:rPr>
          <w:rFonts w:hint="cs"/>
          <w:rtl/>
        </w:rPr>
        <w:t xml:space="preserve">; </w:t>
      </w:r>
      <w:r w:rsidR="00903A0D">
        <w:rPr>
          <w:rFonts w:hint="cs"/>
          <w:rtl/>
        </w:rPr>
        <w:t>ל</w:t>
      </w:r>
      <w:r>
        <w:rPr>
          <w:rFonts w:hint="cs"/>
          <w:rtl/>
        </w:rPr>
        <w:t xml:space="preserve">אנשים </w:t>
      </w:r>
      <w:bookmarkStart w:id="75900" w:name="_ETM_Q134_709110"/>
      <w:bookmarkEnd w:id="75900"/>
      <w:r>
        <w:rPr>
          <w:rFonts w:hint="cs"/>
          <w:rtl/>
        </w:rPr>
        <w:t xml:space="preserve">שישבו </w:t>
      </w:r>
      <w:bookmarkStart w:id="75901" w:name="_ETM_Q134_709890"/>
      <w:bookmarkEnd w:id="75901"/>
      <w:r>
        <w:rPr>
          <w:rFonts w:hint="cs"/>
          <w:rtl/>
        </w:rPr>
        <w:t xml:space="preserve">באופוזיציה </w:t>
      </w:r>
      <w:bookmarkStart w:id="75902" w:name="_ETM_Q134_711700"/>
      <w:bookmarkEnd w:id="75902"/>
      <w:r>
        <w:rPr>
          <w:rFonts w:hint="cs"/>
          <w:rtl/>
        </w:rPr>
        <w:t xml:space="preserve">ואומרים </w:t>
      </w:r>
      <w:bookmarkStart w:id="75903" w:name="_ETM_Q134_712359"/>
      <w:bookmarkEnd w:id="75903"/>
      <w:r>
        <w:rPr>
          <w:rFonts w:hint="cs"/>
          <w:rtl/>
        </w:rPr>
        <w:t xml:space="preserve">שהם </w:t>
      </w:r>
      <w:bookmarkStart w:id="75904" w:name="_ETM_Q134_712719"/>
      <w:bookmarkEnd w:id="75904"/>
      <w:r>
        <w:rPr>
          <w:rFonts w:hint="cs"/>
          <w:rtl/>
        </w:rPr>
        <w:t xml:space="preserve">נלחמים </w:t>
      </w:r>
      <w:bookmarkStart w:id="75905" w:name="_ETM_Q134_713439"/>
      <w:bookmarkEnd w:id="75905"/>
      <w:r>
        <w:rPr>
          <w:rFonts w:hint="cs"/>
          <w:rtl/>
        </w:rPr>
        <w:t xml:space="preserve">על </w:t>
      </w:r>
      <w:bookmarkStart w:id="75906" w:name="_ETM_Q134_713559"/>
      <w:bookmarkEnd w:id="75906"/>
      <w:r>
        <w:rPr>
          <w:rFonts w:hint="cs"/>
          <w:rtl/>
        </w:rPr>
        <w:t xml:space="preserve">הדמוקרטיה, </w:t>
      </w:r>
      <w:bookmarkStart w:id="75907" w:name="_ETM_Q134_715210"/>
      <w:bookmarkStart w:id="75908" w:name="_ETM_Q134_715690"/>
      <w:bookmarkEnd w:id="75907"/>
      <w:bookmarkEnd w:id="75908"/>
      <w:r>
        <w:rPr>
          <w:rFonts w:hint="cs"/>
          <w:rtl/>
        </w:rPr>
        <w:t xml:space="preserve">הצביעו </w:t>
      </w:r>
      <w:bookmarkStart w:id="75909" w:name="_ETM_Q134_715960"/>
      <w:bookmarkStart w:id="75910" w:name="_ETM_Q134_716110"/>
      <w:bookmarkEnd w:id="75909"/>
      <w:bookmarkEnd w:id="75910"/>
      <w:r>
        <w:rPr>
          <w:rFonts w:hint="cs"/>
          <w:rtl/>
        </w:rPr>
        <w:t xml:space="preserve">לאדם </w:t>
      </w:r>
      <w:bookmarkStart w:id="75911" w:name="_ETM_Q134_716710"/>
      <w:bookmarkEnd w:id="75911"/>
      <w:r>
        <w:rPr>
          <w:rFonts w:hint="cs"/>
          <w:rtl/>
        </w:rPr>
        <w:t xml:space="preserve">שהתבטא </w:t>
      </w:r>
      <w:bookmarkStart w:id="75912" w:name="_ETM_Q134_717400"/>
      <w:bookmarkEnd w:id="75912"/>
      <w:r>
        <w:rPr>
          <w:rFonts w:hint="cs"/>
          <w:rtl/>
        </w:rPr>
        <w:t xml:space="preserve">בצורה </w:t>
      </w:r>
      <w:bookmarkStart w:id="75913" w:name="_ETM_Q134_717940"/>
      <w:bookmarkEnd w:id="75913"/>
      <w:r>
        <w:rPr>
          <w:rFonts w:hint="cs"/>
          <w:rtl/>
        </w:rPr>
        <w:t xml:space="preserve">כזו </w:t>
      </w:r>
      <w:bookmarkStart w:id="75914" w:name="_ETM_Q134_720129"/>
      <w:bookmarkEnd w:id="75914"/>
      <w:r w:rsidR="00903A0D">
        <w:rPr>
          <w:rFonts w:hint="eastAsia"/>
          <w:rtl/>
        </w:rPr>
        <w:t>–</w:t>
      </w:r>
      <w:r w:rsidR="00903A0D">
        <w:rPr>
          <w:rFonts w:hint="cs"/>
          <w:rtl/>
        </w:rPr>
        <w:t xml:space="preserve"> </w:t>
      </w:r>
      <w:r>
        <w:rPr>
          <w:rFonts w:hint="cs"/>
          <w:rtl/>
        </w:rPr>
        <w:t xml:space="preserve">בעיניי </w:t>
      </w:r>
      <w:bookmarkStart w:id="75915" w:name="_ETM_Q134_723299"/>
      <w:bookmarkEnd w:id="75915"/>
      <w:r>
        <w:rPr>
          <w:rFonts w:hint="cs"/>
          <w:rtl/>
        </w:rPr>
        <w:t xml:space="preserve">אותם </w:t>
      </w:r>
      <w:bookmarkStart w:id="75916" w:name="_ETM_Q134_723749"/>
      <w:bookmarkEnd w:id="75916"/>
      <w:r>
        <w:rPr>
          <w:rFonts w:hint="cs"/>
          <w:rtl/>
        </w:rPr>
        <w:t xml:space="preserve">חברי </w:t>
      </w:r>
      <w:bookmarkStart w:id="75917" w:name="_ETM_Q134_724260"/>
      <w:bookmarkEnd w:id="75917"/>
      <w:r>
        <w:rPr>
          <w:rFonts w:hint="cs"/>
          <w:rtl/>
        </w:rPr>
        <w:t xml:space="preserve">האופוזיציה </w:t>
      </w:r>
      <w:bookmarkStart w:id="75918" w:name="_ETM_Q134_725870"/>
      <w:bookmarkEnd w:id="75918"/>
      <w:r>
        <w:rPr>
          <w:rFonts w:hint="cs"/>
          <w:rtl/>
        </w:rPr>
        <w:t>שוב</w:t>
      </w:r>
      <w:bookmarkStart w:id="75919" w:name="_ETM_Q134_726150"/>
      <w:bookmarkStart w:id="75920" w:name="_ETM_Q134_726360"/>
      <w:bookmarkEnd w:id="75919"/>
      <w:bookmarkEnd w:id="75920"/>
      <w:r>
        <w:rPr>
          <w:rFonts w:hint="cs"/>
          <w:rtl/>
        </w:rPr>
        <w:t xml:space="preserve"> </w:t>
      </w:r>
      <w:bookmarkStart w:id="75921" w:name="_ETM_Q134_725000"/>
      <w:bookmarkEnd w:id="75921"/>
      <w:r>
        <w:rPr>
          <w:rFonts w:hint="cs"/>
          <w:rtl/>
        </w:rPr>
        <w:t xml:space="preserve">מתעוורים </w:t>
      </w:r>
      <w:bookmarkStart w:id="75922" w:name="_ETM_Q134_727379"/>
      <w:bookmarkEnd w:id="75922"/>
      <w:r>
        <w:rPr>
          <w:rFonts w:hint="cs"/>
          <w:rtl/>
        </w:rPr>
        <w:t xml:space="preserve">ממסך </w:t>
      </w:r>
      <w:bookmarkStart w:id="75923" w:name="_ETM_Q134_728159"/>
      <w:bookmarkEnd w:id="75923"/>
      <w:r>
        <w:rPr>
          <w:rFonts w:hint="cs"/>
          <w:rtl/>
        </w:rPr>
        <w:t xml:space="preserve">העשן </w:t>
      </w:r>
      <w:bookmarkStart w:id="75924" w:name="_ETM_Q134_729329"/>
      <w:bookmarkEnd w:id="75924"/>
      <w:r>
        <w:rPr>
          <w:rFonts w:hint="cs"/>
          <w:rtl/>
        </w:rPr>
        <w:t xml:space="preserve">שמייצרת </w:t>
      </w:r>
      <w:bookmarkStart w:id="75925" w:name="_ETM_Q134_730439"/>
      <w:bookmarkEnd w:id="75925"/>
      <w:r>
        <w:rPr>
          <w:rFonts w:hint="cs"/>
          <w:rtl/>
        </w:rPr>
        <w:t xml:space="preserve">הקואליציה </w:t>
      </w:r>
      <w:bookmarkStart w:id="75926" w:name="_ETM_Q134_731309"/>
      <w:bookmarkEnd w:id="75926"/>
      <w:r>
        <w:rPr>
          <w:rFonts w:hint="cs"/>
          <w:rtl/>
        </w:rPr>
        <w:t xml:space="preserve">תחת </w:t>
      </w:r>
      <w:bookmarkStart w:id="75927" w:name="_ETM_Q134_731760"/>
      <w:bookmarkEnd w:id="75927"/>
      <w:r>
        <w:rPr>
          <w:rFonts w:hint="cs"/>
          <w:rtl/>
        </w:rPr>
        <w:t xml:space="preserve">הכותרת </w:t>
      </w:r>
      <w:bookmarkStart w:id="75928" w:name="_ETM_Q134_732480"/>
      <w:bookmarkEnd w:id="75928"/>
      <w:r>
        <w:rPr>
          <w:rFonts w:hint="cs"/>
          <w:rtl/>
        </w:rPr>
        <w:t xml:space="preserve">של </w:t>
      </w:r>
      <w:bookmarkStart w:id="75929" w:name="_ETM_Q134_733150"/>
      <w:bookmarkEnd w:id="75929"/>
      <w:r>
        <w:rPr>
          <w:rFonts w:hint="cs"/>
          <w:rtl/>
        </w:rPr>
        <w:t xml:space="preserve">רפורמה </w:t>
      </w:r>
      <w:bookmarkStart w:id="75930" w:name="_ETM_Q134_733900"/>
      <w:bookmarkEnd w:id="75930"/>
      <w:r>
        <w:rPr>
          <w:rFonts w:hint="cs"/>
          <w:rtl/>
        </w:rPr>
        <w:t xml:space="preserve">משפטית </w:t>
      </w:r>
      <w:bookmarkStart w:id="75931" w:name="_ETM_Q134_735249"/>
      <w:bookmarkEnd w:id="75931"/>
      <w:r>
        <w:rPr>
          <w:rFonts w:hint="cs"/>
          <w:rtl/>
        </w:rPr>
        <w:t xml:space="preserve">וממאנים </w:t>
      </w:r>
      <w:bookmarkStart w:id="75932" w:name="_ETM_Q134_736120"/>
      <w:bookmarkEnd w:id="75932"/>
      <w:r>
        <w:rPr>
          <w:rFonts w:hint="cs"/>
          <w:rtl/>
        </w:rPr>
        <w:t xml:space="preserve">לראות </w:t>
      </w:r>
      <w:bookmarkStart w:id="75933" w:name="_ETM_Q134_736929"/>
      <w:bookmarkEnd w:id="75933"/>
      <w:r>
        <w:rPr>
          <w:rFonts w:hint="cs"/>
          <w:rtl/>
        </w:rPr>
        <w:t xml:space="preserve">את </w:t>
      </w:r>
      <w:bookmarkStart w:id="75934" w:name="_ETM_Q134_737169"/>
      <w:bookmarkEnd w:id="75934"/>
      <w:r>
        <w:rPr>
          <w:rFonts w:hint="cs"/>
          <w:rtl/>
        </w:rPr>
        <w:t xml:space="preserve">המציאות </w:t>
      </w:r>
      <w:bookmarkStart w:id="75935" w:name="_ETM_Q134_738009"/>
      <w:bookmarkEnd w:id="75935"/>
      <w:r>
        <w:rPr>
          <w:rFonts w:hint="cs"/>
          <w:rtl/>
        </w:rPr>
        <w:t xml:space="preserve">המתהווה מול </w:t>
      </w:r>
      <w:bookmarkStart w:id="75936" w:name="_ETM_Q134_738429"/>
      <w:bookmarkStart w:id="75937" w:name="_ETM_Q134_739290"/>
      <w:bookmarkStart w:id="75938" w:name="_ETM_Q134_739620"/>
      <w:bookmarkStart w:id="75939" w:name="_ETM_Q134_739980"/>
      <w:bookmarkEnd w:id="75936"/>
      <w:bookmarkEnd w:id="75937"/>
      <w:bookmarkEnd w:id="75938"/>
      <w:bookmarkEnd w:id="75939"/>
      <w:r>
        <w:rPr>
          <w:rFonts w:hint="cs"/>
          <w:rtl/>
        </w:rPr>
        <w:t xml:space="preserve">העיניים </w:t>
      </w:r>
      <w:bookmarkStart w:id="75940" w:name="_ETM_Q134_740699"/>
      <w:bookmarkEnd w:id="75940"/>
      <w:r>
        <w:rPr>
          <w:rFonts w:hint="cs"/>
          <w:rtl/>
        </w:rPr>
        <w:t xml:space="preserve">של </w:t>
      </w:r>
      <w:bookmarkStart w:id="75941" w:name="_ETM_Q134_740970"/>
      <w:bookmarkEnd w:id="75941"/>
      <w:r>
        <w:rPr>
          <w:rFonts w:hint="cs"/>
          <w:rtl/>
        </w:rPr>
        <w:t>כולנו</w:t>
      </w:r>
      <w:r w:rsidR="00903A0D">
        <w:rPr>
          <w:rFonts w:hint="cs"/>
          <w:rtl/>
        </w:rPr>
        <w:t xml:space="preserve">; </w:t>
      </w:r>
      <w:bookmarkStart w:id="75942" w:name="_ETM_Q134_741000"/>
      <w:bookmarkEnd w:id="75942"/>
      <w:r>
        <w:rPr>
          <w:rFonts w:hint="cs"/>
          <w:rtl/>
        </w:rPr>
        <w:t xml:space="preserve"> </w:t>
      </w:r>
      <w:bookmarkStart w:id="75943" w:name="_ETM_Q134_742420"/>
      <w:bookmarkEnd w:id="75943"/>
      <w:r>
        <w:rPr>
          <w:rFonts w:hint="cs"/>
          <w:rtl/>
        </w:rPr>
        <w:t xml:space="preserve">אז </w:t>
      </w:r>
      <w:bookmarkStart w:id="75944" w:name="_ETM_Q134_742630"/>
      <w:bookmarkEnd w:id="75944"/>
      <w:r>
        <w:rPr>
          <w:rFonts w:hint="cs"/>
          <w:rtl/>
        </w:rPr>
        <w:t xml:space="preserve">לכם, </w:t>
      </w:r>
      <w:bookmarkStart w:id="75945" w:name="_ETM_Q134_743170"/>
      <w:bookmarkEnd w:id="75945"/>
      <w:r>
        <w:rPr>
          <w:rFonts w:hint="cs"/>
          <w:rtl/>
        </w:rPr>
        <w:t xml:space="preserve">חברי </w:t>
      </w:r>
      <w:bookmarkStart w:id="75946" w:name="_ETM_Q134_743620"/>
      <w:bookmarkEnd w:id="75946"/>
      <w:r>
        <w:rPr>
          <w:rFonts w:hint="cs"/>
          <w:rtl/>
        </w:rPr>
        <w:t xml:space="preserve">האופוזיציה, </w:t>
      </w:r>
      <w:bookmarkStart w:id="75947" w:name="_ETM_Q134_745030"/>
      <w:bookmarkEnd w:id="75947"/>
      <w:r>
        <w:rPr>
          <w:rFonts w:hint="cs"/>
          <w:rtl/>
        </w:rPr>
        <w:t xml:space="preserve">מוגשת </w:t>
      </w:r>
      <w:bookmarkStart w:id="75948" w:name="_ETM_Q134_745750"/>
      <w:bookmarkStart w:id="75949" w:name="_ETM_Q134_746200"/>
      <w:bookmarkEnd w:id="75948"/>
      <w:bookmarkEnd w:id="75949"/>
      <w:r>
        <w:rPr>
          <w:rFonts w:hint="cs"/>
          <w:rtl/>
        </w:rPr>
        <w:t xml:space="preserve">היום </w:t>
      </w:r>
      <w:bookmarkStart w:id="75950" w:name="_ETM_Q134_747220"/>
      <w:bookmarkEnd w:id="75950"/>
      <w:r>
        <w:rPr>
          <w:rFonts w:hint="cs"/>
          <w:rtl/>
        </w:rPr>
        <w:t xml:space="preserve">גרסה </w:t>
      </w:r>
      <w:bookmarkStart w:id="75951" w:name="_ETM_Q134_747849"/>
      <w:bookmarkEnd w:id="75951"/>
      <w:r>
        <w:rPr>
          <w:rFonts w:hint="cs"/>
          <w:rtl/>
        </w:rPr>
        <w:t xml:space="preserve">משודרגת </w:t>
      </w:r>
      <w:bookmarkStart w:id="75952" w:name="_ETM_Q134_748809"/>
      <w:bookmarkEnd w:id="75952"/>
      <w:r>
        <w:rPr>
          <w:rFonts w:hint="cs"/>
          <w:rtl/>
        </w:rPr>
        <w:t xml:space="preserve">וטהורה </w:t>
      </w:r>
      <w:bookmarkStart w:id="75953" w:name="_ETM_Q134_750009"/>
      <w:bookmarkEnd w:id="75953"/>
      <w:r>
        <w:rPr>
          <w:rFonts w:hint="cs"/>
          <w:rtl/>
        </w:rPr>
        <w:t xml:space="preserve">של </w:t>
      </w:r>
      <w:bookmarkStart w:id="75954" w:name="_ETM_Q134_750309"/>
      <w:bookmarkEnd w:id="75954"/>
      <w:r>
        <w:rPr>
          <w:rFonts w:hint="cs"/>
          <w:rtl/>
        </w:rPr>
        <w:t xml:space="preserve">ישראל </w:t>
      </w:r>
      <w:bookmarkStart w:id="75955" w:name="_ETM_Q134_750970"/>
      <w:bookmarkEnd w:id="75955"/>
      <w:r>
        <w:rPr>
          <w:rFonts w:hint="cs"/>
          <w:rtl/>
        </w:rPr>
        <w:t xml:space="preserve">היהודית </w:t>
      </w:r>
      <w:bookmarkStart w:id="75956" w:name="_ETM_Q134_752129"/>
      <w:bookmarkEnd w:id="75956"/>
      <w:r>
        <w:rPr>
          <w:rFonts w:hint="cs"/>
          <w:rtl/>
        </w:rPr>
        <w:t>ו</w:t>
      </w:r>
      <w:bookmarkStart w:id="75957" w:name="_ETM_Q134_752639"/>
      <w:bookmarkEnd w:id="75957"/>
      <w:r>
        <w:rPr>
          <w:rFonts w:hint="cs"/>
          <w:rtl/>
        </w:rPr>
        <w:t xml:space="preserve">הסבירה. </w:t>
      </w:r>
      <w:bookmarkStart w:id="75958" w:name="_ETM_Q134_754330"/>
      <w:bookmarkEnd w:id="75958"/>
      <w:r>
        <w:rPr>
          <w:rFonts w:hint="cs"/>
          <w:rtl/>
        </w:rPr>
        <w:t xml:space="preserve">על </w:t>
      </w:r>
      <w:bookmarkStart w:id="75959" w:name="_ETM_Q134_754569"/>
      <w:bookmarkEnd w:id="75959"/>
      <w:r>
        <w:rPr>
          <w:rFonts w:hint="cs"/>
          <w:rtl/>
        </w:rPr>
        <w:t xml:space="preserve">הכוונת </w:t>
      </w:r>
      <w:bookmarkStart w:id="75960" w:name="_ETM_Q134_755229"/>
      <w:bookmarkEnd w:id="75960"/>
      <w:r>
        <w:rPr>
          <w:rFonts w:hint="cs"/>
          <w:rtl/>
        </w:rPr>
        <w:t xml:space="preserve">של </w:t>
      </w:r>
      <w:bookmarkStart w:id="75961" w:name="_ETM_Q134_755499"/>
      <w:bookmarkEnd w:id="75961"/>
      <w:r>
        <w:rPr>
          <w:rFonts w:hint="cs"/>
          <w:rtl/>
        </w:rPr>
        <w:t xml:space="preserve">הממשלה </w:t>
      </w:r>
      <w:bookmarkStart w:id="75962" w:name="_ETM_Q134_756159"/>
      <w:bookmarkEnd w:id="75962"/>
      <w:r>
        <w:rPr>
          <w:rFonts w:hint="cs"/>
          <w:rtl/>
        </w:rPr>
        <w:t xml:space="preserve">הזו </w:t>
      </w:r>
      <w:bookmarkStart w:id="75963" w:name="_ETM_Q134_756550"/>
      <w:bookmarkEnd w:id="75963"/>
      <w:r>
        <w:rPr>
          <w:rFonts w:hint="cs"/>
          <w:rtl/>
        </w:rPr>
        <w:t xml:space="preserve">ישנן </w:t>
      </w:r>
      <w:bookmarkStart w:id="75964" w:name="_ETM_Q134_757150"/>
      <w:bookmarkEnd w:id="75964"/>
      <w:r>
        <w:rPr>
          <w:rFonts w:hint="cs"/>
          <w:rtl/>
        </w:rPr>
        <w:t xml:space="preserve">שתי </w:t>
      </w:r>
      <w:bookmarkStart w:id="75965" w:name="_ETM_Q134_757509"/>
      <w:bookmarkEnd w:id="75965"/>
      <w:r>
        <w:rPr>
          <w:rFonts w:hint="cs"/>
          <w:rtl/>
        </w:rPr>
        <w:t xml:space="preserve">מטרות </w:t>
      </w:r>
      <w:bookmarkStart w:id="75966" w:name="_ETM_Q134_758199"/>
      <w:bookmarkEnd w:id="75966"/>
      <w:r>
        <w:rPr>
          <w:rFonts w:hint="cs"/>
          <w:rtl/>
        </w:rPr>
        <w:t xml:space="preserve">עיקריות: </w:t>
      </w:r>
      <w:bookmarkStart w:id="75967" w:name="_ETM_Q134_759590"/>
      <w:bookmarkEnd w:id="75967"/>
      <w:r>
        <w:rPr>
          <w:rFonts w:hint="cs"/>
          <w:rtl/>
        </w:rPr>
        <w:t xml:space="preserve">סיפוח </w:t>
      </w:r>
      <w:bookmarkStart w:id="75968" w:name="_ETM_Q134_760490"/>
      <w:bookmarkEnd w:id="75968"/>
      <w:r>
        <w:rPr>
          <w:rFonts w:hint="cs"/>
          <w:rtl/>
        </w:rPr>
        <w:t xml:space="preserve">וטיהור </w:t>
      </w:r>
      <w:bookmarkStart w:id="75969" w:name="_ETM_Q134_761999"/>
      <w:bookmarkEnd w:id="75969"/>
      <w:r>
        <w:rPr>
          <w:rFonts w:hint="cs"/>
          <w:rtl/>
        </w:rPr>
        <w:t xml:space="preserve">אתני </w:t>
      </w:r>
      <w:bookmarkStart w:id="75970" w:name="_ETM_Q134_763229"/>
      <w:bookmarkEnd w:id="75970"/>
      <w:r>
        <w:rPr>
          <w:rFonts w:hint="cs"/>
          <w:rtl/>
        </w:rPr>
        <w:t xml:space="preserve">של </w:t>
      </w:r>
      <w:bookmarkStart w:id="75971" w:name="_ETM_Q134_763559"/>
      <w:bookmarkEnd w:id="75971"/>
      <w:r>
        <w:rPr>
          <w:rFonts w:hint="cs"/>
          <w:rtl/>
        </w:rPr>
        <w:t xml:space="preserve">השטח </w:t>
      </w:r>
      <w:bookmarkStart w:id="75972" w:name="_ETM_Q134_764189"/>
      <w:bookmarkEnd w:id="75972"/>
      <w:r>
        <w:rPr>
          <w:rFonts w:hint="cs"/>
          <w:rtl/>
        </w:rPr>
        <w:t xml:space="preserve">מפלסטינים </w:t>
      </w:r>
      <w:bookmarkStart w:id="75973" w:name="_ETM_Q134_765689"/>
      <w:bookmarkEnd w:id="75973"/>
      <w:r>
        <w:rPr>
          <w:rFonts w:hint="cs"/>
          <w:rtl/>
        </w:rPr>
        <w:t xml:space="preserve">והכנעת </w:t>
      </w:r>
      <w:bookmarkStart w:id="75974" w:name="_ETM_Q134_766860"/>
      <w:bookmarkEnd w:id="75974"/>
      <w:r>
        <w:rPr>
          <w:rFonts w:hint="cs"/>
          <w:rtl/>
        </w:rPr>
        <w:t xml:space="preserve">הציבור </w:t>
      </w:r>
      <w:bookmarkStart w:id="75975" w:name="_ETM_Q134_767729"/>
      <w:bookmarkEnd w:id="75975"/>
      <w:r>
        <w:rPr>
          <w:rFonts w:hint="cs"/>
          <w:rtl/>
        </w:rPr>
        <w:t xml:space="preserve">הערבי </w:t>
      </w:r>
      <w:bookmarkStart w:id="75976" w:name="_ETM_Q134_768449"/>
      <w:bookmarkEnd w:id="75976"/>
      <w:r>
        <w:rPr>
          <w:rFonts w:hint="cs"/>
          <w:rtl/>
        </w:rPr>
        <w:t xml:space="preserve">בישראל. </w:t>
      </w:r>
      <w:bookmarkStart w:id="75977" w:name="_ETM_Q134_791000"/>
      <w:bookmarkStart w:id="75978" w:name="TOR_Q135"/>
      <w:bookmarkStart w:id="75979" w:name="_ETM_Q134_770050"/>
      <w:bookmarkEnd w:id="75977"/>
      <w:bookmarkEnd w:id="75978"/>
      <w:bookmarkEnd w:id="75979"/>
      <w:r>
        <w:rPr>
          <w:rFonts w:hint="cs"/>
          <w:rtl/>
        </w:rPr>
        <w:t xml:space="preserve">כדי </w:t>
      </w:r>
      <w:bookmarkStart w:id="75980" w:name="_ETM_Q134_770440"/>
      <w:bookmarkEnd w:id="75980"/>
      <w:r>
        <w:rPr>
          <w:rFonts w:hint="cs"/>
          <w:rtl/>
        </w:rPr>
        <w:t xml:space="preserve">לבלום </w:t>
      </w:r>
      <w:bookmarkStart w:id="75981" w:name="_ETM_Q134_770920"/>
      <w:bookmarkStart w:id="75982" w:name="_ETM_Q134_771190"/>
      <w:bookmarkEnd w:id="75981"/>
      <w:bookmarkEnd w:id="75982"/>
      <w:r>
        <w:rPr>
          <w:rFonts w:hint="cs"/>
          <w:rtl/>
        </w:rPr>
        <w:t xml:space="preserve">את שתי </w:t>
      </w:r>
      <w:bookmarkStart w:id="75983" w:name="_ETM_Q134_771520"/>
      <w:bookmarkEnd w:id="75983"/>
      <w:r>
        <w:rPr>
          <w:rFonts w:hint="cs"/>
          <w:rtl/>
        </w:rPr>
        <w:t xml:space="preserve">המטרות </w:t>
      </w:r>
      <w:bookmarkStart w:id="75984" w:name="_ETM_Q134_772210"/>
      <w:bookmarkEnd w:id="75984"/>
      <w:r>
        <w:rPr>
          <w:rFonts w:hint="cs"/>
          <w:rtl/>
        </w:rPr>
        <w:t xml:space="preserve">הללו </w:t>
      </w:r>
      <w:bookmarkStart w:id="75985" w:name="_ETM_Q134_773140"/>
      <w:bookmarkEnd w:id="75985"/>
      <w:r>
        <w:rPr>
          <w:rFonts w:hint="cs"/>
          <w:rtl/>
        </w:rPr>
        <w:t xml:space="preserve">ממש </w:t>
      </w:r>
      <w:bookmarkStart w:id="75986" w:name="_ETM_Q134_774010"/>
      <w:bookmarkEnd w:id="75986"/>
      <w:r>
        <w:rPr>
          <w:rFonts w:hint="cs"/>
          <w:rtl/>
        </w:rPr>
        <w:t xml:space="preserve">ממש </w:t>
      </w:r>
      <w:bookmarkStart w:id="75987" w:name="_ETM_Q134_774790"/>
      <w:bookmarkEnd w:id="75987"/>
      <w:r>
        <w:rPr>
          <w:rFonts w:hint="cs"/>
          <w:rtl/>
        </w:rPr>
        <w:t xml:space="preserve">לא </w:t>
      </w:r>
      <w:bookmarkStart w:id="75988" w:name="_ETM_Q134_775360"/>
      <w:bookmarkEnd w:id="75988"/>
      <w:r>
        <w:rPr>
          <w:rFonts w:hint="cs"/>
          <w:rtl/>
        </w:rPr>
        <w:t xml:space="preserve">די </w:t>
      </w:r>
      <w:bookmarkStart w:id="75989" w:name="_ETM_Q134_775870"/>
      <w:bookmarkEnd w:id="75989"/>
      <w:r>
        <w:rPr>
          <w:rFonts w:hint="cs"/>
          <w:rtl/>
        </w:rPr>
        <w:t xml:space="preserve">בכך שבית </w:t>
      </w:r>
      <w:bookmarkStart w:id="75990" w:name="_ETM_Q134_776350"/>
      <w:bookmarkEnd w:id="75990"/>
      <w:r>
        <w:rPr>
          <w:rFonts w:hint="cs"/>
          <w:rtl/>
        </w:rPr>
        <w:t xml:space="preserve">המשפט </w:t>
      </w:r>
      <w:bookmarkStart w:id="75991" w:name="_ETM_Q134_777820"/>
      <w:bookmarkStart w:id="75992" w:name="_ETM_Q134_778479"/>
      <w:bookmarkEnd w:id="75991"/>
      <w:bookmarkEnd w:id="75992"/>
      <w:r>
        <w:rPr>
          <w:rFonts w:hint="cs"/>
          <w:rtl/>
        </w:rPr>
        <w:t xml:space="preserve">יהיה עליון </w:t>
      </w:r>
      <w:bookmarkStart w:id="75993" w:name="_ETM_Q134_778960"/>
      <w:bookmarkEnd w:id="75993"/>
      <w:r>
        <w:rPr>
          <w:rFonts w:hint="cs"/>
          <w:rtl/>
        </w:rPr>
        <w:t xml:space="preserve">וחזק, </w:t>
      </w:r>
      <w:bookmarkStart w:id="75994" w:name="_ETM_Q134_780130"/>
      <w:bookmarkEnd w:id="75994"/>
      <w:r>
        <w:rPr>
          <w:rFonts w:hint="cs"/>
          <w:rtl/>
        </w:rPr>
        <w:t xml:space="preserve">כי </w:t>
      </w:r>
      <w:bookmarkStart w:id="75995" w:name="_ETM_Q134_780309"/>
      <w:bookmarkEnd w:id="75995"/>
      <w:r>
        <w:rPr>
          <w:rFonts w:hint="cs"/>
          <w:rtl/>
        </w:rPr>
        <w:t xml:space="preserve">בית </w:t>
      </w:r>
      <w:bookmarkStart w:id="75996" w:name="_ETM_Q134_780610"/>
      <w:bookmarkEnd w:id="75996"/>
      <w:r>
        <w:rPr>
          <w:rFonts w:hint="cs"/>
          <w:rtl/>
        </w:rPr>
        <w:t xml:space="preserve">המשפט העליון, לצערי הרב, </w:t>
      </w:r>
      <w:bookmarkStart w:id="75997" w:name="_ETM_Q134_783000"/>
      <w:bookmarkEnd w:id="75997"/>
      <w:r>
        <w:rPr>
          <w:rFonts w:hint="cs"/>
          <w:rtl/>
        </w:rPr>
        <w:t xml:space="preserve">הוא זה שנתן גושפנקה לחוק הלאום, לחוק ועדות הקבלה, הכשיר את שוד הקרקעות ונכסי הנפקדים, שתק מול מפעל ההתנחלויות המתרחב והגדל, ושם את חותמו על גירוש קהילות פלסטיניות, כולל גזילת אנשי אל-עראקיב מאדמתם וכפרם, שנהרס כבר 219 פעמים בישראל היהודית </w:t>
      </w:r>
      <w:bookmarkStart w:id="75998" w:name="_ETM_Q135_214000"/>
      <w:bookmarkEnd w:id="75998"/>
      <w:r>
        <w:rPr>
          <w:rFonts w:hint="cs"/>
          <w:rtl/>
        </w:rPr>
        <w:t xml:space="preserve">והדמוקרטית. </w:t>
      </w:r>
    </w:p>
    <w:p w:rsidR="00BB59CD" w:rsidRDefault="00BB59CD" w:rsidP="00337201">
      <w:pPr>
        <w:rPr>
          <w:lang w:eastAsia="he-IL"/>
        </w:rPr>
      </w:pPr>
      <w:r>
        <w:rPr>
          <w:rtl/>
          <w:lang w:eastAsia="he-IL"/>
        </w:rPr>
        <w:t xml:space="preserve"> </w:t>
      </w:r>
    </w:p>
    <w:p w:rsidR="00BB59CD" w:rsidRDefault="00BB59CD" w:rsidP="00903A0D">
      <w:pPr>
        <w:rPr>
          <w:rtl/>
          <w:lang w:eastAsia="he-IL"/>
        </w:rPr>
      </w:pPr>
      <w:bookmarkStart w:id="75999" w:name="_ETM_Q135_213000"/>
      <w:bookmarkEnd w:id="75999"/>
      <w:r>
        <w:rPr>
          <w:rFonts w:hint="cs"/>
          <w:rtl/>
          <w:lang w:eastAsia="he-IL"/>
        </w:rPr>
        <w:t xml:space="preserve">נכון, המאבק בלי בג"ץ עם סמכויות וכוח יהיה יותר </w:t>
      </w:r>
      <w:bookmarkStart w:id="76000" w:name="_ETM_Q135_223000"/>
      <w:bookmarkEnd w:id="76000"/>
      <w:r>
        <w:rPr>
          <w:rFonts w:hint="cs"/>
          <w:rtl/>
          <w:lang w:eastAsia="he-IL"/>
        </w:rPr>
        <w:t>קשה, אבל בטוח שבג"ץ לבד לא יצ</w:t>
      </w:r>
      <w:bookmarkStart w:id="76001" w:name="_ETM_Q135_226000"/>
      <w:bookmarkEnd w:id="76001"/>
      <w:r>
        <w:rPr>
          <w:rFonts w:hint="cs"/>
          <w:rtl/>
          <w:lang w:eastAsia="he-IL"/>
        </w:rPr>
        <w:t xml:space="preserve">יל אותנו מהמציאות החדשה שרוצים לייצר. מי שרוצה לבטל </w:t>
      </w:r>
      <w:bookmarkStart w:id="76002" w:name="_ETM_Q135_239000"/>
      <w:bookmarkEnd w:id="76002"/>
      <w:r>
        <w:rPr>
          <w:rFonts w:hint="cs"/>
          <w:rtl/>
          <w:lang w:eastAsia="he-IL"/>
        </w:rPr>
        <w:t>את עילת הסבירות פשוט רוצה להיות פטור מכל ריסון,</w:t>
      </w:r>
      <w:bookmarkStart w:id="76003" w:name="_ETM_Q135_244000"/>
      <w:bookmarkEnd w:id="76003"/>
      <w:r>
        <w:rPr>
          <w:rFonts w:hint="cs"/>
          <w:rtl/>
          <w:lang w:eastAsia="he-IL"/>
        </w:rPr>
        <w:t xml:space="preserve"> רוצה לדהור לכיוון שתי המטרות שהזכרתי. </w:t>
      </w:r>
      <w:bookmarkStart w:id="76004" w:name="_ETM_Q135_250000"/>
      <w:bookmarkEnd w:id="76004"/>
      <w:r>
        <w:rPr>
          <w:rFonts w:hint="cs"/>
          <w:rtl/>
          <w:lang w:eastAsia="he-IL"/>
        </w:rPr>
        <w:t xml:space="preserve">במציאות הזו, ההולכת ומתהווה, מקבץ חוקים מבקש לחתור תחת ולעשות קרימינליזציה לזכותה </w:t>
      </w:r>
      <w:bookmarkStart w:id="76005" w:name="_ETM_Q135_259000"/>
      <w:bookmarkEnd w:id="76005"/>
      <w:r>
        <w:rPr>
          <w:rFonts w:hint="cs"/>
          <w:rtl/>
          <w:lang w:eastAsia="he-IL"/>
        </w:rPr>
        <w:t xml:space="preserve">של האוכלוסייה הערבית למאבק פוליטי לגיטימי למען זכויותיה כאזרחים וזכויותיה כקולקטיב. במציאות הזו ייאסר על הנפת דגל פלסטין, יפורקו </w:t>
      </w:r>
      <w:bookmarkStart w:id="76006" w:name="_ETM_Q135_281000"/>
      <w:bookmarkEnd w:id="76006"/>
      <w:r>
        <w:rPr>
          <w:rFonts w:hint="cs"/>
          <w:rtl/>
          <w:lang w:eastAsia="he-IL"/>
        </w:rPr>
        <w:t>תאי סטודנטים, ירדפו אחרי ועדת המעקב על כלל מרכיביה</w:t>
      </w:r>
      <w:bookmarkStart w:id="76007" w:name="_ETM_Q135_290000"/>
      <w:bookmarkEnd w:id="76007"/>
      <w:r>
        <w:rPr>
          <w:rFonts w:hint="cs"/>
          <w:rtl/>
          <w:lang w:eastAsia="he-IL"/>
        </w:rPr>
        <w:t xml:space="preserve">, ימנעו מערבים לגור ביישובים שונים; </w:t>
      </w:r>
      <w:bookmarkStart w:id="76008" w:name="_ETM_Q135_291000"/>
      <w:bookmarkEnd w:id="76008"/>
      <w:r>
        <w:rPr>
          <w:rFonts w:hint="cs"/>
          <w:rtl/>
          <w:lang w:eastAsia="he-IL"/>
        </w:rPr>
        <w:t xml:space="preserve">במציאות הזו המאזן הדמוגרפי כאיום אסטרטגי יהיה גם בערים המעורבות, בגליל ובנגב. כן, כן – </w:t>
      </w:r>
      <w:bookmarkStart w:id="76009" w:name="_ETM_Q135_307000"/>
      <w:bookmarkEnd w:id="76009"/>
      <w:r>
        <w:rPr>
          <w:rFonts w:hint="cs"/>
          <w:rtl/>
          <w:lang w:eastAsia="he-IL"/>
        </w:rPr>
        <w:t>אנחנו האזרחים הערבים המטרה הבאה לנערי הגבעות, שרוצים לכבוש מחדש</w:t>
      </w:r>
      <w:bookmarkStart w:id="76010" w:name="_ETM_Q135_311000"/>
      <w:bookmarkEnd w:id="76010"/>
      <w:r>
        <w:rPr>
          <w:rFonts w:hint="cs"/>
          <w:rtl/>
          <w:lang w:eastAsia="he-IL"/>
        </w:rPr>
        <w:t xml:space="preserve">, לייהד ולשלוט גם בתוך הקו הירוק. הרי במציאות הזו </w:t>
      </w:r>
      <w:bookmarkStart w:id="76011" w:name="_ETM_Q135_319000"/>
      <w:bookmarkEnd w:id="76011"/>
      <w:r>
        <w:rPr>
          <w:rFonts w:hint="cs"/>
          <w:rtl/>
          <w:lang w:eastAsia="he-IL"/>
        </w:rPr>
        <w:t xml:space="preserve">המתהווה אין קו ירוק. </w:t>
      </w:r>
    </w:p>
    <w:p w:rsidR="00BB59CD" w:rsidRDefault="00BB59CD" w:rsidP="00BB59CD">
      <w:pPr>
        <w:rPr>
          <w:rtl/>
          <w:lang w:eastAsia="he-IL"/>
        </w:rPr>
      </w:pPr>
    </w:p>
    <w:p w:rsidR="00BB59CD" w:rsidRDefault="00BB59CD" w:rsidP="00903A0D">
      <w:pPr>
        <w:rPr>
          <w:rtl/>
          <w:lang w:eastAsia="he-IL"/>
        </w:rPr>
      </w:pPr>
      <w:r>
        <w:rPr>
          <w:rFonts w:hint="cs"/>
          <w:rtl/>
          <w:lang w:eastAsia="he-IL"/>
        </w:rPr>
        <w:t xml:space="preserve">במציאות הזו יוכל שר המשטרה </w:t>
      </w:r>
      <w:bookmarkStart w:id="76012" w:name="_ETM_Q135_326000"/>
      <w:bookmarkEnd w:id="76012"/>
      <w:r>
        <w:rPr>
          <w:rFonts w:hint="cs"/>
          <w:rtl/>
          <w:lang w:eastAsia="he-IL"/>
        </w:rPr>
        <w:t xml:space="preserve">בהינף יד לבטל את התקציבים למאבק בפשיעה לטובת מימון ההתנחלויות, וכמובן </w:t>
      </w:r>
      <w:r w:rsidR="00903A0D">
        <w:rPr>
          <w:rFonts w:hint="eastAsia"/>
          <w:rtl/>
          <w:lang w:eastAsia="he-IL"/>
        </w:rPr>
        <w:t>–</w:t>
      </w:r>
      <w:r w:rsidR="00903A0D">
        <w:rPr>
          <w:rFonts w:hint="cs"/>
          <w:rtl/>
          <w:lang w:eastAsia="he-IL"/>
        </w:rPr>
        <w:t xml:space="preserve"> </w:t>
      </w:r>
      <w:r>
        <w:rPr>
          <w:rFonts w:hint="cs"/>
          <w:rtl/>
          <w:lang w:eastAsia="he-IL"/>
        </w:rPr>
        <w:t xml:space="preserve">גם מיליציה פרטית משלו; במציאות הזו אותם מתנחלים מנקבים צמיגים, שורפים מכוניות, מרססים בתים, פולשים </w:t>
      </w:r>
      <w:bookmarkStart w:id="76013" w:name="_ETM_Q135_361000"/>
      <w:bookmarkEnd w:id="76013"/>
      <w:r>
        <w:rPr>
          <w:rFonts w:hint="cs"/>
          <w:rtl/>
          <w:lang w:eastAsia="he-IL"/>
        </w:rPr>
        <w:t xml:space="preserve">בשיא החוצפה והאדנות לכנסיות ולמסגדים – ראינו איך הם מתחילים לעשות </w:t>
      </w:r>
      <w:bookmarkStart w:id="76014" w:name="_ETM_Q135_364000"/>
      <w:bookmarkEnd w:id="76014"/>
      <w:r>
        <w:rPr>
          <w:rFonts w:hint="cs"/>
          <w:rtl/>
          <w:lang w:eastAsia="he-IL"/>
        </w:rPr>
        <w:t>את זה לא רק בירושלים המזרחית – כשעוברים ליד כמרים</w:t>
      </w:r>
      <w:bookmarkStart w:id="76015" w:name="_ETM_Q135_368000"/>
      <w:bookmarkEnd w:id="76015"/>
      <w:r>
        <w:rPr>
          <w:rFonts w:hint="cs"/>
          <w:rtl/>
          <w:lang w:eastAsia="he-IL"/>
        </w:rPr>
        <w:t xml:space="preserve"> יורקים עליהם, מקללים אותם</w:t>
      </w:r>
      <w:bookmarkStart w:id="76016" w:name="_ETM_Q135_369000"/>
      <w:bookmarkEnd w:id="76016"/>
      <w:r>
        <w:rPr>
          <w:rFonts w:hint="cs"/>
          <w:rtl/>
          <w:lang w:eastAsia="he-IL"/>
        </w:rPr>
        <w:t xml:space="preserve">; במציאות החדשה גם ימנעו מהכמרים ללכת עם צלב, ינסו </w:t>
      </w:r>
      <w:bookmarkStart w:id="76017" w:name="_ETM_Q135_371000"/>
      <w:bookmarkEnd w:id="76017"/>
      <w:r>
        <w:rPr>
          <w:rFonts w:hint="cs"/>
          <w:rtl/>
          <w:lang w:eastAsia="he-IL"/>
        </w:rPr>
        <w:t xml:space="preserve">למנוע ולדכא אפילו את הזהות המינימלית של אנשים להיות </w:t>
      </w:r>
      <w:bookmarkStart w:id="76018" w:name="_ETM_Q135_387000"/>
      <w:bookmarkEnd w:id="76018"/>
      <w:r>
        <w:rPr>
          <w:rFonts w:hint="cs"/>
          <w:rtl/>
          <w:lang w:eastAsia="he-IL"/>
        </w:rPr>
        <w:t xml:space="preserve">קשורים לדת שלהם, אלא אם כן היא דת יהודית, כנראה, וימיינו גם </w:t>
      </w:r>
      <w:bookmarkStart w:id="76019" w:name="_ETM_Q135_388000"/>
      <w:bookmarkEnd w:id="76019"/>
      <w:r>
        <w:rPr>
          <w:rFonts w:hint="cs"/>
          <w:rtl/>
          <w:lang w:eastAsia="he-IL"/>
        </w:rPr>
        <w:t xml:space="preserve">בתוך היהודים למי יש את הזכות לדבר על דת </w:t>
      </w:r>
      <w:bookmarkStart w:id="76020" w:name="_ETM_Q135_392000"/>
      <w:bookmarkEnd w:id="76020"/>
      <w:r>
        <w:rPr>
          <w:rFonts w:hint="cs"/>
          <w:rtl/>
          <w:lang w:eastAsia="he-IL"/>
        </w:rPr>
        <w:t xml:space="preserve">ולמי לא. </w:t>
      </w:r>
    </w:p>
    <w:p w:rsidR="00BB59CD" w:rsidRDefault="00BB59CD" w:rsidP="00BB59CD">
      <w:pPr>
        <w:rPr>
          <w:rtl/>
          <w:lang w:eastAsia="he-IL"/>
        </w:rPr>
      </w:pPr>
    </w:p>
    <w:p w:rsidR="00BB59CD" w:rsidRDefault="00BB59CD" w:rsidP="001251AE">
      <w:pPr>
        <w:rPr>
          <w:rtl/>
          <w:lang w:eastAsia="he-IL"/>
        </w:rPr>
      </w:pPr>
      <w:r>
        <w:rPr>
          <w:rFonts w:hint="cs"/>
          <w:rtl/>
          <w:lang w:eastAsia="he-IL"/>
        </w:rPr>
        <w:t xml:space="preserve">בחיפה ראינו את קבוצת ברלנד הפושעת פורצת </w:t>
      </w:r>
      <w:bookmarkStart w:id="76021" w:name="_ETM_Q135_403000"/>
      <w:bookmarkEnd w:id="76021"/>
      <w:r>
        <w:rPr>
          <w:rFonts w:hint="cs"/>
          <w:rtl/>
          <w:lang w:eastAsia="he-IL"/>
        </w:rPr>
        <w:t xml:space="preserve">לכנסייה יום אחרי יום; רק אתמול </w:t>
      </w:r>
      <w:bookmarkStart w:id="76022" w:name="_ETM_Q135_411000"/>
      <w:bookmarkEnd w:id="76022"/>
      <w:r>
        <w:rPr>
          <w:rFonts w:hint="cs"/>
          <w:rtl/>
          <w:lang w:eastAsia="he-IL"/>
        </w:rPr>
        <w:t xml:space="preserve">הם פרצו לכנסיית מאר אליאס וניסו להתפלל בתוכה. מה </w:t>
      </w:r>
      <w:bookmarkStart w:id="76023" w:name="_ETM_Q135_417000"/>
      <w:bookmarkEnd w:id="76023"/>
      <w:r>
        <w:rPr>
          <w:rFonts w:hint="cs"/>
          <w:rtl/>
          <w:lang w:eastAsia="he-IL"/>
        </w:rPr>
        <w:t xml:space="preserve">זה, כיבוש מחדש? דיכוי מחדש לאוכלוסייה הערבית הנוצרית או השפלה ורצון עז להשפיל? מה בדיוק קורה? איפה המשטרה? </w:t>
      </w:r>
      <w:bookmarkStart w:id="76024" w:name="_ETM_Q135_429000"/>
      <w:bookmarkEnd w:id="76024"/>
      <w:r>
        <w:rPr>
          <w:rFonts w:hint="cs"/>
          <w:rtl/>
          <w:lang w:eastAsia="he-IL"/>
        </w:rPr>
        <w:t xml:space="preserve">מדינת ישראל, שמדברת על חופש הפולחן – רק אצלנו יש חופש פולחן. </w:t>
      </w:r>
      <w:bookmarkStart w:id="76025" w:name="_ETM_Q135_442000"/>
      <w:bookmarkEnd w:id="76025"/>
      <w:r>
        <w:rPr>
          <w:rFonts w:hint="cs"/>
          <w:rtl/>
          <w:lang w:eastAsia="he-IL"/>
        </w:rPr>
        <w:t>אחרי שכבר עשו את זה ומנסים</w:t>
      </w:r>
      <w:bookmarkStart w:id="76026" w:name="_ETM_Q135_444000"/>
      <w:bookmarkEnd w:id="76026"/>
      <w:r>
        <w:rPr>
          <w:rFonts w:hint="cs"/>
          <w:rtl/>
          <w:lang w:eastAsia="he-IL"/>
        </w:rPr>
        <w:t xml:space="preserve"> ומתפרצים כל הזמן לאל-אקצא ומנסים לשרוף מסגדים</w:t>
      </w:r>
      <w:r w:rsidR="001251AE">
        <w:rPr>
          <w:rFonts w:hint="cs"/>
          <w:rtl/>
          <w:lang w:eastAsia="he-IL"/>
        </w:rPr>
        <w:t>,</w:t>
      </w:r>
      <w:r>
        <w:rPr>
          <w:rFonts w:hint="cs"/>
          <w:rtl/>
          <w:lang w:eastAsia="he-IL"/>
        </w:rPr>
        <w:t xml:space="preserve"> כנראה הגיע תורן </w:t>
      </w:r>
      <w:bookmarkStart w:id="76027" w:name="_ETM_Q135_457000"/>
      <w:bookmarkEnd w:id="76027"/>
      <w:r>
        <w:rPr>
          <w:rFonts w:hint="cs"/>
          <w:rtl/>
          <w:lang w:eastAsia="he-IL"/>
        </w:rPr>
        <w:t xml:space="preserve">של הכנסיות אצל המטורללים הגזענים האלה. </w:t>
      </w:r>
      <w:bookmarkStart w:id="76028" w:name="_ETM_Q135_463000"/>
      <w:bookmarkEnd w:id="76028"/>
    </w:p>
    <w:p w:rsidR="00BB59CD" w:rsidRDefault="00BB59CD" w:rsidP="00BB59CD">
      <w:pPr>
        <w:rPr>
          <w:rtl/>
          <w:lang w:eastAsia="he-IL"/>
        </w:rPr>
      </w:pPr>
    </w:p>
    <w:p w:rsidR="00BB59CD" w:rsidRDefault="00BB59CD" w:rsidP="00BB59CD">
      <w:pPr>
        <w:rPr>
          <w:rtl/>
          <w:lang w:eastAsia="he-IL"/>
        </w:rPr>
      </w:pPr>
      <w:bookmarkStart w:id="76029" w:name="_ETM_Q135_458000"/>
      <w:bookmarkEnd w:id="76029"/>
      <w:r>
        <w:rPr>
          <w:rFonts w:hint="cs"/>
          <w:rtl/>
          <w:lang w:eastAsia="he-IL"/>
        </w:rPr>
        <w:t xml:space="preserve">במציאות הזו ימשיכו להתעלם מ-130 נרצחים ומאלפים החיים בפחד וטרור </w:t>
      </w:r>
      <w:bookmarkStart w:id="76030" w:name="_ETM_Q135_473000"/>
      <w:bookmarkEnd w:id="76030"/>
      <w:r>
        <w:rPr>
          <w:rFonts w:hint="cs"/>
          <w:rtl/>
          <w:lang w:eastAsia="he-IL"/>
        </w:rPr>
        <w:t xml:space="preserve">של ארגוני הפשיעה, אותם ארגוני פשיעה המשתוללים ברחובותינו </w:t>
      </w:r>
      <w:bookmarkStart w:id="76031" w:name="_ETM_Q135_479000"/>
      <w:bookmarkEnd w:id="76031"/>
      <w:r>
        <w:rPr>
          <w:rFonts w:hint="cs"/>
          <w:rtl/>
          <w:lang w:eastAsia="he-IL"/>
        </w:rPr>
        <w:t xml:space="preserve">באין מפריע, שולטים בכלכלה ותכף גם בפוליטיקה. כך תשלח המדינה את זרועותיה </w:t>
      </w:r>
      <w:bookmarkStart w:id="76032" w:name="_ETM_Q135_487000"/>
      <w:bookmarkEnd w:id="76032"/>
      <w:r>
        <w:rPr>
          <w:rFonts w:hint="cs"/>
          <w:rtl/>
          <w:lang w:eastAsia="he-IL"/>
        </w:rPr>
        <w:t xml:space="preserve">הארוכות כדי לשלוט בנו ולעשות תוהו ובוהו בתוכנו, שחלילה </w:t>
      </w:r>
      <w:bookmarkStart w:id="76033" w:name="_ETM_Q135_493000"/>
      <w:bookmarkEnd w:id="76033"/>
      <w:r>
        <w:rPr>
          <w:rFonts w:hint="cs"/>
          <w:rtl/>
          <w:lang w:eastAsia="he-IL"/>
        </w:rPr>
        <w:t xml:space="preserve">לא נתפנה למאבקים העקרוניים נגד האפליה כלפינו, שחלילה לא ניקח </w:t>
      </w:r>
      <w:bookmarkStart w:id="76034" w:name="_ETM_Q135_506000"/>
      <w:bookmarkEnd w:id="76034"/>
      <w:r>
        <w:rPr>
          <w:rFonts w:hint="cs"/>
          <w:rtl/>
          <w:lang w:eastAsia="he-IL"/>
        </w:rPr>
        <w:t xml:space="preserve">חלק במאבק נגד הכיבוש, הדיכוי והמאבק למען חברה שוחרת דמוקרטיה </w:t>
      </w:r>
      <w:bookmarkStart w:id="76035" w:name="_ETM_Q135_513000"/>
      <w:bookmarkEnd w:id="76035"/>
      <w:r>
        <w:rPr>
          <w:rFonts w:hint="cs"/>
          <w:rtl/>
          <w:lang w:eastAsia="he-IL"/>
        </w:rPr>
        <w:t xml:space="preserve">ושוויון מהותי ואמיתי. </w:t>
      </w:r>
    </w:p>
    <w:p w:rsidR="00BB59CD" w:rsidRDefault="00BB59CD" w:rsidP="00BB59CD">
      <w:pPr>
        <w:rPr>
          <w:rtl/>
          <w:lang w:eastAsia="he-IL"/>
        </w:rPr>
      </w:pPr>
    </w:p>
    <w:p w:rsidR="00BB59CD" w:rsidRDefault="00BB59CD" w:rsidP="001251AE">
      <w:pPr>
        <w:rPr>
          <w:rtl/>
          <w:lang w:eastAsia="he-IL"/>
        </w:rPr>
      </w:pPr>
      <w:bookmarkStart w:id="76036" w:name="_ETM_Q135_517000"/>
      <w:bookmarkEnd w:id="76036"/>
      <w:r>
        <w:rPr>
          <w:rFonts w:hint="cs"/>
          <w:rtl/>
          <w:lang w:eastAsia="he-IL"/>
        </w:rPr>
        <w:t>אנשים שואלים אותנו: אם אתם רואים את הסכנות האלה, למה הערבים לא נוהרים למחאה?</w:t>
      </w:r>
      <w:bookmarkStart w:id="76037" w:name="_ETM_Q135_520000"/>
      <w:bookmarkEnd w:id="76037"/>
      <w:r>
        <w:rPr>
          <w:rFonts w:hint="cs"/>
          <w:rtl/>
          <w:lang w:eastAsia="he-IL"/>
        </w:rPr>
        <w:t xml:space="preserve"> אז אני אומרת לכם: קודם כול</w:t>
      </w:r>
      <w:r w:rsidR="001251AE">
        <w:rPr>
          <w:rFonts w:hint="cs"/>
          <w:rtl/>
          <w:lang w:eastAsia="he-IL"/>
        </w:rPr>
        <w:t>,</w:t>
      </w:r>
      <w:r>
        <w:rPr>
          <w:rFonts w:hint="cs"/>
          <w:rtl/>
          <w:lang w:eastAsia="he-IL"/>
        </w:rPr>
        <w:t xml:space="preserve"> יש ערבים שמשתתפים במחאה, </w:t>
      </w:r>
      <w:bookmarkStart w:id="76038" w:name="_ETM_Q135_528000"/>
      <w:bookmarkEnd w:id="76038"/>
      <w:r>
        <w:rPr>
          <w:rFonts w:hint="cs"/>
          <w:rtl/>
          <w:lang w:eastAsia="he-IL"/>
        </w:rPr>
        <w:t>והם נמצאים בעיקר בתוך הגוש נגד הכיבוש. אבל</w:t>
      </w:r>
      <w:bookmarkStart w:id="76039" w:name="_ETM_Q135_540000"/>
      <w:bookmarkEnd w:id="76039"/>
      <w:r>
        <w:rPr>
          <w:rFonts w:hint="cs"/>
          <w:rtl/>
          <w:lang w:eastAsia="he-IL"/>
        </w:rPr>
        <w:t xml:space="preserve"> האוכלוסייה הערבית מדממת, האוכלוסייה הערבית כמעט משותקת מפחד מארגוני הפשיעה. </w:t>
      </w:r>
      <w:bookmarkStart w:id="76040" w:name="_ETM_Q135_551000"/>
      <w:bookmarkEnd w:id="76040"/>
      <w:r>
        <w:rPr>
          <w:rFonts w:hint="cs"/>
          <w:rtl/>
          <w:lang w:eastAsia="he-IL"/>
        </w:rPr>
        <w:t>מי שמנסה לשרוד, אין לו את המקום הפנוי להיאבק על ערכי דמוקרטיה</w:t>
      </w:r>
      <w:r w:rsidR="001251AE">
        <w:rPr>
          <w:rFonts w:hint="cs"/>
          <w:rtl/>
          <w:lang w:eastAsia="he-IL"/>
        </w:rPr>
        <w:t>,</w:t>
      </w:r>
      <w:r>
        <w:rPr>
          <w:rFonts w:hint="cs"/>
          <w:rtl/>
          <w:lang w:eastAsia="he-IL"/>
        </w:rPr>
        <w:t xml:space="preserve"> שלא הרגיש ממילא. אז אל תבואו </w:t>
      </w:r>
      <w:bookmarkStart w:id="76041" w:name="_ETM_Q135_562000"/>
      <w:bookmarkEnd w:id="76041"/>
      <w:r>
        <w:rPr>
          <w:rFonts w:hint="cs"/>
          <w:rtl/>
          <w:lang w:eastAsia="he-IL"/>
        </w:rPr>
        <w:t xml:space="preserve">בטענות, תסתכלו גם כן עד כמה המחאה הייתה </w:t>
      </w:r>
      <w:bookmarkStart w:id="76042" w:name="_ETM_Q135_569000"/>
      <w:bookmarkEnd w:id="76042"/>
      <w:r>
        <w:rPr>
          <w:rFonts w:hint="cs"/>
          <w:rtl/>
          <w:lang w:eastAsia="he-IL"/>
        </w:rPr>
        <w:t xml:space="preserve">מכילה, עד כמה המחאה הבינה את הקשר גם בעניין של </w:t>
      </w:r>
      <w:bookmarkStart w:id="76043" w:name="_ETM_Q135_580000"/>
      <w:bookmarkEnd w:id="76043"/>
      <w:r>
        <w:rPr>
          <w:rFonts w:hint="cs"/>
          <w:rtl/>
          <w:lang w:eastAsia="he-IL"/>
        </w:rPr>
        <w:t xml:space="preserve">הפשיעה, שכבר מזמן הפסיק להיות רשלנות וחוסר מעש, אלא </w:t>
      </w:r>
      <w:bookmarkStart w:id="76044" w:name="_ETM_Q135_590000"/>
      <w:bookmarkEnd w:id="76044"/>
      <w:r>
        <w:rPr>
          <w:rFonts w:hint="cs"/>
          <w:rtl/>
          <w:lang w:eastAsia="he-IL"/>
        </w:rPr>
        <w:t xml:space="preserve">מדיניות מכוונת לנטרל את האוכלוסייה הערבית. </w:t>
      </w:r>
    </w:p>
    <w:p w:rsidR="00BB59CD" w:rsidRDefault="00BB59CD" w:rsidP="00BB59CD">
      <w:pPr>
        <w:rPr>
          <w:rtl/>
          <w:lang w:eastAsia="he-IL"/>
        </w:rPr>
      </w:pPr>
    </w:p>
    <w:p w:rsidR="00BB59CD" w:rsidRDefault="00BB59CD" w:rsidP="001251AE">
      <w:pPr>
        <w:rPr>
          <w:rtl/>
          <w:lang w:eastAsia="he-IL"/>
        </w:rPr>
      </w:pPr>
      <w:bookmarkStart w:id="76045" w:name="_ETM_Q135_592000"/>
      <w:bookmarkEnd w:id="76045"/>
      <w:r>
        <w:rPr>
          <w:rFonts w:hint="cs"/>
          <w:rtl/>
          <w:lang w:eastAsia="he-IL"/>
        </w:rPr>
        <w:t xml:space="preserve">ואותה </w:t>
      </w:r>
      <w:bookmarkStart w:id="76046" w:name="_ETM_Q135_594000"/>
      <w:bookmarkEnd w:id="76046"/>
      <w:r>
        <w:rPr>
          <w:rFonts w:hint="cs"/>
          <w:rtl/>
          <w:lang w:eastAsia="he-IL"/>
        </w:rPr>
        <w:t>ישראל היהודית והסבירה בלי עילת הסבירות, נושאת את עי</w:t>
      </w:r>
      <w:bookmarkStart w:id="76047" w:name="_ETM_Q135_600000"/>
      <w:bookmarkEnd w:id="76047"/>
      <w:r>
        <w:rPr>
          <w:rFonts w:hint="cs"/>
          <w:rtl/>
          <w:lang w:eastAsia="he-IL"/>
        </w:rPr>
        <w:t xml:space="preserve">ניה לספח את שטחי הגדה המערבית, לטהר את </w:t>
      </w:r>
      <w:bookmarkStart w:id="76048" w:name="_ETM_Q135_608000"/>
      <w:bookmarkEnd w:id="76048"/>
      <w:r>
        <w:rPr>
          <w:rFonts w:hint="cs"/>
          <w:rtl/>
          <w:lang w:eastAsia="he-IL"/>
        </w:rPr>
        <w:t xml:space="preserve">השטח מתושביו הילידים לטובת ארץ ההתנחלויות, המאחזים והחוות. ואני </w:t>
      </w:r>
      <w:bookmarkStart w:id="76049" w:name="_ETM_Q135_612000"/>
      <w:bookmarkEnd w:id="76049"/>
      <w:r>
        <w:rPr>
          <w:rFonts w:hint="cs"/>
          <w:rtl/>
          <w:lang w:eastAsia="he-IL"/>
        </w:rPr>
        <w:t xml:space="preserve">תוהה, חבריי באופוזיציה וגם בהנהגת  המחאה, </w:t>
      </w:r>
      <w:bookmarkStart w:id="76050" w:name="_ETM_Q135_621000"/>
      <w:bookmarkEnd w:id="76050"/>
      <w:r>
        <w:rPr>
          <w:rFonts w:hint="cs"/>
          <w:rtl/>
          <w:lang w:eastAsia="he-IL"/>
        </w:rPr>
        <w:t xml:space="preserve">איך אתם לא עושים את הקשר הזה, את הקשר </w:t>
      </w:r>
      <w:bookmarkStart w:id="76051" w:name="_ETM_Q135_628000"/>
      <w:bookmarkEnd w:id="76051"/>
      <w:r>
        <w:rPr>
          <w:rFonts w:hint="cs"/>
          <w:rtl/>
          <w:lang w:eastAsia="he-IL"/>
        </w:rPr>
        <w:t xml:space="preserve">הישר והברור בין ההפיכה המשטרית, מוביליה ויעדה האמיתי? </w:t>
      </w:r>
    </w:p>
    <w:p w:rsidR="00BB59CD" w:rsidRDefault="00BB59CD" w:rsidP="00BB59CD">
      <w:pPr>
        <w:rPr>
          <w:rtl/>
          <w:lang w:eastAsia="he-IL"/>
        </w:rPr>
      </w:pPr>
      <w:bookmarkStart w:id="76052" w:name="_ETM_Q135_634000"/>
      <w:bookmarkEnd w:id="76052"/>
    </w:p>
    <w:p w:rsidR="00BB59CD" w:rsidRDefault="00BB59CD" w:rsidP="00BB59CD">
      <w:pPr>
        <w:rPr>
          <w:rtl/>
          <w:lang w:eastAsia="he-IL"/>
        </w:rPr>
      </w:pPr>
      <w:bookmarkStart w:id="76053" w:name="_ETM_Q135_635000"/>
      <w:bookmarkEnd w:id="76053"/>
      <w:r>
        <w:rPr>
          <w:rFonts w:hint="cs"/>
          <w:rtl/>
          <w:lang w:eastAsia="he-IL"/>
        </w:rPr>
        <w:t>ואני</w:t>
      </w:r>
      <w:bookmarkStart w:id="76054" w:name="_ETM_Q135_636000"/>
      <w:bookmarkEnd w:id="76054"/>
      <w:r>
        <w:rPr>
          <w:rFonts w:hint="cs"/>
          <w:rtl/>
          <w:lang w:eastAsia="he-IL"/>
        </w:rPr>
        <w:t xml:space="preserve"> חייבת להגיד: דווקא בג"ץ – לא היו לו פסיקות רציניות על עילת </w:t>
      </w:r>
      <w:bookmarkStart w:id="76055" w:name="_ETM_Q135_644000"/>
      <w:bookmarkEnd w:id="76055"/>
      <w:r>
        <w:rPr>
          <w:rFonts w:hint="cs"/>
          <w:rtl/>
          <w:lang w:eastAsia="he-IL"/>
        </w:rPr>
        <w:t xml:space="preserve">סבירות בעניין האוכלוסייה הערבית, אבל בעניין </w:t>
      </w:r>
      <w:bookmarkStart w:id="76056" w:name="_ETM_Q135_647000"/>
      <w:bookmarkEnd w:id="76056"/>
      <w:r>
        <w:rPr>
          <w:rFonts w:hint="cs"/>
          <w:rtl/>
          <w:lang w:eastAsia="he-IL"/>
        </w:rPr>
        <w:t xml:space="preserve">מה שקורה בשטחים היו לו כמה פסיקות מעניינות על </w:t>
      </w:r>
      <w:bookmarkStart w:id="76057" w:name="_ETM_Q135_652000"/>
      <w:bookmarkEnd w:id="76057"/>
      <w:r>
        <w:rPr>
          <w:rFonts w:hint="cs"/>
          <w:rtl/>
          <w:lang w:eastAsia="he-IL"/>
        </w:rPr>
        <w:t>רקע עילת הסבירות, וכנראה בגלל זה עילת הסבירות כואבת לימין</w:t>
      </w:r>
      <w:bookmarkStart w:id="76058" w:name="_ETM_Q135_656000"/>
      <w:bookmarkEnd w:id="76058"/>
      <w:r>
        <w:rPr>
          <w:rFonts w:hint="cs"/>
          <w:rtl/>
          <w:lang w:eastAsia="he-IL"/>
        </w:rPr>
        <w:t xml:space="preserve">, רוצים להסיר אותה. </w:t>
      </w:r>
      <w:bookmarkStart w:id="76059" w:name="_ETM_Q135_665000"/>
      <w:bookmarkEnd w:id="76059"/>
      <w:r>
        <w:rPr>
          <w:rFonts w:hint="cs"/>
          <w:rtl/>
          <w:lang w:eastAsia="he-IL"/>
        </w:rPr>
        <w:t xml:space="preserve">אני בהחלט לא ממעיטה ולא מקילה </w:t>
      </w:r>
      <w:bookmarkStart w:id="76060" w:name="_ETM_Q135_664000"/>
      <w:bookmarkEnd w:id="76060"/>
      <w:r>
        <w:rPr>
          <w:rFonts w:hint="cs"/>
          <w:rtl/>
          <w:lang w:eastAsia="he-IL"/>
        </w:rPr>
        <w:t xml:space="preserve">ראש בהשלכות על המרחב הדמוקרטי בישראל, אבל בואו, ההפיכה </w:t>
      </w:r>
      <w:bookmarkStart w:id="76061" w:name="_ETM_Q135_672000"/>
      <w:bookmarkEnd w:id="76061"/>
      <w:r>
        <w:rPr>
          <w:rFonts w:hint="cs"/>
          <w:rtl/>
          <w:lang w:eastAsia="he-IL"/>
        </w:rPr>
        <w:t xml:space="preserve">האמיתית תתחולל שם, מעבר לחומות האפרטהייד וההפרדה. המושא של </w:t>
      </w:r>
      <w:bookmarkStart w:id="76062" w:name="_ETM_Q135_681000"/>
      <w:bookmarkEnd w:id="76062"/>
      <w:r>
        <w:rPr>
          <w:rFonts w:hint="cs"/>
          <w:rtl/>
          <w:lang w:eastAsia="he-IL"/>
        </w:rPr>
        <w:t xml:space="preserve">ההפיכה הזאת הוא לא אזרחים ישראלים בעיקר, </w:t>
      </w:r>
      <w:bookmarkStart w:id="76063" w:name="_ETM_Q135_650008"/>
      <w:bookmarkEnd w:id="76063"/>
      <w:r>
        <w:rPr>
          <w:rFonts w:hint="cs"/>
          <w:rtl/>
          <w:lang w:eastAsia="he-IL"/>
        </w:rPr>
        <w:t xml:space="preserve">אלא נתינים פלסטינים. </w:t>
      </w:r>
      <w:bookmarkStart w:id="76064" w:name="_ETM_Q135_685000"/>
      <w:bookmarkEnd w:id="76064"/>
      <w:r>
        <w:rPr>
          <w:rFonts w:hint="cs"/>
          <w:rtl/>
          <w:lang w:eastAsia="he-IL"/>
        </w:rPr>
        <w:t>על הדרך יצטרכו לדכא את כל הישראלים שיתנגדו למטרה הזו.</w:t>
      </w:r>
    </w:p>
    <w:p w:rsidR="00BB59CD" w:rsidRDefault="00BB59CD" w:rsidP="00BB59CD">
      <w:pPr>
        <w:rPr>
          <w:rtl/>
          <w:lang w:eastAsia="he-IL"/>
        </w:rPr>
      </w:pPr>
      <w:bookmarkStart w:id="76065" w:name="_ETM_Q135_695000"/>
      <w:bookmarkEnd w:id="76065"/>
    </w:p>
    <w:p w:rsidR="00BB59CD" w:rsidRDefault="00BB59CD" w:rsidP="001251AE">
      <w:pPr>
        <w:rPr>
          <w:rtl/>
          <w:lang w:eastAsia="he-IL"/>
        </w:rPr>
      </w:pPr>
      <w:bookmarkStart w:id="76066" w:name="_ETM_Q135_696000"/>
      <w:bookmarkEnd w:id="76066"/>
      <w:r>
        <w:rPr>
          <w:rFonts w:hint="cs"/>
          <w:rtl/>
          <w:lang w:eastAsia="he-IL"/>
        </w:rPr>
        <w:t>אתמול הגיעו רבבות של אוטובוסים עמוסים במתנחלים כדי לתמוך בצעדי</w:t>
      </w:r>
      <w:bookmarkStart w:id="76067" w:name="_ETM_Q135_701000"/>
      <w:bookmarkEnd w:id="76067"/>
      <w:r>
        <w:rPr>
          <w:rFonts w:hint="cs"/>
          <w:rtl/>
          <w:lang w:eastAsia="he-IL"/>
        </w:rPr>
        <w:t xml:space="preserve"> הממשלה ברפורמה הממשלתית. ברשתות הופצה מפה של באי הפגנת הימין. </w:t>
      </w:r>
      <w:bookmarkStart w:id="76068" w:name="_ETM_Q135_716000"/>
      <w:bookmarkEnd w:id="76068"/>
      <w:r>
        <w:rPr>
          <w:rFonts w:hint="cs"/>
          <w:rtl/>
          <w:lang w:eastAsia="he-IL"/>
        </w:rPr>
        <w:t xml:space="preserve">רובם המכריע של האוטובוסים הגדושים אשר נהרו מההתנחלויות לאותה הפגנה </w:t>
      </w:r>
      <w:bookmarkStart w:id="76069" w:name="_ETM_Q135_729000"/>
      <w:bookmarkEnd w:id="76069"/>
      <w:r>
        <w:rPr>
          <w:rFonts w:hint="cs"/>
          <w:rtl/>
          <w:lang w:eastAsia="he-IL"/>
        </w:rPr>
        <w:t>נהרו מההתנחלויות והגבעות מעבר לקו הירוק, תסתכלו על המפות שהופצו אתמול. אלה אותם אנשים ששרים "שיישרף לכם הכפר</w:t>
      </w:r>
      <w:bookmarkStart w:id="76070" w:name="_ETM_Q135_741000"/>
      <w:bookmarkEnd w:id="76070"/>
      <w:r>
        <w:rPr>
          <w:rFonts w:hint="cs"/>
          <w:rtl/>
          <w:lang w:eastAsia="he-IL"/>
        </w:rPr>
        <w:t>", רוקדים בחתונת השנאה, הולכים לרסס "נקמה" בלילות בכפר קאסם ואבו גוש; אלה אותם פוגרומיסטים שהבעירו בתים בחווארה</w:t>
      </w:r>
      <w:bookmarkStart w:id="76071" w:name="_ETM_Q135_755000"/>
      <w:bookmarkEnd w:id="76071"/>
      <w:r>
        <w:rPr>
          <w:rFonts w:hint="cs"/>
          <w:rtl/>
          <w:lang w:eastAsia="he-IL"/>
        </w:rPr>
        <w:t xml:space="preserve">, באום צפא ובבורקה. </w:t>
      </w:r>
      <w:bookmarkStart w:id="76072" w:name="TOR_Q136"/>
      <w:bookmarkEnd w:id="76072"/>
      <w:r>
        <w:rPr>
          <w:rFonts w:hint="cs"/>
          <w:rtl/>
          <w:lang w:eastAsia="he-IL"/>
        </w:rPr>
        <w:t xml:space="preserve">ממש שלשום, כשהמוחים והמוחות האמיצים צעדו לירושלים – ואני לא אומרת את זה סתם, בעיניי כל האנשים </w:t>
      </w:r>
      <w:bookmarkStart w:id="76073" w:name="_ETM_Q136_172484"/>
      <w:bookmarkEnd w:id="76073"/>
      <w:r>
        <w:rPr>
          <w:rFonts w:hint="cs"/>
          <w:rtl/>
          <w:lang w:eastAsia="he-IL"/>
        </w:rPr>
        <w:t>שנמצאים במחאה הם אנשים אמיצים שיצאו להגן על מה שראו בעיניהם כיקר להם</w:t>
      </w:r>
      <w:bookmarkStart w:id="76074" w:name="_ETM_Q136_20179"/>
      <w:bookmarkStart w:id="76075" w:name="_ETM_Q136_20262"/>
      <w:bookmarkEnd w:id="76074"/>
      <w:bookmarkEnd w:id="76075"/>
      <w:r w:rsidR="001251AE">
        <w:rPr>
          <w:rFonts w:hint="cs"/>
          <w:rtl/>
          <w:lang w:eastAsia="he-IL"/>
        </w:rPr>
        <w:t xml:space="preserve"> </w:t>
      </w:r>
      <w:r w:rsidR="001251AE">
        <w:rPr>
          <w:rFonts w:hint="eastAsia"/>
          <w:rtl/>
          <w:lang w:eastAsia="he-IL"/>
        </w:rPr>
        <w:t>–</w:t>
      </w:r>
      <w:r w:rsidR="001251AE">
        <w:rPr>
          <w:rFonts w:hint="cs"/>
          <w:rtl/>
          <w:lang w:eastAsia="he-IL"/>
        </w:rPr>
        <w:t xml:space="preserve"> </w:t>
      </w:r>
      <w:r>
        <w:rPr>
          <w:rFonts w:hint="cs"/>
          <w:rtl/>
        </w:rPr>
        <w:t xml:space="preserve">כאשר </w:t>
      </w:r>
      <w:bookmarkStart w:id="76076" w:name="_ETM_Q136_182700"/>
      <w:bookmarkEnd w:id="76076"/>
      <w:r w:rsidR="001251AE">
        <w:rPr>
          <w:rFonts w:hint="cs"/>
          <w:rtl/>
        </w:rPr>
        <w:t xml:space="preserve">הם </w:t>
      </w:r>
      <w:r>
        <w:rPr>
          <w:rFonts w:hint="cs"/>
          <w:rtl/>
        </w:rPr>
        <w:t xml:space="preserve">צעדו </w:t>
      </w:r>
      <w:bookmarkStart w:id="76077" w:name="_ETM_Q136_183240"/>
      <w:bookmarkEnd w:id="76077"/>
      <w:r>
        <w:rPr>
          <w:rFonts w:hint="cs"/>
          <w:rtl/>
        </w:rPr>
        <w:t xml:space="preserve">כדי </w:t>
      </w:r>
      <w:bookmarkStart w:id="76078" w:name="_ETM_Q136_183570"/>
      <w:bookmarkEnd w:id="76078"/>
      <w:r>
        <w:rPr>
          <w:rFonts w:hint="cs"/>
          <w:rtl/>
        </w:rPr>
        <w:t xml:space="preserve">להציל </w:t>
      </w:r>
      <w:bookmarkStart w:id="76079" w:name="_ETM_Q136_184319"/>
      <w:bookmarkEnd w:id="76079"/>
      <w:r>
        <w:rPr>
          <w:rFonts w:hint="cs"/>
          <w:rtl/>
        </w:rPr>
        <w:t xml:space="preserve">את </w:t>
      </w:r>
      <w:bookmarkStart w:id="76080" w:name="_ETM_Q136_184500"/>
      <w:bookmarkEnd w:id="76080"/>
      <w:r>
        <w:rPr>
          <w:rFonts w:hint="cs"/>
          <w:rtl/>
        </w:rPr>
        <w:t xml:space="preserve">הדמוקרטיה </w:t>
      </w:r>
      <w:bookmarkStart w:id="76081" w:name="_ETM_Q136_185609"/>
      <w:bookmarkEnd w:id="76081"/>
      <w:r>
        <w:rPr>
          <w:rFonts w:hint="cs"/>
          <w:rtl/>
        </w:rPr>
        <w:t xml:space="preserve">האתנית </w:t>
      </w:r>
      <w:bookmarkStart w:id="76082" w:name="_ETM_Q136_186269"/>
      <w:bookmarkEnd w:id="76082"/>
      <w:r>
        <w:rPr>
          <w:rFonts w:hint="cs"/>
          <w:rtl/>
        </w:rPr>
        <w:t xml:space="preserve">ליהודים, </w:t>
      </w:r>
      <w:bookmarkStart w:id="76083" w:name="_ETM_Q136_187799"/>
      <w:bookmarkEnd w:id="76083"/>
      <w:r>
        <w:rPr>
          <w:rFonts w:hint="cs"/>
          <w:rtl/>
        </w:rPr>
        <w:t xml:space="preserve">נהרג </w:t>
      </w:r>
      <w:bookmarkStart w:id="76084" w:name="_ETM_Q136_188400"/>
      <w:bookmarkEnd w:id="76084"/>
      <w:r>
        <w:rPr>
          <w:rFonts w:hint="cs"/>
          <w:rtl/>
        </w:rPr>
        <w:t xml:space="preserve">עוד </w:t>
      </w:r>
      <w:bookmarkStart w:id="76085" w:name="_ETM_Q136_188610"/>
      <w:bookmarkEnd w:id="76085"/>
      <w:r>
        <w:rPr>
          <w:rFonts w:hint="cs"/>
          <w:rtl/>
        </w:rPr>
        <w:t xml:space="preserve">ילד </w:t>
      </w:r>
      <w:bookmarkStart w:id="76086" w:name="_ETM_Q136_188969"/>
      <w:bookmarkEnd w:id="76086"/>
      <w:r>
        <w:rPr>
          <w:rFonts w:hint="cs"/>
          <w:rtl/>
        </w:rPr>
        <w:t xml:space="preserve">פלסטיני. </w:t>
      </w:r>
      <w:bookmarkStart w:id="76087" w:name="_ETM_Q136_190509"/>
      <w:bookmarkEnd w:id="76087"/>
      <w:r>
        <w:rPr>
          <w:rFonts w:hint="cs"/>
          <w:rtl/>
        </w:rPr>
        <w:t xml:space="preserve">אני </w:t>
      </w:r>
      <w:bookmarkStart w:id="76088" w:name="_ETM_Q136_190780"/>
      <w:bookmarkEnd w:id="76088"/>
      <w:r>
        <w:rPr>
          <w:rFonts w:hint="cs"/>
          <w:rtl/>
        </w:rPr>
        <w:t xml:space="preserve">רוצה </w:t>
      </w:r>
      <w:bookmarkStart w:id="76089" w:name="_ETM_Q136_191170"/>
      <w:bookmarkEnd w:id="76089"/>
      <w:r>
        <w:rPr>
          <w:rFonts w:hint="cs"/>
          <w:rtl/>
        </w:rPr>
        <w:t xml:space="preserve">להקריא </w:t>
      </w:r>
      <w:bookmarkStart w:id="76090" w:name="_ETM_Q136_191709"/>
      <w:bookmarkEnd w:id="76090"/>
      <w:r>
        <w:rPr>
          <w:rFonts w:hint="cs"/>
          <w:rtl/>
        </w:rPr>
        <w:t xml:space="preserve">עדות </w:t>
      </w:r>
      <w:bookmarkStart w:id="76091" w:name="_ETM_Q136_192639"/>
      <w:bookmarkEnd w:id="76091"/>
      <w:r>
        <w:rPr>
          <w:rFonts w:hint="cs"/>
          <w:rtl/>
        </w:rPr>
        <w:t>של</w:t>
      </w:r>
      <w:bookmarkStart w:id="76092" w:name="_ETM_Q136_192940"/>
      <w:bookmarkEnd w:id="76092"/>
      <w:r>
        <w:rPr>
          <w:rFonts w:hint="cs"/>
          <w:rtl/>
        </w:rPr>
        <w:t xml:space="preserve"> אחד מפעילי </w:t>
      </w:r>
      <w:bookmarkStart w:id="76093" w:name="_ETM_Q136_193420"/>
      <w:bookmarkStart w:id="76094" w:name="_ETM_Q136_193870"/>
      <w:bookmarkEnd w:id="76093"/>
      <w:bookmarkEnd w:id="76094"/>
      <w:r>
        <w:rPr>
          <w:rFonts w:hint="cs"/>
          <w:rtl/>
        </w:rPr>
        <w:t xml:space="preserve">"מסתכלים </w:t>
      </w:r>
      <w:bookmarkStart w:id="76095" w:name="_ETM_Q136_194530"/>
      <w:bookmarkEnd w:id="76095"/>
      <w:r>
        <w:rPr>
          <w:rFonts w:hint="cs"/>
          <w:rtl/>
        </w:rPr>
        <w:t xml:space="preserve">לכיבוש </w:t>
      </w:r>
      <w:bookmarkStart w:id="76096" w:name="_ETM_Q136_195070"/>
      <w:bookmarkEnd w:id="76096"/>
      <w:r>
        <w:rPr>
          <w:rFonts w:hint="cs"/>
          <w:rtl/>
        </w:rPr>
        <w:t xml:space="preserve">בעיניים", </w:t>
      </w:r>
      <w:bookmarkStart w:id="76097" w:name="_ETM_Q136_196130"/>
      <w:bookmarkEnd w:id="76097"/>
      <w:r>
        <w:rPr>
          <w:rFonts w:hint="cs"/>
          <w:rtl/>
        </w:rPr>
        <w:t xml:space="preserve">שעמד </w:t>
      </w:r>
      <w:bookmarkStart w:id="76098" w:name="_ETM_Q136_196880"/>
      <w:bookmarkEnd w:id="76098"/>
      <w:r>
        <w:rPr>
          <w:rFonts w:hint="cs"/>
          <w:rtl/>
        </w:rPr>
        <w:t xml:space="preserve">שם </w:t>
      </w:r>
      <w:bookmarkStart w:id="76099" w:name="_ETM_Q136_197960"/>
      <w:bookmarkEnd w:id="76099"/>
      <w:r>
        <w:rPr>
          <w:rFonts w:hint="cs"/>
          <w:rtl/>
        </w:rPr>
        <w:t xml:space="preserve">וראה </w:t>
      </w:r>
      <w:bookmarkStart w:id="76100" w:name="_ETM_Q136_198529"/>
      <w:bookmarkEnd w:id="76100"/>
      <w:r>
        <w:rPr>
          <w:rFonts w:hint="cs"/>
          <w:rtl/>
        </w:rPr>
        <w:t xml:space="preserve">במו </w:t>
      </w:r>
      <w:bookmarkStart w:id="76101" w:name="_ETM_Q136_198920"/>
      <w:bookmarkEnd w:id="76101"/>
      <w:r>
        <w:rPr>
          <w:rFonts w:hint="cs"/>
          <w:rtl/>
        </w:rPr>
        <w:t xml:space="preserve">עיניו: </w:t>
      </w:r>
      <w:bookmarkStart w:id="76102" w:name="_ETM_Q136_200419"/>
      <w:bookmarkEnd w:id="76102"/>
      <w:r>
        <w:rPr>
          <w:rFonts w:hint="cs"/>
          <w:rtl/>
        </w:rPr>
        <w:t>אחרי</w:t>
      </w:r>
      <w:bookmarkStart w:id="76103" w:name="_ETM_Q136_201140"/>
      <w:bookmarkStart w:id="76104" w:name="_ETM_Q136_201650"/>
      <w:bookmarkEnd w:id="76103"/>
      <w:bookmarkEnd w:id="76104"/>
      <w:r>
        <w:rPr>
          <w:rFonts w:hint="cs"/>
          <w:rtl/>
        </w:rPr>
        <w:t xml:space="preserve"> אחד הפיצוצים </w:t>
      </w:r>
      <w:bookmarkStart w:id="76105" w:name="_ETM_Q136_203509"/>
      <w:bookmarkEnd w:id="76105"/>
      <w:r>
        <w:rPr>
          <w:rFonts w:hint="cs"/>
          <w:rtl/>
        </w:rPr>
        <w:t xml:space="preserve">נשמעות </w:t>
      </w:r>
      <w:bookmarkStart w:id="76106" w:name="_ETM_Q136_204199"/>
      <w:bookmarkEnd w:id="76106"/>
      <w:r>
        <w:rPr>
          <w:rFonts w:hint="cs"/>
          <w:rtl/>
        </w:rPr>
        <w:t xml:space="preserve">צרחות </w:t>
      </w:r>
      <w:bookmarkStart w:id="76107" w:name="_ETM_Q136_204919"/>
      <w:bookmarkEnd w:id="76107"/>
      <w:r>
        <w:rPr>
          <w:rFonts w:hint="cs"/>
          <w:rtl/>
        </w:rPr>
        <w:t xml:space="preserve">נוראיות, </w:t>
      </w:r>
      <w:bookmarkStart w:id="76108" w:name="_ETM_Q136_206239"/>
      <w:bookmarkEnd w:id="76108"/>
      <w:r>
        <w:rPr>
          <w:rFonts w:hint="cs"/>
          <w:rtl/>
        </w:rPr>
        <w:t xml:space="preserve">בחוץ </w:t>
      </w:r>
      <w:bookmarkStart w:id="76109" w:name="_ETM_Q136_207380"/>
      <w:bookmarkEnd w:id="76109"/>
      <w:r>
        <w:rPr>
          <w:rFonts w:hint="cs"/>
          <w:rtl/>
        </w:rPr>
        <w:t xml:space="preserve">ירו בשניים, לאחד </w:t>
      </w:r>
      <w:bookmarkStart w:id="76110" w:name="_ETM_Q136_209276"/>
      <w:bookmarkEnd w:id="76110"/>
      <w:r>
        <w:rPr>
          <w:rFonts w:hint="cs"/>
          <w:rtl/>
        </w:rPr>
        <w:t xml:space="preserve">בבטן ולאחד בראש. </w:t>
      </w:r>
      <w:bookmarkStart w:id="76111" w:name="_ETM_Q136_207739"/>
      <w:bookmarkStart w:id="76112" w:name="_ETM_Q136_208770"/>
      <w:bookmarkStart w:id="76113" w:name="_ETM_Q136_209370"/>
      <w:bookmarkStart w:id="76114" w:name="_ETM_Q136_210540"/>
      <w:bookmarkStart w:id="76115" w:name="_ETM_Q136_211320"/>
      <w:bookmarkStart w:id="76116" w:name="_ETM_Q136_212350"/>
      <w:bookmarkEnd w:id="76111"/>
      <w:bookmarkEnd w:id="76112"/>
      <w:bookmarkEnd w:id="76113"/>
      <w:bookmarkEnd w:id="76114"/>
      <w:bookmarkEnd w:id="76115"/>
      <w:bookmarkEnd w:id="76116"/>
      <w:r>
        <w:rPr>
          <w:rFonts w:hint="cs"/>
          <w:rtl/>
        </w:rPr>
        <w:t>נערי ה</w:t>
      </w:r>
      <w:bookmarkStart w:id="76117" w:name="_ETM_Q136_212950"/>
      <w:bookmarkEnd w:id="76117"/>
      <w:r>
        <w:rPr>
          <w:rFonts w:hint="cs"/>
          <w:rtl/>
        </w:rPr>
        <w:t xml:space="preserve">כפר </w:t>
      </w:r>
      <w:bookmarkStart w:id="76118" w:name="_ETM_Q136_214040"/>
      <w:bookmarkEnd w:id="76118"/>
      <w:r>
        <w:rPr>
          <w:rFonts w:hint="cs"/>
          <w:rtl/>
        </w:rPr>
        <w:t xml:space="preserve">וחובשים </w:t>
      </w:r>
      <w:bookmarkStart w:id="76119" w:name="_ETM_Q136_214940"/>
      <w:bookmarkStart w:id="76120" w:name="_ETM_Q136_215390"/>
      <w:bookmarkEnd w:id="76119"/>
      <w:bookmarkEnd w:id="76120"/>
      <w:r>
        <w:rPr>
          <w:rFonts w:hint="cs"/>
          <w:rtl/>
        </w:rPr>
        <w:t xml:space="preserve">סוחבים </w:t>
      </w:r>
      <w:bookmarkStart w:id="76121" w:name="_ETM_Q136_216079"/>
      <w:bookmarkEnd w:id="76121"/>
      <w:r>
        <w:rPr>
          <w:rFonts w:hint="cs"/>
          <w:rtl/>
        </w:rPr>
        <w:t xml:space="preserve">אותו </w:t>
      </w:r>
      <w:bookmarkStart w:id="76122" w:name="_ETM_Q136_216979"/>
      <w:bookmarkEnd w:id="76122"/>
      <w:r>
        <w:rPr>
          <w:rFonts w:hint="cs"/>
          <w:rtl/>
        </w:rPr>
        <w:t xml:space="preserve">בבהילות </w:t>
      </w:r>
      <w:bookmarkStart w:id="76123" w:name="_ETM_Q136_217820"/>
      <w:bookmarkEnd w:id="76123"/>
      <w:r>
        <w:rPr>
          <w:rFonts w:hint="cs"/>
          <w:rtl/>
        </w:rPr>
        <w:t xml:space="preserve">לחניה </w:t>
      </w:r>
      <w:bookmarkStart w:id="76124" w:name="_ETM_Q136_218479"/>
      <w:bookmarkEnd w:id="76124"/>
      <w:r>
        <w:rPr>
          <w:rFonts w:hint="cs"/>
          <w:rtl/>
        </w:rPr>
        <w:t xml:space="preserve">וצורחים: אסעף, אסעף – אמבולנס, אמבולנס – אפתח אל טריק – תפתחו את הדרך. </w:t>
      </w:r>
      <w:bookmarkStart w:id="76125" w:name="_ETM_Q136_219710"/>
      <w:bookmarkStart w:id="76126" w:name="_ETM_Q136_219950"/>
      <w:bookmarkStart w:id="76127" w:name="_ETM_Q136_220430"/>
      <w:bookmarkStart w:id="76128" w:name="_ETM_Q136_220640"/>
      <w:bookmarkStart w:id="76129" w:name="_ETM_Q136_221809"/>
      <w:bookmarkStart w:id="76130" w:name="_ETM_Q136_223609"/>
      <w:bookmarkStart w:id="76131" w:name="_ETM_Q136_224059"/>
      <w:bookmarkStart w:id="76132" w:name="_ETM_Q136_224210"/>
      <w:bookmarkStart w:id="76133" w:name="_ETM_Q136_224989"/>
      <w:bookmarkStart w:id="76134" w:name="_ETM_Q136_225709"/>
      <w:bookmarkStart w:id="76135" w:name="_ETM_Q136_225829"/>
      <w:bookmarkStart w:id="76136" w:name="_ETM_Q136_226850"/>
      <w:bookmarkEnd w:id="76125"/>
      <w:bookmarkEnd w:id="76126"/>
      <w:bookmarkEnd w:id="76127"/>
      <w:bookmarkEnd w:id="76128"/>
      <w:bookmarkEnd w:id="76129"/>
      <w:bookmarkEnd w:id="76130"/>
      <w:bookmarkEnd w:id="76131"/>
      <w:bookmarkEnd w:id="76132"/>
      <w:bookmarkEnd w:id="76133"/>
      <w:bookmarkEnd w:id="76134"/>
      <w:bookmarkEnd w:id="76135"/>
      <w:bookmarkEnd w:id="76136"/>
      <w:r>
        <w:rPr>
          <w:rFonts w:hint="cs"/>
          <w:rtl/>
        </w:rPr>
        <w:t xml:space="preserve">בין </w:t>
      </w:r>
      <w:bookmarkStart w:id="76137" w:name="_ETM_Q136_227179"/>
      <w:bookmarkEnd w:id="76137"/>
      <w:r>
        <w:rPr>
          <w:rFonts w:hint="cs"/>
          <w:rtl/>
        </w:rPr>
        <w:t xml:space="preserve">מקום </w:t>
      </w:r>
      <w:bookmarkStart w:id="76138" w:name="_ETM_Q136_227690"/>
      <w:bookmarkEnd w:id="76138"/>
      <w:r>
        <w:rPr>
          <w:rFonts w:hint="cs"/>
          <w:rtl/>
        </w:rPr>
        <w:t xml:space="preserve">הירי </w:t>
      </w:r>
      <w:bookmarkStart w:id="76139" w:name="_ETM_Q136_228260"/>
      <w:bookmarkEnd w:id="76139"/>
      <w:r>
        <w:rPr>
          <w:rFonts w:hint="cs"/>
          <w:rtl/>
        </w:rPr>
        <w:t xml:space="preserve">לחניה </w:t>
      </w:r>
      <w:bookmarkStart w:id="76140" w:name="_ETM_Q136_228979"/>
      <w:bookmarkEnd w:id="76140"/>
      <w:r>
        <w:rPr>
          <w:rFonts w:hint="cs"/>
          <w:rtl/>
        </w:rPr>
        <w:t xml:space="preserve">יש </w:t>
      </w:r>
      <w:bookmarkStart w:id="76141" w:name="_ETM_Q136_229369"/>
      <w:bookmarkEnd w:id="76141"/>
      <w:r>
        <w:rPr>
          <w:rFonts w:hint="cs"/>
          <w:rtl/>
        </w:rPr>
        <w:t xml:space="preserve">שובל </w:t>
      </w:r>
      <w:bookmarkStart w:id="76142" w:name="_ETM_Q136_229819"/>
      <w:bookmarkEnd w:id="76142"/>
      <w:r>
        <w:rPr>
          <w:rFonts w:hint="cs"/>
          <w:rtl/>
        </w:rPr>
        <w:t xml:space="preserve">של </w:t>
      </w:r>
      <w:bookmarkStart w:id="76143" w:name="_ETM_Q136_231889"/>
      <w:bookmarkEnd w:id="76143"/>
      <w:r>
        <w:rPr>
          <w:rFonts w:hint="cs"/>
          <w:rtl/>
        </w:rPr>
        <w:t xml:space="preserve">דם באורך </w:t>
      </w:r>
      <w:bookmarkStart w:id="76144" w:name="_ETM_Q136_230449"/>
      <w:bookmarkEnd w:id="76144"/>
      <w:r>
        <w:rPr>
          <w:rFonts w:hint="cs"/>
          <w:rtl/>
        </w:rPr>
        <w:t xml:space="preserve">עשרות </w:t>
      </w:r>
      <w:bookmarkStart w:id="76145" w:name="_ETM_Q136_231079"/>
      <w:bookmarkEnd w:id="76145"/>
      <w:r>
        <w:rPr>
          <w:rFonts w:hint="cs"/>
          <w:rtl/>
        </w:rPr>
        <w:t xml:space="preserve">מטרים. </w:t>
      </w:r>
      <w:bookmarkStart w:id="76146" w:name="_ETM_Q136_233080"/>
      <w:bookmarkEnd w:id="76146"/>
      <w:r>
        <w:rPr>
          <w:rFonts w:hint="cs"/>
          <w:rtl/>
        </w:rPr>
        <w:t xml:space="preserve">גם </w:t>
      </w:r>
      <w:bookmarkStart w:id="76147" w:name="_ETM_Q136_233500"/>
      <w:bookmarkEnd w:id="76147"/>
      <w:r>
        <w:rPr>
          <w:rFonts w:hint="cs"/>
          <w:rtl/>
        </w:rPr>
        <w:t xml:space="preserve">הידיים </w:t>
      </w:r>
      <w:bookmarkStart w:id="76148" w:name="_ETM_Q136_234250"/>
      <w:bookmarkEnd w:id="76148"/>
      <w:r>
        <w:rPr>
          <w:rFonts w:hint="cs"/>
          <w:rtl/>
        </w:rPr>
        <w:t xml:space="preserve">של </w:t>
      </w:r>
      <w:bookmarkStart w:id="76149" w:name="_ETM_Q136_234640"/>
      <w:bookmarkEnd w:id="76149"/>
      <w:r>
        <w:rPr>
          <w:rFonts w:hint="cs"/>
          <w:rtl/>
        </w:rPr>
        <w:t xml:space="preserve">החובשים </w:t>
      </w:r>
      <w:bookmarkStart w:id="76150" w:name="_ETM_Q136_235270"/>
      <w:bookmarkEnd w:id="76150"/>
      <w:r>
        <w:rPr>
          <w:rFonts w:hint="cs"/>
          <w:rtl/>
        </w:rPr>
        <w:t xml:space="preserve">והנערים </w:t>
      </w:r>
      <w:bookmarkStart w:id="76151" w:name="_ETM_Q136_236020"/>
      <w:bookmarkEnd w:id="76151"/>
      <w:r>
        <w:rPr>
          <w:rFonts w:hint="cs"/>
          <w:rtl/>
        </w:rPr>
        <w:t xml:space="preserve">והרצפה </w:t>
      </w:r>
      <w:bookmarkStart w:id="76152" w:name="_ETM_Q136_236830"/>
      <w:bookmarkEnd w:id="76152"/>
      <w:r>
        <w:rPr>
          <w:rFonts w:hint="cs"/>
          <w:rtl/>
        </w:rPr>
        <w:t xml:space="preserve">מלאות </w:t>
      </w:r>
      <w:bookmarkStart w:id="76153" w:name="_ETM_Q136_237370"/>
      <w:bookmarkEnd w:id="76153"/>
      <w:r>
        <w:rPr>
          <w:rFonts w:hint="cs"/>
          <w:rtl/>
        </w:rPr>
        <w:t xml:space="preserve">בדם. </w:t>
      </w:r>
      <w:bookmarkStart w:id="76154" w:name="_ETM_Q136_238489"/>
      <w:bookmarkEnd w:id="76154"/>
      <w:r>
        <w:rPr>
          <w:rFonts w:hint="cs"/>
          <w:rtl/>
        </w:rPr>
        <w:t xml:space="preserve">עשרות </w:t>
      </w:r>
      <w:bookmarkStart w:id="76155" w:name="_ETM_Q136_239120"/>
      <w:bookmarkEnd w:id="76155"/>
      <w:r>
        <w:rPr>
          <w:rFonts w:hint="cs"/>
          <w:rtl/>
        </w:rPr>
        <w:t xml:space="preserve">אנשים </w:t>
      </w:r>
      <w:bookmarkStart w:id="76156" w:name="_ETM_Q136_239690"/>
      <w:bookmarkEnd w:id="76156"/>
      <w:r>
        <w:rPr>
          <w:rFonts w:hint="cs"/>
          <w:rtl/>
        </w:rPr>
        <w:t xml:space="preserve">בחניה, </w:t>
      </w:r>
      <w:bookmarkStart w:id="76157" w:name="_ETM_Q136_241010"/>
      <w:bookmarkEnd w:id="76157"/>
      <w:r>
        <w:rPr>
          <w:rFonts w:hint="cs"/>
          <w:rtl/>
        </w:rPr>
        <w:t xml:space="preserve">כולם </w:t>
      </w:r>
      <w:bookmarkStart w:id="76158" w:name="_ETM_Q136_241550"/>
      <w:bookmarkEnd w:id="76158"/>
      <w:r>
        <w:rPr>
          <w:rFonts w:hint="cs"/>
          <w:rtl/>
        </w:rPr>
        <w:t xml:space="preserve">צורחים </w:t>
      </w:r>
      <w:bookmarkStart w:id="76159" w:name="_ETM_Q136_242600"/>
      <w:bookmarkEnd w:id="76159"/>
      <w:r>
        <w:rPr>
          <w:rFonts w:hint="cs"/>
          <w:rtl/>
        </w:rPr>
        <w:t xml:space="preserve">הכי </w:t>
      </w:r>
      <w:bookmarkStart w:id="76160" w:name="_ETM_Q136_243110"/>
      <w:bookmarkEnd w:id="76160"/>
      <w:r>
        <w:rPr>
          <w:rFonts w:hint="cs"/>
          <w:rtl/>
        </w:rPr>
        <w:t xml:space="preserve">חזק </w:t>
      </w:r>
      <w:bookmarkStart w:id="76161" w:name="_ETM_Q136_243770"/>
      <w:bookmarkEnd w:id="76161"/>
      <w:r>
        <w:rPr>
          <w:rFonts w:hint="cs"/>
          <w:rtl/>
        </w:rPr>
        <w:t xml:space="preserve">שאפשר, </w:t>
      </w:r>
      <w:bookmarkStart w:id="76162" w:name="_ETM_Q136_244880"/>
      <w:bookmarkEnd w:id="76162"/>
      <w:r>
        <w:rPr>
          <w:rFonts w:hint="cs"/>
          <w:rtl/>
        </w:rPr>
        <w:t xml:space="preserve">הרבה </w:t>
      </w:r>
      <w:bookmarkStart w:id="76163" w:name="_ETM_Q136_245330"/>
      <w:bookmarkEnd w:id="76163"/>
      <w:r>
        <w:rPr>
          <w:rFonts w:hint="cs"/>
          <w:rtl/>
        </w:rPr>
        <w:t xml:space="preserve">רעש. </w:t>
      </w:r>
      <w:bookmarkStart w:id="76164" w:name="_ETM_Q136_246229"/>
      <w:bookmarkEnd w:id="76164"/>
      <w:r>
        <w:rPr>
          <w:rFonts w:hint="cs"/>
          <w:rtl/>
        </w:rPr>
        <w:t xml:space="preserve">מכניסים </w:t>
      </w:r>
      <w:bookmarkStart w:id="76165" w:name="_ETM_Q136_246979"/>
      <w:bookmarkEnd w:id="76165"/>
      <w:r>
        <w:rPr>
          <w:rFonts w:hint="cs"/>
          <w:rtl/>
        </w:rPr>
        <w:t xml:space="preserve">את </w:t>
      </w:r>
      <w:bookmarkStart w:id="76166" w:name="_ETM_Q136_247130"/>
      <w:bookmarkEnd w:id="76166"/>
      <w:r>
        <w:rPr>
          <w:rFonts w:hint="cs"/>
          <w:rtl/>
        </w:rPr>
        <w:t xml:space="preserve">הפצועים </w:t>
      </w:r>
      <w:bookmarkStart w:id="76167" w:name="_ETM_Q136_247760"/>
      <w:bookmarkStart w:id="76168" w:name="_ETM_Q136_248569"/>
      <w:bookmarkEnd w:id="76167"/>
      <w:bookmarkEnd w:id="76168"/>
      <w:r>
        <w:rPr>
          <w:rFonts w:hint="cs"/>
          <w:rtl/>
        </w:rPr>
        <w:t xml:space="preserve">למכונית, </w:t>
      </w:r>
      <w:bookmarkStart w:id="76169" w:name="_ETM_Q136_249780"/>
      <w:bookmarkEnd w:id="76169"/>
      <w:r>
        <w:rPr>
          <w:rFonts w:hint="cs"/>
          <w:rtl/>
        </w:rPr>
        <w:t xml:space="preserve">והיא </w:t>
      </w:r>
      <w:bookmarkStart w:id="76170" w:name="_ETM_Q136_250080"/>
      <w:bookmarkEnd w:id="76170"/>
      <w:r>
        <w:rPr>
          <w:rFonts w:hint="cs"/>
          <w:rtl/>
        </w:rPr>
        <w:t xml:space="preserve">דוהרת </w:t>
      </w:r>
      <w:bookmarkStart w:id="76171" w:name="_ETM_Q136_250770"/>
      <w:bookmarkEnd w:id="76171"/>
      <w:r>
        <w:rPr>
          <w:rFonts w:hint="cs"/>
          <w:rtl/>
        </w:rPr>
        <w:t xml:space="preserve">לבית </w:t>
      </w:r>
      <w:bookmarkStart w:id="76172" w:name="_ETM_Q136_251160"/>
      <w:bookmarkEnd w:id="76172"/>
      <w:r>
        <w:rPr>
          <w:rFonts w:hint="cs"/>
          <w:rtl/>
        </w:rPr>
        <w:t xml:space="preserve">החולים </w:t>
      </w:r>
      <w:bookmarkStart w:id="76173" w:name="_ETM_Q136_251670"/>
      <w:bookmarkEnd w:id="76173"/>
      <w:r>
        <w:rPr>
          <w:rFonts w:hint="cs"/>
          <w:rtl/>
        </w:rPr>
        <w:t xml:space="preserve">ברמאללה. </w:t>
      </w:r>
      <w:bookmarkStart w:id="76174" w:name="_ETM_Q136_253009"/>
      <w:bookmarkEnd w:id="76174"/>
      <w:r>
        <w:rPr>
          <w:rFonts w:hint="cs"/>
          <w:rtl/>
        </w:rPr>
        <w:t xml:space="preserve">החיילים </w:t>
      </w:r>
      <w:bookmarkStart w:id="76175" w:name="_ETM_Q136_253759"/>
      <w:bookmarkEnd w:id="76175"/>
      <w:r>
        <w:rPr>
          <w:rFonts w:hint="cs"/>
          <w:rtl/>
        </w:rPr>
        <w:t xml:space="preserve">עדיין </w:t>
      </w:r>
      <w:bookmarkStart w:id="76176" w:name="_ETM_Q136_254299"/>
      <w:bookmarkEnd w:id="76176"/>
      <w:r>
        <w:rPr>
          <w:rFonts w:hint="cs"/>
          <w:rtl/>
        </w:rPr>
        <w:t xml:space="preserve">בתוך </w:t>
      </w:r>
      <w:bookmarkStart w:id="76177" w:name="_ETM_Q136_254720"/>
      <w:bookmarkEnd w:id="76177"/>
      <w:r>
        <w:rPr>
          <w:rFonts w:hint="cs"/>
          <w:rtl/>
        </w:rPr>
        <w:t>הכפר</w:t>
      </w:r>
      <w:r w:rsidR="001251AE">
        <w:rPr>
          <w:rFonts w:hint="cs"/>
          <w:rtl/>
        </w:rPr>
        <w:t>.</w:t>
      </w:r>
      <w:r>
        <w:rPr>
          <w:rFonts w:hint="cs"/>
          <w:rtl/>
        </w:rPr>
        <w:t xml:space="preserve"> </w:t>
      </w:r>
      <w:bookmarkStart w:id="76178" w:name="_ETM_Q136_255259"/>
      <w:bookmarkEnd w:id="76178"/>
      <w:r>
        <w:rPr>
          <w:rFonts w:hint="cs"/>
          <w:rtl/>
        </w:rPr>
        <w:t xml:space="preserve">צועקים </w:t>
      </w:r>
      <w:bookmarkStart w:id="76179" w:name="_ETM_Q136_255890"/>
      <w:bookmarkEnd w:id="76179"/>
      <w:r>
        <w:rPr>
          <w:rFonts w:hint="cs"/>
          <w:rtl/>
        </w:rPr>
        <w:t>על אחד</w:t>
      </w:r>
      <w:bookmarkStart w:id="76180" w:name="_ETM_Q136_256069"/>
      <w:bookmarkEnd w:id="76180"/>
      <w:r>
        <w:rPr>
          <w:rFonts w:hint="cs"/>
          <w:rtl/>
        </w:rPr>
        <w:t xml:space="preserve"> </w:t>
      </w:r>
      <w:bookmarkStart w:id="76181" w:name="_ETM_Q136_256520"/>
      <w:bookmarkEnd w:id="76181"/>
      <w:r>
        <w:rPr>
          <w:rFonts w:hint="cs"/>
          <w:rtl/>
        </w:rPr>
        <w:t xml:space="preserve">מהם: </w:t>
      </w:r>
      <w:bookmarkStart w:id="76182" w:name="_ETM_Q136_259200"/>
      <w:bookmarkEnd w:id="76182"/>
      <w:r>
        <w:rPr>
          <w:rFonts w:hint="cs"/>
          <w:rtl/>
        </w:rPr>
        <w:t xml:space="preserve">אתם </w:t>
      </w:r>
      <w:bookmarkStart w:id="76183" w:name="_ETM_Q136_259679"/>
      <w:bookmarkEnd w:id="76183"/>
      <w:r>
        <w:rPr>
          <w:rFonts w:hint="cs"/>
          <w:rtl/>
        </w:rPr>
        <w:t>יריתם</w:t>
      </w:r>
      <w:bookmarkStart w:id="76184" w:name="_ETM_Q136_260520"/>
      <w:bookmarkEnd w:id="76184"/>
      <w:r>
        <w:rPr>
          <w:rFonts w:hint="cs"/>
          <w:rtl/>
        </w:rPr>
        <w:t xml:space="preserve"> </w:t>
      </w:r>
      <w:bookmarkStart w:id="76185" w:name="_ETM_Q136_261060"/>
      <w:bookmarkEnd w:id="76185"/>
      <w:r>
        <w:rPr>
          <w:rFonts w:hint="cs"/>
          <w:rtl/>
        </w:rPr>
        <w:t xml:space="preserve">לילד </w:t>
      </w:r>
      <w:bookmarkStart w:id="76186" w:name="_ETM_Q136_261539"/>
      <w:bookmarkEnd w:id="76186"/>
      <w:r>
        <w:rPr>
          <w:rFonts w:hint="cs"/>
          <w:rtl/>
        </w:rPr>
        <w:t xml:space="preserve">בראש. </w:t>
      </w:r>
      <w:bookmarkStart w:id="76187" w:name="_ETM_Q136_262770"/>
      <w:bookmarkEnd w:id="76187"/>
      <w:r>
        <w:rPr>
          <w:rFonts w:hint="cs"/>
          <w:rtl/>
        </w:rPr>
        <w:t xml:space="preserve">הוא </w:t>
      </w:r>
      <w:bookmarkStart w:id="76188" w:name="_ETM_Q136_262920"/>
      <w:bookmarkEnd w:id="76188"/>
      <w:r>
        <w:rPr>
          <w:rFonts w:hint="cs"/>
          <w:rtl/>
        </w:rPr>
        <w:t>מ</w:t>
      </w:r>
      <w:bookmarkStart w:id="76189" w:name="_ETM_Q136_263080"/>
      <w:bookmarkEnd w:id="76189"/>
      <w:r>
        <w:rPr>
          <w:rFonts w:hint="cs"/>
          <w:rtl/>
        </w:rPr>
        <w:t xml:space="preserve">תחיל </w:t>
      </w:r>
      <w:bookmarkStart w:id="76190" w:name="_ETM_Q136_263410"/>
      <w:bookmarkEnd w:id="76190"/>
      <w:r>
        <w:rPr>
          <w:rFonts w:hint="cs"/>
          <w:rtl/>
        </w:rPr>
        <w:t>לצחוק</w:t>
      </w:r>
      <w:bookmarkStart w:id="76191" w:name="_ETM_Q136_264959"/>
      <w:bookmarkEnd w:id="76191"/>
      <w:r>
        <w:rPr>
          <w:rFonts w:hint="cs"/>
          <w:rtl/>
        </w:rPr>
        <w:t>, ו</w:t>
      </w:r>
      <w:bookmarkStart w:id="76192" w:name="_ETM_Q136_265049"/>
      <w:bookmarkEnd w:id="76192"/>
      <w:r>
        <w:rPr>
          <w:rFonts w:hint="cs"/>
          <w:rtl/>
        </w:rPr>
        <w:t xml:space="preserve">מצלם </w:t>
      </w:r>
      <w:bookmarkStart w:id="76193" w:name="_ETM_Q136_265619"/>
      <w:bookmarkEnd w:id="76193"/>
      <w:r>
        <w:rPr>
          <w:rFonts w:hint="cs"/>
          <w:rtl/>
        </w:rPr>
        <w:t xml:space="preserve">בטלפון </w:t>
      </w:r>
      <w:bookmarkStart w:id="76194" w:name="_ETM_Q136_266310"/>
      <w:bookmarkEnd w:id="76194"/>
      <w:r>
        <w:rPr>
          <w:rFonts w:hint="cs"/>
          <w:rtl/>
        </w:rPr>
        <w:t xml:space="preserve">האישי </w:t>
      </w:r>
      <w:bookmarkStart w:id="76195" w:name="_ETM_Q136_266880"/>
      <w:bookmarkEnd w:id="76195"/>
      <w:r>
        <w:rPr>
          <w:rFonts w:hint="cs"/>
          <w:rtl/>
        </w:rPr>
        <w:t xml:space="preserve">את </w:t>
      </w:r>
      <w:bookmarkStart w:id="76196" w:name="_ETM_Q136_267030"/>
      <w:bookmarkEnd w:id="76196"/>
      <w:r>
        <w:rPr>
          <w:rFonts w:hint="cs"/>
          <w:rtl/>
        </w:rPr>
        <w:t xml:space="preserve">הצועקים. </w:t>
      </w:r>
      <w:bookmarkStart w:id="76197" w:name="_ETM_Q136_268319"/>
      <w:bookmarkEnd w:id="76197"/>
      <w:r>
        <w:rPr>
          <w:rFonts w:hint="cs"/>
          <w:rtl/>
        </w:rPr>
        <w:t xml:space="preserve">תוך </w:t>
      </w:r>
      <w:bookmarkStart w:id="76198" w:name="_ETM_Q136_268619"/>
      <w:bookmarkEnd w:id="76198"/>
      <w:r>
        <w:rPr>
          <w:rFonts w:hint="cs"/>
          <w:rtl/>
        </w:rPr>
        <w:t xml:space="preserve">זמן </w:t>
      </w:r>
      <w:bookmarkStart w:id="76199" w:name="_ETM_Q136_269039"/>
      <w:bookmarkEnd w:id="76199"/>
      <w:r>
        <w:rPr>
          <w:rFonts w:hint="cs"/>
          <w:rtl/>
        </w:rPr>
        <w:t xml:space="preserve">קצר </w:t>
      </w:r>
      <w:bookmarkStart w:id="76200" w:name="_ETM_Q136_270150"/>
      <w:bookmarkEnd w:id="76200"/>
      <w:r>
        <w:rPr>
          <w:rFonts w:hint="cs"/>
          <w:rtl/>
        </w:rPr>
        <w:t xml:space="preserve">מגיעה </w:t>
      </w:r>
      <w:bookmarkStart w:id="76201" w:name="_ETM_Q136_270780"/>
      <w:bookmarkEnd w:id="76201"/>
      <w:r>
        <w:rPr>
          <w:rFonts w:hint="cs"/>
          <w:rtl/>
        </w:rPr>
        <w:t xml:space="preserve">הבשורה </w:t>
      </w:r>
      <w:bookmarkStart w:id="76202" w:name="_ETM_Q136_271799"/>
      <w:bookmarkEnd w:id="76202"/>
      <w:r>
        <w:rPr>
          <w:rFonts w:hint="cs"/>
          <w:rtl/>
        </w:rPr>
        <w:t xml:space="preserve">שחמודי </w:t>
      </w:r>
      <w:bookmarkStart w:id="76203" w:name="_ETM_Q136_273030"/>
      <w:bookmarkEnd w:id="76203"/>
      <w:r>
        <w:rPr>
          <w:rFonts w:hint="cs"/>
          <w:rtl/>
        </w:rPr>
        <w:t xml:space="preserve">מת. מוחמד </w:t>
      </w:r>
      <w:bookmarkStart w:id="76204" w:name="_ETM_Q136_274899"/>
      <w:bookmarkEnd w:id="76204"/>
      <w:r>
        <w:rPr>
          <w:rFonts w:hint="cs"/>
          <w:rtl/>
        </w:rPr>
        <w:t xml:space="preserve">אל </w:t>
      </w:r>
      <w:bookmarkStart w:id="76205" w:name="_ETM_Q136_275020"/>
      <w:bookmarkEnd w:id="76205"/>
      <w:r>
        <w:rPr>
          <w:rFonts w:hint="cs"/>
          <w:rtl/>
        </w:rPr>
        <w:t xml:space="preserve">ביאדי, </w:t>
      </w:r>
      <w:bookmarkStart w:id="76206" w:name="_ETM_Q136_275770"/>
      <w:bookmarkEnd w:id="76206"/>
      <w:r>
        <w:rPr>
          <w:rFonts w:hint="cs"/>
          <w:rtl/>
        </w:rPr>
        <w:t xml:space="preserve">בן </w:t>
      </w:r>
      <w:bookmarkStart w:id="76207" w:name="_ETM_Q136_276069"/>
      <w:bookmarkEnd w:id="76207"/>
      <w:r>
        <w:rPr>
          <w:rFonts w:hint="cs"/>
          <w:rtl/>
        </w:rPr>
        <w:t xml:space="preserve">17, </w:t>
      </w:r>
      <w:bookmarkStart w:id="76208" w:name="_ETM_Q136_277389"/>
      <w:bookmarkEnd w:id="76208"/>
      <w:r>
        <w:rPr>
          <w:rFonts w:hint="cs"/>
          <w:rtl/>
        </w:rPr>
        <w:t>נור</w:t>
      </w:r>
      <w:bookmarkStart w:id="76209" w:name="_ETM_Q136_277869"/>
      <w:bookmarkEnd w:id="76209"/>
      <w:r>
        <w:rPr>
          <w:rFonts w:hint="cs"/>
          <w:rtl/>
        </w:rPr>
        <w:t xml:space="preserve">ה בראש </w:t>
      </w:r>
      <w:bookmarkStart w:id="76210" w:name="_ETM_Q136_278350"/>
      <w:bookmarkEnd w:id="76210"/>
      <w:r>
        <w:rPr>
          <w:rFonts w:hint="cs"/>
          <w:rtl/>
        </w:rPr>
        <w:t xml:space="preserve">על ידי </w:t>
      </w:r>
      <w:bookmarkStart w:id="76211" w:name="_ETM_Q136_278859"/>
      <w:bookmarkEnd w:id="76211"/>
      <w:r>
        <w:rPr>
          <w:rFonts w:hint="cs"/>
          <w:rtl/>
        </w:rPr>
        <w:t xml:space="preserve">הצבא </w:t>
      </w:r>
      <w:bookmarkStart w:id="76212" w:name="_ETM_Q136_280310"/>
      <w:bookmarkEnd w:id="76212"/>
      <w:r>
        <w:rPr>
          <w:rFonts w:hint="cs"/>
          <w:rtl/>
        </w:rPr>
        <w:t xml:space="preserve">המוסרי </w:t>
      </w:r>
      <w:bookmarkStart w:id="76213" w:name="_ETM_Q136_280880"/>
      <w:bookmarkEnd w:id="76213"/>
      <w:r>
        <w:rPr>
          <w:rFonts w:hint="cs"/>
          <w:rtl/>
        </w:rPr>
        <w:t>בעולם.</w:t>
      </w:r>
    </w:p>
    <w:p w:rsidR="00BB59CD" w:rsidRDefault="00BB59CD" w:rsidP="00BB59CD">
      <w:pPr>
        <w:rPr>
          <w:rtl/>
        </w:rPr>
      </w:pPr>
    </w:p>
    <w:p w:rsidR="00BB59CD" w:rsidRDefault="00BB59CD" w:rsidP="001251AE">
      <w:pPr>
        <w:rPr>
          <w:rtl/>
        </w:rPr>
      </w:pPr>
      <w:bookmarkStart w:id="76214" w:name="_ETM_Q136_282369"/>
      <w:bookmarkStart w:id="76215" w:name="_ETM_Q136_282729"/>
      <w:bookmarkEnd w:id="76214"/>
      <w:bookmarkEnd w:id="76215"/>
      <w:r>
        <w:rPr>
          <w:rFonts w:hint="cs"/>
          <w:rtl/>
        </w:rPr>
        <w:t xml:space="preserve">בסצינה </w:t>
      </w:r>
      <w:bookmarkStart w:id="76216" w:name="_ETM_Q136_283149"/>
      <w:bookmarkEnd w:id="76216"/>
      <w:r>
        <w:rPr>
          <w:rFonts w:hint="cs"/>
          <w:rtl/>
        </w:rPr>
        <w:t xml:space="preserve">אחרת </w:t>
      </w:r>
      <w:bookmarkStart w:id="76217" w:name="_ETM_Q136_284490"/>
      <w:bookmarkEnd w:id="76217"/>
      <w:r>
        <w:rPr>
          <w:rFonts w:hint="cs"/>
          <w:rtl/>
        </w:rPr>
        <w:t xml:space="preserve">כולכם </w:t>
      </w:r>
      <w:bookmarkStart w:id="76218" w:name="_ETM_Q136_284999"/>
      <w:bookmarkEnd w:id="76218"/>
      <w:r>
        <w:rPr>
          <w:rFonts w:hint="cs"/>
          <w:rtl/>
        </w:rPr>
        <w:t xml:space="preserve">ראיתם </w:t>
      </w:r>
      <w:bookmarkStart w:id="76219" w:name="_ETM_Q136_285450"/>
      <w:bookmarkEnd w:id="76219"/>
      <w:r>
        <w:rPr>
          <w:rFonts w:hint="cs"/>
          <w:rtl/>
        </w:rPr>
        <w:t xml:space="preserve">את </w:t>
      </w:r>
      <w:bookmarkStart w:id="76220" w:name="_ETM_Q136_285600"/>
      <w:bookmarkEnd w:id="76220"/>
      <w:r>
        <w:rPr>
          <w:rFonts w:hint="cs"/>
          <w:rtl/>
        </w:rPr>
        <w:t xml:space="preserve">המפגין </w:t>
      </w:r>
      <w:bookmarkStart w:id="76221" w:name="_ETM_Q136_286259"/>
      <w:bookmarkEnd w:id="76221"/>
      <w:r>
        <w:rPr>
          <w:rFonts w:hint="cs"/>
          <w:rtl/>
        </w:rPr>
        <w:t xml:space="preserve">העטוף </w:t>
      </w:r>
      <w:bookmarkStart w:id="76222" w:name="_ETM_Q136_286619"/>
      <w:bookmarkEnd w:id="76222"/>
      <w:r>
        <w:rPr>
          <w:rFonts w:hint="cs"/>
          <w:rtl/>
        </w:rPr>
        <w:t xml:space="preserve">בדגל </w:t>
      </w:r>
      <w:bookmarkStart w:id="76223" w:name="_ETM_Q136_287130"/>
      <w:bookmarkEnd w:id="76223"/>
      <w:r>
        <w:rPr>
          <w:rFonts w:hint="cs"/>
          <w:rtl/>
        </w:rPr>
        <w:t xml:space="preserve">ישראל </w:t>
      </w:r>
      <w:bookmarkStart w:id="76224" w:name="_ETM_Q136_287670"/>
      <w:bookmarkEnd w:id="76224"/>
      <w:r>
        <w:rPr>
          <w:rFonts w:hint="cs"/>
          <w:rtl/>
        </w:rPr>
        <w:t xml:space="preserve">צורח </w:t>
      </w:r>
      <w:bookmarkStart w:id="76225" w:name="_ETM_Q136_288119"/>
      <w:bookmarkEnd w:id="76225"/>
      <w:r>
        <w:rPr>
          <w:rFonts w:hint="cs"/>
          <w:rtl/>
        </w:rPr>
        <w:t xml:space="preserve">לעבר </w:t>
      </w:r>
      <w:bookmarkStart w:id="76226" w:name="_ETM_Q136_288630"/>
      <w:bookmarkEnd w:id="76226"/>
      <w:r>
        <w:rPr>
          <w:rFonts w:hint="cs"/>
          <w:rtl/>
        </w:rPr>
        <w:t xml:space="preserve">שוטרים: </w:t>
      </w:r>
      <w:bookmarkStart w:id="76227" w:name="_ETM_Q136_289880"/>
      <w:bookmarkEnd w:id="76227"/>
      <w:r>
        <w:rPr>
          <w:rFonts w:hint="cs"/>
          <w:rtl/>
        </w:rPr>
        <w:t xml:space="preserve">הבן </w:t>
      </w:r>
      <w:bookmarkStart w:id="76228" w:name="_ETM_Q136_290390"/>
      <w:bookmarkEnd w:id="76228"/>
      <w:r>
        <w:rPr>
          <w:rFonts w:hint="cs"/>
          <w:rtl/>
        </w:rPr>
        <w:t xml:space="preserve">שלי </w:t>
      </w:r>
      <w:bookmarkStart w:id="76229" w:name="_ETM_Q136_290899"/>
      <w:bookmarkEnd w:id="76229"/>
      <w:r>
        <w:rPr>
          <w:rFonts w:hint="cs"/>
          <w:rtl/>
        </w:rPr>
        <w:t xml:space="preserve">עכשיו </w:t>
      </w:r>
      <w:bookmarkStart w:id="76230" w:name="_ETM_Q136_291679"/>
      <w:bookmarkEnd w:id="76230"/>
      <w:r>
        <w:rPr>
          <w:rFonts w:hint="cs"/>
          <w:rtl/>
        </w:rPr>
        <w:t>בחווארה,</w:t>
      </w:r>
      <w:bookmarkStart w:id="76231" w:name="_ETM_Q136_292369"/>
      <w:bookmarkStart w:id="76232" w:name="_ETM_Q136_293530"/>
      <w:bookmarkEnd w:id="76231"/>
      <w:bookmarkEnd w:id="76232"/>
      <w:r>
        <w:rPr>
          <w:rFonts w:hint="cs"/>
          <w:rtl/>
        </w:rPr>
        <w:t xml:space="preserve"> הבן </w:t>
      </w:r>
      <w:bookmarkStart w:id="76233" w:name="_ETM_Q136_293979"/>
      <w:bookmarkEnd w:id="76233"/>
      <w:r>
        <w:rPr>
          <w:rFonts w:hint="cs"/>
          <w:rtl/>
        </w:rPr>
        <w:t xml:space="preserve">שלי </w:t>
      </w:r>
      <w:bookmarkStart w:id="76234" w:name="_ETM_Q136_294400"/>
      <w:bookmarkEnd w:id="76234"/>
      <w:r>
        <w:rPr>
          <w:rFonts w:hint="cs"/>
          <w:rtl/>
        </w:rPr>
        <w:t xml:space="preserve">משרת </w:t>
      </w:r>
      <w:bookmarkStart w:id="76235" w:name="_ETM_Q136_295150"/>
      <w:bookmarkEnd w:id="76235"/>
      <w:r>
        <w:rPr>
          <w:rFonts w:hint="cs"/>
          <w:rtl/>
        </w:rPr>
        <w:t xml:space="preserve">בחווארה. </w:t>
      </w:r>
      <w:bookmarkStart w:id="76236" w:name="_ETM_Q136_295810"/>
      <w:bookmarkStart w:id="76237" w:name="_ETM_Q136_296899"/>
      <w:bookmarkEnd w:id="76236"/>
      <w:bookmarkEnd w:id="76237"/>
      <w:r>
        <w:rPr>
          <w:rFonts w:hint="cs"/>
          <w:rtl/>
        </w:rPr>
        <w:t xml:space="preserve">אותו </w:t>
      </w:r>
      <w:bookmarkStart w:id="76238" w:name="_ETM_Q136_297380"/>
      <w:bookmarkEnd w:id="76238"/>
      <w:r>
        <w:rPr>
          <w:rFonts w:hint="cs"/>
          <w:rtl/>
        </w:rPr>
        <w:t xml:space="preserve">אבא </w:t>
      </w:r>
      <w:bookmarkStart w:id="76239" w:name="_ETM_Q136_297740"/>
      <w:bookmarkEnd w:id="76239"/>
      <w:r>
        <w:rPr>
          <w:rFonts w:hint="cs"/>
          <w:rtl/>
        </w:rPr>
        <w:t xml:space="preserve">גאה, </w:t>
      </w:r>
      <w:bookmarkStart w:id="76240" w:name="_ETM_Q136_298700"/>
      <w:bookmarkEnd w:id="76240"/>
      <w:r>
        <w:rPr>
          <w:rFonts w:hint="cs"/>
          <w:rtl/>
        </w:rPr>
        <w:t>ש</w:t>
      </w:r>
      <w:bookmarkStart w:id="76241" w:name="_ETM_Q136_298939"/>
      <w:bookmarkEnd w:id="76241"/>
      <w:r>
        <w:rPr>
          <w:rFonts w:hint="cs"/>
          <w:rtl/>
        </w:rPr>
        <w:t>כל</w:t>
      </w:r>
      <w:bookmarkStart w:id="76242" w:name="_ETM_Q136_299240"/>
      <w:bookmarkEnd w:id="76242"/>
      <w:r>
        <w:rPr>
          <w:rFonts w:hint="cs"/>
          <w:rtl/>
        </w:rPr>
        <w:t xml:space="preserve"> כך </w:t>
      </w:r>
      <w:bookmarkStart w:id="76243" w:name="_ETM_Q136_299659"/>
      <w:bookmarkEnd w:id="76243"/>
      <w:r>
        <w:rPr>
          <w:rFonts w:hint="cs"/>
          <w:rtl/>
        </w:rPr>
        <w:t xml:space="preserve">חרד </w:t>
      </w:r>
      <w:bookmarkStart w:id="76244" w:name="_ETM_Q136_300079"/>
      <w:bookmarkEnd w:id="76244"/>
      <w:r>
        <w:rPr>
          <w:rFonts w:hint="cs"/>
          <w:rtl/>
        </w:rPr>
        <w:t xml:space="preserve">לדמוקרטיה, </w:t>
      </w:r>
      <w:bookmarkStart w:id="76245" w:name="_ETM_Q136_302090"/>
      <w:bookmarkEnd w:id="76245"/>
      <w:r>
        <w:rPr>
          <w:rFonts w:hint="cs"/>
          <w:rtl/>
        </w:rPr>
        <w:t xml:space="preserve">עד </w:t>
      </w:r>
      <w:bookmarkStart w:id="76246" w:name="_ETM_Q136_302389"/>
      <w:bookmarkEnd w:id="76246"/>
      <w:r>
        <w:rPr>
          <w:rFonts w:hint="cs"/>
          <w:rtl/>
        </w:rPr>
        <w:t xml:space="preserve">כדי </w:t>
      </w:r>
      <w:bookmarkStart w:id="76247" w:name="_ETM_Q136_302719"/>
      <w:bookmarkEnd w:id="76247"/>
      <w:r>
        <w:rPr>
          <w:rFonts w:hint="cs"/>
          <w:rtl/>
        </w:rPr>
        <w:t xml:space="preserve">כך </w:t>
      </w:r>
      <w:bookmarkStart w:id="76248" w:name="_ETM_Q136_303049"/>
      <w:bookmarkEnd w:id="76248"/>
      <w:r>
        <w:rPr>
          <w:rFonts w:hint="cs"/>
          <w:rtl/>
        </w:rPr>
        <w:t xml:space="preserve">שהיה </w:t>
      </w:r>
      <w:bookmarkStart w:id="76249" w:name="_ETM_Q136_303619"/>
      <w:bookmarkEnd w:id="76249"/>
      <w:r>
        <w:rPr>
          <w:rFonts w:hint="cs"/>
          <w:rtl/>
        </w:rPr>
        <w:t xml:space="preserve">מוכן </w:t>
      </w:r>
      <w:bookmarkStart w:id="76250" w:name="_ETM_Q136_304099"/>
      <w:bookmarkEnd w:id="76250"/>
      <w:r>
        <w:rPr>
          <w:rFonts w:hint="cs"/>
          <w:rtl/>
        </w:rPr>
        <w:t xml:space="preserve">לעמוד </w:t>
      </w:r>
      <w:bookmarkStart w:id="76251" w:name="_ETM_Q136_304639"/>
      <w:bookmarkEnd w:id="76251"/>
      <w:r>
        <w:rPr>
          <w:rFonts w:hint="cs"/>
          <w:rtl/>
        </w:rPr>
        <w:t xml:space="preserve">מול </w:t>
      </w:r>
      <w:bookmarkStart w:id="76252" w:name="_ETM_Q136_305059"/>
      <w:bookmarkEnd w:id="76252"/>
      <w:r>
        <w:rPr>
          <w:rFonts w:hint="cs"/>
          <w:rtl/>
        </w:rPr>
        <w:t xml:space="preserve">זרם </w:t>
      </w:r>
      <w:bookmarkStart w:id="76253" w:name="_ETM_Q136_305719"/>
      <w:bookmarkEnd w:id="76253"/>
      <w:r>
        <w:rPr>
          <w:rFonts w:hint="cs"/>
          <w:rtl/>
        </w:rPr>
        <w:t xml:space="preserve">המכת"זית </w:t>
      </w:r>
      <w:bookmarkStart w:id="76254" w:name="_ETM_Q136_306529"/>
      <w:bookmarkEnd w:id="76254"/>
      <w:r>
        <w:rPr>
          <w:rFonts w:hint="cs"/>
          <w:rtl/>
        </w:rPr>
        <w:t xml:space="preserve">ולצעוק, </w:t>
      </w:r>
      <w:bookmarkStart w:id="76255" w:name="_ETM_Q136_307959"/>
      <w:bookmarkEnd w:id="76255"/>
      <w:r>
        <w:rPr>
          <w:rFonts w:hint="cs"/>
          <w:rtl/>
        </w:rPr>
        <w:t xml:space="preserve">חשב </w:t>
      </w:r>
      <w:bookmarkStart w:id="76256" w:name="_ETM_Q136_309220"/>
      <w:bookmarkEnd w:id="76256"/>
      <w:r>
        <w:rPr>
          <w:rFonts w:hint="cs"/>
          <w:rtl/>
        </w:rPr>
        <w:t xml:space="preserve">שהזכות </w:t>
      </w:r>
      <w:bookmarkStart w:id="76257" w:name="_ETM_Q136_310060"/>
      <w:bookmarkEnd w:id="76257"/>
      <w:r>
        <w:rPr>
          <w:rFonts w:hint="cs"/>
          <w:rtl/>
        </w:rPr>
        <w:t xml:space="preserve">שלו </w:t>
      </w:r>
      <w:bookmarkStart w:id="76258" w:name="_ETM_Q136_310480"/>
      <w:bookmarkEnd w:id="76258"/>
      <w:r>
        <w:rPr>
          <w:rFonts w:hint="cs"/>
          <w:rtl/>
        </w:rPr>
        <w:t xml:space="preserve">לחיות </w:t>
      </w:r>
      <w:bookmarkStart w:id="76259" w:name="_ETM_Q136_311110"/>
      <w:bookmarkEnd w:id="76259"/>
      <w:r>
        <w:rPr>
          <w:rFonts w:hint="cs"/>
          <w:rtl/>
        </w:rPr>
        <w:t xml:space="preserve">בדמוקרטיה </w:t>
      </w:r>
      <w:bookmarkStart w:id="76260" w:name="_ETM_Q136_312950"/>
      <w:bookmarkEnd w:id="76260"/>
      <w:r>
        <w:rPr>
          <w:rFonts w:hint="cs"/>
          <w:rtl/>
        </w:rPr>
        <w:t xml:space="preserve">מקורה </w:t>
      </w:r>
      <w:bookmarkStart w:id="76261" w:name="_ETM_Q136_314310"/>
      <w:bookmarkEnd w:id="76261"/>
      <w:r>
        <w:rPr>
          <w:rFonts w:hint="cs"/>
          <w:rtl/>
        </w:rPr>
        <w:t xml:space="preserve">בעובדה </w:t>
      </w:r>
      <w:bookmarkStart w:id="76262" w:name="_ETM_Q136_315000"/>
      <w:bookmarkEnd w:id="76262"/>
      <w:r>
        <w:rPr>
          <w:rFonts w:hint="cs"/>
          <w:rtl/>
        </w:rPr>
        <w:t xml:space="preserve">שהבן </w:t>
      </w:r>
      <w:bookmarkStart w:id="76263" w:name="_ETM_Q136_315900"/>
      <w:bookmarkEnd w:id="76263"/>
      <w:r>
        <w:rPr>
          <w:rFonts w:hint="cs"/>
          <w:rtl/>
        </w:rPr>
        <w:t xml:space="preserve">נמצא </w:t>
      </w:r>
      <w:bookmarkStart w:id="76264" w:name="_ETM_Q136_316440"/>
      <w:bookmarkEnd w:id="76264"/>
      <w:r>
        <w:rPr>
          <w:rFonts w:hint="cs"/>
          <w:rtl/>
        </w:rPr>
        <w:t>בחווארה.</w:t>
      </w:r>
      <w:bookmarkStart w:id="76265" w:name="_ETM_Q136_318159"/>
      <w:bookmarkEnd w:id="76265"/>
      <w:r>
        <w:rPr>
          <w:rFonts w:hint="cs"/>
          <w:rtl/>
        </w:rPr>
        <w:t xml:space="preserve"> מה </w:t>
      </w:r>
      <w:bookmarkStart w:id="76266" w:name="_ETM_Q136_318430"/>
      <w:bookmarkEnd w:id="76266"/>
      <w:r>
        <w:rPr>
          <w:rFonts w:hint="cs"/>
          <w:rtl/>
        </w:rPr>
        <w:t xml:space="preserve">יותר </w:t>
      </w:r>
      <w:bookmarkStart w:id="76267" w:name="_ETM_Q136_318939"/>
      <w:bookmarkEnd w:id="76267"/>
      <w:r>
        <w:rPr>
          <w:rFonts w:hint="cs"/>
          <w:rtl/>
        </w:rPr>
        <w:t xml:space="preserve">ישראלי </w:t>
      </w:r>
      <w:bookmarkStart w:id="76268" w:name="_ETM_Q136_319629"/>
      <w:bookmarkEnd w:id="76268"/>
      <w:r>
        <w:rPr>
          <w:rFonts w:hint="cs"/>
          <w:rtl/>
        </w:rPr>
        <w:t xml:space="preserve">מזה? </w:t>
      </w:r>
      <w:bookmarkStart w:id="76269" w:name="_ETM_Q136_320879"/>
      <w:bookmarkEnd w:id="76269"/>
      <w:r>
        <w:rPr>
          <w:rFonts w:hint="cs"/>
          <w:rtl/>
        </w:rPr>
        <w:t xml:space="preserve">מה </w:t>
      </w:r>
      <w:bookmarkStart w:id="76270" w:name="_ETM_Q136_321180"/>
      <w:bookmarkEnd w:id="76270"/>
      <w:r>
        <w:rPr>
          <w:rFonts w:hint="cs"/>
          <w:rtl/>
        </w:rPr>
        <w:t xml:space="preserve">יותר </w:t>
      </w:r>
      <w:bookmarkStart w:id="76271" w:name="_ETM_Q136_321689"/>
      <w:bookmarkEnd w:id="76271"/>
      <w:r>
        <w:rPr>
          <w:rFonts w:hint="cs"/>
          <w:rtl/>
        </w:rPr>
        <w:t xml:space="preserve">פטריוטי </w:t>
      </w:r>
      <w:bookmarkStart w:id="76272" w:name="_ETM_Q136_322530"/>
      <w:bookmarkEnd w:id="76272"/>
      <w:r>
        <w:rPr>
          <w:rFonts w:hint="cs"/>
          <w:rtl/>
        </w:rPr>
        <w:t xml:space="preserve">מזה? </w:t>
      </w:r>
      <w:bookmarkStart w:id="76273" w:name="_ETM_Q136_323239"/>
      <w:bookmarkEnd w:id="76273"/>
      <w:r>
        <w:rPr>
          <w:rFonts w:hint="cs"/>
          <w:rtl/>
        </w:rPr>
        <w:t xml:space="preserve">תגידו </w:t>
      </w:r>
      <w:bookmarkStart w:id="76274" w:name="_ETM_Q136_323870"/>
      <w:bookmarkEnd w:id="76274"/>
      <w:r>
        <w:rPr>
          <w:rFonts w:hint="cs"/>
          <w:rtl/>
        </w:rPr>
        <w:t xml:space="preserve">לי, </w:t>
      </w:r>
      <w:bookmarkStart w:id="76275" w:name="_ETM_Q136_324810"/>
      <w:bookmarkEnd w:id="76275"/>
      <w:r>
        <w:rPr>
          <w:rFonts w:hint="cs"/>
          <w:rtl/>
        </w:rPr>
        <w:t xml:space="preserve">מה </w:t>
      </w:r>
      <w:bookmarkStart w:id="76276" w:name="_ETM_Q136_325050"/>
      <w:bookmarkEnd w:id="76276"/>
      <w:r>
        <w:rPr>
          <w:rFonts w:hint="cs"/>
          <w:rtl/>
        </w:rPr>
        <w:t xml:space="preserve">יותר </w:t>
      </w:r>
      <w:bookmarkStart w:id="76277" w:name="_ETM_Q136_325500"/>
      <w:bookmarkEnd w:id="76277"/>
      <w:r>
        <w:rPr>
          <w:rFonts w:hint="cs"/>
          <w:rtl/>
        </w:rPr>
        <w:t xml:space="preserve">סביר </w:t>
      </w:r>
      <w:bookmarkStart w:id="76278" w:name="_ETM_Q136_326010"/>
      <w:bookmarkEnd w:id="76278"/>
      <w:r>
        <w:rPr>
          <w:rFonts w:hint="cs"/>
          <w:rtl/>
        </w:rPr>
        <w:t xml:space="preserve">מזה? </w:t>
      </w:r>
      <w:bookmarkStart w:id="76279" w:name="_ETM_Q136_327500"/>
      <w:bookmarkEnd w:id="76279"/>
      <w:r>
        <w:rPr>
          <w:rFonts w:hint="cs"/>
          <w:rtl/>
        </w:rPr>
        <w:t xml:space="preserve">מתי </w:t>
      </w:r>
      <w:bookmarkStart w:id="76280" w:name="_ETM_Q136_328040"/>
      <w:bookmarkEnd w:id="76280"/>
      <w:r>
        <w:rPr>
          <w:rFonts w:hint="cs"/>
          <w:rtl/>
        </w:rPr>
        <w:t xml:space="preserve">תחלחל </w:t>
      </w:r>
      <w:bookmarkStart w:id="76281" w:name="_ETM_Q136_328849"/>
      <w:bookmarkEnd w:id="76281"/>
      <w:r>
        <w:rPr>
          <w:rFonts w:hint="cs"/>
          <w:rtl/>
        </w:rPr>
        <w:t xml:space="preserve">ההבנה </w:t>
      </w:r>
      <w:bookmarkStart w:id="76282" w:name="_ETM_Q136_329480"/>
      <w:bookmarkEnd w:id="76282"/>
      <w:r>
        <w:rPr>
          <w:rFonts w:hint="cs"/>
          <w:rtl/>
        </w:rPr>
        <w:t xml:space="preserve">שהזכות </w:t>
      </w:r>
      <w:bookmarkStart w:id="76283" w:name="_ETM_Q136_330290"/>
      <w:bookmarkEnd w:id="76283"/>
      <w:r>
        <w:rPr>
          <w:rFonts w:hint="cs"/>
          <w:rtl/>
        </w:rPr>
        <w:t xml:space="preserve">לחיות </w:t>
      </w:r>
      <w:bookmarkStart w:id="76284" w:name="_ETM_Q136_330919"/>
      <w:bookmarkEnd w:id="76284"/>
      <w:r>
        <w:rPr>
          <w:rFonts w:hint="cs"/>
          <w:rtl/>
        </w:rPr>
        <w:t>ב</w:t>
      </w:r>
      <w:bookmarkStart w:id="76285" w:name="_ETM_Q136_331069"/>
      <w:bookmarkEnd w:id="76285"/>
      <w:r>
        <w:rPr>
          <w:rFonts w:hint="cs"/>
          <w:rtl/>
        </w:rPr>
        <w:t xml:space="preserve">דמוקרטיה </w:t>
      </w:r>
      <w:bookmarkStart w:id="76286" w:name="_ETM_Q136_332540"/>
      <w:bookmarkEnd w:id="76286"/>
      <w:r>
        <w:rPr>
          <w:rFonts w:hint="cs"/>
          <w:rtl/>
        </w:rPr>
        <w:t xml:space="preserve">אינה </w:t>
      </w:r>
      <w:bookmarkStart w:id="76287" w:name="_ETM_Q136_333230"/>
      <w:bookmarkEnd w:id="76287"/>
      <w:r>
        <w:rPr>
          <w:rFonts w:hint="cs"/>
          <w:rtl/>
        </w:rPr>
        <w:t xml:space="preserve">נקנית </w:t>
      </w:r>
      <w:bookmarkStart w:id="76288" w:name="_ETM_Q136_334099"/>
      <w:bookmarkEnd w:id="76288"/>
      <w:r>
        <w:rPr>
          <w:rFonts w:hint="cs"/>
          <w:rtl/>
        </w:rPr>
        <w:t xml:space="preserve">בדיכוי </w:t>
      </w:r>
      <w:bookmarkStart w:id="76289" w:name="_ETM_Q136_334969"/>
      <w:bookmarkEnd w:id="76289"/>
      <w:r>
        <w:rPr>
          <w:rFonts w:hint="cs"/>
          <w:rtl/>
        </w:rPr>
        <w:t xml:space="preserve">ודריסה </w:t>
      </w:r>
      <w:bookmarkStart w:id="76290" w:name="_ETM_Q136_335719"/>
      <w:bookmarkEnd w:id="76290"/>
      <w:r>
        <w:rPr>
          <w:rFonts w:hint="cs"/>
          <w:rtl/>
        </w:rPr>
        <w:t xml:space="preserve">של </w:t>
      </w:r>
      <w:bookmarkStart w:id="76291" w:name="_ETM_Q136_336049"/>
      <w:bookmarkEnd w:id="76291"/>
      <w:r>
        <w:rPr>
          <w:rFonts w:hint="cs"/>
          <w:rtl/>
        </w:rPr>
        <w:t xml:space="preserve">עם </w:t>
      </w:r>
      <w:bookmarkStart w:id="76292" w:name="_ETM_Q136_336290"/>
      <w:bookmarkEnd w:id="76292"/>
      <w:r>
        <w:rPr>
          <w:rFonts w:hint="cs"/>
          <w:rtl/>
        </w:rPr>
        <w:t>אחר</w:t>
      </w:r>
      <w:r w:rsidR="001251AE">
        <w:rPr>
          <w:rFonts w:hint="cs"/>
          <w:rtl/>
        </w:rPr>
        <w:t>?</w:t>
      </w:r>
      <w:r>
        <w:rPr>
          <w:rFonts w:hint="cs"/>
          <w:rtl/>
        </w:rPr>
        <w:t xml:space="preserve"> </w:t>
      </w:r>
      <w:bookmarkStart w:id="76293" w:name="_ETM_Q136_337470"/>
      <w:bookmarkEnd w:id="76293"/>
      <w:r>
        <w:rPr>
          <w:rFonts w:hint="cs"/>
          <w:rtl/>
        </w:rPr>
        <w:t xml:space="preserve">שלא </w:t>
      </w:r>
      <w:bookmarkStart w:id="76294" w:name="_ETM_Q136_337919"/>
      <w:bookmarkEnd w:id="76294"/>
      <w:r>
        <w:rPr>
          <w:rFonts w:hint="cs"/>
          <w:rtl/>
        </w:rPr>
        <w:t xml:space="preserve">תיתכן </w:t>
      </w:r>
      <w:bookmarkStart w:id="76295" w:name="_ETM_Q136_338639"/>
      <w:bookmarkEnd w:id="76295"/>
      <w:r>
        <w:rPr>
          <w:rFonts w:hint="cs"/>
          <w:rtl/>
        </w:rPr>
        <w:t xml:space="preserve">דמוקרטיה </w:t>
      </w:r>
      <w:bookmarkStart w:id="76296" w:name="_ETM_Q136_339540"/>
      <w:bookmarkEnd w:id="76296"/>
      <w:r>
        <w:rPr>
          <w:rFonts w:hint="cs"/>
          <w:rtl/>
        </w:rPr>
        <w:t xml:space="preserve">עם </w:t>
      </w:r>
      <w:bookmarkStart w:id="76297" w:name="_ETM_Q136_339720"/>
      <w:bookmarkEnd w:id="76297"/>
      <w:r>
        <w:rPr>
          <w:rFonts w:hint="cs"/>
          <w:rtl/>
        </w:rPr>
        <w:t xml:space="preserve">כיבוש </w:t>
      </w:r>
      <w:bookmarkStart w:id="76298" w:name="_ETM_Q136_340860"/>
      <w:bookmarkEnd w:id="76298"/>
      <w:r>
        <w:rPr>
          <w:rFonts w:hint="cs"/>
          <w:rtl/>
        </w:rPr>
        <w:t>ו</w:t>
      </w:r>
      <w:bookmarkStart w:id="76299" w:name="_ETM_Q136_341010"/>
      <w:bookmarkEnd w:id="76299"/>
      <w:r>
        <w:rPr>
          <w:rFonts w:hint="cs"/>
          <w:rtl/>
        </w:rPr>
        <w:t xml:space="preserve">בטוח </w:t>
      </w:r>
      <w:bookmarkStart w:id="76300" w:name="_ETM_Q136_341639"/>
      <w:bookmarkEnd w:id="76300"/>
      <w:r>
        <w:rPr>
          <w:rFonts w:hint="cs"/>
          <w:rtl/>
        </w:rPr>
        <w:t xml:space="preserve">לא </w:t>
      </w:r>
      <w:bookmarkStart w:id="76301" w:name="_ETM_Q136_342000"/>
      <w:bookmarkEnd w:id="76301"/>
      <w:r>
        <w:rPr>
          <w:rFonts w:hint="cs"/>
          <w:rtl/>
        </w:rPr>
        <w:t xml:space="preserve">סיפוח? </w:t>
      </w:r>
      <w:bookmarkStart w:id="76302" w:name="_ETM_Q136_343879"/>
      <w:bookmarkEnd w:id="76302"/>
      <w:r>
        <w:rPr>
          <w:rFonts w:hint="cs"/>
          <w:rtl/>
        </w:rPr>
        <w:t>כ</w:t>
      </w:r>
      <w:bookmarkStart w:id="76303" w:name="_ETM_Q136_344060"/>
      <w:bookmarkEnd w:id="76303"/>
      <w:r>
        <w:rPr>
          <w:rFonts w:hint="cs"/>
          <w:rtl/>
        </w:rPr>
        <w:t xml:space="preserve">ששולטים </w:t>
      </w:r>
      <w:bookmarkStart w:id="76304" w:name="_ETM_Q136_344780"/>
      <w:bookmarkEnd w:id="76304"/>
      <w:r>
        <w:rPr>
          <w:rFonts w:hint="cs"/>
          <w:rtl/>
        </w:rPr>
        <w:t xml:space="preserve">בעם </w:t>
      </w:r>
      <w:bookmarkStart w:id="76305" w:name="_ETM_Q136_345169"/>
      <w:bookmarkEnd w:id="76305"/>
      <w:r>
        <w:rPr>
          <w:rFonts w:hint="cs"/>
          <w:rtl/>
        </w:rPr>
        <w:t xml:space="preserve">אחר – </w:t>
      </w:r>
      <w:bookmarkStart w:id="76306" w:name="_ETM_Q136_345919"/>
      <w:bookmarkEnd w:id="76306"/>
      <w:r>
        <w:rPr>
          <w:rFonts w:hint="cs"/>
          <w:rtl/>
        </w:rPr>
        <w:t xml:space="preserve">זו </w:t>
      </w:r>
      <w:bookmarkStart w:id="76307" w:name="_ETM_Q136_346389"/>
      <w:bookmarkStart w:id="76308" w:name="_ETM_Q136_346660"/>
      <w:bookmarkEnd w:id="76307"/>
      <w:bookmarkEnd w:id="76308"/>
      <w:r>
        <w:rPr>
          <w:rFonts w:hint="cs"/>
          <w:rtl/>
        </w:rPr>
        <w:t xml:space="preserve">לא </w:t>
      </w:r>
      <w:bookmarkStart w:id="76309" w:name="_ETM_Q136_347230"/>
      <w:bookmarkEnd w:id="76309"/>
      <w:r>
        <w:rPr>
          <w:rFonts w:hint="cs"/>
          <w:rtl/>
        </w:rPr>
        <w:t>דמוקרטיה.</w:t>
      </w:r>
      <w:bookmarkStart w:id="76310" w:name="_ETM_Q136_348889"/>
      <w:bookmarkEnd w:id="76310"/>
    </w:p>
    <w:p w:rsidR="00BB59CD" w:rsidRDefault="00BB59CD" w:rsidP="00BB59CD">
      <w:pPr>
        <w:rPr>
          <w:rtl/>
        </w:rPr>
      </w:pPr>
    </w:p>
    <w:p w:rsidR="00BB59CD" w:rsidRDefault="00BB59CD" w:rsidP="001251AE">
      <w:pPr>
        <w:rPr>
          <w:rtl/>
        </w:rPr>
      </w:pPr>
      <w:r>
        <w:rPr>
          <w:rFonts w:hint="cs"/>
          <w:rtl/>
        </w:rPr>
        <w:t xml:space="preserve">ביומיים </w:t>
      </w:r>
      <w:bookmarkStart w:id="76311" w:name="_ETM_Q136_349580"/>
      <w:bookmarkEnd w:id="76311"/>
      <w:r>
        <w:rPr>
          <w:rFonts w:hint="cs"/>
          <w:rtl/>
        </w:rPr>
        <w:t xml:space="preserve">האחרונים </w:t>
      </w:r>
      <w:bookmarkStart w:id="76312" w:name="_ETM_Q136_350930"/>
      <w:bookmarkEnd w:id="76312"/>
      <w:r>
        <w:rPr>
          <w:rFonts w:hint="cs"/>
          <w:rtl/>
        </w:rPr>
        <w:t xml:space="preserve">שמעתי </w:t>
      </w:r>
      <w:bookmarkStart w:id="76313" w:name="_ETM_Q136_351529"/>
      <w:bookmarkEnd w:id="76313"/>
      <w:r>
        <w:rPr>
          <w:rFonts w:hint="cs"/>
          <w:rtl/>
        </w:rPr>
        <w:t xml:space="preserve">הרבה </w:t>
      </w:r>
      <w:bookmarkStart w:id="76314" w:name="_ETM_Q136_352010"/>
      <w:bookmarkEnd w:id="76314"/>
      <w:r>
        <w:rPr>
          <w:rFonts w:hint="cs"/>
          <w:rtl/>
        </w:rPr>
        <w:t xml:space="preserve">את </w:t>
      </w:r>
      <w:bookmarkStart w:id="76315" w:name="_ETM_Q136_352189"/>
      <w:bookmarkEnd w:id="76315"/>
      <w:r>
        <w:rPr>
          <w:rFonts w:hint="cs"/>
          <w:rtl/>
        </w:rPr>
        <w:t xml:space="preserve">צמד </w:t>
      </w:r>
      <w:bookmarkStart w:id="76316" w:name="_ETM_Q136_352609"/>
      <w:bookmarkEnd w:id="76316"/>
      <w:r>
        <w:rPr>
          <w:rFonts w:hint="cs"/>
          <w:rtl/>
        </w:rPr>
        <w:t xml:space="preserve">המילים </w:t>
      </w:r>
      <w:bookmarkStart w:id="76317" w:name="_ETM_Q136_353269"/>
      <w:bookmarkEnd w:id="76317"/>
      <w:r>
        <w:rPr>
          <w:rFonts w:hint="cs"/>
          <w:rtl/>
        </w:rPr>
        <w:t xml:space="preserve">"דיקטטורה </w:t>
      </w:r>
      <w:bookmarkStart w:id="76318" w:name="_ETM_Q136_354680"/>
      <w:bookmarkEnd w:id="76318"/>
      <w:r>
        <w:rPr>
          <w:rFonts w:hint="cs"/>
          <w:rtl/>
        </w:rPr>
        <w:t xml:space="preserve">צבאית" </w:t>
      </w:r>
      <w:bookmarkStart w:id="76319" w:name="_ETM_Q136_356050"/>
      <w:bookmarkEnd w:id="76319"/>
      <w:r>
        <w:rPr>
          <w:rFonts w:hint="cs"/>
          <w:rtl/>
        </w:rPr>
        <w:t xml:space="preserve">כלפי </w:t>
      </w:r>
      <w:bookmarkStart w:id="76320" w:name="_ETM_Q136_356380"/>
      <w:bookmarkEnd w:id="76320"/>
      <w:r>
        <w:rPr>
          <w:rFonts w:hint="cs"/>
          <w:rtl/>
        </w:rPr>
        <w:t xml:space="preserve">קבוצת </w:t>
      </w:r>
      <w:bookmarkStart w:id="76321" w:name="_ETM_Q136_357370"/>
      <w:bookmarkEnd w:id="76321"/>
      <w:r>
        <w:rPr>
          <w:rFonts w:hint="cs"/>
          <w:rtl/>
        </w:rPr>
        <w:t xml:space="preserve">הטייסים </w:t>
      </w:r>
      <w:bookmarkStart w:id="76322" w:name="_ETM_Q136_358180"/>
      <w:bookmarkEnd w:id="76322"/>
      <w:r>
        <w:rPr>
          <w:rFonts w:hint="cs"/>
          <w:rtl/>
        </w:rPr>
        <w:t xml:space="preserve">שהודיעו </w:t>
      </w:r>
      <w:bookmarkStart w:id="76323" w:name="_ETM_Q136_359180"/>
      <w:bookmarkEnd w:id="76323"/>
      <w:r>
        <w:rPr>
          <w:rFonts w:hint="cs"/>
          <w:rtl/>
        </w:rPr>
        <w:t xml:space="preserve">כי </w:t>
      </w:r>
      <w:bookmarkStart w:id="76324" w:name="_ETM_Q136_359480"/>
      <w:bookmarkEnd w:id="76324"/>
      <w:r>
        <w:rPr>
          <w:rFonts w:hint="cs"/>
          <w:rtl/>
        </w:rPr>
        <w:t xml:space="preserve">הם </w:t>
      </w:r>
      <w:bookmarkStart w:id="76325" w:name="_ETM_Q136_359750"/>
      <w:bookmarkEnd w:id="76325"/>
      <w:r>
        <w:rPr>
          <w:rFonts w:hint="cs"/>
          <w:rtl/>
        </w:rPr>
        <w:t xml:space="preserve">מפסיקים </w:t>
      </w:r>
      <w:bookmarkStart w:id="76326" w:name="_ETM_Q136_360379"/>
      <w:bookmarkEnd w:id="76326"/>
      <w:r>
        <w:rPr>
          <w:rFonts w:hint="cs"/>
          <w:rtl/>
        </w:rPr>
        <w:t xml:space="preserve">להתנדב </w:t>
      </w:r>
      <w:bookmarkStart w:id="76327" w:name="_ETM_Q136_361099"/>
      <w:bookmarkEnd w:id="76327"/>
      <w:r>
        <w:rPr>
          <w:rFonts w:hint="cs"/>
          <w:rtl/>
        </w:rPr>
        <w:t>למילואים</w:t>
      </w:r>
      <w:bookmarkStart w:id="76328" w:name="_ETM_Q136_361370"/>
      <w:bookmarkStart w:id="76329" w:name="_ETM_Q136_362410"/>
      <w:bookmarkEnd w:id="76328"/>
      <w:bookmarkEnd w:id="76329"/>
      <w:r>
        <w:rPr>
          <w:rFonts w:hint="cs"/>
          <w:rtl/>
        </w:rPr>
        <w:t xml:space="preserve">. אני </w:t>
      </w:r>
      <w:bookmarkStart w:id="76330" w:name="_ETM_Q136_362830"/>
      <w:bookmarkEnd w:id="76330"/>
      <w:r>
        <w:rPr>
          <w:rFonts w:hint="cs"/>
          <w:rtl/>
        </w:rPr>
        <w:t xml:space="preserve">רוצה </w:t>
      </w:r>
      <w:bookmarkStart w:id="76331" w:name="_ETM_Q136_363250"/>
      <w:bookmarkEnd w:id="76331"/>
      <w:r>
        <w:rPr>
          <w:rFonts w:hint="cs"/>
          <w:rtl/>
        </w:rPr>
        <w:t xml:space="preserve">לספר </w:t>
      </w:r>
      <w:bookmarkStart w:id="76332" w:name="_ETM_Q136_363850"/>
      <w:bookmarkEnd w:id="76332"/>
      <w:r>
        <w:rPr>
          <w:rFonts w:hint="cs"/>
          <w:rtl/>
        </w:rPr>
        <w:t xml:space="preserve">לכם </w:t>
      </w:r>
      <w:bookmarkStart w:id="76333" w:name="_ETM_Q136_364240"/>
      <w:bookmarkEnd w:id="76333"/>
      <w:r>
        <w:rPr>
          <w:rFonts w:hint="cs"/>
          <w:rtl/>
        </w:rPr>
        <w:t xml:space="preserve">על </w:t>
      </w:r>
      <w:bookmarkStart w:id="76334" w:name="_ETM_Q136_364450"/>
      <w:bookmarkEnd w:id="76334"/>
      <w:r>
        <w:rPr>
          <w:rFonts w:hint="cs"/>
          <w:rtl/>
        </w:rPr>
        <w:t xml:space="preserve">דיקטטורה </w:t>
      </w:r>
      <w:bookmarkStart w:id="76335" w:name="_ETM_Q136_365200"/>
      <w:bookmarkEnd w:id="76335"/>
      <w:r>
        <w:rPr>
          <w:rFonts w:hint="cs"/>
          <w:rtl/>
        </w:rPr>
        <w:t xml:space="preserve">צבאית </w:t>
      </w:r>
      <w:bookmarkStart w:id="76336" w:name="_ETM_Q136_365860"/>
      <w:bookmarkEnd w:id="76336"/>
      <w:r>
        <w:rPr>
          <w:rFonts w:hint="cs"/>
          <w:rtl/>
        </w:rPr>
        <w:t xml:space="preserve">אמיתית, </w:t>
      </w:r>
      <w:bookmarkStart w:id="76337" w:name="_ETM_Q136_367650"/>
      <w:bookmarkEnd w:id="76337"/>
      <w:r>
        <w:rPr>
          <w:rFonts w:hint="cs"/>
          <w:rtl/>
        </w:rPr>
        <w:t xml:space="preserve">כזאת </w:t>
      </w:r>
      <w:bookmarkStart w:id="76338" w:name="_ETM_Q136_368159"/>
      <w:bookmarkEnd w:id="76338"/>
      <w:r>
        <w:rPr>
          <w:rFonts w:hint="cs"/>
          <w:rtl/>
        </w:rPr>
        <w:t xml:space="preserve">שלא </w:t>
      </w:r>
      <w:bookmarkStart w:id="76339" w:name="_ETM_Q136_368790"/>
      <w:bookmarkEnd w:id="76339"/>
      <w:r>
        <w:rPr>
          <w:rFonts w:hint="cs"/>
          <w:rtl/>
        </w:rPr>
        <w:t xml:space="preserve">קיימת </w:t>
      </w:r>
      <w:bookmarkStart w:id="76340" w:name="_ETM_Q136_369360"/>
      <w:bookmarkEnd w:id="76340"/>
      <w:r>
        <w:rPr>
          <w:rFonts w:hint="cs"/>
          <w:rtl/>
        </w:rPr>
        <w:t xml:space="preserve">רק במחוזות </w:t>
      </w:r>
      <w:bookmarkStart w:id="76341" w:name="_ETM_Q136_370139"/>
      <w:bookmarkEnd w:id="76341"/>
      <w:r>
        <w:rPr>
          <w:rFonts w:hint="cs"/>
          <w:rtl/>
        </w:rPr>
        <w:t xml:space="preserve">הדמיון, </w:t>
      </w:r>
      <w:bookmarkStart w:id="76342" w:name="_ETM_Q136_370950"/>
      <w:bookmarkEnd w:id="76342"/>
      <w:r>
        <w:rPr>
          <w:rFonts w:hint="cs"/>
          <w:rtl/>
        </w:rPr>
        <w:t xml:space="preserve">אלא </w:t>
      </w:r>
      <w:bookmarkStart w:id="76343" w:name="_ETM_Q136_371219"/>
      <w:bookmarkEnd w:id="76343"/>
      <w:r>
        <w:rPr>
          <w:rFonts w:hint="cs"/>
          <w:rtl/>
        </w:rPr>
        <w:t xml:space="preserve">במציאות. </w:t>
      </w:r>
      <w:bookmarkStart w:id="76344" w:name="_ETM_Q136_372669"/>
      <w:bookmarkEnd w:id="76344"/>
      <w:r>
        <w:rPr>
          <w:rFonts w:hint="cs"/>
          <w:rtl/>
        </w:rPr>
        <w:t xml:space="preserve">בדיקטטורה </w:t>
      </w:r>
      <w:bookmarkStart w:id="76345" w:name="_ETM_Q136_373690"/>
      <w:bookmarkEnd w:id="76345"/>
      <w:r>
        <w:rPr>
          <w:rFonts w:hint="cs"/>
          <w:rtl/>
        </w:rPr>
        <w:t xml:space="preserve">הצבאית </w:t>
      </w:r>
      <w:bookmarkStart w:id="76346" w:name="_ETM_Q136_374290"/>
      <w:bookmarkEnd w:id="76346"/>
      <w:r>
        <w:rPr>
          <w:rFonts w:hint="cs"/>
          <w:rtl/>
        </w:rPr>
        <w:t xml:space="preserve">הזאת </w:t>
      </w:r>
      <w:bookmarkStart w:id="76347" w:name="_ETM_Q136_375090"/>
      <w:bookmarkEnd w:id="76347"/>
      <w:r>
        <w:rPr>
          <w:rFonts w:hint="cs"/>
          <w:rtl/>
        </w:rPr>
        <w:t xml:space="preserve">אין </w:t>
      </w:r>
      <w:bookmarkStart w:id="76348" w:name="_ETM_Q136_375569"/>
      <w:bookmarkEnd w:id="76348"/>
      <w:r>
        <w:rPr>
          <w:rFonts w:hint="cs"/>
          <w:rtl/>
        </w:rPr>
        <w:t xml:space="preserve">את </w:t>
      </w:r>
      <w:bookmarkStart w:id="76349" w:name="_ETM_Q136_375779"/>
      <w:bookmarkEnd w:id="76349"/>
      <w:r>
        <w:rPr>
          <w:rFonts w:hint="cs"/>
          <w:rtl/>
        </w:rPr>
        <w:t>עקרון</w:t>
      </w:r>
      <w:bookmarkStart w:id="76350" w:name="_ETM_Q136_376439"/>
      <w:bookmarkEnd w:id="76350"/>
      <w:r>
        <w:rPr>
          <w:rFonts w:hint="cs"/>
          <w:rtl/>
        </w:rPr>
        <w:t xml:space="preserve">-העל </w:t>
      </w:r>
      <w:bookmarkStart w:id="76351" w:name="_ETM_Q136_376950"/>
      <w:bookmarkEnd w:id="76351"/>
      <w:r>
        <w:rPr>
          <w:rFonts w:hint="cs"/>
          <w:rtl/>
        </w:rPr>
        <w:t xml:space="preserve">של </w:t>
      </w:r>
      <w:bookmarkStart w:id="76352" w:name="_ETM_Q136_377279"/>
      <w:bookmarkEnd w:id="76352"/>
      <w:r>
        <w:rPr>
          <w:rFonts w:hint="cs"/>
          <w:rtl/>
        </w:rPr>
        <w:t xml:space="preserve">הפרדת </w:t>
      </w:r>
      <w:bookmarkStart w:id="76353" w:name="_ETM_Q136_377969"/>
      <w:bookmarkEnd w:id="76353"/>
      <w:r>
        <w:rPr>
          <w:rFonts w:hint="cs"/>
          <w:rtl/>
        </w:rPr>
        <w:t xml:space="preserve">רשויות, </w:t>
      </w:r>
      <w:bookmarkStart w:id="76354" w:name="_ETM_Q136_379549"/>
      <w:bookmarkEnd w:id="76354"/>
      <w:r>
        <w:rPr>
          <w:rFonts w:hint="cs"/>
          <w:rtl/>
        </w:rPr>
        <w:t xml:space="preserve">יש </w:t>
      </w:r>
      <w:bookmarkStart w:id="76355" w:name="_ETM_Q136_379939"/>
      <w:bookmarkEnd w:id="76355"/>
      <w:r>
        <w:rPr>
          <w:rFonts w:hint="cs"/>
          <w:rtl/>
        </w:rPr>
        <w:t xml:space="preserve">רק </w:t>
      </w:r>
      <w:bookmarkStart w:id="76356" w:name="_ETM_Q136_380209"/>
      <w:bookmarkEnd w:id="76356"/>
      <w:r>
        <w:rPr>
          <w:rFonts w:hint="cs"/>
          <w:rtl/>
        </w:rPr>
        <w:t xml:space="preserve">רשות </w:t>
      </w:r>
      <w:bookmarkStart w:id="76357" w:name="_ETM_Q136_380749"/>
      <w:bookmarkEnd w:id="76357"/>
      <w:r>
        <w:rPr>
          <w:rFonts w:hint="cs"/>
          <w:rtl/>
        </w:rPr>
        <w:t xml:space="preserve">אחת: </w:t>
      </w:r>
      <w:bookmarkStart w:id="76358" w:name="_ETM_Q136_381780"/>
      <w:bookmarkEnd w:id="76358"/>
      <w:r>
        <w:rPr>
          <w:rFonts w:hint="cs"/>
          <w:rtl/>
        </w:rPr>
        <w:t xml:space="preserve">רשות </w:t>
      </w:r>
      <w:bookmarkStart w:id="76359" w:name="_ETM_Q136_382319"/>
      <w:bookmarkStart w:id="76360" w:name="_ETM_Q136_382470"/>
      <w:bookmarkEnd w:id="76359"/>
      <w:bookmarkEnd w:id="76360"/>
      <w:r>
        <w:rPr>
          <w:rFonts w:hint="cs"/>
          <w:rtl/>
        </w:rPr>
        <w:t xml:space="preserve">צבאית, </w:t>
      </w:r>
      <w:bookmarkStart w:id="76361" w:name="_ETM_Q136_383010"/>
      <w:bookmarkEnd w:id="76361"/>
      <w:r>
        <w:rPr>
          <w:rFonts w:hint="cs"/>
          <w:rtl/>
        </w:rPr>
        <w:t xml:space="preserve">שהיא </w:t>
      </w:r>
      <w:bookmarkStart w:id="76362" w:name="_ETM_Q136_383400"/>
      <w:bookmarkEnd w:id="76362"/>
      <w:r>
        <w:rPr>
          <w:rFonts w:hint="cs"/>
          <w:rtl/>
        </w:rPr>
        <w:t xml:space="preserve">גם </w:t>
      </w:r>
      <w:bookmarkStart w:id="76363" w:name="_ETM_Q136_383849"/>
      <w:bookmarkEnd w:id="76363"/>
      <w:r>
        <w:rPr>
          <w:rFonts w:hint="cs"/>
          <w:rtl/>
        </w:rPr>
        <w:t xml:space="preserve">מחוקקת </w:t>
      </w:r>
      <w:bookmarkStart w:id="76364" w:name="_ETM_Q136_384689"/>
      <w:bookmarkStart w:id="76365" w:name="_ETM_Q136_384810"/>
      <w:bookmarkEnd w:id="76364"/>
      <w:bookmarkEnd w:id="76365"/>
      <w:r>
        <w:rPr>
          <w:rFonts w:hint="cs"/>
          <w:rtl/>
        </w:rPr>
        <w:t xml:space="preserve">צווים </w:t>
      </w:r>
      <w:bookmarkStart w:id="76366" w:name="_ETM_Q136_385919"/>
      <w:bookmarkEnd w:id="76366"/>
      <w:r>
        <w:rPr>
          <w:rFonts w:hint="cs"/>
          <w:rtl/>
        </w:rPr>
        <w:t xml:space="preserve">וחקיקה </w:t>
      </w:r>
      <w:bookmarkStart w:id="76367" w:name="_ETM_Q136_386849"/>
      <w:bookmarkEnd w:id="76367"/>
      <w:r>
        <w:rPr>
          <w:rFonts w:hint="cs"/>
          <w:rtl/>
        </w:rPr>
        <w:t xml:space="preserve">בלשון </w:t>
      </w:r>
      <w:bookmarkStart w:id="76368" w:name="_ETM_Q136_387510"/>
      <w:bookmarkEnd w:id="76368"/>
      <w:r>
        <w:rPr>
          <w:rFonts w:hint="cs"/>
          <w:rtl/>
        </w:rPr>
        <w:t xml:space="preserve">שלנו, </w:t>
      </w:r>
      <w:bookmarkStart w:id="76369" w:name="_ETM_Q136_388809"/>
      <w:bookmarkEnd w:id="76369"/>
      <w:r>
        <w:rPr>
          <w:rFonts w:hint="cs"/>
          <w:rtl/>
        </w:rPr>
        <w:t xml:space="preserve">גם </w:t>
      </w:r>
      <w:bookmarkStart w:id="76370" w:name="_ETM_Q136_389199"/>
      <w:bookmarkEnd w:id="76370"/>
      <w:r>
        <w:rPr>
          <w:rFonts w:hint="cs"/>
          <w:rtl/>
        </w:rPr>
        <w:t xml:space="preserve">אוכפת </w:t>
      </w:r>
      <w:bookmarkStart w:id="76371" w:name="_ETM_Q136_389769"/>
      <w:bookmarkEnd w:id="76371"/>
      <w:r>
        <w:rPr>
          <w:rFonts w:hint="cs"/>
          <w:rtl/>
        </w:rPr>
        <w:t xml:space="preserve">את </w:t>
      </w:r>
      <w:bookmarkStart w:id="76372" w:name="_ETM_Q136_389949"/>
      <w:bookmarkEnd w:id="76372"/>
      <w:r>
        <w:rPr>
          <w:rFonts w:hint="cs"/>
          <w:rtl/>
        </w:rPr>
        <w:t xml:space="preserve">החוק </w:t>
      </w:r>
      <w:bookmarkStart w:id="76373" w:name="_ETM_Q136_390430"/>
      <w:bookmarkEnd w:id="76373"/>
      <w:r>
        <w:rPr>
          <w:rFonts w:hint="cs"/>
          <w:rtl/>
        </w:rPr>
        <w:t xml:space="preserve">באמצעות </w:t>
      </w:r>
      <w:bookmarkStart w:id="76374" w:name="_ETM_Q136_391299"/>
      <w:bookmarkEnd w:id="76374"/>
      <w:r>
        <w:rPr>
          <w:rFonts w:hint="cs"/>
          <w:rtl/>
        </w:rPr>
        <w:t xml:space="preserve">חייליה, </w:t>
      </w:r>
      <w:bookmarkStart w:id="76375" w:name="_ETM_Q136_392409"/>
      <w:bookmarkEnd w:id="76375"/>
      <w:r>
        <w:rPr>
          <w:rFonts w:hint="cs"/>
          <w:rtl/>
        </w:rPr>
        <w:t xml:space="preserve">וגם </w:t>
      </w:r>
      <w:bookmarkStart w:id="76376" w:name="_ETM_Q136_392859"/>
      <w:bookmarkEnd w:id="76376"/>
      <w:r>
        <w:rPr>
          <w:rFonts w:hint="cs"/>
          <w:rtl/>
        </w:rPr>
        <w:t xml:space="preserve">שופטת </w:t>
      </w:r>
      <w:bookmarkStart w:id="76377" w:name="_ETM_Q136_393669"/>
      <w:bookmarkEnd w:id="76377"/>
      <w:r>
        <w:rPr>
          <w:rFonts w:hint="cs"/>
          <w:rtl/>
        </w:rPr>
        <w:t xml:space="preserve">באמצעות </w:t>
      </w:r>
      <w:bookmarkStart w:id="76378" w:name="_ETM_Q136_394419"/>
      <w:bookmarkEnd w:id="76378"/>
      <w:r>
        <w:rPr>
          <w:rFonts w:hint="cs"/>
          <w:rtl/>
        </w:rPr>
        <w:t xml:space="preserve">שופטיה </w:t>
      </w:r>
      <w:bookmarkStart w:id="76379" w:name="_ETM_Q136_394900"/>
      <w:bookmarkEnd w:id="76379"/>
      <w:r>
        <w:rPr>
          <w:rFonts w:hint="cs"/>
          <w:rtl/>
        </w:rPr>
        <w:t xml:space="preserve">הצבאיים; </w:t>
      </w:r>
      <w:bookmarkStart w:id="76380" w:name="_ETM_Q136_396300"/>
      <w:bookmarkEnd w:id="76380"/>
      <w:r>
        <w:rPr>
          <w:rFonts w:hint="cs"/>
          <w:rtl/>
        </w:rPr>
        <w:t xml:space="preserve">בדיקטטורה </w:t>
      </w:r>
      <w:bookmarkStart w:id="76381" w:name="_ETM_Q136_397410"/>
      <w:bookmarkEnd w:id="76381"/>
      <w:r>
        <w:rPr>
          <w:rFonts w:hint="cs"/>
          <w:rtl/>
        </w:rPr>
        <w:t xml:space="preserve">הזאת </w:t>
      </w:r>
      <w:bookmarkStart w:id="76382" w:name="_ETM_Q136_398280"/>
      <w:bookmarkEnd w:id="76382"/>
      <w:r>
        <w:rPr>
          <w:rFonts w:hint="cs"/>
          <w:rtl/>
        </w:rPr>
        <w:t xml:space="preserve">הצבא </w:t>
      </w:r>
      <w:bookmarkStart w:id="76383" w:name="_ETM_Q136_399030"/>
      <w:bookmarkEnd w:id="76383"/>
      <w:r>
        <w:rPr>
          <w:rFonts w:hint="cs"/>
          <w:rtl/>
        </w:rPr>
        <w:t xml:space="preserve">ומפקדו </w:t>
      </w:r>
      <w:bookmarkStart w:id="76384" w:name="_ETM_Q136_399989"/>
      <w:bookmarkEnd w:id="76384"/>
      <w:r>
        <w:rPr>
          <w:rFonts w:hint="cs"/>
          <w:rtl/>
        </w:rPr>
        <w:t xml:space="preserve">הם </w:t>
      </w:r>
      <w:bookmarkStart w:id="76385" w:name="_ETM_Q136_400319"/>
      <w:bookmarkEnd w:id="76385"/>
      <w:r>
        <w:rPr>
          <w:rFonts w:hint="cs"/>
          <w:rtl/>
        </w:rPr>
        <w:t xml:space="preserve">גורם </w:t>
      </w:r>
      <w:bookmarkStart w:id="76386" w:name="_ETM_Q136_400750"/>
      <w:bookmarkEnd w:id="76386"/>
      <w:r>
        <w:rPr>
          <w:rFonts w:hint="cs"/>
          <w:rtl/>
        </w:rPr>
        <w:t xml:space="preserve">זר </w:t>
      </w:r>
      <w:bookmarkStart w:id="76387" w:name="_ETM_Q136_401890"/>
      <w:bookmarkEnd w:id="76387"/>
      <w:r>
        <w:rPr>
          <w:rFonts w:hint="cs"/>
          <w:rtl/>
        </w:rPr>
        <w:t xml:space="preserve">שנכפה </w:t>
      </w:r>
      <w:bookmarkStart w:id="76388" w:name="_ETM_Q136_402819"/>
      <w:bookmarkEnd w:id="76388"/>
      <w:r>
        <w:rPr>
          <w:rFonts w:hint="cs"/>
          <w:rtl/>
        </w:rPr>
        <w:t xml:space="preserve">על </w:t>
      </w:r>
      <w:bookmarkStart w:id="76389" w:name="_ETM_Q136_403060"/>
      <w:bookmarkEnd w:id="76389"/>
      <w:r>
        <w:rPr>
          <w:rFonts w:hint="cs"/>
          <w:rtl/>
        </w:rPr>
        <w:t xml:space="preserve">אוכלוסייה </w:t>
      </w:r>
      <w:bookmarkStart w:id="76390" w:name="_ETM_Q136_403720"/>
      <w:bookmarkStart w:id="76391" w:name="_ETM_Q136_404230"/>
      <w:bookmarkEnd w:id="76390"/>
      <w:bookmarkEnd w:id="76391"/>
      <w:r>
        <w:rPr>
          <w:rFonts w:hint="cs"/>
          <w:rtl/>
        </w:rPr>
        <w:t xml:space="preserve">הנתונה </w:t>
      </w:r>
      <w:bookmarkStart w:id="76392" w:name="_ETM_Q136_404680"/>
      <w:bookmarkEnd w:id="76392"/>
      <w:r>
        <w:rPr>
          <w:rFonts w:hint="cs"/>
          <w:rtl/>
        </w:rPr>
        <w:t xml:space="preserve">לשליטתם </w:t>
      </w:r>
      <w:bookmarkStart w:id="76393" w:name="_ETM_Q136_406250"/>
      <w:bookmarkEnd w:id="76393"/>
      <w:r>
        <w:rPr>
          <w:rFonts w:hint="cs"/>
          <w:rtl/>
        </w:rPr>
        <w:t xml:space="preserve">בלי </w:t>
      </w:r>
      <w:bookmarkStart w:id="76394" w:name="_ETM_Q136_406610"/>
      <w:bookmarkEnd w:id="76394"/>
      <w:r>
        <w:rPr>
          <w:rFonts w:hint="cs"/>
          <w:rtl/>
        </w:rPr>
        <w:t xml:space="preserve">בחירות </w:t>
      </w:r>
      <w:bookmarkStart w:id="76395" w:name="_ETM_Q136_407580"/>
      <w:bookmarkEnd w:id="76395"/>
      <w:r>
        <w:rPr>
          <w:rFonts w:hint="cs"/>
          <w:rtl/>
        </w:rPr>
        <w:t>ו</w:t>
      </w:r>
      <w:bookmarkStart w:id="76396" w:name="_ETM_Q136_407700"/>
      <w:bookmarkEnd w:id="76396"/>
      <w:r>
        <w:rPr>
          <w:rFonts w:hint="cs"/>
          <w:rtl/>
        </w:rPr>
        <w:t xml:space="preserve">בלי </w:t>
      </w:r>
      <w:bookmarkStart w:id="76397" w:name="_ETM_Q136_408090"/>
      <w:bookmarkEnd w:id="76397"/>
      <w:r>
        <w:rPr>
          <w:rFonts w:hint="cs"/>
          <w:rtl/>
        </w:rPr>
        <w:t>דמוקרטיה.</w:t>
      </w:r>
      <w:r w:rsidR="001251AE">
        <w:rPr>
          <w:rFonts w:hint="cs"/>
          <w:rtl/>
        </w:rPr>
        <w:t xml:space="preserve"> </w:t>
      </w:r>
      <w:bookmarkStart w:id="76398" w:name="_ETM_Q136_409534"/>
      <w:bookmarkStart w:id="76399" w:name="_ETM_Q136_409616"/>
      <w:bookmarkStart w:id="76400" w:name="_ETM_Q136_409530"/>
      <w:bookmarkEnd w:id="76398"/>
      <w:bookmarkEnd w:id="76399"/>
      <w:bookmarkEnd w:id="76400"/>
      <w:r>
        <w:rPr>
          <w:rFonts w:hint="cs"/>
          <w:rtl/>
        </w:rPr>
        <w:t xml:space="preserve">הדיקטטורה </w:t>
      </w:r>
      <w:bookmarkStart w:id="76401" w:name="_ETM_Q136_410610"/>
      <w:bookmarkEnd w:id="76401"/>
      <w:r>
        <w:rPr>
          <w:rFonts w:hint="cs"/>
          <w:rtl/>
        </w:rPr>
        <w:t xml:space="preserve">הצבאית </w:t>
      </w:r>
      <w:bookmarkStart w:id="76402" w:name="_ETM_Q136_411269"/>
      <w:bookmarkEnd w:id="76402"/>
      <w:r>
        <w:rPr>
          <w:rFonts w:hint="cs"/>
          <w:rtl/>
        </w:rPr>
        <w:t>שם</w:t>
      </w:r>
      <w:bookmarkStart w:id="76403" w:name="_ETM_Q136_411750"/>
      <w:bookmarkEnd w:id="76403"/>
      <w:r>
        <w:rPr>
          <w:rFonts w:hint="cs"/>
          <w:rtl/>
        </w:rPr>
        <w:t xml:space="preserve"> </w:t>
      </w:r>
      <w:bookmarkStart w:id="76404" w:name="_ETM_Q136_411989"/>
      <w:bookmarkEnd w:id="76404"/>
      <w:r>
        <w:rPr>
          <w:rFonts w:hint="cs"/>
          <w:rtl/>
        </w:rPr>
        <w:t xml:space="preserve">יכולה הכול, </w:t>
      </w:r>
      <w:bookmarkStart w:id="76405" w:name="_ETM_Q136_412349"/>
      <w:bookmarkStart w:id="76406" w:name="_ETM_Q136_413530"/>
      <w:bookmarkEnd w:id="76405"/>
      <w:bookmarkEnd w:id="76406"/>
      <w:r>
        <w:rPr>
          <w:rFonts w:hint="cs"/>
          <w:rtl/>
        </w:rPr>
        <w:t xml:space="preserve">בלי </w:t>
      </w:r>
      <w:bookmarkStart w:id="76407" w:name="_ETM_Q136_414209"/>
      <w:bookmarkEnd w:id="76407"/>
      <w:r>
        <w:rPr>
          <w:rFonts w:hint="cs"/>
          <w:rtl/>
        </w:rPr>
        <w:t xml:space="preserve">בלמים </w:t>
      </w:r>
      <w:bookmarkStart w:id="76408" w:name="_ETM_Q136_414959"/>
      <w:bookmarkEnd w:id="76408"/>
      <w:r>
        <w:rPr>
          <w:rFonts w:hint="cs"/>
          <w:rtl/>
        </w:rPr>
        <w:t xml:space="preserve">ובלי </w:t>
      </w:r>
      <w:bookmarkStart w:id="76409" w:name="_ETM_Q136_415530"/>
      <w:bookmarkEnd w:id="76409"/>
      <w:r>
        <w:rPr>
          <w:rFonts w:hint="cs"/>
          <w:rtl/>
        </w:rPr>
        <w:t xml:space="preserve">איזונים. </w:t>
      </w:r>
      <w:bookmarkStart w:id="76410" w:name="_ETM_Q136_416700"/>
      <w:bookmarkEnd w:id="76410"/>
      <w:r>
        <w:rPr>
          <w:rFonts w:hint="cs"/>
          <w:rtl/>
        </w:rPr>
        <w:t xml:space="preserve">אז על </w:t>
      </w:r>
      <w:bookmarkStart w:id="76411" w:name="_ETM_Q136_417370"/>
      <w:bookmarkEnd w:id="76411"/>
      <w:r>
        <w:rPr>
          <w:rFonts w:hint="cs"/>
          <w:rtl/>
        </w:rPr>
        <w:t xml:space="preserve">איזו </w:t>
      </w:r>
      <w:bookmarkStart w:id="76412" w:name="_ETM_Q136_417519"/>
      <w:bookmarkEnd w:id="76412"/>
      <w:r>
        <w:rPr>
          <w:rFonts w:hint="cs"/>
          <w:rtl/>
        </w:rPr>
        <w:t xml:space="preserve">דיקטטורה </w:t>
      </w:r>
      <w:bookmarkStart w:id="76413" w:name="_ETM_Q136_418239"/>
      <w:bookmarkEnd w:id="76413"/>
      <w:r>
        <w:rPr>
          <w:rFonts w:hint="cs"/>
          <w:rtl/>
        </w:rPr>
        <w:t xml:space="preserve">צבאית </w:t>
      </w:r>
      <w:bookmarkStart w:id="76414" w:name="_ETM_Q136_418779"/>
      <w:bookmarkEnd w:id="76414"/>
      <w:r>
        <w:rPr>
          <w:rFonts w:hint="cs"/>
          <w:rtl/>
        </w:rPr>
        <w:t xml:space="preserve">אתם </w:t>
      </w:r>
      <w:bookmarkStart w:id="76415" w:name="_ETM_Q136_419139"/>
      <w:bookmarkEnd w:id="76415"/>
      <w:r>
        <w:rPr>
          <w:rFonts w:hint="cs"/>
          <w:rtl/>
        </w:rPr>
        <w:t xml:space="preserve">בימין </w:t>
      </w:r>
      <w:bookmarkStart w:id="76416" w:name="_ETM_Q136_419680"/>
      <w:bookmarkEnd w:id="76416"/>
      <w:r>
        <w:rPr>
          <w:rFonts w:hint="cs"/>
          <w:rtl/>
        </w:rPr>
        <w:t xml:space="preserve">מדברים? </w:t>
      </w:r>
      <w:bookmarkStart w:id="76417" w:name="_ETM_Q136_420909"/>
      <w:bookmarkEnd w:id="76417"/>
      <w:r>
        <w:rPr>
          <w:rFonts w:hint="cs"/>
          <w:rtl/>
        </w:rPr>
        <w:t xml:space="preserve">ואתם, </w:t>
      </w:r>
      <w:bookmarkStart w:id="76418" w:name="_ETM_Q136_421749"/>
      <w:bookmarkEnd w:id="76418"/>
      <w:r>
        <w:rPr>
          <w:rFonts w:hint="cs"/>
          <w:rtl/>
        </w:rPr>
        <w:t xml:space="preserve">הטייסים </w:t>
      </w:r>
      <w:bookmarkStart w:id="76419" w:name="_ETM_Q136_422680"/>
      <w:bookmarkEnd w:id="76419"/>
      <w:r>
        <w:rPr>
          <w:rFonts w:hint="cs"/>
          <w:rtl/>
        </w:rPr>
        <w:t xml:space="preserve">שהודיעו </w:t>
      </w:r>
      <w:bookmarkStart w:id="76420" w:name="_ETM_Q136_423430"/>
      <w:bookmarkEnd w:id="76420"/>
      <w:r>
        <w:rPr>
          <w:rFonts w:hint="cs"/>
          <w:rtl/>
        </w:rPr>
        <w:t xml:space="preserve">שלא </w:t>
      </w:r>
      <w:bookmarkStart w:id="76421" w:name="_ETM_Q136_423790"/>
      <w:bookmarkEnd w:id="76421"/>
      <w:r>
        <w:rPr>
          <w:rFonts w:hint="cs"/>
          <w:rtl/>
        </w:rPr>
        <w:t xml:space="preserve">ישרתו </w:t>
      </w:r>
      <w:bookmarkStart w:id="76422" w:name="_ETM_Q136_424959"/>
      <w:bookmarkEnd w:id="76422"/>
      <w:r>
        <w:rPr>
          <w:rFonts w:hint="cs"/>
          <w:rtl/>
        </w:rPr>
        <w:t xml:space="preserve">את </w:t>
      </w:r>
      <w:bookmarkStart w:id="76423" w:name="_ETM_Q136_425230"/>
      <w:bookmarkEnd w:id="76423"/>
      <w:r>
        <w:rPr>
          <w:rFonts w:hint="cs"/>
          <w:rtl/>
        </w:rPr>
        <w:t xml:space="preserve">המלך </w:t>
      </w:r>
      <w:bookmarkStart w:id="76424" w:name="_ETM_Q136_426200"/>
      <w:bookmarkEnd w:id="76424"/>
      <w:r>
        <w:rPr>
          <w:rFonts w:hint="cs"/>
          <w:rtl/>
        </w:rPr>
        <w:t xml:space="preserve">אלא </w:t>
      </w:r>
      <w:bookmarkStart w:id="76425" w:name="_ETM_Q136_426620"/>
      <w:bookmarkEnd w:id="76425"/>
      <w:r>
        <w:rPr>
          <w:rFonts w:hint="cs"/>
          <w:rtl/>
        </w:rPr>
        <w:t xml:space="preserve">רק </w:t>
      </w:r>
      <w:bookmarkStart w:id="76426" w:name="_ETM_Q136_426920"/>
      <w:bookmarkEnd w:id="76426"/>
      <w:r>
        <w:rPr>
          <w:rFonts w:hint="cs"/>
          <w:rtl/>
        </w:rPr>
        <w:t xml:space="preserve">את </w:t>
      </w:r>
      <w:bookmarkStart w:id="76427" w:name="_ETM_Q136_427280"/>
      <w:bookmarkEnd w:id="76427"/>
      <w:r>
        <w:rPr>
          <w:rFonts w:hint="cs"/>
          <w:rtl/>
        </w:rPr>
        <w:t xml:space="preserve">הממלכה – </w:t>
      </w:r>
      <w:bookmarkStart w:id="76428" w:name="_ETM_Q136_427459"/>
      <w:bookmarkStart w:id="76429" w:name="_ETM_Q136_428420"/>
      <w:bookmarkEnd w:id="76428"/>
      <w:bookmarkEnd w:id="76429"/>
      <w:r>
        <w:rPr>
          <w:rFonts w:hint="cs"/>
          <w:rtl/>
        </w:rPr>
        <w:t xml:space="preserve">מקווה </w:t>
      </w:r>
      <w:bookmarkStart w:id="76430" w:name="_ETM_Q136_429050"/>
      <w:bookmarkEnd w:id="76430"/>
      <w:r>
        <w:rPr>
          <w:rFonts w:hint="cs"/>
          <w:rtl/>
        </w:rPr>
        <w:t>ש</w:t>
      </w:r>
      <w:bookmarkStart w:id="76431" w:name="_ETM_Q136_429230"/>
      <w:bookmarkEnd w:id="76431"/>
      <w:r>
        <w:rPr>
          <w:rFonts w:hint="cs"/>
          <w:rtl/>
        </w:rPr>
        <w:t>תזכרו</w:t>
      </w:r>
      <w:r w:rsidR="001251AE">
        <w:rPr>
          <w:rFonts w:hint="cs"/>
          <w:rtl/>
        </w:rPr>
        <w:t>,</w:t>
      </w:r>
      <w:r>
        <w:rPr>
          <w:rFonts w:hint="cs"/>
          <w:rtl/>
        </w:rPr>
        <w:t xml:space="preserve"> </w:t>
      </w:r>
      <w:bookmarkStart w:id="76432" w:name="_ETM_Q136_430560"/>
      <w:bookmarkEnd w:id="76432"/>
      <w:r>
        <w:rPr>
          <w:rFonts w:hint="cs"/>
          <w:rtl/>
        </w:rPr>
        <w:t>כשמסך העשן</w:t>
      </w:r>
      <w:bookmarkStart w:id="76433" w:name="_ETM_Q136_431249"/>
      <w:bookmarkStart w:id="76434" w:name="_ETM_Q136_431639"/>
      <w:bookmarkEnd w:id="76433"/>
      <w:bookmarkEnd w:id="76434"/>
      <w:r>
        <w:rPr>
          <w:rFonts w:hint="cs"/>
          <w:rtl/>
        </w:rPr>
        <w:t xml:space="preserve"> </w:t>
      </w:r>
      <w:bookmarkStart w:id="76435" w:name="_ETM_Q136_432030"/>
      <w:bookmarkEnd w:id="76435"/>
      <w:r>
        <w:rPr>
          <w:rFonts w:hint="cs"/>
          <w:rtl/>
        </w:rPr>
        <w:t>ית</w:t>
      </w:r>
      <w:r w:rsidR="001251AE">
        <w:rPr>
          <w:rFonts w:hint="cs"/>
          <w:rtl/>
        </w:rPr>
        <w:t>פוגג</w:t>
      </w:r>
      <w:r>
        <w:rPr>
          <w:rFonts w:hint="cs"/>
          <w:rtl/>
        </w:rPr>
        <w:t xml:space="preserve">, </w:t>
      </w:r>
      <w:bookmarkStart w:id="76436" w:name="_ETM_Q136_433070"/>
      <w:bookmarkEnd w:id="76436"/>
      <w:r>
        <w:rPr>
          <w:rFonts w:hint="cs"/>
          <w:rtl/>
        </w:rPr>
        <w:t xml:space="preserve">שהממלכה </w:t>
      </w:r>
      <w:bookmarkStart w:id="76437" w:name="_ETM_Q136_434660"/>
      <w:bookmarkEnd w:id="76437"/>
      <w:r>
        <w:rPr>
          <w:rFonts w:hint="cs"/>
          <w:rtl/>
        </w:rPr>
        <w:t xml:space="preserve">מפעילה </w:t>
      </w:r>
      <w:bookmarkStart w:id="76438" w:name="_ETM_Q136_435319"/>
      <w:bookmarkEnd w:id="76438"/>
      <w:r>
        <w:rPr>
          <w:rFonts w:hint="cs"/>
          <w:rtl/>
        </w:rPr>
        <w:t xml:space="preserve">באמצעותכם </w:t>
      </w:r>
      <w:bookmarkStart w:id="76439" w:name="_ETM_Q136_436639"/>
      <w:bookmarkEnd w:id="76439"/>
      <w:r>
        <w:rPr>
          <w:rFonts w:hint="cs"/>
          <w:rtl/>
        </w:rPr>
        <w:t xml:space="preserve">שלטון </w:t>
      </w:r>
      <w:bookmarkStart w:id="76440" w:name="_ETM_Q136_437570"/>
      <w:bookmarkEnd w:id="76440"/>
      <w:r>
        <w:rPr>
          <w:rFonts w:hint="cs"/>
          <w:rtl/>
        </w:rPr>
        <w:t xml:space="preserve">צבאי </w:t>
      </w:r>
      <w:bookmarkStart w:id="76441" w:name="_ETM_Q136_438529"/>
      <w:bookmarkEnd w:id="76441"/>
      <w:r>
        <w:rPr>
          <w:rFonts w:hint="cs"/>
          <w:rtl/>
        </w:rPr>
        <w:t xml:space="preserve">דיקטטורי, </w:t>
      </w:r>
      <w:bookmarkStart w:id="76442" w:name="_ETM_Q136_439940"/>
      <w:bookmarkEnd w:id="76442"/>
      <w:r>
        <w:rPr>
          <w:rFonts w:hint="cs"/>
          <w:rtl/>
        </w:rPr>
        <w:t xml:space="preserve">ולא </w:t>
      </w:r>
      <w:bookmarkStart w:id="76443" w:name="_ETM_Q136_440300"/>
      <w:bookmarkEnd w:id="76443"/>
      <w:r>
        <w:rPr>
          <w:rFonts w:hint="cs"/>
          <w:rtl/>
        </w:rPr>
        <w:t xml:space="preserve">תסכימו </w:t>
      </w:r>
      <w:bookmarkStart w:id="76444" w:name="_ETM_Q136_440900"/>
      <w:bookmarkEnd w:id="76444"/>
      <w:r>
        <w:rPr>
          <w:rFonts w:hint="cs"/>
          <w:rtl/>
        </w:rPr>
        <w:t xml:space="preserve">לקחת </w:t>
      </w:r>
      <w:bookmarkStart w:id="76445" w:name="_ETM_Q136_441410"/>
      <w:bookmarkEnd w:id="76445"/>
      <w:r>
        <w:rPr>
          <w:rFonts w:hint="cs"/>
          <w:rtl/>
        </w:rPr>
        <w:t xml:space="preserve">חלק </w:t>
      </w:r>
      <w:bookmarkStart w:id="76446" w:name="_ETM_Q136_441800"/>
      <w:bookmarkEnd w:id="76446"/>
      <w:r>
        <w:rPr>
          <w:rFonts w:hint="cs"/>
          <w:rtl/>
        </w:rPr>
        <w:t>בזה.</w:t>
      </w:r>
      <w:bookmarkStart w:id="76447" w:name="_ETM_Q136_442569"/>
      <w:bookmarkEnd w:id="76447"/>
    </w:p>
    <w:p w:rsidR="00BB59CD" w:rsidRDefault="00BB59CD" w:rsidP="00BB59CD">
      <w:pPr>
        <w:rPr>
          <w:rtl/>
        </w:rPr>
      </w:pPr>
    </w:p>
    <w:p w:rsidR="00BB59CD" w:rsidRDefault="00BB59CD" w:rsidP="001251AE">
      <w:pPr>
        <w:rPr>
          <w:rtl/>
        </w:rPr>
      </w:pPr>
      <w:r>
        <w:rPr>
          <w:rFonts w:hint="cs"/>
          <w:rtl/>
        </w:rPr>
        <w:t xml:space="preserve">אז </w:t>
      </w:r>
      <w:bookmarkStart w:id="76448" w:name="_ETM_Q136_442779"/>
      <w:bookmarkEnd w:id="76448"/>
      <w:r>
        <w:rPr>
          <w:rFonts w:hint="cs"/>
          <w:rtl/>
        </w:rPr>
        <w:t xml:space="preserve">נכון, </w:t>
      </w:r>
      <w:bookmarkStart w:id="76449" w:name="_ETM_Q136_444540"/>
      <w:bookmarkEnd w:id="76449"/>
      <w:r>
        <w:rPr>
          <w:rFonts w:hint="cs"/>
          <w:rtl/>
        </w:rPr>
        <w:t xml:space="preserve">הממשלה </w:t>
      </w:r>
      <w:bookmarkStart w:id="76450" w:name="_ETM_Q136_445320"/>
      <w:bookmarkEnd w:id="76450"/>
      <w:r>
        <w:rPr>
          <w:rFonts w:hint="cs"/>
          <w:rtl/>
        </w:rPr>
        <w:t xml:space="preserve">הזו </w:t>
      </w:r>
      <w:bookmarkStart w:id="76451" w:name="_ETM_Q136_445650"/>
      <w:bookmarkEnd w:id="76451"/>
      <w:r>
        <w:rPr>
          <w:rFonts w:hint="cs"/>
          <w:rtl/>
        </w:rPr>
        <w:t xml:space="preserve">רוצה </w:t>
      </w:r>
      <w:bookmarkStart w:id="76452" w:name="_ETM_Q136_446070"/>
      <w:bookmarkEnd w:id="76452"/>
      <w:r>
        <w:rPr>
          <w:rFonts w:hint="cs"/>
          <w:rtl/>
        </w:rPr>
        <w:t xml:space="preserve">להשתולל </w:t>
      </w:r>
      <w:bookmarkStart w:id="76453" w:name="_ETM_Q136_447300"/>
      <w:bookmarkEnd w:id="76453"/>
      <w:r>
        <w:rPr>
          <w:rFonts w:hint="cs"/>
          <w:rtl/>
        </w:rPr>
        <w:t xml:space="preserve">בלי </w:t>
      </w:r>
      <w:bookmarkStart w:id="76454" w:name="_ETM_Q136_448020"/>
      <w:bookmarkEnd w:id="76454"/>
      <w:r>
        <w:rPr>
          <w:rFonts w:hint="cs"/>
          <w:rtl/>
        </w:rPr>
        <w:t xml:space="preserve">שיעמוד </w:t>
      </w:r>
      <w:bookmarkStart w:id="76455" w:name="_ETM_Q136_449010"/>
      <w:bookmarkEnd w:id="76455"/>
      <w:r>
        <w:rPr>
          <w:rFonts w:hint="cs"/>
          <w:rtl/>
        </w:rPr>
        <w:t xml:space="preserve">נגדה </w:t>
      </w:r>
      <w:bookmarkStart w:id="76456" w:name="_ETM_Q136_449820"/>
      <w:bookmarkEnd w:id="76456"/>
      <w:r>
        <w:rPr>
          <w:rFonts w:hint="cs"/>
          <w:rtl/>
        </w:rPr>
        <w:t xml:space="preserve">שום </w:t>
      </w:r>
      <w:bookmarkStart w:id="76457" w:name="_ETM_Q136_450300"/>
      <w:bookmarkEnd w:id="76457"/>
      <w:r>
        <w:rPr>
          <w:rFonts w:hint="cs"/>
          <w:rtl/>
        </w:rPr>
        <w:t xml:space="preserve">מחסום </w:t>
      </w:r>
      <w:bookmarkStart w:id="76458" w:name="_ETM_Q136_450900"/>
      <w:bookmarkEnd w:id="76458"/>
      <w:r>
        <w:rPr>
          <w:rFonts w:hint="cs"/>
          <w:rtl/>
        </w:rPr>
        <w:t xml:space="preserve">כזה </w:t>
      </w:r>
      <w:bookmarkStart w:id="76459" w:name="_ETM_Q136_451380"/>
      <w:bookmarkEnd w:id="76459"/>
      <w:r>
        <w:rPr>
          <w:rFonts w:hint="cs"/>
          <w:rtl/>
        </w:rPr>
        <w:t xml:space="preserve">או </w:t>
      </w:r>
      <w:bookmarkStart w:id="76460" w:name="_ETM_Q136_451560"/>
      <w:bookmarkEnd w:id="76460"/>
      <w:r>
        <w:rPr>
          <w:rFonts w:hint="cs"/>
          <w:rtl/>
        </w:rPr>
        <w:t xml:space="preserve">אחר. </w:t>
      </w:r>
      <w:bookmarkStart w:id="76461" w:name="_ETM_Q136_452500"/>
      <w:bookmarkEnd w:id="76461"/>
      <w:r>
        <w:rPr>
          <w:rFonts w:hint="cs"/>
          <w:rtl/>
        </w:rPr>
        <w:t xml:space="preserve">הם </w:t>
      </w:r>
      <w:bookmarkStart w:id="76462" w:name="_ETM_Q136_452770"/>
      <w:bookmarkEnd w:id="76462"/>
      <w:r>
        <w:rPr>
          <w:rFonts w:hint="cs"/>
          <w:rtl/>
        </w:rPr>
        <w:t xml:space="preserve">רוצים </w:t>
      </w:r>
      <w:bookmarkStart w:id="76463" w:name="_ETM_Q136_453339"/>
      <w:bookmarkEnd w:id="76463"/>
      <w:r>
        <w:rPr>
          <w:rFonts w:hint="cs"/>
          <w:rtl/>
        </w:rPr>
        <w:t xml:space="preserve">למנות </w:t>
      </w:r>
      <w:bookmarkStart w:id="76464" w:name="_ETM_Q136_453940"/>
      <w:bookmarkEnd w:id="76464"/>
      <w:r>
        <w:rPr>
          <w:rFonts w:hint="cs"/>
          <w:rtl/>
        </w:rPr>
        <w:t xml:space="preserve">בכירים </w:t>
      </w:r>
      <w:bookmarkStart w:id="76465" w:name="_ETM_Q136_454540"/>
      <w:bookmarkEnd w:id="76465"/>
      <w:r>
        <w:rPr>
          <w:rFonts w:hint="cs"/>
          <w:rtl/>
        </w:rPr>
        <w:t xml:space="preserve">כאוות </w:t>
      </w:r>
      <w:bookmarkStart w:id="76466" w:name="_ETM_Q136_455230"/>
      <w:bookmarkEnd w:id="76466"/>
      <w:r>
        <w:rPr>
          <w:rFonts w:hint="cs"/>
          <w:rtl/>
        </w:rPr>
        <w:t xml:space="preserve">נפשם, </w:t>
      </w:r>
      <w:bookmarkStart w:id="76467" w:name="_ETM_Q136_456339"/>
      <w:bookmarkEnd w:id="76467"/>
      <w:r>
        <w:rPr>
          <w:rFonts w:hint="cs"/>
          <w:rtl/>
        </w:rPr>
        <w:t xml:space="preserve">הם </w:t>
      </w:r>
      <w:bookmarkStart w:id="76468" w:name="_ETM_Q136_456580"/>
      <w:bookmarkEnd w:id="76468"/>
      <w:r>
        <w:rPr>
          <w:rFonts w:hint="cs"/>
          <w:rtl/>
        </w:rPr>
        <w:t xml:space="preserve">רוצים </w:t>
      </w:r>
      <w:bookmarkStart w:id="76469" w:name="_ETM_Q136_457060"/>
      <w:bookmarkEnd w:id="76469"/>
      <w:r>
        <w:rPr>
          <w:rFonts w:hint="cs"/>
          <w:rtl/>
        </w:rPr>
        <w:t xml:space="preserve">ליישם </w:t>
      </w:r>
      <w:bookmarkStart w:id="76470" w:name="_ETM_Q136_457690"/>
      <w:bookmarkEnd w:id="76470"/>
      <w:r>
        <w:rPr>
          <w:rFonts w:hint="cs"/>
          <w:rtl/>
        </w:rPr>
        <w:t xml:space="preserve">מדיניות </w:t>
      </w:r>
      <w:bookmarkStart w:id="76471" w:name="_ETM_Q136_458320"/>
      <w:bookmarkEnd w:id="76471"/>
      <w:r>
        <w:rPr>
          <w:rFonts w:hint="cs"/>
          <w:rtl/>
        </w:rPr>
        <w:t xml:space="preserve">גם </w:t>
      </w:r>
      <w:bookmarkStart w:id="76472" w:name="_ETM_Q136_458680"/>
      <w:bookmarkEnd w:id="76472"/>
      <w:r>
        <w:rPr>
          <w:rFonts w:hint="cs"/>
          <w:rtl/>
        </w:rPr>
        <w:t xml:space="preserve">אם </w:t>
      </w:r>
      <w:bookmarkStart w:id="76473" w:name="_ETM_Q136_458860"/>
      <w:bookmarkEnd w:id="76473"/>
      <w:r>
        <w:rPr>
          <w:rFonts w:hint="cs"/>
          <w:rtl/>
        </w:rPr>
        <w:t xml:space="preserve">היא </w:t>
      </w:r>
      <w:bookmarkStart w:id="76474" w:name="_ETM_Q136_459040"/>
      <w:bookmarkEnd w:id="76474"/>
      <w:r>
        <w:rPr>
          <w:rFonts w:hint="cs"/>
          <w:rtl/>
        </w:rPr>
        <w:t xml:space="preserve">גזענית </w:t>
      </w:r>
      <w:bookmarkStart w:id="76475" w:name="_ETM_Q136_459700"/>
      <w:bookmarkEnd w:id="76475"/>
      <w:r>
        <w:rPr>
          <w:rFonts w:hint="cs"/>
          <w:rtl/>
        </w:rPr>
        <w:t xml:space="preserve">או </w:t>
      </w:r>
      <w:bookmarkStart w:id="76476" w:name="_ETM_Q136_459880"/>
      <w:bookmarkEnd w:id="76476"/>
      <w:r>
        <w:rPr>
          <w:rFonts w:hint="cs"/>
          <w:rtl/>
        </w:rPr>
        <w:t xml:space="preserve">קפיטליסטית </w:t>
      </w:r>
      <w:bookmarkStart w:id="76477" w:name="_ETM_Q136_461320"/>
      <w:bookmarkEnd w:id="76477"/>
      <w:r>
        <w:rPr>
          <w:rFonts w:hint="cs"/>
          <w:rtl/>
        </w:rPr>
        <w:t xml:space="preserve">או </w:t>
      </w:r>
      <w:bookmarkStart w:id="76478" w:name="_ETM_Q136_461560"/>
      <w:bookmarkStart w:id="76479" w:name="_ETM_Q136_462490"/>
      <w:bookmarkEnd w:id="76478"/>
      <w:bookmarkEnd w:id="76479"/>
      <w:r>
        <w:rPr>
          <w:rFonts w:hint="cs"/>
          <w:rtl/>
        </w:rPr>
        <w:t xml:space="preserve">מיזוגינית מבלי </w:t>
      </w:r>
      <w:bookmarkStart w:id="76480" w:name="_ETM_Q136_463000"/>
      <w:bookmarkEnd w:id="76480"/>
      <w:r>
        <w:rPr>
          <w:rFonts w:hint="cs"/>
          <w:rtl/>
        </w:rPr>
        <w:t xml:space="preserve">שאף </w:t>
      </w:r>
      <w:bookmarkStart w:id="76481" w:name="_ETM_Q136_463420"/>
      <w:bookmarkEnd w:id="76481"/>
      <w:r>
        <w:rPr>
          <w:rFonts w:hint="cs"/>
          <w:rtl/>
        </w:rPr>
        <w:t xml:space="preserve">שופט </w:t>
      </w:r>
      <w:bookmarkStart w:id="76482" w:name="_ETM_Q136_463990"/>
      <w:bookmarkEnd w:id="76482"/>
      <w:r>
        <w:rPr>
          <w:rFonts w:hint="cs"/>
          <w:rtl/>
        </w:rPr>
        <w:t xml:space="preserve">יגיד </w:t>
      </w:r>
      <w:bookmarkStart w:id="76483" w:name="_ETM_Q136_464470"/>
      <w:bookmarkEnd w:id="76483"/>
      <w:r>
        <w:rPr>
          <w:rFonts w:hint="cs"/>
          <w:rtl/>
        </w:rPr>
        <w:t xml:space="preserve">להם </w:t>
      </w:r>
      <w:bookmarkStart w:id="76484" w:name="_ETM_Q136_465100"/>
      <w:bookmarkEnd w:id="76484"/>
      <w:r w:rsidR="001251AE">
        <w:rPr>
          <w:rFonts w:hint="cs"/>
          <w:rtl/>
        </w:rPr>
        <w:t>"</w:t>
      </w:r>
      <w:r>
        <w:rPr>
          <w:rFonts w:hint="cs"/>
          <w:rtl/>
        </w:rPr>
        <w:t xml:space="preserve">נו </w:t>
      </w:r>
      <w:bookmarkStart w:id="76485" w:name="_ETM_Q136_465400"/>
      <w:bookmarkEnd w:id="76485"/>
      <w:r>
        <w:rPr>
          <w:rFonts w:hint="cs"/>
          <w:rtl/>
        </w:rPr>
        <w:t xml:space="preserve">נו </w:t>
      </w:r>
      <w:bookmarkStart w:id="76486" w:name="_ETM_Q136_465670"/>
      <w:bookmarkEnd w:id="76486"/>
      <w:r>
        <w:rPr>
          <w:rFonts w:hint="cs"/>
          <w:rtl/>
        </w:rPr>
        <w:t>נו</w:t>
      </w:r>
      <w:bookmarkStart w:id="76487" w:name="_ETM_Q136_466889"/>
      <w:bookmarkEnd w:id="76487"/>
      <w:r w:rsidR="001251AE">
        <w:rPr>
          <w:rFonts w:hint="cs"/>
          <w:rtl/>
        </w:rPr>
        <w:t>"</w:t>
      </w:r>
      <w:r>
        <w:rPr>
          <w:rFonts w:hint="cs"/>
          <w:rtl/>
        </w:rPr>
        <w:t>. אבל</w:t>
      </w:r>
      <w:bookmarkStart w:id="76488" w:name="_ETM_Q136_468680"/>
      <w:bookmarkEnd w:id="76488"/>
      <w:r>
        <w:rPr>
          <w:rFonts w:hint="cs"/>
          <w:rtl/>
        </w:rPr>
        <w:t xml:space="preserve"> מה </w:t>
      </w:r>
      <w:bookmarkStart w:id="76489" w:name="_ETM_Q136_468919"/>
      <w:bookmarkEnd w:id="76489"/>
      <w:r>
        <w:rPr>
          <w:rFonts w:hint="cs"/>
          <w:rtl/>
        </w:rPr>
        <w:t xml:space="preserve">שמדאיג </w:t>
      </w:r>
      <w:bookmarkStart w:id="76490" w:name="_ETM_Q136_469699"/>
      <w:bookmarkEnd w:id="76490"/>
      <w:r>
        <w:rPr>
          <w:rFonts w:hint="cs"/>
          <w:rtl/>
        </w:rPr>
        <w:t xml:space="preserve">אתכם </w:t>
      </w:r>
      <w:bookmarkStart w:id="76491" w:name="_ETM_Q136_470849"/>
      <w:bookmarkEnd w:id="76491"/>
      <w:r>
        <w:rPr>
          <w:rFonts w:hint="cs"/>
          <w:rtl/>
        </w:rPr>
        <w:t xml:space="preserve">יותר </w:t>
      </w:r>
      <w:bookmarkStart w:id="76492" w:name="_ETM_Q136_467639"/>
      <w:bookmarkEnd w:id="76492"/>
      <w:r>
        <w:rPr>
          <w:rFonts w:hint="cs"/>
          <w:rtl/>
        </w:rPr>
        <w:t xml:space="preserve">מכול הוא שהגיעה </w:t>
      </w:r>
      <w:bookmarkStart w:id="76493" w:name="_ETM_Q136_471599"/>
      <w:bookmarkEnd w:id="76493"/>
      <w:r>
        <w:rPr>
          <w:rFonts w:hint="cs"/>
          <w:rtl/>
        </w:rPr>
        <w:t xml:space="preserve">העת </w:t>
      </w:r>
      <w:bookmarkStart w:id="76494" w:name="_ETM_Q136_471900"/>
      <w:bookmarkEnd w:id="76494"/>
      <w:r>
        <w:rPr>
          <w:rFonts w:hint="cs"/>
          <w:rtl/>
        </w:rPr>
        <w:t xml:space="preserve">להסיט </w:t>
      </w:r>
      <w:bookmarkStart w:id="76495" w:name="_ETM_Q136_472740"/>
      <w:bookmarkEnd w:id="76495"/>
      <w:r>
        <w:rPr>
          <w:rFonts w:hint="cs"/>
          <w:rtl/>
        </w:rPr>
        <w:t xml:space="preserve">את </w:t>
      </w:r>
      <w:bookmarkStart w:id="76496" w:name="_ETM_Q136_472979"/>
      <w:bookmarkEnd w:id="76496"/>
      <w:r>
        <w:rPr>
          <w:rFonts w:hint="cs"/>
          <w:rtl/>
        </w:rPr>
        <w:t xml:space="preserve">המבט </w:t>
      </w:r>
      <w:bookmarkStart w:id="76497" w:name="_ETM_Q136_474050"/>
      <w:bookmarkEnd w:id="76497"/>
      <w:r>
        <w:rPr>
          <w:rFonts w:hint="cs"/>
          <w:rtl/>
        </w:rPr>
        <w:t xml:space="preserve">רגע </w:t>
      </w:r>
      <w:bookmarkStart w:id="76498" w:name="_ETM_Q136_474680"/>
      <w:bookmarkEnd w:id="76498"/>
      <w:r>
        <w:rPr>
          <w:rFonts w:hint="cs"/>
          <w:rtl/>
        </w:rPr>
        <w:t xml:space="preserve">לקורבנות </w:t>
      </w:r>
      <w:bookmarkStart w:id="76499" w:name="_ETM_Q136_475520"/>
      <w:bookmarkEnd w:id="76499"/>
      <w:r>
        <w:rPr>
          <w:rFonts w:hint="cs"/>
          <w:rtl/>
        </w:rPr>
        <w:t xml:space="preserve">העיקריים </w:t>
      </w:r>
      <w:bookmarkStart w:id="76500" w:name="_ETM_Q136_476629"/>
      <w:bookmarkEnd w:id="76500"/>
      <w:r>
        <w:rPr>
          <w:rFonts w:hint="cs"/>
          <w:rtl/>
        </w:rPr>
        <w:t xml:space="preserve">של </w:t>
      </w:r>
      <w:bookmarkStart w:id="76501" w:name="_ETM_Q136_479969"/>
      <w:bookmarkEnd w:id="76501"/>
      <w:r>
        <w:rPr>
          <w:rFonts w:hint="cs"/>
          <w:rtl/>
        </w:rPr>
        <w:t xml:space="preserve">כל </w:t>
      </w:r>
      <w:bookmarkStart w:id="76502" w:name="_ETM_Q136_480389"/>
      <w:bookmarkEnd w:id="76502"/>
      <w:r>
        <w:rPr>
          <w:rFonts w:hint="cs"/>
          <w:rtl/>
        </w:rPr>
        <w:t>המהלכים</w:t>
      </w:r>
      <w:bookmarkStart w:id="76503" w:name="_ETM_Q136_480179"/>
      <w:bookmarkStart w:id="76504" w:name="_ETM_Q136_480570"/>
      <w:bookmarkStart w:id="76505" w:name="_ETM_Q136_480989"/>
      <w:bookmarkEnd w:id="76503"/>
      <w:bookmarkEnd w:id="76504"/>
      <w:bookmarkEnd w:id="76505"/>
      <w:r>
        <w:rPr>
          <w:rFonts w:hint="cs"/>
          <w:rtl/>
        </w:rPr>
        <w:t xml:space="preserve"> </w:t>
      </w:r>
      <w:bookmarkStart w:id="76506" w:name="_ETM_Q136_481829"/>
      <w:bookmarkEnd w:id="76506"/>
      <w:r>
        <w:rPr>
          <w:rFonts w:hint="cs"/>
          <w:rtl/>
        </w:rPr>
        <w:t xml:space="preserve">ההרסניים </w:t>
      </w:r>
      <w:bookmarkStart w:id="76507" w:name="_ETM_Q136_482639"/>
      <w:bookmarkEnd w:id="76507"/>
      <w:r>
        <w:rPr>
          <w:rFonts w:hint="cs"/>
          <w:rtl/>
        </w:rPr>
        <w:t xml:space="preserve">הללו בעבר, </w:t>
      </w:r>
      <w:bookmarkStart w:id="76508" w:name="_ETM_Q136_477439"/>
      <w:bookmarkStart w:id="76509" w:name="_ETM_Q136_477560"/>
      <w:bookmarkEnd w:id="76508"/>
      <w:bookmarkEnd w:id="76509"/>
      <w:r>
        <w:rPr>
          <w:rFonts w:hint="cs"/>
          <w:rtl/>
        </w:rPr>
        <w:t xml:space="preserve">בהווה </w:t>
      </w:r>
      <w:bookmarkStart w:id="76510" w:name="_ETM_Q136_478370"/>
      <w:bookmarkEnd w:id="76510"/>
      <w:r>
        <w:rPr>
          <w:rFonts w:hint="cs"/>
          <w:rtl/>
        </w:rPr>
        <w:t xml:space="preserve">ובעתיד, </w:t>
      </w:r>
      <w:bookmarkStart w:id="76511" w:name="_ETM_Q136_483810"/>
      <w:bookmarkEnd w:id="76511"/>
      <w:r>
        <w:rPr>
          <w:rFonts w:hint="cs"/>
          <w:rtl/>
        </w:rPr>
        <w:t xml:space="preserve">אלה </w:t>
      </w:r>
      <w:bookmarkStart w:id="76512" w:name="_ETM_Q136_484229"/>
      <w:bookmarkEnd w:id="76512"/>
      <w:r>
        <w:rPr>
          <w:rFonts w:hint="cs"/>
          <w:rtl/>
        </w:rPr>
        <w:t xml:space="preserve">שהדמוקרטיה </w:t>
      </w:r>
      <w:bookmarkStart w:id="76513" w:name="_ETM_Q136_485309"/>
      <w:bookmarkEnd w:id="76513"/>
      <w:r>
        <w:rPr>
          <w:rFonts w:hint="cs"/>
          <w:rtl/>
        </w:rPr>
        <w:t xml:space="preserve">לא </w:t>
      </w:r>
      <w:bookmarkStart w:id="76514" w:name="_ETM_Q136_485549"/>
      <w:bookmarkEnd w:id="76514"/>
      <w:r>
        <w:rPr>
          <w:rFonts w:hint="cs"/>
          <w:rtl/>
        </w:rPr>
        <w:t xml:space="preserve">הגנה </w:t>
      </w:r>
      <w:bookmarkStart w:id="76515" w:name="_ETM_Q136_485970"/>
      <w:bookmarkEnd w:id="76515"/>
      <w:r>
        <w:rPr>
          <w:rFonts w:hint="cs"/>
          <w:rtl/>
        </w:rPr>
        <w:t xml:space="preserve">עליהם </w:t>
      </w:r>
      <w:bookmarkStart w:id="76516" w:name="_ETM_Q136_486899"/>
      <w:bookmarkEnd w:id="76516"/>
      <w:r>
        <w:rPr>
          <w:rFonts w:hint="cs"/>
          <w:rtl/>
        </w:rPr>
        <w:t xml:space="preserve">גם </w:t>
      </w:r>
      <w:bookmarkStart w:id="76517" w:name="_ETM_Q136_487799"/>
      <w:bookmarkEnd w:id="76517"/>
      <w:r>
        <w:rPr>
          <w:rFonts w:hint="cs"/>
          <w:rtl/>
        </w:rPr>
        <w:t>כשל</w:t>
      </w:r>
      <w:bookmarkStart w:id="76518" w:name="_ETM_Q136_491389"/>
      <w:bookmarkStart w:id="76519" w:name="_ETM_Q136_491599"/>
      <w:bookmarkStart w:id="76520" w:name="_ETM_Q136_491750"/>
      <w:bookmarkEnd w:id="76518"/>
      <w:bookmarkEnd w:id="76519"/>
      <w:bookmarkEnd w:id="76520"/>
      <w:r>
        <w:rPr>
          <w:rFonts w:hint="cs"/>
          <w:rtl/>
        </w:rPr>
        <w:t xml:space="preserve">שיטתכם </w:t>
      </w:r>
      <w:bookmarkStart w:id="76521" w:name="_ETM_Q136_492889"/>
      <w:bookmarkEnd w:id="76521"/>
      <w:r>
        <w:rPr>
          <w:rFonts w:hint="cs"/>
          <w:rtl/>
        </w:rPr>
        <w:t xml:space="preserve">היא </w:t>
      </w:r>
      <w:bookmarkStart w:id="76522" w:name="_ETM_Q136_493160"/>
      <w:bookmarkEnd w:id="76522"/>
      <w:r>
        <w:rPr>
          <w:rFonts w:hint="cs"/>
          <w:rtl/>
        </w:rPr>
        <w:t xml:space="preserve">הייתה </w:t>
      </w:r>
      <w:bookmarkStart w:id="76523" w:name="_ETM_Q136_493639"/>
      <w:bookmarkEnd w:id="76523"/>
      <w:r>
        <w:rPr>
          <w:rFonts w:hint="cs"/>
          <w:rtl/>
        </w:rPr>
        <w:t xml:space="preserve">בשיא </w:t>
      </w:r>
      <w:bookmarkStart w:id="76524" w:name="_ETM_Q136_494059"/>
      <w:bookmarkEnd w:id="76524"/>
      <w:r>
        <w:rPr>
          <w:rFonts w:hint="cs"/>
          <w:rtl/>
        </w:rPr>
        <w:t>כוחה.</w:t>
      </w:r>
      <w:bookmarkStart w:id="76525" w:name="_ETM_Q136_496190"/>
      <w:bookmarkStart w:id="76526" w:name="_ETM_Q136_496700"/>
      <w:bookmarkEnd w:id="76525"/>
      <w:bookmarkEnd w:id="76526"/>
      <w:r>
        <w:rPr>
          <w:rFonts w:hint="cs"/>
          <w:rtl/>
        </w:rPr>
        <w:t xml:space="preserve"> בשיא כוחה </w:t>
      </w:r>
      <w:bookmarkStart w:id="76527" w:name="_ETM_Q136_498110"/>
      <w:bookmarkEnd w:id="76527"/>
      <w:r>
        <w:rPr>
          <w:rFonts w:hint="cs"/>
          <w:rtl/>
        </w:rPr>
        <w:t xml:space="preserve">אנחנו </w:t>
      </w:r>
      <w:bookmarkStart w:id="76528" w:name="_ETM_Q136_498680"/>
      <w:bookmarkEnd w:id="76528"/>
      <w:r>
        <w:rPr>
          <w:rFonts w:hint="cs"/>
          <w:rtl/>
        </w:rPr>
        <w:t xml:space="preserve">נהנינו </w:t>
      </w:r>
      <w:bookmarkStart w:id="76529" w:name="_ETM_Q136_499279"/>
      <w:bookmarkEnd w:id="76529"/>
      <w:r>
        <w:rPr>
          <w:rFonts w:hint="cs"/>
          <w:rtl/>
        </w:rPr>
        <w:t xml:space="preserve">משולי </w:t>
      </w:r>
      <w:bookmarkStart w:id="76530" w:name="_ETM_Q136_500000"/>
      <w:bookmarkEnd w:id="76530"/>
      <w:r>
        <w:rPr>
          <w:rFonts w:hint="cs"/>
          <w:rtl/>
        </w:rPr>
        <w:t xml:space="preserve">הדמוקרטיה </w:t>
      </w:r>
      <w:bookmarkStart w:id="76531" w:name="_ETM_Q136_501110"/>
      <w:bookmarkEnd w:id="76531"/>
      <w:r>
        <w:rPr>
          <w:rFonts w:hint="cs"/>
          <w:rtl/>
        </w:rPr>
        <w:t>האתנית</w:t>
      </w:r>
      <w:bookmarkStart w:id="76532" w:name="_ETM_Q136_502370"/>
      <w:bookmarkEnd w:id="76532"/>
      <w:r>
        <w:rPr>
          <w:rFonts w:hint="cs"/>
          <w:rtl/>
        </w:rPr>
        <w:t>, ו</w:t>
      </w:r>
      <w:bookmarkStart w:id="76533" w:name="_ETM_Q136_502490"/>
      <w:bookmarkEnd w:id="76533"/>
      <w:r>
        <w:rPr>
          <w:rFonts w:hint="cs"/>
          <w:rtl/>
        </w:rPr>
        <w:t xml:space="preserve">בשיא </w:t>
      </w:r>
      <w:bookmarkStart w:id="76534" w:name="_ETM_Q136_502970"/>
      <w:bookmarkEnd w:id="76534"/>
      <w:r>
        <w:rPr>
          <w:rFonts w:hint="cs"/>
          <w:rtl/>
        </w:rPr>
        <w:t xml:space="preserve">כוחה </w:t>
      </w:r>
      <w:bookmarkStart w:id="76535" w:name="_ETM_Q136_504170"/>
      <w:bookmarkEnd w:id="76535"/>
      <w:r>
        <w:rPr>
          <w:rFonts w:hint="cs"/>
          <w:rtl/>
        </w:rPr>
        <w:t xml:space="preserve">קיבלנו </w:t>
      </w:r>
      <w:bookmarkStart w:id="76536" w:name="_ETM_Q136_504890"/>
      <w:bookmarkEnd w:id="76536"/>
      <w:r>
        <w:rPr>
          <w:rFonts w:hint="cs"/>
          <w:rtl/>
        </w:rPr>
        <w:t xml:space="preserve">את </w:t>
      </w:r>
      <w:bookmarkStart w:id="76537" w:name="_ETM_Q136_505040"/>
      <w:bookmarkEnd w:id="76537"/>
      <w:r>
        <w:rPr>
          <w:rFonts w:hint="cs"/>
          <w:rtl/>
        </w:rPr>
        <w:t xml:space="preserve">הפתיתים </w:t>
      </w:r>
      <w:bookmarkStart w:id="76538" w:name="_ETM_Q136_505760"/>
      <w:bookmarkEnd w:id="76538"/>
      <w:r>
        <w:rPr>
          <w:rFonts w:hint="cs"/>
          <w:rtl/>
        </w:rPr>
        <w:t xml:space="preserve">שנופלים </w:t>
      </w:r>
      <w:bookmarkStart w:id="76539" w:name="_ETM_Q136_506480"/>
      <w:bookmarkEnd w:id="76539"/>
      <w:r>
        <w:rPr>
          <w:rFonts w:hint="cs"/>
          <w:rtl/>
        </w:rPr>
        <w:t xml:space="preserve">משולחן </w:t>
      </w:r>
      <w:bookmarkStart w:id="76540" w:name="_ETM_Q136_507560"/>
      <w:bookmarkEnd w:id="76540"/>
      <w:r>
        <w:rPr>
          <w:rFonts w:hint="cs"/>
          <w:rtl/>
        </w:rPr>
        <w:t xml:space="preserve">הדמוקרטיה </w:t>
      </w:r>
      <w:bookmarkStart w:id="76541" w:name="_ETM_Q136_508580"/>
      <w:bookmarkEnd w:id="76541"/>
      <w:r>
        <w:rPr>
          <w:rFonts w:hint="cs"/>
          <w:rtl/>
        </w:rPr>
        <w:t>היהודית.</w:t>
      </w:r>
    </w:p>
    <w:p w:rsidR="00BB59CD" w:rsidRDefault="00BB59CD" w:rsidP="00BB59CD">
      <w:pPr>
        <w:rPr>
          <w:rtl/>
        </w:rPr>
      </w:pPr>
    </w:p>
    <w:p w:rsidR="00BB59CD" w:rsidRDefault="00BB59CD" w:rsidP="001251AE">
      <w:pPr>
        <w:rPr>
          <w:rtl/>
        </w:rPr>
      </w:pPr>
      <w:r>
        <w:rPr>
          <w:rFonts w:hint="cs"/>
          <w:rtl/>
        </w:rPr>
        <w:t xml:space="preserve"> </w:t>
      </w:r>
      <w:bookmarkStart w:id="76542" w:name="_ETM_Q136_510159"/>
      <w:bookmarkEnd w:id="76542"/>
      <w:r>
        <w:rPr>
          <w:rFonts w:hint="cs"/>
          <w:rtl/>
        </w:rPr>
        <w:t xml:space="preserve">בימים </w:t>
      </w:r>
      <w:bookmarkStart w:id="76543" w:name="_ETM_Q136_510729"/>
      <w:bookmarkEnd w:id="76543"/>
      <w:r>
        <w:rPr>
          <w:rFonts w:hint="cs"/>
          <w:rtl/>
        </w:rPr>
        <w:t xml:space="preserve">האחרונים </w:t>
      </w:r>
      <w:bookmarkStart w:id="76544" w:name="_ETM_Q136_511390"/>
      <w:bookmarkEnd w:id="76544"/>
      <w:r>
        <w:rPr>
          <w:rFonts w:hint="cs"/>
          <w:rtl/>
        </w:rPr>
        <w:t xml:space="preserve">אני </w:t>
      </w:r>
      <w:bookmarkStart w:id="76545" w:name="_ETM_Q136_511599"/>
      <w:bookmarkEnd w:id="76545"/>
      <w:r>
        <w:rPr>
          <w:rFonts w:hint="cs"/>
          <w:rtl/>
        </w:rPr>
        <w:t xml:space="preserve">מסתכלת </w:t>
      </w:r>
      <w:bookmarkStart w:id="76546" w:name="_ETM_Q136_512289"/>
      <w:bookmarkEnd w:id="76546"/>
      <w:r>
        <w:rPr>
          <w:rFonts w:hint="cs"/>
          <w:rtl/>
        </w:rPr>
        <w:t xml:space="preserve">על </w:t>
      </w:r>
      <w:bookmarkStart w:id="76547" w:name="_ETM_Q136_512469"/>
      <w:bookmarkEnd w:id="76547"/>
      <w:r>
        <w:rPr>
          <w:rFonts w:hint="cs"/>
          <w:rtl/>
        </w:rPr>
        <w:t xml:space="preserve">מה </w:t>
      </w:r>
      <w:bookmarkStart w:id="76548" w:name="_ETM_Q136_512649"/>
      <w:bookmarkEnd w:id="76548"/>
      <w:r>
        <w:rPr>
          <w:rFonts w:hint="cs"/>
          <w:rtl/>
        </w:rPr>
        <w:t xml:space="preserve">שקורה </w:t>
      </w:r>
      <w:bookmarkStart w:id="76549" w:name="_ETM_Q136_513670"/>
      <w:bookmarkEnd w:id="76549"/>
      <w:r>
        <w:rPr>
          <w:rFonts w:hint="cs"/>
          <w:rtl/>
        </w:rPr>
        <w:t xml:space="preserve">וכן </w:t>
      </w:r>
      <w:bookmarkStart w:id="76550" w:name="_ETM_Q136_514269"/>
      <w:bookmarkEnd w:id="76550"/>
      <w:r>
        <w:rPr>
          <w:rFonts w:hint="cs"/>
          <w:rtl/>
        </w:rPr>
        <w:t>מרגישה</w:t>
      </w:r>
      <w:r w:rsidR="001251AE">
        <w:rPr>
          <w:rFonts w:hint="cs"/>
          <w:rtl/>
        </w:rPr>
        <w:t>,</w:t>
      </w:r>
      <w:r>
        <w:rPr>
          <w:rFonts w:hint="cs"/>
          <w:rtl/>
        </w:rPr>
        <w:t xml:space="preserve"> </w:t>
      </w:r>
      <w:bookmarkStart w:id="76551" w:name="_ETM_Q136_514870"/>
      <w:bookmarkEnd w:id="76551"/>
      <w:r>
        <w:rPr>
          <w:rFonts w:hint="cs"/>
          <w:rtl/>
        </w:rPr>
        <w:t xml:space="preserve">כמו </w:t>
      </w:r>
      <w:bookmarkStart w:id="76552" w:name="_ETM_Q136_515230"/>
      <w:bookmarkEnd w:id="76552"/>
      <w:r>
        <w:rPr>
          <w:rFonts w:hint="cs"/>
          <w:rtl/>
        </w:rPr>
        <w:t>כולנו</w:t>
      </w:r>
      <w:r w:rsidR="001251AE">
        <w:rPr>
          <w:rFonts w:hint="cs"/>
          <w:rtl/>
        </w:rPr>
        <w:t>,</w:t>
      </w:r>
      <w:r>
        <w:rPr>
          <w:rFonts w:hint="cs"/>
          <w:rtl/>
        </w:rPr>
        <w:t xml:space="preserve"> </w:t>
      </w:r>
      <w:bookmarkStart w:id="76553" w:name="_ETM_Q136_516250"/>
      <w:bookmarkEnd w:id="76553"/>
      <w:r>
        <w:rPr>
          <w:rFonts w:hint="cs"/>
          <w:rtl/>
        </w:rPr>
        <w:t xml:space="preserve">שאנו </w:t>
      </w:r>
      <w:bookmarkStart w:id="76554" w:name="_ETM_Q136_516850"/>
      <w:bookmarkEnd w:id="76554"/>
      <w:r>
        <w:rPr>
          <w:rFonts w:hint="cs"/>
          <w:rtl/>
        </w:rPr>
        <w:t xml:space="preserve">חיים </w:t>
      </w:r>
      <w:bookmarkStart w:id="76555" w:name="_ETM_Q136_517300"/>
      <w:bookmarkEnd w:id="76555"/>
      <w:r>
        <w:rPr>
          <w:rFonts w:hint="cs"/>
          <w:rtl/>
        </w:rPr>
        <w:t>ב</w:t>
      </w:r>
      <w:bookmarkStart w:id="76556" w:name="_ETM_Q136_518370"/>
      <w:bookmarkEnd w:id="76556"/>
      <w:r>
        <w:rPr>
          <w:rFonts w:hint="cs"/>
          <w:rtl/>
        </w:rPr>
        <w:t xml:space="preserve">ימים </w:t>
      </w:r>
      <w:bookmarkStart w:id="76557" w:name="_ETM_Q136_518940"/>
      <w:bookmarkEnd w:id="76557"/>
      <w:r>
        <w:rPr>
          <w:rFonts w:hint="cs"/>
          <w:rtl/>
        </w:rPr>
        <w:t>היסטוריים</w:t>
      </w:r>
      <w:bookmarkStart w:id="76558" w:name="_ETM_Q136_520399"/>
      <w:bookmarkEnd w:id="76558"/>
      <w:r>
        <w:rPr>
          <w:rFonts w:hint="cs"/>
          <w:rtl/>
        </w:rPr>
        <w:t xml:space="preserve">. </w:t>
      </w:r>
      <w:bookmarkStart w:id="76559" w:name="_ETM_Q136_520645"/>
      <w:bookmarkEnd w:id="76559"/>
      <w:r>
        <w:rPr>
          <w:rFonts w:hint="cs"/>
          <w:rtl/>
        </w:rPr>
        <w:t>המחאה</w:t>
      </w:r>
      <w:r w:rsidR="001251AE">
        <w:rPr>
          <w:rFonts w:hint="cs"/>
          <w:rtl/>
        </w:rPr>
        <w:t>, אני</w:t>
      </w:r>
      <w:r>
        <w:rPr>
          <w:rFonts w:hint="cs"/>
          <w:rtl/>
        </w:rPr>
        <w:t xml:space="preserve"> </w:t>
      </w:r>
      <w:bookmarkStart w:id="76560" w:name="_ETM_Q136_521269"/>
      <w:bookmarkEnd w:id="76560"/>
      <w:r>
        <w:rPr>
          <w:rFonts w:hint="cs"/>
          <w:rtl/>
        </w:rPr>
        <w:t xml:space="preserve">חייבת </w:t>
      </w:r>
      <w:bookmarkStart w:id="76561" w:name="_ETM_Q136_521839"/>
      <w:bookmarkEnd w:id="76561"/>
      <w:r>
        <w:rPr>
          <w:rFonts w:hint="cs"/>
          <w:rtl/>
        </w:rPr>
        <w:t xml:space="preserve">להגיד, </w:t>
      </w:r>
      <w:bookmarkStart w:id="76562" w:name="_ETM_Q136_523730"/>
      <w:bookmarkEnd w:id="76562"/>
      <w:r>
        <w:rPr>
          <w:rFonts w:hint="cs"/>
          <w:rtl/>
        </w:rPr>
        <w:t xml:space="preserve">היא </w:t>
      </w:r>
      <w:bookmarkStart w:id="76563" w:name="_ETM_Q136_523940"/>
      <w:bookmarkEnd w:id="76563"/>
      <w:r>
        <w:rPr>
          <w:rFonts w:hint="cs"/>
          <w:rtl/>
        </w:rPr>
        <w:t xml:space="preserve">עוצמתית, </w:t>
      </w:r>
      <w:bookmarkStart w:id="76564" w:name="_ETM_Q136_525500"/>
      <w:bookmarkEnd w:id="76564"/>
      <w:r>
        <w:rPr>
          <w:rFonts w:hint="cs"/>
          <w:rtl/>
        </w:rPr>
        <w:t xml:space="preserve">היא </w:t>
      </w:r>
      <w:bookmarkStart w:id="76565" w:name="_ETM_Q136_525680"/>
      <w:bookmarkEnd w:id="76565"/>
      <w:r>
        <w:rPr>
          <w:rFonts w:hint="cs"/>
          <w:rtl/>
        </w:rPr>
        <w:t xml:space="preserve">חזקה. </w:t>
      </w:r>
      <w:bookmarkStart w:id="76566" w:name="_ETM_Q136_527239"/>
      <w:bookmarkEnd w:id="76566"/>
      <w:r>
        <w:rPr>
          <w:rFonts w:hint="cs"/>
          <w:rtl/>
        </w:rPr>
        <w:t xml:space="preserve">אנשים </w:t>
      </w:r>
      <w:bookmarkStart w:id="76567" w:name="_ETM_Q136_527870"/>
      <w:bookmarkEnd w:id="76567"/>
      <w:r>
        <w:rPr>
          <w:rFonts w:hint="cs"/>
          <w:rtl/>
        </w:rPr>
        <w:t xml:space="preserve">נלחמים </w:t>
      </w:r>
      <w:bookmarkStart w:id="76568" w:name="_ETM_Q136_528710"/>
      <w:bookmarkEnd w:id="76568"/>
      <w:r>
        <w:rPr>
          <w:rFonts w:hint="cs"/>
          <w:rtl/>
        </w:rPr>
        <w:t xml:space="preserve">על </w:t>
      </w:r>
      <w:bookmarkStart w:id="76569" w:name="_ETM_Q136_528920"/>
      <w:bookmarkEnd w:id="76569"/>
      <w:r>
        <w:rPr>
          <w:rFonts w:hint="cs"/>
          <w:rtl/>
        </w:rPr>
        <w:t xml:space="preserve">מה </w:t>
      </w:r>
      <w:bookmarkStart w:id="76570" w:name="_ETM_Q136_529190"/>
      <w:bookmarkEnd w:id="76570"/>
      <w:r>
        <w:rPr>
          <w:rFonts w:hint="cs"/>
          <w:rtl/>
        </w:rPr>
        <w:t xml:space="preserve">שהם </w:t>
      </w:r>
      <w:bookmarkStart w:id="76571" w:name="_ETM_Q136_529820"/>
      <w:bookmarkEnd w:id="76571"/>
      <w:r>
        <w:rPr>
          <w:rFonts w:hint="cs"/>
          <w:rtl/>
        </w:rPr>
        <w:t xml:space="preserve">מאמינים </w:t>
      </w:r>
      <w:bookmarkStart w:id="76572" w:name="_ETM_Q136_530449"/>
      <w:bookmarkEnd w:id="76572"/>
      <w:r>
        <w:rPr>
          <w:rFonts w:hint="cs"/>
          <w:rtl/>
        </w:rPr>
        <w:t>בו</w:t>
      </w:r>
      <w:r w:rsidR="001251AE">
        <w:rPr>
          <w:rFonts w:hint="cs"/>
          <w:rtl/>
        </w:rPr>
        <w:t>,</w:t>
      </w:r>
      <w:r>
        <w:rPr>
          <w:rFonts w:hint="cs"/>
          <w:rtl/>
        </w:rPr>
        <w:t xml:space="preserve"> </w:t>
      </w:r>
      <w:bookmarkStart w:id="76573" w:name="_ETM_Q136_531629"/>
      <w:bookmarkEnd w:id="76573"/>
      <w:r>
        <w:rPr>
          <w:rFonts w:hint="cs"/>
          <w:rtl/>
        </w:rPr>
        <w:t>ו</w:t>
      </w:r>
      <w:bookmarkStart w:id="76574" w:name="_ETM_Q136_531899"/>
      <w:bookmarkEnd w:id="76574"/>
      <w:r>
        <w:rPr>
          <w:rFonts w:hint="cs"/>
          <w:rtl/>
        </w:rPr>
        <w:t xml:space="preserve">יותר </w:t>
      </w:r>
      <w:bookmarkStart w:id="76575" w:name="_ETM_Q136_532379"/>
      <w:bookmarkEnd w:id="76575"/>
      <w:r>
        <w:rPr>
          <w:rFonts w:hint="cs"/>
          <w:rtl/>
        </w:rPr>
        <w:t xml:space="preserve">מכולם </w:t>
      </w:r>
      <w:bookmarkStart w:id="76576" w:name="_ETM_Q136_533839"/>
      <w:bookmarkEnd w:id="76576"/>
      <w:r>
        <w:rPr>
          <w:rFonts w:hint="cs"/>
          <w:rtl/>
        </w:rPr>
        <w:t xml:space="preserve">הגוש </w:t>
      </w:r>
      <w:bookmarkStart w:id="76577" w:name="_ETM_Q136_534470"/>
      <w:bookmarkEnd w:id="76577"/>
      <w:r>
        <w:rPr>
          <w:rFonts w:hint="cs"/>
          <w:rtl/>
        </w:rPr>
        <w:t xml:space="preserve">נגד </w:t>
      </w:r>
      <w:bookmarkStart w:id="76578" w:name="_ETM_Q136_534890"/>
      <w:bookmarkEnd w:id="76578"/>
      <w:r>
        <w:rPr>
          <w:rFonts w:hint="cs"/>
          <w:rtl/>
        </w:rPr>
        <w:t xml:space="preserve">הכיבוש, </w:t>
      </w:r>
      <w:bookmarkStart w:id="76579" w:name="_ETM_Q136_536210"/>
      <w:bookmarkEnd w:id="76579"/>
      <w:r>
        <w:rPr>
          <w:rFonts w:hint="cs"/>
          <w:rtl/>
        </w:rPr>
        <w:t xml:space="preserve">האנשים </w:t>
      </w:r>
      <w:bookmarkStart w:id="76580" w:name="_ETM_Q136_537140"/>
      <w:bookmarkEnd w:id="76580"/>
      <w:r>
        <w:rPr>
          <w:rFonts w:hint="cs"/>
          <w:rtl/>
        </w:rPr>
        <w:t xml:space="preserve">והנשים </w:t>
      </w:r>
      <w:bookmarkStart w:id="76581" w:name="_ETM_Q136_538070"/>
      <w:bookmarkEnd w:id="76581"/>
      <w:r>
        <w:rPr>
          <w:rFonts w:hint="cs"/>
          <w:rtl/>
        </w:rPr>
        <w:t xml:space="preserve">האמיצים </w:t>
      </w:r>
      <w:bookmarkStart w:id="76582" w:name="_ETM_Q136_539550"/>
      <w:bookmarkEnd w:id="76582"/>
      <w:r>
        <w:rPr>
          <w:rFonts w:hint="cs"/>
          <w:rtl/>
        </w:rPr>
        <w:t xml:space="preserve">שהבינו </w:t>
      </w:r>
      <w:bookmarkStart w:id="76583" w:name="_ETM_Q136_540660"/>
      <w:bookmarkEnd w:id="76583"/>
      <w:r>
        <w:rPr>
          <w:rFonts w:hint="cs"/>
          <w:rtl/>
        </w:rPr>
        <w:t xml:space="preserve">שהמלך </w:t>
      </w:r>
      <w:bookmarkStart w:id="76584" w:name="_ETM_Q136_541680"/>
      <w:bookmarkEnd w:id="76584"/>
      <w:r>
        <w:rPr>
          <w:rFonts w:hint="cs"/>
          <w:rtl/>
        </w:rPr>
        <w:t xml:space="preserve">עירום </w:t>
      </w:r>
      <w:bookmarkStart w:id="76585" w:name="_ETM_Q136_542740"/>
      <w:bookmarkEnd w:id="76585"/>
      <w:r>
        <w:rPr>
          <w:rFonts w:hint="cs"/>
          <w:rtl/>
        </w:rPr>
        <w:t xml:space="preserve">וצעקו </w:t>
      </w:r>
      <w:bookmarkStart w:id="76586" w:name="_ETM_Q136_543910"/>
      <w:bookmarkEnd w:id="76586"/>
      <w:r>
        <w:rPr>
          <w:rFonts w:hint="cs"/>
          <w:rtl/>
        </w:rPr>
        <w:t>את זה</w:t>
      </w:r>
      <w:bookmarkStart w:id="76587" w:name="_ETM_Q136_544180"/>
      <w:bookmarkEnd w:id="76587"/>
      <w:r>
        <w:rPr>
          <w:rFonts w:hint="cs"/>
          <w:rtl/>
        </w:rPr>
        <w:t xml:space="preserve"> לפני </w:t>
      </w:r>
      <w:bookmarkStart w:id="76588" w:name="_ETM_Q136_545020"/>
      <w:bookmarkEnd w:id="76588"/>
      <w:r>
        <w:rPr>
          <w:rFonts w:hint="cs"/>
          <w:rtl/>
        </w:rPr>
        <w:t xml:space="preserve">כולם, </w:t>
      </w:r>
      <w:bookmarkStart w:id="76589" w:name="_ETM_Q136_547029"/>
      <w:bookmarkEnd w:id="76589"/>
      <w:r>
        <w:rPr>
          <w:rFonts w:hint="cs"/>
          <w:rtl/>
        </w:rPr>
        <w:t>ו</w:t>
      </w:r>
      <w:bookmarkStart w:id="76590" w:name="_ETM_Q136_547479"/>
      <w:bookmarkEnd w:id="76590"/>
      <w:r w:rsidR="001251AE">
        <w:rPr>
          <w:rFonts w:hint="cs"/>
          <w:rtl/>
        </w:rPr>
        <w:t xml:space="preserve">גם </w:t>
      </w:r>
      <w:r>
        <w:rPr>
          <w:rFonts w:hint="cs"/>
          <w:rtl/>
        </w:rPr>
        <w:t xml:space="preserve">הבינו </w:t>
      </w:r>
      <w:bookmarkStart w:id="76591" w:name="_ETM_Q136_547990"/>
      <w:bookmarkStart w:id="76592" w:name="_ETM_Q136_548740"/>
      <w:bookmarkEnd w:id="76591"/>
      <w:bookmarkEnd w:id="76592"/>
      <w:r>
        <w:rPr>
          <w:rFonts w:hint="cs"/>
          <w:rtl/>
        </w:rPr>
        <w:t>ש</w:t>
      </w:r>
      <w:bookmarkStart w:id="76593" w:name="_ETM_Q136_549159"/>
      <w:bookmarkStart w:id="76594" w:name="_ETM_Q136_549339"/>
      <w:bookmarkEnd w:id="76593"/>
      <w:bookmarkEnd w:id="76594"/>
      <w:r>
        <w:rPr>
          <w:rFonts w:hint="cs"/>
          <w:rtl/>
        </w:rPr>
        <w:t xml:space="preserve">הממלכה תהיה רקובה </w:t>
      </w:r>
      <w:bookmarkStart w:id="76595" w:name="_ETM_Q136_549880"/>
      <w:bookmarkStart w:id="76596" w:name="_ETM_Q136_550420"/>
      <w:bookmarkStart w:id="76597" w:name="_ETM_Q136_551510"/>
      <w:bookmarkEnd w:id="76595"/>
      <w:bookmarkEnd w:id="76596"/>
      <w:bookmarkEnd w:id="76597"/>
      <w:r>
        <w:rPr>
          <w:rFonts w:hint="cs"/>
          <w:rtl/>
        </w:rPr>
        <w:t xml:space="preserve">כל </w:t>
      </w:r>
      <w:bookmarkStart w:id="76598" w:name="_ETM_Q136_551810"/>
      <w:bookmarkEnd w:id="76598"/>
      <w:r>
        <w:rPr>
          <w:rFonts w:hint="cs"/>
          <w:rtl/>
        </w:rPr>
        <w:t xml:space="preserve">עוד </w:t>
      </w:r>
      <w:bookmarkStart w:id="76599" w:name="_ETM_Q136_552170"/>
      <w:bookmarkEnd w:id="76599"/>
      <w:r>
        <w:rPr>
          <w:rFonts w:hint="cs"/>
          <w:rtl/>
        </w:rPr>
        <w:t xml:space="preserve">הכיבוש </w:t>
      </w:r>
      <w:bookmarkStart w:id="76600" w:name="_ETM_Q136_552830"/>
      <w:bookmarkEnd w:id="76600"/>
      <w:r>
        <w:rPr>
          <w:rFonts w:hint="cs"/>
          <w:rtl/>
        </w:rPr>
        <w:t>ימשיך.</w:t>
      </w:r>
      <w:bookmarkStart w:id="76601" w:name="_ETM_Q136_554179"/>
      <w:bookmarkEnd w:id="76601"/>
    </w:p>
    <w:p w:rsidR="00BB59CD" w:rsidRDefault="00BB59CD" w:rsidP="00BB59CD">
      <w:pPr>
        <w:rPr>
          <w:rtl/>
        </w:rPr>
      </w:pPr>
      <w:bookmarkStart w:id="76602" w:name="_ETM_Q136_553650"/>
      <w:bookmarkStart w:id="76603" w:name="_ETM_Q136_553721"/>
      <w:bookmarkStart w:id="76604" w:name="_ETM_Q136_553789"/>
      <w:bookmarkEnd w:id="76602"/>
      <w:bookmarkEnd w:id="76603"/>
      <w:bookmarkEnd w:id="76604"/>
    </w:p>
    <w:p w:rsidR="00BB59CD" w:rsidRDefault="00BB59CD" w:rsidP="001251AE">
      <w:pPr>
        <w:rPr>
          <w:rtl/>
        </w:rPr>
      </w:pPr>
      <w:bookmarkStart w:id="76605" w:name="_ETM_Q136_553841"/>
      <w:bookmarkEnd w:id="76605"/>
      <w:r>
        <w:rPr>
          <w:rFonts w:hint="cs"/>
          <w:rtl/>
        </w:rPr>
        <w:t xml:space="preserve">הממשלה </w:t>
      </w:r>
      <w:bookmarkStart w:id="76606" w:name="_ETM_Q136_555140"/>
      <w:bookmarkEnd w:id="76606"/>
      <w:r>
        <w:rPr>
          <w:rFonts w:hint="cs"/>
          <w:rtl/>
        </w:rPr>
        <w:t xml:space="preserve">הזו, </w:t>
      </w:r>
      <w:bookmarkStart w:id="76607" w:name="_ETM_Q136_555589"/>
      <w:bookmarkEnd w:id="76607"/>
      <w:r>
        <w:rPr>
          <w:rFonts w:hint="cs"/>
          <w:rtl/>
        </w:rPr>
        <w:t xml:space="preserve">ממשלת </w:t>
      </w:r>
      <w:bookmarkStart w:id="76608" w:name="_ETM_Q136_556339"/>
      <w:bookmarkStart w:id="76609" w:name="_ETM_Q136_557000"/>
      <w:bookmarkEnd w:id="76608"/>
      <w:bookmarkEnd w:id="76609"/>
      <w:r>
        <w:rPr>
          <w:rFonts w:hint="cs"/>
          <w:rtl/>
        </w:rPr>
        <w:t xml:space="preserve">ימין </w:t>
      </w:r>
      <w:bookmarkStart w:id="76610" w:name="_ETM_Q136_557509"/>
      <w:bookmarkEnd w:id="76610"/>
      <w:r>
        <w:rPr>
          <w:rFonts w:hint="cs"/>
          <w:rtl/>
        </w:rPr>
        <w:t xml:space="preserve">מלא </w:t>
      </w:r>
      <w:bookmarkStart w:id="76611" w:name="_ETM_Q136_557899"/>
      <w:bookmarkEnd w:id="76611"/>
      <w:r>
        <w:rPr>
          <w:rFonts w:hint="cs"/>
          <w:rtl/>
        </w:rPr>
        <w:t xml:space="preserve">מלא, </w:t>
      </w:r>
      <w:bookmarkStart w:id="76612" w:name="_ETM_Q136_559000"/>
      <w:bookmarkEnd w:id="76612"/>
      <w:r>
        <w:rPr>
          <w:rFonts w:hint="cs"/>
          <w:rtl/>
        </w:rPr>
        <w:t xml:space="preserve">היא </w:t>
      </w:r>
      <w:bookmarkStart w:id="76613" w:name="_ETM_Q136_559360"/>
      <w:bookmarkEnd w:id="76613"/>
      <w:r>
        <w:rPr>
          <w:rFonts w:hint="cs"/>
          <w:rtl/>
        </w:rPr>
        <w:t xml:space="preserve">קריקטורה </w:t>
      </w:r>
      <w:bookmarkStart w:id="76614" w:name="_ETM_Q136_560380"/>
      <w:bookmarkEnd w:id="76614"/>
      <w:r>
        <w:rPr>
          <w:rFonts w:hint="cs"/>
          <w:rtl/>
        </w:rPr>
        <w:t xml:space="preserve">שמקצינה </w:t>
      </w:r>
      <w:bookmarkStart w:id="76615" w:name="_ETM_Q136_563180"/>
      <w:bookmarkEnd w:id="76615"/>
      <w:r>
        <w:rPr>
          <w:rFonts w:hint="cs"/>
          <w:rtl/>
        </w:rPr>
        <w:t xml:space="preserve">הרבה </w:t>
      </w:r>
      <w:bookmarkStart w:id="76616" w:name="_ETM_Q136_563630"/>
      <w:bookmarkEnd w:id="76616"/>
      <w:r>
        <w:rPr>
          <w:rFonts w:hint="cs"/>
          <w:rtl/>
        </w:rPr>
        <w:t xml:space="preserve">מהדברים </w:t>
      </w:r>
      <w:bookmarkStart w:id="76617" w:name="_ETM_Q136_564290"/>
      <w:bookmarkEnd w:id="76617"/>
      <w:r>
        <w:rPr>
          <w:rFonts w:hint="cs"/>
          <w:rtl/>
        </w:rPr>
        <w:t xml:space="preserve">הקיימים. </w:t>
      </w:r>
      <w:bookmarkStart w:id="76618" w:name="_ETM_Q136_565429"/>
      <w:bookmarkEnd w:id="76618"/>
      <w:r>
        <w:rPr>
          <w:rFonts w:hint="cs"/>
          <w:rtl/>
        </w:rPr>
        <w:t xml:space="preserve">יש </w:t>
      </w:r>
      <w:bookmarkStart w:id="76619" w:name="_ETM_Q136_566149"/>
      <w:bookmarkEnd w:id="76619"/>
      <w:r>
        <w:rPr>
          <w:rFonts w:hint="cs"/>
          <w:rtl/>
        </w:rPr>
        <w:t xml:space="preserve">לנו </w:t>
      </w:r>
      <w:bookmarkStart w:id="76620" w:name="_ETM_Q136_567079"/>
      <w:bookmarkEnd w:id="76620"/>
      <w:r>
        <w:rPr>
          <w:rFonts w:hint="cs"/>
          <w:rtl/>
        </w:rPr>
        <w:t xml:space="preserve">הזדמנות </w:t>
      </w:r>
      <w:bookmarkStart w:id="76621" w:name="_ETM_Q136_568100"/>
      <w:bookmarkEnd w:id="76621"/>
      <w:r>
        <w:rPr>
          <w:rFonts w:hint="cs"/>
          <w:rtl/>
        </w:rPr>
        <w:t xml:space="preserve">היסטורית. </w:t>
      </w:r>
      <w:bookmarkStart w:id="76622" w:name="_ETM_Q136_570270"/>
      <w:bookmarkEnd w:id="76622"/>
      <w:r>
        <w:rPr>
          <w:rFonts w:hint="cs"/>
          <w:rtl/>
        </w:rPr>
        <w:t xml:space="preserve">אם </w:t>
      </w:r>
      <w:bookmarkStart w:id="76623" w:name="_ETM_Q136_570510"/>
      <w:bookmarkEnd w:id="76623"/>
      <w:r>
        <w:rPr>
          <w:rFonts w:hint="cs"/>
          <w:rtl/>
        </w:rPr>
        <w:t xml:space="preserve">כבר הציבור </w:t>
      </w:r>
      <w:bookmarkStart w:id="76624" w:name="_ETM_Q136_571229"/>
      <w:bookmarkStart w:id="76625" w:name="_ETM_Q136_571649"/>
      <w:bookmarkEnd w:id="76624"/>
      <w:bookmarkEnd w:id="76625"/>
      <w:r>
        <w:rPr>
          <w:rFonts w:hint="cs"/>
          <w:rtl/>
        </w:rPr>
        <w:t xml:space="preserve">ברחובות </w:t>
      </w:r>
      <w:bookmarkStart w:id="76626" w:name="_ETM_Q136_572980"/>
      <w:bookmarkEnd w:id="76626"/>
      <w:r>
        <w:rPr>
          <w:rFonts w:hint="cs"/>
          <w:rtl/>
        </w:rPr>
        <w:t xml:space="preserve">דורש </w:t>
      </w:r>
      <w:bookmarkStart w:id="76627" w:name="_ETM_Q136_573550"/>
      <w:bookmarkEnd w:id="76627"/>
      <w:r>
        <w:rPr>
          <w:rFonts w:hint="cs"/>
          <w:rtl/>
        </w:rPr>
        <w:t xml:space="preserve">דמוקרטיה, </w:t>
      </w:r>
      <w:bookmarkStart w:id="76628" w:name="_ETM_Q136_575300"/>
      <w:bookmarkStart w:id="76629" w:name="_ETM_Q136_575690"/>
      <w:bookmarkEnd w:id="76628"/>
      <w:bookmarkEnd w:id="76629"/>
      <w:r>
        <w:rPr>
          <w:rFonts w:hint="cs"/>
          <w:rtl/>
        </w:rPr>
        <w:t>בו</w:t>
      </w:r>
      <w:bookmarkStart w:id="76630" w:name="_ETM_Q136_575890"/>
      <w:bookmarkStart w:id="76631" w:name="_ETM_Q136_576220"/>
      <w:bookmarkEnd w:id="76630"/>
      <w:bookmarkEnd w:id="76631"/>
      <w:r>
        <w:rPr>
          <w:rFonts w:hint="cs"/>
          <w:rtl/>
        </w:rPr>
        <w:t xml:space="preserve">או ננצל </w:t>
      </w:r>
      <w:bookmarkStart w:id="76632" w:name="_ETM_Q136_577000"/>
      <w:bookmarkEnd w:id="76632"/>
      <w:r>
        <w:rPr>
          <w:rFonts w:hint="cs"/>
          <w:rtl/>
        </w:rPr>
        <w:t xml:space="preserve">את </w:t>
      </w:r>
      <w:bookmarkStart w:id="76633" w:name="_ETM_Q136_577540"/>
      <w:bookmarkEnd w:id="76633"/>
      <w:r>
        <w:rPr>
          <w:rFonts w:hint="cs"/>
          <w:rtl/>
        </w:rPr>
        <w:t xml:space="preserve">ההזדמנות </w:t>
      </w:r>
      <w:bookmarkStart w:id="76634" w:name="_ETM_Q136_578050"/>
      <w:bookmarkEnd w:id="76634"/>
      <w:r>
        <w:rPr>
          <w:rFonts w:hint="cs"/>
          <w:rtl/>
        </w:rPr>
        <w:t xml:space="preserve">ונבנה </w:t>
      </w:r>
      <w:bookmarkStart w:id="76635" w:name="_ETM_Q136_578830"/>
      <w:bookmarkEnd w:id="76635"/>
      <w:r>
        <w:rPr>
          <w:rFonts w:hint="cs"/>
          <w:rtl/>
        </w:rPr>
        <w:t xml:space="preserve">דמוקרטיה </w:t>
      </w:r>
      <w:bookmarkStart w:id="76636" w:name="_ETM_Q136_579790"/>
      <w:bookmarkEnd w:id="76636"/>
      <w:r>
        <w:rPr>
          <w:rFonts w:hint="cs"/>
          <w:rtl/>
        </w:rPr>
        <w:t xml:space="preserve">אמיתית, </w:t>
      </w:r>
      <w:bookmarkStart w:id="76637" w:name="_ETM_Q136_581119"/>
      <w:bookmarkEnd w:id="76637"/>
      <w:r>
        <w:rPr>
          <w:rFonts w:hint="cs"/>
          <w:rtl/>
        </w:rPr>
        <w:t>דמוקרטיה</w:t>
      </w:r>
      <w:bookmarkStart w:id="76638" w:name="_ETM_Q136_581720"/>
      <w:bookmarkStart w:id="76639" w:name="_ETM_Q136_582320"/>
      <w:bookmarkStart w:id="76640" w:name="_ETM_Q136_582700"/>
      <w:bookmarkStart w:id="76641" w:name="_ETM_Q136_583180"/>
      <w:bookmarkEnd w:id="76638"/>
      <w:bookmarkEnd w:id="76639"/>
      <w:bookmarkEnd w:id="76640"/>
      <w:bookmarkEnd w:id="76641"/>
      <w:r>
        <w:rPr>
          <w:rFonts w:hint="cs"/>
          <w:rtl/>
        </w:rPr>
        <w:t xml:space="preserve"> לכלל </w:t>
      </w:r>
      <w:bookmarkStart w:id="76642" w:name="_ETM_Q136_583420"/>
      <w:bookmarkEnd w:id="76642"/>
      <w:r>
        <w:rPr>
          <w:rFonts w:hint="cs"/>
          <w:rtl/>
        </w:rPr>
        <w:t xml:space="preserve">האזרחים </w:t>
      </w:r>
      <w:bookmarkStart w:id="76643" w:name="_ETM_Q136_584720"/>
      <w:bookmarkEnd w:id="76643"/>
      <w:r>
        <w:rPr>
          <w:rFonts w:hint="cs"/>
          <w:rtl/>
        </w:rPr>
        <w:t xml:space="preserve">וגם </w:t>
      </w:r>
      <w:bookmarkStart w:id="76644" w:name="_ETM_Q136_585230"/>
      <w:bookmarkEnd w:id="76644"/>
      <w:r>
        <w:rPr>
          <w:rFonts w:hint="cs"/>
          <w:rtl/>
        </w:rPr>
        <w:t xml:space="preserve">לנתינים </w:t>
      </w:r>
      <w:bookmarkStart w:id="76645" w:name="_ETM_Q136_585950"/>
      <w:bookmarkEnd w:id="76645"/>
      <w:r>
        <w:rPr>
          <w:rFonts w:hint="cs"/>
          <w:rtl/>
        </w:rPr>
        <w:t xml:space="preserve">שישתחררו </w:t>
      </w:r>
      <w:bookmarkStart w:id="76646" w:name="_ETM_Q136_587339"/>
      <w:bookmarkEnd w:id="76646"/>
      <w:r>
        <w:rPr>
          <w:rFonts w:hint="cs"/>
          <w:rtl/>
        </w:rPr>
        <w:t xml:space="preserve">מהדיקטטורה </w:t>
      </w:r>
      <w:bookmarkStart w:id="76647" w:name="_ETM_Q136_588690"/>
      <w:bookmarkEnd w:id="76647"/>
      <w:r>
        <w:rPr>
          <w:rFonts w:hint="cs"/>
          <w:rtl/>
        </w:rPr>
        <w:t xml:space="preserve">הצבאית; </w:t>
      </w:r>
      <w:bookmarkStart w:id="76648" w:name="_ETM_Q136_590160"/>
      <w:bookmarkEnd w:id="76648"/>
      <w:r>
        <w:rPr>
          <w:rFonts w:hint="cs"/>
          <w:rtl/>
        </w:rPr>
        <w:t xml:space="preserve">בואו </w:t>
      </w:r>
      <w:bookmarkStart w:id="76649" w:name="_ETM_Q136_590670"/>
      <w:bookmarkStart w:id="76650" w:name="_ETM_Q136_590880"/>
      <w:bookmarkEnd w:id="76649"/>
      <w:bookmarkEnd w:id="76650"/>
      <w:r>
        <w:rPr>
          <w:rFonts w:hint="cs"/>
          <w:rtl/>
        </w:rPr>
        <w:t xml:space="preserve">נבנה </w:t>
      </w:r>
      <w:bookmarkStart w:id="76651" w:name="_ETM_Q136_591930"/>
      <w:bookmarkEnd w:id="76651"/>
      <w:r>
        <w:rPr>
          <w:rFonts w:hint="cs"/>
          <w:rtl/>
        </w:rPr>
        <w:t xml:space="preserve">חברה </w:t>
      </w:r>
      <w:bookmarkStart w:id="76652" w:name="_ETM_Q136_593160"/>
      <w:bookmarkEnd w:id="76652"/>
      <w:r>
        <w:rPr>
          <w:rFonts w:hint="cs"/>
          <w:rtl/>
        </w:rPr>
        <w:t>ש</w:t>
      </w:r>
      <w:bookmarkStart w:id="76653" w:name="_ETM_Q136_593430"/>
      <w:bookmarkEnd w:id="76653"/>
      <w:r>
        <w:rPr>
          <w:rFonts w:hint="cs"/>
          <w:rtl/>
        </w:rPr>
        <w:t xml:space="preserve">מאמינה </w:t>
      </w:r>
      <w:bookmarkStart w:id="76654" w:name="_ETM_Q136_594060"/>
      <w:bookmarkEnd w:id="76654"/>
      <w:r>
        <w:rPr>
          <w:rFonts w:hint="cs"/>
          <w:rtl/>
        </w:rPr>
        <w:t>של</w:t>
      </w:r>
      <w:bookmarkStart w:id="76655" w:name="_ETM_Q136_594680"/>
      <w:bookmarkEnd w:id="76655"/>
      <w:r>
        <w:rPr>
          <w:rFonts w:hint="cs"/>
          <w:rtl/>
        </w:rPr>
        <w:t xml:space="preserve">כולם </w:t>
      </w:r>
      <w:bookmarkStart w:id="76656" w:name="_ETM_Q136_595370"/>
      <w:bookmarkEnd w:id="76656"/>
      <w:r>
        <w:rPr>
          <w:rFonts w:hint="cs"/>
          <w:rtl/>
        </w:rPr>
        <w:t>יש זכויות,</w:t>
      </w:r>
      <w:bookmarkStart w:id="76657" w:name="_ETM_Q136_595880"/>
      <w:bookmarkStart w:id="76658" w:name="_ETM_Q136_596029"/>
      <w:bookmarkStart w:id="76659" w:name="_ETM_Q136_597290"/>
      <w:bookmarkEnd w:id="76657"/>
      <w:bookmarkEnd w:id="76658"/>
      <w:bookmarkEnd w:id="76659"/>
      <w:r>
        <w:rPr>
          <w:rFonts w:hint="cs"/>
          <w:rtl/>
        </w:rPr>
        <w:t xml:space="preserve"> לא </w:t>
      </w:r>
      <w:bookmarkStart w:id="76660" w:name="_ETM_Q136_597800"/>
      <w:bookmarkEnd w:id="76660"/>
      <w:r>
        <w:rPr>
          <w:rFonts w:hint="cs"/>
          <w:rtl/>
        </w:rPr>
        <w:t xml:space="preserve">רק </w:t>
      </w:r>
      <w:bookmarkStart w:id="76661" w:name="_ETM_Q136_598220"/>
      <w:bookmarkEnd w:id="76661"/>
      <w:r>
        <w:rPr>
          <w:rFonts w:hint="cs"/>
          <w:rtl/>
        </w:rPr>
        <w:t xml:space="preserve">לאלה </w:t>
      </w:r>
      <w:bookmarkStart w:id="76662" w:name="_ETM_Q136_598670"/>
      <w:bookmarkEnd w:id="76662"/>
      <w:r>
        <w:rPr>
          <w:rFonts w:hint="cs"/>
          <w:rtl/>
        </w:rPr>
        <w:t xml:space="preserve">שמשרתים </w:t>
      </w:r>
      <w:bookmarkStart w:id="76663" w:name="_ETM_Q136_599720"/>
      <w:bookmarkEnd w:id="76663"/>
      <w:r>
        <w:rPr>
          <w:rFonts w:hint="cs"/>
          <w:rtl/>
        </w:rPr>
        <w:t xml:space="preserve">את </w:t>
      </w:r>
      <w:bookmarkStart w:id="76664" w:name="_ETM_Q136_599960"/>
      <w:bookmarkEnd w:id="76664"/>
      <w:r>
        <w:rPr>
          <w:rFonts w:hint="cs"/>
          <w:rtl/>
        </w:rPr>
        <w:t xml:space="preserve">המלך </w:t>
      </w:r>
      <w:bookmarkStart w:id="76665" w:name="_ETM_Q136_600500"/>
      <w:bookmarkEnd w:id="76665"/>
      <w:r>
        <w:rPr>
          <w:rFonts w:hint="cs"/>
          <w:rtl/>
        </w:rPr>
        <w:t xml:space="preserve">או </w:t>
      </w:r>
      <w:bookmarkStart w:id="76666" w:name="_ETM_Q136_600740"/>
      <w:bookmarkEnd w:id="76666"/>
      <w:r>
        <w:rPr>
          <w:rFonts w:hint="cs"/>
          <w:rtl/>
        </w:rPr>
        <w:t xml:space="preserve">את </w:t>
      </w:r>
      <w:bookmarkStart w:id="76667" w:name="_ETM_Q136_600890"/>
      <w:bookmarkEnd w:id="76667"/>
      <w:r>
        <w:rPr>
          <w:rFonts w:hint="cs"/>
          <w:rtl/>
        </w:rPr>
        <w:t xml:space="preserve">הממלכה, </w:t>
      </w:r>
      <w:bookmarkStart w:id="76668" w:name="_ETM_Q136_602100"/>
      <w:bookmarkEnd w:id="76668"/>
      <w:r>
        <w:rPr>
          <w:rFonts w:hint="cs"/>
          <w:rtl/>
        </w:rPr>
        <w:t xml:space="preserve">אלא </w:t>
      </w:r>
      <w:bookmarkStart w:id="76669" w:name="_ETM_Q136_602400"/>
      <w:bookmarkEnd w:id="76669"/>
      <w:r>
        <w:rPr>
          <w:rFonts w:hint="cs"/>
          <w:rtl/>
        </w:rPr>
        <w:t>בהיותם</w:t>
      </w:r>
      <w:bookmarkStart w:id="76670" w:name="_ETM_Q136_603150"/>
      <w:bookmarkEnd w:id="76670"/>
      <w:r>
        <w:rPr>
          <w:rFonts w:hint="cs"/>
          <w:rtl/>
        </w:rPr>
        <w:t xml:space="preserve"> אזרחים; </w:t>
      </w:r>
      <w:bookmarkStart w:id="76671" w:name="_ETM_Q136_604799"/>
      <w:bookmarkEnd w:id="76671"/>
      <w:r>
        <w:rPr>
          <w:rFonts w:hint="cs"/>
          <w:rtl/>
        </w:rPr>
        <w:t xml:space="preserve">בואו </w:t>
      </w:r>
      <w:bookmarkStart w:id="76672" w:name="_ETM_Q136_605279"/>
      <w:bookmarkEnd w:id="76672"/>
      <w:r>
        <w:rPr>
          <w:rFonts w:hint="cs"/>
          <w:rtl/>
        </w:rPr>
        <w:t xml:space="preserve">נבנה </w:t>
      </w:r>
      <w:bookmarkStart w:id="76673" w:name="_ETM_Q136_606479"/>
      <w:bookmarkEnd w:id="76673"/>
      <w:r>
        <w:rPr>
          <w:rFonts w:hint="cs"/>
          <w:rtl/>
        </w:rPr>
        <w:t xml:space="preserve">חברה </w:t>
      </w:r>
      <w:bookmarkStart w:id="76674" w:name="_ETM_Q136_607740"/>
      <w:bookmarkEnd w:id="76674"/>
      <w:r>
        <w:rPr>
          <w:rFonts w:hint="cs"/>
          <w:rtl/>
        </w:rPr>
        <w:t xml:space="preserve">שמאמינה </w:t>
      </w:r>
      <w:bookmarkStart w:id="76675" w:name="_ETM_Q136_608610"/>
      <w:bookmarkEnd w:id="76675"/>
      <w:r>
        <w:rPr>
          <w:rFonts w:hint="cs"/>
          <w:rtl/>
        </w:rPr>
        <w:t xml:space="preserve">שהסביר </w:t>
      </w:r>
      <w:bookmarkStart w:id="76676" w:name="_ETM_Q136_610049"/>
      <w:bookmarkEnd w:id="76676"/>
      <w:r>
        <w:rPr>
          <w:rFonts w:hint="cs"/>
          <w:rtl/>
        </w:rPr>
        <w:t xml:space="preserve">הוא </w:t>
      </w:r>
      <w:bookmarkStart w:id="76677" w:name="_ETM_Q136_610379"/>
      <w:bookmarkEnd w:id="76677"/>
      <w:r>
        <w:rPr>
          <w:rFonts w:hint="cs"/>
          <w:rtl/>
        </w:rPr>
        <w:t xml:space="preserve">סביר </w:t>
      </w:r>
      <w:bookmarkStart w:id="76678" w:name="_ETM_Q136_610920"/>
      <w:bookmarkEnd w:id="76678"/>
      <w:r>
        <w:rPr>
          <w:rFonts w:hint="cs"/>
          <w:rtl/>
        </w:rPr>
        <w:t xml:space="preserve">לכולם </w:t>
      </w:r>
      <w:bookmarkStart w:id="76679" w:name="_ETM_Q136_611579"/>
      <w:bookmarkEnd w:id="76679"/>
      <w:r>
        <w:rPr>
          <w:rFonts w:hint="cs"/>
          <w:rtl/>
        </w:rPr>
        <w:t xml:space="preserve">ולטובת </w:t>
      </w:r>
      <w:bookmarkStart w:id="76680" w:name="_ETM_Q136_612450"/>
      <w:bookmarkEnd w:id="76680"/>
      <w:r>
        <w:rPr>
          <w:rFonts w:hint="cs"/>
          <w:rtl/>
        </w:rPr>
        <w:t xml:space="preserve">כולם; </w:t>
      </w:r>
      <w:bookmarkStart w:id="76681" w:name="_ETM_Q136_613590"/>
      <w:bookmarkEnd w:id="76681"/>
      <w:r>
        <w:rPr>
          <w:rFonts w:hint="cs"/>
          <w:rtl/>
        </w:rPr>
        <w:t xml:space="preserve">בואו </w:t>
      </w:r>
      <w:bookmarkStart w:id="76682" w:name="_ETM_Q136_614830"/>
      <w:bookmarkEnd w:id="76682"/>
      <w:r>
        <w:rPr>
          <w:rFonts w:hint="cs"/>
          <w:rtl/>
        </w:rPr>
        <w:t xml:space="preserve">ננצל </w:t>
      </w:r>
      <w:bookmarkStart w:id="76683" w:name="_ETM_Q136_615640"/>
      <w:bookmarkEnd w:id="76683"/>
      <w:r>
        <w:rPr>
          <w:rFonts w:hint="cs"/>
          <w:rtl/>
        </w:rPr>
        <w:t xml:space="preserve">את </w:t>
      </w:r>
      <w:bookmarkStart w:id="76684" w:name="_ETM_Q136_615819"/>
      <w:bookmarkEnd w:id="76684"/>
      <w:r>
        <w:rPr>
          <w:rFonts w:hint="cs"/>
          <w:rtl/>
        </w:rPr>
        <w:t xml:space="preserve">ההזדמנות </w:t>
      </w:r>
      <w:bookmarkStart w:id="76685" w:name="_ETM_Q136_617430"/>
      <w:bookmarkEnd w:id="76685"/>
      <w:r>
        <w:rPr>
          <w:rFonts w:hint="cs"/>
          <w:rtl/>
        </w:rPr>
        <w:t xml:space="preserve">שיש </w:t>
      </w:r>
      <w:bookmarkStart w:id="76686" w:name="_ETM_Q136_617969"/>
      <w:bookmarkEnd w:id="76686"/>
      <w:r>
        <w:rPr>
          <w:rFonts w:hint="cs"/>
          <w:rtl/>
        </w:rPr>
        <w:t xml:space="preserve">שיח </w:t>
      </w:r>
      <w:bookmarkStart w:id="76687" w:name="_ETM_Q136_618569"/>
      <w:bookmarkEnd w:id="76687"/>
      <w:r>
        <w:rPr>
          <w:rFonts w:hint="cs"/>
          <w:rtl/>
        </w:rPr>
        <w:t xml:space="preserve">על </w:t>
      </w:r>
      <w:bookmarkStart w:id="76688" w:name="_ETM_Q136_618750"/>
      <w:bookmarkEnd w:id="76688"/>
      <w:r>
        <w:rPr>
          <w:rFonts w:hint="cs"/>
          <w:rtl/>
        </w:rPr>
        <w:t xml:space="preserve">דמוקרטיה </w:t>
      </w:r>
      <w:bookmarkStart w:id="76689" w:name="_ETM_Q136_620069"/>
      <w:bookmarkEnd w:id="76689"/>
      <w:r>
        <w:rPr>
          <w:rFonts w:hint="cs"/>
          <w:rtl/>
        </w:rPr>
        <w:t xml:space="preserve">ונגדיר </w:t>
      </w:r>
      <w:bookmarkStart w:id="76690" w:name="_ETM_Q136_620849"/>
      <w:bookmarkEnd w:id="76690"/>
      <w:r>
        <w:rPr>
          <w:rFonts w:hint="cs"/>
          <w:rtl/>
        </w:rPr>
        <w:t xml:space="preserve">לעצמנו </w:t>
      </w:r>
      <w:bookmarkStart w:id="76691" w:name="_ETM_Q136_622200"/>
      <w:bookmarkEnd w:id="76691"/>
      <w:r>
        <w:rPr>
          <w:rFonts w:hint="cs"/>
          <w:rtl/>
        </w:rPr>
        <w:t>ש</w:t>
      </w:r>
      <w:bookmarkStart w:id="76692" w:name="_ETM_Q136_622590"/>
      <w:bookmarkEnd w:id="76692"/>
      <w:r>
        <w:rPr>
          <w:rFonts w:hint="cs"/>
          <w:rtl/>
        </w:rPr>
        <w:t xml:space="preserve">בלי </w:t>
      </w:r>
      <w:bookmarkStart w:id="76693" w:name="_ETM_Q136_623010"/>
      <w:bookmarkEnd w:id="76693"/>
      <w:r>
        <w:rPr>
          <w:rFonts w:hint="cs"/>
          <w:rtl/>
        </w:rPr>
        <w:t xml:space="preserve">סיום </w:t>
      </w:r>
      <w:bookmarkStart w:id="76694" w:name="_ETM_Q136_623609"/>
      <w:bookmarkEnd w:id="76694"/>
      <w:r>
        <w:rPr>
          <w:rFonts w:hint="cs"/>
          <w:rtl/>
        </w:rPr>
        <w:t xml:space="preserve">הכיבוש </w:t>
      </w:r>
      <w:bookmarkStart w:id="76695" w:name="_ETM_Q136_624750"/>
      <w:bookmarkEnd w:id="76695"/>
      <w:r>
        <w:rPr>
          <w:rFonts w:hint="cs"/>
          <w:rtl/>
        </w:rPr>
        <w:t xml:space="preserve">לא </w:t>
      </w:r>
      <w:bookmarkStart w:id="76696" w:name="_ETM_Q136_625140"/>
      <w:bookmarkEnd w:id="76696"/>
      <w:r>
        <w:rPr>
          <w:rFonts w:hint="cs"/>
          <w:rtl/>
        </w:rPr>
        <w:t xml:space="preserve">תהיה </w:t>
      </w:r>
      <w:bookmarkStart w:id="76697" w:name="_ETM_Q136_625709"/>
      <w:bookmarkEnd w:id="76697"/>
      <w:r>
        <w:rPr>
          <w:rFonts w:hint="cs"/>
          <w:rtl/>
        </w:rPr>
        <w:t xml:space="preserve">דמוקרטיה </w:t>
      </w:r>
      <w:bookmarkStart w:id="76698" w:name="_ETM_Q136_626549"/>
      <w:bookmarkEnd w:id="76698"/>
      <w:r>
        <w:rPr>
          <w:rFonts w:hint="cs"/>
          <w:rtl/>
        </w:rPr>
        <w:t xml:space="preserve">אמיתית, </w:t>
      </w:r>
      <w:bookmarkStart w:id="76699" w:name="_ETM_Q136_627520"/>
      <w:bookmarkStart w:id="76700" w:name="_ETM_Q136_627910"/>
      <w:bookmarkEnd w:id="76699"/>
      <w:bookmarkEnd w:id="76700"/>
      <w:r>
        <w:rPr>
          <w:rFonts w:hint="cs"/>
          <w:rtl/>
        </w:rPr>
        <w:t>ו</w:t>
      </w:r>
      <w:r w:rsidR="001251AE">
        <w:rPr>
          <w:rFonts w:hint="cs"/>
          <w:rtl/>
        </w:rPr>
        <w:t xml:space="preserve">גם </w:t>
      </w:r>
      <w:r>
        <w:rPr>
          <w:rFonts w:hint="cs"/>
          <w:rtl/>
        </w:rPr>
        <w:t xml:space="preserve">מבלי </w:t>
      </w:r>
      <w:bookmarkStart w:id="76701" w:name="_ETM_Q136_629020"/>
      <w:bookmarkEnd w:id="76701"/>
      <w:r>
        <w:rPr>
          <w:rFonts w:hint="cs"/>
          <w:rtl/>
        </w:rPr>
        <w:t>שכולם</w:t>
      </w:r>
      <w:bookmarkStart w:id="76702" w:name="_ETM_Q136_629620"/>
      <w:bookmarkEnd w:id="76702"/>
      <w:r>
        <w:rPr>
          <w:rFonts w:hint="cs"/>
          <w:rtl/>
        </w:rPr>
        <w:t xml:space="preserve"> </w:t>
      </w:r>
      <w:bookmarkStart w:id="76703" w:name="_ETM_Q136_629860"/>
      <w:bookmarkEnd w:id="76703"/>
      <w:r>
        <w:rPr>
          <w:rFonts w:hint="cs"/>
          <w:rtl/>
        </w:rPr>
        <w:t xml:space="preserve">יבינו </w:t>
      </w:r>
      <w:bookmarkStart w:id="76704" w:name="_ETM_Q136_630810"/>
      <w:bookmarkEnd w:id="76704"/>
      <w:r>
        <w:rPr>
          <w:rFonts w:hint="cs"/>
          <w:rtl/>
        </w:rPr>
        <w:t xml:space="preserve">שאין </w:t>
      </w:r>
      <w:bookmarkStart w:id="76705" w:name="_ETM_Q136_631500"/>
      <w:bookmarkEnd w:id="76705"/>
      <w:r>
        <w:rPr>
          <w:rFonts w:hint="cs"/>
          <w:rtl/>
        </w:rPr>
        <w:t xml:space="preserve">עליונות – </w:t>
      </w:r>
      <w:bookmarkStart w:id="76706" w:name="_ETM_Q136_633110"/>
      <w:bookmarkEnd w:id="76706"/>
      <w:r>
        <w:rPr>
          <w:rFonts w:hint="cs"/>
          <w:rtl/>
        </w:rPr>
        <w:t xml:space="preserve">אין </w:t>
      </w:r>
      <w:bookmarkStart w:id="76707" w:name="_ETM_Q136_633440"/>
      <w:bookmarkEnd w:id="76707"/>
      <w:r>
        <w:rPr>
          <w:rFonts w:hint="cs"/>
          <w:rtl/>
        </w:rPr>
        <w:t xml:space="preserve">עליונות, </w:t>
      </w:r>
      <w:bookmarkStart w:id="76708" w:name="_ETM_Q136_634040"/>
      <w:bookmarkEnd w:id="76708"/>
      <w:r>
        <w:rPr>
          <w:rFonts w:hint="cs"/>
          <w:rtl/>
        </w:rPr>
        <w:t xml:space="preserve">לא </w:t>
      </w:r>
      <w:bookmarkStart w:id="76709" w:name="_ETM_Q136_634250"/>
      <w:bookmarkEnd w:id="76709"/>
      <w:r>
        <w:rPr>
          <w:rFonts w:hint="cs"/>
          <w:rtl/>
        </w:rPr>
        <w:t>י</w:t>
      </w:r>
      <w:bookmarkStart w:id="76710" w:name="_ETM_Q136_634580"/>
      <w:bookmarkEnd w:id="76710"/>
      <w:r>
        <w:rPr>
          <w:rFonts w:hint="cs"/>
          <w:rtl/>
        </w:rPr>
        <w:t xml:space="preserve">הודית </w:t>
      </w:r>
      <w:bookmarkStart w:id="76711" w:name="_ETM_Q136_635120"/>
      <w:bookmarkEnd w:id="76711"/>
      <w:r>
        <w:rPr>
          <w:rFonts w:hint="cs"/>
          <w:rtl/>
        </w:rPr>
        <w:t xml:space="preserve">ולא </w:t>
      </w:r>
      <w:bookmarkStart w:id="76712" w:name="_ETM_Q136_635450"/>
      <w:bookmarkEnd w:id="76712"/>
      <w:r>
        <w:rPr>
          <w:rFonts w:hint="cs"/>
          <w:rtl/>
        </w:rPr>
        <w:t>ערבית</w:t>
      </w:r>
      <w:bookmarkStart w:id="76713" w:name="_ETM_Q136_638343"/>
      <w:bookmarkEnd w:id="76713"/>
      <w:r w:rsidR="001251AE">
        <w:rPr>
          <w:rFonts w:hint="cs"/>
          <w:rtl/>
        </w:rPr>
        <w:t>;</w:t>
      </w:r>
      <w:r>
        <w:rPr>
          <w:rFonts w:hint="cs"/>
          <w:rtl/>
        </w:rPr>
        <w:t xml:space="preserve"> </w:t>
      </w:r>
      <w:bookmarkStart w:id="76714" w:name="_ETM_Q136_636829"/>
      <w:bookmarkEnd w:id="76714"/>
      <w:r>
        <w:rPr>
          <w:rFonts w:hint="cs"/>
          <w:rtl/>
        </w:rPr>
        <w:t xml:space="preserve">יש </w:t>
      </w:r>
      <w:bookmarkStart w:id="76715" w:name="_ETM_Q136_637250"/>
      <w:bookmarkEnd w:id="76715"/>
      <w:r>
        <w:rPr>
          <w:rFonts w:hint="cs"/>
          <w:rtl/>
        </w:rPr>
        <w:t xml:space="preserve">עליונות </w:t>
      </w:r>
      <w:bookmarkStart w:id="76716" w:name="_ETM_Q136_637879"/>
      <w:bookmarkEnd w:id="76716"/>
      <w:r>
        <w:rPr>
          <w:rFonts w:hint="cs"/>
          <w:rtl/>
        </w:rPr>
        <w:t xml:space="preserve">לערכים </w:t>
      </w:r>
      <w:bookmarkStart w:id="76717" w:name="_ETM_Q136_638840"/>
      <w:bookmarkEnd w:id="76717"/>
      <w:r>
        <w:rPr>
          <w:rFonts w:hint="cs"/>
          <w:rtl/>
        </w:rPr>
        <w:t xml:space="preserve">אנושיים, </w:t>
      </w:r>
      <w:bookmarkStart w:id="76718" w:name="_ETM_Q136_640290"/>
      <w:bookmarkEnd w:id="76718"/>
      <w:r>
        <w:rPr>
          <w:rFonts w:hint="cs"/>
          <w:rtl/>
        </w:rPr>
        <w:t xml:space="preserve">לערכים </w:t>
      </w:r>
      <w:bookmarkStart w:id="76719" w:name="_ETM_Q136_641190"/>
      <w:bookmarkEnd w:id="76719"/>
      <w:r>
        <w:rPr>
          <w:rFonts w:hint="cs"/>
          <w:rtl/>
        </w:rPr>
        <w:t xml:space="preserve">של </w:t>
      </w:r>
      <w:bookmarkStart w:id="76720" w:name="_ETM_Q136_641460"/>
      <w:bookmarkEnd w:id="76720"/>
      <w:r>
        <w:rPr>
          <w:rFonts w:hint="cs"/>
          <w:rtl/>
        </w:rPr>
        <w:t xml:space="preserve">שלום, </w:t>
      </w:r>
      <w:bookmarkStart w:id="76721" w:name="_ETM_Q136_642060"/>
      <w:bookmarkEnd w:id="76721"/>
      <w:r>
        <w:rPr>
          <w:rFonts w:hint="cs"/>
          <w:rtl/>
        </w:rPr>
        <w:t xml:space="preserve">של </w:t>
      </w:r>
      <w:bookmarkStart w:id="76722" w:name="_ETM_Q136_642360"/>
      <w:bookmarkEnd w:id="76722"/>
      <w:r>
        <w:rPr>
          <w:rFonts w:hint="cs"/>
          <w:rtl/>
        </w:rPr>
        <w:t xml:space="preserve">צדק, </w:t>
      </w:r>
      <w:bookmarkStart w:id="76723" w:name="_ETM_Q136_643840"/>
      <w:bookmarkEnd w:id="76723"/>
      <w:r>
        <w:rPr>
          <w:rFonts w:hint="cs"/>
          <w:rtl/>
        </w:rPr>
        <w:t xml:space="preserve">של </w:t>
      </w:r>
      <w:bookmarkStart w:id="76724" w:name="_ETM_Q136_644110"/>
      <w:bookmarkEnd w:id="76724"/>
      <w:r>
        <w:rPr>
          <w:rFonts w:hint="cs"/>
          <w:rtl/>
        </w:rPr>
        <w:t>זכויות</w:t>
      </w:r>
      <w:r w:rsidR="001251AE">
        <w:rPr>
          <w:rFonts w:hint="cs"/>
          <w:rtl/>
        </w:rPr>
        <w:t>.</w:t>
      </w:r>
      <w:r>
        <w:rPr>
          <w:rFonts w:hint="cs"/>
          <w:rtl/>
        </w:rPr>
        <w:t xml:space="preserve"> </w:t>
      </w:r>
      <w:bookmarkStart w:id="76725" w:name="_ETM_Q136_646120"/>
      <w:bookmarkEnd w:id="76725"/>
      <w:r>
        <w:rPr>
          <w:rFonts w:hint="cs"/>
          <w:rtl/>
        </w:rPr>
        <w:t xml:space="preserve">את </w:t>
      </w:r>
      <w:bookmarkStart w:id="76726" w:name="_ETM_Q136_646300"/>
      <w:bookmarkEnd w:id="76726"/>
      <w:r>
        <w:rPr>
          <w:rFonts w:hint="cs"/>
          <w:rtl/>
        </w:rPr>
        <w:t xml:space="preserve">החברה </w:t>
      </w:r>
      <w:bookmarkStart w:id="76727" w:name="_ETM_Q136_646900"/>
      <w:bookmarkEnd w:id="76727"/>
      <w:r>
        <w:rPr>
          <w:rFonts w:hint="cs"/>
          <w:rtl/>
        </w:rPr>
        <w:t xml:space="preserve">הזו, </w:t>
      </w:r>
      <w:bookmarkStart w:id="76728" w:name="_ETM_Q136_647830"/>
      <w:bookmarkEnd w:id="76728"/>
      <w:r>
        <w:rPr>
          <w:rFonts w:hint="cs"/>
          <w:rtl/>
        </w:rPr>
        <w:t xml:space="preserve">הסבירה </w:t>
      </w:r>
      <w:bookmarkStart w:id="76729" w:name="_ETM_Q136_648640"/>
      <w:bookmarkEnd w:id="76729"/>
      <w:r>
        <w:rPr>
          <w:rFonts w:hint="cs"/>
          <w:rtl/>
        </w:rPr>
        <w:t xml:space="preserve">ביותר, </w:t>
      </w:r>
      <w:bookmarkStart w:id="76730" w:name="_ETM_Q136_649300"/>
      <w:bookmarkEnd w:id="76730"/>
      <w:r>
        <w:rPr>
          <w:rFonts w:hint="cs"/>
          <w:rtl/>
        </w:rPr>
        <w:t xml:space="preserve">תאמינו </w:t>
      </w:r>
      <w:bookmarkStart w:id="76731" w:name="_ETM_Q136_649900"/>
      <w:bookmarkEnd w:id="76731"/>
      <w:r>
        <w:rPr>
          <w:rFonts w:hint="cs"/>
          <w:rtl/>
        </w:rPr>
        <w:t xml:space="preserve">לי, </w:t>
      </w:r>
      <w:bookmarkStart w:id="76732" w:name="_ETM_Q136_650620"/>
      <w:bookmarkEnd w:id="76732"/>
      <w:r>
        <w:rPr>
          <w:rFonts w:hint="cs"/>
          <w:rtl/>
        </w:rPr>
        <w:t xml:space="preserve">אנחנו </w:t>
      </w:r>
      <w:bookmarkStart w:id="76733" w:name="_ETM_Q136_651189"/>
      <w:bookmarkEnd w:id="76733"/>
      <w:r>
        <w:rPr>
          <w:rFonts w:hint="cs"/>
          <w:rtl/>
        </w:rPr>
        <w:t xml:space="preserve">רוצים </w:t>
      </w:r>
      <w:bookmarkStart w:id="76734" w:name="_ETM_Q136_651700"/>
      <w:bookmarkEnd w:id="76734"/>
      <w:r>
        <w:rPr>
          <w:rFonts w:hint="cs"/>
          <w:rtl/>
        </w:rPr>
        <w:t xml:space="preserve">לבנות, </w:t>
      </w:r>
      <w:bookmarkStart w:id="76735" w:name="_ETM_Q136_652659"/>
      <w:bookmarkEnd w:id="76735"/>
      <w:r>
        <w:rPr>
          <w:rFonts w:hint="cs"/>
          <w:rtl/>
        </w:rPr>
        <w:t xml:space="preserve">ולכן </w:t>
      </w:r>
      <w:bookmarkStart w:id="76736" w:name="_ETM_Q136_653799"/>
      <w:bookmarkEnd w:id="76736"/>
      <w:r>
        <w:rPr>
          <w:rFonts w:hint="cs"/>
          <w:rtl/>
        </w:rPr>
        <w:t xml:space="preserve">צריך </w:t>
      </w:r>
      <w:bookmarkStart w:id="76737" w:name="_ETM_Q136_654519"/>
      <w:bookmarkEnd w:id="76737"/>
      <w:r>
        <w:rPr>
          <w:rFonts w:hint="cs"/>
          <w:rtl/>
        </w:rPr>
        <w:t xml:space="preserve">להתנגד </w:t>
      </w:r>
      <w:bookmarkStart w:id="76738" w:name="_ETM_Q136_655840"/>
      <w:bookmarkEnd w:id="76738"/>
      <w:r>
        <w:rPr>
          <w:rFonts w:hint="cs"/>
          <w:rtl/>
        </w:rPr>
        <w:t xml:space="preserve">להפיכה </w:t>
      </w:r>
      <w:bookmarkStart w:id="76739" w:name="_ETM_Q136_656620"/>
      <w:bookmarkEnd w:id="76739"/>
      <w:r>
        <w:rPr>
          <w:rFonts w:hint="cs"/>
          <w:rtl/>
        </w:rPr>
        <w:t xml:space="preserve">שקורית </w:t>
      </w:r>
      <w:bookmarkStart w:id="76740" w:name="_ETM_Q136_657310"/>
      <w:bookmarkEnd w:id="76740"/>
      <w:r>
        <w:rPr>
          <w:rFonts w:hint="cs"/>
          <w:rtl/>
        </w:rPr>
        <w:t xml:space="preserve">לנו </w:t>
      </w:r>
      <w:bookmarkStart w:id="76741" w:name="_ETM_Q136_658030"/>
      <w:bookmarkEnd w:id="76741"/>
      <w:r>
        <w:rPr>
          <w:rFonts w:hint="cs"/>
          <w:rtl/>
        </w:rPr>
        <w:t xml:space="preserve">מול </w:t>
      </w:r>
      <w:bookmarkStart w:id="76742" w:name="_ETM_Q136_658420"/>
      <w:bookmarkEnd w:id="76742"/>
      <w:r>
        <w:rPr>
          <w:rFonts w:hint="cs"/>
          <w:rtl/>
        </w:rPr>
        <w:t xml:space="preserve">העיניים, </w:t>
      </w:r>
      <w:bookmarkStart w:id="76743" w:name="_ETM_Q136_659980"/>
      <w:bookmarkEnd w:id="76743"/>
      <w:r>
        <w:rPr>
          <w:rFonts w:hint="cs"/>
          <w:rtl/>
        </w:rPr>
        <w:t xml:space="preserve">זו </w:t>
      </w:r>
      <w:bookmarkStart w:id="76744" w:name="_ETM_Q136_660459"/>
      <w:bookmarkEnd w:id="76744"/>
      <w:r>
        <w:rPr>
          <w:rFonts w:hint="cs"/>
          <w:rtl/>
        </w:rPr>
        <w:t xml:space="preserve">שיוצרת </w:t>
      </w:r>
      <w:bookmarkStart w:id="76745" w:name="_ETM_Q136_661330"/>
      <w:bookmarkEnd w:id="76745"/>
      <w:r>
        <w:rPr>
          <w:rFonts w:hint="cs"/>
          <w:rtl/>
        </w:rPr>
        <w:t xml:space="preserve">מסך </w:t>
      </w:r>
      <w:bookmarkStart w:id="76746" w:name="_ETM_Q136_661810"/>
      <w:bookmarkEnd w:id="76746"/>
      <w:r>
        <w:rPr>
          <w:rFonts w:hint="cs"/>
          <w:rtl/>
        </w:rPr>
        <w:t xml:space="preserve">עשן, </w:t>
      </w:r>
      <w:bookmarkStart w:id="76747" w:name="_ETM_Q136_662750"/>
      <w:bookmarkEnd w:id="76747"/>
      <w:r>
        <w:rPr>
          <w:rFonts w:hint="cs"/>
          <w:rtl/>
        </w:rPr>
        <w:t xml:space="preserve">וגם </w:t>
      </w:r>
      <w:bookmarkStart w:id="76748" w:name="_ETM_Q136_663290"/>
      <w:bookmarkEnd w:id="76748"/>
      <w:r>
        <w:rPr>
          <w:rFonts w:hint="cs"/>
          <w:rtl/>
        </w:rPr>
        <w:t xml:space="preserve">זו </w:t>
      </w:r>
      <w:bookmarkStart w:id="76749" w:name="_ETM_Q136_663709"/>
      <w:bookmarkEnd w:id="76749"/>
      <w:r>
        <w:rPr>
          <w:rFonts w:hint="cs"/>
          <w:rtl/>
        </w:rPr>
        <w:t xml:space="preserve">שיוצרת </w:t>
      </w:r>
      <w:bookmarkStart w:id="76750" w:name="_ETM_Q136_665260"/>
      <w:bookmarkEnd w:id="76750"/>
      <w:r>
        <w:rPr>
          <w:rFonts w:hint="cs"/>
          <w:rtl/>
        </w:rPr>
        <w:t xml:space="preserve">את </w:t>
      </w:r>
      <w:bookmarkStart w:id="76751" w:name="_ETM_Q136_665529"/>
      <w:bookmarkEnd w:id="76751"/>
      <w:r>
        <w:rPr>
          <w:rFonts w:hint="cs"/>
          <w:rtl/>
        </w:rPr>
        <w:t xml:space="preserve">המציאות </w:t>
      </w:r>
      <w:bookmarkStart w:id="76752" w:name="_ETM_Q136_666519"/>
      <w:bookmarkEnd w:id="76752"/>
      <w:r>
        <w:rPr>
          <w:rFonts w:hint="cs"/>
          <w:rtl/>
        </w:rPr>
        <w:t xml:space="preserve">של </w:t>
      </w:r>
      <w:bookmarkStart w:id="76753" w:name="_ETM_Q136_666790"/>
      <w:bookmarkEnd w:id="76753"/>
      <w:r>
        <w:rPr>
          <w:rFonts w:hint="cs"/>
          <w:rtl/>
        </w:rPr>
        <w:t xml:space="preserve">המשך </w:t>
      </w:r>
      <w:bookmarkStart w:id="76754" w:name="_ETM_Q136_667329"/>
      <w:bookmarkEnd w:id="76754"/>
      <w:r>
        <w:rPr>
          <w:rFonts w:hint="cs"/>
          <w:rtl/>
        </w:rPr>
        <w:t xml:space="preserve">כיבוש, </w:t>
      </w:r>
      <w:bookmarkStart w:id="76755" w:name="_ETM_Q136_667870"/>
      <w:bookmarkEnd w:id="76755"/>
      <w:r>
        <w:rPr>
          <w:rFonts w:hint="cs"/>
          <w:rtl/>
        </w:rPr>
        <w:t xml:space="preserve">סיפוח </w:t>
      </w:r>
      <w:bookmarkStart w:id="76756" w:name="_ETM_Q136_668559"/>
      <w:bookmarkEnd w:id="76756"/>
      <w:r>
        <w:rPr>
          <w:rFonts w:hint="cs"/>
          <w:rtl/>
        </w:rPr>
        <w:t xml:space="preserve">וקולוניאליזם </w:t>
      </w:r>
      <w:bookmarkStart w:id="76757" w:name="_ETM_Q136_669999"/>
      <w:bookmarkEnd w:id="76757"/>
      <w:r>
        <w:rPr>
          <w:rFonts w:hint="cs"/>
          <w:rtl/>
        </w:rPr>
        <w:t xml:space="preserve">וחברה </w:t>
      </w:r>
      <w:bookmarkStart w:id="76758" w:name="_ETM_Q136_670629"/>
      <w:bookmarkEnd w:id="76758"/>
      <w:r>
        <w:rPr>
          <w:rFonts w:hint="cs"/>
          <w:rtl/>
        </w:rPr>
        <w:t xml:space="preserve">ערבית </w:t>
      </w:r>
      <w:bookmarkStart w:id="76759" w:name="_ETM_Q136_671199"/>
      <w:bookmarkEnd w:id="76759"/>
      <w:r>
        <w:rPr>
          <w:rFonts w:hint="cs"/>
          <w:rtl/>
        </w:rPr>
        <w:t>מרוסקת.</w:t>
      </w:r>
      <w:bookmarkStart w:id="76760" w:name="_ETM_Q136_673610"/>
      <w:bookmarkEnd w:id="76760"/>
    </w:p>
    <w:p w:rsidR="00BB59CD" w:rsidRDefault="00BB59CD" w:rsidP="00BB59CD">
      <w:pPr>
        <w:pStyle w:val="ETSpeechToText"/>
        <w:rPr>
          <w:color w:val="auto"/>
          <w:rtl/>
        </w:rPr>
      </w:pPr>
      <w:bookmarkStart w:id="76761" w:name="_ETM_Q136_671779"/>
      <w:bookmarkStart w:id="76762" w:name="_ETM_Q136_671858"/>
      <w:bookmarkStart w:id="76763" w:name="_ETM_Q136_671906"/>
      <w:bookmarkEnd w:id="76761"/>
      <w:bookmarkEnd w:id="76762"/>
      <w:bookmarkEnd w:id="76763"/>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BB59CD">
      <w:pPr>
        <w:rPr>
          <w:rtl/>
        </w:rPr>
      </w:pPr>
    </w:p>
    <w:p w:rsidR="00BB59CD" w:rsidRDefault="00BB59CD" w:rsidP="00BB59CD">
      <w:pPr>
        <w:rPr>
          <w:rtl/>
        </w:rPr>
      </w:pPr>
      <w:bookmarkStart w:id="76764" w:name="_ETM_Q136_671969"/>
      <w:bookmarkEnd w:id="76764"/>
      <w:r>
        <w:rPr>
          <w:rFonts w:hint="cs"/>
          <w:rtl/>
        </w:rPr>
        <w:t xml:space="preserve">תודה. </w:t>
      </w:r>
      <w:bookmarkStart w:id="76765" w:name="_ETM_Q136_674660"/>
      <w:bookmarkEnd w:id="76765"/>
      <w:r>
        <w:rPr>
          <w:rFonts w:hint="cs"/>
          <w:rtl/>
        </w:rPr>
        <w:t xml:space="preserve">חבר </w:t>
      </w:r>
      <w:bookmarkStart w:id="76766" w:name="_ETM_Q136_674990"/>
      <w:bookmarkEnd w:id="76766"/>
      <w:r>
        <w:rPr>
          <w:rFonts w:hint="cs"/>
          <w:rtl/>
        </w:rPr>
        <w:t xml:space="preserve">הכנסת </w:t>
      </w:r>
      <w:bookmarkStart w:id="76767" w:name="_ETM_Q136_675380"/>
      <w:bookmarkEnd w:id="76767"/>
      <w:r>
        <w:rPr>
          <w:rFonts w:hint="cs"/>
          <w:rtl/>
        </w:rPr>
        <w:t xml:space="preserve">גדי </w:t>
      </w:r>
      <w:bookmarkStart w:id="76768" w:name="_ETM_Q136_675680"/>
      <w:bookmarkEnd w:id="76768"/>
      <w:r>
        <w:rPr>
          <w:rFonts w:hint="cs"/>
          <w:rtl/>
        </w:rPr>
        <w:t xml:space="preserve">איזנקוט, </w:t>
      </w:r>
      <w:bookmarkStart w:id="76769" w:name="_ETM_Q136_676130"/>
      <w:bookmarkEnd w:id="76769"/>
      <w:r>
        <w:rPr>
          <w:rFonts w:hint="cs"/>
          <w:rtl/>
        </w:rPr>
        <w:t>בבקשה.</w:t>
      </w:r>
      <w:bookmarkStart w:id="76770" w:name="_ETM_Q136_675383"/>
      <w:bookmarkEnd w:id="76770"/>
    </w:p>
    <w:p w:rsidR="00BB59CD" w:rsidRDefault="00BB59CD" w:rsidP="00BB59CD">
      <w:pPr>
        <w:rPr>
          <w:rtl/>
        </w:rPr>
      </w:pPr>
      <w:bookmarkStart w:id="76771" w:name="_ETM_Q136_675453"/>
      <w:bookmarkEnd w:id="76771"/>
    </w:p>
    <w:p w:rsidR="00BB59CD" w:rsidRDefault="00BB59CD" w:rsidP="00BB59CD">
      <w:pPr>
        <w:pStyle w:val="a5"/>
        <w:keepNext/>
        <w:rPr>
          <w:rtl/>
        </w:rPr>
      </w:pPr>
      <w:bookmarkStart w:id="76772" w:name="ET_speaker_6339_2"/>
      <w:r>
        <w:rPr>
          <w:rStyle w:val="TagStyle"/>
          <w:rFonts w:hint="cs"/>
          <w:rtl/>
        </w:rPr>
        <w:t xml:space="preserve"> &lt;&lt; דובר &gt;&gt; </w:t>
      </w:r>
      <w:bookmarkStart w:id="76773" w:name="_Toc141197187"/>
      <w:bookmarkStart w:id="76774" w:name="_Toc141196923"/>
      <w:r>
        <w:rPr>
          <w:rFonts w:hint="cs"/>
          <w:rtl/>
        </w:rPr>
        <w:t>גדי איזנקוט (המחנה הממלכתי):</w:t>
      </w:r>
      <w:bookmarkEnd w:id="76773"/>
      <w:bookmarkEnd w:id="76774"/>
      <w:r>
        <w:rPr>
          <w:rStyle w:val="TagStyle"/>
          <w:rFonts w:hint="cs"/>
          <w:rtl/>
        </w:rPr>
        <w:t xml:space="preserve"> &lt;&lt; דובר &gt;&gt;</w:t>
      </w:r>
      <w:r>
        <w:rPr>
          <w:rFonts w:hint="cs"/>
          <w:rtl/>
        </w:rPr>
        <w:t xml:space="preserve">   </w:t>
      </w:r>
      <w:bookmarkEnd w:id="76772"/>
    </w:p>
    <w:p w:rsidR="00BB59CD" w:rsidRDefault="00BB59CD" w:rsidP="00337201">
      <w:pPr>
        <w:rPr>
          <w:rtl/>
        </w:rPr>
      </w:pPr>
    </w:p>
    <w:p w:rsidR="00BB59CD" w:rsidRDefault="00BB59CD" w:rsidP="00C248AD">
      <w:pPr>
        <w:rPr>
          <w:rtl/>
        </w:rPr>
      </w:pPr>
      <w:bookmarkStart w:id="76775" w:name="_ETM_Q136_696559"/>
      <w:bookmarkEnd w:id="76775"/>
      <w:r>
        <w:rPr>
          <w:rFonts w:hint="cs"/>
          <w:rtl/>
        </w:rPr>
        <w:t xml:space="preserve">יושב-ראש </w:t>
      </w:r>
      <w:bookmarkStart w:id="76776" w:name="_ETM_Q136_697370"/>
      <w:bookmarkEnd w:id="76776"/>
      <w:r>
        <w:rPr>
          <w:rFonts w:hint="cs"/>
          <w:rtl/>
        </w:rPr>
        <w:t xml:space="preserve">הישיבה, </w:t>
      </w:r>
      <w:bookmarkStart w:id="76777" w:name="_ETM_Q136_698090"/>
      <w:bookmarkEnd w:id="76777"/>
      <w:r>
        <w:rPr>
          <w:rFonts w:hint="cs"/>
          <w:rtl/>
        </w:rPr>
        <w:t xml:space="preserve">כנסת </w:t>
      </w:r>
      <w:bookmarkStart w:id="76778" w:name="_ETM_Q136_698510"/>
      <w:bookmarkEnd w:id="76778"/>
      <w:r>
        <w:rPr>
          <w:rFonts w:hint="cs"/>
          <w:rtl/>
        </w:rPr>
        <w:t xml:space="preserve">נכבדה, </w:t>
      </w:r>
      <w:bookmarkStart w:id="76779" w:name="_ETM_Q136_700720"/>
      <w:bookmarkEnd w:id="76779"/>
      <w:r>
        <w:rPr>
          <w:rFonts w:hint="cs"/>
          <w:rtl/>
        </w:rPr>
        <w:t xml:space="preserve">לפני </w:t>
      </w:r>
      <w:bookmarkStart w:id="76780" w:name="_ETM_Q136_701200"/>
      <w:bookmarkEnd w:id="76780"/>
      <w:r>
        <w:rPr>
          <w:rFonts w:hint="cs"/>
          <w:rtl/>
        </w:rPr>
        <w:t xml:space="preserve">כמה </w:t>
      </w:r>
      <w:bookmarkStart w:id="76781" w:name="_ETM_Q136_701650"/>
      <w:bookmarkEnd w:id="76781"/>
      <w:r>
        <w:rPr>
          <w:rFonts w:hint="cs"/>
          <w:rtl/>
        </w:rPr>
        <w:t xml:space="preserve">ימים </w:t>
      </w:r>
      <w:bookmarkStart w:id="76782" w:name="_ETM_Q136_702429"/>
      <w:bookmarkEnd w:id="76782"/>
      <w:r>
        <w:rPr>
          <w:rFonts w:hint="cs"/>
          <w:rtl/>
        </w:rPr>
        <w:t xml:space="preserve">נערך </w:t>
      </w:r>
      <w:bookmarkStart w:id="76783" w:name="_ETM_Q136_703209"/>
      <w:bookmarkEnd w:id="76783"/>
      <w:r>
        <w:rPr>
          <w:rFonts w:hint="cs"/>
          <w:rtl/>
        </w:rPr>
        <w:t xml:space="preserve">יום </w:t>
      </w:r>
      <w:bookmarkStart w:id="76784" w:name="_ETM_Q136_703450"/>
      <w:bookmarkEnd w:id="76784"/>
      <w:r>
        <w:rPr>
          <w:rFonts w:hint="cs"/>
          <w:rtl/>
        </w:rPr>
        <w:t xml:space="preserve">זיכרון </w:t>
      </w:r>
      <w:bookmarkStart w:id="76785" w:name="_ETM_Q136_703929"/>
      <w:bookmarkEnd w:id="76785"/>
      <w:r>
        <w:rPr>
          <w:rFonts w:hint="cs"/>
          <w:rtl/>
        </w:rPr>
        <w:t xml:space="preserve">ממלכתי </w:t>
      </w:r>
      <w:bookmarkStart w:id="76786" w:name="_ETM_Q136_704530"/>
      <w:bookmarkEnd w:id="76786"/>
      <w:r>
        <w:rPr>
          <w:rFonts w:hint="cs"/>
          <w:rtl/>
        </w:rPr>
        <w:t xml:space="preserve">לזכרו </w:t>
      </w:r>
      <w:bookmarkStart w:id="76787" w:name="_ETM_Q136_705130"/>
      <w:bookmarkEnd w:id="76787"/>
      <w:r>
        <w:rPr>
          <w:rFonts w:hint="cs"/>
          <w:rtl/>
        </w:rPr>
        <w:t xml:space="preserve">של </w:t>
      </w:r>
      <w:bookmarkStart w:id="76788" w:name="_ETM_Q136_705870"/>
      <w:bookmarkEnd w:id="76788"/>
      <w:r>
        <w:rPr>
          <w:rFonts w:hint="cs"/>
          <w:rtl/>
        </w:rPr>
        <w:t xml:space="preserve">זאב </w:t>
      </w:r>
      <w:bookmarkStart w:id="76789" w:name="_ETM_Q136_706409"/>
      <w:bookmarkEnd w:id="76789"/>
      <w:r>
        <w:rPr>
          <w:rFonts w:hint="cs"/>
          <w:rtl/>
        </w:rPr>
        <w:t xml:space="preserve">ז'בוטינסקי, </w:t>
      </w:r>
      <w:bookmarkStart w:id="76790" w:name="_ETM_Q136_708150"/>
      <w:bookmarkEnd w:id="76790"/>
      <w:r>
        <w:rPr>
          <w:rFonts w:hint="cs"/>
          <w:rtl/>
        </w:rPr>
        <w:t xml:space="preserve">שלפני </w:t>
      </w:r>
      <w:bookmarkStart w:id="76791" w:name="_ETM_Q136_708690"/>
      <w:bookmarkEnd w:id="76791"/>
      <w:r>
        <w:rPr>
          <w:rFonts w:hint="cs"/>
          <w:rtl/>
        </w:rPr>
        <w:t xml:space="preserve">100 </w:t>
      </w:r>
      <w:bookmarkStart w:id="76792" w:name="_ETM_Q136_708929"/>
      <w:bookmarkEnd w:id="76792"/>
      <w:r>
        <w:rPr>
          <w:rFonts w:hint="cs"/>
          <w:rtl/>
        </w:rPr>
        <w:t xml:space="preserve">שנים </w:t>
      </w:r>
      <w:bookmarkStart w:id="76793" w:name="_ETM_Q136_709530"/>
      <w:bookmarkEnd w:id="76793"/>
      <w:r>
        <w:rPr>
          <w:rFonts w:hint="cs"/>
          <w:rtl/>
        </w:rPr>
        <w:t xml:space="preserve">כתב </w:t>
      </w:r>
      <w:bookmarkStart w:id="76794" w:name="_ETM_Q136_709890"/>
      <w:bookmarkEnd w:id="76794"/>
      <w:r>
        <w:rPr>
          <w:rFonts w:hint="cs"/>
          <w:rtl/>
        </w:rPr>
        <w:t xml:space="preserve">את </w:t>
      </w:r>
      <w:bookmarkStart w:id="76795" w:name="_ETM_Q136_710069"/>
      <w:bookmarkEnd w:id="76795"/>
      <w:r>
        <w:rPr>
          <w:rFonts w:hint="cs"/>
          <w:rtl/>
        </w:rPr>
        <w:t xml:space="preserve">המאמר </w:t>
      </w:r>
      <w:bookmarkStart w:id="76796" w:name="_ETM_Q136_710910"/>
      <w:bookmarkEnd w:id="76796"/>
      <w:r>
        <w:rPr>
          <w:rFonts w:hint="cs"/>
          <w:rtl/>
        </w:rPr>
        <w:t xml:space="preserve">"על </w:t>
      </w:r>
      <w:bookmarkStart w:id="76797" w:name="_ETM_Q136_711090"/>
      <w:bookmarkEnd w:id="76797"/>
      <w:r>
        <w:rPr>
          <w:rFonts w:hint="cs"/>
          <w:rtl/>
        </w:rPr>
        <w:t xml:space="preserve">קיר </w:t>
      </w:r>
      <w:bookmarkStart w:id="76798" w:name="_ETM_Q136_711330"/>
      <w:bookmarkEnd w:id="76798"/>
      <w:r>
        <w:rPr>
          <w:rFonts w:hint="cs"/>
          <w:rtl/>
        </w:rPr>
        <w:t xml:space="preserve">הברזל", </w:t>
      </w:r>
      <w:bookmarkStart w:id="76799" w:name="_ETM_Q136_712950"/>
      <w:bookmarkEnd w:id="76799"/>
      <w:r>
        <w:rPr>
          <w:rFonts w:hint="cs"/>
          <w:rtl/>
        </w:rPr>
        <w:t xml:space="preserve">מסמך </w:t>
      </w:r>
      <w:bookmarkStart w:id="76800" w:name="_ETM_Q136_713640"/>
      <w:bookmarkEnd w:id="76800"/>
      <w:r>
        <w:rPr>
          <w:rFonts w:hint="cs"/>
          <w:rtl/>
        </w:rPr>
        <w:t xml:space="preserve">מכונן </w:t>
      </w:r>
      <w:bookmarkStart w:id="76801" w:name="_ETM_Q136_714600"/>
      <w:bookmarkEnd w:id="76801"/>
      <w:r>
        <w:rPr>
          <w:rFonts w:hint="cs"/>
          <w:rtl/>
        </w:rPr>
        <w:t xml:space="preserve">לתפיסה </w:t>
      </w:r>
      <w:bookmarkStart w:id="76802" w:name="_ETM_Q136_715230"/>
      <w:bookmarkEnd w:id="76802"/>
      <w:r>
        <w:rPr>
          <w:rFonts w:hint="cs"/>
          <w:rtl/>
        </w:rPr>
        <w:t xml:space="preserve">הציונית </w:t>
      </w:r>
      <w:bookmarkStart w:id="76803" w:name="_ETM_Q136_716599"/>
      <w:bookmarkEnd w:id="76803"/>
      <w:r>
        <w:rPr>
          <w:rFonts w:hint="cs"/>
          <w:rtl/>
        </w:rPr>
        <w:t xml:space="preserve">ולתפיסת </w:t>
      </w:r>
      <w:bookmarkStart w:id="76804" w:name="_ETM_Q136_717230"/>
      <w:bookmarkEnd w:id="76804"/>
      <w:r>
        <w:rPr>
          <w:rFonts w:hint="cs"/>
          <w:rtl/>
        </w:rPr>
        <w:t xml:space="preserve">הביטחון </w:t>
      </w:r>
      <w:bookmarkStart w:id="76805" w:name="_ETM_Q136_717769"/>
      <w:bookmarkEnd w:id="76805"/>
      <w:r>
        <w:rPr>
          <w:rFonts w:hint="cs"/>
          <w:rtl/>
        </w:rPr>
        <w:t xml:space="preserve">העתידית. </w:t>
      </w:r>
      <w:bookmarkStart w:id="76806" w:name="_ETM_Q136_719629"/>
      <w:bookmarkEnd w:id="76806"/>
      <w:r>
        <w:rPr>
          <w:rFonts w:hint="cs"/>
          <w:rtl/>
        </w:rPr>
        <w:t xml:space="preserve">עושה </w:t>
      </w:r>
      <w:bookmarkStart w:id="76807" w:name="_ETM_Q136_719989"/>
      <w:bookmarkEnd w:id="76807"/>
      <w:r>
        <w:rPr>
          <w:rFonts w:hint="cs"/>
          <w:rtl/>
        </w:rPr>
        <w:t xml:space="preserve">רושם </w:t>
      </w:r>
      <w:bookmarkStart w:id="76808" w:name="_ETM_Q136_721160"/>
      <w:bookmarkEnd w:id="76808"/>
      <w:r>
        <w:rPr>
          <w:rFonts w:hint="cs"/>
          <w:rtl/>
        </w:rPr>
        <w:t xml:space="preserve">שמי </w:t>
      </w:r>
      <w:bookmarkStart w:id="76809" w:name="_ETM_Q136_721490"/>
      <w:bookmarkEnd w:id="76809"/>
      <w:r>
        <w:rPr>
          <w:rFonts w:hint="cs"/>
          <w:rtl/>
        </w:rPr>
        <w:t xml:space="preserve">שמתיימרים </w:t>
      </w:r>
      <w:bookmarkStart w:id="76810" w:name="_ETM_Q136_722300"/>
      <w:bookmarkEnd w:id="76810"/>
      <w:r>
        <w:rPr>
          <w:rFonts w:hint="cs"/>
          <w:rtl/>
        </w:rPr>
        <w:t xml:space="preserve">להיות </w:t>
      </w:r>
      <w:bookmarkStart w:id="76811" w:name="_ETM_Q136_722570"/>
      <w:bookmarkEnd w:id="76811"/>
      <w:r>
        <w:rPr>
          <w:rFonts w:hint="cs"/>
          <w:rtl/>
        </w:rPr>
        <w:t xml:space="preserve">ממשיכי </w:t>
      </w:r>
      <w:bookmarkStart w:id="76812" w:name="_ETM_Q136_723110"/>
      <w:bookmarkEnd w:id="76812"/>
      <w:r>
        <w:rPr>
          <w:rFonts w:hint="cs"/>
          <w:rtl/>
        </w:rPr>
        <w:t xml:space="preserve">דרכו </w:t>
      </w:r>
      <w:bookmarkStart w:id="76813" w:name="_ETM_Q136_724590"/>
      <w:bookmarkEnd w:id="76813"/>
      <w:r>
        <w:rPr>
          <w:rFonts w:hint="cs"/>
          <w:rtl/>
        </w:rPr>
        <w:t xml:space="preserve">גמרו </w:t>
      </w:r>
      <w:bookmarkStart w:id="76814" w:name="_ETM_Q136_725160"/>
      <w:bookmarkEnd w:id="76814"/>
      <w:r>
        <w:rPr>
          <w:rFonts w:hint="cs"/>
          <w:rtl/>
        </w:rPr>
        <w:t xml:space="preserve">אומר </w:t>
      </w:r>
      <w:bookmarkStart w:id="76815" w:name="_ETM_Q136_725459"/>
      <w:bookmarkEnd w:id="76815"/>
      <w:r>
        <w:rPr>
          <w:rFonts w:hint="cs"/>
          <w:rtl/>
        </w:rPr>
        <w:t xml:space="preserve">לחתור </w:t>
      </w:r>
      <w:bookmarkStart w:id="76816" w:name="_ETM_Q136_726300"/>
      <w:bookmarkEnd w:id="76816"/>
      <w:r>
        <w:rPr>
          <w:rFonts w:hint="cs"/>
          <w:rtl/>
        </w:rPr>
        <w:t xml:space="preserve">תחת </w:t>
      </w:r>
      <w:bookmarkStart w:id="76817" w:name="_ETM_Q136_726720"/>
      <w:bookmarkEnd w:id="76817"/>
      <w:r>
        <w:rPr>
          <w:rFonts w:hint="cs"/>
          <w:rtl/>
        </w:rPr>
        <w:t xml:space="preserve">קיר </w:t>
      </w:r>
      <w:bookmarkStart w:id="76818" w:name="_ETM_Q136_726959"/>
      <w:bookmarkEnd w:id="76818"/>
      <w:r>
        <w:rPr>
          <w:rFonts w:hint="cs"/>
          <w:rtl/>
        </w:rPr>
        <w:t xml:space="preserve">הברזל </w:t>
      </w:r>
      <w:bookmarkStart w:id="76819" w:name="_ETM_Q136_728290"/>
      <w:bookmarkEnd w:id="76819"/>
      <w:r>
        <w:rPr>
          <w:rFonts w:hint="cs"/>
          <w:rtl/>
        </w:rPr>
        <w:t xml:space="preserve">ולערער </w:t>
      </w:r>
      <w:bookmarkStart w:id="76820" w:name="_ETM_Q136_729279"/>
      <w:bookmarkEnd w:id="76820"/>
      <w:r>
        <w:rPr>
          <w:rFonts w:hint="cs"/>
          <w:rtl/>
        </w:rPr>
        <w:t xml:space="preserve">את </w:t>
      </w:r>
      <w:bookmarkStart w:id="76821" w:name="_ETM_Q136_729429"/>
      <w:bookmarkEnd w:id="76821"/>
      <w:r>
        <w:rPr>
          <w:rFonts w:hint="cs"/>
          <w:rtl/>
        </w:rPr>
        <w:t xml:space="preserve">שני </w:t>
      </w:r>
      <w:bookmarkStart w:id="76822" w:name="_ETM_Q136_729729"/>
      <w:bookmarkEnd w:id="76822"/>
      <w:r>
        <w:rPr>
          <w:rFonts w:hint="cs"/>
          <w:rtl/>
        </w:rPr>
        <w:t xml:space="preserve">האדנים </w:t>
      </w:r>
      <w:bookmarkStart w:id="76823" w:name="_ETM_Q136_730269"/>
      <w:bookmarkEnd w:id="76823"/>
      <w:r>
        <w:rPr>
          <w:rFonts w:hint="cs"/>
          <w:rtl/>
        </w:rPr>
        <w:t xml:space="preserve">שעליהם </w:t>
      </w:r>
      <w:bookmarkStart w:id="76824" w:name="_ETM_Q136_730869"/>
      <w:bookmarkEnd w:id="76824"/>
      <w:r>
        <w:rPr>
          <w:rFonts w:hint="cs"/>
          <w:rtl/>
        </w:rPr>
        <w:t xml:space="preserve">נבנתה </w:t>
      </w:r>
      <w:bookmarkStart w:id="76825" w:name="_ETM_Q136_731409"/>
      <w:bookmarkEnd w:id="76825"/>
      <w:r>
        <w:rPr>
          <w:rFonts w:hint="cs"/>
          <w:rtl/>
        </w:rPr>
        <w:t xml:space="preserve">המדינה </w:t>
      </w:r>
      <w:bookmarkStart w:id="76826" w:name="_ETM_Q136_732679"/>
      <w:bookmarkEnd w:id="76826"/>
      <w:r>
        <w:rPr>
          <w:rFonts w:hint="cs"/>
          <w:rtl/>
        </w:rPr>
        <w:t xml:space="preserve">כיהודית </w:t>
      </w:r>
      <w:bookmarkStart w:id="76827" w:name="_ETM_Q136_733879"/>
      <w:bookmarkEnd w:id="76827"/>
      <w:r>
        <w:rPr>
          <w:rFonts w:hint="cs"/>
          <w:rtl/>
        </w:rPr>
        <w:t xml:space="preserve">ודמוקרטית. </w:t>
      </w:r>
      <w:bookmarkStart w:id="76828" w:name="_ETM_Q136_735949"/>
      <w:bookmarkEnd w:id="76828"/>
      <w:r>
        <w:rPr>
          <w:rFonts w:hint="cs"/>
          <w:rtl/>
        </w:rPr>
        <w:t xml:space="preserve">בקרוב </w:t>
      </w:r>
      <w:bookmarkStart w:id="76829" w:name="_ETM_Q136_736699"/>
      <w:bookmarkEnd w:id="76829"/>
      <w:r>
        <w:rPr>
          <w:rFonts w:hint="cs"/>
          <w:rtl/>
        </w:rPr>
        <w:t xml:space="preserve">תחל </w:t>
      </w:r>
      <w:bookmarkStart w:id="76830" w:name="_ETM_Q136_737059"/>
      <w:bookmarkEnd w:id="76830"/>
      <w:r>
        <w:rPr>
          <w:rFonts w:hint="cs"/>
          <w:rtl/>
        </w:rPr>
        <w:t xml:space="preserve">ההצבעה </w:t>
      </w:r>
      <w:bookmarkStart w:id="76831" w:name="_ETM_Q136_737539"/>
      <w:bookmarkEnd w:id="76831"/>
      <w:r>
        <w:rPr>
          <w:rFonts w:hint="cs"/>
          <w:rtl/>
        </w:rPr>
        <w:t xml:space="preserve">על </w:t>
      </w:r>
      <w:bookmarkStart w:id="76832" w:name="_ETM_Q136_737690"/>
      <w:bookmarkEnd w:id="76832"/>
      <w:r>
        <w:rPr>
          <w:rFonts w:hint="cs"/>
          <w:rtl/>
        </w:rPr>
        <w:t>חוק</w:t>
      </w:r>
      <w:bookmarkStart w:id="76833" w:name="_ETM_Q136_738409"/>
      <w:bookmarkEnd w:id="76833"/>
      <w:r>
        <w:rPr>
          <w:rFonts w:hint="cs"/>
          <w:rtl/>
        </w:rPr>
        <w:t>-יסוד: השפיטה (תיקון מס' 5) (</w:t>
      </w:r>
      <w:bookmarkStart w:id="76834" w:name="_ETM_Q136_738830"/>
      <w:bookmarkStart w:id="76835" w:name="_ETM_Q136_739309"/>
      <w:bookmarkStart w:id="76836" w:name="_ETM_Q136_739789"/>
      <w:bookmarkEnd w:id="76834"/>
      <w:bookmarkEnd w:id="76835"/>
      <w:bookmarkEnd w:id="76836"/>
      <w:r>
        <w:rPr>
          <w:rFonts w:hint="cs"/>
          <w:rtl/>
        </w:rPr>
        <w:t xml:space="preserve">עילת </w:t>
      </w:r>
      <w:bookmarkStart w:id="76837" w:name="_ETM_Q136_740030"/>
      <w:bookmarkEnd w:id="76837"/>
      <w:r>
        <w:rPr>
          <w:rFonts w:hint="cs"/>
          <w:rtl/>
        </w:rPr>
        <w:t xml:space="preserve">הסבירות) </w:t>
      </w:r>
      <w:bookmarkStart w:id="76838" w:name="_ETM_Q136_741289"/>
      <w:bookmarkEnd w:id="76838"/>
      <w:r>
        <w:rPr>
          <w:rFonts w:hint="cs"/>
          <w:rtl/>
        </w:rPr>
        <w:t xml:space="preserve">כחלק </w:t>
      </w:r>
      <w:bookmarkStart w:id="76839" w:name="_ETM_Q136_741740"/>
      <w:bookmarkEnd w:id="76839"/>
      <w:r>
        <w:rPr>
          <w:rFonts w:hint="cs"/>
          <w:rtl/>
        </w:rPr>
        <w:t xml:space="preserve">מתוכנית </w:t>
      </w:r>
      <w:bookmarkStart w:id="76840" w:name="_ETM_Q136_742370"/>
      <w:bookmarkEnd w:id="76840"/>
      <w:r>
        <w:rPr>
          <w:rFonts w:hint="cs"/>
          <w:rtl/>
        </w:rPr>
        <w:t xml:space="preserve">רחבה </w:t>
      </w:r>
      <w:bookmarkStart w:id="76841" w:name="_ETM_Q136_742819"/>
      <w:bookmarkEnd w:id="76841"/>
      <w:r>
        <w:rPr>
          <w:rFonts w:hint="cs"/>
          <w:rtl/>
        </w:rPr>
        <w:t xml:space="preserve">יותר, </w:t>
      </w:r>
      <w:bookmarkStart w:id="76842" w:name="_ETM_Q136_744420"/>
      <w:bookmarkEnd w:id="76842"/>
      <w:r>
        <w:rPr>
          <w:rFonts w:hint="cs"/>
          <w:rtl/>
        </w:rPr>
        <w:t xml:space="preserve">תוכנית </w:t>
      </w:r>
      <w:bookmarkStart w:id="76843" w:name="_ETM_Q136_745350"/>
      <w:bookmarkEnd w:id="76843"/>
      <w:r>
        <w:rPr>
          <w:rFonts w:hint="cs"/>
          <w:rtl/>
        </w:rPr>
        <w:t xml:space="preserve">רחבה </w:t>
      </w:r>
      <w:bookmarkStart w:id="76844" w:name="_ETM_Q136_745740"/>
      <w:bookmarkEnd w:id="76844"/>
      <w:r>
        <w:rPr>
          <w:rFonts w:hint="cs"/>
          <w:rtl/>
        </w:rPr>
        <w:t xml:space="preserve">יותר </w:t>
      </w:r>
      <w:bookmarkStart w:id="76845" w:name="_ETM_Q136_746130"/>
      <w:bookmarkEnd w:id="76845"/>
      <w:r>
        <w:rPr>
          <w:rFonts w:hint="cs"/>
          <w:rtl/>
        </w:rPr>
        <w:t xml:space="preserve">לשינוי </w:t>
      </w:r>
      <w:bookmarkStart w:id="76846" w:name="_ETM_Q136_746670"/>
      <w:bookmarkEnd w:id="76846"/>
      <w:r>
        <w:rPr>
          <w:rFonts w:hint="cs"/>
          <w:rtl/>
        </w:rPr>
        <w:t xml:space="preserve">פני </w:t>
      </w:r>
      <w:bookmarkStart w:id="76847" w:name="_ETM_Q136_747520"/>
      <w:bookmarkEnd w:id="76847"/>
      <w:r>
        <w:rPr>
          <w:rFonts w:hint="cs"/>
          <w:rtl/>
        </w:rPr>
        <w:t xml:space="preserve">מערכת </w:t>
      </w:r>
      <w:bookmarkStart w:id="76848" w:name="_ETM_Q136_748150"/>
      <w:bookmarkEnd w:id="76848"/>
      <w:r>
        <w:rPr>
          <w:rFonts w:hint="cs"/>
          <w:rtl/>
        </w:rPr>
        <w:t xml:space="preserve">המשפט </w:t>
      </w:r>
      <w:bookmarkStart w:id="76849" w:name="_ETM_Q136_748719"/>
      <w:bookmarkEnd w:id="76849"/>
      <w:r>
        <w:rPr>
          <w:rFonts w:hint="cs"/>
          <w:rtl/>
        </w:rPr>
        <w:t xml:space="preserve">והמשטר </w:t>
      </w:r>
      <w:bookmarkStart w:id="76850" w:name="_ETM_Q136_749229"/>
      <w:bookmarkEnd w:id="76850"/>
      <w:r>
        <w:rPr>
          <w:rFonts w:hint="cs"/>
          <w:rtl/>
        </w:rPr>
        <w:t xml:space="preserve">בישראל. </w:t>
      </w:r>
      <w:bookmarkStart w:id="76851" w:name="_ETM_Q136_750870"/>
      <w:bookmarkEnd w:id="76851"/>
      <w:r>
        <w:rPr>
          <w:rFonts w:hint="cs"/>
          <w:rtl/>
        </w:rPr>
        <w:t xml:space="preserve">תפנית </w:t>
      </w:r>
      <w:bookmarkStart w:id="76852" w:name="_ETM_Q136_751350"/>
      <w:bookmarkEnd w:id="76852"/>
      <w:r>
        <w:rPr>
          <w:rFonts w:hint="cs"/>
          <w:rtl/>
        </w:rPr>
        <w:t xml:space="preserve">אסטרטגית </w:t>
      </w:r>
      <w:bookmarkStart w:id="76853" w:name="_ETM_Q136_752250"/>
      <w:bookmarkEnd w:id="76853"/>
      <w:r>
        <w:rPr>
          <w:rFonts w:hint="cs"/>
          <w:rtl/>
        </w:rPr>
        <w:t xml:space="preserve">היא </w:t>
      </w:r>
      <w:bookmarkStart w:id="76854" w:name="_ETM_Q136_752490"/>
      <w:bookmarkEnd w:id="76854"/>
      <w:r>
        <w:rPr>
          <w:rFonts w:hint="cs"/>
          <w:rtl/>
        </w:rPr>
        <w:t xml:space="preserve">מושג </w:t>
      </w:r>
      <w:bookmarkStart w:id="76855" w:name="_ETM_Q136_752970"/>
      <w:bookmarkEnd w:id="76855"/>
      <w:r>
        <w:rPr>
          <w:rFonts w:hint="cs"/>
          <w:rtl/>
        </w:rPr>
        <w:t xml:space="preserve">שבדרך </w:t>
      </w:r>
      <w:bookmarkStart w:id="76856" w:name="_ETM_Q136_753480"/>
      <w:bookmarkEnd w:id="76856"/>
      <w:r>
        <w:rPr>
          <w:rFonts w:hint="cs"/>
          <w:rtl/>
        </w:rPr>
        <w:t xml:space="preserve">כלל </w:t>
      </w:r>
      <w:bookmarkStart w:id="76857" w:name="_ETM_Q136_753720"/>
      <w:bookmarkEnd w:id="76857"/>
      <w:r>
        <w:rPr>
          <w:rFonts w:hint="cs"/>
          <w:rtl/>
        </w:rPr>
        <w:t xml:space="preserve">ייחדנו </w:t>
      </w:r>
      <w:bookmarkStart w:id="76858" w:name="_ETM_Q136_754200"/>
      <w:bookmarkStart w:id="76859" w:name="_ETM_Q136_755040"/>
      <w:bookmarkEnd w:id="76858"/>
      <w:bookmarkEnd w:id="76859"/>
      <w:r>
        <w:rPr>
          <w:rFonts w:hint="cs"/>
          <w:rtl/>
        </w:rPr>
        <w:t xml:space="preserve">בהערכות </w:t>
      </w:r>
      <w:bookmarkStart w:id="76860" w:name="_ETM_Q136_755610"/>
      <w:bookmarkEnd w:id="76860"/>
      <w:r>
        <w:rPr>
          <w:rFonts w:hint="cs"/>
          <w:rtl/>
        </w:rPr>
        <w:t xml:space="preserve">מצב </w:t>
      </w:r>
      <w:bookmarkStart w:id="76861" w:name="_ETM_Q136_755970"/>
      <w:bookmarkEnd w:id="76861"/>
      <w:r>
        <w:rPr>
          <w:rFonts w:hint="cs"/>
          <w:rtl/>
        </w:rPr>
        <w:t xml:space="preserve">שנתיות </w:t>
      </w:r>
      <w:bookmarkStart w:id="76862" w:name="_ETM_Q136_756540"/>
      <w:bookmarkEnd w:id="76862"/>
      <w:r>
        <w:rPr>
          <w:rFonts w:hint="cs"/>
          <w:rtl/>
        </w:rPr>
        <w:t xml:space="preserve">לאויבים </w:t>
      </w:r>
      <w:bookmarkStart w:id="76863" w:name="_ETM_Q136_756960"/>
      <w:bookmarkEnd w:id="76863"/>
      <w:r>
        <w:rPr>
          <w:rFonts w:hint="cs"/>
          <w:rtl/>
        </w:rPr>
        <w:t>שלנו</w:t>
      </w:r>
      <w:bookmarkStart w:id="76864" w:name="_ETM_Q136_758279"/>
      <w:bookmarkStart w:id="76865" w:name="_ETM_Q136_40925"/>
      <w:bookmarkEnd w:id="76864"/>
      <w:bookmarkEnd w:id="76865"/>
      <w:r>
        <w:rPr>
          <w:rFonts w:hint="cs"/>
          <w:rtl/>
        </w:rPr>
        <w:t>.</w:t>
      </w:r>
      <w:r w:rsidR="00530385">
        <w:rPr>
          <w:rFonts w:hint="cs"/>
          <w:rtl/>
        </w:rPr>
        <w:t xml:space="preserve"> </w:t>
      </w:r>
      <w:bookmarkStart w:id="76866" w:name="TOR_Q137"/>
      <w:bookmarkEnd w:id="76866"/>
      <w:r>
        <w:rPr>
          <w:rFonts w:hint="cs"/>
          <w:rtl/>
        </w:rPr>
        <w:t xml:space="preserve">לראשונה אנחנו רואים שתפנית אסטרטגית שלילית שפוגעת בחוסן הלאומי ובביטחון הלאומי של </w:t>
      </w:r>
      <w:bookmarkStart w:id="76867" w:name="_ETM_Q137_165345"/>
      <w:bookmarkEnd w:id="76867"/>
      <w:r>
        <w:rPr>
          <w:rFonts w:hint="cs"/>
          <w:rtl/>
        </w:rPr>
        <w:t xml:space="preserve">ישראל נגרמת לא על ידי כוח עליון, לא על ידי </w:t>
      </w:r>
      <w:bookmarkStart w:id="76868" w:name="_ETM_Q137_172361"/>
      <w:bookmarkEnd w:id="76868"/>
      <w:r>
        <w:rPr>
          <w:rFonts w:hint="cs"/>
          <w:rtl/>
        </w:rPr>
        <w:t xml:space="preserve">אויב חיצוני, אלא על ידי החלטת ממשלת ישראל שמטלטלת את </w:t>
      </w:r>
      <w:bookmarkStart w:id="76869" w:name="_ETM_Q137_175115"/>
      <w:bookmarkEnd w:id="76869"/>
      <w:r>
        <w:rPr>
          <w:rFonts w:hint="cs"/>
          <w:rtl/>
        </w:rPr>
        <w:t xml:space="preserve">המדינה. </w:t>
      </w:r>
    </w:p>
    <w:p w:rsidR="00BB59CD" w:rsidRDefault="00BB59CD" w:rsidP="00BB59CD">
      <w:pPr>
        <w:rPr>
          <w:rtl/>
        </w:rPr>
      </w:pPr>
      <w:bookmarkStart w:id="76870" w:name="_ETM_Q137_181098"/>
      <w:bookmarkEnd w:id="76870"/>
    </w:p>
    <w:p w:rsidR="00BB59CD" w:rsidRDefault="00BB59CD" w:rsidP="00BB59CD">
      <w:pPr>
        <w:rPr>
          <w:rtl/>
        </w:rPr>
      </w:pPr>
      <w:bookmarkStart w:id="76871" w:name="_ETM_Q137_181349"/>
      <w:bookmarkStart w:id="76872" w:name="_ETM_Q137_181369"/>
      <w:bookmarkEnd w:id="76871"/>
      <w:bookmarkEnd w:id="76872"/>
      <w:r>
        <w:rPr>
          <w:rFonts w:hint="cs"/>
          <w:rtl/>
        </w:rPr>
        <w:t>כ</w:t>
      </w:r>
      <w:bookmarkStart w:id="76873" w:name="_ETM_Q137_181445"/>
      <w:bookmarkEnd w:id="76873"/>
      <w:r>
        <w:rPr>
          <w:rFonts w:hint="cs"/>
          <w:rtl/>
        </w:rPr>
        <w:t xml:space="preserve">בר כמה שנים שאני לא בתפקיד ביטחוני, ובכל זאת </w:t>
      </w:r>
      <w:bookmarkStart w:id="76874" w:name="_ETM_Q137_185268"/>
      <w:bookmarkEnd w:id="76874"/>
      <w:r>
        <w:rPr>
          <w:rFonts w:hint="cs"/>
          <w:rtl/>
        </w:rPr>
        <w:t xml:space="preserve">אני רואה חובה להרים דגל; להרים דגל אדום על </w:t>
      </w:r>
      <w:bookmarkStart w:id="76875" w:name="_ETM_Q137_190707"/>
      <w:bookmarkEnd w:id="76875"/>
      <w:r>
        <w:rPr>
          <w:rFonts w:hint="cs"/>
          <w:rtl/>
        </w:rPr>
        <w:t xml:space="preserve">העובדה שהחקיקה שמטלטלת את המדינה ואת מערכת הביטחון מתרחשת בימים </w:t>
      </w:r>
      <w:bookmarkStart w:id="76876" w:name="_ETM_Q137_194102"/>
      <w:bookmarkEnd w:id="76876"/>
      <w:r>
        <w:rPr>
          <w:rFonts w:hint="cs"/>
          <w:rtl/>
        </w:rPr>
        <w:t xml:space="preserve">שבהם היקף האיומים על ישראל החמיר מאוד, באופן שהיה צריך </w:t>
      </w:r>
      <w:bookmarkStart w:id="76877" w:name="_ETM_Q137_200205"/>
      <w:bookmarkEnd w:id="76877"/>
      <w:r>
        <w:rPr>
          <w:rFonts w:hint="cs"/>
          <w:rtl/>
        </w:rPr>
        <w:t xml:space="preserve">להביא הנהגה אחראית ושפויה להקפיא את המצב ולהתמקד באתגרים </w:t>
      </w:r>
      <w:bookmarkStart w:id="76878" w:name="_ETM_Q137_208002"/>
      <w:bookmarkEnd w:id="76878"/>
      <w:r>
        <w:rPr>
          <w:rFonts w:hint="cs"/>
          <w:rtl/>
        </w:rPr>
        <w:t xml:space="preserve">האמיתיים של החברה הישראלית – לא רק אותם אתגרים </w:t>
      </w:r>
      <w:bookmarkStart w:id="76879" w:name="_ETM_Q137_214201"/>
      <w:bookmarkEnd w:id="76879"/>
      <w:r>
        <w:rPr>
          <w:rFonts w:hint="cs"/>
          <w:rtl/>
        </w:rPr>
        <w:t xml:space="preserve">שראש הממשלה עמד פה לפני שבעה חודשים והקריא, אלא אתגרים </w:t>
      </w:r>
      <w:bookmarkStart w:id="76880" w:name="_ETM_Q137_217989"/>
      <w:bookmarkEnd w:id="76880"/>
      <w:r>
        <w:rPr>
          <w:rFonts w:hint="cs"/>
          <w:rtl/>
        </w:rPr>
        <w:t xml:space="preserve">שהחמירו מאוד בחצי השנה האחרונה. חלק מזה כתוצאה מהאופן </w:t>
      </w:r>
      <w:bookmarkStart w:id="76881" w:name="_ETM_Q137_223180"/>
      <w:bookmarkEnd w:id="76881"/>
      <w:r>
        <w:rPr>
          <w:rFonts w:hint="cs"/>
          <w:rtl/>
        </w:rPr>
        <w:t xml:space="preserve">שבו האויבים שלנו רואים את מה שמתרחש במדינת ישראל. זה </w:t>
      </w:r>
      <w:bookmarkStart w:id="76882" w:name="_ETM_Q137_227361"/>
      <w:bookmarkEnd w:id="76882"/>
      <w:r>
        <w:rPr>
          <w:rFonts w:hint="cs"/>
          <w:rtl/>
        </w:rPr>
        <w:t xml:space="preserve">נכון להחמרה בתוכנית הגרעין האיראנית, שנמצאת במקום המתקדם ביותר; </w:t>
      </w:r>
      <w:bookmarkStart w:id="76883" w:name="_ETM_Q137_235666"/>
      <w:bookmarkEnd w:id="76883"/>
      <w:r>
        <w:rPr>
          <w:rFonts w:hint="cs"/>
          <w:rtl/>
        </w:rPr>
        <w:t xml:space="preserve">זה נכון לתפנית שחלה בזירה הצפונית בארגון </w:t>
      </w:r>
      <w:bookmarkStart w:id="76884" w:name="_ETM_Q137_238141"/>
      <w:bookmarkEnd w:id="76884"/>
      <w:r>
        <w:rPr>
          <w:rFonts w:hint="cs"/>
          <w:rtl/>
        </w:rPr>
        <w:t xml:space="preserve">חיזבאללה, שמזהה חולשה וצובר ביטחון רב. אפשר לראות את זה </w:t>
      </w:r>
      <w:bookmarkStart w:id="76885" w:name="_ETM_Q137_244471"/>
      <w:bookmarkEnd w:id="76885"/>
      <w:r>
        <w:rPr>
          <w:rFonts w:hint="cs"/>
          <w:rtl/>
        </w:rPr>
        <w:t xml:space="preserve">גם בחיכוך היום-יומי וגם במעשים של הפרת ריבונות, ובהחמרת ההסלמה </w:t>
      </w:r>
      <w:bookmarkStart w:id="76886" w:name="_ETM_Q137_253182"/>
      <w:bookmarkEnd w:id="76886"/>
      <w:r>
        <w:rPr>
          <w:rFonts w:hint="cs"/>
          <w:rtl/>
        </w:rPr>
        <w:t xml:space="preserve">וגל הטרור בזירה הפלסטינית. </w:t>
      </w:r>
    </w:p>
    <w:p w:rsidR="00BB59CD" w:rsidRDefault="00BB59CD" w:rsidP="00BB59CD">
      <w:pPr>
        <w:rPr>
          <w:rtl/>
        </w:rPr>
      </w:pPr>
      <w:bookmarkStart w:id="76887" w:name="_ETM_Q137_254782"/>
      <w:bookmarkEnd w:id="76887"/>
    </w:p>
    <w:p w:rsidR="00BB59CD" w:rsidRDefault="00BB59CD" w:rsidP="00BB59CD">
      <w:pPr>
        <w:rPr>
          <w:rtl/>
        </w:rPr>
      </w:pPr>
      <w:bookmarkStart w:id="76888" w:name="_ETM_Q137_254955"/>
      <w:bookmarkStart w:id="76889" w:name="_ETM_Q137_254980"/>
      <w:bookmarkStart w:id="76890" w:name="_ETM_Q137_255058"/>
      <w:bookmarkEnd w:id="76888"/>
      <w:bookmarkEnd w:id="76889"/>
      <w:bookmarkEnd w:id="76890"/>
      <w:r>
        <w:rPr>
          <w:rFonts w:hint="cs"/>
          <w:rtl/>
        </w:rPr>
        <w:t>בימים האלה נדרשת מערכת הביטחון למקד</w:t>
      </w:r>
      <w:bookmarkStart w:id="76891" w:name="_ETM_Q137_259777"/>
      <w:bookmarkEnd w:id="76891"/>
      <w:r>
        <w:rPr>
          <w:rFonts w:hint="cs"/>
          <w:rtl/>
        </w:rPr>
        <w:t xml:space="preserve"> מאמץ מול איומים. לצערי, הטלטלה והתפנית שהשיתה עליה </w:t>
      </w:r>
      <w:bookmarkStart w:id="76892" w:name="_ETM_Q137_267430"/>
      <w:bookmarkEnd w:id="76892"/>
      <w:r>
        <w:rPr>
          <w:rFonts w:hint="cs"/>
          <w:rtl/>
        </w:rPr>
        <w:t xml:space="preserve">הממשלה מחייבת את המערכת, ובעיקר את צה"ל, לעסוק במניעת התפרקות </w:t>
      </w:r>
      <w:bookmarkStart w:id="76893" w:name="_ETM_Q137_271983"/>
      <w:bookmarkEnd w:id="76893"/>
      <w:r>
        <w:rPr>
          <w:rFonts w:hint="cs"/>
          <w:rtl/>
        </w:rPr>
        <w:t xml:space="preserve">של יצירה מופלאה בחברה הישראלית, </w:t>
      </w:r>
      <w:r w:rsidR="00C248AD">
        <w:rPr>
          <w:rFonts w:hint="cs"/>
          <w:rtl/>
        </w:rPr>
        <w:t>ו</w:t>
      </w:r>
      <w:r>
        <w:rPr>
          <w:rFonts w:hint="cs"/>
          <w:rtl/>
        </w:rPr>
        <w:t xml:space="preserve">זה צה"ל כצבא העם. </w:t>
      </w:r>
    </w:p>
    <w:p w:rsidR="00BB59CD" w:rsidRDefault="00BB59CD" w:rsidP="00BB59CD">
      <w:pPr>
        <w:rPr>
          <w:rtl/>
        </w:rPr>
      </w:pPr>
    </w:p>
    <w:p w:rsidR="00BB59CD" w:rsidRDefault="00BB59CD" w:rsidP="00C248AD">
      <w:pPr>
        <w:rPr>
          <w:rtl/>
        </w:rPr>
      </w:pPr>
      <w:r>
        <w:rPr>
          <w:rFonts w:hint="cs"/>
          <w:rtl/>
        </w:rPr>
        <w:t xml:space="preserve">צמד </w:t>
      </w:r>
      <w:bookmarkStart w:id="76894" w:name="_ETM_Q137_281142"/>
      <w:bookmarkEnd w:id="76894"/>
      <w:r>
        <w:rPr>
          <w:rFonts w:hint="cs"/>
          <w:rtl/>
        </w:rPr>
        <w:t xml:space="preserve">המילים "ביטחון לאומי" עוות מאוד בשיח הפוליטי הציבורי והביטחוני במדינת </w:t>
      </w:r>
      <w:bookmarkStart w:id="76895" w:name="_ETM_Q137_286889"/>
      <w:bookmarkEnd w:id="76895"/>
      <w:r>
        <w:rPr>
          <w:rFonts w:hint="cs"/>
          <w:rtl/>
        </w:rPr>
        <w:t xml:space="preserve">ישראל. בחצי השנה האחרונה הוקם המשרד לביטחון לאומי. בתחום שלו הוא כשל כישלון חרוץ, ובכל זאת, כדי שלא </w:t>
      </w:r>
      <w:bookmarkStart w:id="76896" w:name="_ETM_Q137_298330"/>
      <w:bookmarkEnd w:id="76896"/>
      <w:r>
        <w:rPr>
          <w:rFonts w:hint="cs"/>
          <w:rtl/>
        </w:rPr>
        <w:t xml:space="preserve">יהיה בלבול, ראוי מעת לעת להזכיר שביטחון לאומי אמיתי, לא </w:t>
      </w:r>
      <w:bookmarkStart w:id="76897" w:name="_ETM_Q137_302736"/>
      <w:bookmarkEnd w:id="76897"/>
      <w:r>
        <w:rPr>
          <w:rFonts w:hint="cs"/>
          <w:rtl/>
        </w:rPr>
        <w:t xml:space="preserve">הבלוף שאנחנו חווים בחצי השנה האחרונה, הוא מצב המבטיח </w:t>
      </w:r>
      <w:bookmarkStart w:id="76898" w:name="_ETM_Q137_307942"/>
      <w:bookmarkEnd w:id="76898"/>
      <w:r>
        <w:rPr>
          <w:rFonts w:hint="cs"/>
          <w:rtl/>
        </w:rPr>
        <w:t xml:space="preserve">את היכולת הלאומית להתמודד בכל הנסיבות מול איומים, ובעיקר </w:t>
      </w:r>
      <w:bookmarkStart w:id="76899" w:name="_ETM_Q137_313696"/>
      <w:bookmarkEnd w:id="76899"/>
      <w:r>
        <w:rPr>
          <w:rFonts w:hint="cs"/>
          <w:rtl/>
        </w:rPr>
        <w:t xml:space="preserve">איומים קיומיים, ולקדם את האינטרסים הלאומיים של מדינת ישראל. לצערי </w:t>
      </w:r>
      <w:bookmarkStart w:id="76900" w:name="_ETM_Q137_322024"/>
      <w:bookmarkEnd w:id="76900"/>
      <w:r>
        <w:rPr>
          <w:rFonts w:hint="cs"/>
          <w:rtl/>
        </w:rPr>
        <w:t xml:space="preserve">לא התקיים דיון רציני על האינטרסים הלאומיים של מדינת ישראל. </w:t>
      </w:r>
      <w:bookmarkStart w:id="76901" w:name="_ETM_Q137_326651"/>
      <w:bookmarkEnd w:id="76901"/>
      <w:r>
        <w:rPr>
          <w:rFonts w:hint="cs"/>
          <w:rtl/>
        </w:rPr>
        <w:t xml:space="preserve">ממשלת נתניהו אישרה כלאחר יד את 13 האינטרסים הלאומיים </w:t>
      </w:r>
      <w:bookmarkStart w:id="76902" w:name="_ETM_Q137_332474"/>
      <w:bookmarkEnd w:id="76902"/>
      <w:r>
        <w:rPr>
          <w:rFonts w:hint="cs"/>
          <w:rtl/>
        </w:rPr>
        <w:t xml:space="preserve">של ממשלת בנט-לפיד. ממשלת ימין על מלא מלא אימצה את </w:t>
      </w:r>
      <w:bookmarkStart w:id="76903" w:name="_ETM_Q137_335970"/>
      <w:bookmarkEnd w:id="76903"/>
      <w:r>
        <w:rPr>
          <w:rFonts w:hint="cs"/>
          <w:rtl/>
        </w:rPr>
        <w:t xml:space="preserve">13 האינטרסים בלי לשנות אות, בלי לשנות פסיק. זה </w:t>
      </w:r>
      <w:bookmarkStart w:id="76904" w:name="_ETM_Q137_340544"/>
      <w:bookmarkEnd w:id="76904"/>
      <w:r>
        <w:rPr>
          <w:rFonts w:hint="cs"/>
          <w:rtl/>
        </w:rPr>
        <w:t xml:space="preserve">מעיד משהו על הרצינות. ובכל זאת, היה ראוי ששרי הממשלה </w:t>
      </w:r>
      <w:bookmarkStart w:id="76905" w:name="_ETM_Q137_346900"/>
      <w:bookmarkEnd w:id="76905"/>
      <w:r>
        <w:rPr>
          <w:rFonts w:hint="cs"/>
          <w:rtl/>
        </w:rPr>
        <w:t xml:space="preserve">וחברי הקואליציה יקראו את האינטרסים הלאומיים, אולי זה </w:t>
      </w:r>
      <w:bookmarkStart w:id="76906" w:name="_ETM_Q137_351894"/>
      <w:bookmarkEnd w:id="76906"/>
      <w:r>
        <w:rPr>
          <w:rFonts w:hint="cs"/>
          <w:rtl/>
        </w:rPr>
        <w:t xml:space="preserve">יעזור לכם לקראת הערב להתמקד ולהתפקס על מה הדבר הנכון </w:t>
      </w:r>
      <w:bookmarkStart w:id="76907" w:name="_ETM_Q137_359899"/>
      <w:bookmarkEnd w:id="76907"/>
      <w:r>
        <w:rPr>
          <w:rFonts w:hint="cs"/>
          <w:rtl/>
        </w:rPr>
        <w:t xml:space="preserve">למדינת ישראל. </w:t>
      </w:r>
    </w:p>
    <w:p w:rsidR="00BB59CD" w:rsidRDefault="00BB59CD" w:rsidP="00BB59CD">
      <w:pPr>
        <w:rPr>
          <w:rtl/>
        </w:rPr>
      </w:pPr>
    </w:p>
    <w:p w:rsidR="00BB59CD" w:rsidRDefault="00BB59CD" w:rsidP="00C248AD">
      <w:pPr>
        <w:rPr>
          <w:rtl/>
        </w:rPr>
      </w:pPr>
      <w:r>
        <w:rPr>
          <w:rFonts w:hint="cs"/>
          <w:rtl/>
        </w:rPr>
        <w:t xml:space="preserve">הבסיס האיתן של ביטחון לאומי הוא צה"ל. הייעוד </w:t>
      </w:r>
      <w:bookmarkStart w:id="76908" w:name="_ETM_Q137_363132"/>
      <w:bookmarkEnd w:id="76908"/>
      <w:r>
        <w:rPr>
          <w:rFonts w:hint="cs"/>
          <w:rtl/>
        </w:rPr>
        <w:t xml:space="preserve">של צה"ל, שהוגדר עם הקמתו, הוא חד וברור: להגן על </w:t>
      </w:r>
      <w:bookmarkStart w:id="76909" w:name="_ETM_Q137_366173"/>
      <w:bookmarkEnd w:id="76909"/>
      <w:r>
        <w:rPr>
          <w:rFonts w:hint="cs"/>
          <w:rtl/>
        </w:rPr>
        <w:t xml:space="preserve">המדינה, להבטיח את הקיום שלה ולנצח במלחמה. בימים האלה </w:t>
      </w:r>
      <w:bookmarkStart w:id="76910" w:name="_ETM_Q137_374875"/>
      <w:bookmarkEnd w:id="76910"/>
      <w:r>
        <w:rPr>
          <w:rFonts w:hint="cs"/>
          <w:rtl/>
        </w:rPr>
        <w:t>של פערים, סדקים, אמירות חסרות אחריות של שרים מתלהמים</w:t>
      </w:r>
      <w:r w:rsidR="00C248AD">
        <w:rPr>
          <w:rFonts w:hint="cs"/>
          <w:rtl/>
        </w:rPr>
        <w:t>,</w:t>
      </w:r>
      <w:r>
        <w:rPr>
          <w:rFonts w:hint="cs"/>
          <w:rtl/>
        </w:rPr>
        <w:t xml:space="preserve"> ששולחי</w:t>
      </w:r>
      <w:bookmarkStart w:id="76911" w:name="_ETM_Q137_378299"/>
      <w:bookmarkEnd w:id="76911"/>
      <w:r>
        <w:rPr>
          <w:rFonts w:hint="cs"/>
          <w:rtl/>
        </w:rPr>
        <w:t xml:space="preserve">ם לכלא טייסים שהתנדבו שנים ארוכות וסיכנו את החיים שלהם, </w:t>
      </w:r>
      <w:bookmarkStart w:id="76912" w:name="_ETM_Q137_383065"/>
      <w:bookmarkEnd w:id="76912"/>
      <w:r>
        <w:rPr>
          <w:rFonts w:hint="cs"/>
          <w:rtl/>
        </w:rPr>
        <w:t xml:space="preserve">שולחים אותם לעזאזל ולעוד כמה מקומות – צה"ל הוא תעודת הביטוח </w:t>
      </w:r>
      <w:bookmarkStart w:id="76913" w:name="_ETM_Q137_392188"/>
      <w:bookmarkEnd w:id="76913"/>
      <w:r>
        <w:rPr>
          <w:rFonts w:hint="cs"/>
          <w:rtl/>
        </w:rPr>
        <w:t xml:space="preserve">של מדינת ישראל, ואנחנו צריכים לבלום היום בלימת חירום כדי </w:t>
      </w:r>
      <w:bookmarkStart w:id="76914" w:name="_ETM_Q137_397504"/>
      <w:bookmarkEnd w:id="76914"/>
      <w:r>
        <w:rPr>
          <w:rFonts w:hint="cs"/>
          <w:rtl/>
        </w:rPr>
        <w:t xml:space="preserve">לאפשר לו להתמקד בייעוד שלו. </w:t>
      </w:r>
    </w:p>
    <w:p w:rsidR="00BB59CD" w:rsidRDefault="00BB59CD" w:rsidP="00BB59CD">
      <w:pPr>
        <w:rPr>
          <w:rtl/>
        </w:rPr>
      </w:pPr>
      <w:bookmarkStart w:id="76915" w:name="_ETM_Q137_402241"/>
      <w:bookmarkStart w:id="76916" w:name="_ETM_Q137_402363"/>
      <w:bookmarkEnd w:id="76915"/>
      <w:bookmarkEnd w:id="76916"/>
    </w:p>
    <w:p w:rsidR="00BB59CD" w:rsidRDefault="00BB59CD" w:rsidP="00C248AD">
      <w:pPr>
        <w:rPr>
          <w:rtl/>
        </w:rPr>
      </w:pPr>
      <w:bookmarkStart w:id="76917" w:name="_ETM_Q137_402438"/>
      <w:bookmarkStart w:id="76918" w:name="_ETM_Q137_402510"/>
      <w:bookmarkEnd w:id="76917"/>
      <w:bookmarkEnd w:id="76918"/>
      <w:r>
        <w:rPr>
          <w:rFonts w:hint="cs"/>
          <w:rtl/>
        </w:rPr>
        <w:t xml:space="preserve">אני מבקש לדבר על צה"ל, </w:t>
      </w:r>
      <w:bookmarkStart w:id="76919" w:name="_ETM_Q137_403017"/>
      <w:bookmarkEnd w:id="76919"/>
      <w:r>
        <w:rPr>
          <w:rFonts w:hint="cs"/>
          <w:rtl/>
        </w:rPr>
        <w:t xml:space="preserve">צבא העם, על חוק הגיוס. חוק הגיוס, שבעיניי, </w:t>
      </w:r>
      <w:bookmarkStart w:id="76920" w:name="_ETM_Q137_407476"/>
      <w:bookmarkEnd w:id="76920"/>
      <w:r>
        <w:rPr>
          <w:rFonts w:hint="cs"/>
          <w:rtl/>
        </w:rPr>
        <w:t xml:space="preserve">שוב, הוא יצירה מופלאה של החברה הישראלית, שדורשת שירות חובה </w:t>
      </w:r>
      <w:bookmarkStart w:id="76921" w:name="_ETM_Q137_413407"/>
      <w:bookmarkEnd w:id="76921"/>
      <w:r>
        <w:rPr>
          <w:rFonts w:hint="cs"/>
          <w:rtl/>
        </w:rPr>
        <w:t xml:space="preserve">מכל בן ובת 18 שהגיע זמנם לשרת את מדינת ישראל </w:t>
      </w:r>
      <w:bookmarkStart w:id="76922" w:name="_ETM_Q137_420410"/>
      <w:bookmarkEnd w:id="76922"/>
      <w:r>
        <w:rPr>
          <w:rFonts w:hint="cs"/>
          <w:rtl/>
        </w:rPr>
        <w:t xml:space="preserve">ולחזק את הערבות ההדדית בין אזרחי המדינה. יש עם זה </w:t>
      </w:r>
      <w:bookmarkStart w:id="76923" w:name="_ETM_Q137_426876"/>
      <w:bookmarkEnd w:id="76923"/>
      <w:r>
        <w:rPr>
          <w:rFonts w:hint="cs"/>
          <w:rtl/>
        </w:rPr>
        <w:t xml:space="preserve">קשיים לאורך השנים. זה לא סוד שאחוזי הגיוס הלכו וירדו, </w:t>
      </w:r>
      <w:bookmarkStart w:id="76924" w:name="_ETM_Q137_433610"/>
      <w:bookmarkEnd w:id="76924"/>
      <w:r>
        <w:rPr>
          <w:rFonts w:hint="cs"/>
          <w:rtl/>
        </w:rPr>
        <w:t xml:space="preserve">אחוזי ההשתמטות עלו וגדלו. ובכל זאת, לפני שלושה שבועות, או </w:t>
      </w:r>
      <w:bookmarkStart w:id="76925" w:name="_ETM_Q137_439048"/>
      <w:bookmarkEnd w:id="76925"/>
      <w:r>
        <w:rPr>
          <w:rFonts w:hint="cs"/>
          <w:rtl/>
        </w:rPr>
        <w:t xml:space="preserve">יותר נכון ב-25 ביוני 2023, קרה אירוע חמור שלא קרה </w:t>
      </w:r>
      <w:bookmarkStart w:id="76926" w:name="_ETM_Q137_445369"/>
      <w:bookmarkEnd w:id="76926"/>
      <w:r>
        <w:rPr>
          <w:rFonts w:hint="cs"/>
          <w:rtl/>
        </w:rPr>
        <w:t xml:space="preserve">מאז קום המדינה: יושבת ממשלת ישראל ומקבלת החלטה, </w:t>
      </w:r>
      <w:bookmarkStart w:id="76927" w:name="_ETM_Q137_451340"/>
      <w:bookmarkEnd w:id="76927"/>
      <w:r>
        <w:rPr>
          <w:rFonts w:hint="cs"/>
          <w:rtl/>
        </w:rPr>
        <w:t xml:space="preserve">החלטה 682, שמורה לשר הביטחון להימנע מגיוס תלמידי ישיבה. אני </w:t>
      </w:r>
      <w:bookmarkStart w:id="76928" w:name="_ETM_Q137_460213"/>
      <w:bookmarkEnd w:id="76928"/>
      <w:r>
        <w:rPr>
          <w:rFonts w:hint="cs"/>
          <w:rtl/>
        </w:rPr>
        <w:t>מכבד מאוד לומדי תורה</w:t>
      </w:r>
      <w:r w:rsidR="00C248AD">
        <w:rPr>
          <w:rFonts w:hint="cs"/>
          <w:rtl/>
        </w:rPr>
        <w:t>;</w:t>
      </w:r>
      <w:r>
        <w:rPr>
          <w:rFonts w:hint="cs"/>
          <w:rtl/>
        </w:rPr>
        <w:t xml:space="preserve"> אני מדבר על אותם </w:t>
      </w:r>
      <w:bookmarkStart w:id="76929" w:name="_ETM_Q137_463186"/>
      <w:bookmarkEnd w:id="76929"/>
      <w:r>
        <w:rPr>
          <w:rFonts w:hint="cs"/>
          <w:rtl/>
        </w:rPr>
        <w:t xml:space="preserve">אלפים שמשוחררים כשהם לא לומדים תורה ועושים דברים אחרים, </w:t>
      </w:r>
      <w:bookmarkStart w:id="76930" w:name="_ETM_Q137_470247"/>
      <w:bookmarkEnd w:id="76930"/>
      <w:r>
        <w:rPr>
          <w:rFonts w:hint="cs"/>
          <w:rtl/>
        </w:rPr>
        <w:t xml:space="preserve">וראשי הקהילה החרדית מכירים את זה ויודעים את זה, ואנחנו </w:t>
      </w:r>
      <w:bookmarkStart w:id="76931" w:name="_ETM_Q137_474323"/>
      <w:bookmarkEnd w:id="76931"/>
      <w:r>
        <w:rPr>
          <w:rFonts w:hint="cs"/>
          <w:rtl/>
        </w:rPr>
        <w:t xml:space="preserve">רואים את הירידה שחלה בשנים האחרונות. ובכל זאת, כשעומד ראש </w:t>
      </w:r>
      <w:bookmarkStart w:id="76932" w:name="_ETM_Q137_478557"/>
      <w:bookmarkEnd w:id="76932"/>
      <w:r>
        <w:rPr>
          <w:rFonts w:hint="cs"/>
          <w:rtl/>
        </w:rPr>
        <w:t xml:space="preserve">ממשלה ומדבר על חוק-יסוד: הצבא, אני רוצה להזכיר </w:t>
      </w:r>
      <w:bookmarkStart w:id="76933" w:name="_ETM_Q137_484020"/>
      <w:bookmarkEnd w:id="76933"/>
      <w:r>
        <w:rPr>
          <w:rFonts w:hint="cs"/>
          <w:rtl/>
        </w:rPr>
        <w:t xml:space="preserve">לו שחוק-יסוד: הצבא קובע שצה"ל נתון למרות הממשלה וכפוף </w:t>
      </w:r>
      <w:bookmarkStart w:id="76934" w:name="_ETM_Q137_487713"/>
      <w:bookmarkEnd w:id="76934"/>
      <w:r>
        <w:rPr>
          <w:rFonts w:hint="cs"/>
          <w:rtl/>
        </w:rPr>
        <w:t>לשר הביטחון, אבל כשהוא ירד ארבע שורות למטה, הוא</w:t>
      </w:r>
      <w:bookmarkStart w:id="76935" w:name="_ETM_Q137_494189"/>
      <w:bookmarkEnd w:id="76935"/>
      <w:r>
        <w:rPr>
          <w:rFonts w:hint="cs"/>
          <w:rtl/>
        </w:rPr>
        <w:t xml:space="preserve"> יגלה שיש חוק נוסף</w:t>
      </w:r>
      <w:r w:rsidR="00C248AD">
        <w:rPr>
          <w:rFonts w:hint="cs"/>
          <w:rtl/>
        </w:rPr>
        <w:t>,</w:t>
      </w:r>
      <w:r>
        <w:rPr>
          <w:rFonts w:hint="cs"/>
          <w:rtl/>
        </w:rPr>
        <w:t xml:space="preserve"> שמטיל על צה"ל את האחריות לגייס </w:t>
      </w:r>
      <w:bookmarkStart w:id="76936" w:name="_ETM_Q137_497910"/>
      <w:bookmarkEnd w:id="76936"/>
      <w:r>
        <w:rPr>
          <w:rFonts w:hint="cs"/>
          <w:rtl/>
        </w:rPr>
        <w:t xml:space="preserve">לשירות חובה על פי חוק, ובהחלטה הזאת הוא למעשה דורש </w:t>
      </w:r>
      <w:bookmarkStart w:id="76937" w:name="_ETM_Q137_503678"/>
      <w:bookmarkEnd w:id="76937"/>
      <w:r>
        <w:rPr>
          <w:rFonts w:hint="cs"/>
          <w:rtl/>
        </w:rPr>
        <w:t xml:space="preserve">מצה"ל וממשרד הביטחון להימנע מגיוס חובה על פי החוק. אחרי </w:t>
      </w:r>
      <w:bookmarkStart w:id="76938" w:name="_ETM_Q137_511841"/>
      <w:bookmarkEnd w:id="76938"/>
      <w:r>
        <w:rPr>
          <w:rFonts w:hint="cs"/>
          <w:rtl/>
        </w:rPr>
        <w:t xml:space="preserve">זה באו מילים גבוהות על אכיפה בררנית ועל שמירה על </w:t>
      </w:r>
      <w:bookmarkStart w:id="76939" w:name="_ETM_Q137_515911"/>
      <w:bookmarkEnd w:id="76939"/>
      <w:r>
        <w:rPr>
          <w:rFonts w:hint="cs"/>
          <w:rtl/>
        </w:rPr>
        <w:t>חוק</w:t>
      </w:r>
      <w:r w:rsidR="00C248AD">
        <w:rPr>
          <w:rFonts w:hint="cs"/>
          <w:rtl/>
        </w:rPr>
        <w:t>.</w:t>
      </w:r>
      <w:r>
        <w:rPr>
          <w:rFonts w:hint="cs"/>
          <w:rtl/>
        </w:rPr>
        <w:t xml:space="preserve"> והאמת ידועה. יש פגיעה מתמשכת לאורך שנים. אתמול בערב </w:t>
      </w:r>
      <w:bookmarkStart w:id="76940" w:name="_ETM_Q137_524628"/>
      <w:bookmarkEnd w:id="76940"/>
      <w:r>
        <w:rPr>
          <w:rFonts w:hint="cs"/>
          <w:rtl/>
        </w:rPr>
        <w:t xml:space="preserve">נחשפתי למכתב ששלחו 6,000 אימהות בחזית לרמטכ"ל, שבו הן </w:t>
      </w:r>
      <w:bookmarkStart w:id="76941" w:name="_ETM_Q137_529556"/>
      <w:bookmarkEnd w:id="76941"/>
      <w:r>
        <w:rPr>
          <w:rFonts w:hint="cs"/>
          <w:rtl/>
        </w:rPr>
        <w:t xml:space="preserve">מודיעות לרמטכ"ל שהן יפעלו שהבנים שלהן לא יתגייסו. זו תחילת </w:t>
      </w:r>
      <w:bookmarkStart w:id="76942" w:name="_ETM_Q137_536079"/>
      <w:bookmarkEnd w:id="76942"/>
      <w:r>
        <w:rPr>
          <w:rFonts w:hint="cs"/>
          <w:rtl/>
        </w:rPr>
        <w:t>פירוק צה"ל כצבא העם, אלא אם כן ראש הממשלה</w:t>
      </w:r>
      <w:r w:rsidR="00C248AD">
        <w:rPr>
          <w:rFonts w:hint="cs"/>
          <w:rtl/>
        </w:rPr>
        <w:t>,</w:t>
      </w:r>
      <w:r>
        <w:rPr>
          <w:rFonts w:hint="cs"/>
          <w:rtl/>
        </w:rPr>
        <w:t xml:space="preserve"> בפעם ה-102</w:t>
      </w:r>
      <w:r w:rsidR="00C248AD">
        <w:rPr>
          <w:rFonts w:hint="cs"/>
          <w:rtl/>
        </w:rPr>
        <w:t>,</w:t>
      </w:r>
      <w:r>
        <w:rPr>
          <w:rFonts w:hint="cs"/>
          <w:rtl/>
        </w:rPr>
        <w:t xml:space="preserve"> </w:t>
      </w:r>
      <w:bookmarkStart w:id="76943" w:name="_ETM_Q137_543909"/>
      <w:bookmarkEnd w:id="76943"/>
      <w:r>
        <w:rPr>
          <w:rFonts w:hint="cs"/>
          <w:rtl/>
        </w:rPr>
        <w:t xml:space="preserve">יתעשת ויראה את האינטרסים הלאומיים, ולא את האינטרסים המפלגתיים, הפוליטיים </w:t>
      </w:r>
      <w:bookmarkStart w:id="76944" w:name="_ETM_Q137_550044"/>
      <w:bookmarkEnd w:id="76944"/>
      <w:r>
        <w:rPr>
          <w:rFonts w:hint="cs"/>
          <w:rtl/>
        </w:rPr>
        <w:t xml:space="preserve">והאישיים הצרים. </w:t>
      </w:r>
    </w:p>
    <w:p w:rsidR="00BB59CD" w:rsidRDefault="00BB59CD" w:rsidP="00BB59CD">
      <w:pPr>
        <w:rPr>
          <w:rtl/>
        </w:rPr>
      </w:pPr>
    </w:p>
    <w:p w:rsidR="00BB59CD" w:rsidRDefault="00BB59CD" w:rsidP="00BB59CD">
      <w:pPr>
        <w:rPr>
          <w:rtl/>
        </w:rPr>
      </w:pPr>
      <w:r>
        <w:rPr>
          <w:rFonts w:hint="cs"/>
          <w:rtl/>
        </w:rPr>
        <w:t xml:space="preserve">כיום אנחנו במצב שבו רק קצת יותר מחמישה מכל </w:t>
      </w:r>
      <w:bookmarkStart w:id="76945" w:name="_ETM_Q137_556219"/>
      <w:bookmarkEnd w:id="76945"/>
      <w:r>
        <w:rPr>
          <w:rFonts w:hint="cs"/>
          <w:rtl/>
        </w:rPr>
        <w:t xml:space="preserve">עשרה חייבי גיוס, מתגייסים. המשמעות היא ברורה מאוד: במקום לשבת </w:t>
      </w:r>
      <w:bookmarkStart w:id="76946" w:name="_ETM_Q137_561947"/>
      <w:bookmarkEnd w:id="76946"/>
      <w:r>
        <w:rPr>
          <w:rFonts w:hint="cs"/>
          <w:rtl/>
        </w:rPr>
        <w:t xml:space="preserve">ולעשות הכנות רציניות, מחפשים טריקים ושטיקים איך להעביר </w:t>
      </w:r>
      <w:r w:rsidR="00C248AD">
        <w:rPr>
          <w:rFonts w:hint="cs"/>
          <w:rtl/>
        </w:rPr>
        <w:t xml:space="preserve">את </w:t>
      </w:r>
      <w:r>
        <w:rPr>
          <w:rFonts w:hint="cs"/>
          <w:rtl/>
        </w:rPr>
        <w:t xml:space="preserve">חוק-יסוד: לימוד </w:t>
      </w:r>
      <w:bookmarkStart w:id="76947" w:name="_ETM_Q137_570076"/>
      <w:bookmarkEnd w:id="76947"/>
      <w:r>
        <w:rPr>
          <w:rFonts w:hint="cs"/>
          <w:rtl/>
        </w:rPr>
        <w:t xml:space="preserve">תורה, איך להעביר פסקת התגברות שתאפשר להתגבר על צה"ל כצבא </w:t>
      </w:r>
      <w:bookmarkStart w:id="76948" w:name="_ETM_Q137_573588"/>
      <w:bookmarkEnd w:id="76948"/>
      <w:r>
        <w:rPr>
          <w:rFonts w:hint="cs"/>
          <w:rtl/>
        </w:rPr>
        <w:t xml:space="preserve">העם, ועוד תרגילים אחרים, ועוד בחוצפה גדולה עומדים פה </w:t>
      </w:r>
      <w:bookmarkStart w:id="76949" w:name="_ETM_Q137_580826"/>
      <w:bookmarkEnd w:id="76949"/>
      <w:r>
        <w:rPr>
          <w:rFonts w:hint="cs"/>
          <w:rtl/>
        </w:rPr>
        <w:t xml:space="preserve">ומדברים על סרבנות ומדברים על התנדבות. אז מובן שאני מעודד </w:t>
      </w:r>
      <w:bookmarkStart w:id="76950" w:name="_ETM_Q137_589611"/>
      <w:bookmarkEnd w:id="76950"/>
      <w:r>
        <w:rPr>
          <w:rFonts w:hint="cs"/>
          <w:rtl/>
        </w:rPr>
        <w:t xml:space="preserve">גיוס, ואני אף פעם לא השמצתי את אלה שלא מתגייסים, יש כאלה מהסיבות הנכונות; אני מעודד התנדבות ומוקיר אותם על זה, ואף פעם לא השמצתי את אלה </w:t>
      </w:r>
      <w:bookmarkStart w:id="76951" w:name="_ETM_Q137_602705"/>
      <w:bookmarkEnd w:id="76951"/>
      <w:r>
        <w:rPr>
          <w:rFonts w:hint="cs"/>
          <w:rtl/>
        </w:rPr>
        <w:t xml:space="preserve">שלא מתנדבים; אני מעודד הליכה לקרבי, ואני אף פעם לא </w:t>
      </w:r>
      <w:bookmarkStart w:id="76952" w:name="_ETM_Q137_610866"/>
      <w:bookmarkEnd w:id="76952"/>
      <w:r>
        <w:rPr>
          <w:rFonts w:hint="cs"/>
          <w:rtl/>
        </w:rPr>
        <w:t xml:space="preserve">אמרתי מילה רעה על אלה שמשרתים ועושים כמיטב יכולתם. מובן </w:t>
      </w:r>
      <w:bookmarkStart w:id="76953" w:name="_ETM_Q137_616391"/>
      <w:bookmarkEnd w:id="76953"/>
      <w:r>
        <w:rPr>
          <w:rFonts w:hint="cs"/>
          <w:rtl/>
        </w:rPr>
        <w:t xml:space="preserve">שסרבנות היא מחוץ לשיח, נקודה. צריך לשמור את צה"ל צבא </w:t>
      </w:r>
      <w:bookmarkStart w:id="76954" w:name="_ETM_Q137_623185"/>
      <w:bookmarkEnd w:id="76954"/>
      <w:r>
        <w:rPr>
          <w:rFonts w:hint="cs"/>
          <w:rtl/>
        </w:rPr>
        <w:t xml:space="preserve">העם חזק, וכולנו מתנגדים לסרבנות. אבל מה שאנחנו רואים הוא שכדי </w:t>
      </w:r>
      <w:bookmarkStart w:id="76955" w:name="_ETM_Q137_629406"/>
      <w:bookmarkEnd w:id="76955"/>
      <w:r>
        <w:rPr>
          <w:rFonts w:hint="cs"/>
          <w:rtl/>
        </w:rPr>
        <w:t xml:space="preserve">להטות את השיח בחברה הישראלית מישהו דואג לדבר על סרבנות. </w:t>
      </w:r>
      <w:bookmarkStart w:id="76956" w:name="_ETM_Q137_634598"/>
      <w:bookmarkEnd w:id="76956"/>
      <w:r>
        <w:rPr>
          <w:rFonts w:hint="cs"/>
          <w:rtl/>
        </w:rPr>
        <w:t>עד עכשיו לא היה חייל אחד, קצין אחד, שסירב</w:t>
      </w:r>
      <w:bookmarkStart w:id="76957" w:name="_ETM_Q137_638333"/>
      <w:bookmarkEnd w:id="76957"/>
      <w:r>
        <w:rPr>
          <w:rFonts w:hint="cs"/>
          <w:rtl/>
        </w:rPr>
        <w:t xml:space="preserve">. ולכן מטים את השיח ומשנים אותו, </w:t>
      </w:r>
      <w:bookmarkStart w:id="76958" w:name="_ETM_Q137_645290"/>
      <w:bookmarkEnd w:id="76958"/>
      <w:r>
        <w:rPr>
          <w:rFonts w:hint="cs"/>
          <w:rtl/>
        </w:rPr>
        <w:t>ורואים גם בשבוע שעבר סרטון עלוב</w:t>
      </w:r>
      <w:r w:rsidR="00C248AD">
        <w:rPr>
          <w:rFonts w:hint="cs"/>
          <w:rtl/>
        </w:rPr>
        <w:t>,</w:t>
      </w:r>
      <w:r>
        <w:rPr>
          <w:rFonts w:hint="cs"/>
          <w:rtl/>
        </w:rPr>
        <w:t xml:space="preserve"> שמקבל גיבוי משני שרים </w:t>
      </w:r>
      <w:bookmarkStart w:id="76959" w:name="_ETM_Q137_652978"/>
      <w:bookmarkEnd w:id="76959"/>
      <w:r>
        <w:rPr>
          <w:rFonts w:hint="cs"/>
          <w:rtl/>
        </w:rPr>
        <w:t xml:space="preserve">שתוקפים את הטייסים ומצביעים על פערים בין חיל האוויר לבין חילות היבשה. זה מעיד על התחתית שהגענו אליה, ואני </w:t>
      </w:r>
      <w:bookmarkStart w:id="76960" w:name="_ETM_Q137_665897"/>
      <w:bookmarkEnd w:id="76960"/>
      <w:r>
        <w:rPr>
          <w:rFonts w:hint="cs"/>
          <w:rtl/>
        </w:rPr>
        <w:t>אומר את זה כאחד שראה מאות רבות, אם לא אלפים</w:t>
      </w:r>
      <w:r w:rsidR="00C248AD">
        <w:rPr>
          <w:rFonts w:hint="cs"/>
          <w:rtl/>
        </w:rPr>
        <w:t>,</w:t>
      </w:r>
      <w:r>
        <w:rPr>
          <w:rFonts w:hint="cs"/>
          <w:rtl/>
        </w:rPr>
        <w:t xml:space="preserve"> </w:t>
      </w:r>
      <w:bookmarkStart w:id="76961" w:name="_ETM_Q137_669562"/>
      <w:bookmarkEnd w:id="76961"/>
      <w:r>
        <w:rPr>
          <w:rFonts w:hint="cs"/>
          <w:rtl/>
        </w:rPr>
        <w:t xml:space="preserve">של פעולות הירואיות עם סיכון גדול מאוד גם בתקיפות וגם </w:t>
      </w:r>
      <w:bookmarkStart w:id="76962" w:name="_ETM_Q137_677568"/>
      <w:bookmarkEnd w:id="76962"/>
      <w:r>
        <w:rPr>
          <w:rFonts w:hint="cs"/>
          <w:rtl/>
        </w:rPr>
        <w:t xml:space="preserve">בחילוצים. </w:t>
      </w:r>
    </w:p>
    <w:p w:rsidR="00BB59CD" w:rsidRDefault="00BB59CD" w:rsidP="00BB59CD">
      <w:pPr>
        <w:rPr>
          <w:rtl/>
        </w:rPr>
      </w:pPr>
      <w:bookmarkStart w:id="76963" w:name="_ETM_Q137_680209"/>
      <w:bookmarkStart w:id="76964" w:name="_ETM_Q137_680315"/>
      <w:bookmarkEnd w:id="76963"/>
      <w:bookmarkEnd w:id="76964"/>
    </w:p>
    <w:p w:rsidR="00BB59CD" w:rsidRDefault="00BB59CD" w:rsidP="004B7578">
      <w:pPr>
        <w:rPr>
          <w:rtl/>
        </w:rPr>
      </w:pPr>
      <w:bookmarkStart w:id="76965" w:name="_ETM_Q137_680344"/>
      <w:bookmarkStart w:id="76966" w:name="_ETM_Q137_680432"/>
      <w:bookmarkEnd w:id="76965"/>
      <w:bookmarkEnd w:id="76966"/>
      <w:r>
        <w:rPr>
          <w:rFonts w:hint="cs"/>
          <w:rtl/>
        </w:rPr>
        <w:t>במשפטי סיום אני אומר שאנחנו נמצאים בימים גורליים שישפיע</w:t>
      </w:r>
      <w:bookmarkStart w:id="76967" w:name="_ETM_Q137_683238"/>
      <w:bookmarkEnd w:id="76967"/>
      <w:r>
        <w:rPr>
          <w:rFonts w:hint="cs"/>
          <w:rtl/>
        </w:rPr>
        <w:t xml:space="preserve">ו על עתיד המדינה. צריך להפסיק את ההימור של חצי </w:t>
      </w:r>
      <w:bookmarkStart w:id="76968" w:name="_ETM_Q137_688976"/>
      <w:bookmarkEnd w:id="76968"/>
      <w:r>
        <w:rPr>
          <w:rFonts w:hint="cs"/>
          <w:rtl/>
        </w:rPr>
        <w:t xml:space="preserve">השנה האחרונה, שבו נושא שהיה בשולי השיח הציבורי לפני שבעה-שמונה </w:t>
      </w:r>
      <w:bookmarkStart w:id="76969" w:name="_ETM_Q137_691791"/>
      <w:bookmarkEnd w:id="76969"/>
      <w:r>
        <w:rPr>
          <w:rFonts w:hint="cs"/>
          <w:rtl/>
        </w:rPr>
        <w:t xml:space="preserve">חודשים, השתלט על החיים שלנו ומאיים היום להגיע בקריאה שנייה </w:t>
      </w:r>
      <w:bookmarkStart w:id="76970" w:name="_ETM_Q137_697238"/>
      <w:bookmarkEnd w:id="76970"/>
      <w:r>
        <w:rPr>
          <w:rFonts w:hint="cs"/>
          <w:rtl/>
        </w:rPr>
        <w:t xml:space="preserve">ושלישית עם הנוסח הקיצוני ביותר. אם הוא יעבור, זו תהיה </w:t>
      </w:r>
      <w:bookmarkStart w:id="76971" w:name="_ETM_Q137_707447"/>
      <w:bookmarkEnd w:id="76971"/>
      <w:r>
        <w:rPr>
          <w:rFonts w:hint="cs"/>
          <w:rtl/>
        </w:rPr>
        <w:t xml:space="preserve">בכייה לדורות – בכייה לדורות, כי זה יביא לשלב ראשון בתוכנית </w:t>
      </w:r>
      <w:bookmarkStart w:id="76972" w:name="_ETM_Q137_713106"/>
      <w:bookmarkEnd w:id="76972"/>
      <w:r>
        <w:rPr>
          <w:rFonts w:hint="cs"/>
          <w:rtl/>
        </w:rPr>
        <w:t xml:space="preserve">גדולה יותר, זה יביא לפגיעה חמורה בבקרה המשפטית על </w:t>
      </w:r>
      <w:bookmarkStart w:id="76973" w:name="_ETM_Q137_718931"/>
      <w:bookmarkEnd w:id="76973"/>
      <w:r>
        <w:rPr>
          <w:rFonts w:hint="cs"/>
          <w:rtl/>
        </w:rPr>
        <w:t xml:space="preserve">פעולות הממשלה, זה יביא ויגדיל את הפתח לשחיתות במגזר הציבורי. </w:t>
      </w:r>
      <w:bookmarkStart w:id="76974" w:name="_ETM_Q137_726637"/>
      <w:bookmarkEnd w:id="76974"/>
      <w:r>
        <w:rPr>
          <w:rFonts w:hint="cs"/>
          <w:rtl/>
        </w:rPr>
        <w:t xml:space="preserve">אני מקווה מאוד שתהיה התעשתות. אבל הדבר שצריך היום לעמוד </w:t>
      </w:r>
      <w:bookmarkStart w:id="76975" w:name="_ETM_Q137_732558"/>
      <w:bookmarkEnd w:id="76975"/>
      <w:r>
        <w:rPr>
          <w:rFonts w:hint="cs"/>
          <w:rtl/>
        </w:rPr>
        <w:t>לנגד כל מי שירים פה יד ה</w:t>
      </w:r>
      <w:r w:rsidR="004B7578">
        <w:rPr>
          <w:rFonts w:hint="cs"/>
          <w:rtl/>
        </w:rPr>
        <w:t>ו</w:t>
      </w:r>
      <w:r>
        <w:rPr>
          <w:rFonts w:hint="cs"/>
          <w:rtl/>
        </w:rPr>
        <w:t xml:space="preserve">א תמונת אויבים חמורה, </w:t>
      </w:r>
      <w:bookmarkStart w:id="76976" w:name="_ETM_Q137_739229"/>
      <w:bookmarkEnd w:id="76976"/>
      <w:r>
        <w:rPr>
          <w:rFonts w:hint="cs"/>
          <w:rtl/>
        </w:rPr>
        <w:t xml:space="preserve">תמונת איומים שאני לא זוכר עשרות שנים, ודי להביט </w:t>
      </w:r>
      <w:bookmarkStart w:id="76977" w:name="_ETM_Q137_745923"/>
      <w:bookmarkEnd w:id="76977"/>
      <w:r>
        <w:rPr>
          <w:rFonts w:hint="cs"/>
          <w:rtl/>
        </w:rPr>
        <w:t>בשתי שורות של שני מסמכים שאמ"ן הוציא בחודשים האחרונים</w:t>
      </w:r>
      <w:bookmarkStart w:id="76978" w:name="_ETM_Q137_754825"/>
      <w:bookmarkEnd w:id="76978"/>
      <w:r>
        <w:rPr>
          <w:rFonts w:hint="cs"/>
          <w:rtl/>
        </w:rPr>
        <w:t xml:space="preserve">. הוא מוציא מסמך חסר תקדים שאומר שההרתעה הישראלית </w:t>
      </w:r>
      <w:bookmarkStart w:id="76979" w:name="_ETM_Q137_761135"/>
      <w:bookmarkEnd w:id="76979"/>
      <w:r>
        <w:rPr>
          <w:rFonts w:hint="cs"/>
          <w:rtl/>
        </w:rPr>
        <w:t xml:space="preserve">במרחב נפגעה. </w:t>
      </w:r>
      <w:bookmarkStart w:id="76980" w:name="_ETM_Q137_618132"/>
      <w:bookmarkStart w:id="76981" w:name="_ETM_Q137_618329"/>
      <w:bookmarkStart w:id="76982" w:name="_ETM_Q137_618351"/>
      <w:bookmarkStart w:id="76983" w:name="_ETM_Q137_618415"/>
      <w:bookmarkStart w:id="76984" w:name="TOR_Q138"/>
      <w:bookmarkEnd w:id="76980"/>
      <w:bookmarkEnd w:id="76981"/>
      <w:bookmarkEnd w:id="76982"/>
      <w:bookmarkEnd w:id="76983"/>
      <w:bookmarkEnd w:id="76984"/>
      <w:r>
        <w:rPr>
          <w:rFonts w:hint="cs"/>
          <w:rtl/>
        </w:rPr>
        <w:t xml:space="preserve">לדעתי, מאז הקמת המדינה, מאז הקמת צה"ל, לא יצאה התרעה כזאת, וממשלת נתניהו הגיעה להישג המפוקפק הזה. </w:t>
      </w:r>
      <w:bookmarkStart w:id="76985" w:name="_ETM_Q138_176532"/>
      <w:bookmarkStart w:id="76986" w:name="_ETM_Q138_176776"/>
      <w:bookmarkStart w:id="76987" w:name="_ETM_Q138_176798"/>
      <w:bookmarkEnd w:id="76985"/>
      <w:bookmarkEnd w:id="76986"/>
      <w:bookmarkEnd w:id="76987"/>
      <w:r>
        <w:rPr>
          <w:rFonts w:hint="cs"/>
          <w:rtl/>
        </w:rPr>
        <w:t>ה</w:t>
      </w:r>
      <w:bookmarkStart w:id="76988" w:name="_ETM_Q138_176864"/>
      <w:bookmarkEnd w:id="76988"/>
      <w:r>
        <w:rPr>
          <w:rFonts w:hint="cs"/>
          <w:rtl/>
        </w:rPr>
        <w:t xml:space="preserve">נקודה השנייה היא עלייה ברמת הסבירות </w:t>
      </w:r>
      <w:bookmarkStart w:id="76989" w:name="_ETM_Q138_178753"/>
      <w:bookmarkEnd w:id="76989"/>
      <w:r>
        <w:rPr>
          <w:rFonts w:hint="cs"/>
          <w:rtl/>
        </w:rPr>
        <w:t xml:space="preserve">להסלמה עד כדי מלחמה; די היה באמירה הזאת כדי לעצור </w:t>
      </w:r>
      <w:bookmarkStart w:id="76990" w:name="_ETM_Q138_180884"/>
      <w:bookmarkEnd w:id="76990"/>
      <w:r>
        <w:rPr>
          <w:rFonts w:hint="cs"/>
          <w:rtl/>
        </w:rPr>
        <w:t xml:space="preserve">את מחול השדים ולהתמקד בארגון ובהכנה של מערכת הביטחון, וגם ליצור הסכמה רחבה ככל האפשר בחברה הישראלית. </w:t>
      </w:r>
    </w:p>
    <w:p w:rsidR="00BB59CD" w:rsidRDefault="00BB59CD" w:rsidP="00BB59CD">
      <w:pPr>
        <w:rPr>
          <w:rtl/>
        </w:rPr>
      </w:pPr>
    </w:p>
    <w:p w:rsidR="00BB59CD" w:rsidRDefault="00BB59CD" w:rsidP="00BB59CD">
      <w:pPr>
        <w:rPr>
          <w:rtl/>
        </w:rPr>
      </w:pPr>
      <w:r>
        <w:rPr>
          <w:rFonts w:hint="cs"/>
          <w:rtl/>
        </w:rPr>
        <w:t xml:space="preserve">בעוד שלושה חודשים </w:t>
      </w:r>
      <w:bookmarkStart w:id="76991" w:name="_ETM_Q138_198721"/>
      <w:bookmarkEnd w:id="76991"/>
      <w:r>
        <w:rPr>
          <w:rFonts w:hint="cs"/>
          <w:rtl/>
        </w:rPr>
        <w:t xml:space="preserve">נציין 50 שנים למלחמת יום כיפור. כשמסתכלים היום מה העסיק </w:t>
      </w:r>
      <w:bookmarkStart w:id="76992" w:name="_ETM_Q138_207118"/>
      <w:bookmarkEnd w:id="76992"/>
      <w:r>
        <w:rPr>
          <w:rFonts w:hint="cs"/>
          <w:rtl/>
        </w:rPr>
        <w:t xml:space="preserve">את הציבור הישראלי ואת התקשורת הישראלית חודש לפני, שבוע לפני, </w:t>
      </w:r>
      <w:bookmarkStart w:id="76993" w:name="_ETM_Q138_208932"/>
      <w:bookmarkEnd w:id="76993"/>
      <w:r>
        <w:rPr>
          <w:rFonts w:hint="cs"/>
          <w:rtl/>
        </w:rPr>
        <w:t xml:space="preserve">יום לפני, רואים שזה שום דבר שהעיד על מה שהתרחש ב-6 </w:t>
      </w:r>
      <w:bookmarkStart w:id="76994" w:name="_ETM_Q138_215727"/>
      <w:bookmarkEnd w:id="76994"/>
      <w:r>
        <w:rPr>
          <w:rFonts w:hint="cs"/>
          <w:rtl/>
        </w:rPr>
        <w:t xml:space="preserve">באוקטובר 1973. הפתרון – לא הבעיה – הוא צה"ל כצבא עם ממלכתי, </w:t>
      </w:r>
      <w:bookmarkStart w:id="76995" w:name="_ETM_Q138_227065"/>
      <w:bookmarkEnd w:id="76995"/>
      <w:r>
        <w:rPr>
          <w:rFonts w:hint="cs"/>
          <w:rtl/>
        </w:rPr>
        <w:t xml:space="preserve">שהוא מקור עוצמה של מדינת ישראל, שמבטיח </w:t>
      </w:r>
      <w:bookmarkStart w:id="76996" w:name="_ETM_Q138_231169"/>
      <w:bookmarkEnd w:id="76996"/>
      <w:r>
        <w:rPr>
          <w:rFonts w:hint="cs"/>
          <w:rtl/>
        </w:rPr>
        <w:t xml:space="preserve">את הביטחון, את הקיום, גם בימי שגרה, כשאזרחי ישראל חושבים </w:t>
      </w:r>
      <w:bookmarkStart w:id="76997" w:name="_ETM_Q138_235523"/>
      <w:bookmarkEnd w:id="76997"/>
      <w:r>
        <w:rPr>
          <w:rFonts w:hint="cs"/>
          <w:rtl/>
        </w:rPr>
        <w:t xml:space="preserve">שהימים הם ימים רגילים. צה"ל פועל כבר שנים ארוכות 24/7 </w:t>
      </w:r>
      <w:bookmarkStart w:id="76998" w:name="_ETM_Q138_240542"/>
      <w:bookmarkEnd w:id="76998"/>
      <w:r>
        <w:rPr>
          <w:rFonts w:hint="cs"/>
          <w:rtl/>
        </w:rPr>
        <w:t xml:space="preserve">במערכה בין מלחמות, וכשיש מלחמות, כולם נדרשים ובאים. </w:t>
      </w:r>
      <w:bookmarkStart w:id="76999" w:name="_ETM_Q138_252016"/>
      <w:bookmarkEnd w:id="76999"/>
      <w:r>
        <w:rPr>
          <w:rFonts w:hint="cs"/>
          <w:rtl/>
        </w:rPr>
        <w:t>אנחנו רואים בימים האחרונים פגיעה בעוצמה של צה"ל</w:t>
      </w:r>
      <w:r w:rsidR="004B7578">
        <w:rPr>
          <w:rFonts w:hint="cs"/>
          <w:rtl/>
        </w:rPr>
        <w:t>,</w:t>
      </w:r>
      <w:r>
        <w:rPr>
          <w:rFonts w:hint="cs"/>
          <w:rtl/>
        </w:rPr>
        <w:t xml:space="preserve"> גם </w:t>
      </w:r>
      <w:bookmarkStart w:id="77000" w:name="_ETM_Q138_257624"/>
      <w:bookmarkEnd w:id="77000"/>
      <w:r>
        <w:rPr>
          <w:rFonts w:hint="cs"/>
          <w:rtl/>
        </w:rPr>
        <w:t xml:space="preserve">במילואים, שהוא עיקר הכוח של צה"ל, גם בהשפעה על </w:t>
      </w:r>
      <w:bookmarkStart w:id="77001" w:name="_ETM_Q138_261173"/>
      <w:bookmarkEnd w:id="77001"/>
      <w:r>
        <w:rPr>
          <w:rFonts w:hint="cs"/>
          <w:rtl/>
        </w:rPr>
        <w:t xml:space="preserve">אנשי הקבע, ולקראת חוק הגיוס, שעשוי לעבור ויהיה טרגדיה לחברה </w:t>
      </w:r>
      <w:bookmarkStart w:id="77002" w:name="_ETM_Q138_268531"/>
      <w:bookmarkEnd w:id="77002"/>
      <w:r>
        <w:rPr>
          <w:rFonts w:hint="cs"/>
          <w:rtl/>
        </w:rPr>
        <w:t xml:space="preserve">הישראלית, גם טרגדיה לחברה החרדית, אם חושבים שמביאים הישג </w:t>
      </w:r>
      <w:bookmarkStart w:id="77003" w:name="_ETM_Q138_273500"/>
      <w:bookmarkEnd w:id="77003"/>
      <w:r>
        <w:rPr>
          <w:rFonts w:hint="cs"/>
          <w:rtl/>
        </w:rPr>
        <w:t xml:space="preserve">לציבור מסוים. ולכן אנחנו בדקה ה-90; אנחנו בדקה ה-90 כדי </w:t>
      </w:r>
      <w:bookmarkStart w:id="77004" w:name="_ETM_Q138_279931"/>
      <w:bookmarkEnd w:id="77004"/>
      <w:r>
        <w:rPr>
          <w:rFonts w:hint="cs"/>
          <w:rtl/>
        </w:rPr>
        <w:t xml:space="preserve">לקרוא לנהוג באחריות, בממלכתיות, להשפיע על החלטות שיחזקו את מדינת ישראל כיהודית, דמוקרטית, ליברלית ועוצמתית ברוח מגילת העצמאות, ולא בכיינות </w:t>
      </w:r>
      <w:bookmarkStart w:id="77005" w:name="_ETM_Q138_297865"/>
      <w:bookmarkEnd w:id="77005"/>
      <w:r>
        <w:rPr>
          <w:rFonts w:hint="cs"/>
          <w:rtl/>
        </w:rPr>
        <w:t xml:space="preserve">וסיפורים על איך זה ייתפס בבייס. היום, מחר ומוחרתיים </w:t>
      </w:r>
      <w:bookmarkStart w:id="77006" w:name="_ETM_Q138_305729"/>
      <w:bookmarkEnd w:id="77006"/>
      <w:r>
        <w:rPr>
          <w:rFonts w:hint="cs"/>
          <w:rtl/>
        </w:rPr>
        <w:t xml:space="preserve">הם ימים גורליים, שאני מקווה שיביאו את 64 האנשים </w:t>
      </w:r>
      <w:bookmarkStart w:id="77007" w:name="_ETM_Q138_312848"/>
      <w:bookmarkEnd w:id="77007"/>
      <w:r>
        <w:rPr>
          <w:rFonts w:hint="cs"/>
          <w:rtl/>
        </w:rPr>
        <w:t xml:space="preserve">בקואליציה לשקול שיקולים ממלכתיים, רציניים וענייניים. </w:t>
      </w:r>
    </w:p>
    <w:p w:rsidR="00BB59CD" w:rsidRDefault="00BB59CD" w:rsidP="00BB59CD">
      <w:pPr>
        <w:rPr>
          <w:rtl/>
        </w:rPr>
      </w:pPr>
      <w:bookmarkStart w:id="77008" w:name="_ETM_Q138_319853"/>
      <w:bookmarkEnd w:id="77008"/>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רבה. חבר </w:t>
      </w:r>
      <w:bookmarkStart w:id="77009" w:name="_ETM_Q138_324066"/>
      <w:bookmarkEnd w:id="77009"/>
      <w:r>
        <w:rPr>
          <w:rFonts w:hint="cs"/>
          <w:rtl/>
          <w:lang w:eastAsia="he-IL"/>
        </w:rPr>
        <w:t xml:space="preserve">הכנסת מיקי לוי, בבקשה. </w:t>
      </w:r>
    </w:p>
    <w:p w:rsidR="00BB59CD" w:rsidRDefault="00BB59CD" w:rsidP="00BB59CD">
      <w:pPr>
        <w:rPr>
          <w:rtl/>
          <w:lang w:eastAsia="he-IL"/>
        </w:rPr>
      </w:pPr>
      <w:bookmarkStart w:id="77010" w:name="_ETM_Q138_331491"/>
      <w:bookmarkStart w:id="77011" w:name="_ETM_Q138_331639"/>
      <w:bookmarkStart w:id="77012" w:name="_ETM_Q138_332659"/>
      <w:bookmarkEnd w:id="77010"/>
      <w:bookmarkEnd w:id="77011"/>
      <w:bookmarkEnd w:id="77012"/>
    </w:p>
    <w:p w:rsidR="00BB59CD" w:rsidRDefault="00BB59CD" w:rsidP="00BB59CD">
      <w:pPr>
        <w:pStyle w:val="a5"/>
        <w:keepNext/>
        <w:rPr>
          <w:rtl/>
        </w:rPr>
      </w:pPr>
      <w:bookmarkStart w:id="77013" w:name="ET_speaker_5084_2"/>
      <w:r>
        <w:rPr>
          <w:rStyle w:val="TagStyle"/>
          <w:rFonts w:hint="cs"/>
          <w:rtl/>
        </w:rPr>
        <w:t xml:space="preserve"> &lt;&lt; דובר &gt;&gt; </w:t>
      </w:r>
      <w:bookmarkStart w:id="77014" w:name="_Toc141197188"/>
      <w:bookmarkStart w:id="77015" w:name="_Toc141196924"/>
      <w:r>
        <w:rPr>
          <w:rFonts w:hint="cs"/>
          <w:rtl/>
        </w:rPr>
        <w:t>מיקי לוי (יש עתיד):</w:t>
      </w:r>
      <w:bookmarkEnd w:id="77014"/>
      <w:bookmarkEnd w:id="77015"/>
      <w:r>
        <w:rPr>
          <w:rStyle w:val="TagStyle"/>
          <w:rFonts w:hint="cs"/>
          <w:rtl/>
        </w:rPr>
        <w:t xml:space="preserve"> &lt;&lt; דובר &gt;&gt;</w:t>
      </w:r>
      <w:r>
        <w:rPr>
          <w:rFonts w:hint="cs"/>
          <w:rtl/>
        </w:rPr>
        <w:t xml:space="preserve">   </w:t>
      </w:r>
      <w:bookmarkEnd w:id="77013"/>
    </w:p>
    <w:p w:rsidR="00BB59CD" w:rsidRDefault="00BB59CD" w:rsidP="00337201">
      <w:pPr>
        <w:rPr>
          <w:rtl/>
          <w:lang w:eastAsia="he-IL"/>
        </w:rPr>
      </w:pPr>
    </w:p>
    <w:p w:rsidR="00BB59CD" w:rsidRDefault="00BB59CD" w:rsidP="00BB59CD">
      <w:pPr>
        <w:rPr>
          <w:rtl/>
          <w:lang w:eastAsia="he-IL"/>
        </w:rPr>
      </w:pPr>
      <w:bookmarkStart w:id="77016" w:name="_ETM_Q138_333639"/>
      <w:bookmarkStart w:id="77017" w:name="_ETM_Q138_333717"/>
      <w:bookmarkEnd w:id="77016"/>
      <w:bookmarkEnd w:id="77017"/>
      <w:r>
        <w:rPr>
          <w:rFonts w:hint="cs"/>
          <w:rtl/>
          <w:lang w:eastAsia="he-IL"/>
        </w:rPr>
        <w:t xml:space="preserve">בוקר טוב, אדוני </w:t>
      </w:r>
      <w:bookmarkStart w:id="77018" w:name="_ETM_Q138_363658"/>
      <w:bookmarkEnd w:id="77018"/>
      <w:r>
        <w:rPr>
          <w:rFonts w:hint="cs"/>
          <w:rtl/>
          <w:lang w:eastAsia="he-IL"/>
        </w:rPr>
        <w:t xml:space="preserve">היושב בראש. בתחילת דבריי אני מבקש לשלוח איחולי החלמה לראש </w:t>
      </w:r>
      <w:bookmarkStart w:id="77019" w:name="_ETM_Q138_373042"/>
      <w:bookmarkEnd w:id="77019"/>
      <w:r>
        <w:rPr>
          <w:rFonts w:hint="cs"/>
          <w:rtl/>
          <w:lang w:eastAsia="he-IL"/>
        </w:rPr>
        <w:t xml:space="preserve">הממשלה, שעבר הלילה ניתוח השתלת קוצב לב. אני מאחל </w:t>
      </w:r>
      <w:bookmarkStart w:id="77020" w:name="_ETM_Q138_380399"/>
      <w:bookmarkEnd w:id="77020"/>
      <w:r>
        <w:rPr>
          <w:rFonts w:hint="cs"/>
          <w:rtl/>
          <w:lang w:eastAsia="he-IL"/>
        </w:rPr>
        <w:t xml:space="preserve">לו עוד שנים ארוכות של חיים טובים ובריאים, גם אם </w:t>
      </w:r>
      <w:bookmarkStart w:id="77021" w:name="_ETM_Q138_387001"/>
      <w:bookmarkEnd w:id="77021"/>
      <w:r>
        <w:rPr>
          <w:rFonts w:hint="cs"/>
          <w:rtl/>
          <w:lang w:eastAsia="he-IL"/>
        </w:rPr>
        <w:t xml:space="preserve">אני יריב פוליטי. הוא לא רוצח, כמו שכינו את קודמו </w:t>
      </w:r>
      <w:bookmarkStart w:id="77022" w:name="_ETM_Q138_393339"/>
      <w:bookmarkEnd w:id="77022"/>
      <w:r>
        <w:rPr>
          <w:rFonts w:hint="cs"/>
          <w:rtl/>
          <w:lang w:eastAsia="he-IL"/>
        </w:rPr>
        <w:t xml:space="preserve">מעל דוכן זה; הוא לא נבל, כמו ששר בממשלתו קרא לראש הממשלה הקודם נפתלי בנט, "לך"; הוא לא עומד </w:t>
      </w:r>
      <w:bookmarkStart w:id="77023" w:name="_ETM_Q138_404837"/>
      <w:bookmarkEnd w:id="77023"/>
      <w:r>
        <w:rPr>
          <w:rFonts w:hint="cs"/>
          <w:rtl/>
          <w:lang w:eastAsia="he-IL"/>
        </w:rPr>
        <w:t xml:space="preserve">בראש ממשלה מקוללת, כמו שחברי כנסת מהצד שלו, כולל השר קרעי, אמרו על הממשלה הקודמת. זוהי ממשלה נבחרת, </w:t>
      </w:r>
      <w:bookmarkStart w:id="77024" w:name="_ETM_Q138_421307"/>
      <w:bookmarkEnd w:id="77024"/>
      <w:r>
        <w:rPr>
          <w:rFonts w:hint="cs"/>
          <w:rtl/>
          <w:lang w:eastAsia="he-IL"/>
        </w:rPr>
        <w:t>יריבים פוליטיים. אינני שונא אותם; אני יריב פוליטי מר שלהם</w:t>
      </w:r>
      <w:bookmarkStart w:id="77025" w:name="_ETM_Q138_428875"/>
      <w:bookmarkEnd w:id="77025"/>
      <w:r>
        <w:rPr>
          <w:rFonts w:hint="cs"/>
          <w:rtl/>
          <w:lang w:eastAsia="he-IL"/>
        </w:rPr>
        <w:t xml:space="preserve">, וכשהכול יירגע, ראוי שיעביר ראש הממשלה את חברי </w:t>
      </w:r>
      <w:bookmarkStart w:id="77026" w:name="_ETM_Q138_440030"/>
      <w:bookmarkEnd w:id="77026"/>
      <w:r>
        <w:rPr>
          <w:rFonts w:hint="cs"/>
          <w:rtl/>
          <w:lang w:eastAsia="he-IL"/>
        </w:rPr>
        <w:t xml:space="preserve">ממשלתו שיעור בהליכות ונימוסים. כי זה ממשיך, זה לא עוצר, </w:t>
      </w:r>
      <w:bookmarkStart w:id="77027" w:name="_ETM_Q138_444296"/>
      <w:bookmarkEnd w:id="77027"/>
      <w:r>
        <w:rPr>
          <w:rFonts w:hint="cs"/>
          <w:rtl/>
          <w:lang w:eastAsia="he-IL"/>
        </w:rPr>
        <w:t xml:space="preserve">ואני אמשיך בדבריי לפרט את זה. </w:t>
      </w:r>
    </w:p>
    <w:p w:rsidR="00BB59CD" w:rsidRDefault="00BB59CD" w:rsidP="00BB59CD">
      <w:pPr>
        <w:rPr>
          <w:rtl/>
          <w:lang w:eastAsia="he-IL"/>
        </w:rPr>
      </w:pPr>
      <w:bookmarkStart w:id="77028" w:name="_ETM_Q138_448537"/>
      <w:bookmarkEnd w:id="77028"/>
    </w:p>
    <w:p w:rsidR="00BB59CD" w:rsidRDefault="00BB59CD" w:rsidP="00BB59CD">
      <w:pPr>
        <w:rPr>
          <w:rtl/>
          <w:lang w:eastAsia="he-IL"/>
        </w:rPr>
      </w:pPr>
      <w:bookmarkStart w:id="77029" w:name="_ETM_Q138_448764"/>
      <w:bookmarkStart w:id="77030" w:name="_ETM_Q138_448796"/>
      <w:bookmarkStart w:id="77031" w:name="_ETM_Q138_448891"/>
      <w:bookmarkEnd w:id="77029"/>
      <w:bookmarkEnd w:id="77030"/>
      <w:bookmarkEnd w:id="77031"/>
      <w:r>
        <w:rPr>
          <w:rFonts w:hint="cs"/>
          <w:rtl/>
          <w:lang w:eastAsia="he-IL"/>
        </w:rPr>
        <w:t xml:space="preserve">ללא קשר לכך שאני </w:t>
      </w:r>
      <w:bookmarkStart w:id="77032" w:name="_ETM_Q138_452104"/>
      <w:bookmarkEnd w:id="77032"/>
      <w:r>
        <w:rPr>
          <w:rFonts w:hint="cs"/>
          <w:rtl/>
          <w:lang w:eastAsia="he-IL"/>
        </w:rPr>
        <w:t xml:space="preserve">מאחל לו החלמה מהירה, פעם נוספת ראש הממשלה כנראה לא </w:t>
      </w:r>
      <w:bookmarkStart w:id="77033" w:name="_ETM_Q138_457340"/>
      <w:bookmarkEnd w:id="77033"/>
      <w:r>
        <w:rPr>
          <w:rFonts w:hint="cs"/>
          <w:rtl/>
          <w:lang w:eastAsia="he-IL"/>
        </w:rPr>
        <w:t xml:space="preserve">אמר דברי אמת. ראש הממשלה איננו אדם פרטי, והציבור חייב </w:t>
      </w:r>
      <w:bookmarkStart w:id="77034" w:name="_ETM_Q138_462964"/>
      <w:bookmarkEnd w:id="77034"/>
      <w:r>
        <w:rPr>
          <w:rFonts w:hint="cs"/>
          <w:rtl/>
          <w:lang w:eastAsia="he-IL"/>
        </w:rPr>
        <w:t xml:space="preserve">לקבל מידע מדויק בקשר למצבו. הייתה פה התנהלות של רפובליקת </w:t>
      </w:r>
      <w:bookmarkStart w:id="77035" w:name="_ETM_Q138_470277"/>
      <w:bookmarkEnd w:id="77035"/>
      <w:r>
        <w:rPr>
          <w:rFonts w:hint="cs"/>
          <w:rtl/>
          <w:lang w:eastAsia="he-IL"/>
        </w:rPr>
        <w:t xml:space="preserve">בננות. הסתירו מהציבור את המצב הבריאותי הלא-פשוט של ראש </w:t>
      </w:r>
      <w:bookmarkStart w:id="77036" w:name="_ETM_Q138_475676"/>
      <w:bookmarkEnd w:id="77036"/>
      <w:r>
        <w:rPr>
          <w:rFonts w:hint="cs"/>
          <w:rtl/>
          <w:lang w:eastAsia="he-IL"/>
        </w:rPr>
        <w:t xml:space="preserve">הממשלה. ישראל, כך אני מקווה, עדיין דמוקרטיה, והציבור צריך לקבל </w:t>
      </w:r>
      <w:bookmarkStart w:id="77037" w:name="_ETM_Q138_483905"/>
      <w:bookmarkEnd w:id="77037"/>
      <w:r>
        <w:rPr>
          <w:rFonts w:hint="cs"/>
          <w:rtl/>
          <w:lang w:eastAsia="he-IL"/>
        </w:rPr>
        <w:t xml:space="preserve">תשובות. אני חייב להודות שזה מעלה שאלות באשר לכשירותו של </w:t>
      </w:r>
      <w:bookmarkStart w:id="77038" w:name="_ETM_Q138_492094"/>
      <w:bookmarkEnd w:id="77038"/>
      <w:r>
        <w:rPr>
          <w:rFonts w:hint="cs"/>
          <w:rtl/>
          <w:lang w:eastAsia="he-IL"/>
        </w:rPr>
        <w:t xml:space="preserve">ראש הממשלה לתפקיד שהוא ממלא. כי איננו יודעים בכלל </w:t>
      </w:r>
      <w:bookmarkStart w:id="77039" w:name="_ETM_Q138_495658"/>
      <w:bookmarkEnd w:id="77039"/>
      <w:r>
        <w:rPr>
          <w:rFonts w:hint="cs"/>
          <w:rtl/>
          <w:lang w:eastAsia="he-IL"/>
        </w:rPr>
        <w:t xml:space="preserve">מה עוד מסתירים מאיתנו. </w:t>
      </w:r>
    </w:p>
    <w:p w:rsidR="00BB59CD" w:rsidRDefault="00BB59CD" w:rsidP="00BB59CD">
      <w:pPr>
        <w:rPr>
          <w:rtl/>
          <w:lang w:eastAsia="he-IL"/>
        </w:rPr>
      </w:pPr>
      <w:bookmarkStart w:id="77040" w:name="_ETM_Q138_505291"/>
      <w:bookmarkEnd w:id="77040"/>
    </w:p>
    <w:p w:rsidR="00BB59CD" w:rsidRDefault="00BB59CD" w:rsidP="00BB59CD">
      <w:pPr>
        <w:rPr>
          <w:rtl/>
          <w:lang w:eastAsia="he-IL"/>
        </w:rPr>
      </w:pPr>
      <w:bookmarkStart w:id="77041" w:name="_ETM_Q138_505493"/>
      <w:bookmarkStart w:id="77042" w:name="_ETM_Q138_505521"/>
      <w:bookmarkStart w:id="77043" w:name="_ETM_Q138_505596"/>
      <w:bookmarkEnd w:id="77041"/>
      <w:bookmarkEnd w:id="77042"/>
      <w:bookmarkEnd w:id="77043"/>
      <w:r>
        <w:rPr>
          <w:rFonts w:hint="cs"/>
          <w:rtl/>
          <w:lang w:eastAsia="he-IL"/>
        </w:rPr>
        <w:t xml:space="preserve">68% מהסטרטאפים במדינת ישראל מתכוונים לעזוב </w:t>
      </w:r>
      <w:bookmarkStart w:id="77044" w:name="_ETM_Q138_518111"/>
      <w:bookmarkEnd w:id="77044"/>
      <w:r>
        <w:rPr>
          <w:rFonts w:hint="cs"/>
          <w:rtl/>
          <w:lang w:eastAsia="he-IL"/>
        </w:rPr>
        <w:t xml:space="preserve">או להעביר את הכספים למדינה אחרת. זו הידיעה שהופיעה באחד מהעיתונים הכלכליים אך לפני יומיים – טירוף. הקטר הכלכלי </w:t>
      </w:r>
      <w:bookmarkStart w:id="77045" w:name="_ETM_Q138_528390"/>
      <w:bookmarkEnd w:id="77045"/>
      <w:r>
        <w:rPr>
          <w:rFonts w:hint="cs"/>
          <w:rtl/>
          <w:lang w:eastAsia="he-IL"/>
        </w:rPr>
        <w:t xml:space="preserve">של המשק הופך להיות רכב מקרטע, פגיעה ממשית בכלכלה – </w:t>
      </w:r>
      <w:bookmarkStart w:id="77046" w:name="_ETM_Q138_536798"/>
      <w:bookmarkEnd w:id="77046"/>
      <w:r>
        <w:rPr>
          <w:rFonts w:hint="cs"/>
          <w:rtl/>
          <w:lang w:eastAsia="he-IL"/>
        </w:rPr>
        <w:t xml:space="preserve">והכול על ידך, אדוני ראש הממשלה. כן, אני אקרא לך </w:t>
      </w:r>
      <w:bookmarkStart w:id="77047" w:name="_ETM_Q138_542304"/>
      <w:bookmarkEnd w:id="77047"/>
      <w:r>
        <w:rPr>
          <w:rFonts w:hint="cs"/>
          <w:rtl/>
          <w:lang w:eastAsia="he-IL"/>
        </w:rPr>
        <w:t xml:space="preserve">אדוני ראש הממשלה, אני מכבד אותך כראש הממשלה. </w:t>
      </w:r>
    </w:p>
    <w:p w:rsidR="00BB59CD" w:rsidRDefault="00BB59CD" w:rsidP="00BB59CD">
      <w:pPr>
        <w:rPr>
          <w:rtl/>
          <w:lang w:eastAsia="he-IL"/>
        </w:rPr>
      </w:pPr>
      <w:bookmarkStart w:id="77048" w:name="_ETM_Q138_549441"/>
      <w:bookmarkEnd w:id="77048"/>
    </w:p>
    <w:p w:rsidR="00BB59CD" w:rsidRDefault="00BB59CD" w:rsidP="00BB59CD">
      <w:pPr>
        <w:rPr>
          <w:rtl/>
          <w:lang w:eastAsia="he-IL"/>
        </w:rPr>
      </w:pPr>
      <w:bookmarkStart w:id="77049" w:name="_ETM_Q138_549647"/>
      <w:bookmarkStart w:id="77050" w:name="_ETM_Q138_549673"/>
      <w:bookmarkStart w:id="77051" w:name="_ETM_Q138_549748"/>
      <w:bookmarkEnd w:id="77049"/>
      <w:bookmarkEnd w:id="77050"/>
      <w:bookmarkEnd w:id="77051"/>
      <w:r>
        <w:rPr>
          <w:rFonts w:hint="cs"/>
          <w:rtl/>
          <w:lang w:eastAsia="he-IL"/>
        </w:rPr>
        <w:t xml:space="preserve">שמעתי </w:t>
      </w:r>
      <w:bookmarkStart w:id="77052" w:name="_ETM_Q138_550480"/>
      <w:bookmarkEnd w:id="77052"/>
      <w:r>
        <w:rPr>
          <w:rFonts w:hint="cs"/>
          <w:rtl/>
          <w:lang w:eastAsia="he-IL"/>
        </w:rPr>
        <w:t xml:space="preserve">את חבר הכנסת קיש אך לפני יום, נדמה לי </w:t>
      </w:r>
      <w:bookmarkStart w:id="77053" w:name="_ETM_Q138_554640"/>
      <w:bookmarkEnd w:id="77053"/>
      <w:r>
        <w:rPr>
          <w:rFonts w:hint="cs"/>
          <w:rtl/>
          <w:lang w:eastAsia="he-IL"/>
        </w:rPr>
        <w:t xml:space="preserve">ביום האתמול, מתלונן על הפגיעה, על חוסר השוויון בשירות. </w:t>
      </w:r>
      <w:bookmarkStart w:id="77054" w:name="_ETM_Q138_563535"/>
      <w:bookmarkEnd w:id="77054"/>
      <w:r>
        <w:rPr>
          <w:rFonts w:hint="cs"/>
          <w:rtl/>
          <w:lang w:eastAsia="he-IL"/>
        </w:rPr>
        <w:t xml:space="preserve">זה אותו חבר הכנסת קיש, או השר קיש, שלפני כמה </w:t>
      </w:r>
      <w:bookmarkStart w:id="77055" w:name="_ETM_Q138_567681"/>
      <w:bookmarkEnd w:id="77055"/>
      <w:r>
        <w:rPr>
          <w:rFonts w:hint="cs"/>
          <w:rtl/>
          <w:lang w:eastAsia="he-IL"/>
        </w:rPr>
        <w:t xml:space="preserve">שנים על גלי אותה מהפכה, הייתי אומר, או מגמה </w:t>
      </w:r>
      <w:bookmarkStart w:id="77056" w:name="_ETM_Q138_579216"/>
      <w:bookmarkEnd w:id="77056"/>
      <w:r>
        <w:rPr>
          <w:rFonts w:hint="cs"/>
          <w:rtl/>
          <w:lang w:eastAsia="he-IL"/>
        </w:rPr>
        <w:t xml:space="preserve">של מילואימניקים שקמה ואמרה: שירות חובה לכולם, הוא עמד מול </w:t>
      </w:r>
      <w:bookmarkStart w:id="77057" w:name="_ETM_Q138_587347"/>
      <w:bookmarkEnd w:id="77057"/>
      <w:r>
        <w:rPr>
          <w:rFonts w:hint="cs"/>
          <w:rtl/>
          <w:lang w:eastAsia="he-IL"/>
        </w:rPr>
        <w:t xml:space="preserve">משרד ראש הממשלה, מול דוכן מאולתר, ואמר: שוויון שירות לכולם. </w:t>
      </w:r>
      <w:bookmarkStart w:id="77058" w:name="_ETM_Q138_594733"/>
      <w:bookmarkEnd w:id="77058"/>
      <w:r>
        <w:rPr>
          <w:rFonts w:hint="cs"/>
          <w:rtl/>
          <w:lang w:eastAsia="he-IL"/>
        </w:rPr>
        <w:t xml:space="preserve">בסדר, אין לי מה לצפות מהשר קיש, באמת. אני לא </w:t>
      </w:r>
      <w:bookmarkStart w:id="77059" w:name="_ETM_Q138_601499"/>
      <w:bookmarkEnd w:id="77059"/>
      <w:r>
        <w:rPr>
          <w:rFonts w:hint="cs"/>
          <w:rtl/>
          <w:lang w:eastAsia="he-IL"/>
        </w:rPr>
        <w:t xml:space="preserve">רוצה לדבר בו סרה, כי הוא שר. אני לא אנהג </w:t>
      </w:r>
      <w:bookmarkStart w:id="77060" w:name="_ETM_Q138_607834"/>
      <w:bookmarkEnd w:id="77060"/>
      <w:r>
        <w:rPr>
          <w:rFonts w:hint="cs"/>
          <w:rtl/>
          <w:lang w:eastAsia="he-IL"/>
        </w:rPr>
        <w:t>כמוהו. מחאת המילואימניקים – זה הגל שאתה</w:t>
      </w:r>
      <w:bookmarkStart w:id="77061" w:name="_ETM_Q138_617370"/>
      <w:bookmarkEnd w:id="77061"/>
      <w:r>
        <w:rPr>
          <w:rFonts w:hint="cs"/>
          <w:rtl/>
          <w:lang w:eastAsia="he-IL"/>
        </w:rPr>
        <w:t xml:space="preserve"> רכבת על גבו, השר קיש, וככה הגעת לכנסת. שמעתי דברים אחרים ממך </w:t>
      </w:r>
      <w:bookmarkStart w:id="77062" w:name="_ETM_Q138_620493"/>
      <w:bookmarkEnd w:id="77062"/>
      <w:r>
        <w:rPr>
          <w:rFonts w:hint="cs"/>
          <w:rtl/>
          <w:lang w:eastAsia="he-IL"/>
        </w:rPr>
        <w:t>כשעמדת על אותו דוכן: שוויון, שירות חובה לכולם. כל הערכים</w:t>
      </w:r>
      <w:bookmarkStart w:id="77063" w:name="_ETM_Q138_630392"/>
      <w:bookmarkEnd w:id="77063"/>
      <w:r>
        <w:rPr>
          <w:rFonts w:hint="cs"/>
          <w:rtl/>
          <w:lang w:eastAsia="he-IL"/>
        </w:rPr>
        <w:t xml:space="preserve"> שלך </w:t>
      </w:r>
      <w:bookmarkStart w:id="77064" w:name="_ETM_Q138_635358"/>
      <w:bookmarkEnd w:id="77064"/>
      <w:r>
        <w:rPr>
          <w:rFonts w:hint="cs"/>
          <w:rtl/>
          <w:lang w:eastAsia="he-IL"/>
        </w:rPr>
        <w:t xml:space="preserve">– הכול הלך לקיבינימט, אין לי מילה אחרת להגיד. </w:t>
      </w:r>
      <w:bookmarkStart w:id="77065" w:name="_ETM_Q138_637737"/>
      <w:bookmarkEnd w:id="77065"/>
      <w:r>
        <w:rPr>
          <w:rFonts w:hint="cs"/>
          <w:rtl/>
          <w:lang w:eastAsia="he-IL"/>
        </w:rPr>
        <w:t xml:space="preserve">ערכים שהיו שווים רק לעת ההיא. היום הם אחרים. </w:t>
      </w:r>
    </w:p>
    <w:p w:rsidR="00BB59CD" w:rsidRDefault="00BB59CD" w:rsidP="00BB59CD">
      <w:pPr>
        <w:rPr>
          <w:rtl/>
        </w:rPr>
      </w:pPr>
      <w:bookmarkStart w:id="77066" w:name="_ETM_Q138_320043"/>
      <w:bookmarkStart w:id="77067" w:name="_ETM_Q138_320069"/>
      <w:bookmarkStart w:id="77068" w:name="_ETM_Q138_320135"/>
      <w:bookmarkEnd w:id="77066"/>
      <w:bookmarkEnd w:id="77067"/>
      <w:bookmarkEnd w:id="77068"/>
    </w:p>
    <w:p w:rsidR="00BB59CD" w:rsidRDefault="00BB59CD" w:rsidP="00AF548A">
      <w:pPr>
        <w:rPr>
          <w:rtl/>
          <w:lang w:eastAsia="he-IL"/>
        </w:rPr>
      </w:pPr>
      <w:bookmarkStart w:id="77069" w:name="_ETM_Q138_649241"/>
      <w:bookmarkStart w:id="77070" w:name="_ETM_Q138_649364"/>
      <w:bookmarkEnd w:id="77069"/>
      <w:bookmarkEnd w:id="77070"/>
      <w:r>
        <w:rPr>
          <w:rFonts w:hint="cs"/>
          <w:rtl/>
        </w:rPr>
        <w:t xml:space="preserve">אני </w:t>
      </w:r>
      <w:bookmarkStart w:id="77071" w:name="_ETM_Q138_650073"/>
      <w:bookmarkEnd w:id="77071"/>
      <w:r>
        <w:rPr>
          <w:rFonts w:hint="cs"/>
          <w:rtl/>
        </w:rPr>
        <w:t xml:space="preserve">שומע הרבה דברים על דיבור על סרבנים, על עשרות אלפי </w:t>
      </w:r>
      <w:bookmarkStart w:id="77072" w:name="_ETM_Q138_652803"/>
      <w:bookmarkEnd w:id="77072"/>
      <w:r>
        <w:rPr>
          <w:rFonts w:hint="cs"/>
          <w:rtl/>
        </w:rPr>
        <w:t xml:space="preserve">אנשי מילואים שאומרים: לא נגיע, כי החוזה בינינו לבין הממשלה </w:t>
      </w:r>
      <w:bookmarkStart w:id="77073" w:name="_ETM_Q138_660158"/>
      <w:bookmarkEnd w:id="77073"/>
      <w:r>
        <w:rPr>
          <w:rFonts w:hint="cs"/>
          <w:rtl/>
        </w:rPr>
        <w:t xml:space="preserve">הופר. לא מדובר בסרבנים, מדובר בהפסקת התנדבות עד שהמהפכה הנוראית </w:t>
      </w:r>
      <w:bookmarkStart w:id="77074" w:name="_ETM_Q138_675161"/>
      <w:bookmarkEnd w:id="77074"/>
      <w:r>
        <w:rPr>
          <w:rFonts w:hint="cs"/>
          <w:rtl/>
        </w:rPr>
        <w:t xml:space="preserve">הזו, שתפגע בבית המשפט העליון, תיעצר. הם לא הסרבנים. אני </w:t>
      </w:r>
      <w:bookmarkStart w:id="77075" w:name="_ETM_Q138_686015"/>
      <w:bookmarkEnd w:id="77075"/>
      <w:r>
        <w:rPr>
          <w:rFonts w:hint="cs"/>
          <w:rtl/>
        </w:rPr>
        <w:t xml:space="preserve">בעד שירות, בעד התנדבות. כך חינכו אותי הוריי – מדינה לפני משפחה. זה החינוך שקיבלתי. כפי שאתם רואים, אני </w:t>
      </w:r>
      <w:bookmarkStart w:id="77076" w:name="_ETM_Q138_699226"/>
      <w:bookmarkEnd w:id="77076"/>
      <w:r>
        <w:rPr>
          <w:rFonts w:hint="cs"/>
          <w:rtl/>
        </w:rPr>
        <w:t>עם זקן, ואני נמצא באבל על לכתה של א</w:t>
      </w:r>
      <w:r w:rsidR="00AF548A">
        <w:rPr>
          <w:rFonts w:hint="cs"/>
          <w:rtl/>
        </w:rPr>
        <w:t>י</w:t>
      </w:r>
      <w:r>
        <w:rPr>
          <w:rFonts w:hint="cs"/>
          <w:rtl/>
        </w:rPr>
        <w:t xml:space="preserve">מי לבית </w:t>
      </w:r>
      <w:bookmarkStart w:id="77077" w:name="_ETM_Q138_706266"/>
      <w:bookmarkEnd w:id="77077"/>
      <w:r>
        <w:rPr>
          <w:rFonts w:hint="cs"/>
          <w:rtl/>
        </w:rPr>
        <w:t xml:space="preserve">עולמה. כשעמדתי על מיטתה, אמרתי – ואנחנו משפחה שכולה – שכאשר </w:t>
      </w:r>
      <w:bookmarkStart w:id="77078" w:name="_ETM_Q138_714294"/>
      <w:bookmarkEnd w:id="77078"/>
      <w:r>
        <w:rPr>
          <w:rFonts w:hint="cs"/>
          <w:rtl/>
        </w:rPr>
        <w:t>היא תיפגש למעלה עם שלושת האחים שלי ועם אבא ש</w:t>
      </w:r>
      <w:bookmarkStart w:id="77079" w:name="_ETM_Q138_718798"/>
      <w:bookmarkEnd w:id="77079"/>
      <w:r>
        <w:rPr>
          <w:rFonts w:hint="cs"/>
          <w:rtl/>
        </w:rPr>
        <w:t>לי, אינני מבקש דבר</w:t>
      </w:r>
      <w:r w:rsidR="00AF548A">
        <w:rPr>
          <w:rFonts w:hint="cs"/>
          <w:rtl/>
        </w:rPr>
        <w:t>,</w:t>
      </w:r>
      <w:r>
        <w:rPr>
          <w:rFonts w:hint="cs"/>
          <w:rtl/>
        </w:rPr>
        <w:t xml:space="preserve"> שתבקש יחד עם שוכני שמיים רחמים </w:t>
      </w:r>
      <w:bookmarkStart w:id="77080" w:name="_ETM_Q138_728367"/>
      <w:bookmarkEnd w:id="77080"/>
      <w:r>
        <w:rPr>
          <w:rFonts w:hint="cs"/>
          <w:rtl/>
        </w:rPr>
        <w:t xml:space="preserve">על עם ישראל וארץ ישראל. כך חינכתם אותנו, הוריי היקרים, </w:t>
      </w:r>
      <w:bookmarkStart w:id="77081" w:name="_ETM_Q138_738654"/>
      <w:bookmarkEnd w:id="77081"/>
      <w:r>
        <w:rPr>
          <w:rFonts w:hint="cs"/>
          <w:rtl/>
        </w:rPr>
        <w:t xml:space="preserve">מדינה לפני משפחה. אנשי המילואים והטייסים היקרים אינם הסרבנים; הממשלה היא אשר הפרה את החוזה עם המשרתים. </w:t>
      </w:r>
    </w:p>
    <w:p w:rsidR="00BB59CD" w:rsidRDefault="00BB59CD" w:rsidP="00BB59CD">
      <w:pPr>
        <w:rPr>
          <w:rtl/>
          <w:lang w:eastAsia="he-IL"/>
        </w:rPr>
      </w:pPr>
    </w:p>
    <w:p w:rsidR="00BB59CD" w:rsidRDefault="00BB59CD" w:rsidP="00AF548A">
      <w:pPr>
        <w:rPr>
          <w:rtl/>
          <w:lang w:eastAsia="he-IL"/>
        </w:rPr>
      </w:pPr>
      <w:bookmarkStart w:id="77082" w:name="TOR_Q139"/>
      <w:bookmarkEnd w:id="77082"/>
      <w:r>
        <w:rPr>
          <w:rFonts w:hint="cs"/>
          <w:rtl/>
          <w:lang w:eastAsia="he-IL"/>
        </w:rPr>
        <w:t xml:space="preserve">אך לפני יומיים או שלושה הופץ סרט איום ונורא ששני שרים המשיכו להפיץ. זה בדיוק מה שאתם עושים – מרסקים את החברה </w:t>
      </w:r>
      <w:bookmarkStart w:id="77083" w:name="_ETM_Q139_182000"/>
      <w:bookmarkEnd w:id="77083"/>
      <w:r>
        <w:rPr>
          <w:rFonts w:hint="cs"/>
          <w:rtl/>
          <w:lang w:eastAsia="he-IL"/>
        </w:rPr>
        <w:t>הישראלית. שני שרים</w:t>
      </w:r>
      <w:r w:rsidR="00AF548A">
        <w:rPr>
          <w:rFonts w:hint="cs"/>
          <w:rtl/>
          <w:lang w:eastAsia="he-IL"/>
        </w:rPr>
        <w:t>.</w:t>
      </w:r>
      <w:r>
        <w:rPr>
          <w:rFonts w:hint="cs"/>
          <w:rtl/>
          <w:lang w:eastAsia="he-IL"/>
        </w:rPr>
        <w:t xml:space="preserve"> לזכות אחד מהם ייאמר – השר מיקי </w:t>
      </w:r>
      <w:bookmarkStart w:id="77084" w:name="_ETM_Q139_186000"/>
      <w:bookmarkEnd w:id="77084"/>
      <w:r>
        <w:rPr>
          <w:rFonts w:hint="cs"/>
          <w:rtl/>
          <w:lang w:eastAsia="he-IL"/>
        </w:rPr>
        <w:t xml:space="preserve">זוהר הבין את הטעות, התנצל והוריד את </w:t>
      </w:r>
      <w:bookmarkStart w:id="77085" w:name="_ETM_Q139_190000"/>
      <w:bookmarkEnd w:id="77085"/>
      <w:r>
        <w:rPr>
          <w:rFonts w:hint="cs"/>
          <w:rtl/>
          <w:lang w:eastAsia="he-IL"/>
        </w:rPr>
        <w:t>הסרט מייד</w:t>
      </w:r>
      <w:r w:rsidR="00AF548A">
        <w:rPr>
          <w:rFonts w:hint="cs"/>
          <w:rtl/>
          <w:lang w:eastAsia="he-IL"/>
        </w:rPr>
        <w:t>,</w:t>
      </w:r>
      <w:r>
        <w:rPr>
          <w:rFonts w:hint="cs"/>
          <w:rtl/>
          <w:lang w:eastAsia="he-IL"/>
        </w:rPr>
        <w:t xml:space="preserve"> אבל השר לביטחון לאומי, הבלוף הזה שלא </w:t>
      </w:r>
      <w:bookmarkStart w:id="77086" w:name="_ETM_Q139_194000"/>
      <w:bookmarkEnd w:id="77086"/>
      <w:r>
        <w:rPr>
          <w:rFonts w:hint="cs"/>
          <w:rtl/>
          <w:lang w:eastAsia="he-IL"/>
        </w:rPr>
        <w:t xml:space="preserve">עשה מימיו שירות צבאי, שלא הפעיל מימיו איזושהי מערכת, שהיה </w:t>
      </w:r>
      <w:bookmarkStart w:id="77087" w:name="_ETM_Q139_199000"/>
      <w:bookmarkEnd w:id="77087"/>
      <w:r>
        <w:rPr>
          <w:rFonts w:hint="cs"/>
          <w:rtl/>
          <w:lang w:eastAsia="he-IL"/>
        </w:rPr>
        <w:t>נער גבעות, ואך לפני כמה ימים ראינו אותו מול</w:t>
      </w:r>
      <w:bookmarkStart w:id="77088" w:name="_ETM_Q139_207000"/>
      <w:bookmarkEnd w:id="77088"/>
      <w:r>
        <w:rPr>
          <w:rFonts w:hint="cs"/>
          <w:rtl/>
          <w:lang w:eastAsia="he-IL"/>
        </w:rPr>
        <w:t xml:space="preserve"> המיקרופונים ובהיסח הדעת או שלא במודע נפלט לו – השר שאחראי לאכיפת החוק אומר </w:t>
      </w:r>
      <w:bookmarkStart w:id="77089" w:name="_ETM_Q139_217000"/>
      <w:bookmarkEnd w:id="77089"/>
      <w:r>
        <w:rPr>
          <w:rFonts w:hint="cs"/>
          <w:rtl/>
          <w:lang w:eastAsia="he-IL"/>
        </w:rPr>
        <w:t xml:space="preserve">לאותם נערי גבעות: רוצו לגבעות, תפרו את החוק </w:t>
      </w:r>
      <w:r w:rsidR="00AF548A">
        <w:rPr>
          <w:rFonts w:hint="eastAsia"/>
          <w:rtl/>
          <w:lang w:eastAsia="he-IL"/>
        </w:rPr>
        <w:t>–</w:t>
      </w:r>
      <w:r w:rsidR="00AF548A">
        <w:rPr>
          <w:rFonts w:hint="cs"/>
          <w:rtl/>
          <w:lang w:eastAsia="he-IL"/>
        </w:rPr>
        <w:t xml:space="preserve"> </w:t>
      </w:r>
      <w:r>
        <w:rPr>
          <w:rFonts w:hint="cs"/>
          <w:rtl/>
          <w:lang w:eastAsia="he-IL"/>
        </w:rPr>
        <w:t xml:space="preserve">השר </w:t>
      </w:r>
      <w:bookmarkStart w:id="77090" w:name="_ETM_Q139_223000"/>
      <w:bookmarkEnd w:id="77090"/>
      <w:r>
        <w:rPr>
          <w:rFonts w:hint="cs"/>
          <w:rtl/>
          <w:lang w:eastAsia="he-IL"/>
        </w:rPr>
        <w:t>הזה ממשיך להפיץ את הסרט</w:t>
      </w:r>
      <w:r w:rsidR="00AF548A">
        <w:rPr>
          <w:rFonts w:hint="cs"/>
          <w:rtl/>
          <w:lang w:eastAsia="he-IL"/>
        </w:rPr>
        <w:t>,</w:t>
      </w:r>
      <w:r>
        <w:rPr>
          <w:rFonts w:hint="cs"/>
          <w:rtl/>
          <w:lang w:eastAsia="he-IL"/>
        </w:rPr>
        <w:t xml:space="preserve"> ואומר: אני עומד מאחוריו.</w:t>
      </w:r>
      <w:bookmarkStart w:id="77091" w:name="_ETM_Q139_228000"/>
      <w:bookmarkEnd w:id="77091"/>
      <w:r>
        <w:rPr>
          <w:rFonts w:hint="cs"/>
          <w:rtl/>
          <w:lang w:eastAsia="he-IL"/>
        </w:rPr>
        <w:t xml:space="preserve"> זה השר שלא שירת אף יום אחד</w:t>
      </w:r>
      <w:r w:rsidR="00AF548A">
        <w:rPr>
          <w:rFonts w:hint="cs"/>
          <w:rtl/>
          <w:lang w:eastAsia="he-IL"/>
        </w:rPr>
        <w:t>;</w:t>
      </w:r>
      <w:r>
        <w:rPr>
          <w:rFonts w:hint="cs"/>
          <w:rtl/>
          <w:lang w:eastAsia="he-IL"/>
        </w:rPr>
        <w:t xml:space="preserve"> זה השר </w:t>
      </w:r>
      <w:bookmarkStart w:id="77092" w:name="_ETM_Q139_231000"/>
      <w:bookmarkEnd w:id="77092"/>
      <w:r>
        <w:rPr>
          <w:rFonts w:hint="cs"/>
          <w:rtl/>
          <w:lang w:eastAsia="he-IL"/>
        </w:rPr>
        <w:t>– יש כבר 122 הרוגים במגזר הערבי אם אינני טועה</w:t>
      </w:r>
      <w:bookmarkStart w:id="77093" w:name="_ETM_Q139_236000"/>
      <w:bookmarkEnd w:id="77093"/>
      <w:r>
        <w:rPr>
          <w:rFonts w:hint="cs"/>
          <w:rtl/>
          <w:lang w:eastAsia="he-IL"/>
        </w:rPr>
        <w:t xml:space="preserve">; זה השר שהבטיח לנו שיהיה פה גן עדן, כי </w:t>
      </w:r>
      <w:bookmarkStart w:id="77094" w:name="_ETM_Q139_239000"/>
      <w:bookmarkEnd w:id="77094"/>
      <w:r>
        <w:rPr>
          <w:rFonts w:hint="cs"/>
          <w:rtl/>
          <w:lang w:eastAsia="he-IL"/>
        </w:rPr>
        <w:t xml:space="preserve">הוא בא למגר את הפשיעה ולהחזיר את המשילות – חתיכת </w:t>
      </w:r>
      <w:bookmarkStart w:id="77095" w:name="_ETM_Q139_244000"/>
      <w:bookmarkEnd w:id="77095"/>
      <w:r>
        <w:rPr>
          <w:rFonts w:hint="cs"/>
          <w:rtl/>
          <w:lang w:eastAsia="he-IL"/>
        </w:rPr>
        <w:t xml:space="preserve">לא יוצלח; זה השר היחיד שיושב פה והורשע בעבירה שיש עימה </w:t>
      </w:r>
      <w:bookmarkStart w:id="77096" w:name="_ETM_Q139_260000"/>
      <w:bookmarkEnd w:id="77096"/>
      <w:r>
        <w:rPr>
          <w:rFonts w:hint="cs"/>
          <w:rtl/>
          <w:lang w:eastAsia="he-IL"/>
        </w:rPr>
        <w:t xml:space="preserve">קלון – בתמיכה בטרור. והוא כל הזמן מדבר על חברי </w:t>
      </w:r>
      <w:bookmarkStart w:id="77097" w:name="_ETM_Q139_265000"/>
      <w:bookmarkEnd w:id="77097"/>
      <w:r>
        <w:rPr>
          <w:rFonts w:hint="cs"/>
          <w:rtl/>
          <w:lang w:eastAsia="he-IL"/>
        </w:rPr>
        <w:t xml:space="preserve">כנסת אחרים מהמגזר הערבי, שהם תומכי טרור. הם לא הורשעו </w:t>
      </w:r>
      <w:bookmarkStart w:id="77098" w:name="_ETM_Q139_272000"/>
      <w:bookmarkEnd w:id="77098"/>
      <w:r>
        <w:rPr>
          <w:rFonts w:hint="cs"/>
          <w:rtl/>
          <w:lang w:eastAsia="he-IL"/>
        </w:rPr>
        <w:t>– אתה הורשעת, אתה העבריין, חתיכת לא יוצלח.</w:t>
      </w:r>
      <w:bookmarkStart w:id="77099" w:name="_ETM_Q139_279000"/>
      <w:bookmarkEnd w:id="77099"/>
      <w:r>
        <w:rPr>
          <w:rFonts w:hint="cs"/>
          <w:rtl/>
          <w:lang w:eastAsia="he-IL"/>
        </w:rPr>
        <w:t xml:space="preserve"> </w:t>
      </w:r>
    </w:p>
    <w:p w:rsidR="00BB59CD" w:rsidRDefault="00BB59CD" w:rsidP="00BB59CD">
      <w:pPr>
        <w:rPr>
          <w:rtl/>
          <w:lang w:eastAsia="he-IL"/>
        </w:rPr>
      </w:pPr>
    </w:p>
    <w:p w:rsidR="00BB59CD" w:rsidRDefault="00BB59CD" w:rsidP="00AF548A">
      <w:pPr>
        <w:rPr>
          <w:rtl/>
          <w:lang w:eastAsia="he-IL"/>
        </w:rPr>
      </w:pPr>
      <w:bookmarkStart w:id="77100" w:name="_ETM_Q139_287000"/>
      <w:bookmarkEnd w:id="77100"/>
      <w:r>
        <w:rPr>
          <w:rFonts w:hint="cs"/>
          <w:rtl/>
          <w:lang w:eastAsia="he-IL"/>
        </w:rPr>
        <w:t xml:space="preserve">כיפת הברזל </w:t>
      </w:r>
      <w:r w:rsidR="00AF548A">
        <w:rPr>
          <w:rFonts w:hint="cs"/>
          <w:rtl/>
          <w:lang w:eastAsia="he-IL"/>
        </w:rPr>
        <w:t>ה</w:t>
      </w:r>
      <w:r>
        <w:rPr>
          <w:rFonts w:hint="cs"/>
          <w:rtl/>
          <w:lang w:eastAsia="he-IL"/>
        </w:rPr>
        <w:t xml:space="preserve">נותנת הגנה למשרתי צה"ל, מוסד, שב"כ, משטרה </w:t>
      </w:r>
      <w:bookmarkStart w:id="77101" w:name="_ETM_Q139_291000"/>
      <w:bookmarkEnd w:id="77101"/>
      <w:r w:rsidR="00AF548A">
        <w:rPr>
          <w:rFonts w:hint="cs"/>
          <w:rtl/>
          <w:lang w:eastAsia="he-IL"/>
        </w:rPr>
        <w:t xml:space="preserve">היא </w:t>
      </w:r>
      <w:r>
        <w:rPr>
          <w:rFonts w:hint="cs"/>
          <w:rtl/>
          <w:lang w:eastAsia="he-IL"/>
        </w:rPr>
        <w:t>בית המשפט העליון</w:t>
      </w:r>
      <w:r w:rsidR="00AF548A">
        <w:rPr>
          <w:rFonts w:hint="cs"/>
          <w:rtl/>
          <w:lang w:eastAsia="he-IL"/>
        </w:rPr>
        <w:t xml:space="preserve">. </w:t>
      </w:r>
      <w:r>
        <w:rPr>
          <w:rFonts w:hint="cs"/>
          <w:rtl/>
          <w:lang w:eastAsia="he-IL"/>
        </w:rPr>
        <w:t xml:space="preserve"> שקול, מאוזן, עושה צדק – ככה הוא </w:t>
      </w:r>
      <w:bookmarkStart w:id="77102" w:name="_ETM_Q139_308000"/>
      <w:bookmarkEnd w:id="77102"/>
      <w:r>
        <w:rPr>
          <w:rFonts w:hint="cs"/>
          <w:rtl/>
          <w:lang w:eastAsia="he-IL"/>
        </w:rPr>
        <w:t xml:space="preserve">נתפס בעולם. הוא ספינת ההצלה של כל המשרתים לסוגיהם. </w:t>
      </w:r>
      <w:bookmarkStart w:id="77103" w:name="_ETM_Q139_313000"/>
      <w:bookmarkEnd w:id="77103"/>
      <w:r>
        <w:rPr>
          <w:rFonts w:hint="cs"/>
          <w:rtl/>
          <w:lang w:eastAsia="he-IL"/>
        </w:rPr>
        <w:t xml:space="preserve">שמעתי – הופיעה איזו ידיעה קטנה שיש מלשינון בבית </w:t>
      </w:r>
      <w:bookmarkStart w:id="77104" w:name="_ETM_Q139_321000"/>
      <w:bookmarkEnd w:id="77104"/>
      <w:r>
        <w:rPr>
          <w:rFonts w:hint="cs"/>
          <w:rtl/>
          <w:lang w:eastAsia="he-IL"/>
        </w:rPr>
        <w:t xml:space="preserve">המשפט בהאג, ומבקשים מהציבור לבוא ולמסור שמות של משרתים במדינת </w:t>
      </w:r>
      <w:bookmarkStart w:id="77105" w:name="_ETM_Q139_327000"/>
      <w:bookmarkEnd w:id="77105"/>
      <w:r>
        <w:rPr>
          <w:rFonts w:hint="cs"/>
          <w:rtl/>
          <w:lang w:eastAsia="he-IL"/>
        </w:rPr>
        <w:t xml:space="preserve">ישראל לסוגיהם. כאשר כוחו של בית המשפט העליון ירד </w:t>
      </w:r>
      <w:bookmarkStart w:id="77106" w:name="_ETM_Q139_337000"/>
      <w:bookmarkEnd w:id="77106"/>
      <w:r>
        <w:rPr>
          <w:rFonts w:hint="cs"/>
          <w:rtl/>
          <w:lang w:eastAsia="he-IL"/>
        </w:rPr>
        <w:t xml:space="preserve">ולא יהיה בכוחו לקבל ולהגן על המשרתים למיניהם, יש סיכוי </w:t>
      </w:r>
      <w:bookmarkStart w:id="77107" w:name="_ETM_Q139_346000"/>
      <w:bookmarkEnd w:id="77107"/>
      <w:r>
        <w:rPr>
          <w:rFonts w:hint="cs"/>
          <w:rtl/>
          <w:lang w:eastAsia="he-IL"/>
        </w:rPr>
        <w:t>לכל אחד מאיתנו, או לפחות לחלק מאיתנו, כשיגיע לאדמת</w:t>
      </w:r>
      <w:bookmarkStart w:id="77108" w:name="_ETM_Q139_351000"/>
      <w:bookmarkEnd w:id="77108"/>
      <w:r>
        <w:rPr>
          <w:rFonts w:hint="cs"/>
          <w:rtl/>
          <w:lang w:eastAsia="he-IL"/>
        </w:rPr>
        <w:t xml:space="preserve"> אירופה, להיעצר ברדתו מהמטוס ולהישפט בהאג. זה מה שאתם רוצים </w:t>
      </w:r>
      <w:bookmarkStart w:id="77109" w:name="_ETM_Q139_357000"/>
      <w:bookmarkEnd w:id="77109"/>
      <w:r>
        <w:rPr>
          <w:rFonts w:hint="cs"/>
          <w:rtl/>
          <w:lang w:eastAsia="he-IL"/>
        </w:rPr>
        <w:t xml:space="preserve">לעשות לבית המשפט העליון. איזו בושה. </w:t>
      </w:r>
    </w:p>
    <w:p w:rsidR="00BB59CD" w:rsidRDefault="00BB59CD" w:rsidP="00BB59CD">
      <w:pPr>
        <w:rPr>
          <w:rtl/>
          <w:lang w:eastAsia="he-IL"/>
        </w:rPr>
      </w:pPr>
      <w:bookmarkStart w:id="77110" w:name="_ETM_Q139_365000"/>
      <w:bookmarkEnd w:id="77110"/>
    </w:p>
    <w:p w:rsidR="00BB59CD" w:rsidRDefault="00BB59CD" w:rsidP="00435BF7">
      <w:pPr>
        <w:rPr>
          <w:rtl/>
          <w:lang w:eastAsia="he-IL"/>
        </w:rPr>
      </w:pPr>
      <w:bookmarkStart w:id="77111" w:name="_ETM_Q139_366000"/>
      <w:bookmarkEnd w:id="77111"/>
      <w:r>
        <w:rPr>
          <w:rFonts w:hint="cs"/>
          <w:rtl/>
          <w:lang w:eastAsia="he-IL"/>
        </w:rPr>
        <w:t xml:space="preserve">צה"ל הוא צבא העם; רוח צה"ל היא הרוח האיתנה שמגינה עלינו, רוח שבה בשדה </w:t>
      </w:r>
      <w:bookmarkStart w:id="77112" w:name="_ETM_Q139_378000"/>
      <w:bookmarkEnd w:id="77112"/>
      <w:r>
        <w:rPr>
          <w:rFonts w:hint="cs"/>
          <w:rtl/>
          <w:lang w:eastAsia="he-IL"/>
        </w:rPr>
        <w:t xml:space="preserve">הקרב כתף אל כתף מסתערים אל פני אויב ללא חת </w:t>
      </w:r>
      <w:bookmarkStart w:id="77113" w:name="_ETM_Q139_384000"/>
      <w:bookmarkEnd w:id="77113"/>
      <w:r>
        <w:rPr>
          <w:rFonts w:hint="cs"/>
          <w:rtl/>
          <w:lang w:eastAsia="he-IL"/>
        </w:rPr>
        <w:t>כדי להגן על המדינה הזאת. שמעתי את דברי ההבל של</w:t>
      </w:r>
      <w:bookmarkStart w:id="77114" w:name="_ETM_Q139_390000"/>
      <w:bookmarkEnd w:id="77114"/>
      <w:r>
        <w:rPr>
          <w:rFonts w:hint="cs"/>
          <w:rtl/>
          <w:lang w:eastAsia="he-IL"/>
        </w:rPr>
        <w:t xml:space="preserve"> חבר הכנסת אלמוג כהן בגנות הטייסים. איך אמר? הוא בז </w:t>
      </w:r>
      <w:bookmarkStart w:id="77115" w:name="_ETM_Q139_394000"/>
      <w:bookmarkEnd w:id="77115"/>
      <w:r>
        <w:rPr>
          <w:rFonts w:hint="cs"/>
          <w:rtl/>
          <w:lang w:eastAsia="he-IL"/>
        </w:rPr>
        <w:t xml:space="preserve">להם. חבר הכנסת כהן מצטרף לשרה גלית דיסטל, שגם </w:t>
      </w:r>
      <w:bookmarkStart w:id="77116" w:name="_ETM_Q139_403000"/>
      <w:bookmarkEnd w:id="77116"/>
      <w:r>
        <w:rPr>
          <w:rFonts w:hint="cs"/>
          <w:rtl/>
          <w:lang w:eastAsia="he-IL"/>
        </w:rPr>
        <w:t xml:space="preserve">בזה לאותם טייסים אמיצים שמגיעים בכל שבוע לפעילות יומית ומסכנים </w:t>
      </w:r>
      <w:bookmarkStart w:id="77117" w:name="_ETM_Q139_409000"/>
      <w:bookmarkEnd w:id="77117"/>
      <w:r>
        <w:rPr>
          <w:rFonts w:hint="cs"/>
          <w:rtl/>
          <w:lang w:eastAsia="he-IL"/>
        </w:rPr>
        <w:t>את חייהם בעצם הטיסה על מטוס קרב</w:t>
      </w:r>
      <w:r w:rsidR="00AF548A">
        <w:rPr>
          <w:rFonts w:hint="cs"/>
          <w:rtl/>
          <w:lang w:eastAsia="he-IL"/>
        </w:rPr>
        <w:t>,</w:t>
      </w:r>
      <w:r>
        <w:rPr>
          <w:rFonts w:hint="cs"/>
          <w:rtl/>
          <w:lang w:eastAsia="he-IL"/>
        </w:rPr>
        <w:t xml:space="preserve"> </w:t>
      </w:r>
      <w:r w:rsidR="00AF548A">
        <w:rPr>
          <w:rFonts w:hint="cs"/>
          <w:rtl/>
          <w:lang w:eastAsia="he-IL"/>
        </w:rPr>
        <w:t>ול</w:t>
      </w:r>
      <w:r>
        <w:rPr>
          <w:rFonts w:hint="cs"/>
          <w:rtl/>
          <w:lang w:eastAsia="he-IL"/>
        </w:rPr>
        <w:t xml:space="preserve">שר </w:t>
      </w:r>
      <w:bookmarkStart w:id="77118" w:name="_ETM_Q139_425000"/>
      <w:bookmarkEnd w:id="77118"/>
      <w:r>
        <w:rPr>
          <w:rFonts w:hint="cs"/>
          <w:rtl/>
          <w:lang w:eastAsia="he-IL"/>
        </w:rPr>
        <w:t xml:space="preserve">קרעי, ששלח את המילואימניקים לעזאזל. איזו בושה. ומה אומר חבר </w:t>
      </w:r>
      <w:bookmarkStart w:id="77119" w:name="_ETM_Q139_435000"/>
      <w:bookmarkEnd w:id="77119"/>
      <w:r>
        <w:rPr>
          <w:rFonts w:hint="cs"/>
          <w:rtl/>
          <w:lang w:eastAsia="he-IL"/>
        </w:rPr>
        <w:t xml:space="preserve">הכנסת כהן? נפתח קורסים למועמדים מהפריפריה. איזה דברי הבל – כאילו הקורסים ב-30 השנים האחרונות, 40 השנים האחרונות, 50 השנים האחרונות, מאז קום המדינה, לא פתוחים </w:t>
      </w:r>
      <w:bookmarkStart w:id="77120" w:name="_ETM_Q139_457000"/>
      <w:bookmarkEnd w:id="77120"/>
      <w:r>
        <w:rPr>
          <w:rFonts w:hint="cs"/>
          <w:rtl/>
          <w:lang w:eastAsia="he-IL"/>
        </w:rPr>
        <w:t xml:space="preserve">לכל אותם ילדים שלנו, המוכשרים. קורס הטייס פתוח לכולם, </w:t>
      </w:r>
      <w:bookmarkStart w:id="77121" w:name="_ETM_Q139_469000"/>
      <w:bookmarkEnd w:id="77121"/>
      <w:r>
        <w:rPr>
          <w:rFonts w:hint="cs"/>
          <w:rtl/>
          <w:lang w:eastAsia="he-IL"/>
        </w:rPr>
        <w:t xml:space="preserve">אדון אלמוג כהן. אגלה לך משהו: בקורס האחרון סיימו 33 </w:t>
      </w:r>
      <w:bookmarkStart w:id="77122" w:name="_ETM_Q139_473000"/>
      <w:bookmarkEnd w:id="77122"/>
      <w:r>
        <w:rPr>
          <w:rFonts w:hint="cs"/>
          <w:rtl/>
          <w:lang w:eastAsia="he-IL"/>
        </w:rPr>
        <w:t xml:space="preserve">חניכים ממיטב בנינו. בין החניכים סיים נווט קרב </w:t>
      </w:r>
      <w:bookmarkStart w:id="77123" w:name="_ETM_Q139_492000"/>
      <w:bookmarkEnd w:id="77123"/>
      <w:r>
        <w:rPr>
          <w:rFonts w:hint="cs"/>
          <w:rtl/>
          <w:lang w:eastAsia="he-IL"/>
        </w:rPr>
        <w:t xml:space="preserve">מ'; נווט קרב מ' הוא נכדו של בן דודתי. </w:t>
      </w:r>
      <w:bookmarkStart w:id="77124" w:name="_ETM_Q139_500000"/>
      <w:bookmarkEnd w:id="77124"/>
      <w:r>
        <w:rPr>
          <w:rFonts w:hint="cs"/>
          <w:rtl/>
          <w:lang w:eastAsia="he-IL"/>
        </w:rPr>
        <w:t xml:space="preserve">אגיד לך עוד משהו: מ' – אימו כורדית ואבא </w:t>
      </w:r>
      <w:bookmarkStart w:id="77125" w:name="_ETM_Q139_505000"/>
      <w:bookmarkEnd w:id="77125"/>
      <w:r>
        <w:rPr>
          <w:rFonts w:hint="cs"/>
          <w:rtl/>
          <w:lang w:eastAsia="he-IL"/>
        </w:rPr>
        <w:t>שלו מרוקאי. אז על מה אתה מדבר? הם מיטב בנינו. אימא שלו כורדית, ואבא שלו מרוקאי. איזו טיפשות, איז</w:t>
      </w:r>
      <w:bookmarkStart w:id="77126" w:name="_ETM_Q139_522000"/>
      <w:bookmarkEnd w:id="77126"/>
      <w:r>
        <w:rPr>
          <w:rFonts w:hint="cs"/>
          <w:rtl/>
          <w:lang w:eastAsia="he-IL"/>
        </w:rPr>
        <w:t xml:space="preserve">ה חוסר הבנה. כן, זכית לידיעה באחת מחדשות היום, </w:t>
      </w:r>
      <w:bookmarkStart w:id="77127" w:name="_ETM_Q139_526000"/>
      <w:bookmarkEnd w:id="77127"/>
      <w:r>
        <w:rPr>
          <w:rFonts w:hint="cs"/>
          <w:rtl/>
          <w:lang w:eastAsia="he-IL"/>
        </w:rPr>
        <w:t>ובזה זה נסתם</w:t>
      </w:r>
      <w:r w:rsidR="00435BF7">
        <w:rPr>
          <w:rFonts w:hint="cs"/>
          <w:rtl/>
          <w:lang w:eastAsia="he-IL"/>
        </w:rPr>
        <w:t>,</w:t>
      </w:r>
      <w:r>
        <w:rPr>
          <w:rFonts w:hint="cs"/>
          <w:rtl/>
          <w:lang w:eastAsia="he-IL"/>
        </w:rPr>
        <w:t xml:space="preserve"> הטיפשות הזאת. </w:t>
      </w:r>
    </w:p>
    <w:p w:rsidR="00BB59CD" w:rsidRDefault="00BB59CD" w:rsidP="00BB59CD">
      <w:pPr>
        <w:rPr>
          <w:rtl/>
          <w:lang w:eastAsia="he-IL"/>
        </w:rPr>
      </w:pPr>
      <w:bookmarkStart w:id="77128" w:name="_ETM_Q139_533000"/>
      <w:bookmarkEnd w:id="77128"/>
    </w:p>
    <w:p w:rsidR="00BB59CD" w:rsidRDefault="00BB59CD" w:rsidP="00435BF7">
      <w:pPr>
        <w:rPr>
          <w:rtl/>
          <w:lang w:eastAsia="he-IL"/>
        </w:rPr>
      </w:pPr>
      <w:bookmarkStart w:id="77129" w:name="_ETM_Q139_534000"/>
      <w:bookmarkEnd w:id="77129"/>
      <w:r>
        <w:rPr>
          <w:rFonts w:hint="cs"/>
          <w:rtl/>
          <w:lang w:eastAsia="he-IL"/>
        </w:rPr>
        <w:t xml:space="preserve">אדוני ראש הממשלה, אני </w:t>
      </w:r>
      <w:bookmarkStart w:id="77130" w:name="_ETM_Q139_541000"/>
      <w:bookmarkEnd w:id="77130"/>
      <w:r>
        <w:rPr>
          <w:rFonts w:hint="cs"/>
          <w:rtl/>
          <w:lang w:eastAsia="he-IL"/>
        </w:rPr>
        <w:t xml:space="preserve">מאחל לך כי התיקים נגדך ייסגרו. נכון שאתה לא </w:t>
      </w:r>
      <w:bookmarkStart w:id="77131" w:name="_ETM_Q139_546000"/>
      <w:bookmarkEnd w:id="77131"/>
      <w:r>
        <w:rPr>
          <w:rFonts w:hint="cs"/>
          <w:rtl/>
          <w:lang w:eastAsia="he-IL"/>
        </w:rPr>
        <w:t xml:space="preserve">מאמין שאני, יריב פוליטי, אומר את זה – הינה, אני אומר את זה גם כקצין משטרה בכיר, למרות שאני מבין </w:t>
      </w:r>
      <w:bookmarkStart w:id="77132" w:name="_ETM_Q139_556000"/>
      <w:bookmarkEnd w:id="77132"/>
      <w:r>
        <w:rPr>
          <w:rFonts w:hint="cs"/>
          <w:rtl/>
          <w:lang w:eastAsia="he-IL"/>
        </w:rPr>
        <w:t xml:space="preserve">היטב חלק מהתיקים, לפחות את תיק 1000. אני מאחל </w:t>
      </w:r>
      <w:bookmarkStart w:id="77133" w:name="_ETM_Q139_561000"/>
      <w:bookmarkEnd w:id="77133"/>
      <w:r>
        <w:rPr>
          <w:rFonts w:hint="cs"/>
          <w:rtl/>
          <w:lang w:eastAsia="he-IL"/>
        </w:rPr>
        <w:t xml:space="preserve">לך שהתיק ייסגר. זה לא טוב שעוד ראש ממשלה </w:t>
      </w:r>
      <w:bookmarkStart w:id="77134" w:name="_ETM_Q139_569000"/>
      <w:bookmarkEnd w:id="77134"/>
      <w:r>
        <w:rPr>
          <w:rFonts w:hint="cs"/>
          <w:rtl/>
          <w:lang w:eastAsia="he-IL"/>
        </w:rPr>
        <w:t>ייכנס לכלא, זה לא לכבודה של מדינת ישראל. ואני סולח</w:t>
      </w:r>
      <w:bookmarkStart w:id="77135" w:name="_ETM_Q139_577000"/>
      <w:bookmarkEnd w:id="77135"/>
      <w:r>
        <w:rPr>
          <w:rFonts w:hint="cs"/>
          <w:rtl/>
          <w:lang w:eastAsia="he-IL"/>
        </w:rPr>
        <w:t xml:space="preserve"> לך על הכול. על דבר אחד לא אסלח לך, </w:t>
      </w:r>
      <w:bookmarkStart w:id="77136" w:name="_ETM_Q139_583000"/>
      <w:bookmarkEnd w:id="77136"/>
      <w:r>
        <w:rPr>
          <w:rFonts w:hint="cs"/>
          <w:rtl/>
          <w:lang w:eastAsia="he-IL"/>
        </w:rPr>
        <w:t xml:space="preserve">ההיסטוריה לא תסלח לך – על ריסוק החברה הישראלית, על </w:t>
      </w:r>
      <w:bookmarkStart w:id="77137" w:name="_ETM_Q139_592000"/>
      <w:bookmarkEnd w:id="77137"/>
      <w:r>
        <w:rPr>
          <w:rFonts w:hint="cs"/>
          <w:rtl/>
          <w:lang w:eastAsia="he-IL"/>
        </w:rPr>
        <w:t xml:space="preserve">"אנחנו" ו"הם". הדבר נעשה, וההיסטוריונים יבואו איתך חשבון. פגעת בחוסן </w:t>
      </w:r>
      <w:bookmarkStart w:id="77138" w:name="_ETM_Q139_599000"/>
      <w:bookmarkEnd w:id="77138"/>
      <w:r>
        <w:rPr>
          <w:rFonts w:hint="cs"/>
          <w:rtl/>
          <w:lang w:eastAsia="he-IL"/>
        </w:rPr>
        <w:t>הלאומי, פגעת בכלכלה, פגעת בחוסן הצבאי,</w:t>
      </w:r>
      <w:bookmarkStart w:id="77139" w:name="_ETM_Q139_607000"/>
      <w:bookmarkEnd w:id="77139"/>
      <w:r>
        <w:rPr>
          <w:rFonts w:hint="cs"/>
          <w:rtl/>
          <w:lang w:eastAsia="he-IL"/>
        </w:rPr>
        <w:t xml:space="preserve"> פגעת באחדות </w:t>
      </w:r>
      <w:bookmarkStart w:id="77140" w:name="_ETM_Q139_611000"/>
      <w:bookmarkEnd w:id="77140"/>
      <w:r>
        <w:rPr>
          <w:rFonts w:hint="cs"/>
          <w:rtl/>
          <w:lang w:eastAsia="he-IL"/>
        </w:rPr>
        <w:t>העם</w:t>
      </w:r>
      <w:r w:rsidR="00435BF7">
        <w:rPr>
          <w:rFonts w:hint="cs"/>
          <w:rtl/>
          <w:lang w:eastAsia="he-IL"/>
        </w:rPr>
        <w:t>,</w:t>
      </w:r>
      <w:r>
        <w:rPr>
          <w:rFonts w:hint="cs"/>
          <w:rtl/>
          <w:lang w:eastAsia="he-IL"/>
        </w:rPr>
        <w:t xml:space="preserve"> פגעת בכל דבר שהוא קדוש לנו. </w:t>
      </w:r>
    </w:p>
    <w:p w:rsidR="00BB59CD" w:rsidRDefault="00BB59CD" w:rsidP="00BB59CD">
      <w:pPr>
        <w:rPr>
          <w:rtl/>
          <w:lang w:eastAsia="he-IL"/>
        </w:rPr>
      </w:pPr>
    </w:p>
    <w:p w:rsidR="00BB59CD" w:rsidRDefault="00BB59CD" w:rsidP="00BB59CD">
      <w:pPr>
        <w:rPr>
          <w:rtl/>
          <w:lang w:eastAsia="he-IL"/>
        </w:rPr>
      </w:pPr>
      <w:bookmarkStart w:id="77141" w:name="_ETM_Q139_620000"/>
      <w:bookmarkEnd w:id="77141"/>
      <w:r>
        <w:rPr>
          <w:rFonts w:hint="cs"/>
          <w:rtl/>
          <w:lang w:eastAsia="he-IL"/>
        </w:rPr>
        <w:t xml:space="preserve">הצעת חוק-יסוד: השפיטה לא הופיעה במצע הליכוד. זה חלום בלהות </w:t>
      </w:r>
      <w:bookmarkStart w:id="77142" w:name="_ETM_Q139_626000"/>
      <w:bookmarkEnd w:id="77142"/>
      <w:r>
        <w:rPr>
          <w:rFonts w:hint="cs"/>
          <w:rtl/>
          <w:lang w:eastAsia="he-IL"/>
        </w:rPr>
        <w:t xml:space="preserve">שקדחו שר המשפטים ופורום קהלת. מגיעים שני מיליארדרים מארצות הברית, </w:t>
      </w:r>
      <w:bookmarkStart w:id="77143" w:name="_ETM_Q139_631000"/>
      <w:bookmarkEnd w:id="77143"/>
      <w:r>
        <w:rPr>
          <w:rFonts w:hint="cs"/>
          <w:rtl/>
          <w:lang w:eastAsia="he-IL"/>
        </w:rPr>
        <w:t xml:space="preserve">מקימים פורום, מעמידים בראשו אנשים שרוצים להפוך את מדינת </w:t>
      </w:r>
      <w:bookmarkStart w:id="77144" w:name="_ETM_Q139_642000"/>
      <w:bookmarkEnd w:id="77144"/>
      <w:r>
        <w:rPr>
          <w:rFonts w:hint="cs"/>
          <w:rtl/>
          <w:lang w:eastAsia="he-IL"/>
        </w:rPr>
        <w:t xml:space="preserve">ישראל. משוכנע אני שהיושב במרומים יבוא איתכם חשבון, </w:t>
      </w:r>
      <w:bookmarkStart w:id="77145" w:name="_ETM_Q139_653000"/>
      <w:bookmarkEnd w:id="77145"/>
      <w:r>
        <w:rPr>
          <w:rFonts w:hint="cs"/>
          <w:rtl/>
          <w:lang w:eastAsia="he-IL"/>
        </w:rPr>
        <w:t>תרדו מנכסיכם. למען מדינת ישראל זאת הבקשה שלי. ואנשי</w:t>
      </w:r>
      <w:bookmarkStart w:id="77146" w:name="_ETM_Q139_659000"/>
      <w:bookmarkEnd w:id="77146"/>
      <w:r>
        <w:rPr>
          <w:rFonts w:hint="cs"/>
          <w:rtl/>
          <w:lang w:eastAsia="he-IL"/>
        </w:rPr>
        <w:t xml:space="preserve"> פורום קהלת ההזויים, שפגעו בקדוש לנו, בכל היקר לנו </w:t>
      </w:r>
      <w:bookmarkStart w:id="77147" w:name="_ETM_Q139_670000"/>
      <w:bookmarkEnd w:id="77147"/>
      <w:r>
        <w:rPr>
          <w:rFonts w:hint="cs"/>
          <w:rtl/>
          <w:lang w:eastAsia="he-IL"/>
        </w:rPr>
        <w:t xml:space="preserve">– גם איתכם יבואו חשבון. </w:t>
      </w:r>
    </w:p>
    <w:p w:rsidR="00BB59CD" w:rsidRDefault="00BB59CD" w:rsidP="00BB59CD">
      <w:pPr>
        <w:rPr>
          <w:rtl/>
          <w:lang w:eastAsia="he-IL"/>
        </w:rPr>
      </w:pPr>
    </w:p>
    <w:p w:rsidR="00BB59CD" w:rsidRDefault="00BB59CD" w:rsidP="00F43B8F">
      <w:pPr>
        <w:rPr>
          <w:rtl/>
          <w:lang w:eastAsia="he-IL"/>
        </w:rPr>
      </w:pPr>
      <w:bookmarkStart w:id="77148" w:name="_ETM_Q139_677000"/>
      <w:bookmarkEnd w:id="77148"/>
      <w:r>
        <w:rPr>
          <w:rFonts w:hint="cs"/>
          <w:rtl/>
          <w:lang w:eastAsia="he-IL"/>
        </w:rPr>
        <w:t xml:space="preserve">שמעתי את חבר הכנסת עמית </w:t>
      </w:r>
      <w:bookmarkStart w:id="77149" w:name="_ETM_Q139_681000"/>
      <w:bookmarkEnd w:id="77149"/>
      <w:r>
        <w:rPr>
          <w:rFonts w:hint="cs"/>
          <w:rtl/>
          <w:lang w:eastAsia="he-IL"/>
        </w:rPr>
        <w:t xml:space="preserve">הלוי מתבטא נגד השביתה המתוכננת במגזר העסקי. </w:t>
      </w:r>
      <w:r w:rsidR="00FB4CE6">
        <w:rPr>
          <w:rFonts w:hint="cs"/>
          <w:rtl/>
          <w:lang w:eastAsia="he-IL"/>
        </w:rPr>
        <w:t>"</w:t>
      </w:r>
      <w:r>
        <w:rPr>
          <w:rFonts w:hint="cs"/>
          <w:rtl/>
          <w:lang w:eastAsia="he-IL"/>
        </w:rPr>
        <w:t>חוסר אחריות</w:t>
      </w:r>
      <w:r w:rsidR="00FB4CE6">
        <w:rPr>
          <w:rFonts w:hint="cs"/>
          <w:rtl/>
          <w:lang w:eastAsia="he-IL"/>
        </w:rPr>
        <w:t>"</w:t>
      </w:r>
      <w:r>
        <w:rPr>
          <w:rFonts w:hint="cs"/>
          <w:rtl/>
          <w:lang w:eastAsia="he-IL"/>
        </w:rPr>
        <w:t>, הוא קורא לזה. ומה הוא אומר? אני מצטט אותו בחוק: זה יבוא לפתרון בחוק. מה תעשו</w:t>
      </w:r>
      <w:r w:rsidR="00FB4CE6">
        <w:rPr>
          <w:rFonts w:hint="cs"/>
          <w:rtl/>
          <w:lang w:eastAsia="he-IL"/>
        </w:rPr>
        <w:t>,</w:t>
      </w:r>
      <w:r>
        <w:rPr>
          <w:rFonts w:hint="cs"/>
          <w:rtl/>
          <w:lang w:eastAsia="he-IL"/>
        </w:rPr>
        <w:t xml:space="preserve"> דיקטטורה שתאסור גם </w:t>
      </w:r>
      <w:bookmarkStart w:id="77150" w:name="_ETM_Q139_701000"/>
      <w:bookmarkEnd w:id="77150"/>
      <w:r>
        <w:rPr>
          <w:rFonts w:hint="cs"/>
          <w:rtl/>
          <w:lang w:eastAsia="he-IL"/>
        </w:rPr>
        <w:t>על העסקים לשבות? זה מה שאתם מתכננים</w:t>
      </w:r>
      <w:r w:rsidR="00FB4CE6">
        <w:rPr>
          <w:rFonts w:hint="cs"/>
          <w:rtl/>
          <w:lang w:eastAsia="he-IL"/>
        </w:rPr>
        <w:t>,</w:t>
      </w:r>
      <w:r>
        <w:rPr>
          <w:rFonts w:hint="cs"/>
          <w:rtl/>
          <w:lang w:eastAsia="he-IL"/>
        </w:rPr>
        <w:t xml:space="preserve"> דיקטטורה עד הסוף</w:t>
      </w:r>
      <w:r w:rsidR="00FB4CE6">
        <w:rPr>
          <w:rFonts w:hint="cs"/>
          <w:rtl/>
          <w:lang w:eastAsia="he-IL"/>
        </w:rPr>
        <w:t>,</w:t>
      </w:r>
      <w:r>
        <w:rPr>
          <w:rFonts w:hint="cs"/>
          <w:rtl/>
          <w:lang w:eastAsia="he-IL"/>
        </w:rPr>
        <w:t xml:space="preserve"> איסור שביתה? זו אחת מאבני היסוד של הדמוקרטיה</w:t>
      </w:r>
      <w:r w:rsidR="00FB4CE6">
        <w:rPr>
          <w:rFonts w:hint="cs"/>
          <w:rtl/>
          <w:lang w:eastAsia="he-IL"/>
        </w:rPr>
        <w:t>.</w:t>
      </w:r>
      <w:r>
        <w:rPr>
          <w:rFonts w:hint="cs"/>
          <w:rtl/>
          <w:lang w:eastAsia="he-IL"/>
        </w:rPr>
        <w:t xml:space="preserve"> </w:t>
      </w:r>
      <w:bookmarkStart w:id="77151" w:name="_ETM_Q139_719000"/>
      <w:bookmarkEnd w:id="77151"/>
      <w:r>
        <w:rPr>
          <w:rFonts w:hint="cs"/>
          <w:rtl/>
          <w:lang w:eastAsia="he-IL"/>
        </w:rPr>
        <w:t xml:space="preserve">תקשיב לעצמך, על מה אתה מדבר. נביא פתרון בצורת חקיקה – </w:t>
      </w:r>
      <w:bookmarkStart w:id="77152" w:name="_ETM_Q139_727000"/>
      <w:bookmarkEnd w:id="77152"/>
      <w:r>
        <w:rPr>
          <w:rFonts w:hint="cs"/>
          <w:rtl/>
          <w:lang w:eastAsia="he-IL"/>
        </w:rPr>
        <w:t xml:space="preserve">בושה וחרפה. אין הצעת חוק לגיטימית שהבאת – חוק המתנות, עוד כל מיני חוקים </w:t>
      </w:r>
      <w:bookmarkStart w:id="77153" w:name="_ETM_Q139_730000"/>
      <w:bookmarkEnd w:id="77153"/>
      <w:r>
        <w:rPr>
          <w:rFonts w:hint="cs"/>
          <w:rtl/>
          <w:lang w:eastAsia="he-IL"/>
        </w:rPr>
        <w:t>הזויים. לא מביאים את הצעת חוק</w:t>
      </w:r>
      <w:r w:rsidR="00F43B8F">
        <w:rPr>
          <w:rFonts w:hint="cs"/>
          <w:rtl/>
          <w:lang w:eastAsia="he-IL"/>
        </w:rPr>
        <w:t>-יסוד: השפיטה</w:t>
      </w:r>
      <w:r>
        <w:rPr>
          <w:rFonts w:hint="cs"/>
          <w:rtl/>
          <w:lang w:eastAsia="he-IL"/>
        </w:rPr>
        <w:t xml:space="preserve"> מטעם הממשלה, אז ממציאים איזה משהו, שהחוק מובא מטעם ועדת חוקה. </w:t>
      </w:r>
      <w:bookmarkStart w:id="77154" w:name="_ETM_Q139_752000"/>
      <w:bookmarkEnd w:id="77154"/>
      <w:r>
        <w:rPr>
          <w:rFonts w:hint="cs"/>
          <w:rtl/>
          <w:lang w:eastAsia="he-IL"/>
        </w:rPr>
        <w:t xml:space="preserve">חבר הכנסת רוטמן הוא המוציא לפועל – חוק מושחת שבא </w:t>
      </w:r>
      <w:bookmarkStart w:id="77155" w:name="_ETM_Q139_757000"/>
      <w:bookmarkEnd w:id="77155"/>
      <w:r>
        <w:rPr>
          <w:rFonts w:hint="cs"/>
          <w:rtl/>
          <w:lang w:eastAsia="he-IL"/>
        </w:rPr>
        <w:t xml:space="preserve">לפגוע באזרחי ישראל ובבית המשפט העליון. </w:t>
      </w:r>
      <w:bookmarkStart w:id="77156" w:name="_ETM_Q139_759000"/>
      <w:bookmarkStart w:id="77157" w:name="TOR_Q140"/>
      <w:bookmarkEnd w:id="77156"/>
      <w:bookmarkEnd w:id="77157"/>
      <w:r>
        <w:rPr>
          <w:rFonts w:hint="cs"/>
          <w:rtl/>
          <w:lang w:eastAsia="he-IL"/>
        </w:rPr>
        <w:t>זה חוק שיעודד שחיתות שלטונית. בית המשפט העליון אינו יכול יותר להעביר ביקורת על מהלכי הרשות המחוקקת או המבצעת. כאשר הוסרה היכולת לביקורת שיפוטית</w:t>
      </w:r>
      <w:r w:rsidR="00F43B8F">
        <w:rPr>
          <w:rFonts w:hint="cs"/>
          <w:rtl/>
          <w:lang w:eastAsia="he-IL"/>
        </w:rPr>
        <w:t>,</w:t>
      </w:r>
      <w:r>
        <w:rPr>
          <w:rFonts w:hint="cs"/>
          <w:rtl/>
          <w:lang w:eastAsia="he-IL"/>
        </w:rPr>
        <w:t xml:space="preserve"> נפגע החוזה בין העם </w:t>
      </w:r>
      <w:bookmarkStart w:id="77158" w:name="_ETM_Q140_184000"/>
      <w:bookmarkEnd w:id="77158"/>
      <w:r>
        <w:rPr>
          <w:rFonts w:hint="cs"/>
          <w:rtl/>
          <w:lang w:eastAsia="he-IL"/>
        </w:rPr>
        <w:t xml:space="preserve">לבין הממשלה, נפגע החוזה בין המדינה לבין האזרחים. מעתה, </w:t>
      </w:r>
      <w:bookmarkStart w:id="77159" w:name="_ETM_Q140_195000"/>
      <w:bookmarkEnd w:id="77159"/>
      <w:r>
        <w:rPr>
          <w:rFonts w:hint="cs"/>
          <w:rtl/>
          <w:lang w:eastAsia="he-IL"/>
        </w:rPr>
        <w:t xml:space="preserve">כאשר בית המשפט העליון אינו נחשב, יהיה ניתן לעצור בכל </w:t>
      </w:r>
      <w:bookmarkStart w:id="77160" w:name="_ETM_Q140_201000"/>
      <w:bookmarkEnd w:id="77160"/>
      <w:r>
        <w:rPr>
          <w:rFonts w:hint="cs"/>
          <w:rtl/>
          <w:lang w:eastAsia="he-IL"/>
        </w:rPr>
        <w:t>אחת ממדינות אירופה</w:t>
      </w:r>
      <w:r w:rsidR="00F43B8F">
        <w:rPr>
          <w:rFonts w:hint="cs"/>
          <w:rtl/>
          <w:lang w:eastAsia="he-IL"/>
        </w:rPr>
        <w:t xml:space="preserve"> לובשי </w:t>
      </w:r>
      <w:bookmarkStart w:id="77161" w:name="_ETM_Q0_83395000"/>
      <w:bookmarkEnd w:id="77161"/>
      <w:r w:rsidR="00F43B8F">
        <w:rPr>
          <w:rFonts w:hint="cs"/>
          <w:rtl/>
          <w:lang w:eastAsia="he-IL"/>
        </w:rPr>
        <w:t>מדים, כפי שאמרתי</w:t>
      </w:r>
      <w:r>
        <w:rPr>
          <w:rFonts w:hint="cs"/>
          <w:rtl/>
          <w:lang w:eastAsia="he-IL"/>
        </w:rPr>
        <w:t xml:space="preserve">. </w:t>
      </w:r>
    </w:p>
    <w:p w:rsidR="00BB59CD" w:rsidRDefault="00BB59CD" w:rsidP="00BB59CD">
      <w:pPr>
        <w:ind w:firstLine="0"/>
        <w:rPr>
          <w:rtl/>
          <w:lang w:eastAsia="he-IL"/>
        </w:rPr>
      </w:pPr>
    </w:p>
    <w:p w:rsidR="00BB59CD" w:rsidRDefault="00BB59CD" w:rsidP="00F43B8F">
      <w:pPr>
        <w:ind w:firstLine="0"/>
        <w:rPr>
          <w:rtl/>
          <w:lang w:eastAsia="he-IL"/>
        </w:rPr>
      </w:pPr>
      <w:bookmarkStart w:id="77162" w:name="_ETM_Q140_211000"/>
      <w:bookmarkEnd w:id="77162"/>
      <w:r>
        <w:rPr>
          <w:rFonts w:hint="cs"/>
          <w:rtl/>
          <w:lang w:eastAsia="he-IL"/>
        </w:rPr>
        <w:tab/>
        <w:t>קידום החקיקה באופן</w:t>
      </w:r>
      <w:bookmarkStart w:id="77163" w:name="_ETM_Q140_218000"/>
      <w:bookmarkEnd w:id="77163"/>
      <w:r>
        <w:rPr>
          <w:rFonts w:hint="cs"/>
          <w:rtl/>
          <w:lang w:eastAsia="he-IL"/>
        </w:rPr>
        <w:t xml:space="preserve"> חד-צדדי על ידי נתניהו, לוין, רוטמן וחבריהם גורם לפגיעה אנושה בכלכלה, בביטחון, בחוסן הלאומי</w:t>
      </w:r>
      <w:r w:rsidR="00F43B8F">
        <w:rPr>
          <w:rFonts w:hint="cs"/>
          <w:rtl/>
          <w:lang w:eastAsia="he-IL"/>
        </w:rPr>
        <w:t>,</w:t>
      </w:r>
      <w:r>
        <w:rPr>
          <w:rFonts w:hint="cs"/>
          <w:rtl/>
          <w:lang w:eastAsia="he-IL"/>
        </w:rPr>
        <w:t xml:space="preserve"> וקורע את העם. צריך לעצור </w:t>
      </w:r>
      <w:bookmarkStart w:id="77164" w:name="_ETM_Q140_239000"/>
      <w:bookmarkEnd w:id="77164"/>
      <w:r>
        <w:rPr>
          <w:rFonts w:hint="cs"/>
          <w:rtl/>
          <w:lang w:eastAsia="he-IL"/>
        </w:rPr>
        <w:t xml:space="preserve">את החקיקה הנוראית הזאת באופן מיידי. נתניהו נסחט, הוא חלש </w:t>
      </w:r>
      <w:bookmarkStart w:id="77165" w:name="_ETM_Q140_245000"/>
      <w:bookmarkEnd w:id="77165"/>
      <w:r>
        <w:rPr>
          <w:rFonts w:hint="cs"/>
          <w:rtl/>
          <w:lang w:eastAsia="he-IL"/>
        </w:rPr>
        <w:t xml:space="preserve">מתמיד. לא כך אנחנו מכירים אותו. הוא נסחט על ידי חבורת לוין-רוטמן המטורללת, שגוררת מדינה שלמה לתהום הכלכלית, לתהום </w:t>
      </w:r>
      <w:bookmarkStart w:id="77166" w:name="_ETM_Q140_258000"/>
      <w:bookmarkEnd w:id="77166"/>
      <w:r>
        <w:rPr>
          <w:rFonts w:hint="cs"/>
          <w:rtl/>
          <w:lang w:eastAsia="he-IL"/>
        </w:rPr>
        <w:t>החברתית, לתהום המדינית ולתהום הביטחונית. ואני שואל – איך הצלחתם</w:t>
      </w:r>
      <w:bookmarkStart w:id="77167" w:name="_ETM_Q140_269000"/>
      <w:bookmarkEnd w:id="77167"/>
      <w:r>
        <w:rPr>
          <w:rFonts w:hint="cs"/>
          <w:rtl/>
          <w:lang w:eastAsia="he-IL"/>
        </w:rPr>
        <w:t xml:space="preserve"> בשבעה חודשים לרסק מדינה משגשגת</w:t>
      </w:r>
      <w:r w:rsidR="00F43B8F">
        <w:rPr>
          <w:rFonts w:hint="cs"/>
          <w:rtl/>
          <w:lang w:eastAsia="he-IL"/>
        </w:rPr>
        <w:t>,</w:t>
      </w:r>
      <w:r>
        <w:rPr>
          <w:rFonts w:hint="cs"/>
          <w:rtl/>
          <w:lang w:eastAsia="he-IL"/>
        </w:rPr>
        <w:t xml:space="preserve"> הרביעית בחוסנה הכלכלי בעולם, הרביעית, סטרטאפ ניישן</w:t>
      </w:r>
      <w:r w:rsidR="00F43B8F">
        <w:rPr>
          <w:rFonts w:hint="cs"/>
          <w:rtl/>
          <w:lang w:eastAsia="he-IL"/>
        </w:rPr>
        <w:t>?</w:t>
      </w:r>
      <w:r>
        <w:rPr>
          <w:rFonts w:hint="cs"/>
          <w:rtl/>
          <w:lang w:eastAsia="he-IL"/>
        </w:rPr>
        <w:t xml:space="preserve"> 85% מעבירים את הס</w:t>
      </w:r>
      <w:bookmarkStart w:id="77168" w:name="_ETM_Q140_289000"/>
      <w:bookmarkEnd w:id="77168"/>
      <w:r>
        <w:rPr>
          <w:rFonts w:hint="cs"/>
          <w:rtl/>
          <w:lang w:eastAsia="he-IL"/>
        </w:rPr>
        <w:t xml:space="preserve">טרטאפים מהמדינה. איך? תסבירו לי איך חלום הבלהות שיריב לוין </w:t>
      </w:r>
      <w:bookmarkStart w:id="77169" w:name="_ETM_Q140_295000"/>
      <w:bookmarkEnd w:id="77169"/>
      <w:r>
        <w:rPr>
          <w:rFonts w:hint="cs"/>
          <w:rtl/>
          <w:lang w:eastAsia="he-IL"/>
        </w:rPr>
        <w:t xml:space="preserve">חולם עליו זה 20 שנה לפי דבריו – ואני רואה סרטון שאך לפני אינני יודע כמה חודשים הוא הוציא אותו, ובו הוא אומר </w:t>
      </w:r>
      <w:bookmarkStart w:id="77170" w:name="_ETM_Q140_303000"/>
      <w:bookmarkEnd w:id="77170"/>
      <w:r>
        <w:rPr>
          <w:rFonts w:hint="cs"/>
          <w:rtl/>
          <w:lang w:eastAsia="he-IL"/>
        </w:rPr>
        <w:t>באופן ברור בקולו הוא: אם החקיקה הזאת תעבור</w:t>
      </w:r>
      <w:r w:rsidR="00F43B8F">
        <w:rPr>
          <w:rFonts w:hint="cs"/>
          <w:rtl/>
          <w:lang w:eastAsia="he-IL"/>
        </w:rPr>
        <w:t>,</w:t>
      </w:r>
      <w:r>
        <w:rPr>
          <w:rFonts w:hint="cs"/>
          <w:rtl/>
          <w:lang w:eastAsia="he-IL"/>
        </w:rPr>
        <w:t xml:space="preserve"> מדינת ישראל תהפוך למדינה לא דמוקרטית. אז מה אתה עושה, </w:t>
      </w:r>
      <w:bookmarkStart w:id="77171" w:name="_ETM_Q140_321000"/>
      <w:bookmarkEnd w:id="77171"/>
      <w:r>
        <w:rPr>
          <w:rFonts w:hint="cs"/>
          <w:rtl/>
          <w:lang w:eastAsia="he-IL"/>
        </w:rPr>
        <w:t xml:space="preserve">שר המשפטים? גורר מדינה בריאה לתהום? ראש הממשלה פוחד ממך, אני מודה. ראש הממשלה פוחד ממך, פוחד מהקיצונים, פוחד מסמוטריץ', פוחד מבן גביר, מכל אותם משיחיים שיביאו עלינו, חס וחלילה, חורבן הבית. </w:t>
      </w:r>
    </w:p>
    <w:p w:rsidR="00BB59CD" w:rsidRDefault="00BB59CD" w:rsidP="00BB59CD">
      <w:pPr>
        <w:ind w:firstLine="0"/>
        <w:rPr>
          <w:rtl/>
          <w:lang w:eastAsia="he-IL"/>
        </w:rPr>
      </w:pPr>
    </w:p>
    <w:p w:rsidR="00BB59CD" w:rsidRDefault="00BB59CD" w:rsidP="00F43B8F">
      <w:pPr>
        <w:ind w:firstLine="0"/>
        <w:rPr>
          <w:rtl/>
          <w:lang w:eastAsia="he-IL"/>
        </w:rPr>
      </w:pPr>
      <w:bookmarkStart w:id="77172" w:name="_ETM_Q140_344000"/>
      <w:bookmarkEnd w:id="77172"/>
      <w:r>
        <w:rPr>
          <w:rFonts w:hint="cs"/>
          <w:rtl/>
          <w:lang w:eastAsia="he-IL"/>
        </w:rPr>
        <w:tab/>
        <w:t>אבל אדוני</w:t>
      </w:r>
      <w:bookmarkStart w:id="77173" w:name="_ETM_Q140_348000"/>
      <w:bookmarkEnd w:id="77173"/>
      <w:r>
        <w:rPr>
          <w:rFonts w:hint="cs"/>
          <w:rtl/>
          <w:lang w:eastAsia="he-IL"/>
        </w:rPr>
        <w:t xml:space="preserve"> ראש הממשלה, אני רוצה לדבר אליך: כאשר – אני מאחל </w:t>
      </w:r>
      <w:bookmarkStart w:id="77174" w:name="_ETM_Q140_353000"/>
      <w:bookmarkEnd w:id="77174"/>
      <w:r>
        <w:rPr>
          <w:rFonts w:hint="cs"/>
          <w:rtl/>
          <w:lang w:eastAsia="he-IL"/>
        </w:rPr>
        <w:t xml:space="preserve">לך עד 120, אבל כל אחד מאיתנו בסופו של דבר </w:t>
      </w:r>
      <w:bookmarkStart w:id="77175" w:name="_ETM_Q140_354000"/>
      <w:bookmarkEnd w:id="77175"/>
      <w:r>
        <w:rPr>
          <w:rFonts w:hint="cs"/>
          <w:rtl/>
          <w:lang w:eastAsia="he-IL"/>
        </w:rPr>
        <w:t xml:space="preserve">הולך לדרכו – ישבו כמה היסטוריונים, או אפילו בסיום </w:t>
      </w:r>
      <w:bookmarkStart w:id="77176" w:name="_ETM_Q140_362000"/>
      <w:bookmarkEnd w:id="77176"/>
      <w:r>
        <w:rPr>
          <w:rFonts w:hint="cs"/>
          <w:rtl/>
          <w:lang w:eastAsia="he-IL"/>
        </w:rPr>
        <w:t>תפקידך, ויכתבו את ההיסטוריה</w:t>
      </w:r>
      <w:bookmarkStart w:id="77177" w:name="_ETM_Q140_368000"/>
      <w:bookmarkEnd w:id="77177"/>
      <w:r>
        <w:rPr>
          <w:rFonts w:hint="cs"/>
          <w:rtl/>
          <w:lang w:eastAsia="he-IL"/>
        </w:rPr>
        <w:t xml:space="preserve"> שלך</w:t>
      </w:r>
      <w:r w:rsidR="00F43B8F">
        <w:rPr>
          <w:rFonts w:hint="cs"/>
          <w:rtl/>
          <w:lang w:eastAsia="he-IL"/>
        </w:rPr>
        <w:t>,</w:t>
      </w:r>
      <w:r>
        <w:rPr>
          <w:rFonts w:hint="cs"/>
          <w:rtl/>
          <w:lang w:eastAsia="he-IL"/>
        </w:rPr>
        <w:t xml:space="preserve"> בספר עב כרס, יש להודות – נכון, אתה ראש הממשלה שכיהן הכי הרבה זמן</w:t>
      </w:r>
      <w:r w:rsidR="00F43B8F">
        <w:rPr>
          <w:rFonts w:hint="cs"/>
          <w:rtl/>
          <w:lang w:eastAsia="he-IL"/>
        </w:rPr>
        <w:t>,</w:t>
      </w:r>
      <w:r>
        <w:rPr>
          <w:rFonts w:hint="cs"/>
          <w:rtl/>
          <w:lang w:eastAsia="he-IL"/>
        </w:rPr>
        <w:t xml:space="preserve"> יותר </w:t>
      </w:r>
      <w:bookmarkStart w:id="77178" w:name="_ETM_Q140_377000"/>
      <w:bookmarkEnd w:id="77178"/>
      <w:r>
        <w:rPr>
          <w:rFonts w:hint="cs"/>
          <w:rtl/>
          <w:lang w:eastAsia="he-IL"/>
        </w:rPr>
        <w:t>מבן-גוריון</w:t>
      </w:r>
      <w:r w:rsidR="00F43B8F">
        <w:rPr>
          <w:rFonts w:hint="cs"/>
          <w:rtl/>
          <w:lang w:eastAsia="he-IL"/>
        </w:rPr>
        <w:t>,</w:t>
      </w:r>
      <w:r>
        <w:rPr>
          <w:rFonts w:hint="cs"/>
          <w:rtl/>
          <w:lang w:eastAsia="he-IL"/>
        </w:rPr>
        <w:t xml:space="preserve"> זה נתון, </w:t>
      </w:r>
      <w:r>
        <w:rPr>
          <w:lang w:eastAsia="he-IL"/>
        </w:rPr>
        <w:t>fact</w:t>
      </w:r>
      <w:r>
        <w:rPr>
          <w:rFonts w:hint="cs"/>
          <w:rtl/>
          <w:lang w:eastAsia="he-IL"/>
        </w:rPr>
        <w:t xml:space="preserve">. הדף הראשון יהיה על ימי </w:t>
      </w:r>
      <w:bookmarkStart w:id="77179" w:name="_ETM_Q140_386000"/>
      <w:bookmarkEnd w:id="77179"/>
      <w:r>
        <w:rPr>
          <w:rFonts w:hint="cs"/>
          <w:rtl/>
          <w:lang w:eastAsia="he-IL"/>
        </w:rPr>
        <w:t xml:space="preserve">ילדותך; הדף השני על הצבא, על סיירת מטכ"ל; הדף השלישי </w:t>
      </w:r>
      <w:bookmarkStart w:id="77180" w:name="_ETM_Q140_395000"/>
      <w:bookmarkEnd w:id="77180"/>
      <w:r>
        <w:rPr>
          <w:rFonts w:hint="cs"/>
          <w:rtl/>
          <w:lang w:eastAsia="he-IL"/>
        </w:rPr>
        <w:t xml:space="preserve">על הזמן ששהית בארצות הברית – בנג'מין ניתאי; על </w:t>
      </w:r>
      <w:bookmarkStart w:id="77181" w:name="_ETM_Q140_402000"/>
      <w:bookmarkEnd w:id="77181"/>
      <w:r>
        <w:rPr>
          <w:rFonts w:hint="cs"/>
          <w:rtl/>
          <w:lang w:eastAsia="he-IL"/>
        </w:rPr>
        <w:t>הלימודים שלמדת; הדף הרביעי – הפתעה – התפקוד שלך כשר אוצר טוב שהציל את כלכלת ישראל באומץ.</w:t>
      </w:r>
      <w:bookmarkStart w:id="77182" w:name="_ETM_Q140_414000"/>
      <w:bookmarkEnd w:id="77182"/>
      <w:r>
        <w:rPr>
          <w:rFonts w:hint="cs"/>
          <w:rtl/>
          <w:lang w:eastAsia="he-IL"/>
        </w:rPr>
        <w:t xml:space="preserve"> אתה – היה לך האומץ להוריד את קצבת הילדים, להוריד </w:t>
      </w:r>
      <w:bookmarkStart w:id="77183" w:name="_ETM_Q140_423000"/>
      <w:bookmarkEnd w:id="77183"/>
      <w:r>
        <w:rPr>
          <w:rFonts w:hint="cs"/>
          <w:rtl/>
          <w:lang w:eastAsia="he-IL"/>
        </w:rPr>
        <w:t xml:space="preserve">הוצאות ממשלה מטורפות כדי לחסוך ולהחזיר את מדינת ישראל. כולם </w:t>
      </w:r>
      <w:bookmarkStart w:id="77184" w:name="_ETM_Q140_426000"/>
      <w:bookmarkEnd w:id="77184"/>
      <w:r>
        <w:rPr>
          <w:rFonts w:hint="cs"/>
          <w:rtl/>
          <w:lang w:eastAsia="he-IL"/>
        </w:rPr>
        <w:t xml:space="preserve">שכחו שאתה הראשון שפגעת בקצבאות הילדים. אתה. ועוד בין 350 </w:t>
      </w:r>
      <w:bookmarkStart w:id="77185" w:name="_ETM_Q140_441000"/>
      <w:bookmarkEnd w:id="77185"/>
      <w:r>
        <w:rPr>
          <w:rFonts w:hint="cs"/>
          <w:rtl/>
          <w:lang w:eastAsia="he-IL"/>
        </w:rPr>
        <w:t xml:space="preserve">ל-400 עמודים יהיה איך הצלחת לרסק את מדינת ישראל, איך </w:t>
      </w:r>
      <w:bookmarkStart w:id="77186" w:name="_ETM_Q140_445000"/>
      <w:bookmarkEnd w:id="77186"/>
      <w:r>
        <w:rPr>
          <w:rFonts w:hint="cs"/>
          <w:rtl/>
          <w:lang w:eastAsia="he-IL"/>
        </w:rPr>
        <w:t xml:space="preserve">הצלחת לרסק את החברה, איך הצלחת לעשות הפרד ומשול, איך </w:t>
      </w:r>
      <w:bookmarkStart w:id="77187" w:name="_ETM_Q140_448000"/>
      <w:bookmarkEnd w:id="77187"/>
      <w:r>
        <w:rPr>
          <w:rFonts w:hint="cs"/>
          <w:rtl/>
          <w:lang w:eastAsia="he-IL"/>
        </w:rPr>
        <w:t xml:space="preserve">הצלחת לחמם כדי שנשלח יד באחיו, איך הצלחת להפוך את </w:t>
      </w:r>
      <w:bookmarkStart w:id="77188" w:name="_ETM_Q140_456000"/>
      <w:bookmarkEnd w:id="77188"/>
      <w:r>
        <w:rPr>
          <w:rFonts w:hint="cs"/>
          <w:rtl/>
          <w:lang w:eastAsia="he-IL"/>
        </w:rPr>
        <w:t>הצבא</w:t>
      </w:r>
      <w:r w:rsidR="00F43B8F">
        <w:rPr>
          <w:rFonts w:hint="cs"/>
          <w:rtl/>
          <w:lang w:eastAsia="he-IL"/>
        </w:rPr>
        <w:t>,</w:t>
      </w:r>
      <w:r>
        <w:rPr>
          <w:rFonts w:hint="cs"/>
          <w:rtl/>
          <w:lang w:eastAsia="he-IL"/>
        </w:rPr>
        <w:t xml:space="preserve"> חס וחלילה, לא לצבא העם</w:t>
      </w:r>
      <w:r w:rsidR="00F43B8F">
        <w:rPr>
          <w:rFonts w:hint="cs"/>
          <w:rtl/>
          <w:lang w:eastAsia="he-IL"/>
        </w:rPr>
        <w:t>, ו</w:t>
      </w:r>
      <w:r>
        <w:rPr>
          <w:rFonts w:hint="cs"/>
          <w:rtl/>
          <w:lang w:eastAsia="he-IL"/>
        </w:rPr>
        <w:t xml:space="preserve">איך </w:t>
      </w:r>
      <w:bookmarkStart w:id="77189" w:name="_ETM_Q140_466000"/>
      <w:bookmarkEnd w:id="77189"/>
      <w:r>
        <w:rPr>
          <w:rFonts w:hint="cs"/>
          <w:rtl/>
          <w:lang w:eastAsia="he-IL"/>
        </w:rPr>
        <w:t xml:space="preserve">פגעת בכולנו. על זה ההיסטוריה, אדוני ראש הממשלה, לא תסלח </w:t>
      </w:r>
      <w:bookmarkStart w:id="77190" w:name="_ETM_Q140_469000"/>
      <w:bookmarkEnd w:id="77190"/>
      <w:r>
        <w:rPr>
          <w:rFonts w:hint="cs"/>
          <w:rtl/>
          <w:lang w:eastAsia="he-IL"/>
        </w:rPr>
        <w:t>לך. ואני יודע כמה חשובה לך ההיסטוריה</w:t>
      </w:r>
      <w:r w:rsidR="00F43B8F">
        <w:rPr>
          <w:rFonts w:hint="cs"/>
          <w:rtl/>
          <w:lang w:eastAsia="he-IL"/>
        </w:rPr>
        <w:t>,</w:t>
      </w:r>
      <w:r>
        <w:rPr>
          <w:rFonts w:hint="cs"/>
          <w:rtl/>
          <w:lang w:eastAsia="he-IL"/>
        </w:rPr>
        <w:t xml:space="preserve"> איך תיזכר בהיסטוריה</w:t>
      </w:r>
      <w:bookmarkStart w:id="77191" w:name="_ETM_Q140_476000"/>
      <w:bookmarkEnd w:id="77191"/>
      <w:r>
        <w:rPr>
          <w:rFonts w:hint="cs"/>
          <w:rtl/>
          <w:lang w:eastAsia="he-IL"/>
        </w:rPr>
        <w:t xml:space="preserve"> של מדינת ישראל. נתון אחד </w:t>
      </w:r>
      <w:bookmarkStart w:id="77192" w:name="_ETM_Q140_479000"/>
      <w:bookmarkEnd w:id="77192"/>
      <w:r>
        <w:rPr>
          <w:rFonts w:hint="cs"/>
          <w:rtl/>
          <w:lang w:eastAsia="he-IL"/>
        </w:rPr>
        <w:t xml:space="preserve">יהיה שם אמיתי וברור: הכי הרבה זמן כראש ממשלה. אבל </w:t>
      </w:r>
      <w:bookmarkStart w:id="77193" w:name="_ETM_Q140_488000"/>
      <w:bookmarkEnd w:id="77193"/>
      <w:r>
        <w:rPr>
          <w:rFonts w:hint="cs"/>
          <w:rtl/>
          <w:lang w:eastAsia="he-IL"/>
        </w:rPr>
        <w:t xml:space="preserve">שאר העמודים, מעבר לעמודים הראשונים – ריסוק העם בישראל </w:t>
      </w:r>
      <w:bookmarkStart w:id="77194" w:name="_ETM_Q140_492000"/>
      <w:bookmarkEnd w:id="77194"/>
      <w:r>
        <w:rPr>
          <w:rFonts w:hint="cs"/>
          <w:rtl/>
          <w:lang w:eastAsia="he-IL"/>
        </w:rPr>
        <w:t xml:space="preserve">והבאת חורבן. </w:t>
      </w:r>
    </w:p>
    <w:p w:rsidR="00BB59CD" w:rsidRDefault="00BB59CD" w:rsidP="00BB59CD">
      <w:pPr>
        <w:ind w:firstLine="0"/>
        <w:rPr>
          <w:rtl/>
          <w:lang w:eastAsia="he-IL"/>
        </w:rPr>
      </w:pPr>
    </w:p>
    <w:p w:rsidR="00BB59CD" w:rsidRDefault="00BB59CD" w:rsidP="00BB59CD">
      <w:pPr>
        <w:ind w:firstLine="0"/>
        <w:rPr>
          <w:rtl/>
          <w:lang w:eastAsia="he-IL"/>
        </w:rPr>
      </w:pPr>
      <w:bookmarkStart w:id="77195" w:name="_ETM_Q140_496000"/>
      <w:bookmarkEnd w:id="77195"/>
      <w:r>
        <w:rPr>
          <w:rFonts w:hint="cs"/>
          <w:rtl/>
          <w:lang w:eastAsia="he-IL"/>
        </w:rPr>
        <w:tab/>
        <w:t xml:space="preserve">יש לי עוד הרבה דברים להגיד אבל אני </w:t>
      </w:r>
      <w:bookmarkStart w:id="77196" w:name="_ETM_Q140_495000"/>
      <w:bookmarkEnd w:id="77196"/>
      <w:r>
        <w:rPr>
          <w:rFonts w:hint="cs"/>
          <w:rtl/>
          <w:lang w:eastAsia="he-IL"/>
        </w:rPr>
        <w:t>ארוץ לסוף. אני עוד פעם רוצה לחזק את הטייסים, את</w:t>
      </w:r>
      <w:bookmarkStart w:id="77197" w:name="_ETM_Q140_508000"/>
      <w:bookmarkEnd w:id="77197"/>
      <w:r>
        <w:rPr>
          <w:rFonts w:hint="cs"/>
          <w:rtl/>
          <w:lang w:eastAsia="he-IL"/>
        </w:rPr>
        <w:t xml:space="preserve"> אנשי המילואים, את אלה שהקדישו את חייהם, נפשם וזמנם לחוסן </w:t>
      </w:r>
      <w:bookmarkStart w:id="77198" w:name="_ETM_Q140_516000"/>
      <w:bookmarkEnd w:id="77198"/>
      <w:r>
        <w:rPr>
          <w:rFonts w:hint="cs"/>
          <w:rtl/>
          <w:lang w:eastAsia="he-IL"/>
        </w:rPr>
        <w:t xml:space="preserve">הלאומי של מדינת ישראל, לחוסן הצבאי של מדינת ישראל. אני </w:t>
      </w:r>
      <w:bookmarkStart w:id="77199" w:name="_ETM_Q140_525000"/>
      <w:bookmarkEnd w:id="77199"/>
      <w:r>
        <w:rPr>
          <w:rFonts w:hint="cs"/>
          <w:rtl/>
          <w:lang w:eastAsia="he-IL"/>
        </w:rPr>
        <w:t xml:space="preserve">רוצה להודות למאות אלפי האנשים שקמו ויצאו ממשבצת הנוחות כדי </w:t>
      </w:r>
      <w:bookmarkStart w:id="77200" w:name="_ETM_Q140_534000"/>
      <w:bookmarkEnd w:id="77200"/>
      <w:r>
        <w:rPr>
          <w:rFonts w:hint="cs"/>
          <w:rtl/>
          <w:lang w:eastAsia="he-IL"/>
        </w:rPr>
        <w:t xml:space="preserve">להפגין ולהילחם על המדינה שלנו, המדינה שלנו לדורות הבאים. </w:t>
      </w:r>
      <w:bookmarkStart w:id="77201" w:name="_ETM_Q140_541000"/>
      <w:bookmarkEnd w:id="77201"/>
      <w:r>
        <w:rPr>
          <w:rFonts w:hint="cs"/>
          <w:rtl/>
          <w:lang w:eastAsia="he-IL"/>
        </w:rPr>
        <w:t xml:space="preserve">אין לנו הזכות לוותר על המדינה. </w:t>
      </w:r>
    </w:p>
    <w:p w:rsidR="00BB59CD" w:rsidRDefault="00BB59CD" w:rsidP="00BB59CD">
      <w:pPr>
        <w:ind w:firstLine="0"/>
        <w:rPr>
          <w:rtl/>
          <w:lang w:eastAsia="he-IL"/>
        </w:rPr>
      </w:pPr>
    </w:p>
    <w:p w:rsidR="00BB59CD" w:rsidRDefault="00BB59CD" w:rsidP="00F43B8F">
      <w:pPr>
        <w:rPr>
          <w:rtl/>
          <w:lang w:eastAsia="he-IL"/>
        </w:rPr>
      </w:pPr>
      <w:r>
        <w:rPr>
          <w:rFonts w:hint="cs"/>
          <w:rtl/>
          <w:lang w:eastAsia="he-IL"/>
        </w:rPr>
        <w:t xml:space="preserve">אני מניח שרוב חברי </w:t>
      </w:r>
      <w:bookmarkStart w:id="77202" w:name="_ETM_Q140_550000"/>
      <w:bookmarkEnd w:id="77202"/>
      <w:r>
        <w:rPr>
          <w:rFonts w:hint="cs"/>
          <w:rtl/>
          <w:lang w:eastAsia="he-IL"/>
        </w:rPr>
        <w:t xml:space="preserve">הכנסת לא ראו את הסרט "אגדת החורבן". אדוני ראה </w:t>
      </w:r>
      <w:bookmarkStart w:id="77203" w:name="_ETM_Q140_552000"/>
      <w:bookmarkEnd w:id="77203"/>
      <w:r>
        <w:rPr>
          <w:rFonts w:hint="cs"/>
          <w:rtl/>
          <w:lang w:eastAsia="he-IL"/>
        </w:rPr>
        <w:t xml:space="preserve">אותו? לא. אני מציע לכל חברי הכנסת. לפני שנתיים וחצי חיפשתי היכן לראות את הסרט ומצאתי אותו בסינמטק. לצערי </w:t>
      </w:r>
      <w:bookmarkStart w:id="77204" w:name="_ETM_Q140_569000"/>
      <w:bookmarkEnd w:id="77204"/>
      <w:r>
        <w:rPr>
          <w:rFonts w:hint="cs"/>
          <w:rtl/>
          <w:lang w:eastAsia="he-IL"/>
        </w:rPr>
        <w:t xml:space="preserve">הסרט לא תפס תאוצה כי הוא סרט אנימציה. הסרט מתאר </w:t>
      </w:r>
      <w:bookmarkStart w:id="77205" w:name="_ETM_Q140_576000"/>
      <w:bookmarkEnd w:id="77205"/>
      <w:r>
        <w:rPr>
          <w:rFonts w:hint="cs"/>
          <w:rtl/>
          <w:lang w:eastAsia="he-IL"/>
        </w:rPr>
        <w:t>בצורה הכי ברורה את אגדת החורבן – איך אנחנו</w:t>
      </w:r>
      <w:bookmarkStart w:id="77206" w:name="_ETM_Q140_579000"/>
      <w:bookmarkEnd w:id="77206"/>
      <w:r>
        <w:rPr>
          <w:rFonts w:hint="cs"/>
          <w:rtl/>
          <w:lang w:eastAsia="he-IL"/>
        </w:rPr>
        <w:t xml:space="preserve"> הלכנו לאלפיים שנות גלות. הסרט מתאר א</w:t>
      </w:r>
      <w:r w:rsidR="00F43B8F">
        <w:rPr>
          <w:rFonts w:hint="cs"/>
          <w:rtl/>
          <w:lang w:eastAsia="he-IL"/>
        </w:rPr>
        <w:t>ת</w:t>
      </w:r>
      <w:r>
        <w:rPr>
          <w:rFonts w:hint="cs"/>
          <w:rtl/>
          <w:lang w:eastAsia="he-IL"/>
        </w:rPr>
        <w:t xml:space="preserve"> הוויכוח </w:t>
      </w:r>
      <w:bookmarkStart w:id="77207" w:name="_ETM_Q140_589000"/>
      <w:bookmarkEnd w:id="77207"/>
      <w:r>
        <w:rPr>
          <w:rFonts w:hint="cs"/>
          <w:rtl/>
          <w:lang w:eastAsia="he-IL"/>
        </w:rPr>
        <w:t>בין הקיצונ</w:t>
      </w:r>
      <w:r w:rsidR="00F43B8F">
        <w:rPr>
          <w:rFonts w:hint="cs"/>
          <w:rtl/>
          <w:lang w:eastAsia="he-IL"/>
        </w:rPr>
        <w:t>י</w:t>
      </w:r>
      <w:r>
        <w:rPr>
          <w:rFonts w:hint="cs"/>
          <w:rtl/>
          <w:lang w:eastAsia="he-IL"/>
        </w:rPr>
        <w:t>ים לבין המתונים – מה לעשות, האם לצאת ולהילחם ברומא; הקיצונים הציתו את התבואה בבית המקדש בירושלים</w:t>
      </w:r>
      <w:r w:rsidR="00F43B8F">
        <w:rPr>
          <w:rFonts w:hint="cs"/>
          <w:rtl/>
          <w:lang w:eastAsia="he-IL"/>
        </w:rPr>
        <w:t>,</w:t>
      </w:r>
      <w:r>
        <w:rPr>
          <w:rFonts w:hint="cs"/>
          <w:rtl/>
          <w:lang w:eastAsia="he-IL"/>
        </w:rPr>
        <w:t xml:space="preserve"> שהייתה </w:t>
      </w:r>
      <w:bookmarkStart w:id="77208" w:name="_ETM_Q140_606000"/>
      <w:bookmarkEnd w:id="77208"/>
      <w:r>
        <w:rPr>
          <w:rFonts w:hint="cs"/>
          <w:rtl/>
          <w:lang w:eastAsia="he-IL"/>
        </w:rPr>
        <w:t>מספיקה להרבה שנים</w:t>
      </w:r>
      <w:r w:rsidR="00F43B8F">
        <w:rPr>
          <w:rFonts w:hint="cs"/>
          <w:rtl/>
          <w:lang w:eastAsia="he-IL"/>
        </w:rPr>
        <w:t>,</w:t>
      </w:r>
      <w:r>
        <w:rPr>
          <w:rFonts w:hint="cs"/>
          <w:rtl/>
          <w:lang w:eastAsia="he-IL"/>
        </w:rPr>
        <w:t xml:space="preserve"> ואז מתוארת הסצנה שצריכה להפחיד כל אחד </w:t>
      </w:r>
      <w:bookmarkStart w:id="77209" w:name="_ETM_Q140_612000"/>
      <w:bookmarkEnd w:id="77209"/>
      <w:r>
        <w:rPr>
          <w:rFonts w:hint="cs"/>
          <w:rtl/>
          <w:lang w:eastAsia="he-IL"/>
        </w:rPr>
        <w:t xml:space="preserve">מאיתנו: הנציב הרומי עומד במקום שנמצאת היום מודיעין, על </w:t>
      </w:r>
      <w:bookmarkStart w:id="77210" w:name="_ETM_Q140_621000"/>
      <w:bookmarkEnd w:id="77210"/>
      <w:r>
        <w:rPr>
          <w:rFonts w:hint="cs"/>
          <w:rtl/>
          <w:lang w:eastAsia="he-IL"/>
        </w:rPr>
        <w:t xml:space="preserve">הדרך הרומית המובילה לירושלים; היא קיימת עד היום, לקחתי את </w:t>
      </w:r>
      <w:bookmarkStart w:id="77211" w:name="_ETM_Q140_628000"/>
      <w:bookmarkEnd w:id="77211"/>
      <w:r>
        <w:rPr>
          <w:rFonts w:hint="cs"/>
          <w:rtl/>
          <w:lang w:eastAsia="he-IL"/>
        </w:rPr>
        <w:t xml:space="preserve">הפלוגה שלי למסלול אלונקות שם כי זה פשוט קריעת תחת ללכת על האבנים האלה. אומרים לו מפקדי הצבא שלו: בוא </w:t>
      </w:r>
      <w:bookmarkStart w:id="77212" w:name="_ETM_Q140_636000"/>
      <w:bookmarkEnd w:id="77212"/>
      <w:r>
        <w:rPr>
          <w:rFonts w:hint="cs"/>
          <w:rtl/>
          <w:lang w:eastAsia="he-IL"/>
        </w:rPr>
        <w:t xml:space="preserve">נעלה על ירושלים. אומר להם הנציב הרומי: אין לנו לאן למהר, היהודים אוכלים אחד את השני. </w:t>
      </w:r>
    </w:p>
    <w:p w:rsidR="00BB59CD" w:rsidRDefault="00BB59CD" w:rsidP="00BB59CD">
      <w:pPr>
        <w:ind w:firstLine="0"/>
        <w:rPr>
          <w:rtl/>
          <w:lang w:eastAsia="he-IL"/>
        </w:rPr>
      </w:pPr>
    </w:p>
    <w:p w:rsidR="00BB59CD" w:rsidRDefault="00BB59CD" w:rsidP="00F43B8F">
      <w:pPr>
        <w:ind w:firstLine="0"/>
        <w:rPr>
          <w:rtl/>
          <w:lang w:eastAsia="he-IL"/>
        </w:rPr>
      </w:pPr>
      <w:bookmarkStart w:id="77213" w:name="_ETM_Q140_655000"/>
      <w:bookmarkEnd w:id="77213"/>
      <w:r>
        <w:rPr>
          <w:rFonts w:hint="cs"/>
          <w:rtl/>
          <w:lang w:eastAsia="he-IL"/>
        </w:rPr>
        <w:tab/>
        <w:t>לא היה אוכל בירושלים, הציתו את האסמים ולא הייתה ברירה</w:t>
      </w:r>
      <w:r w:rsidR="00F43B8F">
        <w:rPr>
          <w:rFonts w:hint="cs"/>
          <w:rtl/>
          <w:lang w:eastAsia="he-IL"/>
        </w:rPr>
        <w:t>.</w:t>
      </w:r>
      <w:r>
        <w:rPr>
          <w:rFonts w:hint="cs"/>
          <w:rtl/>
          <w:lang w:eastAsia="he-IL"/>
        </w:rPr>
        <w:t xml:space="preserve"> </w:t>
      </w:r>
      <w:bookmarkStart w:id="77214" w:name="_ETM_Q140_656000"/>
      <w:bookmarkEnd w:id="77214"/>
      <w:r>
        <w:rPr>
          <w:rFonts w:hint="cs"/>
          <w:rtl/>
          <w:lang w:eastAsia="he-IL"/>
        </w:rPr>
        <w:t>הרעב גבר</w:t>
      </w:r>
      <w:r w:rsidR="00F43B8F">
        <w:rPr>
          <w:rFonts w:hint="cs"/>
          <w:rtl/>
          <w:lang w:eastAsia="he-IL"/>
        </w:rPr>
        <w:t>,</w:t>
      </w:r>
      <w:r>
        <w:rPr>
          <w:rFonts w:hint="cs"/>
          <w:rtl/>
          <w:lang w:eastAsia="he-IL"/>
        </w:rPr>
        <w:t xml:space="preserve"> ופיזית הורידו נתחי בשר מהמתים ואכלו. </w:t>
      </w:r>
      <w:bookmarkStart w:id="77215" w:name="_ETM_Q140_665000"/>
      <w:bookmarkEnd w:id="77215"/>
      <w:r>
        <w:rPr>
          <w:rFonts w:hint="cs"/>
          <w:rtl/>
          <w:lang w:eastAsia="he-IL"/>
        </w:rPr>
        <w:t>זה המקום שאתם רוצים להביא אותנו</w:t>
      </w:r>
      <w:r w:rsidR="00F43B8F">
        <w:rPr>
          <w:rFonts w:hint="cs"/>
          <w:rtl/>
          <w:lang w:eastAsia="he-IL"/>
        </w:rPr>
        <w:t xml:space="preserve"> אליו</w:t>
      </w:r>
      <w:r>
        <w:rPr>
          <w:rFonts w:hint="cs"/>
          <w:rtl/>
          <w:lang w:eastAsia="he-IL"/>
        </w:rPr>
        <w:t xml:space="preserve">? אדוני ראש הממשלה, </w:t>
      </w:r>
      <w:bookmarkStart w:id="77216" w:name="_ETM_Q140_673000"/>
      <w:bookmarkEnd w:id="77216"/>
      <w:r>
        <w:rPr>
          <w:rFonts w:hint="cs"/>
          <w:rtl/>
          <w:lang w:eastAsia="he-IL"/>
        </w:rPr>
        <w:t xml:space="preserve">לאן אתה מצעיד את המדינה הזאת? שורף אסמים. תודה </w:t>
      </w:r>
      <w:bookmarkStart w:id="77217" w:name="_ETM_Q140_686000"/>
      <w:bookmarkEnd w:id="77217"/>
      <w:r>
        <w:rPr>
          <w:rFonts w:hint="cs"/>
          <w:rtl/>
          <w:lang w:eastAsia="he-IL"/>
        </w:rPr>
        <w:t xml:space="preserve">רבה.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חבר הכנסת רון כץ, בבקשה. תודה.</w:t>
      </w:r>
      <w:r w:rsidR="00F43B8F">
        <w:rPr>
          <w:rFonts w:hint="cs"/>
          <w:rtl/>
          <w:lang w:eastAsia="he-IL"/>
        </w:rPr>
        <w:t xml:space="preserve"> יש לך שעתיים עכשיו. </w:t>
      </w:r>
    </w:p>
    <w:p w:rsidR="00BB59CD" w:rsidRDefault="00BB59CD" w:rsidP="00BB59CD">
      <w:pPr>
        <w:rPr>
          <w:rtl/>
          <w:lang w:eastAsia="he-IL"/>
        </w:rPr>
      </w:pPr>
    </w:p>
    <w:p w:rsidR="00BB59CD" w:rsidRDefault="00BB59CD" w:rsidP="00BB59CD">
      <w:pPr>
        <w:pStyle w:val="a5"/>
        <w:keepNext/>
        <w:rPr>
          <w:rtl/>
        </w:rPr>
      </w:pPr>
      <w:bookmarkStart w:id="77218" w:name="ET_speaker_6151_4"/>
      <w:r>
        <w:rPr>
          <w:rStyle w:val="TagStyle"/>
          <w:rFonts w:hint="cs"/>
          <w:rtl/>
        </w:rPr>
        <w:t xml:space="preserve"> &lt;&lt; דובר &gt;&gt; </w:t>
      </w:r>
      <w:bookmarkStart w:id="77219" w:name="_Toc141197189"/>
      <w:bookmarkStart w:id="77220" w:name="_Toc141196925"/>
      <w:r>
        <w:rPr>
          <w:rFonts w:hint="cs"/>
          <w:rtl/>
        </w:rPr>
        <w:t>רון כץ (יש עתיד):</w:t>
      </w:r>
      <w:bookmarkEnd w:id="77219"/>
      <w:bookmarkEnd w:id="77220"/>
      <w:r>
        <w:rPr>
          <w:rStyle w:val="TagStyle"/>
          <w:rFonts w:hint="cs"/>
          <w:rtl/>
        </w:rPr>
        <w:t xml:space="preserve"> &lt;&lt; דובר &gt;&gt;</w:t>
      </w:r>
      <w:r>
        <w:rPr>
          <w:rFonts w:hint="cs"/>
          <w:rtl/>
        </w:rPr>
        <w:t xml:space="preserve">   </w:t>
      </w:r>
      <w:bookmarkEnd w:id="77218"/>
    </w:p>
    <w:p w:rsidR="00BB59CD" w:rsidRDefault="00BB59CD" w:rsidP="00337201">
      <w:pPr>
        <w:rPr>
          <w:rtl/>
          <w:lang w:eastAsia="he-IL"/>
        </w:rPr>
      </w:pPr>
    </w:p>
    <w:p w:rsidR="00BB59CD" w:rsidRDefault="00F43B8F" w:rsidP="00BB59CD">
      <w:pPr>
        <w:rPr>
          <w:rtl/>
          <w:lang w:eastAsia="he-IL"/>
        </w:rPr>
      </w:pPr>
      <w:r>
        <w:rPr>
          <w:rFonts w:hint="cs"/>
          <w:rtl/>
          <w:lang w:eastAsia="he-IL"/>
        </w:rPr>
        <w:t>לא,</w:t>
      </w:r>
      <w:bookmarkStart w:id="77221" w:name="_ETM_Q0_83932091"/>
      <w:bookmarkEnd w:id="77221"/>
      <w:r>
        <w:rPr>
          <w:rFonts w:hint="cs"/>
          <w:rtl/>
          <w:lang w:eastAsia="he-IL"/>
        </w:rPr>
        <w:t xml:space="preserve"> לא, פחות. </w:t>
      </w:r>
      <w:r w:rsidR="00BB59CD">
        <w:rPr>
          <w:rFonts w:hint="cs"/>
          <w:rtl/>
          <w:lang w:eastAsia="he-IL"/>
        </w:rPr>
        <w:t>תודה רבה, אדוני. כנסת נכבדה, חבר</w:t>
      </w:r>
      <w:r>
        <w:rPr>
          <w:rFonts w:hint="cs"/>
          <w:rtl/>
          <w:lang w:eastAsia="he-IL"/>
        </w:rPr>
        <w:t>יי חבר</w:t>
      </w:r>
      <w:r w:rsidR="00BB59CD">
        <w:rPr>
          <w:rFonts w:hint="cs"/>
          <w:rtl/>
          <w:lang w:eastAsia="he-IL"/>
        </w:rPr>
        <w:t>י הכנסת, אנחנו נמצאים ערב תשעה באב, יום התענית החמור ביותר, יום המסכם תקופה של אבל על אסון - -</w:t>
      </w:r>
    </w:p>
    <w:p w:rsidR="00BB59CD" w:rsidRDefault="00BB59CD" w:rsidP="00BB59CD">
      <w:pPr>
        <w:rPr>
          <w:rtl/>
          <w:lang w:eastAsia="he-IL"/>
        </w:rPr>
      </w:pPr>
    </w:p>
    <w:p w:rsidR="00BB59CD" w:rsidRDefault="00BB59CD" w:rsidP="00BB59CD">
      <w:pPr>
        <w:pStyle w:val="af8"/>
        <w:keepNext/>
        <w:rPr>
          <w:rtl/>
        </w:rPr>
      </w:pPr>
      <w:bookmarkStart w:id="77222" w:name="ET_interruption_6044_5"/>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77222"/>
    </w:p>
    <w:p w:rsidR="00BB59CD" w:rsidRDefault="00BB59CD" w:rsidP="00337201">
      <w:pPr>
        <w:rPr>
          <w:rtl/>
          <w:lang w:eastAsia="he-IL"/>
        </w:rPr>
      </w:pPr>
    </w:p>
    <w:p w:rsidR="00BB59CD" w:rsidRDefault="00BB59CD" w:rsidP="00BB59CD">
      <w:pPr>
        <w:rPr>
          <w:rtl/>
          <w:lang w:eastAsia="he-IL"/>
        </w:rPr>
      </w:pPr>
      <w:r>
        <w:rPr>
          <w:rFonts w:hint="cs"/>
          <w:rtl/>
          <w:lang w:eastAsia="he-IL"/>
        </w:rPr>
        <w:t>הוא אמר שעה. שעתיים?</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אמרתי לו שעתיים, </w:t>
      </w:r>
      <w:r w:rsidR="00F43B8F">
        <w:rPr>
          <w:rFonts w:hint="cs"/>
          <w:rtl/>
          <w:lang w:eastAsia="he-IL"/>
        </w:rPr>
        <w:t xml:space="preserve">הוא </w:t>
      </w:r>
      <w:r>
        <w:rPr>
          <w:rFonts w:hint="cs"/>
          <w:rtl/>
          <w:lang w:eastAsia="he-IL"/>
        </w:rPr>
        <w:t>אמר שזה יהיה פחות. אז אמרתי, ניתן לו 25</w:t>
      </w:r>
      <w:r w:rsidR="00F43B8F">
        <w:rPr>
          <w:rFonts w:hint="cs"/>
          <w:rtl/>
          <w:lang w:eastAsia="he-IL"/>
        </w:rPr>
        <w:t>,</w:t>
      </w:r>
      <w:r>
        <w:rPr>
          <w:rFonts w:hint="cs"/>
          <w:rtl/>
          <w:lang w:eastAsia="he-IL"/>
        </w:rPr>
        <w:t xml:space="preserve"> ובוא</w:t>
      </w:r>
      <w:r w:rsidR="00F43B8F">
        <w:rPr>
          <w:rFonts w:hint="cs"/>
          <w:rtl/>
          <w:lang w:eastAsia="he-IL"/>
        </w:rPr>
        <w:t>ו</w:t>
      </w:r>
      <w:r>
        <w:rPr>
          <w:rFonts w:hint="cs"/>
          <w:rtl/>
          <w:lang w:eastAsia="he-IL"/>
        </w:rPr>
        <w:t xml:space="preserve"> נתקדם. הכול בסדר, אין בעיה. </w:t>
      </w:r>
      <w:bookmarkStart w:id="77223" w:name="_ETM_Q140_753000"/>
      <w:bookmarkEnd w:id="77223"/>
    </w:p>
    <w:p w:rsidR="00BB59CD" w:rsidRDefault="00BB59CD" w:rsidP="00BB59CD">
      <w:pPr>
        <w:rPr>
          <w:rtl/>
          <w:lang w:eastAsia="he-IL"/>
        </w:rPr>
      </w:pPr>
    </w:p>
    <w:p w:rsidR="00BB59CD" w:rsidRDefault="00BB59CD" w:rsidP="00BB59CD">
      <w:pPr>
        <w:pStyle w:val="-"/>
        <w:keepNext/>
        <w:rPr>
          <w:rtl/>
        </w:rPr>
      </w:pPr>
      <w:bookmarkStart w:id="77224" w:name="ET_speakercontinue_6151_7"/>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77224"/>
    </w:p>
    <w:p w:rsidR="00BB59CD" w:rsidRDefault="00BB59CD" w:rsidP="00337201">
      <w:pPr>
        <w:rPr>
          <w:rtl/>
          <w:lang w:eastAsia="he-IL"/>
        </w:rPr>
      </w:pPr>
    </w:p>
    <w:p w:rsidR="00BB59CD" w:rsidRDefault="00BB59CD" w:rsidP="00F43B8F">
      <w:pPr>
        <w:rPr>
          <w:rtl/>
          <w:lang w:eastAsia="he-IL"/>
        </w:rPr>
      </w:pPr>
      <w:r>
        <w:rPr>
          <w:rFonts w:hint="cs"/>
          <w:rtl/>
          <w:lang w:eastAsia="he-IL"/>
        </w:rPr>
        <w:t>אני אתחיל שוב. תודה רבה, אדוני היו</w:t>
      </w:r>
      <w:r w:rsidR="00F43B8F">
        <w:rPr>
          <w:rFonts w:hint="cs"/>
          <w:rtl/>
          <w:lang w:eastAsia="he-IL"/>
        </w:rPr>
        <w:t>"ר</w:t>
      </w:r>
      <w:r>
        <w:rPr>
          <w:rFonts w:hint="cs"/>
          <w:rtl/>
          <w:lang w:eastAsia="he-IL"/>
        </w:rPr>
        <w:t>. חברי</w:t>
      </w:r>
      <w:r w:rsidR="00F43B8F">
        <w:rPr>
          <w:rFonts w:hint="cs"/>
          <w:rtl/>
          <w:lang w:eastAsia="he-IL"/>
        </w:rPr>
        <w:t>י</w:t>
      </w:r>
      <w:r>
        <w:rPr>
          <w:rFonts w:hint="cs"/>
          <w:rtl/>
          <w:lang w:eastAsia="he-IL"/>
        </w:rPr>
        <w:t xml:space="preserve"> חברי הכנסת, אנחנו נמצאים ערב תשעה באב, יום </w:t>
      </w:r>
      <w:bookmarkStart w:id="77225" w:name="_ETM_Q140_758000"/>
      <w:bookmarkEnd w:id="77225"/>
      <w:r>
        <w:rPr>
          <w:rFonts w:hint="cs"/>
          <w:rtl/>
          <w:lang w:eastAsia="he-IL"/>
        </w:rPr>
        <w:t>התענית החמור ביותר, היום המסכם תקופה של אבל</w:t>
      </w:r>
      <w:bookmarkStart w:id="77226" w:name="_ETM_Q140_764000"/>
      <w:bookmarkEnd w:id="77226"/>
      <w:r>
        <w:rPr>
          <w:rFonts w:hint="cs"/>
          <w:rtl/>
          <w:lang w:eastAsia="he-IL"/>
        </w:rPr>
        <w:t xml:space="preserve"> על אסון, חורבן הבית שהוביל לגלות עם ישראל</w:t>
      </w:r>
      <w:bookmarkStart w:id="77227" w:name="_ETM_Q140_771000"/>
      <w:bookmarkEnd w:id="77227"/>
      <w:r>
        <w:rPr>
          <w:rFonts w:hint="cs"/>
          <w:rtl/>
          <w:lang w:eastAsia="he-IL"/>
        </w:rPr>
        <w:t xml:space="preserve">, גלות בת אלפיים שנה. </w:t>
      </w:r>
    </w:p>
    <w:p w:rsidR="00BB59CD" w:rsidRDefault="00BB59CD" w:rsidP="00BB59CD">
      <w:pPr>
        <w:rPr>
          <w:rtl/>
          <w:lang w:eastAsia="he-IL"/>
        </w:rPr>
      </w:pPr>
    </w:p>
    <w:p w:rsidR="00BB59CD" w:rsidRDefault="00BB59CD" w:rsidP="00F43B8F">
      <w:pPr>
        <w:rPr>
          <w:rtl/>
        </w:rPr>
      </w:pPr>
      <w:bookmarkStart w:id="77228" w:name="TOR_Q141"/>
      <w:bookmarkEnd w:id="77228"/>
      <w:r>
        <w:rPr>
          <w:rFonts w:hint="cs"/>
          <w:rtl/>
        </w:rPr>
        <w:t>השנה חגגנו למדינת ישראל 75 שנים – 75 שנים למפעל היהודי, הבית היחיד שיש לעם ישראל</w:t>
      </w:r>
      <w:r w:rsidR="00F43B8F">
        <w:rPr>
          <w:rFonts w:hint="cs"/>
          <w:rtl/>
        </w:rPr>
        <w:t>,</w:t>
      </w:r>
      <w:r>
        <w:rPr>
          <w:rFonts w:hint="cs"/>
          <w:rtl/>
        </w:rPr>
        <w:t xml:space="preserve"> </w:t>
      </w:r>
      <w:bookmarkStart w:id="77229" w:name="_ETM_Q141_185000"/>
      <w:bookmarkEnd w:id="77229"/>
      <w:r>
        <w:rPr>
          <w:rFonts w:hint="cs"/>
          <w:rtl/>
        </w:rPr>
        <w:t xml:space="preserve">שהוקם לאחר אלפיים שנות פרעות, אנטישמיות, גטאות, אובדן של שישה מיליון, משפחות. והינה, אנחנו נמצאים עכשיו בתקופה </w:t>
      </w:r>
      <w:bookmarkStart w:id="77230" w:name="_ETM_Q141_201000"/>
      <w:bookmarkEnd w:id="77230"/>
      <w:r>
        <w:rPr>
          <w:rFonts w:hint="cs"/>
          <w:rtl/>
        </w:rPr>
        <w:t>של בין המצרים, ערב תשעה באב, ויש</w:t>
      </w:r>
      <w:bookmarkStart w:id="77231" w:name="_ETM_Q141_204000"/>
      <w:bookmarkEnd w:id="77231"/>
      <w:r>
        <w:rPr>
          <w:rFonts w:hint="cs"/>
          <w:rtl/>
        </w:rPr>
        <w:t xml:space="preserve"> מי שמוביל שוב לחורבן הבית. חצי שנה המוני עם ישראל </w:t>
      </w:r>
      <w:bookmarkStart w:id="77232" w:name="_ETM_Q141_214000"/>
      <w:bookmarkEnd w:id="77232"/>
      <w:r>
        <w:rPr>
          <w:rFonts w:hint="cs"/>
          <w:rtl/>
        </w:rPr>
        <w:t xml:space="preserve">יוצאים להשמיע את צעקתם – פטריוטים שנלחמים עבור המדינה שהם אוהבים. לצערי הם מקבלים יחס מחפיר מהקואליציה, מממשלת נתניהו </w:t>
      </w:r>
      <w:r w:rsidR="00F43B8F">
        <w:rPr>
          <w:rFonts w:hint="eastAsia"/>
          <w:rtl/>
        </w:rPr>
        <w:t>–</w:t>
      </w:r>
      <w:r w:rsidR="00F43B8F">
        <w:rPr>
          <w:rFonts w:hint="cs"/>
          <w:rtl/>
        </w:rPr>
        <w:t xml:space="preserve"> </w:t>
      </w:r>
      <w:r>
        <w:rPr>
          <w:rFonts w:hint="cs"/>
          <w:rtl/>
        </w:rPr>
        <w:t xml:space="preserve">באמירות של "נפולת </w:t>
      </w:r>
      <w:bookmarkStart w:id="77233" w:name="_ETM_Q141_232000"/>
      <w:bookmarkEnd w:id="77233"/>
      <w:r>
        <w:rPr>
          <w:rFonts w:hint="cs"/>
          <w:rtl/>
        </w:rPr>
        <w:t xml:space="preserve">של נמושות", "שלחו אותם לעזאזל", ולאחרונה התריסו בצורה פשוט מיותרת ואמרו ש"בר הסלטים פתוח". אני בטוח שאותו שר שכתב </w:t>
      </w:r>
      <w:bookmarkStart w:id="77234" w:name="_ETM_Q141_249000"/>
      <w:bookmarkEnd w:id="77234"/>
      <w:r>
        <w:rPr>
          <w:rFonts w:hint="cs"/>
          <w:rtl/>
        </w:rPr>
        <w:t xml:space="preserve">את זה לא ישכח לצום בתשעה באב ולספר אחרי זה כמה הוא אוהב את עם ישראל וחשובה לו האחדות. </w:t>
      </w:r>
    </w:p>
    <w:p w:rsidR="00BB59CD" w:rsidRDefault="00BB59CD" w:rsidP="00BB59CD">
      <w:pPr>
        <w:ind w:firstLine="0"/>
        <w:rPr>
          <w:rtl/>
        </w:rPr>
      </w:pPr>
    </w:p>
    <w:p w:rsidR="00BB59CD" w:rsidRDefault="00BB59CD" w:rsidP="00F43B8F">
      <w:pPr>
        <w:ind w:firstLine="0"/>
        <w:rPr>
          <w:rtl/>
        </w:rPr>
      </w:pPr>
      <w:bookmarkStart w:id="77235" w:name="_ETM_Q141_257000"/>
      <w:bookmarkEnd w:id="77235"/>
      <w:r>
        <w:rPr>
          <w:rFonts w:hint="cs"/>
          <w:rtl/>
        </w:rPr>
        <w:tab/>
        <w:t xml:space="preserve">חצי </w:t>
      </w:r>
      <w:bookmarkStart w:id="77236" w:name="_ETM_Q141_259000"/>
      <w:bookmarkEnd w:id="77236"/>
      <w:r>
        <w:rPr>
          <w:rFonts w:hint="cs"/>
          <w:rtl/>
        </w:rPr>
        <w:t>שנה שלא מבחינים בפחדים של רוב העם; רוב העם</w:t>
      </w:r>
      <w:r w:rsidR="00F43B8F">
        <w:rPr>
          <w:rFonts w:hint="cs"/>
          <w:rtl/>
        </w:rPr>
        <w:t>,</w:t>
      </w:r>
      <w:r>
        <w:rPr>
          <w:rFonts w:hint="cs"/>
          <w:rtl/>
        </w:rPr>
        <w:t xml:space="preserve"> שנלחם </w:t>
      </w:r>
      <w:bookmarkStart w:id="77237" w:name="_ETM_Q141_265000"/>
      <w:bookmarkEnd w:id="77237"/>
      <w:r>
        <w:rPr>
          <w:rFonts w:hint="cs"/>
          <w:rtl/>
        </w:rPr>
        <w:t xml:space="preserve">עבור כל העם, נלחם עבור הדמוקרטיה של כולנו. חצי </w:t>
      </w:r>
      <w:bookmarkStart w:id="77238" w:name="_ETM_Q141_274000"/>
      <w:bookmarkEnd w:id="77238"/>
      <w:r>
        <w:rPr>
          <w:rFonts w:hint="cs"/>
          <w:rtl/>
        </w:rPr>
        <w:t>שנה שפוגעים פגיעה משמעותית במי שלוקח על עצמו את הנטל</w:t>
      </w:r>
      <w:bookmarkStart w:id="77239" w:name="_ETM_Q141_278000"/>
      <w:bookmarkEnd w:id="77239"/>
      <w:r>
        <w:rPr>
          <w:rFonts w:hint="cs"/>
          <w:rtl/>
        </w:rPr>
        <w:t xml:space="preserve">. חצי שנה שמפלגים את העם, חצי שנה שמגבירים את </w:t>
      </w:r>
      <w:bookmarkStart w:id="77240" w:name="_ETM_Q141_285000"/>
      <w:bookmarkEnd w:id="77240"/>
      <w:r>
        <w:rPr>
          <w:rFonts w:hint="cs"/>
          <w:rtl/>
        </w:rPr>
        <w:t>שנאת החינם, אותה שנאת חינם הובילה לחורבן</w:t>
      </w:r>
      <w:bookmarkStart w:id="77241" w:name="_ETM_Q141_289000"/>
      <w:bookmarkEnd w:id="77241"/>
      <w:r>
        <w:rPr>
          <w:rFonts w:hint="cs"/>
          <w:rtl/>
        </w:rPr>
        <w:t xml:space="preserve"> הבית הראשון. חוסר ההקשבה והאמפתיה כלפי מי שלא חושב </w:t>
      </w:r>
      <w:bookmarkStart w:id="77242" w:name="_ETM_Q141_296000"/>
      <w:bookmarkEnd w:id="77242"/>
      <w:r>
        <w:rPr>
          <w:rFonts w:hint="cs"/>
          <w:rtl/>
        </w:rPr>
        <w:t xml:space="preserve">אותו דבר כמוך הובילה לחורבן הבית הראשון. אמרו חכמים: "קול ההמון כקול שדי". קולו של ההמון הוא כמו של </w:t>
      </w:r>
      <w:bookmarkStart w:id="77243" w:name="_ETM_Q141_312000"/>
      <w:bookmarkEnd w:id="77243"/>
      <w:r>
        <w:rPr>
          <w:rFonts w:hint="cs"/>
          <w:rtl/>
        </w:rPr>
        <w:t xml:space="preserve">אלוהים. אסור להתעלם מההמונים שנמצאים עכשיו מחוץ לכנסת, שנמצאים בכל </w:t>
      </w:r>
      <w:bookmarkStart w:id="77244" w:name="_ETM_Q141_323000"/>
      <w:bookmarkEnd w:id="77244"/>
      <w:r>
        <w:rPr>
          <w:rFonts w:hint="cs"/>
          <w:rtl/>
        </w:rPr>
        <w:t>המוקדים במדינת ישראל וצועקים לאנשים שיושבים בבית הזה</w:t>
      </w:r>
      <w:bookmarkStart w:id="77245" w:name="_ETM_Q141_332000"/>
      <w:bookmarkEnd w:id="77245"/>
      <w:r w:rsidR="00F43B8F">
        <w:rPr>
          <w:rFonts w:hint="cs"/>
          <w:rtl/>
        </w:rPr>
        <w:t>:</w:t>
      </w:r>
      <w:r>
        <w:rPr>
          <w:rFonts w:hint="cs"/>
          <w:rtl/>
        </w:rPr>
        <w:t xml:space="preserve"> תתעוררו, עוד לא מאוחר</w:t>
      </w:r>
      <w:r w:rsidR="00F43B8F">
        <w:rPr>
          <w:rFonts w:hint="cs"/>
          <w:rtl/>
        </w:rPr>
        <w:t>,</w:t>
      </w:r>
      <w:r>
        <w:rPr>
          <w:rFonts w:hint="cs"/>
          <w:rtl/>
        </w:rPr>
        <w:t xml:space="preserve"> עד שהמעשה לא </w:t>
      </w:r>
      <w:bookmarkStart w:id="77246" w:name="_ETM_Q141_337000"/>
      <w:bookmarkEnd w:id="77246"/>
      <w:r>
        <w:rPr>
          <w:rFonts w:hint="cs"/>
          <w:rtl/>
        </w:rPr>
        <w:t xml:space="preserve">נעשה עוד אפשר לתקן. </w:t>
      </w:r>
    </w:p>
    <w:p w:rsidR="00BB59CD" w:rsidRDefault="00BB59CD" w:rsidP="00BB59CD">
      <w:pPr>
        <w:ind w:firstLine="0"/>
        <w:rPr>
          <w:rtl/>
        </w:rPr>
      </w:pPr>
    </w:p>
    <w:p w:rsidR="00BB59CD" w:rsidRDefault="00BB59CD" w:rsidP="00BB59CD">
      <w:pPr>
        <w:ind w:firstLine="0"/>
        <w:rPr>
          <w:rtl/>
        </w:rPr>
      </w:pPr>
      <w:r>
        <w:rPr>
          <w:rFonts w:hint="cs"/>
          <w:rtl/>
        </w:rPr>
        <w:tab/>
        <w:t>ואותם נבחרי ציבור שלא מקשיבים</w:t>
      </w:r>
      <w:bookmarkStart w:id="77247" w:name="_ETM_Q141_344000"/>
      <w:bookmarkEnd w:id="77247"/>
      <w:r>
        <w:rPr>
          <w:rFonts w:hint="cs"/>
          <w:rtl/>
        </w:rPr>
        <w:t xml:space="preserve"> לקול ההמון, שנהנים מהכיסא הנוח פה ורוכבים על </w:t>
      </w:r>
      <w:bookmarkStart w:id="77248" w:name="_ETM_Q141_356000"/>
      <w:bookmarkEnd w:id="77248"/>
      <w:r>
        <w:rPr>
          <w:rFonts w:hint="cs"/>
          <w:rtl/>
        </w:rPr>
        <w:t xml:space="preserve">גל של הצלחה דרך פילוג ושיסוי בלי להבין את ההשלכות, </w:t>
      </w:r>
      <w:bookmarkStart w:id="77249" w:name="_ETM_Q141_364000"/>
      <w:bookmarkEnd w:id="77249"/>
      <w:r>
        <w:rPr>
          <w:rFonts w:hint="cs"/>
          <w:rtl/>
        </w:rPr>
        <w:t xml:space="preserve">בלי באמת להיכנס בעובי הקורה, בלי לשמוע את דעתו </w:t>
      </w:r>
      <w:bookmarkStart w:id="77250" w:name="_ETM_Q141_369000"/>
      <w:bookmarkEnd w:id="77250"/>
      <w:r>
        <w:rPr>
          <w:rFonts w:hint="cs"/>
          <w:rtl/>
        </w:rPr>
        <w:t xml:space="preserve">של האחר, בלי ללמוד את ההיבטים המשפטיים, בלי להבין את </w:t>
      </w:r>
      <w:bookmarkStart w:id="77251" w:name="_ETM_Q141_375000"/>
      <w:bookmarkEnd w:id="77251"/>
      <w:r>
        <w:rPr>
          <w:rFonts w:hint="cs"/>
          <w:rtl/>
        </w:rPr>
        <w:t xml:space="preserve">ההשלכות האמיתיות על מערכת המשפט במדינת ישראל, על הדמוקרטיה </w:t>
      </w:r>
      <w:bookmarkStart w:id="77252" w:name="_ETM_Q141_382000"/>
      <w:bookmarkEnd w:id="77252"/>
      <w:r>
        <w:rPr>
          <w:rFonts w:hint="cs"/>
          <w:rtl/>
        </w:rPr>
        <w:t xml:space="preserve">שלנו, על כל מה שאנחנו מכירים וכל </w:t>
      </w:r>
      <w:bookmarkStart w:id="77253" w:name="_ETM_Q141_384000"/>
      <w:bookmarkEnd w:id="77253"/>
      <w:r>
        <w:rPr>
          <w:rFonts w:hint="cs"/>
          <w:rtl/>
        </w:rPr>
        <w:t xml:space="preserve">מה שהכרנו עד היום – ברשותכם, אלה שקוראים לפטריוטים, </w:t>
      </w:r>
      <w:bookmarkStart w:id="77254" w:name="_ETM_Q141_391000"/>
      <w:bookmarkEnd w:id="77254"/>
      <w:r>
        <w:rPr>
          <w:rFonts w:hint="cs"/>
          <w:rtl/>
        </w:rPr>
        <w:t xml:space="preserve">משרתי המילואים, "נפולת של נמושות", "לא ציונים" וקוראים להם ללכת </w:t>
      </w:r>
      <w:bookmarkStart w:id="77255" w:name="_ETM_Q141_401000"/>
      <w:bookmarkEnd w:id="77255"/>
      <w:r>
        <w:rPr>
          <w:rFonts w:hint="cs"/>
          <w:rtl/>
        </w:rPr>
        <w:t xml:space="preserve">לעזאזל לא דרכו בבקו"ם. ואם דרכו בבקו"ם, זה היה לשליש </w:t>
      </w:r>
      <w:bookmarkStart w:id="77256" w:name="_ETM_Q141_405000"/>
      <w:bookmarkEnd w:id="77256"/>
      <w:r>
        <w:rPr>
          <w:rFonts w:hint="cs"/>
          <w:rtl/>
        </w:rPr>
        <w:t xml:space="preserve">מהזמן, הגדילו לעשות וקראו לעריקות כי, רחמנא ליצלן, משרתות בצבא גם נשים. ואלו שנלחמו למען זה שכל ילד </w:t>
      </w:r>
      <w:bookmarkStart w:id="77257" w:name="_ETM_Q141_422000"/>
      <w:bookmarkEnd w:id="77257"/>
      <w:r>
        <w:rPr>
          <w:rFonts w:hint="cs"/>
          <w:rtl/>
        </w:rPr>
        <w:t xml:space="preserve">וילדה במדינת ישראל יוכלו לישון בלילה הם אלה שהפחדנים הללו </w:t>
      </w:r>
      <w:bookmarkStart w:id="77258" w:name="_ETM_Q141_434000"/>
      <w:bookmarkEnd w:id="77258"/>
      <w:r>
        <w:rPr>
          <w:rFonts w:hint="cs"/>
          <w:rtl/>
        </w:rPr>
        <w:t>מסיתים נגדם, והם מתעלמים מהסכנה לצה"ל בביטול עילת הסבירות</w:t>
      </w:r>
      <w:bookmarkStart w:id="77259" w:name="_ETM_Q141_441000"/>
      <w:bookmarkEnd w:id="77259"/>
      <w:r>
        <w:rPr>
          <w:rFonts w:hint="cs"/>
          <w:rtl/>
        </w:rPr>
        <w:t xml:space="preserve">; והם יודעים את הסכנה לצה"ל בביטול עילת הסבירות. </w:t>
      </w:r>
    </w:p>
    <w:p w:rsidR="00BB59CD" w:rsidRDefault="00BB59CD" w:rsidP="00BB59CD">
      <w:pPr>
        <w:ind w:firstLine="0"/>
        <w:rPr>
          <w:rtl/>
        </w:rPr>
      </w:pPr>
    </w:p>
    <w:p w:rsidR="00BB59CD" w:rsidRDefault="00BB59CD" w:rsidP="00F43B8F">
      <w:pPr>
        <w:ind w:firstLine="0"/>
        <w:rPr>
          <w:rtl/>
        </w:rPr>
      </w:pPr>
      <w:r>
        <w:rPr>
          <w:rFonts w:hint="cs"/>
          <w:rtl/>
        </w:rPr>
        <w:tab/>
        <w:t xml:space="preserve">לצערי הרב, יושב-ראש ועדת החוקה שמחה רוטמן לא הרשה </w:t>
      </w:r>
      <w:bookmarkStart w:id="77260" w:name="_ETM_Q141_449000"/>
      <w:bookmarkEnd w:id="77260"/>
      <w:r>
        <w:rPr>
          <w:rFonts w:hint="cs"/>
          <w:rtl/>
        </w:rPr>
        <w:t>לפרקליטה הצבאית הראשית לה</w:t>
      </w:r>
      <w:r w:rsidR="00F43B8F">
        <w:rPr>
          <w:rFonts w:hint="cs"/>
          <w:rtl/>
        </w:rPr>
        <w:t>ופיע</w:t>
      </w:r>
      <w:r>
        <w:rPr>
          <w:rFonts w:hint="cs"/>
          <w:rtl/>
        </w:rPr>
        <w:t xml:space="preserve"> </w:t>
      </w:r>
      <w:r w:rsidR="00F43B8F">
        <w:rPr>
          <w:rFonts w:hint="cs"/>
          <w:rtl/>
        </w:rPr>
        <w:t>לפני</w:t>
      </w:r>
      <w:r>
        <w:rPr>
          <w:rFonts w:hint="cs"/>
          <w:rtl/>
        </w:rPr>
        <w:t xml:space="preserve"> חברי הוועדה ולתת את חוות </w:t>
      </w:r>
      <w:bookmarkStart w:id="77261" w:name="_ETM_Q141_457000"/>
      <w:bookmarkEnd w:id="77261"/>
      <w:r>
        <w:rPr>
          <w:rFonts w:hint="cs"/>
          <w:rtl/>
        </w:rPr>
        <w:t xml:space="preserve">דעתה מה יקרה ללוחמי צה"ל כאשר תבוטל עילת הסבירות. </w:t>
      </w:r>
      <w:bookmarkStart w:id="77262" w:name="_ETM_Q141_465000"/>
      <w:bookmarkEnd w:id="77262"/>
      <w:r>
        <w:rPr>
          <w:rFonts w:hint="cs"/>
          <w:rtl/>
        </w:rPr>
        <w:t xml:space="preserve">ואני רוצה לספר לכם: היו ניסיונות בעבר להעמיד את חיילי צה"ל בטריבונלים בין-לאומיים. הסיבה היחידה שזה לא קרה זה </w:t>
      </w:r>
      <w:bookmarkStart w:id="77263" w:name="_ETM_Q141_476000"/>
      <w:bookmarkEnd w:id="77263"/>
      <w:r>
        <w:rPr>
          <w:rFonts w:hint="cs"/>
          <w:rtl/>
        </w:rPr>
        <w:t xml:space="preserve">בגלל שמערכת המשפט הישראלית הייתה חזקה מספיק, דמוקרטית מספיק </w:t>
      </w:r>
      <w:bookmarkStart w:id="77264" w:name="_ETM_Q141_483000"/>
      <w:bookmarkEnd w:id="77264"/>
      <w:r>
        <w:rPr>
          <w:rFonts w:hint="cs"/>
          <w:rtl/>
        </w:rPr>
        <w:t xml:space="preserve">ועצמאית מספיק להדוף כל ניסיון של התערבות חיצונית. הפגיעה הזאת </w:t>
      </w:r>
      <w:bookmarkStart w:id="77265" w:name="_ETM_Q141_492000"/>
      <w:bookmarkEnd w:id="77265"/>
      <w:r>
        <w:rPr>
          <w:rFonts w:hint="cs"/>
          <w:rtl/>
        </w:rPr>
        <w:t xml:space="preserve">שאתם הולכים להעביר בעצמאותה של מערכת המשפט ובהיקף הסמכויות של </w:t>
      </w:r>
      <w:bookmarkStart w:id="77266" w:name="_ETM_Q141_499000"/>
      <w:bookmarkEnd w:id="77266"/>
      <w:r>
        <w:rPr>
          <w:rFonts w:hint="cs"/>
          <w:rtl/>
        </w:rPr>
        <w:t>היועצים המשפטיים בביטול עילת הסבירות תוביל גופים בין-לאומיים למסקנה ברורה:</w:t>
      </w:r>
      <w:bookmarkStart w:id="77267" w:name="_ETM_Q141_510000"/>
      <w:bookmarkEnd w:id="77267"/>
      <w:r>
        <w:rPr>
          <w:rFonts w:hint="cs"/>
          <w:rtl/>
        </w:rPr>
        <w:t xml:space="preserve"> הם פשוט לא יסמכו יותר על מערכת הבקרה בישראל; </w:t>
      </w:r>
      <w:bookmarkStart w:id="77268" w:name="_ETM_Q141_515000"/>
      <w:bookmarkEnd w:id="77268"/>
      <w:r>
        <w:rPr>
          <w:rFonts w:hint="cs"/>
          <w:rtl/>
        </w:rPr>
        <w:t xml:space="preserve">הם לא יסמכו יותר על החקירה העצמאית שמתנהלת במדינת ישראל, </w:t>
      </w:r>
      <w:bookmarkStart w:id="77269" w:name="_ETM_Q141_519000"/>
      <w:bookmarkEnd w:id="77269"/>
      <w:r>
        <w:rPr>
          <w:rFonts w:hint="cs"/>
          <w:rtl/>
        </w:rPr>
        <w:t xml:space="preserve">על שיקול דעת היועצים המשפטיים ועל הביקורת השיפוטית האמיתית שמפעילים </w:t>
      </w:r>
      <w:bookmarkStart w:id="77270" w:name="_ETM_Q141_527000"/>
      <w:bookmarkEnd w:id="77270"/>
      <w:r>
        <w:rPr>
          <w:rFonts w:hint="cs"/>
          <w:rtl/>
        </w:rPr>
        <w:t xml:space="preserve">בתי המשפט במדינת ישראל. מעתה כל חקירה במדינת ישראל תהיה </w:t>
      </w:r>
      <w:bookmarkStart w:id="77271" w:name="_ETM_Q141_536000"/>
      <w:bookmarkEnd w:id="77271"/>
      <w:r>
        <w:rPr>
          <w:rFonts w:hint="cs"/>
          <w:rtl/>
        </w:rPr>
        <w:t xml:space="preserve">חקירה בסימן שאלה עם אות קין בסופה, </w:t>
      </w:r>
      <w:r w:rsidR="00396EB1">
        <w:rPr>
          <w:rFonts w:hint="cs"/>
          <w:rtl/>
        </w:rPr>
        <w:t>כי אי-אפשר לבדוק יותר אם ההחלטה ש</w:t>
      </w:r>
      <w:r>
        <w:rPr>
          <w:rFonts w:hint="cs"/>
          <w:rtl/>
        </w:rPr>
        <w:t xml:space="preserve">התקבלה – אם ההחלטה הייתה סבירה. </w:t>
      </w:r>
    </w:p>
    <w:p w:rsidR="00BB59CD" w:rsidRDefault="00BB59CD" w:rsidP="00BB59CD">
      <w:pPr>
        <w:ind w:firstLine="0"/>
        <w:rPr>
          <w:rtl/>
        </w:rPr>
      </w:pPr>
    </w:p>
    <w:p w:rsidR="00BB59CD" w:rsidRDefault="00BB59CD" w:rsidP="00396EB1">
      <w:pPr>
        <w:rPr>
          <w:rtl/>
        </w:rPr>
      </w:pPr>
      <w:bookmarkStart w:id="77272" w:name="_ETM_Q141_550000"/>
      <w:bookmarkEnd w:id="77272"/>
      <w:r>
        <w:rPr>
          <w:rFonts w:hint="cs"/>
          <w:rtl/>
        </w:rPr>
        <w:t xml:space="preserve">החוק לביטול עילת הסבירות </w:t>
      </w:r>
      <w:bookmarkStart w:id="77273" w:name="_ETM_Q141_548000"/>
      <w:bookmarkEnd w:id="77273"/>
      <w:r>
        <w:rPr>
          <w:rFonts w:hint="cs"/>
          <w:rtl/>
        </w:rPr>
        <w:t xml:space="preserve">ועוד חוקים שהממשלה הזאת מתכוונת לבטל יפגעו באופן ישיר בלגיטימציה </w:t>
      </w:r>
      <w:bookmarkStart w:id="77274" w:name="_ETM_Q141_561000"/>
      <w:bookmarkEnd w:id="77274"/>
      <w:r>
        <w:rPr>
          <w:rFonts w:hint="cs"/>
          <w:rtl/>
        </w:rPr>
        <w:t xml:space="preserve">של מערכת המשפט, </w:t>
      </w:r>
      <w:r w:rsidR="00396EB1">
        <w:rPr>
          <w:rFonts w:hint="cs"/>
          <w:rtl/>
        </w:rPr>
        <w:t>וזה בהכרח י</w:t>
      </w:r>
      <w:r>
        <w:rPr>
          <w:rFonts w:hint="cs"/>
          <w:rtl/>
        </w:rPr>
        <w:t xml:space="preserve">וביל לפגיעה אמיתית במעמדה </w:t>
      </w:r>
      <w:bookmarkStart w:id="77275" w:name="_ETM_Q141_564000"/>
      <w:bookmarkEnd w:id="77275"/>
      <w:r w:rsidR="00396EB1">
        <w:rPr>
          <w:rFonts w:hint="cs"/>
          <w:rtl/>
        </w:rPr>
        <w:t>המשפטי של ישראל בעולם, ויוביל</w:t>
      </w:r>
      <w:r>
        <w:rPr>
          <w:rFonts w:hint="cs"/>
          <w:rtl/>
        </w:rPr>
        <w:t xml:space="preserve"> בסופו של דבר לכך שלא </w:t>
      </w:r>
      <w:bookmarkStart w:id="77276" w:name="_ETM_Q141_577000"/>
      <w:bookmarkEnd w:id="77276"/>
      <w:r>
        <w:rPr>
          <w:rFonts w:hint="cs"/>
          <w:rtl/>
        </w:rPr>
        <w:t xml:space="preserve">יכירו בחקירות שעושים במדינת ישראל. התוצאה שיכולה להיות לכל הדברים הללו היא שצה"ל יהיה מוגבל </w:t>
      </w:r>
      <w:bookmarkStart w:id="77277" w:name="_ETM_Q141_585000"/>
      <w:bookmarkEnd w:id="77277"/>
      <w:r>
        <w:rPr>
          <w:rFonts w:hint="cs"/>
          <w:rtl/>
        </w:rPr>
        <w:t xml:space="preserve">בפעולות שלו. כי כאשר אנחנו לא בטוחים שאנחנו יכולים להגן </w:t>
      </w:r>
      <w:bookmarkStart w:id="77278" w:name="_ETM_Q141_589000"/>
      <w:bookmarkEnd w:id="77278"/>
      <w:r>
        <w:rPr>
          <w:rFonts w:hint="cs"/>
          <w:rtl/>
        </w:rPr>
        <w:t>על הלוחמים שלנו מפני הדין הבין-לאומי אז מרווח התמרון פת</w:t>
      </w:r>
      <w:bookmarkStart w:id="77279" w:name="_ETM_Q141_596000"/>
      <w:bookmarkEnd w:id="77279"/>
      <w:r>
        <w:rPr>
          <w:rFonts w:hint="cs"/>
          <w:rtl/>
        </w:rPr>
        <w:t xml:space="preserve">אום הופך להיות קטן יותר, כי אנחנו לא נסכן את </w:t>
      </w:r>
      <w:bookmarkStart w:id="77280" w:name="_ETM_Q141_601000"/>
      <w:bookmarkEnd w:id="77280"/>
      <w:r>
        <w:rPr>
          <w:rFonts w:hint="cs"/>
          <w:rtl/>
        </w:rPr>
        <w:t xml:space="preserve">חיילינו מול הדין הבין-לאומי. ואז פעולות שבעבר היו פעולות שבשגרה פתאום יהיו פעולות מסובכות, ולא בטוח שאנחנו כבר נאפשר לצבא </w:t>
      </w:r>
      <w:bookmarkStart w:id="77281" w:name="_ETM_Q141_611000"/>
      <w:bookmarkEnd w:id="77281"/>
      <w:r>
        <w:rPr>
          <w:rFonts w:hint="cs"/>
          <w:rtl/>
        </w:rPr>
        <w:t xml:space="preserve">לעשות אותן. זאת הפגיעה האמיתית והקשה שממשלת נתניהו מביאה על </w:t>
      </w:r>
      <w:bookmarkStart w:id="77282" w:name="_ETM_Q141_621000"/>
      <w:bookmarkEnd w:id="77282"/>
      <w:r>
        <w:rPr>
          <w:rFonts w:hint="cs"/>
          <w:rtl/>
        </w:rPr>
        <w:t xml:space="preserve">צה"ל. כי בסופו של דבר האמונה והוודאות של לוחמי צה"ל הן לדעת שההחלטה התקבלה בסבירות עם כל גורמי המקצוע הנכונים – ולא </w:t>
      </w:r>
      <w:bookmarkStart w:id="77283" w:name="_ETM_Q141_638000"/>
      <w:bookmarkEnd w:id="77283"/>
      <w:r>
        <w:rPr>
          <w:rFonts w:hint="cs"/>
          <w:rtl/>
        </w:rPr>
        <w:t xml:space="preserve">על ידי אנשים לא מוכשרים לשום דבר שלא שירתו דקה בצבא – ואחרי התייעצות אמיתית ובבקרה משפטית. לוחם </w:t>
      </w:r>
      <w:bookmarkStart w:id="77284" w:name="_ETM_Q141_645000"/>
      <w:bookmarkEnd w:id="77284"/>
      <w:r>
        <w:rPr>
          <w:rFonts w:hint="cs"/>
          <w:rtl/>
        </w:rPr>
        <w:t xml:space="preserve">בצה"ל יודע שהוא יוצא לפעולה מבצעית ויהיה מי שישמור עליו </w:t>
      </w:r>
      <w:bookmarkStart w:id="77285" w:name="_ETM_Q141_648000"/>
      <w:bookmarkEnd w:id="77285"/>
      <w:r>
        <w:rPr>
          <w:rFonts w:hint="cs"/>
          <w:rtl/>
        </w:rPr>
        <w:t xml:space="preserve">בכל הזירות, כולל בטריבונלים בין-לאומיים בעולם. ברגע שאתם </w:t>
      </w:r>
      <w:bookmarkStart w:id="77286" w:name="_ETM_Q141_656000"/>
      <w:bookmarkEnd w:id="77286"/>
      <w:r>
        <w:rPr>
          <w:rFonts w:hint="cs"/>
          <w:rtl/>
        </w:rPr>
        <w:t xml:space="preserve">תיקחו את היכולת הזאת לבדוק סבירות מהפרקליטות הצבאית, מהיועצת </w:t>
      </w:r>
      <w:bookmarkStart w:id="77287" w:name="_ETM_Q141_661000"/>
      <w:bookmarkEnd w:id="77287"/>
      <w:r>
        <w:rPr>
          <w:rFonts w:hint="cs"/>
          <w:rtl/>
        </w:rPr>
        <w:t xml:space="preserve">המשפטית, וכשבג"ץ אפילו לא יוכל לבקר את ההחלטה, אז </w:t>
      </w:r>
      <w:bookmarkStart w:id="77288" w:name="_ETM_Q141_665000"/>
      <w:bookmarkEnd w:id="77288"/>
      <w:r>
        <w:rPr>
          <w:rFonts w:hint="cs"/>
          <w:rtl/>
        </w:rPr>
        <w:t xml:space="preserve">בפעם הבאה שחיילי צה"ל – לוחמי צה"ל – יידרשו </w:t>
      </w:r>
      <w:bookmarkStart w:id="77289" w:name="_ETM_Q141_674000"/>
      <w:bookmarkEnd w:id="77289"/>
      <w:r>
        <w:rPr>
          <w:rFonts w:hint="cs"/>
          <w:rtl/>
        </w:rPr>
        <w:t xml:space="preserve">ויואשמו, חלילה, בעבירות של פשעי מלחמה, בג"ץ כבר </w:t>
      </w:r>
      <w:bookmarkStart w:id="77290" w:name="_ETM_Q141_677000"/>
      <w:bookmarkEnd w:id="77290"/>
      <w:r>
        <w:rPr>
          <w:rFonts w:hint="cs"/>
          <w:rtl/>
        </w:rPr>
        <w:t>לא יוכל לתת להם את אותה מעטפת שהוא תמיד נתן</w:t>
      </w:r>
      <w:bookmarkStart w:id="77291" w:name="_ETM_Q141_680000"/>
      <w:bookmarkEnd w:id="77291"/>
      <w:r>
        <w:rPr>
          <w:rFonts w:hint="cs"/>
          <w:rtl/>
        </w:rPr>
        <w:t xml:space="preserve"> והם יגיעו ישירות לבית הדין בהאג. </w:t>
      </w:r>
      <w:bookmarkStart w:id="77292" w:name="_ETM_Q141_686000"/>
      <w:bookmarkStart w:id="77293" w:name="_ETM_Q141_687000"/>
      <w:bookmarkEnd w:id="77292"/>
      <w:bookmarkEnd w:id="77293"/>
      <w:r>
        <w:rPr>
          <w:rFonts w:hint="cs"/>
          <w:rtl/>
        </w:rPr>
        <w:t xml:space="preserve">זאת הפגיעה הממשית והאמיתית שכל האנשים שכל הזמן מדברים כמה צה"ל יקר לליבם ולא שירתו דקה בצבא, מביאים עלינו. </w:t>
      </w:r>
    </w:p>
    <w:p w:rsidR="00BB59CD" w:rsidRDefault="00BB59CD" w:rsidP="00BB59CD">
      <w:pPr>
        <w:rPr>
          <w:rtl/>
        </w:rPr>
      </w:pPr>
      <w:bookmarkStart w:id="77294" w:name="_ETM_Q141_697000"/>
      <w:bookmarkEnd w:id="77294"/>
    </w:p>
    <w:p w:rsidR="00BB59CD" w:rsidRDefault="00BB59CD" w:rsidP="00396EB1">
      <w:pPr>
        <w:rPr>
          <w:rtl/>
        </w:rPr>
      </w:pPr>
      <w:bookmarkStart w:id="77295" w:name="_ETM_Q141_698000"/>
      <w:bookmarkEnd w:id="77295"/>
      <w:r>
        <w:rPr>
          <w:rFonts w:hint="cs"/>
          <w:rtl/>
        </w:rPr>
        <w:t xml:space="preserve">אני רוצה לשאול </w:t>
      </w:r>
      <w:bookmarkStart w:id="77296" w:name="_ETM_Q141_700000"/>
      <w:bookmarkEnd w:id="77296"/>
      <w:r>
        <w:rPr>
          <w:rFonts w:hint="cs"/>
          <w:rtl/>
        </w:rPr>
        <w:t>באמת: מה אתם מצפים ממי שנשבע אמונים למדינת ישרא</w:t>
      </w:r>
      <w:bookmarkStart w:id="77297" w:name="_ETM_Q141_703000"/>
      <w:bookmarkEnd w:id="77297"/>
      <w:r>
        <w:rPr>
          <w:rFonts w:hint="cs"/>
          <w:rtl/>
        </w:rPr>
        <w:t xml:space="preserve">ל ואתם מפקירים אותו בשטח? מה אתם מצפים מאותם </w:t>
      </w:r>
      <w:bookmarkStart w:id="77298" w:name="_ETM_Q141_711000"/>
      <w:bookmarkEnd w:id="77298"/>
      <w:r>
        <w:rPr>
          <w:rFonts w:hint="cs"/>
          <w:rtl/>
        </w:rPr>
        <w:t>גיבורים שלא בטוחים שהחלטות הקבינט הן החלטות לגיטימיות, החלטות נכונות, החלטות דמוקרטיות? כשאתם שומעים את האנשים הכי טובים שיש לנו בחברה</w:t>
      </w:r>
      <w:r w:rsidR="00396EB1">
        <w:rPr>
          <w:rFonts w:hint="cs"/>
          <w:rtl/>
        </w:rPr>
        <w:t>,</w:t>
      </w:r>
      <w:r>
        <w:rPr>
          <w:rFonts w:hint="cs"/>
          <w:rtl/>
        </w:rPr>
        <w:t xml:space="preserve"> שאומרים: אנחנו נשרת את המדינה תמיד, נהיה </w:t>
      </w:r>
      <w:bookmarkStart w:id="77299" w:name="_ETM_Q141_730000"/>
      <w:bookmarkEnd w:id="77299"/>
      <w:r>
        <w:rPr>
          <w:rFonts w:hint="cs"/>
          <w:rtl/>
        </w:rPr>
        <w:t xml:space="preserve">שם תמיד, נסכן את חיינו עבור המדינה אבל לא נסכן </w:t>
      </w:r>
      <w:bookmarkStart w:id="77300" w:name="_ETM_Q141_738000"/>
      <w:bookmarkEnd w:id="77300"/>
      <w:r>
        <w:rPr>
          <w:rFonts w:hint="cs"/>
          <w:rtl/>
        </w:rPr>
        <w:t xml:space="preserve">את חיינו עבור הממלכה – מה אתם אומרים לעצמכם? עזבו </w:t>
      </w:r>
      <w:bookmarkStart w:id="77301" w:name="_ETM_Q141_744000"/>
      <w:bookmarkEnd w:id="77301"/>
      <w:r>
        <w:rPr>
          <w:rFonts w:hint="cs"/>
          <w:rtl/>
        </w:rPr>
        <w:t xml:space="preserve">אותם, שטויות, הם יעשו מה שאנחנו אומרים להם? מה אתם </w:t>
      </w:r>
      <w:bookmarkStart w:id="77302" w:name="_ETM_Q141_745000"/>
      <w:bookmarkEnd w:id="77302"/>
      <w:r>
        <w:rPr>
          <w:rFonts w:hint="cs"/>
          <w:rtl/>
        </w:rPr>
        <w:t xml:space="preserve">חושבים שיקרה? האנשים האלה הם האנשים הכי טובים, הכי </w:t>
      </w:r>
      <w:bookmarkStart w:id="77303" w:name="_ETM_Q141_748000"/>
      <w:bookmarkEnd w:id="77303"/>
      <w:r>
        <w:rPr>
          <w:rFonts w:hint="cs"/>
          <w:rtl/>
        </w:rPr>
        <w:t xml:space="preserve">מוכשרים, הכי רציניים שיש לנו בחברה. הגיע הזמן שגם הצד הזה בבית הזה ייקח אותם ברצינות. </w:t>
      </w:r>
      <w:bookmarkStart w:id="77304" w:name="TOR_Q142"/>
      <w:bookmarkEnd w:id="77304"/>
      <w:r>
        <w:rPr>
          <w:rFonts w:hint="cs"/>
          <w:rtl/>
        </w:rPr>
        <w:t xml:space="preserve">זוהי החובה המוסרית של כל מי שיושב פה, לקחת אותם ברצינות, כמו שזו החובה המוסרית של כולנו לקום ולשרת את </w:t>
      </w:r>
      <w:bookmarkStart w:id="77305" w:name="_ETM_Q142_172000"/>
      <w:bookmarkEnd w:id="77305"/>
      <w:r>
        <w:rPr>
          <w:rFonts w:hint="cs"/>
          <w:rtl/>
        </w:rPr>
        <w:t xml:space="preserve">המדינה. זו הזכות שלנו, לא רק חובה. אבל יש פה </w:t>
      </w:r>
      <w:bookmarkStart w:id="77306" w:name="_ETM_Q142_177000"/>
      <w:bookmarkEnd w:id="77306"/>
      <w:r>
        <w:rPr>
          <w:rFonts w:hint="cs"/>
          <w:rtl/>
        </w:rPr>
        <w:t xml:space="preserve">אנשים זחוחים מדי, שהתפקיד עלה להם מהר מדי וחזק מדי </w:t>
      </w:r>
      <w:bookmarkStart w:id="77307" w:name="_ETM_Q142_189000"/>
      <w:bookmarkEnd w:id="77307"/>
      <w:r>
        <w:rPr>
          <w:rFonts w:hint="cs"/>
          <w:rtl/>
        </w:rPr>
        <w:t xml:space="preserve">לראש, והם מתנהגים כמו – אני אפילו לא יודע למה </w:t>
      </w:r>
      <w:bookmarkStart w:id="77308" w:name="_ETM_Q142_194000"/>
      <w:bookmarkEnd w:id="77308"/>
      <w:r>
        <w:rPr>
          <w:rFonts w:hint="cs"/>
          <w:rtl/>
        </w:rPr>
        <w:t xml:space="preserve">להקביל את ההתנהגות של השר לביטחון לאומי, שלא מצליח לקבל </w:t>
      </w:r>
      <w:bookmarkStart w:id="77309" w:name="_ETM_Q142_202000"/>
      <w:bookmarkEnd w:id="77309"/>
      <w:r>
        <w:rPr>
          <w:rFonts w:hint="cs"/>
          <w:rtl/>
        </w:rPr>
        <w:t xml:space="preserve">החלטה אחת נכונה, שמאז שהוא נכנס לתפקיד המשטרה התפרקה לחלוטין, </w:t>
      </w:r>
      <w:bookmarkStart w:id="77310" w:name="_ETM_Q142_209000"/>
      <w:bookmarkEnd w:id="77310"/>
      <w:r>
        <w:rPr>
          <w:rFonts w:hint="cs"/>
          <w:rtl/>
        </w:rPr>
        <w:t xml:space="preserve">כל שדרת הפיקוד הודיעה שהיא עוזבת, לאחרונה הודיעה גם נציבת </w:t>
      </w:r>
      <w:bookmarkStart w:id="77311" w:name="_ETM_Q142_213000"/>
      <w:bookmarkEnd w:id="77311"/>
      <w:r>
        <w:rPr>
          <w:rFonts w:hint="cs"/>
          <w:rtl/>
        </w:rPr>
        <w:t>השב"ס שהיא עוזבת.</w:t>
      </w:r>
    </w:p>
    <w:p w:rsidR="00BB59CD" w:rsidRDefault="00BB59CD" w:rsidP="00BB59CD">
      <w:pPr>
        <w:ind w:firstLine="0"/>
        <w:rPr>
          <w:rtl/>
        </w:rPr>
      </w:pPr>
    </w:p>
    <w:p w:rsidR="00BB59CD" w:rsidRDefault="00BB59CD" w:rsidP="00396EB1">
      <w:pPr>
        <w:rPr>
          <w:rtl/>
        </w:rPr>
      </w:pPr>
      <w:bookmarkStart w:id="77312" w:name="_ETM_Q142_220000"/>
      <w:bookmarkEnd w:id="77312"/>
      <w:r>
        <w:rPr>
          <w:rFonts w:hint="cs"/>
          <w:rtl/>
        </w:rPr>
        <w:t xml:space="preserve">ואני רוצה באמת להבין ולשאול את ראש </w:t>
      </w:r>
      <w:bookmarkStart w:id="77313" w:name="_ETM_Q142_222000"/>
      <w:bookmarkEnd w:id="77313"/>
      <w:r>
        <w:rPr>
          <w:rFonts w:hint="cs"/>
          <w:rtl/>
        </w:rPr>
        <w:t xml:space="preserve">הממשלה – ואני מאחל לו מפה בריאות – איפה אתה באירוע </w:t>
      </w:r>
      <w:bookmarkStart w:id="77314" w:name="_ETM_Q142_229000"/>
      <w:bookmarkEnd w:id="77314"/>
      <w:r>
        <w:rPr>
          <w:rFonts w:hint="cs"/>
          <w:rtl/>
        </w:rPr>
        <w:t xml:space="preserve">הזה? מי מנהל את הבלגן הזה שאתה קורא לו ממשלה, </w:t>
      </w:r>
      <w:bookmarkStart w:id="77315" w:name="_ETM_Q142_232000"/>
      <w:bookmarkEnd w:id="77315"/>
      <w:r>
        <w:rPr>
          <w:rFonts w:hint="cs"/>
          <w:rtl/>
        </w:rPr>
        <w:t xml:space="preserve">כששרים מכפישים טייסים, ואחרי זה אתה תקרא להם לשיחה סגורה </w:t>
      </w:r>
      <w:bookmarkStart w:id="77316" w:name="_ETM_Q142_238000"/>
      <w:bookmarkEnd w:id="77316"/>
      <w:r>
        <w:rPr>
          <w:rFonts w:hint="cs"/>
          <w:rtl/>
        </w:rPr>
        <w:t xml:space="preserve">בלי מצלמות ותיתן להם מדליות? שרים מתריסים נגד עם שלם </w:t>
      </w:r>
      <w:bookmarkStart w:id="77317" w:name="_ETM_Q142_248000"/>
      <w:bookmarkEnd w:id="77317"/>
      <w:r>
        <w:rPr>
          <w:rFonts w:hint="cs"/>
          <w:rtl/>
        </w:rPr>
        <w:t xml:space="preserve">ולא שומעים את קולך, שרים שולחים את טובי בנינו ללכת </w:t>
      </w:r>
      <w:bookmarkStart w:id="77318" w:name="_ETM_Q142_250000"/>
      <w:bookmarkEnd w:id="77318"/>
      <w:r>
        <w:rPr>
          <w:rFonts w:hint="cs"/>
          <w:rtl/>
        </w:rPr>
        <w:t xml:space="preserve">לעזאזל, שרים עולים על הדוכן הזה ואומרים שהיועצת המשפטית היא </w:t>
      </w:r>
      <w:bookmarkStart w:id="77319" w:name="_ETM_Q142_258000"/>
      <w:bookmarkEnd w:id="77319"/>
      <w:r>
        <w:rPr>
          <w:rFonts w:hint="cs"/>
          <w:rtl/>
        </w:rPr>
        <w:t>הסכנה הגדולה ביותר למדינת ישראל</w:t>
      </w:r>
      <w:r w:rsidR="00396EB1">
        <w:rPr>
          <w:rFonts w:hint="cs"/>
          <w:rtl/>
        </w:rPr>
        <w:t>;</w:t>
      </w:r>
      <w:r>
        <w:rPr>
          <w:rFonts w:hint="cs"/>
          <w:rtl/>
        </w:rPr>
        <w:t xml:space="preserve"> בינתיים הסכנה הגדולה ביותר היא </w:t>
      </w:r>
      <w:bookmarkStart w:id="77320" w:name="_ETM_Q142_266000"/>
      <w:bookmarkEnd w:id="77320"/>
      <w:r>
        <w:rPr>
          <w:rFonts w:hint="cs"/>
          <w:rtl/>
        </w:rPr>
        <w:t xml:space="preserve">לה, עצמה, כי היא הפכה להיות מאוימת בדרגת האבטחה הכי </w:t>
      </w:r>
      <w:bookmarkStart w:id="77321" w:name="_ETM_Q142_271000"/>
      <w:bookmarkEnd w:id="77321"/>
      <w:r>
        <w:rPr>
          <w:rFonts w:hint="cs"/>
          <w:rtl/>
        </w:rPr>
        <w:t>גבוהה מבחינת השב"כ. איפה אתה?</w:t>
      </w:r>
      <w:r>
        <w:rPr>
          <w:rFonts w:hint="cs"/>
        </w:rPr>
        <w:t xml:space="preserve"> </w:t>
      </w:r>
      <w:r>
        <w:rPr>
          <w:rFonts w:hint="cs"/>
          <w:rtl/>
        </w:rPr>
        <w:t xml:space="preserve">אני מבין שאתה כרגע </w:t>
      </w:r>
      <w:bookmarkStart w:id="77322" w:name="_ETM_Q142_276000"/>
      <w:bookmarkEnd w:id="77322"/>
      <w:r>
        <w:rPr>
          <w:rFonts w:hint="cs"/>
          <w:rtl/>
        </w:rPr>
        <w:t xml:space="preserve">עסוק בעניינים רפואיים, אבל לא יכול להיות שתפקיר את המדינה </w:t>
      </w:r>
      <w:bookmarkStart w:id="77323" w:name="_ETM_Q142_281000"/>
      <w:bookmarkEnd w:id="77323"/>
      <w:r>
        <w:rPr>
          <w:rFonts w:hint="cs"/>
          <w:rtl/>
        </w:rPr>
        <w:t xml:space="preserve">הזו לידיים של הקיצוניים ביותר. לא יכול להיות שראש </w:t>
      </w:r>
      <w:bookmarkStart w:id="77324" w:name="_ETM_Q142_283000"/>
      <w:bookmarkEnd w:id="77324"/>
      <w:r>
        <w:rPr>
          <w:rFonts w:hint="cs"/>
          <w:rtl/>
        </w:rPr>
        <w:t xml:space="preserve">הממשלה שכיהן פה מהיום שאני הייתי נער פשוט </w:t>
      </w:r>
      <w:bookmarkStart w:id="77325" w:name="_ETM_Q142_294000"/>
      <w:bookmarkEnd w:id="77325"/>
      <w:r>
        <w:rPr>
          <w:rFonts w:hint="cs"/>
          <w:rtl/>
        </w:rPr>
        <w:t xml:space="preserve">נעלם, פשוט הרים ידיים. מה אתה אומר לעצמך </w:t>
      </w:r>
      <w:r w:rsidR="00396EB1">
        <w:rPr>
          <w:rFonts w:hint="eastAsia"/>
          <w:rtl/>
        </w:rPr>
        <w:t>–</w:t>
      </w:r>
      <w:r w:rsidR="00396EB1">
        <w:rPr>
          <w:rFonts w:hint="cs"/>
          <w:rtl/>
        </w:rPr>
        <w:t xml:space="preserve"> </w:t>
      </w:r>
      <w:r>
        <w:rPr>
          <w:rFonts w:hint="cs"/>
          <w:rtl/>
        </w:rPr>
        <w:t xml:space="preserve">יש לי </w:t>
      </w:r>
      <w:bookmarkStart w:id="77326" w:name="_ETM_Q142_299000"/>
      <w:bookmarkEnd w:id="77326"/>
      <w:r>
        <w:rPr>
          <w:rFonts w:hint="cs"/>
          <w:rtl/>
        </w:rPr>
        <w:t xml:space="preserve">את העניינים שלי, שיעשו מה שהם רוצים ובסוף נסתדר? </w:t>
      </w:r>
      <w:bookmarkStart w:id="77327" w:name="_ETM_Q142_306000"/>
      <w:bookmarkEnd w:id="77327"/>
      <w:r>
        <w:rPr>
          <w:rFonts w:hint="cs"/>
          <w:rtl/>
        </w:rPr>
        <w:t xml:space="preserve">זה פשוט לא יכול להמשיך להתנהל ככה. </w:t>
      </w:r>
      <w:bookmarkStart w:id="77328" w:name="_ETM_Q142_309000"/>
      <w:bookmarkEnd w:id="77328"/>
      <w:r>
        <w:rPr>
          <w:rFonts w:hint="cs"/>
          <w:rtl/>
        </w:rPr>
        <w:t>המדינה הזו חשובה יותר מכל מי שיושב בבית הזה.</w:t>
      </w:r>
    </w:p>
    <w:p w:rsidR="00BB59CD" w:rsidRDefault="00BB59CD" w:rsidP="00BB59CD">
      <w:pPr>
        <w:rPr>
          <w:rtl/>
        </w:rPr>
      </w:pPr>
    </w:p>
    <w:p w:rsidR="00BB59CD" w:rsidRDefault="00BB59CD" w:rsidP="00396EB1">
      <w:pPr>
        <w:rPr>
          <w:rtl/>
        </w:rPr>
      </w:pPr>
      <w:bookmarkStart w:id="77329" w:name="_ETM_Q142_310000"/>
      <w:bookmarkEnd w:id="77329"/>
      <w:r>
        <w:rPr>
          <w:rFonts w:hint="cs"/>
          <w:rtl/>
        </w:rPr>
        <w:t xml:space="preserve">ואני רוצה </w:t>
      </w:r>
      <w:bookmarkStart w:id="77330" w:name="_ETM_Q142_311000"/>
      <w:bookmarkEnd w:id="77330"/>
      <w:r>
        <w:rPr>
          <w:rFonts w:hint="cs"/>
          <w:rtl/>
        </w:rPr>
        <w:t>לומר משהו לכל חברי</w:t>
      </w:r>
      <w:r w:rsidR="00396EB1">
        <w:rPr>
          <w:rFonts w:hint="cs"/>
          <w:rtl/>
        </w:rPr>
        <w:t>י</w:t>
      </w:r>
      <w:r>
        <w:rPr>
          <w:rFonts w:hint="cs"/>
          <w:rtl/>
        </w:rPr>
        <w:t xml:space="preserve"> במחלקת הדגים הקפואים: יש מצבים בחיים </w:t>
      </w:r>
      <w:bookmarkStart w:id="77331" w:name="_ETM_Q142_320000"/>
      <w:bookmarkEnd w:id="77331"/>
      <w:r>
        <w:rPr>
          <w:rFonts w:hint="cs"/>
          <w:rtl/>
        </w:rPr>
        <w:t>שאי</w:t>
      </w:r>
      <w:r w:rsidR="00396EB1">
        <w:rPr>
          <w:rFonts w:hint="cs"/>
          <w:rtl/>
        </w:rPr>
        <w:t>-</w:t>
      </w:r>
      <w:r>
        <w:rPr>
          <w:rFonts w:hint="cs"/>
          <w:rtl/>
        </w:rPr>
        <w:t xml:space="preserve">אפשר יותר לשבת ולא לומר דבר. יש נקודות קריטיות </w:t>
      </w:r>
      <w:bookmarkStart w:id="77332" w:name="_ETM_Q142_327000"/>
      <w:bookmarkEnd w:id="77332"/>
      <w:r>
        <w:rPr>
          <w:rFonts w:hint="cs"/>
          <w:rtl/>
        </w:rPr>
        <w:t>בחייו של אדם ששם נבחנת המנהיגות האמ</w:t>
      </w:r>
      <w:r w:rsidR="00396EB1">
        <w:rPr>
          <w:rFonts w:hint="cs"/>
          <w:rtl/>
        </w:rPr>
        <w:t>י</w:t>
      </w:r>
      <w:r>
        <w:rPr>
          <w:rFonts w:hint="cs"/>
          <w:rtl/>
        </w:rPr>
        <w:t xml:space="preserve">תית שלו. אם אתם </w:t>
      </w:r>
      <w:bookmarkStart w:id="77333" w:name="_ETM_Q142_332000"/>
      <w:bookmarkEnd w:id="77333"/>
      <w:r>
        <w:rPr>
          <w:rFonts w:hint="cs"/>
          <w:rtl/>
        </w:rPr>
        <w:t xml:space="preserve">יושבים בבית הזה ומחכים להוראה משר המשפטים, מיו"ר הקואליציה, מכל </w:t>
      </w:r>
      <w:bookmarkStart w:id="77334" w:name="_ETM_Q142_341000"/>
      <w:bookmarkEnd w:id="77334"/>
      <w:r>
        <w:rPr>
          <w:rFonts w:hint="cs"/>
          <w:rtl/>
        </w:rPr>
        <w:t xml:space="preserve">אחד שנותן את ההנחיות הללו, ואתם לא מסוגלים לומר: חבר'ה, </w:t>
      </w:r>
      <w:bookmarkStart w:id="77335" w:name="_ETM_Q142_348000"/>
      <w:bookmarkEnd w:id="77335"/>
      <w:r>
        <w:rPr>
          <w:rFonts w:hint="cs"/>
          <w:rtl/>
        </w:rPr>
        <w:t xml:space="preserve">המושב נגמר עוד שבוע, אנחנו לא נצביע היום, נחכה עוד </w:t>
      </w:r>
      <w:bookmarkStart w:id="77336" w:name="_ETM_Q142_353000"/>
      <w:bookmarkEnd w:id="77336"/>
      <w:r>
        <w:rPr>
          <w:rFonts w:hint="cs"/>
          <w:rtl/>
        </w:rPr>
        <w:t xml:space="preserve">שבוע וניתן זמן להידברות, זמן אמיתי להידברות – אז למה צריך </w:t>
      </w:r>
      <w:bookmarkStart w:id="77337" w:name="_ETM_Q142_359000"/>
      <w:bookmarkEnd w:id="77337"/>
      <w:r>
        <w:rPr>
          <w:rFonts w:hint="cs"/>
          <w:rtl/>
        </w:rPr>
        <w:t xml:space="preserve">אתכם? למה צריך את כל הכיסאות הללו פה? שישבו פה </w:t>
      </w:r>
      <w:bookmarkStart w:id="77338" w:name="_ETM_Q142_363000"/>
      <w:bookmarkEnd w:id="77338"/>
      <w:r>
        <w:rPr>
          <w:rFonts w:hint="cs"/>
          <w:rtl/>
        </w:rPr>
        <w:t xml:space="preserve">ארבעה אנשים וינהלו את המדינה. כי אם באמת אתם רואים </w:t>
      </w:r>
      <w:bookmarkStart w:id="77339" w:name="_ETM_Q142_371000"/>
      <w:bookmarkEnd w:id="77339"/>
      <w:r>
        <w:rPr>
          <w:rFonts w:hint="cs"/>
          <w:rtl/>
        </w:rPr>
        <w:t xml:space="preserve">את עצמכם כמנהיגים, תשתחררו מהעדר. אל תשתלבו, תובילו. תובילו. </w:t>
      </w:r>
      <w:bookmarkStart w:id="77340" w:name="_ETM_Q142_378000"/>
      <w:bookmarkEnd w:id="77340"/>
      <w:r>
        <w:rPr>
          <w:rFonts w:hint="cs"/>
          <w:rtl/>
        </w:rPr>
        <w:t xml:space="preserve">צריך ארבעה אמיצים שיקומו היום ויאמרו לראש הממשלה נתניהו ולראש </w:t>
      </w:r>
      <w:bookmarkStart w:id="77341" w:name="_ETM_Q142_387000"/>
      <w:bookmarkEnd w:id="77341"/>
      <w:r>
        <w:rPr>
          <w:rFonts w:hint="cs"/>
          <w:rtl/>
        </w:rPr>
        <w:t xml:space="preserve">הממשלה האמיתי שר המשפטים ולראש הממשלה השני שמחה רוטמן ולכל </w:t>
      </w:r>
      <w:bookmarkStart w:id="77342" w:name="_ETM_Q142_392000"/>
      <w:bookmarkEnd w:id="77342"/>
      <w:r>
        <w:rPr>
          <w:rFonts w:hint="cs"/>
          <w:rtl/>
        </w:rPr>
        <w:t xml:space="preserve">ראשי הממשלה, אותם ארבעה אנשים שמנהלים את המדינה הזאת: לא </w:t>
      </w:r>
      <w:bookmarkStart w:id="77343" w:name="_ETM_Q142_393000"/>
      <w:bookmarkEnd w:id="77343"/>
      <w:r>
        <w:rPr>
          <w:rFonts w:hint="cs"/>
          <w:rtl/>
        </w:rPr>
        <w:t xml:space="preserve">עוד. </w:t>
      </w:r>
    </w:p>
    <w:p w:rsidR="00BB59CD" w:rsidRDefault="00BB59CD" w:rsidP="00BB59CD">
      <w:pPr>
        <w:rPr>
          <w:rtl/>
        </w:rPr>
      </w:pPr>
      <w:bookmarkStart w:id="77344" w:name="_ETM_Q142_402000"/>
      <w:bookmarkEnd w:id="77344"/>
    </w:p>
    <w:p w:rsidR="00BB59CD" w:rsidRDefault="00BB59CD" w:rsidP="00BB59CD">
      <w:pPr>
        <w:rPr>
          <w:rtl/>
        </w:rPr>
      </w:pPr>
      <w:bookmarkStart w:id="77345" w:name="_ETM_Q142_403000"/>
      <w:bookmarkEnd w:id="77345"/>
      <w:r>
        <w:rPr>
          <w:rFonts w:hint="cs"/>
          <w:rtl/>
        </w:rPr>
        <w:t xml:space="preserve">ותקשיבו לקולו של שר הביטחון. שר הביטחון יודע ורואה </w:t>
      </w:r>
      <w:bookmarkStart w:id="77346" w:name="_ETM_Q142_405000"/>
      <w:bookmarkEnd w:id="77346"/>
      <w:r>
        <w:rPr>
          <w:rFonts w:hint="cs"/>
          <w:rtl/>
        </w:rPr>
        <w:t xml:space="preserve">את התמונה האמיתית של מדינת ישראל. כרגע מדינות אויב </w:t>
      </w:r>
      <w:bookmarkStart w:id="77347" w:name="_ETM_Q142_412000"/>
      <w:bookmarkEnd w:id="77347"/>
      <w:r>
        <w:rPr>
          <w:rFonts w:hint="cs"/>
          <w:rtl/>
        </w:rPr>
        <w:t xml:space="preserve">מתדרכות את המנהיגים שלהן נגד מדינת ישראל, והתדרוך הוא פשוט: </w:t>
      </w:r>
      <w:bookmarkStart w:id="77348" w:name="_ETM_Q142_421000"/>
      <w:bookmarkEnd w:id="77348"/>
      <w:r>
        <w:rPr>
          <w:rFonts w:hint="cs"/>
          <w:rtl/>
        </w:rPr>
        <w:t xml:space="preserve">אל תעשו כלום, הם גומרים את עצמם לבד. לא היינו </w:t>
      </w:r>
      <w:bookmarkStart w:id="77349" w:name="_ETM_Q142_426000"/>
      <w:bookmarkEnd w:id="77349"/>
      <w:r>
        <w:rPr>
          <w:rFonts w:hint="cs"/>
          <w:rtl/>
        </w:rPr>
        <w:t xml:space="preserve">יכולים להגיע למצב הזה בחיים, בשום דרך. ואנחנו רואים שמי </w:t>
      </w:r>
      <w:bookmarkStart w:id="77350" w:name="_ETM_Q142_431000"/>
      <w:bookmarkEnd w:id="77350"/>
      <w:r>
        <w:rPr>
          <w:rFonts w:hint="cs"/>
          <w:rtl/>
        </w:rPr>
        <w:t xml:space="preserve">שמקבל פתאום ביטחון מהצפון, שמעולם לא הייתה תעוזה גדולה יותר </w:t>
      </w:r>
      <w:bookmarkStart w:id="77351" w:name="_ETM_Q142_438000"/>
      <w:bookmarkEnd w:id="77351"/>
      <w:r>
        <w:rPr>
          <w:rFonts w:hint="cs"/>
          <w:rtl/>
        </w:rPr>
        <w:t xml:space="preserve">בצפון, מרשה לעצמו. ובכל המקומות שבעייתיים למדינת ישראל פשוט מחכים </w:t>
      </w:r>
      <w:bookmarkStart w:id="77352" w:name="_ETM_Q142_446000"/>
      <w:bookmarkEnd w:id="77352"/>
      <w:r>
        <w:rPr>
          <w:rFonts w:hint="cs"/>
          <w:rtl/>
        </w:rPr>
        <w:t>לראות מה יקרה פה.</w:t>
      </w:r>
    </w:p>
    <w:p w:rsidR="00BB59CD" w:rsidRDefault="00BB59CD" w:rsidP="00BB59CD">
      <w:pPr>
        <w:rPr>
          <w:rtl/>
        </w:rPr>
      </w:pPr>
    </w:p>
    <w:p w:rsidR="00BB59CD" w:rsidRDefault="00BB59CD" w:rsidP="00BB59CD">
      <w:pPr>
        <w:rPr>
          <w:rtl/>
        </w:rPr>
      </w:pPr>
      <w:bookmarkStart w:id="77353" w:name="_ETM_Q142_448000"/>
      <w:bookmarkEnd w:id="77353"/>
      <w:r>
        <w:rPr>
          <w:rFonts w:hint="cs"/>
          <w:rtl/>
        </w:rPr>
        <w:t xml:space="preserve">ואני רוצה לספר לכם עוד סוד: בזמן </w:t>
      </w:r>
      <w:bookmarkStart w:id="77354" w:name="_ETM_Q142_450000"/>
      <w:bookmarkEnd w:id="77354"/>
      <w:r>
        <w:rPr>
          <w:rFonts w:hint="cs"/>
          <w:rtl/>
        </w:rPr>
        <w:t xml:space="preserve">שאנחנו מפרקים את המדינה הזאת מבפנים והורסים </w:t>
      </w:r>
      <w:bookmarkStart w:id="77355" w:name="_ETM_Q142_454000"/>
      <w:bookmarkEnd w:id="77355"/>
      <w:r>
        <w:rPr>
          <w:rFonts w:hint="cs"/>
          <w:rtl/>
        </w:rPr>
        <w:t xml:space="preserve">את הכלכלה והורסים את יחסי החוץ והורסים את החברה הישראלית </w:t>
      </w:r>
      <w:bookmarkStart w:id="77356" w:name="_ETM_Q142_460000"/>
      <w:bookmarkEnd w:id="77356"/>
      <w:r>
        <w:rPr>
          <w:rFonts w:hint="cs"/>
          <w:rtl/>
        </w:rPr>
        <w:t xml:space="preserve">ואת המפעל הנפלא הזה שנקרא צה"ל, פרויקט הגרעין לא עוצר. </w:t>
      </w:r>
      <w:bookmarkStart w:id="77357" w:name="_ETM_Q142_469000"/>
      <w:bookmarkEnd w:id="77357"/>
      <w:r>
        <w:rPr>
          <w:rFonts w:hint="cs"/>
          <w:rtl/>
        </w:rPr>
        <w:t xml:space="preserve">אויבינו לא לקחו הפסקה. להפך, הם עובדים יותר קשה </w:t>
      </w:r>
      <w:bookmarkStart w:id="77358" w:name="_ETM_Q142_476000"/>
      <w:bookmarkEnd w:id="77358"/>
      <w:r>
        <w:rPr>
          <w:rFonts w:hint="cs"/>
          <w:rtl/>
        </w:rPr>
        <w:t xml:space="preserve">והם מבינים בדיוק מה קורה במדינת ישראל. ואת זה מבין </w:t>
      </w:r>
      <w:bookmarkStart w:id="77359" w:name="_ETM_Q142_482000"/>
      <w:bookmarkEnd w:id="77359"/>
      <w:r>
        <w:rPr>
          <w:rFonts w:hint="cs"/>
          <w:rtl/>
        </w:rPr>
        <w:t xml:space="preserve">שר הביטחון, ואני בטוח שאת זה מבין ראש הממשלה, ואני </w:t>
      </w:r>
      <w:bookmarkStart w:id="77360" w:name="_ETM_Q142_487000"/>
      <w:bookmarkEnd w:id="77360"/>
      <w:r>
        <w:rPr>
          <w:rFonts w:hint="cs"/>
          <w:rtl/>
        </w:rPr>
        <w:t xml:space="preserve">רוצה באמת לקוות שאת זה יבינו שאר חברי </w:t>
      </w:r>
      <w:bookmarkStart w:id="77361" w:name="_ETM_Q142_492000"/>
      <w:bookmarkEnd w:id="77361"/>
      <w:r>
        <w:rPr>
          <w:rFonts w:hint="cs"/>
          <w:rtl/>
        </w:rPr>
        <w:t xml:space="preserve">הכנסת שנמצאים פה, כי בסופו של דבר צריך מספר מאוד מאוד מצומצם </w:t>
      </w:r>
      <w:bookmarkStart w:id="77362" w:name="_ETM_Q142_503000"/>
      <w:bookmarkEnd w:id="77362"/>
      <w:r>
        <w:rPr>
          <w:rFonts w:hint="cs"/>
          <w:rtl/>
        </w:rPr>
        <w:t>של מנהיגים מהצד הזה – שהעם לעולם לא ישכח. צריך לגנו</w:t>
      </w:r>
      <w:bookmarkStart w:id="77363" w:name="_ETM_Q142_510000"/>
      <w:bookmarkEnd w:id="77363"/>
      <w:r>
        <w:rPr>
          <w:rFonts w:hint="cs"/>
          <w:rtl/>
        </w:rPr>
        <w:t xml:space="preserve">ז את חוקי ההפיכה האלה, צריך לחזור ולעבוד עבור הציבור </w:t>
      </w:r>
      <w:bookmarkStart w:id="77364" w:name="_ETM_Q142_518000"/>
      <w:bookmarkEnd w:id="77364"/>
      <w:r>
        <w:rPr>
          <w:rFonts w:hint="cs"/>
          <w:rtl/>
        </w:rPr>
        <w:t xml:space="preserve">במדינת ישראל. צריך לחזור ולדבר על יוקר המחיה, שמשום מה </w:t>
      </w:r>
      <w:bookmarkStart w:id="77365" w:name="_ETM_Q142_524000"/>
      <w:bookmarkEnd w:id="77365"/>
      <w:r>
        <w:rPr>
          <w:rFonts w:hint="cs"/>
          <w:rtl/>
        </w:rPr>
        <w:t xml:space="preserve">שכחנו לדבר עליו. צריך לחזור ולדבר על הגרעין האיראני, ששכחנו </w:t>
      </w:r>
      <w:bookmarkStart w:id="77366" w:name="_ETM_Q142_528000"/>
      <w:bookmarkEnd w:id="77366"/>
      <w:r>
        <w:rPr>
          <w:rFonts w:hint="cs"/>
          <w:rtl/>
        </w:rPr>
        <w:t xml:space="preserve">לדבר עליו. צריך לחזור ולדבר על הזוגות הצעירים, שכולם שכחו </w:t>
      </w:r>
      <w:bookmarkStart w:id="77367" w:name="_ETM_Q142_538000"/>
      <w:bookmarkEnd w:id="77367"/>
      <w:r>
        <w:rPr>
          <w:rFonts w:hint="cs"/>
          <w:rtl/>
        </w:rPr>
        <w:t xml:space="preserve">מהם. צריך לחזור ולדבר על מערכת החינוך במדינת ישראל, שבתוך </w:t>
      </w:r>
      <w:bookmarkStart w:id="77368" w:name="_ETM_Q142_543000"/>
      <w:bookmarkEnd w:id="77368"/>
      <w:r>
        <w:rPr>
          <w:rFonts w:hint="cs"/>
          <w:rtl/>
        </w:rPr>
        <w:t xml:space="preserve">כל הכאוס והבלגן נגמרת לחלוטין. מישהו בבית הזה יודע שתלמידים </w:t>
      </w:r>
      <w:bookmarkStart w:id="77369" w:name="_ETM_Q142_550000"/>
      <w:bookmarkEnd w:id="77369"/>
      <w:r>
        <w:rPr>
          <w:rFonts w:hint="cs"/>
          <w:rtl/>
        </w:rPr>
        <w:t xml:space="preserve">במדינת ישראל סיימו תיכון ולא קיבלו ציונים? מישהו יודע שלא </w:t>
      </w:r>
      <w:bookmarkStart w:id="77370" w:name="_ETM_Q142_552000"/>
      <w:bookmarkEnd w:id="77370"/>
      <w:r>
        <w:rPr>
          <w:rFonts w:hint="cs"/>
          <w:rtl/>
        </w:rPr>
        <w:t xml:space="preserve">בטוח אם מערכת החינוך בכלל נפתחת? מישהו יודע מה קורה </w:t>
      </w:r>
      <w:bookmarkStart w:id="77371" w:name="_ETM_Q142_561000"/>
      <w:bookmarkEnd w:id="77371"/>
      <w:r>
        <w:rPr>
          <w:rFonts w:hint="cs"/>
          <w:rtl/>
        </w:rPr>
        <w:t>בגיל הרך? מישהו מבין איזה בלגן אטומי קורה בכל תחום</w:t>
      </w:r>
      <w:bookmarkStart w:id="77372" w:name="_ETM_Q142_568000"/>
      <w:bookmarkEnd w:id="77372"/>
      <w:r>
        <w:rPr>
          <w:rFonts w:hint="cs"/>
          <w:rtl/>
        </w:rPr>
        <w:t xml:space="preserve"> במדינת ישראל?</w:t>
      </w:r>
    </w:p>
    <w:p w:rsidR="00BB59CD" w:rsidRDefault="00BB59CD" w:rsidP="00BB59CD">
      <w:pPr>
        <w:rPr>
          <w:rtl/>
        </w:rPr>
      </w:pPr>
    </w:p>
    <w:p w:rsidR="00BB59CD" w:rsidRDefault="00BB59CD" w:rsidP="00396EB1">
      <w:pPr>
        <w:rPr>
          <w:rtl/>
        </w:rPr>
      </w:pPr>
      <w:bookmarkStart w:id="77373" w:name="_ETM_Q142_570000"/>
      <w:bookmarkEnd w:id="77373"/>
      <w:r>
        <w:rPr>
          <w:rFonts w:hint="cs"/>
          <w:rtl/>
        </w:rPr>
        <w:t xml:space="preserve">ואני באמת מפנה את השאלה הזו לכל הנוכחים בבית </w:t>
      </w:r>
      <w:bookmarkStart w:id="77374" w:name="_ETM_Q142_576000"/>
      <w:bookmarkEnd w:id="77374"/>
      <w:r>
        <w:rPr>
          <w:rFonts w:hint="cs"/>
          <w:rtl/>
        </w:rPr>
        <w:t xml:space="preserve">הזה, שכרגע אולי, אני מקווה שיש להם קצת יושרה פנימית </w:t>
      </w:r>
      <w:bookmarkStart w:id="77375" w:name="_ETM_Q142_582000"/>
      <w:bookmarkEnd w:id="77375"/>
      <w:r>
        <w:rPr>
          <w:rFonts w:hint="cs"/>
          <w:rtl/>
        </w:rPr>
        <w:t xml:space="preserve">והם נלחמים בינם לבין עצמם מה נעשה. כי מחר </w:t>
      </w:r>
      <w:bookmarkStart w:id="77376" w:name="_ETM_Q142_589000"/>
      <w:bookmarkEnd w:id="77376"/>
      <w:r>
        <w:rPr>
          <w:rFonts w:hint="cs"/>
          <w:rtl/>
        </w:rPr>
        <w:t xml:space="preserve">בבוקר, אם תעבירו את החקיקה הזו, לאן נגיע? מה עוד </w:t>
      </w:r>
      <w:bookmarkStart w:id="77377" w:name="_ETM_Q142_594000"/>
      <w:bookmarkEnd w:id="77377"/>
      <w:r>
        <w:rPr>
          <w:rFonts w:hint="cs"/>
          <w:rtl/>
        </w:rPr>
        <w:t xml:space="preserve">יקרה? היום כל החברות הגדולות </w:t>
      </w:r>
      <w:bookmarkStart w:id="77378" w:name="_ETM_Q142_591000"/>
      <w:bookmarkEnd w:id="77378"/>
      <w:r>
        <w:rPr>
          <w:rFonts w:hint="cs"/>
          <w:rtl/>
        </w:rPr>
        <w:t xml:space="preserve">במשק שובתות. כל המערכות הרציניות של מדינת ישראל מושבתות. והדבר </w:t>
      </w:r>
      <w:bookmarkStart w:id="77379" w:name="_ETM_Q142_603000"/>
      <w:bookmarkEnd w:id="77379"/>
      <w:r>
        <w:rPr>
          <w:rFonts w:hint="cs"/>
          <w:rtl/>
        </w:rPr>
        <w:t xml:space="preserve">היחיד שאני שומע מהקואליציה הזו שהם עשו טוב – הם מתגאים </w:t>
      </w:r>
      <w:bookmarkStart w:id="77380" w:name="_ETM_Q142_609000"/>
      <w:bookmarkEnd w:id="77380"/>
      <w:r>
        <w:rPr>
          <w:rFonts w:hint="cs"/>
          <w:rtl/>
        </w:rPr>
        <w:t xml:space="preserve">בשר אחד, השר משה ארבל, שפתר את משבר הדרכונים. שאפו. </w:t>
      </w:r>
      <w:bookmarkStart w:id="77381" w:name="_ETM_Q142_613000"/>
      <w:bookmarkEnd w:id="77381"/>
      <w:r>
        <w:rPr>
          <w:rFonts w:hint="cs"/>
          <w:rtl/>
        </w:rPr>
        <w:t xml:space="preserve">שר הפנים – אחד עובד פה. כל שאר השרים במדינת </w:t>
      </w:r>
      <w:bookmarkStart w:id="77382" w:name="_ETM_Q142_614000"/>
      <w:bookmarkEnd w:id="77382"/>
      <w:r>
        <w:rPr>
          <w:rFonts w:hint="cs"/>
          <w:rtl/>
        </w:rPr>
        <w:t>ישראל, מה אתם עושים? מחכים למדפסת?</w:t>
      </w:r>
    </w:p>
    <w:p w:rsidR="00BB59CD" w:rsidRDefault="00BB59CD" w:rsidP="00BB59CD">
      <w:pPr>
        <w:rPr>
          <w:rtl/>
        </w:rPr>
      </w:pPr>
    </w:p>
    <w:p w:rsidR="00BB59CD" w:rsidRDefault="00BB59CD" w:rsidP="00BB59CD">
      <w:pPr>
        <w:pStyle w:val="af8"/>
        <w:keepNext/>
        <w:rPr>
          <w:rtl/>
        </w:rPr>
      </w:pPr>
      <w:bookmarkStart w:id="77383" w:name="ET_interruption_קריאה_2"/>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7383"/>
    </w:p>
    <w:p w:rsidR="00BB59CD" w:rsidRDefault="00BB59CD" w:rsidP="00337201">
      <w:pPr>
        <w:rPr>
          <w:rtl/>
        </w:rPr>
      </w:pPr>
    </w:p>
    <w:p w:rsidR="00BB59CD" w:rsidRDefault="00BB59CD" w:rsidP="00BB59CD">
      <w:pPr>
        <w:rPr>
          <w:rtl/>
        </w:rPr>
      </w:pPr>
      <w:bookmarkStart w:id="77384" w:name="_ETM_Q142_617000"/>
      <w:bookmarkEnd w:id="77384"/>
      <w:r>
        <w:rPr>
          <w:rFonts w:hint="cs"/>
          <w:rtl/>
        </w:rPr>
        <w:t>- - -</w:t>
      </w:r>
    </w:p>
    <w:p w:rsidR="00BB59CD" w:rsidRDefault="00BB59CD" w:rsidP="00BB59CD">
      <w:pPr>
        <w:rPr>
          <w:rtl/>
        </w:rPr>
      </w:pPr>
    </w:p>
    <w:p w:rsidR="00BB59CD" w:rsidRDefault="00BB59CD" w:rsidP="00BB59CD">
      <w:pPr>
        <w:pStyle w:val="-"/>
        <w:keepNext/>
        <w:rPr>
          <w:rtl/>
        </w:rPr>
      </w:pPr>
      <w:bookmarkStart w:id="77385" w:name="ET_speakercontinue_6151_3"/>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77385"/>
    </w:p>
    <w:p w:rsidR="00BB59CD" w:rsidRDefault="00BB59CD" w:rsidP="00337201">
      <w:pPr>
        <w:rPr>
          <w:rtl/>
        </w:rPr>
      </w:pPr>
    </w:p>
    <w:p w:rsidR="00BB59CD" w:rsidRDefault="00BB59CD" w:rsidP="00BB59CD">
      <w:pPr>
        <w:rPr>
          <w:rtl/>
        </w:rPr>
      </w:pPr>
      <w:bookmarkStart w:id="77386" w:name="_ETM_Q142_623000"/>
      <w:bookmarkEnd w:id="77386"/>
      <w:r>
        <w:rPr>
          <w:rFonts w:hint="cs"/>
          <w:rtl/>
        </w:rPr>
        <w:t xml:space="preserve">שר העבודה, </w:t>
      </w:r>
      <w:bookmarkStart w:id="77387" w:name="_ETM_Q142_621000"/>
      <w:bookmarkEnd w:id="77387"/>
      <w:r>
        <w:rPr>
          <w:rFonts w:hint="cs"/>
          <w:rtl/>
        </w:rPr>
        <w:t xml:space="preserve">אני מתנצל. אני לא עקבתי אחרי מה שאתה עושה, אני </w:t>
      </w:r>
      <w:bookmarkStart w:id="77388" w:name="_ETM_Q142_624000"/>
      <w:bookmarkEnd w:id="77388"/>
      <w:r>
        <w:rPr>
          <w:rFonts w:hint="cs"/>
          <w:rtl/>
        </w:rPr>
        <w:t>בטוח שיש לך הרבה עבודה עם ההתנהלות של הממשלה הזו.</w:t>
      </w:r>
    </w:p>
    <w:p w:rsidR="00BB59CD" w:rsidRDefault="00BB59CD" w:rsidP="00BB59CD">
      <w:pPr>
        <w:rPr>
          <w:rtl/>
        </w:rPr>
      </w:pPr>
    </w:p>
    <w:p w:rsidR="00BB59CD" w:rsidRDefault="00BB59CD" w:rsidP="00396EB1">
      <w:pPr>
        <w:rPr>
          <w:rtl/>
        </w:rPr>
      </w:pPr>
      <w:bookmarkStart w:id="77389" w:name="_ETM_Q142_631000"/>
      <w:bookmarkEnd w:id="77389"/>
      <w:r>
        <w:rPr>
          <w:rFonts w:hint="cs"/>
          <w:rtl/>
        </w:rPr>
        <w:t xml:space="preserve">ואני רוצה לשאול באמת את השרים שיושבים סביב השולחן </w:t>
      </w:r>
      <w:bookmarkStart w:id="77390" w:name="_ETM_Q142_633000"/>
      <w:bookmarkEnd w:id="77390"/>
      <w:r>
        <w:rPr>
          <w:rFonts w:hint="cs"/>
          <w:rtl/>
        </w:rPr>
        <w:t xml:space="preserve">הזה, האחד מתעסק באיך לעזור לערוץ 14, השנייה מתעסקת באיך </w:t>
      </w:r>
      <w:bookmarkStart w:id="77391" w:name="_ETM_Q142_638000"/>
      <w:bookmarkEnd w:id="77391"/>
      <w:r>
        <w:rPr>
          <w:rFonts w:hint="cs"/>
          <w:rtl/>
        </w:rPr>
        <w:t xml:space="preserve">לעשות הסברה – לא לעולם אלא הסברה בתוך מדינת ישראל, נגד </w:t>
      </w:r>
      <w:bookmarkStart w:id="77392" w:name="_ETM_Q142_650000"/>
      <w:bookmarkEnd w:id="77392"/>
      <w:r>
        <w:rPr>
          <w:rFonts w:hint="cs"/>
          <w:rtl/>
        </w:rPr>
        <w:t xml:space="preserve">מדינת ישראל. השאר, אני לא יודע מה הם עושים כי פשוט לא שומעים אותם, אבל אני יודע שיש שם כמה </w:t>
      </w:r>
      <w:bookmarkStart w:id="77393" w:name="_ETM_Q142_654000"/>
      <w:bookmarkEnd w:id="77393"/>
      <w:r>
        <w:rPr>
          <w:rFonts w:hint="cs"/>
          <w:rtl/>
        </w:rPr>
        <w:t xml:space="preserve">אנשים רציניים. </w:t>
      </w:r>
      <w:bookmarkStart w:id="77394" w:name="_ETM_Q142_659000"/>
      <w:bookmarkEnd w:id="77394"/>
      <w:r>
        <w:rPr>
          <w:rFonts w:hint="cs"/>
          <w:rtl/>
        </w:rPr>
        <w:t xml:space="preserve">אז אני רוצה באמת לשאול את שר הביטחון </w:t>
      </w:r>
      <w:bookmarkStart w:id="77395" w:name="_ETM_Q142_657000"/>
      <w:bookmarkEnd w:id="77395"/>
      <w:r>
        <w:rPr>
          <w:rFonts w:hint="cs"/>
          <w:rtl/>
        </w:rPr>
        <w:t xml:space="preserve">גלנט: מה אתה הולך לעשות היום? את שר החוץ אלי </w:t>
      </w:r>
      <w:bookmarkStart w:id="77396" w:name="_ETM_Q142_664000"/>
      <w:bookmarkEnd w:id="77396"/>
      <w:r>
        <w:rPr>
          <w:rFonts w:hint="cs"/>
          <w:rtl/>
        </w:rPr>
        <w:t xml:space="preserve">כהן – מה אתה הולך לעשות היום? את שר האנרגיה </w:t>
      </w:r>
      <w:bookmarkStart w:id="77397" w:name="_ETM_Q142_665000"/>
      <w:bookmarkEnd w:id="77397"/>
      <w:r>
        <w:rPr>
          <w:rFonts w:hint="cs"/>
          <w:rtl/>
        </w:rPr>
        <w:t xml:space="preserve">ישראל כץ, שאני מכיר את השאיפות, מה אתה הולך </w:t>
      </w:r>
      <w:bookmarkStart w:id="77398" w:name="_ETM_Q142_671000"/>
      <w:bookmarkEnd w:id="77398"/>
      <w:r>
        <w:rPr>
          <w:rFonts w:hint="cs"/>
          <w:rtl/>
        </w:rPr>
        <w:t xml:space="preserve">לעשות היום? את ראש השב"כ לשעבר אבי דיכטר – מה </w:t>
      </w:r>
      <w:bookmarkStart w:id="77399" w:name="_ETM_Q142_676000"/>
      <w:bookmarkEnd w:id="77399"/>
      <w:r>
        <w:rPr>
          <w:rFonts w:hint="cs"/>
          <w:rtl/>
        </w:rPr>
        <w:t xml:space="preserve">אתה הולך לעשות היום? את שרת המודיעין, שרואה את כל </w:t>
      </w:r>
      <w:bookmarkStart w:id="77400" w:name="_ETM_Q142_681000"/>
      <w:bookmarkEnd w:id="77400"/>
      <w:r>
        <w:rPr>
          <w:rFonts w:hint="cs"/>
          <w:rtl/>
        </w:rPr>
        <w:t>התמונה העגומה שהממשלה הזאת מביאה על מדינת ישראל</w:t>
      </w:r>
      <w:bookmarkStart w:id="77401" w:name="_ETM_Q142_685000"/>
      <w:bookmarkEnd w:id="77401"/>
      <w:r>
        <w:rPr>
          <w:rFonts w:hint="cs"/>
          <w:rtl/>
        </w:rPr>
        <w:t xml:space="preserve"> – גילה, מה את הולכת לעשות היום?</w:t>
      </w:r>
      <w:bookmarkStart w:id="77402" w:name="_ETM_Q142_692000"/>
      <w:bookmarkEnd w:id="77402"/>
      <w:r>
        <w:rPr>
          <w:rFonts w:hint="cs"/>
          <w:rtl/>
        </w:rPr>
        <w:t xml:space="preserve"> אני מאוד</w:t>
      </w:r>
      <w:r w:rsidR="00396EB1">
        <w:rPr>
          <w:rFonts w:hint="cs"/>
          <w:rtl/>
        </w:rPr>
        <w:t xml:space="preserve"> </w:t>
      </w:r>
      <w:r>
        <w:rPr>
          <w:rFonts w:hint="cs"/>
          <w:rtl/>
        </w:rPr>
        <w:t xml:space="preserve">מאוד מקווה </w:t>
      </w:r>
      <w:bookmarkStart w:id="77403" w:name="_ETM_Q142_694000"/>
      <w:bookmarkEnd w:id="77403"/>
      <w:r>
        <w:rPr>
          <w:rFonts w:hint="cs"/>
          <w:rtl/>
        </w:rPr>
        <w:t xml:space="preserve">שעם השנים גידלתם גם עמוד שדרה, כי אני לא מצפה </w:t>
      </w:r>
      <w:bookmarkStart w:id="77404" w:name="_ETM_Q142_693000"/>
      <w:bookmarkEnd w:id="77404"/>
      <w:r>
        <w:rPr>
          <w:rFonts w:hint="cs"/>
          <w:rtl/>
        </w:rPr>
        <w:t xml:space="preserve">לזה ממפלגות אחרות, שלא מבינות את החשיבות בגיוס </w:t>
      </w:r>
      <w:bookmarkStart w:id="77405" w:name="_ETM_Q142_705000"/>
      <w:bookmarkEnd w:id="77405"/>
      <w:r>
        <w:rPr>
          <w:rFonts w:hint="cs"/>
          <w:rtl/>
        </w:rPr>
        <w:t>לצבא, הן לא רואות בזה צורך</w:t>
      </w:r>
      <w:r w:rsidR="00396EB1">
        <w:rPr>
          <w:rFonts w:hint="cs"/>
          <w:rtl/>
        </w:rPr>
        <w:t>;</w:t>
      </w:r>
      <w:r>
        <w:rPr>
          <w:rFonts w:hint="cs"/>
          <w:rtl/>
        </w:rPr>
        <w:t xml:space="preserve"> הם חושבים שהם יכולים </w:t>
      </w:r>
      <w:bookmarkStart w:id="77406" w:name="_ETM_Q142_711000"/>
      <w:bookmarkEnd w:id="77406"/>
      <w:r>
        <w:rPr>
          <w:rFonts w:hint="cs"/>
          <w:rtl/>
        </w:rPr>
        <w:t xml:space="preserve">לעשות דברים אחרים שיגנו על מדינת ישראל, ואני לא מזלזל </w:t>
      </w:r>
      <w:bookmarkStart w:id="77407" w:name="_ETM_Q142_713000"/>
      <w:bookmarkEnd w:id="77407"/>
      <w:r>
        <w:rPr>
          <w:rFonts w:hint="cs"/>
          <w:rtl/>
        </w:rPr>
        <w:t xml:space="preserve">בזה, אבל אי-אפשר ש-20% מהציבור ישלטו בשאר העם. </w:t>
      </w:r>
    </w:p>
    <w:p w:rsidR="00BB59CD" w:rsidRDefault="00BB59CD" w:rsidP="00BB59CD">
      <w:pPr>
        <w:rPr>
          <w:rtl/>
        </w:rPr>
      </w:pPr>
    </w:p>
    <w:p w:rsidR="00BB59CD" w:rsidRDefault="00BB59CD" w:rsidP="00BB59CD">
      <w:pPr>
        <w:rPr>
          <w:rtl/>
        </w:rPr>
      </w:pPr>
      <w:bookmarkStart w:id="77408" w:name="_ETM_Q142_725000"/>
      <w:bookmarkEnd w:id="77408"/>
      <w:r>
        <w:rPr>
          <w:rFonts w:hint="cs"/>
          <w:rtl/>
        </w:rPr>
        <w:t xml:space="preserve">תסתכלו </w:t>
      </w:r>
      <w:bookmarkStart w:id="77409" w:name="_ETM_Q142_726000"/>
      <w:bookmarkEnd w:id="77409"/>
      <w:r>
        <w:rPr>
          <w:rFonts w:hint="cs"/>
          <w:rtl/>
        </w:rPr>
        <w:t xml:space="preserve">על הכיסאות האלה פה, עכשיו. תראו את הכיסאות הריקים האלה </w:t>
      </w:r>
      <w:bookmarkStart w:id="77410" w:name="_ETM_Q142_731000"/>
      <w:bookmarkEnd w:id="77410"/>
      <w:r>
        <w:rPr>
          <w:rFonts w:hint="cs"/>
          <w:rtl/>
        </w:rPr>
        <w:t>פה, עכשיו, בשעה 9:40, הם עדיין לא התעוררו</w:t>
      </w:r>
      <w:bookmarkStart w:id="77411" w:name="_ETM_Q142_738000"/>
      <w:bookmarkEnd w:id="77411"/>
      <w:r>
        <w:rPr>
          <w:rFonts w:hint="cs"/>
          <w:rtl/>
        </w:rPr>
        <w:t xml:space="preserve"> ולא מספיק חשוב להיות פה, ותשאלו אותם. תשאלו אותם: </w:t>
      </w:r>
      <w:bookmarkStart w:id="77412" w:name="_ETM_Q142_747000"/>
      <w:bookmarkEnd w:id="77412"/>
      <w:r>
        <w:rPr>
          <w:rFonts w:hint="cs"/>
          <w:rtl/>
        </w:rPr>
        <w:t>איפה אתם? איפה אתם?</w:t>
      </w:r>
    </w:p>
    <w:p w:rsidR="00BB59CD" w:rsidRDefault="00BB59CD" w:rsidP="00BB59CD">
      <w:pPr>
        <w:rPr>
          <w:rtl/>
        </w:rPr>
      </w:pPr>
    </w:p>
    <w:p w:rsidR="00BB59CD" w:rsidRDefault="00BB59CD" w:rsidP="00BB59CD">
      <w:pPr>
        <w:rPr>
          <w:rtl/>
        </w:rPr>
      </w:pPr>
      <w:bookmarkStart w:id="77413" w:name="_ETM_Q142_753000"/>
      <w:bookmarkEnd w:id="77413"/>
      <w:r>
        <w:rPr>
          <w:rFonts w:hint="cs"/>
          <w:rtl/>
        </w:rPr>
        <w:t xml:space="preserve">אני מבטיח שאני אשאל את אותה שאלה, </w:t>
      </w:r>
      <w:bookmarkStart w:id="77414" w:name="_ETM_Q142_757000"/>
      <w:bookmarkEnd w:id="77414"/>
      <w:r>
        <w:rPr>
          <w:rFonts w:hint="cs"/>
          <w:rtl/>
        </w:rPr>
        <w:t>ואנחנו נמשיך עד הרגע האחרון לנסות ולמצוא איזושהי דרך</w:t>
      </w:r>
      <w:bookmarkStart w:id="77415" w:name="_ETM_Q142_764000"/>
      <w:bookmarkEnd w:id="77415"/>
      <w:r>
        <w:rPr>
          <w:rFonts w:hint="cs"/>
          <w:rtl/>
        </w:rPr>
        <w:t xml:space="preserve"> שבה העם הזה יוכל לשרוד גם אחרי הצום.</w:t>
      </w:r>
      <w:bookmarkStart w:id="77416" w:name="_ETM_Q142_774000"/>
      <w:bookmarkStart w:id="77417" w:name="TOR_Q143"/>
      <w:bookmarkEnd w:id="77416"/>
      <w:bookmarkEnd w:id="77417"/>
      <w:r>
        <w:rPr>
          <w:rFonts w:hint="cs"/>
          <w:rtl/>
        </w:rPr>
        <w:t xml:space="preserve"> ואני מאוד מקווה, מאוד מאוד מקווה, שממש עכשיו בחדרים מקבילים פה מנסים למצוא פתרונות </w:t>
      </w:r>
      <w:bookmarkStart w:id="77418" w:name="_ETM_Q143_177294"/>
      <w:bookmarkEnd w:id="77418"/>
      <w:r>
        <w:rPr>
          <w:rFonts w:hint="cs"/>
          <w:rtl/>
        </w:rPr>
        <w:t>אמיתיים שישמרו על הדמוקרטיה שלנו, שישמרו על שומרי הסף</w:t>
      </w:r>
      <w:bookmarkStart w:id="77419" w:name="_ETM_Q143_181398"/>
      <w:bookmarkEnd w:id="77419"/>
      <w:r>
        <w:rPr>
          <w:rFonts w:hint="cs"/>
          <w:rtl/>
        </w:rPr>
        <w:t xml:space="preserve">, שישמרו על צה"ל, שישמרו על כל מה שהכרנו ואהבנו </w:t>
      </w:r>
      <w:bookmarkStart w:id="77420" w:name="_ETM_Q143_191263"/>
      <w:bookmarkEnd w:id="77420"/>
      <w:r>
        <w:rPr>
          <w:rFonts w:hint="cs"/>
          <w:rtl/>
        </w:rPr>
        <w:t xml:space="preserve">במדינת ישראל. ואני רוצה באמת לקוות, באמת </w:t>
      </w:r>
      <w:bookmarkStart w:id="77421" w:name="_ETM_Q143_199276"/>
      <w:bookmarkEnd w:id="77421"/>
      <w:r>
        <w:rPr>
          <w:rFonts w:hint="cs"/>
          <w:rtl/>
        </w:rPr>
        <w:t xml:space="preserve">לקוות, שאותם אנשים שעשו להם קריירה מלהסית ציבור נגד ציבור </w:t>
      </w:r>
      <w:bookmarkStart w:id="77422" w:name="_ETM_Q143_206132"/>
      <w:bookmarkEnd w:id="77422"/>
      <w:r>
        <w:rPr>
          <w:rFonts w:hint="cs"/>
          <w:rtl/>
        </w:rPr>
        <w:t xml:space="preserve">ואח נגד אח ראו את התמונות אתמול בתחנת הרכבת </w:t>
      </w:r>
      <w:bookmarkStart w:id="77423" w:name="_ETM_Q143_210122"/>
      <w:bookmarkEnd w:id="77423"/>
      <w:r>
        <w:rPr>
          <w:rFonts w:hint="cs"/>
          <w:rtl/>
        </w:rPr>
        <w:t xml:space="preserve">בירושלים כששתי ההפגנות עלו וירדו. ראית אותם, אדוני היו"ר? שמה אנשים מחפשים את הקרבה הזו. ולמרות שתהום עמוקה ניצבת </w:t>
      </w:r>
      <w:bookmarkStart w:id="77424" w:name="_ETM_Q143_224554"/>
      <w:bookmarkEnd w:id="77424"/>
      <w:r>
        <w:rPr>
          <w:rFonts w:hint="cs"/>
          <w:rtl/>
        </w:rPr>
        <w:t xml:space="preserve">בין המחנות, על ההנהגה מוטלת החובה לעצור. </w:t>
      </w:r>
      <w:bookmarkStart w:id="77425" w:name="_ETM_Q143_231472"/>
      <w:bookmarkStart w:id="77426" w:name="_ETM_Q143_231753"/>
      <w:bookmarkStart w:id="77427" w:name="_ETM_Q143_231865"/>
      <w:bookmarkEnd w:id="77425"/>
      <w:bookmarkEnd w:id="77426"/>
      <w:bookmarkEnd w:id="77427"/>
    </w:p>
    <w:p w:rsidR="00BB59CD" w:rsidRDefault="00BB59CD" w:rsidP="00BB59CD">
      <w:pPr>
        <w:rPr>
          <w:rtl/>
        </w:rPr>
      </w:pPr>
    </w:p>
    <w:p w:rsidR="00BB59CD" w:rsidRDefault="00BB59CD" w:rsidP="00396EB1">
      <w:pPr>
        <w:rPr>
          <w:rtl/>
        </w:rPr>
      </w:pPr>
      <w:r>
        <w:rPr>
          <w:rFonts w:hint="cs"/>
          <w:rtl/>
        </w:rPr>
        <w:t xml:space="preserve">יש לכם 64 מנדטים, אתם יכולים לחוקק מה שאתם </w:t>
      </w:r>
      <w:bookmarkStart w:id="77428" w:name="_ETM_Q143_237283"/>
      <w:bookmarkEnd w:id="77428"/>
      <w:r>
        <w:rPr>
          <w:rFonts w:hint="cs"/>
          <w:rtl/>
        </w:rPr>
        <w:t xml:space="preserve">רוצים, אבל עם הכוח באה האחריות. וזו אחריות שלכם </w:t>
      </w:r>
      <w:bookmarkStart w:id="77429" w:name="_ETM_Q143_241946"/>
      <w:bookmarkEnd w:id="77429"/>
      <w:r>
        <w:rPr>
          <w:rFonts w:hint="cs"/>
          <w:rtl/>
        </w:rPr>
        <w:t xml:space="preserve">לראות את התמונה הכוללת, וזו אחריות שלכם להבין שאם הנזק למדינת ישראל גדול יותר מהתועלת, אז אתם חייבים </w:t>
      </w:r>
      <w:bookmarkStart w:id="77430" w:name="_ETM_Q143_257152"/>
      <w:bookmarkEnd w:id="77430"/>
      <w:r>
        <w:rPr>
          <w:rFonts w:hint="cs"/>
          <w:rtl/>
        </w:rPr>
        <w:t xml:space="preserve">לעצור. כי אנחנו עושים כל מה שאנחנו יכולים בשביל </w:t>
      </w:r>
      <w:bookmarkStart w:id="77431" w:name="_ETM_Q143_257315"/>
      <w:bookmarkEnd w:id="77431"/>
      <w:r>
        <w:rPr>
          <w:rFonts w:hint="cs"/>
          <w:rtl/>
        </w:rPr>
        <w:t xml:space="preserve">לעצור את זה. אנחנו פה שלושה ימים ברצף, ונישאר. אנחנו מצטרפים לכל מחאה, ממש עכשיו בכל תחנת משטרה שיש עצורים אנחנו מגיעים להיות שם ראשונים בשביל לעזור </w:t>
      </w:r>
      <w:bookmarkStart w:id="77432" w:name="_ETM_Q143_268477"/>
      <w:bookmarkEnd w:id="77432"/>
      <w:r>
        <w:rPr>
          <w:rFonts w:hint="cs"/>
          <w:rtl/>
        </w:rPr>
        <w:t xml:space="preserve">לאחים שלנו שנלחמים בחוץ בזמן שאנחנו נלחמים בפנים. </w:t>
      </w:r>
      <w:bookmarkStart w:id="77433" w:name="_ETM_Q143_273359"/>
      <w:bookmarkStart w:id="77434" w:name="_ETM_Q143_273467"/>
      <w:bookmarkStart w:id="77435" w:name="_ETM_Q143_273517"/>
      <w:bookmarkStart w:id="77436" w:name="_ETM_Q143_273597"/>
      <w:bookmarkEnd w:id="77433"/>
      <w:bookmarkEnd w:id="77434"/>
      <w:bookmarkEnd w:id="77435"/>
      <w:bookmarkEnd w:id="77436"/>
      <w:r>
        <w:rPr>
          <w:rFonts w:hint="cs"/>
          <w:rtl/>
        </w:rPr>
        <w:t xml:space="preserve">אני קורא </w:t>
      </w:r>
      <w:bookmarkStart w:id="77437" w:name="_ETM_Q143_275509"/>
      <w:bookmarkEnd w:id="77437"/>
      <w:r>
        <w:rPr>
          <w:rFonts w:hint="cs"/>
          <w:rtl/>
        </w:rPr>
        <w:t xml:space="preserve">לכם מפה – תפעילו שיקול דעת, תפתחו את </w:t>
      </w:r>
      <w:bookmarkStart w:id="77438" w:name="_ETM_Q143_281314"/>
      <w:bookmarkEnd w:id="77438"/>
      <w:r>
        <w:rPr>
          <w:rFonts w:hint="cs"/>
          <w:rtl/>
        </w:rPr>
        <w:t xml:space="preserve">הלב שלכם ותעצרו את החקיקה הנוראית הזו. תודה </w:t>
      </w:r>
      <w:bookmarkStart w:id="77439" w:name="_ETM_Q143_287562"/>
      <w:bookmarkEnd w:id="77439"/>
      <w:r>
        <w:rPr>
          <w:rFonts w:hint="cs"/>
          <w:rtl/>
        </w:rPr>
        <w:t xml:space="preserve">רבה, אדוני. </w:t>
      </w:r>
    </w:p>
    <w:p w:rsidR="00BB59CD" w:rsidRDefault="00BB59CD" w:rsidP="00BB59CD">
      <w:pPr>
        <w:rPr>
          <w:rtl/>
        </w:rPr>
      </w:pPr>
      <w:bookmarkStart w:id="77440" w:name="_ETM_Q143_289631"/>
      <w:bookmarkStart w:id="77441" w:name="_ETM_Q143_289760"/>
      <w:bookmarkEnd w:id="77440"/>
      <w:bookmarkEnd w:id="77441"/>
    </w:p>
    <w:p w:rsidR="00BB59CD" w:rsidRDefault="00BB59CD" w:rsidP="00BB59CD">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BB59CD" w:rsidRDefault="00BB59CD" w:rsidP="00337201">
      <w:pPr>
        <w:rPr>
          <w:lang w:eastAsia="he-IL"/>
        </w:rPr>
      </w:pPr>
    </w:p>
    <w:p w:rsidR="00BB59CD" w:rsidRDefault="00BB59CD" w:rsidP="00BB59CD">
      <w:pPr>
        <w:rPr>
          <w:rtl/>
          <w:lang w:eastAsia="he-IL"/>
        </w:rPr>
      </w:pPr>
      <w:bookmarkStart w:id="77442" w:name="_ETM_Q143_291510"/>
      <w:bookmarkEnd w:id="77442"/>
      <w:r>
        <w:rPr>
          <w:rFonts w:hint="cs"/>
          <w:rtl/>
          <w:lang w:eastAsia="he-IL"/>
        </w:rPr>
        <w:t xml:space="preserve">תודה רבה. חברת הכנסת אורנה ברביבאי, בבקשה. </w:t>
      </w:r>
    </w:p>
    <w:p w:rsidR="00BB59CD" w:rsidRDefault="00BB59CD" w:rsidP="00BB59CD">
      <w:pPr>
        <w:rPr>
          <w:rtl/>
          <w:lang w:eastAsia="he-IL"/>
        </w:rPr>
      </w:pPr>
      <w:bookmarkStart w:id="77443" w:name="_ETM_Q143_301416"/>
      <w:bookmarkStart w:id="77444" w:name="_ETM_Q143_301511"/>
      <w:bookmarkStart w:id="77445" w:name="_ETM_Q143_303282"/>
      <w:bookmarkEnd w:id="77443"/>
      <w:bookmarkEnd w:id="77444"/>
      <w:bookmarkEnd w:id="77445"/>
    </w:p>
    <w:p w:rsidR="00BB59CD" w:rsidRDefault="00BB59CD" w:rsidP="00BB59CD">
      <w:pPr>
        <w:pStyle w:val="a5"/>
        <w:keepNext/>
        <w:rPr>
          <w:rtl/>
        </w:rPr>
      </w:pPr>
      <w:bookmarkStart w:id="77446" w:name="ET_speaker_5767_2"/>
      <w:r>
        <w:rPr>
          <w:rStyle w:val="TagStyle"/>
          <w:rFonts w:hint="cs"/>
          <w:rtl/>
        </w:rPr>
        <w:t xml:space="preserve"> &lt;&lt; דובר &gt;&gt; </w:t>
      </w:r>
      <w:bookmarkStart w:id="77447" w:name="_Toc141197190"/>
      <w:bookmarkStart w:id="77448" w:name="_Toc141196926"/>
      <w:r>
        <w:rPr>
          <w:rFonts w:hint="cs"/>
          <w:rtl/>
        </w:rPr>
        <w:t>אורנה ברביבאי (יש עתיד):</w:t>
      </w:r>
      <w:bookmarkEnd w:id="77447"/>
      <w:bookmarkEnd w:id="77448"/>
      <w:r>
        <w:rPr>
          <w:rStyle w:val="TagStyle"/>
          <w:rFonts w:hint="cs"/>
          <w:rtl/>
        </w:rPr>
        <w:t xml:space="preserve"> &lt;&lt; דובר &gt;&gt;</w:t>
      </w:r>
      <w:r>
        <w:rPr>
          <w:rFonts w:hint="cs"/>
          <w:rtl/>
        </w:rPr>
        <w:t xml:space="preserve">   </w:t>
      </w:r>
      <w:bookmarkEnd w:id="77446"/>
    </w:p>
    <w:p w:rsidR="00BB59CD" w:rsidRDefault="00BB59CD" w:rsidP="00337201">
      <w:pPr>
        <w:rPr>
          <w:lang w:eastAsia="he-IL"/>
        </w:rPr>
      </w:pPr>
    </w:p>
    <w:p w:rsidR="00BB59CD" w:rsidRDefault="00BB59CD" w:rsidP="00BB59CD">
      <w:pPr>
        <w:rPr>
          <w:rtl/>
          <w:lang w:eastAsia="he-IL"/>
        </w:rPr>
      </w:pPr>
      <w:bookmarkStart w:id="77449" w:name="_ETM_Q143_303991"/>
      <w:bookmarkStart w:id="77450" w:name="_ETM_Q143_304061"/>
      <w:bookmarkEnd w:id="77449"/>
      <w:bookmarkEnd w:id="77450"/>
      <w:r>
        <w:rPr>
          <w:rFonts w:hint="cs"/>
          <w:rtl/>
          <w:lang w:eastAsia="he-IL"/>
        </w:rPr>
        <w:t xml:space="preserve">בוקר </w:t>
      </w:r>
      <w:bookmarkStart w:id="77451" w:name="_ETM_Q143_316657"/>
      <w:bookmarkEnd w:id="77451"/>
      <w:r>
        <w:rPr>
          <w:rFonts w:hint="cs"/>
          <w:rtl/>
          <w:lang w:eastAsia="he-IL"/>
        </w:rPr>
        <w:t xml:space="preserve">טוב, יושב-ראש הכנסת, החברים הבודדים שנמצאים כאן. האמת שאני אומרת </w:t>
      </w:r>
      <w:bookmarkStart w:id="77452" w:name="_ETM_Q143_321930"/>
      <w:bookmarkEnd w:id="77452"/>
      <w:r>
        <w:rPr>
          <w:rFonts w:hint="cs"/>
          <w:rtl/>
          <w:lang w:eastAsia="he-IL"/>
        </w:rPr>
        <w:t xml:space="preserve">"בוקר טוב", וזה בדיוק הפוך ממה שאני מרגישה עכשיו. אנחנו </w:t>
      </w:r>
      <w:bookmarkStart w:id="77453" w:name="_ETM_Q143_325331"/>
      <w:bookmarkEnd w:id="77453"/>
      <w:r>
        <w:rPr>
          <w:rFonts w:hint="cs"/>
          <w:rtl/>
          <w:lang w:eastAsia="he-IL"/>
        </w:rPr>
        <w:t xml:space="preserve">לקראת שעת הכרעה מאוד משמעותית, שתשנה את פניה של </w:t>
      </w:r>
      <w:bookmarkStart w:id="77454" w:name="_ETM_Q143_334925"/>
      <w:bookmarkEnd w:id="77454"/>
      <w:r>
        <w:rPr>
          <w:rFonts w:hint="cs"/>
          <w:rtl/>
          <w:lang w:eastAsia="he-IL"/>
        </w:rPr>
        <w:t xml:space="preserve">מדינת ישראל. אני חושבת ששבעת החודשים האחרונים הביאו לידי </w:t>
      </w:r>
      <w:bookmarkStart w:id="77455" w:name="_ETM_Q143_338719"/>
      <w:bookmarkEnd w:id="77455"/>
      <w:r>
        <w:rPr>
          <w:rFonts w:hint="cs"/>
          <w:rtl/>
          <w:lang w:eastAsia="he-IL"/>
        </w:rPr>
        <w:t xml:space="preserve">ביטוי קוטביות, שסע, פילוג שלא היה במדינה מאז </w:t>
      </w:r>
      <w:bookmarkStart w:id="77456" w:name="_ETM_Q143_347969"/>
      <w:bookmarkEnd w:id="77456"/>
      <w:r>
        <w:rPr>
          <w:rFonts w:hint="cs"/>
          <w:rtl/>
          <w:lang w:eastAsia="he-IL"/>
        </w:rPr>
        <w:t>הקמתה – בינינו לבין עצמנו, בינינו לבין משפחתנו, בינינו לבין חברינו, בינינו לבין מי שחשב הפוך מאיתנו לאורך הדרך, מי שעכשיו שינה את דעתו, בין אדם לחברו.</w:t>
      </w:r>
      <w:bookmarkStart w:id="77457" w:name="_ETM_Q143_359956"/>
      <w:bookmarkStart w:id="77458" w:name="_ETM_Q143_360079"/>
      <w:bookmarkStart w:id="77459" w:name="_ETM_Q143_360138"/>
      <w:bookmarkStart w:id="77460" w:name="_ETM_Q143_360198"/>
      <w:bookmarkEnd w:id="77457"/>
      <w:bookmarkEnd w:id="77458"/>
      <w:bookmarkEnd w:id="77459"/>
      <w:bookmarkEnd w:id="77460"/>
      <w:r>
        <w:rPr>
          <w:rFonts w:hint="cs"/>
          <w:rtl/>
          <w:lang w:eastAsia="he-IL"/>
        </w:rPr>
        <w:t xml:space="preserve"> ובימים </w:t>
      </w:r>
      <w:bookmarkStart w:id="77461" w:name="_ETM_Q143_361554"/>
      <w:bookmarkEnd w:id="77461"/>
      <w:r>
        <w:rPr>
          <w:rFonts w:hint="cs"/>
          <w:rtl/>
          <w:lang w:eastAsia="he-IL"/>
        </w:rPr>
        <w:t xml:space="preserve">המאוד-מאוד-מאוד משמעותיים האלה בהיסטוריה, במורשת של מדינת ישראל, </w:t>
      </w:r>
      <w:bookmarkStart w:id="77462" w:name="_ETM_Q143_367649"/>
      <w:bookmarkEnd w:id="77462"/>
      <w:r>
        <w:rPr>
          <w:rFonts w:hint="cs"/>
          <w:rtl/>
          <w:lang w:eastAsia="he-IL"/>
        </w:rPr>
        <w:t>לעמוד כאן במליאה ולדבר על הרגעים המאוד-משמעותיים האלה לכל</w:t>
      </w:r>
      <w:bookmarkStart w:id="77463" w:name="_ETM_Q143_378258"/>
      <w:bookmarkEnd w:id="77463"/>
      <w:r>
        <w:rPr>
          <w:rFonts w:hint="cs"/>
          <w:rtl/>
          <w:lang w:eastAsia="he-IL"/>
        </w:rPr>
        <w:t xml:space="preserve"> אחד מאיתנו – אני מודה שאני מרגישה את כובד האחריות </w:t>
      </w:r>
      <w:bookmarkStart w:id="77464" w:name="_ETM_Q143_379554"/>
      <w:bookmarkEnd w:id="77464"/>
      <w:r>
        <w:rPr>
          <w:rFonts w:hint="cs"/>
          <w:rtl/>
          <w:lang w:eastAsia="he-IL"/>
        </w:rPr>
        <w:t xml:space="preserve">על כתפיי. </w:t>
      </w:r>
    </w:p>
    <w:p w:rsidR="00BB59CD" w:rsidRDefault="00BB59CD" w:rsidP="00BB59CD">
      <w:pPr>
        <w:rPr>
          <w:rtl/>
          <w:lang w:eastAsia="he-IL"/>
        </w:rPr>
      </w:pPr>
      <w:bookmarkStart w:id="77465" w:name="_ETM_Q143_381720"/>
      <w:bookmarkStart w:id="77466" w:name="_ETM_Q143_381844"/>
      <w:bookmarkEnd w:id="77465"/>
      <w:bookmarkEnd w:id="77466"/>
    </w:p>
    <w:p w:rsidR="00BB59CD" w:rsidRDefault="00BB59CD" w:rsidP="00396EB1">
      <w:pPr>
        <w:rPr>
          <w:rtl/>
          <w:lang w:eastAsia="he-IL"/>
        </w:rPr>
      </w:pPr>
      <w:bookmarkStart w:id="77467" w:name="_ETM_Q143_381899"/>
      <w:bookmarkStart w:id="77468" w:name="_ETM_Q143_382003"/>
      <w:bookmarkEnd w:id="77467"/>
      <w:bookmarkEnd w:id="77468"/>
      <w:r>
        <w:rPr>
          <w:rFonts w:hint="cs"/>
          <w:rtl/>
          <w:lang w:eastAsia="he-IL"/>
        </w:rPr>
        <w:t xml:space="preserve">אני הולכת להצעת החוק כפי שהיא הונחה כאן על שולחננו הבוקר, ואני מנסה במילים פשוטות להסביר לכל מי </w:t>
      </w:r>
      <w:bookmarkStart w:id="77469" w:name="_ETM_Q143_394182"/>
      <w:bookmarkEnd w:id="77469"/>
      <w:r>
        <w:rPr>
          <w:rFonts w:hint="cs"/>
          <w:rtl/>
          <w:lang w:eastAsia="he-IL"/>
        </w:rPr>
        <w:t xml:space="preserve">שמקשיב מהי הצעת החוק. החוק אומר שבחוק-יסוד: השפיטה, בסעיף </w:t>
      </w:r>
      <w:bookmarkStart w:id="77470" w:name="_ETM_Q143_401833"/>
      <w:bookmarkEnd w:id="77470"/>
      <w:r>
        <w:rPr>
          <w:rFonts w:hint="cs"/>
          <w:rtl/>
          <w:lang w:eastAsia="he-IL"/>
        </w:rPr>
        <w:t xml:space="preserve">15, אחרי סעיף קטן (ד) יבוא: "על אף האמור בחוק </w:t>
      </w:r>
      <w:bookmarkStart w:id="77471" w:name="_ETM_Q143_406650"/>
      <w:bookmarkEnd w:id="77471"/>
      <w:r>
        <w:rPr>
          <w:rFonts w:hint="cs"/>
          <w:rtl/>
          <w:lang w:eastAsia="he-IL"/>
        </w:rPr>
        <w:t xml:space="preserve">יסוד זה" – כל מה שאמור בחוק-יסוד: השפיטה – "מי שבידו סמכות שפיטה על פי דין" – </w:t>
      </w:r>
      <w:bookmarkStart w:id="77472" w:name="_ETM_Q143_411387"/>
      <w:bookmarkEnd w:id="77472"/>
      <w:r>
        <w:rPr>
          <w:rFonts w:hint="cs"/>
          <w:rtl/>
          <w:lang w:eastAsia="he-IL"/>
        </w:rPr>
        <w:t xml:space="preserve">שזה יכול להיות כל שופט במדינת ישראל – "לרבות </w:t>
      </w:r>
      <w:bookmarkStart w:id="77473" w:name="_ETM_Q143_412707"/>
      <w:bookmarkEnd w:id="77473"/>
      <w:r>
        <w:rPr>
          <w:rFonts w:hint="cs"/>
          <w:rtl/>
          <w:lang w:eastAsia="he-IL"/>
        </w:rPr>
        <w:t xml:space="preserve">בית המשפט העליון בשבתו כבית משפט גבוה לצדק, לא ידון </w:t>
      </w:r>
      <w:bookmarkStart w:id="77474" w:name="_ETM_Q143_418735"/>
      <w:bookmarkEnd w:id="77474"/>
      <w:r>
        <w:rPr>
          <w:rFonts w:hint="cs"/>
          <w:rtl/>
          <w:lang w:eastAsia="he-IL"/>
        </w:rPr>
        <w:t xml:space="preserve">בעניין סבירות ההחלטה של הממשלה, של ראש הממשלה או של </w:t>
      </w:r>
      <w:bookmarkStart w:id="77475" w:name="_ETM_Q143_426635"/>
      <w:bookmarkEnd w:id="77475"/>
      <w:r>
        <w:rPr>
          <w:rFonts w:hint="cs"/>
          <w:rtl/>
          <w:lang w:eastAsia="he-IL"/>
        </w:rPr>
        <w:t xml:space="preserve">שר אחר, לא ייתן צו בעניין כאמור בסעיף זה, ובכל החלטה, לרבות בענייני מינויים או החלטה </w:t>
      </w:r>
      <w:bookmarkStart w:id="77476" w:name="_ETM_Q143_433583"/>
      <w:bookmarkEnd w:id="77476"/>
      <w:r>
        <w:rPr>
          <w:rFonts w:hint="cs"/>
          <w:rtl/>
          <w:lang w:eastAsia="he-IL"/>
        </w:rPr>
        <w:t>להימנע מהפעלת כל סמכות".</w:t>
      </w:r>
      <w:bookmarkStart w:id="77477" w:name="_ETM_Q143_439856"/>
      <w:bookmarkStart w:id="77478" w:name="_ETM_Q143_439970"/>
      <w:bookmarkStart w:id="77479" w:name="_ETM_Q143_440030"/>
      <w:bookmarkStart w:id="77480" w:name="_ETM_Q143_440111"/>
      <w:bookmarkEnd w:id="77477"/>
      <w:bookmarkEnd w:id="77478"/>
      <w:bookmarkEnd w:id="77479"/>
      <w:bookmarkEnd w:id="77480"/>
      <w:r w:rsidR="00396EB1">
        <w:rPr>
          <w:rFonts w:hint="cs"/>
          <w:rtl/>
          <w:lang w:eastAsia="he-IL"/>
        </w:rPr>
        <w:t xml:space="preserve"> </w:t>
      </w:r>
      <w:r>
        <w:rPr>
          <w:rFonts w:hint="cs"/>
          <w:rtl/>
          <w:lang w:eastAsia="he-IL"/>
        </w:rPr>
        <w:t xml:space="preserve">בעברית פשוטה, החוק הזה מתיר לממשלה </w:t>
      </w:r>
      <w:bookmarkStart w:id="77481" w:name="_ETM_Q143_442234"/>
      <w:bookmarkEnd w:id="77481"/>
      <w:r>
        <w:rPr>
          <w:rFonts w:hint="cs"/>
          <w:rtl/>
          <w:lang w:eastAsia="he-IL"/>
        </w:rPr>
        <w:t xml:space="preserve">בשבתה כממשלה, לראש הממשלה, לשר, כל שר – והייתי </w:t>
      </w:r>
      <w:bookmarkStart w:id="77482" w:name="_ETM_Q143_448237"/>
      <w:bookmarkEnd w:id="77482"/>
      <w:r>
        <w:rPr>
          <w:rFonts w:hint="cs"/>
          <w:rtl/>
          <w:lang w:eastAsia="he-IL"/>
        </w:rPr>
        <w:t xml:space="preserve">שרה בממשלה הקודמת ואני יודעת מה המשמעות של תהליך קבלת ההחלטות וכמה מאות, שלא לומר אלפים, של החלטות שר </w:t>
      </w:r>
      <w:bookmarkStart w:id="77483" w:name="_ETM_Q143_454995"/>
      <w:bookmarkEnd w:id="77483"/>
      <w:r>
        <w:rPr>
          <w:rFonts w:hint="cs"/>
          <w:rtl/>
          <w:lang w:eastAsia="he-IL"/>
        </w:rPr>
        <w:t xml:space="preserve">מקבל לאורך קדנציה – על כל אלה לא תחול יכולת </w:t>
      </w:r>
      <w:bookmarkStart w:id="77484" w:name="_ETM_Q143_462443"/>
      <w:bookmarkEnd w:id="77484"/>
      <w:r>
        <w:rPr>
          <w:rFonts w:hint="cs"/>
          <w:rtl/>
          <w:lang w:eastAsia="he-IL"/>
        </w:rPr>
        <w:t>לשפוט מבחינת עילת הסבירות. זאת אומרת שכל החלטה שיקבל</w:t>
      </w:r>
      <w:r w:rsidR="00396EB1">
        <w:rPr>
          <w:rFonts w:hint="cs"/>
          <w:rtl/>
          <w:lang w:eastAsia="he-IL"/>
        </w:rPr>
        <w:t>ו</w:t>
      </w:r>
      <w:r>
        <w:rPr>
          <w:rFonts w:hint="cs"/>
          <w:rtl/>
          <w:lang w:eastAsia="he-IL"/>
        </w:rPr>
        <w:t xml:space="preserve"> שר </w:t>
      </w:r>
      <w:bookmarkStart w:id="77485" w:name="_ETM_Q143_470023"/>
      <w:bookmarkEnd w:id="77485"/>
      <w:r>
        <w:rPr>
          <w:rFonts w:hint="cs"/>
          <w:rtl/>
          <w:lang w:eastAsia="he-IL"/>
        </w:rPr>
        <w:t>או ממשלה בכל נושא שהוא, לרבות מי המינויים שהם רוצים למנות</w:t>
      </w:r>
      <w:r w:rsidR="00396EB1">
        <w:rPr>
          <w:rFonts w:hint="cs"/>
          <w:rtl/>
          <w:lang w:eastAsia="he-IL"/>
        </w:rPr>
        <w:t>,</w:t>
      </w:r>
      <w:r>
        <w:rPr>
          <w:rFonts w:hint="cs"/>
          <w:rtl/>
          <w:lang w:eastAsia="he-IL"/>
        </w:rPr>
        <w:t xml:space="preserve"> לא תחול עליה עילת הסבירות.</w:t>
      </w:r>
    </w:p>
    <w:p w:rsidR="00BB59CD" w:rsidRDefault="00BB59CD" w:rsidP="00BB59CD">
      <w:pPr>
        <w:rPr>
          <w:rtl/>
          <w:lang w:eastAsia="he-IL"/>
        </w:rPr>
      </w:pPr>
      <w:bookmarkStart w:id="77486" w:name="_ETM_Q143_479578"/>
      <w:bookmarkStart w:id="77487" w:name="_ETM_Q143_479695"/>
      <w:bookmarkEnd w:id="77486"/>
      <w:bookmarkEnd w:id="77487"/>
    </w:p>
    <w:p w:rsidR="00BB59CD" w:rsidRDefault="00BB59CD" w:rsidP="00396EB1">
      <w:pPr>
        <w:rPr>
          <w:rtl/>
          <w:lang w:eastAsia="he-IL"/>
        </w:rPr>
      </w:pPr>
      <w:bookmarkStart w:id="77488" w:name="_ETM_Q143_480252"/>
      <w:bookmarkStart w:id="77489" w:name="_ETM_Q143_480348"/>
      <w:bookmarkEnd w:id="77488"/>
      <w:bookmarkEnd w:id="77489"/>
      <w:r>
        <w:rPr>
          <w:rFonts w:hint="cs"/>
          <w:rtl/>
          <w:lang w:eastAsia="he-IL"/>
        </w:rPr>
        <w:t xml:space="preserve">ואז אתה שואל את עצמך איזה ממשלה באיזה יקום מחליטה להחיל על </w:t>
      </w:r>
      <w:bookmarkStart w:id="77490" w:name="_ETM_Q143_484955"/>
      <w:bookmarkEnd w:id="77490"/>
      <w:r>
        <w:rPr>
          <w:rFonts w:hint="cs"/>
          <w:rtl/>
          <w:lang w:eastAsia="he-IL"/>
        </w:rPr>
        <w:t xml:space="preserve">עצמה חוק כזה אם היא לא בטוחה שההחלטות שלה לא </w:t>
      </w:r>
      <w:bookmarkStart w:id="77491" w:name="_ETM_Q143_487076"/>
      <w:bookmarkEnd w:id="77491"/>
      <w:r>
        <w:rPr>
          <w:rFonts w:hint="cs"/>
          <w:rtl/>
          <w:lang w:eastAsia="he-IL"/>
        </w:rPr>
        <w:t xml:space="preserve">תהיינה סבירות. הרי זה שקוף כשמש. יש פה נכונות לצבירת כוח בלתי מוגבל, ומי שתוהה מה המשמעות של צבירת הכוח – זה צבירת הכוח על חשבון האזרחים. </w:t>
      </w:r>
      <w:bookmarkStart w:id="77492" w:name="_ETM_Q143_501339"/>
      <w:bookmarkEnd w:id="77492"/>
      <w:r>
        <w:rPr>
          <w:rFonts w:hint="cs"/>
          <w:rtl/>
          <w:lang w:eastAsia="he-IL"/>
        </w:rPr>
        <w:t xml:space="preserve">ממי אתה לוקח את הכוח? דמוקרטיה זה שלטון העם, וכאשר </w:t>
      </w:r>
      <w:bookmarkStart w:id="77493" w:name="_ETM_Q143_508944"/>
      <w:bookmarkEnd w:id="77493"/>
      <w:r>
        <w:rPr>
          <w:rFonts w:hint="cs"/>
          <w:rtl/>
          <w:lang w:eastAsia="he-IL"/>
        </w:rPr>
        <w:t>הממשלה עושה שימוש לרעה בכוחה, כנגד מי היא עושה את השימוש לרעה אם לא כנגד העם?</w:t>
      </w:r>
      <w:bookmarkStart w:id="77494" w:name="_ETM_Q143_516118"/>
      <w:bookmarkStart w:id="77495" w:name="_ETM_Q143_516233"/>
      <w:bookmarkStart w:id="77496" w:name="_ETM_Q143_516266"/>
      <w:bookmarkStart w:id="77497" w:name="_ETM_Q143_516337"/>
      <w:bookmarkEnd w:id="77494"/>
      <w:bookmarkEnd w:id="77495"/>
      <w:bookmarkEnd w:id="77496"/>
      <w:bookmarkEnd w:id="77497"/>
      <w:r w:rsidR="00396EB1">
        <w:rPr>
          <w:rFonts w:hint="cs"/>
          <w:rtl/>
          <w:lang w:eastAsia="he-IL"/>
        </w:rPr>
        <w:t xml:space="preserve"> </w:t>
      </w:r>
      <w:r>
        <w:rPr>
          <w:rFonts w:hint="cs"/>
          <w:rtl/>
          <w:lang w:eastAsia="he-IL"/>
        </w:rPr>
        <w:t xml:space="preserve">והדבר הזה מאוד מצער, </w:t>
      </w:r>
      <w:bookmarkStart w:id="77498" w:name="_ETM_Q143_519237"/>
      <w:bookmarkEnd w:id="77498"/>
      <w:r>
        <w:rPr>
          <w:rFonts w:hint="cs"/>
          <w:rtl/>
          <w:lang w:eastAsia="he-IL"/>
        </w:rPr>
        <w:t xml:space="preserve">משום שיותר מכול זה מלמד על הממשלה הזאת. הממשלה הזאת </w:t>
      </w:r>
      <w:bookmarkStart w:id="77499" w:name="_ETM_Q143_520003"/>
      <w:bookmarkEnd w:id="77499"/>
      <w:r>
        <w:rPr>
          <w:rFonts w:hint="cs"/>
          <w:rtl/>
          <w:lang w:eastAsia="he-IL"/>
        </w:rPr>
        <w:t xml:space="preserve">קיבלה הרבה החלטות בשבעה חודשים, הרבה מדי החלטות רעות. הכנסת </w:t>
      </w:r>
      <w:bookmarkStart w:id="77500" w:name="_ETM_Q143_527554"/>
      <w:bookmarkEnd w:id="77500"/>
      <w:r>
        <w:rPr>
          <w:rFonts w:hint="cs"/>
          <w:rtl/>
          <w:lang w:eastAsia="he-IL"/>
        </w:rPr>
        <w:t xml:space="preserve">הזאת בשבתה קיבלה על עצמה חקיקה שמשרתת את </w:t>
      </w:r>
      <w:bookmarkStart w:id="77501" w:name="_ETM_Q143_534217"/>
      <w:bookmarkEnd w:id="77501"/>
      <w:r>
        <w:rPr>
          <w:rFonts w:hint="cs"/>
          <w:rtl/>
          <w:lang w:eastAsia="he-IL"/>
        </w:rPr>
        <w:t xml:space="preserve">הממשלה עם החוקים הבאמת-לא-אנושיים, לא מתחשבים, שלוקחים את </w:t>
      </w:r>
      <w:bookmarkStart w:id="77502" w:name="_ETM_Q143_539116"/>
      <w:bookmarkEnd w:id="77502"/>
      <w:r>
        <w:rPr>
          <w:rFonts w:hint="cs"/>
          <w:rtl/>
          <w:lang w:eastAsia="he-IL"/>
        </w:rPr>
        <w:t xml:space="preserve">מדינת ישראל אחורה בהרבה מאוד משמעויות. </w:t>
      </w:r>
    </w:p>
    <w:p w:rsidR="00BB59CD" w:rsidRDefault="00BB59CD" w:rsidP="00BB59CD">
      <w:pPr>
        <w:rPr>
          <w:rtl/>
          <w:lang w:eastAsia="he-IL"/>
        </w:rPr>
      </w:pPr>
      <w:bookmarkStart w:id="77503" w:name="_ETM_Q143_541725"/>
      <w:bookmarkStart w:id="77504" w:name="_ETM_Q143_541813"/>
      <w:bookmarkEnd w:id="77503"/>
      <w:bookmarkEnd w:id="77504"/>
    </w:p>
    <w:p w:rsidR="00BB59CD" w:rsidRDefault="00BB59CD" w:rsidP="00396EB1">
      <w:pPr>
        <w:rPr>
          <w:rtl/>
          <w:lang w:eastAsia="he-IL"/>
        </w:rPr>
      </w:pPr>
      <w:bookmarkStart w:id="77505" w:name="_ETM_Q143_541923"/>
      <w:bookmarkStart w:id="77506" w:name="_ETM_Q143_542013"/>
      <w:bookmarkEnd w:id="77505"/>
      <w:bookmarkEnd w:id="77506"/>
      <w:r>
        <w:rPr>
          <w:rFonts w:hint="cs"/>
          <w:rtl/>
          <w:lang w:eastAsia="he-IL"/>
        </w:rPr>
        <w:t xml:space="preserve">אבל זה לא הספיק </w:t>
      </w:r>
      <w:bookmarkStart w:id="77507" w:name="_ETM_Q143_544363"/>
      <w:bookmarkEnd w:id="77507"/>
      <w:r>
        <w:rPr>
          <w:rFonts w:hint="cs"/>
          <w:rtl/>
          <w:lang w:eastAsia="he-IL"/>
        </w:rPr>
        <w:t xml:space="preserve">לממשלה, זה לא הספיק לכנסת. הקואליציה הזאת מביאה את החוק </w:t>
      </w:r>
      <w:bookmarkStart w:id="77508" w:name="_ETM_Q143_547952"/>
      <w:bookmarkEnd w:id="77508"/>
      <w:r>
        <w:rPr>
          <w:rFonts w:hint="cs"/>
          <w:rtl/>
          <w:lang w:eastAsia="he-IL"/>
        </w:rPr>
        <w:t xml:space="preserve">הזה כי יש פה הנחת עבודה שהחלטות שהולכת להתקבל בממשלה </w:t>
      </w:r>
      <w:bookmarkStart w:id="77509" w:name="_ETM_Q143_553319"/>
      <w:bookmarkEnd w:id="77509"/>
      <w:r>
        <w:rPr>
          <w:rFonts w:hint="cs"/>
          <w:rtl/>
          <w:lang w:eastAsia="he-IL"/>
        </w:rPr>
        <w:t xml:space="preserve">הן החלטות לא סבירות. מי שלא חושב שהוא הולך להחליט </w:t>
      </w:r>
      <w:bookmarkStart w:id="77510" w:name="_ETM_Q143_554961"/>
      <w:bookmarkEnd w:id="77510"/>
      <w:r>
        <w:rPr>
          <w:rFonts w:hint="cs"/>
          <w:rtl/>
          <w:lang w:eastAsia="he-IL"/>
        </w:rPr>
        <w:t xml:space="preserve">לא סבירה לא מביא חוק שעוקף את הסבירות. והחוק הזה </w:t>
      </w:r>
      <w:bookmarkStart w:id="77511" w:name="_ETM_Q143_563415"/>
      <w:bookmarkEnd w:id="77511"/>
      <w:r>
        <w:rPr>
          <w:rFonts w:hint="cs"/>
          <w:rtl/>
          <w:lang w:eastAsia="he-IL"/>
        </w:rPr>
        <w:t xml:space="preserve">נועד לעקוף את הסבירות; </w:t>
      </w:r>
      <w:r w:rsidR="00396EB1">
        <w:rPr>
          <w:rFonts w:hint="cs"/>
          <w:rtl/>
          <w:lang w:eastAsia="he-IL"/>
        </w:rPr>
        <w:t>אומרים</w:t>
      </w:r>
      <w:r>
        <w:rPr>
          <w:rFonts w:hint="cs"/>
          <w:rtl/>
          <w:lang w:eastAsia="he-IL"/>
        </w:rPr>
        <w:t xml:space="preserve">: ניתן כוח לממשלה לקבל כל החלטה, ואף אחד, לרבות בית </w:t>
      </w:r>
      <w:bookmarkStart w:id="77512" w:name="_ETM_Q143_572574"/>
      <w:bookmarkEnd w:id="77512"/>
      <w:r>
        <w:rPr>
          <w:rFonts w:hint="cs"/>
          <w:rtl/>
          <w:lang w:eastAsia="he-IL"/>
        </w:rPr>
        <w:t xml:space="preserve">המשפט העליון וכל מערכת בתי המשפט וכל היועצים המשפטיים, לא </w:t>
      </w:r>
      <w:bookmarkStart w:id="77513" w:name="_ETM_Q143_575919"/>
      <w:bookmarkEnd w:id="77513"/>
      <w:r>
        <w:rPr>
          <w:rFonts w:hint="cs"/>
          <w:rtl/>
          <w:lang w:eastAsia="he-IL"/>
        </w:rPr>
        <w:t xml:space="preserve">יוכלו להגיד לנו שמה שקבענו לא סביר. למה? כי אנחנו </w:t>
      </w:r>
      <w:bookmarkStart w:id="77514" w:name="_ETM_Q143_581350"/>
      <w:bookmarkEnd w:id="77514"/>
      <w:r>
        <w:rPr>
          <w:rFonts w:hint="cs"/>
          <w:rtl/>
          <w:lang w:eastAsia="he-IL"/>
        </w:rPr>
        <w:t>חסינים מסבירות. זה נראה לכם סביר?</w:t>
      </w:r>
    </w:p>
    <w:p w:rsidR="00BB59CD" w:rsidRDefault="00BB59CD" w:rsidP="00BB59CD">
      <w:pPr>
        <w:rPr>
          <w:rtl/>
          <w:lang w:eastAsia="he-IL"/>
        </w:rPr>
      </w:pPr>
      <w:bookmarkStart w:id="77515" w:name="_ETM_Q143_585287"/>
      <w:bookmarkStart w:id="77516" w:name="_ETM_Q143_585384"/>
      <w:bookmarkEnd w:id="77515"/>
      <w:bookmarkEnd w:id="77516"/>
    </w:p>
    <w:p w:rsidR="00BB59CD" w:rsidRDefault="00BB59CD" w:rsidP="00BB59CD">
      <w:pPr>
        <w:rPr>
          <w:rtl/>
          <w:lang w:eastAsia="he-IL"/>
        </w:rPr>
      </w:pPr>
      <w:bookmarkStart w:id="77517" w:name="_ETM_Q143_585426"/>
      <w:bookmarkStart w:id="77518" w:name="_ETM_Q143_585536"/>
      <w:bookmarkEnd w:id="77517"/>
      <w:bookmarkEnd w:id="77518"/>
      <w:r>
        <w:rPr>
          <w:rFonts w:hint="cs"/>
          <w:rtl/>
          <w:lang w:eastAsia="he-IL"/>
        </w:rPr>
        <w:t>אני אומרת לכם את זה</w:t>
      </w:r>
      <w:bookmarkStart w:id="77519" w:name="_ETM_Q143_587825"/>
      <w:bookmarkEnd w:id="77519"/>
      <w:r>
        <w:rPr>
          <w:rFonts w:hint="cs"/>
          <w:rtl/>
          <w:lang w:eastAsia="he-IL"/>
        </w:rPr>
        <w:t xml:space="preserve"> כי, אתם יודעים, לא כל אזרח במדינה </w:t>
      </w:r>
      <w:bookmarkStart w:id="77520" w:name="_ETM_Q143_590061"/>
      <w:bookmarkEnd w:id="77520"/>
      <w:r>
        <w:rPr>
          <w:rFonts w:hint="cs"/>
          <w:rtl/>
          <w:lang w:eastAsia="he-IL"/>
        </w:rPr>
        <w:t xml:space="preserve">הוא משפטן ולא כל אחד מאיתנו יכול להבין עד </w:t>
      </w:r>
      <w:bookmarkStart w:id="77521" w:name="_ETM_Q143_591788"/>
      <w:bookmarkEnd w:id="77521"/>
      <w:r>
        <w:rPr>
          <w:rFonts w:hint="cs"/>
          <w:rtl/>
          <w:lang w:eastAsia="he-IL"/>
        </w:rPr>
        <w:t xml:space="preserve">הסוף את המשמעות של ההחלטה הזאת. אבל אנחנו כולנו </w:t>
      </w:r>
      <w:bookmarkStart w:id="77522" w:name="_ETM_Q143_599160"/>
      <w:bookmarkEnd w:id="77522"/>
      <w:r>
        <w:rPr>
          <w:rFonts w:hint="cs"/>
          <w:rtl/>
          <w:lang w:eastAsia="he-IL"/>
        </w:rPr>
        <w:t>מבינים עברית. ממשלה שרוצה לתת לעצמה אישור להיות מעל החוק</w:t>
      </w:r>
      <w:bookmarkStart w:id="77523" w:name="_ETM_Q143_604178"/>
      <w:bookmarkEnd w:id="77523"/>
      <w:r>
        <w:rPr>
          <w:rFonts w:hint="cs"/>
          <w:rtl/>
          <w:lang w:eastAsia="he-IL"/>
        </w:rPr>
        <w:t>, זאת אומרת שמבחינתה החוק לא מחייב.</w:t>
      </w:r>
      <w:bookmarkStart w:id="77524" w:name="_ETM_Q143_608442"/>
      <w:bookmarkEnd w:id="77524"/>
      <w:r>
        <w:rPr>
          <w:rFonts w:hint="cs"/>
          <w:rtl/>
          <w:lang w:eastAsia="he-IL"/>
        </w:rPr>
        <w:t xml:space="preserve"> את זה כל אזרח מבין – היושב-ראש, אפשר שקט </w:t>
      </w:r>
      <w:bookmarkStart w:id="77525" w:name="_ETM_Q143_612961"/>
      <w:bookmarkEnd w:id="77525"/>
      <w:r>
        <w:rPr>
          <w:rFonts w:hint="cs"/>
          <w:rtl/>
          <w:lang w:eastAsia="he-IL"/>
        </w:rPr>
        <w:t xml:space="preserve">שם? </w:t>
      </w:r>
      <w:bookmarkStart w:id="77526" w:name="_ETM_Q143_614401"/>
      <w:bookmarkStart w:id="77527" w:name="_ETM_Q143_614527"/>
      <w:bookmarkStart w:id="77528" w:name="_ETM_Q143_614561"/>
      <w:bookmarkStart w:id="77529" w:name="_ETM_Q143_614651"/>
      <w:bookmarkEnd w:id="77526"/>
      <w:bookmarkEnd w:id="77527"/>
      <w:bookmarkEnd w:id="77528"/>
      <w:bookmarkEnd w:id="77529"/>
    </w:p>
    <w:p w:rsidR="00BB59CD" w:rsidRDefault="00BB59CD" w:rsidP="00BB59CD">
      <w:pPr>
        <w:rPr>
          <w:rtl/>
          <w:lang w:eastAsia="he-IL"/>
        </w:rPr>
      </w:pPr>
    </w:p>
    <w:p w:rsidR="00BB59CD" w:rsidRDefault="00BB59CD" w:rsidP="00396EB1">
      <w:pPr>
        <w:rPr>
          <w:rtl/>
          <w:lang w:eastAsia="he-IL"/>
        </w:rPr>
      </w:pPr>
      <w:r>
        <w:rPr>
          <w:rFonts w:hint="cs"/>
          <w:rtl/>
          <w:lang w:eastAsia="he-IL"/>
        </w:rPr>
        <w:t>ממשלה שעומדת מעל החוק אומרת בעצם לאזרח:</w:t>
      </w:r>
      <w:bookmarkStart w:id="77530" w:name="_ETM_Q143_621321"/>
      <w:bookmarkEnd w:id="77530"/>
      <w:r>
        <w:rPr>
          <w:rFonts w:hint="cs"/>
          <w:rtl/>
          <w:lang w:eastAsia="he-IL"/>
        </w:rPr>
        <w:t xml:space="preserve"> אז מה אם יש חוקים שמגינים עליך? אז מה </w:t>
      </w:r>
      <w:bookmarkStart w:id="77531" w:name="_ETM_Q143_623767"/>
      <w:bookmarkEnd w:id="77531"/>
      <w:r>
        <w:rPr>
          <w:rFonts w:hint="cs"/>
          <w:rtl/>
          <w:lang w:eastAsia="he-IL"/>
        </w:rPr>
        <w:t xml:space="preserve">אם הזכויות שלך עוגנו אי שם בחוקים שהצטברו לאורך 75 שנה? אנחנו כאן, בשנת 2023, נקבל חוקים אחרים. למה? כי </w:t>
      </w:r>
      <w:bookmarkStart w:id="77532" w:name="_ETM_Q143_636160"/>
      <w:bookmarkEnd w:id="77532"/>
      <w:r>
        <w:rPr>
          <w:rFonts w:hint="cs"/>
          <w:rtl/>
          <w:lang w:eastAsia="he-IL"/>
        </w:rPr>
        <w:t xml:space="preserve">החוקים האלה צריכים לשרת צרכים פוליטיים, צריכים לשרת הסכמים קואליציוניים, </w:t>
      </w:r>
      <w:bookmarkStart w:id="77533" w:name="_ETM_Q143_641840"/>
      <w:bookmarkEnd w:id="77533"/>
      <w:r>
        <w:rPr>
          <w:rFonts w:hint="cs"/>
          <w:rtl/>
          <w:lang w:eastAsia="he-IL"/>
        </w:rPr>
        <w:t xml:space="preserve">צריכים לשרת את ההישרדות של הממשלה, </w:t>
      </w:r>
      <w:r w:rsidR="00396EB1">
        <w:rPr>
          <w:rFonts w:hint="cs"/>
          <w:rtl/>
          <w:lang w:eastAsia="he-IL"/>
        </w:rPr>
        <w:t>ו</w:t>
      </w:r>
      <w:r>
        <w:rPr>
          <w:rFonts w:hint="cs"/>
          <w:rtl/>
          <w:lang w:eastAsia="he-IL"/>
        </w:rPr>
        <w:t xml:space="preserve">צריך להגיד – </w:t>
      </w:r>
      <w:bookmarkStart w:id="77534" w:name="_ETM_Q143_646035"/>
      <w:bookmarkEnd w:id="77534"/>
      <w:r>
        <w:rPr>
          <w:rFonts w:hint="cs"/>
          <w:rtl/>
          <w:lang w:eastAsia="he-IL"/>
        </w:rPr>
        <w:t xml:space="preserve">ההישרדות של ראש הממשלה, שכולנו יודעים שהוא נמצא עמוק בתוך ההליכים המשפטיים. </w:t>
      </w:r>
    </w:p>
    <w:p w:rsidR="00BB59CD" w:rsidRDefault="00BB59CD" w:rsidP="00BB59CD">
      <w:pPr>
        <w:rPr>
          <w:rtl/>
          <w:lang w:eastAsia="he-IL"/>
        </w:rPr>
      </w:pPr>
      <w:bookmarkStart w:id="77535" w:name="_ETM_Q143_651373"/>
      <w:bookmarkStart w:id="77536" w:name="_ETM_Q143_651491"/>
      <w:bookmarkEnd w:id="77535"/>
      <w:bookmarkEnd w:id="77536"/>
    </w:p>
    <w:p w:rsidR="00BB59CD" w:rsidRDefault="00BB59CD" w:rsidP="00BB59CD">
      <w:pPr>
        <w:rPr>
          <w:rtl/>
          <w:lang w:eastAsia="he-IL"/>
        </w:rPr>
      </w:pPr>
      <w:bookmarkStart w:id="77537" w:name="_ETM_Q143_651533"/>
      <w:bookmarkStart w:id="77538" w:name="_ETM_Q143_651631"/>
      <w:bookmarkEnd w:id="77537"/>
      <w:bookmarkEnd w:id="77538"/>
      <w:r>
        <w:rPr>
          <w:rFonts w:hint="cs"/>
          <w:rtl/>
          <w:lang w:eastAsia="he-IL"/>
        </w:rPr>
        <w:t xml:space="preserve">אז בעצם הממשלה אומרת: נשעבד את זכויות </w:t>
      </w:r>
      <w:bookmarkStart w:id="77539" w:name="_ETM_Q143_658014"/>
      <w:bookmarkEnd w:id="77539"/>
      <w:r>
        <w:rPr>
          <w:rFonts w:hint="cs"/>
          <w:rtl/>
          <w:lang w:eastAsia="he-IL"/>
        </w:rPr>
        <w:t xml:space="preserve">האדם לטובת ממשלת ישראל, שתוכל להשתמש בהן כרצונה, בגלל </w:t>
      </w:r>
      <w:bookmarkStart w:id="77540" w:name="_ETM_Q143_664719"/>
      <w:bookmarkEnd w:id="77540"/>
      <w:r>
        <w:rPr>
          <w:rFonts w:hint="cs"/>
          <w:rtl/>
          <w:lang w:eastAsia="he-IL"/>
        </w:rPr>
        <w:t xml:space="preserve">הצרכים הפוליטיים שלה. אתם מבינים מה זה אומר? אנחנו סדר </w:t>
      </w:r>
      <w:bookmarkStart w:id="77541" w:name="_ETM_Q143_670741"/>
      <w:bookmarkEnd w:id="77541"/>
      <w:r>
        <w:rPr>
          <w:rFonts w:hint="cs"/>
          <w:rtl/>
          <w:lang w:eastAsia="he-IL"/>
        </w:rPr>
        <w:t xml:space="preserve">גודל של עשרה מיליון אזרחים, יש כמה עשרות פה בכנסת </w:t>
      </w:r>
      <w:bookmarkStart w:id="77542" w:name="_ETM_Q143_675097"/>
      <w:bookmarkEnd w:id="77542"/>
      <w:r>
        <w:rPr>
          <w:rFonts w:hint="cs"/>
          <w:rtl/>
          <w:lang w:eastAsia="he-IL"/>
        </w:rPr>
        <w:t xml:space="preserve">ומעט אנשים שיוכלו להשפיע על איך ייראו החיים שלנו בהיבטים </w:t>
      </w:r>
      <w:bookmarkStart w:id="77543" w:name="_ETM_Q143_683191"/>
      <w:bookmarkEnd w:id="77543"/>
      <w:r>
        <w:rPr>
          <w:rFonts w:hint="cs"/>
          <w:rtl/>
          <w:lang w:eastAsia="he-IL"/>
        </w:rPr>
        <w:t>של שוויון, בהיבטים של זכויות, בהיבטים של כבוד האדם</w:t>
      </w:r>
      <w:bookmarkStart w:id="77544" w:name="_ETM_Q143_691350"/>
      <w:bookmarkEnd w:id="77544"/>
      <w:r>
        <w:rPr>
          <w:rFonts w:hint="cs"/>
          <w:rtl/>
          <w:lang w:eastAsia="he-IL"/>
        </w:rPr>
        <w:t xml:space="preserve">, בכל היבט שהוא. כי כל החוקים שנחקקו במדינת ישראל </w:t>
      </w:r>
      <w:bookmarkStart w:id="77545" w:name="_ETM_Q143_696327"/>
      <w:bookmarkEnd w:id="77545"/>
      <w:r>
        <w:rPr>
          <w:rFonts w:hint="cs"/>
          <w:rtl/>
          <w:lang w:eastAsia="he-IL"/>
        </w:rPr>
        <w:t xml:space="preserve">מאז הקמתה – לא תחול עליהם עילת </w:t>
      </w:r>
      <w:r w:rsidR="0039499F">
        <w:rPr>
          <w:rFonts w:hint="cs"/>
          <w:rtl/>
          <w:lang w:eastAsia="he-IL"/>
        </w:rPr>
        <w:t>ה</w:t>
      </w:r>
      <w:r>
        <w:rPr>
          <w:rFonts w:hint="cs"/>
          <w:rtl/>
          <w:lang w:eastAsia="he-IL"/>
        </w:rPr>
        <w:t xml:space="preserve">סבירות. אז מה </w:t>
      </w:r>
      <w:bookmarkStart w:id="77546" w:name="_ETM_Q143_699489"/>
      <w:bookmarkEnd w:id="77546"/>
      <w:r>
        <w:rPr>
          <w:rFonts w:hint="cs"/>
          <w:rtl/>
          <w:lang w:eastAsia="he-IL"/>
        </w:rPr>
        <w:t xml:space="preserve">אם יש חוק? ממשלה תבוא, תגיד שזה מה שהיא </w:t>
      </w:r>
      <w:bookmarkStart w:id="77547" w:name="_ETM_Q143_702825"/>
      <w:bookmarkEnd w:id="77547"/>
      <w:r>
        <w:rPr>
          <w:rFonts w:hint="cs"/>
          <w:rtl/>
          <w:lang w:eastAsia="he-IL"/>
        </w:rPr>
        <w:t xml:space="preserve">רוצה, ושופט במדינת ישראל, בין אם זה בערכאות </w:t>
      </w:r>
      <w:bookmarkStart w:id="77548" w:name="_ETM_Q143_704289"/>
      <w:bookmarkEnd w:id="77548"/>
      <w:r>
        <w:rPr>
          <w:rFonts w:hint="cs"/>
          <w:rtl/>
          <w:lang w:eastAsia="he-IL"/>
        </w:rPr>
        <w:t xml:space="preserve">יותר נמוכות ובין אם זה בבית משפט גבוה לצדק, לא </w:t>
      </w:r>
      <w:bookmarkStart w:id="77549" w:name="_ETM_Q143_707011"/>
      <w:bookmarkEnd w:id="77549"/>
      <w:r>
        <w:rPr>
          <w:rFonts w:hint="cs"/>
          <w:rtl/>
          <w:lang w:eastAsia="he-IL"/>
        </w:rPr>
        <w:t xml:space="preserve">יוכל לקבל החלטה שפוסלת אותו. </w:t>
      </w:r>
    </w:p>
    <w:p w:rsidR="00BB59CD" w:rsidRDefault="00BB59CD" w:rsidP="00BB59CD">
      <w:pPr>
        <w:rPr>
          <w:rtl/>
          <w:lang w:eastAsia="he-IL"/>
        </w:rPr>
      </w:pPr>
    </w:p>
    <w:p w:rsidR="00BB59CD" w:rsidRDefault="00BB59CD" w:rsidP="0039499F">
      <w:pPr>
        <w:rPr>
          <w:rtl/>
        </w:rPr>
      </w:pPr>
      <w:r>
        <w:rPr>
          <w:rFonts w:hint="cs"/>
          <w:rtl/>
          <w:lang w:eastAsia="he-IL"/>
        </w:rPr>
        <w:t xml:space="preserve">אתם לא חוששים, אזרחי </w:t>
      </w:r>
      <w:bookmarkStart w:id="77550" w:name="_ETM_Q143_713026"/>
      <w:bookmarkEnd w:id="77550"/>
      <w:r>
        <w:rPr>
          <w:rFonts w:hint="cs"/>
          <w:rtl/>
          <w:lang w:eastAsia="he-IL"/>
        </w:rPr>
        <w:t>מדינת ישראל? אני מדברת אל כל אזרח במדינה</w:t>
      </w:r>
      <w:r w:rsidR="0039499F">
        <w:rPr>
          <w:rFonts w:hint="cs"/>
          <w:rtl/>
          <w:lang w:eastAsia="he-IL"/>
        </w:rPr>
        <w:t>.</w:t>
      </w:r>
      <w:r>
        <w:rPr>
          <w:rFonts w:hint="cs"/>
          <w:rtl/>
          <w:lang w:eastAsia="he-IL"/>
        </w:rPr>
        <w:t xml:space="preserve"> זה </w:t>
      </w:r>
      <w:bookmarkStart w:id="77551" w:name="_ETM_Q143_717043"/>
      <w:bookmarkEnd w:id="77551"/>
      <w:r>
        <w:rPr>
          <w:rFonts w:hint="cs"/>
          <w:rtl/>
          <w:lang w:eastAsia="he-IL"/>
        </w:rPr>
        <w:t xml:space="preserve">לא משנה מה הצבעת, זה לא משנה מה האג'נדה שלך, </w:t>
      </w:r>
      <w:bookmarkStart w:id="77552" w:name="_ETM_Q143_716769"/>
      <w:bookmarkEnd w:id="77552"/>
      <w:r>
        <w:rPr>
          <w:rFonts w:hint="cs"/>
          <w:rtl/>
          <w:lang w:eastAsia="he-IL"/>
        </w:rPr>
        <w:t>זה לא משנה מה התפיסות שלך. אתם לא חוששים מ</w:t>
      </w:r>
      <w:bookmarkStart w:id="77553" w:name="_ETM_Q143_721602"/>
      <w:bookmarkEnd w:id="77553"/>
      <w:r>
        <w:rPr>
          <w:rFonts w:hint="cs"/>
          <w:rtl/>
          <w:lang w:eastAsia="he-IL"/>
        </w:rPr>
        <w:t xml:space="preserve">ממשלה כזאת, שהכוח בידה הוא כוח כל כך דורסני? אתם </w:t>
      </w:r>
      <w:bookmarkStart w:id="77554" w:name="_ETM_Q143_729586"/>
      <w:bookmarkEnd w:id="77554"/>
      <w:r>
        <w:rPr>
          <w:rFonts w:hint="cs"/>
          <w:rtl/>
          <w:lang w:eastAsia="he-IL"/>
        </w:rPr>
        <w:t xml:space="preserve">לא חוששים מממשלה שתהליך קבלת ההחלטות שלה הביא אותנו עד </w:t>
      </w:r>
      <w:bookmarkStart w:id="77555" w:name="_ETM_Q143_735262"/>
      <w:bookmarkEnd w:id="77555"/>
      <w:r>
        <w:rPr>
          <w:rFonts w:hint="cs"/>
          <w:rtl/>
          <w:lang w:eastAsia="he-IL"/>
        </w:rPr>
        <w:t xml:space="preserve">כאן בכל תחומי החיים שלנו? רמטכ"ל רץ לראש ממשלה, </w:t>
      </w:r>
      <w:bookmarkStart w:id="77556" w:name="_ETM_Q143_737592"/>
      <w:bookmarkEnd w:id="77556"/>
      <w:r>
        <w:rPr>
          <w:rFonts w:hint="cs"/>
          <w:rtl/>
          <w:lang w:eastAsia="he-IL"/>
        </w:rPr>
        <w:t xml:space="preserve">לשר </w:t>
      </w:r>
      <w:r w:rsidR="0039499F">
        <w:rPr>
          <w:rFonts w:hint="cs"/>
          <w:rtl/>
          <w:lang w:eastAsia="he-IL"/>
        </w:rPr>
        <w:t>ה</w:t>
      </w:r>
      <w:r>
        <w:rPr>
          <w:rFonts w:hint="cs"/>
          <w:rtl/>
          <w:lang w:eastAsia="he-IL"/>
        </w:rPr>
        <w:t xml:space="preserve">ביטחון, ואומר להם: תקשיבו, אנחנו נמצאים בסכנה מוחשית; הרמטכ"ל אומר בצורה מאוד ברורה, וזה לא מובן מאליו, שהכשירות של צבא ההגנה לישראל, של כוחות הביטחון, עומדת בסיכון ביכולת שלה להגן </w:t>
      </w:r>
      <w:bookmarkStart w:id="77557" w:name="_ETM_Q143_760012"/>
      <w:bookmarkEnd w:id="77557"/>
      <w:r>
        <w:rPr>
          <w:rFonts w:hint="cs"/>
          <w:rtl/>
          <w:lang w:eastAsia="he-IL"/>
        </w:rPr>
        <w:t>על המדינה – אנחנו לא חוששים מזה?</w:t>
      </w:r>
      <w:r w:rsidR="0039499F">
        <w:rPr>
          <w:rFonts w:hint="cs"/>
          <w:rtl/>
          <w:lang w:eastAsia="he-IL"/>
        </w:rPr>
        <w:t xml:space="preserve"> </w:t>
      </w:r>
      <w:bookmarkStart w:id="77558" w:name="TOR_Q144"/>
      <w:bookmarkEnd w:id="77558"/>
      <w:r>
        <w:rPr>
          <w:rFonts w:hint="cs"/>
          <w:rtl/>
        </w:rPr>
        <w:t xml:space="preserve">כל כוחות הביטחון סבורים שהחוק הזה הוא חוק מזיק למדינה, כל כוחות הביטחון. אגב, לא רק בעלי התפקידים </w:t>
      </w:r>
      <w:bookmarkStart w:id="77559" w:name="_ETM_Q144_172744"/>
      <w:bookmarkEnd w:id="77559"/>
      <w:r>
        <w:rPr>
          <w:rFonts w:hint="cs"/>
          <w:rtl/>
        </w:rPr>
        <w:t xml:space="preserve">המכהנים היום: תסתכלו על האלופים בדימוס, תסתכלו על הניצבים </w:t>
      </w:r>
      <w:bookmarkStart w:id="77560" w:name="_ETM_Q144_177329"/>
      <w:bookmarkEnd w:id="77560"/>
      <w:r>
        <w:rPr>
          <w:rFonts w:hint="cs"/>
          <w:rtl/>
        </w:rPr>
        <w:t xml:space="preserve">בדימוס, תסתכלו על ראשי השב"כ בדימוס – כולם כולם רדיקליים? </w:t>
      </w:r>
      <w:bookmarkStart w:id="77561" w:name="_ETM_Q144_183327"/>
      <w:bookmarkEnd w:id="77561"/>
      <w:r>
        <w:rPr>
          <w:rFonts w:hint="cs"/>
          <w:rtl/>
        </w:rPr>
        <w:t xml:space="preserve">כולם קיצוניים? כולם לא רוצים את טובת המדינה? זה הרי ברור שיש פה העמדה מכוונת להציג </w:t>
      </w:r>
      <w:bookmarkStart w:id="77562" w:name="_ETM_Q144_187999"/>
      <w:bookmarkEnd w:id="77562"/>
      <w:r>
        <w:rPr>
          <w:rFonts w:hint="cs"/>
          <w:rtl/>
        </w:rPr>
        <w:t xml:space="preserve">את כולנו כאנשים שלא מוכנים לקבל את החלטת הבוחר, את דין הבוחר, 64 מנדטים וכו'. זה באמת עיוות של המציאות. </w:t>
      </w:r>
      <w:bookmarkStart w:id="77563" w:name="_ETM_Q144_201486"/>
      <w:bookmarkEnd w:id="77563"/>
      <w:r>
        <w:rPr>
          <w:rFonts w:hint="cs"/>
          <w:rtl/>
        </w:rPr>
        <w:t>היינו ממשלה, הייתה החלטה, החלטת הבוחר, 64 מנדטים, שבעיניי נבנ</w:t>
      </w:r>
      <w:bookmarkStart w:id="77564" w:name="_ETM_Q144_209510"/>
      <w:bookmarkEnd w:id="77564"/>
      <w:r>
        <w:rPr>
          <w:rFonts w:hint="cs"/>
          <w:rtl/>
        </w:rPr>
        <w:t xml:space="preserve">ו בסחטנות </w:t>
      </w:r>
      <w:bookmarkStart w:id="77565" w:name="_ETM_Q144_187245"/>
      <w:bookmarkEnd w:id="77565"/>
      <w:r>
        <w:rPr>
          <w:rFonts w:hint="cs"/>
          <w:rtl/>
        </w:rPr>
        <w:t xml:space="preserve">מלאה כשראש הממשלה נתן לסחטנות הזאת לקרות, </w:t>
      </w:r>
      <w:bookmarkStart w:id="77566" w:name="_ETM_Q144_211127"/>
      <w:bookmarkEnd w:id="77566"/>
      <w:r>
        <w:rPr>
          <w:rFonts w:hint="cs"/>
          <w:rtl/>
        </w:rPr>
        <w:t xml:space="preserve">שלקחה את הליכוד הרבה מאוד אחורה. </w:t>
      </w:r>
    </w:p>
    <w:p w:rsidR="00BB59CD" w:rsidRDefault="00BB59CD" w:rsidP="00BB59CD">
      <w:pPr>
        <w:rPr>
          <w:rtl/>
        </w:rPr>
      </w:pPr>
    </w:p>
    <w:p w:rsidR="00BB59CD" w:rsidRDefault="00BB59CD" w:rsidP="00BB59CD">
      <w:pPr>
        <w:rPr>
          <w:rtl/>
        </w:rPr>
      </w:pPr>
      <w:r>
        <w:rPr>
          <w:rFonts w:hint="cs"/>
          <w:rtl/>
        </w:rPr>
        <w:t xml:space="preserve">בשבוע שעבר ציינו </w:t>
      </w:r>
      <w:bookmarkStart w:id="77567" w:name="_ETM_Q144_216581"/>
      <w:bookmarkEnd w:id="77567"/>
      <w:r>
        <w:rPr>
          <w:rFonts w:hint="cs"/>
          <w:rtl/>
        </w:rPr>
        <w:t xml:space="preserve">את יום מותו של ז'בוטינסקי. הרי אם מדברים על רדיקלים, </w:t>
      </w:r>
      <w:bookmarkStart w:id="77568" w:name="_ETM_Q144_224718"/>
      <w:bookmarkEnd w:id="77568"/>
      <w:r>
        <w:rPr>
          <w:rFonts w:hint="cs"/>
          <w:rtl/>
        </w:rPr>
        <w:t xml:space="preserve">ז'בוטינסקי, בכתביו ובחמשת המ"מים שלו, הוא הרי יותר </w:t>
      </w:r>
      <w:bookmarkStart w:id="77569" w:name="_ETM_Q144_230991"/>
      <w:bookmarkEnd w:id="77569"/>
      <w:r>
        <w:rPr>
          <w:rFonts w:hint="cs"/>
          <w:rtl/>
        </w:rPr>
        <w:t>קיצוני מכל אחד שיושב פה בספסלי האופוזיציה. וב</w:t>
      </w:r>
      <w:bookmarkStart w:id="77570" w:name="_ETM_Q144_230667"/>
      <w:bookmarkEnd w:id="77570"/>
      <w:r>
        <w:rPr>
          <w:rFonts w:hint="cs"/>
          <w:rtl/>
        </w:rPr>
        <w:t xml:space="preserve">מה הוא קיצוני? בהבנה שמדינת ישראל צריכה להיות יהודית ודמוקרטית. </w:t>
      </w:r>
      <w:bookmarkStart w:id="77571" w:name="_ETM_Q144_238207"/>
      <w:bookmarkEnd w:id="77571"/>
      <w:r>
        <w:rPr>
          <w:rFonts w:hint="cs"/>
          <w:rtl/>
        </w:rPr>
        <w:t xml:space="preserve">יהודית וליברלית. </w:t>
      </w:r>
    </w:p>
    <w:p w:rsidR="00BB59CD" w:rsidRDefault="00BB59CD" w:rsidP="00BB59CD">
      <w:pPr>
        <w:rPr>
          <w:rtl/>
        </w:rPr>
      </w:pPr>
      <w:bookmarkStart w:id="77572" w:name="_ETM_Q144_241823"/>
      <w:bookmarkStart w:id="77573" w:name="_ETM_Q144_241922"/>
      <w:bookmarkEnd w:id="77572"/>
      <w:bookmarkEnd w:id="77573"/>
    </w:p>
    <w:p w:rsidR="00BB59CD" w:rsidRDefault="00BB59CD" w:rsidP="0039499F">
      <w:pPr>
        <w:rPr>
          <w:rtl/>
        </w:rPr>
      </w:pPr>
      <w:bookmarkStart w:id="77574" w:name="_ETM_Q144_242062"/>
      <w:bookmarkStart w:id="77575" w:name="_ETM_Q144_242143"/>
      <w:bookmarkEnd w:id="77574"/>
      <w:bookmarkEnd w:id="77575"/>
      <w:r>
        <w:rPr>
          <w:rFonts w:hint="cs"/>
          <w:rtl/>
        </w:rPr>
        <w:t xml:space="preserve">אז הליכוד הלך אחרי הקיצוניים שבחבורה, מתוך </w:t>
      </w:r>
      <w:bookmarkStart w:id="77576" w:name="_ETM_Q144_243114"/>
      <w:bookmarkEnd w:id="77576"/>
      <w:r>
        <w:rPr>
          <w:rFonts w:hint="cs"/>
          <w:rtl/>
        </w:rPr>
        <w:t xml:space="preserve">הבנה שאולי – לא אולי, היה ברור – שאם </w:t>
      </w:r>
      <w:bookmarkStart w:id="77577" w:name="_ETM_Q144_246953"/>
      <w:bookmarkEnd w:id="77577"/>
      <w:r>
        <w:rPr>
          <w:rFonts w:hint="cs"/>
          <w:rtl/>
        </w:rPr>
        <w:t xml:space="preserve">הקיצוניים האלה לא ייתנו את קולם אז אין לליכוד היתכנות </w:t>
      </w:r>
      <w:bookmarkStart w:id="77578" w:name="_ETM_Q144_255286"/>
      <w:bookmarkEnd w:id="77578"/>
      <w:r>
        <w:rPr>
          <w:rFonts w:hint="cs"/>
          <w:rtl/>
        </w:rPr>
        <w:t>לחזור לשלטון, אבל בדרך הליכוד הרס את המדינה. ואני אומר</w:t>
      </w:r>
      <w:bookmarkStart w:id="77579" w:name="_ETM_Q144_258210"/>
      <w:bookmarkEnd w:id="77579"/>
      <w:r>
        <w:rPr>
          <w:rFonts w:hint="cs"/>
          <w:rtl/>
        </w:rPr>
        <w:t xml:space="preserve">ת לכם, יש פה בקואליציה חברי כנסת </w:t>
      </w:r>
      <w:bookmarkStart w:id="77580" w:name="_ETM_Q144_261806"/>
      <w:bookmarkEnd w:id="77580"/>
      <w:r>
        <w:rPr>
          <w:rFonts w:hint="cs"/>
          <w:rtl/>
        </w:rPr>
        <w:t xml:space="preserve">שיגיעו במהלך היום, אני לא יודעת אם נגיע </w:t>
      </w:r>
      <w:bookmarkStart w:id="77581" w:name="_ETM_Q144_263582"/>
      <w:bookmarkEnd w:id="77581"/>
      <w:r>
        <w:rPr>
          <w:rFonts w:hint="cs"/>
          <w:rtl/>
        </w:rPr>
        <w:t xml:space="preserve">להצבעה או לא נגיע, אני לא יודעת מה </w:t>
      </w:r>
      <w:bookmarkStart w:id="77582" w:name="_ETM_Q144_269646"/>
      <w:bookmarkEnd w:id="77582"/>
      <w:r>
        <w:rPr>
          <w:rFonts w:hint="cs"/>
          <w:rtl/>
        </w:rPr>
        <w:t xml:space="preserve">יהיה במהלך היום; אני אומרת לכם, שחררו </w:t>
      </w:r>
      <w:bookmarkStart w:id="77583" w:name="_ETM_Q144_270768"/>
      <w:bookmarkEnd w:id="77583"/>
      <w:r>
        <w:rPr>
          <w:rFonts w:hint="cs"/>
          <w:rtl/>
        </w:rPr>
        <w:t xml:space="preserve">רגע את הקיצוניים שמשכו את המדינה בחודשים האחרונים לתהום שהיא </w:t>
      </w:r>
      <w:bookmarkStart w:id="77584" w:name="_ETM_Q144_278157"/>
      <w:bookmarkEnd w:id="77584"/>
      <w:r>
        <w:rPr>
          <w:rFonts w:hint="cs"/>
          <w:rtl/>
        </w:rPr>
        <w:t xml:space="preserve">נמצאת בה ותשאלו את עצמכם: כשאתם הצטרפתם </w:t>
      </w:r>
      <w:bookmarkStart w:id="77585" w:name="_ETM_Q144_281716"/>
      <w:bookmarkEnd w:id="77585"/>
      <w:r>
        <w:rPr>
          <w:rFonts w:hint="cs"/>
          <w:rtl/>
        </w:rPr>
        <w:t xml:space="preserve">לפוליטיקה, ליכודניקים שהלכו בדרך של יהדות ודמוקרטיה, יהדות וליברליות, </w:t>
      </w:r>
      <w:bookmarkStart w:id="77586" w:name="_ETM_Q144_285984"/>
      <w:bookmarkEnd w:id="77586"/>
      <w:r>
        <w:rPr>
          <w:rFonts w:hint="cs"/>
          <w:rtl/>
        </w:rPr>
        <w:t>האם אתם חשבתם אי</w:t>
      </w:r>
      <w:r w:rsidR="0039499F">
        <w:rPr>
          <w:rFonts w:hint="cs"/>
          <w:rtl/>
        </w:rPr>
        <w:t xml:space="preserve"> </w:t>
      </w:r>
      <w:r>
        <w:rPr>
          <w:rFonts w:hint="cs"/>
          <w:rtl/>
        </w:rPr>
        <w:t>פעם שהפגיעה במדינת ישראל, בכל הרמות, בכל ההיבטים, תהיה כל כך קיצונית, בגלל שנעתרתם לרצונם של הקיצוני</w:t>
      </w:r>
      <w:r w:rsidR="0039499F">
        <w:rPr>
          <w:rFonts w:hint="cs"/>
          <w:rtl/>
        </w:rPr>
        <w:t>י</w:t>
      </w:r>
      <w:r>
        <w:rPr>
          <w:rFonts w:hint="cs"/>
          <w:rtl/>
        </w:rPr>
        <w:t xml:space="preserve">ם? </w:t>
      </w:r>
    </w:p>
    <w:p w:rsidR="00BB59CD" w:rsidRDefault="00BB59CD" w:rsidP="00BB59CD">
      <w:pPr>
        <w:rPr>
          <w:rtl/>
        </w:rPr>
      </w:pPr>
    </w:p>
    <w:p w:rsidR="00BB59CD" w:rsidRDefault="00BB59CD" w:rsidP="0039499F">
      <w:pPr>
        <w:rPr>
          <w:rtl/>
        </w:rPr>
      </w:pPr>
      <w:r>
        <w:rPr>
          <w:rFonts w:hint="cs"/>
          <w:rtl/>
        </w:rPr>
        <w:t xml:space="preserve">מי זה הקיצוניים? בן </w:t>
      </w:r>
      <w:bookmarkStart w:id="77587" w:name="_ETM_Q144_299936"/>
      <w:bookmarkEnd w:id="77587"/>
      <w:r>
        <w:rPr>
          <w:rFonts w:hint="cs"/>
          <w:rtl/>
        </w:rPr>
        <w:t xml:space="preserve">גביר, שר המשילות, אמר: אני אבוא ואעשה משילות – </w:t>
      </w:r>
      <w:bookmarkStart w:id="77588" w:name="_ETM_Q144_306186"/>
      <w:bookmarkEnd w:id="77588"/>
      <w:r>
        <w:rPr>
          <w:rFonts w:hint="cs"/>
          <w:rtl/>
        </w:rPr>
        <w:t xml:space="preserve">ותסתכלו על היקפי הפשיעה והרצח וההשתוללות בכל היבט שהוא, כי אזרחים חווים היעדר משילות בכל חלקי הארץ. מי שחושב שזה דרום, זה צפון, לא נורא, לא נרגיש, </w:t>
      </w:r>
      <w:bookmarkStart w:id="77589" w:name="_ETM_Q144_319082"/>
      <w:bookmarkEnd w:id="77589"/>
      <w:r>
        <w:rPr>
          <w:rFonts w:hint="cs"/>
          <w:rtl/>
        </w:rPr>
        <w:t xml:space="preserve">זה בקצוות של המדינה, בפריפריה – זה שטויות. אני אומרת </w:t>
      </w:r>
      <w:bookmarkStart w:id="77590" w:name="_ETM_Q144_322181"/>
      <w:bookmarkEnd w:id="77590"/>
      <w:r>
        <w:rPr>
          <w:rFonts w:hint="cs"/>
          <w:rtl/>
        </w:rPr>
        <w:t xml:space="preserve">לכם כמי שחיה בתל אביב שחוסר המשילות נמצא בכל מקום. בכל מקום. אז אתם הולכים אחריו? אחרי האיש שבמוצאי שבת צייץ "אני פותח את בר הסלטים", כאילו זה </w:t>
      </w:r>
      <w:bookmarkStart w:id="77591" w:name="_ETM_Q144_335265"/>
      <w:bookmarkEnd w:id="77591"/>
      <w:r>
        <w:rPr>
          <w:rFonts w:hint="cs"/>
          <w:rtl/>
        </w:rPr>
        <w:t xml:space="preserve">החוק הראשון, הסבירות, ואחריו עוד יבואו חוקים </w:t>
      </w:r>
      <w:bookmarkStart w:id="77592" w:name="_ETM_Q144_341315"/>
      <w:bookmarkEnd w:id="77592"/>
      <w:r>
        <w:rPr>
          <w:rFonts w:hint="cs"/>
          <w:rtl/>
        </w:rPr>
        <w:t>קיצוניים לפרק את המדינה? אחרי האיש הזה אתם הולכים?</w:t>
      </w:r>
      <w:bookmarkStart w:id="77593" w:name="_ETM_Q144_342788"/>
      <w:bookmarkStart w:id="77594" w:name="_ETM_Q144_342880"/>
      <w:bookmarkStart w:id="77595" w:name="_ETM_Q144_342932"/>
      <w:bookmarkStart w:id="77596" w:name="_ETM_Q144_343013"/>
      <w:bookmarkEnd w:id="77593"/>
      <w:bookmarkEnd w:id="77594"/>
      <w:bookmarkEnd w:id="77595"/>
      <w:bookmarkEnd w:id="77596"/>
      <w:r>
        <w:rPr>
          <w:rFonts w:hint="cs"/>
          <w:rtl/>
        </w:rPr>
        <w:t xml:space="preserve"> אחרי סמוטריץ', שנתתם בידיו את קופת המדינה, את האוצר של המדינה</w:t>
      </w:r>
      <w:r w:rsidR="0039499F">
        <w:rPr>
          <w:rFonts w:hint="cs"/>
          <w:rtl/>
        </w:rPr>
        <w:t>,</w:t>
      </w:r>
      <w:r>
        <w:rPr>
          <w:rFonts w:hint="cs"/>
          <w:rtl/>
        </w:rPr>
        <w:t xml:space="preserve"> כדי </w:t>
      </w:r>
      <w:bookmarkStart w:id="77597" w:name="_ETM_Q144_348546"/>
      <w:bookmarkEnd w:id="77597"/>
      <w:r>
        <w:rPr>
          <w:rFonts w:hint="cs"/>
          <w:rtl/>
        </w:rPr>
        <w:t xml:space="preserve">לקדם את המדינה, כדי לצמצם ולהצמיח אותה – אני </w:t>
      </w:r>
      <w:bookmarkStart w:id="77598" w:name="_ETM_Q144_354858"/>
      <w:bookmarkEnd w:id="77598"/>
      <w:r>
        <w:rPr>
          <w:rFonts w:hint="cs"/>
          <w:rtl/>
        </w:rPr>
        <w:t xml:space="preserve">יודעת כשרת הכלכלה לשעבר מה המשמעות של להצמיח מדינה </w:t>
      </w:r>
      <w:bookmarkStart w:id="77599" w:name="_ETM_Q144_355854"/>
      <w:bookmarkEnd w:id="77599"/>
      <w:r>
        <w:rPr>
          <w:rFonts w:hint="cs"/>
          <w:rtl/>
        </w:rPr>
        <w:t xml:space="preserve">וכמה עבודה זה דורש. והוא לוקח את הכסף </w:t>
      </w:r>
      <w:bookmarkStart w:id="77600" w:name="_ETM_Q144_359867"/>
      <w:bookmarkEnd w:id="77600"/>
      <w:r>
        <w:rPr>
          <w:rFonts w:hint="cs"/>
          <w:rtl/>
        </w:rPr>
        <w:t xml:space="preserve">הזה ושופך אותו על כל הדברים הלא-נכונים. והשקל </w:t>
      </w:r>
      <w:bookmarkStart w:id="77601" w:name="_ETM_Q144_365275"/>
      <w:bookmarkEnd w:id="77601"/>
      <w:r>
        <w:rPr>
          <w:rFonts w:hint="cs"/>
          <w:rtl/>
        </w:rPr>
        <w:t xml:space="preserve">נחלש, והיכולת של אנשים ללכת למכולת ולקנות באותו שקל קטנה. </w:t>
      </w:r>
      <w:bookmarkStart w:id="77602" w:name="_ETM_Q144_369377"/>
      <w:bookmarkEnd w:id="77602"/>
      <w:r>
        <w:rPr>
          <w:rFonts w:hint="cs"/>
          <w:rtl/>
        </w:rPr>
        <w:t xml:space="preserve">זה משנה עכשיו אם אתה בחרת כזה או אחר? </w:t>
      </w:r>
      <w:bookmarkStart w:id="77603" w:name="_ETM_Q144_376848"/>
      <w:bookmarkEnd w:id="77603"/>
      <w:r>
        <w:rPr>
          <w:rFonts w:hint="cs"/>
          <w:rtl/>
        </w:rPr>
        <w:t xml:space="preserve">אתה לא מבין, את לא מבינה, בכל מקום שאת נמצאת בו שהפגיעה היא בכולנו?   </w:t>
      </w:r>
    </w:p>
    <w:p w:rsidR="00BB59CD" w:rsidRDefault="00BB59CD" w:rsidP="00BB59CD">
      <w:pPr>
        <w:rPr>
          <w:rtl/>
        </w:rPr>
      </w:pPr>
      <w:bookmarkStart w:id="77604" w:name="_ETM_Q144_381816"/>
      <w:bookmarkStart w:id="77605" w:name="_ETM_Q144_381928"/>
      <w:bookmarkStart w:id="77606" w:name="_ETM_Q144_382328"/>
      <w:bookmarkEnd w:id="77604"/>
      <w:bookmarkEnd w:id="77605"/>
      <w:bookmarkEnd w:id="77606"/>
    </w:p>
    <w:p w:rsidR="00BB59CD" w:rsidRDefault="00BB59CD" w:rsidP="00BB59CD">
      <w:pPr>
        <w:rPr>
          <w:rtl/>
        </w:rPr>
      </w:pPr>
      <w:bookmarkStart w:id="77607" w:name="_ETM_Q144_382436"/>
      <w:bookmarkEnd w:id="77607"/>
      <w:r>
        <w:rPr>
          <w:rFonts w:hint="cs"/>
          <w:rtl/>
        </w:rPr>
        <w:t xml:space="preserve">שלא לדבר על החיבור בינינו. הייתי </w:t>
      </w:r>
      <w:bookmarkStart w:id="77608" w:name="_ETM_Q144_382131"/>
      <w:bookmarkEnd w:id="77608"/>
      <w:r>
        <w:rPr>
          <w:rFonts w:hint="cs"/>
          <w:rtl/>
        </w:rPr>
        <w:t xml:space="preserve">ביום שישי בערב בקבלת שבת בשורש. המוחים, אחרי שהם הגיעו והלכו בחום, ישנו לילה קודם בבן </w:t>
      </w:r>
      <w:bookmarkStart w:id="77609" w:name="_ETM_Q144_397020"/>
      <w:bookmarkEnd w:id="77609"/>
      <w:r>
        <w:rPr>
          <w:rFonts w:hint="cs"/>
          <w:rtl/>
        </w:rPr>
        <w:t xml:space="preserve">שמן ואתמול בגן סאקר. הגעתי לבקר אותם, </w:t>
      </w:r>
      <w:bookmarkStart w:id="77610" w:name="_ETM_Q144_403273"/>
      <w:bookmarkEnd w:id="77610"/>
      <w:r>
        <w:rPr>
          <w:rFonts w:hint="cs"/>
          <w:rtl/>
        </w:rPr>
        <w:t>לפגוש אותם בנקודות החניה שלהם. לא ראיתי שם אנרכיסטים</w:t>
      </w:r>
      <w:bookmarkStart w:id="77611" w:name="_ETM_Q144_406195"/>
      <w:bookmarkEnd w:id="77611"/>
      <w:r>
        <w:rPr>
          <w:rFonts w:hint="cs"/>
          <w:rtl/>
        </w:rPr>
        <w:t xml:space="preserve">, לא ראיתי רדיקלים, לא ראיתי אנשים שרוצים ברעת ישראל. </w:t>
      </w:r>
      <w:bookmarkStart w:id="77612" w:name="_ETM_Q144_409498"/>
      <w:bookmarkEnd w:id="77612"/>
      <w:r>
        <w:rPr>
          <w:rFonts w:hint="cs"/>
          <w:rtl/>
        </w:rPr>
        <w:t xml:space="preserve">ראיתי אנשים הגונים, בוכים, אומרים לנו: אנחנו </w:t>
      </w:r>
      <w:bookmarkStart w:id="77613" w:name="_ETM_Q144_416751"/>
      <w:bookmarkEnd w:id="77613"/>
      <w:r>
        <w:rPr>
          <w:rFonts w:hint="cs"/>
          <w:rtl/>
        </w:rPr>
        <w:t xml:space="preserve">לא מוכנים לוותר על ההקרבה הזאת, על כל מה שבנינו. </w:t>
      </w:r>
      <w:bookmarkStart w:id="77614" w:name="_ETM_Q144_422350"/>
      <w:bookmarkEnd w:id="77614"/>
      <w:r>
        <w:rPr>
          <w:rFonts w:hint="cs"/>
          <w:rtl/>
        </w:rPr>
        <w:t xml:space="preserve">אנחנו לא מוכנים שדם ילדינו – אתמול התקשרה </w:t>
      </w:r>
      <w:bookmarkStart w:id="77615" w:name="_ETM_Q144_424746"/>
      <w:bookmarkEnd w:id="77615"/>
      <w:r>
        <w:rPr>
          <w:rFonts w:hint="cs"/>
          <w:rtl/>
        </w:rPr>
        <w:t xml:space="preserve">אליי אימא שכולה, השאירה הודעה כשהיא בוכה. בוכה. אני </w:t>
      </w:r>
      <w:bookmarkStart w:id="77616" w:name="_ETM_Q144_432985"/>
      <w:bookmarkEnd w:id="77616"/>
      <w:r>
        <w:rPr>
          <w:rFonts w:hint="cs"/>
          <w:rtl/>
        </w:rPr>
        <w:t xml:space="preserve">לא יודעת אם היא לא הייתה ליד קבר בנה, משום </w:t>
      </w:r>
      <w:bookmarkStart w:id="77617" w:name="_ETM_Q144_433818"/>
      <w:bookmarkEnd w:id="77617"/>
      <w:r>
        <w:rPr>
          <w:rFonts w:hint="cs"/>
          <w:rtl/>
        </w:rPr>
        <w:t>שהיא נוהגת לפקוד את קבר בנה מדי לילה. היא השאיר</w:t>
      </w:r>
      <w:bookmarkStart w:id="77618" w:name="_ETM_Q144_439263"/>
      <w:bookmarkEnd w:id="77618"/>
      <w:r>
        <w:rPr>
          <w:rFonts w:hint="cs"/>
          <w:rtl/>
        </w:rPr>
        <w:t xml:space="preserve">ה לי הודעה שלא בשביל זה הייתה ההקרבה. </w:t>
      </w:r>
    </w:p>
    <w:p w:rsidR="00BB59CD" w:rsidRDefault="00BB59CD" w:rsidP="00BB59CD">
      <w:pPr>
        <w:rPr>
          <w:rtl/>
        </w:rPr>
      </w:pPr>
    </w:p>
    <w:p w:rsidR="00BB59CD" w:rsidRDefault="00BB59CD" w:rsidP="0039499F">
      <w:pPr>
        <w:rPr>
          <w:rtl/>
        </w:rPr>
      </w:pPr>
      <w:bookmarkStart w:id="77619" w:name="_ETM_Q144_439246"/>
      <w:bookmarkEnd w:id="77619"/>
      <w:r>
        <w:rPr>
          <w:rFonts w:hint="cs"/>
          <w:rtl/>
        </w:rPr>
        <w:t xml:space="preserve">ואני </w:t>
      </w:r>
      <w:bookmarkStart w:id="77620" w:name="_ETM_Q144_440189"/>
      <w:bookmarkEnd w:id="77620"/>
      <w:r>
        <w:rPr>
          <w:rFonts w:hint="cs"/>
          <w:rtl/>
        </w:rPr>
        <w:t xml:space="preserve">שואלת את עצמי: אתם מבינים? אנחנו מבינים מה המחיר, מה המשמעות של ההחלטות האלה </w:t>
      </w:r>
      <w:bookmarkStart w:id="77621" w:name="_ETM_Q144_448117"/>
      <w:bookmarkEnd w:id="77621"/>
      <w:r>
        <w:rPr>
          <w:rFonts w:hint="cs"/>
          <w:rtl/>
        </w:rPr>
        <w:t xml:space="preserve">שהתקבלו? ועל מה? עילת הסבירות? הרי עילת הסבירות הייתה </w:t>
      </w:r>
      <w:bookmarkStart w:id="77622" w:name="_ETM_Q144_455885"/>
      <w:bookmarkEnd w:id="77622"/>
      <w:r>
        <w:rPr>
          <w:rFonts w:hint="cs"/>
          <w:rtl/>
        </w:rPr>
        <w:t xml:space="preserve">פה כל הזמן, וכולנו יודעים שהשימוש בה על ידי </w:t>
      </w:r>
      <w:bookmarkStart w:id="77623" w:name="_ETM_Q144_459328"/>
      <w:bookmarkEnd w:id="77623"/>
      <w:r>
        <w:rPr>
          <w:rFonts w:hint="cs"/>
          <w:rtl/>
        </w:rPr>
        <w:t xml:space="preserve">בית משפט, בוודאי בית המשפט העליון, היה במשורה ובהחלטות שבהרבה </w:t>
      </w:r>
      <w:bookmarkStart w:id="77624" w:name="_ETM_Q144_464044"/>
      <w:bookmarkEnd w:id="77624"/>
      <w:r>
        <w:rPr>
          <w:rFonts w:hint="cs"/>
          <w:rtl/>
        </w:rPr>
        <w:t>פעמים שיחקו – לא היו כל כך הרבה, אבל</w:t>
      </w:r>
      <w:bookmarkStart w:id="77625" w:name="_ETM_Q144_468177"/>
      <w:bookmarkEnd w:id="77625"/>
      <w:r>
        <w:rPr>
          <w:rFonts w:hint="cs"/>
          <w:rtl/>
        </w:rPr>
        <w:t xml:space="preserve"> כשהיו הן שיחקו לטובת החלשים. הן נתנו את המענה לטובת </w:t>
      </w:r>
      <w:bookmarkStart w:id="77626" w:name="_ETM_Q144_474457"/>
      <w:bookmarkEnd w:id="77626"/>
      <w:r>
        <w:rPr>
          <w:rFonts w:hint="cs"/>
          <w:rtl/>
        </w:rPr>
        <w:t xml:space="preserve">המקופח. אז אם לשופט לא תהיה יכולת לדון בסבירות, ואם </w:t>
      </w:r>
      <w:bookmarkStart w:id="77627" w:name="_ETM_Q144_478550"/>
      <w:bookmarkEnd w:id="77627"/>
      <w:r>
        <w:rPr>
          <w:rFonts w:hint="cs"/>
          <w:rtl/>
        </w:rPr>
        <w:t xml:space="preserve">לממשלה פוליטית, שההישרדות הפוליטית שלה היא הדבר המשמעותי ביותר עבורה, </w:t>
      </w:r>
      <w:bookmarkStart w:id="77628" w:name="_ETM_Q144_485052"/>
      <w:bookmarkEnd w:id="77628"/>
      <w:r>
        <w:rPr>
          <w:rFonts w:hint="cs"/>
          <w:rtl/>
        </w:rPr>
        <w:t xml:space="preserve">תהיה היכולת לקבל החלטה לא סבירה ולמנות אדם לא סביר </w:t>
      </w:r>
      <w:bookmarkStart w:id="77629" w:name="_ETM_Q144_490919"/>
      <w:bookmarkEnd w:id="77629"/>
      <w:r>
        <w:rPr>
          <w:rFonts w:hint="cs"/>
          <w:rtl/>
        </w:rPr>
        <w:t xml:space="preserve">למינוי – את מי האדם הזה ישרת? בעבור מי פוליטיקאים מתמנים לתפקידים? בעלי תפקידים ברמת מנכ"לים, שליחי ציבור – את מי הם נועדו לשרת? עובד ציבור, כשמו </w:t>
      </w:r>
      <w:bookmarkStart w:id="77630" w:name="_ETM_Q144_504831"/>
      <w:bookmarkEnd w:id="77630"/>
      <w:r>
        <w:rPr>
          <w:rFonts w:hint="cs"/>
          <w:rtl/>
        </w:rPr>
        <w:t xml:space="preserve">כן הוא, נועד לעבוד את הציבור. אז איך הממשלה הזאת רוצה להעביר חוק שיאפשר לה לבחור עובדי ציבור </w:t>
      </w:r>
      <w:bookmarkStart w:id="77631" w:name="_ETM_Q144_515479"/>
      <w:bookmarkEnd w:id="77631"/>
      <w:r>
        <w:rPr>
          <w:rFonts w:hint="cs"/>
          <w:rtl/>
        </w:rPr>
        <w:t xml:space="preserve">שלא ישרתו את הציבור? אתם שומעים מה זה אומר? זה </w:t>
      </w:r>
      <w:bookmarkStart w:id="77632" w:name="_ETM_Q144_518626"/>
      <w:bookmarkEnd w:id="77632"/>
      <w:r>
        <w:rPr>
          <w:rFonts w:hint="cs"/>
          <w:rtl/>
        </w:rPr>
        <w:t>אומר שהציבור נותן מנדט לממשלה לבחור אנשים לא ראויים</w:t>
      </w:r>
      <w:bookmarkStart w:id="77633" w:name="_ETM_Q144_523787"/>
      <w:bookmarkEnd w:id="77633"/>
      <w:r w:rsidR="0039499F">
        <w:rPr>
          <w:rFonts w:hint="cs"/>
          <w:rtl/>
        </w:rPr>
        <w:t>.</w:t>
      </w:r>
      <w:r>
        <w:rPr>
          <w:rFonts w:hint="cs"/>
          <w:rtl/>
        </w:rPr>
        <w:t xml:space="preserve"> זה סיפור ביטול הסבירות במינויים</w:t>
      </w:r>
      <w:r w:rsidR="0039499F">
        <w:rPr>
          <w:rFonts w:hint="cs"/>
          <w:rtl/>
        </w:rPr>
        <w:t>,</w:t>
      </w:r>
      <w:r>
        <w:rPr>
          <w:rFonts w:hint="cs"/>
          <w:rtl/>
        </w:rPr>
        <w:t xml:space="preserve"> אנשים לא ראויים שישבו בתפקידם ויקבלו החלטות לא ראויות, נגועות </w:t>
      </w:r>
      <w:bookmarkStart w:id="77634" w:name="_ETM_Q144_534311"/>
      <w:bookmarkEnd w:id="77634"/>
      <w:r>
        <w:rPr>
          <w:rFonts w:hint="cs"/>
          <w:rtl/>
        </w:rPr>
        <w:t xml:space="preserve">בשיקולים פוליטיים, ואף אחד לא יוכל לפסול אותם מתפקידם. </w:t>
      </w:r>
      <w:bookmarkStart w:id="77635" w:name="_ETM_Q144_536956"/>
      <w:bookmarkStart w:id="77636" w:name="_ETM_Q144_538248"/>
      <w:bookmarkStart w:id="77637" w:name="_ETM_Q144_538344"/>
      <w:bookmarkStart w:id="77638" w:name="_ETM_Q144_538392"/>
      <w:bookmarkStart w:id="77639" w:name="_ETM_Q144_538493"/>
      <w:bookmarkEnd w:id="77635"/>
      <w:bookmarkEnd w:id="77636"/>
      <w:bookmarkEnd w:id="77637"/>
      <w:bookmarkEnd w:id="77638"/>
      <w:bookmarkEnd w:id="77639"/>
      <w:r>
        <w:rPr>
          <w:rFonts w:hint="cs"/>
          <w:rtl/>
        </w:rPr>
        <w:t xml:space="preserve">זה לא נורמלי. מדינה שוחרת טוב לא מקבלת החלטות </w:t>
      </w:r>
      <w:bookmarkStart w:id="77640" w:name="_ETM_Q144_540834"/>
      <w:bookmarkEnd w:id="77640"/>
      <w:r>
        <w:rPr>
          <w:rFonts w:hint="cs"/>
          <w:rtl/>
        </w:rPr>
        <w:t xml:space="preserve">כאלה. הפיקדון שמופקד בידי פוליטיקאים הוא כדי לשרת </w:t>
      </w:r>
      <w:bookmarkStart w:id="77641" w:name="_ETM_Q144_547540"/>
      <w:bookmarkEnd w:id="77641"/>
      <w:r>
        <w:rPr>
          <w:rFonts w:hint="cs"/>
          <w:rtl/>
        </w:rPr>
        <w:t xml:space="preserve">את המדינה, לא כדי לשרת את עצמם. והעובדה שהחוק הזה </w:t>
      </w:r>
      <w:bookmarkStart w:id="77642" w:name="_ETM_Q144_553014"/>
      <w:bookmarkEnd w:id="77642"/>
      <w:r>
        <w:rPr>
          <w:rFonts w:hint="cs"/>
          <w:rtl/>
        </w:rPr>
        <w:t xml:space="preserve">מגיע לשולחננו הבוקר – אני מקווה מאוד שהחוק הזה לא </w:t>
      </w:r>
      <w:bookmarkStart w:id="77643" w:name="_ETM_Q144_558355"/>
      <w:bookmarkEnd w:id="77643"/>
      <w:r>
        <w:rPr>
          <w:rFonts w:hint="cs"/>
          <w:rtl/>
        </w:rPr>
        <w:t xml:space="preserve">יוכל לעבור, משום שהוא פוגע משמעותית בכל אזרח במדינה. </w:t>
      </w:r>
      <w:bookmarkStart w:id="77644" w:name="_ETM_Q144_562780"/>
      <w:bookmarkEnd w:id="77644"/>
      <w:r>
        <w:rPr>
          <w:rFonts w:hint="cs"/>
          <w:rtl/>
        </w:rPr>
        <w:t>התכלית שלו היא להגן על פוליטיקאים מפני משפ</w:t>
      </w:r>
      <w:bookmarkStart w:id="77645" w:name="_ETM_Q144_568766"/>
      <w:bookmarkEnd w:id="77645"/>
      <w:r>
        <w:rPr>
          <w:rFonts w:hint="cs"/>
          <w:rtl/>
        </w:rPr>
        <w:t xml:space="preserve">ט צדק, להגן על פוליטיקאים מפני החלטות גרועות </w:t>
      </w:r>
      <w:bookmarkStart w:id="77646" w:name="_ETM_Q144_572945"/>
      <w:bookmarkEnd w:id="77646"/>
      <w:r>
        <w:rPr>
          <w:rFonts w:hint="cs"/>
          <w:rtl/>
        </w:rPr>
        <w:t xml:space="preserve">כנגד הציבור, להגן על פוליטיקאים מפני חוסר היכולת </w:t>
      </w:r>
      <w:bookmarkStart w:id="77647" w:name="_ETM_Q144_574502"/>
      <w:bookmarkEnd w:id="77647"/>
      <w:r>
        <w:rPr>
          <w:rFonts w:hint="cs"/>
          <w:rtl/>
        </w:rPr>
        <w:t xml:space="preserve">שלהם לשרוד פוליטית, מראש הממשלה ומטה, עבור בשרים </w:t>
      </w:r>
      <w:bookmarkStart w:id="77648" w:name="_ETM_Q144_583102"/>
      <w:bookmarkEnd w:id="77648"/>
      <w:r>
        <w:rPr>
          <w:rFonts w:hint="cs"/>
          <w:rtl/>
        </w:rPr>
        <w:t xml:space="preserve">שעברו עבירות כאלה ואחרות ורוצים לחזור למגרש הפוליטי. כל הדרך הזאת היא דרך רעה. ואני אומרת את זה כאן כמעט </w:t>
      </w:r>
      <w:bookmarkStart w:id="77649" w:name="_ETM_Q144_595377"/>
      <w:bookmarkEnd w:id="77649"/>
      <w:r>
        <w:rPr>
          <w:rFonts w:hint="cs"/>
          <w:rtl/>
        </w:rPr>
        <w:t xml:space="preserve">ברגעים האחרונים שלפני העברת החוק הנורא הזה. </w:t>
      </w:r>
    </w:p>
    <w:p w:rsidR="00BB59CD" w:rsidRDefault="00BB59CD" w:rsidP="00BB59CD">
      <w:pPr>
        <w:rPr>
          <w:rtl/>
        </w:rPr>
      </w:pPr>
    </w:p>
    <w:p w:rsidR="00EF20FA" w:rsidRDefault="00BB59CD" w:rsidP="00EF20FA">
      <w:pPr>
        <w:rPr>
          <w:rtl/>
        </w:rPr>
      </w:pPr>
      <w:r>
        <w:rPr>
          <w:rFonts w:hint="cs"/>
          <w:rtl/>
        </w:rPr>
        <w:t xml:space="preserve">זה לא </w:t>
      </w:r>
      <w:bookmarkStart w:id="77650" w:name="_ETM_Q144_597953"/>
      <w:bookmarkEnd w:id="77650"/>
      <w:r>
        <w:rPr>
          <w:rFonts w:hint="cs"/>
          <w:rtl/>
        </w:rPr>
        <w:t xml:space="preserve">עומד בפני עצמו, זה תלוי הקשר, כולנו מבינים. הרי ההחלטות </w:t>
      </w:r>
      <w:bookmarkStart w:id="77651" w:name="_ETM_Q144_604092"/>
      <w:bookmarkEnd w:id="77651"/>
      <w:r>
        <w:rPr>
          <w:rFonts w:hint="cs"/>
          <w:rtl/>
        </w:rPr>
        <w:t xml:space="preserve">הרעות שהתקבלו בשבעת החודשים האחרונים הביאו אותנו למציאות בלתי </w:t>
      </w:r>
      <w:bookmarkStart w:id="77652" w:name="_ETM_Q144_609763"/>
      <w:bookmarkEnd w:id="77652"/>
      <w:r>
        <w:rPr>
          <w:rFonts w:hint="cs"/>
          <w:rtl/>
        </w:rPr>
        <w:t xml:space="preserve">אפשרית במדינה, הביאו אותנו למציאות שנוגעת לעניין היכולת הביטחונית, </w:t>
      </w:r>
      <w:bookmarkStart w:id="77653" w:name="_ETM_Q144_617050"/>
      <w:bookmarkEnd w:id="77653"/>
      <w:r>
        <w:rPr>
          <w:rFonts w:hint="cs"/>
          <w:rtl/>
        </w:rPr>
        <w:t xml:space="preserve">הכשירות הביטחונית שלנו, שהולכת ונשחקת. ואני מכירה את האנשים שמדברים, </w:t>
      </w:r>
      <w:bookmarkStart w:id="77654" w:name="_ETM_Q144_620880"/>
      <w:bookmarkEnd w:id="77654"/>
      <w:r>
        <w:rPr>
          <w:rFonts w:hint="cs"/>
          <w:rtl/>
        </w:rPr>
        <w:t xml:space="preserve">את חלק מהכותבים, אני מכירה את הדינמיקה במטה הכללי. יש </w:t>
      </w:r>
      <w:bookmarkStart w:id="77655" w:name="_ETM_Q144_625007"/>
      <w:bookmarkEnd w:id="77655"/>
      <w:r>
        <w:rPr>
          <w:rFonts w:hint="cs"/>
          <w:rtl/>
        </w:rPr>
        <w:t xml:space="preserve">פה דאגה עמוקה לביטחון המדינה. יש פה דאגה </w:t>
      </w:r>
      <w:bookmarkStart w:id="77656" w:name="_ETM_Q144_631990"/>
      <w:bookmarkEnd w:id="77656"/>
      <w:r>
        <w:rPr>
          <w:rFonts w:hint="cs"/>
          <w:rtl/>
        </w:rPr>
        <w:t xml:space="preserve">עמוקה לספק ביטחון לעמוד מול </w:t>
      </w:r>
      <w:r w:rsidR="00EF20FA">
        <w:rPr>
          <w:rFonts w:hint="cs"/>
          <w:rtl/>
        </w:rPr>
        <w:t xml:space="preserve">אויבינו. הטריקיות החמקמקה הזאת היא מאוד ברורה. משום שכשאני עומדת עכשיו במליאה – או כל אזרח אחר או כל חבר כנסת שיעמוד – אנחנו מניחים שאויבינו מקשיבים לנו, ואנחנו לא רוצים לשחק לידיהם. אז תיקחו בחשבון שאנשי הביטחון שמדברים, אלה שמכהנים ואלה שהיו בעבר אנשי ביטחון, בכל כוחות הביטחון, נזהרים בלשונם, כי הם לא מוכנים לשחק לידיהם של האויבים שלנו. ואם הם נזהרים בלשונם והם אומרים את כל מה שהם אומרים, אנחנו לא מבינים שאנחנו בשעת משבר אמיתית ביכולת שלנו להגן על עצמנו? השתגענו? השתגעתם? </w:t>
      </w:r>
    </w:p>
    <w:p w:rsidR="00EF20FA" w:rsidRDefault="00EF20FA" w:rsidP="00EF20FA">
      <w:pPr>
        <w:rPr>
          <w:rtl/>
        </w:rPr>
      </w:pPr>
    </w:p>
    <w:p w:rsidR="00EF20FA" w:rsidRDefault="00EF20FA" w:rsidP="00EF20FA">
      <w:pPr>
        <w:rPr>
          <w:rtl/>
        </w:rPr>
      </w:pPr>
      <w:r>
        <w:rPr>
          <w:rFonts w:hint="cs"/>
          <w:rtl/>
        </w:rPr>
        <w:t xml:space="preserve">אני שואלת אתכם בצורה הכי ישירה: מי נושא באחריות לביטחון המדינה? מה, זה משנה פוליטית באיזה צד של המטבע, כשאנחנו לא נהיה מסוגלים לתת הגנה לאזרחי המדינה? מישהו פעם שאל בצבא למי הצבעת, מה יש לך מתחת לקסדה, יש לך כיפה, אין לך כיפה? אף אחד לא שאל, תמיד הבנו שיש לנו אחדות משימה, אנחנו צריכים להגן על הבית, וביחד עושים את הטוב ביותר שכולנו יכולים. </w:t>
      </w:r>
    </w:p>
    <w:p w:rsidR="00EF20FA" w:rsidRDefault="00EF20FA" w:rsidP="00EF20FA">
      <w:pPr>
        <w:rPr>
          <w:rtl/>
        </w:rPr>
      </w:pPr>
    </w:p>
    <w:p w:rsidR="00EF20FA" w:rsidRDefault="00EF20FA" w:rsidP="00EF20FA">
      <w:pPr>
        <w:rPr>
          <w:rtl/>
        </w:rPr>
      </w:pPr>
      <w:r>
        <w:rPr>
          <w:rFonts w:hint="cs"/>
          <w:rtl/>
        </w:rPr>
        <w:t xml:space="preserve">אבל זה כבר מזמן לא שם, כי האחדות המדומה הזאת שאנחנו מדברים עליה – ואני אומרת את זה ערב יום תשעה באב – היא לא באמת אחדות, היא לא באמת במקום שבו היינו רוצים, או שאני, בכל אופן, הייתי רוצה להיות. איך אני יודעת את זה? כי אני מסתכלת על המילה "שוויון"; המילה "שוויון" מבחינתי היא ערך מאוד בסיסי, היא מבטאת את העובדה שכולנו נולדנו שווים, דבר מאוד פשוט, כלל מאוד פשוט, שאומר: למה אנחנו פוחדים לתת זכויות שוות לכל אזרח? מה, ממה אנחנו פוחדים? הרי כולנו בני אדם. אתם שואלים אותי – היהדות כדת, כתרבות, כתפיסת עולם באה מהמקום הזה שכולנו שווים, שחביב אדם שנברא בצלם. </w:t>
      </w:r>
      <w:r>
        <w:rPr>
          <w:rFonts w:hint="cs"/>
          <w:rtl/>
          <w:lang w:eastAsia="he-IL"/>
        </w:rPr>
        <w:t xml:space="preserve">אז מה אנחנו עושים? אנחנו ב-2023 לוקחים את המילה "שוויון" והופכים אותה למילה כמעט בזויה, שצריך לפרק אותה. מדברים על שוויון מגדרי, אז קמות פה חברות כנסת ושרות שמפרקות את הרשות לקידום הנשים, ואומרות: אה, זה טוב, </w:t>
      </w:r>
      <w:r>
        <w:rPr>
          <w:rFonts w:hint="cs"/>
          <w:rtl/>
        </w:rPr>
        <w:t xml:space="preserve">זה בסדר, תסמכו עלינו, אנחנו נפרק את הרשות הזאת, והשוויון יתקדם. כאילו נשים, 50% מהאוכלוסייה, כבר הגיעו לקצה בשוויון שלהן. </w:t>
      </w:r>
    </w:p>
    <w:p w:rsidR="00EF20FA" w:rsidRDefault="00EF20FA" w:rsidP="00EF20FA">
      <w:pPr>
        <w:rPr>
          <w:rtl/>
        </w:rPr>
      </w:pPr>
    </w:p>
    <w:p w:rsidR="00EF20FA" w:rsidRDefault="00EF20FA" w:rsidP="00EF20FA">
      <w:pPr>
        <w:rPr>
          <w:rtl/>
        </w:rPr>
      </w:pPr>
      <w:r>
        <w:rPr>
          <w:rFonts w:hint="cs"/>
          <w:rtl/>
        </w:rPr>
        <w:t xml:space="preserve">אנחנו רחוקות רחוקות. כשרת העבודה אני יכולה להגיד לכם שהפער מאוד משמעותי בשכר בין נשים לגברים ובזכויות שלהן בעבודה ובחיים בכלל ואימהות חד-הוריות וכו', ופעלנו רבות כדי לצמצם את הפערים האלה. אז במקום להמשיך באותה מגמה של צמצום פערים – מי הנשים האלה? אלה הנשים שלכם, אלה הבנות שלכם, אלה הכלות שלכם, זו כל ילדה שתיוולד בישראל ותסתכל למעלה ותגיד: מי האישה הזאת שאני מסתכלת עליה ואני רוצה להיות כמוה? כי אתם מבטלים את הדמויות הנשיות. לא רק שאתם מבטלים, אתם לא רוצים לאפשר לאחרות שיבואו אחריהן. אז מי שפרצה את הדרך, נשארת שם לבד. לאורך כל החיים חשבתי שכשאני פורצת דרך, אני סוללת את הדרך לבאות אחריי. איזה "באות אחריי"? הן רק מתרחקות. עם משקפת אי-אפשר לראות את ה"באות אחריי", משום שהממשלה הזאת והכנסת הזאת מחוקקות חוקים שלא יאפשרו לנשים להיות בקדמת הבמה. יש פה מפלגות שנשים לא יכולות להיות בהן – למה? כי הן נשים. יש תפקידים שסגורים בפני נשים – מנכ"ליות, שרות. נותנים להן תפקידי "כאילו", ותפקידי ה"כאילו" האלה באים ופוגעים עוד יותר בזכויות נשים. </w:t>
      </w:r>
    </w:p>
    <w:p w:rsidR="00EF20FA" w:rsidRDefault="00EF20FA" w:rsidP="00EF20FA">
      <w:pPr>
        <w:rPr>
          <w:rtl/>
        </w:rPr>
      </w:pPr>
    </w:p>
    <w:p w:rsidR="00EF20FA" w:rsidRDefault="00EF20FA" w:rsidP="00EF20FA">
      <w:pPr>
        <w:rPr>
          <w:rtl/>
        </w:rPr>
      </w:pPr>
      <w:r>
        <w:rPr>
          <w:rFonts w:hint="cs"/>
          <w:rtl/>
        </w:rPr>
        <w:t xml:space="preserve">אני מסתכלת על המילה "שוויון", ואני אומרת: מה היא מייצגת היום עבור הבית הזה, עבור הממשלה הזאת? כלום ושום דבר. אני מסתכלת על שוויון בהקשרים של חוק גיוס לצבא, ואני אומרת לכם, אנחנו בעיצומו של גיוס אוגוסט, הוא מתחיל ביולי. אני יודעת שיעמדו חיילים בבקו"ם, מה שנקרא המיטב היום, והם יישלחו למיטב יחידות הצבא. כשהם יישבעו כבר ביום הגיוס שלהם לצה"ל, הם יישבעו על זה שהם יהיו מוכנים לחרף את נפשם למען הגנת המדינה. ככה גידלנו דורות, ככה חינכנו, שלחנו את ילדינו למקומות הכי מאתגרים, הכי קשים, הכי שוחקים, כי אמרנו: המשמרת שלנו היא לעשות את המיטב ולהבטיח את ביטחונה וקיומה של המדינה גם עם היקר לנו מכול, אותו אנחנו שולחים להגן על ביטחון המדינה. </w:t>
      </w:r>
    </w:p>
    <w:p w:rsidR="00EF20FA" w:rsidRDefault="00EF20FA" w:rsidP="00EF20FA">
      <w:pPr>
        <w:rPr>
          <w:rtl/>
        </w:rPr>
      </w:pPr>
    </w:p>
    <w:p w:rsidR="00EF20FA" w:rsidRDefault="00EF20FA" w:rsidP="00EF20FA">
      <w:pPr>
        <w:rPr>
          <w:rtl/>
        </w:rPr>
      </w:pPr>
      <w:r>
        <w:rPr>
          <w:rFonts w:hint="cs"/>
          <w:rtl/>
        </w:rPr>
        <w:t xml:space="preserve">אתם יודעים, יש מישהי שכתבה ספר שהיא קראה לו "מהאולטרסאונד לבקו"ם". זה היה עוד לפני שנשים היו בכלל בתפקידי לחימה. היא אמרה: כל אימא בישראל יודעת שכאשר באולטרסאונד אומרים לה שיש לה בן, כבר כשהוא ברחמה – היא כבר לא קונה את זה שיהיה שלום מתישהו – היא יודעת שהסיכוי שלו להגיע לצבא הוא גבוה, ומקבלת את זה ומחנכת את ילדיה לנתינה ולהקרבה. באה הממשלה הזאת ואומרת: לא לא לא, יש חלק שימשיכו לשאת בחובת הגיוס ויש חלק שלא יתגייסו בכלל, כי המילה "שוויון" לא חלה עליהם. אבל אי-אפשר לעשות את זה בניגוד לחוק, אז משנים את החוק וקובעים כל מיני עילות של התגברות, מילים כאלה חמקמקות – סבירות, התגברות וכל מיני מילים שמסתובבות פה בחלל הציבוריות הישראלית. שהמילים האלה לא יטעו אתכם – זאת תפיסת עולם, זאת אג'נדה, שאומרת: יש כאלה שיהיו חייבים, יש כאלה שלא, רק מסיבה אחת, רק מסיבה אחת; לא כי זה צודק, לא כי זה נכון – רק מאותה סיבה שמאפשרת הישרדות פוליטית למי שעומד בראש הממשלה ולאותה קואליציה קיצונית שהוא הקים, כי הוא הבין שבלעדיה הוא לא יכול לשרוד פוליטית. </w:t>
      </w:r>
    </w:p>
    <w:p w:rsidR="00EF20FA" w:rsidRDefault="00EF20FA" w:rsidP="00EF20FA">
      <w:pPr>
        <w:rPr>
          <w:rtl/>
        </w:rPr>
      </w:pPr>
    </w:p>
    <w:p w:rsidR="00EF20FA" w:rsidRDefault="00EF20FA" w:rsidP="00EF20FA">
      <w:pPr>
        <w:rPr>
          <w:rtl/>
        </w:rPr>
      </w:pPr>
      <w:r>
        <w:rPr>
          <w:rFonts w:hint="cs"/>
          <w:rtl/>
        </w:rPr>
        <w:t xml:space="preserve">אז מה העמדנו? מה הקרבנו? הקרבנו את הערכים שלנו, הקרבנו את האחדות שלנו. לכן אני אומרת לכם, בעיניי אין אחדות בישראל. אי-אפשר לצבוע את זה, למרות שראיתי ואני רואה בהפגנות בחוץ, וראיתי את האנשים הולכים בחום ונלחמים על הערכים של המדינה. הם נלחמים על ערכים שחשובים לחלק מהאוכלוסייה, כי חלק אחר מהאוכלוסייה ויתר על זה. זה אותו חלק שמסתכל על הממשלה הזאת ואומר: זה בסדר, מה שהיא עושה, זה לגיטימי להפריד בין אדם לרעהו, זה לגיטימי לתת כוח משחית לפוליטיקאים שיעשו כרצונם. אלה אנשים שממש לא משנה אם הם ימנים, שמאלנים או מהמרכז – אלה אנשים שמוכנים לייצר את הפילוג הזה, כי הם אומרים: זה לא מספיק שההוא הולך לצבא ועושה את מה שמוטל עליו כשאני לא; עכשיו אני גם אפגע בו, ועכשיו אני אגיד: מי צריך אותם. ואם שרה בממשלת ישראל אומרת: צריך להכניס אותם לכלא, וקוראת להם "סרבנים" כשהיא יודעת שהם לא סרבנים – היא יודעת שהם מסרבים להתנדב את אקסטרה ההתנדבות שהם לא חייבים מעל גיל הפטור, ותאמינו לי, חלק מהפקודות אני כתבתי בעצמי, אני יודעת במה מדובר – היא אומרת לזרוק אותם לכלא. </w:t>
      </w:r>
    </w:p>
    <w:p w:rsidR="00EF20FA" w:rsidRDefault="00EF20FA" w:rsidP="00EF20FA">
      <w:pPr>
        <w:rPr>
          <w:rtl/>
        </w:rPr>
      </w:pPr>
    </w:p>
    <w:p w:rsidR="00EF20FA" w:rsidRDefault="00EF20FA" w:rsidP="00EF20FA">
      <w:pPr>
        <w:rPr>
          <w:rtl/>
        </w:rPr>
      </w:pPr>
      <w:r>
        <w:rPr>
          <w:rFonts w:hint="cs"/>
          <w:rtl/>
        </w:rPr>
        <w:t xml:space="preserve">אז אני שואלת את אזרחי המדינה – אתם יודעים, אני בכלל לא שואלת את הפוליטיקאים שיושבים פה, כי הם איבדו את הדעת בקואליציה, אני שואלת את אזרחי המדינה: אתם מוכנים לחיות במדינה שבה ממשלת ישראל תיקח על עצמה אובר כוח, אובר סמכויות, יכולות בלתי מוגבלות, שאי-אפשר יהיה לשפוט אותם על עילת סבירות או על כל עילה אחרת, ולתת להם את הכוח המשחית הזה, שאותנו ישסה אחד בשני, ולנו יגיד: המדינה שלכם היא לא כתמול שלשום, היא לא מדינה שבה חלק מהאוכלוסייה הייתה מוכנה לוותר על זכויות מסוימות? </w:t>
      </w:r>
    </w:p>
    <w:p w:rsidR="00EF20FA" w:rsidRDefault="00EF20FA" w:rsidP="00EF20FA">
      <w:pPr>
        <w:rPr>
          <w:rtl/>
        </w:rPr>
      </w:pPr>
    </w:p>
    <w:p w:rsidR="00EF20FA" w:rsidRDefault="00EF20FA" w:rsidP="00EF20FA">
      <w:pPr>
        <w:rPr>
          <w:rtl/>
        </w:rPr>
      </w:pPr>
      <w:r>
        <w:rPr>
          <w:rFonts w:hint="cs"/>
          <w:rtl/>
        </w:rPr>
        <w:t xml:space="preserve">בחובות כולנו עמדנו; החלק הזה שמשרת ומשלם עמד בחובות. היינו מוכנים לעמוד בכל החובות האלה, כי אמרנו: גם אם יש כאלה שלא עושים את מה שנדרש, גם אם יש כאלה שהם לא ממש בשוויון, החוק הוא חוק, והמדינה תעשה את מה שמוטל עליה. היום אתם אומרים לאותם אלה שמשרתים, שמשלמים, שמוחים: תקשיבו, לא מספיק שהעלמנו עין ונתנו לאוכלוסיות שלמות פטור, לא מספיק שאנחנו מתייחסים לנשים כאל איזה משהו שצריך להוציא אותו מהמרחב הציבורי – ואני לא מדמיינת את החוקים שעברו פה רק בחודשים האחרונים, לוקחים את הנשים בכל היבט אחורה – לא מספיק שאנחנו עושים את זה ואת זה, עכשיו נגיד לכם: אתם חשופים לתביעות. מי שמשרת בצבא ויעשה פעולה מבצעית מעבר לקווי אויב או כל פעולה מבצעית אחרת, כשחלילה יואשם בעתיד בעבירה כזאת או אחרת, הדין הבין-לאומי לא יגן עלינו. </w:t>
      </w:r>
    </w:p>
    <w:p w:rsidR="00EF20FA" w:rsidRDefault="00EF20FA" w:rsidP="00EF20FA">
      <w:pPr>
        <w:rPr>
          <w:rtl/>
        </w:rPr>
      </w:pPr>
    </w:p>
    <w:p w:rsidR="00EF20FA" w:rsidRDefault="00EF20FA" w:rsidP="00EF20FA">
      <w:pPr>
        <w:rPr>
          <w:rtl/>
        </w:rPr>
      </w:pPr>
      <w:r>
        <w:rPr>
          <w:rFonts w:hint="cs"/>
          <w:rtl/>
        </w:rPr>
        <w:t xml:space="preserve">העובדה שארצות הברית תמיד הייתה לעזרנו – לא בטוח שהיא תימשך. לא צריך לדמיין, תשמעו מה אומר ביידן, נשיא ארצות הברית, שאנחנו יודעים שהוא החבר הכי טוב שלנו. הרי ברור לו כאור השמש שמה שקורה במדינת ישראל מרחיק את המדינה מהערכים הליברליים, הדמוקרטיים – המכנה המשותף, הגדול והרחב ביותר מול האמריקאים. אז גם זה הולך אחורה, גם זה בסיכון. מי יגן עלינו בהחלטות באו"ם? מי יטיל וטו על כל מיני רצונות שלנו בהקשרים כאלה ואחרים? מי מבין מה המשמעות של חשיפת החיילים האלה, בכל תחום, בכל יום בשנה, כשאנחנו הולכים לישון בלילה, והם עושים את מלאכתם בחשיפה הבין-לאומית שלהם לדין הבין-לאומי? את כל זה אתם עושים, ואתם מצפים שעילת הסבירות תעבור, כי אתם חושבים שהציבור לא בדיוק יודע במה מדובר, ולכן לי היה חשוב להקדיש את הזמן הזה כדי להסביר מה המשמעות ומה ההשלכות של אותה עילה – היא עילה פוגענית. </w:t>
      </w:r>
    </w:p>
    <w:p w:rsidR="00EF20FA" w:rsidRDefault="00EF20FA" w:rsidP="00EF20FA">
      <w:pPr>
        <w:rPr>
          <w:rtl/>
        </w:rPr>
      </w:pPr>
    </w:p>
    <w:p w:rsidR="00EF20FA" w:rsidRDefault="00EF20FA" w:rsidP="00EF20FA">
      <w:pPr>
        <w:rPr>
          <w:rtl/>
        </w:rPr>
      </w:pPr>
      <w:r>
        <w:rPr>
          <w:rFonts w:hint="cs"/>
          <w:rtl/>
        </w:rPr>
        <w:t>אם דיברתי ביטחון, ביטחון, ביטחון, אני רוצה לדבר גם כלכלה. תראו, במשך עשרות שנים – עשרות שנים – הייתה פה השקעה לפתח את מדינת ישראל כלכלית. אגב, צריך להגיד שחלק היה של ראש הממשלה המכהן היום, גם בעבר. הוא השתדל אז, בעבר, עוד כשהוא ראה את טובת ישראל לנגד עיניו, להביא יתרון כלכלי למדינה. משהו השתבש מאז, והיום, למרות שהוא מבין היטב היטב את ההשלכות של ההחלטות – סבירות ואחרות – על שחיקת היכולת של מדינת ישראל ועל פגיעה בצמיחה שלה, הוא שם את היד על זה, ונותן לקיצוניים להוביל החלטות שהוא מקבל כלגיטימיות לפגיעה בכלכלה. הרי מה זה ההייטק? ההייטק הולך לאורך שנים ומשכנע בעולם שהחדשנות הישראלית, היכולת הישראלית, שרובה נובעת מהייחודיות הישראלית, מהתחכום, מהמורכבות, וכן – גם היכולת הביטחונית, שהלכה והתפתחה בצורה פנומנלית – לקחת את כל הדבר הזה, להסב אותו להיבטים טכנולוגיים מתקדמים בכל תחומי החיים, בבריאות, בכל היבט שהוא, ולהיות במובן הזה אור לגויים; לא אור לגויים בדיקטטורה – אור לגויים בחדשנות טכנולוגית, בהתפתחות שעודדה מדינות רבות ומגוונות בעולם לבוא ולהגיד: אנחנו רוצים להשקיע בישראל. שאלתי שרי כלכלה, שרי אוצר ושרי סחר ואת מזכ"ל ה-</w:t>
      </w:r>
      <w:r>
        <w:t>OECD</w:t>
      </w:r>
      <w:r>
        <w:rPr>
          <w:rFonts w:hint="cs"/>
          <w:rtl/>
        </w:rPr>
        <w:t xml:space="preserve">, שהגיע לביקור בישראל: מה להבנתכם הדבר הזה שגורם לכל כך הרבה אנשים לרצות להשקיע? הם אמרו: היכולת הזאת של עולם ההייטק, כפי שהוא נקרא, לקדם ולהביא את הדברים הכי מתקדמים בעולם – אנחנו רוצים להיות במקום שבו זה קורה. </w:t>
      </w:r>
    </w:p>
    <w:p w:rsidR="00EF20FA" w:rsidRDefault="00EF20FA" w:rsidP="00EF20FA">
      <w:pPr>
        <w:rPr>
          <w:rtl/>
        </w:rPr>
      </w:pPr>
    </w:p>
    <w:p w:rsidR="00EF20FA" w:rsidRDefault="00EF20FA" w:rsidP="00EF20FA">
      <w:pPr>
        <w:rPr>
          <w:rtl/>
        </w:rPr>
      </w:pPr>
      <w:r>
        <w:rPr>
          <w:rFonts w:hint="cs"/>
          <w:rtl/>
        </w:rPr>
        <w:t xml:space="preserve">אז עכשיו, בשל עילת הסבירות שהביא לוין, ואין לי מושג מה הפנאטיות הזאת לרצות לקדם אותה, באמצעות שליחו רוטמן – שניהל פה מסכת של ועדת אימים, שתכליתה הייתה: לא מעניין אותי מה אתם אומרים, אני אביא את החוק הזה למימוש, בהתקפלות של ראש ממשלה סחיט, שמבין שבלי זה הוא לא יוכל לשרוד – הורסים גם את הכלכלה הישראלית. יש לכם ספק שהיום, גם אם היום תיעצר החקיקה, גם אם היום מישהו שמסתכל מבחוץ, ממשלה כזאת או אחרת, שר כלכלה, שר אוצר, ראש ממשלה במדינה כזאת או אחרת – הוא מסתכל ואומר: אני מוכן להשקיע במדינה הזאת? הרי חוסר היציבות כאן, כפי שהוא בחודשים האחרונים, הוא המחלה הכי גדולה להשקעות. לא ישקיעו בנו יותר, אל תתבלבלו. </w:t>
      </w:r>
    </w:p>
    <w:p w:rsidR="00EF20FA" w:rsidRDefault="00EF20FA" w:rsidP="00EF20FA">
      <w:pPr>
        <w:rPr>
          <w:rtl/>
        </w:rPr>
      </w:pPr>
    </w:p>
    <w:p w:rsidR="00EF20FA" w:rsidRDefault="00EF20FA" w:rsidP="00EF20FA">
      <w:pPr>
        <w:rPr>
          <w:rtl/>
        </w:rPr>
      </w:pPr>
      <w:r>
        <w:rPr>
          <w:rFonts w:hint="cs"/>
          <w:rtl/>
        </w:rPr>
        <w:t xml:space="preserve">אני אומרת לאזרח בקצה: אתה יכול לשאול את עצמך, את יכולה לשאול את עצמך – אז לא ישקיעו, לא נורא, נסתדר. אם לא ישקיעו, השקל ייחלש, ואת תלכי בבוקר – אני אומרת את זה לאחיות שלי, שגרות בעפולה, בקריית מלאכי – ואתן תלכנה בבוקר לסופר, עם השקל הזה אתן תקנו פחות, ולא משנה מה דעתכן הפוליטית. למה? כי הממשלה הזאת החליטה שהכלכלה פחות חשובה מהחיים שלכם כאזרחים, ובגלל שהיא פחות חשובה, צריך להעביר כל מיני חוקים הזויים, כשעד לפני שבעה חודשים לאף אחד זה לא הפריע חוץ מלפוליטיקאים שרצו לשרוד ומוכנים במצח נחושה, בעיניים פקוחות, למכור את הערכים, את הביחד הזה, שכבר התפרק, את העתיד שלנו כעתיד של מדינה ליברלית, לטובת קיצוניים שלוקחים את המדינה לתוך תהום. </w:t>
      </w:r>
    </w:p>
    <w:p w:rsidR="00EF20FA" w:rsidRDefault="00EF20FA" w:rsidP="00EF20FA">
      <w:pPr>
        <w:rPr>
          <w:rtl/>
        </w:rPr>
      </w:pPr>
    </w:p>
    <w:p w:rsidR="00EF20FA" w:rsidRDefault="00EF20FA" w:rsidP="00EF20FA">
      <w:pPr>
        <w:rPr>
          <w:rtl/>
        </w:rPr>
      </w:pPr>
      <w:r>
        <w:rPr>
          <w:rFonts w:hint="cs"/>
          <w:rtl/>
        </w:rPr>
        <w:t xml:space="preserve">אני מאוד מקווה שהחוק הזה לא יעבור היום. אני מקווה שראש הממשלה, שנושא באחריות, מבחינתי – באחריות המקסימלית והיחידה לוודא שזה לא יקרה – יתעשת ויחליט לעמוד לטובת מדינת ישראל ולא לטובת אף פוליטיקאי אחר. תודה.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תודה רבה. חברת הכנסת מירב בן ארי. אחמד, אתה לא עכשיו. תשב רגע, תנוח, אנחנו נקרא לך בהמשך. </w:t>
      </w:r>
    </w:p>
    <w:p w:rsidR="00EF20FA" w:rsidRDefault="00EF20FA" w:rsidP="00EF20FA">
      <w:pPr>
        <w:rPr>
          <w:rtl/>
        </w:rPr>
      </w:pPr>
    </w:p>
    <w:p w:rsidR="00EF20FA" w:rsidRDefault="00EF20FA" w:rsidP="00EF20FA">
      <w:pPr>
        <w:pStyle w:val="a5"/>
        <w:keepNext/>
        <w:rPr>
          <w:rtl/>
        </w:rPr>
      </w:pPr>
      <w:r>
        <w:rPr>
          <w:rStyle w:val="TagStyle"/>
          <w:rFonts w:hint="cs"/>
          <w:rtl/>
        </w:rPr>
        <w:t xml:space="preserve"> &lt;&lt; דובר &gt;&gt; </w:t>
      </w:r>
      <w:r>
        <w:rPr>
          <w:rFonts w:hint="cs"/>
          <w:rtl/>
        </w:rPr>
        <w:t>מירב בן ארי (יש עתיד):</w:t>
      </w:r>
      <w:r>
        <w:rPr>
          <w:rStyle w:val="TagStyle"/>
          <w:rtl/>
        </w:rPr>
        <w:t xml:space="preserve"> &lt;&lt; דובר &gt;&gt;</w:t>
      </w:r>
      <w:r>
        <w:rPr>
          <w:rFonts w:hint="cs"/>
          <w:rtl/>
        </w:rPr>
        <w:t xml:space="preserve">   </w:t>
      </w:r>
    </w:p>
    <w:p w:rsidR="00EF20FA" w:rsidRDefault="00EF20FA" w:rsidP="00EF20FA">
      <w:pPr>
        <w:rPr>
          <w:rtl/>
        </w:rPr>
      </w:pPr>
    </w:p>
    <w:p w:rsidR="00EF20FA" w:rsidRDefault="00EF20FA" w:rsidP="00EF20FA">
      <w:pPr>
        <w:rPr>
          <w:rtl/>
        </w:rPr>
      </w:pPr>
      <w:r>
        <w:rPr>
          <w:rFonts w:hint="cs"/>
          <w:rtl/>
        </w:rPr>
        <w:t>הוא מתכונן, הוא מתכונן. בוקר טוב, אדוני היושב-ראש. מי השר התורן?</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יש פה הרבה שרים.</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מי? יעקב אשר לא, שמחה רוטמן לא.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שר המשפטים יריב לוין. ארבל, שר הבריאות והפנים. נכון?</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איפה הוא? איפה הוא? אני לא רואה.</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לא נורא, אבל יש לך את יריב לוין, את יכולה להמשיך. אפשר להמשיך, נו, שר המשפטים.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אני ראיתי שני שרים יוצאים יחד החוצה.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קודם כול, תעצור לי את הזמן, עוד לא התחלתי. איפה? מי השר?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שר המשפטים פה, מירב. איפה היית בלילה? אנחנו עובדים, התעוררת עלינו עכשיו?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תודה רבה. לא ראיתי אותו, הוא נחבא אל הכלים ביום כזה דרמטי. אדוני שר המשפטים.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להוסיף לך 20 שניות? יש לך שעה.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אני רואה ששר המשפטים נחבא אל הכלים, מהרגע שנכנסתי למליאה שמחה רוטמן כמו סהרורי בטלפון, אין לו מנוחה. כנראה משהו קורה מאחורי הגב שלו. מסיבה של שמחה, לא הזמינו אותו.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בוקר טוב.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בוקר טוב לך, אופיר כץ, יו"ר הקואליציה. פשוט שמחה כל הזמן בטלפון, אז אני תוהה אם ברגעים אלה מתרחש אירוע, ושמחה לא מוזמן, מה יעשה שמחה רוטמן? </w:t>
      </w:r>
    </w:p>
    <w:p w:rsidR="00EF20FA" w:rsidRDefault="00EF20FA" w:rsidP="00EF20FA">
      <w:pPr>
        <w:rPr>
          <w:rtl/>
        </w:rPr>
      </w:pPr>
    </w:p>
    <w:p w:rsidR="00EF20FA" w:rsidRDefault="00EF20FA" w:rsidP="00EF20FA">
      <w:pPr>
        <w:rPr>
          <w:rtl/>
        </w:rPr>
      </w:pPr>
      <w:r>
        <w:rPr>
          <w:rFonts w:hint="cs"/>
          <w:rtl/>
        </w:rPr>
        <w:t xml:space="preserve">אבל לפני הכול, אדוני היושב-ראש, אני רוצה קודם כול להודות לחברי הכנסת של יש עתיד, ששוב החזיקו את המליאה בשעות הקטנות של הלילה, מ-1:00 עד 6:00. אם תסתכלו לאורך כל המושב, זה מה שקורה. הסיעה היחידה שהייתה פה מ-1:00 עד 6:00 בבוקר רצוף – חברי הכנסת של יש עתיד: יוראי להב הרצנו, שלי טל מירון, עידן רול, נאור שירי, מיכל שיר, דבי ביטון.  בשעות הכי קשות, לאורך כל הכנס הזה – כי זה גם סיום של הכנס, ברוך השם – מי שמחזיקים את המליאה בלילה הם חברי הכנסת של יש עתיד. חשוב לציין את זה, וחשוב לתת להם את הקרדיט. </w:t>
      </w:r>
    </w:p>
    <w:p w:rsidR="00EF20FA" w:rsidRDefault="00EF20FA" w:rsidP="00EF20FA">
      <w:pPr>
        <w:rPr>
          <w:rtl/>
        </w:rPr>
      </w:pPr>
    </w:p>
    <w:p w:rsidR="00EF20FA" w:rsidRDefault="00EF20FA" w:rsidP="00EF20FA">
      <w:pPr>
        <w:rPr>
          <w:rtl/>
        </w:rPr>
      </w:pPr>
      <w:r>
        <w:rPr>
          <w:rFonts w:hint="cs"/>
          <w:rtl/>
        </w:rPr>
        <w:t xml:space="preserve">מאיפה להתחיל? קצרה היריעה מלומר את כל הדברים שאני רוצה לומר. כמובן, על החוק הזה - - -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אבל את אחמד טיבי דחקתם. דחקתם. הוא היה צריך לעלות באמת.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קודם כול, אנחנו לא דוחקים. מי שהיו פה מ-1:00 עד 6:00 הם חברי הכנסת של יש עתיד בלבד. הם החזיקו את הלילה הזה של חוק הסבירות, הם מחזיקים את כל הלילות בדרך כלל. מה לעשות, זו המציאות, ומגיע להם כל הקרדיט על כך. </w:t>
      </w:r>
    </w:p>
    <w:p w:rsidR="00EF20FA" w:rsidRDefault="00EF20FA" w:rsidP="00EF20FA">
      <w:pPr>
        <w:rPr>
          <w:rtl/>
        </w:rPr>
      </w:pPr>
    </w:p>
    <w:p w:rsidR="00EF20FA" w:rsidRDefault="00EF20FA" w:rsidP="00EF20FA">
      <w:pPr>
        <w:rPr>
          <w:rtl/>
        </w:rPr>
      </w:pPr>
      <w:r>
        <w:rPr>
          <w:rFonts w:hint="cs"/>
          <w:rtl/>
        </w:rPr>
        <w:t xml:space="preserve">עכשיו אני רוצה לדבר על הרבה דברים שהצטברו אצלי בימים האחרונים. נתחיל כמובן עם החוק הזה, שאני מאוד מקווה שייקבר ומקום קבורתו לא ייוודע, וככה גם לא נוכל למצוא אותו. קצרה היריעה מלתאר את מה שאני חושבת על החוק הזה, את מה שאני חושבת על הפגיעה האמיתית באזרח הקטן כשבעצם שר יקבל החלטה גרועה, אבל במסגרת החוק, ולאותו אזרח קטן לא יהיה למי להתלונן, כי הוא יבוא לבית המשפט, יעתור לבג"ץ, ויגידו לו שזה נכנס במתחם הסבירות. לכן כל אזרח במדינה היום צריך להיות מודאג, לא רק המפגינים האמיצים שנמצאים שבועות כבר בכל הארץ, לא עובדים, לא נמצאים עם המשפחות שלהם, מקריבים יום-יום בשביל הדמוקרטיה פה – לא. רק בשבילם, שידעו שעילת הסבירות הזו תפגע בכל אזרח במדינת ישראל, כי היא לא תיתן לו את היום שלו בבית המשפט. זה הדבר הכי דרמטי בעיניי. יש לי עוד הרבה מה לומר, אבל דיברתי ארוכות על הסבירות, וחשוב לי לדבר על עוד נושאים. </w:t>
      </w:r>
    </w:p>
    <w:p w:rsidR="00EF20FA" w:rsidRDefault="00EF20FA" w:rsidP="00EF20FA">
      <w:pPr>
        <w:rPr>
          <w:rtl/>
        </w:rPr>
      </w:pPr>
    </w:p>
    <w:p w:rsidR="00EF20FA" w:rsidRDefault="00EF20FA" w:rsidP="00EF20FA">
      <w:pPr>
        <w:rPr>
          <w:rtl/>
        </w:rPr>
      </w:pPr>
      <w:r>
        <w:rPr>
          <w:rFonts w:hint="cs"/>
          <w:rtl/>
        </w:rPr>
        <w:t xml:space="preserve">בואו נתחיל, איך אפשר שלא, עם השר לחידלון לאומי, שבמשמרת שלו כלום לא קורה – רק נזק וכאוס. נדבר על השר הזה, שמרוב שהוא משועמם, הוא הולך למאהל בגן סאקר ואומר לשוטרים במחוז ירושלים: למה לא נתתם לחוליגנים להרוס את המאהלים? מה, מה יש לומר? האם היה אי פעם שר בתולדות מדינת ישראל שהיה כזה גרוע, שהיה כזה כישלון? הולך, שכל החוליגנים שלו יסתובבו בגן סאקר ויציקו למשפחות עם ילדים ומפגינים. אין לו מה לעשות. אין פשיעה בחברה הערבית, אין אלימות נגד נשים, אין מדינה בוערת. השר הקטן הזה הולך ובודק למה לא מפריעים למפגינים לישון באוהל בגן סאקר. זה מה שמפריע לו. נגמרו הצרות במדינת ישראל. מה זה, איזה איש קטן זה? איך אתה מתנהג, נגמרו הבעיות? עכשיו אתה מתעסק לי עם האוהלים? אני בהלם. אני רואה את הכתבה של ברהנו טגניה, ואני אומרת לעצמי: מה זה האיש הזה? במה אתה מתעסק? </w:t>
      </w:r>
    </w:p>
    <w:p w:rsidR="00EF20FA" w:rsidRDefault="00EF20FA" w:rsidP="00EF20FA">
      <w:pPr>
        <w:rPr>
          <w:rtl/>
        </w:rPr>
      </w:pPr>
    </w:p>
    <w:p w:rsidR="00EF20FA" w:rsidRDefault="00EF20FA" w:rsidP="00EF20FA">
      <w:pPr>
        <w:rPr>
          <w:rtl/>
        </w:rPr>
      </w:pPr>
      <w:r>
        <w:rPr>
          <w:rFonts w:hint="cs"/>
          <w:rtl/>
        </w:rPr>
        <w:t xml:space="preserve">וכמובן, איך אפשר לעמוד מנגד כשעוד דמות בכירה במשרד לביטחון פנים, הלוא היא נציבת שב"ס, רב-גונדר קטי פרי, נאלצת גם היא לסיים את תפקידה מוקדם מהרגיל מכיוון שכל בן אדם שיש לו עמוד שדרה או יושרה לא מסוגל לעבוד עם בן אדם שכל היום מתדרך כלפיו. איך אפשר לעבוד עם שר שכל היום מדווח את מה שאתם אומרים בחדרים? אתה יודע, ואטורי, היו לי הרבה ויכוחים עם עמר בר לב, אפילו לנציבה, וגם למפכ"ל היו ויכוחים עם עמר, אבל ואללה, מה שדיברנו נשאר בחדר. מה אתה מתדרך נגד המפכ"ל, נגד הנציבה? במי אתה פוגע? אני יודעת שקשה לך, כי אתה אדם ישר. קשה לך עם זה, כי זה נכון. אבל ואללה, איזה מין דבר זה? מה זה?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מה זה, רק יש עתיד נואמים?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נציבת שב"ס – אופיר, אם אתה רוצה לשמוע, אני מנהלת לי פה שיח קצת עם ואטורי, קצת עם הכיסאות, לא מפריע לי.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לא, אני שמתי לב – רק משפט. שמתי לב שגם בלילה, בכל המשמרת של הלילה – רק יש עתיד. למה זה?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אני מודה לך על זה. אתה לא מאמין, אני הזכרתי את זה בתחילת הנאום שלי – נכון, ואטורי?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לא שמעתי. את יכולה לחזור?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אמרתי שמ-01:00 עד 06:00, בשעות הכי קשות, היחידים שהחזיקו את המליאה הם חברי הכנסת של יש עתיד.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ולמה המחנה הממלכתי לא השתתפו בחלוקה הקשה?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שאלה טובה. יש עוד מפלגות באופוזיציה, ואני שמחה שבתור יו"ר קואליציה אתה מעלה את הסוגיה הזאת – נכון שדיברתי על זה, ואטורי?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לא, שמתי לב לזה שיש פה רק מפלגה אחת שנלחמה בשעות הקשות. זה לא בסדר.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אתה מבין? אפילו יו"ר הקואליציה.</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שמעי, אני שמח שאת קוראת לי ואטורי, באמת. אני באמת מרגיש – זה חברי.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יושב-ראש הכנסת.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יושב-ראש הכנסת – לא בשבילי, בשביל הכנסת. אוקיי? תודה.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שר המשפטים יריב לוין:</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תדעי לך - - - מירב, מירב - - -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אדוני היושב-ראש, אתה צודק.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שר המשפטים עונה לך.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שר המשפטים יריב לוין:</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תדעי לך שלנו אף פעם לא היו בעיות כאלה כשהיינו באופוזיציה, כי לנו היה את שלמה קרעי.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אגב, זה נכון.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שר המשפטים יריב לוין:</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הוא - - - את כל הלילה בלי בעיות.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אתה יודע ששלמה קרעי גם היה עושה לנו שמיות לבד.</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שר המשפטים יריב לוין:</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הוא היה הכי טוב שיכול להיות.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אגב, עד שבאיזשהו שלב אפילו הוא הבין שזה מוגזם לעשות שמית לבד. אפילו הוא הבין. אבל כן, אין ספק ששלמה קרעי והגימטרייה שלו, אדוני היושב בראש, היה מחזיק כאן שעות. מי שנכנס בנעליו הוא יש עתיד, שמחזיקים פה את המליאה.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אבל - - - </w:t>
      </w:r>
    </w:p>
    <w:p w:rsidR="00EF20FA" w:rsidRDefault="00EF20FA" w:rsidP="00EF20FA">
      <w:pPr>
        <w:rPr>
          <w:rtl/>
        </w:rPr>
      </w:pPr>
      <w:r>
        <w:rPr>
          <w:rFonts w:hint="cs"/>
          <w:rtl/>
        </w:rPr>
        <w:t xml:space="preserve"> </w:t>
      </w: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ind w:firstLine="0"/>
        <w:rPr>
          <w:rtl/>
        </w:rPr>
      </w:pPr>
    </w:p>
    <w:p w:rsidR="00EF20FA" w:rsidRDefault="00EF20FA" w:rsidP="00EF20FA">
      <w:pPr>
        <w:rPr>
          <w:rtl/>
        </w:rPr>
      </w:pPr>
      <w:r>
        <w:rPr>
          <w:rFonts w:hint="cs"/>
          <w:rtl/>
        </w:rPr>
        <w:t xml:space="preserve">אבל אני – ואני מודה ליו"ר הקואליציה על התמיכה, אני רואה אותה כתמיכה רצינית.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אנשים חשבו שיש תקלה בטלוויזיה. בכל פעם שהיו מעבירים לערוץ לכנסת, היו רואים את שלמה קרעי, נכון?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נכון. אגב, או שהוא היה איתי כשהיינו באייטם משותף בערוץ 12. לי ולשלמה קרעי היה גם אייטם קבוע. כשהייתי מסתובבת בארץ, היו שואלים אותי: איפה הוא, איך את הולכת בלעדיו? פעם היינו באמת יושבים ומדברים. איך אומרים? פעם היינו מדברים בשקט. לא משנה. אני רוצה, ברשותכם - - -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עוד הערה. אפשר הצעת ייעול?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כן, יו"ר הקואליציה, חבר הכנסת אופיר כץ.</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אני שומע שיש לכם ראשי מפלגות של האופוזיציה היום, נכון? אני חושב שכדאי וראוי וצריך שתעלו את הסוגיה הזאת – למה רק מפלגת יש עתיד נטלה חלק של הפיליבסטר הלילי. אם צריך לבוא כעד, אני מוכן לבוא.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אני חושבת שזו סוגיה טובה, ואני שמחה שאתה מגבה את יש עתיד - -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אני חושב שכאופוזיציה אתם צריכים להיות מלוכדים, לא להפיל אחד על השני את הנטל.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 אני מלוכדת לחלוטין - - -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אנחנו כקואליציה רבנו מי - - -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קודם כול, אני מלוכדת לחלוטין. מה שאני פשוט אומרת כאן הוא האמת, זו האמת. אבל ברשותך, אני רוצה להגיד לך מילה על נציבת שב"ס קטי פרי.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עכשיו אני, ברשותך, אלך לראות מה עם הגיוס שלי, כי המטורללים חוסמים גם את הכנסת.</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ברשותך, תלך. קודם כול – מפגינים אמיצים לוחמי דמוקרטיה חוסמים את הכנסת. חידדתי לך את הנקודה. לוחמי הדמוקרטיה הישראלית.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זה גם חלק - - - כן, לוחמים. קופצים על מכוניות של ח"כים, לוחמי דמוקרטיה.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 תראה, תראה מה קרה. מה עשיתם? סגרתם בחבלים, סגרתם דלתות, אין בן אדם ביציע האורחים, הכנסת מבוצרת, יעד מבוצר. מה קרה? אפילו עיתונאים הוצאתם החוצה. מי זאת שם, סיוון? נותרה בודדה. מה קרה לכם? מה זה כל החבלול הזה, מה? ממה אתם מפחדים, מלוחמי דמוקרטיה?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משה מירון.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ממי? ממשפחות? מילדים? משה מירון מסתובב פה כל היום. טוב שלא הכנסתם אותו למליאה. אגב, גם ההוא, איציק זרקא הזה ובן יהודה הזה היו יושבים במזנון.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לא, החבר'ה שהשתוללו פה בכניסה, לא מפריע.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במזנון הח"כים היו יושבים, כאילו זה הבית שלהם. תסלח לי. ואגב, משה מירון הזה גם אתמול הסתבך עם שוטרים. תראה מה עשיתם לכנסת. שיתקתם את הכנסת – יעד מבוצר. תכף מביאים לפה לוחמי ימ"מ, אם הם לא בחוץ; את סיירת מטכ"ל, להגן על הכנסת מלוחמי הדמוקרטיה. ממי? מאנשי המילואים, מהטייסים? מה, תשים עכשיו את סיירת מטכ"ל של היום נגד המילואימניקים? מטכ"ל? מה קורה, שר המשפטים? תראה מה קרה לכנסת. תסתכל סביבך, זה רק אתה ואני פה. אתה לא מרגיש קצת לבד?</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שר המשפטים יריב לוין:</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מירב, זה תמיד ככה, שזה רק את ואני.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זה יותר מהלילה.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אני מרגישה שהוא לבד כאן. אדוני היושב-ראש, אני מרגישה שאני, אתה ודן כאן – דן, מזכיר הכנסת – לבד. אני חושבת שאנחנו צריכים להיות מוטרדים, האם סגרנו – הינה, הרשו לצלם להיכנס. לא קל להיות היום בכנסת.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הוא יצטרך להיכנס לכנסת. דרך אגב, דרך מנהרה ממשרד החוץ.</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אגב, אני פה מ-2015. אל תדאג, דודי, הכנסת מאובטחת כמו שלא הייתה בחייה. בחייה לא הייתה כזאת. מעולם לא נכנסתי בדרך שממנה נכנסתי היום לכנסת.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שמחה פה. שכחת לציין.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שמחה כל הזמן בטלפון.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הוא פה. לא, הוא פה.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משהו קורה, ושמחה לא בעניינים, אבל אני לא נכנסת לזה. אני בכלל רציתי לדבר על נציבת שב"ס, על עוד נציבה אחרי המפכ"ל, אחרי שהגיע השר לחידלון לאומי עם ה-</w:t>
      </w:r>
      <w:r>
        <w:t>D9</w:t>
      </w:r>
      <w:r>
        <w:rPr>
          <w:rtl/>
        </w:rPr>
        <w:t xml:space="preserve"> </w:t>
      </w:r>
      <w:r>
        <w:rPr>
          <w:rFonts w:hint="cs"/>
          <w:rtl/>
        </w:rPr>
        <w:t xml:space="preserve">שלו. הוא עושה נזק במשטרה, ניצבים מתפטרים, שוטרים עוזבים. עכשיו הוא עבר לשב"ס. אבל מה יהיה כשלא יהיו סוהרים, אדוני היושב-ראש? מי יהיה כוח מגן בביטחון הפנים בקצה של הקצה מול עבריינים, מול אסירים ביטחוניים, שהוא כל היום מתעסק איתם בפיתות, במים – תן להם חמש דקות מקלחת, עשר דקות מקלחת? מי יתעסק איתם אם אף אחד לא ירצה להיות סוהר, אדוני שר המשפטים? גם את נציבת שב"ס הוא הביא למצב שהיא צריכה – אגב, אתה יודע מה כותבים לי בטוויטר? מה את רוצה, היא מינוי שלך. מי מינה את נציבת שב"ס קטי פרי? אמיר אוחנה. מי מינה את המפכ"ל? אמיר אוחנה. לא, אנחנו לא מינינו אותם. הם היו גם בתקופה שלנו. אבל אנחנו הקשבנו להם – שלום – ולא תדרכנו נגדם, ולא ישבנו איתם בחדרים סגורים והוצאנו הכול החוצה. היו לה ויכוחים עם עמר בר לב ואפילו עם תומר לוטן, אבל תמיד ידעו לעבוד ביחד למען טובת מדינת ישראל. ומה שעושה השר לחידלון לאומי, הוא עוד דורס עם </w:t>
      </w:r>
      <w:r>
        <w:t>D9</w:t>
      </w:r>
      <w:r>
        <w:rPr>
          <w:rtl/>
        </w:rPr>
        <w:t xml:space="preserve"> </w:t>
      </w:r>
      <w:r>
        <w:rPr>
          <w:rFonts w:hint="cs"/>
          <w:rtl/>
        </w:rPr>
        <w:t xml:space="preserve">את כל גופי ביטחון הפנים. מי ישמור על מדינת ישראל? מי יהיה בכלא? מי יהיה סוהר, מי תהיה סוהרת, אם אין אמון במערכת, אם השר הממונה מתעסק באוהלים בגן סאקר? ואללה, אתה אומר לעצמך: מה הבן אדם עושה כל היום? מה הוא עושה? אני אחסוך לך – כלום. </w:t>
      </w:r>
    </w:p>
    <w:p w:rsidR="00EF20FA" w:rsidRDefault="00EF20FA" w:rsidP="00EF20FA">
      <w:pPr>
        <w:rPr>
          <w:rtl/>
        </w:rPr>
      </w:pPr>
    </w:p>
    <w:p w:rsidR="00EF20FA" w:rsidRDefault="00EF20FA" w:rsidP="00EF20FA">
      <w:pPr>
        <w:rPr>
          <w:rtl/>
        </w:rPr>
      </w:pPr>
      <w:r>
        <w:rPr>
          <w:rFonts w:hint="cs"/>
          <w:rtl/>
        </w:rPr>
        <w:t xml:space="preserve">אני רוצה להגיד עוד משהו חשוב, שיהיה ברור. אני רוצה להגיד לך, אדוני היושב-ראש, אתה אדם מאמין, גם אני. אנחנו בתשעת הימים. זה לא נראה לך קצת סוריאליסטי, מה שקורה כאן? שבתשעת הימים, רגע לפני תשעה באב – הינה, נכנס יו"ר הקואליציה – מעולם לא חיכו כל כך הרבה אנשים לתשעה באב, לדעתי, שהכנסת תינעל בשעה 12:00 ביום רביעי. רבים מחכים לאירוע הזה. זה לא נראה לך קצת מוזר שהכול קורה בתשעת הימים, ההתבצרות - - -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זה בגלל הפיליבסטר בלילה.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הינה, וסרלאוף הגיע בדיוק כשהתחלתי לדבר על תשעת הימים.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למה לא על גולני?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על גולני? אני אדבר על גולני מתי שתרצה.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עכשיו.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רגע, אני בתשעת הימים – שלום לך – אני מתעסקת בתשעה באב. רגע, מה, יש לי עוד זמן.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 - -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יש משהו סוריאליסטי בעניין הזה של תשעה באב, יש משהו חשוב, ואתם חייבים להיות קשובים: עצרו את החורבן, עצרו את חורבן הבית. יש אפשרות להגיע להסכמה בשלב זה. כל אדם דתי מאמין, שהוא באמת דתי ומאמין, מבין שאפשר לעצור את האירוע הזה. </w:t>
      </w:r>
    </w:p>
    <w:p w:rsidR="00EF20FA" w:rsidRDefault="00EF20FA" w:rsidP="00EF20FA">
      <w:pPr>
        <w:rPr>
          <w:rtl/>
        </w:rPr>
      </w:pPr>
    </w:p>
    <w:p w:rsidR="00EF20FA" w:rsidRDefault="00EF20FA" w:rsidP="00EF20FA">
      <w:pPr>
        <w:rPr>
          <w:rtl/>
        </w:rPr>
      </w:pPr>
      <w:r>
        <w:rPr>
          <w:rFonts w:hint="cs"/>
          <w:rtl/>
        </w:rPr>
        <w:t xml:space="preserve">אני רוצה להגיד עוד משהו אחד. אני רוצה להגיד מילה על ההפגנה אתמול, באמת, על 100,000 האיש שהגיעו לצומת קפלן. אני, אין לי את צומת קפלן בטאבו, היא שייכת לכל מדינת ישראל. אם בתוך כל האירוע הזה בסופו של דבר הוא הצטמצם ל-100,000 איש, שרובם הגיעו עם הסעות מסודרות מההתנחלויות, אני חושבת שאתם צריכים לבדוק שוב אם יש לכם רוב. אל תתאמצו, לכו לסקרים באולפן שישי – מי ששומר שבת יכול לראות אותם במוצ"ש – אין לכם רוב בעם להעביר את עילת הסבירות.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יש, יש.</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אין לך, אופיר. תפסיק להתבצר. אלה תשעת הימים, תשעה באב, תבואו ביחד, ותסגרו את האירוע הזה. </w:t>
      </w:r>
    </w:p>
    <w:p w:rsidR="00EF20FA" w:rsidRDefault="00EF20FA" w:rsidP="00EF20FA">
      <w:pPr>
        <w:rPr>
          <w:rtl/>
        </w:rPr>
      </w:pPr>
    </w:p>
    <w:p w:rsidR="00EF20FA" w:rsidRDefault="00EF20FA" w:rsidP="00EF20FA">
      <w:pPr>
        <w:rPr>
          <w:rtl/>
        </w:rPr>
      </w:pPr>
      <w:r>
        <w:rPr>
          <w:rFonts w:hint="cs"/>
          <w:rtl/>
        </w:rPr>
        <w:t xml:space="preserve">אני רוצה להגיד מילה אחרונה למפגינים בחוץ. אומנם הפכו את הכנסת ליעד מבוצר, אבל אנחנו רוצים להגיד לכם תודה רבה. לאורך כל השבועות של הכנס הזה עבדנו ביחד באופוזיציה, ובזכות המחאה שלכם ובזכות זה שלא ויתרתם, הצלחתם לבלום את הפיטורים של שר הביטחון, הצלחתם לבלום את הליך החקיקה שהיה כאן בכנסת, וכן – אני מאוד מאוד מקווה שגם את החוק המיותר הזה נצליח לבלום עוד היום, רגע לפני תשעה באב, בדיוק בתשעת הימים, להפסיק להתבצר כל אחד בצד שלו ולהילחם עבור הדמוקרטיה הישראלית. </w:t>
      </w:r>
    </w:p>
    <w:p w:rsidR="00EF20FA" w:rsidRDefault="00EF20FA" w:rsidP="00EF20FA">
      <w:pPr>
        <w:rPr>
          <w:rtl/>
        </w:rPr>
      </w:pPr>
    </w:p>
    <w:p w:rsidR="00EF20FA" w:rsidRDefault="00EF20FA" w:rsidP="00EF20FA">
      <w:pPr>
        <w:rPr>
          <w:rtl/>
        </w:rPr>
      </w:pPr>
      <w:r>
        <w:rPr>
          <w:rFonts w:hint="cs"/>
          <w:rtl/>
        </w:rPr>
        <w:t>אני רוצה להגיד מילה אחרונה בשבילך על גולני – תירגעי, נטע, דקה. הכול בסדר. אני רוצה להגיד לך – אתה שומע, וסרלאוף?</w:t>
      </w:r>
    </w:p>
    <w:p w:rsidR="00EF20FA" w:rsidRDefault="00EF20FA" w:rsidP="00EF20FA">
      <w:pPr>
        <w:rPr>
          <w:rtl/>
        </w:rPr>
      </w:pPr>
    </w:p>
    <w:p w:rsidR="00EF20FA" w:rsidRDefault="00EF20FA" w:rsidP="00EF20FA">
      <w:pPr>
        <w:pStyle w:val="af8"/>
        <w:keepNext/>
        <w:rPr>
          <w:rtl/>
        </w:rPr>
      </w:pPr>
      <w:r>
        <w:rPr>
          <w:rStyle w:val="TagStyle"/>
          <w:rFonts w:hint="cs"/>
          <w:rtl/>
        </w:rPr>
        <w:t xml:space="preserve">&lt;&lt;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לא מספיק כל מי שנלחם פה זה יש עתיד - -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ראית איזה גיבוי?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 - במיוחד בלילה, ועכשיו עד שמירב עולה, את רוצה להוריד אותה בשביל המחנה הממלכתי? אני לא מבין את ההתנהלות של האופוזיציה.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 - -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לא, בשביל טיבי. תשמע, וסרלאוף, מילה על חיילי חטיבת גולני.</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אני שומע, אני שומע.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בשביל טיבי? יש לך מעמד באופוזיציה.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אני הייתי גם מש"קית חינוך בגולני, גם קצינת חינוך של חטיבה. התייעצתי פה גם עם הרמטכ"ל לשעבר גדי איזנקוט, שגם היה מפקד החטיבה. אני אוהבת את חטיבת גולני, ובחטיבת גולני יושבים לוחמים מהטובים של החיל. והינה, אני אומרת לך, גם בגולני, גם בצנחנים, גם בגבעתי,  גם בנח"ל – לא כל אחד יכול להיות טייס. זה לא אומר שהלוחמים לא טובים, הם לוחמים מעולים. אבל גם אני, מה לעשות - - -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זה לא משנה. כשמדברים על דמוקרטיה זה - - - זה לא משנה. </w:t>
      </w:r>
    </w:p>
    <w:p w:rsidR="00EF20FA" w:rsidRDefault="00EF20FA" w:rsidP="00EF20FA">
      <w:pPr>
        <w:rPr>
          <w:rtl/>
        </w:rPr>
      </w:pPr>
    </w:p>
    <w:p w:rsidR="00EF20FA" w:rsidRDefault="00EF20FA" w:rsidP="00EF20FA">
      <w:pPr>
        <w:pStyle w:val="-"/>
        <w:keepNext/>
        <w:rPr>
          <w:rtl/>
        </w:rPr>
      </w:pPr>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rPr>
        <w:t xml:space="preserve">זה העניין. </w:t>
      </w:r>
      <w:r>
        <w:rPr>
          <w:rFonts w:hint="cs"/>
          <w:rtl/>
          <w:lang w:eastAsia="he-IL"/>
        </w:rPr>
        <w:t>תפסיקו לעשות סלט כשאין. יש אנשים שמתאימים, מה לעשות, להיות טייסים. זה לא אומר שבתוך לוחמי גולני אין טייסים, ברור שיש. אבל כשיושבת בחורה שלדעתי גם לא שירתה בצבא, ואומרת משפט כזה, זה פשוט לא נכון. אגב, אני גם אמרתי את זה כשדיברתי על היריון. דיברתי על היריון, אמרתי שנשים שלא נכנסו להיריון – אני אומרת לך את זה בתור מישהי שלקח לה הרבה זמן – לא מבינות מה זה היריון. מי שלא אימא, לא תמיד מבינה עד הסוף. מבינה, לא עד הסוף. מי שלא היה בצבא ומי שלא שירת שירות צבאי, לעולם לא יבין מה זה צבא הגנה לישראל. זה חיים. תתגייסי לצבא. לא, שירות לאומי זה יופי, טוב, תעשי את זה, אבל מי שלא משרת בצבא לא יודע מה זה צבא, לא יודע מה זה לוחמים, לא יודע מה זה להקדיש מעצמך את השנים הכי טובות בחיים שלך בשביל המדינה. תודה רבה.</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תודה רבה. קיזזנו אותה, היא פשוט הגיעה למיצוי. </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אגב, לא הגעתי למיצוי, יש לי עוד הרבה נושאים, אבל אני - - - </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רגע, יש לנו פה את כוכב הטיקטוק, דקה, רגע. חבר הכנסת אחמד טיבי, בבקשה. </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זה הזמן של טיבי, ואני מכבדת את זה. </w:t>
      </w:r>
    </w:p>
    <w:p w:rsidR="00EF20FA" w:rsidRDefault="00EF20FA" w:rsidP="00EF20FA">
      <w:pPr>
        <w:rPr>
          <w:rtl/>
          <w:lang w:eastAsia="he-IL"/>
        </w:rPr>
      </w:pPr>
    </w:p>
    <w:p w:rsidR="00EF20FA" w:rsidRDefault="00EF20FA" w:rsidP="00EF20FA">
      <w:pPr>
        <w:pStyle w:val="a5"/>
        <w:keepNext/>
        <w:rPr>
          <w:rtl/>
        </w:rPr>
      </w:pPr>
      <w:r>
        <w:rPr>
          <w:rStyle w:val="TagStyle"/>
          <w:rFonts w:hint="cs"/>
          <w:rtl/>
        </w:rPr>
        <w:t xml:space="preserve"> &lt;&lt; דובר &gt;&gt; </w:t>
      </w:r>
      <w:r>
        <w:rPr>
          <w:rFonts w:hint="cs"/>
          <w:rtl/>
        </w:rPr>
        <w:t>אחמד טיבי (חד"ש-תע"ל):</w:t>
      </w:r>
      <w:r>
        <w:rPr>
          <w:rStyle w:val="TagStyle"/>
          <w:rtl/>
        </w:rPr>
        <w:t xml:space="preserve"> &lt;&lt; דובר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כבוד היושב-ראש. </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למה הוא אמר את זה? הוא אמר שאתה רגיל למחסומים, מה?</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אגב, אני מוכן לשדרג אותך. אחרי שהצעתי לך להיות במקום טייסים, תוכל להיות מג"בניק במחסום, אין בעיה. </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אבל אמרנו מועמד לעליון.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הוא המועמד שלי לעליון. </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הוא מועמד שלי לתחתון. </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לגליל התחתון. </w:t>
      </w:r>
    </w:p>
    <w:p w:rsidR="00EF20FA" w:rsidRDefault="00EF20FA" w:rsidP="00EF20FA">
      <w:pPr>
        <w:rPr>
          <w:rtl/>
          <w:lang w:eastAsia="he-IL"/>
        </w:rPr>
      </w:pPr>
      <w:r>
        <w:rPr>
          <w:rFonts w:hint="cs"/>
          <w:rtl/>
          <w:lang w:eastAsia="he-IL"/>
        </w:rPr>
        <w:t xml:space="preserve"> </w:t>
      </w: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מי שהיה כל הזמן למטה, יודע על מה הוא מדבר. למה כל הדלתות סגורות חוץ מאחת?</w:t>
      </w:r>
    </w:p>
    <w:p w:rsidR="00EF20FA" w:rsidRDefault="00EF20FA" w:rsidP="00EF20FA">
      <w:pPr>
        <w:keepNext/>
        <w:rPr>
          <w:rtl/>
        </w:rPr>
      </w:pPr>
    </w:p>
    <w:p w:rsidR="00EF20FA" w:rsidRDefault="00EF20FA" w:rsidP="00EF20FA">
      <w:pPr>
        <w:pStyle w:val="af8"/>
        <w:keepNext/>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זאת התחלה של המצור.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לא, זה לא מוצדק. מי יפרוץ לפה? אף אחד לא יפרוץ. </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איזה דלתות? הדלתות סגורות?</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אחת, שתיים, שלוש, ארבע, חמש, שש – הכול סגור חוץ משתיים פה. </w:t>
      </w:r>
    </w:p>
    <w:p w:rsidR="00EF20FA" w:rsidRDefault="00EF20FA" w:rsidP="00EF20FA">
      <w:pPr>
        <w:rPr>
          <w:rtl/>
          <w:lang w:eastAsia="he-IL"/>
        </w:rPr>
      </w:pPr>
    </w:p>
    <w:p w:rsidR="00EF20FA" w:rsidRDefault="00EF20FA" w:rsidP="00EF20FA">
      <w:pPr>
        <w:rPr>
          <w:rtl/>
          <w:lang w:eastAsia="he-IL"/>
        </w:rPr>
      </w:pPr>
      <w:r>
        <w:rPr>
          <w:rFonts w:hint="cs"/>
          <w:rtl/>
          <w:lang w:eastAsia="he-IL"/>
        </w:rPr>
        <w:t>יש לך מידע אם מישהו מתכוון לפרוץ לפה?</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רצו שלא תיכנס, בסוף נכנסת מהדלת האחורית.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לא, פה הדלת הראשית. ובכן, רבותיי, כמה זמן יש לי?</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שעה.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חברים, אם מישהו מגיע ורוצה לעלות, תיתנו לי סימן. </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עמית, רוצה לעלות?</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ניתן לך סימן. אלקין אחריך.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אלקין, השתגעתם?</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עשר דקות.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רק?</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הינה, אחמד, הוא רוצה להחליף אותך. עמית, בסדר?</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פרשת מהקואליציה? רק האופוזיציה מדברים. </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אה, נכון, רק האופוזיציה מדברים. זו לא דמוקרטיה, אתה מבין? איפה הדמוקרטיה, רק אופוזיציה מדברים.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רבותיי חברי הכנסת, כבוד היושב-ראש, שוב אני נדרש להתייחס להתקפות פראיות, גזעניות, התקפות שנאה של חסידי הרב ברלנד בחיפה על כנסיית מאר אליאס. ההתקפות האלה הן לא במנותק מההתקפות על נוצרים, לא רק בחיפה במאר אליאס אלא בעיקר בירושלים; התקפות, יריקות על כמרים. בכתבת השטח המצוינת שעשו בערוץ 13, יוסי אלי – איזו שנאה, איזה רוע, איזו גזענות. כך להתייחס לאנשי כמורה? התקפות על כנסיית מאר אליאס בחיפה? </w:t>
      </w:r>
    </w:p>
    <w:p w:rsidR="00EF20FA" w:rsidRDefault="00EF20FA" w:rsidP="00EF20FA">
      <w:pPr>
        <w:rPr>
          <w:rtl/>
          <w:lang w:eastAsia="he-IL"/>
        </w:rPr>
      </w:pPr>
    </w:p>
    <w:p w:rsidR="00EF20FA" w:rsidRDefault="00EF20FA" w:rsidP="00EF20FA">
      <w:pPr>
        <w:rPr>
          <w:rtl/>
          <w:lang w:eastAsia="he-IL"/>
        </w:rPr>
      </w:pPr>
      <w:r>
        <w:rPr>
          <w:rFonts w:hint="cs"/>
          <w:rtl/>
          <w:lang w:eastAsia="he-IL"/>
        </w:rPr>
        <w:t>מיהו הרב ברלנד הזה? לא מספיק ששלושה בתי דין רבניים פסקו שצריך להתרחק ממנו כי הוא הורשע בהטרדות ובעבירות של מוסריות – או אנטי-מוסריות – מגיעה מילה טובה לכל מי שבלמו אותם אתמול ומנעו מהם להמשיך להשתולל. (אומר דברים בשפה הערבית, להלן תרגומם: ב</w:t>
      </w:r>
      <w:r>
        <w:rPr>
          <w:rFonts w:hint="cs"/>
          <w:rtl/>
        </w:rPr>
        <w:t xml:space="preserve">תקיפה המתמשכת הזאת של כנסיית מאר אליאס בחיפה מצד קבוצה גזענית מלאה בשנאה כלפי הכנסייה, כלפי הנוצרים, כמו שקורה בירושלים עם כל אנשי הדת והכנסיות הנוצריות והכמרים – שנראה שאין כמותה, הם שורפים את המסגדים ותוקפים את הכנסיות – כל הברכות מופנות לצעירים הנוצרים אשר נאבקו ולכל מי שעמד לצד הצעירים הנוצרים מכל בני עמנו. המצב הזה חוזר בחיפה, בייחוד בחיפה, וזה רחוק ממציאות חיפה. ומי עשה זאת? החבר'ה של הרב ברלנד, המואשם בעבירות של מוסר, ששלושה בתי משפט אמרו שיש להתרחק ממנו, בתי משפט רבניים. שוב אני מברך את כל הצעירים האלה.) </w:t>
      </w:r>
      <w:r>
        <w:rPr>
          <w:rFonts w:hint="cs"/>
          <w:rtl/>
          <w:lang w:eastAsia="he-IL"/>
        </w:rPr>
        <w:t xml:space="preserve">עכשיו בדרך לפה קראתי שכוחות משטרה, הרבה משטרה, מלווים בולדוזרים ודחפורים כדי להרוס בבאקה איזה (אומר בערבית: מקום, חניית אוטובוסים,) מלא שוטרים.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שלשום נרצחו שניים, מוחמד עמאש ורשא עמאש, בחצר ביתם בזמן חתונה על ידי שלושה פושעים שירו. מכונית משטרתית הייתה במרחק כמה עשרות מטרים. רדפו אחריהם, וראו זה פלא: לא תפסו את הפושעים, שרצחו שניים. הייתה רק ניידת אחת. אבל כאשר הורסים בבאקה – מלא כוחות; כאשר הורסים בטייבה – מלא כוחות. זה פשוט לא סביר, אם מדברים על עילת הסבירות. לא סביר, משהו מסריח כאן בהתנהגות המשטרה. זה לא רק כישלון כי אין להם כוח אדם; יש להם כוח אדם, והם מפעילים אותו איפה שהם רוצים לפי סדר העדיפויות העקום, המעוות שלהם – אפרופו עילת הסבירות.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יש דברים לא סבירים שנעשים עכשיו, גם כשלא ביטלו את עילת הסבירות. אנחנו הצבענו נגד כל מה שקרוי חוקי ההפיכה המשפטית, כי הניסיון לדרוס את מערכת המשפט ולהשתלט עליה הוא ניסיון אנטי-דמוקרטי. גם אם המחאות הן מחאות המגינות על דמוקרטיה יהודית, אתנוקרטיה, יהודוקרטיה – למרות זאת אנחנו, כמיעוט שסבל מהדרה ואפליה, מתנגדים לפגיעה הזאת בבתי המשפט, למרות שבג"ץ לא נתן סעד לערבים, לפלסטינים באשר הם, בנושאים הגדולים. (חוזר על המילים בערבית.) התנחלויות, גירוש, חיסולים – כל מפעל ההתנחלות הוכשר על ידי בג"ץ.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אבל יש לנו עמדה, והעמדה הזאת התבטאה בכל ההצבעות שלנו בכל ועדה. מירב בן ארי דיברה על הנוכחות של יש עתיד הלילה, יפה. אבל לאורך כל התקופה הזאת - - - </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זה לא כל הלילה, זה כל החודשים האחרונים.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לאורך כל התקופה הזאת – היא יודעת, אתה פחות – אנשי חד"ש-תע"ל תמיד היו כאן עד השעות הקטנות של הלילה – 02:00, 03:00, 04:00, על חוקים שאתם לא נכחתם בהם. למה? כי הם חוקים פחות חשובים לכם או להם. היא הייתה, לא כולם היו. </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לא לא לא, בוא אני אעשה לך סדר: אם יש מישהו שלאורך כל הכנס הזה החזיק את המליאה, זאת מפלגת יש עתיד. לא כוויכוח, לא כהתרסה – זאת המציאות, עם עילת הסבירות.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אגב, אנחנו לא בתחרות, מירב.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אין תחרות, זאת המציאות.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התייחסת לזה, אבל שכחת סיעה אחת שלפי הנוכחות, דף הנוכחות, היא עוברת אתכם.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אין בעיה. מה לעשות?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אין סיכוי כזה.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מה זה אין סיכוי כזה?</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אין סיכוי שאתם פה יותר מאיתנו.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אתה אומר את זה על מישהו אחר.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אגב, ייאמר לזכותך, אתה לא דוגמה.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הבנת?</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הבנת? אבל יש הבדל בין אחד ל-24. </w:t>
      </w:r>
    </w:p>
    <w:p w:rsidR="00EF20FA" w:rsidRDefault="00EF20FA" w:rsidP="00EF20FA">
      <w:pPr>
        <w:rPr>
          <w:rtl/>
        </w:rPr>
      </w:pPr>
      <w:r>
        <w:rPr>
          <w:rFonts w:hint="cs"/>
          <w:rtl/>
        </w:rPr>
        <w:t xml:space="preserve"> </w:t>
      </w: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לא יודע, אני קמתי באמצע הלילה, ראיתי את נאור שירי, חזרתי לישון.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ברור. אגב, גם היית באמצע הלילה בוועדת חוקה השבוע, היית רואה את נאור שירי.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כשהייתי יושב פה ב-03:00–04:00, לא ראיתי אותך, נאור שירי.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מה לעשות, כנראה ישב בוועדה.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אוקיי, אותה ראיתי.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אותו ואת סימון דוידסון. תאמין לי שאתה שונה, זה נכון, אבל - - -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אני יודע למי את מתכוונת, אבל היית צריכה להגיד חד"ש-תע"ל, מה לעשות?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מה זה הוא שונה? מה הכוונה?</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לטובה היא מתכוונת.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אה, לטובה. כשהם אומרים שונה, הם מתכוונים לקהילה מסוימת. </w:t>
      </w:r>
    </w:p>
    <w:p w:rsidR="00EF20FA" w:rsidRDefault="00EF20FA" w:rsidP="00EF20FA">
      <w:pPr>
        <w:rPr>
          <w:rtl/>
        </w:rPr>
      </w:pPr>
    </w:p>
    <w:p w:rsidR="00EF20FA" w:rsidRDefault="00EF20FA" w:rsidP="00EF20FA">
      <w:pPr>
        <w:rPr>
          <w:rtl/>
        </w:rPr>
      </w:pPr>
      <w:r>
        <w:rPr>
          <w:rFonts w:hint="cs"/>
          <w:rtl/>
        </w:rPr>
        <w:t xml:space="preserve">יש פה לחץ באופוזיציה לנאום. אתה יודע, כל אחד שעולה, דוחפים אותו למטה.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עד שהוא הצליח להיכנס לבניין, דרך עקלקלה. </w:t>
      </w:r>
    </w:p>
    <w:p w:rsidR="00EF20FA" w:rsidRDefault="00EF20FA" w:rsidP="00EF20FA">
      <w:pPr>
        <w:rPr>
          <w:rt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דרך בורמה.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לא היה קל. הינה, אני אומר לך, לא היה קל. </w:t>
      </w:r>
    </w:p>
    <w:p w:rsidR="00EF20FA" w:rsidRDefault="00EF20FA" w:rsidP="00EF20FA">
      <w:pPr>
        <w:rPr>
          <w:rtl/>
        </w:rPr>
      </w:pPr>
    </w:p>
    <w:p w:rsidR="00EF20FA" w:rsidRDefault="00EF20FA" w:rsidP="00EF20FA">
      <w:pPr>
        <w:rPr>
          <w:rtl/>
        </w:rPr>
      </w:pPr>
      <w:r>
        <w:rPr>
          <w:rFonts w:hint="cs"/>
          <w:rtl/>
        </w:rPr>
        <w:t xml:space="preserve">לרשא ומוחמד מג'סר א-זרקא היו חלומות, מכובדי היושב-ראש. הם נגדעו על ידי פושעים נתעבים. הפושעים האלה נוהגים בחוסר סבירות קיצוני, אבל בכל זאת לא עוצרים אותם, לא מפענחים מעשי רצח. כמעט 130 מעשי רצח – כמה פוענחו? שמונה, תשעה, ולרוב הם הסגירו את עצמם. זה הנושא הראשון בסדר העדיפויות שלנו, ולמרות זאת תמיד היינו פה כדי לתמוך בדברים שחשובים לכם. אני רוצה שרבים מכם, לא כולכם, יתמכו בדברים שחשובים לנו, לציבור הערבי כולו. זאת עוד הזדמנות להגיד מילה טובה לכל מי שצעדו, כל הצעדה הזאת של האלפים בחום, במזג אוויר קשה. בועז, היית שם, לא?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בועז טופורובסקי (יש עתיד):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בכל מקום. למדתי ממך.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תודה. הם עשו מעשה שראוי להערכה.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אחמד טיבי, זה לא בסדר - - - יש מחלוקות בין יש עתיד למחנה הממלכתי, עכשיו אתה לוקח להם את הזמן? אני לא רוצה יותר מדי בעיות באופוזיציה.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האם אתה רומז שזה יכול להביא לקרע?</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לקרע עמוק. כרגע יש קרע - - -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נדמה לי שהקרע התרחש אתמול מסיבה אחרת. </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כרגע יש קרע. עכשיו, מה שאתה עושה, אתה מעמיק את הקרע.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מעמיק את הקרע. אני מציע את היושב-ראש ואטורי כמתווך בין שניהם, ובזה אני אסיים. תודה רבה לך, אדוני. בבקשה, חבר הכנסת אלקין. </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חבר הכנסת אלקין. הוא עדיין לא סגן יושב-ראש, אז אני קורא לך, בסדר? חבר הכנסת אלקין, בבקשה.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בקשר לתקיפת הכנסיות, דרך אגב, זה מיעוט. אתה שומע, אני מגנה את זה. זה לא מקובל, הדבר הזה. הייתה פה ישיבה אצל היושב-ראש. הוא זימן בכירים בעדה, כולל אנשים בשטח, פאדי ועוד כמה אנשים מכובדים בנצרת. עשו פה ישיבה וסולחה, הסבירו את העניין, ונגמר מאוד יפה. </w:t>
      </w:r>
    </w:p>
    <w:p w:rsidR="00EF20FA" w:rsidRDefault="00EF20FA" w:rsidP="00EF20FA">
      <w:pPr>
        <w:pStyle w:val="af9"/>
        <w:keepNext/>
        <w:rPr>
          <w:rtl/>
        </w:rPr>
      </w:pPr>
      <w:r>
        <w:rPr>
          <w:rFonts w:hint="cs"/>
          <w:rtl/>
        </w:rPr>
        <w:t xml:space="preserve">  </w:t>
      </w:r>
    </w:p>
    <w:p w:rsidR="00EF20FA" w:rsidRDefault="00EF20FA" w:rsidP="00EF20FA">
      <w:pPr>
        <w:pStyle w:val="af8"/>
        <w:keepNext/>
        <w:rPr>
          <w:rtl/>
        </w:rPr>
      </w:pPr>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עוד פעם אתמול. </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אתה רוצה רבע שעה? אני כבר לא יודע מה השעות. רשום לי, עדכני, שאתה 15 דקות. </w:t>
      </w:r>
    </w:p>
    <w:p w:rsidR="00EF20FA" w:rsidRDefault="00EF20FA" w:rsidP="00EF20FA">
      <w:pPr>
        <w:rPr>
          <w:rtl/>
          <w:lang w:eastAsia="he-IL"/>
        </w:rPr>
      </w:pPr>
    </w:p>
    <w:p w:rsidR="00EF20FA" w:rsidRDefault="00EF20FA" w:rsidP="00EF20FA">
      <w:pPr>
        <w:pStyle w:val="a5"/>
        <w:keepNext/>
        <w:rPr>
          <w:rtl/>
        </w:rPr>
      </w:pPr>
      <w:r>
        <w:rPr>
          <w:rStyle w:val="TagStyle"/>
          <w:rFonts w:hint="cs"/>
          <w:rtl/>
        </w:rPr>
        <w:t xml:space="preserve"> &lt;&lt; דובר &gt;&gt; </w:t>
      </w:r>
      <w:r>
        <w:rPr>
          <w:rFonts w:hint="cs"/>
          <w:rtl/>
        </w:rPr>
        <w:t>זאב אלקין (המחנה הממלכתי):</w:t>
      </w:r>
      <w:r>
        <w:rPr>
          <w:rStyle w:val="TagStyle"/>
          <w:rtl/>
        </w:rPr>
        <w:t xml:space="preserve"> &lt;&lt; דובר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כן, זה בדיוק מה שצריך, לא צריך דקה יותר. </w:t>
      </w:r>
    </w:p>
    <w:p w:rsidR="00EF20FA" w:rsidRDefault="00EF20FA" w:rsidP="00EF20FA">
      <w:pPr>
        <w:rPr>
          <w:rtl/>
          <w:lang w:eastAsia="he-IL"/>
        </w:rPr>
      </w:pPr>
    </w:p>
    <w:p w:rsidR="00EF20FA" w:rsidRDefault="00EF20FA" w:rsidP="00EF20FA">
      <w:pPr>
        <w:rPr>
          <w:rtl/>
        </w:rPr>
      </w:pPr>
      <w:r>
        <w:rPr>
          <w:rFonts w:hint="cs"/>
          <w:rtl/>
        </w:rPr>
        <w:t xml:space="preserve">תודה רבה. אדוני היושב-ראש, אדוני השר וחבריי חברי הכנסת, אני חושב שאנחנו נמצאים פה ביום מאוד קשה ומאוד מורכב למדינת ישראל. זאת הזדמנות שיש, דווקא בזכות זה שכרגע מי שמייצג את הממשלה כאן במליאת הכנסת הוא סגן ראש הממשלה ושר המשפטים חבר הכנסת יריב לוין – זאת הזדמנות לפנות אליו. אני גם חושב שזה הדבר היעיל. הרי כולנו כבר מבינים איך הממשלה הזאת מתנהלת. יש ראש ממשלה ויש ראש ממשלה חליפי, למרות שלא הפעילו את חוק החליפי. לראש הממשלה החליפי קוראים שר המשפטים יריב לוין. בסוף כל משא ומתן וכל תהליך שמתנהל – ההכרעות מתקבלות אצל ראש הממשלה החליפי. ראינו את זה היטב גם בסבבים הקודמים סביב הוועדה לבחירת שופטים וגם עכשיו. אז יכול להיות שזה בזבוז זמן בכלל לפנות לראש הממשלה, אפשר לפנות מראש למי שמחליט – לראש הממשלה החליפי. </w:t>
      </w:r>
    </w:p>
    <w:p w:rsidR="00EF20FA" w:rsidRDefault="00EF20FA" w:rsidP="00EF20FA">
      <w:pPr>
        <w:rPr>
          <w:rtl/>
        </w:rPr>
      </w:pPr>
    </w:p>
    <w:p w:rsidR="00EF20FA" w:rsidRDefault="00EF20FA" w:rsidP="00EF20FA">
      <w:pPr>
        <w:pStyle w:val="af8"/>
        <w:keepNext/>
        <w:rPr>
          <w:rtl/>
        </w:rPr>
      </w:pPr>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p>
    <w:p w:rsidR="00EF20FA" w:rsidRDefault="00EF20FA" w:rsidP="00EF20FA">
      <w:pPr>
        <w:rPr>
          <w:rtl/>
        </w:rPr>
      </w:pPr>
    </w:p>
    <w:p w:rsidR="00EF20FA" w:rsidRDefault="00EF20FA" w:rsidP="00EF20FA">
      <w:pPr>
        <w:rPr>
          <w:rtl/>
        </w:rPr>
      </w:pPr>
      <w:r>
        <w:rPr>
          <w:rFonts w:hint="cs"/>
          <w:rtl/>
        </w:rPr>
        <w:t xml:space="preserve">גם אני אמרתי את זה.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התמזל מזלנו, יריב, ואתה נמצא כאן, אז זאת הזדמנות לפנות אליך. האם לילד הזה פיללת, והאם לצורך זה יצאת לדרך? אני מכיר אותך שנים רבות. בשונה מכל מיני אנשים שאצלם הסיפור הזה של הרפורמה של מערכת המשפט הוא איזו אופנה מתחלפת, לזכותך ייאמר שאתה הולך עם הדגל הזה במשך שנים רבות. מהרגע הראשון שבו דרכת בכנסת, אמרת לי: זאת משימת חיי, לבצע רפורמה של מערכת המשפט. אבל היו מטרות לעניין הזה.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חברת הכנסת עליזה בראשי, אני מבין שהמלון וזמן ההגעה הם עניין חשוב, אבל אפילו עד לפה אני שומע, זה משבש לי את חוט המחשבה. אני מנסה לפנות לראש הממשלה האמיתי של הממשלה הזאת, ואת מפריעה לי עם חישובי הזמנים של ההגעה למלון.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לא עוזר לי, אדוני היושב-ראש. </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לא יודע, אני לא שומע כלום. הייתי בחיל האוויר, שמעתי את הטייסים ממריאים.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אני כנראה מורגל במשך שנים רבות לשמוע את הקול של עליזה בראשי גם מרחוק. </w:t>
      </w:r>
    </w:p>
    <w:p w:rsidR="00EF20FA" w:rsidRDefault="00EF20FA" w:rsidP="00EF20FA">
      <w:pPr>
        <w:rPr>
          <w:rtl/>
          <w:lang w:eastAsia="he-IL"/>
        </w:rPr>
      </w:pPr>
    </w:p>
    <w:p w:rsidR="00EF20FA" w:rsidRDefault="00EF20FA" w:rsidP="00EF20FA">
      <w:pPr>
        <w:pStyle w:val="af9"/>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עליזה, הוא מחכה שתגידי לו לרדת.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לא לא לא, אני לא מחכה שיגידו לי לרדת. דווקא רציתי לפנות ליריב, אבל אני רואה שהוא יוצא מהמליאה ולא נותן לי את ההזדמנות הזאת. אני בכל זאת אדבר אליו, למרות שהוא העדיף לצאת.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כששר המשפטים וחבר הכנסת יריב לוין יצא לדרך ודיבר על הצורך ברפורמה המשפטית, זה תמיד הוצג ככלי להשגה של מטרות לאומיות. למשל, היו לו טענות שבגלל המבנה של בית המשפט העליון, בית המשפט העליון הוא לא אובייקטיבי בהחלטות שקשורות לנושא ההתיישבות, נושא שהוא בהחלט בעל חשיבות לאומית ובמחלוקת גם בבית הזה. טען חבר הכנסת יריב לוין  באותה תקופה, אולי במידה מסוימת של צדק, שיש איזה אי-איזון בהרכב של העמדות של בית המשפט העליון.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אני חייב להגיד שמאז השתנו היוצרות. גם ההרכב של בית המשפט העליון השתנה. הגענו למצבים מפתיעים, ימות המשיח. בית המשפט העליון, בג"ץ יותר נכון – השופט סולברג, שגם הוא מתיישב במקרה, פונה לממשלה וגוער בה על זה שהיא לא מפנה את ח'אן אל-אחמר. במקום בית משפט עליון כגורם שדווקא פעל, כפי שנטען, כנגד ההתיישבות בהרבה מאוד מקרים, בית משפט העליון אומר לממשלה – לממשלה הזאת, יריב, שאתה מכהן בתוכה: אתם לא בסדר שאתם לא מפנים את ח'אן אל-אחמר. לא רק שלא עוצר אתכם – מזרז אתכם, אומר: תעשו. זה בא לידי ביטוי גם בעוד ועוד החלטות. לכן, לכאורה הטיעון הזה כבר פחות עובד. יושבים עוד נציגים אחרים של ההתיישבות בתוך בית המשפט העליון.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נזרקו האשמות אחרות כלפי בית המשפט העליון במה הוא מונע או לא מונע מהממשלה. אבל כשאני אוסף את כל הטענות האלה על השנים האחרונות, זה נכון, השינוי בהרכב של בית המשפט העליון, שאגב, התרחש בגלל רפורמה שכן עברה פה בכנסת, בבחירה של השופטים בקונסנזוס רחב בוועדה לבחירת שופטים – מה שהוביל לשינוי עמוק בהרכב של בית המשפט העליון, והביא גם לגיוון של העמדות וגם לגיוון של ההחלטות. הוא כבר לא בית משפט שכולו אקטיביסטי, יש בתוכו לא מעט שופטים שמרניים, והיה אפשר להמשיך בדרך הזאת. אבל כשאני מסתכל, יריב, על כל ההחלטות שקיבל בית המשפט העליון ועצר את ידי הכנסת וידי הממשלה ומחבר את כולן ביחד, ובחלקן סברתי אז ואני סובר היום שבית המשפט העליון טעה – והוא לא חסין מטעויות, אפשר להביע ביקורת על ההחלטות שלו – כשאני שם את כל זה על צד אחד של המאזניים, ובצד השני של המאזניים את כל המחיר המטורף שמדינת ישראל משלמת על החקיקה שמקודמת כאן, אני רוצה לשאול אותך, יריב: האם זה שווה? האם הכלי שאתה דיברת עליו ככלי חשוב להשגה של מטרות לאומיות, האם בסופו של דבר, כשמסתכלים על כל המאזן, אנחנו לא יוצאים במינוס לאומי, בגירעון לאומי עצום? </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שר המשפטים יריב לוין:</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תאמין לי שבשל שנאת נתניהו - - -</w:t>
      </w:r>
    </w:p>
    <w:p w:rsidR="00EF20FA" w:rsidRDefault="00EF20FA" w:rsidP="00EF20FA">
      <w:pPr>
        <w:rPr>
          <w:rtl/>
        </w:rPr>
      </w:pPr>
    </w:p>
    <w:p w:rsidR="00EF20FA" w:rsidRDefault="00EF20FA" w:rsidP="00EF20FA">
      <w:pPr>
        <w:pStyle w:val="-"/>
        <w:keepNext/>
        <w:rPr>
          <w:rtl/>
        </w:rPr>
      </w:pPr>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מה קשור שנאת נתניהו לעניין הזה? מה זה רלוונטי לשנאת נתניהו?</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מי שונא את נתניהו? זה בכלל לא קשור. זה לא אישי.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לכל אחד אתה אומר – לי – שאני לוקח את זה לנתניהו. הינה, אני לא לוקח את זה לנתניהו. פונה אליך. עזבתי את נתניהו. מדבר אליך, אישית, אליך, כמי שמכיר אותך שנים רבות. מה קשור עכשיו שנאת נתניהו?</w:t>
      </w:r>
    </w:p>
    <w:p w:rsidR="00EF20FA" w:rsidRDefault="00EF20FA" w:rsidP="00EF20FA">
      <w:pPr>
        <w:rPr>
          <w:rtl/>
          <w:lang w:eastAsia="he-IL"/>
        </w:rPr>
      </w:pPr>
    </w:p>
    <w:p w:rsidR="00EF20FA" w:rsidRDefault="00EF20FA" w:rsidP="00EF20FA">
      <w:pPr>
        <w:pStyle w:val="af8"/>
        <w:keepNext/>
        <w:rPr>
          <w:rtl/>
        </w:rPr>
      </w:pPr>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זה לא קשור. </w:t>
      </w:r>
    </w:p>
    <w:p w:rsidR="00EF20FA" w:rsidRDefault="00EF20FA" w:rsidP="00EF20FA">
      <w:pPr>
        <w:rPr>
          <w:rtl/>
          <w:lang w:eastAsia="he-IL"/>
        </w:rPr>
      </w:pPr>
    </w:p>
    <w:p w:rsidR="00EF20FA" w:rsidRDefault="00EF20FA" w:rsidP="00EF20FA">
      <w:pPr>
        <w:pStyle w:val="-"/>
        <w:keepNext/>
        <w:rPr>
          <w:rtl/>
        </w:rPr>
      </w:pPr>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מדבר אליך לגופו של עניין. אני מבין שזה לא נעים לשמוע, ויותר פשוט לצאת. יכול להיות. אבל הדברים, עדיין ראוי שייאמרו. ואני מציע לך, יריב, כראש הממשלה האמיתי, כזה שבאמת מקבל החלטות פה, בקדנציה הזאת, לראות את התמונה המלאה. לאן אתם מובילים עם העסק הזה? האם זה שווה?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קח את כל ההחלטות של בית המשפט העליון בעשר השנים האחרונות, שאתה לא אוהב, תהפוך אותן, ושים אותן בצד אחד של המאזניים. ובצד השני של המאזניים שים את מה שמתרחש כרגע: קרע עמוק בעם, פגיעה בכשירות של צה"ל – שהאויבים שלנו לא עיוורים אליה וחושבים שאנחנו חלשים. איפה כאן האינטרס הלאומי? ואיך תוכלו להסתכל בראי אם, חס וחלילה, זה יביא גם למשהו הרבה יותר גרוע מזה? כי כשהאויב שלנו מפרש שהממשלה הזאת חלשה, הוא יכול להתפתות למעשים שאחר כך יעלו לנו ביוקר. גם לו הם יעלו ביוקר. הם יטעו; הם יראו שמדינת ישראל לא חלשה גם ברגע של המחלוקת הכי קשה. היא תדע להתאחד. אבל למה צריך להגיע לזה? למה צריך לשדר חולשה לגרועים שבאויבינו? האם זה שווה את זה? את כל המחיר? </w:t>
      </w:r>
    </w:p>
    <w:p w:rsidR="00EF20FA" w:rsidRDefault="00EF20FA" w:rsidP="00EF20FA">
      <w:pPr>
        <w:rPr>
          <w:rtl/>
          <w:lang w:eastAsia="he-IL"/>
        </w:rPr>
      </w:pPr>
    </w:p>
    <w:p w:rsidR="00EF20FA" w:rsidRDefault="00EF20FA" w:rsidP="00EF20FA">
      <w:pPr>
        <w:rPr>
          <w:rtl/>
          <w:lang w:eastAsia="he-IL"/>
        </w:rPr>
      </w:pPr>
      <w:r>
        <w:rPr>
          <w:rFonts w:hint="cs"/>
          <w:rtl/>
          <w:lang w:eastAsia="he-IL"/>
        </w:rPr>
        <w:t>רואים את המחיר המדיני. הרי במקום לריב ולהתווכח, גם עם גדולי ידידנו, ארצות הברית, על הבנייה ב-</w:t>
      </w:r>
      <w:r>
        <w:rPr>
          <w:lang w:eastAsia="he-IL"/>
        </w:rPr>
        <w:t>A1</w:t>
      </w:r>
      <w:r>
        <w:rPr>
          <w:rFonts w:hint="cs"/>
          <w:rtl/>
          <w:lang w:eastAsia="he-IL"/>
        </w:rPr>
        <w:t>, על החלת הריבונות, על נושאים משמעותיים מבחינה לאומית ומבחינת הימין, על מה אתם מבזבזים את הריב? על זה? על הדברים שגם פוגעים במדינת ישראל כולה? האם זה שווה את זה?</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אני כבר לא מדבר על הכלכלה. הרי מה אתם חושבים שיקרה מבחינה כלכלית אחרי שראש הממשלה – הפורמלי, כן, לא האמיתי, שיצא כרגע מהמליאה, אבל הפורמלי – התחייב לכל חברות דירוג האשראי הבין-לאומיות, שכל המשך החקיקה יהיה בהסכמה? מה אתם חושבים, שהם ככה יוותרו על זה שהוא רימה אותם? הרמאות פה בפנים, בתוך הבניין הזה, לפעמים עוברת לו בשלום; הרמאות בזירה הבין-לאומית בדרך כלל לא עוברת לו בשלום.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אז כל המחיר הזה, שמדינת ישראל משלמת כולה – לא הממשלה, אלא כל אזרח ואזרח – בפגיעה במעמד המדיני שלנו, בפגיעה בביטחון שלנו, בפגיעה בכלכלה שלנו, יריב, האם זה שווה, כשבצד השני כל אותן ההחלטות שאתה לא אוהב? שים אחד מול השני ותשאל את עצמך. כי בסוף אתם הופכים את הכלי לאליל. פתאום זה הדבר הלאומי היחידי החשוב. אין כבר ימין קלאסי, אין כבר התיישבות, אין כבר ביטחון, אין כבר את קיר הברזל. כל זה משני. רק דבר אחד: ההפיכה המשטרית. ואני לא אומר שלא צריך לבצע רפורמה, אבל השאלה איך ומה ולמען איזו מטרה.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אני אגיד לך, יריב, עוד משהו. ושוב, אולי זה יהיה לא נעים לשמוע. אתם לוקחים את מדינת ישראל לכל הסיבוב הזה, עם המחירים העצומים שתיארתי אותם כרגע, ואתם אפילו לא מסתירים מה הדברים שמנחים את זה. תקראו את נוסח החוק שהולך לעלות פה להצבעה עוד מעט. אני לא זוכר כזאת חקיקה במדינת ישראל. מנסחים שם את הצמצום הדרמטי מאוד והדרקוני מאוד של עילת הסבירות, ואז מגיע משפט מפתח, משפט שיא: החלטת ממשלה זה כל החלטה, לרבות שני דברים: מינויים והיעדר הפעלת סמכות. לא זוכר כזה משפט מבהיר בחקיקות אחרות. זו הרי הזיה. אם זה כל החלטה, אז כל החלטה, ומביאים דוגמאות. למה דווקא שני אלה? כי זה מה שמעניין. כי בסוף, כל החקיקה הזאת היא לא למען אידיאולוגיה שהאמנת בה, יריב, אלא כרגע היא משרתת כיסאולוגיה של שני אנשים שרוצים לפתור לעצמם בעיות אישיות: אחד עם המשפט שלו, והשני – איך חוזרים לממשלה אחרי המשפט שלו. זאת המטרה של התוספת הזאת. אגב, אי-הפעלת סמכות זה לא רק כדי לתת ליריב לוין סמכות לא לכנס את הוועדה לבחירת שופטים; זה כדי שבג"ץ לא יגיד לראש הממשלה לפטר שר שהוא מינה בניגוד לעמדת בית המשפט העליון. הכול משרת את אותה מטרה.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האם זה שווה? בצד אחד שמים את זה, ובצד השני את האינטרסים הלאומיים של מדינת ישראל. והכלי הזה, במקום לשרת את האינטרס הלאומי של מדינת ישראל, כמו שהאמנת כל השנים, הופך לפוגע באינטרס הלאומי במדינת ישראל.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אני אגיד עוד משהו לסיום דבריי: יש דרך אחרת. הרי כל מה שתעשו היום, ולצערי אולי עוד תרצו לעשות בהמשך, בדרך שבה אתם הולכים, לא תישאר מזה אבן על אבן. זה יירשם בהיסטוריה של כנסת ישראל על שמו של יריב לוין. על שמך, יריב, לא יירשם: הרפורמטור הגדול של מערכת המשפט, אלא: מי שקבר סיכוי שהיה כאן, סיכוי אמיתי לרפורמה מעמיקה במערכת המשפט. כי אם תעשה את זה חד-צדדי, בכנסת הבאה – אני מבטיח לך – לא תישאר מזה אבן על אבן. כל המחיר הזה, שמשלמים פה עכשיו, גם לשיטתך, יהיה לחינם. וכך שתירשם בדפי ההיסטוריה, כמי שקבר את הסיכוי לרפורמה אמיתית. ויש צורך ברפורמה אמיתית.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לכן, אני פונה אליך, יריב, ויחד איתך לכל חברי הקואליציה: עצרו. עוד אפשר לעשות את זה. לא נשאר לנו הרבה זמן, שעות ספורות, אבל אפשר לעצור את זה. לעצור את ההצבעה הזאת; לעצור את הקרע בעם; לעצור את הרכבת שדוהרת לתהום, ולהגיע להסכמות אמיתיות על הרפורמה. היא לא תיראה במאה אחוז, יריב, כמו שאתה חולם, אבל מה שיקרה בה – יישאר. בדרך הזאת אנחנו נציל את מדינת ישראל מההידרדרות לתהום הזאת. אין דבר יותר סמלי מזה שאתם בחרתם להעביר את החוק הזה בסמיכות לט' באב. כאילו לא לומדים שום דבר מההיסטוריה. כלום. תסתכלו על לוח השנה העברי. הרי אתם מדברים על האופי היהודי של מדינת ישראל. תחשבו מה המשמעות של המועדים האלה, ואל תחזרו על הטעות שעם ישראל כבר עשה בעבר. עצרו. אתם רואים את הנכונות שלנו להידברות אמיתית ולהסכמות אמיתיות. תעשו רפורמה אמיתית, מאוזנת, בהסכמה, ואל תיקחו את מדינת ישראל לאבדון, בדרך שאתם מוליכים אותה, למען כלום ושום דבר. תודה רבה, אדוני היושב-ראש. </w:t>
      </w:r>
    </w:p>
    <w:p w:rsidR="00EF20FA" w:rsidRDefault="00EF20FA" w:rsidP="00EF20FA">
      <w:pPr>
        <w:ind w:firstLine="0"/>
        <w:rPr>
          <w:rtl/>
          <w:lang w:eastAsia="he-IL"/>
        </w:rPr>
      </w:pPr>
    </w:p>
    <w:p w:rsidR="00EF20FA" w:rsidRDefault="00EF20FA" w:rsidP="00EF20FA">
      <w:pPr>
        <w:pStyle w:val="af9"/>
        <w:keepNext/>
        <w:rPr>
          <w:rtl/>
        </w:rPr>
      </w:pPr>
      <w:r>
        <w:rPr>
          <w:rStyle w:val="TagStyle"/>
          <w:rFonts w:hint="cs"/>
          <w:rtl/>
        </w:rPr>
        <w:t xml:space="preserve"> א&lt; יור &gt;&gt; </w:t>
      </w:r>
      <w:r>
        <w:rPr>
          <w:rFonts w:hint="cs"/>
          <w:rtl/>
        </w:rPr>
        <w:t>היו"ר ניסים ואטורי:</w:t>
      </w:r>
      <w:r>
        <w:rPr>
          <w:rStyle w:val="TagStyle"/>
          <w:rtl/>
        </w:rPr>
        <w:t xml:space="preserve"> &lt;&lt; יור &gt;&gt;</w:t>
      </w:r>
      <w:r>
        <w:rPr>
          <w:rFonts w:hint="cs"/>
          <w:rtl/>
        </w:rPr>
        <w:t xml:space="preserve">   </w:t>
      </w:r>
    </w:p>
    <w:p w:rsidR="00EF20FA" w:rsidRDefault="00EF20FA" w:rsidP="00EF20FA">
      <w:pPr>
        <w:rPr>
          <w:rtl/>
          <w:lang w:eastAsia="he-IL"/>
        </w:rPr>
      </w:pPr>
    </w:p>
    <w:p w:rsidR="00EF20FA" w:rsidRDefault="00EF20FA" w:rsidP="00EF20FA">
      <w:pPr>
        <w:rPr>
          <w:rtl/>
          <w:lang w:eastAsia="he-IL"/>
        </w:rPr>
      </w:pPr>
      <w:r>
        <w:rPr>
          <w:rFonts w:hint="cs"/>
          <w:rtl/>
          <w:lang w:eastAsia="he-IL"/>
        </w:rPr>
        <w:t xml:space="preserve">תודה רבה. חבר הכנסת בועז טופורובסקי, בבקשה. </w:t>
      </w:r>
    </w:p>
    <w:p w:rsidR="00BB59CD" w:rsidRDefault="00BB59CD" w:rsidP="00BB59CD">
      <w:pPr>
        <w:pStyle w:val="a5"/>
        <w:keepNext/>
        <w:rPr>
          <w:rtl/>
        </w:rPr>
      </w:pPr>
      <w:bookmarkStart w:id="77657" w:name="ET_speaker_5080_6"/>
      <w:r>
        <w:rPr>
          <w:rStyle w:val="TagStyle"/>
          <w:rFonts w:hint="cs"/>
          <w:rtl/>
        </w:rPr>
        <w:t xml:space="preserve">&lt;&lt; דובר &gt;&gt; </w:t>
      </w:r>
      <w:bookmarkStart w:id="77658" w:name="_Toc141197194"/>
      <w:bookmarkStart w:id="77659" w:name="_Toc141196930"/>
      <w:r>
        <w:rPr>
          <w:rFonts w:hint="cs"/>
          <w:rtl/>
        </w:rPr>
        <w:t>בועז טופורובסקי (יש עתיד):</w:t>
      </w:r>
      <w:bookmarkEnd w:id="77658"/>
      <w:bookmarkEnd w:id="77659"/>
      <w:r>
        <w:rPr>
          <w:rStyle w:val="TagStyle"/>
          <w:rFonts w:hint="cs"/>
          <w:rtl/>
        </w:rPr>
        <w:t xml:space="preserve"> &lt;&lt; דובר &gt;&gt;</w:t>
      </w:r>
      <w:r>
        <w:rPr>
          <w:rFonts w:hint="cs"/>
          <w:rtl/>
        </w:rPr>
        <w:t xml:space="preserve">   </w:t>
      </w:r>
      <w:bookmarkEnd w:id="77657"/>
    </w:p>
    <w:p w:rsidR="00BB59CD" w:rsidRDefault="00BB59CD" w:rsidP="00337201">
      <w:pPr>
        <w:rPr>
          <w:rtl/>
          <w:lang w:eastAsia="he-IL"/>
        </w:rPr>
      </w:pPr>
    </w:p>
    <w:p w:rsidR="00BB59CD" w:rsidRDefault="00BB59CD" w:rsidP="00155A3E">
      <w:pPr>
        <w:rPr>
          <w:rtl/>
          <w:lang w:eastAsia="he-IL"/>
        </w:rPr>
      </w:pPr>
      <w:r>
        <w:rPr>
          <w:rFonts w:hint="cs"/>
          <w:rtl/>
          <w:lang w:eastAsia="he-IL"/>
        </w:rPr>
        <w:t>תודה, אדוני היושב-ראש. השרים, חבריי חברו</w:t>
      </w:r>
      <w:bookmarkStart w:id="77660" w:name="_ETM_Q150_743000"/>
      <w:bookmarkEnd w:id="77660"/>
      <w:r>
        <w:rPr>
          <w:rFonts w:hint="cs"/>
          <w:rtl/>
          <w:lang w:eastAsia="he-IL"/>
        </w:rPr>
        <w:t>ת וחברי הכנסת, אני רוצה לדבר איתכם על פוליטיקה מול</w:t>
      </w:r>
      <w:bookmarkStart w:id="77661" w:name="_ETM_Q150_749000"/>
      <w:bookmarkEnd w:id="77661"/>
      <w:r>
        <w:rPr>
          <w:rFonts w:hint="cs"/>
          <w:rtl/>
          <w:lang w:eastAsia="he-IL"/>
        </w:rPr>
        <w:t xml:space="preserve"> החיים עצמם. שומעים? פוליטיקה מול החיים עצמם. </w:t>
      </w:r>
      <w:bookmarkStart w:id="77662" w:name="TOR_Q151"/>
      <w:bookmarkEnd w:id="77662"/>
      <w:r>
        <w:rPr>
          <w:rFonts w:hint="cs"/>
          <w:rtl/>
          <w:lang w:eastAsia="he-IL"/>
        </w:rPr>
        <w:t xml:space="preserve">בפוליטיקה, המשפחה של ביסאן אבו </w:t>
      </w:r>
      <w:bookmarkStart w:id="77663" w:name="_ETM_Q151_162467"/>
      <w:bookmarkEnd w:id="77663"/>
      <w:r>
        <w:rPr>
          <w:rFonts w:hint="cs"/>
          <w:rtl/>
          <w:lang w:eastAsia="he-IL"/>
        </w:rPr>
        <w:t xml:space="preserve">ר'דיה מרהט, בת התשע, יכולים להגיד: הפוליטיקאים ישמרו ויגנו </w:t>
      </w:r>
      <w:bookmarkStart w:id="77664" w:name="_ETM_Q151_171059"/>
      <w:bookmarkEnd w:id="77664"/>
      <w:r>
        <w:rPr>
          <w:rFonts w:hint="cs"/>
          <w:rtl/>
          <w:lang w:eastAsia="he-IL"/>
        </w:rPr>
        <w:t>על תאונות הדרכים, ידאגו להציל חיים בדרכים ויעשו הכול. המדינה תעשה הכול כדי שהילדה בת תשע תצא מהבית ותסתובב, ותלך לכיוון בית הספר, וחייה יהיו בביטחון ובבטיחות</w:t>
      </w:r>
      <w:r w:rsidR="00155A3E">
        <w:rPr>
          <w:rFonts w:hint="cs"/>
          <w:rtl/>
          <w:lang w:eastAsia="he-IL"/>
        </w:rPr>
        <w:t xml:space="preserve">; </w:t>
      </w:r>
      <w:bookmarkStart w:id="77665" w:name="_ETM_Q151_187615"/>
      <w:bookmarkStart w:id="77666" w:name="_ETM_Q151_187698"/>
      <w:bookmarkStart w:id="77667" w:name="_ETM_Q151_187831"/>
      <w:bookmarkStart w:id="77668" w:name="_ETM_Q151_187883"/>
      <w:bookmarkEnd w:id="77665"/>
      <w:bookmarkEnd w:id="77666"/>
      <w:bookmarkEnd w:id="77667"/>
      <w:bookmarkEnd w:id="77668"/>
      <w:r>
        <w:rPr>
          <w:rFonts w:hint="cs"/>
          <w:rtl/>
          <w:lang w:eastAsia="he-IL"/>
        </w:rPr>
        <w:t>אבל בחיים עצמם מישהו דרס את ביסאן, היא מתה, והמשפחה שלה יותר לא תאמין לפוליטיקאים שיגידו לה שהמדינה תגן עליה. פוליטיקה מול החיים עצמם. בפוליטיקה יש רוב, והרוב קובע</w:t>
      </w:r>
      <w:r w:rsidR="00155A3E">
        <w:rPr>
          <w:rFonts w:hint="cs"/>
          <w:rtl/>
          <w:lang w:eastAsia="he-IL"/>
        </w:rPr>
        <w:t>,</w:t>
      </w:r>
      <w:r>
        <w:rPr>
          <w:rFonts w:hint="cs"/>
          <w:rtl/>
          <w:lang w:eastAsia="he-IL"/>
        </w:rPr>
        <w:t xml:space="preserve"> ככה עובדת הפוליטיקה</w:t>
      </w:r>
      <w:r w:rsidR="00155A3E">
        <w:rPr>
          <w:rFonts w:hint="cs"/>
          <w:rtl/>
          <w:lang w:eastAsia="he-IL"/>
        </w:rPr>
        <w:t>;</w:t>
      </w:r>
      <w:r>
        <w:rPr>
          <w:rFonts w:hint="cs"/>
          <w:rtl/>
          <w:lang w:eastAsia="he-IL"/>
        </w:rPr>
        <w:t xml:space="preserve"> אבל בחיים עצמם, אולי הרוב קובע, אבל הוא לא תמיד צודק. אם רוב קובע – לא יודע מה – להעביר קבוצת אוכלוסייה שלמה ממקום למקום, יכול לקבוע הרוב הזה, אבל הוא לא תמיד יהיה צודק. אם הרוב קובע שהדמוקרטיה לא תהיה תמיד דמוקרטיה, החיים עצמם יכולים לטפוח לרוב הזה על השכם ולהגיד לו: אדוני הרוב, בפוליטיקה יכולים להגיד לנו דברים, אבל בחיים עצמם זה לא עובד. בפוליטיקה יש המון המון פייק. פייק ניוז. בפוליטיקה יכולים להגיד: אני לא הרגשתי טוב כי זו הייתה התייבשות. אבל בחיים עצמם יבואו הרופאים ויגידו: יכול להיות שאתה אומר שזו התייבשות, אבל אם לא יתקינו לך קוצב לב, אז החיים שלך בסכנה</w:t>
      </w:r>
      <w:r w:rsidR="00155A3E">
        <w:rPr>
          <w:rFonts w:hint="cs"/>
          <w:rtl/>
          <w:lang w:eastAsia="he-IL"/>
        </w:rPr>
        <w:t>,</w:t>
      </w:r>
      <w:r>
        <w:rPr>
          <w:rFonts w:hint="cs"/>
          <w:rtl/>
          <w:lang w:eastAsia="he-IL"/>
        </w:rPr>
        <w:t xml:space="preserve"> זו לא רק התייבשות. ואז צריך להחליט אם מאמינים לפייק של הפוליטיקה, או לחיים עצמם ולאמת, ולצורך של המדע והרפואה להציל את החיים. </w:t>
      </w:r>
      <w:bookmarkStart w:id="77669" w:name="_ETM_Q151_266677"/>
      <w:bookmarkStart w:id="77670" w:name="_ETM_Q151_266758"/>
      <w:bookmarkStart w:id="77671" w:name="_ETM_Q151_266877"/>
      <w:bookmarkStart w:id="77672" w:name="_ETM_Q151_266928"/>
      <w:bookmarkStart w:id="77673" w:name="_ETM_Q151_263394"/>
      <w:bookmarkStart w:id="77674" w:name="_ETM_Q151_263470"/>
      <w:bookmarkEnd w:id="77669"/>
      <w:bookmarkEnd w:id="77670"/>
      <w:bookmarkEnd w:id="77671"/>
      <w:bookmarkEnd w:id="77672"/>
      <w:bookmarkEnd w:id="77673"/>
      <w:bookmarkEnd w:id="77674"/>
      <w:r w:rsidR="00155A3E">
        <w:rPr>
          <w:rFonts w:hint="cs"/>
          <w:rtl/>
          <w:lang w:eastAsia="he-IL"/>
        </w:rPr>
        <w:t xml:space="preserve"> </w:t>
      </w:r>
      <w:r>
        <w:rPr>
          <w:rFonts w:hint="cs"/>
          <w:rtl/>
          <w:lang w:eastAsia="he-IL"/>
        </w:rPr>
        <w:t>בפוליטיקה יש חירות לפוליטיקאים להחליט בעבורנו מה נכון ומה לא נכון</w:t>
      </w:r>
      <w:r w:rsidR="00155A3E">
        <w:rPr>
          <w:rFonts w:hint="cs"/>
          <w:rtl/>
          <w:lang w:eastAsia="he-IL"/>
        </w:rPr>
        <w:t>,</w:t>
      </w:r>
      <w:r>
        <w:rPr>
          <w:rFonts w:hint="cs"/>
          <w:rtl/>
          <w:lang w:eastAsia="he-IL"/>
        </w:rPr>
        <w:t xml:space="preserve"> להחליט עבור האזרחים מה צריך לעשות, איך לשמור עליהם</w:t>
      </w:r>
      <w:r w:rsidR="00155A3E">
        <w:rPr>
          <w:rFonts w:hint="cs"/>
          <w:rtl/>
          <w:lang w:eastAsia="he-IL"/>
        </w:rPr>
        <w:t>, ו</w:t>
      </w:r>
      <w:r>
        <w:rPr>
          <w:rFonts w:hint="cs"/>
          <w:rtl/>
          <w:lang w:eastAsia="he-IL"/>
        </w:rPr>
        <w:t>לפעמים אפילו איך להצר את צעדי האזרחים בשביל להגן על טובת הכלל</w:t>
      </w:r>
      <w:r w:rsidR="00155A3E">
        <w:rPr>
          <w:rFonts w:hint="cs"/>
          <w:rtl/>
          <w:lang w:eastAsia="he-IL"/>
        </w:rPr>
        <w:t>;</w:t>
      </w:r>
      <w:r>
        <w:rPr>
          <w:rFonts w:hint="cs"/>
          <w:rtl/>
          <w:lang w:eastAsia="he-IL"/>
        </w:rPr>
        <w:t xml:space="preserve"> אבל בחיים עצמם יש לאזרחים חירות מעריצות הרוב</w:t>
      </w:r>
      <w:r w:rsidR="00155A3E">
        <w:rPr>
          <w:rFonts w:hint="cs"/>
          <w:rtl/>
          <w:lang w:eastAsia="he-IL"/>
        </w:rPr>
        <w:t>,</w:t>
      </w:r>
      <w:r>
        <w:rPr>
          <w:rFonts w:hint="cs"/>
          <w:rtl/>
          <w:lang w:eastAsia="he-IL"/>
        </w:rPr>
        <w:t xml:space="preserve"> חירות מפגיעה בזכויות הבסיסיות שלהם</w:t>
      </w:r>
      <w:r w:rsidR="00155A3E">
        <w:rPr>
          <w:rFonts w:hint="cs"/>
          <w:rtl/>
          <w:lang w:eastAsia="he-IL"/>
        </w:rPr>
        <w:t>,</w:t>
      </w:r>
      <w:r>
        <w:rPr>
          <w:rFonts w:hint="cs"/>
          <w:rtl/>
          <w:lang w:eastAsia="he-IL"/>
        </w:rPr>
        <w:t xml:space="preserve"> חירות מכך שמישהו ינצל את כוחו לרעה ויפגע באזרח או באזרחית רק בגלל שזה פוליטיקאי נתן לו את הכוח. שוב פעם, זו הפוליטיקה מול החיים עצמם. </w:t>
      </w:r>
    </w:p>
    <w:p w:rsidR="00BB59CD" w:rsidRDefault="00BB59CD" w:rsidP="00BB59CD">
      <w:pPr>
        <w:rPr>
          <w:rtl/>
          <w:lang w:eastAsia="he-IL"/>
        </w:rPr>
      </w:pPr>
      <w:bookmarkStart w:id="77675" w:name="_ETM_Q151_301612"/>
      <w:bookmarkStart w:id="77676" w:name="_ETM_Q151_301715"/>
      <w:bookmarkEnd w:id="77675"/>
      <w:bookmarkEnd w:id="77676"/>
    </w:p>
    <w:p w:rsidR="00BB59CD" w:rsidRDefault="00BB59CD" w:rsidP="00155A3E">
      <w:pPr>
        <w:rPr>
          <w:rtl/>
          <w:lang w:eastAsia="he-IL"/>
        </w:rPr>
      </w:pPr>
      <w:bookmarkStart w:id="77677" w:name="_ETM_Q151_301819"/>
      <w:bookmarkStart w:id="77678" w:name="_ETM_Q151_301878"/>
      <w:bookmarkEnd w:id="77677"/>
      <w:bookmarkEnd w:id="77678"/>
      <w:r>
        <w:rPr>
          <w:rFonts w:hint="cs"/>
          <w:rtl/>
          <w:lang w:eastAsia="he-IL"/>
        </w:rPr>
        <w:t>בפוליטיקה לפעמים יש אינטרס לא להגיע להסכמות –</w:t>
      </w:r>
      <w:r>
        <w:rPr>
          <w:rFonts w:hint="cs"/>
          <w:rtl/>
        </w:rPr>
        <w:t xml:space="preserve"> </w:t>
      </w:r>
      <w:r>
        <w:rPr>
          <w:rFonts w:hint="cs"/>
          <w:rtl/>
          <w:lang w:eastAsia="he-IL"/>
        </w:rPr>
        <w:t>כי הרי איך נחליף שלטון</w:t>
      </w:r>
      <w:r w:rsidR="00155A3E">
        <w:rPr>
          <w:rFonts w:hint="cs"/>
          <w:rtl/>
          <w:lang w:eastAsia="he-IL"/>
        </w:rPr>
        <w:t>,</w:t>
      </w:r>
      <w:r>
        <w:rPr>
          <w:rFonts w:hint="cs"/>
          <w:rtl/>
          <w:lang w:eastAsia="he-IL"/>
        </w:rPr>
        <w:t xml:space="preserve"> איך נסביר שאנחנו צודקים</w:t>
      </w:r>
      <w:r w:rsidR="00155A3E">
        <w:rPr>
          <w:rFonts w:hint="cs"/>
          <w:rtl/>
          <w:lang w:eastAsia="he-IL"/>
        </w:rPr>
        <w:t>,</w:t>
      </w:r>
      <w:r>
        <w:rPr>
          <w:rFonts w:hint="cs"/>
          <w:rtl/>
          <w:lang w:eastAsia="he-IL"/>
        </w:rPr>
        <w:t xml:space="preserve"> איך נשמור על האגו שלנו אם נרד מהעץ? אי-אפשר להגיע ולהתפשר לפעמים, זה לא האינטרס הפוליטי</w:t>
      </w:r>
      <w:r w:rsidR="00155A3E">
        <w:rPr>
          <w:rFonts w:hint="cs"/>
          <w:rtl/>
          <w:lang w:eastAsia="he-IL"/>
        </w:rPr>
        <w:t>;</w:t>
      </w:r>
      <w:r>
        <w:rPr>
          <w:rFonts w:hint="cs"/>
          <w:rtl/>
          <w:lang w:eastAsia="he-IL"/>
        </w:rPr>
        <w:t xml:space="preserve"> אבל בחיים עצמם לפעמים אין ברירה, אלא כדאי להתפשר. בחיים עצמם אנחנו מבינים שאם אני לוקח הכול</w:t>
      </w:r>
      <w:r w:rsidR="00155A3E">
        <w:rPr>
          <w:rFonts w:hint="cs"/>
          <w:rtl/>
          <w:lang w:eastAsia="he-IL"/>
        </w:rPr>
        <w:t>,</w:t>
      </w:r>
      <w:r>
        <w:rPr>
          <w:rFonts w:hint="cs"/>
          <w:rtl/>
          <w:lang w:eastAsia="he-IL"/>
        </w:rPr>
        <w:t xml:space="preserve"> כל תאוותי בידי, והאחר לא מקבל כלום, בסופו של דבר שנינו נפסיד</w:t>
      </w:r>
      <w:r w:rsidR="00155A3E">
        <w:rPr>
          <w:rFonts w:hint="cs"/>
          <w:rtl/>
          <w:lang w:eastAsia="he-IL"/>
        </w:rPr>
        <w:t>,</w:t>
      </w:r>
      <w:r>
        <w:rPr>
          <w:rFonts w:hint="cs"/>
          <w:rtl/>
          <w:lang w:eastAsia="he-IL"/>
        </w:rPr>
        <w:t xml:space="preserve"> כי החיים עצמם הם לא הכול לי וכלום לאחר אלא חלוקה הוגנת, פיירית, של מה שיש במדינה. </w:t>
      </w:r>
      <w:bookmarkStart w:id="77679" w:name="_ETM_Q151_344812"/>
      <w:bookmarkStart w:id="77680" w:name="_ETM_Q151_344852"/>
      <w:bookmarkEnd w:id="77679"/>
      <w:bookmarkEnd w:id="77680"/>
      <w:r w:rsidR="00155A3E">
        <w:rPr>
          <w:rFonts w:hint="cs"/>
          <w:rtl/>
          <w:lang w:eastAsia="he-IL"/>
        </w:rPr>
        <w:t xml:space="preserve"> </w:t>
      </w:r>
      <w:r>
        <w:rPr>
          <w:rFonts w:hint="cs"/>
          <w:rtl/>
          <w:lang w:eastAsia="he-IL"/>
        </w:rPr>
        <w:t>בפוליטיקה יש מארג עדין של אינטרסים, מארג שצריך לשמור עליו היטב – בין מפלגות, בין השקפות עולם, בין גופים שנמצאים בפוליטיקה, בין ארגונים, בין רשויות, בין כל מיני רגולטורים כאלה ואחרים. בחיים עצמם, לפעמים, ניסיון להרוס את המארג הזה יכול להרוס שנים של עבודה</w:t>
      </w:r>
      <w:r w:rsidR="00155A3E">
        <w:rPr>
          <w:rFonts w:hint="cs"/>
          <w:rtl/>
          <w:lang w:eastAsia="he-IL"/>
        </w:rPr>
        <w:t>,</w:t>
      </w:r>
      <w:r>
        <w:rPr>
          <w:rFonts w:hint="cs"/>
          <w:rtl/>
          <w:lang w:eastAsia="he-IL"/>
        </w:rPr>
        <w:t xml:space="preserve"> אמון שלם. אני מזכיר לכולם שהפוליטיקה מדברת על הרבה מאוד פיקציות: מדינה, כסף, זכויות, רשויות</w:t>
      </w:r>
      <w:r w:rsidR="00155A3E">
        <w:rPr>
          <w:rFonts w:hint="cs"/>
          <w:rtl/>
          <w:lang w:eastAsia="he-IL"/>
        </w:rPr>
        <w:t>;</w:t>
      </w:r>
      <w:r>
        <w:rPr>
          <w:rFonts w:hint="cs"/>
          <w:rtl/>
          <w:lang w:eastAsia="he-IL"/>
        </w:rPr>
        <w:t xml:space="preserve"> אבל החיים עצמם בסופו של דבר נוגעים ליחסים בין בני אדם</w:t>
      </w:r>
      <w:r w:rsidR="00155A3E">
        <w:rPr>
          <w:rFonts w:hint="cs"/>
          <w:rtl/>
          <w:lang w:eastAsia="he-IL"/>
        </w:rPr>
        <w:t>,</w:t>
      </w:r>
      <w:r>
        <w:rPr>
          <w:rFonts w:hint="cs"/>
          <w:rtl/>
          <w:lang w:eastAsia="he-IL"/>
        </w:rPr>
        <w:t xml:space="preserve"> לחיים בין בני אדם</w:t>
      </w:r>
      <w:r w:rsidR="00155A3E">
        <w:rPr>
          <w:rFonts w:hint="cs"/>
          <w:rtl/>
          <w:lang w:eastAsia="he-IL"/>
        </w:rPr>
        <w:t>,</w:t>
      </w:r>
      <w:r>
        <w:rPr>
          <w:rFonts w:hint="cs"/>
          <w:rtl/>
          <w:lang w:eastAsia="he-IL"/>
        </w:rPr>
        <w:t xml:space="preserve"> למערכת היחסים בין בני אדם, למה עושים לביטחון האישי ולתחושה של התקווה, </w:t>
      </w:r>
      <w:r w:rsidR="00155A3E">
        <w:rPr>
          <w:rFonts w:hint="cs"/>
          <w:rtl/>
          <w:lang w:eastAsia="he-IL"/>
        </w:rPr>
        <w:t>בלי</w:t>
      </w:r>
      <w:r>
        <w:rPr>
          <w:rFonts w:hint="cs"/>
          <w:rtl/>
          <w:lang w:eastAsia="he-IL"/>
        </w:rPr>
        <w:t xml:space="preserve"> הפחד, של השגשוג, ועלינו תמיד לזכור שגם אם אנחנו בפוליטיקה לפעמים מנסים להרוס משהו, </w:t>
      </w:r>
      <w:bookmarkStart w:id="77681" w:name="_ETM_Q151_409000"/>
      <w:bookmarkStart w:id="77682" w:name="_ETM_Q151_409077"/>
      <w:bookmarkStart w:id="77683" w:name="_ETM_Q151_409159"/>
      <w:bookmarkStart w:id="77684" w:name="_ETM_Q151_409231"/>
      <w:bookmarkEnd w:id="77681"/>
      <w:bookmarkEnd w:id="77682"/>
      <w:bookmarkEnd w:id="77683"/>
      <w:bookmarkEnd w:id="77684"/>
      <w:r>
        <w:rPr>
          <w:rFonts w:hint="cs"/>
          <w:rtl/>
          <w:lang w:eastAsia="he-IL"/>
        </w:rPr>
        <w:t xml:space="preserve">החיים עצמם יכולים להזכיר לכולם מה נכון ומה לא. </w:t>
      </w:r>
      <w:bookmarkStart w:id="77685" w:name="_ETM_Q151_414797"/>
      <w:bookmarkStart w:id="77686" w:name="_ETM_Q151_414863"/>
      <w:bookmarkEnd w:id="77685"/>
      <w:bookmarkEnd w:id="77686"/>
      <w:r>
        <w:rPr>
          <w:rFonts w:hint="cs"/>
          <w:rtl/>
          <w:lang w:eastAsia="he-IL"/>
        </w:rPr>
        <w:t>בפוליטיקה הרוב יכולים להחליט שיש מלך לארץ הזו, אבל בחיים עצמם מלח הארץ יכול לקום ולהגיד: לא יהיה עלינו מלך, כי זו לא המדינה שאליה נולדנו</w:t>
      </w:r>
      <w:r w:rsidR="00155A3E">
        <w:rPr>
          <w:rFonts w:hint="cs"/>
          <w:rtl/>
          <w:lang w:eastAsia="he-IL"/>
        </w:rPr>
        <w:t>,</w:t>
      </w:r>
      <w:r>
        <w:rPr>
          <w:rFonts w:hint="cs"/>
          <w:rtl/>
          <w:lang w:eastAsia="he-IL"/>
        </w:rPr>
        <w:t xml:space="preserve"> זו לא הבטחה שקיבלנו מהאבות המייסדים</w:t>
      </w:r>
      <w:r w:rsidR="00155A3E">
        <w:rPr>
          <w:rFonts w:hint="cs"/>
          <w:rtl/>
          <w:lang w:eastAsia="he-IL"/>
        </w:rPr>
        <w:t xml:space="preserve">, </w:t>
      </w:r>
      <w:r>
        <w:rPr>
          <w:rFonts w:hint="cs"/>
          <w:rtl/>
          <w:lang w:eastAsia="he-IL"/>
        </w:rPr>
        <w:t>זה לא הבסיס ה</w:t>
      </w:r>
      <w:bookmarkStart w:id="77687" w:name="_ETM_Q0_90258718"/>
      <w:bookmarkStart w:id="77688" w:name="_ETM_Q0_90259123"/>
      <w:r>
        <w:rPr>
          <w:rFonts w:hint="cs"/>
          <w:rtl/>
          <w:lang w:eastAsia="he-IL"/>
        </w:rPr>
        <w:t>חוקתי</w:t>
      </w:r>
      <w:bookmarkEnd w:id="77687"/>
      <w:bookmarkEnd w:id="77688"/>
      <w:r>
        <w:rPr>
          <w:rFonts w:hint="cs"/>
          <w:rtl/>
          <w:lang w:eastAsia="he-IL"/>
        </w:rPr>
        <w:t xml:space="preserve"> שעליו בנויה מדינת ישראל. אז גם אם יכתירו עלינו מלך, מלח הארץ יגיד: עד כאן, זה לא יקרה. </w:t>
      </w:r>
    </w:p>
    <w:p w:rsidR="00BB59CD" w:rsidRDefault="00BB59CD" w:rsidP="00BB59CD">
      <w:pPr>
        <w:rPr>
          <w:rtl/>
          <w:lang w:eastAsia="he-IL"/>
        </w:rPr>
      </w:pPr>
    </w:p>
    <w:p w:rsidR="00BB59CD" w:rsidRDefault="00BB59CD" w:rsidP="00155A3E">
      <w:pPr>
        <w:rPr>
          <w:rtl/>
          <w:lang w:eastAsia="he-IL"/>
        </w:rPr>
      </w:pPr>
      <w:r>
        <w:rPr>
          <w:rFonts w:hint="cs"/>
          <w:rtl/>
          <w:lang w:eastAsia="he-IL"/>
        </w:rPr>
        <w:t>בפוליטיקה, קבוצה קטנה – אני כבר מסיים, אדוני היושב-ראש – קבוצה קטנה יכולה להחליט לתת לה יותר ולשלם פחות, יותר זכויות ופחות חובות, אבל החיים עצמם יבואו ויגידו: ככה זה לא עובד בחיים עצמם</w:t>
      </w:r>
      <w:r w:rsidR="00155A3E">
        <w:rPr>
          <w:rFonts w:hint="cs"/>
          <w:rtl/>
          <w:lang w:eastAsia="he-IL"/>
        </w:rPr>
        <w:t>,</w:t>
      </w:r>
      <w:r>
        <w:rPr>
          <w:rFonts w:hint="cs"/>
          <w:rtl/>
          <w:lang w:eastAsia="he-IL"/>
        </w:rPr>
        <w:t xml:space="preserve"> יש גבול עד כמה אפשר לפרום ולפרק את החוזה שיש בין המדינה לבין האזרחים. לא רוב רגעי או כוח של קבוצה קטנה יהרסו לנו את החיים עצמם.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תודה רבה.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בועז טופורובסקי (יש עתיד):</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בפוליטיקה – ואני מסיים, משפט אחרון, אדוני היושב-ראש – יכולים לבטל את עילת הסבירות, ובחיים עצמם יקום העם ויגיד: עד כאן. תודה רבה.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תודה רבה. חברת הכנסת אפרת רייטן מרום, בבקשה. 15 דקות.</w:t>
      </w:r>
    </w:p>
    <w:p w:rsidR="00BB59CD" w:rsidRDefault="00BB59CD" w:rsidP="00BB59CD">
      <w:pPr>
        <w:ind w:firstLine="0"/>
        <w:rPr>
          <w:rtl/>
          <w:lang w:eastAsia="he-IL"/>
        </w:rPr>
      </w:pPr>
      <w:r>
        <w:rPr>
          <w:rFonts w:hint="cs"/>
          <w:rtl/>
          <w:lang w:eastAsia="he-IL"/>
        </w:rPr>
        <w:tab/>
      </w:r>
    </w:p>
    <w:p w:rsidR="00BB59CD" w:rsidRDefault="00BB59CD" w:rsidP="00BB59CD">
      <w:pPr>
        <w:pStyle w:val="a5"/>
        <w:keepNext/>
        <w:rPr>
          <w:rtl/>
        </w:rPr>
      </w:pPr>
      <w:bookmarkStart w:id="77689" w:name="ET_speaker_6158_8"/>
      <w:r>
        <w:rPr>
          <w:rStyle w:val="TagStyle"/>
          <w:rFonts w:hint="cs"/>
          <w:rtl/>
        </w:rPr>
        <w:t xml:space="preserve"> &lt;&lt; דובר &gt;&gt; </w:t>
      </w:r>
      <w:bookmarkStart w:id="77690" w:name="_Toc141197195"/>
      <w:bookmarkStart w:id="77691" w:name="_Toc141196931"/>
      <w:r>
        <w:rPr>
          <w:rFonts w:hint="cs"/>
          <w:rtl/>
        </w:rPr>
        <w:t>אפרת רייטן מרום (העבודה):</w:t>
      </w:r>
      <w:bookmarkEnd w:id="77690"/>
      <w:bookmarkEnd w:id="77691"/>
      <w:r>
        <w:rPr>
          <w:rStyle w:val="TagStyle"/>
          <w:rFonts w:hint="cs"/>
          <w:rtl/>
        </w:rPr>
        <w:t xml:space="preserve"> &lt;&lt; דובר &gt;&gt;</w:t>
      </w:r>
      <w:r>
        <w:rPr>
          <w:rFonts w:hint="cs"/>
          <w:rtl/>
        </w:rPr>
        <w:t xml:space="preserve">   </w:t>
      </w:r>
      <w:bookmarkEnd w:id="77689"/>
    </w:p>
    <w:p w:rsidR="00BB59CD" w:rsidRDefault="00BB59CD" w:rsidP="00BB59CD">
      <w:pPr>
        <w:rPr>
          <w:rtl/>
          <w:lang w:eastAsia="he-IL"/>
        </w:rPr>
      </w:pPr>
    </w:p>
    <w:p w:rsidR="00BB59CD" w:rsidRDefault="00BB59CD" w:rsidP="00155A3E">
      <w:pPr>
        <w:rPr>
          <w:rtl/>
          <w:lang w:eastAsia="he-IL"/>
        </w:rPr>
      </w:pPr>
      <w:r>
        <w:rPr>
          <w:rFonts w:hint="cs"/>
          <w:rtl/>
          <w:lang w:eastAsia="he-IL"/>
        </w:rPr>
        <w:t>תודה רבה, אדוני היו"ר. כנסת נכבדה, אני אפילו לא יודעת מאיפה להתחיל את כמות הדברים שהלב שלי רוצה לזעוק ורוצה להגיד כאן בכנסת הזו, לספר, לחוות יחד א</w:t>
      </w:r>
      <w:r w:rsidR="00155A3E">
        <w:rPr>
          <w:rFonts w:hint="cs"/>
          <w:rtl/>
          <w:lang w:eastAsia="he-IL"/>
        </w:rPr>
        <w:t>י</w:t>
      </w:r>
      <w:r>
        <w:rPr>
          <w:rFonts w:hint="cs"/>
          <w:rtl/>
          <w:lang w:eastAsia="he-IL"/>
        </w:rPr>
        <w:t>תכם; גם את העוצמות שיש מחוץ לכנסת, גם את הזעקה של האנשים שעושים מעשים שהם לא דמיינו לעצמם אי-פעם שהם יעשו. ב</w:t>
      </w:r>
      <w:r w:rsidR="00155A3E">
        <w:rPr>
          <w:rFonts w:hint="cs"/>
          <w:rtl/>
          <w:lang w:eastAsia="he-IL"/>
        </w:rPr>
        <w:t>ני</w:t>
      </w:r>
      <w:r>
        <w:rPr>
          <w:rFonts w:hint="cs"/>
          <w:rtl/>
          <w:lang w:eastAsia="he-IL"/>
        </w:rPr>
        <w:t xml:space="preserve"> אדם נורמטיבי</w:t>
      </w:r>
      <w:r w:rsidR="00155A3E">
        <w:rPr>
          <w:rFonts w:hint="cs"/>
          <w:rtl/>
          <w:lang w:eastAsia="he-IL"/>
        </w:rPr>
        <w:t>ים</w:t>
      </w:r>
      <w:r>
        <w:rPr>
          <w:rFonts w:hint="cs"/>
          <w:rtl/>
          <w:lang w:eastAsia="he-IL"/>
        </w:rPr>
        <w:t xml:space="preserve"> – וכולם בחוץ אנשים נורמטיביים, בלי יוצא מן הכלל –</w:t>
      </w:r>
      <w:r>
        <w:rPr>
          <w:rFonts w:hint="cs"/>
          <w:rtl/>
        </w:rPr>
        <w:t xml:space="preserve"> </w:t>
      </w:r>
      <w:bookmarkStart w:id="77692" w:name="_ETM_Q151_559390"/>
      <w:bookmarkEnd w:id="77692"/>
      <w:r>
        <w:rPr>
          <w:rFonts w:hint="cs"/>
          <w:rtl/>
          <w:lang w:eastAsia="he-IL"/>
        </w:rPr>
        <w:t xml:space="preserve">לא דמיינו שהם יגיעו לסיטואציה שבה הם יעזבו את המשרד, יעזבו את העבודה, יאזקו את עצמם, ישימו את עצמם בסיטואציה מול שוטרים, מול הכנסת, ויגנו בגופם על הדמוקרטיה. </w:t>
      </w:r>
    </w:p>
    <w:p w:rsidR="00BB59CD" w:rsidRDefault="00BB59CD" w:rsidP="00BB59CD">
      <w:pPr>
        <w:rPr>
          <w:rtl/>
          <w:lang w:eastAsia="he-IL"/>
        </w:rPr>
      </w:pPr>
      <w:bookmarkStart w:id="77693" w:name="_ETM_Q151_582759"/>
      <w:bookmarkStart w:id="77694" w:name="_ETM_Q151_582819"/>
      <w:bookmarkStart w:id="77695" w:name="_ETM_Q151_582966"/>
      <w:bookmarkEnd w:id="77693"/>
      <w:bookmarkEnd w:id="77694"/>
      <w:bookmarkEnd w:id="77695"/>
    </w:p>
    <w:p w:rsidR="00BB59CD" w:rsidRDefault="00BB59CD" w:rsidP="00BB59CD">
      <w:pPr>
        <w:pStyle w:val="af8"/>
        <w:keepNext/>
        <w:rPr>
          <w:rtl/>
        </w:rPr>
      </w:pPr>
      <w:bookmarkStart w:id="77696" w:name="_ETM_Q151_583041"/>
      <w:bookmarkStart w:id="77697" w:name="ET_interruption_6345_9"/>
      <w:bookmarkEnd w:id="77696"/>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bookmarkEnd w:id="77697"/>
    </w:p>
    <w:p w:rsidR="00BB59CD" w:rsidRDefault="00BB59CD" w:rsidP="00BB59CD">
      <w:pPr>
        <w:ind w:firstLine="0"/>
        <w:rPr>
          <w:rtl/>
          <w:lang w:eastAsia="he-IL"/>
        </w:rPr>
      </w:pPr>
      <w:r>
        <w:rPr>
          <w:rFonts w:hint="cs"/>
          <w:rtl/>
          <w:lang w:eastAsia="he-IL"/>
        </w:rPr>
        <w:tab/>
      </w:r>
    </w:p>
    <w:p w:rsidR="00BB59CD" w:rsidRDefault="00BB59CD" w:rsidP="00BB59CD">
      <w:pPr>
        <w:rPr>
          <w:rtl/>
          <w:lang w:eastAsia="he-IL"/>
        </w:rPr>
      </w:pPr>
      <w:r>
        <w:rPr>
          <w:rFonts w:hint="cs"/>
          <w:rtl/>
          <w:lang w:eastAsia="he-IL"/>
        </w:rPr>
        <w:t xml:space="preserve">מחללים את הדמוקרטיה ואת הכנסת. מחללים את הדמוקרטיה ואת הכנסת - - </w:t>
      </w:r>
    </w:p>
    <w:p w:rsidR="00BB59CD" w:rsidRDefault="00BB59CD" w:rsidP="00BB59CD">
      <w:pPr>
        <w:rPr>
          <w:rtl/>
          <w:lang w:eastAsia="he-IL"/>
        </w:rPr>
      </w:pPr>
    </w:p>
    <w:p w:rsidR="00BB59CD" w:rsidRDefault="00BB59CD" w:rsidP="00BB59CD">
      <w:pPr>
        <w:pStyle w:val="-"/>
        <w:keepNext/>
        <w:rPr>
          <w:rtl/>
        </w:rPr>
      </w:pPr>
      <w:bookmarkStart w:id="77698" w:name="ET_speakercontinue_6158_8"/>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77698"/>
    </w:p>
    <w:p w:rsidR="00BB59CD" w:rsidRDefault="00BB59CD" w:rsidP="00BB59CD">
      <w:pPr>
        <w:ind w:firstLine="0"/>
        <w:rPr>
          <w:rtl/>
          <w:lang w:eastAsia="he-IL"/>
        </w:rPr>
      </w:pPr>
      <w:r>
        <w:rPr>
          <w:rFonts w:hint="cs"/>
          <w:rtl/>
          <w:lang w:eastAsia="he-IL"/>
        </w:rPr>
        <w:tab/>
      </w:r>
    </w:p>
    <w:p w:rsidR="00BB59CD" w:rsidRDefault="00BB59CD" w:rsidP="00BB59CD">
      <w:pPr>
        <w:rPr>
          <w:rtl/>
          <w:lang w:eastAsia="he-IL"/>
        </w:rPr>
      </w:pPr>
      <w:bookmarkStart w:id="77699" w:name="_ETM_Q151_583175"/>
      <w:bookmarkStart w:id="77700" w:name="_ETM_Q151_583234"/>
      <w:bookmarkEnd w:id="77699"/>
      <w:bookmarkEnd w:id="77700"/>
      <w:r>
        <w:rPr>
          <w:rFonts w:hint="cs"/>
          <w:rtl/>
          <w:lang w:eastAsia="he-IL"/>
        </w:rPr>
        <w:t>כן, אני מסתכלת עליכם, אוהבת אתכם, מעריצה אתכם. אוהבת אתכם ומעריצה אתכם.</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 - פלוגות מג"ב בחוץ. יס"מ ומג"ב. בושה וחרפה.</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ואנשים שצועקים כאן, הם אנשים אטומים</w:t>
      </w:r>
      <w:r w:rsidR="00155A3E">
        <w:rPr>
          <w:rFonts w:hint="cs"/>
          <w:rtl/>
          <w:lang w:eastAsia="he-IL"/>
        </w:rPr>
        <w:t>, אטומי לב</w:t>
      </w:r>
      <w:r>
        <w:rPr>
          <w:rFonts w:hint="cs"/>
          <w:rtl/>
          <w:lang w:eastAsia="he-IL"/>
        </w:rPr>
        <w:t xml:space="preserve"> - - </w:t>
      </w:r>
    </w:p>
    <w:p w:rsidR="00BB59CD" w:rsidRDefault="00BB59CD" w:rsidP="00BB59CD">
      <w:pPr>
        <w:rPr>
          <w:rtl/>
          <w:lang w:eastAsia="he-IL"/>
        </w:rPr>
      </w:pPr>
    </w:p>
    <w:p w:rsidR="00BB59CD" w:rsidRDefault="00BB59CD" w:rsidP="00BB59CD">
      <w:pPr>
        <w:pStyle w:val="af8"/>
        <w:keepNext/>
        <w:rPr>
          <w:rtl/>
        </w:rPr>
      </w:pPr>
      <w:bookmarkStart w:id="77701" w:name="ET_interruption_6344_10"/>
      <w:r>
        <w:rPr>
          <w:rStyle w:val="TagStyle"/>
          <w:rFonts w:hint="cs"/>
          <w:rtl/>
        </w:rPr>
        <w:t xml:space="preserve">&lt;&lt; קריאה &gt;&gt; </w:t>
      </w:r>
      <w:r>
        <w:rPr>
          <w:rFonts w:hint="cs"/>
          <w:rtl/>
        </w:rPr>
        <w:t>אברהם בצלאל (ש"ס):</w:t>
      </w:r>
      <w:r>
        <w:rPr>
          <w:rStyle w:val="TagStyle"/>
          <w:rtl/>
        </w:rPr>
        <w:t xml:space="preserve"> &lt;&lt; קריאה &gt;&gt;</w:t>
      </w:r>
      <w:r>
        <w:rPr>
          <w:rFonts w:hint="cs"/>
          <w:rtl/>
        </w:rPr>
        <w:t xml:space="preserve">   </w:t>
      </w:r>
      <w:bookmarkEnd w:id="77701"/>
    </w:p>
    <w:p w:rsidR="00BB59CD" w:rsidRDefault="00BB59CD" w:rsidP="00BB59CD">
      <w:pPr>
        <w:rPr>
          <w:rtl/>
          <w:lang w:eastAsia="he-IL"/>
        </w:rPr>
      </w:pPr>
    </w:p>
    <w:p w:rsidR="00BB59CD" w:rsidRDefault="00BB59CD" w:rsidP="00BB59CD">
      <w:pPr>
        <w:rPr>
          <w:rtl/>
          <w:lang w:eastAsia="he-IL"/>
        </w:rPr>
      </w:pPr>
      <w:r>
        <w:rPr>
          <w:rFonts w:hint="cs"/>
          <w:rtl/>
          <w:lang w:eastAsia="he-IL"/>
        </w:rPr>
        <w:t>איך הייתה המכת"זית?</w:t>
      </w:r>
      <w:r w:rsidR="00155A3E">
        <w:rPr>
          <w:rFonts w:hint="cs"/>
          <w:rtl/>
          <w:lang w:eastAsia="he-IL"/>
        </w:rPr>
        <w:t xml:space="preserve"> </w:t>
      </w:r>
    </w:p>
    <w:p w:rsidR="00155A3E" w:rsidRDefault="00155A3E" w:rsidP="00BB59CD">
      <w:pPr>
        <w:pStyle w:val="af8"/>
        <w:keepNext/>
        <w:rPr>
          <w:rStyle w:val="TagStyle"/>
          <w:vanish w:val="0"/>
          <w:rtl/>
        </w:rPr>
      </w:pPr>
      <w:bookmarkStart w:id="77702" w:name="_ETM_Q151_599220"/>
      <w:bookmarkStart w:id="77703" w:name="_ETM_Q151_599292"/>
      <w:bookmarkEnd w:id="77702"/>
      <w:bookmarkEnd w:id="77703"/>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איך הייתה המכת"זית? בדיוק.</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אברהם בצלאל (ש"ס):</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אנשי המכת"זית.</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bookmarkStart w:id="77704" w:name="_ETM_Q151_597092"/>
      <w:bookmarkStart w:id="77705" w:name="_ETM_Q151_597175"/>
      <w:bookmarkStart w:id="77706" w:name="_ETM_Q151_597244"/>
      <w:bookmarkStart w:id="77707" w:name="_ETM_Q151_597343"/>
      <w:bookmarkEnd w:id="77704"/>
      <w:bookmarkEnd w:id="77705"/>
      <w:bookmarkEnd w:id="77706"/>
      <w:bookmarkEnd w:id="77707"/>
    </w:p>
    <w:p w:rsidR="00BB59CD" w:rsidRDefault="00BB59CD" w:rsidP="00155A3E">
      <w:pPr>
        <w:rPr>
          <w:rtl/>
          <w:lang w:eastAsia="he-IL"/>
        </w:rPr>
      </w:pPr>
      <w:r>
        <w:rPr>
          <w:rFonts w:hint="cs"/>
          <w:rtl/>
          <w:lang w:eastAsia="he-IL"/>
        </w:rPr>
        <w:t>תתביישי לך</w:t>
      </w:r>
      <w:r w:rsidR="00155A3E">
        <w:rPr>
          <w:rFonts w:hint="cs"/>
          <w:rtl/>
          <w:lang w:eastAsia="he-IL"/>
        </w:rPr>
        <w:t xml:space="preserve"> -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לא להפריע.</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rPr>
          <w:rtl/>
          <w:lang w:eastAsia="he-IL"/>
        </w:rPr>
      </w:pPr>
    </w:p>
    <w:p w:rsidR="00155A3E" w:rsidRDefault="00BB59CD" w:rsidP="00155A3E">
      <w:pPr>
        <w:rPr>
          <w:rtl/>
          <w:lang w:eastAsia="he-IL"/>
        </w:rPr>
      </w:pPr>
      <w:r>
        <w:rPr>
          <w:rFonts w:hint="cs"/>
          <w:rtl/>
          <w:lang w:eastAsia="he-IL"/>
        </w:rPr>
        <w:t>- - גם אטומי שכל וגם אטומי לב. אלה האנשים האלה.</w:t>
      </w:r>
      <w:r w:rsidR="00155A3E">
        <w:rPr>
          <w:rFonts w:hint="cs"/>
          <w:rtl/>
          <w:lang w:eastAsia="he-IL"/>
        </w:rPr>
        <w:t xml:space="preserve"> </w:t>
      </w:r>
      <w:bookmarkStart w:id="77708" w:name="_ETM_Q151_608141"/>
      <w:bookmarkStart w:id="77709" w:name="_ETM_Q151_608225"/>
      <w:bookmarkEnd w:id="77708"/>
      <w:bookmarkEnd w:id="77709"/>
    </w:p>
    <w:p w:rsidR="00155A3E" w:rsidRDefault="00155A3E" w:rsidP="00155A3E">
      <w:pPr>
        <w:rPr>
          <w:rtl/>
          <w:lang w:eastAsia="he-IL"/>
        </w:rPr>
      </w:pPr>
    </w:p>
    <w:p w:rsidR="00BB59CD" w:rsidRDefault="00BB59CD" w:rsidP="00155A3E">
      <w:pPr>
        <w:rPr>
          <w:rtl/>
          <w:lang w:eastAsia="he-IL"/>
        </w:rPr>
      </w:pPr>
      <w:r>
        <w:rPr>
          <w:rFonts w:hint="cs"/>
          <w:rtl/>
          <w:lang w:eastAsia="he-IL"/>
        </w:rPr>
        <w:t xml:space="preserve">לא סתם הם אטמו את הכנסת. הכניסה לכנסת חסומה, </w:t>
      </w:r>
      <w:bookmarkStart w:id="77710" w:name="_ETM_Q151_604135"/>
      <w:bookmarkStart w:id="77711" w:name="_ETM_Q151_604218"/>
      <w:bookmarkEnd w:id="77710"/>
      <w:bookmarkEnd w:id="77711"/>
      <w:r>
        <w:rPr>
          <w:rFonts w:hint="cs"/>
          <w:rtl/>
          <w:lang w:eastAsia="he-IL"/>
        </w:rPr>
        <w:t xml:space="preserve">לא רק מסביב על ידי האזרחים, אלא גם על ידי ההחלטות של הכנסת. </w:t>
      </w:r>
    </w:p>
    <w:p w:rsidR="00BB59CD" w:rsidRDefault="00BB59CD" w:rsidP="00BB59CD">
      <w:pPr>
        <w:rPr>
          <w:rtl/>
          <w:lang w:eastAsia="he-IL"/>
        </w:rPr>
      </w:pPr>
      <w:bookmarkStart w:id="77712" w:name="_ETM_Q151_612415"/>
      <w:bookmarkStart w:id="77713" w:name="_ETM_Q151_612474"/>
      <w:bookmarkEnd w:id="77712"/>
      <w:bookmarkEnd w:id="77713"/>
    </w:p>
    <w:p w:rsidR="00BB59CD" w:rsidRDefault="00BB59CD" w:rsidP="00BB59CD">
      <w:pPr>
        <w:pStyle w:val="af8"/>
        <w:keepNext/>
        <w:rPr>
          <w:rtl/>
        </w:rPr>
      </w:pPr>
      <w:bookmarkStart w:id="77714" w:name="_ETM_Q151_612623"/>
      <w:bookmarkStart w:id="77715" w:name="_ETM_Q151_612679"/>
      <w:bookmarkStart w:id="77716" w:name="_ETM_Q151_612784"/>
      <w:bookmarkEnd w:id="77714"/>
      <w:bookmarkEnd w:id="77715"/>
      <w:bookmarkEnd w:id="77716"/>
      <w:r>
        <w:rPr>
          <w:rStyle w:val="TagStyle"/>
          <w:rFonts w:hint="cs"/>
          <w:rtl/>
        </w:rPr>
        <w:t xml:space="preserve">&lt;&lt; קריאה &gt;&gt; </w:t>
      </w:r>
      <w:r>
        <w:rPr>
          <w:rFonts w:hint="cs"/>
          <w:rtl/>
        </w:rPr>
        <w:t>אברהם בצלאל (ש"ס):</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איך הייתה המכת"זית?</w:t>
      </w:r>
    </w:p>
    <w:p w:rsidR="00BB59CD" w:rsidRDefault="00BB59CD" w:rsidP="00BB59CD">
      <w:pPr>
        <w:rPr>
          <w:rtl/>
          <w:lang w:eastAsia="he-IL"/>
        </w:rPr>
      </w:pPr>
    </w:p>
    <w:p w:rsidR="00BB59CD" w:rsidRDefault="00BB59CD" w:rsidP="00BB59CD">
      <w:pPr>
        <w:pStyle w:val="-"/>
        <w:keepNext/>
        <w:rPr>
          <w:rtl/>
        </w:rPr>
      </w:pPr>
      <w:bookmarkStart w:id="77717" w:name="_ETM_Q151_619824"/>
      <w:bookmarkStart w:id="77718" w:name="_ETM_Q151_619885"/>
      <w:bookmarkEnd w:id="77717"/>
      <w:bookmarkEnd w:id="77718"/>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7719" w:name="_ETM_Q151_612844"/>
      <w:bookmarkEnd w:id="77719"/>
      <w:r>
        <w:rPr>
          <w:rFonts w:hint="cs"/>
          <w:rtl/>
          <w:lang w:eastAsia="he-IL"/>
        </w:rPr>
        <w:t xml:space="preserve">לא יכולתי להיכנס כמעט באף דלת, רק דלת אחת פתוחה. ממה כולם מפחדים? </w:t>
      </w:r>
    </w:p>
    <w:p w:rsidR="00BB59CD" w:rsidRDefault="00BB59CD" w:rsidP="00BB59CD">
      <w:pPr>
        <w:rPr>
          <w:rtl/>
          <w:lang w:eastAsia="he-IL"/>
        </w:rPr>
      </w:pPr>
      <w:bookmarkStart w:id="77720" w:name="_ETM_Q151_624925"/>
      <w:bookmarkStart w:id="77721" w:name="_ETM_Q151_624990"/>
      <w:bookmarkEnd w:id="77720"/>
      <w:bookmarkEnd w:id="77721"/>
    </w:p>
    <w:p w:rsidR="00BB59CD" w:rsidRDefault="00BB59CD" w:rsidP="00BB59CD">
      <w:pPr>
        <w:pStyle w:val="af8"/>
        <w:keepNext/>
        <w:rPr>
          <w:rtl/>
        </w:rPr>
      </w:pPr>
      <w:bookmarkStart w:id="77722" w:name="_ETM_Q151_625117"/>
      <w:bookmarkStart w:id="77723" w:name="_ETM_Q151_625169"/>
      <w:bookmarkEnd w:id="77722"/>
      <w:bookmarkEnd w:id="77723"/>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120 חברי כנסת יישבו כאן. 120 חברי כנסת יישבו כאן. לא יעזור לכם. אלימים, ברברים, אנרכיסטים - - -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רק לצעוק, רק לנבל את הפה, רק להיות מפ</w:t>
      </w:r>
      <w:r w:rsidR="00155A3E">
        <w:rPr>
          <w:rFonts w:hint="cs"/>
          <w:rtl/>
          <w:lang w:eastAsia="he-IL"/>
        </w:rPr>
        <w:t>ו</w:t>
      </w:r>
      <w:r>
        <w:rPr>
          <w:rFonts w:hint="cs"/>
          <w:rtl/>
          <w:lang w:eastAsia="he-IL"/>
        </w:rPr>
        <w:t>חדים הם יודעים, ובורחים מהמליאה.</w:t>
      </w:r>
    </w:p>
    <w:p w:rsidR="00BB59CD" w:rsidRDefault="00BB59CD" w:rsidP="00BB59CD">
      <w:pPr>
        <w:rPr>
          <w:rtl/>
          <w:lang w:eastAsia="he-IL"/>
        </w:rPr>
      </w:pPr>
      <w:bookmarkStart w:id="77724" w:name="_ETM_Q151_637244"/>
      <w:bookmarkStart w:id="77725" w:name="_ETM_Q151_637355"/>
      <w:bookmarkEnd w:id="77724"/>
      <w:bookmarkEnd w:id="77725"/>
    </w:p>
    <w:p w:rsidR="00BB59CD" w:rsidRDefault="00BB59CD" w:rsidP="00BB59CD">
      <w:pPr>
        <w:pStyle w:val="af8"/>
        <w:keepNext/>
        <w:rPr>
          <w:rtl/>
        </w:rPr>
      </w:pPr>
      <w:r>
        <w:rPr>
          <w:rStyle w:val="TagStyle"/>
          <w:rFonts w:hint="cs"/>
          <w:rtl/>
        </w:rPr>
        <w:t xml:space="preserve">&lt;&lt; קריאה &gt;&gt; </w:t>
      </w:r>
      <w:r>
        <w:rPr>
          <w:rFonts w:hint="cs"/>
          <w:rtl/>
        </w:rPr>
        <w:t>אברהם בצלאל (ש"ס):</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אף אחד לא בורח. איך הייתה המכת"זית? את לא עונה לנו.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ind w:firstLine="0"/>
        <w:rPr>
          <w:rtl/>
          <w:lang w:eastAsia="he-IL"/>
        </w:rPr>
      </w:pPr>
    </w:p>
    <w:p w:rsidR="00BB59CD" w:rsidRDefault="00BB59CD" w:rsidP="00BB59CD">
      <w:pPr>
        <w:rPr>
          <w:rtl/>
          <w:lang w:eastAsia="he-IL"/>
        </w:rPr>
      </w:pPr>
      <w:r>
        <w:rPr>
          <w:rFonts w:hint="cs"/>
          <w:rtl/>
          <w:lang w:eastAsia="he-IL"/>
        </w:rPr>
        <w:t xml:space="preserve">זאת תמונת הניצחון: בורחים מהמליאה. ואדוני - - </w:t>
      </w:r>
    </w:p>
    <w:p w:rsidR="00BB59CD" w:rsidRDefault="00BB59CD" w:rsidP="00BB59CD">
      <w:pPr>
        <w:rPr>
          <w:rtl/>
          <w:lang w:eastAsia="he-IL"/>
        </w:rPr>
      </w:pPr>
    </w:p>
    <w:p w:rsidR="00BB59CD" w:rsidRDefault="00BB59CD" w:rsidP="00BB59CD">
      <w:pPr>
        <w:pStyle w:val="af8"/>
        <w:keepNext/>
        <w:rPr>
          <w:rtl/>
        </w:rPr>
      </w:pPr>
      <w:bookmarkStart w:id="77726" w:name="_ETM_Q151_636639"/>
      <w:bookmarkStart w:id="77727" w:name="_ETM_Q151_636714"/>
      <w:bookmarkEnd w:id="77726"/>
      <w:bookmarkEnd w:id="77727"/>
      <w:r>
        <w:rPr>
          <w:rStyle w:val="TagStyle"/>
          <w:rFonts w:hint="cs"/>
          <w:rtl/>
        </w:rPr>
        <w:t xml:space="preserve">&lt;&lt; קריאה &gt;&gt; </w:t>
      </w:r>
      <w:r>
        <w:rPr>
          <w:rFonts w:hint="cs"/>
          <w:rtl/>
        </w:rPr>
        <w:t>אברהם בצלאל (ש"ס):</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7728" w:name="_ETM_Q151_643080"/>
      <w:bookmarkStart w:id="77729" w:name="_ETM_Q151_643218"/>
      <w:bookmarkEnd w:id="77728"/>
      <w:bookmarkEnd w:id="77729"/>
      <w:r>
        <w:rPr>
          <w:rFonts w:hint="cs"/>
          <w:rtl/>
          <w:lang w:eastAsia="he-IL"/>
        </w:rPr>
        <w:t xml:space="preserve">איך הייתה המכת"זית? יש </w:t>
      </w:r>
      <w:bookmarkStart w:id="77730" w:name="_ETM_Q151_640649"/>
      <w:bookmarkEnd w:id="77730"/>
      <w:r>
        <w:rPr>
          <w:rFonts w:hint="cs"/>
          <w:rtl/>
          <w:lang w:eastAsia="he-IL"/>
        </w:rPr>
        <w:t>מקלחות גם פה.</w:t>
      </w:r>
    </w:p>
    <w:p w:rsidR="00BB59CD" w:rsidRDefault="00BB59CD" w:rsidP="00BB59CD">
      <w:pPr>
        <w:rPr>
          <w:rtl/>
          <w:lang w:eastAsia="he-IL"/>
        </w:rPr>
      </w:pPr>
      <w:bookmarkStart w:id="77731" w:name="_ETM_Q151_641760"/>
      <w:bookmarkEnd w:id="77731"/>
    </w:p>
    <w:p w:rsidR="00BB59CD" w:rsidRDefault="00BB59CD" w:rsidP="00BB59CD">
      <w:pPr>
        <w:pStyle w:val="-"/>
        <w:keepNext/>
        <w:rPr>
          <w:rtl/>
        </w:rPr>
      </w:pPr>
      <w:bookmarkStart w:id="77732" w:name="_ETM_Q151_641825"/>
      <w:bookmarkEnd w:id="77732"/>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 אני גאה, גאה שהחולצה שלי מלוכלכת מהמכת"זית. גאה, גאה מאוד שיכולתי להיות שם ולעצור לרגע אחד את המכת"זית.</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אברהם בצלאל (ש"ס):</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תלמדי מה קורה עם החרדים כל פעם. עכשיו התחלתם להבין.</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7733" w:name="_ETM_Q151_649957"/>
      <w:bookmarkStart w:id="77734" w:name="_ETM_Q151_650067"/>
      <w:bookmarkStart w:id="77735" w:name="_ETM_Q151_650125"/>
      <w:bookmarkEnd w:id="77733"/>
      <w:bookmarkEnd w:id="77734"/>
      <w:bookmarkEnd w:id="77735"/>
      <w:r>
        <w:rPr>
          <w:rFonts w:hint="cs"/>
          <w:rtl/>
          <w:lang w:eastAsia="he-IL"/>
        </w:rPr>
        <w:t>כן, אני גאה שהייתי איתם ביחד -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אברהם בצלאל (ש"ס):</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7736" w:name="_ETM_Q151_650194"/>
      <w:bookmarkEnd w:id="77736"/>
      <w:r>
        <w:rPr>
          <w:rFonts w:hint="cs"/>
          <w:rtl/>
          <w:lang w:eastAsia="he-IL"/>
        </w:rPr>
        <w:t>כל הכבוד.</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 דבר שאתה לא עשית. גאה שאני חלק מהמחנה הזה, הדמוקרטי והליברלי, זה שלא מוותר, זה שלא </w:t>
      </w:r>
      <w:bookmarkStart w:id="77737" w:name="_ETM_Q151_664356"/>
      <w:bookmarkEnd w:id="77737"/>
      <w:r>
        <w:rPr>
          <w:rFonts w:hint="cs"/>
          <w:rtl/>
          <w:lang w:eastAsia="he-IL"/>
        </w:rPr>
        <w:t>מפחד - -</w:t>
      </w:r>
    </w:p>
    <w:p w:rsidR="00BB59CD" w:rsidRDefault="00BB59CD" w:rsidP="00BB59CD">
      <w:pPr>
        <w:rPr>
          <w:rtl/>
          <w:lang w:eastAsia="he-IL"/>
        </w:rPr>
      </w:pPr>
      <w:bookmarkStart w:id="77738" w:name="_ETM_Q151_668164"/>
      <w:bookmarkStart w:id="77739" w:name="_ETM_Q151_668283"/>
      <w:bookmarkStart w:id="77740" w:name="_ETM_Q151_668359"/>
      <w:bookmarkStart w:id="77741" w:name="_ETM_Q151_668424"/>
      <w:bookmarkEnd w:id="77738"/>
      <w:bookmarkEnd w:id="77739"/>
      <w:bookmarkEnd w:id="77740"/>
      <w:bookmarkEnd w:id="77741"/>
    </w:p>
    <w:p w:rsidR="00BB59CD" w:rsidRDefault="00BB59CD" w:rsidP="00BB59CD">
      <w:pPr>
        <w:pStyle w:val="af8"/>
        <w:keepNext/>
        <w:rPr>
          <w:rtl/>
        </w:rPr>
      </w:pPr>
      <w:r>
        <w:rPr>
          <w:rFonts w:hint="cs"/>
          <w:rtl/>
        </w:rPr>
        <w:t xml:space="preserve"> </w:t>
      </w:r>
      <w:r>
        <w:rPr>
          <w:rStyle w:val="TagStyle"/>
          <w:rtl/>
        </w:rPr>
        <w:t xml:space="preserve">&lt;&lt; קריאה &gt;&gt; </w:t>
      </w:r>
      <w:r>
        <w:rPr>
          <w:rFonts w:hint="cs"/>
          <w:rtl/>
        </w:rPr>
        <w:t>אברהם בצלאל (ש"ס):</w:t>
      </w:r>
      <w:r>
        <w:rPr>
          <w:rStyle w:val="TagStyle"/>
          <w:rtl/>
        </w:rPr>
        <w:t xml:space="preserve"> &lt;&lt; קריאה &gt;&gt;</w:t>
      </w:r>
      <w:r>
        <w:rPr>
          <w:rFonts w:hint="cs"/>
          <w:rtl/>
        </w:rPr>
        <w:t xml:space="preserve">   </w:t>
      </w:r>
    </w:p>
    <w:p w:rsidR="00BB59CD" w:rsidRDefault="00BB59CD" w:rsidP="00BB59CD">
      <w:pPr>
        <w:keepNext/>
        <w:rPr>
          <w:rtl/>
          <w:lang w:eastAsia="he-IL"/>
        </w:rPr>
      </w:pPr>
    </w:p>
    <w:p w:rsidR="00BB59CD" w:rsidRDefault="00BB59CD" w:rsidP="00BB59CD">
      <w:pPr>
        <w:keepNext/>
        <w:rPr>
          <w:rtl/>
          <w:lang w:eastAsia="he-IL"/>
        </w:rPr>
      </w:pPr>
      <w:r>
        <w:rPr>
          <w:rFonts w:hint="cs"/>
          <w:rtl/>
          <w:lang w:eastAsia="he-IL"/>
        </w:rPr>
        <w:t xml:space="preserve">- - - צרים על הכנסת. נשמע לך הגיוני? צרים על </w:t>
      </w:r>
      <w:bookmarkStart w:id="77742" w:name="_ETM_Q151_665109"/>
      <w:bookmarkEnd w:id="77742"/>
      <w:r>
        <w:rPr>
          <w:rFonts w:hint="cs"/>
          <w:rtl/>
          <w:lang w:eastAsia="he-IL"/>
        </w:rPr>
        <w:t>הכנסת. בושה.</w:t>
      </w:r>
      <w:r w:rsidR="00155A3E">
        <w:rPr>
          <w:rFonts w:hint="cs"/>
          <w:rtl/>
          <w:lang w:eastAsia="he-IL"/>
        </w:rPr>
        <w:t xml:space="preserve"> איזו בושה. </w:t>
      </w:r>
    </w:p>
    <w:p w:rsidR="00BB59CD" w:rsidRDefault="00BB59CD" w:rsidP="00BB59CD">
      <w:pPr>
        <w:rPr>
          <w:rtl/>
          <w:lang w:eastAsia="he-IL"/>
        </w:rPr>
      </w:pPr>
    </w:p>
    <w:p w:rsidR="00BB59CD" w:rsidRDefault="00BB59CD" w:rsidP="00BB59CD">
      <w:pPr>
        <w:pStyle w:val="-"/>
        <w:keepNext/>
        <w:rPr>
          <w:rtl/>
        </w:rPr>
      </w:pPr>
      <w:bookmarkStart w:id="77743" w:name="_ETM_Q151_660060"/>
      <w:bookmarkStart w:id="77744" w:name="_ETM_Q151_660128"/>
      <w:bookmarkEnd w:id="77743"/>
      <w:bookmarkEnd w:id="77744"/>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155A3E">
      <w:pPr>
        <w:rPr>
          <w:rtl/>
          <w:lang w:eastAsia="he-IL"/>
        </w:rPr>
      </w:pPr>
      <w:r>
        <w:rPr>
          <w:rFonts w:hint="cs"/>
          <w:rtl/>
          <w:lang w:eastAsia="he-IL"/>
        </w:rPr>
        <w:t xml:space="preserve">- - זה שלא נכנע </w:t>
      </w:r>
      <w:r w:rsidR="00155A3E">
        <w:rPr>
          <w:rFonts w:hint="eastAsia"/>
          <w:rtl/>
          <w:lang w:eastAsia="he-IL"/>
        </w:rPr>
        <w:t>–</w:t>
      </w:r>
      <w:r w:rsidR="00155A3E">
        <w:rPr>
          <w:rFonts w:hint="cs"/>
          <w:rtl/>
          <w:lang w:eastAsia="he-IL"/>
        </w:rPr>
        <w:t xml:space="preserve"> </w:t>
      </w:r>
      <w:r>
        <w:rPr>
          <w:rFonts w:hint="cs"/>
          <w:rtl/>
          <w:lang w:eastAsia="he-IL"/>
        </w:rPr>
        <w:t>גם לצעקות שלך, אדוני</w:t>
      </w:r>
      <w:r w:rsidR="00155A3E">
        <w:rPr>
          <w:rFonts w:hint="cs"/>
          <w:rtl/>
          <w:lang w:eastAsia="he-IL"/>
        </w:rPr>
        <w:t xml:space="preserve">, </w:t>
      </w:r>
      <w:r>
        <w:rPr>
          <w:rFonts w:hint="cs"/>
          <w:rtl/>
          <w:lang w:eastAsia="he-IL"/>
        </w:rPr>
        <w:t xml:space="preserve">שבא כאן בשביל מגזר </w:t>
      </w:r>
      <w:bookmarkStart w:id="77745" w:name="_ETM_Q151_660211"/>
      <w:bookmarkStart w:id="77746" w:name="_ETM_Q151_660281"/>
      <w:bookmarkEnd w:id="77745"/>
      <w:bookmarkEnd w:id="77746"/>
      <w:r>
        <w:rPr>
          <w:rFonts w:hint="cs"/>
          <w:rtl/>
          <w:lang w:eastAsia="he-IL"/>
        </w:rPr>
        <w:t>אחד קטן ומצומצם, שעושה כאן עכשיו שפטים</w:t>
      </w:r>
      <w:bookmarkStart w:id="77747" w:name="_ETM_Q151_676266"/>
      <w:bookmarkStart w:id="77748" w:name="_ETM_Q151_676352"/>
      <w:bookmarkEnd w:id="77747"/>
      <w:bookmarkEnd w:id="77748"/>
      <w:r>
        <w:rPr>
          <w:rFonts w:hint="cs"/>
          <w:rtl/>
          <w:lang w:eastAsia="he-IL"/>
        </w:rPr>
        <w:t xml:space="preserve"> בדמוקרטיה של מדינת ישראל; פשוט מוכר את כל ערכי היסוד של מדינת ישראל, עכשיו, לשחיתות; מוכר את זה מפחד, מוכר את זה לאנשים שלא יודעים מהי ציונות אמיתית ומהי דמוקרטיה, מהי אחווה, מהי שותפות גורל, ומהי האחריות - - </w:t>
      </w:r>
    </w:p>
    <w:p w:rsidR="00BB59CD" w:rsidRDefault="00BB59CD" w:rsidP="00BB59CD">
      <w:pPr>
        <w:rPr>
          <w:rtl/>
          <w:lang w:eastAsia="he-IL"/>
        </w:rPr>
      </w:pPr>
      <w:bookmarkStart w:id="77749" w:name="_ETM_Q151_701998"/>
      <w:bookmarkStart w:id="77750" w:name="_ETM_Q151_702086"/>
      <w:bookmarkEnd w:id="77749"/>
      <w:bookmarkEnd w:id="77750"/>
    </w:p>
    <w:p w:rsidR="00BB59CD" w:rsidRDefault="00BB59CD" w:rsidP="00BB59CD">
      <w:pPr>
        <w:pStyle w:val="af8"/>
        <w:keepNext/>
        <w:rPr>
          <w:rtl/>
        </w:rPr>
      </w:pPr>
      <w:r>
        <w:rPr>
          <w:rStyle w:val="TagStyle"/>
          <w:rFonts w:hint="cs"/>
          <w:rtl/>
        </w:rPr>
        <w:t xml:space="preserve">&lt;&lt; קריאה &gt;&gt; </w:t>
      </w:r>
      <w:r>
        <w:rPr>
          <w:rFonts w:hint="cs"/>
          <w:rtl/>
        </w:rPr>
        <w:t>אברהם בצלאל (ש"ס):</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7751" w:name="_ETM_Q151_702205"/>
      <w:bookmarkStart w:id="77752" w:name="_ETM_Q151_702276"/>
      <w:bookmarkStart w:id="77753" w:name="_ETM_Q151_702374"/>
      <w:bookmarkEnd w:id="77751"/>
      <w:bookmarkEnd w:id="77752"/>
      <w:bookmarkEnd w:id="77753"/>
      <w:r>
        <w:rPr>
          <w:rFonts w:hint="cs"/>
          <w:rtl/>
          <w:lang w:eastAsia="he-IL"/>
        </w:rPr>
        <w:t>אחריות?</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155A3E">
      <w:pPr>
        <w:rPr>
          <w:rtl/>
          <w:lang w:eastAsia="he-IL"/>
        </w:rPr>
      </w:pPr>
      <w:r>
        <w:rPr>
          <w:rFonts w:hint="cs"/>
          <w:rtl/>
          <w:lang w:eastAsia="he-IL"/>
        </w:rPr>
        <w:t>- - האחריות לעתיד</w:t>
      </w:r>
      <w:bookmarkStart w:id="77754" w:name="_ETM_Q151_702419"/>
      <w:bookmarkEnd w:id="77754"/>
      <w:r>
        <w:rPr>
          <w:rFonts w:hint="cs"/>
          <w:rtl/>
          <w:lang w:eastAsia="he-IL"/>
        </w:rPr>
        <w:t xml:space="preserve"> של כולנו, גם שלך, גם של החרדים וגם של הערבים וגם של להט"בים. </w:t>
      </w:r>
    </w:p>
    <w:p w:rsidR="00BB59CD" w:rsidRDefault="00BB59CD" w:rsidP="00BB59CD">
      <w:pPr>
        <w:rPr>
          <w:rtl/>
          <w:lang w:eastAsia="he-IL"/>
        </w:rPr>
      </w:pPr>
      <w:bookmarkStart w:id="77755" w:name="_ETM_Q151_710945"/>
      <w:bookmarkStart w:id="77756" w:name="_ETM_Q151_711014"/>
      <w:bookmarkStart w:id="77757" w:name="_ETM_Q151_711144"/>
      <w:bookmarkEnd w:id="77755"/>
      <w:bookmarkEnd w:id="77756"/>
      <w:bookmarkEnd w:id="77757"/>
    </w:p>
    <w:p w:rsidR="00BB59CD" w:rsidRDefault="00BB59CD" w:rsidP="00BB59CD">
      <w:pPr>
        <w:pStyle w:val="af8"/>
        <w:keepNext/>
        <w:rPr>
          <w:rtl/>
        </w:rPr>
      </w:pPr>
      <w:bookmarkStart w:id="77758" w:name="_ETM_Q151_711271"/>
      <w:bookmarkStart w:id="77759" w:name="_ETM_Q151_711368"/>
      <w:bookmarkEnd w:id="77758"/>
      <w:bookmarkEnd w:id="77759"/>
      <w:r>
        <w:rPr>
          <w:rStyle w:val="TagStyle"/>
          <w:rFonts w:hint="cs"/>
          <w:rtl/>
        </w:rPr>
        <w:t xml:space="preserve">&lt;&lt; קריאה &gt;&gt; </w:t>
      </w:r>
      <w:r>
        <w:rPr>
          <w:rFonts w:hint="cs"/>
          <w:rtl/>
        </w:rPr>
        <w:t>אברהם בצלאל (ש"ס):</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 -</w:t>
      </w:r>
    </w:p>
    <w:p w:rsidR="00BB59CD" w:rsidRDefault="00BB59CD" w:rsidP="00BB59CD">
      <w:pPr>
        <w:pStyle w:val="aff1"/>
        <w:ind w:left="1080" w:firstLine="0"/>
        <w:rPr>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pStyle w:val="aff1"/>
        <w:ind w:left="1080" w:firstLine="0"/>
        <w:rPr>
          <w:rtl/>
          <w:lang w:eastAsia="he-IL"/>
        </w:rPr>
      </w:pPr>
    </w:p>
    <w:p w:rsidR="00BB59CD" w:rsidRDefault="00BB59CD" w:rsidP="00BB59CD">
      <w:pPr>
        <w:rPr>
          <w:rtl/>
          <w:lang w:eastAsia="he-IL"/>
        </w:rPr>
      </w:pPr>
      <w:bookmarkStart w:id="77760" w:name="_ETM_Q151_711434"/>
      <w:bookmarkEnd w:id="77760"/>
      <w:r>
        <w:rPr>
          <w:rFonts w:hint="cs"/>
          <w:rtl/>
          <w:lang w:eastAsia="he-IL"/>
        </w:rPr>
        <w:t>תראה לי את האישה שנמצאת אצלכם במפלגה, אני רוצה להכיר אותה. אה, לא, תראה לי את המוסלמי. אה, גם הוא לא נמצא? אז אולי את הלהט"בים? אוי</w:t>
      </w:r>
      <w:bookmarkStart w:id="77761" w:name="_ETM_Q151_718054"/>
      <w:bookmarkEnd w:id="77761"/>
      <w:r>
        <w:rPr>
          <w:rFonts w:hint="cs"/>
          <w:rtl/>
          <w:lang w:eastAsia="he-IL"/>
        </w:rPr>
        <w:t>, איזו מפלגה סקטוריאלית, עלובה, שבאה ורוצה לעשות פה שפטים ביסודות של מדינת ישראל. ואתה מעז לעמוד כאן ולצעוק? בושה לך, אדוני.</w:t>
      </w:r>
    </w:p>
    <w:p w:rsidR="00BB59CD" w:rsidRDefault="00BB59CD" w:rsidP="00BB59CD">
      <w:pPr>
        <w:rPr>
          <w:rtl/>
          <w:lang w:eastAsia="he-IL"/>
        </w:rPr>
      </w:pPr>
      <w:bookmarkStart w:id="77762" w:name="_ETM_Q151_736459"/>
      <w:bookmarkStart w:id="77763" w:name="_ETM_Q151_736516"/>
      <w:bookmarkEnd w:id="77762"/>
      <w:bookmarkEnd w:id="77763"/>
    </w:p>
    <w:p w:rsidR="00BB59CD" w:rsidRDefault="00BB59CD" w:rsidP="00155A3E">
      <w:pPr>
        <w:rPr>
          <w:rtl/>
          <w:lang w:eastAsia="he-IL"/>
        </w:rPr>
      </w:pPr>
      <w:bookmarkStart w:id="77764" w:name="_ETM_Q151_736637"/>
      <w:bookmarkStart w:id="77765" w:name="_ETM_Q151_736687"/>
      <w:bookmarkEnd w:id="77764"/>
      <w:bookmarkEnd w:id="77765"/>
      <w:r>
        <w:rPr>
          <w:rFonts w:hint="cs"/>
          <w:rtl/>
          <w:lang w:eastAsia="he-IL"/>
        </w:rPr>
        <w:t>וזה מצטרף לשאר הדברים שאנחנו שמענו כאן בחצי השנה האחרונה. אי</w:t>
      </w:r>
      <w:r w:rsidR="00155A3E">
        <w:rPr>
          <w:rFonts w:hint="cs"/>
          <w:rtl/>
          <w:lang w:eastAsia="he-IL"/>
        </w:rPr>
        <w:t>זה</w:t>
      </w:r>
      <w:r>
        <w:rPr>
          <w:rFonts w:hint="cs"/>
          <w:rtl/>
          <w:lang w:eastAsia="he-IL"/>
        </w:rPr>
        <w:t xml:space="preserve"> מילים. אי</w:t>
      </w:r>
      <w:r w:rsidR="00155A3E">
        <w:rPr>
          <w:rFonts w:hint="cs"/>
          <w:rtl/>
          <w:lang w:eastAsia="he-IL"/>
        </w:rPr>
        <w:t xml:space="preserve">זה </w:t>
      </w:r>
      <w:bookmarkStart w:id="77766" w:name="_ETM_Q0_90570813"/>
      <w:bookmarkEnd w:id="77766"/>
      <w:r>
        <w:rPr>
          <w:rFonts w:hint="cs"/>
          <w:rtl/>
          <w:lang w:eastAsia="he-IL"/>
        </w:rPr>
        <w:t>מילים של פחדנות, של מוג</w:t>
      </w:r>
      <w:r w:rsidR="00155A3E">
        <w:rPr>
          <w:rFonts w:hint="cs"/>
          <w:rtl/>
          <w:lang w:eastAsia="he-IL"/>
        </w:rPr>
        <w:t>י</w:t>
      </w:r>
      <w:r>
        <w:rPr>
          <w:rFonts w:hint="cs"/>
          <w:rtl/>
          <w:lang w:eastAsia="he-IL"/>
        </w:rPr>
        <w:t xml:space="preserve"> לב, של תת-רמה. מה לא שמענו כאן, גם פה בכנסת, וגם במכתבים האיומים. </w:t>
      </w:r>
    </w:p>
    <w:p w:rsidR="00BB59CD" w:rsidRDefault="00BB59CD" w:rsidP="00BB59CD">
      <w:pPr>
        <w:rPr>
          <w:rtl/>
          <w:lang w:eastAsia="he-IL"/>
        </w:rPr>
      </w:pPr>
      <w:bookmarkStart w:id="77767" w:name="_ETM_Q151_753208"/>
      <w:bookmarkStart w:id="77768" w:name="_ETM_Q151_753292"/>
      <w:bookmarkEnd w:id="77767"/>
      <w:bookmarkEnd w:id="77768"/>
    </w:p>
    <w:p w:rsidR="00BB59CD" w:rsidRDefault="00BB59CD" w:rsidP="00BB59CD">
      <w:pPr>
        <w:pStyle w:val="af8"/>
        <w:keepNext/>
        <w:rPr>
          <w:rtl/>
        </w:rPr>
      </w:pPr>
      <w:r>
        <w:rPr>
          <w:rStyle w:val="TagStyle"/>
          <w:rFonts w:hint="cs"/>
          <w:rtl/>
        </w:rPr>
        <w:t xml:space="preserve">&lt;&lt; קריאה &gt;&gt; </w:t>
      </w:r>
      <w:r>
        <w:rPr>
          <w:rFonts w:hint="cs"/>
          <w:rtl/>
        </w:rPr>
        <w:t>אברהם בצלאל (ש"ס):</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 -</w:t>
      </w:r>
    </w:p>
    <w:p w:rsidR="00BB59CD" w:rsidRDefault="00BB59CD" w:rsidP="00BB59CD">
      <w:pPr>
        <w:rPr>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155A3E" w:rsidP="00155A3E">
      <w:pPr>
        <w:rPr>
          <w:rtl/>
          <w:lang w:eastAsia="he-IL"/>
        </w:rPr>
      </w:pPr>
      <w:bookmarkStart w:id="77769" w:name="_ETM_Q151_753424"/>
      <w:bookmarkStart w:id="77770" w:name="_ETM_Q151_753495"/>
      <w:bookmarkEnd w:id="77769"/>
      <w:bookmarkEnd w:id="77770"/>
      <w:r>
        <w:rPr>
          <w:rFonts w:hint="cs"/>
          <w:rtl/>
          <w:lang w:eastAsia="he-IL"/>
        </w:rPr>
        <w:t>"</w:t>
      </w:r>
      <w:r w:rsidR="00BB59CD">
        <w:rPr>
          <w:rFonts w:hint="cs"/>
          <w:rtl/>
          <w:lang w:eastAsia="he-IL"/>
        </w:rPr>
        <w:t>מופקרת</w:t>
      </w:r>
      <w:r>
        <w:rPr>
          <w:rFonts w:hint="cs"/>
          <w:rtl/>
          <w:lang w:eastAsia="he-IL"/>
        </w:rPr>
        <w:t>"</w:t>
      </w:r>
      <w:r w:rsidR="00BB59CD">
        <w:rPr>
          <w:rFonts w:hint="cs"/>
          <w:rtl/>
          <w:lang w:eastAsia="he-IL"/>
        </w:rPr>
        <w:t xml:space="preserve">, </w:t>
      </w:r>
      <w:r>
        <w:rPr>
          <w:rFonts w:hint="cs"/>
          <w:rtl/>
          <w:lang w:eastAsia="he-IL"/>
        </w:rPr>
        <w:t>"</w:t>
      </w:r>
      <w:r w:rsidR="00BB59CD">
        <w:rPr>
          <w:rFonts w:hint="cs"/>
          <w:rtl/>
          <w:lang w:eastAsia="he-IL"/>
        </w:rPr>
        <w:t>מופקרת</w:t>
      </w:r>
      <w:r>
        <w:rPr>
          <w:rFonts w:hint="cs"/>
          <w:rtl/>
          <w:lang w:eastAsia="he-IL"/>
        </w:rPr>
        <w:t>"</w:t>
      </w:r>
      <w:r w:rsidR="00BB59CD">
        <w:rPr>
          <w:rFonts w:hint="cs"/>
          <w:rtl/>
          <w:lang w:eastAsia="he-IL"/>
        </w:rPr>
        <w:t xml:space="preserve"> הם קוראים למנכ"לית רשות החברות. </w:t>
      </w:r>
      <w:r>
        <w:rPr>
          <w:rFonts w:hint="cs"/>
          <w:rtl/>
          <w:lang w:eastAsia="he-IL"/>
        </w:rPr>
        <w:t>"</w:t>
      </w:r>
      <w:r w:rsidR="00BB59CD">
        <w:rPr>
          <w:rFonts w:hint="cs"/>
          <w:rtl/>
          <w:lang w:eastAsia="he-IL"/>
        </w:rPr>
        <w:t>סכנה לביטחון המדינה</w:t>
      </w:r>
      <w:r>
        <w:rPr>
          <w:rFonts w:hint="cs"/>
          <w:rtl/>
          <w:lang w:eastAsia="he-IL"/>
        </w:rPr>
        <w:t>"</w:t>
      </w:r>
      <w:r w:rsidR="00BB59CD">
        <w:rPr>
          <w:rFonts w:hint="cs"/>
          <w:rtl/>
          <w:lang w:eastAsia="he-IL"/>
        </w:rPr>
        <w:t xml:space="preserve">, הם קוראים ליועצת המשפטית שלנו. </w:t>
      </w:r>
      <w:r>
        <w:rPr>
          <w:rFonts w:hint="cs"/>
          <w:rtl/>
          <w:lang w:eastAsia="he-IL"/>
        </w:rPr>
        <w:t>"</w:t>
      </w:r>
      <w:r w:rsidR="00BB59CD">
        <w:rPr>
          <w:rFonts w:hint="cs"/>
          <w:rtl/>
          <w:lang w:eastAsia="he-IL"/>
        </w:rPr>
        <w:t>מוגלה</w:t>
      </w:r>
      <w:r>
        <w:rPr>
          <w:rFonts w:hint="cs"/>
          <w:rtl/>
          <w:lang w:eastAsia="he-IL"/>
        </w:rPr>
        <w:t>"</w:t>
      </w:r>
      <w:r w:rsidR="00BB59CD">
        <w:rPr>
          <w:rFonts w:hint="cs"/>
          <w:rtl/>
          <w:lang w:eastAsia="he-IL"/>
        </w:rPr>
        <w:t xml:space="preserve"> ו</w:t>
      </w:r>
      <w:r>
        <w:rPr>
          <w:rFonts w:hint="cs"/>
          <w:rtl/>
          <w:lang w:eastAsia="he-IL"/>
        </w:rPr>
        <w:t>"</w:t>
      </w:r>
      <w:r w:rsidR="00BB59CD">
        <w:rPr>
          <w:rFonts w:hint="cs"/>
          <w:rtl/>
          <w:lang w:eastAsia="he-IL"/>
        </w:rPr>
        <w:t>נפולת</w:t>
      </w:r>
      <w:r>
        <w:rPr>
          <w:rFonts w:hint="cs"/>
          <w:rtl/>
          <w:lang w:eastAsia="he-IL"/>
        </w:rPr>
        <w:t>"</w:t>
      </w:r>
      <w:r w:rsidR="00BB59CD">
        <w:rPr>
          <w:rFonts w:hint="cs"/>
          <w:rtl/>
          <w:lang w:eastAsia="he-IL"/>
        </w:rPr>
        <w:t xml:space="preserve">, </w:t>
      </w:r>
      <w:r w:rsidR="000145FA">
        <w:rPr>
          <w:rFonts w:hint="cs"/>
          <w:rtl/>
          <w:lang w:eastAsia="he-IL"/>
        </w:rPr>
        <w:t>"</w:t>
      </w:r>
      <w:r w:rsidR="00BB59CD">
        <w:rPr>
          <w:rFonts w:hint="cs"/>
          <w:rtl/>
          <w:lang w:eastAsia="he-IL"/>
        </w:rPr>
        <w:t>לכו לעזאזל</w:t>
      </w:r>
      <w:bookmarkStart w:id="77771" w:name="_ETM_Q151_773112"/>
      <w:bookmarkStart w:id="77772" w:name="_ETM_Q151_773196"/>
      <w:bookmarkEnd w:id="77771"/>
      <w:bookmarkEnd w:id="77772"/>
      <w:r w:rsidR="000145FA">
        <w:rPr>
          <w:rFonts w:hint="cs"/>
          <w:rtl/>
          <w:lang w:eastAsia="he-IL"/>
        </w:rPr>
        <w:t>"</w:t>
      </w:r>
      <w:r w:rsidR="00BB59CD">
        <w:rPr>
          <w:rFonts w:hint="cs"/>
          <w:rtl/>
          <w:lang w:eastAsia="he-IL"/>
        </w:rPr>
        <w:t xml:space="preserve"> הם קוראים לטייסים שלנו, ו</w:t>
      </w:r>
      <w:r>
        <w:rPr>
          <w:rFonts w:hint="cs"/>
          <w:rtl/>
          <w:lang w:eastAsia="he-IL"/>
        </w:rPr>
        <w:t>"</w:t>
      </w:r>
      <w:r w:rsidR="00BB59CD">
        <w:rPr>
          <w:rFonts w:hint="cs"/>
          <w:rtl/>
          <w:lang w:eastAsia="he-IL"/>
        </w:rPr>
        <w:t>אנרכיסטים</w:t>
      </w:r>
      <w:r>
        <w:rPr>
          <w:rFonts w:hint="cs"/>
          <w:rtl/>
          <w:lang w:eastAsia="he-IL"/>
        </w:rPr>
        <w:t>"</w:t>
      </w:r>
      <w:r w:rsidR="00BB59CD">
        <w:rPr>
          <w:rFonts w:hint="cs"/>
          <w:rtl/>
          <w:lang w:eastAsia="he-IL"/>
        </w:rPr>
        <w:t xml:space="preserve"> לכולנו הם קוראים. </w:t>
      </w:r>
    </w:p>
    <w:p w:rsidR="00BB59CD" w:rsidRDefault="00BB59CD" w:rsidP="00BB59CD">
      <w:pPr>
        <w:ind w:left="720" w:firstLine="0"/>
        <w:rPr>
          <w:lang w:eastAsia="he-IL"/>
        </w:rPr>
      </w:pPr>
    </w:p>
    <w:p w:rsidR="00BB59CD" w:rsidRDefault="00BB59CD" w:rsidP="00BB59CD">
      <w:pPr>
        <w:pStyle w:val="af8"/>
        <w:keepNext/>
        <w:rPr>
          <w:rtl/>
        </w:rPr>
      </w:pPr>
      <w:r>
        <w:rPr>
          <w:rStyle w:val="TagStyle"/>
          <w:rFonts w:hint="cs"/>
          <w:rtl/>
        </w:rPr>
        <w:t xml:space="preserve">&lt;&lt; קריאה &gt;&gt; </w:t>
      </w:r>
      <w:r>
        <w:rPr>
          <w:rFonts w:hint="cs"/>
          <w:rtl/>
        </w:rPr>
        <w:t>אברהם בצלאל (ש"ס):</w:t>
      </w:r>
      <w:r>
        <w:rPr>
          <w:rStyle w:val="TagStyle"/>
          <w:rtl/>
        </w:rPr>
        <w:t xml:space="preserve"> &lt;&lt; קריאה &gt;&gt;</w:t>
      </w:r>
      <w:r>
        <w:rPr>
          <w:rFonts w:hint="cs"/>
          <w:rtl/>
        </w:rPr>
        <w:t xml:space="preserve">   </w:t>
      </w:r>
    </w:p>
    <w:p w:rsidR="00BB59CD" w:rsidRDefault="00BB59CD" w:rsidP="00BB59CD">
      <w:pPr>
        <w:ind w:left="720" w:firstLine="0"/>
        <w:rPr>
          <w:rtl/>
          <w:lang w:eastAsia="he-IL"/>
        </w:rPr>
      </w:pPr>
    </w:p>
    <w:p w:rsidR="00BB59CD" w:rsidRDefault="00BB59CD" w:rsidP="00BB59CD">
      <w:pPr>
        <w:rPr>
          <w:rtl/>
          <w:lang w:eastAsia="he-IL"/>
        </w:rPr>
      </w:pPr>
      <w:r>
        <w:rPr>
          <w:rFonts w:hint="cs"/>
          <w:rtl/>
          <w:lang w:eastAsia="he-IL"/>
        </w:rPr>
        <w:t>- - - מפלגה שלא עוברת את אחוז החסימה בכלל.</w:t>
      </w:r>
      <w:bookmarkStart w:id="77773" w:name="_ETM_Q151_783080"/>
      <w:bookmarkStart w:id="77774" w:name="_ETM_Q151_783197"/>
      <w:bookmarkStart w:id="77775" w:name="_ETM_Q151_783248"/>
      <w:bookmarkStart w:id="77776" w:name="_ETM_Q151_783312"/>
      <w:bookmarkEnd w:id="77773"/>
      <w:bookmarkEnd w:id="77774"/>
      <w:bookmarkEnd w:id="77775"/>
      <w:bookmarkEnd w:id="77776"/>
    </w:p>
    <w:p w:rsidR="00BB59CD" w:rsidRDefault="00BB59CD" w:rsidP="00BB59CD">
      <w:pPr>
        <w:rPr>
          <w:rtl/>
          <w:lang w:eastAsia="he-IL"/>
        </w:rPr>
      </w:pPr>
    </w:p>
    <w:p w:rsidR="00BB59CD" w:rsidRDefault="00BB59CD" w:rsidP="00BB59CD">
      <w:pPr>
        <w:pStyle w:val="-"/>
        <w:keepNext/>
        <w:rPr>
          <w:rtl/>
        </w:rPr>
      </w:pPr>
      <w:bookmarkStart w:id="77777" w:name="ET_speakercontinue_6158_3"/>
      <w:r>
        <w:rPr>
          <w:rStyle w:val="TagStyle"/>
          <w:rFonts w:hint="cs"/>
          <w:rtl/>
        </w:rPr>
        <w:t xml:space="preserve">&lt;&lt; דובר_המשך &gt;&gt; </w:t>
      </w:r>
      <w:r>
        <w:rPr>
          <w:rFonts w:hint="cs"/>
          <w:rtl/>
        </w:rPr>
        <w:t>אפרת רייטן מרום (העבודה):</w:t>
      </w:r>
      <w:r>
        <w:rPr>
          <w:rStyle w:val="TagStyle"/>
          <w:rtl/>
        </w:rPr>
        <w:t xml:space="preserve"> &lt;&lt; דובר_המשך &gt;&gt; </w:t>
      </w:r>
      <w:r>
        <w:rPr>
          <w:rFonts w:hint="cs"/>
          <w:rtl/>
        </w:rPr>
        <w:t xml:space="preserve">   </w:t>
      </w:r>
      <w:bookmarkEnd w:id="77777"/>
    </w:p>
    <w:p w:rsidR="00BB59CD" w:rsidRDefault="00BB59CD" w:rsidP="00337201">
      <w:pPr>
        <w:rPr>
          <w:rtl/>
        </w:rPr>
      </w:pPr>
    </w:p>
    <w:p w:rsidR="00BB59CD" w:rsidRDefault="00BB59CD" w:rsidP="00155A3E">
      <w:pPr>
        <w:rPr>
          <w:rtl/>
        </w:rPr>
      </w:pPr>
      <w:r>
        <w:rPr>
          <w:rFonts w:hint="cs"/>
          <w:rtl/>
        </w:rPr>
        <w:t>אנחנו האנרכיסטים</w:t>
      </w:r>
      <w:r w:rsidR="00155A3E">
        <w:rPr>
          <w:rFonts w:hint="cs"/>
          <w:rtl/>
        </w:rPr>
        <w:t>,</w:t>
      </w:r>
      <w:r>
        <w:rPr>
          <w:rFonts w:hint="cs"/>
          <w:rtl/>
        </w:rPr>
        <w:t xml:space="preserve"> אנחנו</w:t>
      </w:r>
      <w:r w:rsidR="00155A3E">
        <w:rPr>
          <w:rFonts w:hint="cs"/>
          <w:rtl/>
        </w:rPr>
        <w:t>?</w:t>
      </w:r>
      <w:r>
        <w:rPr>
          <w:rFonts w:hint="cs"/>
          <w:rtl/>
        </w:rPr>
        <w:t xml:space="preserve"> אלה שצועקים, אלה שלא מבינים דמוקרטיה מהי, אלה שעושים הכול כדי שלא יהיה פה שוויון במדינת ישראל, אלה שבוקעים בכל היסודות שלנו – הם האנרכיסטים האמיתיים, הם עושים כאן את ההפיכה </w:t>
      </w:r>
      <w:bookmarkStart w:id="77778" w:name="_ETM_Q152_6963"/>
      <w:bookmarkStart w:id="77779" w:name="_ETM_Q152_7115"/>
      <w:bookmarkStart w:id="77780" w:name="_ETM_Q152_7160"/>
      <w:bookmarkStart w:id="77781" w:name="_ETM_Q152_7211"/>
      <w:bookmarkStart w:id="77782" w:name="_ETM_Q152_182279"/>
      <w:bookmarkStart w:id="77783" w:name="_ETM_Q152_199510"/>
      <w:bookmarkEnd w:id="77778"/>
      <w:bookmarkEnd w:id="77779"/>
      <w:bookmarkEnd w:id="77780"/>
      <w:bookmarkEnd w:id="77781"/>
      <w:bookmarkEnd w:id="77782"/>
      <w:bookmarkEnd w:id="77783"/>
      <w:r>
        <w:rPr>
          <w:rFonts w:hint="cs"/>
          <w:rtl/>
        </w:rPr>
        <w:t xml:space="preserve">המשטרית, </w:t>
      </w:r>
      <w:bookmarkStart w:id="77784" w:name="_ETM_Q152_201090"/>
      <w:bookmarkEnd w:id="77784"/>
      <w:r>
        <w:rPr>
          <w:rFonts w:hint="cs"/>
          <w:rtl/>
        </w:rPr>
        <w:t xml:space="preserve">הם </w:t>
      </w:r>
      <w:bookmarkStart w:id="77785" w:name="_ETM_Q152_201210"/>
      <w:bookmarkEnd w:id="77785"/>
      <w:r>
        <w:rPr>
          <w:rFonts w:hint="cs"/>
          <w:rtl/>
        </w:rPr>
        <w:t xml:space="preserve">המהפכנים </w:t>
      </w:r>
      <w:bookmarkStart w:id="77786" w:name="_ETM_Q152_201870"/>
      <w:bookmarkEnd w:id="77786"/>
      <w:r>
        <w:rPr>
          <w:rFonts w:hint="cs"/>
          <w:rtl/>
        </w:rPr>
        <w:t xml:space="preserve">האיומים. </w:t>
      </w:r>
      <w:bookmarkStart w:id="77787" w:name="_ETM_Q152_202920"/>
      <w:bookmarkStart w:id="77788" w:name="_ETM_Q152_203160"/>
      <w:bookmarkEnd w:id="77787"/>
      <w:bookmarkEnd w:id="77788"/>
      <w:r>
        <w:rPr>
          <w:rFonts w:hint="cs"/>
          <w:rtl/>
        </w:rPr>
        <w:t xml:space="preserve">אנחנו </w:t>
      </w:r>
      <w:bookmarkStart w:id="77789" w:name="_ETM_Q152_203850"/>
      <w:bookmarkEnd w:id="77789"/>
      <w:r>
        <w:rPr>
          <w:rFonts w:hint="cs"/>
          <w:rtl/>
        </w:rPr>
        <w:t>מג</w:t>
      </w:r>
      <w:r w:rsidR="00155A3E">
        <w:rPr>
          <w:rFonts w:hint="cs"/>
          <w:rtl/>
        </w:rPr>
        <w:t>י</w:t>
      </w:r>
      <w:r>
        <w:rPr>
          <w:rFonts w:hint="cs"/>
          <w:rtl/>
        </w:rPr>
        <w:t xml:space="preserve">ני </w:t>
      </w:r>
      <w:bookmarkStart w:id="77790" w:name="_ETM_Q152_204720"/>
      <w:bookmarkEnd w:id="77790"/>
      <w:r>
        <w:rPr>
          <w:rFonts w:hint="cs"/>
          <w:rtl/>
        </w:rPr>
        <w:t xml:space="preserve">הדמוקרטיה, </w:t>
      </w:r>
      <w:bookmarkStart w:id="77791" w:name="_ETM_Q152_206680"/>
      <w:bookmarkEnd w:id="77791"/>
      <w:r>
        <w:rPr>
          <w:rFonts w:hint="cs"/>
          <w:rtl/>
        </w:rPr>
        <w:t xml:space="preserve">והם </w:t>
      </w:r>
      <w:bookmarkStart w:id="77792" w:name="_ETM_Q152_207279"/>
      <w:bookmarkEnd w:id="77792"/>
      <w:r>
        <w:rPr>
          <w:rFonts w:hint="cs"/>
          <w:rtl/>
        </w:rPr>
        <w:t xml:space="preserve">רוצים </w:t>
      </w:r>
      <w:bookmarkStart w:id="77793" w:name="_ETM_Q152_207670"/>
      <w:bookmarkEnd w:id="77793"/>
      <w:r>
        <w:rPr>
          <w:rFonts w:hint="cs"/>
          <w:rtl/>
        </w:rPr>
        <w:t xml:space="preserve">להכניס </w:t>
      </w:r>
      <w:bookmarkStart w:id="77794" w:name="_ETM_Q152_208090"/>
      <w:bookmarkEnd w:id="77794"/>
      <w:r>
        <w:rPr>
          <w:rFonts w:hint="cs"/>
          <w:rtl/>
        </w:rPr>
        <w:t xml:space="preserve">אותנו </w:t>
      </w:r>
      <w:bookmarkStart w:id="77795" w:name="_ETM_Q152_208510"/>
      <w:bookmarkEnd w:id="77795"/>
      <w:r>
        <w:rPr>
          <w:rFonts w:hint="cs"/>
          <w:rtl/>
        </w:rPr>
        <w:t xml:space="preserve">לכלא. </w:t>
      </w:r>
      <w:bookmarkStart w:id="77796" w:name="_ETM_Q152_209949"/>
      <w:bookmarkEnd w:id="77796"/>
      <w:r>
        <w:rPr>
          <w:rFonts w:hint="cs"/>
          <w:rtl/>
        </w:rPr>
        <w:t xml:space="preserve">חוצפה שאין </w:t>
      </w:r>
      <w:bookmarkStart w:id="77797" w:name="_ETM_Q152_210730"/>
      <w:bookmarkEnd w:id="77797"/>
      <w:r>
        <w:rPr>
          <w:rFonts w:hint="cs"/>
          <w:rtl/>
        </w:rPr>
        <w:t xml:space="preserve">כדוגמתה. </w:t>
      </w:r>
      <w:bookmarkStart w:id="77798" w:name="_ETM_Q152_212030"/>
      <w:bookmarkEnd w:id="77798"/>
    </w:p>
    <w:p w:rsidR="00BB59CD" w:rsidRDefault="00BB59CD" w:rsidP="00BB59CD">
      <w:pPr>
        <w:rPr>
          <w:rtl/>
        </w:rPr>
      </w:pPr>
      <w:bookmarkStart w:id="77799" w:name="_ETM_Q152_214395"/>
      <w:bookmarkStart w:id="77800" w:name="_ETM_Q152_214468"/>
      <w:bookmarkEnd w:id="77799"/>
      <w:bookmarkEnd w:id="77800"/>
    </w:p>
    <w:p w:rsidR="00BB59CD" w:rsidRDefault="00BB59CD" w:rsidP="00155A3E">
      <w:pPr>
        <w:rPr>
          <w:rtl/>
        </w:rPr>
      </w:pPr>
      <w:bookmarkStart w:id="77801" w:name="_ETM_Q152_214595"/>
      <w:bookmarkStart w:id="77802" w:name="_ETM_Q152_214656"/>
      <w:bookmarkEnd w:id="77801"/>
      <w:bookmarkEnd w:id="77802"/>
      <w:r>
        <w:rPr>
          <w:rFonts w:hint="cs"/>
          <w:rtl/>
        </w:rPr>
        <w:t xml:space="preserve">את </w:t>
      </w:r>
      <w:bookmarkStart w:id="77803" w:name="_ETM_Q152_212360"/>
      <w:bookmarkEnd w:id="77803"/>
      <w:r>
        <w:rPr>
          <w:rFonts w:hint="cs"/>
          <w:rtl/>
        </w:rPr>
        <w:t xml:space="preserve">היועמ"שים </w:t>
      </w:r>
      <w:bookmarkStart w:id="77804" w:name="_ETM_Q152_212989"/>
      <w:bookmarkEnd w:id="77804"/>
      <w:r>
        <w:rPr>
          <w:rFonts w:hint="cs"/>
          <w:rtl/>
        </w:rPr>
        <w:t xml:space="preserve">הם </w:t>
      </w:r>
      <w:bookmarkStart w:id="77805" w:name="_ETM_Q152_213140"/>
      <w:bookmarkStart w:id="77806" w:name="_ETM_Q152_213290"/>
      <w:bookmarkEnd w:id="77805"/>
      <w:bookmarkEnd w:id="77806"/>
      <w:r>
        <w:rPr>
          <w:rFonts w:hint="cs"/>
          <w:rtl/>
        </w:rPr>
        <w:t xml:space="preserve">רוצים </w:t>
      </w:r>
      <w:bookmarkStart w:id="77807" w:name="_ETM_Q152_213680"/>
      <w:bookmarkEnd w:id="77807"/>
      <w:r>
        <w:rPr>
          <w:rFonts w:hint="cs"/>
          <w:rtl/>
        </w:rPr>
        <w:t xml:space="preserve">להכניס </w:t>
      </w:r>
      <w:bookmarkStart w:id="77808" w:name="_ETM_Q152_214100"/>
      <w:bookmarkEnd w:id="77808"/>
      <w:r>
        <w:rPr>
          <w:rFonts w:hint="cs"/>
          <w:rtl/>
        </w:rPr>
        <w:t xml:space="preserve">למכלאות. </w:t>
      </w:r>
      <w:bookmarkStart w:id="77809" w:name="_ETM_Q152_215409"/>
      <w:bookmarkEnd w:id="77809"/>
      <w:r w:rsidR="00155A3E">
        <w:rPr>
          <w:rFonts w:hint="cs"/>
          <w:rtl/>
        </w:rPr>
        <w:t>"</w:t>
      </w:r>
      <w:r>
        <w:rPr>
          <w:rFonts w:hint="cs"/>
          <w:rtl/>
        </w:rPr>
        <w:t xml:space="preserve">חבלן </w:t>
      </w:r>
      <w:bookmarkStart w:id="77810" w:name="_ETM_Q152_216020"/>
      <w:bookmarkEnd w:id="77810"/>
      <w:r>
        <w:rPr>
          <w:rFonts w:hint="cs"/>
          <w:rtl/>
        </w:rPr>
        <w:t>ראשי</w:t>
      </w:r>
      <w:bookmarkStart w:id="77811" w:name="_ETM_Q152_217130"/>
      <w:bookmarkEnd w:id="77811"/>
      <w:r w:rsidR="00155A3E">
        <w:rPr>
          <w:rFonts w:hint="cs"/>
          <w:rtl/>
        </w:rPr>
        <w:t>"</w:t>
      </w:r>
      <w:r>
        <w:rPr>
          <w:rFonts w:hint="cs"/>
          <w:rtl/>
        </w:rPr>
        <w:t xml:space="preserve"> הם </w:t>
      </w:r>
      <w:bookmarkStart w:id="77812" w:name="_ETM_Q152_217370"/>
      <w:bookmarkEnd w:id="77812"/>
      <w:r>
        <w:rPr>
          <w:rFonts w:hint="cs"/>
          <w:rtl/>
        </w:rPr>
        <w:t xml:space="preserve">קוראים </w:t>
      </w:r>
      <w:bookmarkStart w:id="77813" w:name="_ETM_Q152_218180"/>
      <w:bookmarkEnd w:id="77813"/>
      <w:r>
        <w:rPr>
          <w:rFonts w:hint="cs"/>
          <w:rtl/>
        </w:rPr>
        <w:t>ל</w:t>
      </w:r>
      <w:bookmarkStart w:id="77814" w:name="_ETM_Q152_218280"/>
      <w:bookmarkEnd w:id="77814"/>
      <w:r>
        <w:rPr>
          <w:rFonts w:hint="cs"/>
          <w:rtl/>
        </w:rPr>
        <w:t xml:space="preserve">יועץ </w:t>
      </w:r>
      <w:bookmarkStart w:id="77815" w:name="_ETM_Q152_218520"/>
      <w:bookmarkEnd w:id="77815"/>
      <w:r>
        <w:rPr>
          <w:rFonts w:hint="cs"/>
          <w:rtl/>
        </w:rPr>
        <w:t xml:space="preserve">המשפטי </w:t>
      </w:r>
      <w:bookmarkStart w:id="77816" w:name="_ETM_Q152_219270"/>
      <w:bookmarkEnd w:id="77816"/>
      <w:r>
        <w:rPr>
          <w:rFonts w:hint="cs"/>
          <w:rtl/>
        </w:rPr>
        <w:t xml:space="preserve">של </w:t>
      </w:r>
      <w:bookmarkStart w:id="77817" w:name="_ETM_Q152_219479"/>
      <w:bookmarkEnd w:id="77817"/>
      <w:r>
        <w:rPr>
          <w:rFonts w:hint="cs"/>
          <w:rtl/>
        </w:rPr>
        <w:t xml:space="preserve">משרד </w:t>
      </w:r>
      <w:bookmarkStart w:id="77818" w:name="_ETM_Q152_219960"/>
      <w:bookmarkEnd w:id="77818"/>
      <w:r>
        <w:rPr>
          <w:rFonts w:hint="cs"/>
          <w:rtl/>
        </w:rPr>
        <w:t xml:space="preserve">האוצר. </w:t>
      </w:r>
      <w:bookmarkStart w:id="77819" w:name="_ETM_Q152_220979"/>
      <w:bookmarkEnd w:id="77819"/>
      <w:r>
        <w:rPr>
          <w:rFonts w:hint="cs"/>
          <w:rtl/>
        </w:rPr>
        <w:t xml:space="preserve">לא </w:t>
      </w:r>
      <w:bookmarkStart w:id="77820" w:name="_ETM_Q152_221190"/>
      <w:bookmarkEnd w:id="77820"/>
      <w:r>
        <w:rPr>
          <w:rFonts w:hint="cs"/>
          <w:rtl/>
        </w:rPr>
        <w:t xml:space="preserve">תגיעו </w:t>
      </w:r>
      <w:bookmarkStart w:id="77821" w:name="_ETM_Q152_221600"/>
      <w:bookmarkStart w:id="77822" w:name="_ETM_Q152_221750"/>
      <w:bookmarkEnd w:id="77821"/>
      <w:bookmarkEnd w:id="77822"/>
      <w:r>
        <w:rPr>
          <w:rFonts w:hint="cs"/>
          <w:rtl/>
        </w:rPr>
        <w:t xml:space="preserve">בחיים </w:t>
      </w:r>
      <w:bookmarkStart w:id="77823" w:name="_ETM_Q152_222859"/>
      <w:bookmarkEnd w:id="77823"/>
      <w:r>
        <w:rPr>
          <w:rFonts w:hint="cs"/>
          <w:rtl/>
        </w:rPr>
        <w:t>ל</w:t>
      </w:r>
      <w:bookmarkStart w:id="77824" w:name="_ETM_Q152_223159"/>
      <w:bookmarkEnd w:id="77824"/>
      <w:r>
        <w:rPr>
          <w:rFonts w:hint="cs"/>
          <w:rtl/>
        </w:rPr>
        <w:t xml:space="preserve">קצה </w:t>
      </w:r>
      <w:bookmarkStart w:id="77825" w:name="_ETM_Q152_224120"/>
      <w:bookmarkEnd w:id="77825"/>
      <w:r>
        <w:rPr>
          <w:rFonts w:hint="cs"/>
          <w:rtl/>
        </w:rPr>
        <w:t xml:space="preserve">של </w:t>
      </w:r>
      <w:bookmarkStart w:id="77826" w:name="_ETM_Q152_224360"/>
      <w:bookmarkEnd w:id="77826"/>
      <w:r>
        <w:rPr>
          <w:rFonts w:hint="cs"/>
          <w:rtl/>
        </w:rPr>
        <w:t xml:space="preserve">מה </w:t>
      </w:r>
      <w:bookmarkStart w:id="77827" w:name="_ETM_Q152_224510"/>
      <w:bookmarkEnd w:id="77827"/>
      <w:r>
        <w:rPr>
          <w:rFonts w:hint="cs"/>
          <w:rtl/>
        </w:rPr>
        <w:t xml:space="preserve">שהם </w:t>
      </w:r>
      <w:bookmarkStart w:id="77828" w:name="_ETM_Q152_224780"/>
      <w:bookmarkEnd w:id="77828"/>
      <w:r>
        <w:rPr>
          <w:rFonts w:hint="cs"/>
          <w:rtl/>
        </w:rPr>
        <w:t xml:space="preserve">תרמו </w:t>
      </w:r>
      <w:bookmarkStart w:id="77829" w:name="_ETM_Q152_225200"/>
      <w:bookmarkEnd w:id="77829"/>
      <w:r>
        <w:rPr>
          <w:rFonts w:hint="cs"/>
          <w:rtl/>
        </w:rPr>
        <w:t xml:space="preserve">למדינת </w:t>
      </w:r>
      <w:bookmarkStart w:id="77830" w:name="_ETM_Q152_225800"/>
      <w:bookmarkEnd w:id="77830"/>
      <w:r>
        <w:rPr>
          <w:rFonts w:hint="cs"/>
          <w:rtl/>
        </w:rPr>
        <w:t>ישראל</w:t>
      </w:r>
      <w:bookmarkStart w:id="77831" w:name="_ETM_Q152_226729"/>
      <w:bookmarkEnd w:id="77831"/>
      <w:r>
        <w:rPr>
          <w:rFonts w:hint="cs"/>
          <w:rtl/>
        </w:rPr>
        <w:t xml:space="preserve"> ביכולות </w:t>
      </w:r>
      <w:bookmarkStart w:id="77832" w:name="_ETM_Q152_227340"/>
      <w:bookmarkEnd w:id="77832"/>
      <w:r>
        <w:rPr>
          <w:rFonts w:hint="cs"/>
          <w:rtl/>
        </w:rPr>
        <w:t xml:space="preserve">שלהם, </w:t>
      </w:r>
      <w:bookmarkStart w:id="77833" w:name="_ETM_Q152_228240"/>
      <w:bookmarkEnd w:id="77833"/>
      <w:r>
        <w:rPr>
          <w:rFonts w:hint="cs"/>
          <w:rtl/>
        </w:rPr>
        <w:t xml:space="preserve">בחוכמה </w:t>
      </w:r>
      <w:bookmarkStart w:id="77834" w:name="_ETM_Q152_228990"/>
      <w:bookmarkEnd w:id="77834"/>
      <w:r>
        <w:rPr>
          <w:rFonts w:hint="cs"/>
          <w:rtl/>
        </w:rPr>
        <w:t xml:space="preserve">שלהם, </w:t>
      </w:r>
      <w:bookmarkStart w:id="77835" w:name="_ETM_Q152_229770"/>
      <w:bookmarkEnd w:id="77835"/>
      <w:r>
        <w:rPr>
          <w:rFonts w:hint="cs"/>
          <w:rtl/>
        </w:rPr>
        <w:t xml:space="preserve">בהגנה </w:t>
      </w:r>
      <w:bookmarkStart w:id="77836" w:name="_ETM_Q152_230460"/>
      <w:bookmarkEnd w:id="77836"/>
      <w:r>
        <w:rPr>
          <w:rFonts w:hint="cs"/>
          <w:rtl/>
        </w:rPr>
        <w:t xml:space="preserve">שלהם, </w:t>
      </w:r>
      <w:bookmarkStart w:id="77837" w:name="_ETM_Q152_231270"/>
      <w:bookmarkEnd w:id="77837"/>
      <w:r>
        <w:rPr>
          <w:rFonts w:hint="cs"/>
          <w:rtl/>
        </w:rPr>
        <w:t xml:space="preserve">בכל </w:t>
      </w:r>
      <w:bookmarkStart w:id="77838" w:name="_ETM_Q152_231780"/>
      <w:bookmarkEnd w:id="77838"/>
      <w:r>
        <w:rPr>
          <w:rFonts w:hint="cs"/>
          <w:rtl/>
        </w:rPr>
        <w:t xml:space="preserve">מה </w:t>
      </w:r>
      <w:bookmarkStart w:id="77839" w:name="_ETM_Q152_231900"/>
      <w:bookmarkEnd w:id="77839"/>
      <w:r>
        <w:rPr>
          <w:rFonts w:hint="cs"/>
          <w:rtl/>
        </w:rPr>
        <w:t xml:space="preserve">שהם </w:t>
      </w:r>
      <w:bookmarkStart w:id="77840" w:name="_ETM_Q152_232110"/>
      <w:bookmarkEnd w:id="77840"/>
      <w:r>
        <w:rPr>
          <w:rFonts w:hint="cs"/>
          <w:rtl/>
        </w:rPr>
        <w:t xml:space="preserve">עשו </w:t>
      </w:r>
      <w:bookmarkStart w:id="77841" w:name="_ETM_Q152_232350"/>
      <w:bookmarkEnd w:id="77841"/>
      <w:r>
        <w:rPr>
          <w:rFonts w:hint="cs"/>
          <w:rtl/>
        </w:rPr>
        <w:t xml:space="preserve">כאן </w:t>
      </w:r>
      <w:bookmarkStart w:id="77842" w:name="_ETM_Q152_232560"/>
      <w:bookmarkEnd w:id="77842"/>
      <w:r>
        <w:rPr>
          <w:rFonts w:hint="cs"/>
          <w:rtl/>
        </w:rPr>
        <w:t xml:space="preserve">עד </w:t>
      </w:r>
      <w:bookmarkStart w:id="77843" w:name="_ETM_Q152_232710"/>
      <w:bookmarkEnd w:id="77843"/>
      <w:r>
        <w:rPr>
          <w:rFonts w:hint="cs"/>
          <w:rtl/>
        </w:rPr>
        <w:t xml:space="preserve">היום. </w:t>
      </w:r>
      <w:bookmarkStart w:id="77844" w:name="_ETM_Q152_233370"/>
      <w:bookmarkEnd w:id="77844"/>
      <w:r>
        <w:rPr>
          <w:rFonts w:hint="cs"/>
          <w:rtl/>
        </w:rPr>
        <w:t xml:space="preserve">שמרו </w:t>
      </w:r>
      <w:bookmarkStart w:id="77845" w:name="_ETM_Q152_234170"/>
      <w:bookmarkEnd w:id="77845"/>
      <w:r>
        <w:rPr>
          <w:rFonts w:hint="cs"/>
          <w:rtl/>
        </w:rPr>
        <w:t xml:space="preserve">על עמוד </w:t>
      </w:r>
      <w:bookmarkStart w:id="77846" w:name="_ETM_Q152_235620"/>
      <w:bookmarkEnd w:id="77846"/>
      <w:r>
        <w:rPr>
          <w:rFonts w:hint="cs"/>
          <w:rtl/>
        </w:rPr>
        <w:t xml:space="preserve">השדרה </w:t>
      </w:r>
      <w:bookmarkStart w:id="77847" w:name="_ETM_Q152_236129"/>
      <w:bookmarkEnd w:id="77847"/>
      <w:r>
        <w:rPr>
          <w:rFonts w:hint="cs"/>
          <w:rtl/>
        </w:rPr>
        <w:t xml:space="preserve">של </w:t>
      </w:r>
      <w:bookmarkStart w:id="77848" w:name="_ETM_Q152_236309"/>
      <w:bookmarkEnd w:id="77848"/>
      <w:r>
        <w:rPr>
          <w:rFonts w:hint="cs"/>
          <w:rtl/>
        </w:rPr>
        <w:t xml:space="preserve">מדינת </w:t>
      </w:r>
      <w:bookmarkStart w:id="77849" w:name="_ETM_Q152_236789"/>
      <w:bookmarkEnd w:id="77849"/>
      <w:r>
        <w:rPr>
          <w:rFonts w:hint="cs"/>
          <w:rtl/>
        </w:rPr>
        <w:t xml:space="preserve">ישראל. </w:t>
      </w:r>
      <w:bookmarkStart w:id="77850" w:name="_ETM_Q152_237769"/>
      <w:bookmarkEnd w:id="77850"/>
      <w:r>
        <w:rPr>
          <w:rFonts w:hint="cs"/>
          <w:rtl/>
        </w:rPr>
        <w:t xml:space="preserve">כן, </w:t>
      </w:r>
      <w:bookmarkStart w:id="77851" w:name="_ETM_Q152_238069"/>
      <w:bookmarkEnd w:id="77851"/>
      <w:r>
        <w:rPr>
          <w:rFonts w:hint="cs"/>
          <w:rtl/>
        </w:rPr>
        <w:t xml:space="preserve">אני </w:t>
      </w:r>
      <w:bookmarkStart w:id="77852" w:name="_ETM_Q152_238249"/>
      <w:bookmarkEnd w:id="77852"/>
      <w:r>
        <w:rPr>
          <w:rFonts w:hint="cs"/>
          <w:rtl/>
        </w:rPr>
        <w:t>מעריצה</w:t>
      </w:r>
      <w:r w:rsidR="00155A3E">
        <w:rPr>
          <w:rFonts w:hint="cs"/>
          <w:rtl/>
        </w:rPr>
        <w:t>,</w:t>
      </w:r>
      <w:r>
        <w:rPr>
          <w:rFonts w:hint="cs"/>
          <w:rtl/>
        </w:rPr>
        <w:t xml:space="preserve"> </w:t>
      </w:r>
      <w:bookmarkStart w:id="77853" w:name="_ETM_Q152_239310"/>
      <w:bookmarkEnd w:id="77853"/>
      <w:r>
        <w:rPr>
          <w:rFonts w:hint="cs"/>
          <w:rtl/>
        </w:rPr>
        <w:t xml:space="preserve">כן, </w:t>
      </w:r>
      <w:bookmarkStart w:id="77854" w:name="_ETM_Q152_239520"/>
      <w:bookmarkEnd w:id="77854"/>
      <w:r>
        <w:rPr>
          <w:rFonts w:hint="cs"/>
          <w:rtl/>
        </w:rPr>
        <w:t xml:space="preserve">אני </w:t>
      </w:r>
      <w:bookmarkStart w:id="77855" w:name="_ETM_Q152_239700"/>
      <w:bookmarkEnd w:id="77855"/>
      <w:r>
        <w:rPr>
          <w:rFonts w:hint="cs"/>
          <w:rtl/>
        </w:rPr>
        <w:t xml:space="preserve">מצדיעה – </w:t>
      </w:r>
      <w:bookmarkStart w:id="77856" w:name="_ETM_Q152_240600"/>
      <w:bookmarkEnd w:id="77856"/>
      <w:r>
        <w:rPr>
          <w:rFonts w:hint="cs"/>
          <w:rtl/>
        </w:rPr>
        <w:t xml:space="preserve">לא </w:t>
      </w:r>
      <w:bookmarkStart w:id="77857" w:name="_ETM_Q152_240810"/>
      <w:bookmarkEnd w:id="77857"/>
      <w:r>
        <w:rPr>
          <w:rFonts w:hint="cs"/>
          <w:rtl/>
        </w:rPr>
        <w:t xml:space="preserve">רק </w:t>
      </w:r>
      <w:bookmarkStart w:id="77858" w:name="_ETM_Q152_240989"/>
      <w:bookmarkEnd w:id="77858"/>
      <w:r>
        <w:rPr>
          <w:rFonts w:hint="cs"/>
          <w:rtl/>
        </w:rPr>
        <w:t xml:space="preserve">לאנשים </w:t>
      </w:r>
      <w:bookmarkStart w:id="77859" w:name="_ETM_Q152_241470"/>
      <w:bookmarkEnd w:id="77859"/>
      <w:r>
        <w:rPr>
          <w:rFonts w:hint="cs"/>
          <w:rtl/>
        </w:rPr>
        <w:t xml:space="preserve">שנמצאים </w:t>
      </w:r>
      <w:bookmarkStart w:id="77860" w:name="_ETM_Q152_242100"/>
      <w:bookmarkEnd w:id="77860"/>
      <w:r>
        <w:rPr>
          <w:rFonts w:hint="cs"/>
          <w:rtl/>
        </w:rPr>
        <w:t xml:space="preserve">שם </w:t>
      </w:r>
      <w:bookmarkStart w:id="77861" w:name="_ETM_Q152_242310"/>
      <w:bookmarkEnd w:id="77861"/>
      <w:r>
        <w:rPr>
          <w:rFonts w:hint="cs"/>
          <w:rtl/>
        </w:rPr>
        <w:t xml:space="preserve">בחוץ, </w:t>
      </w:r>
      <w:bookmarkStart w:id="77862" w:name="_ETM_Q152_242960"/>
      <w:bookmarkEnd w:id="77862"/>
      <w:r>
        <w:rPr>
          <w:rFonts w:hint="cs"/>
          <w:rtl/>
        </w:rPr>
        <w:t xml:space="preserve">גם </w:t>
      </w:r>
      <w:bookmarkStart w:id="77863" w:name="_ETM_Q152_243350"/>
      <w:bookmarkEnd w:id="77863"/>
      <w:r>
        <w:rPr>
          <w:rFonts w:hint="cs"/>
          <w:rtl/>
        </w:rPr>
        <w:t xml:space="preserve">לכל </w:t>
      </w:r>
      <w:bookmarkStart w:id="77864" w:name="_ETM_Q152_243680"/>
      <w:bookmarkEnd w:id="77864"/>
      <w:r>
        <w:rPr>
          <w:rFonts w:hint="cs"/>
          <w:rtl/>
        </w:rPr>
        <w:t xml:space="preserve">שומרי </w:t>
      </w:r>
      <w:bookmarkStart w:id="77865" w:name="_ETM_Q152_244100"/>
      <w:bookmarkEnd w:id="77865"/>
      <w:r>
        <w:rPr>
          <w:rFonts w:hint="cs"/>
          <w:rtl/>
        </w:rPr>
        <w:t xml:space="preserve">הסף </w:t>
      </w:r>
      <w:bookmarkStart w:id="77866" w:name="_ETM_Q152_244490"/>
      <w:bookmarkEnd w:id="77866"/>
      <w:r>
        <w:rPr>
          <w:rFonts w:hint="cs"/>
          <w:rtl/>
        </w:rPr>
        <w:t xml:space="preserve">שלנו </w:t>
      </w:r>
      <w:bookmarkStart w:id="77867" w:name="_ETM_Q152_245240"/>
      <w:bookmarkEnd w:id="77867"/>
      <w:r>
        <w:rPr>
          <w:rFonts w:hint="cs"/>
          <w:rtl/>
        </w:rPr>
        <w:t xml:space="preserve">ולכל </w:t>
      </w:r>
      <w:bookmarkStart w:id="77868" w:name="_ETM_Q152_246170"/>
      <w:bookmarkEnd w:id="77868"/>
      <w:r>
        <w:rPr>
          <w:rFonts w:hint="cs"/>
          <w:rtl/>
        </w:rPr>
        <w:t xml:space="preserve">שדרת </w:t>
      </w:r>
      <w:bookmarkStart w:id="77869" w:name="_ETM_Q152_246709"/>
      <w:bookmarkEnd w:id="77869"/>
      <w:r>
        <w:rPr>
          <w:rFonts w:hint="cs"/>
          <w:rtl/>
        </w:rPr>
        <w:t xml:space="preserve">הפיקוד </w:t>
      </w:r>
      <w:bookmarkStart w:id="77870" w:name="_ETM_Q152_247630"/>
      <w:bookmarkEnd w:id="77870"/>
      <w:r>
        <w:rPr>
          <w:rFonts w:hint="cs"/>
          <w:rtl/>
        </w:rPr>
        <w:t xml:space="preserve">ושדרת </w:t>
      </w:r>
      <w:bookmarkStart w:id="77871" w:name="_ETM_Q152_248469"/>
      <w:bookmarkStart w:id="77872" w:name="_ETM_Q152_248590"/>
      <w:bookmarkEnd w:id="77871"/>
      <w:bookmarkEnd w:id="77872"/>
      <w:r>
        <w:rPr>
          <w:rFonts w:hint="cs"/>
          <w:rtl/>
        </w:rPr>
        <w:t xml:space="preserve">הפקידות </w:t>
      </w:r>
      <w:bookmarkStart w:id="77873" w:name="_ETM_Q152_250090"/>
      <w:bookmarkEnd w:id="77873"/>
      <w:r>
        <w:rPr>
          <w:rFonts w:hint="cs"/>
          <w:rtl/>
        </w:rPr>
        <w:t xml:space="preserve">הבכירה </w:t>
      </w:r>
      <w:bookmarkStart w:id="77874" w:name="_ETM_Q152_250659"/>
      <w:bookmarkEnd w:id="77874"/>
      <w:r>
        <w:rPr>
          <w:rFonts w:hint="cs"/>
          <w:rtl/>
        </w:rPr>
        <w:t xml:space="preserve">של </w:t>
      </w:r>
      <w:bookmarkStart w:id="77875" w:name="_ETM_Q152_250810"/>
      <w:bookmarkEnd w:id="77875"/>
      <w:r>
        <w:rPr>
          <w:rFonts w:hint="cs"/>
          <w:rtl/>
        </w:rPr>
        <w:t xml:space="preserve">מדינת </w:t>
      </w:r>
      <w:bookmarkStart w:id="77876" w:name="_ETM_Q152_251289"/>
      <w:bookmarkEnd w:id="77876"/>
      <w:r>
        <w:rPr>
          <w:rFonts w:hint="cs"/>
          <w:rtl/>
        </w:rPr>
        <w:t xml:space="preserve">ישראל, </w:t>
      </w:r>
      <w:bookmarkStart w:id="77877" w:name="_ETM_Q152_252249"/>
      <w:bookmarkEnd w:id="77877"/>
      <w:r>
        <w:rPr>
          <w:rFonts w:hint="cs"/>
          <w:rtl/>
        </w:rPr>
        <w:t xml:space="preserve">שאוכלת </w:t>
      </w:r>
      <w:bookmarkStart w:id="77878" w:name="_ETM_Q152_253149"/>
      <w:bookmarkEnd w:id="77878"/>
      <w:r>
        <w:rPr>
          <w:rFonts w:hint="cs"/>
          <w:rtl/>
        </w:rPr>
        <w:t xml:space="preserve">מכם </w:t>
      </w:r>
      <w:bookmarkStart w:id="77879" w:name="_ETM_Q152_254010"/>
      <w:bookmarkEnd w:id="77879"/>
      <w:r>
        <w:rPr>
          <w:rFonts w:hint="cs"/>
          <w:rtl/>
        </w:rPr>
        <w:t xml:space="preserve">השפלות, </w:t>
      </w:r>
      <w:bookmarkStart w:id="77880" w:name="_ETM_Q152_255259"/>
      <w:bookmarkEnd w:id="77880"/>
      <w:r>
        <w:rPr>
          <w:rFonts w:hint="cs"/>
          <w:rtl/>
        </w:rPr>
        <w:t xml:space="preserve">הקטנה, </w:t>
      </w:r>
      <w:bookmarkStart w:id="77881" w:name="_ETM_Q152_256369"/>
      <w:bookmarkEnd w:id="77881"/>
      <w:r>
        <w:rPr>
          <w:rFonts w:hint="cs"/>
          <w:rtl/>
        </w:rPr>
        <w:t xml:space="preserve">ביזוי. </w:t>
      </w:r>
      <w:bookmarkStart w:id="77882" w:name="_ETM_Q152_257979"/>
      <w:bookmarkEnd w:id="77882"/>
      <w:r>
        <w:rPr>
          <w:rFonts w:hint="cs"/>
          <w:rtl/>
        </w:rPr>
        <w:t xml:space="preserve">מי אתם </w:t>
      </w:r>
      <w:bookmarkStart w:id="77883" w:name="_ETM_Q152_258819"/>
      <w:bookmarkEnd w:id="77883"/>
      <w:r>
        <w:rPr>
          <w:rFonts w:hint="cs"/>
          <w:rtl/>
        </w:rPr>
        <w:t xml:space="preserve">שתתנהגו </w:t>
      </w:r>
      <w:bookmarkStart w:id="77884" w:name="_ETM_Q152_259569"/>
      <w:bookmarkEnd w:id="77884"/>
      <w:r>
        <w:rPr>
          <w:rFonts w:hint="cs"/>
          <w:rtl/>
        </w:rPr>
        <w:t xml:space="preserve">ככה? </w:t>
      </w:r>
      <w:bookmarkStart w:id="77885" w:name="_ETM_Q152_260380"/>
      <w:bookmarkEnd w:id="77885"/>
      <w:r>
        <w:rPr>
          <w:rFonts w:hint="cs"/>
          <w:rtl/>
        </w:rPr>
        <w:t xml:space="preserve">חוצפנים. </w:t>
      </w:r>
      <w:bookmarkStart w:id="77886" w:name="_ETM_Q152_263899"/>
      <w:bookmarkEnd w:id="77886"/>
    </w:p>
    <w:p w:rsidR="00BB59CD" w:rsidRDefault="00BB59CD" w:rsidP="00BB59CD">
      <w:pPr>
        <w:rPr>
          <w:rtl/>
        </w:rPr>
      </w:pPr>
      <w:bookmarkStart w:id="77887" w:name="_ETM_Q152_262121"/>
      <w:bookmarkStart w:id="77888" w:name="_ETM_Q152_262195"/>
      <w:bookmarkEnd w:id="77887"/>
      <w:bookmarkEnd w:id="77888"/>
    </w:p>
    <w:p w:rsidR="00BB59CD" w:rsidRDefault="00BB59CD" w:rsidP="001D559F">
      <w:pPr>
        <w:rPr>
          <w:rtl/>
        </w:rPr>
      </w:pPr>
      <w:bookmarkStart w:id="77889" w:name="_ETM_Q152_262289"/>
      <w:bookmarkStart w:id="77890" w:name="_ETM_Q152_262346"/>
      <w:bookmarkEnd w:id="77889"/>
      <w:bookmarkEnd w:id="77890"/>
      <w:r>
        <w:rPr>
          <w:rFonts w:hint="cs"/>
          <w:rtl/>
        </w:rPr>
        <w:t xml:space="preserve">זאת </w:t>
      </w:r>
      <w:bookmarkStart w:id="77891" w:name="_ETM_Q152_264200"/>
      <w:bookmarkEnd w:id="77891"/>
      <w:r>
        <w:rPr>
          <w:rFonts w:hint="cs"/>
          <w:rtl/>
        </w:rPr>
        <w:t xml:space="preserve">לא </w:t>
      </w:r>
      <w:bookmarkStart w:id="77892" w:name="_ETM_Q152_264380"/>
      <w:bookmarkEnd w:id="77892"/>
      <w:r>
        <w:rPr>
          <w:rFonts w:hint="cs"/>
          <w:rtl/>
        </w:rPr>
        <w:t xml:space="preserve">דמוקרטיה </w:t>
      </w:r>
      <w:bookmarkStart w:id="77893" w:name="_ETM_Q152_264950"/>
      <w:bookmarkEnd w:id="77893"/>
      <w:r>
        <w:rPr>
          <w:rFonts w:hint="cs"/>
          <w:rtl/>
        </w:rPr>
        <w:t xml:space="preserve">תוססת, </w:t>
      </w:r>
      <w:bookmarkStart w:id="77894" w:name="_ETM_Q152_265520"/>
      <w:bookmarkEnd w:id="77894"/>
      <w:r>
        <w:rPr>
          <w:rFonts w:hint="cs"/>
          <w:rtl/>
        </w:rPr>
        <w:t xml:space="preserve">אדוני </w:t>
      </w:r>
      <w:bookmarkStart w:id="77895" w:name="_ETM_Q152_265819"/>
      <w:bookmarkEnd w:id="77895"/>
      <w:r>
        <w:rPr>
          <w:rFonts w:hint="cs"/>
          <w:rtl/>
        </w:rPr>
        <w:t xml:space="preserve">הנשיא. </w:t>
      </w:r>
      <w:bookmarkStart w:id="77896" w:name="_ETM_Q152_266980"/>
      <w:bookmarkEnd w:id="77896"/>
      <w:r>
        <w:rPr>
          <w:rFonts w:hint="cs"/>
          <w:rtl/>
        </w:rPr>
        <w:t xml:space="preserve">לא, </w:t>
      </w:r>
      <w:bookmarkStart w:id="77897" w:name="_ETM_Q152_267190"/>
      <w:bookmarkEnd w:id="77897"/>
      <w:r>
        <w:rPr>
          <w:rFonts w:hint="cs"/>
          <w:rtl/>
        </w:rPr>
        <w:t xml:space="preserve">זאת </w:t>
      </w:r>
      <w:bookmarkStart w:id="77898" w:name="_ETM_Q152_267400"/>
      <w:bookmarkEnd w:id="77898"/>
      <w:r>
        <w:rPr>
          <w:rFonts w:hint="cs"/>
          <w:rtl/>
        </w:rPr>
        <w:t xml:space="preserve">לא </w:t>
      </w:r>
      <w:bookmarkStart w:id="77899" w:name="_ETM_Q152_267580"/>
      <w:bookmarkEnd w:id="77899"/>
      <w:r>
        <w:rPr>
          <w:rFonts w:hint="cs"/>
          <w:rtl/>
        </w:rPr>
        <w:t xml:space="preserve">דמוקרטיה </w:t>
      </w:r>
      <w:bookmarkStart w:id="77900" w:name="_ETM_Q152_268150"/>
      <w:bookmarkEnd w:id="77900"/>
      <w:r>
        <w:rPr>
          <w:rFonts w:hint="cs"/>
          <w:rtl/>
        </w:rPr>
        <w:t xml:space="preserve">תוססת. </w:t>
      </w:r>
      <w:bookmarkStart w:id="77901" w:name="_ETM_Q152_269380"/>
      <w:bookmarkEnd w:id="77901"/>
      <w:r>
        <w:rPr>
          <w:rFonts w:hint="cs"/>
          <w:rtl/>
        </w:rPr>
        <w:t xml:space="preserve">מדובר </w:t>
      </w:r>
      <w:bookmarkStart w:id="77902" w:name="_ETM_Q152_269979"/>
      <w:bookmarkEnd w:id="77902"/>
      <w:r>
        <w:rPr>
          <w:rFonts w:hint="cs"/>
          <w:rtl/>
        </w:rPr>
        <w:t xml:space="preserve">כאן </w:t>
      </w:r>
      <w:bookmarkStart w:id="77903" w:name="_ETM_Q152_270159"/>
      <w:bookmarkEnd w:id="77903"/>
      <w:r>
        <w:rPr>
          <w:rFonts w:hint="cs"/>
          <w:rtl/>
        </w:rPr>
        <w:t xml:space="preserve">על </w:t>
      </w:r>
      <w:bookmarkStart w:id="77904" w:name="_ETM_Q152_270249"/>
      <w:bookmarkEnd w:id="77904"/>
      <w:r>
        <w:rPr>
          <w:rFonts w:hint="cs"/>
          <w:rtl/>
        </w:rPr>
        <w:t xml:space="preserve">משהו </w:t>
      </w:r>
      <w:bookmarkStart w:id="77905" w:name="_ETM_Q152_270579"/>
      <w:bookmarkEnd w:id="77905"/>
      <w:r>
        <w:rPr>
          <w:rFonts w:hint="cs"/>
          <w:rtl/>
        </w:rPr>
        <w:t xml:space="preserve">אחר. </w:t>
      </w:r>
      <w:bookmarkStart w:id="77906" w:name="_ETM_Q152_273780"/>
      <w:bookmarkEnd w:id="77906"/>
      <w:r>
        <w:rPr>
          <w:rFonts w:hint="cs"/>
          <w:rtl/>
        </w:rPr>
        <w:t xml:space="preserve">זה </w:t>
      </w:r>
      <w:bookmarkStart w:id="77907" w:name="_ETM_Q152_274319"/>
      <w:bookmarkEnd w:id="77907"/>
      <w:r>
        <w:rPr>
          <w:rFonts w:hint="cs"/>
          <w:rtl/>
        </w:rPr>
        <w:t xml:space="preserve">אירוע </w:t>
      </w:r>
      <w:bookmarkStart w:id="77908" w:name="_ETM_Q152_274920"/>
      <w:bookmarkEnd w:id="77908"/>
      <w:r>
        <w:rPr>
          <w:rFonts w:hint="cs"/>
          <w:rtl/>
        </w:rPr>
        <w:t xml:space="preserve">אחר </w:t>
      </w:r>
      <w:bookmarkStart w:id="77909" w:name="_ETM_Q152_275340"/>
      <w:bookmarkEnd w:id="77909"/>
      <w:r>
        <w:rPr>
          <w:rFonts w:hint="cs"/>
          <w:rtl/>
        </w:rPr>
        <w:t xml:space="preserve">לחלוטין. </w:t>
      </w:r>
      <w:bookmarkStart w:id="77910" w:name="_ETM_Q152_277280"/>
      <w:bookmarkEnd w:id="77910"/>
      <w:r>
        <w:rPr>
          <w:rFonts w:hint="cs"/>
          <w:rtl/>
        </w:rPr>
        <w:t xml:space="preserve">הינה </w:t>
      </w:r>
      <w:bookmarkStart w:id="77911" w:name="_ETM_Q152_277639"/>
      <w:bookmarkEnd w:id="77911"/>
      <w:r>
        <w:rPr>
          <w:rFonts w:hint="cs"/>
          <w:rtl/>
        </w:rPr>
        <w:t xml:space="preserve">המעשים </w:t>
      </w:r>
      <w:bookmarkStart w:id="77912" w:name="_ETM_Q152_278179"/>
      <w:bookmarkEnd w:id="77912"/>
      <w:r>
        <w:rPr>
          <w:rFonts w:hint="cs"/>
          <w:rtl/>
        </w:rPr>
        <w:t xml:space="preserve">שלהם: </w:t>
      </w:r>
      <w:bookmarkStart w:id="77913" w:name="_ETM_Q152_279260"/>
      <w:bookmarkEnd w:id="77913"/>
      <w:r>
        <w:rPr>
          <w:rFonts w:hint="cs"/>
          <w:rtl/>
        </w:rPr>
        <w:t xml:space="preserve">מעל </w:t>
      </w:r>
      <w:bookmarkStart w:id="77914" w:name="_ETM_Q152_279709"/>
      <w:bookmarkEnd w:id="77914"/>
      <w:r>
        <w:rPr>
          <w:rFonts w:hint="cs"/>
          <w:rtl/>
        </w:rPr>
        <w:t xml:space="preserve">200 </w:t>
      </w:r>
      <w:bookmarkStart w:id="77915" w:name="_ETM_Q152_280280"/>
      <w:bookmarkEnd w:id="77915"/>
      <w:r>
        <w:rPr>
          <w:rFonts w:hint="cs"/>
          <w:rtl/>
        </w:rPr>
        <w:t>חוקים</w:t>
      </w:r>
      <w:bookmarkStart w:id="77916" w:name="_ETM_Q152_281120"/>
      <w:bookmarkStart w:id="77917" w:name="_ETM_Q152_282229"/>
      <w:bookmarkEnd w:id="77916"/>
      <w:bookmarkEnd w:id="77917"/>
      <w:r>
        <w:rPr>
          <w:rFonts w:hint="cs"/>
          <w:rtl/>
        </w:rPr>
        <w:t xml:space="preserve"> – 200 חוקים</w:t>
      </w:r>
      <w:bookmarkStart w:id="77918" w:name="_ETM_Q152_283009"/>
      <w:bookmarkEnd w:id="77918"/>
      <w:r>
        <w:rPr>
          <w:rFonts w:hint="cs"/>
          <w:rtl/>
        </w:rPr>
        <w:t xml:space="preserve">, לא </w:t>
      </w:r>
      <w:bookmarkStart w:id="77919" w:name="_ETM_Q152_283159"/>
      <w:bookmarkEnd w:id="77919"/>
      <w:r>
        <w:rPr>
          <w:rFonts w:hint="cs"/>
          <w:rtl/>
        </w:rPr>
        <w:t xml:space="preserve">פחות – </w:t>
      </w:r>
      <w:bookmarkStart w:id="77920" w:name="_ETM_Q152_284520"/>
      <w:bookmarkEnd w:id="77920"/>
      <w:r>
        <w:rPr>
          <w:rFonts w:hint="cs"/>
          <w:rtl/>
        </w:rPr>
        <w:t xml:space="preserve">נגועים </w:t>
      </w:r>
      <w:bookmarkStart w:id="77921" w:name="_ETM_Q152_285119"/>
      <w:bookmarkEnd w:id="77921"/>
      <w:r>
        <w:rPr>
          <w:rFonts w:hint="cs"/>
          <w:rtl/>
        </w:rPr>
        <w:t xml:space="preserve">בשחיתות, </w:t>
      </w:r>
      <w:bookmarkStart w:id="77922" w:name="_ETM_Q152_286380"/>
      <w:bookmarkEnd w:id="77922"/>
      <w:r>
        <w:rPr>
          <w:rFonts w:hint="cs"/>
          <w:rtl/>
        </w:rPr>
        <w:t xml:space="preserve">מופקרים, </w:t>
      </w:r>
      <w:bookmarkStart w:id="77923" w:name="_ETM_Q152_287909"/>
      <w:bookmarkEnd w:id="77923"/>
      <w:r>
        <w:rPr>
          <w:rFonts w:hint="cs"/>
          <w:rtl/>
        </w:rPr>
        <w:t xml:space="preserve">נוגדי </w:t>
      </w:r>
      <w:bookmarkStart w:id="77924" w:name="_ETM_Q152_288450"/>
      <w:bookmarkEnd w:id="77924"/>
      <w:r>
        <w:rPr>
          <w:rFonts w:hint="cs"/>
          <w:rtl/>
        </w:rPr>
        <w:t xml:space="preserve">מוסר </w:t>
      </w:r>
      <w:bookmarkStart w:id="77925" w:name="_ETM_Q152_288990"/>
      <w:bookmarkEnd w:id="77925"/>
      <w:r>
        <w:rPr>
          <w:rFonts w:hint="cs"/>
          <w:rtl/>
        </w:rPr>
        <w:t xml:space="preserve">וסותרי </w:t>
      </w:r>
      <w:bookmarkStart w:id="77926" w:name="_ETM_Q152_289560"/>
      <w:bookmarkEnd w:id="77926"/>
      <w:r>
        <w:rPr>
          <w:rFonts w:hint="cs"/>
          <w:rtl/>
        </w:rPr>
        <w:t xml:space="preserve">דמוקרטיה, </w:t>
      </w:r>
      <w:bookmarkStart w:id="77927" w:name="_ETM_Q152_290819"/>
      <w:bookmarkEnd w:id="77927"/>
      <w:r>
        <w:rPr>
          <w:rFonts w:hint="cs"/>
          <w:rtl/>
        </w:rPr>
        <w:t xml:space="preserve">מעמיקים </w:t>
      </w:r>
      <w:bookmarkStart w:id="77928" w:name="_ETM_Q152_291569"/>
      <w:bookmarkEnd w:id="77928"/>
      <w:r>
        <w:rPr>
          <w:rFonts w:hint="cs"/>
          <w:rtl/>
        </w:rPr>
        <w:t xml:space="preserve">את </w:t>
      </w:r>
      <w:bookmarkStart w:id="77929" w:name="_ETM_Q152_291689"/>
      <w:bookmarkEnd w:id="77929"/>
      <w:r>
        <w:rPr>
          <w:rFonts w:hint="cs"/>
          <w:rtl/>
        </w:rPr>
        <w:t xml:space="preserve">האפליה </w:t>
      </w:r>
      <w:bookmarkStart w:id="77930" w:name="_ETM_Q152_292679"/>
      <w:bookmarkEnd w:id="77930"/>
      <w:r>
        <w:rPr>
          <w:rFonts w:hint="cs"/>
          <w:rtl/>
        </w:rPr>
        <w:t xml:space="preserve">ופוגעים </w:t>
      </w:r>
      <w:bookmarkStart w:id="77931" w:name="_ETM_Q152_293459"/>
      <w:bookmarkEnd w:id="77931"/>
      <w:r>
        <w:rPr>
          <w:rFonts w:hint="cs"/>
          <w:rtl/>
        </w:rPr>
        <w:t xml:space="preserve">בערכי </w:t>
      </w:r>
      <w:bookmarkStart w:id="77932" w:name="_ETM_Q152_293909"/>
      <w:bookmarkEnd w:id="77932"/>
      <w:r>
        <w:rPr>
          <w:rFonts w:hint="cs"/>
          <w:rtl/>
        </w:rPr>
        <w:t xml:space="preserve">הציונות. </w:t>
      </w:r>
      <w:bookmarkStart w:id="77933" w:name="_ETM_Q152_295650"/>
      <w:bookmarkStart w:id="77934" w:name="_ETM_Q152_302983"/>
      <w:bookmarkStart w:id="77935" w:name="_ETM_Q152_303055"/>
      <w:bookmarkStart w:id="77936" w:name="_ETM_Q152_303122"/>
      <w:bookmarkStart w:id="77937" w:name="_ETM_Q152_303182"/>
      <w:bookmarkStart w:id="77938" w:name="_ETM_Q152_303306"/>
      <w:bookmarkStart w:id="77939" w:name="_ETM_Q152_303360"/>
      <w:bookmarkEnd w:id="77933"/>
      <w:bookmarkEnd w:id="77934"/>
      <w:bookmarkEnd w:id="77935"/>
      <w:bookmarkEnd w:id="77936"/>
      <w:bookmarkEnd w:id="77937"/>
      <w:bookmarkEnd w:id="77938"/>
      <w:bookmarkEnd w:id="77939"/>
      <w:r>
        <w:rPr>
          <w:rFonts w:hint="cs"/>
          <w:rtl/>
        </w:rPr>
        <w:t xml:space="preserve">ביטול </w:t>
      </w:r>
      <w:bookmarkStart w:id="77940" w:name="_ETM_Q152_296369"/>
      <w:bookmarkEnd w:id="77940"/>
      <w:r>
        <w:rPr>
          <w:rFonts w:hint="cs"/>
          <w:rtl/>
        </w:rPr>
        <w:t xml:space="preserve">של </w:t>
      </w:r>
      <w:bookmarkStart w:id="77941" w:name="_ETM_Q152_296610"/>
      <w:bookmarkEnd w:id="77941"/>
      <w:r>
        <w:rPr>
          <w:rFonts w:hint="cs"/>
          <w:rtl/>
        </w:rPr>
        <w:t xml:space="preserve">עצמאות </w:t>
      </w:r>
      <w:bookmarkStart w:id="77942" w:name="_ETM_Q152_297930"/>
      <w:bookmarkEnd w:id="77942"/>
      <w:r>
        <w:rPr>
          <w:rFonts w:hint="cs"/>
          <w:rtl/>
        </w:rPr>
        <w:t xml:space="preserve">של </w:t>
      </w:r>
      <w:bookmarkStart w:id="77943" w:name="_ETM_Q152_298260"/>
      <w:bookmarkEnd w:id="77943"/>
      <w:r>
        <w:rPr>
          <w:rFonts w:hint="cs"/>
          <w:rtl/>
        </w:rPr>
        <w:t xml:space="preserve">גופים </w:t>
      </w:r>
      <w:bookmarkStart w:id="77944" w:name="_ETM_Q152_299520"/>
      <w:bookmarkEnd w:id="77944"/>
      <w:r>
        <w:rPr>
          <w:rFonts w:hint="cs"/>
          <w:rtl/>
        </w:rPr>
        <w:t xml:space="preserve">שהם </w:t>
      </w:r>
      <w:bookmarkStart w:id="77945" w:name="_ETM_Q152_300060"/>
      <w:bookmarkEnd w:id="77945"/>
      <w:r>
        <w:rPr>
          <w:rFonts w:hint="cs"/>
          <w:rtl/>
        </w:rPr>
        <w:t xml:space="preserve">חלק </w:t>
      </w:r>
      <w:bookmarkStart w:id="77946" w:name="_ETM_Q152_300659"/>
      <w:bookmarkEnd w:id="77946"/>
      <w:r>
        <w:rPr>
          <w:rFonts w:hint="cs"/>
          <w:rtl/>
        </w:rPr>
        <w:t xml:space="preserve">– איברים </w:t>
      </w:r>
      <w:bookmarkStart w:id="77947" w:name="_ETM_Q152_301770"/>
      <w:bookmarkEnd w:id="77947"/>
      <w:r>
        <w:rPr>
          <w:rFonts w:hint="cs"/>
          <w:rtl/>
        </w:rPr>
        <w:t xml:space="preserve">ממדינת </w:t>
      </w:r>
      <w:bookmarkStart w:id="77948" w:name="_ETM_Q152_302460"/>
      <w:bookmarkEnd w:id="77948"/>
      <w:r>
        <w:rPr>
          <w:rFonts w:hint="cs"/>
          <w:rtl/>
        </w:rPr>
        <w:t xml:space="preserve">ישראל </w:t>
      </w:r>
      <w:bookmarkStart w:id="77949" w:name="_ETM_Q152_303759"/>
      <w:bookmarkEnd w:id="77949"/>
      <w:r>
        <w:rPr>
          <w:rFonts w:hint="cs"/>
          <w:rtl/>
        </w:rPr>
        <w:t xml:space="preserve">– ששמרו על </w:t>
      </w:r>
      <w:bookmarkStart w:id="77950" w:name="_ETM_Q152_304690"/>
      <w:bookmarkEnd w:id="77950"/>
      <w:r>
        <w:rPr>
          <w:rFonts w:hint="cs"/>
          <w:rtl/>
        </w:rPr>
        <w:t xml:space="preserve">המדינה </w:t>
      </w:r>
      <w:bookmarkStart w:id="77951" w:name="_ETM_Q152_305800"/>
      <w:bookmarkEnd w:id="77951"/>
      <w:r>
        <w:rPr>
          <w:rFonts w:hint="cs"/>
          <w:rtl/>
        </w:rPr>
        <w:t xml:space="preserve">במשך </w:t>
      </w:r>
      <w:bookmarkStart w:id="77952" w:name="_ETM_Q152_306430"/>
      <w:bookmarkEnd w:id="77952"/>
      <w:r>
        <w:rPr>
          <w:rFonts w:hint="cs"/>
          <w:rtl/>
        </w:rPr>
        <w:t xml:space="preserve">כל </w:t>
      </w:r>
      <w:bookmarkStart w:id="77953" w:name="_ETM_Q152_306640"/>
      <w:bookmarkEnd w:id="77953"/>
      <w:r>
        <w:rPr>
          <w:rFonts w:hint="cs"/>
          <w:rtl/>
        </w:rPr>
        <w:t xml:space="preserve">כך </w:t>
      </w:r>
      <w:bookmarkStart w:id="77954" w:name="_ETM_Q152_307090"/>
      <w:bookmarkEnd w:id="77954"/>
      <w:r>
        <w:rPr>
          <w:rFonts w:hint="cs"/>
          <w:rtl/>
        </w:rPr>
        <w:t xml:space="preserve">הרבה </w:t>
      </w:r>
      <w:bookmarkStart w:id="77955" w:name="_ETM_Q152_307510"/>
      <w:bookmarkEnd w:id="77955"/>
      <w:r>
        <w:rPr>
          <w:rFonts w:hint="cs"/>
          <w:rtl/>
        </w:rPr>
        <w:t xml:space="preserve">שנים: </w:t>
      </w:r>
      <w:bookmarkStart w:id="77956" w:name="_ETM_Q152_308680"/>
      <w:bookmarkEnd w:id="77956"/>
      <w:r>
        <w:rPr>
          <w:rFonts w:hint="cs"/>
          <w:rtl/>
        </w:rPr>
        <w:t xml:space="preserve">רשות </w:t>
      </w:r>
      <w:bookmarkStart w:id="77957" w:name="_ETM_Q152_309160"/>
      <w:bookmarkEnd w:id="77957"/>
      <w:r>
        <w:rPr>
          <w:rFonts w:hint="cs"/>
          <w:rtl/>
        </w:rPr>
        <w:t xml:space="preserve">החברות, </w:t>
      </w:r>
      <w:bookmarkStart w:id="77958" w:name="_ETM_Q152_310210"/>
      <w:bookmarkEnd w:id="77958"/>
      <w:r>
        <w:rPr>
          <w:rFonts w:hint="cs"/>
          <w:rtl/>
        </w:rPr>
        <w:t xml:space="preserve">הרשות </w:t>
      </w:r>
      <w:bookmarkStart w:id="77959" w:name="_ETM_Q152_310720"/>
      <w:bookmarkEnd w:id="77959"/>
      <w:r>
        <w:rPr>
          <w:rFonts w:hint="cs"/>
          <w:rtl/>
        </w:rPr>
        <w:t xml:space="preserve">למעמד </w:t>
      </w:r>
      <w:bookmarkStart w:id="77960" w:name="_ETM_Q152_311200"/>
      <w:bookmarkEnd w:id="77960"/>
      <w:r>
        <w:rPr>
          <w:rFonts w:hint="cs"/>
          <w:rtl/>
        </w:rPr>
        <w:t xml:space="preserve">האישה, </w:t>
      </w:r>
      <w:bookmarkStart w:id="77961" w:name="_ETM_Q152_312569"/>
      <w:bookmarkEnd w:id="77961"/>
      <w:r>
        <w:rPr>
          <w:rFonts w:hint="cs"/>
          <w:rtl/>
        </w:rPr>
        <w:t xml:space="preserve">בתי </w:t>
      </w:r>
      <w:bookmarkStart w:id="77962" w:name="_ETM_Q152_313109"/>
      <w:bookmarkEnd w:id="77962"/>
      <w:r>
        <w:rPr>
          <w:rFonts w:hint="cs"/>
          <w:rtl/>
        </w:rPr>
        <w:t xml:space="preserve">המשפט </w:t>
      </w:r>
      <w:bookmarkStart w:id="77963" w:name="_ETM_Q152_313680"/>
      <w:bookmarkEnd w:id="77963"/>
      <w:r>
        <w:rPr>
          <w:rFonts w:hint="cs"/>
          <w:rtl/>
        </w:rPr>
        <w:t xml:space="preserve">ועצמאותם, </w:t>
      </w:r>
      <w:bookmarkStart w:id="77964" w:name="_ETM_Q152_315050"/>
      <w:bookmarkEnd w:id="77964"/>
      <w:r>
        <w:rPr>
          <w:rFonts w:hint="cs"/>
          <w:rtl/>
        </w:rPr>
        <w:t xml:space="preserve">התקשורת, </w:t>
      </w:r>
      <w:bookmarkStart w:id="77965" w:name="_ETM_Q152_316400"/>
      <w:bookmarkEnd w:id="77965"/>
      <w:r>
        <w:rPr>
          <w:rFonts w:hint="cs"/>
          <w:rtl/>
        </w:rPr>
        <w:t>הדואר.</w:t>
      </w:r>
      <w:bookmarkStart w:id="77966" w:name="_ETM_Q152_317599"/>
      <w:bookmarkEnd w:id="77966"/>
      <w:r>
        <w:rPr>
          <w:rFonts w:hint="cs"/>
          <w:rtl/>
        </w:rPr>
        <w:t xml:space="preserve"> מה </w:t>
      </w:r>
      <w:bookmarkStart w:id="77967" w:name="_ETM_Q152_317810"/>
      <w:bookmarkStart w:id="77968" w:name="_ETM_Q152_317989"/>
      <w:bookmarkEnd w:id="77967"/>
      <w:bookmarkEnd w:id="77968"/>
      <w:r>
        <w:rPr>
          <w:rFonts w:hint="cs"/>
          <w:rtl/>
        </w:rPr>
        <w:t xml:space="preserve">כל </w:t>
      </w:r>
      <w:bookmarkStart w:id="77969" w:name="_ETM_Q152_318230"/>
      <w:bookmarkEnd w:id="77969"/>
      <w:r>
        <w:rPr>
          <w:rFonts w:hint="cs"/>
          <w:rtl/>
        </w:rPr>
        <w:t xml:space="preserve">הדברים </w:t>
      </w:r>
      <w:bookmarkStart w:id="77970" w:name="_ETM_Q152_318680"/>
      <w:bookmarkEnd w:id="77970"/>
      <w:r>
        <w:rPr>
          <w:rFonts w:hint="cs"/>
          <w:rtl/>
        </w:rPr>
        <w:t xml:space="preserve">האלה? </w:t>
      </w:r>
      <w:bookmarkStart w:id="77971" w:name="_ETM_Q152_320329"/>
      <w:bookmarkStart w:id="77972" w:name="_ETM_Q152_320650"/>
      <w:bookmarkEnd w:id="77971"/>
      <w:bookmarkEnd w:id="77972"/>
      <w:r>
        <w:rPr>
          <w:rFonts w:hint="cs"/>
          <w:rtl/>
        </w:rPr>
        <w:t xml:space="preserve">ההיסטוריה </w:t>
      </w:r>
      <w:bookmarkStart w:id="77973" w:name="_ETM_Q152_321700"/>
      <w:bookmarkEnd w:id="77973"/>
      <w:r>
        <w:rPr>
          <w:rFonts w:hint="cs"/>
          <w:rtl/>
        </w:rPr>
        <w:t xml:space="preserve">תשפוט </w:t>
      </w:r>
      <w:bookmarkStart w:id="77974" w:name="_ETM_Q152_322269"/>
      <w:bookmarkEnd w:id="77974"/>
      <w:r>
        <w:rPr>
          <w:rFonts w:hint="cs"/>
          <w:rtl/>
        </w:rPr>
        <w:t xml:space="preserve">אתכם </w:t>
      </w:r>
      <w:bookmarkStart w:id="77975" w:name="_ETM_Q152_322599"/>
      <w:bookmarkEnd w:id="77975"/>
      <w:r>
        <w:rPr>
          <w:rFonts w:hint="cs"/>
          <w:rtl/>
        </w:rPr>
        <w:t xml:space="preserve">על </w:t>
      </w:r>
      <w:bookmarkStart w:id="77976" w:name="_ETM_Q152_322689"/>
      <w:bookmarkEnd w:id="77976"/>
      <w:r>
        <w:rPr>
          <w:rFonts w:hint="cs"/>
          <w:rtl/>
        </w:rPr>
        <w:t xml:space="preserve">המעשים </w:t>
      </w:r>
      <w:bookmarkStart w:id="77977" w:name="_ETM_Q152_323349"/>
      <w:bookmarkEnd w:id="77977"/>
      <w:r>
        <w:rPr>
          <w:rFonts w:hint="cs"/>
          <w:rtl/>
        </w:rPr>
        <w:t xml:space="preserve">הרעים </w:t>
      </w:r>
      <w:bookmarkStart w:id="77978" w:name="_ETM_Q152_323860"/>
      <w:bookmarkEnd w:id="77978"/>
      <w:r>
        <w:rPr>
          <w:rFonts w:hint="cs"/>
          <w:rtl/>
        </w:rPr>
        <w:t xml:space="preserve">והיהירים </w:t>
      </w:r>
      <w:bookmarkStart w:id="77979" w:name="_ETM_Q152_324579"/>
      <w:bookmarkEnd w:id="77979"/>
      <w:r>
        <w:rPr>
          <w:rFonts w:hint="cs"/>
          <w:rtl/>
        </w:rPr>
        <w:t>שלכם</w:t>
      </w:r>
      <w:r w:rsidR="001D559F">
        <w:rPr>
          <w:rFonts w:hint="cs"/>
          <w:rtl/>
        </w:rPr>
        <w:t>,</w:t>
      </w:r>
      <w:r>
        <w:rPr>
          <w:rFonts w:hint="cs"/>
          <w:rtl/>
        </w:rPr>
        <w:t xml:space="preserve"> </w:t>
      </w:r>
      <w:bookmarkStart w:id="77980" w:name="_ETM_Q152_325450"/>
      <w:bookmarkEnd w:id="77980"/>
      <w:r>
        <w:rPr>
          <w:rFonts w:hint="cs"/>
          <w:rtl/>
        </w:rPr>
        <w:t xml:space="preserve">וכן, </w:t>
      </w:r>
      <w:bookmarkStart w:id="77981" w:name="_ETM_Q152_326079"/>
      <w:bookmarkEnd w:id="77981"/>
      <w:r>
        <w:rPr>
          <w:rFonts w:hint="cs"/>
          <w:rtl/>
        </w:rPr>
        <w:t xml:space="preserve">גם </w:t>
      </w:r>
      <w:bookmarkStart w:id="77982" w:name="_ETM_Q152_326530"/>
      <w:bookmarkEnd w:id="77982"/>
      <w:r>
        <w:rPr>
          <w:rFonts w:hint="cs"/>
          <w:rtl/>
        </w:rPr>
        <w:t xml:space="preserve">על </w:t>
      </w:r>
      <w:bookmarkStart w:id="77983" w:name="_ETM_Q152_326650"/>
      <w:bookmarkEnd w:id="77983"/>
      <w:r>
        <w:rPr>
          <w:rFonts w:hint="cs"/>
          <w:rtl/>
        </w:rPr>
        <w:t xml:space="preserve">הדרך </w:t>
      </w:r>
      <w:bookmarkStart w:id="77984" w:name="_ETM_Q152_327129"/>
      <w:bookmarkEnd w:id="77984"/>
      <w:r>
        <w:rPr>
          <w:rFonts w:hint="cs"/>
          <w:rtl/>
        </w:rPr>
        <w:t xml:space="preserve">שבה </w:t>
      </w:r>
      <w:bookmarkStart w:id="77985" w:name="_ETM_Q152_327519"/>
      <w:bookmarkEnd w:id="77985"/>
      <w:r>
        <w:rPr>
          <w:rFonts w:hint="cs"/>
          <w:rtl/>
        </w:rPr>
        <w:t xml:space="preserve">אתם </w:t>
      </w:r>
      <w:bookmarkStart w:id="77986" w:name="_ETM_Q152_327730"/>
      <w:bookmarkEnd w:id="77986"/>
      <w:r>
        <w:rPr>
          <w:rFonts w:hint="cs"/>
          <w:rtl/>
        </w:rPr>
        <w:t xml:space="preserve">עושים </w:t>
      </w:r>
      <w:bookmarkStart w:id="77987" w:name="_ETM_Q152_328060"/>
      <w:bookmarkEnd w:id="77987"/>
      <w:r>
        <w:rPr>
          <w:rFonts w:hint="cs"/>
          <w:rtl/>
        </w:rPr>
        <w:t xml:space="preserve">את </w:t>
      </w:r>
      <w:bookmarkStart w:id="77988" w:name="_ETM_Q152_328150"/>
      <w:bookmarkEnd w:id="77988"/>
      <w:r>
        <w:rPr>
          <w:rFonts w:hint="cs"/>
          <w:rtl/>
        </w:rPr>
        <w:t>זה</w:t>
      </w:r>
      <w:r w:rsidR="001D559F">
        <w:rPr>
          <w:rFonts w:hint="cs"/>
          <w:rtl/>
        </w:rPr>
        <w:t>:</w:t>
      </w:r>
      <w:r>
        <w:rPr>
          <w:rFonts w:hint="cs"/>
          <w:rtl/>
        </w:rPr>
        <w:t xml:space="preserve"> </w:t>
      </w:r>
      <w:bookmarkStart w:id="77989" w:name="_ETM_Q152_328629"/>
      <w:bookmarkEnd w:id="77989"/>
      <w:r>
        <w:rPr>
          <w:rFonts w:hint="cs"/>
          <w:rtl/>
        </w:rPr>
        <w:t>הכוחנות</w:t>
      </w:r>
      <w:bookmarkStart w:id="77990" w:name="_ETM_Q152_329360"/>
      <w:bookmarkStart w:id="77991" w:name="_ETM_Q152_330230"/>
      <w:bookmarkEnd w:id="77990"/>
      <w:bookmarkEnd w:id="77991"/>
      <w:r>
        <w:rPr>
          <w:rFonts w:hint="cs"/>
          <w:rtl/>
        </w:rPr>
        <w:t xml:space="preserve">, החמדנות, </w:t>
      </w:r>
      <w:bookmarkStart w:id="77992" w:name="_ETM_Q152_331620"/>
      <w:bookmarkEnd w:id="77992"/>
      <w:r>
        <w:rPr>
          <w:rFonts w:hint="cs"/>
          <w:rtl/>
        </w:rPr>
        <w:t xml:space="preserve">הכבוד </w:t>
      </w:r>
      <w:bookmarkStart w:id="77993" w:name="_ETM_Q152_332280"/>
      <w:bookmarkEnd w:id="77993"/>
      <w:r>
        <w:rPr>
          <w:rFonts w:hint="cs"/>
          <w:rtl/>
        </w:rPr>
        <w:t xml:space="preserve">המזויף </w:t>
      </w:r>
      <w:bookmarkStart w:id="77994" w:name="_ETM_Q152_333090"/>
      <w:bookmarkEnd w:id="77994"/>
      <w:r>
        <w:rPr>
          <w:rFonts w:hint="cs"/>
          <w:rtl/>
        </w:rPr>
        <w:t xml:space="preserve">הזה, </w:t>
      </w:r>
      <w:bookmarkStart w:id="77995" w:name="_ETM_Q152_333169"/>
      <w:bookmarkStart w:id="77996" w:name="_ETM_Q152_334010"/>
      <w:bookmarkEnd w:id="77995"/>
      <w:bookmarkEnd w:id="77996"/>
      <w:r>
        <w:rPr>
          <w:rFonts w:hint="cs"/>
          <w:rtl/>
        </w:rPr>
        <w:t xml:space="preserve">שבו </w:t>
      </w:r>
      <w:bookmarkStart w:id="77997" w:name="_ETM_Q152_334490"/>
      <w:bookmarkEnd w:id="77997"/>
      <w:r>
        <w:rPr>
          <w:rFonts w:hint="cs"/>
          <w:rtl/>
        </w:rPr>
        <w:t xml:space="preserve">אתם </w:t>
      </w:r>
      <w:bookmarkStart w:id="77998" w:name="_ETM_Q152_334730"/>
      <w:bookmarkEnd w:id="77998"/>
      <w:r>
        <w:rPr>
          <w:rFonts w:hint="cs"/>
          <w:rtl/>
        </w:rPr>
        <w:t xml:space="preserve">כאילו </w:t>
      </w:r>
      <w:bookmarkStart w:id="77999" w:name="_ETM_Q152_335060"/>
      <w:bookmarkEnd w:id="77999"/>
      <w:r>
        <w:rPr>
          <w:rFonts w:hint="cs"/>
          <w:rtl/>
        </w:rPr>
        <w:t>מתהדרים</w:t>
      </w:r>
      <w:r w:rsidR="001D559F">
        <w:rPr>
          <w:rFonts w:hint="cs"/>
          <w:rtl/>
        </w:rPr>
        <w:t xml:space="preserve">. </w:t>
      </w:r>
      <w:bookmarkStart w:id="78000" w:name="_ETM_Q152_336480"/>
      <w:bookmarkEnd w:id="78000"/>
      <w:r>
        <w:rPr>
          <w:rFonts w:hint="cs"/>
          <w:rtl/>
        </w:rPr>
        <w:t xml:space="preserve">זאת </w:t>
      </w:r>
      <w:bookmarkStart w:id="78001" w:name="_ETM_Q152_337019"/>
      <w:bookmarkEnd w:id="78001"/>
      <w:r>
        <w:rPr>
          <w:rFonts w:hint="cs"/>
          <w:rtl/>
        </w:rPr>
        <w:t xml:space="preserve">הממשלה </w:t>
      </w:r>
      <w:bookmarkStart w:id="78002" w:name="_ETM_Q152_338129"/>
      <w:bookmarkEnd w:id="78002"/>
      <w:r>
        <w:rPr>
          <w:rFonts w:hint="cs"/>
          <w:rtl/>
        </w:rPr>
        <w:t xml:space="preserve">שאתם </w:t>
      </w:r>
      <w:bookmarkStart w:id="78003" w:name="_ETM_Q152_338459"/>
      <w:bookmarkEnd w:id="78003"/>
      <w:r>
        <w:rPr>
          <w:rFonts w:hint="cs"/>
          <w:rtl/>
        </w:rPr>
        <w:t xml:space="preserve">מתהדרים </w:t>
      </w:r>
      <w:bookmarkStart w:id="78004" w:name="_ETM_Q152_339060"/>
      <w:bookmarkEnd w:id="78004"/>
      <w:r>
        <w:rPr>
          <w:rFonts w:hint="cs"/>
          <w:rtl/>
        </w:rPr>
        <w:t xml:space="preserve">בה, </w:t>
      </w:r>
      <w:bookmarkStart w:id="78005" w:name="_ETM_Q152_339599"/>
      <w:bookmarkEnd w:id="78005"/>
      <w:r>
        <w:rPr>
          <w:rFonts w:hint="cs"/>
          <w:rtl/>
        </w:rPr>
        <w:t xml:space="preserve">שהיא </w:t>
      </w:r>
      <w:bookmarkStart w:id="78006" w:name="_ETM_Q152_340200"/>
      <w:bookmarkEnd w:id="78006"/>
      <w:r>
        <w:rPr>
          <w:rFonts w:hint="cs"/>
          <w:rtl/>
        </w:rPr>
        <w:t xml:space="preserve">גולת </w:t>
      </w:r>
      <w:bookmarkStart w:id="78007" w:name="_ETM_Q152_340610"/>
      <w:bookmarkEnd w:id="78007"/>
      <w:r>
        <w:rPr>
          <w:rFonts w:hint="cs"/>
          <w:rtl/>
        </w:rPr>
        <w:t xml:space="preserve">הכותרת </w:t>
      </w:r>
      <w:bookmarkStart w:id="78008" w:name="_ETM_Q152_341180"/>
      <w:bookmarkEnd w:id="78008"/>
      <w:r>
        <w:rPr>
          <w:rFonts w:hint="cs"/>
          <w:rtl/>
        </w:rPr>
        <w:t xml:space="preserve">של </w:t>
      </w:r>
      <w:bookmarkStart w:id="78009" w:name="_ETM_Q152_341330"/>
      <w:bookmarkEnd w:id="78009"/>
      <w:r>
        <w:rPr>
          <w:rFonts w:hint="cs"/>
          <w:rtl/>
        </w:rPr>
        <w:t xml:space="preserve">הזהות </w:t>
      </w:r>
      <w:bookmarkStart w:id="78010" w:name="_ETM_Q152_341769"/>
      <w:bookmarkEnd w:id="78010"/>
      <w:r>
        <w:rPr>
          <w:rFonts w:hint="cs"/>
          <w:rtl/>
        </w:rPr>
        <w:t xml:space="preserve">היהודית? </w:t>
      </w:r>
      <w:bookmarkStart w:id="78011" w:name="_ETM_Q152_343059"/>
      <w:bookmarkEnd w:id="78011"/>
      <w:r>
        <w:rPr>
          <w:rFonts w:hint="cs"/>
          <w:rtl/>
        </w:rPr>
        <w:t xml:space="preserve">ככה </w:t>
      </w:r>
      <w:bookmarkStart w:id="78012" w:name="_ETM_Q152_343480"/>
      <w:bookmarkEnd w:id="78012"/>
      <w:r>
        <w:rPr>
          <w:rFonts w:hint="cs"/>
          <w:rtl/>
        </w:rPr>
        <w:t>נרא</w:t>
      </w:r>
      <w:bookmarkStart w:id="78013" w:name="_ETM_Q152_343719"/>
      <w:bookmarkStart w:id="78014" w:name="_ETM_Q152_343779"/>
      <w:bookmarkEnd w:id="78013"/>
      <w:bookmarkEnd w:id="78014"/>
      <w:r>
        <w:rPr>
          <w:rFonts w:hint="cs"/>
          <w:rtl/>
        </w:rPr>
        <w:t xml:space="preserve">ית הזהות </w:t>
      </w:r>
      <w:bookmarkStart w:id="78015" w:name="_ETM_Q152_344169"/>
      <w:bookmarkEnd w:id="78015"/>
      <w:r>
        <w:rPr>
          <w:rFonts w:hint="cs"/>
          <w:rtl/>
        </w:rPr>
        <w:t xml:space="preserve">היהודית? </w:t>
      </w:r>
      <w:bookmarkStart w:id="78016" w:name="_ETM_Q152_345430"/>
      <w:bookmarkEnd w:id="78016"/>
      <w:r>
        <w:rPr>
          <w:rFonts w:hint="cs"/>
          <w:rtl/>
        </w:rPr>
        <w:t xml:space="preserve">אז </w:t>
      </w:r>
      <w:bookmarkStart w:id="78017" w:name="_ETM_Q152_345639"/>
      <w:bookmarkEnd w:id="78017"/>
      <w:r>
        <w:rPr>
          <w:rFonts w:hint="cs"/>
          <w:rtl/>
        </w:rPr>
        <w:t xml:space="preserve">מה </w:t>
      </w:r>
      <w:bookmarkStart w:id="78018" w:name="_ETM_Q152_345849"/>
      <w:bookmarkEnd w:id="78018"/>
      <w:r>
        <w:rPr>
          <w:rFonts w:hint="cs"/>
          <w:rtl/>
        </w:rPr>
        <w:t>אני</w:t>
      </w:r>
      <w:r w:rsidR="001D559F">
        <w:rPr>
          <w:rFonts w:hint="cs"/>
          <w:rtl/>
        </w:rPr>
        <w:t>,</w:t>
      </w:r>
      <w:r>
        <w:rPr>
          <w:rFonts w:hint="cs"/>
          <w:rtl/>
        </w:rPr>
        <w:t xml:space="preserve"> </w:t>
      </w:r>
      <w:bookmarkStart w:id="78019" w:name="_ETM_Q152_347019"/>
      <w:bookmarkEnd w:id="78019"/>
      <w:r>
        <w:rPr>
          <w:rFonts w:hint="cs"/>
          <w:rtl/>
        </w:rPr>
        <w:t xml:space="preserve">מה </w:t>
      </w:r>
      <w:bookmarkStart w:id="78020" w:name="_ETM_Q152_347260"/>
      <w:bookmarkEnd w:id="78020"/>
      <w:r>
        <w:rPr>
          <w:rFonts w:hint="cs"/>
          <w:rtl/>
        </w:rPr>
        <w:t xml:space="preserve">כל </w:t>
      </w:r>
      <w:bookmarkStart w:id="78021" w:name="_ETM_Q152_347469"/>
      <w:bookmarkEnd w:id="78021"/>
      <w:r>
        <w:rPr>
          <w:rFonts w:hint="cs"/>
          <w:rtl/>
        </w:rPr>
        <w:t xml:space="preserve">האנשים </w:t>
      </w:r>
      <w:bookmarkStart w:id="78022" w:name="_ETM_Q152_347919"/>
      <w:bookmarkEnd w:id="78022"/>
      <w:r>
        <w:rPr>
          <w:rFonts w:hint="cs"/>
          <w:rtl/>
        </w:rPr>
        <w:t xml:space="preserve">האלה </w:t>
      </w:r>
      <w:bookmarkStart w:id="78023" w:name="_ETM_Q152_348129"/>
      <w:bookmarkEnd w:id="78023"/>
      <w:r>
        <w:rPr>
          <w:rFonts w:hint="cs"/>
          <w:rtl/>
        </w:rPr>
        <w:t xml:space="preserve">בחוץ? </w:t>
      </w:r>
      <w:bookmarkStart w:id="78024" w:name="_ETM_Q152_348819"/>
      <w:bookmarkEnd w:id="78024"/>
      <w:r>
        <w:rPr>
          <w:rFonts w:hint="cs"/>
          <w:rtl/>
        </w:rPr>
        <w:t xml:space="preserve">לא </w:t>
      </w:r>
      <w:bookmarkStart w:id="78025" w:name="_ETM_Q152_349090"/>
      <w:bookmarkEnd w:id="78025"/>
      <w:r>
        <w:rPr>
          <w:rFonts w:hint="cs"/>
          <w:rtl/>
        </w:rPr>
        <w:t xml:space="preserve">יהודים </w:t>
      </w:r>
      <w:bookmarkStart w:id="78026" w:name="_ETM_Q152_349599"/>
      <w:bookmarkEnd w:id="78026"/>
      <w:r>
        <w:rPr>
          <w:rFonts w:hint="cs"/>
          <w:rtl/>
        </w:rPr>
        <w:t xml:space="preserve">בעיניכם? </w:t>
      </w:r>
      <w:bookmarkStart w:id="78027" w:name="_ETM_Q152_351099"/>
      <w:bookmarkEnd w:id="78027"/>
      <w:r>
        <w:rPr>
          <w:rFonts w:hint="cs"/>
          <w:rtl/>
        </w:rPr>
        <w:t xml:space="preserve">איזה </w:t>
      </w:r>
      <w:bookmarkStart w:id="78028" w:name="_ETM_Q152_351459"/>
      <w:bookmarkEnd w:id="78028"/>
      <w:r>
        <w:rPr>
          <w:rFonts w:hint="cs"/>
          <w:rtl/>
        </w:rPr>
        <w:t xml:space="preserve">ביזיון. </w:t>
      </w:r>
      <w:bookmarkStart w:id="78029" w:name="_ETM_Q152_354269"/>
      <w:bookmarkEnd w:id="78029"/>
    </w:p>
    <w:p w:rsidR="00BB59CD" w:rsidRDefault="00BB59CD" w:rsidP="00BB59CD">
      <w:pPr>
        <w:rPr>
          <w:rtl/>
        </w:rPr>
      </w:pPr>
      <w:bookmarkStart w:id="78030" w:name="_ETM_Q152_356320"/>
      <w:bookmarkStart w:id="78031" w:name="_ETM_Q152_356385"/>
      <w:bookmarkEnd w:id="78030"/>
      <w:bookmarkEnd w:id="78031"/>
    </w:p>
    <w:p w:rsidR="00BB59CD" w:rsidRDefault="00BB59CD" w:rsidP="001D559F">
      <w:pPr>
        <w:rPr>
          <w:rtl/>
        </w:rPr>
      </w:pPr>
      <w:bookmarkStart w:id="78032" w:name="_ETM_Q152_356504"/>
      <w:bookmarkStart w:id="78033" w:name="_ETM_Q152_356561"/>
      <w:bookmarkEnd w:id="78032"/>
      <w:bookmarkEnd w:id="78033"/>
      <w:r>
        <w:rPr>
          <w:rFonts w:hint="cs"/>
          <w:rtl/>
        </w:rPr>
        <w:t xml:space="preserve">אתמול </w:t>
      </w:r>
      <w:bookmarkStart w:id="78034" w:name="_ETM_Q152_354750"/>
      <w:bookmarkEnd w:id="78034"/>
      <w:r>
        <w:rPr>
          <w:rFonts w:hint="cs"/>
          <w:rtl/>
        </w:rPr>
        <w:t xml:space="preserve">היה </w:t>
      </w:r>
      <w:bookmarkStart w:id="78035" w:name="_ETM_Q152_354959"/>
      <w:bookmarkEnd w:id="78035"/>
      <w:r>
        <w:rPr>
          <w:rFonts w:hint="cs"/>
          <w:rtl/>
        </w:rPr>
        <w:t xml:space="preserve">רגע </w:t>
      </w:r>
      <w:bookmarkStart w:id="78036" w:name="_ETM_Q152_356010"/>
      <w:bookmarkEnd w:id="78036"/>
      <w:r>
        <w:rPr>
          <w:rFonts w:hint="cs"/>
          <w:rtl/>
        </w:rPr>
        <w:t xml:space="preserve">שנצרב. </w:t>
      </w:r>
      <w:bookmarkStart w:id="78037" w:name="_ETM_Q152_356760"/>
      <w:bookmarkEnd w:id="78037"/>
      <w:r>
        <w:rPr>
          <w:rFonts w:hint="cs"/>
          <w:rtl/>
        </w:rPr>
        <w:t xml:space="preserve">לפעמים </w:t>
      </w:r>
      <w:bookmarkStart w:id="78038" w:name="_ETM_Q152_357060"/>
      <w:bookmarkEnd w:id="78038"/>
      <w:r>
        <w:rPr>
          <w:rFonts w:hint="cs"/>
          <w:rtl/>
        </w:rPr>
        <w:t xml:space="preserve">יש </w:t>
      </w:r>
      <w:bookmarkStart w:id="78039" w:name="_ETM_Q152_357230"/>
      <w:bookmarkEnd w:id="78039"/>
      <w:r>
        <w:rPr>
          <w:rFonts w:hint="cs"/>
          <w:rtl/>
        </w:rPr>
        <w:t xml:space="preserve">תמונה </w:t>
      </w:r>
      <w:bookmarkStart w:id="78040" w:name="_ETM_Q152_357620"/>
      <w:bookmarkEnd w:id="78040"/>
      <w:r>
        <w:rPr>
          <w:rFonts w:hint="cs"/>
          <w:rtl/>
        </w:rPr>
        <w:t xml:space="preserve">אחת </w:t>
      </w:r>
      <w:bookmarkStart w:id="78041" w:name="_ETM_Q152_358069"/>
      <w:bookmarkEnd w:id="78041"/>
      <w:r>
        <w:rPr>
          <w:rFonts w:hint="cs"/>
          <w:rtl/>
        </w:rPr>
        <w:t xml:space="preserve">שנצרבת. </w:t>
      </w:r>
      <w:bookmarkStart w:id="78042" w:name="_ETM_Q152_358970"/>
      <w:bookmarkEnd w:id="78042"/>
      <w:r>
        <w:rPr>
          <w:rFonts w:hint="cs"/>
          <w:rtl/>
        </w:rPr>
        <w:t xml:space="preserve">היו </w:t>
      </w:r>
      <w:bookmarkStart w:id="78043" w:name="_ETM_Q152_359209"/>
      <w:bookmarkEnd w:id="78043"/>
      <w:r>
        <w:rPr>
          <w:rFonts w:hint="cs"/>
          <w:rtl/>
        </w:rPr>
        <w:t xml:space="preserve">הרבה </w:t>
      </w:r>
      <w:bookmarkStart w:id="78044" w:name="_ETM_Q152_359540"/>
      <w:bookmarkEnd w:id="78044"/>
      <w:r>
        <w:rPr>
          <w:rFonts w:hint="cs"/>
          <w:rtl/>
        </w:rPr>
        <w:t xml:space="preserve">כאלה </w:t>
      </w:r>
      <w:bookmarkStart w:id="78045" w:name="_ETM_Q152_359870"/>
      <w:bookmarkEnd w:id="78045"/>
      <w:r>
        <w:rPr>
          <w:rFonts w:hint="cs"/>
          <w:rtl/>
        </w:rPr>
        <w:t xml:space="preserve">בחצי </w:t>
      </w:r>
      <w:bookmarkStart w:id="78046" w:name="_ETM_Q152_360200"/>
      <w:bookmarkEnd w:id="78046"/>
      <w:r>
        <w:rPr>
          <w:rFonts w:hint="cs"/>
          <w:rtl/>
        </w:rPr>
        <w:t xml:space="preserve">שנה </w:t>
      </w:r>
      <w:bookmarkStart w:id="78047" w:name="_ETM_Q152_360440"/>
      <w:bookmarkEnd w:id="78047"/>
      <w:r>
        <w:rPr>
          <w:rFonts w:hint="cs"/>
          <w:rtl/>
        </w:rPr>
        <w:t xml:space="preserve">האחרונה. </w:t>
      </w:r>
      <w:bookmarkStart w:id="78048" w:name="_ETM_Q152_361660"/>
      <w:bookmarkEnd w:id="78048"/>
      <w:r>
        <w:rPr>
          <w:rFonts w:hint="cs"/>
          <w:rtl/>
        </w:rPr>
        <w:t xml:space="preserve">אתמול, </w:t>
      </w:r>
      <w:bookmarkStart w:id="78049" w:name="_ETM_Q152_362260"/>
      <w:bookmarkEnd w:id="78049"/>
      <w:r>
        <w:rPr>
          <w:rFonts w:hint="cs"/>
          <w:rtl/>
        </w:rPr>
        <w:t xml:space="preserve">כשהתקיימו </w:t>
      </w:r>
      <w:bookmarkStart w:id="78050" w:name="_ETM_Q152_363209"/>
      <w:bookmarkEnd w:id="78050"/>
      <w:r>
        <w:rPr>
          <w:rFonts w:hint="cs"/>
          <w:rtl/>
        </w:rPr>
        <w:t xml:space="preserve">שתי </w:t>
      </w:r>
      <w:bookmarkStart w:id="78051" w:name="_ETM_Q152_363810"/>
      <w:bookmarkEnd w:id="78051"/>
      <w:r>
        <w:rPr>
          <w:rFonts w:hint="cs"/>
          <w:rtl/>
        </w:rPr>
        <w:t>ההפגנות</w:t>
      </w:r>
      <w:bookmarkStart w:id="78052" w:name="_ETM_Q152_364530"/>
      <w:bookmarkStart w:id="78053" w:name="_ETM_Q152_365310"/>
      <w:bookmarkEnd w:id="78052"/>
      <w:bookmarkEnd w:id="78053"/>
      <w:r>
        <w:rPr>
          <w:rFonts w:hint="cs"/>
          <w:rtl/>
        </w:rPr>
        <w:t xml:space="preserve"> זו מול זו, בירושלים </w:t>
      </w:r>
      <w:bookmarkStart w:id="78054" w:name="_ETM_Q152_365989"/>
      <w:bookmarkEnd w:id="78054"/>
      <w:r>
        <w:rPr>
          <w:rFonts w:hint="cs"/>
          <w:rtl/>
        </w:rPr>
        <w:t xml:space="preserve">ובתל </w:t>
      </w:r>
      <w:bookmarkStart w:id="78055" w:name="_ETM_Q152_366379"/>
      <w:bookmarkEnd w:id="78055"/>
      <w:r>
        <w:rPr>
          <w:rFonts w:hint="cs"/>
          <w:rtl/>
        </w:rPr>
        <w:t xml:space="preserve">אביב, </w:t>
      </w:r>
      <w:bookmarkStart w:id="78056" w:name="_ETM_Q152_367490"/>
      <w:bookmarkEnd w:id="78056"/>
      <w:r>
        <w:rPr>
          <w:rFonts w:hint="cs"/>
          <w:rtl/>
        </w:rPr>
        <w:t xml:space="preserve">היו </w:t>
      </w:r>
      <w:bookmarkStart w:id="78057" w:name="_ETM_Q152_367910"/>
      <w:bookmarkEnd w:id="78057"/>
      <w:r>
        <w:rPr>
          <w:rFonts w:hint="cs"/>
          <w:rtl/>
        </w:rPr>
        <w:t xml:space="preserve">הפגנות </w:t>
      </w:r>
      <w:bookmarkStart w:id="78058" w:name="_ETM_Q152_368650"/>
      <w:bookmarkEnd w:id="78058"/>
      <w:r>
        <w:rPr>
          <w:rFonts w:hint="cs"/>
          <w:rtl/>
        </w:rPr>
        <w:t xml:space="preserve">מאוד </w:t>
      </w:r>
      <w:bookmarkStart w:id="78059" w:name="_ETM_Q152_368860"/>
      <w:bookmarkEnd w:id="78059"/>
      <w:r>
        <w:rPr>
          <w:rFonts w:hint="cs"/>
          <w:rtl/>
        </w:rPr>
        <w:t xml:space="preserve">מאוד </w:t>
      </w:r>
      <w:bookmarkStart w:id="78060" w:name="_ETM_Q152_369099"/>
      <w:bookmarkEnd w:id="78060"/>
      <w:r>
        <w:rPr>
          <w:rFonts w:hint="cs"/>
          <w:rtl/>
        </w:rPr>
        <w:t>חשובות</w:t>
      </w:r>
      <w:bookmarkStart w:id="78061" w:name="_ETM_Q152_369610"/>
      <w:bookmarkStart w:id="78062" w:name="_ETM_Q152_370840"/>
      <w:bookmarkEnd w:id="78061"/>
      <w:bookmarkEnd w:id="78062"/>
      <w:r>
        <w:rPr>
          <w:rFonts w:hint="cs"/>
          <w:rtl/>
        </w:rPr>
        <w:t xml:space="preserve">, שתיהן. נותנת </w:t>
      </w:r>
      <w:bookmarkStart w:id="78063" w:name="_ETM_Q152_371350"/>
      <w:bookmarkEnd w:id="78063"/>
      <w:r>
        <w:rPr>
          <w:rFonts w:hint="cs"/>
          <w:rtl/>
        </w:rPr>
        <w:t xml:space="preserve">כבוד. </w:t>
      </w:r>
      <w:bookmarkStart w:id="78064" w:name="_ETM_Q152_372769"/>
      <w:bookmarkEnd w:id="78064"/>
      <w:r>
        <w:rPr>
          <w:rFonts w:hint="cs"/>
          <w:rtl/>
        </w:rPr>
        <w:t xml:space="preserve">אבל </w:t>
      </w:r>
      <w:bookmarkStart w:id="78065" w:name="_ETM_Q152_373010"/>
      <w:bookmarkEnd w:id="78065"/>
      <w:r>
        <w:rPr>
          <w:rFonts w:hint="cs"/>
          <w:rtl/>
        </w:rPr>
        <w:t xml:space="preserve">הייתה </w:t>
      </w:r>
      <w:bookmarkStart w:id="78066" w:name="_ETM_Q152_373279"/>
      <w:bookmarkEnd w:id="78066"/>
      <w:r>
        <w:rPr>
          <w:rFonts w:hint="cs"/>
          <w:rtl/>
        </w:rPr>
        <w:t xml:space="preserve">שם </w:t>
      </w:r>
      <w:bookmarkStart w:id="78067" w:name="_ETM_Q152_373430"/>
      <w:bookmarkEnd w:id="78067"/>
      <w:r>
        <w:rPr>
          <w:rFonts w:hint="cs"/>
          <w:rtl/>
        </w:rPr>
        <w:t xml:space="preserve">תמונה </w:t>
      </w:r>
      <w:bookmarkStart w:id="78068" w:name="_ETM_Q152_373819"/>
      <w:bookmarkEnd w:id="78068"/>
      <w:r>
        <w:rPr>
          <w:rFonts w:hint="cs"/>
          <w:rtl/>
        </w:rPr>
        <w:t xml:space="preserve">אחת </w:t>
      </w:r>
      <w:bookmarkStart w:id="78069" w:name="_ETM_Q152_374120"/>
      <w:bookmarkEnd w:id="78069"/>
      <w:r>
        <w:rPr>
          <w:rFonts w:hint="cs"/>
          <w:rtl/>
        </w:rPr>
        <w:t xml:space="preserve">שנחקקה לי כך </w:t>
      </w:r>
      <w:bookmarkStart w:id="78070" w:name="_ETM_Q152_375680"/>
      <w:bookmarkEnd w:id="78070"/>
      <w:r>
        <w:rPr>
          <w:rFonts w:hint="cs"/>
          <w:rtl/>
        </w:rPr>
        <w:t xml:space="preserve">בראש: </w:t>
      </w:r>
      <w:bookmarkStart w:id="78071" w:name="_ETM_Q152_377379"/>
      <w:bookmarkEnd w:id="78071"/>
      <w:r>
        <w:rPr>
          <w:rFonts w:hint="cs"/>
          <w:rtl/>
        </w:rPr>
        <w:t xml:space="preserve">חלק </w:t>
      </w:r>
      <w:bookmarkStart w:id="78072" w:name="_ETM_Q152_377859"/>
      <w:bookmarkEnd w:id="78072"/>
      <w:r>
        <w:rPr>
          <w:rFonts w:hint="cs"/>
          <w:rtl/>
        </w:rPr>
        <w:t>מה</w:t>
      </w:r>
      <w:bookmarkStart w:id="78073" w:name="_ETM_Q152_378389"/>
      <w:bookmarkEnd w:id="78073"/>
      <w:r>
        <w:rPr>
          <w:rFonts w:hint="cs"/>
          <w:rtl/>
        </w:rPr>
        <w:t xml:space="preserve">מוחים </w:t>
      </w:r>
      <w:bookmarkStart w:id="78074" w:name="_ETM_Q152_379020"/>
      <w:bookmarkEnd w:id="78074"/>
      <w:r>
        <w:rPr>
          <w:rFonts w:hint="cs"/>
          <w:rtl/>
        </w:rPr>
        <w:t xml:space="preserve">בתל </w:t>
      </w:r>
      <w:bookmarkStart w:id="78075" w:name="_ETM_Q152_379335"/>
      <w:bookmarkEnd w:id="78075"/>
      <w:r>
        <w:rPr>
          <w:rFonts w:hint="cs"/>
          <w:rtl/>
        </w:rPr>
        <w:t xml:space="preserve">אביב </w:t>
      </w:r>
      <w:bookmarkStart w:id="78076" w:name="_ETM_Q152_380430"/>
      <w:bookmarkEnd w:id="78076"/>
      <w:r>
        <w:rPr>
          <w:rFonts w:hint="cs"/>
          <w:rtl/>
        </w:rPr>
        <w:t xml:space="preserve">עלו </w:t>
      </w:r>
      <w:bookmarkStart w:id="78077" w:name="_ETM_Q152_380879"/>
      <w:bookmarkEnd w:id="78077"/>
      <w:r>
        <w:rPr>
          <w:rFonts w:hint="cs"/>
          <w:rtl/>
        </w:rPr>
        <w:t xml:space="preserve">על </w:t>
      </w:r>
      <w:bookmarkStart w:id="78078" w:name="_ETM_Q152_381029"/>
      <w:bookmarkStart w:id="78079" w:name="_ETM_Q152_381739"/>
      <w:bookmarkEnd w:id="78078"/>
      <w:bookmarkEnd w:id="78079"/>
      <w:r>
        <w:rPr>
          <w:rFonts w:hint="cs"/>
          <w:rtl/>
        </w:rPr>
        <w:t xml:space="preserve">הרמזור – </w:t>
      </w:r>
      <w:bookmarkStart w:id="78080" w:name="_ETM_Q152_382430"/>
      <w:bookmarkEnd w:id="78080"/>
      <w:r>
        <w:rPr>
          <w:rFonts w:hint="cs"/>
          <w:rtl/>
        </w:rPr>
        <w:t xml:space="preserve">על </w:t>
      </w:r>
      <w:bookmarkStart w:id="78081" w:name="_ETM_Q152_382669"/>
      <w:bookmarkEnd w:id="78081"/>
      <w:r>
        <w:rPr>
          <w:rFonts w:hint="cs"/>
          <w:rtl/>
        </w:rPr>
        <w:t xml:space="preserve">איזשהו </w:t>
      </w:r>
      <w:bookmarkStart w:id="78082" w:name="_ETM_Q152_383030"/>
      <w:bookmarkEnd w:id="78082"/>
      <w:r>
        <w:rPr>
          <w:rFonts w:hint="cs"/>
          <w:rtl/>
        </w:rPr>
        <w:t xml:space="preserve">תמרור </w:t>
      </w:r>
      <w:bookmarkStart w:id="78083" w:name="_ETM_Q152_383450"/>
      <w:bookmarkEnd w:id="78083"/>
      <w:r>
        <w:rPr>
          <w:rFonts w:hint="cs"/>
          <w:rtl/>
        </w:rPr>
        <w:t xml:space="preserve">שהיה </w:t>
      </w:r>
      <w:bookmarkStart w:id="78084" w:name="_ETM_Q152_383840"/>
      <w:bookmarkEnd w:id="78084"/>
      <w:r>
        <w:rPr>
          <w:rFonts w:hint="cs"/>
          <w:rtl/>
        </w:rPr>
        <w:t xml:space="preserve">שם – </w:t>
      </w:r>
      <w:bookmarkStart w:id="78085" w:name="_ETM_Q152_384799"/>
      <w:bookmarkEnd w:id="78085"/>
      <w:r>
        <w:rPr>
          <w:rFonts w:hint="cs"/>
          <w:rtl/>
        </w:rPr>
        <w:t xml:space="preserve">והחליפו </w:t>
      </w:r>
      <w:bookmarkStart w:id="78086" w:name="_ETM_Q152_385930"/>
      <w:bookmarkEnd w:id="78086"/>
      <w:r>
        <w:rPr>
          <w:rFonts w:hint="cs"/>
          <w:rtl/>
        </w:rPr>
        <w:t xml:space="preserve">את </w:t>
      </w:r>
      <w:bookmarkStart w:id="78087" w:name="_ETM_Q152_386169"/>
      <w:bookmarkEnd w:id="78087"/>
      <w:r>
        <w:rPr>
          <w:rFonts w:hint="cs"/>
          <w:rtl/>
        </w:rPr>
        <w:t xml:space="preserve">שלט </w:t>
      </w:r>
      <w:bookmarkStart w:id="78088" w:name="_ETM_Q152_386800"/>
      <w:bookmarkEnd w:id="78088"/>
      <w:r w:rsidR="001D559F">
        <w:rPr>
          <w:rFonts w:hint="cs"/>
          <w:rtl/>
        </w:rPr>
        <w:t>ה</w:t>
      </w:r>
      <w:r>
        <w:rPr>
          <w:rFonts w:hint="cs"/>
          <w:rtl/>
        </w:rPr>
        <w:t xml:space="preserve">רחוב </w:t>
      </w:r>
      <w:bookmarkStart w:id="78089" w:name="_ETM_Q152_387400"/>
      <w:bookmarkEnd w:id="78089"/>
      <w:r>
        <w:rPr>
          <w:rFonts w:hint="cs"/>
          <w:rtl/>
        </w:rPr>
        <w:t xml:space="preserve">או </w:t>
      </w:r>
      <w:bookmarkStart w:id="78090" w:name="_ETM_Q152_387490"/>
      <w:bookmarkEnd w:id="78090"/>
      <w:r w:rsidR="001D559F">
        <w:rPr>
          <w:rFonts w:hint="cs"/>
          <w:rtl/>
        </w:rPr>
        <w:t>"</w:t>
      </w:r>
      <w:r>
        <w:rPr>
          <w:rFonts w:hint="cs"/>
          <w:rtl/>
        </w:rPr>
        <w:t xml:space="preserve">כיכר </w:t>
      </w:r>
      <w:bookmarkStart w:id="78091" w:name="_ETM_Q152_387820"/>
      <w:bookmarkEnd w:id="78091"/>
      <w:r>
        <w:rPr>
          <w:rFonts w:hint="cs"/>
          <w:rtl/>
        </w:rPr>
        <w:t>הדמוקרטיה</w:t>
      </w:r>
      <w:r w:rsidR="001D559F">
        <w:rPr>
          <w:rFonts w:hint="cs"/>
          <w:rtl/>
        </w:rPr>
        <w:t>",</w:t>
      </w:r>
      <w:r>
        <w:rPr>
          <w:rFonts w:hint="cs"/>
          <w:rtl/>
        </w:rPr>
        <w:t xml:space="preserve"> </w:t>
      </w:r>
      <w:bookmarkStart w:id="78092" w:name="_ETM_Q152_389240"/>
      <w:bookmarkEnd w:id="78092"/>
      <w:r>
        <w:rPr>
          <w:rFonts w:hint="cs"/>
          <w:rtl/>
        </w:rPr>
        <w:t xml:space="preserve">שתלה </w:t>
      </w:r>
      <w:bookmarkStart w:id="78093" w:name="_ETM_Q152_389780"/>
      <w:bookmarkEnd w:id="78093"/>
      <w:r>
        <w:rPr>
          <w:rFonts w:hint="cs"/>
          <w:rtl/>
        </w:rPr>
        <w:t xml:space="preserve">ראש </w:t>
      </w:r>
      <w:bookmarkStart w:id="78094" w:name="_ETM_Q152_390080"/>
      <w:bookmarkEnd w:id="78094"/>
      <w:r>
        <w:rPr>
          <w:rFonts w:hint="cs"/>
          <w:rtl/>
        </w:rPr>
        <w:t xml:space="preserve">העיר </w:t>
      </w:r>
      <w:bookmarkStart w:id="78095" w:name="_ETM_Q152_390470"/>
      <w:bookmarkEnd w:id="78095"/>
      <w:r>
        <w:rPr>
          <w:rFonts w:hint="cs"/>
          <w:rtl/>
        </w:rPr>
        <w:t xml:space="preserve">אחרי </w:t>
      </w:r>
      <w:bookmarkStart w:id="78096" w:name="_ETM_Q152_390740"/>
      <w:bookmarkEnd w:id="78096"/>
      <w:r>
        <w:rPr>
          <w:rFonts w:hint="cs"/>
          <w:rtl/>
        </w:rPr>
        <w:t xml:space="preserve">29 </w:t>
      </w:r>
      <w:bookmarkStart w:id="78097" w:name="_ETM_Q152_392060"/>
      <w:bookmarkEnd w:id="78097"/>
      <w:r>
        <w:rPr>
          <w:rFonts w:hint="cs"/>
          <w:rtl/>
        </w:rPr>
        <w:t xml:space="preserve">שבועות </w:t>
      </w:r>
      <w:bookmarkStart w:id="78098" w:name="_ETM_Q152_392750"/>
      <w:bookmarkEnd w:id="78098"/>
      <w:r>
        <w:rPr>
          <w:rFonts w:hint="cs"/>
          <w:rtl/>
        </w:rPr>
        <w:t xml:space="preserve">של </w:t>
      </w:r>
      <w:bookmarkStart w:id="78099" w:name="_ETM_Q152_392930"/>
      <w:bookmarkEnd w:id="78099"/>
      <w:r>
        <w:rPr>
          <w:rFonts w:hint="cs"/>
          <w:rtl/>
        </w:rPr>
        <w:t xml:space="preserve">מאבק </w:t>
      </w:r>
      <w:bookmarkStart w:id="78100" w:name="_ETM_Q152_393349"/>
      <w:bookmarkEnd w:id="78100"/>
      <w:r>
        <w:rPr>
          <w:rFonts w:hint="cs"/>
          <w:rtl/>
        </w:rPr>
        <w:t xml:space="preserve">נחוש. </w:t>
      </w:r>
      <w:bookmarkStart w:id="78101" w:name="_ETM_Q152_394600"/>
      <w:bookmarkEnd w:id="78101"/>
      <w:r>
        <w:rPr>
          <w:rFonts w:hint="cs"/>
          <w:rtl/>
        </w:rPr>
        <w:t xml:space="preserve">תלו </w:t>
      </w:r>
      <w:bookmarkStart w:id="78102" w:name="_ETM_Q152_394990"/>
      <w:bookmarkEnd w:id="78102"/>
      <w:r>
        <w:rPr>
          <w:rFonts w:hint="cs"/>
          <w:rtl/>
        </w:rPr>
        <w:t xml:space="preserve">במקום </w:t>
      </w:r>
      <w:bookmarkStart w:id="78103" w:name="_ETM_Q152_395410"/>
      <w:bookmarkEnd w:id="78103"/>
      <w:r w:rsidR="001D559F">
        <w:rPr>
          <w:rFonts w:hint="cs"/>
          <w:rtl/>
        </w:rPr>
        <w:t>"</w:t>
      </w:r>
      <w:r>
        <w:rPr>
          <w:rFonts w:hint="cs"/>
          <w:rtl/>
        </w:rPr>
        <w:t>הדמוקרטיה</w:t>
      </w:r>
      <w:r w:rsidR="001D559F">
        <w:rPr>
          <w:rFonts w:hint="cs"/>
          <w:rtl/>
        </w:rPr>
        <w:t>"</w:t>
      </w:r>
      <w:r>
        <w:rPr>
          <w:rFonts w:hint="cs"/>
          <w:rtl/>
        </w:rPr>
        <w:t xml:space="preserve"> </w:t>
      </w:r>
      <w:bookmarkStart w:id="78104" w:name="_ETM_Q152_396069"/>
      <w:bookmarkEnd w:id="78104"/>
      <w:r>
        <w:rPr>
          <w:rFonts w:hint="cs"/>
          <w:rtl/>
        </w:rPr>
        <w:t xml:space="preserve">– </w:t>
      </w:r>
      <w:bookmarkStart w:id="78105" w:name="_ETM_Q152_396700"/>
      <w:bookmarkEnd w:id="78105"/>
      <w:r w:rsidR="001D559F">
        <w:rPr>
          <w:rFonts w:hint="cs"/>
          <w:rtl/>
        </w:rPr>
        <w:t>"</w:t>
      </w:r>
      <w:r>
        <w:rPr>
          <w:rFonts w:hint="cs"/>
          <w:rtl/>
        </w:rPr>
        <w:t>הרפורמה</w:t>
      </w:r>
      <w:r w:rsidR="001D559F">
        <w:rPr>
          <w:rFonts w:hint="cs"/>
          <w:rtl/>
        </w:rPr>
        <w:t>"</w:t>
      </w:r>
      <w:r>
        <w:rPr>
          <w:rFonts w:hint="cs"/>
          <w:rtl/>
        </w:rPr>
        <w:t xml:space="preserve">. </w:t>
      </w:r>
      <w:bookmarkStart w:id="78106" w:name="_ETM_Q152_398779"/>
      <w:bookmarkStart w:id="78107" w:name="_ETM_Q152_413528"/>
      <w:bookmarkStart w:id="78108" w:name="_ETM_Q152_413578"/>
      <w:bookmarkStart w:id="78109" w:name="_ETM_Q152_413695"/>
      <w:bookmarkStart w:id="78110" w:name="_ETM_Q152_413736"/>
      <w:bookmarkEnd w:id="78106"/>
      <w:bookmarkEnd w:id="78107"/>
      <w:bookmarkEnd w:id="78108"/>
      <w:bookmarkEnd w:id="78109"/>
      <w:bookmarkEnd w:id="78110"/>
      <w:r>
        <w:rPr>
          <w:rFonts w:hint="cs"/>
          <w:rtl/>
        </w:rPr>
        <w:t xml:space="preserve">זה </w:t>
      </w:r>
      <w:bookmarkStart w:id="78111" w:name="_ETM_Q152_398959"/>
      <w:bookmarkEnd w:id="78111"/>
      <w:r>
        <w:rPr>
          <w:rFonts w:hint="cs"/>
          <w:rtl/>
        </w:rPr>
        <w:t xml:space="preserve">היה </w:t>
      </w:r>
      <w:bookmarkStart w:id="78112" w:name="_ETM_Q152_399139"/>
      <w:bookmarkEnd w:id="78112"/>
      <w:r>
        <w:rPr>
          <w:rFonts w:hint="cs"/>
          <w:rtl/>
        </w:rPr>
        <w:t xml:space="preserve">מאוד </w:t>
      </w:r>
      <w:bookmarkStart w:id="78113" w:name="_ETM_Q152_399349"/>
      <w:bookmarkEnd w:id="78113"/>
      <w:r>
        <w:rPr>
          <w:rFonts w:hint="cs"/>
          <w:rtl/>
        </w:rPr>
        <w:t xml:space="preserve">סימבולי. </w:t>
      </w:r>
      <w:bookmarkStart w:id="78114" w:name="_ETM_Q152_400500"/>
      <w:bookmarkEnd w:id="78114"/>
      <w:r>
        <w:rPr>
          <w:rFonts w:hint="cs"/>
          <w:rtl/>
        </w:rPr>
        <w:t xml:space="preserve">מאוד </w:t>
      </w:r>
      <w:bookmarkStart w:id="78115" w:name="_ETM_Q152_400860"/>
      <w:bookmarkEnd w:id="78115"/>
      <w:r>
        <w:rPr>
          <w:rFonts w:hint="cs"/>
          <w:rtl/>
        </w:rPr>
        <w:t xml:space="preserve">סימבולי </w:t>
      </w:r>
      <w:bookmarkStart w:id="78116" w:name="_ETM_Q152_401970"/>
      <w:bookmarkEnd w:id="78116"/>
      <w:r>
        <w:rPr>
          <w:rFonts w:hint="cs"/>
          <w:rtl/>
        </w:rPr>
        <w:t xml:space="preserve">למחוק </w:t>
      </w:r>
      <w:bookmarkStart w:id="78117" w:name="_ETM_Q152_402540"/>
      <w:bookmarkEnd w:id="78117"/>
      <w:r>
        <w:rPr>
          <w:rFonts w:hint="cs"/>
          <w:rtl/>
        </w:rPr>
        <w:t xml:space="preserve">בגסות, </w:t>
      </w:r>
      <w:bookmarkStart w:id="78118" w:name="_ETM_Q152_403620"/>
      <w:bookmarkEnd w:id="78118"/>
      <w:r>
        <w:rPr>
          <w:rFonts w:hint="cs"/>
          <w:rtl/>
        </w:rPr>
        <w:t xml:space="preserve">בבריונות </w:t>
      </w:r>
      <w:bookmarkStart w:id="78119" w:name="_ETM_Q152_404400"/>
      <w:bookmarkEnd w:id="78119"/>
      <w:r>
        <w:rPr>
          <w:rFonts w:hint="cs"/>
          <w:rtl/>
        </w:rPr>
        <w:t xml:space="preserve">ובכוחנות </w:t>
      </w:r>
      <w:bookmarkStart w:id="78120" w:name="_ETM_Q152_406299"/>
      <w:bookmarkEnd w:id="78120"/>
      <w:r>
        <w:rPr>
          <w:rFonts w:hint="cs"/>
          <w:rtl/>
        </w:rPr>
        <w:t xml:space="preserve">מילה </w:t>
      </w:r>
      <w:bookmarkStart w:id="78121" w:name="_ETM_Q152_407080"/>
      <w:bookmarkEnd w:id="78121"/>
      <w:r>
        <w:rPr>
          <w:rFonts w:hint="cs"/>
          <w:rtl/>
        </w:rPr>
        <w:t xml:space="preserve">שלא </w:t>
      </w:r>
      <w:bookmarkStart w:id="78122" w:name="_ETM_Q152_407560"/>
      <w:bookmarkEnd w:id="78122"/>
      <w:r>
        <w:rPr>
          <w:rFonts w:hint="cs"/>
          <w:rtl/>
        </w:rPr>
        <w:t xml:space="preserve">אמורה </w:t>
      </w:r>
      <w:bookmarkStart w:id="78123" w:name="_ETM_Q152_407860"/>
      <w:bookmarkEnd w:id="78123"/>
      <w:r>
        <w:rPr>
          <w:rFonts w:hint="cs"/>
          <w:rtl/>
        </w:rPr>
        <w:t xml:space="preserve">להיות </w:t>
      </w:r>
      <w:bookmarkStart w:id="78124" w:name="_ETM_Q152_408220"/>
      <w:bookmarkEnd w:id="78124"/>
      <w:r>
        <w:rPr>
          <w:rFonts w:hint="cs"/>
          <w:rtl/>
        </w:rPr>
        <w:t xml:space="preserve">עליה </w:t>
      </w:r>
      <w:bookmarkStart w:id="78125" w:name="_ETM_Q152_408970"/>
      <w:bookmarkEnd w:id="78125"/>
      <w:r>
        <w:rPr>
          <w:rFonts w:hint="cs"/>
          <w:rtl/>
        </w:rPr>
        <w:t xml:space="preserve">איזושהי </w:t>
      </w:r>
      <w:bookmarkStart w:id="78126" w:name="_ETM_Q152_409390"/>
      <w:bookmarkEnd w:id="78126"/>
      <w:r>
        <w:rPr>
          <w:rFonts w:hint="cs"/>
          <w:rtl/>
        </w:rPr>
        <w:t xml:space="preserve">מחלוקת. </w:t>
      </w:r>
      <w:bookmarkStart w:id="78127" w:name="_ETM_Q152_410440"/>
      <w:bookmarkEnd w:id="78127"/>
      <w:r>
        <w:rPr>
          <w:rFonts w:hint="cs"/>
          <w:rtl/>
        </w:rPr>
        <w:t xml:space="preserve">דמוקרטיה – </w:t>
      </w:r>
      <w:bookmarkStart w:id="78128" w:name="_ETM_Q152_411250"/>
      <w:bookmarkEnd w:id="78128"/>
      <w:r>
        <w:rPr>
          <w:rFonts w:hint="cs"/>
          <w:rtl/>
        </w:rPr>
        <w:t xml:space="preserve">גם </w:t>
      </w:r>
      <w:bookmarkStart w:id="78129" w:name="_ETM_Q152_411400"/>
      <w:bookmarkEnd w:id="78129"/>
      <w:r>
        <w:rPr>
          <w:rFonts w:hint="cs"/>
          <w:rtl/>
        </w:rPr>
        <w:t>את</w:t>
      </w:r>
      <w:bookmarkStart w:id="78130" w:name="_ETM_Q152_411989"/>
      <w:bookmarkStart w:id="78131" w:name="_ETM_Q152_412139"/>
      <w:bookmarkEnd w:id="78130"/>
      <w:bookmarkEnd w:id="78131"/>
      <w:r>
        <w:rPr>
          <w:rFonts w:hint="cs"/>
          <w:rtl/>
        </w:rPr>
        <w:t xml:space="preserve">ם נלחמים על </w:t>
      </w:r>
      <w:bookmarkStart w:id="78132" w:name="_ETM_Q152_415493"/>
      <w:bookmarkEnd w:id="78132"/>
      <w:r>
        <w:rPr>
          <w:rFonts w:hint="cs"/>
          <w:rtl/>
        </w:rPr>
        <w:t xml:space="preserve">הדמוקרטיה, </w:t>
      </w:r>
      <w:bookmarkStart w:id="78133" w:name="_ETM_Q152_412980"/>
      <w:bookmarkEnd w:id="78133"/>
      <w:r>
        <w:rPr>
          <w:rFonts w:hint="cs"/>
          <w:rtl/>
        </w:rPr>
        <w:t xml:space="preserve">אז </w:t>
      </w:r>
      <w:bookmarkStart w:id="78134" w:name="_ETM_Q152_413220"/>
      <w:bookmarkEnd w:id="78134"/>
      <w:r>
        <w:rPr>
          <w:rFonts w:hint="cs"/>
          <w:rtl/>
        </w:rPr>
        <w:t xml:space="preserve">מה </w:t>
      </w:r>
      <w:bookmarkStart w:id="78135" w:name="_ETM_Q152_413340"/>
      <w:bookmarkEnd w:id="78135"/>
      <w:r>
        <w:rPr>
          <w:rFonts w:hint="cs"/>
          <w:rtl/>
        </w:rPr>
        <w:t xml:space="preserve">אתם </w:t>
      </w:r>
      <w:bookmarkStart w:id="78136" w:name="_ETM_Q152_413489"/>
      <w:bookmarkEnd w:id="78136"/>
      <w:r>
        <w:rPr>
          <w:rFonts w:hint="cs"/>
          <w:rtl/>
        </w:rPr>
        <w:t xml:space="preserve">מורידים </w:t>
      </w:r>
      <w:bookmarkStart w:id="78137" w:name="_ETM_Q152_413819"/>
      <w:bookmarkEnd w:id="78137"/>
      <w:r>
        <w:rPr>
          <w:rFonts w:hint="cs"/>
          <w:rtl/>
        </w:rPr>
        <w:t xml:space="preserve">את </w:t>
      </w:r>
      <w:bookmarkStart w:id="78138" w:name="_ETM_Q152_413940"/>
      <w:bookmarkEnd w:id="78138"/>
      <w:r>
        <w:rPr>
          <w:rFonts w:hint="cs"/>
          <w:rtl/>
        </w:rPr>
        <w:t xml:space="preserve">הסמל? </w:t>
      </w:r>
      <w:bookmarkStart w:id="78139" w:name="_ETM_Q152_415140"/>
      <w:bookmarkEnd w:id="78139"/>
      <w:r>
        <w:rPr>
          <w:rFonts w:hint="cs"/>
          <w:rtl/>
        </w:rPr>
        <w:t xml:space="preserve">זאת </w:t>
      </w:r>
      <w:bookmarkStart w:id="78140" w:name="_ETM_Q152_415349"/>
      <w:bookmarkEnd w:id="78140"/>
      <w:r>
        <w:rPr>
          <w:rFonts w:hint="cs"/>
          <w:rtl/>
        </w:rPr>
        <w:t xml:space="preserve">מילה </w:t>
      </w:r>
      <w:bookmarkStart w:id="78141" w:name="_ETM_Q152_415650"/>
      <w:bookmarkEnd w:id="78141"/>
      <w:r>
        <w:rPr>
          <w:rFonts w:hint="cs"/>
          <w:rtl/>
        </w:rPr>
        <w:t xml:space="preserve">שאתם </w:t>
      </w:r>
      <w:bookmarkStart w:id="78142" w:name="_ETM_Q152_415920"/>
      <w:bookmarkEnd w:id="78142"/>
      <w:r>
        <w:rPr>
          <w:rFonts w:hint="cs"/>
          <w:rtl/>
        </w:rPr>
        <w:t xml:space="preserve">אמורים </w:t>
      </w:r>
      <w:bookmarkStart w:id="78143" w:name="_ETM_Q152_416220"/>
      <w:bookmarkEnd w:id="78143"/>
      <w:r>
        <w:rPr>
          <w:rFonts w:hint="cs"/>
          <w:rtl/>
        </w:rPr>
        <w:t xml:space="preserve">להסכים </w:t>
      </w:r>
      <w:bookmarkStart w:id="78144" w:name="_ETM_Q152_416610"/>
      <w:bookmarkEnd w:id="78144"/>
      <w:r>
        <w:rPr>
          <w:rFonts w:hint="cs"/>
          <w:rtl/>
        </w:rPr>
        <w:t xml:space="preserve">איתה. </w:t>
      </w:r>
      <w:bookmarkStart w:id="78145" w:name="_ETM_Q152_418139"/>
      <w:bookmarkEnd w:id="78145"/>
      <w:r>
        <w:rPr>
          <w:rFonts w:hint="cs"/>
          <w:rtl/>
        </w:rPr>
        <w:t xml:space="preserve">אבל </w:t>
      </w:r>
      <w:bookmarkStart w:id="78146" w:name="_ETM_Q152_418409"/>
      <w:bookmarkEnd w:id="78146"/>
      <w:r>
        <w:rPr>
          <w:rFonts w:hint="cs"/>
          <w:rtl/>
        </w:rPr>
        <w:t xml:space="preserve">החלטתם </w:t>
      </w:r>
      <w:bookmarkStart w:id="78147" w:name="_ETM_Q152_418950"/>
      <w:bookmarkEnd w:id="78147"/>
      <w:r>
        <w:rPr>
          <w:rFonts w:hint="cs"/>
          <w:rtl/>
        </w:rPr>
        <w:t xml:space="preserve">להוריד </w:t>
      </w:r>
      <w:bookmarkStart w:id="78148" w:name="_ETM_Q152_419279"/>
      <w:bookmarkEnd w:id="78148"/>
      <w:r>
        <w:rPr>
          <w:rFonts w:hint="cs"/>
          <w:rtl/>
        </w:rPr>
        <w:t xml:space="preserve">אותה, </w:t>
      </w:r>
      <w:bookmarkStart w:id="78149" w:name="_ETM_Q152_419970"/>
      <w:bookmarkEnd w:id="78149"/>
      <w:r>
        <w:rPr>
          <w:rFonts w:hint="cs"/>
          <w:rtl/>
        </w:rPr>
        <w:t xml:space="preserve">כי </w:t>
      </w:r>
      <w:bookmarkStart w:id="78150" w:name="_ETM_Q152_420120"/>
      <w:bookmarkEnd w:id="78150"/>
      <w:r>
        <w:rPr>
          <w:rFonts w:hint="cs"/>
          <w:rtl/>
        </w:rPr>
        <w:t xml:space="preserve">מבחינתכם </w:t>
      </w:r>
      <w:bookmarkStart w:id="78151" w:name="_ETM_Q152_420610"/>
      <w:bookmarkStart w:id="78152" w:name="_ETM_Q152_420820"/>
      <w:bookmarkEnd w:id="78151"/>
      <w:bookmarkEnd w:id="78152"/>
      <w:r>
        <w:rPr>
          <w:rFonts w:hint="cs"/>
          <w:rtl/>
        </w:rPr>
        <w:t xml:space="preserve">הרפורמה </w:t>
      </w:r>
      <w:bookmarkStart w:id="78153" w:name="_ETM_Q152_421780"/>
      <w:bookmarkEnd w:id="78153"/>
      <w:r>
        <w:rPr>
          <w:rFonts w:hint="cs"/>
          <w:rtl/>
        </w:rPr>
        <w:t xml:space="preserve">היא </w:t>
      </w:r>
      <w:bookmarkStart w:id="78154" w:name="_ETM_Q152_421930"/>
      <w:bookmarkEnd w:id="78154"/>
      <w:r>
        <w:rPr>
          <w:rFonts w:hint="cs"/>
          <w:rtl/>
        </w:rPr>
        <w:t xml:space="preserve">תחליף </w:t>
      </w:r>
      <w:bookmarkStart w:id="78155" w:name="_ETM_Q152_422890"/>
      <w:bookmarkEnd w:id="78155"/>
      <w:r>
        <w:rPr>
          <w:rFonts w:hint="cs"/>
          <w:rtl/>
        </w:rPr>
        <w:t xml:space="preserve">של </w:t>
      </w:r>
      <w:bookmarkStart w:id="78156" w:name="_ETM_Q152_423160"/>
      <w:bookmarkEnd w:id="78156"/>
      <w:r>
        <w:rPr>
          <w:rFonts w:hint="cs"/>
          <w:rtl/>
        </w:rPr>
        <w:t xml:space="preserve">הדמוקרטיה. </w:t>
      </w:r>
      <w:bookmarkStart w:id="78157" w:name="_ETM_Q152_425120"/>
      <w:bookmarkEnd w:id="78157"/>
      <w:r>
        <w:rPr>
          <w:rFonts w:hint="cs"/>
          <w:rtl/>
        </w:rPr>
        <w:t>ו</w:t>
      </w:r>
      <w:bookmarkStart w:id="78158" w:name="_ETM_Q152_425330"/>
      <w:bookmarkEnd w:id="78158"/>
      <w:r>
        <w:rPr>
          <w:rFonts w:hint="cs"/>
          <w:rtl/>
        </w:rPr>
        <w:t xml:space="preserve">כל </w:t>
      </w:r>
      <w:bookmarkStart w:id="78159" w:name="_ETM_Q152_425570"/>
      <w:bookmarkEnd w:id="78159"/>
      <w:r>
        <w:rPr>
          <w:rFonts w:hint="cs"/>
          <w:rtl/>
        </w:rPr>
        <w:t xml:space="preserve">זה </w:t>
      </w:r>
      <w:bookmarkStart w:id="78160" w:name="_ETM_Q152_425780"/>
      <w:bookmarkEnd w:id="78160"/>
      <w:r>
        <w:rPr>
          <w:rFonts w:hint="cs"/>
          <w:rtl/>
        </w:rPr>
        <w:t xml:space="preserve">איפה? </w:t>
      </w:r>
      <w:bookmarkStart w:id="78161" w:name="_ETM_Q152_426680"/>
      <w:bookmarkEnd w:id="78161"/>
      <w:r>
        <w:rPr>
          <w:rFonts w:hint="cs"/>
          <w:rtl/>
        </w:rPr>
        <w:t xml:space="preserve">בעיר </w:t>
      </w:r>
      <w:bookmarkStart w:id="78162" w:name="_ETM_Q152_427010"/>
      <w:bookmarkEnd w:id="78162"/>
      <w:r>
        <w:rPr>
          <w:rFonts w:hint="cs"/>
          <w:rtl/>
        </w:rPr>
        <w:t xml:space="preserve">הליברלית </w:t>
      </w:r>
      <w:bookmarkStart w:id="78163" w:name="_ETM_Q152_428090"/>
      <w:bookmarkEnd w:id="78163"/>
      <w:r>
        <w:rPr>
          <w:rFonts w:hint="cs"/>
          <w:rtl/>
        </w:rPr>
        <w:t xml:space="preserve">העברית </w:t>
      </w:r>
      <w:bookmarkStart w:id="78164" w:name="_ETM_Q152_428569"/>
      <w:bookmarkEnd w:id="78164"/>
      <w:r>
        <w:rPr>
          <w:rFonts w:hint="cs"/>
          <w:rtl/>
        </w:rPr>
        <w:t xml:space="preserve">הראשונה, </w:t>
      </w:r>
      <w:bookmarkStart w:id="78165" w:name="_ETM_Q152_429939"/>
      <w:bookmarkEnd w:id="78165"/>
      <w:r>
        <w:rPr>
          <w:rFonts w:hint="cs"/>
          <w:rtl/>
        </w:rPr>
        <w:t xml:space="preserve">העיר </w:t>
      </w:r>
      <w:bookmarkStart w:id="78166" w:name="_ETM_Q152_430299"/>
      <w:bookmarkEnd w:id="78166"/>
      <w:r>
        <w:rPr>
          <w:rFonts w:hint="cs"/>
          <w:rtl/>
        </w:rPr>
        <w:t xml:space="preserve">היחידה </w:t>
      </w:r>
      <w:bookmarkStart w:id="78167" w:name="_ETM_Q152_430989"/>
      <w:bookmarkEnd w:id="78167"/>
      <w:r>
        <w:rPr>
          <w:rFonts w:hint="cs"/>
          <w:rtl/>
        </w:rPr>
        <w:t xml:space="preserve">אולי </w:t>
      </w:r>
      <w:bookmarkStart w:id="78168" w:name="_ETM_Q152_431260"/>
      <w:bookmarkEnd w:id="78168"/>
      <w:r>
        <w:rPr>
          <w:rFonts w:hint="cs"/>
          <w:rtl/>
        </w:rPr>
        <w:t xml:space="preserve">בישראל </w:t>
      </w:r>
      <w:bookmarkStart w:id="78169" w:name="_ETM_Q152_431829"/>
      <w:bookmarkEnd w:id="78169"/>
      <w:r>
        <w:rPr>
          <w:rFonts w:hint="cs"/>
          <w:rtl/>
        </w:rPr>
        <w:t xml:space="preserve">שמקבלת </w:t>
      </w:r>
      <w:bookmarkStart w:id="78170" w:name="_ETM_Q152_432609"/>
      <w:bookmarkEnd w:id="78170"/>
      <w:r>
        <w:rPr>
          <w:rFonts w:hint="cs"/>
          <w:rtl/>
        </w:rPr>
        <w:t xml:space="preserve">את </w:t>
      </w:r>
      <w:bookmarkStart w:id="78171" w:name="_ETM_Q152_432760"/>
      <w:bookmarkEnd w:id="78171"/>
      <w:r>
        <w:rPr>
          <w:rFonts w:hint="cs"/>
          <w:rtl/>
        </w:rPr>
        <w:t xml:space="preserve">כולם, </w:t>
      </w:r>
      <w:bookmarkStart w:id="78172" w:name="_ETM_Q152_434310"/>
      <w:bookmarkEnd w:id="78172"/>
      <w:r>
        <w:rPr>
          <w:rFonts w:hint="cs"/>
          <w:rtl/>
        </w:rPr>
        <w:t xml:space="preserve">את </w:t>
      </w:r>
      <w:bookmarkStart w:id="78173" w:name="_ETM_Q152_434549"/>
      <w:bookmarkEnd w:id="78173"/>
      <w:r>
        <w:rPr>
          <w:rFonts w:hint="cs"/>
          <w:rtl/>
        </w:rPr>
        <w:t xml:space="preserve">כולם – </w:t>
      </w:r>
      <w:bookmarkStart w:id="78174" w:name="_ETM_Q152_435830"/>
      <w:bookmarkEnd w:id="78174"/>
      <w:r>
        <w:rPr>
          <w:rFonts w:hint="cs"/>
          <w:rtl/>
        </w:rPr>
        <w:t xml:space="preserve">יהודים </w:t>
      </w:r>
      <w:bookmarkStart w:id="78175" w:name="_ETM_Q152_436490"/>
      <w:bookmarkEnd w:id="78175"/>
      <w:r>
        <w:rPr>
          <w:rFonts w:hint="cs"/>
          <w:rtl/>
        </w:rPr>
        <w:t xml:space="preserve">וערבים </w:t>
      </w:r>
      <w:bookmarkStart w:id="78176" w:name="_ETM_Q152_437690"/>
      <w:bookmarkEnd w:id="78176"/>
      <w:r>
        <w:rPr>
          <w:rFonts w:hint="cs"/>
          <w:rtl/>
        </w:rPr>
        <w:t xml:space="preserve">ולהט"בים </w:t>
      </w:r>
      <w:bookmarkStart w:id="78177" w:name="_ETM_Q152_438890"/>
      <w:bookmarkEnd w:id="78177"/>
      <w:r>
        <w:rPr>
          <w:rFonts w:hint="cs"/>
          <w:rtl/>
        </w:rPr>
        <w:t xml:space="preserve">וגם פליטים </w:t>
      </w:r>
      <w:bookmarkStart w:id="78178" w:name="_ETM_Q152_440309"/>
      <w:bookmarkEnd w:id="78178"/>
      <w:r>
        <w:rPr>
          <w:rFonts w:hint="cs"/>
          <w:rtl/>
        </w:rPr>
        <w:t xml:space="preserve">ודתיים </w:t>
      </w:r>
      <w:bookmarkStart w:id="78179" w:name="_ETM_Q152_441120"/>
      <w:bookmarkEnd w:id="78179"/>
      <w:r>
        <w:rPr>
          <w:rFonts w:hint="cs"/>
          <w:rtl/>
        </w:rPr>
        <w:t xml:space="preserve">וחרדים, </w:t>
      </w:r>
      <w:bookmarkStart w:id="78180" w:name="_ETM_Q152_442639"/>
      <w:bookmarkEnd w:id="78180"/>
      <w:r>
        <w:rPr>
          <w:rFonts w:hint="cs"/>
          <w:rtl/>
        </w:rPr>
        <w:t xml:space="preserve">ונושאת </w:t>
      </w:r>
      <w:bookmarkStart w:id="78181" w:name="_ETM_Q152_443300"/>
      <w:bookmarkEnd w:id="78181"/>
      <w:r>
        <w:rPr>
          <w:rFonts w:hint="cs"/>
          <w:rtl/>
        </w:rPr>
        <w:t xml:space="preserve">בגאון </w:t>
      </w:r>
      <w:bookmarkStart w:id="78182" w:name="_ETM_Q152_444379"/>
      <w:bookmarkEnd w:id="78182"/>
      <w:r>
        <w:rPr>
          <w:rFonts w:hint="cs"/>
          <w:rtl/>
        </w:rPr>
        <w:t xml:space="preserve">את </w:t>
      </w:r>
      <w:bookmarkStart w:id="78183" w:name="_ETM_Q152_444589"/>
      <w:bookmarkEnd w:id="78183"/>
      <w:r>
        <w:rPr>
          <w:rFonts w:hint="cs"/>
          <w:rtl/>
        </w:rPr>
        <w:t xml:space="preserve">הדגלים </w:t>
      </w:r>
      <w:bookmarkStart w:id="78184" w:name="_ETM_Q152_444990"/>
      <w:bookmarkStart w:id="78185" w:name="_ETM_Q152_445349"/>
      <w:bookmarkEnd w:id="78184"/>
      <w:bookmarkEnd w:id="78185"/>
      <w:r>
        <w:rPr>
          <w:rFonts w:hint="cs"/>
          <w:rtl/>
        </w:rPr>
        <w:t xml:space="preserve">של </w:t>
      </w:r>
      <w:bookmarkStart w:id="78186" w:name="_ETM_Q152_445650"/>
      <w:bookmarkEnd w:id="78186"/>
      <w:r>
        <w:rPr>
          <w:rFonts w:hint="cs"/>
          <w:rtl/>
        </w:rPr>
        <w:t xml:space="preserve">שוויון </w:t>
      </w:r>
      <w:bookmarkStart w:id="78187" w:name="_ETM_Q152_446430"/>
      <w:bookmarkEnd w:id="78187"/>
      <w:r>
        <w:rPr>
          <w:rFonts w:hint="cs"/>
          <w:rtl/>
        </w:rPr>
        <w:t xml:space="preserve">וחירות. </w:t>
      </w:r>
      <w:bookmarkStart w:id="78188" w:name="_ETM_Q152_449439"/>
      <w:bookmarkEnd w:id="78188"/>
    </w:p>
    <w:p w:rsidR="00BB59CD" w:rsidRDefault="00BB59CD" w:rsidP="00BB59CD">
      <w:pPr>
        <w:rPr>
          <w:rtl/>
        </w:rPr>
      </w:pPr>
      <w:bookmarkStart w:id="78189" w:name="_ETM_Q152_452449"/>
      <w:bookmarkStart w:id="78190" w:name="_ETM_Q152_452535"/>
      <w:bookmarkEnd w:id="78189"/>
      <w:bookmarkEnd w:id="78190"/>
    </w:p>
    <w:p w:rsidR="00BB59CD" w:rsidRDefault="00BB59CD" w:rsidP="001D559F">
      <w:pPr>
        <w:rPr>
          <w:rtl/>
        </w:rPr>
      </w:pPr>
      <w:bookmarkStart w:id="78191" w:name="_ETM_Q152_452713"/>
      <w:bookmarkStart w:id="78192" w:name="_ETM_Q152_452783"/>
      <w:bookmarkEnd w:id="78191"/>
      <w:bookmarkEnd w:id="78192"/>
      <w:r>
        <w:rPr>
          <w:rFonts w:hint="cs"/>
          <w:rtl/>
        </w:rPr>
        <w:t xml:space="preserve">אבל </w:t>
      </w:r>
      <w:bookmarkStart w:id="78193" w:name="_ETM_Q152_449800"/>
      <w:bookmarkStart w:id="78194" w:name="_ETM_Q152_449759"/>
      <w:bookmarkStart w:id="78195" w:name="_ETM_Q152_449819"/>
      <w:bookmarkEnd w:id="78193"/>
      <w:bookmarkEnd w:id="78194"/>
      <w:bookmarkEnd w:id="78195"/>
      <w:r>
        <w:rPr>
          <w:rFonts w:hint="cs"/>
          <w:rtl/>
        </w:rPr>
        <w:t xml:space="preserve">אתם </w:t>
      </w:r>
      <w:bookmarkStart w:id="78196" w:name="_ETM_Q152_450779"/>
      <w:bookmarkEnd w:id="78196"/>
      <w:r>
        <w:rPr>
          <w:rFonts w:hint="cs"/>
          <w:rtl/>
        </w:rPr>
        <w:t xml:space="preserve">רוצים </w:t>
      </w:r>
      <w:bookmarkStart w:id="78197" w:name="_ETM_Q152_451699"/>
      <w:bookmarkEnd w:id="78197"/>
      <w:r>
        <w:rPr>
          <w:rFonts w:hint="cs"/>
          <w:rtl/>
        </w:rPr>
        <w:t xml:space="preserve">רפורמה, </w:t>
      </w:r>
      <w:bookmarkStart w:id="78198" w:name="_ETM_Q152_453270"/>
      <w:bookmarkEnd w:id="78198"/>
      <w:r>
        <w:rPr>
          <w:rFonts w:hint="cs"/>
          <w:rtl/>
        </w:rPr>
        <w:t xml:space="preserve">לא </w:t>
      </w:r>
      <w:bookmarkStart w:id="78199" w:name="_ETM_Q152_453719"/>
      <w:bookmarkEnd w:id="78199"/>
      <w:r>
        <w:rPr>
          <w:rFonts w:hint="cs"/>
          <w:rtl/>
        </w:rPr>
        <w:t xml:space="preserve">דמוקרטיה, </w:t>
      </w:r>
      <w:bookmarkStart w:id="78200" w:name="_ETM_Q152_454830"/>
      <w:bookmarkEnd w:id="78200"/>
      <w:r>
        <w:rPr>
          <w:rFonts w:hint="cs"/>
          <w:rtl/>
        </w:rPr>
        <w:t xml:space="preserve">לא </w:t>
      </w:r>
      <w:bookmarkStart w:id="78201" w:name="_ETM_Q152_455190"/>
      <w:bookmarkEnd w:id="78201"/>
      <w:r>
        <w:rPr>
          <w:rFonts w:hint="cs"/>
          <w:rtl/>
        </w:rPr>
        <w:t xml:space="preserve">שוויון </w:t>
      </w:r>
      <w:bookmarkStart w:id="78202" w:name="_ETM_Q152_455990"/>
      <w:bookmarkEnd w:id="78202"/>
      <w:r>
        <w:rPr>
          <w:rFonts w:hint="cs"/>
          <w:rtl/>
        </w:rPr>
        <w:t xml:space="preserve">ולא </w:t>
      </w:r>
      <w:bookmarkStart w:id="78203" w:name="_ETM_Q152_456440"/>
      <w:bookmarkEnd w:id="78203"/>
      <w:r>
        <w:rPr>
          <w:rFonts w:hint="cs"/>
          <w:rtl/>
        </w:rPr>
        <w:t xml:space="preserve">חירות. </w:t>
      </w:r>
      <w:bookmarkStart w:id="78204" w:name="_ETM_Q152_457930"/>
      <w:bookmarkEnd w:id="78204"/>
      <w:r>
        <w:rPr>
          <w:rFonts w:hint="cs"/>
          <w:rtl/>
        </w:rPr>
        <w:t xml:space="preserve">זאת </w:t>
      </w:r>
      <w:bookmarkStart w:id="78205" w:name="_ETM_Q152_458289"/>
      <w:bookmarkEnd w:id="78205"/>
      <w:r>
        <w:rPr>
          <w:rFonts w:hint="cs"/>
          <w:rtl/>
        </w:rPr>
        <w:t xml:space="preserve">לא </w:t>
      </w:r>
      <w:bookmarkStart w:id="78206" w:name="_ETM_Q152_458500"/>
      <w:bookmarkEnd w:id="78206"/>
      <w:r>
        <w:rPr>
          <w:rFonts w:hint="cs"/>
          <w:rtl/>
        </w:rPr>
        <w:t xml:space="preserve">דמוקרטיה </w:t>
      </w:r>
      <w:bookmarkStart w:id="78207" w:name="_ETM_Q152_459639"/>
      <w:bookmarkEnd w:id="78207"/>
      <w:r>
        <w:rPr>
          <w:rFonts w:hint="cs"/>
          <w:rtl/>
        </w:rPr>
        <w:t xml:space="preserve">במלואו </w:t>
      </w:r>
      <w:bookmarkStart w:id="78208" w:name="_ETM_Q152_460370"/>
      <w:bookmarkEnd w:id="78208"/>
      <w:r>
        <w:rPr>
          <w:rFonts w:hint="cs"/>
          <w:rtl/>
        </w:rPr>
        <w:t xml:space="preserve">מובן </w:t>
      </w:r>
      <w:bookmarkStart w:id="78209" w:name="_ETM_Q152_460639"/>
      <w:bookmarkEnd w:id="78209"/>
      <w:r>
        <w:rPr>
          <w:rFonts w:hint="cs"/>
          <w:rtl/>
        </w:rPr>
        <w:t xml:space="preserve">המילה. </w:t>
      </w:r>
      <w:bookmarkStart w:id="78210" w:name="_ETM_Q152_463070"/>
      <w:bookmarkEnd w:id="78210"/>
      <w:r>
        <w:rPr>
          <w:rFonts w:hint="cs"/>
          <w:rtl/>
        </w:rPr>
        <w:t xml:space="preserve">זו </w:t>
      </w:r>
      <w:bookmarkStart w:id="78211" w:name="_ETM_Q152_463310"/>
      <w:bookmarkEnd w:id="78211"/>
      <w:r>
        <w:rPr>
          <w:rFonts w:hint="cs"/>
          <w:rtl/>
        </w:rPr>
        <w:t>דמוקרטי</w:t>
      </w:r>
      <w:bookmarkStart w:id="78212" w:name="_ETM_Q152_463690"/>
      <w:bookmarkStart w:id="78213" w:name="_ETM_Q152_463990"/>
      <w:bookmarkEnd w:id="78212"/>
      <w:bookmarkEnd w:id="78213"/>
      <w:r>
        <w:rPr>
          <w:rFonts w:hint="cs"/>
          <w:rtl/>
        </w:rPr>
        <w:t xml:space="preserve">ה שהתהוותה </w:t>
      </w:r>
      <w:bookmarkStart w:id="78214" w:name="_ETM_Q152_465010"/>
      <w:bookmarkEnd w:id="78214"/>
      <w:r>
        <w:rPr>
          <w:rFonts w:hint="cs"/>
          <w:rtl/>
        </w:rPr>
        <w:t xml:space="preserve">והושטחה, </w:t>
      </w:r>
      <w:bookmarkStart w:id="78215" w:name="_ETM_Q152_466699"/>
      <w:bookmarkEnd w:id="78215"/>
      <w:r>
        <w:rPr>
          <w:rFonts w:hint="cs"/>
          <w:rtl/>
        </w:rPr>
        <w:t xml:space="preserve">זו </w:t>
      </w:r>
      <w:bookmarkStart w:id="78216" w:name="_ETM_Q152_466879"/>
      <w:bookmarkEnd w:id="78216"/>
      <w:r>
        <w:rPr>
          <w:rFonts w:hint="cs"/>
          <w:rtl/>
        </w:rPr>
        <w:t>דמוקרטיה</w:t>
      </w:r>
      <w:bookmarkStart w:id="78217" w:name="_ETM_Q152_467339"/>
      <w:bookmarkStart w:id="78218" w:name="_ETM_Q152_467610"/>
      <w:bookmarkEnd w:id="78217"/>
      <w:bookmarkEnd w:id="78218"/>
      <w:r>
        <w:rPr>
          <w:rFonts w:hint="cs"/>
          <w:rtl/>
        </w:rPr>
        <w:t xml:space="preserve"> ש</w:t>
      </w:r>
      <w:r w:rsidR="001D559F">
        <w:rPr>
          <w:rFonts w:hint="cs"/>
          <w:rtl/>
        </w:rPr>
        <w:t xml:space="preserve">בה </w:t>
      </w:r>
      <w:r>
        <w:rPr>
          <w:rFonts w:hint="cs"/>
          <w:rtl/>
        </w:rPr>
        <w:t xml:space="preserve">מבחינתכם </w:t>
      </w:r>
      <w:bookmarkStart w:id="78219" w:name="_ETM_Q152_468449"/>
      <w:bookmarkEnd w:id="78219"/>
      <w:r>
        <w:rPr>
          <w:rFonts w:hint="cs"/>
          <w:rtl/>
        </w:rPr>
        <w:t xml:space="preserve">הרוב </w:t>
      </w:r>
      <w:bookmarkStart w:id="78220" w:name="_ETM_Q152_469050"/>
      <w:bookmarkEnd w:id="78220"/>
      <w:r>
        <w:rPr>
          <w:rFonts w:hint="cs"/>
          <w:rtl/>
        </w:rPr>
        <w:t xml:space="preserve">קובע – </w:t>
      </w:r>
      <w:bookmarkStart w:id="78221" w:name="_ETM_Q152_469889"/>
      <w:bookmarkEnd w:id="78221"/>
      <w:r>
        <w:rPr>
          <w:rFonts w:hint="cs"/>
          <w:rtl/>
        </w:rPr>
        <w:t xml:space="preserve">רצון </w:t>
      </w:r>
      <w:bookmarkStart w:id="78222" w:name="_ETM_Q152_470490"/>
      <w:bookmarkEnd w:id="78222"/>
      <w:r>
        <w:rPr>
          <w:rFonts w:hint="cs"/>
          <w:rtl/>
        </w:rPr>
        <w:t>העם</w:t>
      </w:r>
      <w:r w:rsidR="001D559F">
        <w:rPr>
          <w:rFonts w:hint="cs"/>
          <w:rtl/>
        </w:rPr>
        <w:t>.</w:t>
      </w:r>
      <w:r>
        <w:rPr>
          <w:rFonts w:hint="cs"/>
          <w:rtl/>
        </w:rPr>
        <w:t xml:space="preserve"> </w:t>
      </w:r>
      <w:bookmarkStart w:id="78223" w:name="_ETM_Q152_471190"/>
      <w:bookmarkEnd w:id="78223"/>
      <w:r>
        <w:rPr>
          <w:rFonts w:hint="cs"/>
          <w:rtl/>
        </w:rPr>
        <w:t xml:space="preserve">ניצחנו </w:t>
      </w:r>
      <w:bookmarkStart w:id="78224" w:name="_ETM_Q152_473860"/>
      <w:bookmarkEnd w:id="78224"/>
      <w:r w:rsidR="001D559F">
        <w:rPr>
          <w:rFonts w:hint="eastAsia"/>
          <w:rtl/>
        </w:rPr>
        <w:t>–</w:t>
      </w:r>
      <w:r w:rsidR="001D559F">
        <w:rPr>
          <w:rFonts w:hint="cs"/>
          <w:rtl/>
        </w:rPr>
        <w:t xml:space="preserve"> </w:t>
      </w:r>
      <w:r>
        <w:rPr>
          <w:rFonts w:hint="cs"/>
          <w:rtl/>
        </w:rPr>
        <w:t xml:space="preserve">איזו מן שטחיות </w:t>
      </w:r>
      <w:bookmarkStart w:id="78225" w:name="_ETM_Q152_474490"/>
      <w:bookmarkEnd w:id="78225"/>
      <w:r>
        <w:rPr>
          <w:rFonts w:hint="cs"/>
          <w:rtl/>
        </w:rPr>
        <w:t xml:space="preserve">זאת? </w:t>
      </w:r>
      <w:bookmarkStart w:id="78226" w:name="_ETM_Q152_475210"/>
      <w:bookmarkEnd w:id="78226"/>
      <w:r>
        <w:rPr>
          <w:rFonts w:hint="cs"/>
          <w:rtl/>
        </w:rPr>
        <w:t xml:space="preserve">מה </w:t>
      </w:r>
      <w:bookmarkStart w:id="78227" w:name="_ETM_Q152_475449"/>
      <w:bookmarkEnd w:id="78227"/>
      <w:r>
        <w:rPr>
          <w:rFonts w:hint="cs"/>
          <w:rtl/>
        </w:rPr>
        <w:t xml:space="preserve">קרה </w:t>
      </w:r>
      <w:bookmarkStart w:id="78228" w:name="_ETM_Q152_475839"/>
      <w:bookmarkEnd w:id="78228"/>
      <w:r>
        <w:rPr>
          <w:rFonts w:hint="cs"/>
          <w:rtl/>
        </w:rPr>
        <w:t xml:space="preserve">לכם? </w:t>
      </w:r>
      <w:bookmarkStart w:id="78229" w:name="_ETM_Q152_480000"/>
      <w:bookmarkEnd w:id="78229"/>
      <w:r>
        <w:rPr>
          <w:rFonts w:hint="cs"/>
          <w:rtl/>
        </w:rPr>
        <w:t xml:space="preserve">איך יכול להיות? איפה </w:t>
      </w:r>
      <w:bookmarkStart w:id="78230" w:name="_ETM_Q152_480359"/>
      <w:bookmarkEnd w:id="78230"/>
      <w:r>
        <w:rPr>
          <w:rFonts w:hint="cs"/>
          <w:rtl/>
        </w:rPr>
        <w:t xml:space="preserve">כל </w:t>
      </w:r>
      <w:bookmarkStart w:id="78231" w:name="_ETM_Q152_480690"/>
      <w:bookmarkEnd w:id="78231"/>
      <w:r>
        <w:rPr>
          <w:rFonts w:hint="cs"/>
          <w:rtl/>
        </w:rPr>
        <w:t xml:space="preserve">הדמוקרטיה </w:t>
      </w:r>
      <w:bookmarkStart w:id="78232" w:name="_ETM_Q152_481589"/>
      <w:bookmarkEnd w:id="78232"/>
      <w:r>
        <w:rPr>
          <w:rFonts w:hint="cs"/>
          <w:rtl/>
        </w:rPr>
        <w:t xml:space="preserve">המהותית, </w:t>
      </w:r>
      <w:bookmarkStart w:id="78233" w:name="_ETM_Q152_482250"/>
      <w:bookmarkEnd w:id="78233"/>
      <w:r>
        <w:rPr>
          <w:rFonts w:hint="cs"/>
          <w:rtl/>
        </w:rPr>
        <w:t xml:space="preserve">שכולם </w:t>
      </w:r>
      <w:bookmarkStart w:id="78234" w:name="_ETM_Q152_482669"/>
      <w:bookmarkEnd w:id="78234"/>
      <w:r>
        <w:rPr>
          <w:rFonts w:hint="cs"/>
          <w:rtl/>
        </w:rPr>
        <w:t xml:space="preserve">יודעים </w:t>
      </w:r>
      <w:bookmarkStart w:id="78235" w:name="_ETM_Q152_482970"/>
      <w:bookmarkEnd w:id="78235"/>
      <w:r>
        <w:rPr>
          <w:rFonts w:hint="cs"/>
          <w:rtl/>
        </w:rPr>
        <w:t>מהי</w:t>
      </w:r>
      <w:bookmarkStart w:id="78236" w:name="_ETM_Q152_483179"/>
      <w:bookmarkStart w:id="78237" w:name="_ETM_Q152_484370"/>
      <w:bookmarkEnd w:id="78236"/>
      <w:bookmarkEnd w:id="78237"/>
      <w:r>
        <w:rPr>
          <w:rFonts w:hint="cs"/>
          <w:rtl/>
        </w:rPr>
        <w:t xml:space="preserve">? </w:t>
      </w:r>
      <w:bookmarkStart w:id="78238" w:name="_ETM_Q152_483120"/>
      <w:bookmarkEnd w:id="78238"/>
      <w:r>
        <w:rPr>
          <w:rFonts w:hint="cs"/>
          <w:rtl/>
        </w:rPr>
        <w:t>דמוקרט</w:t>
      </w:r>
      <w:bookmarkStart w:id="78239" w:name="_ETM_Q152_485000"/>
      <w:bookmarkStart w:id="78240" w:name="_ETM_Q152_485300"/>
      <w:bookmarkEnd w:id="78239"/>
      <w:bookmarkEnd w:id="78240"/>
      <w:r>
        <w:rPr>
          <w:rFonts w:hint="cs"/>
          <w:rtl/>
        </w:rPr>
        <w:t xml:space="preserve">יה שלא </w:t>
      </w:r>
      <w:bookmarkStart w:id="78241" w:name="_ETM_Q152_485600"/>
      <w:bookmarkEnd w:id="78241"/>
      <w:r>
        <w:rPr>
          <w:rFonts w:hint="cs"/>
          <w:rtl/>
        </w:rPr>
        <w:t xml:space="preserve">קיימת </w:t>
      </w:r>
      <w:bookmarkStart w:id="78242" w:name="_ETM_Q152_486080"/>
      <w:bookmarkStart w:id="78243" w:name="_ETM_Q152_486410"/>
      <w:bookmarkEnd w:id="78242"/>
      <w:bookmarkEnd w:id="78243"/>
      <w:r>
        <w:rPr>
          <w:rFonts w:hint="cs"/>
          <w:rtl/>
        </w:rPr>
        <w:t xml:space="preserve">ברוסיה, </w:t>
      </w:r>
      <w:bookmarkStart w:id="78244" w:name="_ETM_Q152_486950"/>
      <w:bookmarkEnd w:id="78244"/>
      <w:r>
        <w:rPr>
          <w:rFonts w:hint="cs"/>
          <w:rtl/>
        </w:rPr>
        <w:t xml:space="preserve">בפולין </w:t>
      </w:r>
      <w:bookmarkStart w:id="78245" w:name="_ETM_Q152_487399"/>
      <w:bookmarkEnd w:id="78245"/>
      <w:r>
        <w:rPr>
          <w:rFonts w:hint="cs"/>
          <w:rtl/>
        </w:rPr>
        <w:t xml:space="preserve">ובהונגריה, </w:t>
      </w:r>
      <w:bookmarkStart w:id="78246" w:name="_ETM_Q152_488180"/>
      <w:bookmarkEnd w:id="78246"/>
      <w:r>
        <w:rPr>
          <w:rFonts w:hint="cs"/>
          <w:rtl/>
        </w:rPr>
        <w:t xml:space="preserve">אבל </w:t>
      </w:r>
      <w:bookmarkStart w:id="78247" w:name="_ETM_Q152_488450"/>
      <w:bookmarkEnd w:id="78247"/>
      <w:r>
        <w:rPr>
          <w:rFonts w:hint="cs"/>
          <w:rtl/>
        </w:rPr>
        <w:t xml:space="preserve">זאת </w:t>
      </w:r>
      <w:bookmarkStart w:id="78248" w:name="_ETM_Q152_488690"/>
      <w:bookmarkEnd w:id="78248"/>
      <w:r>
        <w:rPr>
          <w:rFonts w:hint="cs"/>
          <w:rtl/>
        </w:rPr>
        <w:t>הדמוקרטיה</w:t>
      </w:r>
      <w:bookmarkStart w:id="78249" w:name="_ETM_Q152_488839"/>
      <w:bookmarkStart w:id="78250" w:name="_ETM_Q152_489179"/>
      <w:bookmarkStart w:id="78251" w:name="_ETM_Q152_489990"/>
      <w:bookmarkEnd w:id="78249"/>
      <w:bookmarkEnd w:id="78250"/>
      <w:bookmarkEnd w:id="78251"/>
      <w:r>
        <w:rPr>
          <w:rFonts w:hint="cs"/>
          <w:rtl/>
        </w:rPr>
        <w:t xml:space="preserve">. לא </w:t>
      </w:r>
      <w:bookmarkStart w:id="78252" w:name="_ETM_Q152_490259"/>
      <w:bookmarkEnd w:id="78252"/>
      <w:r>
        <w:rPr>
          <w:rFonts w:hint="cs"/>
          <w:rtl/>
        </w:rPr>
        <w:t xml:space="preserve">סתם </w:t>
      </w:r>
      <w:bookmarkStart w:id="78253" w:name="_ETM_Q152_490709"/>
      <w:bookmarkEnd w:id="78253"/>
      <w:r>
        <w:rPr>
          <w:rFonts w:hint="cs"/>
          <w:rtl/>
        </w:rPr>
        <w:t xml:space="preserve">ביידן </w:t>
      </w:r>
      <w:bookmarkStart w:id="78254" w:name="_ETM_Q152_491219"/>
      <w:bookmarkEnd w:id="78254"/>
      <w:r>
        <w:rPr>
          <w:rFonts w:hint="cs"/>
          <w:rtl/>
        </w:rPr>
        <w:t xml:space="preserve">שולח </w:t>
      </w:r>
      <w:bookmarkStart w:id="78255" w:name="_ETM_Q152_491669"/>
      <w:bookmarkEnd w:id="78255"/>
      <w:r>
        <w:rPr>
          <w:rFonts w:hint="cs"/>
          <w:rtl/>
        </w:rPr>
        <w:t xml:space="preserve">יום </w:t>
      </w:r>
      <w:bookmarkStart w:id="78256" w:name="_ETM_Q152_492059"/>
      <w:bookmarkEnd w:id="78256"/>
      <w:r>
        <w:rPr>
          <w:rFonts w:hint="cs"/>
          <w:rtl/>
        </w:rPr>
        <w:t xml:space="preserve">אחרי </w:t>
      </w:r>
      <w:bookmarkStart w:id="78257" w:name="_ETM_Q152_492330"/>
      <w:bookmarkEnd w:id="78257"/>
      <w:r>
        <w:rPr>
          <w:rFonts w:hint="cs"/>
          <w:rtl/>
        </w:rPr>
        <w:t xml:space="preserve">יום </w:t>
      </w:r>
      <w:bookmarkStart w:id="78258" w:name="_ETM_Q152_493150"/>
      <w:bookmarkEnd w:id="78258"/>
      <w:r>
        <w:rPr>
          <w:rFonts w:hint="cs"/>
          <w:rtl/>
        </w:rPr>
        <w:t xml:space="preserve">אזהרות </w:t>
      </w:r>
      <w:bookmarkStart w:id="78259" w:name="_ETM_Q152_493929"/>
      <w:bookmarkEnd w:id="78259"/>
      <w:r>
        <w:rPr>
          <w:rFonts w:hint="cs"/>
          <w:rtl/>
        </w:rPr>
        <w:t xml:space="preserve">למדינת </w:t>
      </w:r>
      <w:bookmarkStart w:id="78260" w:name="_ETM_Q152_494589"/>
      <w:bookmarkEnd w:id="78260"/>
      <w:r>
        <w:rPr>
          <w:rFonts w:hint="cs"/>
          <w:rtl/>
        </w:rPr>
        <w:t xml:space="preserve">ישראל: </w:t>
      </w:r>
      <w:bookmarkStart w:id="78261" w:name="_ETM_Q152_494980"/>
      <w:bookmarkStart w:id="78262" w:name="_ETM_Q152_495669"/>
      <w:bookmarkEnd w:id="78261"/>
      <w:bookmarkEnd w:id="78262"/>
      <w:r>
        <w:rPr>
          <w:rFonts w:hint="cs"/>
          <w:rtl/>
        </w:rPr>
        <w:t>חבר</w:t>
      </w:r>
      <w:bookmarkStart w:id="78263" w:name="_ETM_Q152_496000"/>
      <w:bookmarkStart w:id="78264" w:name="_ETM_Q152_496779"/>
      <w:bookmarkEnd w:id="78263"/>
      <w:bookmarkEnd w:id="78264"/>
      <w:r>
        <w:rPr>
          <w:rFonts w:hint="cs"/>
          <w:rtl/>
        </w:rPr>
        <w:t xml:space="preserve">ים, התבלבלתם. </w:t>
      </w:r>
      <w:bookmarkStart w:id="78265" w:name="_ETM_Q152_499419"/>
      <w:bookmarkEnd w:id="78265"/>
    </w:p>
    <w:p w:rsidR="00BB59CD" w:rsidRDefault="00BB59CD" w:rsidP="00BB59CD">
      <w:pPr>
        <w:rPr>
          <w:rtl/>
        </w:rPr>
      </w:pPr>
    </w:p>
    <w:p w:rsidR="00BB59CD" w:rsidRDefault="00BB59CD" w:rsidP="001D559F">
      <w:pPr>
        <w:rPr>
          <w:rtl/>
        </w:rPr>
      </w:pPr>
      <w:r>
        <w:rPr>
          <w:rFonts w:hint="cs"/>
          <w:rtl/>
        </w:rPr>
        <w:t xml:space="preserve">הרבה </w:t>
      </w:r>
      <w:bookmarkStart w:id="78266" w:name="_ETM_Q152_499779"/>
      <w:bookmarkEnd w:id="78266"/>
      <w:r>
        <w:rPr>
          <w:rFonts w:hint="cs"/>
          <w:rtl/>
        </w:rPr>
        <w:t xml:space="preserve">שיעורים </w:t>
      </w:r>
      <w:bookmarkStart w:id="78267" w:name="_ETM_Q152_500259"/>
      <w:bookmarkEnd w:id="78267"/>
      <w:r>
        <w:rPr>
          <w:rFonts w:hint="cs"/>
          <w:rtl/>
        </w:rPr>
        <w:t xml:space="preserve">למדתי </w:t>
      </w:r>
      <w:bookmarkStart w:id="78268" w:name="_ETM_Q152_500679"/>
      <w:bookmarkEnd w:id="78268"/>
      <w:r>
        <w:rPr>
          <w:rFonts w:hint="cs"/>
          <w:rtl/>
        </w:rPr>
        <w:t xml:space="preserve">בחצי </w:t>
      </w:r>
      <w:bookmarkStart w:id="78269" w:name="_ETM_Q152_501070"/>
      <w:bookmarkEnd w:id="78269"/>
      <w:r>
        <w:rPr>
          <w:rFonts w:hint="cs"/>
          <w:rtl/>
        </w:rPr>
        <w:t xml:space="preserve">שנה </w:t>
      </w:r>
      <w:bookmarkStart w:id="78270" w:name="_ETM_Q152_501369"/>
      <w:bookmarkEnd w:id="78270"/>
      <w:r>
        <w:rPr>
          <w:rFonts w:hint="cs"/>
          <w:rtl/>
        </w:rPr>
        <w:t xml:space="preserve">הזו. </w:t>
      </w:r>
      <w:bookmarkStart w:id="78271" w:name="_ETM_Q152_501640"/>
      <w:bookmarkEnd w:id="78271"/>
      <w:r>
        <w:rPr>
          <w:rFonts w:hint="cs"/>
          <w:rtl/>
        </w:rPr>
        <w:t xml:space="preserve">הרבה </w:t>
      </w:r>
      <w:bookmarkStart w:id="78272" w:name="_ETM_Q152_502089"/>
      <w:bookmarkEnd w:id="78272"/>
      <w:r>
        <w:rPr>
          <w:rFonts w:hint="cs"/>
          <w:rtl/>
        </w:rPr>
        <w:t xml:space="preserve">מאוד. </w:t>
      </w:r>
      <w:bookmarkStart w:id="78273" w:name="_ETM_Q152_503169"/>
      <w:bookmarkEnd w:id="78273"/>
      <w:r>
        <w:rPr>
          <w:rFonts w:hint="cs"/>
          <w:rtl/>
        </w:rPr>
        <w:t xml:space="preserve">לפעמים </w:t>
      </w:r>
      <w:bookmarkStart w:id="78274" w:name="_ETM_Q152_503560"/>
      <w:bookmarkEnd w:id="78274"/>
      <w:r>
        <w:rPr>
          <w:rFonts w:hint="cs"/>
          <w:rtl/>
        </w:rPr>
        <w:t xml:space="preserve">אני </w:t>
      </w:r>
      <w:bookmarkStart w:id="78275" w:name="_ETM_Q152_503800"/>
      <w:bookmarkEnd w:id="78275"/>
      <w:r>
        <w:rPr>
          <w:rFonts w:hint="cs"/>
          <w:rtl/>
        </w:rPr>
        <w:t xml:space="preserve">כמעט </w:t>
      </w:r>
      <w:bookmarkStart w:id="78276" w:name="_ETM_Q152_504070"/>
      <w:bookmarkEnd w:id="78276"/>
      <w:r>
        <w:rPr>
          <w:rFonts w:hint="cs"/>
          <w:rtl/>
        </w:rPr>
        <w:t xml:space="preserve">מצטערת </w:t>
      </w:r>
      <w:bookmarkStart w:id="78277" w:name="_ETM_Q152_504759"/>
      <w:bookmarkEnd w:id="78277"/>
      <w:r>
        <w:rPr>
          <w:rFonts w:hint="cs"/>
          <w:rtl/>
        </w:rPr>
        <w:t xml:space="preserve">שלמדתי </w:t>
      </w:r>
      <w:bookmarkStart w:id="78278" w:name="_ETM_Q152_505269"/>
      <w:bookmarkEnd w:id="78278"/>
      <w:r>
        <w:rPr>
          <w:rFonts w:hint="cs"/>
          <w:rtl/>
        </w:rPr>
        <w:t xml:space="preserve">כל </w:t>
      </w:r>
      <w:bookmarkStart w:id="78279" w:name="_ETM_Q152_505419"/>
      <w:bookmarkEnd w:id="78279"/>
      <w:r>
        <w:rPr>
          <w:rFonts w:hint="cs"/>
          <w:rtl/>
        </w:rPr>
        <w:t xml:space="preserve">כך </w:t>
      </w:r>
      <w:bookmarkStart w:id="78280" w:name="_ETM_Q152_505570"/>
      <w:bookmarkEnd w:id="78280"/>
      <w:r>
        <w:rPr>
          <w:rFonts w:hint="cs"/>
          <w:rtl/>
        </w:rPr>
        <w:t xml:space="preserve">הרבה </w:t>
      </w:r>
      <w:bookmarkStart w:id="78281" w:name="_ETM_Q152_505839"/>
      <w:bookmarkEnd w:id="78281"/>
      <w:r>
        <w:rPr>
          <w:rFonts w:hint="cs"/>
          <w:rtl/>
        </w:rPr>
        <w:t>שיעורים</w:t>
      </w:r>
      <w:bookmarkStart w:id="78282" w:name="_ETM_Q152_508559"/>
      <w:bookmarkEnd w:id="78282"/>
      <w:r w:rsidR="001D559F">
        <w:rPr>
          <w:rFonts w:hint="cs"/>
          <w:rtl/>
        </w:rPr>
        <w:t xml:space="preserve"> </w:t>
      </w:r>
      <w:r w:rsidR="001D559F">
        <w:rPr>
          <w:rFonts w:hint="eastAsia"/>
          <w:rtl/>
        </w:rPr>
        <w:t>–</w:t>
      </w:r>
      <w:r w:rsidR="001D559F">
        <w:rPr>
          <w:rFonts w:hint="cs"/>
          <w:rtl/>
        </w:rPr>
        <w:t xml:space="preserve"> על </w:t>
      </w:r>
      <w:r>
        <w:rPr>
          <w:rFonts w:hint="cs"/>
          <w:rtl/>
        </w:rPr>
        <w:t>שברירי</w:t>
      </w:r>
      <w:bookmarkStart w:id="78283" w:name="_ETM_Q152_509130"/>
      <w:bookmarkStart w:id="78284" w:name="_ETM_Q152_509460"/>
      <w:bookmarkEnd w:id="78283"/>
      <w:bookmarkEnd w:id="78284"/>
      <w:r>
        <w:rPr>
          <w:rFonts w:hint="cs"/>
          <w:rtl/>
        </w:rPr>
        <w:t xml:space="preserve">ותה של </w:t>
      </w:r>
      <w:bookmarkStart w:id="78285" w:name="_ETM_Q152_509640"/>
      <w:bookmarkEnd w:id="78285"/>
      <w:r>
        <w:rPr>
          <w:rFonts w:hint="cs"/>
          <w:rtl/>
        </w:rPr>
        <w:t xml:space="preserve">הדמוקרטיה, </w:t>
      </w:r>
      <w:bookmarkStart w:id="78286" w:name="_ETM_Q152_511640"/>
      <w:bookmarkEnd w:id="78286"/>
      <w:r>
        <w:rPr>
          <w:rFonts w:hint="cs"/>
          <w:rtl/>
        </w:rPr>
        <w:t xml:space="preserve">על </w:t>
      </w:r>
      <w:bookmarkStart w:id="78287" w:name="_ETM_Q152_511850"/>
      <w:bookmarkEnd w:id="78287"/>
      <w:r>
        <w:rPr>
          <w:rFonts w:hint="cs"/>
          <w:rtl/>
        </w:rPr>
        <w:t xml:space="preserve">התהום </w:t>
      </w:r>
      <w:bookmarkStart w:id="78288" w:name="_ETM_Q152_512960"/>
      <w:bookmarkEnd w:id="78288"/>
      <w:r>
        <w:rPr>
          <w:rFonts w:hint="cs"/>
          <w:rtl/>
        </w:rPr>
        <w:t xml:space="preserve">שפעורה </w:t>
      </w:r>
      <w:bookmarkStart w:id="78289" w:name="_ETM_Q152_514100"/>
      <w:bookmarkEnd w:id="78289"/>
      <w:r>
        <w:rPr>
          <w:rFonts w:hint="cs"/>
          <w:rtl/>
        </w:rPr>
        <w:t xml:space="preserve">בין </w:t>
      </w:r>
      <w:bookmarkStart w:id="78290" w:name="_ETM_Q152_514310"/>
      <w:bookmarkEnd w:id="78290"/>
      <w:r>
        <w:rPr>
          <w:rFonts w:hint="cs"/>
          <w:rtl/>
        </w:rPr>
        <w:t xml:space="preserve">הציבור </w:t>
      </w:r>
      <w:bookmarkStart w:id="78291" w:name="_ETM_Q152_514760"/>
      <w:bookmarkEnd w:id="78291"/>
      <w:r>
        <w:rPr>
          <w:rFonts w:hint="cs"/>
          <w:rtl/>
        </w:rPr>
        <w:t xml:space="preserve">הליברלי </w:t>
      </w:r>
      <w:bookmarkStart w:id="78292" w:name="_ETM_Q152_515700"/>
      <w:bookmarkEnd w:id="78292"/>
      <w:r>
        <w:rPr>
          <w:rFonts w:hint="cs"/>
          <w:rtl/>
        </w:rPr>
        <w:t xml:space="preserve">לציבור </w:t>
      </w:r>
      <w:bookmarkStart w:id="78293" w:name="_ETM_Q152_516420"/>
      <w:bookmarkEnd w:id="78293"/>
      <w:r>
        <w:rPr>
          <w:rFonts w:hint="cs"/>
          <w:rtl/>
        </w:rPr>
        <w:t xml:space="preserve">לאומני </w:t>
      </w:r>
      <w:bookmarkStart w:id="78294" w:name="_ETM_Q152_517020"/>
      <w:bookmarkEnd w:id="78294"/>
      <w:r>
        <w:rPr>
          <w:rFonts w:hint="cs"/>
          <w:rtl/>
        </w:rPr>
        <w:t xml:space="preserve">ומשיחי. </w:t>
      </w:r>
      <w:bookmarkStart w:id="78295" w:name="_ETM_Q152_519050"/>
      <w:bookmarkEnd w:id="78295"/>
      <w:r>
        <w:rPr>
          <w:rFonts w:hint="cs"/>
          <w:rtl/>
        </w:rPr>
        <w:t xml:space="preserve">למדתי </w:t>
      </w:r>
      <w:bookmarkStart w:id="78296" w:name="_ETM_Q152_519680"/>
      <w:bookmarkEnd w:id="78296"/>
      <w:r>
        <w:rPr>
          <w:rFonts w:hint="cs"/>
          <w:rtl/>
        </w:rPr>
        <w:t xml:space="preserve">שגדל </w:t>
      </w:r>
      <w:bookmarkStart w:id="78297" w:name="_ETM_Q152_520220"/>
      <w:bookmarkEnd w:id="78297"/>
      <w:r>
        <w:rPr>
          <w:rFonts w:hint="cs"/>
          <w:rtl/>
        </w:rPr>
        <w:t xml:space="preserve">פה </w:t>
      </w:r>
      <w:bookmarkStart w:id="78298" w:name="_ETM_Q152_520320"/>
      <w:bookmarkStart w:id="78299" w:name="_ETM_Q152_520529"/>
      <w:bookmarkEnd w:id="78298"/>
      <w:bookmarkEnd w:id="78299"/>
      <w:r>
        <w:rPr>
          <w:rFonts w:hint="cs"/>
          <w:rtl/>
        </w:rPr>
        <w:t xml:space="preserve">דור </w:t>
      </w:r>
      <w:bookmarkStart w:id="78300" w:name="_ETM_Q152_521070"/>
      <w:bookmarkEnd w:id="78300"/>
      <w:r>
        <w:rPr>
          <w:rFonts w:hint="cs"/>
          <w:rtl/>
        </w:rPr>
        <w:t xml:space="preserve">– ואני </w:t>
      </w:r>
      <w:bookmarkStart w:id="78301" w:name="_ETM_Q152_521310"/>
      <w:bookmarkEnd w:id="78301"/>
      <w:r>
        <w:rPr>
          <w:rFonts w:hint="cs"/>
          <w:rtl/>
        </w:rPr>
        <w:t xml:space="preserve">אומרת </w:t>
      </w:r>
      <w:bookmarkStart w:id="78302" w:name="_ETM_Q152_521790"/>
      <w:bookmarkEnd w:id="78302"/>
      <w:r>
        <w:rPr>
          <w:rFonts w:hint="cs"/>
          <w:rtl/>
        </w:rPr>
        <w:t xml:space="preserve">את </w:t>
      </w:r>
      <w:bookmarkStart w:id="78303" w:name="_ETM_Q152_521880"/>
      <w:bookmarkEnd w:id="78303"/>
      <w:r>
        <w:rPr>
          <w:rFonts w:hint="cs"/>
          <w:rtl/>
        </w:rPr>
        <w:t xml:space="preserve">זה </w:t>
      </w:r>
      <w:bookmarkStart w:id="78304" w:name="_ETM_Q152_522000"/>
      <w:bookmarkEnd w:id="78304"/>
      <w:r>
        <w:rPr>
          <w:rFonts w:hint="cs"/>
          <w:rtl/>
        </w:rPr>
        <w:t xml:space="preserve">בבכי </w:t>
      </w:r>
      <w:bookmarkStart w:id="78305" w:name="_ETM_Q152_522570"/>
      <w:bookmarkEnd w:id="78305"/>
      <w:r>
        <w:rPr>
          <w:rFonts w:hint="cs"/>
          <w:rtl/>
        </w:rPr>
        <w:t xml:space="preserve">ובכאב </w:t>
      </w:r>
      <w:bookmarkStart w:id="78306" w:name="_ETM_Q152_523779"/>
      <w:bookmarkEnd w:id="78306"/>
      <w:r>
        <w:rPr>
          <w:rFonts w:hint="cs"/>
          <w:rtl/>
        </w:rPr>
        <w:t xml:space="preserve">– דור </w:t>
      </w:r>
      <w:bookmarkStart w:id="78307" w:name="_ETM_Q152_524350"/>
      <w:bookmarkEnd w:id="78307"/>
      <w:r>
        <w:rPr>
          <w:rFonts w:hint="cs"/>
          <w:rtl/>
        </w:rPr>
        <w:t xml:space="preserve">שגדל </w:t>
      </w:r>
      <w:bookmarkStart w:id="78308" w:name="_ETM_Q152_524920"/>
      <w:bookmarkEnd w:id="78308"/>
      <w:r>
        <w:rPr>
          <w:rFonts w:hint="cs"/>
          <w:rtl/>
        </w:rPr>
        <w:t>פה, ו</w:t>
      </w:r>
      <w:bookmarkStart w:id="78309" w:name="_ETM_Q152_525250"/>
      <w:bookmarkEnd w:id="78309"/>
      <w:r>
        <w:rPr>
          <w:rFonts w:hint="cs"/>
          <w:rtl/>
        </w:rPr>
        <w:t xml:space="preserve">כן </w:t>
      </w:r>
      <w:bookmarkStart w:id="78310" w:name="_ETM_Q152_525610"/>
      <w:bookmarkEnd w:id="78310"/>
      <w:r>
        <w:rPr>
          <w:rFonts w:hint="cs"/>
          <w:rtl/>
        </w:rPr>
        <w:t xml:space="preserve">רוצה </w:t>
      </w:r>
      <w:bookmarkStart w:id="78311" w:name="_ETM_Q152_526360"/>
      <w:bookmarkEnd w:id="78311"/>
      <w:r>
        <w:rPr>
          <w:rFonts w:hint="cs"/>
          <w:rtl/>
        </w:rPr>
        <w:t xml:space="preserve">כוחנות, </w:t>
      </w:r>
      <w:bookmarkStart w:id="78312" w:name="_ETM_Q152_527329"/>
      <w:bookmarkEnd w:id="78312"/>
      <w:r>
        <w:rPr>
          <w:rFonts w:hint="cs"/>
          <w:rtl/>
        </w:rPr>
        <w:t xml:space="preserve">ופשיזם </w:t>
      </w:r>
      <w:bookmarkStart w:id="78313" w:name="_ETM_Q152_527870"/>
      <w:bookmarkEnd w:id="78313"/>
      <w:r>
        <w:rPr>
          <w:rFonts w:hint="cs"/>
          <w:rtl/>
        </w:rPr>
        <w:t xml:space="preserve">אפילו, </w:t>
      </w:r>
      <w:bookmarkStart w:id="78314" w:name="_ETM_Q152_529250"/>
      <w:bookmarkEnd w:id="78314"/>
      <w:r>
        <w:rPr>
          <w:rFonts w:hint="cs"/>
          <w:rtl/>
        </w:rPr>
        <w:t xml:space="preserve">והוא </w:t>
      </w:r>
      <w:bookmarkStart w:id="78315" w:name="_ETM_Q152_529610"/>
      <w:bookmarkEnd w:id="78315"/>
      <w:r>
        <w:rPr>
          <w:rFonts w:hint="cs"/>
          <w:rtl/>
        </w:rPr>
        <w:t xml:space="preserve">אלים. </w:t>
      </w:r>
      <w:bookmarkStart w:id="78316" w:name="_ETM_Q152_530990"/>
      <w:bookmarkStart w:id="78317" w:name="_ETM_Q152_454794"/>
      <w:bookmarkStart w:id="78318" w:name="_ETM_Q152_454872"/>
      <w:bookmarkStart w:id="78319" w:name="_ETM_Q152_454917"/>
      <w:bookmarkStart w:id="78320" w:name="_ETM_Q152_454977"/>
      <w:bookmarkEnd w:id="78316"/>
      <w:bookmarkEnd w:id="78317"/>
      <w:bookmarkEnd w:id="78318"/>
      <w:bookmarkEnd w:id="78319"/>
      <w:bookmarkEnd w:id="78320"/>
      <w:r>
        <w:rPr>
          <w:rFonts w:hint="cs"/>
          <w:rtl/>
        </w:rPr>
        <w:t xml:space="preserve">אני </w:t>
      </w:r>
      <w:bookmarkStart w:id="78321" w:name="_ETM_Q152_533240"/>
      <w:bookmarkEnd w:id="78321"/>
      <w:r>
        <w:rPr>
          <w:rFonts w:hint="cs"/>
          <w:rtl/>
        </w:rPr>
        <w:t xml:space="preserve">גם </w:t>
      </w:r>
      <w:bookmarkStart w:id="78322" w:name="_ETM_Q152_533430"/>
      <w:bookmarkStart w:id="78323" w:name="_ETM_Q152_533880"/>
      <w:bookmarkEnd w:id="78322"/>
      <w:bookmarkEnd w:id="78323"/>
      <w:r>
        <w:rPr>
          <w:rFonts w:hint="cs"/>
          <w:rtl/>
        </w:rPr>
        <w:t xml:space="preserve">בוכה על הציבור </w:t>
      </w:r>
      <w:bookmarkStart w:id="78324" w:name="_ETM_Q152_534320"/>
      <w:bookmarkEnd w:id="78324"/>
      <w:r>
        <w:rPr>
          <w:rFonts w:hint="cs"/>
          <w:rtl/>
        </w:rPr>
        <w:t xml:space="preserve">שלנו, </w:t>
      </w:r>
      <w:bookmarkStart w:id="78325" w:name="_ETM_Q152_535480"/>
      <w:bookmarkEnd w:id="78325"/>
      <w:r>
        <w:rPr>
          <w:rFonts w:hint="cs"/>
          <w:rtl/>
        </w:rPr>
        <w:t xml:space="preserve">שהרבה </w:t>
      </w:r>
      <w:bookmarkStart w:id="78326" w:name="_ETM_Q152_535989"/>
      <w:bookmarkEnd w:id="78326"/>
      <w:r>
        <w:rPr>
          <w:rFonts w:hint="cs"/>
          <w:rtl/>
        </w:rPr>
        <w:t xml:space="preserve">מאוד </w:t>
      </w:r>
      <w:bookmarkStart w:id="78327" w:name="_ETM_Q152_536320"/>
      <w:bookmarkEnd w:id="78327"/>
      <w:r>
        <w:rPr>
          <w:rFonts w:hint="cs"/>
          <w:rtl/>
        </w:rPr>
        <w:t xml:space="preserve">שנים </w:t>
      </w:r>
      <w:bookmarkStart w:id="78328" w:name="_ETM_Q152_537279"/>
      <w:bookmarkEnd w:id="78328"/>
      <w:r>
        <w:rPr>
          <w:rFonts w:hint="cs"/>
          <w:rtl/>
        </w:rPr>
        <w:t xml:space="preserve">נרדם </w:t>
      </w:r>
      <w:bookmarkStart w:id="78329" w:name="_ETM_Q152_537790"/>
      <w:bookmarkEnd w:id="78329"/>
      <w:r>
        <w:rPr>
          <w:rFonts w:hint="cs"/>
          <w:rtl/>
        </w:rPr>
        <w:t xml:space="preserve">בשמירה, </w:t>
      </w:r>
      <w:bookmarkStart w:id="78330" w:name="_ETM_Q152_539100"/>
      <w:bookmarkEnd w:id="78330"/>
      <w:r>
        <w:rPr>
          <w:rFonts w:hint="cs"/>
          <w:rtl/>
        </w:rPr>
        <w:t xml:space="preserve">היה </w:t>
      </w:r>
      <w:bookmarkStart w:id="78331" w:name="_ETM_Q152_539430"/>
      <w:bookmarkEnd w:id="78331"/>
      <w:r>
        <w:rPr>
          <w:rFonts w:hint="cs"/>
          <w:rtl/>
        </w:rPr>
        <w:t>עסוק</w:t>
      </w:r>
      <w:bookmarkStart w:id="78332" w:name="_ETM_Q152_543601"/>
      <w:bookmarkEnd w:id="78332"/>
      <w:r>
        <w:rPr>
          <w:rFonts w:hint="cs"/>
          <w:rtl/>
        </w:rPr>
        <w:t xml:space="preserve"> </w:t>
      </w:r>
      <w:bookmarkStart w:id="78333" w:name="_ETM_Q152_540800"/>
      <w:bookmarkEnd w:id="78333"/>
      <w:r>
        <w:rPr>
          <w:rFonts w:hint="cs"/>
          <w:rtl/>
        </w:rPr>
        <w:t xml:space="preserve">בדברים </w:t>
      </w:r>
      <w:bookmarkStart w:id="78334" w:name="_ETM_Q152_541040"/>
      <w:bookmarkEnd w:id="78334"/>
      <w:r>
        <w:rPr>
          <w:rFonts w:hint="cs"/>
          <w:rtl/>
        </w:rPr>
        <w:t xml:space="preserve">אחרים – </w:t>
      </w:r>
      <w:bookmarkStart w:id="78335" w:name="_ETM_Q152_542059"/>
      <w:bookmarkEnd w:id="78335"/>
      <w:r>
        <w:rPr>
          <w:rFonts w:hint="cs"/>
          <w:rtl/>
        </w:rPr>
        <w:t xml:space="preserve">בקריירה, </w:t>
      </w:r>
      <w:bookmarkStart w:id="78336" w:name="_ETM_Q152_543410"/>
      <w:bookmarkEnd w:id="78336"/>
      <w:r>
        <w:rPr>
          <w:rFonts w:hint="cs"/>
          <w:rtl/>
        </w:rPr>
        <w:t xml:space="preserve">אולי </w:t>
      </w:r>
      <w:bookmarkStart w:id="78337" w:name="_ETM_Q152_543710"/>
      <w:bookmarkEnd w:id="78337"/>
      <w:r>
        <w:rPr>
          <w:rFonts w:hint="cs"/>
          <w:rtl/>
        </w:rPr>
        <w:t xml:space="preserve">אפילו </w:t>
      </w:r>
      <w:bookmarkStart w:id="78338" w:name="_ETM_Q152_544790"/>
      <w:bookmarkEnd w:id="78338"/>
      <w:r>
        <w:rPr>
          <w:rFonts w:hint="cs"/>
          <w:rtl/>
        </w:rPr>
        <w:t xml:space="preserve">בחיים </w:t>
      </w:r>
      <w:bookmarkStart w:id="78339" w:name="_ETM_Q152_545210"/>
      <w:bookmarkEnd w:id="78339"/>
      <w:r>
        <w:rPr>
          <w:rFonts w:hint="cs"/>
          <w:rtl/>
        </w:rPr>
        <w:t xml:space="preserve">הטובים. </w:t>
      </w:r>
      <w:bookmarkStart w:id="78340" w:name="_ETM_Q152_545600"/>
      <w:bookmarkEnd w:id="78340"/>
      <w:r>
        <w:rPr>
          <w:rFonts w:hint="cs"/>
          <w:rtl/>
        </w:rPr>
        <w:t xml:space="preserve">נרדמנו </w:t>
      </w:r>
      <w:bookmarkStart w:id="78341" w:name="_ETM_Q152_546500"/>
      <w:bookmarkEnd w:id="78341"/>
      <w:r>
        <w:rPr>
          <w:rFonts w:hint="cs"/>
          <w:rtl/>
        </w:rPr>
        <w:t xml:space="preserve">וחשבנו </w:t>
      </w:r>
      <w:bookmarkStart w:id="78342" w:name="_ETM_Q152_547010"/>
      <w:bookmarkEnd w:id="78342"/>
      <w:r>
        <w:rPr>
          <w:rFonts w:hint="cs"/>
          <w:rtl/>
        </w:rPr>
        <w:t xml:space="preserve">שיהיה </w:t>
      </w:r>
      <w:bookmarkStart w:id="78343" w:name="_ETM_Q152_547250"/>
      <w:bookmarkEnd w:id="78343"/>
      <w:r>
        <w:rPr>
          <w:rFonts w:hint="cs"/>
          <w:rtl/>
        </w:rPr>
        <w:t xml:space="preserve">בסדר, </w:t>
      </w:r>
      <w:bookmarkStart w:id="78344" w:name="_ETM_Q152_548150"/>
      <w:bookmarkEnd w:id="78344"/>
      <w:r>
        <w:rPr>
          <w:rFonts w:hint="cs"/>
          <w:rtl/>
        </w:rPr>
        <w:t xml:space="preserve">ונהיה </w:t>
      </w:r>
      <w:bookmarkStart w:id="78345" w:name="_ETM_Q152_548479"/>
      <w:bookmarkStart w:id="78346" w:name="_ETM_Q152_549140"/>
      <w:bookmarkEnd w:id="78345"/>
      <w:bookmarkEnd w:id="78346"/>
      <w:r>
        <w:rPr>
          <w:rFonts w:hint="cs"/>
          <w:rtl/>
        </w:rPr>
        <w:t xml:space="preserve">ממלכתיים, </w:t>
      </w:r>
      <w:bookmarkStart w:id="78347" w:name="_ETM_Q152_550279"/>
      <w:bookmarkEnd w:id="78347"/>
      <w:r>
        <w:rPr>
          <w:rFonts w:hint="cs"/>
          <w:rtl/>
        </w:rPr>
        <w:t xml:space="preserve">ונפנה </w:t>
      </w:r>
      <w:bookmarkStart w:id="78348" w:name="_ETM_Q152_550909"/>
      <w:bookmarkEnd w:id="78348"/>
      <w:r>
        <w:rPr>
          <w:rFonts w:hint="cs"/>
          <w:rtl/>
        </w:rPr>
        <w:t xml:space="preserve">את </w:t>
      </w:r>
      <w:bookmarkStart w:id="78349" w:name="_ETM_Q152_551029"/>
      <w:bookmarkEnd w:id="78349"/>
      <w:r>
        <w:rPr>
          <w:rFonts w:hint="cs"/>
          <w:rtl/>
        </w:rPr>
        <w:t xml:space="preserve">הלחי </w:t>
      </w:r>
      <w:bookmarkStart w:id="78350" w:name="_ETM_Q152_551360"/>
      <w:bookmarkEnd w:id="78350"/>
      <w:r>
        <w:rPr>
          <w:rFonts w:hint="cs"/>
          <w:rtl/>
        </w:rPr>
        <w:t xml:space="preserve">השנייה, </w:t>
      </w:r>
      <w:bookmarkStart w:id="78351" w:name="_ETM_Q152_552170"/>
      <w:bookmarkStart w:id="78352" w:name="_ETM_Q152_552560"/>
      <w:bookmarkEnd w:id="78351"/>
      <w:bookmarkEnd w:id="78352"/>
      <w:r>
        <w:rPr>
          <w:rFonts w:hint="cs"/>
          <w:rtl/>
        </w:rPr>
        <w:t xml:space="preserve">ונגלה אחריות, </w:t>
      </w:r>
      <w:bookmarkStart w:id="78353" w:name="_ETM_Q152_553490"/>
      <w:bookmarkEnd w:id="78353"/>
      <w:r>
        <w:rPr>
          <w:rFonts w:hint="cs"/>
          <w:rtl/>
        </w:rPr>
        <w:t xml:space="preserve">והכול </w:t>
      </w:r>
      <w:bookmarkStart w:id="78354" w:name="_ETM_Q152_554000"/>
      <w:bookmarkEnd w:id="78354"/>
      <w:r>
        <w:rPr>
          <w:rFonts w:hint="cs"/>
          <w:rtl/>
        </w:rPr>
        <w:t xml:space="preserve">יהיה </w:t>
      </w:r>
      <w:bookmarkStart w:id="78355" w:name="_ETM_Q152_554180"/>
      <w:bookmarkEnd w:id="78355"/>
      <w:r>
        <w:rPr>
          <w:rFonts w:hint="cs"/>
          <w:rtl/>
        </w:rPr>
        <w:t xml:space="preserve">בסדר. </w:t>
      </w:r>
      <w:bookmarkStart w:id="78356" w:name="_ETM_Q152_555630"/>
      <w:bookmarkStart w:id="78357" w:name="_ETM_Q152_558072"/>
      <w:bookmarkStart w:id="78358" w:name="_ETM_Q152_558138"/>
      <w:bookmarkStart w:id="78359" w:name="_ETM_Q152_558334"/>
      <w:bookmarkStart w:id="78360" w:name="_ETM_Q152_558422"/>
      <w:bookmarkEnd w:id="78356"/>
      <w:bookmarkEnd w:id="78357"/>
      <w:bookmarkEnd w:id="78358"/>
      <w:bookmarkEnd w:id="78359"/>
      <w:bookmarkEnd w:id="78360"/>
      <w:r>
        <w:rPr>
          <w:rFonts w:hint="cs"/>
          <w:rtl/>
        </w:rPr>
        <w:t xml:space="preserve">והינה, </w:t>
      </w:r>
      <w:bookmarkStart w:id="78361" w:name="_ETM_Q152_557109"/>
      <w:bookmarkEnd w:id="78361"/>
      <w:r>
        <w:rPr>
          <w:rFonts w:hint="cs"/>
          <w:rtl/>
        </w:rPr>
        <w:t xml:space="preserve">הכול </w:t>
      </w:r>
      <w:bookmarkStart w:id="78362" w:name="_ETM_Q152_557560"/>
      <w:bookmarkEnd w:id="78362"/>
      <w:r>
        <w:rPr>
          <w:rFonts w:hint="cs"/>
          <w:rtl/>
        </w:rPr>
        <w:t xml:space="preserve">ממש </w:t>
      </w:r>
      <w:bookmarkStart w:id="78363" w:name="_ETM_Q152_558130"/>
      <w:bookmarkEnd w:id="78363"/>
      <w:r>
        <w:rPr>
          <w:rFonts w:hint="cs"/>
          <w:rtl/>
        </w:rPr>
        <w:t xml:space="preserve">ממש </w:t>
      </w:r>
      <w:bookmarkStart w:id="78364" w:name="_ETM_Q152_558640"/>
      <w:bookmarkEnd w:id="78364"/>
      <w:r>
        <w:rPr>
          <w:rFonts w:hint="cs"/>
          <w:rtl/>
        </w:rPr>
        <w:t xml:space="preserve">לא </w:t>
      </w:r>
      <w:bookmarkStart w:id="78365" w:name="_ETM_Q152_558759"/>
      <w:bookmarkEnd w:id="78365"/>
      <w:r>
        <w:rPr>
          <w:rFonts w:hint="cs"/>
          <w:rtl/>
        </w:rPr>
        <w:t xml:space="preserve">בסדר. </w:t>
      </w:r>
      <w:bookmarkStart w:id="78366" w:name="_ETM_Q152_560680"/>
      <w:bookmarkStart w:id="78367" w:name="_ETM_Q152_563053"/>
      <w:bookmarkStart w:id="78368" w:name="_ETM_Q152_563126"/>
      <w:bookmarkStart w:id="78369" w:name="_ETM_Q152_563310"/>
      <w:bookmarkStart w:id="78370" w:name="_ETM_Q152_563401"/>
      <w:bookmarkEnd w:id="78366"/>
      <w:bookmarkEnd w:id="78367"/>
      <w:bookmarkEnd w:id="78368"/>
      <w:bookmarkEnd w:id="78369"/>
      <w:bookmarkEnd w:id="78370"/>
      <w:r>
        <w:rPr>
          <w:rFonts w:hint="cs"/>
          <w:rtl/>
        </w:rPr>
        <w:t xml:space="preserve">אז </w:t>
      </w:r>
      <w:bookmarkStart w:id="78371" w:name="_ETM_Q152_560830"/>
      <w:bookmarkEnd w:id="78371"/>
      <w:r>
        <w:rPr>
          <w:rFonts w:hint="cs"/>
          <w:rtl/>
        </w:rPr>
        <w:t xml:space="preserve">מרוב </w:t>
      </w:r>
      <w:bookmarkStart w:id="78372" w:name="_ETM_Q152_561189"/>
      <w:bookmarkEnd w:id="78372"/>
      <w:r>
        <w:rPr>
          <w:rFonts w:hint="cs"/>
          <w:rtl/>
        </w:rPr>
        <w:t xml:space="preserve">שאנחנו </w:t>
      </w:r>
      <w:bookmarkStart w:id="78373" w:name="_ETM_Q152_561610"/>
      <w:bookmarkEnd w:id="78373"/>
      <w:r>
        <w:rPr>
          <w:rFonts w:hint="cs"/>
          <w:rtl/>
        </w:rPr>
        <w:t xml:space="preserve">התעסקנו </w:t>
      </w:r>
      <w:bookmarkStart w:id="78374" w:name="_ETM_Q152_562810"/>
      <w:bookmarkEnd w:id="78374"/>
      <w:r>
        <w:rPr>
          <w:rFonts w:hint="cs"/>
          <w:rtl/>
        </w:rPr>
        <w:t xml:space="preserve">בחצי </w:t>
      </w:r>
      <w:bookmarkStart w:id="78375" w:name="_ETM_Q152_563350"/>
      <w:bookmarkEnd w:id="78375"/>
      <w:r>
        <w:rPr>
          <w:rFonts w:hint="cs"/>
          <w:rtl/>
        </w:rPr>
        <w:t xml:space="preserve">שנה </w:t>
      </w:r>
      <w:bookmarkStart w:id="78376" w:name="_ETM_Q152_563649"/>
      <w:bookmarkEnd w:id="78376"/>
      <w:r>
        <w:rPr>
          <w:rFonts w:hint="cs"/>
          <w:rtl/>
        </w:rPr>
        <w:t xml:space="preserve">האחרונה </w:t>
      </w:r>
      <w:bookmarkStart w:id="78377" w:name="_ETM_Q152_564810"/>
      <w:bookmarkEnd w:id="78377"/>
      <w:r>
        <w:rPr>
          <w:rFonts w:hint="cs"/>
          <w:rtl/>
        </w:rPr>
        <w:t xml:space="preserve">במילים </w:t>
      </w:r>
      <w:bookmarkStart w:id="78378" w:name="_ETM_Q152_565680"/>
      <w:bookmarkEnd w:id="78378"/>
      <w:r>
        <w:rPr>
          <w:rFonts w:hint="cs"/>
          <w:rtl/>
        </w:rPr>
        <w:t>יבשו</w:t>
      </w:r>
      <w:bookmarkStart w:id="78379" w:name="_ETM_Q152_566100"/>
      <w:bookmarkStart w:id="78380" w:name="_ETM_Q152_567770"/>
      <w:bookmarkEnd w:id="78379"/>
      <w:bookmarkEnd w:id="78380"/>
      <w:r>
        <w:rPr>
          <w:rFonts w:hint="cs"/>
          <w:rtl/>
        </w:rPr>
        <w:t>שיות ואפורות</w:t>
      </w:r>
      <w:bookmarkStart w:id="78381" w:name="_ETM_Q152_568640"/>
      <w:bookmarkEnd w:id="78381"/>
      <w:r w:rsidR="001D559F">
        <w:rPr>
          <w:rFonts w:hint="cs"/>
          <w:rtl/>
        </w:rPr>
        <w:t xml:space="preserve">, </w:t>
      </w:r>
      <w:r>
        <w:rPr>
          <w:rFonts w:hint="cs"/>
          <w:rtl/>
        </w:rPr>
        <w:t xml:space="preserve">שהבעירו, </w:t>
      </w:r>
      <w:bookmarkStart w:id="78382" w:name="_ETM_Q152_569589"/>
      <w:bookmarkEnd w:id="78382"/>
      <w:r>
        <w:rPr>
          <w:rFonts w:hint="cs"/>
          <w:rtl/>
        </w:rPr>
        <w:t xml:space="preserve">ובצדק, </w:t>
      </w:r>
      <w:bookmarkStart w:id="78383" w:name="_ETM_Q152_570159"/>
      <w:bookmarkEnd w:id="78383"/>
      <w:r>
        <w:rPr>
          <w:rFonts w:hint="cs"/>
          <w:rtl/>
        </w:rPr>
        <w:t xml:space="preserve">את </w:t>
      </w:r>
      <w:bookmarkStart w:id="78384" w:name="_ETM_Q152_570250"/>
      <w:bookmarkEnd w:id="78384"/>
      <w:r>
        <w:rPr>
          <w:rFonts w:hint="cs"/>
          <w:rtl/>
        </w:rPr>
        <w:t xml:space="preserve">המדינה </w:t>
      </w:r>
      <w:bookmarkStart w:id="78385" w:name="_ETM_Q152_572759"/>
      <w:bookmarkEnd w:id="78385"/>
      <w:r w:rsidR="001D559F">
        <w:rPr>
          <w:rFonts w:hint="eastAsia"/>
          <w:rtl/>
        </w:rPr>
        <w:t>–</w:t>
      </w:r>
      <w:r w:rsidR="001D559F">
        <w:rPr>
          <w:rFonts w:hint="cs"/>
          <w:rtl/>
        </w:rPr>
        <w:t xml:space="preserve"> </w:t>
      </w:r>
      <w:r>
        <w:rPr>
          <w:rFonts w:hint="cs"/>
          <w:rtl/>
        </w:rPr>
        <w:t xml:space="preserve">ביטויים </w:t>
      </w:r>
      <w:bookmarkStart w:id="78386" w:name="_ETM_Q152_573329"/>
      <w:bookmarkEnd w:id="78386"/>
      <w:r>
        <w:rPr>
          <w:rFonts w:hint="cs"/>
          <w:rtl/>
        </w:rPr>
        <w:t xml:space="preserve">כמו: </w:t>
      </w:r>
      <w:bookmarkStart w:id="78387" w:name="_ETM_Q152_573570"/>
      <w:bookmarkEnd w:id="78387"/>
      <w:r>
        <w:rPr>
          <w:rFonts w:hint="cs"/>
          <w:rtl/>
        </w:rPr>
        <w:t xml:space="preserve">עילת </w:t>
      </w:r>
      <w:bookmarkStart w:id="78388" w:name="_ETM_Q152_573810"/>
      <w:bookmarkEnd w:id="78388"/>
      <w:r>
        <w:rPr>
          <w:rFonts w:hint="cs"/>
          <w:rtl/>
        </w:rPr>
        <w:t xml:space="preserve">הסבירות, </w:t>
      </w:r>
      <w:bookmarkStart w:id="78389" w:name="_ETM_Q152_574500"/>
      <w:bookmarkEnd w:id="78389"/>
      <w:r>
        <w:rPr>
          <w:rFonts w:hint="cs"/>
          <w:rtl/>
        </w:rPr>
        <w:t xml:space="preserve">פסקת </w:t>
      </w:r>
      <w:bookmarkStart w:id="78390" w:name="_ETM_Q152_575009"/>
      <w:bookmarkEnd w:id="78390"/>
      <w:r>
        <w:rPr>
          <w:rFonts w:hint="cs"/>
          <w:rtl/>
        </w:rPr>
        <w:t xml:space="preserve">ההתגברות, </w:t>
      </w:r>
      <w:bookmarkStart w:id="78391" w:name="_ETM_Q152_575789"/>
      <w:bookmarkEnd w:id="78391"/>
      <w:r>
        <w:rPr>
          <w:rFonts w:hint="cs"/>
          <w:rtl/>
        </w:rPr>
        <w:t xml:space="preserve">ועדה </w:t>
      </w:r>
      <w:bookmarkStart w:id="78392" w:name="_ETM_Q152_576089"/>
      <w:bookmarkEnd w:id="78392"/>
      <w:r>
        <w:rPr>
          <w:rFonts w:hint="cs"/>
          <w:rtl/>
        </w:rPr>
        <w:t xml:space="preserve">לבחירת </w:t>
      </w:r>
      <w:bookmarkStart w:id="78393" w:name="_ETM_Q152_576539"/>
      <w:bookmarkEnd w:id="78393"/>
      <w:r>
        <w:rPr>
          <w:rFonts w:hint="cs"/>
          <w:rtl/>
        </w:rPr>
        <w:t>שופטים</w:t>
      </w:r>
      <w:bookmarkStart w:id="78394" w:name="_ETM_Q152_578130"/>
      <w:bookmarkEnd w:id="78394"/>
      <w:r w:rsidR="001D559F">
        <w:rPr>
          <w:rFonts w:hint="cs"/>
          <w:rtl/>
        </w:rPr>
        <w:t xml:space="preserve"> </w:t>
      </w:r>
      <w:bookmarkStart w:id="78395" w:name="_ETM_Q0_91008072"/>
      <w:bookmarkEnd w:id="78395"/>
      <w:r w:rsidR="001D559F">
        <w:rPr>
          <w:rFonts w:hint="eastAsia"/>
          <w:rtl/>
        </w:rPr>
        <w:t>–</w:t>
      </w:r>
      <w:r w:rsidR="001D559F">
        <w:rPr>
          <w:rFonts w:hint="cs"/>
          <w:rtl/>
        </w:rPr>
        <w:t xml:space="preserve"> </w:t>
      </w:r>
      <w:bookmarkStart w:id="78396" w:name="_ETM_Q152_579477"/>
      <w:bookmarkStart w:id="78397" w:name="_ETM_Q152_579578"/>
      <w:bookmarkStart w:id="78398" w:name="_ETM_Q152_579662"/>
      <w:bookmarkStart w:id="78399" w:name="_ETM_Q152_579733"/>
      <w:bookmarkStart w:id="78400" w:name="_ETM_Q152_578939"/>
      <w:bookmarkEnd w:id="78396"/>
      <w:bookmarkEnd w:id="78397"/>
      <w:bookmarkEnd w:id="78398"/>
      <w:bookmarkEnd w:id="78399"/>
      <w:bookmarkEnd w:id="78400"/>
      <w:r>
        <w:rPr>
          <w:rFonts w:hint="cs"/>
          <w:rtl/>
        </w:rPr>
        <w:t xml:space="preserve">בדקות </w:t>
      </w:r>
      <w:bookmarkStart w:id="78401" w:name="_ETM_Q152_579619"/>
      <w:bookmarkEnd w:id="78401"/>
      <w:r>
        <w:rPr>
          <w:rFonts w:hint="cs"/>
          <w:rtl/>
        </w:rPr>
        <w:t xml:space="preserve">הספורות </w:t>
      </w:r>
      <w:bookmarkStart w:id="78402" w:name="_ETM_Q152_580840"/>
      <w:bookmarkEnd w:id="78402"/>
      <w:r>
        <w:rPr>
          <w:rFonts w:hint="cs"/>
          <w:rtl/>
        </w:rPr>
        <w:t xml:space="preserve">שנשארו </w:t>
      </w:r>
      <w:bookmarkStart w:id="78403" w:name="_ETM_Q152_581470"/>
      <w:bookmarkEnd w:id="78403"/>
      <w:r>
        <w:rPr>
          <w:rFonts w:hint="cs"/>
          <w:rtl/>
        </w:rPr>
        <w:t xml:space="preserve">לי, </w:t>
      </w:r>
      <w:bookmarkStart w:id="78404" w:name="_ETM_Q152_582869"/>
      <w:bookmarkEnd w:id="78404"/>
      <w:r>
        <w:rPr>
          <w:rFonts w:hint="cs"/>
          <w:rtl/>
        </w:rPr>
        <w:t xml:space="preserve">אני מרגישה </w:t>
      </w:r>
      <w:bookmarkStart w:id="78405" w:name="_ETM_Q152_583380"/>
      <w:bookmarkEnd w:id="78405"/>
      <w:r>
        <w:rPr>
          <w:rFonts w:hint="cs"/>
          <w:rtl/>
        </w:rPr>
        <w:t xml:space="preserve">את </w:t>
      </w:r>
      <w:bookmarkStart w:id="78406" w:name="_ETM_Q152_583500"/>
      <w:bookmarkEnd w:id="78406"/>
      <w:r>
        <w:rPr>
          <w:rFonts w:hint="cs"/>
          <w:rtl/>
        </w:rPr>
        <w:t xml:space="preserve">הצורך </w:t>
      </w:r>
      <w:bookmarkStart w:id="78407" w:name="_ETM_Q152_584190"/>
      <w:bookmarkEnd w:id="78407"/>
      <w:r>
        <w:rPr>
          <w:rFonts w:hint="cs"/>
          <w:rtl/>
        </w:rPr>
        <w:t xml:space="preserve">להזכיר </w:t>
      </w:r>
      <w:bookmarkStart w:id="78408" w:name="_ETM_Q152_585499"/>
      <w:bookmarkEnd w:id="78408"/>
      <w:r>
        <w:rPr>
          <w:rFonts w:hint="cs"/>
          <w:rtl/>
        </w:rPr>
        <w:t xml:space="preserve">את </w:t>
      </w:r>
      <w:bookmarkStart w:id="78409" w:name="_ETM_Q152_585709"/>
      <w:bookmarkEnd w:id="78409"/>
      <w:r>
        <w:rPr>
          <w:rFonts w:hint="cs"/>
          <w:rtl/>
        </w:rPr>
        <w:t xml:space="preserve">המהות, </w:t>
      </w:r>
      <w:bookmarkStart w:id="78410" w:name="_ETM_Q152_586339"/>
      <w:bookmarkEnd w:id="78410"/>
      <w:r>
        <w:rPr>
          <w:rFonts w:hint="cs"/>
          <w:rtl/>
        </w:rPr>
        <w:t xml:space="preserve">החלום </w:t>
      </w:r>
      <w:bookmarkStart w:id="78411" w:name="_ETM_Q152_586729"/>
      <w:bookmarkEnd w:id="78411"/>
      <w:r>
        <w:rPr>
          <w:rFonts w:hint="cs"/>
          <w:rtl/>
        </w:rPr>
        <w:t>והחזון</w:t>
      </w:r>
      <w:r w:rsidR="001D559F">
        <w:rPr>
          <w:rFonts w:hint="cs"/>
          <w:rtl/>
        </w:rPr>
        <w:t>,</w:t>
      </w:r>
      <w:r>
        <w:rPr>
          <w:rFonts w:hint="cs"/>
          <w:rtl/>
        </w:rPr>
        <w:t xml:space="preserve"> </w:t>
      </w:r>
      <w:bookmarkStart w:id="78412" w:name="_ETM_Q152_591060"/>
      <w:bookmarkEnd w:id="78412"/>
      <w:r>
        <w:rPr>
          <w:rFonts w:hint="cs"/>
          <w:rtl/>
        </w:rPr>
        <w:t>לטוב</w:t>
      </w:r>
      <w:bookmarkStart w:id="78413" w:name="_ETM_Q152_591710"/>
      <w:bookmarkStart w:id="78414" w:name="_ETM_Q152_591950"/>
      <w:bookmarkEnd w:id="78413"/>
      <w:bookmarkEnd w:id="78414"/>
      <w:r>
        <w:rPr>
          <w:rFonts w:hint="cs"/>
          <w:rtl/>
        </w:rPr>
        <w:t xml:space="preserve">ת הדמוקרטיה </w:t>
      </w:r>
      <w:bookmarkStart w:id="78415" w:name="_ETM_Q152_593180"/>
      <w:bookmarkEnd w:id="78415"/>
      <w:r>
        <w:rPr>
          <w:rFonts w:hint="cs"/>
          <w:rtl/>
        </w:rPr>
        <w:t xml:space="preserve">המוסרית </w:t>
      </w:r>
      <w:bookmarkStart w:id="78416" w:name="_ETM_Q152_594770"/>
      <w:bookmarkEnd w:id="78416"/>
      <w:r>
        <w:rPr>
          <w:rFonts w:hint="cs"/>
          <w:rtl/>
        </w:rPr>
        <w:t xml:space="preserve">והיהודית </w:t>
      </w:r>
      <w:bookmarkStart w:id="78417" w:name="_ETM_Q152_595579"/>
      <w:bookmarkEnd w:id="78417"/>
      <w:r>
        <w:rPr>
          <w:rFonts w:hint="cs"/>
          <w:rtl/>
        </w:rPr>
        <w:t xml:space="preserve">האחראית, </w:t>
      </w:r>
      <w:bookmarkStart w:id="78418" w:name="_ETM_Q152_596920"/>
      <w:bookmarkEnd w:id="78418"/>
      <w:r>
        <w:rPr>
          <w:rFonts w:hint="cs"/>
          <w:rtl/>
        </w:rPr>
        <w:t xml:space="preserve">על </w:t>
      </w:r>
      <w:bookmarkStart w:id="78419" w:name="_ETM_Q152_597100"/>
      <w:bookmarkEnd w:id="78419"/>
      <w:r>
        <w:rPr>
          <w:rFonts w:hint="cs"/>
          <w:rtl/>
        </w:rPr>
        <w:t xml:space="preserve">שבעת </w:t>
      </w:r>
      <w:bookmarkStart w:id="78420" w:name="_ETM_Q152_597520"/>
      <w:bookmarkEnd w:id="78420"/>
      <w:r>
        <w:rPr>
          <w:rFonts w:hint="cs"/>
          <w:rtl/>
        </w:rPr>
        <w:t>ערכיה</w:t>
      </w:r>
      <w:bookmarkStart w:id="78421" w:name="_ETM_Q152_599100"/>
      <w:bookmarkEnd w:id="78421"/>
      <w:r>
        <w:rPr>
          <w:rFonts w:hint="cs"/>
          <w:rtl/>
        </w:rPr>
        <w:t xml:space="preserve"> </w:t>
      </w:r>
      <w:r w:rsidR="001D559F">
        <w:rPr>
          <w:rFonts w:hint="eastAsia"/>
          <w:rtl/>
        </w:rPr>
        <w:t>–</w:t>
      </w:r>
      <w:r w:rsidR="001D559F">
        <w:rPr>
          <w:rFonts w:hint="cs"/>
          <w:rtl/>
        </w:rPr>
        <w:t xml:space="preserve"> </w:t>
      </w:r>
      <w:r>
        <w:rPr>
          <w:rFonts w:hint="cs"/>
          <w:rtl/>
        </w:rPr>
        <w:t xml:space="preserve">משטר </w:t>
      </w:r>
      <w:bookmarkStart w:id="78422" w:name="_ETM_Q152_599729"/>
      <w:bookmarkEnd w:id="78422"/>
      <w:r>
        <w:rPr>
          <w:rFonts w:hint="cs"/>
          <w:rtl/>
        </w:rPr>
        <w:t xml:space="preserve">דמוקרטי </w:t>
      </w:r>
      <w:bookmarkStart w:id="78423" w:name="_ETM_Q152_600390"/>
      <w:bookmarkEnd w:id="78423"/>
      <w:r>
        <w:rPr>
          <w:rFonts w:hint="cs"/>
          <w:rtl/>
        </w:rPr>
        <w:t xml:space="preserve">מופתי </w:t>
      </w:r>
      <w:bookmarkStart w:id="78424" w:name="_ETM_Q152_601560"/>
      <w:bookmarkEnd w:id="78424"/>
      <w:r>
        <w:rPr>
          <w:rFonts w:hint="cs"/>
          <w:rtl/>
        </w:rPr>
        <w:t xml:space="preserve">של </w:t>
      </w:r>
      <w:bookmarkStart w:id="78425" w:name="_ETM_Q152_601829"/>
      <w:bookmarkEnd w:id="78425"/>
      <w:r>
        <w:rPr>
          <w:rFonts w:hint="cs"/>
          <w:rtl/>
        </w:rPr>
        <w:t xml:space="preserve">משמר </w:t>
      </w:r>
      <w:bookmarkStart w:id="78426" w:name="_ETM_Q152_602579"/>
      <w:bookmarkEnd w:id="78426"/>
      <w:r>
        <w:rPr>
          <w:rFonts w:hint="cs"/>
          <w:rtl/>
        </w:rPr>
        <w:t xml:space="preserve">כבוד </w:t>
      </w:r>
      <w:bookmarkStart w:id="78427" w:name="_ETM_Q152_603149"/>
      <w:bookmarkEnd w:id="78427"/>
      <w:r>
        <w:rPr>
          <w:rFonts w:hint="cs"/>
          <w:rtl/>
        </w:rPr>
        <w:t>האדם</w:t>
      </w:r>
      <w:bookmarkStart w:id="78428" w:name="_ETM_Q152_604170"/>
      <w:bookmarkEnd w:id="78428"/>
      <w:r>
        <w:rPr>
          <w:rFonts w:hint="cs"/>
          <w:rtl/>
        </w:rPr>
        <w:t xml:space="preserve">, שוויון, </w:t>
      </w:r>
      <w:bookmarkStart w:id="78429" w:name="_ETM_Q152_605369"/>
      <w:bookmarkEnd w:id="78429"/>
      <w:r>
        <w:rPr>
          <w:rFonts w:hint="cs"/>
          <w:rtl/>
        </w:rPr>
        <w:t xml:space="preserve">צדק </w:t>
      </w:r>
      <w:bookmarkStart w:id="78430" w:name="_ETM_Q152_605970"/>
      <w:bookmarkEnd w:id="78430"/>
      <w:r>
        <w:rPr>
          <w:rFonts w:hint="cs"/>
          <w:rtl/>
        </w:rPr>
        <w:t xml:space="preserve">והגינות, </w:t>
      </w:r>
      <w:bookmarkStart w:id="78431" w:name="_ETM_Q152_607299"/>
      <w:bookmarkEnd w:id="78431"/>
      <w:r>
        <w:rPr>
          <w:rFonts w:hint="cs"/>
          <w:rtl/>
        </w:rPr>
        <w:t xml:space="preserve">עם </w:t>
      </w:r>
      <w:bookmarkStart w:id="78432" w:name="_ETM_Q152_607479"/>
      <w:bookmarkEnd w:id="78432"/>
      <w:r>
        <w:rPr>
          <w:rFonts w:hint="cs"/>
          <w:rtl/>
        </w:rPr>
        <w:t xml:space="preserve">לאומיות </w:t>
      </w:r>
      <w:bookmarkStart w:id="78433" w:name="_ETM_Q152_608290"/>
      <w:bookmarkEnd w:id="78433"/>
      <w:r>
        <w:rPr>
          <w:rFonts w:hint="cs"/>
          <w:rtl/>
        </w:rPr>
        <w:t xml:space="preserve">יהודית </w:t>
      </w:r>
      <w:bookmarkStart w:id="78434" w:name="_ETM_Q152_608860"/>
      <w:bookmarkEnd w:id="78434"/>
      <w:r>
        <w:rPr>
          <w:rFonts w:hint="cs"/>
          <w:rtl/>
        </w:rPr>
        <w:t>מופתית</w:t>
      </w:r>
      <w:bookmarkStart w:id="78435" w:name="_ETM_Q152_609970"/>
      <w:bookmarkEnd w:id="78435"/>
      <w:r>
        <w:rPr>
          <w:rFonts w:hint="cs"/>
          <w:rtl/>
        </w:rPr>
        <w:t xml:space="preserve">, של </w:t>
      </w:r>
      <w:bookmarkStart w:id="78436" w:name="_ETM_Q152_610300"/>
      <w:bookmarkEnd w:id="78436"/>
      <w:r>
        <w:rPr>
          <w:rFonts w:hint="cs"/>
          <w:rtl/>
        </w:rPr>
        <w:t xml:space="preserve">אחריות </w:t>
      </w:r>
      <w:bookmarkStart w:id="78437" w:name="_ETM_Q152_611319"/>
      <w:bookmarkEnd w:id="78437"/>
      <w:r>
        <w:rPr>
          <w:rFonts w:hint="cs"/>
          <w:rtl/>
        </w:rPr>
        <w:t xml:space="preserve">עצמאות </w:t>
      </w:r>
      <w:bookmarkStart w:id="78438" w:name="_ETM_Q152_612550"/>
      <w:bookmarkEnd w:id="78438"/>
      <w:r>
        <w:rPr>
          <w:rFonts w:hint="cs"/>
          <w:rtl/>
        </w:rPr>
        <w:t xml:space="preserve">וחתירה </w:t>
      </w:r>
      <w:bookmarkStart w:id="78439" w:name="_ETM_Q152_613360"/>
      <w:bookmarkEnd w:id="78439"/>
      <w:r>
        <w:rPr>
          <w:rFonts w:hint="cs"/>
          <w:rtl/>
        </w:rPr>
        <w:t xml:space="preserve">לשלום. </w:t>
      </w:r>
      <w:bookmarkStart w:id="78440" w:name="_ETM_Q152_614980"/>
      <w:bookmarkStart w:id="78441" w:name="_ETM_Q152_617036"/>
      <w:bookmarkStart w:id="78442" w:name="_ETM_Q152_617105"/>
      <w:bookmarkStart w:id="78443" w:name="_ETM_Q152_617212"/>
      <w:bookmarkStart w:id="78444" w:name="_ETM_Q152_617262"/>
      <w:bookmarkEnd w:id="78440"/>
      <w:bookmarkEnd w:id="78441"/>
      <w:bookmarkEnd w:id="78442"/>
      <w:bookmarkEnd w:id="78443"/>
      <w:bookmarkEnd w:id="78444"/>
      <w:r>
        <w:rPr>
          <w:rFonts w:hint="cs"/>
          <w:rtl/>
        </w:rPr>
        <w:t xml:space="preserve">כולנו </w:t>
      </w:r>
      <w:bookmarkStart w:id="78445" w:name="_ETM_Q152_615550"/>
      <w:bookmarkEnd w:id="78445"/>
      <w:r>
        <w:rPr>
          <w:rFonts w:hint="cs"/>
          <w:rtl/>
        </w:rPr>
        <w:t xml:space="preserve">מצביעים </w:t>
      </w:r>
      <w:bookmarkStart w:id="78446" w:name="_ETM_Q152_616030"/>
      <w:bookmarkEnd w:id="78446"/>
      <w:r>
        <w:rPr>
          <w:rFonts w:hint="cs"/>
          <w:rtl/>
        </w:rPr>
        <w:t xml:space="preserve">ברגליים, </w:t>
      </w:r>
      <w:bookmarkStart w:id="78447" w:name="_ETM_Q152_617200"/>
      <w:bookmarkEnd w:id="78447"/>
      <w:r>
        <w:rPr>
          <w:rFonts w:hint="cs"/>
          <w:rtl/>
        </w:rPr>
        <w:t xml:space="preserve">בידיים, </w:t>
      </w:r>
      <w:bookmarkStart w:id="78448" w:name="_ETM_Q152_618620"/>
      <w:bookmarkEnd w:id="78448"/>
      <w:r>
        <w:rPr>
          <w:rFonts w:hint="cs"/>
          <w:rtl/>
        </w:rPr>
        <w:t xml:space="preserve">והלב </w:t>
      </w:r>
      <w:bookmarkStart w:id="78449" w:name="_ETM_Q152_619219"/>
      <w:bookmarkEnd w:id="78449"/>
      <w:r>
        <w:rPr>
          <w:rFonts w:hint="cs"/>
          <w:rtl/>
        </w:rPr>
        <w:t xml:space="preserve">שלנו </w:t>
      </w:r>
      <w:bookmarkStart w:id="78450" w:name="_ETM_Q152_619790"/>
      <w:bookmarkEnd w:id="78450"/>
      <w:r>
        <w:rPr>
          <w:rFonts w:hint="cs"/>
          <w:rtl/>
        </w:rPr>
        <w:t xml:space="preserve">נוהה </w:t>
      </w:r>
      <w:bookmarkStart w:id="78451" w:name="_ETM_Q152_621170"/>
      <w:bookmarkEnd w:id="78451"/>
      <w:r>
        <w:rPr>
          <w:rFonts w:hint="cs"/>
          <w:rtl/>
        </w:rPr>
        <w:t xml:space="preserve">אחרי </w:t>
      </w:r>
      <w:bookmarkStart w:id="78452" w:name="_ETM_Q152_621530"/>
      <w:bookmarkEnd w:id="78452"/>
      <w:r>
        <w:rPr>
          <w:rFonts w:hint="cs"/>
          <w:rtl/>
        </w:rPr>
        <w:t xml:space="preserve">הגשמת </w:t>
      </w:r>
      <w:bookmarkStart w:id="78453" w:name="_ETM_Q152_622190"/>
      <w:bookmarkEnd w:id="78453"/>
      <w:r>
        <w:rPr>
          <w:rFonts w:hint="cs"/>
          <w:rtl/>
        </w:rPr>
        <w:t xml:space="preserve">העקרונות </w:t>
      </w:r>
      <w:bookmarkStart w:id="78454" w:name="_ETM_Q152_622850"/>
      <w:bookmarkEnd w:id="78454"/>
      <w:r>
        <w:rPr>
          <w:rFonts w:hint="cs"/>
          <w:rtl/>
        </w:rPr>
        <w:t xml:space="preserve">האלה </w:t>
      </w:r>
      <w:bookmarkStart w:id="78455" w:name="_ETM_Q152_623690"/>
      <w:bookmarkEnd w:id="78455"/>
      <w:r>
        <w:rPr>
          <w:rFonts w:hint="cs"/>
          <w:rtl/>
        </w:rPr>
        <w:t xml:space="preserve">של </w:t>
      </w:r>
      <w:bookmarkStart w:id="78456" w:name="_ETM_Q152_623990"/>
      <w:bookmarkEnd w:id="78456"/>
      <w:r>
        <w:rPr>
          <w:rFonts w:hint="cs"/>
          <w:rtl/>
        </w:rPr>
        <w:t xml:space="preserve">מדינה </w:t>
      </w:r>
      <w:bookmarkStart w:id="78457" w:name="_ETM_Q152_625010"/>
      <w:bookmarkEnd w:id="78457"/>
      <w:r>
        <w:rPr>
          <w:rFonts w:hint="cs"/>
          <w:rtl/>
        </w:rPr>
        <w:t xml:space="preserve">מוסרית </w:t>
      </w:r>
      <w:bookmarkStart w:id="78458" w:name="_ETM_Q152_626150"/>
      <w:bookmarkEnd w:id="78458"/>
      <w:r>
        <w:rPr>
          <w:rFonts w:hint="cs"/>
          <w:rtl/>
        </w:rPr>
        <w:t xml:space="preserve">דמוקרטית </w:t>
      </w:r>
      <w:bookmarkStart w:id="78459" w:name="_ETM_Q152_627190"/>
      <w:bookmarkEnd w:id="78459"/>
      <w:r>
        <w:rPr>
          <w:rFonts w:hint="cs"/>
          <w:rtl/>
        </w:rPr>
        <w:t xml:space="preserve">ליברלית </w:t>
      </w:r>
      <w:bookmarkStart w:id="78460" w:name="_ETM_Q152_628330"/>
      <w:bookmarkEnd w:id="78460"/>
      <w:r>
        <w:rPr>
          <w:rFonts w:hint="cs"/>
          <w:rtl/>
        </w:rPr>
        <w:t xml:space="preserve">מהותית, </w:t>
      </w:r>
      <w:bookmarkStart w:id="78461" w:name="_ETM_Q152_629799"/>
      <w:bookmarkEnd w:id="78461"/>
      <w:r>
        <w:rPr>
          <w:rFonts w:hint="cs"/>
          <w:rtl/>
        </w:rPr>
        <w:t xml:space="preserve">בעלת </w:t>
      </w:r>
      <w:bookmarkStart w:id="78462" w:name="_ETM_Q152_630279"/>
      <w:bookmarkEnd w:id="78462"/>
      <w:r>
        <w:rPr>
          <w:rFonts w:hint="cs"/>
          <w:rtl/>
        </w:rPr>
        <w:t xml:space="preserve">משטר </w:t>
      </w:r>
      <w:bookmarkStart w:id="78463" w:name="_ETM_Q152_630790"/>
      <w:bookmarkEnd w:id="78463"/>
      <w:r>
        <w:rPr>
          <w:rFonts w:hint="cs"/>
          <w:rtl/>
        </w:rPr>
        <w:t xml:space="preserve">מוסרי, </w:t>
      </w:r>
      <w:bookmarkStart w:id="78464" w:name="_ETM_Q152_632019"/>
      <w:bookmarkEnd w:id="78464"/>
      <w:r>
        <w:rPr>
          <w:rFonts w:hint="cs"/>
          <w:rtl/>
        </w:rPr>
        <w:t xml:space="preserve">שכבוד </w:t>
      </w:r>
      <w:bookmarkStart w:id="78465" w:name="_ETM_Q152_632950"/>
      <w:bookmarkEnd w:id="78465"/>
      <w:r>
        <w:rPr>
          <w:rFonts w:hint="cs"/>
          <w:rtl/>
        </w:rPr>
        <w:t xml:space="preserve">האדם </w:t>
      </w:r>
      <w:bookmarkStart w:id="78466" w:name="_ETM_Q152_633799"/>
      <w:bookmarkEnd w:id="78466"/>
      <w:r>
        <w:rPr>
          <w:rFonts w:hint="cs"/>
          <w:rtl/>
        </w:rPr>
        <w:t xml:space="preserve">ביסודו </w:t>
      </w:r>
      <w:bookmarkStart w:id="78467" w:name="_ETM_Q152_635300"/>
      <w:bookmarkEnd w:id="78467"/>
      <w:r>
        <w:rPr>
          <w:rFonts w:hint="cs"/>
          <w:rtl/>
        </w:rPr>
        <w:t xml:space="preserve">וזכויות </w:t>
      </w:r>
      <w:bookmarkStart w:id="78468" w:name="_ETM_Q152_636320"/>
      <w:bookmarkEnd w:id="78468"/>
      <w:r>
        <w:rPr>
          <w:rFonts w:hint="cs"/>
          <w:rtl/>
        </w:rPr>
        <w:t xml:space="preserve">האדם </w:t>
      </w:r>
      <w:bookmarkStart w:id="78469" w:name="_ETM_Q152_637130"/>
      <w:bookmarkEnd w:id="78469"/>
      <w:r>
        <w:rPr>
          <w:rFonts w:hint="cs"/>
          <w:rtl/>
        </w:rPr>
        <w:t xml:space="preserve">במרכזו. </w:t>
      </w:r>
      <w:bookmarkStart w:id="78470" w:name="_ETM_Q152_639110"/>
      <w:bookmarkEnd w:id="78470"/>
      <w:r>
        <w:rPr>
          <w:rFonts w:hint="cs"/>
          <w:rtl/>
        </w:rPr>
        <w:t xml:space="preserve">החזון </w:t>
      </w:r>
      <w:bookmarkStart w:id="78471" w:name="_ETM_Q152_640470"/>
      <w:bookmarkEnd w:id="78471"/>
      <w:r>
        <w:rPr>
          <w:rFonts w:hint="cs"/>
          <w:rtl/>
        </w:rPr>
        <w:t xml:space="preserve">והמהות </w:t>
      </w:r>
      <w:bookmarkStart w:id="78472" w:name="_ETM_Q152_641130"/>
      <w:bookmarkEnd w:id="78472"/>
      <w:r>
        <w:rPr>
          <w:rFonts w:hint="cs"/>
          <w:rtl/>
        </w:rPr>
        <w:t xml:space="preserve">שלנו </w:t>
      </w:r>
      <w:bookmarkStart w:id="78473" w:name="_ETM_Q152_642269"/>
      <w:bookmarkEnd w:id="78473"/>
      <w:r>
        <w:rPr>
          <w:rFonts w:hint="cs"/>
          <w:rtl/>
        </w:rPr>
        <w:t>אינ</w:t>
      </w:r>
      <w:r w:rsidR="001D559F">
        <w:rPr>
          <w:rFonts w:hint="cs"/>
          <w:rtl/>
        </w:rPr>
        <w:t>ם</w:t>
      </w:r>
      <w:r>
        <w:rPr>
          <w:rFonts w:hint="cs"/>
          <w:rtl/>
        </w:rPr>
        <w:t xml:space="preserve"> </w:t>
      </w:r>
      <w:bookmarkStart w:id="78474" w:name="_ETM_Q152_642810"/>
      <w:bookmarkEnd w:id="78474"/>
      <w:r>
        <w:rPr>
          <w:rFonts w:hint="cs"/>
          <w:rtl/>
        </w:rPr>
        <w:t>מוותר</w:t>
      </w:r>
      <w:r w:rsidR="001D559F">
        <w:rPr>
          <w:rFonts w:hint="cs"/>
          <w:rtl/>
        </w:rPr>
        <w:t>ים</w:t>
      </w:r>
      <w:r>
        <w:rPr>
          <w:rFonts w:hint="cs"/>
          <w:rtl/>
        </w:rPr>
        <w:t xml:space="preserve"> </w:t>
      </w:r>
      <w:bookmarkStart w:id="78475" w:name="_ETM_Q152_643499"/>
      <w:bookmarkEnd w:id="78475"/>
      <w:r>
        <w:rPr>
          <w:rFonts w:hint="cs"/>
          <w:rtl/>
        </w:rPr>
        <w:t xml:space="preserve">על </w:t>
      </w:r>
      <w:bookmarkStart w:id="78476" w:name="_ETM_Q152_643620"/>
      <w:bookmarkEnd w:id="78476"/>
      <w:r>
        <w:rPr>
          <w:rFonts w:hint="cs"/>
          <w:rtl/>
        </w:rPr>
        <w:t xml:space="preserve">עיקרון </w:t>
      </w:r>
      <w:bookmarkStart w:id="78477" w:name="_ETM_Q152_644459"/>
      <w:bookmarkEnd w:id="78477"/>
      <w:r>
        <w:rPr>
          <w:rFonts w:hint="cs"/>
          <w:rtl/>
        </w:rPr>
        <w:t xml:space="preserve">מדינת </w:t>
      </w:r>
      <w:bookmarkStart w:id="78478" w:name="_ETM_Q152_645090"/>
      <w:bookmarkEnd w:id="78478"/>
      <w:r>
        <w:rPr>
          <w:rFonts w:hint="cs"/>
          <w:rtl/>
        </w:rPr>
        <w:t xml:space="preserve">הלאום </w:t>
      </w:r>
      <w:bookmarkStart w:id="78479" w:name="_ETM_Q152_645989"/>
      <w:bookmarkEnd w:id="78479"/>
      <w:r>
        <w:rPr>
          <w:rFonts w:hint="cs"/>
          <w:rtl/>
        </w:rPr>
        <w:t xml:space="preserve">של </w:t>
      </w:r>
      <w:bookmarkStart w:id="78480" w:name="_ETM_Q152_646300"/>
      <w:bookmarkEnd w:id="78480"/>
      <w:r>
        <w:rPr>
          <w:rFonts w:hint="cs"/>
          <w:rtl/>
        </w:rPr>
        <w:t xml:space="preserve">העם </w:t>
      </w:r>
      <w:bookmarkStart w:id="78481" w:name="_ETM_Q152_646600"/>
      <w:bookmarkEnd w:id="78481"/>
      <w:r>
        <w:rPr>
          <w:rFonts w:hint="cs"/>
          <w:rtl/>
        </w:rPr>
        <w:t xml:space="preserve">היהודי </w:t>
      </w:r>
      <w:bookmarkStart w:id="78482" w:name="_ETM_Q152_647140"/>
      <w:bookmarkEnd w:id="78482"/>
      <w:r>
        <w:rPr>
          <w:rFonts w:hint="cs"/>
          <w:rtl/>
        </w:rPr>
        <w:t xml:space="preserve">האחראי </w:t>
      </w:r>
      <w:bookmarkStart w:id="78483" w:name="_ETM_Q152_648540"/>
      <w:bookmarkEnd w:id="78483"/>
      <w:r w:rsidR="001D559F">
        <w:rPr>
          <w:rFonts w:hint="eastAsia"/>
          <w:rtl/>
        </w:rPr>
        <w:t>–</w:t>
      </w:r>
      <w:r w:rsidR="001D559F">
        <w:rPr>
          <w:rFonts w:hint="cs"/>
          <w:rtl/>
        </w:rPr>
        <w:t xml:space="preserve"> </w:t>
      </w:r>
      <w:r>
        <w:rPr>
          <w:rFonts w:hint="cs"/>
          <w:rtl/>
        </w:rPr>
        <w:t xml:space="preserve">מדינה </w:t>
      </w:r>
      <w:bookmarkStart w:id="78484" w:name="_ETM_Q152_649580"/>
      <w:bookmarkEnd w:id="78484"/>
      <w:r>
        <w:rPr>
          <w:rFonts w:hint="cs"/>
          <w:rtl/>
        </w:rPr>
        <w:t xml:space="preserve">בעלת </w:t>
      </w:r>
      <w:bookmarkStart w:id="78485" w:name="_ETM_Q152_650210"/>
      <w:bookmarkEnd w:id="78485"/>
      <w:r>
        <w:rPr>
          <w:rFonts w:hint="cs"/>
          <w:rtl/>
        </w:rPr>
        <w:t xml:space="preserve">אחריות </w:t>
      </w:r>
      <w:bookmarkStart w:id="78486" w:name="_ETM_Q152_651260"/>
      <w:bookmarkEnd w:id="78486"/>
      <w:r>
        <w:rPr>
          <w:rFonts w:hint="cs"/>
          <w:rtl/>
        </w:rPr>
        <w:t xml:space="preserve">לגורלם </w:t>
      </w:r>
      <w:bookmarkStart w:id="78487" w:name="_ETM_Q152_652160"/>
      <w:bookmarkEnd w:id="78487"/>
      <w:r>
        <w:rPr>
          <w:rFonts w:hint="cs"/>
          <w:rtl/>
        </w:rPr>
        <w:t xml:space="preserve">של </w:t>
      </w:r>
      <w:bookmarkStart w:id="78488" w:name="_ETM_Q152_652370"/>
      <w:bookmarkEnd w:id="78488"/>
      <w:r>
        <w:rPr>
          <w:rFonts w:hint="cs"/>
          <w:rtl/>
        </w:rPr>
        <w:t xml:space="preserve">בני </w:t>
      </w:r>
      <w:bookmarkStart w:id="78489" w:name="_ETM_Q152_652940"/>
      <w:bookmarkEnd w:id="78489"/>
      <w:r>
        <w:rPr>
          <w:rFonts w:hint="cs"/>
          <w:rtl/>
        </w:rPr>
        <w:t xml:space="preserve">ובנות </w:t>
      </w:r>
      <w:bookmarkStart w:id="78490" w:name="_ETM_Q152_653410"/>
      <w:bookmarkStart w:id="78491" w:name="_ETM_Q152_653620"/>
      <w:bookmarkEnd w:id="78490"/>
      <w:bookmarkEnd w:id="78491"/>
      <w:r>
        <w:rPr>
          <w:rFonts w:hint="cs"/>
          <w:rtl/>
        </w:rPr>
        <w:t xml:space="preserve">הלאום </w:t>
      </w:r>
      <w:bookmarkStart w:id="78492" w:name="_ETM_Q152_654580"/>
      <w:bookmarkEnd w:id="78492"/>
      <w:r>
        <w:rPr>
          <w:rFonts w:hint="cs"/>
          <w:rtl/>
        </w:rPr>
        <w:t xml:space="preserve">היהודי </w:t>
      </w:r>
      <w:bookmarkStart w:id="78493" w:name="_ETM_Q152_655210"/>
      <w:bookmarkEnd w:id="78493"/>
      <w:r>
        <w:rPr>
          <w:rFonts w:hint="cs"/>
          <w:rtl/>
        </w:rPr>
        <w:t xml:space="preserve">בעולם, </w:t>
      </w:r>
      <w:bookmarkStart w:id="78494" w:name="_ETM_Q152_656340"/>
      <w:bookmarkEnd w:id="78494"/>
      <w:r>
        <w:rPr>
          <w:rFonts w:hint="cs"/>
          <w:rtl/>
        </w:rPr>
        <w:t xml:space="preserve">עם </w:t>
      </w:r>
      <w:bookmarkStart w:id="78495" w:name="_ETM_Q152_656519"/>
      <w:bookmarkEnd w:id="78495"/>
      <w:r>
        <w:rPr>
          <w:rFonts w:hint="cs"/>
          <w:rtl/>
        </w:rPr>
        <w:t xml:space="preserve">אחריות </w:t>
      </w:r>
      <w:bookmarkStart w:id="78496" w:name="_ETM_Q152_657180"/>
      <w:bookmarkEnd w:id="78496"/>
      <w:r>
        <w:rPr>
          <w:rFonts w:hint="cs"/>
          <w:rtl/>
        </w:rPr>
        <w:t xml:space="preserve">מתמדת </w:t>
      </w:r>
      <w:bookmarkStart w:id="78497" w:name="_ETM_Q152_658409"/>
      <w:bookmarkEnd w:id="78497"/>
      <w:r>
        <w:rPr>
          <w:rFonts w:hint="cs"/>
          <w:rtl/>
        </w:rPr>
        <w:t xml:space="preserve">לכל </w:t>
      </w:r>
      <w:bookmarkStart w:id="78498" w:name="_ETM_Q152_659040"/>
      <w:bookmarkStart w:id="78499" w:name="_ETM_Q152_659280"/>
      <w:bookmarkEnd w:id="78498"/>
      <w:bookmarkEnd w:id="78499"/>
      <w:r>
        <w:rPr>
          <w:rFonts w:hint="cs"/>
          <w:rtl/>
        </w:rPr>
        <w:t xml:space="preserve">תושבי </w:t>
      </w:r>
      <w:bookmarkStart w:id="78500" w:name="_ETM_Q152_659819"/>
      <w:bookmarkEnd w:id="78500"/>
      <w:r>
        <w:rPr>
          <w:rFonts w:hint="cs"/>
          <w:rtl/>
        </w:rPr>
        <w:t xml:space="preserve">המדינה, </w:t>
      </w:r>
      <w:bookmarkStart w:id="78501" w:name="_ETM_Q152_660780"/>
      <w:bookmarkEnd w:id="78501"/>
      <w:r>
        <w:rPr>
          <w:rFonts w:hint="cs"/>
          <w:rtl/>
        </w:rPr>
        <w:t xml:space="preserve">ובהם </w:t>
      </w:r>
      <w:bookmarkStart w:id="78502" w:name="_ETM_Q152_662100"/>
      <w:bookmarkEnd w:id="78502"/>
      <w:r>
        <w:rPr>
          <w:rFonts w:hint="cs"/>
          <w:rtl/>
        </w:rPr>
        <w:t xml:space="preserve">כל </w:t>
      </w:r>
      <w:bookmarkStart w:id="78503" w:name="_ETM_Q152_659506"/>
      <w:bookmarkEnd w:id="78503"/>
      <w:r>
        <w:rPr>
          <w:rFonts w:hint="cs"/>
          <w:rtl/>
        </w:rPr>
        <w:t xml:space="preserve">הלאומים </w:t>
      </w:r>
      <w:bookmarkStart w:id="78504" w:name="_ETM_Q152_663180"/>
      <w:bookmarkEnd w:id="78504"/>
      <w:r>
        <w:rPr>
          <w:rFonts w:hint="cs"/>
          <w:rtl/>
        </w:rPr>
        <w:t xml:space="preserve">החיים </w:t>
      </w:r>
      <w:bookmarkStart w:id="78505" w:name="_ETM_Q152_663720"/>
      <w:bookmarkEnd w:id="78505"/>
      <w:r>
        <w:rPr>
          <w:rFonts w:hint="cs"/>
          <w:rtl/>
        </w:rPr>
        <w:t xml:space="preserve">בארץ. </w:t>
      </w:r>
      <w:bookmarkStart w:id="78506" w:name="_ETM_Q152_665630"/>
      <w:bookmarkStart w:id="78507" w:name="_ETM_Q152_668435"/>
      <w:bookmarkEnd w:id="78506"/>
      <w:bookmarkEnd w:id="78507"/>
    </w:p>
    <w:p w:rsidR="00BB59CD" w:rsidRDefault="00BB59CD" w:rsidP="00BB59CD">
      <w:pPr>
        <w:rPr>
          <w:rtl/>
        </w:rPr>
      </w:pPr>
      <w:bookmarkStart w:id="78508" w:name="_ETM_Q152_668509"/>
      <w:bookmarkEnd w:id="78508"/>
    </w:p>
    <w:p w:rsidR="00BB59CD" w:rsidRDefault="00BB59CD" w:rsidP="001D559F">
      <w:pPr>
        <w:rPr>
          <w:rtl/>
        </w:rPr>
      </w:pPr>
      <w:bookmarkStart w:id="78509" w:name="_ETM_Q152_668683"/>
      <w:bookmarkStart w:id="78510" w:name="_ETM_Q152_668727"/>
      <w:bookmarkEnd w:id="78509"/>
      <w:bookmarkEnd w:id="78510"/>
      <w:r>
        <w:rPr>
          <w:rFonts w:hint="cs"/>
          <w:rtl/>
        </w:rPr>
        <w:t xml:space="preserve">אנחנו </w:t>
      </w:r>
      <w:bookmarkStart w:id="78511" w:name="_ETM_Q152_666930"/>
      <w:bookmarkEnd w:id="78511"/>
      <w:r>
        <w:rPr>
          <w:rFonts w:hint="cs"/>
          <w:rtl/>
        </w:rPr>
        <w:t xml:space="preserve">מאמינים </w:t>
      </w:r>
      <w:bookmarkStart w:id="78512" w:name="_ETM_Q152_668220"/>
      <w:bookmarkEnd w:id="78512"/>
      <w:r>
        <w:rPr>
          <w:rFonts w:hint="cs"/>
          <w:rtl/>
        </w:rPr>
        <w:t xml:space="preserve">בשוויון </w:t>
      </w:r>
      <w:bookmarkStart w:id="78513" w:name="_ETM_Q152_668909"/>
      <w:bookmarkEnd w:id="78513"/>
      <w:r>
        <w:rPr>
          <w:rFonts w:hint="cs"/>
          <w:rtl/>
        </w:rPr>
        <w:t xml:space="preserve">מהותי, </w:t>
      </w:r>
      <w:bookmarkStart w:id="78514" w:name="_ETM_Q152_669900"/>
      <w:bookmarkEnd w:id="78514"/>
      <w:r>
        <w:rPr>
          <w:rFonts w:hint="cs"/>
          <w:rtl/>
        </w:rPr>
        <w:t xml:space="preserve">ביחס </w:t>
      </w:r>
      <w:bookmarkStart w:id="78515" w:name="_ETM_Q152_670500"/>
      <w:bookmarkEnd w:id="78515"/>
      <w:r>
        <w:rPr>
          <w:rFonts w:hint="cs"/>
          <w:rtl/>
        </w:rPr>
        <w:t xml:space="preserve">המדינה </w:t>
      </w:r>
      <w:bookmarkStart w:id="78516" w:name="_ETM_Q152_671310"/>
      <w:bookmarkEnd w:id="78516"/>
      <w:r>
        <w:rPr>
          <w:rFonts w:hint="cs"/>
          <w:rtl/>
        </w:rPr>
        <w:t xml:space="preserve">אל </w:t>
      </w:r>
      <w:bookmarkStart w:id="78517" w:name="_ETM_Q152_671519"/>
      <w:bookmarkEnd w:id="78517"/>
      <w:r>
        <w:rPr>
          <w:rFonts w:hint="cs"/>
          <w:rtl/>
        </w:rPr>
        <w:t xml:space="preserve">כל </w:t>
      </w:r>
      <w:bookmarkStart w:id="78518" w:name="_ETM_Q152_671849"/>
      <w:bookmarkEnd w:id="78518"/>
      <w:r>
        <w:rPr>
          <w:rFonts w:hint="cs"/>
          <w:rtl/>
        </w:rPr>
        <w:t xml:space="preserve">אזרחיה </w:t>
      </w:r>
      <w:bookmarkStart w:id="78519" w:name="_ETM_Q152_672450"/>
      <w:bookmarkEnd w:id="78519"/>
      <w:r>
        <w:rPr>
          <w:rFonts w:hint="cs"/>
          <w:rtl/>
        </w:rPr>
        <w:t xml:space="preserve">באשר </w:t>
      </w:r>
      <w:bookmarkStart w:id="78520" w:name="_ETM_Q152_672900"/>
      <w:bookmarkEnd w:id="78520"/>
      <w:r>
        <w:rPr>
          <w:rFonts w:hint="cs"/>
          <w:rtl/>
        </w:rPr>
        <w:t xml:space="preserve">הם </w:t>
      </w:r>
      <w:bookmarkStart w:id="78521" w:name="_ETM_Q152_673019"/>
      <w:bookmarkEnd w:id="78521"/>
      <w:r>
        <w:rPr>
          <w:rFonts w:hint="cs"/>
          <w:rtl/>
        </w:rPr>
        <w:t xml:space="preserve">אזרחים, </w:t>
      </w:r>
      <w:bookmarkStart w:id="78522" w:name="_ETM_Q152_673999"/>
      <w:bookmarkEnd w:id="78522"/>
      <w:r>
        <w:rPr>
          <w:rFonts w:hint="cs"/>
          <w:rtl/>
        </w:rPr>
        <w:t xml:space="preserve">בלי </w:t>
      </w:r>
      <w:bookmarkStart w:id="78523" w:name="_ETM_Q152_674329"/>
      <w:bookmarkEnd w:id="78523"/>
      <w:r>
        <w:rPr>
          <w:rFonts w:hint="cs"/>
          <w:rtl/>
        </w:rPr>
        <w:t xml:space="preserve">הבדל </w:t>
      </w:r>
      <w:bookmarkStart w:id="78524" w:name="_ETM_Q152_675269"/>
      <w:bookmarkEnd w:id="78524"/>
      <w:r>
        <w:rPr>
          <w:rFonts w:hint="cs"/>
          <w:rtl/>
        </w:rPr>
        <w:t xml:space="preserve">גזע, </w:t>
      </w:r>
      <w:bookmarkStart w:id="78525" w:name="_ETM_Q152_675989"/>
      <w:bookmarkEnd w:id="78525"/>
      <w:r>
        <w:rPr>
          <w:rFonts w:hint="cs"/>
          <w:rtl/>
        </w:rPr>
        <w:t xml:space="preserve">דת </w:t>
      </w:r>
      <w:bookmarkStart w:id="78526" w:name="_ETM_Q152_676379"/>
      <w:bookmarkEnd w:id="78526"/>
      <w:r>
        <w:rPr>
          <w:rFonts w:hint="cs"/>
          <w:rtl/>
        </w:rPr>
        <w:t xml:space="preserve">ולאום, </w:t>
      </w:r>
      <w:bookmarkStart w:id="78527" w:name="_ETM_Q152_676920"/>
      <w:bookmarkEnd w:id="78527"/>
      <w:r>
        <w:rPr>
          <w:rFonts w:hint="cs"/>
          <w:rtl/>
        </w:rPr>
        <w:t xml:space="preserve">מגדר </w:t>
      </w:r>
      <w:bookmarkStart w:id="78528" w:name="_ETM_Q152_677430"/>
      <w:bookmarkEnd w:id="78528"/>
      <w:r>
        <w:rPr>
          <w:rFonts w:hint="cs"/>
          <w:rtl/>
        </w:rPr>
        <w:t xml:space="preserve">או </w:t>
      </w:r>
      <w:bookmarkStart w:id="78529" w:name="_ETM_Q152_677489"/>
      <w:bookmarkEnd w:id="78529"/>
      <w:r>
        <w:rPr>
          <w:rFonts w:hint="cs"/>
          <w:rtl/>
        </w:rPr>
        <w:t xml:space="preserve">מעמד </w:t>
      </w:r>
      <w:bookmarkStart w:id="78530" w:name="_ETM_Q152_677879"/>
      <w:bookmarkEnd w:id="78530"/>
      <w:r>
        <w:rPr>
          <w:rFonts w:hint="cs"/>
          <w:rtl/>
        </w:rPr>
        <w:t>כלכלי</w:t>
      </w:r>
      <w:r w:rsidR="001D559F">
        <w:rPr>
          <w:rFonts w:hint="cs"/>
          <w:rtl/>
        </w:rPr>
        <w:t>;</w:t>
      </w:r>
      <w:r>
        <w:rPr>
          <w:rFonts w:hint="cs"/>
          <w:rtl/>
        </w:rPr>
        <w:t xml:space="preserve"> </w:t>
      </w:r>
      <w:bookmarkStart w:id="78531" w:name="_ETM_Q152_678900"/>
      <w:bookmarkEnd w:id="78531"/>
      <w:r>
        <w:rPr>
          <w:rFonts w:hint="cs"/>
          <w:rtl/>
        </w:rPr>
        <w:t xml:space="preserve">שוויון </w:t>
      </w:r>
      <w:bookmarkStart w:id="78532" w:name="_ETM_Q152_679560"/>
      <w:bookmarkEnd w:id="78532"/>
      <w:r>
        <w:rPr>
          <w:rFonts w:hint="cs"/>
          <w:rtl/>
        </w:rPr>
        <w:t xml:space="preserve">ביחס </w:t>
      </w:r>
      <w:bookmarkStart w:id="78533" w:name="_ETM_Q152_680040"/>
      <w:bookmarkEnd w:id="78533"/>
      <w:r>
        <w:rPr>
          <w:rFonts w:hint="cs"/>
          <w:rtl/>
        </w:rPr>
        <w:t xml:space="preserve">הכללי, </w:t>
      </w:r>
      <w:bookmarkStart w:id="78534" w:name="_ETM_Q152_680579"/>
      <w:bookmarkEnd w:id="78534"/>
      <w:r>
        <w:rPr>
          <w:rFonts w:hint="cs"/>
          <w:rtl/>
        </w:rPr>
        <w:t xml:space="preserve">בזכויות, </w:t>
      </w:r>
      <w:bookmarkStart w:id="78535" w:name="_ETM_Q152_681670"/>
      <w:bookmarkEnd w:id="78535"/>
      <w:r>
        <w:rPr>
          <w:rFonts w:hint="cs"/>
          <w:rtl/>
        </w:rPr>
        <w:t xml:space="preserve">בהגנות, </w:t>
      </w:r>
      <w:bookmarkStart w:id="78536" w:name="_ETM_Q152_683190"/>
      <w:bookmarkEnd w:id="78536"/>
      <w:r>
        <w:rPr>
          <w:rFonts w:hint="cs"/>
          <w:rtl/>
        </w:rPr>
        <w:t xml:space="preserve">בחובות </w:t>
      </w:r>
      <w:bookmarkStart w:id="78537" w:name="_ETM_Q152_683940"/>
      <w:bookmarkEnd w:id="78537"/>
      <w:r>
        <w:rPr>
          <w:rFonts w:hint="cs"/>
          <w:rtl/>
        </w:rPr>
        <w:t>וב</w:t>
      </w:r>
      <w:bookmarkStart w:id="78538" w:name="_ETM_Q152_684150"/>
      <w:bookmarkEnd w:id="78538"/>
      <w:r>
        <w:rPr>
          <w:rFonts w:hint="cs"/>
          <w:rtl/>
        </w:rPr>
        <w:t xml:space="preserve">שותפות. </w:t>
      </w:r>
      <w:bookmarkStart w:id="78539" w:name="_ETM_Q152_685430"/>
      <w:bookmarkEnd w:id="78539"/>
      <w:r>
        <w:rPr>
          <w:rFonts w:hint="cs"/>
          <w:rtl/>
        </w:rPr>
        <w:t xml:space="preserve">אנחנו </w:t>
      </w:r>
      <w:bookmarkStart w:id="78540" w:name="_ETM_Q152_686090"/>
      <w:bookmarkEnd w:id="78540"/>
      <w:r>
        <w:rPr>
          <w:rFonts w:hint="cs"/>
          <w:rtl/>
        </w:rPr>
        <w:t xml:space="preserve">מאמינים </w:t>
      </w:r>
      <w:bookmarkStart w:id="78541" w:name="_ETM_Q152_687170"/>
      <w:bookmarkEnd w:id="78541"/>
      <w:r>
        <w:rPr>
          <w:rFonts w:hint="cs"/>
          <w:rtl/>
        </w:rPr>
        <w:t xml:space="preserve">בצדק </w:t>
      </w:r>
      <w:bookmarkStart w:id="78542" w:name="_ETM_Q152_687920"/>
      <w:bookmarkEnd w:id="78542"/>
      <w:r>
        <w:rPr>
          <w:rFonts w:hint="cs"/>
          <w:rtl/>
        </w:rPr>
        <w:t xml:space="preserve">ובהגינות, </w:t>
      </w:r>
      <w:bookmarkStart w:id="78543" w:name="_ETM_Q152_689390"/>
      <w:bookmarkEnd w:id="78543"/>
      <w:r>
        <w:rPr>
          <w:rFonts w:hint="cs"/>
          <w:rtl/>
        </w:rPr>
        <w:t xml:space="preserve">כי </w:t>
      </w:r>
      <w:bookmarkStart w:id="78544" w:name="_ETM_Q152_689680"/>
      <w:bookmarkEnd w:id="78544"/>
      <w:r>
        <w:rPr>
          <w:rFonts w:hint="cs"/>
          <w:rtl/>
        </w:rPr>
        <w:t xml:space="preserve">הם </w:t>
      </w:r>
      <w:bookmarkStart w:id="78545" w:name="_ETM_Q152_689950"/>
      <w:bookmarkEnd w:id="78545"/>
      <w:r>
        <w:rPr>
          <w:rFonts w:hint="cs"/>
          <w:rtl/>
        </w:rPr>
        <w:t xml:space="preserve">העקרונות </w:t>
      </w:r>
      <w:bookmarkStart w:id="78546" w:name="_ETM_Q152_690939"/>
      <w:bookmarkEnd w:id="78546"/>
      <w:r>
        <w:rPr>
          <w:rFonts w:hint="cs"/>
          <w:rtl/>
        </w:rPr>
        <w:t xml:space="preserve">לארגון </w:t>
      </w:r>
      <w:bookmarkStart w:id="78547" w:name="_ETM_Q152_691480"/>
      <w:bookmarkEnd w:id="78547"/>
      <w:r>
        <w:rPr>
          <w:rFonts w:hint="cs"/>
          <w:rtl/>
        </w:rPr>
        <w:t xml:space="preserve">החיים </w:t>
      </w:r>
      <w:bookmarkStart w:id="78548" w:name="_ETM_Q152_691810"/>
      <w:bookmarkEnd w:id="78548"/>
      <w:r>
        <w:rPr>
          <w:rFonts w:hint="cs"/>
          <w:rtl/>
        </w:rPr>
        <w:t xml:space="preserve">המשותפים </w:t>
      </w:r>
      <w:bookmarkStart w:id="78549" w:name="_ETM_Q152_692559"/>
      <w:bookmarkEnd w:id="78549"/>
      <w:r>
        <w:rPr>
          <w:rFonts w:hint="cs"/>
          <w:rtl/>
        </w:rPr>
        <w:t xml:space="preserve">של </w:t>
      </w:r>
      <w:bookmarkStart w:id="78550" w:name="_ETM_Q152_692799"/>
      <w:bookmarkEnd w:id="78550"/>
      <w:r>
        <w:rPr>
          <w:rFonts w:hint="cs"/>
          <w:rtl/>
        </w:rPr>
        <w:t xml:space="preserve">כלל </w:t>
      </w:r>
      <w:bookmarkStart w:id="78551" w:name="_ETM_Q152_693219"/>
      <w:bookmarkEnd w:id="78551"/>
      <w:r>
        <w:rPr>
          <w:rFonts w:hint="cs"/>
          <w:rtl/>
        </w:rPr>
        <w:t xml:space="preserve">האזרחים; </w:t>
      </w:r>
      <w:bookmarkStart w:id="78552" w:name="_ETM_Q152_694430"/>
      <w:bookmarkEnd w:id="78552"/>
      <w:r>
        <w:rPr>
          <w:rFonts w:hint="cs"/>
          <w:rtl/>
        </w:rPr>
        <w:t xml:space="preserve">חיים </w:t>
      </w:r>
      <w:bookmarkStart w:id="78553" w:name="_ETM_Q152_694940"/>
      <w:bookmarkEnd w:id="78553"/>
      <w:r>
        <w:rPr>
          <w:rFonts w:hint="cs"/>
          <w:rtl/>
        </w:rPr>
        <w:t xml:space="preserve">של </w:t>
      </w:r>
      <w:bookmarkStart w:id="78554" w:name="_ETM_Q152_695210"/>
      <w:bookmarkEnd w:id="78554"/>
      <w:r>
        <w:rPr>
          <w:rFonts w:hint="cs"/>
          <w:rtl/>
        </w:rPr>
        <w:t xml:space="preserve">אלה </w:t>
      </w:r>
      <w:bookmarkStart w:id="78555" w:name="_ETM_Q152_695840"/>
      <w:bookmarkEnd w:id="78555"/>
      <w:r>
        <w:rPr>
          <w:rFonts w:hint="cs"/>
          <w:rtl/>
        </w:rPr>
        <w:t xml:space="preserve">בצד </w:t>
      </w:r>
      <w:bookmarkStart w:id="78556" w:name="_ETM_Q152_696380"/>
      <w:bookmarkEnd w:id="78556"/>
      <w:r>
        <w:rPr>
          <w:rFonts w:hint="cs"/>
          <w:rtl/>
        </w:rPr>
        <w:t xml:space="preserve">אלה </w:t>
      </w:r>
      <w:bookmarkStart w:id="78557" w:name="_ETM_Q152_697010"/>
      <w:bookmarkEnd w:id="78557"/>
      <w:r>
        <w:rPr>
          <w:rFonts w:hint="cs"/>
          <w:rtl/>
        </w:rPr>
        <w:t xml:space="preserve">של </w:t>
      </w:r>
      <w:bookmarkStart w:id="78558" w:name="_ETM_Q152_697220"/>
      <w:bookmarkEnd w:id="78558"/>
      <w:r>
        <w:rPr>
          <w:rFonts w:hint="cs"/>
          <w:rtl/>
        </w:rPr>
        <w:t xml:space="preserve">בני האדם </w:t>
      </w:r>
      <w:bookmarkStart w:id="78559" w:name="_ETM_Q152_698059"/>
      <w:bookmarkEnd w:id="78559"/>
      <w:r>
        <w:rPr>
          <w:rFonts w:hint="cs"/>
          <w:rtl/>
        </w:rPr>
        <w:t xml:space="preserve">בעלי </w:t>
      </w:r>
      <w:bookmarkStart w:id="78560" w:name="_ETM_Q152_698510"/>
      <w:bookmarkEnd w:id="78560"/>
      <w:r>
        <w:rPr>
          <w:rFonts w:hint="cs"/>
          <w:rtl/>
        </w:rPr>
        <w:t xml:space="preserve">ערכים, </w:t>
      </w:r>
      <w:bookmarkStart w:id="78561" w:name="_ETM_Q152_699440"/>
      <w:bookmarkEnd w:id="78561"/>
      <w:r>
        <w:rPr>
          <w:rFonts w:hint="cs"/>
          <w:rtl/>
        </w:rPr>
        <w:t xml:space="preserve">מסורת </w:t>
      </w:r>
      <w:bookmarkStart w:id="78562" w:name="_ETM_Q152_700130"/>
      <w:bookmarkEnd w:id="78562"/>
      <w:r>
        <w:rPr>
          <w:rFonts w:hint="cs"/>
          <w:rtl/>
        </w:rPr>
        <w:t xml:space="preserve">ורצונות </w:t>
      </w:r>
      <w:bookmarkStart w:id="78563" w:name="_ETM_Q152_700670"/>
      <w:bookmarkEnd w:id="78563"/>
      <w:r>
        <w:rPr>
          <w:rFonts w:hint="cs"/>
          <w:rtl/>
        </w:rPr>
        <w:t xml:space="preserve">שונים, </w:t>
      </w:r>
      <w:bookmarkStart w:id="78564" w:name="_ETM_Q152_701450"/>
      <w:bookmarkEnd w:id="78564"/>
      <w:r>
        <w:rPr>
          <w:rFonts w:hint="cs"/>
          <w:rtl/>
        </w:rPr>
        <w:t xml:space="preserve">בממלכתיות </w:t>
      </w:r>
      <w:bookmarkStart w:id="78565" w:name="_ETM_Q152_702849"/>
      <w:bookmarkStart w:id="78566" w:name="_ETM_Q152_703780"/>
      <w:bookmarkEnd w:id="78565"/>
      <w:bookmarkEnd w:id="78566"/>
      <w:r>
        <w:rPr>
          <w:rFonts w:hint="cs"/>
          <w:rtl/>
        </w:rPr>
        <w:t xml:space="preserve">ולטובת </w:t>
      </w:r>
      <w:bookmarkStart w:id="78567" w:name="_ETM_Q152_704559"/>
      <w:bookmarkEnd w:id="78567"/>
      <w:r>
        <w:rPr>
          <w:rFonts w:hint="cs"/>
          <w:rtl/>
        </w:rPr>
        <w:t xml:space="preserve">הכלל. </w:t>
      </w:r>
      <w:bookmarkStart w:id="78568" w:name="_ETM_Q152_705730"/>
      <w:bookmarkStart w:id="78569" w:name="_ETM_Q152_708875"/>
      <w:bookmarkStart w:id="78570" w:name="_ETM_Q152_708936"/>
      <w:bookmarkStart w:id="78571" w:name="_ETM_Q152_709100"/>
      <w:bookmarkStart w:id="78572" w:name="_ETM_Q152_709170"/>
      <w:bookmarkEnd w:id="78568"/>
      <w:bookmarkEnd w:id="78569"/>
      <w:bookmarkEnd w:id="78570"/>
      <w:bookmarkEnd w:id="78571"/>
      <w:bookmarkEnd w:id="78572"/>
      <w:r>
        <w:rPr>
          <w:rFonts w:hint="cs"/>
          <w:rtl/>
        </w:rPr>
        <w:t xml:space="preserve">ואנחנו </w:t>
      </w:r>
      <w:bookmarkStart w:id="78573" w:name="_ETM_Q152_706330"/>
      <w:bookmarkEnd w:id="78573"/>
      <w:r>
        <w:rPr>
          <w:rFonts w:hint="cs"/>
          <w:rtl/>
        </w:rPr>
        <w:t xml:space="preserve">מאמינים </w:t>
      </w:r>
      <w:bookmarkStart w:id="78574" w:name="_ETM_Q152_707490"/>
      <w:bookmarkEnd w:id="78574"/>
      <w:r>
        <w:rPr>
          <w:rFonts w:hint="cs"/>
          <w:rtl/>
        </w:rPr>
        <w:t xml:space="preserve">שאחריות מדינת </w:t>
      </w:r>
      <w:bookmarkStart w:id="78575" w:name="_ETM_Q152_708690"/>
      <w:bookmarkEnd w:id="78575"/>
      <w:r>
        <w:rPr>
          <w:rFonts w:hint="cs"/>
          <w:rtl/>
        </w:rPr>
        <w:t xml:space="preserve">הלאום </w:t>
      </w:r>
      <w:bookmarkStart w:id="78576" w:name="_ETM_Q152_709650"/>
      <w:bookmarkEnd w:id="78576"/>
      <w:r>
        <w:rPr>
          <w:rFonts w:hint="cs"/>
          <w:rtl/>
        </w:rPr>
        <w:t xml:space="preserve">היא </w:t>
      </w:r>
      <w:bookmarkStart w:id="78577" w:name="_ETM_Q152_709800"/>
      <w:bookmarkStart w:id="78578" w:name="_ETM_Q152_710370"/>
      <w:bookmarkEnd w:id="78577"/>
      <w:bookmarkEnd w:id="78578"/>
      <w:r w:rsidR="001D559F">
        <w:rPr>
          <w:rFonts w:hint="cs"/>
          <w:rtl/>
        </w:rPr>
        <w:t xml:space="preserve">להיות </w:t>
      </w:r>
      <w:r>
        <w:rPr>
          <w:rFonts w:hint="cs"/>
          <w:rtl/>
        </w:rPr>
        <w:t xml:space="preserve">מדינה </w:t>
      </w:r>
      <w:bookmarkStart w:id="78579" w:name="_ETM_Q152_711420"/>
      <w:bookmarkEnd w:id="78579"/>
      <w:r>
        <w:rPr>
          <w:rFonts w:hint="cs"/>
          <w:rtl/>
        </w:rPr>
        <w:t xml:space="preserve">הנושאת </w:t>
      </w:r>
      <w:bookmarkStart w:id="78580" w:name="_ETM_Q152_712049"/>
      <w:bookmarkEnd w:id="78580"/>
      <w:r>
        <w:rPr>
          <w:rFonts w:hint="cs"/>
          <w:rtl/>
        </w:rPr>
        <w:t xml:space="preserve">באחריות </w:t>
      </w:r>
      <w:bookmarkStart w:id="78581" w:name="_ETM_Q152_712799"/>
      <w:bookmarkEnd w:id="78581"/>
      <w:r>
        <w:rPr>
          <w:rFonts w:hint="cs"/>
          <w:rtl/>
        </w:rPr>
        <w:t xml:space="preserve">לקיומו </w:t>
      </w:r>
      <w:bookmarkStart w:id="78582" w:name="_ETM_Q152_713830"/>
      <w:bookmarkEnd w:id="78582"/>
      <w:r>
        <w:rPr>
          <w:rFonts w:hint="cs"/>
          <w:rtl/>
        </w:rPr>
        <w:t xml:space="preserve">של </w:t>
      </w:r>
      <w:bookmarkStart w:id="78583" w:name="_ETM_Q152_714099"/>
      <w:bookmarkEnd w:id="78583"/>
      <w:r>
        <w:rPr>
          <w:rFonts w:hint="cs"/>
          <w:rtl/>
        </w:rPr>
        <w:t xml:space="preserve">הלאום </w:t>
      </w:r>
      <w:bookmarkStart w:id="78584" w:name="_ETM_Q152_715489"/>
      <w:bookmarkEnd w:id="78584"/>
      <w:r>
        <w:rPr>
          <w:rFonts w:hint="cs"/>
          <w:rtl/>
        </w:rPr>
        <w:t xml:space="preserve">ולשלום </w:t>
      </w:r>
      <w:bookmarkStart w:id="78585" w:name="_ETM_Q152_717270"/>
      <w:bookmarkEnd w:id="78585"/>
      <w:r>
        <w:rPr>
          <w:rFonts w:hint="cs"/>
          <w:rtl/>
        </w:rPr>
        <w:t xml:space="preserve">לכל </w:t>
      </w:r>
      <w:bookmarkStart w:id="78586" w:name="_ETM_Q152_717809"/>
      <w:bookmarkEnd w:id="78586"/>
      <w:r>
        <w:rPr>
          <w:rFonts w:hint="cs"/>
          <w:rtl/>
        </w:rPr>
        <w:t xml:space="preserve">אחד </w:t>
      </w:r>
      <w:bookmarkStart w:id="78587" w:name="_ETM_Q152_718200"/>
      <w:bookmarkEnd w:id="78587"/>
      <w:r>
        <w:rPr>
          <w:rFonts w:hint="cs"/>
          <w:rtl/>
        </w:rPr>
        <w:t xml:space="preserve">מבניו </w:t>
      </w:r>
      <w:bookmarkStart w:id="78588" w:name="_ETM_Q152_718710"/>
      <w:bookmarkEnd w:id="78588"/>
      <w:r>
        <w:rPr>
          <w:rFonts w:hint="cs"/>
          <w:rtl/>
        </w:rPr>
        <w:t xml:space="preserve">ובנותיו </w:t>
      </w:r>
      <w:bookmarkStart w:id="78589" w:name="_ETM_Q152_719790"/>
      <w:bookmarkEnd w:id="78589"/>
      <w:r>
        <w:rPr>
          <w:rFonts w:hint="cs"/>
          <w:rtl/>
        </w:rPr>
        <w:t xml:space="preserve">ואחראית </w:t>
      </w:r>
      <w:bookmarkStart w:id="78590" w:name="_ETM_Q152_720510"/>
      <w:bookmarkEnd w:id="78590"/>
      <w:r>
        <w:rPr>
          <w:rFonts w:hint="cs"/>
          <w:rtl/>
        </w:rPr>
        <w:t xml:space="preserve">לכל </w:t>
      </w:r>
      <w:bookmarkStart w:id="78591" w:name="_ETM_Q152_720960"/>
      <w:bookmarkEnd w:id="78591"/>
      <w:r>
        <w:rPr>
          <w:rFonts w:hint="cs"/>
          <w:rtl/>
        </w:rPr>
        <w:t xml:space="preserve">יהודי </w:t>
      </w:r>
      <w:bookmarkStart w:id="78592" w:name="_ETM_Q152_721350"/>
      <w:bookmarkEnd w:id="78592"/>
      <w:r>
        <w:rPr>
          <w:rFonts w:hint="cs"/>
          <w:rtl/>
        </w:rPr>
        <w:t xml:space="preserve">התפוצות </w:t>
      </w:r>
      <w:bookmarkStart w:id="78593" w:name="_ETM_Q152_722100"/>
      <w:bookmarkEnd w:id="78593"/>
      <w:r>
        <w:rPr>
          <w:rFonts w:hint="cs"/>
          <w:rtl/>
        </w:rPr>
        <w:t xml:space="preserve">בני </w:t>
      </w:r>
      <w:bookmarkStart w:id="78594" w:name="_ETM_Q152_722400"/>
      <w:bookmarkEnd w:id="78594"/>
      <w:r>
        <w:rPr>
          <w:rFonts w:hint="cs"/>
          <w:rtl/>
        </w:rPr>
        <w:t xml:space="preserve">הלאום, </w:t>
      </w:r>
      <w:bookmarkStart w:id="78595" w:name="_ETM_Q152_723360"/>
      <w:bookmarkEnd w:id="78595"/>
      <w:r>
        <w:rPr>
          <w:rFonts w:hint="cs"/>
          <w:rtl/>
        </w:rPr>
        <w:t xml:space="preserve">בד </w:t>
      </w:r>
      <w:bookmarkStart w:id="78596" w:name="_ETM_Q152_723720"/>
      <w:bookmarkEnd w:id="78596"/>
      <w:r>
        <w:rPr>
          <w:rFonts w:hint="cs"/>
          <w:rtl/>
        </w:rPr>
        <w:t xml:space="preserve">בבד </w:t>
      </w:r>
      <w:bookmarkStart w:id="78597" w:name="_ETM_Q152_724590"/>
      <w:bookmarkEnd w:id="78597"/>
      <w:r>
        <w:rPr>
          <w:rFonts w:hint="cs"/>
          <w:rtl/>
        </w:rPr>
        <w:t xml:space="preserve">עם </w:t>
      </w:r>
      <w:bookmarkStart w:id="78598" w:name="_ETM_Q152_724739"/>
      <w:bookmarkEnd w:id="78598"/>
      <w:r>
        <w:rPr>
          <w:rFonts w:hint="cs"/>
          <w:rtl/>
        </w:rPr>
        <w:t xml:space="preserve">האחריות </w:t>
      </w:r>
      <w:bookmarkStart w:id="78599" w:name="_ETM_Q152_725280"/>
      <w:bookmarkEnd w:id="78599"/>
      <w:r>
        <w:rPr>
          <w:rFonts w:hint="cs"/>
          <w:rtl/>
        </w:rPr>
        <w:t xml:space="preserve">לגורלם </w:t>
      </w:r>
      <w:bookmarkStart w:id="78600" w:name="_ETM_Q152_726239"/>
      <w:bookmarkEnd w:id="78600"/>
      <w:r>
        <w:rPr>
          <w:rFonts w:hint="cs"/>
          <w:rtl/>
        </w:rPr>
        <w:t xml:space="preserve">של </w:t>
      </w:r>
      <w:bookmarkStart w:id="78601" w:name="_ETM_Q152_726510"/>
      <w:bookmarkEnd w:id="78601"/>
      <w:r>
        <w:rPr>
          <w:rFonts w:hint="cs"/>
          <w:rtl/>
        </w:rPr>
        <w:t xml:space="preserve">כל </w:t>
      </w:r>
      <w:bookmarkStart w:id="78602" w:name="_ETM_Q152_726959"/>
      <w:bookmarkEnd w:id="78602"/>
      <w:r>
        <w:rPr>
          <w:rFonts w:hint="cs"/>
          <w:rtl/>
        </w:rPr>
        <w:t xml:space="preserve">תושבי </w:t>
      </w:r>
      <w:bookmarkStart w:id="78603" w:name="_ETM_Q152_727379"/>
      <w:bookmarkEnd w:id="78603"/>
      <w:r>
        <w:rPr>
          <w:rFonts w:hint="cs"/>
          <w:rtl/>
        </w:rPr>
        <w:t xml:space="preserve">המדינה </w:t>
      </w:r>
      <w:bookmarkStart w:id="78604" w:name="_ETM_Q152_728489"/>
      <w:bookmarkEnd w:id="78604"/>
      <w:r>
        <w:rPr>
          <w:rFonts w:hint="cs"/>
          <w:rtl/>
        </w:rPr>
        <w:t xml:space="preserve">ובהם </w:t>
      </w:r>
      <w:bookmarkStart w:id="78605" w:name="_ETM_Q152_729480"/>
      <w:bookmarkEnd w:id="78605"/>
      <w:r>
        <w:rPr>
          <w:rFonts w:hint="cs"/>
          <w:rtl/>
        </w:rPr>
        <w:t xml:space="preserve">בני </w:t>
      </w:r>
      <w:bookmarkStart w:id="78606" w:name="_ETM_Q152_729780"/>
      <w:bookmarkEnd w:id="78606"/>
      <w:r>
        <w:rPr>
          <w:rFonts w:hint="cs"/>
          <w:rtl/>
        </w:rPr>
        <w:t xml:space="preserve">המיעוטים </w:t>
      </w:r>
      <w:bookmarkStart w:id="78607" w:name="_ETM_Q152_730319"/>
      <w:bookmarkEnd w:id="78607"/>
      <w:r>
        <w:rPr>
          <w:rFonts w:hint="cs"/>
          <w:rtl/>
        </w:rPr>
        <w:t xml:space="preserve">השונים </w:t>
      </w:r>
      <w:bookmarkStart w:id="78608" w:name="_ETM_Q152_731040"/>
      <w:bookmarkEnd w:id="78608"/>
      <w:r>
        <w:rPr>
          <w:rFonts w:hint="cs"/>
          <w:rtl/>
        </w:rPr>
        <w:t xml:space="preserve">החיים </w:t>
      </w:r>
      <w:bookmarkStart w:id="78609" w:name="_ETM_Q152_731519"/>
      <w:bookmarkEnd w:id="78609"/>
      <w:r>
        <w:rPr>
          <w:rFonts w:hint="cs"/>
          <w:rtl/>
        </w:rPr>
        <w:t>בה</w:t>
      </w:r>
      <w:r w:rsidR="001D559F">
        <w:rPr>
          <w:rFonts w:hint="cs"/>
          <w:rtl/>
        </w:rPr>
        <w:t>;</w:t>
      </w:r>
      <w:r>
        <w:rPr>
          <w:rFonts w:hint="cs"/>
          <w:rtl/>
        </w:rPr>
        <w:t xml:space="preserve"> </w:t>
      </w:r>
      <w:bookmarkStart w:id="78610" w:name="_ETM_Q152_735198"/>
      <w:bookmarkStart w:id="78611" w:name="_ETM_Q152_735269"/>
      <w:bookmarkStart w:id="78612" w:name="_ETM_Q152_735398"/>
      <w:bookmarkStart w:id="78613" w:name="_ETM_Q152_735483"/>
      <w:bookmarkEnd w:id="78610"/>
      <w:bookmarkEnd w:id="78611"/>
      <w:bookmarkEnd w:id="78612"/>
      <w:bookmarkEnd w:id="78613"/>
      <w:r>
        <w:rPr>
          <w:rFonts w:hint="cs"/>
          <w:rtl/>
        </w:rPr>
        <w:t xml:space="preserve">עצמאות </w:t>
      </w:r>
      <w:bookmarkStart w:id="78614" w:name="_ETM_Q152_733780"/>
      <w:bookmarkEnd w:id="78614"/>
      <w:r w:rsidR="001D559F">
        <w:rPr>
          <w:rFonts w:hint="cs"/>
          <w:rtl/>
        </w:rPr>
        <w:t xml:space="preserve">בן </w:t>
      </w:r>
      <w:r>
        <w:rPr>
          <w:rFonts w:hint="cs"/>
          <w:rtl/>
        </w:rPr>
        <w:t xml:space="preserve">מדינת </w:t>
      </w:r>
      <w:bookmarkStart w:id="78615" w:name="_ETM_Q152_734260"/>
      <w:bookmarkEnd w:id="78615"/>
      <w:r>
        <w:rPr>
          <w:rFonts w:hint="cs"/>
          <w:rtl/>
        </w:rPr>
        <w:t xml:space="preserve">הלאום, </w:t>
      </w:r>
      <w:bookmarkStart w:id="78616" w:name="_ETM_Q152_735379"/>
      <w:bookmarkEnd w:id="78616"/>
      <w:r>
        <w:rPr>
          <w:rFonts w:hint="cs"/>
          <w:rtl/>
        </w:rPr>
        <w:t xml:space="preserve">העומד </w:t>
      </w:r>
      <w:bookmarkStart w:id="78617" w:name="_ETM_Q152_735859"/>
      <w:bookmarkEnd w:id="78617"/>
      <w:r>
        <w:rPr>
          <w:rFonts w:hint="cs"/>
          <w:rtl/>
        </w:rPr>
        <w:t xml:space="preserve">ברשות </w:t>
      </w:r>
      <w:bookmarkStart w:id="78618" w:name="_ETM_Q152_736250"/>
      <w:bookmarkEnd w:id="78618"/>
      <w:r>
        <w:rPr>
          <w:rFonts w:hint="cs"/>
          <w:rtl/>
        </w:rPr>
        <w:t xml:space="preserve">עצמו, </w:t>
      </w:r>
      <w:bookmarkStart w:id="78619" w:name="_ETM_Q152_737529"/>
      <w:bookmarkEnd w:id="78619"/>
      <w:r>
        <w:rPr>
          <w:rFonts w:hint="cs"/>
          <w:rtl/>
        </w:rPr>
        <w:t xml:space="preserve">במדינתו </w:t>
      </w:r>
      <w:bookmarkStart w:id="78620" w:name="_ETM_Q152_738279"/>
      <w:bookmarkEnd w:id="78620"/>
      <w:r>
        <w:rPr>
          <w:rFonts w:hint="cs"/>
          <w:rtl/>
        </w:rPr>
        <w:t xml:space="preserve">הריבונית, </w:t>
      </w:r>
      <w:bookmarkStart w:id="78621" w:name="_ETM_Q152_739400"/>
      <w:bookmarkStart w:id="78622" w:name="_ETM_Q152_739520"/>
      <w:bookmarkEnd w:id="78621"/>
      <w:bookmarkEnd w:id="78622"/>
      <w:r>
        <w:rPr>
          <w:rFonts w:hint="cs"/>
          <w:rtl/>
        </w:rPr>
        <w:t xml:space="preserve">ומקיים </w:t>
      </w:r>
      <w:bookmarkStart w:id="78623" w:name="_ETM_Q152_740000"/>
      <w:bookmarkStart w:id="78624" w:name="_ETM_Q152_740150"/>
      <w:bookmarkEnd w:id="78623"/>
      <w:bookmarkEnd w:id="78624"/>
      <w:r>
        <w:rPr>
          <w:rFonts w:hint="cs"/>
          <w:rtl/>
        </w:rPr>
        <w:t xml:space="preserve">חיים </w:t>
      </w:r>
      <w:bookmarkStart w:id="78625" w:name="_ETM_Q152_740600"/>
      <w:bookmarkEnd w:id="78625"/>
      <w:r>
        <w:rPr>
          <w:rFonts w:hint="cs"/>
          <w:rtl/>
        </w:rPr>
        <w:t xml:space="preserve">מלאים </w:t>
      </w:r>
      <w:bookmarkStart w:id="78626" w:name="_ETM_Q152_741440"/>
      <w:bookmarkEnd w:id="78626"/>
      <w:r>
        <w:rPr>
          <w:rFonts w:hint="cs"/>
          <w:rtl/>
        </w:rPr>
        <w:t xml:space="preserve">מתוך </w:t>
      </w:r>
      <w:bookmarkStart w:id="78627" w:name="_ETM_Q152_741920"/>
      <w:bookmarkEnd w:id="78627"/>
      <w:r>
        <w:rPr>
          <w:rFonts w:hint="cs"/>
          <w:rtl/>
        </w:rPr>
        <w:t xml:space="preserve">אחריות </w:t>
      </w:r>
      <w:bookmarkStart w:id="78628" w:name="_ETM_Q152_743020"/>
      <w:bookmarkEnd w:id="78628"/>
      <w:r>
        <w:rPr>
          <w:rFonts w:hint="cs"/>
          <w:rtl/>
        </w:rPr>
        <w:t xml:space="preserve">לכל </w:t>
      </w:r>
      <w:bookmarkStart w:id="78629" w:name="_ETM_Q152_743650"/>
      <w:bookmarkEnd w:id="78629"/>
      <w:r>
        <w:rPr>
          <w:rFonts w:hint="cs"/>
          <w:rtl/>
        </w:rPr>
        <w:t xml:space="preserve">ממדי </w:t>
      </w:r>
      <w:bookmarkStart w:id="78630" w:name="_ETM_Q152_744099"/>
      <w:bookmarkEnd w:id="78630"/>
      <w:r>
        <w:rPr>
          <w:rFonts w:hint="cs"/>
          <w:rtl/>
        </w:rPr>
        <w:t xml:space="preserve">החיים </w:t>
      </w:r>
      <w:bookmarkStart w:id="78631" w:name="_ETM_Q152_744879"/>
      <w:bookmarkEnd w:id="78631"/>
      <w:r>
        <w:rPr>
          <w:rFonts w:hint="cs"/>
          <w:rtl/>
        </w:rPr>
        <w:t xml:space="preserve">של </w:t>
      </w:r>
      <w:bookmarkStart w:id="78632" w:name="_ETM_Q152_745150"/>
      <w:bookmarkEnd w:id="78632"/>
      <w:r>
        <w:rPr>
          <w:rFonts w:hint="cs"/>
          <w:rtl/>
        </w:rPr>
        <w:t xml:space="preserve">אזרחי </w:t>
      </w:r>
      <w:bookmarkStart w:id="78633" w:name="_ETM_Q152_745719"/>
      <w:bookmarkEnd w:id="78633"/>
      <w:r>
        <w:rPr>
          <w:rFonts w:hint="cs"/>
          <w:rtl/>
        </w:rPr>
        <w:t xml:space="preserve">המדינה. </w:t>
      </w:r>
      <w:bookmarkStart w:id="78634" w:name="_ETM_Q152_747270"/>
      <w:bookmarkEnd w:id="78634"/>
    </w:p>
    <w:p w:rsidR="00BB59CD" w:rsidRDefault="00BB59CD" w:rsidP="00BB59CD">
      <w:pPr>
        <w:rPr>
          <w:rtl/>
        </w:rPr>
      </w:pPr>
      <w:bookmarkStart w:id="78635" w:name="_ETM_Q152_750248"/>
      <w:bookmarkStart w:id="78636" w:name="_ETM_Q152_750301"/>
      <w:bookmarkEnd w:id="78635"/>
      <w:bookmarkEnd w:id="78636"/>
    </w:p>
    <w:p w:rsidR="00BB59CD" w:rsidRDefault="00BB59CD" w:rsidP="00BB59CD">
      <w:pPr>
        <w:rPr>
          <w:rtl/>
        </w:rPr>
      </w:pPr>
      <w:bookmarkStart w:id="78637" w:name="_ETM_Q152_750440"/>
      <w:bookmarkStart w:id="78638" w:name="_ETM_Q152_750515"/>
      <w:bookmarkEnd w:id="78637"/>
      <w:bookmarkEnd w:id="78638"/>
      <w:r>
        <w:rPr>
          <w:rFonts w:hint="cs"/>
          <w:rtl/>
        </w:rPr>
        <w:t xml:space="preserve">ולסיום, </w:t>
      </w:r>
      <w:bookmarkStart w:id="78639" w:name="_ETM_Q152_749190"/>
      <w:bookmarkEnd w:id="78639"/>
      <w:r>
        <w:rPr>
          <w:rFonts w:hint="cs"/>
          <w:rtl/>
        </w:rPr>
        <w:t xml:space="preserve">חובה </w:t>
      </w:r>
      <w:bookmarkStart w:id="78640" w:name="_ETM_Q152_749820"/>
      <w:bookmarkEnd w:id="78640"/>
      <w:r>
        <w:rPr>
          <w:rFonts w:hint="cs"/>
          <w:rtl/>
        </w:rPr>
        <w:t xml:space="preserve">עלינו </w:t>
      </w:r>
      <w:bookmarkStart w:id="78641" w:name="_ETM_Q152_750630"/>
      <w:bookmarkEnd w:id="78641"/>
      <w:r>
        <w:rPr>
          <w:rFonts w:hint="cs"/>
          <w:rtl/>
        </w:rPr>
        <w:t xml:space="preserve">לדבר </w:t>
      </w:r>
      <w:bookmarkStart w:id="78642" w:name="_ETM_Q152_751320"/>
      <w:bookmarkEnd w:id="78642"/>
      <w:r>
        <w:rPr>
          <w:rFonts w:hint="cs"/>
          <w:rtl/>
        </w:rPr>
        <w:t xml:space="preserve">על </w:t>
      </w:r>
      <w:bookmarkStart w:id="78643" w:name="_ETM_Q152_751470"/>
      <w:bookmarkEnd w:id="78643"/>
      <w:r>
        <w:rPr>
          <w:rFonts w:hint="cs"/>
          <w:rtl/>
        </w:rPr>
        <w:t xml:space="preserve">שני </w:t>
      </w:r>
      <w:bookmarkStart w:id="78644" w:name="_ETM_Q152_751830"/>
      <w:bookmarkEnd w:id="78644"/>
      <w:r>
        <w:rPr>
          <w:rFonts w:hint="cs"/>
          <w:rtl/>
        </w:rPr>
        <w:t>דברים:</w:t>
      </w:r>
      <w:bookmarkStart w:id="78645" w:name="_ETM_Q152_752820"/>
      <w:bookmarkEnd w:id="78645"/>
      <w:r>
        <w:rPr>
          <w:rFonts w:hint="cs"/>
          <w:rtl/>
        </w:rPr>
        <w:t xml:space="preserve"> שלום </w:t>
      </w:r>
      <w:bookmarkStart w:id="78646" w:name="_ETM_Q152_753940"/>
      <w:bookmarkEnd w:id="78646"/>
      <w:r>
        <w:rPr>
          <w:rFonts w:hint="cs"/>
          <w:rtl/>
        </w:rPr>
        <w:t xml:space="preserve">וחברת </w:t>
      </w:r>
      <w:bookmarkStart w:id="78647" w:name="_ETM_Q152_754660"/>
      <w:bookmarkEnd w:id="78647"/>
      <w:r>
        <w:rPr>
          <w:rFonts w:hint="cs"/>
          <w:rtl/>
        </w:rPr>
        <w:t xml:space="preserve">מופת. </w:t>
      </w:r>
      <w:bookmarkStart w:id="78648" w:name="_ETM_Q152_755860"/>
      <w:bookmarkEnd w:id="78648"/>
      <w:r>
        <w:rPr>
          <w:rFonts w:hint="cs"/>
          <w:rtl/>
        </w:rPr>
        <w:t xml:space="preserve">חברת </w:t>
      </w:r>
      <w:bookmarkStart w:id="78649" w:name="_ETM_Q152_756850"/>
      <w:bookmarkEnd w:id="78649"/>
      <w:r>
        <w:rPr>
          <w:rFonts w:hint="cs"/>
          <w:rtl/>
        </w:rPr>
        <w:t xml:space="preserve">מופת </w:t>
      </w:r>
      <w:bookmarkStart w:id="78650" w:name="_ETM_Q152_757809"/>
      <w:bookmarkEnd w:id="78650"/>
      <w:r>
        <w:rPr>
          <w:rFonts w:hint="cs"/>
          <w:rtl/>
        </w:rPr>
        <w:t xml:space="preserve">חייבת </w:t>
      </w:r>
      <w:bookmarkStart w:id="78651" w:name="_ETM_Q152_758980"/>
      <w:bookmarkEnd w:id="78651"/>
      <w:r>
        <w:rPr>
          <w:rFonts w:hint="cs"/>
          <w:rtl/>
        </w:rPr>
        <w:t xml:space="preserve">להלל </w:t>
      </w:r>
      <w:bookmarkStart w:id="78652" w:name="_ETM_Q152_759580"/>
      <w:bookmarkEnd w:id="78652"/>
      <w:r>
        <w:rPr>
          <w:rFonts w:hint="cs"/>
          <w:rtl/>
        </w:rPr>
        <w:t xml:space="preserve">ולשבח, </w:t>
      </w:r>
      <w:bookmarkStart w:id="78653" w:name="_ETM_Q152_760690"/>
      <w:bookmarkEnd w:id="78653"/>
      <w:r>
        <w:rPr>
          <w:rFonts w:hint="cs"/>
          <w:rtl/>
        </w:rPr>
        <w:t xml:space="preserve">לטפח </w:t>
      </w:r>
      <w:bookmarkStart w:id="78654" w:name="_ETM_Q152_761950"/>
      <w:bookmarkEnd w:id="78654"/>
      <w:r>
        <w:rPr>
          <w:rFonts w:hint="cs"/>
          <w:rtl/>
        </w:rPr>
        <w:t xml:space="preserve">ולקדם </w:t>
      </w:r>
      <w:bookmarkStart w:id="78655" w:name="_ETM_Q152_762580"/>
      <w:bookmarkEnd w:id="78655"/>
      <w:r>
        <w:rPr>
          <w:rFonts w:hint="cs"/>
          <w:rtl/>
        </w:rPr>
        <w:t xml:space="preserve">את </w:t>
      </w:r>
      <w:bookmarkStart w:id="78656" w:name="_ETM_Q152_762670"/>
      <w:bookmarkEnd w:id="78656"/>
      <w:r>
        <w:rPr>
          <w:rFonts w:hint="cs"/>
          <w:rtl/>
        </w:rPr>
        <w:t xml:space="preserve">התכונות </w:t>
      </w:r>
      <w:bookmarkStart w:id="78657" w:name="_ETM_Q152_763240"/>
      <w:bookmarkEnd w:id="78657"/>
      <w:r>
        <w:rPr>
          <w:rFonts w:hint="cs"/>
          <w:rtl/>
        </w:rPr>
        <w:t xml:space="preserve">הטובות </w:t>
      </w:r>
      <w:bookmarkStart w:id="78658" w:name="_ETM_Q152_763780"/>
      <w:bookmarkEnd w:id="78658"/>
      <w:r>
        <w:rPr>
          <w:rFonts w:hint="cs"/>
          <w:rtl/>
        </w:rPr>
        <w:t xml:space="preserve">של </w:t>
      </w:r>
      <w:bookmarkStart w:id="78659" w:name="_ETM_Q152_763900"/>
      <w:bookmarkEnd w:id="78659"/>
      <w:r>
        <w:rPr>
          <w:rFonts w:hint="cs"/>
          <w:rtl/>
        </w:rPr>
        <w:t>חבריה:</w:t>
      </w:r>
      <w:bookmarkStart w:id="78660" w:name="_ETM_Q152_765429"/>
      <w:bookmarkEnd w:id="78660"/>
      <w:r>
        <w:rPr>
          <w:rFonts w:hint="cs"/>
          <w:rtl/>
        </w:rPr>
        <w:t xml:space="preserve"> אומץ, </w:t>
      </w:r>
      <w:bookmarkStart w:id="78661" w:name="_ETM_Q152_766509"/>
      <w:bookmarkEnd w:id="78661"/>
      <w:r>
        <w:rPr>
          <w:rFonts w:hint="cs"/>
          <w:rtl/>
        </w:rPr>
        <w:t xml:space="preserve">אחריות, </w:t>
      </w:r>
      <w:bookmarkStart w:id="78662" w:name="_ETM_Q152_767830"/>
      <w:bookmarkEnd w:id="78662"/>
      <w:r>
        <w:rPr>
          <w:rFonts w:hint="cs"/>
          <w:rtl/>
        </w:rPr>
        <w:t xml:space="preserve">יושרה, </w:t>
      </w:r>
      <w:bookmarkStart w:id="78663" w:name="_ETM_Q152_768960"/>
      <w:bookmarkEnd w:id="78663"/>
      <w:r>
        <w:rPr>
          <w:rFonts w:hint="cs"/>
          <w:rtl/>
        </w:rPr>
        <w:t xml:space="preserve">מקצועיות </w:t>
      </w:r>
      <w:bookmarkStart w:id="78664" w:name="_ETM_Q152_770069"/>
      <w:bookmarkEnd w:id="78664"/>
      <w:r>
        <w:rPr>
          <w:rFonts w:hint="cs"/>
          <w:rtl/>
        </w:rPr>
        <w:t>ונדיבות;</w:t>
      </w:r>
      <w:bookmarkStart w:id="78665" w:name="_ETM_Q152_771590"/>
      <w:bookmarkEnd w:id="78665"/>
      <w:r>
        <w:rPr>
          <w:rFonts w:hint="cs"/>
          <w:rtl/>
        </w:rPr>
        <w:t xml:space="preserve"> ולקדם </w:t>
      </w:r>
      <w:bookmarkStart w:id="78666" w:name="_ETM_Q152_772610"/>
      <w:bookmarkEnd w:id="78666"/>
      <w:r>
        <w:rPr>
          <w:rFonts w:hint="cs"/>
          <w:rtl/>
        </w:rPr>
        <w:t xml:space="preserve">ולטפח </w:t>
      </w:r>
      <w:bookmarkStart w:id="78667" w:name="_ETM_Q152_774080"/>
      <w:bookmarkEnd w:id="78667"/>
      <w:r>
        <w:rPr>
          <w:rFonts w:hint="cs"/>
          <w:rtl/>
        </w:rPr>
        <w:t xml:space="preserve">את </w:t>
      </w:r>
      <w:bookmarkStart w:id="78668" w:name="_ETM_Q152_774320"/>
      <w:bookmarkEnd w:id="78668"/>
      <w:r>
        <w:rPr>
          <w:rFonts w:hint="cs"/>
          <w:rtl/>
        </w:rPr>
        <w:t>התרבות</w:t>
      </w:r>
      <w:bookmarkStart w:id="78669" w:name="_ETM_Q152_775009"/>
      <w:bookmarkStart w:id="78670" w:name="_ETM_Q152_775639"/>
      <w:bookmarkEnd w:id="78669"/>
      <w:bookmarkEnd w:id="78670"/>
      <w:r>
        <w:rPr>
          <w:rFonts w:hint="cs"/>
          <w:rtl/>
        </w:rPr>
        <w:t xml:space="preserve">, את </w:t>
      </w:r>
      <w:bookmarkStart w:id="78671" w:name="_ETM_Q152_775849"/>
      <w:bookmarkEnd w:id="78671"/>
      <w:r>
        <w:rPr>
          <w:rFonts w:hint="cs"/>
          <w:rtl/>
        </w:rPr>
        <w:t xml:space="preserve">המדע, </w:t>
      </w:r>
      <w:bookmarkStart w:id="78672" w:name="_ETM_Q152_776839"/>
      <w:bookmarkEnd w:id="78672"/>
      <w:r>
        <w:rPr>
          <w:rFonts w:hint="cs"/>
          <w:rtl/>
        </w:rPr>
        <w:t xml:space="preserve">את </w:t>
      </w:r>
      <w:bookmarkStart w:id="78673" w:name="_ETM_Q152_776990"/>
      <w:bookmarkEnd w:id="78673"/>
      <w:r>
        <w:rPr>
          <w:rFonts w:hint="cs"/>
          <w:rtl/>
        </w:rPr>
        <w:t xml:space="preserve">הטכנולוגיה, </w:t>
      </w:r>
      <w:bookmarkStart w:id="78674" w:name="_ETM_Q152_778369"/>
      <w:bookmarkEnd w:id="78674"/>
      <w:r>
        <w:rPr>
          <w:rFonts w:hint="cs"/>
          <w:rtl/>
        </w:rPr>
        <w:t xml:space="preserve">הכלכלה </w:t>
      </w:r>
      <w:bookmarkStart w:id="78675" w:name="_ETM_Q152_779270"/>
      <w:bookmarkEnd w:id="78675"/>
      <w:r>
        <w:rPr>
          <w:rFonts w:hint="cs"/>
          <w:rtl/>
        </w:rPr>
        <w:t>וההשכלה.</w:t>
      </w:r>
      <w:bookmarkStart w:id="78676" w:name="_ETM_Q152_783688"/>
      <w:bookmarkStart w:id="78677" w:name="_ETM_Q152_783784"/>
      <w:bookmarkStart w:id="78678" w:name="_ETM_Q152_783912"/>
      <w:bookmarkStart w:id="78679" w:name="_ETM_Q152_783986"/>
      <w:bookmarkEnd w:id="78676"/>
      <w:bookmarkEnd w:id="78677"/>
      <w:bookmarkEnd w:id="78678"/>
      <w:bookmarkEnd w:id="78679"/>
      <w:r>
        <w:rPr>
          <w:rFonts w:hint="cs"/>
          <w:rtl/>
        </w:rPr>
        <w:t xml:space="preserve"> מדינת הלאום </w:t>
      </w:r>
      <w:bookmarkStart w:id="78680" w:name="_ETM_Q152_787494"/>
      <w:bookmarkEnd w:id="78680"/>
      <w:r>
        <w:rPr>
          <w:rFonts w:hint="cs"/>
          <w:rtl/>
        </w:rPr>
        <w:t>רוצה בטובת בניה ובנותיה, בתוך כך היא מקיימת "סור מרע ועשה טוב", ובמיוחד סור מסכנת המלחמה ובקש שלום בי</w:t>
      </w:r>
      <w:bookmarkStart w:id="78681" w:name="_ETM_Q152_794495"/>
      <w:bookmarkEnd w:id="78681"/>
      <w:r>
        <w:rPr>
          <w:rFonts w:hint="cs"/>
          <w:rtl/>
        </w:rPr>
        <w:t xml:space="preserve">ן העמים והלאומים. </w:t>
      </w:r>
    </w:p>
    <w:p w:rsidR="00BB59CD" w:rsidRDefault="00BB59CD" w:rsidP="00BB59CD">
      <w:pPr>
        <w:rPr>
          <w:rtl/>
        </w:rPr>
      </w:pPr>
    </w:p>
    <w:p w:rsidR="00BB59CD" w:rsidRDefault="00BB59CD" w:rsidP="00BB59CD">
      <w:pPr>
        <w:rPr>
          <w:rtl/>
        </w:rPr>
      </w:pPr>
      <w:r>
        <w:rPr>
          <w:rFonts w:hint="cs"/>
          <w:rtl/>
        </w:rPr>
        <w:t>אלה עקרונות המדינה. החלום שבעבורו אנחנו נלחמים. אנחנו מוכנים להקריב, לפעול ולחיות. זה החלום, אחריו אנחנו נרדוף. הממשלה הזו היא שברו, אבל אנחנו לא נפסיק. תודה רבה.</w:t>
      </w:r>
    </w:p>
    <w:p w:rsidR="00BB59CD" w:rsidRDefault="00BB59CD" w:rsidP="00BB59CD">
      <w:pPr>
        <w:keepNext/>
        <w:ind w:firstLine="0"/>
        <w:rPr>
          <w:rtl/>
        </w:rPr>
      </w:pPr>
      <w:bookmarkStart w:id="78682" w:name="ET_typistreplace_אחרי_כן_וי_11_11_1"/>
    </w:p>
    <w:p w:rsidR="00BB59CD" w:rsidRDefault="00BB59CD" w:rsidP="00BB59CD">
      <w:pPr>
        <w:pStyle w:val="af9"/>
        <w:keepNext/>
        <w:rPr>
          <w:rtl/>
        </w:rPr>
      </w:pPr>
      <w:bookmarkStart w:id="78683" w:name="_ETM_Q152_781882"/>
      <w:bookmarkStart w:id="78684" w:name="_ETM_Q152_781980"/>
      <w:bookmarkEnd w:id="78682"/>
      <w:bookmarkEnd w:id="78683"/>
      <w:bookmarkEnd w:id="78684"/>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 הכנסת ווליד טאהא. </w:t>
      </w:r>
      <w:bookmarkStart w:id="78685" w:name="_ETM_Q153_261862"/>
      <w:bookmarkStart w:id="78686" w:name="_ETM_Q153_261948"/>
      <w:bookmarkEnd w:id="78685"/>
      <w:bookmarkEnd w:id="78686"/>
      <w:r>
        <w:rPr>
          <w:rFonts w:hint="cs"/>
          <w:rtl/>
          <w:lang w:eastAsia="he-IL"/>
        </w:rPr>
        <w:t>(אומר בערבית: 15 דקות.)</w:t>
      </w:r>
    </w:p>
    <w:p w:rsidR="00BB59CD" w:rsidRDefault="00BB59CD" w:rsidP="00BB59CD">
      <w:pPr>
        <w:ind w:firstLine="0"/>
        <w:rPr>
          <w:rtl/>
          <w:lang w:eastAsia="he-IL"/>
        </w:rPr>
      </w:pPr>
    </w:p>
    <w:p w:rsidR="00BB59CD" w:rsidRDefault="00BB59CD" w:rsidP="00BB59CD">
      <w:pPr>
        <w:pStyle w:val="a5"/>
        <w:keepNext/>
        <w:rPr>
          <w:rtl/>
        </w:rPr>
      </w:pPr>
      <w:bookmarkStart w:id="78687" w:name="ET_speaker_5854_3"/>
      <w:r>
        <w:rPr>
          <w:rStyle w:val="TagStyle"/>
          <w:rFonts w:hint="cs"/>
          <w:rtl/>
        </w:rPr>
        <w:t xml:space="preserve"> &lt;&lt; דובר &gt;&gt; </w:t>
      </w:r>
      <w:bookmarkStart w:id="78688" w:name="_Toc141197196"/>
      <w:bookmarkStart w:id="78689" w:name="_Toc141196932"/>
      <w:r>
        <w:rPr>
          <w:rFonts w:hint="cs"/>
          <w:rtl/>
        </w:rPr>
        <w:t>ווליד טאהא (רע"מ – הרשימה הערבית המאוחדת):</w:t>
      </w:r>
      <w:bookmarkEnd w:id="78688"/>
      <w:bookmarkEnd w:id="78689"/>
      <w:r>
        <w:rPr>
          <w:rStyle w:val="TagStyle"/>
          <w:rFonts w:hint="cs"/>
          <w:rtl/>
        </w:rPr>
        <w:t xml:space="preserve"> &lt;&lt; דובר &gt;&gt;</w:t>
      </w:r>
      <w:r>
        <w:rPr>
          <w:rFonts w:hint="cs"/>
          <w:rtl/>
        </w:rPr>
        <w:t xml:space="preserve">   </w:t>
      </w:r>
      <w:bookmarkEnd w:id="78687"/>
    </w:p>
    <w:p w:rsidR="00BB59CD" w:rsidRDefault="00BB59CD" w:rsidP="00BB59CD">
      <w:pPr>
        <w:ind w:firstLine="0"/>
        <w:rPr>
          <w:rtl/>
          <w:lang w:eastAsia="he-IL"/>
        </w:rPr>
      </w:pPr>
      <w:bookmarkStart w:id="78690" w:name="_ETM_Q153_198574"/>
      <w:bookmarkStart w:id="78691" w:name="_ETM_Q153_198692"/>
      <w:bookmarkEnd w:id="78690"/>
      <w:bookmarkEnd w:id="78691"/>
    </w:p>
    <w:p w:rsidR="00BB59CD" w:rsidRDefault="00BB59CD" w:rsidP="00BB59CD">
      <w:pPr>
        <w:rPr>
          <w:rtl/>
          <w:lang w:eastAsia="he-IL"/>
        </w:rPr>
      </w:pPr>
      <w:bookmarkStart w:id="78692" w:name="_ETM_Q153_196222"/>
      <w:bookmarkStart w:id="78693" w:name="_ETM_Q153_196291"/>
      <w:bookmarkEnd w:id="78692"/>
      <w:bookmarkEnd w:id="78693"/>
      <w:r>
        <w:rPr>
          <w:rFonts w:hint="cs"/>
          <w:rtl/>
          <w:lang w:eastAsia="he-IL"/>
        </w:rPr>
        <w:t>כבוד היושב-ראש,</w:t>
      </w:r>
      <w:r>
        <w:rPr>
          <w:rFonts w:hint="cs"/>
          <w:lang w:eastAsia="he-IL"/>
        </w:rPr>
        <w:t xml:space="preserve"> </w:t>
      </w:r>
      <w:r>
        <w:rPr>
          <w:rFonts w:hint="cs"/>
          <w:rtl/>
          <w:lang w:eastAsia="he-IL"/>
        </w:rPr>
        <w:t xml:space="preserve">חברות וחברי הכנסת, כבוד השר, שרים, </w:t>
      </w:r>
      <w:bookmarkStart w:id="78694" w:name="_ETM_Q153_268575"/>
      <w:bookmarkStart w:id="78695" w:name="_ETM_Q153_268650"/>
      <w:bookmarkStart w:id="78696" w:name="_ETM_Q153_268855"/>
      <w:bookmarkStart w:id="78697" w:name="_ETM_Q153_268929"/>
      <w:bookmarkEnd w:id="78694"/>
      <w:bookmarkEnd w:id="78695"/>
      <w:bookmarkEnd w:id="78696"/>
      <w:bookmarkEnd w:id="78697"/>
      <w:r>
        <w:rPr>
          <w:rFonts w:hint="cs"/>
          <w:rtl/>
          <w:lang w:eastAsia="he-IL"/>
        </w:rPr>
        <w:t>מספרית, מתמטית, הקואליציה של רוטמן, בן גביר, סמוטריץ' את נתניהו, כנראה תעביר את החוק, חוק לביטול עילת הסבירות, והיא לכאורה תרשום ניצחון מתמטי, מספרי, שיש לה בפועל בכנסת. הקואליציה מכילה מרכיבים גזעניים וחשוכים. מאז כינונה היא העבירה שורה של חוקים גרועים ואומללים, ובכל פעם שהיא עשתה זאת, בכל פעם שהיא העבירה חוק – לא משנה כמה היה גרוע, כמה היה אומלל, כמה היה גזעני –</w:t>
      </w:r>
      <w:r>
        <w:rPr>
          <w:rFonts w:hint="cs"/>
          <w:rtl/>
        </w:rPr>
        <w:t xml:space="preserve"> </w:t>
      </w:r>
      <w:r>
        <w:rPr>
          <w:rFonts w:hint="cs"/>
          <w:rtl/>
          <w:lang w:eastAsia="he-IL"/>
        </w:rPr>
        <w:t>היא רשמה לעצמה ניצחון, אך בפועל היא הבקיעה לעצמה גול עצמי ונחלה הפסד ערכי מהדהד בכל הקשור לאמנה החברתית שבין מדינה לאזרחיה.</w:t>
      </w:r>
    </w:p>
    <w:p w:rsidR="00BB59CD" w:rsidRDefault="00BB59CD" w:rsidP="00BB59CD">
      <w:pPr>
        <w:rPr>
          <w:rtl/>
          <w:lang w:eastAsia="he-IL"/>
        </w:rPr>
      </w:pPr>
      <w:bookmarkStart w:id="78698" w:name="_ETM_Q153_364866"/>
      <w:bookmarkStart w:id="78699" w:name="_ETM_Q153_364958"/>
      <w:bookmarkEnd w:id="78698"/>
      <w:bookmarkEnd w:id="78699"/>
    </w:p>
    <w:p w:rsidR="00BB59CD" w:rsidRDefault="00BB59CD" w:rsidP="00BB59CD">
      <w:pPr>
        <w:pStyle w:val="af9"/>
        <w:keepNext/>
        <w:rPr>
          <w:rtl/>
        </w:rPr>
      </w:pPr>
      <w:bookmarkStart w:id="78700" w:name="_ETM_Q153_365019"/>
      <w:bookmarkStart w:id="78701" w:name="_ETM_Q153_365089"/>
      <w:bookmarkEnd w:id="78700"/>
      <w:bookmarkEnd w:id="78701"/>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BB59CD">
      <w:pPr>
        <w:rPr>
          <w:rtl/>
          <w:lang w:eastAsia="he-IL"/>
        </w:rPr>
      </w:pPr>
    </w:p>
    <w:p w:rsidR="00BB59CD" w:rsidRDefault="00BB59CD" w:rsidP="00993EDC">
      <w:pPr>
        <w:rPr>
          <w:rtl/>
          <w:lang w:eastAsia="he-IL"/>
        </w:rPr>
      </w:pPr>
      <w:r>
        <w:rPr>
          <w:rFonts w:hint="cs"/>
          <w:rtl/>
          <w:lang w:eastAsia="he-IL"/>
        </w:rPr>
        <w:t>בתאי הסיעות נשמע רעש, אנחנו מבקשים שקט.</w:t>
      </w:r>
    </w:p>
    <w:p w:rsidR="00BB59CD" w:rsidRDefault="00BB59CD" w:rsidP="00BB59CD">
      <w:pPr>
        <w:rPr>
          <w:rtl/>
          <w:lang w:eastAsia="he-IL"/>
        </w:rPr>
      </w:pPr>
    </w:p>
    <w:p w:rsidR="00BB59CD" w:rsidRDefault="00BB59CD" w:rsidP="00BB59CD">
      <w:pPr>
        <w:pStyle w:val="-"/>
        <w:keepNext/>
        <w:rPr>
          <w:rtl/>
        </w:rPr>
      </w:pPr>
      <w:bookmarkStart w:id="78702" w:name="ET_speakercontinue_5854_5"/>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bookmarkEnd w:id="78702"/>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הרעש הוא תמיד מחברת כנסת ספציפית, שמותר לה. כל מי שמנהל את הישיבה מרשה לה להשתלח, לדבר, להפריע, להיכנס לדברים של הח"כים – והכול בסדר, היא אפילו לא מקבלת הערה על זה. </w:t>
      </w:r>
    </w:p>
    <w:p w:rsidR="00BB59CD" w:rsidRDefault="00BB59CD" w:rsidP="00BB59CD">
      <w:pPr>
        <w:rPr>
          <w:rtl/>
          <w:lang w:eastAsia="he-IL"/>
        </w:rPr>
      </w:pPr>
    </w:p>
    <w:p w:rsidR="00BB59CD" w:rsidRDefault="00BB59CD" w:rsidP="00BB59CD">
      <w:pPr>
        <w:pStyle w:val="af8"/>
        <w:keepNext/>
        <w:rPr>
          <w:rtl/>
        </w:rPr>
      </w:pPr>
      <w:bookmarkStart w:id="78703" w:name="ET_interruption_6345_6"/>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bookmarkEnd w:id="78703"/>
    </w:p>
    <w:p w:rsidR="00BB59CD" w:rsidRDefault="00BB59CD" w:rsidP="00BB59CD">
      <w:pPr>
        <w:rPr>
          <w:rtl/>
          <w:lang w:eastAsia="he-IL"/>
        </w:rPr>
      </w:pPr>
    </w:p>
    <w:p w:rsidR="00BB59CD" w:rsidRDefault="00BB59CD" w:rsidP="00BB59CD">
      <w:pPr>
        <w:rPr>
          <w:rtl/>
          <w:lang w:eastAsia="he-IL"/>
        </w:rPr>
      </w:pPr>
      <w:r>
        <w:rPr>
          <w:rFonts w:hint="cs"/>
          <w:rtl/>
          <w:lang w:eastAsia="he-IL"/>
        </w:rPr>
        <w:t>אל תדאג, התלונות שלכם, בכיינים, לוועדת האתיקה - - - שאני מקבלת. בכיינים. לך תתלונן לוועדת האתיקה.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לא דיברתי על חברת הכנסת, דיברתי על תאי הסיעות שם.</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כשאתה תקרא לחיילים שלי "רוצחים", אני אפריע לך; כשאתה תתמוך בטרור, אני אפריע לך.</w:t>
      </w:r>
      <w:bookmarkStart w:id="78704" w:name="_ETM_Q153_400961"/>
      <w:bookmarkEnd w:id="78704"/>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bookmarkStart w:id="78705" w:name="_ETM_Q153_402163"/>
      <w:bookmarkEnd w:id="78705"/>
    </w:p>
    <w:p w:rsidR="00BB59CD" w:rsidRDefault="00BB59CD" w:rsidP="00BB59CD">
      <w:pPr>
        <w:rPr>
          <w:rtl/>
          <w:lang w:eastAsia="he-IL"/>
        </w:rPr>
      </w:pPr>
      <w:bookmarkStart w:id="78706" w:name="_ETM_Q153_402473"/>
      <w:bookmarkEnd w:id="78706"/>
      <w:r>
        <w:rPr>
          <w:rFonts w:hint="cs"/>
          <w:rtl/>
          <w:lang w:eastAsia="he-IL"/>
        </w:rPr>
        <w:t xml:space="preserve">אז </w:t>
      </w:r>
      <w:bookmarkStart w:id="78707" w:name="_ETM_Q153_403291"/>
      <w:bookmarkStart w:id="78708" w:name="_ETM_Q153_403933"/>
      <w:bookmarkStart w:id="78709" w:name="_ETM_Q153_404981"/>
      <w:bookmarkEnd w:id="78707"/>
      <w:bookmarkEnd w:id="78708"/>
      <w:bookmarkEnd w:id="78709"/>
      <w:r>
        <w:rPr>
          <w:rFonts w:hint="cs"/>
          <w:rtl/>
          <w:lang w:eastAsia="he-IL"/>
        </w:rPr>
        <w:t>כנראה - - -</w:t>
      </w:r>
    </w:p>
    <w:p w:rsidR="00BB59CD" w:rsidRDefault="00BB59CD" w:rsidP="00BB59CD">
      <w:pPr>
        <w:rPr>
          <w:rtl/>
          <w:lang w:eastAsia="he-IL"/>
        </w:rPr>
      </w:pPr>
    </w:p>
    <w:p w:rsidR="00BB59CD" w:rsidRDefault="00BB59CD" w:rsidP="00BB59CD">
      <w:pPr>
        <w:pStyle w:val="af8"/>
        <w:keepNext/>
        <w:rPr>
          <w:rtl/>
        </w:rPr>
      </w:pPr>
      <w:bookmarkStart w:id="78710" w:name="_ETM_Q153_402207"/>
      <w:bookmarkStart w:id="78711" w:name="_ETM_Q153_402282"/>
      <w:bookmarkEnd w:id="78710"/>
      <w:bookmarkEnd w:id="78711"/>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lang w:eastAsia="he-IL"/>
        </w:rPr>
      </w:pPr>
      <w:bookmarkStart w:id="78712" w:name="_ETM_Q153_403079"/>
      <w:bookmarkStart w:id="78713" w:name="_ETM_Q153_403160"/>
      <w:bookmarkEnd w:id="78712"/>
      <w:bookmarkEnd w:id="78713"/>
      <w:r>
        <w:rPr>
          <w:rFonts w:hint="cs"/>
          <w:rtl/>
          <w:lang w:eastAsia="he-IL"/>
        </w:rPr>
        <w:t>וזה כואב לך, כי אתה כבר לא בעל הבית, ואתה לא תהיה פה בעל הבית.</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כנראה יש - - </w:t>
      </w:r>
      <w:bookmarkStart w:id="78714" w:name="_ETM_Q153_404284"/>
      <w:bookmarkEnd w:id="78714"/>
      <w:r>
        <w:rPr>
          <w:rFonts w:hint="cs"/>
          <w:rtl/>
          <w:lang w:eastAsia="he-IL"/>
        </w:rPr>
        <w:t>-</w:t>
      </w:r>
    </w:p>
    <w:p w:rsidR="00BB59CD" w:rsidRDefault="00BB59CD" w:rsidP="00BB59CD">
      <w:pPr>
        <w:rPr>
          <w:rtl/>
          <w:lang w:eastAsia="he-IL"/>
        </w:rPr>
      </w:pPr>
      <w:bookmarkStart w:id="78715" w:name="_ETM_Q153_404372"/>
      <w:bookmarkEnd w:id="78715"/>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לא תהיה פה בעל הבית, לא, לא. בהצלחה שיהיה לך.</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כנראה יש מופרעת שיודעת על עצמה - -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בהצלחה. אני אעצבן אותך פה עד שתתייאש. </w:t>
      </w:r>
      <w:bookmarkStart w:id="78716" w:name="_ETM_Q153_412786"/>
      <w:bookmarkEnd w:id="78716"/>
    </w:p>
    <w:p w:rsidR="00BB59CD" w:rsidRDefault="00BB59CD" w:rsidP="00BB59CD">
      <w:pPr>
        <w:rPr>
          <w:rtl/>
          <w:lang w:eastAsia="he-IL"/>
        </w:rPr>
      </w:pPr>
      <w:bookmarkStart w:id="78717" w:name="_ETM_Q153_393931"/>
      <w:bookmarkStart w:id="78718" w:name="_ETM_Q153_393997"/>
      <w:bookmarkStart w:id="78719" w:name="_ETM_Q153_394107"/>
      <w:bookmarkStart w:id="78720" w:name="_ETM_Q153_417714"/>
      <w:bookmarkEnd w:id="78717"/>
      <w:bookmarkEnd w:id="78718"/>
      <w:bookmarkEnd w:id="78719"/>
      <w:bookmarkEnd w:id="78720"/>
    </w:p>
    <w:p w:rsidR="00BB59CD" w:rsidRDefault="00BB59CD" w:rsidP="00BB59CD">
      <w:pPr>
        <w:pStyle w:val="-"/>
        <w:keepNext/>
        <w:rPr>
          <w:rtl/>
        </w:rPr>
      </w:pPr>
      <w:bookmarkStart w:id="78721" w:name="_ETM_Q153_417781"/>
      <w:bookmarkEnd w:id="78721"/>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 ועל כן </w:t>
      </w:r>
      <w:bookmarkStart w:id="78722" w:name="_ETM_Q153_419046"/>
      <w:bookmarkEnd w:id="78722"/>
      <w:r>
        <w:rPr>
          <w:rFonts w:hint="cs"/>
          <w:rtl/>
          <w:lang w:eastAsia="he-IL"/>
        </w:rPr>
        <w:t xml:space="preserve">היא מתחילה לענות על </w:t>
      </w:r>
      <w:bookmarkStart w:id="78723" w:name="_ETM_Q153_420264"/>
      <w:bookmarkEnd w:id="78723"/>
      <w:r>
        <w:rPr>
          <w:rFonts w:hint="cs"/>
          <w:rtl/>
          <w:lang w:eastAsia="he-IL"/>
        </w:rPr>
        <w:t xml:space="preserve">דברים מבלי שאני אפילו רוצה להסתכל עליה - - </w:t>
      </w:r>
    </w:p>
    <w:p w:rsidR="00BB59CD" w:rsidRDefault="00BB59CD" w:rsidP="00BB59CD">
      <w:pPr>
        <w:rPr>
          <w:rtl/>
          <w:lang w:eastAsia="he-IL"/>
        </w:rPr>
      </w:pPr>
      <w:bookmarkStart w:id="78724" w:name="_ETM_Q153_419105"/>
      <w:bookmarkEnd w:id="78724"/>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עד שאתה תתייאש אני אעצבן אותך. אני אפריע לך ואני אעצבן אותך.</w:t>
      </w:r>
    </w:p>
    <w:p w:rsidR="00BB59CD" w:rsidRDefault="00BB59CD" w:rsidP="00BB59CD">
      <w:pPr>
        <w:rPr>
          <w:rtl/>
          <w:lang w:eastAsia="he-IL"/>
        </w:rPr>
      </w:pPr>
    </w:p>
    <w:p w:rsidR="00BB59CD" w:rsidRDefault="00BB59CD" w:rsidP="00BB59CD">
      <w:pPr>
        <w:pStyle w:val="-"/>
        <w:keepNext/>
        <w:rPr>
          <w:rtl/>
        </w:rPr>
      </w:pPr>
      <w:bookmarkStart w:id="78725" w:name="_ETM_Q153_423050"/>
      <w:bookmarkStart w:id="78726" w:name="_ETM_Q153_423126"/>
      <w:bookmarkEnd w:id="78725"/>
      <w:bookmarkEnd w:id="78726"/>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8727" w:name="_ETM_Q153_419247"/>
      <w:bookmarkStart w:id="78728" w:name="_ETM_Q153_419308"/>
      <w:bookmarkEnd w:id="78727"/>
      <w:bookmarkEnd w:id="78728"/>
      <w:r>
        <w:rPr>
          <w:rFonts w:hint="cs"/>
          <w:rtl/>
          <w:lang w:eastAsia="he-IL"/>
        </w:rPr>
        <w:t>- - בלי שאני אפילו רוצה להפנות אליה דברים ישירים.</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8729" w:name="_ETM_Q153_425195"/>
      <w:bookmarkStart w:id="78730" w:name="_ETM_Q153_425277"/>
      <w:bookmarkEnd w:id="78729"/>
      <w:bookmarkEnd w:id="78730"/>
      <w:r>
        <w:rPr>
          <w:rFonts w:hint="cs"/>
          <w:rtl/>
          <w:lang w:eastAsia="he-IL"/>
        </w:rPr>
        <w:t>אני אפריע לך - -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993EDC">
      <w:pPr>
        <w:rPr>
          <w:rtl/>
          <w:lang w:eastAsia="he-IL"/>
        </w:rPr>
      </w:pPr>
      <w:r>
        <w:rPr>
          <w:rFonts w:hint="cs"/>
          <w:rtl/>
          <w:lang w:eastAsia="he-IL"/>
        </w:rPr>
        <w:t>אז תודה שאת מכירה בזה שאת נמצאת כאן כדי להפריע, לצעוק, לגעור וסתם להיכנס לדברים של הח"כים האחרים, כי זו התרבות שלך, זו הרמה שלך, זו רמת המוסר שלך.</w:t>
      </w:r>
    </w:p>
    <w:p w:rsidR="00BB59CD" w:rsidRDefault="00BB59CD" w:rsidP="00BB59CD">
      <w:pPr>
        <w:rPr>
          <w:rtl/>
          <w:lang w:eastAsia="he-IL"/>
        </w:rPr>
      </w:pPr>
      <w:bookmarkStart w:id="78731" w:name="_ETM_Q153_442257"/>
      <w:bookmarkStart w:id="78732" w:name="_ETM_Q153_442310"/>
      <w:bookmarkEnd w:id="78731"/>
      <w:bookmarkEnd w:id="78732"/>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אני אפריע לך, כי אתה תומך טרור.</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ind w:firstLine="0"/>
        <w:rPr>
          <w:rtl/>
          <w:lang w:eastAsia="he-IL"/>
        </w:rPr>
      </w:pPr>
      <w:r>
        <w:rPr>
          <w:rFonts w:hint="cs"/>
          <w:rtl/>
          <w:lang w:eastAsia="he-IL"/>
        </w:rPr>
        <w:tab/>
      </w:r>
    </w:p>
    <w:p w:rsidR="00BB59CD" w:rsidRDefault="00BB59CD" w:rsidP="00BB59CD">
      <w:pPr>
        <w:rPr>
          <w:rtl/>
          <w:lang w:eastAsia="he-IL"/>
        </w:rPr>
      </w:pPr>
      <w:r>
        <w:rPr>
          <w:rFonts w:hint="cs"/>
          <w:rtl/>
          <w:lang w:eastAsia="he-IL"/>
        </w:rPr>
        <w:t xml:space="preserve">על זה בדיוק דיברתי - - </w:t>
      </w:r>
    </w:p>
    <w:p w:rsidR="00BB59CD" w:rsidRDefault="00BB59CD" w:rsidP="00BB59CD">
      <w:pPr>
        <w:ind w:left="720" w:firstLine="0"/>
        <w:rPr>
          <w:lang w:eastAsia="he-IL"/>
        </w:rPr>
      </w:pPr>
    </w:p>
    <w:p w:rsidR="00BB59CD" w:rsidRDefault="00BB59CD" w:rsidP="00BB59CD">
      <w:pPr>
        <w:pStyle w:val="af8"/>
        <w:keepNext/>
        <w:rPr>
          <w:rtl/>
        </w:rPr>
      </w:pPr>
      <w:bookmarkStart w:id="78733" w:name="_ETM_Q153_444898"/>
      <w:bookmarkStart w:id="78734" w:name="_ETM_Q153_444962"/>
      <w:bookmarkEnd w:id="78733"/>
      <w:bookmarkEnd w:id="78734"/>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ind w:left="720" w:firstLine="0"/>
        <w:rPr>
          <w:rtl/>
          <w:lang w:eastAsia="he-IL"/>
        </w:rPr>
      </w:pPr>
      <w:bookmarkStart w:id="78735" w:name="_ETM_Q153_447034"/>
      <w:bookmarkEnd w:id="78735"/>
    </w:p>
    <w:p w:rsidR="00BB59CD" w:rsidRDefault="00BB59CD" w:rsidP="00BB59CD">
      <w:pPr>
        <w:ind w:left="720" w:firstLine="0"/>
        <w:rPr>
          <w:rtl/>
          <w:lang w:eastAsia="he-IL"/>
        </w:rPr>
      </w:pPr>
      <w:bookmarkStart w:id="78736" w:name="_ETM_Q153_447099"/>
      <w:bookmarkEnd w:id="78736"/>
      <w:r>
        <w:rPr>
          <w:rFonts w:hint="cs"/>
          <w:rtl/>
          <w:lang w:eastAsia="he-IL"/>
        </w:rPr>
        <w:t>תומך טרור, אני אפריע לך.</w:t>
      </w:r>
    </w:p>
    <w:p w:rsidR="00BB59CD" w:rsidRDefault="00BB59CD" w:rsidP="00BB59CD">
      <w:pPr>
        <w:ind w:left="720" w:firstLine="0"/>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keepNext/>
        <w:ind w:left="720" w:firstLine="0"/>
        <w:rPr>
          <w:rtl/>
          <w:lang w:eastAsia="he-IL"/>
        </w:rPr>
      </w:pPr>
    </w:p>
    <w:p w:rsidR="00BB59CD" w:rsidRDefault="00BB59CD" w:rsidP="00BB59CD">
      <w:pPr>
        <w:keepNext/>
        <w:rPr>
          <w:rtl/>
          <w:lang w:eastAsia="he-IL"/>
        </w:rPr>
      </w:pPr>
      <w:r>
        <w:rPr>
          <w:rFonts w:hint="cs"/>
          <w:rtl/>
          <w:lang w:eastAsia="he-IL"/>
        </w:rPr>
        <w:t xml:space="preserve">- - על זה בדיוק דיברתי כאשר אמרתי - -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אתם התרגלתם, התרגלתם לפגוע במדינה.</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bookmarkStart w:id="78737" w:name="_ETM_Q153_450485"/>
      <w:bookmarkStart w:id="78738" w:name="_ETM_Q153_450590"/>
      <w:bookmarkEnd w:id="78737"/>
      <w:bookmarkEnd w:id="78738"/>
    </w:p>
    <w:p w:rsidR="00BB59CD" w:rsidRDefault="00BB59CD" w:rsidP="00BB59CD">
      <w:pPr>
        <w:rPr>
          <w:rtl/>
          <w:lang w:eastAsia="he-IL"/>
        </w:rPr>
      </w:pPr>
      <w:r>
        <w:rPr>
          <w:rFonts w:hint="cs"/>
          <w:rtl/>
          <w:lang w:eastAsia="he-IL"/>
        </w:rPr>
        <w:t xml:space="preserve">- </w:t>
      </w:r>
      <w:bookmarkStart w:id="78739" w:name="_ETM_Q153_452758"/>
      <w:bookmarkEnd w:id="78739"/>
      <w:r>
        <w:rPr>
          <w:rFonts w:hint="cs"/>
          <w:rtl/>
          <w:lang w:eastAsia="he-IL"/>
        </w:rPr>
        <w:t xml:space="preserve">- שהקואליציה הזאת הבקיעה גול עצמי - -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התרגלתם לפגוע בחיילי צה"ל.</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 ונחלה הפסד ערכי מהדהד בכל הקשור לאמנה האזרחית שבין מדינה לאזרחיה.</w:t>
      </w:r>
    </w:p>
    <w:p w:rsidR="00BB59CD" w:rsidRDefault="00BB59CD" w:rsidP="00BB59CD">
      <w:pPr>
        <w:ind w:firstLine="0"/>
        <w:rPr>
          <w:rtl/>
          <w:lang w:eastAsia="he-IL"/>
        </w:rPr>
      </w:pPr>
    </w:p>
    <w:p w:rsidR="00BB59CD" w:rsidRDefault="00BB59CD" w:rsidP="00BB59CD">
      <w:pPr>
        <w:pStyle w:val="af8"/>
        <w:keepNext/>
        <w:rPr>
          <w:rtl/>
        </w:rPr>
      </w:pPr>
      <w:bookmarkStart w:id="78740" w:name="_ETM_Q153_455728"/>
      <w:bookmarkStart w:id="78741" w:name="_ETM_Q153_455861"/>
      <w:bookmarkEnd w:id="78740"/>
      <w:bookmarkEnd w:id="78741"/>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תמשיך, תמשיך לנאום, חבל על הזמן שלך.</w:t>
      </w:r>
    </w:p>
    <w:p w:rsidR="00BB59CD" w:rsidRDefault="00BB59CD" w:rsidP="00BB59CD">
      <w:pPr>
        <w:rPr>
          <w:rtl/>
          <w:lang w:eastAsia="he-IL"/>
        </w:rPr>
      </w:pPr>
      <w:bookmarkStart w:id="78742" w:name="_ETM_Q153_457952"/>
      <w:bookmarkEnd w:id="78742"/>
    </w:p>
    <w:p w:rsidR="00BB59CD" w:rsidRDefault="00BB59CD" w:rsidP="00BB59CD">
      <w:pPr>
        <w:pStyle w:val="-"/>
        <w:keepNext/>
        <w:rPr>
          <w:rtl/>
        </w:rPr>
      </w:pPr>
      <w:bookmarkStart w:id="78743" w:name="_ETM_Q153_458010"/>
      <w:bookmarkEnd w:id="78743"/>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מה לעשות, את לא מבינה באמנה החברתית. את מבינה בבלטג'ה. את יודעת מה זה  בלטג'ה?</w:t>
      </w:r>
    </w:p>
    <w:p w:rsidR="00BB59CD" w:rsidRDefault="00BB59CD" w:rsidP="00BB59CD">
      <w:pPr>
        <w:ind w:firstLine="0"/>
        <w:rPr>
          <w:rtl/>
          <w:lang w:eastAsia="he-IL"/>
        </w:rPr>
      </w:pPr>
    </w:p>
    <w:p w:rsidR="00BB59CD" w:rsidRDefault="00BB59CD" w:rsidP="00BB59CD">
      <w:pPr>
        <w:pStyle w:val="af8"/>
        <w:keepNext/>
        <w:rPr>
          <w:rtl/>
        </w:rPr>
      </w:pPr>
      <w:bookmarkStart w:id="78744" w:name="_ETM_Q153_466404"/>
      <w:bookmarkStart w:id="78745" w:name="_ETM_Q153_466488"/>
      <w:bookmarkEnd w:id="78744"/>
      <w:bookmarkEnd w:id="78745"/>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ind w:firstLine="0"/>
        <w:rPr>
          <w:rtl/>
          <w:lang w:eastAsia="he-IL"/>
        </w:rPr>
      </w:pPr>
    </w:p>
    <w:p w:rsidR="00BB59CD" w:rsidRDefault="00BB59CD" w:rsidP="00BB59CD">
      <w:pPr>
        <w:ind w:firstLine="0"/>
        <w:rPr>
          <w:rtl/>
          <w:lang w:eastAsia="he-IL"/>
        </w:rPr>
      </w:pPr>
      <w:bookmarkStart w:id="78746" w:name="_ETM_Q153_468372"/>
      <w:bookmarkStart w:id="78747" w:name="_ETM_Q153_468450"/>
      <w:bookmarkEnd w:id="78746"/>
      <w:bookmarkEnd w:id="78747"/>
      <w:r>
        <w:rPr>
          <w:rFonts w:hint="cs"/>
          <w:rtl/>
          <w:lang w:eastAsia="he-IL"/>
        </w:rPr>
        <w:tab/>
        <w:t>אתה מבין בלתמוך בטרור.</w:t>
      </w:r>
    </w:p>
    <w:p w:rsidR="00BB59CD" w:rsidRDefault="00BB59CD" w:rsidP="00BB59CD">
      <w:pPr>
        <w:ind w:firstLine="0"/>
        <w:rPr>
          <w:rtl/>
          <w:lang w:eastAsia="he-IL"/>
        </w:rPr>
      </w:pPr>
      <w:bookmarkStart w:id="78748" w:name="_ETM_Q153_466165"/>
      <w:bookmarkStart w:id="78749" w:name="_ETM_Q153_466226"/>
      <w:bookmarkStart w:id="78750" w:name="_ETM_Q153_474254"/>
      <w:bookmarkEnd w:id="78748"/>
      <w:bookmarkEnd w:id="78749"/>
      <w:bookmarkEnd w:id="78750"/>
    </w:p>
    <w:p w:rsidR="00BB59CD" w:rsidRDefault="00BB59CD" w:rsidP="00BB59CD">
      <w:pPr>
        <w:pStyle w:val="-"/>
        <w:keepNext/>
        <w:rPr>
          <w:rtl/>
        </w:rPr>
      </w:pPr>
      <w:bookmarkStart w:id="78751" w:name="_ETM_Q153_474326"/>
      <w:bookmarkEnd w:id="78751"/>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keepNext/>
        <w:ind w:firstLine="0"/>
        <w:rPr>
          <w:rtl/>
          <w:lang w:eastAsia="he-IL"/>
        </w:rPr>
      </w:pPr>
    </w:p>
    <w:p w:rsidR="00BB59CD" w:rsidRDefault="00BB59CD" w:rsidP="00BB59CD">
      <w:pPr>
        <w:keepNext/>
        <w:rPr>
          <w:rtl/>
          <w:lang w:eastAsia="he-IL"/>
        </w:rPr>
      </w:pPr>
      <w:r>
        <w:rPr>
          <w:rFonts w:hint="cs"/>
          <w:rtl/>
          <w:lang w:eastAsia="he-IL"/>
        </w:rPr>
        <w:t>עוד מעט אני אעבור לדבר ערבית, ותצעקי כמה שבא לך, אבל עוד מעט אני אעשה את זה.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מדבר לעם? מי מקשיב לך? המליאה ריקה, אף </w:t>
      </w:r>
      <w:bookmarkStart w:id="78752" w:name="_ETM_Q153_480854"/>
      <w:bookmarkEnd w:id="78752"/>
      <w:r>
        <w:rPr>
          <w:rFonts w:hint="cs"/>
          <w:rtl/>
          <w:lang w:eastAsia="he-IL"/>
        </w:rPr>
        <w:t>אחד לא בא לשמוע אותך. מי מקשיב לך?</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היושב-ראש, אתה אפילו לא מפנה לה הערה, אתה אפילו לא מפנה לה הערה.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אתה פנית אליי והוצאת את דיבתי, קיבלת תשובה.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BB59CD">
      <w:pPr>
        <w:rPr>
          <w:rtl/>
          <w:lang w:eastAsia="he-IL"/>
        </w:rPr>
      </w:pPr>
      <w:bookmarkStart w:id="78753" w:name="_ETM_Q153_480898"/>
      <w:bookmarkEnd w:id="78753"/>
    </w:p>
    <w:p w:rsidR="00BB59CD" w:rsidRDefault="00BB59CD" w:rsidP="00BB59CD">
      <w:pPr>
        <w:rPr>
          <w:rtl/>
          <w:lang w:eastAsia="he-IL"/>
        </w:rPr>
      </w:pPr>
      <w:bookmarkStart w:id="78754" w:name="_ETM_Q153_481006"/>
      <w:bookmarkEnd w:id="78754"/>
      <w:r>
        <w:rPr>
          <w:rFonts w:hint="cs"/>
          <w:rtl/>
          <w:lang w:eastAsia="he-IL"/>
        </w:rPr>
        <w:t xml:space="preserve">חבר הכנסת ווליד, אתה פנית </w:t>
      </w:r>
      <w:bookmarkStart w:id="78755" w:name="_ETM_Q153_482530"/>
      <w:bookmarkEnd w:id="78755"/>
      <w:r>
        <w:rPr>
          <w:rFonts w:hint="cs"/>
          <w:rtl/>
          <w:lang w:eastAsia="he-IL"/>
        </w:rPr>
        <w:t xml:space="preserve">אליה, </w:t>
      </w:r>
      <w:bookmarkStart w:id="78756" w:name="_ETM_Q153_491203"/>
      <w:bookmarkEnd w:id="78756"/>
      <w:r>
        <w:rPr>
          <w:rFonts w:hint="cs"/>
          <w:rtl/>
          <w:lang w:eastAsia="he-IL"/>
        </w:rPr>
        <w:t>אתה תקפת אותה, אתה התחלת, ואתה אחראי.</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אדוני היושב-ראש, לא פניתי אליה, אני מדבר למליאה, אני מדבר לחברי הכנסת, והיא קופצת.</w:t>
      </w:r>
      <w:bookmarkStart w:id="78757" w:name="_ETM_Q153_498385"/>
      <w:bookmarkEnd w:id="78757"/>
    </w:p>
    <w:p w:rsidR="00BB59CD" w:rsidRDefault="00BB59CD" w:rsidP="00BB59CD">
      <w:pPr>
        <w:rPr>
          <w:rtl/>
          <w:lang w:eastAsia="he-IL"/>
        </w:rPr>
      </w:pPr>
      <w:bookmarkStart w:id="78758" w:name="_ETM_Q153_498465"/>
      <w:bookmarkEnd w:id="78758"/>
    </w:p>
    <w:p w:rsidR="00BB59CD" w:rsidRDefault="00BB59CD" w:rsidP="00BB59CD">
      <w:pPr>
        <w:pStyle w:val="af8"/>
        <w:keepNext/>
        <w:rPr>
          <w:rtl/>
        </w:rPr>
      </w:pPr>
      <w:bookmarkStart w:id="78759" w:name="_ETM_Q153_498785"/>
      <w:bookmarkStart w:id="78760" w:name="_ETM_Q153_498856"/>
      <w:bookmarkEnd w:id="78759"/>
      <w:bookmarkEnd w:id="78760"/>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8761" w:name="_ETM_Q153_500901"/>
      <w:bookmarkStart w:id="78762" w:name="_ETM_Q153_500972"/>
      <w:bookmarkEnd w:id="78761"/>
      <w:bookmarkEnd w:id="78762"/>
      <w:r>
        <w:rPr>
          <w:rFonts w:hint="cs"/>
          <w:rtl/>
          <w:lang w:eastAsia="he-IL"/>
        </w:rPr>
        <w:t xml:space="preserve">מדבר כמו שוביניסט. אדוני, זה כבר לא הבית שלך, שאתה יכול לעשות מה שבא לך.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8763" w:name="_ETM_Q153_499174"/>
      <w:bookmarkStart w:id="78764" w:name="_ETM_Q153_499265"/>
      <w:bookmarkEnd w:id="78763"/>
      <w:bookmarkEnd w:id="78764"/>
      <w:r>
        <w:rPr>
          <w:rFonts w:hint="cs"/>
          <w:rtl/>
          <w:lang w:eastAsia="he-IL"/>
        </w:rPr>
        <w:t xml:space="preserve">טוב, זהו, </w:t>
      </w:r>
      <w:bookmarkStart w:id="78765" w:name="_ETM_Q153_503413"/>
      <w:bookmarkEnd w:id="78765"/>
      <w:r>
        <w:rPr>
          <w:rFonts w:hint="cs"/>
          <w:rtl/>
          <w:lang w:eastAsia="he-IL"/>
        </w:rPr>
        <w:t>מספיק.</w:t>
      </w:r>
    </w:p>
    <w:p w:rsidR="00BB59CD" w:rsidRDefault="00BB59CD" w:rsidP="00BB59CD">
      <w:pPr>
        <w:rPr>
          <w:rtl/>
          <w:lang w:eastAsia="he-IL"/>
        </w:rPr>
      </w:pPr>
      <w:bookmarkStart w:id="78766" w:name="_ETM_Q153_504805"/>
      <w:bookmarkStart w:id="78767" w:name="_ETM_Q153_504868"/>
      <w:bookmarkEnd w:id="78766"/>
      <w:bookmarkEnd w:id="78767"/>
    </w:p>
    <w:p w:rsidR="00BB59CD" w:rsidRDefault="00BB59CD" w:rsidP="00BB59CD">
      <w:pPr>
        <w:pStyle w:val="af8"/>
        <w:keepNext/>
        <w:rPr>
          <w:rtl/>
        </w:rPr>
      </w:pPr>
      <w:bookmarkStart w:id="78768" w:name="_ETM_Q153_505006"/>
      <w:bookmarkStart w:id="78769" w:name="_ETM_Q153_505103"/>
      <w:bookmarkEnd w:id="78768"/>
      <w:bookmarkEnd w:id="78769"/>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keepNext/>
        <w:rPr>
          <w:rtl/>
          <w:lang w:eastAsia="he-IL"/>
        </w:rPr>
      </w:pPr>
    </w:p>
    <w:p w:rsidR="00BB59CD" w:rsidRDefault="00BB59CD" w:rsidP="00BB59CD">
      <w:pPr>
        <w:keepNext/>
        <w:rPr>
          <w:rtl/>
          <w:lang w:eastAsia="he-IL"/>
        </w:rPr>
      </w:pPr>
      <w:r>
        <w:rPr>
          <w:rFonts w:hint="cs"/>
          <w:rtl/>
          <w:lang w:eastAsia="he-IL"/>
        </w:rPr>
        <w:t>אני פה יושבת, לא זזה מהמליאה, כדי לראות מה אתם מדברים פה על העם שלי.</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חברת הכנסת גוטליב, הוא פנה אלייך ואת ענית לו, מספיק.</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בדיוק, עדיף שלא ידבר אליי - - -</w:t>
      </w:r>
    </w:p>
    <w:p w:rsidR="00BB59CD" w:rsidRDefault="00BB59CD" w:rsidP="00BB59CD">
      <w:pPr>
        <w:rPr>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8770" w:name="_ETM_Q153_473955"/>
      <w:bookmarkStart w:id="78771" w:name="_ETM_Q153_474080"/>
      <w:bookmarkEnd w:id="78770"/>
      <w:bookmarkEnd w:id="78771"/>
      <w:r>
        <w:rPr>
          <w:rFonts w:hint="cs"/>
          <w:rtl/>
          <w:lang w:eastAsia="he-IL"/>
        </w:rPr>
        <w:t xml:space="preserve">בספר החוקים של מדינת ישראל יש בערך </w:t>
      </w:r>
      <w:bookmarkStart w:id="78772" w:name="_ETM_Q153_512281"/>
      <w:bookmarkEnd w:id="78772"/>
      <w:r>
        <w:rPr>
          <w:rFonts w:hint="cs"/>
          <w:rtl/>
          <w:lang w:eastAsia="he-IL"/>
        </w:rPr>
        <w:t>200 חוקים גזעניים, אז תוסיפי עוד חוק גזעני אחד ש</w:t>
      </w:r>
      <w:bookmarkStart w:id="78773" w:name="_ETM_Q153_517447"/>
      <w:bookmarkStart w:id="78774" w:name="_ETM_Q153_517538"/>
      <w:bookmarkEnd w:id="78773"/>
      <w:bookmarkEnd w:id="78774"/>
      <w:r>
        <w:rPr>
          <w:rFonts w:hint="cs"/>
          <w:rtl/>
          <w:lang w:eastAsia="he-IL"/>
        </w:rPr>
        <w:t xml:space="preserve">אוסר </w:t>
      </w:r>
      <w:bookmarkStart w:id="78775" w:name="_ETM_Q153_516058"/>
      <w:bookmarkEnd w:id="78775"/>
      <w:r>
        <w:rPr>
          <w:rFonts w:hint="cs"/>
          <w:rtl/>
          <w:lang w:eastAsia="he-IL"/>
        </w:rPr>
        <w:t>על אזרח המדינה הערבי להתמודד לכנסת, וסחתיין לך, לא נהיה כאן.</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אני לא אציע הצעת חוק כזאת. </w:t>
      </w:r>
      <w:bookmarkStart w:id="78776" w:name="_ETM_Q153_533562"/>
      <w:bookmarkEnd w:id="78776"/>
    </w:p>
    <w:p w:rsidR="00BB59CD" w:rsidRDefault="00BB59CD" w:rsidP="00BB59CD">
      <w:pPr>
        <w:rPr>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למה</w:t>
      </w:r>
      <w:bookmarkStart w:id="78777" w:name="_ETM_Q153_530486"/>
      <w:bookmarkEnd w:id="78777"/>
      <w:r>
        <w:rPr>
          <w:rFonts w:hint="cs"/>
          <w:rtl/>
          <w:lang w:eastAsia="he-IL"/>
        </w:rPr>
        <w:t xml:space="preserve"> את מחכה, יא גזענית, יא אומללה? למה את מחכה? תעשי את זה.</w:t>
      </w:r>
    </w:p>
    <w:p w:rsidR="00BB59CD" w:rsidRDefault="00BB59CD" w:rsidP="00BB59CD">
      <w:pPr>
        <w:rPr>
          <w:rtl/>
          <w:lang w:eastAsia="he-IL"/>
        </w:rPr>
      </w:pPr>
      <w:bookmarkStart w:id="78778" w:name="_ETM_Q153_528664"/>
      <w:bookmarkStart w:id="78779" w:name="_ETM_Q153_528739"/>
      <w:bookmarkEnd w:id="78778"/>
      <w:bookmarkEnd w:id="78779"/>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אדוני, לתומכי טרור אני לא אתן להיות פה – לא לערבים.</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F1749F">
      <w:pPr>
        <w:rPr>
          <w:rtl/>
          <w:lang w:eastAsia="he-IL"/>
        </w:rPr>
      </w:pPr>
      <w:r>
        <w:rPr>
          <w:rFonts w:hint="cs"/>
          <w:rtl/>
          <w:lang w:eastAsia="he-IL"/>
        </w:rPr>
        <w:t>זה למעשה מה שנשאר כדי לרדת מהפסים לגמרי. זה מה שאתם צריכים לעשות – לחוקק חוק שמונע מסוג אוכלוסייה מסוימת להתמודד לכנסת</w:t>
      </w:r>
      <w:r w:rsidR="00F1749F">
        <w:rPr>
          <w:rFonts w:hint="cs"/>
          <w:rtl/>
          <w:lang w:eastAsia="he-IL"/>
        </w:rPr>
        <w:t>.</w:t>
      </w:r>
      <w:r>
        <w:rPr>
          <w:rFonts w:hint="cs"/>
          <w:rtl/>
          <w:lang w:eastAsia="he-IL"/>
        </w:rPr>
        <w:t xml:space="preserve"> </w:t>
      </w:r>
    </w:p>
    <w:p w:rsidR="00BB59CD" w:rsidRDefault="00BB59CD" w:rsidP="00BB59CD">
      <w:pPr>
        <w:ind w:left="720" w:firstLine="0"/>
        <w:rPr>
          <w:lang w:eastAsia="he-IL"/>
        </w:rPr>
      </w:pPr>
    </w:p>
    <w:p w:rsidR="00BB59CD" w:rsidRDefault="00BB59CD" w:rsidP="00BB59CD">
      <w:pPr>
        <w:pStyle w:val="af8"/>
        <w:keepNext/>
        <w:rPr>
          <w:rtl/>
        </w:rPr>
      </w:pPr>
      <w:bookmarkStart w:id="78780" w:name="_ETM_Q153_552244"/>
      <w:bookmarkStart w:id="78781" w:name="_ETM_Q153_552324"/>
      <w:bookmarkEnd w:id="78780"/>
      <w:bookmarkEnd w:id="78781"/>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keepNext/>
        <w:ind w:left="720" w:firstLine="0"/>
        <w:rPr>
          <w:rtl/>
          <w:lang w:eastAsia="he-IL"/>
        </w:rPr>
      </w:pPr>
    </w:p>
    <w:p w:rsidR="00BB59CD" w:rsidRDefault="00BB59CD" w:rsidP="00BB59CD">
      <w:pPr>
        <w:keepNext/>
        <w:ind w:left="720" w:firstLine="0"/>
        <w:rPr>
          <w:rtl/>
          <w:lang w:eastAsia="he-IL"/>
        </w:rPr>
      </w:pPr>
      <w:bookmarkStart w:id="78782" w:name="_ETM_Q153_553108"/>
      <w:bookmarkStart w:id="78783" w:name="_ETM_Q153_553181"/>
      <w:bookmarkEnd w:id="78782"/>
      <w:bookmarkEnd w:id="78783"/>
      <w:r>
        <w:rPr>
          <w:rFonts w:hint="cs"/>
          <w:rtl/>
          <w:lang w:eastAsia="he-IL"/>
        </w:rPr>
        <w:t>אנחנו לא רוצים לחוקק את זה</w:t>
      </w:r>
      <w:bookmarkStart w:id="78784" w:name="_ETM_Q153_550615"/>
      <w:bookmarkEnd w:id="78784"/>
      <w:r>
        <w:rPr>
          <w:rFonts w:hint="cs"/>
          <w:rtl/>
          <w:lang w:eastAsia="he-IL"/>
        </w:rPr>
        <w:t xml:space="preserve">, אנחנו לא רוצים שיקראו </w:t>
      </w:r>
      <w:bookmarkStart w:id="78785" w:name="_ETM_Q153_555065"/>
      <w:bookmarkEnd w:id="78785"/>
      <w:r>
        <w:rPr>
          <w:rFonts w:hint="cs"/>
          <w:rtl/>
          <w:lang w:eastAsia="he-IL"/>
        </w:rPr>
        <w:t xml:space="preserve">לחיילים שלי </w:t>
      </w:r>
      <w:r w:rsidR="00F1749F">
        <w:rPr>
          <w:rFonts w:hint="cs"/>
          <w:rtl/>
          <w:lang w:eastAsia="he-IL"/>
        </w:rPr>
        <w:t>"</w:t>
      </w:r>
      <w:r>
        <w:rPr>
          <w:rFonts w:hint="cs"/>
          <w:rtl/>
          <w:lang w:eastAsia="he-IL"/>
        </w:rPr>
        <w:t>רוצחים</w:t>
      </w:r>
      <w:r w:rsidR="00F1749F">
        <w:rPr>
          <w:rFonts w:hint="cs"/>
          <w:rtl/>
          <w:lang w:eastAsia="he-IL"/>
        </w:rPr>
        <w:t>"</w:t>
      </w:r>
      <w:r>
        <w:rPr>
          <w:rFonts w:hint="cs"/>
          <w:rtl/>
          <w:lang w:eastAsia="he-IL"/>
        </w:rPr>
        <w:t>.</w:t>
      </w:r>
    </w:p>
    <w:p w:rsidR="00BB59CD" w:rsidRDefault="00BB59CD" w:rsidP="00BB59CD">
      <w:pPr>
        <w:ind w:left="720" w:firstLine="0"/>
        <w:rPr>
          <w:rtl/>
          <w:lang w:eastAsia="he-IL"/>
        </w:rPr>
      </w:pPr>
      <w:bookmarkStart w:id="78786" w:name="_ETM_Q153_550711"/>
      <w:bookmarkEnd w:id="78786"/>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ind w:left="720" w:firstLine="0"/>
        <w:rPr>
          <w:rtl/>
          <w:lang w:eastAsia="he-IL"/>
        </w:rPr>
      </w:pPr>
    </w:p>
    <w:p w:rsidR="00BB59CD" w:rsidRDefault="00BB59CD" w:rsidP="00BB59CD">
      <w:pPr>
        <w:rPr>
          <w:rtl/>
          <w:lang w:eastAsia="he-IL"/>
        </w:rPr>
      </w:pPr>
      <w:r>
        <w:rPr>
          <w:rFonts w:hint="cs"/>
          <w:rtl/>
          <w:lang w:eastAsia="he-IL"/>
        </w:rPr>
        <w:t xml:space="preserve">זה בדיוק מה שעשתה דרום אפריקה, זה האפרטהייד </w:t>
      </w:r>
      <w:bookmarkStart w:id="78787" w:name="_ETM_Q153_559831"/>
      <w:bookmarkEnd w:id="78787"/>
      <w:r>
        <w:rPr>
          <w:rFonts w:hint="cs"/>
          <w:rtl/>
          <w:lang w:eastAsia="he-IL"/>
        </w:rPr>
        <w:t>שאת רוצה להפעיל במדינה.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אמרת את זה - - -</w:t>
      </w:r>
    </w:p>
    <w:p w:rsidR="00BB59CD" w:rsidRDefault="00BB59CD" w:rsidP="00BB59CD">
      <w:pPr>
        <w:rPr>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דרך אגב, זה יצליח </w:t>
      </w:r>
      <w:bookmarkStart w:id="78788" w:name="_ETM_Q153_563296"/>
      <w:bookmarkEnd w:id="78788"/>
      <w:r>
        <w:rPr>
          <w:rFonts w:hint="cs"/>
          <w:rtl/>
          <w:lang w:eastAsia="he-IL"/>
        </w:rPr>
        <w:t xml:space="preserve">לך אולי בעוד שעתיים, את תשימי את הרגל על המסילה, </w:t>
      </w:r>
      <w:bookmarkStart w:id="78789" w:name="_ETM_Q153_570886"/>
      <w:bookmarkEnd w:id="78789"/>
      <w:r>
        <w:rPr>
          <w:rFonts w:hint="cs"/>
          <w:rtl/>
          <w:lang w:eastAsia="he-IL"/>
        </w:rPr>
        <w:t>ותתחיל</w:t>
      </w:r>
      <w:bookmarkStart w:id="78790" w:name="_ETM_Q153_566739"/>
      <w:bookmarkStart w:id="78791" w:name="_ETM_Q153_566838"/>
      <w:bookmarkEnd w:id="78790"/>
      <w:bookmarkEnd w:id="78791"/>
      <w:r>
        <w:rPr>
          <w:rFonts w:hint="cs"/>
          <w:rtl/>
          <w:lang w:eastAsia="he-IL"/>
        </w:rPr>
        <w:t>ו -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בתור חבר כנסת אתה </w:t>
      </w:r>
      <w:bookmarkStart w:id="78792" w:name="_ETM_Q153_576860"/>
      <w:bookmarkEnd w:id="78792"/>
      <w:r>
        <w:rPr>
          <w:rFonts w:hint="cs"/>
          <w:rtl/>
          <w:lang w:eastAsia="he-IL"/>
        </w:rPr>
        <w:t>לא אמור להיות אינטליגנט לפחות במינימום? אתה לא יודע מה זה צמצום עילת הסבירות?</w:t>
      </w:r>
    </w:p>
    <w:p w:rsidR="00BB59CD" w:rsidRDefault="00BB59CD" w:rsidP="00BB59CD">
      <w:pPr>
        <w:rPr>
          <w:rtl/>
          <w:lang w:eastAsia="he-IL"/>
        </w:rPr>
      </w:pPr>
    </w:p>
    <w:p w:rsidR="00BB59CD" w:rsidRDefault="00BB59CD" w:rsidP="00BB59CD">
      <w:pPr>
        <w:pStyle w:val="-"/>
        <w:keepNext/>
        <w:rPr>
          <w:rtl/>
        </w:rPr>
      </w:pPr>
      <w:bookmarkStart w:id="78793" w:name="_ETM_Q153_577066"/>
      <w:bookmarkStart w:id="78794" w:name="_ETM_Q153_577146"/>
      <w:bookmarkEnd w:id="78793"/>
      <w:bookmarkEnd w:id="78794"/>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lang w:eastAsia="he-IL"/>
        </w:rPr>
      </w:pPr>
      <w:r>
        <w:rPr>
          <w:rFonts w:hint="cs"/>
          <w:rtl/>
          <w:lang w:eastAsia="he-IL"/>
        </w:rPr>
        <w:t xml:space="preserve">- - בתקופה של רודנות ודיקטטורה, תקופה שאין בה שום דבר סביר לעומת מה שאתם רואים כסביר. בדרכי הנה אני ראיתי את </w:t>
      </w:r>
      <w:bookmarkStart w:id="78795" w:name="_ETM_Q153_579432"/>
      <w:bookmarkStart w:id="78796" w:name="_ETM_Q153_579512"/>
      <w:bookmarkEnd w:id="78795"/>
      <w:bookmarkEnd w:id="78796"/>
      <w:r>
        <w:rPr>
          <w:rFonts w:hint="cs"/>
          <w:rtl/>
          <w:lang w:eastAsia="he-IL"/>
        </w:rPr>
        <w:t xml:space="preserve">המפגינים הרבים, ראיתי את האזרחים המודאגים, </w:t>
      </w:r>
      <w:bookmarkStart w:id="78797" w:name="_ETM_Q153_596502"/>
      <w:bookmarkEnd w:id="78797"/>
      <w:r>
        <w:rPr>
          <w:rFonts w:hint="cs"/>
          <w:rtl/>
          <w:lang w:eastAsia="he-IL"/>
        </w:rPr>
        <w:t xml:space="preserve">ובצדק הם מודאגים. לנגד עיניהם קמה </w:t>
      </w:r>
      <w:bookmarkStart w:id="78798" w:name="_ETM_Q153_604885"/>
      <w:bookmarkStart w:id="78799" w:name="_ETM_Q153_604968"/>
      <w:bookmarkEnd w:id="78798"/>
      <w:bookmarkEnd w:id="78799"/>
      <w:r>
        <w:rPr>
          <w:rFonts w:hint="cs"/>
          <w:rtl/>
          <w:lang w:eastAsia="he-IL"/>
        </w:rPr>
        <w:t>קואליציה</w:t>
      </w:r>
      <w:bookmarkStart w:id="78800" w:name="_ETM_Q153_609805"/>
      <w:bookmarkEnd w:id="78800"/>
      <w:r>
        <w:rPr>
          <w:rFonts w:hint="cs"/>
          <w:rtl/>
          <w:lang w:eastAsia="he-IL"/>
        </w:rPr>
        <w:t xml:space="preserve"> - - -</w:t>
      </w:r>
    </w:p>
    <w:p w:rsidR="00BB59CD" w:rsidRDefault="00BB59CD" w:rsidP="00BB59CD">
      <w:pPr>
        <w:rPr>
          <w:rtl/>
          <w:lang w:eastAsia="he-IL"/>
        </w:rPr>
      </w:pPr>
      <w:bookmarkStart w:id="78801" w:name="_ETM_Q153_609872"/>
      <w:bookmarkEnd w:id="78801"/>
    </w:p>
    <w:p w:rsidR="00BB59CD" w:rsidRDefault="00BB59CD" w:rsidP="00BB59CD">
      <w:pPr>
        <w:pStyle w:val="af8"/>
        <w:keepNext/>
        <w:rPr>
          <w:rtl/>
        </w:rPr>
      </w:pPr>
      <w:r>
        <w:rPr>
          <w:rStyle w:val="TagStyle"/>
          <w:rFonts w:hint="cs"/>
          <w:rtl/>
        </w:rPr>
        <w:t xml:space="preserve">&lt;&lt; קריאה &gt;&gt; </w:t>
      </w:r>
      <w:r>
        <w:rPr>
          <w:rFonts w:hint="cs"/>
          <w:rtl/>
        </w:rPr>
        <w:t>שר המשפטים יריב לוין:</w:t>
      </w:r>
      <w:r>
        <w:rPr>
          <w:rStyle w:val="TagStyle"/>
          <w:rtl/>
        </w:rPr>
        <w:t xml:space="preserve"> &lt;&lt; קריאה &gt;&gt;</w:t>
      </w:r>
      <w:r>
        <w:rPr>
          <w:rFonts w:hint="cs"/>
          <w:rtl/>
        </w:rPr>
        <w:t xml:space="preserve">   </w:t>
      </w:r>
    </w:p>
    <w:p w:rsidR="00BB59CD" w:rsidRDefault="00BB59CD" w:rsidP="00BB59CD">
      <w:pPr>
        <w:ind w:firstLine="0"/>
        <w:rPr>
          <w:rtl/>
          <w:lang w:eastAsia="he-IL"/>
        </w:rPr>
      </w:pPr>
    </w:p>
    <w:p w:rsidR="00BB59CD" w:rsidRDefault="00BB59CD" w:rsidP="00BB59CD">
      <w:pPr>
        <w:rPr>
          <w:rtl/>
        </w:rPr>
      </w:pPr>
      <w:r>
        <w:rPr>
          <w:rFonts w:hint="cs"/>
          <w:rtl/>
        </w:rPr>
        <w:t>ווליד, זה הזמן לקצת ערבית.</w:t>
      </w:r>
    </w:p>
    <w:p w:rsidR="00BB59CD" w:rsidRDefault="00BB59CD" w:rsidP="00BB59CD">
      <w:pPr>
        <w:rPr>
          <w:rt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rPr>
      </w:pPr>
    </w:p>
    <w:p w:rsidR="00BB59CD" w:rsidRDefault="00BB59CD" w:rsidP="00BB59CD">
      <w:pPr>
        <w:rPr>
          <w:rtl/>
        </w:rPr>
      </w:pPr>
      <w:r>
        <w:rPr>
          <w:rFonts w:hint="cs"/>
          <w:rtl/>
        </w:rPr>
        <w:t>עוד מעט.</w:t>
      </w:r>
    </w:p>
    <w:p w:rsidR="00BB59CD" w:rsidRDefault="00BB59CD" w:rsidP="00BB59CD">
      <w:pPr>
        <w:rPr>
          <w:rtl/>
        </w:rPr>
      </w:pPr>
    </w:p>
    <w:p w:rsidR="00BB59CD" w:rsidRDefault="00BB59CD" w:rsidP="00BB59CD">
      <w:pPr>
        <w:pStyle w:val="af8"/>
        <w:keepNext/>
        <w:rPr>
          <w:rtl/>
        </w:rPr>
      </w:pPr>
      <w:r>
        <w:rPr>
          <w:rStyle w:val="TagStyle"/>
          <w:rFonts w:hint="cs"/>
          <w:rtl/>
        </w:rPr>
        <w:t xml:space="preserve">&lt;&lt; קריאה &gt;&gt; </w:t>
      </w:r>
      <w:r>
        <w:rPr>
          <w:rFonts w:hint="cs"/>
          <w:rtl/>
        </w:rPr>
        <w:t>שר המשפטים יריב לוין:</w:t>
      </w:r>
      <w:r>
        <w:rPr>
          <w:rStyle w:val="TagStyle"/>
          <w:rtl/>
        </w:rPr>
        <w:t xml:space="preserve"> &lt;&lt; קריאה &gt;&gt;</w:t>
      </w:r>
      <w:r>
        <w:rPr>
          <w:rFonts w:hint="cs"/>
          <w:rtl/>
        </w:rPr>
        <w:t xml:space="preserve">   </w:t>
      </w:r>
    </w:p>
    <w:p w:rsidR="00BB59CD" w:rsidRDefault="00BB59CD" w:rsidP="00BB59CD">
      <w:pPr>
        <w:rPr>
          <w:rtl/>
        </w:rPr>
      </w:pPr>
    </w:p>
    <w:p w:rsidR="00BB59CD" w:rsidRDefault="00BB59CD" w:rsidP="00BB59CD">
      <w:pPr>
        <w:rPr>
          <w:rtl/>
        </w:rPr>
      </w:pPr>
      <w:r>
        <w:rPr>
          <w:rFonts w:hint="cs"/>
          <w:rtl/>
        </w:rPr>
        <w:t>מה עוד מעט? עכשיו.</w:t>
      </w:r>
    </w:p>
    <w:p w:rsidR="00BB59CD" w:rsidRDefault="00BB59CD" w:rsidP="00BB59CD">
      <w:pPr>
        <w:rPr>
          <w:rt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rPr>
      </w:pPr>
    </w:p>
    <w:p w:rsidR="00BB59CD" w:rsidRDefault="00BB59CD" w:rsidP="00BB59CD">
      <w:pPr>
        <w:rPr>
          <w:rtl/>
          <w:lang w:eastAsia="he-IL"/>
        </w:rPr>
      </w:pPr>
      <w:r>
        <w:rPr>
          <w:rFonts w:hint="cs"/>
          <w:rtl/>
        </w:rPr>
        <w:t xml:space="preserve">אתה יודע, היא נמצאת פה על המשמר </w:t>
      </w:r>
      <w:r>
        <w:rPr>
          <w:rFonts w:hint="cs"/>
          <w:rtl/>
          <w:lang w:eastAsia="he-IL"/>
        </w:rPr>
        <w:t>כדי להתחיל לגעור בכל פעם שמישהו מדבר ערבית.</w:t>
      </w:r>
    </w:p>
    <w:p w:rsidR="00BB59CD" w:rsidRDefault="00BB59CD" w:rsidP="00BB59CD">
      <w:pPr>
        <w:rPr>
          <w:b/>
          <w:bCs/>
          <w:u w:val="single"/>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ab/>
      </w:r>
    </w:p>
    <w:p w:rsidR="00BB59CD" w:rsidRDefault="00BB59CD" w:rsidP="00BB59CD">
      <w:pPr>
        <w:rPr>
          <w:rtl/>
          <w:lang w:eastAsia="he-IL"/>
        </w:rPr>
      </w:pPr>
      <w:r>
        <w:rPr>
          <w:rFonts w:hint="cs"/>
          <w:rtl/>
          <w:lang w:eastAsia="he-IL"/>
        </w:rPr>
        <w:t xml:space="preserve">מה, מה </w:t>
      </w:r>
      <w:bookmarkStart w:id="78802" w:name="_ETM_Q153_622778"/>
      <w:bookmarkEnd w:id="78802"/>
      <w:r>
        <w:rPr>
          <w:rFonts w:hint="cs"/>
          <w:rtl/>
          <w:lang w:eastAsia="he-IL"/>
        </w:rPr>
        <w:t>אתה מפחד ממני</w:t>
      </w:r>
      <w:bookmarkStart w:id="78803" w:name="_ETM_Q153_621448"/>
      <w:bookmarkEnd w:id="78803"/>
      <w:r>
        <w:rPr>
          <w:rFonts w:hint="cs"/>
          <w:rtl/>
          <w:lang w:eastAsia="he-IL"/>
        </w:rPr>
        <w:t>? מה? אני כל כך מפחידה אותך, אדון – במה אני מפחידה אותך? מעניין.</w:t>
      </w:r>
    </w:p>
    <w:p w:rsidR="00BB59CD" w:rsidRDefault="00BB59CD" w:rsidP="00BB59CD">
      <w:pPr>
        <w:rPr>
          <w:rtl/>
          <w:lang w:eastAsia="he-IL"/>
        </w:rPr>
      </w:pPr>
      <w:bookmarkStart w:id="78804" w:name="_ETM_Q153_625843"/>
      <w:bookmarkStart w:id="78805" w:name="_ETM_Q153_625930"/>
      <w:bookmarkStart w:id="78806" w:name="_ETM_Q153_634001"/>
      <w:bookmarkEnd w:id="78804"/>
      <w:bookmarkEnd w:id="78805"/>
      <w:bookmarkEnd w:id="78806"/>
    </w:p>
    <w:p w:rsidR="00BB59CD" w:rsidRDefault="00BB59CD" w:rsidP="00BB59CD">
      <w:pPr>
        <w:pStyle w:val="af8"/>
        <w:keepNext/>
        <w:rPr>
          <w:rtl/>
        </w:rPr>
      </w:pPr>
      <w:bookmarkStart w:id="78807" w:name="_ETM_Q153_634066"/>
      <w:bookmarkEnd w:id="78807"/>
      <w:r>
        <w:rPr>
          <w:rStyle w:val="TagStyle"/>
          <w:rFonts w:hint="cs"/>
          <w:rtl/>
        </w:rPr>
        <w:t xml:space="preserve">&lt;&lt; קריאה &gt;&gt; </w:t>
      </w:r>
      <w:r>
        <w:rPr>
          <w:rFonts w:hint="cs"/>
          <w:rtl/>
        </w:rPr>
        <w:t>שר המשפטים יריב לוין:</w:t>
      </w:r>
      <w:r>
        <w:rPr>
          <w:rStyle w:val="TagStyle"/>
          <w:rtl/>
        </w:rPr>
        <w:t xml:space="preserve"> &lt;&lt; קריאה &gt;&gt;</w:t>
      </w:r>
      <w:r>
        <w:rPr>
          <w:rFonts w:hint="cs"/>
          <w:rtl/>
        </w:rPr>
        <w:t xml:space="preserve">   </w:t>
      </w:r>
    </w:p>
    <w:p w:rsidR="00BB59CD" w:rsidRDefault="00BB59CD" w:rsidP="00BB59CD">
      <w:pPr>
        <w:rPr>
          <w:rtl/>
        </w:rPr>
      </w:pPr>
    </w:p>
    <w:p w:rsidR="00BB59CD" w:rsidRDefault="00BB59CD" w:rsidP="00BB59CD">
      <w:pPr>
        <w:rPr>
          <w:rtl/>
        </w:rPr>
      </w:pPr>
      <w:r>
        <w:rPr>
          <w:rFonts w:hint="cs"/>
          <w:rtl/>
        </w:rPr>
        <w:t>אני מבקש לרשום לפרוטוקול: אני ביקשתי שידברו ערבית, ווליד לא מסכים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הוא מסכים, הוא ידבר.</w:t>
      </w:r>
    </w:p>
    <w:p w:rsidR="00BB59CD" w:rsidRDefault="00BB59CD" w:rsidP="00BB59CD">
      <w:pPr>
        <w:rPr>
          <w:rt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ind w:firstLine="0"/>
        <w:rPr>
          <w:rtl/>
          <w:lang w:eastAsia="he-IL"/>
        </w:rPr>
      </w:pPr>
      <w:r>
        <w:rPr>
          <w:rFonts w:hint="cs"/>
          <w:rtl/>
          <w:lang w:eastAsia="he-IL"/>
        </w:rPr>
        <w:tab/>
      </w:r>
    </w:p>
    <w:p w:rsidR="00BB59CD" w:rsidRDefault="00BB59CD" w:rsidP="00F1749F">
      <w:pPr>
        <w:rPr>
          <w:rtl/>
          <w:lang w:eastAsia="he-IL"/>
        </w:rPr>
      </w:pPr>
      <w:r>
        <w:rPr>
          <w:rFonts w:hint="cs"/>
          <w:rtl/>
          <w:lang w:eastAsia="he-IL"/>
        </w:rPr>
        <w:t>אני מסכים, עוד מעט אני אעבור לדבר ערבית</w:t>
      </w:r>
      <w:r w:rsidR="00F1749F">
        <w:rPr>
          <w:rFonts w:hint="cs"/>
          <w:rtl/>
          <w:lang w:eastAsia="he-IL"/>
        </w:rPr>
        <w:t>.</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דבר, דבר על </w:t>
      </w:r>
      <w:bookmarkStart w:id="78808" w:name="_ETM_Q153_637162"/>
      <w:bookmarkEnd w:id="78808"/>
      <w:r>
        <w:rPr>
          <w:rFonts w:hint="cs"/>
          <w:rtl/>
          <w:lang w:eastAsia="he-IL"/>
        </w:rPr>
        <w:t xml:space="preserve">הסבירות, נראה מה אתה מבין בזה, כלום או </w:t>
      </w:r>
      <w:bookmarkStart w:id="78809" w:name="_ETM_Q153_641897"/>
      <w:bookmarkEnd w:id="78809"/>
      <w:r>
        <w:rPr>
          <w:rFonts w:hint="cs"/>
          <w:rtl/>
          <w:lang w:eastAsia="he-IL"/>
        </w:rPr>
        <w:t>כלום וחצי.</w:t>
      </w:r>
    </w:p>
    <w:p w:rsidR="00BB59CD" w:rsidRDefault="00BB59CD" w:rsidP="00BB59CD">
      <w:pPr>
        <w:rPr>
          <w:rtl/>
          <w:lang w:eastAsia="he-IL"/>
        </w:rPr>
      </w:pPr>
    </w:p>
    <w:p w:rsidR="00BB59CD" w:rsidRDefault="00BB59CD" w:rsidP="00BB59CD">
      <w:pPr>
        <w:pStyle w:val="-"/>
        <w:keepNext/>
        <w:rPr>
          <w:rtl/>
        </w:rPr>
      </w:pPr>
      <w:bookmarkStart w:id="78810" w:name="_ETM_Q153_640229"/>
      <w:bookmarkStart w:id="78811" w:name="_ETM_Q153_640338"/>
      <w:bookmarkEnd w:id="78810"/>
      <w:bookmarkEnd w:id="78811"/>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8812" w:name="_ETM_Q153_640534"/>
      <w:bookmarkStart w:id="78813" w:name="_ETM_Q153_640653"/>
      <w:bookmarkEnd w:id="78812"/>
      <w:bookmarkEnd w:id="78813"/>
      <w:r>
        <w:rPr>
          <w:rFonts w:hint="cs"/>
          <w:rtl/>
          <w:lang w:eastAsia="he-IL"/>
        </w:rPr>
        <w:t>אבל לפני זה, מכובדי שר המשפטים</w:t>
      </w:r>
      <w:bookmarkStart w:id="78814" w:name="_ETM_Q153_649086"/>
      <w:bookmarkEnd w:id="78814"/>
      <w:r>
        <w:rPr>
          <w:rFonts w:hint="cs"/>
          <w:rtl/>
          <w:lang w:eastAsia="he-IL"/>
        </w:rPr>
        <w:t>, בדרכי לכנסת - - -</w:t>
      </w:r>
    </w:p>
    <w:p w:rsidR="00BB59CD" w:rsidRDefault="00BB59CD" w:rsidP="00BB59CD">
      <w:pPr>
        <w:rPr>
          <w:rtl/>
          <w:lang w:eastAsia="he-IL"/>
        </w:rPr>
      </w:pPr>
      <w:bookmarkStart w:id="78815" w:name="_ETM_Q153_649168"/>
      <w:bookmarkStart w:id="78816" w:name="_ETM_Q153_649304"/>
      <w:bookmarkEnd w:id="78815"/>
      <w:bookmarkEnd w:id="78816"/>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זה חוק שלו, זה </w:t>
      </w:r>
      <w:bookmarkStart w:id="78817" w:name="_ETM_Q153_645951"/>
      <w:bookmarkEnd w:id="78817"/>
      <w:r>
        <w:rPr>
          <w:rFonts w:hint="cs"/>
          <w:rtl/>
          <w:lang w:eastAsia="he-IL"/>
        </w:rPr>
        <w:t>חוק של השר לוין.</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bookmarkStart w:id="78818" w:name="_ETM_Q153_649383"/>
      <w:bookmarkEnd w:id="78818"/>
    </w:p>
    <w:p w:rsidR="00BB59CD" w:rsidRDefault="00BB59CD" w:rsidP="00BB59CD">
      <w:pPr>
        <w:rPr>
          <w:rtl/>
          <w:lang w:eastAsia="he-IL"/>
        </w:rPr>
      </w:pPr>
      <w:bookmarkStart w:id="78819" w:name="_ETM_Q153_649471"/>
      <w:bookmarkStart w:id="78820" w:name="_ETM_Q153_649562"/>
      <w:bookmarkEnd w:id="78819"/>
      <w:bookmarkEnd w:id="78820"/>
      <w:r>
        <w:rPr>
          <w:rFonts w:hint="cs"/>
          <w:rtl/>
          <w:lang w:eastAsia="he-IL"/>
        </w:rPr>
        <w:t xml:space="preserve"> אפשר להשתיק אותה?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אל תצעק עליי. אתה לא תדבר אליי - -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8821" w:name="_ETM_Q153_650676"/>
      <w:bookmarkStart w:id="78822" w:name="_ETM_Q153_650775"/>
      <w:bookmarkEnd w:id="78821"/>
      <w:bookmarkEnd w:id="78822"/>
      <w:r>
        <w:rPr>
          <w:rFonts w:hint="cs"/>
          <w:rtl/>
          <w:lang w:eastAsia="he-IL"/>
        </w:rPr>
        <w:t xml:space="preserve">היושב-ראש, אפשר להשתיק אותה? מי את בכלל? אני </w:t>
      </w:r>
      <w:bookmarkStart w:id="78823" w:name="_ETM_Q153_656726"/>
      <w:bookmarkEnd w:id="78823"/>
      <w:r>
        <w:rPr>
          <w:rFonts w:hint="cs"/>
          <w:rtl/>
          <w:lang w:eastAsia="he-IL"/>
        </w:rPr>
        <w:t>לא מדבר אלייך.</w:t>
      </w:r>
    </w:p>
    <w:p w:rsidR="00BB59CD" w:rsidRDefault="00BB59CD" w:rsidP="00BB59CD">
      <w:pPr>
        <w:rPr>
          <w:rtl/>
          <w:lang w:eastAsia="he-IL"/>
        </w:rPr>
      </w:pPr>
      <w:bookmarkStart w:id="78824" w:name="_ETM_Q153_657121"/>
      <w:bookmarkStart w:id="78825" w:name="_ETM_Q153_657199"/>
      <w:bookmarkEnd w:id="78824"/>
      <w:bookmarkEnd w:id="78825"/>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יש לך קול יותר חזק ממנה.</w:t>
      </w:r>
      <w:bookmarkStart w:id="78826" w:name="_ETM_Q153_659362"/>
      <w:bookmarkEnd w:id="78826"/>
    </w:p>
    <w:p w:rsidR="00BB59CD" w:rsidRDefault="00BB59CD" w:rsidP="00BB59CD">
      <w:pPr>
        <w:rPr>
          <w:rtl/>
          <w:lang w:eastAsia="he-IL"/>
        </w:rPr>
      </w:pPr>
      <w:bookmarkStart w:id="78827" w:name="_ETM_Q153_659475"/>
      <w:bookmarkEnd w:id="78827"/>
    </w:p>
    <w:p w:rsidR="00BB59CD" w:rsidRDefault="00BB59CD" w:rsidP="00BB59CD">
      <w:pPr>
        <w:pStyle w:val="-"/>
        <w:keepNext/>
        <w:rPr>
          <w:rtl/>
        </w:rPr>
      </w:pPr>
      <w:bookmarkStart w:id="78828" w:name="_ETM_Q153_659522"/>
      <w:bookmarkStart w:id="78829" w:name="_ETM_Q153_659593"/>
      <w:bookmarkEnd w:id="78828"/>
      <w:bookmarkEnd w:id="78829"/>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bookmarkStart w:id="78830" w:name="_ETM_Q153_656115"/>
      <w:bookmarkEnd w:id="78830"/>
    </w:p>
    <w:p w:rsidR="00BB59CD" w:rsidRDefault="00BB59CD" w:rsidP="00BB59CD">
      <w:pPr>
        <w:rPr>
          <w:rtl/>
          <w:lang w:eastAsia="he-IL"/>
        </w:rPr>
      </w:pPr>
      <w:bookmarkStart w:id="78831" w:name="_ETM_Q153_656210"/>
      <w:bookmarkEnd w:id="78831"/>
      <w:r>
        <w:rPr>
          <w:rFonts w:hint="cs"/>
          <w:rtl/>
          <w:lang w:eastAsia="he-IL"/>
        </w:rPr>
        <w:t>אני לא רואה אותך בכלל. אני מבקש מהיושב-ראש להשתיק אותה.</w:t>
      </w:r>
    </w:p>
    <w:p w:rsidR="00BB59CD" w:rsidRDefault="00BB59CD" w:rsidP="00BB59CD">
      <w:pPr>
        <w:rPr>
          <w:rtl/>
          <w:lang w:eastAsia="he-IL"/>
        </w:rPr>
      </w:pPr>
      <w:bookmarkStart w:id="78832" w:name="_ETM_Q153_657339"/>
      <w:bookmarkStart w:id="78833" w:name="_ETM_Q153_657403"/>
      <w:bookmarkEnd w:id="78832"/>
      <w:bookmarkEnd w:id="78833"/>
    </w:p>
    <w:p w:rsidR="00BB59CD" w:rsidRDefault="00BB59CD" w:rsidP="00BB59CD">
      <w:pPr>
        <w:pStyle w:val="af8"/>
        <w:keepNext/>
        <w:rPr>
          <w:rtl/>
        </w:rPr>
      </w:pPr>
      <w:bookmarkStart w:id="78834" w:name="_ETM_Q153_662503"/>
      <w:bookmarkStart w:id="78835" w:name="_ETM_Q153_662602"/>
      <w:bookmarkEnd w:id="78834"/>
      <w:bookmarkEnd w:id="78835"/>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אדון גבר, לא להתעצבן.</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8836" w:name="_ETM_Q153_666492"/>
      <w:bookmarkStart w:id="78837" w:name="_ETM_Q153_666608"/>
      <w:bookmarkEnd w:id="78836"/>
      <w:bookmarkEnd w:id="78837"/>
      <w:r>
        <w:rPr>
          <w:rFonts w:hint="cs"/>
          <w:rtl/>
          <w:lang w:eastAsia="he-IL"/>
        </w:rPr>
        <w:t>אפשר להרגיע קצת.</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אז שלא יפנה אליי ולא יזכיר אותי.</w:t>
      </w:r>
    </w:p>
    <w:p w:rsidR="00BB59CD" w:rsidRDefault="00BB59CD" w:rsidP="00BB59CD">
      <w:pPr>
        <w:rPr>
          <w:rtl/>
          <w:lang w:eastAsia="he-IL"/>
        </w:rPr>
      </w:pPr>
      <w:bookmarkStart w:id="78838" w:name="_ETM_Q153_670796"/>
      <w:bookmarkStart w:id="78839" w:name="_ETM_Q153_670874"/>
      <w:bookmarkEnd w:id="78838"/>
      <w:bookmarkEnd w:id="78839"/>
    </w:p>
    <w:p w:rsidR="00BB59CD" w:rsidRDefault="00BB59CD" w:rsidP="00BB59CD">
      <w:pPr>
        <w:pStyle w:val="af9"/>
        <w:keepNext/>
        <w:rPr>
          <w:rtl/>
        </w:rPr>
      </w:pPr>
      <w:bookmarkStart w:id="78840" w:name="_ETM_Q153_671396"/>
      <w:bookmarkStart w:id="78841" w:name="_ETM_Q153_671506"/>
      <w:bookmarkEnd w:id="78840"/>
      <w:bookmarkEnd w:id="78841"/>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8842" w:name="_ETM_Q153_666803"/>
      <w:bookmarkStart w:id="78843" w:name="_ETM_Q153_666882"/>
      <w:bookmarkEnd w:id="78842"/>
      <w:bookmarkEnd w:id="78843"/>
      <w:r>
        <w:rPr>
          <w:rFonts w:hint="cs"/>
          <w:rtl/>
          <w:lang w:eastAsia="he-IL"/>
        </w:rPr>
        <w:t xml:space="preserve"> הוא פנה אלייך, ענית לו כהוגן, ועכשיו מספיק, מספיק. </w:t>
      </w:r>
      <w:bookmarkStart w:id="78844" w:name="_ETM_Q153_678104"/>
      <w:bookmarkEnd w:id="78844"/>
    </w:p>
    <w:p w:rsidR="00BB59CD" w:rsidRDefault="00BB59CD" w:rsidP="00BB59CD">
      <w:pPr>
        <w:rPr>
          <w:rtl/>
          <w:lang w:eastAsia="he-IL"/>
        </w:rPr>
      </w:pPr>
      <w:bookmarkStart w:id="78845" w:name="_ETM_Q153_678208"/>
      <w:bookmarkEnd w:id="78845"/>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עכשיו הוא אמר שאני גזענית. שלא יפנה אליי. </w:t>
      </w:r>
    </w:p>
    <w:p w:rsidR="00BB59CD" w:rsidRDefault="00BB59CD" w:rsidP="00BB59CD">
      <w:pPr>
        <w:rPr>
          <w:rtl/>
          <w:lang w:eastAsia="he-IL"/>
        </w:rPr>
      </w:pPr>
    </w:p>
    <w:p w:rsidR="00BB59CD" w:rsidRDefault="00BB59CD" w:rsidP="00BB59CD">
      <w:pPr>
        <w:pStyle w:val="-"/>
        <w:keepNext/>
        <w:rPr>
          <w:rtl/>
        </w:rPr>
      </w:pPr>
      <w:bookmarkStart w:id="78846" w:name="_ETM_Q153_663123"/>
      <w:bookmarkStart w:id="78847" w:name="_ETM_Q153_663224"/>
      <w:bookmarkEnd w:id="78846"/>
      <w:bookmarkEnd w:id="78847"/>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בדרכי לכנסת אני ראיתי עשרות אלפי אזרחים מודאגים, ובצדק מוד</w:t>
      </w:r>
      <w:bookmarkStart w:id="78848" w:name="_ETM_Q153_680621"/>
      <w:bookmarkEnd w:id="78848"/>
      <w:r>
        <w:rPr>
          <w:rFonts w:hint="cs"/>
          <w:rtl/>
          <w:lang w:eastAsia="he-IL"/>
        </w:rPr>
        <w:t>אגים, שנמצאים בכבישים, ברחובות, מתאספים</w:t>
      </w:r>
      <w:r w:rsidR="00F1749F">
        <w:rPr>
          <w:rFonts w:hint="cs"/>
          <w:rtl/>
          <w:lang w:eastAsia="he-IL"/>
        </w:rPr>
        <w:t>,</w:t>
      </w:r>
      <w:r>
        <w:rPr>
          <w:rFonts w:hint="cs"/>
          <w:rtl/>
          <w:lang w:eastAsia="he-IL"/>
        </w:rPr>
        <w:t xml:space="preserve"> למרות החום הכבד שיש לנו בחוץ. אנשים מגיעים כדי להרים צעקה, כדי למחות - - </w:t>
      </w:r>
    </w:p>
    <w:p w:rsidR="00BB59CD" w:rsidRDefault="00BB59CD" w:rsidP="00BB59CD">
      <w:pPr>
        <w:rPr>
          <w:rtl/>
          <w:lang w:eastAsia="he-IL"/>
        </w:rPr>
      </w:pPr>
      <w:bookmarkStart w:id="78849" w:name="_ETM_Q153_708435"/>
      <w:bookmarkStart w:id="78850" w:name="_ETM_Q153_708526"/>
      <w:bookmarkEnd w:id="78849"/>
      <w:bookmarkEnd w:id="78850"/>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צעקה?</w:t>
      </w:r>
    </w:p>
    <w:p w:rsidR="00BB59CD" w:rsidRDefault="00BB59CD" w:rsidP="00BB59CD">
      <w:pPr>
        <w:rPr>
          <w:rtl/>
          <w:lang w:eastAsia="he-IL"/>
        </w:rPr>
      </w:pPr>
      <w:bookmarkStart w:id="78851" w:name="_ETM_Q153_707313"/>
      <w:bookmarkEnd w:id="78851"/>
    </w:p>
    <w:p w:rsidR="00BB59CD" w:rsidRDefault="00BB59CD" w:rsidP="00BB59CD">
      <w:pPr>
        <w:pStyle w:val="-"/>
        <w:keepNext/>
        <w:rPr>
          <w:rtl/>
        </w:rPr>
      </w:pPr>
      <w:bookmarkStart w:id="78852" w:name="_ETM_Q153_707421"/>
      <w:bookmarkEnd w:id="78852"/>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78853" w:name="_ETM_Q153_708457"/>
      <w:bookmarkStart w:id="78854" w:name="_ETM_Q153_708549"/>
      <w:bookmarkStart w:id="78855" w:name="_ETM_Q153_709112"/>
      <w:bookmarkEnd w:id="78853"/>
      <w:bookmarkEnd w:id="78854"/>
      <w:bookmarkEnd w:id="78855"/>
      <w:r>
        <w:rPr>
          <w:rFonts w:hint="cs"/>
          <w:rtl/>
          <w:lang w:eastAsia="he-IL"/>
        </w:rPr>
        <w:t xml:space="preserve">- - נגד </w:t>
      </w:r>
      <w:bookmarkStart w:id="78856" w:name="_ETM_Q153_708628"/>
      <w:bookmarkStart w:id="78857" w:name="_ETM_Q153_708720"/>
      <w:bookmarkStart w:id="78858" w:name="_ETM_Q153_708779"/>
      <w:bookmarkStart w:id="78859" w:name="_ETM_Q153_708895"/>
      <w:bookmarkEnd w:id="78856"/>
      <w:bookmarkEnd w:id="78857"/>
      <w:bookmarkEnd w:id="78858"/>
      <w:bookmarkEnd w:id="78859"/>
      <w:r>
        <w:rPr>
          <w:rFonts w:hint="cs"/>
          <w:rtl/>
          <w:lang w:eastAsia="he-IL"/>
        </w:rPr>
        <w:t>מה שהם חושבים לסטייה בטוחה של המדינה</w:t>
      </w:r>
      <w:r w:rsidR="00F1749F">
        <w:rPr>
          <w:rFonts w:hint="cs"/>
          <w:rtl/>
          <w:lang w:eastAsia="he-IL"/>
        </w:rPr>
        <w:t>,</w:t>
      </w:r>
      <w:r>
        <w:rPr>
          <w:rFonts w:hint="cs"/>
          <w:rtl/>
          <w:lang w:eastAsia="he-IL"/>
        </w:rPr>
        <w:t xml:space="preserve"> באמצעות בית המחוקקים</w:t>
      </w:r>
      <w:r w:rsidR="00F1749F">
        <w:rPr>
          <w:rFonts w:hint="cs"/>
          <w:rtl/>
          <w:lang w:eastAsia="he-IL"/>
        </w:rPr>
        <w:t>,</w:t>
      </w:r>
      <w:r>
        <w:rPr>
          <w:rFonts w:hint="cs"/>
          <w:rtl/>
          <w:lang w:eastAsia="he-IL"/>
        </w:rPr>
        <w:t xml:space="preserve"> לעבר הדיקטטורה. ויש להם באמת סיבה לדאגה. החוק הזה של ביטול עילת הסבירות נועד בראש ובראשונה - -</w:t>
      </w:r>
      <w:bookmarkStart w:id="78860" w:name="_ETM_Q153_752558"/>
      <w:bookmarkStart w:id="78861" w:name="_ETM_Q153_752644"/>
      <w:bookmarkStart w:id="78862" w:name="_ETM_Q153_752735"/>
      <w:bookmarkStart w:id="78863" w:name="_ETM_Q153_752792"/>
      <w:bookmarkEnd w:id="78860"/>
      <w:bookmarkEnd w:id="78861"/>
      <w:bookmarkEnd w:id="78862"/>
      <w:bookmarkEnd w:id="78863"/>
      <w:r>
        <w:rPr>
          <w:rFonts w:hint="cs"/>
          <w:rtl/>
          <w:lang w:eastAsia="he-IL"/>
        </w:rPr>
        <w:t xml:space="preserve"> -</w:t>
      </w:r>
    </w:p>
    <w:p w:rsidR="00BB59CD" w:rsidRDefault="00BB59CD" w:rsidP="00BB59CD">
      <w:pPr>
        <w:rPr>
          <w:rtl/>
          <w:lang w:eastAsia="he-IL"/>
        </w:rPr>
      </w:pPr>
    </w:p>
    <w:p w:rsidR="00BB59CD" w:rsidRDefault="00BB59CD" w:rsidP="00BB59CD">
      <w:pPr>
        <w:pStyle w:val="af9"/>
        <w:keepNext/>
        <w:rPr>
          <w:rtl/>
        </w:rPr>
      </w:pPr>
      <w:bookmarkStart w:id="78864" w:name="TOR_Q154"/>
      <w:bookmarkEnd w:id="78864"/>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lang w:eastAsia="he-IL"/>
        </w:rPr>
      </w:pPr>
    </w:p>
    <w:p w:rsidR="00BB59CD" w:rsidRDefault="00BB59CD" w:rsidP="00BB59CD">
      <w:pPr>
        <w:rPr>
          <w:rtl/>
          <w:lang w:eastAsia="he-IL"/>
        </w:rPr>
      </w:pPr>
      <w:r>
        <w:rPr>
          <w:rFonts w:hint="cs"/>
          <w:rtl/>
          <w:lang w:eastAsia="he-IL"/>
        </w:rPr>
        <w:t xml:space="preserve">נא לדבר בשקט. אפשר לבקש דבר כזה? יש לכם זכות דיבור, אבל בשקט. </w:t>
      </w:r>
    </w:p>
    <w:p w:rsidR="00BB59CD" w:rsidRDefault="00BB59CD" w:rsidP="00BB59CD">
      <w:pPr>
        <w:rPr>
          <w:rtl/>
        </w:rPr>
      </w:pPr>
    </w:p>
    <w:p w:rsidR="00BB59CD" w:rsidRDefault="00BB59CD" w:rsidP="00BB59CD">
      <w:pPr>
        <w:pStyle w:val="-"/>
        <w:keepNext/>
        <w:rPr>
          <w:rtl/>
        </w:rPr>
      </w:pPr>
      <w:bookmarkStart w:id="78865" w:name="ET_speakercontinue_5854_2"/>
      <w:r>
        <w:rPr>
          <w:rStyle w:val="TagStyle"/>
          <w:rFonts w:hint="cs"/>
          <w:rtl/>
        </w:rPr>
        <w:t xml:space="preserve"> &lt;&lt;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bookmarkEnd w:id="7886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יש פריבילגיות לחלק </w:t>
      </w:r>
      <w:bookmarkStart w:id="78866" w:name="_ETM_Q154_163000"/>
      <w:bookmarkEnd w:id="78866"/>
      <w:r>
        <w:rPr>
          <w:rFonts w:hint="cs"/>
          <w:rtl/>
          <w:lang w:eastAsia="he-IL"/>
        </w:rPr>
        <w:t>מהח"כים ולחלק מהעוזרים ועובדי הסיעות, ואין את זה לאחרים.</w:t>
      </w:r>
      <w:bookmarkStart w:id="78867" w:name="_ETM_Q154_170000"/>
      <w:bookmarkEnd w:id="78867"/>
      <w:r>
        <w:rPr>
          <w:rFonts w:hint="cs"/>
          <w:rtl/>
          <w:lang w:eastAsia="he-IL"/>
        </w:rPr>
        <w:t xml:space="preserve"> אז אולי אתה, היושב-ראש, תבחין בזה לבד. </w:t>
      </w:r>
    </w:p>
    <w:p w:rsidR="00BB59CD" w:rsidRDefault="00BB59CD" w:rsidP="00BB59CD">
      <w:pPr>
        <w:rPr>
          <w:rtl/>
          <w:lang w:eastAsia="he-IL"/>
        </w:rPr>
      </w:pPr>
      <w:bookmarkStart w:id="78868" w:name="_ETM_Q154_177000"/>
      <w:bookmarkEnd w:id="78868"/>
    </w:p>
    <w:p w:rsidR="00BB59CD" w:rsidRDefault="00BB59CD" w:rsidP="00BB59CD">
      <w:pPr>
        <w:rPr>
          <w:rtl/>
          <w:lang w:eastAsia="he-IL"/>
        </w:rPr>
      </w:pPr>
      <w:bookmarkStart w:id="78869" w:name="_ETM_Q154_178000"/>
      <w:bookmarkEnd w:id="78869"/>
      <w:r>
        <w:rPr>
          <w:rFonts w:hint="cs"/>
          <w:rtl/>
          <w:lang w:eastAsia="he-IL"/>
        </w:rPr>
        <w:t>ביטול עילת הסבירות</w:t>
      </w:r>
      <w:bookmarkStart w:id="78870" w:name="_ETM_Q154_180000"/>
      <w:bookmarkEnd w:id="78870"/>
      <w:r>
        <w:rPr>
          <w:rFonts w:hint="cs"/>
          <w:rtl/>
          <w:lang w:eastAsia="he-IL"/>
        </w:rPr>
        <w:t xml:space="preserve"> הוא רק ההתחלה, כדי להשתלט על מערכת המשפט במדינת ישראל, </w:t>
      </w:r>
      <w:bookmarkStart w:id="78871" w:name="_ETM_Q154_187000"/>
      <w:bookmarkEnd w:id="78871"/>
      <w:r>
        <w:rPr>
          <w:rFonts w:hint="cs"/>
          <w:rtl/>
          <w:lang w:eastAsia="he-IL"/>
        </w:rPr>
        <w:t>ולמעשה, רוטמן, בן גביר, סמוטריץ' את נתניהו ישלימו את מ</w:t>
      </w:r>
      <w:bookmarkStart w:id="78872" w:name="_ETM_Q154_198000"/>
      <w:bookmarkEnd w:id="78872"/>
      <w:r>
        <w:rPr>
          <w:rFonts w:hint="cs"/>
          <w:rtl/>
          <w:lang w:eastAsia="he-IL"/>
        </w:rPr>
        <w:t>לאכת ההשתלטות. יש להם ממשלה; יש להם כנסת עם רוב</w:t>
      </w:r>
      <w:bookmarkStart w:id="78873" w:name="_ETM_Q154_204000"/>
      <w:bookmarkEnd w:id="78873"/>
      <w:r>
        <w:rPr>
          <w:rFonts w:hint="cs"/>
          <w:rtl/>
          <w:lang w:eastAsia="he-IL"/>
        </w:rPr>
        <w:t xml:space="preserve"> אצבעות, ויהיו להם גם שליטה ואחיזה</w:t>
      </w:r>
      <w:bookmarkStart w:id="78874" w:name="_ETM_Q154_212000"/>
      <w:bookmarkEnd w:id="78874"/>
      <w:r>
        <w:rPr>
          <w:rFonts w:hint="cs"/>
          <w:rtl/>
          <w:lang w:eastAsia="he-IL"/>
        </w:rPr>
        <w:t xml:space="preserve"> במערכת בתי המשפט. איך אפשר לתאר דיקטטורה אם המצב</w:t>
      </w:r>
      <w:bookmarkStart w:id="78875" w:name="_ETM_Q154_224000"/>
      <w:bookmarkEnd w:id="78875"/>
      <w:r>
        <w:rPr>
          <w:rFonts w:hint="cs"/>
          <w:rtl/>
          <w:lang w:eastAsia="he-IL"/>
        </w:rPr>
        <w:t xml:space="preserve"> הזה הוא לא דיקטטורה? מדינה שכל שלוש</w:t>
      </w:r>
      <w:bookmarkStart w:id="78876" w:name="_ETM_Q154_226000"/>
      <w:bookmarkEnd w:id="78876"/>
      <w:r>
        <w:rPr>
          <w:rFonts w:hint="cs"/>
          <w:rtl/>
          <w:lang w:eastAsia="he-IL"/>
        </w:rPr>
        <w:t xml:space="preserve"> הרשויות שלה נמצאות בשליטה הדוקה של כמה פוליטיקאים -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צמצום עילת הסבירות - </w:t>
      </w:r>
      <w:bookmarkStart w:id="78877" w:name="_ETM_Q154_238000"/>
      <w:bookmarkEnd w:id="78877"/>
      <w:r>
        <w:rPr>
          <w:rFonts w:hint="cs"/>
          <w:rtl/>
          <w:lang w:eastAsia="he-IL"/>
        </w:rPr>
        <w:t>- -</w:t>
      </w:r>
    </w:p>
    <w:p w:rsidR="00BB59CD" w:rsidRDefault="00BB59CD" w:rsidP="00BB59CD">
      <w:pPr>
        <w:rPr>
          <w:rtl/>
          <w:lang w:eastAsia="he-IL"/>
        </w:rPr>
      </w:pPr>
    </w:p>
    <w:p w:rsidR="00BB59CD" w:rsidRDefault="00BB59CD" w:rsidP="00BB59CD">
      <w:pPr>
        <w:pStyle w:val="-"/>
        <w:keepNext/>
        <w:rPr>
          <w:rtl/>
        </w:rPr>
      </w:pPr>
      <w:bookmarkStart w:id="78878" w:name="ET_speakercontinue_5854_4"/>
      <w:r>
        <w:rPr>
          <w:rStyle w:val="TagStyle"/>
          <w:rFonts w:hint="cs"/>
          <w:rtl/>
        </w:rPr>
        <w:t xml:space="preserve"> &lt;&lt;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bookmarkEnd w:id="78878"/>
    </w:p>
    <w:p w:rsidR="00BB59CD" w:rsidRDefault="00BB59CD" w:rsidP="00337201">
      <w:pPr>
        <w:rPr>
          <w:rtl/>
          <w:lang w:eastAsia="he-IL"/>
        </w:rPr>
      </w:pPr>
    </w:p>
    <w:p w:rsidR="00BB59CD" w:rsidRDefault="00BB59CD" w:rsidP="00BB59CD">
      <w:pPr>
        <w:rPr>
          <w:rtl/>
          <w:lang w:eastAsia="he-IL"/>
        </w:rPr>
      </w:pPr>
      <w:r>
        <w:rPr>
          <w:rFonts w:hint="cs"/>
          <w:rtl/>
          <w:lang w:eastAsia="he-IL"/>
        </w:rPr>
        <w:t>- - אפשר לדבר עליה כמדינה דמוקרטית?</w:t>
      </w:r>
      <w:bookmarkStart w:id="78879" w:name="_ETM_Q154_241000"/>
      <w:bookmarkEnd w:id="78879"/>
      <w:r>
        <w:rPr>
          <w:rFonts w:hint="cs"/>
          <w:rtl/>
          <w:lang w:eastAsia="he-IL"/>
        </w:rPr>
        <w:t xml:space="preserve"> </w:t>
      </w:r>
    </w:p>
    <w:p w:rsidR="00BB59CD" w:rsidRDefault="00BB59CD" w:rsidP="00BB59CD">
      <w:pPr>
        <w:rPr>
          <w:rtl/>
          <w:lang w:eastAsia="he-IL"/>
        </w:rPr>
      </w:pPr>
    </w:p>
    <w:p w:rsidR="00BB59CD" w:rsidRDefault="00BB59CD" w:rsidP="00BB59CD">
      <w:pPr>
        <w:pStyle w:val="af8"/>
        <w:keepNext/>
        <w:rPr>
          <w:rtl/>
        </w:rPr>
      </w:pPr>
      <w:bookmarkStart w:id="78880" w:name="ET_interruption_6345_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78880"/>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2016, יאיר לפיד. </w:t>
      </w:r>
      <w:r w:rsidR="00F1749F">
        <w:rPr>
          <w:rFonts w:hint="cs"/>
          <w:rtl/>
          <w:lang w:eastAsia="he-IL"/>
        </w:rPr>
        <w:t xml:space="preserve">יאיר לפיד - - - </w:t>
      </w:r>
    </w:p>
    <w:p w:rsidR="00BB59CD" w:rsidRDefault="00BB59CD" w:rsidP="00BB59CD">
      <w:pPr>
        <w:rPr>
          <w:rtl/>
        </w:rPr>
      </w:pPr>
      <w:bookmarkStart w:id="78881" w:name="_ETM_Q154_242000"/>
      <w:bookmarkEnd w:id="78881"/>
    </w:p>
    <w:p w:rsidR="00BB59CD" w:rsidRDefault="00BB59CD" w:rsidP="00BB59CD">
      <w:pPr>
        <w:pStyle w:val="-"/>
        <w:keepNext/>
        <w:rPr>
          <w:rtl/>
        </w:rPr>
      </w:pPr>
      <w:bookmarkStart w:id="78882" w:name="ET_speakercontinue_5854_10"/>
      <w:r>
        <w:rPr>
          <w:rStyle w:val="TagStyle"/>
          <w:rFonts w:hint="cs"/>
          <w:rtl/>
        </w:rPr>
        <w:t xml:space="preserve"> &lt;&lt;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bookmarkEnd w:id="78882"/>
    </w:p>
    <w:p w:rsidR="00BB59CD" w:rsidRDefault="00BB59CD" w:rsidP="00337201">
      <w:pPr>
        <w:rPr>
          <w:rtl/>
          <w:lang w:eastAsia="he-IL"/>
        </w:rPr>
      </w:pPr>
    </w:p>
    <w:p w:rsidR="00BB59CD" w:rsidRDefault="00BB59CD" w:rsidP="00F1749F">
      <w:pPr>
        <w:rPr>
          <w:rtl/>
          <w:lang w:eastAsia="he-IL"/>
        </w:rPr>
      </w:pPr>
      <w:bookmarkStart w:id="78883" w:name="_ETM_Q154_243000"/>
      <w:bookmarkEnd w:id="78883"/>
      <w:r>
        <w:rPr>
          <w:rFonts w:hint="cs"/>
          <w:rtl/>
          <w:lang w:eastAsia="he-IL"/>
        </w:rPr>
        <w:t>איפה קורה כזה דבר בעולם?</w:t>
      </w:r>
      <w:r w:rsidR="00F1749F">
        <w:rPr>
          <w:rFonts w:hint="cs"/>
          <w:rtl/>
          <w:lang w:eastAsia="he-IL"/>
        </w:rPr>
        <w:t xml:space="preserve"> </w:t>
      </w:r>
      <w:bookmarkStart w:id="78884" w:name="_ETM_Q154_246000"/>
      <w:bookmarkEnd w:id="78884"/>
      <w:r w:rsidR="00F1749F">
        <w:rPr>
          <w:rFonts w:hint="cs"/>
          <w:rtl/>
          <w:lang w:eastAsia="he-IL"/>
        </w:rPr>
        <w:t>א</w:t>
      </w:r>
      <w:r>
        <w:rPr>
          <w:rFonts w:hint="cs"/>
          <w:rtl/>
          <w:lang w:eastAsia="he-IL"/>
        </w:rPr>
        <w:t xml:space="preserve">יפה קורה כזה דבר </w:t>
      </w:r>
      <w:bookmarkStart w:id="78885" w:name="_ETM_Q154_248000"/>
      <w:bookmarkEnd w:id="78885"/>
      <w:r>
        <w:rPr>
          <w:rFonts w:hint="cs"/>
          <w:rtl/>
          <w:lang w:eastAsia="he-IL"/>
        </w:rPr>
        <w:t>בעולם, שפוליטיקאים שיש להם שליטה על הכנסת,</w:t>
      </w:r>
      <w:bookmarkStart w:id="78886" w:name="_ETM_Q154_255000"/>
      <w:bookmarkEnd w:id="78886"/>
      <w:r>
        <w:rPr>
          <w:rFonts w:hint="cs"/>
          <w:rtl/>
          <w:lang w:eastAsia="he-IL"/>
        </w:rPr>
        <w:t xml:space="preserve"> על בית המחוקקים, יש להם כמובן שליטה על הרשות המבצעת,</w:t>
      </w:r>
      <w:bookmarkStart w:id="78887" w:name="_ETM_Q154_262000"/>
      <w:bookmarkEnd w:id="78887"/>
      <w:r>
        <w:rPr>
          <w:rFonts w:hint="cs"/>
          <w:rtl/>
          <w:lang w:eastAsia="he-IL"/>
        </w:rPr>
        <w:t xml:space="preserve"> ירצו גם להשתלט על הרשות השופטת, ואז יעשו כראות עיניהם</w:t>
      </w:r>
      <w:bookmarkStart w:id="78888" w:name="_ETM_Q154_271000"/>
      <w:bookmarkEnd w:id="78888"/>
      <w:r>
        <w:rPr>
          <w:rFonts w:hint="cs"/>
          <w:rtl/>
          <w:lang w:eastAsia="he-IL"/>
        </w:rPr>
        <w:t xml:space="preserve">. כל מה שירצו לעשות במדינה, יעשו באין מפריע. </w:t>
      </w:r>
    </w:p>
    <w:p w:rsidR="00BB59CD" w:rsidRDefault="00BB59CD" w:rsidP="00BB59CD">
      <w:pPr>
        <w:rPr>
          <w:rtl/>
          <w:lang w:eastAsia="he-IL"/>
        </w:rPr>
      </w:pPr>
    </w:p>
    <w:p w:rsidR="00BB59CD" w:rsidRDefault="00BB59CD" w:rsidP="00F1749F">
      <w:pPr>
        <w:rPr>
          <w:rtl/>
          <w:lang w:eastAsia="he-IL"/>
        </w:rPr>
      </w:pPr>
      <w:bookmarkStart w:id="78889" w:name="_ETM_Q154_278000"/>
      <w:bookmarkStart w:id="78890" w:name="_ETM_Q154_285000"/>
      <w:bookmarkEnd w:id="78889"/>
      <w:bookmarkEnd w:id="78890"/>
      <w:r>
        <w:rPr>
          <w:rFonts w:hint="cs"/>
          <w:rtl/>
          <w:lang w:eastAsia="he-IL"/>
        </w:rPr>
        <w:t>לפני כמה ימים בנימין נתניהו עלה לשידור בשעת פריים – הוא עשה</w:t>
      </w:r>
      <w:bookmarkStart w:id="78891" w:name="_ETM_Q154_292000"/>
      <w:bookmarkEnd w:id="78891"/>
      <w:r>
        <w:rPr>
          <w:rFonts w:hint="cs"/>
          <w:rtl/>
          <w:lang w:eastAsia="he-IL"/>
        </w:rPr>
        <w:t xml:space="preserve"> את זה ביום חמישי האחרון – </w:t>
      </w:r>
      <w:bookmarkStart w:id="78892" w:name="_ETM_Q154_296000"/>
      <w:bookmarkEnd w:id="78892"/>
      <w:r>
        <w:rPr>
          <w:rFonts w:hint="cs"/>
          <w:rtl/>
          <w:lang w:eastAsia="he-IL"/>
        </w:rPr>
        <w:t>ונשא נאום לאזרחי המדינה. אני רוצה לצטט ממה שהוא אמר.</w:t>
      </w:r>
      <w:bookmarkStart w:id="78893" w:name="_ETM_Q154_302000"/>
      <w:bookmarkEnd w:id="78893"/>
      <w:r>
        <w:rPr>
          <w:rFonts w:hint="cs"/>
          <w:rtl/>
          <w:lang w:eastAsia="he-IL"/>
        </w:rPr>
        <w:t xml:space="preserve"> הוא אמר: </w:t>
      </w:r>
      <w:r w:rsidR="00F1749F">
        <w:rPr>
          <w:rFonts w:hint="cs"/>
          <w:rtl/>
          <w:lang w:eastAsia="he-IL"/>
        </w:rPr>
        <w:t>"</w:t>
      </w:r>
      <w:r>
        <w:rPr>
          <w:rFonts w:hint="cs"/>
          <w:rtl/>
          <w:lang w:eastAsia="he-IL"/>
        </w:rPr>
        <w:t>אזרחי ישראל, ב-16 שנותיי כראש ממשלה תמיד ראיתי</w:t>
      </w:r>
      <w:bookmarkStart w:id="78894" w:name="_ETM_Q154_309000"/>
      <w:bookmarkEnd w:id="78894"/>
      <w:r>
        <w:rPr>
          <w:rFonts w:hint="cs"/>
          <w:rtl/>
          <w:lang w:eastAsia="he-IL"/>
        </w:rPr>
        <w:t xml:space="preserve"> עצמי ראש הממשלה של כולם. לרגע אחד איני זונח</w:t>
      </w:r>
      <w:bookmarkStart w:id="78895" w:name="_ETM_Q154_319000"/>
      <w:bookmarkEnd w:id="78895"/>
      <w:r>
        <w:rPr>
          <w:rFonts w:hint="cs"/>
          <w:rtl/>
          <w:lang w:eastAsia="he-IL"/>
        </w:rPr>
        <w:t xml:space="preserve"> את האתגרים ואת ההזדמנויות הגדולות שעומדות בפנינו</w:t>
      </w:r>
      <w:r w:rsidR="00F1749F">
        <w:rPr>
          <w:rFonts w:hint="cs"/>
          <w:rtl/>
          <w:lang w:eastAsia="he-IL"/>
        </w:rPr>
        <w:t>"</w:t>
      </w:r>
      <w:r>
        <w:rPr>
          <w:rFonts w:hint="cs"/>
          <w:rtl/>
          <w:lang w:eastAsia="he-IL"/>
        </w:rPr>
        <w:t>. סוף ציטוט. אני</w:t>
      </w:r>
      <w:bookmarkStart w:id="78896" w:name="_ETM_Q154_329000"/>
      <w:bookmarkEnd w:id="78896"/>
      <w:r>
        <w:rPr>
          <w:rFonts w:hint="cs"/>
          <w:rtl/>
          <w:lang w:eastAsia="he-IL"/>
        </w:rPr>
        <w:t xml:space="preserve"> שואל את עצמי ושואל אתכם, חבריי חברי הכנסת, האם במקרה</w:t>
      </w:r>
      <w:bookmarkStart w:id="78897" w:name="_ETM_Q154_334000"/>
      <w:bookmarkEnd w:id="78897"/>
      <w:r>
        <w:rPr>
          <w:rFonts w:hint="cs"/>
          <w:rtl/>
          <w:lang w:eastAsia="he-IL"/>
        </w:rPr>
        <w:t xml:space="preserve"> ראש הממשלה, שהעיד על עצמו שהוא ראש הממשלה של</w:t>
      </w:r>
      <w:bookmarkStart w:id="78898" w:name="_ETM_Q154_342000"/>
      <w:bookmarkEnd w:id="78898"/>
      <w:r>
        <w:rPr>
          <w:rFonts w:hint="cs"/>
          <w:rtl/>
          <w:lang w:eastAsia="he-IL"/>
        </w:rPr>
        <w:t xml:space="preserve"> כולם, האם במקרה הוא שמע על האוכלוסייה הערבית, שמהווה יותר </w:t>
      </w:r>
      <w:bookmarkStart w:id="78899" w:name="_ETM_Q154_348000"/>
      <w:bookmarkEnd w:id="78899"/>
      <w:r>
        <w:rPr>
          <w:rFonts w:hint="cs"/>
          <w:rtl/>
          <w:lang w:eastAsia="he-IL"/>
        </w:rPr>
        <w:t>מ-20% מכלל אוכלוסיית המדינה? האם ראש הממשלה שמע על האזרחים</w:t>
      </w:r>
      <w:bookmarkStart w:id="78900" w:name="_ETM_Q154_357000"/>
      <w:bookmarkEnd w:id="78900"/>
      <w:r>
        <w:rPr>
          <w:rFonts w:hint="cs"/>
          <w:rtl/>
          <w:lang w:eastAsia="he-IL"/>
        </w:rPr>
        <w:t xml:space="preserve"> הערבים שחיים על תנאי? האזרחים הערבים חיים על תנאי, עד</w:t>
      </w:r>
      <w:bookmarkStart w:id="78901" w:name="_ETM_Q154_366000"/>
      <w:bookmarkEnd w:id="78901"/>
      <w:r>
        <w:rPr>
          <w:rFonts w:hint="cs"/>
          <w:rtl/>
          <w:lang w:eastAsia="he-IL"/>
        </w:rPr>
        <w:t xml:space="preserve"> שיקבלו כדור בראש מפושע שמסתובב לו חופשי באין מפריע</w:t>
      </w:r>
      <w:r w:rsidR="00F1749F">
        <w:rPr>
          <w:rFonts w:hint="cs"/>
          <w:rtl/>
          <w:lang w:eastAsia="he-IL"/>
        </w:rPr>
        <w:t>,</w:t>
      </w:r>
      <w:r>
        <w:rPr>
          <w:rFonts w:hint="cs"/>
          <w:rtl/>
          <w:lang w:eastAsia="he-IL"/>
        </w:rPr>
        <w:t xml:space="preserve"> כי</w:t>
      </w:r>
      <w:bookmarkStart w:id="78902" w:name="_ETM_Q154_376000"/>
      <w:bookmarkEnd w:id="78902"/>
      <w:r>
        <w:rPr>
          <w:rFonts w:hint="cs"/>
          <w:rtl/>
          <w:lang w:eastAsia="he-IL"/>
        </w:rPr>
        <w:t xml:space="preserve"> ממשלתו של נתניהו לא מבקשת  למצות את הדין עם</w:t>
      </w:r>
      <w:bookmarkStart w:id="78903" w:name="_ETM_Q154_382000"/>
      <w:bookmarkEnd w:id="78903"/>
      <w:r>
        <w:rPr>
          <w:rFonts w:hint="cs"/>
          <w:rtl/>
          <w:lang w:eastAsia="he-IL"/>
        </w:rPr>
        <w:t xml:space="preserve"> פושעים. הם מתנהלים חופשי. </w:t>
      </w:r>
      <w:bookmarkStart w:id="78904" w:name="_ETM_Q154_537000"/>
      <w:bookmarkEnd w:id="78904"/>
    </w:p>
    <w:p w:rsidR="00BB59CD" w:rsidRDefault="00BB59CD" w:rsidP="00BB59CD">
      <w:pPr>
        <w:rPr>
          <w:rtl/>
          <w:lang w:eastAsia="he-IL"/>
        </w:rPr>
      </w:pPr>
    </w:p>
    <w:p w:rsidR="00BB59CD" w:rsidRDefault="00BB59CD" w:rsidP="00F1749F">
      <w:pPr>
        <w:rPr>
          <w:rtl/>
          <w:lang w:eastAsia="he-IL"/>
        </w:rPr>
      </w:pPr>
      <w:bookmarkStart w:id="78905" w:name="_ETM_Q154_538000"/>
      <w:bookmarkEnd w:id="78905"/>
      <w:r>
        <w:rPr>
          <w:rFonts w:hint="cs"/>
          <w:rtl/>
          <w:lang w:eastAsia="he-IL"/>
        </w:rPr>
        <w:t>האם ראש הממשלה מחובר למציאות בכלל</w:t>
      </w:r>
      <w:bookmarkStart w:id="78906" w:name="_ETM_Q154_391000"/>
      <w:bookmarkEnd w:id="78906"/>
      <w:r>
        <w:rPr>
          <w:rFonts w:hint="cs"/>
          <w:rtl/>
          <w:lang w:eastAsia="he-IL"/>
        </w:rPr>
        <w:t>, או שהוא מנותק מכל קשר עם המציאות? האם</w:t>
      </w:r>
      <w:bookmarkStart w:id="78907" w:name="_ETM_Q154_397000"/>
      <w:bookmarkEnd w:id="78907"/>
      <w:r>
        <w:rPr>
          <w:rFonts w:hint="cs"/>
          <w:rtl/>
          <w:lang w:eastAsia="he-IL"/>
        </w:rPr>
        <w:t xml:space="preserve"> הוא שמע על הדם של האזרחים הערבים ששוטף את הרחובות? </w:t>
      </w:r>
      <w:bookmarkStart w:id="78908" w:name="_ETM_Q154_404000"/>
      <w:bookmarkEnd w:id="78908"/>
      <w:r>
        <w:rPr>
          <w:rFonts w:hint="cs"/>
          <w:rtl/>
          <w:lang w:eastAsia="he-IL"/>
        </w:rPr>
        <w:t>או שדמו של האזרח הערבי אינו שווה כדי שכבוד ראש</w:t>
      </w:r>
      <w:bookmarkStart w:id="78909" w:name="_ETM_Q154_414000"/>
      <w:bookmarkEnd w:id="78909"/>
      <w:r>
        <w:rPr>
          <w:rFonts w:hint="cs"/>
          <w:rtl/>
          <w:lang w:eastAsia="he-IL"/>
        </w:rPr>
        <w:t xml:space="preserve"> הממשלה ישמע עליו בכלל? מה עוד צריך לקרות</w:t>
      </w:r>
      <w:r w:rsidR="00F1749F">
        <w:rPr>
          <w:rFonts w:hint="cs"/>
          <w:rtl/>
          <w:lang w:eastAsia="he-IL"/>
        </w:rPr>
        <w:t>,</w:t>
      </w:r>
      <w:r>
        <w:rPr>
          <w:rFonts w:hint="cs"/>
          <w:rtl/>
          <w:lang w:eastAsia="he-IL"/>
        </w:rPr>
        <w:t xml:space="preserve"> מה עוד</w:t>
      </w:r>
      <w:bookmarkStart w:id="78910" w:name="_ETM_Q154_421000"/>
      <w:bookmarkEnd w:id="78910"/>
      <w:r>
        <w:rPr>
          <w:rFonts w:hint="cs"/>
          <w:rtl/>
          <w:lang w:eastAsia="he-IL"/>
        </w:rPr>
        <w:t xml:space="preserve"> צריך לעשות</w:t>
      </w:r>
      <w:r w:rsidR="00F1749F">
        <w:rPr>
          <w:rFonts w:hint="cs"/>
          <w:rtl/>
          <w:lang w:eastAsia="he-IL"/>
        </w:rPr>
        <w:t>,</w:t>
      </w:r>
      <w:r>
        <w:rPr>
          <w:rFonts w:hint="cs"/>
          <w:rtl/>
          <w:lang w:eastAsia="he-IL"/>
        </w:rPr>
        <w:t xml:space="preserve"> כמה עוד אימהות צריכות לבכות מדם ליבן</w:t>
      </w:r>
      <w:bookmarkStart w:id="78911" w:name="_ETM_Q154_431000"/>
      <w:bookmarkEnd w:id="78911"/>
      <w:r>
        <w:rPr>
          <w:rFonts w:hint="cs"/>
          <w:rtl/>
          <w:lang w:eastAsia="he-IL"/>
        </w:rPr>
        <w:t xml:space="preserve">? לצעוק, כדי שצעקותיהן יגיעו לאוזניו האטומות של ראש הממשלה? </w:t>
      </w:r>
      <w:bookmarkStart w:id="78912" w:name="_ETM_Q154_440000"/>
      <w:bookmarkStart w:id="78913" w:name="_ETM_Q154_441000"/>
      <w:bookmarkEnd w:id="78912"/>
      <w:bookmarkEnd w:id="78913"/>
      <w:r>
        <w:rPr>
          <w:rFonts w:hint="cs"/>
          <w:rtl/>
          <w:lang w:eastAsia="he-IL"/>
        </w:rPr>
        <w:t>איך ראש ממשלה, שאיננו מוצא לנכון לטפל בנושא הפשיעה, ואף</w:t>
      </w:r>
      <w:bookmarkStart w:id="78914" w:name="_ETM_Q154_446000"/>
      <w:bookmarkEnd w:id="78914"/>
      <w:r>
        <w:rPr>
          <w:rFonts w:hint="cs"/>
          <w:rtl/>
          <w:lang w:eastAsia="he-IL"/>
        </w:rPr>
        <w:t xml:space="preserve"> מחבל, הוא ושרי ממשלתו, בתוכניות שאושרו למיגור הפשיעה בממשלה</w:t>
      </w:r>
      <w:bookmarkStart w:id="78915" w:name="_ETM_Q154_457000"/>
      <w:bookmarkEnd w:id="78915"/>
      <w:r>
        <w:rPr>
          <w:rFonts w:hint="cs"/>
          <w:rtl/>
          <w:lang w:eastAsia="he-IL"/>
        </w:rPr>
        <w:t xml:space="preserve"> הקודמת </w:t>
      </w:r>
      <w:r w:rsidR="00F1749F">
        <w:rPr>
          <w:rFonts w:hint="eastAsia"/>
          <w:rtl/>
          <w:lang w:eastAsia="he-IL"/>
        </w:rPr>
        <w:t>–</w:t>
      </w:r>
      <w:r w:rsidR="00F1749F">
        <w:rPr>
          <w:rFonts w:hint="cs"/>
          <w:rtl/>
          <w:lang w:eastAsia="he-IL"/>
        </w:rPr>
        <w:t xml:space="preserve"> </w:t>
      </w:r>
      <w:r>
        <w:rPr>
          <w:rFonts w:hint="cs"/>
          <w:rtl/>
          <w:lang w:eastAsia="he-IL"/>
        </w:rPr>
        <w:t>איך הוא יכול לטעון ברוב חוצפה, שהוא ראש ממשלה</w:t>
      </w:r>
      <w:bookmarkStart w:id="78916" w:name="_ETM_Q154_464000"/>
      <w:bookmarkEnd w:id="78916"/>
      <w:r>
        <w:rPr>
          <w:rFonts w:hint="cs"/>
          <w:rtl/>
          <w:lang w:eastAsia="he-IL"/>
        </w:rPr>
        <w:t xml:space="preserve"> של כולם? כיצד יכול להיות, לעזאזל, שנושא הפשיעה, </w:t>
      </w:r>
      <w:bookmarkStart w:id="78917" w:name="_ETM_Q154_474000"/>
      <w:bookmarkEnd w:id="78917"/>
      <w:r>
        <w:rPr>
          <w:rFonts w:hint="cs"/>
          <w:rtl/>
          <w:lang w:eastAsia="he-IL"/>
        </w:rPr>
        <w:t xml:space="preserve">הרציחות, הפרוטקשן, אינו נמצא בראש סדר העדיפות שלו ושל </w:t>
      </w:r>
      <w:bookmarkStart w:id="78918" w:name="_ETM_Q154_480000"/>
      <w:bookmarkEnd w:id="78918"/>
      <w:r>
        <w:rPr>
          <w:rFonts w:hint="cs"/>
          <w:rtl/>
          <w:lang w:eastAsia="he-IL"/>
        </w:rPr>
        <w:t>ממשלתו החשוכה והגזענית?</w:t>
      </w:r>
    </w:p>
    <w:p w:rsidR="00BB59CD" w:rsidRDefault="00BB59CD" w:rsidP="00BB59CD">
      <w:pPr>
        <w:rPr>
          <w:rtl/>
          <w:lang w:eastAsia="he-IL"/>
        </w:rPr>
      </w:pPr>
    </w:p>
    <w:p w:rsidR="00BB59CD" w:rsidRDefault="00BB59CD" w:rsidP="00F1749F">
      <w:pPr>
        <w:rPr>
          <w:rtl/>
          <w:lang w:eastAsia="he-IL"/>
        </w:rPr>
      </w:pPr>
      <w:bookmarkStart w:id="78919" w:name="_ETM_Q154_485000"/>
      <w:bookmarkEnd w:id="78919"/>
      <w:r>
        <w:rPr>
          <w:rFonts w:hint="cs"/>
          <w:rtl/>
          <w:lang w:eastAsia="he-IL"/>
        </w:rPr>
        <w:t>ראש הממשלה הנוכחי לא מסתפק בשליטה שלו על</w:t>
      </w:r>
      <w:bookmarkStart w:id="78920" w:name="_ETM_Q154_487000"/>
      <w:bookmarkEnd w:id="78920"/>
      <w:r>
        <w:rPr>
          <w:rFonts w:hint="cs"/>
          <w:rtl/>
          <w:lang w:eastAsia="he-IL"/>
        </w:rPr>
        <w:t xml:space="preserve"> הרשות המבצעת ולא מסתפק בשליטה שלו על הרשות</w:t>
      </w:r>
      <w:bookmarkStart w:id="78921" w:name="_ETM_Q154_492000"/>
      <w:bookmarkEnd w:id="78921"/>
      <w:r>
        <w:rPr>
          <w:rFonts w:hint="cs"/>
          <w:rtl/>
          <w:lang w:eastAsia="he-IL"/>
        </w:rPr>
        <w:t xml:space="preserve"> המחוקקת</w:t>
      </w:r>
      <w:r w:rsidR="00F1749F">
        <w:rPr>
          <w:rFonts w:hint="cs"/>
          <w:rtl/>
          <w:lang w:eastAsia="he-IL"/>
        </w:rPr>
        <w:t>;</w:t>
      </w:r>
      <w:r>
        <w:rPr>
          <w:rFonts w:hint="cs"/>
          <w:rtl/>
          <w:lang w:eastAsia="he-IL"/>
        </w:rPr>
        <w:t xml:space="preserve"> הוא מבקש להשתלט גם על הרשות השופטת. משזה</w:t>
      </w:r>
      <w:bookmarkStart w:id="78922" w:name="_ETM_Q154_502000"/>
      <w:bookmarkEnd w:id="78922"/>
      <w:r>
        <w:rPr>
          <w:rFonts w:hint="cs"/>
          <w:rtl/>
          <w:lang w:eastAsia="he-IL"/>
        </w:rPr>
        <w:t xml:space="preserve"> יקרה – וכנראה היום זה יקרה – עושק, התעמרות, </w:t>
      </w:r>
      <w:bookmarkStart w:id="78923" w:name="_ETM_Q154_506000"/>
      <w:bookmarkEnd w:id="78923"/>
      <w:r>
        <w:rPr>
          <w:rFonts w:hint="cs"/>
          <w:rtl/>
          <w:lang w:eastAsia="he-IL"/>
        </w:rPr>
        <w:t xml:space="preserve">שרירותיות ודיקטטורה שלטונית יהפכו לנורמה מקובלת בנוף הפוליטי הישראלי. לקבוצות </w:t>
      </w:r>
      <w:bookmarkStart w:id="78924" w:name="_ETM_Q154_522000"/>
      <w:bookmarkEnd w:id="78924"/>
      <w:r>
        <w:rPr>
          <w:rFonts w:hint="cs"/>
          <w:rtl/>
          <w:lang w:eastAsia="he-IL"/>
        </w:rPr>
        <w:t>המיעוט במדינה לא יהיה יותר מי שיגן</w:t>
      </w:r>
      <w:bookmarkStart w:id="78925" w:name="_ETM_Q154_529000"/>
      <w:bookmarkEnd w:id="78925"/>
      <w:r>
        <w:rPr>
          <w:rFonts w:hint="cs"/>
          <w:rtl/>
          <w:lang w:eastAsia="he-IL"/>
        </w:rPr>
        <w:t xml:space="preserve"> עליהן. המדינה תהפוך לדיקטטורה שתתעמר באזרחיה, ותפעיל שרירות לב נגד כל מתנגדי המשטר הדיקטטורי המתהווה. זו תהיה דיקטטורה בכיסוי</w:t>
      </w:r>
      <w:bookmarkStart w:id="78926" w:name="_ETM_Q154_541000"/>
      <w:bookmarkEnd w:id="78926"/>
      <w:r>
        <w:rPr>
          <w:rFonts w:hint="cs"/>
          <w:rtl/>
          <w:lang w:eastAsia="he-IL"/>
        </w:rPr>
        <w:t xml:space="preserve"> מדומה ושקרי של דמוקרטיה. </w:t>
      </w:r>
    </w:p>
    <w:p w:rsidR="00BB59CD" w:rsidRDefault="00BB59CD" w:rsidP="00BB59CD">
      <w:pPr>
        <w:rPr>
          <w:rtl/>
          <w:lang w:eastAsia="he-IL"/>
        </w:rPr>
      </w:pPr>
    </w:p>
    <w:p w:rsidR="00BB59CD" w:rsidRDefault="00BB59CD" w:rsidP="00F1749F">
      <w:pPr>
        <w:rPr>
          <w:rtl/>
          <w:lang w:eastAsia="he-IL"/>
        </w:rPr>
      </w:pPr>
      <w:bookmarkStart w:id="78927" w:name="_ETM_Q154_546000"/>
      <w:bookmarkEnd w:id="78927"/>
      <w:r>
        <w:rPr>
          <w:rFonts w:hint="cs"/>
          <w:rtl/>
          <w:lang w:eastAsia="he-IL"/>
        </w:rPr>
        <w:t xml:space="preserve">היושב-ראש, אני מבקש להוסיף לי </w:t>
      </w:r>
      <w:bookmarkStart w:id="78928" w:name="_ETM_Q154_551000"/>
      <w:bookmarkEnd w:id="78928"/>
      <w:r>
        <w:rPr>
          <w:rFonts w:hint="cs"/>
          <w:rtl/>
          <w:lang w:eastAsia="he-IL"/>
        </w:rPr>
        <w:t>זמן על כל הניסיונות שלה לה</w:t>
      </w:r>
      <w:r w:rsidR="00F1749F">
        <w:rPr>
          <w:rFonts w:hint="cs"/>
          <w:rtl/>
          <w:lang w:eastAsia="he-IL"/>
        </w:rPr>
        <w:t>כשיל</w:t>
      </w:r>
      <w:r>
        <w:rPr>
          <w:rFonts w:hint="cs"/>
          <w:rtl/>
          <w:lang w:eastAsia="he-IL"/>
        </w:rPr>
        <w:t xml:space="preserve"> את </w:t>
      </w:r>
      <w:bookmarkStart w:id="78929" w:name="_ETM_Q154_553000"/>
      <w:bookmarkEnd w:id="78929"/>
      <w:r>
        <w:rPr>
          <w:rFonts w:hint="cs"/>
          <w:rtl/>
          <w:lang w:eastAsia="he-IL"/>
        </w:rPr>
        <w:t xml:space="preserve">הדברים שלי.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אתה רוצה לדבר בערבית? </w:t>
      </w:r>
    </w:p>
    <w:p w:rsidR="00BB59CD" w:rsidRDefault="00BB59CD" w:rsidP="00BB59CD">
      <w:pPr>
        <w:rPr>
          <w:rtl/>
          <w:lang w:eastAsia="he-IL"/>
        </w:rPr>
      </w:pPr>
      <w:bookmarkStart w:id="78930" w:name="_ETM_Q154_555000"/>
      <w:bookmarkEnd w:id="78930"/>
    </w:p>
    <w:p w:rsidR="00BB59CD" w:rsidRDefault="00BB59CD" w:rsidP="00BB59CD">
      <w:pPr>
        <w:pStyle w:val="-"/>
        <w:keepNext/>
        <w:rPr>
          <w:rtl/>
        </w:rPr>
      </w:pPr>
      <w:bookmarkStart w:id="78931" w:name="ET_speakercontinue_5854_13"/>
      <w:r>
        <w:rPr>
          <w:rStyle w:val="TagStyle"/>
          <w:rFonts w:hint="cs"/>
          <w:rtl/>
        </w:rPr>
        <w:t xml:space="preserve"> &lt;&lt;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bookmarkEnd w:id="7893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גם אדבר בערבית. כן. </w:t>
      </w:r>
    </w:p>
    <w:p w:rsidR="00BB59CD" w:rsidRDefault="00BB59CD" w:rsidP="00BB59CD">
      <w:pPr>
        <w:rPr>
          <w:rtl/>
          <w:lang w:eastAsia="he-IL"/>
        </w:rPr>
      </w:pPr>
      <w:bookmarkStart w:id="78932" w:name="_ETM_Q154_554000"/>
      <w:bookmarkEnd w:id="78932"/>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78933" w:name="_ETM_Q154_559000"/>
      <w:bookmarkEnd w:id="78933"/>
      <w:r>
        <w:rPr>
          <w:rFonts w:hint="cs"/>
          <w:rtl/>
          <w:lang w:eastAsia="he-IL"/>
        </w:rPr>
        <w:t>אז בבקשה. אני נותן לך דקה לערבית.</w:t>
      </w:r>
    </w:p>
    <w:p w:rsidR="00BB59CD" w:rsidRDefault="00BB59CD" w:rsidP="00BB59CD">
      <w:pPr>
        <w:rPr>
          <w:rtl/>
          <w:lang w:eastAsia="he-IL"/>
        </w:rPr>
      </w:pPr>
    </w:p>
    <w:p w:rsidR="00BB59CD" w:rsidRDefault="00BB59CD" w:rsidP="00BB59CD">
      <w:pPr>
        <w:pStyle w:val="-"/>
        <w:keepNext/>
        <w:rPr>
          <w:rtl/>
        </w:rPr>
      </w:pPr>
      <w:bookmarkStart w:id="78934" w:name="ET_speakercontinue_ווליד_טאהא_רעמ__16"/>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bookmarkEnd w:id="78934"/>
    <w:p w:rsidR="00BB59CD" w:rsidRDefault="00BB59CD" w:rsidP="00337201">
      <w:pPr>
        <w:rPr>
          <w:rtl/>
          <w:lang w:eastAsia="he-IL"/>
        </w:rPr>
      </w:pPr>
    </w:p>
    <w:p w:rsidR="00BB59CD" w:rsidRDefault="00BB59CD" w:rsidP="00CF7BDD">
      <w:pPr>
        <w:rPr>
          <w:rtl/>
          <w:lang w:eastAsia="he-IL"/>
        </w:rPr>
      </w:pPr>
      <w:r>
        <w:rPr>
          <w:rFonts w:hint="cs"/>
          <w:rtl/>
          <w:lang w:eastAsia="he-IL"/>
        </w:rPr>
        <w:t xml:space="preserve">(אומר </w:t>
      </w:r>
      <w:bookmarkStart w:id="78935" w:name="_ETM_Q154_566000"/>
      <w:bookmarkEnd w:id="78935"/>
      <w:r>
        <w:rPr>
          <w:rFonts w:hint="cs"/>
          <w:rtl/>
          <w:lang w:eastAsia="he-IL"/>
        </w:rPr>
        <w:t xml:space="preserve">דברים בשפה הערבית, להלן תרגומם: </w:t>
      </w:r>
      <w:r>
        <w:rPr>
          <w:rFonts w:hint="cs"/>
          <w:rtl/>
        </w:rPr>
        <w:t>אזרחים יקרים, ככל הנראה בעוד שעתיים או יותר מעכשיו יצליחו הממשלה הזאת והקואליציה הגזענית הקיצונית הז</w:t>
      </w:r>
      <w:r w:rsidR="00CF7BDD">
        <w:rPr>
          <w:rFonts w:hint="cs"/>
          <w:rtl/>
        </w:rPr>
        <w:t>את</w:t>
      </w:r>
      <w:r>
        <w:rPr>
          <w:rFonts w:hint="cs"/>
          <w:rtl/>
        </w:rPr>
        <w:t xml:space="preserve"> בהעברת חוק ביטול עילת הסבירות. למרות שאמרנו שוב ושוב שהחברה הערבית לא מצאה צדק במערכת המשפט שהייתה עד היום, השינוי שיקרה היום יגרום למצב להיות גרוע יותר ממה שהכרנו במערכת הז</w:t>
      </w:r>
      <w:r w:rsidR="00CF7BDD">
        <w:rPr>
          <w:rFonts w:hint="cs"/>
          <w:rtl/>
        </w:rPr>
        <w:t>את</w:t>
      </w:r>
      <w:r>
        <w:rPr>
          <w:rFonts w:hint="cs"/>
          <w:rtl/>
        </w:rPr>
        <w:t>. הקואליציה הגזענית</w:t>
      </w:r>
      <w:r w:rsidR="00CF7BDD">
        <w:rPr>
          <w:rFonts w:hint="cs"/>
          <w:rtl/>
        </w:rPr>
        <w:t>,</w:t>
      </w:r>
      <w:r>
        <w:rPr>
          <w:rFonts w:hint="cs"/>
          <w:rtl/>
        </w:rPr>
        <w:t xml:space="preserve"> הגרועה הז</w:t>
      </w:r>
      <w:r w:rsidR="00CF7BDD">
        <w:rPr>
          <w:rFonts w:hint="cs"/>
          <w:rtl/>
        </w:rPr>
        <w:t>את</w:t>
      </w:r>
      <w:r>
        <w:rPr>
          <w:rFonts w:hint="cs"/>
          <w:rtl/>
        </w:rPr>
        <w:t xml:space="preserve">, אשר לא הייתה נוצרת לולא שיתוף הפעולה, לצערי הרב, של חלק מחברי הכנסת הערבים עם הליכוד </w:t>
      </w:r>
      <w:r w:rsidR="00CF7BDD">
        <w:rPr>
          <w:rFonts w:hint="cs"/>
          <w:rtl/>
        </w:rPr>
        <w:t>כדי</w:t>
      </w:r>
      <w:r>
        <w:rPr>
          <w:rFonts w:hint="cs"/>
          <w:rtl/>
        </w:rPr>
        <w:t xml:space="preserve"> להכשיל את הקואליציה הקודמת – ש</w:t>
      </w:r>
      <w:r w:rsidR="00CF7BDD">
        <w:rPr>
          <w:rFonts w:hint="cs"/>
          <w:rtl/>
        </w:rPr>
        <w:t xml:space="preserve">באמצעותה </w:t>
      </w:r>
      <w:r>
        <w:rPr>
          <w:rFonts w:hint="cs"/>
          <w:rtl/>
        </w:rPr>
        <w:t>ניסינו לפתור את בעיות החברה הערבית שלנו ולעסוק בנושאים הבוערים שלה</w:t>
      </w:r>
      <w:r w:rsidR="00CF7BDD">
        <w:rPr>
          <w:rFonts w:hint="cs"/>
          <w:rtl/>
        </w:rPr>
        <w:t>,</w:t>
      </w:r>
      <w:r>
        <w:rPr>
          <w:rFonts w:hint="cs"/>
          <w:rtl/>
        </w:rPr>
        <w:t xml:space="preserve"> ועל כך שילמנו מחיר אישי, אולם עשינו זאת למען החברה שלנו ומתוך אהבה אליה ולמען פתרון הבעיות שלה - -</w:t>
      </w:r>
      <w:r>
        <w:rPr>
          <w:rFonts w:hint="cs"/>
          <w:rtl/>
          <w:lang w:eastAsia="he-IL"/>
        </w:rPr>
        <w:t xml:space="preserve">) </w:t>
      </w:r>
    </w:p>
    <w:p w:rsidR="00BB59CD" w:rsidRDefault="00BB59CD" w:rsidP="00BB59CD">
      <w:pPr>
        <w:rPr>
          <w:rtl/>
          <w:lang w:eastAsia="he-IL"/>
        </w:rPr>
      </w:pPr>
    </w:p>
    <w:p w:rsidR="00BB59CD" w:rsidRDefault="00BB59CD" w:rsidP="00BB59CD">
      <w:pPr>
        <w:pStyle w:val="af9"/>
        <w:keepNext/>
        <w:rPr>
          <w:rtl/>
        </w:rPr>
      </w:pPr>
      <w:bookmarkStart w:id="78936" w:name="ET_yor_6129_17"/>
      <w:r>
        <w:rPr>
          <w:rStyle w:val="TagStyle"/>
          <w:rFonts w:hint="cs"/>
          <w:rtl/>
        </w:rPr>
        <w:t xml:space="preserve">&lt;&lt; יור &gt;&gt; </w:t>
      </w:r>
      <w:r>
        <w:rPr>
          <w:rFonts w:hint="cs"/>
          <w:rtl/>
        </w:rPr>
        <w:t>היו"ר ישראל אייכלר:</w:t>
      </w:r>
      <w:r>
        <w:rPr>
          <w:rStyle w:val="TagStyle"/>
          <w:rtl/>
        </w:rPr>
        <w:t xml:space="preserve"> &lt;&lt; יור &gt;&gt;</w:t>
      </w:r>
      <w:bookmarkEnd w:id="78936"/>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תודה רבה.</w:t>
      </w:r>
    </w:p>
    <w:p w:rsidR="00BB59CD" w:rsidRDefault="00BB59CD" w:rsidP="00BB59CD">
      <w:pPr>
        <w:rPr>
          <w:rtl/>
          <w:lang w:eastAsia="he-IL"/>
        </w:rPr>
      </w:pPr>
    </w:p>
    <w:p w:rsidR="00BB59CD" w:rsidRDefault="00BB59CD" w:rsidP="00BB59CD">
      <w:pPr>
        <w:pStyle w:val="-"/>
        <w:keepNext/>
        <w:rPr>
          <w:rtl/>
        </w:rPr>
      </w:pPr>
      <w:bookmarkStart w:id="78937" w:name="ET_speakercontinue_ווליד_טאהא_רעמ__18"/>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bookmarkEnd w:id="78937"/>
    <w:p w:rsidR="00BB59CD" w:rsidRDefault="00BB59CD" w:rsidP="00337201">
      <w:pPr>
        <w:rPr>
          <w:rtl/>
          <w:lang w:eastAsia="he-IL"/>
        </w:rPr>
      </w:pPr>
    </w:p>
    <w:p w:rsidR="00BB59CD" w:rsidRDefault="00BB59CD" w:rsidP="00F1749F">
      <w:pPr>
        <w:rPr>
          <w:rtl/>
          <w:lang w:eastAsia="he-IL"/>
        </w:rPr>
      </w:pPr>
      <w:r>
        <w:rPr>
          <w:rFonts w:hint="cs"/>
          <w:rtl/>
          <w:lang w:eastAsia="he-IL"/>
        </w:rPr>
        <w:t>(</w:t>
      </w:r>
      <w:r w:rsidR="00CF7BDD">
        <w:rPr>
          <w:rFonts w:hint="cs"/>
          <w:rtl/>
          <w:lang w:eastAsia="he-IL"/>
        </w:rPr>
        <w:t xml:space="preserve">- - </w:t>
      </w:r>
      <w:r>
        <w:rPr>
          <w:rFonts w:hint="cs"/>
          <w:rtl/>
        </w:rPr>
        <w:t>הכשלת הממשלה הקודמת ויצירת ממשלת האסון הז</w:t>
      </w:r>
      <w:r w:rsidR="00CF7BDD">
        <w:rPr>
          <w:rFonts w:hint="cs"/>
          <w:rtl/>
        </w:rPr>
        <w:t>את</w:t>
      </w:r>
      <w:r>
        <w:rPr>
          <w:rFonts w:hint="cs"/>
          <w:rtl/>
        </w:rPr>
        <w:t xml:space="preserve"> הביאו רק לעשרות החלטות נגד החברה שלנו. עשרות מערכות וחוקים </w:t>
      </w:r>
      <w:r w:rsidR="00CF7BDD">
        <w:rPr>
          <w:rFonts w:hint="eastAsia"/>
          <w:rtl/>
        </w:rPr>
        <w:t xml:space="preserve">– </w:t>
      </w:r>
      <w:r>
        <w:rPr>
          <w:rFonts w:hint="cs"/>
          <w:rtl/>
        </w:rPr>
        <w:t xml:space="preserve">זה גם ישנה את </w:t>
      </w:r>
      <w:r w:rsidR="00F1749F">
        <w:rPr>
          <w:rFonts w:hint="cs"/>
          <w:rtl/>
        </w:rPr>
        <w:t>הצורה</w:t>
      </w:r>
      <w:r>
        <w:rPr>
          <w:rFonts w:hint="cs"/>
          <w:rtl/>
        </w:rPr>
        <w:t xml:space="preserve"> של מערכת המשפט </w:t>
      </w:r>
      <w:r w:rsidR="00F1749F">
        <w:rPr>
          <w:rFonts w:hint="cs"/>
          <w:rtl/>
        </w:rPr>
        <w:t>לרעה</w:t>
      </w:r>
      <w:r w:rsidR="00CF7BDD">
        <w:rPr>
          <w:rFonts w:hint="cs"/>
          <w:rtl/>
        </w:rPr>
        <w:t>,</w:t>
      </w:r>
      <w:r>
        <w:rPr>
          <w:rFonts w:hint="cs"/>
          <w:rtl/>
        </w:rPr>
        <w:t xml:space="preserve"> ובעקבות זאת אנחנו </w:t>
      </w:r>
      <w:r w:rsidR="00CF7BDD">
        <w:rPr>
          <w:rFonts w:hint="cs"/>
          <w:rtl/>
        </w:rPr>
        <w:t>ב</w:t>
      </w:r>
      <w:r>
        <w:rPr>
          <w:rFonts w:hint="cs"/>
          <w:rtl/>
        </w:rPr>
        <w:t xml:space="preserve">חברה </w:t>
      </w:r>
      <w:r w:rsidR="00CF7BDD">
        <w:rPr>
          <w:rFonts w:hint="cs"/>
          <w:rtl/>
        </w:rPr>
        <w:t>ה</w:t>
      </w:r>
      <w:r>
        <w:rPr>
          <w:rFonts w:hint="cs"/>
          <w:rtl/>
        </w:rPr>
        <w:t>ערבית משלמים את המחיר הכי יקר.</w:t>
      </w:r>
      <w:r>
        <w:rPr>
          <w:rFonts w:hint="cs"/>
          <w:rtl/>
          <w:lang w:eastAsia="he-IL"/>
        </w:rPr>
        <w:t>)</w:t>
      </w:r>
    </w:p>
    <w:p w:rsidR="00BB59CD" w:rsidRDefault="00BB59CD" w:rsidP="00BB59CD">
      <w:pPr>
        <w:rPr>
          <w:rtl/>
          <w:lang w:eastAsia="he-IL"/>
        </w:rPr>
      </w:pPr>
      <w:bookmarkStart w:id="78938" w:name="_ETM_Q154_678000"/>
      <w:bookmarkEnd w:id="78938"/>
    </w:p>
    <w:p w:rsidR="00BB59CD" w:rsidRDefault="00BB59CD" w:rsidP="00BB59C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שוכרן, תודה רבה.</w:t>
      </w:r>
    </w:p>
    <w:p w:rsidR="00BB59CD" w:rsidRDefault="00BB59CD" w:rsidP="00BB59CD">
      <w:pPr>
        <w:rPr>
          <w:rtl/>
          <w:lang w:eastAsia="he-IL"/>
        </w:rPr>
      </w:pPr>
    </w:p>
    <w:p w:rsidR="00BB59CD" w:rsidRDefault="00BB59CD" w:rsidP="00BB59CD">
      <w:pPr>
        <w:pStyle w:val="-"/>
        <w:keepNext/>
        <w:rPr>
          <w:rtl/>
        </w:rPr>
      </w:pPr>
      <w:bookmarkStart w:id="78939" w:name="ET_speakercontinue_ווליד_טאהא_רעמ__20"/>
      <w:r>
        <w:rPr>
          <w:rStyle w:val="TagStyle"/>
          <w:rFonts w:hint="cs"/>
          <w:rtl/>
        </w:rPr>
        <w:t xml:space="preserve">&lt;&lt; דובר_המשך &gt;&gt; </w:t>
      </w:r>
      <w:r>
        <w:rPr>
          <w:rFonts w:hint="cs"/>
          <w:rtl/>
        </w:rPr>
        <w:t>ווליד טאהא (רע"מ – הרשימה הערבית המאוחדת):</w:t>
      </w:r>
      <w:r>
        <w:rPr>
          <w:rStyle w:val="TagStyle"/>
          <w:rtl/>
        </w:rPr>
        <w:t xml:space="preserve"> &lt;&lt; דובר_המשך &gt;&gt;</w:t>
      </w:r>
      <w:r>
        <w:rPr>
          <w:rFonts w:hint="cs"/>
          <w:rtl/>
        </w:rPr>
        <w:t xml:space="preserve">   </w:t>
      </w:r>
    </w:p>
    <w:bookmarkEnd w:id="78939"/>
    <w:p w:rsidR="00BB59CD" w:rsidRDefault="00BB59CD" w:rsidP="00337201">
      <w:pPr>
        <w:rPr>
          <w:rtl/>
          <w:lang w:eastAsia="he-IL"/>
        </w:rPr>
      </w:pPr>
    </w:p>
    <w:p w:rsidR="00BB59CD" w:rsidRDefault="00BB59CD" w:rsidP="00BB59CD">
      <w:pPr>
        <w:rPr>
          <w:rtl/>
          <w:lang w:eastAsia="he-IL"/>
        </w:rPr>
      </w:pPr>
      <w:r>
        <w:rPr>
          <w:rFonts w:hint="cs"/>
          <w:rtl/>
          <w:lang w:eastAsia="he-IL"/>
        </w:rPr>
        <w:t>(</w:t>
      </w:r>
      <w:r>
        <w:rPr>
          <w:rFonts w:hint="cs"/>
          <w:rtl/>
        </w:rPr>
        <w:t>שיגעון, החלטת חברי הכנסת הערבים. היא לא במקומה.</w:t>
      </w:r>
      <w:r>
        <w:rPr>
          <w:rFonts w:hint="cs"/>
          <w:rtl/>
          <w:lang w:eastAsia="he-IL"/>
        </w:rPr>
        <w:t>)</w:t>
      </w:r>
    </w:p>
    <w:p w:rsidR="00BB59CD" w:rsidRDefault="00BB59CD" w:rsidP="00BB59CD">
      <w:pPr>
        <w:ind w:firstLine="0"/>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תודה רבה. חברת הכנסת מרב מיכאלי</w:t>
      </w:r>
      <w:bookmarkStart w:id="78940" w:name="_ETM_Q154_741000"/>
      <w:bookmarkEnd w:id="78940"/>
      <w:r>
        <w:rPr>
          <w:rFonts w:hint="cs"/>
          <w:rtl/>
          <w:lang w:eastAsia="he-IL"/>
        </w:rPr>
        <w:t xml:space="preserve">, עשר דקות. </w:t>
      </w:r>
    </w:p>
    <w:p w:rsidR="00BB59CD" w:rsidRDefault="00BB59CD" w:rsidP="00BB59CD">
      <w:pPr>
        <w:rPr>
          <w:rtl/>
          <w:lang w:eastAsia="he-IL"/>
        </w:rPr>
      </w:pPr>
    </w:p>
    <w:p w:rsidR="00BB59CD" w:rsidRDefault="00BB59CD" w:rsidP="00BB59CD">
      <w:pPr>
        <w:pStyle w:val="a5"/>
        <w:keepNext/>
        <w:rPr>
          <w:rtl/>
        </w:rPr>
      </w:pPr>
      <w:bookmarkStart w:id="78941" w:name="ET_speaker_5090_7"/>
      <w:r>
        <w:rPr>
          <w:rStyle w:val="TagStyle"/>
          <w:rFonts w:hint="cs"/>
          <w:rtl/>
        </w:rPr>
        <w:t xml:space="preserve"> &lt;&lt; דובר &gt;&gt; </w:t>
      </w:r>
      <w:bookmarkStart w:id="78942" w:name="_Toc141197197"/>
      <w:bookmarkStart w:id="78943" w:name="_Toc141196933"/>
      <w:r>
        <w:rPr>
          <w:rFonts w:hint="cs"/>
          <w:rtl/>
        </w:rPr>
        <w:t>מרב מיכאלי (העבודה):</w:t>
      </w:r>
      <w:bookmarkEnd w:id="78942"/>
      <w:bookmarkEnd w:id="78943"/>
      <w:r>
        <w:rPr>
          <w:rStyle w:val="TagStyle"/>
          <w:rFonts w:hint="cs"/>
          <w:rtl/>
        </w:rPr>
        <w:t xml:space="preserve"> &lt;&lt; דובר &gt;&gt;</w:t>
      </w:r>
      <w:r>
        <w:rPr>
          <w:rFonts w:hint="cs"/>
          <w:rtl/>
        </w:rPr>
        <w:t xml:space="preserve">   </w:t>
      </w:r>
      <w:bookmarkEnd w:id="78941"/>
    </w:p>
    <w:p w:rsidR="00BB59CD" w:rsidRDefault="00BB59CD" w:rsidP="00337201">
      <w:pPr>
        <w:rPr>
          <w:rtl/>
        </w:rPr>
      </w:pPr>
    </w:p>
    <w:p w:rsidR="00BB59CD" w:rsidRDefault="00BB59CD" w:rsidP="00F1749F">
      <w:pPr>
        <w:rPr>
          <w:rtl/>
        </w:rPr>
      </w:pPr>
      <w:r>
        <w:rPr>
          <w:rFonts w:hint="cs"/>
          <w:rtl/>
        </w:rPr>
        <w:t>הקואליציה ההרסנית והדורסנית הזאת, שמביאה למדינת ישראל</w:t>
      </w:r>
      <w:bookmarkStart w:id="78944" w:name="_ETM_Q154_751000"/>
      <w:bookmarkEnd w:id="78944"/>
      <w:r>
        <w:rPr>
          <w:rFonts w:hint="cs"/>
          <w:rtl/>
        </w:rPr>
        <w:t xml:space="preserve"> את הפיכת החורבן, מדברת כל הזמן בשם הרוב. הרוב</w:t>
      </w:r>
      <w:r w:rsidR="00F1749F">
        <w:rPr>
          <w:rFonts w:hint="cs"/>
          <w:rtl/>
        </w:rPr>
        <w:t>,</w:t>
      </w:r>
      <w:r>
        <w:rPr>
          <w:rFonts w:hint="cs"/>
          <w:rtl/>
        </w:rPr>
        <w:t xml:space="preserve"> מי</w:t>
      </w:r>
      <w:bookmarkStart w:id="78945" w:name="_ETM_Q154_759000"/>
      <w:bookmarkEnd w:id="78945"/>
      <w:r>
        <w:rPr>
          <w:rFonts w:hint="cs"/>
          <w:rtl/>
        </w:rPr>
        <w:t xml:space="preserve"> תשמע</w:t>
      </w:r>
      <w:r w:rsidR="00F1749F">
        <w:rPr>
          <w:rFonts w:hint="cs"/>
          <w:rtl/>
        </w:rPr>
        <w:t>,</w:t>
      </w:r>
      <w:r>
        <w:rPr>
          <w:rFonts w:hint="cs"/>
          <w:rtl/>
        </w:rPr>
        <w:t xml:space="preserve"> שיש לה </w:t>
      </w:r>
      <w:r w:rsidR="00F1749F">
        <w:rPr>
          <w:rFonts w:hint="eastAsia"/>
          <w:rtl/>
        </w:rPr>
        <w:t>–</w:t>
      </w:r>
      <w:r w:rsidR="00F1749F">
        <w:rPr>
          <w:rFonts w:hint="cs"/>
          <w:rtl/>
        </w:rPr>
        <w:t xml:space="preserve"> </w:t>
      </w:r>
      <w:r>
        <w:rPr>
          <w:rFonts w:hint="cs"/>
          <w:rtl/>
        </w:rPr>
        <w:t>אפילו בכנסת יש לה רוב דחוק של</w:t>
      </w:r>
      <w:bookmarkStart w:id="78946" w:name="_ETM_Q154_763000"/>
      <w:bookmarkEnd w:id="78946"/>
      <w:r>
        <w:rPr>
          <w:rFonts w:hint="cs"/>
          <w:rtl/>
        </w:rPr>
        <w:t xml:space="preserve"> 64 מנדטים. אבל מה שבוודאי בוודאי בוודאי אין לה, זה </w:t>
      </w:r>
      <w:bookmarkStart w:id="78947" w:name="_ETM_Q154_768000"/>
      <w:bookmarkEnd w:id="78947"/>
      <w:r>
        <w:rPr>
          <w:rFonts w:hint="cs"/>
          <w:rtl/>
        </w:rPr>
        <w:t>רוב בציבור. והעובדה היא שעד היום, למול 30 שבועות שבהם</w:t>
      </w:r>
      <w:bookmarkStart w:id="78948" w:name="_ETM_Q154_775000"/>
      <w:bookmarkEnd w:id="78948"/>
      <w:r>
        <w:rPr>
          <w:rFonts w:hint="cs"/>
          <w:rtl/>
        </w:rPr>
        <w:t xml:space="preserve"> מאות אלפים יוצאות ויוצאים למחות נגד ההפיכה הזאת, היו בסך</w:t>
      </w:r>
      <w:bookmarkStart w:id="78949" w:name="_ETM_Q154_782000"/>
      <w:bookmarkEnd w:id="78949"/>
      <w:r>
        <w:rPr>
          <w:rFonts w:hint="cs"/>
          <w:rtl/>
        </w:rPr>
        <w:t xml:space="preserve"> הכול שתי הפגנות של תומכי ההפיכה </w:t>
      </w:r>
      <w:r w:rsidR="00F1749F">
        <w:rPr>
          <w:rFonts w:hint="eastAsia"/>
          <w:rtl/>
        </w:rPr>
        <w:t>–</w:t>
      </w:r>
      <w:r w:rsidR="00F1749F">
        <w:rPr>
          <w:rFonts w:hint="cs"/>
          <w:rtl/>
        </w:rPr>
        <w:t xml:space="preserve"> </w:t>
      </w:r>
      <w:r>
        <w:rPr>
          <w:rFonts w:hint="cs"/>
          <w:rtl/>
        </w:rPr>
        <w:t xml:space="preserve">ממומנות, מאורגנות – של התנחלויות. </w:t>
      </w:r>
    </w:p>
    <w:p w:rsidR="00BB59CD" w:rsidRDefault="00BB59CD" w:rsidP="00BB59CD">
      <w:pPr>
        <w:rPr>
          <w:rtl/>
        </w:rPr>
      </w:pPr>
      <w:bookmarkStart w:id="78950" w:name="_ETM_Q154_710000"/>
      <w:bookmarkEnd w:id="78950"/>
    </w:p>
    <w:p w:rsidR="00BB59CD" w:rsidRDefault="00BB59CD" w:rsidP="00BB59CD">
      <w:pPr>
        <w:rPr>
          <w:rtl/>
        </w:rPr>
      </w:pPr>
      <w:bookmarkStart w:id="78951" w:name="_ETM_Q154_711000"/>
      <w:bookmarkStart w:id="78952" w:name="TOR_Q155"/>
      <w:bookmarkEnd w:id="78951"/>
      <w:bookmarkEnd w:id="78952"/>
      <w:r>
        <w:rPr>
          <w:rFonts w:hint="cs"/>
          <w:rtl/>
        </w:rPr>
        <w:t xml:space="preserve">תראו את מודעת ההסעות להפגנת הימין שנערכה אתמול. תקראו היטב היטב מאיזה יישובים הגיעו </w:t>
      </w:r>
      <w:bookmarkStart w:id="78953" w:name="_ETM_Q155_205636"/>
      <w:bookmarkEnd w:id="78953"/>
      <w:r>
        <w:rPr>
          <w:rFonts w:hint="cs"/>
          <w:rtl/>
        </w:rPr>
        <w:t xml:space="preserve">ההסעות האלה. לא מהפריפריה, </w:t>
      </w:r>
      <w:bookmarkStart w:id="78954" w:name="_ETM_Q155_205610"/>
      <w:bookmarkStart w:id="78955" w:name="_ETM_Q155_206750"/>
      <w:bookmarkEnd w:id="78954"/>
      <w:bookmarkEnd w:id="78955"/>
      <w:r>
        <w:rPr>
          <w:rFonts w:hint="cs"/>
          <w:rtl/>
        </w:rPr>
        <w:t xml:space="preserve">לא </w:t>
      </w:r>
      <w:bookmarkStart w:id="78956" w:name="_ETM_Q155_206930"/>
      <w:bookmarkEnd w:id="78956"/>
      <w:r>
        <w:rPr>
          <w:rFonts w:hint="cs"/>
          <w:rtl/>
        </w:rPr>
        <w:t xml:space="preserve">מערי המרכז, </w:t>
      </w:r>
      <w:bookmarkStart w:id="78957" w:name="_ETM_Q155_209160"/>
      <w:bookmarkEnd w:id="78957"/>
      <w:r>
        <w:rPr>
          <w:rFonts w:hint="cs"/>
          <w:rtl/>
        </w:rPr>
        <w:t xml:space="preserve">אך </w:t>
      </w:r>
      <w:bookmarkStart w:id="78958" w:name="_ETM_Q155_209550"/>
      <w:bookmarkEnd w:id="78958"/>
      <w:r>
        <w:rPr>
          <w:rFonts w:hint="cs"/>
          <w:rtl/>
        </w:rPr>
        <w:t xml:space="preserve">ורק </w:t>
      </w:r>
      <w:bookmarkStart w:id="78959" w:name="_ETM_Q155_210659"/>
      <w:bookmarkEnd w:id="78959"/>
      <w:r>
        <w:rPr>
          <w:rFonts w:hint="cs"/>
          <w:rtl/>
        </w:rPr>
        <w:t xml:space="preserve">מהתנחלויות </w:t>
      </w:r>
      <w:bookmarkStart w:id="78960" w:name="_ETM_Q155_211560"/>
      <w:bookmarkEnd w:id="78960"/>
      <w:r>
        <w:rPr>
          <w:rFonts w:hint="cs"/>
          <w:rtl/>
        </w:rPr>
        <w:t xml:space="preserve">מאוד </w:t>
      </w:r>
      <w:bookmarkStart w:id="78961" w:name="_ETM_Q155_212070"/>
      <w:bookmarkEnd w:id="78961"/>
      <w:r>
        <w:rPr>
          <w:rFonts w:hint="cs"/>
          <w:rtl/>
        </w:rPr>
        <w:t xml:space="preserve">מסוימות. </w:t>
      </w:r>
      <w:bookmarkStart w:id="78962" w:name="_ETM_Q155_212610"/>
      <w:bookmarkEnd w:id="78962"/>
      <w:r>
        <w:rPr>
          <w:rFonts w:hint="cs"/>
          <w:rtl/>
        </w:rPr>
        <w:t xml:space="preserve">אגב, </w:t>
      </w:r>
      <w:bookmarkStart w:id="78963" w:name="_ETM_Q155_213300"/>
      <w:bookmarkEnd w:id="78963"/>
      <w:r>
        <w:rPr>
          <w:rFonts w:hint="cs"/>
          <w:rtl/>
        </w:rPr>
        <w:t xml:space="preserve">גם </w:t>
      </w:r>
      <w:bookmarkStart w:id="78964" w:name="_ETM_Q155_213600"/>
      <w:bookmarkEnd w:id="78964"/>
      <w:r>
        <w:rPr>
          <w:rFonts w:hint="cs"/>
          <w:rtl/>
        </w:rPr>
        <w:t xml:space="preserve">לא </w:t>
      </w:r>
      <w:bookmarkStart w:id="78965" w:name="_ETM_Q155_213809"/>
      <w:bookmarkEnd w:id="78965"/>
      <w:r>
        <w:rPr>
          <w:rFonts w:hint="cs"/>
          <w:rtl/>
        </w:rPr>
        <w:t xml:space="preserve">מההתנחלויות </w:t>
      </w:r>
      <w:bookmarkStart w:id="78966" w:name="_ETM_Q155_216190"/>
      <w:bookmarkEnd w:id="78966"/>
      <w:r>
        <w:rPr>
          <w:rFonts w:hint="cs"/>
          <w:rtl/>
        </w:rPr>
        <w:t xml:space="preserve">של אנשים </w:t>
      </w:r>
      <w:bookmarkStart w:id="78967" w:name="_ETM_Q155_216729"/>
      <w:bookmarkEnd w:id="78967"/>
      <w:r>
        <w:rPr>
          <w:rFonts w:hint="cs"/>
          <w:rtl/>
        </w:rPr>
        <w:t xml:space="preserve">שלא </w:t>
      </w:r>
      <w:bookmarkStart w:id="78968" w:name="_ETM_Q155_217510"/>
      <w:bookmarkEnd w:id="78968"/>
      <w:r>
        <w:rPr>
          <w:rFonts w:hint="cs"/>
          <w:rtl/>
        </w:rPr>
        <w:t xml:space="preserve">יודעים </w:t>
      </w:r>
      <w:bookmarkStart w:id="78969" w:name="_ETM_Q155_217989"/>
      <w:bookmarkEnd w:id="78969"/>
      <w:r>
        <w:rPr>
          <w:rFonts w:hint="cs"/>
          <w:rtl/>
        </w:rPr>
        <w:t xml:space="preserve">בכלל </w:t>
      </w:r>
      <w:bookmarkStart w:id="78970" w:name="_ETM_Q155_220390"/>
      <w:bookmarkEnd w:id="78970"/>
      <w:r>
        <w:rPr>
          <w:rFonts w:hint="cs"/>
          <w:rtl/>
        </w:rPr>
        <w:t>שהם מתנחלים - - -</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300,000 -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הערת הביניים נשמעה. מספיק.</w:t>
      </w:r>
    </w:p>
    <w:p w:rsidR="00BB59CD" w:rsidRDefault="00BB59CD" w:rsidP="00BB59CD">
      <w:pPr>
        <w:rPr>
          <w:rtl/>
        </w:rPr>
      </w:pPr>
    </w:p>
    <w:p w:rsidR="00BB59CD" w:rsidRDefault="00BB59CD" w:rsidP="00BB59CD">
      <w:pPr>
        <w:pStyle w:val="af8"/>
        <w:keepNext/>
        <w:rPr>
          <w:rtl/>
        </w:rPr>
      </w:pPr>
      <w:bookmarkStart w:id="78971" w:name="ET_interruption_6345_31"/>
      <w:r>
        <w:rPr>
          <w:rStyle w:val="TagStyle"/>
          <w:rFonts w:hint="cs"/>
          <w:rtl/>
        </w:rPr>
        <w:t xml:space="preserve">&lt;&lt; קריאה &gt;&gt; </w:t>
      </w:r>
      <w:r>
        <w:rPr>
          <w:rFonts w:hint="cs"/>
          <w:rtl/>
        </w:rPr>
        <w:t>טלי גוטליב (הליכוד):</w:t>
      </w:r>
      <w:r>
        <w:rPr>
          <w:rStyle w:val="TagStyle"/>
          <w:rtl/>
        </w:rPr>
        <w:t xml:space="preserve"> &lt;&lt; קריאה &gt;&gt;</w:t>
      </w:r>
      <w:bookmarkEnd w:id="78971"/>
      <w:r>
        <w:rPr>
          <w:rFonts w:hint="cs"/>
          <w:rtl/>
        </w:rPr>
        <w:t xml:space="preserve">   </w:t>
      </w:r>
    </w:p>
    <w:p w:rsidR="00BB59CD" w:rsidRDefault="00BB59CD" w:rsidP="00337201">
      <w:pPr>
        <w:rPr>
          <w:rtl/>
        </w:rPr>
      </w:pPr>
    </w:p>
    <w:p w:rsidR="00BB59CD" w:rsidRDefault="00BB59CD" w:rsidP="00BB59CD">
      <w:pPr>
        <w:rPr>
          <w:rtl/>
        </w:rPr>
      </w:pPr>
      <w:bookmarkStart w:id="78972" w:name="_ETM_Q155_219365"/>
      <w:bookmarkStart w:id="78973" w:name="_ETM_Q155_219425"/>
      <w:bookmarkEnd w:id="78972"/>
      <w:bookmarkEnd w:id="78973"/>
      <w:r>
        <w:rPr>
          <w:rFonts w:hint="cs"/>
          <w:rtl/>
        </w:rPr>
        <w:t xml:space="preserve"> אולי כך היא בונה מספרית על זה שהיא לא תעבור את אחוז החסימה, אבל בסדר.</w:t>
      </w:r>
    </w:p>
    <w:p w:rsidR="00BB59CD" w:rsidRDefault="00BB59CD" w:rsidP="00BB59CD">
      <w:pPr>
        <w:rPr>
          <w:rtl/>
        </w:rPr>
      </w:pPr>
      <w:bookmarkStart w:id="78974" w:name="_ETM_Q155_221930"/>
      <w:bookmarkStart w:id="78975" w:name="_ETM_Q155_221976"/>
      <w:bookmarkEnd w:id="78974"/>
      <w:bookmarkEnd w:id="78975"/>
    </w:p>
    <w:p w:rsidR="00BB59CD" w:rsidRDefault="00BB59CD" w:rsidP="00BB59CD">
      <w:pPr>
        <w:pStyle w:val="af9"/>
        <w:keepNext/>
        <w:rPr>
          <w:rtl/>
        </w:rPr>
      </w:pPr>
      <w:bookmarkStart w:id="78976" w:name="ET_yor_6129_15"/>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78976"/>
    </w:p>
    <w:p w:rsidR="00BB59CD" w:rsidRDefault="00BB59CD" w:rsidP="00337201">
      <w:pPr>
        <w:rPr>
          <w:rtl/>
        </w:rPr>
      </w:pPr>
    </w:p>
    <w:p w:rsidR="00BB59CD" w:rsidRDefault="00BB59CD" w:rsidP="00BB59CD">
      <w:pPr>
        <w:rPr>
          <w:rtl/>
        </w:rPr>
      </w:pPr>
      <w:bookmarkStart w:id="78977" w:name="_ETM_Q155_222549"/>
      <w:bookmarkEnd w:id="78977"/>
      <w:r>
        <w:rPr>
          <w:rFonts w:hint="cs"/>
          <w:rtl/>
        </w:rPr>
        <w:t>הערת הביניים נשמעה.</w:t>
      </w:r>
    </w:p>
    <w:p w:rsidR="00BB59CD" w:rsidRDefault="00BB59CD" w:rsidP="00BB59CD">
      <w:pPr>
        <w:rPr>
          <w:rtl/>
        </w:rPr>
      </w:pPr>
    </w:p>
    <w:p w:rsidR="00BB59CD" w:rsidRDefault="00BB59CD" w:rsidP="00BB59CD">
      <w:pPr>
        <w:pStyle w:val="-"/>
        <w:keepNext/>
        <w:rPr>
          <w:rtl/>
        </w:rPr>
      </w:pPr>
      <w:bookmarkStart w:id="78978" w:name="ET_speakercontinue_5090_32"/>
      <w:r>
        <w:rPr>
          <w:rStyle w:val="TagStyle"/>
          <w:rFonts w:hint="cs"/>
          <w:rtl/>
        </w:rPr>
        <w:t xml:space="preserve">&lt;&lt; דובר_המשך &gt;&gt; </w:t>
      </w:r>
      <w:r>
        <w:rPr>
          <w:rFonts w:hint="cs"/>
          <w:rtl/>
        </w:rPr>
        <w:t>מרב מיכאלי (העבודה):</w:t>
      </w:r>
      <w:r>
        <w:rPr>
          <w:rStyle w:val="TagStyle"/>
          <w:rtl/>
        </w:rPr>
        <w:t xml:space="preserve"> &lt;&lt; דובר_המשך &gt;&gt;</w:t>
      </w:r>
      <w:bookmarkEnd w:id="78978"/>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לא כולל האנשים האלה </w:t>
      </w:r>
      <w:bookmarkStart w:id="78979" w:name="_ETM_Q155_226610"/>
      <w:bookmarkEnd w:id="78979"/>
      <w:r>
        <w:rPr>
          <w:rFonts w:hint="cs"/>
          <w:rtl/>
        </w:rPr>
        <w:t>ש</w:t>
      </w:r>
      <w:bookmarkStart w:id="78980" w:name="_ETM_Q155_226760"/>
      <w:bookmarkEnd w:id="78980"/>
      <w:r>
        <w:rPr>
          <w:rFonts w:hint="cs"/>
          <w:rtl/>
        </w:rPr>
        <w:t xml:space="preserve">פשוט </w:t>
      </w:r>
      <w:bookmarkStart w:id="78981" w:name="_ETM_Q155_227090"/>
      <w:bookmarkEnd w:id="78981"/>
      <w:r>
        <w:rPr>
          <w:rFonts w:hint="cs"/>
          <w:rtl/>
        </w:rPr>
        <w:t xml:space="preserve">הלכו </w:t>
      </w:r>
      <w:bookmarkStart w:id="78982" w:name="_ETM_Q155_227510"/>
      <w:bookmarkEnd w:id="78982"/>
      <w:r>
        <w:rPr>
          <w:rFonts w:hint="cs"/>
          <w:rtl/>
        </w:rPr>
        <w:t xml:space="preserve">לגור </w:t>
      </w:r>
      <w:bookmarkStart w:id="78983" w:name="_ETM_Q155_227890"/>
      <w:bookmarkEnd w:id="78983"/>
      <w:r>
        <w:rPr>
          <w:rFonts w:hint="cs"/>
          <w:rtl/>
        </w:rPr>
        <w:t xml:space="preserve">במקום </w:t>
      </w:r>
      <w:bookmarkStart w:id="78984" w:name="_ETM_Q155_228370"/>
      <w:bookmarkStart w:id="78985" w:name="_ETM_Q155_229059"/>
      <w:bookmarkEnd w:id="78984"/>
      <w:bookmarkEnd w:id="78985"/>
      <w:r>
        <w:rPr>
          <w:rFonts w:hint="cs"/>
          <w:rtl/>
        </w:rPr>
        <w:t xml:space="preserve">שבו ממשלות </w:t>
      </w:r>
      <w:bookmarkStart w:id="78986" w:name="_ETM_Q155_229630"/>
      <w:bookmarkEnd w:id="78986"/>
      <w:r>
        <w:rPr>
          <w:rFonts w:hint="cs"/>
          <w:rtl/>
        </w:rPr>
        <w:t xml:space="preserve">הימין </w:t>
      </w:r>
      <w:bookmarkStart w:id="78987" w:name="_ETM_Q155_230050"/>
      <w:bookmarkEnd w:id="78987"/>
      <w:r>
        <w:rPr>
          <w:rFonts w:hint="cs"/>
          <w:rtl/>
        </w:rPr>
        <w:t xml:space="preserve">של נתניהו </w:t>
      </w:r>
      <w:bookmarkStart w:id="78988" w:name="_ETM_Q155_230770"/>
      <w:bookmarkEnd w:id="78988"/>
      <w:r>
        <w:rPr>
          <w:rFonts w:hint="cs"/>
          <w:rtl/>
        </w:rPr>
        <w:t xml:space="preserve">נתנו </w:t>
      </w:r>
      <w:bookmarkStart w:id="78989" w:name="_ETM_Q155_231070"/>
      <w:bookmarkEnd w:id="78989"/>
      <w:r>
        <w:rPr>
          <w:rFonts w:hint="cs"/>
          <w:rtl/>
        </w:rPr>
        <w:t xml:space="preserve">להם </w:t>
      </w:r>
      <w:bookmarkStart w:id="78990" w:name="_ETM_Q155_231280"/>
      <w:bookmarkEnd w:id="78990"/>
      <w:r>
        <w:rPr>
          <w:rFonts w:hint="cs"/>
          <w:rtl/>
        </w:rPr>
        <w:t xml:space="preserve">דירות </w:t>
      </w:r>
      <w:bookmarkStart w:id="78991" w:name="_ETM_Q155_231670"/>
      <w:bookmarkEnd w:id="78991"/>
      <w:r>
        <w:rPr>
          <w:rFonts w:hint="cs"/>
          <w:rtl/>
        </w:rPr>
        <w:t xml:space="preserve">זולות; </w:t>
      </w:r>
      <w:bookmarkStart w:id="78992" w:name="_ETM_Q155_232540"/>
      <w:bookmarkEnd w:id="78992"/>
      <w:r>
        <w:rPr>
          <w:rFonts w:hint="cs"/>
          <w:rtl/>
        </w:rPr>
        <w:t xml:space="preserve">כאלה </w:t>
      </w:r>
      <w:bookmarkStart w:id="78993" w:name="_ETM_Q155_232930"/>
      <w:bookmarkEnd w:id="78993"/>
      <w:r>
        <w:rPr>
          <w:rFonts w:hint="cs"/>
          <w:rtl/>
        </w:rPr>
        <w:t xml:space="preserve">שאפשר </w:t>
      </w:r>
      <w:bookmarkStart w:id="78994" w:name="_ETM_Q155_233980"/>
      <w:bookmarkEnd w:id="78994"/>
      <w:r>
        <w:rPr>
          <w:rFonts w:hint="cs"/>
          <w:rtl/>
        </w:rPr>
        <w:t xml:space="preserve">בכלל </w:t>
      </w:r>
      <w:bookmarkStart w:id="78995" w:name="_ETM_Q155_234370"/>
      <w:bookmarkEnd w:id="78995"/>
      <w:r>
        <w:rPr>
          <w:rFonts w:hint="cs"/>
          <w:rtl/>
        </w:rPr>
        <w:t>להשיג.</w:t>
      </w:r>
    </w:p>
    <w:p w:rsidR="00BB59CD" w:rsidRDefault="00BB59CD" w:rsidP="00BB59CD">
      <w:pPr>
        <w:rPr>
          <w:rtl/>
        </w:rPr>
      </w:pPr>
    </w:p>
    <w:p w:rsidR="00BB59CD" w:rsidRDefault="00BB59CD" w:rsidP="00BB59CD">
      <w:pPr>
        <w:pStyle w:val="af8"/>
        <w:keepNext/>
        <w:rPr>
          <w:rtl/>
        </w:rPr>
      </w:pPr>
      <w:bookmarkStart w:id="78996" w:name="ET_interruption_6345_33"/>
      <w:r>
        <w:rPr>
          <w:rStyle w:val="TagStyle"/>
          <w:rFonts w:hint="cs"/>
          <w:rtl/>
        </w:rPr>
        <w:t xml:space="preserve">&lt;&lt; קריאה &gt;&gt; </w:t>
      </w:r>
      <w:r>
        <w:rPr>
          <w:rFonts w:hint="cs"/>
          <w:rtl/>
        </w:rPr>
        <w:t>טלי גוטליב (הליכוד):</w:t>
      </w:r>
      <w:r>
        <w:rPr>
          <w:rStyle w:val="TagStyle"/>
          <w:rtl/>
        </w:rPr>
        <w:t xml:space="preserve"> &lt;&lt; קריאה &gt;&gt;</w:t>
      </w:r>
      <w:bookmarkEnd w:id="78996"/>
      <w:r>
        <w:rPr>
          <w:rFonts w:hint="cs"/>
          <w:rtl/>
        </w:rPr>
        <w:t xml:space="preserve">   </w:t>
      </w:r>
    </w:p>
    <w:p w:rsidR="00BB59CD" w:rsidRDefault="00BB59CD" w:rsidP="00337201">
      <w:pPr>
        <w:rPr>
          <w:rtl/>
        </w:rPr>
      </w:pPr>
    </w:p>
    <w:p w:rsidR="00BB59CD" w:rsidRDefault="00BB59CD" w:rsidP="00BB59CD">
      <w:pPr>
        <w:rPr>
          <w:rtl/>
        </w:rPr>
      </w:pPr>
      <w:r>
        <w:rPr>
          <w:rFonts w:hint="cs"/>
          <w:rtl/>
        </w:rPr>
        <w:t>בזכותם את גרה במרכז - - -</w:t>
      </w:r>
    </w:p>
    <w:p w:rsidR="00BB59CD" w:rsidRDefault="00BB59CD" w:rsidP="00337201">
      <w:pPr>
        <w:rPr>
          <w:rtl/>
        </w:rPr>
      </w:pPr>
    </w:p>
    <w:p w:rsidR="00BB59CD" w:rsidRDefault="00BB59CD" w:rsidP="00BB59CD">
      <w:pPr>
        <w:pStyle w:val="-"/>
        <w:keepNext/>
        <w:rPr>
          <w:rtl/>
        </w:rPr>
      </w:pPr>
      <w:bookmarkStart w:id="78997" w:name="ET_speakercontinue_5090_34"/>
      <w:r>
        <w:rPr>
          <w:rStyle w:val="TagStyle"/>
          <w:rFonts w:hint="cs"/>
          <w:rtl/>
        </w:rPr>
        <w:t xml:space="preserve">&lt;&lt; דובר_המשך &gt;&gt; </w:t>
      </w:r>
      <w:r>
        <w:rPr>
          <w:rFonts w:hint="cs"/>
          <w:rtl/>
        </w:rPr>
        <w:t>מרב מיכאלי (העבודה):</w:t>
      </w:r>
      <w:r>
        <w:rPr>
          <w:rStyle w:val="TagStyle"/>
          <w:rtl/>
        </w:rPr>
        <w:t xml:space="preserve"> &lt;&lt; דובר_המשך &gt;&gt;</w:t>
      </w:r>
      <w:bookmarkEnd w:id="78997"/>
      <w:r>
        <w:rPr>
          <w:rFonts w:hint="cs"/>
          <w:rtl/>
        </w:rPr>
        <w:t xml:space="preserve">   </w:t>
      </w:r>
    </w:p>
    <w:p w:rsidR="00BB59CD" w:rsidRDefault="00BB59CD" w:rsidP="00337201">
      <w:pPr>
        <w:rPr>
          <w:rtl/>
        </w:rPr>
      </w:pPr>
    </w:p>
    <w:p w:rsidR="00BB59CD" w:rsidRDefault="00BB59CD" w:rsidP="00BB59CD">
      <w:pPr>
        <w:rPr>
          <w:rtl/>
        </w:rPr>
      </w:pPr>
      <w:bookmarkStart w:id="78998" w:name="_ETM_Q155_237480"/>
      <w:bookmarkEnd w:id="78998"/>
      <w:r>
        <w:rPr>
          <w:rFonts w:hint="cs"/>
          <w:rtl/>
        </w:rPr>
        <w:t xml:space="preserve">והשלט </w:t>
      </w:r>
      <w:bookmarkStart w:id="78999" w:name="_ETM_Q155_238260"/>
      <w:bookmarkEnd w:id="78999"/>
      <w:r>
        <w:rPr>
          <w:rFonts w:hint="cs"/>
          <w:rtl/>
        </w:rPr>
        <w:t xml:space="preserve">הגדול </w:t>
      </w:r>
      <w:bookmarkStart w:id="79000" w:name="_ETM_Q155_239460"/>
      <w:bookmarkEnd w:id="79000"/>
      <w:r>
        <w:rPr>
          <w:rFonts w:hint="cs"/>
          <w:rtl/>
        </w:rPr>
        <w:t xml:space="preserve">בהפגנה </w:t>
      </w:r>
      <w:bookmarkStart w:id="79001" w:name="_ETM_Q155_240329"/>
      <w:bookmarkEnd w:id="79001"/>
      <w:r>
        <w:rPr>
          <w:rFonts w:hint="cs"/>
          <w:rtl/>
        </w:rPr>
        <w:t xml:space="preserve">הזאת </w:t>
      </w:r>
      <w:bookmarkStart w:id="79002" w:name="_ETM_Q155_240570"/>
      <w:bookmarkEnd w:id="79002"/>
      <w:r>
        <w:rPr>
          <w:rFonts w:hint="cs"/>
          <w:rtl/>
        </w:rPr>
        <w:t xml:space="preserve">אתמול </w:t>
      </w:r>
      <w:bookmarkStart w:id="79003" w:name="_ETM_Q155_241620"/>
      <w:bookmarkEnd w:id="79003"/>
      <w:r>
        <w:rPr>
          <w:rFonts w:hint="cs"/>
          <w:rtl/>
        </w:rPr>
        <w:t xml:space="preserve">חושף </w:t>
      </w:r>
      <w:bookmarkStart w:id="79004" w:name="_ETM_Q155_242160"/>
      <w:bookmarkEnd w:id="79004"/>
      <w:r>
        <w:rPr>
          <w:rFonts w:hint="cs"/>
          <w:rtl/>
        </w:rPr>
        <w:t xml:space="preserve">את </w:t>
      </w:r>
      <w:bookmarkStart w:id="79005" w:name="_ETM_Q155_242309"/>
      <w:bookmarkEnd w:id="79005"/>
      <w:r>
        <w:rPr>
          <w:rFonts w:hint="cs"/>
          <w:rtl/>
        </w:rPr>
        <w:t xml:space="preserve">כל </w:t>
      </w:r>
      <w:bookmarkStart w:id="79006" w:name="_ETM_Q155_242670"/>
      <w:bookmarkEnd w:id="79006"/>
      <w:r>
        <w:rPr>
          <w:rFonts w:hint="cs"/>
          <w:rtl/>
        </w:rPr>
        <w:t xml:space="preserve">האמת </w:t>
      </w:r>
      <w:bookmarkStart w:id="79007" w:name="_ETM_Q155_243090"/>
      <w:bookmarkEnd w:id="79007"/>
      <w:r>
        <w:rPr>
          <w:rFonts w:hint="cs"/>
          <w:rtl/>
        </w:rPr>
        <w:t xml:space="preserve">כולה </w:t>
      </w:r>
      <w:bookmarkStart w:id="79008" w:name="_ETM_Q155_243870"/>
      <w:bookmarkEnd w:id="79008"/>
      <w:r>
        <w:rPr>
          <w:rFonts w:hint="cs"/>
          <w:rtl/>
        </w:rPr>
        <w:t xml:space="preserve">מאחורי </w:t>
      </w:r>
      <w:bookmarkStart w:id="79009" w:name="_ETM_Q155_244709"/>
      <w:bookmarkEnd w:id="79009"/>
      <w:r>
        <w:rPr>
          <w:rFonts w:hint="cs"/>
          <w:rtl/>
        </w:rPr>
        <w:t xml:space="preserve">ההפיכה </w:t>
      </w:r>
      <w:bookmarkStart w:id="79010" w:name="_ETM_Q155_245640"/>
      <w:bookmarkEnd w:id="79010"/>
      <w:r>
        <w:rPr>
          <w:rFonts w:hint="cs"/>
          <w:rtl/>
        </w:rPr>
        <w:t xml:space="preserve">השלטונית </w:t>
      </w:r>
      <w:bookmarkStart w:id="79011" w:name="_ETM_Q155_246569"/>
      <w:bookmarkEnd w:id="79011"/>
      <w:r>
        <w:rPr>
          <w:rFonts w:hint="cs"/>
          <w:rtl/>
        </w:rPr>
        <w:t xml:space="preserve">המשטרית </w:t>
      </w:r>
      <w:bookmarkStart w:id="79012" w:name="_ETM_Q155_247229"/>
      <w:bookmarkEnd w:id="79012"/>
      <w:r>
        <w:rPr>
          <w:rFonts w:hint="cs"/>
          <w:rtl/>
        </w:rPr>
        <w:t xml:space="preserve">הזאת: </w:t>
      </w:r>
      <w:bookmarkStart w:id="79013" w:name="_ETM_Q155_248810"/>
      <w:bookmarkEnd w:id="79013"/>
      <w:r>
        <w:rPr>
          <w:rFonts w:hint="cs"/>
          <w:rtl/>
        </w:rPr>
        <w:t xml:space="preserve">גוש </w:t>
      </w:r>
      <w:bookmarkStart w:id="79014" w:name="_ETM_Q155_249380"/>
      <w:bookmarkEnd w:id="79014"/>
      <w:r>
        <w:rPr>
          <w:rFonts w:hint="cs"/>
          <w:rtl/>
        </w:rPr>
        <w:t xml:space="preserve">קטיף, </w:t>
      </w:r>
      <w:bookmarkStart w:id="79015" w:name="_ETM_Q155_249979"/>
      <w:bookmarkEnd w:id="79015"/>
      <w:r>
        <w:rPr>
          <w:rFonts w:hint="cs"/>
          <w:rtl/>
        </w:rPr>
        <w:t xml:space="preserve">חוזרים </w:t>
      </w:r>
      <w:bookmarkStart w:id="79016" w:name="_ETM_Q155_250459"/>
      <w:bookmarkEnd w:id="79016"/>
      <w:r>
        <w:rPr>
          <w:rFonts w:hint="cs"/>
          <w:rtl/>
        </w:rPr>
        <w:t xml:space="preserve">הביתה. </w:t>
      </w:r>
      <w:bookmarkStart w:id="79017" w:name="_ETM_Q155_252390"/>
      <w:bookmarkEnd w:id="79017"/>
      <w:r>
        <w:rPr>
          <w:rFonts w:hint="cs"/>
          <w:rtl/>
        </w:rPr>
        <w:t xml:space="preserve">ממש </w:t>
      </w:r>
      <w:bookmarkStart w:id="79018" w:name="_ETM_Q155_253450"/>
      <w:bookmarkEnd w:id="79018"/>
      <w:r>
        <w:rPr>
          <w:rFonts w:hint="cs"/>
          <w:rtl/>
        </w:rPr>
        <w:t xml:space="preserve">בקליפת </w:t>
      </w:r>
      <w:bookmarkStart w:id="79019" w:name="_ETM_Q155_254260"/>
      <w:bookmarkEnd w:id="79019"/>
      <w:r>
        <w:rPr>
          <w:rFonts w:hint="cs"/>
          <w:rtl/>
        </w:rPr>
        <w:t xml:space="preserve">אגוז, </w:t>
      </w:r>
      <w:bookmarkStart w:id="79020" w:name="_ETM_Q155_254800"/>
      <w:bookmarkEnd w:id="79020"/>
      <w:r>
        <w:rPr>
          <w:rFonts w:hint="cs"/>
          <w:rtl/>
        </w:rPr>
        <w:t xml:space="preserve">בשלט </w:t>
      </w:r>
      <w:bookmarkStart w:id="79021" w:name="_ETM_Q155_255340"/>
      <w:bookmarkEnd w:id="79021"/>
      <w:r>
        <w:rPr>
          <w:rFonts w:hint="cs"/>
          <w:rtl/>
        </w:rPr>
        <w:t xml:space="preserve">אחד, </w:t>
      </w:r>
      <w:bookmarkStart w:id="79022" w:name="_ETM_Q155_255730"/>
      <w:bookmarkEnd w:id="79022"/>
      <w:r>
        <w:rPr>
          <w:rFonts w:hint="cs"/>
          <w:rtl/>
        </w:rPr>
        <w:t xml:space="preserve">כל </w:t>
      </w:r>
      <w:bookmarkStart w:id="79023" w:name="_ETM_Q155_255970"/>
      <w:bookmarkEnd w:id="79023"/>
      <w:r>
        <w:rPr>
          <w:rFonts w:hint="cs"/>
          <w:rtl/>
        </w:rPr>
        <w:t xml:space="preserve">הסיפור </w:t>
      </w:r>
      <w:bookmarkStart w:id="79024" w:name="_ETM_Q155_256420"/>
      <w:bookmarkEnd w:id="79024"/>
      <w:r>
        <w:rPr>
          <w:rFonts w:hint="cs"/>
          <w:rtl/>
        </w:rPr>
        <w:t xml:space="preserve">כולו. </w:t>
      </w:r>
      <w:bookmarkStart w:id="79025" w:name="_ETM_Q155_257909"/>
      <w:bookmarkEnd w:id="79025"/>
      <w:r>
        <w:rPr>
          <w:rFonts w:hint="cs"/>
          <w:rtl/>
        </w:rPr>
        <w:t xml:space="preserve">גוש </w:t>
      </w:r>
      <w:bookmarkStart w:id="79026" w:name="_ETM_Q155_258390"/>
      <w:bookmarkEnd w:id="79026"/>
      <w:r>
        <w:rPr>
          <w:rFonts w:hint="cs"/>
          <w:rtl/>
        </w:rPr>
        <w:t xml:space="preserve">קטיף, </w:t>
      </w:r>
      <w:bookmarkStart w:id="79027" w:name="_ETM_Q155_258810"/>
      <w:bookmarkEnd w:id="79027"/>
      <w:r>
        <w:rPr>
          <w:rFonts w:hint="cs"/>
          <w:rtl/>
        </w:rPr>
        <w:t xml:space="preserve">חוזרים </w:t>
      </w:r>
      <w:bookmarkStart w:id="79028" w:name="_ETM_Q155_259200"/>
      <w:bookmarkEnd w:id="79028"/>
      <w:r>
        <w:rPr>
          <w:rFonts w:hint="cs"/>
          <w:rtl/>
        </w:rPr>
        <w:t>הביתה.</w:t>
      </w:r>
    </w:p>
    <w:p w:rsidR="00BB59CD" w:rsidRDefault="00BB59CD" w:rsidP="00BB59CD">
      <w:pPr>
        <w:rPr>
          <w:rtl/>
        </w:rPr>
      </w:pPr>
      <w:bookmarkStart w:id="79029" w:name="_ETM_Q155_263200"/>
      <w:bookmarkStart w:id="79030" w:name="_ETM_Q155_263287"/>
      <w:bookmarkEnd w:id="79029"/>
      <w:bookmarkEnd w:id="79030"/>
    </w:p>
    <w:p w:rsidR="00BB59CD" w:rsidRDefault="00BB59CD" w:rsidP="00BB59CD">
      <w:pPr>
        <w:rPr>
          <w:rtl/>
        </w:rPr>
      </w:pPr>
      <w:bookmarkStart w:id="79031" w:name="_ETM_Q155_263346"/>
      <w:bookmarkStart w:id="79032" w:name="_ETM_Q155_263433"/>
      <w:bookmarkStart w:id="79033" w:name="_ETM_Q155_260790"/>
      <w:bookmarkEnd w:id="79031"/>
      <w:bookmarkEnd w:id="79032"/>
      <w:bookmarkEnd w:id="79033"/>
      <w:r>
        <w:rPr>
          <w:rFonts w:hint="cs"/>
          <w:rtl/>
        </w:rPr>
        <w:t xml:space="preserve">נחליש, </w:t>
      </w:r>
      <w:bookmarkStart w:id="79034" w:name="_ETM_Q155_262369"/>
      <w:bookmarkEnd w:id="79034"/>
      <w:r>
        <w:rPr>
          <w:rFonts w:hint="cs"/>
          <w:rtl/>
        </w:rPr>
        <w:t xml:space="preserve">נהפוך </w:t>
      </w:r>
      <w:bookmarkStart w:id="79035" w:name="_ETM_Q155_263030"/>
      <w:bookmarkEnd w:id="79035"/>
      <w:r>
        <w:rPr>
          <w:rFonts w:hint="cs"/>
          <w:rtl/>
        </w:rPr>
        <w:t xml:space="preserve">את </w:t>
      </w:r>
      <w:bookmarkStart w:id="79036" w:name="_ETM_Q155_263180"/>
      <w:bookmarkEnd w:id="79036"/>
      <w:r>
        <w:rPr>
          <w:rFonts w:hint="cs"/>
          <w:rtl/>
        </w:rPr>
        <w:t xml:space="preserve">בית </w:t>
      </w:r>
      <w:bookmarkStart w:id="79037" w:name="_ETM_Q155_263450"/>
      <w:bookmarkEnd w:id="79037"/>
      <w:r>
        <w:rPr>
          <w:rFonts w:hint="cs"/>
          <w:rtl/>
        </w:rPr>
        <w:t xml:space="preserve">המשפט </w:t>
      </w:r>
      <w:bookmarkStart w:id="79038" w:name="_ETM_Q155_263929"/>
      <w:bookmarkEnd w:id="79038"/>
      <w:r>
        <w:rPr>
          <w:rFonts w:hint="cs"/>
          <w:rtl/>
        </w:rPr>
        <w:t xml:space="preserve">העליון </w:t>
      </w:r>
      <w:bookmarkStart w:id="79039" w:name="_ETM_Q155_264350"/>
      <w:bookmarkEnd w:id="79039"/>
      <w:r>
        <w:rPr>
          <w:rFonts w:hint="cs"/>
          <w:rtl/>
        </w:rPr>
        <w:t xml:space="preserve">לכזה </w:t>
      </w:r>
      <w:bookmarkStart w:id="79040" w:name="_ETM_Q155_264740"/>
      <w:bookmarkEnd w:id="79040"/>
      <w:r>
        <w:rPr>
          <w:rFonts w:hint="cs"/>
          <w:rtl/>
        </w:rPr>
        <w:t xml:space="preserve">שלא </w:t>
      </w:r>
      <w:bookmarkStart w:id="79041" w:name="_ETM_Q155_265009"/>
      <w:bookmarkEnd w:id="79041"/>
      <w:r>
        <w:rPr>
          <w:rFonts w:hint="cs"/>
          <w:rtl/>
        </w:rPr>
        <w:t xml:space="preserve">יכול </w:t>
      </w:r>
      <w:bookmarkStart w:id="79042" w:name="_ETM_Q155_265459"/>
      <w:bookmarkEnd w:id="79042"/>
      <w:r>
        <w:rPr>
          <w:rFonts w:hint="cs"/>
          <w:rtl/>
        </w:rPr>
        <w:t xml:space="preserve">לעמוד </w:t>
      </w:r>
      <w:bookmarkStart w:id="79043" w:name="_ETM_Q155_266640"/>
      <w:bookmarkEnd w:id="79043"/>
      <w:r>
        <w:rPr>
          <w:rFonts w:hint="cs"/>
          <w:rtl/>
        </w:rPr>
        <w:t xml:space="preserve">ולחצוץ </w:t>
      </w:r>
      <w:bookmarkStart w:id="79044" w:name="_ETM_Q155_268240"/>
      <w:bookmarkEnd w:id="79044"/>
      <w:r>
        <w:rPr>
          <w:rFonts w:hint="cs"/>
          <w:rtl/>
        </w:rPr>
        <w:t xml:space="preserve">בין </w:t>
      </w:r>
      <w:bookmarkStart w:id="79045" w:name="_ETM_Q155_268540"/>
      <w:bookmarkEnd w:id="79045"/>
      <w:r>
        <w:rPr>
          <w:rFonts w:hint="cs"/>
          <w:rtl/>
        </w:rPr>
        <w:t xml:space="preserve">הכוח </w:t>
      </w:r>
      <w:bookmarkStart w:id="79046" w:name="_ETM_Q155_269140"/>
      <w:bookmarkEnd w:id="79046"/>
      <w:r>
        <w:rPr>
          <w:rFonts w:hint="cs"/>
          <w:rtl/>
        </w:rPr>
        <w:t xml:space="preserve">המתנחלי, </w:t>
      </w:r>
      <w:bookmarkStart w:id="79047" w:name="_ETM_Q155_269890"/>
      <w:bookmarkEnd w:id="79047"/>
      <w:r>
        <w:rPr>
          <w:rFonts w:hint="cs"/>
          <w:rtl/>
        </w:rPr>
        <w:t xml:space="preserve">המשיחי, </w:t>
      </w:r>
      <w:bookmarkStart w:id="79048" w:name="_ETM_Q155_271420"/>
      <w:bookmarkEnd w:id="79048"/>
      <w:r>
        <w:rPr>
          <w:rFonts w:hint="cs"/>
          <w:rtl/>
        </w:rPr>
        <w:t xml:space="preserve">שפועל </w:t>
      </w:r>
      <w:bookmarkStart w:id="79049" w:name="_ETM_Q155_272110"/>
      <w:bookmarkEnd w:id="79049"/>
      <w:r>
        <w:rPr>
          <w:rFonts w:hint="cs"/>
          <w:rtl/>
        </w:rPr>
        <w:t xml:space="preserve">לחיסול </w:t>
      </w:r>
      <w:bookmarkStart w:id="79050" w:name="_ETM_Q155_272709"/>
      <w:bookmarkEnd w:id="79050"/>
      <w:r>
        <w:rPr>
          <w:rFonts w:hint="cs"/>
          <w:rtl/>
        </w:rPr>
        <w:t xml:space="preserve">מדינת </w:t>
      </w:r>
      <w:bookmarkStart w:id="79051" w:name="_ETM_Q155_273159"/>
      <w:bookmarkEnd w:id="79051"/>
      <w:r>
        <w:rPr>
          <w:rFonts w:hint="cs"/>
          <w:rtl/>
        </w:rPr>
        <w:t xml:space="preserve">ישראל </w:t>
      </w:r>
      <w:bookmarkStart w:id="79052" w:name="_ETM_Q155_273640"/>
      <w:bookmarkEnd w:id="79052"/>
      <w:r>
        <w:rPr>
          <w:rFonts w:hint="cs"/>
          <w:rtl/>
        </w:rPr>
        <w:t xml:space="preserve">לטובת </w:t>
      </w:r>
      <w:bookmarkStart w:id="79053" w:name="_ETM_Q155_274630"/>
      <w:bookmarkEnd w:id="79053"/>
      <w:r>
        <w:rPr>
          <w:rFonts w:hint="cs"/>
          <w:rtl/>
        </w:rPr>
        <w:t xml:space="preserve">מדינה </w:t>
      </w:r>
      <w:bookmarkStart w:id="79054" w:name="_ETM_Q155_276060"/>
      <w:bookmarkEnd w:id="79054"/>
      <w:r>
        <w:rPr>
          <w:rFonts w:hint="cs"/>
          <w:rtl/>
        </w:rPr>
        <w:t xml:space="preserve">דו-לאומית, יחד </w:t>
      </w:r>
      <w:bookmarkStart w:id="79055" w:name="_ETM_Q155_278590"/>
      <w:bookmarkEnd w:id="79055"/>
      <w:r>
        <w:rPr>
          <w:rFonts w:hint="cs"/>
          <w:rtl/>
        </w:rPr>
        <w:t xml:space="preserve">עם </w:t>
      </w:r>
      <w:bookmarkStart w:id="79056" w:name="_ETM_Q155_278679"/>
      <w:bookmarkEnd w:id="79056"/>
      <w:r>
        <w:rPr>
          <w:rFonts w:hint="cs"/>
          <w:rtl/>
        </w:rPr>
        <w:t xml:space="preserve">יהודה </w:t>
      </w:r>
      <w:bookmarkStart w:id="79057" w:name="_ETM_Q155_279039"/>
      <w:bookmarkEnd w:id="79057"/>
      <w:r>
        <w:rPr>
          <w:rFonts w:hint="cs"/>
          <w:rtl/>
        </w:rPr>
        <w:t>ושומרון - - -</w:t>
      </w:r>
    </w:p>
    <w:p w:rsidR="00BB59CD" w:rsidRDefault="00BB59CD" w:rsidP="00BB59CD">
      <w:pPr>
        <w:rPr>
          <w:rtl/>
        </w:rPr>
      </w:pPr>
      <w:bookmarkStart w:id="79058" w:name="_ETM_Q155_279340"/>
      <w:bookmarkStart w:id="79059" w:name="_ETM_Q155_279447"/>
      <w:bookmarkEnd w:id="79058"/>
      <w:bookmarkEnd w:id="79059"/>
    </w:p>
    <w:p w:rsidR="00BB59CD" w:rsidRDefault="00BB59CD" w:rsidP="00BB59CD">
      <w:pPr>
        <w:pStyle w:val="af8"/>
        <w:keepNext/>
        <w:rPr>
          <w:rtl/>
        </w:rPr>
      </w:pPr>
      <w:bookmarkStart w:id="79060" w:name="ET_interruption_6345_35"/>
      <w:r>
        <w:rPr>
          <w:rStyle w:val="TagStyle"/>
          <w:rFonts w:hint="cs"/>
          <w:rtl/>
        </w:rPr>
        <w:t xml:space="preserve">&lt;&lt; קריאה &gt;&gt; </w:t>
      </w:r>
      <w:r>
        <w:rPr>
          <w:rFonts w:hint="cs"/>
          <w:rtl/>
        </w:rPr>
        <w:t>טלי גוטליב (הליכוד):</w:t>
      </w:r>
      <w:r>
        <w:rPr>
          <w:rStyle w:val="TagStyle"/>
          <w:rtl/>
        </w:rPr>
        <w:t xml:space="preserve"> &lt;&lt; קריאה &gt;&gt;</w:t>
      </w:r>
      <w:bookmarkEnd w:id="79060"/>
      <w:r>
        <w:rPr>
          <w:rFonts w:hint="cs"/>
          <w:rtl/>
        </w:rPr>
        <w:t xml:space="preserve">   </w:t>
      </w:r>
    </w:p>
    <w:p w:rsidR="00BB59CD" w:rsidRDefault="00BB59CD" w:rsidP="00337201">
      <w:pPr>
        <w:rPr>
          <w:rtl/>
        </w:rPr>
      </w:pPr>
    </w:p>
    <w:p w:rsidR="00BB59CD" w:rsidRDefault="00BB59CD" w:rsidP="00BB59CD">
      <w:pPr>
        <w:rPr>
          <w:rtl/>
        </w:rPr>
      </w:pPr>
      <w:bookmarkStart w:id="79061" w:name="_ETM_Q155_277299"/>
      <w:bookmarkEnd w:id="79061"/>
      <w:r>
        <w:rPr>
          <w:rFonts w:hint="cs"/>
          <w:rtl/>
        </w:rPr>
        <w:t>בעזרת</w:t>
      </w:r>
      <w:bookmarkStart w:id="79062" w:name="_ETM_Q155_277749"/>
      <w:bookmarkEnd w:id="79062"/>
      <w:r>
        <w:rPr>
          <w:rFonts w:hint="cs"/>
          <w:rtl/>
        </w:rPr>
        <w:t xml:space="preserve"> השם </w:t>
      </w:r>
      <w:bookmarkStart w:id="79063" w:name="_ETM_Q155_278139"/>
      <w:bookmarkStart w:id="79064" w:name="_ETM_Q155_275279"/>
      <w:bookmarkStart w:id="79065" w:name="_ETM_Q155_275332"/>
      <w:bookmarkEnd w:id="79063"/>
      <w:bookmarkEnd w:id="79064"/>
      <w:bookmarkEnd w:id="79065"/>
      <w:r w:rsidR="00F1749F">
        <w:rPr>
          <w:rFonts w:hint="cs"/>
          <w:rtl/>
        </w:rPr>
        <w:t>ב</w:t>
      </w:r>
      <w:r>
        <w:rPr>
          <w:rFonts w:hint="cs"/>
          <w:rtl/>
        </w:rPr>
        <w:t xml:space="preserve">קדנציה הבאה המפלגה שלך מחוקה, </w:t>
      </w:r>
      <w:bookmarkStart w:id="79066" w:name="_ETM_Q155_278107"/>
      <w:bookmarkEnd w:id="79066"/>
      <w:r>
        <w:rPr>
          <w:rFonts w:hint="cs"/>
          <w:rtl/>
        </w:rPr>
        <w:t>ברוך השם.</w:t>
      </w:r>
    </w:p>
    <w:p w:rsidR="00BB59CD" w:rsidRDefault="00BB59CD" w:rsidP="00BB59CD">
      <w:pPr>
        <w:rPr>
          <w:rtl/>
        </w:rPr>
      </w:pPr>
    </w:p>
    <w:p w:rsidR="00BB59CD" w:rsidRDefault="00BB59CD" w:rsidP="00BB59CD">
      <w:pPr>
        <w:pStyle w:val="-"/>
        <w:keepNext/>
        <w:rPr>
          <w:rtl/>
        </w:rPr>
      </w:pPr>
      <w:bookmarkStart w:id="79067" w:name="ET_speakercontinue_5090_20"/>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79067"/>
    </w:p>
    <w:p w:rsidR="00BB59CD" w:rsidRDefault="00BB59CD" w:rsidP="00337201">
      <w:pPr>
        <w:rPr>
          <w:rtl/>
        </w:rPr>
      </w:pPr>
    </w:p>
    <w:p w:rsidR="00BB59CD" w:rsidRDefault="00BB59CD" w:rsidP="00F1749F">
      <w:pPr>
        <w:rPr>
          <w:rtl/>
        </w:rPr>
      </w:pPr>
      <w:bookmarkStart w:id="79068" w:name="_ETM_Q155_280329"/>
      <w:bookmarkEnd w:id="79068"/>
      <w:r>
        <w:rPr>
          <w:rFonts w:hint="cs"/>
          <w:rtl/>
        </w:rPr>
        <w:t xml:space="preserve">הכוח </w:t>
      </w:r>
      <w:bookmarkStart w:id="79069" w:name="_ETM_Q155_283439"/>
      <w:bookmarkEnd w:id="79069"/>
      <w:r>
        <w:rPr>
          <w:rFonts w:hint="cs"/>
          <w:rtl/>
        </w:rPr>
        <w:t xml:space="preserve">המרכזי </w:t>
      </w:r>
      <w:bookmarkStart w:id="79070" w:name="_ETM_Q155_284189"/>
      <w:bookmarkEnd w:id="79070"/>
      <w:r>
        <w:rPr>
          <w:rFonts w:hint="cs"/>
          <w:rtl/>
        </w:rPr>
        <w:t xml:space="preserve">שעמד </w:t>
      </w:r>
      <w:bookmarkStart w:id="79071" w:name="_ETM_Q155_284759"/>
      <w:bookmarkEnd w:id="79071"/>
      <w:r>
        <w:rPr>
          <w:rFonts w:hint="cs"/>
          <w:rtl/>
        </w:rPr>
        <w:t xml:space="preserve">וחסם </w:t>
      </w:r>
      <w:bookmarkStart w:id="79072" w:name="_ETM_Q155_285389"/>
      <w:bookmarkEnd w:id="79072"/>
      <w:r>
        <w:rPr>
          <w:rFonts w:hint="cs"/>
          <w:rtl/>
        </w:rPr>
        <w:t xml:space="preserve">את </w:t>
      </w:r>
      <w:bookmarkStart w:id="79073" w:name="_ETM_Q155_285509"/>
      <w:bookmarkEnd w:id="79073"/>
      <w:r>
        <w:rPr>
          <w:rFonts w:hint="cs"/>
          <w:rtl/>
        </w:rPr>
        <w:t xml:space="preserve">הדבר </w:t>
      </w:r>
      <w:bookmarkStart w:id="79074" w:name="_ETM_Q155_285869"/>
      <w:bookmarkEnd w:id="79074"/>
      <w:r>
        <w:rPr>
          <w:rFonts w:hint="cs"/>
          <w:rtl/>
        </w:rPr>
        <w:t xml:space="preserve">הזה </w:t>
      </w:r>
      <w:bookmarkStart w:id="79075" w:name="_ETM_Q155_286139"/>
      <w:bookmarkEnd w:id="79075"/>
      <w:r>
        <w:rPr>
          <w:rFonts w:hint="cs"/>
          <w:rtl/>
        </w:rPr>
        <w:t xml:space="preserve">עד </w:t>
      </w:r>
      <w:bookmarkStart w:id="79076" w:name="_ETM_Q155_286350"/>
      <w:bookmarkEnd w:id="79076"/>
      <w:r>
        <w:rPr>
          <w:rFonts w:hint="cs"/>
          <w:rtl/>
        </w:rPr>
        <w:t xml:space="preserve">היום – </w:t>
      </w:r>
      <w:bookmarkStart w:id="79077" w:name="_ETM_Q155_288500"/>
      <w:bookmarkEnd w:id="79077"/>
      <w:r>
        <w:rPr>
          <w:rFonts w:hint="cs"/>
          <w:rtl/>
        </w:rPr>
        <w:t xml:space="preserve">זה </w:t>
      </w:r>
      <w:bookmarkStart w:id="79078" w:name="_ETM_Q155_288740"/>
      <w:bookmarkEnd w:id="79078"/>
      <w:r>
        <w:rPr>
          <w:rFonts w:hint="cs"/>
          <w:rtl/>
        </w:rPr>
        <w:t xml:space="preserve">הסיפור: </w:t>
      </w:r>
      <w:bookmarkStart w:id="79079" w:name="_ETM_Q155_289970"/>
      <w:bookmarkEnd w:id="79079"/>
      <w:r>
        <w:rPr>
          <w:rFonts w:hint="cs"/>
          <w:rtl/>
        </w:rPr>
        <w:t xml:space="preserve">להפיל </w:t>
      </w:r>
      <w:bookmarkStart w:id="79080" w:name="_ETM_Q155_290510"/>
      <w:bookmarkEnd w:id="79080"/>
      <w:r>
        <w:rPr>
          <w:rFonts w:hint="cs"/>
          <w:rtl/>
        </w:rPr>
        <w:t xml:space="preserve">את </w:t>
      </w:r>
      <w:bookmarkStart w:id="79081" w:name="_ETM_Q155_290630"/>
      <w:bookmarkEnd w:id="79081"/>
      <w:r>
        <w:rPr>
          <w:rFonts w:hint="cs"/>
          <w:rtl/>
        </w:rPr>
        <w:t xml:space="preserve">בית </w:t>
      </w:r>
      <w:bookmarkStart w:id="79082" w:name="_ETM_Q155_290930"/>
      <w:bookmarkEnd w:id="79082"/>
      <w:r>
        <w:rPr>
          <w:rFonts w:hint="cs"/>
          <w:rtl/>
        </w:rPr>
        <w:t xml:space="preserve">המשפט </w:t>
      </w:r>
      <w:bookmarkStart w:id="79083" w:name="_ETM_Q155_292300"/>
      <w:bookmarkEnd w:id="79083"/>
      <w:r>
        <w:rPr>
          <w:rFonts w:hint="cs"/>
          <w:rtl/>
        </w:rPr>
        <w:t xml:space="preserve">כדי </w:t>
      </w:r>
      <w:bookmarkStart w:id="79084" w:name="_ETM_Q155_292960"/>
      <w:bookmarkEnd w:id="79084"/>
      <w:r>
        <w:rPr>
          <w:rFonts w:hint="cs"/>
          <w:rtl/>
        </w:rPr>
        <w:t xml:space="preserve">להפוך </w:t>
      </w:r>
      <w:bookmarkStart w:id="79085" w:name="_ETM_Q155_293470"/>
      <w:bookmarkEnd w:id="79085"/>
      <w:r>
        <w:rPr>
          <w:rFonts w:hint="cs"/>
          <w:rtl/>
        </w:rPr>
        <w:t xml:space="preserve">את </w:t>
      </w:r>
      <w:bookmarkStart w:id="79086" w:name="_ETM_Q155_293620"/>
      <w:bookmarkEnd w:id="79086"/>
      <w:r>
        <w:rPr>
          <w:rFonts w:hint="cs"/>
          <w:rtl/>
        </w:rPr>
        <w:t xml:space="preserve">ההתנחלויות, </w:t>
      </w:r>
      <w:bookmarkStart w:id="79087" w:name="_ETM_Q155_296869"/>
      <w:bookmarkEnd w:id="79087"/>
      <w:r>
        <w:rPr>
          <w:rFonts w:hint="cs"/>
          <w:rtl/>
        </w:rPr>
        <w:t xml:space="preserve">שהן כבר </w:t>
      </w:r>
      <w:bookmarkStart w:id="79088" w:name="_ETM_Q155_297710"/>
      <w:bookmarkEnd w:id="79088"/>
      <w:r>
        <w:rPr>
          <w:rFonts w:hint="cs"/>
          <w:rtl/>
        </w:rPr>
        <w:t xml:space="preserve">היום </w:t>
      </w:r>
      <w:bookmarkStart w:id="79089" w:name="_ETM_Q155_298310"/>
      <w:bookmarkStart w:id="79090" w:name="_ETM_Q155_298640"/>
      <w:bookmarkEnd w:id="79089"/>
      <w:bookmarkEnd w:id="79090"/>
      <w:r>
        <w:rPr>
          <w:rFonts w:hint="cs"/>
          <w:rtl/>
        </w:rPr>
        <w:t>ה-</w:t>
      </w:r>
      <w:r>
        <w:t>VIP</w:t>
      </w:r>
      <w:r>
        <w:rPr>
          <w:rtl/>
        </w:rPr>
        <w:t xml:space="preserve"> </w:t>
      </w:r>
      <w:bookmarkStart w:id="79091" w:name="_ETM_Q155_298970"/>
      <w:bookmarkEnd w:id="79091"/>
      <w:r>
        <w:rPr>
          <w:rFonts w:hint="cs"/>
          <w:rtl/>
        </w:rPr>
        <w:t xml:space="preserve">של </w:t>
      </w:r>
      <w:bookmarkStart w:id="79092" w:name="_ETM_Q155_299150"/>
      <w:bookmarkEnd w:id="79092"/>
      <w:r>
        <w:rPr>
          <w:rFonts w:hint="cs"/>
          <w:rtl/>
        </w:rPr>
        <w:t xml:space="preserve">מדינת </w:t>
      </w:r>
      <w:bookmarkStart w:id="79093" w:name="_ETM_Q155_299600"/>
      <w:bookmarkEnd w:id="79093"/>
      <w:r>
        <w:rPr>
          <w:rFonts w:hint="cs"/>
          <w:rtl/>
        </w:rPr>
        <w:t xml:space="preserve">ישראל, </w:t>
      </w:r>
      <w:bookmarkStart w:id="79094" w:name="_ETM_Q155_300140"/>
      <w:bookmarkEnd w:id="79094"/>
      <w:r>
        <w:rPr>
          <w:rFonts w:hint="cs"/>
          <w:rtl/>
        </w:rPr>
        <w:t xml:space="preserve">האוכלוסיות </w:t>
      </w:r>
      <w:bookmarkStart w:id="79095" w:name="_ETM_Q155_300740"/>
      <w:bookmarkEnd w:id="79095"/>
      <w:r>
        <w:rPr>
          <w:rFonts w:hint="cs"/>
          <w:rtl/>
        </w:rPr>
        <w:t xml:space="preserve">הכי </w:t>
      </w:r>
      <w:bookmarkStart w:id="79096" w:name="_ETM_Q155_300950"/>
      <w:bookmarkEnd w:id="79096"/>
      <w:r>
        <w:rPr>
          <w:rFonts w:hint="cs"/>
          <w:rtl/>
        </w:rPr>
        <w:t xml:space="preserve">פריבילגיות </w:t>
      </w:r>
      <w:bookmarkStart w:id="79097" w:name="_ETM_Q155_302150"/>
      <w:bookmarkEnd w:id="79097"/>
      <w:r w:rsidR="00F1749F">
        <w:rPr>
          <w:rFonts w:hint="eastAsia"/>
          <w:rtl/>
        </w:rPr>
        <w:t>–</w:t>
      </w:r>
      <w:r w:rsidR="00F1749F">
        <w:rPr>
          <w:rFonts w:hint="cs"/>
          <w:rtl/>
        </w:rPr>
        <w:t xml:space="preserve"> </w:t>
      </w:r>
      <w:r>
        <w:rPr>
          <w:rFonts w:hint="cs"/>
          <w:rtl/>
        </w:rPr>
        <w:t xml:space="preserve">שמקבלות </w:t>
      </w:r>
      <w:bookmarkStart w:id="79098" w:name="_ETM_Q155_302810"/>
      <w:bookmarkEnd w:id="79098"/>
      <w:r>
        <w:rPr>
          <w:rFonts w:hint="cs"/>
          <w:rtl/>
        </w:rPr>
        <w:t xml:space="preserve">את </w:t>
      </w:r>
      <w:bookmarkStart w:id="79099" w:name="_ETM_Q155_302930"/>
      <w:bookmarkEnd w:id="79099"/>
      <w:r>
        <w:rPr>
          <w:rFonts w:hint="cs"/>
          <w:rtl/>
        </w:rPr>
        <w:t xml:space="preserve">מדינת </w:t>
      </w:r>
      <w:bookmarkStart w:id="79100" w:name="_ETM_Q155_303409"/>
      <w:bookmarkEnd w:id="79100"/>
      <w:r>
        <w:rPr>
          <w:rFonts w:hint="cs"/>
          <w:rtl/>
        </w:rPr>
        <w:t xml:space="preserve">הרווחה </w:t>
      </w:r>
      <w:bookmarkStart w:id="79101" w:name="_ETM_Q155_303860"/>
      <w:bookmarkEnd w:id="79101"/>
      <w:r>
        <w:rPr>
          <w:rFonts w:hint="cs"/>
          <w:rtl/>
        </w:rPr>
        <w:t xml:space="preserve">שאף </w:t>
      </w:r>
      <w:bookmarkStart w:id="79102" w:name="_ETM_Q155_304220"/>
      <w:bookmarkEnd w:id="79102"/>
      <w:r>
        <w:rPr>
          <w:rFonts w:hint="cs"/>
          <w:rtl/>
        </w:rPr>
        <w:t xml:space="preserve">אחד </w:t>
      </w:r>
      <w:bookmarkStart w:id="79103" w:name="_ETM_Q155_304460"/>
      <w:bookmarkEnd w:id="79103"/>
      <w:r>
        <w:rPr>
          <w:rFonts w:hint="cs"/>
          <w:rtl/>
        </w:rPr>
        <w:t xml:space="preserve">אחר </w:t>
      </w:r>
      <w:bookmarkStart w:id="79104" w:name="_ETM_Q155_304729"/>
      <w:bookmarkEnd w:id="79104"/>
      <w:r>
        <w:rPr>
          <w:rFonts w:hint="cs"/>
          <w:rtl/>
        </w:rPr>
        <w:t xml:space="preserve">לא </w:t>
      </w:r>
      <w:bookmarkStart w:id="79105" w:name="_ETM_Q155_304880"/>
      <w:bookmarkEnd w:id="79105"/>
      <w:r>
        <w:rPr>
          <w:rFonts w:hint="cs"/>
          <w:rtl/>
        </w:rPr>
        <w:t xml:space="preserve">נהנה </w:t>
      </w:r>
      <w:bookmarkStart w:id="79106" w:name="_ETM_Q155_305180"/>
      <w:bookmarkEnd w:id="79106"/>
      <w:r>
        <w:rPr>
          <w:rFonts w:hint="cs"/>
          <w:rtl/>
        </w:rPr>
        <w:t xml:space="preserve">ממנה; </w:t>
      </w:r>
      <w:bookmarkStart w:id="79107" w:name="_ETM_Q155_306229"/>
      <w:bookmarkEnd w:id="79107"/>
      <w:r>
        <w:rPr>
          <w:rFonts w:hint="cs"/>
          <w:rtl/>
        </w:rPr>
        <w:t xml:space="preserve">שמקבלות </w:t>
      </w:r>
      <w:bookmarkStart w:id="79108" w:name="_ETM_Q155_306890"/>
      <w:bookmarkEnd w:id="79108"/>
      <w:r>
        <w:rPr>
          <w:rFonts w:hint="cs"/>
          <w:rtl/>
        </w:rPr>
        <w:t xml:space="preserve">תנאים </w:t>
      </w:r>
      <w:bookmarkStart w:id="79109" w:name="_ETM_Q155_307430"/>
      <w:bookmarkEnd w:id="79109"/>
      <w:r>
        <w:rPr>
          <w:rFonts w:hint="cs"/>
          <w:rtl/>
        </w:rPr>
        <w:t xml:space="preserve">מפליגים </w:t>
      </w:r>
      <w:bookmarkStart w:id="79110" w:name="_ETM_Q155_308780"/>
      <w:bookmarkEnd w:id="79110"/>
      <w:r>
        <w:rPr>
          <w:rFonts w:hint="cs"/>
          <w:rtl/>
        </w:rPr>
        <w:t xml:space="preserve">בכל </w:t>
      </w:r>
      <w:bookmarkStart w:id="79111" w:name="_ETM_Q155_309200"/>
      <w:bookmarkEnd w:id="79111"/>
      <w:r>
        <w:rPr>
          <w:rFonts w:hint="cs"/>
          <w:rtl/>
        </w:rPr>
        <w:t xml:space="preserve">דבר </w:t>
      </w:r>
      <w:bookmarkStart w:id="79112" w:name="_ETM_Q155_309560"/>
      <w:bookmarkEnd w:id="79112"/>
      <w:r>
        <w:rPr>
          <w:rFonts w:hint="cs"/>
          <w:rtl/>
        </w:rPr>
        <w:t xml:space="preserve">ועניין; </w:t>
      </w:r>
      <w:bookmarkStart w:id="79113" w:name="_ETM_Q155_310130"/>
      <w:bookmarkStart w:id="79114" w:name="_ETM_Q155_310580"/>
      <w:bookmarkStart w:id="79115" w:name="_ETM_Q155_311190"/>
      <w:bookmarkEnd w:id="79113"/>
      <w:bookmarkEnd w:id="79114"/>
      <w:bookmarkEnd w:id="79115"/>
      <w:r>
        <w:rPr>
          <w:rFonts w:hint="cs"/>
          <w:rtl/>
        </w:rPr>
        <w:t xml:space="preserve">שיכולות </w:t>
      </w:r>
      <w:bookmarkStart w:id="79116" w:name="_ETM_Q155_311550"/>
      <w:bookmarkEnd w:id="79116"/>
      <w:r>
        <w:rPr>
          <w:rFonts w:hint="cs"/>
          <w:rtl/>
        </w:rPr>
        <w:t xml:space="preserve">לעבור </w:t>
      </w:r>
      <w:bookmarkStart w:id="79117" w:name="_ETM_Q155_311850"/>
      <w:bookmarkEnd w:id="79117"/>
      <w:r>
        <w:rPr>
          <w:rFonts w:hint="cs"/>
          <w:rtl/>
        </w:rPr>
        <w:t xml:space="preserve">על </w:t>
      </w:r>
      <w:bookmarkStart w:id="79118" w:name="_ETM_Q155_311940"/>
      <w:bookmarkEnd w:id="79118"/>
      <w:r>
        <w:rPr>
          <w:rFonts w:hint="cs"/>
          <w:rtl/>
        </w:rPr>
        <w:t xml:space="preserve">החוק </w:t>
      </w:r>
      <w:bookmarkStart w:id="79119" w:name="_ETM_Q155_312510"/>
      <w:bookmarkEnd w:id="79119"/>
      <w:r>
        <w:rPr>
          <w:rFonts w:hint="cs"/>
          <w:rtl/>
        </w:rPr>
        <w:t xml:space="preserve">כל </w:t>
      </w:r>
      <w:bookmarkStart w:id="79120" w:name="_ETM_Q155_312780"/>
      <w:bookmarkEnd w:id="79120"/>
      <w:r>
        <w:rPr>
          <w:rFonts w:hint="cs"/>
          <w:rtl/>
        </w:rPr>
        <w:t xml:space="preserve">הזמן, </w:t>
      </w:r>
      <w:bookmarkStart w:id="79121" w:name="_ETM_Q155_313710"/>
      <w:bookmarkEnd w:id="79121"/>
      <w:r>
        <w:rPr>
          <w:rFonts w:hint="cs"/>
          <w:rtl/>
        </w:rPr>
        <w:t xml:space="preserve">לבזוז </w:t>
      </w:r>
      <w:bookmarkStart w:id="79122" w:name="_ETM_Q155_314820"/>
      <w:bookmarkEnd w:id="79122"/>
      <w:r>
        <w:rPr>
          <w:rFonts w:hint="cs"/>
          <w:rtl/>
        </w:rPr>
        <w:t xml:space="preserve">ולגנוב </w:t>
      </w:r>
      <w:bookmarkStart w:id="79123" w:name="_ETM_Q155_315419"/>
      <w:bookmarkEnd w:id="79123"/>
      <w:r>
        <w:rPr>
          <w:rFonts w:hint="cs"/>
          <w:rtl/>
        </w:rPr>
        <w:t>אדמות</w:t>
      </w:r>
      <w:r w:rsidR="00F1749F">
        <w:rPr>
          <w:rFonts w:hint="cs"/>
          <w:rtl/>
        </w:rPr>
        <w:t>.</w:t>
      </w:r>
    </w:p>
    <w:p w:rsidR="00BB59CD" w:rsidRDefault="00BB59CD" w:rsidP="00BB59CD">
      <w:pPr>
        <w:rPr>
          <w:rt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תתביישי לך.</w:t>
      </w:r>
    </w:p>
    <w:p w:rsidR="00BB59CD" w:rsidRDefault="00BB59CD" w:rsidP="00BB59CD">
      <w:pPr>
        <w:rPr>
          <w:rtl/>
        </w:rPr>
      </w:pPr>
      <w:bookmarkStart w:id="79124" w:name="_ETM_Q155_314846"/>
      <w:bookmarkStart w:id="79125" w:name="_ETM_Q155_314903"/>
      <w:bookmarkEnd w:id="79124"/>
      <w:bookmarkEnd w:id="79125"/>
    </w:p>
    <w:p w:rsidR="00BB59CD" w:rsidRDefault="00BB59CD" w:rsidP="00BB59CD">
      <w:pPr>
        <w:pStyle w:val="-"/>
        <w:keepNext/>
        <w:rPr>
          <w:rtl/>
        </w:rPr>
      </w:pPr>
      <w:bookmarkStart w:id="79126" w:name="ET_speakercontinue_5090_22"/>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79126"/>
    </w:p>
    <w:p w:rsidR="00BB59CD" w:rsidRDefault="00BB59CD" w:rsidP="00337201">
      <w:pPr>
        <w:rPr>
          <w:rtl/>
        </w:rPr>
      </w:pPr>
      <w:bookmarkStart w:id="79127" w:name="_ETM_Q155_315443"/>
      <w:bookmarkEnd w:id="79127"/>
    </w:p>
    <w:p w:rsidR="00BB59CD" w:rsidRDefault="00BB59CD" w:rsidP="00BB59CD">
      <w:pPr>
        <w:rPr>
          <w:rtl/>
        </w:rPr>
      </w:pPr>
      <w:bookmarkStart w:id="79128" w:name="_ETM_Q155_316459"/>
      <w:bookmarkStart w:id="79129" w:name="_ETM_Q155_317239"/>
      <w:bookmarkEnd w:id="79128"/>
      <w:bookmarkEnd w:id="79129"/>
      <w:r>
        <w:rPr>
          <w:rFonts w:hint="cs"/>
          <w:rtl/>
        </w:rPr>
        <w:t xml:space="preserve">לעלות </w:t>
      </w:r>
      <w:bookmarkStart w:id="79130" w:name="_ETM_Q155_317780"/>
      <w:bookmarkEnd w:id="79130"/>
      <w:r>
        <w:rPr>
          <w:rFonts w:hint="cs"/>
          <w:rtl/>
        </w:rPr>
        <w:t xml:space="preserve">עם </w:t>
      </w:r>
      <w:bookmarkStart w:id="79131" w:name="_ETM_Q155_317930"/>
      <w:bookmarkEnd w:id="79131"/>
      <w:r>
        <w:t>D9</w:t>
      </w:r>
      <w:r>
        <w:rPr>
          <w:rtl/>
        </w:rPr>
        <w:t xml:space="preserve"> </w:t>
      </w:r>
      <w:bookmarkStart w:id="79132" w:name="_ETM_Q155_318380"/>
      <w:bookmarkStart w:id="79133" w:name="_ETM_Q155_318500"/>
      <w:bookmarkEnd w:id="79132"/>
      <w:bookmarkEnd w:id="79133"/>
      <w:r>
        <w:rPr>
          <w:rFonts w:hint="cs"/>
          <w:rtl/>
        </w:rPr>
        <w:t xml:space="preserve">על </w:t>
      </w:r>
      <w:bookmarkStart w:id="79134" w:name="_ETM_Q155_318590"/>
      <w:bookmarkEnd w:id="79134"/>
      <w:r>
        <w:rPr>
          <w:rFonts w:hint="cs"/>
          <w:rtl/>
        </w:rPr>
        <w:t xml:space="preserve">בית </w:t>
      </w:r>
      <w:bookmarkStart w:id="79135" w:name="_ETM_Q155_318830"/>
      <w:bookmarkEnd w:id="79135"/>
      <w:r>
        <w:rPr>
          <w:rFonts w:hint="cs"/>
          <w:rtl/>
        </w:rPr>
        <w:t xml:space="preserve">המשפט </w:t>
      </w:r>
      <w:bookmarkStart w:id="79136" w:name="_ETM_Q155_319280"/>
      <w:bookmarkEnd w:id="79136"/>
      <w:r>
        <w:rPr>
          <w:rFonts w:hint="cs"/>
          <w:rtl/>
        </w:rPr>
        <w:t xml:space="preserve">העליון. </w:t>
      </w:r>
      <w:bookmarkStart w:id="79137" w:name="_ETM_Q155_319760"/>
      <w:bookmarkEnd w:id="79137"/>
      <w:r>
        <w:rPr>
          <w:rFonts w:hint="cs"/>
          <w:rtl/>
        </w:rPr>
        <w:t xml:space="preserve">הינה </w:t>
      </w:r>
      <w:bookmarkStart w:id="79138" w:name="_ETM_Q155_320030"/>
      <w:bookmarkEnd w:id="79138"/>
      <w:r>
        <w:rPr>
          <w:rFonts w:hint="cs"/>
          <w:rtl/>
        </w:rPr>
        <w:t xml:space="preserve">זה </w:t>
      </w:r>
      <w:bookmarkStart w:id="79139" w:name="_ETM_Q155_320180"/>
      <w:bookmarkEnd w:id="79139"/>
      <w:r>
        <w:rPr>
          <w:rFonts w:hint="cs"/>
          <w:rtl/>
        </w:rPr>
        <w:t>מגיע. ה-</w:t>
      </w:r>
      <w:r>
        <w:t>D9</w:t>
      </w:r>
      <w:r>
        <w:rPr>
          <w:rFonts w:hint="cs"/>
          <w:rtl/>
        </w:rPr>
        <w:t xml:space="preserve"> </w:t>
      </w:r>
      <w:bookmarkStart w:id="79140" w:name="_ETM_Q155_321780"/>
      <w:bookmarkEnd w:id="79140"/>
      <w:r>
        <w:rPr>
          <w:rFonts w:hint="cs"/>
          <w:rtl/>
        </w:rPr>
        <w:t xml:space="preserve">סוף </w:t>
      </w:r>
      <w:bookmarkStart w:id="79141" w:name="_ETM_Q155_322049"/>
      <w:bookmarkEnd w:id="79141"/>
      <w:r>
        <w:rPr>
          <w:rFonts w:hint="cs"/>
          <w:rtl/>
        </w:rPr>
        <w:t xml:space="preserve">סוף </w:t>
      </w:r>
      <w:bookmarkStart w:id="79142" w:name="_ETM_Q155_322290"/>
      <w:bookmarkEnd w:id="79142"/>
      <w:r>
        <w:rPr>
          <w:rFonts w:hint="cs"/>
          <w:rtl/>
        </w:rPr>
        <w:t>מגיע.</w:t>
      </w:r>
    </w:p>
    <w:p w:rsidR="00BB59CD" w:rsidRDefault="00BB59CD" w:rsidP="00BB59CD">
      <w:pPr>
        <w:rPr>
          <w:rtl/>
        </w:rPr>
      </w:pPr>
    </w:p>
    <w:p w:rsidR="00BB59CD" w:rsidRDefault="00BB59CD" w:rsidP="00BB59CD">
      <w:pPr>
        <w:pStyle w:val="af8"/>
        <w:keepNext/>
        <w:rPr>
          <w:rtl/>
        </w:rPr>
      </w:pPr>
      <w:bookmarkStart w:id="79143" w:name="_ETM_Q155_316382"/>
      <w:bookmarkStart w:id="79144" w:name="_ETM_Q155_316428"/>
      <w:bookmarkStart w:id="79145" w:name="ET_interruption_6345_37"/>
      <w:bookmarkEnd w:id="79143"/>
      <w:bookmarkEnd w:id="79144"/>
      <w:r>
        <w:rPr>
          <w:rStyle w:val="TagStyle"/>
          <w:rFonts w:hint="cs"/>
          <w:rtl/>
        </w:rPr>
        <w:t xml:space="preserve">&lt;&lt; קריאה &gt;&gt; </w:t>
      </w:r>
      <w:r>
        <w:rPr>
          <w:rFonts w:hint="cs"/>
          <w:rtl/>
        </w:rPr>
        <w:t>טלי גוטליב (הליכוד):</w:t>
      </w:r>
      <w:r>
        <w:rPr>
          <w:rStyle w:val="TagStyle"/>
          <w:rtl/>
        </w:rPr>
        <w:t xml:space="preserve"> &lt;&lt; קריאה &gt;&gt;</w:t>
      </w:r>
      <w:bookmarkEnd w:id="79145"/>
      <w:r>
        <w:rPr>
          <w:rFonts w:hint="cs"/>
          <w:rtl/>
        </w:rPr>
        <w:t xml:space="preserve">   </w:t>
      </w:r>
    </w:p>
    <w:p w:rsidR="00BB59CD" w:rsidRDefault="00BB59CD" w:rsidP="00337201">
      <w:pPr>
        <w:rPr>
          <w:rtl/>
        </w:rPr>
      </w:pPr>
    </w:p>
    <w:p w:rsidR="00BB59CD" w:rsidRDefault="00BB59CD" w:rsidP="00BB59CD">
      <w:pPr>
        <w:rPr>
          <w:rtl/>
        </w:rPr>
      </w:pPr>
      <w:bookmarkStart w:id="79146" w:name="_ETM_Q155_317309"/>
      <w:bookmarkStart w:id="79147" w:name="_ETM_Q155_317361"/>
      <w:bookmarkEnd w:id="79146"/>
      <w:bookmarkEnd w:id="79147"/>
      <w:r>
        <w:rPr>
          <w:rFonts w:hint="cs"/>
          <w:rtl/>
        </w:rPr>
        <w:t xml:space="preserve">תתביישי לך איך שאת </w:t>
      </w:r>
      <w:bookmarkStart w:id="79148" w:name="_ETM_Q155_322526"/>
      <w:bookmarkEnd w:id="79148"/>
      <w:r>
        <w:rPr>
          <w:rFonts w:hint="cs"/>
          <w:rtl/>
        </w:rPr>
        <w:t xml:space="preserve">מדברת על אנשים מההתיישבות. תתביישי לך - - </w:t>
      </w:r>
      <w:bookmarkStart w:id="79149" w:name="_ETM_Q155_343206"/>
      <w:bookmarkEnd w:id="79149"/>
      <w:r>
        <w:rPr>
          <w:rFonts w:hint="cs"/>
          <w:rtl/>
        </w:rPr>
        <w:t>-</w:t>
      </w:r>
    </w:p>
    <w:p w:rsidR="00BB59CD" w:rsidRDefault="00BB59CD" w:rsidP="00BB59CD">
      <w:pPr>
        <w:rPr>
          <w:rtl/>
        </w:rPr>
      </w:pPr>
      <w:bookmarkStart w:id="79150" w:name="_ETM_Q155_320913"/>
      <w:bookmarkStart w:id="79151" w:name="_ETM_Q155_320924"/>
      <w:bookmarkEnd w:id="79150"/>
      <w:bookmarkEnd w:id="79151"/>
      <w:r>
        <w:rPr>
          <w:rFonts w:hint="cs"/>
          <w:rtl/>
        </w:rPr>
        <w:t xml:space="preserve"> </w:t>
      </w:r>
    </w:p>
    <w:p w:rsidR="00BB59CD" w:rsidRDefault="00BB59CD" w:rsidP="00BB59CD">
      <w:pPr>
        <w:pStyle w:val="-"/>
        <w:keepNext/>
        <w:rPr>
          <w:rtl/>
        </w:rPr>
      </w:pPr>
      <w:bookmarkStart w:id="79152" w:name="ET_speakercontinue_5090_23"/>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79152"/>
    </w:p>
    <w:p w:rsidR="00BB59CD" w:rsidRDefault="00BB59CD" w:rsidP="00337201">
      <w:pPr>
        <w:rPr>
          <w:rtl/>
        </w:rPr>
      </w:pPr>
    </w:p>
    <w:p w:rsidR="00BB59CD" w:rsidRDefault="00BB59CD" w:rsidP="00BB59CD">
      <w:pPr>
        <w:rPr>
          <w:rtl/>
        </w:rPr>
      </w:pPr>
      <w:r>
        <w:rPr>
          <w:rFonts w:hint="cs"/>
          <w:rtl/>
        </w:rPr>
        <w:t>שלושה</w:t>
      </w:r>
      <w:bookmarkStart w:id="79153" w:name="_ETM_Q155_323999"/>
      <w:bookmarkEnd w:id="79153"/>
      <w:r>
        <w:rPr>
          <w:rFonts w:hint="cs"/>
          <w:rtl/>
        </w:rPr>
        <w:t xml:space="preserve"> </w:t>
      </w:r>
      <w:bookmarkStart w:id="79154" w:name="_ETM_Q155_324569"/>
      <w:bookmarkEnd w:id="79154"/>
      <w:r>
        <w:rPr>
          <w:rFonts w:hint="cs"/>
          <w:rtl/>
        </w:rPr>
        <w:t xml:space="preserve">אינטרסים </w:t>
      </w:r>
      <w:bookmarkStart w:id="79155" w:name="_ETM_Q155_325079"/>
      <w:bookmarkEnd w:id="79155"/>
      <w:r>
        <w:rPr>
          <w:rFonts w:hint="cs"/>
          <w:rtl/>
        </w:rPr>
        <w:t xml:space="preserve">מניעים </w:t>
      </w:r>
      <w:bookmarkStart w:id="79156" w:name="_ETM_Q155_325680"/>
      <w:bookmarkEnd w:id="79156"/>
      <w:r>
        <w:rPr>
          <w:rFonts w:hint="cs"/>
          <w:rtl/>
        </w:rPr>
        <w:t xml:space="preserve">את </w:t>
      </w:r>
      <w:bookmarkStart w:id="79157" w:name="_ETM_Q155_325859"/>
      <w:bookmarkEnd w:id="79157"/>
      <w:r>
        <w:rPr>
          <w:rFonts w:hint="cs"/>
          <w:rtl/>
        </w:rPr>
        <w:t xml:space="preserve">ההפיכה </w:t>
      </w:r>
      <w:bookmarkStart w:id="79158" w:name="_ETM_Q155_326310"/>
      <w:bookmarkEnd w:id="79158"/>
      <w:r>
        <w:rPr>
          <w:rFonts w:hint="cs"/>
          <w:rtl/>
        </w:rPr>
        <w:t xml:space="preserve">המשטרתית </w:t>
      </w:r>
      <w:bookmarkStart w:id="79159" w:name="_ETM_Q155_326819"/>
      <w:bookmarkEnd w:id="79159"/>
      <w:r>
        <w:rPr>
          <w:rFonts w:hint="cs"/>
          <w:rtl/>
        </w:rPr>
        <w:t xml:space="preserve">הזאת: </w:t>
      </w:r>
      <w:bookmarkStart w:id="79160" w:name="_ETM_Q155_327650"/>
      <w:bookmarkEnd w:id="79160"/>
      <w:r>
        <w:rPr>
          <w:rFonts w:hint="cs"/>
          <w:rtl/>
        </w:rPr>
        <w:t xml:space="preserve">האחת, </w:t>
      </w:r>
      <w:bookmarkStart w:id="79161" w:name="_ETM_Q155_329030"/>
      <w:bookmarkEnd w:id="79161"/>
      <w:r>
        <w:rPr>
          <w:rFonts w:hint="cs"/>
          <w:rtl/>
        </w:rPr>
        <w:t xml:space="preserve">ההתנחלויות </w:t>
      </w:r>
      <w:bookmarkStart w:id="79162" w:name="_ETM_Q155_329930"/>
      <w:bookmarkEnd w:id="79162"/>
      <w:r>
        <w:rPr>
          <w:rFonts w:hint="cs"/>
          <w:rtl/>
        </w:rPr>
        <w:t xml:space="preserve">המשיחיות </w:t>
      </w:r>
      <w:bookmarkStart w:id="79163" w:name="_ETM_Q155_330740"/>
      <w:bookmarkEnd w:id="79163"/>
      <w:r>
        <w:rPr>
          <w:rFonts w:hint="cs"/>
          <w:rtl/>
        </w:rPr>
        <w:t xml:space="preserve">הדתיות – </w:t>
      </w:r>
      <w:bookmarkStart w:id="79164" w:name="_ETM_Q155_332069"/>
      <w:bookmarkEnd w:id="79164"/>
      <w:r>
        <w:rPr>
          <w:rFonts w:hint="cs"/>
          <w:rtl/>
        </w:rPr>
        <w:t xml:space="preserve">פרויקט </w:t>
      </w:r>
      <w:bookmarkStart w:id="79165" w:name="_ETM_Q155_332639"/>
      <w:bookmarkEnd w:id="79165"/>
      <w:r>
        <w:rPr>
          <w:rFonts w:hint="cs"/>
          <w:rtl/>
        </w:rPr>
        <w:t>שכשל</w:t>
      </w:r>
      <w:bookmarkStart w:id="79166" w:name="_ETM_Q155_333870"/>
      <w:bookmarkEnd w:id="79166"/>
      <w:r>
        <w:rPr>
          <w:rFonts w:hint="cs"/>
          <w:rtl/>
        </w:rPr>
        <w:t xml:space="preserve">, פשוט </w:t>
      </w:r>
      <w:bookmarkStart w:id="79167" w:name="_ETM_Q155_335129"/>
      <w:bookmarkEnd w:id="79167"/>
      <w:r>
        <w:rPr>
          <w:rFonts w:hint="cs"/>
          <w:rtl/>
        </w:rPr>
        <w:t xml:space="preserve">כישלון </w:t>
      </w:r>
      <w:bookmarkStart w:id="79168" w:name="_ETM_Q155_336029"/>
      <w:bookmarkEnd w:id="79168"/>
      <w:r>
        <w:rPr>
          <w:rFonts w:hint="cs"/>
          <w:rtl/>
        </w:rPr>
        <w:t xml:space="preserve">נחרץ. </w:t>
      </w:r>
      <w:bookmarkStart w:id="79169" w:name="_ETM_Q155_337190"/>
      <w:bookmarkEnd w:id="79169"/>
      <w:r>
        <w:rPr>
          <w:rFonts w:hint="cs"/>
          <w:rtl/>
        </w:rPr>
        <w:t xml:space="preserve">הישראליות </w:t>
      </w:r>
      <w:bookmarkStart w:id="79170" w:name="_ETM_Q155_337940"/>
      <w:bookmarkEnd w:id="79170"/>
      <w:r>
        <w:rPr>
          <w:rFonts w:hint="cs"/>
          <w:rtl/>
        </w:rPr>
        <w:t xml:space="preserve">והישראלים </w:t>
      </w:r>
      <w:bookmarkStart w:id="79171" w:name="_ETM_Q155_339020"/>
      <w:bookmarkEnd w:id="79171"/>
      <w:r>
        <w:rPr>
          <w:rFonts w:hint="cs"/>
          <w:rtl/>
        </w:rPr>
        <w:t xml:space="preserve">לא </w:t>
      </w:r>
      <w:bookmarkStart w:id="79172" w:name="_ETM_Q155_339230"/>
      <w:bookmarkEnd w:id="79172"/>
      <w:r>
        <w:rPr>
          <w:rFonts w:hint="cs"/>
          <w:rtl/>
        </w:rPr>
        <w:t xml:space="preserve">תומכים </w:t>
      </w:r>
      <w:bookmarkStart w:id="79173" w:name="_ETM_Q155_339710"/>
      <w:bookmarkEnd w:id="79173"/>
      <w:r>
        <w:rPr>
          <w:rFonts w:hint="cs"/>
          <w:rtl/>
        </w:rPr>
        <w:t xml:space="preserve">בהתנחלויות, </w:t>
      </w:r>
      <w:bookmarkStart w:id="79174" w:name="_ETM_Q155_341330"/>
      <w:bookmarkEnd w:id="79174"/>
      <w:r>
        <w:rPr>
          <w:rFonts w:hint="cs"/>
          <w:rtl/>
        </w:rPr>
        <w:t xml:space="preserve">אבל </w:t>
      </w:r>
      <w:bookmarkStart w:id="79175" w:name="_ETM_Q155_341690"/>
      <w:bookmarkEnd w:id="79175"/>
      <w:r>
        <w:rPr>
          <w:rFonts w:hint="cs"/>
          <w:rtl/>
        </w:rPr>
        <w:t xml:space="preserve">אתם </w:t>
      </w:r>
      <w:bookmarkStart w:id="79176" w:name="_ETM_Q155_342020"/>
      <w:bookmarkEnd w:id="79176"/>
      <w:r>
        <w:rPr>
          <w:rFonts w:hint="cs"/>
          <w:rtl/>
        </w:rPr>
        <w:t xml:space="preserve">באים </w:t>
      </w:r>
      <w:bookmarkStart w:id="79177" w:name="_ETM_Q155_342290"/>
      <w:bookmarkEnd w:id="79177"/>
      <w:r>
        <w:rPr>
          <w:rFonts w:hint="cs"/>
          <w:rtl/>
        </w:rPr>
        <w:t xml:space="preserve">לעשות </w:t>
      </w:r>
      <w:bookmarkStart w:id="79178" w:name="_ETM_Q155_342650"/>
      <w:bookmarkEnd w:id="79178"/>
      <w:r>
        <w:rPr>
          <w:rFonts w:hint="cs"/>
          <w:rtl/>
        </w:rPr>
        <w:t xml:space="preserve">הפיכה </w:t>
      </w:r>
      <w:bookmarkStart w:id="79179" w:name="_ETM_Q155_342980"/>
      <w:bookmarkEnd w:id="79179"/>
      <w:r>
        <w:rPr>
          <w:rFonts w:hint="cs"/>
          <w:rtl/>
        </w:rPr>
        <w:t xml:space="preserve">משטרתית </w:t>
      </w:r>
      <w:bookmarkStart w:id="79180" w:name="_ETM_Q155_343490"/>
      <w:bookmarkEnd w:id="79180"/>
      <w:r>
        <w:rPr>
          <w:rFonts w:hint="cs"/>
          <w:rtl/>
        </w:rPr>
        <w:t xml:space="preserve">בשבילם. </w:t>
      </w:r>
      <w:bookmarkStart w:id="79181" w:name="_ETM_Q155_344790"/>
      <w:bookmarkEnd w:id="79181"/>
    </w:p>
    <w:p w:rsidR="00BB59CD" w:rsidRDefault="00BB59CD" w:rsidP="00BB59CD">
      <w:pPr>
        <w:rPr>
          <w:rtl/>
        </w:rPr>
      </w:pPr>
      <w:bookmarkStart w:id="79182" w:name="_ETM_Q155_346505"/>
      <w:bookmarkStart w:id="79183" w:name="_ETM_Q155_346547"/>
      <w:bookmarkEnd w:id="79182"/>
      <w:bookmarkEnd w:id="79183"/>
    </w:p>
    <w:p w:rsidR="00BB59CD" w:rsidRDefault="00BB59CD" w:rsidP="00BB59CD">
      <w:pPr>
        <w:rPr>
          <w:rtl/>
        </w:rPr>
      </w:pPr>
      <w:bookmarkStart w:id="79184" w:name="_ETM_Q155_346642"/>
      <w:bookmarkStart w:id="79185" w:name="_ETM_Q155_346690"/>
      <w:bookmarkEnd w:id="79184"/>
      <w:bookmarkEnd w:id="79185"/>
      <w:r>
        <w:rPr>
          <w:rFonts w:hint="cs"/>
          <w:rtl/>
        </w:rPr>
        <w:t xml:space="preserve">האינטרס </w:t>
      </w:r>
      <w:bookmarkStart w:id="79186" w:name="_ETM_Q155_345360"/>
      <w:bookmarkEnd w:id="79186"/>
      <w:r>
        <w:rPr>
          <w:rFonts w:hint="cs"/>
          <w:rtl/>
        </w:rPr>
        <w:t xml:space="preserve">השני </w:t>
      </w:r>
      <w:bookmarkStart w:id="79187" w:name="_ETM_Q155_346410"/>
      <w:bookmarkEnd w:id="79187"/>
      <w:r>
        <w:rPr>
          <w:rFonts w:hint="cs"/>
          <w:rtl/>
        </w:rPr>
        <w:t xml:space="preserve">הוא </w:t>
      </w:r>
      <w:bookmarkStart w:id="79188" w:name="_ETM_Q155_346590"/>
      <w:bookmarkEnd w:id="79188"/>
      <w:r>
        <w:rPr>
          <w:rFonts w:hint="cs"/>
          <w:rtl/>
        </w:rPr>
        <w:t xml:space="preserve">האינטרס </w:t>
      </w:r>
      <w:bookmarkStart w:id="79189" w:name="_ETM_Q155_347100"/>
      <w:bookmarkEnd w:id="79189"/>
      <w:r>
        <w:rPr>
          <w:rFonts w:hint="cs"/>
          <w:rtl/>
        </w:rPr>
        <w:t xml:space="preserve">החרדי: </w:t>
      </w:r>
      <w:bookmarkStart w:id="79190" w:name="_ETM_Q155_348030"/>
      <w:bookmarkEnd w:id="79190"/>
      <w:r>
        <w:rPr>
          <w:rFonts w:hint="cs"/>
          <w:rtl/>
        </w:rPr>
        <w:t xml:space="preserve">להמשיך </w:t>
      </w:r>
      <w:bookmarkStart w:id="79191" w:name="_ETM_Q155_348690"/>
      <w:bookmarkEnd w:id="79191"/>
      <w:r>
        <w:rPr>
          <w:rFonts w:hint="cs"/>
          <w:rtl/>
        </w:rPr>
        <w:t xml:space="preserve">את </w:t>
      </w:r>
      <w:bookmarkStart w:id="79192" w:name="_ETM_Q155_348840"/>
      <w:bookmarkEnd w:id="79192"/>
      <w:r>
        <w:rPr>
          <w:rFonts w:hint="cs"/>
          <w:rtl/>
        </w:rPr>
        <w:t xml:space="preserve">ההתבדלות, </w:t>
      </w:r>
      <w:bookmarkStart w:id="79193" w:name="_ETM_Q155_349980"/>
      <w:bookmarkEnd w:id="79193"/>
      <w:r>
        <w:rPr>
          <w:rFonts w:hint="cs"/>
          <w:rtl/>
        </w:rPr>
        <w:t xml:space="preserve">להמשיך </w:t>
      </w:r>
      <w:bookmarkStart w:id="79194" w:name="_ETM_Q155_350489"/>
      <w:bookmarkEnd w:id="79194"/>
      <w:r>
        <w:rPr>
          <w:rFonts w:hint="cs"/>
          <w:rtl/>
        </w:rPr>
        <w:t xml:space="preserve">למנוע </w:t>
      </w:r>
      <w:bookmarkStart w:id="79195" w:name="_ETM_Q155_350999"/>
      <w:bookmarkEnd w:id="79195"/>
      <w:r>
        <w:rPr>
          <w:rFonts w:hint="cs"/>
          <w:rtl/>
        </w:rPr>
        <w:t>מ</w:t>
      </w:r>
      <w:bookmarkStart w:id="79196" w:name="_ETM_Q155_351120"/>
      <w:bookmarkEnd w:id="79196"/>
      <w:r>
        <w:rPr>
          <w:rFonts w:hint="cs"/>
          <w:rtl/>
        </w:rPr>
        <w:t xml:space="preserve">הצעירות </w:t>
      </w:r>
      <w:bookmarkStart w:id="79197" w:name="_ETM_Q155_351629"/>
      <w:bookmarkEnd w:id="79197"/>
      <w:r>
        <w:rPr>
          <w:rFonts w:hint="cs"/>
          <w:rtl/>
        </w:rPr>
        <w:t xml:space="preserve">והצעירים </w:t>
      </w:r>
      <w:bookmarkStart w:id="79198" w:name="_ETM_Q155_352200"/>
      <w:bookmarkEnd w:id="79198"/>
      <w:r>
        <w:rPr>
          <w:rFonts w:hint="cs"/>
          <w:rtl/>
        </w:rPr>
        <w:t xml:space="preserve">שלכם </w:t>
      </w:r>
      <w:bookmarkStart w:id="79199" w:name="_ETM_Q155_353010"/>
      <w:bookmarkEnd w:id="79199"/>
      <w:r>
        <w:rPr>
          <w:rFonts w:hint="cs"/>
          <w:rtl/>
        </w:rPr>
        <w:t xml:space="preserve">הזדמנות </w:t>
      </w:r>
      <w:bookmarkStart w:id="79200" w:name="_ETM_Q155_353549"/>
      <w:bookmarkEnd w:id="79200"/>
      <w:r>
        <w:rPr>
          <w:rFonts w:hint="cs"/>
          <w:rtl/>
        </w:rPr>
        <w:t xml:space="preserve">שווה </w:t>
      </w:r>
      <w:bookmarkStart w:id="79201" w:name="_ETM_Q155_353819"/>
      <w:bookmarkEnd w:id="79201"/>
      <w:r>
        <w:rPr>
          <w:rFonts w:hint="cs"/>
          <w:rtl/>
        </w:rPr>
        <w:t xml:space="preserve">בחברה </w:t>
      </w:r>
      <w:bookmarkStart w:id="79202" w:name="_ETM_Q155_354239"/>
      <w:bookmarkEnd w:id="79202"/>
      <w:r>
        <w:rPr>
          <w:rFonts w:hint="cs"/>
          <w:rtl/>
        </w:rPr>
        <w:t xml:space="preserve">הישראלית; </w:t>
      </w:r>
      <w:bookmarkStart w:id="79203" w:name="_ETM_Q155_355169"/>
      <w:bookmarkEnd w:id="79203"/>
      <w:r>
        <w:rPr>
          <w:rFonts w:hint="cs"/>
          <w:rtl/>
        </w:rPr>
        <w:t xml:space="preserve">להמשיך </w:t>
      </w:r>
      <w:bookmarkStart w:id="79204" w:name="_ETM_Q155_355709"/>
      <w:bookmarkEnd w:id="79204"/>
      <w:r>
        <w:rPr>
          <w:rFonts w:hint="cs"/>
          <w:rtl/>
        </w:rPr>
        <w:t xml:space="preserve">לקבל </w:t>
      </w:r>
      <w:bookmarkStart w:id="79205" w:name="_ETM_Q155_356069"/>
      <w:bookmarkEnd w:id="79205"/>
      <w:r>
        <w:rPr>
          <w:rFonts w:hint="cs"/>
          <w:rtl/>
        </w:rPr>
        <w:t xml:space="preserve">פריבילגיות, </w:t>
      </w:r>
      <w:bookmarkStart w:id="79206" w:name="_ETM_Q155_357060"/>
      <w:bookmarkEnd w:id="79206"/>
      <w:r>
        <w:rPr>
          <w:rFonts w:hint="cs"/>
          <w:rtl/>
        </w:rPr>
        <w:t xml:space="preserve">בלי </w:t>
      </w:r>
      <w:bookmarkStart w:id="79207" w:name="_ETM_Q155_357359"/>
      <w:bookmarkEnd w:id="79207"/>
      <w:r>
        <w:rPr>
          <w:rFonts w:hint="cs"/>
          <w:rtl/>
        </w:rPr>
        <w:t xml:space="preserve">להיות </w:t>
      </w:r>
      <w:bookmarkStart w:id="79208" w:name="_ETM_Q155_357659"/>
      <w:bookmarkEnd w:id="79208"/>
      <w:r>
        <w:rPr>
          <w:rFonts w:hint="cs"/>
          <w:rtl/>
        </w:rPr>
        <w:t xml:space="preserve">שותפים </w:t>
      </w:r>
      <w:bookmarkStart w:id="79209" w:name="_ETM_Q155_358109"/>
      <w:bookmarkEnd w:id="79209"/>
      <w:r>
        <w:rPr>
          <w:rFonts w:hint="cs"/>
          <w:rtl/>
        </w:rPr>
        <w:t xml:space="preserve">בשירות. </w:t>
      </w:r>
      <w:bookmarkStart w:id="79210" w:name="_ETM_Q155_359459"/>
      <w:bookmarkEnd w:id="79210"/>
      <w:r>
        <w:rPr>
          <w:rFonts w:hint="cs"/>
          <w:rtl/>
        </w:rPr>
        <w:t xml:space="preserve">והאינטרס </w:t>
      </w:r>
      <w:bookmarkStart w:id="79211" w:name="_ETM_Q155_360120"/>
      <w:bookmarkEnd w:id="79211"/>
      <w:r>
        <w:rPr>
          <w:rFonts w:hint="cs"/>
          <w:rtl/>
        </w:rPr>
        <w:t xml:space="preserve">השלישי </w:t>
      </w:r>
      <w:bookmarkStart w:id="79212" w:name="_ETM_Q155_360599"/>
      <w:bookmarkEnd w:id="79212"/>
      <w:r>
        <w:rPr>
          <w:rFonts w:hint="cs"/>
          <w:rtl/>
        </w:rPr>
        <w:t xml:space="preserve">הוא </w:t>
      </w:r>
      <w:bookmarkStart w:id="79213" w:name="_ETM_Q155_360689"/>
      <w:bookmarkEnd w:id="79213"/>
      <w:r>
        <w:rPr>
          <w:rFonts w:hint="cs"/>
          <w:rtl/>
        </w:rPr>
        <w:t xml:space="preserve">השחיתות: </w:t>
      </w:r>
      <w:bookmarkStart w:id="79214" w:name="_ETM_Q155_361970"/>
      <w:bookmarkEnd w:id="79214"/>
      <w:r>
        <w:rPr>
          <w:rFonts w:hint="cs"/>
          <w:rtl/>
        </w:rPr>
        <w:t xml:space="preserve">השחיתות </w:t>
      </w:r>
      <w:bookmarkStart w:id="79215" w:name="_ETM_Q155_362630"/>
      <w:bookmarkEnd w:id="79215"/>
      <w:r>
        <w:rPr>
          <w:rFonts w:hint="cs"/>
          <w:rtl/>
        </w:rPr>
        <w:t xml:space="preserve">של </w:t>
      </w:r>
      <w:bookmarkStart w:id="79216" w:name="_ETM_Q155_362780"/>
      <w:bookmarkEnd w:id="79216"/>
      <w:r>
        <w:rPr>
          <w:rFonts w:hint="cs"/>
          <w:rtl/>
        </w:rPr>
        <w:t xml:space="preserve">נתניהו, </w:t>
      </w:r>
      <w:bookmarkStart w:id="79217" w:name="_ETM_Q155_363770"/>
      <w:bookmarkEnd w:id="79217"/>
      <w:r>
        <w:rPr>
          <w:rFonts w:hint="cs"/>
          <w:rtl/>
        </w:rPr>
        <w:t xml:space="preserve">השחיתות </w:t>
      </w:r>
      <w:bookmarkStart w:id="79218" w:name="_ETM_Q155_364310"/>
      <w:bookmarkEnd w:id="79218"/>
      <w:r>
        <w:rPr>
          <w:rFonts w:hint="cs"/>
          <w:rtl/>
        </w:rPr>
        <w:t xml:space="preserve">של </w:t>
      </w:r>
      <w:bookmarkStart w:id="79219" w:name="_ETM_Q155_364460"/>
      <w:bookmarkEnd w:id="79219"/>
      <w:r>
        <w:rPr>
          <w:rFonts w:hint="cs"/>
          <w:rtl/>
        </w:rPr>
        <w:t xml:space="preserve">השותפים </w:t>
      </w:r>
      <w:bookmarkStart w:id="79220" w:name="_ETM_Q155_365060"/>
      <w:bookmarkEnd w:id="79220"/>
      <w:r>
        <w:rPr>
          <w:rFonts w:hint="cs"/>
          <w:rtl/>
        </w:rPr>
        <w:t xml:space="preserve">שלו; </w:t>
      </w:r>
      <w:bookmarkStart w:id="79221" w:name="_ETM_Q155_365709"/>
      <w:bookmarkEnd w:id="79221"/>
      <w:r>
        <w:rPr>
          <w:rFonts w:hint="cs"/>
          <w:rtl/>
        </w:rPr>
        <w:t xml:space="preserve">שחיתות </w:t>
      </w:r>
      <w:bookmarkStart w:id="79222" w:name="_ETM_Q155_366220"/>
      <w:bookmarkEnd w:id="79222"/>
      <w:r>
        <w:rPr>
          <w:rFonts w:hint="cs"/>
          <w:rtl/>
        </w:rPr>
        <w:t xml:space="preserve">אישית, </w:t>
      </w:r>
      <w:bookmarkStart w:id="79223" w:name="_ETM_Q155_367060"/>
      <w:bookmarkEnd w:id="79223"/>
      <w:r>
        <w:rPr>
          <w:rFonts w:hint="cs"/>
          <w:rtl/>
        </w:rPr>
        <w:t xml:space="preserve">שחיתות </w:t>
      </w:r>
      <w:bookmarkStart w:id="79224" w:name="_ETM_Q155_367569"/>
      <w:bookmarkEnd w:id="79224"/>
      <w:r>
        <w:rPr>
          <w:rFonts w:hint="cs"/>
          <w:rtl/>
        </w:rPr>
        <w:t xml:space="preserve">מגזרית, </w:t>
      </w:r>
      <w:bookmarkStart w:id="79225" w:name="_ETM_Q155_368730"/>
      <w:bookmarkEnd w:id="79225"/>
      <w:r>
        <w:rPr>
          <w:rFonts w:hint="cs"/>
          <w:rtl/>
        </w:rPr>
        <w:t xml:space="preserve">שחיתות </w:t>
      </w:r>
      <w:bookmarkStart w:id="79226" w:name="_ETM_Q155_369240"/>
      <w:bookmarkEnd w:id="79226"/>
      <w:r>
        <w:rPr>
          <w:rFonts w:hint="cs"/>
          <w:rtl/>
        </w:rPr>
        <w:t xml:space="preserve">שמגיעה </w:t>
      </w:r>
      <w:bookmarkStart w:id="79227" w:name="_ETM_Q155_369870"/>
      <w:bookmarkEnd w:id="79227"/>
      <w:r>
        <w:rPr>
          <w:rFonts w:hint="cs"/>
          <w:rtl/>
        </w:rPr>
        <w:t xml:space="preserve">עד </w:t>
      </w:r>
      <w:bookmarkStart w:id="79228" w:name="_ETM_Q155_370169"/>
      <w:bookmarkEnd w:id="79228"/>
      <w:r>
        <w:rPr>
          <w:rFonts w:hint="cs"/>
          <w:rtl/>
        </w:rPr>
        <w:t xml:space="preserve">שיתוף </w:t>
      </w:r>
      <w:bookmarkStart w:id="79229" w:name="_ETM_Q155_370590"/>
      <w:bookmarkEnd w:id="79229"/>
      <w:r>
        <w:rPr>
          <w:rFonts w:hint="cs"/>
          <w:rtl/>
        </w:rPr>
        <w:t xml:space="preserve">פעולה </w:t>
      </w:r>
      <w:bookmarkStart w:id="79230" w:name="_ETM_Q155_371010"/>
      <w:bookmarkEnd w:id="79230"/>
      <w:r>
        <w:rPr>
          <w:rFonts w:hint="cs"/>
          <w:rtl/>
        </w:rPr>
        <w:t xml:space="preserve">עם </w:t>
      </w:r>
      <w:bookmarkStart w:id="79231" w:name="_ETM_Q155_371130"/>
      <w:bookmarkEnd w:id="79231"/>
      <w:r>
        <w:rPr>
          <w:rFonts w:hint="cs"/>
          <w:rtl/>
        </w:rPr>
        <w:t xml:space="preserve">ארגוני </w:t>
      </w:r>
      <w:bookmarkStart w:id="79232" w:name="_ETM_Q155_371580"/>
      <w:bookmarkEnd w:id="79232"/>
      <w:r>
        <w:rPr>
          <w:rFonts w:hint="cs"/>
          <w:rtl/>
        </w:rPr>
        <w:t xml:space="preserve">פשע. </w:t>
      </w:r>
      <w:bookmarkStart w:id="79233" w:name="_ETM_Q155_372880"/>
      <w:bookmarkEnd w:id="79233"/>
    </w:p>
    <w:p w:rsidR="00BB59CD" w:rsidRDefault="00BB59CD" w:rsidP="00BB59CD">
      <w:pPr>
        <w:rPr>
          <w:rtl/>
        </w:rPr>
      </w:pPr>
    </w:p>
    <w:p w:rsidR="00BB59CD" w:rsidRDefault="00BB59CD" w:rsidP="00F1749F">
      <w:pPr>
        <w:rPr>
          <w:rtl/>
        </w:rPr>
      </w:pPr>
      <w:r>
        <w:rPr>
          <w:rFonts w:hint="cs"/>
          <w:rtl/>
        </w:rPr>
        <w:t xml:space="preserve">זה </w:t>
      </w:r>
      <w:bookmarkStart w:id="79234" w:name="_ETM_Q155_373210"/>
      <w:bookmarkEnd w:id="79234"/>
      <w:r>
        <w:rPr>
          <w:rFonts w:hint="cs"/>
          <w:rtl/>
        </w:rPr>
        <w:t xml:space="preserve">הסיפור </w:t>
      </w:r>
      <w:bookmarkStart w:id="79235" w:name="_ETM_Q155_373660"/>
      <w:bookmarkEnd w:id="79235"/>
      <w:r>
        <w:rPr>
          <w:rFonts w:hint="cs"/>
          <w:rtl/>
        </w:rPr>
        <w:t xml:space="preserve">של </w:t>
      </w:r>
      <w:bookmarkStart w:id="79236" w:name="_ETM_Q155_373840"/>
      <w:bookmarkEnd w:id="79236"/>
      <w:r>
        <w:rPr>
          <w:rFonts w:hint="cs"/>
          <w:rtl/>
        </w:rPr>
        <w:t xml:space="preserve">ההפיכה </w:t>
      </w:r>
      <w:bookmarkStart w:id="79237" w:name="_ETM_Q155_374290"/>
      <w:bookmarkEnd w:id="79237"/>
      <w:r>
        <w:rPr>
          <w:rFonts w:hint="cs"/>
          <w:rtl/>
        </w:rPr>
        <w:t xml:space="preserve">המשטרתית </w:t>
      </w:r>
      <w:bookmarkStart w:id="79238" w:name="_ETM_Q155_374800"/>
      <w:bookmarkEnd w:id="79238"/>
      <w:r>
        <w:rPr>
          <w:rFonts w:hint="cs"/>
          <w:rtl/>
        </w:rPr>
        <w:t>הזאת</w:t>
      </w:r>
      <w:r w:rsidR="00E21977">
        <w:rPr>
          <w:rFonts w:hint="cs"/>
          <w:rtl/>
        </w:rPr>
        <w:t>,</w:t>
      </w:r>
      <w:r>
        <w:rPr>
          <w:rFonts w:hint="cs"/>
          <w:rtl/>
        </w:rPr>
        <w:t xml:space="preserve"> </w:t>
      </w:r>
      <w:bookmarkStart w:id="79239" w:name="_ETM_Q155_375400"/>
      <w:bookmarkEnd w:id="79239"/>
      <w:r>
        <w:rPr>
          <w:rFonts w:hint="cs"/>
          <w:rtl/>
        </w:rPr>
        <w:t xml:space="preserve">והיא </w:t>
      </w:r>
      <w:bookmarkStart w:id="79240" w:name="_ETM_Q155_375639"/>
      <w:bookmarkEnd w:id="79240"/>
      <w:r>
        <w:rPr>
          <w:rFonts w:hint="cs"/>
          <w:rtl/>
        </w:rPr>
        <w:t xml:space="preserve">מתגלמת </w:t>
      </w:r>
      <w:bookmarkStart w:id="79241" w:name="_ETM_Q155_376330"/>
      <w:bookmarkEnd w:id="79241"/>
      <w:r>
        <w:rPr>
          <w:rFonts w:hint="cs"/>
          <w:rtl/>
        </w:rPr>
        <w:t xml:space="preserve">בשלט </w:t>
      </w:r>
      <w:bookmarkStart w:id="79242" w:name="_ETM_Q155_376840"/>
      <w:bookmarkEnd w:id="79242"/>
      <w:r>
        <w:rPr>
          <w:rFonts w:hint="cs"/>
          <w:rtl/>
        </w:rPr>
        <w:t xml:space="preserve">הזה </w:t>
      </w:r>
      <w:bookmarkStart w:id="79243" w:name="_ETM_Q155_377410"/>
      <w:bookmarkEnd w:id="79243"/>
      <w:r w:rsidR="00F1749F">
        <w:rPr>
          <w:rFonts w:hint="eastAsia"/>
          <w:rtl/>
        </w:rPr>
        <w:t>–</w:t>
      </w:r>
      <w:r w:rsidR="00F1749F">
        <w:rPr>
          <w:rFonts w:hint="cs"/>
          <w:rtl/>
        </w:rPr>
        <w:t xml:space="preserve"> </w:t>
      </w:r>
      <w:r>
        <w:rPr>
          <w:rFonts w:hint="cs"/>
          <w:rtl/>
        </w:rPr>
        <w:t xml:space="preserve">גוש </w:t>
      </w:r>
      <w:bookmarkStart w:id="79244" w:name="_ETM_Q155_377830"/>
      <w:bookmarkEnd w:id="79244"/>
      <w:r>
        <w:rPr>
          <w:rFonts w:hint="cs"/>
          <w:rtl/>
        </w:rPr>
        <w:t xml:space="preserve">קטיף </w:t>
      </w:r>
      <w:bookmarkStart w:id="79245" w:name="_ETM_Q155_378250"/>
      <w:bookmarkEnd w:id="79245"/>
      <w:r>
        <w:rPr>
          <w:rFonts w:hint="cs"/>
          <w:rtl/>
        </w:rPr>
        <w:t xml:space="preserve">חוזרים </w:t>
      </w:r>
      <w:bookmarkStart w:id="79246" w:name="_ETM_Q155_378610"/>
      <w:bookmarkEnd w:id="79246"/>
      <w:r>
        <w:rPr>
          <w:rFonts w:hint="cs"/>
          <w:rtl/>
        </w:rPr>
        <w:t xml:space="preserve">הביתה </w:t>
      </w:r>
      <w:bookmarkStart w:id="79247" w:name="_ETM_Q155_379389"/>
      <w:bookmarkEnd w:id="79247"/>
      <w:r w:rsidR="00F1749F">
        <w:rPr>
          <w:rFonts w:hint="eastAsia"/>
          <w:rtl/>
        </w:rPr>
        <w:t>–</w:t>
      </w:r>
      <w:r w:rsidR="00F1749F">
        <w:rPr>
          <w:rFonts w:hint="cs"/>
          <w:rtl/>
        </w:rPr>
        <w:t xml:space="preserve"> </w:t>
      </w:r>
      <w:r>
        <w:rPr>
          <w:rFonts w:hint="cs"/>
          <w:rtl/>
        </w:rPr>
        <w:t xml:space="preserve">ולא </w:t>
      </w:r>
      <w:bookmarkStart w:id="79248" w:name="_ETM_Q155_379630"/>
      <w:bookmarkEnd w:id="79248"/>
      <w:r>
        <w:rPr>
          <w:rFonts w:hint="cs"/>
          <w:rtl/>
        </w:rPr>
        <w:t xml:space="preserve">משנה </w:t>
      </w:r>
      <w:bookmarkStart w:id="79249" w:name="_ETM_Q155_380020"/>
      <w:bookmarkEnd w:id="79249"/>
      <w:r>
        <w:rPr>
          <w:rFonts w:hint="cs"/>
          <w:rtl/>
        </w:rPr>
        <w:t xml:space="preserve">כמה </w:t>
      </w:r>
      <w:bookmarkStart w:id="79250" w:name="_ETM_Q155_380380"/>
      <w:bookmarkEnd w:id="79250"/>
      <w:r>
        <w:rPr>
          <w:rFonts w:hint="cs"/>
          <w:rtl/>
        </w:rPr>
        <w:t xml:space="preserve">חיילים </w:t>
      </w:r>
      <w:bookmarkStart w:id="79251" w:name="_ETM_Q155_381070"/>
      <w:bookmarkEnd w:id="79251"/>
      <w:r>
        <w:rPr>
          <w:rFonts w:hint="cs"/>
          <w:rtl/>
        </w:rPr>
        <w:t xml:space="preserve">וכמה </w:t>
      </w:r>
      <w:bookmarkStart w:id="79252" w:name="_ETM_Q155_381639"/>
      <w:bookmarkEnd w:id="79252"/>
      <w:r>
        <w:rPr>
          <w:rFonts w:hint="cs"/>
          <w:rtl/>
        </w:rPr>
        <w:t xml:space="preserve">אזרחים </w:t>
      </w:r>
      <w:bookmarkStart w:id="79253" w:name="_ETM_Q155_382389"/>
      <w:bookmarkEnd w:id="79253"/>
      <w:r>
        <w:rPr>
          <w:rFonts w:hint="cs"/>
          <w:rtl/>
        </w:rPr>
        <w:t xml:space="preserve">ישלמו </w:t>
      </w:r>
      <w:bookmarkStart w:id="79254" w:name="_ETM_Q155_382900"/>
      <w:bookmarkEnd w:id="79254"/>
      <w:r>
        <w:rPr>
          <w:rFonts w:hint="cs"/>
          <w:rtl/>
        </w:rPr>
        <w:t xml:space="preserve">בחייהם </w:t>
      </w:r>
      <w:bookmarkStart w:id="79255" w:name="_ETM_Q155_383770"/>
      <w:bookmarkEnd w:id="79255"/>
      <w:r>
        <w:rPr>
          <w:rFonts w:hint="cs"/>
          <w:rtl/>
        </w:rPr>
        <w:t xml:space="preserve">על </w:t>
      </w:r>
      <w:bookmarkStart w:id="79256" w:name="_ETM_Q155_383980"/>
      <w:bookmarkEnd w:id="79256"/>
      <w:r>
        <w:rPr>
          <w:rFonts w:hint="cs"/>
          <w:rtl/>
        </w:rPr>
        <w:t xml:space="preserve">ההזיה </w:t>
      </w:r>
      <w:bookmarkStart w:id="79257" w:name="_ETM_Q155_384639"/>
      <w:bookmarkEnd w:id="79257"/>
      <w:r>
        <w:rPr>
          <w:rFonts w:hint="cs"/>
          <w:rtl/>
        </w:rPr>
        <w:t xml:space="preserve">המסוכנת </w:t>
      </w:r>
      <w:bookmarkStart w:id="79258" w:name="_ETM_Q155_385360"/>
      <w:bookmarkEnd w:id="79258"/>
      <w:r>
        <w:rPr>
          <w:rFonts w:hint="cs"/>
          <w:rtl/>
        </w:rPr>
        <w:t xml:space="preserve">הזאת; </w:t>
      </w:r>
      <w:bookmarkStart w:id="79259" w:name="_ETM_Q155_386020"/>
      <w:bookmarkEnd w:id="79259"/>
      <w:r>
        <w:rPr>
          <w:rFonts w:hint="cs"/>
          <w:rtl/>
        </w:rPr>
        <w:t xml:space="preserve">ולא </w:t>
      </w:r>
      <w:bookmarkStart w:id="79260" w:name="_ETM_Q155_386260"/>
      <w:bookmarkEnd w:id="79260"/>
      <w:r>
        <w:rPr>
          <w:rFonts w:hint="cs"/>
          <w:rtl/>
        </w:rPr>
        <w:t xml:space="preserve">משנה </w:t>
      </w:r>
      <w:bookmarkStart w:id="79261" w:name="_ETM_Q155_386650"/>
      <w:bookmarkEnd w:id="79261"/>
      <w:r>
        <w:rPr>
          <w:rFonts w:hint="cs"/>
          <w:rtl/>
        </w:rPr>
        <w:t xml:space="preserve">כמה </w:t>
      </w:r>
      <w:bookmarkStart w:id="79262" w:name="_ETM_Q155_387070"/>
      <w:bookmarkEnd w:id="79262"/>
      <w:r>
        <w:rPr>
          <w:rFonts w:hint="cs"/>
          <w:rtl/>
        </w:rPr>
        <w:t xml:space="preserve">מדינת </w:t>
      </w:r>
      <w:bookmarkStart w:id="79263" w:name="_ETM_Q155_387460"/>
      <w:bookmarkEnd w:id="79263"/>
      <w:r>
        <w:rPr>
          <w:rFonts w:hint="cs"/>
          <w:rtl/>
        </w:rPr>
        <w:t xml:space="preserve">ישראל </w:t>
      </w:r>
      <w:bookmarkStart w:id="79264" w:name="_ETM_Q155_387910"/>
      <w:bookmarkEnd w:id="79264"/>
      <w:r>
        <w:rPr>
          <w:rFonts w:hint="cs"/>
          <w:rtl/>
        </w:rPr>
        <w:t xml:space="preserve">תיחרב </w:t>
      </w:r>
      <w:bookmarkStart w:id="79265" w:name="_ETM_Q155_389260"/>
      <w:bookmarkEnd w:id="79265"/>
      <w:r>
        <w:rPr>
          <w:rFonts w:hint="cs"/>
          <w:rtl/>
        </w:rPr>
        <w:t xml:space="preserve">בגלל ההזיה </w:t>
      </w:r>
      <w:bookmarkStart w:id="79266" w:name="_ETM_Q155_390340"/>
      <w:bookmarkEnd w:id="79266"/>
      <w:r>
        <w:rPr>
          <w:rFonts w:hint="cs"/>
          <w:rtl/>
        </w:rPr>
        <w:t xml:space="preserve">המסוכנת </w:t>
      </w:r>
      <w:bookmarkStart w:id="79267" w:name="_ETM_Q155_391000"/>
      <w:bookmarkEnd w:id="79267"/>
      <w:r>
        <w:rPr>
          <w:rFonts w:hint="cs"/>
          <w:rtl/>
        </w:rPr>
        <w:t>הזאת.</w:t>
      </w:r>
    </w:p>
    <w:p w:rsidR="00BB59CD" w:rsidRDefault="00BB59CD" w:rsidP="00BB59CD">
      <w:pPr>
        <w:rPr>
          <w:rtl/>
        </w:rPr>
      </w:pPr>
    </w:p>
    <w:p w:rsidR="00BB59CD" w:rsidRDefault="00BB59CD" w:rsidP="00E21977">
      <w:pPr>
        <w:rPr>
          <w:rtl/>
        </w:rPr>
      </w:pPr>
      <w:bookmarkStart w:id="79268" w:name="_ETM_Q155_392160"/>
      <w:bookmarkEnd w:id="79268"/>
      <w:r>
        <w:rPr>
          <w:rFonts w:hint="cs"/>
          <w:rtl/>
        </w:rPr>
        <w:t xml:space="preserve">ועוד </w:t>
      </w:r>
      <w:bookmarkStart w:id="79269" w:name="_ETM_Q155_392490"/>
      <w:bookmarkEnd w:id="79269"/>
      <w:r>
        <w:rPr>
          <w:rFonts w:hint="cs"/>
          <w:rtl/>
        </w:rPr>
        <w:t xml:space="preserve">מילה </w:t>
      </w:r>
      <w:bookmarkStart w:id="79270" w:name="_ETM_Q155_393549"/>
      <w:bookmarkEnd w:id="79270"/>
      <w:r>
        <w:rPr>
          <w:rFonts w:hint="cs"/>
          <w:rtl/>
        </w:rPr>
        <w:t xml:space="preserve">על </w:t>
      </w:r>
      <w:bookmarkStart w:id="79271" w:name="_ETM_Q155_393699"/>
      <w:bookmarkEnd w:id="79271"/>
      <w:r>
        <w:rPr>
          <w:rFonts w:hint="cs"/>
          <w:rtl/>
        </w:rPr>
        <w:t xml:space="preserve">דבר </w:t>
      </w:r>
      <w:bookmarkStart w:id="79272" w:name="_ETM_Q155_394029"/>
      <w:bookmarkEnd w:id="79272"/>
      <w:r>
        <w:rPr>
          <w:rFonts w:hint="cs"/>
          <w:rtl/>
        </w:rPr>
        <w:t xml:space="preserve">שהקואליציה </w:t>
      </w:r>
      <w:bookmarkStart w:id="79273" w:name="_ETM_Q155_394870"/>
      <w:bookmarkEnd w:id="79273"/>
      <w:r>
        <w:rPr>
          <w:rFonts w:hint="cs"/>
          <w:rtl/>
        </w:rPr>
        <w:t xml:space="preserve">הזאת </w:t>
      </w:r>
      <w:bookmarkStart w:id="79274" w:name="_ETM_Q155_395109"/>
      <w:bookmarkEnd w:id="79274"/>
      <w:r>
        <w:rPr>
          <w:rFonts w:hint="cs"/>
          <w:rtl/>
        </w:rPr>
        <w:t xml:space="preserve">אומרת: </w:t>
      </w:r>
      <w:bookmarkStart w:id="79275" w:name="_ETM_Q155_395959"/>
      <w:bookmarkEnd w:id="79275"/>
      <w:r>
        <w:rPr>
          <w:rFonts w:hint="cs"/>
          <w:rtl/>
        </w:rPr>
        <w:t xml:space="preserve">יהודי, </w:t>
      </w:r>
      <w:bookmarkStart w:id="79276" w:name="_ETM_Q155_396620"/>
      <w:bookmarkEnd w:id="79276"/>
      <w:r>
        <w:rPr>
          <w:rFonts w:hint="cs"/>
          <w:rtl/>
        </w:rPr>
        <w:t xml:space="preserve">יהודי. </w:t>
      </w:r>
      <w:bookmarkStart w:id="79277" w:name="_ETM_Q155_398180"/>
      <w:bookmarkEnd w:id="79277"/>
      <w:r>
        <w:rPr>
          <w:rFonts w:hint="cs"/>
          <w:rtl/>
        </w:rPr>
        <w:t xml:space="preserve">כמה </w:t>
      </w:r>
      <w:bookmarkStart w:id="79278" w:name="_ETM_Q155_398450"/>
      <w:bookmarkEnd w:id="79278"/>
      <w:r>
        <w:rPr>
          <w:rFonts w:hint="cs"/>
          <w:rtl/>
        </w:rPr>
        <w:t xml:space="preserve">אנחנו </w:t>
      </w:r>
      <w:bookmarkStart w:id="79279" w:name="_ETM_Q155_398749"/>
      <w:bookmarkEnd w:id="79279"/>
      <w:r>
        <w:rPr>
          <w:rFonts w:hint="cs"/>
          <w:rtl/>
        </w:rPr>
        <w:t xml:space="preserve">שומעות </w:t>
      </w:r>
      <w:bookmarkStart w:id="79280" w:name="_ETM_Q155_399049"/>
      <w:bookmarkEnd w:id="79280"/>
      <w:r>
        <w:rPr>
          <w:rFonts w:hint="cs"/>
          <w:rtl/>
        </w:rPr>
        <w:t xml:space="preserve">ושומעים </w:t>
      </w:r>
      <w:bookmarkStart w:id="79281" w:name="_ETM_Q155_399469"/>
      <w:bookmarkEnd w:id="79281"/>
      <w:r>
        <w:rPr>
          <w:rFonts w:hint="cs"/>
          <w:rtl/>
        </w:rPr>
        <w:t xml:space="preserve">את </w:t>
      </w:r>
      <w:bookmarkStart w:id="79282" w:name="_ETM_Q155_399739"/>
      <w:bookmarkEnd w:id="79282"/>
      <w:r>
        <w:rPr>
          <w:rFonts w:hint="cs"/>
          <w:rtl/>
        </w:rPr>
        <w:t xml:space="preserve">המילה </w:t>
      </w:r>
      <w:bookmarkStart w:id="79283" w:name="_ETM_Q155_399980"/>
      <w:bookmarkEnd w:id="79283"/>
      <w:r w:rsidR="00E21977">
        <w:rPr>
          <w:rFonts w:hint="cs"/>
          <w:rtl/>
        </w:rPr>
        <w:t>"</w:t>
      </w:r>
      <w:r>
        <w:rPr>
          <w:rFonts w:hint="cs"/>
          <w:rtl/>
        </w:rPr>
        <w:t>יהודי</w:t>
      </w:r>
      <w:r w:rsidR="00E21977">
        <w:rPr>
          <w:rFonts w:hint="cs"/>
          <w:rtl/>
        </w:rPr>
        <w:t>"</w:t>
      </w:r>
      <w:r>
        <w:rPr>
          <w:rFonts w:hint="cs"/>
          <w:rtl/>
        </w:rPr>
        <w:t xml:space="preserve">, </w:t>
      </w:r>
      <w:bookmarkStart w:id="79284" w:name="_ETM_Q155_400669"/>
      <w:bookmarkEnd w:id="79284"/>
      <w:r w:rsidR="00E21977">
        <w:rPr>
          <w:rFonts w:hint="cs"/>
          <w:rtl/>
        </w:rPr>
        <w:t>"</w:t>
      </w:r>
      <w:r>
        <w:rPr>
          <w:rFonts w:hint="cs"/>
          <w:rtl/>
        </w:rPr>
        <w:t>יהודי</w:t>
      </w:r>
      <w:bookmarkStart w:id="79285" w:name="_ETM_Q155_401659"/>
      <w:bookmarkEnd w:id="79285"/>
      <w:r w:rsidR="00E21977">
        <w:rPr>
          <w:rFonts w:hint="cs"/>
          <w:rtl/>
        </w:rPr>
        <w:t>"</w:t>
      </w:r>
      <w:r>
        <w:rPr>
          <w:rFonts w:hint="cs"/>
          <w:rtl/>
        </w:rPr>
        <w:t xml:space="preserve">. </w:t>
      </w:r>
      <w:bookmarkStart w:id="79286" w:name="_ETM_Q155_404579"/>
      <w:bookmarkEnd w:id="79286"/>
      <w:r>
        <w:rPr>
          <w:rFonts w:hint="cs"/>
          <w:rtl/>
        </w:rPr>
        <w:t xml:space="preserve">אז </w:t>
      </w:r>
      <w:bookmarkStart w:id="79287" w:name="_ETM_Q155_404760"/>
      <w:bookmarkEnd w:id="79287"/>
      <w:r>
        <w:rPr>
          <w:rFonts w:hint="cs"/>
          <w:rtl/>
        </w:rPr>
        <w:t xml:space="preserve">אני </w:t>
      </w:r>
      <w:bookmarkStart w:id="79288" w:name="_ETM_Q155_404939"/>
      <w:bookmarkEnd w:id="79288"/>
      <w:r>
        <w:rPr>
          <w:rFonts w:hint="cs"/>
          <w:rtl/>
        </w:rPr>
        <w:t xml:space="preserve">רוצה </w:t>
      </w:r>
      <w:bookmarkStart w:id="79289" w:name="_ETM_Q155_405180"/>
      <w:bookmarkEnd w:id="79289"/>
      <w:r>
        <w:rPr>
          <w:rFonts w:hint="cs"/>
          <w:rtl/>
        </w:rPr>
        <w:t xml:space="preserve">להגיד </w:t>
      </w:r>
      <w:bookmarkStart w:id="79290" w:name="_ETM_Q155_405479"/>
      <w:bookmarkEnd w:id="79290"/>
      <w:r>
        <w:rPr>
          <w:rFonts w:hint="cs"/>
          <w:rtl/>
        </w:rPr>
        <w:t xml:space="preserve">לכם </w:t>
      </w:r>
      <w:bookmarkStart w:id="79291" w:name="_ETM_Q155_405749"/>
      <w:bookmarkEnd w:id="79291"/>
      <w:r>
        <w:rPr>
          <w:rFonts w:hint="cs"/>
          <w:rtl/>
        </w:rPr>
        <w:t xml:space="preserve">משהו, </w:t>
      </w:r>
      <w:bookmarkStart w:id="79292" w:name="_ETM_Q155_406109"/>
      <w:bookmarkEnd w:id="79292"/>
      <w:r>
        <w:rPr>
          <w:rFonts w:hint="cs"/>
          <w:rtl/>
        </w:rPr>
        <w:t xml:space="preserve">אנחנו </w:t>
      </w:r>
      <w:bookmarkStart w:id="79293" w:name="_ETM_Q155_406529"/>
      <w:bookmarkEnd w:id="79293"/>
      <w:r>
        <w:rPr>
          <w:rFonts w:hint="cs"/>
          <w:rtl/>
        </w:rPr>
        <w:t xml:space="preserve">בעיצומם </w:t>
      </w:r>
      <w:bookmarkStart w:id="79294" w:name="_ETM_Q155_407129"/>
      <w:bookmarkEnd w:id="79294"/>
      <w:r>
        <w:rPr>
          <w:rFonts w:hint="cs"/>
          <w:rtl/>
        </w:rPr>
        <w:t xml:space="preserve">של </w:t>
      </w:r>
      <w:bookmarkStart w:id="79295" w:name="_ETM_Q155_407279"/>
      <w:bookmarkEnd w:id="79295"/>
      <w:r>
        <w:rPr>
          <w:rFonts w:hint="cs"/>
          <w:rtl/>
        </w:rPr>
        <w:t xml:space="preserve">תשעת </w:t>
      </w:r>
      <w:bookmarkStart w:id="79296" w:name="_ETM_Q155_407790"/>
      <w:bookmarkEnd w:id="79296"/>
      <w:r>
        <w:rPr>
          <w:rFonts w:hint="cs"/>
          <w:rtl/>
        </w:rPr>
        <w:t xml:space="preserve">הימים. </w:t>
      </w:r>
      <w:bookmarkStart w:id="79297" w:name="_ETM_Q155_408809"/>
      <w:bookmarkEnd w:id="79297"/>
      <w:r>
        <w:rPr>
          <w:rFonts w:hint="cs"/>
          <w:rtl/>
        </w:rPr>
        <w:t xml:space="preserve">תשעת </w:t>
      </w:r>
      <w:bookmarkStart w:id="79298" w:name="_ETM_Q155_409319"/>
      <w:bookmarkEnd w:id="79298"/>
      <w:r>
        <w:rPr>
          <w:rFonts w:hint="cs"/>
          <w:rtl/>
        </w:rPr>
        <w:t xml:space="preserve">הימים, </w:t>
      </w:r>
      <w:bookmarkStart w:id="79299" w:name="_ETM_Q155_409739"/>
      <w:bookmarkEnd w:id="79299"/>
      <w:r>
        <w:rPr>
          <w:rFonts w:hint="cs"/>
          <w:rtl/>
        </w:rPr>
        <w:t xml:space="preserve">למי </w:t>
      </w:r>
      <w:bookmarkStart w:id="79300" w:name="_ETM_Q155_409979"/>
      <w:bookmarkEnd w:id="79300"/>
      <w:r>
        <w:rPr>
          <w:rFonts w:hint="cs"/>
          <w:rtl/>
        </w:rPr>
        <w:t xml:space="preserve">שלא </w:t>
      </w:r>
      <w:bookmarkStart w:id="79301" w:name="_ETM_Q155_410849"/>
      <w:bookmarkEnd w:id="79301"/>
      <w:r>
        <w:rPr>
          <w:rFonts w:hint="cs"/>
          <w:rtl/>
        </w:rPr>
        <w:t xml:space="preserve">בקי </w:t>
      </w:r>
      <w:bookmarkStart w:id="79302" w:name="_ETM_Q155_411209"/>
      <w:bookmarkEnd w:id="79302"/>
      <w:r>
        <w:rPr>
          <w:rFonts w:hint="cs"/>
          <w:rtl/>
        </w:rPr>
        <w:t xml:space="preserve">או בקיאה </w:t>
      </w:r>
      <w:bookmarkStart w:id="79303" w:name="_ETM_Q155_411689"/>
      <w:bookmarkEnd w:id="79303"/>
      <w:r>
        <w:rPr>
          <w:rFonts w:hint="cs"/>
          <w:rtl/>
        </w:rPr>
        <w:t>בחומר, הם</w:t>
      </w:r>
      <w:bookmarkStart w:id="79304" w:name="_ETM_Q155_412169"/>
      <w:bookmarkStart w:id="79305" w:name="_ETM_Q155_412290"/>
      <w:bookmarkEnd w:id="79304"/>
      <w:bookmarkEnd w:id="79305"/>
      <w:r>
        <w:rPr>
          <w:rFonts w:hint="cs"/>
          <w:rtl/>
        </w:rPr>
        <w:t xml:space="preserve"> תשעת </w:t>
      </w:r>
      <w:bookmarkStart w:id="79306" w:name="_ETM_Q155_412739"/>
      <w:bookmarkEnd w:id="79306"/>
      <w:r>
        <w:rPr>
          <w:rFonts w:hint="cs"/>
          <w:rtl/>
        </w:rPr>
        <w:t xml:space="preserve">הימים </w:t>
      </w:r>
      <w:bookmarkStart w:id="79307" w:name="_ETM_Q155_413040"/>
      <w:bookmarkEnd w:id="79307"/>
      <w:r>
        <w:rPr>
          <w:rFonts w:hint="cs"/>
          <w:rtl/>
        </w:rPr>
        <w:t xml:space="preserve">האחרונים </w:t>
      </w:r>
      <w:bookmarkStart w:id="79308" w:name="_ETM_Q155_414370"/>
      <w:bookmarkEnd w:id="79308"/>
      <w:r>
        <w:rPr>
          <w:rFonts w:hint="cs"/>
          <w:rtl/>
        </w:rPr>
        <w:t xml:space="preserve">בימי </w:t>
      </w:r>
      <w:bookmarkStart w:id="79309" w:name="_ETM_Q155_415390"/>
      <w:bookmarkEnd w:id="79309"/>
      <w:r>
        <w:rPr>
          <w:rFonts w:hint="cs"/>
          <w:rtl/>
        </w:rPr>
        <w:t xml:space="preserve">בין </w:t>
      </w:r>
      <w:bookmarkStart w:id="79310" w:name="_ETM_Q155_415599"/>
      <w:bookmarkEnd w:id="79310"/>
      <w:r>
        <w:rPr>
          <w:rFonts w:hint="cs"/>
          <w:rtl/>
        </w:rPr>
        <w:t xml:space="preserve">המצרים, </w:t>
      </w:r>
      <w:bookmarkStart w:id="79311" w:name="_ETM_Q155_416140"/>
      <w:bookmarkEnd w:id="79311"/>
      <w:r>
        <w:rPr>
          <w:rFonts w:hint="cs"/>
          <w:rtl/>
        </w:rPr>
        <w:t xml:space="preserve">של </w:t>
      </w:r>
      <w:bookmarkStart w:id="79312" w:name="_ETM_Q155_417170"/>
      <w:bookmarkEnd w:id="79312"/>
      <w:r>
        <w:rPr>
          <w:rFonts w:hint="cs"/>
          <w:rtl/>
        </w:rPr>
        <w:t xml:space="preserve">לפני </w:t>
      </w:r>
      <w:bookmarkStart w:id="79313" w:name="_ETM_Q155_417560"/>
      <w:bookmarkStart w:id="79314" w:name="_ETM_Q155_417950"/>
      <w:bookmarkEnd w:id="79313"/>
      <w:bookmarkEnd w:id="79314"/>
      <w:r>
        <w:rPr>
          <w:rFonts w:hint="cs"/>
          <w:rtl/>
        </w:rPr>
        <w:t xml:space="preserve">תשעה באב. </w:t>
      </w:r>
      <w:bookmarkStart w:id="79315" w:name="_ETM_Q155_419860"/>
      <w:bookmarkEnd w:id="79315"/>
      <w:r>
        <w:rPr>
          <w:rFonts w:hint="cs"/>
          <w:rtl/>
        </w:rPr>
        <w:t xml:space="preserve">ובימים </w:t>
      </w:r>
      <w:bookmarkStart w:id="79316" w:name="_ETM_Q155_420519"/>
      <w:bookmarkEnd w:id="79316"/>
      <w:r>
        <w:rPr>
          <w:rFonts w:hint="cs"/>
          <w:rtl/>
        </w:rPr>
        <w:t xml:space="preserve">האלה </w:t>
      </w:r>
      <w:bookmarkStart w:id="79317" w:name="_ETM_Q155_422670"/>
      <w:bookmarkEnd w:id="79317"/>
      <w:r>
        <w:rPr>
          <w:rFonts w:hint="cs"/>
          <w:rtl/>
        </w:rPr>
        <w:t xml:space="preserve">במסורת </w:t>
      </w:r>
      <w:bookmarkStart w:id="79318" w:name="_ETM_Q155_423480"/>
      <w:bookmarkEnd w:id="79318"/>
      <w:r>
        <w:rPr>
          <w:rFonts w:hint="cs"/>
          <w:rtl/>
        </w:rPr>
        <w:t xml:space="preserve">היהודית </w:t>
      </w:r>
      <w:bookmarkStart w:id="79319" w:name="_ETM_Q155_424080"/>
      <w:bookmarkEnd w:id="79319"/>
      <w:r>
        <w:rPr>
          <w:rFonts w:hint="cs"/>
          <w:rtl/>
        </w:rPr>
        <w:t xml:space="preserve">לא </w:t>
      </w:r>
      <w:bookmarkStart w:id="79320" w:name="_ETM_Q155_424230"/>
      <w:bookmarkEnd w:id="79320"/>
      <w:r>
        <w:rPr>
          <w:rFonts w:hint="cs"/>
          <w:rtl/>
        </w:rPr>
        <w:t xml:space="preserve">עושים </w:t>
      </w:r>
      <w:bookmarkStart w:id="79321" w:name="_ETM_Q155_424590"/>
      <w:bookmarkEnd w:id="79321"/>
      <w:r>
        <w:rPr>
          <w:rFonts w:hint="cs"/>
          <w:rtl/>
        </w:rPr>
        <w:t xml:space="preserve">שום </w:t>
      </w:r>
      <w:bookmarkStart w:id="79322" w:name="_ETM_Q155_425010"/>
      <w:bookmarkEnd w:id="79322"/>
      <w:r>
        <w:rPr>
          <w:rFonts w:hint="cs"/>
          <w:rtl/>
        </w:rPr>
        <w:t xml:space="preserve">דבר </w:t>
      </w:r>
      <w:bookmarkStart w:id="79323" w:name="_ETM_Q155_425370"/>
      <w:bookmarkEnd w:id="79323"/>
      <w:r>
        <w:rPr>
          <w:rFonts w:hint="cs"/>
          <w:rtl/>
        </w:rPr>
        <w:t>חשוב</w:t>
      </w:r>
      <w:bookmarkStart w:id="79324" w:name="_ETM_Q155_427209"/>
      <w:bookmarkStart w:id="79325" w:name="_ETM_Q155_424336"/>
      <w:bookmarkStart w:id="79326" w:name="_ETM_Q155_424657"/>
      <w:bookmarkStart w:id="79327" w:name="_ETM_Q155_424720"/>
      <w:bookmarkEnd w:id="79324"/>
      <w:bookmarkEnd w:id="79325"/>
      <w:bookmarkEnd w:id="79326"/>
      <w:bookmarkEnd w:id="79327"/>
      <w:r>
        <w:rPr>
          <w:rFonts w:hint="cs"/>
          <w:rtl/>
        </w:rPr>
        <w:t xml:space="preserve">. </w:t>
      </w:r>
    </w:p>
    <w:p w:rsidR="00BB59CD" w:rsidRDefault="00BB59CD" w:rsidP="00BB59CD">
      <w:pPr>
        <w:rPr>
          <w:rt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bookmarkStart w:id="79328" w:name="_ETM_Q155_461397"/>
      <w:bookmarkStart w:id="79329" w:name="_ETM_Q155_461445"/>
      <w:bookmarkEnd w:id="79328"/>
      <w:bookmarkEnd w:id="79329"/>
      <w:r>
        <w:rPr>
          <w:rFonts w:hint="cs"/>
          <w:rtl/>
        </w:rPr>
        <w:t>צלם בהיכל לשמוע אותך אומרת את הדברים האלה.</w:t>
      </w:r>
    </w:p>
    <w:p w:rsidR="00BB59CD" w:rsidRDefault="00BB59CD" w:rsidP="00BB59CD">
      <w:pPr>
        <w:rPr>
          <w:rtl/>
        </w:rPr>
      </w:pPr>
      <w:bookmarkStart w:id="79330" w:name="_ETM_Q155_424702"/>
      <w:bookmarkStart w:id="79331" w:name="_ETM_Q155_424768"/>
      <w:bookmarkEnd w:id="79330"/>
      <w:bookmarkEnd w:id="79331"/>
    </w:p>
    <w:p w:rsidR="00BB59CD" w:rsidRDefault="00BB59CD" w:rsidP="00BB59CD">
      <w:pPr>
        <w:pStyle w:val="-"/>
        <w:keepNext/>
        <w:rPr>
          <w:rtl/>
        </w:rPr>
      </w:pPr>
      <w:bookmarkStart w:id="79332" w:name="ET_speakercontinue_5090_25"/>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79332"/>
    </w:p>
    <w:p w:rsidR="00BB59CD" w:rsidRDefault="00BB59CD" w:rsidP="00337201">
      <w:pPr>
        <w:rPr>
          <w:rtl/>
        </w:rPr>
      </w:pPr>
      <w:bookmarkStart w:id="79333" w:name="_ETM_Q155_425358"/>
      <w:bookmarkEnd w:id="79333"/>
    </w:p>
    <w:p w:rsidR="00BB59CD" w:rsidRDefault="00BB59CD" w:rsidP="00E21977">
      <w:pPr>
        <w:rPr>
          <w:rtl/>
        </w:rPr>
      </w:pPr>
      <w:bookmarkStart w:id="79334" w:name="_ETM_Q155_461557"/>
      <w:bookmarkStart w:id="79335" w:name="_ETM_Q155_461602"/>
      <w:bookmarkEnd w:id="79334"/>
      <w:bookmarkEnd w:id="79335"/>
      <w:r>
        <w:rPr>
          <w:rFonts w:hint="cs"/>
          <w:rtl/>
        </w:rPr>
        <w:t xml:space="preserve">לא </w:t>
      </w:r>
      <w:bookmarkStart w:id="79336" w:name="_ETM_Q155_427420"/>
      <w:bookmarkEnd w:id="79336"/>
      <w:r>
        <w:rPr>
          <w:rFonts w:hint="cs"/>
          <w:rtl/>
        </w:rPr>
        <w:t xml:space="preserve">זאת </w:t>
      </w:r>
      <w:bookmarkStart w:id="79337" w:name="_ETM_Q155_427810"/>
      <w:bookmarkEnd w:id="79337"/>
      <w:r>
        <w:rPr>
          <w:rFonts w:hint="cs"/>
          <w:rtl/>
        </w:rPr>
        <w:t xml:space="preserve">בלבד </w:t>
      </w:r>
      <w:bookmarkStart w:id="79338" w:name="_ETM_Q155_428439"/>
      <w:bookmarkEnd w:id="79338"/>
      <w:r>
        <w:rPr>
          <w:rFonts w:hint="cs"/>
          <w:rtl/>
        </w:rPr>
        <w:t xml:space="preserve">שלא </w:t>
      </w:r>
      <w:bookmarkStart w:id="79339" w:name="_ETM_Q155_428950"/>
      <w:bookmarkEnd w:id="79339"/>
      <w:r>
        <w:rPr>
          <w:rFonts w:hint="cs"/>
          <w:rtl/>
        </w:rPr>
        <w:t xml:space="preserve">קונים </w:t>
      </w:r>
      <w:bookmarkStart w:id="79340" w:name="_ETM_Q155_429400"/>
      <w:bookmarkEnd w:id="79340"/>
      <w:r>
        <w:rPr>
          <w:rFonts w:hint="cs"/>
          <w:rtl/>
        </w:rPr>
        <w:t xml:space="preserve">דירה, </w:t>
      </w:r>
      <w:bookmarkStart w:id="79341" w:name="_ETM_Q155_429819"/>
      <w:bookmarkEnd w:id="79341"/>
      <w:r>
        <w:rPr>
          <w:rFonts w:hint="cs"/>
          <w:rtl/>
        </w:rPr>
        <w:t xml:space="preserve">לא </w:t>
      </w:r>
      <w:bookmarkStart w:id="79342" w:name="_ETM_Q155_429970"/>
      <w:bookmarkEnd w:id="79342"/>
      <w:r>
        <w:rPr>
          <w:rFonts w:hint="cs"/>
          <w:rtl/>
        </w:rPr>
        <w:t xml:space="preserve">פותחים </w:t>
      </w:r>
      <w:bookmarkStart w:id="79343" w:name="_ETM_Q155_430599"/>
      <w:bookmarkEnd w:id="79343"/>
      <w:r>
        <w:rPr>
          <w:rFonts w:hint="cs"/>
          <w:rtl/>
        </w:rPr>
        <w:t xml:space="preserve">עסק </w:t>
      </w:r>
      <w:bookmarkStart w:id="79344" w:name="_ETM_Q155_430930"/>
      <w:bookmarkEnd w:id="79344"/>
      <w:r>
        <w:rPr>
          <w:rFonts w:hint="cs"/>
          <w:rtl/>
        </w:rPr>
        <w:t xml:space="preserve">חדש </w:t>
      </w:r>
      <w:r>
        <w:t>–</w:t>
      </w:r>
      <w:r>
        <w:rPr>
          <w:rFonts w:hint="cs"/>
          <w:rtl/>
        </w:rPr>
        <w:t xml:space="preserve"> </w:t>
      </w:r>
      <w:bookmarkStart w:id="79345" w:name="_ETM_Q155_432489"/>
      <w:bookmarkEnd w:id="79345"/>
      <w:r>
        <w:rPr>
          <w:rFonts w:hint="cs"/>
          <w:rtl/>
        </w:rPr>
        <w:t xml:space="preserve">נכון, </w:t>
      </w:r>
      <w:bookmarkStart w:id="79346" w:name="_ETM_Q155_432879"/>
      <w:bookmarkEnd w:id="79346"/>
      <w:r>
        <w:rPr>
          <w:rFonts w:hint="cs"/>
          <w:rtl/>
        </w:rPr>
        <w:t xml:space="preserve">אדוני </w:t>
      </w:r>
      <w:bookmarkStart w:id="79347" w:name="_ETM_Q155_433209"/>
      <w:bookmarkEnd w:id="79347"/>
      <w:r>
        <w:rPr>
          <w:rFonts w:hint="cs"/>
          <w:rtl/>
        </w:rPr>
        <w:t>היושב-ראש</w:t>
      </w:r>
      <w:bookmarkStart w:id="79348" w:name="_ETM_Q155_433840"/>
      <w:bookmarkEnd w:id="79348"/>
      <w:r>
        <w:rPr>
          <w:rFonts w:hint="cs"/>
          <w:rtl/>
        </w:rPr>
        <w:t xml:space="preserve">, או לא </w:t>
      </w:r>
      <w:bookmarkStart w:id="79349" w:name="_ETM_Q155_434019"/>
      <w:bookmarkEnd w:id="79349"/>
      <w:r>
        <w:rPr>
          <w:rFonts w:hint="cs"/>
          <w:rtl/>
        </w:rPr>
        <w:t xml:space="preserve">נכון </w:t>
      </w:r>
      <w:bookmarkStart w:id="79350" w:name="_ETM_Q155_434830"/>
      <w:bookmarkEnd w:id="79350"/>
      <w:r>
        <w:rPr>
          <w:rFonts w:hint="cs"/>
          <w:rtl/>
        </w:rPr>
        <w:t xml:space="preserve">שבימי </w:t>
      </w:r>
      <w:bookmarkStart w:id="79351" w:name="_ETM_Q155_436440"/>
      <w:bookmarkEnd w:id="79351"/>
      <w:r>
        <w:rPr>
          <w:rFonts w:hint="cs"/>
          <w:rtl/>
        </w:rPr>
        <w:t xml:space="preserve">בין </w:t>
      </w:r>
      <w:bookmarkStart w:id="79352" w:name="_ETM_Q155_436620"/>
      <w:bookmarkEnd w:id="79352"/>
      <w:r>
        <w:rPr>
          <w:rFonts w:hint="cs"/>
          <w:rtl/>
        </w:rPr>
        <w:t xml:space="preserve">המצרים, </w:t>
      </w:r>
      <w:bookmarkStart w:id="79353" w:name="_ETM_Q155_437190"/>
      <w:bookmarkEnd w:id="79353"/>
      <w:r>
        <w:rPr>
          <w:rFonts w:hint="cs"/>
          <w:rtl/>
        </w:rPr>
        <w:t xml:space="preserve">ובעיקר </w:t>
      </w:r>
      <w:bookmarkStart w:id="79354" w:name="_ETM_Q155_437699"/>
      <w:bookmarkEnd w:id="79354"/>
      <w:r>
        <w:rPr>
          <w:rFonts w:hint="cs"/>
          <w:rtl/>
        </w:rPr>
        <w:t xml:space="preserve">בתשעת </w:t>
      </w:r>
      <w:bookmarkStart w:id="79355" w:name="_ETM_Q155_438150"/>
      <w:bookmarkEnd w:id="79355"/>
      <w:r>
        <w:rPr>
          <w:rFonts w:hint="cs"/>
          <w:rtl/>
        </w:rPr>
        <w:t xml:space="preserve">הימים, </w:t>
      </w:r>
      <w:bookmarkStart w:id="79356" w:name="_ETM_Q155_438419"/>
      <w:bookmarkEnd w:id="79356"/>
      <w:r>
        <w:rPr>
          <w:rFonts w:hint="cs"/>
          <w:rtl/>
        </w:rPr>
        <w:t xml:space="preserve">מקובל </w:t>
      </w:r>
      <w:bookmarkStart w:id="79357" w:name="_ETM_Q155_438870"/>
      <w:bookmarkEnd w:id="79357"/>
      <w:r>
        <w:rPr>
          <w:rFonts w:hint="cs"/>
          <w:rtl/>
        </w:rPr>
        <w:t xml:space="preserve">לא </w:t>
      </w:r>
      <w:bookmarkStart w:id="79358" w:name="_ETM_Q155_439020"/>
      <w:bookmarkEnd w:id="79358"/>
      <w:r>
        <w:rPr>
          <w:rFonts w:hint="cs"/>
          <w:rtl/>
        </w:rPr>
        <w:t xml:space="preserve">לעשות </w:t>
      </w:r>
      <w:bookmarkStart w:id="79359" w:name="_ETM_Q155_439410"/>
      <w:bookmarkEnd w:id="79359"/>
      <w:r>
        <w:rPr>
          <w:rFonts w:hint="cs"/>
          <w:rtl/>
        </w:rPr>
        <w:t xml:space="preserve">דברים </w:t>
      </w:r>
      <w:bookmarkStart w:id="79360" w:name="_ETM_Q155_439680"/>
      <w:bookmarkEnd w:id="79360"/>
      <w:r>
        <w:rPr>
          <w:rFonts w:hint="cs"/>
          <w:rtl/>
        </w:rPr>
        <w:t xml:space="preserve">חשובים, </w:t>
      </w:r>
      <w:bookmarkStart w:id="79361" w:name="_ETM_Q155_440729"/>
      <w:bookmarkEnd w:id="79361"/>
      <w:r>
        <w:rPr>
          <w:rFonts w:hint="cs"/>
          <w:rtl/>
        </w:rPr>
        <w:t xml:space="preserve">משום </w:t>
      </w:r>
      <w:bookmarkStart w:id="79362" w:name="_ETM_Q155_441180"/>
      <w:bookmarkEnd w:id="79362"/>
      <w:r>
        <w:rPr>
          <w:rFonts w:hint="cs"/>
          <w:rtl/>
        </w:rPr>
        <w:t xml:space="preserve">שבימים </w:t>
      </w:r>
      <w:bookmarkStart w:id="79363" w:name="_ETM_Q155_441779"/>
      <w:bookmarkEnd w:id="79363"/>
      <w:r>
        <w:rPr>
          <w:rFonts w:hint="cs"/>
          <w:rtl/>
        </w:rPr>
        <w:t xml:space="preserve">האלה </w:t>
      </w:r>
      <w:bookmarkStart w:id="79364" w:name="_ETM_Q155_442470"/>
      <w:bookmarkEnd w:id="79364"/>
      <w:r>
        <w:rPr>
          <w:rFonts w:hint="cs"/>
          <w:rtl/>
        </w:rPr>
        <w:t xml:space="preserve">אין </w:t>
      </w:r>
      <w:bookmarkStart w:id="79365" w:name="_ETM_Q155_442740"/>
      <w:bookmarkEnd w:id="79365"/>
      <w:r>
        <w:rPr>
          <w:rFonts w:hint="cs"/>
          <w:rtl/>
        </w:rPr>
        <w:t xml:space="preserve">ברכה </w:t>
      </w:r>
      <w:bookmarkStart w:id="79366" w:name="_ETM_Q155_443699"/>
      <w:bookmarkEnd w:id="79366"/>
      <w:r>
        <w:rPr>
          <w:rFonts w:hint="cs"/>
          <w:rtl/>
        </w:rPr>
        <w:t xml:space="preserve">וברכה </w:t>
      </w:r>
      <w:bookmarkStart w:id="79367" w:name="_ETM_Q155_444270"/>
      <w:bookmarkEnd w:id="79367"/>
      <w:r>
        <w:rPr>
          <w:rFonts w:hint="cs"/>
          <w:rtl/>
        </w:rPr>
        <w:t xml:space="preserve">לא </w:t>
      </w:r>
      <w:bookmarkStart w:id="79368" w:name="_ETM_Q155_444509"/>
      <w:bookmarkEnd w:id="79368"/>
      <w:r>
        <w:rPr>
          <w:rFonts w:hint="cs"/>
          <w:rtl/>
        </w:rPr>
        <w:t xml:space="preserve">שורה </w:t>
      </w:r>
      <w:bookmarkStart w:id="79369" w:name="_ETM_Q155_444960"/>
      <w:bookmarkEnd w:id="79369"/>
      <w:r>
        <w:rPr>
          <w:rFonts w:hint="cs"/>
          <w:rtl/>
        </w:rPr>
        <w:t xml:space="preserve">על </w:t>
      </w:r>
      <w:bookmarkStart w:id="79370" w:name="_ETM_Q155_445080"/>
      <w:bookmarkEnd w:id="79370"/>
      <w:r>
        <w:rPr>
          <w:rFonts w:hint="cs"/>
          <w:rtl/>
        </w:rPr>
        <w:t xml:space="preserve">הדברים </w:t>
      </w:r>
      <w:bookmarkStart w:id="79371" w:name="_ETM_Q155_445470"/>
      <w:bookmarkEnd w:id="79371"/>
      <w:r>
        <w:rPr>
          <w:rFonts w:hint="cs"/>
          <w:rtl/>
        </w:rPr>
        <w:t xml:space="preserve">שנעשים </w:t>
      </w:r>
      <w:bookmarkStart w:id="79372" w:name="_ETM_Q155_446009"/>
      <w:bookmarkEnd w:id="79372"/>
      <w:r>
        <w:rPr>
          <w:rFonts w:hint="cs"/>
          <w:rtl/>
        </w:rPr>
        <w:t xml:space="preserve">בימים </w:t>
      </w:r>
      <w:bookmarkStart w:id="79373" w:name="_ETM_Q155_446430"/>
      <w:bookmarkEnd w:id="79373"/>
      <w:r>
        <w:rPr>
          <w:rFonts w:hint="cs"/>
          <w:rtl/>
        </w:rPr>
        <w:t xml:space="preserve">האלה? </w:t>
      </w:r>
      <w:bookmarkStart w:id="79374" w:name="_ETM_Q155_447330"/>
      <w:bookmarkEnd w:id="79374"/>
      <w:r>
        <w:rPr>
          <w:rFonts w:hint="cs"/>
          <w:rtl/>
        </w:rPr>
        <w:t xml:space="preserve">אבל </w:t>
      </w:r>
      <w:bookmarkStart w:id="79375" w:name="_ETM_Q155_447750"/>
      <w:bookmarkEnd w:id="79375"/>
      <w:r>
        <w:rPr>
          <w:rFonts w:hint="cs"/>
          <w:rtl/>
        </w:rPr>
        <w:t xml:space="preserve">הקואליציה </w:t>
      </w:r>
      <w:bookmarkStart w:id="79376" w:name="_ETM_Q155_448970"/>
      <w:bookmarkEnd w:id="79376"/>
      <w:r>
        <w:rPr>
          <w:rFonts w:hint="cs"/>
          <w:rtl/>
        </w:rPr>
        <w:t xml:space="preserve">היהודית </w:t>
      </w:r>
      <w:bookmarkStart w:id="79377" w:name="_ETM_Q155_450770"/>
      <w:bookmarkEnd w:id="79377"/>
      <w:r>
        <w:rPr>
          <w:rFonts w:hint="cs"/>
          <w:rtl/>
        </w:rPr>
        <w:t xml:space="preserve">הזאת </w:t>
      </w:r>
      <w:bookmarkStart w:id="79378" w:name="_ETM_Q155_451820"/>
      <w:bookmarkEnd w:id="79378"/>
      <w:r>
        <w:rPr>
          <w:rFonts w:hint="cs"/>
          <w:rtl/>
        </w:rPr>
        <w:t xml:space="preserve">לא </w:t>
      </w:r>
      <w:bookmarkStart w:id="79379" w:name="_ETM_Q155_452029"/>
      <w:bookmarkEnd w:id="79379"/>
      <w:r>
        <w:rPr>
          <w:rFonts w:hint="cs"/>
          <w:rtl/>
        </w:rPr>
        <w:t xml:space="preserve">רואה </w:t>
      </w:r>
      <w:bookmarkStart w:id="79380" w:name="_ETM_Q155_452330"/>
      <w:bookmarkEnd w:id="79380"/>
      <w:r>
        <w:rPr>
          <w:rFonts w:hint="cs"/>
          <w:rtl/>
        </w:rPr>
        <w:t xml:space="preserve">ממטר, </w:t>
      </w:r>
      <w:bookmarkStart w:id="79381" w:name="_ETM_Q155_453800"/>
      <w:bookmarkEnd w:id="79381"/>
      <w:r>
        <w:rPr>
          <w:rFonts w:hint="cs"/>
          <w:rtl/>
        </w:rPr>
        <w:t xml:space="preserve">ודוהרת </w:t>
      </w:r>
      <w:bookmarkStart w:id="79382" w:name="_ETM_Q155_454820"/>
      <w:bookmarkEnd w:id="79382"/>
      <w:r>
        <w:rPr>
          <w:rFonts w:hint="cs"/>
          <w:rtl/>
        </w:rPr>
        <w:t xml:space="preserve">לעבר </w:t>
      </w:r>
      <w:bookmarkStart w:id="79383" w:name="_ETM_Q155_455120"/>
      <w:bookmarkEnd w:id="79383"/>
      <w:r>
        <w:rPr>
          <w:rFonts w:hint="cs"/>
          <w:rtl/>
        </w:rPr>
        <w:t xml:space="preserve">החורבן </w:t>
      </w:r>
      <w:bookmarkStart w:id="79384" w:name="_ETM_Q155_456380"/>
      <w:bookmarkEnd w:id="79384"/>
      <w:r>
        <w:rPr>
          <w:rFonts w:hint="cs"/>
          <w:rtl/>
        </w:rPr>
        <w:t xml:space="preserve">בחקיקה </w:t>
      </w:r>
      <w:bookmarkStart w:id="79385" w:name="_ETM_Q155_457070"/>
      <w:bookmarkEnd w:id="79385"/>
      <w:r>
        <w:rPr>
          <w:rFonts w:hint="cs"/>
          <w:rtl/>
        </w:rPr>
        <w:t xml:space="preserve">בתוך </w:t>
      </w:r>
      <w:bookmarkStart w:id="79386" w:name="_ETM_Q155_457670"/>
      <w:bookmarkEnd w:id="79386"/>
      <w:r>
        <w:rPr>
          <w:rFonts w:hint="cs"/>
          <w:rtl/>
        </w:rPr>
        <w:t xml:space="preserve">תשעת </w:t>
      </w:r>
      <w:bookmarkStart w:id="79387" w:name="_ETM_Q155_458150"/>
      <w:bookmarkEnd w:id="79387"/>
      <w:r>
        <w:rPr>
          <w:rFonts w:hint="cs"/>
          <w:rtl/>
        </w:rPr>
        <w:t xml:space="preserve">הימים, </w:t>
      </w:r>
      <w:bookmarkStart w:id="79388" w:name="_ETM_Q155_459050"/>
      <w:bookmarkEnd w:id="79388"/>
      <w:r w:rsidR="00E21977">
        <w:rPr>
          <w:rFonts w:hint="cs"/>
          <w:rtl/>
        </w:rPr>
        <w:t>כ</w:t>
      </w:r>
      <w:r>
        <w:rPr>
          <w:rFonts w:hint="cs"/>
          <w:rtl/>
        </w:rPr>
        <w:t xml:space="preserve">שאלוהים </w:t>
      </w:r>
      <w:bookmarkStart w:id="79389" w:name="_ETM_Q155_459830"/>
      <w:bookmarkEnd w:id="79389"/>
      <w:r>
        <w:rPr>
          <w:rFonts w:hint="cs"/>
          <w:rtl/>
        </w:rPr>
        <w:t xml:space="preserve">יודעת </w:t>
      </w:r>
      <w:bookmarkStart w:id="79390" w:name="_ETM_Q155_460800"/>
      <w:bookmarkEnd w:id="79390"/>
      <w:r>
        <w:rPr>
          <w:rFonts w:hint="cs"/>
          <w:rtl/>
        </w:rPr>
        <w:t xml:space="preserve">שברכה </w:t>
      </w:r>
      <w:bookmarkStart w:id="79391" w:name="_ETM_Q155_461970"/>
      <w:bookmarkStart w:id="79392" w:name="_ETM_Q155_462060"/>
      <w:bookmarkEnd w:id="79391"/>
      <w:bookmarkEnd w:id="79392"/>
      <w:r>
        <w:rPr>
          <w:rFonts w:hint="cs"/>
          <w:rtl/>
        </w:rPr>
        <w:t xml:space="preserve">לא </w:t>
      </w:r>
      <w:bookmarkStart w:id="79393" w:name="_ETM_Q155_462210"/>
      <w:bookmarkEnd w:id="79393"/>
      <w:r>
        <w:rPr>
          <w:rFonts w:hint="cs"/>
          <w:rtl/>
        </w:rPr>
        <w:t xml:space="preserve">שורה </w:t>
      </w:r>
      <w:bookmarkStart w:id="79394" w:name="_ETM_Q155_462630"/>
      <w:bookmarkEnd w:id="79394"/>
      <w:r>
        <w:rPr>
          <w:rFonts w:hint="cs"/>
          <w:rtl/>
        </w:rPr>
        <w:t>עליה.</w:t>
      </w:r>
    </w:p>
    <w:p w:rsidR="00BB59CD" w:rsidRDefault="00BB59CD" w:rsidP="00BB59CD">
      <w:pPr>
        <w:rPr>
          <w:rtl/>
        </w:rPr>
      </w:pPr>
      <w:bookmarkStart w:id="79395" w:name="_ETM_Q155_463694"/>
      <w:bookmarkStart w:id="79396" w:name="_ETM_Q155_463774"/>
      <w:bookmarkStart w:id="79397" w:name="_ETM_Q155_464661"/>
      <w:bookmarkStart w:id="79398" w:name="ET_speakercontinue_5090_24"/>
      <w:bookmarkEnd w:id="79395"/>
      <w:bookmarkEnd w:id="79396"/>
      <w:bookmarkEnd w:id="79397"/>
    </w:p>
    <w:p w:rsidR="00BB59CD" w:rsidRDefault="00BB59CD" w:rsidP="00BB59CD">
      <w:pPr>
        <w:pStyle w:val="af8"/>
        <w:keepNext/>
        <w:rPr>
          <w:rtl/>
        </w:rPr>
      </w:pPr>
      <w:bookmarkStart w:id="79399" w:name="_ETM_Q155_461137"/>
      <w:bookmarkStart w:id="79400" w:name="_ETM_Q155_461197"/>
      <w:bookmarkEnd w:id="79399"/>
      <w:bookmarkEnd w:id="79400"/>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79401" w:name="_ETM_Q155_459280"/>
      <w:bookmarkStart w:id="79402" w:name="_ETM_Q155_459343"/>
      <w:bookmarkEnd w:id="79401"/>
      <w:bookmarkEnd w:id="79402"/>
      <w:r>
        <w:rPr>
          <w:rFonts w:hint="cs"/>
          <w:rtl/>
          <w:lang w:eastAsia="he-IL"/>
        </w:rPr>
        <w:t xml:space="preserve">אין לה מושג על מה היא מדברת - </w:t>
      </w:r>
      <w:bookmarkStart w:id="79403" w:name="_ETM_Q155_463249"/>
      <w:bookmarkEnd w:id="79403"/>
      <w:r>
        <w:rPr>
          <w:rFonts w:hint="cs"/>
          <w:rtl/>
          <w:lang w:eastAsia="he-IL"/>
        </w:rPr>
        <w:t>- -</w:t>
      </w:r>
    </w:p>
    <w:p w:rsidR="00BB59CD" w:rsidRDefault="00BB59CD" w:rsidP="00BB59CD">
      <w:pPr>
        <w:rPr>
          <w:rtl/>
          <w:lang w:eastAsia="he-IL"/>
        </w:rPr>
      </w:pPr>
      <w:bookmarkStart w:id="79404" w:name="_ETM_Q155_464480"/>
      <w:bookmarkStart w:id="79405" w:name="_ETM_Q155_464567"/>
      <w:bookmarkEnd w:id="79404"/>
      <w:bookmarkEnd w:id="79405"/>
    </w:p>
    <w:p w:rsidR="00BB59CD" w:rsidRDefault="00BB59CD" w:rsidP="00BB59CD">
      <w:pPr>
        <w:pStyle w:val="-"/>
        <w:keepNext/>
        <w:rPr>
          <w:rtl/>
        </w:rPr>
      </w:pPr>
      <w:bookmarkStart w:id="79406" w:name="_ETM_Q155_464762"/>
      <w:bookmarkEnd w:id="79406"/>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79398"/>
    </w:p>
    <w:p w:rsidR="00BB59CD" w:rsidRDefault="00BB59CD" w:rsidP="00337201">
      <w:pPr>
        <w:rPr>
          <w:rtl/>
        </w:rPr>
      </w:pPr>
    </w:p>
    <w:p w:rsidR="00BB59CD" w:rsidRDefault="00BB59CD" w:rsidP="00BB59CD">
      <w:pPr>
        <w:rPr>
          <w:rtl/>
        </w:rPr>
      </w:pPr>
      <w:bookmarkStart w:id="79407" w:name="_ETM_Q155_464893"/>
      <w:bookmarkEnd w:id="79407"/>
      <w:r>
        <w:rPr>
          <w:rFonts w:hint="cs"/>
          <w:rtl/>
        </w:rPr>
        <w:t xml:space="preserve">ממש רחוק </w:t>
      </w:r>
      <w:bookmarkStart w:id="79408" w:name="_ETM_Q155_464700"/>
      <w:bookmarkEnd w:id="79408"/>
      <w:r>
        <w:rPr>
          <w:rFonts w:hint="cs"/>
          <w:rtl/>
        </w:rPr>
        <w:t xml:space="preserve">מזה. חקיקה שקורעת לגזרים את </w:t>
      </w:r>
      <w:bookmarkStart w:id="79409" w:name="_ETM_Q155_468919"/>
      <w:bookmarkEnd w:id="79409"/>
      <w:r>
        <w:rPr>
          <w:rFonts w:hint="cs"/>
          <w:rtl/>
        </w:rPr>
        <w:t xml:space="preserve">החברה </w:t>
      </w:r>
      <w:bookmarkStart w:id="79410" w:name="_ETM_Q155_469400"/>
      <w:bookmarkEnd w:id="79410"/>
      <w:r>
        <w:rPr>
          <w:rFonts w:hint="cs"/>
          <w:rtl/>
        </w:rPr>
        <w:t xml:space="preserve">הישראלית, </w:t>
      </w:r>
      <w:bookmarkStart w:id="79411" w:name="_ETM_Q155_470389"/>
      <w:bookmarkEnd w:id="79411"/>
      <w:r>
        <w:rPr>
          <w:rFonts w:hint="cs"/>
          <w:rtl/>
        </w:rPr>
        <w:t xml:space="preserve">שמפרקת </w:t>
      </w:r>
      <w:bookmarkStart w:id="79412" w:name="_ETM_Q155_471349"/>
      <w:bookmarkEnd w:id="79412"/>
      <w:r>
        <w:rPr>
          <w:rFonts w:hint="cs"/>
          <w:rtl/>
        </w:rPr>
        <w:t xml:space="preserve">את </w:t>
      </w:r>
      <w:bookmarkStart w:id="79413" w:name="_ETM_Q155_471440"/>
      <w:bookmarkEnd w:id="79413"/>
      <w:r>
        <w:rPr>
          <w:rFonts w:hint="cs"/>
          <w:rtl/>
        </w:rPr>
        <w:t xml:space="preserve">כל </w:t>
      </w:r>
      <w:bookmarkStart w:id="79414" w:name="_ETM_Q155_471680"/>
      <w:bookmarkEnd w:id="79414"/>
      <w:r>
        <w:rPr>
          <w:rFonts w:hint="cs"/>
          <w:rtl/>
        </w:rPr>
        <w:t xml:space="preserve">המוסדות </w:t>
      </w:r>
      <w:bookmarkStart w:id="79415" w:name="_ETM_Q155_472279"/>
      <w:bookmarkEnd w:id="79415"/>
      <w:r>
        <w:rPr>
          <w:rFonts w:hint="cs"/>
          <w:rtl/>
        </w:rPr>
        <w:t xml:space="preserve">של </w:t>
      </w:r>
      <w:bookmarkStart w:id="79416" w:name="_ETM_Q155_472430"/>
      <w:bookmarkEnd w:id="79416"/>
      <w:r>
        <w:rPr>
          <w:rFonts w:hint="cs"/>
          <w:rtl/>
        </w:rPr>
        <w:t xml:space="preserve">מדינת </w:t>
      </w:r>
      <w:bookmarkStart w:id="79417" w:name="_ETM_Q155_472849"/>
      <w:bookmarkEnd w:id="79417"/>
      <w:r>
        <w:rPr>
          <w:rFonts w:hint="cs"/>
          <w:rtl/>
        </w:rPr>
        <w:t xml:space="preserve">ישראל, </w:t>
      </w:r>
      <w:bookmarkStart w:id="79418" w:name="_ETM_Q155_473839"/>
      <w:bookmarkEnd w:id="79418"/>
      <w:r>
        <w:rPr>
          <w:rFonts w:hint="cs"/>
          <w:rtl/>
        </w:rPr>
        <w:t xml:space="preserve">שהורסת </w:t>
      </w:r>
      <w:bookmarkStart w:id="79419" w:name="_ETM_Q155_474710"/>
      <w:bookmarkEnd w:id="79419"/>
      <w:r>
        <w:rPr>
          <w:rFonts w:hint="cs"/>
          <w:rtl/>
        </w:rPr>
        <w:t xml:space="preserve">את </w:t>
      </w:r>
      <w:bookmarkStart w:id="79420" w:name="_ETM_Q155_474860"/>
      <w:bookmarkEnd w:id="79420"/>
      <w:r>
        <w:rPr>
          <w:rFonts w:hint="cs"/>
          <w:rtl/>
        </w:rPr>
        <w:t xml:space="preserve">הביטחון </w:t>
      </w:r>
      <w:bookmarkStart w:id="79421" w:name="_ETM_Q155_475610"/>
      <w:bookmarkEnd w:id="79421"/>
      <w:r>
        <w:rPr>
          <w:rFonts w:hint="cs"/>
          <w:rtl/>
        </w:rPr>
        <w:t xml:space="preserve">שלנו, </w:t>
      </w:r>
      <w:bookmarkStart w:id="79422" w:name="_ETM_Q155_476629"/>
      <w:bookmarkEnd w:id="79422"/>
      <w:r>
        <w:rPr>
          <w:rFonts w:hint="cs"/>
          <w:rtl/>
        </w:rPr>
        <w:t xml:space="preserve">את </w:t>
      </w:r>
      <w:bookmarkStart w:id="79423" w:name="_ETM_Q155_476839"/>
      <w:bookmarkEnd w:id="79423"/>
      <w:r>
        <w:rPr>
          <w:rFonts w:hint="cs"/>
          <w:rtl/>
        </w:rPr>
        <w:t xml:space="preserve">הביטחון </w:t>
      </w:r>
      <w:bookmarkStart w:id="79424" w:name="_ETM_Q155_477350"/>
      <w:bookmarkStart w:id="79425" w:name="_ETM_Q155_477800"/>
      <w:bookmarkEnd w:id="79424"/>
      <w:bookmarkEnd w:id="79425"/>
      <w:r>
        <w:rPr>
          <w:rFonts w:hint="cs"/>
          <w:rtl/>
        </w:rPr>
        <w:t>שכול</w:t>
      </w:r>
      <w:bookmarkStart w:id="79426" w:name="_ETM_Q155_478370"/>
      <w:bookmarkEnd w:id="79426"/>
      <w:r>
        <w:rPr>
          <w:rFonts w:hint="cs"/>
          <w:rtl/>
        </w:rPr>
        <w:t xml:space="preserve">ם היו </w:t>
      </w:r>
      <w:bookmarkStart w:id="79427" w:name="_ETM_Q155_478580"/>
      <w:bookmarkEnd w:id="79427"/>
      <w:r>
        <w:rPr>
          <w:rFonts w:hint="cs"/>
          <w:rtl/>
        </w:rPr>
        <w:t xml:space="preserve">כל </w:t>
      </w:r>
      <w:bookmarkStart w:id="79428" w:name="_ETM_Q155_478910"/>
      <w:bookmarkEnd w:id="79428"/>
      <w:r>
        <w:rPr>
          <w:rFonts w:hint="cs"/>
          <w:rtl/>
        </w:rPr>
        <w:t xml:space="preserve">כך </w:t>
      </w:r>
      <w:bookmarkStart w:id="79429" w:name="_ETM_Q155_479150"/>
      <w:bookmarkEnd w:id="79429"/>
      <w:r>
        <w:rPr>
          <w:rFonts w:hint="cs"/>
          <w:rtl/>
        </w:rPr>
        <w:t xml:space="preserve">מחויבות </w:t>
      </w:r>
      <w:bookmarkStart w:id="79430" w:name="_ETM_Q155_479660"/>
      <w:bookmarkEnd w:id="79430"/>
      <w:r>
        <w:rPr>
          <w:rFonts w:hint="cs"/>
          <w:rtl/>
        </w:rPr>
        <w:t xml:space="preserve">ומחויבים </w:t>
      </w:r>
      <w:bookmarkStart w:id="79431" w:name="_ETM_Q155_480320"/>
      <w:bookmarkEnd w:id="79431"/>
      <w:r>
        <w:rPr>
          <w:rFonts w:hint="cs"/>
          <w:rtl/>
        </w:rPr>
        <w:t>לו</w:t>
      </w:r>
      <w:bookmarkStart w:id="79432" w:name="_ETM_Q155_481709"/>
      <w:bookmarkEnd w:id="79432"/>
      <w:r>
        <w:rPr>
          <w:rFonts w:hint="cs"/>
          <w:rtl/>
        </w:rPr>
        <w:t>.</w:t>
      </w:r>
    </w:p>
    <w:p w:rsidR="00BB59CD" w:rsidRDefault="00BB59CD" w:rsidP="00BB59CD">
      <w:pPr>
        <w:rPr>
          <w:rtl/>
        </w:rPr>
      </w:pPr>
    </w:p>
    <w:p w:rsidR="00BB59CD" w:rsidRDefault="00BB59CD" w:rsidP="00BB59CD">
      <w:pPr>
        <w:pStyle w:val="af8"/>
        <w:keepNext/>
        <w:rPr>
          <w:rtl/>
        </w:rPr>
      </w:pPr>
      <w:bookmarkStart w:id="79433" w:name="ET_interruption_6345_39"/>
      <w:r>
        <w:rPr>
          <w:rStyle w:val="TagStyle"/>
          <w:rFonts w:hint="cs"/>
          <w:rtl/>
        </w:rPr>
        <w:t xml:space="preserve">&lt;&lt; קריאה &gt;&gt; </w:t>
      </w:r>
      <w:r>
        <w:rPr>
          <w:rFonts w:hint="cs"/>
          <w:rtl/>
        </w:rPr>
        <w:t>טלי גוטליב (הליכוד):</w:t>
      </w:r>
      <w:r>
        <w:rPr>
          <w:rStyle w:val="TagStyle"/>
          <w:rtl/>
        </w:rPr>
        <w:t xml:space="preserve"> &lt;&lt; קריאה &gt;&gt;</w:t>
      </w:r>
      <w:bookmarkEnd w:id="79433"/>
      <w:r>
        <w:rPr>
          <w:rFonts w:hint="cs"/>
          <w:rtl/>
        </w:rPr>
        <w:t xml:space="preserve">   </w:t>
      </w:r>
    </w:p>
    <w:p w:rsidR="00BB59CD" w:rsidRDefault="00BB59CD" w:rsidP="00337201">
      <w:pPr>
        <w:rPr>
          <w:rtl/>
        </w:rPr>
      </w:pPr>
    </w:p>
    <w:p w:rsidR="00BB59CD" w:rsidRDefault="00BB59CD" w:rsidP="00BB59CD">
      <w:pPr>
        <w:rPr>
          <w:rtl/>
        </w:rPr>
      </w:pPr>
      <w:r>
        <w:rPr>
          <w:rFonts w:hint="cs"/>
          <w:rtl/>
        </w:rPr>
        <w:t>צלם בהיכל. אני לא יכולה לשמוע אותה מדברת.</w:t>
      </w:r>
    </w:p>
    <w:p w:rsidR="00BB59CD" w:rsidRDefault="00BB59CD" w:rsidP="00BB59CD">
      <w:pPr>
        <w:rPr>
          <w:rtl/>
        </w:rPr>
      </w:pPr>
    </w:p>
    <w:p w:rsidR="00BB59CD" w:rsidRDefault="00BB59CD" w:rsidP="00BB59CD">
      <w:pPr>
        <w:pStyle w:val="-"/>
        <w:keepNext/>
        <w:rPr>
          <w:rtl/>
        </w:rPr>
      </w:pPr>
      <w:bookmarkStart w:id="79434" w:name="ET_speakercontinue_5090_26"/>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79434"/>
    </w:p>
    <w:p w:rsidR="00BB59CD" w:rsidRDefault="00BB59CD" w:rsidP="00337201">
      <w:pPr>
        <w:rPr>
          <w:rtl/>
        </w:rPr>
      </w:pPr>
    </w:p>
    <w:p w:rsidR="00BB59CD" w:rsidRDefault="00BB59CD" w:rsidP="00BB59CD">
      <w:pPr>
        <w:rPr>
          <w:rtl/>
        </w:rPr>
      </w:pPr>
      <w:r>
        <w:rPr>
          <w:rFonts w:hint="cs"/>
          <w:rtl/>
        </w:rPr>
        <w:t xml:space="preserve">את זה הם עושים </w:t>
      </w:r>
      <w:bookmarkStart w:id="79435" w:name="_ETM_Q155_482669"/>
      <w:bookmarkEnd w:id="79435"/>
      <w:r>
        <w:rPr>
          <w:rFonts w:hint="cs"/>
          <w:rtl/>
        </w:rPr>
        <w:t xml:space="preserve">בתשעת </w:t>
      </w:r>
      <w:bookmarkStart w:id="79436" w:name="_ETM_Q155_483270"/>
      <w:bookmarkEnd w:id="79436"/>
      <w:r>
        <w:rPr>
          <w:rFonts w:hint="cs"/>
          <w:rtl/>
        </w:rPr>
        <w:t xml:space="preserve">הימים </w:t>
      </w:r>
      <w:bookmarkStart w:id="79437" w:name="_ETM_Q155_483870"/>
      <w:bookmarkEnd w:id="79437"/>
      <w:r>
        <w:rPr>
          <w:rFonts w:hint="cs"/>
          <w:rtl/>
        </w:rPr>
        <w:t xml:space="preserve">שלפני </w:t>
      </w:r>
      <w:bookmarkStart w:id="79438" w:name="_ETM_Q155_484440"/>
      <w:bookmarkEnd w:id="79438"/>
      <w:r>
        <w:rPr>
          <w:rFonts w:hint="cs"/>
          <w:rtl/>
        </w:rPr>
        <w:t xml:space="preserve">החורבן. </w:t>
      </w:r>
      <w:bookmarkStart w:id="79439" w:name="_ETM_Q155_485520"/>
      <w:bookmarkEnd w:id="79439"/>
      <w:r>
        <w:rPr>
          <w:rFonts w:hint="cs"/>
          <w:rtl/>
        </w:rPr>
        <w:t xml:space="preserve">אין </w:t>
      </w:r>
      <w:bookmarkStart w:id="79440" w:name="_ETM_Q155_485790"/>
      <w:bookmarkEnd w:id="79440"/>
      <w:r>
        <w:rPr>
          <w:rFonts w:hint="cs"/>
          <w:rtl/>
        </w:rPr>
        <w:t xml:space="preserve">סמל </w:t>
      </w:r>
      <w:bookmarkStart w:id="79441" w:name="_ETM_Q155_487310"/>
      <w:bookmarkEnd w:id="79441"/>
      <w:r>
        <w:rPr>
          <w:rFonts w:hint="cs"/>
          <w:rtl/>
        </w:rPr>
        <w:t xml:space="preserve">יותר </w:t>
      </w:r>
      <w:bookmarkStart w:id="79442" w:name="_ETM_Q155_487879"/>
      <w:bookmarkEnd w:id="79442"/>
      <w:r>
        <w:rPr>
          <w:rFonts w:hint="cs"/>
          <w:rtl/>
        </w:rPr>
        <w:t xml:space="preserve">ברור </w:t>
      </w:r>
      <w:bookmarkStart w:id="79443" w:name="_ETM_Q155_488809"/>
      <w:bookmarkEnd w:id="79443"/>
      <w:r>
        <w:rPr>
          <w:rFonts w:hint="cs"/>
          <w:rtl/>
        </w:rPr>
        <w:t>וחד</w:t>
      </w:r>
      <w:bookmarkStart w:id="79444" w:name="_ETM_Q155_489349"/>
      <w:bookmarkEnd w:id="79444"/>
      <w:r>
        <w:rPr>
          <w:rFonts w:hint="cs"/>
          <w:rtl/>
        </w:rPr>
        <w:t xml:space="preserve">-משמעי </w:t>
      </w:r>
      <w:bookmarkStart w:id="79445" w:name="_ETM_Q155_489889"/>
      <w:bookmarkEnd w:id="79445"/>
      <w:r>
        <w:rPr>
          <w:rFonts w:hint="cs"/>
          <w:rtl/>
        </w:rPr>
        <w:t xml:space="preserve">מזה. </w:t>
      </w:r>
      <w:bookmarkStart w:id="79446" w:name="_ETM_Q155_492910"/>
      <w:bookmarkEnd w:id="79446"/>
      <w:r>
        <w:rPr>
          <w:rFonts w:hint="cs"/>
          <w:rtl/>
        </w:rPr>
        <w:t xml:space="preserve">לא </w:t>
      </w:r>
      <w:bookmarkStart w:id="79447" w:name="_ETM_Q155_493089"/>
      <w:bookmarkEnd w:id="79447"/>
      <w:r>
        <w:rPr>
          <w:rFonts w:hint="cs"/>
          <w:rtl/>
        </w:rPr>
        <w:t xml:space="preserve">רק </w:t>
      </w:r>
      <w:bookmarkStart w:id="79448" w:name="_ETM_Q155_493269"/>
      <w:bookmarkEnd w:id="79448"/>
      <w:r>
        <w:rPr>
          <w:rFonts w:hint="cs"/>
          <w:rtl/>
        </w:rPr>
        <w:t xml:space="preserve">שאין </w:t>
      </w:r>
      <w:bookmarkStart w:id="79449" w:name="_ETM_Q155_493539"/>
      <w:bookmarkEnd w:id="79449"/>
      <w:r>
        <w:rPr>
          <w:rFonts w:hint="cs"/>
          <w:rtl/>
        </w:rPr>
        <w:t xml:space="preserve">ברכה </w:t>
      </w:r>
      <w:bookmarkStart w:id="79450" w:name="_ETM_Q155_493900"/>
      <w:bookmarkEnd w:id="79450"/>
      <w:r>
        <w:rPr>
          <w:rFonts w:hint="cs"/>
          <w:rtl/>
        </w:rPr>
        <w:t xml:space="preserve">בחקיקה </w:t>
      </w:r>
      <w:bookmarkStart w:id="79451" w:name="_ETM_Q155_494469"/>
      <w:bookmarkEnd w:id="79451"/>
      <w:r>
        <w:rPr>
          <w:rFonts w:hint="cs"/>
          <w:rtl/>
        </w:rPr>
        <w:t xml:space="preserve">הזאת, </w:t>
      </w:r>
      <w:bookmarkStart w:id="79452" w:name="_ETM_Q155_496220"/>
      <w:bookmarkEnd w:id="79452"/>
      <w:r>
        <w:rPr>
          <w:rFonts w:hint="cs"/>
          <w:rtl/>
        </w:rPr>
        <w:t xml:space="preserve">היא </w:t>
      </w:r>
      <w:bookmarkStart w:id="79453" w:name="_ETM_Q155_496430"/>
      <w:bookmarkEnd w:id="79453"/>
      <w:r>
        <w:rPr>
          <w:rFonts w:hint="cs"/>
          <w:rtl/>
        </w:rPr>
        <w:t xml:space="preserve">לא </w:t>
      </w:r>
      <w:bookmarkStart w:id="79454" w:name="_ETM_Q155_496580"/>
      <w:bookmarkEnd w:id="79454"/>
      <w:r>
        <w:rPr>
          <w:rFonts w:hint="cs"/>
          <w:rtl/>
        </w:rPr>
        <w:t>תצלח.</w:t>
      </w:r>
    </w:p>
    <w:p w:rsidR="00BB59CD" w:rsidRDefault="00BB59CD" w:rsidP="00BB59CD">
      <w:pPr>
        <w:rPr>
          <w:rtl/>
        </w:rPr>
      </w:pPr>
    </w:p>
    <w:p w:rsidR="00BB59CD" w:rsidRDefault="00BB59CD" w:rsidP="00BB59CD">
      <w:pPr>
        <w:pStyle w:val="af8"/>
        <w:keepNext/>
        <w:rPr>
          <w:rtl/>
        </w:rPr>
      </w:pPr>
      <w:bookmarkStart w:id="79455" w:name="ET_interruption_6345_40"/>
      <w:r>
        <w:rPr>
          <w:rStyle w:val="TagStyle"/>
          <w:rFonts w:hint="cs"/>
          <w:rtl/>
        </w:rPr>
        <w:t xml:space="preserve">&lt;&lt; קריאה &gt;&gt; </w:t>
      </w:r>
      <w:r>
        <w:rPr>
          <w:rFonts w:hint="cs"/>
          <w:rtl/>
        </w:rPr>
        <w:t>טלי גוטליב (הליכוד):</w:t>
      </w:r>
      <w:r>
        <w:rPr>
          <w:rStyle w:val="TagStyle"/>
          <w:rtl/>
        </w:rPr>
        <w:t xml:space="preserve"> &lt;&lt; קריאה &gt;&gt;</w:t>
      </w:r>
      <w:bookmarkEnd w:id="79455"/>
      <w:r>
        <w:rPr>
          <w:rFonts w:hint="cs"/>
          <w:rtl/>
        </w:rPr>
        <w:t xml:space="preserve">   </w:t>
      </w:r>
    </w:p>
    <w:p w:rsidR="00BB59CD" w:rsidRDefault="00BB59CD" w:rsidP="00337201">
      <w:pPr>
        <w:rPr>
          <w:rtl/>
        </w:rPr>
      </w:pPr>
    </w:p>
    <w:p w:rsidR="00BB59CD" w:rsidRDefault="00BB59CD" w:rsidP="00BB59CD">
      <w:pPr>
        <w:rPr>
          <w:rtl/>
        </w:rPr>
      </w:pPr>
      <w:r>
        <w:rPr>
          <w:rFonts w:hint="cs"/>
          <w:rtl/>
        </w:rPr>
        <w:t>ברכה והצלחה.</w:t>
      </w:r>
    </w:p>
    <w:p w:rsidR="00BB59CD" w:rsidRDefault="00BB59CD" w:rsidP="00BB59CD">
      <w:pPr>
        <w:rPr>
          <w:rtl/>
        </w:rPr>
      </w:pPr>
    </w:p>
    <w:p w:rsidR="00BB59CD" w:rsidRDefault="00BB59CD" w:rsidP="00BB59CD">
      <w:pPr>
        <w:pStyle w:val="-"/>
        <w:keepNext/>
        <w:rPr>
          <w:rtl/>
        </w:rPr>
      </w:pPr>
      <w:bookmarkStart w:id="79456" w:name="ET_speakercontinue_5090_27"/>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79456"/>
    </w:p>
    <w:p w:rsidR="00BB59CD" w:rsidRDefault="00BB59CD" w:rsidP="00337201">
      <w:pPr>
        <w:rPr>
          <w:rtl/>
        </w:rPr>
      </w:pPr>
    </w:p>
    <w:p w:rsidR="00BB59CD" w:rsidRDefault="00BB59CD" w:rsidP="00BB59CD">
      <w:pPr>
        <w:rPr>
          <w:rtl/>
        </w:rPr>
      </w:pPr>
      <w:bookmarkStart w:id="79457" w:name="_ETM_Q155_498460"/>
      <w:bookmarkEnd w:id="79457"/>
      <w:r>
        <w:rPr>
          <w:rFonts w:hint="cs"/>
          <w:rtl/>
        </w:rPr>
        <w:t xml:space="preserve">היא </w:t>
      </w:r>
      <w:bookmarkStart w:id="79458" w:name="_ETM_Q155_498640"/>
      <w:bookmarkEnd w:id="79458"/>
      <w:r>
        <w:rPr>
          <w:rFonts w:hint="cs"/>
          <w:rtl/>
        </w:rPr>
        <w:t xml:space="preserve">לא </w:t>
      </w:r>
      <w:bookmarkStart w:id="79459" w:name="_ETM_Q155_498820"/>
      <w:bookmarkEnd w:id="79459"/>
      <w:r>
        <w:rPr>
          <w:rFonts w:hint="cs"/>
          <w:rtl/>
        </w:rPr>
        <w:t xml:space="preserve">תצלח. </w:t>
      </w:r>
      <w:bookmarkStart w:id="79460" w:name="_ETM_Q155_500130"/>
      <w:bookmarkEnd w:id="79460"/>
      <w:r>
        <w:rPr>
          <w:rFonts w:hint="cs"/>
          <w:rtl/>
        </w:rPr>
        <w:t xml:space="preserve">לא </w:t>
      </w:r>
      <w:bookmarkStart w:id="79461" w:name="_ETM_Q155_500370"/>
      <w:bookmarkEnd w:id="79461"/>
      <w:r>
        <w:rPr>
          <w:rFonts w:hint="cs"/>
          <w:rtl/>
        </w:rPr>
        <w:t xml:space="preserve">תצליחו </w:t>
      </w:r>
      <w:bookmarkStart w:id="79462" w:name="_ETM_Q155_501570"/>
      <w:bookmarkEnd w:id="79462"/>
      <w:r>
        <w:rPr>
          <w:rFonts w:hint="cs"/>
          <w:rtl/>
        </w:rPr>
        <w:t xml:space="preserve">לחרב, </w:t>
      </w:r>
      <w:bookmarkStart w:id="79463" w:name="_ETM_Q155_502869"/>
      <w:bookmarkEnd w:id="79463"/>
      <w:r>
        <w:rPr>
          <w:rFonts w:hint="cs"/>
          <w:rtl/>
        </w:rPr>
        <w:t xml:space="preserve">לא </w:t>
      </w:r>
      <w:bookmarkStart w:id="79464" w:name="_ETM_Q155_503109"/>
      <w:bookmarkEnd w:id="79464"/>
      <w:r>
        <w:rPr>
          <w:rFonts w:hint="cs"/>
          <w:rtl/>
        </w:rPr>
        <w:t xml:space="preserve">תצליחו </w:t>
      </w:r>
      <w:bookmarkStart w:id="79465" w:name="_ETM_Q155_503830"/>
      <w:bookmarkEnd w:id="79465"/>
      <w:r>
        <w:rPr>
          <w:rFonts w:hint="cs"/>
          <w:rtl/>
        </w:rPr>
        <w:t xml:space="preserve">להרוס. </w:t>
      </w:r>
      <w:bookmarkStart w:id="79466" w:name="_ETM_Q155_505360"/>
      <w:bookmarkEnd w:id="79466"/>
      <w:r>
        <w:rPr>
          <w:rFonts w:hint="cs"/>
          <w:rtl/>
        </w:rPr>
        <w:t>מאות</w:t>
      </w:r>
      <w:bookmarkStart w:id="79467" w:name="_ETM_Q155_506020"/>
      <w:bookmarkEnd w:id="79467"/>
      <w:r>
        <w:rPr>
          <w:rFonts w:hint="cs"/>
          <w:rtl/>
        </w:rPr>
        <w:t xml:space="preserve"> אלפי </w:t>
      </w:r>
      <w:bookmarkStart w:id="79468" w:name="_ETM_Q155_506560"/>
      <w:bookmarkEnd w:id="79468"/>
      <w:r>
        <w:rPr>
          <w:rFonts w:hint="cs"/>
          <w:rtl/>
        </w:rPr>
        <w:t xml:space="preserve">ישראליות </w:t>
      </w:r>
      <w:bookmarkStart w:id="79469" w:name="_ETM_Q155_507250"/>
      <w:bookmarkEnd w:id="79469"/>
      <w:r>
        <w:rPr>
          <w:rFonts w:hint="cs"/>
          <w:rtl/>
        </w:rPr>
        <w:t xml:space="preserve">וישראלים </w:t>
      </w:r>
      <w:bookmarkStart w:id="79470" w:name="_ETM_Q155_508060"/>
      <w:bookmarkEnd w:id="79470"/>
      <w:r>
        <w:rPr>
          <w:rFonts w:hint="cs"/>
          <w:rtl/>
        </w:rPr>
        <w:t xml:space="preserve">שנמצאות </w:t>
      </w:r>
      <w:bookmarkStart w:id="79471" w:name="_ETM_Q155_508930"/>
      <w:bookmarkEnd w:id="79471"/>
      <w:r>
        <w:rPr>
          <w:rFonts w:hint="cs"/>
          <w:rtl/>
        </w:rPr>
        <w:t xml:space="preserve">ונמצאים </w:t>
      </w:r>
      <w:bookmarkStart w:id="79472" w:name="_ETM_Q155_509470"/>
      <w:bookmarkEnd w:id="79472"/>
      <w:r>
        <w:rPr>
          <w:rFonts w:hint="cs"/>
          <w:rtl/>
        </w:rPr>
        <w:t xml:space="preserve">עכשיו </w:t>
      </w:r>
      <w:bookmarkStart w:id="79473" w:name="_ETM_Q155_509830"/>
      <w:bookmarkEnd w:id="79473"/>
      <w:r>
        <w:rPr>
          <w:rFonts w:hint="cs"/>
          <w:rtl/>
        </w:rPr>
        <w:t xml:space="preserve">פה, </w:t>
      </w:r>
      <w:bookmarkStart w:id="79474" w:name="_ETM_Q155_510039"/>
      <w:bookmarkEnd w:id="79474"/>
      <w:r>
        <w:rPr>
          <w:rFonts w:hint="cs"/>
          <w:rtl/>
        </w:rPr>
        <w:t xml:space="preserve">מחוץ </w:t>
      </w:r>
      <w:bookmarkStart w:id="79475" w:name="_ETM_Q155_510400"/>
      <w:bookmarkEnd w:id="79475"/>
      <w:r>
        <w:rPr>
          <w:rFonts w:hint="cs"/>
          <w:rtl/>
        </w:rPr>
        <w:t xml:space="preserve">לכנסת, </w:t>
      </w:r>
      <w:bookmarkStart w:id="79476" w:name="_ETM_Q155_511509"/>
      <w:bookmarkEnd w:id="79476"/>
      <w:r>
        <w:rPr>
          <w:rFonts w:hint="cs"/>
          <w:rtl/>
        </w:rPr>
        <w:t xml:space="preserve">שנמצאים </w:t>
      </w:r>
      <w:bookmarkStart w:id="79477" w:name="_ETM_Q155_512230"/>
      <w:bookmarkEnd w:id="79477"/>
      <w:r>
        <w:rPr>
          <w:rFonts w:hint="cs"/>
          <w:rtl/>
        </w:rPr>
        <w:t xml:space="preserve">בדרכים, </w:t>
      </w:r>
      <w:bookmarkStart w:id="79478" w:name="_ETM_Q155_512739"/>
      <w:bookmarkEnd w:id="79478"/>
      <w:r>
        <w:rPr>
          <w:rFonts w:hint="cs"/>
          <w:rtl/>
        </w:rPr>
        <w:t xml:space="preserve">שנמצאים </w:t>
      </w:r>
      <w:bookmarkStart w:id="79479" w:name="_ETM_Q155_513850"/>
      <w:bookmarkEnd w:id="79479"/>
      <w:r>
        <w:rPr>
          <w:rFonts w:hint="cs"/>
          <w:rtl/>
        </w:rPr>
        <w:t xml:space="preserve">בכל </w:t>
      </w:r>
      <w:bookmarkStart w:id="79480" w:name="_ETM_Q155_514390"/>
      <w:bookmarkEnd w:id="79480"/>
      <w:r>
        <w:rPr>
          <w:rFonts w:hint="cs"/>
          <w:rtl/>
        </w:rPr>
        <w:t xml:space="preserve">מקום </w:t>
      </w:r>
      <w:bookmarkStart w:id="79481" w:name="_ETM_Q155_514750"/>
      <w:bookmarkEnd w:id="79481"/>
      <w:r>
        <w:rPr>
          <w:rFonts w:hint="cs"/>
          <w:rtl/>
        </w:rPr>
        <w:t xml:space="preserve">בארץ, </w:t>
      </w:r>
      <w:bookmarkStart w:id="79482" w:name="_ETM_Q155_515640"/>
      <w:bookmarkEnd w:id="79482"/>
      <w:r>
        <w:rPr>
          <w:rFonts w:hint="cs"/>
          <w:rtl/>
        </w:rPr>
        <w:t xml:space="preserve">המגזר </w:t>
      </w:r>
      <w:bookmarkStart w:id="79483" w:name="_ETM_Q155_516180"/>
      <w:bookmarkEnd w:id="79483"/>
      <w:r>
        <w:rPr>
          <w:rFonts w:hint="cs"/>
          <w:rtl/>
        </w:rPr>
        <w:t xml:space="preserve">העסקי </w:t>
      </w:r>
      <w:bookmarkStart w:id="79484" w:name="_ETM_Q155_516870"/>
      <w:bookmarkEnd w:id="79484"/>
      <w:r>
        <w:rPr>
          <w:rFonts w:hint="cs"/>
          <w:rtl/>
        </w:rPr>
        <w:t xml:space="preserve">במדינת </w:t>
      </w:r>
      <w:bookmarkStart w:id="79485" w:name="_ETM_Q155_517380"/>
      <w:bookmarkEnd w:id="79485"/>
      <w:r>
        <w:rPr>
          <w:rFonts w:hint="cs"/>
          <w:rtl/>
        </w:rPr>
        <w:t xml:space="preserve">ישראל, </w:t>
      </w:r>
      <w:bookmarkStart w:id="79486" w:name="_ETM_Q155_517800"/>
      <w:bookmarkEnd w:id="79486"/>
      <w:r>
        <w:rPr>
          <w:rFonts w:hint="cs"/>
          <w:rtl/>
        </w:rPr>
        <w:t xml:space="preserve">שבאופן </w:t>
      </w:r>
      <w:bookmarkStart w:id="79487" w:name="_ETM_Q155_518310"/>
      <w:bookmarkEnd w:id="79487"/>
      <w:r>
        <w:rPr>
          <w:rFonts w:hint="cs"/>
          <w:rtl/>
        </w:rPr>
        <w:t xml:space="preserve">תקדימי, </w:t>
      </w:r>
      <w:bookmarkStart w:id="79488" w:name="_ETM_Q155_519450"/>
      <w:bookmarkEnd w:id="79488"/>
      <w:r>
        <w:rPr>
          <w:rFonts w:hint="cs"/>
          <w:rtl/>
        </w:rPr>
        <w:t xml:space="preserve">ראשוני, </w:t>
      </w:r>
      <w:bookmarkStart w:id="79489" w:name="_ETM_Q155_521480"/>
      <w:bookmarkEnd w:id="79489"/>
      <w:r>
        <w:rPr>
          <w:rFonts w:hint="cs"/>
          <w:rtl/>
        </w:rPr>
        <w:t xml:space="preserve">משבית </w:t>
      </w:r>
      <w:bookmarkStart w:id="79490" w:name="_ETM_Q155_522410"/>
      <w:bookmarkEnd w:id="79490"/>
      <w:r>
        <w:rPr>
          <w:rFonts w:hint="cs"/>
          <w:rtl/>
        </w:rPr>
        <w:t xml:space="preserve">היום </w:t>
      </w:r>
      <w:bookmarkStart w:id="79491" w:name="_ETM_Q155_522950"/>
      <w:bookmarkEnd w:id="79491"/>
      <w:r>
        <w:rPr>
          <w:rFonts w:hint="cs"/>
          <w:rtl/>
        </w:rPr>
        <w:t xml:space="preserve">את </w:t>
      </w:r>
      <w:bookmarkStart w:id="79492" w:name="_ETM_Q155_523160"/>
      <w:bookmarkEnd w:id="79492"/>
      <w:r>
        <w:rPr>
          <w:rFonts w:hint="cs"/>
          <w:rtl/>
        </w:rPr>
        <w:t xml:space="preserve">כל </w:t>
      </w:r>
      <w:bookmarkStart w:id="79493" w:name="_ETM_Q155_523489"/>
      <w:bookmarkEnd w:id="79493"/>
      <w:r>
        <w:rPr>
          <w:rFonts w:hint="cs"/>
          <w:rtl/>
        </w:rPr>
        <w:t xml:space="preserve">העסקים </w:t>
      </w:r>
      <w:bookmarkStart w:id="79494" w:name="_ETM_Q155_524089"/>
      <w:bookmarkEnd w:id="79494"/>
      <w:r>
        <w:rPr>
          <w:rFonts w:hint="cs"/>
          <w:rtl/>
        </w:rPr>
        <w:t xml:space="preserve">שלהם, </w:t>
      </w:r>
      <w:bookmarkStart w:id="79495" w:name="_ETM_Q155_524510"/>
      <w:bookmarkEnd w:id="79495"/>
      <w:r>
        <w:rPr>
          <w:rFonts w:hint="cs"/>
          <w:rtl/>
        </w:rPr>
        <w:t xml:space="preserve">משום </w:t>
      </w:r>
      <w:bookmarkStart w:id="79496" w:name="_ETM_Q155_524899"/>
      <w:bookmarkEnd w:id="79496"/>
      <w:r>
        <w:rPr>
          <w:rFonts w:hint="cs"/>
          <w:rtl/>
        </w:rPr>
        <w:t xml:space="preserve">שהפגיעה </w:t>
      </w:r>
      <w:bookmarkStart w:id="79497" w:name="_ETM_Q155_525650"/>
      <w:bookmarkEnd w:id="79497"/>
      <w:r>
        <w:rPr>
          <w:rFonts w:hint="cs"/>
          <w:rtl/>
        </w:rPr>
        <w:t xml:space="preserve">בכלכלה </w:t>
      </w:r>
      <w:bookmarkStart w:id="79498" w:name="_ETM_Q155_526730"/>
      <w:bookmarkEnd w:id="79498"/>
      <w:r>
        <w:rPr>
          <w:rFonts w:hint="cs"/>
          <w:rtl/>
        </w:rPr>
        <w:t xml:space="preserve">כל </w:t>
      </w:r>
      <w:bookmarkStart w:id="79499" w:name="_ETM_Q155_526970"/>
      <w:bookmarkEnd w:id="79499"/>
      <w:r>
        <w:rPr>
          <w:rFonts w:hint="cs"/>
          <w:rtl/>
        </w:rPr>
        <w:t xml:space="preserve">כך </w:t>
      </w:r>
      <w:bookmarkStart w:id="79500" w:name="_ETM_Q155_527270"/>
      <w:bookmarkEnd w:id="79500"/>
      <w:r>
        <w:rPr>
          <w:rFonts w:hint="cs"/>
          <w:rtl/>
        </w:rPr>
        <w:t xml:space="preserve">גדולה, </w:t>
      </w:r>
      <w:bookmarkStart w:id="79501" w:name="_ETM_Q155_527629"/>
      <w:bookmarkEnd w:id="79501"/>
      <w:r>
        <w:rPr>
          <w:rFonts w:hint="cs"/>
          <w:rtl/>
        </w:rPr>
        <w:t xml:space="preserve">שהם מבינים </w:t>
      </w:r>
      <w:bookmarkStart w:id="79502" w:name="_ETM_Q155_528710"/>
      <w:bookmarkEnd w:id="79502"/>
      <w:r>
        <w:rPr>
          <w:rFonts w:hint="cs"/>
          <w:rtl/>
        </w:rPr>
        <w:t xml:space="preserve">שזה </w:t>
      </w:r>
      <w:bookmarkStart w:id="79503" w:name="_ETM_Q155_529129"/>
      <w:bookmarkEnd w:id="79503"/>
      <w:r>
        <w:rPr>
          <w:rFonts w:hint="cs"/>
          <w:rtl/>
        </w:rPr>
        <w:t xml:space="preserve">ממש </w:t>
      </w:r>
      <w:bookmarkStart w:id="79504" w:name="_ETM_Q155_529929"/>
      <w:bookmarkEnd w:id="79504"/>
      <w:r>
        <w:rPr>
          <w:rFonts w:hint="cs"/>
          <w:rtl/>
        </w:rPr>
        <w:t xml:space="preserve">הכרח </w:t>
      </w:r>
      <w:bookmarkStart w:id="79505" w:name="_ETM_Q155_530529"/>
      <w:bookmarkEnd w:id="79505"/>
      <w:r>
        <w:rPr>
          <w:rFonts w:hint="cs"/>
          <w:rtl/>
        </w:rPr>
        <w:t xml:space="preserve">השעה </w:t>
      </w:r>
      <w:bookmarkStart w:id="79506" w:name="_ETM_Q155_534170"/>
      <w:bookmarkEnd w:id="79506"/>
      <w:r>
        <w:rPr>
          <w:rFonts w:hint="cs"/>
          <w:rtl/>
        </w:rPr>
        <w:t>- - -</w:t>
      </w:r>
    </w:p>
    <w:p w:rsidR="00BB59CD" w:rsidRDefault="00BB59CD" w:rsidP="00BB59CD">
      <w:pPr>
        <w:rPr>
          <w:rt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העשירים האלה, בעלי ההון, </w:t>
      </w:r>
      <w:bookmarkStart w:id="79507" w:name="_ETM_Q155_534728"/>
      <w:bookmarkEnd w:id="79507"/>
      <w:r>
        <w:rPr>
          <w:rFonts w:hint="cs"/>
          <w:rtl/>
        </w:rPr>
        <w:t>רוצים שקט כדי לעשות עוד כסף. זה מה שמעניין אותם.</w:t>
      </w:r>
    </w:p>
    <w:p w:rsidR="00BB59CD" w:rsidRDefault="00BB59CD" w:rsidP="00BB59CD">
      <w:pPr>
        <w:rPr>
          <w:rtl/>
        </w:rPr>
      </w:pPr>
      <w:bookmarkStart w:id="79508" w:name="_ETM_Q155_535528"/>
      <w:bookmarkStart w:id="79509" w:name="_ETM_Q155_535579"/>
      <w:bookmarkEnd w:id="79508"/>
      <w:bookmarkEnd w:id="79509"/>
    </w:p>
    <w:p w:rsidR="00BB59CD" w:rsidRDefault="00BB59CD" w:rsidP="00BB59CD">
      <w:pPr>
        <w:pStyle w:val="-"/>
        <w:keepNext/>
        <w:rPr>
          <w:rtl/>
        </w:rPr>
      </w:pPr>
      <w:bookmarkStart w:id="79510" w:name="ET_speakercontinue_5090_28"/>
      <w:r>
        <w:rPr>
          <w:rStyle w:val="TagStyle"/>
          <w:rFonts w:hint="cs"/>
          <w:rtl/>
        </w:rPr>
        <w:t xml:space="preserve"> &lt;&lt; דובר_המשך &gt;&gt; </w:t>
      </w:r>
      <w:r>
        <w:rPr>
          <w:rFonts w:hint="cs"/>
          <w:rtl/>
        </w:rPr>
        <w:t>מרב מיכאלי (העבודה):</w:t>
      </w:r>
      <w:r>
        <w:rPr>
          <w:rStyle w:val="TagStyle"/>
          <w:rtl/>
        </w:rPr>
        <w:t xml:space="preserve"> &lt;&lt; דובר_המשך &gt;&gt;</w:t>
      </w:r>
      <w:r>
        <w:rPr>
          <w:rFonts w:hint="cs"/>
          <w:rtl/>
        </w:rPr>
        <w:t xml:space="preserve">   </w:t>
      </w:r>
      <w:bookmarkEnd w:id="79510"/>
    </w:p>
    <w:p w:rsidR="00BB59CD" w:rsidRDefault="00BB59CD" w:rsidP="00337201">
      <w:pPr>
        <w:rPr>
          <w:rtl/>
        </w:rPr>
      </w:pPr>
    </w:p>
    <w:p w:rsidR="00BB59CD" w:rsidRDefault="00BB59CD" w:rsidP="00E21977">
      <w:pPr>
        <w:rPr>
          <w:rtl/>
        </w:rPr>
      </w:pPr>
      <w:bookmarkStart w:id="79511" w:name="_ETM_Q155_536163"/>
      <w:bookmarkEnd w:id="79511"/>
      <w:r>
        <w:rPr>
          <w:rFonts w:hint="cs"/>
          <w:rtl/>
        </w:rPr>
        <w:t>האמירה החד</w:t>
      </w:r>
      <w:bookmarkStart w:id="79512" w:name="_ETM_Q155_534350"/>
      <w:bookmarkEnd w:id="79512"/>
      <w:r>
        <w:rPr>
          <w:rFonts w:hint="cs"/>
          <w:rtl/>
        </w:rPr>
        <w:t xml:space="preserve">-משמעית </w:t>
      </w:r>
      <w:bookmarkStart w:id="79513" w:name="_ETM_Q155_535650"/>
      <w:bookmarkEnd w:id="79513"/>
      <w:r>
        <w:rPr>
          <w:rFonts w:hint="cs"/>
          <w:rtl/>
        </w:rPr>
        <w:t xml:space="preserve">של </w:t>
      </w:r>
      <w:bookmarkStart w:id="79514" w:name="_ETM_Q155_535920"/>
      <w:bookmarkEnd w:id="79514"/>
      <w:r>
        <w:rPr>
          <w:rFonts w:hint="cs"/>
          <w:rtl/>
        </w:rPr>
        <w:t>עשרות</w:t>
      </w:r>
      <w:bookmarkStart w:id="79515" w:name="_ETM_Q155_536640"/>
      <w:bookmarkEnd w:id="79515"/>
      <w:r>
        <w:rPr>
          <w:rFonts w:hint="cs"/>
          <w:rtl/>
        </w:rPr>
        <w:t xml:space="preserve"> אלפי </w:t>
      </w:r>
      <w:bookmarkStart w:id="79516" w:name="_ETM_Q155_537180"/>
      <w:bookmarkEnd w:id="79516"/>
      <w:r>
        <w:rPr>
          <w:rFonts w:hint="cs"/>
          <w:rtl/>
        </w:rPr>
        <w:t xml:space="preserve">מתנדבות </w:t>
      </w:r>
      <w:bookmarkStart w:id="79517" w:name="_ETM_Q155_537779"/>
      <w:bookmarkEnd w:id="79517"/>
      <w:r>
        <w:rPr>
          <w:rFonts w:hint="cs"/>
          <w:rtl/>
        </w:rPr>
        <w:t xml:space="preserve">ומתנדבים </w:t>
      </w:r>
      <w:bookmarkStart w:id="79518" w:name="_ETM_Q155_538380"/>
      <w:bookmarkEnd w:id="79518"/>
      <w:r>
        <w:rPr>
          <w:rFonts w:hint="cs"/>
          <w:rtl/>
        </w:rPr>
        <w:t xml:space="preserve">למילואים </w:t>
      </w:r>
      <w:bookmarkStart w:id="79519" w:name="_ETM_Q155_539190"/>
      <w:bookmarkEnd w:id="79519"/>
      <w:r>
        <w:rPr>
          <w:rFonts w:hint="cs"/>
          <w:rtl/>
        </w:rPr>
        <w:t xml:space="preserve">שהם </w:t>
      </w:r>
      <w:bookmarkStart w:id="79520" w:name="_ETM_Q155_539579"/>
      <w:bookmarkEnd w:id="79520"/>
      <w:r>
        <w:rPr>
          <w:rFonts w:hint="cs"/>
          <w:rtl/>
        </w:rPr>
        <w:t xml:space="preserve">לא </w:t>
      </w:r>
      <w:bookmarkStart w:id="79521" w:name="_ETM_Q155_539700"/>
      <w:bookmarkEnd w:id="79521"/>
      <w:r>
        <w:rPr>
          <w:rFonts w:hint="cs"/>
          <w:rtl/>
        </w:rPr>
        <w:t xml:space="preserve">ישרתו </w:t>
      </w:r>
      <w:bookmarkStart w:id="79522" w:name="_ETM_Q155_540239"/>
      <w:bookmarkEnd w:id="79522"/>
      <w:r>
        <w:rPr>
          <w:rFonts w:hint="cs"/>
          <w:rtl/>
        </w:rPr>
        <w:t xml:space="preserve">דיקטטורה – </w:t>
      </w:r>
      <w:bookmarkStart w:id="79523" w:name="_ETM_Q155_541680"/>
      <w:bookmarkEnd w:id="79523"/>
      <w:r>
        <w:rPr>
          <w:rFonts w:hint="cs"/>
          <w:rtl/>
        </w:rPr>
        <w:t xml:space="preserve">כל </w:t>
      </w:r>
      <w:bookmarkStart w:id="79524" w:name="_ETM_Q155_542309"/>
      <w:bookmarkEnd w:id="79524"/>
      <w:r>
        <w:rPr>
          <w:rFonts w:hint="cs"/>
          <w:rtl/>
        </w:rPr>
        <w:t xml:space="preserve">אלה </w:t>
      </w:r>
      <w:bookmarkStart w:id="79525" w:name="_ETM_Q155_542579"/>
      <w:bookmarkEnd w:id="79525"/>
      <w:r>
        <w:rPr>
          <w:rFonts w:hint="cs"/>
          <w:rtl/>
        </w:rPr>
        <w:t xml:space="preserve">ועוד </w:t>
      </w:r>
      <w:bookmarkStart w:id="79526" w:name="_ETM_Q155_543570"/>
      <w:bookmarkEnd w:id="79526"/>
      <w:r>
        <w:rPr>
          <w:rFonts w:hint="cs"/>
          <w:rtl/>
        </w:rPr>
        <w:t xml:space="preserve">לא </w:t>
      </w:r>
      <w:bookmarkStart w:id="79527" w:name="_ETM_Q155_543809"/>
      <w:bookmarkEnd w:id="79527"/>
      <w:r>
        <w:rPr>
          <w:rFonts w:hint="cs"/>
          <w:rtl/>
        </w:rPr>
        <w:t xml:space="preserve">ייתנו </w:t>
      </w:r>
      <w:bookmarkStart w:id="79528" w:name="_ETM_Q155_544170"/>
      <w:bookmarkEnd w:id="79528"/>
      <w:r>
        <w:rPr>
          <w:rFonts w:hint="cs"/>
          <w:rtl/>
        </w:rPr>
        <w:t xml:space="preserve">לכם </w:t>
      </w:r>
      <w:bookmarkStart w:id="79529" w:name="_ETM_Q155_544500"/>
      <w:bookmarkEnd w:id="79529"/>
      <w:r>
        <w:rPr>
          <w:rFonts w:hint="cs"/>
          <w:rtl/>
        </w:rPr>
        <w:t xml:space="preserve">לחרב </w:t>
      </w:r>
      <w:bookmarkStart w:id="79530" w:name="_ETM_Q155_544830"/>
      <w:bookmarkEnd w:id="79530"/>
      <w:r>
        <w:rPr>
          <w:rFonts w:hint="cs"/>
          <w:rtl/>
        </w:rPr>
        <w:t xml:space="preserve">את </w:t>
      </w:r>
      <w:bookmarkStart w:id="79531" w:name="_ETM_Q155_544950"/>
      <w:bookmarkEnd w:id="79531"/>
      <w:r>
        <w:rPr>
          <w:rFonts w:hint="cs"/>
          <w:rtl/>
        </w:rPr>
        <w:t xml:space="preserve">מדינת </w:t>
      </w:r>
      <w:bookmarkStart w:id="79532" w:name="_ETM_Q155_545400"/>
      <w:bookmarkEnd w:id="79532"/>
      <w:r>
        <w:rPr>
          <w:rFonts w:hint="cs"/>
          <w:rtl/>
        </w:rPr>
        <w:t xml:space="preserve">ישראל; </w:t>
      </w:r>
      <w:bookmarkStart w:id="79533" w:name="_ETM_Q155_546240"/>
      <w:bookmarkEnd w:id="79533"/>
      <w:r>
        <w:rPr>
          <w:rFonts w:hint="cs"/>
          <w:rtl/>
        </w:rPr>
        <w:t xml:space="preserve">לא </w:t>
      </w:r>
      <w:bookmarkStart w:id="79534" w:name="_ETM_Q155_546420"/>
      <w:bookmarkEnd w:id="79534"/>
      <w:r>
        <w:rPr>
          <w:rFonts w:hint="cs"/>
          <w:rtl/>
        </w:rPr>
        <w:t xml:space="preserve">ייתנו </w:t>
      </w:r>
      <w:bookmarkStart w:id="79535" w:name="_ETM_Q155_546660"/>
      <w:bookmarkEnd w:id="79535"/>
      <w:r>
        <w:rPr>
          <w:rFonts w:hint="cs"/>
          <w:rtl/>
        </w:rPr>
        <w:t xml:space="preserve">לכם </w:t>
      </w:r>
      <w:bookmarkStart w:id="79536" w:name="_ETM_Q155_546930"/>
      <w:bookmarkEnd w:id="79536"/>
      <w:r>
        <w:rPr>
          <w:rFonts w:hint="cs"/>
          <w:rtl/>
        </w:rPr>
        <w:t xml:space="preserve">להרוס </w:t>
      </w:r>
      <w:bookmarkStart w:id="79537" w:name="_ETM_Q155_547290"/>
      <w:bookmarkEnd w:id="79537"/>
      <w:r>
        <w:rPr>
          <w:rFonts w:hint="cs"/>
          <w:rtl/>
        </w:rPr>
        <w:t xml:space="preserve">את </w:t>
      </w:r>
      <w:bookmarkStart w:id="79538" w:name="_ETM_Q155_547350"/>
      <w:bookmarkEnd w:id="79538"/>
      <w:r>
        <w:rPr>
          <w:rFonts w:hint="cs"/>
          <w:rtl/>
        </w:rPr>
        <w:t xml:space="preserve">הפרויקט </w:t>
      </w:r>
      <w:bookmarkStart w:id="79539" w:name="_ETM_Q155_547830"/>
      <w:bookmarkEnd w:id="79539"/>
      <w:r>
        <w:rPr>
          <w:rFonts w:hint="cs"/>
          <w:rtl/>
        </w:rPr>
        <w:t xml:space="preserve">הציוני; </w:t>
      </w:r>
      <w:bookmarkStart w:id="79540" w:name="_ETM_Q155_548790"/>
      <w:bookmarkEnd w:id="79540"/>
      <w:r>
        <w:rPr>
          <w:rFonts w:hint="cs"/>
          <w:rtl/>
        </w:rPr>
        <w:t xml:space="preserve">לא </w:t>
      </w:r>
      <w:bookmarkStart w:id="79541" w:name="_ETM_Q155_549029"/>
      <w:bookmarkEnd w:id="79541"/>
      <w:r>
        <w:rPr>
          <w:rFonts w:hint="cs"/>
          <w:rtl/>
        </w:rPr>
        <w:t xml:space="preserve">ייתנו </w:t>
      </w:r>
      <w:bookmarkStart w:id="79542" w:name="_ETM_Q155_549390"/>
      <w:bookmarkEnd w:id="79542"/>
      <w:r>
        <w:rPr>
          <w:rFonts w:hint="cs"/>
          <w:rtl/>
        </w:rPr>
        <w:t xml:space="preserve">לכם </w:t>
      </w:r>
      <w:bookmarkStart w:id="79543" w:name="_ETM_Q155_550740"/>
      <w:bookmarkEnd w:id="79543"/>
      <w:r>
        <w:rPr>
          <w:rFonts w:hint="cs"/>
          <w:rtl/>
        </w:rPr>
        <w:t xml:space="preserve">להעביר </w:t>
      </w:r>
      <w:bookmarkStart w:id="79544" w:name="_ETM_Q155_552330"/>
      <w:bookmarkEnd w:id="79544"/>
      <w:r>
        <w:rPr>
          <w:rFonts w:hint="cs"/>
          <w:rtl/>
        </w:rPr>
        <w:t xml:space="preserve">את </w:t>
      </w:r>
      <w:bookmarkStart w:id="79545" w:name="_ETM_Q155_552510"/>
      <w:bookmarkEnd w:id="79545"/>
      <w:r>
        <w:rPr>
          <w:rFonts w:hint="cs"/>
          <w:rtl/>
        </w:rPr>
        <w:t xml:space="preserve">החורבן </w:t>
      </w:r>
      <w:bookmarkStart w:id="79546" w:name="_ETM_Q155_553050"/>
      <w:bookmarkEnd w:id="79546"/>
      <w:r>
        <w:rPr>
          <w:rFonts w:hint="cs"/>
          <w:rtl/>
        </w:rPr>
        <w:t xml:space="preserve">שאתם </w:t>
      </w:r>
      <w:bookmarkStart w:id="79547" w:name="_ETM_Q155_553410"/>
      <w:bookmarkEnd w:id="79547"/>
      <w:r>
        <w:rPr>
          <w:rFonts w:hint="cs"/>
          <w:rtl/>
        </w:rPr>
        <w:t xml:space="preserve">מנסים </w:t>
      </w:r>
      <w:bookmarkStart w:id="79548" w:name="_ETM_Q155_553830"/>
      <w:bookmarkEnd w:id="79548"/>
      <w:r>
        <w:rPr>
          <w:rFonts w:hint="cs"/>
          <w:rtl/>
        </w:rPr>
        <w:t xml:space="preserve">להעביר </w:t>
      </w:r>
      <w:bookmarkStart w:id="79549" w:name="_ETM_Q155_554310"/>
      <w:bookmarkEnd w:id="79549"/>
      <w:r>
        <w:rPr>
          <w:rFonts w:hint="cs"/>
          <w:rtl/>
        </w:rPr>
        <w:t>כאן.</w:t>
      </w:r>
    </w:p>
    <w:p w:rsidR="00BB59CD" w:rsidRDefault="00BB59CD" w:rsidP="00BB59CD">
      <w:pPr>
        <w:rPr>
          <w:rtl/>
        </w:rPr>
      </w:pPr>
      <w:bookmarkStart w:id="79550" w:name="_ETM_Q155_558364"/>
      <w:bookmarkStart w:id="79551" w:name="_ETM_Q155_558429"/>
      <w:bookmarkEnd w:id="79550"/>
      <w:bookmarkEnd w:id="79551"/>
    </w:p>
    <w:p w:rsidR="00BB59CD" w:rsidRDefault="00BB59CD" w:rsidP="00BB59CD">
      <w:pPr>
        <w:pStyle w:val="af8"/>
        <w:keepNext/>
        <w:rPr>
          <w:rtl/>
        </w:rPr>
      </w:pPr>
      <w:bookmarkStart w:id="79552" w:name="_ETM_Q155_558492"/>
      <w:bookmarkStart w:id="79553" w:name="_ETM_Q155_558543"/>
      <w:bookmarkEnd w:id="79552"/>
      <w:bookmarkEnd w:id="79553"/>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rPr>
      </w:pPr>
      <w:bookmarkStart w:id="79554" w:name="_ETM_Q155_559355"/>
      <w:bookmarkEnd w:id="79554"/>
    </w:p>
    <w:p w:rsidR="00BB59CD" w:rsidRDefault="00BB59CD" w:rsidP="00BB59CD">
      <w:pPr>
        <w:rPr>
          <w:rtl/>
        </w:rPr>
      </w:pPr>
      <w:bookmarkStart w:id="79555" w:name="_ETM_Q155_559414"/>
      <w:bookmarkEnd w:id="79555"/>
      <w:r>
        <w:rPr>
          <w:rFonts w:hint="cs"/>
          <w:rtl/>
        </w:rPr>
        <w:t xml:space="preserve">יאיר לפיד אמר </w:t>
      </w:r>
      <w:bookmarkStart w:id="79556" w:name="_ETM_Q155_557229"/>
      <w:bookmarkEnd w:id="79556"/>
      <w:r>
        <w:rPr>
          <w:rFonts w:hint="cs"/>
          <w:rtl/>
        </w:rPr>
        <w:t xml:space="preserve">שצמצום </w:t>
      </w:r>
      <w:bookmarkStart w:id="79557" w:name="_ETM_Q155_557950"/>
      <w:bookmarkEnd w:id="79557"/>
      <w:r>
        <w:rPr>
          <w:rFonts w:hint="cs"/>
          <w:rtl/>
        </w:rPr>
        <w:t>עילת הסבירות הוא תפארת הדמוקרטיה</w:t>
      </w:r>
      <w:bookmarkStart w:id="79558" w:name="_ETM_Q155_563559"/>
      <w:bookmarkEnd w:id="79558"/>
      <w:r>
        <w:rPr>
          <w:rFonts w:hint="cs"/>
          <w:rtl/>
        </w:rPr>
        <w:t>, יאיר לפיד ב-2016.</w:t>
      </w:r>
    </w:p>
    <w:p w:rsidR="00BB59CD" w:rsidRDefault="00BB59CD" w:rsidP="00BB59CD">
      <w:pPr>
        <w:rPr>
          <w:rtl/>
        </w:rPr>
      </w:pPr>
    </w:p>
    <w:p w:rsidR="00BB59CD" w:rsidRDefault="00BB59CD" w:rsidP="00BB59CD">
      <w:pPr>
        <w:pStyle w:val="af9"/>
        <w:keepNext/>
        <w:rPr>
          <w:rtl/>
        </w:rPr>
      </w:pPr>
      <w:bookmarkStart w:id="79559" w:name="ET_yor_6129_2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79559"/>
    </w:p>
    <w:p w:rsidR="00BB59CD" w:rsidRDefault="00BB59CD" w:rsidP="00337201">
      <w:pPr>
        <w:rPr>
          <w:rtl/>
        </w:rPr>
      </w:pPr>
    </w:p>
    <w:p w:rsidR="00BB59CD" w:rsidRDefault="00BB59CD" w:rsidP="00E21977">
      <w:pPr>
        <w:rPr>
          <w:rtl/>
        </w:rPr>
      </w:pPr>
      <w:r>
        <w:rPr>
          <w:rFonts w:hint="cs"/>
          <w:rtl/>
        </w:rPr>
        <w:t>חבר הכנסת איימן עודה, ת</w:t>
      </w:r>
      <w:r w:rsidR="00E21977">
        <w:rPr>
          <w:rFonts w:hint="cs"/>
          <w:rtl/>
        </w:rPr>
        <w:t>פ</w:t>
      </w:r>
      <w:r>
        <w:rPr>
          <w:rFonts w:hint="cs"/>
          <w:rtl/>
        </w:rPr>
        <w:t>דל.</w:t>
      </w:r>
    </w:p>
    <w:p w:rsidR="00BB59CD" w:rsidRDefault="00BB59CD" w:rsidP="00BB59CD">
      <w:pPr>
        <w:rPr>
          <w:rtl/>
        </w:rPr>
      </w:pPr>
    </w:p>
    <w:p w:rsidR="00BB59CD" w:rsidRDefault="00BB59CD" w:rsidP="00BB59CD">
      <w:pPr>
        <w:pStyle w:val="af8"/>
        <w:keepNext/>
        <w:rPr>
          <w:rtl/>
        </w:rPr>
      </w:pPr>
      <w:bookmarkStart w:id="79560" w:name="ET_interruption_6345_43"/>
      <w:r>
        <w:rPr>
          <w:rStyle w:val="TagStyle"/>
          <w:rFonts w:hint="cs"/>
          <w:rtl/>
        </w:rPr>
        <w:t xml:space="preserve">&lt;&lt; קריאה &gt;&gt; </w:t>
      </w:r>
      <w:r>
        <w:rPr>
          <w:rFonts w:hint="cs"/>
          <w:rtl/>
        </w:rPr>
        <w:t>טלי גוטליב (הליכוד):</w:t>
      </w:r>
      <w:r>
        <w:rPr>
          <w:rStyle w:val="TagStyle"/>
          <w:rtl/>
        </w:rPr>
        <w:t xml:space="preserve"> &lt;&lt; קריאה &gt;&gt;</w:t>
      </w:r>
      <w:bookmarkEnd w:id="79560"/>
      <w:r>
        <w:rPr>
          <w:rFonts w:hint="cs"/>
          <w:rtl/>
        </w:rPr>
        <w:t xml:space="preserve">   </w:t>
      </w:r>
    </w:p>
    <w:p w:rsidR="00BB59CD" w:rsidRDefault="00BB59CD" w:rsidP="00337201">
      <w:pPr>
        <w:rPr>
          <w:rtl/>
        </w:rPr>
      </w:pPr>
    </w:p>
    <w:p w:rsidR="00BB59CD" w:rsidRDefault="00BB59CD" w:rsidP="00BB59CD">
      <w:pPr>
        <w:rPr>
          <w:rtl/>
        </w:rPr>
      </w:pPr>
      <w:bookmarkStart w:id="79561" w:name="_ETM_Q155_564681"/>
      <w:bookmarkStart w:id="79562" w:name="_ETM_Q155_564761"/>
      <w:bookmarkEnd w:id="79561"/>
      <w:bookmarkEnd w:id="79562"/>
      <w:r>
        <w:rPr>
          <w:rFonts w:hint="cs"/>
          <w:rtl/>
        </w:rPr>
        <w:t>גם אהרן ברק, בסרטון שסוף-סוף הופץ ביוטיוב, אהרן ברק אמר שעיל</w:t>
      </w:r>
      <w:bookmarkStart w:id="79563" w:name="_ETM_Q155_567484"/>
      <w:bookmarkEnd w:id="79563"/>
      <w:r>
        <w:rPr>
          <w:rFonts w:hint="cs"/>
          <w:rtl/>
        </w:rPr>
        <w:t xml:space="preserve">ת הסבירות היא פסיק ועברה שעתה. אבל לא נורא. אל </w:t>
      </w:r>
      <w:bookmarkStart w:id="79564" w:name="_ETM_Q155_577525"/>
      <w:bookmarkEnd w:id="79564"/>
      <w:r>
        <w:rPr>
          <w:rFonts w:hint="cs"/>
          <w:rtl/>
        </w:rPr>
        <w:t xml:space="preserve">תדאג, איימן עודה, לך אני לא מפריעה. תשתמש בחסינות שלך, כמו שאמרתי לך. לא מפריעה לך. לא פונים אליי, </w:t>
      </w:r>
      <w:bookmarkStart w:id="79565" w:name="_ETM_Q155_585658"/>
      <w:bookmarkEnd w:id="79565"/>
      <w:r>
        <w:rPr>
          <w:rFonts w:hint="cs"/>
          <w:rtl/>
        </w:rPr>
        <w:t>אני לא מפריעה, כך זה עובד.</w:t>
      </w:r>
    </w:p>
    <w:p w:rsidR="00BB59CD" w:rsidRDefault="00BB59CD" w:rsidP="00BB59CD">
      <w:pPr>
        <w:rPr>
          <w:rtl/>
        </w:rPr>
      </w:pPr>
      <w:bookmarkStart w:id="79566" w:name="_ETM_Q155_577705"/>
      <w:bookmarkStart w:id="79567" w:name="_ETM_Q155_577786"/>
      <w:bookmarkStart w:id="79568" w:name="_ETM_Q155_580809"/>
      <w:bookmarkEnd w:id="79566"/>
      <w:bookmarkEnd w:id="79567"/>
      <w:bookmarkEnd w:id="79568"/>
    </w:p>
    <w:p w:rsidR="00BB59CD" w:rsidRDefault="00BB59CD" w:rsidP="00BB59CD">
      <w:pPr>
        <w:pStyle w:val="a5"/>
        <w:keepNext/>
        <w:rPr>
          <w:rtl/>
        </w:rPr>
      </w:pPr>
      <w:bookmarkStart w:id="79569" w:name="ET_speaker_5293_30"/>
      <w:r>
        <w:rPr>
          <w:rStyle w:val="TagStyle"/>
          <w:rFonts w:hint="cs"/>
          <w:rtl/>
        </w:rPr>
        <w:t xml:space="preserve"> &lt;&lt; דובר &gt;&gt; </w:t>
      </w:r>
      <w:bookmarkStart w:id="79570" w:name="_Toc141197198"/>
      <w:bookmarkStart w:id="79571" w:name="_Toc141196934"/>
      <w:r>
        <w:rPr>
          <w:rFonts w:hint="cs"/>
          <w:rtl/>
        </w:rPr>
        <w:t>איימן עודה (חד"ש-תע"ל):</w:t>
      </w:r>
      <w:bookmarkEnd w:id="79570"/>
      <w:bookmarkEnd w:id="79571"/>
      <w:r>
        <w:rPr>
          <w:rStyle w:val="TagStyle"/>
          <w:rFonts w:hint="cs"/>
          <w:rtl/>
        </w:rPr>
        <w:t xml:space="preserve"> &lt;&lt; דובר &gt;&gt;</w:t>
      </w:r>
      <w:r>
        <w:rPr>
          <w:rFonts w:hint="cs"/>
          <w:rtl/>
        </w:rPr>
        <w:t xml:space="preserve">   </w:t>
      </w:r>
      <w:bookmarkStart w:id="79572" w:name="_ETM_Q155_581378"/>
      <w:bookmarkStart w:id="79573" w:name="_ETM_Q155_581419"/>
      <w:bookmarkEnd w:id="79569"/>
      <w:bookmarkEnd w:id="79572"/>
      <w:bookmarkEnd w:id="79573"/>
    </w:p>
    <w:p w:rsidR="00BB59CD" w:rsidRDefault="00BB59CD" w:rsidP="00337201">
      <w:pPr>
        <w:rPr>
          <w:rtl/>
        </w:rPr>
      </w:pPr>
      <w:bookmarkStart w:id="79574" w:name="_ETM_Q155_578521"/>
      <w:bookmarkStart w:id="79575" w:name="_ETM_Q155_578645"/>
      <w:bookmarkEnd w:id="79574"/>
      <w:bookmarkEnd w:id="79575"/>
    </w:p>
    <w:p w:rsidR="00BB59CD" w:rsidRDefault="00BB59CD" w:rsidP="00E21977">
      <w:pPr>
        <w:rPr>
          <w:rtl/>
        </w:rPr>
      </w:pPr>
      <w:bookmarkStart w:id="79576" w:name="_ETM_Q155_560961"/>
      <w:bookmarkStart w:id="79577" w:name="_ETM_Q155_561016"/>
      <w:bookmarkStart w:id="79578" w:name="_ETM_Q155_597600"/>
      <w:bookmarkStart w:id="79579" w:name="_ETM_Q155_601529"/>
      <w:bookmarkEnd w:id="79576"/>
      <w:bookmarkEnd w:id="79577"/>
      <w:bookmarkEnd w:id="79578"/>
      <w:bookmarkEnd w:id="79579"/>
      <w:r>
        <w:rPr>
          <w:rFonts w:hint="cs"/>
          <w:rtl/>
        </w:rPr>
        <w:t xml:space="preserve">כבוד </w:t>
      </w:r>
      <w:bookmarkStart w:id="79580" w:name="_ETM_Q155_601859"/>
      <w:bookmarkEnd w:id="79580"/>
      <w:r>
        <w:rPr>
          <w:rFonts w:hint="cs"/>
          <w:rtl/>
        </w:rPr>
        <w:t xml:space="preserve">היושב-ראש, </w:t>
      </w:r>
      <w:bookmarkStart w:id="79581" w:name="_ETM_Q155_602640"/>
      <w:bookmarkEnd w:id="79581"/>
      <w:r>
        <w:rPr>
          <w:rFonts w:hint="cs"/>
          <w:rtl/>
        </w:rPr>
        <w:t xml:space="preserve">עמיתיי </w:t>
      </w:r>
      <w:bookmarkStart w:id="79582" w:name="_ETM_Q155_603210"/>
      <w:bookmarkEnd w:id="79582"/>
      <w:r>
        <w:rPr>
          <w:rFonts w:hint="cs"/>
          <w:rtl/>
        </w:rPr>
        <w:t xml:space="preserve">חברי </w:t>
      </w:r>
      <w:bookmarkStart w:id="79583" w:name="_ETM_Q155_603569"/>
      <w:bookmarkEnd w:id="79583"/>
      <w:r>
        <w:rPr>
          <w:rFonts w:hint="cs"/>
          <w:rtl/>
        </w:rPr>
        <w:t xml:space="preserve">הכנסת </w:t>
      </w:r>
      <w:bookmarkStart w:id="79584" w:name="_ETM_Q155_604289"/>
      <w:bookmarkEnd w:id="79584"/>
      <w:r>
        <w:rPr>
          <w:rFonts w:hint="cs"/>
          <w:rtl/>
        </w:rPr>
        <w:t xml:space="preserve">וחברות </w:t>
      </w:r>
      <w:bookmarkStart w:id="79585" w:name="_ETM_Q155_604799"/>
      <w:bookmarkEnd w:id="79585"/>
      <w:r>
        <w:rPr>
          <w:rFonts w:hint="cs"/>
          <w:rtl/>
        </w:rPr>
        <w:t xml:space="preserve">הכנסת, </w:t>
      </w:r>
      <w:bookmarkStart w:id="79586" w:name="_ETM_Q155_606479"/>
      <w:bookmarkEnd w:id="79586"/>
      <w:r>
        <w:rPr>
          <w:rFonts w:hint="cs"/>
          <w:rtl/>
        </w:rPr>
        <w:t xml:space="preserve">אני </w:t>
      </w:r>
      <w:bookmarkStart w:id="79587" w:name="_ETM_Q155_606719"/>
      <w:bookmarkEnd w:id="79587"/>
      <w:r>
        <w:rPr>
          <w:rFonts w:hint="cs"/>
          <w:rtl/>
        </w:rPr>
        <w:t xml:space="preserve">רוצה </w:t>
      </w:r>
      <w:bookmarkStart w:id="79588" w:name="_ETM_Q155_607499"/>
      <w:bookmarkEnd w:id="79588"/>
      <w:r>
        <w:rPr>
          <w:rFonts w:hint="cs"/>
          <w:rtl/>
        </w:rPr>
        <w:t xml:space="preserve">לברך </w:t>
      </w:r>
      <w:bookmarkStart w:id="79589" w:name="_ETM_Q155_609170"/>
      <w:bookmarkEnd w:id="79589"/>
      <w:r>
        <w:rPr>
          <w:rFonts w:hint="cs"/>
          <w:rtl/>
        </w:rPr>
        <w:t xml:space="preserve">ולהעלות </w:t>
      </w:r>
      <w:bookmarkStart w:id="79590" w:name="_ETM_Q155_609860"/>
      <w:bookmarkEnd w:id="79590"/>
      <w:r>
        <w:rPr>
          <w:rFonts w:hint="cs"/>
          <w:rtl/>
        </w:rPr>
        <w:t xml:space="preserve">על </w:t>
      </w:r>
      <w:bookmarkStart w:id="79591" w:name="_ETM_Q155_610070"/>
      <w:bookmarkEnd w:id="79591"/>
      <w:r>
        <w:rPr>
          <w:rFonts w:hint="cs"/>
          <w:rtl/>
        </w:rPr>
        <w:t xml:space="preserve">נס </w:t>
      </w:r>
      <w:bookmarkStart w:id="79592" w:name="_ETM_Q155_611990"/>
      <w:bookmarkEnd w:id="79592"/>
      <w:r>
        <w:rPr>
          <w:rFonts w:hint="cs"/>
          <w:rtl/>
        </w:rPr>
        <w:t xml:space="preserve">את </w:t>
      </w:r>
      <w:bookmarkStart w:id="79593" w:name="_ETM_Q155_612350"/>
      <w:bookmarkEnd w:id="79593"/>
      <w:r>
        <w:rPr>
          <w:rFonts w:hint="cs"/>
          <w:rtl/>
        </w:rPr>
        <w:t xml:space="preserve">המאבק </w:t>
      </w:r>
      <w:bookmarkStart w:id="79594" w:name="_ETM_Q155_613640"/>
      <w:bookmarkEnd w:id="79594"/>
      <w:r>
        <w:rPr>
          <w:rFonts w:hint="cs"/>
          <w:rtl/>
        </w:rPr>
        <w:t xml:space="preserve">העיקש </w:t>
      </w:r>
      <w:bookmarkStart w:id="79595" w:name="_ETM_Q155_615420"/>
      <w:bookmarkEnd w:id="79595"/>
      <w:r>
        <w:rPr>
          <w:rFonts w:hint="cs"/>
          <w:rtl/>
        </w:rPr>
        <w:t xml:space="preserve">שכבר </w:t>
      </w:r>
      <w:bookmarkStart w:id="79596" w:name="_ETM_Q155_616080"/>
      <w:bookmarkEnd w:id="79596"/>
      <w:r>
        <w:rPr>
          <w:rFonts w:hint="cs"/>
          <w:rtl/>
        </w:rPr>
        <w:t xml:space="preserve">29 </w:t>
      </w:r>
      <w:bookmarkStart w:id="79597" w:name="_ETM_Q155_617129"/>
      <w:bookmarkEnd w:id="79597"/>
      <w:r>
        <w:rPr>
          <w:rFonts w:hint="cs"/>
          <w:rtl/>
        </w:rPr>
        <w:t xml:space="preserve">שבועות </w:t>
      </w:r>
      <w:bookmarkStart w:id="79598" w:name="_ETM_Q155_618749"/>
      <w:bookmarkEnd w:id="79598"/>
      <w:r>
        <w:rPr>
          <w:rFonts w:hint="cs"/>
          <w:rtl/>
        </w:rPr>
        <w:t xml:space="preserve">מנהלים </w:t>
      </w:r>
      <w:bookmarkStart w:id="79599" w:name="_ETM_Q155_620279"/>
      <w:bookmarkEnd w:id="79599"/>
      <w:r>
        <w:rPr>
          <w:rFonts w:hint="cs"/>
          <w:rtl/>
        </w:rPr>
        <w:t xml:space="preserve">המפגינים </w:t>
      </w:r>
      <w:bookmarkStart w:id="79600" w:name="_ETM_Q155_621239"/>
      <w:bookmarkEnd w:id="79600"/>
      <w:r>
        <w:rPr>
          <w:rFonts w:hint="cs"/>
          <w:rtl/>
        </w:rPr>
        <w:t xml:space="preserve">והמפגינות. </w:t>
      </w:r>
      <w:bookmarkStart w:id="79601" w:name="_ETM_Q155_622739"/>
      <w:bookmarkEnd w:id="79601"/>
      <w:r>
        <w:rPr>
          <w:rFonts w:hint="cs"/>
          <w:rtl/>
        </w:rPr>
        <w:t xml:space="preserve">הרבה </w:t>
      </w:r>
      <w:bookmarkStart w:id="79602" w:name="_ETM_Q155_623370"/>
      <w:bookmarkEnd w:id="79602"/>
      <w:r>
        <w:rPr>
          <w:rFonts w:hint="cs"/>
          <w:rtl/>
        </w:rPr>
        <w:t xml:space="preserve">הערכה. </w:t>
      </w:r>
      <w:bookmarkStart w:id="79603" w:name="_ETM_Q155_624239"/>
      <w:bookmarkEnd w:id="79603"/>
      <w:r>
        <w:rPr>
          <w:rFonts w:hint="cs"/>
          <w:rtl/>
        </w:rPr>
        <w:t xml:space="preserve">הרבה </w:t>
      </w:r>
      <w:bookmarkStart w:id="79604" w:name="_ETM_Q155_624750"/>
      <w:bookmarkEnd w:id="79604"/>
      <w:r>
        <w:rPr>
          <w:rFonts w:hint="cs"/>
          <w:rtl/>
        </w:rPr>
        <w:t xml:space="preserve">הערכה. </w:t>
      </w:r>
      <w:bookmarkStart w:id="79605" w:name="_ETM_Q155_626120"/>
      <w:bookmarkEnd w:id="79605"/>
      <w:r>
        <w:rPr>
          <w:rFonts w:hint="cs"/>
          <w:rtl/>
        </w:rPr>
        <w:t xml:space="preserve">נכון </w:t>
      </w:r>
      <w:bookmarkStart w:id="79606" w:name="_ETM_Q155_626930"/>
      <w:bookmarkEnd w:id="79606"/>
      <w:r>
        <w:rPr>
          <w:rFonts w:hint="cs"/>
          <w:rtl/>
        </w:rPr>
        <w:t xml:space="preserve">שיש </w:t>
      </w:r>
      <w:bookmarkStart w:id="79607" w:name="_ETM_Q155_627410"/>
      <w:bookmarkEnd w:id="79607"/>
      <w:r>
        <w:rPr>
          <w:rFonts w:hint="cs"/>
          <w:rtl/>
        </w:rPr>
        <w:t xml:space="preserve">בינינו </w:t>
      </w:r>
      <w:bookmarkStart w:id="79608" w:name="_ETM_Q155_627980"/>
      <w:bookmarkEnd w:id="79608"/>
      <w:r>
        <w:rPr>
          <w:rFonts w:hint="cs"/>
          <w:rtl/>
        </w:rPr>
        <w:t xml:space="preserve">חילוקי </w:t>
      </w:r>
      <w:bookmarkStart w:id="79609" w:name="_ETM_Q155_628430"/>
      <w:bookmarkEnd w:id="79609"/>
      <w:r>
        <w:rPr>
          <w:rFonts w:hint="cs"/>
          <w:rtl/>
        </w:rPr>
        <w:t xml:space="preserve">דעות; </w:t>
      </w:r>
      <w:bookmarkStart w:id="79610" w:name="_ETM_Q155_630090"/>
      <w:bookmarkEnd w:id="79610"/>
      <w:r>
        <w:rPr>
          <w:rFonts w:hint="cs"/>
          <w:rtl/>
        </w:rPr>
        <w:t xml:space="preserve">נכון </w:t>
      </w:r>
      <w:bookmarkStart w:id="79611" w:name="_ETM_Q155_630810"/>
      <w:bookmarkEnd w:id="79611"/>
      <w:r>
        <w:rPr>
          <w:rFonts w:hint="cs"/>
          <w:rtl/>
        </w:rPr>
        <w:t>ש</w:t>
      </w:r>
      <w:bookmarkStart w:id="79612" w:name="_ETM_Q155_631650"/>
      <w:bookmarkEnd w:id="79612"/>
      <w:r>
        <w:rPr>
          <w:rFonts w:hint="cs"/>
          <w:rtl/>
        </w:rPr>
        <w:t xml:space="preserve">מעבר </w:t>
      </w:r>
      <w:bookmarkStart w:id="79613" w:name="_ETM_Q155_632250"/>
      <w:bookmarkEnd w:id="79613"/>
      <w:r>
        <w:rPr>
          <w:rFonts w:hint="cs"/>
          <w:rtl/>
        </w:rPr>
        <w:t xml:space="preserve">לחילוקי </w:t>
      </w:r>
      <w:bookmarkStart w:id="79614" w:name="_ETM_Q155_632670"/>
      <w:bookmarkEnd w:id="79614"/>
      <w:r>
        <w:rPr>
          <w:rFonts w:hint="cs"/>
          <w:rtl/>
        </w:rPr>
        <w:t xml:space="preserve">הדעות </w:t>
      </w:r>
      <w:bookmarkStart w:id="79615" w:name="_ETM_Q155_633120"/>
      <w:bookmarkEnd w:id="79615"/>
      <w:r>
        <w:rPr>
          <w:rFonts w:hint="cs"/>
          <w:rtl/>
        </w:rPr>
        <w:t xml:space="preserve">אפילו </w:t>
      </w:r>
      <w:bookmarkStart w:id="79616" w:name="_ETM_Q155_633600"/>
      <w:bookmarkEnd w:id="79616"/>
      <w:r>
        <w:rPr>
          <w:rFonts w:hint="cs"/>
          <w:rtl/>
        </w:rPr>
        <w:t xml:space="preserve">יש כעס, </w:t>
      </w:r>
      <w:bookmarkStart w:id="79617" w:name="_ETM_Q155_635159"/>
      <w:bookmarkEnd w:id="79617"/>
      <w:r>
        <w:rPr>
          <w:rFonts w:hint="cs"/>
          <w:rtl/>
        </w:rPr>
        <w:t xml:space="preserve">כי </w:t>
      </w:r>
      <w:bookmarkStart w:id="79618" w:name="_ETM_Q155_635340"/>
      <w:bookmarkEnd w:id="79618"/>
      <w:r>
        <w:rPr>
          <w:rFonts w:hint="cs"/>
          <w:rtl/>
        </w:rPr>
        <w:t xml:space="preserve">דמוקרטיה </w:t>
      </w:r>
      <w:bookmarkStart w:id="79619" w:name="_ETM_Q155_636239"/>
      <w:bookmarkEnd w:id="79619"/>
      <w:r>
        <w:rPr>
          <w:rFonts w:hint="cs"/>
          <w:rtl/>
        </w:rPr>
        <w:t xml:space="preserve">אמיתית, </w:t>
      </w:r>
      <w:bookmarkStart w:id="79620" w:name="_ETM_Q155_637199"/>
      <w:bookmarkEnd w:id="79620"/>
      <w:r>
        <w:rPr>
          <w:rFonts w:hint="cs"/>
          <w:rtl/>
        </w:rPr>
        <w:t xml:space="preserve">כלומר </w:t>
      </w:r>
      <w:bookmarkStart w:id="79621" w:name="_ETM_Q155_637680"/>
      <w:bookmarkEnd w:id="79621"/>
      <w:r>
        <w:rPr>
          <w:rFonts w:hint="cs"/>
          <w:rtl/>
        </w:rPr>
        <w:t xml:space="preserve">דמוקרטיה </w:t>
      </w:r>
      <w:bookmarkStart w:id="79622" w:name="_ETM_Q155_638430"/>
      <w:bookmarkEnd w:id="79622"/>
      <w:r>
        <w:rPr>
          <w:rFonts w:hint="cs"/>
          <w:rtl/>
        </w:rPr>
        <w:t xml:space="preserve">לכולם, </w:t>
      </w:r>
      <w:bookmarkStart w:id="79623" w:name="_ETM_Q155_639659"/>
      <w:bookmarkEnd w:id="79623"/>
      <w:r>
        <w:rPr>
          <w:rFonts w:hint="cs"/>
          <w:rtl/>
        </w:rPr>
        <w:t xml:space="preserve">כלומר </w:t>
      </w:r>
      <w:bookmarkStart w:id="79624" w:name="_ETM_Q155_640079"/>
      <w:bookmarkEnd w:id="79624"/>
      <w:r>
        <w:rPr>
          <w:rFonts w:hint="cs"/>
          <w:rtl/>
        </w:rPr>
        <w:t xml:space="preserve">דמוקרטיה </w:t>
      </w:r>
      <w:bookmarkStart w:id="79625" w:name="_ETM_Q155_641129"/>
      <w:bookmarkEnd w:id="79625"/>
      <w:r>
        <w:rPr>
          <w:rFonts w:hint="cs"/>
          <w:rtl/>
        </w:rPr>
        <w:t xml:space="preserve">לשני </w:t>
      </w:r>
      <w:bookmarkStart w:id="79626" w:name="_ETM_Q155_641639"/>
      <w:bookmarkEnd w:id="79626"/>
      <w:r>
        <w:rPr>
          <w:rFonts w:hint="cs"/>
          <w:rtl/>
        </w:rPr>
        <w:t xml:space="preserve">העמים, </w:t>
      </w:r>
      <w:bookmarkStart w:id="79627" w:name="_ETM_Q155_642719"/>
      <w:bookmarkEnd w:id="79627"/>
      <w:r w:rsidR="00E21977">
        <w:rPr>
          <w:rFonts w:hint="cs"/>
          <w:rtl/>
        </w:rPr>
        <w:t xml:space="preserve">הוא </w:t>
      </w:r>
      <w:r>
        <w:rPr>
          <w:rFonts w:hint="cs"/>
          <w:rtl/>
        </w:rPr>
        <w:t xml:space="preserve">בוודאי </w:t>
      </w:r>
      <w:bookmarkStart w:id="79628" w:name="_ETM_Q155_644010"/>
      <w:bookmarkEnd w:id="79628"/>
      <w:r>
        <w:rPr>
          <w:rFonts w:hint="cs"/>
          <w:rtl/>
        </w:rPr>
        <w:t xml:space="preserve">לא </w:t>
      </w:r>
      <w:bookmarkStart w:id="79629" w:name="_ETM_Q155_644400"/>
      <w:bookmarkEnd w:id="79629"/>
      <w:r>
        <w:rPr>
          <w:rFonts w:hint="cs"/>
          <w:rtl/>
        </w:rPr>
        <w:t xml:space="preserve">דמוקרטיה </w:t>
      </w:r>
      <w:bookmarkStart w:id="79630" w:name="_ETM_Q155_645029"/>
      <w:bookmarkEnd w:id="79630"/>
      <w:r>
        <w:rPr>
          <w:rFonts w:hint="cs"/>
          <w:rtl/>
        </w:rPr>
        <w:t xml:space="preserve">יהודית. </w:t>
      </w:r>
      <w:bookmarkStart w:id="79631" w:name="_ETM_Q155_647130"/>
      <w:bookmarkStart w:id="79632" w:name="_ETM_Q155_649514"/>
      <w:bookmarkStart w:id="79633" w:name="_ETM_Q155_649568"/>
      <w:bookmarkStart w:id="79634" w:name="_ETM_Q155_649658"/>
      <w:bookmarkStart w:id="79635" w:name="_ETM_Q155_649704"/>
      <w:bookmarkEnd w:id="79631"/>
      <w:bookmarkEnd w:id="79632"/>
      <w:bookmarkEnd w:id="79633"/>
      <w:bookmarkEnd w:id="79634"/>
      <w:bookmarkEnd w:id="79635"/>
      <w:r>
        <w:rPr>
          <w:rFonts w:hint="cs"/>
          <w:rtl/>
        </w:rPr>
        <w:t xml:space="preserve">יחד </w:t>
      </w:r>
      <w:bookmarkStart w:id="79636" w:name="_ETM_Q155_647640"/>
      <w:bookmarkEnd w:id="79636"/>
      <w:r>
        <w:rPr>
          <w:rFonts w:hint="cs"/>
          <w:rtl/>
        </w:rPr>
        <w:t xml:space="preserve">עם </w:t>
      </w:r>
      <w:bookmarkStart w:id="79637" w:name="_ETM_Q155_647790"/>
      <w:bookmarkEnd w:id="79637"/>
      <w:r>
        <w:rPr>
          <w:rFonts w:hint="cs"/>
          <w:rtl/>
        </w:rPr>
        <w:t xml:space="preserve">זאת, </w:t>
      </w:r>
      <w:bookmarkStart w:id="79638" w:name="_ETM_Q155_649090"/>
      <w:bookmarkEnd w:id="79638"/>
      <w:r>
        <w:rPr>
          <w:rFonts w:hint="cs"/>
          <w:rtl/>
        </w:rPr>
        <w:t xml:space="preserve">עצם </w:t>
      </w:r>
      <w:bookmarkStart w:id="79639" w:name="_ETM_Q155_649930"/>
      <w:bookmarkEnd w:id="79639"/>
      <w:r>
        <w:rPr>
          <w:rFonts w:hint="cs"/>
          <w:rtl/>
        </w:rPr>
        <w:t xml:space="preserve">ההפגנות </w:t>
      </w:r>
      <w:bookmarkStart w:id="79640" w:name="_ETM_Q155_651040"/>
      <w:bookmarkEnd w:id="79640"/>
      <w:r>
        <w:rPr>
          <w:rFonts w:hint="cs"/>
          <w:rtl/>
        </w:rPr>
        <w:t xml:space="preserve">נגד </w:t>
      </w:r>
      <w:bookmarkStart w:id="79641" w:name="_ETM_Q155_652670"/>
      <w:bookmarkEnd w:id="79641"/>
      <w:r>
        <w:rPr>
          <w:rFonts w:hint="cs"/>
          <w:rtl/>
        </w:rPr>
        <w:t>ההפיכה המשטרית</w:t>
      </w:r>
      <w:r w:rsidR="00E21977">
        <w:rPr>
          <w:rFonts w:hint="cs"/>
          <w:rtl/>
        </w:rPr>
        <w:t>,</w:t>
      </w:r>
      <w:r>
        <w:rPr>
          <w:rFonts w:hint="cs"/>
          <w:rtl/>
        </w:rPr>
        <w:t xml:space="preserve"> </w:t>
      </w:r>
      <w:bookmarkStart w:id="79642" w:name="_ETM_Q155_655639"/>
      <w:bookmarkEnd w:id="79642"/>
      <w:r>
        <w:rPr>
          <w:rFonts w:hint="cs"/>
          <w:rtl/>
        </w:rPr>
        <w:t xml:space="preserve">שתוביל </w:t>
      </w:r>
      <w:bookmarkStart w:id="79643" w:name="_ETM_Q155_656269"/>
      <w:bookmarkEnd w:id="79643"/>
      <w:r>
        <w:rPr>
          <w:rFonts w:hint="cs"/>
          <w:rtl/>
        </w:rPr>
        <w:t>לפשיזם</w:t>
      </w:r>
      <w:r w:rsidR="00E21977">
        <w:rPr>
          <w:rFonts w:hint="cs"/>
          <w:rtl/>
        </w:rPr>
        <w:t>,</w:t>
      </w:r>
      <w:r>
        <w:rPr>
          <w:rFonts w:hint="cs"/>
          <w:rtl/>
        </w:rPr>
        <w:t xml:space="preserve"> </w:t>
      </w:r>
      <w:bookmarkStart w:id="79644" w:name="_ETM_Q155_658099"/>
      <w:bookmarkEnd w:id="79644"/>
      <w:r>
        <w:rPr>
          <w:rFonts w:hint="cs"/>
          <w:rtl/>
        </w:rPr>
        <w:t>ז</w:t>
      </w:r>
      <w:r w:rsidR="00E21977">
        <w:rPr>
          <w:rFonts w:hint="cs"/>
          <w:rtl/>
        </w:rPr>
        <w:t>ה</w:t>
      </w:r>
      <w:r>
        <w:rPr>
          <w:rFonts w:hint="cs"/>
          <w:rtl/>
        </w:rPr>
        <w:t xml:space="preserve"> </w:t>
      </w:r>
      <w:bookmarkStart w:id="79645" w:name="_ETM_Q155_658700"/>
      <w:bookmarkEnd w:id="79645"/>
      <w:r>
        <w:rPr>
          <w:rFonts w:hint="cs"/>
          <w:rtl/>
        </w:rPr>
        <w:t xml:space="preserve">עמדה </w:t>
      </w:r>
      <w:bookmarkStart w:id="79646" w:name="_ETM_Q155_659330"/>
      <w:bookmarkEnd w:id="79646"/>
      <w:r>
        <w:rPr>
          <w:rFonts w:hint="cs"/>
          <w:rtl/>
        </w:rPr>
        <w:t xml:space="preserve">שצריך </w:t>
      </w:r>
      <w:bookmarkStart w:id="79647" w:name="_ETM_Q155_660260"/>
      <w:bookmarkEnd w:id="79647"/>
      <w:r>
        <w:rPr>
          <w:rFonts w:hint="cs"/>
          <w:rtl/>
        </w:rPr>
        <w:t xml:space="preserve">להעריך </w:t>
      </w:r>
      <w:bookmarkStart w:id="79648" w:name="_ETM_Q155_660830"/>
      <w:bookmarkEnd w:id="79648"/>
      <w:r>
        <w:rPr>
          <w:rFonts w:hint="cs"/>
          <w:rtl/>
        </w:rPr>
        <w:t xml:space="preserve">אותה. </w:t>
      </w:r>
      <w:bookmarkStart w:id="79649" w:name="_ETM_Q155_662840"/>
      <w:bookmarkStart w:id="79650" w:name="_ETM_Q155_664383"/>
      <w:bookmarkStart w:id="79651" w:name="_ETM_Q155_664437"/>
      <w:bookmarkStart w:id="79652" w:name="_ETM_Q155_664528"/>
      <w:bookmarkStart w:id="79653" w:name="_ETM_Q155_664574"/>
      <w:bookmarkEnd w:id="79649"/>
      <w:bookmarkEnd w:id="79650"/>
      <w:bookmarkEnd w:id="79651"/>
      <w:bookmarkEnd w:id="79652"/>
      <w:bookmarkEnd w:id="79653"/>
      <w:r>
        <w:rPr>
          <w:rFonts w:hint="cs"/>
          <w:rtl/>
        </w:rPr>
        <w:t xml:space="preserve">ואנחנו </w:t>
      </w:r>
      <w:bookmarkStart w:id="79654" w:name="_ETM_Q155_663650"/>
      <w:bookmarkEnd w:id="79654"/>
      <w:r>
        <w:rPr>
          <w:rFonts w:hint="cs"/>
          <w:rtl/>
        </w:rPr>
        <w:t xml:space="preserve">מבחינתנו </w:t>
      </w:r>
      <w:bookmarkStart w:id="79655" w:name="_ETM_Q155_665280"/>
      <w:bookmarkEnd w:id="79655"/>
      <w:r w:rsidR="00E21977">
        <w:rPr>
          <w:rFonts w:hint="cs"/>
          <w:rtl/>
        </w:rPr>
        <w:t xml:space="preserve">גם </w:t>
      </w:r>
      <w:r>
        <w:rPr>
          <w:rFonts w:hint="cs"/>
          <w:rtl/>
        </w:rPr>
        <w:t xml:space="preserve">צריכים </w:t>
      </w:r>
      <w:bookmarkStart w:id="79656" w:name="_ETM_Q155_665790"/>
      <w:bookmarkEnd w:id="79656"/>
      <w:r>
        <w:rPr>
          <w:rFonts w:hint="cs"/>
          <w:rtl/>
        </w:rPr>
        <w:t xml:space="preserve">להיות </w:t>
      </w:r>
      <w:bookmarkStart w:id="79657" w:name="_ETM_Q155_666959"/>
      <w:bookmarkStart w:id="79658" w:name="_ETM_Q155_667379"/>
      <w:bookmarkEnd w:id="79657"/>
      <w:bookmarkEnd w:id="79658"/>
      <w:r>
        <w:rPr>
          <w:rFonts w:hint="cs"/>
          <w:rtl/>
        </w:rPr>
        <w:t xml:space="preserve">חלק </w:t>
      </w:r>
      <w:bookmarkStart w:id="79659" w:name="_ETM_Q155_667919"/>
      <w:bookmarkEnd w:id="79659"/>
      <w:r>
        <w:rPr>
          <w:rFonts w:hint="cs"/>
          <w:rtl/>
        </w:rPr>
        <w:t xml:space="preserve">מהמאבק </w:t>
      </w:r>
      <w:bookmarkStart w:id="79660" w:name="_ETM_Q155_668639"/>
      <w:bookmarkEnd w:id="79660"/>
      <w:r>
        <w:rPr>
          <w:rFonts w:hint="cs"/>
          <w:rtl/>
        </w:rPr>
        <w:t xml:space="preserve">הזה </w:t>
      </w:r>
      <w:bookmarkStart w:id="79661" w:name="_ETM_Q155_669909"/>
      <w:bookmarkEnd w:id="79661"/>
      <w:r>
        <w:rPr>
          <w:rFonts w:hint="cs"/>
          <w:rtl/>
        </w:rPr>
        <w:t xml:space="preserve">וגם </w:t>
      </w:r>
      <w:bookmarkStart w:id="79662" w:name="_ETM_Q155_670510"/>
      <w:bookmarkEnd w:id="79662"/>
      <w:r>
        <w:rPr>
          <w:rFonts w:hint="cs"/>
          <w:rtl/>
        </w:rPr>
        <w:t xml:space="preserve">כל </w:t>
      </w:r>
      <w:bookmarkStart w:id="79663" w:name="_ETM_Q155_670839"/>
      <w:bookmarkEnd w:id="79663"/>
      <w:r>
        <w:rPr>
          <w:rFonts w:hint="cs"/>
          <w:rtl/>
        </w:rPr>
        <w:t xml:space="preserve">הזמן </w:t>
      </w:r>
      <w:bookmarkStart w:id="79664" w:name="_ETM_Q155_672879"/>
      <w:bookmarkEnd w:id="79664"/>
      <w:r>
        <w:rPr>
          <w:rFonts w:hint="cs"/>
          <w:rtl/>
        </w:rPr>
        <w:t xml:space="preserve">לחתור </w:t>
      </w:r>
      <w:bookmarkStart w:id="79665" w:name="_ETM_Q155_673930"/>
      <w:bookmarkEnd w:id="79665"/>
      <w:r>
        <w:rPr>
          <w:rFonts w:hint="cs"/>
          <w:rtl/>
        </w:rPr>
        <w:t xml:space="preserve">להשפעה </w:t>
      </w:r>
      <w:bookmarkStart w:id="79666" w:name="_ETM_Q155_675730"/>
      <w:bookmarkEnd w:id="79666"/>
      <w:r>
        <w:rPr>
          <w:rFonts w:hint="cs"/>
          <w:rtl/>
        </w:rPr>
        <w:t xml:space="preserve">בשביל </w:t>
      </w:r>
      <w:bookmarkStart w:id="79667" w:name="_ETM_Q155_676360"/>
      <w:bookmarkEnd w:id="79667"/>
      <w:r>
        <w:rPr>
          <w:rFonts w:hint="cs"/>
          <w:rtl/>
        </w:rPr>
        <w:t xml:space="preserve">להביא </w:t>
      </w:r>
      <w:bookmarkStart w:id="79668" w:name="_ETM_Q155_676900"/>
      <w:bookmarkEnd w:id="79668"/>
      <w:r>
        <w:rPr>
          <w:rFonts w:hint="cs"/>
          <w:rtl/>
        </w:rPr>
        <w:t xml:space="preserve">חלקים </w:t>
      </w:r>
      <w:bookmarkStart w:id="79669" w:name="_ETM_Q155_677560"/>
      <w:bookmarkEnd w:id="79669"/>
      <w:r>
        <w:rPr>
          <w:rFonts w:hint="cs"/>
          <w:rtl/>
        </w:rPr>
        <w:t xml:space="preserve">נרחבים </w:t>
      </w:r>
      <w:bookmarkStart w:id="79670" w:name="_ETM_Q155_679150"/>
      <w:bookmarkEnd w:id="79670"/>
      <w:r>
        <w:rPr>
          <w:rFonts w:hint="cs"/>
          <w:rtl/>
        </w:rPr>
        <w:t xml:space="preserve">שיאמצו </w:t>
      </w:r>
      <w:bookmarkStart w:id="79671" w:name="_ETM_Q155_680170"/>
      <w:bookmarkEnd w:id="79671"/>
      <w:r>
        <w:rPr>
          <w:rFonts w:hint="cs"/>
          <w:rtl/>
        </w:rPr>
        <w:t xml:space="preserve">את </w:t>
      </w:r>
      <w:bookmarkStart w:id="79672" w:name="_ETM_Q155_680349"/>
      <w:bookmarkEnd w:id="79672"/>
      <w:r>
        <w:rPr>
          <w:rFonts w:hint="cs"/>
          <w:rtl/>
        </w:rPr>
        <w:t xml:space="preserve">הגישה </w:t>
      </w:r>
      <w:bookmarkStart w:id="79673" w:name="_ETM_Q155_681010"/>
      <w:bookmarkEnd w:id="79673"/>
      <w:r>
        <w:rPr>
          <w:rFonts w:hint="cs"/>
          <w:rtl/>
        </w:rPr>
        <w:t xml:space="preserve">הפוליטית </w:t>
      </w:r>
      <w:bookmarkStart w:id="79674" w:name="_ETM_Q155_681579"/>
      <w:bookmarkEnd w:id="79674"/>
      <w:r>
        <w:rPr>
          <w:rFonts w:hint="cs"/>
          <w:rtl/>
        </w:rPr>
        <w:t xml:space="preserve">שלנו, </w:t>
      </w:r>
      <w:bookmarkStart w:id="79675" w:name="_ETM_Q155_683159"/>
      <w:bookmarkEnd w:id="79675"/>
      <w:r>
        <w:rPr>
          <w:rFonts w:hint="cs"/>
          <w:rtl/>
        </w:rPr>
        <w:t>ש</w:t>
      </w:r>
      <w:bookmarkStart w:id="79676" w:name="_ETM_Q155_683549"/>
      <w:bookmarkEnd w:id="79676"/>
      <w:r>
        <w:rPr>
          <w:rFonts w:hint="cs"/>
          <w:rtl/>
        </w:rPr>
        <w:t xml:space="preserve">אומרת </w:t>
      </w:r>
      <w:bookmarkStart w:id="79677" w:name="_ETM_Q155_684650"/>
      <w:bookmarkEnd w:id="79677"/>
      <w:r>
        <w:rPr>
          <w:rFonts w:hint="cs"/>
          <w:rtl/>
        </w:rPr>
        <w:t xml:space="preserve">שאין </w:t>
      </w:r>
      <w:bookmarkStart w:id="79678" w:name="_ETM_Q155_685219"/>
      <w:bookmarkEnd w:id="79678"/>
      <w:r>
        <w:rPr>
          <w:rFonts w:hint="cs"/>
          <w:rtl/>
        </w:rPr>
        <w:t xml:space="preserve">דמוקרטיה </w:t>
      </w:r>
      <w:bookmarkStart w:id="79679" w:name="_ETM_Q155_685999"/>
      <w:bookmarkEnd w:id="79679"/>
      <w:r>
        <w:rPr>
          <w:rFonts w:hint="cs"/>
          <w:rtl/>
        </w:rPr>
        <w:t xml:space="preserve">עם </w:t>
      </w:r>
      <w:bookmarkStart w:id="79680" w:name="_ETM_Q155_686180"/>
      <w:bookmarkEnd w:id="79680"/>
      <w:r>
        <w:rPr>
          <w:rFonts w:hint="cs"/>
          <w:rtl/>
        </w:rPr>
        <w:t xml:space="preserve">עליונות </w:t>
      </w:r>
      <w:bookmarkStart w:id="79681" w:name="_ETM_Q155_686629"/>
      <w:bookmarkEnd w:id="79681"/>
      <w:r>
        <w:rPr>
          <w:rFonts w:hint="cs"/>
          <w:rtl/>
        </w:rPr>
        <w:t xml:space="preserve">יהודית; </w:t>
      </w:r>
      <w:bookmarkStart w:id="79682" w:name="_ETM_Q155_688020"/>
      <w:bookmarkEnd w:id="79682"/>
      <w:r>
        <w:rPr>
          <w:rFonts w:hint="cs"/>
          <w:rtl/>
        </w:rPr>
        <w:t xml:space="preserve">אין </w:t>
      </w:r>
      <w:bookmarkStart w:id="79683" w:name="_ETM_Q155_688320"/>
      <w:bookmarkEnd w:id="79683"/>
      <w:r>
        <w:rPr>
          <w:rFonts w:hint="cs"/>
          <w:rtl/>
        </w:rPr>
        <w:t xml:space="preserve">דמוקרטיה </w:t>
      </w:r>
      <w:bookmarkStart w:id="79684" w:name="_ETM_Q155_689190"/>
      <w:bookmarkEnd w:id="79684"/>
      <w:r>
        <w:rPr>
          <w:rFonts w:hint="cs"/>
          <w:rtl/>
        </w:rPr>
        <w:t xml:space="preserve">עם </w:t>
      </w:r>
      <w:bookmarkStart w:id="79685" w:name="_ETM_Q155_689340"/>
      <w:bookmarkEnd w:id="79685"/>
      <w:r>
        <w:rPr>
          <w:rFonts w:hint="cs"/>
          <w:rtl/>
        </w:rPr>
        <w:t xml:space="preserve">חוק </w:t>
      </w:r>
      <w:bookmarkStart w:id="79686" w:name="_ETM_Q155_689670"/>
      <w:bookmarkEnd w:id="79686"/>
      <w:r>
        <w:rPr>
          <w:rFonts w:hint="cs"/>
          <w:rtl/>
        </w:rPr>
        <w:t xml:space="preserve">הלאום; </w:t>
      </w:r>
      <w:bookmarkStart w:id="79687" w:name="_ETM_Q155_690970"/>
      <w:bookmarkEnd w:id="79687"/>
      <w:r>
        <w:rPr>
          <w:rFonts w:hint="cs"/>
          <w:rtl/>
        </w:rPr>
        <w:t xml:space="preserve">אין </w:t>
      </w:r>
      <w:bookmarkStart w:id="79688" w:name="_ETM_Q155_691300"/>
      <w:bookmarkEnd w:id="79688"/>
      <w:r>
        <w:rPr>
          <w:rFonts w:hint="cs"/>
          <w:rtl/>
        </w:rPr>
        <w:t xml:space="preserve">דמוקרטיה </w:t>
      </w:r>
      <w:bookmarkStart w:id="79689" w:name="_ETM_Q155_692320"/>
      <w:bookmarkStart w:id="79690" w:name="_ETM_Q155_692590"/>
      <w:bookmarkEnd w:id="79689"/>
      <w:bookmarkEnd w:id="79690"/>
      <w:r>
        <w:rPr>
          <w:rFonts w:hint="cs"/>
          <w:rtl/>
        </w:rPr>
        <w:t xml:space="preserve">עם כיבוש </w:t>
      </w:r>
      <w:bookmarkStart w:id="79691" w:name="_ETM_Q155_693250"/>
      <w:bookmarkEnd w:id="79691"/>
      <w:r w:rsidR="00E21977">
        <w:rPr>
          <w:rFonts w:hint="cs"/>
          <w:rtl/>
        </w:rPr>
        <w:t>ע</w:t>
      </w:r>
      <w:r>
        <w:rPr>
          <w:rFonts w:hint="cs"/>
          <w:rtl/>
        </w:rPr>
        <w:t>ם</w:t>
      </w:r>
      <w:r w:rsidR="00E21977">
        <w:rPr>
          <w:rFonts w:hint="cs"/>
          <w:rtl/>
        </w:rPr>
        <w:t xml:space="preserve"> אחר</w:t>
      </w:r>
      <w:r>
        <w:rPr>
          <w:rFonts w:hint="cs"/>
          <w:rtl/>
        </w:rPr>
        <w:t xml:space="preserve">, אלא </w:t>
      </w:r>
      <w:bookmarkStart w:id="79692" w:name="_ETM_Q155_695640"/>
      <w:bookmarkEnd w:id="79692"/>
      <w:r>
        <w:rPr>
          <w:rFonts w:hint="cs"/>
          <w:rtl/>
        </w:rPr>
        <w:t xml:space="preserve">הדמוקרטיה </w:t>
      </w:r>
      <w:bookmarkStart w:id="79693" w:name="_ETM_Q155_696420"/>
      <w:bookmarkEnd w:id="79693"/>
      <w:r>
        <w:rPr>
          <w:rFonts w:hint="cs"/>
          <w:rtl/>
        </w:rPr>
        <w:t xml:space="preserve">היא </w:t>
      </w:r>
      <w:bookmarkStart w:id="79694" w:name="_ETM_Q155_697319"/>
      <w:bookmarkEnd w:id="79694"/>
      <w:r>
        <w:rPr>
          <w:rFonts w:hint="cs"/>
          <w:rtl/>
        </w:rPr>
        <w:t xml:space="preserve">שלום, </w:t>
      </w:r>
      <w:bookmarkStart w:id="79695" w:name="_ETM_Q155_698370"/>
      <w:bookmarkEnd w:id="79695"/>
      <w:r>
        <w:rPr>
          <w:rFonts w:hint="cs"/>
          <w:rtl/>
        </w:rPr>
        <w:t xml:space="preserve">שוויון </w:t>
      </w:r>
      <w:bookmarkStart w:id="79696" w:name="_ETM_Q155_699540"/>
      <w:bookmarkEnd w:id="79696"/>
      <w:r>
        <w:rPr>
          <w:rFonts w:hint="cs"/>
          <w:rtl/>
        </w:rPr>
        <w:t xml:space="preserve">וצדק </w:t>
      </w:r>
      <w:bookmarkStart w:id="79697" w:name="_ETM_Q155_700170"/>
      <w:bookmarkEnd w:id="79697"/>
      <w:r>
        <w:rPr>
          <w:rFonts w:hint="cs"/>
          <w:rtl/>
        </w:rPr>
        <w:t>חברתי.</w:t>
      </w:r>
    </w:p>
    <w:p w:rsidR="00BB59CD" w:rsidRDefault="00BB59CD" w:rsidP="00BB59CD">
      <w:pPr>
        <w:rPr>
          <w:rtl/>
        </w:rPr>
      </w:pPr>
      <w:bookmarkStart w:id="79698" w:name="_ETM_Q155_702847"/>
      <w:bookmarkStart w:id="79699" w:name="_ETM_Q155_702926"/>
      <w:bookmarkEnd w:id="79698"/>
      <w:bookmarkEnd w:id="79699"/>
    </w:p>
    <w:p w:rsidR="00BB59CD" w:rsidRDefault="00BB59CD" w:rsidP="00E21977">
      <w:pPr>
        <w:rPr>
          <w:rtl/>
          <w:lang w:eastAsia="he-IL"/>
        </w:rPr>
      </w:pPr>
      <w:bookmarkStart w:id="79700" w:name="_ETM_Q155_703023"/>
      <w:bookmarkStart w:id="79701" w:name="_ETM_Q155_703083"/>
      <w:bookmarkStart w:id="79702" w:name="_ETM_Q155_703150"/>
      <w:bookmarkEnd w:id="79700"/>
      <w:bookmarkEnd w:id="79701"/>
      <w:bookmarkEnd w:id="79702"/>
      <w:r>
        <w:rPr>
          <w:rFonts w:hint="cs"/>
          <w:rtl/>
        </w:rPr>
        <w:t xml:space="preserve">אני </w:t>
      </w:r>
      <w:bookmarkStart w:id="79703" w:name="_ETM_Q155_703449"/>
      <w:bookmarkEnd w:id="79703"/>
      <w:r>
        <w:rPr>
          <w:rFonts w:hint="cs"/>
          <w:rtl/>
        </w:rPr>
        <w:t xml:space="preserve">רוצה </w:t>
      </w:r>
      <w:bookmarkStart w:id="79704" w:name="_ETM_Q155_703809"/>
      <w:bookmarkEnd w:id="79704"/>
      <w:r>
        <w:rPr>
          <w:rFonts w:hint="cs"/>
          <w:rtl/>
        </w:rPr>
        <w:t xml:space="preserve">לפנות </w:t>
      </w:r>
      <w:bookmarkStart w:id="79705" w:name="_ETM_Q155_704469"/>
      <w:bookmarkEnd w:id="79705"/>
      <w:r>
        <w:rPr>
          <w:rFonts w:hint="cs"/>
          <w:rtl/>
        </w:rPr>
        <w:t xml:space="preserve">לראשי </w:t>
      </w:r>
      <w:bookmarkStart w:id="79706" w:name="_ETM_Q155_704799"/>
      <w:bookmarkEnd w:id="79706"/>
      <w:r>
        <w:rPr>
          <w:rFonts w:hint="cs"/>
          <w:rtl/>
        </w:rPr>
        <w:t xml:space="preserve">האופוזיציה </w:t>
      </w:r>
      <w:bookmarkStart w:id="79707" w:name="_ETM_Q155_706950"/>
      <w:bookmarkEnd w:id="79707"/>
      <w:r>
        <w:rPr>
          <w:rFonts w:hint="cs"/>
          <w:rtl/>
        </w:rPr>
        <w:t xml:space="preserve">ולהגיד </w:t>
      </w:r>
      <w:bookmarkStart w:id="79708" w:name="_ETM_Q155_707790"/>
      <w:bookmarkEnd w:id="79708"/>
      <w:r>
        <w:rPr>
          <w:rFonts w:hint="cs"/>
          <w:rtl/>
        </w:rPr>
        <w:t xml:space="preserve">להם: </w:t>
      </w:r>
      <w:bookmarkStart w:id="79709" w:name="_ETM_Q155_708809"/>
      <w:bookmarkEnd w:id="79709"/>
      <w:r>
        <w:rPr>
          <w:rFonts w:hint="cs"/>
          <w:rtl/>
        </w:rPr>
        <w:t xml:space="preserve">אל </w:t>
      </w:r>
      <w:bookmarkStart w:id="79710" w:name="_ETM_Q155_709230"/>
      <w:bookmarkEnd w:id="79710"/>
      <w:r>
        <w:rPr>
          <w:rFonts w:hint="cs"/>
          <w:rtl/>
        </w:rPr>
        <w:t xml:space="preserve">תלכו </w:t>
      </w:r>
      <w:bookmarkStart w:id="79711" w:name="_ETM_Q155_710959"/>
      <w:bookmarkEnd w:id="79711"/>
      <w:r>
        <w:rPr>
          <w:rFonts w:hint="cs"/>
          <w:rtl/>
        </w:rPr>
        <w:t xml:space="preserve">למה </w:t>
      </w:r>
      <w:bookmarkStart w:id="79712" w:name="_ETM_Q155_711469"/>
      <w:bookmarkEnd w:id="79712"/>
      <w:r>
        <w:rPr>
          <w:rFonts w:hint="cs"/>
          <w:rtl/>
        </w:rPr>
        <w:t xml:space="preserve">שנקרא </w:t>
      </w:r>
      <w:bookmarkStart w:id="79713" w:name="_ETM_Q155_712129"/>
      <w:bookmarkEnd w:id="79713"/>
      <w:r>
        <w:rPr>
          <w:rFonts w:hint="cs"/>
          <w:rtl/>
        </w:rPr>
        <w:t xml:space="preserve">פשרה. </w:t>
      </w:r>
      <w:bookmarkStart w:id="79714" w:name="_ETM_Q155_713950"/>
      <w:bookmarkEnd w:id="79714"/>
      <w:r>
        <w:rPr>
          <w:rFonts w:hint="cs"/>
          <w:rtl/>
        </w:rPr>
        <w:t xml:space="preserve">זו </w:t>
      </w:r>
      <w:bookmarkStart w:id="79715" w:name="_ETM_Q155_715148"/>
      <w:bookmarkEnd w:id="79715"/>
      <w:r>
        <w:rPr>
          <w:rFonts w:hint="cs"/>
          <w:rtl/>
        </w:rPr>
        <w:t xml:space="preserve">לא </w:t>
      </w:r>
      <w:bookmarkStart w:id="79716" w:name="_ETM_Q155_714460"/>
      <w:bookmarkEnd w:id="79716"/>
      <w:r>
        <w:rPr>
          <w:rFonts w:hint="cs"/>
          <w:rtl/>
        </w:rPr>
        <w:t xml:space="preserve">פשרה, </w:t>
      </w:r>
      <w:bookmarkStart w:id="79717" w:name="_ETM_Q155_716290"/>
      <w:bookmarkEnd w:id="79717"/>
      <w:r>
        <w:rPr>
          <w:rFonts w:hint="cs"/>
          <w:rtl/>
        </w:rPr>
        <w:t xml:space="preserve">זו </w:t>
      </w:r>
      <w:bookmarkStart w:id="79718" w:name="_ETM_Q155_716790"/>
      <w:bookmarkEnd w:id="79718"/>
      <w:r>
        <w:rPr>
          <w:rFonts w:hint="cs"/>
          <w:rtl/>
        </w:rPr>
        <w:t xml:space="preserve">תוכנית </w:t>
      </w:r>
      <w:bookmarkStart w:id="79719" w:name="_ETM_Q155_717090"/>
      <w:bookmarkEnd w:id="79719"/>
      <w:r>
        <w:rPr>
          <w:rFonts w:hint="cs"/>
          <w:rtl/>
        </w:rPr>
        <w:t xml:space="preserve">שלבים </w:t>
      </w:r>
      <w:bookmarkStart w:id="79720" w:name="_ETM_Q155_718200"/>
      <w:bookmarkEnd w:id="79720"/>
      <w:r>
        <w:rPr>
          <w:rFonts w:hint="cs"/>
          <w:rtl/>
        </w:rPr>
        <w:t xml:space="preserve">של </w:t>
      </w:r>
      <w:bookmarkStart w:id="79721" w:name="_ETM_Q155_718500"/>
      <w:bookmarkEnd w:id="79721"/>
      <w:r>
        <w:rPr>
          <w:rFonts w:hint="cs"/>
          <w:rtl/>
        </w:rPr>
        <w:t xml:space="preserve">ממשלת </w:t>
      </w:r>
      <w:bookmarkStart w:id="79722" w:name="_ETM_Q155_718980"/>
      <w:bookmarkEnd w:id="79722"/>
      <w:r>
        <w:rPr>
          <w:rFonts w:hint="cs"/>
          <w:rtl/>
        </w:rPr>
        <w:t xml:space="preserve">נתניהו. זו </w:t>
      </w:r>
      <w:bookmarkStart w:id="79723" w:name="_ETM_Q155_721069"/>
      <w:bookmarkEnd w:id="79723"/>
      <w:r>
        <w:rPr>
          <w:rFonts w:hint="cs"/>
          <w:rtl/>
        </w:rPr>
        <w:t xml:space="preserve">בדיוק </w:t>
      </w:r>
      <w:bookmarkStart w:id="79724" w:name="_ETM_Q155_722339"/>
      <w:bookmarkStart w:id="79725" w:name="_ETM_Q155_722939"/>
      <w:bookmarkStart w:id="79726" w:name="_ETM_Q155_723029"/>
      <w:bookmarkEnd w:id="79724"/>
      <w:bookmarkEnd w:id="79725"/>
      <w:bookmarkEnd w:id="79726"/>
      <w:r>
        <w:rPr>
          <w:rFonts w:hint="cs"/>
          <w:rtl/>
        </w:rPr>
        <w:t xml:space="preserve">שיטת </w:t>
      </w:r>
      <w:bookmarkStart w:id="79727" w:name="_ETM_Q155_723510"/>
      <w:bookmarkEnd w:id="79727"/>
      <w:r>
        <w:rPr>
          <w:rFonts w:hint="cs"/>
          <w:rtl/>
        </w:rPr>
        <w:t>הסלאמי. כנראה</w:t>
      </w:r>
      <w:bookmarkStart w:id="79728" w:name="_ETM_Q155_724780"/>
      <w:bookmarkStart w:id="79729" w:name="_ETM_Q155_725019"/>
      <w:bookmarkEnd w:id="79728"/>
      <w:bookmarkEnd w:id="79729"/>
      <w:r>
        <w:rPr>
          <w:rFonts w:hint="cs"/>
          <w:rtl/>
        </w:rPr>
        <w:t xml:space="preserve"> </w:t>
      </w:r>
      <w:bookmarkStart w:id="79730" w:name="_ETM_Q155_725650"/>
      <w:bookmarkEnd w:id="79730"/>
      <w:r>
        <w:rPr>
          <w:rFonts w:hint="cs"/>
          <w:rtl/>
        </w:rPr>
        <w:t xml:space="preserve">– ואני </w:t>
      </w:r>
      <w:bookmarkStart w:id="79731" w:name="_ETM_Q155_725980"/>
      <w:bookmarkEnd w:id="79731"/>
      <w:r>
        <w:rPr>
          <w:rFonts w:hint="cs"/>
          <w:rtl/>
        </w:rPr>
        <w:t xml:space="preserve">לוחש </w:t>
      </w:r>
      <w:bookmarkStart w:id="79732" w:name="_ETM_Q155_726429"/>
      <w:bookmarkEnd w:id="79732"/>
      <w:r>
        <w:rPr>
          <w:rFonts w:hint="cs"/>
          <w:rtl/>
        </w:rPr>
        <w:t xml:space="preserve">באוזניכם </w:t>
      </w:r>
      <w:bookmarkStart w:id="79733" w:name="_ETM_Q155_727059"/>
      <w:bookmarkEnd w:id="79733"/>
      <w:r>
        <w:rPr>
          <w:rFonts w:hint="cs"/>
          <w:rtl/>
        </w:rPr>
        <w:t xml:space="preserve">עכשיו </w:t>
      </w:r>
      <w:bookmarkStart w:id="79734" w:name="_ETM_Q155_727929"/>
      <w:bookmarkEnd w:id="79734"/>
      <w:r>
        <w:rPr>
          <w:rFonts w:hint="cs"/>
          <w:rtl/>
        </w:rPr>
        <w:t xml:space="preserve">– למדו </w:t>
      </w:r>
      <w:bookmarkStart w:id="79735" w:name="_ETM_Q155_728439"/>
      <w:bookmarkEnd w:id="79735"/>
      <w:r>
        <w:rPr>
          <w:rFonts w:hint="cs"/>
          <w:rtl/>
        </w:rPr>
        <w:t xml:space="preserve">מכם </w:t>
      </w:r>
      <w:bookmarkStart w:id="79736" w:name="_ETM_Q155_729159"/>
      <w:bookmarkEnd w:id="79736"/>
      <w:r>
        <w:rPr>
          <w:rFonts w:hint="cs"/>
          <w:rtl/>
        </w:rPr>
        <w:t xml:space="preserve">עוד </w:t>
      </w:r>
      <w:bookmarkStart w:id="79737" w:name="_ETM_Q155_729489"/>
      <w:bookmarkEnd w:id="79737"/>
      <w:r>
        <w:rPr>
          <w:rFonts w:hint="cs"/>
          <w:rtl/>
        </w:rPr>
        <w:t xml:space="preserve">עז </w:t>
      </w:r>
      <w:bookmarkStart w:id="79738" w:name="_ETM_Q155_730090"/>
      <w:bookmarkEnd w:id="79738"/>
      <w:r>
        <w:rPr>
          <w:rFonts w:hint="cs"/>
          <w:rtl/>
        </w:rPr>
        <w:t xml:space="preserve">ועוד דונם. </w:t>
      </w:r>
      <w:bookmarkStart w:id="79739" w:name="_ETM_Q155_732870"/>
      <w:bookmarkEnd w:id="79739"/>
      <w:r>
        <w:rPr>
          <w:rFonts w:hint="cs"/>
          <w:rtl/>
        </w:rPr>
        <w:t xml:space="preserve">אני </w:t>
      </w:r>
      <w:bookmarkStart w:id="79740" w:name="_ETM_Q155_735660"/>
      <w:bookmarkEnd w:id="79740"/>
      <w:r>
        <w:rPr>
          <w:rFonts w:hint="cs"/>
          <w:rtl/>
        </w:rPr>
        <w:t xml:space="preserve">אומר </w:t>
      </w:r>
      <w:bookmarkStart w:id="79741" w:name="_ETM_Q155_736970"/>
      <w:bookmarkEnd w:id="79741"/>
      <w:r>
        <w:rPr>
          <w:rFonts w:hint="cs"/>
          <w:rtl/>
        </w:rPr>
        <w:t xml:space="preserve">שהגעה </w:t>
      </w:r>
      <w:bookmarkStart w:id="79742" w:name="_ETM_Q155_738980"/>
      <w:bookmarkEnd w:id="79742"/>
      <w:r>
        <w:rPr>
          <w:rFonts w:hint="cs"/>
          <w:rtl/>
        </w:rPr>
        <w:t xml:space="preserve">לפשרה </w:t>
      </w:r>
      <w:r>
        <w:t>–</w:t>
      </w:r>
      <w:bookmarkStart w:id="79743" w:name="_ETM_Q155_741400"/>
      <w:bookmarkEnd w:id="79743"/>
      <w:r w:rsidR="00E21977">
        <w:rPr>
          <w:rFonts w:hint="cs"/>
          <w:rtl/>
        </w:rPr>
        <w:t xml:space="preserve"> </w:t>
      </w:r>
      <w:r>
        <w:rPr>
          <w:rFonts w:hint="cs"/>
          <w:rtl/>
        </w:rPr>
        <w:t xml:space="preserve">החלשת </w:t>
      </w:r>
      <w:bookmarkStart w:id="79744" w:name="_ETM_Q155_742270"/>
      <w:bookmarkEnd w:id="79744"/>
      <w:r>
        <w:rPr>
          <w:rFonts w:hint="cs"/>
          <w:rtl/>
        </w:rPr>
        <w:t xml:space="preserve">המאבק </w:t>
      </w:r>
      <w:bookmarkStart w:id="79745" w:name="_ETM_Q155_743080"/>
      <w:bookmarkEnd w:id="79745"/>
      <w:r>
        <w:rPr>
          <w:rFonts w:hint="cs"/>
          <w:rtl/>
        </w:rPr>
        <w:t xml:space="preserve">העיקש </w:t>
      </w:r>
      <w:bookmarkStart w:id="79746" w:name="_ETM_Q155_744380"/>
      <w:bookmarkEnd w:id="79746"/>
      <w:r>
        <w:rPr>
          <w:rFonts w:hint="cs"/>
          <w:rtl/>
        </w:rPr>
        <w:t xml:space="preserve">נגד </w:t>
      </w:r>
      <w:bookmarkStart w:id="79747" w:name="_ETM_Q155_744770"/>
      <w:bookmarkEnd w:id="79747"/>
      <w:r>
        <w:rPr>
          <w:rFonts w:hint="cs"/>
          <w:rtl/>
        </w:rPr>
        <w:t xml:space="preserve">ממשלת </w:t>
      </w:r>
      <w:bookmarkStart w:id="79748" w:name="_ETM_Q155_745220"/>
      <w:bookmarkEnd w:id="79748"/>
      <w:r>
        <w:rPr>
          <w:rFonts w:hint="cs"/>
          <w:rtl/>
        </w:rPr>
        <w:t>נתניהו</w:t>
      </w:r>
      <w:r w:rsidR="00E21977">
        <w:rPr>
          <w:rFonts w:hint="cs"/>
          <w:rtl/>
        </w:rPr>
        <w:t>;</w:t>
      </w:r>
      <w:r>
        <w:rPr>
          <w:rFonts w:hint="cs"/>
          <w:rtl/>
        </w:rPr>
        <w:t xml:space="preserve"> </w:t>
      </w:r>
      <w:bookmarkStart w:id="79749" w:name="_ETM_Q155_747340"/>
      <w:bookmarkEnd w:id="79749"/>
      <w:r>
        <w:rPr>
          <w:rFonts w:hint="cs"/>
          <w:rtl/>
        </w:rPr>
        <w:t xml:space="preserve">אסור </w:t>
      </w:r>
      <w:bookmarkStart w:id="79750" w:name="_ETM_Q155_747850"/>
      <w:bookmarkEnd w:id="79750"/>
      <w:r>
        <w:rPr>
          <w:rFonts w:hint="cs"/>
          <w:rtl/>
        </w:rPr>
        <w:t xml:space="preserve">לנו </w:t>
      </w:r>
      <w:bookmarkStart w:id="79751" w:name="_ETM_Q155_748830"/>
      <w:bookmarkEnd w:id="79751"/>
      <w:r>
        <w:rPr>
          <w:rFonts w:hint="cs"/>
          <w:rtl/>
        </w:rPr>
        <w:t xml:space="preserve">לתת </w:t>
      </w:r>
      <w:bookmarkStart w:id="79752" w:name="_ETM_Q155_749490"/>
      <w:bookmarkEnd w:id="79752"/>
      <w:r>
        <w:rPr>
          <w:rFonts w:hint="cs"/>
          <w:rtl/>
        </w:rPr>
        <w:t xml:space="preserve">יד </w:t>
      </w:r>
      <w:bookmarkStart w:id="79753" w:name="_ETM_Q155_750540"/>
      <w:bookmarkStart w:id="79754" w:name="_ETM_Q155_750900"/>
      <w:bookmarkEnd w:id="79753"/>
      <w:bookmarkEnd w:id="79754"/>
      <w:r>
        <w:rPr>
          <w:rFonts w:hint="cs"/>
          <w:rtl/>
        </w:rPr>
        <w:t xml:space="preserve">להחלשת </w:t>
      </w:r>
      <w:bookmarkStart w:id="79755" w:name="_ETM_Q155_752780"/>
      <w:bookmarkEnd w:id="79755"/>
      <w:r>
        <w:rPr>
          <w:rFonts w:hint="cs"/>
          <w:rtl/>
        </w:rPr>
        <w:t xml:space="preserve">המאבק </w:t>
      </w:r>
      <w:bookmarkStart w:id="79756" w:name="_ETM_Q155_753379"/>
      <w:bookmarkEnd w:id="79756"/>
      <w:r>
        <w:rPr>
          <w:rFonts w:hint="cs"/>
          <w:rtl/>
        </w:rPr>
        <w:t xml:space="preserve">ההיסטורי נגד ממשלת </w:t>
      </w:r>
      <w:bookmarkStart w:id="79757" w:name="_ETM_Q155_755610"/>
      <w:bookmarkEnd w:id="79757"/>
      <w:r>
        <w:rPr>
          <w:rFonts w:hint="cs"/>
          <w:rtl/>
        </w:rPr>
        <w:t xml:space="preserve">נתניהו. </w:t>
      </w:r>
      <w:bookmarkStart w:id="79758" w:name="_ETM_Q155_757179"/>
      <w:bookmarkEnd w:id="79758"/>
      <w:r>
        <w:rPr>
          <w:rFonts w:hint="cs"/>
          <w:rtl/>
        </w:rPr>
        <w:t xml:space="preserve">פשרה </w:t>
      </w:r>
      <w:bookmarkStart w:id="79759" w:name="_ETM_Q155_758080"/>
      <w:bookmarkEnd w:id="79759"/>
      <w:r>
        <w:rPr>
          <w:rFonts w:hint="cs"/>
          <w:rtl/>
        </w:rPr>
        <w:t xml:space="preserve">– </w:t>
      </w:r>
      <w:bookmarkStart w:id="79760" w:name="_ETM_Q155_763743"/>
      <w:bookmarkEnd w:id="79760"/>
      <w:r>
        <w:rPr>
          <w:rFonts w:hint="cs"/>
          <w:rtl/>
        </w:rPr>
        <w:t xml:space="preserve">כלומר </w:t>
      </w:r>
      <w:bookmarkStart w:id="79761" w:name="_ETM_Q155_758919"/>
      <w:bookmarkStart w:id="79762" w:name="_ETM_Q155_759130"/>
      <w:bookmarkEnd w:id="79761"/>
      <w:bookmarkEnd w:id="79762"/>
      <w:r>
        <w:rPr>
          <w:rFonts w:hint="cs"/>
          <w:rtl/>
        </w:rPr>
        <w:t xml:space="preserve">מתן </w:t>
      </w:r>
      <w:bookmarkStart w:id="79763" w:name="_ETM_Q155_759610"/>
      <w:bookmarkEnd w:id="79763"/>
      <w:r>
        <w:rPr>
          <w:rFonts w:hint="cs"/>
          <w:rtl/>
        </w:rPr>
        <w:t xml:space="preserve">לגיטימציה </w:t>
      </w:r>
      <w:bookmarkStart w:id="79764" w:name="_ETM_Q155_762130"/>
      <w:bookmarkEnd w:id="79764"/>
      <w:r>
        <w:rPr>
          <w:rFonts w:hint="cs"/>
          <w:rtl/>
        </w:rPr>
        <w:t xml:space="preserve">גם </w:t>
      </w:r>
      <w:bookmarkStart w:id="79765" w:name="_ETM_Q155_762460"/>
      <w:bookmarkEnd w:id="79765"/>
      <w:r>
        <w:rPr>
          <w:rFonts w:hint="cs"/>
          <w:rtl/>
        </w:rPr>
        <w:t xml:space="preserve">לנתניהו </w:t>
      </w:r>
      <w:bookmarkStart w:id="79766" w:name="_ETM_Q155_763240"/>
      <w:bookmarkEnd w:id="79766"/>
      <w:r>
        <w:rPr>
          <w:rFonts w:hint="cs"/>
          <w:rtl/>
        </w:rPr>
        <w:t xml:space="preserve">וגם </w:t>
      </w:r>
      <w:bookmarkStart w:id="79767" w:name="_ETM_Q155_763630"/>
      <w:bookmarkEnd w:id="79767"/>
      <w:r>
        <w:rPr>
          <w:rFonts w:hint="cs"/>
          <w:rtl/>
        </w:rPr>
        <w:t xml:space="preserve">לממשלה </w:t>
      </w:r>
      <w:bookmarkStart w:id="79768" w:name="_ETM_Q155_764380"/>
      <w:bookmarkEnd w:id="79768"/>
      <w:r>
        <w:rPr>
          <w:rFonts w:hint="cs"/>
          <w:rtl/>
        </w:rPr>
        <w:t xml:space="preserve">הפשיסטית </w:t>
      </w:r>
      <w:bookmarkStart w:id="79769" w:name="_ETM_Q155_764919"/>
      <w:bookmarkEnd w:id="79769"/>
      <w:r>
        <w:rPr>
          <w:rFonts w:hint="cs"/>
          <w:rtl/>
        </w:rPr>
        <w:t xml:space="preserve">שלו. </w:t>
      </w:r>
      <w:bookmarkStart w:id="79770" w:name="_ETM_Q155_766020"/>
      <w:bookmarkStart w:id="79771" w:name="TOR_Q156"/>
      <w:bookmarkEnd w:id="79770"/>
      <w:bookmarkEnd w:id="79771"/>
      <w:r>
        <w:rPr>
          <w:rFonts w:hint="cs"/>
          <w:rtl/>
          <w:lang w:eastAsia="he-IL"/>
        </w:rPr>
        <w:t xml:space="preserve">אסור בתכלית האיסור להגיע לפשרה. לכן אנחנו, בסיעת חד"ש-תע"ל, עמדתנו נחרצת והיא </w:t>
      </w:r>
      <w:bookmarkStart w:id="79772" w:name="_ETM_Q156_180000"/>
      <w:bookmarkEnd w:id="79772"/>
      <w:r>
        <w:rPr>
          <w:rFonts w:hint="cs"/>
          <w:rtl/>
          <w:lang w:eastAsia="he-IL"/>
        </w:rPr>
        <w:t xml:space="preserve">נגד, לאורך כל הדרך, עד להפלת הממשלה הפשיסטית הזאת. </w:t>
      </w:r>
      <w:bookmarkStart w:id="79773" w:name="_ETM_Q156_187000"/>
      <w:bookmarkEnd w:id="79773"/>
      <w:r>
        <w:rPr>
          <w:rFonts w:hint="cs"/>
          <w:rtl/>
          <w:lang w:eastAsia="he-IL"/>
        </w:rPr>
        <w:t xml:space="preserve">זוהי העמדה הנכונה. האסטרטגיה צריכה להיות </w:t>
      </w:r>
      <w:bookmarkStart w:id="79774" w:name="_ETM_Q156_193000"/>
      <w:bookmarkEnd w:id="79774"/>
      <w:r>
        <w:rPr>
          <w:rFonts w:hint="cs"/>
          <w:rtl/>
          <w:lang w:eastAsia="he-IL"/>
        </w:rPr>
        <w:t xml:space="preserve">ברורה מאוד. היעד: הפלת הממשלה, ואחר כך הכיוון </w:t>
      </w:r>
      <w:bookmarkStart w:id="79775" w:name="_ETM_Q156_202000"/>
      <w:bookmarkEnd w:id="79775"/>
      <w:r>
        <w:rPr>
          <w:rFonts w:hint="cs"/>
          <w:rtl/>
          <w:lang w:eastAsia="he-IL"/>
        </w:rPr>
        <w:t xml:space="preserve">חייב להיות דמוקרטיה אמיתית, כלומר, חתירה לשלום, שוויון וצדק חברתי. </w:t>
      </w:r>
      <w:bookmarkStart w:id="79776" w:name="_ETM_Q156_208000"/>
      <w:bookmarkEnd w:id="79776"/>
      <w:r>
        <w:rPr>
          <w:rFonts w:hint="cs"/>
          <w:rtl/>
          <w:lang w:eastAsia="he-IL"/>
        </w:rPr>
        <w:t xml:space="preserve">אחרת, אין בינינו הסכמה. ממשלה שמקדמת את הכיבוש, כמו שממשלת </w:t>
      </w:r>
      <w:bookmarkStart w:id="79777" w:name="_ETM_Q156_217000"/>
      <w:bookmarkEnd w:id="79777"/>
      <w:r>
        <w:rPr>
          <w:rFonts w:hint="cs"/>
          <w:rtl/>
          <w:lang w:eastAsia="he-IL"/>
        </w:rPr>
        <w:t xml:space="preserve">נפתלי בנט למשל, זו ממשלה שאנחנו נהיה נגדה. כל </w:t>
      </w:r>
      <w:bookmarkStart w:id="79778" w:name="_ETM_Q156_222000"/>
      <w:bookmarkEnd w:id="79778"/>
      <w:r>
        <w:rPr>
          <w:rFonts w:hint="cs"/>
          <w:rtl/>
          <w:lang w:eastAsia="he-IL"/>
        </w:rPr>
        <w:t xml:space="preserve">ממשלה שמעמיקה את הכיבוש, כל ממשלה שלא חותרת לפשרה היסטורית </w:t>
      </w:r>
      <w:bookmarkStart w:id="79779" w:name="_ETM_Q156_231000"/>
      <w:bookmarkEnd w:id="79779"/>
      <w:r>
        <w:rPr>
          <w:rFonts w:hint="cs"/>
          <w:rtl/>
          <w:lang w:eastAsia="he-IL"/>
        </w:rPr>
        <w:t xml:space="preserve">ולכינון שלום על בסיס שתי מדינות, אנחנו נעמוד איתנים נגדה. </w:t>
      </w:r>
      <w:bookmarkStart w:id="79780" w:name="_ETM_Q156_240000"/>
      <w:bookmarkEnd w:id="79780"/>
      <w:r>
        <w:rPr>
          <w:rFonts w:hint="cs"/>
          <w:rtl/>
          <w:lang w:eastAsia="he-IL"/>
        </w:rPr>
        <w:t>שוב אני חוזר, בפעם השלישית: דמוקרטיה, כלומר שלום, שוויון וצדק</w:t>
      </w:r>
      <w:bookmarkStart w:id="79781" w:name="_ETM_Q156_245000"/>
      <w:bookmarkEnd w:id="79781"/>
      <w:r>
        <w:rPr>
          <w:rFonts w:hint="cs"/>
          <w:rtl/>
          <w:lang w:eastAsia="he-IL"/>
        </w:rPr>
        <w:t xml:space="preserve"> חברתי. זוהי העמדה הנכונה. </w:t>
      </w:r>
      <w:bookmarkStart w:id="79782" w:name="_ETM_Q156_251000"/>
      <w:bookmarkEnd w:id="79782"/>
      <w:r>
        <w:rPr>
          <w:rFonts w:hint="cs"/>
          <w:rtl/>
          <w:lang w:eastAsia="he-IL"/>
        </w:rPr>
        <w:t>לכן אני קורא לראש האופוזיציה לא</w:t>
      </w:r>
      <w:bookmarkStart w:id="79783" w:name="_ETM_Q156_253000"/>
      <w:bookmarkEnd w:id="79783"/>
      <w:r>
        <w:rPr>
          <w:rFonts w:hint="cs"/>
          <w:rtl/>
          <w:lang w:eastAsia="he-IL"/>
        </w:rPr>
        <w:t xml:space="preserve"> לתת יד למה שנקרא פשרה, שהיא בעצם תוכנית שלבים, שהיא </w:t>
      </w:r>
      <w:bookmarkStart w:id="79784" w:name="_ETM_Q156_261000"/>
      <w:bookmarkEnd w:id="79784"/>
      <w:r>
        <w:rPr>
          <w:rFonts w:hint="cs"/>
          <w:rtl/>
          <w:lang w:eastAsia="he-IL"/>
        </w:rPr>
        <w:t xml:space="preserve">בעצם שיטת הסלאמי, שהיא בעצם מתן לגיטימציה לנתניהו, שהיא בעצם </w:t>
      </w:r>
      <w:bookmarkStart w:id="79785" w:name="_ETM_Q156_268000"/>
      <w:bookmarkEnd w:id="79785"/>
      <w:r>
        <w:rPr>
          <w:rFonts w:hint="cs"/>
          <w:rtl/>
          <w:lang w:eastAsia="he-IL"/>
        </w:rPr>
        <w:t xml:space="preserve">החלשת המחאה נגד הממשלה הזו. אני רוצה לפנות לציבור הערבי ולהגיד </w:t>
      </w:r>
      <w:bookmarkStart w:id="79786" w:name="_ETM_Q156_278000"/>
      <w:bookmarkEnd w:id="79786"/>
      <w:r>
        <w:rPr>
          <w:rFonts w:hint="cs"/>
          <w:rtl/>
          <w:lang w:eastAsia="he-IL"/>
        </w:rPr>
        <w:t xml:space="preserve">לו – כבוד היושב-ראש, תרשה לי, אתה מציע שאדבר קודם בערבית </w:t>
      </w:r>
      <w:bookmarkStart w:id="79787" w:name="_ETM_Q156_287000"/>
      <w:bookmarkEnd w:id="79787"/>
      <w:r>
        <w:rPr>
          <w:rFonts w:hint="cs"/>
          <w:rtl/>
          <w:lang w:eastAsia="he-IL"/>
        </w:rPr>
        <w:t xml:space="preserve">ואחר כך אתרגם לעברית או להפך? </w:t>
      </w:r>
    </w:p>
    <w:p w:rsidR="00BB59CD" w:rsidRDefault="00BB59CD" w:rsidP="00BB59CD">
      <w:pPr>
        <w:rPr>
          <w:rtl/>
        </w:rPr>
      </w:pPr>
      <w:bookmarkStart w:id="79788" w:name="_ETM_Q156_167000"/>
      <w:bookmarkEnd w:id="79788"/>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w:t>
      </w:r>
      <w:bookmarkStart w:id="79789" w:name="_ETM_Q156_288000"/>
      <w:bookmarkEnd w:id="79789"/>
      <w:r>
        <w:rPr>
          <w:rFonts w:hint="cs"/>
          <w:rtl/>
          <w:lang w:eastAsia="he-IL"/>
        </w:rPr>
        <w:t xml:space="preserve">- - </w:t>
      </w:r>
    </w:p>
    <w:p w:rsidR="00BB59CD" w:rsidRDefault="00BB59CD" w:rsidP="00BB59CD">
      <w:pPr>
        <w:ind w:left="720" w:firstLine="0"/>
        <w:rPr>
          <w:lang w:eastAsia="he-IL"/>
        </w:rPr>
      </w:pPr>
      <w:bookmarkStart w:id="79790" w:name="_ETM_Q156_289000"/>
      <w:bookmarkEnd w:id="79790"/>
    </w:p>
    <w:p w:rsidR="00BB59CD" w:rsidRDefault="00BB59CD" w:rsidP="00BB59CD">
      <w:pPr>
        <w:pStyle w:val="-"/>
        <w:keepNext/>
        <w:rPr>
          <w:rtl/>
        </w:rPr>
      </w:pPr>
      <w:r>
        <w:rPr>
          <w:rStyle w:val="TagStyle"/>
          <w:rFonts w:hint="cs"/>
          <w:rtl/>
        </w:rPr>
        <w:t xml:space="preserve"> &lt;&lt; דובר_המשך &gt;&gt; </w:t>
      </w:r>
      <w:r>
        <w:rPr>
          <w:rFonts w:hint="cs"/>
          <w:rtl/>
        </w:rPr>
        <w:t>איימן עודה (חד"ש-תע"ל):</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CF7BDD">
      <w:pPr>
        <w:rPr>
          <w:rtl/>
        </w:rPr>
      </w:pPr>
      <w:r>
        <w:rPr>
          <w:rFonts w:hint="cs"/>
          <w:rtl/>
          <w:lang w:eastAsia="he-IL"/>
        </w:rPr>
        <w:t>כרצוני. אני אדבר בערבית אל הציבור שלנו.</w:t>
      </w:r>
      <w:bookmarkStart w:id="79791" w:name="_ETM_Q156_297000"/>
      <w:bookmarkEnd w:id="79791"/>
      <w:r>
        <w:rPr>
          <w:rFonts w:hint="cs"/>
          <w:rtl/>
          <w:lang w:eastAsia="he-IL"/>
        </w:rPr>
        <w:t xml:space="preserve"> (אומר דברים בשפה הערבית, להלן תרגומם: </w:t>
      </w:r>
      <w:r>
        <w:rPr>
          <w:rFonts w:hint="cs"/>
          <w:rtl/>
        </w:rPr>
        <w:t>האחים והאחיות, יש לנו כעס צודק כלפי הנהגת ההפגנות. יש לנו כעס צודק כלפי הרבה סיטואציות. יש לנו כעס צודק כלפי סיסמאות ההפגנות. עם זאת, לצד הכעס הצודק הזה עלינו לראות מה העניין החשוב יותר היום. העניין החשוב יותר היום הוא עצירת ההידרדרות הפשיסטית</w:t>
      </w:r>
      <w:r w:rsidR="00CF7BDD">
        <w:rPr>
          <w:rFonts w:hint="cs"/>
          <w:rtl/>
        </w:rPr>
        <w:t>;</w:t>
      </w:r>
      <w:r>
        <w:rPr>
          <w:rFonts w:hint="cs"/>
          <w:rtl/>
        </w:rPr>
        <w:t xml:space="preserve"> זה העניין היותר חשוב ברגע הזה. זאת אומרת, צמצום נוסף של המרחב הדמוקרטי יגרום לכך שאנחנו נהיה הקורבנות הראשונים של הצמצום הנוסף הזה. תנו לי לומר לכם זאת בשפה אחרת</w:t>
      </w:r>
      <w:r w:rsidR="00CF7BDD">
        <w:rPr>
          <w:rFonts w:hint="cs"/>
          <w:rtl/>
        </w:rPr>
        <w:t>: הממשלה מגדירה את עצמה כיהודית-</w:t>
      </w:r>
      <w:r>
        <w:rPr>
          <w:rFonts w:hint="cs"/>
          <w:rtl/>
        </w:rPr>
        <w:t>דמוקרטית</w:t>
      </w:r>
      <w:r w:rsidR="00CF7BDD">
        <w:rPr>
          <w:rFonts w:hint="cs"/>
          <w:rtl/>
        </w:rPr>
        <w:t xml:space="preserve">. </w:t>
      </w:r>
      <w:r>
        <w:rPr>
          <w:rFonts w:hint="cs"/>
          <w:rtl/>
        </w:rPr>
        <w:t>הממשלה הזו רוצה את המדינה יהודית לחלוטין, נקודה, ואנחנו רוצים אותה מדינה דמוקרטית לחלוטין, נקודה. האם זה לטובתנו לעבור מהמקום הנוכחי למדינה יהודית לחלוטין? האם זה לטובת בני עמנו</w:t>
      </w:r>
      <w:r w:rsidR="00CF7BDD">
        <w:rPr>
          <w:rFonts w:hint="cs"/>
          <w:rtl/>
        </w:rPr>
        <w:t>,</w:t>
      </w:r>
      <w:r>
        <w:rPr>
          <w:rFonts w:hint="cs"/>
          <w:rtl/>
        </w:rPr>
        <w:t xml:space="preserve"> או שהמאבק גם מצטבר? </w:t>
      </w:r>
    </w:p>
    <w:p w:rsidR="00BB59CD" w:rsidRDefault="00BB59CD" w:rsidP="00BB59CD">
      <w:pPr>
        <w:rPr>
          <w:rtl/>
        </w:rPr>
      </w:pPr>
    </w:p>
    <w:p w:rsidR="00BB59CD" w:rsidRDefault="00BB59CD" w:rsidP="00CF7BDD">
      <w:pPr>
        <w:rPr>
          <w:rtl/>
        </w:rPr>
      </w:pPr>
      <w:r>
        <w:rPr>
          <w:rFonts w:hint="cs"/>
          <w:rtl/>
        </w:rPr>
        <w:t xml:space="preserve">אז עלינו לעצור את הגאות הפשיסטית, ולהשתתף </w:t>
      </w:r>
      <w:r w:rsidR="00CF7BDD">
        <w:rPr>
          <w:rFonts w:hint="cs"/>
          <w:rtl/>
        </w:rPr>
        <w:t>עם ה</w:t>
      </w:r>
      <w:r>
        <w:rPr>
          <w:rFonts w:hint="cs"/>
          <w:rtl/>
        </w:rPr>
        <w:t>סיסמאות שלנו</w:t>
      </w:r>
      <w:r w:rsidR="00CF7BDD">
        <w:rPr>
          <w:rFonts w:hint="cs"/>
          <w:rtl/>
        </w:rPr>
        <w:t>, עם ה</w:t>
      </w:r>
      <w:r>
        <w:rPr>
          <w:rFonts w:hint="cs"/>
          <w:rtl/>
        </w:rPr>
        <w:t xml:space="preserve">עמדות שלנו, </w:t>
      </w:r>
      <w:r w:rsidR="00CF7BDD">
        <w:rPr>
          <w:rFonts w:hint="cs"/>
          <w:rtl/>
        </w:rPr>
        <w:t xml:space="preserve">כדי </w:t>
      </w:r>
      <w:r>
        <w:rPr>
          <w:rFonts w:hint="cs"/>
          <w:rtl/>
        </w:rPr>
        <w:t>להשפיע על התנועה הז</w:t>
      </w:r>
      <w:r w:rsidR="00CF7BDD">
        <w:rPr>
          <w:rFonts w:hint="cs"/>
          <w:rtl/>
        </w:rPr>
        <w:t>את</w:t>
      </w:r>
      <w:r>
        <w:rPr>
          <w:rFonts w:hint="cs"/>
          <w:rtl/>
        </w:rPr>
        <w:t>, על חלקים ממנה. על חלקים ממנה עלינו להשפיע, וליצור תנועה</w:t>
      </w:r>
      <w:r w:rsidR="00CF7BDD">
        <w:rPr>
          <w:rFonts w:hint="cs"/>
          <w:rtl/>
        </w:rPr>
        <w:t>,</w:t>
      </w:r>
      <w:r>
        <w:rPr>
          <w:rFonts w:hint="cs"/>
          <w:rtl/>
        </w:rPr>
        <w:t xml:space="preserve"> דינמיקה לרעיונות ולדעות שלנו. מה שנדרש הוא להשתתף בכוח. עד היום ההשתתפות שלנו לא הייתה מספקת, אבל בשבועות הבאים תגדל תנועת המחאה. עלינו להיות חלק עיקרי, </w:t>
      </w:r>
      <w:r w:rsidR="00CF7BDD">
        <w:rPr>
          <w:rFonts w:hint="cs"/>
          <w:rtl/>
        </w:rPr>
        <w:t>עם ה</w:t>
      </w:r>
      <w:r>
        <w:rPr>
          <w:rFonts w:hint="cs"/>
          <w:rtl/>
        </w:rPr>
        <w:t xml:space="preserve">עמדות שלנו, </w:t>
      </w:r>
      <w:r w:rsidR="00CF7BDD">
        <w:rPr>
          <w:rFonts w:hint="cs"/>
          <w:rtl/>
        </w:rPr>
        <w:t xml:space="preserve">עם </w:t>
      </w:r>
      <w:r>
        <w:rPr>
          <w:rFonts w:hint="cs"/>
          <w:rtl/>
        </w:rPr>
        <w:t>סיסמאות שלנו ו</w:t>
      </w:r>
      <w:r w:rsidR="00CF7BDD">
        <w:rPr>
          <w:rFonts w:hint="cs"/>
          <w:rtl/>
        </w:rPr>
        <w:t xml:space="preserve">עם </w:t>
      </w:r>
      <w:r>
        <w:rPr>
          <w:rFonts w:hint="cs"/>
          <w:rtl/>
        </w:rPr>
        <w:t xml:space="preserve">חתירתנו להשפיע על תוכן תנועת המחאה נגד הממשלה הזאת.) </w:t>
      </w:r>
      <w:bookmarkStart w:id="79792" w:name="_ETM_Q156_308000"/>
      <w:bookmarkEnd w:id="79792"/>
    </w:p>
    <w:p w:rsidR="00BB59CD" w:rsidRDefault="00BB59CD" w:rsidP="00BB59CD">
      <w:pPr>
        <w:rPr>
          <w:rtl/>
        </w:rPr>
      </w:pPr>
    </w:p>
    <w:p w:rsidR="00BB59CD" w:rsidRDefault="00BB59CD" w:rsidP="00E21977">
      <w:pPr>
        <w:rPr>
          <w:rtl/>
          <w:lang w:eastAsia="he-IL"/>
        </w:rPr>
      </w:pPr>
      <w:r>
        <w:rPr>
          <w:rFonts w:hint="cs"/>
          <w:rtl/>
          <w:lang w:eastAsia="he-IL"/>
        </w:rPr>
        <w:t xml:space="preserve">אני רוצה לתרגם לעברית את מה שאמרתי. פניתי לציבור הערבי בשפה </w:t>
      </w:r>
      <w:bookmarkStart w:id="79793" w:name="_ETM_Q156_425000"/>
      <w:bookmarkEnd w:id="79793"/>
      <w:r>
        <w:rPr>
          <w:rFonts w:hint="cs"/>
          <w:rtl/>
          <w:lang w:eastAsia="he-IL"/>
        </w:rPr>
        <w:t xml:space="preserve">הערבית-ספרותית, ביקשתי מהציבור שלנו להשתתף בהפגנות. נכון שיש לנו </w:t>
      </w:r>
      <w:bookmarkStart w:id="79794" w:name="_ETM_Q156_437000"/>
      <w:bookmarkEnd w:id="79794"/>
      <w:r>
        <w:rPr>
          <w:rFonts w:hint="cs"/>
          <w:rtl/>
          <w:lang w:eastAsia="he-IL"/>
        </w:rPr>
        <w:t xml:space="preserve">הערות מהותיות לגבי עמדות הנהגת המחאה, לגבי הסמלים הלאומיים, ובכל </w:t>
      </w:r>
      <w:bookmarkStart w:id="79795" w:name="_ETM_Q156_446000"/>
      <w:bookmarkEnd w:id="79795"/>
      <w:r>
        <w:rPr>
          <w:rFonts w:hint="cs"/>
          <w:rtl/>
          <w:lang w:eastAsia="he-IL"/>
        </w:rPr>
        <w:t>זאת, האינטרס שלנו – לא לצמצם עוד את המרחב הדמוקרטי</w:t>
      </w:r>
      <w:r w:rsidR="00E21977">
        <w:rPr>
          <w:rFonts w:hint="cs"/>
          <w:rtl/>
          <w:lang w:eastAsia="he-IL"/>
        </w:rPr>
        <w:t>,</w:t>
      </w:r>
      <w:r>
        <w:rPr>
          <w:rFonts w:hint="cs"/>
          <w:rtl/>
          <w:lang w:eastAsia="he-IL"/>
        </w:rPr>
        <w:t xml:space="preserve"> אלא </w:t>
      </w:r>
      <w:bookmarkStart w:id="79796" w:name="_ETM_Q156_456000"/>
      <w:bookmarkEnd w:id="79796"/>
      <w:r>
        <w:rPr>
          <w:rFonts w:hint="cs"/>
          <w:rtl/>
          <w:lang w:eastAsia="he-IL"/>
        </w:rPr>
        <w:t xml:space="preserve">זה מאבק הדרגתי למען הרחבתו ולא צמצומו. אמרתי בשפה הערבית: </w:t>
      </w:r>
      <w:bookmarkStart w:id="79797" w:name="_ETM_Q156_464000"/>
      <w:bookmarkEnd w:id="79797"/>
      <w:r>
        <w:rPr>
          <w:rFonts w:hint="cs"/>
          <w:rtl/>
          <w:lang w:eastAsia="he-IL"/>
        </w:rPr>
        <w:t xml:space="preserve">מי שמשתתף, יש לו את הזכות ואת הכוח ואת הדינמיקה </w:t>
      </w:r>
      <w:bookmarkStart w:id="79798" w:name="_ETM_Q156_471000"/>
      <w:bookmarkEnd w:id="79798"/>
      <w:r>
        <w:rPr>
          <w:rFonts w:hint="cs"/>
          <w:rtl/>
          <w:lang w:eastAsia="he-IL"/>
        </w:rPr>
        <w:t>להשפיע על התכנים של המחאה, אבל מי שיושב בביתו, אי</w:t>
      </w:r>
      <w:bookmarkStart w:id="79799" w:name="_ETM_Q156_477000"/>
      <w:bookmarkEnd w:id="79799"/>
      <w:r>
        <w:rPr>
          <w:rFonts w:hint="cs"/>
          <w:rtl/>
          <w:lang w:eastAsia="he-IL"/>
        </w:rPr>
        <w:t xml:space="preserve">ך הוא ישפיע? לכן, כן, אנחנו צריכים להשתתף עם המוחים </w:t>
      </w:r>
      <w:bookmarkStart w:id="79800" w:name="_ETM_Q156_484000"/>
      <w:bookmarkEnd w:id="79800"/>
      <w:r>
        <w:rPr>
          <w:rFonts w:hint="cs"/>
          <w:rtl/>
          <w:lang w:eastAsia="he-IL"/>
        </w:rPr>
        <w:t xml:space="preserve">ולהשפיע מול הממשלה הפשיסטית. </w:t>
      </w:r>
    </w:p>
    <w:p w:rsidR="00BB59CD" w:rsidRDefault="00BB59CD" w:rsidP="00BB59CD">
      <w:pPr>
        <w:rPr>
          <w:rtl/>
          <w:lang w:eastAsia="he-IL"/>
        </w:rPr>
      </w:pPr>
    </w:p>
    <w:p w:rsidR="00BB59CD" w:rsidRDefault="00BB59CD" w:rsidP="00BB59CD">
      <w:pPr>
        <w:rPr>
          <w:rtl/>
          <w:lang w:eastAsia="he-IL"/>
        </w:rPr>
      </w:pPr>
      <w:r>
        <w:rPr>
          <w:rFonts w:hint="cs"/>
          <w:rtl/>
          <w:lang w:eastAsia="he-IL"/>
        </w:rPr>
        <w:t>ק</w:t>
      </w:r>
      <w:bookmarkStart w:id="79801" w:name="_ETM_Q156_489000"/>
      <w:bookmarkEnd w:id="79801"/>
      <w:r>
        <w:rPr>
          <w:rFonts w:hint="cs"/>
          <w:rtl/>
          <w:lang w:eastAsia="he-IL"/>
        </w:rPr>
        <w:t xml:space="preserve">ו התפר, הקו הכי חשוב בפוליטיקה </w:t>
      </w:r>
      <w:bookmarkStart w:id="79802" w:name="_ETM_Q156_494000"/>
      <w:bookmarkEnd w:id="79802"/>
      <w:r>
        <w:rPr>
          <w:rFonts w:hint="cs"/>
          <w:rtl/>
          <w:lang w:eastAsia="he-IL"/>
        </w:rPr>
        <w:t xml:space="preserve">שלנו, מספר אחת, הוא שאלת הכיבוש ושאלת השלום. והשאלה הזאת, </w:t>
      </w:r>
      <w:bookmarkStart w:id="79803" w:name="_ETM_Q156_500000"/>
      <w:bookmarkEnd w:id="79803"/>
      <w:r>
        <w:rPr>
          <w:rFonts w:hint="cs"/>
          <w:rtl/>
          <w:lang w:eastAsia="he-IL"/>
        </w:rPr>
        <w:t xml:space="preserve">כבוד היושב-ראש, משליכה על כל הדברים. ראה את המאבק, את </w:t>
      </w:r>
      <w:bookmarkStart w:id="79804" w:name="_ETM_Q156_505000"/>
      <w:bookmarkEnd w:id="79804"/>
      <w:r>
        <w:rPr>
          <w:rFonts w:hint="cs"/>
          <w:rtl/>
          <w:lang w:eastAsia="he-IL"/>
        </w:rPr>
        <w:t xml:space="preserve">צמצום המרחב הדמוקרטי, מאיפה הוא מגיע? מבן גביר, סמוטריץ', מקהלת, </w:t>
      </w:r>
      <w:bookmarkStart w:id="79805" w:name="_ETM_Q156_510000"/>
      <w:bookmarkEnd w:id="79805"/>
      <w:r>
        <w:rPr>
          <w:rFonts w:hint="cs"/>
          <w:rtl/>
          <w:lang w:eastAsia="he-IL"/>
        </w:rPr>
        <w:t xml:space="preserve">מהציונות הדתית, מההתנחלויות, מרוטמן המתנחל, משם מגיע הפשיזם לתוך </w:t>
      </w:r>
      <w:bookmarkStart w:id="79806" w:name="_ETM_Q156_516000"/>
      <w:bookmarkEnd w:id="79806"/>
      <w:r>
        <w:rPr>
          <w:rFonts w:hint="cs"/>
          <w:rtl/>
          <w:lang w:eastAsia="he-IL"/>
        </w:rPr>
        <w:t xml:space="preserve">מדינת ישראל. הראו מי הגיע </w:t>
      </w:r>
      <w:bookmarkStart w:id="79807" w:name="_ETM_Q156_518000"/>
      <w:bookmarkEnd w:id="79807"/>
      <w:r>
        <w:rPr>
          <w:rFonts w:hint="cs"/>
          <w:rtl/>
          <w:lang w:eastAsia="he-IL"/>
        </w:rPr>
        <w:t>להפגנות אתמול – מתנחלים. לכן אני פונה למוחים ואומר להם: ז</w:t>
      </w:r>
      <w:bookmarkStart w:id="79808" w:name="_ETM_Q156_529000"/>
      <w:bookmarkEnd w:id="79808"/>
      <w:r>
        <w:rPr>
          <w:rFonts w:hint="cs"/>
          <w:rtl/>
          <w:lang w:eastAsia="he-IL"/>
        </w:rPr>
        <w:t xml:space="preserve">הו המאבק, זהו המאבק העיקרי למי שרוצה דמוקרטיה אמיתית. תודה </w:t>
      </w:r>
      <w:bookmarkStart w:id="79809" w:name="_ETM_Q156_534000"/>
      <w:bookmarkEnd w:id="79809"/>
      <w:r>
        <w:rPr>
          <w:rFonts w:hint="cs"/>
          <w:rtl/>
          <w:lang w:eastAsia="he-IL"/>
        </w:rPr>
        <w:t xml:space="preserve">רבה.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תודה רבה. חבר הכנסת מנסור עבאס, שמונה דקות.</w:t>
      </w:r>
    </w:p>
    <w:p w:rsidR="00BB59CD" w:rsidRDefault="00BB59CD" w:rsidP="00BB59CD">
      <w:pPr>
        <w:rPr>
          <w:rtl/>
          <w:lang w:eastAsia="he-IL"/>
        </w:rPr>
      </w:pPr>
    </w:p>
    <w:p w:rsidR="00BB59CD" w:rsidRDefault="00BB59CD" w:rsidP="00BB59CD">
      <w:pPr>
        <w:pStyle w:val="a5"/>
        <w:keepNext/>
        <w:rPr>
          <w:rtl/>
        </w:rPr>
      </w:pPr>
      <w:bookmarkStart w:id="79810" w:name="ET_speaker_5795_5"/>
      <w:r>
        <w:rPr>
          <w:rStyle w:val="TagStyle"/>
          <w:rFonts w:hint="cs"/>
          <w:rtl/>
        </w:rPr>
        <w:t xml:space="preserve"> &lt;&lt; דובר &gt;&gt; </w:t>
      </w:r>
      <w:bookmarkStart w:id="79811" w:name="_Toc141197199"/>
      <w:bookmarkStart w:id="79812" w:name="_Toc141196935"/>
      <w:r>
        <w:rPr>
          <w:rFonts w:hint="cs"/>
          <w:rtl/>
        </w:rPr>
        <w:t>מנסור עבאס (רע"מ – הרשימה הערבית המאוחדת):</w:t>
      </w:r>
      <w:bookmarkEnd w:id="79811"/>
      <w:bookmarkEnd w:id="79812"/>
      <w:r>
        <w:rPr>
          <w:rStyle w:val="TagStyle"/>
          <w:rFonts w:hint="cs"/>
          <w:rtl/>
        </w:rPr>
        <w:t xml:space="preserve"> &lt;&lt; דובר &gt;&gt;</w:t>
      </w:r>
      <w:r>
        <w:rPr>
          <w:rFonts w:hint="cs"/>
          <w:rtl/>
        </w:rPr>
        <w:t xml:space="preserve">  </w:t>
      </w:r>
      <w:bookmarkEnd w:id="79810"/>
    </w:p>
    <w:p w:rsidR="00BB59CD" w:rsidRDefault="00BB59CD" w:rsidP="00337201">
      <w:pPr>
        <w:rPr>
          <w:rtl/>
          <w:lang w:eastAsia="he-IL"/>
        </w:rPr>
      </w:pPr>
    </w:p>
    <w:p w:rsidR="00BB59CD" w:rsidRDefault="00BB59CD" w:rsidP="00CF7BDD">
      <w:pPr>
        <w:rPr>
          <w:rtl/>
          <w:lang w:eastAsia="he-IL"/>
        </w:rPr>
      </w:pPr>
      <w:r>
        <w:rPr>
          <w:rFonts w:hint="cs"/>
          <w:rtl/>
          <w:lang w:eastAsia="he-IL"/>
        </w:rPr>
        <w:t>אדוני היושב-ראש, כנסת נכבדה,</w:t>
      </w:r>
      <w:bookmarkStart w:id="79813" w:name="_ETM_Q156_573000"/>
      <w:bookmarkStart w:id="79814" w:name="_ETM_Q156_574000"/>
      <w:bookmarkEnd w:id="79813"/>
      <w:bookmarkEnd w:id="79814"/>
      <w:r>
        <w:rPr>
          <w:rFonts w:hint="cs"/>
          <w:rtl/>
          <w:lang w:eastAsia="he-IL"/>
        </w:rPr>
        <w:t xml:space="preserve"> (אומר דברים </w:t>
      </w:r>
      <w:bookmarkStart w:id="79815" w:name="_ETM_Q156_578000"/>
      <w:bookmarkEnd w:id="79815"/>
      <w:r>
        <w:rPr>
          <w:rFonts w:hint="cs"/>
          <w:rtl/>
          <w:lang w:eastAsia="he-IL"/>
        </w:rPr>
        <w:t xml:space="preserve">בשפה הערבית, להלן תרגומם: </w:t>
      </w:r>
      <w:r>
        <w:rPr>
          <w:rFonts w:hint="cs"/>
          <w:rtl/>
        </w:rPr>
        <w:t xml:space="preserve">אנחנו יכולים להמשיך לקשקש ולפטפט שעות ארוכות על המצב הקיים כרגע, ולמה היום יחוקק חוק שיפגע </w:t>
      </w:r>
      <w:r w:rsidR="00CF7BDD">
        <w:rPr>
          <w:rFonts w:hint="cs"/>
          <w:rtl/>
        </w:rPr>
        <w:t xml:space="preserve">בעיקר </w:t>
      </w:r>
      <w:r>
        <w:rPr>
          <w:rFonts w:hint="cs"/>
          <w:rtl/>
        </w:rPr>
        <w:t xml:space="preserve">בזכויותיה ובמעמדה של החברה הערבית. כך גם שאר החוקים שיתקבלו לאחר מכן </w:t>
      </w:r>
      <w:r w:rsidR="00CF7BDD">
        <w:rPr>
          <w:rFonts w:hint="eastAsia"/>
          <w:rtl/>
        </w:rPr>
        <w:t xml:space="preserve">– </w:t>
      </w:r>
      <w:r>
        <w:rPr>
          <w:rFonts w:hint="cs"/>
          <w:rtl/>
        </w:rPr>
        <w:t xml:space="preserve">גם הנזק שלהם יהיה הנזק הכי גדול עבור החברה הערבית. כל ההישגים שלנו יתפוגגו באוויר, בין </w:t>
      </w:r>
      <w:r w:rsidR="00CF7BDD">
        <w:rPr>
          <w:rFonts w:hint="cs"/>
          <w:rtl/>
        </w:rPr>
        <w:t>ש</w:t>
      </w:r>
      <w:r>
        <w:rPr>
          <w:rFonts w:hint="cs"/>
          <w:rtl/>
        </w:rPr>
        <w:t xml:space="preserve">אלו הישגים בנוגע לזכויות, </w:t>
      </w:r>
      <w:r w:rsidR="00CF7BDD">
        <w:rPr>
          <w:rFonts w:hint="cs"/>
          <w:rtl/>
        </w:rPr>
        <w:t xml:space="preserve">ובין שאלו </w:t>
      </w:r>
      <w:r>
        <w:rPr>
          <w:rFonts w:hint="cs"/>
          <w:rtl/>
        </w:rPr>
        <w:t>הישגים כלכליים, חברתיים או אחרים. אני אומר שאנחנו יכולים להמשיך בפטפוט הפוליטי ו</w:t>
      </w:r>
      <w:r w:rsidR="00CF7BDD">
        <w:rPr>
          <w:rFonts w:hint="cs"/>
          <w:rtl/>
        </w:rPr>
        <w:t>ב</w:t>
      </w:r>
      <w:r>
        <w:rPr>
          <w:rFonts w:hint="cs"/>
          <w:rtl/>
        </w:rPr>
        <w:t>קשקוש הפוליטי, אולם בסופו של דבר עלינו להודות שהממשלה הז</w:t>
      </w:r>
      <w:r w:rsidR="00CF7BDD">
        <w:rPr>
          <w:rFonts w:hint="cs"/>
          <w:rtl/>
        </w:rPr>
        <w:t>את</w:t>
      </w:r>
      <w:r>
        <w:rPr>
          <w:rFonts w:hint="cs"/>
          <w:rtl/>
        </w:rPr>
        <w:t xml:space="preserve"> והקואליציה הז</w:t>
      </w:r>
      <w:r w:rsidR="00CF7BDD">
        <w:rPr>
          <w:rFonts w:hint="cs"/>
          <w:rtl/>
        </w:rPr>
        <w:t>את</w:t>
      </w:r>
      <w:r>
        <w:rPr>
          <w:rFonts w:hint="cs"/>
          <w:rtl/>
        </w:rPr>
        <w:t xml:space="preserve"> הגיעו בדרך דמוקרטית.)</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אבל מה אתה אומר?</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p>
    <w:p w:rsidR="00BB59CD" w:rsidRDefault="00BB59CD" w:rsidP="00337201">
      <w:pPr>
        <w:rPr>
          <w:rtl/>
          <w:lang w:eastAsia="he-IL"/>
        </w:rPr>
      </w:pPr>
      <w:r>
        <w:rPr>
          <w:rFonts w:hint="cs"/>
          <w:rtl/>
          <w:lang w:eastAsia="he-IL"/>
        </w:rPr>
        <w:tab/>
      </w:r>
    </w:p>
    <w:p w:rsidR="00BB59CD" w:rsidRDefault="00BB59CD" w:rsidP="00353315">
      <w:pPr>
        <w:rPr>
          <w:rtl/>
        </w:rPr>
      </w:pPr>
      <w:r>
        <w:rPr>
          <w:rFonts w:hint="cs"/>
          <w:rtl/>
          <w:lang w:eastAsia="he-IL"/>
        </w:rPr>
        <w:t>אני אתרגם לך אחר כך.</w:t>
      </w:r>
      <w:bookmarkStart w:id="79816" w:name="_ETM_Q156_624000"/>
      <w:bookmarkEnd w:id="79816"/>
      <w:r>
        <w:rPr>
          <w:rFonts w:hint="cs"/>
          <w:rtl/>
        </w:rPr>
        <w:t xml:space="preserve"> (אומר דברים בשפה הערבית, להלן תרגומם: הן הגיעו בדרך דמוקרטית, הגיעו לאחר מאבק פוליטי בתוך הכנסת הז</w:t>
      </w:r>
      <w:r w:rsidR="00CF7BDD">
        <w:rPr>
          <w:rFonts w:hint="cs"/>
          <w:rtl/>
        </w:rPr>
        <w:t>את</w:t>
      </w:r>
      <w:r>
        <w:rPr>
          <w:rFonts w:hint="cs"/>
          <w:rtl/>
        </w:rPr>
        <w:t xml:space="preserve"> להפלת הממשלה הקודמת</w:t>
      </w:r>
      <w:r w:rsidR="00CF7BDD">
        <w:rPr>
          <w:rFonts w:hint="cs"/>
          <w:rtl/>
        </w:rPr>
        <w:t>,</w:t>
      </w:r>
      <w:r>
        <w:rPr>
          <w:rFonts w:hint="cs"/>
          <w:rtl/>
        </w:rPr>
        <w:t xml:space="preserve"> </w:t>
      </w:r>
      <w:r w:rsidR="00CF7BDD">
        <w:rPr>
          <w:rFonts w:hint="cs"/>
          <w:rtl/>
        </w:rPr>
        <w:t>ל</w:t>
      </w:r>
      <w:r>
        <w:rPr>
          <w:rFonts w:hint="cs"/>
          <w:rtl/>
        </w:rPr>
        <w:t>פירוק הממשלה הקודמת ו</w:t>
      </w:r>
      <w:r w:rsidR="00126792">
        <w:rPr>
          <w:rFonts w:hint="cs"/>
          <w:rtl/>
        </w:rPr>
        <w:t>ל</w:t>
      </w:r>
      <w:r>
        <w:rPr>
          <w:rFonts w:hint="cs"/>
          <w:rtl/>
        </w:rPr>
        <w:t>חזרה לשלטון דרך בחירות. לצערי</w:t>
      </w:r>
      <w:r w:rsidR="00126792">
        <w:rPr>
          <w:rFonts w:hint="cs"/>
          <w:rtl/>
        </w:rPr>
        <w:t>,</w:t>
      </w:r>
      <w:r>
        <w:rPr>
          <w:rFonts w:hint="cs"/>
          <w:rtl/>
        </w:rPr>
        <w:t xml:space="preserve"> כשאנו חפצים לדבר ולקחת אחריות – ואנו באים היום להתקומם ולערער על הממשלה הז</w:t>
      </w:r>
      <w:r w:rsidR="00126792">
        <w:rPr>
          <w:rFonts w:hint="cs"/>
          <w:rtl/>
        </w:rPr>
        <w:t>את</w:t>
      </w:r>
      <w:r>
        <w:rPr>
          <w:rFonts w:hint="cs"/>
          <w:rtl/>
        </w:rPr>
        <w:t xml:space="preserve">, ובצדק אנחנו מערערים עליה, </w:t>
      </w:r>
      <w:r w:rsidR="00126792">
        <w:rPr>
          <w:rFonts w:hint="cs"/>
          <w:rtl/>
        </w:rPr>
        <w:t>על ה</w:t>
      </w:r>
      <w:r>
        <w:rPr>
          <w:rFonts w:hint="cs"/>
          <w:rtl/>
        </w:rPr>
        <w:t xml:space="preserve">מסלול הגזעני והפשיסטי שלה – עלינו לשאת באחריות ולומר שלמפלגות הערביות ולחברי הכנסת הערבים היה </w:t>
      </w:r>
      <w:r w:rsidR="00353315">
        <w:rPr>
          <w:rFonts w:hint="cs"/>
          <w:rtl/>
        </w:rPr>
        <w:t xml:space="preserve">חלק </w:t>
      </w:r>
      <w:r>
        <w:rPr>
          <w:rFonts w:hint="cs"/>
          <w:rtl/>
        </w:rPr>
        <w:t>משמעותי בשיתוף הפעולה עם ה</w:t>
      </w:r>
      <w:bookmarkStart w:id="79817" w:name="_ETM_Q0_93617177"/>
      <w:bookmarkStart w:id="79818" w:name="_ETM_Q0_93617472"/>
      <w:r>
        <w:rPr>
          <w:rFonts w:hint="cs"/>
          <w:rtl/>
        </w:rPr>
        <w:t>ליכוד</w:t>
      </w:r>
      <w:bookmarkEnd w:id="79817"/>
      <w:bookmarkEnd w:id="79818"/>
      <w:r>
        <w:rPr>
          <w:rFonts w:hint="cs"/>
          <w:rtl/>
        </w:rPr>
        <w:t xml:space="preserve"> ובשיתוף הפעולה עם הציונות הדתית.</w:t>
      </w:r>
      <w:r>
        <w:rPr>
          <w:rFonts w:hint="cs"/>
        </w:rPr>
        <w:t xml:space="preserve"> </w:t>
      </w:r>
      <w:r>
        <w:rPr>
          <w:rFonts w:hint="cs"/>
          <w:rtl/>
        </w:rPr>
        <w:t>באולם הזה היה שיתוף פעולה לצורך פירוק הכנסת והפלת הממשלה הקודמת, ועכשיו היא מגיעה אלינו עם כל החסרונות שלה. לכן אם לא נלמד לקח</w:t>
      </w:r>
      <w:r w:rsidR="00126792">
        <w:rPr>
          <w:rFonts w:hint="cs"/>
          <w:rtl/>
        </w:rPr>
        <w:t>,</w:t>
      </w:r>
      <w:r>
        <w:rPr>
          <w:rFonts w:hint="cs"/>
          <w:rtl/>
        </w:rPr>
        <w:t xml:space="preserve"> אם לא נפיק מההתנסות הז</w:t>
      </w:r>
      <w:r w:rsidR="00126792">
        <w:rPr>
          <w:rFonts w:hint="cs"/>
          <w:rtl/>
        </w:rPr>
        <w:t>את</w:t>
      </w:r>
      <w:r>
        <w:rPr>
          <w:rFonts w:hint="cs"/>
          <w:rtl/>
        </w:rPr>
        <w:t xml:space="preserve">, שבה פספסנו הזדמנות היסטורית שיכלה לתת פתרונות לחברה הערבית שלנו בכל הנושאים </w:t>
      </w:r>
      <w:r w:rsidR="00353315">
        <w:rPr>
          <w:rFonts w:hint="eastAsia"/>
          <w:rtl/>
        </w:rPr>
        <w:t>–</w:t>
      </w:r>
      <w:r w:rsidR="00353315">
        <w:rPr>
          <w:rFonts w:hint="cs"/>
          <w:rtl/>
        </w:rPr>
        <w:t xml:space="preserve"> </w:t>
      </w:r>
      <w:r>
        <w:rPr>
          <w:rFonts w:hint="cs"/>
          <w:rtl/>
        </w:rPr>
        <w:t>ברמת המעמד, ברמת הזכויות, ברמת הביטחון והמאבק בפשע; אם לא נלמד לקח</w:t>
      </w:r>
      <w:r w:rsidR="00126792">
        <w:rPr>
          <w:rFonts w:hint="cs"/>
          <w:rtl/>
        </w:rPr>
        <w:t>,</w:t>
      </w:r>
      <w:r>
        <w:rPr>
          <w:rFonts w:hint="cs"/>
          <w:rtl/>
        </w:rPr>
        <w:t xml:space="preserve"> אז נמשיך, אז נמשיך שנים ארוכות לשלם מחיר יקר. ואנחנו עוברים מכישלון פוליטי אחד לכישלון פוליטי נוסף, לאכזבה פוליטית, לאיבוד כל ההזדמנויות שיש לנו בידיים. לכן</w:t>
      </w:r>
      <w:r w:rsidR="00126792">
        <w:rPr>
          <w:rFonts w:hint="cs"/>
          <w:rtl/>
        </w:rPr>
        <w:t>,</w:t>
      </w:r>
      <w:r>
        <w:rPr>
          <w:rFonts w:hint="cs"/>
          <w:rtl/>
        </w:rPr>
        <w:t xml:space="preserve"> תקופת הקשקוש והפטפוט הפוליטי צריכה להסתיים, וצריכה להתחיל תקופה של עבודה, של </w:t>
      </w:r>
      <w:r w:rsidR="00126792">
        <w:rPr>
          <w:rFonts w:hint="cs"/>
          <w:rtl/>
        </w:rPr>
        <w:t>תבונה</w:t>
      </w:r>
      <w:r>
        <w:rPr>
          <w:rFonts w:hint="cs"/>
          <w:rtl/>
        </w:rPr>
        <w:t xml:space="preserve"> ושל סבירות ב</w:t>
      </w:r>
      <w:r w:rsidR="00126792">
        <w:rPr>
          <w:rFonts w:hint="cs"/>
          <w:rtl/>
        </w:rPr>
        <w:t xml:space="preserve">ניהול </w:t>
      </w:r>
      <w:r>
        <w:rPr>
          <w:rFonts w:hint="cs"/>
          <w:rtl/>
        </w:rPr>
        <w:t>העניין הפוליטי שלנו. עלינו לדעת כיצד להשאיר את הגזענים והפשיסטים והקיצוניים</w:t>
      </w:r>
      <w:r w:rsidR="00353315">
        <w:rPr>
          <w:rFonts w:hint="cs"/>
          <w:rtl/>
        </w:rPr>
        <w:t>,</w:t>
      </w:r>
      <w:r>
        <w:rPr>
          <w:rFonts w:hint="cs"/>
          <w:rtl/>
        </w:rPr>
        <w:t xml:space="preserve"> שלא רוצים את טובתנו – להשאיר אותם באופוזיציה</w:t>
      </w:r>
      <w:r w:rsidR="00126792">
        <w:rPr>
          <w:rFonts w:hint="cs"/>
          <w:rtl/>
        </w:rPr>
        <w:t>.</w:t>
      </w:r>
      <w:r>
        <w:rPr>
          <w:rFonts w:hint="cs"/>
          <w:rtl/>
        </w:rPr>
        <w:t xml:space="preserve"> זה הלקח האמיתי.)</w:t>
      </w:r>
    </w:p>
    <w:p w:rsidR="00BB59CD" w:rsidRDefault="00BB59CD" w:rsidP="00BB59CD">
      <w:pPr>
        <w:rPr>
          <w:rtl/>
        </w:rPr>
      </w:pPr>
      <w:bookmarkStart w:id="79819" w:name="_ETM_Q156_629000"/>
      <w:bookmarkEnd w:id="79819"/>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F06270">
      <w:pPr>
        <w:rPr>
          <w:rtl/>
          <w:lang w:eastAsia="he-IL"/>
        </w:rPr>
      </w:pPr>
      <w:bookmarkStart w:id="79820" w:name="_ETM_Q156_750000"/>
      <w:bookmarkEnd w:id="79820"/>
      <w:r>
        <w:rPr>
          <w:rFonts w:hint="cs"/>
          <w:rtl/>
          <w:lang w:eastAsia="he-IL"/>
        </w:rPr>
        <w:t>אבל אתה יכול לתרגם לנו</w:t>
      </w:r>
      <w:r w:rsidR="00F06270">
        <w:rPr>
          <w:rFonts w:hint="cs"/>
          <w:rtl/>
          <w:lang w:eastAsia="he-IL"/>
        </w:rPr>
        <w:t xml:space="preserve"> - - - </w:t>
      </w:r>
    </w:p>
    <w:p w:rsidR="00BB59CD" w:rsidRDefault="00BB59CD" w:rsidP="00BB59CD">
      <w:pPr>
        <w:rPr>
          <w:rtl/>
        </w:rPr>
      </w:pPr>
    </w:p>
    <w:p w:rsidR="00BB59CD" w:rsidRDefault="00BB59CD" w:rsidP="00BB59CD">
      <w:pPr>
        <w:pStyle w:val="-"/>
        <w:rPr>
          <w:rtl/>
        </w:rPr>
      </w:pPr>
      <w:bookmarkStart w:id="79821" w:name="ET_speakercontinue_מנסור_עבאס_רעמ__9"/>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 </w:t>
      </w:r>
      <w:r>
        <w:rPr>
          <w:rFonts w:hint="cs"/>
          <w:rtl/>
        </w:rPr>
        <w:t xml:space="preserve">  </w:t>
      </w:r>
    </w:p>
    <w:bookmarkEnd w:id="79821"/>
    <w:p w:rsidR="00BB59CD" w:rsidRDefault="00BB59CD" w:rsidP="00337201">
      <w:pPr>
        <w:rPr>
          <w:rtl/>
          <w:lang w:eastAsia="he-IL"/>
        </w:rPr>
      </w:pPr>
    </w:p>
    <w:p w:rsidR="00BB59CD" w:rsidRDefault="00BB59CD" w:rsidP="00353315">
      <w:pPr>
        <w:rPr>
          <w:rtl/>
        </w:rPr>
      </w:pPr>
      <w:bookmarkStart w:id="79822" w:name="_ETM_Q156_755000"/>
      <w:bookmarkEnd w:id="79822"/>
      <w:r>
        <w:rPr>
          <w:rFonts w:hint="cs"/>
          <w:rtl/>
          <w:lang w:eastAsia="he-IL"/>
        </w:rPr>
        <w:t>(כל הנאומים לא יכולים למנוע</w:t>
      </w:r>
      <w:r>
        <w:rPr>
          <w:rFonts w:hint="cs"/>
          <w:rtl/>
        </w:rPr>
        <w:t xml:space="preserve"> את החוק הזה או להפיל את הממשלה הזאת, שנהנית מרוב.)</w:t>
      </w:r>
    </w:p>
    <w:p w:rsidR="00BB59CD" w:rsidRDefault="00BB59CD" w:rsidP="00BB59CD">
      <w:pPr>
        <w:rPr>
          <w:rtl/>
        </w:rPr>
      </w:pPr>
    </w:p>
    <w:p w:rsidR="00F06270" w:rsidRDefault="00F06270" w:rsidP="00F06270">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06270" w:rsidRDefault="00F06270" w:rsidP="00BB59CD">
      <w:pPr>
        <w:rPr>
          <w:rtl/>
        </w:rPr>
      </w:pPr>
    </w:p>
    <w:p w:rsidR="00F06270" w:rsidRDefault="00F06270" w:rsidP="00BB59CD">
      <w:pPr>
        <w:rPr>
          <w:rtl/>
        </w:rPr>
      </w:pPr>
      <w:r>
        <w:rPr>
          <w:rFonts w:hint="cs"/>
          <w:rtl/>
        </w:rPr>
        <w:t xml:space="preserve">אולי אתה לא רוצה שנבין מה אתה אומר. </w:t>
      </w:r>
    </w:p>
    <w:p w:rsidR="00F06270" w:rsidRDefault="00F06270" w:rsidP="00BB59CD">
      <w:pPr>
        <w:rPr>
          <w:rtl/>
        </w:rPr>
      </w:pPr>
    </w:p>
    <w:p w:rsidR="00F06270" w:rsidRDefault="00F06270" w:rsidP="00F06270">
      <w:pPr>
        <w:pStyle w:val="-"/>
        <w:rPr>
          <w:rtl/>
        </w:rPr>
      </w:pPr>
      <w:r w:rsidRPr="00F06270">
        <w:rPr>
          <w:rStyle w:val="TagStyle"/>
          <w:rtl/>
        </w:rPr>
        <w:t xml:space="preserve"> &lt;&lt;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F06270">
        <w:rPr>
          <w:rStyle w:val="TagStyle"/>
          <w:rtl/>
        </w:rPr>
        <w:t xml:space="preserve">&lt;&lt; דובר_המשך &gt;&gt; </w:t>
      </w:r>
      <w:r>
        <w:rPr>
          <w:rStyle w:val="TagStyle"/>
          <w:rtl/>
        </w:rPr>
        <w:t xml:space="preserve"> </w:t>
      </w:r>
      <w:r>
        <w:rPr>
          <w:rFonts w:hint="cs"/>
          <w:rtl/>
        </w:rPr>
        <w:t xml:space="preserve"> </w:t>
      </w:r>
    </w:p>
    <w:p w:rsidR="006157C7" w:rsidRDefault="006157C7" w:rsidP="00BB59CD">
      <w:pPr>
        <w:rPr>
          <w:rtl/>
        </w:rPr>
      </w:pPr>
    </w:p>
    <w:p w:rsidR="006157C7" w:rsidRPr="000756B1" w:rsidRDefault="00F06270" w:rsidP="00353315">
      <w:pPr>
        <w:rPr>
          <w:rtl/>
        </w:rPr>
      </w:pPr>
      <w:r w:rsidRPr="000756B1">
        <w:rPr>
          <w:rFonts w:hint="cs"/>
          <w:rtl/>
        </w:rPr>
        <w:t>(</w:t>
      </w:r>
      <w:r w:rsidR="006157C7" w:rsidRPr="000756B1">
        <w:rPr>
          <w:rtl/>
        </w:rPr>
        <w:t>זה הלקח העיקרי</w:t>
      </w:r>
      <w:r w:rsidRPr="000756B1">
        <w:rPr>
          <w:rFonts w:hint="cs"/>
          <w:rtl/>
        </w:rPr>
        <w:t>, ו</w:t>
      </w:r>
      <w:r w:rsidR="006157C7" w:rsidRPr="000756B1">
        <w:rPr>
          <w:rtl/>
        </w:rPr>
        <w:t xml:space="preserve">בני החברה הערבית שלנו </w:t>
      </w:r>
      <w:r w:rsidRPr="000756B1">
        <w:rPr>
          <w:rFonts w:hint="cs"/>
          <w:rtl/>
        </w:rPr>
        <w:t xml:space="preserve">התחילו </w:t>
      </w:r>
      <w:r w:rsidR="006157C7" w:rsidRPr="000756B1">
        <w:rPr>
          <w:rtl/>
        </w:rPr>
        <w:t>להיות מודעים לו ולהבין אותו. ולכן מאוד כואב ש</w:t>
      </w:r>
      <w:r w:rsidR="00353315">
        <w:rPr>
          <w:rFonts w:hint="cs"/>
          <w:rtl/>
        </w:rPr>
        <w:t>עולים</w:t>
      </w:r>
      <w:r w:rsidR="006157C7" w:rsidRPr="000756B1">
        <w:rPr>
          <w:rtl/>
        </w:rPr>
        <w:t xml:space="preserve"> לבמה הז</w:t>
      </w:r>
      <w:r w:rsidR="00126792">
        <w:rPr>
          <w:rFonts w:hint="cs"/>
          <w:rtl/>
        </w:rPr>
        <w:t>את</w:t>
      </w:r>
      <w:r w:rsidR="006157C7" w:rsidRPr="000756B1">
        <w:rPr>
          <w:rtl/>
        </w:rPr>
        <w:t xml:space="preserve"> חברי כנסת ערבים כדי לדבר על חסרונות הממשלה הז</w:t>
      </w:r>
      <w:r w:rsidR="00126792">
        <w:rPr>
          <w:rFonts w:hint="cs"/>
          <w:rtl/>
        </w:rPr>
        <w:t>את</w:t>
      </w:r>
      <w:r w:rsidR="006157C7" w:rsidRPr="000756B1">
        <w:rPr>
          <w:rtl/>
        </w:rPr>
        <w:t>, שהיא הממשלה הכי גרועה בהיסטורי</w:t>
      </w:r>
      <w:r w:rsidRPr="000756B1">
        <w:rPr>
          <w:rFonts w:hint="cs"/>
          <w:rtl/>
        </w:rPr>
        <w:t>ה</w:t>
      </w:r>
      <w:r w:rsidR="006157C7" w:rsidRPr="000756B1">
        <w:rPr>
          <w:rtl/>
        </w:rPr>
        <w:t xml:space="preserve"> </w:t>
      </w:r>
      <w:r w:rsidR="00126792">
        <w:rPr>
          <w:rFonts w:hint="cs"/>
          <w:rtl/>
        </w:rPr>
        <w:t xml:space="preserve">של </w:t>
      </w:r>
      <w:r w:rsidR="006157C7" w:rsidRPr="000756B1">
        <w:rPr>
          <w:rtl/>
        </w:rPr>
        <w:t>ישראל, שהיא פשיסטית ושהיא גזענית ושהחוקים האלה גרועים</w:t>
      </w:r>
      <w:r w:rsidRPr="000756B1">
        <w:rPr>
          <w:rFonts w:hint="cs"/>
          <w:rtl/>
        </w:rPr>
        <w:t>,</w:t>
      </w:r>
      <w:r w:rsidR="006157C7" w:rsidRPr="000756B1">
        <w:rPr>
          <w:rtl/>
        </w:rPr>
        <w:t xml:space="preserve"> </w:t>
      </w:r>
      <w:r w:rsidRPr="000756B1">
        <w:rPr>
          <w:rFonts w:hint="cs"/>
          <w:rtl/>
        </w:rPr>
        <w:t>כש</w:t>
      </w:r>
      <w:r w:rsidR="006157C7" w:rsidRPr="000756B1">
        <w:rPr>
          <w:rtl/>
        </w:rPr>
        <w:t>לפני שנה</w:t>
      </w:r>
      <w:r w:rsidR="00126792">
        <w:rPr>
          <w:rFonts w:hint="cs"/>
          <w:rtl/>
        </w:rPr>
        <w:t>,</w:t>
      </w:r>
      <w:r w:rsidRPr="000756B1">
        <w:rPr>
          <w:rFonts w:hint="cs"/>
          <w:rtl/>
        </w:rPr>
        <w:t xml:space="preserve"> </w:t>
      </w:r>
      <w:r w:rsidR="006157C7" w:rsidRPr="000756B1">
        <w:rPr>
          <w:rtl/>
        </w:rPr>
        <w:t>במודעות, במודעות</w:t>
      </w:r>
      <w:r w:rsidR="00126792">
        <w:rPr>
          <w:rFonts w:hint="cs"/>
          <w:rtl/>
        </w:rPr>
        <w:t>,</w:t>
      </w:r>
      <w:r w:rsidRPr="000756B1">
        <w:rPr>
          <w:rFonts w:hint="cs"/>
          <w:rtl/>
        </w:rPr>
        <w:t xml:space="preserve"> </w:t>
      </w:r>
      <w:r w:rsidR="006157C7" w:rsidRPr="000756B1">
        <w:rPr>
          <w:rtl/>
        </w:rPr>
        <w:t xml:space="preserve">הם לחצו יד </w:t>
      </w:r>
      <w:r w:rsidR="00126792">
        <w:rPr>
          <w:rFonts w:hint="cs"/>
          <w:rtl/>
        </w:rPr>
        <w:t>ל</w:t>
      </w:r>
      <w:r w:rsidR="006157C7" w:rsidRPr="000756B1">
        <w:rPr>
          <w:rtl/>
        </w:rPr>
        <w:t>ליכוד והמשיכו שנה שלמה בעבודה עד שפורקה הכנסת והופלה הממשלה והלכנו לבחירות</w:t>
      </w:r>
      <w:r w:rsidRPr="000756B1">
        <w:rPr>
          <w:rFonts w:hint="cs"/>
          <w:rtl/>
        </w:rPr>
        <w:t>.</w:t>
      </w:r>
      <w:r w:rsidR="006157C7" w:rsidRPr="000756B1">
        <w:rPr>
          <w:rtl/>
        </w:rPr>
        <w:t xml:space="preserve"> שוב חזר אלינו נתניהו</w:t>
      </w:r>
      <w:r w:rsidRPr="000756B1">
        <w:rPr>
          <w:rFonts w:hint="cs"/>
          <w:rtl/>
        </w:rPr>
        <w:t>,</w:t>
      </w:r>
      <w:r w:rsidR="006157C7" w:rsidRPr="000756B1">
        <w:rPr>
          <w:rtl/>
        </w:rPr>
        <w:t xml:space="preserve"> ואיתו סמוטריץ' ובן גביר</w:t>
      </w:r>
      <w:r w:rsidRPr="000756B1">
        <w:rPr>
          <w:rFonts w:hint="cs"/>
          <w:rtl/>
        </w:rPr>
        <w:t>,</w:t>
      </w:r>
      <w:r w:rsidR="006157C7" w:rsidRPr="000756B1">
        <w:rPr>
          <w:rtl/>
        </w:rPr>
        <w:t xml:space="preserve"> וחזר הפשע כדי להמשיך </w:t>
      </w:r>
      <w:r w:rsidRPr="000756B1">
        <w:rPr>
          <w:rFonts w:hint="cs"/>
          <w:rtl/>
        </w:rPr>
        <w:t>ולהתגבר</w:t>
      </w:r>
      <w:r w:rsidR="00126792">
        <w:rPr>
          <w:rFonts w:hint="cs"/>
          <w:rtl/>
        </w:rPr>
        <w:t>;</w:t>
      </w:r>
      <w:r w:rsidRPr="000756B1">
        <w:rPr>
          <w:rFonts w:hint="cs"/>
          <w:rtl/>
        </w:rPr>
        <w:t xml:space="preserve"> </w:t>
      </w:r>
      <w:r w:rsidR="006157C7" w:rsidRPr="000756B1">
        <w:rPr>
          <w:rtl/>
        </w:rPr>
        <w:t>הפשע אומנם נשאר, אולם המשיך לעלות פי כמה וכמה. זה הלקח העיקרי שעלינו ללמוד בשלב הזה כדי לבנות עתיד טוב יותר לחברה שלנו, לבנינו ולבנותינו. אם לא, אם נחזור על אותן הטעויות</w:t>
      </w:r>
      <w:r w:rsidRPr="000756B1">
        <w:rPr>
          <w:rFonts w:hint="cs"/>
          <w:rtl/>
        </w:rPr>
        <w:t>,</w:t>
      </w:r>
      <w:r w:rsidR="006157C7" w:rsidRPr="000756B1">
        <w:rPr>
          <w:rtl/>
        </w:rPr>
        <w:t xml:space="preserve"> אנחנו נחזור לאותו המצב</w:t>
      </w:r>
      <w:r w:rsidR="000756B1">
        <w:rPr>
          <w:rFonts w:hint="cs"/>
          <w:rtl/>
        </w:rPr>
        <w:t>.</w:t>
      </w:r>
      <w:r w:rsidRPr="000756B1">
        <w:rPr>
          <w:rFonts w:hint="cs"/>
          <w:rtl/>
        </w:rPr>
        <w:t>)</w:t>
      </w:r>
      <w:r w:rsidR="006157C7" w:rsidRPr="000756B1">
        <w:rPr>
          <w:rtl/>
        </w:rPr>
        <w:t xml:space="preserve"> </w:t>
      </w:r>
    </w:p>
    <w:p w:rsidR="00F06270" w:rsidRPr="000756B1" w:rsidRDefault="00F06270" w:rsidP="00F06270">
      <w:pPr>
        <w:rPr>
          <w:rtl/>
        </w:rPr>
      </w:pPr>
    </w:p>
    <w:p w:rsidR="00F06270" w:rsidRPr="000756B1" w:rsidRDefault="00F06270" w:rsidP="00F06270">
      <w:pPr>
        <w:pStyle w:val="af8"/>
        <w:keepNext/>
        <w:rPr>
          <w:rtl/>
        </w:rPr>
      </w:pPr>
      <w:r w:rsidRPr="000756B1">
        <w:rPr>
          <w:rStyle w:val="TagStyle"/>
          <w:rFonts w:hint="cs"/>
          <w:rtl/>
        </w:rPr>
        <w:t xml:space="preserve">&lt;&lt; קריאה &gt;&gt; </w:t>
      </w:r>
      <w:r w:rsidRPr="000756B1">
        <w:rPr>
          <w:rFonts w:hint="cs"/>
          <w:rtl/>
        </w:rPr>
        <w:t>עאידה תומא סלימאן (חד"ש-תע"ל):</w:t>
      </w:r>
      <w:r w:rsidRPr="000756B1">
        <w:rPr>
          <w:rStyle w:val="TagStyle"/>
          <w:rtl/>
        </w:rPr>
        <w:t xml:space="preserve"> &lt;&lt; קריאה &gt;&gt;</w:t>
      </w:r>
      <w:r w:rsidRPr="000756B1">
        <w:rPr>
          <w:rFonts w:hint="cs"/>
          <w:rtl/>
        </w:rPr>
        <w:t xml:space="preserve">  </w:t>
      </w:r>
    </w:p>
    <w:p w:rsidR="00F06270" w:rsidRPr="000756B1" w:rsidRDefault="00F06270" w:rsidP="00F06270">
      <w:pPr>
        <w:rPr>
          <w:rtl/>
        </w:rPr>
      </w:pPr>
    </w:p>
    <w:p w:rsidR="006157C7" w:rsidRPr="000756B1" w:rsidRDefault="00F06270" w:rsidP="006157C7">
      <w:pPr>
        <w:rPr>
          <w:rtl/>
        </w:rPr>
      </w:pPr>
      <w:r w:rsidRPr="000756B1">
        <w:rPr>
          <w:rFonts w:hint="cs"/>
          <w:rtl/>
        </w:rPr>
        <w:t>(</w:t>
      </w:r>
      <w:r w:rsidR="006157C7" w:rsidRPr="000756B1">
        <w:rPr>
          <w:rtl/>
        </w:rPr>
        <w:t>אתה לא - -</w:t>
      </w:r>
      <w:r w:rsidRPr="000756B1">
        <w:rPr>
          <w:rFonts w:hint="cs"/>
          <w:rtl/>
        </w:rPr>
        <w:t xml:space="preserve"> -)</w:t>
      </w:r>
    </w:p>
    <w:p w:rsidR="00F06270" w:rsidRPr="000756B1" w:rsidRDefault="00F06270" w:rsidP="006157C7">
      <w:pPr>
        <w:rPr>
          <w:rtl/>
        </w:rPr>
      </w:pPr>
    </w:p>
    <w:p w:rsidR="00F06270" w:rsidRPr="000756B1" w:rsidRDefault="00F06270" w:rsidP="00F06270">
      <w:pPr>
        <w:pStyle w:val="-"/>
        <w:rPr>
          <w:rtl/>
        </w:rPr>
      </w:pPr>
      <w:r w:rsidRPr="000756B1">
        <w:rPr>
          <w:rStyle w:val="TagStyle"/>
          <w:rtl/>
        </w:rPr>
        <w:t>&lt;&lt; דובר_המשך &gt;&gt;</w:t>
      </w:r>
      <w:r w:rsidRPr="000756B1">
        <w:rPr>
          <w:rStyle w:val="TagStyle"/>
          <w:rFonts w:hint="cs"/>
          <w:rtl/>
        </w:rPr>
        <w:t xml:space="preserve"> </w:t>
      </w:r>
      <w:r w:rsidRPr="000756B1">
        <w:rPr>
          <w:rFonts w:hint="cs"/>
          <w:rtl/>
        </w:rPr>
        <w:t>מנסור עבאס (רע"מ – הרשימה הערבית המאוחדת):</w:t>
      </w:r>
      <w:r w:rsidRPr="000756B1">
        <w:rPr>
          <w:rStyle w:val="TagStyle"/>
          <w:rtl/>
        </w:rPr>
        <w:t xml:space="preserve"> &lt;&lt; דובר_המשך &gt;&gt;  </w:t>
      </w:r>
      <w:r w:rsidRPr="000756B1">
        <w:rPr>
          <w:rFonts w:hint="cs"/>
          <w:rtl/>
        </w:rPr>
        <w:t xml:space="preserve"> </w:t>
      </w:r>
    </w:p>
    <w:p w:rsidR="00F06270" w:rsidRPr="000756B1" w:rsidRDefault="00F06270" w:rsidP="006157C7">
      <w:pPr>
        <w:rPr>
          <w:rtl/>
        </w:rPr>
      </w:pPr>
    </w:p>
    <w:p w:rsidR="006157C7" w:rsidRPr="000756B1" w:rsidRDefault="00F06270" w:rsidP="000756B1">
      <w:pPr>
        <w:rPr>
          <w:rtl/>
        </w:rPr>
      </w:pPr>
      <w:r w:rsidRPr="000756B1">
        <w:rPr>
          <w:rFonts w:hint="cs"/>
          <w:rtl/>
        </w:rPr>
        <w:t>(ל</w:t>
      </w:r>
      <w:r w:rsidR="006157C7" w:rsidRPr="000756B1">
        <w:rPr>
          <w:rtl/>
        </w:rPr>
        <w:t>שאת באחריות, אחותי עאידה, לא אומר שאנחנו הפושעים. שנישא באחריות ונלמד לקחים</w:t>
      </w:r>
      <w:r w:rsidR="00126792">
        <w:rPr>
          <w:rFonts w:hint="cs"/>
          <w:rtl/>
        </w:rPr>
        <w:t>,</w:t>
      </w:r>
      <w:r w:rsidR="006157C7" w:rsidRPr="000756B1">
        <w:rPr>
          <w:rtl/>
        </w:rPr>
        <w:t xml:space="preserve"> זה מה שדרוש. </w:t>
      </w:r>
      <w:r w:rsidRPr="000756B1">
        <w:rPr>
          <w:rFonts w:hint="cs"/>
          <w:rtl/>
        </w:rPr>
        <w:t>ז</w:t>
      </w:r>
      <w:r w:rsidR="006157C7" w:rsidRPr="000756B1">
        <w:rPr>
          <w:rtl/>
        </w:rPr>
        <w:t>ה מה שדרוש, וזה בכלל לא מפחית - -</w:t>
      </w:r>
      <w:r w:rsidR="000756B1">
        <w:rPr>
          <w:rFonts w:hint="cs"/>
          <w:rtl/>
        </w:rPr>
        <w:t>)</w:t>
      </w:r>
    </w:p>
    <w:p w:rsidR="00F06270" w:rsidRPr="000756B1" w:rsidRDefault="00F06270" w:rsidP="00F06270">
      <w:pPr>
        <w:rPr>
          <w:rtl/>
        </w:rPr>
      </w:pPr>
    </w:p>
    <w:p w:rsidR="00F06270" w:rsidRPr="000756B1" w:rsidRDefault="00C0454F" w:rsidP="00C0454F">
      <w:pPr>
        <w:pStyle w:val="af8"/>
        <w:rPr>
          <w:rtl/>
        </w:rPr>
      </w:pPr>
      <w:bookmarkStart w:id="79823" w:name="ET_interruption_5761_1408"/>
      <w:r w:rsidRPr="000756B1">
        <w:rPr>
          <w:rStyle w:val="TagStyle"/>
          <w:rtl/>
        </w:rPr>
        <w:t xml:space="preserve"> &lt;&lt; קריאה &gt;&gt;</w:t>
      </w:r>
      <w:r w:rsidR="00F06270" w:rsidRPr="000756B1">
        <w:rPr>
          <w:rStyle w:val="TagStyle"/>
          <w:rFonts w:hint="cs"/>
          <w:rtl/>
        </w:rPr>
        <w:t xml:space="preserve"> </w:t>
      </w:r>
      <w:r w:rsidR="00F06270" w:rsidRPr="000756B1">
        <w:rPr>
          <w:rFonts w:hint="cs"/>
          <w:rtl/>
        </w:rPr>
        <w:t>עאידה תומא סלימאן (חד"ש-תע"ל):</w:t>
      </w:r>
      <w:r w:rsidR="00F06270" w:rsidRPr="000756B1">
        <w:rPr>
          <w:rStyle w:val="TagStyle"/>
          <w:rtl/>
        </w:rPr>
        <w:t xml:space="preserve"> </w:t>
      </w:r>
      <w:r w:rsidRPr="000756B1">
        <w:rPr>
          <w:rStyle w:val="TagStyle"/>
          <w:rtl/>
        </w:rPr>
        <w:t>&lt;&lt; קריאה &gt;&gt;</w:t>
      </w:r>
      <w:bookmarkEnd w:id="79823"/>
      <w:r w:rsidRPr="000756B1">
        <w:rPr>
          <w:rStyle w:val="TagStyle"/>
          <w:rtl/>
        </w:rPr>
        <w:t xml:space="preserve"> </w:t>
      </w:r>
      <w:r w:rsidR="00F06270" w:rsidRPr="000756B1">
        <w:rPr>
          <w:rFonts w:hint="cs"/>
          <w:rtl/>
        </w:rPr>
        <w:t xml:space="preserve">  </w:t>
      </w:r>
    </w:p>
    <w:p w:rsidR="00F06270" w:rsidRPr="000756B1" w:rsidRDefault="00F06270" w:rsidP="006157C7">
      <w:pPr>
        <w:rPr>
          <w:rtl/>
        </w:rPr>
      </w:pPr>
    </w:p>
    <w:p w:rsidR="006157C7" w:rsidRPr="000756B1" w:rsidRDefault="00F06270" w:rsidP="00126792">
      <w:pPr>
        <w:rPr>
          <w:rtl/>
        </w:rPr>
      </w:pPr>
      <w:r w:rsidRPr="000756B1">
        <w:rPr>
          <w:rFonts w:hint="cs"/>
          <w:rtl/>
        </w:rPr>
        <w:t>(</w:t>
      </w:r>
      <w:r w:rsidR="006157C7" w:rsidRPr="000756B1">
        <w:rPr>
          <w:rtl/>
        </w:rPr>
        <w:t>מספיק</w:t>
      </w:r>
      <w:r w:rsidR="00126792">
        <w:rPr>
          <w:rFonts w:hint="cs"/>
          <w:rtl/>
        </w:rPr>
        <w:t>.</w:t>
      </w:r>
      <w:r w:rsidR="006157C7" w:rsidRPr="000756B1">
        <w:rPr>
          <w:rtl/>
        </w:rPr>
        <w:t xml:space="preserve"> בושה</w:t>
      </w:r>
      <w:r w:rsidR="00584762" w:rsidRPr="000756B1">
        <w:rPr>
          <w:rFonts w:hint="cs"/>
          <w:rtl/>
        </w:rPr>
        <w:t xml:space="preserve"> - - -</w:t>
      </w:r>
      <w:r w:rsidRPr="000756B1">
        <w:rPr>
          <w:rFonts w:hint="cs"/>
          <w:rtl/>
        </w:rPr>
        <w:t>)</w:t>
      </w:r>
      <w:r w:rsidR="006157C7" w:rsidRPr="000756B1">
        <w:rPr>
          <w:rtl/>
        </w:rPr>
        <w:t xml:space="preserve"> </w:t>
      </w:r>
    </w:p>
    <w:p w:rsidR="00F06270" w:rsidRPr="000756B1" w:rsidRDefault="00F06270" w:rsidP="006157C7">
      <w:pPr>
        <w:rPr>
          <w:rtl/>
        </w:rPr>
      </w:pPr>
    </w:p>
    <w:p w:rsidR="00F06270" w:rsidRPr="000756B1" w:rsidRDefault="00C0454F" w:rsidP="00C0454F">
      <w:pPr>
        <w:pStyle w:val="-"/>
        <w:rPr>
          <w:rtl/>
        </w:rPr>
      </w:pPr>
      <w:bookmarkStart w:id="79824" w:name="ET_speakercontinue_מנסור_עבאס_רעמ__1410"/>
      <w:r w:rsidRPr="000756B1">
        <w:rPr>
          <w:rStyle w:val="TagStyle"/>
          <w:rtl/>
        </w:rPr>
        <w:t xml:space="preserve"> &lt;&lt; דובר_המשך &gt;&gt;</w:t>
      </w:r>
      <w:r w:rsidR="00F06270" w:rsidRPr="000756B1">
        <w:rPr>
          <w:rStyle w:val="TagStyle"/>
          <w:rFonts w:hint="cs"/>
          <w:rtl/>
        </w:rPr>
        <w:t xml:space="preserve"> </w:t>
      </w:r>
      <w:r w:rsidR="00F06270" w:rsidRPr="000756B1">
        <w:rPr>
          <w:rFonts w:hint="cs"/>
          <w:rtl/>
        </w:rPr>
        <w:t>מנסור עבאס (רע"מ – הרשימה הערבית המאוחדת):</w:t>
      </w:r>
      <w:r w:rsidR="00F06270" w:rsidRPr="000756B1">
        <w:rPr>
          <w:rStyle w:val="TagStyle"/>
          <w:rtl/>
        </w:rPr>
        <w:t xml:space="preserve"> </w:t>
      </w:r>
      <w:r w:rsidRPr="000756B1">
        <w:rPr>
          <w:rStyle w:val="TagStyle"/>
          <w:rtl/>
        </w:rPr>
        <w:t xml:space="preserve">&lt;&lt; דובר_המשך &gt;&gt; </w:t>
      </w:r>
      <w:r w:rsidR="00F06270" w:rsidRPr="000756B1">
        <w:rPr>
          <w:rStyle w:val="TagStyle"/>
          <w:rtl/>
        </w:rPr>
        <w:t xml:space="preserve">  </w:t>
      </w:r>
    </w:p>
    <w:bookmarkEnd w:id="79824"/>
    <w:p w:rsidR="00584762" w:rsidRDefault="00584762" w:rsidP="006157C7">
      <w:pPr>
        <w:rPr>
          <w:highlight w:val="yellow"/>
          <w:rtl/>
        </w:rPr>
      </w:pPr>
    </w:p>
    <w:p w:rsidR="00F06270" w:rsidRPr="000756B1" w:rsidRDefault="00F06270" w:rsidP="00126792">
      <w:pPr>
        <w:rPr>
          <w:rStyle w:val="TagStyle"/>
          <w:rtl/>
        </w:rPr>
      </w:pPr>
      <w:r w:rsidRPr="000756B1">
        <w:rPr>
          <w:rFonts w:hint="cs"/>
          <w:rtl/>
        </w:rPr>
        <w:t xml:space="preserve">(- - </w:t>
      </w:r>
      <w:r w:rsidR="006157C7" w:rsidRPr="000756B1">
        <w:rPr>
          <w:rtl/>
        </w:rPr>
        <w:t>זה בכלל לא מפחית מהאחריות של הממשלה הפשיסטית והגזענית הז</w:t>
      </w:r>
      <w:r w:rsidR="00126792">
        <w:rPr>
          <w:rFonts w:hint="cs"/>
          <w:rtl/>
        </w:rPr>
        <w:t>את</w:t>
      </w:r>
      <w:r w:rsidR="006157C7" w:rsidRPr="000756B1">
        <w:rPr>
          <w:rtl/>
        </w:rPr>
        <w:t xml:space="preserve"> כלפינו. אתם שיתפתם איתם פעולה, והיום הממשלה הז</w:t>
      </w:r>
      <w:r w:rsidR="00126792">
        <w:rPr>
          <w:rFonts w:hint="cs"/>
          <w:rtl/>
        </w:rPr>
        <w:t>את</w:t>
      </w:r>
      <w:r w:rsidR="006157C7" w:rsidRPr="000756B1">
        <w:rPr>
          <w:rtl/>
        </w:rPr>
        <w:t xml:space="preserve"> מבצעת את המדיניות שהיא רצתה בה.</w:t>
      </w:r>
    </w:p>
    <w:p w:rsidR="00F06270" w:rsidRPr="000756B1" w:rsidRDefault="00584762" w:rsidP="00126792">
      <w:pPr>
        <w:rPr>
          <w:rtl/>
        </w:rPr>
      </w:pPr>
      <w:r w:rsidRPr="000756B1">
        <w:rPr>
          <w:rFonts w:hint="cs"/>
          <w:rtl/>
        </w:rPr>
        <w:t xml:space="preserve"> </w:t>
      </w:r>
      <w:r w:rsidR="006157C7" w:rsidRPr="000756B1">
        <w:rPr>
          <w:rtl/>
        </w:rPr>
        <w:t>עכשיו סגן ראש הממשלה אומר</w:t>
      </w:r>
      <w:r w:rsidR="00F06270" w:rsidRPr="000756B1">
        <w:rPr>
          <w:rFonts w:hint="cs"/>
          <w:rtl/>
        </w:rPr>
        <w:t>:</w:t>
      </w:r>
      <w:r w:rsidR="006157C7" w:rsidRPr="000756B1">
        <w:rPr>
          <w:rtl/>
        </w:rPr>
        <w:t xml:space="preserve"> כן, אנחנו חייבים לחברי הכנסת הערבים במשותפת שהם עזרו לנו בפירוק הממשלה. עכשיו</w:t>
      </w:r>
      <w:r w:rsidR="00126792">
        <w:rPr>
          <w:rFonts w:hint="cs"/>
          <w:rtl/>
        </w:rPr>
        <w:t>,</w:t>
      </w:r>
      <w:r w:rsidR="006157C7" w:rsidRPr="000756B1">
        <w:rPr>
          <w:rtl/>
        </w:rPr>
        <w:t xml:space="preserve"> עכשיו סגן ראש הממשלה אומר שהוא חייב לכם</w:t>
      </w:r>
      <w:r w:rsidR="00126792">
        <w:rPr>
          <w:rFonts w:hint="cs"/>
          <w:rtl/>
        </w:rPr>
        <w:t>.</w:t>
      </w:r>
      <w:r w:rsidR="00F06270" w:rsidRPr="000756B1">
        <w:rPr>
          <w:rFonts w:hint="cs"/>
          <w:rtl/>
        </w:rPr>
        <w:t>)</w:t>
      </w:r>
    </w:p>
    <w:p w:rsidR="006157C7" w:rsidRPr="000756B1" w:rsidRDefault="006157C7" w:rsidP="006157C7">
      <w:pPr>
        <w:rPr>
          <w:rtl/>
        </w:rPr>
      </w:pPr>
      <w:r w:rsidRPr="000756B1">
        <w:rPr>
          <w:rtl/>
        </w:rPr>
        <w:t xml:space="preserve"> </w:t>
      </w:r>
    </w:p>
    <w:p w:rsidR="00F06270" w:rsidRDefault="00C0454F" w:rsidP="00C0454F">
      <w:pPr>
        <w:pStyle w:val="af9"/>
        <w:rPr>
          <w:highlight w:val="yellow"/>
          <w:rtl/>
        </w:rPr>
      </w:pPr>
      <w:bookmarkStart w:id="79825" w:name="ET_yor_6129_1412"/>
      <w:r w:rsidRPr="00C0454F">
        <w:rPr>
          <w:rStyle w:val="TagStyle"/>
          <w:rtl/>
        </w:rPr>
        <w:t xml:space="preserve"> &lt;&lt; יור &gt;&gt;</w:t>
      </w:r>
      <w:r w:rsidR="00F06270">
        <w:rPr>
          <w:rStyle w:val="TagStyle"/>
          <w:rFonts w:hint="cs"/>
          <w:rtl/>
        </w:rPr>
        <w:t xml:space="preserve"> </w:t>
      </w:r>
      <w:r w:rsidR="00F06270">
        <w:rPr>
          <w:rFonts w:hint="cs"/>
          <w:rtl/>
        </w:rPr>
        <w:t>היו"ר ישראל אייכלר:</w:t>
      </w:r>
      <w:r w:rsidR="00F06270">
        <w:rPr>
          <w:rStyle w:val="TagStyle"/>
          <w:rtl/>
        </w:rPr>
        <w:t xml:space="preserve"> </w:t>
      </w:r>
      <w:r w:rsidRPr="00C0454F">
        <w:rPr>
          <w:rStyle w:val="TagStyle"/>
          <w:rtl/>
        </w:rPr>
        <w:t>&lt;&lt; יור &gt;&gt;</w:t>
      </w:r>
      <w:bookmarkEnd w:id="79825"/>
      <w:r w:rsidRPr="00C0454F">
        <w:rPr>
          <w:rStyle w:val="TagStyle"/>
          <w:rtl/>
        </w:rPr>
        <w:t xml:space="preserve"> </w:t>
      </w:r>
    </w:p>
    <w:p w:rsidR="00F06270" w:rsidRPr="000756B1" w:rsidRDefault="00F06270" w:rsidP="006157C7">
      <w:pPr>
        <w:rPr>
          <w:rtl/>
        </w:rPr>
      </w:pPr>
    </w:p>
    <w:p w:rsidR="006157C7" w:rsidRPr="000756B1" w:rsidRDefault="00F06270" w:rsidP="006157C7">
      <w:pPr>
        <w:rPr>
          <w:rtl/>
        </w:rPr>
      </w:pPr>
      <w:r w:rsidRPr="000756B1">
        <w:rPr>
          <w:rFonts w:hint="cs"/>
          <w:rtl/>
        </w:rPr>
        <w:t>(</w:t>
      </w:r>
      <w:r w:rsidR="006157C7" w:rsidRPr="000756B1">
        <w:rPr>
          <w:rtl/>
        </w:rPr>
        <w:t>אנחנו לא מבינים שום דבר.</w:t>
      </w:r>
      <w:r w:rsidRPr="000756B1">
        <w:rPr>
          <w:rFonts w:hint="cs"/>
          <w:rtl/>
        </w:rPr>
        <w:t>)</w:t>
      </w:r>
      <w:r w:rsidR="006157C7" w:rsidRPr="000756B1">
        <w:rPr>
          <w:rtl/>
        </w:rPr>
        <w:t xml:space="preserve"> </w:t>
      </w:r>
    </w:p>
    <w:p w:rsidR="00F06270" w:rsidRPr="000756B1" w:rsidRDefault="00F06270" w:rsidP="006157C7">
      <w:pPr>
        <w:rPr>
          <w:rtl/>
        </w:rPr>
      </w:pPr>
    </w:p>
    <w:p w:rsidR="00F06270" w:rsidRPr="000756B1" w:rsidRDefault="00C0454F" w:rsidP="00C0454F">
      <w:pPr>
        <w:pStyle w:val="-"/>
        <w:rPr>
          <w:rtl/>
        </w:rPr>
      </w:pPr>
      <w:bookmarkStart w:id="79826" w:name="ET_speakercontinue_מנסור_עבאס_רעמ__1413"/>
      <w:r w:rsidRPr="000756B1">
        <w:rPr>
          <w:rStyle w:val="TagStyle"/>
          <w:rtl/>
        </w:rPr>
        <w:t xml:space="preserve"> &lt;&lt; דובר_המשך &gt;&gt;</w:t>
      </w:r>
      <w:r w:rsidR="00F06270" w:rsidRPr="000756B1">
        <w:rPr>
          <w:rStyle w:val="TagStyle"/>
          <w:rFonts w:hint="cs"/>
          <w:rtl/>
        </w:rPr>
        <w:t xml:space="preserve"> </w:t>
      </w:r>
      <w:r w:rsidR="00F06270" w:rsidRPr="000756B1">
        <w:rPr>
          <w:rFonts w:hint="cs"/>
          <w:rtl/>
        </w:rPr>
        <w:t>מנסור עבאס (רע"מ – הרשימה הערבית המאוחדת):</w:t>
      </w:r>
      <w:r w:rsidR="00F06270" w:rsidRPr="000756B1">
        <w:rPr>
          <w:rStyle w:val="TagStyle"/>
          <w:rtl/>
        </w:rPr>
        <w:t xml:space="preserve"> </w:t>
      </w:r>
      <w:r w:rsidRPr="000756B1">
        <w:rPr>
          <w:rStyle w:val="TagStyle"/>
          <w:rtl/>
        </w:rPr>
        <w:t xml:space="preserve">&lt;&lt; דובר_המשך &gt;&gt; </w:t>
      </w:r>
      <w:r w:rsidR="00F06270" w:rsidRPr="000756B1">
        <w:rPr>
          <w:rStyle w:val="TagStyle"/>
          <w:rtl/>
        </w:rPr>
        <w:t xml:space="preserve">  </w:t>
      </w:r>
    </w:p>
    <w:bookmarkEnd w:id="79826"/>
    <w:p w:rsidR="00F06270" w:rsidRPr="000756B1" w:rsidRDefault="00F06270" w:rsidP="006157C7">
      <w:pPr>
        <w:rPr>
          <w:rtl/>
        </w:rPr>
      </w:pPr>
    </w:p>
    <w:p w:rsidR="006157C7" w:rsidRDefault="00F06270" w:rsidP="00126792">
      <w:pPr>
        <w:rPr>
          <w:rtl/>
        </w:rPr>
      </w:pPr>
      <w:r w:rsidRPr="000756B1">
        <w:rPr>
          <w:rFonts w:hint="cs"/>
          <w:rtl/>
        </w:rPr>
        <w:t>(</w:t>
      </w:r>
      <w:r w:rsidRPr="000756B1">
        <w:rPr>
          <w:rtl/>
        </w:rPr>
        <w:t>חכי לתורך</w:t>
      </w:r>
      <w:r w:rsidRPr="000756B1">
        <w:rPr>
          <w:rFonts w:hint="cs"/>
          <w:rtl/>
        </w:rPr>
        <w:t>.</w:t>
      </w:r>
      <w:r w:rsidR="006157C7" w:rsidRPr="000756B1">
        <w:rPr>
          <w:rtl/>
        </w:rPr>
        <w:t xml:space="preserve"> את</w:t>
      </w:r>
      <w:r w:rsidRPr="000756B1">
        <w:rPr>
          <w:rFonts w:hint="cs"/>
          <w:rtl/>
        </w:rPr>
        <w:t>,</w:t>
      </w:r>
      <w:r w:rsidR="006157C7" w:rsidRPr="000756B1">
        <w:rPr>
          <w:rtl/>
        </w:rPr>
        <w:t xml:space="preserve"> עאידה</w:t>
      </w:r>
      <w:r w:rsidRPr="000756B1">
        <w:rPr>
          <w:rFonts w:hint="cs"/>
          <w:rtl/>
        </w:rPr>
        <w:t>,</w:t>
      </w:r>
      <w:r w:rsidR="006157C7" w:rsidRPr="000756B1">
        <w:rPr>
          <w:rtl/>
        </w:rPr>
        <w:t xml:space="preserve"> וכל חברי הכנסת הערבים עזרתם לנתניהו לחזור לשלטון.</w:t>
      </w:r>
      <w:r w:rsidRPr="000756B1">
        <w:rPr>
          <w:rFonts w:hint="cs"/>
          <w:rtl/>
        </w:rPr>
        <w:t xml:space="preserve"> </w:t>
      </w:r>
      <w:r w:rsidR="006157C7" w:rsidRPr="000756B1">
        <w:rPr>
          <w:rtl/>
        </w:rPr>
        <w:t>עזרתם לו</w:t>
      </w:r>
      <w:r w:rsidR="00126792">
        <w:rPr>
          <w:rFonts w:hint="cs"/>
          <w:rtl/>
        </w:rPr>
        <w:t>.</w:t>
      </w:r>
      <w:r w:rsidR="006157C7" w:rsidRPr="000756B1">
        <w:rPr>
          <w:rtl/>
        </w:rPr>
        <w:t xml:space="preserve"> תמסרי לו ד"ש. את שותפה שלו. שותפים.</w:t>
      </w:r>
      <w:r w:rsidRPr="000756B1">
        <w:rPr>
          <w:rFonts w:hint="cs"/>
          <w:rtl/>
        </w:rPr>
        <w:t>)</w:t>
      </w:r>
      <w:r w:rsidR="006157C7">
        <w:rPr>
          <w:rtl/>
        </w:rPr>
        <w:t xml:space="preserve"> </w:t>
      </w:r>
    </w:p>
    <w:p w:rsidR="00584762" w:rsidRDefault="00584762" w:rsidP="00F06270">
      <w:pPr>
        <w:rPr>
          <w:rtl/>
        </w:rPr>
      </w:pPr>
    </w:p>
    <w:p w:rsidR="00F06270" w:rsidRDefault="00F06270" w:rsidP="00F06270">
      <w:pPr>
        <w:rPr>
          <w:rStyle w:val="TagStyle"/>
          <w:rtl/>
        </w:rPr>
      </w:pPr>
    </w:p>
    <w:p w:rsidR="00F06270" w:rsidRDefault="00C0454F" w:rsidP="00C0454F">
      <w:pPr>
        <w:pStyle w:val="af8"/>
        <w:rPr>
          <w:highlight w:val="yellow"/>
          <w:rtl/>
        </w:rPr>
      </w:pPr>
      <w:bookmarkStart w:id="79827" w:name="ET_interruption_5761_1414"/>
      <w:r w:rsidRPr="00C0454F">
        <w:rPr>
          <w:rStyle w:val="TagStyle"/>
          <w:rtl/>
        </w:rPr>
        <w:t xml:space="preserve"> &lt;&lt; קריאה &gt;&gt;</w:t>
      </w:r>
      <w:r w:rsidR="00F06270">
        <w:rPr>
          <w:rStyle w:val="TagStyle"/>
          <w:rFonts w:hint="cs"/>
          <w:rtl/>
        </w:rPr>
        <w:t xml:space="preserve"> </w:t>
      </w:r>
      <w:r w:rsidR="00F06270">
        <w:rPr>
          <w:rFonts w:hint="cs"/>
          <w:rtl/>
        </w:rPr>
        <w:t>עאידה תומא סלימאן (חד"ש-תע"ל):</w:t>
      </w:r>
      <w:r w:rsidR="00F06270">
        <w:rPr>
          <w:rStyle w:val="TagStyle"/>
          <w:rtl/>
        </w:rPr>
        <w:t xml:space="preserve"> </w:t>
      </w:r>
      <w:r w:rsidRPr="00C0454F">
        <w:rPr>
          <w:rStyle w:val="TagStyle"/>
          <w:rtl/>
        </w:rPr>
        <w:t>&lt;&lt; קריאה &gt;&gt;</w:t>
      </w:r>
      <w:bookmarkEnd w:id="79827"/>
      <w:r w:rsidRPr="00C0454F">
        <w:rPr>
          <w:rStyle w:val="TagStyle"/>
          <w:rtl/>
        </w:rPr>
        <w:t xml:space="preserve"> </w:t>
      </w:r>
    </w:p>
    <w:p w:rsidR="00F06270" w:rsidRDefault="00F06270" w:rsidP="00F06270">
      <w:pPr>
        <w:rPr>
          <w:rtl/>
        </w:rPr>
      </w:pPr>
    </w:p>
    <w:p w:rsidR="00F06270" w:rsidRPr="000756B1" w:rsidRDefault="00F06270" w:rsidP="00F06270">
      <w:pPr>
        <w:rPr>
          <w:rtl/>
        </w:rPr>
      </w:pPr>
      <w:r w:rsidRPr="000756B1">
        <w:rPr>
          <w:rFonts w:hint="cs"/>
          <w:rtl/>
        </w:rPr>
        <w:t>(</w:t>
      </w:r>
      <w:r w:rsidR="006157C7" w:rsidRPr="000756B1">
        <w:rPr>
          <w:rtl/>
        </w:rPr>
        <w:t xml:space="preserve">אנחנו שותפים </w:t>
      </w:r>
      <w:r w:rsidRPr="000756B1">
        <w:rPr>
          <w:rFonts w:hint="cs"/>
          <w:rtl/>
        </w:rPr>
        <w:t xml:space="preserve">– </w:t>
      </w:r>
      <w:r w:rsidR="006157C7" w:rsidRPr="000756B1">
        <w:rPr>
          <w:rtl/>
        </w:rPr>
        <w:t>אתה שותף להחלטת הממשלה הקודמת</w:t>
      </w:r>
      <w:r w:rsidRPr="000756B1">
        <w:rPr>
          <w:rFonts w:hint="cs"/>
          <w:rtl/>
        </w:rPr>
        <w:t xml:space="preserve"> - - - שותפים להחלטת הממשלה הקודמת.)</w:t>
      </w:r>
    </w:p>
    <w:p w:rsidR="00F06270" w:rsidRPr="000756B1" w:rsidRDefault="00F06270" w:rsidP="00F06270">
      <w:pPr>
        <w:rPr>
          <w:rtl/>
        </w:rPr>
      </w:pPr>
    </w:p>
    <w:p w:rsidR="00F06270" w:rsidRPr="000756B1" w:rsidRDefault="00C0454F" w:rsidP="00C0454F">
      <w:pPr>
        <w:pStyle w:val="-"/>
        <w:rPr>
          <w:rtl/>
        </w:rPr>
      </w:pPr>
      <w:bookmarkStart w:id="79828" w:name="ET_speakercontinue_מנסור_עבאס_רעמ__1415"/>
      <w:r w:rsidRPr="000756B1">
        <w:rPr>
          <w:rStyle w:val="TagStyle"/>
          <w:rtl/>
        </w:rPr>
        <w:t xml:space="preserve"> &lt;&lt; דובר_המשך &gt;&gt;</w:t>
      </w:r>
      <w:r w:rsidR="00F06270" w:rsidRPr="000756B1">
        <w:rPr>
          <w:rStyle w:val="TagStyle"/>
          <w:rFonts w:hint="cs"/>
          <w:rtl/>
        </w:rPr>
        <w:t xml:space="preserve"> </w:t>
      </w:r>
      <w:r w:rsidR="00F06270" w:rsidRPr="000756B1">
        <w:rPr>
          <w:rFonts w:hint="cs"/>
          <w:rtl/>
        </w:rPr>
        <w:t>מנסור עבאס (רע"מ – הרשימה הערבית המאוחדת):</w:t>
      </w:r>
      <w:r w:rsidR="00F06270" w:rsidRPr="000756B1">
        <w:rPr>
          <w:rStyle w:val="TagStyle"/>
          <w:rtl/>
        </w:rPr>
        <w:t xml:space="preserve"> </w:t>
      </w:r>
      <w:r w:rsidRPr="000756B1">
        <w:rPr>
          <w:rStyle w:val="TagStyle"/>
          <w:rtl/>
        </w:rPr>
        <w:t xml:space="preserve">&lt;&lt; דובר_המשך &gt;&gt; </w:t>
      </w:r>
      <w:r w:rsidR="00F06270" w:rsidRPr="000756B1">
        <w:rPr>
          <w:rStyle w:val="TagStyle"/>
          <w:rtl/>
        </w:rPr>
        <w:t xml:space="preserve">  </w:t>
      </w:r>
    </w:p>
    <w:bookmarkEnd w:id="79828"/>
    <w:p w:rsidR="006157C7" w:rsidRPr="000756B1" w:rsidRDefault="006157C7" w:rsidP="00F06270">
      <w:pPr>
        <w:rPr>
          <w:rtl/>
        </w:rPr>
      </w:pPr>
      <w:r w:rsidRPr="000756B1">
        <w:rPr>
          <w:rtl/>
        </w:rPr>
        <w:t xml:space="preserve"> </w:t>
      </w:r>
    </w:p>
    <w:p w:rsidR="00F06270" w:rsidRDefault="00F06270" w:rsidP="00126792">
      <w:pPr>
        <w:rPr>
          <w:rtl/>
        </w:rPr>
      </w:pPr>
      <w:r w:rsidRPr="000756B1">
        <w:rPr>
          <w:rFonts w:hint="cs"/>
          <w:rtl/>
        </w:rPr>
        <w:t>(</w:t>
      </w:r>
      <w:r w:rsidR="006157C7" w:rsidRPr="000756B1">
        <w:rPr>
          <w:rtl/>
        </w:rPr>
        <w:t>והיום אתם באים לעשות הצגות וסרטים על החברה הערבית שלנו</w:t>
      </w:r>
      <w:r w:rsidR="00126792">
        <w:rPr>
          <w:rFonts w:hint="cs"/>
          <w:rtl/>
        </w:rPr>
        <w:t>,</w:t>
      </w:r>
      <w:r w:rsidRPr="000756B1">
        <w:rPr>
          <w:rFonts w:hint="cs"/>
          <w:rtl/>
        </w:rPr>
        <w:t xml:space="preserve"> </w:t>
      </w:r>
      <w:r w:rsidR="006157C7" w:rsidRPr="000756B1">
        <w:rPr>
          <w:rtl/>
        </w:rPr>
        <w:t>באים לעשות סרטים והצגות.</w:t>
      </w:r>
      <w:r w:rsidRPr="000756B1">
        <w:rPr>
          <w:rFonts w:hint="cs"/>
          <w:rtl/>
        </w:rPr>
        <w:t>)</w:t>
      </w:r>
    </w:p>
    <w:p w:rsidR="006157C7" w:rsidRDefault="006157C7" w:rsidP="00F06270">
      <w:pPr>
        <w:rPr>
          <w:rtl/>
        </w:rPr>
      </w:pPr>
      <w:r>
        <w:rPr>
          <w:rtl/>
        </w:rPr>
        <w:t xml:space="preserve"> </w:t>
      </w:r>
    </w:p>
    <w:p w:rsidR="00F06270" w:rsidRPr="000756B1" w:rsidRDefault="00C0454F" w:rsidP="00C0454F">
      <w:pPr>
        <w:pStyle w:val="af8"/>
        <w:rPr>
          <w:rtl/>
        </w:rPr>
      </w:pPr>
      <w:bookmarkStart w:id="79829" w:name="ET_interruption_5761_1416"/>
      <w:r w:rsidRPr="00C0454F">
        <w:rPr>
          <w:rStyle w:val="TagStyle"/>
          <w:rtl/>
        </w:rPr>
        <w:t xml:space="preserve"> &lt;&lt; קריאה &gt;&gt;</w:t>
      </w:r>
      <w:r w:rsidR="00F06270">
        <w:rPr>
          <w:rStyle w:val="TagStyle"/>
          <w:rFonts w:hint="cs"/>
          <w:rtl/>
        </w:rPr>
        <w:t xml:space="preserve"> </w:t>
      </w:r>
      <w:r w:rsidR="00F06270">
        <w:rPr>
          <w:rFonts w:hint="cs"/>
          <w:rtl/>
        </w:rPr>
        <w:t>עאידה תומא סלימאן (חד"ש-</w:t>
      </w:r>
      <w:r w:rsidR="00F06270" w:rsidRPr="000756B1">
        <w:rPr>
          <w:rFonts w:hint="cs"/>
          <w:rtl/>
        </w:rPr>
        <w:t>תע"ל):</w:t>
      </w:r>
      <w:r w:rsidR="00F06270" w:rsidRPr="000756B1">
        <w:rPr>
          <w:rStyle w:val="TagStyle"/>
          <w:rtl/>
        </w:rPr>
        <w:t xml:space="preserve"> </w:t>
      </w:r>
      <w:r w:rsidRPr="000756B1">
        <w:rPr>
          <w:rStyle w:val="TagStyle"/>
          <w:rtl/>
        </w:rPr>
        <w:t>&lt;&lt; קריאה &gt;&gt;</w:t>
      </w:r>
      <w:bookmarkEnd w:id="79829"/>
      <w:r w:rsidRPr="000756B1">
        <w:rPr>
          <w:rStyle w:val="TagStyle"/>
          <w:rtl/>
        </w:rPr>
        <w:t xml:space="preserve"> </w:t>
      </w:r>
    </w:p>
    <w:p w:rsidR="00F06270" w:rsidRPr="000756B1" w:rsidRDefault="00F06270" w:rsidP="006157C7">
      <w:pPr>
        <w:rPr>
          <w:rtl/>
        </w:rPr>
      </w:pPr>
    </w:p>
    <w:p w:rsidR="006157C7" w:rsidRPr="000756B1" w:rsidRDefault="00F06270" w:rsidP="006157C7">
      <w:pPr>
        <w:rPr>
          <w:rtl/>
        </w:rPr>
      </w:pPr>
      <w:r w:rsidRPr="000756B1">
        <w:rPr>
          <w:rFonts w:hint="cs"/>
          <w:rtl/>
        </w:rPr>
        <w:t>(</w:t>
      </w:r>
      <w:r w:rsidR="006157C7" w:rsidRPr="000756B1">
        <w:rPr>
          <w:rtl/>
        </w:rPr>
        <w:t>אתה זה שעושה הצגה. תתבייש לך.</w:t>
      </w:r>
      <w:r w:rsidRPr="000756B1">
        <w:rPr>
          <w:rFonts w:hint="cs"/>
          <w:rtl/>
        </w:rPr>
        <w:t>)</w:t>
      </w:r>
      <w:r w:rsidR="006157C7" w:rsidRPr="000756B1">
        <w:rPr>
          <w:rtl/>
        </w:rPr>
        <w:t xml:space="preserve"> </w:t>
      </w:r>
    </w:p>
    <w:p w:rsidR="00584762" w:rsidRPr="000756B1" w:rsidRDefault="00584762" w:rsidP="006157C7">
      <w:pPr>
        <w:rPr>
          <w:rtl/>
        </w:rPr>
      </w:pPr>
    </w:p>
    <w:p w:rsidR="00584762" w:rsidRPr="000756B1" w:rsidRDefault="00584762" w:rsidP="00584762">
      <w:pPr>
        <w:pStyle w:val="-"/>
        <w:rPr>
          <w:rtl/>
        </w:rPr>
      </w:pPr>
      <w:r w:rsidRPr="000756B1">
        <w:rPr>
          <w:rStyle w:val="TagStyle"/>
          <w:rtl/>
        </w:rPr>
        <w:t>&lt;&lt; דובר_המשך &gt;&gt;</w:t>
      </w:r>
      <w:r w:rsidRPr="000756B1">
        <w:rPr>
          <w:rStyle w:val="TagStyle"/>
          <w:rFonts w:hint="cs"/>
          <w:rtl/>
        </w:rPr>
        <w:t xml:space="preserve"> </w:t>
      </w:r>
      <w:r w:rsidRPr="000756B1">
        <w:rPr>
          <w:rFonts w:hint="cs"/>
          <w:rtl/>
        </w:rPr>
        <w:t>מנסור עבאס (רע"מ – הרשימה הערבית המאוחדת):</w:t>
      </w:r>
      <w:r w:rsidRPr="000756B1">
        <w:rPr>
          <w:rStyle w:val="TagStyle"/>
          <w:rtl/>
        </w:rPr>
        <w:t xml:space="preserve"> &lt;&lt; דובר_המשך &gt;&gt;   </w:t>
      </w:r>
    </w:p>
    <w:p w:rsidR="00584762" w:rsidRPr="000756B1" w:rsidRDefault="00584762" w:rsidP="006157C7">
      <w:pPr>
        <w:rPr>
          <w:rtl/>
        </w:rPr>
      </w:pPr>
    </w:p>
    <w:p w:rsidR="00C0454F" w:rsidRPr="000756B1" w:rsidRDefault="00C0454F" w:rsidP="006157C7">
      <w:pPr>
        <w:rPr>
          <w:rtl/>
        </w:rPr>
      </w:pPr>
      <w:r w:rsidRPr="000756B1">
        <w:rPr>
          <w:rFonts w:hint="cs"/>
          <w:rtl/>
        </w:rPr>
        <w:t>(</w:t>
      </w:r>
      <w:r w:rsidR="006157C7" w:rsidRPr="000756B1">
        <w:rPr>
          <w:rtl/>
        </w:rPr>
        <w:t>אתם אלה שהחזרתם את הממשלה הזאת.</w:t>
      </w:r>
      <w:r w:rsidRPr="000756B1">
        <w:rPr>
          <w:rFonts w:hint="cs"/>
          <w:rtl/>
        </w:rPr>
        <w:t>)</w:t>
      </w:r>
    </w:p>
    <w:p w:rsidR="006157C7" w:rsidRPr="000756B1" w:rsidRDefault="006157C7" w:rsidP="006157C7">
      <w:pPr>
        <w:rPr>
          <w:rtl/>
        </w:rPr>
      </w:pPr>
      <w:r w:rsidRPr="000756B1">
        <w:rPr>
          <w:rtl/>
        </w:rPr>
        <w:t xml:space="preserve"> </w:t>
      </w:r>
    </w:p>
    <w:p w:rsidR="00584762" w:rsidRPr="000756B1" w:rsidRDefault="00584762" w:rsidP="00584762">
      <w:pPr>
        <w:pStyle w:val="af8"/>
        <w:rPr>
          <w:rtl/>
        </w:rPr>
      </w:pPr>
      <w:r w:rsidRPr="000756B1">
        <w:rPr>
          <w:rStyle w:val="TagStyle"/>
          <w:rtl/>
        </w:rPr>
        <w:t>&lt;&lt; קריאה &gt;&gt;</w:t>
      </w:r>
      <w:r w:rsidRPr="000756B1">
        <w:rPr>
          <w:rStyle w:val="TagStyle"/>
          <w:rFonts w:hint="cs"/>
          <w:rtl/>
        </w:rPr>
        <w:t xml:space="preserve"> </w:t>
      </w:r>
      <w:r w:rsidRPr="000756B1">
        <w:rPr>
          <w:rFonts w:hint="cs"/>
          <w:rtl/>
        </w:rPr>
        <w:t>עאידה תומא סלימאן (חד"ש-תע"ל):</w:t>
      </w:r>
      <w:r w:rsidRPr="000756B1">
        <w:rPr>
          <w:rStyle w:val="TagStyle"/>
          <w:rtl/>
        </w:rPr>
        <w:t xml:space="preserve"> &lt;&lt; קריאה &gt;&gt; </w:t>
      </w:r>
    </w:p>
    <w:p w:rsidR="00C0454F" w:rsidRPr="000756B1" w:rsidRDefault="00C0454F" w:rsidP="006157C7">
      <w:pPr>
        <w:rPr>
          <w:rStyle w:val="TagStyle"/>
          <w:rtl/>
        </w:rPr>
      </w:pPr>
    </w:p>
    <w:p w:rsidR="00C0454F" w:rsidRPr="000756B1" w:rsidRDefault="00C0454F" w:rsidP="006157C7">
      <w:pPr>
        <w:rPr>
          <w:rtl/>
        </w:rPr>
      </w:pPr>
    </w:p>
    <w:p w:rsidR="006157C7" w:rsidRDefault="00C0454F" w:rsidP="006157C7">
      <w:pPr>
        <w:rPr>
          <w:rtl/>
        </w:rPr>
      </w:pPr>
      <w:r w:rsidRPr="000756B1">
        <w:rPr>
          <w:rFonts w:hint="cs"/>
          <w:rtl/>
        </w:rPr>
        <w:t>(</w:t>
      </w:r>
      <w:r w:rsidR="006157C7" w:rsidRPr="000756B1">
        <w:rPr>
          <w:rtl/>
        </w:rPr>
        <w:t>מספיק.</w:t>
      </w:r>
      <w:r w:rsidRPr="000756B1">
        <w:rPr>
          <w:rFonts w:hint="cs"/>
          <w:rtl/>
        </w:rPr>
        <w:t>)</w:t>
      </w:r>
      <w:r w:rsidR="006157C7">
        <w:rPr>
          <w:rtl/>
        </w:rPr>
        <w:t xml:space="preserve"> </w:t>
      </w:r>
    </w:p>
    <w:p w:rsidR="00C0454F" w:rsidRDefault="00C0454F" w:rsidP="006157C7">
      <w:pPr>
        <w:rPr>
          <w:rtl/>
        </w:rPr>
      </w:pPr>
    </w:p>
    <w:p w:rsidR="00584762" w:rsidRPr="000756B1" w:rsidRDefault="00584762" w:rsidP="00584762">
      <w:pPr>
        <w:pStyle w:val="-"/>
        <w:rPr>
          <w:rtl/>
        </w:rPr>
      </w:pPr>
      <w:r w:rsidRPr="000756B1">
        <w:rPr>
          <w:rStyle w:val="TagStyle"/>
          <w:rtl/>
        </w:rPr>
        <w:t>&lt;&lt; דובר_המשך &gt;&gt;</w:t>
      </w:r>
      <w:r w:rsidRPr="000756B1">
        <w:rPr>
          <w:rStyle w:val="TagStyle"/>
          <w:rFonts w:hint="cs"/>
          <w:rtl/>
        </w:rPr>
        <w:t xml:space="preserve"> </w:t>
      </w:r>
      <w:r w:rsidRPr="000756B1">
        <w:rPr>
          <w:rFonts w:hint="cs"/>
          <w:rtl/>
        </w:rPr>
        <w:t>מנסור עבאס (רע"מ – הרשימה הערבית המאוחדת):</w:t>
      </w:r>
      <w:r w:rsidRPr="000756B1">
        <w:rPr>
          <w:rStyle w:val="TagStyle"/>
          <w:rtl/>
        </w:rPr>
        <w:t xml:space="preserve"> &lt;&lt; דובר_המשך &gt;&gt;   </w:t>
      </w:r>
    </w:p>
    <w:p w:rsidR="00C0454F" w:rsidRPr="000756B1" w:rsidRDefault="00C0454F" w:rsidP="006157C7">
      <w:pPr>
        <w:rPr>
          <w:rtl/>
        </w:rPr>
      </w:pPr>
    </w:p>
    <w:p w:rsidR="006157C7" w:rsidRPr="000756B1" w:rsidRDefault="00C0454F" w:rsidP="00126792">
      <w:pPr>
        <w:rPr>
          <w:rtl/>
        </w:rPr>
      </w:pPr>
      <w:r w:rsidRPr="000756B1">
        <w:rPr>
          <w:rFonts w:hint="cs"/>
          <w:rtl/>
        </w:rPr>
        <w:t>(</w:t>
      </w:r>
      <w:r w:rsidR="006157C7" w:rsidRPr="000756B1">
        <w:rPr>
          <w:rtl/>
        </w:rPr>
        <w:t>את בעצמך החזרת את הממשלה הזאת</w:t>
      </w:r>
      <w:r w:rsidR="00126792">
        <w:rPr>
          <w:rFonts w:hint="cs"/>
          <w:rtl/>
        </w:rPr>
        <w:t>,</w:t>
      </w:r>
      <w:r w:rsidR="006157C7" w:rsidRPr="000756B1">
        <w:rPr>
          <w:rtl/>
        </w:rPr>
        <w:t xml:space="preserve"> והיום את רוצה לעשות הצגות וסרטים.</w:t>
      </w:r>
      <w:r w:rsidRPr="000756B1">
        <w:rPr>
          <w:rFonts w:hint="cs"/>
          <w:rtl/>
        </w:rPr>
        <w:t>)</w:t>
      </w:r>
      <w:r w:rsidR="006157C7" w:rsidRPr="000756B1">
        <w:rPr>
          <w:rtl/>
        </w:rPr>
        <w:t xml:space="preserve"> </w:t>
      </w:r>
    </w:p>
    <w:p w:rsidR="00C0454F" w:rsidRPr="000756B1" w:rsidRDefault="00C0454F" w:rsidP="006157C7">
      <w:pPr>
        <w:rPr>
          <w:rtl/>
        </w:rPr>
      </w:pPr>
    </w:p>
    <w:p w:rsidR="00C0454F" w:rsidRPr="000756B1" w:rsidRDefault="00C0454F" w:rsidP="00C0454F">
      <w:pPr>
        <w:pStyle w:val="af9"/>
        <w:rPr>
          <w:rStyle w:val="TagStyle"/>
          <w:rtl/>
        </w:rPr>
      </w:pPr>
      <w:bookmarkStart w:id="79830" w:name="ET_yor_6129_1417"/>
      <w:r w:rsidRPr="000756B1">
        <w:rPr>
          <w:rStyle w:val="TagStyle"/>
          <w:rtl/>
        </w:rPr>
        <w:t xml:space="preserve"> &lt;&lt; יור &gt;&gt;</w:t>
      </w:r>
      <w:r w:rsidRPr="000756B1">
        <w:rPr>
          <w:rStyle w:val="TagStyle"/>
          <w:rFonts w:hint="cs"/>
          <w:rtl/>
        </w:rPr>
        <w:t xml:space="preserve"> </w:t>
      </w:r>
      <w:r w:rsidRPr="000756B1">
        <w:rPr>
          <w:rFonts w:hint="cs"/>
          <w:rtl/>
        </w:rPr>
        <w:t>היו"ר ישראל אייכלר:</w:t>
      </w:r>
      <w:r w:rsidRPr="000756B1">
        <w:rPr>
          <w:rStyle w:val="TagStyle"/>
          <w:rtl/>
        </w:rPr>
        <w:t xml:space="preserve"> &lt;&lt; יור &gt;&gt;</w:t>
      </w:r>
      <w:bookmarkEnd w:id="79830"/>
      <w:r w:rsidRPr="000756B1">
        <w:rPr>
          <w:rStyle w:val="TagStyle"/>
          <w:rtl/>
        </w:rPr>
        <w:t xml:space="preserve"> </w:t>
      </w:r>
    </w:p>
    <w:p w:rsidR="00C0454F" w:rsidRPr="000756B1" w:rsidRDefault="00C0454F" w:rsidP="00C0454F">
      <w:pPr>
        <w:rPr>
          <w:rtl/>
          <w:lang w:eastAsia="he-IL"/>
        </w:rPr>
      </w:pPr>
    </w:p>
    <w:p w:rsidR="00584762" w:rsidRPr="000756B1" w:rsidRDefault="00584762" w:rsidP="006157C7">
      <w:pPr>
        <w:rPr>
          <w:rtl/>
        </w:rPr>
      </w:pPr>
    </w:p>
    <w:p w:rsidR="006157C7" w:rsidRPr="000756B1" w:rsidRDefault="00C0454F" w:rsidP="006157C7">
      <w:pPr>
        <w:rPr>
          <w:rtl/>
        </w:rPr>
      </w:pPr>
      <w:r w:rsidRPr="000756B1">
        <w:rPr>
          <w:rFonts w:hint="cs"/>
          <w:rtl/>
        </w:rPr>
        <w:t>(</w:t>
      </w:r>
      <w:r w:rsidR="006157C7" w:rsidRPr="000756B1">
        <w:rPr>
          <w:rtl/>
        </w:rPr>
        <w:t>מספיק, מספיק.</w:t>
      </w:r>
      <w:r w:rsidRPr="000756B1">
        <w:rPr>
          <w:rFonts w:hint="cs"/>
          <w:rtl/>
        </w:rPr>
        <w:t>)</w:t>
      </w:r>
      <w:r w:rsidR="006157C7" w:rsidRPr="000756B1">
        <w:rPr>
          <w:rtl/>
        </w:rPr>
        <w:t xml:space="preserve"> </w:t>
      </w:r>
    </w:p>
    <w:p w:rsidR="00C0454F" w:rsidRPr="000756B1" w:rsidRDefault="00C0454F" w:rsidP="006157C7">
      <w:pPr>
        <w:rPr>
          <w:rtl/>
        </w:rPr>
      </w:pPr>
    </w:p>
    <w:p w:rsidR="00584762" w:rsidRPr="000756B1" w:rsidRDefault="00584762" w:rsidP="00584762">
      <w:pPr>
        <w:pStyle w:val="-"/>
        <w:rPr>
          <w:rtl/>
        </w:rPr>
      </w:pPr>
      <w:r w:rsidRPr="000756B1">
        <w:rPr>
          <w:rStyle w:val="TagStyle"/>
          <w:rtl/>
        </w:rPr>
        <w:t>&lt;&lt; דובר_המשך &gt;&gt;</w:t>
      </w:r>
      <w:r w:rsidRPr="000756B1">
        <w:rPr>
          <w:rStyle w:val="TagStyle"/>
          <w:rFonts w:hint="cs"/>
          <w:rtl/>
        </w:rPr>
        <w:t xml:space="preserve"> </w:t>
      </w:r>
      <w:r w:rsidRPr="000756B1">
        <w:rPr>
          <w:rFonts w:hint="cs"/>
          <w:rtl/>
        </w:rPr>
        <w:t>מנסור עבאס (רע"מ – הרשימה הערבית המאוחדת):</w:t>
      </w:r>
      <w:r w:rsidRPr="000756B1">
        <w:rPr>
          <w:rStyle w:val="TagStyle"/>
          <w:rtl/>
        </w:rPr>
        <w:t xml:space="preserve"> &lt;&lt; דובר_המשך &gt;&gt;   </w:t>
      </w:r>
    </w:p>
    <w:p w:rsidR="00C0454F" w:rsidRPr="000756B1" w:rsidRDefault="00C0454F" w:rsidP="006157C7">
      <w:pPr>
        <w:rPr>
          <w:rtl/>
        </w:rPr>
      </w:pPr>
    </w:p>
    <w:p w:rsidR="006157C7" w:rsidRPr="000756B1" w:rsidRDefault="000756B1" w:rsidP="006157C7">
      <w:pPr>
        <w:rPr>
          <w:rtl/>
        </w:rPr>
      </w:pPr>
      <w:r>
        <w:rPr>
          <w:rFonts w:hint="cs"/>
          <w:rtl/>
        </w:rPr>
        <w:t>(</w:t>
      </w:r>
      <w:r w:rsidR="00C0454F" w:rsidRPr="000756B1">
        <w:rPr>
          <w:rtl/>
        </w:rPr>
        <w:t>לצערי</w:t>
      </w:r>
      <w:r w:rsidR="00C0454F" w:rsidRPr="000756B1">
        <w:rPr>
          <w:rFonts w:hint="cs"/>
          <w:rtl/>
        </w:rPr>
        <w:t>, לצערי - - -</w:t>
      </w:r>
      <w:r>
        <w:rPr>
          <w:rFonts w:hint="cs"/>
          <w:rtl/>
        </w:rPr>
        <w:t>)</w:t>
      </w:r>
      <w:r w:rsidR="00C0454F" w:rsidRPr="000756B1">
        <w:rPr>
          <w:rFonts w:hint="cs"/>
          <w:rtl/>
        </w:rPr>
        <w:t xml:space="preserve"> </w:t>
      </w:r>
    </w:p>
    <w:p w:rsidR="00C0454F" w:rsidRPr="000756B1" w:rsidRDefault="00C0454F" w:rsidP="006157C7">
      <w:pPr>
        <w:rPr>
          <w:rtl/>
        </w:rPr>
      </w:pPr>
    </w:p>
    <w:p w:rsidR="00584762" w:rsidRPr="000756B1" w:rsidRDefault="00584762" w:rsidP="00584762">
      <w:pPr>
        <w:pStyle w:val="af8"/>
        <w:rPr>
          <w:rtl/>
        </w:rPr>
      </w:pPr>
      <w:r w:rsidRPr="000756B1">
        <w:rPr>
          <w:rStyle w:val="TagStyle"/>
          <w:rtl/>
        </w:rPr>
        <w:t>&lt;&lt; קריאה &gt;&gt;</w:t>
      </w:r>
      <w:r w:rsidRPr="000756B1">
        <w:rPr>
          <w:rStyle w:val="TagStyle"/>
          <w:rFonts w:hint="cs"/>
          <w:rtl/>
        </w:rPr>
        <w:t xml:space="preserve"> </w:t>
      </w:r>
      <w:r w:rsidRPr="000756B1">
        <w:rPr>
          <w:rFonts w:hint="cs"/>
          <w:rtl/>
        </w:rPr>
        <w:t>עאידה תומא סלימאן (חד"ש-תע"ל):</w:t>
      </w:r>
      <w:r w:rsidRPr="000756B1">
        <w:rPr>
          <w:rStyle w:val="TagStyle"/>
          <w:rtl/>
        </w:rPr>
        <w:t xml:space="preserve"> &lt;&lt; קריאה &gt;&gt; </w:t>
      </w:r>
    </w:p>
    <w:p w:rsidR="00C0454F" w:rsidRPr="000756B1" w:rsidRDefault="00C0454F" w:rsidP="006157C7">
      <w:pPr>
        <w:rPr>
          <w:rtl/>
        </w:rPr>
      </w:pPr>
    </w:p>
    <w:p w:rsidR="006157C7" w:rsidRDefault="00584762" w:rsidP="00126792">
      <w:pPr>
        <w:rPr>
          <w:rtl/>
        </w:rPr>
      </w:pPr>
      <w:r w:rsidRPr="000756B1">
        <w:rPr>
          <w:rFonts w:hint="cs"/>
          <w:rtl/>
        </w:rPr>
        <w:t>(</w:t>
      </w:r>
      <w:r w:rsidR="006157C7" w:rsidRPr="000756B1">
        <w:rPr>
          <w:rtl/>
        </w:rPr>
        <w:t>אני בחיים שלי לא כרתי ברית עם גזענים. אתה הצבעת נגד העם שלך.</w:t>
      </w:r>
      <w:r w:rsidRPr="000756B1">
        <w:rPr>
          <w:rFonts w:hint="cs"/>
          <w:rtl/>
        </w:rPr>
        <w:t>)</w:t>
      </w:r>
      <w:r w:rsidR="006157C7">
        <w:rPr>
          <w:rtl/>
        </w:rPr>
        <w:t xml:space="preserve"> </w:t>
      </w:r>
    </w:p>
    <w:p w:rsidR="00584762" w:rsidRDefault="00584762" w:rsidP="00584762">
      <w:pPr>
        <w:rPr>
          <w:rtl/>
        </w:rPr>
      </w:pPr>
    </w:p>
    <w:p w:rsidR="00584762" w:rsidRPr="000756B1" w:rsidRDefault="00584762" w:rsidP="00584762">
      <w:pPr>
        <w:pStyle w:val="-"/>
        <w:rPr>
          <w:rtl/>
        </w:rPr>
      </w:pPr>
      <w:r w:rsidRPr="00C0454F">
        <w:rPr>
          <w:rStyle w:val="TagStyle"/>
          <w:rtl/>
        </w:rPr>
        <w:t>&lt;&lt; דובר_המשך &gt;&gt;</w:t>
      </w:r>
      <w:r>
        <w:rPr>
          <w:rStyle w:val="TagStyle"/>
          <w:rFonts w:hint="cs"/>
          <w:rtl/>
        </w:rPr>
        <w:t xml:space="preserve"> </w:t>
      </w:r>
      <w:r>
        <w:rPr>
          <w:rFonts w:hint="cs"/>
          <w:rtl/>
        </w:rPr>
        <w:t>מנסור עבאס (</w:t>
      </w:r>
      <w:r w:rsidRPr="000756B1">
        <w:rPr>
          <w:rFonts w:hint="cs"/>
          <w:rtl/>
        </w:rPr>
        <w:t>רע"מ – הרשימה הערבית המאוחדת):</w:t>
      </w:r>
      <w:r w:rsidRPr="000756B1">
        <w:rPr>
          <w:rStyle w:val="TagStyle"/>
          <w:rtl/>
        </w:rPr>
        <w:t xml:space="preserve"> &lt;&lt; דובר_המשך &gt;&gt;   </w:t>
      </w:r>
    </w:p>
    <w:p w:rsidR="00584762" w:rsidRPr="000756B1" w:rsidRDefault="00584762" w:rsidP="00584762">
      <w:pPr>
        <w:rPr>
          <w:rtl/>
        </w:rPr>
      </w:pPr>
    </w:p>
    <w:p w:rsidR="006157C7" w:rsidRPr="000756B1" w:rsidRDefault="000756B1" w:rsidP="006157C7">
      <w:pPr>
        <w:rPr>
          <w:rtl/>
        </w:rPr>
      </w:pPr>
      <w:r w:rsidRPr="000756B1">
        <w:rPr>
          <w:rFonts w:hint="cs"/>
          <w:rtl/>
        </w:rPr>
        <w:t>(</w:t>
      </w:r>
      <w:r w:rsidR="006157C7" w:rsidRPr="000756B1">
        <w:rPr>
          <w:rtl/>
        </w:rPr>
        <w:t>את לחצת להם יד.</w:t>
      </w:r>
      <w:r w:rsidRPr="000756B1">
        <w:rPr>
          <w:rFonts w:hint="cs"/>
          <w:rtl/>
        </w:rPr>
        <w:t>)</w:t>
      </w:r>
      <w:r w:rsidR="006157C7" w:rsidRPr="000756B1">
        <w:rPr>
          <w:rtl/>
        </w:rPr>
        <w:t xml:space="preserve"> </w:t>
      </w:r>
    </w:p>
    <w:p w:rsidR="00584762" w:rsidRPr="000756B1" w:rsidRDefault="00584762" w:rsidP="006157C7">
      <w:pPr>
        <w:rPr>
          <w:rtl/>
        </w:rPr>
      </w:pPr>
    </w:p>
    <w:p w:rsidR="00584762" w:rsidRPr="000756B1" w:rsidRDefault="00584762" w:rsidP="00584762">
      <w:pPr>
        <w:pStyle w:val="af8"/>
        <w:rPr>
          <w:rtl/>
        </w:rPr>
      </w:pPr>
      <w:r w:rsidRPr="000756B1">
        <w:rPr>
          <w:rStyle w:val="TagStyle"/>
          <w:rtl/>
        </w:rPr>
        <w:t>&lt;&lt; קריאה &gt;&gt;</w:t>
      </w:r>
      <w:r w:rsidRPr="000756B1">
        <w:rPr>
          <w:rStyle w:val="TagStyle"/>
          <w:rFonts w:hint="cs"/>
          <w:rtl/>
        </w:rPr>
        <w:t xml:space="preserve"> </w:t>
      </w:r>
      <w:r w:rsidRPr="000756B1">
        <w:rPr>
          <w:rFonts w:hint="cs"/>
          <w:rtl/>
        </w:rPr>
        <w:t>עאידה תומא סלימאן (חד"ש-תע"ל):</w:t>
      </w:r>
      <w:r w:rsidRPr="000756B1">
        <w:rPr>
          <w:rStyle w:val="TagStyle"/>
          <w:rtl/>
        </w:rPr>
        <w:t xml:space="preserve"> &lt;&lt; קריאה &gt;&gt; </w:t>
      </w:r>
    </w:p>
    <w:p w:rsidR="00584762" w:rsidRPr="000756B1" w:rsidRDefault="00584762" w:rsidP="006157C7">
      <w:pPr>
        <w:rPr>
          <w:rtl/>
        </w:rPr>
      </w:pPr>
    </w:p>
    <w:p w:rsidR="006157C7" w:rsidRPr="000756B1" w:rsidRDefault="00584762" w:rsidP="006157C7">
      <w:pPr>
        <w:rPr>
          <w:rtl/>
        </w:rPr>
      </w:pPr>
      <w:r w:rsidRPr="000756B1">
        <w:rPr>
          <w:rFonts w:hint="cs"/>
          <w:rtl/>
        </w:rPr>
        <w:t>(</w:t>
      </w:r>
      <w:r w:rsidR="006157C7" w:rsidRPr="000756B1">
        <w:rPr>
          <w:rtl/>
        </w:rPr>
        <w:t>אתה שתקת כשתקפו מסגד.</w:t>
      </w:r>
      <w:r w:rsidRPr="000756B1">
        <w:rPr>
          <w:rFonts w:hint="cs"/>
          <w:rtl/>
        </w:rPr>
        <w:t>)</w:t>
      </w:r>
      <w:r w:rsidR="006157C7" w:rsidRPr="000756B1">
        <w:rPr>
          <w:rtl/>
        </w:rPr>
        <w:t xml:space="preserve"> </w:t>
      </w:r>
    </w:p>
    <w:p w:rsidR="00584762" w:rsidRPr="000756B1" w:rsidRDefault="00584762" w:rsidP="006157C7">
      <w:pPr>
        <w:rPr>
          <w:rtl/>
        </w:rPr>
      </w:pPr>
    </w:p>
    <w:p w:rsidR="00584762" w:rsidRPr="000756B1" w:rsidRDefault="00584762" w:rsidP="00584762">
      <w:pPr>
        <w:pStyle w:val="-"/>
        <w:rPr>
          <w:rtl/>
        </w:rPr>
      </w:pPr>
      <w:r w:rsidRPr="000756B1">
        <w:rPr>
          <w:rStyle w:val="TagStyle"/>
          <w:rtl/>
        </w:rPr>
        <w:t>&lt;&lt; דובר_המשך &gt;&gt;</w:t>
      </w:r>
      <w:r w:rsidRPr="000756B1">
        <w:rPr>
          <w:rStyle w:val="TagStyle"/>
          <w:rFonts w:hint="cs"/>
          <w:rtl/>
        </w:rPr>
        <w:t xml:space="preserve"> </w:t>
      </w:r>
      <w:r w:rsidRPr="000756B1">
        <w:rPr>
          <w:rFonts w:hint="cs"/>
          <w:rtl/>
        </w:rPr>
        <w:t>מנסור עבאס (רע"מ – הרשימה הערבית המאוחדת):</w:t>
      </w:r>
      <w:r w:rsidRPr="000756B1">
        <w:rPr>
          <w:rStyle w:val="TagStyle"/>
          <w:rtl/>
        </w:rPr>
        <w:t xml:space="preserve"> &lt;&lt; דובר_המשך &gt;&gt;   </w:t>
      </w:r>
    </w:p>
    <w:p w:rsidR="00584762" w:rsidRPr="000756B1" w:rsidRDefault="00584762" w:rsidP="006157C7">
      <w:pPr>
        <w:rPr>
          <w:rtl/>
        </w:rPr>
      </w:pPr>
    </w:p>
    <w:p w:rsidR="006157C7" w:rsidRPr="000756B1" w:rsidRDefault="000756B1" w:rsidP="006157C7">
      <w:pPr>
        <w:rPr>
          <w:rtl/>
        </w:rPr>
      </w:pPr>
      <w:r w:rsidRPr="000756B1">
        <w:rPr>
          <w:rFonts w:hint="cs"/>
          <w:rtl/>
        </w:rPr>
        <w:t>(</w:t>
      </w:r>
      <w:r w:rsidR="006157C7" w:rsidRPr="000756B1">
        <w:rPr>
          <w:rtl/>
        </w:rPr>
        <w:t>את לחצת יד לנתניהו ולסמוטריץ</w:t>
      </w:r>
      <w:r w:rsidR="00126792">
        <w:rPr>
          <w:rFonts w:hint="cs"/>
          <w:rtl/>
        </w:rPr>
        <w:t>'</w:t>
      </w:r>
      <w:r w:rsidR="006157C7" w:rsidRPr="000756B1">
        <w:rPr>
          <w:rtl/>
        </w:rPr>
        <w:t>, והבאתם אותם לשלטון.</w:t>
      </w:r>
      <w:r w:rsidRPr="000756B1">
        <w:rPr>
          <w:rFonts w:hint="cs"/>
          <w:rtl/>
        </w:rPr>
        <w:t>)</w:t>
      </w:r>
      <w:r w:rsidR="006157C7" w:rsidRPr="000756B1">
        <w:rPr>
          <w:rtl/>
        </w:rPr>
        <w:t xml:space="preserve"> </w:t>
      </w:r>
    </w:p>
    <w:p w:rsidR="00584762" w:rsidRPr="000756B1" w:rsidRDefault="00584762" w:rsidP="006157C7">
      <w:pPr>
        <w:rPr>
          <w:rtl/>
        </w:rPr>
      </w:pPr>
    </w:p>
    <w:p w:rsidR="00584762" w:rsidRPr="000756B1" w:rsidRDefault="00584762" w:rsidP="00584762">
      <w:pPr>
        <w:pStyle w:val="af8"/>
        <w:rPr>
          <w:rtl/>
        </w:rPr>
      </w:pPr>
      <w:r w:rsidRPr="000756B1">
        <w:rPr>
          <w:rStyle w:val="TagStyle"/>
          <w:rtl/>
        </w:rPr>
        <w:t>&lt;&lt; קריאה &gt;&gt;</w:t>
      </w:r>
      <w:r w:rsidRPr="000756B1">
        <w:rPr>
          <w:rStyle w:val="TagStyle"/>
          <w:rFonts w:hint="cs"/>
          <w:rtl/>
        </w:rPr>
        <w:t xml:space="preserve"> </w:t>
      </w:r>
      <w:r w:rsidRPr="000756B1">
        <w:rPr>
          <w:rFonts w:hint="cs"/>
          <w:rtl/>
        </w:rPr>
        <w:t>עאידה תומא סלימאן (חד"ש-תע"ל):</w:t>
      </w:r>
      <w:r w:rsidRPr="000756B1">
        <w:rPr>
          <w:rStyle w:val="TagStyle"/>
          <w:rtl/>
        </w:rPr>
        <w:t xml:space="preserve"> &lt;&lt; קריאה &gt;&gt; </w:t>
      </w:r>
    </w:p>
    <w:p w:rsidR="00584762" w:rsidRPr="000756B1" w:rsidRDefault="00584762" w:rsidP="006157C7">
      <w:pPr>
        <w:rPr>
          <w:rtl/>
        </w:rPr>
      </w:pPr>
    </w:p>
    <w:p w:rsidR="006157C7" w:rsidRDefault="00584762" w:rsidP="00126792">
      <w:pPr>
        <w:rPr>
          <w:rtl/>
        </w:rPr>
      </w:pPr>
      <w:r w:rsidRPr="000756B1">
        <w:rPr>
          <w:rFonts w:hint="cs"/>
          <w:rtl/>
        </w:rPr>
        <w:t>(</w:t>
      </w:r>
      <w:r w:rsidR="006157C7" w:rsidRPr="000756B1">
        <w:rPr>
          <w:rtl/>
        </w:rPr>
        <w:t xml:space="preserve">אתה זה ששתקת והיית </w:t>
      </w:r>
      <w:r w:rsidRPr="000756B1">
        <w:rPr>
          <w:rFonts w:hint="cs"/>
          <w:rtl/>
        </w:rPr>
        <w:t>- - -</w:t>
      </w:r>
      <w:r w:rsidR="006157C7" w:rsidRPr="000756B1">
        <w:rPr>
          <w:rtl/>
        </w:rPr>
        <w:t xml:space="preserve"> רק רצית תקציבים</w:t>
      </w:r>
      <w:r w:rsidR="00126792">
        <w:rPr>
          <w:rFonts w:hint="cs"/>
          <w:rtl/>
        </w:rPr>
        <w:t>.</w:t>
      </w:r>
      <w:r w:rsidR="006157C7" w:rsidRPr="000756B1">
        <w:rPr>
          <w:rtl/>
        </w:rPr>
        <w:t xml:space="preserve"> תתבייש.</w:t>
      </w:r>
      <w:r w:rsidRPr="000756B1">
        <w:rPr>
          <w:rFonts w:hint="cs"/>
          <w:rtl/>
        </w:rPr>
        <w:t>)</w:t>
      </w:r>
      <w:r w:rsidR="006157C7">
        <w:rPr>
          <w:rtl/>
        </w:rPr>
        <w:t xml:space="preserve"> </w:t>
      </w:r>
    </w:p>
    <w:p w:rsidR="00584762" w:rsidRDefault="00584762" w:rsidP="00584762">
      <w:pPr>
        <w:rPr>
          <w:rtl/>
        </w:rPr>
      </w:pPr>
    </w:p>
    <w:p w:rsidR="00584762" w:rsidRPr="000756B1" w:rsidRDefault="00584762" w:rsidP="00584762">
      <w:pPr>
        <w:pStyle w:val="-"/>
        <w:rPr>
          <w:rtl/>
        </w:rPr>
      </w:pPr>
      <w:r w:rsidRPr="00C0454F">
        <w:rPr>
          <w:rStyle w:val="TagStyle"/>
          <w:rtl/>
        </w:rPr>
        <w:t>&lt;&lt; דובר_המשך &gt;&gt;</w:t>
      </w:r>
      <w:r>
        <w:rPr>
          <w:rStyle w:val="TagStyle"/>
          <w:rFonts w:hint="cs"/>
          <w:rtl/>
        </w:rPr>
        <w:t xml:space="preserve"> </w:t>
      </w:r>
      <w:r>
        <w:rPr>
          <w:rFonts w:hint="cs"/>
          <w:rtl/>
        </w:rPr>
        <w:t xml:space="preserve">מנסור עבאס (רע"מ – </w:t>
      </w:r>
      <w:r w:rsidRPr="000756B1">
        <w:rPr>
          <w:rFonts w:hint="cs"/>
          <w:rtl/>
        </w:rPr>
        <w:t>הרשימה הערבית המאוחדת):</w:t>
      </w:r>
      <w:r w:rsidRPr="000756B1">
        <w:rPr>
          <w:rStyle w:val="TagStyle"/>
          <w:rtl/>
        </w:rPr>
        <w:t xml:space="preserve"> &lt;&lt; דובר_המשך &gt;&gt;   </w:t>
      </w:r>
    </w:p>
    <w:p w:rsidR="00584762" w:rsidRPr="000756B1" w:rsidRDefault="00584762" w:rsidP="00584762">
      <w:pPr>
        <w:rPr>
          <w:rtl/>
        </w:rPr>
      </w:pPr>
    </w:p>
    <w:p w:rsidR="006157C7" w:rsidRPr="000756B1" w:rsidRDefault="00584762" w:rsidP="00126792">
      <w:pPr>
        <w:rPr>
          <w:rtl/>
        </w:rPr>
      </w:pPr>
      <w:r w:rsidRPr="000756B1">
        <w:rPr>
          <w:rFonts w:hint="cs"/>
          <w:rtl/>
        </w:rPr>
        <w:t>(</w:t>
      </w:r>
      <w:r w:rsidR="006157C7" w:rsidRPr="000756B1">
        <w:rPr>
          <w:rtl/>
        </w:rPr>
        <w:t>אתם עולים ועושים את עצמכם לאומנים, ועולים ועושים נאומים.</w:t>
      </w:r>
      <w:r w:rsidRPr="000756B1">
        <w:rPr>
          <w:rFonts w:hint="cs"/>
          <w:rtl/>
        </w:rPr>
        <w:t>)</w:t>
      </w:r>
      <w:r w:rsidR="006157C7" w:rsidRPr="000756B1">
        <w:rPr>
          <w:rtl/>
        </w:rPr>
        <w:t xml:space="preserve"> </w:t>
      </w:r>
    </w:p>
    <w:p w:rsidR="00584762" w:rsidRPr="000756B1" w:rsidRDefault="00584762" w:rsidP="00584762">
      <w:pPr>
        <w:rPr>
          <w:rtl/>
        </w:rPr>
      </w:pPr>
    </w:p>
    <w:p w:rsidR="00584762" w:rsidRPr="000756B1" w:rsidRDefault="00584762" w:rsidP="00584762">
      <w:pPr>
        <w:pStyle w:val="af8"/>
        <w:rPr>
          <w:rtl/>
        </w:rPr>
      </w:pPr>
      <w:r w:rsidRPr="000756B1">
        <w:rPr>
          <w:rStyle w:val="TagStyle"/>
          <w:rtl/>
        </w:rPr>
        <w:t>&lt;&lt; קריאה &gt;&gt;</w:t>
      </w:r>
      <w:r w:rsidRPr="000756B1">
        <w:rPr>
          <w:rStyle w:val="TagStyle"/>
          <w:rFonts w:hint="cs"/>
          <w:rtl/>
        </w:rPr>
        <w:t xml:space="preserve"> </w:t>
      </w:r>
      <w:r w:rsidRPr="000756B1">
        <w:rPr>
          <w:rFonts w:hint="cs"/>
          <w:rtl/>
        </w:rPr>
        <w:t>עאידה תומא סלימאן (חד"ש-תע"ל):</w:t>
      </w:r>
      <w:r w:rsidRPr="000756B1">
        <w:rPr>
          <w:rStyle w:val="TagStyle"/>
          <w:rtl/>
        </w:rPr>
        <w:t xml:space="preserve"> &lt;&lt; קריאה &gt;&gt; </w:t>
      </w:r>
    </w:p>
    <w:p w:rsidR="00584762" w:rsidRPr="000756B1" w:rsidRDefault="00584762" w:rsidP="00584762">
      <w:pPr>
        <w:rPr>
          <w:rtl/>
        </w:rPr>
      </w:pPr>
    </w:p>
    <w:p w:rsidR="00584762" w:rsidRPr="000756B1" w:rsidRDefault="00584762" w:rsidP="00584762">
      <w:pPr>
        <w:rPr>
          <w:rtl/>
        </w:rPr>
      </w:pPr>
      <w:r w:rsidRPr="000756B1">
        <w:rPr>
          <w:rFonts w:hint="cs"/>
          <w:rtl/>
        </w:rPr>
        <w:t>(</w:t>
      </w:r>
      <w:r w:rsidRPr="000756B1">
        <w:rPr>
          <w:rtl/>
        </w:rPr>
        <w:t>תתבייש.</w:t>
      </w:r>
      <w:r w:rsidRPr="000756B1">
        <w:rPr>
          <w:rFonts w:hint="cs"/>
          <w:rtl/>
        </w:rPr>
        <w:t>)</w:t>
      </w:r>
      <w:r w:rsidRPr="000756B1">
        <w:rPr>
          <w:rtl/>
        </w:rPr>
        <w:t xml:space="preserve"> </w:t>
      </w:r>
    </w:p>
    <w:p w:rsidR="00584762" w:rsidRPr="000756B1" w:rsidRDefault="00584762" w:rsidP="006157C7">
      <w:pPr>
        <w:rPr>
          <w:rtl/>
        </w:rPr>
      </w:pPr>
    </w:p>
    <w:p w:rsidR="00584762" w:rsidRPr="000756B1" w:rsidRDefault="00584762" w:rsidP="00584762">
      <w:pPr>
        <w:pStyle w:val="-"/>
        <w:rPr>
          <w:rtl/>
        </w:rPr>
      </w:pPr>
      <w:r w:rsidRPr="000756B1">
        <w:rPr>
          <w:rStyle w:val="TagStyle"/>
          <w:rtl/>
        </w:rPr>
        <w:t>&lt;&lt; דובר_המשך &gt;&gt;</w:t>
      </w:r>
      <w:r w:rsidRPr="000756B1">
        <w:rPr>
          <w:rStyle w:val="TagStyle"/>
          <w:rFonts w:hint="cs"/>
          <w:rtl/>
        </w:rPr>
        <w:t xml:space="preserve"> </w:t>
      </w:r>
      <w:r w:rsidRPr="000756B1">
        <w:rPr>
          <w:rFonts w:hint="cs"/>
          <w:rtl/>
        </w:rPr>
        <w:t>מנסור עבאס (רע"מ – הרשימה הערבית המאוחדת):</w:t>
      </w:r>
      <w:r w:rsidRPr="000756B1">
        <w:rPr>
          <w:rStyle w:val="TagStyle"/>
          <w:rtl/>
        </w:rPr>
        <w:t xml:space="preserve"> &lt;&lt; דובר_המשך &gt;&gt;   </w:t>
      </w:r>
    </w:p>
    <w:p w:rsidR="00584762" w:rsidRPr="000756B1" w:rsidRDefault="00584762" w:rsidP="006157C7">
      <w:pPr>
        <w:rPr>
          <w:rtl/>
        </w:rPr>
      </w:pPr>
    </w:p>
    <w:p w:rsidR="00584762" w:rsidRPr="000756B1" w:rsidRDefault="00584762" w:rsidP="00126792">
      <w:pPr>
        <w:rPr>
          <w:rtl/>
        </w:rPr>
      </w:pPr>
      <w:r w:rsidRPr="000756B1">
        <w:rPr>
          <w:rFonts w:hint="cs"/>
          <w:rtl/>
        </w:rPr>
        <w:t>(</w:t>
      </w:r>
      <w:r w:rsidR="006157C7" w:rsidRPr="000756B1">
        <w:rPr>
          <w:rtl/>
        </w:rPr>
        <w:t>בושה וחרפה</w:t>
      </w:r>
      <w:r w:rsidR="00126792">
        <w:rPr>
          <w:rFonts w:hint="cs"/>
          <w:rtl/>
        </w:rPr>
        <w:t>.</w:t>
      </w:r>
      <w:r w:rsidR="006157C7" w:rsidRPr="000756B1">
        <w:rPr>
          <w:rtl/>
        </w:rPr>
        <w:t xml:space="preserve"> בושה וחרפה.</w:t>
      </w:r>
      <w:r w:rsidRPr="000756B1">
        <w:rPr>
          <w:rFonts w:hint="cs"/>
          <w:rtl/>
        </w:rPr>
        <w:t>)</w:t>
      </w:r>
    </w:p>
    <w:p w:rsidR="00584762" w:rsidRPr="000756B1" w:rsidRDefault="00584762" w:rsidP="00584762">
      <w:pPr>
        <w:pStyle w:val="af8"/>
        <w:rPr>
          <w:rStyle w:val="TagStyle"/>
          <w:vanish w:val="0"/>
          <w:rtl/>
        </w:rPr>
      </w:pPr>
    </w:p>
    <w:p w:rsidR="00584762" w:rsidRPr="000756B1" w:rsidRDefault="00584762" w:rsidP="00584762">
      <w:pPr>
        <w:pStyle w:val="af8"/>
        <w:rPr>
          <w:rtl/>
        </w:rPr>
      </w:pPr>
      <w:r w:rsidRPr="000756B1">
        <w:rPr>
          <w:rStyle w:val="TagStyle"/>
          <w:rtl/>
        </w:rPr>
        <w:t>&lt;&lt; קריאה &gt;&gt;</w:t>
      </w:r>
      <w:r w:rsidRPr="000756B1">
        <w:rPr>
          <w:rStyle w:val="TagStyle"/>
          <w:rFonts w:hint="cs"/>
          <w:rtl/>
        </w:rPr>
        <w:t xml:space="preserve"> </w:t>
      </w:r>
      <w:r w:rsidRPr="000756B1">
        <w:rPr>
          <w:rFonts w:hint="cs"/>
          <w:rtl/>
        </w:rPr>
        <w:t>עאידה תומא סלימאן (חד"ש-תע"ל):</w:t>
      </w:r>
      <w:r w:rsidRPr="000756B1">
        <w:rPr>
          <w:rStyle w:val="TagStyle"/>
          <w:rtl/>
        </w:rPr>
        <w:t xml:space="preserve"> &lt;&lt; קריאה &gt;&gt; </w:t>
      </w:r>
    </w:p>
    <w:p w:rsidR="006157C7" w:rsidRPr="000756B1" w:rsidRDefault="006157C7" w:rsidP="006157C7">
      <w:pPr>
        <w:rPr>
          <w:rtl/>
        </w:rPr>
      </w:pPr>
      <w:r w:rsidRPr="000756B1">
        <w:rPr>
          <w:rtl/>
        </w:rPr>
        <w:t xml:space="preserve"> </w:t>
      </w:r>
    </w:p>
    <w:p w:rsidR="006157C7" w:rsidRPr="000756B1" w:rsidRDefault="00584762" w:rsidP="00126792">
      <w:pPr>
        <w:rPr>
          <w:rtl/>
        </w:rPr>
      </w:pPr>
      <w:r w:rsidRPr="000756B1">
        <w:rPr>
          <w:rFonts w:hint="cs"/>
          <w:rtl/>
        </w:rPr>
        <w:t>(</w:t>
      </w:r>
      <w:r w:rsidR="006157C7" w:rsidRPr="000756B1">
        <w:rPr>
          <w:rtl/>
        </w:rPr>
        <w:t>בושה וחרפה לך ולכל מי שתמך בממשלה הקודמת.</w:t>
      </w:r>
      <w:r w:rsidRPr="000756B1">
        <w:rPr>
          <w:rFonts w:hint="cs"/>
          <w:rtl/>
        </w:rPr>
        <w:t>)</w:t>
      </w:r>
      <w:r w:rsidR="006157C7" w:rsidRPr="000756B1">
        <w:rPr>
          <w:rFonts w:hint="cs"/>
        </w:rPr>
        <w:t xml:space="preserve"> </w:t>
      </w:r>
    </w:p>
    <w:p w:rsidR="00BB59CD" w:rsidRPr="000756B1" w:rsidRDefault="00BB59CD" w:rsidP="00BB59CD">
      <w:bookmarkStart w:id="79831" w:name="_ETM_Q0_93758088"/>
      <w:bookmarkStart w:id="79832" w:name="_ETM_Q0_93758222"/>
      <w:bookmarkStart w:id="79833" w:name="_ETM_Q0_93758278"/>
      <w:bookmarkStart w:id="79834" w:name="_ETM_Q0_93758397"/>
      <w:bookmarkEnd w:id="79831"/>
      <w:bookmarkEnd w:id="79832"/>
      <w:bookmarkEnd w:id="79833"/>
      <w:bookmarkEnd w:id="79834"/>
    </w:p>
    <w:p w:rsidR="00BB59CD" w:rsidRDefault="00BB59CD" w:rsidP="00BB59CD">
      <w:pPr>
        <w:pStyle w:val="-"/>
        <w:keepNext/>
        <w:rPr>
          <w:rtl/>
        </w:rPr>
      </w:pPr>
      <w:bookmarkStart w:id="79835" w:name="ET_speakercontinue_5795_21"/>
      <w:r w:rsidRPr="000756B1">
        <w:rPr>
          <w:rStyle w:val="TagStyle"/>
          <w:rFonts w:hint="cs"/>
          <w:rtl/>
        </w:rPr>
        <w:t xml:space="preserve"> &lt;&lt; דובר_המשך &gt;&gt; </w:t>
      </w:r>
      <w:r w:rsidRPr="000756B1">
        <w:rPr>
          <w:rFonts w:hint="cs"/>
          <w:rtl/>
        </w:rPr>
        <w:t>מנסור עבאס (רע"מ – הרשימה הערבית המאוחדת):</w:t>
      </w:r>
      <w:r w:rsidRPr="000756B1">
        <w:rPr>
          <w:rStyle w:val="TagStyle"/>
          <w:rtl/>
        </w:rPr>
        <w:t xml:space="preserve"> &lt;&lt; דובר_המשך &gt;&gt;</w:t>
      </w:r>
      <w:r>
        <w:rPr>
          <w:rFonts w:hint="cs"/>
          <w:rtl/>
        </w:rPr>
        <w:t xml:space="preserve">  </w:t>
      </w:r>
      <w:bookmarkEnd w:id="79835"/>
    </w:p>
    <w:p w:rsidR="00BB59CD" w:rsidRDefault="00BB59CD" w:rsidP="00337201">
      <w:pPr>
        <w:rPr>
          <w:rtl/>
        </w:rPr>
      </w:pPr>
    </w:p>
    <w:p w:rsidR="00BB59CD" w:rsidRDefault="00BB59CD" w:rsidP="00BB59CD">
      <w:pPr>
        <w:rPr>
          <w:rtl/>
        </w:rPr>
      </w:pPr>
      <w:bookmarkStart w:id="79836" w:name="_ETM_Q157_319000"/>
      <w:bookmarkEnd w:id="79836"/>
      <w:r>
        <w:rPr>
          <w:rFonts w:hint="cs"/>
          <w:rtl/>
        </w:rPr>
        <w:t>מה שאמרתי, חברים, אחי חמד, אחי חמד - - -</w:t>
      </w:r>
    </w:p>
    <w:p w:rsidR="00BB59CD" w:rsidRDefault="00BB59CD" w:rsidP="00BB59CD">
      <w:pPr>
        <w:pStyle w:val="af8"/>
        <w:keepNext/>
        <w:rPr>
          <w:rStyle w:val="TagStyle"/>
          <w:vanish w:val="0"/>
          <w:specVanish/>
        </w:rPr>
      </w:pPr>
    </w:p>
    <w:p w:rsidR="00BB59CD" w:rsidRDefault="00BB59CD" w:rsidP="00BB59CD">
      <w:pPr>
        <w:pStyle w:val="af8"/>
        <w:keepNext/>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רק להם מותר לקלל או שגם לי מותר?</w:t>
      </w:r>
    </w:p>
    <w:p w:rsidR="00BB59CD" w:rsidRDefault="00BB59CD" w:rsidP="00BB59CD">
      <w:pPr>
        <w:rPr>
          <w:rtl/>
        </w:rPr>
      </w:pPr>
      <w:bookmarkStart w:id="79837" w:name="_ETM_Q157_331000"/>
      <w:bookmarkEnd w:id="79837"/>
    </w:p>
    <w:p w:rsidR="00BB59CD" w:rsidRDefault="00BB59CD" w:rsidP="00BB59CD">
      <w:pPr>
        <w:pStyle w:val="af8"/>
        <w:keepNext/>
        <w:rPr>
          <w:rtl/>
        </w:rPr>
      </w:pPr>
      <w:bookmarkStart w:id="79838" w:name="ET_interruption_5786_24"/>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79838"/>
    </w:p>
    <w:p w:rsidR="00BB59CD" w:rsidRDefault="00BB59CD" w:rsidP="00337201">
      <w:pPr>
        <w:rPr>
          <w:rtl/>
        </w:rPr>
      </w:pPr>
    </w:p>
    <w:p w:rsidR="00BB59CD" w:rsidRDefault="00BB59CD" w:rsidP="00BB59CD">
      <w:pPr>
        <w:rPr>
          <w:rtl/>
        </w:rPr>
      </w:pPr>
      <w:r>
        <w:rPr>
          <w:rFonts w:hint="cs"/>
          <w:rtl/>
        </w:rPr>
        <w:t>אבל ל</w:t>
      </w:r>
      <w:bookmarkStart w:id="79839" w:name="_ETM_Q157_329000"/>
      <w:bookmarkEnd w:id="79839"/>
      <w:r>
        <w:rPr>
          <w:rFonts w:hint="cs"/>
          <w:rtl/>
        </w:rPr>
        <w:t>מה? אנחנו גם - - -</w:t>
      </w:r>
    </w:p>
    <w:p w:rsidR="00BB59CD" w:rsidRDefault="00BB59CD" w:rsidP="00BB59CD">
      <w:pPr>
        <w:rPr>
          <w:rtl/>
        </w:rPr>
      </w:pPr>
    </w:p>
    <w:p w:rsidR="00BB59CD" w:rsidRDefault="00BB59CD" w:rsidP="00BB59CD">
      <w:pPr>
        <w:pStyle w:val="af8"/>
        <w:keepNext/>
        <w:rPr>
          <w:rtl/>
        </w:rPr>
      </w:pPr>
      <w:bookmarkStart w:id="79840" w:name="_ETM_Q157_337000"/>
      <w:bookmarkStart w:id="79841" w:name="ET_interruption_6345_25"/>
      <w:bookmarkEnd w:id="7984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79841"/>
    </w:p>
    <w:p w:rsidR="00BB59CD" w:rsidRDefault="00BB59CD" w:rsidP="00337201">
      <w:pPr>
        <w:rPr>
          <w:rtl/>
        </w:rPr>
      </w:pPr>
    </w:p>
    <w:p w:rsidR="00BB59CD" w:rsidRDefault="00BB59CD" w:rsidP="00126792">
      <w:pPr>
        <w:rPr>
          <w:rtl/>
        </w:rPr>
      </w:pPr>
      <w:bookmarkStart w:id="79842" w:name="_ETM_Q157_333000"/>
      <w:bookmarkEnd w:id="79842"/>
      <w:r>
        <w:rPr>
          <w:rFonts w:hint="cs"/>
          <w:rtl/>
        </w:rPr>
        <w:t>לא</w:t>
      </w:r>
      <w:r w:rsidR="00126792">
        <w:rPr>
          <w:rFonts w:hint="cs"/>
          <w:rtl/>
        </w:rPr>
        <w:t>,</w:t>
      </w:r>
      <w:r>
        <w:rPr>
          <w:rFonts w:hint="cs"/>
          <w:rtl/>
        </w:rPr>
        <w:t xml:space="preserve"> רגע</w:t>
      </w:r>
      <w:r w:rsidR="00126792">
        <w:rPr>
          <w:rFonts w:hint="cs"/>
          <w:rtl/>
        </w:rPr>
        <w:t>,</w:t>
      </w:r>
      <w:r>
        <w:rPr>
          <w:rFonts w:hint="cs"/>
          <w:rtl/>
        </w:rPr>
        <w:t xml:space="preserve"> רגע.</w:t>
      </w:r>
      <w:r>
        <w:rPr>
          <w:rFonts w:hint="cs"/>
        </w:rPr>
        <w:t xml:space="preserve"> </w:t>
      </w:r>
      <w:r>
        <w:rPr>
          <w:rFonts w:hint="cs"/>
          <w:rtl/>
        </w:rPr>
        <w:t xml:space="preserve"> מה הקללות - - - מה היא אמרה לו</w:t>
      </w:r>
      <w:r w:rsidR="00126792">
        <w:rPr>
          <w:rFonts w:hint="cs"/>
          <w:rtl/>
        </w:rPr>
        <w:t>?</w:t>
      </w:r>
      <w:r>
        <w:rPr>
          <w:rFonts w:hint="cs"/>
          <w:rtl/>
        </w:rPr>
        <w:t xml:space="preserve"> מה היא קיללה אותו? </w:t>
      </w:r>
    </w:p>
    <w:p w:rsidR="00BB59CD" w:rsidRDefault="00BB59CD" w:rsidP="00BB59CD">
      <w:pPr>
        <w:rPr>
          <w:rtl/>
        </w:rPr>
      </w:pPr>
    </w:p>
    <w:p w:rsidR="00BB59CD" w:rsidRDefault="00BB59CD" w:rsidP="00BB59CD">
      <w:pPr>
        <w:pStyle w:val="af8"/>
        <w:keepNext/>
        <w:rPr>
          <w:rtl/>
        </w:rPr>
      </w:pPr>
      <w:bookmarkStart w:id="79843" w:name="ET_interruption_6461_26"/>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9843"/>
    </w:p>
    <w:p w:rsidR="00BB59CD" w:rsidRDefault="00BB59CD" w:rsidP="00337201">
      <w:pPr>
        <w:rPr>
          <w:rtl/>
        </w:rPr>
      </w:pPr>
    </w:p>
    <w:p w:rsidR="00BB59CD" w:rsidRDefault="00BB59CD" w:rsidP="00BB59CD">
      <w:pPr>
        <w:rPr>
          <w:rtl/>
        </w:rPr>
      </w:pPr>
      <w:r>
        <w:rPr>
          <w:rFonts w:hint="cs"/>
          <w:rtl/>
        </w:rPr>
        <w:t>- - -</w:t>
      </w:r>
    </w:p>
    <w:p w:rsidR="00BB59CD" w:rsidRDefault="00BB59CD" w:rsidP="00BB59CD">
      <w:pPr>
        <w:rPr>
          <w:rtl/>
        </w:rPr>
      </w:pPr>
    </w:p>
    <w:p w:rsidR="00BB59CD" w:rsidRDefault="00BB59CD" w:rsidP="00BB59CD">
      <w:pPr>
        <w:pStyle w:val="-"/>
        <w:keepNext/>
        <w:rPr>
          <w:rtl/>
        </w:rPr>
      </w:pPr>
      <w:bookmarkStart w:id="79844" w:name="ET_speakercontinue_5795_27"/>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79844"/>
    </w:p>
    <w:p w:rsidR="00BB59CD" w:rsidRDefault="00BB59CD" w:rsidP="00337201">
      <w:pPr>
        <w:rPr>
          <w:rtl/>
        </w:rPr>
      </w:pPr>
    </w:p>
    <w:p w:rsidR="00BB59CD" w:rsidRDefault="00BB59CD" w:rsidP="00BB59CD">
      <w:pPr>
        <w:rPr>
          <w:rtl/>
        </w:rPr>
      </w:pPr>
      <w:bookmarkStart w:id="79845" w:name="_ETM_Q157_335000"/>
      <w:bookmarkEnd w:id="79845"/>
      <w:r>
        <w:rPr>
          <w:rFonts w:hint="cs"/>
          <w:rtl/>
        </w:rPr>
        <w:t xml:space="preserve">חמד, חבר הכנסת </w:t>
      </w:r>
      <w:bookmarkStart w:id="79846" w:name="_ETM_Q157_332000"/>
      <w:bookmarkEnd w:id="79846"/>
      <w:r>
        <w:rPr>
          <w:rFonts w:hint="cs"/>
          <w:rtl/>
        </w:rPr>
        <w:t xml:space="preserve">חמד, כן, </w:t>
      </w:r>
      <w:bookmarkStart w:id="79847" w:name="_ETM_Q157_338000"/>
      <w:bookmarkEnd w:id="79847"/>
      <w:r>
        <w:rPr>
          <w:rFonts w:hint="cs"/>
          <w:rtl/>
        </w:rPr>
        <w:t>היא מעדיפה, היא מעדיפה שסמוטריץ' ובן גביר –</w:t>
      </w:r>
      <w:bookmarkStart w:id="79848" w:name="_ETM_Q157_346000"/>
      <w:bookmarkEnd w:id="79848"/>
      <w:r>
        <w:rPr>
          <w:rFonts w:hint="cs"/>
          <w:rtl/>
        </w:rPr>
        <w:t xml:space="preserve"> היא מעדיפה שסמוטריץ' יהיה שר האוצר ולא שאתה </w:t>
      </w:r>
      <w:bookmarkStart w:id="79849" w:name="_ETM_Q157_351000"/>
      <w:bookmarkEnd w:id="79849"/>
      <w:r>
        <w:rPr>
          <w:rFonts w:hint="cs"/>
          <w:rtl/>
        </w:rPr>
        <w:t xml:space="preserve">תהיה שר במשרד האוצר. היא מעדיפה את סמוטריץ' ולא את חמד עמאר שיהיה במשרד האוצר. </w:t>
      </w:r>
      <w:bookmarkStart w:id="79850" w:name="_ETM_Q157_360000"/>
      <w:bookmarkEnd w:id="79850"/>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bookmarkStart w:id="79851" w:name="_ETM_Q157_357000"/>
      <w:bookmarkEnd w:id="79851"/>
      <w:r>
        <w:rPr>
          <w:rFonts w:hint="cs"/>
          <w:rtl/>
        </w:rPr>
        <w:t>הוא לא היה בכלל - - -</w:t>
      </w:r>
    </w:p>
    <w:p w:rsidR="00BB59CD" w:rsidRDefault="00BB59CD" w:rsidP="00BB59CD">
      <w:pPr>
        <w:rPr>
          <w:rtl/>
        </w:rPr>
      </w:pPr>
    </w:p>
    <w:p w:rsidR="00BB59CD" w:rsidRDefault="00BB59CD" w:rsidP="00BB59CD">
      <w:pPr>
        <w:pStyle w:val="-"/>
        <w:keepNext/>
        <w:rPr>
          <w:rtl/>
        </w:rPr>
      </w:pPr>
      <w:bookmarkStart w:id="79852" w:name="ET_speakercontinue_5795_30"/>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79852"/>
    </w:p>
    <w:p w:rsidR="00BB59CD" w:rsidRDefault="00BB59CD" w:rsidP="00337201">
      <w:pPr>
        <w:rPr>
          <w:rtl/>
        </w:rPr>
      </w:pPr>
    </w:p>
    <w:p w:rsidR="00BB59CD" w:rsidRDefault="00BB59CD" w:rsidP="00BB59CD">
      <w:pPr>
        <w:rPr>
          <w:rtl/>
        </w:rPr>
      </w:pPr>
      <w:r>
        <w:rPr>
          <w:rFonts w:hint="cs"/>
          <w:rtl/>
        </w:rPr>
        <w:t>היא מעדיפה</w:t>
      </w:r>
      <w:bookmarkStart w:id="79853" w:name="_ETM_Q157_355000"/>
      <w:bookmarkEnd w:id="79853"/>
      <w:r>
        <w:rPr>
          <w:rFonts w:hint="cs"/>
          <w:rtl/>
        </w:rPr>
        <w:t xml:space="preserve"> שבן גביר יהיה במשרד לביטחון לאומי ולא יואב סגלוביץ'.</w:t>
      </w:r>
      <w:bookmarkStart w:id="79854" w:name="_ETM_Q157_366000"/>
      <w:bookmarkEnd w:id="79854"/>
    </w:p>
    <w:p w:rsidR="00BB59CD" w:rsidRDefault="00BB59CD" w:rsidP="00BB59CD">
      <w:pPr>
        <w:rPr>
          <w:rtl/>
        </w:rPr>
      </w:pPr>
    </w:p>
    <w:p w:rsidR="00BB59CD" w:rsidRDefault="00BB59CD" w:rsidP="00BB59CD">
      <w:pPr>
        <w:pStyle w:val="af8"/>
        <w:keepNext/>
        <w:rPr>
          <w:rtl/>
        </w:rPr>
      </w:pPr>
      <w:bookmarkStart w:id="79855" w:name="ET_interruption_5761_31"/>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79855"/>
    </w:p>
    <w:p w:rsidR="00BB59CD" w:rsidRDefault="00BB59CD" w:rsidP="00337201">
      <w:pPr>
        <w:rPr>
          <w:rtl/>
        </w:rPr>
      </w:pPr>
    </w:p>
    <w:p w:rsidR="00BB59CD" w:rsidRDefault="00BB59CD" w:rsidP="00584762">
      <w:pPr>
        <w:rPr>
          <w:rtl/>
        </w:rPr>
      </w:pPr>
      <w:bookmarkStart w:id="79856" w:name="_ETM_Q157_363000"/>
      <w:bookmarkEnd w:id="79856"/>
      <w:r>
        <w:rPr>
          <w:rFonts w:hint="cs"/>
          <w:rtl/>
        </w:rPr>
        <w:t xml:space="preserve">(אומרת בערבית: מי </w:t>
      </w:r>
      <w:r w:rsidR="00584762">
        <w:rPr>
          <w:rFonts w:hint="cs"/>
          <w:rtl/>
        </w:rPr>
        <w:t>אמר</w:t>
      </w:r>
      <w:r>
        <w:rPr>
          <w:rFonts w:hint="cs"/>
          <w:rtl/>
        </w:rPr>
        <w:t xml:space="preserve">?) לא אני זו שמעדיפה. זה אתה - - - </w:t>
      </w:r>
    </w:p>
    <w:p w:rsidR="00BB59CD" w:rsidRDefault="00BB59CD" w:rsidP="00BB59CD">
      <w:pPr>
        <w:rPr>
          <w:rtl/>
        </w:rPr>
      </w:pPr>
      <w:bookmarkStart w:id="79857" w:name="_ETM_Q157_368000"/>
      <w:bookmarkEnd w:id="79857"/>
    </w:p>
    <w:p w:rsidR="00BB59CD" w:rsidRDefault="00BB59CD" w:rsidP="00BB59CD">
      <w:pPr>
        <w:pStyle w:val="-"/>
        <w:keepNext/>
        <w:rPr>
          <w:rtl/>
        </w:rPr>
      </w:pPr>
      <w:bookmarkStart w:id="79858" w:name="ET_speakercontinue_5795_32"/>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79858"/>
    </w:p>
    <w:p w:rsidR="00BB59CD" w:rsidRDefault="00BB59CD" w:rsidP="00337201">
      <w:pPr>
        <w:rPr>
          <w:rtl/>
        </w:rPr>
      </w:pPr>
    </w:p>
    <w:p w:rsidR="00BB59CD" w:rsidRDefault="00BB59CD" w:rsidP="00BB59CD">
      <w:pPr>
        <w:rPr>
          <w:rtl/>
        </w:rPr>
      </w:pPr>
      <w:bookmarkStart w:id="79859" w:name="_ETM_Q157_369000"/>
      <w:bookmarkEnd w:id="79859"/>
      <w:r>
        <w:rPr>
          <w:rFonts w:hint="cs"/>
          <w:rtl/>
        </w:rPr>
        <w:t xml:space="preserve">ואנחנו משלמים מחיר, כי שמתם את היד שלכם ביד </w:t>
      </w:r>
      <w:bookmarkStart w:id="79860" w:name="_ETM_Q157_371000"/>
      <w:bookmarkEnd w:id="79860"/>
      <w:r>
        <w:rPr>
          <w:rFonts w:hint="cs"/>
          <w:rtl/>
        </w:rPr>
        <w:t>של הליכוד</w:t>
      </w:r>
      <w:bookmarkStart w:id="79861" w:name="_ETM_Q157_372000"/>
      <w:bookmarkEnd w:id="79861"/>
      <w:r>
        <w:rPr>
          <w:rFonts w:hint="cs"/>
          <w:rtl/>
        </w:rPr>
        <w:t xml:space="preserve"> ושל הציונות הדתית. זאת האמת. אנחנו משלמים את ה</w:t>
      </w:r>
      <w:bookmarkStart w:id="79862" w:name="_ETM_Q157_378000"/>
      <w:bookmarkEnd w:id="79862"/>
      <w:r>
        <w:rPr>
          <w:rFonts w:hint="cs"/>
          <w:rtl/>
        </w:rPr>
        <w:t xml:space="preserve">מחיר הזה. אתם מעדיפים את הציונות הדתית ואת </w:t>
      </w:r>
      <w:bookmarkStart w:id="79863" w:name="_ETM_Q157_384000"/>
      <w:bookmarkEnd w:id="79863"/>
      <w:r>
        <w:rPr>
          <w:rFonts w:hint="cs"/>
          <w:rtl/>
        </w:rPr>
        <w:t xml:space="preserve">עוצמה יהודית ואת הקואליציה, ולא את רע"מ. זה המחיר שאנחנו משלמים היום. כל הכבוד לכם. </w:t>
      </w:r>
    </w:p>
    <w:p w:rsidR="00BB59CD" w:rsidRDefault="00BB59CD" w:rsidP="00BB59CD">
      <w:pPr>
        <w:rPr>
          <w:rtl/>
        </w:rPr>
      </w:pPr>
      <w:bookmarkStart w:id="79864" w:name="_ETM_Q157_394000"/>
      <w:bookmarkEnd w:id="79864"/>
    </w:p>
    <w:p w:rsidR="00BB59CD" w:rsidRDefault="00BB59CD" w:rsidP="00BB59CD">
      <w:pPr>
        <w:pStyle w:val="af8"/>
        <w:keepNext/>
        <w:rPr>
          <w:rtl/>
        </w:rPr>
      </w:pPr>
      <w:bookmarkStart w:id="79865" w:name="ET_interruption_5761_33"/>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79865"/>
    </w:p>
    <w:p w:rsidR="00BB59CD" w:rsidRDefault="00BB59CD" w:rsidP="00337201">
      <w:pPr>
        <w:rPr>
          <w:rtl/>
        </w:rPr>
      </w:pPr>
    </w:p>
    <w:p w:rsidR="00BB59CD" w:rsidRDefault="00BB59CD" w:rsidP="00BB59CD">
      <w:pPr>
        <w:rPr>
          <w:rtl/>
        </w:rPr>
      </w:pPr>
      <w:bookmarkStart w:id="79866" w:name="_ETM_Q157_395000"/>
      <w:bookmarkEnd w:id="79866"/>
      <w:r>
        <w:rPr>
          <w:rFonts w:hint="cs"/>
          <w:rtl/>
        </w:rPr>
        <w:t xml:space="preserve"> אני - - </w:t>
      </w:r>
      <w:bookmarkStart w:id="79867" w:name="_ETM_Q157_390000"/>
      <w:bookmarkEnd w:id="79867"/>
      <w:r>
        <w:rPr>
          <w:rFonts w:hint="cs"/>
          <w:rtl/>
        </w:rPr>
        <w:t xml:space="preserve">- סמוטריץ' - - </w:t>
      </w:r>
      <w:bookmarkStart w:id="79868" w:name="_ETM_Q157_413732"/>
      <w:bookmarkEnd w:id="79868"/>
      <w:r>
        <w:rPr>
          <w:rFonts w:hint="cs"/>
          <w:rtl/>
        </w:rPr>
        <w:t>- יום אחד ליכוד - - -</w:t>
      </w:r>
    </w:p>
    <w:p w:rsidR="00BB59CD" w:rsidRDefault="00BB59CD" w:rsidP="00BB59CD">
      <w:pPr>
        <w:rPr>
          <w:rtl/>
        </w:rPr>
      </w:pPr>
    </w:p>
    <w:p w:rsidR="00BB59CD" w:rsidRDefault="00BB59CD" w:rsidP="00BB59CD">
      <w:pPr>
        <w:pStyle w:val="-"/>
        <w:keepNext/>
        <w:rPr>
          <w:rtl/>
        </w:rPr>
      </w:pPr>
      <w:bookmarkStart w:id="79869" w:name="ET_speakercontinue_5795_34"/>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79869"/>
    </w:p>
    <w:p w:rsidR="00BB59CD" w:rsidRDefault="00BB59CD" w:rsidP="00337201">
      <w:pPr>
        <w:rPr>
          <w:rtl/>
        </w:rPr>
      </w:pPr>
    </w:p>
    <w:p w:rsidR="00BB59CD" w:rsidRDefault="00BB59CD" w:rsidP="00BB59CD">
      <w:pPr>
        <w:rPr>
          <w:rtl/>
        </w:rPr>
      </w:pPr>
      <w:bookmarkStart w:id="79870" w:name="_ETM_Q157_391000"/>
      <w:bookmarkEnd w:id="79870"/>
      <w:r>
        <w:rPr>
          <w:rFonts w:hint="cs"/>
          <w:rtl/>
        </w:rPr>
        <w:t>כל הכבוד לכם. ואתם באים לתת תיאוריות.</w:t>
      </w:r>
    </w:p>
    <w:p w:rsidR="00BB59CD" w:rsidRDefault="00BB59CD" w:rsidP="00BB59CD">
      <w:pPr>
        <w:rPr>
          <w:rtl/>
        </w:rPr>
      </w:pPr>
    </w:p>
    <w:p w:rsidR="00BB59CD" w:rsidRDefault="00BB59CD" w:rsidP="00BB59CD">
      <w:pPr>
        <w:pStyle w:val="af8"/>
        <w:keepNext/>
        <w:rPr>
          <w:rtl/>
        </w:rPr>
      </w:pPr>
      <w:bookmarkStart w:id="79871" w:name="_ETM_Q157_403000"/>
      <w:bookmarkStart w:id="79872" w:name="ET_interruption_6461_36"/>
      <w:bookmarkEnd w:id="79871"/>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9872"/>
    </w:p>
    <w:p w:rsidR="00BB59CD" w:rsidRDefault="00BB59CD" w:rsidP="00337201">
      <w:pPr>
        <w:rPr>
          <w:rtl/>
        </w:rPr>
      </w:pPr>
    </w:p>
    <w:p w:rsidR="00BB59CD" w:rsidRDefault="00BB59CD" w:rsidP="00BB59CD">
      <w:pPr>
        <w:rPr>
          <w:rtl/>
        </w:rPr>
      </w:pPr>
      <w:r>
        <w:rPr>
          <w:rFonts w:hint="cs"/>
          <w:rtl/>
        </w:rPr>
        <w:t xml:space="preserve">עאידה </w:t>
      </w:r>
      <w:bookmarkStart w:id="79873" w:name="_ETM_Q157_401000"/>
      <w:bookmarkEnd w:id="79873"/>
      <w:r>
        <w:rPr>
          <w:rFonts w:hint="cs"/>
          <w:rtl/>
        </w:rPr>
        <w:t>צודקת.</w:t>
      </w:r>
    </w:p>
    <w:p w:rsidR="00BB59CD" w:rsidRDefault="00BB59CD" w:rsidP="00BB59CD">
      <w:pPr>
        <w:rPr>
          <w:rtl/>
        </w:rPr>
      </w:pPr>
      <w:bookmarkStart w:id="79874" w:name="_ETM_Q157_404000"/>
      <w:bookmarkEnd w:id="79874"/>
    </w:p>
    <w:p w:rsidR="00BB59CD" w:rsidRDefault="00BB59CD" w:rsidP="00BB59CD">
      <w:pPr>
        <w:pStyle w:val="-"/>
        <w:keepNext/>
        <w:rPr>
          <w:rtl/>
        </w:rPr>
      </w:pPr>
      <w:bookmarkStart w:id="79875" w:name="ET_speakercontinue_5795_37"/>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79875"/>
    </w:p>
    <w:p w:rsidR="00BB59CD" w:rsidRDefault="00BB59CD" w:rsidP="00337201">
      <w:pPr>
        <w:rPr>
          <w:rtl/>
        </w:rPr>
      </w:pPr>
    </w:p>
    <w:p w:rsidR="00BB59CD" w:rsidRDefault="00BB59CD" w:rsidP="00BB59CD">
      <w:pPr>
        <w:rPr>
          <w:rtl/>
        </w:rPr>
      </w:pPr>
      <w:bookmarkStart w:id="79876" w:name="_ETM_Q157_405000"/>
      <w:bookmarkEnd w:id="79876"/>
      <w:r>
        <w:rPr>
          <w:rFonts w:hint="cs"/>
          <w:rtl/>
        </w:rPr>
        <w:t xml:space="preserve">בדיוק. עאידה צודקת. כל הכבוד לכם. אתם חייבים לה. אתם חייבים לה. היא שהביאה אתכם. היא ואחמד טיבי ואיימן עודה </w:t>
      </w:r>
      <w:bookmarkStart w:id="79877" w:name="_ETM_Q157_413000"/>
      <w:bookmarkEnd w:id="79877"/>
      <w:r>
        <w:rPr>
          <w:rFonts w:hint="cs"/>
          <w:rtl/>
        </w:rPr>
        <w:t xml:space="preserve">הביאו אתכם לממשלה. </w:t>
      </w:r>
    </w:p>
    <w:p w:rsidR="00BB59CD" w:rsidRDefault="00BB59CD" w:rsidP="00BB59CD">
      <w:pPr>
        <w:rPr>
          <w:rtl/>
        </w:rPr>
      </w:pPr>
    </w:p>
    <w:p w:rsidR="00BB59CD" w:rsidRDefault="00BB59CD" w:rsidP="00BB59CD">
      <w:pPr>
        <w:pStyle w:val="af8"/>
        <w:keepNext/>
        <w:rPr>
          <w:rtl/>
        </w:rPr>
      </w:pPr>
      <w:bookmarkStart w:id="79878" w:name="ET_interruption_5761_38"/>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79878"/>
    </w:p>
    <w:p w:rsidR="00BB59CD" w:rsidRDefault="00BB59CD" w:rsidP="00337201">
      <w:pPr>
        <w:rPr>
          <w:rtl/>
        </w:rPr>
      </w:pPr>
    </w:p>
    <w:p w:rsidR="00BB59CD" w:rsidRDefault="00BB59CD" w:rsidP="00BB59CD">
      <w:pPr>
        <w:rPr>
          <w:rtl/>
        </w:rPr>
      </w:pPr>
      <w:bookmarkStart w:id="79879" w:name="_ETM_Q157_418000"/>
      <w:bookmarkEnd w:id="79879"/>
      <w:r>
        <w:rPr>
          <w:rFonts w:hint="cs"/>
          <w:rtl/>
        </w:rPr>
        <w:t>- - -</w:t>
      </w:r>
    </w:p>
    <w:p w:rsidR="00BB59CD" w:rsidRDefault="00BB59CD" w:rsidP="00BB59CD">
      <w:pPr>
        <w:rPr>
          <w:rtl/>
        </w:rPr>
      </w:pPr>
    </w:p>
    <w:p w:rsidR="00BB59CD" w:rsidRDefault="00BB59CD" w:rsidP="00BB59CD">
      <w:pPr>
        <w:pStyle w:val="-"/>
        <w:keepNext/>
        <w:rPr>
          <w:rtl/>
        </w:rPr>
      </w:pPr>
      <w:bookmarkStart w:id="79880" w:name="ET_speakercontinue_5795_39"/>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79880"/>
    </w:p>
    <w:p w:rsidR="00BB59CD" w:rsidRDefault="00BB59CD" w:rsidP="00337201">
      <w:pPr>
        <w:rPr>
          <w:rtl/>
        </w:rPr>
      </w:pPr>
    </w:p>
    <w:p w:rsidR="00BB59CD" w:rsidRDefault="00BB59CD" w:rsidP="00BB59CD">
      <w:pPr>
        <w:rPr>
          <w:rtl/>
        </w:rPr>
      </w:pPr>
      <w:bookmarkStart w:id="79881" w:name="_ETM_Q157_415000"/>
      <w:bookmarkEnd w:id="79881"/>
      <w:r>
        <w:rPr>
          <w:rFonts w:hint="cs"/>
          <w:rtl/>
        </w:rPr>
        <w:t xml:space="preserve">הם הביאו אתכם. אפילו את </w:t>
      </w:r>
      <w:bookmarkStart w:id="79882" w:name="_ETM_Q157_424000"/>
      <w:bookmarkEnd w:id="79882"/>
      <w:r>
        <w:rPr>
          <w:rFonts w:hint="cs"/>
          <w:rtl/>
        </w:rPr>
        <w:t xml:space="preserve">השותף שלהם, סמי אבו שחאדה ובל"ד – גירשו אותם. גירשו </w:t>
      </w:r>
      <w:bookmarkStart w:id="79883" w:name="_ETM_Q157_431000"/>
      <w:bookmarkEnd w:id="79883"/>
      <w:r>
        <w:rPr>
          <w:rFonts w:hint="cs"/>
          <w:rtl/>
        </w:rPr>
        <w:t>אותם מהמשותפת כדי שישרוף ארבעה מנדטים. זהו. זאת האמת.</w:t>
      </w:r>
    </w:p>
    <w:p w:rsidR="00BB59CD" w:rsidRDefault="00BB59CD" w:rsidP="00BB59CD">
      <w:pPr>
        <w:rPr>
          <w:rtl/>
        </w:rPr>
      </w:pPr>
    </w:p>
    <w:p w:rsidR="00BB59CD" w:rsidRDefault="00BB59CD" w:rsidP="00BB59CD">
      <w:pPr>
        <w:pStyle w:val="af8"/>
        <w:keepNext/>
        <w:rPr>
          <w:rtl/>
        </w:rPr>
      </w:pPr>
      <w:bookmarkStart w:id="79884" w:name="ET_interruption_6344_40"/>
      <w:r>
        <w:rPr>
          <w:rStyle w:val="TagStyle"/>
          <w:rFonts w:hint="cs"/>
          <w:rtl/>
        </w:rPr>
        <w:t xml:space="preserve"> &lt;&lt; קריאה &gt;&gt; </w:t>
      </w:r>
      <w:r>
        <w:rPr>
          <w:rFonts w:hint="cs"/>
          <w:rtl/>
        </w:rPr>
        <w:t>אברהם בצלאל (ש"ס):</w:t>
      </w:r>
      <w:r>
        <w:rPr>
          <w:rStyle w:val="TagStyle"/>
          <w:rtl/>
        </w:rPr>
        <w:t xml:space="preserve"> &lt;&lt; קריאה &gt;&gt;</w:t>
      </w:r>
      <w:r>
        <w:rPr>
          <w:rFonts w:hint="cs"/>
          <w:rtl/>
        </w:rPr>
        <w:t xml:space="preserve">  </w:t>
      </w:r>
      <w:bookmarkEnd w:id="79884"/>
    </w:p>
    <w:p w:rsidR="00BB59CD" w:rsidRDefault="00BB59CD" w:rsidP="00337201">
      <w:pPr>
        <w:rPr>
          <w:rtl/>
        </w:rPr>
      </w:pPr>
    </w:p>
    <w:p w:rsidR="00BB59CD" w:rsidRDefault="00BB59CD" w:rsidP="00BB59CD">
      <w:pPr>
        <w:rPr>
          <w:rtl/>
        </w:rPr>
      </w:pPr>
      <w:r>
        <w:rPr>
          <w:rFonts w:hint="cs"/>
          <w:rtl/>
        </w:rPr>
        <w:t xml:space="preserve">אתם </w:t>
      </w:r>
      <w:bookmarkStart w:id="79885" w:name="_ETM_Q157_435000"/>
      <w:bookmarkEnd w:id="79885"/>
      <w:r>
        <w:rPr>
          <w:rFonts w:hint="cs"/>
          <w:rtl/>
        </w:rPr>
        <w:t>- - -</w:t>
      </w:r>
    </w:p>
    <w:p w:rsidR="00BB59CD" w:rsidRDefault="00BB59CD" w:rsidP="00BB59CD">
      <w:pPr>
        <w:rPr>
          <w:rtl/>
        </w:rPr>
      </w:pPr>
    </w:p>
    <w:p w:rsidR="00BB59CD" w:rsidRDefault="00BB59CD" w:rsidP="00BB59CD">
      <w:pPr>
        <w:pStyle w:val="-"/>
        <w:keepNext/>
        <w:rPr>
          <w:rtl/>
        </w:rPr>
      </w:pPr>
      <w:bookmarkStart w:id="79886" w:name="ET_speakercontinue_5795_41"/>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79886"/>
    </w:p>
    <w:p w:rsidR="00BB59CD" w:rsidRDefault="00BB59CD" w:rsidP="00337201">
      <w:pPr>
        <w:rPr>
          <w:rtl/>
        </w:rPr>
      </w:pPr>
    </w:p>
    <w:p w:rsidR="00BB59CD" w:rsidRDefault="00BB59CD" w:rsidP="00353315">
      <w:pPr>
        <w:rPr>
          <w:rtl/>
        </w:rPr>
      </w:pPr>
      <w:bookmarkStart w:id="79887" w:name="_ETM_Q157_434000"/>
      <w:bookmarkEnd w:id="79887"/>
      <w:r>
        <w:rPr>
          <w:rFonts w:hint="cs"/>
          <w:rtl/>
        </w:rPr>
        <w:t xml:space="preserve">ולכן אנחנו – כן, אנחנו משלמים, הערבים משלמים את </w:t>
      </w:r>
      <w:bookmarkStart w:id="79888" w:name="_ETM_Q157_442000"/>
      <w:bookmarkEnd w:id="79888"/>
      <w:r>
        <w:rPr>
          <w:rFonts w:hint="cs"/>
          <w:rtl/>
        </w:rPr>
        <w:t xml:space="preserve">המחיר. 129 נרצחים לעומת 54, אחרי שהורדנו את אחוז </w:t>
      </w:r>
      <w:bookmarkStart w:id="79889" w:name="_ETM_Q157_448000"/>
      <w:bookmarkEnd w:id="79889"/>
      <w:r>
        <w:rPr>
          <w:rFonts w:hint="cs"/>
          <w:rtl/>
        </w:rPr>
        <w:t>הפשיעה בחברה הערבית.</w:t>
      </w:r>
    </w:p>
    <w:p w:rsidR="00BB59CD" w:rsidRDefault="00BB59CD" w:rsidP="00BB59CD">
      <w:pPr>
        <w:rPr>
          <w:rtl/>
        </w:rPr>
      </w:pPr>
    </w:p>
    <w:p w:rsidR="00BB59CD" w:rsidRDefault="00BB59CD" w:rsidP="00BB59CD">
      <w:pPr>
        <w:pStyle w:val="af9"/>
        <w:keepNext/>
        <w:rPr>
          <w:rtl/>
        </w:rPr>
      </w:pPr>
      <w:bookmarkStart w:id="79890" w:name="ET_yor_6129_4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79890"/>
    </w:p>
    <w:p w:rsidR="00BB59CD" w:rsidRDefault="00BB59CD" w:rsidP="00337201">
      <w:pPr>
        <w:rPr>
          <w:rtl/>
        </w:rPr>
      </w:pPr>
    </w:p>
    <w:p w:rsidR="00BB59CD" w:rsidRDefault="00BB59CD" w:rsidP="00BB59CD">
      <w:pPr>
        <w:rPr>
          <w:rtl/>
        </w:rPr>
      </w:pPr>
      <w:bookmarkStart w:id="79891" w:name="_ETM_Q157_446000"/>
      <w:bookmarkEnd w:id="79891"/>
      <w:r>
        <w:rPr>
          <w:rFonts w:hint="cs"/>
          <w:rtl/>
        </w:rPr>
        <w:t xml:space="preserve">תודה רבה. </w:t>
      </w:r>
    </w:p>
    <w:p w:rsidR="00BB59CD" w:rsidRDefault="00BB59CD" w:rsidP="00BB59CD">
      <w:pPr>
        <w:rPr>
          <w:rtl/>
        </w:rPr>
      </w:pPr>
    </w:p>
    <w:p w:rsidR="00BB59CD" w:rsidRDefault="00BB59CD" w:rsidP="00BB59CD">
      <w:pPr>
        <w:pStyle w:val="-"/>
        <w:keepNext/>
        <w:rPr>
          <w:rtl/>
        </w:rPr>
      </w:pPr>
      <w:bookmarkStart w:id="79892" w:name="ET_speakercontinue_5795_43"/>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79892"/>
    </w:p>
    <w:p w:rsidR="00BB59CD" w:rsidRDefault="00BB59CD" w:rsidP="00337201">
      <w:pPr>
        <w:rPr>
          <w:rtl/>
        </w:rPr>
      </w:pPr>
    </w:p>
    <w:p w:rsidR="00BB59CD" w:rsidRDefault="00BB59CD" w:rsidP="00BB59CD">
      <w:pPr>
        <w:rPr>
          <w:rtl/>
        </w:rPr>
      </w:pPr>
      <w:bookmarkStart w:id="79893" w:name="_ETM_Q157_453000"/>
      <w:bookmarkEnd w:id="79893"/>
      <w:r>
        <w:rPr>
          <w:rFonts w:hint="cs"/>
          <w:rtl/>
        </w:rPr>
        <w:t xml:space="preserve">ואתם באתם והפקרתם את החברה הערבית, </w:t>
      </w:r>
      <w:bookmarkStart w:id="79894" w:name="_ETM_Q157_452000"/>
      <w:bookmarkEnd w:id="79894"/>
      <w:r>
        <w:rPr>
          <w:rFonts w:hint="cs"/>
          <w:rtl/>
        </w:rPr>
        <w:t>הפקרתם את האזרחים הערבים. תתביישו לכם.</w:t>
      </w:r>
    </w:p>
    <w:p w:rsidR="00BB59CD" w:rsidRDefault="00BB59CD" w:rsidP="00BB59CD">
      <w:pPr>
        <w:rPr>
          <w:rtl/>
        </w:rPr>
      </w:pPr>
      <w:bookmarkStart w:id="79895" w:name="_ETM_Q157_456000"/>
      <w:bookmarkEnd w:id="79895"/>
    </w:p>
    <w:p w:rsidR="00BB59CD" w:rsidRDefault="00BB59CD" w:rsidP="00BB59CD">
      <w:pPr>
        <w:pStyle w:val="af9"/>
        <w:keepNext/>
        <w:rPr>
          <w:rtl/>
        </w:rPr>
      </w:pPr>
      <w:bookmarkStart w:id="79896" w:name="ET_yor_6129_4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79896"/>
    </w:p>
    <w:p w:rsidR="00BB59CD" w:rsidRDefault="00BB59CD" w:rsidP="00337201">
      <w:pPr>
        <w:rPr>
          <w:rtl/>
        </w:rPr>
      </w:pPr>
    </w:p>
    <w:p w:rsidR="00BB59CD" w:rsidRDefault="00BB59CD" w:rsidP="00BB59CD">
      <w:pPr>
        <w:rPr>
          <w:rtl/>
        </w:rPr>
      </w:pPr>
      <w:bookmarkStart w:id="79897" w:name="_ETM_Q157_457000"/>
      <w:bookmarkEnd w:id="79897"/>
      <w:r>
        <w:rPr>
          <w:rFonts w:hint="cs"/>
          <w:rtl/>
        </w:rPr>
        <w:t xml:space="preserve">שוכרן. תודה רבה. </w:t>
      </w:r>
    </w:p>
    <w:p w:rsidR="00BB59CD" w:rsidRDefault="00BB59CD" w:rsidP="00BB59CD">
      <w:pPr>
        <w:rPr>
          <w:rtl/>
        </w:rPr>
      </w:pPr>
      <w:bookmarkStart w:id="79898" w:name="_ETM_Q157_461000"/>
      <w:bookmarkEnd w:id="79898"/>
    </w:p>
    <w:p w:rsidR="00BB59CD" w:rsidRDefault="00BB59CD" w:rsidP="00BB59CD">
      <w:pPr>
        <w:pStyle w:val="-"/>
        <w:keepNext/>
        <w:rPr>
          <w:rtl/>
        </w:rPr>
      </w:pPr>
      <w:bookmarkStart w:id="79899" w:name="ET_speakercontinue_5795_45"/>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79899"/>
    </w:p>
    <w:p w:rsidR="00BB59CD" w:rsidRDefault="00BB59CD" w:rsidP="00337201">
      <w:pPr>
        <w:rPr>
          <w:rtl/>
        </w:rPr>
      </w:pPr>
    </w:p>
    <w:p w:rsidR="00BB59CD" w:rsidRDefault="00BB59CD" w:rsidP="00353315">
      <w:pPr>
        <w:rPr>
          <w:rtl/>
        </w:rPr>
      </w:pPr>
      <w:r>
        <w:rPr>
          <w:rFonts w:hint="cs"/>
          <w:rtl/>
        </w:rPr>
        <w:t>באתם על הגל של משילות וריבונות. היום מי שמושל בחברה</w:t>
      </w:r>
      <w:bookmarkStart w:id="79900" w:name="_ETM_Q157_463000"/>
      <w:bookmarkEnd w:id="79900"/>
      <w:r>
        <w:rPr>
          <w:rFonts w:hint="cs"/>
          <w:rtl/>
        </w:rPr>
        <w:t xml:space="preserve"> הערבית הם ארגוני הפשע. </w:t>
      </w:r>
    </w:p>
    <w:p w:rsidR="00BB59CD" w:rsidRDefault="00BB59CD" w:rsidP="00BB59CD">
      <w:pPr>
        <w:rPr>
          <w:rtl/>
        </w:rPr>
      </w:pPr>
      <w:bookmarkStart w:id="79901" w:name="_ETM_Q157_469000"/>
      <w:bookmarkEnd w:id="79901"/>
    </w:p>
    <w:p w:rsidR="00BB59CD" w:rsidRDefault="00BB59CD" w:rsidP="00BB59CD">
      <w:pPr>
        <w:pStyle w:val="af9"/>
        <w:keepNext/>
        <w:rPr>
          <w:rtl/>
        </w:rPr>
      </w:pPr>
      <w:bookmarkStart w:id="79902" w:name="ET_yor_6129_48"/>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79902"/>
    </w:p>
    <w:p w:rsidR="00BB59CD" w:rsidRDefault="00BB59CD" w:rsidP="00337201">
      <w:pPr>
        <w:rPr>
          <w:rtl/>
        </w:rPr>
      </w:pPr>
    </w:p>
    <w:p w:rsidR="00BB59CD" w:rsidRDefault="00BB59CD" w:rsidP="00BB59CD">
      <w:pPr>
        <w:rPr>
          <w:rtl/>
        </w:rPr>
      </w:pPr>
      <w:bookmarkStart w:id="79903" w:name="_ETM_Q157_465000"/>
      <w:bookmarkEnd w:id="79903"/>
      <w:r>
        <w:rPr>
          <w:rFonts w:hint="cs"/>
          <w:rtl/>
        </w:rPr>
        <w:t>תודה רבה, חבר הכנסת מנסור עבאס.</w:t>
      </w:r>
    </w:p>
    <w:p w:rsidR="00BB59CD" w:rsidRDefault="00BB59CD" w:rsidP="00BB59CD">
      <w:pPr>
        <w:rPr>
          <w:rtl/>
        </w:rPr>
      </w:pPr>
      <w:bookmarkStart w:id="79904" w:name="_ETM_Q157_467000"/>
      <w:bookmarkEnd w:id="79904"/>
    </w:p>
    <w:p w:rsidR="00BB59CD" w:rsidRDefault="00BB59CD" w:rsidP="00BB59CD">
      <w:pPr>
        <w:pStyle w:val="-"/>
        <w:keepNext/>
        <w:rPr>
          <w:rtl/>
        </w:rPr>
      </w:pPr>
      <w:bookmarkStart w:id="79905" w:name="ET_speakercontinue_5795_49"/>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Pr>
          <w:rFonts w:hint="cs"/>
          <w:rtl/>
        </w:rPr>
        <w:t xml:space="preserve">  </w:t>
      </w:r>
      <w:bookmarkEnd w:id="79905"/>
    </w:p>
    <w:p w:rsidR="00BB59CD" w:rsidRDefault="00BB59CD" w:rsidP="00337201">
      <w:pPr>
        <w:rPr>
          <w:rtl/>
        </w:rPr>
      </w:pPr>
    </w:p>
    <w:p w:rsidR="00BB59CD" w:rsidRDefault="00BB59CD" w:rsidP="00BB59CD">
      <w:pPr>
        <w:rPr>
          <w:rtl/>
        </w:rPr>
      </w:pPr>
      <w:bookmarkStart w:id="79906" w:name="_ETM_Q157_468000"/>
      <w:bookmarkEnd w:id="79906"/>
      <w:r>
        <w:rPr>
          <w:rFonts w:hint="cs"/>
          <w:rtl/>
        </w:rPr>
        <w:t xml:space="preserve">יושבים ברחובות, במועצות המקומיות, שולטים בהם. ואתם עדיין מדברים על </w:t>
      </w:r>
      <w:bookmarkStart w:id="79907" w:name="_ETM_Q157_473000"/>
      <w:bookmarkEnd w:id="79907"/>
      <w:r>
        <w:rPr>
          <w:rFonts w:hint="cs"/>
          <w:rtl/>
        </w:rPr>
        <w:t xml:space="preserve">חוק וסדר ומשילות. תתביישו לכם. </w:t>
      </w:r>
    </w:p>
    <w:p w:rsidR="00BB59CD" w:rsidRDefault="00BB59CD" w:rsidP="00BB59CD">
      <w:pPr>
        <w:rPr>
          <w:rtl/>
        </w:rPr>
      </w:pPr>
      <w:bookmarkStart w:id="79908" w:name="_ETM_Q157_479000"/>
      <w:bookmarkEnd w:id="79908"/>
    </w:p>
    <w:p w:rsidR="00BB59CD" w:rsidRDefault="00BB59CD" w:rsidP="00BB59CD">
      <w:pPr>
        <w:pStyle w:val="af9"/>
        <w:keepNext/>
        <w:rPr>
          <w:rtl/>
        </w:rPr>
      </w:pPr>
      <w:bookmarkStart w:id="79909" w:name="ET_yor_6129_5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79909"/>
    </w:p>
    <w:p w:rsidR="00BB59CD" w:rsidRDefault="00BB59CD" w:rsidP="00337201">
      <w:pPr>
        <w:rPr>
          <w:rtl/>
        </w:rPr>
      </w:pPr>
    </w:p>
    <w:p w:rsidR="00BB59CD" w:rsidRDefault="00BB59CD" w:rsidP="00BB59CD">
      <w:pPr>
        <w:rPr>
          <w:rtl/>
        </w:rPr>
      </w:pPr>
      <w:bookmarkStart w:id="79910" w:name="_ETM_Q157_480000"/>
      <w:bookmarkEnd w:id="79910"/>
      <w:r>
        <w:rPr>
          <w:rFonts w:hint="cs"/>
          <w:rtl/>
        </w:rPr>
        <w:t>שוכרן. תודה רבה, חבר הכנסת מנסור עבאס.</w:t>
      </w:r>
      <w:bookmarkStart w:id="79911" w:name="_ETM_Q157_484000"/>
      <w:bookmarkStart w:id="79912" w:name="_ETM_Q157_481000"/>
      <w:bookmarkStart w:id="79913" w:name="_ETM_Q157_485240"/>
      <w:bookmarkEnd w:id="79911"/>
      <w:bookmarkEnd w:id="79912"/>
      <w:bookmarkEnd w:id="79913"/>
      <w:r>
        <w:rPr>
          <w:rFonts w:hint="cs"/>
          <w:rtl/>
        </w:rPr>
        <w:t xml:space="preserve"> חבר </w:t>
      </w:r>
      <w:bookmarkStart w:id="79914" w:name="_ETM_Q157_485569"/>
      <w:bookmarkEnd w:id="79914"/>
      <w:r>
        <w:rPr>
          <w:rFonts w:hint="cs"/>
          <w:rtl/>
        </w:rPr>
        <w:t xml:space="preserve">הכנסת </w:t>
      </w:r>
      <w:bookmarkStart w:id="79915" w:name="_ETM_Q157_486080"/>
      <w:bookmarkEnd w:id="79915"/>
      <w:r>
        <w:rPr>
          <w:rFonts w:hint="cs"/>
          <w:rtl/>
        </w:rPr>
        <w:t xml:space="preserve">אביגדור </w:t>
      </w:r>
      <w:bookmarkStart w:id="79916" w:name="_ETM_Q157_486529"/>
      <w:bookmarkEnd w:id="79916"/>
      <w:r>
        <w:rPr>
          <w:rFonts w:hint="cs"/>
          <w:rtl/>
        </w:rPr>
        <w:t xml:space="preserve">ליברמן. </w:t>
      </w:r>
      <w:bookmarkStart w:id="79917" w:name="_ETM_Q157_492950"/>
      <w:bookmarkEnd w:id="79917"/>
    </w:p>
    <w:p w:rsidR="00BB59CD" w:rsidRDefault="00BB59CD" w:rsidP="00BB59CD">
      <w:pPr>
        <w:rPr>
          <w:rtl/>
        </w:rPr>
      </w:pPr>
    </w:p>
    <w:p w:rsidR="00057007" w:rsidRDefault="00F1328D" w:rsidP="00F1328D">
      <w:pPr>
        <w:pStyle w:val="af8"/>
        <w:rPr>
          <w:rtl/>
        </w:rPr>
      </w:pPr>
      <w:bookmarkStart w:id="79918" w:name="_ETM_Q157_500000"/>
      <w:bookmarkStart w:id="79919" w:name="ET_interruption_ואליד_אלהוואשלה_רע_1405"/>
      <w:bookmarkEnd w:id="79918"/>
      <w:r w:rsidRPr="00F1328D">
        <w:rPr>
          <w:rStyle w:val="TagStyle"/>
          <w:rtl/>
        </w:rPr>
        <w:t xml:space="preserve"> &lt;&lt; קריאה &gt;&gt;</w:t>
      </w:r>
      <w:r w:rsidR="00057007">
        <w:rPr>
          <w:rFonts w:hint="cs"/>
          <w:rtl/>
        </w:rPr>
        <w:t>ואליד אלהואשלה (רע"מ – הרשימה הערבית המאוחדת):</w:t>
      </w:r>
      <w:r w:rsidR="00057007">
        <w:rPr>
          <w:rStyle w:val="TagStyle"/>
          <w:rtl/>
        </w:rPr>
        <w:t xml:space="preserve"> </w:t>
      </w:r>
      <w:r w:rsidRPr="00F1328D">
        <w:rPr>
          <w:rStyle w:val="TagStyle"/>
          <w:rtl/>
        </w:rPr>
        <w:t xml:space="preserve">&lt;&lt; קריאה &gt;&gt; </w:t>
      </w:r>
      <w:r w:rsidR="00057007">
        <w:rPr>
          <w:rFonts w:hint="cs"/>
          <w:rtl/>
        </w:rPr>
        <w:t xml:space="preserve">  </w:t>
      </w:r>
    </w:p>
    <w:bookmarkEnd w:id="79919"/>
    <w:p w:rsidR="00057007" w:rsidRDefault="00057007" w:rsidP="00057007">
      <w:pPr>
        <w:rPr>
          <w:rtl/>
        </w:rPr>
      </w:pPr>
    </w:p>
    <w:p w:rsidR="00057007" w:rsidRDefault="00057007" w:rsidP="00057007">
      <w:pPr>
        <w:rPr>
          <w:rtl/>
        </w:rPr>
      </w:pPr>
      <w:r>
        <w:rPr>
          <w:rFonts w:hint="cs"/>
          <w:rtl/>
        </w:rPr>
        <w:t>(</w:t>
      </w:r>
      <w:r w:rsidR="00126792">
        <w:rPr>
          <w:rFonts w:hint="cs"/>
          <w:rtl/>
        </w:rPr>
        <w:t xml:space="preserve">אומר בערבית: </w:t>
      </w:r>
      <w:r>
        <w:rPr>
          <w:rFonts w:hint="cs"/>
          <w:rtl/>
        </w:rPr>
        <w:t>תגידי לו שיהיה בריא.)</w:t>
      </w:r>
    </w:p>
    <w:p w:rsidR="00057007" w:rsidRDefault="00057007" w:rsidP="00057007">
      <w:pPr>
        <w:rPr>
          <w:highlight w:val="yellow"/>
          <w:rtl/>
        </w:rPr>
      </w:pPr>
    </w:p>
    <w:p w:rsidR="00057007" w:rsidRDefault="00057007" w:rsidP="00057007">
      <w:pPr>
        <w:pStyle w:val="af8"/>
        <w:keepNext/>
        <w:rPr>
          <w:rtl/>
        </w:rPr>
      </w:pPr>
      <w:r>
        <w:rPr>
          <w:rStyle w:val="TagStyle"/>
          <w:rFonts w:hint="cs"/>
          <w:rtl/>
        </w:rPr>
        <w:t xml:space="preserve">&lt;&lt; קריאה &gt;&gt; </w:t>
      </w:r>
      <w:r>
        <w:rPr>
          <w:rFonts w:hint="cs"/>
          <w:rtl/>
        </w:rPr>
        <w:t>עאידה תומא סלימאן (חד"ש-תע"ל):</w:t>
      </w:r>
      <w:r>
        <w:rPr>
          <w:rStyle w:val="TagStyle"/>
          <w:rtl/>
        </w:rPr>
        <w:t xml:space="preserve"> &lt;&lt; קריאה &gt;&gt;</w:t>
      </w:r>
      <w:r>
        <w:rPr>
          <w:rFonts w:hint="cs"/>
          <w:rtl/>
        </w:rPr>
        <w:t xml:space="preserve">  </w:t>
      </w:r>
    </w:p>
    <w:p w:rsidR="00057007" w:rsidRDefault="00057007" w:rsidP="00057007">
      <w:pPr>
        <w:rPr>
          <w:highlight w:val="yellow"/>
          <w:rtl/>
        </w:rPr>
      </w:pPr>
    </w:p>
    <w:p w:rsidR="00057007" w:rsidRDefault="00057007" w:rsidP="00057007">
      <w:pPr>
        <w:rPr>
          <w:rtl/>
        </w:rPr>
      </w:pPr>
      <w:r>
        <w:rPr>
          <w:rFonts w:hint="cs"/>
          <w:rtl/>
        </w:rPr>
        <w:t>(</w:t>
      </w:r>
      <w:r w:rsidR="00126792">
        <w:rPr>
          <w:rFonts w:hint="cs"/>
          <w:rtl/>
        </w:rPr>
        <w:t xml:space="preserve">אומרת בערבית: </w:t>
      </w:r>
      <w:r>
        <w:rPr>
          <w:rFonts w:hint="cs"/>
          <w:rtl/>
        </w:rPr>
        <w:t xml:space="preserve">אני לא חושבת שיש משהו מצחיק.) </w:t>
      </w:r>
    </w:p>
    <w:p w:rsidR="00057007" w:rsidRDefault="00057007" w:rsidP="00057007">
      <w:pPr>
        <w:rPr>
          <w:highlight w:val="yellow"/>
          <w:rtl/>
        </w:rPr>
      </w:pPr>
    </w:p>
    <w:p w:rsidR="001A2003" w:rsidRDefault="001A2003" w:rsidP="001A2003">
      <w:pPr>
        <w:pStyle w:val="af8"/>
        <w:rPr>
          <w:rtl/>
        </w:rPr>
      </w:pPr>
      <w:r w:rsidRPr="001A2003">
        <w:rPr>
          <w:rStyle w:val="TagStyle"/>
          <w:rtl/>
        </w:rPr>
        <w:t>&lt;&lt; קריאה &gt;&gt;</w:t>
      </w:r>
      <w:r>
        <w:rPr>
          <w:rStyle w:val="TagStyle"/>
          <w:rFonts w:hint="cs"/>
          <w:rtl/>
        </w:rPr>
        <w:t xml:space="preserve"> </w:t>
      </w:r>
      <w:r>
        <w:rPr>
          <w:rFonts w:hint="cs"/>
          <w:rtl/>
        </w:rPr>
        <w:t>ואליד אלהואשלה (רע"מ – הרשימה הערבית המאוחדת):</w:t>
      </w:r>
      <w:r>
        <w:rPr>
          <w:rStyle w:val="TagStyle"/>
          <w:rtl/>
        </w:rPr>
        <w:t xml:space="preserve"> </w:t>
      </w:r>
      <w:r w:rsidRPr="001A2003">
        <w:rPr>
          <w:rStyle w:val="TagStyle"/>
          <w:rtl/>
        </w:rPr>
        <w:t xml:space="preserve">&lt;&lt; קריאה &gt;&gt; </w:t>
      </w:r>
      <w:r>
        <w:rPr>
          <w:rFonts w:hint="cs"/>
          <w:rtl/>
        </w:rPr>
        <w:t xml:space="preserve">  </w:t>
      </w:r>
    </w:p>
    <w:p w:rsidR="001A2003" w:rsidRDefault="001A2003" w:rsidP="00057007">
      <w:pPr>
        <w:rPr>
          <w:highlight w:val="yellow"/>
          <w:rtl/>
        </w:rPr>
      </w:pPr>
    </w:p>
    <w:p w:rsidR="00057007" w:rsidRDefault="00057007" w:rsidP="00057007">
      <w:pPr>
        <w:rPr>
          <w:rtl/>
        </w:rPr>
      </w:pPr>
      <w:r>
        <w:rPr>
          <w:rFonts w:hint="cs"/>
          <w:rtl/>
        </w:rPr>
        <w:t>(</w:t>
      </w:r>
      <w:r w:rsidR="00126792">
        <w:rPr>
          <w:rFonts w:hint="cs"/>
          <w:rtl/>
        </w:rPr>
        <w:t xml:space="preserve">אומר בערבית: </w:t>
      </w:r>
      <w:r>
        <w:rPr>
          <w:rFonts w:hint="cs"/>
          <w:rtl/>
        </w:rPr>
        <w:t>נשבע באלוהים שאתם - - -)</w:t>
      </w:r>
    </w:p>
    <w:p w:rsidR="00057007" w:rsidRDefault="00057007" w:rsidP="00057007">
      <w:pPr>
        <w:pStyle w:val="af8"/>
        <w:keepNext/>
        <w:rPr>
          <w:rStyle w:val="TagStyle"/>
          <w:rtl/>
        </w:rPr>
      </w:pPr>
    </w:p>
    <w:p w:rsidR="00057007" w:rsidRDefault="00057007" w:rsidP="00057007">
      <w:pPr>
        <w:pStyle w:val="af8"/>
        <w:keepNext/>
        <w:rPr>
          <w:rtl/>
        </w:rPr>
      </w:pPr>
      <w:r>
        <w:rPr>
          <w:rStyle w:val="TagStyle"/>
          <w:rFonts w:hint="cs"/>
          <w:rtl/>
        </w:rPr>
        <w:t xml:space="preserve">&lt;&lt; קריאה &gt;&gt; </w:t>
      </w:r>
      <w:r>
        <w:rPr>
          <w:rFonts w:hint="cs"/>
          <w:rtl/>
        </w:rPr>
        <w:t>עאידה תומא סלימאן (חד"ש-תע"ל):</w:t>
      </w:r>
      <w:r>
        <w:rPr>
          <w:rStyle w:val="TagStyle"/>
          <w:rtl/>
        </w:rPr>
        <w:t xml:space="preserve"> &lt;&lt; קריאה &gt;&gt;</w:t>
      </w:r>
      <w:r>
        <w:rPr>
          <w:rFonts w:hint="cs"/>
          <w:rtl/>
        </w:rPr>
        <w:t xml:space="preserve">  </w:t>
      </w:r>
    </w:p>
    <w:p w:rsidR="00057007" w:rsidRDefault="00057007" w:rsidP="00057007">
      <w:pPr>
        <w:rPr>
          <w:highlight w:val="yellow"/>
          <w:rtl/>
        </w:rPr>
      </w:pPr>
    </w:p>
    <w:p w:rsidR="00057007" w:rsidRDefault="00057007" w:rsidP="00126792">
      <w:pPr>
        <w:rPr>
          <w:rtl/>
        </w:rPr>
      </w:pPr>
      <w:r>
        <w:rPr>
          <w:rFonts w:hint="cs"/>
          <w:rtl/>
        </w:rPr>
        <w:t>(כשאנחנו מגיעים למצב הזה</w:t>
      </w:r>
      <w:r w:rsidR="00353315">
        <w:rPr>
          <w:rFonts w:hint="cs"/>
          <w:rtl/>
        </w:rPr>
        <w:t>,</w:t>
      </w:r>
      <w:r>
        <w:rPr>
          <w:rFonts w:hint="cs"/>
          <w:rtl/>
        </w:rPr>
        <w:t xml:space="preserve"> אין שום דבר שמצחיק</w:t>
      </w:r>
      <w:r w:rsidR="00126792">
        <w:rPr>
          <w:rFonts w:hint="cs"/>
          <w:rtl/>
        </w:rPr>
        <w:t>,</w:t>
      </w:r>
      <w:r>
        <w:rPr>
          <w:rFonts w:hint="cs"/>
          <w:rtl/>
        </w:rPr>
        <w:t xml:space="preserve"> כשחברים מהמפלגה שלו הם שהפילו את הממשלה.) </w:t>
      </w:r>
    </w:p>
    <w:p w:rsidR="00057007" w:rsidRDefault="00057007" w:rsidP="00057007">
      <w:pPr>
        <w:rPr>
          <w:rtl/>
        </w:rPr>
      </w:pPr>
    </w:p>
    <w:p w:rsidR="00057007" w:rsidRDefault="001A2003" w:rsidP="001A2003">
      <w:pPr>
        <w:pStyle w:val="af8"/>
        <w:rPr>
          <w:rtl/>
        </w:rPr>
      </w:pPr>
      <w:r w:rsidRPr="001A2003">
        <w:rPr>
          <w:rStyle w:val="TagStyle"/>
          <w:rtl/>
        </w:rPr>
        <w:t xml:space="preserve"> &lt;&lt; קריאה &gt;&gt;</w:t>
      </w:r>
      <w:r w:rsidR="00057007">
        <w:rPr>
          <w:rStyle w:val="TagStyle"/>
          <w:rFonts w:hint="cs"/>
          <w:rtl/>
        </w:rPr>
        <w:t xml:space="preserve"> </w:t>
      </w:r>
      <w:r w:rsidR="00057007">
        <w:rPr>
          <w:rFonts w:hint="cs"/>
          <w:rtl/>
        </w:rPr>
        <w:t>מנסור עבאס (רע"מ – הרשימה הערבית המאוחדת):</w:t>
      </w:r>
      <w:r w:rsidR="00057007">
        <w:rPr>
          <w:rStyle w:val="TagStyle"/>
          <w:rtl/>
        </w:rPr>
        <w:t xml:space="preserve"> </w:t>
      </w:r>
      <w:r w:rsidRPr="001A2003">
        <w:rPr>
          <w:rStyle w:val="TagStyle"/>
          <w:rtl/>
        </w:rPr>
        <w:t xml:space="preserve">&lt;&lt; קריאה &gt;&gt; </w:t>
      </w:r>
      <w:r w:rsidR="00057007">
        <w:rPr>
          <w:rFonts w:hint="cs"/>
          <w:rtl/>
        </w:rPr>
        <w:t xml:space="preserve">  </w:t>
      </w:r>
    </w:p>
    <w:p w:rsidR="00057007" w:rsidRDefault="00057007" w:rsidP="00057007">
      <w:pPr>
        <w:rPr>
          <w:rtl/>
        </w:rPr>
      </w:pPr>
    </w:p>
    <w:p w:rsidR="00057007" w:rsidRDefault="00057007" w:rsidP="00057007">
      <w:pPr>
        <w:rPr>
          <w:rtl/>
        </w:rPr>
      </w:pPr>
      <w:r>
        <w:rPr>
          <w:rFonts w:hint="cs"/>
          <w:rtl/>
        </w:rPr>
        <w:t xml:space="preserve">(את הפלת את הממשלה.) </w:t>
      </w:r>
    </w:p>
    <w:p w:rsidR="00057007" w:rsidRDefault="00057007" w:rsidP="00057007">
      <w:pPr>
        <w:rPr>
          <w:rtl/>
        </w:rPr>
      </w:pPr>
    </w:p>
    <w:p w:rsidR="00057007" w:rsidRDefault="00057007" w:rsidP="00057007">
      <w:pPr>
        <w:pStyle w:val="af8"/>
        <w:keepNext/>
        <w:rPr>
          <w:rtl/>
        </w:rPr>
      </w:pPr>
      <w:r>
        <w:rPr>
          <w:rStyle w:val="TagStyle"/>
          <w:rFonts w:hint="cs"/>
          <w:rtl/>
        </w:rPr>
        <w:t xml:space="preserve">&lt;&lt; קריאה &gt;&gt; </w:t>
      </w:r>
      <w:r>
        <w:rPr>
          <w:rFonts w:hint="cs"/>
          <w:rtl/>
        </w:rPr>
        <w:t>עאידה תומא סלימאן (חד"ש-תע"ל):</w:t>
      </w:r>
      <w:r>
        <w:rPr>
          <w:rStyle w:val="TagStyle"/>
          <w:rtl/>
        </w:rPr>
        <w:t xml:space="preserve"> &lt;&lt; קריאה &gt;&gt;</w:t>
      </w:r>
      <w:r>
        <w:rPr>
          <w:rFonts w:hint="cs"/>
          <w:rtl/>
        </w:rPr>
        <w:t xml:space="preserve">  </w:t>
      </w:r>
    </w:p>
    <w:p w:rsidR="00057007" w:rsidRDefault="00057007" w:rsidP="00057007">
      <w:pPr>
        <w:rPr>
          <w:rtl/>
        </w:rPr>
      </w:pPr>
    </w:p>
    <w:p w:rsidR="00057007" w:rsidRDefault="00057007" w:rsidP="00057007">
      <w:pPr>
        <w:rPr>
          <w:rtl/>
        </w:rPr>
      </w:pPr>
      <w:r>
        <w:rPr>
          <w:rFonts w:hint="cs"/>
          <w:rtl/>
        </w:rPr>
        <w:t xml:space="preserve">(מספיק. די, מספיק.) </w:t>
      </w:r>
    </w:p>
    <w:p w:rsidR="00057007" w:rsidRDefault="00057007" w:rsidP="00057007">
      <w:pPr>
        <w:rPr>
          <w:highlight w:val="yellow"/>
          <w:rtl/>
        </w:rPr>
      </w:pPr>
    </w:p>
    <w:p w:rsidR="00057007" w:rsidRDefault="001A2003" w:rsidP="001A2003">
      <w:pPr>
        <w:pStyle w:val="af8"/>
        <w:rPr>
          <w:rtl/>
        </w:rPr>
      </w:pPr>
      <w:r w:rsidRPr="001A2003">
        <w:rPr>
          <w:rStyle w:val="TagStyle"/>
          <w:rtl/>
        </w:rPr>
        <w:t xml:space="preserve"> &lt;&lt; קריאה &gt;&gt;</w:t>
      </w:r>
      <w:r w:rsidR="00057007">
        <w:rPr>
          <w:rStyle w:val="TagStyle"/>
          <w:rFonts w:hint="cs"/>
          <w:rtl/>
        </w:rPr>
        <w:t xml:space="preserve"> </w:t>
      </w:r>
      <w:r w:rsidR="00057007">
        <w:rPr>
          <w:rFonts w:hint="cs"/>
          <w:rtl/>
        </w:rPr>
        <w:t>מנסור עבאס (רע"מ – הרשימה הערבית המאוחדת):</w:t>
      </w:r>
      <w:r w:rsidR="00057007">
        <w:rPr>
          <w:rStyle w:val="TagStyle"/>
          <w:rtl/>
        </w:rPr>
        <w:t xml:space="preserve"> </w:t>
      </w:r>
      <w:r w:rsidRPr="001A2003">
        <w:rPr>
          <w:rStyle w:val="TagStyle"/>
          <w:rtl/>
        </w:rPr>
        <w:t xml:space="preserve">&lt;&lt; קריאה &gt;&gt; </w:t>
      </w:r>
      <w:r w:rsidR="00057007">
        <w:rPr>
          <w:rFonts w:hint="cs"/>
          <w:rtl/>
        </w:rPr>
        <w:t xml:space="preserve">  </w:t>
      </w:r>
    </w:p>
    <w:p w:rsidR="00057007" w:rsidRDefault="00057007" w:rsidP="00057007">
      <w:pPr>
        <w:rPr>
          <w:rtl/>
        </w:rPr>
      </w:pPr>
    </w:p>
    <w:p w:rsidR="00057007" w:rsidRDefault="00057007" w:rsidP="00057007">
      <w:pPr>
        <w:rPr>
          <w:rtl/>
        </w:rPr>
      </w:pPr>
      <w:r>
        <w:rPr>
          <w:rFonts w:hint="cs"/>
          <w:rtl/>
        </w:rPr>
        <w:t xml:space="preserve">(מספיק כבר.) </w:t>
      </w:r>
    </w:p>
    <w:p w:rsidR="00057007" w:rsidRDefault="00057007" w:rsidP="00057007">
      <w:pPr>
        <w:rPr>
          <w:rtl/>
        </w:rPr>
      </w:pPr>
    </w:p>
    <w:p w:rsidR="00057007" w:rsidRDefault="00057007" w:rsidP="00057007">
      <w:pPr>
        <w:pStyle w:val="af9"/>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057007" w:rsidRDefault="00057007" w:rsidP="00057007">
      <w:pPr>
        <w:rPr>
          <w:rtl/>
        </w:rPr>
      </w:pPr>
    </w:p>
    <w:p w:rsidR="00057007" w:rsidRDefault="00057007" w:rsidP="00057007">
      <w:pPr>
        <w:rPr>
          <w:rtl/>
        </w:rPr>
      </w:pPr>
      <w:r>
        <w:rPr>
          <w:rFonts w:hint="cs"/>
          <w:rtl/>
        </w:rPr>
        <w:t xml:space="preserve">(מספיק, יא סידי. חבר הכנסת, מספיק.) </w:t>
      </w:r>
    </w:p>
    <w:p w:rsidR="00057007" w:rsidRDefault="00057007" w:rsidP="00057007">
      <w:pPr>
        <w:rPr>
          <w:rtl/>
        </w:rPr>
      </w:pPr>
    </w:p>
    <w:p w:rsidR="00BB59CD" w:rsidRDefault="001A2003" w:rsidP="001A2003">
      <w:pPr>
        <w:pStyle w:val="a5"/>
        <w:rPr>
          <w:rtl/>
        </w:rPr>
      </w:pPr>
      <w:bookmarkStart w:id="79920" w:name="ET_speakercontinue_4739_54"/>
      <w:r w:rsidRPr="001A2003">
        <w:rPr>
          <w:rStyle w:val="TagStyle"/>
          <w:rtl/>
        </w:rPr>
        <w:t xml:space="preserve"> &lt;&lt; דובר &gt;&gt;</w:t>
      </w:r>
      <w:r w:rsidR="00BB59CD">
        <w:rPr>
          <w:rStyle w:val="TagStyle"/>
          <w:rFonts w:hint="cs"/>
          <w:rtl/>
        </w:rPr>
        <w:t xml:space="preserve"> </w:t>
      </w:r>
      <w:r w:rsidR="00BB59CD">
        <w:rPr>
          <w:rFonts w:hint="cs"/>
          <w:rtl/>
        </w:rPr>
        <w:t>אביגדור ליברמן (ישראל ביתנו):</w:t>
      </w:r>
      <w:r w:rsidR="00BB59CD">
        <w:rPr>
          <w:rStyle w:val="TagStyle"/>
          <w:rtl/>
        </w:rPr>
        <w:t xml:space="preserve"> </w:t>
      </w:r>
      <w:r w:rsidRPr="001A2003">
        <w:rPr>
          <w:rStyle w:val="TagStyle"/>
          <w:rtl/>
        </w:rPr>
        <w:t xml:space="preserve">&lt;&lt; דובר &gt;&gt; </w:t>
      </w:r>
      <w:r w:rsidR="00BB59CD">
        <w:rPr>
          <w:rFonts w:hint="cs"/>
          <w:rtl/>
        </w:rPr>
        <w:t xml:space="preserve">  </w:t>
      </w:r>
      <w:bookmarkEnd w:id="79920"/>
    </w:p>
    <w:p w:rsidR="00BB59CD" w:rsidRDefault="00BB59CD" w:rsidP="00337201">
      <w:pPr>
        <w:rPr>
          <w:rtl/>
        </w:rPr>
      </w:pPr>
    </w:p>
    <w:p w:rsidR="00BB59CD" w:rsidRDefault="00BB59CD" w:rsidP="00353315">
      <w:pPr>
        <w:rPr>
          <w:rtl/>
        </w:rPr>
      </w:pPr>
      <w:bookmarkStart w:id="79921" w:name="_ETM_Q157_516000"/>
      <w:bookmarkStart w:id="79922" w:name="_ETM_Q157_501000"/>
      <w:bookmarkStart w:id="79923" w:name="_ETM_Q157_495879"/>
      <w:bookmarkStart w:id="79924" w:name="_ETM_Q157_496570"/>
      <w:bookmarkStart w:id="79925" w:name="_ETM_Q157_503630"/>
      <w:bookmarkStart w:id="79926" w:name="_ETM_Q157_506419"/>
      <w:bookmarkStart w:id="79927" w:name="_ETM_Q157_510529"/>
      <w:bookmarkStart w:id="79928" w:name="_ETM_Q157_513059"/>
      <w:bookmarkStart w:id="79929" w:name="_ETM_Q157_515080"/>
      <w:bookmarkStart w:id="79930" w:name="_ETM_Q157_520630"/>
      <w:bookmarkStart w:id="79931" w:name="_ETM_Q157_522070"/>
      <w:bookmarkStart w:id="79932" w:name="_ETM_Q157_522399"/>
      <w:bookmarkStart w:id="79933" w:name="_ETM_Q157_522489"/>
      <w:bookmarkStart w:id="79934" w:name="_ETM_Q157_524379"/>
      <w:bookmarkStart w:id="79935" w:name="_ETM_Q157_524680"/>
      <w:bookmarkStart w:id="79936" w:name="_ETM_Q157_525070"/>
      <w:bookmarkStart w:id="79937" w:name="_ETM_Q157_525550"/>
      <w:bookmarkStart w:id="79938" w:name="_ETM_Q157_526120"/>
      <w:bookmarkStart w:id="79939" w:name="_ETM_Q157_526329"/>
      <w:bookmarkStart w:id="79940" w:name="_ETM_Q157_526870"/>
      <w:bookmarkStart w:id="79941" w:name="_ETM_Q157_527260"/>
      <w:bookmarkStart w:id="79942" w:name="_ETM_Q157_527469"/>
      <w:bookmarkStart w:id="79943" w:name="_ETM_Q157_527739"/>
      <w:bookmarkStart w:id="79944" w:name="_ETM_Q157_529239"/>
      <w:bookmarkStart w:id="79945" w:name="_ETM_Q157_529629"/>
      <w:bookmarkStart w:id="79946" w:name="_ETM_Q157_529989"/>
      <w:bookmarkStart w:id="79947" w:name="_ETM_Q157_530170"/>
      <w:bookmarkStart w:id="79948" w:name="_ETM_Q157_530500"/>
      <w:bookmarkStart w:id="79949" w:name="_ETM_Q157_531039"/>
      <w:bookmarkStart w:id="79950" w:name="_ETM_Q157_531339"/>
      <w:bookmarkStart w:id="79951" w:name="_ETM_Q157_531789"/>
      <w:bookmarkStart w:id="79952" w:name="_ETM_Q157_532870"/>
      <w:bookmarkStart w:id="79953" w:name="_ETM_Q157_533409"/>
      <w:bookmarkStart w:id="79954" w:name="_ETM_Q157_533529"/>
      <w:bookmarkStart w:id="79955" w:name="_ETM_Q157_533829"/>
      <w:bookmarkStart w:id="79956" w:name="_ETM_Q157_534100"/>
      <w:bookmarkStart w:id="79957" w:name="_ETM_Q157_535549"/>
      <w:bookmarkStart w:id="79958" w:name="_ETM_Q157_535879"/>
      <w:bookmarkStart w:id="79959" w:name="_ETM_Q157_536510"/>
      <w:bookmarkStart w:id="79960" w:name="_ETM_Q157_539170"/>
      <w:bookmarkStart w:id="79961" w:name="_ETM_Q157_539529"/>
      <w:bookmarkStart w:id="79962" w:name="_ETM_Q157_540129"/>
      <w:bookmarkStart w:id="79963" w:name="_ETM_Q157_540339"/>
      <w:bookmarkStart w:id="79964" w:name="_ETM_Q157_541420"/>
      <w:bookmarkStart w:id="79965" w:name="_ETM_Q157_541779"/>
      <w:bookmarkStart w:id="79966" w:name="_ETM_Q157_542109"/>
      <w:bookmarkStart w:id="79967" w:name="_ETM_Q157_543249"/>
      <w:bookmarkStart w:id="79968" w:name="_ETM_Q157_543579"/>
      <w:bookmarkStart w:id="79969" w:name="_ETM_Q157_545259"/>
      <w:bookmarkStart w:id="79970" w:name="_ETM_Q157_545500"/>
      <w:bookmarkStart w:id="79971" w:name="_ETM_Q157_546310"/>
      <w:bookmarkEnd w:id="79921"/>
      <w:bookmarkEnd w:id="79922"/>
      <w:bookmarkEnd w:id="79923"/>
      <w:bookmarkEnd w:id="79924"/>
      <w:bookmarkEnd w:id="79925"/>
      <w:bookmarkEnd w:id="79926"/>
      <w:bookmarkEnd w:id="79927"/>
      <w:bookmarkEnd w:id="79928"/>
      <w:bookmarkEnd w:id="79929"/>
      <w:bookmarkEnd w:id="79930"/>
      <w:bookmarkEnd w:id="79931"/>
      <w:bookmarkEnd w:id="79932"/>
      <w:bookmarkEnd w:id="79933"/>
      <w:bookmarkEnd w:id="79934"/>
      <w:bookmarkEnd w:id="79935"/>
      <w:bookmarkEnd w:id="79936"/>
      <w:bookmarkEnd w:id="79937"/>
      <w:bookmarkEnd w:id="79938"/>
      <w:bookmarkEnd w:id="79939"/>
      <w:bookmarkEnd w:id="79940"/>
      <w:bookmarkEnd w:id="79941"/>
      <w:bookmarkEnd w:id="79942"/>
      <w:bookmarkEnd w:id="79943"/>
      <w:bookmarkEnd w:id="79944"/>
      <w:bookmarkEnd w:id="79945"/>
      <w:bookmarkEnd w:id="79946"/>
      <w:bookmarkEnd w:id="79947"/>
      <w:bookmarkEnd w:id="79948"/>
      <w:bookmarkEnd w:id="79949"/>
      <w:bookmarkEnd w:id="79950"/>
      <w:bookmarkEnd w:id="79951"/>
      <w:bookmarkEnd w:id="79952"/>
      <w:bookmarkEnd w:id="79953"/>
      <w:bookmarkEnd w:id="79954"/>
      <w:bookmarkEnd w:id="79955"/>
      <w:bookmarkEnd w:id="79956"/>
      <w:bookmarkEnd w:id="79957"/>
      <w:bookmarkEnd w:id="79958"/>
      <w:bookmarkEnd w:id="79959"/>
      <w:bookmarkEnd w:id="79960"/>
      <w:bookmarkEnd w:id="79961"/>
      <w:bookmarkEnd w:id="79962"/>
      <w:bookmarkEnd w:id="79963"/>
      <w:bookmarkEnd w:id="79964"/>
      <w:bookmarkEnd w:id="79965"/>
      <w:bookmarkEnd w:id="79966"/>
      <w:bookmarkEnd w:id="79967"/>
      <w:bookmarkEnd w:id="79968"/>
      <w:bookmarkEnd w:id="79969"/>
      <w:bookmarkEnd w:id="79970"/>
      <w:bookmarkEnd w:id="79971"/>
      <w:r>
        <w:rPr>
          <w:rFonts w:hint="cs"/>
          <w:rtl/>
        </w:rPr>
        <w:t xml:space="preserve">אדוני </w:t>
      </w:r>
      <w:bookmarkStart w:id="79972" w:name="_ETM_Q157_546789"/>
      <w:bookmarkEnd w:id="79972"/>
      <w:r>
        <w:rPr>
          <w:rFonts w:hint="cs"/>
          <w:rtl/>
        </w:rPr>
        <w:t xml:space="preserve">היושב-ראש, כנסת נכבדה, אני אגלה לך סוד, היושב-ראש, כשאין </w:t>
      </w:r>
      <w:bookmarkStart w:id="79973" w:name="_ETM_Q157_518000"/>
      <w:bookmarkEnd w:id="79973"/>
      <w:r>
        <w:rPr>
          <w:rFonts w:hint="cs"/>
          <w:rtl/>
        </w:rPr>
        <w:t xml:space="preserve">לי זמן להכין נאום, </w:t>
      </w:r>
      <w:bookmarkStart w:id="79974" w:name="_ETM_Q157_548200"/>
      <w:bookmarkEnd w:id="79974"/>
      <w:r w:rsidR="00353315">
        <w:rPr>
          <w:rFonts w:hint="cs"/>
          <w:rtl/>
        </w:rPr>
        <w:t xml:space="preserve">אני </w:t>
      </w:r>
      <w:r>
        <w:rPr>
          <w:rFonts w:hint="cs"/>
          <w:rtl/>
        </w:rPr>
        <w:t xml:space="preserve">תמיד חוזר לכל מה שאמר וכתב </w:t>
      </w:r>
      <w:bookmarkStart w:id="79975" w:name="_ETM_Q157_526000"/>
      <w:bookmarkEnd w:id="79975"/>
      <w:r>
        <w:rPr>
          <w:rFonts w:hint="cs"/>
          <w:rtl/>
        </w:rPr>
        <w:t xml:space="preserve">ראש הממשלה, כי אין דבר אחד שהוא אמר בעבר </w:t>
      </w:r>
      <w:bookmarkStart w:id="79976" w:name="_ETM_Q157_527000"/>
      <w:bookmarkEnd w:id="79976"/>
      <w:r>
        <w:rPr>
          <w:rFonts w:hint="cs"/>
          <w:rtl/>
        </w:rPr>
        <w:t xml:space="preserve">ולא סתר בהווה. וזה הפטנט הכי </w:t>
      </w:r>
      <w:bookmarkStart w:id="79977" w:name="_ETM_Q157_532000"/>
      <w:bookmarkEnd w:id="79977"/>
      <w:r>
        <w:rPr>
          <w:rFonts w:hint="cs"/>
          <w:rtl/>
        </w:rPr>
        <w:t xml:space="preserve">פשוט. אני </w:t>
      </w:r>
      <w:bookmarkStart w:id="79978" w:name="_ETM_Q157_535000"/>
      <w:bookmarkEnd w:id="79978"/>
      <w:r>
        <w:rPr>
          <w:rFonts w:hint="cs"/>
          <w:rtl/>
        </w:rPr>
        <w:t>הלכתי לראות - - -</w:t>
      </w:r>
    </w:p>
    <w:p w:rsidR="00BB59CD" w:rsidRDefault="00BB59CD" w:rsidP="00BB59CD">
      <w:pPr>
        <w:rPr>
          <w:rtl/>
        </w:rPr>
      </w:pPr>
    </w:p>
    <w:p w:rsidR="00BB59CD" w:rsidRDefault="00BB59CD" w:rsidP="00BB59CD">
      <w:pPr>
        <w:pStyle w:val="af8"/>
        <w:keepNext/>
        <w:rPr>
          <w:rtl/>
        </w:rPr>
      </w:pPr>
      <w:bookmarkStart w:id="79979" w:name="ET_interruption_6345_5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79979"/>
    </w:p>
    <w:p w:rsidR="00BB59CD" w:rsidRDefault="00BB59CD" w:rsidP="00337201">
      <w:pPr>
        <w:rPr>
          <w:rtl/>
        </w:rPr>
      </w:pPr>
    </w:p>
    <w:p w:rsidR="00BB59CD" w:rsidRDefault="00BB59CD" w:rsidP="00BB59CD">
      <w:pPr>
        <w:rPr>
          <w:rtl/>
        </w:rPr>
      </w:pPr>
      <w:r>
        <w:rPr>
          <w:rFonts w:hint="cs"/>
          <w:rtl/>
        </w:rPr>
        <w:t>חבר הכנסת ליברמן - - -</w:t>
      </w:r>
    </w:p>
    <w:p w:rsidR="00BB59CD" w:rsidRDefault="00BB59CD" w:rsidP="00BB59CD">
      <w:pPr>
        <w:rPr>
          <w:rtl/>
        </w:rPr>
      </w:pPr>
    </w:p>
    <w:p w:rsidR="00BB59CD" w:rsidRDefault="00BB59CD" w:rsidP="00BB59CD">
      <w:pPr>
        <w:pStyle w:val="-"/>
        <w:keepNext/>
        <w:rPr>
          <w:rtl/>
        </w:rPr>
      </w:pPr>
      <w:bookmarkStart w:id="79980" w:name="ET_speakercontinue_4739_56"/>
      <w:r>
        <w:rPr>
          <w:rStyle w:val="TagStyle"/>
          <w:rFonts w:hint="cs"/>
          <w:rtl/>
        </w:rPr>
        <w:t xml:space="preserve"> &lt;&lt; דובר_המשך &gt;&gt; </w:t>
      </w:r>
      <w:r>
        <w:rPr>
          <w:rFonts w:hint="cs"/>
          <w:rtl/>
        </w:rPr>
        <w:t>אביגדור ליברמן (ישראל ביתנו):</w:t>
      </w:r>
      <w:r>
        <w:rPr>
          <w:rStyle w:val="TagStyle"/>
          <w:rtl/>
        </w:rPr>
        <w:t xml:space="preserve"> &lt;&lt; דובר_המשך &gt;&gt;</w:t>
      </w:r>
      <w:r>
        <w:rPr>
          <w:rFonts w:hint="cs"/>
          <w:rtl/>
        </w:rPr>
        <w:t xml:space="preserve">  </w:t>
      </w:r>
      <w:bookmarkEnd w:id="79980"/>
    </w:p>
    <w:p w:rsidR="00BB59CD" w:rsidRDefault="00BB59CD" w:rsidP="00337201">
      <w:pPr>
        <w:rPr>
          <w:rtl/>
        </w:rPr>
      </w:pPr>
    </w:p>
    <w:p w:rsidR="00BB59CD" w:rsidRDefault="00BB59CD" w:rsidP="00BB59CD">
      <w:pPr>
        <w:rPr>
          <w:rtl/>
        </w:rPr>
      </w:pPr>
      <w:bookmarkStart w:id="79981" w:name="_ETM_Q157_539000"/>
      <w:bookmarkEnd w:id="79981"/>
      <w:r>
        <w:rPr>
          <w:rFonts w:hint="cs"/>
          <w:rtl/>
        </w:rPr>
        <w:t>כן. מה שמעניין - - -</w:t>
      </w:r>
    </w:p>
    <w:p w:rsidR="00BB59CD" w:rsidRDefault="00BB59CD" w:rsidP="00BB59CD">
      <w:pPr>
        <w:rPr>
          <w:rtl/>
        </w:rPr>
      </w:pPr>
      <w:bookmarkStart w:id="79982" w:name="_ETM_Q157_536000"/>
      <w:bookmarkEnd w:id="79982"/>
    </w:p>
    <w:p w:rsidR="00BB59CD" w:rsidRDefault="00BB59CD" w:rsidP="00BB59CD">
      <w:pPr>
        <w:pStyle w:val="af9"/>
        <w:keepNext/>
        <w:rPr>
          <w:rtl/>
        </w:rPr>
      </w:pPr>
      <w:bookmarkStart w:id="79983" w:name="ET_yor_6129_5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79983"/>
    </w:p>
    <w:p w:rsidR="00BB59CD" w:rsidRDefault="00BB59CD" w:rsidP="00337201">
      <w:pPr>
        <w:rPr>
          <w:rtl/>
        </w:rPr>
      </w:pPr>
    </w:p>
    <w:p w:rsidR="00BB59CD" w:rsidRDefault="00BB59CD" w:rsidP="00BB59CD">
      <w:pPr>
        <w:rPr>
          <w:rtl/>
        </w:rPr>
      </w:pPr>
      <w:bookmarkStart w:id="79984" w:name="_ETM_Q157_537000"/>
      <w:bookmarkEnd w:id="79984"/>
      <w:r>
        <w:rPr>
          <w:rFonts w:hint="cs"/>
          <w:rtl/>
        </w:rPr>
        <w:t>אם את תפריעי, הוא יתחיל דבר ביידיש.</w:t>
      </w:r>
    </w:p>
    <w:p w:rsidR="00BB59CD" w:rsidRDefault="00BB59CD" w:rsidP="00BB59CD">
      <w:pPr>
        <w:rPr>
          <w:rtl/>
        </w:rPr>
      </w:pPr>
      <w:bookmarkStart w:id="79985" w:name="_ETM_Q157_541000"/>
      <w:bookmarkEnd w:id="79985"/>
    </w:p>
    <w:p w:rsidR="00BB59CD" w:rsidRDefault="00BB59CD" w:rsidP="00BB59CD">
      <w:pPr>
        <w:pStyle w:val="af8"/>
        <w:keepNext/>
        <w:rPr>
          <w:rtl/>
        </w:rPr>
      </w:pPr>
      <w:bookmarkStart w:id="79986" w:name="ET_interruption_6345_5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79986"/>
    </w:p>
    <w:p w:rsidR="00BB59CD" w:rsidRDefault="00BB59CD" w:rsidP="00337201">
      <w:pPr>
        <w:rPr>
          <w:rtl/>
        </w:rPr>
      </w:pPr>
    </w:p>
    <w:p w:rsidR="00BB59CD" w:rsidRDefault="00BB59CD" w:rsidP="00BB59CD">
      <w:pPr>
        <w:rPr>
          <w:rtl/>
        </w:rPr>
      </w:pPr>
      <w:r>
        <w:rPr>
          <w:rFonts w:hint="cs"/>
          <w:rtl/>
        </w:rPr>
        <w:t>יידיש אני יודעת.</w:t>
      </w:r>
    </w:p>
    <w:p w:rsidR="00BB59CD" w:rsidRDefault="00BB59CD" w:rsidP="00BB59CD">
      <w:pPr>
        <w:rPr>
          <w:rtl/>
        </w:rPr>
      </w:pPr>
      <w:bookmarkStart w:id="79987" w:name="_ETM_Q157_543000"/>
      <w:bookmarkEnd w:id="79987"/>
    </w:p>
    <w:p w:rsidR="00BB59CD" w:rsidRDefault="00BB59CD" w:rsidP="00BB59CD">
      <w:pPr>
        <w:pStyle w:val="af9"/>
        <w:keepNext/>
        <w:rPr>
          <w:rtl/>
        </w:rPr>
      </w:pPr>
      <w:bookmarkStart w:id="79988" w:name="ET_yor_6129_6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79988"/>
    </w:p>
    <w:p w:rsidR="00BB59CD" w:rsidRDefault="00BB59CD" w:rsidP="00337201">
      <w:pPr>
        <w:rPr>
          <w:rtl/>
        </w:rPr>
      </w:pPr>
    </w:p>
    <w:p w:rsidR="00BB59CD" w:rsidRDefault="00BB59CD" w:rsidP="00BB59CD">
      <w:pPr>
        <w:rPr>
          <w:rtl/>
        </w:rPr>
      </w:pPr>
      <w:bookmarkStart w:id="79989" w:name="_ETM_Q157_545000"/>
      <w:bookmarkEnd w:id="79989"/>
      <w:r>
        <w:rPr>
          <w:rFonts w:hint="cs"/>
          <w:rtl/>
        </w:rPr>
        <w:t>את יודעת.</w:t>
      </w:r>
    </w:p>
    <w:p w:rsidR="00BB59CD" w:rsidRDefault="00BB59CD" w:rsidP="00BB59CD">
      <w:pPr>
        <w:rPr>
          <w:rtl/>
        </w:rPr>
      </w:pPr>
      <w:bookmarkStart w:id="79990" w:name="_ETM_Q157_544000"/>
      <w:bookmarkEnd w:id="79990"/>
    </w:p>
    <w:p w:rsidR="00BB59CD" w:rsidRDefault="00BB59CD" w:rsidP="00BB59CD">
      <w:pPr>
        <w:pStyle w:val="-"/>
        <w:keepNext/>
        <w:rPr>
          <w:rtl/>
        </w:rPr>
      </w:pPr>
      <w:bookmarkStart w:id="79991" w:name="ET_speakercontinue_4739_58"/>
      <w:r>
        <w:rPr>
          <w:rStyle w:val="TagStyle"/>
          <w:rFonts w:hint="cs"/>
          <w:rtl/>
        </w:rPr>
        <w:t xml:space="preserve"> &lt;&lt; דובר_המשך &gt;&gt; </w:t>
      </w:r>
      <w:r>
        <w:rPr>
          <w:rFonts w:hint="cs"/>
          <w:rtl/>
        </w:rPr>
        <w:t>אביגדור ליברמן (ישראל ביתנו):</w:t>
      </w:r>
      <w:r>
        <w:rPr>
          <w:rStyle w:val="TagStyle"/>
          <w:rtl/>
        </w:rPr>
        <w:t xml:space="preserve"> &lt;&lt; דובר_המשך &gt;&gt;</w:t>
      </w:r>
      <w:r>
        <w:rPr>
          <w:rFonts w:hint="cs"/>
          <w:rtl/>
        </w:rPr>
        <w:t xml:space="preserve">  </w:t>
      </w:r>
      <w:bookmarkEnd w:id="79991"/>
    </w:p>
    <w:p w:rsidR="00BB59CD" w:rsidRDefault="00BB59CD" w:rsidP="00337201">
      <w:pPr>
        <w:rPr>
          <w:rtl/>
        </w:rPr>
      </w:pPr>
    </w:p>
    <w:p w:rsidR="00BB59CD" w:rsidRDefault="00BB59CD" w:rsidP="005152DB">
      <w:pPr>
        <w:rPr>
          <w:rtl/>
        </w:rPr>
      </w:pPr>
      <w:r>
        <w:rPr>
          <w:rFonts w:hint="cs"/>
          <w:rtl/>
        </w:rPr>
        <w:t>כן. מה שמעניין, אדוני היושב-ראש, הוא שפה</w:t>
      </w:r>
      <w:bookmarkStart w:id="79992" w:name="_ETM_Q157_548649"/>
      <w:bookmarkEnd w:id="79992"/>
      <w:r>
        <w:rPr>
          <w:rFonts w:hint="cs"/>
          <w:rtl/>
        </w:rPr>
        <w:t>,</w:t>
      </w:r>
      <w:bookmarkStart w:id="79993" w:name="_ETM_Q157_549000"/>
      <w:bookmarkEnd w:id="79993"/>
      <w:r>
        <w:rPr>
          <w:rFonts w:hint="cs"/>
          <w:rtl/>
        </w:rPr>
        <w:t xml:space="preserve"> מהמקום הזה, ב-29 בדצמבר 2022 </w:t>
      </w:r>
      <w:r>
        <w:t>–</w:t>
      </w:r>
      <w:r>
        <w:rPr>
          <w:rtl/>
        </w:rPr>
        <w:t xml:space="preserve"> </w:t>
      </w:r>
      <w:bookmarkStart w:id="79994" w:name="_ETM_Q157_549250"/>
      <w:bookmarkStart w:id="79995" w:name="_ETM_Q157_549399"/>
      <w:bookmarkStart w:id="79996" w:name="_ETM_Q157_550460"/>
      <w:bookmarkStart w:id="79997" w:name="_ETM_Q157_555300"/>
      <w:bookmarkEnd w:id="79994"/>
      <w:bookmarkEnd w:id="79995"/>
      <w:bookmarkEnd w:id="79996"/>
      <w:bookmarkEnd w:id="79997"/>
      <w:r>
        <w:rPr>
          <w:rFonts w:hint="cs"/>
          <w:rtl/>
        </w:rPr>
        <w:t xml:space="preserve">נאום </w:t>
      </w:r>
      <w:bookmarkStart w:id="79998" w:name="_ETM_Q157_555750"/>
      <w:bookmarkEnd w:id="79998"/>
      <w:r>
        <w:rPr>
          <w:rFonts w:hint="cs"/>
          <w:rtl/>
        </w:rPr>
        <w:t xml:space="preserve">ההשבעה </w:t>
      </w:r>
      <w:bookmarkStart w:id="79999" w:name="_ETM_Q157_556320"/>
      <w:bookmarkEnd w:id="79999"/>
      <w:r>
        <w:rPr>
          <w:rFonts w:hint="cs"/>
          <w:rtl/>
        </w:rPr>
        <w:t xml:space="preserve">של </w:t>
      </w:r>
      <w:bookmarkStart w:id="80000" w:name="_ETM_Q157_556529"/>
      <w:bookmarkEnd w:id="80000"/>
      <w:r>
        <w:rPr>
          <w:rFonts w:hint="cs"/>
          <w:rtl/>
        </w:rPr>
        <w:t xml:space="preserve">ראש </w:t>
      </w:r>
      <w:bookmarkStart w:id="80001" w:name="_ETM_Q157_556830"/>
      <w:bookmarkEnd w:id="80001"/>
      <w:r>
        <w:rPr>
          <w:rFonts w:hint="cs"/>
          <w:rtl/>
        </w:rPr>
        <w:t xml:space="preserve">הממשלה. </w:t>
      </w:r>
      <w:bookmarkStart w:id="80002" w:name="_ETM_Q157_558300"/>
      <w:bookmarkEnd w:id="80002"/>
      <w:r>
        <w:rPr>
          <w:rFonts w:hint="cs"/>
          <w:rtl/>
        </w:rPr>
        <w:t xml:space="preserve">ואתה </w:t>
      </w:r>
      <w:bookmarkStart w:id="80003" w:name="_ETM_Q157_558600"/>
      <w:bookmarkEnd w:id="80003"/>
      <w:r>
        <w:rPr>
          <w:rFonts w:hint="cs"/>
          <w:rtl/>
        </w:rPr>
        <w:t xml:space="preserve">יודע, </w:t>
      </w:r>
      <w:bookmarkStart w:id="80004" w:name="_ETM_Q157_558900"/>
      <w:bookmarkEnd w:id="80004"/>
      <w:r>
        <w:rPr>
          <w:rFonts w:hint="cs"/>
          <w:rtl/>
        </w:rPr>
        <w:t xml:space="preserve">אדוני </w:t>
      </w:r>
      <w:bookmarkStart w:id="80005" w:name="_ETM_Q157_559200"/>
      <w:bookmarkEnd w:id="80005"/>
      <w:r>
        <w:rPr>
          <w:rFonts w:hint="cs"/>
          <w:rtl/>
        </w:rPr>
        <w:t xml:space="preserve">היושב-ראש, </w:t>
      </w:r>
      <w:bookmarkStart w:id="80006" w:name="_ETM_Q157_559770"/>
      <w:bookmarkEnd w:id="80006"/>
      <w:r>
        <w:rPr>
          <w:rFonts w:hint="cs"/>
          <w:rtl/>
        </w:rPr>
        <w:t xml:space="preserve">כשנותנים </w:t>
      </w:r>
      <w:bookmarkStart w:id="80007" w:name="_ETM_Q157_560430"/>
      <w:bookmarkEnd w:id="80007"/>
      <w:r>
        <w:rPr>
          <w:rFonts w:hint="cs"/>
          <w:rtl/>
        </w:rPr>
        <w:t xml:space="preserve">נאום </w:t>
      </w:r>
      <w:bookmarkStart w:id="80008" w:name="_ETM_Q157_560760"/>
      <w:bookmarkEnd w:id="80008"/>
      <w:r>
        <w:rPr>
          <w:rFonts w:hint="cs"/>
          <w:rtl/>
        </w:rPr>
        <w:t xml:space="preserve">השבעה, </w:t>
      </w:r>
      <w:bookmarkStart w:id="80009" w:name="_ETM_Q157_562120"/>
      <w:bookmarkEnd w:id="80009"/>
      <w:r>
        <w:rPr>
          <w:rFonts w:hint="cs"/>
          <w:rtl/>
        </w:rPr>
        <w:t xml:space="preserve">אז </w:t>
      </w:r>
      <w:bookmarkStart w:id="80010" w:name="_ETM_Q157_562330"/>
      <w:bookmarkEnd w:id="80010"/>
      <w:r>
        <w:rPr>
          <w:rFonts w:hint="cs"/>
          <w:rtl/>
        </w:rPr>
        <w:t xml:space="preserve">תמיד </w:t>
      </w:r>
      <w:bookmarkStart w:id="80011" w:name="_ETM_Q157_562690"/>
      <w:bookmarkEnd w:id="80011"/>
      <w:r>
        <w:rPr>
          <w:rFonts w:hint="cs"/>
          <w:rtl/>
        </w:rPr>
        <w:t>מ</w:t>
      </w:r>
      <w:r w:rsidR="00353315">
        <w:rPr>
          <w:rFonts w:hint="cs"/>
          <w:rtl/>
        </w:rPr>
        <w:t>ס</w:t>
      </w:r>
      <w:r>
        <w:rPr>
          <w:rFonts w:hint="cs"/>
          <w:rtl/>
        </w:rPr>
        <w:t xml:space="preserve">רטטים </w:t>
      </w:r>
      <w:bookmarkStart w:id="80012" w:name="_ETM_Q157_564450"/>
      <w:bookmarkEnd w:id="80012"/>
      <w:r>
        <w:rPr>
          <w:rFonts w:hint="cs"/>
          <w:rtl/>
        </w:rPr>
        <w:t xml:space="preserve">מה </w:t>
      </w:r>
      <w:bookmarkStart w:id="80013" w:name="_ETM_Q157_564990"/>
      <w:bookmarkEnd w:id="80013"/>
      <w:r>
        <w:rPr>
          <w:rFonts w:hint="cs"/>
          <w:rtl/>
        </w:rPr>
        <w:t xml:space="preserve">המדיניות </w:t>
      </w:r>
      <w:bookmarkStart w:id="80014" w:name="_ETM_Q157_565740"/>
      <w:bookmarkEnd w:id="80014"/>
      <w:r>
        <w:rPr>
          <w:rFonts w:hint="cs"/>
          <w:rtl/>
        </w:rPr>
        <w:t xml:space="preserve">של </w:t>
      </w:r>
      <w:bookmarkStart w:id="80015" w:name="_ETM_Q157_565890"/>
      <w:bookmarkEnd w:id="80015"/>
      <w:r>
        <w:rPr>
          <w:rFonts w:hint="cs"/>
          <w:rtl/>
        </w:rPr>
        <w:t xml:space="preserve">הממשלה </w:t>
      </w:r>
      <w:bookmarkStart w:id="80016" w:name="_ETM_Q157_566549"/>
      <w:bookmarkEnd w:id="80016"/>
      <w:r>
        <w:rPr>
          <w:rFonts w:hint="cs"/>
          <w:rtl/>
        </w:rPr>
        <w:t xml:space="preserve">הבאה, </w:t>
      </w:r>
      <w:bookmarkStart w:id="80017" w:name="_ETM_Q157_567390"/>
      <w:bookmarkEnd w:id="80017"/>
      <w:r>
        <w:rPr>
          <w:rFonts w:hint="cs"/>
          <w:rtl/>
        </w:rPr>
        <w:t xml:space="preserve">מה </w:t>
      </w:r>
      <w:bookmarkStart w:id="80018" w:name="_ETM_Q157_567630"/>
      <w:bookmarkEnd w:id="80018"/>
      <w:r>
        <w:rPr>
          <w:rFonts w:hint="cs"/>
          <w:rtl/>
        </w:rPr>
        <w:t xml:space="preserve">הקווים </w:t>
      </w:r>
      <w:bookmarkStart w:id="80019" w:name="_ETM_Q157_568140"/>
      <w:bookmarkEnd w:id="80019"/>
      <w:r>
        <w:rPr>
          <w:rFonts w:hint="cs"/>
          <w:rtl/>
        </w:rPr>
        <w:t xml:space="preserve">המנחים, </w:t>
      </w:r>
      <w:bookmarkStart w:id="80020" w:name="_ETM_Q157_569560"/>
      <w:bookmarkEnd w:id="80020"/>
      <w:r>
        <w:rPr>
          <w:rFonts w:hint="cs"/>
          <w:rtl/>
        </w:rPr>
        <w:t xml:space="preserve">מה </w:t>
      </w:r>
      <w:bookmarkStart w:id="80021" w:name="_ETM_Q157_569859"/>
      <w:bookmarkEnd w:id="80021"/>
      <w:r>
        <w:rPr>
          <w:rFonts w:hint="cs"/>
          <w:rtl/>
        </w:rPr>
        <w:t xml:space="preserve">סדר </w:t>
      </w:r>
      <w:bookmarkStart w:id="80022" w:name="_ETM_Q157_570310"/>
      <w:bookmarkEnd w:id="80022"/>
      <w:r>
        <w:rPr>
          <w:rFonts w:hint="cs"/>
          <w:rtl/>
        </w:rPr>
        <w:t>העדיפויות.</w:t>
      </w:r>
      <w:bookmarkStart w:id="80023" w:name="_ETM_Q157_571979"/>
      <w:bookmarkEnd w:id="80023"/>
      <w:r>
        <w:rPr>
          <w:rFonts w:hint="cs"/>
          <w:rtl/>
        </w:rPr>
        <w:t xml:space="preserve"> אני </w:t>
      </w:r>
      <w:bookmarkStart w:id="80024" w:name="_ETM_Q157_572430"/>
      <w:bookmarkEnd w:id="80024"/>
      <w:r>
        <w:rPr>
          <w:rFonts w:hint="cs"/>
          <w:rtl/>
        </w:rPr>
        <w:t xml:space="preserve">מקריא </w:t>
      </w:r>
      <w:bookmarkStart w:id="80025" w:name="_ETM_Q157_572820"/>
      <w:bookmarkEnd w:id="80025"/>
      <w:r>
        <w:rPr>
          <w:rFonts w:hint="cs"/>
          <w:rtl/>
        </w:rPr>
        <w:t xml:space="preserve">מה </w:t>
      </w:r>
      <w:bookmarkStart w:id="80026" w:name="_ETM_Q157_573089"/>
      <w:bookmarkEnd w:id="80026"/>
      <w:r>
        <w:rPr>
          <w:rFonts w:hint="cs"/>
          <w:rtl/>
        </w:rPr>
        <w:t xml:space="preserve">שראש </w:t>
      </w:r>
      <w:bookmarkStart w:id="80027" w:name="_ETM_Q157_573479"/>
      <w:bookmarkEnd w:id="80027"/>
      <w:r>
        <w:rPr>
          <w:rFonts w:hint="cs"/>
          <w:rtl/>
        </w:rPr>
        <w:t xml:space="preserve">הממשלה </w:t>
      </w:r>
      <w:bookmarkStart w:id="80028" w:name="_ETM_Q157_573990"/>
      <w:bookmarkEnd w:id="80028"/>
      <w:r>
        <w:rPr>
          <w:rFonts w:hint="cs"/>
          <w:rtl/>
        </w:rPr>
        <w:t xml:space="preserve">אמר </w:t>
      </w:r>
      <w:bookmarkStart w:id="80029" w:name="_ETM_Q157_574320"/>
      <w:bookmarkEnd w:id="80029"/>
      <w:r>
        <w:rPr>
          <w:rFonts w:hint="cs"/>
          <w:rtl/>
        </w:rPr>
        <w:t xml:space="preserve">מהדוכן </w:t>
      </w:r>
      <w:bookmarkStart w:id="80030" w:name="_ETM_Q157_575010"/>
      <w:bookmarkEnd w:id="80030"/>
      <w:r>
        <w:rPr>
          <w:rFonts w:hint="cs"/>
          <w:rtl/>
        </w:rPr>
        <w:t xml:space="preserve">הזה </w:t>
      </w:r>
      <w:bookmarkStart w:id="80031" w:name="_ETM_Q157_576159"/>
      <w:bookmarkEnd w:id="80031"/>
      <w:r>
        <w:rPr>
          <w:rFonts w:hint="cs"/>
          <w:rtl/>
        </w:rPr>
        <w:t xml:space="preserve">בדיוק </w:t>
      </w:r>
      <w:bookmarkStart w:id="80032" w:name="_ETM_Q157_576669"/>
      <w:bookmarkEnd w:id="80032"/>
      <w:r>
        <w:rPr>
          <w:rFonts w:hint="cs"/>
          <w:rtl/>
        </w:rPr>
        <w:t xml:space="preserve">לפני </w:t>
      </w:r>
      <w:bookmarkStart w:id="80033" w:name="_ETM_Q157_576999"/>
      <w:bookmarkStart w:id="80034" w:name="_ETM_Q157_577359"/>
      <w:bookmarkEnd w:id="80033"/>
      <w:bookmarkEnd w:id="80034"/>
      <w:r>
        <w:rPr>
          <w:rFonts w:hint="cs"/>
          <w:rtl/>
        </w:rPr>
        <w:t>שבעה חודשים</w:t>
      </w:r>
      <w:bookmarkStart w:id="80035" w:name="_ETM_Q157_579730"/>
      <w:bookmarkEnd w:id="80035"/>
      <w:r>
        <w:rPr>
          <w:rFonts w:hint="cs"/>
          <w:rtl/>
        </w:rPr>
        <w:t xml:space="preserve">. ותקשיבו </w:t>
      </w:r>
      <w:bookmarkStart w:id="80036" w:name="_ETM_Q157_580510"/>
      <w:bookmarkEnd w:id="80036"/>
      <w:r>
        <w:rPr>
          <w:rFonts w:hint="cs"/>
          <w:rtl/>
        </w:rPr>
        <w:t xml:space="preserve">היטב: </w:t>
      </w:r>
      <w:bookmarkStart w:id="80037" w:name="_ETM_Q157_582209"/>
      <w:bookmarkEnd w:id="80037"/>
      <w:r w:rsidR="005152DB">
        <w:rPr>
          <w:rFonts w:hint="cs"/>
          <w:rtl/>
        </w:rPr>
        <w:t>"</w:t>
      </w:r>
      <w:r>
        <w:rPr>
          <w:rFonts w:hint="cs"/>
          <w:rtl/>
        </w:rPr>
        <w:t xml:space="preserve">זאת </w:t>
      </w:r>
      <w:bookmarkStart w:id="80038" w:name="_ETM_Q157_582630"/>
      <w:bookmarkEnd w:id="80038"/>
      <w:r>
        <w:rPr>
          <w:rFonts w:hint="cs"/>
          <w:rtl/>
        </w:rPr>
        <w:t xml:space="preserve">הפעם </w:t>
      </w:r>
      <w:bookmarkStart w:id="80039" w:name="_ETM_Q157_583049"/>
      <w:bookmarkEnd w:id="80039"/>
      <w:r>
        <w:rPr>
          <w:rFonts w:hint="cs"/>
          <w:rtl/>
        </w:rPr>
        <w:t xml:space="preserve">השישית </w:t>
      </w:r>
      <w:bookmarkStart w:id="80040" w:name="_ETM_Q157_583770"/>
      <w:bookmarkEnd w:id="80040"/>
      <w:r>
        <w:rPr>
          <w:rFonts w:hint="cs"/>
          <w:rtl/>
        </w:rPr>
        <w:t xml:space="preserve">שבה </w:t>
      </w:r>
      <w:bookmarkStart w:id="80041" w:name="_ETM_Q157_584310"/>
      <w:bookmarkEnd w:id="80041"/>
      <w:r>
        <w:rPr>
          <w:rFonts w:hint="cs"/>
          <w:rtl/>
        </w:rPr>
        <w:t xml:space="preserve">אני </w:t>
      </w:r>
      <w:bookmarkStart w:id="80042" w:name="_ETM_Q157_584520"/>
      <w:bookmarkEnd w:id="80042"/>
      <w:r>
        <w:rPr>
          <w:rFonts w:hint="cs"/>
          <w:rtl/>
        </w:rPr>
        <w:t xml:space="preserve">מציג </w:t>
      </w:r>
      <w:bookmarkStart w:id="80043" w:name="_ETM_Q157_584999"/>
      <w:bookmarkEnd w:id="80043"/>
      <w:r>
        <w:rPr>
          <w:rFonts w:hint="cs"/>
          <w:rtl/>
        </w:rPr>
        <w:t xml:space="preserve">ממשלה </w:t>
      </w:r>
      <w:bookmarkStart w:id="80044" w:name="_ETM_Q157_585659"/>
      <w:bookmarkEnd w:id="80044"/>
      <w:r>
        <w:rPr>
          <w:rFonts w:hint="cs"/>
          <w:rtl/>
        </w:rPr>
        <w:t>בראשותי</w:t>
      </w:r>
      <w:bookmarkStart w:id="80045" w:name="_ETM_Q157_586880"/>
      <w:bookmarkEnd w:id="80045"/>
      <w:r>
        <w:rPr>
          <w:rFonts w:hint="cs"/>
          <w:rtl/>
        </w:rPr>
        <w:t xml:space="preserve"> </w:t>
      </w:r>
      <w:bookmarkStart w:id="80046" w:name="_ETM_Q157_585000"/>
      <w:bookmarkEnd w:id="80046"/>
      <w:r>
        <w:rPr>
          <w:rFonts w:hint="cs"/>
          <w:rtl/>
        </w:rPr>
        <w:t xml:space="preserve">כדי לזכות </w:t>
      </w:r>
      <w:bookmarkStart w:id="80047" w:name="_ETM_Q157_587000"/>
      <w:bookmarkStart w:id="80048" w:name="_ETM_Q157_587270"/>
      <w:bookmarkStart w:id="80049" w:name="_ETM_Q157_587810"/>
      <w:bookmarkEnd w:id="80047"/>
      <w:bookmarkEnd w:id="80048"/>
      <w:bookmarkEnd w:id="80049"/>
      <w:r>
        <w:rPr>
          <w:rFonts w:hint="cs"/>
          <w:rtl/>
        </w:rPr>
        <w:t xml:space="preserve">באמון </w:t>
      </w:r>
      <w:bookmarkStart w:id="80050" w:name="_ETM_Q157_588290"/>
      <w:bookmarkEnd w:id="80050"/>
      <w:r>
        <w:rPr>
          <w:rFonts w:hint="cs"/>
          <w:rtl/>
        </w:rPr>
        <w:t xml:space="preserve">הכנסת. </w:t>
      </w:r>
      <w:bookmarkStart w:id="80051" w:name="_ETM_Q157_589540"/>
      <w:bookmarkEnd w:id="80051"/>
      <w:r>
        <w:rPr>
          <w:rFonts w:hint="cs"/>
          <w:rtl/>
        </w:rPr>
        <w:t xml:space="preserve">אני </w:t>
      </w:r>
      <w:bookmarkStart w:id="80052" w:name="_ETM_Q157_589900"/>
      <w:bookmarkEnd w:id="80052"/>
      <w:r>
        <w:rPr>
          <w:rFonts w:hint="cs"/>
          <w:rtl/>
        </w:rPr>
        <w:t xml:space="preserve">מתרגש </w:t>
      </w:r>
      <w:bookmarkStart w:id="80053" w:name="_ETM_Q157_590619"/>
      <w:bookmarkEnd w:id="80053"/>
      <w:r>
        <w:rPr>
          <w:rFonts w:hint="cs"/>
          <w:rtl/>
        </w:rPr>
        <w:t xml:space="preserve">כמו </w:t>
      </w:r>
      <w:bookmarkStart w:id="80054" w:name="_ETM_Q157_590860"/>
      <w:bookmarkEnd w:id="80054"/>
      <w:r>
        <w:rPr>
          <w:rFonts w:hint="cs"/>
          <w:rtl/>
        </w:rPr>
        <w:t xml:space="preserve">בפעם </w:t>
      </w:r>
      <w:bookmarkStart w:id="80055" w:name="_ETM_Q157_591310"/>
      <w:bookmarkEnd w:id="80055"/>
      <w:r>
        <w:rPr>
          <w:rFonts w:hint="cs"/>
          <w:rtl/>
        </w:rPr>
        <w:t>הראשונה</w:t>
      </w:r>
      <w:r w:rsidR="005152DB">
        <w:rPr>
          <w:rFonts w:hint="cs"/>
          <w:rtl/>
        </w:rPr>
        <w:t>";</w:t>
      </w:r>
      <w:r>
        <w:rPr>
          <w:rFonts w:hint="cs"/>
          <w:rtl/>
        </w:rPr>
        <w:t xml:space="preserve"> </w:t>
      </w:r>
      <w:bookmarkStart w:id="80056" w:name="_ETM_Q157_593010"/>
      <w:bookmarkEnd w:id="80056"/>
      <w:r w:rsidR="005152DB">
        <w:rPr>
          <w:rFonts w:hint="cs"/>
          <w:rtl/>
        </w:rPr>
        <w:t>"</w:t>
      </w:r>
      <w:r>
        <w:rPr>
          <w:rFonts w:hint="cs"/>
          <w:rtl/>
        </w:rPr>
        <w:t xml:space="preserve">המשימה </w:t>
      </w:r>
      <w:bookmarkStart w:id="80057" w:name="_ETM_Q157_593670"/>
      <w:bookmarkEnd w:id="80057"/>
      <w:r>
        <w:rPr>
          <w:rFonts w:hint="cs"/>
          <w:rtl/>
        </w:rPr>
        <w:t xml:space="preserve">הראשונה </w:t>
      </w:r>
      <w:bookmarkStart w:id="80058" w:name="_ETM_Q157_594270"/>
      <w:bookmarkEnd w:id="80058"/>
      <w:r>
        <w:rPr>
          <w:rFonts w:hint="cs"/>
          <w:rtl/>
        </w:rPr>
        <w:t xml:space="preserve">שלנו </w:t>
      </w:r>
      <w:bookmarkStart w:id="80059" w:name="_ETM_Q157_595619"/>
      <w:bookmarkEnd w:id="80059"/>
      <w:r w:rsidR="005152DB">
        <w:rPr>
          <w:rFonts w:hint="eastAsia"/>
          <w:rtl/>
        </w:rPr>
        <w:t>–</w:t>
      </w:r>
      <w:bookmarkStart w:id="80060" w:name="_ETM_Q157_595829"/>
      <w:bookmarkEnd w:id="80060"/>
      <w:r w:rsidR="005152DB">
        <w:rPr>
          <w:rFonts w:hint="cs"/>
          <w:rtl/>
        </w:rPr>
        <w:t xml:space="preserve"> </w:t>
      </w:r>
      <w:r>
        <w:rPr>
          <w:rFonts w:hint="cs"/>
          <w:rtl/>
        </w:rPr>
        <w:t xml:space="preserve">לסכל </w:t>
      </w:r>
      <w:bookmarkStart w:id="80061" w:name="_ETM_Q157_596579"/>
      <w:bookmarkEnd w:id="80061"/>
      <w:r>
        <w:rPr>
          <w:rFonts w:hint="cs"/>
          <w:rtl/>
        </w:rPr>
        <w:t xml:space="preserve">את מאמציה </w:t>
      </w:r>
      <w:bookmarkStart w:id="80062" w:name="_ETM_Q157_597419"/>
      <w:bookmarkEnd w:id="80062"/>
      <w:r>
        <w:rPr>
          <w:rFonts w:hint="cs"/>
          <w:rtl/>
        </w:rPr>
        <w:t xml:space="preserve">של איראן </w:t>
      </w:r>
      <w:bookmarkStart w:id="80063" w:name="_ETM_Q157_598369"/>
      <w:bookmarkEnd w:id="80063"/>
      <w:r>
        <w:rPr>
          <w:rFonts w:hint="cs"/>
          <w:rtl/>
        </w:rPr>
        <w:t xml:space="preserve">לפתח </w:t>
      </w:r>
      <w:bookmarkStart w:id="80064" w:name="_ETM_Q157_599359"/>
      <w:bookmarkEnd w:id="80064"/>
      <w:r w:rsidR="005152DB">
        <w:rPr>
          <w:rFonts w:hint="cs"/>
          <w:rtl/>
        </w:rPr>
        <w:t xml:space="preserve">- - - </w:t>
      </w:r>
      <w:r>
        <w:rPr>
          <w:rFonts w:hint="cs"/>
          <w:rtl/>
        </w:rPr>
        <w:t>גרעין</w:t>
      </w:r>
      <w:bookmarkStart w:id="80065" w:name="_ETM_Q157_599899"/>
      <w:bookmarkEnd w:id="80065"/>
      <w:r>
        <w:rPr>
          <w:rFonts w:hint="cs"/>
          <w:rtl/>
        </w:rPr>
        <w:t xml:space="preserve">, שיאיים </w:t>
      </w:r>
      <w:bookmarkStart w:id="80066" w:name="_ETM_Q157_600499"/>
      <w:bookmarkEnd w:id="80066"/>
      <w:r>
        <w:rPr>
          <w:rFonts w:hint="cs"/>
          <w:rtl/>
        </w:rPr>
        <w:t xml:space="preserve">עלינו </w:t>
      </w:r>
      <w:bookmarkStart w:id="80067" w:name="_ETM_Q157_601429"/>
      <w:bookmarkEnd w:id="80067"/>
      <w:r>
        <w:rPr>
          <w:rFonts w:hint="cs"/>
          <w:rtl/>
        </w:rPr>
        <w:t xml:space="preserve">ועל </w:t>
      </w:r>
      <w:bookmarkStart w:id="80068" w:name="_ETM_Q157_601729"/>
      <w:bookmarkEnd w:id="80068"/>
      <w:r>
        <w:rPr>
          <w:rFonts w:hint="cs"/>
          <w:rtl/>
        </w:rPr>
        <w:t xml:space="preserve">העולם </w:t>
      </w:r>
      <w:bookmarkStart w:id="80069" w:name="_ETM_Q157_602119"/>
      <w:bookmarkEnd w:id="80069"/>
      <w:r>
        <w:rPr>
          <w:rFonts w:hint="cs"/>
          <w:rtl/>
        </w:rPr>
        <w:t>כולו</w:t>
      </w:r>
      <w:r w:rsidR="005152DB">
        <w:rPr>
          <w:rFonts w:hint="cs"/>
          <w:rtl/>
        </w:rPr>
        <w:t>"</w:t>
      </w:r>
      <w:r>
        <w:rPr>
          <w:rFonts w:hint="cs"/>
          <w:rtl/>
        </w:rPr>
        <w:t xml:space="preserve">. </w:t>
      </w:r>
      <w:bookmarkStart w:id="80070" w:name="_ETM_Q157_603299"/>
      <w:bookmarkEnd w:id="80070"/>
      <w:r>
        <w:rPr>
          <w:rFonts w:hint="cs"/>
          <w:rtl/>
        </w:rPr>
        <w:t xml:space="preserve">בנוסף, </w:t>
      </w:r>
      <w:bookmarkStart w:id="80071" w:name="_ETM_Q157_604779"/>
      <w:bookmarkEnd w:id="80071"/>
      <w:r>
        <w:rPr>
          <w:rFonts w:hint="cs"/>
          <w:rtl/>
        </w:rPr>
        <w:t xml:space="preserve">הממשלה </w:t>
      </w:r>
      <w:bookmarkStart w:id="80072" w:name="_ETM_Q157_605589"/>
      <w:bookmarkEnd w:id="80072"/>
      <w:r>
        <w:rPr>
          <w:rFonts w:hint="cs"/>
          <w:rtl/>
        </w:rPr>
        <w:t xml:space="preserve">החדשה </w:t>
      </w:r>
      <w:bookmarkStart w:id="80073" w:name="_ETM_Q157_606850"/>
      <w:bookmarkEnd w:id="80073"/>
      <w:r>
        <w:rPr>
          <w:rFonts w:hint="cs"/>
          <w:rtl/>
        </w:rPr>
        <w:t xml:space="preserve">נחושה </w:t>
      </w:r>
      <w:bookmarkStart w:id="80074" w:name="_ETM_Q157_607659"/>
      <w:bookmarkEnd w:id="80074"/>
      <w:r>
        <w:rPr>
          <w:rFonts w:hint="cs"/>
          <w:rtl/>
        </w:rPr>
        <w:t xml:space="preserve">להחזיר </w:t>
      </w:r>
      <w:bookmarkStart w:id="80075" w:name="_ETM_Q157_608260"/>
      <w:bookmarkEnd w:id="80075"/>
      <w:r>
        <w:rPr>
          <w:rFonts w:hint="cs"/>
          <w:rtl/>
        </w:rPr>
        <w:t xml:space="preserve">את </w:t>
      </w:r>
      <w:bookmarkStart w:id="80076" w:name="_ETM_Q157_608409"/>
      <w:bookmarkEnd w:id="80076"/>
      <w:r>
        <w:rPr>
          <w:rFonts w:hint="cs"/>
          <w:rtl/>
        </w:rPr>
        <w:t xml:space="preserve">המשילות, </w:t>
      </w:r>
      <w:bookmarkStart w:id="80077" w:name="_ETM_Q157_609760"/>
      <w:bookmarkEnd w:id="80077"/>
      <w:r>
        <w:rPr>
          <w:rFonts w:hint="cs"/>
          <w:rtl/>
        </w:rPr>
        <w:t xml:space="preserve">השקט </w:t>
      </w:r>
      <w:bookmarkStart w:id="80078" w:name="_ETM_Q157_610450"/>
      <w:bookmarkEnd w:id="80078"/>
      <w:r>
        <w:rPr>
          <w:rFonts w:hint="cs"/>
          <w:rtl/>
        </w:rPr>
        <w:t xml:space="preserve">והביטחון </w:t>
      </w:r>
      <w:bookmarkStart w:id="80079" w:name="_ETM_Q157_611290"/>
      <w:bookmarkEnd w:id="80079"/>
      <w:r>
        <w:rPr>
          <w:rFonts w:hint="cs"/>
          <w:rtl/>
        </w:rPr>
        <w:t xml:space="preserve">האישי </w:t>
      </w:r>
      <w:bookmarkStart w:id="80080" w:name="_ETM_Q157_612129"/>
      <w:bookmarkEnd w:id="80080"/>
      <w:r>
        <w:rPr>
          <w:rFonts w:hint="cs"/>
          <w:rtl/>
        </w:rPr>
        <w:t xml:space="preserve">לאזרחי </w:t>
      </w:r>
      <w:bookmarkStart w:id="80081" w:name="_ETM_Q157_612909"/>
      <w:bookmarkEnd w:id="80081"/>
      <w:r>
        <w:rPr>
          <w:rFonts w:hint="cs"/>
          <w:rtl/>
        </w:rPr>
        <w:t xml:space="preserve">ישראל. </w:t>
      </w:r>
      <w:bookmarkStart w:id="80082" w:name="_ETM_Q157_614530"/>
      <w:bookmarkStart w:id="80083" w:name="_ETM_Q157_612000"/>
      <w:bookmarkEnd w:id="80082"/>
      <w:bookmarkEnd w:id="80083"/>
      <w:r>
        <w:rPr>
          <w:rFonts w:hint="cs"/>
          <w:rtl/>
        </w:rPr>
        <w:t xml:space="preserve">את זה </w:t>
      </w:r>
      <w:bookmarkStart w:id="80084" w:name="_ETM_Q157_613000"/>
      <w:bookmarkEnd w:id="80084"/>
      <w:r>
        <w:rPr>
          <w:rFonts w:hint="cs"/>
          <w:rtl/>
        </w:rPr>
        <w:t xml:space="preserve">הוא אמר רק </w:t>
      </w:r>
      <w:bookmarkStart w:id="80085" w:name="_ETM_Q157_615280"/>
      <w:bookmarkStart w:id="80086" w:name="_ETM_Q157_615490"/>
      <w:bookmarkEnd w:id="80085"/>
      <w:bookmarkEnd w:id="80086"/>
      <w:r>
        <w:rPr>
          <w:rFonts w:hint="cs"/>
          <w:rtl/>
        </w:rPr>
        <w:t>לפני שבעה חודשים.</w:t>
      </w:r>
      <w:bookmarkStart w:id="80087" w:name="_ETM_Q157_615850"/>
      <w:bookmarkStart w:id="80088" w:name="_ETM_Q157_616210"/>
      <w:bookmarkStart w:id="80089" w:name="_ETM_Q157_617760"/>
      <w:bookmarkEnd w:id="80087"/>
      <w:bookmarkEnd w:id="80088"/>
      <w:bookmarkEnd w:id="80089"/>
      <w:r>
        <w:rPr>
          <w:rFonts w:hint="cs"/>
          <w:rtl/>
        </w:rPr>
        <w:t xml:space="preserve"> אדוני </w:t>
      </w:r>
      <w:bookmarkStart w:id="80090" w:name="_ETM_Q157_618180"/>
      <w:bookmarkEnd w:id="80090"/>
      <w:r>
        <w:rPr>
          <w:rFonts w:hint="cs"/>
          <w:rtl/>
        </w:rPr>
        <w:t xml:space="preserve">היושב-ראש, </w:t>
      </w:r>
      <w:bookmarkStart w:id="80091" w:name="_ETM_Q157_618840"/>
      <w:bookmarkEnd w:id="80091"/>
      <w:r>
        <w:rPr>
          <w:rFonts w:hint="cs"/>
          <w:rtl/>
        </w:rPr>
        <w:t xml:space="preserve">אף </w:t>
      </w:r>
      <w:bookmarkStart w:id="80092" w:name="_ETM_Q157_619200"/>
      <w:bookmarkEnd w:id="80092"/>
      <w:r>
        <w:rPr>
          <w:rFonts w:hint="cs"/>
          <w:rtl/>
        </w:rPr>
        <w:t xml:space="preserve">מילה </w:t>
      </w:r>
      <w:bookmarkStart w:id="80093" w:name="_ETM_Q157_620040"/>
      <w:bookmarkEnd w:id="80093"/>
      <w:r>
        <w:rPr>
          <w:rFonts w:hint="cs"/>
          <w:rtl/>
        </w:rPr>
        <w:t xml:space="preserve">על </w:t>
      </w:r>
      <w:bookmarkStart w:id="80094" w:name="_ETM_Q157_620250"/>
      <w:bookmarkEnd w:id="80094"/>
      <w:r>
        <w:rPr>
          <w:rFonts w:hint="cs"/>
          <w:rtl/>
        </w:rPr>
        <w:t xml:space="preserve">הרפורמה </w:t>
      </w:r>
      <w:bookmarkStart w:id="80095" w:name="_ETM_Q157_620849"/>
      <w:bookmarkEnd w:id="80095"/>
      <w:r>
        <w:rPr>
          <w:rFonts w:hint="cs"/>
          <w:rtl/>
        </w:rPr>
        <w:t xml:space="preserve">המשפטית. </w:t>
      </w:r>
      <w:bookmarkStart w:id="80096" w:name="_ETM_Q157_621920"/>
      <w:bookmarkEnd w:id="80096"/>
      <w:r>
        <w:rPr>
          <w:rFonts w:hint="cs"/>
          <w:rtl/>
        </w:rPr>
        <w:t xml:space="preserve">עברתי </w:t>
      </w:r>
      <w:bookmarkStart w:id="80097" w:name="_ETM_Q157_622580"/>
      <w:bookmarkEnd w:id="80097"/>
      <w:r>
        <w:rPr>
          <w:rFonts w:hint="cs"/>
          <w:rtl/>
        </w:rPr>
        <w:t xml:space="preserve">על </w:t>
      </w:r>
      <w:bookmarkStart w:id="80098" w:name="_ETM_Q157_622730"/>
      <w:bookmarkEnd w:id="80098"/>
      <w:r>
        <w:rPr>
          <w:rFonts w:hint="cs"/>
          <w:rtl/>
        </w:rPr>
        <w:t xml:space="preserve">כל </w:t>
      </w:r>
      <w:bookmarkStart w:id="80099" w:name="_ETM_Q157_623000"/>
      <w:bookmarkEnd w:id="80099"/>
      <w:r>
        <w:rPr>
          <w:rFonts w:hint="cs"/>
          <w:rtl/>
        </w:rPr>
        <w:t xml:space="preserve">הנאום ארבע </w:t>
      </w:r>
      <w:bookmarkStart w:id="80100" w:name="_ETM_Q157_623960"/>
      <w:bookmarkStart w:id="80101" w:name="_ETM_Q157_624350"/>
      <w:bookmarkEnd w:id="80100"/>
      <w:bookmarkEnd w:id="80101"/>
      <w:r>
        <w:rPr>
          <w:rFonts w:hint="cs"/>
          <w:rtl/>
        </w:rPr>
        <w:t>פעמים</w:t>
      </w:r>
      <w:bookmarkStart w:id="80102" w:name="_ETM_Q157_625670"/>
      <w:bookmarkEnd w:id="80102"/>
      <w:r>
        <w:rPr>
          <w:rFonts w:hint="cs"/>
          <w:rtl/>
        </w:rPr>
        <w:t>. הבן</w:t>
      </w:r>
      <w:bookmarkStart w:id="80103" w:name="_ETM_Q157_626000"/>
      <w:bookmarkEnd w:id="80103"/>
      <w:r>
        <w:rPr>
          <w:rFonts w:hint="cs"/>
          <w:rtl/>
        </w:rPr>
        <w:t xml:space="preserve"> אדם </w:t>
      </w:r>
      <w:bookmarkStart w:id="80104" w:name="_ETM_Q157_626330"/>
      <w:bookmarkEnd w:id="80104"/>
      <w:r>
        <w:rPr>
          <w:rFonts w:hint="cs"/>
          <w:rtl/>
        </w:rPr>
        <w:t xml:space="preserve">לא </w:t>
      </w:r>
      <w:bookmarkStart w:id="80105" w:name="_ETM_Q157_626510"/>
      <w:bookmarkEnd w:id="80105"/>
      <w:r>
        <w:rPr>
          <w:rFonts w:hint="cs"/>
          <w:rtl/>
        </w:rPr>
        <w:t xml:space="preserve">מזכיר </w:t>
      </w:r>
      <w:bookmarkStart w:id="80106" w:name="_ETM_Q157_627050"/>
      <w:bookmarkEnd w:id="80106"/>
      <w:r>
        <w:rPr>
          <w:rFonts w:hint="cs"/>
          <w:rtl/>
        </w:rPr>
        <w:t>פעם אחת</w:t>
      </w:r>
      <w:bookmarkStart w:id="80107" w:name="_ETM_Q157_627349"/>
      <w:bookmarkEnd w:id="80107"/>
      <w:r>
        <w:rPr>
          <w:rFonts w:hint="cs"/>
          <w:rtl/>
        </w:rPr>
        <w:t xml:space="preserve"> </w:t>
      </w:r>
      <w:bookmarkStart w:id="80108" w:name="_ETM_Q157_627830"/>
      <w:bookmarkEnd w:id="80108"/>
      <w:r>
        <w:rPr>
          <w:rFonts w:hint="cs"/>
          <w:rtl/>
        </w:rPr>
        <w:t xml:space="preserve">לא </w:t>
      </w:r>
      <w:bookmarkStart w:id="80109" w:name="_ETM_Q157_628069"/>
      <w:bookmarkEnd w:id="80109"/>
      <w:r>
        <w:rPr>
          <w:rFonts w:hint="cs"/>
          <w:rtl/>
        </w:rPr>
        <w:t xml:space="preserve">את עילת </w:t>
      </w:r>
      <w:bookmarkStart w:id="80110" w:name="_ETM_Q157_628519"/>
      <w:bookmarkEnd w:id="80110"/>
      <w:r>
        <w:rPr>
          <w:rFonts w:hint="cs"/>
          <w:rtl/>
        </w:rPr>
        <w:t xml:space="preserve">הסבירות </w:t>
      </w:r>
      <w:bookmarkStart w:id="80111" w:name="_ETM_Q157_629710"/>
      <w:bookmarkEnd w:id="80111"/>
      <w:r>
        <w:rPr>
          <w:rFonts w:hint="cs"/>
          <w:rtl/>
        </w:rPr>
        <w:t xml:space="preserve">ולא </w:t>
      </w:r>
      <w:bookmarkStart w:id="80112" w:name="_ETM_Q157_630220"/>
      <w:bookmarkEnd w:id="80112"/>
      <w:r>
        <w:rPr>
          <w:rFonts w:hint="cs"/>
          <w:rtl/>
        </w:rPr>
        <w:t>ועדה</w:t>
      </w:r>
      <w:bookmarkStart w:id="80113" w:name="_ETM_Q157_630700"/>
      <w:bookmarkStart w:id="80114" w:name="_ETM_Q157_631240"/>
      <w:bookmarkEnd w:id="80113"/>
      <w:bookmarkEnd w:id="80114"/>
      <w:r>
        <w:rPr>
          <w:rFonts w:hint="cs"/>
          <w:rtl/>
        </w:rPr>
        <w:t xml:space="preserve"> </w:t>
      </w:r>
      <w:bookmarkStart w:id="80115" w:name="_ETM_Q157_631630"/>
      <w:bookmarkEnd w:id="80115"/>
      <w:r>
        <w:rPr>
          <w:rFonts w:hint="cs"/>
          <w:rtl/>
        </w:rPr>
        <w:t xml:space="preserve">לבחירת </w:t>
      </w:r>
      <w:bookmarkStart w:id="80116" w:name="_ETM_Q157_632170"/>
      <w:bookmarkEnd w:id="80116"/>
      <w:r>
        <w:rPr>
          <w:rFonts w:hint="cs"/>
          <w:rtl/>
        </w:rPr>
        <w:t xml:space="preserve">שופטים, </w:t>
      </w:r>
      <w:bookmarkStart w:id="80117" w:name="_ETM_Q157_633280"/>
      <w:bookmarkEnd w:id="80117"/>
      <w:r>
        <w:rPr>
          <w:rFonts w:hint="cs"/>
          <w:rtl/>
        </w:rPr>
        <w:t xml:space="preserve">ולא </w:t>
      </w:r>
      <w:bookmarkStart w:id="80118" w:name="_ETM_Q157_633670"/>
      <w:bookmarkEnd w:id="80118"/>
      <w:r>
        <w:rPr>
          <w:rFonts w:hint="cs"/>
          <w:rtl/>
        </w:rPr>
        <w:t xml:space="preserve">שום </w:t>
      </w:r>
      <w:bookmarkStart w:id="80119" w:name="_ETM_Q157_633970"/>
      <w:bookmarkEnd w:id="80119"/>
      <w:r>
        <w:rPr>
          <w:rFonts w:hint="cs"/>
          <w:rtl/>
        </w:rPr>
        <w:t xml:space="preserve">דבר </w:t>
      </w:r>
      <w:bookmarkStart w:id="80120" w:name="_ETM_Q157_634299"/>
      <w:bookmarkEnd w:id="80120"/>
      <w:r>
        <w:rPr>
          <w:rFonts w:hint="cs"/>
          <w:rtl/>
        </w:rPr>
        <w:t xml:space="preserve">מן </w:t>
      </w:r>
      <w:bookmarkStart w:id="80121" w:name="_ETM_Q157_634510"/>
      <w:bookmarkEnd w:id="80121"/>
      <w:r>
        <w:rPr>
          <w:rFonts w:hint="cs"/>
          <w:rtl/>
        </w:rPr>
        <w:t xml:space="preserve">הסוג </w:t>
      </w:r>
      <w:bookmarkStart w:id="80122" w:name="_ETM_Q157_634900"/>
      <w:bookmarkEnd w:id="80122"/>
      <w:r>
        <w:rPr>
          <w:rFonts w:hint="cs"/>
          <w:rtl/>
        </w:rPr>
        <w:t xml:space="preserve">הזה. </w:t>
      </w:r>
      <w:bookmarkStart w:id="80123" w:name="_ETM_Q157_635800"/>
      <w:bookmarkEnd w:id="80123"/>
      <w:r>
        <w:rPr>
          <w:rFonts w:hint="cs"/>
          <w:rtl/>
        </w:rPr>
        <w:t xml:space="preserve">כל </w:t>
      </w:r>
      <w:bookmarkStart w:id="80124" w:name="_ETM_Q157_636129"/>
      <w:bookmarkEnd w:id="80124"/>
      <w:r>
        <w:rPr>
          <w:rFonts w:hint="cs"/>
          <w:rtl/>
        </w:rPr>
        <w:t xml:space="preserve">מה </w:t>
      </w:r>
      <w:bookmarkStart w:id="80125" w:name="_ETM_Q157_636340"/>
      <w:bookmarkEnd w:id="80125"/>
      <w:r>
        <w:rPr>
          <w:rFonts w:hint="cs"/>
          <w:rtl/>
        </w:rPr>
        <w:t xml:space="preserve">שהוא </w:t>
      </w:r>
      <w:bookmarkStart w:id="80126" w:name="_ETM_Q157_636640"/>
      <w:bookmarkEnd w:id="80126"/>
      <w:r>
        <w:rPr>
          <w:rFonts w:hint="cs"/>
          <w:rtl/>
        </w:rPr>
        <w:t xml:space="preserve">מדבר </w:t>
      </w:r>
      <w:bookmarkStart w:id="80127" w:name="_ETM_Q157_638190"/>
      <w:bookmarkEnd w:id="80127"/>
      <w:r>
        <w:rPr>
          <w:rFonts w:hint="cs"/>
          <w:rtl/>
        </w:rPr>
        <w:t>זה איראן</w:t>
      </w:r>
      <w:bookmarkStart w:id="80128" w:name="_ETM_Q157_638430"/>
      <w:bookmarkStart w:id="80129" w:name="_ETM_Q157_639330"/>
      <w:bookmarkEnd w:id="80128"/>
      <w:bookmarkEnd w:id="80129"/>
      <w:r>
        <w:rPr>
          <w:rFonts w:hint="cs"/>
          <w:rtl/>
        </w:rPr>
        <w:t xml:space="preserve"> והמשילות.</w:t>
      </w:r>
    </w:p>
    <w:p w:rsidR="00BB59CD" w:rsidRDefault="00BB59CD" w:rsidP="00BB59CD">
      <w:pPr>
        <w:rPr>
          <w:rtl/>
        </w:rPr>
      </w:pPr>
    </w:p>
    <w:p w:rsidR="00BB59CD" w:rsidRDefault="00BB59CD" w:rsidP="00BB59CD">
      <w:pPr>
        <w:rPr>
          <w:rtl/>
        </w:rPr>
      </w:pPr>
      <w:bookmarkStart w:id="80130" w:name="_ETM_Q157_642000"/>
      <w:bookmarkStart w:id="80131" w:name="_ETM_Q157_641390"/>
      <w:bookmarkEnd w:id="80130"/>
      <w:bookmarkEnd w:id="80131"/>
      <w:r>
        <w:rPr>
          <w:rFonts w:hint="cs"/>
          <w:rtl/>
        </w:rPr>
        <w:t xml:space="preserve">איפה </w:t>
      </w:r>
      <w:bookmarkStart w:id="80132" w:name="_ETM_Q157_641780"/>
      <w:bookmarkEnd w:id="80132"/>
      <w:r>
        <w:rPr>
          <w:rFonts w:hint="cs"/>
          <w:rtl/>
        </w:rPr>
        <w:t xml:space="preserve">אנחנו </w:t>
      </w:r>
      <w:bookmarkStart w:id="80133" w:name="_ETM_Q157_642140"/>
      <w:bookmarkEnd w:id="80133"/>
      <w:r>
        <w:rPr>
          <w:rFonts w:hint="cs"/>
          <w:rtl/>
        </w:rPr>
        <w:t xml:space="preserve">נמצאים </w:t>
      </w:r>
      <w:bookmarkStart w:id="80134" w:name="_ETM_Q157_642710"/>
      <w:bookmarkEnd w:id="80134"/>
      <w:r>
        <w:rPr>
          <w:rFonts w:hint="cs"/>
          <w:rtl/>
        </w:rPr>
        <w:t xml:space="preserve">היום? </w:t>
      </w:r>
      <w:bookmarkStart w:id="80135" w:name="_ETM_Q157_643900"/>
      <w:bookmarkEnd w:id="80135"/>
      <w:r>
        <w:rPr>
          <w:rFonts w:hint="cs"/>
          <w:rtl/>
        </w:rPr>
        <w:t xml:space="preserve">איפה </w:t>
      </w:r>
      <w:bookmarkStart w:id="80136" w:name="_ETM_Q157_644470"/>
      <w:bookmarkEnd w:id="80136"/>
      <w:r>
        <w:rPr>
          <w:rFonts w:hint="cs"/>
          <w:rtl/>
        </w:rPr>
        <w:t>איראן? איראן</w:t>
      </w:r>
      <w:bookmarkStart w:id="80137" w:name="_ETM_Q157_645790"/>
      <w:bookmarkEnd w:id="80137"/>
      <w:r>
        <w:rPr>
          <w:rFonts w:hint="cs"/>
          <w:rtl/>
        </w:rPr>
        <w:t xml:space="preserve"> </w:t>
      </w:r>
      <w:bookmarkStart w:id="80138" w:name="_ETM_Q157_646379"/>
      <w:bookmarkEnd w:id="80138"/>
      <w:r>
        <w:rPr>
          <w:rFonts w:hint="cs"/>
          <w:rtl/>
        </w:rPr>
        <w:t xml:space="preserve">בינתיים </w:t>
      </w:r>
      <w:bookmarkStart w:id="80139" w:name="_ETM_Q157_646980"/>
      <w:bookmarkEnd w:id="80139"/>
      <w:r>
        <w:rPr>
          <w:rFonts w:hint="cs"/>
          <w:rtl/>
        </w:rPr>
        <w:t xml:space="preserve">מחדשת </w:t>
      </w:r>
      <w:bookmarkStart w:id="80140" w:name="_ETM_Q157_648150"/>
      <w:bookmarkEnd w:id="80140"/>
      <w:r>
        <w:rPr>
          <w:rFonts w:hint="cs"/>
          <w:rtl/>
        </w:rPr>
        <w:t xml:space="preserve">יחסים </w:t>
      </w:r>
      <w:bookmarkStart w:id="80141" w:name="_ETM_Q157_648749"/>
      <w:bookmarkEnd w:id="80141"/>
      <w:r>
        <w:rPr>
          <w:rFonts w:hint="cs"/>
          <w:rtl/>
        </w:rPr>
        <w:t xml:space="preserve">דיפלומטיים </w:t>
      </w:r>
      <w:bookmarkStart w:id="80142" w:name="_ETM_Q157_650189"/>
      <w:bookmarkEnd w:id="80142"/>
      <w:r>
        <w:rPr>
          <w:rFonts w:hint="cs"/>
          <w:rtl/>
        </w:rPr>
        <w:t xml:space="preserve">עם </w:t>
      </w:r>
      <w:bookmarkStart w:id="80143" w:name="_ETM_Q157_650370"/>
      <w:bookmarkEnd w:id="80143"/>
      <w:r>
        <w:rPr>
          <w:rFonts w:hint="cs"/>
          <w:rtl/>
        </w:rPr>
        <w:t xml:space="preserve">ערב </w:t>
      </w:r>
      <w:bookmarkStart w:id="80144" w:name="_ETM_Q157_650730"/>
      <w:bookmarkEnd w:id="80144"/>
      <w:r>
        <w:rPr>
          <w:rFonts w:hint="cs"/>
          <w:rtl/>
        </w:rPr>
        <w:t>הסעודית. איראן</w:t>
      </w:r>
      <w:bookmarkStart w:id="80145" w:name="_ETM_Q157_652190"/>
      <w:bookmarkStart w:id="80146" w:name="_ETM_Q157_653000"/>
      <w:bookmarkEnd w:id="80145"/>
      <w:bookmarkEnd w:id="80146"/>
      <w:r>
        <w:rPr>
          <w:rFonts w:hint="cs"/>
          <w:rtl/>
        </w:rPr>
        <w:t xml:space="preserve"> מנהלת </w:t>
      </w:r>
      <w:bookmarkStart w:id="80147" w:name="_ETM_Q157_653900"/>
      <w:bookmarkEnd w:id="80147"/>
      <w:r>
        <w:rPr>
          <w:rFonts w:hint="cs"/>
          <w:rtl/>
        </w:rPr>
        <w:t xml:space="preserve">משא </w:t>
      </w:r>
      <w:bookmarkStart w:id="80148" w:name="_ETM_Q157_652000"/>
      <w:bookmarkEnd w:id="80148"/>
      <w:r>
        <w:rPr>
          <w:rFonts w:hint="cs"/>
          <w:rtl/>
        </w:rPr>
        <w:t xml:space="preserve">ומתן </w:t>
      </w:r>
      <w:bookmarkStart w:id="80149" w:name="_ETM_Q157_654860"/>
      <w:bookmarkEnd w:id="80149"/>
      <w:r>
        <w:rPr>
          <w:rFonts w:hint="cs"/>
          <w:rtl/>
        </w:rPr>
        <w:t xml:space="preserve">חשאי </w:t>
      </w:r>
      <w:bookmarkStart w:id="80150" w:name="_ETM_Q157_655430"/>
      <w:bookmarkEnd w:id="80150"/>
      <w:r>
        <w:rPr>
          <w:rFonts w:hint="cs"/>
          <w:rtl/>
        </w:rPr>
        <w:t xml:space="preserve">עם המערב </w:t>
      </w:r>
      <w:bookmarkStart w:id="80151" w:name="_ETM_Q157_656200"/>
      <w:bookmarkEnd w:id="80151"/>
      <w:r>
        <w:rPr>
          <w:rFonts w:hint="cs"/>
          <w:rtl/>
        </w:rPr>
        <w:t xml:space="preserve">על </w:t>
      </w:r>
      <w:bookmarkStart w:id="80152" w:name="_ETM_Q157_656530"/>
      <w:bookmarkEnd w:id="80152"/>
      <w:r>
        <w:rPr>
          <w:rFonts w:hint="cs"/>
          <w:rtl/>
        </w:rPr>
        <w:t xml:space="preserve">חידוש </w:t>
      </w:r>
      <w:bookmarkStart w:id="80153" w:name="_ETM_Q157_657010"/>
      <w:bookmarkEnd w:id="80153"/>
      <w:r>
        <w:rPr>
          <w:rFonts w:hint="cs"/>
          <w:rtl/>
        </w:rPr>
        <w:t xml:space="preserve">הסכם </w:t>
      </w:r>
      <w:bookmarkStart w:id="80154" w:name="_ETM_Q157_657490"/>
      <w:bookmarkEnd w:id="80154"/>
      <w:r>
        <w:rPr>
          <w:rFonts w:hint="cs"/>
          <w:rtl/>
        </w:rPr>
        <w:t xml:space="preserve">הגרעין. </w:t>
      </w:r>
      <w:bookmarkStart w:id="80155" w:name="_ETM_Q157_658800"/>
      <w:bookmarkEnd w:id="80155"/>
      <w:r>
        <w:rPr>
          <w:rFonts w:hint="cs"/>
          <w:rtl/>
        </w:rPr>
        <w:t xml:space="preserve">בינתיים </w:t>
      </w:r>
      <w:bookmarkStart w:id="80156" w:name="_ETM_Q157_659700"/>
      <w:bookmarkEnd w:id="80156"/>
      <w:r>
        <w:rPr>
          <w:rFonts w:hint="cs"/>
          <w:rtl/>
        </w:rPr>
        <w:t xml:space="preserve">חיזבאללה </w:t>
      </w:r>
      <w:bookmarkStart w:id="80157" w:name="_ETM_Q157_661209"/>
      <w:bookmarkEnd w:id="80157"/>
      <w:r>
        <w:rPr>
          <w:rFonts w:hint="cs"/>
          <w:rtl/>
        </w:rPr>
        <w:t xml:space="preserve">מקים לנו </w:t>
      </w:r>
      <w:bookmarkStart w:id="80158" w:name="_ETM_Q157_661689"/>
      <w:bookmarkStart w:id="80159" w:name="_ETM_Q157_662169"/>
      <w:bookmarkEnd w:id="80158"/>
      <w:bookmarkEnd w:id="80159"/>
      <w:r>
        <w:rPr>
          <w:rFonts w:hint="cs"/>
          <w:rtl/>
        </w:rPr>
        <w:t xml:space="preserve">התנחלויות </w:t>
      </w:r>
      <w:bookmarkStart w:id="80160" w:name="_ETM_Q157_662950"/>
      <w:bookmarkEnd w:id="80160"/>
      <w:r>
        <w:rPr>
          <w:rFonts w:hint="cs"/>
          <w:rtl/>
        </w:rPr>
        <w:t xml:space="preserve">בלתי </w:t>
      </w:r>
      <w:bookmarkStart w:id="80161" w:name="_ETM_Q157_663430"/>
      <w:bookmarkEnd w:id="80161"/>
      <w:r>
        <w:rPr>
          <w:rFonts w:hint="cs"/>
          <w:rtl/>
        </w:rPr>
        <w:t xml:space="preserve">חוקית </w:t>
      </w:r>
      <w:bookmarkStart w:id="80162" w:name="_ETM_Q157_663939"/>
      <w:bookmarkEnd w:id="80162"/>
      <w:r>
        <w:rPr>
          <w:rFonts w:hint="cs"/>
          <w:rtl/>
        </w:rPr>
        <w:t xml:space="preserve">על </w:t>
      </w:r>
      <w:bookmarkStart w:id="80163" w:name="_ETM_Q157_664090"/>
      <w:bookmarkEnd w:id="80163"/>
      <w:r>
        <w:rPr>
          <w:rFonts w:hint="cs"/>
          <w:rtl/>
        </w:rPr>
        <w:t xml:space="preserve">שטח </w:t>
      </w:r>
      <w:bookmarkStart w:id="80164" w:name="_ETM_Q157_664569"/>
      <w:bookmarkEnd w:id="80164"/>
      <w:r>
        <w:rPr>
          <w:rFonts w:hint="cs"/>
          <w:rtl/>
        </w:rPr>
        <w:t xml:space="preserve">ריבוני </w:t>
      </w:r>
      <w:bookmarkStart w:id="80165" w:name="_ETM_Q157_665489"/>
      <w:bookmarkEnd w:id="80165"/>
      <w:r>
        <w:rPr>
          <w:rFonts w:hint="cs"/>
          <w:rtl/>
        </w:rPr>
        <w:t xml:space="preserve">שלנו </w:t>
      </w:r>
      <w:bookmarkStart w:id="80166" w:name="_ETM_Q157_666090"/>
      <w:bookmarkEnd w:id="80166"/>
      <w:r>
        <w:rPr>
          <w:rFonts w:hint="cs"/>
          <w:rtl/>
        </w:rPr>
        <w:t xml:space="preserve">בצפון. </w:t>
      </w:r>
      <w:bookmarkStart w:id="80167" w:name="_ETM_Q157_667810"/>
      <w:bookmarkEnd w:id="80167"/>
      <w:r>
        <w:rPr>
          <w:rFonts w:hint="cs"/>
          <w:rtl/>
        </w:rPr>
        <w:t xml:space="preserve">אנשי </w:t>
      </w:r>
      <w:bookmarkStart w:id="80168" w:name="_ETM_Q157_668260"/>
      <w:bookmarkEnd w:id="80168"/>
      <w:r>
        <w:rPr>
          <w:rFonts w:hint="cs"/>
          <w:rtl/>
        </w:rPr>
        <w:t xml:space="preserve">חיזבאללה </w:t>
      </w:r>
      <w:bookmarkStart w:id="80169" w:name="_ETM_Q157_668950"/>
      <w:bookmarkEnd w:id="80169"/>
      <w:r>
        <w:rPr>
          <w:rFonts w:hint="cs"/>
          <w:rtl/>
        </w:rPr>
        <w:t xml:space="preserve">מפרקים </w:t>
      </w:r>
      <w:bookmarkStart w:id="80170" w:name="_ETM_Q157_669970"/>
      <w:bookmarkEnd w:id="80170"/>
      <w:r>
        <w:rPr>
          <w:rFonts w:hint="cs"/>
          <w:rtl/>
        </w:rPr>
        <w:t xml:space="preserve">מצלמות </w:t>
      </w:r>
      <w:bookmarkStart w:id="80171" w:name="_ETM_Q157_670660"/>
      <w:bookmarkEnd w:id="80171"/>
      <w:r>
        <w:rPr>
          <w:rFonts w:hint="cs"/>
          <w:rtl/>
        </w:rPr>
        <w:t xml:space="preserve">של </w:t>
      </w:r>
      <w:bookmarkStart w:id="80172" w:name="_ETM_Q157_670870"/>
      <w:bookmarkEnd w:id="80172"/>
      <w:r>
        <w:rPr>
          <w:rFonts w:hint="cs"/>
          <w:rtl/>
        </w:rPr>
        <w:t xml:space="preserve">רפאל </w:t>
      </w:r>
      <w:bookmarkStart w:id="80173" w:name="_ETM_Q157_671770"/>
      <w:bookmarkEnd w:id="80173"/>
      <w:r>
        <w:rPr>
          <w:rFonts w:hint="cs"/>
          <w:rtl/>
        </w:rPr>
        <w:t xml:space="preserve">על </w:t>
      </w:r>
      <w:bookmarkStart w:id="80174" w:name="_ETM_Q157_671980"/>
      <w:bookmarkEnd w:id="80174"/>
      <w:r>
        <w:rPr>
          <w:rFonts w:hint="cs"/>
          <w:rtl/>
        </w:rPr>
        <w:t xml:space="preserve">הגדר </w:t>
      </w:r>
      <w:bookmarkStart w:id="80175" w:name="_ETM_Q157_672459"/>
      <w:bookmarkEnd w:id="80175"/>
      <w:r>
        <w:rPr>
          <w:rFonts w:hint="cs"/>
          <w:rtl/>
        </w:rPr>
        <w:t xml:space="preserve">שלנו, </w:t>
      </w:r>
      <w:bookmarkStart w:id="80176" w:name="_ETM_Q157_673569"/>
      <w:bookmarkEnd w:id="80176"/>
      <w:r>
        <w:rPr>
          <w:rFonts w:hint="cs"/>
          <w:rtl/>
        </w:rPr>
        <w:t xml:space="preserve">וראש </w:t>
      </w:r>
      <w:bookmarkStart w:id="80177" w:name="_ETM_Q157_674110"/>
      <w:bookmarkEnd w:id="80177"/>
      <w:r>
        <w:rPr>
          <w:rFonts w:hint="cs"/>
          <w:rtl/>
        </w:rPr>
        <w:t xml:space="preserve">הממשלה </w:t>
      </w:r>
      <w:bookmarkStart w:id="80178" w:name="_ETM_Q157_675260"/>
      <w:bookmarkEnd w:id="80178"/>
      <w:r>
        <w:rPr>
          <w:rFonts w:hint="cs"/>
          <w:rtl/>
        </w:rPr>
        <w:t xml:space="preserve">ממשיך </w:t>
      </w:r>
      <w:bookmarkStart w:id="80179" w:name="_ETM_Q157_675800"/>
      <w:bookmarkEnd w:id="80179"/>
      <w:r>
        <w:rPr>
          <w:rFonts w:hint="cs"/>
          <w:rtl/>
        </w:rPr>
        <w:t xml:space="preserve">לגמגם. </w:t>
      </w:r>
      <w:bookmarkStart w:id="80180" w:name="_ETM_Q157_676910"/>
      <w:bookmarkEnd w:id="80180"/>
      <w:r>
        <w:rPr>
          <w:rFonts w:hint="cs"/>
          <w:rtl/>
        </w:rPr>
        <w:t xml:space="preserve">שום </w:t>
      </w:r>
      <w:bookmarkStart w:id="80181" w:name="_ETM_Q157_677270"/>
      <w:bookmarkEnd w:id="80181"/>
      <w:r>
        <w:rPr>
          <w:rFonts w:hint="cs"/>
          <w:rtl/>
        </w:rPr>
        <w:t xml:space="preserve">תגובה. </w:t>
      </w:r>
      <w:bookmarkStart w:id="80182" w:name="_ETM_Q157_678470"/>
      <w:bookmarkEnd w:id="80182"/>
      <w:r>
        <w:rPr>
          <w:rFonts w:hint="cs"/>
          <w:rtl/>
        </w:rPr>
        <w:t xml:space="preserve">ממשלת </w:t>
      </w:r>
      <w:bookmarkStart w:id="80183" w:name="_ETM_Q157_679190"/>
      <w:bookmarkEnd w:id="80183"/>
      <w:r>
        <w:rPr>
          <w:rFonts w:hint="cs"/>
          <w:rtl/>
        </w:rPr>
        <w:t xml:space="preserve">ימין </w:t>
      </w:r>
      <w:bookmarkStart w:id="80184" w:name="_ETM_Q157_679640"/>
      <w:bookmarkEnd w:id="80184"/>
      <w:r>
        <w:rPr>
          <w:rFonts w:hint="cs"/>
          <w:rtl/>
        </w:rPr>
        <w:t>מלא</w:t>
      </w:r>
      <w:bookmarkStart w:id="80185" w:name="_ETM_Q157_680030"/>
      <w:bookmarkEnd w:id="80185"/>
      <w:r>
        <w:rPr>
          <w:rFonts w:hint="cs"/>
          <w:rtl/>
        </w:rPr>
        <w:t xml:space="preserve"> מלא.</w:t>
      </w:r>
    </w:p>
    <w:p w:rsidR="00BB59CD" w:rsidRDefault="00BB59CD" w:rsidP="00BB59CD">
      <w:pPr>
        <w:rPr>
          <w:rtl/>
        </w:rPr>
      </w:pPr>
    </w:p>
    <w:p w:rsidR="00BB59CD" w:rsidRDefault="00BB59CD" w:rsidP="00BB59CD">
      <w:pPr>
        <w:rPr>
          <w:rtl/>
        </w:rPr>
      </w:pPr>
      <w:bookmarkStart w:id="80186" w:name="_ETM_Q157_678000"/>
      <w:bookmarkStart w:id="80187" w:name="_ETM_Q157_681430"/>
      <w:bookmarkEnd w:id="80186"/>
      <w:bookmarkEnd w:id="80187"/>
      <w:r>
        <w:rPr>
          <w:rFonts w:hint="cs"/>
          <w:rtl/>
        </w:rPr>
        <w:t xml:space="preserve">ואני </w:t>
      </w:r>
      <w:bookmarkStart w:id="80188" w:name="_ETM_Q157_681819"/>
      <w:bookmarkEnd w:id="80188"/>
      <w:r>
        <w:rPr>
          <w:rFonts w:hint="cs"/>
          <w:rtl/>
        </w:rPr>
        <w:t xml:space="preserve">ממשיך, </w:t>
      </w:r>
      <w:bookmarkStart w:id="80189" w:name="_ETM_Q157_683829"/>
      <w:bookmarkEnd w:id="80189"/>
      <w:r>
        <w:rPr>
          <w:rFonts w:hint="cs"/>
          <w:rtl/>
        </w:rPr>
        <w:t xml:space="preserve">אדוני </w:t>
      </w:r>
      <w:bookmarkStart w:id="80190" w:name="_ETM_Q157_684279"/>
      <w:bookmarkEnd w:id="80190"/>
      <w:r>
        <w:rPr>
          <w:rFonts w:hint="cs"/>
          <w:rtl/>
        </w:rPr>
        <w:t>היושב-ראש,</w:t>
      </w:r>
      <w:bookmarkStart w:id="80191" w:name="_ETM_Q157_686680"/>
      <w:bookmarkStart w:id="80192" w:name="_ETM_Q157_686829"/>
      <w:bookmarkStart w:id="80193" w:name="_ETM_Q157_687790"/>
      <w:bookmarkEnd w:id="80191"/>
      <w:bookmarkEnd w:id="80192"/>
      <w:bookmarkEnd w:id="80193"/>
      <w:r>
        <w:rPr>
          <w:rFonts w:hint="cs"/>
          <w:rtl/>
        </w:rPr>
        <w:t xml:space="preserve"> מדבריו </w:t>
      </w:r>
      <w:bookmarkStart w:id="80194" w:name="_ETM_Q157_688359"/>
      <w:bookmarkEnd w:id="80194"/>
      <w:r>
        <w:rPr>
          <w:rFonts w:hint="cs"/>
          <w:rtl/>
        </w:rPr>
        <w:t xml:space="preserve">של </w:t>
      </w:r>
      <w:bookmarkStart w:id="80195" w:name="_ETM_Q157_688569"/>
      <w:bookmarkEnd w:id="80195"/>
      <w:r>
        <w:rPr>
          <w:rFonts w:hint="cs"/>
          <w:rtl/>
        </w:rPr>
        <w:t xml:space="preserve">נתניהו, </w:t>
      </w:r>
      <w:bookmarkStart w:id="80196" w:name="_ETM_Q157_689319"/>
      <w:bookmarkEnd w:id="80196"/>
      <w:r>
        <w:rPr>
          <w:rFonts w:hint="cs"/>
          <w:rtl/>
        </w:rPr>
        <w:t xml:space="preserve">כאשר </w:t>
      </w:r>
      <w:bookmarkStart w:id="80197" w:name="_ETM_Q157_689739"/>
      <w:bookmarkEnd w:id="80197"/>
      <w:r>
        <w:rPr>
          <w:rFonts w:hint="cs"/>
          <w:rtl/>
        </w:rPr>
        <w:t xml:space="preserve">הוא </w:t>
      </w:r>
      <w:bookmarkStart w:id="80198" w:name="_ETM_Q157_689829"/>
      <w:bookmarkEnd w:id="80198"/>
      <w:r>
        <w:rPr>
          <w:rFonts w:hint="cs"/>
          <w:rtl/>
        </w:rPr>
        <w:t xml:space="preserve">קיבל </w:t>
      </w:r>
      <w:bookmarkStart w:id="80199" w:name="_ETM_Q157_690279"/>
      <w:bookmarkEnd w:id="80199"/>
      <w:r>
        <w:rPr>
          <w:rFonts w:hint="cs"/>
          <w:rtl/>
        </w:rPr>
        <w:t xml:space="preserve">מנדט </w:t>
      </w:r>
      <w:bookmarkStart w:id="80200" w:name="_ETM_Q157_691380"/>
      <w:bookmarkEnd w:id="80200"/>
      <w:r>
        <w:rPr>
          <w:rFonts w:hint="cs"/>
          <w:rtl/>
        </w:rPr>
        <w:t xml:space="preserve">להרכבת </w:t>
      </w:r>
      <w:bookmarkStart w:id="80201" w:name="_ETM_Q157_692160"/>
      <w:bookmarkEnd w:id="80201"/>
      <w:r>
        <w:rPr>
          <w:rFonts w:hint="cs"/>
          <w:rtl/>
        </w:rPr>
        <w:t xml:space="preserve">ממשלה </w:t>
      </w:r>
      <w:bookmarkStart w:id="80202" w:name="_ETM_Q157_693580"/>
      <w:bookmarkEnd w:id="80202"/>
      <w:r>
        <w:rPr>
          <w:rFonts w:hint="cs"/>
          <w:rtl/>
        </w:rPr>
        <w:t xml:space="preserve">ב-13 בנובמבר 2022. </w:t>
      </w:r>
      <w:bookmarkStart w:id="80203" w:name="_ETM_Q157_698269"/>
      <w:bookmarkEnd w:id="80203"/>
      <w:r>
        <w:rPr>
          <w:rFonts w:hint="cs"/>
          <w:rtl/>
        </w:rPr>
        <w:t xml:space="preserve">עוד </w:t>
      </w:r>
      <w:bookmarkStart w:id="80204" w:name="_ETM_Q157_698540"/>
      <w:bookmarkEnd w:id="80204"/>
      <w:r>
        <w:rPr>
          <w:rFonts w:hint="cs"/>
          <w:rtl/>
        </w:rPr>
        <w:t xml:space="preserve">פעם </w:t>
      </w:r>
      <w:bookmarkStart w:id="80205" w:name="_ETM_Q157_699439"/>
      <w:bookmarkEnd w:id="80205"/>
      <w:r>
        <w:rPr>
          <w:rFonts w:hint="cs"/>
          <w:rtl/>
        </w:rPr>
        <w:t xml:space="preserve">באותו </w:t>
      </w:r>
      <w:bookmarkStart w:id="80206" w:name="_ETM_Q157_700099"/>
      <w:bookmarkEnd w:id="80206"/>
      <w:r>
        <w:rPr>
          <w:rFonts w:hint="cs"/>
          <w:rtl/>
        </w:rPr>
        <w:t xml:space="preserve">טקס, </w:t>
      </w:r>
      <w:bookmarkStart w:id="80207" w:name="_ETM_Q157_700790"/>
      <w:bookmarkEnd w:id="80207"/>
      <w:r>
        <w:rPr>
          <w:rFonts w:hint="cs"/>
          <w:rtl/>
        </w:rPr>
        <w:t xml:space="preserve">כך </w:t>
      </w:r>
      <w:bookmarkStart w:id="80208" w:name="_ETM_Q157_701059"/>
      <w:bookmarkEnd w:id="80208"/>
      <w:r>
        <w:rPr>
          <w:rFonts w:hint="cs"/>
          <w:rtl/>
        </w:rPr>
        <w:t xml:space="preserve">אמר </w:t>
      </w:r>
      <w:bookmarkStart w:id="80209" w:name="_ETM_Q157_701420"/>
      <w:bookmarkEnd w:id="80209"/>
      <w:r>
        <w:rPr>
          <w:rFonts w:hint="cs"/>
          <w:rtl/>
        </w:rPr>
        <w:t xml:space="preserve">ראש </w:t>
      </w:r>
      <w:bookmarkStart w:id="80210" w:name="_ETM_Q157_701659"/>
      <w:bookmarkEnd w:id="80210"/>
      <w:r>
        <w:rPr>
          <w:rFonts w:hint="cs"/>
          <w:rtl/>
        </w:rPr>
        <w:t xml:space="preserve">ממשלה: </w:t>
      </w:r>
      <w:bookmarkStart w:id="80211" w:name="_ETM_Q157_703230"/>
      <w:bookmarkEnd w:id="80211"/>
      <w:r>
        <w:rPr>
          <w:rFonts w:hint="cs"/>
          <w:rtl/>
        </w:rPr>
        <w:t xml:space="preserve">ציבור </w:t>
      </w:r>
      <w:bookmarkStart w:id="80212" w:name="_ETM_Q157_703709"/>
      <w:bookmarkEnd w:id="80212"/>
      <w:r>
        <w:rPr>
          <w:rFonts w:hint="cs"/>
          <w:rtl/>
        </w:rPr>
        <w:t xml:space="preserve">המצביעים </w:t>
      </w:r>
      <w:bookmarkStart w:id="80213" w:name="_ETM_Q157_704610"/>
      <w:bookmarkEnd w:id="80213"/>
      <w:r>
        <w:rPr>
          <w:rFonts w:hint="cs"/>
          <w:rtl/>
        </w:rPr>
        <w:t xml:space="preserve">נתן </w:t>
      </w:r>
      <w:bookmarkStart w:id="80214" w:name="_ETM_Q157_705120"/>
      <w:bookmarkEnd w:id="80214"/>
      <w:r>
        <w:rPr>
          <w:rFonts w:hint="cs"/>
          <w:rtl/>
        </w:rPr>
        <w:t xml:space="preserve">אמון </w:t>
      </w:r>
      <w:bookmarkStart w:id="80215" w:name="_ETM_Q157_705569"/>
      <w:bookmarkEnd w:id="80215"/>
      <w:r>
        <w:rPr>
          <w:rFonts w:hint="cs"/>
          <w:rtl/>
        </w:rPr>
        <w:t>חד</w:t>
      </w:r>
      <w:bookmarkStart w:id="80216" w:name="_ETM_Q157_705870"/>
      <w:bookmarkEnd w:id="80216"/>
      <w:r>
        <w:rPr>
          <w:rFonts w:hint="cs"/>
          <w:rtl/>
        </w:rPr>
        <w:t xml:space="preserve">-משמעי </w:t>
      </w:r>
      <w:bookmarkStart w:id="80217" w:name="_ETM_Q157_706500"/>
      <w:bookmarkEnd w:id="80217"/>
      <w:r>
        <w:rPr>
          <w:rFonts w:hint="cs"/>
          <w:rtl/>
        </w:rPr>
        <w:t xml:space="preserve">בי </w:t>
      </w:r>
      <w:bookmarkStart w:id="80218" w:name="_ETM_Q157_707190"/>
      <w:bookmarkStart w:id="80219" w:name="_ETM_Q157_707340"/>
      <w:bookmarkEnd w:id="80218"/>
      <w:bookmarkEnd w:id="80219"/>
      <w:r>
        <w:rPr>
          <w:rFonts w:hint="cs"/>
          <w:rtl/>
        </w:rPr>
        <w:t xml:space="preserve">ובליכוד, </w:t>
      </w:r>
      <w:bookmarkStart w:id="80220" w:name="_ETM_Q157_708760"/>
      <w:bookmarkEnd w:id="80220"/>
      <w:r>
        <w:rPr>
          <w:rFonts w:hint="cs"/>
          <w:rtl/>
        </w:rPr>
        <w:t xml:space="preserve">כמו </w:t>
      </w:r>
      <w:bookmarkStart w:id="80221" w:name="_ETM_Q157_709090"/>
      <w:bookmarkEnd w:id="80221"/>
      <w:r>
        <w:rPr>
          <w:rFonts w:hint="cs"/>
          <w:rtl/>
        </w:rPr>
        <w:t xml:space="preserve">גם </w:t>
      </w:r>
      <w:bookmarkStart w:id="80222" w:name="_ETM_Q157_709420"/>
      <w:bookmarkEnd w:id="80222"/>
      <w:r>
        <w:rPr>
          <w:rFonts w:hint="cs"/>
          <w:rtl/>
        </w:rPr>
        <w:t xml:space="preserve">במפלגות </w:t>
      </w:r>
      <w:bookmarkStart w:id="80223" w:name="_ETM_Q157_710140"/>
      <w:bookmarkEnd w:id="80223"/>
      <w:r>
        <w:rPr>
          <w:rFonts w:hint="cs"/>
          <w:rtl/>
        </w:rPr>
        <w:t xml:space="preserve">השותפות </w:t>
      </w:r>
      <w:bookmarkStart w:id="80224" w:name="_ETM_Q157_710830"/>
      <w:bookmarkEnd w:id="80224"/>
      <w:r>
        <w:rPr>
          <w:rFonts w:hint="cs"/>
          <w:rtl/>
        </w:rPr>
        <w:t xml:space="preserve">לדרכנו. </w:t>
      </w:r>
      <w:bookmarkStart w:id="80225" w:name="_ETM_Q157_712750"/>
      <w:bookmarkEnd w:id="80225"/>
      <w:r>
        <w:rPr>
          <w:rFonts w:hint="cs"/>
          <w:rtl/>
        </w:rPr>
        <w:t xml:space="preserve">אבל </w:t>
      </w:r>
      <w:bookmarkStart w:id="80226" w:name="_ETM_Q157_713200"/>
      <w:bookmarkEnd w:id="80226"/>
      <w:r>
        <w:rPr>
          <w:rFonts w:hint="cs"/>
          <w:rtl/>
        </w:rPr>
        <w:t xml:space="preserve">אני </w:t>
      </w:r>
      <w:bookmarkStart w:id="80227" w:name="_ETM_Q157_713380"/>
      <w:bookmarkEnd w:id="80227"/>
      <w:r>
        <w:rPr>
          <w:rFonts w:hint="cs"/>
          <w:rtl/>
        </w:rPr>
        <w:t xml:space="preserve">רוצה </w:t>
      </w:r>
      <w:bookmarkStart w:id="80228" w:name="_ETM_Q157_713740"/>
      <w:bookmarkEnd w:id="80228"/>
      <w:r>
        <w:rPr>
          <w:rFonts w:hint="cs"/>
          <w:rtl/>
        </w:rPr>
        <w:t>לומר</w:t>
      </w:r>
      <w:bookmarkStart w:id="80229" w:name="_ETM_Q157_714959"/>
      <w:bookmarkEnd w:id="80229"/>
      <w:r>
        <w:rPr>
          <w:rFonts w:hint="cs"/>
          <w:rtl/>
        </w:rPr>
        <w:t xml:space="preserve">: </w:t>
      </w:r>
      <w:bookmarkStart w:id="80230" w:name="_ETM_Q157_713000"/>
      <w:bookmarkEnd w:id="80230"/>
      <w:r>
        <w:rPr>
          <w:rFonts w:hint="cs"/>
          <w:rtl/>
        </w:rPr>
        <w:t xml:space="preserve">אני </w:t>
      </w:r>
      <w:bookmarkStart w:id="80231" w:name="_ETM_Q157_715290"/>
      <w:bookmarkEnd w:id="80231"/>
      <w:r>
        <w:rPr>
          <w:rFonts w:hint="cs"/>
          <w:rtl/>
        </w:rPr>
        <w:t xml:space="preserve">מתכוון </w:t>
      </w:r>
      <w:bookmarkStart w:id="80232" w:name="_ETM_Q157_715949"/>
      <w:bookmarkEnd w:id="80232"/>
      <w:r>
        <w:rPr>
          <w:rFonts w:hint="cs"/>
          <w:rtl/>
        </w:rPr>
        <w:t xml:space="preserve">להיות </w:t>
      </w:r>
      <w:bookmarkStart w:id="80233" w:name="_ETM_Q157_716309"/>
      <w:bookmarkEnd w:id="80233"/>
      <w:r>
        <w:rPr>
          <w:rFonts w:hint="cs"/>
          <w:rtl/>
        </w:rPr>
        <w:t xml:space="preserve">ראש </w:t>
      </w:r>
      <w:bookmarkStart w:id="80234" w:name="_ETM_Q157_716609"/>
      <w:bookmarkEnd w:id="80234"/>
      <w:r>
        <w:rPr>
          <w:rFonts w:hint="cs"/>
          <w:rtl/>
        </w:rPr>
        <w:t xml:space="preserve">ממשלה </w:t>
      </w:r>
      <w:bookmarkStart w:id="80235" w:name="_ETM_Q157_717239"/>
      <w:bookmarkEnd w:id="80235"/>
      <w:r>
        <w:rPr>
          <w:rFonts w:hint="cs"/>
          <w:rtl/>
        </w:rPr>
        <w:t xml:space="preserve">של </w:t>
      </w:r>
      <w:bookmarkStart w:id="80236" w:name="_ETM_Q157_717510"/>
      <w:bookmarkEnd w:id="80236"/>
      <w:r>
        <w:rPr>
          <w:rFonts w:hint="cs"/>
          <w:rtl/>
        </w:rPr>
        <w:t>כולם</w:t>
      </w:r>
      <w:bookmarkStart w:id="80237" w:name="_ETM_Q157_718650"/>
      <w:bookmarkEnd w:id="80237"/>
      <w:r>
        <w:rPr>
          <w:rFonts w:hint="cs"/>
          <w:rtl/>
        </w:rPr>
        <w:t xml:space="preserve">, של </w:t>
      </w:r>
      <w:bookmarkStart w:id="80238" w:name="_ETM_Q157_718919"/>
      <w:bookmarkEnd w:id="80238"/>
      <w:r>
        <w:rPr>
          <w:rFonts w:hint="cs"/>
          <w:rtl/>
        </w:rPr>
        <w:t xml:space="preserve">מי </w:t>
      </w:r>
      <w:bookmarkStart w:id="80239" w:name="_ETM_Q157_719129"/>
      <w:bookmarkEnd w:id="80239"/>
      <w:r>
        <w:rPr>
          <w:rFonts w:hint="cs"/>
          <w:rtl/>
        </w:rPr>
        <w:t xml:space="preserve">שבחרו </w:t>
      </w:r>
      <w:bookmarkStart w:id="80240" w:name="_ETM_Q157_719819"/>
      <w:bookmarkEnd w:id="80240"/>
      <w:r>
        <w:rPr>
          <w:rFonts w:hint="cs"/>
          <w:rtl/>
        </w:rPr>
        <w:t xml:space="preserve">בי </w:t>
      </w:r>
      <w:bookmarkStart w:id="80241" w:name="_ETM_Q157_720599"/>
      <w:bookmarkEnd w:id="80241"/>
      <w:r>
        <w:rPr>
          <w:rFonts w:hint="cs"/>
          <w:rtl/>
        </w:rPr>
        <w:t xml:space="preserve">ושל </w:t>
      </w:r>
      <w:bookmarkStart w:id="80242" w:name="_ETM_Q157_721049"/>
      <w:bookmarkEnd w:id="80242"/>
      <w:r>
        <w:rPr>
          <w:rFonts w:hint="cs"/>
          <w:rtl/>
        </w:rPr>
        <w:t xml:space="preserve">מי </w:t>
      </w:r>
      <w:bookmarkStart w:id="80243" w:name="_ETM_Q157_721260"/>
      <w:bookmarkEnd w:id="80243"/>
      <w:r>
        <w:rPr>
          <w:rFonts w:hint="cs"/>
          <w:rtl/>
        </w:rPr>
        <w:t xml:space="preserve">שלא </w:t>
      </w:r>
      <w:bookmarkStart w:id="80244" w:name="_ETM_Q157_721650"/>
      <w:bookmarkEnd w:id="80244"/>
      <w:r>
        <w:rPr>
          <w:rFonts w:hint="cs"/>
          <w:rtl/>
        </w:rPr>
        <w:t xml:space="preserve">בחרו </w:t>
      </w:r>
      <w:bookmarkStart w:id="80245" w:name="_ETM_Q157_722159"/>
      <w:bookmarkEnd w:id="80245"/>
      <w:r>
        <w:rPr>
          <w:rFonts w:hint="cs"/>
          <w:rtl/>
        </w:rPr>
        <w:t xml:space="preserve">בי. </w:t>
      </w:r>
      <w:bookmarkStart w:id="80246" w:name="_ETM_Q157_723390"/>
      <w:bookmarkEnd w:id="80246"/>
    </w:p>
    <w:p w:rsidR="00BB59CD" w:rsidRDefault="00BB59CD" w:rsidP="00F615BC">
      <w:pPr>
        <w:ind w:firstLine="0"/>
        <w:rPr>
          <w:rtl/>
        </w:rPr>
      </w:pPr>
    </w:p>
    <w:p w:rsidR="00BB59CD" w:rsidRDefault="00BB59CD" w:rsidP="00BB59CD">
      <w:pPr>
        <w:rPr>
          <w:rtl/>
        </w:rPr>
      </w:pPr>
      <w:bookmarkStart w:id="80247" w:name="_ETM_Q157_722000"/>
      <w:bookmarkStart w:id="80248" w:name="_ETM_Q157_723630"/>
      <w:bookmarkEnd w:id="80247"/>
      <w:bookmarkEnd w:id="80248"/>
      <w:r>
        <w:rPr>
          <w:rFonts w:hint="cs"/>
          <w:rtl/>
        </w:rPr>
        <w:t xml:space="preserve">ואני </w:t>
      </w:r>
      <w:bookmarkStart w:id="80249" w:name="_ETM_Q157_723809"/>
      <w:bookmarkEnd w:id="80249"/>
      <w:r>
        <w:rPr>
          <w:rFonts w:hint="cs"/>
          <w:rtl/>
        </w:rPr>
        <w:t xml:space="preserve">שואל </w:t>
      </w:r>
      <w:bookmarkStart w:id="80250" w:name="_ETM_Q157_724080"/>
      <w:bookmarkEnd w:id="80250"/>
      <w:r>
        <w:rPr>
          <w:rFonts w:hint="cs"/>
          <w:rtl/>
        </w:rPr>
        <w:t xml:space="preserve">את </w:t>
      </w:r>
      <w:bookmarkStart w:id="80251" w:name="_ETM_Q157_724230"/>
      <w:bookmarkEnd w:id="80251"/>
      <w:r>
        <w:rPr>
          <w:rFonts w:hint="cs"/>
          <w:rtl/>
        </w:rPr>
        <w:t xml:space="preserve">ראש </w:t>
      </w:r>
      <w:bookmarkStart w:id="80252" w:name="_ETM_Q157_724470"/>
      <w:bookmarkEnd w:id="80252"/>
      <w:r>
        <w:rPr>
          <w:rFonts w:hint="cs"/>
          <w:rtl/>
        </w:rPr>
        <w:t>הממשלה:</w:t>
      </w:r>
      <w:bookmarkStart w:id="80253" w:name="_ETM_Q157_726030"/>
      <w:bookmarkEnd w:id="80253"/>
      <w:r>
        <w:rPr>
          <w:rFonts w:hint="cs"/>
          <w:rtl/>
        </w:rPr>
        <w:t xml:space="preserve"> </w:t>
      </w:r>
      <w:bookmarkStart w:id="80254" w:name="_ETM_Q157_726690"/>
      <w:bookmarkEnd w:id="80254"/>
      <w:r>
        <w:rPr>
          <w:rFonts w:hint="cs"/>
          <w:rtl/>
        </w:rPr>
        <w:t xml:space="preserve">אותם </w:t>
      </w:r>
      <w:bookmarkStart w:id="80255" w:name="_ETM_Q157_727140"/>
      <w:bookmarkEnd w:id="80255"/>
      <w:r>
        <w:rPr>
          <w:rFonts w:hint="cs"/>
          <w:rtl/>
        </w:rPr>
        <w:t xml:space="preserve">אזרחים </w:t>
      </w:r>
      <w:bookmarkStart w:id="80256" w:name="_ETM_Q157_727679"/>
      <w:bookmarkEnd w:id="80256"/>
      <w:r>
        <w:rPr>
          <w:rFonts w:hint="cs"/>
          <w:rtl/>
        </w:rPr>
        <w:t xml:space="preserve">שלא </w:t>
      </w:r>
      <w:bookmarkStart w:id="80257" w:name="_ETM_Q157_728070"/>
      <w:bookmarkEnd w:id="80257"/>
      <w:r>
        <w:rPr>
          <w:rFonts w:hint="cs"/>
          <w:rtl/>
        </w:rPr>
        <w:t xml:space="preserve">בחרו </w:t>
      </w:r>
      <w:bookmarkStart w:id="80258" w:name="_ETM_Q157_728730"/>
      <w:bookmarkEnd w:id="80258"/>
      <w:r>
        <w:rPr>
          <w:rFonts w:hint="cs"/>
          <w:rtl/>
        </w:rPr>
        <w:t xml:space="preserve">בך, </w:t>
      </w:r>
      <w:bookmarkStart w:id="80259" w:name="_ETM_Q157_729669"/>
      <w:bookmarkEnd w:id="80259"/>
      <w:r>
        <w:rPr>
          <w:rFonts w:hint="cs"/>
          <w:rtl/>
        </w:rPr>
        <w:t xml:space="preserve">כמה </w:t>
      </w:r>
      <w:bookmarkStart w:id="80260" w:name="_ETM_Q157_730179"/>
      <w:bookmarkEnd w:id="80260"/>
      <w:r>
        <w:rPr>
          <w:rFonts w:hint="cs"/>
          <w:rtl/>
        </w:rPr>
        <w:t xml:space="preserve">פעמים </w:t>
      </w:r>
      <w:bookmarkStart w:id="80261" w:name="_ETM_Q157_730779"/>
      <w:bookmarkEnd w:id="80261"/>
      <w:r>
        <w:rPr>
          <w:rFonts w:hint="cs"/>
          <w:rtl/>
        </w:rPr>
        <w:t xml:space="preserve">נפגשת </w:t>
      </w:r>
      <w:bookmarkStart w:id="80262" w:name="_ETM_Q157_731499"/>
      <w:bookmarkEnd w:id="80262"/>
      <w:r>
        <w:rPr>
          <w:rFonts w:hint="cs"/>
          <w:rtl/>
        </w:rPr>
        <w:t xml:space="preserve">איתם? </w:t>
      </w:r>
      <w:bookmarkStart w:id="80263" w:name="_ETM_Q157_732829"/>
      <w:bookmarkEnd w:id="80263"/>
      <w:r>
        <w:rPr>
          <w:rFonts w:hint="cs"/>
          <w:rtl/>
        </w:rPr>
        <w:t xml:space="preserve">הרי </w:t>
      </w:r>
      <w:bookmarkStart w:id="80264" w:name="_ETM_Q157_733099"/>
      <w:bookmarkEnd w:id="80264"/>
      <w:r>
        <w:rPr>
          <w:rFonts w:hint="cs"/>
          <w:rtl/>
        </w:rPr>
        <w:t xml:space="preserve">אתה </w:t>
      </w:r>
      <w:bookmarkStart w:id="80265" w:name="_ETM_Q157_733429"/>
      <w:bookmarkEnd w:id="80265"/>
      <w:r>
        <w:rPr>
          <w:rFonts w:hint="cs"/>
          <w:rtl/>
        </w:rPr>
        <w:t xml:space="preserve">אמור </w:t>
      </w:r>
      <w:bookmarkStart w:id="80266" w:name="_ETM_Q157_733730"/>
      <w:bookmarkEnd w:id="80266"/>
      <w:r>
        <w:rPr>
          <w:rFonts w:hint="cs"/>
          <w:rtl/>
        </w:rPr>
        <w:t xml:space="preserve">להקשיב </w:t>
      </w:r>
      <w:bookmarkStart w:id="80267" w:name="_ETM_Q157_734269"/>
      <w:bookmarkEnd w:id="80267"/>
      <w:r>
        <w:rPr>
          <w:rFonts w:hint="cs"/>
          <w:rtl/>
        </w:rPr>
        <w:t xml:space="preserve">לרחשי </w:t>
      </w:r>
      <w:bookmarkStart w:id="80268" w:name="_ETM_Q157_734929"/>
      <w:bookmarkEnd w:id="80268"/>
      <w:r>
        <w:rPr>
          <w:rFonts w:hint="cs"/>
          <w:rtl/>
        </w:rPr>
        <w:t xml:space="preserve">הציבור </w:t>
      </w:r>
      <w:bookmarkStart w:id="80269" w:name="_ETM_Q157_735499"/>
      <w:bookmarkEnd w:id="80269"/>
      <w:r>
        <w:rPr>
          <w:rFonts w:hint="cs"/>
          <w:rtl/>
        </w:rPr>
        <w:t xml:space="preserve">כולו. </w:t>
      </w:r>
      <w:bookmarkStart w:id="80270" w:name="_ETM_Q157_736840"/>
      <w:bookmarkEnd w:id="80270"/>
      <w:r>
        <w:rPr>
          <w:rFonts w:hint="cs"/>
          <w:rtl/>
        </w:rPr>
        <w:t xml:space="preserve">אותם </w:t>
      </w:r>
      <w:bookmarkStart w:id="80271" w:name="_ETM_Q157_738070"/>
      <w:bookmarkEnd w:id="80271"/>
      <w:r>
        <w:rPr>
          <w:rFonts w:hint="cs"/>
          <w:rtl/>
        </w:rPr>
        <w:t xml:space="preserve">אנשים, </w:t>
      </w:r>
      <w:bookmarkStart w:id="80272" w:name="_ETM_Q157_739559"/>
      <w:bookmarkEnd w:id="80272"/>
      <w:r>
        <w:rPr>
          <w:rFonts w:hint="cs"/>
          <w:rtl/>
        </w:rPr>
        <w:t xml:space="preserve">אותם </w:t>
      </w:r>
      <w:bookmarkStart w:id="80273" w:name="_ETM_Q157_741179"/>
      <w:bookmarkEnd w:id="80273"/>
      <w:r>
        <w:rPr>
          <w:rFonts w:hint="cs"/>
          <w:rtl/>
        </w:rPr>
        <w:t xml:space="preserve">אחים </w:t>
      </w:r>
      <w:bookmarkStart w:id="80274" w:name="_ETM_Q157_741689"/>
      <w:bookmarkEnd w:id="80274"/>
      <w:r>
        <w:rPr>
          <w:rFonts w:hint="cs"/>
          <w:rtl/>
        </w:rPr>
        <w:t xml:space="preserve">לנשק, </w:t>
      </w:r>
      <w:bookmarkStart w:id="80275" w:name="_ETM_Q157_742809"/>
      <w:bookmarkEnd w:id="80275"/>
      <w:r>
        <w:rPr>
          <w:rFonts w:hint="cs"/>
          <w:rtl/>
        </w:rPr>
        <w:t xml:space="preserve">אותם </w:t>
      </w:r>
      <w:bookmarkStart w:id="80276" w:name="_ETM_Q157_743290"/>
      <w:bookmarkEnd w:id="80276"/>
      <w:r>
        <w:rPr>
          <w:rFonts w:hint="cs"/>
          <w:rtl/>
        </w:rPr>
        <w:t xml:space="preserve">לוחמים, </w:t>
      </w:r>
      <w:bookmarkStart w:id="80277" w:name="_ETM_Q157_745550"/>
      <w:bookmarkEnd w:id="80277"/>
      <w:r>
        <w:rPr>
          <w:rFonts w:hint="cs"/>
          <w:rtl/>
        </w:rPr>
        <w:t xml:space="preserve">אותם </w:t>
      </w:r>
      <w:bookmarkStart w:id="80278" w:name="_ETM_Q157_746090"/>
      <w:bookmarkEnd w:id="80278"/>
      <w:r>
        <w:rPr>
          <w:rFonts w:hint="cs"/>
          <w:rtl/>
        </w:rPr>
        <w:t xml:space="preserve">אנשים </w:t>
      </w:r>
      <w:bookmarkStart w:id="80279" w:name="_ETM_Q157_747110"/>
      <w:bookmarkEnd w:id="80279"/>
      <w:r>
        <w:rPr>
          <w:rFonts w:hint="cs"/>
          <w:rtl/>
        </w:rPr>
        <w:t xml:space="preserve">שבאמת </w:t>
      </w:r>
      <w:bookmarkStart w:id="80280" w:name="_ETM_Q157_748429"/>
      <w:bookmarkStart w:id="80281" w:name="_ETM_Q157_749090"/>
      <w:bookmarkStart w:id="80282" w:name="_ETM_Q157_749690"/>
      <w:bookmarkEnd w:id="80280"/>
      <w:bookmarkEnd w:id="80281"/>
      <w:bookmarkEnd w:id="80282"/>
      <w:r>
        <w:rPr>
          <w:rFonts w:hint="cs"/>
          <w:rtl/>
        </w:rPr>
        <w:t xml:space="preserve">תרמו </w:t>
      </w:r>
      <w:bookmarkStart w:id="80283" w:name="_ETM_Q157_750230"/>
      <w:bookmarkEnd w:id="80283"/>
      <w:r>
        <w:rPr>
          <w:rFonts w:hint="cs"/>
          <w:rtl/>
        </w:rPr>
        <w:t xml:space="preserve">את </w:t>
      </w:r>
      <w:bookmarkStart w:id="80284" w:name="_ETM_Q157_750980"/>
      <w:bookmarkEnd w:id="80284"/>
      <w:r>
        <w:rPr>
          <w:rFonts w:hint="cs"/>
          <w:rtl/>
        </w:rPr>
        <w:t xml:space="preserve">נפשם, </w:t>
      </w:r>
      <w:bookmarkStart w:id="80285" w:name="_ETM_Q157_751610"/>
      <w:bookmarkEnd w:id="80285"/>
      <w:r>
        <w:rPr>
          <w:rFonts w:hint="cs"/>
          <w:rtl/>
        </w:rPr>
        <w:t xml:space="preserve">תרמו </w:t>
      </w:r>
      <w:bookmarkStart w:id="80286" w:name="_ETM_Q157_752059"/>
      <w:bookmarkEnd w:id="80286"/>
      <w:r>
        <w:rPr>
          <w:rFonts w:hint="cs"/>
          <w:rtl/>
        </w:rPr>
        <w:t xml:space="preserve">את </w:t>
      </w:r>
      <w:bookmarkStart w:id="80287" w:name="_ETM_Q157_752179"/>
      <w:bookmarkEnd w:id="80287"/>
      <w:r>
        <w:rPr>
          <w:rFonts w:hint="cs"/>
          <w:rtl/>
        </w:rPr>
        <w:t xml:space="preserve">גופם </w:t>
      </w:r>
      <w:bookmarkStart w:id="80288" w:name="_ETM_Q157_752690"/>
      <w:bookmarkEnd w:id="80288"/>
      <w:r>
        <w:rPr>
          <w:rFonts w:hint="cs"/>
          <w:rtl/>
        </w:rPr>
        <w:t xml:space="preserve">להגנת </w:t>
      </w:r>
      <w:bookmarkStart w:id="80289" w:name="_ETM_Q157_753890"/>
      <w:bookmarkEnd w:id="80289"/>
      <w:r>
        <w:rPr>
          <w:rFonts w:hint="cs"/>
          <w:rtl/>
        </w:rPr>
        <w:t xml:space="preserve">מדינת </w:t>
      </w:r>
      <w:bookmarkStart w:id="80290" w:name="_ETM_Q157_754520"/>
      <w:bookmarkEnd w:id="80290"/>
      <w:r>
        <w:rPr>
          <w:rFonts w:hint="cs"/>
          <w:rtl/>
        </w:rPr>
        <w:t xml:space="preserve">ישראל, </w:t>
      </w:r>
      <w:bookmarkStart w:id="80291" w:name="_ETM_Q157_755700"/>
      <w:bookmarkEnd w:id="80291"/>
      <w:r>
        <w:rPr>
          <w:rFonts w:hint="cs"/>
          <w:rtl/>
        </w:rPr>
        <w:t xml:space="preserve">כמה </w:t>
      </w:r>
      <w:bookmarkStart w:id="80292" w:name="_ETM_Q157_756179"/>
      <w:bookmarkEnd w:id="80292"/>
      <w:r>
        <w:rPr>
          <w:rFonts w:hint="cs"/>
          <w:rtl/>
        </w:rPr>
        <w:t xml:space="preserve">פעמים </w:t>
      </w:r>
      <w:bookmarkStart w:id="80293" w:name="_ETM_Q157_756660"/>
      <w:bookmarkEnd w:id="80293"/>
      <w:r>
        <w:rPr>
          <w:rFonts w:hint="cs"/>
          <w:rtl/>
        </w:rPr>
        <w:t xml:space="preserve">נפגשת </w:t>
      </w:r>
      <w:bookmarkStart w:id="80294" w:name="_ETM_Q157_757290"/>
      <w:bookmarkEnd w:id="80294"/>
      <w:r>
        <w:rPr>
          <w:rFonts w:hint="cs"/>
          <w:rtl/>
        </w:rPr>
        <w:t>איתם?</w:t>
      </w:r>
      <w:bookmarkStart w:id="80295" w:name="TOR_Q158"/>
      <w:bookmarkEnd w:id="80295"/>
      <w:r>
        <w:rPr>
          <w:rFonts w:hint="cs"/>
          <w:rtl/>
        </w:rPr>
        <w:t xml:space="preserve"> האם קיימת דיון אחד עם אותם אנשי הייטק? האם נפגשת עם ארגוני הנשים? </w:t>
      </w:r>
      <w:bookmarkStart w:id="80296" w:name="_ETM_Q158_170000"/>
      <w:bookmarkEnd w:id="80296"/>
      <w:r>
        <w:rPr>
          <w:rFonts w:hint="cs"/>
          <w:rtl/>
        </w:rPr>
        <w:t xml:space="preserve">אני חושב שזה מדבר בעד עצמו. אני חושב שהעובדה שעד </w:t>
      </w:r>
      <w:bookmarkStart w:id="80297" w:name="_ETM_Q158_173000"/>
      <w:bookmarkEnd w:id="80297"/>
      <w:r>
        <w:rPr>
          <w:rFonts w:hint="cs"/>
          <w:rtl/>
        </w:rPr>
        <w:t xml:space="preserve">היום הרמטכ"ל לא הציג לחברי הקבינט את המשמעות, את </w:t>
      </w:r>
      <w:bookmarkStart w:id="80298" w:name="_ETM_Q158_184000"/>
      <w:bookmarkEnd w:id="80298"/>
      <w:r>
        <w:rPr>
          <w:rFonts w:hint="cs"/>
          <w:rtl/>
        </w:rPr>
        <w:t xml:space="preserve">ההשפעה של אותה רפורמה ואותם דיונים שמתנהלים כאן על הלכידות </w:t>
      </w:r>
      <w:bookmarkStart w:id="80299" w:name="_ETM_Q158_191000"/>
      <w:bookmarkEnd w:id="80299"/>
      <w:r>
        <w:rPr>
          <w:rFonts w:hint="cs"/>
          <w:rtl/>
        </w:rPr>
        <w:t>בתוך הצבא, גם זה דבר בלתי סביר בעליל.</w:t>
      </w:r>
    </w:p>
    <w:p w:rsidR="00BB59CD" w:rsidRDefault="00BB59CD" w:rsidP="00BB59CD">
      <w:pPr>
        <w:rPr>
          <w:rtl/>
        </w:rPr>
      </w:pPr>
    </w:p>
    <w:p w:rsidR="00BB59CD" w:rsidRDefault="00BB59CD" w:rsidP="00BB59CD">
      <w:pPr>
        <w:rPr>
          <w:rtl/>
        </w:rPr>
      </w:pPr>
      <w:bookmarkStart w:id="80300" w:name="_ETM_Q158_198000"/>
      <w:bookmarkEnd w:id="80300"/>
      <w:r>
        <w:rPr>
          <w:rFonts w:hint="cs"/>
          <w:rtl/>
        </w:rPr>
        <w:t xml:space="preserve">אני גם רוצה </w:t>
      </w:r>
      <w:bookmarkStart w:id="80301" w:name="_ETM_Q158_199000"/>
      <w:bookmarkEnd w:id="80301"/>
      <w:r>
        <w:rPr>
          <w:rFonts w:hint="cs"/>
          <w:rtl/>
        </w:rPr>
        <w:t xml:space="preserve">להזכיר לכולנו את החזון של גפני, ואני שואל: האם הדבר </w:t>
      </w:r>
      <w:bookmarkStart w:id="80302" w:name="_ETM_Q158_205000"/>
      <w:bookmarkEnd w:id="80302"/>
      <w:r>
        <w:rPr>
          <w:rFonts w:hint="cs"/>
          <w:rtl/>
        </w:rPr>
        <w:t>הזה סביר? האם סביר שאנחנו נחלק את עם ישראל לשניים,</w:t>
      </w:r>
      <w:bookmarkStart w:id="80303" w:name="_ETM_Q158_213000"/>
      <w:bookmarkEnd w:id="80303"/>
      <w:r>
        <w:rPr>
          <w:rFonts w:hint="cs"/>
          <w:rtl/>
        </w:rPr>
        <w:t xml:space="preserve"> לאלו שילכו לצבא ולאלו שילכו לישיבות? </w:t>
      </w:r>
    </w:p>
    <w:p w:rsidR="00BB59CD" w:rsidRDefault="00BB59CD" w:rsidP="00BB59CD">
      <w:pPr>
        <w:rPr>
          <w:rtl/>
        </w:rPr>
      </w:pPr>
      <w:bookmarkStart w:id="80304" w:name="_ETM_Q158_219000"/>
      <w:bookmarkEnd w:id="80304"/>
    </w:p>
    <w:p w:rsidR="00BB59CD" w:rsidRDefault="00BB59CD" w:rsidP="00BB59CD">
      <w:pPr>
        <w:rPr>
          <w:rtl/>
        </w:rPr>
      </w:pPr>
      <w:bookmarkStart w:id="80305" w:name="_ETM_Q158_220000"/>
      <w:bookmarkEnd w:id="80305"/>
      <w:r>
        <w:rPr>
          <w:rFonts w:hint="cs"/>
          <w:rtl/>
        </w:rPr>
        <w:t xml:space="preserve">ואני רוצה בסוף גם </w:t>
      </w:r>
      <w:bookmarkStart w:id="80306" w:name="_ETM_Q158_221000"/>
      <w:bookmarkEnd w:id="80306"/>
      <w:r>
        <w:rPr>
          <w:rFonts w:hint="cs"/>
          <w:rtl/>
        </w:rPr>
        <w:t xml:space="preserve">באמת להקריא בלי שום פרשנות – מה שנקרא בחדשות: </w:t>
      </w:r>
      <w:r>
        <w:t>no comment</w:t>
      </w:r>
      <w:r>
        <w:rPr>
          <w:rtl/>
        </w:rPr>
        <w:t xml:space="preserve"> </w:t>
      </w:r>
      <w:r>
        <w:rPr>
          <w:rFonts w:hint="cs"/>
          <w:rtl/>
        </w:rPr>
        <w:t xml:space="preserve">– </w:t>
      </w:r>
      <w:bookmarkStart w:id="80307" w:name="_ETM_Q158_229000"/>
      <w:bookmarkEnd w:id="80307"/>
      <w:r>
        <w:rPr>
          <w:rFonts w:hint="cs"/>
          <w:rtl/>
        </w:rPr>
        <w:t xml:space="preserve">מה אמר ראש הממשלה בטקס חילופי נשיאים של בית המשפט </w:t>
      </w:r>
      <w:bookmarkStart w:id="80308" w:name="_ETM_Q158_235000"/>
      <w:bookmarkEnd w:id="80308"/>
      <w:r>
        <w:rPr>
          <w:rFonts w:hint="cs"/>
          <w:rtl/>
        </w:rPr>
        <w:t xml:space="preserve">העליון בשנת 2012: "בדמוקרטיה ישנם מוסדות רבים שהם חשובים לתפקודה, </w:t>
      </w:r>
      <w:bookmarkStart w:id="80309" w:name="_ETM_Q158_241000"/>
      <w:bookmarkEnd w:id="80309"/>
      <w:r>
        <w:rPr>
          <w:rFonts w:hint="cs"/>
          <w:rtl/>
        </w:rPr>
        <w:t xml:space="preserve">אבל אני מאמין שמערכת משפט חזקה ועצמאית היא זו שמאפשרת </w:t>
      </w:r>
      <w:bookmarkStart w:id="80310" w:name="_ETM_Q158_248000"/>
      <w:bookmarkEnd w:id="80310"/>
      <w:r>
        <w:rPr>
          <w:rFonts w:hint="cs"/>
          <w:rtl/>
        </w:rPr>
        <w:t xml:space="preserve">את קיומם של כל המוסדות האחרים בדמוקרטיה - - - כולנו יודעים שישנם </w:t>
      </w:r>
      <w:bookmarkStart w:id="80311" w:name="_ETM_Q158_252000"/>
      <w:bookmarkEnd w:id="80311"/>
      <w:r>
        <w:rPr>
          <w:rFonts w:hint="cs"/>
          <w:rtl/>
        </w:rPr>
        <w:t xml:space="preserve">משטרים לא דמוקרטיים שחיברו ואפילו מחברים גם היום חוקות וחוקים </w:t>
      </w:r>
      <w:bookmarkStart w:id="80312" w:name="_ETM_Q158_262000"/>
      <w:bookmarkEnd w:id="80312"/>
      <w:r>
        <w:rPr>
          <w:rFonts w:hint="cs"/>
          <w:rtl/>
        </w:rPr>
        <w:t xml:space="preserve">מנוסחים לעילא ולעילא. מדברים גבוהה-גבוהה על זכויות האדם - - - האם זכויות </w:t>
      </w:r>
      <w:bookmarkStart w:id="80313" w:name="_ETM_Q158_265000"/>
      <w:bookmarkEnd w:id="80313"/>
      <w:r>
        <w:rPr>
          <w:rFonts w:hint="cs"/>
          <w:rtl/>
        </w:rPr>
        <w:t xml:space="preserve">האדם מכובדות הלכה למעשה באותן מדינות? התשובה היא לא. </w:t>
      </w:r>
      <w:bookmarkStart w:id="80314" w:name="_ETM_Q158_275000"/>
      <w:bookmarkEnd w:id="80314"/>
      <w:r>
        <w:rPr>
          <w:rFonts w:hint="cs"/>
          <w:rtl/>
        </w:rPr>
        <w:t xml:space="preserve">אני מבקש </w:t>
      </w:r>
      <w:bookmarkStart w:id="80315" w:name="_ETM_Q158_276000"/>
      <w:bookmarkEnd w:id="80315"/>
      <w:r>
        <w:rPr>
          <w:rFonts w:hint="cs"/>
          <w:rtl/>
        </w:rPr>
        <w:t xml:space="preserve">שתראו לי רודנות אחת חברה לא דמוקרטית אחת שבה קיימת מערכת </w:t>
      </w:r>
      <w:bookmarkStart w:id="80316" w:name="_ETM_Q158_285000"/>
      <w:bookmarkEnd w:id="80316"/>
      <w:r>
        <w:rPr>
          <w:rFonts w:hint="cs"/>
          <w:rtl/>
        </w:rPr>
        <w:t xml:space="preserve">משפט חזקה ועצמאית. אין דבר כזה. בכל מקום </w:t>
      </w:r>
      <w:bookmarkStart w:id="80317" w:name="_ETM_Q158_289000"/>
      <w:bookmarkEnd w:id="80317"/>
      <w:r>
        <w:rPr>
          <w:rFonts w:hint="cs"/>
          <w:rtl/>
        </w:rPr>
        <w:t xml:space="preserve">שבו אין מערכת משפט חזקה ועצמאית, הזכויות אינן יכולות </w:t>
      </w:r>
      <w:bookmarkStart w:id="80318" w:name="_ETM_Q158_295000"/>
      <w:bookmarkEnd w:id="80318"/>
      <w:r>
        <w:rPr>
          <w:rFonts w:hint="cs"/>
          <w:rtl/>
        </w:rPr>
        <w:t xml:space="preserve">להיות מוגנות. למעשה, ההבדל בין המדינות שבהן יש זכויות על </w:t>
      </w:r>
      <w:bookmarkStart w:id="80319" w:name="_ETM_Q158_301000"/>
      <w:bookmarkEnd w:id="80319"/>
      <w:r>
        <w:rPr>
          <w:rFonts w:hint="cs"/>
          <w:rtl/>
        </w:rPr>
        <w:t xml:space="preserve">הנייר לבין המדינות שבהן יש זכויות בפועל - - - הוא </w:t>
      </w:r>
      <w:bookmarkStart w:id="80320" w:name="_ETM_Q158_306000"/>
      <w:bookmarkEnd w:id="80320"/>
      <w:r>
        <w:rPr>
          <w:rFonts w:hint="cs"/>
          <w:rtl/>
        </w:rPr>
        <w:t xml:space="preserve">מערכת משפט חזקה ועצמאית. זוהי הסיבה שאני עושה ואמשיך לעשות </w:t>
      </w:r>
      <w:bookmarkStart w:id="80321" w:name="_ETM_Q158_313000"/>
      <w:bookmarkEnd w:id="80321"/>
      <w:r>
        <w:rPr>
          <w:rFonts w:hint="cs"/>
          <w:rtl/>
        </w:rPr>
        <w:t xml:space="preserve">כל שביכולתי כדי לשמור על מערכת משפט חזקה ועצמאית". כך </w:t>
      </w:r>
      <w:bookmarkStart w:id="80322" w:name="_ETM_Q158_320000"/>
      <w:bookmarkEnd w:id="80322"/>
      <w:r>
        <w:rPr>
          <w:rFonts w:hint="cs"/>
          <w:rtl/>
        </w:rPr>
        <w:t>אמר ראש הממשלה ב-2012.</w:t>
      </w:r>
    </w:p>
    <w:p w:rsidR="00BB59CD" w:rsidRDefault="00BB59CD" w:rsidP="00BB59CD">
      <w:pPr>
        <w:rPr>
          <w:rtl/>
        </w:rPr>
      </w:pPr>
    </w:p>
    <w:p w:rsidR="00BB59CD" w:rsidRDefault="00BB59CD" w:rsidP="00BB59CD">
      <w:pPr>
        <w:rPr>
          <w:rtl/>
        </w:rPr>
      </w:pPr>
      <w:bookmarkStart w:id="80323" w:name="_ETM_Q158_323000"/>
      <w:bookmarkEnd w:id="80323"/>
      <w:r>
        <w:rPr>
          <w:rFonts w:hint="cs"/>
          <w:rtl/>
        </w:rPr>
        <w:t xml:space="preserve">ואני יכול רק עוד פעם להוסיף ולהגיד: </w:t>
      </w:r>
      <w:bookmarkStart w:id="80324" w:name="_ETM_Q158_326000"/>
      <w:bookmarkEnd w:id="80324"/>
      <w:r>
        <w:rPr>
          <w:rFonts w:hint="cs"/>
          <w:rtl/>
        </w:rPr>
        <w:t xml:space="preserve">בפני ראש הממשלה עמדה אלטרנטיבה ברורה – שלמות העם או </w:t>
      </w:r>
      <w:bookmarkStart w:id="80325" w:name="_ETM_Q158_329000"/>
      <w:bookmarkEnd w:id="80325"/>
      <w:r>
        <w:rPr>
          <w:rFonts w:hint="cs"/>
          <w:rtl/>
        </w:rPr>
        <w:t xml:space="preserve">שלמות הקואליציה. וראש הממשלה החליט להקריב את שלמות העם לטובת שלמות </w:t>
      </w:r>
      <w:bookmarkStart w:id="80326" w:name="_ETM_Q158_339000"/>
      <w:bookmarkEnd w:id="80326"/>
      <w:r>
        <w:rPr>
          <w:rFonts w:hint="cs"/>
          <w:rtl/>
        </w:rPr>
        <w:t xml:space="preserve">הקואליציה, ולכן הקואליציה הזאת כולה לא ראויה. זאת לא </w:t>
      </w:r>
      <w:bookmarkStart w:id="80327" w:name="_ETM_Q158_346000"/>
      <w:bookmarkEnd w:id="80327"/>
      <w:r>
        <w:rPr>
          <w:rFonts w:hint="cs"/>
          <w:rtl/>
        </w:rPr>
        <w:t xml:space="preserve">ההנהגה שעם ישראל מצפה לה. וכשאנחנו נחזור לשלטון, כל השינויים, </w:t>
      </w:r>
      <w:bookmarkStart w:id="80328" w:name="_ETM_Q158_353000"/>
      <w:bookmarkEnd w:id="80328"/>
      <w:r>
        <w:rPr>
          <w:rFonts w:hint="cs"/>
          <w:rtl/>
        </w:rPr>
        <w:t xml:space="preserve">כל החוקים, כל הטרלול שהעברתם בחקיקה ובהחלטות ממשלה – לא </w:t>
      </w:r>
      <w:bookmarkStart w:id="80329" w:name="_ETM_Q158_361000"/>
      <w:bookmarkEnd w:id="80329"/>
      <w:r>
        <w:rPr>
          <w:rFonts w:hint="cs"/>
          <w:rtl/>
        </w:rPr>
        <w:t xml:space="preserve">נשאיר מזה אבן על אבן. נבטל הכול. כל החוקים, כל </w:t>
      </w:r>
      <w:bookmarkStart w:id="80330" w:name="_ETM_Q158_366000"/>
      <w:bookmarkEnd w:id="80330"/>
      <w:r>
        <w:rPr>
          <w:rFonts w:hint="cs"/>
          <w:rtl/>
        </w:rPr>
        <w:t xml:space="preserve">ההחלטות, הכול יבוטל. אנחנו לא נאפשר את ההשתוללות הזאת, לא </w:t>
      </w:r>
      <w:bookmarkStart w:id="80331" w:name="_ETM_Q158_375000"/>
      <w:bookmarkEnd w:id="80331"/>
      <w:r>
        <w:rPr>
          <w:rFonts w:hint="cs"/>
          <w:rtl/>
        </w:rPr>
        <w:t xml:space="preserve">נאפשר להפוך את מדינת ישראל למדינת הלכה. אנחנו נדרוש ואנחנו </w:t>
      </w:r>
      <w:bookmarkStart w:id="80332" w:name="_ETM_Q158_382000"/>
      <w:bookmarkEnd w:id="80332"/>
      <w:r>
        <w:rPr>
          <w:rFonts w:hint="cs"/>
          <w:rtl/>
        </w:rPr>
        <w:t xml:space="preserve">כן נלך לכינון החוקה, חוקה המבוססת על הפרדה בין דת </w:t>
      </w:r>
      <w:bookmarkStart w:id="80333" w:name="_ETM_Q158_388000"/>
      <w:bookmarkEnd w:id="80333"/>
      <w:r>
        <w:rPr>
          <w:rFonts w:hint="cs"/>
          <w:rtl/>
        </w:rPr>
        <w:t xml:space="preserve">ומדינה, שוויון בנטל ולימודי ליבה חובה. </w:t>
      </w:r>
      <w:bookmarkStart w:id="80334" w:name="_ETM_Q158_393000"/>
      <w:bookmarkEnd w:id="80334"/>
      <w:r>
        <w:rPr>
          <w:rFonts w:hint="cs"/>
          <w:rtl/>
        </w:rPr>
        <w:t>תודה רבה, אדוני היושב-ראש.</w:t>
      </w:r>
    </w:p>
    <w:p w:rsidR="00BB59CD" w:rsidRDefault="00BB59CD" w:rsidP="00BB59CD">
      <w:pPr>
        <w:rPr>
          <w:rtl/>
        </w:rPr>
      </w:pPr>
    </w:p>
    <w:p w:rsidR="00BB59CD" w:rsidRDefault="00BB59CD" w:rsidP="00BB59CD">
      <w:pPr>
        <w:pStyle w:val="af9"/>
        <w:keepNext/>
        <w:rPr>
          <w:rtl/>
        </w:rPr>
      </w:pPr>
      <w:bookmarkStart w:id="80335" w:name="_ETM_Q158_391000"/>
      <w:bookmarkStart w:id="80336" w:name="_ETM_Q158_321000"/>
      <w:bookmarkEnd w:id="80335"/>
      <w:bookmarkEnd w:id="8033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חבר הכנסת בנימין גנץ, בבקשה. עשר דקות.</w:t>
      </w:r>
    </w:p>
    <w:p w:rsidR="00BB59CD" w:rsidRDefault="00BB59CD" w:rsidP="00BB59CD">
      <w:pPr>
        <w:rPr>
          <w:rtl/>
          <w:lang w:eastAsia="he-IL"/>
        </w:rPr>
      </w:pPr>
    </w:p>
    <w:p w:rsidR="00BB59CD" w:rsidRDefault="00BB59CD" w:rsidP="00BB59CD">
      <w:pPr>
        <w:pStyle w:val="a5"/>
        <w:keepNext/>
        <w:rPr>
          <w:rtl/>
        </w:rPr>
      </w:pPr>
      <w:bookmarkStart w:id="80337" w:name="ET_speaker_5772_2"/>
      <w:r>
        <w:rPr>
          <w:rStyle w:val="TagStyle"/>
          <w:rFonts w:hint="cs"/>
          <w:rtl/>
        </w:rPr>
        <w:t xml:space="preserve"> &lt;&lt; דובר &gt;&gt; </w:t>
      </w:r>
      <w:bookmarkStart w:id="80338" w:name="_Toc141197201"/>
      <w:bookmarkStart w:id="80339" w:name="_Toc141196937"/>
      <w:r>
        <w:rPr>
          <w:rFonts w:hint="cs"/>
          <w:rtl/>
        </w:rPr>
        <w:t>בנימין גנץ (המחנה הממלכתי):</w:t>
      </w:r>
      <w:bookmarkEnd w:id="80338"/>
      <w:bookmarkEnd w:id="80339"/>
      <w:r>
        <w:rPr>
          <w:rStyle w:val="TagStyle"/>
          <w:rFonts w:hint="cs"/>
          <w:rtl/>
        </w:rPr>
        <w:t xml:space="preserve"> &lt;&lt; דובר &gt;&gt;</w:t>
      </w:r>
      <w:r>
        <w:rPr>
          <w:rFonts w:hint="cs"/>
          <w:rtl/>
        </w:rPr>
        <w:t xml:space="preserve">   </w:t>
      </w:r>
      <w:bookmarkEnd w:id="8033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אדוני היושב בראש, חבריי חברי הכנסת, זהו יום עצוב. יום ערב תשעה באב, פנינו לתהום. ומה שעצוב יותר מכול, שיש רוב באולם הזה, ואני אומר זאת מידיעה – יש רוב באולם הזה שלא רוצה את התוצאה הזאת ואת התוצאה שתביא ההצבעה הזאת. והרוב הגדול הזה שבוי בידיהם של קיצוניים בקואליציה, בידי שורפי האסמים </w:t>
      </w:r>
      <w:bookmarkStart w:id="80340" w:name="_ETM_Q158_465000"/>
      <w:bookmarkEnd w:id="80340"/>
      <w:r>
        <w:rPr>
          <w:rFonts w:hint="cs"/>
          <w:rtl/>
          <w:lang w:eastAsia="he-IL"/>
        </w:rPr>
        <w:t>המודרני</w:t>
      </w:r>
      <w:r w:rsidR="00CB7C6D">
        <w:rPr>
          <w:rFonts w:hint="cs"/>
          <w:rtl/>
          <w:lang w:eastAsia="he-IL"/>
        </w:rPr>
        <w:t>י</w:t>
      </w:r>
      <w:r>
        <w:rPr>
          <w:rFonts w:hint="cs"/>
          <w:rtl/>
          <w:lang w:eastAsia="he-IL"/>
        </w:rPr>
        <w:t>ם.</w:t>
      </w:r>
    </w:p>
    <w:p w:rsidR="00BB59CD" w:rsidRDefault="00BB59CD" w:rsidP="00BB59CD">
      <w:pPr>
        <w:rPr>
          <w:rtl/>
          <w:lang w:eastAsia="he-IL"/>
        </w:rPr>
      </w:pPr>
    </w:p>
    <w:p w:rsidR="00BB59CD" w:rsidRDefault="00BB59CD" w:rsidP="00BB59CD">
      <w:pPr>
        <w:rPr>
          <w:rtl/>
          <w:lang w:eastAsia="he-IL"/>
        </w:rPr>
      </w:pPr>
      <w:bookmarkStart w:id="80341" w:name="_ETM_Q158_466000"/>
      <w:bookmarkEnd w:id="80341"/>
      <w:r>
        <w:rPr>
          <w:rFonts w:hint="cs"/>
          <w:rtl/>
          <w:lang w:eastAsia="he-IL"/>
        </w:rPr>
        <w:t>אני מוטרד מאוד מהמצב הביטחוני. אני מוטרד ממה שאנחנו משדרים כאן לאויבינו. ואני מבקש להגיד מעל הבמה הזו שלא משנה מה יהיו תוצאות ההצבעה, כל מהלך ביטחוני אחראי של ממשלת ישראל יקבל את הגיבוי שלנו. אני מציע לאויבינו בגבולות ומעבר להם לא לפרש באופן שגוי את המצב פה, בבית הזה. מדינת ישראל הייתה ותישאר החזקה באזור. מדינת ישראל תתמודד מול כל אויב.</w:t>
      </w:r>
    </w:p>
    <w:p w:rsidR="00BB59CD" w:rsidRDefault="00BB59CD" w:rsidP="00BB59CD">
      <w:pPr>
        <w:rPr>
          <w:rtl/>
          <w:lang w:eastAsia="he-IL"/>
        </w:rPr>
      </w:pPr>
    </w:p>
    <w:p w:rsidR="00BB59CD" w:rsidRDefault="00BB59CD" w:rsidP="00BB59CD">
      <w:pPr>
        <w:rPr>
          <w:rtl/>
          <w:lang w:eastAsia="he-IL"/>
        </w:rPr>
      </w:pPr>
      <w:r>
        <w:rPr>
          <w:rFonts w:hint="cs"/>
          <w:rtl/>
          <w:lang w:eastAsia="he-IL"/>
        </w:rPr>
        <w:t>ברי סחרוף שר: "רק מלחמה, אם תבוא, תחזיר אותנו הביתה". היום, לצערי הרב, אני מתחיל לחשוב שהמשפט הזה נכון. יש גורמים בקואליציה שלא רוצים הסכמות. הם רוצים מאבק ובלבד. הם רוצים להפוך את מדינת ישראל ממדינה מלוכדת וחזקה לסלט פוליטי, שבאמצעותו הם יוכלו להבטיח את שלטונם.</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אין איך להסביר את הסרבנות של נתניהו וחברי הקואליציה שלו </w:t>
      </w:r>
      <w:bookmarkStart w:id="80342" w:name="_ETM_Q158_565000"/>
      <w:bookmarkEnd w:id="80342"/>
      <w:r>
        <w:rPr>
          <w:rFonts w:hint="cs"/>
          <w:rtl/>
          <w:lang w:eastAsia="he-IL"/>
        </w:rPr>
        <w:t xml:space="preserve">לעצירה והגעה להסכמות. אין איך להסביר את המילים הקשות שמוטחות באוהבי המדינה שלא ישנים בלילות - - </w:t>
      </w:r>
    </w:p>
    <w:p w:rsidR="00BB59CD" w:rsidRDefault="00BB59CD" w:rsidP="00BB59CD">
      <w:pPr>
        <w:rPr>
          <w:rtl/>
          <w:lang w:eastAsia="he-IL"/>
        </w:rPr>
      </w:pPr>
      <w:bookmarkStart w:id="80343" w:name="_ETM_Q158_572000"/>
      <w:bookmarkEnd w:id="80343"/>
    </w:p>
    <w:p w:rsidR="00BB59CD" w:rsidRDefault="00BB59CD" w:rsidP="00BB59CD">
      <w:pPr>
        <w:pStyle w:val="af8"/>
        <w:keepNext/>
        <w:rPr>
          <w:rtl/>
        </w:rPr>
      </w:pPr>
      <w:bookmarkStart w:id="80344" w:name="ET_interruption_6357_6"/>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8034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BB59CD">
      <w:pPr>
        <w:rPr>
          <w:rtl/>
          <w:lang w:eastAsia="he-IL"/>
        </w:rPr>
      </w:pPr>
    </w:p>
    <w:p w:rsidR="00BB59CD" w:rsidRDefault="00BB59CD" w:rsidP="00BB59CD">
      <w:pPr>
        <w:pStyle w:val="-"/>
        <w:keepNext/>
        <w:rPr>
          <w:rtl/>
        </w:rPr>
      </w:pPr>
      <w:bookmarkStart w:id="80345" w:name="ET_speakercontinue_5772_3"/>
      <w:r>
        <w:rPr>
          <w:rStyle w:val="TagStyle"/>
          <w:rFonts w:hint="cs"/>
          <w:rtl/>
        </w:rPr>
        <w:t xml:space="preserve"> &lt;&lt; דובר_המשך &gt;&gt; </w:t>
      </w:r>
      <w:r>
        <w:rPr>
          <w:rFonts w:hint="cs"/>
          <w:rtl/>
        </w:rPr>
        <w:t>בנימין גנץ (המחנה הממלכתי):</w:t>
      </w:r>
      <w:r>
        <w:rPr>
          <w:rStyle w:val="TagStyle"/>
          <w:rtl/>
        </w:rPr>
        <w:t xml:space="preserve"> &lt;&lt; דובר_המשך &gt;&gt;</w:t>
      </w:r>
      <w:r>
        <w:rPr>
          <w:rFonts w:hint="cs"/>
          <w:rtl/>
        </w:rPr>
        <w:t xml:space="preserve">   </w:t>
      </w:r>
      <w:bookmarkEnd w:id="80345"/>
    </w:p>
    <w:p w:rsidR="00BB59CD" w:rsidRDefault="00BB59CD" w:rsidP="00337201">
      <w:pPr>
        <w:rPr>
          <w:rtl/>
          <w:lang w:eastAsia="he-IL"/>
        </w:rPr>
      </w:pPr>
    </w:p>
    <w:p w:rsidR="00BB59CD" w:rsidRDefault="00BB59CD" w:rsidP="00BB59CD">
      <w:pPr>
        <w:rPr>
          <w:rtl/>
          <w:lang w:eastAsia="he-IL"/>
        </w:rPr>
      </w:pPr>
      <w:r>
        <w:rPr>
          <w:rFonts w:hint="cs"/>
          <w:rtl/>
          <w:lang w:eastAsia="he-IL"/>
        </w:rPr>
        <w:t>- - בטייסים ולוחמים שנקר</w:t>
      </w:r>
      <w:bookmarkStart w:id="80346" w:name="_ETM_Q158_578000"/>
      <w:bookmarkEnd w:id="80346"/>
      <w:r>
        <w:rPr>
          <w:rFonts w:hint="cs"/>
          <w:rtl/>
          <w:lang w:eastAsia="he-IL"/>
        </w:rPr>
        <w:t xml:space="preserve">עים מבפנים בין המאבק על הבית והדמות הדמוקרטית שלנו, לבין </w:t>
      </w:r>
      <w:bookmarkStart w:id="80347" w:name="_ETM_Q158_589000"/>
      <w:bookmarkEnd w:id="80347"/>
      <w:r>
        <w:rPr>
          <w:rFonts w:hint="cs"/>
          <w:rtl/>
          <w:lang w:eastAsia="he-IL"/>
        </w:rPr>
        <w:t>ההגנה על הבית הזה מפני אויבנו.</w:t>
      </w:r>
    </w:p>
    <w:p w:rsidR="00BB59CD" w:rsidRDefault="00BB59CD" w:rsidP="00BB59CD">
      <w:pPr>
        <w:rPr>
          <w:rtl/>
          <w:lang w:eastAsia="he-IL"/>
        </w:rPr>
      </w:pPr>
    </w:p>
    <w:p w:rsidR="00BB59CD" w:rsidRDefault="00BB59CD" w:rsidP="00BB59CD">
      <w:pPr>
        <w:rPr>
          <w:rtl/>
          <w:lang w:eastAsia="he-IL"/>
        </w:rPr>
      </w:pPr>
      <w:bookmarkStart w:id="80348" w:name="_ETM_Q158_593000"/>
      <w:bookmarkEnd w:id="80348"/>
      <w:r>
        <w:rPr>
          <w:rFonts w:hint="cs"/>
          <w:rtl/>
          <w:lang w:eastAsia="he-IL"/>
        </w:rPr>
        <w:t xml:space="preserve">יש מי שחושבים שאנחנו במלחמה </w:t>
      </w:r>
      <w:bookmarkStart w:id="80349" w:name="_ETM_Q158_596000"/>
      <w:bookmarkEnd w:id="80349"/>
      <w:r>
        <w:rPr>
          <w:rFonts w:hint="cs"/>
          <w:rtl/>
          <w:lang w:eastAsia="he-IL"/>
        </w:rPr>
        <w:t>שרוצים לנצח. יש מי שרוצים להכניע ולהכריע. אבל הדבר החמור ביותר הוא שיש כאן רוב שלא רוצה בכך ושותק, רוב שבוחר בפוליטיקה על חשבון מדינת ישראל.</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ולרוב הזה, אל הגורמים </w:t>
      </w:r>
      <w:bookmarkStart w:id="80350" w:name="_ETM_Q158_616000"/>
      <w:bookmarkEnd w:id="80350"/>
      <w:r>
        <w:rPr>
          <w:rFonts w:hint="cs"/>
          <w:rtl/>
          <w:lang w:eastAsia="he-IL"/>
        </w:rPr>
        <w:t xml:space="preserve">האחראיים בקואליציה שמבינים את משמעות ההצבעה הצפויה היום, </w:t>
      </w:r>
      <w:bookmarkStart w:id="80351" w:name="_ETM_Q158_620000"/>
      <w:bookmarkEnd w:id="80351"/>
      <w:r>
        <w:rPr>
          <w:rFonts w:hint="cs"/>
          <w:rtl/>
          <w:lang w:eastAsia="he-IL"/>
        </w:rPr>
        <w:t xml:space="preserve">אני מבקש לפנות. אפשר להסתכל בעבר ולשאול: מי הכשיל </w:t>
      </w:r>
      <w:bookmarkStart w:id="80352" w:name="_ETM_Q158_627000"/>
      <w:bookmarkEnd w:id="80352"/>
      <w:r>
        <w:rPr>
          <w:rFonts w:hint="cs"/>
          <w:rtl/>
          <w:lang w:eastAsia="he-IL"/>
        </w:rPr>
        <w:t xml:space="preserve">או מה קרה בהתנתקות או מה היה פה או מה </w:t>
      </w:r>
      <w:bookmarkStart w:id="80353" w:name="_ETM_Q158_630000"/>
      <w:bookmarkEnd w:id="80353"/>
      <w:r>
        <w:rPr>
          <w:rFonts w:hint="cs"/>
          <w:rtl/>
          <w:lang w:eastAsia="he-IL"/>
        </w:rPr>
        <w:t xml:space="preserve">היה שם. אפשר לנסות להמשיך ולהאשים אחד את השני, אבל בעיקר צריך לשאול: מי מוביל לקרע הזה? כל השאלות האלה לא יעזרו לאנשים שמפגינים כאן בחוץ, בחום; לא יעזרו לעולם שמסתכל עלינו בתדהמה, למשקיעים שחוששים להשקיע, למאות האלפים שלא נרדמים </w:t>
      </w:r>
      <w:bookmarkStart w:id="80354" w:name="_ETM_Q158_662000"/>
      <w:bookmarkEnd w:id="80354"/>
      <w:r>
        <w:rPr>
          <w:rFonts w:hint="cs"/>
          <w:rtl/>
          <w:lang w:eastAsia="he-IL"/>
        </w:rPr>
        <w:t xml:space="preserve">בלילות, ולמיליוני האזרחים שהולכים כמעט כאיש אחד עם </w:t>
      </w:r>
      <w:bookmarkStart w:id="80355" w:name="_ETM_Q158_670000"/>
      <w:bookmarkEnd w:id="80355"/>
      <w:r>
        <w:rPr>
          <w:rFonts w:hint="cs"/>
          <w:rtl/>
          <w:lang w:eastAsia="he-IL"/>
        </w:rPr>
        <w:t xml:space="preserve">מועקה כבדה, כבר למעלה מחצי שנה. אפשר להאשים אחד את </w:t>
      </w:r>
      <w:bookmarkStart w:id="80356" w:name="_ETM_Q158_676000"/>
      <w:bookmarkEnd w:id="80356"/>
      <w:r>
        <w:rPr>
          <w:rFonts w:hint="cs"/>
          <w:rtl/>
          <w:lang w:eastAsia="he-IL"/>
        </w:rPr>
        <w:t>השני אבל זה לא ישנה את המציאות.</w:t>
      </w:r>
    </w:p>
    <w:p w:rsidR="00BB59CD" w:rsidRDefault="00BB59CD" w:rsidP="00BB59CD">
      <w:pPr>
        <w:rPr>
          <w:rtl/>
          <w:lang w:eastAsia="he-IL"/>
        </w:rPr>
      </w:pPr>
    </w:p>
    <w:p w:rsidR="00BB59CD" w:rsidRDefault="00BB59CD" w:rsidP="00BB59CD">
      <w:pPr>
        <w:rPr>
          <w:rtl/>
          <w:lang w:eastAsia="he-IL"/>
        </w:rPr>
      </w:pPr>
      <w:bookmarkStart w:id="80357" w:name="_ETM_Q158_680000"/>
      <w:bookmarkEnd w:id="80357"/>
      <w:r>
        <w:rPr>
          <w:rFonts w:hint="cs"/>
          <w:rtl/>
          <w:lang w:eastAsia="he-IL"/>
        </w:rPr>
        <w:t xml:space="preserve">רק אנחנו, 120 חברי </w:t>
      </w:r>
      <w:bookmarkStart w:id="80358" w:name="_ETM_Q158_683000"/>
      <w:bookmarkEnd w:id="80358"/>
      <w:r>
        <w:rPr>
          <w:rFonts w:hint="cs"/>
          <w:rtl/>
          <w:lang w:eastAsia="he-IL"/>
        </w:rPr>
        <w:t xml:space="preserve">הבית הזה, יכולים לשנות אותה. אומרים שכשהגלים עולים, החזקים מתגלים. </w:t>
      </w:r>
      <w:bookmarkStart w:id="80359" w:name="_ETM_Q158_694000"/>
      <w:bookmarkEnd w:id="80359"/>
      <w:r>
        <w:rPr>
          <w:rFonts w:hint="cs"/>
          <w:rtl/>
          <w:lang w:eastAsia="he-IL"/>
        </w:rPr>
        <w:t xml:space="preserve">חברים, אנחנו בסערה בלב ים, וזה הזמן שבו צריכים להתגלות </w:t>
      </w:r>
      <w:bookmarkStart w:id="80360" w:name="_ETM_Q158_705000"/>
      <w:bookmarkEnd w:id="80360"/>
      <w:r>
        <w:rPr>
          <w:rFonts w:hint="cs"/>
          <w:rtl/>
          <w:lang w:eastAsia="he-IL"/>
        </w:rPr>
        <w:t xml:space="preserve">החזקים. אם לא יימצאו הארבעה האלה בקרב הקואליציה, מדינת ישראל </w:t>
      </w:r>
      <w:bookmarkStart w:id="80361" w:name="_ETM_Q158_714000"/>
      <w:bookmarkEnd w:id="80361"/>
      <w:r>
        <w:rPr>
          <w:rFonts w:hint="cs"/>
          <w:rtl/>
          <w:lang w:eastAsia="he-IL"/>
        </w:rPr>
        <w:t xml:space="preserve">תיסחף להמשך הטלטלה. הצבעה בעד ההצעה היום היא פגיעה בצה"ל, </w:t>
      </w:r>
      <w:bookmarkStart w:id="80362" w:name="_ETM_Q158_723000"/>
      <w:bookmarkEnd w:id="80362"/>
      <w:r>
        <w:rPr>
          <w:rFonts w:hint="cs"/>
          <w:rtl/>
          <w:lang w:eastAsia="he-IL"/>
        </w:rPr>
        <w:t xml:space="preserve">היא פגיעה בביטחון המדינה, היא המשך קריעה של החברה הישראלית. </w:t>
      </w:r>
      <w:bookmarkStart w:id="80363" w:name="_ETM_Q158_729000"/>
      <w:bookmarkEnd w:id="80363"/>
      <w:r>
        <w:rPr>
          <w:rFonts w:hint="cs"/>
          <w:rtl/>
          <w:lang w:eastAsia="he-IL"/>
        </w:rPr>
        <w:t>הצבעה בעד היא פגיעה בכלכלה ובכיס של כל אזרח ואזרחית.</w:t>
      </w:r>
      <w:bookmarkStart w:id="80364" w:name="_ETM_Q158_736000"/>
      <w:bookmarkEnd w:id="80364"/>
      <w:r>
        <w:rPr>
          <w:rFonts w:hint="cs"/>
          <w:rtl/>
          <w:lang w:eastAsia="he-IL"/>
        </w:rPr>
        <w:t xml:space="preserve"> מי שיצביע בעד יירשם בדברי הימים של הכנסת לא רק </w:t>
      </w:r>
      <w:bookmarkStart w:id="80365" w:name="_ETM_Q158_740000"/>
      <w:bookmarkEnd w:id="80365"/>
      <w:r>
        <w:rPr>
          <w:rFonts w:hint="cs"/>
          <w:rtl/>
          <w:lang w:eastAsia="he-IL"/>
        </w:rPr>
        <w:t xml:space="preserve">כמי שנתן את ידו לפגיעה בדמוקרטיה אלא כמי שבחר בפוליטיקה </w:t>
      </w:r>
      <w:bookmarkStart w:id="80366" w:name="_ETM_Q158_749000"/>
      <w:bookmarkEnd w:id="80366"/>
      <w:r>
        <w:rPr>
          <w:rFonts w:hint="cs"/>
          <w:rtl/>
          <w:lang w:eastAsia="he-IL"/>
        </w:rPr>
        <w:t>מעל החברה הישראלית.</w:t>
      </w:r>
    </w:p>
    <w:p w:rsidR="00BB59CD" w:rsidRDefault="00BB59CD" w:rsidP="00BB59CD">
      <w:pPr>
        <w:rPr>
          <w:rtl/>
          <w:lang w:eastAsia="he-IL"/>
        </w:rPr>
      </w:pPr>
    </w:p>
    <w:p w:rsidR="00BB59CD" w:rsidRDefault="00BB59CD" w:rsidP="00BB59CD">
      <w:pPr>
        <w:rPr>
          <w:rtl/>
        </w:rPr>
      </w:pPr>
      <w:bookmarkStart w:id="80367" w:name="TOR_Q159"/>
      <w:bookmarkEnd w:id="80367"/>
      <w:r>
        <w:rPr>
          <w:rFonts w:hint="cs"/>
          <w:rtl/>
        </w:rPr>
        <w:t xml:space="preserve">אפשר לעצור, להגיע במושב הזה בימים הקרובים להסכמה על עילת הסבירות שלא תפגע באדני הדמוקרטיה ולהסכים על המשך חקיקה בהסכמות רחבות. למען הסר ספק אני אקריא את הפסקה הזאת פעם נוספת: אפשר לעצור, </w:t>
      </w:r>
      <w:bookmarkStart w:id="80368" w:name="_ETM_Q159_178848"/>
      <w:bookmarkEnd w:id="80368"/>
      <w:r>
        <w:rPr>
          <w:rFonts w:hint="cs"/>
          <w:rtl/>
        </w:rPr>
        <w:t xml:space="preserve">להגיע במושב הזה בימים הקרובים לעילת סבירות שלא תפגע באדני </w:t>
      </w:r>
      <w:bookmarkStart w:id="80369" w:name="_ETM_Q159_185049"/>
      <w:bookmarkEnd w:id="80369"/>
      <w:r>
        <w:rPr>
          <w:rFonts w:hint="cs"/>
          <w:rtl/>
        </w:rPr>
        <w:t xml:space="preserve">הדמוקרטיה מתוך הסכמה על המשך חקיקה בהסכמות רחבות. כל </w:t>
      </w:r>
      <w:bookmarkStart w:id="80370" w:name="_ETM_Q159_190690"/>
      <w:bookmarkEnd w:id="80370"/>
      <w:r>
        <w:rPr>
          <w:rFonts w:hint="cs"/>
          <w:rtl/>
        </w:rPr>
        <w:t xml:space="preserve">חבר כנסת שירים ידו בהצבעה על החוק הזה כפי </w:t>
      </w:r>
      <w:bookmarkStart w:id="80371" w:name="_ETM_Q159_193220"/>
      <w:bookmarkEnd w:id="80371"/>
      <w:r>
        <w:rPr>
          <w:rFonts w:hint="cs"/>
          <w:rtl/>
        </w:rPr>
        <w:t>שהוא כרגע ובתנאים שהוא כרגע יוסיף עוד לבנה בחומת השנאה, יחפור עוד כמה סנטימטר</w:t>
      </w:r>
      <w:bookmarkStart w:id="80372" w:name="_ETM_Q159_203325"/>
      <w:bookmarkEnd w:id="80372"/>
      <w:r>
        <w:rPr>
          <w:rFonts w:hint="cs"/>
          <w:rtl/>
        </w:rPr>
        <w:t xml:space="preserve">ים בבור העמוק שאליו אנחנו מידרדרים. </w:t>
      </w:r>
    </w:p>
    <w:p w:rsidR="00BB59CD" w:rsidRDefault="00BB59CD" w:rsidP="00BB59CD">
      <w:pPr>
        <w:rPr>
          <w:rtl/>
        </w:rPr>
      </w:pPr>
    </w:p>
    <w:p w:rsidR="00BB59CD" w:rsidRDefault="00BB59CD" w:rsidP="00BB59CD">
      <w:pPr>
        <w:rPr>
          <w:rtl/>
        </w:rPr>
      </w:pPr>
      <w:r>
        <w:rPr>
          <w:rFonts w:hint="cs"/>
          <w:rtl/>
        </w:rPr>
        <w:t xml:space="preserve">ראש הממשלה, שאני מאחל לך בריאות, האחריות היא קודם כול שלך. אתה יודע שעליי אפשר לסמוך, ושאם תעצור תמצא יד מושטת להסכמות. </w:t>
      </w:r>
    </w:p>
    <w:p w:rsidR="00BB59CD" w:rsidRDefault="00BB59CD" w:rsidP="00BB59CD">
      <w:pPr>
        <w:rPr>
          <w:rtl/>
        </w:rPr>
      </w:pPr>
    </w:p>
    <w:p w:rsidR="00BB59CD" w:rsidRDefault="00BB59CD" w:rsidP="00BB59CD">
      <w:pPr>
        <w:pStyle w:val="af8"/>
        <w:keepNext/>
        <w:rPr>
          <w:rtl/>
        </w:rPr>
      </w:pPr>
      <w:bookmarkStart w:id="80373" w:name="ET_interruption_6461_11"/>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80373"/>
    </w:p>
    <w:p w:rsidR="00BB59CD" w:rsidRDefault="00BB59CD" w:rsidP="00337201">
      <w:pPr>
        <w:rPr>
          <w:rtl/>
          <w:lang w:eastAsia="he-IL"/>
        </w:rPr>
      </w:pPr>
    </w:p>
    <w:p w:rsidR="00BB59CD" w:rsidRDefault="00BB59CD" w:rsidP="00BB59CD">
      <w:pPr>
        <w:rPr>
          <w:rtl/>
        </w:rPr>
      </w:pPr>
      <w:r>
        <w:rPr>
          <w:rFonts w:hint="cs"/>
          <w:rtl/>
        </w:rPr>
        <w:t xml:space="preserve">כמו שפוצצתם את השיחות בבית הנשיא. </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בנימין גנץ (המחנה הממלכתי):</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לא פוצצנו </w:t>
      </w:r>
      <w:bookmarkStart w:id="80374" w:name="_ETM_Q159_225360"/>
      <w:bookmarkEnd w:id="80374"/>
      <w:r>
        <w:rPr>
          <w:rFonts w:hint="cs"/>
          <w:rtl/>
          <w:lang w:eastAsia="he-IL"/>
        </w:rPr>
        <w:t xml:space="preserve">את השיחות.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פוצצתם. </w:t>
      </w:r>
    </w:p>
    <w:p w:rsidR="00BB59CD" w:rsidRDefault="00BB59CD" w:rsidP="00BB59CD">
      <w:pPr>
        <w:rPr>
          <w:rtl/>
          <w:lang w:eastAsia="he-IL"/>
        </w:rPr>
      </w:pPr>
      <w:bookmarkStart w:id="80375" w:name="_ETM_Q159_227053"/>
      <w:bookmarkStart w:id="80376" w:name="_ETM_Q159_227178"/>
      <w:bookmarkEnd w:id="80375"/>
      <w:bookmarkEnd w:id="80376"/>
    </w:p>
    <w:p w:rsidR="00BB59CD" w:rsidRDefault="00BB59CD" w:rsidP="00BB59CD">
      <w:pPr>
        <w:pStyle w:val="-"/>
        <w:keepNext/>
        <w:rPr>
          <w:rtl/>
        </w:rPr>
      </w:pPr>
      <w:bookmarkStart w:id="80377" w:name="ET_speakercontinue_5772_14"/>
      <w:r>
        <w:rPr>
          <w:rStyle w:val="TagStyle"/>
          <w:rFonts w:hint="cs"/>
          <w:rtl/>
        </w:rPr>
        <w:t xml:space="preserve"> &lt;&lt; דובר_המשך &gt;&gt; </w:t>
      </w:r>
      <w:r>
        <w:rPr>
          <w:rFonts w:hint="cs"/>
          <w:rtl/>
        </w:rPr>
        <w:t>בנימין גנץ (המחנה הממלכתי):</w:t>
      </w:r>
      <w:r>
        <w:rPr>
          <w:rStyle w:val="TagStyle"/>
          <w:rtl/>
        </w:rPr>
        <w:t xml:space="preserve"> &lt;&lt; דובר_המשך &gt;&gt;</w:t>
      </w:r>
      <w:r>
        <w:rPr>
          <w:rFonts w:hint="cs"/>
          <w:rtl/>
        </w:rPr>
        <w:t xml:space="preserve"> </w:t>
      </w:r>
      <w:bookmarkEnd w:id="8037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אתה מבין היטב את חומרת המצב. </w:t>
      </w:r>
    </w:p>
    <w:p w:rsidR="00BB59CD" w:rsidRDefault="00BB59CD" w:rsidP="00337201">
      <w:pPr>
        <w:rPr>
          <w:rtl/>
          <w:lang w:eastAsia="he-IL"/>
        </w:rPr>
      </w:pPr>
    </w:p>
    <w:p w:rsidR="00BB59CD" w:rsidRDefault="00BB59CD" w:rsidP="00BB59CD">
      <w:pPr>
        <w:pStyle w:val="af8"/>
        <w:keepNext/>
        <w:rPr>
          <w:rtl/>
        </w:rPr>
      </w:pPr>
      <w:bookmarkStart w:id="80378" w:name="ET_interruption_6357_15"/>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80378"/>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ודאי </w:t>
      </w:r>
      <w:bookmarkStart w:id="80379" w:name="_ETM_Q159_227009"/>
      <w:bookmarkEnd w:id="80379"/>
      <w:r>
        <w:rPr>
          <w:rFonts w:hint="cs"/>
          <w:rtl/>
          <w:lang w:eastAsia="he-IL"/>
        </w:rPr>
        <w:t xml:space="preserve">שפוצצת את השיחות. </w:t>
      </w:r>
    </w:p>
    <w:p w:rsidR="00BB59CD" w:rsidRDefault="00BB59CD" w:rsidP="00BB59CD">
      <w:pPr>
        <w:rPr>
          <w:rtl/>
          <w:lang w:eastAsia="he-IL"/>
        </w:rPr>
      </w:pPr>
    </w:p>
    <w:p w:rsidR="00BB59CD" w:rsidRDefault="00BB59CD" w:rsidP="00BB59CD">
      <w:pPr>
        <w:pStyle w:val="-"/>
        <w:keepNext/>
        <w:rPr>
          <w:rtl/>
        </w:rPr>
      </w:pPr>
      <w:bookmarkStart w:id="80380" w:name="ET_speakercontinue_5772_16"/>
      <w:r>
        <w:rPr>
          <w:rStyle w:val="TagStyle"/>
          <w:rFonts w:hint="cs"/>
          <w:rtl/>
        </w:rPr>
        <w:t xml:space="preserve"> &lt;&lt; דובר_המשך &gt;&gt; </w:t>
      </w:r>
      <w:r>
        <w:rPr>
          <w:rFonts w:hint="cs"/>
          <w:rtl/>
        </w:rPr>
        <w:t>בנימין גנץ (המחנה הממלכתי):</w:t>
      </w:r>
      <w:r>
        <w:rPr>
          <w:rStyle w:val="TagStyle"/>
          <w:rtl/>
        </w:rPr>
        <w:t xml:space="preserve"> &lt;&lt; דובר_המשך &gt;&gt;</w:t>
      </w:r>
      <w:r>
        <w:rPr>
          <w:rFonts w:hint="cs"/>
          <w:rtl/>
        </w:rPr>
        <w:t xml:space="preserve"> </w:t>
      </w:r>
      <w:bookmarkEnd w:id="80380"/>
    </w:p>
    <w:p w:rsidR="00BB59CD" w:rsidRDefault="00BB59CD" w:rsidP="00337201">
      <w:pPr>
        <w:rPr>
          <w:rtl/>
          <w:lang w:eastAsia="he-IL"/>
        </w:rPr>
      </w:pPr>
    </w:p>
    <w:p w:rsidR="00BB59CD" w:rsidRDefault="00BB59CD" w:rsidP="00BB59CD">
      <w:pPr>
        <w:rPr>
          <w:rtl/>
          <w:lang w:eastAsia="he-IL"/>
        </w:rPr>
      </w:pPr>
      <w:r>
        <w:rPr>
          <w:rFonts w:hint="cs"/>
          <w:rtl/>
          <w:lang w:eastAsia="he-IL"/>
        </w:rPr>
        <w:t>אתה מבין היטב את משמעות ההצבעה ש</w:t>
      </w:r>
      <w:bookmarkStart w:id="80381" w:name="_ETM_Q159_233169"/>
      <w:bookmarkEnd w:id="80381"/>
      <w:r>
        <w:rPr>
          <w:rFonts w:hint="cs"/>
          <w:rtl/>
          <w:lang w:eastAsia="he-IL"/>
        </w:rPr>
        <w:t xml:space="preserve">תקרה פה תכף. </w:t>
      </w:r>
    </w:p>
    <w:p w:rsidR="00BB59CD" w:rsidRDefault="00BB59CD" w:rsidP="00BB59CD">
      <w:pPr>
        <w:rPr>
          <w:rtl/>
          <w:lang w:eastAsia="he-IL"/>
        </w:rPr>
      </w:pPr>
      <w:bookmarkStart w:id="80382" w:name="_ETM_Q159_232505"/>
      <w:bookmarkStart w:id="80383" w:name="_ETM_Q159_232627"/>
      <w:bookmarkEnd w:id="80382"/>
      <w:bookmarkEnd w:id="80383"/>
    </w:p>
    <w:p w:rsidR="00BB59CD" w:rsidRDefault="00BB59CD" w:rsidP="00BB59CD">
      <w:pPr>
        <w:pStyle w:val="af8"/>
        <w:keepNext/>
        <w:rPr>
          <w:rtl/>
        </w:rPr>
      </w:pPr>
      <w:bookmarkStart w:id="80384" w:name="ET_interruption_6255_1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8038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תמשיכו בדרך הזאת. לאן אתם מובילים אותנו, נבחרי המדינה. </w:t>
      </w:r>
    </w:p>
    <w:p w:rsidR="00BB59CD" w:rsidRDefault="00BB59CD" w:rsidP="00BB59CD">
      <w:pPr>
        <w:rPr>
          <w:rtl/>
          <w:lang w:eastAsia="he-IL"/>
        </w:rPr>
      </w:pPr>
    </w:p>
    <w:p w:rsidR="00BB59CD" w:rsidRDefault="00BB59CD" w:rsidP="00BB59CD">
      <w:pPr>
        <w:pStyle w:val="-"/>
        <w:keepNext/>
        <w:rPr>
          <w:rtl/>
        </w:rPr>
      </w:pPr>
      <w:bookmarkStart w:id="80385" w:name="ET_speakercontinue_5772_4"/>
      <w:r>
        <w:rPr>
          <w:rStyle w:val="TagStyle"/>
          <w:rFonts w:hint="cs"/>
          <w:rtl/>
        </w:rPr>
        <w:t xml:space="preserve"> &lt;&lt; דובר_המשך &gt;&gt; </w:t>
      </w:r>
      <w:r>
        <w:rPr>
          <w:rFonts w:hint="cs"/>
          <w:rtl/>
        </w:rPr>
        <w:t>בנימין גנץ (המחנה הממלכתי):</w:t>
      </w:r>
      <w:r>
        <w:rPr>
          <w:rStyle w:val="TagStyle"/>
          <w:rtl/>
        </w:rPr>
        <w:t xml:space="preserve"> &lt;&lt; דובר_המשך &gt;&gt;</w:t>
      </w:r>
      <w:r>
        <w:rPr>
          <w:rFonts w:hint="cs"/>
          <w:rtl/>
        </w:rPr>
        <w:t xml:space="preserve"> </w:t>
      </w:r>
      <w:bookmarkEnd w:id="8038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אתה, שכתבת ספרים, שגדלת בבית </w:t>
      </w:r>
      <w:bookmarkStart w:id="80386" w:name="_ETM_Q159_244753"/>
      <w:bookmarkEnd w:id="80386"/>
      <w:r>
        <w:rPr>
          <w:rFonts w:hint="cs"/>
          <w:rtl/>
          <w:lang w:eastAsia="he-IL"/>
        </w:rPr>
        <w:t xml:space="preserve">שבו ספרי ההיסטוריה היו תבנית נוף מולדתך, תירשם בהם כמי </w:t>
      </w:r>
      <w:bookmarkStart w:id="80387" w:name="_ETM_Q159_252571"/>
      <w:bookmarkEnd w:id="80387"/>
      <w:r>
        <w:rPr>
          <w:rFonts w:hint="cs"/>
          <w:rtl/>
          <w:lang w:eastAsia="he-IL"/>
        </w:rPr>
        <w:t xml:space="preserve">שלא ידע להתעלות לגודל השעה. אתה תירשם, חבר הכנסת קרעי, בהצבעה שלך ובשליחה שלך את הטייסים לקיבינימט ושאנחנו נסתדר בלעדיהם, אתה תירשם כמי שלא ידע להתעלות לגודל </w:t>
      </w:r>
      <w:bookmarkStart w:id="80388" w:name="_ETM_Q159_267857"/>
      <w:bookmarkEnd w:id="80388"/>
      <w:r>
        <w:rPr>
          <w:rFonts w:hint="cs"/>
          <w:rtl/>
          <w:lang w:eastAsia="he-IL"/>
        </w:rPr>
        <w:t xml:space="preserve">השעה ודרדר את מדינת ישראל לשנאות נוספות, וחבל שכך.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BB59CD">
      <w:pPr>
        <w:rPr>
          <w:rtl/>
          <w:lang w:eastAsia="he-IL"/>
        </w:rPr>
      </w:pPr>
    </w:p>
    <w:p w:rsidR="00BB59CD" w:rsidRDefault="00BB59CD" w:rsidP="00BB59CD">
      <w:pPr>
        <w:pStyle w:val="af8"/>
        <w:keepNext/>
        <w:rPr>
          <w:rtl/>
        </w:rPr>
      </w:pPr>
      <w:bookmarkStart w:id="80389" w:name="ET_interruption_6357_18"/>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80389"/>
    </w:p>
    <w:p w:rsidR="00BB59CD" w:rsidRDefault="00BB59CD" w:rsidP="00337201">
      <w:pPr>
        <w:rPr>
          <w:rtl/>
        </w:rPr>
      </w:pPr>
    </w:p>
    <w:p w:rsidR="00BB59CD" w:rsidRDefault="00BB59CD" w:rsidP="00BB59CD">
      <w:pPr>
        <w:rPr>
          <w:rtl/>
          <w:lang w:eastAsia="he-IL"/>
        </w:rPr>
      </w:pPr>
      <w:r>
        <w:rPr>
          <w:rFonts w:hint="cs"/>
          <w:rtl/>
          <w:lang w:eastAsia="he-IL"/>
        </w:rPr>
        <w:t xml:space="preserve">אתם דרדרתם את - - - הכנסתם את צה"ל למחלוקת. </w:t>
      </w:r>
    </w:p>
    <w:p w:rsidR="00BB59CD" w:rsidRDefault="00BB59CD" w:rsidP="00BB59CD">
      <w:pPr>
        <w:rPr>
          <w:rtl/>
          <w:lang w:eastAsia="he-IL"/>
        </w:rPr>
      </w:pPr>
    </w:p>
    <w:p w:rsidR="00BB59CD" w:rsidRDefault="00BB59CD" w:rsidP="00BB59CD">
      <w:pPr>
        <w:pStyle w:val="-"/>
        <w:keepNext/>
        <w:rPr>
          <w:rtl/>
        </w:rPr>
      </w:pPr>
      <w:bookmarkStart w:id="80390" w:name="ET_speakercontinue_5772_5"/>
      <w:r>
        <w:rPr>
          <w:rStyle w:val="TagStyle"/>
          <w:rFonts w:hint="cs"/>
          <w:rtl/>
        </w:rPr>
        <w:t xml:space="preserve"> &lt;&lt; דובר_המשך &gt;&gt; </w:t>
      </w:r>
      <w:r>
        <w:rPr>
          <w:rFonts w:hint="cs"/>
          <w:rtl/>
        </w:rPr>
        <w:t>בנימין גנץ (המחנה הממלכתי):</w:t>
      </w:r>
      <w:r>
        <w:rPr>
          <w:rStyle w:val="TagStyle"/>
          <w:rtl/>
        </w:rPr>
        <w:t xml:space="preserve"> &lt;&lt; דובר_המשך &gt;&gt;</w:t>
      </w:r>
      <w:r>
        <w:rPr>
          <w:rFonts w:hint="cs"/>
          <w:rtl/>
        </w:rPr>
        <w:t xml:space="preserve"> </w:t>
      </w:r>
      <w:bookmarkEnd w:id="80390"/>
    </w:p>
    <w:p w:rsidR="00BB59CD" w:rsidRDefault="00BB59CD" w:rsidP="00337201">
      <w:pPr>
        <w:rPr>
          <w:rtl/>
          <w:lang w:eastAsia="he-IL"/>
        </w:rPr>
      </w:pPr>
    </w:p>
    <w:p w:rsidR="00BB59CD" w:rsidRDefault="00BB59CD" w:rsidP="00BB59CD">
      <w:pPr>
        <w:rPr>
          <w:rtl/>
          <w:lang w:eastAsia="he-IL"/>
        </w:rPr>
      </w:pPr>
      <w:bookmarkStart w:id="80391" w:name="_ETM_Q159_275940"/>
      <w:bookmarkStart w:id="80392" w:name="_ETM_Q159_275988"/>
      <w:bookmarkEnd w:id="80391"/>
      <w:bookmarkEnd w:id="80392"/>
      <w:r>
        <w:rPr>
          <w:rFonts w:hint="cs"/>
          <w:rtl/>
          <w:lang w:eastAsia="he-IL"/>
        </w:rPr>
        <w:t xml:space="preserve">אני </w:t>
      </w:r>
      <w:bookmarkStart w:id="80393" w:name="_ETM_Q159_276702"/>
      <w:bookmarkEnd w:id="80393"/>
      <w:r>
        <w:rPr>
          <w:rFonts w:hint="cs"/>
          <w:rtl/>
          <w:lang w:eastAsia="he-IL"/>
        </w:rPr>
        <w:t xml:space="preserve">מציע לכולם, כשעם </w:t>
      </w:r>
      <w:bookmarkStart w:id="80394" w:name="_ETM_Q159_279306"/>
      <w:bookmarkEnd w:id="80394"/>
      <w:r>
        <w:rPr>
          <w:rFonts w:hint="cs"/>
          <w:rtl/>
          <w:lang w:eastAsia="he-IL"/>
        </w:rPr>
        <w:t xml:space="preserve">ישראל קורא לכם, אל נא תישארו דוממים. </w:t>
      </w:r>
      <w:bookmarkStart w:id="80395" w:name="_ETM_Q159_283706"/>
      <w:bookmarkEnd w:id="80395"/>
      <w:r>
        <w:rPr>
          <w:rFonts w:hint="cs"/>
          <w:rtl/>
          <w:lang w:eastAsia="he-IL"/>
        </w:rPr>
        <w:t xml:space="preserve">ההיסטוריה הזאת, שכל כך חשובה לכולנו, שכל כך חשובה לראש הממשלה, תשפוט אותנו על תוצאות ההצבעה היום, ומה שיבוא בעקבותיה. כי אנחנו נקום מחר לישראל דמוקרטית על פי חוק, כפי שאנחנו מכירים </w:t>
      </w:r>
      <w:bookmarkStart w:id="80396" w:name="_ETM_Q159_301452"/>
      <w:bookmarkEnd w:id="80396"/>
      <w:r>
        <w:rPr>
          <w:rFonts w:hint="cs"/>
          <w:rtl/>
          <w:lang w:eastAsia="he-IL"/>
        </w:rPr>
        <w:t xml:space="preserve">אותה. אבל אתם תראו ששלטון בלי מגבלות יעשה כל פעם צעד אחד קטן שייראה סביר ביחס למצב הקודם שלו, ואתם תראו את הילדים שלכם מגיעים בגיל גיוס ויותר </w:t>
      </w:r>
      <w:bookmarkStart w:id="80397" w:name="_ETM_Q159_315930"/>
      <w:bookmarkEnd w:id="80397"/>
      <w:r>
        <w:rPr>
          <w:rFonts w:hint="cs"/>
          <w:rtl/>
          <w:lang w:eastAsia="he-IL"/>
        </w:rPr>
        <w:t xml:space="preserve">מכך למדינה שהתרחקה מהדמוקרטיה שאנחנו כל כך חרדים לה. אל תיתנו לעצמכם הנחות בעניין הזה. </w:t>
      </w:r>
      <w:bookmarkStart w:id="80398" w:name="_ETM_Q159_327900"/>
      <w:bookmarkEnd w:id="80398"/>
      <w:r>
        <w:rPr>
          <w:rFonts w:hint="cs"/>
          <w:rtl/>
          <w:lang w:eastAsia="he-IL"/>
        </w:rPr>
        <w:t xml:space="preserve">אל תיתנו לעצמכם הנחות בעניין הזה. אתם קורעים את העם, אתם פוגעים בחברה, אתם פוגעים בכלכלה, אתם פוגעים בדמוקרטיה ואתם פוגעים בדימוי המדינתי של מדינת ישראל שמקבלת את הגיבוי המערבי של העולם כולו רק בזכות מה שהיא ולא בזכות מה </w:t>
      </w:r>
      <w:bookmarkStart w:id="80399" w:name="_ETM_Q159_344064"/>
      <w:bookmarkEnd w:id="80399"/>
      <w:r>
        <w:rPr>
          <w:rFonts w:hint="cs"/>
          <w:rtl/>
          <w:lang w:eastAsia="he-IL"/>
        </w:rPr>
        <w:t xml:space="preserve">שאתם לוקחים אותה להיות. תודה רבה לכם.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אף אחד לא </w:t>
      </w:r>
      <w:bookmarkStart w:id="80400" w:name="_ETM_Q159_350393"/>
      <w:bookmarkEnd w:id="80400"/>
      <w:r>
        <w:rPr>
          <w:rFonts w:hint="cs"/>
          <w:rtl/>
          <w:lang w:eastAsia="he-IL"/>
        </w:rPr>
        <w:t xml:space="preserve">מאשים את -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רבה לחבר הכנסת גנץ. </w:t>
      </w:r>
      <w:bookmarkStart w:id="80401" w:name="_ETM_Q159_352162"/>
      <w:bookmarkEnd w:id="80401"/>
      <w:r>
        <w:rPr>
          <w:rFonts w:hint="cs"/>
          <w:rtl/>
          <w:lang w:eastAsia="he-IL"/>
        </w:rPr>
        <w:t xml:space="preserve">וכעת יעלה אחרון הדוברים, ראש האופוזיציה, חבר הכנסת יאיר לפיד, בבקשה. </w:t>
      </w:r>
      <w:bookmarkStart w:id="80402" w:name="_ETM_Q159_362931"/>
      <w:bookmarkEnd w:id="80402"/>
      <w:r>
        <w:rPr>
          <w:rFonts w:hint="cs"/>
          <w:rtl/>
          <w:lang w:eastAsia="he-IL"/>
        </w:rPr>
        <w:t>כל הזמן שתצטרך – תקבל.</w:t>
      </w:r>
    </w:p>
    <w:p w:rsidR="00BB59CD" w:rsidRDefault="00BB59CD" w:rsidP="00BB59CD">
      <w:pPr>
        <w:rPr>
          <w:rtl/>
          <w:lang w:eastAsia="he-IL"/>
        </w:rPr>
      </w:pPr>
    </w:p>
    <w:p w:rsidR="00BB59CD" w:rsidRDefault="00BB59CD" w:rsidP="00BB59CD">
      <w:pPr>
        <w:pStyle w:val="a5"/>
        <w:keepNext/>
        <w:rPr>
          <w:rtl/>
        </w:rPr>
      </w:pPr>
      <w:bookmarkStart w:id="80403" w:name="ET_speaker_5087_7"/>
      <w:r>
        <w:rPr>
          <w:rStyle w:val="TagStyle"/>
          <w:rFonts w:hint="cs"/>
          <w:rtl/>
        </w:rPr>
        <w:t xml:space="preserve"> &lt;&lt; דובר &gt;&gt; </w:t>
      </w:r>
      <w:bookmarkStart w:id="80404" w:name="_Toc141197202"/>
      <w:bookmarkStart w:id="80405" w:name="_Toc141196938"/>
      <w:r>
        <w:rPr>
          <w:rFonts w:hint="cs"/>
          <w:rtl/>
        </w:rPr>
        <w:t>יאיר לפיד (יש עתיד):</w:t>
      </w:r>
      <w:bookmarkEnd w:id="80404"/>
      <w:bookmarkEnd w:id="80405"/>
      <w:r>
        <w:rPr>
          <w:rStyle w:val="TagStyle"/>
          <w:rFonts w:hint="cs"/>
          <w:rtl/>
        </w:rPr>
        <w:t xml:space="preserve"> &lt;&lt; דובר &gt;&gt;</w:t>
      </w:r>
      <w:r>
        <w:rPr>
          <w:rFonts w:hint="cs"/>
          <w:rtl/>
        </w:rPr>
        <w:t xml:space="preserve"> </w:t>
      </w:r>
      <w:bookmarkEnd w:id="80403"/>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אדוני היושב-ראש, כנסת נכבדה, ב-24 השעות האחרונות הוצגו בפניי שתי הצעות פשרה, אחת של ההסתדרות והמעסיקים, השנייה של נשיא </w:t>
      </w:r>
      <w:bookmarkStart w:id="80406" w:name="_ETM_Q159_377854"/>
      <w:bookmarkEnd w:id="80406"/>
      <w:r>
        <w:rPr>
          <w:rFonts w:hint="cs"/>
          <w:rtl/>
          <w:lang w:eastAsia="he-IL"/>
        </w:rPr>
        <w:t xml:space="preserve">המדינה. את שתיהן לא אהבתי; מול שתיהן הצבתי תנאים קשים שלא התקבלו. בכל זאת הייתי מוכן לדבר, כי החובה המרכזית שלנו </w:t>
      </w:r>
      <w:bookmarkStart w:id="80407" w:name="_ETM_Q159_390076"/>
      <w:bookmarkEnd w:id="80407"/>
      <w:r>
        <w:rPr>
          <w:rFonts w:hint="cs"/>
          <w:rtl/>
          <w:lang w:eastAsia="he-IL"/>
        </w:rPr>
        <w:t xml:space="preserve">כנבחרי ציבור, כפטריוטים ישראלים, היא להילחם על החיים ביחד, על הטוב המשותף. התפקיד של הנהגה לאומית הוא לעשות </w:t>
      </w:r>
      <w:bookmarkStart w:id="80408" w:name="_ETM_Q159_399144"/>
      <w:bookmarkEnd w:id="80408"/>
      <w:r>
        <w:rPr>
          <w:rFonts w:hint="cs"/>
          <w:rtl/>
          <w:lang w:eastAsia="he-IL"/>
        </w:rPr>
        <w:t xml:space="preserve">מה שנכון למדינה, לא לעצמנו. זה תפקידנו. אבל בראש ובראשונה זה תפקידה של הממשלה, זה תפקידו של </w:t>
      </w:r>
      <w:bookmarkStart w:id="80409" w:name="_ETM_Q159_406417"/>
      <w:bookmarkEnd w:id="80409"/>
      <w:r>
        <w:rPr>
          <w:rFonts w:hint="cs"/>
          <w:rtl/>
          <w:lang w:eastAsia="he-IL"/>
        </w:rPr>
        <w:t xml:space="preserve">ראש הממשלה, זה התפקיד שאתם לא עושים. </w:t>
      </w:r>
    </w:p>
    <w:p w:rsidR="00BB59CD" w:rsidRDefault="00BB59CD" w:rsidP="00BB59CD">
      <w:pPr>
        <w:rPr>
          <w:rtl/>
          <w:lang w:eastAsia="he-IL"/>
        </w:rPr>
      </w:pPr>
      <w:bookmarkStart w:id="80410" w:name="_ETM_Q159_417858"/>
      <w:bookmarkStart w:id="80411" w:name="_ETM_Q159_417985"/>
      <w:bookmarkEnd w:id="80410"/>
      <w:bookmarkEnd w:id="80411"/>
    </w:p>
    <w:p w:rsidR="00BB59CD" w:rsidRDefault="00BB59CD" w:rsidP="00BB59CD">
      <w:pPr>
        <w:rPr>
          <w:rtl/>
          <w:lang w:eastAsia="he-IL"/>
        </w:rPr>
      </w:pPr>
      <w:bookmarkStart w:id="80412" w:name="_ETM_Q159_418061"/>
      <w:bookmarkStart w:id="80413" w:name="_ETM_Q159_418109"/>
      <w:bookmarkEnd w:id="80412"/>
      <w:bookmarkEnd w:id="80413"/>
      <w:r>
        <w:rPr>
          <w:rFonts w:hint="cs"/>
          <w:rtl/>
          <w:lang w:eastAsia="he-IL"/>
        </w:rPr>
        <w:t xml:space="preserve">מעולם בכל תולדות המדינה לא היה מופע כזה, תקופה כזו </w:t>
      </w:r>
      <w:bookmarkStart w:id="80414" w:name="_ETM_Q159_415611"/>
      <w:bookmarkEnd w:id="80414"/>
      <w:r>
        <w:rPr>
          <w:rFonts w:hint="cs"/>
          <w:rtl/>
          <w:lang w:eastAsia="he-IL"/>
        </w:rPr>
        <w:t xml:space="preserve">של פריקת עול מוחלטת, של חוסר אחריות כמדיניות וכתפיסת עולם. ניהול מדינה זה לא ניהול הבייס שלכם. ניהול המדינה הוא לא אירוע </w:t>
      </w:r>
      <w:bookmarkStart w:id="80415" w:name="_ETM_Q159_430110"/>
      <w:bookmarkEnd w:id="80415"/>
      <w:r>
        <w:rPr>
          <w:rFonts w:hint="cs"/>
          <w:rtl/>
          <w:lang w:eastAsia="he-IL"/>
        </w:rPr>
        <w:t xml:space="preserve">תקשורתי. אני הייתי ראש ממשלה, אני מכיר את זה. אין פתרונות קלים, אין תשובות קלות, יש מציאות. המציאות היא שאתם נותנים למדינה להתפרק. הקואליציה רוצה לחוקק קרע בעם. חקיקה דורסנית, אלימה, שתפגע אנושות לא </w:t>
      </w:r>
      <w:bookmarkStart w:id="80416" w:name="_ETM_Q159_448557"/>
      <w:bookmarkEnd w:id="80416"/>
      <w:r>
        <w:rPr>
          <w:rFonts w:hint="cs"/>
          <w:rtl/>
          <w:lang w:eastAsia="he-IL"/>
        </w:rPr>
        <w:t xml:space="preserve">רק בבית המשפט העליון אלא בחברה הישראלית, בביטחון, בכלכלה, בהיותנו עם אחד.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ישבתי </w:t>
      </w:r>
      <w:bookmarkStart w:id="80417" w:name="_ETM_Q159_453697"/>
      <w:bookmarkEnd w:id="80417"/>
      <w:r>
        <w:rPr>
          <w:rFonts w:hint="cs"/>
          <w:rtl/>
          <w:lang w:eastAsia="he-IL"/>
        </w:rPr>
        <w:t xml:space="preserve">ביממה האחרונה עם ראשי מערכת הביטחון, עם ראש השב"כ, עם נציגי צה"ל. אנחנו בדרך לאסון. אם אתם תצביעו היום </w:t>
      </w:r>
      <w:bookmarkStart w:id="80418" w:name="_ETM_Q159_467343"/>
      <w:bookmarkEnd w:id="80418"/>
      <w:r>
        <w:rPr>
          <w:rFonts w:hint="cs"/>
          <w:rtl/>
          <w:lang w:eastAsia="he-IL"/>
        </w:rPr>
        <w:t xml:space="preserve">על הצעת החוק הזו אתם מקרבים את קיצו של צבא העם, אתם מחזקים את אויבי ישראל, אתם פוגעים בביטחונה של מדינת ישראל. </w:t>
      </w:r>
    </w:p>
    <w:p w:rsidR="00BB59CD" w:rsidRDefault="00BB59CD" w:rsidP="00BB59CD">
      <w:pPr>
        <w:rPr>
          <w:rtl/>
          <w:lang w:eastAsia="he-IL"/>
        </w:rPr>
      </w:pPr>
    </w:p>
    <w:p w:rsidR="00BB59CD" w:rsidRDefault="00BB59CD" w:rsidP="00BB59CD">
      <w:pPr>
        <w:pStyle w:val="af8"/>
        <w:keepNext/>
        <w:rPr>
          <w:rtl/>
        </w:rPr>
      </w:pPr>
      <w:bookmarkStart w:id="80419" w:name="ET_interruption_6345_1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80419"/>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אבל אדוני, אתה אמרת שצמצום עילת הסבירות - </w:t>
      </w:r>
      <w:bookmarkStart w:id="80420" w:name="_ETM_Q159_463676"/>
      <w:bookmarkEnd w:id="80420"/>
      <w:r>
        <w:rPr>
          <w:rFonts w:hint="cs"/>
          <w:rtl/>
          <w:lang w:eastAsia="he-IL"/>
        </w:rPr>
        <w:t xml:space="preserve">- - </w:t>
      </w:r>
    </w:p>
    <w:p w:rsidR="00BB59CD" w:rsidRDefault="00BB59CD" w:rsidP="00BB59CD">
      <w:pPr>
        <w:rPr>
          <w:rtl/>
          <w:lang w:eastAsia="he-IL"/>
        </w:rPr>
      </w:pPr>
    </w:p>
    <w:p w:rsidR="00BB59CD" w:rsidRDefault="00BB59CD" w:rsidP="00BB59CD">
      <w:pPr>
        <w:pStyle w:val="af8"/>
        <w:keepNext/>
        <w:rPr>
          <w:rtl/>
        </w:rPr>
      </w:pPr>
      <w:bookmarkStart w:id="80421" w:name="ET_interruption_קריאות_2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042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די, די, די. </w:t>
      </w:r>
    </w:p>
    <w:p w:rsidR="00BB59CD" w:rsidRDefault="00BB59CD" w:rsidP="00BB59CD">
      <w:pPr>
        <w:rPr>
          <w:rtl/>
          <w:lang w:eastAsia="he-IL"/>
        </w:rPr>
      </w:pPr>
    </w:p>
    <w:p w:rsidR="00BB59CD" w:rsidRDefault="00BB59CD" w:rsidP="00BB59CD">
      <w:pPr>
        <w:pStyle w:val="af8"/>
        <w:keepNext/>
        <w:rPr>
          <w:rtl/>
        </w:rPr>
      </w:pPr>
      <w:bookmarkStart w:id="80422" w:name="ET_interruption_6345_2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80422"/>
    </w:p>
    <w:p w:rsidR="00BB59CD" w:rsidRDefault="00BB59CD" w:rsidP="00337201">
      <w:pPr>
        <w:rPr>
          <w:rtl/>
        </w:rPr>
      </w:pPr>
    </w:p>
    <w:p w:rsidR="00BB59CD" w:rsidRDefault="00BB59CD" w:rsidP="00BB59CD">
      <w:pPr>
        <w:rPr>
          <w:rtl/>
        </w:rPr>
      </w:pPr>
      <w:r>
        <w:rPr>
          <w:rFonts w:hint="cs"/>
          <w:rtl/>
        </w:rPr>
        <w:t xml:space="preserve">די אתם - - - </w:t>
      </w:r>
    </w:p>
    <w:p w:rsidR="00BB59CD" w:rsidRDefault="00BB59CD" w:rsidP="00BB59CD">
      <w:pPr>
        <w:rPr>
          <w:rtl/>
        </w:rPr>
      </w:pPr>
      <w:bookmarkStart w:id="80423" w:name="_ETM_Q159_484156"/>
      <w:bookmarkStart w:id="80424" w:name="_ETM_Q159_484252"/>
      <w:bookmarkEnd w:id="80423"/>
      <w:bookmarkEnd w:id="80424"/>
    </w:p>
    <w:p w:rsidR="00BB59CD" w:rsidRDefault="00BB59CD" w:rsidP="00BB59CD">
      <w:pPr>
        <w:pStyle w:val="-"/>
        <w:keepNext/>
        <w:rPr>
          <w:rtl/>
        </w:rPr>
      </w:pPr>
      <w:bookmarkStart w:id="80425" w:name="ET_speakercontinue_5087_8"/>
      <w:r>
        <w:rPr>
          <w:rStyle w:val="TagStyle"/>
          <w:rFonts w:hint="cs"/>
          <w:rtl/>
        </w:rPr>
        <w:t xml:space="preserve"> &lt;&lt; דובר_המשך &gt;&gt; </w:t>
      </w:r>
      <w:r>
        <w:rPr>
          <w:rFonts w:hint="cs"/>
          <w:rtl/>
        </w:rPr>
        <w:t>יאיר לפיד (יש עתיד):</w:t>
      </w:r>
      <w:r>
        <w:rPr>
          <w:rStyle w:val="TagStyle"/>
          <w:rtl/>
        </w:rPr>
        <w:t xml:space="preserve"> &lt;&lt; דובר_המשך &gt;&gt;</w:t>
      </w:r>
      <w:r>
        <w:rPr>
          <w:rFonts w:hint="cs"/>
          <w:rtl/>
        </w:rPr>
        <w:t xml:space="preserve"> </w:t>
      </w:r>
      <w:bookmarkEnd w:id="80425"/>
    </w:p>
    <w:p w:rsidR="00BB59CD" w:rsidRDefault="00BB59CD" w:rsidP="00337201">
      <w:pPr>
        <w:rPr>
          <w:rtl/>
          <w:lang w:eastAsia="he-IL"/>
        </w:rPr>
      </w:pPr>
    </w:p>
    <w:p w:rsidR="00BB59CD" w:rsidRDefault="00BB59CD" w:rsidP="00BB59CD">
      <w:pPr>
        <w:rPr>
          <w:rtl/>
          <w:lang w:eastAsia="he-IL"/>
        </w:rPr>
      </w:pPr>
      <w:bookmarkStart w:id="80426" w:name="_ETM_Q159_483488"/>
      <w:bookmarkStart w:id="80427" w:name="_ETM_Q159_483675"/>
      <w:bookmarkEnd w:id="80426"/>
      <w:bookmarkEnd w:id="80427"/>
      <w:r>
        <w:rPr>
          <w:rFonts w:hint="cs"/>
          <w:rtl/>
          <w:lang w:eastAsia="he-IL"/>
        </w:rPr>
        <w:t xml:space="preserve">החוסן הלאומי שלנו </w:t>
      </w:r>
      <w:bookmarkStart w:id="80428" w:name="_ETM_Q159_489166"/>
      <w:bookmarkEnd w:id="80428"/>
      <w:r>
        <w:rPr>
          <w:rFonts w:hint="cs"/>
          <w:rtl/>
          <w:lang w:eastAsia="he-IL"/>
        </w:rPr>
        <w:t xml:space="preserve">בנוי על ארבעה מרכיבים: על כלכלה מתקדמת, על </w:t>
      </w:r>
      <w:bookmarkStart w:id="80429" w:name="_ETM_Q159_492487"/>
      <w:bookmarkEnd w:id="80429"/>
      <w:r>
        <w:rPr>
          <w:rFonts w:hint="cs"/>
          <w:rtl/>
          <w:lang w:eastAsia="he-IL"/>
        </w:rPr>
        <w:t>צבא העם, על יחסינו הבין-לאומיים ומעל הכול על העובדה שאנחנו פה ביחד, מאוחדים מול אויבינו. אם תצביעו היום בעד הצעת החוק הזו</w:t>
      </w:r>
      <w:bookmarkStart w:id="80430" w:name="_ETM_Q159_505624"/>
      <w:bookmarkEnd w:id="80430"/>
      <w:r>
        <w:rPr>
          <w:rFonts w:hint="cs"/>
          <w:rtl/>
          <w:lang w:eastAsia="he-IL"/>
        </w:rPr>
        <w:t xml:space="preserve">, בהצבעה אחת אתם פוגעים בכל ארבעת המרכיבים האלה. </w:t>
      </w:r>
      <w:bookmarkStart w:id="80431" w:name="_ETM_Q159_506718"/>
      <w:bookmarkEnd w:id="80431"/>
      <w:r>
        <w:rPr>
          <w:rFonts w:hint="cs"/>
          <w:rtl/>
          <w:lang w:eastAsia="he-IL"/>
        </w:rPr>
        <w:t xml:space="preserve">אם תצביעו בעדה אתם מחלישים את מדינת ישראל, את עם ישראל ואת צבא ההגנה לישראל. אני קורא מפה לאנשים המתונים והשפויים בקואליציה, </w:t>
      </w:r>
      <w:bookmarkStart w:id="80432" w:name="_ETM_Q159_523470"/>
      <w:bookmarkEnd w:id="80432"/>
      <w:r>
        <w:rPr>
          <w:rFonts w:hint="cs"/>
          <w:rtl/>
          <w:lang w:eastAsia="he-IL"/>
        </w:rPr>
        <w:t xml:space="preserve">ויש כאלה, קחו אחריות על מדינת ישראל, קחו אחריות על ביטחונה ועל עתידה ועל החיים שלנו פה כעם אחד. אתם לא יכולים להצביע בעד הצעת החוק הזאת. </w:t>
      </w:r>
    </w:p>
    <w:p w:rsidR="00BB59CD" w:rsidRDefault="00BB59CD" w:rsidP="00BB59CD">
      <w:pPr>
        <w:rPr>
          <w:rtl/>
          <w:lang w:eastAsia="he-IL"/>
        </w:rPr>
      </w:pPr>
      <w:bookmarkStart w:id="80433" w:name="_ETM_Q159_497502"/>
      <w:bookmarkStart w:id="80434" w:name="_ETM_Q159_497591"/>
      <w:bookmarkEnd w:id="80433"/>
      <w:bookmarkEnd w:id="80434"/>
    </w:p>
    <w:p w:rsidR="00BB59CD" w:rsidRDefault="00BB59CD" w:rsidP="00BB59CD">
      <w:pPr>
        <w:rPr>
          <w:rtl/>
          <w:lang w:eastAsia="he-IL"/>
        </w:rPr>
      </w:pPr>
      <w:bookmarkStart w:id="80435" w:name="_ETM_Q159_497646"/>
      <w:bookmarkStart w:id="80436" w:name="_ETM_Q159_497738"/>
      <w:bookmarkEnd w:id="80435"/>
      <w:bookmarkEnd w:id="80436"/>
      <w:r>
        <w:rPr>
          <w:rFonts w:hint="cs"/>
          <w:rtl/>
          <w:lang w:eastAsia="he-IL"/>
        </w:rPr>
        <w:t xml:space="preserve">ניהלתי בשבועות האחרונים מאות שעות של שיחות עם אנשים מתוך הקואליציה – אל תדאגו, אני לא אזכיר שמות – אבל אתם יודעים מי אתם ואתם יודעים </w:t>
      </w:r>
      <w:bookmarkStart w:id="80437" w:name="_ETM_Q159_547238"/>
      <w:bookmarkEnd w:id="80437"/>
      <w:r>
        <w:rPr>
          <w:rFonts w:hint="cs"/>
          <w:rtl/>
          <w:lang w:eastAsia="he-IL"/>
        </w:rPr>
        <w:t>את האמת. אתם יודעים שקורה פה משהו נורא, אתם יודעים</w:t>
      </w:r>
      <w:bookmarkStart w:id="80438" w:name="_ETM_Q159_550049"/>
      <w:bookmarkEnd w:id="80438"/>
      <w:r>
        <w:rPr>
          <w:rFonts w:hint="cs"/>
          <w:rtl/>
          <w:lang w:eastAsia="he-IL"/>
        </w:rPr>
        <w:t xml:space="preserve"> שזו השתלטות של מיעוט קיצוני על הרוב הישראלי, וגם השתלטות עוינת קיצונית על המפלגה שלכם. אתם יודעים שמה </w:t>
      </w:r>
      <w:bookmarkStart w:id="80439" w:name="_ETM_Q159_563123"/>
      <w:bookmarkEnd w:id="80439"/>
      <w:r>
        <w:rPr>
          <w:rFonts w:hint="cs"/>
          <w:rtl/>
          <w:lang w:eastAsia="he-IL"/>
        </w:rPr>
        <w:t xml:space="preserve">שקורה פה הוא אסון, ושאפשר היה למנוע אותו. טרגדיה </w:t>
      </w:r>
      <w:bookmarkStart w:id="80440" w:name="_ETM_Q159_565132"/>
      <w:bookmarkEnd w:id="80440"/>
      <w:r>
        <w:rPr>
          <w:rFonts w:hint="cs"/>
          <w:rtl/>
          <w:lang w:eastAsia="he-IL"/>
        </w:rPr>
        <w:t xml:space="preserve">שחובתנו המשותפת היא לעצור אותה. </w:t>
      </w:r>
      <w:r w:rsidR="00CB7C6D">
        <w:rPr>
          <w:rFonts w:hint="cs"/>
          <w:rtl/>
          <w:lang w:eastAsia="he-IL"/>
        </w:rPr>
        <w:t xml:space="preserve">אתם יכולים לעצור את זה. </w:t>
      </w:r>
    </w:p>
    <w:p w:rsidR="00BB59CD" w:rsidRDefault="00BB59CD" w:rsidP="00BB59CD">
      <w:pPr>
        <w:rPr>
          <w:rtl/>
          <w:lang w:eastAsia="he-IL"/>
        </w:rPr>
      </w:pPr>
      <w:bookmarkStart w:id="80441" w:name="_ETM_Q159_568111"/>
      <w:bookmarkStart w:id="80442" w:name="_ETM_Q159_568285"/>
      <w:bookmarkEnd w:id="80441"/>
      <w:bookmarkEnd w:id="80442"/>
    </w:p>
    <w:p w:rsidR="00BB59CD" w:rsidRDefault="00BB59CD" w:rsidP="00BB59CD">
      <w:pPr>
        <w:pStyle w:val="af8"/>
        <w:keepNext/>
        <w:rPr>
          <w:rtl/>
        </w:rPr>
      </w:pPr>
      <w:bookmarkStart w:id="80443" w:name="ET_interruption_6357_22"/>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80443"/>
    </w:p>
    <w:p w:rsidR="00BB59CD" w:rsidRDefault="00BB59CD" w:rsidP="00337201">
      <w:pPr>
        <w:rPr>
          <w:rtl/>
          <w:lang w:eastAsia="he-IL"/>
        </w:rPr>
      </w:pPr>
    </w:p>
    <w:p w:rsidR="00BB59CD" w:rsidRDefault="00BB59CD" w:rsidP="00BB59CD">
      <w:pPr>
        <w:rPr>
          <w:rtl/>
          <w:lang w:eastAsia="he-IL"/>
        </w:rPr>
      </w:pPr>
      <w:r>
        <w:rPr>
          <w:rFonts w:hint="cs"/>
          <w:rtl/>
          <w:lang w:eastAsia="he-IL"/>
        </w:rPr>
        <w:t>עילת הסבירות זה אסון? על מה אתם מדבר?</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337201">
      <w:pPr>
        <w:rPr>
          <w:rtl/>
          <w:lang w:eastAsia="he-IL"/>
        </w:rPr>
      </w:pPr>
    </w:p>
    <w:p w:rsidR="00BB59CD" w:rsidRDefault="00BB59CD" w:rsidP="00BB59CD">
      <w:pPr>
        <w:pStyle w:val="af8"/>
        <w:keepNext/>
        <w:rPr>
          <w:rtl/>
        </w:rPr>
      </w:pPr>
      <w:bookmarkStart w:id="80444" w:name="ET_interruption_6537_27"/>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8044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איפה היית - - - שקראו לסרבנות? </w:t>
      </w:r>
    </w:p>
    <w:p w:rsidR="00BB59CD" w:rsidRDefault="00BB59CD" w:rsidP="00BB59CD">
      <w:pPr>
        <w:rPr>
          <w:rtl/>
          <w:lang w:eastAsia="he-IL"/>
        </w:rPr>
      </w:pPr>
    </w:p>
    <w:p w:rsidR="00BB59CD" w:rsidRDefault="00BB59CD" w:rsidP="00BB59CD">
      <w:pPr>
        <w:pStyle w:val="-"/>
        <w:keepNext/>
        <w:rPr>
          <w:rtl/>
        </w:rPr>
      </w:pPr>
      <w:r>
        <w:rPr>
          <w:rStyle w:val="TagStyle"/>
          <w:rFonts w:hint="cs"/>
          <w:rtl/>
        </w:rPr>
        <w:t xml:space="preserve"> &lt;&lt; דובר_המשך &gt;&gt; </w:t>
      </w:r>
      <w:r>
        <w:rPr>
          <w:rFonts w:hint="cs"/>
          <w:rtl/>
        </w:rPr>
        <w:t>יאיר לפיד (יש עתיד):</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CB7C6D">
      <w:pPr>
        <w:rPr>
          <w:rtl/>
          <w:lang w:eastAsia="he-IL"/>
        </w:rPr>
      </w:pPr>
      <w:r>
        <w:rPr>
          <w:rFonts w:hint="cs"/>
          <w:rtl/>
          <w:lang w:eastAsia="he-IL"/>
        </w:rPr>
        <w:t xml:space="preserve">אז יכול להיות שזה לא מה שתכננתם </w:t>
      </w:r>
      <w:bookmarkStart w:id="80445" w:name="_ETM_Q159_579972"/>
      <w:bookmarkEnd w:id="80445"/>
      <w:r>
        <w:rPr>
          <w:rFonts w:hint="cs"/>
          <w:rtl/>
          <w:lang w:eastAsia="he-IL"/>
        </w:rPr>
        <w:t xml:space="preserve">לגבי עצמכם. יכול להיות שזה לא הדבר </w:t>
      </w:r>
      <w:bookmarkStart w:id="80446" w:name="_ETM_Q159_585020"/>
      <w:bookmarkEnd w:id="80446"/>
      <w:r>
        <w:rPr>
          <w:rFonts w:hint="cs"/>
          <w:rtl/>
          <w:lang w:eastAsia="he-IL"/>
        </w:rPr>
        <w:t>שבשבילו באתם לפוליטיקה</w:t>
      </w:r>
      <w:r w:rsidR="00CB7C6D">
        <w:rPr>
          <w:rFonts w:hint="cs"/>
          <w:rtl/>
          <w:lang w:eastAsia="he-IL"/>
        </w:rPr>
        <w:t xml:space="preserve">, </w:t>
      </w:r>
      <w:r>
        <w:rPr>
          <w:rFonts w:hint="cs"/>
          <w:rtl/>
          <w:lang w:eastAsia="he-IL"/>
        </w:rPr>
        <w:t xml:space="preserve">אבל אם לא תעצרו את זה, אתם תתעוררו ב-30 השנים הקרובות - - </w:t>
      </w:r>
    </w:p>
    <w:p w:rsidR="00BB59CD" w:rsidRDefault="00BB59CD" w:rsidP="00BB59CD">
      <w:pPr>
        <w:rPr>
          <w:rtl/>
          <w:lang w:eastAsia="he-IL"/>
        </w:rPr>
      </w:pPr>
    </w:p>
    <w:p w:rsidR="00BB59CD" w:rsidRDefault="00BB59CD" w:rsidP="00BB59CD">
      <w:pPr>
        <w:pStyle w:val="af8"/>
        <w:keepNext/>
        <w:rPr>
          <w:rtl/>
        </w:rPr>
      </w:pPr>
      <w:bookmarkStart w:id="80447" w:name="ET_interruption_6537_30"/>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80447"/>
    </w:p>
    <w:p w:rsidR="00BB59CD" w:rsidRDefault="00BB59CD" w:rsidP="00337201">
      <w:pPr>
        <w:rPr>
          <w:rtl/>
          <w:lang w:eastAsia="he-IL"/>
        </w:rPr>
      </w:pPr>
    </w:p>
    <w:p w:rsidR="00BB59CD" w:rsidRDefault="00CB7C6D" w:rsidP="00BB59CD">
      <w:pPr>
        <w:rPr>
          <w:rtl/>
          <w:lang w:eastAsia="he-IL"/>
        </w:rPr>
      </w:pPr>
      <w:r>
        <w:rPr>
          <w:rFonts w:hint="cs"/>
          <w:rtl/>
          <w:lang w:eastAsia="he-IL"/>
        </w:rPr>
        <w:t xml:space="preserve">- - - </w:t>
      </w:r>
      <w:r w:rsidR="00BB59CD">
        <w:rPr>
          <w:rFonts w:hint="cs"/>
          <w:rtl/>
          <w:lang w:eastAsia="he-IL"/>
        </w:rPr>
        <w:t xml:space="preserve">איפה היית? למה לא הצבעת נגד?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 הכנסת שקלים. </w:t>
      </w:r>
    </w:p>
    <w:p w:rsidR="00BB59CD" w:rsidRDefault="00BB59CD" w:rsidP="00BB59CD">
      <w:pPr>
        <w:rPr>
          <w:rtl/>
          <w:lang w:eastAsia="he-IL"/>
        </w:rPr>
      </w:pPr>
    </w:p>
    <w:p w:rsidR="00BB59CD" w:rsidRDefault="00BB59CD" w:rsidP="00BB59CD">
      <w:pPr>
        <w:pStyle w:val="-"/>
        <w:keepNext/>
        <w:rPr>
          <w:rtl/>
        </w:rPr>
      </w:pPr>
      <w:bookmarkStart w:id="80448" w:name="ET_speakercontinue_5087_10"/>
      <w:r>
        <w:rPr>
          <w:rStyle w:val="TagStyle"/>
          <w:rFonts w:hint="cs"/>
          <w:rtl/>
        </w:rPr>
        <w:t xml:space="preserve"> &lt;&lt; דובר_המשך &gt;&gt; </w:t>
      </w:r>
      <w:r>
        <w:rPr>
          <w:rFonts w:hint="cs"/>
          <w:rtl/>
        </w:rPr>
        <w:t>יאיר לפיד (יש עתיד):</w:t>
      </w:r>
      <w:r>
        <w:rPr>
          <w:rStyle w:val="TagStyle"/>
          <w:rtl/>
        </w:rPr>
        <w:t xml:space="preserve"> &lt;&lt; דובר_המשך &gt;&gt;</w:t>
      </w:r>
      <w:r>
        <w:rPr>
          <w:rFonts w:hint="cs"/>
          <w:rtl/>
        </w:rPr>
        <w:t xml:space="preserve"> </w:t>
      </w:r>
      <w:bookmarkEnd w:id="80448"/>
    </w:p>
    <w:p w:rsidR="00BB59CD" w:rsidRDefault="00BB59CD" w:rsidP="00337201">
      <w:pPr>
        <w:rPr>
          <w:rtl/>
          <w:lang w:eastAsia="he-IL"/>
        </w:rPr>
      </w:pPr>
    </w:p>
    <w:p w:rsidR="00BB59CD" w:rsidRDefault="00BB59CD" w:rsidP="00BB59CD">
      <w:pPr>
        <w:rPr>
          <w:rtl/>
          <w:lang w:eastAsia="he-IL"/>
        </w:rPr>
      </w:pPr>
      <w:bookmarkStart w:id="80449" w:name="_ETM_Q159_588854"/>
      <w:bookmarkStart w:id="80450" w:name="_ETM_Q159_589001"/>
      <w:bookmarkEnd w:id="80449"/>
      <w:bookmarkEnd w:id="80450"/>
      <w:r>
        <w:rPr>
          <w:rFonts w:hint="cs"/>
          <w:rtl/>
          <w:lang w:eastAsia="he-IL"/>
        </w:rPr>
        <w:t xml:space="preserve">- - </w:t>
      </w:r>
      <w:bookmarkStart w:id="80451" w:name="_ETM_Q159_589621"/>
      <w:bookmarkEnd w:id="80451"/>
      <w:r>
        <w:rPr>
          <w:rFonts w:hint="cs"/>
          <w:rtl/>
          <w:lang w:eastAsia="he-IL"/>
        </w:rPr>
        <w:t xml:space="preserve">באמצע הלילה עם זיעה קרה בידיעה ברורה שיכולתם לעשות את </w:t>
      </w:r>
      <w:bookmarkStart w:id="80452" w:name="_ETM_Q159_597047"/>
      <w:bookmarkEnd w:id="80452"/>
      <w:r>
        <w:rPr>
          <w:rFonts w:hint="cs"/>
          <w:rtl/>
          <w:lang w:eastAsia="he-IL"/>
        </w:rPr>
        <w:t xml:space="preserve">המעשה הנכון ולא עשיתם אותו.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0453" w:name="_ETM_Q159_600941"/>
      <w:bookmarkEnd w:id="80453"/>
      <w:r>
        <w:rPr>
          <w:rFonts w:hint="cs"/>
          <w:rtl/>
          <w:lang w:eastAsia="he-IL"/>
        </w:rPr>
        <w:t xml:space="preserve">אבל אתה היית בעד זה, </w:t>
      </w:r>
      <w:bookmarkStart w:id="80454" w:name="_ETM_Q159_604390"/>
      <w:bookmarkEnd w:id="80454"/>
      <w:r>
        <w:rPr>
          <w:rFonts w:hint="cs"/>
          <w:rtl/>
          <w:lang w:eastAsia="he-IL"/>
        </w:rPr>
        <w:t xml:space="preserve">אתה היית בעד. </w:t>
      </w:r>
    </w:p>
    <w:p w:rsidR="00BB59CD" w:rsidRDefault="00BB59CD" w:rsidP="00BB59CD">
      <w:pPr>
        <w:rPr>
          <w:rtl/>
          <w:lang w:eastAsia="he-IL"/>
        </w:rPr>
      </w:pPr>
      <w:bookmarkStart w:id="80455" w:name="_ETM_Q159_603893"/>
      <w:bookmarkStart w:id="80456" w:name="_ETM_Q159_604038"/>
      <w:bookmarkEnd w:id="80455"/>
      <w:bookmarkEnd w:id="80456"/>
    </w:p>
    <w:p w:rsidR="00BB59CD" w:rsidRDefault="00BB59CD" w:rsidP="00BB59CD">
      <w:pPr>
        <w:pStyle w:val="af8"/>
        <w:keepNext/>
        <w:rPr>
          <w:rtl/>
        </w:rPr>
      </w:pPr>
      <w:bookmarkStart w:id="80457" w:name="ET_interruption_6127_33"/>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8045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די כבר. </w:t>
      </w:r>
    </w:p>
    <w:p w:rsidR="00BB59CD" w:rsidRDefault="00BB59CD" w:rsidP="00BB59CD">
      <w:pPr>
        <w:rPr>
          <w:rtl/>
          <w:lang w:eastAsia="he-IL"/>
        </w:rPr>
      </w:pPr>
      <w:bookmarkStart w:id="80458" w:name="_ETM_Q159_602977"/>
      <w:bookmarkStart w:id="80459" w:name="_ETM_Q159_603101"/>
      <w:bookmarkEnd w:id="80458"/>
      <w:bookmarkEnd w:id="80459"/>
    </w:p>
    <w:p w:rsidR="00BB59CD" w:rsidRDefault="00BB59CD" w:rsidP="00BB59CD">
      <w:pPr>
        <w:pStyle w:val="-"/>
        <w:keepNext/>
        <w:rPr>
          <w:rtl/>
        </w:rPr>
      </w:pPr>
      <w:bookmarkStart w:id="80460" w:name="ET_speakercontinue_5087_34"/>
      <w:r>
        <w:rPr>
          <w:rStyle w:val="TagStyle"/>
          <w:rFonts w:hint="cs"/>
          <w:rtl/>
        </w:rPr>
        <w:t xml:space="preserve"> &lt;&lt; דובר_המשך &gt;&gt; </w:t>
      </w:r>
      <w:r>
        <w:rPr>
          <w:rFonts w:hint="cs"/>
          <w:rtl/>
        </w:rPr>
        <w:t>יאיר לפיד (יש עתיד):</w:t>
      </w:r>
      <w:r>
        <w:rPr>
          <w:rStyle w:val="TagStyle"/>
          <w:rtl/>
        </w:rPr>
        <w:t xml:space="preserve"> &lt;&lt; דובר_המשך &gt;&gt;</w:t>
      </w:r>
      <w:r>
        <w:rPr>
          <w:rFonts w:hint="cs"/>
          <w:rtl/>
        </w:rPr>
        <w:t xml:space="preserve"> </w:t>
      </w:r>
      <w:bookmarkEnd w:id="80460"/>
    </w:p>
    <w:p w:rsidR="00BB59CD" w:rsidRDefault="00BB59CD" w:rsidP="00337201">
      <w:pPr>
        <w:rPr>
          <w:rtl/>
          <w:lang w:eastAsia="he-IL"/>
        </w:rPr>
      </w:pPr>
    </w:p>
    <w:p w:rsidR="00BB59CD" w:rsidRDefault="00BB59CD" w:rsidP="00BB59CD">
      <w:pPr>
        <w:rPr>
          <w:rtl/>
          <w:lang w:eastAsia="he-IL"/>
        </w:rPr>
      </w:pPr>
      <w:r>
        <w:rPr>
          <w:rFonts w:hint="cs"/>
          <w:rtl/>
          <w:lang w:eastAsia="he-IL"/>
        </w:rPr>
        <w:t>כל אחד מאיתנו, כשהוא</w:t>
      </w:r>
      <w:bookmarkStart w:id="80461" w:name="_ETM_Q159_604113"/>
      <w:bookmarkEnd w:id="80461"/>
      <w:r>
        <w:rPr>
          <w:rFonts w:hint="cs"/>
          <w:rtl/>
          <w:lang w:eastAsia="he-IL"/>
        </w:rPr>
        <w:t xml:space="preserve"> הגיע לבניין הזה, נשבע את אותה שבועה -</w:t>
      </w:r>
      <w:bookmarkStart w:id="80462" w:name="_ETM_Q159_605772"/>
      <w:bookmarkEnd w:id="80462"/>
      <w:r>
        <w:rPr>
          <w:rFonts w:hint="cs"/>
          <w:rtl/>
          <w:lang w:eastAsia="he-IL"/>
        </w:rPr>
        <w:t xml:space="preserve"> -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0463" w:name="_ETM_Q159_605394"/>
      <w:bookmarkEnd w:id="80463"/>
      <w:r>
        <w:rPr>
          <w:rFonts w:hint="cs"/>
          <w:rtl/>
          <w:lang w:eastAsia="he-IL"/>
        </w:rPr>
        <w:t xml:space="preserve">איפה הייתם? התקליט שלכם כל פעם. </w:t>
      </w:r>
      <w:bookmarkStart w:id="80464" w:name="_ETM_Q159_608094"/>
      <w:bookmarkStart w:id="80465" w:name="_ETM_Q159_609278"/>
      <w:bookmarkEnd w:id="80464"/>
      <w:bookmarkEnd w:id="80465"/>
    </w:p>
    <w:p w:rsidR="00BB59CD" w:rsidRDefault="00BB59CD" w:rsidP="00BB59CD">
      <w:pPr>
        <w:rPr>
          <w:rtl/>
          <w:lang w:eastAsia="he-IL"/>
        </w:rPr>
      </w:pPr>
      <w:bookmarkStart w:id="80466" w:name="_ETM_Q159_609466"/>
      <w:bookmarkEnd w:id="80466"/>
    </w:p>
    <w:p w:rsidR="00BB59CD" w:rsidRDefault="00BB59CD" w:rsidP="00BB59CD">
      <w:pPr>
        <w:pStyle w:val="-"/>
        <w:keepNext/>
        <w:rPr>
          <w:rtl/>
        </w:rPr>
      </w:pPr>
      <w:bookmarkStart w:id="80467" w:name="ET_speakercontinue_5087_36"/>
      <w:r>
        <w:rPr>
          <w:rStyle w:val="TagStyle"/>
          <w:rFonts w:hint="cs"/>
          <w:rtl/>
        </w:rPr>
        <w:t xml:space="preserve"> &lt;&lt; דובר_המשך &gt;&gt; </w:t>
      </w:r>
      <w:r>
        <w:rPr>
          <w:rFonts w:hint="cs"/>
          <w:rtl/>
        </w:rPr>
        <w:t>יאיר לפיד (יש עתיד):</w:t>
      </w:r>
      <w:r>
        <w:rPr>
          <w:rStyle w:val="TagStyle"/>
          <w:rtl/>
        </w:rPr>
        <w:t xml:space="preserve"> &lt;&lt; דובר_המשך &gt;&gt;</w:t>
      </w:r>
      <w:r>
        <w:rPr>
          <w:rFonts w:hint="cs"/>
          <w:rtl/>
        </w:rPr>
        <w:t xml:space="preserve"> </w:t>
      </w:r>
      <w:bookmarkEnd w:id="80467"/>
    </w:p>
    <w:p w:rsidR="00BB59CD" w:rsidRDefault="00BB59CD" w:rsidP="00337201">
      <w:pPr>
        <w:rPr>
          <w:rtl/>
          <w:lang w:eastAsia="he-IL"/>
        </w:rPr>
      </w:pPr>
    </w:p>
    <w:p w:rsidR="00BB59CD" w:rsidRDefault="00BB59CD" w:rsidP="00BB59CD">
      <w:pPr>
        <w:rPr>
          <w:rtl/>
          <w:lang w:eastAsia="he-IL"/>
        </w:rPr>
      </w:pPr>
      <w:bookmarkStart w:id="80468" w:name="_ETM_Q159_611216"/>
      <w:bookmarkEnd w:id="80468"/>
      <w:r>
        <w:rPr>
          <w:rFonts w:hint="cs"/>
          <w:rtl/>
          <w:lang w:eastAsia="he-IL"/>
        </w:rPr>
        <w:t xml:space="preserve">- - כולנו עמדנו פה והיושב-ראש הקריא נוסח. </w:t>
      </w:r>
    </w:p>
    <w:p w:rsidR="00BB59CD" w:rsidRDefault="00BB59CD" w:rsidP="00BB59CD">
      <w:pPr>
        <w:rPr>
          <w:rtl/>
          <w:lang w:eastAsia="he-IL"/>
        </w:rPr>
      </w:pPr>
    </w:p>
    <w:p w:rsidR="00BB59CD" w:rsidRDefault="00BB59CD" w:rsidP="00BB59CD">
      <w:pPr>
        <w:pStyle w:val="af8"/>
        <w:keepNext/>
        <w:rPr>
          <w:rtl/>
        </w:rPr>
      </w:pPr>
      <w:bookmarkStart w:id="80469" w:name="ET_interruption_6537_37"/>
      <w:r>
        <w:rPr>
          <w:rStyle w:val="TagStyle"/>
          <w:rFonts w:hint="cs"/>
          <w:rtl/>
        </w:rPr>
        <w:t xml:space="preserve"> &lt;&lt; קריאה &gt;&gt; </w:t>
      </w:r>
      <w:r>
        <w:rPr>
          <w:rFonts w:hint="cs"/>
          <w:rtl/>
        </w:rPr>
        <w:t>אושר שקלים (הליכוד):</w:t>
      </w:r>
      <w:r>
        <w:rPr>
          <w:rStyle w:val="TagStyle"/>
          <w:rtl/>
        </w:rPr>
        <w:t xml:space="preserve"> &lt;&lt; קריאה &gt;&gt;</w:t>
      </w:r>
      <w:r>
        <w:rPr>
          <w:rFonts w:hint="cs"/>
          <w:rtl/>
        </w:rPr>
        <w:t xml:space="preserve"> </w:t>
      </w:r>
      <w:bookmarkEnd w:id="80469"/>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למה לא </w:t>
      </w:r>
      <w:bookmarkStart w:id="80470" w:name="_ETM_Q159_614047"/>
      <w:bookmarkEnd w:id="80470"/>
      <w:r>
        <w:rPr>
          <w:rFonts w:hint="cs"/>
          <w:rtl/>
          <w:lang w:eastAsia="he-IL"/>
        </w:rPr>
        <w:t xml:space="preserve">- - - </w:t>
      </w:r>
    </w:p>
    <w:p w:rsidR="00BB59CD" w:rsidRDefault="00BB59CD" w:rsidP="00BB59CD">
      <w:pPr>
        <w:rPr>
          <w:rtl/>
          <w:lang w:eastAsia="he-IL"/>
        </w:rPr>
      </w:pPr>
    </w:p>
    <w:p w:rsidR="00CB7C6D" w:rsidRDefault="00CB7C6D" w:rsidP="00CB7C6D">
      <w:pPr>
        <w:pStyle w:val="af9"/>
        <w:keepNext/>
        <w:rPr>
          <w:rtl/>
        </w:rPr>
      </w:pPr>
      <w:bookmarkStart w:id="80471" w:name="ET_yor_6423_39"/>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80471"/>
    </w:p>
    <w:p w:rsidR="00CB7C6D" w:rsidRDefault="00CB7C6D" w:rsidP="00CB7C6D">
      <w:pPr>
        <w:rPr>
          <w:rtl/>
          <w:lang w:eastAsia="he-IL"/>
        </w:rPr>
      </w:pPr>
    </w:p>
    <w:p w:rsidR="00CB7C6D" w:rsidRDefault="00CB7C6D" w:rsidP="00CB7C6D">
      <w:pPr>
        <w:rPr>
          <w:rtl/>
          <w:lang w:eastAsia="he-IL"/>
        </w:rPr>
      </w:pPr>
      <w:r>
        <w:rPr>
          <w:rFonts w:hint="cs"/>
          <w:rtl/>
          <w:lang w:eastAsia="he-IL"/>
        </w:rPr>
        <w:t xml:space="preserve">חבר הכנסת שקלים. </w:t>
      </w:r>
    </w:p>
    <w:p w:rsidR="00CB7C6D" w:rsidRDefault="00CB7C6D" w:rsidP="00BB59CD">
      <w:pPr>
        <w:rPr>
          <w:rtl/>
          <w:lang w:eastAsia="he-IL"/>
        </w:rPr>
      </w:pPr>
    </w:p>
    <w:p w:rsidR="00BB59CD" w:rsidRDefault="00BB59CD" w:rsidP="00BB59CD">
      <w:pPr>
        <w:pStyle w:val="-"/>
        <w:keepNext/>
        <w:rPr>
          <w:rtl/>
        </w:rPr>
      </w:pPr>
      <w:bookmarkStart w:id="80472" w:name="ET_speakercontinue_5087_38"/>
      <w:r>
        <w:rPr>
          <w:rStyle w:val="TagStyle"/>
          <w:rFonts w:hint="cs"/>
          <w:rtl/>
        </w:rPr>
        <w:t xml:space="preserve"> &lt;&lt; דובר_המשך &gt;&gt; </w:t>
      </w:r>
      <w:r>
        <w:rPr>
          <w:rFonts w:hint="cs"/>
          <w:rtl/>
        </w:rPr>
        <w:t>יאיר לפיד (יש עתיד):</w:t>
      </w:r>
      <w:r>
        <w:rPr>
          <w:rStyle w:val="TagStyle"/>
          <w:rtl/>
        </w:rPr>
        <w:t xml:space="preserve"> &lt;&lt; דובר_המשך &gt;&gt;</w:t>
      </w:r>
      <w:r>
        <w:rPr>
          <w:rFonts w:hint="cs"/>
          <w:rtl/>
        </w:rPr>
        <w:t xml:space="preserve"> </w:t>
      </w:r>
      <w:bookmarkEnd w:id="80472"/>
    </w:p>
    <w:p w:rsidR="00BB59CD" w:rsidRDefault="00BB59CD" w:rsidP="00337201">
      <w:pPr>
        <w:rPr>
          <w:rtl/>
          <w:lang w:eastAsia="he-IL"/>
        </w:rPr>
      </w:pPr>
    </w:p>
    <w:p w:rsidR="00BB59CD" w:rsidRDefault="00BB59CD" w:rsidP="00CB7C6D">
      <w:pPr>
        <w:rPr>
          <w:rtl/>
          <w:lang w:eastAsia="he-IL"/>
        </w:rPr>
      </w:pPr>
      <w:r>
        <w:rPr>
          <w:rFonts w:hint="cs"/>
          <w:rtl/>
          <w:lang w:eastAsia="he-IL"/>
        </w:rPr>
        <w:t>אני רואה שאתם לא זוכרים. היושב-ראש אמר</w:t>
      </w:r>
      <w:r w:rsidR="00CB7C6D">
        <w:rPr>
          <w:rFonts w:hint="cs"/>
          <w:rtl/>
          <w:lang w:eastAsia="he-IL"/>
        </w:rPr>
        <w:t>:</w:t>
      </w:r>
      <w:r>
        <w:rPr>
          <w:rFonts w:hint="cs"/>
          <w:rtl/>
          <w:lang w:eastAsia="he-IL"/>
        </w:rPr>
        <w:t xml:space="preserve"> אני מתחייב לשמור אמונים </w:t>
      </w:r>
      <w:bookmarkStart w:id="80473" w:name="_ETM_Q159_624201"/>
      <w:bookmarkEnd w:id="80473"/>
      <w:r>
        <w:rPr>
          <w:rFonts w:hint="cs"/>
          <w:rtl/>
          <w:lang w:eastAsia="he-IL"/>
        </w:rPr>
        <w:t xml:space="preserve">למדינת ישראל ולמלא באמונה את שליחותי בכנסת, וכל אחד ואחת מכם אמר: מתחייב אני. אתם מפירים היום את ההתחייבות הזאת.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 - אתה אמרת שזו </w:t>
      </w:r>
      <w:bookmarkStart w:id="80474" w:name="_ETM_Q159_637207"/>
      <w:bookmarkEnd w:id="80474"/>
      <w:r>
        <w:rPr>
          <w:rFonts w:hint="cs"/>
          <w:rtl/>
          <w:lang w:eastAsia="he-IL"/>
        </w:rPr>
        <w:t xml:space="preserve">- - - הדמוקרטיה. </w:t>
      </w:r>
    </w:p>
    <w:p w:rsidR="00BB59CD" w:rsidRDefault="00BB59CD" w:rsidP="00BB59CD">
      <w:pPr>
        <w:rPr>
          <w:rtl/>
          <w:lang w:eastAsia="he-IL"/>
        </w:rPr>
      </w:pPr>
    </w:p>
    <w:p w:rsidR="00BB59CD" w:rsidRDefault="00BB59CD" w:rsidP="00BB59CD">
      <w:pPr>
        <w:pStyle w:val="-"/>
        <w:keepNext/>
        <w:rPr>
          <w:rtl/>
        </w:rPr>
      </w:pPr>
      <w:bookmarkStart w:id="80475" w:name="ET_speakercontinue_5087_11"/>
      <w:r>
        <w:rPr>
          <w:rStyle w:val="TagStyle"/>
          <w:rFonts w:hint="cs"/>
          <w:rtl/>
        </w:rPr>
        <w:t xml:space="preserve"> &lt;&lt; דובר_המשך &gt;&gt; </w:t>
      </w:r>
      <w:r>
        <w:rPr>
          <w:rFonts w:hint="cs"/>
          <w:rtl/>
        </w:rPr>
        <w:t>יאיר לפיד (יש עתיד):</w:t>
      </w:r>
      <w:r>
        <w:rPr>
          <w:rStyle w:val="TagStyle"/>
          <w:rtl/>
        </w:rPr>
        <w:t xml:space="preserve"> &lt;&lt; דובר_המשך &gt;&gt;</w:t>
      </w:r>
      <w:r>
        <w:rPr>
          <w:rFonts w:hint="cs"/>
          <w:rtl/>
        </w:rPr>
        <w:t xml:space="preserve"> </w:t>
      </w:r>
      <w:bookmarkEnd w:id="80475"/>
    </w:p>
    <w:p w:rsidR="00BB59CD" w:rsidRDefault="00BB59CD" w:rsidP="00337201">
      <w:pPr>
        <w:rPr>
          <w:rtl/>
          <w:lang w:eastAsia="he-IL"/>
        </w:rPr>
      </w:pPr>
    </w:p>
    <w:p w:rsidR="00BB59CD" w:rsidRDefault="00BB59CD" w:rsidP="00BB59CD">
      <w:pPr>
        <w:rPr>
          <w:rtl/>
          <w:lang w:eastAsia="he-IL"/>
        </w:rPr>
      </w:pPr>
      <w:bookmarkStart w:id="80476" w:name="_ETM_Q159_635699"/>
      <w:bookmarkStart w:id="80477" w:name="_ETM_Q159_635860"/>
      <w:bookmarkEnd w:id="80476"/>
      <w:bookmarkEnd w:id="80477"/>
      <w:r>
        <w:rPr>
          <w:rFonts w:hint="cs"/>
          <w:rtl/>
          <w:lang w:eastAsia="he-IL"/>
        </w:rPr>
        <w:t xml:space="preserve">אם תצביעו בעד הצעת החוק </w:t>
      </w:r>
      <w:bookmarkStart w:id="80478" w:name="_ETM_Q159_637003"/>
      <w:bookmarkEnd w:id="80478"/>
      <w:r>
        <w:rPr>
          <w:rFonts w:hint="cs"/>
          <w:rtl/>
          <w:lang w:eastAsia="he-IL"/>
        </w:rPr>
        <w:t xml:space="preserve">הזו אתם מפירים את ההתחייבות הזו, אתם מפירים את ההתחייבות שלכם למדינת </w:t>
      </w:r>
      <w:bookmarkStart w:id="80479" w:name="_ETM_Q159_643917"/>
      <w:bookmarkEnd w:id="80479"/>
      <w:r>
        <w:rPr>
          <w:rFonts w:hint="cs"/>
          <w:rtl/>
          <w:lang w:eastAsia="he-IL"/>
        </w:rPr>
        <w:t xml:space="preserve">ישראל, לשליחות שלכם כחברי כנסת וגם את ההתחייבות שלכם כפטריוטים ישראלים. אם </w:t>
      </w:r>
      <w:bookmarkStart w:id="80480" w:name="_ETM_Q159_650973"/>
      <w:bookmarkEnd w:id="80480"/>
      <w:r>
        <w:rPr>
          <w:rFonts w:hint="cs"/>
          <w:rtl/>
          <w:lang w:eastAsia="he-IL"/>
        </w:rPr>
        <w:t xml:space="preserve">אתם היום תלחצו על הכפתור או תגידו </w:t>
      </w:r>
      <w:bookmarkStart w:id="80481" w:name="_ETM_Q159_653340"/>
      <w:bookmarkEnd w:id="80481"/>
      <w:r>
        <w:rPr>
          <w:rFonts w:hint="cs"/>
          <w:rtl/>
          <w:lang w:eastAsia="he-IL"/>
        </w:rPr>
        <w:t xml:space="preserve">כן על הצעת החוק הזו, אתם לא יכולים לקרוא לעצמכם יותר פטריוטים ישראלים. אני קורא לכנסת ישראל להצביע נגד הצעת </w:t>
      </w:r>
      <w:bookmarkStart w:id="80482" w:name="_ETM_Q159_660511"/>
      <w:bookmarkEnd w:id="80482"/>
      <w:r>
        <w:rPr>
          <w:rFonts w:hint="cs"/>
          <w:rtl/>
          <w:lang w:eastAsia="he-IL"/>
        </w:rPr>
        <w:t xml:space="preserve">החוק.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רבה. אני מזמין כעת את יושב-ראש ועדת חוקה, חוק ומשפט, </w:t>
      </w:r>
      <w:bookmarkStart w:id="80483" w:name="_ETM_Q159_667148"/>
      <w:bookmarkEnd w:id="80483"/>
      <w:r>
        <w:rPr>
          <w:rFonts w:hint="cs"/>
          <w:rtl/>
          <w:lang w:eastAsia="he-IL"/>
        </w:rPr>
        <w:t>חבר הכנסת – סליחה?</w:t>
      </w:r>
    </w:p>
    <w:p w:rsidR="00BB59CD" w:rsidRDefault="00BB59CD" w:rsidP="00BB59CD">
      <w:pPr>
        <w:rPr>
          <w:rtl/>
          <w:lang w:eastAsia="he-IL"/>
        </w:rPr>
      </w:pPr>
      <w:bookmarkStart w:id="80484" w:name="_ETM_Q159_669020"/>
      <w:bookmarkStart w:id="80485" w:name="_ETM_Q159_669203"/>
      <w:bookmarkEnd w:id="80484"/>
      <w:bookmarkEnd w:id="80485"/>
    </w:p>
    <w:p w:rsidR="00BB59CD" w:rsidRDefault="00BB59CD" w:rsidP="00BB59CD">
      <w:pPr>
        <w:pStyle w:val="af8"/>
        <w:keepNext/>
        <w:rPr>
          <w:rtl/>
        </w:rPr>
      </w:pPr>
      <w:bookmarkStart w:id="80486" w:name="ET_interruption_קריאה_42"/>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80486"/>
    </w:p>
    <w:p w:rsidR="00BB59CD" w:rsidRDefault="00BB59CD" w:rsidP="00337201">
      <w:pPr>
        <w:rPr>
          <w:rtl/>
          <w:lang w:eastAsia="he-IL"/>
        </w:rPr>
      </w:pPr>
    </w:p>
    <w:p w:rsidR="00BB59CD" w:rsidRDefault="00BB59CD" w:rsidP="00BB59CD">
      <w:pPr>
        <w:rPr>
          <w:rtl/>
          <w:lang w:eastAsia="he-IL"/>
        </w:rPr>
      </w:pPr>
      <w:bookmarkStart w:id="80487" w:name="_ETM_Q159_673789"/>
      <w:bookmarkStart w:id="80488" w:name="_ETM_Q159_674128"/>
      <w:bookmarkStart w:id="80489" w:name="_ETM_Q159_674219"/>
      <w:bookmarkEnd w:id="80487"/>
      <w:bookmarkEnd w:id="80488"/>
      <w:bookmarkEnd w:id="80489"/>
      <w:r>
        <w:rPr>
          <w:rFonts w:hint="cs"/>
          <w:rtl/>
          <w:lang w:eastAsia="he-IL"/>
        </w:rPr>
        <w:t xml:space="preserve">- - - </w:t>
      </w:r>
    </w:p>
    <w:p w:rsidR="00BB59CD" w:rsidRDefault="00BB59CD" w:rsidP="00BB59CD">
      <w:pPr>
        <w:rPr>
          <w:rtl/>
          <w:lang w:eastAsia="he-IL"/>
        </w:rPr>
      </w:pPr>
    </w:p>
    <w:p w:rsidR="00BB59CD" w:rsidRDefault="00BB59CD" w:rsidP="00BB59CD">
      <w:pPr>
        <w:pStyle w:val="af9"/>
        <w:keepNext/>
        <w:rPr>
          <w:rtl/>
        </w:rPr>
      </w:pPr>
      <w:bookmarkStart w:id="80490" w:name="ET_yor_6423_4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0490"/>
    </w:p>
    <w:p w:rsidR="00BB59CD" w:rsidRDefault="00BB59CD" w:rsidP="00337201">
      <w:pPr>
        <w:rPr>
          <w:rtl/>
          <w:lang w:eastAsia="he-IL"/>
        </w:rPr>
      </w:pPr>
    </w:p>
    <w:p w:rsidR="00BB59CD" w:rsidRDefault="00BB59CD" w:rsidP="00BB59CD">
      <w:pPr>
        <w:rPr>
          <w:rtl/>
          <w:lang w:eastAsia="he-IL"/>
        </w:rPr>
      </w:pPr>
      <w:bookmarkStart w:id="80491" w:name="_ETM_Q159_664780"/>
      <w:bookmarkStart w:id="80492" w:name="_ETM_Q159_665002"/>
      <w:bookmarkStart w:id="80493" w:name="_ETM_Q159_665035"/>
      <w:bookmarkStart w:id="80494" w:name="_ETM_Q159_665118"/>
      <w:bookmarkStart w:id="80495" w:name="_ETM_Q159_665173"/>
      <w:bookmarkStart w:id="80496" w:name="_ETM_Q159_665308"/>
      <w:bookmarkEnd w:id="80491"/>
      <w:bookmarkEnd w:id="80492"/>
      <w:bookmarkEnd w:id="80493"/>
      <w:bookmarkEnd w:id="80494"/>
      <w:bookmarkEnd w:id="80495"/>
      <w:bookmarkEnd w:id="80496"/>
      <w:r>
        <w:rPr>
          <w:rFonts w:hint="cs"/>
          <w:rtl/>
          <w:lang w:eastAsia="he-IL"/>
        </w:rPr>
        <w:t xml:space="preserve">אם כך, שר המשפטים וסגן </w:t>
      </w:r>
      <w:bookmarkStart w:id="80497" w:name="_ETM_Q159_676104"/>
      <w:bookmarkEnd w:id="80497"/>
      <w:r>
        <w:rPr>
          <w:rFonts w:hint="cs"/>
          <w:rtl/>
          <w:lang w:eastAsia="he-IL"/>
        </w:rPr>
        <w:t xml:space="preserve">ראש הממשלה יריב לוין יסכם </w:t>
      </w:r>
      <w:bookmarkStart w:id="80498" w:name="_ETM_Q159_678178"/>
      <w:bookmarkEnd w:id="80498"/>
      <w:r>
        <w:rPr>
          <w:rFonts w:hint="cs"/>
          <w:rtl/>
          <w:lang w:eastAsia="he-IL"/>
        </w:rPr>
        <w:t xml:space="preserve">מטעם הממשלה, בבקשה.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BB59CD" w:rsidRDefault="00BB59CD" w:rsidP="00BB59CD">
      <w:pPr>
        <w:rPr>
          <w:rtl/>
          <w:lang w:eastAsia="he-IL"/>
        </w:rPr>
      </w:pPr>
      <w:r>
        <w:rPr>
          <w:rFonts w:hint="cs"/>
          <w:rtl/>
          <w:lang w:eastAsia="he-IL"/>
        </w:rPr>
        <w:t xml:space="preserve"> </w:t>
      </w:r>
    </w:p>
    <w:p w:rsidR="00BB59CD" w:rsidRDefault="00BB59CD" w:rsidP="00CB7C6D">
      <w:pPr>
        <w:rPr>
          <w:rtl/>
          <w:lang w:eastAsia="he-IL"/>
        </w:rPr>
      </w:pPr>
      <w:r>
        <w:rPr>
          <w:rFonts w:hint="cs"/>
          <w:rtl/>
          <w:lang w:eastAsia="he-IL"/>
        </w:rPr>
        <w:t>אתה יודע שהשמש תמשיך לזרוח מחר. על בג"</w:t>
      </w:r>
      <w:r w:rsidR="00CB7C6D">
        <w:rPr>
          <w:rFonts w:hint="cs"/>
          <w:rtl/>
          <w:lang w:eastAsia="he-IL"/>
        </w:rPr>
        <w:t>ץ</w:t>
      </w:r>
      <w:r>
        <w:rPr>
          <w:rFonts w:hint="cs"/>
          <w:rtl/>
          <w:lang w:eastAsia="he-IL"/>
        </w:rPr>
        <w:t xml:space="preserve"> ישבו - </w:t>
      </w:r>
      <w:bookmarkStart w:id="80499" w:name="_ETM_Q159_686607"/>
      <w:bookmarkEnd w:id="80499"/>
      <w:r>
        <w:rPr>
          <w:rFonts w:hint="cs"/>
          <w:rtl/>
          <w:lang w:eastAsia="he-IL"/>
        </w:rPr>
        <w:t xml:space="preserve">- - </w:t>
      </w:r>
    </w:p>
    <w:p w:rsidR="00BB59CD" w:rsidRDefault="00BB59CD" w:rsidP="00BB59CD">
      <w:pPr>
        <w:rPr>
          <w:rtl/>
          <w:lang w:eastAsia="he-IL"/>
        </w:rPr>
      </w:pPr>
    </w:p>
    <w:p w:rsidR="00BB59CD" w:rsidRDefault="00BB59CD" w:rsidP="00BB59CD">
      <w:pPr>
        <w:pStyle w:val="af8"/>
        <w:keepNext/>
        <w:rPr>
          <w:rtl/>
        </w:rPr>
      </w:pPr>
      <w:bookmarkStart w:id="80500" w:name="ET_interruption_5809_44"/>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80500"/>
    </w:p>
    <w:p w:rsidR="00BB59CD" w:rsidRDefault="00BB59CD" w:rsidP="00337201">
      <w:pPr>
        <w:rPr>
          <w:rtl/>
        </w:rPr>
      </w:pPr>
    </w:p>
    <w:p w:rsidR="00BB59CD" w:rsidRDefault="00BB59CD" w:rsidP="00BB59CD">
      <w:pPr>
        <w:rPr>
          <w:rtl/>
          <w:lang w:eastAsia="he-IL"/>
        </w:rPr>
      </w:pPr>
      <w:r>
        <w:rPr>
          <w:rFonts w:hint="cs"/>
          <w:rtl/>
          <w:lang w:eastAsia="he-IL"/>
        </w:rPr>
        <w:t xml:space="preserve">לא, היא לא תמשיך לזרוח, עוכר ישראל. </w:t>
      </w:r>
    </w:p>
    <w:p w:rsidR="00BB59CD" w:rsidRDefault="00BB59CD" w:rsidP="00BB59CD">
      <w:pPr>
        <w:rPr>
          <w:rtl/>
          <w:lang w:eastAsia="he-IL"/>
        </w:rPr>
      </w:pPr>
    </w:p>
    <w:p w:rsidR="00BB59CD" w:rsidRDefault="00BB59CD" w:rsidP="00BB59CD">
      <w:pPr>
        <w:pStyle w:val="af8"/>
        <w:keepNext/>
        <w:rPr>
          <w:rtl/>
        </w:rPr>
      </w:pPr>
      <w:bookmarkStart w:id="80501" w:name="ET_interruption_5787_45"/>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050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 - תביא לחורבן. </w:t>
      </w:r>
      <w:bookmarkStart w:id="80502" w:name="_ETM_Q159_696588"/>
      <w:bookmarkEnd w:id="80502"/>
      <w:r>
        <w:rPr>
          <w:rFonts w:hint="cs"/>
          <w:rtl/>
          <w:lang w:eastAsia="he-IL"/>
        </w:rPr>
        <w:t xml:space="preserve">חורבן הבית.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אתה מביא לחורבן הבית, עם המילים שיוצאות לך </w:t>
      </w:r>
      <w:bookmarkStart w:id="80503" w:name="_ETM_Q159_701978"/>
      <w:bookmarkEnd w:id="80503"/>
      <w:r>
        <w:rPr>
          <w:rFonts w:hint="cs"/>
          <w:rtl/>
          <w:lang w:eastAsia="he-IL"/>
        </w:rPr>
        <w:t xml:space="preserve">מהפה. </w:t>
      </w:r>
    </w:p>
    <w:p w:rsidR="00BB59CD" w:rsidRDefault="00BB59CD" w:rsidP="00BB59CD">
      <w:pPr>
        <w:rPr>
          <w:rtl/>
          <w:lang w:eastAsia="he-IL"/>
        </w:rPr>
      </w:pPr>
      <w:bookmarkStart w:id="80504" w:name="_ETM_Q159_703641"/>
      <w:bookmarkStart w:id="80505" w:name="_ETM_Q159_703798"/>
      <w:bookmarkEnd w:id="80504"/>
      <w:bookmarkEnd w:id="80505"/>
    </w:p>
    <w:p w:rsidR="00BB59CD" w:rsidRDefault="00BB59CD" w:rsidP="00BB59CD">
      <w:pPr>
        <w:pStyle w:val="af8"/>
        <w:keepNext/>
        <w:rPr>
          <w:rtl/>
        </w:rPr>
      </w:pPr>
      <w:bookmarkStart w:id="80506" w:name="ET_interruption_5787_47"/>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0506"/>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תעצרו, תעצרו - - - אתם מובילים אותנו לחורבן הבית. </w:t>
      </w:r>
    </w:p>
    <w:p w:rsidR="00BB59CD" w:rsidRDefault="00BB59CD" w:rsidP="00BB59CD">
      <w:pPr>
        <w:rPr>
          <w:rtl/>
          <w:lang w:eastAsia="he-IL"/>
        </w:rPr>
      </w:pPr>
    </w:p>
    <w:p w:rsidR="00BB59CD" w:rsidRDefault="00BB59CD" w:rsidP="00BB59CD">
      <w:pPr>
        <w:pStyle w:val="af9"/>
        <w:keepNext/>
        <w:rPr>
          <w:rtl/>
        </w:rPr>
      </w:pPr>
      <w:bookmarkStart w:id="80507" w:name="ET_yor_6423_4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050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חברי הכנסת, אני מבקש </w:t>
      </w:r>
      <w:bookmarkStart w:id="80508" w:name="_ETM_Q159_715688"/>
      <w:bookmarkEnd w:id="80508"/>
      <w:r>
        <w:rPr>
          <w:rFonts w:hint="cs"/>
          <w:rtl/>
          <w:lang w:eastAsia="he-IL"/>
        </w:rPr>
        <w:t xml:space="preserve">שקט. תודה. </w:t>
      </w:r>
    </w:p>
    <w:p w:rsidR="00BB59CD" w:rsidRDefault="00BB59CD" w:rsidP="00BB59CD">
      <w:pPr>
        <w:rPr>
          <w:rtl/>
          <w:lang w:eastAsia="he-IL"/>
        </w:rPr>
      </w:pPr>
      <w:bookmarkStart w:id="80509" w:name="_ETM_Q159_719560"/>
      <w:bookmarkStart w:id="80510" w:name="_ETM_Q159_719721"/>
      <w:bookmarkEnd w:id="80509"/>
      <w:bookmarkEnd w:id="80510"/>
    </w:p>
    <w:p w:rsidR="00BB59CD" w:rsidRDefault="00BB59CD" w:rsidP="00BB59CD">
      <w:pPr>
        <w:pStyle w:val="af8"/>
        <w:keepNext/>
        <w:rPr>
          <w:rtl/>
        </w:rPr>
      </w:pPr>
      <w:bookmarkStart w:id="80511" w:name="ET_interruption_6341_50"/>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8051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באתם לכנסת כדי להתעשר לא - - </w:t>
      </w:r>
      <w:bookmarkStart w:id="80512" w:name="_ETM_Q159_721027"/>
      <w:bookmarkEnd w:id="80512"/>
      <w:r>
        <w:rPr>
          <w:rFonts w:hint="cs"/>
          <w:rtl/>
          <w:lang w:eastAsia="he-IL"/>
        </w:rPr>
        <w:t xml:space="preserve">- </w:t>
      </w:r>
    </w:p>
    <w:p w:rsidR="00BB59CD" w:rsidRDefault="00BB59CD" w:rsidP="00BB59CD">
      <w:pPr>
        <w:rPr>
          <w:rtl/>
          <w:lang w:eastAsia="he-IL"/>
        </w:rPr>
      </w:pPr>
    </w:p>
    <w:p w:rsidR="00BB59CD" w:rsidRDefault="00BB59CD" w:rsidP="00BB59CD">
      <w:pPr>
        <w:pStyle w:val="af8"/>
        <w:keepNext/>
        <w:rPr>
          <w:rtl/>
        </w:rPr>
      </w:pPr>
      <w:bookmarkStart w:id="80513" w:name="ET_interruption_5084_51"/>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80513"/>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חבורה של אפסים, אחד אחד. </w:t>
      </w:r>
    </w:p>
    <w:p w:rsidR="00BB59CD" w:rsidRDefault="00BB59CD" w:rsidP="00BB59CD">
      <w:pPr>
        <w:rPr>
          <w:rtl/>
          <w:lang w:eastAsia="he-IL"/>
        </w:rPr>
      </w:pPr>
    </w:p>
    <w:p w:rsidR="00BB59CD" w:rsidRDefault="00BB59CD" w:rsidP="00BB59CD">
      <w:pPr>
        <w:pStyle w:val="af9"/>
        <w:keepNext/>
        <w:rPr>
          <w:rtl/>
        </w:rPr>
      </w:pPr>
      <w:bookmarkStart w:id="80514" w:name="ET_yor_6423_5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051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 הכנסת מיקי לוי. </w:t>
      </w:r>
    </w:p>
    <w:p w:rsidR="00BB59CD" w:rsidRDefault="00BB59CD" w:rsidP="00BB59CD">
      <w:pPr>
        <w:rPr>
          <w:rtl/>
          <w:lang w:eastAsia="he-IL"/>
        </w:rPr>
      </w:pPr>
    </w:p>
    <w:p w:rsidR="00BB59CD" w:rsidRDefault="00BB59CD" w:rsidP="00BB59CD">
      <w:pPr>
        <w:pStyle w:val="af8"/>
        <w:keepNext/>
        <w:rPr>
          <w:rtl/>
        </w:rPr>
      </w:pPr>
      <w:bookmarkStart w:id="80515" w:name="ET_interruption_5084_54"/>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8051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חבורה של אפסים, אתה - </w:t>
      </w:r>
      <w:bookmarkStart w:id="80516" w:name="_ETM_Q159_726170"/>
      <w:bookmarkEnd w:id="80516"/>
      <w:r>
        <w:rPr>
          <w:rFonts w:hint="cs"/>
          <w:rtl/>
          <w:lang w:eastAsia="he-IL"/>
        </w:rPr>
        <w:t xml:space="preserve">- - </w:t>
      </w:r>
    </w:p>
    <w:p w:rsidR="00BB59CD" w:rsidRDefault="00BB59CD" w:rsidP="00BB59CD">
      <w:pPr>
        <w:rPr>
          <w:rtl/>
          <w:lang w:eastAsia="he-IL"/>
        </w:rPr>
      </w:pPr>
    </w:p>
    <w:p w:rsidR="00BB59CD" w:rsidRDefault="00BB59CD" w:rsidP="00BB59CD">
      <w:pPr>
        <w:pStyle w:val="af9"/>
        <w:keepNext/>
        <w:rPr>
          <w:rtl/>
        </w:rPr>
      </w:pPr>
      <w:bookmarkStart w:id="80517" w:name="ET_yor_6423_5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051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 הכנסת לוי, קריאה ראשונה.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אתה ששלחת חצי </w:t>
      </w:r>
      <w:bookmarkStart w:id="80518" w:name="_ETM_Q159_733544"/>
      <w:bookmarkEnd w:id="80518"/>
      <w:r>
        <w:rPr>
          <w:rFonts w:hint="cs"/>
          <w:rtl/>
          <w:lang w:eastAsia="he-IL"/>
        </w:rPr>
        <w:t xml:space="preserve">מהמילואימניקים לעזאזל כדאי שתשתוק. </w:t>
      </w:r>
    </w:p>
    <w:p w:rsidR="00BB59CD" w:rsidRDefault="00BB59CD" w:rsidP="00337201">
      <w:pPr>
        <w:rPr>
          <w:rtl/>
        </w:rPr>
      </w:pPr>
    </w:p>
    <w:p w:rsidR="00BB59CD" w:rsidRDefault="00BB59CD" w:rsidP="00BB59CD">
      <w:pPr>
        <w:pStyle w:val="af9"/>
        <w:keepNext/>
        <w:rPr>
          <w:rtl/>
        </w:rPr>
      </w:pPr>
      <w:bookmarkStart w:id="80519" w:name="ET_yor_6423_5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0519"/>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 הכנסת לוי, אנא. </w:t>
      </w:r>
    </w:p>
    <w:p w:rsidR="00BB59CD" w:rsidRDefault="00BB59CD" w:rsidP="00BB59CD">
      <w:pPr>
        <w:rPr>
          <w:rtl/>
          <w:lang w:eastAsia="he-IL"/>
        </w:rPr>
      </w:pPr>
      <w:bookmarkStart w:id="80520" w:name="_ETM_Q159_745385"/>
      <w:bookmarkStart w:id="80521" w:name="_ETM_Q159_745488"/>
      <w:bookmarkEnd w:id="80520"/>
      <w:bookmarkEnd w:id="80521"/>
    </w:p>
    <w:p w:rsidR="00BB59CD" w:rsidRDefault="00BB59CD" w:rsidP="00BB59CD">
      <w:pPr>
        <w:pStyle w:val="a5"/>
        <w:keepNext/>
        <w:rPr>
          <w:rtl/>
        </w:rPr>
      </w:pPr>
      <w:bookmarkStart w:id="80522" w:name="TOR_Q160"/>
      <w:bookmarkStart w:id="80523" w:name="ET_speaker_6392_7"/>
      <w:bookmarkEnd w:id="80522"/>
      <w:r>
        <w:rPr>
          <w:rStyle w:val="TagStyle"/>
          <w:rFonts w:hint="cs"/>
          <w:rtl/>
        </w:rPr>
        <w:t xml:space="preserve"> &lt;&lt; דובר &gt;&gt; </w:t>
      </w:r>
      <w:bookmarkStart w:id="80524" w:name="_Toc141197203"/>
      <w:bookmarkStart w:id="80525" w:name="_Toc141196939"/>
      <w:r>
        <w:rPr>
          <w:rFonts w:hint="cs"/>
          <w:rtl/>
        </w:rPr>
        <w:t>שר המשפטים יריב לוין:</w:t>
      </w:r>
      <w:bookmarkEnd w:id="80524"/>
      <w:bookmarkEnd w:id="80525"/>
      <w:r>
        <w:rPr>
          <w:rStyle w:val="TagStyle"/>
          <w:rFonts w:hint="cs"/>
          <w:rtl/>
        </w:rPr>
        <w:t xml:space="preserve"> &lt;&lt; דובר &gt;&gt;</w:t>
      </w:r>
      <w:r>
        <w:rPr>
          <w:rFonts w:hint="cs"/>
          <w:rtl/>
        </w:rPr>
        <w:t xml:space="preserve"> </w:t>
      </w:r>
      <w:bookmarkEnd w:id="80523"/>
    </w:p>
    <w:p w:rsidR="00BB59CD" w:rsidRDefault="00BB59CD" w:rsidP="00337201">
      <w:pPr>
        <w:rPr>
          <w:rtl/>
        </w:rPr>
      </w:pPr>
    </w:p>
    <w:p w:rsidR="00BB59CD" w:rsidRDefault="00BB59CD" w:rsidP="00CB7C6D">
      <w:pPr>
        <w:rPr>
          <w:rtl/>
        </w:rPr>
      </w:pPr>
      <w:bookmarkStart w:id="80526" w:name="_ETM_Q160_141000"/>
      <w:bookmarkEnd w:id="80526"/>
      <w:r>
        <w:rPr>
          <w:rFonts w:hint="cs"/>
          <w:rtl/>
        </w:rPr>
        <w:t>אדוני ה</w:t>
      </w:r>
      <w:bookmarkStart w:id="80527" w:name="_ETM_Q160_783246"/>
      <w:r>
        <w:rPr>
          <w:rFonts w:hint="cs"/>
          <w:rtl/>
        </w:rPr>
        <w:t>יושב</w:t>
      </w:r>
      <w:bookmarkEnd w:id="80527"/>
      <w:r>
        <w:rPr>
          <w:rFonts w:hint="cs"/>
          <w:rtl/>
        </w:rPr>
        <w:t>-ראש, השרים, חברות וחברי הכנסת, הצעת החוק המונחת</w:t>
      </w:r>
      <w:bookmarkStart w:id="80528" w:name="_ETM_Q160_147000"/>
      <w:bookmarkEnd w:id="80528"/>
      <w:r>
        <w:rPr>
          <w:rFonts w:hint="cs"/>
          <w:rtl/>
        </w:rPr>
        <w:t xml:space="preserve"> בפניכם היום איננה ההצעה המקורית שהצגתי בחודש ינואר. </w:t>
      </w:r>
      <w:bookmarkStart w:id="80529" w:name="_ETM_Q160_139000"/>
      <w:bookmarkEnd w:id="80529"/>
      <w:r>
        <w:rPr>
          <w:rFonts w:hint="cs"/>
          <w:rtl/>
        </w:rPr>
        <w:t>אחרי חודשים ארוכים של דיון ציבורי שלא היה דומה לו בהיקפו</w:t>
      </w:r>
      <w:r w:rsidR="00CB7C6D">
        <w:rPr>
          <w:rFonts w:hint="cs"/>
          <w:rtl/>
        </w:rPr>
        <w:t>,</w:t>
      </w:r>
      <w:r>
        <w:rPr>
          <w:rFonts w:hint="cs"/>
          <w:rtl/>
        </w:rPr>
        <w:t xml:space="preserve"> </w:t>
      </w:r>
      <w:bookmarkStart w:id="80530" w:name="_ETM_Q160_162000"/>
      <w:bookmarkEnd w:id="80530"/>
      <w:r>
        <w:rPr>
          <w:rFonts w:hint="cs"/>
          <w:rtl/>
        </w:rPr>
        <w:t xml:space="preserve">ולאחר דיונים רבים וארוכים בכנסת - - </w:t>
      </w:r>
    </w:p>
    <w:p w:rsidR="00BB59CD" w:rsidRDefault="00BB59CD" w:rsidP="00BB59CD">
      <w:pPr>
        <w:rPr>
          <w:rtl/>
        </w:rPr>
      </w:pPr>
      <w:bookmarkStart w:id="80531" w:name="_ETM_Q160_165000"/>
      <w:bookmarkEnd w:id="80531"/>
    </w:p>
    <w:p w:rsidR="00BB59CD" w:rsidRDefault="00BB59CD" w:rsidP="00BB59CD">
      <w:pPr>
        <w:pStyle w:val="af8"/>
        <w:keepNext/>
        <w:rPr>
          <w:rtl/>
        </w:rPr>
      </w:pPr>
      <w:bookmarkStart w:id="80532" w:name="ET_interruption_5787_10"/>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0532"/>
    </w:p>
    <w:p w:rsidR="00BB59CD" w:rsidRDefault="00BB59CD" w:rsidP="00337201">
      <w:pPr>
        <w:rPr>
          <w:rtl/>
        </w:rPr>
      </w:pPr>
    </w:p>
    <w:p w:rsidR="00BB59CD" w:rsidRDefault="00CB7C6D" w:rsidP="00CB7C6D">
      <w:pPr>
        <w:rPr>
          <w:rtl/>
        </w:rPr>
      </w:pPr>
      <w:r>
        <w:rPr>
          <w:rFonts w:hint="cs"/>
          <w:rtl/>
        </w:rPr>
        <w:t xml:space="preserve">בושה. </w:t>
      </w:r>
      <w:r w:rsidR="00BB59CD">
        <w:rPr>
          <w:rFonts w:hint="cs"/>
          <w:rtl/>
        </w:rPr>
        <w:t xml:space="preserve">בושה. </w:t>
      </w:r>
    </w:p>
    <w:p w:rsidR="00BB59CD" w:rsidRDefault="00BB59CD" w:rsidP="00BB59CD">
      <w:pPr>
        <w:rPr>
          <w:rtl/>
        </w:rPr>
      </w:pPr>
      <w:bookmarkStart w:id="80533" w:name="_ETM_Q160_163000"/>
      <w:bookmarkEnd w:id="80533"/>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0534" w:name="_ETM_Q160_168000"/>
      <w:bookmarkEnd w:id="80534"/>
      <w:r>
        <w:rPr>
          <w:rFonts w:hint="cs"/>
          <w:rtl/>
        </w:rPr>
        <w:t>חבר</w:t>
      </w:r>
      <w:bookmarkStart w:id="80535" w:name="_ETM_Q160_170000"/>
      <w:bookmarkEnd w:id="80535"/>
      <w:r>
        <w:rPr>
          <w:rFonts w:hint="cs"/>
          <w:rtl/>
        </w:rPr>
        <w:t xml:space="preserve"> הכנסת להב הרצנו, קריאה ראשונה. </w:t>
      </w:r>
    </w:p>
    <w:p w:rsidR="00BB59CD" w:rsidRDefault="00BB59CD" w:rsidP="00BB59CD">
      <w:pPr>
        <w:rPr>
          <w:rtl/>
        </w:rPr>
      </w:pPr>
    </w:p>
    <w:p w:rsidR="00BB59CD" w:rsidRDefault="00BB59CD" w:rsidP="00BB59CD">
      <w:pPr>
        <w:pStyle w:val="-"/>
        <w:keepNext/>
        <w:rPr>
          <w:rtl/>
        </w:rPr>
      </w:pPr>
      <w:bookmarkStart w:id="80536" w:name="ET_speakercontinue_6392_13"/>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536"/>
    </w:p>
    <w:p w:rsidR="00BB59CD" w:rsidRDefault="00BB59CD" w:rsidP="00337201">
      <w:pPr>
        <w:rPr>
          <w:rtl/>
        </w:rPr>
      </w:pPr>
      <w:bookmarkStart w:id="80537" w:name="_ETM_Q160_175000"/>
      <w:bookmarkEnd w:id="80537"/>
    </w:p>
    <w:p w:rsidR="00BB59CD" w:rsidRDefault="00BB59CD" w:rsidP="00BB59CD">
      <w:pPr>
        <w:rPr>
          <w:rtl/>
        </w:rPr>
      </w:pPr>
      <w:r>
        <w:rPr>
          <w:rFonts w:hint="cs"/>
          <w:rtl/>
        </w:rPr>
        <w:t xml:space="preserve">- - מובאת בפנינו </w:t>
      </w:r>
      <w:bookmarkStart w:id="80538" w:name="_ETM_Q160_176000"/>
      <w:bookmarkEnd w:id="80538"/>
      <w:r>
        <w:rPr>
          <w:rFonts w:hint="cs"/>
          <w:rtl/>
        </w:rPr>
        <w:t>הצעה חשובה, משמעותית, שלוקחת בחשבון גם את ההערות והעמדות שנשמעו</w:t>
      </w:r>
      <w:bookmarkStart w:id="80539" w:name="_ETM_Q160_185000"/>
      <w:bookmarkEnd w:id="80539"/>
      <w:r>
        <w:rPr>
          <w:rFonts w:hint="cs"/>
          <w:rtl/>
        </w:rPr>
        <w:t xml:space="preserve"> מצד האופוזיציה. </w:t>
      </w:r>
    </w:p>
    <w:p w:rsidR="00BB59CD" w:rsidRDefault="00BB59CD" w:rsidP="00BB59CD">
      <w:pPr>
        <w:rPr>
          <w:rtl/>
        </w:rPr>
      </w:pPr>
      <w:bookmarkStart w:id="80540" w:name="_ETM_Q160_175216"/>
      <w:bookmarkStart w:id="80541" w:name="_ETM_Q160_175301"/>
      <w:bookmarkEnd w:id="80540"/>
      <w:bookmarkEnd w:id="80541"/>
    </w:p>
    <w:p w:rsidR="00BB59CD" w:rsidRDefault="00BB59CD" w:rsidP="00BB59CD">
      <w:pPr>
        <w:rPr>
          <w:rtl/>
        </w:rPr>
      </w:pPr>
      <w:bookmarkStart w:id="80542" w:name="_ETM_Q160_175363"/>
      <w:bookmarkStart w:id="80543" w:name="_ETM_Q160_175414"/>
      <w:bookmarkEnd w:id="80542"/>
      <w:bookmarkEnd w:id="80543"/>
      <w:r>
        <w:rPr>
          <w:rFonts w:hint="cs"/>
          <w:rtl/>
        </w:rPr>
        <w:t xml:space="preserve">במהלך הדיונים בהצעת החוק, חברנו חבר הכנסת גלעד קריב הזמין דוח ממרכז המחקר והמידע של הכנסת, כדי לקבל נתונים מהעולם באשר לעילת הסבירות. </w:t>
      </w:r>
    </w:p>
    <w:p w:rsidR="00BB59CD" w:rsidRDefault="00BB59CD" w:rsidP="00BB59CD">
      <w:pPr>
        <w:rPr>
          <w:rtl/>
        </w:rPr>
      </w:pPr>
      <w:bookmarkStart w:id="80544" w:name="_ETM_Q160_206000"/>
      <w:bookmarkEnd w:id="80544"/>
    </w:p>
    <w:p w:rsidR="00BB59CD" w:rsidRDefault="00BB59CD" w:rsidP="00BB59CD">
      <w:pPr>
        <w:pStyle w:val="af8"/>
        <w:keepNext/>
        <w:rPr>
          <w:rtl/>
        </w:rPr>
      </w:pPr>
      <w:bookmarkStart w:id="80545" w:name="ET_interruption_5109_14"/>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80545"/>
    </w:p>
    <w:p w:rsidR="00BB59CD" w:rsidRDefault="00BB59CD" w:rsidP="00337201">
      <w:pPr>
        <w:rPr>
          <w:rtl/>
        </w:rPr>
      </w:pPr>
    </w:p>
    <w:p w:rsidR="00BB59CD" w:rsidRDefault="00BB59CD" w:rsidP="00BB59CD">
      <w:pPr>
        <w:rPr>
          <w:rtl/>
        </w:rPr>
      </w:pPr>
      <w:r>
        <w:rPr>
          <w:rFonts w:hint="cs"/>
          <w:rtl/>
        </w:rPr>
        <w:t>אחיזת עיניים.</w:t>
      </w:r>
    </w:p>
    <w:p w:rsidR="00BB59CD" w:rsidRDefault="00BB59CD" w:rsidP="00BB59CD">
      <w:pPr>
        <w:rPr>
          <w:rtl/>
        </w:rPr>
      </w:pPr>
    </w:p>
    <w:p w:rsidR="00BB59CD" w:rsidRDefault="00BB59CD" w:rsidP="00BB59CD">
      <w:pPr>
        <w:pStyle w:val="-"/>
        <w:keepNext/>
        <w:rPr>
          <w:rtl/>
        </w:rPr>
      </w:pPr>
      <w:bookmarkStart w:id="80546" w:name="ET_speakercontinue_6392_3"/>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546"/>
    </w:p>
    <w:p w:rsidR="00BB59CD" w:rsidRDefault="00BB59CD" w:rsidP="00337201">
      <w:pPr>
        <w:rPr>
          <w:rtl/>
          <w:lang w:eastAsia="he-IL"/>
        </w:rPr>
      </w:pPr>
    </w:p>
    <w:p w:rsidR="00BB59CD" w:rsidRDefault="00BB59CD" w:rsidP="00BB59CD">
      <w:pPr>
        <w:rPr>
          <w:rtl/>
          <w:lang w:eastAsia="he-IL"/>
        </w:rPr>
      </w:pPr>
      <w:r>
        <w:rPr>
          <w:rFonts w:hint="cs"/>
          <w:rtl/>
          <w:lang w:eastAsia="he-IL"/>
        </w:rPr>
        <w:t>חבר הכנסת קריב</w:t>
      </w:r>
      <w:bookmarkStart w:id="80547" w:name="_ETM_Q160_208000"/>
      <w:bookmarkEnd w:id="80547"/>
      <w:r>
        <w:rPr>
          <w:rFonts w:hint="cs"/>
          <w:rtl/>
          <w:lang w:eastAsia="he-IL"/>
        </w:rPr>
        <w:t xml:space="preserve">, אני לא רואה אותו כאן, במליאה, אבל לא במקרה הוא ביקש את הדוח הזה. </w:t>
      </w:r>
    </w:p>
    <w:p w:rsidR="00BB59CD" w:rsidRDefault="00BB59CD" w:rsidP="00BB59CD">
      <w:pPr>
        <w:rPr>
          <w:rtl/>
          <w:lang w:eastAsia="he-IL"/>
        </w:rPr>
      </w:pPr>
    </w:p>
    <w:p w:rsidR="00BB59CD" w:rsidRDefault="00BB59CD" w:rsidP="00BB59CD">
      <w:pPr>
        <w:pStyle w:val="af8"/>
        <w:keepNext/>
        <w:rPr>
          <w:rtl/>
        </w:rPr>
      </w:pPr>
      <w:bookmarkStart w:id="80548" w:name="ET_interruption_5109_15"/>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80548"/>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BB59CD">
      <w:pPr>
        <w:rPr>
          <w:rtl/>
          <w:lang w:eastAsia="he-IL"/>
        </w:rPr>
      </w:pPr>
    </w:p>
    <w:p w:rsidR="00BB59CD" w:rsidRDefault="00BB59CD" w:rsidP="00BB59CD">
      <w:pPr>
        <w:pStyle w:val="af9"/>
        <w:keepNext/>
        <w:rPr>
          <w:rtl/>
        </w:rPr>
      </w:pPr>
      <w:bookmarkStart w:id="80549" w:name="_ETM_Q160_215000"/>
      <w:bookmarkEnd w:id="8054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0550" w:name="_ETM_Q160_216000"/>
      <w:bookmarkEnd w:id="80550"/>
      <w:r>
        <w:rPr>
          <w:rFonts w:hint="cs"/>
          <w:rtl/>
          <w:lang w:eastAsia="he-IL"/>
        </w:rPr>
        <w:t xml:space="preserve">חבר הכנסת שטרן. </w:t>
      </w:r>
    </w:p>
    <w:p w:rsidR="00BB59CD" w:rsidRDefault="00BB59CD" w:rsidP="00BB59CD">
      <w:pPr>
        <w:rPr>
          <w:rtl/>
          <w:lang w:eastAsia="he-IL"/>
        </w:rPr>
      </w:pPr>
      <w:bookmarkStart w:id="80551" w:name="_ETM_Q160_219000"/>
      <w:bookmarkEnd w:id="80551"/>
    </w:p>
    <w:p w:rsidR="00BB59CD" w:rsidRDefault="00BB59CD" w:rsidP="00BB59CD">
      <w:pPr>
        <w:pStyle w:val="-"/>
        <w:keepNext/>
        <w:rPr>
          <w:rtl/>
        </w:rPr>
      </w:pPr>
      <w:bookmarkStart w:id="80552" w:name="ET_speakercontinue_6392_18"/>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552"/>
    </w:p>
    <w:p w:rsidR="00BB59CD" w:rsidRDefault="00BB59CD" w:rsidP="00337201">
      <w:pPr>
        <w:rPr>
          <w:rtl/>
          <w:lang w:eastAsia="he-IL"/>
        </w:rPr>
      </w:pPr>
    </w:p>
    <w:p w:rsidR="00BB59CD" w:rsidRDefault="00BB59CD" w:rsidP="00BB59CD">
      <w:pPr>
        <w:rPr>
          <w:rtl/>
          <w:lang w:eastAsia="he-IL"/>
        </w:rPr>
      </w:pPr>
      <w:bookmarkStart w:id="80553" w:name="_ETM_Q160_220000"/>
      <w:bookmarkEnd w:id="80553"/>
      <w:r>
        <w:rPr>
          <w:rFonts w:hint="cs"/>
          <w:rtl/>
          <w:lang w:eastAsia="he-IL"/>
        </w:rPr>
        <w:t>- - כי משום מה, הייעוץ המשפטי לממשלה, שעסוק לפחו</w:t>
      </w:r>
      <w:bookmarkStart w:id="80554" w:name="_ETM_Q160_225000"/>
      <w:bookmarkEnd w:id="80554"/>
      <w:r>
        <w:rPr>
          <w:rFonts w:hint="cs"/>
          <w:rtl/>
          <w:lang w:eastAsia="he-IL"/>
        </w:rPr>
        <w:t>ת בעניין הזה בלהכשיל את הממשלה במקום בלייעץ לה,</w:t>
      </w:r>
      <w:bookmarkStart w:id="80555" w:name="_ETM_Q160_231000"/>
      <w:bookmarkEnd w:id="80555"/>
      <w:r>
        <w:rPr>
          <w:rFonts w:hint="cs"/>
          <w:rtl/>
          <w:lang w:eastAsia="he-IL"/>
        </w:rPr>
        <w:t xml:space="preserve"> לא התייחס לכך כלל בחוות הדעת שלו. ציפיתי שהמחקר הזה, של מרכז המחקר והמידע של הכנסת, יקבל תהודה גדולה. אבל תראו איזה פלא, הוא הושתק לחלוטין על ידי אמצעי התקשורת השונים. ובואו נאמר את האמת, גם חבר הכנסת קריב לא ממש התאמץ כדי לתת למחקר הזה בולטות גדולה. כי מה לעשות, </w:t>
      </w:r>
      <w:bookmarkStart w:id="80556" w:name="_ETM_Q160_267000"/>
      <w:bookmarkEnd w:id="80556"/>
      <w:r>
        <w:rPr>
          <w:rFonts w:hint="cs"/>
          <w:rtl/>
          <w:lang w:eastAsia="he-IL"/>
        </w:rPr>
        <w:t xml:space="preserve">גם מהמחקר הזה עולה שאין אף מדינה בעולם ואין אף דוגמה בעולם לעילת סבירות גורפת, שמחליפה באופן מוחלט את שיקול הדעת של הדרג הנבחר בשיקול הדעת של השופטים. </w:t>
      </w:r>
    </w:p>
    <w:p w:rsidR="00BB59CD" w:rsidRDefault="00BB59CD" w:rsidP="00BB59CD">
      <w:pPr>
        <w:rPr>
          <w:rtl/>
          <w:lang w:eastAsia="he-IL"/>
        </w:rPr>
      </w:pPr>
    </w:p>
    <w:p w:rsidR="00BB59CD" w:rsidRDefault="00BB59CD" w:rsidP="00BB59CD">
      <w:pPr>
        <w:rPr>
          <w:rtl/>
          <w:lang w:eastAsia="he-IL"/>
        </w:rPr>
      </w:pPr>
      <w:r>
        <w:rPr>
          <w:rFonts w:hint="cs"/>
          <w:rtl/>
          <w:lang w:eastAsia="he-IL"/>
        </w:rPr>
        <w:t>כבוד נשיא בית המשפט העליון בדימוס</w:t>
      </w:r>
      <w:bookmarkStart w:id="80557" w:name="_ETM_Q160_294000"/>
      <w:bookmarkEnd w:id="80557"/>
      <w:r>
        <w:rPr>
          <w:rFonts w:hint="cs"/>
          <w:rtl/>
          <w:lang w:eastAsia="he-IL"/>
        </w:rPr>
        <w:t xml:space="preserve"> מאיר שמגר התריע כבר לפני שנים על הסכנה הטמונה בגישתו של הנשיא בדימוס ברק בנושא הסבירות. ואני מצטט: "אם התיאוריה המאפשרת דיון בערכאות השיפוט בכל עניין תתממש באופן תדיר, היינו, אם כל נושא – החל מן התקציב לפריטיו וכלה בבניית שיכונים, מטוסים וטנקים – יוכרע בפורום השיפוטי לפי מבחני החוקיות </w:t>
      </w:r>
      <w:bookmarkStart w:id="80558" w:name="_ETM_Q160_328000"/>
      <w:bookmarkEnd w:id="80558"/>
      <w:r>
        <w:rPr>
          <w:rFonts w:hint="cs"/>
          <w:rtl/>
          <w:lang w:eastAsia="he-IL"/>
        </w:rPr>
        <w:t>הפורמלית או לפי מבחני סבירות שבית המשפט חורץ את הדיון לגביהם, יהיה בכך כדי ליצור ריכוז</w:t>
      </w:r>
      <w:bookmarkStart w:id="80559" w:name="_ETM_Q160_338000"/>
      <w:bookmarkEnd w:id="80559"/>
      <w:r>
        <w:rPr>
          <w:rFonts w:hint="cs"/>
          <w:rtl/>
          <w:lang w:eastAsia="he-IL"/>
        </w:rPr>
        <w:t xml:space="preserve"> סמכויות, שיבטל, הלכה למעשה, את יכולת התפקוד של הרשויות האחרות". כך אמר הנשיא בדימוס שמגר. </w:t>
      </w:r>
    </w:p>
    <w:p w:rsidR="00BB59CD" w:rsidRDefault="00BB59CD" w:rsidP="00BB59CD">
      <w:pPr>
        <w:rPr>
          <w:rtl/>
          <w:lang w:eastAsia="he-IL"/>
        </w:rPr>
      </w:pPr>
    </w:p>
    <w:p w:rsidR="00BB59CD" w:rsidRDefault="00BB59CD" w:rsidP="00BB59CD">
      <w:pPr>
        <w:rPr>
          <w:rtl/>
          <w:lang w:eastAsia="he-IL"/>
        </w:rPr>
      </w:pPr>
      <w:bookmarkStart w:id="80560" w:name="_ETM_Q160_348000"/>
      <w:bookmarkEnd w:id="80560"/>
      <w:r>
        <w:rPr>
          <w:rFonts w:hint="cs"/>
          <w:rtl/>
          <w:lang w:eastAsia="he-IL"/>
        </w:rPr>
        <w:t>גם המשנה לנשיא בית המשפט העליון בדימוס מנחם</w:t>
      </w:r>
      <w:bookmarkStart w:id="80561" w:name="_ETM_Q160_355000"/>
      <w:bookmarkEnd w:id="80561"/>
      <w:r>
        <w:rPr>
          <w:rFonts w:hint="cs"/>
          <w:rtl/>
          <w:lang w:eastAsia="he-IL"/>
        </w:rPr>
        <w:t xml:space="preserve"> אֵלון אמר דברים ברורים, אפילו חריפים מאוד, באשר לעילת הסבירות. </w:t>
      </w:r>
      <w:bookmarkStart w:id="80562" w:name="_ETM_Q160_360000"/>
      <w:bookmarkEnd w:id="80562"/>
      <w:r>
        <w:rPr>
          <w:rFonts w:hint="cs"/>
          <w:rtl/>
          <w:lang w:eastAsia="he-IL"/>
        </w:rPr>
        <w:t>הוא כינה את פסקי הדין המבוססים על סבירות במילים הקשות הבאות: "אותם נושאים ופסקי דין שעניינם נושאים פוליטיים, צבאיים ומדיניים מובהקים</w:t>
      </w:r>
      <w:bookmarkStart w:id="80563" w:name="_ETM_Q160_379000"/>
      <w:bookmarkEnd w:id="80563"/>
      <w:r>
        <w:rPr>
          <w:rFonts w:hint="cs"/>
          <w:rtl/>
          <w:lang w:eastAsia="he-IL"/>
        </w:rPr>
        <w:t xml:space="preserve"> שבהם מכריע חברי" – כוונתו הייתה לכבוד הנשיא בדימוס ברק –</w:t>
      </w:r>
      <w:bookmarkStart w:id="80564" w:name="_ETM_Q160_384000"/>
      <w:bookmarkEnd w:id="80564"/>
      <w:r>
        <w:rPr>
          <w:rFonts w:hint="cs"/>
          <w:rtl/>
          <w:lang w:eastAsia="he-IL"/>
        </w:rPr>
        <w:t xml:space="preserve"> "בשימושו בעקרון הסבירות ובמתחם הסבירות". כלומר, המשנה לנשיא אלון קבע שהשימוש בסבירות הופך את בית המשפט למי שמכריע בנושאים שהם פוליטיים, צבאיים ומדיניים</w:t>
      </w:r>
      <w:bookmarkStart w:id="80565" w:name="_ETM_Q160_402000"/>
      <w:bookmarkEnd w:id="80565"/>
      <w:r>
        <w:rPr>
          <w:rFonts w:hint="cs"/>
          <w:rtl/>
          <w:lang w:eastAsia="he-IL"/>
        </w:rPr>
        <w:t xml:space="preserve"> מובהקים, כאלה שמסורים לסמכות הממשלה. </w:t>
      </w:r>
    </w:p>
    <w:p w:rsidR="00BB59CD" w:rsidRDefault="00BB59CD" w:rsidP="00BB59CD">
      <w:pPr>
        <w:rPr>
          <w:rtl/>
          <w:lang w:eastAsia="he-IL"/>
        </w:rPr>
      </w:pPr>
    </w:p>
    <w:p w:rsidR="00BB59CD" w:rsidRDefault="00BB59CD" w:rsidP="00BB59CD">
      <w:pPr>
        <w:rPr>
          <w:rtl/>
          <w:lang w:eastAsia="he-IL"/>
        </w:rPr>
      </w:pPr>
      <w:r>
        <w:rPr>
          <w:rFonts w:hint="cs"/>
          <w:rtl/>
          <w:lang w:eastAsia="he-IL"/>
        </w:rPr>
        <w:t>המשנה לנשיא בדימוס אלון לא אמר זאת סתם כך, כי שימוש בעילת הסבירות, לא רק שהוא עניין של השקפת עולם ולא עניין משפטי, אלא הוא מאפשר לשופט לעשות עוד דבר שאין לו מקום בבית המשפט – לקבל החלטה שאין לה שום נימוקים, שום קריטריונים.</w:t>
      </w:r>
      <w:bookmarkStart w:id="80566" w:name="_ETM_Q160_438000"/>
      <w:bookmarkEnd w:id="80566"/>
      <w:r>
        <w:rPr>
          <w:rFonts w:hint="cs"/>
          <w:rtl/>
          <w:lang w:eastAsia="he-IL"/>
        </w:rPr>
        <w:t xml:space="preserve"> האם זה סביר או לא סביר? </w:t>
      </w:r>
      <w:bookmarkStart w:id="80567" w:name="_ETM_Q160_443000"/>
      <w:bookmarkStart w:id="80568" w:name="_ETM_Q160_444000"/>
      <w:bookmarkEnd w:id="80567"/>
      <w:bookmarkEnd w:id="80568"/>
      <w:r>
        <w:rPr>
          <w:rFonts w:hint="cs"/>
          <w:rtl/>
          <w:lang w:eastAsia="he-IL"/>
        </w:rPr>
        <w:t xml:space="preserve">ואני שואל אתכם, חבריי באופוזיציה, על פי מה בדיוק? לפי איזה מדד? </w:t>
      </w:r>
    </w:p>
    <w:p w:rsidR="00BB59CD" w:rsidRDefault="00BB59CD" w:rsidP="00BB59CD">
      <w:pPr>
        <w:rPr>
          <w:rtl/>
          <w:lang w:eastAsia="he-IL"/>
        </w:rPr>
      </w:pPr>
    </w:p>
    <w:p w:rsidR="00BB59CD" w:rsidRDefault="00BB59CD" w:rsidP="00BB59CD">
      <w:pPr>
        <w:rPr>
          <w:rtl/>
          <w:lang w:eastAsia="he-IL"/>
        </w:rPr>
      </w:pPr>
      <w:bookmarkStart w:id="80569" w:name="_ETM_Q160_457000"/>
      <w:bookmarkEnd w:id="80569"/>
      <w:r>
        <w:rPr>
          <w:rFonts w:hint="cs"/>
          <w:rtl/>
          <w:lang w:eastAsia="he-IL"/>
        </w:rPr>
        <w:t xml:space="preserve">חברת הכנסת שאשא ביטון – אני לא יודע אם היא נמצאת כאן – היא כיהנה כשרת החינוך. אני רציתי לשאול אותה לו הייתה כאן, ואני שואל אתכם: איפה בית הספר לסבירות, שבו אפשר ללמוד מה סביר? יש בכלל מקום כזה? </w:t>
      </w:r>
      <w:bookmarkStart w:id="80570" w:name="_ETM_Q160_477000"/>
      <w:bookmarkEnd w:id="80570"/>
      <w:r>
        <w:rPr>
          <w:rFonts w:hint="cs"/>
          <w:rtl/>
          <w:lang w:eastAsia="he-IL"/>
        </w:rPr>
        <w:t xml:space="preserve">הרי ברור שאין. תאמינו לי, אם היה בית ספר כזה, הייתי רץ </w:t>
      </w:r>
      <w:bookmarkStart w:id="80571" w:name="_ETM_Q160_497000"/>
      <w:bookmarkEnd w:id="80571"/>
      <w:r>
        <w:rPr>
          <w:rFonts w:hint="cs"/>
          <w:rtl/>
          <w:lang w:eastAsia="he-IL"/>
        </w:rPr>
        <w:t>ללמוד, הייתי הראשון שהיה נרשם. מי לא רוצה להיות האדם הסביר כמו אהרן ברק?</w:t>
      </w:r>
    </w:p>
    <w:p w:rsidR="00BB59CD" w:rsidRDefault="00BB59CD" w:rsidP="00BB59CD">
      <w:pPr>
        <w:rPr>
          <w:rtl/>
          <w:lang w:eastAsia="he-IL"/>
        </w:rPr>
      </w:pPr>
    </w:p>
    <w:p w:rsidR="00BB59CD" w:rsidRDefault="00BB59CD" w:rsidP="00BB59CD">
      <w:pPr>
        <w:pStyle w:val="af8"/>
        <w:keepNext/>
        <w:rPr>
          <w:rtl/>
        </w:rPr>
      </w:pPr>
      <w:bookmarkStart w:id="80572" w:name="_ETM_Q160_499000"/>
      <w:bookmarkStart w:id="80573" w:name="ET_interruption_5115_19"/>
      <w:bookmarkEnd w:id="80572"/>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80573"/>
    </w:p>
    <w:p w:rsidR="00BB59CD" w:rsidRDefault="00BB59CD" w:rsidP="00337201">
      <w:pPr>
        <w:rPr>
          <w:rtl/>
          <w:lang w:eastAsia="he-IL"/>
        </w:rPr>
      </w:pPr>
    </w:p>
    <w:p w:rsidR="00BB59CD" w:rsidRDefault="00BB59CD" w:rsidP="00BB59CD">
      <w:pPr>
        <w:rPr>
          <w:rtl/>
          <w:lang w:eastAsia="he-IL"/>
        </w:rPr>
      </w:pPr>
      <w:r>
        <w:rPr>
          <w:rFonts w:hint="cs"/>
          <w:rtl/>
          <w:lang w:eastAsia="he-IL"/>
        </w:rPr>
        <w:t>- - -</w:t>
      </w:r>
    </w:p>
    <w:p w:rsidR="00BB59CD" w:rsidRDefault="00BB59CD" w:rsidP="00BB59CD">
      <w:pPr>
        <w:ind w:firstLine="0"/>
        <w:rPr>
          <w:rtl/>
          <w:lang w:eastAsia="he-IL"/>
        </w:rPr>
      </w:pPr>
    </w:p>
    <w:p w:rsidR="00BB59CD" w:rsidRDefault="00BB59CD" w:rsidP="00BB59CD">
      <w:pPr>
        <w:pStyle w:val="-"/>
        <w:keepNext/>
        <w:rPr>
          <w:rtl/>
        </w:rPr>
      </w:pPr>
      <w:bookmarkStart w:id="80574" w:name="ET_speakercontinue_6392_6"/>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574"/>
    </w:p>
    <w:p w:rsidR="00BB59CD" w:rsidRDefault="00BB59CD" w:rsidP="00337201">
      <w:pPr>
        <w:rPr>
          <w:rtl/>
          <w:lang w:eastAsia="he-IL"/>
        </w:rPr>
      </w:pPr>
    </w:p>
    <w:p w:rsidR="00BB59CD" w:rsidRDefault="00BB59CD" w:rsidP="00BB59CD">
      <w:pPr>
        <w:rPr>
          <w:rtl/>
          <w:lang w:eastAsia="he-IL"/>
        </w:rPr>
      </w:pPr>
      <w:r>
        <w:rPr>
          <w:rFonts w:hint="cs"/>
          <w:rtl/>
          <w:lang w:eastAsia="he-IL"/>
        </w:rPr>
        <w:t>אגב,</w:t>
      </w:r>
      <w:bookmarkStart w:id="80575" w:name="_ETM_Q160_496000"/>
      <w:bookmarkEnd w:id="80575"/>
      <w:r>
        <w:rPr>
          <w:rFonts w:hint="cs"/>
          <w:rtl/>
          <w:lang w:eastAsia="he-IL"/>
        </w:rPr>
        <w:t xml:space="preserve"> תדעו לכם, זה בכלל סטרטאפ מדהים. אם היינו יכולים ללמ</w:t>
      </w:r>
      <w:bookmarkStart w:id="80576" w:name="_ETM_Q160_504000"/>
      <w:bookmarkEnd w:id="80576"/>
      <w:r>
        <w:rPr>
          <w:rFonts w:hint="cs"/>
          <w:rtl/>
          <w:lang w:eastAsia="he-IL"/>
        </w:rPr>
        <w:t xml:space="preserve">ד סבירות, כולנו היינו לומדים לחשוב כמו אהרן ברק. זה היה פשוט נפלא. איזה עולם נהדר היה לנו כאן. אבל אנחנו כולם כאן יודעים, וזאת האמת, שאין דבר כזה ולא יכול להיות דבר כזה, כי סבירות זו השקפת עולם. זה לא דיני חוזים, זה לא דיני ראיות. זה לא עניין משפטי.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אני רוצה לומר יותר </w:t>
      </w:r>
      <w:bookmarkStart w:id="80577" w:name="_ETM_Q160_538000"/>
      <w:bookmarkEnd w:id="80577"/>
      <w:r>
        <w:rPr>
          <w:rFonts w:hint="cs"/>
          <w:rtl/>
          <w:lang w:eastAsia="he-IL"/>
        </w:rPr>
        <w:t xml:space="preserve">מזה. מי בכלל אמר שמה שסביר בעיני השופטים זה בכלל הדבר ההגיוני לעשות? מי קבע שהעמדות האישיות שלהם יותר טובות מאלה של השרים? </w:t>
      </w:r>
    </w:p>
    <w:p w:rsidR="00BB59CD" w:rsidRDefault="00BB59CD" w:rsidP="00BB59CD">
      <w:pPr>
        <w:rPr>
          <w:rtl/>
          <w:lang w:eastAsia="he-IL"/>
        </w:rPr>
      </w:pPr>
    </w:p>
    <w:p w:rsidR="00BB59CD" w:rsidRDefault="00BB59CD" w:rsidP="00BB59CD">
      <w:pPr>
        <w:rPr>
          <w:rtl/>
          <w:lang w:eastAsia="he-IL"/>
        </w:rPr>
      </w:pPr>
      <w:r>
        <w:rPr>
          <w:rFonts w:hint="cs"/>
          <w:rtl/>
          <w:lang w:eastAsia="he-IL"/>
        </w:rPr>
        <w:t>אתן לכם כמה דוגמאות קטנות. בבג"ץ 2964/18 החליטו השופטים</w:t>
      </w:r>
      <w:bookmarkStart w:id="80578" w:name="_ETM_Q160_564000"/>
      <w:bookmarkEnd w:id="80578"/>
      <w:r>
        <w:rPr>
          <w:rFonts w:hint="cs"/>
          <w:rtl/>
          <w:lang w:eastAsia="he-IL"/>
        </w:rPr>
        <w:t xml:space="preserve"> לבטל את החלטתו של שר הביטחון דאז ליברמן, שאסר כניסת משפחות פלסטיניות לארץ לטקס יום הזיכרון האלטרנטיבי, משום</w:t>
      </w:r>
      <w:bookmarkStart w:id="80579" w:name="_ETM_Q160_576000"/>
      <w:bookmarkEnd w:id="80579"/>
      <w:r>
        <w:rPr>
          <w:rFonts w:hint="cs"/>
          <w:rtl/>
          <w:lang w:eastAsia="he-IL"/>
        </w:rPr>
        <w:t xml:space="preserve"> שסברו שההחלטה אינה סבירה; בבג"ץ 7015/02, במהלך האינתיפאדה השנייה, החליטו השופטים לבטל </w:t>
      </w:r>
      <w:bookmarkStart w:id="80580" w:name="_ETM_Q160_586000"/>
      <w:bookmarkEnd w:id="80580"/>
      <w:r>
        <w:rPr>
          <w:rFonts w:hint="cs"/>
          <w:rtl/>
          <w:lang w:eastAsia="he-IL"/>
        </w:rPr>
        <w:t xml:space="preserve">את ההחלטה של ועדת השרים לביטחון לאומי, הקבינט, לגרש בן משפחה של מחבל לעזה, בטענה שהיא בלתי סבירה; בבג"ץ 2199/21 החליטו השופטים לבטל את החלטת שר החינוך דאז, חברי יואב גלנט, שלא להעניק לתומך </w:t>
      </w:r>
      <w:bookmarkStart w:id="80581" w:name="_ETM_Q160_609000"/>
      <w:bookmarkEnd w:id="80581"/>
      <w:r>
        <w:rPr>
          <w:lang w:eastAsia="he-IL"/>
        </w:rPr>
        <w:t>BDS</w:t>
      </w:r>
      <w:r>
        <w:rPr>
          <w:rFonts w:hint="cs"/>
          <w:rtl/>
          <w:lang w:eastAsia="he-IL"/>
        </w:rPr>
        <w:t xml:space="preserve"> פרס ישראל, בטענה שהיא אינה סבירה; בבג"ץ 7216/18 החליטו השופטים לבטל את החלטתו של שר הפנים דאז אריה דרעי לאסור את כניסתה לארץ של פעילת </w:t>
      </w:r>
      <w:bookmarkStart w:id="80582" w:name="_ETM_Q160_626000"/>
      <w:bookmarkEnd w:id="80582"/>
      <w:r>
        <w:rPr>
          <w:rFonts w:hint="cs"/>
          <w:rtl/>
          <w:lang w:eastAsia="he-IL"/>
        </w:rPr>
        <w:t>ה-</w:t>
      </w:r>
      <w:r>
        <w:rPr>
          <w:lang w:eastAsia="he-IL"/>
        </w:rPr>
        <w:t>BDS</w:t>
      </w:r>
      <w:r>
        <w:rPr>
          <w:rFonts w:hint="cs"/>
          <w:rtl/>
          <w:lang w:eastAsia="he-IL"/>
        </w:rPr>
        <w:t xml:space="preserve"> לארה אל-קאסם, בטענה שהיא אינה סבירה; בבג"ץ 5769/18 החליטו השופטים לבטל את החלטת שר המדע אופיר אקוניס שלא למנות פרופסור שתמכה בעצומות לסרבנות כחברה בוועד המנהל של קרן מחקר,</w:t>
      </w:r>
      <w:bookmarkStart w:id="80583" w:name="_ETM_Q160_651000"/>
      <w:bookmarkEnd w:id="80583"/>
      <w:r>
        <w:rPr>
          <w:rFonts w:hint="cs"/>
          <w:rtl/>
          <w:lang w:eastAsia="he-IL"/>
        </w:rPr>
        <w:t xml:space="preserve"> בטענה שההחלטה בלתי סבירה. </w:t>
      </w:r>
    </w:p>
    <w:p w:rsidR="00BB59CD" w:rsidRDefault="00BB59CD" w:rsidP="00BB59CD">
      <w:pPr>
        <w:rPr>
          <w:rtl/>
          <w:lang w:eastAsia="he-IL"/>
        </w:rPr>
      </w:pPr>
    </w:p>
    <w:p w:rsidR="00BB59CD" w:rsidRDefault="00BB59CD" w:rsidP="00BB59CD">
      <w:pPr>
        <w:pStyle w:val="af8"/>
        <w:keepNext/>
        <w:rPr>
          <w:rtl/>
        </w:rPr>
      </w:pPr>
      <w:bookmarkStart w:id="80584" w:name="ET_interruption_5115_20"/>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80584"/>
    </w:p>
    <w:p w:rsidR="00BB59CD" w:rsidRDefault="00BB59CD" w:rsidP="00337201">
      <w:pPr>
        <w:rPr>
          <w:rtl/>
          <w:lang w:eastAsia="he-IL"/>
        </w:rPr>
      </w:pPr>
    </w:p>
    <w:p w:rsidR="00BB59CD" w:rsidRDefault="00BB59CD" w:rsidP="00BB59CD">
      <w:pPr>
        <w:rPr>
          <w:rtl/>
          <w:lang w:eastAsia="he-IL"/>
        </w:rPr>
      </w:pPr>
      <w:bookmarkStart w:id="80585" w:name="_ETM_Q160_655000"/>
      <w:bookmarkEnd w:id="80585"/>
      <w:r>
        <w:rPr>
          <w:rFonts w:hint="cs"/>
          <w:rtl/>
          <w:lang w:eastAsia="he-IL"/>
        </w:rPr>
        <w:t xml:space="preserve">למה אתה לא מקריא את ההגנה של בית המשפט על ערבים, על נשים, על ילדים? </w:t>
      </w:r>
    </w:p>
    <w:p w:rsidR="00BB59CD" w:rsidRDefault="00BB59CD" w:rsidP="00BB59CD">
      <w:pPr>
        <w:rPr>
          <w:rtl/>
          <w:lang w:eastAsia="he-IL"/>
        </w:rPr>
      </w:pPr>
    </w:p>
    <w:p w:rsidR="00BB59CD" w:rsidRDefault="00BB59CD" w:rsidP="00BB59CD">
      <w:pPr>
        <w:pStyle w:val="-"/>
        <w:keepNext/>
        <w:rPr>
          <w:rtl/>
        </w:rPr>
      </w:pPr>
      <w:bookmarkStart w:id="80586" w:name="ET_speakercontinue_6392_21"/>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586"/>
    </w:p>
    <w:p w:rsidR="00BB59CD" w:rsidRDefault="00BB59CD" w:rsidP="00337201">
      <w:pPr>
        <w:rPr>
          <w:rtl/>
          <w:lang w:eastAsia="he-IL"/>
        </w:rPr>
      </w:pPr>
    </w:p>
    <w:p w:rsidR="00BB59CD" w:rsidRDefault="00BB59CD" w:rsidP="00BB59CD">
      <w:pPr>
        <w:rPr>
          <w:rtl/>
          <w:lang w:eastAsia="he-IL"/>
        </w:rPr>
      </w:pPr>
      <w:bookmarkStart w:id="80587" w:name="_ETM_Q160_656000"/>
      <w:bookmarkEnd w:id="80587"/>
      <w:r>
        <w:rPr>
          <w:rFonts w:hint="cs"/>
          <w:rtl/>
          <w:lang w:eastAsia="he-IL"/>
        </w:rPr>
        <w:t>אז אני שואל אתכם, בידי</w:t>
      </w:r>
      <w:bookmarkStart w:id="80588" w:name="_ETM_Q160_660000"/>
      <w:bookmarkEnd w:id="80588"/>
      <w:r>
        <w:rPr>
          <w:rFonts w:hint="cs"/>
          <w:rtl/>
          <w:lang w:eastAsia="he-IL"/>
        </w:rPr>
        <w:t xml:space="preserve"> השופטים האלה אתם רוצים לתת את ההכרעה מה סביר - - </w:t>
      </w:r>
    </w:p>
    <w:p w:rsidR="00BB59CD" w:rsidRDefault="00BB59CD" w:rsidP="00BB59CD">
      <w:pPr>
        <w:rPr>
          <w:rtl/>
          <w:lang w:eastAsia="he-IL"/>
        </w:rPr>
      </w:pPr>
      <w:bookmarkStart w:id="80589" w:name="_ETM_Q160_662000"/>
      <w:bookmarkEnd w:id="80589"/>
    </w:p>
    <w:p w:rsidR="00BB59CD" w:rsidRDefault="00BB59CD" w:rsidP="00BB59CD">
      <w:pPr>
        <w:pStyle w:val="af8"/>
        <w:keepNext/>
        <w:rPr>
          <w:rtl/>
        </w:rPr>
      </w:pPr>
      <w:bookmarkStart w:id="80590" w:name="ET_interruption_5115_22"/>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80590"/>
    </w:p>
    <w:p w:rsidR="00BB59CD" w:rsidRDefault="00BB59CD" w:rsidP="00337201">
      <w:pPr>
        <w:rPr>
          <w:rtl/>
          <w:lang w:eastAsia="he-IL"/>
        </w:rPr>
      </w:pPr>
    </w:p>
    <w:p w:rsidR="00BB59CD" w:rsidRDefault="00BB59CD" w:rsidP="00BB59CD">
      <w:pPr>
        <w:rPr>
          <w:rtl/>
          <w:lang w:eastAsia="he-IL"/>
        </w:rPr>
      </w:pPr>
      <w:bookmarkStart w:id="80591" w:name="_ETM_Q160_665000"/>
      <w:bookmarkEnd w:id="80591"/>
      <w:r>
        <w:rPr>
          <w:rFonts w:hint="cs"/>
          <w:rtl/>
          <w:lang w:eastAsia="he-IL"/>
        </w:rPr>
        <w:t>למה אתה לא - - - בג"ץ הגן על חיילים,</w:t>
      </w:r>
      <w:bookmarkStart w:id="80592" w:name="_ETM_Q160_667000"/>
      <w:bookmarkEnd w:id="80592"/>
      <w:r>
        <w:rPr>
          <w:rFonts w:hint="cs"/>
          <w:rtl/>
          <w:lang w:eastAsia="he-IL"/>
        </w:rPr>
        <w:t xml:space="preserve"> הגן על נשים, הגן על חרדים. </w:t>
      </w:r>
    </w:p>
    <w:p w:rsidR="00BB59CD" w:rsidRDefault="00BB59CD" w:rsidP="00BB59CD">
      <w:pPr>
        <w:rPr>
          <w:rtl/>
          <w:lang w:eastAsia="he-IL"/>
        </w:rPr>
      </w:pPr>
      <w:bookmarkStart w:id="80593" w:name="_ETM_Q160_668000"/>
      <w:bookmarkEnd w:id="80593"/>
    </w:p>
    <w:p w:rsidR="00BB59CD" w:rsidRDefault="00BB59CD" w:rsidP="00BB59CD">
      <w:pPr>
        <w:pStyle w:val="-"/>
        <w:keepNext/>
        <w:rPr>
          <w:rtl/>
        </w:rPr>
      </w:pPr>
      <w:bookmarkStart w:id="80594" w:name="ET_speakercontinue_6392_23"/>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594"/>
    </w:p>
    <w:p w:rsidR="00BB59CD" w:rsidRDefault="00BB59CD" w:rsidP="00337201">
      <w:pPr>
        <w:rPr>
          <w:rtl/>
          <w:lang w:eastAsia="he-IL"/>
        </w:rPr>
      </w:pPr>
    </w:p>
    <w:p w:rsidR="00BB59CD" w:rsidRDefault="00BB59CD" w:rsidP="00BB59CD">
      <w:pPr>
        <w:rPr>
          <w:rtl/>
          <w:lang w:eastAsia="he-IL"/>
        </w:rPr>
      </w:pPr>
      <w:bookmarkStart w:id="80595" w:name="_ETM_Q160_666000"/>
      <w:bookmarkEnd w:id="80595"/>
      <w:r>
        <w:rPr>
          <w:rFonts w:hint="cs"/>
          <w:rtl/>
          <w:lang w:eastAsia="he-IL"/>
        </w:rPr>
        <w:t>- - ומה נכון לעשות, במקום הכרעת העם? זה סביר בעיניכם?</w:t>
      </w:r>
      <w:bookmarkStart w:id="80596" w:name="_ETM_Q160_673000"/>
      <w:bookmarkEnd w:id="80596"/>
      <w:r>
        <w:rPr>
          <w:rFonts w:hint="cs"/>
          <w:rtl/>
          <w:lang w:eastAsia="he-IL"/>
        </w:rPr>
        <w:t xml:space="preserve"> זה סביר בעינייך, חברת הכנסת תמנו? </w:t>
      </w:r>
    </w:p>
    <w:p w:rsidR="00BB59CD" w:rsidRDefault="00BB59CD" w:rsidP="00BB59CD">
      <w:pPr>
        <w:rPr>
          <w:rtl/>
          <w:lang w:eastAsia="he-IL"/>
        </w:rPr>
      </w:pPr>
    </w:p>
    <w:p w:rsidR="00BB59CD" w:rsidRDefault="00BB59CD" w:rsidP="00BB59CD">
      <w:pPr>
        <w:pStyle w:val="af8"/>
        <w:keepNext/>
        <w:rPr>
          <w:rtl/>
        </w:rPr>
      </w:pPr>
      <w:bookmarkStart w:id="80597" w:name="ET_interruption_5115_24"/>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8059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זה חד-ממדי. אתה חד-ממדי. תוציא את כל פסקי הדין. </w:t>
      </w:r>
    </w:p>
    <w:p w:rsidR="00BB59CD" w:rsidRDefault="00BB59CD" w:rsidP="00BB59CD">
      <w:pPr>
        <w:rPr>
          <w:rtl/>
          <w:lang w:eastAsia="he-IL"/>
        </w:rPr>
      </w:pPr>
    </w:p>
    <w:p w:rsidR="00BB59CD" w:rsidRDefault="00BB59CD" w:rsidP="00BB59CD">
      <w:pPr>
        <w:pStyle w:val="-"/>
        <w:keepNext/>
        <w:rPr>
          <w:rtl/>
        </w:rPr>
      </w:pPr>
      <w:bookmarkStart w:id="80598" w:name="ET_speakercontinue_6392_25"/>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598"/>
    </w:p>
    <w:p w:rsidR="00BB59CD" w:rsidRDefault="00BB59CD" w:rsidP="00337201">
      <w:pPr>
        <w:rPr>
          <w:rtl/>
          <w:lang w:eastAsia="he-IL"/>
        </w:rPr>
      </w:pPr>
    </w:p>
    <w:p w:rsidR="00BB59CD" w:rsidRDefault="00BB59CD" w:rsidP="00BB59CD">
      <w:pPr>
        <w:rPr>
          <w:rtl/>
          <w:lang w:eastAsia="he-IL"/>
        </w:rPr>
      </w:pPr>
      <w:r>
        <w:rPr>
          <w:rFonts w:hint="cs"/>
          <w:rtl/>
          <w:lang w:eastAsia="he-IL"/>
        </w:rPr>
        <w:t>זה נראה לך סביר?</w:t>
      </w:r>
    </w:p>
    <w:p w:rsidR="00BB59CD" w:rsidRDefault="00BB59CD" w:rsidP="00BB59CD">
      <w:pPr>
        <w:rPr>
          <w:rtl/>
          <w:lang w:eastAsia="he-IL"/>
        </w:rPr>
      </w:pPr>
      <w:bookmarkStart w:id="80599" w:name="_ETM_Q160_680000"/>
      <w:bookmarkEnd w:id="80599"/>
    </w:p>
    <w:p w:rsidR="00BB59CD" w:rsidRDefault="00BB59CD" w:rsidP="00BB59CD">
      <w:pPr>
        <w:pStyle w:val="af8"/>
        <w:keepNext/>
        <w:rPr>
          <w:rtl/>
        </w:rPr>
      </w:pPr>
      <w:bookmarkStart w:id="80600" w:name="ET_interruption_5115_26"/>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80600"/>
    </w:p>
    <w:p w:rsidR="00BB59CD" w:rsidRDefault="00BB59CD" w:rsidP="00337201">
      <w:pPr>
        <w:rPr>
          <w:rtl/>
          <w:lang w:eastAsia="he-IL"/>
        </w:rPr>
      </w:pPr>
    </w:p>
    <w:p w:rsidR="00BB59CD" w:rsidRDefault="00BB59CD" w:rsidP="00BB59CD">
      <w:pPr>
        <w:rPr>
          <w:rtl/>
          <w:lang w:eastAsia="he-IL"/>
        </w:rPr>
      </w:pPr>
      <w:bookmarkStart w:id="80601" w:name="_ETM_Q160_683000"/>
      <w:bookmarkStart w:id="80602" w:name="_ETM_Q160_682000"/>
      <w:bookmarkEnd w:id="80601"/>
      <w:bookmarkEnd w:id="80602"/>
      <w:r>
        <w:rPr>
          <w:rFonts w:hint="cs"/>
          <w:rtl/>
          <w:lang w:eastAsia="he-IL"/>
        </w:rPr>
        <w:t>סביר מאוד, ולא סביר שאתה -</w:t>
      </w:r>
      <w:bookmarkStart w:id="80603" w:name="_ETM_Q160_687000"/>
      <w:bookmarkEnd w:id="80603"/>
      <w:r>
        <w:rPr>
          <w:rFonts w:hint="cs"/>
          <w:rtl/>
          <w:lang w:eastAsia="he-IL"/>
        </w:rPr>
        <w:t xml:space="preserve"> - - את זכויות האזרח במדינת ישראל.</w:t>
      </w:r>
    </w:p>
    <w:p w:rsidR="00BB59CD" w:rsidRDefault="00BB59CD" w:rsidP="00BB59CD">
      <w:pPr>
        <w:rPr>
          <w:rtl/>
          <w:lang w:eastAsia="he-IL"/>
        </w:rPr>
      </w:pPr>
      <w:bookmarkStart w:id="80604" w:name="_ETM_Q160_705002"/>
      <w:bookmarkStart w:id="80605" w:name="_ETM_Q160_705292"/>
      <w:bookmarkEnd w:id="80604"/>
      <w:bookmarkEnd w:id="80605"/>
      <w:r>
        <w:rPr>
          <w:rFonts w:hint="cs"/>
          <w:rtl/>
          <w:lang w:eastAsia="he-IL"/>
        </w:rPr>
        <w:t xml:space="preserve"> </w:t>
      </w:r>
    </w:p>
    <w:p w:rsidR="00BB59CD" w:rsidRDefault="00BB59CD" w:rsidP="00BB59CD">
      <w:pPr>
        <w:pStyle w:val="-"/>
        <w:keepNext/>
        <w:rPr>
          <w:rtl/>
        </w:rPr>
      </w:pPr>
      <w:bookmarkStart w:id="80606" w:name="ET_speakercontinue_6392_7"/>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606"/>
    </w:p>
    <w:p w:rsidR="00BB59CD" w:rsidRDefault="00BB59CD" w:rsidP="00337201">
      <w:pPr>
        <w:rPr>
          <w:rtl/>
          <w:lang w:eastAsia="he-IL"/>
        </w:rPr>
      </w:pPr>
    </w:p>
    <w:p w:rsidR="00BB59CD" w:rsidRDefault="00BB59CD" w:rsidP="00BB59CD">
      <w:pPr>
        <w:rPr>
          <w:rtl/>
          <w:lang w:eastAsia="he-IL"/>
        </w:rPr>
      </w:pPr>
      <w:r>
        <w:rPr>
          <w:rFonts w:hint="cs"/>
          <w:rtl/>
          <w:lang w:eastAsia="he-IL"/>
        </w:rPr>
        <w:t>חברות וחברי הכנסת, אני מבקש לשוב ולפנות מכאן דווקא</w:t>
      </w:r>
      <w:bookmarkStart w:id="80607" w:name="_ETM_Q160_691000"/>
      <w:bookmarkEnd w:id="80607"/>
      <w:r>
        <w:rPr>
          <w:rFonts w:hint="cs"/>
          <w:rtl/>
          <w:lang w:eastAsia="he-IL"/>
        </w:rPr>
        <w:t xml:space="preserve"> למי שחושש מהתיקון הזה, ולומר באחריות: אנחנו הולכים בדרך זהירה מאוד.</w:t>
      </w:r>
      <w:bookmarkStart w:id="80608" w:name="_ETM_Q160_702000"/>
      <w:bookmarkEnd w:id="80608"/>
      <w:r>
        <w:rPr>
          <w:rFonts w:hint="cs"/>
          <w:rtl/>
          <w:lang w:eastAsia="he-IL"/>
        </w:rPr>
        <w:t xml:space="preserve"> </w:t>
      </w:r>
    </w:p>
    <w:p w:rsidR="00BB59CD" w:rsidRDefault="00BB59CD" w:rsidP="00BB59CD">
      <w:pPr>
        <w:rPr>
          <w:rtl/>
          <w:lang w:eastAsia="he-IL"/>
        </w:rPr>
      </w:pPr>
      <w:bookmarkStart w:id="80609" w:name="_ETM_Q160_703000"/>
      <w:bookmarkEnd w:id="80609"/>
    </w:p>
    <w:p w:rsidR="00BB59CD" w:rsidRDefault="00BB59CD" w:rsidP="00BB59CD">
      <w:pPr>
        <w:pStyle w:val="af8"/>
        <w:keepNext/>
        <w:rPr>
          <w:rtl/>
        </w:rPr>
      </w:pPr>
      <w:bookmarkStart w:id="80610" w:name="ET_interruption_5115_27"/>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80610"/>
    </w:p>
    <w:p w:rsidR="00BB59CD" w:rsidRDefault="00BB59CD" w:rsidP="00337201">
      <w:pPr>
        <w:rPr>
          <w:rtl/>
          <w:lang w:eastAsia="he-IL"/>
        </w:rPr>
      </w:pPr>
    </w:p>
    <w:p w:rsidR="00BB59CD" w:rsidRDefault="00BB59CD" w:rsidP="00BB59CD">
      <w:pPr>
        <w:rPr>
          <w:rtl/>
          <w:lang w:eastAsia="he-IL"/>
        </w:rPr>
      </w:pPr>
      <w:bookmarkStart w:id="80611" w:name="_ETM_Q160_705000"/>
      <w:bookmarkEnd w:id="80611"/>
      <w:r>
        <w:rPr>
          <w:rFonts w:hint="cs"/>
          <w:rtl/>
          <w:lang w:eastAsia="he-IL"/>
        </w:rPr>
        <w:t>כל כך זהירה - - -</w:t>
      </w:r>
    </w:p>
    <w:p w:rsidR="00BB59CD" w:rsidRDefault="00BB59CD" w:rsidP="00BB59CD">
      <w:pPr>
        <w:rPr>
          <w:rtl/>
          <w:lang w:eastAsia="he-IL"/>
        </w:rPr>
      </w:pPr>
    </w:p>
    <w:p w:rsidR="00BB59CD" w:rsidRDefault="00BB59CD" w:rsidP="00BB59CD">
      <w:pPr>
        <w:pStyle w:val="-"/>
        <w:keepNext/>
        <w:rPr>
          <w:rtl/>
        </w:rPr>
      </w:pPr>
      <w:bookmarkStart w:id="80612" w:name="ET_speakercontinue_6392_8"/>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612"/>
    </w:p>
    <w:p w:rsidR="00BB59CD" w:rsidRDefault="00BB59CD" w:rsidP="00337201">
      <w:pPr>
        <w:rPr>
          <w:rtl/>
          <w:lang w:eastAsia="he-IL"/>
        </w:rPr>
      </w:pPr>
    </w:p>
    <w:p w:rsidR="00BB59CD" w:rsidRDefault="00BB59CD" w:rsidP="00BB59CD">
      <w:pPr>
        <w:rPr>
          <w:rtl/>
          <w:lang w:eastAsia="he-IL"/>
        </w:rPr>
      </w:pPr>
      <w:r>
        <w:rPr>
          <w:rFonts w:hint="cs"/>
          <w:rtl/>
          <w:lang w:eastAsia="he-IL"/>
        </w:rPr>
        <w:t>אנחנו לא מבטלים את עילת הסבירות אלא מצמצמים את השימוש בה, באופן שהשקפת עולמם של שופטים בודדים לא תחליף</w:t>
      </w:r>
      <w:bookmarkStart w:id="80613" w:name="_ETM_Q160_719000"/>
      <w:bookmarkEnd w:id="80613"/>
      <w:r>
        <w:rPr>
          <w:rFonts w:hint="cs"/>
          <w:rtl/>
          <w:lang w:eastAsia="he-IL"/>
        </w:rPr>
        <w:t xml:space="preserve"> את הכרעת העם. וכמובן, וכדאי להקשיב לזה, חברת הכנסת תמנו, אם הממשלה או שר יפעלו באופן בלתי חוקי, ללא סמכות, בניגוד עניינים, בהליך</w:t>
      </w:r>
      <w:bookmarkStart w:id="80614" w:name="_ETM_Q160_734000"/>
      <w:bookmarkEnd w:id="80614"/>
      <w:r>
        <w:rPr>
          <w:rFonts w:hint="cs"/>
          <w:rtl/>
          <w:lang w:eastAsia="he-IL"/>
        </w:rPr>
        <w:t xml:space="preserve"> לא תקין – בכל המקרים האלה בית המשפט יכול ויוכל להתערב. </w:t>
      </w:r>
    </w:p>
    <w:p w:rsidR="00BB59CD" w:rsidRDefault="00BB59CD" w:rsidP="00BB59CD">
      <w:pPr>
        <w:rPr>
          <w:rtl/>
          <w:lang w:eastAsia="he-IL"/>
        </w:rPr>
      </w:pPr>
    </w:p>
    <w:p w:rsidR="00BB59CD" w:rsidRDefault="00BB59CD" w:rsidP="00BB59CD">
      <w:pPr>
        <w:pStyle w:val="af8"/>
        <w:keepNext/>
        <w:rPr>
          <w:rtl/>
        </w:rPr>
      </w:pPr>
      <w:bookmarkStart w:id="80615" w:name="ET_interruption_5115_28"/>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8061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לא, לא - - </w:t>
      </w:r>
      <w:bookmarkStart w:id="80616" w:name="_ETM_Q160_741000"/>
      <w:bookmarkEnd w:id="80616"/>
      <w:r>
        <w:rPr>
          <w:rFonts w:hint="cs"/>
          <w:rtl/>
          <w:lang w:eastAsia="he-IL"/>
        </w:rPr>
        <w:t xml:space="preserve">- את האזרחים המדוכאים ואת עם ישראל. תתעורר, תתעורר. </w:t>
      </w:r>
    </w:p>
    <w:p w:rsidR="00BB59CD" w:rsidRDefault="00BB59CD" w:rsidP="00BB59CD">
      <w:pPr>
        <w:rPr>
          <w:rtl/>
          <w:lang w:eastAsia="he-IL"/>
        </w:rPr>
      </w:pPr>
      <w:bookmarkStart w:id="80617" w:name="_ETM_Q160_749000"/>
      <w:bookmarkEnd w:id="80617"/>
    </w:p>
    <w:p w:rsidR="00BB59CD" w:rsidRDefault="00BB59CD" w:rsidP="00BB59CD">
      <w:pPr>
        <w:pStyle w:val="af9"/>
        <w:keepNext/>
        <w:rPr>
          <w:rtl/>
        </w:rPr>
      </w:pPr>
      <w:bookmarkStart w:id="80618" w:name="ET_yor_6423_2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0618"/>
    </w:p>
    <w:p w:rsidR="00BB59CD" w:rsidRDefault="00BB59CD" w:rsidP="00337201">
      <w:pPr>
        <w:rPr>
          <w:rtl/>
          <w:lang w:eastAsia="he-IL"/>
        </w:rPr>
      </w:pPr>
    </w:p>
    <w:p w:rsidR="00BB59CD" w:rsidRDefault="00BB59CD" w:rsidP="00BB59CD">
      <w:pPr>
        <w:rPr>
          <w:rtl/>
          <w:lang w:eastAsia="he-IL"/>
        </w:rPr>
      </w:pPr>
      <w:bookmarkStart w:id="80619" w:name="_ETM_Q160_750000"/>
      <w:bookmarkEnd w:id="80619"/>
      <w:r>
        <w:rPr>
          <w:rFonts w:hint="cs"/>
          <w:rtl/>
          <w:lang w:eastAsia="he-IL"/>
        </w:rPr>
        <w:t xml:space="preserve">חברת הכנסת תמנו שטה, תודה. </w:t>
      </w:r>
    </w:p>
    <w:p w:rsidR="00BB59CD" w:rsidRDefault="00BB59CD" w:rsidP="00BB59CD">
      <w:pPr>
        <w:rPr>
          <w:rtl/>
          <w:lang w:eastAsia="he-IL"/>
        </w:rPr>
      </w:pPr>
    </w:p>
    <w:p w:rsidR="00BB59CD" w:rsidRDefault="00BB59CD" w:rsidP="00BB59CD">
      <w:pPr>
        <w:pStyle w:val="-"/>
        <w:keepNext/>
        <w:rPr>
          <w:rtl/>
        </w:rPr>
      </w:pPr>
      <w:bookmarkStart w:id="80620" w:name="TOR_Q161"/>
      <w:bookmarkStart w:id="80621" w:name="ET_speakercontinue_6392_1"/>
      <w:bookmarkEnd w:id="80620"/>
      <w:r>
        <w:rPr>
          <w:rStyle w:val="TagStyle"/>
          <w:rFonts w:hint="cs"/>
          <w:rtl/>
        </w:rPr>
        <w:t xml:space="preserve">&lt;&lt;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621"/>
    </w:p>
    <w:p w:rsidR="00BB59CD" w:rsidRDefault="00BB59CD" w:rsidP="00337201">
      <w:pPr>
        <w:rPr>
          <w:rtl/>
        </w:rPr>
      </w:pPr>
    </w:p>
    <w:p w:rsidR="00BB59CD" w:rsidRDefault="00BB59CD" w:rsidP="00BB59CD">
      <w:pPr>
        <w:rPr>
          <w:rtl/>
        </w:rPr>
      </w:pPr>
      <w:r>
        <w:rPr>
          <w:rFonts w:hint="cs"/>
          <w:rtl/>
        </w:rPr>
        <w:t xml:space="preserve">התיקון שאנחנו עושים </w:t>
      </w:r>
      <w:bookmarkStart w:id="80622" w:name="_ETM_Q161_152567"/>
      <w:bookmarkStart w:id="80623" w:name="_ETM_Q161_152633"/>
      <w:bookmarkStart w:id="80624" w:name="_ETM_Q161_152731"/>
      <w:bookmarkStart w:id="80625" w:name="_ETM_Q161_152788"/>
      <w:bookmarkStart w:id="80626" w:name="_ETM_Q161_182190"/>
      <w:bookmarkEnd w:id="80622"/>
      <w:bookmarkEnd w:id="80623"/>
      <w:bookmarkEnd w:id="80624"/>
      <w:bookmarkEnd w:id="80625"/>
      <w:bookmarkEnd w:id="80626"/>
      <w:r>
        <w:rPr>
          <w:rFonts w:hint="cs"/>
          <w:rtl/>
        </w:rPr>
        <w:t xml:space="preserve">מבוסס </w:t>
      </w:r>
      <w:bookmarkStart w:id="80627" w:name="_ETM_Q161_182939"/>
      <w:bookmarkEnd w:id="80627"/>
      <w:r>
        <w:rPr>
          <w:rFonts w:hint="cs"/>
          <w:rtl/>
        </w:rPr>
        <w:t xml:space="preserve">על </w:t>
      </w:r>
      <w:bookmarkStart w:id="80628" w:name="_ETM_Q161_183120"/>
      <w:bookmarkEnd w:id="80628"/>
      <w:r>
        <w:rPr>
          <w:rFonts w:hint="cs"/>
          <w:rtl/>
        </w:rPr>
        <w:t xml:space="preserve">עקרונות </w:t>
      </w:r>
      <w:bookmarkStart w:id="80629" w:name="_ETM_Q161_184380"/>
      <w:bookmarkEnd w:id="80629"/>
      <w:r>
        <w:rPr>
          <w:rFonts w:hint="cs"/>
          <w:rtl/>
        </w:rPr>
        <w:t xml:space="preserve">שהתווה </w:t>
      </w:r>
      <w:bookmarkStart w:id="80630" w:name="_ETM_Q161_185130"/>
      <w:bookmarkEnd w:id="80630"/>
      <w:r>
        <w:rPr>
          <w:rFonts w:hint="cs"/>
          <w:rtl/>
        </w:rPr>
        <w:t xml:space="preserve">כבוד </w:t>
      </w:r>
      <w:bookmarkStart w:id="80631" w:name="_ETM_Q161_185400"/>
      <w:bookmarkEnd w:id="80631"/>
      <w:r>
        <w:rPr>
          <w:rFonts w:hint="cs"/>
          <w:rtl/>
        </w:rPr>
        <w:t xml:space="preserve">שופט </w:t>
      </w:r>
      <w:bookmarkStart w:id="80632" w:name="_ETM_Q161_185790"/>
      <w:bookmarkEnd w:id="80632"/>
      <w:r>
        <w:rPr>
          <w:rFonts w:hint="cs"/>
          <w:rtl/>
        </w:rPr>
        <w:t xml:space="preserve">בית </w:t>
      </w:r>
      <w:bookmarkStart w:id="80633" w:name="_ETM_Q161_186029"/>
      <w:bookmarkEnd w:id="80633"/>
      <w:r>
        <w:rPr>
          <w:rFonts w:hint="cs"/>
          <w:rtl/>
        </w:rPr>
        <w:t xml:space="preserve">המשפט </w:t>
      </w:r>
      <w:bookmarkStart w:id="80634" w:name="_ETM_Q161_186569"/>
      <w:bookmarkEnd w:id="80634"/>
      <w:r>
        <w:rPr>
          <w:rFonts w:hint="cs"/>
          <w:rtl/>
        </w:rPr>
        <w:t xml:space="preserve">העליון </w:t>
      </w:r>
      <w:bookmarkStart w:id="80635" w:name="_ETM_Q161_187200"/>
      <w:bookmarkEnd w:id="80635"/>
      <w:r>
        <w:rPr>
          <w:rFonts w:hint="cs"/>
          <w:rtl/>
        </w:rPr>
        <w:t xml:space="preserve">נועם </w:t>
      </w:r>
      <w:bookmarkStart w:id="80636" w:name="_ETM_Q161_187500"/>
      <w:bookmarkEnd w:id="80636"/>
      <w:r>
        <w:rPr>
          <w:rFonts w:hint="cs"/>
          <w:rtl/>
        </w:rPr>
        <w:t xml:space="preserve">סולברג </w:t>
      </w:r>
      <w:bookmarkStart w:id="80637" w:name="_ETM_Q161_188849"/>
      <w:bookmarkEnd w:id="80637"/>
      <w:r>
        <w:rPr>
          <w:rFonts w:hint="cs"/>
          <w:rtl/>
        </w:rPr>
        <w:t xml:space="preserve">ברוח </w:t>
      </w:r>
      <w:bookmarkStart w:id="80638" w:name="_ETM_Q161_189510"/>
      <w:bookmarkEnd w:id="80638"/>
      <w:r>
        <w:rPr>
          <w:rFonts w:hint="cs"/>
          <w:rtl/>
        </w:rPr>
        <w:t xml:space="preserve">הגישה </w:t>
      </w:r>
      <w:bookmarkStart w:id="80639" w:name="_ETM_Q161_190740"/>
      <w:bookmarkEnd w:id="80639"/>
      <w:r>
        <w:rPr>
          <w:rFonts w:hint="cs"/>
          <w:rtl/>
        </w:rPr>
        <w:t xml:space="preserve">של </w:t>
      </w:r>
      <w:bookmarkStart w:id="80640" w:name="_ETM_Q161_191010"/>
      <w:bookmarkEnd w:id="80640"/>
      <w:r>
        <w:rPr>
          <w:rFonts w:hint="cs"/>
          <w:rtl/>
        </w:rPr>
        <w:t xml:space="preserve">נשיא </w:t>
      </w:r>
      <w:bookmarkStart w:id="80641" w:name="_ETM_Q161_191460"/>
      <w:bookmarkEnd w:id="80641"/>
      <w:r>
        <w:rPr>
          <w:rFonts w:hint="cs"/>
          <w:rtl/>
        </w:rPr>
        <w:t xml:space="preserve">בית </w:t>
      </w:r>
      <w:bookmarkStart w:id="80642" w:name="_ETM_Q161_191730"/>
      <w:bookmarkEnd w:id="80642"/>
      <w:r>
        <w:rPr>
          <w:rFonts w:hint="cs"/>
          <w:rtl/>
        </w:rPr>
        <w:t xml:space="preserve">המשפט </w:t>
      </w:r>
      <w:bookmarkStart w:id="80643" w:name="_ETM_Q161_192269"/>
      <w:bookmarkEnd w:id="80643"/>
      <w:r>
        <w:rPr>
          <w:rFonts w:hint="cs"/>
          <w:rtl/>
        </w:rPr>
        <w:t>העליון - - -</w:t>
      </w:r>
    </w:p>
    <w:p w:rsidR="00BB59CD" w:rsidRDefault="00BB59CD" w:rsidP="00BB59CD">
      <w:pPr>
        <w:rPr>
          <w:rtl/>
        </w:rPr>
      </w:pPr>
    </w:p>
    <w:p w:rsidR="00BB59CD" w:rsidRDefault="00BB59CD" w:rsidP="00BB59CD">
      <w:pPr>
        <w:pStyle w:val="af8"/>
        <w:keepNext/>
        <w:rPr>
          <w:rtl/>
        </w:rPr>
      </w:pPr>
      <w:bookmarkStart w:id="80644" w:name="ET_interruption_5109_2"/>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80644"/>
    </w:p>
    <w:p w:rsidR="00BB59CD" w:rsidRDefault="00BB59CD" w:rsidP="00337201">
      <w:pPr>
        <w:rPr>
          <w:rtl/>
        </w:rPr>
      </w:pPr>
    </w:p>
    <w:p w:rsidR="00BB59CD" w:rsidRDefault="00BB59CD" w:rsidP="00BB59CD">
      <w:pPr>
        <w:rPr>
          <w:rtl/>
        </w:rPr>
      </w:pPr>
      <w:r>
        <w:rPr>
          <w:rFonts w:hint="cs"/>
          <w:rtl/>
        </w:rPr>
        <w:t xml:space="preserve">הוא אמר שזה לא נכון. </w:t>
      </w:r>
    </w:p>
    <w:p w:rsidR="00BB59CD" w:rsidRDefault="00BB59CD" w:rsidP="00BB59CD">
      <w:pPr>
        <w:rPr>
          <w:rtl/>
        </w:rPr>
      </w:pPr>
      <w:bookmarkStart w:id="80645" w:name="_ETM_Q161_165639"/>
      <w:bookmarkStart w:id="80646" w:name="_ETM_Q161_165727"/>
      <w:bookmarkEnd w:id="80645"/>
      <w:bookmarkEnd w:id="80646"/>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חבר הכנסת שטרן, קריאה ראשונה. </w:t>
      </w:r>
    </w:p>
    <w:p w:rsidR="00BB59CD" w:rsidRDefault="00BB59CD" w:rsidP="00BB59CD">
      <w:pPr>
        <w:rPr>
          <w:rtl/>
        </w:rPr>
      </w:pPr>
      <w:bookmarkStart w:id="80647" w:name="_ETM_Q161_168191"/>
      <w:bookmarkStart w:id="80648" w:name="_ETM_Q161_168269"/>
      <w:bookmarkEnd w:id="80647"/>
      <w:bookmarkEnd w:id="80648"/>
    </w:p>
    <w:p w:rsidR="00BB59CD" w:rsidRDefault="00BB59CD" w:rsidP="00BB59CD">
      <w:pPr>
        <w:pStyle w:val="af8"/>
        <w:keepNext/>
        <w:rPr>
          <w:rtl/>
        </w:rPr>
      </w:pPr>
      <w:bookmarkStart w:id="80649" w:name="ET_interruption_5785_4"/>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80649"/>
    </w:p>
    <w:p w:rsidR="00BB59CD" w:rsidRDefault="00BB59CD" w:rsidP="00337201">
      <w:pPr>
        <w:rPr>
          <w:rtl/>
        </w:rPr>
      </w:pPr>
    </w:p>
    <w:p w:rsidR="00BB59CD" w:rsidRDefault="00BB59CD" w:rsidP="00BB59CD">
      <w:pPr>
        <w:rPr>
          <w:rtl/>
        </w:rPr>
      </w:pPr>
      <w:bookmarkStart w:id="80650" w:name="_ETM_Q161_168854"/>
      <w:bookmarkEnd w:id="80650"/>
      <w:r>
        <w:rPr>
          <w:rFonts w:hint="cs"/>
          <w:rtl/>
        </w:rPr>
        <w:t xml:space="preserve">- - - </w:t>
      </w:r>
    </w:p>
    <w:p w:rsidR="00BB59CD" w:rsidRDefault="00BB59CD" w:rsidP="00BB59CD">
      <w:pPr>
        <w:rPr>
          <w:rtl/>
        </w:rPr>
      </w:pPr>
      <w:bookmarkStart w:id="80651" w:name="_ETM_Q161_167179"/>
      <w:bookmarkStart w:id="80652" w:name="_ETM_Q161_167245"/>
      <w:bookmarkEnd w:id="80651"/>
      <w:bookmarkEnd w:id="80652"/>
    </w:p>
    <w:p w:rsidR="00BB59CD" w:rsidRDefault="00BB59CD" w:rsidP="00BB59CD">
      <w:pPr>
        <w:pStyle w:val="af8"/>
        <w:keepNext/>
        <w:rPr>
          <w:rtl/>
        </w:rPr>
      </w:pPr>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די, מספיק, מה אתה מצטט אנשים - - </w:t>
      </w:r>
      <w:bookmarkStart w:id="80653" w:name="_ETM_Q161_171962"/>
      <w:bookmarkEnd w:id="80653"/>
      <w:r>
        <w:rPr>
          <w:rFonts w:hint="cs"/>
          <w:rtl/>
        </w:rPr>
        <w:t>-</w:t>
      </w:r>
    </w:p>
    <w:p w:rsidR="00BB59CD" w:rsidRDefault="00BB59CD" w:rsidP="00BB59CD">
      <w:pPr>
        <w:rPr>
          <w:rtl/>
        </w:rPr>
      </w:pPr>
      <w:bookmarkStart w:id="80654" w:name="_ETM_Q161_172235"/>
      <w:bookmarkStart w:id="80655" w:name="_ETM_Q161_172302"/>
      <w:bookmarkEnd w:id="80654"/>
      <w:bookmarkEnd w:id="80655"/>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חבר הכנסת שטרן, אתה בקריאה ראשונה.</w:t>
      </w:r>
    </w:p>
    <w:p w:rsidR="00BB59CD" w:rsidRDefault="00BB59CD" w:rsidP="00BB59CD">
      <w:pPr>
        <w:keepNext/>
        <w:rPr>
          <w:rtl/>
        </w:rPr>
      </w:pPr>
      <w:bookmarkStart w:id="80656" w:name="_ETM_Q161_170353"/>
      <w:bookmarkStart w:id="80657" w:name="_ETM_Q161_171789"/>
      <w:bookmarkEnd w:id="80656"/>
      <w:bookmarkEnd w:id="80657"/>
    </w:p>
    <w:p w:rsidR="00BB59CD" w:rsidRDefault="00BB59CD" w:rsidP="00BB59CD">
      <w:pPr>
        <w:pStyle w:val="-"/>
        <w:keepNext/>
        <w:rPr>
          <w:rtl/>
        </w:rPr>
      </w:pPr>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אחזור, למרות הצעקות. </w:t>
      </w:r>
      <w:bookmarkStart w:id="80658" w:name="_ETM_Q161_174598"/>
      <w:bookmarkStart w:id="80659" w:name="_ETM_Q161_175798"/>
      <w:bookmarkEnd w:id="80658"/>
      <w:bookmarkEnd w:id="80659"/>
    </w:p>
    <w:p w:rsidR="00BB59CD" w:rsidRDefault="00BB59CD" w:rsidP="00BB59CD">
      <w:pPr>
        <w:rPr>
          <w:rtl/>
          <w:lang w:eastAsia="he-IL"/>
        </w:rPr>
      </w:pPr>
      <w:bookmarkStart w:id="80660" w:name="_ETM_Q161_175862"/>
      <w:bookmarkEnd w:id="80660"/>
    </w:p>
    <w:p w:rsidR="00BB59CD" w:rsidRDefault="00BB59CD" w:rsidP="00BB59CD">
      <w:pPr>
        <w:pStyle w:val="af8"/>
        <w:keepNext/>
        <w:rPr>
          <w:rtl/>
        </w:rPr>
      </w:pPr>
      <w:bookmarkStart w:id="80661" w:name="ET_interruption_5109_9"/>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8066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וגם - - - אותו דבר. </w:t>
      </w:r>
    </w:p>
    <w:p w:rsidR="00BB59CD" w:rsidRDefault="00BB59CD" w:rsidP="00BB59CD">
      <w:pPr>
        <w:rPr>
          <w:rtl/>
          <w:lang w:eastAsia="he-IL"/>
        </w:rPr>
      </w:pPr>
      <w:bookmarkStart w:id="80662" w:name="_ETM_Q161_174369"/>
      <w:bookmarkStart w:id="80663" w:name="_ETM_Q161_174453"/>
      <w:bookmarkEnd w:id="80662"/>
      <w:bookmarkEnd w:id="80663"/>
    </w:p>
    <w:p w:rsidR="00BB59CD" w:rsidRDefault="00BB59CD" w:rsidP="00BB59CD">
      <w:pPr>
        <w:pStyle w:val="-"/>
        <w:keepNext/>
        <w:rPr>
          <w:rtl/>
        </w:rPr>
      </w:pPr>
      <w:bookmarkStart w:id="80664" w:name="ET_speakercontinue_6392_10"/>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66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אחזור על האמת הפשוטה למרות הצעקות. התיקון שאנחנו </w:t>
      </w:r>
      <w:bookmarkStart w:id="80665" w:name="_ETM_Q161_182044"/>
      <w:bookmarkEnd w:id="80665"/>
      <w:r>
        <w:rPr>
          <w:rFonts w:hint="cs"/>
          <w:rtl/>
          <w:lang w:eastAsia="he-IL"/>
        </w:rPr>
        <w:t xml:space="preserve">עושים מבוסס על עקרונות שהתווה כבוד שופט המשפט העליון נעם </w:t>
      </w:r>
      <w:bookmarkStart w:id="80666" w:name="_ETM_Q161_188231"/>
      <w:bookmarkEnd w:id="80666"/>
      <w:r>
        <w:rPr>
          <w:rFonts w:hint="cs"/>
          <w:rtl/>
          <w:lang w:eastAsia="he-IL"/>
        </w:rPr>
        <w:t xml:space="preserve">סולברג ברוח הגישה של נשיא בית המשפט העליון </w:t>
      </w:r>
      <w:bookmarkStart w:id="80667" w:name="_ETM_Q161_191415"/>
      <w:bookmarkEnd w:id="80667"/>
      <w:r>
        <w:rPr>
          <w:rFonts w:hint="cs"/>
          <w:rtl/>
          <w:lang w:eastAsia="he-IL"/>
        </w:rPr>
        <w:t>בדימוס מאיר שמגר ושל המשנה לנשיא בדימוס, מנ</w:t>
      </w:r>
      <w:bookmarkStart w:id="80668" w:name="_ETM_Q161_198576"/>
      <w:bookmarkEnd w:id="80668"/>
      <w:r>
        <w:rPr>
          <w:rFonts w:hint="cs"/>
          <w:rtl/>
          <w:lang w:eastAsia="he-IL"/>
        </w:rPr>
        <w:t xml:space="preserve">חם אלון. אין שום סיבה לחשוש מהתיקון הזה </w:t>
      </w:r>
      <w:bookmarkStart w:id="80669" w:name="_ETM_Q161_207809"/>
      <w:bookmarkEnd w:id="80669"/>
      <w:r>
        <w:rPr>
          <w:rFonts w:hint="cs"/>
          <w:rtl/>
          <w:lang w:eastAsia="he-IL"/>
        </w:rPr>
        <w:t xml:space="preserve">ויש הרבה סיבות לראות בו צעד חשוב בהשבת האיזון בין רשויות השלטון, ובכיבוד רצון הבוחר. </w:t>
      </w:r>
    </w:p>
    <w:p w:rsidR="00BB59CD" w:rsidRDefault="00BB59CD" w:rsidP="00BB59CD">
      <w:pPr>
        <w:rPr>
          <w:rtl/>
          <w:lang w:eastAsia="he-IL"/>
        </w:rPr>
      </w:pPr>
      <w:bookmarkStart w:id="80670" w:name="_ETM_Q161_220295"/>
      <w:bookmarkStart w:id="80671" w:name="_ETM_Q161_220379"/>
      <w:bookmarkEnd w:id="80670"/>
      <w:bookmarkEnd w:id="80671"/>
    </w:p>
    <w:p w:rsidR="00BB59CD" w:rsidRDefault="00BB59CD" w:rsidP="00BB59CD">
      <w:pPr>
        <w:rPr>
          <w:rtl/>
          <w:lang w:eastAsia="he-IL"/>
        </w:rPr>
      </w:pPr>
      <w:bookmarkStart w:id="80672" w:name="_ETM_Q161_220487"/>
      <w:bookmarkStart w:id="80673" w:name="_ETM_Q161_220563"/>
      <w:bookmarkEnd w:id="80672"/>
      <w:bookmarkEnd w:id="80673"/>
      <w:r>
        <w:rPr>
          <w:rFonts w:hint="cs"/>
          <w:rtl/>
          <w:lang w:eastAsia="he-IL"/>
        </w:rPr>
        <w:t xml:space="preserve">אני יודע שרוב </w:t>
      </w:r>
      <w:bookmarkStart w:id="80674" w:name="_ETM_Q161_222216"/>
      <w:bookmarkEnd w:id="80674"/>
      <w:r>
        <w:rPr>
          <w:rFonts w:hint="cs"/>
          <w:rtl/>
          <w:lang w:eastAsia="he-IL"/>
        </w:rPr>
        <w:t>מוחלט של הציבור רוצה בתיקונים במערכת המשפט. לכן</w:t>
      </w:r>
      <w:bookmarkStart w:id="80675" w:name="_ETM_Q161_229927"/>
      <w:bookmarkEnd w:id="80675"/>
      <w:r>
        <w:rPr>
          <w:rFonts w:hint="cs"/>
          <w:rtl/>
          <w:lang w:eastAsia="he-IL"/>
        </w:rPr>
        <w:t xml:space="preserve">, ידידי, יושב-ראש הכנסת ה-24, חבר הכנסת מיקי לוי, אפשר </w:t>
      </w:r>
      <w:bookmarkStart w:id="80676" w:name="_ETM_Q161_235107"/>
      <w:bookmarkEnd w:id="80676"/>
      <w:r>
        <w:rPr>
          <w:rFonts w:hint="cs"/>
          <w:rtl/>
          <w:lang w:eastAsia="he-IL"/>
        </w:rPr>
        <w:t xml:space="preserve">לגבש הסכמה רחבה. </w:t>
      </w:r>
    </w:p>
    <w:p w:rsidR="00BB59CD" w:rsidRDefault="00BB59CD" w:rsidP="00BB59CD">
      <w:pPr>
        <w:rPr>
          <w:rtl/>
          <w:lang w:eastAsia="he-IL"/>
        </w:rPr>
      </w:pPr>
      <w:bookmarkStart w:id="80677" w:name="_ETM_Q161_239428"/>
      <w:bookmarkStart w:id="80678" w:name="_ETM_Q161_239530"/>
      <w:bookmarkEnd w:id="80677"/>
      <w:bookmarkEnd w:id="80678"/>
    </w:p>
    <w:p w:rsidR="00BB59CD" w:rsidRDefault="00BB59CD" w:rsidP="00BB59CD">
      <w:pPr>
        <w:pStyle w:val="af8"/>
        <w:keepNext/>
        <w:rPr>
          <w:rtl/>
        </w:rPr>
      </w:pPr>
      <w:bookmarkStart w:id="80679" w:name="ET_interruption_5115_11"/>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80679"/>
    </w:p>
    <w:p w:rsidR="00BB59CD" w:rsidRDefault="00BB59CD" w:rsidP="00337201">
      <w:pPr>
        <w:rPr>
          <w:rtl/>
          <w:lang w:eastAsia="he-IL"/>
        </w:rPr>
      </w:pPr>
    </w:p>
    <w:p w:rsidR="00BB59CD" w:rsidRDefault="00BB59CD" w:rsidP="00BB59CD">
      <w:pPr>
        <w:rPr>
          <w:rtl/>
          <w:lang w:eastAsia="he-IL"/>
        </w:rPr>
      </w:pPr>
      <w:r>
        <w:rPr>
          <w:rFonts w:hint="cs"/>
          <w:rtl/>
          <w:lang w:eastAsia="he-IL"/>
        </w:rPr>
        <w:t>אז תעצור הכול - - -</w:t>
      </w:r>
    </w:p>
    <w:p w:rsidR="00BB59CD" w:rsidRDefault="00BB59CD" w:rsidP="00BB59CD">
      <w:pPr>
        <w:rPr>
          <w:rtl/>
          <w:lang w:eastAsia="he-IL"/>
        </w:rPr>
      </w:pPr>
      <w:bookmarkStart w:id="80680" w:name="_ETM_Q161_241154"/>
      <w:bookmarkStart w:id="80681" w:name="_ETM_Q161_241234"/>
      <w:bookmarkEnd w:id="80680"/>
      <w:bookmarkEnd w:id="80681"/>
    </w:p>
    <w:p w:rsidR="00BB59CD" w:rsidRDefault="00BB59CD" w:rsidP="00BB59CD">
      <w:pPr>
        <w:pStyle w:val="-"/>
        <w:keepNext/>
        <w:rPr>
          <w:rtl/>
        </w:rPr>
      </w:pPr>
      <w:bookmarkStart w:id="80682" w:name="ET_speakercontinue_6392_12"/>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682"/>
    </w:p>
    <w:p w:rsidR="00BB59CD" w:rsidRDefault="00BB59CD" w:rsidP="00337201">
      <w:pPr>
        <w:rPr>
          <w:rtl/>
          <w:lang w:eastAsia="he-IL"/>
        </w:rPr>
      </w:pPr>
    </w:p>
    <w:p w:rsidR="00BB59CD" w:rsidRDefault="00BB59CD" w:rsidP="00BB59CD">
      <w:pPr>
        <w:rPr>
          <w:rtl/>
        </w:rPr>
      </w:pPr>
      <w:r>
        <w:rPr>
          <w:rFonts w:hint="cs"/>
          <w:rtl/>
          <w:lang w:eastAsia="he-IL"/>
        </w:rPr>
        <w:t xml:space="preserve">אני מקווה </w:t>
      </w:r>
      <w:bookmarkStart w:id="80683" w:name="_ETM_Q161_240095"/>
      <w:bookmarkEnd w:id="80683"/>
      <w:r>
        <w:rPr>
          <w:rFonts w:hint="cs"/>
          <w:rtl/>
          <w:lang w:eastAsia="he-IL"/>
        </w:rPr>
        <w:t>שהכנסת תצביע היום בעד הצעת החוק הזו, ותוכיח שיש מחוקקים בירושלים</w:t>
      </w:r>
      <w:bookmarkStart w:id="80684" w:name="_ETM_Q161_250509"/>
      <w:bookmarkEnd w:id="80684"/>
      <w:r>
        <w:rPr>
          <w:rFonts w:hint="cs"/>
          <w:rtl/>
          <w:lang w:eastAsia="he-IL"/>
        </w:rPr>
        <w:t xml:space="preserve">. </w:t>
      </w:r>
      <w:r>
        <w:rPr>
          <w:rFonts w:hint="cs"/>
          <w:rtl/>
        </w:rPr>
        <w:t xml:space="preserve">אני </w:t>
      </w:r>
      <w:bookmarkStart w:id="80685" w:name="_ETM_Q161_250840"/>
      <w:bookmarkEnd w:id="80685"/>
      <w:r>
        <w:rPr>
          <w:rFonts w:hint="cs"/>
          <w:rtl/>
        </w:rPr>
        <w:t xml:space="preserve">גם </w:t>
      </w:r>
      <w:bookmarkStart w:id="80686" w:name="_ETM_Q161_251080"/>
      <w:bookmarkEnd w:id="80686"/>
      <w:r>
        <w:rPr>
          <w:rFonts w:hint="cs"/>
          <w:rtl/>
        </w:rPr>
        <w:t xml:space="preserve">מקווה </w:t>
      </w:r>
      <w:bookmarkStart w:id="80687" w:name="_ETM_Q161_252429"/>
      <w:bookmarkEnd w:id="80687"/>
      <w:r>
        <w:rPr>
          <w:rFonts w:hint="cs"/>
          <w:rtl/>
        </w:rPr>
        <w:t xml:space="preserve">שנדע </w:t>
      </w:r>
      <w:bookmarkStart w:id="80688" w:name="_ETM_Q161_253030"/>
      <w:bookmarkEnd w:id="80688"/>
      <w:r>
        <w:rPr>
          <w:rFonts w:hint="cs"/>
          <w:rtl/>
        </w:rPr>
        <w:t xml:space="preserve">לנצל </w:t>
      </w:r>
      <w:bookmarkStart w:id="80689" w:name="_ETM_Q161_253689"/>
      <w:bookmarkEnd w:id="80689"/>
      <w:r>
        <w:rPr>
          <w:rFonts w:hint="cs"/>
          <w:rtl/>
        </w:rPr>
        <w:t xml:space="preserve">את </w:t>
      </w:r>
      <w:bookmarkStart w:id="80690" w:name="_ETM_Q161_253840"/>
      <w:bookmarkEnd w:id="80690"/>
      <w:r>
        <w:rPr>
          <w:rFonts w:hint="cs"/>
          <w:rtl/>
        </w:rPr>
        <w:t xml:space="preserve">חודשי </w:t>
      </w:r>
      <w:bookmarkStart w:id="80691" w:name="_ETM_Q161_254319"/>
      <w:bookmarkEnd w:id="80691"/>
      <w:r>
        <w:rPr>
          <w:rFonts w:hint="cs"/>
          <w:rtl/>
        </w:rPr>
        <w:t xml:space="preserve">פגרת </w:t>
      </w:r>
      <w:bookmarkStart w:id="80692" w:name="_ETM_Q161_254889"/>
      <w:bookmarkEnd w:id="80692"/>
      <w:r>
        <w:rPr>
          <w:rFonts w:hint="cs"/>
          <w:rtl/>
        </w:rPr>
        <w:t xml:space="preserve">הכנסת, </w:t>
      </w:r>
      <w:bookmarkStart w:id="80693" w:name="_ETM_Q161_256179"/>
      <w:bookmarkEnd w:id="80693"/>
      <w:r>
        <w:rPr>
          <w:rFonts w:hint="cs"/>
          <w:rtl/>
        </w:rPr>
        <w:t xml:space="preserve">כדי </w:t>
      </w:r>
      <w:bookmarkStart w:id="80694" w:name="_ETM_Q161_256539"/>
      <w:bookmarkEnd w:id="80694"/>
      <w:r>
        <w:rPr>
          <w:rFonts w:hint="cs"/>
          <w:rtl/>
        </w:rPr>
        <w:t xml:space="preserve">לשבת </w:t>
      </w:r>
      <w:bookmarkStart w:id="80695" w:name="_ETM_Q161_257380"/>
      <w:bookmarkEnd w:id="80695"/>
      <w:r>
        <w:rPr>
          <w:rFonts w:hint="cs"/>
          <w:rtl/>
        </w:rPr>
        <w:t xml:space="preserve">לשיחות – </w:t>
      </w:r>
      <w:bookmarkStart w:id="80696" w:name="_ETM_Q161_258700"/>
      <w:bookmarkEnd w:id="80696"/>
      <w:r>
        <w:rPr>
          <w:rFonts w:hint="cs"/>
          <w:rtl/>
        </w:rPr>
        <w:t xml:space="preserve">והפעם </w:t>
      </w:r>
      <w:bookmarkStart w:id="80697" w:name="_ETM_Q161_259479"/>
      <w:bookmarkEnd w:id="80697"/>
      <w:r>
        <w:rPr>
          <w:rFonts w:hint="cs"/>
          <w:rtl/>
        </w:rPr>
        <w:t xml:space="preserve">לשיחות </w:t>
      </w:r>
      <w:bookmarkStart w:id="80698" w:name="_ETM_Q161_260229"/>
      <w:bookmarkEnd w:id="80698"/>
      <w:r>
        <w:rPr>
          <w:rFonts w:hint="cs"/>
          <w:rtl/>
        </w:rPr>
        <w:t xml:space="preserve">רציניות, </w:t>
      </w:r>
      <w:bookmarkStart w:id="80699" w:name="_ETM_Q161_262010"/>
      <w:bookmarkEnd w:id="80699"/>
      <w:r>
        <w:rPr>
          <w:rFonts w:hint="cs"/>
          <w:rtl/>
        </w:rPr>
        <w:t xml:space="preserve">באופן </w:t>
      </w:r>
      <w:bookmarkStart w:id="80700" w:name="_ETM_Q161_262610"/>
      <w:bookmarkEnd w:id="80700"/>
      <w:r>
        <w:rPr>
          <w:rFonts w:hint="cs"/>
          <w:rtl/>
        </w:rPr>
        <w:t xml:space="preserve">ישיר, </w:t>
      </w:r>
      <w:bookmarkStart w:id="80701" w:name="_ETM_Q161_263910"/>
      <w:bookmarkEnd w:id="80701"/>
      <w:r>
        <w:rPr>
          <w:rFonts w:hint="cs"/>
          <w:rtl/>
        </w:rPr>
        <w:t xml:space="preserve">ללא </w:t>
      </w:r>
      <w:bookmarkStart w:id="80702" w:name="_ETM_Q161_264330"/>
      <w:bookmarkEnd w:id="80702"/>
      <w:r>
        <w:rPr>
          <w:rFonts w:hint="cs"/>
          <w:rtl/>
        </w:rPr>
        <w:t xml:space="preserve">צורך </w:t>
      </w:r>
      <w:bookmarkStart w:id="80703" w:name="_ETM_Q161_264900"/>
      <w:bookmarkEnd w:id="80703"/>
      <w:r>
        <w:rPr>
          <w:rFonts w:hint="cs"/>
          <w:rtl/>
        </w:rPr>
        <w:t xml:space="preserve">במתווכים, </w:t>
      </w:r>
      <w:bookmarkStart w:id="80704" w:name="_ETM_Q161_266610"/>
      <w:bookmarkEnd w:id="80704"/>
      <w:r>
        <w:rPr>
          <w:rFonts w:hint="cs"/>
          <w:rtl/>
        </w:rPr>
        <w:t xml:space="preserve">כדי </w:t>
      </w:r>
      <w:bookmarkStart w:id="80705" w:name="_ETM_Q161_267000"/>
      <w:bookmarkEnd w:id="80705"/>
      <w:r>
        <w:rPr>
          <w:rFonts w:hint="cs"/>
          <w:rtl/>
        </w:rPr>
        <w:t xml:space="preserve">להשיג </w:t>
      </w:r>
      <w:bookmarkStart w:id="80706" w:name="_ETM_Q161_267630"/>
      <w:bookmarkEnd w:id="80706"/>
      <w:r>
        <w:rPr>
          <w:rFonts w:hint="cs"/>
          <w:rtl/>
        </w:rPr>
        <w:t xml:space="preserve">הסכמה </w:t>
      </w:r>
      <w:bookmarkStart w:id="80707" w:name="_ETM_Q161_268980"/>
      <w:bookmarkEnd w:id="80707"/>
      <w:r>
        <w:rPr>
          <w:rFonts w:hint="cs"/>
          <w:rtl/>
        </w:rPr>
        <w:t xml:space="preserve">באשר </w:t>
      </w:r>
      <w:bookmarkStart w:id="80708" w:name="_ETM_Q161_269670"/>
      <w:bookmarkEnd w:id="80708"/>
      <w:r>
        <w:rPr>
          <w:rFonts w:hint="cs"/>
          <w:rtl/>
        </w:rPr>
        <w:t xml:space="preserve">למכלול </w:t>
      </w:r>
      <w:bookmarkStart w:id="80709" w:name="_ETM_Q161_270480"/>
      <w:bookmarkEnd w:id="80709"/>
      <w:r>
        <w:rPr>
          <w:rFonts w:hint="cs"/>
          <w:rtl/>
        </w:rPr>
        <w:t xml:space="preserve">מרכיבי </w:t>
      </w:r>
      <w:bookmarkStart w:id="80710" w:name="_ETM_Q161_271170"/>
      <w:bookmarkEnd w:id="80710"/>
      <w:r>
        <w:rPr>
          <w:rFonts w:hint="cs"/>
          <w:rtl/>
        </w:rPr>
        <w:t xml:space="preserve">הרפורמה. </w:t>
      </w:r>
      <w:bookmarkStart w:id="80711" w:name="_ETM_Q161_272869"/>
      <w:bookmarkEnd w:id="80711"/>
    </w:p>
    <w:p w:rsidR="00BB59CD" w:rsidRDefault="00BB59CD" w:rsidP="00BB59CD">
      <w:pPr>
        <w:rPr>
          <w:rtl/>
        </w:rPr>
      </w:pPr>
      <w:bookmarkStart w:id="80712" w:name="_ETM_Q161_272606"/>
      <w:bookmarkStart w:id="80713" w:name="_ETM_Q161_272660"/>
      <w:bookmarkEnd w:id="80712"/>
      <w:bookmarkEnd w:id="80713"/>
    </w:p>
    <w:p w:rsidR="00BB59CD" w:rsidRDefault="00BB59CD" w:rsidP="00BB59CD">
      <w:pPr>
        <w:rPr>
          <w:rtl/>
        </w:rPr>
      </w:pPr>
      <w:bookmarkStart w:id="80714" w:name="_ETM_Q161_272714"/>
      <w:bookmarkStart w:id="80715" w:name="_ETM_Q161_272767"/>
      <w:bookmarkEnd w:id="80714"/>
      <w:bookmarkEnd w:id="80715"/>
      <w:r>
        <w:rPr>
          <w:rFonts w:hint="cs"/>
          <w:rtl/>
        </w:rPr>
        <w:t xml:space="preserve">דלתי </w:t>
      </w:r>
      <w:bookmarkStart w:id="80716" w:name="_ETM_Q161_273499"/>
      <w:bookmarkEnd w:id="80716"/>
      <w:r>
        <w:rPr>
          <w:rFonts w:hint="cs"/>
          <w:rtl/>
        </w:rPr>
        <w:t xml:space="preserve">הייתה </w:t>
      </w:r>
      <w:bookmarkStart w:id="80717" w:name="_ETM_Q161_274950"/>
      <w:bookmarkEnd w:id="80717"/>
      <w:r>
        <w:rPr>
          <w:rFonts w:hint="cs"/>
          <w:rtl/>
        </w:rPr>
        <w:t xml:space="preserve">– ותמיד תהיה </w:t>
      </w:r>
      <w:bookmarkStart w:id="80718" w:name="_ETM_Q161_276329"/>
      <w:bookmarkEnd w:id="80718"/>
      <w:r>
        <w:rPr>
          <w:rFonts w:hint="cs"/>
          <w:rtl/>
        </w:rPr>
        <w:t xml:space="preserve">ונשארה – </w:t>
      </w:r>
      <w:bookmarkStart w:id="80719" w:name="_ETM_Q161_277200"/>
      <w:bookmarkEnd w:id="80719"/>
      <w:r>
        <w:rPr>
          <w:rFonts w:hint="cs"/>
          <w:rtl/>
        </w:rPr>
        <w:t xml:space="preserve">פתוחה </w:t>
      </w:r>
      <w:bookmarkStart w:id="80720" w:name="_ETM_Q161_278399"/>
      <w:bookmarkEnd w:id="80720"/>
      <w:r>
        <w:rPr>
          <w:rFonts w:hint="cs"/>
          <w:rtl/>
        </w:rPr>
        <w:t xml:space="preserve">לרווחה. </w:t>
      </w:r>
      <w:bookmarkStart w:id="80721" w:name="_ETM_Q161_280500"/>
      <w:bookmarkEnd w:id="80721"/>
      <w:r>
        <w:rPr>
          <w:rFonts w:hint="cs"/>
          <w:rtl/>
        </w:rPr>
        <w:t xml:space="preserve">אני </w:t>
      </w:r>
      <w:bookmarkStart w:id="80722" w:name="_ETM_Q161_280890"/>
      <w:bookmarkEnd w:id="80722"/>
      <w:r>
        <w:rPr>
          <w:rFonts w:hint="cs"/>
          <w:rtl/>
        </w:rPr>
        <w:t xml:space="preserve">שב </w:t>
      </w:r>
      <w:bookmarkStart w:id="80723" w:name="_ETM_Q161_281250"/>
      <w:bookmarkEnd w:id="80723"/>
      <w:r>
        <w:rPr>
          <w:rFonts w:hint="cs"/>
          <w:rtl/>
        </w:rPr>
        <w:t xml:space="preserve">וקורא </w:t>
      </w:r>
      <w:bookmarkStart w:id="80724" w:name="_ETM_Q161_282510"/>
      <w:bookmarkEnd w:id="80724"/>
      <w:r>
        <w:rPr>
          <w:rFonts w:hint="cs"/>
          <w:rtl/>
        </w:rPr>
        <w:t>ליושב-</w:t>
      </w:r>
      <w:bookmarkStart w:id="80725" w:name="_ETM_Q161_283020"/>
      <w:bookmarkEnd w:id="80725"/>
      <w:r>
        <w:rPr>
          <w:rFonts w:hint="cs"/>
          <w:rtl/>
        </w:rPr>
        <w:t xml:space="preserve">ראש </w:t>
      </w:r>
      <w:bookmarkStart w:id="80726" w:name="_ETM_Q161_283290"/>
      <w:bookmarkEnd w:id="80726"/>
      <w:r>
        <w:rPr>
          <w:rFonts w:hint="cs"/>
          <w:rtl/>
        </w:rPr>
        <w:t xml:space="preserve">האופוזיציה </w:t>
      </w:r>
      <w:bookmarkStart w:id="80727" w:name="_ETM_Q161_284160"/>
      <w:bookmarkEnd w:id="80727"/>
      <w:r>
        <w:rPr>
          <w:rFonts w:hint="cs"/>
          <w:rtl/>
        </w:rPr>
        <w:t xml:space="preserve">יאיר </w:t>
      </w:r>
      <w:bookmarkStart w:id="80728" w:name="_ETM_Q161_284520"/>
      <w:bookmarkEnd w:id="80728"/>
      <w:r>
        <w:rPr>
          <w:rFonts w:hint="cs"/>
          <w:rtl/>
        </w:rPr>
        <w:t xml:space="preserve">לפיד, </w:t>
      </w:r>
      <w:bookmarkStart w:id="80729" w:name="_ETM_Q161_285759"/>
      <w:bookmarkEnd w:id="80729"/>
      <w:r>
        <w:rPr>
          <w:rFonts w:hint="cs"/>
          <w:rtl/>
        </w:rPr>
        <w:t xml:space="preserve">לחבר </w:t>
      </w:r>
      <w:bookmarkStart w:id="80730" w:name="_ETM_Q161_286270"/>
      <w:bookmarkEnd w:id="80730"/>
      <w:r>
        <w:rPr>
          <w:rFonts w:hint="cs"/>
          <w:rtl/>
        </w:rPr>
        <w:t xml:space="preserve">הכנסת </w:t>
      </w:r>
      <w:bookmarkStart w:id="80731" w:name="_ETM_Q161_286810"/>
      <w:bookmarkEnd w:id="80731"/>
      <w:r>
        <w:rPr>
          <w:rFonts w:hint="cs"/>
          <w:rtl/>
        </w:rPr>
        <w:t xml:space="preserve">בני </w:t>
      </w:r>
      <w:bookmarkStart w:id="80732" w:name="_ETM_Q161_287139"/>
      <w:bookmarkEnd w:id="80732"/>
      <w:r>
        <w:rPr>
          <w:rFonts w:hint="cs"/>
          <w:rtl/>
        </w:rPr>
        <w:t xml:space="preserve">גנץ </w:t>
      </w:r>
      <w:bookmarkStart w:id="80733" w:name="_ETM_Q161_288330"/>
      <w:bookmarkEnd w:id="80733"/>
      <w:r>
        <w:rPr>
          <w:rFonts w:hint="cs"/>
          <w:rtl/>
        </w:rPr>
        <w:t xml:space="preserve">ולכל אחת ואחד מראשי סיעות האופוזיציה: יש בפנינו פגרה ארוכה, בואו ננצל אותה. </w:t>
      </w:r>
    </w:p>
    <w:p w:rsidR="00BB59CD" w:rsidRDefault="00BB59CD" w:rsidP="00BB59CD">
      <w:pPr>
        <w:rPr>
          <w:rtl/>
        </w:rPr>
      </w:pPr>
      <w:bookmarkStart w:id="80734" w:name="_ETM_Q161_303545"/>
      <w:bookmarkStart w:id="80735" w:name="_ETM_Q161_303613"/>
      <w:bookmarkStart w:id="80736" w:name="_ETM_Q161_303729"/>
      <w:bookmarkEnd w:id="80734"/>
      <w:bookmarkEnd w:id="80735"/>
      <w:bookmarkEnd w:id="80736"/>
    </w:p>
    <w:p w:rsidR="00BB59CD" w:rsidRDefault="00BB59CD" w:rsidP="00BB59CD">
      <w:pPr>
        <w:pStyle w:val="af8"/>
        <w:keepNext/>
        <w:rPr>
          <w:rtl/>
        </w:rPr>
      </w:pPr>
      <w:bookmarkStart w:id="80737" w:name="ET_interruption_5109_13"/>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80737"/>
    </w:p>
    <w:p w:rsidR="00BB59CD" w:rsidRDefault="00BB59CD" w:rsidP="00337201">
      <w:pPr>
        <w:rPr>
          <w:rtl/>
        </w:rPr>
      </w:pPr>
    </w:p>
    <w:p w:rsidR="00BB59CD" w:rsidRDefault="00BB59CD" w:rsidP="00BB59CD">
      <w:pPr>
        <w:rPr>
          <w:rtl/>
        </w:rPr>
      </w:pPr>
      <w:r>
        <w:rPr>
          <w:rFonts w:hint="cs"/>
          <w:rtl/>
        </w:rPr>
        <w:t>אז תעצור. אל תעשה הצגות, זו קריאה שהיא צביעות.</w:t>
      </w:r>
    </w:p>
    <w:p w:rsidR="00BB59CD" w:rsidRDefault="00BB59CD" w:rsidP="00BB59CD">
      <w:pPr>
        <w:rPr>
          <w:rtl/>
        </w:rPr>
      </w:pPr>
    </w:p>
    <w:p w:rsidR="00BB59CD" w:rsidRDefault="00BB59CD" w:rsidP="00BB59CD">
      <w:pPr>
        <w:pStyle w:val="-"/>
        <w:keepNext/>
        <w:rPr>
          <w:rtl/>
        </w:rPr>
      </w:pPr>
      <w:bookmarkStart w:id="80738" w:name="ET_speakercontinue_6392_14"/>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80738"/>
    </w:p>
    <w:p w:rsidR="00BB59CD" w:rsidRDefault="00BB59CD" w:rsidP="00337201">
      <w:pPr>
        <w:rPr>
          <w:rtl/>
        </w:rPr>
      </w:pPr>
    </w:p>
    <w:p w:rsidR="00BB59CD" w:rsidRDefault="00BB59CD" w:rsidP="00BB59CD">
      <w:pPr>
        <w:rPr>
          <w:rtl/>
        </w:rPr>
      </w:pPr>
      <w:r>
        <w:rPr>
          <w:rFonts w:hint="cs"/>
          <w:rtl/>
        </w:rPr>
        <w:t>אדוני היושב-ראש</w:t>
      </w:r>
      <w:bookmarkStart w:id="80739" w:name="_ETM_Q161_307600"/>
      <w:bookmarkEnd w:id="80739"/>
      <w:r>
        <w:rPr>
          <w:rFonts w:hint="cs"/>
          <w:rtl/>
        </w:rPr>
        <w:t xml:space="preserve">, זו הזדמנות לומר כמה מילים גם לחבריי בקואליציה ולרוב אזרחי ישראל, אשר נתנו, וממשיכים לתת, לנו גיבוי ותמיכה מרגשים, במאמץ המשותף שלנו לתקן עוולות ארוכות </w:t>
      </w:r>
      <w:bookmarkStart w:id="80740" w:name="_ETM_Q161_322542"/>
      <w:bookmarkEnd w:id="80740"/>
      <w:r>
        <w:rPr>
          <w:rFonts w:hint="cs"/>
          <w:rtl/>
        </w:rPr>
        <w:t xml:space="preserve">שנים. אנחנו עושים היום צעד ראשון וחשוב בכיוון הנכון. </w:t>
      </w:r>
      <w:bookmarkStart w:id="80741" w:name="_ETM_Q161_330861"/>
      <w:bookmarkEnd w:id="80741"/>
      <w:r>
        <w:rPr>
          <w:rFonts w:hint="cs"/>
          <w:rtl/>
        </w:rPr>
        <w:t xml:space="preserve">יש לכל אחת ואחד מכן חלק חשוב בשינוי </w:t>
      </w:r>
      <w:bookmarkStart w:id="80742" w:name="_ETM_Q161_337655"/>
      <w:bookmarkEnd w:id="80742"/>
      <w:r>
        <w:rPr>
          <w:rFonts w:hint="cs"/>
          <w:rtl/>
        </w:rPr>
        <w:t xml:space="preserve">שייחלנו לו שנים רבות, ושאני מקווה שבתום ההצבעה ייכתב היום </w:t>
      </w:r>
      <w:bookmarkStart w:id="80743" w:name="_ETM_Q161_346482"/>
      <w:bookmarkEnd w:id="80743"/>
      <w:r>
        <w:rPr>
          <w:rFonts w:hint="cs"/>
          <w:rtl/>
        </w:rPr>
        <w:t xml:space="preserve">בספר החוקים של מדינת ישראל. חברות וחברי הכנסת, אני קורא </w:t>
      </w:r>
      <w:bookmarkStart w:id="80744" w:name="_ETM_Q161_352553"/>
      <w:bookmarkEnd w:id="80744"/>
      <w:r>
        <w:rPr>
          <w:rFonts w:hint="cs"/>
          <w:rtl/>
        </w:rPr>
        <w:t xml:space="preserve">לכם להצביע בעד הצעת החוק; אני קורא לכם להצביע </w:t>
      </w:r>
      <w:bookmarkStart w:id="80745" w:name="_ETM_Q161_360234"/>
      <w:bookmarkEnd w:id="80745"/>
      <w:r>
        <w:rPr>
          <w:rFonts w:hint="cs"/>
          <w:rtl/>
        </w:rPr>
        <w:t>היום בעד הדמוקרטיה, תודה רבה.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תודה רבה לשר לוין, וכ</w:t>
      </w:r>
      <w:bookmarkStart w:id="80746" w:name="_ETM_Q161_364725"/>
      <w:bookmarkEnd w:id="80746"/>
      <w:r>
        <w:rPr>
          <w:rFonts w:hint="cs"/>
          <w:rtl/>
        </w:rPr>
        <w:t xml:space="preserve">עת יעלה ויבוא יושב-ראש ועדת החוקה, חוק ומשפט, חבר </w:t>
      </w:r>
      <w:bookmarkStart w:id="80747" w:name="_ETM_Q161_368050"/>
      <w:bookmarkEnd w:id="80747"/>
      <w:r>
        <w:rPr>
          <w:rFonts w:hint="cs"/>
          <w:rtl/>
        </w:rPr>
        <w:t>הכנסת שמחה רוטמן. לאחר שיסיים את דבריו אנחנו נעב</w:t>
      </w:r>
      <w:bookmarkStart w:id="80748" w:name="_ETM_Q161_372826"/>
      <w:bookmarkEnd w:id="80748"/>
      <w:r>
        <w:rPr>
          <w:rFonts w:hint="cs"/>
          <w:rtl/>
        </w:rPr>
        <w:t xml:space="preserve">ור להצבעות. </w:t>
      </w:r>
    </w:p>
    <w:p w:rsidR="00BB59CD" w:rsidRDefault="00BB59CD" w:rsidP="00BB59CD">
      <w:pPr>
        <w:rPr>
          <w:rtl/>
        </w:rPr>
      </w:pPr>
      <w:bookmarkStart w:id="80749" w:name="_ETM_Q161_375195"/>
      <w:bookmarkStart w:id="80750" w:name="_ETM_Q161_375305"/>
      <w:bookmarkEnd w:id="80749"/>
      <w:bookmarkEnd w:id="80750"/>
    </w:p>
    <w:p w:rsidR="00BB59CD" w:rsidRDefault="00BB59CD" w:rsidP="00BB59CD">
      <w:pPr>
        <w:pStyle w:val="a5"/>
        <w:keepNext/>
        <w:rPr>
          <w:rtl/>
        </w:rPr>
      </w:pPr>
      <w:bookmarkStart w:id="80751" w:name="_ETM_Q161_375427"/>
      <w:bookmarkStart w:id="80752" w:name="_ETM_Q161_375502"/>
      <w:bookmarkStart w:id="80753" w:name="ET_speaker_6464_16"/>
      <w:bookmarkEnd w:id="80751"/>
      <w:bookmarkEnd w:id="80752"/>
      <w:r>
        <w:rPr>
          <w:rStyle w:val="TagStyle"/>
          <w:rFonts w:hint="cs"/>
          <w:rtl/>
        </w:rPr>
        <w:t xml:space="preserve">&lt;&lt; דובר &gt;&gt; </w:t>
      </w:r>
      <w:bookmarkStart w:id="80754" w:name="_Toc141197204"/>
      <w:bookmarkStart w:id="80755" w:name="_Toc141196940"/>
      <w:r>
        <w:rPr>
          <w:rFonts w:hint="cs"/>
          <w:rtl/>
        </w:rPr>
        <w:t>שמחה רוטמן (יו"ר ועדת החוקה, חוק ומשפט):</w:t>
      </w:r>
      <w:bookmarkEnd w:id="80754"/>
      <w:bookmarkEnd w:id="80755"/>
      <w:r>
        <w:rPr>
          <w:rStyle w:val="TagStyle"/>
          <w:rFonts w:hint="cs"/>
          <w:rtl/>
        </w:rPr>
        <w:t xml:space="preserve"> &lt;&lt; דובר &gt;&gt;</w:t>
      </w:r>
      <w:r>
        <w:rPr>
          <w:rFonts w:hint="cs"/>
          <w:rtl/>
        </w:rPr>
        <w:t xml:space="preserve"> </w:t>
      </w:r>
      <w:bookmarkEnd w:id="80753"/>
    </w:p>
    <w:p w:rsidR="00BB59CD" w:rsidRDefault="00BB59CD" w:rsidP="00337201">
      <w:pPr>
        <w:rPr>
          <w:rtl/>
        </w:rPr>
      </w:pPr>
    </w:p>
    <w:p w:rsidR="00BB59CD" w:rsidRDefault="00BB59CD" w:rsidP="00BB59CD">
      <w:pPr>
        <w:rPr>
          <w:rtl/>
        </w:rPr>
      </w:pPr>
      <w:bookmarkStart w:id="80756" w:name="_ETM_Q161_388179"/>
      <w:bookmarkEnd w:id="80756"/>
      <w:r>
        <w:rPr>
          <w:rFonts w:hint="cs"/>
          <w:rtl/>
        </w:rPr>
        <w:t xml:space="preserve">תודה רבה, אדוני היושב-ראש. כנסת נכבדה, חבריי חברי הכנסת. </w:t>
      </w:r>
      <w:bookmarkStart w:id="80757" w:name="_ETM_Q161_303784"/>
      <w:bookmarkStart w:id="80758" w:name="_ETM_Q161_397599"/>
      <w:bookmarkEnd w:id="80757"/>
      <w:bookmarkEnd w:id="80758"/>
      <w:r>
        <w:rPr>
          <w:rFonts w:hint="cs"/>
          <w:rtl/>
        </w:rPr>
        <w:t xml:space="preserve">תודה רבה לידידי </w:t>
      </w:r>
      <w:bookmarkStart w:id="80759" w:name="_ETM_Q161_398079"/>
      <w:bookmarkEnd w:id="80759"/>
      <w:r>
        <w:rPr>
          <w:rFonts w:hint="cs"/>
          <w:rtl/>
        </w:rPr>
        <w:t xml:space="preserve">ורעי, </w:t>
      </w:r>
      <w:bookmarkStart w:id="80760" w:name="_ETM_Q161_398799"/>
      <w:bookmarkEnd w:id="80760"/>
      <w:r>
        <w:rPr>
          <w:rFonts w:hint="cs"/>
          <w:rtl/>
        </w:rPr>
        <w:t xml:space="preserve">שר </w:t>
      </w:r>
      <w:bookmarkStart w:id="80761" w:name="_ETM_Q161_399069"/>
      <w:bookmarkEnd w:id="80761"/>
      <w:r>
        <w:rPr>
          <w:rFonts w:hint="cs"/>
          <w:rtl/>
        </w:rPr>
        <w:t xml:space="preserve">המשפטים </w:t>
      </w:r>
      <w:bookmarkStart w:id="80762" w:name="_ETM_Q161_399760"/>
      <w:bookmarkEnd w:id="80762"/>
      <w:r>
        <w:rPr>
          <w:rFonts w:hint="cs"/>
          <w:rtl/>
        </w:rPr>
        <w:t xml:space="preserve">וסגן </w:t>
      </w:r>
      <w:bookmarkStart w:id="80763" w:name="_ETM_Q161_400030"/>
      <w:bookmarkEnd w:id="80763"/>
      <w:r>
        <w:rPr>
          <w:rFonts w:hint="cs"/>
          <w:rtl/>
        </w:rPr>
        <w:t xml:space="preserve">ראש </w:t>
      </w:r>
      <w:bookmarkStart w:id="80764" w:name="_ETM_Q161_400239"/>
      <w:bookmarkEnd w:id="80764"/>
      <w:r>
        <w:rPr>
          <w:rFonts w:hint="cs"/>
          <w:rtl/>
        </w:rPr>
        <w:t xml:space="preserve">הממשלה, </w:t>
      </w:r>
      <w:bookmarkStart w:id="80765" w:name="_ETM_Q161_400810"/>
      <w:bookmarkEnd w:id="80765"/>
      <w:r>
        <w:rPr>
          <w:rFonts w:hint="cs"/>
          <w:rtl/>
        </w:rPr>
        <w:t xml:space="preserve">חבר </w:t>
      </w:r>
      <w:bookmarkStart w:id="80766" w:name="_ETM_Q161_401109"/>
      <w:bookmarkEnd w:id="80766"/>
      <w:r>
        <w:rPr>
          <w:rFonts w:hint="cs"/>
          <w:rtl/>
        </w:rPr>
        <w:t xml:space="preserve">הכנסת </w:t>
      </w:r>
      <w:bookmarkStart w:id="80767" w:name="_ETM_Q161_401500"/>
      <w:bookmarkEnd w:id="80767"/>
      <w:r>
        <w:rPr>
          <w:rFonts w:hint="cs"/>
          <w:rtl/>
        </w:rPr>
        <w:t xml:space="preserve">יריב </w:t>
      </w:r>
      <w:bookmarkStart w:id="80768" w:name="_ETM_Q161_401829"/>
      <w:bookmarkEnd w:id="80768"/>
      <w:r>
        <w:rPr>
          <w:rFonts w:hint="cs"/>
          <w:rtl/>
        </w:rPr>
        <w:t xml:space="preserve">לוין, </w:t>
      </w:r>
      <w:bookmarkStart w:id="80769" w:name="_ETM_Q161_403099"/>
      <w:bookmarkEnd w:id="80769"/>
      <w:r>
        <w:rPr>
          <w:rFonts w:hint="cs"/>
          <w:rtl/>
        </w:rPr>
        <w:t xml:space="preserve">על </w:t>
      </w:r>
      <w:bookmarkStart w:id="80770" w:name="_ETM_Q161_403250"/>
      <w:bookmarkEnd w:id="80770"/>
      <w:r>
        <w:rPr>
          <w:rFonts w:hint="cs"/>
          <w:rtl/>
        </w:rPr>
        <w:t xml:space="preserve">דבריו </w:t>
      </w:r>
      <w:bookmarkStart w:id="80771" w:name="_ETM_Q161_404530"/>
      <w:bookmarkEnd w:id="80771"/>
      <w:r>
        <w:rPr>
          <w:rFonts w:hint="cs"/>
          <w:rtl/>
        </w:rPr>
        <w:t xml:space="preserve">ובכלל </w:t>
      </w:r>
      <w:bookmarkStart w:id="80772" w:name="_ETM_Q161_405190"/>
      <w:bookmarkEnd w:id="80772"/>
      <w:r>
        <w:rPr>
          <w:rFonts w:hint="cs"/>
          <w:rtl/>
        </w:rPr>
        <w:t xml:space="preserve">על </w:t>
      </w:r>
      <w:bookmarkStart w:id="80773" w:name="_ETM_Q161_405580"/>
      <w:bookmarkEnd w:id="80773"/>
      <w:r>
        <w:rPr>
          <w:rFonts w:hint="cs"/>
          <w:rtl/>
        </w:rPr>
        <w:t xml:space="preserve">הליווי </w:t>
      </w:r>
      <w:bookmarkStart w:id="80774" w:name="_ETM_Q161_406780"/>
      <w:bookmarkEnd w:id="80774"/>
      <w:r>
        <w:rPr>
          <w:rFonts w:hint="cs"/>
          <w:rtl/>
        </w:rPr>
        <w:t xml:space="preserve">לכל </w:t>
      </w:r>
      <w:bookmarkStart w:id="80775" w:name="_ETM_Q161_408560"/>
      <w:bookmarkStart w:id="80776" w:name="_ETM_Q161_409010"/>
      <w:bookmarkEnd w:id="80775"/>
      <w:bookmarkEnd w:id="80776"/>
      <w:r>
        <w:rPr>
          <w:rFonts w:hint="cs"/>
          <w:rtl/>
        </w:rPr>
        <w:t xml:space="preserve">אורך </w:t>
      </w:r>
      <w:bookmarkStart w:id="80777" w:name="_ETM_Q161_409310"/>
      <w:bookmarkEnd w:id="80777"/>
      <w:r>
        <w:rPr>
          <w:rFonts w:hint="cs"/>
          <w:rtl/>
        </w:rPr>
        <w:t xml:space="preserve">הדרך. </w:t>
      </w:r>
      <w:bookmarkStart w:id="80778" w:name="_ETM_Q161_410480"/>
      <w:bookmarkStart w:id="80779" w:name="_ETM_Q161_411019"/>
      <w:bookmarkEnd w:id="80778"/>
      <w:bookmarkEnd w:id="80779"/>
      <w:r>
        <w:rPr>
          <w:rFonts w:hint="cs"/>
          <w:rtl/>
        </w:rPr>
        <w:t xml:space="preserve">עוד </w:t>
      </w:r>
      <w:bookmarkStart w:id="80780" w:name="_ETM_Q161_411230"/>
      <w:bookmarkEnd w:id="80780"/>
      <w:r>
        <w:rPr>
          <w:rFonts w:hint="cs"/>
          <w:rtl/>
        </w:rPr>
        <w:t xml:space="preserve">לפני </w:t>
      </w:r>
      <w:bookmarkStart w:id="80781" w:name="_ETM_Q161_411860"/>
      <w:bookmarkEnd w:id="80781"/>
      <w:r>
        <w:rPr>
          <w:rFonts w:hint="cs"/>
          <w:rtl/>
        </w:rPr>
        <w:t xml:space="preserve">שאקבל </w:t>
      </w:r>
      <w:bookmarkStart w:id="80782" w:name="_ETM_Q161_412459"/>
      <w:bookmarkEnd w:id="80782"/>
      <w:r>
        <w:rPr>
          <w:rFonts w:hint="cs"/>
          <w:rtl/>
        </w:rPr>
        <w:t xml:space="preserve">את </w:t>
      </w:r>
      <w:bookmarkStart w:id="80783" w:name="_ETM_Q161_412640"/>
      <w:bookmarkEnd w:id="80783"/>
      <w:r>
        <w:rPr>
          <w:rFonts w:hint="cs"/>
          <w:rtl/>
        </w:rPr>
        <w:t xml:space="preserve">הסימון, אני </w:t>
      </w:r>
      <w:bookmarkStart w:id="80784" w:name="_ETM_Q161_410659"/>
      <w:bookmarkEnd w:id="80784"/>
      <w:r>
        <w:rPr>
          <w:rFonts w:hint="cs"/>
          <w:rtl/>
        </w:rPr>
        <w:t xml:space="preserve">רוצה, </w:t>
      </w:r>
      <w:bookmarkStart w:id="80785" w:name="_ETM_Q161_414500"/>
      <w:bookmarkEnd w:id="80785"/>
      <w:r>
        <w:rPr>
          <w:rFonts w:hint="cs"/>
          <w:rtl/>
        </w:rPr>
        <w:t xml:space="preserve">אדוני </w:t>
      </w:r>
      <w:bookmarkStart w:id="80786" w:name="_ETM_Q161_414830"/>
      <w:bookmarkEnd w:id="80786"/>
      <w:r>
        <w:rPr>
          <w:rFonts w:hint="cs"/>
          <w:rtl/>
        </w:rPr>
        <w:t xml:space="preserve">היושב-ראש, </w:t>
      </w:r>
      <w:bookmarkStart w:id="80787" w:name="_ETM_Q161_415250"/>
      <w:bookmarkEnd w:id="80787"/>
      <w:r>
        <w:rPr>
          <w:rFonts w:hint="cs"/>
          <w:rtl/>
        </w:rPr>
        <w:t xml:space="preserve">כפי </w:t>
      </w:r>
      <w:bookmarkStart w:id="80788" w:name="_ETM_Q161_415519"/>
      <w:bookmarkEnd w:id="80788"/>
      <w:r>
        <w:rPr>
          <w:rFonts w:hint="cs"/>
          <w:rtl/>
        </w:rPr>
        <w:t xml:space="preserve">שאתה </w:t>
      </w:r>
      <w:bookmarkStart w:id="80789" w:name="_ETM_Q161_415819"/>
      <w:bookmarkEnd w:id="80789"/>
      <w:r>
        <w:rPr>
          <w:rFonts w:hint="cs"/>
          <w:rtl/>
        </w:rPr>
        <w:t xml:space="preserve">יודע </w:t>
      </w:r>
      <w:bookmarkStart w:id="80790" w:name="_ETM_Q161_416800"/>
      <w:bookmarkEnd w:id="80790"/>
      <w:r>
        <w:rPr>
          <w:rFonts w:hint="cs"/>
          <w:rtl/>
        </w:rPr>
        <w:t xml:space="preserve">יש </w:t>
      </w:r>
      <w:bookmarkStart w:id="80791" w:name="_ETM_Q161_417819"/>
      <w:bookmarkEnd w:id="80791"/>
      <w:r>
        <w:rPr>
          <w:rFonts w:hint="cs"/>
          <w:rtl/>
        </w:rPr>
        <w:t xml:space="preserve">סולם </w:t>
      </w:r>
      <w:bookmarkStart w:id="80792" w:name="_ETM_Q161_418239"/>
      <w:bookmarkEnd w:id="80792"/>
      <w:r>
        <w:rPr>
          <w:rFonts w:hint="cs"/>
          <w:rtl/>
        </w:rPr>
        <w:t xml:space="preserve">נורמטיבי </w:t>
      </w:r>
      <w:bookmarkStart w:id="80793" w:name="_ETM_Q161_419489"/>
      <w:bookmarkEnd w:id="80793"/>
      <w:r>
        <w:rPr>
          <w:rFonts w:hint="cs"/>
          <w:rtl/>
        </w:rPr>
        <w:t xml:space="preserve">במדינת </w:t>
      </w:r>
      <w:bookmarkStart w:id="80794" w:name="_ETM_Q161_419999"/>
      <w:bookmarkEnd w:id="80794"/>
      <w:r>
        <w:rPr>
          <w:rFonts w:hint="cs"/>
          <w:rtl/>
        </w:rPr>
        <w:t xml:space="preserve">ישראל, </w:t>
      </w:r>
      <w:bookmarkStart w:id="80795" w:name="_ETM_Q161_421010"/>
      <w:bookmarkEnd w:id="80795"/>
      <w:r>
        <w:rPr>
          <w:rFonts w:hint="cs"/>
          <w:rtl/>
        </w:rPr>
        <w:t xml:space="preserve">ויש </w:t>
      </w:r>
      <w:bookmarkStart w:id="80796" w:name="_ETM_Q161_421370"/>
      <w:bookmarkEnd w:id="80796"/>
      <w:r>
        <w:rPr>
          <w:rFonts w:hint="cs"/>
          <w:rtl/>
        </w:rPr>
        <w:t xml:space="preserve">רק </w:t>
      </w:r>
      <w:bookmarkStart w:id="80797" w:name="_ETM_Q161_421580"/>
      <w:bookmarkEnd w:id="80797"/>
      <w:r>
        <w:rPr>
          <w:rFonts w:hint="cs"/>
          <w:rtl/>
        </w:rPr>
        <w:t xml:space="preserve">דבר </w:t>
      </w:r>
      <w:bookmarkStart w:id="80798" w:name="_ETM_Q161_421910"/>
      <w:bookmarkEnd w:id="80798"/>
      <w:r>
        <w:rPr>
          <w:rFonts w:hint="cs"/>
          <w:rtl/>
        </w:rPr>
        <w:t>אחד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עליזה מעל.</w:t>
      </w:r>
    </w:p>
    <w:p w:rsidR="00BB59CD" w:rsidRDefault="00BB59CD" w:rsidP="00BB59CD">
      <w:pPr>
        <w:rPr>
          <w:rtl/>
        </w:rPr>
      </w:pPr>
    </w:p>
    <w:p w:rsidR="00BB59CD" w:rsidRDefault="00BB59CD" w:rsidP="00BB59CD">
      <w:pPr>
        <w:pStyle w:val="-"/>
        <w:keepNext/>
        <w:rPr>
          <w:rtl/>
        </w:rPr>
      </w:pPr>
      <w:bookmarkStart w:id="80799" w:name="ET_speakercontinue_6464_18"/>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0799"/>
    </w:p>
    <w:p w:rsidR="00BB59CD" w:rsidRDefault="00BB59CD" w:rsidP="00337201">
      <w:pPr>
        <w:rPr>
          <w:rtl/>
        </w:rPr>
      </w:pPr>
    </w:p>
    <w:p w:rsidR="00BB59CD" w:rsidRDefault="00BB59CD" w:rsidP="00CB7C6D">
      <w:pPr>
        <w:rPr>
          <w:rtl/>
        </w:rPr>
      </w:pPr>
      <w:r>
        <w:rPr>
          <w:rFonts w:hint="cs"/>
          <w:rtl/>
        </w:rPr>
        <w:t>בדיוק</w:t>
      </w:r>
      <w:r w:rsidR="00CB7C6D">
        <w:rPr>
          <w:rFonts w:hint="cs"/>
          <w:rtl/>
        </w:rPr>
        <w:t>.</w:t>
      </w:r>
      <w:r>
        <w:rPr>
          <w:rFonts w:hint="cs"/>
          <w:rtl/>
        </w:rPr>
        <w:t xml:space="preserve"> יש רק </w:t>
      </w:r>
      <w:bookmarkStart w:id="80800" w:name="_ETM_Q161_421449"/>
      <w:bookmarkEnd w:id="80800"/>
      <w:r>
        <w:rPr>
          <w:rFonts w:hint="cs"/>
          <w:rtl/>
        </w:rPr>
        <w:t xml:space="preserve">דבר אחד שיכול לעצור חופש ביטוי של חבר הכנסת המדבר </w:t>
      </w:r>
      <w:bookmarkStart w:id="80801" w:name="_ETM_Q161_429216"/>
      <w:bookmarkEnd w:id="80801"/>
      <w:r>
        <w:rPr>
          <w:rFonts w:hint="cs"/>
          <w:rtl/>
        </w:rPr>
        <w:t xml:space="preserve">על הדוכן וזוהי חברת הכנסת ה-121, חברת הכנסת עליזה </w:t>
      </w:r>
      <w:bookmarkStart w:id="80802" w:name="_ETM_Q161_432968"/>
      <w:bookmarkEnd w:id="80802"/>
      <w:r>
        <w:rPr>
          <w:rFonts w:hint="cs"/>
          <w:rtl/>
        </w:rPr>
        <w:t xml:space="preserve">בראשי. כל זמן שלא אקבל את האות מהסולם הנורמטיבי העליון, </w:t>
      </w:r>
      <w:bookmarkStart w:id="80803" w:name="_ETM_Q161_443877"/>
      <w:bookmarkEnd w:id="80803"/>
      <w:r>
        <w:rPr>
          <w:rFonts w:hint="cs"/>
          <w:rtl/>
        </w:rPr>
        <w:t xml:space="preserve">אגיד את דבריי. </w:t>
      </w:r>
    </w:p>
    <w:p w:rsidR="00BB59CD" w:rsidRDefault="00BB59CD" w:rsidP="00BB59CD">
      <w:pPr>
        <w:rPr>
          <w:rtl/>
        </w:rPr>
      </w:pPr>
      <w:bookmarkStart w:id="80804" w:name="_ETM_Q161_447571"/>
      <w:bookmarkStart w:id="80805" w:name="_ETM_Q161_447620"/>
      <w:bookmarkEnd w:id="80804"/>
      <w:bookmarkEnd w:id="80805"/>
    </w:p>
    <w:p w:rsidR="00BB59CD" w:rsidRDefault="00BB59CD" w:rsidP="00BB59CD">
      <w:pPr>
        <w:rPr>
          <w:rtl/>
        </w:rPr>
      </w:pPr>
      <w:bookmarkStart w:id="80806" w:name="_ETM_Q161_447705"/>
      <w:bookmarkStart w:id="80807" w:name="_ETM_Q161_447749"/>
      <w:bookmarkEnd w:id="80806"/>
      <w:bookmarkEnd w:id="80807"/>
      <w:r>
        <w:rPr>
          <w:rFonts w:hint="cs"/>
          <w:rtl/>
        </w:rPr>
        <w:t xml:space="preserve">מאחר שיכול להיות שאקצר, אז יש </w:t>
      </w:r>
      <w:bookmarkStart w:id="80808" w:name="_ETM_Q161_450575"/>
      <w:bookmarkEnd w:id="80808"/>
      <w:r>
        <w:rPr>
          <w:rFonts w:hint="cs"/>
          <w:rtl/>
        </w:rPr>
        <w:t>דבר אחד שאין ברצוני לקצר בו, ואלו כמובן דברי הת</w:t>
      </w:r>
      <w:bookmarkStart w:id="80809" w:name="_ETM_Q161_460590"/>
      <w:bookmarkEnd w:id="80809"/>
      <w:r>
        <w:rPr>
          <w:rFonts w:hint="cs"/>
          <w:rtl/>
        </w:rPr>
        <w:t xml:space="preserve">ודה וההערכה לצוות הוועדה, לייעוץ המשפטי של הוועדה, </w:t>
      </w:r>
      <w:bookmarkStart w:id="80810" w:name="_ETM_Q161_462755"/>
      <w:bookmarkEnd w:id="80810"/>
      <w:r>
        <w:rPr>
          <w:rFonts w:hint="cs"/>
          <w:rtl/>
        </w:rPr>
        <w:t xml:space="preserve">לדוברת של הוועדה – רונית – שליוותה במשך </w:t>
      </w:r>
      <w:bookmarkStart w:id="80811" w:name="_ETM_Q161_471649"/>
      <w:bookmarkEnd w:id="80811"/>
      <w:r>
        <w:rPr>
          <w:rFonts w:hint="cs"/>
          <w:rtl/>
        </w:rPr>
        <w:t xml:space="preserve">שעות את דיוני הוועדה ולחלץ מכל כך הרבה שעות מסר ברור וחד, זה דבר שדורש תבונה בלתי רגילה והיא עשתה את המלאכה הזאת הרבה הרבה מעל המצופה – וזה לא שלא ציפינו ממנה מלכתחילה הרבה. לייעוץ המשפטי לוועדה – לגור – ולייעוץ המשפטי לכנסת. </w:t>
      </w:r>
      <w:bookmarkStart w:id="80812" w:name="_ETM_Q161_495595"/>
      <w:bookmarkEnd w:id="80812"/>
    </w:p>
    <w:p w:rsidR="00BB59CD" w:rsidRDefault="00BB59CD" w:rsidP="00BB59CD">
      <w:pPr>
        <w:rPr>
          <w:rtl/>
        </w:rPr>
      </w:pPr>
      <w:bookmarkStart w:id="80813" w:name="_ETM_Q161_495680"/>
      <w:bookmarkEnd w:id="80813"/>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לחברי הוועדה.</w:t>
      </w:r>
    </w:p>
    <w:p w:rsidR="00BB59CD" w:rsidRDefault="00BB59CD" w:rsidP="00BB59CD">
      <w:pPr>
        <w:rPr>
          <w:rtl/>
        </w:rPr>
      </w:pPr>
    </w:p>
    <w:p w:rsidR="00BB59CD" w:rsidRDefault="00BB59CD" w:rsidP="00BB59CD">
      <w:pPr>
        <w:pStyle w:val="-"/>
        <w:keepNext/>
        <w:rPr>
          <w:rtl/>
        </w:rPr>
      </w:pPr>
      <w:bookmarkStart w:id="80814" w:name="ET_speakercontinue_6464_20"/>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0814"/>
    </w:p>
    <w:p w:rsidR="00BB59CD" w:rsidRDefault="00BB59CD" w:rsidP="00337201">
      <w:pPr>
        <w:rPr>
          <w:rtl/>
        </w:rPr>
      </w:pPr>
    </w:p>
    <w:p w:rsidR="00BB59CD" w:rsidRDefault="00BB59CD" w:rsidP="00BB59CD">
      <w:pPr>
        <w:rPr>
          <w:rtl/>
        </w:rPr>
      </w:pPr>
      <w:r>
        <w:rPr>
          <w:rFonts w:hint="cs"/>
          <w:rtl/>
        </w:rPr>
        <w:t>לחברי הוועדה</w:t>
      </w:r>
      <w:bookmarkStart w:id="80815" w:name="_ETM_Q161_495896"/>
      <w:bookmarkEnd w:id="80815"/>
      <w:r>
        <w:rPr>
          <w:rFonts w:hint="cs"/>
          <w:rtl/>
        </w:rPr>
        <w:t xml:space="preserve">, שבאמצע גנבו מאיתנו את טלי. עד שלב מסוים טלי </w:t>
      </w:r>
      <w:bookmarkStart w:id="80816" w:name="_ETM_Q161_499737"/>
      <w:bookmarkEnd w:id="80816"/>
      <w:r>
        <w:rPr>
          <w:rFonts w:hint="cs"/>
          <w:rtl/>
        </w:rPr>
        <w:t>הייתה באירוע, באיזשהו שלב הוחלפה. כשתחזור נודה גם לה</w:t>
      </w:r>
      <w:bookmarkStart w:id="80817" w:name="_ETM_Q161_509927"/>
      <w:bookmarkEnd w:id="80817"/>
      <w:r>
        <w:rPr>
          <w:rFonts w:hint="cs"/>
          <w:rtl/>
        </w:rPr>
        <w:t xml:space="preserve">. לשאר חברי הוועדה ולכל העוסקים במלאכה. </w:t>
      </w:r>
    </w:p>
    <w:p w:rsidR="00BB59CD" w:rsidRDefault="00BB59CD" w:rsidP="00BB59CD">
      <w:pPr>
        <w:rPr>
          <w:rtl/>
        </w:rPr>
      </w:pPr>
      <w:bookmarkStart w:id="80818" w:name="_ETM_Q161_517742"/>
      <w:bookmarkStart w:id="80819" w:name="_ETM_Q161_517834"/>
      <w:bookmarkEnd w:id="80818"/>
      <w:bookmarkEnd w:id="80819"/>
    </w:p>
    <w:p w:rsidR="00BB59CD" w:rsidRDefault="00BB59CD" w:rsidP="00BB59CD">
      <w:pPr>
        <w:rPr>
          <w:rtl/>
        </w:rPr>
      </w:pPr>
      <w:bookmarkStart w:id="80820" w:name="_ETM_Q161_517942"/>
      <w:bookmarkStart w:id="80821" w:name="_ETM_Q161_518042"/>
      <w:bookmarkEnd w:id="80820"/>
      <w:bookmarkEnd w:id="80821"/>
      <w:r>
        <w:rPr>
          <w:rFonts w:hint="cs"/>
          <w:rtl/>
        </w:rPr>
        <w:t xml:space="preserve">אני רוצה </w:t>
      </w:r>
      <w:bookmarkStart w:id="80822" w:name="_ETM_Q161_520100"/>
      <w:bookmarkEnd w:id="80822"/>
      <w:r>
        <w:rPr>
          <w:rFonts w:hint="cs"/>
          <w:rtl/>
        </w:rPr>
        <w:t xml:space="preserve">להתייחס, אדוני היושב-ראש – לא </w:t>
      </w:r>
      <w:bookmarkStart w:id="80823" w:name="_ETM_Q161_518200"/>
      <w:bookmarkEnd w:id="80823"/>
      <w:r>
        <w:rPr>
          <w:rFonts w:hint="cs"/>
          <w:rtl/>
        </w:rPr>
        <w:t>רבים יודעים זאת – דברי חקיקה שנעשים, אפילו כאשר הם באים מטעם הצעות חוק פרטיות, אבל בוודאי ובוודאי כאשר מדובר בהצעה מטעם ועדה. את דברי ההסבר, אנחנו משתדלים לשים בצורה די רזה.</w:t>
      </w:r>
    </w:p>
    <w:p w:rsidR="00BB59CD" w:rsidRDefault="00BB59CD" w:rsidP="00BB59CD">
      <w:pPr>
        <w:rPr>
          <w:rtl/>
        </w:rPr>
      </w:pPr>
    </w:p>
    <w:p w:rsidR="00BB59CD" w:rsidRDefault="00BB59CD" w:rsidP="00BB59CD">
      <w:pPr>
        <w:pStyle w:val="af8"/>
        <w:keepNext/>
        <w:rPr>
          <w:rtl/>
        </w:rPr>
      </w:pPr>
      <w:bookmarkStart w:id="80824" w:name="ET_interruption_6162_21"/>
      <w:r>
        <w:rPr>
          <w:rStyle w:val="TagStyle"/>
          <w:rFonts w:hint="cs"/>
          <w:rtl/>
        </w:rPr>
        <w:t xml:space="preserve"> &lt;&lt; קריאה &gt;&gt; </w:t>
      </w:r>
      <w:r>
        <w:rPr>
          <w:rFonts w:hint="cs"/>
          <w:rtl/>
        </w:rPr>
        <w:t>ניסים ואטורי (הליכוד):</w:t>
      </w:r>
      <w:r>
        <w:rPr>
          <w:rStyle w:val="TagStyle"/>
          <w:rtl/>
        </w:rPr>
        <w:t xml:space="preserve"> &lt;&lt; קריאה &gt;&gt;</w:t>
      </w:r>
      <w:r>
        <w:rPr>
          <w:rFonts w:hint="cs"/>
          <w:rtl/>
        </w:rPr>
        <w:t xml:space="preserve"> </w:t>
      </w:r>
      <w:bookmarkEnd w:id="80824"/>
    </w:p>
    <w:p w:rsidR="00BB59CD" w:rsidRDefault="00BB59CD" w:rsidP="00337201">
      <w:pPr>
        <w:rPr>
          <w:rtl/>
        </w:rPr>
      </w:pPr>
    </w:p>
    <w:p w:rsidR="00BB59CD" w:rsidRDefault="00BB59CD" w:rsidP="00BB59CD">
      <w:pPr>
        <w:rPr>
          <w:rtl/>
        </w:rPr>
      </w:pPr>
      <w:r>
        <w:rPr>
          <w:rFonts w:hint="cs"/>
          <w:rtl/>
        </w:rPr>
        <w:t xml:space="preserve">הסדרנים, הסדרנים. </w:t>
      </w:r>
    </w:p>
    <w:p w:rsidR="00BB59CD" w:rsidRDefault="00BB59CD" w:rsidP="00BB59CD">
      <w:pPr>
        <w:rPr>
          <w:rtl/>
        </w:rPr>
      </w:pPr>
      <w:bookmarkStart w:id="80825" w:name="_ETM_Q161_535671"/>
      <w:bookmarkStart w:id="80826" w:name="_ETM_Q161_535763"/>
      <w:bookmarkEnd w:id="80825"/>
      <w:bookmarkEnd w:id="80826"/>
    </w:p>
    <w:p w:rsidR="00BB59CD" w:rsidRDefault="00BB59CD" w:rsidP="00BB59CD">
      <w:pPr>
        <w:pStyle w:val="-"/>
        <w:keepNext/>
        <w:rPr>
          <w:rtl/>
        </w:rPr>
      </w:pPr>
      <w:bookmarkStart w:id="80827" w:name="_ETM_Q161_535847"/>
      <w:bookmarkStart w:id="80828" w:name="_ETM_Q161_535955"/>
      <w:bookmarkStart w:id="80829" w:name="ET_speakercontinue_6464_22"/>
      <w:bookmarkEnd w:id="80827"/>
      <w:bookmarkEnd w:id="80828"/>
      <w:r>
        <w:rPr>
          <w:rStyle w:val="TagStyle"/>
          <w:rFonts w:hint="cs"/>
          <w:rtl/>
        </w:rPr>
        <w:t xml:space="preserve">&lt;&lt;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0829"/>
    </w:p>
    <w:p w:rsidR="00BB59CD" w:rsidRDefault="00BB59CD" w:rsidP="00337201">
      <w:pPr>
        <w:rPr>
          <w:rtl/>
        </w:rPr>
      </w:pPr>
    </w:p>
    <w:p w:rsidR="00BB59CD" w:rsidRDefault="00BB59CD" w:rsidP="00BB59CD">
      <w:pPr>
        <w:rPr>
          <w:rtl/>
        </w:rPr>
      </w:pPr>
      <w:bookmarkStart w:id="80830" w:name="_ETM_Q161_537450"/>
      <w:bookmarkEnd w:id="80830"/>
      <w:r>
        <w:rPr>
          <w:rFonts w:hint="cs"/>
          <w:rtl/>
        </w:rPr>
        <w:t xml:space="preserve">בוודאי, אבל להם בסוף, כי להם יש עוד עבודה, בזמן שאני מדבר כרגע. אתה צודק, כמובן, אדוני סגן היושב-ראש. מפקד כוח הסדרנים, אנחנו אומרים תודה בגמר </w:t>
      </w:r>
      <w:bookmarkStart w:id="80831" w:name="_ETM_Q161_547065"/>
      <w:bookmarkEnd w:id="80831"/>
      <w:r>
        <w:rPr>
          <w:rFonts w:hint="cs"/>
          <w:rtl/>
        </w:rPr>
        <w:t>המלאכה, מאחר שיש סיכוי שבזמן שאני מדבר עוד תצטרכו לעבוד, אני לא רוצה שאחרי שקיבלתם את התודה אתם תנוחו</w:t>
      </w:r>
      <w:bookmarkStart w:id="80832" w:name="_ETM_Q161_553134"/>
      <w:bookmarkEnd w:id="80832"/>
      <w:r>
        <w:rPr>
          <w:rFonts w:hint="cs"/>
          <w:rtl/>
        </w:rPr>
        <w:t xml:space="preserve">. אחכה לתודה בסוף, כמובן. </w:t>
      </w:r>
      <w:bookmarkStart w:id="80833" w:name="_ETM_Q161_561679"/>
      <w:bookmarkEnd w:id="80833"/>
      <w:r>
        <w:rPr>
          <w:rFonts w:hint="cs"/>
          <w:rtl/>
        </w:rPr>
        <w:t>אני מקווה שלא תהיה לכם עבודה –חלילה וחס, אני לא רוצה שתהיה לכם עבודה, אבל אם תהיה</w:t>
      </w:r>
      <w:bookmarkStart w:id="80834" w:name="_ETM_Q161_565645"/>
      <w:bookmarkEnd w:id="80834"/>
      <w:r>
        <w:rPr>
          <w:rFonts w:hint="cs"/>
          <w:rtl/>
        </w:rPr>
        <w:t xml:space="preserve">. </w:t>
      </w:r>
    </w:p>
    <w:p w:rsidR="00BB59CD" w:rsidRDefault="00BB59CD" w:rsidP="00BB59CD">
      <w:pPr>
        <w:rPr>
          <w:rtl/>
        </w:rPr>
      </w:pPr>
      <w:bookmarkStart w:id="80835" w:name="_ETM_Q161_584459"/>
      <w:bookmarkStart w:id="80836" w:name="_ETM_Q161_584512"/>
      <w:bookmarkEnd w:id="80835"/>
      <w:bookmarkEnd w:id="80836"/>
    </w:p>
    <w:p w:rsidR="00BB59CD" w:rsidRDefault="00BB59CD" w:rsidP="00CB7C6D">
      <w:pPr>
        <w:rPr>
          <w:rtl/>
        </w:rPr>
      </w:pPr>
      <w:bookmarkStart w:id="80837" w:name="_ETM_Q161_584587"/>
      <w:bookmarkStart w:id="80838" w:name="_ETM_Q161_584647"/>
      <w:bookmarkEnd w:id="80837"/>
      <w:bookmarkEnd w:id="80838"/>
      <w:r>
        <w:rPr>
          <w:rFonts w:hint="cs"/>
          <w:rtl/>
        </w:rPr>
        <w:t>דברי ההסבר הם נורא רזים, כי אנחנו מנסים לשמר כמה שיותר פשוט וכמה שיותר להיכנס להגדרה ולמ</w:t>
      </w:r>
      <w:bookmarkStart w:id="80839" w:name="_ETM_Q161_576053"/>
      <w:bookmarkEnd w:id="80839"/>
      <w:r>
        <w:rPr>
          <w:rFonts w:hint="cs"/>
          <w:rtl/>
        </w:rPr>
        <w:t xml:space="preserve">ען האמת זה אפילו נעשה ללא מעורבות של חברי הכנסת. </w:t>
      </w:r>
      <w:bookmarkStart w:id="80840" w:name="_ETM_Q161_581384"/>
      <w:bookmarkStart w:id="80841" w:name="_ETM_Q161_581478"/>
      <w:bookmarkStart w:id="80842" w:name="_ETM_Q161_581560"/>
      <w:bookmarkStart w:id="80843" w:name="_ETM_Q161_581630"/>
      <w:bookmarkEnd w:id="80840"/>
      <w:bookmarkEnd w:id="80841"/>
      <w:bookmarkEnd w:id="80842"/>
      <w:bookmarkEnd w:id="80843"/>
      <w:r>
        <w:rPr>
          <w:rFonts w:hint="cs"/>
          <w:rtl/>
        </w:rPr>
        <w:t>רציתי להקריא את דברי ההסבר כפי שאני הייתי כותב אותם ולדעתי אני מדבר גם בשם שאר חברי הוועדה</w:t>
      </w:r>
      <w:bookmarkStart w:id="80844" w:name="_ETM_Q161_587652"/>
      <w:bookmarkEnd w:id="80844"/>
      <w:r>
        <w:rPr>
          <w:rFonts w:hint="cs"/>
          <w:rtl/>
        </w:rPr>
        <w:t xml:space="preserve">, אם היה מדובר בהצעת חוק פרטית: המשפט </w:t>
      </w:r>
      <w:bookmarkStart w:id="80845" w:name="_ETM_Q161_594684"/>
      <w:bookmarkEnd w:id="80845"/>
      <w:r>
        <w:rPr>
          <w:rFonts w:hint="cs"/>
          <w:rtl/>
        </w:rPr>
        <w:t xml:space="preserve">המינהלי בישראל מבוסס רובו ככולו על הפסיקה. בהתאם לכך ובדומה לעניינים רבים אחרים בית המשפט ירש מהמשפט המנדטורי שנהג בארץ ישראל לפני קום המדינה את מרבית העילות </w:t>
      </w:r>
      <w:bookmarkStart w:id="80846" w:name="_ETM_Q161_605729"/>
      <w:bookmarkEnd w:id="80846"/>
      <w:r>
        <w:rPr>
          <w:rFonts w:hint="cs"/>
          <w:rtl/>
        </w:rPr>
        <w:t xml:space="preserve">המסורתיות להתערבות בהחלטותיה של הרשות המבצעת. אחת מעילות אלו </w:t>
      </w:r>
      <w:bookmarkStart w:id="80847" w:name="_ETM_Q161_611425"/>
      <w:bookmarkEnd w:id="80847"/>
      <w:r>
        <w:rPr>
          <w:rFonts w:hint="cs"/>
          <w:rtl/>
        </w:rPr>
        <w:t xml:space="preserve">היא עילת חוסר הסבירות, שמיוחסת לפסק דין אנגלי משנה מאוד סמלית – שנת 1948 – </w:t>
      </w:r>
      <w:bookmarkStart w:id="80848" w:name="_ETM_Q161_621978"/>
      <w:bookmarkEnd w:id="80848"/>
      <w:r>
        <w:rPr>
          <w:rFonts w:hint="cs"/>
          <w:rtl/>
        </w:rPr>
        <w:t xml:space="preserve">פסק דין וודנסברי. </w:t>
      </w:r>
      <w:bookmarkStart w:id="80849" w:name="_ETM_Q161_620415"/>
      <w:bookmarkStart w:id="80850" w:name="_ETM_Q161_620474"/>
      <w:bookmarkStart w:id="80851" w:name="_ETM_Q161_620799"/>
      <w:bookmarkStart w:id="80852" w:name="_ETM_Q161_620849"/>
      <w:bookmarkEnd w:id="80849"/>
      <w:bookmarkEnd w:id="80850"/>
      <w:bookmarkEnd w:id="80851"/>
      <w:bookmarkEnd w:id="80852"/>
      <w:r>
        <w:rPr>
          <w:rFonts w:hint="cs"/>
          <w:rtl/>
        </w:rPr>
        <w:t xml:space="preserve">ההלכה בפסק הדין שם קבעה שניתן </w:t>
      </w:r>
      <w:bookmarkStart w:id="80853" w:name="_ETM_Q161_625761"/>
      <w:bookmarkEnd w:id="80853"/>
      <w:r>
        <w:rPr>
          <w:rFonts w:hint="cs"/>
          <w:rtl/>
        </w:rPr>
        <w:t xml:space="preserve">במקרים, חריגים וקיצוניים, להתערב בהחלטה מינהלית אם היא </w:t>
      </w:r>
      <w:bookmarkStart w:id="80854" w:name="_ETM_Q161_632066"/>
      <w:bookmarkEnd w:id="80854"/>
      <w:r>
        <w:rPr>
          <w:rFonts w:hint="cs"/>
          <w:rtl/>
        </w:rPr>
        <w:t>כה בלתי-סבירה עד שאף רשות סבירה לא הייתה מקבלת אותה. לא מתחם סבירות, לא איזון</w:t>
      </w:r>
      <w:bookmarkStart w:id="80855" w:name="_ETM_Q161_638346"/>
      <w:bookmarkEnd w:id="80855"/>
      <w:r>
        <w:rPr>
          <w:rFonts w:hint="cs"/>
          <w:rtl/>
        </w:rPr>
        <w:t xml:space="preserve"> – אף רשות סבירה לא הייתה מקבלת אותה. </w:t>
      </w:r>
    </w:p>
    <w:p w:rsidR="00BB59CD" w:rsidRDefault="00BB59CD" w:rsidP="00BB59CD">
      <w:pPr>
        <w:rPr>
          <w:rtl/>
        </w:rPr>
      </w:pPr>
      <w:bookmarkStart w:id="80856" w:name="_ETM_Q161_644994"/>
      <w:bookmarkStart w:id="80857" w:name="_ETM_Q161_645075"/>
      <w:bookmarkEnd w:id="80856"/>
      <w:bookmarkEnd w:id="80857"/>
    </w:p>
    <w:p w:rsidR="00BB59CD" w:rsidRDefault="00BB59CD" w:rsidP="00BB59CD">
      <w:pPr>
        <w:rPr>
          <w:rtl/>
        </w:rPr>
      </w:pPr>
      <w:bookmarkStart w:id="80858" w:name="_ETM_Q161_645161"/>
      <w:bookmarkStart w:id="80859" w:name="_ETM_Q161_645224"/>
      <w:bookmarkEnd w:id="80858"/>
      <w:bookmarkEnd w:id="80859"/>
      <w:r>
        <w:rPr>
          <w:rFonts w:hint="cs"/>
          <w:rtl/>
        </w:rPr>
        <w:t xml:space="preserve">בישראל נעשה שימוש מצומצם בעילה זאת </w:t>
      </w:r>
      <w:bookmarkStart w:id="80860" w:name="_ETM_Q161_646760"/>
      <w:bookmarkEnd w:id="80860"/>
      <w:r>
        <w:rPr>
          <w:rFonts w:hint="cs"/>
          <w:rtl/>
        </w:rPr>
        <w:t xml:space="preserve">עד </w:t>
      </w:r>
      <w:bookmarkStart w:id="80861" w:name="_ETM_Q161_647150"/>
      <w:bookmarkEnd w:id="80861"/>
      <w:r>
        <w:rPr>
          <w:rFonts w:hint="cs"/>
          <w:rtl/>
        </w:rPr>
        <w:t xml:space="preserve">תחילת </w:t>
      </w:r>
      <w:bookmarkStart w:id="80862" w:name="_ETM_Q161_647480"/>
      <w:bookmarkEnd w:id="80862"/>
      <w:r>
        <w:rPr>
          <w:rFonts w:hint="cs"/>
          <w:rtl/>
        </w:rPr>
        <w:t xml:space="preserve">שנות </w:t>
      </w:r>
      <w:bookmarkStart w:id="80863" w:name="_ETM_Q161_647720"/>
      <w:bookmarkEnd w:id="80863"/>
      <w:r>
        <w:rPr>
          <w:rFonts w:hint="cs"/>
          <w:rtl/>
        </w:rPr>
        <w:t>ה</w:t>
      </w:r>
      <w:bookmarkStart w:id="80864" w:name="_ETM_Q161_648590"/>
      <w:bookmarkEnd w:id="80864"/>
      <w:r>
        <w:rPr>
          <w:rFonts w:hint="cs"/>
          <w:rtl/>
        </w:rPr>
        <w:t xml:space="preserve">שמונים, בעיקר </w:t>
      </w:r>
      <w:bookmarkStart w:id="80865" w:name="_ETM_Q161_649130"/>
      <w:bookmarkEnd w:id="80865"/>
      <w:r>
        <w:rPr>
          <w:rFonts w:hint="cs"/>
          <w:rtl/>
        </w:rPr>
        <w:t xml:space="preserve">כנימוק </w:t>
      </w:r>
      <w:bookmarkStart w:id="80866" w:name="_ETM_Q161_649640"/>
      <w:bookmarkEnd w:id="80866"/>
      <w:r>
        <w:rPr>
          <w:rFonts w:hint="cs"/>
          <w:rtl/>
        </w:rPr>
        <w:t xml:space="preserve">נלווה </w:t>
      </w:r>
      <w:bookmarkStart w:id="80867" w:name="_ETM_Q161_650090"/>
      <w:bookmarkEnd w:id="80867"/>
      <w:r>
        <w:rPr>
          <w:rFonts w:hint="cs"/>
          <w:rtl/>
        </w:rPr>
        <w:t xml:space="preserve">לעילות </w:t>
      </w:r>
      <w:bookmarkStart w:id="80868" w:name="_ETM_Q161_650390"/>
      <w:bookmarkEnd w:id="80868"/>
      <w:r>
        <w:rPr>
          <w:rFonts w:hint="cs"/>
          <w:rtl/>
        </w:rPr>
        <w:t xml:space="preserve">התערבות </w:t>
      </w:r>
      <w:bookmarkStart w:id="80869" w:name="_ETM_Q161_650840"/>
      <w:bookmarkEnd w:id="80869"/>
      <w:r>
        <w:rPr>
          <w:rFonts w:hint="cs"/>
          <w:rtl/>
        </w:rPr>
        <w:t xml:space="preserve">אחרות. </w:t>
      </w:r>
      <w:bookmarkStart w:id="80870" w:name="_ETM_Q161_651840"/>
      <w:bookmarkEnd w:id="80870"/>
      <w:r>
        <w:rPr>
          <w:rFonts w:hint="cs"/>
          <w:rtl/>
        </w:rPr>
        <w:t xml:space="preserve">בתקופה </w:t>
      </w:r>
      <w:bookmarkStart w:id="80871" w:name="_ETM_Q161_652410"/>
      <w:bookmarkEnd w:id="80871"/>
      <w:r>
        <w:rPr>
          <w:rFonts w:hint="cs"/>
          <w:rtl/>
        </w:rPr>
        <w:t xml:space="preserve">הזו </w:t>
      </w:r>
      <w:bookmarkStart w:id="80872" w:name="_ETM_Q161_652590"/>
      <w:bookmarkEnd w:id="80872"/>
      <w:r>
        <w:rPr>
          <w:rFonts w:hint="cs"/>
          <w:rtl/>
        </w:rPr>
        <w:t xml:space="preserve">בית </w:t>
      </w:r>
      <w:bookmarkStart w:id="80873" w:name="_ETM_Q161_652800"/>
      <w:bookmarkEnd w:id="80873"/>
      <w:r>
        <w:rPr>
          <w:rFonts w:hint="cs"/>
          <w:rtl/>
        </w:rPr>
        <w:t xml:space="preserve">המשפט </w:t>
      </w:r>
      <w:bookmarkStart w:id="80874" w:name="_ETM_Q161_653160"/>
      <w:bookmarkEnd w:id="80874"/>
      <w:r>
        <w:rPr>
          <w:rFonts w:hint="cs"/>
          <w:rtl/>
        </w:rPr>
        <w:t xml:space="preserve">העליון </w:t>
      </w:r>
      <w:bookmarkStart w:id="80875" w:name="_ETM_Q161_653400"/>
      <w:bookmarkEnd w:id="80875"/>
      <w:r>
        <w:rPr>
          <w:rFonts w:hint="cs"/>
          <w:rtl/>
        </w:rPr>
        <w:t xml:space="preserve">הקפיד </w:t>
      </w:r>
      <w:bookmarkStart w:id="80876" w:name="_ETM_Q161_653819"/>
      <w:bookmarkEnd w:id="80876"/>
      <w:r>
        <w:rPr>
          <w:rFonts w:hint="cs"/>
          <w:rtl/>
        </w:rPr>
        <w:t xml:space="preserve">להבהיר </w:t>
      </w:r>
      <w:bookmarkStart w:id="80877" w:name="_ETM_Q161_654300"/>
      <w:bookmarkEnd w:id="80877"/>
      <w:r>
        <w:rPr>
          <w:rFonts w:hint="cs"/>
          <w:rtl/>
        </w:rPr>
        <w:t xml:space="preserve">כי </w:t>
      </w:r>
      <w:bookmarkStart w:id="80878" w:name="_ETM_Q161_654420"/>
      <w:bookmarkEnd w:id="80878"/>
      <w:r>
        <w:rPr>
          <w:rFonts w:hint="cs"/>
          <w:rtl/>
        </w:rPr>
        <w:t xml:space="preserve">סבירותה </w:t>
      </w:r>
      <w:bookmarkStart w:id="80879" w:name="_ETM_Q161_654900"/>
      <w:bookmarkEnd w:id="80879"/>
      <w:r>
        <w:rPr>
          <w:rFonts w:hint="cs"/>
          <w:rtl/>
        </w:rPr>
        <w:t xml:space="preserve">של </w:t>
      </w:r>
      <w:bookmarkStart w:id="80880" w:name="_ETM_Q161_655080"/>
      <w:bookmarkEnd w:id="80880"/>
      <w:r>
        <w:rPr>
          <w:rFonts w:hint="cs"/>
          <w:rtl/>
        </w:rPr>
        <w:t xml:space="preserve">החלטה </w:t>
      </w:r>
      <w:bookmarkStart w:id="80881" w:name="_ETM_Q161_655470"/>
      <w:bookmarkEnd w:id="80881"/>
      <w:r>
        <w:rPr>
          <w:rFonts w:hint="cs"/>
          <w:rtl/>
        </w:rPr>
        <w:t xml:space="preserve">מינהלית </w:t>
      </w:r>
      <w:bookmarkStart w:id="80882" w:name="_ETM_Q161_656440"/>
      <w:bookmarkEnd w:id="80882"/>
      <w:r>
        <w:rPr>
          <w:rFonts w:hint="cs"/>
          <w:rtl/>
        </w:rPr>
        <w:t xml:space="preserve">אינה </w:t>
      </w:r>
      <w:bookmarkStart w:id="80883" w:name="_ETM_Q161_656770"/>
      <w:bookmarkEnd w:id="80883"/>
      <w:r>
        <w:rPr>
          <w:rFonts w:hint="cs"/>
          <w:rtl/>
        </w:rPr>
        <w:t xml:space="preserve">עניין </w:t>
      </w:r>
      <w:bookmarkStart w:id="80884" w:name="_ETM_Q161_657070"/>
      <w:bookmarkEnd w:id="80884"/>
      <w:r>
        <w:rPr>
          <w:rFonts w:hint="cs"/>
          <w:rtl/>
        </w:rPr>
        <w:t xml:space="preserve">שבית </w:t>
      </w:r>
      <w:bookmarkStart w:id="80885" w:name="_ETM_Q161_657400"/>
      <w:bookmarkEnd w:id="80885"/>
      <w:r>
        <w:rPr>
          <w:rFonts w:hint="cs"/>
          <w:rtl/>
        </w:rPr>
        <w:t xml:space="preserve">המשפט </w:t>
      </w:r>
      <w:bookmarkStart w:id="80886" w:name="_ETM_Q161_657790"/>
      <w:bookmarkEnd w:id="80886"/>
      <w:r>
        <w:rPr>
          <w:rFonts w:hint="cs"/>
          <w:rtl/>
        </w:rPr>
        <w:t xml:space="preserve">רשאי </w:t>
      </w:r>
      <w:bookmarkStart w:id="80887" w:name="_ETM_Q161_658150"/>
      <w:bookmarkEnd w:id="80887"/>
      <w:r>
        <w:rPr>
          <w:rFonts w:hint="cs"/>
          <w:rtl/>
        </w:rPr>
        <w:t xml:space="preserve">להתערב </w:t>
      </w:r>
      <w:bookmarkStart w:id="80888" w:name="_ETM_Q161_658630"/>
      <w:bookmarkEnd w:id="80888"/>
      <w:r>
        <w:rPr>
          <w:rFonts w:hint="cs"/>
          <w:rtl/>
        </w:rPr>
        <w:t xml:space="preserve">בו. </w:t>
      </w:r>
      <w:bookmarkStart w:id="80889" w:name="_ETM_Q161_659560"/>
      <w:bookmarkEnd w:id="80889"/>
      <w:r>
        <w:rPr>
          <w:rFonts w:hint="cs"/>
          <w:rtl/>
        </w:rPr>
        <w:t xml:space="preserve">"סבירות </w:t>
      </w:r>
      <w:bookmarkStart w:id="80890" w:name="_ETM_Q161_660100"/>
      <w:bookmarkEnd w:id="80890"/>
      <w:r>
        <w:rPr>
          <w:rFonts w:hint="cs"/>
          <w:rtl/>
        </w:rPr>
        <w:t xml:space="preserve">המדיניות הזו </w:t>
      </w:r>
      <w:bookmarkStart w:id="80891" w:name="_ETM_Q161_661090"/>
      <w:bookmarkEnd w:id="80891"/>
      <w:r>
        <w:rPr>
          <w:rFonts w:hint="cs"/>
          <w:rtl/>
        </w:rPr>
        <w:t xml:space="preserve">היא </w:t>
      </w:r>
      <w:bookmarkStart w:id="80892" w:name="_ETM_Q161_661330"/>
      <w:bookmarkEnd w:id="80892"/>
      <w:r>
        <w:rPr>
          <w:rFonts w:hint="cs"/>
          <w:rtl/>
        </w:rPr>
        <w:t xml:space="preserve">עניין </w:t>
      </w:r>
      <w:bookmarkStart w:id="80893" w:name="_ETM_Q161_661690"/>
      <w:bookmarkEnd w:id="80893"/>
      <w:r>
        <w:rPr>
          <w:rFonts w:hint="cs"/>
          <w:rtl/>
        </w:rPr>
        <w:t>לכנסת</w:t>
      </w:r>
      <w:bookmarkStart w:id="80894" w:name="_ETM_Q161_663129"/>
      <w:bookmarkEnd w:id="80894"/>
      <w:r>
        <w:rPr>
          <w:rFonts w:hint="cs"/>
          <w:rtl/>
        </w:rPr>
        <w:t xml:space="preserve">, בפניה אחראית הממשלה, ואין על בית המשפט להתערב בדבר". זהו משפט מפסק דין בשנות השישים: </w:t>
      </w:r>
      <w:bookmarkStart w:id="80895" w:name="_ETM_Q161_671462"/>
      <w:bookmarkEnd w:id="80895"/>
      <w:r>
        <w:rPr>
          <w:rFonts w:hint="cs"/>
          <w:rtl/>
        </w:rPr>
        <w:t xml:space="preserve">לחם חי בע"מ נגד שר המסחר והתעשייה. אלא שכל זה השתנה בשנת 1980, שבה ניתן פסק הדין בעניין דפי זהב – בג"ץ  389/80 </w:t>
      </w:r>
      <w:bookmarkStart w:id="80896" w:name="_ETM_Q161_704806"/>
      <w:bookmarkEnd w:id="80896"/>
      <w:r>
        <w:rPr>
          <w:rFonts w:hint="cs"/>
          <w:rtl/>
        </w:rPr>
        <w:t xml:space="preserve">– בפסק דין זה פיתח השופט אהרן ברק נוסחה חדשה ורחבה מאוד לעילת אי-הסבירות. מאז עילה זו הפכה לעילת </w:t>
      </w:r>
      <w:bookmarkStart w:id="80897" w:name="_ETM_Q161_727206"/>
      <w:bookmarkStart w:id="80898" w:name="_ETM_Q161_727046"/>
      <w:r>
        <w:rPr>
          <w:rFonts w:hint="cs"/>
          <w:rtl/>
        </w:rPr>
        <w:t xml:space="preserve">הביקורת </w:t>
      </w:r>
      <w:bookmarkEnd w:id="80897"/>
      <w:bookmarkEnd w:id="80898"/>
      <w:r>
        <w:rPr>
          <w:rFonts w:hint="cs"/>
          <w:rtl/>
        </w:rPr>
        <w:t>החשוב</w:t>
      </w:r>
      <w:bookmarkStart w:id="80899" w:name="_ETM_Q161_696341"/>
      <w:bookmarkEnd w:id="80899"/>
      <w:r>
        <w:rPr>
          <w:rFonts w:hint="cs"/>
          <w:rtl/>
        </w:rPr>
        <w:t xml:space="preserve">ה והמרכזית ביותר במשפט המינהלי הישראלי. </w:t>
      </w:r>
    </w:p>
    <w:p w:rsidR="00BB59CD" w:rsidRDefault="00BB59CD" w:rsidP="00BB59CD">
      <w:pPr>
        <w:rPr>
          <w:rtl/>
        </w:rPr>
      </w:pPr>
    </w:p>
    <w:p w:rsidR="00BB59CD" w:rsidRDefault="00BB59CD" w:rsidP="00BB59CD">
      <w:pPr>
        <w:rPr>
          <w:rtl/>
        </w:rPr>
      </w:pPr>
      <w:r>
        <w:rPr>
          <w:rFonts w:hint="cs"/>
          <w:rtl/>
        </w:rPr>
        <w:t xml:space="preserve">הביקורת על עילת הסבירות החדשה נמתחה מייד: </w:t>
      </w:r>
      <w:bookmarkStart w:id="80900" w:name="_ETM_Q161_672790"/>
      <w:bookmarkStart w:id="80901" w:name="_ETM_Q161_701790"/>
      <w:bookmarkEnd w:id="80900"/>
      <w:bookmarkEnd w:id="80901"/>
      <w:r>
        <w:rPr>
          <w:rFonts w:hint="cs"/>
          <w:rtl/>
        </w:rPr>
        <w:t xml:space="preserve">כבר </w:t>
      </w:r>
      <w:bookmarkStart w:id="80902" w:name="_ETM_Q161_702120"/>
      <w:bookmarkEnd w:id="80902"/>
      <w:r>
        <w:rPr>
          <w:rFonts w:hint="cs"/>
          <w:rtl/>
        </w:rPr>
        <w:t xml:space="preserve">בזמן </w:t>
      </w:r>
      <w:bookmarkStart w:id="80903" w:name="_ETM_Q161_702510"/>
      <w:bookmarkEnd w:id="80903"/>
      <w:r>
        <w:rPr>
          <w:rFonts w:hint="cs"/>
          <w:rtl/>
        </w:rPr>
        <w:t xml:space="preserve">אמת, </w:t>
      </w:r>
      <w:bookmarkStart w:id="80904" w:name="_ETM_Q161_702809"/>
      <w:bookmarkEnd w:id="80904"/>
      <w:r>
        <w:rPr>
          <w:rFonts w:hint="cs"/>
          <w:rtl/>
        </w:rPr>
        <w:t xml:space="preserve">באותו </w:t>
      </w:r>
      <w:bookmarkStart w:id="80905" w:name="_ETM_Q161_703109"/>
      <w:bookmarkEnd w:id="80905"/>
      <w:r>
        <w:rPr>
          <w:rFonts w:hint="cs"/>
          <w:rtl/>
        </w:rPr>
        <w:t xml:space="preserve">פסק </w:t>
      </w:r>
      <w:bookmarkStart w:id="80906" w:name="_ETM_Q161_703409"/>
      <w:bookmarkEnd w:id="80906"/>
      <w:r>
        <w:rPr>
          <w:rFonts w:hint="cs"/>
          <w:rtl/>
        </w:rPr>
        <w:t xml:space="preserve">דין, </w:t>
      </w:r>
      <w:bookmarkStart w:id="80907" w:name="_ETM_Q161_703679"/>
      <w:bookmarkEnd w:id="80907"/>
      <w:r>
        <w:rPr>
          <w:rFonts w:hint="cs"/>
          <w:rtl/>
        </w:rPr>
        <w:t xml:space="preserve">הנשיא </w:t>
      </w:r>
      <w:bookmarkStart w:id="80908" w:name="_ETM_Q161_704309"/>
      <w:bookmarkEnd w:id="80908"/>
      <w:r>
        <w:rPr>
          <w:rFonts w:hint="cs"/>
          <w:rtl/>
        </w:rPr>
        <w:t xml:space="preserve">דאז, </w:t>
      </w:r>
      <w:bookmarkStart w:id="80909" w:name="_ETM_Q161_704760"/>
      <w:bookmarkEnd w:id="80909"/>
      <w:r>
        <w:rPr>
          <w:rFonts w:hint="cs"/>
          <w:rtl/>
        </w:rPr>
        <w:t xml:space="preserve">משה </w:t>
      </w:r>
      <w:bookmarkStart w:id="80910" w:name="_ETM_Q161_705059"/>
      <w:bookmarkEnd w:id="80910"/>
      <w:r>
        <w:rPr>
          <w:rFonts w:hint="cs"/>
          <w:rtl/>
        </w:rPr>
        <w:t xml:space="preserve">לנדוי, </w:t>
      </w:r>
      <w:bookmarkStart w:id="80911" w:name="_ETM_Q161_705479"/>
      <w:bookmarkEnd w:id="80911"/>
      <w:r>
        <w:rPr>
          <w:rFonts w:hint="cs"/>
          <w:rtl/>
        </w:rPr>
        <w:t xml:space="preserve">טען </w:t>
      </w:r>
      <w:bookmarkStart w:id="80912" w:name="_ETM_Q161_706949"/>
      <w:bookmarkEnd w:id="80912"/>
      <w:r>
        <w:rPr>
          <w:rFonts w:hint="cs"/>
          <w:rtl/>
        </w:rPr>
        <w:t xml:space="preserve">שמדובר </w:t>
      </w:r>
      <w:bookmarkStart w:id="80913" w:name="_ETM_Q161_707609"/>
      <w:bookmarkEnd w:id="80913"/>
      <w:r>
        <w:rPr>
          <w:rFonts w:hint="cs"/>
          <w:rtl/>
        </w:rPr>
        <w:t xml:space="preserve">ב"נוסחה העלולה לערב את בית המשפט בבדיקת תבונתה ויעילותה של ההחלטה המינהלית". גם הנשיא אשר גרוניס מתח </w:t>
      </w:r>
      <w:bookmarkStart w:id="80914" w:name="_ETM_Q161_719749"/>
      <w:bookmarkEnd w:id="80914"/>
      <w:r>
        <w:rPr>
          <w:rFonts w:hint="cs"/>
          <w:rtl/>
        </w:rPr>
        <w:t xml:space="preserve">ביקורת על עילה זו, בכותבו שלא ניתן להתעלם מכך, שהקביעה בדבר חוסר סבירות מבוססת במידה מכרעת על בחינה של התוצר הסופי, קרי נפקותה של ההחלטה. השופט אלכס שטיין העיר כי מתכונת זו של "המשפט זה אני" מאפשרת לשופט להיכנס לנעלי הרשות המבצעת, ולעשות בהחלטתה כטוב בעיניו. השופט נועם סולברג כתב: "שוב ושוב אנחנו אומרים שלא נבוא בנעלי הרשות המינהלית ולא נמיר את שיקול דעתה בשיקול דעתנו, אבל נודה על האמת שלא אחת אנחנו עושים כך" – </w:t>
      </w:r>
      <w:bookmarkStart w:id="80915" w:name="_ETM_Q161_709169"/>
      <w:bookmarkEnd w:id="80915"/>
      <w:r>
        <w:rPr>
          <w:rFonts w:hint="cs"/>
          <w:rtl/>
        </w:rPr>
        <w:t xml:space="preserve">פרשנות, סבירות ומידתיות, הרצאה בכנס העמותה למשפט ציבורי. </w:t>
      </w:r>
    </w:p>
    <w:p w:rsidR="00BB59CD" w:rsidRDefault="00BB59CD" w:rsidP="00BB59CD">
      <w:pPr>
        <w:rPr>
          <w:rtl/>
        </w:rPr>
      </w:pPr>
    </w:p>
    <w:p w:rsidR="00BB59CD" w:rsidRDefault="00BB59CD" w:rsidP="00BB59CD">
      <w:pPr>
        <w:rPr>
          <w:rtl/>
        </w:rPr>
      </w:pPr>
      <w:bookmarkStart w:id="80916" w:name="TOR_Q162"/>
      <w:bookmarkStart w:id="80917" w:name="_ETM_Q162_180000"/>
      <w:bookmarkEnd w:id="80916"/>
      <w:bookmarkEnd w:id="80917"/>
      <w:r>
        <w:rPr>
          <w:rFonts w:hint="cs"/>
          <w:rtl/>
          <w:lang w:eastAsia="he-IL"/>
        </w:rPr>
        <w:t xml:space="preserve">למעשה, עילת הסבירות החדשה פגעה קשות בוודאות, בביטחון המשפטי, בצפיוּת וביכולת של </w:t>
      </w:r>
      <w:bookmarkStart w:id="80918" w:name="_ETM_Q162_167048"/>
      <w:bookmarkEnd w:id="80918"/>
      <w:r>
        <w:rPr>
          <w:rFonts w:hint="cs"/>
          <w:rtl/>
          <w:lang w:eastAsia="he-IL"/>
        </w:rPr>
        <w:t>רשויות המינהל לכלכל את צעדיהם. וכמו כן, כפי שפרופ'</w:t>
      </w:r>
      <w:bookmarkStart w:id="80919" w:name="_ETM_Q162_173632"/>
      <w:bookmarkEnd w:id="80919"/>
      <w:r>
        <w:rPr>
          <w:rFonts w:hint="cs"/>
          <w:rtl/>
          <w:lang w:eastAsia="he-IL"/>
        </w:rPr>
        <w:t xml:space="preserve"> דותן מציין: מבחן הסבירות האיזונית שוחק עד דק את </w:t>
      </w:r>
      <w:bookmarkStart w:id="80920" w:name="_ETM_Q162_180900"/>
      <w:bookmarkEnd w:id="80920"/>
      <w:r>
        <w:rPr>
          <w:rFonts w:hint="cs"/>
          <w:rtl/>
        </w:rPr>
        <w:t xml:space="preserve">עקרון </w:t>
      </w:r>
      <w:bookmarkStart w:id="80921" w:name="_ETM_Q162_181260"/>
      <w:bookmarkEnd w:id="80921"/>
      <w:r>
        <w:rPr>
          <w:rFonts w:hint="cs"/>
          <w:rtl/>
        </w:rPr>
        <w:t xml:space="preserve">הריסון, </w:t>
      </w:r>
      <w:bookmarkStart w:id="80922" w:name="_ETM_Q162_182129"/>
      <w:bookmarkEnd w:id="80922"/>
      <w:r>
        <w:rPr>
          <w:rFonts w:hint="cs"/>
          <w:rtl/>
        </w:rPr>
        <w:t xml:space="preserve">שכן </w:t>
      </w:r>
      <w:bookmarkStart w:id="80923" w:name="_ETM_Q162_182550"/>
      <w:bookmarkEnd w:id="80923"/>
      <w:r>
        <w:rPr>
          <w:rFonts w:hint="cs"/>
          <w:rtl/>
        </w:rPr>
        <w:t xml:space="preserve">באמצעותו </w:t>
      </w:r>
      <w:bookmarkStart w:id="80924" w:name="_ETM_Q162_183179"/>
      <w:bookmarkEnd w:id="80924"/>
      <w:r>
        <w:rPr>
          <w:rFonts w:hint="cs"/>
          <w:rtl/>
        </w:rPr>
        <w:t xml:space="preserve">בית </w:t>
      </w:r>
      <w:bookmarkStart w:id="80925" w:name="_ETM_Q162_183389"/>
      <w:bookmarkEnd w:id="80925"/>
      <w:r>
        <w:rPr>
          <w:rFonts w:hint="cs"/>
          <w:rtl/>
        </w:rPr>
        <w:t xml:space="preserve">המשפט </w:t>
      </w:r>
      <w:bookmarkStart w:id="80926" w:name="_ETM_Q162_184330"/>
      <w:bookmarkEnd w:id="80926"/>
      <w:r>
        <w:rPr>
          <w:rFonts w:hint="cs"/>
          <w:rtl/>
        </w:rPr>
        <w:t xml:space="preserve">שם </w:t>
      </w:r>
      <w:bookmarkStart w:id="80927" w:name="_ETM_Q162_184720"/>
      <w:bookmarkEnd w:id="80927"/>
      <w:r>
        <w:rPr>
          <w:rFonts w:hint="cs"/>
          <w:rtl/>
        </w:rPr>
        <w:t xml:space="preserve">את </w:t>
      </w:r>
      <w:bookmarkStart w:id="80928" w:name="_ETM_Q162_184839"/>
      <w:bookmarkEnd w:id="80928"/>
      <w:r>
        <w:rPr>
          <w:rFonts w:hint="cs"/>
          <w:rtl/>
        </w:rPr>
        <w:t xml:space="preserve">שיקול </w:t>
      </w:r>
      <w:bookmarkStart w:id="80929" w:name="_ETM_Q162_185200"/>
      <w:bookmarkEnd w:id="80929"/>
      <w:r>
        <w:rPr>
          <w:rFonts w:hint="cs"/>
          <w:rtl/>
        </w:rPr>
        <w:t xml:space="preserve">דעתו </w:t>
      </w:r>
      <w:bookmarkStart w:id="80930" w:name="_ETM_Q162_185649"/>
      <w:bookmarkEnd w:id="80930"/>
      <w:r>
        <w:rPr>
          <w:rFonts w:hint="cs"/>
          <w:rtl/>
        </w:rPr>
        <w:t xml:space="preserve">במקום </w:t>
      </w:r>
      <w:bookmarkStart w:id="80931" w:name="_ETM_Q162_186069"/>
      <w:bookmarkEnd w:id="80931"/>
      <w:r>
        <w:rPr>
          <w:rFonts w:hint="cs"/>
          <w:rtl/>
        </w:rPr>
        <w:t xml:space="preserve">זה </w:t>
      </w:r>
      <w:bookmarkStart w:id="80932" w:name="_ETM_Q162_186250"/>
      <w:bookmarkEnd w:id="80932"/>
      <w:r>
        <w:rPr>
          <w:rFonts w:hint="cs"/>
          <w:rtl/>
        </w:rPr>
        <w:t xml:space="preserve">של </w:t>
      </w:r>
      <w:bookmarkStart w:id="80933" w:name="_ETM_Q162_186460"/>
      <w:bookmarkEnd w:id="80933"/>
      <w:r>
        <w:rPr>
          <w:rFonts w:hint="cs"/>
          <w:rtl/>
        </w:rPr>
        <w:t xml:space="preserve">הרשות </w:t>
      </w:r>
      <w:bookmarkStart w:id="80934" w:name="_ETM_Q162_186790"/>
      <w:bookmarkEnd w:id="80934"/>
      <w:r>
        <w:rPr>
          <w:rFonts w:hint="cs"/>
          <w:rtl/>
        </w:rPr>
        <w:t xml:space="preserve">המוסמכת. </w:t>
      </w:r>
      <w:bookmarkStart w:id="80935" w:name="_ETM_Q162_187930"/>
      <w:bookmarkEnd w:id="80935"/>
      <w:r>
        <w:rPr>
          <w:rFonts w:hint="cs"/>
          <w:rtl/>
        </w:rPr>
        <w:t xml:space="preserve">בכך </w:t>
      </w:r>
      <w:bookmarkStart w:id="80936" w:name="_ETM_Q162_188320"/>
      <w:bookmarkEnd w:id="80936"/>
      <w:r>
        <w:rPr>
          <w:rFonts w:hint="cs"/>
          <w:rtl/>
        </w:rPr>
        <w:t xml:space="preserve">נפגע </w:t>
      </w:r>
      <w:bookmarkStart w:id="80937" w:name="_ETM_Q162_188650"/>
      <w:bookmarkEnd w:id="80937"/>
      <w:r>
        <w:rPr>
          <w:rFonts w:hint="cs"/>
          <w:rtl/>
        </w:rPr>
        <w:t xml:space="preserve">עקרון </w:t>
      </w:r>
      <w:bookmarkStart w:id="80938" w:name="_ETM_Q162_188980"/>
      <w:bookmarkEnd w:id="80938"/>
      <w:r>
        <w:rPr>
          <w:rFonts w:hint="cs"/>
          <w:rtl/>
        </w:rPr>
        <w:t xml:space="preserve">הפרדת </w:t>
      </w:r>
      <w:bookmarkStart w:id="80939" w:name="_ETM_Q162_189430"/>
      <w:bookmarkEnd w:id="80939"/>
      <w:r>
        <w:rPr>
          <w:rFonts w:hint="cs"/>
          <w:rtl/>
        </w:rPr>
        <w:t xml:space="preserve">הרשויות, </w:t>
      </w:r>
      <w:bookmarkStart w:id="80940" w:name="_ETM_Q162_190450"/>
      <w:bookmarkEnd w:id="80940"/>
      <w:r>
        <w:rPr>
          <w:rFonts w:hint="cs"/>
          <w:rtl/>
        </w:rPr>
        <w:t xml:space="preserve">וכך </w:t>
      </w:r>
      <w:bookmarkStart w:id="80941" w:name="_ETM_Q162_190930"/>
      <w:bookmarkEnd w:id="80941"/>
      <w:r>
        <w:rPr>
          <w:rFonts w:hint="cs"/>
          <w:rtl/>
        </w:rPr>
        <w:t xml:space="preserve">מועברות </w:t>
      </w:r>
      <w:bookmarkStart w:id="80942" w:name="_ETM_Q162_191379"/>
      <w:bookmarkEnd w:id="80942"/>
      <w:r>
        <w:rPr>
          <w:rFonts w:hint="cs"/>
          <w:rtl/>
        </w:rPr>
        <w:t xml:space="preserve">לרשות </w:t>
      </w:r>
      <w:bookmarkStart w:id="80943" w:name="_ETM_Q162_191740"/>
      <w:bookmarkEnd w:id="80943"/>
      <w:r>
        <w:rPr>
          <w:rFonts w:hint="cs"/>
          <w:rtl/>
        </w:rPr>
        <w:t xml:space="preserve">השופטת </w:t>
      </w:r>
      <w:bookmarkStart w:id="80944" w:name="_ETM_Q162_192219"/>
      <w:bookmarkEnd w:id="80944"/>
      <w:r>
        <w:rPr>
          <w:rFonts w:hint="cs"/>
          <w:rtl/>
        </w:rPr>
        <w:t xml:space="preserve">סמכויות </w:t>
      </w:r>
      <w:bookmarkStart w:id="80945" w:name="_ETM_Q162_192759"/>
      <w:bookmarkEnd w:id="80945"/>
      <w:r>
        <w:rPr>
          <w:rFonts w:hint="cs"/>
          <w:rtl/>
        </w:rPr>
        <w:t xml:space="preserve">שהדין </w:t>
      </w:r>
      <w:bookmarkStart w:id="80946" w:name="_ETM_Q162_193119"/>
      <w:bookmarkEnd w:id="80946"/>
      <w:r>
        <w:rPr>
          <w:rFonts w:hint="cs"/>
          <w:rtl/>
        </w:rPr>
        <w:t xml:space="preserve">מפקיד </w:t>
      </w:r>
      <w:bookmarkStart w:id="80947" w:name="_ETM_Q162_193599"/>
      <w:bookmarkEnd w:id="80947"/>
      <w:r>
        <w:rPr>
          <w:rFonts w:hint="cs"/>
          <w:rtl/>
        </w:rPr>
        <w:t xml:space="preserve">בידי </w:t>
      </w:r>
      <w:bookmarkStart w:id="80948" w:name="_ETM_Q162_193839"/>
      <w:bookmarkEnd w:id="80948"/>
      <w:r>
        <w:rPr>
          <w:rFonts w:hint="cs"/>
          <w:rtl/>
        </w:rPr>
        <w:t xml:space="preserve">הרשות </w:t>
      </w:r>
      <w:bookmarkStart w:id="80949" w:name="_ETM_Q162_194170"/>
      <w:bookmarkEnd w:id="80949"/>
      <w:r>
        <w:rPr>
          <w:rFonts w:hint="cs"/>
          <w:rtl/>
        </w:rPr>
        <w:t xml:space="preserve">המבצעת. </w:t>
      </w:r>
      <w:bookmarkStart w:id="80950" w:name="_ETM_Q162_195219"/>
      <w:bookmarkEnd w:id="80950"/>
      <w:r>
        <w:rPr>
          <w:rFonts w:hint="cs"/>
          <w:rtl/>
        </w:rPr>
        <w:t xml:space="preserve">כך </w:t>
      </w:r>
      <w:bookmarkStart w:id="80951" w:name="_ETM_Q162_195490"/>
      <w:bookmarkEnd w:id="80951"/>
      <w:r>
        <w:rPr>
          <w:rFonts w:hint="cs"/>
          <w:rtl/>
        </w:rPr>
        <w:t xml:space="preserve">נוצר </w:t>
      </w:r>
      <w:bookmarkStart w:id="80952" w:name="_ETM_Q162_195879"/>
      <w:bookmarkEnd w:id="80952"/>
      <w:r>
        <w:rPr>
          <w:rFonts w:hint="cs"/>
          <w:rtl/>
        </w:rPr>
        <w:t xml:space="preserve">גירעון </w:t>
      </w:r>
      <w:bookmarkStart w:id="80953" w:name="_ETM_Q162_196450"/>
      <w:bookmarkEnd w:id="80953"/>
      <w:r>
        <w:rPr>
          <w:rFonts w:hint="cs"/>
          <w:rtl/>
        </w:rPr>
        <w:t xml:space="preserve">דמוקרטי </w:t>
      </w:r>
      <w:bookmarkStart w:id="80954" w:name="_ETM_Q162_197140"/>
      <w:bookmarkEnd w:id="80954"/>
      <w:r>
        <w:rPr>
          <w:rFonts w:hint="cs"/>
          <w:rtl/>
        </w:rPr>
        <w:t xml:space="preserve">חריף, </w:t>
      </w:r>
      <w:bookmarkStart w:id="80955" w:name="_ETM_Q162_197980"/>
      <w:bookmarkEnd w:id="80955"/>
      <w:r>
        <w:rPr>
          <w:rFonts w:hint="cs"/>
          <w:rtl/>
        </w:rPr>
        <w:t xml:space="preserve">שכן </w:t>
      </w:r>
      <w:bookmarkStart w:id="80956" w:name="_ETM_Q162_198340"/>
      <w:bookmarkEnd w:id="80956"/>
      <w:r>
        <w:rPr>
          <w:rFonts w:hint="cs"/>
          <w:rtl/>
        </w:rPr>
        <w:t xml:space="preserve">בית </w:t>
      </w:r>
      <w:bookmarkStart w:id="80957" w:name="_ETM_Q162_198520"/>
      <w:bookmarkEnd w:id="80957"/>
      <w:r>
        <w:rPr>
          <w:rFonts w:hint="cs"/>
          <w:rtl/>
        </w:rPr>
        <w:t xml:space="preserve">המשפט, </w:t>
      </w:r>
      <w:bookmarkStart w:id="80958" w:name="_ETM_Q162_199000"/>
      <w:bookmarkEnd w:id="80958"/>
      <w:r>
        <w:rPr>
          <w:rFonts w:hint="cs"/>
          <w:rtl/>
        </w:rPr>
        <w:t xml:space="preserve">שאיננו </w:t>
      </w:r>
      <w:bookmarkStart w:id="80959" w:name="_ETM_Q162_199450"/>
      <w:bookmarkEnd w:id="80959"/>
      <w:r>
        <w:rPr>
          <w:rFonts w:hint="cs"/>
          <w:rtl/>
        </w:rPr>
        <w:t xml:space="preserve">נבחר, </w:t>
      </w:r>
      <w:bookmarkStart w:id="80960" w:name="_ETM_Q162_200290"/>
      <w:bookmarkEnd w:id="80960"/>
      <w:r>
        <w:rPr>
          <w:rFonts w:hint="cs"/>
          <w:rtl/>
        </w:rPr>
        <w:t xml:space="preserve">מחליף </w:t>
      </w:r>
      <w:bookmarkStart w:id="80961" w:name="_ETM_Q162_200770"/>
      <w:bookmarkEnd w:id="80961"/>
      <w:r>
        <w:rPr>
          <w:rFonts w:hint="cs"/>
          <w:rtl/>
        </w:rPr>
        <w:t xml:space="preserve">את </w:t>
      </w:r>
      <w:bookmarkStart w:id="80962" w:name="_ETM_Q162_200919"/>
      <w:bookmarkEnd w:id="80962"/>
      <w:r>
        <w:rPr>
          <w:rFonts w:hint="cs"/>
          <w:rtl/>
        </w:rPr>
        <w:t xml:space="preserve">שיקול </w:t>
      </w:r>
      <w:bookmarkStart w:id="80963" w:name="_ETM_Q162_201250"/>
      <w:bookmarkEnd w:id="80963"/>
      <w:r>
        <w:rPr>
          <w:rFonts w:hint="cs"/>
          <w:rtl/>
        </w:rPr>
        <w:t xml:space="preserve">דעתן </w:t>
      </w:r>
      <w:bookmarkStart w:id="80964" w:name="_ETM_Q162_202180"/>
      <w:bookmarkEnd w:id="80964"/>
      <w:r>
        <w:rPr>
          <w:rFonts w:hint="cs"/>
          <w:rtl/>
        </w:rPr>
        <w:t xml:space="preserve">של </w:t>
      </w:r>
      <w:bookmarkStart w:id="80965" w:name="_ETM_Q162_202419"/>
      <w:bookmarkEnd w:id="80965"/>
      <w:r>
        <w:rPr>
          <w:rFonts w:hint="cs"/>
          <w:rtl/>
        </w:rPr>
        <w:t xml:space="preserve">הרשויות </w:t>
      </w:r>
      <w:bookmarkStart w:id="80966" w:name="_ETM_Q162_202899"/>
      <w:bookmarkEnd w:id="80966"/>
      <w:r>
        <w:rPr>
          <w:rFonts w:hint="cs"/>
          <w:rtl/>
        </w:rPr>
        <w:t xml:space="preserve">הנבחרות. </w:t>
      </w:r>
      <w:bookmarkStart w:id="80967" w:name="_ETM_Q162_204419"/>
      <w:bookmarkEnd w:id="80967"/>
    </w:p>
    <w:p w:rsidR="00BB59CD" w:rsidRDefault="00BB59CD" w:rsidP="00BB59CD">
      <w:pPr>
        <w:rPr>
          <w:rtl/>
        </w:rPr>
      </w:pPr>
      <w:bookmarkStart w:id="80968" w:name="_ETM_Q162_204091"/>
      <w:bookmarkStart w:id="80969" w:name="_ETM_Q162_204203"/>
      <w:bookmarkEnd w:id="80968"/>
      <w:bookmarkEnd w:id="80969"/>
    </w:p>
    <w:p w:rsidR="00BB59CD" w:rsidRDefault="00BB59CD" w:rsidP="00BB59CD">
      <w:pPr>
        <w:rPr>
          <w:rtl/>
        </w:rPr>
      </w:pPr>
      <w:bookmarkStart w:id="80970" w:name="_ETM_Q162_204276"/>
      <w:bookmarkStart w:id="80971" w:name="_ETM_Q162_204313"/>
      <w:bookmarkEnd w:id="80970"/>
      <w:bookmarkEnd w:id="80971"/>
      <w:r>
        <w:rPr>
          <w:rFonts w:hint="cs"/>
          <w:rtl/>
        </w:rPr>
        <w:t xml:space="preserve">יתר </w:t>
      </w:r>
      <w:bookmarkStart w:id="80972" w:name="_ETM_Q162_204839"/>
      <w:bookmarkEnd w:id="80972"/>
      <w:r>
        <w:rPr>
          <w:rFonts w:hint="cs"/>
          <w:rtl/>
        </w:rPr>
        <w:t xml:space="preserve">על </w:t>
      </w:r>
      <w:bookmarkStart w:id="80973" w:name="_ETM_Q162_204989"/>
      <w:bookmarkEnd w:id="80973"/>
      <w:r>
        <w:rPr>
          <w:rFonts w:hint="cs"/>
          <w:rtl/>
        </w:rPr>
        <w:t xml:space="preserve">כן, </w:t>
      </w:r>
      <w:bookmarkStart w:id="80974" w:name="_ETM_Q162_205739"/>
      <w:bookmarkEnd w:id="80974"/>
      <w:r>
        <w:rPr>
          <w:rFonts w:hint="cs"/>
          <w:rtl/>
        </w:rPr>
        <w:t>ו</w:t>
      </w:r>
      <w:bookmarkStart w:id="80975" w:name="_ETM_Q162_205950"/>
      <w:bookmarkEnd w:id="80975"/>
      <w:r>
        <w:rPr>
          <w:rFonts w:hint="cs"/>
          <w:rtl/>
        </w:rPr>
        <w:t xml:space="preserve">בהתבסס </w:t>
      </w:r>
      <w:bookmarkStart w:id="80976" w:name="_ETM_Q162_206579"/>
      <w:bookmarkEnd w:id="80976"/>
      <w:r>
        <w:rPr>
          <w:rFonts w:hint="cs"/>
          <w:rtl/>
        </w:rPr>
        <w:t xml:space="preserve">על </w:t>
      </w:r>
      <w:bookmarkStart w:id="80977" w:name="_ETM_Q162_206700"/>
      <w:bookmarkEnd w:id="80977"/>
      <w:r>
        <w:rPr>
          <w:rFonts w:hint="cs"/>
          <w:rtl/>
        </w:rPr>
        <w:t xml:space="preserve">עילת </w:t>
      </w:r>
      <w:bookmarkStart w:id="80978" w:name="_ETM_Q162_206940"/>
      <w:bookmarkEnd w:id="80978"/>
      <w:r>
        <w:rPr>
          <w:rFonts w:hint="cs"/>
          <w:rtl/>
        </w:rPr>
        <w:t xml:space="preserve">הסבירות, </w:t>
      </w:r>
      <w:bookmarkStart w:id="80979" w:name="_ETM_Q162_207810"/>
      <w:bookmarkEnd w:id="80979"/>
      <w:r>
        <w:rPr>
          <w:rFonts w:hint="cs"/>
          <w:rtl/>
        </w:rPr>
        <w:t xml:space="preserve">בית </w:t>
      </w:r>
      <w:bookmarkStart w:id="80980" w:name="_ETM_Q162_208080"/>
      <w:bookmarkEnd w:id="80980"/>
      <w:r>
        <w:rPr>
          <w:rFonts w:hint="cs"/>
          <w:rtl/>
        </w:rPr>
        <w:t xml:space="preserve">המשפט </w:t>
      </w:r>
      <w:bookmarkStart w:id="80981" w:name="_ETM_Q162_208500"/>
      <w:bookmarkEnd w:id="80981"/>
      <w:r>
        <w:rPr>
          <w:rFonts w:hint="cs"/>
          <w:rtl/>
        </w:rPr>
        <w:t xml:space="preserve">נטל </w:t>
      </w:r>
      <w:bookmarkStart w:id="80982" w:name="_ETM_Q162_208830"/>
      <w:bookmarkEnd w:id="80982"/>
      <w:r>
        <w:rPr>
          <w:rFonts w:hint="cs"/>
          <w:rtl/>
        </w:rPr>
        <w:t xml:space="preserve">לעצמו </w:t>
      </w:r>
      <w:bookmarkStart w:id="80983" w:name="_ETM_Q162_209130"/>
      <w:bookmarkEnd w:id="80983"/>
      <w:r>
        <w:rPr>
          <w:rFonts w:hint="cs"/>
          <w:rtl/>
        </w:rPr>
        <w:t xml:space="preserve">את </w:t>
      </w:r>
      <w:bookmarkStart w:id="80984" w:name="_ETM_Q162_209250"/>
      <w:bookmarkEnd w:id="80984"/>
      <w:r>
        <w:rPr>
          <w:rFonts w:hint="cs"/>
          <w:rtl/>
        </w:rPr>
        <w:t xml:space="preserve">הסמכות, </w:t>
      </w:r>
      <w:bookmarkStart w:id="80985" w:name="_ETM_Q162_210210"/>
      <w:bookmarkEnd w:id="80985"/>
      <w:r>
        <w:rPr>
          <w:rFonts w:hint="cs"/>
          <w:rtl/>
        </w:rPr>
        <w:t xml:space="preserve">ללא </w:t>
      </w:r>
      <w:bookmarkStart w:id="80986" w:name="_ETM_Q162_210660"/>
      <w:bookmarkEnd w:id="80986"/>
      <w:r>
        <w:rPr>
          <w:rFonts w:hint="cs"/>
          <w:rtl/>
        </w:rPr>
        <w:t xml:space="preserve">כל </w:t>
      </w:r>
      <w:bookmarkStart w:id="80987" w:name="_ETM_Q162_210869"/>
      <w:bookmarkEnd w:id="80987"/>
      <w:r>
        <w:rPr>
          <w:rFonts w:hint="cs"/>
          <w:rtl/>
        </w:rPr>
        <w:t xml:space="preserve">בסיס </w:t>
      </w:r>
      <w:bookmarkStart w:id="80988" w:name="_ETM_Q162_211230"/>
      <w:bookmarkEnd w:id="80988"/>
      <w:r>
        <w:rPr>
          <w:rFonts w:hint="cs"/>
          <w:rtl/>
        </w:rPr>
        <w:t xml:space="preserve">בחוק, </w:t>
      </w:r>
      <w:bookmarkStart w:id="80989" w:name="_ETM_Q162_211619"/>
      <w:bookmarkEnd w:id="80989"/>
      <w:r>
        <w:rPr>
          <w:rFonts w:hint="cs"/>
          <w:rtl/>
        </w:rPr>
        <w:t xml:space="preserve">להתערב </w:t>
      </w:r>
      <w:bookmarkStart w:id="80990" w:name="_ETM_Q162_212130"/>
      <w:bookmarkEnd w:id="80990"/>
      <w:r>
        <w:rPr>
          <w:rFonts w:hint="cs"/>
          <w:rtl/>
        </w:rPr>
        <w:t xml:space="preserve">במינויים </w:t>
      </w:r>
      <w:bookmarkStart w:id="80991" w:name="_ETM_Q162_212760"/>
      <w:bookmarkEnd w:id="80991"/>
      <w:r>
        <w:rPr>
          <w:rFonts w:hint="cs"/>
          <w:rtl/>
        </w:rPr>
        <w:t xml:space="preserve">ברשות </w:t>
      </w:r>
      <w:bookmarkStart w:id="80992" w:name="_ETM_Q162_213150"/>
      <w:bookmarkEnd w:id="80992"/>
      <w:r>
        <w:rPr>
          <w:rFonts w:hint="cs"/>
          <w:rtl/>
        </w:rPr>
        <w:t xml:space="preserve">המבצעת, </w:t>
      </w:r>
      <w:bookmarkStart w:id="80993" w:name="_ETM_Q162_214140"/>
      <w:bookmarkEnd w:id="80993"/>
      <w:r>
        <w:rPr>
          <w:rFonts w:hint="cs"/>
          <w:rtl/>
        </w:rPr>
        <w:t xml:space="preserve">ואז </w:t>
      </w:r>
      <w:bookmarkStart w:id="80994" w:name="_ETM_Q162_214500"/>
      <w:bookmarkEnd w:id="80994"/>
      <w:r>
        <w:rPr>
          <w:rFonts w:hint="cs"/>
          <w:rtl/>
        </w:rPr>
        <w:t xml:space="preserve">במינוי </w:t>
      </w:r>
      <w:bookmarkStart w:id="80995" w:name="_ETM_Q162_214950"/>
      <w:bookmarkEnd w:id="80995"/>
      <w:r>
        <w:rPr>
          <w:rFonts w:hint="cs"/>
          <w:rtl/>
        </w:rPr>
        <w:t xml:space="preserve">שרים </w:t>
      </w:r>
      <w:bookmarkStart w:id="80996" w:name="_ETM_Q162_215309"/>
      <w:bookmarkEnd w:id="80996"/>
      <w:r>
        <w:rPr>
          <w:rFonts w:hint="cs"/>
          <w:rtl/>
        </w:rPr>
        <w:t xml:space="preserve">בממשלה, </w:t>
      </w:r>
      <w:bookmarkStart w:id="80997" w:name="_ETM_Q162_216360"/>
      <w:bookmarkEnd w:id="80997"/>
      <w:r>
        <w:rPr>
          <w:rFonts w:hint="cs"/>
          <w:rtl/>
        </w:rPr>
        <w:t xml:space="preserve">וזאת, </w:t>
      </w:r>
      <w:bookmarkStart w:id="80998" w:name="_ETM_Q162_216870"/>
      <w:bookmarkEnd w:id="80998"/>
      <w:r>
        <w:rPr>
          <w:rFonts w:hint="cs"/>
          <w:rtl/>
        </w:rPr>
        <w:t xml:space="preserve">גם </w:t>
      </w:r>
      <w:bookmarkStart w:id="80999" w:name="_ETM_Q162_217170"/>
      <w:bookmarkEnd w:id="80999"/>
      <w:r>
        <w:rPr>
          <w:rFonts w:hint="cs"/>
          <w:rtl/>
        </w:rPr>
        <w:t xml:space="preserve">אם </w:t>
      </w:r>
      <w:bookmarkStart w:id="81000" w:name="_ETM_Q162_217290"/>
      <w:bookmarkEnd w:id="81000"/>
      <w:r>
        <w:rPr>
          <w:rFonts w:hint="cs"/>
          <w:rtl/>
        </w:rPr>
        <w:t xml:space="preserve">הם </w:t>
      </w:r>
      <w:bookmarkStart w:id="81001" w:name="_ETM_Q162_217409"/>
      <w:bookmarkEnd w:id="81001"/>
      <w:r>
        <w:rPr>
          <w:rFonts w:hint="cs"/>
          <w:rtl/>
        </w:rPr>
        <w:t xml:space="preserve">עומדים </w:t>
      </w:r>
      <w:bookmarkStart w:id="81002" w:name="_ETM_Q162_217800"/>
      <w:bookmarkEnd w:id="81002"/>
      <w:r>
        <w:rPr>
          <w:rFonts w:hint="cs"/>
          <w:rtl/>
        </w:rPr>
        <w:t xml:space="preserve">בכל </w:t>
      </w:r>
      <w:bookmarkStart w:id="81003" w:name="_ETM_Q162_218220"/>
      <w:bookmarkEnd w:id="81003"/>
      <w:r>
        <w:rPr>
          <w:rFonts w:hint="cs"/>
          <w:rtl/>
        </w:rPr>
        <w:t xml:space="preserve">תנאי </w:t>
      </w:r>
      <w:bookmarkStart w:id="81004" w:name="_ETM_Q162_218550"/>
      <w:bookmarkEnd w:id="81004"/>
      <w:r>
        <w:rPr>
          <w:rFonts w:hint="cs"/>
          <w:rtl/>
        </w:rPr>
        <w:t xml:space="preserve">הכשירות </w:t>
      </w:r>
      <w:bookmarkStart w:id="81005" w:name="_ETM_Q162_218940"/>
      <w:bookmarkEnd w:id="81005"/>
      <w:r>
        <w:rPr>
          <w:rFonts w:hint="cs"/>
          <w:rtl/>
        </w:rPr>
        <w:t xml:space="preserve">שנקבעו </w:t>
      </w:r>
      <w:bookmarkStart w:id="81006" w:name="_ETM_Q162_219390"/>
      <w:bookmarkEnd w:id="81006"/>
      <w:r>
        <w:rPr>
          <w:rFonts w:hint="cs"/>
          <w:rtl/>
        </w:rPr>
        <w:t xml:space="preserve">בחוק. </w:t>
      </w:r>
      <w:bookmarkStart w:id="81007" w:name="_ETM_Q162_220479"/>
      <w:bookmarkEnd w:id="81007"/>
      <w:r>
        <w:rPr>
          <w:rFonts w:hint="cs"/>
          <w:rtl/>
        </w:rPr>
        <w:t xml:space="preserve">הרחבת </w:t>
      </w:r>
      <w:bookmarkStart w:id="81008" w:name="_ETM_Q162_221140"/>
      <w:bookmarkEnd w:id="81008"/>
      <w:r>
        <w:rPr>
          <w:rFonts w:hint="cs"/>
          <w:rtl/>
        </w:rPr>
        <w:t xml:space="preserve">סמכות </w:t>
      </w:r>
      <w:bookmarkStart w:id="81009" w:name="_ETM_Q162_221620"/>
      <w:bookmarkEnd w:id="81009"/>
      <w:r>
        <w:rPr>
          <w:rFonts w:hint="cs"/>
          <w:rtl/>
        </w:rPr>
        <w:t xml:space="preserve">זו </w:t>
      </w:r>
      <w:bookmarkStart w:id="81010" w:name="_ETM_Q162_221859"/>
      <w:bookmarkEnd w:id="81010"/>
      <w:r>
        <w:rPr>
          <w:rFonts w:hint="cs"/>
          <w:rtl/>
        </w:rPr>
        <w:t xml:space="preserve">כלפי </w:t>
      </w:r>
      <w:bookmarkStart w:id="81011" w:name="_ETM_Q162_222250"/>
      <w:bookmarkEnd w:id="81011"/>
      <w:r>
        <w:rPr>
          <w:rFonts w:hint="cs"/>
          <w:rtl/>
        </w:rPr>
        <w:t xml:space="preserve">מינויים </w:t>
      </w:r>
      <w:bookmarkStart w:id="81012" w:name="_ETM_Q162_222640"/>
      <w:bookmarkEnd w:id="81012"/>
      <w:r>
        <w:rPr>
          <w:rFonts w:hint="cs"/>
          <w:rtl/>
        </w:rPr>
        <w:t xml:space="preserve">ברשות </w:t>
      </w:r>
      <w:bookmarkStart w:id="81013" w:name="_ETM_Q162_223030"/>
      <w:bookmarkEnd w:id="81013"/>
      <w:r>
        <w:rPr>
          <w:rFonts w:hint="cs"/>
          <w:rtl/>
        </w:rPr>
        <w:t xml:space="preserve">המבצעת </w:t>
      </w:r>
      <w:bookmarkStart w:id="81014" w:name="_ETM_Q162_224430"/>
      <w:bookmarkEnd w:id="81014"/>
      <w:r>
        <w:rPr>
          <w:rFonts w:hint="cs"/>
          <w:rtl/>
        </w:rPr>
        <w:t xml:space="preserve">אין </w:t>
      </w:r>
      <w:bookmarkStart w:id="81015" w:name="_ETM_Q162_224729"/>
      <w:bookmarkEnd w:id="81015"/>
      <w:r>
        <w:rPr>
          <w:rFonts w:hint="cs"/>
          <w:rtl/>
        </w:rPr>
        <w:t xml:space="preserve">לה </w:t>
      </w:r>
      <w:bookmarkStart w:id="81016" w:name="_ETM_Q162_225180"/>
      <w:bookmarkEnd w:id="81016"/>
      <w:r>
        <w:rPr>
          <w:rFonts w:hint="cs"/>
          <w:rtl/>
        </w:rPr>
        <w:t xml:space="preserve">אח </w:t>
      </w:r>
      <w:bookmarkStart w:id="81017" w:name="_ETM_Q162_225570"/>
      <w:bookmarkEnd w:id="81017"/>
      <w:r>
        <w:rPr>
          <w:rFonts w:hint="cs"/>
          <w:rtl/>
        </w:rPr>
        <w:t xml:space="preserve">ורע </w:t>
      </w:r>
      <w:bookmarkStart w:id="81018" w:name="_ETM_Q162_226020"/>
      <w:bookmarkEnd w:id="81018"/>
      <w:r>
        <w:rPr>
          <w:rFonts w:hint="cs"/>
          <w:rtl/>
        </w:rPr>
        <w:t xml:space="preserve">בעולם, </w:t>
      </w:r>
      <w:bookmarkStart w:id="81019" w:name="_ETM_Q162_224066"/>
      <w:bookmarkEnd w:id="81019"/>
      <w:r>
        <w:rPr>
          <w:rFonts w:hint="cs"/>
          <w:rtl/>
        </w:rPr>
        <w:t xml:space="preserve">והיא הפרה </w:t>
      </w:r>
      <w:bookmarkStart w:id="81020" w:name="_ETM_Q162_227329"/>
      <w:bookmarkStart w:id="81021" w:name="_ETM_Q162_228260"/>
      <w:bookmarkEnd w:id="81020"/>
      <w:bookmarkEnd w:id="81021"/>
      <w:r>
        <w:rPr>
          <w:rFonts w:hint="cs"/>
          <w:rtl/>
        </w:rPr>
        <w:t xml:space="preserve">את עקרון </w:t>
      </w:r>
      <w:bookmarkStart w:id="81022" w:name="_ETM_Q162_228589"/>
      <w:bookmarkEnd w:id="81022"/>
      <w:r>
        <w:rPr>
          <w:rFonts w:hint="cs"/>
          <w:rtl/>
        </w:rPr>
        <w:t xml:space="preserve">הפרדת </w:t>
      </w:r>
      <w:bookmarkStart w:id="81023" w:name="_ETM_Q162_229010"/>
      <w:bookmarkEnd w:id="81023"/>
      <w:r>
        <w:rPr>
          <w:rFonts w:hint="cs"/>
          <w:rtl/>
        </w:rPr>
        <w:t xml:space="preserve">הרשויות </w:t>
      </w:r>
      <w:bookmarkStart w:id="81024" w:name="_ETM_Q162_229370"/>
      <w:bookmarkEnd w:id="81024"/>
      <w:r>
        <w:rPr>
          <w:rFonts w:hint="cs"/>
          <w:rtl/>
        </w:rPr>
        <w:t xml:space="preserve">באופן </w:t>
      </w:r>
      <w:bookmarkStart w:id="81025" w:name="_ETM_Q162_229760"/>
      <w:bookmarkEnd w:id="81025"/>
      <w:r>
        <w:rPr>
          <w:rFonts w:hint="cs"/>
          <w:rtl/>
        </w:rPr>
        <w:t xml:space="preserve">הבוטה </w:t>
      </w:r>
      <w:bookmarkStart w:id="81026" w:name="_ETM_Q162_230120"/>
      <w:bookmarkEnd w:id="81026"/>
      <w:r>
        <w:rPr>
          <w:rFonts w:hint="cs"/>
          <w:rtl/>
        </w:rPr>
        <w:t xml:space="preserve">ביותר. </w:t>
      </w:r>
      <w:bookmarkStart w:id="81027" w:name="_ETM_Q162_231079"/>
      <w:bookmarkEnd w:id="81027"/>
      <w:r>
        <w:rPr>
          <w:rFonts w:hint="cs"/>
          <w:rtl/>
        </w:rPr>
        <w:t xml:space="preserve">פרופ' </w:t>
      </w:r>
      <w:bookmarkStart w:id="81028" w:name="_ETM_Q162_231649"/>
      <w:bookmarkEnd w:id="81028"/>
      <w:r>
        <w:rPr>
          <w:rFonts w:hint="cs"/>
          <w:rtl/>
        </w:rPr>
        <w:t xml:space="preserve">יואב </w:t>
      </w:r>
      <w:bookmarkStart w:id="81029" w:name="_ETM_Q162_231920"/>
      <w:bookmarkEnd w:id="81029"/>
      <w:r>
        <w:rPr>
          <w:rFonts w:hint="cs"/>
          <w:rtl/>
        </w:rPr>
        <w:t xml:space="preserve">דותן </w:t>
      </w:r>
      <w:bookmarkStart w:id="81030" w:name="_ETM_Q162_232249"/>
      <w:bookmarkEnd w:id="81030"/>
      <w:r>
        <w:rPr>
          <w:rFonts w:hint="cs"/>
          <w:rtl/>
        </w:rPr>
        <w:t xml:space="preserve">אף </w:t>
      </w:r>
      <w:bookmarkStart w:id="81031" w:name="_ETM_Q162_232399"/>
      <w:bookmarkEnd w:id="81031"/>
      <w:r>
        <w:rPr>
          <w:rFonts w:hint="cs"/>
          <w:rtl/>
        </w:rPr>
        <w:t xml:space="preserve">התבטא </w:t>
      </w:r>
      <w:bookmarkStart w:id="81032" w:name="_ETM_Q162_232879"/>
      <w:bookmarkEnd w:id="81032"/>
      <w:r>
        <w:rPr>
          <w:rFonts w:hint="cs"/>
          <w:rtl/>
        </w:rPr>
        <w:t xml:space="preserve">לגביה </w:t>
      </w:r>
      <w:bookmarkStart w:id="81033" w:name="_ETM_Q162_233420"/>
      <w:bookmarkEnd w:id="81033"/>
      <w:r>
        <w:rPr>
          <w:rFonts w:hint="cs"/>
          <w:rtl/>
        </w:rPr>
        <w:t xml:space="preserve">שהיא, </w:t>
      </w:r>
      <w:bookmarkStart w:id="81034" w:name="_ETM_Q162_234450"/>
      <w:bookmarkEnd w:id="81034"/>
      <w:r>
        <w:rPr>
          <w:rFonts w:hint="cs"/>
          <w:rtl/>
        </w:rPr>
        <w:t xml:space="preserve">ציטוט: </w:t>
      </w:r>
      <w:bookmarkStart w:id="81035" w:name="_ETM_Q162_235470"/>
      <w:bookmarkEnd w:id="81035"/>
      <w:r>
        <w:rPr>
          <w:rFonts w:hint="cs"/>
          <w:rtl/>
        </w:rPr>
        <w:t xml:space="preserve">הפכה </w:t>
      </w:r>
      <w:bookmarkStart w:id="81036" w:name="_ETM_Q162_236160"/>
      <w:bookmarkEnd w:id="81036"/>
      <w:r>
        <w:rPr>
          <w:rFonts w:hint="cs"/>
          <w:rtl/>
        </w:rPr>
        <w:t xml:space="preserve">כלי </w:t>
      </w:r>
      <w:bookmarkStart w:id="81037" w:name="_ETM_Q162_236700"/>
      <w:bookmarkEnd w:id="81037"/>
      <w:r>
        <w:rPr>
          <w:rFonts w:hint="cs"/>
          <w:rtl/>
        </w:rPr>
        <w:t xml:space="preserve">לחיסול </w:t>
      </w:r>
      <w:bookmarkStart w:id="81038" w:name="_ETM_Q162_237590"/>
      <w:bookmarkEnd w:id="81038"/>
      <w:r>
        <w:rPr>
          <w:rFonts w:hint="cs"/>
          <w:rtl/>
        </w:rPr>
        <w:t xml:space="preserve">פוליטי. </w:t>
      </w:r>
      <w:bookmarkStart w:id="81039" w:name="_ETM_Q162_238950"/>
      <w:bookmarkEnd w:id="81039"/>
    </w:p>
    <w:p w:rsidR="00BB59CD" w:rsidRDefault="00BB59CD" w:rsidP="00BB59CD">
      <w:pPr>
        <w:rPr>
          <w:rtl/>
        </w:rPr>
      </w:pPr>
      <w:bookmarkStart w:id="81040" w:name="_ETM_Q162_238920"/>
      <w:bookmarkStart w:id="81041" w:name="_ETM_Q162_239027"/>
      <w:bookmarkEnd w:id="81040"/>
      <w:bookmarkEnd w:id="81041"/>
    </w:p>
    <w:p w:rsidR="00BB59CD" w:rsidRDefault="00BB59CD" w:rsidP="00BB59CD">
      <w:pPr>
        <w:rPr>
          <w:rtl/>
        </w:rPr>
      </w:pPr>
      <w:bookmarkStart w:id="81042" w:name="_ETM_Q162_239064"/>
      <w:bookmarkStart w:id="81043" w:name="_ETM_Q162_239145"/>
      <w:bookmarkEnd w:id="81042"/>
      <w:bookmarkEnd w:id="81043"/>
      <w:r>
        <w:rPr>
          <w:rFonts w:hint="cs"/>
          <w:rtl/>
        </w:rPr>
        <w:t>ל</w:t>
      </w:r>
      <w:bookmarkStart w:id="81044" w:name="_ETM_Q162_239160"/>
      <w:bookmarkEnd w:id="81044"/>
      <w:r>
        <w:rPr>
          <w:rFonts w:hint="cs"/>
          <w:rtl/>
        </w:rPr>
        <w:t xml:space="preserve">תיקון </w:t>
      </w:r>
      <w:bookmarkStart w:id="81045" w:name="_ETM_Q162_239460"/>
      <w:bookmarkEnd w:id="81045"/>
      <w:r>
        <w:rPr>
          <w:rFonts w:hint="cs"/>
          <w:rtl/>
        </w:rPr>
        <w:t xml:space="preserve">הבעיה </w:t>
      </w:r>
      <w:bookmarkStart w:id="81046" w:name="_ETM_Q162_239879"/>
      <w:bookmarkEnd w:id="81046"/>
      <w:r>
        <w:rPr>
          <w:rFonts w:hint="cs"/>
          <w:rtl/>
        </w:rPr>
        <w:t xml:space="preserve">המתוארת </w:t>
      </w:r>
      <w:bookmarkStart w:id="81047" w:name="_ETM_Q162_240420"/>
      <w:bookmarkEnd w:id="81047"/>
      <w:r>
        <w:rPr>
          <w:rFonts w:hint="cs"/>
          <w:rtl/>
        </w:rPr>
        <w:t xml:space="preserve">הוצעו </w:t>
      </w:r>
      <w:bookmarkStart w:id="81048" w:name="_ETM_Q162_240750"/>
      <w:bookmarkEnd w:id="81048"/>
      <w:r>
        <w:rPr>
          <w:rFonts w:hint="cs"/>
          <w:rtl/>
        </w:rPr>
        <w:t xml:space="preserve">פתרונות </w:t>
      </w:r>
      <w:bookmarkStart w:id="81049" w:name="_ETM_Q162_241200"/>
      <w:bookmarkEnd w:id="81049"/>
      <w:r>
        <w:rPr>
          <w:rFonts w:hint="cs"/>
          <w:rtl/>
        </w:rPr>
        <w:t xml:space="preserve">שונים, </w:t>
      </w:r>
      <w:bookmarkStart w:id="81050" w:name="_ETM_Q162_242019"/>
      <w:bookmarkEnd w:id="81050"/>
      <w:r>
        <w:rPr>
          <w:rFonts w:hint="cs"/>
          <w:rtl/>
        </w:rPr>
        <w:t xml:space="preserve">כך </w:t>
      </w:r>
      <w:bookmarkStart w:id="81051" w:name="_ETM_Q162_242289"/>
      <w:bookmarkEnd w:id="81051"/>
      <w:r>
        <w:rPr>
          <w:rFonts w:hint="cs"/>
          <w:rtl/>
        </w:rPr>
        <w:t xml:space="preserve">לדוגמה </w:t>
      </w:r>
      <w:bookmarkStart w:id="81052" w:name="_ETM_Q162_242739"/>
      <w:bookmarkEnd w:id="81052"/>
      <w:r>
        <w:rPr>
          <w:rFonts w:hint="cs"/>
          <w:rtl/>
        </w:rPr>
        <w:t xml:space="preserve">הנשיא אשר </w:t>
      </w:r>
      <w:bookmarkStart w:id="81053" w:name="_ETM_Q162_243129"/>
      <w:bookmarkStart w:id="81054" w:name="_ETM_Q162_243309"/>
      <w:bookmarkEnd w:id="81053"/>
      <w:bookmarkEnd w:id="81054"/>
      <w:r>
        <w:rPr>
          <w:rFonts w:hint="cs"/>
          <w:rtl/>
        </w:rPr>
        <w:t xml:space="preserve">גרוניס </w:t>
      </w:r>
      <w:bookmarkStart w:id="81055" w:name="_ETM_Q162_243639"/>
      <w:bookmarkEnd w:id="81055"/>
      <w:r>
        <w:rPr>
          <w:rFonts w:hint="cs"/>
          <w:rtl/>
        </w:rPr>
        <w:t xml:space="preserve">הציע </w:t>
      </w:r>
      <w:bookmarkStart w:id="81056" w:name="_ETM_Q162_243999"/>
      <w:bookmarkEnd w:id="81056"/>
      <w:r>
        <w:rPr>
          <w:rFonts w:hint="cs"/>
          <w:rtl/>
        </w:rPr>
        <w:t xml:space="preserve">להעדיף </w:t>
      </w:r>
      <w:bookmarkStart w:id="81057" w:name="_ETM_Q162_244360"/>
      <w:bookmarkEnd w:id="81057"/>
      <w:r>
        <w:rPr>
          <w:rFonts w:hint="cs"/>
          <w:rtl/>
        </w:rPr>
        <w:t xml:space="preserve">שימוש </w:t>
      </w:r>
      <w:bookmarkStart w:id="81058" w:name="_ETM_Q162_245140"/>
      <w:bookmarkEnd w:id="81058"/>
      <w:r>
        <w:rPr>
          <w:rFonts w:hint="cs"/>
          <w:rtl/>
        </w:rPr>
        <w:t xml:space="preserve">בעילות </w:t>
      </w:r>
      <w:bookmarkStart w:id="81059" w:name="_ETM_Q162_245740"/>
      <w:bookmarkEnd w:id="81059"/>
      <w:r>
        <w:rPr>
          <w:rFonts w:hint="cs"/>
          <w:rtl/>
        </w:rPr>
        <w:t xml:space="preserve">בעלות </w:t>
      </w:r>
      <w:bookmarkStart w:id="81060" w:name="_ETM_Q162_246069"/>
      <w:bookmarkEnd w:id="81060"/>
      <w:r>
        <w:rPr>
          <w:rFonts w:hint="cs"/>
          <w:rtl/>
        </w:rPr>
        <w:t xml:space="preserve">פריסה </w:t>
      </w:r>
      <w:bookmarkStart w:id="81061" w:name="_ETM_Q162_246459"/>
      <w:bookmarkEnd w:id="81061"/>
      <w:r>
        <w:rPr>
          <w:rFonts w:hint="cs"/>
          <w:rtl/>
        </w:rPr>
        <w:t xml:space="preserve">מצומצמת </w:t>
      </w:r>
      <w:bookmarkStart w:id="81062" w:name="_ETM_Q162_247119"/>
      <w:bookmarkEnd w:id="81062"/>
      <w:r>
        <w:rPr>
          <w:rFonts w:hint="cs"/>
          <w:rtl/>
        </w:rPr>
        <w:t xml:space="preserve">יחסית, </w:t>
      </w:r>
      <w:bookmarkStart w:id="81063" w:name="_ETM_Q162_247990"/>
      <w:bookmarkEnd w:id="81063"/>
      <w:r>
        <w:rPr>
          <w:rFonts w:hint="cs"/>
          <w:rtl/>
        </w:rPr>
        <w:t xml:space="preserve">שהינן </w:t>
      </w:r>
      <w:bookmarkStart w:id="81064" w:name="_ETM_Q162_248500"/>
      <w:bookmarkEnd w:id="81064"/>
      <w:r>
        <w:rPr>
          <w:rFonts w:hint="cs"/>
          <w:rtl/>
        </w:rPr>
        <w:t xml:space="preserve">יותר </w:t>
      </w:r>
      <w:bookmarkStart w:id="81065" w:name="_ETM_Q162_248799"/>
      <w:bookmarkEnd w:id="81065"/>
      <w:r>
        <w:rPr>
          <w:rFonts w:hint="cs"/>
          <w:rtl/>
        </w:rPr>
        <w:t xml:space="preserve">קונקרטיות, </w:t>
      </w:r>
      <w:bookmarkStart w:id="81066" w:name="_ETM_Q162_250000"/>
      <w:bookmarkEnd w:id="81066"/>
      <w:r>
        <w:rPr>
          <w:rFonts w:hint="cs"/>
          <w:rtl/>
        </w:rPr>
        <w:t xml:space="preserve">כמו </w:t>
      </w:r>
      <w:bookmarkStart w:id="81067" w:name="_ETM_Q162_250270"/>
      <w:bookmarkEnd w:id="81067"/>
      <w:r>
        <w:rPr>
          <w:rFonts w:hint="cs"/>
          <w:rtl/>
        </w:rPr>
        <w:t xml:space="preserve">שיקולים </w:t>
      </w:r>
      <w:bookmarkStart w:id="81068" w:name="_ETM_Q162_250810"/>
      <w:bookmarkEnd w:id="81068"/>
      <w:r>
        <w:rPr>
          <w:rFonts w:hint="cs"/>
          <w:rtl/>
        </w:rPr>
        <w:t xml:space="preserve">זרים, </w:t>
      </w:r>
      <w:bookmarkStart w:id="81069" w:name="_ETM_Q162_251770"/>
      <w:bookmarkEnd w:id="81069"/>
      <w:r>
        <w:rPr>
          <w:rFonts w:hint="cs"/>
          <w:rtl/>
        </w:rPr>
        <w:t xml:space="preserve">מטרה </w:t>
      </w:r>
      <w:bookmarkStart w:id="81070" w:name="_ETM_Q162_252310"/>
      <w:bookmarkEnd w:id="81070"/>
      <w:r>
        <w:rPr>
          <w:rFonts w:hint="cs"/>
          <w:rtl/>
        </w:rPr>
        <w:t xml:space="preserve">זרה, </w:t>
      </w:r>
      <w:bookmarkStart w:id="81071" w:name="_ETM_Q162_252729"/>
      <w:bookmarkEnd w:id="81071"/>
      <w:r>
        <w:rPr>
          <w:rFonts w:hint="cs"/>
          <w:rtl/>
        </w:rPr>
        <w:t xml:space="preserve">או </w:t>
      </w:r>
      <w:bookmarkStart w:id="81072" w:name="_ETM_Q162_252880"/>
      <w:bookmarkEnd w:id="81072"/>
      <w:r>
        <w:rPr>
          <w:rFonts w:hint="cs"/>
          <w:rtl/>
        </w:rPr>
        <w:t xml:space="preserve">אפליה. </w:t>
      </w:r>
      <w:bookmarkStart w:id="81073" w:name="_ETM_Q162_254030"/>
      <w:bookmarkEnd w:id="81073"/>
      <w:r>
        <w:rPr>
          <w:rFonts w:hint="cs"/>
          <w:rtl/>
        </w:rPr>
        <w:t xml:space="preserve">אחרים </w:t>
      </w:r>
      <w:bookmarkStart w:id="81074" w:name="_ETM_Q162_254479"/>
      <w:bookmarkEnd w:id="81074"/>
      <w:r>
        <w:rPr>
          <w:rFonts w:hint="cs"/>
          <w:rtl/>
        </w:rPr>
        <w:t xml:space="preserve">הציעו </w:t>
      </w:r>
      <w:bookmarkStart w:id="81075" w:name="_ETM_Q162_254810"/>
      <w:bookmarkEnd w:id="81075"/>
      <w:r>
        <w:rPr>
          <w:rFonts w:hint="cs"/>
          <w:rtl/>
        </w:rPr>
        <w:t xml:space="preserve">לחזור </w:t>
      </w:r>
      <w:bookmarkStart w:id="81076" w:name="_ETM_Q162_255289"/>
      <w:bookmarkEnd w:id="81076"/>
      <w:r>
        <w:rPr>
          <w:rFonts w:hint="cs"/>
          <w:rtl/>
        </w:rPr>
        <w:t>לעילת האי</w:t>
      </w:r>
      <w:bookmarkStart w:id="81077" w:name="_ETM_Q162_255740"/>
      <w:bookmarkEnd w:id="81077"/>
      <w:r>
        <w:rPr>
          <w:rFonts w:hint="cs"/>
          <w:rtl/>
        </w:rPr>
        <w:t xml:space="preserve">-סבירות </w:t>
      </w:r>
      <w:bookmarkStart w:id="81078" w:name="_ETM_Q162_256130"/>
      <w:bookmarkEnd w:id="81078"/>
      <w:r>
        <w:rPr>
          <w:rFonts w:hint="cs"/>
          <w:rtl/>
        </w:rPr>
        <w:t xml:space="preserve">הקיצונית </w:t>
      </w:r>
      <w:bookmarkStart w:id="81079" w:name="_ETM_Q162_256640"/>
      <w:bookmarkEnd w:id="81079"/>
      <w:r>
        <w:rPr>
          <w:rFonts w:hint="cs"/>
          <w:rtl/>
        </w:rPr>
        <w:t>של וודנסברי</w:t>
      </w:r>
      <w:bookmarkStart w:id="81080" w:name="_ETM_Q162_256759"/>
      <w:bookmarkStart w:id="81081" w:name="_ETM_Q162_256969"/>
      <w:bookmarkStart w:id="81082" w:name="_ETM_Q162_258080"/>
      <w:bookmarkEnd w:id="81080"/>
      <w:bookmarkEnd w:id="81081"/>
      <w:bookmarkEnd w:id="81082"/>
      <w:r>
        <w:rPr>
          <w:rFonts w:hint="cs"/>
          <w:rtl/>
        </w:rPr>
        <w:t xml:space="preserve">, אלא </w:t>
      </w:r>
      <w:bookmarkStart w:id="81083" w:name="_ETM_Q162_258319"/>
      <w:bookmarkEnd w:id="81083"/>
      <w:r>
        <w:rPr>
          <w:rFonts w:hint="cs"/>
          <w:rtl/>
        </w:rPr>
        <w:t xml:space="preserve">שפתרון </w:t>
      </w:r>
      <w:bookmarkStart w:id="81084" w:name="_ETM_Q162_258920"/>
      <w:bookmarkEnd w:id="81084"/>
      <w:r>
        <w:rPr>
          <w:rFonts w:hint="cs"/>
          <w:rtl/>
        </w:rPr>
        <w:t xml:space="preserve">זה, </w:t>
      </w:r>
      <w:bookmarkStart w:id="81085" w:name="_ETM_Q162_259100"/>
      <w:bookmarkEnd w:id="81085"/>
      <w:r>
        <w:rPr>
          <w:rFonts w:hint="cs"/>
          <w:rtl/>
        </w:rPr>
        <w:t xml:space="preserve">כפי </w:t>
      </w:r>
      <w:bookmarkStart w:id="81086" w:name="_ETM_Q162_259400"/>
      <w:bookmarkEnd w:id="81086"/>
      <w:r>
        <w:rPr>
          <w:rFonts w:hint="cs"/>
          <w:rtl/>
        </w:rPr>
        <w:t xml:space="preserve">שהעירו </w:t>
      </w:r>
      <w:bookmarkStart w:id="81087" w:name="_ETM_Q162_259760"/>
      <w:bookmarkEnd w:id="81087"/>
      <w:r>
        <w:rPr>
          <w:rFonts w:hint="cs"/>
          <w:rtl/>
        </w:rPr>
        <w:t xml:space="preserve">רבים, </w:t>
      </w:r>
      <w:bookmarkStart w:id="81088" w:name="_ETM_Q162_260120"/>
      <w:bookmarkEnd w:id="81088"/>
      <w:r>
        <w:rPr>
          <w:rFonts w:hint="cs"/>
          <w:rtl/>
        </w:rPr>
        <w:t xml:space="preserve">לא </w:t>
      </w:r>
      <w:bookmarkStart w:id="81089" w:name="_ETM_Q162_260209"/>
      <w:bookmarkEnd w:id="81089"/>
      <w:r>
        <w:rPr>
          <w:rFonts w:hint="cs"/>
          <w:rtl/>
        </w:rPr>
        <w:t xml:space="preserve">הוכיח </w:t>
      </w:r>
      <w:bookmarkStart w:id="81090" w:name="_ETM_Q162_260510"/>
      <w:bookmarkEnd w:id="81090"/>
      <w:r>
        <w:rPr>
          <w:rFonts w:hint="cs"/>
          <w:rtl/>
        </w:rPr>
        <w:t xml:space="preserve">את </w:t>
      </w:r>
      <w:bookmarkStart w:id="81091" w:name="_ETM_Q162_260630"/>
      <w:bookmarkEnd w:id="81091"/>
      <w:r>
        <w:rPr>
          <w:rFonts w:hint="cs"/>
          <w:rtl/>
        </w:rPr>
        <w:t xml:space="preserve">עצמו, </w:t>
      </w:r>
      <w:bookmarkStart w:id="81092" w:name="_ETM_Q162_261290"/>
      <w:bookmarkEnd w:id="81092"/>
      <w:r>
        <w:rPr>
          <w:rFonts w:hint="cs"/>
          <w:rtl/>
        </w:rPr>
        <w:t xml:space="preserve">שהרי </w:t>
      </w:r>
      <w:bookmarkStart w:id="81093" w:name="_ETM_Q162_261650"/>
      <w:bookmarkEnd w:id="81093"/>
      <w:r>
        <w:rPr>
          <w:rFonts w:hint="cs"/>
          <w:rtl/>
        </w:rPr>
        <w:t xml:space="preserve">השופט </w:t>
      </w:r>
      <w:bookmarkStart w:id="81094" w:name="_ETM_Q162_262069"/>
      <w:bookmarkEnd w:id="81094"/>
      <w:r>
        <w:rPr>
          <w:rFonts w:hint="cs"/>
          <w:rtl/>
        </w:rPr>
        <w:t xml:space="preserve">אהרן </w:t>
      </w:r>
      <w:bookmarkStart w:id="81095" w:name="_ETM_Q162_262340"/>
      <w:bookmarkEnd w:id="81095"/>
      <w:r>
        <w:rPr>
          <w:rFonts w:hint="cs"/>
          <w:rtl/>
        </w:rPr>
        <w:t xml:space="preserve">ברק </w:t>
      </w:r>
      <w:bookmarkStart w:id="81096" w:name="_ETM_Q162_262640"/>
      <w:bookmarkEnd w:id="81096"/>
      <w:r>
        <w:rPr>
          <w:rFonts w:hint="cs"/>
          <w:rtl/>
        </w:rPr>
        <w:t xml:space="preserve">בעצמו </w:t>
      </w:r>
      <w:bookmarkStart w:id="81097" w:name="_ETM_Q162_263030"/>
      <w:bookmarkEnd w:id="81097"/>
      <w:r>
        <w:rPr>
          <w:rFonts w:hint="cs"/>
          <w:rtl/>
        </w:rPr>
        <w:t xml:space="preserve">בפסק </w:t>
      </w:r>
      <w:bookmarkStart w:id="81098" w:name="_ETM_Q162_263450"/>
      <w:bookmarkEnd w:id="81098"/>
      <w:r>
        <w:rPr>
          <w:rFonts w:hint="cs"/>
          <w:rtl/>
        </w:rPr>
        <w:t xml:space="preserve">דין </w:t>
      </w:r>
      <w:bookmarkStart w:id="81099" w:name="_ETM_Q162_263600"/>
      <w:bookmarkEnd w:id="81099"/>
      <w:r>
        <w:rPr>
          <w:rFonts w:hint="cs"/>
          <w:rtl/>
        </w:rPr>
        <w:t xml:space="preserve">"דפי </w:t>
      </w:r>
      <w:bookmarkStart w:id="81100" w:name="_ETM_Q162_263900"/>
      <w:bookmarkEnd w:id="81100"/>
      <w:r>
        <w:rPr>
          <w:rFonts w:hint="cs"/>
          <w:rtl/>
        </w:rPr>
        <w:t xml:space="preserve">זהב" </w:t>
      </w:r>
      <w:bookmarkStart w:id="81101" w:name="_ETM_Q162_264909"/>
      <w:bookmarkEnd w:id="81101"/>
      <w:r>
        <w:rPr>
          <w:rFonts w:hint="cs"/>
          <w:rtl/>
        </w:rPr>
        <w:t xml:space="preserve">טען </w:t>
      </w:r>
      <w:bookmarkStart w:id="81102" w:name="_ETM_Q162_265270"/>
      <w:bookmarkEnd w:id="81102"/>
      <w:r>
        <w:rPr>
          <w:rFonts w:hint="cs"/>
          <w:rtl/>
        </w:rPr>
        <w:t xml:space="preserve">שהסתמך </w:t>
      </w:r>
      <w:bookmarkStart w:id="81103" w:name="_ETM_Q162_265810"/>
      <w:bookmarkEnd w:id="81103"/>
      <w:r>
        <w:rPr>
          <w:rFonts w:hint="cs"/>
          <w:rtl/>
        </w:rPr>
        <w:t xml:space="preserve">על עילת </w:t>
      </w:r>
      <w:bookmarkStart w:id="81104" w:name="_ETM_Q162_266229"/>
      <w:bookmarkEnd w:id="81104"/>
      <w:r>
        <w:rPr>
          <w:rFonts w:hint="cs"/>
          <w:rtl/>
        </w:rPr>
        <w:t xml:space="preserve">האי-סבירות </w:t>
      </w:r>
      <w:bookmarkStart w:id="81105" w:name="_ETM_Q162_266649"/>
      <w:bookmarkEnd w:id="81105"/>
      <w:r>
        <w:rPr>
          <w:rFonts w:hint="cs"/>
          <w:rtl/>
        </w:rPr>
        <w:t xml:space="preserve">הקיצונית. </w:t>
      </w:r>
      <w:bookmarkStart w:id="81106" w:name="_ETM_Q162_267790"/>
      <w:bookmarkEnd w:id="81106"/>
      <w:r>
        <w:rPr>
          <w:rFonts w:hint="cs"/>
          <w:rtl/>
        </w:rPr>
        <w:t>מ</w:t>
      </w:r>
      <w:bookmarkStart w:id="81107" w:name="_ETM_Q162_268000"/>
      <w:bookmarkEnd w:id="81107"/>
      <w:r>
        <w:rPr>
          <w:rFonts w:hint="cs"/>
          <w:rtl/>
        </w:rPr>
        <w:t xml:space="preserve">שכך, </w:t>
      </w:r>
      <w:bookmarkStart w:id="81108" w:name="_ETM_Q162_268390"/>
      <w:bookmarkEnd w:id="81108"/>
      <w:r>
        <w:rPr>
          <w:rFonts w:hint="cs"/>
          <w:rtl/>
        </w:rPr>
        <w:t xml:space="preserve">נדרש </w:t>
      </w:r>
      <w:bookmarkStart w:id="81109" w:name="_ETM_Q162_268780"/>
      <w:bookmarkEnd w:id="81109"/>
      <w:r>
        <w:rPr>
          <w:rFonts w:hint="cs"/>
          <w:rtl/>
        </w:rPr>
        <w:t xml:space="preserve">פתרון </w:t>
      </w:r>
      <w:bookmarkStart w:id="81110" w:name="_ETM_Q162_269260"/>
      <w:bookmarkEnd w:id="81110"/>
      <w:r>
        <w:rPr>
          <w:rFonts w:hint="cs"/>
          <w:rtl/>
        </w:rPr>
        <w:t xml:space="preserve">יעיל </w:t>
      </w:r>
      <w:bookmarkStart w:id="81111" w:name="_ETM_Q162_269590"/>
      <w:bookmarkEnd w:id="81111"/>
      <w:r>
        <w:rPr>
          <w:rFonts w:hint="cs"/>
          <w:rtl/>
        </w:rPr>
        <w:t xml:space="preserve">אחר, </w:t>
      </w:r>
      <w:bookmarkStart w:id="81112" w:name="_ETM_Q162_270340"/>
      <w:bookmarkEnd w:id="81112"/>
      <w:r>
        <w:rPr>
          <w:rFonts w:hint="cs"/>
          <w:rtl/>
        </w:rPr>
        <w:t xml:space="preserve">כזה </w:t>
      </w:r>
      <w:bookmarkStart w:id="81113" w:name="_ETM_Q162_270729"/>
      <w:bookmarkEnd w:id="81113"/>
      <w:r>
        <w:rPr>
          <w:rFonts w:hint="cs"/>
          <w:rtl/>
        </w:rPr>
        <w:t xml:space="preserve">שימנע </w:t>
      </w:r>
      <w:bookmarkStart w:id="81114" w:name="_ETM_Q162_271240"/>
      <w:bookmarkEnd w:id="81114"/>
      <w:r>
        <w:rPr>
          <w:rFonts w:hint="cs"/>
          <w:rtl/>
        </w:rPr>
        <w:t xml:space="preserve">את </w:t>
      </w:r>
      <w:bookmarkStart w:id="81115" w:name="_ETM_Q162_271360"/>
      <w:bookmarkEnd w:id="81115"/>
      <w:r>
        <w:rPr>
          <w:rFonts w:hint="cs"/>
          <w:rtl/>
        </w:rPr>
        <w:t xml:space="preserve">הישנותה </w:t>
      </w:r>
      <w:bookmarkStart w:id="81116" w:name="_ETM_Q162_271900"/>
      <w:bookmarkEnd w:id="81116"/>
      <w:r>
        <w:rPr>
          <w:rFonts w:hint="cs"/>
          <w:rtl/>
        </w:rPr>
        <w:t xml:space="preserve">של </w:t>
      </w:r>
      <w:bookmarkStart w:id="81117" w:name="_ETM_Q162_272080"/>
      <w:bookmarkEnd w:id="81117"/>
      <w:r>
        <w:rPr>
          <w:rFonts w:hint="cs"/>
          <w:rtl/>
        </w:rPr>
        <w:t xml:space="preserve">הרחבת </w:t>
      </w:r>
      <w:bookmarkStart w:id="81118" w:name="_ETM_Q162_272530"/>
      <w:bookmarkEnd w:id="81118"/>
      <w:r>
        <w:rPr>
          <w:rFonts w:hint="cs"/>
          <w:rtl/>
        </w:rPr>
        <w:t xml:space="preserve">עילת </w:t>
      </w:r>
      <w:bookmarkStart w:id="81119" w:name="_ETM_Q162_272770"/>
      <w:bookmarkEnd w:id="81119"/>
      <w:r>
        <w:rPr>
          <w:rFonts w:hint="cs"/>
          <w:rtl/>
        </w:rPr>
        <w:t xml:space="preserve">הסבירות </w:t>
      </w:r>
      <w:bookmarkStart w:id="81120" w:name="_ETM_Q162_273819"/>
      <w:bookmarkEnd w:id="81120"/>
      <w:r>
        <w:rPr>
          <w:rFonts w:hint="cs"/>
          <w:rtl/>
        </w:rPr>
        <w:t xml:space="preserve">לממדיה </w:t>
      </w:r>
      <w:bookmarkStart w:id="81121" w:name="_ETM_Q162_274479"/>
      <w:bookmarkEnd w:id="81121"/>
      <w:r>
        <w:rPr>
          <w:rFonts w:hint="cs"/>
          <w:rtl/>
        </w:rPr>
        <w:t>הנוכחיים</w:t>
      </w:r>
      <w:bookmarkStart w:id="81122" w:name="_ETM_Q162_276040"/>
      <w:bookmarkStart w:id="81123" w:name="_ETM_Q162_276340"/>
      <w:bookmarkEnd w:id="81122"/>
      <w:bookmarkEnd w:id="81123"/>
      <w:r>
        <w:rPr>
          <w:rFonts w:hint="cs"/>
          <w:rtl/>
        </w:rPr>
        <w:t xml:space="preserve">. </w:t>
      </w:r>
    </w:p>
    <w:p w:rsidR="00BB59CD" w:rsidRDefault="00BB59CD" w:rsidP="00BB59CD">
      <w:pPr>
        <w:rPr>
          <w:rtl/>
        </w:rPr>
      </w:pPr>
    </w:p>
    <w:p w:rsidR="00BB59CD" w:rsidRDefault="00BB59CD" w:rsidP="00BB59CD">
      <w:pPr>
        <w:rPr>
          <w:rtl/>
        </w:rPr>
      </w:pPr>
      <w:r>
        <w:rPr>
          <w:rFonts w:hint="cs"/>
          <w:rtl/>
        </w:rPr>
        <w:t xml:space="preserve">אחד הפתרונות </w:t>
      </w:r>
      <w:bookmarkStart w:id="81124" w:name="_ETM_Q162_276850"/>
      <w:bookmarkEnd w:id="81124"/>
      <w:r>
        <w:rPr>
          <w:rFonts w:hint="cs"/>
          <w:rtl/>
        </w:rPr>
        <w:t xml:space="preserve">הבולטים </w:t>
      </w:r>
      <w:bookmarkStart w:id="81125" w:name="_ETM_Q162_277240"/>
      <w:bookmarkEnd w:id="81125"/>
      <w:r>
        <w:rPr>
          <w:rFonts w:hint="cs"/>
          <w:rtl/>
        </w:rPr>
        <w:t xml:space="preserve">שהוצעו </w:t>
      </w:r>
      <w:bookmarkStart w:id="81126" w:name="_ETM_Q162_277600"/>
      <w:bookmarkEnd w:id="81126"/>
      <w:r>
        <w:rPr>
          <w:rFonts w:hint="cs"/>
          <w:rtl/>
        </w:rPr>
        <w:t xml:space="preserve">בהקשר </w:t>
      </w:r>
      <w:bookmarkStart w:id="81127" w:name="_ETM_Q162_277990"/>
      <w:bookmarkEnd w:id="81127"/>
      <w:r>
        <w:rPr>
          <w:rFonts w:hint="cs"/>
          <w:rtl/>
        </w:rPr>
        <w:t xml:space="preserve">הזה </w:t>
      </w:r>
      <w:bookmarkStart w:id="81128" w:name="_ETM_Q162_278260"/>
      <w:bookmarkEnd w:id="81128"/>
      <w:r>
        <w:rPr>
          <w:rFonts w:hint="cs"/>
          <w:rtl/>
        </w:rPr>
        <w:t xml:space="preserve">הוא </w:t>
      </w:r>
      <w:bookmarkStart w:id="81129" w:name="_ETM_Q162_278380"/>
      <w:bookmarkEnd w:id="81129"/>
      <w:r>
        <w:rPr>
          <w:rFonts w:hint="cs"/>
          <w:rtl/>
        </w:rPr>
        <w:t xml:space="preserve">המתווה </w:t>
      </w:r>
      <w:bookmarkStart w:id="81130" w:name="_ETM_Q162_278830"/>
      <w:bookmarkEnd w:id="81130"/>
      <w:r>
        <w:rPr>
          <w:rFonts w:hint="cs"/>
          <w:rtl/>
        </w:rPr>
        <w:t xml:space="preserve">שהציע </w:t>
      </w:r>
      <w:bookmarkStart w:id="81131" w:name="_ETM_Q162_279220"/>
      <w:bookmarkEnd w:id="81131"/>
      <w:r>
        <w:rPr>
          <w:rFonts w:hint="cs"/>
          <w:rtl/>
        </w:rPr>
        <w:t xml:space="preserve">השופט </w:t>
      </w:r>
      <w:bookmarkStart w:id="81132" w:name="_ETM_Q162_279640"/>
      <w:bookmarkEnd w:id="81132"/>
      <w:r>
        <w:rPr>
          <w:rFonts w:hint="cs"/>
          <w:rtl/>
        </w:rPr>
        <w:t xml:space="preserve">נעם </w:t>
      </w:r>
      <w:bookmarkStart w:id="81133" w:name="_ETM_Q162_279880"/>
      <w:bookmarkEnd w:id="81133"/>
      <w:r>
        <w:rPr>
          <w:rFonts w:hint="cs"/>
          <w:rtl/>
        </w:rPr>
        <w:t xml:space="preserve">סולברג </w:t>
      </w:r>
      <w:bookmarkStart w:id="81134" w:name="_ETM_Q162_280870"/>
      <w:bookmarkEnd w:id="81134"/>
      <w:r>
        <w:rPr>
          <w:rFonts w:hint="cs"/>
          <w:rtl/>
        </w:rPr>
        <w:t xml:space="preserve">במאמרו </w:t>
      </w:r>
      <w:bookmarkStart w:id="81135" w:name="_ETM_Q162_282130"/>
      <w:bookmarkEnd w:id="81135"/>
      <w:r>
        <w:rPr>
          <w:rFonts w:hint="cs"/>
          <w:rtl/>
        </w:rPr>
        <w:t xml:space="preserve">"על </w:t>
      </w:r>
      <w:bookmarkStart w:id="81136" w:name="_ETM_Q162_282310"/>
      <w:bookmarkEnd w:id="81136"/>
      <w:r>
        <w:rPr>
          <w:rFonts w:hint="cs"/>
          <w:rtl/>
        </w:rPr>
        <w:t xml:space="preserve">ערכים </w:t>
      </w:r>
      <w:bookmarkStart w:id="81137" w:name="_ETM_Q162_282730"/>
      <w:bookmarkEnd w:id="81137"/>
      <w:r>
        <w:rPr>
          <w:rFonts w:hint="cs"/>
          <w:rtl/>
        </w:rPr>
        <w:t xml:space="preserve">סובייקטיביים </w:t>
      </w:r>
      <w:bookmarkStart w:id="81138" w:name="_ETM_Q162_283569"/>
      <w:bookmarkEnd w:id="81138"/>
      <w:r>
        <w:rPr>
          <w:rFonts w:hint="cs"/>
          <w:rtl/>
        </w:rPr>
        <w:t xml:space="preserve">ושופטים </w:t>
      </w:r>
      <w:bookmarkStart w:id="81139" w:name="_ETM_Q162_284110"/>
      <w:bookmarkEnd w:id="81139"/>
      <w:r>
        <w:rPr>
          <w:rFonts w:hint="cs"/>
          <w:rtl/>
        </w:rPr>
        <w:t xml:space="preserve">אובייקטיביים", </w:t>
      </w:r>
      <w:bookmarkStart w:id="81140" w:name="_ETM_Q162_285250"/>
      <w:bookmarkEnd w:id="81140"/>
      <w:r>
        <w:rPr>
          <w:rFonts w:hint="cs"/>
          <w:rtl/>
        </w:rPr>
        <w:t xml:space="preserve">שהתפרסם </w:t>
      </w:r>
      <w:bookmarkStart w:id="81141" w:name="_ETM_Q162_286209"/>
      <w:bookmarkEnd w:id="81141"/>
      <w:r>
        <w:rPr>
          <w:rFonts w:hint="cs"/>
          <w:rtl/>
        </w:rPr>
        <w:t xml:space="preserve">ב"השילוח". </w:t>
      </w:r>
      <w:bookmarkStart w:id="81142" w:name="_ETM_Q162_287790"/>
      <w:bookmarkEnd w:id="81142"/>
      <w:r>
        <w:rPr>
          <w:rFonts w:hint="cs"/>
          <w:rtl/>
        </w:rPr>
        <w:t xml:space="preserve">במקום </w:t>
      </w:r>
      <w:bookmarkStart w:id="81143" w:name="_ETM_Q162_288270"/>
      <w:bookmarkEnd w:id="81143"/>
      <w:r>
        <w:rPr>
          <w:rFonts w:hint="cs"/>
          <w:rtl/>
        </w:rPr>
        <w:t xml:space="preserve">חלוקה </w:t>
      </w:r>
      <w:bookmarkStart w:id="81144" w:name="_ETM_Q162_288720"/>
      <w:bookmarkEnd w:id="81144"/>
      <w:r>
        <w:rPr>
          <w:rFonts w:hint="cs"/>
          <w:rtl/>
        </w:rPr>
        <w:t xml:space="preserve">מהותית </w:t>
      </w:r>
      <w:bookmarkStart w:id="81145" w:name="_ETM_Q162_289140"/>
      <w:bookmarkEnd w:id="81145"/>
      <w:r>
        <w:rPr>
          <w:rFonts w:hint="cs"/>
          <w:rtl/>
        </w:rPr>
        <w:t xml:space="preserve">בין </w:t>
      </w:r>
      <w:bookmarkStart w:id="81146" w:name="_ETM_Q162_289320"/>
      <w:bookmarkEnd w:id="81146"/>
      <w:r>
        <w:rPr>
          <w:rFonts w:hint="cs"/>
          <w:rtl/>
        </w:rPr>
        <w:t xml:space="preserve">סוגים </w:t>
      </w:r>
      <w:bookmarkStart w:id="81147" w:name="_ETM_Q162_289680"/>
      <w:bookmarkEnd w:id="81147"/>
      <w:r>
        <w:rPr>
          <w:rFonts w:hint="cs"/>
          <w:rtl/>
        </w:rPr>
        <w:t xml:space="preserve">שונים </w:t>
      </w:r>
      <w:bookmarkStart w:id="81148" w:name="_ETM_Q162_290010"/>
      <w:bookmarkEnd w:id="81148"/>
      <w:r>
        <w:rPr>
          <w:rFonts w:hint="cs"/>
          <w:rtl/>
        </w:rPr>
        <w:t xml:space="preserve">של </w:t>
      </w:r>
      <w:bookmarkStart w:id="81149" w:name="_ETM_Q162_290190"/>
      <w:bookmarkEnd w:id="81149"/>
      <w:r>
        <w:rPr>
          <w:rFonts w:hint="cs"/>
          <w:rtl/>
        </w:rPr>
        <w:t xml:space="preserve">החלטות </w:t>
      </w:r>
      <w:bookmarkStart w:id="81150" w:name="_ETM_Q162_290670"/>
      <w:bookmarkEnd w:id="81150"/>
      <w:r>
        <w:rPr>
          <w:rFonts w:hint="cs"/>
          <w:rtl/>
        </w:rPr>
        <w:t xml:space="preserve">וניסיון </w:t>
      </w:r>
      <w:bookmarkStart w:id="81151" w:name="_ETM_Q162_291150"/>
      <w:bookmarkEnd w:id="81151"/>
      <w:r>
        <w:rPr>
          <w:rFonts w:hint="cs"/>
          <w:rtl/>
        </w:rPr>
        <w:t xml:space="preserve">להגדיר </w:t>
      </w:r>
      <w:bookmarkStart w:id="81152" w:name="_ETM_Q162_291570"/>
      <w:bookmarkEnd w:id="81152"/>
      <w:r>
        <w:rPr>
          <w:rFonts w:hint="cs"/>
          <w:rtl/>
        </w:rPr>
        <w:t xml:space="preserve">עבור </w:t>
      </w:r>
      <w:bookmarkStart w:id="81153" w:name="_ETM_Q162_291810"/>
      <w:bookmarkEnd w:id="81153"/>
      <w:r>
        <w:rPr>
          <w:rFonts w:hint="cs"/>
          <w:rtl/>
        </w:rPr>
        <w:t xml:space="preserve">בית </w:t>
      </w:r>
      <w:bookmarkStart w:id="81154" w:name="_ETM_Q162_292020"/>
      <w:bookmarkEnd w:id="81154"/>
      <w:r>
        <w:rPr>
          <w:rFonts w:hint="cs"/>
          <w:rtl/>
        </w:rPr>
        <w:t xml:space="preserve">המשפט </w:t>
      </w:r>
      <w:bookmarkStart w:id="81155" w:name="_ETM_Q162_293020"/>
      <w:bookmarkEnd w:id="81155"/>
      <w:r>
        <w:rPr>
          <w:rFonts w:hint="cs"/>
          <w:rtl/>
        </w:rPr>
        <w:t xml:space="preserve">רמות </w:t>
      </w:r>
      <w:bookmarkStart w:id="81156" w:name="_ETM_Q162_293440"/>
      <w:bookmarkEnd w:id="81156"/>
      <w:r>
        <w:rPr>
          <w:rFonts w:hint="cs"/>
          <w:rtl/>
        </w:rPr>
        <w:t xml:space="preserve">שונות </w:t>
      </w:r>
      <w:bookmarkStart w:id="81157" w:name="_ETM_Q162_293770"/>
      <w:bookmarkEnd w:id="81157"/>
      <w:r>
        <w:rPr>
          <w:rFonts w:hint="cs"/>
          <w:rtl/>
        </w:rPr>
        <w:t xml:space="preserve">של </w:t>
      </w:r>
      <w:bookmarkStart w:id="81158" w:name="_ETM_Q162_293920"/>
      <w:bookmarkEnd w:id="81158"/>
      <w:r>
        <w:rPr>
          <w:rFonts w:hint="cs"/>
          <w:rtl/>
        </w:rPr>
        <w:t xml:space="preserve">סבירות </w:t>
      </w:r>
      <w:bookmarkStart w:id="81159" w:name="_ETM_Q162_294970"/>
      <w:bookmarkEnd w:id="81159"/>
      <w:r>
        <w:rPr>
          <w:rFonts w:hint="cs"/>
          <w:rtl/>
        </w:rPr>
        <w:t xml:space="preserve">ביישום </w:t>
      </w:r>
      <w:bookmarkStart w:id="81160" w:name="_ETM_Q162_295450"/>
      <w:bookmarkEnd w:id="81160"/>
      <w:r>
        <w:rPr>
          <w:rFonts w:hint="cs"/>
          <w:rtl/>
        </w:rPr>
        <w:t xml:space="preserve">הביקורת </w:t>
      </w:r>
      <w:bookmarkStart w:id="81161" w:name="_ETM_Q162_295900"/>
      <w:bookmarkEnd w:id="81161"/>
      <w:r>
        <w:rPr>
          <w:rFonts w:hint="cs"/>
          <w:rtl/>
        </w:rPr>
        <w:t xml:space="preserve">השיפוטית, </w:t>
      </w:r>
      <w:bookmarkStart w:id="81162" w:name="_ETM_Q162_296920"/>
      <w:bookmarkEnd w:id="81162"/>
      <w:r>
        <w:rPr>
          <w:rFonts w:hint="cs"/>
          <w:rtl/>
        </w:rPr>
        <w:t xml:space="preserve">השופט </w:t>
      </w:r>
      <w:bookmarkStart w:id="81163" w:name="_ETM_Q162_297430"/>
      <w:bookmarkEnd w:id="81163"/>
      <w:r>
        <w:rPr>
          <w:rFonts w:hint="cs"/>
          <w:rtl/>
        </w:rPr>
        <w:t xml:space="preserve">סולברג </w:t>
      </w:r>
      <w:bookmarkStart w:id="81164" w:name="_ETM_Q162_297850"/>
      <w:bookmarkEnd w:id="81164"/>
      <w:r>
        <w:rPr>
          <w:rFonts w:hint="cs"/>
          <w:rtl/>
        </w:rPr>
        <w:t xml:space="preserve">הציע </w:t>
      </w:r>
      <w:bookmarkStart w:id="81165" w:name="_ETM_Q162_298150"/>
      <w:bookmarkEnd w:id="81165"/>
      <w:r>
        <w:rPr>
          <w:rFonts w:hint="cs"/>
          <w:rtl/>
        </w:rPr>
        <w:t xml:space="preserve">לקבוע </w:t>
      </w:r>
      <w:bookmarkStart w:id="81166" w:name="_ETM_Q162_298630"/>
      <w:bookmarkEnd w:id="81166"/>
      <w:r>
        <w:rPr>
          <w:rFonts w:hint="cs"/>
          <w:rtl/>
        </w:rPr>
        <w:t xml:space="preserve">כלל </w:t>
      </w:r>
      <w:bookmarkStart w:id="81167" w:name="_ETM_Q162_298900"/>
      <w:bookmarkEnd w:id="81167"/>
      <w:r>
        <w:rPr>
          <w:rFonts w:hint="cs"/>
          <w:rtl/>
        </w:rPr>
        <w:t xml:space="preserve">חלוקה </w:t>
      </w:r>
      <w:bookmarkStart w:id="81168" w:name="_ETM_Q162_299350"/>
      <w:bookmarkEnd w:id="81168"/>
      <w:r>
        <w:rPr>
          <w:rFonts w:hint="cs"/>
          <w:rtl/>
        </w:rPr>
        <w:t xml:space="preserve">פורמלי </w:t>
      </w:r>
      <w:bookmarkStart w:id="81169" w:name="_ETM_Q162_300610"/>
      <w:bookmarkEnd w:id="81169"/>
      <w:r>
        <w:rPr>
          <w:rFonts w:hint="cs"/>
          <w:rtl/>
        </w:rPr>
        <w:t xml:space="preserve">בין </w:t>
      </w:r>
      <w:bookmarkStart w:id="81170" w:name="_ETM_Q162_300910"/>
      <w:bookmarkEnd w:id="81170"/>
      <w:r>
        <w:rPr>
          <w:rFonts w:hint="cs"/>
          <w:rtl/>
        </w:rPr>
        <w:t xml:space="preserve">נושאי </w:t>
      </w:r>
      <w:bookmarkStart w:id="81171" w:name="_ETM_Q162_301210"/>
      <w:bookmarkEnd w:id="81171"/>
      <w:r>
        <w:rPr>
          <w:rFonts w:hint="cs"/>
          <w:rtl/>
        </w:rPr>
        <w:t xml:space="preserve">משרה </w:t>
      </w:r>
      <w:bookmarkStart w:id="81172" w:name="_ETM_Q162_301570"/>
      <w:bookmarkEnd w:id="81172"/>
      <w:r>
        <w:rPr>
          <w:rFonts w:hint="cs"/>
          <w:rtl/>
        </w:rPr>
        <w:t xml:space="preserve">שונים. </w:t>
      </w:r>
      <w:bookmarkStart w:id="81173" w:name="_ETM_Q162_302740"/>
      <w:bookmarkEnd w:id="81173"/>
      <w:r>
        <w:rPr>
          <w:rFonts w:hint="cs"/>
          <w:rtl/>
        </w:rPr>
        <w:t xml:space="preserve">על </w:t>
      </w:r>
      <w:bookmarkStart w:id="81174" w:name="_ETM_Q162_302950"/>
      <w:bookmarkEnd w:id="81174"/>
      <w:r>
        <w:rPr>
          <w:rFonts w:hint="cs"/>
          <w:rtl/>
        </w:rPr>
        <w:t xml:space="preserve">פי </w:t>
      </w:r>
      <w:bookmarkStart w:id="81175" w:name="_ETM_Q162_303159"/>
      <w:bookmarkEnd w:id="81175"/>
      <w:r>
        <w:rPr>
          <w:rFonts w:hint="cs"/>
          <w:rtl/>
        </w:rPr>
        <w:t xml:space="preserve">הצעה </w:t>
      </w:r>
      <w:bookmarkStart w:id="81176" w:name="_ETM_Q162_303549"/>
      <w:bookmarkEnd w:id="81176"/>
      <w:r>
        <w:rPr>
          <w:rFonts w:hint="cs"/>
          <w:rtl/>
        </w:rPr>
        <w:t xml:space="preserve">זו </w:t>
      </w:r>
      <w:bookmarkStart w:id="81177" w:name="_ETM_Q162_304240"/>
      <w:bookmarkEnd w:id="81177"/>
      <w:r>
        <w:rPr>
          <w:rFonts w:hint="cs"/>
          <w:rtl/>
        </w:rPr>
        <w:t xml:space="preserve">יש </w:t>
      </w:r>
      <w:bookmarkStart w:id="81178" w:name="_ETM_Q162_304510"/>
      <w:bookmarkEnd w:id="81178"/>
      <w:r>
        <w:rPr>
          <w:rFonts w:hint="cs"/>
          <w:rtl/>
        </w:rPr>
        <w:t xml:space="preserve">להחריג </w:t>
      </w:r>
      <w:bookmarkStart w:id="81179" w:name="_ETM_Q162_305049"/>
      <w:bookmarkEnd w:id="81179"/>
      <w:r>
        <w:rPr>
          <w:rFonts w:hint="cs"/>
          <w:rtl/>
        </w:rPr>
        <w:t xml:space="preserve">מתחולת </w:t>
      </w:r>
      <w:bookmarkStart w:id="81180" w:name="_ETM_Q162_305470"/>
      <w:bookmarkEnd w:id="81180"/>
      <w:r>
        <w:rPr>
          <w:rFonts w:hint="cs"/>
          <w:rtl/>
        </w:rPr>
        <w:t xml:space="preserve">עילת </w:t>
      </w:r>
      <w:bookmarkStart w:id="81181" w:name="_ETM_Q162_305710"/>
      <w:bookmarkEnd w:id="81181"/>
      <w:r>
        <w:rPr>
          <w:rFonts w:hint="cs"/>
          <w:rtl/>
        </w:rPr>
        <w:t xml:space="preserve">הסבירות </w:t>
      </w:r>
      <w:bookmarkStart w:id="81182" w:name="_ETM_Q162_306190"/>
      <w:bookmarkEnd w:id="81182"/>
      <w:r>
        <w:rPr>
          <w:rFonts w:hint="cs"/>
          <w:rtl/>
        </w:rPr>
        <w:t xml:space="preserve">החלטות </w:t>
      </w:r>
      <w:bookmarkStart w:id="81183" w:name="_ETM_Q162_306610"/>
      <w:bookmarkEnd w:id="81183"/>
      <w:r>
        <w:rPr>
          <w:rFonts w:hint="cs"/>
          <w:rtl/>
        </w:rPr>
        <w:t xml:space="preserve">ממשלה, </w:t>
      </w:r>
      <w:bookmarkStart w:id="81184" w:name="_ETM_Q162_307600"/>
      <w:bookmarkEnd w:id="81184"/>
      <w:r>
        <w:rPr>
          <w:rFonts w:hint="cs"/>
          <w:rtl/>
        </w:rPr>
        <w:t xml:space="preserve">שרים, </w:t>
      </w:r>
      <w:bookmarkStart w:id="81185" w:name="_ETM_Q162_308710"/>
      <w:bookmarkEnd w:id="81185"/>
      <w:r>
        <w:rPr>
          <w:rFonts w:hint="cs"/>
          <w:rtl/>
        </w:rPr>
        <w:t xml:space="preserve">נבחרי </w:t>
      </w:r>
      <w:bookmarkStart w:id="81186" w:name="_ETM_Q162_309160"/>
      <w:bookmarkEnd w:id="81186"/>
      <w:r>
        <w:rPr>
          <w:rFonts w:hint="cs"/>
          <w:rtl/>
        </w:rPr>
        <w:t xml:space="preserve">ציבור </w:t>
      </w:r>
      <w:bookmarkStart w:id="81187" w:name="_ETM_Q162_309490"/>
      <w:bookmarkEnd w:id="81187"/>
      <w:r>
        <w:rPr>
          <w:rFonts w:hint="cs"/>
          <w:rtl/>
        </w:rPr>
        <w:t xml:space="preserve">אחרים, </w:t>
      </w:r>
      <w:bookmarkStart w:id="81188" w:name="_ETM_Q162_310360"/>
      <w:bookmarkEnd w:id="81188"/>
      <w:r>
        <w:rPr>
          <w:rFonts w:hint="cs"/>
          <w:rtl/>
        </w:rPr>
        <w:t xml:space="preserve">ואולי </w:t>
      </w:r>
      <w:bookmarkStart w:id="81189" w:name="_ETM_Q162_310840"/>
      <w:bookmarkEnd w:id="81189"/>
      <w:r>
        <w:rPr>
          <w:rFonts w:hint="cs"/>
          <w:rtl/>
        </w:rPr>
        <w:t xml:space="preserve">אף </w:t>
      </w:r>
      <w:bookmarkStart w:id="81190" w:name="_ETM_Q162_311190"/>
      <w:bookmarkEnd w:id="81190"/>
      <w:r>
        <w:rPr>
          <w:rFonts w:hint="cs"/>
          <w:rtl/>
        </w:rPr>
        <w:t xml:space="preserve">פקידים </w:t>
      </w:r>
      <w:bookmarkStart w:id="81191" w:name="_ETM_Q162_311490"/>
      <w:bookmarkEnd w:id="81191"/>
      <w:r>
        <w:rPr>
          <w:rFonts w:hint="cs"/>
          <w:rtl/>
        </w:rPr>
        <w:t xml:space="preserve">בכירים, </w:t>
      </w:r>
      <w:bookmarkStart w:id="81192" w:name="_ETM_Q162_311940"/>
      <w:bookmarkEnd w:id="81192"/>
      <w:r>
        <w:rPr>
          <w:rFonts w:hint="cs"/>
          <w:rtl/>
        </w:rPr>
        <w:t xml:space="preserve">כגון </w:t>
      </w:r>
      <w:bookmarkStart w:id="81193" w:name="_ETM_Q162_312270"/>
      <w:bookmarkEnd w:id="81193"/>
      <w:r>
        <w:rPr>
          <w:rFonts w:hint="cs"/>
          <w:rtl/>
        </w:rPr>
        <w:t xml:space="preserve">היועץ </w:t>
      </w:r>
      <w:bookmarkStart w:id="81194" w:name="_ETM_Q162_312600"/>
      <w:bookmarkEnd w:id="81194"/>
      <w:r>
        <w:rPr>
          <w:rFonts w:hint="cs"/>
          <w:rtl/>
        </w:rPr>
        <w:t xml:space="preserve">המשפטי </w:t>
      </w:r>
      <w:bookmarkStart w:id="81195" w:name="_ETM_Q162_313169"/>
      <w:bookmarkEnd w:id="81195"/>
      <w:r>
        <w:rPr>
          <w:rFonts w:hint="cs"/>
          <w:rtl/>
        </w:rPr>
        <w:t xml:space="preserve">או </w:t>
      </w:r>
      <w:bookmarkStart w:id="81196" w:name="_ETM_Q162_313290"/>
      <w:bookmarkEnd w:id="81196"/>
      <w:r>
        <w:rPr>
          <w:rFonts w:hint="cs"/>
          <w:rtl/>
        </w:rPr>
        <w:t xml:space="preserve">נגיד </w:t>
      </w:r>
      <w:bookmarkStart w:id="81197" w:name="_ETM_Q162_313560"/>
      <w:bookmarkEnd w:id="81197"/>
      <w:r>
        <w:rPr>
          <w:rFonts w:hint="cs"/>
          <w:rtl/>
        </w:rPr>
        <w:t xml:space="preserve">בנק </w:t>
      </w:r>
      <w:bookmarkStart w:id="81198" w:name="_ETM_Q162_313800"/>
      <w:bookmarkEnd w:id="81198"/>
      <w:r>
        <w:rPr>
          <w:rFonts w:hint="cs"/>
          <w:rtl/>
        </w:rPr>
        <w:t xml:space="preserve">ישראל. בכך </w:t>
      </w:r>
      <w:bookmarkStart w:id="81199" w:name="_ETM_Q162_314478"/>
      <w:bookmarkEnd w:id="81199"/>
      <w:r>
        <w:rPr>
          <w:rFonts w:hint="cs"/>
          <w:rtl/>
        </w:rPr>
        <w:t xml:space="preserve">מושג </w:t>
      </w:r>
      <w:bookmarkStart w:id="81200" w:name="_ETM_Q162_315079"/>
      <w:bookmarkStart w:id="81201" w:name="_ETM_Q162_315950"/>
      <w:bookmarkEnd w:id="81200"/>
      <w:bookmarkEnd w:id="81201"/>
      <w:r>
        <w:rPr>
          <w:rFonts w:hint="cs"/>
          <w:rtl/>
        </w:rPr>
        <w:t xml:space="preserve">הסדר </w:t>
      </w:r>
      <w:bookmarkStart w:id="81202" w:name="_ETM_Q162_316280"/>
      <w:bookmarkEnd w:id="81202"/>
      <w:r>
        <w:rPr>
          <w:rFonts w:hint="cs"/>
          <w:rtl/>
        </w:rPr>
        <w:t xml:space="preserve">מאוזן </w:t>
      </w:r>
      <w:bookmarkStart w:id="81203" w:name="_ETM_Q162_316760"/>
      <w:bookmarkEnd w:id="81203"/>
      <w:r>
        <w:rPr>
          <w:rFonts w:hint="cs"/>
          <w:rtl/>
        </w:rPr>
        <w:t xml:space="preserve">ומתון </w:t>
      </w:r>
      <w:bookmarkStart w:id="81204" w:name="_ETM_Q162_317530"/>
      <w:bookmarkEnd w:id="81204"/>
      <w:r>
        <w:rPr>
          <w:rFonts w:hint="cs"/>
          <w:rtl/>
        </w:rPr>
        <w:t xml:space="preserve">אשר </w:t>
      </w:r>
      <w:bookmarkStart w:id="81205" w:name="_ETM_Q162_317980"/>
      <w:bookmarkEnd w:id="81205"/>
      <w:r>
        <w:rPr>
          <w:rFonts w:hint="cs"/>
          <w:rtl/>
        </w:rPr>
        <w:t xml:space="preserve">נותן </w:t>
      </w:r>
      <w:bookmarkStart w:id="81206" w:name="_ETM_Q162_318340"/>
      <w:bookmarkEnd w:id="81206"/>
      <w:r>
        <w:rPr>
          <w:rFonts w:hint="cs"/>
          <w:rtl/>
        </w:rPr>
        <w:t xml:space="preserve">מענה </w:t>
      </w:r>
      <w:bookmarkStart w:id="81207" w:name="_ETM_Q162_318669"/>
      <w:bookmarkEnd w:id="81207"/>
      <w:r>
        <w:rPr>
          <w:rFonts w:hint="cs"/>
          <w:rtl/>
        </w:rPr>
        <w:t xml:space="preserve">לצורך </w:t>
      </w:r>
      <w:bookmarkStart w:id="81208" w:name="_ETM_Q162_319150"/>
      <w:bookmarkEnd w:id="81208"/>
      <w:r>
        <w:rPr>
          <w:rFonts w:hint="cs"/>
          <w:rtl/>
        </w:rPr>
        <w:t xml:space="preserve">בביקורת </w:t>
      </w:r>
      <w:bookmarkStart w:id="81209" w:name="_ETM_Q162_319630"/>
      <w:bookmarkEnd w:id="81209"/>
      <w:r>
        <w:rPr>
          <w:rFonts w:hint="cs"/>
          <w:rtl/>
        </w:rPr>
        <w:t xml:space="preserve">שיפוטית </w:t>
      </w:r>
      <w:bookmarkStart w:id="81210" w:name="_ETM_Q162_320139"/>
      <w:bookmarkEnd w:id="81210"/>
      <w:r>
        <w:rPr>
          <w:rFonts w:hint="cs"/>
          <w:rtl/>
        </w:rPr>
        <w:t xml:space="preserve">יעילה </w:t>
      </w:r>
      <w:bookmarkStart w:id="81211" w:name="_ETM_Q162_320470"/>
      <w:bookmarkEnd w:id="81211"/>
      <w:r>
        <w:rPr>
          <w:rFonts w:hint="cs"/>
          <w:rtl/>
        </w:rPr>
        <w:t xml:space="preserve">על </w:t>
      </w:r>
      <w:bookmarkStart w:id="81212" w:name="_ETM_Q162_320560"/>
      <w:bookmarkEnd w:id="81212"/>
      <w:r>
        <w:rPr>
          <w:rFonts w:hint="cs"/>
          <w:rtl/>
        </w:rPr>
        <w:t xml:space="preserve">החלטות </w:t>
      </w:r>
      <w:bookmarkStart w:id="81213" w:name="_ETM_Q162_320950"/>
      <w:bookmarkEnd w:id="81213"/>
      <w:r>
        <w:rPr>
          <w:rFonts w:hint="cs"/>
          <w:rtl/>
        </w:rPr>
        <w:t xml:space="preserve">מינהליות </w:t>
      </w:r>
      <w:bookmarkStart w:id="81214" w:name="_ETM_Q162_321459"/>
      <w:bookmarkEnd w:id="81214"/>
      <w:r>
        <w:rPr>
          <w:rFonts w:hint="cs"/>
          <w:rtl/>
        </w:rPr>
        <w:t xml:space="preserve">פרטניות </w:t>
      </w:r>
      <w:bookmarkStart w:id="81215" w:name="_ETM_Q162_322000"/>
      <w:bookmarkEnd w:id="81215"/>
      <w:r>
        <w:rPr>
          <w:rFonts w:hint="cs"/>
          <w:rtl/>
        </w:rPr>
        <w:t xml:space="preserve">מצד אחד, </w:t>
      </w:r>
      <w:bookmarkStart w:id="81216" w:name="_ETM_Q162_323260"/>
      <w:bookmarkEnd w:id="81216"/>
      <w:r>
        <w:rPr>
          <w:rFonts w:hint="cs"/>
          <w:rtl/>
        </w:rPr>
        <w:t xml:space="preserve">ומצד </w:t>
      </w:r>
      <w:bookmarkStart w:id="81217" w:name="_ETM_Q162_323830"/>
      <w:bookmarkEnd w:id="81217"/>
      <w:r>
        <w:rPr>
          <w:rFonts w:hint="cs"/>
          <w:rtl/>
        </w:rPr>
        <w:t xml:space="preserve">שני </w:t>
      </w:r>
      <w:bookmarkStart w:id="81218" w:name="_ETM_Q162_324250"/>
      <w:bookmarkEnd w:id="81218"/>
      <w:r>
        <w:rPr>
          <w:rFonts w:hint="cs"/>
          <w:rtl/>
        </w:rPr>
        <w:t xml:space="preserve">איננה </w:t>
      </w:r>
      <w:bookmarkStart w:id="81219" w:name="_ETM_Q162_324610"/>
      <w:bookmarkEnd w:id="81219"/>
      <w:r>
        <w:rPr>
          <w:rFonts w:hint="cs"/>
          <w:rtl/>
        </w:rPr>
        <w:t xml:space="preserve">חלה </w:t>
      </w:r>
      <w:bookmarkStart w:id="81220" w:name="_ETM_Q162_324880"/>
      <w:bookmarkEnd w:id="81220"/>
      <w:r>
        <w:rPr>
          <w:rFonts w:hint="cs"/>
          <w:rtl/>
        </w:rPr>
        <w:t xml:space="preserve">על </w:t>
      </w:r>
      <w:bookmarkStart w:id="81221" w:name="_ETM_Q162_324940"/>
      <w:bookmarkEnd w:id="81221"/>
      <w:r>
        <w:rPr>
          <w:rFonts w:hint="cs"/>
          <w:rtl/>
        </w:rPr>
        <w:t xml:space="preserve">החלטות </w:t>
      </w:r>
      <w:bookmarkStart w:id="81222" w:name="_ETM_Q162_325330"/>
      <w:bookmarkEnd w:id="81222"/>
      <w:r>
        <w:rPr>
          <w:rFonts w:hint="cs"/>
          <w:rtl/>
        </w:rPr>
        <w:t xml:space="preserve">הדרג </w:t>
      </w:r>
      <w:bookmarkStart w:id="81223" w:name="_ETM_Q162_325690"/>
      <w:bookmarkEnd w:id="81223"/>
      <w:r>
        <w:rPr>
          <w:rFonts w:hint="cs"/>
          <w:rtl/>
        </w:rPr>
        <w:t xml:space="preserve">הנבחר </w:t>
      </w:r>
      <w:bookmarkStart w:id="81224" w:name="_ETM_Q162_326110"/>
      <w:bookmarkEnd w:id="81224"/>
      <w:r>
        <w:rPr>
          <w:rFonts w:hint="cs"/>
          <w:rtl/>
        </w:rPr>
        <w:t xml:space="preserve">הגבוה – </w:t>
      </w:r>
      <w:bookmarkStart w:id="81225" w:name="_ETM_Q162_327389"/>
      <w:bookmarkEnd w:id="81225"/>
      <w:r>
        <w:rPr>
          <w:rFonts w:hint="cs"/>
          <w:rtl/>
        </w:rPr>
        <w:t xml:space="preserve">שרים </w:t>
      </w:r>
      <w:bookmarkStart w:id="81226" w:name="_ETM_Q162_327810"/>
      <w:bookmarkEnd w:id="81226"/>
      <w:r>
        <w:rPr>
          <w:rFonts w:hint="cs"/>
          <w:rtl/>
        </w:rPr>
        <w:t xml:space="preserve">וממשלה, </w:t>
      </w:r>
      <w:bookmarkStart w:id="81227" w:name="_ETM_Q162_328770"/>
      <w:bookmarkEnd w:id="81227"/>
      <w:r>
        <w:rPr>
          <w:rFonts w:hint="cs"/>
          <w:rtl/>
        </w:rPr>
        <w:t xml:space="preserve">כך </w:t>
      </w:r>
      <w:bookmarkStart w:id="81228" w:name="_ETM_Q162_328950"/>
      <w:bookmarkEnd w:id="81228"/>
      <w:r>
        <w:rPr>
          <w:rFonts w:hint="cs"/>
          <w:rtl/>
        </w:rPr>
        <w:t xml:space="preserve">שעקרונות </w:t>
      </w:r>
      <w:bookmarkStart w:id="81229" w:name="_ETM_Q162_329490"/>
      <w:bookmarkEnd w:id="81229"/>
      <w:r>
        <w:rPr>
          <w:rFonts w:hint="cs"/>
          <w:rtl/>
        </w:rPr>
        <w:t xml:space="preserve">הפרדת </w:t>
      </w:r>
      <w:bookmarkStart w:id="81230" w:name="_ETM_Q162_329940"/>
      <w:bookmarkEnd w:id="81230"/>
      <w:r>
        <w:rPr>
          <w:rFonts w:hint="cs"/>
          <w:rtl/>
        </w:rPr>
        <w:t xml:space="preserve">הרשויות, </w:t>
      </w:r>
      <w:bookmarkStart w:id="81231" w:name="_ETM_Q162_330900"/>
      <w:bookmarkEnd w:id="81231"/>
      <w:r>
        <w:rPr>
          <w:rFonts w:hint="cs"/>
          <w:rtl/>
        </w:rPr>
        <w:t xml:space="preserve">הדמוקרטיה </w:t>
      </w:r>
      <w:bookmarkStart w:id="81232" w:name="_ETM_Q162_332220"/>
      <w:bookmarkEnd w:id="81232"/>
      <w:r>
        <w:rPr>
          <w:rFonts w:hint="cs"/>
          <w:rtl/>
        </w:rPr>
        <w:t xml:space="preserve">והמינהל </w:t>
      </w:r>
      <w:bookmarkStart w:id="81233" w:name="_ETM_Q162_332850"/>
      <w:bookmarkEnd w:id="81233"/>
      <w:r>
        <w:rPr>
          <w:rFonts w:hint="cs"/>
          <w:rtl/>
        </w:rPr>
        <w:t xml:space="preserve">התקין </w:t>
      </w:r>
      <w:bookmarkStart w:id="81234" w:name="_ETM_Q162_333690"/>
      <w:bookmarkEnd w:id="81234"/>
      <w:r>
        <w:rPr>
          <w:rFonts w:hint="cs"/>
          <w:rtl/>
        </w:rPr>
        <w:t xml:space="preserve">נשמרים. </w:t>
      </w:r>
      <w:bookmarkStart w:id="81235" w:name="_ETM_Q162_335080"/>
      <w:bookmarkEnd w:id="81235"/>
    </w:p>
    <w:p w:rsidR="00BB59CD" w:rsidRDefault="00BB59CD" w:rsidP="00BB59CD">
      <w:pPr>
        <w:rPr>
          <w:rtl/>
        </w:rPr>
      </w:pPr>
      <w:bookmarkStart w:id="81236" w:name="_ETM_Q162_335421"/>
      <w:bookmarkEnd w:id="81236"/>
    </w:p>
    <w:p w:rsidR="00BB59CD" w:rsidRDefault="00BB59CD" w:rsidP="00BB59CD">
      <w:pPr>
        <w:rPr>
          <w:rtl/>
        </w:rPr>
      </w:pPr>
      <w:bookmarkStart w:id="81237" w:name="_ETM_Q162_335612"/>
      <w:bookmarkStart w:id="81238" w:name="_ETM_Q162_335638"/>
      <w:bookmarkStart w:id="81239" w:name="_ETM_Q162_335670"/>
      <w:bookmarkEnd w:id="81237"/>
      <w:bookmarkEnd w:id="81238"/>
      <w:bookmarkEnd w:id="81239"/>
      <w:r>
        <w:rPr>
          <w:rFonts w:hint="cs"/>
          <w:rtl/>
        </w:rPr>
        <w:t xml:space="preserve">לפיכך, </w:t>
      </w:r>
      <w:bookmarkStart w:id="81240" w:name="_ETM_Q162_335770"/>
      <w:bookmarkEnd w:id="81240"/>
      <w:r>
        <w:rPr>
          <w:rFonts w:hint="cs"/>
          <w:rtl/>
        </w:rPr>
        <w:t xml:space="preserve">מוצע </w:t>
      </w:r>
      <w:bookmarkStart w:id="81241" w:name="_ETM_Q162_336100"/>
      <w:bookmarkEnd w:id="81241"/>
      <w:r>
        <w:rPr>
          <w:rFonts w:hint="cs"/>
          <w:rtl/>
        </w:rPr>
        <w:t xml:space="preserve">לקבוע </w:t>
      </w:r>
      <w:bookmarkStart w:id="81242" w:name="_ETM_Q162_336550"/>
      <w:bookmarkEnd w:id="81242"/>
      <w:r>
        <w:rPr>
          <w:rFonts w:hint="cs"/>
          <w:rtl/>
        </w:rPr>
        <w:t>בחוק</w:t>
      </w:r>
      <w:bookmarkStart w:id="81243" w:name="_ETM_Q162_336850"/>
      <w:bookmarkEnd w:id="81243"/>
      <w:r>
        <w:rPr>
          <w:rFonts w:hint="cs"/>
          <w:rtl/>
        </w:rPr>
        <w:t xml:space="preserve">-יסוד: </w:t>
      </w:r>
      <w:bookmarkStart w:id="81244" w:name="_ETM_Q162_337150"/>
      <w:bookmarkEnd w:id="81244"/>
      <w:r>
        <w:rPr>
          <w:rFonts w:hint="cs"/>
          <w:rtl/>
        </w:rPr>
        <w:t xml:space="preserve">השפיטה, </w:t>
      </w:r>
      <w:bookmarkStart w:id="81245" w:name="_ETM_Q162_338080"/>
      <w:bookmarkEnd w:id="81245"/>
      <w:r>
        <w:rPr>
          <w:rFonts w:hint="cs"/>
          <w:rtl/>
        </w:rPr>
        <w:t xml:space="preserve">הסדר </w:t>
      </w:r>
      <w:bookmarkStart w:id="81246" w:name="_ETM_Q162_338530"/>
      <w:bookmarkEnd w:id="81246"/>
      <w:r>
        <w:rPr>
          <w:rFonts w:hint="cs"/>
          <w:rtl/>
        </w:rPr>
        <w:t xml:space="preserve">ברוח </w:t>
      </w:r>
      <w:bookmarkStart w:id="81247" w:name="_ETM_Q162_338860"/>
      <w:bookmarkEnd w:id="81247"/>
      <w:r>
        <w:rPr>
          <w:rFonts w:hint="cs"/>
          <w:rtl/>
        </w:rPr>
        <w:t xml:space="preserve">עקרונות </w:t>
      </w:r>
      <w:bookmarkStart w:id="81248" w:name="_ETM_Q162_339370"/>
      <w:bookmarkEnd w:id="81248"/>
      <w:r>
        <w:rPr>
          <w:rFonts w:hint="cs"/>
          <w:rtl/>
        </w:rPr>
        <w:t xml:space="preserve">הצעתו </w:t>
      </w:r>
      <w:bookmarkStart w:id="81249" w:name="_ETM_Q162_339850"/>
      <w:bookmarkEnd w:id="81249"/>
      <w:r>
        <w:rPr>
          <w:rFonts w:hint="cs"/>
          <w:rtl/>
        </w:rPr>
        <w:t xml:space="preserve">האמורה </w:t>
      </w:r>
      <w:bookmarkStart w:id="81250" w:name="_ETM_Q162_340150"/>
      <w:bookmarkEnd w:id="81250"/>
      <w:r>
        <w:rPr>
          <w:rFonts w:hint="cs"/>
          <w:rtl/>
        </w:rPr>
        <w:t xml:space="preserve">של </w:t>
      </w:r>
      <w:bookmarkStart w:id="81251" w:name="_ETM_Q162_340330"/>
      <w:bookmarkEnd w:id="81251"/>
      <w:r>
        <w:rPr>
          <w:rFonts w:hint="cs"/>
          <w:rtl/>
        </w:rPr>
        <w:t xml:space="preserve">השופט </w:t>
      </w:r>
      <w:bookmarkStart w:id="81252" w:name="_ETM_Q162_340750"/>
      <w:bookmarkEnd w:id="81252"/>
      <w:r>
        <w:rPr>
          <w:rFonts w:hint="cs"/>
          <w:rtl/>
        </w:rPr>
        <w:t xml:space="preserve">נעם </w:t>
      </w:r>
      <w:bookmarkStart w:id="81253" w:name="_ETM_Q162_340990"/>
      <w:bookmarkEnd w:id="81253"/>
      <w:r>
        <w:rPr>
          <w:rFonts w:hint="cs"/>
          <w:rtl/>
        </w:rPr>
        <w:t xml:space="preserve">סולברג, </w:t>
      </w:r>
      <w:bookmarkStart w:id="81254" w:name="_ETM_Q162_342040"/>
      <w:bookmarkEnd w:id="81254"/>
      <w:r>
        <w:rPr>
          <w:rFonts w:hint="cs"/>
          <w:rtl/>
        </w:rPr>
        <w:t xml:space="preserve">כך </w:t>
      </w:r>
      <w:bookmarkStart w:id="81255" w:name="_ETM_Q162_342250"/>
      <w:bookmarkEnd w:id="81255"/>
      <w:r>
        <w:rPr>
          <w:rFonts w:hint="cs"/>
          <w:rtl/>
        </w:rPr>
        <w:t>ש</w:t>
      </w:r>
      <w:bookmarkStart w:id="81256" w:name="_ETM_Q162_342400"/>
      <w:bookmarkEnd w:id="81256"/>
      <w:r>
        <w:rPr>
          <w:rFonts w:hint="cs"/>
          <w:rtl/>
        </w:rPr>
        <w:t xml:space="preserve">רשות </w:t>
      </w:r>
      <w:bookmarkStart w:id="81257" w:name="_ETM_Q162_342700"/>
      <w:bookmarkEnd w:id="81257"/>
      <w:r>
        <w:rPr>
          <w:rFonts w:hint="cs"/>
          <w:rtl/>
        </w:rPr>
        <w:t xml:space="preserve">שיפוטית </w:t>
      </w:r>
      <w:bookmarkStart w:id="81258" w:name="_ETM_Q162_343150"/>
      <w:bookmarkEnd w:id="81258"/>
      <w:r>
        <w:rPr>
          <w:rFonts w:hint="cs"/>
          <w:rtl/>
        </w:rPr>
        <w:t xml:space="preserve">לא </w:t>
      </w:r>
      <w:bookmarkStart w:id="81259" w:name="_ETM_Q162_343270"/>
      <w:bookmarkEnd w:id="81259"/>
      <w:r>
        <w:rPr>
          <w:rFonts w:hint="cs"/>
          <w:rtl/>
        </w:rPr>
        <w:t xml:space="preserve">תוכל </w:t>
      </w:r>
      <w:bookmarkStart w:id="81260" w:name="_ETM_Q162_343630"/>
      <w:bookmarkEnd w:id="81260"/>
      <w:r>
        <w:rPr>
          <w:rFonts w:hint="cs"/>
          <w:rtl/>
        </w:rPr>
        <w:t xml:space="preserve">לדון </w:t>
      </w:r>
      <w:bookmarkStart w:id="81261" w:name="_ETM_Q162_343900"/>
      <w:bookmarkEnd w:id="81261"/>
      <w:r>
        <w:rPr>
          <w:rFonts w:hint="cs"/>
          <w:rtl/>
        </w:rPr>
        <w:t xml:space="preserve">בעניין </w:t>
      </w:r>
      <w:bookmarkStart w:id="81262" w:name="_ETM_Q162_344230"/>
      <w:bookmarkEnd w:id="81262"/>
      <w:r>
        <w:rPr>
          <w:rFonts w:hint="cs"/>
          <w:rtl/>
        </w:rPr>
        <w:t xml:space="preserve">סבירות </w:t>
      </w:r>
      <w:bookmarkStart w:id="81263" w:name="_ETM_Q162_344620"/>
      <w:bookmarkEnd w:id="81263"/>
      <w:r>
        <w:rPr>
          <w:rFonts w:hint="cs"/>
          <w:rtl/>
        </w:rPr>
        <w:t xml:space="preserve">ההחלטה </w:t>
      </w:r>
      <w:bookmarkStart w:id="81264" w:name="_ETM_Q162_345130"/>
      <w:bookmarkEnd w:id="81264"/>
      <w:r>
        <w:rPr>
          <w:rFonts w:hint="cs"/>
          <w:rtl/>
        </w:rPr>
        <w:t xml:space="preserve">של </w:t>
      </w:r>
      <w:bookmarkStart w:id="81265" w:name="_ETM_Q162_345310"/>
      <w:bookmarkEnd w:id="81265"/>
      <w:r>
        <w:rPr>
          <w:rFonts w:hint="cs"/>
          <w:rtl/>
        </w:rPr>
        <w:t xml:space="preserve">הממשלה </w:t>
      </w:r>
      <w:bookmarkStart w:id="81266" w:name="_ETM_Q162_345730"/>
      <w:bookmarkEnd w:id="81266"/>
      <w:r>
        <w:rPr>
          <w:rFonts w:hint="cs"/>
          <w:rtl/>
        </w:rPr>
        <w:t>במליאתה - -</w:t>
      </w:r>
    </w:p>
    <w:p w:rsidR="00BB59CD" w:rsidRDefault="00BB59CD" w:rsidP="00337201">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כמה שטויות בנאום אחד. כמה שטויות.</w:t>
      </w:r>
    </w:p>
    <w:p w:rsidR="00BB59CD" w:rsidRDefault="00BB59CD" w:rsidP="00BB59CD">
      <w:pPr>
        <w:rPr>
          <w:rtl/>
        </w:rPr>
      </w:pPr>
    </w:p>
    <w:p w:rsidR="00BB59CD" w:rsidRDefault="00CB7C6D" w:rsidP="00CB7C6D">
      <w:pPr>
        <w:pStyle w:val="-"/>
        <w:rPr>
          <w:rtl/>
        </w:rPr>
      </w:pPr>
      <w:bookmarkStart w:id="81267" w:name="ET_speakercontinue_6464_1185"/>
      <w:r w:rsidRPr="00CB7C6D">
        <w:rPr>
          <w:rStyle w:val="TagStyle"/>
          <w:rtl/>
        </w:rPr>
        <w:t xml:space="preserve"> &lt;&lt; דובר_המשך &gt;&gt;</w:t>
      </w:r>
      <w:r w:rsidRPr="00CB7C6D">
        <w:rPr>
          <w:rtl/>
        </w:rPr>
        <w:t>שמחה רוטמן (יו"ר ועדת החוקה, חוק ומשפט):</w:t>
      </w:r>
      <w:r w:rsidRPr="00CB7C6D">
        <w:rPr>
          <w:rStyle w:val="TagStyle"/>
          <w:rtl/>
        </w:rPr>
        <w:t>&lt;&lt; דובר_המשך &gt;&gt;</w:t>
      </w:r>
      <w:bookmarkEnd w:id="81267"/>
      <w:r w:rsidRPr="00CB7C6D">
        <w:rPr>
          <w:rStyle w:val="TagStyle"/>
          <w:rtl/>
        </w:rPr>
        <w:t xml:space="preserve"> </w:t>
      </w:r>
    </w:p>
    <w:p w:rsidR="00CB7C6D" w:rsidRPr="00CB7C6D" w:rsidRDefault="00CB7C6D" w:rsidP="00CB7C6D">
      <w:pPr>
        <w:rPr>
          <w:rtl/>
          <w:lang w:eastAsia="he-IL"/>
        </w:rPr>
      </w:pPr>
    </w:p>
    <w:p w:rsidR="00BB59CD" w:rsidRDefault="00BB59CD" w:rsidP="00BB59CD">
      <w:pPr>
        <w:rPr>
          <w:rtl/>
        </w:rPr>
      </w:pPr>
      <w:bookmarkStart w:id="81268" w:name="_ETM_Q162_345910"/>
      <w:bookmarkEnd w:id="81268"/>
      <w:r>
        <w:rPr>
          <w:rFonts w:hint="cs"/>
          <w:rtl/>
        </w:rPr>
        <w:t xml:space="preserve">- - של </w:t>
      </w:r>
      <w:bookmarkStart w:id="81269" w:name="_ETM_Q162_346030"/>
      <w:bookmarkStart w:id="81270" w:name="_ETM_Q162_347079"/>
      <w:bookmarkEnd w:id="81269"/>
      <w:bookmarkEnd w:id="81270"/>
      <w:r>
        <w:rPr>
          <w:rFonts w:hint="cs"/>
          <w:rtl/>
        </w:rPr>
        <w:t xml:space="preserve">ראש </w:t>
      </w:r>
      <w:bookmarkStart w:id="81271" w:name="_ETM_Q162_347319"/>
      <w:bookmarkEnd w:id="81271"/>
      <w:r>
        <w:rPr>
          <w:rFonts w:hint="cs"/>
          <w:rtl/>
        </w:rPr>
        <w:t xml:space="preserve">ממשלה </w:t>
      </w:r>
      <w:bookmarkStart w:id="81272" w:name="_ETM_Q162_348630"/>
      <w:bookmarkEnd w:id="81272"/>
      <w:r>
        <w:rPr>
          <w:rFonts w:hint="cs"/>
          <w:rtl/>
        </w:rPr>
        <w:t xml:space="preserve">או </w:t>
      </w:r>
      <w:bookmarkStart w:id="81273" w:name="_ETM_Q162_348780"/>
      <w:bookmarkEnd w:id="81273"/>
      <w:r>
        <w:rPr>
          <w:rFonts w:hint="cs"/>
          <w:rtl/>
        </w:rPr>
        <w:t xml:space="preserve">של </w:t>
      </w:r>
      <w:bookmarkStart w:id="81274" w:name="_ETM_Q162_348960"/>
      <w:bookmarkEnd w:id="81274"/>
      <w:r>
        <w:rPr>
          <w:rFonts w:hint="cs"/>
          <w:rtl/>
        </w:rPr>
        <w:t xml:space="preserve">שר </w:t>
      </w:r>
      <w:bookmarkStart w:id="81275" w:name="_ETM_Q162_349230"/>
      <w:bookmarkEnd w:id="81275"/>
      <w:r>
        <w:rPr>
          <w:rFonts w:hint="cs"/>
          <w:rtl/>
        </w:rPr>
        <w:t xml:space="preserve">אחר, </w:t>
      </w:r>
      <w:bookmarkStart w:id="81276" w:name="_ETM_Q162_349980"/>
      <w:bookmarkEnd w:id="81276"/>
      <w:r>
        <w:rPr>
          <w:rFonts w:hint="cs"/>
          <w:rtl/>
        </w:rPr>
        <w:t xml:space="preserve">או </w:t>
      </w:r>
      <w:bookmarkStart w:id="81277" w:name="_ETM_Q162_350129"/>
      <w:bookmarkEnd w:id="81277"/>
      <w:r>
        <w:rPr>
          <w:rFonts w:hint="cs"/>
          <w:rtl/>
        </w:rPr>
        <w:t xml:space="preserve">להוציא </w:t>
      </w:r>
      <w:bookmarkStart w:id="81278" w:name="_ETM_Q162_350519"/>
      <w:bookmarkEnd w:id="81278"/>
      <w:r>
        <w:rPr>
          <w:rFonts w:hint="cs"/>
          <w:rtl/>
        </w:rPr>
        <w:t xml:space="preserve">צו </w:t>
      </w:r>
      <w:bookmarkStart w:id="81279" w:name="_ETM_Q162_350879"/>
      <w:bookmarkEnd w:id="81279"/>
      <w:r>
        <w:rPr>
          <w:rFonts w:hint="cs"/>
          <w:rtl/>
        </w:rPr>
        <w:t xml:space="preserve">כלפי </w:t>
      </w:r>
      <w:bookmarkStart w:id="81280" w:name="_ETM_Q162_351299"/>
      <w:bookmarkEnd w:id="81280"/>
      <w:r>
        <w:rPr>
          <w:rFonts w:hint="cs"/>
          <w:rtl/>
        </w:rPr>
        <w:t xml:space="preserve">מי </w:t>
      </w:r>
      <w:bookmarkStart w:id="81281" w:name="_ETM_Q162_351450"/>
      <w:bookmarkEnd w:id="81281"/>
      <w:r>
        <w:rPr>
          <w:rFonts w:hint="cs"/>
          <w:rtl/>
        </w:rPr>
        <w:t xml:space="preserve">מהם </w:t>
      </w:r>
      <w:bookmarkStart w:id="81282" w:name="_ETM_Q162_351719"/>
      <w:bookmarkEnd w:id="81282"/>
      <w:r>
        <w:rPr>
          <w:rFonts w:hint="cs"/>
          <w:rtl/>
        </w:rPr>
        <w:t xml:space="preserve">בעניין </w:t>
      </w:r>
      <w:bookmarkStart w:id="81283" w:name="_ETM_Q162_352079"/>
      <w:bookmarkEnd w:id="81283"/>
      <w:r>
        <w:rPr>
          <w:rFonts w:hint="cs"/>
          <w:rtl/>
        </w:rPr>
        <w:t xml:space="preserve">סבירות </w:t>
      </w:r>
      <w:bookmarkStart w:id="81284" w:name="_ETM_Q162_352469"/>
      <w:bookmarkEnd w:id="81284"/>
      <w:r>
        <w:rPr>
          <w:rFonts w:hint="cs"/>
          <w:rtl/>
        </w:rPr>
        <w:t>החלטתו</w:t>
      </w:r>
      <w:bookmarkStart w:id="81285" w:name="_ETM_Q162_352800"/>
      <w:bookmarkEnd w:id="81285"/>
      <w:r>
        <w:rPr>
          <w:rFonts w:hint="cs"/>
          <w:rtl/>
        </w:rPr>
        <w:t xml:space="preserve">, בין אם מכוח עילת הסבירות </w:t>
      </w:r>
      <w:bookmarkStart w:id="81286" w:name="_ETM_Q162_354930"/>
      <w:bookmarkEnd w:id="81286"/>
      <w:r>
        <w:rPr>
          <w:rFonts w:hint="cs"/>
          <w:rtl/>
        </w:rPr>
        <w:t xml:space="preserve">המקורית </w:t>
      </w:r>
      <w:bookmarkStart w:id="81287" w:name="_ETM_Q162_355889"/>
      <w:bookmarkEnd w:id="81287"/>
      <w:r>
        <w:rPr>
          <w:rFonts w:hint="cs"/>
          <w:rtl/>
        </w:rPr>
        <w:t xml:space="preserve">ובין </w:t>
      </w:r>
      <w:bookmarkStart w:id="81288" w:name="_ETM_Q162_356250"/>
      <w:bookmarkEnd w:id="81288"/>
      <w:r>
        <w:rPr>
          <w:rFonts w:hint="cs"/>
          <w:rtl/>
        </w:rPr>
        <w:t xml:space="preserve">אם </w:t>
      </w:r>
      <w:bookmarkStart w:id="81289" w:name="_ETM_Q162_356370"/>
      <w:bookmarkStart w:id="81290" w:name="_ETM_Q162_356430"/>
      <w:bookmarkEnd w:id="81289"/>
      <w:bookmarkEnd w:id="81290"/>
      <w:r>
        <w:rPr>
          <w:rFonts w:hint="cs"/>
          <w:rtl/>
        </w:rPr>
        <w:t xml:space="preserve">מכוח </w:t>
      </w:r>
      <w:bookmarkStart w:id="81291" w:name="_ETM_Q162_356700"/>
      <w:bookmarkEnd w:id="81291"/>
      <w:r>
        <w:rPr>
          <w:rFonts w:hint="cs"/>
          <w:rtl/>
        </w:rPr>
        <w:t xml:space="preserve">עילת </w:t>
      </w:r>
      <w:bookmarkStart w:id="81292" w:name="_ETM_Q162_356939"/>
      <w:bookmarkEnd w:id="81292"/>
      <w:r>
        <w:rPr>
          <w:rFonts w:hint="cs"/>
          <w:rtl/>
        </w:rPr>
        <w:t xml:space="preserve">הסבירות </w:t>
      </w:r>
      <w:bookmarkStart w:id="81293" w:name="_ETM_Q162_357329"/>
      <w:bookmarkEnd w:id="81293"/>
      <w:r>
        <w:rPr>
          <w:rFonts w:hint="cs"/>
          <w:rtl/>
        </w:rPr>
        <w:t xml:space="preserve">החדשה, </w:t>
      </w:r>
      <w:bookmarkStart w:id="81294" w:name="_ETM_Q162_358409"/>
      <w:bookmarkEnd w:id="81294"/>
      <w:r>
        <w:rPr>
          <w:rFonts w:hint="cs"/>
          <w:rtl/>
        </w:rPr>
        <w:t xml:space="preserve">וזאת </w:t>
      </w:r>
      <w:bookmarkStart w:id="81295" w:name="_ETM_Q162_358829"/>
      <w:bookmarkEnd w:id="81295"/>
      <w:r>
        <w:rPr>
          <w:rFonts w:hint="cs"/>
          <w:rtl/>
        </w:rPr>
        <w:t xml:space="preserve">אף </w:t>
      </w:r>
      <w:bookmarkStart w:id="81296" w:name="_ETM_Q162_358980"/>
      <w:bookmarkEnd w:id="81296"/>
      <w:r>
        <w:rPr>
          <w:rFonts w:hint="cs"/>
          <w:rtl/>
        </w:rPr>
        <w:t xml:space="preserve">בנושא </w:t>
      </w:r>
      <w:bookmarkStart w:id="81297" w:name="_ETM_Q162_359340"/>
      <w:bookmarkEnd w:id="81297"/>
      <w:r>
        <w:rPr>
          <w:rFonts w:hint="cs"/>
          <w:rtl/>
        </w:rPr>
        <w:t xml:space="preserve">מינויים </w:t>
      </w:r>
      <w:bookmarkStart w:id="81298" w:name="_ETM_Q162_359760"/>
      <w:bookmarkEnd w:id="81298"/>
      <w:r>
        <w:rPr>
          <w:rFonts w:hint="cs"/>
          <w:rtl/>
        </w:rPr>
        <w:t xml:space="preserve">ובעניין </w:t>
      </w:r>
      <w:bookmarkStart w:id="81299" w:name="_ETM_Q162_360150"/>
      <w:bookmarkEnd w:id="81299"/>
      <w:r>
        <w:rPr>
          <w:rFonts w:hint="cs"/>
          <w:rtl/>
        </w:rPr>
        <w:t xml:space="preserve">החלטה </w:t>
      </w:r>
      <w:bookmarkStart w:id="81300" w:name="_ETM_Q162_360569"/>
      <w:bookmarkEnd w:id="81300"/>
      <w:r>
        <w:rPr>
          <w:rFonts w:hint="cs"/>
          <w:rtl/>
        </w:rPr>
        <w:t xml:space="preserve">שלא </w:t>
      </w:r>
      <w:bookmarkStart w:id="81301" w:name="_ETM_Q162_360810"/>
      <w:bookmarkEnd w:id="81301"/>
      <w:r>
        <w:rPr>
          <w:rFonts w:hint="cs"/>
          <w:rtl/>
        </w:rPr>
        <w:t xml:space="preserve">להפעיל </w:t>
      </w:r>
      <w:bookmarkStart w:id="81302" w:name="_ETM_Q162_361169"/>
      <w:bookmarkEnd w:id="81302"/>
      <w:r>
        <w:rPr>
          <w:rFonts w:hint="cs"/>
          <w:rtl/>
        </w:rPr>
        <w:t xml:space="preserve">סמכות. </w:t>
      </w:r>
      <w:bookmarkStart w:id="81303" w:name="_ETM_Q162_363010"/>
      <w:bookmarkEnd w:id="81303"/>
    </w:p>
    <w:p w:rsidR="00BB59CD" w:rsidRDefault="00BB59CD" w:rsidP="00BB59CD">
      <w:pPr>
        <w:rPr>
          <w:rtl/>
        </w:rPr>
      </w:pPr>
      <w:bookmarkStart w:id="81304" w:name="_ETM_Q162_358428"/>
      <w:bookmarkStart w:id="81305" w:name="_ETM_Q162_358543"/>
      <w:bookmarkEnd w:id="81304"/>
      <w:bookmarkEnd w:id="81305"/>
    </w:p>
    <w:p w:rsidR="00BB59CD" w:rsidRDefault="00BB59CD" w:rsidP="00BB59CD">
      <w:pPr>
        <w:rPr>
          <w:rtl/>
        </w:rPr>
      </w:pPr>
      <w:bookmarkStart w:id="81306" w:name="_ETM_Q162_358572"/>
      <w:bookmarkStart w:id="81307" w:name="_ETM_Q162_358636"/>
      <w:bookmarkEnd w:id="81306"/>
      <w:bookmarkEnd w:id="81307"/>
      <w:r>
        <w:rPr>
          <w:rFonts w:hint="cs"/>
          <w:rtl/>
        </w:rPr>
        <w:t xml:space="preserve">יצוין </w:t>
      </w:r>
      <w:bookmarkStart w:id="81308" w:name="_ETM_Q162_363700"/>
      <w:bookmarkEnd w:id="81308"/>
      <w:r>
        <w:rPr>
          <w:rFonts w:hint="cs"/>
          <w:rtl/>
        </w:rPr>
        <w:t xml:space="preserve">כי </w:t>
      </w:r>
      <w:bookmarkStart w:id="81309" w:name="_ETM_Q162_363880"/>
      <w:bookmarkEnd w:id="81309"/>
      <w:r>
        <w:rPr>
          <w:rFonts w:hint="cs"/>
          <w:rtl/>
        </w:rPr>
        <w:t xml:space="preserve">אין </w:t>
      </w:r>
      <w:bookmarkStart w:id="81310" w:name="_ETM_Q162_364090"/>
      <w:bookmarkEnd w:id="81310"/>
      <w:r>
        <w:rPr>
          <w:rFonts w:hint="cs"/>
          <w:rtl/>
        </w:rPr>
        <w:t xml:space="preserve">באמור </w:t>
      </w:r>
      <w:bookmarkStart w:id="81311" w:name="_ETM_Q162_364919"/>
      <w:bookmarkEnd w:id="81311"/>
      <w:r>
        <w:rPr>
          <w:rFonts w:hint="cs"/>
          <w:rtl/>
        </w:rPr>
        <w:t xml:space="preserve">בכדי </w:t>
      </w:r>
      <w:bookmarkStart w:id="81312" w:name="_ETM_Q162_365310"/>
      <w:bookmarkEnd w:id="81312"/>
      <w:r>
        <w:rPr>
          <w:rFonts w:hint="cs"/>
          <w:rtl/>
        </w:rPr>
        <w:t xml:space="preserve">להגביל </w:t>
      </w:r>
      <w:bookmarkStart w:id="81313" w:name="_ETM_Q162_365700"/>
      <w:bookmarkEnd w:id="81313"/>
      <w:r>
        <w:rPr>
          <w:rFonts w:hint="cs"/>
          <w:rtl/>
        </w:rPr>
        <w:t xml:space="preserve">את </w:t>
      </w:r>
      <w:bookmarkStart w:id="81314" w:name="_ETM_Q162_365760"/>
      <w:bookmarkEnd w:id="81314"/>
      <w:r>
        <w:rPr>
          <w:rFonts w:hint="cs"/>
          <w:rtl/>
        </w:rPr>
        <w:t xml:space="preserve">סמכותו </w:t>
      </w:r>
      <w:bookmarkStart w:id="81315" w:name="_ETM_Q162_366180"/>
      <w:bookmarkEnd w:id="81315"/>
      <w:r>
        <w:rPr>
          <w:rFonts w:hint="cs"/>
          <w:rtl/>
        </w:rPr>
        <w:t xml:space="preserve">של </w:t>
      </w:r>
      <w:bookmarkStart w:id="81316" w:name="_ETM_Q162_366329"/>
      <w:bookmarkEnd w:id="81316"/>
      <w:r>
        <w:rPr>
          <w:rFonts w:hint="cs"/>
          <w:rtl/>
        </w:rPr>
        <w:t xml:space="preserve">בית </w:t>
      </w:r>
      <w:bookmarkStart w:id="81317" w:name="_ETM_Q162_366510"/>
      <w:bookmarkEnd w:id="81317"/>
      <w:r>
        <w:rPr>
          <w:rFonts w:hint="cs"/>
          <w:rtl/>
        </w:rPr>
        <w:t xml:space="preserve">המשפט – </w:t>
      </w:r>
      <w:bookmarkStart w:id="81318" w:name="_ETM_Q162_366989"/>
      <w:bookmarkEnd w:id="81318"/>
      <w:r>
        <w:rPr>
          <w:rFonts w:hint="cs"/>
          <w:rtl/>
        </w:rPr>
        <w:t xml:space="preserve">וזאת </w:t>
      </w:r>
      <w:bookmarkStart w:id="81319" w:name="_ETM_Q162_367290"/>
      <w:bookmarkEnd w:id="81319"/>
      <w:r>
        <w:rPr>
          <w:rFonts w:hint="cs"/>
          <w:rtl/>
        </w:rPr>
        <w:t xml:space="preserve">בניגוד </w:t>
      </w:r>
      <w:bookmarkStart w:id="81320" w:name="_ETM_Q162_368040"/>
      <w:bookmarkEnd w:id="81320"/>
      <w:r>
        <w:rPr>
          <w:rFonts w:hint="cs"/>
          <w:rtl/>
        </w:rPr>
        <w:t xml:space="preserve">להרבה </w:t>
      </w:r>
      <w:bookmarkStart w:id="81321" w:name="_ETM_Q162_368669"/>
      <w:bookmarkEnd w:id="81321"/>
      <w:r>
        <w:rPr>
          <w:rFonts w:hint="cs"/>
          <w:rtl/>
        </w:rPr>
        <w:t xml:space="preserve">מאוד </w:t>
      </w:r>
      <w:bookmarkStart w:id="81322" w:name="_ETM_Q162_369090"/>
      <w:bookmarkEnd w:id="81322"/>
      <w:r>
        <w:rPr>
          <w:rFonts w:hint="cs"/>
          <w:rtl/>
        </w:rPr>
        <w:t xml:space="preserve">טענות </w:t>
      </w:r>
      <w:bookmarkStart w:id="81323" w:name="_ETM_Q162_369599"/>
      <w:bookmarkEnd w:id="81323"/>
      <w:r>
        <w:rPr>
          <w:rFonts w:hint="cs"/>
          <w:rtl/>
        </w:rPr>
        <w:t xml:space="preserve">שנשמעו </w:t>
      </w:r>
      <w:bookmarkStart w:id="81324" w:name="_ETM_Q162_370079"/>
      <w:bookmarkEnd w:id="81324"/>
      <w:r>
        <w:rPr>
          <w:rFonts w:hint="cs"/>
          <w:rtl/>
        </w:rPr>
        <w:t xml:space="preserve">בשיח </w:t>
      </w:r>
      <w:bookmarkStart w:id="81325" w:name="_ETM_Q162_370500"/>
      <w:bookmarkEnd w:id="81325"/>
      <w:r>
        <w:rPr>
          <w:rFonts w:hint="cs"/>
          <w:rtl/>
        </w:rPr>
        <w:t xml:space="preserve">הפופולרי </w:t>
      </w:r>
      <w:bookmarkStart w:id="81326" w:name="_ETM_Q162_371189"/>
      <w:bookmarkEnd w:id="81326"/>
      <w:r>
        <w:rPr>
          <w:rFonts w:hint="cs"/>
          <w:rtl/>
        </w:rPr>
        <w:t>והלא</w:t>
      </w:r>
      <w:bookmarkStart w:id="81327" w:name="_ETM_Q162_371489"/>
      <w:bookmarkEnd w:id="81327"/>
      <w:r>
        <w:rPr>
          <w:rFonts w:hint="cs"/>
          <w:rtl/>
        </w:rPr>
        <w:t xml:space="preserve">-פופולרי </w:t>
      </w:r>
      <w:bookmarkStart w:id="81328" w:name="_ETM_Q162_372419"/>
      <w:bookmarkEnd w:id="81328"/>
      <w:r>
        <w:rPr>
          <w:rFonts w:hint="cs"/>
          <w:rtl/>
        </w:rPr>
        <w:t xml:space="preserve">על </w:t>
      </w:r>
      <w:bookmarkStart w:id="81329" w:name="_ETM_Q162_369125"/>
      <w:bookmarkEnd w:id="81329"/>
      <w:r>
        <w:rPr>
          <w:rFonts w:hint="cs"/>
          <w:rtl/>
        </w:rPr>
        <w:t xml:space="preserve">ידי </w:t>
      </w:r>
      <w:bookmarkStart w:id="81330" w:name="_ETM_Q162_372840"/>
      <w:bookmarkEnd w:id="81330"/>
      <w:r>
        <w:rPr>
          <w:rFonts w:hint="cs"/>
          <w:rtl/>
        </w:rPr>
        <w:t xml:space="preserve">אנשים </w:t>
      </w:r>
      <w:bookmarkStart w:id="81331" w:name="_ETM_Q162_373590"/>
      <w:bookmarkEnd w:id="81331"/>
      <w:r>
        <w:rPr>
          <w:rFonts w:hint="cs"/>
          <w:rtl/>
        </w:rPr>
        <w:t xml:space="preserve">שלצערי </w:t>
      </w:r>
      <w:bookmarkStart w:id="81332" w:name="_ETM_Q162_374310"/>
      <w:bookmarkEnd w:id="81332"/>
      <w:r>
        <w:rPr>
          <w:rFonts w:hint="cs"/>
          <w:rtl/>
        </w:rPr>
        <w:t xml:space="preserve">מכרו </w:t>
      </w:r>
      <w:bookmarkStart w:id="81333" w:name="_ETM_Q162_375190"/>
      <w:bookmarkEnd w:id="81333"/>
      <w:r>
        <w:rPr>
          <w:rFonts w:hint="cs"/>
          <w:rtl/>
        </w:rPr>
        <w:t xml:space="preserve">את </w:t>
      </w:r>
      <w:bookmarkStart w:id="81334" w:name="_ETM_Q162_375520"/>
      <w:bookmarkEnd w:id="81334"/>
      <w:r>
        <w:rPr>
          <w:rFonts w:hint="cs"/>
          <w:rtl/>
        </w:rPr>
        <w:t xml:space="preserve">המקצועיות </w:t>
      </w:r>
      <w:bookmarkStart w:id="81335" w:name="_ETM_Q162_376180"/>
      <w:bookmarkEnd w:id="81335"/>
      <w:r>
        <w:rPr>
          <w:rFonts w:hint="cs"/>
          <w:rtl/>
        </w:rPr>
        <w:t xml:space="preserve">שלהם </w:t>
      </w:r>
      <w:bookmarkStart w:id="81336" w:name="_ETM_Q162_376570"/>
      <w:bookmarkEnd w:id="81336"/>
      <w:r>
        <w:rPr>
          <w:rFonts w:hint="cs"/>
          <w:rtl/>
        </w:rPr>
        <w:t xml:space="preserve">לטובת </w:t>
      </w:r>
      <w:bookmarkStart w:id="81337" w:name="_ETM_Q162_377139"/>
      <w:bookmarkEnd w:id="81337"/>
      <w:r>
        <w:rPr>
          <w:rFonts w:hint="cs"/>
          <w:rtl/>
        </w:rPr>
        <w:t xml:space="preserve">קמפיין </w:t>
      </w:r>
      <w:bookmarkStart w:id="81338" w:name="_ETM_Q162_378130"/>
      <w:bookmarkEnd w:id="81338"/>
      <w:r>
        <w:rPr>
          <w:rFonts w:hint="cs"/>
          <w:rtl/>
        </w:rPr>
        <w:t xml:space="preserve">חסר </w:t>
      </w:r>
      <w:bookmarkStart w:id="81339" w:name="_ETM_Q162_378730"/>
      <w:bookmarkEnd w:id="81339"/>
      <w:r>
        <w:rPr>
          <w:rFonts w:hint="cs"/>
          <w:rtl/>
        </w:rPr>
        <w:t xml:space="preserve">בושה – </w:t>
      </w:r>
      <w:bookmarkStart w:id="81340" w:name="_ETM_Q162_380489"/>
      <w:bookmarkEnd w:id="81340"/>
      <w:r>
        <w:rPr>
          <w:rFonts w:hint="cs"/>
          <w:rtl/>
        </w:rPr>
        <w:t xml:space="preserve">אין </w:t>
      </w:r>
      <w:bookmarkStart w:id="81341" w:name="_ETM_Q162_380790"/>
      <w:bookmarkEnd w:id="81341"/>
      <w:r>
        <w:rPr>
          <w:rFonts w:hint="cs"/>
          <w:rtl/>
        </w:rPr>
        <w:t xml:space="preserve">באמור </w:t>
      </w:r>
      <w:bookmarkStart w:id="81342" w:name="_ETM_Q162_381450"/>
      <w:bookmarkEnd w:id="81342"/>
      <w:r>
        <w:rPr>
          <w:rFonts w:hint="cs"/>
          <w:rtl/>
        </w:rPr>
        <w:t xml:space="preserve">בהצעת </w:t>
      </w:r>
      <w:bookmarkStart w:id="81343" w:name="_ETM_Q162_381989"/>
      <w:bookmarkEnd w:id="81343"/>
      <w:r>
        <w:rPr>
          <w:rFonts w:hint="cs"/>
          <w:rtl/>
        </w:rPr>
        <w:t xml:space="preserve">החוק </w:t>
      </w:r>
      <w:bookmarkStart w:id="81344" w:name="_ETM_Q162_382590"/>
      <w:bookmarkEnd w:id="81344"/>
      <w:r>
        <w:rPr>
          <w:rFonts w:hint="cs"/>
          <w:rtl/>
        </w:rPr>
        <w:t xml:space="preserve">בכדי </w:t>
      </w:r>
      <w:bookmarkStart w:id="81345" w:name="_ETM_Q162_382980"/>
      <w:bookmarkEnd w:id="81345"/>
      <w:r>
        <w:rPr>
          <w:rFonts w:hint="cs"/>
          <w:rtl/>
        </w:rPr>
        <w:t xml:space="preserve">להגביל </w:t>
      </w:r>
      <w:bookmarkStart w:id="81346" w:name="_ETM_Q162_383400"/>
      <w:bookmarkEnd w:id="81346"/>
      <w:r>
        <w:rPr>
          <w:rFonts w:hint="cs"/>
          <w:rtl/>
        </w:rPr>
        <w:t xml:space="preserve">את </w:t>
      </w:r>
      <w:bookmarkStart w:id="81347" w:name="_ETM_Q162_383489"/>
      <w:bookmarkEnd w:id="81347"/>
      <w:r>
        <w:rPr>
          <w:rFonts w:hint="cs"/>
          <w:rtl/>
        </w:rPr>
        <w:t xml:space="preserve">סמכותו </w:t>
      </w:r>
      <w:bookmarkStart w:id="81348" w:name="_ETM_Q162_383909"/>
      <w:bookmarkEnd w:id="81348"/>
      <w:r>
        <w:rPr>
          <w:rFonts w:hint="cs"/>
          <w:rtl/>
        </w:rPr>
        <w:t xml:space="preserve">של </w:t>
      </w:r>
      <w:bookmarkStart w:id="81349" w:name="_ETM_Q162_384060"/>
      <w:bookmarkEnd w:id="81349"/>
      <w:r>
        <w:rPr>
          <w:rFonts w:hint="cs"/>
          <w:rtl/>
        </w:rPr>
        <w:t xml:space="preserve">בית </w:t>
      </w:r>
      <w:bookmarkStart w:id="81350" w:name="_ETM_Q162_384239"/>
      <w:bookmarkEnd w:id="81350"/>
      <w:r>
        <w:rPr>
          <w:rFonts w:hint="cs"/>
          <w:rtl/>
        </w:rPr>
        <w:t xml:space="preserve">המשפט </w:t>
      </w:r>
      <w:bookmarkStart w:id="81351" w:name="_ETM_Q162_384689"/>
      <w:bookmarkEnd w:id="81351"/>
      <w:r>
        <w:rPr>
          <w:rFonts w:hint="cs"/>
          <w:rtl/>
        </w:rPr>
        <w:t xml:space="preserve">לדון </w:t>
      </w:r>
      <w:bookmarkStart w:id="81352" w:name="_ETM_Q162_385109"/>
      <w:bookmarkEnd w:id="81352"/>
      <w:r>
        <w:rPr>
          <w:rFonts w:hint="cs"/>
          <w:rtl/>
        </w:rPr>
        <w:t xml:space="preserve">או </w:t>
      </w:r>
      <w:bookmarkStart w:id="81353" w:name="_ETM_Q162_385169"/>
      <w:bookmarkEnd w:id="81353"/>
      <w:r>
        <w:rPr>
          <w:rFonts w:hint="cs"/>
          <w:rtl/>
        </w:rPr>
        <w:t xml:space="preserve">להוציא </w:t>
      </w:r>
      <w:bookmarkStart w:id="81354" w:name="_ETM_Q162_385469"/>
      <w:bookmarkEnd w:id="81354"/>
      <w:r>
        <w:rPr>
          <w:rFonts w:hint="cs"/>
          <w:rtl/>
        </w:rPr>
        <w:t xml:space="preserve">צו </w:t>
      </w:r>
      <w:bookmarkStart w:id="81355" w:name="_ETM_Q162_386189"/>
      <w:bookmarkEnd w:id="81355"/>
      <w:r>
        <w:rPr>
          <w:rFonts w:hint="cs"/>
          <w:rtl/>
        </w:rPr>
        <w:t xml:space="preserve">בשל </w:t>
      </w:r>
      <w:bookmarkStart w:id="81356" w:name="_ETM_Q162_386579"/>
      <w:bookmarkEnd w:id="81356"/>
      <w:r>
        <w:rPr>
          <w:rFonts w:hint="cs"/>
          <w:rtl/>
        </w:rPr>
        <w:t xml:space="preserve">עילות </w:t>
      </w:r>
      <w:bookmarkStart w:id="81357" w:name="_ETM_Q162_386849"/>
      <w:bookmarkEnd w:id="81357"/>
      <w:r>
        <w:rPr>
          <w:rFonts w:hint="cs"/>
          <w:rtl/>
        </w:rPr>
        <w:t xml:space="preserve">אחרות </w:t>
      </w:r>
      <w:bookmarkStart w:id="81358" w:name="_ETM_Q162_387180"/>
      <w:bookmarkEnd w:id="81358"/>
      <w:r>
        <w:rPr>
          <w:rFonts w:hint="cs"/>
          <w:rtl/>
        </w:rPr>
        <w:t xml:space="preserve">של </w:t>
      </w:r>
      <w:bookmarkStart w:id="81359" w:name="_ETM_Q162_387329"/>
      <w:bookmarkEnd w:id="81359"/>
      <w:r>
        <w:rPr>
          <w:rFonts w:hint="cs"/>
          <w:rtl/>
        </w:rPr>
        <w:t xml:space="preserve">ביקורת </w:t>
      </w:r>
      <w:bookmarkStart w:id="81360" w:name="_ETM_Q162_387749"/>
      <w:bookmarkEnd w:id="81360"/>
      <w:r>
        <w:rPr>
          <w:rFonts w:hint="cs"/>
          <w:rtl/>
        </w:rPr>
        <w:t xml:space="preserve">מינהלית, </w:t>
      </w:r>
      <w:bookmarkStart w:id="81361" w:name="_ETM_Q162_388680"/>
      <w:bookmarkEnd w:id="81361"/>
      <w:r>
        <w:rPr>
          <w:rFonts w:hint="cs"/>
          <w:rtl/>
        </w:rPr>
        <w:t xml:space="preserve">כפי </w:t>
      </w:r>
      <w:bookmarkStart w:id="81362" w:name="_ETM_Q162_389010"/>
      <w:bookmarkEnd w:id="81362"/>
      <w:r>
        <w:rPr>
          <w:rFonts w:hint="cs"/>
          <w:rtl/>
        </w:rPr>
        <w:t xml:space="preserve">שאלה </w:t>
      </w:r>
      <w:bookmarkStart w:id="81363" w:name="_ETM_Q162_389249"/>
      <w:bookmarkStart w:id="81364" w:name="_ETM_Q162_389340"/>
      <w:bookmarkEnd w:id="81363"/>
      <w:bookmarkEnd w:id="81364"/>
      <w:r>
        <w:rPr>
          <w:rFonts w:hint="cs"/>
          <w:rtl/>
        </w:rPr>
        <w:t xml:space="preserve">התפתחו </w:t>
      </w:r>
      <w:bookmarkStart w:id="81365" w:name="_ETM_Q162_389760"/>
      <w:bookmarkEnd w:id="81365"/>
      <w:r>
        <w:rPr>
          <w:rFonts w:hint="cs"/>
          <w:rtl/>
        </w:rPr>
        <w:t xml:space="preserve">בפסיקה, </w:t>
      </w:r>
      <w:bookmarkStart w:id="81366" w:name="_ETM_Q162_390780"/>
      <w:bookmarkEnd w:id="81366"/>
      <w:r>
        <w:rPr>
          <w:rFonts w:hint="cs"/>
          <w:rtl/>
        </w:rPr>
        <w:t xml:space="preserve">ובכלל </w:t>
      </w:r>
      <w:bookmarkStart w:id="81367" w:name="_ETM_Q162_391349"/>
      <w:bookmarkEnd w:id="81367"/>
      <w:r>
        <w:rPr>
          <w:rFonts w:hint="cs"/>
          <w:rtl/>
        </w:rPr>
        <w:t xml:space="preserve">זה </w:t>
      </w:r>
      <w:bookmarkStart w:id="81368" w:name="_ETM_Q162_391530"/>
      <w:bookmarkEnd w:id="81368"/>
      <w:r>
        <w:rPr>
          <w:rFonts w:hint="cs"/>
          <w:rtl/>
        </w:rPr>
        <w:t xml:space="preserve">עילות המידתיות </w:t>
      </w:r>
      <w:bookmarkStart w:id="81369" w:name="_ETM_Q162_391590"/>
      <w:bookmarkStart w:id="81370" w:name="_ETM_Q162_392939"/>
      <w:bookmarkEnd w:id="81369"/>
      <w:bookmarkEnd w:id="81370"/>
      <w:r>
        <w:rPr>
          <w:rFonts w:hint="cs"/>
          <w:rtl/>
        </w:rPr>
        <w:t xml:space="preserve">וחוסר </w:t>
      </w:r>
      <w:bookmarkStart w:id="81371" w:name="_ETM_Q162_393480"/>
      <w:bookmarkEnd w:id="81371"/>
      <w:r>
        <w:rPr>
          <w:rFonts w:hint="cs"/>
          <w:rtl/>
        </w:rPr>
        <w:t xml:space="preserve">הסמכות. </w:t>
      </w:r>
      <w:bookmarkStart w:id="81372" w:name="_ETM_Q162_395450"/>
      <w:bookmarkStart w:id="81373" w:name="_ETM_Q162_390803"/>
      <w:bookmarkStart w:id="81374" w:name="_ETM_Q162_390930"/>
      <w:bookmarkStart w:id="81375" w:name="_ETM_Q162_390971"/>
      <w:bookmarkStart w:id="81376" w:name="_ETM_Q162_391060"/>
      <w:bookmarkEnd w:id="81372"/>
      <w:bookmarkEnd w:id="81373"/>
      <w:bookmarkEnd w:id="81374"/>
      <w:bookmarkEnd w:id="81375"/>
      <w:bookmarkEnd w:id="81376"/>
    </w:p>
    <w:p w:rsidR="00BB59CD" w:rsidRDefault="00BB59CD" w:rsidP="00BB59CD">
      <w:pPr>
        <w:rPr>
          <w:rtl/>
        </w:rPr>
      </w:pPr>
      <w:bookmarkStart w:id="81377" w:name="_ETM_Q162_391115"/>
      <w:bookmarkStart w:id="81378" w:name="_ETM_Q162_391190"/>
      <w:bookmarkStart w:id="81379" w:name="_ETM_Q162_391259"/>
      <w:bookmarkEnd w:id="81377"/>
      <w:bookmarkEnd w:id="81378"/>
      <w:bookmarkEnd w:id="81379"/>
    </w:p>
    <w:p w:rsidR="00BB59CD" w:rsidRDefault="00BB59CD" w:rsidP="00BB59CD">
      <w:pPr>
        <w:rPr>
          <w:rtl/>
        </w:rPr>
      </w:pPr>
      <w:bookmarkStart w:id="81380" w:name="_ETM_Q162_391345"/>
      <w:bookmarkEnd w:id="81380"/>
      <w:r>
        <w:rPr>
          <w:rFonts w:hint="cs"/>
          <w:rtl/>
        </w:rPr>
        <w:t xml:space="preserve">אדוני </w:t>
      </w:r>
      <w:bookmarkStart w:id="81381" w:name="_ETM_Q162_395840"/>
      <w:bookmarkEnd w:id="81381"/>
      <w:r>
        <w:rPr>
          <w:rFonts w:hint="cs"/>
          <w:rtl/>
        </w:rPr>
        <w:t xml:space="preserve">היושב-ראש, </w:t>
      </w:r>
      <w:bookmarkStart w:id="81382" w:name="_ETM_Q162_398440"/>
      <w:bookmarkEnd w:id="81382"/>
      <w:r>
        <w:rPr>
          <w:rFonts w:hint="cs"/>
          <w:rtl/>
        </w:rPr>
        <w:t xml:space="preserve">דברי </w:t>
      </w:r>
      <w:bookmarkStart w:id="81383" w:name="_ETM_Q162_398830"/>
      <w:bookmarkEnd w:id="81383"/>
      <w:r>
        <w:rPr>
          <w:rFonts w:hint="cs"/>
          <w:rtl/>
        </w:rPr>
        <w:t xml:space="preserve">ההסבר </w:t>
      </w:r>
      <w:bookmarkStart w:id="81384" w:name="_ETM_Q162_399280"/>
      <w:bookmarkEnd w:id="81384"/>
      <w:r>
        <w:rPr>
          <w:rFonts w:hint="cs"/>
          <w:rtl/>
        </w:rPr>
        <w:t xml:space="preserve">הללו, </w:t>
      </w:r>
      <w:bookmarkStart w:id="81385" w:name="_ETM_Q162_400120"/>
      <w:bookmarkEnd w:id="81385"/>
      <w:r>
        <w:rPr>
          <w:rFonts w:hint="cs"/>
          <w:rtl/>
        </w:rPr>
        <w:t xml:space="preserve">ואני </w:t>
      </w:r>
      <w:bookmarkStart w:id="81386" w:name="_ETM_Q162_400390"/>
      <w:bookmarkEnd w:id="81386"/>
      <w:r>
        <w:rPr>
          <w:rFonts w:hint="cs"/>
          <w:rtl/>
        </w:rPr>
        <w:t xml:space="preserve">רוצה </w:t>
      </w:r>
      <w:bookmarkStart w:id="81387" w:name="_ETM_Q162_400660"/>
      <w:bookmarkEnd w:id="81387"/>
      <w:r>
        <w:rPr>
          <w:rFonts w:hint="cs"/>
          <w:rtl/>
        </w:rPr>
        <w:t xml:space="preserve">להודות </w:t>
      </w:r>
      <w:bookmarkStart w:id="81388" w:name="_ETM_Q162_401019"/>
      <w:bookmarkEnd w:id="81388"/>
      <w:r>
        <w:rPr>
          <w:rFonts w:hint="cs"/>
          <w:rtl/>
        </w:rPr>
        <w:t xml:space="preserve">כמובן </w:t>
      </w:r>
      <w:bookmarkStart w:id="81389" w:name="_ETM_Q162_402250"/>
      <w:bookmarkEnd w:id="81389"/>
      <w:r>
        <w:rPr>
          <w:rFonts w:hint="cs"/>
          <w:rtl/>
        </w:rPr>
        <w:t xml:space="preserve">ליועץ </w:t>
      </w:r>
      <w:bookmarkStart w:id="81390" w:name="_ETM_Q162_403120"/>
      <w:bookmarkEnd w:id="81390"/>
      <w:r>
        <w:rPr>
          <w:rFonts w:hint="cs"/>
          <w:rtl/>
        </w:rPr>
        <w:t xml:space="preserve">שליווה </w:t>
      </w:r>
      <w:bookmarkStart w:id="81391" w:name="_ETM_Q162_403630"/>
      <w:bookmarkEnd w:id="81391"/>
      <w:r>
        <w:rPr>
          <w:rFonts w:hint="cs"/>
          <w:rtl/>
        </w:rPr>
        <w:t xml:space="preserve">אותי </w:t>
      </w:r>
      <w:bookmarkStart w:id="81392" w:name="_ETM_Q162_403870"/>
      <w:bookmarkEnd w:id="81392"/>
      <w:r>
        <w:rPr>
          <w:rFonts w:hint="cs"/>
          <w:rtl/>
        </w:rPr>
        <w:t xml:space="preserve">לכל </w:t>
      </w:r>
      <w:bookmarkStart w:id="81393" w:name="_ETM_Q162_404200"/>
      <w:bookmarkEnd w:id="81393"/>
      <w:r>
        <w:rPr>
          <w:rFonts w:hint="cs"/>
          <w:rtl/>
        </w:rPr>
        <w:t xml:space="preserve">אורך </w:t>
      </w:r>
      <w:bookmarkStart w:id="81394" w:name="_ETM_Q162_404470"/>
      <w:bookmarkEnd w:id="81394"/>
      <w:r>
        <w:rPr>
          <w:rFonts w:hint="cs"/>
          <w:rtl/>
        </w:rPr>
        <w:t xml:space="preserve">הליך </w:t>
      </w:r>
      <w:bookmarkStart w:id="81395" w:name="_ETM_Q162_404710"/>
      <w:bookmarkEnd w:id="81395"/>
      <w:r>
        <w:rPr>
          <w:rFonts w:hint="cs"/>
          <w:rtl/>
        </w:rPr>
        <w:t xml:space="preserve">החקיקה, </w:t>
      </w:r>
      <w:bookmarkStart w:id="81396" w:name="_ETM_Q162_405520"/>
      <w:bookmarkEnd w:id="81396"/>
      <w:r>
        <w:rPr>
          <w:rFonts w:hint="cs"/>
          <w:rtl/>
        </w:rPr>
        <w:t xml:space="preserve">היועץ </w:t>
      </w:r>
      <w:bookmarkStart w:id="81397" w:name="_ETM_Q162_405880"/>
      <w:bookmarkEnd w:id="81397"/>
      <w:r>
        <w:rPr>
          <w:rFonts w:hint="cs"/>
          <w:rtl/>
        </w:rPr>
        <w:t xml:space="preserve">המקצועי </w:t>
      </w:r>
      <w:bookmarkStart w:id="81398" w:name="_ETM_Q162_406360"/>
      <w:bookmarkEnd w:id="81398"/>
      <w:r>
        <w:rPr>
          <w:rFonts w:hint="cs"/>
          <w:rtl/>
        </w:rPr>
        <w:t xml:space="preserve">שלי, </w:t>
      </w:r>
      <w:bookmarkStart w:id="81399" w:name="_ETM_Q162_407200"/>
      <w:bookmarkEnd w:id="81399"/>
      <w:r>
        <w:rPr>
          <w:rFonts w:hint="cs"/>
          <w:rtl/>
        </w:rPr>
        <w:t xml:space="preserve">עורך הדין – </w:t>
      </w:r>
      <w:bookmarkStart w:id="81400" w:name="_ETM_Q162_408430"/>
      <w:bookmarkEnd w:id="81400"/>
      <w:r>
        <w:rPr>
          <w:rFonts w:hint="cs"/>
          <w:rtl/>
        </w:rPr>
        <w:t xml:space="preserve">בעזרת </w:t>
      </w:r>
      <w:bookmarkStart w:id="81401" w:name="_ETM_Q162_408760"/>
      <w:bookmarkEnd w:id="81401"/>
      <w:r>
        <w:rPr>
          <w:rFonts w:hint="cs"/>
          <w:rtl/>
        </w:rPr>
        <w:t xml:space="preserve">השם </w:t>
      </w:r>
      <w:bookmarkStart w:id="81402" w:name="_ETM_Q162_409000"/>
      <w:bookmarkEnd w:id="81402"/>
      <w:r>
        <w:rPr>
          <w:rFonts w:hint="cs"/>
          <w:rtl/>
        </w:rPr>
        <w:t xml:space="preserve">בקרוב </w:t>
      </w:r>
      <w:bookmarkStart w:id="81403" w:name="_ETM_Q162_409480"/>
      <w:bookmarkEnd w:id="81403"/>
      <w:r>
        <w:rPr>
          <w:rFonts w:hint="cs"/>
          <w:rtl/>
        </w:rPr>
        <w:t xml:space="preserve">ד"ר – </w:t>
      </w:r>
      <w:bookmarkStart w:id="81404" w:name="_ETM_Q162_410510"/>
      <w:bookmarkEnd w:id="81404"/>
      <w:r>
        <w:rPr>
          <w:rFonts w:hint="cs"/>
          <w:rtl/>
        </w:rPr>
        <w:t xml:space="preserve">שמעון </w:t>
      </w:r>
      <w:bookmarkStart w:id="81405" w:name="_ETM_Q162_410930"/>
      <w:bookmarkEnd w:id="81405"/>
      <w:r>
        <w:rPr>
          <w:rFonts w:hint="cs"/>
          <w:rtl/>
        </w:rPr>
        <w:t xml:space="preserve">נטף, </w:t>
      </w:r>
      <w:bookmarkStart w:id="81406" w:name="_ETM_Q162_411680"/>
      <w:bookmarkEnd w:id="81406"/>
      <w:r>
        <w:rPr>
          <w:rFonts w:hint="cs"/>
          <w:rtl/>
        </w:rPr>
        <w:t xml:space="preserve">שסייע </w:t>
      </w:r>
      <w:bookmarkStart w:id="81407" w:name="_ETM_Q162_412129"/>
      <w:bookmarkEnd w:id="81407"/>
      <w:r>
        <w:rPr>
          <w:rFonts w:hint="cs"/>
          <w:rtl/>
        </w:rPr>
        <w:t xml:space="preserve">לי </w:t>
      </w:r>
      <w:bookmarkStart w:id="81408" w:name="_ETM_Q162_412279"/>
      <w:bookmarkEnd w:id="81408"/>
      <w:r>
        <w:rPr>
          <w:rFonts w:hint="cs"/>
          <w:rtl/>
        </w:rPr>
        <w:t xml:space="preserve">מאוד </w:t>
      </w:r>
      <w:bookmarkStart w:id="81409" w:name="_ETM_Q162_413180"/>
      <w:bookmarkEnd w:id="81409"/>
      <w:r>
        <w:rPr>
          <w:rFonts w:hint="cs"/>
          <w:rtl/>
        </w:rPr>
        <w:t xml:space="preserve">גם </w:t>
      </w:r>
      <w:bookmarkStart w:id="81410" w:name="_ETM_Q162_414319"/>
      <w:bookmarkEnd w:id="81410"/>
      <w:r>
        <w:rPr>
          <w:rFonts w:hint="cs"/>
          <w:rtl/>
        </w:rPr>
        <w:t xml:space="preserve">בהכנת </w:t>
      </w:r>
      <w:bookmarkStart w:id="81411" w:name="_ETM_Q162_414980"/>
      <w:bookmarkEnd w:id="81411"/>
      <w:r>
        <w:rPr>
          <w:rFonts w:hint="cs"/>
          <w:rtl/>
        </w:rPr>
        <w:t xml:space="preserve">דברי </w:t>
      </w:r>
      <w:bookmarkStart w:id="81412" w:name="_ETM_Q162_415309"/>
      <w:bookmarkEnd w:id="81412"/>
      <w:r>
        <w:rPr>
          <w:rFonts w:hint="cs"/>
          <w:rtl/>
        </w:rPr>
        <w:t xml:space="preserve">ההסבר </w:t>
      </w:r>
      <w:bookmarkStart w:id="81413" w:name="_ETM_Q162_415730"/>
      <w:bookmarkEnd w:id="81413"/>
      <w:r>
        <w:rPr>
          <w:rFonts w:hint="cs"/>
          <w:rtl/>
        </w:rPr>
        <w:t xml:space="preserve">וגם </w:t>
      </w:r>
      <w:bookmarkStart w:id="81414" w:name="_ETM_Q162_416510"/>
      <w:bookmarkEnd w:id="81414"/>
      <w:r>
        <w:rPr>
          <w:rFonts w:hint="cs"/>
          <w:rtl/>
        </w:rPr>
        <w:t xml:space="preserve">בחשיבה </w:t>
      </w:r>
      <w:bookmarkStart w:id="81415" w:name="_ETM_Q162_417409"/>
      <w:bookmarkEnd w:id="81415"/>
      <w:r>
        <w:rPr>
          <w:rFonts w:hint="cs"/>
          <w:rtl/>
        </w:rPr>
        <w:t xml:space="preserve">לכל </w:t>
      </w:r>
      <w:bookmarkStart w:id="81416" w:name="_ETM_Q162_417829"/>
      <w:bookmarkEnd w:id="81416"/>
      <w:r>
        <w:rPr>
          <w:rFonts w:hint="cs"/>
          <w:rtl/>
        </w:rPr>
        <w:t xml:space="preserve">אורך </w:t>
      </w:r>
      <w:bookmarkStart w:id="81417" w:name="_ETM_Q162_418159"/>
      <w:bookmarkEnd w:id="81417"/>
      <w:r>
        <w:rPr>
          <w:rFonts w:hint="cs"/>
          <w:rtl/>
        </w:rPr>
        <w:t xml:space="preserve">הדרך, </w:t>
      </w:r>
      <w:bookmarkStart w:id="81418" w:name="_ETM_Q162_418579"/>
      <w:bookmarkEnd w:id="81418"/>
      <w:r>
        <w:rPr>
          <w:rFonts w:hint="cs"/>
          <w:rtl/>
        </w:rPr>
        <w:t xml:space="preserve">גם </w:t>
      </w:r>
      <w:bookmarkStart w:id="81419" w:name="_ETM_Q162_418879"/>
      <w:bookmarkEnd w:id="81419"/>
      <w:r>
        <w:rPr>
          <w:rFonts w:hint="cs"/>
          <w:rtl/>
        </w:rPr>
        <w:t xml:space="preserve">בהצעה </w:t>
      </w:r>
      <w:bookmarkStart w:id="81420" w:name="_ETM_Q162_419239"/>
      <w:bookmarkEnd w:id="81420"/>
      <w:r>
        <w:rPr>
          <w:rFonts w:hint="cs"/>
          <w:rtl/>
        </w:rPr>
        <w:t xml:space="preserve">הזאת </w:t>
      </w:r>
      <w:bookmarkStart w:id="81421" w:name="_ETM_Q162_419510"/>
      <w:bookmarkEnd w:id="81421"/>
      <w:r>
        <w:rPr>
          <w:rFonts w:hint="cs"/>
          <w:rtl/>
        </w:rPr>
        <w:t xml:space="preserve">וגם </w:t>
      </w:r>
      <w:bookmarkStart w:id="81422" w:name="_ETM_Q162_419840"/>
      <w:bookmarkEnd w:id="81422"/>
      <w:r>
        <w:rPr>
          <w:rFonts w:hint="cs"/>
          <w:rtl/>
        </w:rPr>
        <w:t xml:space="preserve">בהצעות </w:t>
      </w:r>
      <w:bookmarkStart w:id="81423" w:name="_ETM_Q162_420319"/>
      <w:bookmarkEnd w:id="81423"/>
      <w:r>
        <w:rPr>
          <w:rFonts w:hint="cs"/>
          <w:rtl/>
        </w:rPr>
        <w:t xml:space="preserve">אחרות. </w:t>
      </w:r>
      <w:bookmarkStart w:id="81424" w:name="_ETM_Q162_422269"/>
      <w:bookmarkStart w:id="81425" w:name="_ETM_Q162_423739"/>
      <w:bookmarkEnd w:id="81424"/>
      <w:bookmarkEnd w:id="81425"/>
      <w:r>
        <w:rPr>
          <w:rFonts w:hint="cs"/>
          <w:rtl/>
        </w:rPr>
        <w:t xml:space="preserve">דברי </w:t>
      </w:r>
      <w:bookmarkStart w:id="81426" w:name="_ETM_Q162_424010"/>
      <w:bookmarkEnd w:id="81426"/>
      <w:r>
        <w:rPr>
          <w:rFonts w:hint="cs"/>
          <w:rtl/>
        </w:rPr>
        <w:t xml:space="preserve">ההסבר </w:t>
      </w:r>
      <w:bookmarkStart w:id="81427" w:name="_ETM_Q162_424340"/>
      <w:bookmarkEnd w:id="81427"/>
      <w:r>
        <w:rPr>
          <w:rFonts w:hint="cs"/>
          <w:rtl/>
        </w:rPr>
        <w:t xml:space="preserve">הללו </w:t>
      </w:r>
      <w:bookmarkStart w:id="81428" w:name="_ETM_Q162_424609"/>
      <w:bookmarkEnd w:id="81428"/>
      <w:r>
        <w:rPr>
          <w:rFonts w:hint="cs"/>
          <w:rtl/>
        </w:rPr>
        <w:t xml:space="preserve">משקפים </w:t>
      </w:r>
      <w:bookmarkStart w:id="81429" w:name="_ETM_Q162_425299"/>
      <w:bookmarkEnd w:id="81429"/>
      <w:r>
        <w:rPr>
          <w:rFonts w:hint="cs"/>
          <w:rtl/>
        </w:rPr>
        <w:t xml:space="preserve">מבחינתי, </w:t>
      </w:r>
      <w:bookmarkStart w:id="81430" w:name="_ETM_Q162_426739"/>
      <w:bookmarkEnd w:id="81430"/>
      <w:r>
        <w:rPr>
          <w:rFonts w:hint="cs"/>
          <w:rtl/>
        </w:rPr>
        <w:t xml:space="preserve">ואני </w:t>
      </w:r>
      <w:bookmarkStart w:id="81431" w:name="_ETM_Q162_427099"/>
      <w:bookmarkEnd w:id="81431"/>
      <w:r>
        <w:rPr>
          <w:rFonts w:hint="cs"/>
          <w:rtl/>
        </w:rPr>
        <w:t xml:space="preserve">חושב </w:t>
      </w:r>
      <w:bookmarkStart w:id="81432" w:name="_ETM_Q162_427639"/>
      <w:bookmarkEnd w:id="81432"/>
      <w:r>
        <w:rPr>
          <w:rFonts w:hint="cs"/>
          <w:rtl/>
        </w:rPr>
        <w:t xml:space="preserve">שאני </w:t>
      </w:r>
      <w:bookmarkStart w:id="81433" w:name="_ETM_Q162_427879"/>
      <w:bookmarkEnd w:id="81433"/>
      <w:r>
        <w:rPr>
          <w:rFonts w:hint="cs"/>
          <w:rtl/>
        </w:rPr>
        <w:t xml:space="preserve">מדבר </w:t>
      </w:r>
      <w:bookmarkStart w:id="81434" w:name="_ETM_Q162_428329"/>
      <w:bookmarkEnd w:id="81434"/>
      <w:r>
        <w:rPr>
          <w:rFonts w:hint="cs"/>
          <w:rtl/>
        </w:rPr>
        <w:t xml:space="preserve">בשם </w:t>
      </w:r>
      <w:bookmarkStart w:id="81435" w:name="_ETM_Q162_428659"/>
      <w:bookmarkEnd w:id="81435"/>
      <w:r>
        <w:rPr>
          <w:rFonts w:hint="cs"/>
          <w:rtl/>
        </w:rPr>
        <w:t xml:space="preserve">חבריי </w:t>
      </w:r>
      <w:bookmarkStart w:id="81436" w:name="_ETM_Q162_429079"/>
      <w:bookmarkEnd w:id="81436"/>
      <w:r>
        <w:rPr>
          <w:rFonts w:hint="cs"/>
          <w:rtl/>
        </w:rPr>
        <w:t xml:space="preserve">לקואליציה </w:t>
      </w:r>
      <w:bookmarkStart w:id="81437" w:name="_ETM_Q162_429769"/>
      <w:bookmarkEnd w:id="81437"/>
      <w:r>
        <w:rPr>
          <w:rFonts w:hint="cs"/>
          <w:rtl/>
        </w:rPr>
        <w:t xml:space="preserve">בוודאי, </w:t>
      </w:r>
      <w:bookmarkStart w:id="81438" w:name="_ETM_Q162_430919"/>
      <w:bookmarkEnd w:id="81438"/>
      <w:r>
        <w:rPr>
          <w:rFonts w:hint="cs"/>
          <w:rtl/>
        </w:rPr>
        <w:t xml:space="preserve">את </w:t>
      </w:r>
      <w:bookmarkStart w:id="81439" w:name="_ETM_Q162_431249"/>
      <w:bookmarkEnd w:id="81439"/>
      <w:r>
        <w:rPr>
          <w:rFonts w:hint="cs"/>
          <w:rtl/>
        </w:rPr>
        <w:t xml:space="preserve">העקרונות </w:t>
      </w:r>
      <w:bookmarkStart w:id="81440" w:name="_ETM_Q162_431909"/>
      <w:bookmarkEnd w:id="81440"/>
      <w:r>
        <w:rPr>
          <w:rFonts w:hint="cs"/>
          <w:rtl/>
        </w:rPr>
        <w:t xml:space="preserve">ואת </w:t>
      </w:r>
      <w:bookmarkStart w:id="81441" w:name="_ETM_Q162_432150"/>
      <w:bookmarkEnd w:id="81441"/>
      <w:r>
        <w:rPr>
          <w:rFonts w:hint="cs"/>
          <w:rtl/>
        </w:rPr>
        <w:t xml:space="preserve">היסודות </w:t>
      </w:r>
      <w:bookmarkStart w:id="81442" w:name="_ETM_Q162_433079"/>
      <w:bookmarkEnd w:id="81442"/>
      <w:r>
        <w:rPr>
          <w:rFonts w:hint="cs"/>
          <w:rtl/>
        </w:rPr>
        <w:t xml:space="preserve">שבבסיס </w:t>
      </w:r>
      <w:bookmarkStart w:id="81443" w:name="_ETM_Q162_433769"/>
      <w:bookmarkEnd w:id="81443"/>
      <w:r>
        <w:rPr>
          <w:rFonts w:hint="cs"/>
          <w:rtl/>
        </w:rPr>
        <w:t xml:space="preserve">ההצעה </w:t>
      </w:r>
      <w:bookmarkStart w:id="81444" w:name="_ETM_Q162_434219"/>
      <w:bookmarkEnd w:id="81444"/>
      <w:r>
        <w:rPr>
          <w:rFonts w:hint="cs"/>
          <w:rtl/>
        </w:rPr>
        <w:t>הזו.</w:t>
      </w:r>
      <w:bookmarkStart w:id="81445" w:name="_ETM_Q162_432932"/>
      <w:bookmarkStart w:id="81446" w:name="_ETM_Q162_433037"/>
      <w:bookmarkEnd w:id="81445"/>
      <w:bookmarkEnd w:id="81446"/>
    </w:p>
    <w:p w:rsidR="00BB59CD" w:rsidRDefault="00BB59CD" w:rsidP="00BB59CD">
      <w:pPr>
        <w:rPr>
          <w:rtl/>
        </w:rPr>
      </w:pPr>
      <w:bookmarkStart w:id="81447" w:name="_ETM_Q162_433075"/>
      <w:bookmarkStart w:id="81448" w:name="_ETM_Q162_433168"/>
      <w:bookmarkEnd w:id="81447"/>
      <w:bookmarkEnd w:id="81448"/>
    </w:p>
    <w:p w:rsidR="00BB59CD" w:rsidRDefault="00BB59CD" w:rsidP="00BB59CD">
      <w:pPr>
        <w:rPr>
          <w:rtl/>
        </w:rPr>
      </w:pPr>
      <w:bookmarkStart w:id="81449" w:name="_ETM_Q162_433219"/>
      <w:bookmarkStart w:id="81450" w:name="_ETM_Q162_433308"/>
      <w:bookmarkStart w:id="81451" w:name="_ETM_Q162_437009"/>
      <w:bookmarkEnd w:id="81449"/>
      <w:bookmarkEnd w:id="81450"/>
      <w:bookmarkEnd w:id="81451"/>
      <w:r>
        <w:rPr>
          <w:rFonts w:hint="cs"/>
          <w:rtl/>
        </w:rPr>
        <w:t xml:space="preserve">מעבר </w:t>
      </w:r>
      <w:bookmarkStart w:id="81452" w:name="_ETM_Q162_437520"/>
      <w:bookmarkEnd w:id="81452"/>
      <w:r>
        <w:rPr>
          <w:rFonts w:hint="cs"/>
          <w:rtl/>
        </w:rPr>
        <w:t xml:space="preserve">לכך, </w:t>
      </w:r>
      <w:bookmarkStart w:id="81453" w:name="_ETM_Q162_438900"/>
      <w:bookmarkEnd w:id="81453"/>
      <w:r>
        <w:rPr>
          <w:rFonts w:hint="cs"/>
          <w:rtl/>
        </w:rPr>
        <w:t xml:space="preserve">אדוני </w:t>
      </w:r>
      <w:bookmarkStart w:id="81454" w:name="_ETM_Q162_439290"/>
      <w:bookmarkEnd w:id="81454"/>
      <w:r>
        <w:rPr>
          <w:rFonts w:hint="cs"/>
          <w:rtl/>
        </w:rPr>
        <w:t xml:space="preserve">היושב-ראש </w:t>
      </w:r>
      <w:r>
        <w:t>–</w:t>
      </w:r>
      <w:r>
        <w:rPr>
          <w:rtl/>
        </w:rPr>
        <w:t xml:space="preserve"> </w:t>
      </w:r>
      <w:bookmarkStart w:id="81455" w:name="_ETM_Q162_441449"/>
      <w:bookmarkEnd w:id="81455"/>
      <w:r>
        <w:rPr>
          <w:rFonts w:hint="cs"/>
          <w:rtl/>
        </w:rPr>
        <w:t xml:space="preserve">רק הרעש קצת מפריע ברקע. </w:t>
      </w:r>
    </w:p>
    <w:p w:rsidR="00BB59CD" w:rsidRDefault="00BB59CD" w:rsidP="00BB59CD">
      <w:pPr>
        <w:rPr>
          <w:rtl/>
        </w:rPr>
      </w:pPr>
      <w:bookmarkStart w:id="81456" w:name="_ETM_Q162_440050"/>
      <w:bookmarkStart w:id="81457" w:name="_ETM_Q162_440138"/>
      <w:bookmarkEnd w:id="81456"/>
      <w:bookmarkEnd w:id="81457"/>
    </w:p>
    <w:p w:rsidR="00BB59CD" w:rsidRDefault="00BB59CD" w:rsidP="00BB59CD">
      <w:pPr>
        <w:pStyle w:val="af9"/>
        <w:keepNext/>
        <w:rPr>
          <w:rtl/>
        </w:rPr>
      </w:pPr>
      <w:bookmarkStart w:id="81458" w:name="_ETM_Q162_440194"/>
      <w:bookmarkStart w:id="81459" w:name="_ETM_Q162_440266"/>
      <w:bookmarkEnd w:id="81458"/>
      <w:bookmarkEnd w:id="8145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1460" w:name="_ETM_Q162_444108"/>
      <w:bookmarkEnd w:id="81460"/>
      <w:r>
        <w:rPr>
          <w:rFonts w:hint="cs"/>
          <w:rtl/>
          <w:lang w:eastAsia="he-IL"/>
        </w:rPr>
        <w:t xml:space="preserve">רבותיי, שקט </w:t>
      </w:r>
      <w:bookmarkStart w:id="81461" w:name="_ETM_Q162_440305"/>
      <w:bookmarkEnd w:id="81461"/>
      <w:r>
        <w:rPr>
          <w:rFonts w:hint="cs"/>
          <w:rtl/>
          <w:lang w:eastAsia="he-IL"/>
        </w:rPr>
        <w:t xml:space="preserve">באולם. סדרנים, עזרו לנו לעשות </w:t>
      </w:r>
      <w:bookmarkStart w:id="81462" w:name="_ETM_Q162_446506"/>
      <w:bookmarkEnd w:id="81462"/>
      <w:r>
        <w:rPr>
          <w:rFonts w:hint="cs"/>
          <w:rtl/>
          <w:lang w:eastAsia="he-IL"/>
        </w:rPr>
        <w:t>שקט, בבקשה.</w:t>
      </w:r>
      <w:bookmarkStart w:id="81463" w:name="_ETM_Q162_444146"/>
      <w:bookmarkStart w:id="81464" w:name="_ETM_Q162_444255"/>
      <w:bookmarkEnd w:id="81463"/>
      <w:bookmarkEnd w:id="81464"/>
    </w:p>
    <w:p w:rsidR="00BB59CD" w:rsidRDefault="00BB59CD" w:rsidP="00BB59CD">
      <w:pPr>
        <w:rPr>
          <w:rtl/>
          <w:lang w:eastAsia="he-IL"/>
        </w:rPr>
      </w:pPr>
      <w:bookmarkStart w:id="81465" w:name="_ETM_Q162_442895"/>
      <w:bookmarkStart w:id="81466" w:name="_ETM_Q162_442977"/>
      <w:bookmarkEnd w:id="81465"/>
      <w:bookmarkEnd w:id="81466"/>
    </w:p>
    <w:p w:rsidR="00BB59CD" w:rsidRDefault="00BB59CD" w:rsidP="00BB59CD">
      <w:pPr>
        <w:pStyle w:val="af8"/>
        <w:keepNext/>
        <w:rPr>
          <w:rtl/>
        </w:rPr>
      </w:pPr>
      <w:bookmarkStart w:id="81467" w:name="_ETM_Q162_443016"/>
      <w:bookmarkStart w:id="81468" w:name="_ETM_Q162_443093"/>
      <w:bookmarkEnd w:id="81467"/>
      <w:bookmarkEnd w:id="81468"/>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זה עוד כלום לעומת הרעש שיהיה לך בחוץ, תתרגל.</w:t>
      </w:r>
    </w:p>
    <w:p w:rsidR="00BB59CD" w:rsidRDefault="00BB59CD" w:rsidP="00BB59CD">
      <w:pPr>
        <w:rPr>
          <w:rtl/>
          <w:lang w:eastAsia="he-IL"/>
        </w:rPr>
      </w:pPr>
    </w:p>
    <w:p w:rsidR="00CB7C6D" w:rsidRDefault="00CB7C6D" w:rsidP="00CB7C6D">
      <w:pPr>
        <w:pStyle w:val="-"/>
        <w:rPr>
          <w:rtl/>
        </w:rPr>
      </w:pPr>
      <w:bookmarkStart w:id="81469" w:name="_ETM_Q162_448155"/>
      <w:bookmarkStart w:id="81470" w:name="_ETM_Q162_448260"/>
      <w:bookmarkEnd w:id="81469"/>
      <w:bookmarkEnd w:id="81470"/>
      <w:r w:rsidRPr="00CB7C6D">
        <w:rPr>
          <w:rStyle w:val="TagStyle"/>
          <w:rtl/>
        </w:rPr>
        <w:t>&lt;&lt; דובר_המשך &gt;&gt;</w:t>
      </w:r>
      <w:r w:rsidRPr="00CB7C6D">
        <w:rPr>
          <w:rtl/>
        </w:rPr>
        <w:t>שמחה רוטמן (יו"ר ועדת החוקה, חוק ומשפט):</w:t>
      </w:r>
      <w:r w:rsidRPr="00CB7C6D">
        <w:rPr>
          <w:rStyle w:val="TagStyle"/>
          <w:rtl/>
        </w:rPr>
        <w:t xml:space="preserve">&lt;&lt; דובר_המשך &gt;&gt; </w:t>
      </w:r>
    </w:p>
    <w:p w:rsidR="00CB7C6D" w:rsidRPr="00CB7C6D" w:rsidRDefault="00CB7C6D" w:rsidP="00CB7C6D">
      <w:pPr>
        <w:rPr>
          <w:rtl/>
          <w:lang w:eastAsia="he-IL"/>
        </w:rPr>
      </w:pPr>
    </w:p>
    <w:p w:rsidR="00BB59CD" w:rsidRDefault="00BB59CD" w:rsidP="00BB59CD">
      <w:pPr>
        <w:rPr>
          <w:rtl/>
        </w:rPr>
      </w:pPr>
      <w:bookmarkStart w:id="81471" w:name="_ETM_Q162_448992"/>
      <w:bookmarkStart w:id="81472" w:name="_ETM_Q162_440314"/>
      <w:bookmarkStart w:id="81473" w:name="_ETM_Q162_440385"/>
      <w:bookmarkEnd w:id="81471"/>
      <w:bookmarkEnd w:id="81472"/>
      <w:bookmarkEnd w:id="81473"/>
      <w:r>
        <w:rPr>
          <w:rFonts w:hint="cs"/>
          <w:rtl/>
        </w:rPr>
        <w:t xml:space="preserve">מעבר לכך, אדוני היושב-ראש, </w:t>
      </w:r>
      <w:bookmarkStart w:id="81474" w:name="_ETM_Q162_455639"/>
      <w:bookmarkEnd w:id="81474"/>
      <w:r>
        <w:rPr>
          <w:rFonts w:hint="cs"/>
          <w:rtl/>
        </w:rPr>
        <w:t xml:space="preserve">כאשר </w:t>
      </w:r>
      <w:bookmarkStart w:id="81475" w:name="_ETM_Q162_457430"/>
      <w:bookmarkEnd w:id="81475"/>
      <w:r>
        <w:rPr>
          <w:rFonts w:hint="cs"/>
          <w:rtl/>
        </w:rPr>
        <w:t xml:space="preserve">תהיתי </w:t>
      </w:r>
      <w:bookmarkStart w:id="81476" w:name="_ETM_Q162_457970"/>
      <w:bookmarkEnd w:id="81476"/>
      <w:r>
        <w:rPr>
          <w:rFonts w:hint="cs"/>
          <w:rtl/>
        </w:rPr>
        <w:t xml:space="preserve">לעצמי </w:t>
      </w:r>
      <w:bookmarkStart w:id="81477" w:name="_ETM_Q162_459900"/>
      <w:bookmarkEnd w:id="81477"/>
      <w:r>
        <w:rPr>
          <w:rFonts w:hint="cs"/>
          <w:rtl/>
        </w:rPr>
        <w:t xml:space="preserve">מה </w:t>
      </w:r>
      <w:bookmarkStart w:id="81478" w:name="_ETM_Q162_461060"/>
      <w:bookmarkStart w:id="81479" w:name="_ETM_Q162_461360"/>
      <w:bookmarkEnd w:id="81478"/>
      <w:bookmarkEnd w:id="81479"/>
      <w:r>
        <w:rPr>
          <w:rFonts w:hint="cs"/>
          <w:rtl/>
        </w:rPr>
        <w:t xml:space="preserve">הבסיס </w:t>
      </w:r>
      <w:bookmarkStart w:id="81480" w:name="_ETM_Q162_462650"/>
      <w:bookmarkEnd w:id="81480"/>
      <w:r>
        <w:rPr>
          <w:rFonts w:hint="cs"/>
          <w:rtl/>
        </w:rPr>
        <w:t xml:space="preserve">שעליו </w:t>
      </w:r>
      <w:bookmarkStart w:id="81481" w:name="_ETM_Q162_460827"/>
      <w:bookmarkStart w:id="81482" w:name="_ETM_Q162_464660"/>
      <w:bookmarkEnd w:id="81481"/>
      <w:bookmarkEnd w:id="81482"/>
      <w:r>
        <w:rPr>
          <w:rFonts w:hint="cs"/>
          <w:rtl/>
        </w:rPr>
        <w:t xml:space="preserve">אני </w:t>
      </w:r>
      <w:bookmarkStart w:id="81483" w:name="_ETM_Q162_464839"/>
      <w:bookmarkEnd w:id="81483"/>
      <w:r>
        <w:rPr>
          <w:rFonts w:hint="cs"/>
          <w:rtl/>
        </w:rPr>
        <w:t xml:space="preserve">חושב </w:t>
      </w:r>
      <w:bookmarkStart w:id="81484" w:name="_ETM_Q162_465199"/>
      <w:bookmarkEnd w:id="81484"/>
      <w:r>
        <w:rPr>
          <w:rFonts w:hint="cs"/>
          <w:rtl/>
        </w:rPr>
        <w:t xml:space="preserve">שכולנו </w:t>
      </w:r>
      <w:bookmarkStart w:id="81485" w:name="_ETM_Q162_467290"/>
      <w:bookmarkEnd w:id="81485"/>
      <w:r>
        <w:rPr>
          <w:rFonts w:hint="cs"/>
          <w:rtl/>
        </w:rPr>
        <w:t xml:space="preserve">מבססים </w:t>
      </w:r>
      <w:bookmarkStart w:id="81486" w:name="_ETM_Q162_468040"/>
      <w:bookmarkEnd w:id="81486"/>
      <w:r>
        <w:rPr>
          <w:rFonts w:hint="cs"/>
          <w:rtl/>
        </w:rPr>
        <w:t xml:space="preserve">את </w:t>
      </w:r>
      <w:bookmarkStart w:id="81487" w:name="_ETM_Q162_468160"/>
      <w:bookmarkEnd w:id="81487"/>
      <w:r>
        <w:rPr>
          <w:rFonts w:hint="cs"/>
          <w:rtl/>
        </w:rPr>
        <w:t xml:space="preserve">הרצון </w:t>
      </w:r>
      <w:bookmarkStart w:id="81488" w:name="_ETM_Q162_468760"/>
      <w:bookmarkEnd w:id="81488"/>
      <w:r>
        <w:rPr>
          <w:rFonts w:hint="cs"/>
          <w:rtl/>
        </w:rPr>
        <w:t xml:space="preserve">ואת </w:t>
      </w:r>
      <w:bookmarkStart w:id="81489" w:name="_ETM_Q162_468970"/>
      <w:bookmarkEnd w:id="81489"/>
      <w:r>
        <w:rPr>
          <w:rFonts w:hint="cs"/>
          <w:rtl/>
        </w:rPr>
        <w:t xml:space="preserve">הצורך </w:t>
      </w:r>
      <w:bookmarkStart w:id="81490" w:name="_ETM_Q162_470260"/>
      <w:bookmarkEnd w:id="81490"/>
      <w:r>
        <w:rPr>
          <w:rFonts w:hint="cs"/>
          <w:rtl/>
        </w:rPr>
        <w:t xml:space="preserve">לתקן </w:t>
      </w:r>
      <w:bookmarkStart w:id="81491" w:name="_ETM_Q162_470920"/>
      <w:bookmarkEnd w:id="81491"/>
      <w:r>
        <w:rPr>
          <w:rFonts w:hint="cs"/>
          <w:rtl/>
        </w:rPr>
        <w:t xml:space="preserve">את </w:t>
      </w:r>
      <w:bookmarkStart w:id="81492" w:name="_ETM_Q162_471040"/>
      <w:bookmarkEnd w:id="81492"/>
      <w:r>
        <w:rPr>
          <w:rFonts w:hint="cs"/>
          <w:rtl/>
        </w:rPr>
        <w:t xml:space="preserve">מערכת </w:t>
      </w:r>
      <w:bookmarkStart w:id="81493" w:name="_ETM_Q162_471520"/>
      <w:bookmarkEnd w:id="81493"/>
      <w:r>
        <w:rPr>
          <w:rFonts w:hint="cs"/>
          <w:rtl/>
        </w:rPr>
        <w:t xml:space="preserve">המשפט </w:t>
      </w:r>
      <w:bookmarkStart w:id="81494" w:name="_ETM_Q162_472089"/>
      <w:bookmarkEnd w:id="81494"/>
      <w:r>
        <w:rPr>
          <w:rFonts w:hint="cs"/>
          <w:rtl/>
        </w:rPr>
        <w:t xml:space="preserve">בדרך </w:t>
      </w:r>
      <w:bookmarkStart w:id="81495" w:name="_ETM_Q162_472540"/>
      <w:bookmarkEnd w:id="81495"/>
      <w:r>
        <w:rPr>
          <w:rFonts w:hint="cs"/>
          <w:rtl/>
        </w:rPr>
        <w:t xml:space="preserve">שבה </w:t>
      </w:r>
      <w:bookmarkStart w:id="81496" w:name="_ETM_Q162_472750"/>
      <w:bookmarkEnd w:id="81496"/>
      <w:r>
        <w:rPr>
          <w:rFonts w:hint="cs"/>
          <w:rtl/>
        </w:rPr>
        <w:t xml:space="preserve">אנו </w:t>
      </w:r>
      <w:bookmarkStart w:id="81497" w:name="_ETM_Q162_472870"/>
      <w:bookmarkEnd w:id="81497"/>
      <w:r>
        <w:rPr>
          <w:rFonts w:hint="cs"/>
          <w:rtl/>
        </w:rPr>
        <w:t xml:space="preserve">עושים </w:t>
      </w:r>
      <w:bookmarkStart w:id="81498" w:name="_ETM_Q162_473170"/>
      <w:bookmarkEnd w:id="81498"/>
      <w:r>
        <w:rPr>
          <w:rFonts w:hint="cs"/>
          <w:rtl/>
        </w:rPr>
        <w:t xml:space="preserve">זאת, </w:t>
      </w:r>
      <w:bookmarkStart w:id="81499" w:name="_ETM_Q162_474490"/>
      <w:bookmarkEnd w:id="81499"/>
      <w:r>
        <w:rPr>
          <w:rFonts w:hint="cs"/>
          <w:rtl/>
        </w:rPr>
        <w:t xml:space="preserve">חזרתי </w:t>
      </w:r>
      <w:bookmarkStart w:id="81500" w:name="_ETM_Q162_475089"/>
      <w:bookmarkEnd w:id="81500"/>
      <w:r>
        <w:rPr>
          <w:rFonts w:hint="cs"/>
          <w:rtl/>
        </w:rPr>
        <w:t xml:space="preserve">אל </w:t>
      </w:r>
      <w:bookmarkStart w:id="81501" w:name="_ETM_Q162_475210"/>
      <w:bookmarkEnd w:id="81501"/>
      <w:r>
        <w:rPr>
          <w:rFonts w:hint="cs"/>
          <w:rtl/>
        </w:rPr>
        <w:t xml:space="preserve">הראשונות, </w:t>
      </w:r>
      <w:bookmarkStart w:id="81502" w:name="_ETM_Q162_476529"/>
      <w:bookmarkEnd w:id="81502"/>
      <w:r>
        <w:rPr>
          <w:rFonts w:hint="cs"/>
          <w:rtl/>
        </w:rPr>
        <w:t xml:space="preserve">חזרתי </w:t>
      </w:r>
      <w:bookmarkStart w:id="81503" w:name="_ETM_Q162_477100"/>
      <w:bookmarkEnd w:id="81503"/>
      <w:r>
        <w:rPr>
          <w:rFonts w:hint="cs"/>
          <w:rtl/>
        </w:rPr>
        <w:t xml:space="preserve">אל </w:t>
      </w:r>
      <w:bookmarkStart w:id="81504" w:name="_ETM_Q162_477190"/>
      <w:bookmarkEnd w:id="81504"/>
      <w:r>
        <w:rPr>
          <w:rFonts w:hint="cs"/>
          <w:rtl/>
        </w:rPr>
        <w:t xml:space="preserve">נאום </w:t>
      </w:r>
      <w:bookmarkStart w:id="81505" w:name="_ETM_Q162_477490"/>
      <w:bookmarkEnd w:id="81505"/>
      <w:r>
        <w:rPr>
          <w:rFonts w:hint="cs"/>
          <w:rtl/>
        </w:rPr>
        <w:t xml:space="preserve">הבכורה </w:t>
      </w:r>
      <w:bookmarkStart w:id="81506" w:name="_ETM_Q162_477970"/>
      <w:bookmarkEnd w:id="81506"/>
      <w:r>
        <w:rPr>
          <w:rFonts w:hint="cs"/>
          <w:rtl/>
        </w:rPr>
        <w:t xml:space="preserve">שלי </w:t>
      </w:r>
      <w:bookmarkStart w:id="81507" w:name="_ETM_Q162_478270"/>
      <w:bookmarkEnd w:id="81507"/>
      <w:r>
        <w:rPr>
          <w:rFonts w:hint="cs"/>
          <w:rtl/>
        </w:rPr>
        <w:t xml:space="preserve">כאן </w:t>
      </w:r>
      <w:bookmarkStart w:id="81508" w:name="_ETM_Q162_478630"/>
      <w:bookmarkEnd w:id="81508"/>
      <w:r>
        <w:rPr>
          <w:rFonts w:hint="cs"/>
          <w:rtl/>
        </w:rPr>
        <w:t>בכנסת</w:t>
      </w:r>
      <w:bookmarkStart w:id="81509" w:name="_ETM_Q162_479500"/>
      <w:bookmarkEnd w:id="81509"/>
      <w:r>
        <w:rPr>
          <w:rFonts w:hint="cs"/>
          <w:rtl/>
        </w:rPr>
        <w:t xml:space="preserve">, אדוני </w:t>
      </w:r>
      <w:bookmarkStart w:id="81510" w:name="_ETM_Q162_479800"/>
      <w:bookmarkEnd w:id="81510"/>
      <w:r>
        <w:rPr>
          <w:rFonts w:hint="cs"/>
          <w:rtl/>
        </w:rPr>
        <w:t xml:space="preserve">היושב-ראש. </w:t>
      </w:r>
      <w:bookmarkStart w:id="81511" w:name="_ETM_Q162_482980"/>
      <w:bookmarkEnd w:id="81511"/>
      <w:r>
        <w:rPr>
          <w:rFonts w:hint="cs"/>
          <w:rtl/>
        </w:rPr>
        <w:t xml:space="preserve">בית </w:t>
      </w:r>
      <w:bookmarkStart w:id="81512" w:name="_ETM_Q162_483220"/>
      <w:bookmarkEnd w:id="81512"/>
      <w:r>
        <w:rPr>
          <w:rFonts w:hint="cs"/>
          <w:rtl/>
        </w:rPr>
        <w:t xml:space="preserve">המשפט </w:t>
      </w:r>
      <w:bookmarkStart w:id="81513" w:name="_ETM_Q162_484819"/>
      <w:bookmarkEnd w:id="81513"/>
      <w:r>
        <w:rPr>
          <w:rFonts w:hint="cs"/>
          <w:rtl/>
        </w:rPr>
        <w:t xml:space="preserve">טוען </w:t>
      </w:r>
      <w:bookmarkStart w:id="81514" w:name="_ETM_Q162_485210"/>
      <w:bookmarkEnd w:id="81514"/>
      <w:r>
        <w:rPr>
          <w:rFonts w:hint="cs"/>
          <w:rtl/>
        </w:rPr>
        <w:t xml:space="preserve">פעמים </w:t>
      </w:r>
      <w:bookmarkStart w:id="81515" w:name="_ETM_Q162_485600"/>
      <w:bookmarkEnd w:id="81515"/>
      <w:r>
        <w:rPr>
          <w:rFonts w:hint="cs"/>
          <w:rtl/>
        </w:rPr>
        <w:t xml:space="preserve">רבות </w:t>
      </w:r>
      <w:bookmarkStart w:id="81516" w:name="_ETM_Q162_486819"/>
      <w:bookmarkEnd w:id="81516"/>
      <w:r>
        <w:rPr>
          <w:rFonts w:hint="cs"/>
          <w:rtl/>
        </w:rPr>
        <w:t xml:space="preserve">שהוא </w:t>
      </w:r>
      <w:bookmarkStart w:id="81517" w:name="_ETM_Q162_487120"/>
      <w:bookmarkEnd w:id="81517"/>
      <w:r>
        <w:rPr>
          <w:rFonts w:hint="cs"/>
          <w:rtl/>
        </w:rPr>
        <w:t xml:space="preserve">נאלץ </w:t>
      </w:r>
      <w:bookmarkStart w:id="81518" w:name="_ETM_Q162_487629"/>
      <w:bookmarkEnd w:id="81518"/>
      <w:r>
        <w:rPr>
          <w:rFonts w:hint="cs"/>
          <w:rtl/>
        </w:rPr>
        <w:t xml:space="preserve">להתערב, </w:t>
      </w:r>
      <w:bookmarkStart w:id="81519" w:name="_ETM_Q162_489040"/>
      <w:bookmarkEnd w:id="81519"/>
      <w:r>
        <w:rPr>
          <w:rFonts w:hint="cs"/>
          <w:rtl/>
        </w:rPr>
        <w:t xml:space="preserve">כביכול </w:t>
      </w:r>
      <w:bookmarkStart w:id="81520" w:name="_ETM_Q162_489670"/>
      <w:bookmarkEnd w:id="81520"/>
      <w:r>
        <w:rPr>
          <w:rFonts w:hint="cs"/>
          <w:rtl/>
        </w:rPr>
        <w:t xml:space="preserve">הוא </w:t>
      </w:r>
      <w:bookmarkStart w:id="81521" w:name="_ETM_Q162_489730"/>
      <w:bookmarkEnd w:id="81521"/>
      <w:r>
        <w:rPr>
          <w:rFonts w:hint="cs"/>
          <w:rtl/>
        </w:rPr>
        <w:t xml:space="preserve">מציל </w:t>
      </w:r>
      <w:bookmarkStart w:id="81522" w:name="_ETM_Q162_490089"/>
      <w:bookmarkEnd w:id="81522"/>
      <w:r>
        <w:rPr>
          <w:rFonts w:hint="cs"/>
          <w:rtl/>
        </w:rPr>
        <w:t xml:space="preserve">אותנו </w:t>
      </w:r>
      <w:bookmarkStart w:id="81523" w:name="_ETM_Q162_490420"/>
      <w:bookmarkEnd w:id="81523"/>
      <w:r>
        <w:rPr>
          <w:rFonts w:hint="cs"/>
          <w:rtl/>
        </w:rPr>
        <w:t xml:space="preserve">מעצמנו. </w:t>
      </w:r>
      <w:bookmarkStart w:id="81524" w:name="_ETM_Q162_492599"/>
      <w:bookmarkEnd w:id="81524"/>
      <w:r>
        <w:rPr>
          <w:rFonts w:hint="cs"/>
          <w:rtl/>
        </w:rPr>
        <w:t xml:space="preserve">והאמת </w:t>
      </w:r>
      <w:bookmarkStart w:id="81525" w:name="_ETM_Q162_492929"/>
      <w:bookmarkEnd w:id="81525"/>
      <w:r>
        <w:rPr>
          <w:rFonts w:hint="cs"/>
          <w:rtl/>
        </w:rPr>
        <w:t xml:space="preserve">היא </w:t>
      </w:r>
      <w:bookmarkStart w:id="81526" w:name="_ETM_Q162_493049"/>
      <w:bookmarkEnd w:id="81526"/>
      <w:r>
        <w:rPr>
          <w:rFonts w:hint="cs"/>
          <w:rtl/>
        </w:rPr>
        <w:t xml:space="preserve">שאמרתי </w:t>
      </w:r>
      <w:bookmarkStart w:id="81527" w:name="_ETM_Q162_493589"/>
      <w:bookmarkEnd w:id="81527"/>
      <w:r>
        <w:rPr>
          <w:rFonts w:hint="cs"/>
          <w:rtl/>
        </w:rPr>
        <w:t xml:space="preserve">את </w:t>
      </w:r>
      <w:bookmarkStart w:id="81528" w:name="_ETM_Q162_493679"/>
      <w:bookmarkEnd w:id="81528"/>
      <w:r>
        <w:rPr>
          <w:rFonts w:hint="cs"/>
          <w:rtl/>
        </w:rPr>
        <w:t xml:space="preserve">זה </w:t>
      </w:r>
      <w:bookmarkStart w:id="81529" w:name="_ETM_Q162_494870"/>
      <w:bookmarkEnd w:id="81529"/>
      <w:r>
        <w:rPr>
          <w:rFonts w:hint="cs"/>
          <w:rtl/>
        </w:rPr>
        <w:t xml:space="preserve">אז, </w:t>
      </w:r>
      <w:bookmarkStart w:id="81530" w:name="_ETM_Q162_495320"/>
      <w:bookmarkEnd w:id="81530"/>
      <w:r>
        <w:rPr>
          <w:rFonts w:hint="cs"/>
          <w:rtl/>
        </w:rPr>
        <w:t xml:space="preserve">וזה </w:t>
      </w:r>
      <w:bookmarkStart w:id="81531" w:name="_ETM_Q162_495560"/>
      <w:bookmarkEnd w:id="81531"/>
      <w:r>
        <w:rPr>
          <w:rFonts w:hint="cs"/>
          <w:rtl/>
        </w:rPr>
        <w:t xml:space="preserve">נכון </w:t>
      </w:r>
      <w:bookmarkStart w:id="81532" w:name="_ETM_Q162_495980"/>
      <w:bookmarkEnd w:id="81532"/>
      <w:r>
        <w:rPr>
          <w:rFonts w:hint="cs"/>
          <w:rtl/>
        </w:rPr>
        <w:t xml:space="preserve">גם </w:t>
      </w:r>
      <w:bookmarkStart w:id="81533" w:name="_ETM_Q162_496250"/>
      <w:bookmarkEnd w:id="81533"/>
      <w:r>
        <w:rPr>
          <w:rFonts w:hint="cs"/>
          <w:rtl/>
        </w:rPr>
        <w:t xml:space="preserve">היום, </w:t>
      </w:r>
      <w:bookmarkStart w:id="81534" w:name="_ETM_Q162_497620"/>
      <w:bookmarkEnd w:id="81534"/>
      <w:r>
        <w:rPr>
          <w:rFonts w:hint="cs"/>
          <w:rtl/>
        </w:rPr>
        <w:t xml:space="preserve">גם </w:t>
      </w:r>
      <w:bookmarkStart w:id="81535" w:name="_ETM_Q162_498010"/>
      <w:bookmarkEnd w:id="81535"/>
      <w:r>
        <w:rPr>
          <w:rFonts w:hint="cs"/>
          <w:rtl/>
        </w:rPr>
        <w:t xml:space="preserve">בימים </w:t>
      </w:r>
      <w:bookmarkStart w:id="81536" w:name="_ETM_Q162_498520"/>
      <w:bookmarkEnd w:id="81536"/>
      <w:r>
        <w:rPr>
          <w:rFonts w:hint="cs"/>
          <w:rtl/>
        </w:rPr>
        <w:t xml:space="preserve">אלה </w:t>
      </w:r>
      <w:bookmarkStart w:id="81537" w:name="_ETM_Q162_498820"/>
      <w:bookmarkEnd w:id="81537"/>
      <w:r>
        <w:rPr>
          <w:rFonts w:hint="cs"/>
          <w:rtl/>
        </w:rPr>
        <w:t xml:space="preserve">ממש, </w:t>
      </w:r>
      <w:bookmarkStart w:id="81538" w:name="_ETM_Q162_500099"/>
      <w:bookmarkEnd w:id="81538"/>
      <w:r>
        <w:rPr>
          <w:rFonts w:hint="cs"/>
          <w:rtl/>
        </w:rPr>
        <w:t xml:space="preserve">גם </w:t>
      </w:r>
      <w:bookmarkStart w:id="81539" w:name="_ETM_Q162_500550"/>
      <w:bookmarkEnd w:id="81539"/>
      <w:r>
        <w:rPr>
          <w:rFonts w:hint="cs"/>
          <w:rtl/>
        </w:rPr>
        <w:t xml:space="preserve">בשעות </w:t>
      </w:r>
      <w:bookmarkStart w:id="81540" w:name="_ETM_Q162_501210"/>
      <w:bookmarkEnd w:id="81540"/>
      <w:r>
        <w:rPr>
          <w:rFonts w:hint="cs"/>
          <w:rtl/>
        </w:rPr>
        <w:t xml:space="preserve">אלה </w:t>
      </w:r>
      <w:bookmarkStart w:id="81541" w:name="_ETM_Q162_501480"/>
      <w:bookmarkEnd w:id="81541"/>
      <w:r>
        <w:rPr>
          <w:rFonts w:hint="cs"/>
          <w:rtl/>
        </w:rPr>
        <w:t xml:space="preserve">ממש </w:t>
      </w:r>
      <w:bookmarkStart w:id="81542" w:name="_ETM_Q162_502619"/>
      <w:bookmarkEnd w:id="81542"/>
      <w:r>
        <w:rPr>
          <w:rFonts w:hint="cs"/>
          <w:rtl/>
        </w:rPr>
        <w:t xml:space="preserve">תוך </w:t>
      </w:r>
      <w:bookmarkStart w:id="81543" w:name="_ETM_Q162_502890"/>
      <w:bookmarkEnd w:id="81543"/>
      <w:r>
        <w:rPr>
          <w:rFonts w:hint="cs"/>
          <w:rtl/>
        </w:rPr>
        <w:t xml:space="preserve">כדי </w:t>
      </w:r>
      <w:bookmarkStart w:id="81544" w:name="_ETM_Q162_503190"/>
      <w:bookmarkEnd w:id="81544"/>
      <w:r>
        <w:rPr>
          <w:rFonts w:hint="cs"/>
          <w:rtl/>
        </w:rPr>
        <w:t xml:space="preserve">שאנחנו </w:t>
      </w:r>
      <w:bookmarkStart w:id="81545" w:name="_ETM_Q162_503640"/>
      <w:bookmarkEnd w:id="81545"/>
      <w:r>
        <w:rPr>
          <w:rFonts w:hint="cs"/>
          <w:rtl/>
        </w:rPr>
        <w:t xml:space="preserve">מדברים </w:t>
      </w:r>
      <w:bookmarkStart w:id="81546" w:name="_ETM_Q162_504060"/>
      <w:bookmarkEnd w:id="81546"/>
      <w:r>
        <w:rPr>
          <w:rFonts w:hint="cs"/>
          <w:rtl/>
        </w:rPr>
        <w:t xml:space="preserve">כאן, </w:t>
      </w:r>
      <w:bookmarkStart w:id="81547" w:name="_ETM_Q162_504900"/>
      <w:bookmarkEnd w:id="81547"/>
      <w:r>
        <w:rPr>
          <w:rFonts w:hint="cs"/>
          <w:rtl/>
        </w:rPr>
        <w:t xml:space="preserve">בית </w:t>
      </w:r>
      <w:bookmarkStart w:id="81548" w:name="_ETM_Q162_505199"/>
      <w:bookmarkEnd w:id="81548"/>
      <w:r>
        <w:rPr>
          <w:rFonts w:hint="cs"/>
          <w:rtl/>
        </w:rPr>
        <w:t xml:space="preserve">המשפט </w:t>
      </w:r>
      <w:bookmarkStart w:id="81549" w:name="_ETM_Q162_505740"/>
      <w:bookmarkEnd w:id="81549"/>
      <w:r>
        <w:rPr>
          <w:rFonts w:hint="cs"/>
          <w:rtl/>
        </w:rPr>
        <w:t xml:space="preserve">סבור </w:t>
      </w:r>
      <w:r>
        <w:t>–</w:t>
      </w:r>
      <w:r>
        <w:rPr>
          <w:rFonts w:hint="cs"/>
          <w:rtl/>
        </w:rPr>
        <w:t xml:space="preserve"> </w:t>
      </w:r>
      <w:bookmarkStart w:id="81550" w:name="_ETM_Q162_506820"/>
      <w:bookmarkEnd w:id="81550"/>
      <w:r>
        <w:rPr>
          <w:rFonts w:hint="cs"/>
          <w:rtl/>
        </w:rPr>
        <w:t xml:space="preserve">ולצערי </w:t>
      </w:r>
      <w:bookmarkStart w:id="81551" w:name="_ETM_Q162_507329"/>
      <w:bookmarkEnd w:id="81551"/>
      <w:r>
        <w:rPr>
          <w:rFonts w:hint="cs"/>
          <w:rtl/>
        </w:rPr>
        <w:t xml:space="preserve">יש </w:t>
      </w:r>
      <w:bookmarkStart w:id="81552" w:name="_ETM_Q162_507449"/>
      <w:bookmarkEnd w:id="81552"/>
      <w:r>
        <w:rPr>
          <w:rFonts w:hint="cs"/>
          <w:rtl/>
        </w:rPr>
        <w:t xml:space="preserve">אנשים </w:t>
      </w:r>
      <w:bookmarkStart w:id="81553" w:name="_ETM_Q162_507869"/>
      <w:bookmarkEnd w:id="81553"/>
      <w:r>
        <w:rPr>
          <w:rFonts w:hint="cs"/>
          <w:rtl/>
        </w:rPr>
        <w:t xml:space="preserve">שסבורים </w:t>
      </w:r>
      <w:bookmarkStart w:id="81554" w:name="_ETM_Q162_508470"/>
      <w:bookmarkEnd w:id="81554"/>
      <w:r>
        <w:rPr>
          <w:rFonts w:hint="cs"/>
          <w:rtl/>
        </w:rPr>
        <w:t xml:space="preserve">כך </w:t>
      </w:r>
      <w:bookmarkStart w:id="81555" w:name="_ETM_Q162_508650"/>
      <w:bookmarkEnd w:id="81555"/>
      <w:r>
        <w:rPr>
          <w:rFonts w:hint="cs"/>
          <w:rtl/>
        </w:rPr>
        <w:t xml:space="preserve">יחד </w:t>
      </w:r>
      <w:bookmarkStart w:id="81556" w:name="_ETM_Q162_508980"/>
      <w:bookmarkEnd w:id="81556"/>
      <w:r>
        <w:rPr>
          <w:rFonts w:hint="cs"/>
          <w:rtl/>
        </w:rPr>
        <w:t xml:space="preserve">איתו </w:t>
      </w:r>
      <w:bookmarkStart w:id="81557" w:name="_ETM_Q162_510089"/>
      <w:bookmarkEnd w:id="81557"/>
      <w:r>
        <w:rPr>
          <w:rFonts w:hint="cs"/>
          <w:rtl/>
        </w:rPr>
        <w:t xml:space="preserve">– שעליו </w:t>
      </w:r>
      <w:bookmarkStart w:id="81558" w:name="_ETM_Q162_510570"/>
      <w:bookmarkEnd w:id="81558"/>
      <w:r>
        <w:rPr>
          <w:rFonts w:hint="cs"/>
          <w:rtl/>
        </w:rPr>
        <w:t xml:space="preserve">להתערב </w:t>
      </w:r>
      <w:bookmarkStart w:id="81559" w:name="_ETM_Q162_511740"/>
      <w:bookmarkEnd w:id="81559"/>
      <w:r>
        <w:rPr>
          <w:rFonts w:hint="cs"/>
          <w:rtl/>
        </w:rPr>
        <w:t xml:space="preserve">ולפתור </w:t>
      </w:r>
      <w:bookmarkStart w:id="81560" w:name="_ETM_Q162_512400"/>
      <w:bookmarkEnd w:id="81560"/>
      <w:r>
        <w:rPr>
          <w:rFonts w:hint="cs"/>
          <w:rtl/>
        </w:rPr>
        <w:t xml:space="preserve">באמצעים </w:t>
      </w:r>
      <w:bookmarkStart w:id="81561" w:name="_ETM_Q162_512910"/>
      <w:bookmarkEnd w:id="81561"/>
      <w:r>
        <w:rPr>
          <w:rFonts w:hint="cs"/>
          <w:rtl/>
        </w:rPr>
        <w:t xml:space="preserve">משפטיים </w:t>
      </w:r>
      <w:bookmarkStart w:id="81562" w:name="_ETM_Q162_514080"/>
      <w:bookmarkEnd w:id="81562"/>
      <w:r>
        <w:rPr>
          <w:rFonts w:hint="cs"/>
          <w:rtl/>
        </w:rPr>
        <w:t xml:space="preserve">משבר </w:t>
      </w:r>
      <w:bookmarkStart w:id="81563" w:name="_ETM_Q162_515180"/>
      <w:bookmarkEnd w:id="81563"/>
      <w:r>
        <w:rPr>
          <w:rFonts w:hint="cs"/>
          <w:rtl/>
        </w:rPr>
        <w:t xml:space="preserve">שהוא </w:t>
      </w:r>
      <w:bookmarkStart w:id="81564" w:name="_ETM_Q162_515420"/>
      <w:bookmarkEnd w:id="81564"/>
      <w:r>
        <w:rPr>
          <w:rFonts w:hint="cs"/>
          <w:rtl/>
        </w:rPr>
        <w:t xml:space="preserve">בראש </w:t>
      </w:r>
      <w:bookmarkStart w:id="81565" w:name="_ETM_Q162_515870"/>
      <w:bookmarkEnd w:id="81565"/>
      <w:r>
        <w:rPr>
          <w:rFonts w:hint="cs"/>
          <w:rtl/>
        </w:rPr>
        <w:t xml:space="preserve">ובראשונה </w:t>
      </w:r>
      <w:bookmarkStart w:id="81566" w:name="_ETM_Q162_517010"/>
      <w:bookmarkEnd w:id="81566"/>
      <w:r>
        <w:rPr>
          <w:rFonts w:hint="cs"/>
          <w:rtl/>
        </w:rPr>
        <w:t xml:space="preserve">משבר </w:t>
      </w:r>
      <w:bookmarkStart w:id="81567" w:name="_ETM_Q162_517490"/>
      <w:bookmarkEnd w:id="81567"/>
      <w:r>
        <w:rPr>
          <w:rFonts w:hint="cs"/>
          <w:rtl/>
        </w:rPr>
        <w:t xml:space="preserve">פוליטי. </w:t>
      </w:r>
      <w:bookmarkStart w:id="81568" w:name="_ETM_Q162_520029"/>
      <w:bookmarkEnd w:id="81568"/>
    </w:p>
    <w:p w:rsidR="00BB59CD" w:rsidRDefault="00BB59CD" w:rsidP="00BB59CD">
      <w:pPr>
        <w:rPr>
          <w:rtl/>
        </w:rPr>
      </w:pPr>
    </w:p>
    <w:p w:rsidR="00BB59CD" w:rsidRDefault="00BB59CD" w:rsidP="00BB59CD">
      <w:pPr>
        <w:rPr>
          <w:rtl/>
        </w:rPr>
      </w:pPr>
      <w:r>
        <w:rPr>
          <w:rFonts w:hint="cs"/>
          <w:rtl/>
        </w:rPr>
        <w:t xml:space="preserve">רבים </w:t>
      </w:r>
      <w:bookmarkStart w:id="81569" w:name="_ETM_Q162_520510"/>
      <w:bookmarkEnd w:id="81569"/>
      <w:r>
        <w:rPr>
          <w:rFonts w:hint="cs"/>
          <w:rtl/>
        </w:rPr>
        <w:t xml:space="preserve">רבים </w:t>
      </w:r>
      <w:bookmarkStart w:id="81570" w:name="_ETM_Q162_520809"/>
      <w:bookmarkEnd w:id="81570"/>
      <w:r>
        <w:rPr>
          <w:rFonts w:hint="cs"/>
          <w:rtl/>
        </w:rPr>
        <w:t xml:space="preserve">אומרים: </w:t>
      </w:r>
      <w:bookmarkStart w:id="81571" w:name="_ETM_Q162_522770"/>
      <w:bookmarkEnd w:id="81571"/>
      <w:r>
        <w:rPr>
          <w:rFonts w:hint="cs"/>
          <w:rtl/>
        </w:rPr>
        <w:t xml:space="preserve">תראה, </w:t>
      </w:r>
      <w:bookmarkStart w:id="81572" w:name="_ETM_Q162_523820"/>
      <w:bookmarkEnd w:id="81572"/>
      <w:r>
        <w:rPr>
          <w:rFonts w:hint="cs"/>
          <w:rtl/>
        </w:rPr>
        <w:t xml:space="preserve">קידמת </w:t>
      </w:r>
      <w:bookmarkStart w:id="81573" w:name="_ETM_Q162_524480"/>
      <w:bookmarkEnd w:id="81573"/>
      <w:r>
        <w:rPr>
          <w:rFonts w:hint="cs"/>
          <w:rtl/>
        </w:rPr>
        <w:t xml:space="preserve">את </w:t>
      </w:r>
      <w:bookmarkStart w:id="81574" w:name="_ETM_Q162_524629"/>
      <w:bookmarkEnd w:id="81574"/>
      <w:r>
        <w:rPr>
          <w:rFonts w:hint="cs"/>
          <w:rtl/>
        </w:rPr>
        <w:t xml:space="preserve">הדבר </w:t>
      </w:r>
      <w:bookmarkStart w:id="81575" w:name="_ETM_Q162_524930"/>
      <w:bookmarkEnd w:id="81575"/>
      <w:r>
        <w:rPr>
          <w:rFonts w:hint="cs"/>
          <w:rtl/>
        </w:rPr>
        <w:t xml:space="preserve">הזה, </w:t>
      </w:r>
      <w:bookmarkStart w:id="81576" w:name="_ETM_Q162_525110"/>
      <w:bookmarkEnd w:id="81576"/>
      <w:r>
        <w:rPr>
          <w:rFonts w:hint="cs"/>
          <w:rtl/>
        </w:rPr>
        <w:t xml:space="preserve">תראה </w:t>
      </w:r>
      <w:bookmarkStart w:id="81577" w:name="_ETM_Q162_525379"/>
      <w:bookmarkEnd w:id="81577"/>
      <w:r>
        <w:rPr>
          <w:rFonts w:hint="cs"/>
          <w:rtl/>
        </w:rPr>
        <w:t xml:space="preserve">מה </w:t>
      </w:r>
      <w:bookmarkStart w:id="81578" w:name="_ETM_Q162_525500"/>
      <w:bookmarkEnd w:id="81578"/>
      <w:r>
        <w:rPr>
          <w:rFonts w:hint="cs"/>
          <w:rtl/>
        </w:rPr>
        <w:t xml:space="preserve">קורה </w:t>
      </w:r>
      <w:bookmarkStart w:id="81579" w:name="_ETM_Q162_525710"/>
      <w:bookmarkEnd w:id="81579"/>
      <w:r>
        <w:rPr>
          <w:rFonts w:hint="cs"/>
          <w:rtl/>
        </w:rPr>
        <w:t xml:space="preserve">בחוץ, </w:t>
      </w:r>
      <w:bookmarkStart w:id="81580" w:name="_ETM_Q162_526040"/>
      <w:bookmarkEnd w:id="81580"/>
      <w:r>
        <w:rPr>
          <w:rFonts w:hint="cs"/>
          <w:rtl/>
        </w:rPr>
        <w:t xml:space="preserve">אפילו </w:t>
      </w:r>
      <w:bookmarkStart w:id="81581" w:name="_ETM_Q162_526339"/>
      <w:bookmarkEnd w:id="81581"/>
      <w:r>
        <w:rPr>
          <w:rFonts w:hint="cs"/>
          <w:rtl/>
        </w:rPr>
        <w:t xml:space="preserve">אמרה </w:t>
      </w:r>
      <w:bookmarkStart w:id="81582" w:name="_ETM_Q162_526550"/>
      <w:bookmarkEnd w:id="81582"/>
      <w:r>
        <w:rPr>
          <w:rFonts w:hint="cs"/>
          <w:rtl/>
        </w:rPr>
        <w:t xml:space="preserve">זאת </w:t>
      </w:r>
      <w:bookmarkStart w:id="81583" w:name="_ETM_Q162_526760"/>
      <w:bookmarkEnd w:id="81583"/>
      <w:r>
        <w:rPr>
          <w:rFonts w:hint="cs"/>
          <w:rtl/>
        </w:rPr>
        <w:t xml:space="preserve">כרגע </w:t>
      </w:r>
      <w:bookmarkStart w:id="81584" w:name="_ETM_Q162_527600"/>
      <w:bookmarkEnd w:id="81584"/>
      <w:r>
        <w:rPr>
          <w:rFonts w:hint="cs"/>
          <w:rtl/>
        </w:rPr>
        <w:t xml:space="preserve">חברת </w:t>
      </w:r>
      <w:bookmarkStart w:id="81585" w:name="_ETM_Q162_527960"/>
      <w:bookmarkEnd w:id="81585"/>
      <w:r>
        <w:rPr>
          <w:rFonts w:hint="cs"/>
          <w:rtl/>
        </w:rPr>
        <w:t xml:space="preserve">הכנסת </w:t>
      </w:r>
      <w:bookmarkStart w:id="81586" w:name="_ETM_Q162_528320"/>
      <w:bookmarkEnd w:id="81586"/>
      <w:r>
        <w:rPr>
          <w:rFonts w:hint="cs"/>
          <w:rtl/>
        </w:rPr>
        <w:t xml:space="preserve">יסמין </w:t>
      </w:r>
      <w:bookmarkStart w:id="81587" w:name="_ETM_Q162_528649"/>
      <w:bookmarkEnd w:id="81587"/>
      <w:r>
        <w:rPr>
          <w:rFonts w:hint="cs"/>
          <w:rtl/>
        </w:rPr>
        <w:t xml:space="preserve">פרידמן, </w:t>
      </w:r>
      <w:bookmarkStart w:id="81588" w:name="_ETM_Q162_529399"/>
      <w:bookmarkEnd w:id="81588"/>
      <w:r>
        <w:rPr>
          <w:rFonts w:hint="cs"/>
          <w:rtl/>
        </w:rPr>
        <w:t xml:space="preserve">מה </w:t>
      </w:r>
      <w:bookmarkStart w:id="81589" w:name="_ETM_Q162_529579"/>
      <w:bookmarkEnd w:id="81589"/>
      <w:r>
        <w:rPr>
          <w:rFonts w:hint="cs"/>
          <w:rtl/>
        </w:rPr>
        <w:t xml:space="preserve">מחכה </w:t>
      </w:r>
      <w:bookmarkStart w:id="81590" w:name="_ETM_Q162_530000"/>
      <w:bookmarkEnd w:id="81590"/>
      <w:r>
        <w:rPr>
          <w:rFonts w:hint="cs"/>
          <w:rtl/>
        </w:rPr>
        <w:t xml:space="preserve">לנו </w:t>
      </w:r>
      <w:bookmarkStart w:id="81591" w:name="_ETM_Q162_530210"/>
      <w:bookmarkEnd w:id="81591"/>
      <w:r>
        <w:rPr>
          <w:rFonts w:hint="cs"/>
          <w:rtl/>
        </w:rPr>
        <w:t xml:space="preserve">בחוץ. </w:t>
      </w:r>
      <w:bookmarkStart w:id="81592" w:name="_ETM_Q162_531440"/>
      <w:bookmarkEnd w:id="81592"/>
      <w:r>
        <w:rPr>
          <w:rFonts w:hint="cs"/>
          <w:rtl/>
        </w:rPr>
        <w:t xml:space="preserve">כאילו </w:t>
      </w:r>
      <w:bookmarkStart w:id="81593" w:name="_ETM_Q162_532399"/>
      <w:bookmarkEnd w:id="81593"/>
      <w:r>
        <w:rPr>
          <w:rFonts w:hint="cs"/>
          <w:rtl/>
        </w:rPr>
        <w:t xml:space="preserve">מה </w:t>
      </w:r>
      <w:bookmarkStart w:id="81594" w:name="_ETM_Q162_532670"/>
      <w:bookmarkEnd w:id="81594"/>
      <w:r>
        <w:rPr>
          <w:rFonts w:hint="cs"/>
          <w:rtl/>
        </w:rPr>
        <w:t xml:space="preserve">שקורה </w:t>
      </w:r>
      <w:bookmarkStart w:id="81595" w:name="_ETM_Q162_533510"/>
      <w:bookmarkEnd w:id="81595"/>
      <w:r>
        <w:rPr>
          <w:rFonts w:hint="cs"/>
          <w:rtl/>
        </w:rPr>
        <w:t xml:space="preserve">עכשיו </w:t>
      </w:r>
      <w:bookmarkStart w:id="81596" w:name="_ETM_Q162_534110"/>
      <w:bookmarkEnd w:id="81596"/>
      <w:r>
        <w:rPr>
          <w:rFonts w:hint="cs"/>
          <w:rtl/>
        </w:rPr>
        <w:t xml:space="preserve">בחוץ </w:t>
      </w:r>
      <w:bookmarkStart w:id="81597" w:name="_ETM_Q162_535089"/>
      <w:bookmarkEnd w:id="81597"/>
      <w:r>
        <w:rPr>
          <w:rFonts w:hint="cs"/>
          <w:rtl/>
        </w:rPr>
        <w:t>- - -</w:t>
      </w:r>
    </w:p>
    <w:p w:rsidR="00BB59CD" w:rsidRDefault="00BB59CD" w:rsidP="00BB59CD">
      <w:pPr>
        <w:rPr>
          <w:rtl/>
        </w:rPr>
      </w:pPr>
      <w:bookmarkStart w:id="81598" w:name="_ETM_Q162_527351"/>
      <w:bookmarkStart w:id="81599" w:name="_ETM_Q162_527443"/>
      <w:bookmarkEnd w:id="81598"/>
      <w:bookmarkEnd w:id="81599"/>
    </w:p>
    <w:p w:rsidR="00BB59CD" w:rsidRDefault="00BB59CD" w:rsidP="00BB59CD">
      <w:pPr>
        <w:pStyle w:val="af8"/>
        <w:keepNext/>
        <w:rPr>
          <w:rtl/>
        </w:rPr>
      </w:pPr>
      <w:bookmarkStart w:id="81600" w:name="_ETM_Q162_526369"/>
      <w:bookmarkStart w:id="81601" w:name="_ETM_Q162_526451"/>
      <w:bookmarkStart w:id="81602" w:name="ET_interruption_6255_10"/>
      <w:bookmarkEnd w:id="81600"/>
      <w:bookmarkEnd w:id="81601"/>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81602"/>
    </w:p>
    <w:p w:rsidR="00BB59CD" w:rsidRDefault="00BB59CD" w:rsidP="00BB59CD">
      <w:pPr>
        <w:rPr>
          <w:rtl/>
          <w:lang w:eastAsia="he-IL"/>
        </w:rPr>
      </w:pPr>
      <w:bookmarkStart w:id="81603" w:name="_ETM_Q162_529199"/>
      <w:bookmarkStart w:id="81604" w:name="_ETM_Q162_529482"/>
      <w:bookmarkStart w:id="81605" w:name="_ETM_Q162_529545"/>
      <w:bookmarkEnd w:id="81603"/>
      <w:bookmarkEnd w:id="81604"/>
      <w:bookmarkEnd w:id="81605"/>
    </w:p>
    <w:p w:rsidR="00BB59CD" w:rsidRDefault="00BB59CD" w:rsidP="00BB59CD">
      <w:pPr>
        <w:rPr>
          <w:rtl/>
          <w:lang w:eastAsia="he-IL"/>
        </w:rPr>
      </w:pPr>
      <w:bookmarkStart w:id="81606" w:name="_ETM_Q162_532175"/>
      <w:bookmarkStart w:id="81607" w:name="_ETM_Q162_532276"/>
      <w:bookmarkEnd w:id="81606"/>
      <w:bookmarkEnd w:id="81607"/>
      <w:r>
        <w:rPr>
          <w:rFonts w:hint="cs"/>
          <w:rtl/>
          <w:lang w:eastAsia="he-IL"/>
        </w:rPr>
        <w:t xml:space="preserve">תפסיק לזלזל. תפסיק לזלזל. </w:t>
      </w:r>
    </w:p>
    <w:p w:rsidR="00BB59CD" w:rsidRDefault="00BB59CD" w:rsidP="00BB59CD">
      <w:pPr>
        <w:rPr>
          <w:rtl/>
          <w:lang w:eastAsia="he-IL"/>
        </w:rPr>
      </w:pPr>
      <w:bookmarkStart w:id="81608" w:name="_ETM_Q162_534189"/>
      <w:bookmarkStart w:id="81609" w:name="_ETM_Q162_534275"/>
      <w:bookmarkEnd w:id="81608"/>
      <w:bookmarkEnd w:id="81609"/>
    </w:p>
    <w:p w:rsidR="00BB59CD" w:rsidRDefault="00BB59CD" w:rsidP="00BB59CD">
      <w:pPr>
        <w:pStyle w:val="af9"/>
        <w:keepNext/>
        <w:rPr>
          <w:rtl/>
        </w:rPr>
      </w:pPr>
      <w:bookmarkStart w:id="81610" w:name="_ETM_Q162_534332"/>
      <w:bookmarkStart w:id="81611" w:name="_ETM_Q162_534416"/>
      <w:bookmarkStart w:id="81612" w:name="ET_yor_6423_11"/>
      <w:bookmarkEnd w:id="81610"/>
      <w:bookmarkEnd w:id="8161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1612"/>
    </w:p>
    <w:p w:rsidR="00BB59CD" w:rsidRDefault="00BB59CD" w:rsidP="00337201">
      <w:pPr>
        <w:rPr>
          <w:rtl/>
          <w:lang w:eastAsia="he-IL"/>
        </w:rPr>
      </w:pPr>
    </w:p>
    <w:p w:rsidR="00BB59CD" w:rsidRDefault="00BB59CD" w:rsidP="00BB59CD">
      <w:pPr>
        <w:rPr>
          <w:rtl/>
          <w:lang w:eastAsia="he-IL"/>
        </w:rPr>
      </w:pPr>
      <w:bookmarkStart w:id="81613" w:name="_ETM_Q162_535948"/>
      <w:bookmarkEnd w:id="81613"/>
      <w:r>
        <w:rPr>
          <w:rFonts w:hint="cs"/>
          <w:rtl/>
          <w:lang w:eastAsia="he-IL"/>
        </w:rPr>
        <w:t xml:space="preserve">חבר הכנסת סימון </w:t>
      </w:r>
      <w:bookmarkStart w:id="81614" w:name="_ETM_Q162_532743"/>
      <w:bookmarkEnd w:id="81614"/>
      <w:r>
        <w:rPr>
          <w:rFonts w:hint="cs"/>
          <w:rtl/>
          <w:lang w:eastAsia="he-IL"/>
        </w:rPr>
        <w:t>דוידסון, קריאה ראשונה.</w:t>
      </w:r>
    </w:p>
    <w:p w:rsidR="00BB59CD" w:rsidRDefault="00BB59CD" w:rsidP="00BB59CD">
      <w:pPr>
        <w:rPr>
          <w:rtl/>
          <w:lang w:eastAsia="he-IL"/>
        </w:rPr>
      </w:pPr>
      <w:bookmarkStart w:id="81615" w:name="_ETM_Q162_534088"/>
      <w:bookmarkStart w:id="81616" w:name="_ETM_Q162_534169"/>
      <w:bookmarkStart w:id="81617" w:name="_ETM_Q162_534207"/>
      <w:bookmarkEnd w:id="81615"/>
      <w:bookmarkEnd w:id="81616"/>
      <w:bookmarkEnd w:id="81617"/>
    </w:p>
    <w:p w:rsidR="00CB7C6D" w:rsidRDefault="00CB7C6D" w:rsidP="00CB7C6D">
      <w:pPr>
        <w:pStyle w:val="-"/>
        <w:rPr>
          <w:rtl/>
        </w:rPr>
      </w:pPr>
      <w:bookmarkStart w:id="81618" w:name="_ETM_Q162_534288"/>
      <w:bookmarkEnd w:id="81618"/>
      <w:r w:rsidRPr="00CB7C6D">
        <w:rPr>
          <w:rStyle w:val="TagStyle"/>
          <w:rtl/>
        </w:rPr>
        <w:t>&lt;&lt; דובר_המשך &gt;&gt;</w:t>
      </w:r>
      <w:r w:rsidRPr="00CB7C6D">
        <w:rPr>
          <w:rtl/>
        </w:rPr>
        <w:t>שמחה רוטמן (יו"ר ועדת החוקה, חוק ומשפט):</w:t>
      </w:r>
      <w:r w:rsidRPr="00CB7C6D">
        <w:rPr>
          <w:rStyle w:val="TagStyle"/>
          <w:rtl/>
        </w:rPr>
        <w:t xml:space="preserve">&lt;&lt; דובר_המשך &gt;&gt; </w:t>
      </w:r>
    </w:p>
    <w:p w:rsidR="00CB7C6D" w:rsidRPr="00CB7C6D" w:rsidRDefault="00CB7C6D" w:rsidP="00CB7C6D">
      <w:pPr>
        <w:rPr>
          <w:rtl/>
          <w:lang w:eastAsia="he-IL"/>
        </w:rPr>
      </w:pPr>
    </w:p>
    <w:p w:rsidR="00BB59CD" w:rsidRDefault="00BB59CD" w:rsidP="00BB59CD">
      <w:pPr>
        <w:rPr>
          <w:rtl/>
          <w:lang w:eastAsia="he-IL"/>
        </w:rPr>
      </w:pPr>
      <w:bookmarkStart w:id="81619" w:name="_ETM_Q162_535103"/>
      <w:bookmarkEnd w:id="81619"/>
      <w:r>
        <w:rPr>
          <w:rFonts w:hint="cs"/>
          <w:rtl/>
          <w:lang w:eastAsia="he-IL"/>
        </w:rPr>
        <w:t xml:space="preserve">כאילו מה שקורה עכשיו בחוץ - </w:t>
      </w:r>
      <w:bookmarkStart w:id="81620" w:name="_ETM_Q162_539859"/>
      <w:bookmarkEnd w:id="81620"/>
      <w:r>
        <w:rPr>
          <w:rFonts w:hint="cs"/>
          <w:rtl/>
          <w:lang w:eastAsia="he-IL"/>
        </w:rPr>
        <w:t>- -</w:t>
      </w:r>
    </w:p>
    <w:p w:rsidR="00BB59CD" w:rsidRDefault="00BB59CD" w:rsidP="00BB59CD">
      <w:pPr>
        <w:rPr>
          <w:rtl/>
          <w:lang w:eastAsia="he-IL"/>
        </w:rPr>
      </w:pPr>
      <w:bookmarkStart w:id="81621" w:name="_ETM_Q162_535041"/>
      <w:bookmarkStart w:id="81622" w:name="_ETM_Q162_535129"/>
      <w:bookmarkEnd w:id="81621"/>
      <w:bookmarkEnd w:id="81622"/>
    </w:p>
    <w:p w:rsidR="00BB59CD" w:rsidRDefault="00BB59CD" w:rsidP="00BB59CD">
      <w:pPr>
        <w:pStyle w:val="af8"/>
        <w:keepNext/>
        <w:rPr>
          <w:rtl/>
        </w:rPr>
      </w:pPr>
      <w:bookmarkStart w:id="81623" w:name="_ETM_Q162_535183"/>
      <w:bookmarkStart w:id="81624" w:name="_ETM_Q162_535244"/>
      <w:bookmarkStart w:id="81625" w:name="_ETM_Q162_536293"/>
      <w:bookmarkStart w:id="81626" w:name="_ETM_Q162_536351"/>
      <w:bookmarkStart w:id="81627" w:name="ET_interruption_6255_13"/>
      <w:bookmarkEnd w:id="81623"/>
      <w:bookmarkEnd w:id="81624"/>
      <w:bookmarkEnd w:id="81625"/>
      <w:bookmarkEnd w:id="81626"/>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81627"/>
    </w:p>
    <w:p w:rsidR="00BB59CD" w:rsidRDefault="00BB59CD" w:rsidP="00BB59CD">
      <w:pPr>
        <w:rPr>
          <w:rtl/>
          <w:lang w:eastAsia="he-IL"/>
        </w:rPr>
      </w:pPr>
      <w:bookmarkStart w:id="81628" w:name="_ETM_Q162_538694"/>
      <w:bookmarkStart w:id="81629" w:name="_ETM_Q162_532551"/>
      <w:bookmarkEnd w:id="81628"/>
      <w:bookmarkEnd w:id="81629"/>
    </w:p>
    <w:p w:rsidR="00BB59CD" w:rsidRDefault="00BB59CD" w:rsidP="00BB59CD">
      <w:pPr>
        <w:rPr>
          <w:rtl/>
          <w:lang w:eastAsia="he-IL"/>
        </w:rPr>
      </w:pPr>
      <w:bookmarkStart w:id="81630" w:name="_ETM_Q162_532660"/>
      <w:bookmarkEnd w:id="81630"/>
      <w:r>
        <w:rPr>
          <w:rFonts w:hint="cs"/>
          <w:rtl/>
          <w:lang w:eastAsia="he-IL"/>
        </w:rPr>
        <w:t>תפסיק לזלזל בכולם.</w:t>
      </w:r>
      <w:bookmarkStart w:id="81631" w:name="_ETM_Q162_533872"/>
      <w:bookmarkEnd w:id="81631"/>
    </w:p>
    <w:p w:rsidR="00BB59CD" w:rsidRDefault="00BB59CD" w:rsidP="00BB59CD">
      <w:pPr>
        <w:rPr>
          <w:rtl/>
          <w:lang w:eastAsia="he-IL"/>
        </w:rPr>
      </w:pPr>
      <w:bookmarkStart w:id="81632" w:name="_ETM_Q162_533992"/>
      <w:bookmarkEnd w:id="81632"/>
    </w:p>
    <w:p w:rsidR="00BB59CD" w:rsidRDefault="00BB59CD" w:rsidP="00BB59CD">
      <w:pPr>
        <w:pStyle w:val="af9"/>
        <w:keepNext/>
        <w:rPr>
          <w:rtl/>
        </w:rPr>
      </w:pPr>
      <w:bookmarkStart w:id="81633" w:name="_ETM_Q162_535883"/>
      <w:bookmarkStart w:id="81634" w:name="_ETM_Q162_535976"/>
      <w:bookmarkEnd w:id="81633"/>
      <w:bookmarkEnd w:id="8163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1635" w:name="_ETM_Q162_536918"/>
      <w:bookmarkEnd w:id="81635"/>
      <w:r>
        <w:rPr>
          <w:rFonts w:hint="cs"/>
          <w:rtl/>
          <w:lang w:eastAsia="he-IL"/>
        </w:rPr>
        <w:t>חבר הכנסת סימון דוידסון, קריאה שנייה.</w:t>
      </w:r>
      <w:bookmarkStart w:id="81636" w:name="_ETM_Q162_537415"/>
      <w:bookmarkEnd w:id="81636"/>
    </w:p>
    <w:p w:rsidR="00BB59CD" w:rsidRDefault="00BB59CD" w:rsidP="00BB59CD">
      <w:pPr>
        <w:rPr>
          <w:rtl/>
          <w:lang w:eastAsia="he-IL"/>
        </w:rPr>
      </w:pPr>
      <w:bookmarkStart w:id="81637" w:name="_ETM_Q162_537521"/>
      <w:bookmarkEnd w:id="81637"/>
    </w:p>
    <w:p w:rsidR="00BB59CD" w:rsidRDefault="00BB59CD" w:rsidP="00BB59CD">
      <w:pPr>
        <w:pStyle w:val="af8"/>
        <w:keepNext/>
        <w:rPr>
          <w:rtl/>
        </w:rPr>
      </w:pPr>
      <w:bookmarkStart w:id="81638" w:name="_ETM_Q162_540201"/>
      <w:bookmarkStart w:id="81639" w:name="_ETM_Q162_540346"/>
      <w:bookmarkStart w:id="81640" w:name="_ETM_Q162_541954"/>
      <w:bookmarkStart w:id="81641" w:name="_ETM_Q162_542003"/>
      <w:bookmarkStart w:id="81642" w:name="ET_interruption_6352_17"/>
      <w:bookmarkEnd w:id="81638"/>
      <w:bookmarkEnd w:id="81639"/>
      <w:bookmarkEnd w:id="81640"/>
      <w:bookmarkEnd w:id="81641"/>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81642"/>
    </w:p>
    <w:p w:rsidR="00BB59CD" w:rsidRDefault="00BB59CD" w:rsidP="00337201">
      <w:pPr>
        <w:rPr>
          <w:rtl/>
          <w:lang w:eastAsia="he-IL"/>
        </w:rPr>
      </w:pPr>
    </w:p>
    <w:p w:rsidR="00BB59CD" w:rsidRDefault="00BB59CD" w:rsidP="00BB59CD">
      <w:pPr>
        <w:rPr>
          <w:rtl/>
          <w:lang w:eastAsia="he-IL"/>
        </w:rPr>
      </w:pPr>
      <w:bookmarkStart w:id="81643" w:name="_ETM_Q162_540867"/>
      <w:bookmarkStart w:id="81644" w:name="_ETM_Q162_541145"/>
      <w:bookmarkStart w:id="81645" w:name="_ETM_Q162_541215"/>
      <w:bookmarkEnd w:id="81643"/>
      <w:bookmarkEnd w:id="81644"/>
      <w:bookmarkEnd w:id="81645"/>
      <w:r>
        <w:rPr>
          <w:rFonts w:hint="cs"/>
          <w:rtl/>
          <w:lang w:eastAsia="he-IL"/>
        </w:rPr>
        <w:t xml:space="preserve">- - </w:t>
      </w:r>
      <w:bookmarkStart w:id="81646" w:name="_ETM_Q162_542250"/>
      <w:bookmarkEnd w:id="81646"/>
      <w:r>
        <w:rPr>
          <w:rFonts w:hint="cs"/>
          <w:rtl/>
          <w:lang w:eastAsia="he-IL"/>
        </w:rPr>
        <w:t>-</w:t>
      </w:r>
    </w:p>
    <w:p w:rsidR="00BB59CD" w:rsidRDefault="00BB59CD" w:rsidP="00BB59CD">
      <w:pPr>
        <w:rPr>
          <w:rtl/>
          <w:lang w:eastAsia="he-IL"/>
        </w:rPr>
      </w:pPr>
      <w:bookmarkStart w:id="81647" w:name="_ETM_Q162_543474"/>
      <w:bookmarkStart w:id="81648" w:name="_ETM_Q162_543572"/>
      <w:bookmarkEnd w:id="81647"/>
      <w:bookmarkEnd w:id="81648"/>
    </w:p>
    <w:p w:rsidR="00BB59CD" w:rsidRDefault="00BB59CD" w:rsidP="00BB59CD">
      <w:pPr>
        <w:pStyle w:val="af9"/>
        <w:keepNext/>
        <w:rPr>
          <w:rtl/>
        </w:rPr>
      </w:pPr>
      <w:bookmarkStart w:id="81649" w:name="_ETM_Q162_543594"/>
      <w:bookmarkStart w:id="81650" w:name="_ETM_Q162_543679"/>
      <w:bookmarkStart w:id="81651" w:name="ET_yor_6423_18"/>
      <w:bookmarkEnd w:id="81649"/>
      <w:bookmarkEnd w:id="8165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1651"/>
    </w:p>
    <w:p w:rsidR="00BB59CD" w:rsidRDefault="00BB59CD" w:rsidP="00337201">
      <w:pPr>
        <w:rPr>
          <w:rtl/>
          <w:lang w:eastAsia="he-IL"/>
        </w:rPr>
      </w:pPr>
    </w:p>
    <w:p w:rsidR="00BB59CD" w:rsidRDefault="00BB59CD" w:rsidP="00BB59CD">
      <w:pPr>
        <w:rPr>
          <w:rtl/>
          <w:lang w:eastAsia="he-IL"/>
        </w:rPr>
      </w:pPr>
      <w:bookmarkStart w:id="81652" w:name="_ETM_Q162_544348"/>
      <w:bookmarkEnd w:id="81652"/>
      <w:r>
        <w:rPr>
          <w:rFonts w:hint="cs"/>
          <w:rtl/>
          <w:lang w:eastAsia="he-IL"/>
        </w:rPr>
        <w:t>חבר הכנסת אלמוג כהן, קריאה ראשונה.</w:t>
      </w:r>
    </w:p>
    <w:p w:rsidR="00BB59CD" w:rsidRDefault="00BB59CD" w:rsidP="00BB59CD">
      <w:pPr>
        <w:rPr>
          <w:rtl/>
          <w:lang w:eastAsia="he-IL"/>
        </w:rPr>
      </w:pPr>
      <w:bookmarkStart w:id="81653" w:name="_ETM_Q162_541989"/>
      <w:bookmarkStart w:id="81654" w:name="_ETM_Q162_542082"/>
      <w:bookmarkEnd w:id="81653"/>
      <w:bookmarkEnd w:id="81654"/>
    </w:p>
    <w:p w:rsidR="009123FF" w:rsidRDefault="009123FF" w:rsidP="009123FF">
      <w:pPr>
        <w:pStyle w:val="-"/>
        <w:rPr>
          <w:rtl/>
        </w:rPr>
      </w:pPr>
      <w:bookmarkStart w:id="81655" w:name="_ETM_Q162_542131"/>
      <w:bookmarkStart w:id="81656" w:name="_ETM_Q162_542174"/>
      <w:bookmarkStart w:id="81657" w:name="_ETM_Q162_542963"/>
      <w:bookmarkStart w:id="81658" w:name="_ETM_Q162_543246"/>
      <w:bookmarkStart w:id="81659" w:name="_ETM_Q162_543306"/>
      <w:bookmarkStart w:id="81660" w:name="_ETM_Q162_538803"/>
      <w:bookmarkStart w:id="81661" w:name="_ETM_Q162_538857"/>
      <w:bookmarkStart w:id="81662" w:name="_ETM_Q162_538903"/>
      <w:bookmarkEnd w:id="81655"/>
      <w:bookmarkEnd w:id="81656"/>
      <w:bookmarkEnd w:id="81657"/>
      <w:bookmarkEnd w:id="81658"/>
      <w:bookmarkEnd w:id="81659"/>
      <w:bookmarkEnd w:id="81660"/>
      <w:bookmarkEnd w:id="81661"/>
      <w:bookmarkEnd w:id="81662"/>
      <w:r w:rsidRPr="00CB7C6D">
        <w:rPr>
          <w:rStyle w:val="TagStyle"/>
          <w:rtl/>
        </w:rPr>
        <w:t>&lt;&lt; דובר_המשך &gt;&gt;</w:t>
      </w:r>
      <w:r w:rsidRPr="00CB7C6D">
        <w:rPr>
          <w:rtl/>
        </w:rPr>
        <w:t>שמחה רוטמן (יו"ר ועדת החוקה, חוק ומשפט):</w:t>
      </w:r>
      <w:r w:rsidRPr="00CB7C6D">
        <w:rPr>
          <w:rStyle w:val="TagStyle"/>
          <w:rtl/>
        </w:rPr>
        <w:t xml:space="preserve">&lt;&lt; דובר_המשך &gt;&gt; </w:t>
      </w:r>
    </w:p>
    <w:p w:rsidR="009123FF" w:rsidRPr="00CB7C6D" w:rsidRDefault="009123FF" w:rsidP="009123FF">
      <w:pPr>
        <w:rPr>
          <w:rtl/>
          <w:lang w:eastAsia="he-IL"/>
        </w:rPr>
      </w:pPr>
    </w:p>
    <w:p w:rsidR="00BB59CD" w:rsidRDefault="00BB59CD" w:rsidP="00BB59CD">
      <w:pPr>
        <w:rPr>
          <w:rtl/>
        </w:rPr>
      </w:pPr>
      <w:bookmarkStart w:id="81663" w:name="_ETM_Q162_538190"/>
      <w:bookmarkStart w:id="81664" w:name="_ETM_Q162_538328"/>
      <w:bookmarkEnd w:id="81663"/>
      <w:bookmarkEnd w:id="81664"/>
      <w:r>
        <w:rPr>
          <w:rFonts w:hint="cs"/>
          <w:rtl/>
          <w:lang w:eastAsia="he-IL"/>
        </w:rPr>
        <w:t xml:space="preserve">כאילו מה שקורה בחוץ הוא </w:t>
      </w:r>
      <w:bookmarkStart w:id="81665" w:name="_ETM_Q162_545834"/>
      <w:bookmarkEnd w:id="81665"/>
      <w:r>
        <w:rPr>
          <w:rFonts w:hint="cs"/>
          <w:rtl/>
          <w:lang w:eastAsia="he-IL"/>
        </w:rPr>
        <w:t xml:space="preserve">תוצאה </w:t>
      </w:r>
      <w:bookmarkStart w:id="81666" w:name="_ETM_Q162_539532"/>
      <w:bookmarkStart w:id="81667" w:name="_ETM_Q162_527661"/>
      <w:bookmarkStart w:id="81668" w:name="_ETM_Q162_527739"/>
      <w:bookmarkStart w:id="81669" w:name="_ETM_Q162_527805"/>
      <w:bookmarkStart w:id="81670" w:name="_ETM_Q162_527874"/>
      <w:bookmarkStart w:id="81671" w:name="_ETM_Q162_549529"/>
      <w:bookmarkEnd w:id="81666"/>
      <w:bookmarkEnd w:id="81667"/>
      <w:bookmarkEnd w:id="81668"/>
      <w:bookmarkEnd w:id="81669"/>
      <w:bookmarkEnd w:id="81670"/>
      <w:bookmarkEnd w:id="81671"/>
      <w:r>
        <w:rPr>
          <w:rFonts w:hint="cs"/>
          <w:rtl/>
        </w:rPr>
        <w:t xml:space="preserve">של קידום או תיקון עילת הסבירות. אין מי </w:t>
      </w:r>
      <w:bookmarkStart w:id="81672" w:name="_ETM_Q162_554299"/>
      <w:bookmarkEnd w:id="81672"/>
      <w:r>
        <w:rPr>
          <w:rFonts w:hint="cs"/>
          <w:rtl/>
        </w:rPr>
        <w:t xml:space="preserve">שמאמין </w:t>
      </w:r>
      <w:bookmarkStart w:id="81673" w:name="_ETM_Q162_555140"/>
      <w:bookmarkEnd w:id="81673"/>
      <w:r>
        <w:rPr>
          <w:rFonts w:hint="cs"/>
          <w:rtl/>
        </w:rPr>
        <w:t xml:space="preserve">לשקר </w:t>
      </w:r>
      <w:bookmarkStart w:id="81674" w:name="_ETM_Q162_555619"/>
      <w:bookmarkEnd w:id="81674"/>
      <w:r>
        <w:rPr>
          <w:rFonts w:hint="cs"/>
          <w:rtl/>
        </w:rPr>
        <w:t xml:space="preserve">הזה, </w:t>
      </w:r>
      <w:bookmarkStart w:id="81675" w:name="_ETM_Q162_555859"/>
      <w:bookmarkEnd w:id="81675"/>
      <w:r>
        <w:rPr>
          <w:rFonts w:hint="cs"/>
          <w:rtl/>
        </w:rPr>
        <w:t xml:space="preserve">חברים. </w:t>
      </w:r>
      <w:bookmarkStart w:id="81676" w:name="_ETM_Q162_557679"/>
      <w:bookmarkEnd w:id="81676"/>
      <w:r>
        <w:rPr>
          <w:rFonts w:hint="cs"/>
          <w:rtl/>
        </w:rPr>
        <w:t xml:space="preserve">אין </w:t>
      </w:r>
      <w:bookmarkStart w:id="81677" w:name="_ETM_Q162_558981"/>
      <w:bookmarkEnd w:id="81677"/>
      <w:r>
        <w:rPr>
          <w:rFonts w:hint="cs"/>
          <w:rtl/>
        </w:rPr>
        <w:t xml:space="preserve">מי </w:t>
      </w:r>
      <w:bookmarkStart w:id="81678" w:name="_ETM_Q162_558339"/>
      <w:bookmarkEnd w:id="81678"/>
      <w:r>
        <w:rPr>
          <w:rFonts w:hint="cs"/>
          <w:rtl/>
        </w:rPr>
        <w:t xml:space="preserve">שמאמין </w:t>
      </w:r>
      <w:bookmarkStart w:id="81679" w:name="_ETM_Q162_559509"/>
      <w:bookmarkEnd w:id="81679"/>
      <w:r>
        <w:rPr>
          <w:rFonts w:hint="cs"/>
          <w:rtl/>
        </w:rPr>
        <w:t xml:space="preserve">לשקר </w:t>
      </w:r>
      <w:bookmarkStart w:id="81680" w:name="_ETM_Q162_560170"/>
      <w:bookmarkEnd w:id="81680"/>
      <w:r>
        <w:rPr>
          <w:rFonts w:hint="cs"/>
          <w:rtl/>
        </w:rPr>
        <w:t>הזה.</w:t>
      </w:r>
    </w:p>
    <w:p w:rsidR="00BB59CD" w:rsidRDefault="00BB59CD" w:rsidP="00BB59CD">
      <w:pPr>
        <w:rPr>
          <w:rtl/>
        </w:rPr>
      </w:pPr>
      <w:bookmarkStart w:id="81681" w:name="_ETM_Q162_557718"/>
      <w:bookmarkStart w:id="81682" w:name="_ETM_Q162_557823"/>
      <w:bookmarkEnd w:id="81681"/>
      <w:bookmarkEnd w:id="81682"/>
    </w:p>
    <w:p w:rsidR="00BB59CD" w:rsidRDefault="00BB59CD" w:rsidP="00BB59CD">
      <w:pPr>
        <w:pStyle w:val="af8"/>
        <w:keepNext/>
        <w:rPr>
          <w:rtl/>
        </w:rPr>
      </w:pPr>
      <w:bookmarkStart w:id="81683" w:name="_ETM_Q162_557863"/>
      <w:bookmarkStart w:id="81684" w:name="_ETM_Q162_557947"/>
      <w:bookmarkStart w:id="81685" w:name="ET_interruption_5109_19"/>
      <w:bookmarkEnd w:id="81683"/>
      <w:bookmarkEnd w:id="81684"/>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81685"/>
    </w:p>
    <w:p w:rsidR="00BB59CD" w:rsidRDefault="00BB59CD" w:rsidP="00337201">
      <w:pPr>
        <w:rPr>
          <w:rtl/>
          <w:lang w:eastAsia="he-IL"/>
        </w:rPr>
      </w:pPr>
    </w:p>
    <w:p w:rsidR="00BB59CD" w:rsidRDefault="00BB59CD" w:rsidP="00BB59CD">
      <w:pPr>
        <w:rPr>
          <w:rtl/>
          <w:lang w:eastAsia="he-IL"/>
        </w:rPr>
      </w:pPr>
      <w:bookmarkStart w:id="81686" w:name="_ETM_Q162_561806"/>
      <w:bookmarkStart w:id="81687" w:name="_ETM_Q162_562070"/>
      <w:bookmarkStart w:id="81688" w:name="_ETM_Q162_562143"/>
      <w:bookmarkEnd w:id="81686"/>
      <w:bookmarkEnd w:id="81687"/>
      <w:bookmarkEnd w:id="81688"/>
      <w:r>
        <w:rPr>
          <w:rFonts w:hint="cs"/>
          <w:rtl/>
          <w:lang w:eastAsia="he-IL"/>
        </w:rPr>
        <w:t>- - - שקרים.</w:t>
      </w:r>
    </w:p>
    <w:p w:rsidR="00BB59CD" w:rsidRDefault="00BB59CD" w:rsidP="00BB59CD">
      <w:pPr>
        <w:rPr>
          <w:rtl/>
          <w:lang w:eastAsia="he-IL"/>
        </w:rPr>
      </w:pPr>
      <w:bookmarkStart w:id="81689" w:name="_ETM_Q162_557600"/>
      <w:bookmarkStart w:id="81690" w:name="_ETM_Q162_557685"/>
      <w:bookmarkEnd w:id="81689"/>
      <w:bookmarkEnd w:id="81690"/>
    </w:p>
    <w:p w:rsidR="009123FF" w:rsidRDefault="009123FF" w:rsidP="009123FF">
      <w:pPr>
        <w:pStyle w:val="-"/>
        <w:rPr>
          <w:rtl/>
        </w:rPr>
      </w:pPr>
      <w:bookmarkStart w:id="81691" w:name="_ETM_Q162_558272"/>
      <w:bookmarkStart w:id="81692" w:name="_ETM_Q162_558352"/>
      <w:bookmarkEnd w:id="81691"/>
      <w:bookmarkEnd w:id="81692"/>
      <w:r w:rsidRPr="00CB7C6D">
        <w:rPr>
          <w:rStyle w:val="TagStyle"/>
          <w:rtl/>
        </w:rPr>
        <w:t>&lt;&lt; דובר_המשך &gt;&gt;</w:t>
      </w:r>
      <w:r w:rsidRPr="00CB7C6D">
        <w:rPr>
          <w:rtl/>
        </w:rPr>
        <w:t>שמחה רוטמן (יו"ר ועדת החוקה, חוק ומשפט):</w:t>
      </w:r>
      <w:r w:rsidRPr="00CB7C6D">
        <w:rPr>
          <w:rStyle w:val="TagStyle"/>
          <w:rtl/>
        </w:rPr>
        <w:t xml:space="preserve">&lt;&lt; דובר_המשך &gt;&gt; </w:t>
      </w:r>
    </w:p>
    <w:p w:rsidR="009123FF" w:rsidRPr="00CB7C6D" w:rsidRDefault="009123FF" w:rsidP="009123FF">
      <w:pPr>
        <w:rPr>
          <w:rtl/>
          <w:lang w:eastAsia="he-IL"/>
        </w:rPr>
      </w:pPr>
    </w:p>
    <w:p w:rsidR="00BB59CD" w:rsidRDefault="00BB59CD" w:rsidP="00BB59CD">
      <w:pPr>
        <w:rPr>
          <w:rtl/>
        </w:rPr>
      </w:pPr>
      <w:bookmarkStart w:id="81693" w:name="_ETM_Q162_559055"/>
      <w:bookmarkStart w:id="81694" w:name="_ETM_Q162_558006"/>
      <w:bookmarkStart w:id="81695" w:name="_ETM_Q162_558100"/>
      <w:bookmarkStart w:id="81696" w:name="_ETM_Q162_561720"/>
      <w:bookmarkEnd w:id="81693"/>
      <w:bookmarkEnd w:id="81694"/>
      <w:bookmarkEnd w:id="81695"/>
      <w:bookmarkEnd w:id="81696"/>
      <w:r>
        <w:rPr>
          <w:rFonts w:hint="cs"/>
          <w:rtl/>
        </w:rPr>
        <w:t xml:space="preserve">אנחנו </w:t>
      </w:r>
      <w:bookmarkStart w:id="81697" w:name="_ETM_Q162_563219"/>
      <w:bookmarkStart w:id="81698" w:name="_ETM_Q162_563430"/>
      <w:bookmarkEnd w:id="81697"/>
      <w:bookmarkEnd w:id="81698"/>
      <w:r>
        <w:rPr>
          <w:rFonts w:hint="cs"/>
          <w:rtl/>
        </w:rPr>
        <w:t xml:space="preserve">נמצאים </w:t>
      </w:r>
      <w:bookmarkStart w:id="81699" w:name="_ETM_Q162_564760"/>
      <w:bookmarkEnd w:id="81699"/>
      <w:r>
        <w:rPr>
          <w:rFonts w:hint="cs"/>
          <w:rtl/>
        </w:rPr>
        <w:t xml:space="preserve">אחר </w:t>
      </w:r>
      <w:bookmarkStart w:id="81700" w:name="_ETM_Q162_565870"/>
      <w:bookmarkEnd w:id="81700"/>
      <w:r>
        <w:rPr>
          <w:rFonts w:hint="cs"/>
          <w:rtl/>
        </w:rPr>
        <w:t xml:space="preserve">חמש </w:t>
      </w:r>
      <w:bookmarkStart w:id="81701" w:name="_ETM_Q162_566470"/>
      <w:bookmarkEnd w:id="81701"/>
      <w:r>
        <w:rPr>
          <w:rFonts w:hint="cs"/>
          <w:rtl/>
        </w:rPr>
        <w:t xml:space="preserve">מערכות </w:t>
      </w:r>
      <w:bookmarkStart w:id="81702" w:name="_ETM_Q162_567070"/>
      <w:bookmarkEnd w:id="81702"/>
      <w:r>
        <w:rPr>
          <w:rFonts w:hint="cs"/>
          <w:rtl/>
        </w:rPr>
        <w:t xml:space="preserve">בחירות </w:t>
      </w:r>
      <w:bookmarkStart w:id="81703" w:name="_ETM_Q162_568120"/>
      <w:bookmarkEnd w:id="81703"/>
      <w:r>
        <w:rPr>
          <w:rFonts w:hint="cs"/>
          <w:rtl/>
        </w:rPr>
        <w:t xml:space="preserve">בשלוש </w:t>
      </w:r>
      <w:bookmarkStart w:id="81704" w:name="_ETM_Q162_568720"/>
      <w:bookmarkEnd w:id="81704"/>
      <w:r>
        <w:rPr>
          <w:rFonts w:hint="cs"/>
          <w:rtl/>
        </w:rPr>
        <w:t xml:space="preserve">שנים, </w:t>
      </w:r>
      <w:bookmarkStart w:id="81705" w:name="_ETM_Q162_569929"/>
      <w:bookmarkEnd w:id="81705"/>
      <w:r>
        <w:rPr>
          <w:rFonts w:hint="cs"/>
          <w:rtl/>
        </w:rPr>
        <w:t xml:space="preserve">שהן </w:t>
      </w:r>
      <w:bookmarkStart w:id="81706" w:name="_ETM_Q162_570259"/>
      <w:bookmarkEnd w:id="81706"/>
      <w:r>
        <w:rPr>
          <w:rFonts w:hint="cs"/>
          <w:rtl/>
        </w:rPr>
        <w:t xml:space="preserve">תוצאה </w:t>
      </w:r>
      <w:bookmarkStart w:id="81707" w:name="_ETM_Q162_571369"/>
      <w:bookmarkEnd w:id="81707"/>
      <w:r>
        <w:rPr>
          <w:rFonts w:hint="cs"/>
          <w:rtl/>
        </w:rPr>
        <w:t xml:space="preserve">של </w:t>
      </w:r>
      <w:bookmarkStart w:id="81708" w:name="_ETM_Q162_571640"/>
      <w:bookmarkEnd w:id="81708"/>
      <w:r>
        <w:rPr>
          <w:rFonts w:hint="cs"/>
          <w:rtl/>
        </w:rPr>
        <w:t xml:space="preserve">משבר </w:t>
      </w:r>
      <w:bookmarkStart w:id="81709" w:name="_ETM_Q162_572299"/>
      <w:bookmarkEnd w:id="81709"/>
      <w:r>
        <w:rPr>
          <w:rFonts w:hint="cs"/>
          <w:rtl/>
        </w:rPr>
        <w:t xml:space="preserve">אמון </w:t>
      </w:r>
      <w:bookmarkStart w:id="81710" w:name="_ETM_Q162_572779"/>
      <w:bookmarkEnd w:id="81710"/>
      <w:r>
        <w:rPr>
          <w:rFonts w:hint="cs"/>
          <w:rtl/>
        </w:rPr>
        <w:t xml:space="preserve">חריף </w:t>
      </w:r>
      <w:bookmarkStart w:id="81711" w:name="_ETM_Q162_573890"/>
      <w:bookmarkEnd w:id="81711"/>
      <w:r>
        <w:rPr>
          <w:rFonts w:hint="cs"/>
          <w:rtl/>
        </w:rPr>
        <w:t xml:space="preserve">במערכת </w:t>
      </w:r>
      <w:bookmarkStart w:id="81712" w:name="_ETM_Q162_574520"/>
      <w:bookmarkEnd w:id="81712"/>
      <w:r>
        <w:rPr>
          <w:rFonts w:hint="cs"/>
          <w:rtl/>
        </w:rPr>
        <w:t xml:space="preserve">הפוליטית </w:t>
      </w:r>
      <w:bookmarkStart w:id="81713" w:name="_ETM_Q162_575000"/>
      <w:bookmarkEnd w:id="81713"/>
      <w:r>
        <w:rPr>
          <w:rFonts w:hint="cs"/>
          <w:rtl/>
        </w:rPr>
        <w:t xml:space="preserve">הישראלית. </w:t>
      </w:r>
      <w:bookmarkStart w:id="81714" w:name="_ETM_Q162_575539"/>
      <w:bookmarkEnd w:id="81714"/>
      <w:r>
        <w:rPr>
          <w:rFonts w:hint="cs"/>
          <w:rtl/>
        </w:rPr>
        <w:t xml:space="preserve">אסור </w:t>
      </w:r>
      <w:bookmarkStart w:id="81715" w:name="_ETM_Q162_575810"/>
      <w:bookmarkEnd w:id="81715"/>
      <w:r>
        <w:rPr>
          <w:rFonts w:hint="cs"/>
          <w:rtl/>
        </w:rPr>
        <w:t xml:space="preserve">להתחמק </w:t>
      </w:r>
      <w:bookmarkStart w:id="81716" w:name="_ETM_Q162_576289"/>
      <w:bookmarkEnd w:id="81716"/>
      <w:r>
        <w:rPr>
          <w:rFonts w:hint="cs"/>
          <w:rtl/>
        </w:rPr>
        <w:t xml:space="preserve">מזה, </w:t>
      </w:r>
      <w:bookmarkStart w:id="81717" w:name="_ETM_Q162_577549"/>
      <w:bookmarkEnd w:id="81717"/>
      <w:r>
        <w:rPr>
          <w:rFonts w:hint="cs"/>
          <w:rtl/>
        </w:rPr>
        <w:t xml:space="preserve">אסור </w:t>
      </w:r>
      <w:bookmarkStart w:id="81718" w:name="_ETM_Q162_578299"/>
      <w:bookmarkEnd w:id="81718"/>
      <w:r>
        <w:rPr>
          <w:rFonts w:hint="cs"/>
          <w:rtl/>
        </w:rPr>
        <w:t xml:space="preserve">להתחמק </w:t>
      </w:r>
      <w:bookmarkStart w:id="81719" w:name="_ETM_Q162_578960"/>
      <w:bookmarkEnd w:id="81719"/>
      <w:r>
        <w:rPr>
          <w:rFonts w:hint="cs"/>
          <w:rtl/>
        </w:rPr>
        <w:t xml:space="preserve">מזה. </w:t>
      </w:r>
      <w:bookmarkStart w:id="81720" w:name="_ETM_Q162_582729"/>
      <w:bookmarkEnd w:id="81720"/>
      <w:r>
        <w:rPr>
          <w:rFonts w:hint="cs"/>
          <w:rtl/>
        </w:rPr>
        <w:t xml:space="preserve">והתוצאה </w:t>
      </w:r>
      <w:bookmarkStart w:id="81721" w:name="_ETM_Q162_583990"/>
      <w:bookmarkEnd w:id="81721"/>
      <w:r>
        <w:rPr>
          <w:rFonts w:hint="cs"/>
          <w:rtl/>
        </w:rPr>
        <w:t xml:space="preserve">והסיבה </w:t>
      </w:r>
      <w:bookmarkStart w:id="81722" w:name="_ETM_Q162_584710"/>
      <w:bookmarkEnd w:id="81722"/>
      <w:r>
        <w:rPr>
          <w:rFonts w:hint="cs"/>
          <w:rtl/>
        </w:rPr>
        <w:t xml:space="preserve">שאנו </w:t>
      </w:r>
      <w:bookmarkStart w:id="81723" w:name="_ETM_Q162_585100"/>
      <w:bookmarkEnd w:id="81723"/>
      <w:r>
        <w:rPr>
          <w:rFonts w:hint="cs"/>
          <w:rtl/>
        </w:rPr>
        <w:t xml:space="preserve">נמצאים </w:t>
      </w:r>
      <w:bookmarkStart w:id="81724" w:name="_ETM_Q162_585670"/>
      <w:bookmarkEnd w:id="81724"/>
      <w:r>
        <w:rPr>
          <w:rFonts w:hint="cs"/>
          <w:rtl/>
        </w:rPr>
        <w:t xml:space="preserve">במשבר </w:t>
      </w:r>
      <w:bookmarkStart w:id="81725" w:name="_ETM_Q162_586210"/>
      <w:bookmarkEnd w:id="81725"/>
      <w:r>
        <w:rPr>
          <w:rFonts w:hint="cs"/>
          <w:rtl/>
        </w:rPr>
        <w:t xml:space="preserve">אמון </w:t>
      </w:r>
      <w:bookmarkStart w:id="81726" w:name="_ETM_Q162_586659"/>
      <w:bookmarkEnd w:id="81726"/>
      <w:r>
        <w:rPr>
          <w:rFonts w:hint="cs"/>
          <w:rtl/>
        </w:rPr>
        <w:t xml:space="preserve">כה חריף </w:t>
      </w:r>
      <w:bookmarkStart w:id="81727" w:name="_ETM_Q162_588649"/>
      <w:bookmarkEnd w:id="81727"/>
      <w:r>
        <w:rPr>
          <w:rFonts w:hint="cs"/>
          <w:rtl/>
        </w:rPr>
        <w:t xml:space="preserve">שהוביל </w:t>
      </w:r>
      <w:bookmarkStart w:id="81728" w:name="_ETM_Q162_589460"/>
      <w:bookmarkEnd w:id="81728"/>
      <w:r>
        <w:rPr>
          <w:rFonts w:hint="cs"/>
          <w:rtl/>
        </w:rPr>
        <w:t xml:space="preserve">לחמש </w:t>
      </w:r>
      <w:bookmarkStart w:id="81729" w:name="_ETM_Q162_590240"/>
      <w:bookmarkEnd w:id="81729"/>
      <w:r>
        <w:rPr>
          <w:rFonts w:hint="cs"/>
          <w:rtl/>
        </w:rPr>
        <w:t xml:space="preserve">מערכות </w:t>
      </w:r>
      <w:bookmarkStart w:id="81730" w:name="_ETM_Q162_590899"/>
      <w:bookmarkEnd w:id="81730"/>
      <w:r>
        <w:rPr>
          <w:rFonts w:hint="cs"/>
          <w:rtl/>
        </w:rPr>
        <w:t xml:space="preserve">בחירות </w:t>
      </w:r>
      <w:bookmarkStart w:id="81731" w:name="_ETM_Q162_591380"/>
      <w:bookmarkEnd w:id="81731"/>
      <w:r>
        <w:rPr>
          <w:rFonts w:hint="cs"/>
          <w:rtl/>
        </w:rPr>
        <w:t xml:space="preserve">בשלוש </w:t>
      </w:r>
      <w:bookmarkStart w:id="81732" w:name="_ETM_Q162_591890"/>
      <w:bookmarkEnd w:id="81732"/>
      <w:r>
        <w:rPr>
          <w:rFonts w:hint="cs"/>
          <w:rtl/>
        </w:rPr>
        <w:t>שנים</w:t>
      </w:r>
      <w:bookmarkStart w:id="81733" w:name="_ETM_Q162_593360"/>
      <w:bookmarkStart w:id="81734" w:name="_ETM_Q162_593630"/>
      <w:bookmarkEnd w:id="81733"/>
      <w:bookmarkEnd w:id="81734"/>
      <w:r>
        <w:rPr>
          <w:rFonts w:hint="cs"/>
          <w:rtl/>
        </w:rPr>
        <w:t xml:space="preserve">, הסיבה </w:t>
      </w:r>
      <w:bookmarkStart w:id="81735" w:name="_ETM_Q162_594740"/>
      <w:bookmarkStart w:id="81736" w:name="_ETM_Q162_595430"/>
      <w:bookmarkEnd w:id="81735"/>
      <w:bookmarkEnd w:id="81736"/>
      <w:r>
        <w:rPr>
          <w:rFonts w:hint="cs"/>
          <w:rtl/>
        </w:rPr>
        <w:t xml:space="preserve">לכך </w:t>
      </w:r>
      <w:bookmarkStart w:id="81737" w:name="_ETM_Q162_596969"/>
      <w:bookmarkEnd w:id="81737"/>
      <w:r>
        <w:rPr>
          <w:rFonts w:hint="cs"/>
          <w:rtl/>
        </w:rPr>
        <w:t xml:space="preserve">היא </w:t>
      </w:r>
      <w:bookmarkStart w:id="81738" w:name="_ETM_Q162_597089"/>
      <w:bookmarkEnd w:id="81738"/>
      <w:r>
        <w:rPr>
          <w:rFonts w:hint="cs"/>
          <w:rtl/>
        </w:rPr>
        <w:t xml:space="preserve">חוסר </w:t>
      </w:r>
      <w:bookmarkStart w:id="81739" w:name="_ETM_Q162_597539"/>
      <w:bookmarkEnd w:id="81739"/>
      <w:r>
        <w:rPr>
          <w:rFonts w:hint="cs"/>
          <w:rtl/>
        </w:rPr>
        <w:t xml:space="preserve">האמון </w:t>
      </w:r>
      <w:bookmarkStart w:id="81740" w:name="_ETM_Q162_598020"/>
      <w:bookmarkEnd w:id="81740"/>
      <w:r>
        <w:rPr>
          <w:rFonts w:hint="cs"/>
          <w:rtl/>
        </w:rPr>
        <w:t xml:space="preserve">במוסדות </w:t>
      </w:r>
      <w:bookmarkStart w:id="81741" w:name="_ETM_Q162_598619"/>
      <w:bookmarkEnd w:id="81741"/>
      <w:r>
        <w:rPr>
          <w:rFonts w:hint="cs"/>
          <w:rtl/>
        </w:rPr>
        <w:t xml:space="preserve">השלטון </w:t>
      </w:r>
      <w:bookmarkStart w:id="81742" w:name="_ETM_Q162_600360"/>
      <w:bookmarkEnd w:id="81742"/>
      <w:r>
        <w:rPr>
          <w:rFonts w:hint="cs"/>
          <w:rtl/>
        </w:rPr>
        <w:t xml:space="preserve">שיצר, </w:t>
      </w:r>
      <w:bookmarkStart w:id="81743" w:name="_ETM_Q162_601529"/>
      <w:bookmarkEnd w:id="81743"/>
      <w:r>
        <w:rPr>
          <w:rFonts w:hint="cs"/>
          <w:rtl/>
        </w:rPr>
        <w:t xml:space="preserve">לצערי </w:t>
      </w:r>
      <w:bookmarkStart w:id="81744" w:name="_ETM_Q162_602310"/>
      <w:bookmarkEnd w:id="81744"/>
      <w:r>
        <w:rPr>
          <w:rFonts w:hint="cs"/>
          <w:rtl/>
        </w:rPr>
        <w:t xml:space="preserve">הרב </w:t>
      </w:r>
      <w:r>
        <w:t>–</w:t>
      </w:r>
      <w:r>
        <w:rPr>
          <w:rFonts w:hint="cs"/>
          <w:rtl/>
        </w:rPr>
        <w:t xml:space="preserve"> </w:t>
      </w:r>
      <w:bookmarkStart w:id="81745" w:name="_ETM_Q162_602820"/>
      <w:bookmarkEnd w:id="81745"/>
      <w:r>
        <w:rPr>
          <w:rFonts w:hint="cs"/>
          <w:rtl/>
        </w:rPr>
        <w:t xml:space="preserve">נכון, </w:t>
      </w:r>
      <w:bookmarkStart w:id="81746" w:name="_ETM_Q162_603240"/>
      <w:bookmarkEnd w:id="81746"/>
      <w:r>
        <w:rPr>
          <w:rFonts w:hint="cs"/>
          <w:rtl/>
        </w:rPr>
        <w:t xml:space="preserve">היו </w:t>
      </w:r>
      <w:bookmarkStart w:id="81747" w:name="_ETM_Q162_603390"/>
      <w:bookmarkEnd w:id="81747"/>
      <w:r>
        <w:rPr>
          <w:rFonts w:hint="cs"/>
          <w:rtl/>
        </w:rPr>
        <w:t xml:space="preserve">גם </w:t>
      </w:r>
      <w:bookmarkStart w:id="81748" w:name="_ETM_Q162_603570"/>
      <w:bookmarkEnd w:id="81748"/>
      <w:r>
        <w:rPr>
          <w:rFonts w:hint="cs"/>
          <w:rtl/>
        </w:rPr>
        <w:t xml:space="preserve">גורמים </w:t>
      </w:r>
      <w:bookmarkStart w:id="81749" w:name="_ETM_Q162_603869"/>
      <w:bookmarkEnd w:id="81749"/>
      <w:r>
        <w:rPr>
          <w:rFonts w:hint="cs"/>
          <w:rtl/>
        </w:rPr>
        <w:t xml:space="preserve">פוליטיים </w:t>
      </w:r>
      <w:bookmarkStart w:id="81750" w:name="_ETM_Q162_604289"/>
      <w:bookmarkEnd w:id="81750"/>
      <w:r>
        <w:rPr>
          <w:rFonts w:hint="cs"/>
          <w:rtl/>
        </w:rPr>
        <w:t xml:space="preserve">שעזרו </w:t>
      </w:r>
      <w:bookmarkStart w:id="81751" w:name="_ETM_Q162_604740"/>
      <w:bookmarkEnd w:id="81751"/>
      <w:r>
        <w:rPr>
          <w:rFonts w:hint="cs"/>
          <w:rtl/>
        </w:rPr>
        <w:t xml:space="preserve">לו </w:t>
      </w:r>
      <w:bookmarkStart w:id="81752" w:name="_ETM_Q162_605570"/>
      <w:bookmarkEnd w:id="81752"/>
      <w:r>
        <w:rPr>
          <w:rFonts w:hint="cs"/>
          <w:rtl/>
        </w:rPr>
        <w:t xml:space="preserve">– אבל </w:t>
      </w:r>
      <w:bookmarkStart w:id="81753" w:name="_ETM_Q162_605869"/>
      <w:bookmarkEnd w:id="81753"/>
      <w:r>
        <w:rPr>
          <w:rFonts w:hint="cs"/>
          <w:rtl/>
        </w:rPr>
        <w:t xml:space="preserve">יצר </w:t>
      </w:r>
      <w:bookmarkStart w:id="81754" w:name="_ETM_Q162_606290"/>
      <w:bookmarkEnd w:id="81754"/>
      <w:r>
        <w:rPr>
          <w:rFonts w:hint="cs"/>
          <w:rtl/>
        </w:rPr>
        <w:t xml:space="preserve">בית </w:t>
      </w:r>
      <w:bookmarkStart w:id="81755" w:name="_ETM_Q162_606529"/>
      <w:bookmarkEnd w:id="81755"/>
      <w:r>
        <w:rPr>
          <w:rFonts w:hint="cs"/>
          <w:rtl/>
        </w:rPr>
        <w:t xml:space="preserve">המשפט </w:t>
      </w:r>
      <w:bookmarkStart w:id="81756" w:name="_ETM_Q162_606979"/>
      <w:bookmarkEnd w:id="81756"/>
      <w:r>
        <w:rPr>
          <w:rFonts w:hint="cs"/>
          <w:rtl/>
        </w:rPr>
        <w:t xml:space="preserve">העליון. </w:t>
      </w:r>
      <w:bookmarkStart w:id="81757" w:name="_ETM_Q162_608200"/>
      <w:bookmarkEnd w:id="81757"/>
      <w:r>
        <w:rPr>
          <w:rFonts w:hint="cs"/>
          <w:rtl/>
        </w:rPr>
        <w:t>אי</w:t>
      </w:r>
      <w:bookmarkStart w:id="81758" w:name="_ETM_Q162_608440"/>
      <w:bookmarkEnd w:id="81758"/>
      <w:r>
        <w:rPr>
          <w:rFonts w:hint="cs"/>
          <w:rtl/>
        </w:rPr>
        <w:t xml:space="preserve">-אפשר </w:t>
      </w:r>
      <w:bookmarkStart w:id="81759" w:name="_ETM_Q162_608800"/>
      <w:bookmarkEnd w:id="81759"/>
      <w:r>
        <w:rPr>
          <w:rFonts w:hint="cs"/>
          <w:rtl/>
        </w:rPr>
        <w:t xml:space="preserve">להתחמק </w:t>
      </w:r>
      <w:bookmarkStart w:id="81760" w:name="_ETM_Q162_609250"/>
      <w:bookmarkEnd w:id="81760"/>
      <w:r>
        <w:rPr>
          <w:rFonts w:hint="cs"/>
          <w:rtl/>
        </w:rPr>
        <w:t xml:space="preserve">מכך. </w:t>
      </w:r>
      <w:bookmarkStart w:id="81761" w:name="_ETM_Q162_611650"/>
      <w:bookmarkEnd w:id="81761"/>
    </w:p>
    <w:p w:rsidR="00BB59CD" w:rsidRDefault="00BB59CD" w:rsidP="00BB59CD">
      <w:pPr>
        <w:rPr>
          <w:rtl/>
        </w:rPr>
      </w:pPr>
      <w:bookmarkStart w:id="81762" w:name="_ETM_Q162_610894"/>
      <w:bookmarkStart w:id="81763" w:name="_ETM_Q162_610987"/>
      <w:bookmarkEnd w:id="81762"/>
      <w:bookmarkEnd w:id="81763"/>
    </w:p>
    <w:p w:rsidR="00BB59CD" w:rsidRDefault="00BB59CD" w:rsidP="00BB59CD">
      <w:pPr>
        <w:rPr>
          <w:rtl/>
        </w:rPr>
      </w:pPr>
      <w:bookmarkStart w:id="81764" w:name="_ETM_Q162_611013"/>
      <w:bookmarkStart w:id="81765" w:name="_ETM_Q162_611088"/>
      <w:bookmarkEnd w:id="81764"/>
      <w:bookmarkEnd w:id="81765"/>
      <w:r>
        <w:rPr>
          <w:rFonts w:hint="cs"/>
          <w:rtl/>
        </w:rPr>
        <w:t xml:space="preserve">כאשר </w:t>
      </w:r>
      <w:bookmarkStart w:id="81766" w:name="_ETM_Q162_612069"/>
      <w:bookmarkEnd w:id="81766"/>
      <w:r>
        <w:rPr>
          <w:rFonts w:hint="cs"/>
          <w:rtl/>
        </w:rPr>
        <w:t xml:space="preserve">כתבתי </w:t>
      </w:r>
      <w:bookmarkStart w:id="81767" w:name="_ETM_Q162_612609"/>
      <w:bookmarkEnd w:id="81767"/>
      <w:r>
        <w:rPr>
          <w:rFonts w:hint="cs"/>
          <w:rtl/>
        </w:rPr>
        <w:t xml:space="preserve">את </w:t>
      </w:r>
      <w:bookmarkStart w:id="81768" w:name="_ETM_Q162_612700"/>
      <w:bookmarkEnd w:id="81768"/>
      <w:r>
        <w:rPr>
          <w:rFonts w:hint="cs"/>
          <w:rtl/>
        </w:rPr>
        <w:t xml:space="preserve">המשפט </w:t>
      </w:r>
      <w:bookmarkStart w:id="81769" w:name="_ETM_Q162_613209"/>
      <w:bookmarkEnd w:id="81769"/>
      <w:r>
        <w:rPr>
          <w:rFonts w:hint="cs"/>
          <w:rtl/>
        </w:rPr>
        <w:t xml:space="preserve">האחרון </w:t>
      </w:r>
      <w:bookmarkStart w:id="81770" w:name="_ETM_Q162_613719"/>
      <w:bookmarkEnd w:id="81770"/>
      <w:r>
        <w:rPr>
          <w:rFonts w:hint="cs"/>
          <w:rtl/>
        </w:rPr>
        <w:t xml:space="preserve">בספר </w:t>
      </w:r>
      <w:bookmarkStart w:id="81771" w:name="_ETM_Q162_614230"/>
      <w:bookmarkEnd w:id="81771"/>
      <w:r>
        <w:rPr>
          <w:rFonts w:hint="cs"/>
          <w:rtl/>
        </w:rPr>
        <w:t xml:space="preserve">שלי </w:t>
      </w:r>
      <w:bookmarkStart w:id="81772" w:name="_ETM_Q162_614560"/>
      <w:bookmarkEnd w:id="81772"/>
      <w:r>
        <w:rPr>
          <w:rFonts w:hint="cs"/>
          <w:rtl/>
        </w:rPr>
        <w:t xml:space="preserve">"מפלגת </w:t>
      </w:r>
      <w:bookmarkStart w:id="81773" w:name="_ETM_Q162_615069"/>
      <w:bookmarkEnd w:id="81773"/>
      <w:r>
        <w:rPr>
          <w:rFonts w:hint="cs"/>
          <w:rtl/>
        </w:rPr>
        <w:t xml:space="preserve">בג"ץ" </w:t>
      </w:r>
      <w:bookmarkStart w:id="81774" w:name="_ETM_Q162_616709"/>
      <w:bookmarkEnd w:id="81774"/>
      <w:r>
        <w:rPr>
          <w:rFonts w:hint="cs"/>
          <w:rtl/>
        </w:rPr>
        <w:t xml:space="preserve">ציטטתי </w:t>
      </w:r>
      <w:bookmarkStart w:id="81775" w:name="_ETM_Q162_618329"/>
      <w:bookmarkEnd w:id="81775"/>
      <w:r>
        <w:rPr>
          <w:rFonts w:hint="cs"/>
          <w:rtl/>
        </w:rPr>
        <w:t xml:space="preserve">את </w:t>
      </w:r>
      <w:bookmarkStart w:id="81776" w:name="_ETM_Q162_618569"/>
      <w:bookmarkEnd w:id="81776"/>
      <w:r>
        <w:rPr>
          <w:rFonts w:hint="cs"/>
          <w:rtl/>
        </w:rPr>
        <w:t xml:space="preserve">השופט </w:t>
      </w:r>
      <w:bookmarkStart w:id="81777" w:name="_ETM_Q162_619079"/>
      <w:bookmarkEnd w:id="81777"/>
      <w:r>
        <w:rPr>
          <w:rFonts w:hint="cs"/>
          <w:rtl/>
        </w:rPr>
        <w:t xml:space="preserve">לנדאו - </w:t>
      </w:r>
      <w:bookmarkStart w:id="81778" w:name="_ETM_Q162_617912"/>
      <w:bookmarkEnd w:id="81778"/>
      <w:r>
        <w:rPr>
          <w:rFonts w:hint="cs"/>
          <w:rtl/>
        </w:rPr>
        <w:t xml:space="preserve">- </w:t>
      </w:r>
    </w:p>
    <w:p w:rsidR="00BB59CD" w:rsidRDefault="00BB59CD" w:rsidP="00BB59CD">
      <w:pPr>
        <w:rPr>
          <w:rtl/>
        </w:rPr>
      </w:pPr>
      <w:bookmarkStart w:id="81779" w:name="_ETM_Q162_618944"/>
      <w:bookmarkStart w:id="81780" w:name="_ETM_Q162_619047"/>
      <w:bookmarkEnd w:id="81779"/>
      <w:bookmarkEnd w:id="81780"/>
    </w:p>
    <w:p w:rsidR="00BB59CD" w:rsidRDefault="00BB59CD" w:rsidP="00BB59CD">
      <w:pPr>
        <w:pStyle w:val="af8"/>
        <w:keepNext/>
        <w:rPr>
          <w:rtl/>
        </w:rPr>
      </w:pPr>
      <w:bookmarkStart w:id="81781" w:name="_ETM_Q162_619087"/>
      <w:bookmarkStart w:id="81782" w:name="_ETM_Q162_619175"/>
      <w:bookmarkStart w:id="81783" w:name="ET_interruption_6127_21"/>
      <w:bookmarkEnd w:id="81781"/>
      <w:bookmarkEnd w:id="81782"/>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81783"/>
    </w:p>
    <w:p w:rsidR="00BB59CD" w:rsidRDefault="00BB59CD" w:rsidP="00337201">
      <w:pPr>
        <w:rPr>
          <w:rtl/>
          <w:lang w:eastAsia="he-IL"/>
        </w:rPr>
      </w:pPr>
    </w:p>
    <w:p w:rsidR="00BB59CD" w:rsidRDefault="00BB59CD" w:rsidP="00BB59CD">
      <w:pPr>
        <w:rPr>
          <w:rtl/>
          <w:lang w:eastAsia="he-IL"/>
        </w:rPr>
      </w:pPr>
      <w:bookmarkStart w:id="81784" w:name="_ETM_Q162_618097"/>
      <w:bookmarkStart w:id="81785" w:name="_ETM_Q162_618365"/>
      <w:bookmarkStart w:id="81786" w:name="_ETM_Q162_618426"/>
      <w:bookmarkEnd w:id="81784"/>
      <w:bookmarkEnd w:id="81785"/>
      <w:bookmarkEnd w:id="81786"/>
      <w:r>
        <w:rPr>
          <w:rFonts w:hint="cs"/>
          <w:rtl/>
          <w:lang w:eastAsia="he-IL"/>
        </w:rPr>
        <w:t>תמכור עוד כמה.</w:t>
      </w:r>
    </w:p>
    <w:p w:rsidR="00BB59CD" w:rsidRDefault="00BB59CD" w:rsidP="00BB59CD">
      <w:pPr>
        <w:rPr>
          <w:rtl/>
          <w:lang w:eastAsia="he-IL"/>
        </w:rPr>
      </w:pPr>
      <w:bookmarkStart w:id="81787" w:name="_ETM_Q162_615588"/>
      <w:bookmarkStart w:id="81788" w:name="_ETM_Q162_615662"/>
      <w:bookmarkEnd w:id="81787"/>
      <w:bookmarkEnd w:id="81788"/>
    </w:p>
    <w:p w:rsidR="009123FF" w:rsidRDefault="009123FF" w:rsidP="009123FF">
      <w:pPr>
        <w:pStyle w:val="-"/>
        <w:rPr>
          <w:rtl/>
        </w:rPr>
      </w:pPr>
      <w:bookmarkStart w:id="81789" w:name="_ETM_Q162_615685"/>
      <w:bookmarkStart w:id="81790" w:name="_ETM_Q162_615745"/>
      <w:bookmarkEnd w:id="81789"/>
      <w:bookmarkEnd w:id="81790"/>
      <w:r w:rsidRPr="00CB7C6D">
        <w:rPr>
          <w:rStyle w:val="TagStyle"/>
          <w:rtl/>
        </w:rPr>
        <w:t>&lt;&lt; דובר_המשך &gt;&gt;</w:t>
      </w:r>
      <w:r w:rsidRPr="00CB7C6D">
        <w:rPr>
          <w:rtl/>
        </w:rPr>
        <w:t>שמחה רוטמן (יו"ר ועדת החוקה, חוק ומשפט):</w:t>
      </w:r>
      <w:r w:rsidRPr="00CB7C6D">
        <w:rPr>
          <w:rStyle w:val="TagStyle"/>
          <w:rtl/>
        </w:rPr>
        <w:t xml:space="preserve">&lt;&lt; דובר_המשך &gt;&gt; </w:t>
      </w:r>
    </w:p>
    <w:p w:rsidR="009123FF" w:rsidRPr="00CB7C6D" w:rsidRDefault="009123FF" w:rsidP="009123FF">
      <w:pPr>
        <w:rPr>
          <w:rtl/>
          <w:lang w:eastAsia="he-IL"/>
        </w:rPr>
      </w:pPr>
    </w:p>
    <w:p w:rsidR="00BB59CD" w:rsidRDefault="00BB59CD" w:rsidP="00BB59CD">
      <w:pPr>
        <w:rPr>
          <w:rtl/>
        </w:rPr>
      </w:pPr>
      <w:bookmarkStart w:id="81791" w:name="_ETM_Q162_616437"/>
      <w:bookmarkStart w:id="81792" w:name="_ETM_Q162_621080"/>
      <w:bookmarkEnd w:id="81791"/>
      <w:bookmarkEnd w:id="81792"/>
      <w:r>
        <w:rPr>
          <w:rFonts w:hint="cs"/>
          <w:rtl/>
        </w:rPr>
        <w:t xml:space="preserve">- - שציטט </w:t>
      </w:r>
      <w:bookmarkStart w:id="81793" w:name="_ETM_Q162_621860"/>
      <w:bookmarkStart w:id="81794" w:name="_ETM_Q162_622010"/>
      <w:bookmarkEnd w:id="81793"/>
      <w:bookmarkEnd w:id="81794"/>
      <w:r>
        <w:rPr>
          <w:rFonts w:hint="cs"/>
          <w:rtl/>
        </w:rPr>
        <w:t xml:space="preserve">שופט </w:t>
      </w:r>
      <w:bookmarkStart w:id="81795" w:name="_ETM_Q162_622430"/>
      <w:bookmarkEnd w:id="81795"/>
      <w:r>
        <w:rPr>
          <w:rFonts w:hint="cs"/>
          <w:rtl/>
        </w:rPr>
        <w:t xml:space="preserve">אמריקאי. </w:t>
      </w:r>
      <w:bookmarkStart w:id="81796" w:name="_ETM_Q162_626500"/>
      <w:bookmarkEnd w:id="81796"/>
      <w:r>
        <w:rPr>
          <w:rFonts w:hint="cs"/>
          <w:rtl/>
        </w:rPr>
        <w:t xml:space="preserve">הוא </w:t>
      </w:r>
      <w:bookmarkStart w:id="81797" w:name="_ETM_Q162_626620"/>
      <w:bookmarkEnd w:id="81797"/>
      <w:r>
        <w:rPr>
          <w:rFonts w:hint="cs"/>
          <w:rtl/>
        </w:rPr>
        <w:t xml:space="preserve">ציטט </w:t>
      </w:r>
      <w:bookmarkStart w:id="81798" w:name="_ETM_Q162_626980"/>
      <w:bookmarkEnd w:id="81798"/>
      <w:r>
        <w:rPr>
          <w:rFonts w:hint="cs"/>
          <w:rtl/>
        </w:rPr>
        <w:t xml:space="preserve">שופט </w:t>
      </w:r>
      <w:bookmarkStart w:id="81799" w:name="_ETM_Q162_627340"/>
      <w:bookmarkEnd w:id="81799"/>
      <w:r>
        <w:rPr>
          <w:rFonts w:hint="cs"/>
          <w:rtl/>
        </w:rPr>
        <w:t xml:space="preserve">אמריקאי </w:t>
      </w:r>
      <w:bookmarkStart w:id="81800" w:name="_ETM_Q162_627909"/>
      <w:bookmarkEnd w:id="81800"/>
      <w:r>
        <w:rPr>
          <w:rFonts w:hint="cs"/>
          <w:rtl/>
        </w:rPr>
        <w:t xml:space="preserve">וכתב </w:t>
      </w:r>
      <w:bookmarkStart w:id="81801" w:name="_ETM_Q162_628450"/>
      <w:bookmarkEnd w:id="81801"/>
      <w:r>
        <w:rPr>
          <w:rFonts w:hint="cs"/>
          <w:rtl/>
        </w:rPr>
        <w:t xml:space="preserve">כך, </w:t>
      </w:r>
      <w:bookmarkStart w:id="81802" w:name="_ETM_Q162_628659"/>
      <w:bookmarkEnd w:id="81802"/>
      <w:r>
        <w:rPr>
          <w:rFonts w:hint="cs"/>
          <w:rtl/>
        </w:rPr>
        <w:t xml:space="preserve">וזה </w:t>
      </w:r>
      <w:bookmarkStart w:id="81803" w:name="_ETM_Q162_628870"/>
      <w:bookmarkEnd w:id="81803"/>
      <w:r>
        <w:rPr>
          <w:rFonts w:hint="cs"/>
          <w:rtl/>
        </w:rPr>
        <w:t xml:space="preserve">התרגום </w:t>
      </w:r>
      <w:bookmarkStart w:id="81804" w:name="_ETM_Q162_629319"/>
      <w:bookmarkEnd w:id="81804"/>
      <w:r>
        <w:rPr>
          <w:rFonts w:hint="cs"/>
          <w:rtl/>
        </w:rPr>
        <w:t>שלו</w:t>
      </w:r>
      <w:bookmarkStart w:id="81805" w:name="_ETM_Q162_631000"/>
      <w:bookmarkEnd w:id="81805"/>
      <w:r>
        <w:rPr>
          <w:rFonts w:hint="cs"/>
          <w:rtl/>
        </w:rPr>
        <w:t xml:space="preserve">: חברה </w:t>
      </w:r>
      <w:bookmarkStart w:id="81806" w:name="_ETM_Q162_631629"/>
      <w:bookmarkEnd w:id="81806"/>
      <w:r>
        <w:rPr>
          <w:rFonts w:hint="cs"/>
          <w:rtl/>
        </w:rPr>
        <w:t xml:space="preserve">שסועה </w:t>
      </w:r>
      <w:bookmarkStart w:id="81807" w:name="_ETM_Q162_632290"/>
      <w:bookmarkEnd w:id="81807"/>
      <w:r>
        <w:rPr>
          <w:rFonts w:hint="cs"/>
          <w:rtl/>
        </w:rPr>
        <w:t xml:space="preserve">עד </w:t>
      </w:r>
      <w:bookmarkStart w:id="81808" w:name="_ETM_Q162_632500"/>
      <w:bookmarkEnd w:id="81808"/>
      <w:r>
        <w:rPr>
          <w:rFonts w:hint="cs"/>
          <w:rtl/>
        </w:rPr>
        <w:t xml:space="preserve">כדי </w:t>
      </w:r>
      <w:bookmarkStart w:id="81809" w:name="_ETM_Q162_632800"/>
      <w:bookmarkEnd w:id="81809"/>
      <w:r>
        <w:rPr>
          <w:rFonts w:hint="cs"/>
          <w:rtl/>
        </w:rPr>
        <w:t xml:space="preserve">כך </w:t>
      </w:r>
      <w:bookmarkStart w:id="81810" w:name="_ETM_Q162_633750"/>
      <w:bookmarkEnd w:id="81810"/>
      <w:r>
        <w:rPr>
          <w:rFonts w:hint="cs"/>
          <w:rtl/>
        </w:rPr>
        <w:t xml:space="preserve">שרוח </w:t>
      </w:r>
      <w:bookmarkStart w:id="81811" w:name="_ETM_Q162_634349"/>
      <w:bookmarkEnd w:id="81811"/>
      <w:r>
        <w:rPr>
          <w:rFonts w:hint="cs"/>
          <w:rtl/>
        </w:rPr>
        <w:t xml:space="preserve">המתינות </w:t>
      </w:r>
      <w:bookmarkStart w:id="81812" w:name="_ETM_Q162_634950"/>
      <w:bookmarkEnd w:id="81812"/>
      <w:r>
        <w:rPr>
          <w:rFonts w:hint="cs"/>
          <w:rtl/>
        </w:rPr>
        <w:t xml:space="preserve">נסתלקה </w:t>
      </w:r>
      <w:bookmarkStart w:id="81813" w:name="_ETM_Q162_635520"/>
      <w:bookmarkEnd w:id="81813"/>
      <w:r>
        <w:rPr>
          <w:rFonts w:hint="cs"/>
          <w:rtl/>
        </w:rPr>
        <w:t xml:space="preserve">ממנה, </w:t>
      </w:r>
      <w:bookmarkStart w:id="81814" w:name="_ETM_Q162_636960"/>
      <w:bookmarkEnd w:id="81814"/>
      <w:r>
        <w:rPr>
          <w:rFonts w:hint="cs"/>
          <w:rtl/>
        </w:rPr>
        <w:t xml:space="preserve">שום </w:t>
      </w:r>
      <w:bookmarkStart w:id="81815" w:name="_ETM_Q162_637410"/>
      <w:bookmarkEnd w:id="81815"/>
      <w:r>
        <w:rPr>
          <w:rFonts w:hint="cs"/>
          <w:rtl/>
        </w:rPr>
        <w:t xml:space="preserve">בית </w:t>
      </w:r>
      <w:bookmarkStart w:id="81816" w:name="_ETM_Q162_637620"/>
      <w:bookmarkEnd w:id="81816"/>
      <w:r>
        <w:rPr>
          <w:rFonts w:hint="cs"/>
          <w:rtl/>
        </w:rPr>
        <w:t xml:space="preserve">משפט </w:t>
      </w:r>
      <w:bookmarkStart w:id="81817" w:name="_ETM_Q162_638340"/>
      <w:bookmarkEnd w:id="81817"/>
      <w:r>
        <w:rPr>
          <w:rFonts w:hint="cs"/>
          <w:rtl/>
        </w:rPr>
        <w:t xml:space="preserve">לא </w:t>
      </w:r>
      <w:bookmarkStart w:id="81818" w:name="_ETM_Q162_638550"/>
      <w:bookmarkEnd w:id="81818"/>
      <w:r>
        <w:rPr>
          <w:rFonts w:hint="cs"/>
          <w:rtl/>
        </w:rPr>
        <w:t xml:space="preserve">יוכל </w:t>
      </w:r>
      <w:bookmarkStart w:id="81819" w:name="_ETM_Q162_638880"/>
      <w:bookmarkEnd w:id="81819"/>
      <w:r>
        <w:rPr>
          <w:rFonts w:hint="cs"/>
          <w:rtl/>
        </w:rPr>
        <w:t xml:space="preserve">להציל </w:t>
      </w:r>
      <w:bookmarkStart w:id="81820" w:name="_ETM_Q162_639300"/>
      <w:bookmarkEnd w:id="81820"/>
      <w:r>
        <w:rPr>
          <w:rFonts w:hint="cs"/>
          <w:rtl/>
        </w:rPr>
        <w:t xml:space="preserve">אותה; </w:t>
      </w:r>
      <w:bookmarkStart w:id="81821" w:name="_ETM_Q162_641240"/>
      <w:bookmarkEnd w:id="81821"/>
      <w:r>
        <w:rPr>
          <w:rFonts w:hint="cs"/>
          <w:rtl/>
        </w:rPr>
        <w:t xml:space="preserve">חברה </w:t>
      </w:r>
      <w:bookmarkStart w:id="81822" w:name="_ETM_Q162_642080"/>
      <w:bookmarkEnd w:id="81822"/>
      <w:r>
        <w:rPr>
          <w:rFonts w:hint="cs"/>
          <w:rtl/>
        </w:rPr>
        <w:t xml:space="preserve">שבה חיה </w:t>
      </w:r>
      <w:bookmarkStart w:id="81823" w:name="_ETM_Q162_642860"/>
      <w:bookmarkEnd w:id="81823"/>
      <w:r>
        <w:rPr>
          <w:rFonts w:hint="cs"/>
          <w:rtl/>
        </w:rPr>
        <w:t xml:space="preserve">הרוח </w:t>
      </w:r>
      <w:bookmarkStart w:id="81824" w:name="_ETM_Q162_643220"/>
      <w:bookmarkEnd w:id="81824"/>
      <w:r>
        <w:rPr>
          <w:rFonts w:hint="cs"/>
          <w:rtl/>
        </w:rPr>
        <w:t xml:space="preserve">הזו, </w:t>
      </w:r>
      <w:bookmarkStart w:id="81825" w:name="_ETM_Q162_644340"/>
      <w:bookmarkEnd w:id="81825"/>
      <w:r>
        <w:rPr>
          <w:rFonts w:hint="cs"/>
          <w:rtl/>
        </w:rPr>
        <w:t xml:space="preserve">אין לה </w:t>
      </w:r>
      <w:bookmarkStart w:id="81826" w:name="_ETM_Q162_644550"/>
      <w:bookmarkEnd w:id="81826"/>
      <w:r>
        <w:rPr>
          <w:rFonts w:hint="cs"/>
          <w:rtl/>
        </w:rPr>
        <w:t xml:space="preserve">צורך </w:t>
      </w:r>
      <w:bookmarkStart w:id="81827" w:name="_ETM_Q162_645630"/>
      <w:bookmarkEnd w:id="81827"/>
      <w:r>
        <w:rPr>
          <w:rFonts w:hint="cs"/>
          <w:rtl/>
        </w:rPr>
        <w:t xml:space="preserve">שבית </w:t>
      </w:r>
      <w:bookmarkStart w:id="81828" w:name="_ETM_Q162_645989"/>
      <w:bookmarkEnd w:id="81828"/>
      <w:r>
        <w:rPr>
          <w:rFonts w:hint="cs"/>
          <w:rtl/>
        </w:rPr>
        <w:t xml:space="preserve">משפט </w:t>
      </w:r>
      <w:bookmarkStart w:id="81829" w:name="_ETM_Q162_646380"/>
      <w:bookmarkEnd w:id="81829"/>
      <w:r>
        <w:rPr>
          <w:rFonts w:hint="cs"/>
          <w:rtl/>
        </w:rPr>
        <w:t xml:space="preserve">יציל </w:t>
      </w:r>
      <w:bookmarkStart w:id="81830" w:name="_ETM_Q162_646709"/>
      <w:bookmarkEnd w:id="81830"/>
      <w:r>
        <w:rPr>
          <w:rFonts w:hint="cs"/>
          <w:rtl/>
        </w:rPr>
        <w:t xml:space="preserve">אותה; </w:t>
      </w:r>
      <w:bookmarkStart w:id="81831" w:name="_ETM_Q162_648000"/>
      <w:bookmarkEnd w:id="81831"/>
      <w:r>
        <w:rPr>
          <w:rFonts w:hint="cs"/>
          <w:rtl/>
        </w:rPr>
        <w:t xml:space="preserve">וחברה </w:t>
      </w:r>
      <w:bookmarkStart w:id="81832" w:name="_ETM_Q162_648689"/>
      <w:bookmarkEnd w:id="81832"/>
      <w:r>
        <w:rPr>
          <w:rFonts w:hint="cs"/>
          <w:rtl/>
        </w:rPr>
        <w:t xml:space="preserve">המתחמקת </w:t>
      </w:r>
      <w:bookmarkStart w:id="81833" w:name="_ETM_Q162_649470"/>
      <w:bookmarkEnd w:id="81833"/>
      <w:r>
        <w:rPr>
          <w:rFonts w:hint="cs"/>
          <w:rtl/>
        </w:rPr>
        <w:t xml:space="preserve">מאחריותה </w:t>
      </w:r>
      <w:bookmarkStart w:id="81834" w:name="_ETM_Q162_650250"/>
      <w:bookmarkEnd w:id="81834"/>
      <w:r>
        <w:rPr>
          <w:rFonts w:hint="cs"/>
          <w:rtl/>
        </w:rPr>
        <w:t xml:space="preserve">בהטילה </w:t>
      </w:r>
      <w:bookmarkStart w:id="81835" w:name="_ETM_Q162_650849"/>
      <w:bookmarkEnd w:id="81835"/>
      <w:r>
        <w:rPr>
          <w:rFonts w:hint="cs"/>
          <w:rtl/>
        </w:rPr>
        <w:t xml:space="preserve">על </w:t>
      </w:r>
      <w:bookmarkStart w:id="81836" w:name="_ETM_Q162_650939"/>
      <w:bookmarkEnd w:id="81836"/>
      <w:r>
        <w:rPr>
          <w:rFonts w:hint="cs"/>
          <w:rtl/>
        </w:rPr>
        <w:t xml:space="preserve">בתי </w:t>
      </w:r>
      <w:bookmarkStart w:id="81837" w:name="_ETM_Q162_651239"/>
      <w:bookmarkEnd w:id="81837"/>
      <w:r>
        <w:rPr>
          <w:rFonts w:hint="cs"/>
          <w:rtl/>
        </w:rPr>
        <w:t xml:space="preserve">המשפט </w:t>
      </w:r>
      <w:bookmarkStart w:id="81838" w:name="_ETM_Q162_652569"/>
      <w:bookmarkEnd w:id="81838"/>
      <w:r>
        <w:rPr>
          <w:rFonts w:hint="cs"/>
          <w:rtl/>
        </w:rPr>
        <w:t xml:space="preserve">את </w:t>
      </w:r>
      <w:bookmarkStart w:id="81839" w:name="_ETM_Q162_653717"/>
      <w:bookmarkEnd w:id="81839"/>
      <w:r>
        <w:rPr>
          <w:rFonts w:hint="cs"/>
          <w:rtl/>
        </w:rPr>
        <w:t xml:space="preserve">טיפות </w:t>
      </w:r>
      <w:bookmarkStart w:id="81840" w:name="_ETM_Q162_653109"/>
      <w:bookmarkEnd w:id="81840"/>
      <w:r>
        <w:rPr>
          <w:rFonts w:hint="cs"/>
          <w:rtl/>
        </w:rPr>
        <w:t xml:space="preserve">הרוח </w:t>
      </w:r>
      <w:bookmarkStart w:id="81841" w:name="_ETM_Q162_653499"/>
      <w:bookmarkEnd w:id="81841"/>
      <w:r>
        <w:rPr>
          <w:rFonts w:hint="cs"/>
          <w:rtl/>
        </w:rPr>
        <w:t xml:space="preserve">הזו, </w:t>
      </w:r>
      <w:bookmarkStart w:id="81842" w:name="_ETM_Q162_654670"/>
      <w:bookmarkEnd w:id="81842"/>
      <w:r>
        <w:rPr>
          <w:rFonts w:hint="cs"/>
          <w:rtl/>
        </w:rPr>
        <w:t xml:space="preserve">סופה </w:t>
      </w:r>
      <w:bookmarkStart w:id="81843" w:name="_ETM_Q162_655150"/>
      <w:bookmarkEnd w:id="81843"/>
      <w:r>
        <w:rPr>
          <w:rFonts w:hint="cs"/>
          <w:rtl/>
        </w:rPr>
        <w:t xml:space="preserve">שהרוח </w:t>
      </w:r>
      <w:bookmarkStart w:id="81844" w:name="_ETM_Q162_655690"/>
      <w:bookmarkEnd w:id="81844"/>
      <w:r>
        <w:rPr>
          <w:rFonts w:hint="cs"/>
          <w:rtl/>
        </w:rPr>
        <w:t xml:space="preserve">הזו </w:t>
      </w:r>
      <w:bookmarkStart w:id="81845" w:name="_ETM_Q162_656300"/>
      <w:bookmarkEnd w:id="81845"/>
      <w:r>
        <w:rPr>
          <w:rFonts w:hint="cs"/>
          <w:rtl/>
        </w:rPr>
        <w:t xml:space="preserve">תגווע בה. </w:t>
      </w:r>
      <w:bookmarkStart w:id="81846" w:name="_ETM_Q162_656750"/>
      <w:bookmarkEnd w:id="81846"/>
    </w:p>
    <w:p w:rsidR="00BB59CD" w:rsidRDefault="00BB59CD" w:rsidP="00BB59CD">
      <w:pPr>
        <w:rPr>
          <w:rtl/>
        </w:rPr>
      </w:pPr>
      <w:bookmarkStart w:id="81847" w:name="_ETM_Q162_655949"/>
      <w:bookmarkStart w:id="81848" w:name="_ETM_Q162_656044"/>
      <w:bookmarkEnd w:id="81847"/>
      <w:bookmarkEnd w:id="81848"/>
    </w:p>
    <w:p w:rsidR="00BB59CD" w:rsidRDefault="00BB59CD" w:rsidP="00BB59CD">
      <w:pPr>
        <w:rPr>
          <w:rtl/>
        </w:rPr>
      </w:pPr>
      <w:bookmarkStart w:id="81849" w:name="_ETM_Q162_656069"/>
      <w:bookmarkStart w:id="81850" w:name="_ETM_Q162_656165"/>
      <w:bookmarkEnd w:id="81849"/>
      <w:bookmarkEnd w:id="81850"/>
      <w:r>
        <w:rPr>
          <w:rFonts w:hint="cs"/>
          <w:rtl/>
        </w:rPr>
        <w:t xml:space="preserve">במשך </w:t>
      </w:r>
      <w:bookmarkStart w:id="81851" w:name="_ETM_Q162_658420"/>
      <w:bookmarkEnd w:id="81851"/>
      <w:r>
        <w:rPr>
          <w:rFonts w:hint="cs"/>
          <w:rtl/>
        </w:rPr>
        <w:t xml:space="preserve">יותר </w:t>
      </w:r>
      <w:bookmarkStart w:id="81852" w:name="_ETM_Q162_658900"/>
      <w:bookmarkEnd w:id="81852"/>
      <w:r>
        <w:rPr>
          <w:rFonts w:hint="cs"/>
          <w:rtl/>
        </w:rPr>
        <w:t xml:space="preserve">מדי </w:t>
      </w:r>
      <w:bookmarkStart w:id="81853" w:name="_ETM_Q162_659349"/>
      <w:bookmarkEnd w:id="81853"/>
      <w:r>
        <w:rPr>
          <w:rFonts w:hint="cs"/>
          <w:rtl/>
        </w:rPr>
        <w:t xml:space="preserve">זמן </w:t>
      </w:r>
      <w:bookmarkStart w:id="81854" w:name="_ETM_Q162_659709"/>
      <w:bookmarkEnd w:id="81854"/>
      <w:r>
        <w:rPr>
          <w:rFonts w:hint="cs"/>
          <w:rtl/>
        </w:rPr>
        <w:t xml:space="preserve">אנחנו </w:t>
      </w:r>
      <w:bookmarkStart w:id="81855" w:name="_ETM_Q162_660160"/>
      <w:bookmarkEnd w:id="81855"/>
      <w:r>
        <w:rPr>
          <w:rFonts w:hint="cs"/>
          <w:rtl/>
        </w:rPr>
        <w:t xml:space="preserve">כאן </w:t>
      </w:r>
      <w:bookmarkStart w:id="81856" w:name="_ETM_Q162_660430"/>
      <w:bookmarkEnd w:id="81856"/>
      <w:r>
        <w:rPr>
          <w:rFonts w:hint="cs"/>
          <w:rtl/>
        </w:rPr>
        <w:t xml:space="preserve">בכנסת </w:t>
      </w:r>
      <w:bookmarkStart w:id="81857" w:name="_ETM_Q162_662450"/>
      <w:bookmarkEnd w:id="81857"/>
      <w:r>
        <w:rPr>
          <w:rFonts w:hint="cs"/>
          <w:rtl/>
        </w:rPr>
        <w:t xml:space="preserve">עשינו </w:t>
      </w:r>
      <w:bookmarkStart w:id="81858" w:name="_ETM_Q162_663410"/>
      <w:bookmarkEnd w:id="81858"/>
      <w:r>
        <w:rPr>
          <w:rFonts w:hint="cs"/>
          <w:rtl/>
        </w:rPr>
        <w:t xml:space="preserve">אאוטסורסינג </w:t>
      </w:r>
      <w:bookmarkStart w:id="81859" w:name="_ETM_Q162_665260"/>
      <w:bookmarkEnd w:id="81859"/>
      <w:r>
        <w:rPr>
          <w:rFonts w:hint="cs"/>
          <w:rtl/>
        </w:rPr>
        <w:t xml:space="preserve">לטיפוח </w:t>
      </w:r>
      <w:bookmarkStart w:id="81860" w:name="_ETM_Q162_666220"/>
      <w:bookmarkEnd w:id="81860"/>
      <w:r>
        <w:rPr>
          <w:rFonts w:hint="cs"/>
          <w:rtl/>
        </w:rPr>
        <w:t xml:space="preserve">רוח </w:t>
      </w:r>
      <w:bookmarkStart w:id="81861" w:name="_ETM_Q162_666580"/>
      <w:bookmarkEnd w:id="81861"/>
      <w:r>
        <w:rPr>
          <w:rFonts w:hint="cs"/>
          <w:rtl/>
        </w:rPr>
        <w:t xml:space="preserve">המתינות. </w:t>
      </w:r>
      <w:bookmarkStart w:id="81862" w:name="_ETM_Q162_668020"/>
      <w:bookmarkEnd w:id="81862"/>
      <w:r>
        <w:rPr>
          <w:rFonts w:hint="cs"/>
          <w:rtl/>
        </w:rPr>
        <w:t xml:space="preserve">אנחנו </w:t>
      </w:r>
      <w:bookmarkStart w:id="81863" w:name="_ETM_Q162_668530"/>
      <w:bookmarkEnd w:id="81863"/>
      <w:r>
        <w:rPr>
          <w:rFonts w:hint="cs"/>
          <w:rtl/>
        </w:rPr>
        <w:t xml:space="preserve">אמרנו </w:t>
      </w:r>
      <w:bookmarkStart w:id="81864" w:name="_ETM_Q162_668950"/>
      <w:bookmarkEnd w:id="81864"/>
      <w:r>
        <w:rPr>
          <w:rFonts w:hint="cs"/>
          <w:rtl/>
        </w:rPr>
        <w:t xml:space="preserve">לעצמנו: </w:t>
      </w:r>
      <w:bookmarkStart w:id="81865" w:name="_ETM_Q162_670450"/>
      <w:bookmarkEnd w:id="81865"/>
      <w:r>
        <w:rPr>
          <w:rFonts w:hint="cs"/>
          <w:rtl/>
        </w:rPr>
        <w:t xml:space="preserve">אנחנו </w:t>
      </w:r>
      <w:bookmarkStart w:id="81866" w:name="_ETM_Q162_670900"/>
      <w:bookmarkEnd w:id="81866"/>
      <w:r>
        <w:rPr>
          <w:rFonts w:hint="cs"/>
          <w:rtl/>
        </w:rPr>
        <w:t xml:space="preserve">נשתולל </w:t>
      </w:r>
      <w:bookmarkStart w:id="81867" w:name="_ETM_Q162_671440"/>
      <w:bookmarkEnd w:id="81867"/>
      <w:r>
        <w:rPr>
          <w:rFonts w:hint="cs"/>
          <w:rtl/>
        </w:rPr>
        <w:t xml:space="preserve">כאן </w:t>
      </w:r>
      <w:bookmarkStart w:id="81868" w:name="_ETM_Q162_672569"/>
      <w:bookmarkEnd w:id="81868"/>
      <w:r>
        <w:rPr>
          <w:rFonts w:hint="cs"/>
          <w:rtl/>
        </w:rPr>
        <w:t xml:space="preserve">ומישהו, </w:t>
      </w:r>
      <w:bookmarkStart w:id="81869" w:name="_ETM_Q162_673200"/>
      <w:bookmarkEnd w:id="81869"/>
      <w:r>
        <w:rPr>
          <w:rFonts w:hint="cs"/>
          <w:rtl/>
        </w:rPr>
        <w:t xml:space="preserve">מבוגר </w:t>
      </w:r>
      <w:bookmarkStart w:id="81870" w:name="_ETM_Q162_673650"/>
      <w:bookmarkEnd w:id="81870"/>
      <w:r>
        <w:rPr>
          <w:rFonts w:hint="cs"/>
          <w:rtl/>
        </w:rPr>
        <w:t xml:space="preserve">אחראי, </w:t>
      </w:r>
      <w:bookmarkStart w:id="81871" w:name="_ETM_Q162_674040"/>
      <w:bookmarkEnd w:id="81871"/>
      <w:r>
        <w:rPr>
          <w:rFonts w:hint="cs"/>
          <w:rtl/>
        </w:rPr>
        <w:t xml:space="preserve">כבר </w:t>
      </w:r>
      <w:bookmarkStart w:id="81872" w:name="_ETM_Q162_674279"/>
      <w:bookmarkEnd w:id="81872"/>
      <w:r>
        <w:rPr>
          <w:rFonts w:hint="cs"/>
          <w:rtl/>
        </w:rPr>
        <w:t xml:space="preserve">ידאג </w:t>
      </w:r>
      <w:bookmarkStart w:id="81873" w:name="_ETM_Q162_674579"/>
      <w:bookmarkEnd w:id="81873"/>
      <w:r>
        <w:rPr>
          <w:rFonts w:hint="cs"/>
          <w:rtl/>
        </w:rPr>
        <w:t xml:space="preserve">להכול </w:t>
      </w:r>
      <w:bookmarkStart w:id="81874" w:name="_ETM_Q162_674909"/>
      <w:bookmarkEnd w:id="81874"/>
      <w:r>
        <w:rPr>
          <w:rFonts w:hint="cs"/>
          <w:rtl/>
        </w:rPr>
        <w:t xml:space="preserve">בחוץ; </w:t>
      </w:r>
      <w:bookmarkStart w:id="81875" w:name="_ETM_Q162_676290"/>
      <w:bookmarkEnd w:id="81875"/>
      <w:r>
        <w:rPr>
          <w:rFonts w:hint="cs"/>
          <w:rtl/>
        </w:rPr>
        <w:t xml:space="preserve">אנחנו </w:t>
      </w:r>
      <w:bookmarkStart w:id="81876" w:name="_ETM_Q162_676770"/>
      <w:bookmarkEnd w:id="81876"/>
      <w:r>
        <w:rPr>
          <w:rFonts w:hint="cs"/>
          <w:rtl/>
        </w:rPr>
        <w:t xml:space="preserve">נחוקק </w:t>
      </w:r>
      <w:bookmarkStart w:id="81877" w:name="_ETM_Q162_677400"/>
      <w:bookmarkEnd w:id="81877"/>
      <w:r>
        <w:rPr>
          <w:rFonts w:hint="cs"/>
          <w:rtl/>
        </w:rPr>
        <w:t xml:space="preserve">כאן </w:t>
      </w:r>
      <w:bookmarkStart w:id="81878" w:name="_ETM_Q162_678320"/>
      <w:bookmarkEnd w:id="81878"/>
      <w:r>
        <w:rPr>
          <w:rFonts w:hint="cs"/>
          <w:rtl/>
        </w:rPr>
        <w:t xml:space="preserve">ובג"ץ </w:t>
      </w:r>
      <w:bookmarkStart w:id="81879" w:name="_ETM_Q162_678950"/>
      <w:bookmarkEnd w:id="81879"/>
      <w:r>
        <w:rPr>
          <w:rFonts w:hint="cs"/>
          <w:rtl/>
        </w:rPr>
        <w:t xml:space="preserve">יבטל; </w:t>
      </w:r>
      <w:bookmarkStart w:id="81880" w:name="_ETM_Q162_680499"/>
      <w:bookmarkEnd w:id="81880"/>
      <w:r>
        <w:rPr>
          <w:rFonts w:hint="cs"/>
          <w:rtl/>
        </w:rPr>
        <w:t xml:space="preserve">הממשלה </w:t>
      </w:r>
      <w:bookmarkStart w:id="81881" w:name="_ETM_Q162_681189"/>
      <w:bookmarkEnd w:id="81881"/>
      <w:r>
        <w:rPr>
          <w:rFonts w:hint="cs"/>
          <w:rtl/>
        </w:rPr>
        <w:t xml:space="preserve">תקבל </w:t>
      </w:r>
      <w:bookmarkStart w:id="81882" w:name="_ETM_Q162_681669"/>
      <w:bookmarkEnd w:id="81882"/>
      <w:r>
        <w:rPr>
          <w:rFonts w:hint="cs"/>
          <w:rtl/>
        </w:rPr>
        <w:t xml:space="preserve">החלטה </w:t>
      </w:r>
      <w:bookmarkStart w:id="81883" w:name="_ETM_Q162_683219"/>
      <w:bookmarkEnd w:id="81883"/>
      <w:r>
        <w:rPr>
          <w:rFonts w:hint="cs"/>
          <w:rtl/>
        </w:rPr>
        <w:t xml:space="preserve">ובג"ץ </w:t>
      </w:r>
      <w:bookmarkStart w:id="81884" w:name="_ETM_Q162_683819"/>
      <w:bookmarkEnd w:id="81884"/>
      <w:r>
        <w:rPr>
          <w:rFonts w:hint="cs"/>
          <w:rtl/>
        </w:rPr>
        <w:t xml:space="preserve">יתערב. </w:t>
      </w:r>
      <w:bookmarkStart w:id="81885" w:name="_ETM_Q162_686010"/>
      <w:bookmarkEnd w:id="81885"/>
    </w:p>
    <w:p w:rsidR="00BB59CD" w:rsidRDefault="00BB59CD" w:rsidP="00BB59CD">
      <w:pPr>
        <w:rPr>
          <w:rtl/>
        </w:rPr>
      </w:pPr>
      <w:bookmarkStart w:id="81886" w:name="_ETM_Q162_682432"/>
      <w:bookmarkStart w:id="81887" w:name="_ETM_Q162_682547"/>
      <w:bookmarkEnd w:id="81886"/>
      <w:bookmarkEnd w:id="81887"/>
    </w:p>
    <w:p w:rsidR="00BB59CD" w:rsidRDefault="00BB59CD" w:rsidP="00BB59CD">
      <w:pPr>
        <w:pStyle w:val="af8"/>
        <w:keepNext/>
        <w:rPr>
          <w:rtl/>
        </w:rPr>
      </w:pPr>
      <w:bookmarkStart w:id="81888" w:name="_ETM_Q162_682576"/>
      <w:bookmarkStart w:id="81889" w:name="_ETM_Q162_682668"/>
      <w:bookmarkStart w:id="81890" w:name="ET_interruption_6151_24"/>
      <w:bookmarkEnd w:id="81888"/>
      <w:bookmarkEnd w:id="81889"/>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1890"/>
    </w:p>
    <w:p w:rsidR="00BB59CD" w:rsidRDefault="00BB59CD" w:rsidP="00BB59CD">
      <w:pPr>
        <w:ind w:firstLine="0"/>
        <w:rPr>
          <w:rtl/>
          <w:lang w:eastAsia="he-IL"/>
        </w:rPr>
      </w:pPr>
      <w:bookmarkStart w:id="81891" w:name="_ETM_Q162_680532"/>
      <w:bookmarkStart w:id="81892" w:name="_ETM_Q162_680827"/>
      <w:bookmarkStart w:id="81893" w:name="_ETM_Q162_680910"/>
      <w:bookmarkEnd w:id="81891"/>
      <w:bookmarkEnd w:id="81892"/>
      <w:bookmarkEnd w:id="81893"/>
    </w:p>
    <w:p w:rsidR="00BB59CD" w:rsidRDefault="00BB59CD" w:rsidP="00BB59CD">
      <w:pPr>
        <w:rPr>
          <w:rtl/>
        </w:rPr>
      </w:pPr>
      <w:bookmarkStart w:id="81894" w:name="_ETM_Q162_682719"/>
      <w:bookmarkStart w:id="81895" w:name="_ETM_Q162_682791"/>
      <w:bookmarkEnd w:id="81894"/>
      <w:bookmarkEnd w:id="81895"/>
      <w:r>
        <w:rPr>
          <w:rFonts w:hint="cs"/>
          <w:rtl/>
        </w:rPr>
        <w:t xml:space="preserve">למה אתה לא אומר - - - אתה לא </w:t>
      </w:r>
      <w:bookmarkStart w:id="81896" w:name="_ETM_Q162_684889"/>
      <w:bookmarkEnd w:id="81896"/>
      <w:r>
        <w:rPr>
          <w:rFonts w:hint="cs"/>
          <w:rtl/>
        </w:rPr>
        <w:t xml:space="preserve">רואה מה שאתה עושה למדינה. </w:t>
      </w:r>
    </w:p>
    <w:p w:rsidR="00BB59CD" w:rsidRDefault="00BB59CD" w:rsidP="00BB59CD">
      <w:pPr>
        <w:rPr>
          <w:rtl/>
        </w:rPr>
      </w:pPr>
      <w:bookmarkStart w:id="81897" w:name="_ETM_Q162_682288"/>
      <w:bookmarkEnd w:id="81897"/>
    </w:p>
    <w:p w:rsidR="009123FF" w:rsidRDefault="009123FF" w:rsidP="009123FF">
      <w:pPr>
        <w:pStyle w:val="-"/>
        <w:rPr>
          <w:rtl/>
        </w:rPr>
      </w:pPr>
      <w:bookmarkStart w:id="81898" w:name="_ETM_Q162_682455"/>
      <w:bookmarkStart w:id="81899" w:name="_ETM_Q162_682480"/>
      <w:bookmarkStart w:id="81900" w:name="_ETM_Q162_682533"/>
      <w:bookmarkEnd w:id="81898"/>
      <w:bookmarkEnd w:id="81899"/>
      <w:bookmarkEnd w:id="81900"/>
      <w:r w:rsidRPr="00CB7C6D">
        <w:rPr>
          <w:rStyle w:val="TagStyle"/>
          <w:rtl/>
        </w:rPr>
        <w:t>&lt;&lt; דובר_המשך &gt;&gt;</w:t>
      </w:r>
      <w:r w:rsidRPr="00CB7C6D">
        <w:rPr>
          <w:rtl/>
        </w:rPr>
        <w:t>שמחה רוטמן (יו"ר ועדת החוקה, חוק ומשפט):</w:t>
      </w:r>
      <w:r w:rsidRPr="00CB7C6D">
        <w:rPr>
          <w:rStyle w:val="TagStyle"/>
          <w:rtl/>
        </w:rPr>
        <w:t xml:space="preserve">&lt;&lt; דובר_המשך &gt;&gt; </w:t>
      </w:r>
    </w:p>
    <w:p w:rsidR="009123FF" w:rsidRPr="00CB7C6D" w:rsidRDefault="009123FF" w:rsidP="009123FF">
      <w:pPr>
        <w:rPr>
          <w:rtl/>
          <w:lang w:eastAsia="he-IL"/>
        </w:rPr>
      </w:pPr>
    </w:p>
    <w:p w:rsidR="00BB59CD" w:rsidRDefault="00BB59CD" w:rsidP="00BB59CD">
      <w:pPr>
        <w:rPr>
          <w:rtl/>
        </w:rPr>
      </w:pPr>
      <w:bookmarkStart w:id="81901" w:name="_ETM_Q162_683288"/>
      <w:bookmarkStart w:id="81902" w:name="_ETM_Q162_682863"/>
      <w:bookmarkStart w:id="81903" w:name="_ETM_Q162_682928"/>
      <w:bookmarkEnd w:id="81901"/>
      <w:bookmarkEnd w:id="81902"/>
      <w:bookmarkEnd w:id="81903"/>
      <w:r>
        <w:rPr>
          <w:rFonts w:hint="cs"/>
          <w:rtl/>
        </w:rPr>
        <w:t xml:space="preserve">יותר </w:t>
      </w:r>
      <w:bookmarkStart w:id="81904" w:name="_ETM_Q162_686790"/>
      <w:bookmarkEnd w:id="81904"/>
      <w:r>
        <w:rPr>
          <w:rFonts w:hint="cs"/>
          <w:rtl/>
        </w:rPr>
        <w:t xml:space="preserve">מדי </w:t>
      </w:r>
      <w:bookmarkStart w:id="81905" w:name="_ETM_Q162_687299"/>
      <w:bookmarkEnd w:id="81905"/>
      <w:r>
        <w:rPr>
          <w:rFonts w:hint="cs"/>
          <w:rtl/>
        </w:rPr>
        <w:t xml:space="preserve">זמן </w:t>
      </w:r>
      <w:bookmarkStart w:id="81906" w:name="_ETM_Q162_688330"/>
      <w:bookmarkEnd w:id="81906"/>
      <w:r>
        <w:rPr>
          <w:rFonts w:hint="cs"/>
          <w:rtl/>
        </w:rPr>
        <w:t xml:space="preserve">עשינו </w:t>
      </w:r>
      <w:bookmarkStart w:id="81907" w:name="_ETM_Q162_689170"/>
      <w:bookmarkEnd w:id="81907"/>
      <w:r>
        <w:rPr>
          <w:rFonts w:hint="cs"/>
          <w:rtl/>
        </w:rPr>
        <w:t xml:space="preserve">את </w:t>
      </w:r>
      <w:bookmarkStart w:id="81908" w:name="_ETM_Q162_689380"/>
      <w:bookmarkEnd w:id="81908"/>
      <w:r>
        <w:rPr>
          <w:rFonts w:hint="cs"/>
          <w:rtl/>
        </w:rPr>
        <w:t xml:space="preserve">הדבר </w:t>
      </w:r>
      <w:bookmarkStart w:id="81909" w:name="_ETM_Q162_689800"/>
      <w:bookmarkEnd w:id="81909"/>
      <w:r>
        <w:rPr>
          <w:rFonts w:hint="cs"/>
          <w:rtl/>
        </w:rPr>
        <w:t xml:space="preserve">הזה, </w:t>
      </w:r>
      <w:bookmarkStart w:id="81910" w:name="_ETM_Q162_692349"/>
      <w:bookmarkStart w:id="81911" w:name="_ETM_Q162_692559"/>
      <w:bookmarkEnd w:id="81910"/>
      <w:bookmarkEnd w:id="81911"/>
      <w:r>
        <w:rPr>
          <w:rFonts w:hint="cs"/>
          <w:rtl/>
        </w:rPr>
        <w:t xml:space="preserve">והתוצאה </w:t>
      </w:r>
      <w:bookmarkStart w:id="81912" w:name="_ETM_Q162_693159"/>
      <w:bookmarkEnd w:id="81912"/>
      <w:r>
        <w:rPr>
          <w:rFonts w:hint="cs"/>
          <w:rtl/>
        </w:rPr>
        <w:t xml:space="preserve">של </w:t>
      </w:r>
      <w:bookmarkStart w:id="81913" w:name="_ETM_Q162_693400"/>
      <w:bookmarkEnd w:id="81913"/>
      <w:r>
        <w:rPr>
          <w:rFonts w:hint="cs"/>
          <w:rtl/>
        </w:rPr>
        <w:t xml:space="preserve">הדבר </w:t>
      </w:r>
      <w:bookmarkStart w:id="81914" w:name="_ETM_Q162_693790"/>
      <w:bookmarkEnd w:id="81914"/>
      <w:r>
        <w:rPr>
          <w:rFonts w:hint="cs"/>
          <w:rtl/>
        </w:rPr>
        <w:t xml:space="preserve">הזה </w:t>
      </w:r>
      <w:bookmarkStart w:id="81915" w:name="_ETM_Q162_694059"/>
      <w:bookmarkEnd w:id="81915"/>
      <w:r>
        <w:rPr>
          <w:rFonts w:hint="cs"/>
          <w:rtl/>
        </w:rPr>
        <w:t xml:space="preserve">לא </w:t>
      </w:r>
      <w:bookmarkStart w:id="81916" w:name="_ETM_Q162_694299"/>
      <w:bookmarkEnd w:id="81916"/>
      <w:r>
        <w:rPr>
          <w:rFonts w:hint="cs"/>
          <w:rtl/>
        </w:rPr>
        <w:t xml:space="preserve">הובילה </w:t>
      </w:r>
      <w:bookmarkStart w:id="81917" w:name="_ETM_Q162_694900"/>
      <w:bookmarkEnd w:id="81917"/>
      <w:r>
        <w:rPr>
          <w:rFonts w:hint="cs"/>
          <w:rtl/>
        </w:rPr>
        <w:t xml:space="preserve">ליותר </w:t>
      </w:r>
      <w:bookmarkStart w:id="81918" w:name="_ETM_Q162_695349"/>
      <w:bookmarkEnd w:id="81918"/>
      <w:r>
        <w:rPr>
          <w:rFonts w:hint="cs"/>
          <w:rtl/>
        </w:rPr>
        <w:t xml:space="preserve">מתינות. </w:t>
      </w:r>
      <w:bookmarkStart w:id="81919" w:name="_ETM_Q162_696900"/>
      <w:bookmarkEnd w:id="81919"/>
      <w:r>
        <w:rPr>
          <w:rFonts w:hint="cs"/>
          <w:rtl/>
        </w:rPr>
        <w:t xml:space="preserve">התוצאה </w:t>
      </w:r>
      <w:bookmarkStart w:id="81920" w:name="_ETM_Q162_697590"/>
      <w:bookmarkEnd w:id="81920"/>
      <w:r>
        <w:rPr>
          <w:rFonts w:hint="cs"/>
          <w:rtl/>
        </w:rPr>
        <w:t xml:space="preserve">של </w:t>
      </w:r>
      <w:bookmarkStart w:id="81921" w:name="_ETM_Q162_697830"/>
      <w:bookmarkEnd w:id="81921"/>
      <w:r>
        <w:rPr>
          <w:rFonts w:hint="cs"/>
          <w:rtl/>
        </w:rPr>
        <w:t xml:space="preserve">הדבר </w:t>
      </w:r>
      <w:bookmarkStart w:id="81922" w:name="_ETM_Q162_698280"/>
      <w:bookmarkEnd w:id="81922"/>
      <w:r>
        <w:rPr>
          <w:rFonts w:hint="cs"/>
          <w:rtl/>
        </w:rPr>
        <w:t xml:space="preserve">הזה </w:t>
      </w:r>
      <w:bookmarkStart w:id="81923" w:name="_ETM_Q162_699180"/>
      <w:bookmarkEnd w:id="81923"/>
      <w:r>
        <w:rPr>
          <w:rFonts w:hint="cs"/>
          <w:rtl/>
        </w:rPr>
        <w:t>הובילה להקצנה.</w:t>
      </w:r>
    </w:p>
    <w:p w:rsidR="00BB59CD" w:rsidRDefault="00BB59CD" w:rsidP="00BB59CD">
      <w:pPr>
        <w:rPr>
          <w:rtl/>
        </w:rPr>
      </w:pPr>
      <w:bookmarkStart w:id="81924" w:name="_ETM_Q162_696748"/>
      <w:bookmarkStart w:id="81925" w:name="_ETM_Q162_696883"/>
      <w:bookmarkEnd w:id="81924"/>
      <w:bookmarkEnd w:id="81925"/>
    </w:p>
    <w:p w:rsidR="00BB59CD" w:rsidRDefault="00BB59CD" w:rsidP="00BB59CD">
      <w:pPr>
        <w:pStyle w:val="af8"/>
        <w:keepNext/>
        <w:rPr>
          <w:rtl/>
        </w:rPr>
      </w:pPr>
      <w:bookmarkStart w:id="81926" w:name="_ETM_Q162_696919"/>
      <w:bookmarkStart w:id="81927" w:name="_ETM_Q162_697020"/>
      <w:bookmarkStart w:id="81928" w:name="_ETM_Q162_697035"/>
      <w:bookmarkStart w:id="81929" w:name="ET_interruption_5109_25"/>
      <w:bookmarkEnd w:id="81926"/>
      <w:bookmarkEnd w:id="81927"/>
      <w:bookmarkEnd w:id="81928"/>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81929"/>
    </w:p>
    <w:p w:rsidR="00BB59CD" w:rsidRDefault="00BB59CD" w:rsidP="00337201">
      <w:pPr>
        <w:rPr>
          <w:rtl/>
          <w:lang w:eastAsia="he-IL"/>
        </w:rPr>
      </w:pPr>
    </w:p>
    <w:p w:rsidR="00BB59CD" w:rsidRDefault="00BB59CD" w:rsidP="00BB59CD">
      <w:pPr>
        <w:rPr>
          <w:rtl/>
          <w:lang w:eastAsia="he-IL"/>
        </w:rPr>
      </w:pPr>
      <w:bookmarkStart w:id="81930" w:name="_ETM_Q162_699669"/>
      <w:bookmarkStart w:id="81931" w:name="_ETM_Q162_699940"/>
      <w:bookmarkStart w:id="81932" w:name="_ETM_Q162_700007"/>
      <w:bookmarkEnd w:id="81930"/>
      <w:bookmarkEnd w:id="81931"/>
      <w:bookmarkEnd w:id="81932"/>
      <w:r>
        <w:rPr>
          <w:rFonts w:hint="cs"/>
          <w:rtl/>
          <w:lang w:eastAsia="he-IL"/>
        </w:rPr>
        <w:t xml:space="preserve">- - - לא מתגלח. זרוק את הזקן </w:t>
      </w:r>
      <w:bookmarkStart w:id="81933" w:name="_ETM_Q162_701546"/>
      <w:bookmarkEnd w:id="81933"/>
      <w:r>
        <w:rPr>
          <w:rFonts w:hint="cs"/>
          <w:rtl/>
          <w:lang w:eastAsia="he-IL"/>
        </w:rPr>
        <w:t>שלך. תתבייש.</w:t>
      </w:r>
    </w:p>
    <w:p w:rsidR="00BB59CD" w:rsidRDefault="00BB59CD" w:rsidP="00BB59CD">
      <w:pPr>
        <w:rPr>
          <w:rtl/>
          <w:lang w:eastAsia="he-IL"/>
        </w:rPr>
      </w:pPr>
      <w:bookmarkStart w:id="81934" w:name="_ETM_Q162_707693"/>
      <w:bookmarkStart w:id="81935" w:name="_ETM_Q162_707802"/>
      <w:bookmarkEnd w:id="81934"/>
      <w:bookmarkEnd w:id="81935"/>
    </w:p>
    <w:p w:rsidR="00BB59CD" w:rsidRDefault="00BB59CD" w:rsidP="00BB59CD">
      <w:pPr>
        <w:pStyle w:val="af8"/>
        <w:keepNext/>
        <w:rPr>
          <w:rtl/>
        </w:rPr>
      </w:pPr>
      <w:bookmarkStart w:id="81936" w:name="_ETM_Q162_707885"/>
      <w:bookmarkStart w:id="81937" w:name="_ETM_Q162_707957"/>
      <w:bookmarkStart w:id="81938" w:name="ET_interruption_5787_28"/>
      <w:bookmarkEnd w:id="81936"/>
      <w:bookmarkEnd w:id="81937"/>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1938"/>
    </w:p>
    <w:p w:rsidR="00BB59CD" w:rsidRDefault="00BB59CD" w:rsidP="00337201">
      <w:pPr>
        <w:rPr>
          <w:rtl/>
          <w:lang w:eastAsia="he-IL"/>
        </w:rPr>
      </w:pPr>
    </w:p>
    <w:p w:rsidR="00BB59CD" w:rsidRDefault="00BB59CD" w:rsidP="00BB59CD">
      <w:pPr>
        <w:rPr>
          <w:rtl/>
          <w:lang w:eastAsia="he-IL"/>
        </w:rPr>
      </w:pPr>
      <w:bookmarkStart w:id="81939" w:name="_ETM_Q162_702518"/>
      <w:bookmarkStart w:id="81940" w:name="_ETM_Q162_702789"/>
      <w:bookmarkStart w:id="81941" w:name="_ETM_Q162_702860"/>
      <w:bookmarkEnd w:id="81939"/>
      <w:bookmarkEnd w:id="81940"/>
      <w:bookmarkEnd w:id="81941"/>
      <w:r>
        <w:rPr>
          <w:rFonts w:hint="cs"/>
          <w:rtl/>
          <w:lang w:eastAsia="he-IL"/>
        </w:rPr>
        <w:t>בושה.</w:t>
      </w:r>
    </w:p>
    <w:p w:rsidR="00BB59CD" w:rsidRDefault="00BB59CD" w:rsidP="00BB59CD">
      <w:pPr>
        <w:rPr>
          <w:rtl/>
          <w:lang w:eastAsia="he-IL"/>
        </w:rPr>
      </w:pPr>
      <w:bookmarkStart w:id="81942" w:name="_ETM_Q162_704504"/>
      <w:bookmarkStart w:id="81943" w:name="_ETM_Q162_704607"/>
      <w:bookmarkStart w:id="81944" w:name="_ETM_Q162_696323"/>
      <w:bookmarkStart w:id="81945" w:name="_ETM_Q162_696421"/>
      <w:bookmarkEnd w:id="81942"/>
      <w:bookmarkEnd w:id="81943"/>
      <w:bookmarkEnd w:id="81944"/>
      <w:bookmarkEnd w:id="81945"/>
    </w:p>
    <w:p w:rsidR="00BB59CD" w:rsidRDefault="00BB59CD" w:rsidP="00BB59CD">
      <w:pPr>
        <w:pStyle w:val="af8"/>
        <w:keepNext/>
        <w:rPr>
          <w:rtl/>
        </w:rPr>
      </w:pPr>
      <w:bookmarkStart w:id="81946" w:name="_ETM_Q162_696443"/>
      <w:bookmarkStart w:id="81947" w:name="_ETM_Q162_696526"/>
      <w:bookmarkStart w:id="81948" w:name="_ETM_Q162_704047"/>
      <w:bookmarkStart w:id="81949" w:name="_ETM_Q162_704152"/>
      <w:bookmarkStart w:id="81950" w:name="_ETM_Q162_704192"/>
      <w:bookmarkStart w:id="81951" w:name="_ETM_Q162_704283"/>
      <w:bookmarkStart w:id="81952" w:name="ET_interruption_5109_29"/>
      <w:bookmarkEnd w:id="81946"/>
      <w:bookmarkEnd w:id="81947"/>
      <w:bookmarkEnd w:id="81948"/>
      <w:bookmarkEnd w:id="81949"/>
      <w:bookmarkEnd w:id="81950"/>
      <w:bookmarkEnd w:id="81951"/>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81952"/>
    </w:p>
    <w:p w:rsidR="00BB59CD" w:rsidRDefault="00BB59CD" w:rsidP="00337201">
      <w:pPr>
        <w:rPr>
          <w:rtl/>
          <w:lang w:eastAsia="he-IL"/>
        </w:rPr>
      </w:pPr>
    </w:p>
    <w:p w:rsidR="00BB59CD" w:rsidRDefault="00BB59CD" w:rsidP="00BB59CD">
      <w:pPr>
        <w:rPr>
          <w:rtl/>
          <w:lang w:eastAsia="he-IL"/>
        </w:rPr>
      </w:pPr>
      <w:bookmarkStart w:id="81953" w:name="_ETM_Q162_707201"/>
      <w:bookmarkStart w:id="81954" w:name="_ETM_Q162_707467"/>
      <w:bookmarkStart w:id="81955" w:name="_ETM_Q162_707532"/>
      <w:bookmarkEnd w:id="81953"/>
      <w:bookmarkEnd w:id="81954"/>
      <w:bookmarkEnd w:id="81955"/>
      <w:r>
        <w:rPr>
          <w:rFonts w:hint="cs"/>
          <w:rtl/>
          <w:lang w:eastAsia="he-IL"/>
        </w:rPr>
        <w:t xml:space="preserve">תתבייש. לא </w:t>
      </w:r>
      <w:bookmarkStart w:id="81956" w:name="_ETM_Q162_706159"/>
      <w:bookmarkEnd w:id="81956"/>
      <w:r>
        <w:rPr>
          <w:rFonts w:hint="cs"/>
          <w:rtl/>
          <w:lang w:eastAsia="he-IL"/>
        </w:rPr>
        <w:t>למדת שום דבר מההיסטוריה.</w:t>
      </w:r>
    </w:p>
    <w:p w:rsidR="00BB59CD" w:rsidRDefault="00BB59CD" w:rsidP="00BB59CD">
      <w:pPr>
        <w:rPr>
          <w:rtl/>
          <w:lang w:eastAsia="he-IL"/>
        </w:rPr>
      </w:pPr>
      <w:bookmarkStart w:id="81957" w:name="_ETM_Q162_705576"/>
      <w:bookmarkStart w:id="81958" w:name="_ETM_Q162_705669"/>
      <w:bookmarkEnd w:id="81957"/>
      <w:bookmarkEnd w:id="81958"/>
    </w:p>
    <w:p w:rsidR="00BB59CD" w:rsidRDefault="00BB59CD" w:rsidP="00BB59CD">
      <w:pPr>
        <w:pStyle w:val="af8"/>
        <w:keepNext/>
        <w:rPr>
          <w:rtl/>
        </w:rPr>
      </w:pPr>
      <w:bookmarkStart w:id="81959" w:name="_ETM_Q162_705722"/>
      <w:bookmarkStart w:id="81960" w:name="_ETM_Q162_705768"/>
      <w:bookmarkStart w:id="81961" w:name="_ETM_Q162_705857"/>
      <w:bookmarkStart w:id="81962" w:name="_ETM_Q162_705942"/>
      <w:bookmarkStart w:id="81963" w:name="_ETM_Q162_705999"/>
      <w:bookmarkStart w:id="81964" w:name="_ETM_Q162_706079"/>
      <w:bookmarkStart w:id="81965" w:name="ET_interruption_6128_31"/>
      <w:bookmarkEnd w:id="81959"/>
      <w:bookmarkEnd w:id="81960"/>
      <w:bookmarkEnd w:id="81961"/>
      <w:bookmarkEnd w:id="81962"/>
      <w:bookmarkEnd w:id="81963"/>
      <w:bookmarkEnd w:id="81964"/>
      <w:r>
        <w:rPr>
          <w:rStyle w:val="TagStyle"/>
          <w:rFonts w:hint="cs"/>
          <w:rtl/>
        </w:rPr>
        <w:t xml:space="preserve"> &lt;&lt; קריאה &gt;&gt; </w:t>
      </w:r>
      <w:r>
        <w:rPr>
          <w:rFonts w:hint="cs"/>
          <w:rtl/>
        </w:rPr>
        <w:t>משה טור פז (יש עתיד):</w:t>
      </w:r>
      <w:r>
        <w:rPr>
          <w:rStyle w:val="TagStyle"/>
          <w:rtl/>
        </w:rPr>
        <w:t xml:space="preserve"> &lt;&lt; קריאה &gt;&gt;</w:t>
      </w:r>
      <w:r>
        <w:rPr>
          <w:rFonts w:hint="cs"/>
          <w:rtl/>
        </w:rPr>
        <w:t xml:space="preserve"> </w:t>
      </w:r>
      <w:bookmarkEnd w:id="81965"/>
    </w:p>
    <w:p w:rsidR="00BB59CD" w:rsidRDefault="00BB59CD" w:rsidP="00337201">
      <w:pPr>
        <w:rPr>
          <w:rtl/>
          <w:lang w:eastAsia="he-IL"/>
        </w:rPr>
      </w:pPr>
    </w:p>
    <w:p w:rsidR="00BB59CD" w:rsidRDefault="00BB59CD" w:rsidP="00BB59CD">
      <w:pPr>
        <w:rPr>
          <w:rtl/>
          <w:lang w:eastAsia="he-IL"/>
        </w:rPr>
      </w:pPr>
      <w:bookmarkStart w:id="81966" w:name="_ETM_Q162_706302"/>
      <w:bookmarkStart w:id="81967" w:name="_ETM_Q162_706576"/>
      <w:bookmarkStart w:id="81968" w:name="_ETM_Q162_706639"/>
      <w:bookmarkEnd w:id="81966"/>
      <w:bookmarkEnd w:id="81967"/>
      <w:bookmarkEnd w:id="81968"/>
      <w:r>
        <w:rPr>
          <w:rFonts w:hint="cs"/>
          <w:rtl/>
          <w:lang w:eastAsia="he-IL"/>
        </w:rPr>
        <w:t xml:space="preserve">- </w:t>
      </w:r>
      <w:bookmarkStart w:id="81969" w:name="_ETM_Q162_707918"/>
      <w:bookmarkEnd w:id="81969"/>
      <w:r>
        <w:rPr>
          <w:rFonts w:hint="cs"/>
          <w:rtl/>
          <w:lang w:eastAsia="he-IL"/>
        </w:rPr>
        <w:t>- - זה מה שאתה, האיש הצודק.</w:t>
      </w:r>
    </w:p>
    <w:p w:rsidR="00BB59CD" w:rsidRDefault="00BB59CD" w:rsidP="00BB59CD">
      <w:pPr>
        <w:rPr>
          <w:rtl/>
          <w:lang w:eastAsia="he-IL"/>
        </w:rPr>
      </w:pPr>
      <w:bookmarkStart w:id="81970" w:name="_ETM_Q162_709276"/>
      <w:bookmarkStart w:id="81971" w:name="_ETM_Q162_709363"/>
      <w:bookmarkEnd w:id="81970"/>
      <w:bookmarkEnd w:id="81971"/>
    </w:p>
    <w:p w:rsidR="00BB59CD" w:rsidRDefault="00BB59CD" w:rsidP="00BB59CD">
      <w:pPr>
        <w:pStyle w:val="af8"/>
        <w:keepNext/>
        <w:rPr>
          <w:rtl/>
        </w:rPr>
      </w:pPr>
      <w:bookmarkStart w:id="81972" w:name="_ETM_Q162_711762"/>
      <w:bookmarkStart w:id="81973" w:name="_ETM_Q162_711899"/>
      <w:bookmarkStart w:id="81974" w:name="ET_interruption_5109_33"/>
      <w:bookmarkEnd w:id="81972"/>
      <w:bookmarkEnd w:id="81973"/>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81974"/>
    </w:p>
    <w:p w:rsidR="00BB59CD" w:rsidRDefault="00BB59CD" w:rsidP="00337201">
      <w:pPr>
        <w:rPr>
          <w:rtl/>
          <w:lang w:eastAsia="he-IL"/>
        </w:rPr>
      </w:pPr>
    </w:p>
    <w:p w:rsidR="00BB59CD" w:rsidRDefault="00BB59CD" w:rsidP="00BB59CD">
      <w:pPr>
        <w:rPr>
          <w:rtl/>
          <w:lang w:eastAsia="he-IL"/>
        </w:rPr>
      </w:pPr>
      <w:bookmarkStart w:id="81975" w:name="_ETM_Q162_713655"/>
      <w:bookmarkStart w:id="81976" w:name="_ETM_Q162_713921"/>
      <w:bookmarkStart w:id="81977" w:name="_ETM_Q162_713986"/>
      <w:bookmarkEnd w:id="81975"/>
      <w:bookmarkEnd w:id="81976"/>
      <w:bookmarkEnd w:id="81977"/>
      <w:r>
        <w:rPr>
          <w:rFonts w:hint="cs"/>
          <w:rtl/>
          <w:lang w:eastAsia="he-IL"/>
        </w:rPr>
        <w:t>כל הזקן שלך – צביעות.</w:t>
      </w:r>
    </w:p>
    <w:p w:rsidR="00BB59CD" w:rsidRDefault="00BB59CD" w:rsidP="00BB59CD">
      <w:pPr>
        <w:rPr>
          <w:rtl/>
          <w:lang w:eastAsia="he-IL"/>
        </w:rPr>
      </w:pPr>
      <w:bookmarkStart w:id="81978" w:name="_ETM_Q162_712240"/>
      <w:bookmarkStart w:id="81979" w:name="_ETM_Q162_712355"/>
      <w:bookmarkEnd w:id="81978"/>
      <w:bookmarkEnd w:id="81979"/>
    </w:p>
    <w:p w:rsidR="00BB59CD" w:rsidRDefault="00BB59CD" w:rsidP="00BB59CD">
      <w:pPr>
        <w:pStyle w:val="af9"/>
        <w:keepNext/>
        <w:rPr>
          <w:rtl/>
        </w:rPr>
      </w:pPr>
      <w:bookmarkStart w:id="81980" w:name="_ETM_Q162_712385"/>
      <w:bookmarkStart w:id="81981" w:name="_ETM_Q162_712458"/>
      <w:bookmarkStart w:id="81982" w:name="ET_yor_6423_34"/>
      <w:bookmarkEnd w:id="81980"/>
      <w:bookmarkEnd w:id="8198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1982"/>
    </w:p>
    <w:p w:rsidR="00BB59CD" w:rsidRDefault="00BB59CD" w:rsidP="00337201">
      <w:pPr>
        <w:rPr>
          <w:rtl/>
          <w:lang w:eastAsia="he-IL"/>
        </w:rPr>
      </w:pPr>
    </w:p>
    <w:p w:rsidR="00BB59CD" w:rsidRDefault="00BB59CD" w:rsidP="00BB59CD">
      <w:pPr>
        <w:rPr>
          <w:rtl/>
          <w:lang w:eastAsia="he-IL"/>
        </w:rPr>
      </w:pPr>
      <w:bookmarkStart w:id="81983" w:name="_ETM_Q162_713411"/>
      <w:bookmarkEnd w:id="81983"/>
      <w:r>
        <w:rPr>
          <w:rFonts w:hint="cs"/>
          <w:rtl/>
          <w:lang w:eastAsia="he-IL"/>
        </w:rPr>
        <w:t xml:space="preserve">חבר </w:t>
      </w:r>
      <w:bookmarkStart w:id="81984" w:name="_ETM_Q162_713968"/>
      <w:bookmarkEnd w:id="81984"/>
      <w:r>
        <w:rPr>
          <w:rFonts w:hint="cs"/>
          <w:rtl/>
          <w:lang w:eastAsia="he-IL"/>
        </w:rPr>
        <w:t>הכנסת שטרן, קריאה שנייה.</w:t>
      </w:r>
    </w:p>
    <w:p w:rsidR="00BB59CD" w:rsidRDefault="00BB59CD" w:rsidP="00BB59CD">
      <w:pPr>
        <w:rPr>
          <w:rtl/>
          <w:lang w:eastAsia="he-IL"/>
        </w:rPr>
      </w:pPr>
      <w:bookmarkStart w:id="81985" w:name="_ETM_Q162_713003"/>
      <w:bookmarkStart w:id="81986" w:name="_ETM_Q162_713106"/>
      <w:bookmarkEnd w:id="81985"/>
      <w:bookmarkEnd w:id="81986"/>
    </w:p>
    <w:p w:rsidR="00BB59CD" w:rsidRDefault="00BB59CD" w:rsidP="00BB59CD">
      <w:pPr>
        <w:pStyle w:val="-"/>
        <w:keepNext/>
        <w:rPr>
          <w:rtl/>
        </w:rPr>
      </w:pPr>
      <w:bookmarkStart w:id="81987" w:name="_ETM_Q162_709396"/>
      <w:bookmarkStart w:id="81988" w:name="_ETM_Q162_709456"/>
      <w:bookmarkStart w:id="81989" w:name="ET_speakercontinue_6157_32"/>
      <w:bookmarkEnd w:id="81987"/>
      <w:bookmarkEnd w:id="81988"/>
      <w:r>
        <w:rPr>
          <w:rStyle w:val="TagStyle"/>
          <w:rFonts w:hint="cs"/>
          <w:rtl/>
        </w:rPr>
        <w:t xml:space="preserve"> &lt;&lt; דובר_המשך &gt;&gt; </w:t>
      </w:r>
      <w:r>
        <w:rPr>
          <w:rFonts w:hint="cs"/>
          <w:rtl/>
        </w:rPr>
        <w:t>שמחה רוטמן (הציונות הדתית):</w:t>
      </w:r>
      <w:r>
        <w:rPr>
          <w:rStyle w:val="TagStyle"/>
          <w:rtl/>
        </w:rPr>
        <w:t xml:space="preserve"> &lt;&lt; דובר_המשך &gt;&gt;</w:t>
      </w:r>
      <w:r>
        <w:rPr>
          <w:rFonts w:hint="cs"/>
          <w:rtl/>
        </w:rPr>
        <w:t xml:space="preserve"> </w:t>
      </w:r>
      <w:bookmarkEnd w:id="81989"/>
    </w:p>
    <w:p w:rsidR="00BB59CD" w:rsidRDefault="00BB59CD" w:rsidP="00BB59CD">
      <w:pPr>
        <w:ind w:firstLine="0"/>
        <w:rPr>
          <w:rtl/>
          <w:lang w:eastAsia="he-IL"/>
        </w:rPr>
      </w:pPr>
      <w:bookmarkStart w:id="81990" w:name="_ETM_Q162_710186"/>
      <w:bookmarkEnd w:id="81990"/>
    </w:p>
    <w:p w:rsidR="00BB59CD" w:rsidRDefault="00BB59CD" w:rsidP="00BB59CD">
      <w:pPr>
        <w:rPr>
          <w:rtl/>
        </w:rPr>
      </w:pPr>
      <w:bookmarkStart w:id="81991" w:name="_ETM_Q162_706168"/>
      <w:bookmarkStart w:id="81992" w:name="_ETM_Q162_706247"/>
      <w:bookmarkEnd w:id="81991"/>
      <w:bookmarkEnd w:id="81992"/>
      <w:r>
        <w:rPr>
          <w:rFonts w:hint="cs"/>
          <w:rtl/>
        </w:rPr>
        <w:t xml:space="preserve">ההתנהלות </w:t>
      </w:r>
      <w:bookmarkStart w:id="81993" w:name="_ETM_Q162_721020"/>
      <w:bookmarkEnd w:id="81993"/>
      <w:r>
        <w:rPr>
          <w:rFonts w:hint="cs"/>
          <w:rtl/>
        </w:rPr>
        <w:t xml:space="preserve">הזאת </w:t>
      </w:r>
      <w:bookmarkStart w:id="81994" w:name="_ETM_Q162_721319"/>
      <w:bookmarkEnd w:id="81994"/>
      <w:r>
        <w:rPr>
          <w:rFonts w:hint="cs"/>
          <w:rtl/>
        </w:rPr>
        <w:t xml:space="preserve">שלנו, </w:t>
      </w:r>
      <w:bookmarkStart w:id="81995" w:name="_ETM_Q162_721800"/>
      <w:bookmarkEnd w:id="81995"/>
      <w:r>
        <w:rPr>
          <w:rFonts w:hint="cs"/>
          <w:rtl/>
        </w:rPr>
        <w:t xml:space="preserve">נבחרי </w:t>
      </w:r>
      <w:bookmarkStart w:id="81996" w:name="_ETM_Q162_722250"/>
      <w:bookmarkEnd w:id="81996"/>
      <w:r>
        <w:rPr>
          <w:rFonts w:hint="cs"/>
          <w:rtl/>
        </w:rPr>
        <w:t xml:space="preserve">הציבור, </w:t>
      </w:r>
      <w:bookmarkStart w:id="81997" w:name="_ETM_Q162_722640"/>
      <w:bookmarkEnd w:id="81997"/>
      <w:r>
        <w:rPr>
          <w:rFonts w:hint="cs"/>
          <w:rtl/>
        </w:rPr>
        <w:t xml:space="preserve">במשך </w:t>
      </w:r>
      <w:bookmarkStart w:id="81998" w:name="_ETM_Q162_723059"/>
      <w:bookmarkEnd w:id="81998"/>
      <w:r>
        <w:rPr>
          <w:rFonts w:hint="cs"/>
          <w:rtl/>
        </w:rPr>
        <w:t xml:space="preserve">שנים </w:t>
      </w:r>
      <w:bookmarkStart w:id="81999" w:name="_ETM_Q162_723360"/>
      <w:bookmarkEnd w:id="81999"/>
      <w:r>
        <w:rPr>
          <w:rFonts w:hint="cs"/>
          <w:rtl/>
        </w:rPr>
        <w:t xml:space="preserve">רבות </w:t>
      </w:r>
      <w:bookmarkStart w:id="82000" w:name="_ETM_Q162_724760"/>
      <w:bookmarkEnd w:id="82000"/>
      <w:r>
        <w:rPr>
          <w:rFonts w:hint="cs"/>
          <w:rtl/>
        </w:rPr>
        <w:t xml:space="preserve">הובילה </w:t>
      </w:r>
      <w:bookmarkStart w:id="82001" w:name="_ETM_Q162_725299"/>
      <w:bookmarkEnd w:id="82001"/>
      <w:r>
        <w:rPr>
          <w:rFonts w:hint="cs"/>
          <w:rtl/>
        </w:rPr>
        <w:t xml:space="preserve">להקצנה. </w:t>
      </w:r>
      <w:bookmarkStart w:id="82002" w:name="_ETM_Q162_727379"/>
      <w:bookmarkEnd w:id="82002"/>
      <w:r>
        <w:rPr>
          <w:rFonts w:hint="cs"/>
          <w:rtl/>
        </w:rPr>
        <w:t xml:space="preserve">היא </w:t>
      </w:r>
      <w:bookmarkStart w:id="82003" w:name="_ETM_Q162_727529"/>
      <w:bookmarkEnd w:id="82003"/>
      <w:r>
        <w:rPr>
          <w:rFonts w:hint="cs"/>
          <w:rtl/>
        </w:rPr>
        <w:t xml:space="preserve">הובילה </w:t>
      </w:r>
      <w:bookmarkStart w:id="82004" w:name="_ETM_Q162_727919"/>
      <w:bookmarkEnd w:id="82004"/>
      <w:r>
        <w:rPr>
          <w:rFonts w:hint="cs"/>
          <w:rtl/>
        </w:rPr>
        <w:t xml:space="preserve">לכך </w:t>
      </w:r>
      <w:bookmarkStart w:id="82005" w:name="_ETM_Q162_729349"/>
      <w:bookmarkEnd w:id="82005"/>
      <w:r>
        <w:rPr>
          <w:rFonts w:hint="cs"/>
          <w:rtl/>
        </w:rPr>
        <w:t xml:space="preserve">שבמשך </w:t>
      </w:r>
      <w:bookmarkStart w:id="82006" w:name="_ETM_Q162_730819"/>
      <w:bookmarkEnd w:id="82006"/>
      <w:r>
        <w:rPr>
          <w:rFonts w:hint="cs"/>
          <w:rtl/>
        </w:rPr>
        <w:t xml:space="preserve">זמן </w:t>
      </w:r>
      <w:bookmarkStart w:id="82007" w:name="_ETM_Q162_731360"/>
      <w:bookmarkEnd w:id="82007"/>
      <w:r>
        <w:rPr>
          <w:rFonts w:hint="cs"/>
          <w:rtl/>
        </w:rPr>
        <w:t xml:space="preserve">רב </w:t>
      </w:r>
      <w:bookmarkStart w:id="82008" w:name="_ETM_Q162_732230"/>
      <w:bookmarkEnd w:id="82008"/>
      <w:r>
        <w:rPr>
          <w:rFonts w:hint="cs"/>
          <w:rtl/>
        </w:rPr>
        <w:t xml:space="preserve">התרגלנו </w:t>
      </w:r>
      <w:bookmarkStart w:id="82009" w:name="_ETM_Q162_733640"/>
      <w:bookmarkEnd w:id="82009"/>
      <w:r>
        <w:rPr>
          <w:rFonts w:hint="cs"/>
          <w:rtl/>
        </w:rPr>
        <w:t xml:space="preserve">שהדיונים </w:t>
      </w:r>
      <w:bookmarkStart w:id="82010" w:name="_ETM_Q162_734390"/>
      <w:bookmarkEnd w:id="82010"/>
      <w:r>
        <w:rPr>
          <w:rFonts w:hint="cs"/>
          <w:rtl/>
        </w:rPr>
        <w:t xml:space="preserve">החשובים </w:t>
      </w:r>
      <w:bookmarkStart w:id="82011" w:name="_ETM_Q162_735590"/>
      <w:bookmarkEnd w:id="82011"/>
      <w:r>
        <w:rPr>
          <w:rFonts w:hint="cs"/>
          <w:rtl/>
        </w:rPr>
        <w:t xml:space="preserve">לא </w:t>
      </w:r>
      <w:bookmarkStart w:id="82012" w:name="_ETM_Q162_735920"/>
      <w:bookmarkEnd w:id="82012"/>
      <w:r>
        <w:rPr>
          <w:rFonts w:hint="cs"/>
          <w:rtl/>
        </w:rPr>
        <w:t xml:space="preserve">נערכים </w:t>
      </w:r>
      <w:bookmarkStart w:id="82013" w:name="_ETM_Q162_736550"/>
      <w:bookmarkEnd w:id="82013"/>
      <w:r>
        <w:rPr>
          <w:rFonts w:hint="cs"/>
          <w:rtl/>
        </w:rPr>
        <w:t xml:space="preserve">כאן </w:t>
      </w:r>
      <w:bookmarkStart w:id="82014" w:name="_ETM_Q162_736820"/>
      <w:bookmarkEnd w:id="82014"/>
      <w:r>
        <w:rPr>
          <w:rFonts w:hint="cs"/>
          <w:rtl/>
        </w:rPr>
        <w:t xml:space="preserve">בבית </w:t>
      </w:r>
      <w:bookmarkStart w:id="82015" w:name="_ETM_Q162_737270"/>
      <w:bookmarkEnd w:id="82015"/>
      <w:r>
        <w:rPr>
          <w:rFonts w:hint="cs"/>
          <w:rtl/>
        </w:rPr>
        <w:t xml:space="preserve">הזה, </w:t>
      </w:r>
      <w:bookmarkStart w:id="82016" w:name="_ETM_Q162_738950"/>
      <w:bookmarkEnd w:id="82016"/>
      <w:r>
        <w:rPr>
          <w:rFonts w:hint="cs"/>
          <w:rtl/>
        </w:rPr>
        <w:t xml:space="preserve">חברי </w:t>
      </w:r>
      <w:bookmarkStart w:id="82017" w:name="_ETM_Q162_739400"/>
      <w:bookmarkEnd w:id="82017"/>
      <w:r>
        <w:rPr>
          <w:rFonts w:hint="cs"/>
          <w:rtl/>
        </w:rPr>
        <w:t xml:space="preserve">הכנסת </w:t>
      </w:r>
      <w:bookmarkStart w:id="82018" w:name="_ETM_Q162_740390"/>
      <w:bookmarkEnd w:id="82018"/>
      <w:r>
        <w:rPr>
          <w:rFonts w:hint="cs"/>
          <w:rtl/>
        </w:rPr>
        <w:t xml:space="preserve">לא </w:t>
      </w:r>
      <w:bookmarkStart w:id="82019" w:name="_ETM_Q162_740630"/>
      <w:bookmarkEnd w:id="82019"/>
      <w:r>
        <w:rPr>
          <w:rFonts w:hint="cs"/>
          <w:rtl/>
        </w:rPr>
        <w:t xml:space="preserve">מדברים </w:t>
      </w:r>
      <w:bookmarkStart w:id="82020" w:name="_ETM_Q162_741170"/>
      <w:bookmarkEnd w:id="82020"/>
      <w:r>
        <w:rPr>
          <w:rFonts w:hint="cs"/>
          <w:rtl/>
        </w:rPr>
        <w:t xml:space="preserve">זה </w:t>
      </w:r>
      <w:bookmarkStart w:id="82021" w:name="_ETM_Q162_741350"/>
      <w:bookmarkEnd w:id="82021"/>
      <w:r>
        <w:rPr>
          <w:rFonts w:hint="cs"/>
          <w:rtl/>
        </w:rPr>
        <w:t xml:space="preserve">עם </w:t>
      </w:r>
      <w:bookmarkStart w:id="82022" w:name="_ETM_Q162_741500"/>
      <w:bookmarkEnd w:id="82022"/>
      <w:r>
        <w:rPr>
          <w:rFonts w:hint="cs"/>
          <w:rtl/>
        </w:rPr>
        <w:t xml:space="preserve">זה, </w:t>
      </w:r>
      <w:bookmarkStart w:id="82023" w:name="_ETM_Q162_743259"/>
      <w:bookmarkEnd w:id="82023"/>
      <w:r>
        <w:rPr>
          <w:rFonts w:hint="cs"/>
          <w:rtl/>
        </w:rPr>
        <w:t xml:space="preserve">ובמידה </w:t>
      </w:r>
      <w:bookmarkStart w:id="82024" w:name="_ETM_Q162_743919"/>
      <w:bookmarkEnd w:id="82024"/>
      <w:r>
        <w:rPr>
          <w:rFonts w:hint="cs"/>
          <w:rtl/>
        </w:rPr>
        <w:t xml:space="preserve">מסוימת </w:t>
      </w:r>
      <w:bookmarkStart w:id="82025" w:name="_ETM_Q162_744610"/>
      <w:bookmarkEnd w:id="82025"/>
      <w:r>
        <w:rPr>
          <w:rFonts w:hint="cs"/>
          <w:rtl/>
        </w:rPr>
        <w:t xml:space="preserve">גם </w:t>
      </w:r>
      <w:bookmarkStart w:id="82026" w:name="_ETM_Q162_745089"/>
      <w:bookmarkEnd w:id="82026"/>
      <w:r>
        <w:rPr>
          <w:rFonts w:hint="cs"/>
          <w:rtl/>
        </w:rPr>
        <w:t xml:space="preserve">הוצאת </w:t>
      </w:r>
      <w:bookmarkStart w:id="82027" w:name="_ETM_Q162_745689"/>
      <w:bookmarkEnd w:id="82027"/>
      <w:r>
        <w:rPr>
          <w:rFonts w:hint="cs"/>
          <w:rtl/>
        </w:rPr>
        <w:t xml:space="preserve">השיח </w:t>
      </w:r>
      <w:bookmarkStart w:id="82028" w:name="_ETM_Q162_746830"/>
      <w:bookmarkEnd w:id="82028"/>
      <w:r>
        <w:rPr>
          <w:rFonts w:hint="cs"/>
          <w:rtl/>
        </w:rPr>
        <w:t xml:space="preserve">לבית </w:t>
      </w:r>
      <w:bookmarkStart w:id="82029" w:name="_ETM_Q162_747249"/>
      <w:bookmarkEnd w:id="82029"/>
      <w:r>
        <w:rPr>
          <w:rFonts w:hint="cs"/>
          <w:rtl/>
        </w:rPr>
        <w:t xml:space="preserve">הנשיא </w:t>
      </w:r>
      <w:bookmarkStart w:id="82030" w:name="_ETM_Q162_747699"/>
      <w:bookmarkEnd w:id="82030"/>
      <w:r>
        <w:rPr>
          <w:rFonts w:hint="cs"/>
          <w:rtl/>
        </w:rPr>
        <w:t xml:space="preserve">הייתה </w:t>
      </w:r>
      <w:bookmarkStart w:id="82031" w:name="_ETM_Q162_747969"/>
      <w:bookmarkEnd w:id="82031"/>
      <w:r>
        <w:rPr>
          <w:rFonts w:hint="cs"/>
          <w:rtl/>
        </w:rPr>
        <w:t xml:space="preserve">המשך </w:t>
      </w:r>
      <w:bookmarkStart w:id="82032" w:name="_ETM_Q162_749289"/>
      <w:bookmarkEnd w:id="82032"/>
      <w:r>
        <w:rPr>
          <w:rFonts w:hint="cs"/>
          <w:rtl/>
        </w:rPr>
        <w:t xml:space="preserve">של </w:t>
      </w:r>
      <w:bookmarkStart w:id="82033" w:name="_ETM_Q162_749590"/>
      <w:bookmarkEnd w:id="82033"/>
      <w:r>
        <w:rPr>
          <w:rFonts w:hint="cs"/>
          <w:rtl/>
        </w:rPr>
        <w:t xml:space="preserve">אותה </w:t>
      </w:r>
      <w:bookmarkStart w:id="82034" w:name="_ETM_Q162_749949"/>
      <w:bookmarkEnd w:id="82034"/>
      <w:r>
        <w:rPr>
          <w:rFonts w:hint="cs"/>
          <w:rtl/>
        </w:rPr>
        <w:t xml:space="preserve">רעה </w:t>
      </w:r>
      <w:bookmarkStart w:id="82035" w:name="_ETM_Q162_750219"/>
      <w:bookmarkEnd w:id="82035"/>
      <w:r>
        <w:rPr>
          <w:rFonts w:hint="cs"/>
          <w:rtl/>
        </w:rPr>
        <w:t xml:space="preserve">חולה, </w:t>
      </w:r>
      <w:bookmarkStart w:id="82036" w:name="_ETM_Q162_751720"/>
      <w:bookmarkEnd w:id="82036"/>
      <w:r>
        <w:rPr>
          <w:rFonts w:hint="cs"/>
          <w:rtl/>
        </w:rPr>
        <w:t xml:space="preserve">שהכנסת </w:t>
      </w:r>
      <w:bookmarkStart w:id="82037" w:name="_ETM_Q162_752650"/>
      <w:bookmarkEnd w:id="82037"/>
      <w:r>
        <w:rPr>
          <w:rFonts w:hint="cs"/>
          <w:rtl/>
        </w:rPr>
        <w:t xml:space="preserve">הפסיקה </w:t>
      </w:r>
      <w:bookmarkStart w:id="82038" w:name="_ETM_Q162_753190"/>
      <w:bookmarkEnd w:id="82038"/>
      <w:r>
        <w:rPr>
          <w:rFonts w:hint="cs"/>
          <w:rtl/>
        </w:rPr>
        <w:t xml:space="preserve">להיות </w:t>
      </w:r>
      <w:bookmarkStart w:id="82039" w:name="_ETM_Q162_753520"/>
      <w:bookmarkEnd w:id="82039"/>
      <w:r>
        <w:rPr>
          <w:rFonts w:hint="cs"/>
          <w:rtl/>
        </w:rPr>
        <w:t xml:space="preserve">הבית </w:t>
      </w:r>
      <w:bookmarkStart w:id="82040" w:name="_ETM_Q162_754360"/>
      <w:bookmarkEnd w:id="82040"/>
      <w:r>
        <w:rPr>
          <w:rFonts w:hint="cs"/>
          <w:rtl/>
        </w:rPr>
        <w:t xml:space="preserve">לבירור </w:t>
      </w:r>
      <w:bookmarkStart w:id="82041" w:name="_ETM_Q162_756069"/>
      <w:bookmarkEnd w:id="82041"/>
      <w:r>
        <w:rPr>
          <w:rFonts w:hint="cs"/>
          <w:rtl/>
        </w:rPr>
        <w:t xml:space="preserve">הסוגיות </w:t>
      </w:r>
      <w:bookmarkStart w:id="82042" w:name="_ETM_Q162_757090"/>
      <w:bookmarkEnd w:id="82042"/>
      <w:r>
        <w:rPr>
          <w:rFonts w:hint="cs"/>
          <w:rtl/>
        </w:rPr>
        <w:t xml:space="preserve">החשובות </w:t>
      </w:r>
      <w:bookmarkStart w:id="82043" w:name="_ETM_Q162_757689"/>
      <w:bookmarkEnd w:id="82043"/>
      <w:r>
        <w:rPr>
          <w:rFonts w:hint="cs"/>
          <w:rtl/>
        </w:rPr>
        <w:t xml:space="preserve">של </w:t>
      </w:r>
      <w:bookmarkStart w:id="82044" w:name="_ETM_Q162_757840"/>
      <w:bookmarkEnd w:id="82044"/>
      <w:r>
        <w:rPr>
          <w:rFonts w:hint="cs"/>
          <w:rtl/>
        </w:rPr>
        <w:t>חיינו.</w:t>
      </w:r>
      <w:bookmarkStart w:id="82045" w:name="_ETM_Q162_760070"/>
      <w:bookmarkEnd w:id="82045"/>
      <w:r>
        <w:rPr>
          <w:rFonts w:hint="cs"/>
          <w:rtl/>
          <w:lang w:eastAsia="he-IL"/>
        </w:rPr>
        <w:t xml:space="preserve"> </w:t>
      </w:r>
      <w:r>
        <w:rPr>
          <w:rFonts w:hint="cs"/>
          <w:rtl/>
        </w:rPr>
        <w:t xml:space="preserve">הדבר הזה חייב להיפסק, והדרך היחידה שבה זה ייפסק </w:t>
      </w:r>
      <w:bookmarkStart w:id="82046" w:name="_ETM_Q163_163969"/>
      <w:bookmarkEnd w:id="82046"/>
      <w:r>
        <w:rPr>
          <w:rFonts w:hint="cs"/>
          <w:rtl/>
        </w:rPr>
        <w:t>זה אם אנחנו נקבל את ההחלטות כאן בכנסת, אם נ</w:t>
      </w:r>
      <w:bookmarkStart w:id="82047" w:name="_ETM_Q163_169931"/>
      <w:bookmarkEnd w:id="82047"/>
      <w:r>
        <w:rPr>
          <w:rFonts w:hint="cs"/>
          <w:rtl/>
        </w:rPr>
        <w:t xml:space="preserve">בחרי הציבור שלנו יקבלו את ההחלטות בממשלה, והם ידעו שיחד </w:t>
      </w:r>
      <w:bookmarkStart w:id="82048" w:name="_ETM_Q163_178102"/>
      <w:bookmarkEnd w:id="82048"/>
      <w:r>
        <w:rPr>
          <w:rFonts w:hint="cs"/>
          <w:rtl/>
        </w:rPr>
        <w:t xml:space="preserve">עם הסמכות לקבל את ההחלטה נמצאת גם האחריות. יחד עם </w:t>
      </w:r>
      <w:bookmarkStart w:id="82049" w:name="_ETM_Q163_184199"/>
      <w:bookmarkEnd w:id="82049"/>
      <w:r>
        <w:rPr>
          <w:rFonts w:hint="cs"/>
          <w:rtl/>
        </w:rPr>
        <w:t xml:space="preserve">האחריות לעמוד מאחורי ההחלטה נמצאת גם הסמכות. </w:t>
      </w:r>
      <w:bookmarkStart w:id="82050" w:name="_ETM_Q163_186994"/>
      <w:bookmarkEnd w:id="82050"/>
      <w:r>
        <w:rPr>
          <w:rFonts w:hint="cs"/>
          <w:rtl/>
        </w:rPr>
        <w:t xml:space="preserve">ועילת הסבירות - - </w:t>
      </w:r>
    </w:p>
    <w:p w:rsidR="00BB59CD" w:rsidRDefault="00BB59CD" w:rsidP="00BB59CD">
      <w:pPr>
        <w:rPr>
          <w:rtl/>
        </w:rPr>
      </w:pPr>
      <w:bookmarkStart w:id="82051" w:name="_ETM_Q163_188782"/>
      <w:bookmarkStart w:id="82052" w:name="_ETM_Q163_188912"/>
      <w:bookmarkEnd w:id="82051"/>
      <w:bookmarkEnd w:id="82052"/>
    </w:p>
    <w:p w:rsidR="00BB59CD" w:rsidRDefault="00BB59CD" w:rsidP="00BB59CD">
      <w:pPr>
        <w:pStyle w:val="af8"/>
        <w:keepNext/>
        <w:rPr>
          <w:rtl/>
        </w:rPr>
      </w:pPr>
      <w:bookmarkStart w:id="82053" w:name="ET_interruption_5787_4"/>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053"/>
    </w:p>
    <w:p w:rsidR="00BB59CD" w:rsidRDefault="00BB59CD" w:rsidP="00337201">
      <w:pPr>
        <w:rPr>
          <w:rtl/>
        </w:rPr>
      </w:pPr>
    </w:p>
    <w:p w:rsidR="00BB59CD" w:rsidRDefault="00BB59CD" w:rsidP="009123FF">
      <w:pPr>
        <w:rPr>
          <w:rtl/>
        </w:rPr>
      </w:pPr>
      <w:r>
        <w:rPr>
          <w:rFonts w:hint="cs"/>
          <w:rtl/>
        </w:rPr>
        <w:t xml:space="preserve">מה עם ההגנה על המיעוטים? </w:t>
      </w:r>
      <w:bookmarkStart w:id="82054" w:name="_ETM_Q163_186960"/>
      <w:bookmarkStart w:id="82055" w:name="_ETM_Q163_187057"/>
      <w:bookmarkEnd w:id="82054"/>
      <w:bookmarkEnd w:id="82055"/>
      <w:r>
        <w:rPr>
          <w:rFonts w:hint="cs"/>
          <w:rtl/>
        </w:rPr>
        <w:t>מה עם ההגנה על המיעוטים</w:t>
      </w:r>
      <w:r w:rsidR="009123FF">
        <w:rPr>
          <w:rFonts w:hint="cs"/>
          <w:rtl/>
        </w:rPr>
        <w:t xml:space="preserve">, </w:t>
      </w:r>
      <w:r>
        <w:rPr>
          <w:rFonts w:hint="cs"/>
          <w:rtl/>
        </w:rPr>
        <w:t xml:space="preserve">שייפגעו מההחלטות של </w:t>
      </w:r>
      <w:bookmarkStart w:id="82056" w:name="_ETM_Q163_185535"/>
      <w:bookmarkEnd w:id="82056"/>
      <w:r>
        <w:rPr>
          <w:rFonts w:hint="cs"/>
          <w:rtl/>
        </w:rPr>
        <w:t>הרוב? מה עם איזונים?</w:t>
      </w:r>
    </w:p>
    <w:p w:rsidR="00BB59CD" w:rsidRDefault="00BB59CD" w:rsidP="00BB59CD">
      <w:pPr>
        <w:rPr>
          <w:rtl/>
        </w:rPr>
      </w:pPr>
    </w:p>
    <w:p w:rsidR="00BB59CD" w:rsidRDefault="00BB59CD" w:rsidP="00BB59CD">
      <w:pPr>
        <w:pStyle w:val="-"/>
        <w:keepNext/>
        <w:rPr>
          <w:rtl/>
        </w:rPr>
      </w:pPr>
      <w:bookmarkStart w:id="82057" w:name="ET_speakercontinue_6464_7"/>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057"/>
    </w:p>
    <w:p w:rsidR="00BB59CD" w:rsidRDefault="00BB59CD" w:rsidP="00337201">
      <w:pPr>
        <w:rPr>
          <w:rtl/>
        </w:rPr>
      </w:pPr>
    </w:p>
    <w:p w:rsidR="00BB59CD" w:rsidRDefault="00BB59CD" w:rsidP="00BB59CD">
      <w:pPr>
        <w:rPr>
          <w:rtl/>
        </w:rPr>
      </w:pPr>
      <w:r>
        <w:rPr>
          <w:rFonts w:hint="cs"/>
          <w:rtl/>
        </w:rPr>
        <w:t>- - שבניגוד למה שאומר חברי חבר הכנסת יוראי להב הרצנו - - -</w:t>
      </w:r>
    </w:p>
    <w:p w:rsidR="00BB59CD" w:rsidRDefault="00BB59CD" w:rsidP="00BB59CD">
      <w:pPr>
        <w:rPr>
          <w:rtl/>
        </w:rPr>
      </w:pPr>
      <w:bookmarkStart w:id="82058" w:name="_ETM_Q163_196594"/>
      <w:bookmarkStart w:id="82059" w:name="_ETM_Q163_196677"/>
      <w:bookmarkEnd w:id="82058"/>
      <w:bookmarkEnd w:id="82059"/>
    </w:p>
    <w:p w:rsidR="00BB59CD" w:rsidRDefault="00BB59CD" w:rsidP="00BB59CD">
      <w:pPr>
        <w:pStyle w:val="af9"/>
        <w:keepNext/>
        <w:rPr>
          <w:rtl/>
        </w:rPr>
      </w:pPr>
      <w:bookmarkStart w:id="82060" w:name="_ETM_Q163_196706"/>
      <w:bookmarkStart w:id="82061" w:name="_ETM_Q163_196776"/>
      <w:bookmarkEnd w:id="82060"/>
      <w:bookmarkEnd w:id="8206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062" w:name="_ETM_Q163_197486"/>
      <w:bookmarkEnd w:id="82062"/>
      <w:r>
        <w:rPr>
          <w:rFonts w:hint="cs"/>
          <w:rtl/>
        </w:rPr>
        <w:t>חבר הכנסת יוראי להב הרצנו, קריאה שנייה.</w:t>
      </w:r>
    </w:p>
    <w:p w:rsidR="00BB59CD" w:rsidRDefault="00BB59CD" w:rsidP="00BB59CD">
      <w:pPr>
        <w:rPr>
          <w:rtl/>
        </w:rPr>
      </w:pPr>
      <w:bookmarkStart w:id="82063" w:name="_ETM_Q163_197702"/>
      <w:bookmarkStart w:id="82064" w:name="_ETM_Q163_197791"/>
      <w:bookmarkEnd w:id="82063"/>
      <w:bookmarkEnd w:id="82064"/>
    </w:p>
    <w:p w:rsidR="00BB59CD" w:rsidRDefault="00BB59CD" w:rsidP="00BB59CD">
      <w:pPr>
        <w:pStyle w:val="-"/>
        <w:keepNext/>
        <w:rPr>
          <w:rtl/>
        </w:rPr>
      </w:pPr>
      <w:bookmarkStart w:id="82065" w:name="ET_speakercontinue_6464_9"/>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065"/>
    </w:p>
    <w:p w:rsidR="00BB59CD" w:rsidRDefault="00BB59CD" w:rsidP="00337201">
      <w:pPr>
        <w:rPr>
          <w:rtl/>
        </w:rPr>
      </w:pPr>
    </w:p>
    <w:p w:rsidR="00BB59CD" w:rsidRDefault="00BB59CD" w:rsidP="00BB59CD">
      <w:pPr>
        <w:rPr>
          <w:rtl/>
        </w:rPr>
      </w:pPr>
      <w:bookmarkStart w:id="82066" w:name="_ETM_Q163_198641"/>
      <w:bookmarkEnd w:id="82066"/>
      <w:r>
        <w:rPr>
          <w:rFonts w:hint="cs"/>
          <w:rtl/>
        </w:rPr>
        <w:t xml:space="preserve">בניגוד למה שאומר </w:t>
      </w:r>
      <w:bookmarkStart w:id="82067" w:name="_ETM_Q163_199742"/>
      <w:bookmarkEnd w:id="82067"/>
      <w:r>
        <w:rPr>
          <w:rFonts w:hint="cs"/>
          <w:rtl/>
        </w:rPr>
        <w:t xml:space="preserve">חברי חבר הכנסת יוראי להב הרצנו, אין לה דבר </w:t>
      </w:r>
      <w:bookmarkStart w:id="82068" w:name="_ETM_Q163_201394"/>
      <w:bookmarkEnd w:id="82068"/>
      <w:r>
        <w:rPr>
          <w:rFonts w:hint="cs"/>
          <w:rtl/>
        </w:rPr>
        <w:t xml:space="preserve">וחצי דבר עם הגנה על מיעוטים, שזאת עילת השוויון המנהלי, </w:t>
      </w:r>
      <w:bookmarkStart w:id="82069" w:name="_ETM_Q163_208768"/>
      <w:bookmarkEnd w:id="82069"/>
      <w:r>
        <w:rPr>
          <w:rFonts w:hint="cs"/>
          <w:rtl/>
        </w:rPr>
        <w:t>שלא קשורה לעילת הסבירות. אין לה שום קשר לנושא - - -</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ולביטחון - - -</w:t>
      </w:r>
    </w:p>
    <w:p w:rsidR="00BB59CD" w:rsidRDefault="00BB59CD" w:rsidP="00BB59CD">
      <w:pPr>
        <w:rPr>
          <w:rtl/>
        </w:rPr>
      </w:pPr>
      <w:bookmarkStart w:id="82070" w:name="_ETM_Q163_211832"/>
      <w:bookmarkStart w:id="82071" w:name="_ETM_Q163_211910"/>
      <w:bookmarkEnd w:id="82070"/>
      <w:bookmarkEnd w:id="82071"/>
    </w:p>
    <w:p w:rsidR="00BB59CD" w:rsidRDefault="00BB59CD" w:rsidP="00BB59CD">
      <w:pPr>
        <w:pStyle w:val="-"/>
        <w:keepNext/>
        <w:rPr>
          <w:rtl/>
        </w:rPr>
      </w:pPr>
      <w:bookmarkStart w:id="82072" w:name="ET_speakercontinue_6464_11"/>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072"/>
    </w:p>
    <w:p w:rsidR="00BB59CD" w:rsidRDefault="00BB59CD" w:rsidP="00337201">
      <w:pPr>
        <w:rPr>
          <w:rtl/>
        </w:rPr>
      </w:pPr>
    </w:p>
    <w:p w:rsidR="00BB59CD" w:rsidRDefault="00BB59CD" w:rsidP="00BB59CD">
      <w:pPr>
        <w:rPr>
          <w:rtl/>
        </w:rPr>
      </w:pPr>
      <w:bookmarkStart w:id="82073" w:name="_ETM_Q163_212766"/>
      <w:bookmarkEnd w:id="82073"/>
      <w:r>
        <w:rPr>
          <w:rFonts w:hint="cs"/>
          <w:rtl/>
        </w:rPr>
        <w:t xml:space="preserve">כל כך הרבה פייק. </w:t>
      </w:r>
    </w:p>
    <w:p w:rsidR="00BB59CD" w:rsidRDefault="00BB59CD" w:rsidP="00BB59CD">
      <w:pPr>
        <w:rPr>
          <w:rtl/>
        </w:rPr>
      </w:pPr>
      <w:bookmarkStart w:id="82074" w:name="_ETM_Q163_212878"/>
      <w:bookmarkStart w:id="82075" w:name="_ETM_Q163_212977"/>
      <w:bookmarkEnd w:id="82074"/>
      <w:bookmarkEnd w:id="82075"/>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076" w:name="_ETM_Q163_213839"/>
      <w:bookmarkEnd w:id="82076"/>
      <w:r>
        <w:rPr>
          <w:rFonts w:hint="cs"/>
          <w:rtl/>
        </w:rPr>
        <w:t xml:space="preserve">חבר הכנסת יוראי להב הרצנו, אתה בקריאה שנייה. </w:t>
      </w:r>
    </w:p>
    <w:p w:rsidR="00BB59CD" w:rsidRDefault="00BB59CD" w:rsidP="00BB59CD">
      <w:pPr>
        <w:rPr>
          <w:rtl/>
        </w:rPr>
      </w:pPr>
    </w:p>
    <w:p w:rsidR="00BB59CD" w:rsidRDefault="00BB59CD" w:rsidP="00BB59CD">
      <w:pPr>
        <w:pStyle w:val="-"/>
        <w:keepNext/>
        <w:rPr>
          <w:rtl/>
        </w:rPr>
      </w:pPr>
      <w:bookmarkStart w:id="82077" w:name="ET_speakercontinue_6464_13"/>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077"/>
    </w:p>
    <w:p w:rsidR="00BB59CD" w:rsidRDefault="00BB59CD" w:rsidP="00337201">
      <w:pPr>
        <w:rPr>
          <w:rtl/>
        </w:rPr>
      </w:pPr>
    </w:p>
    <w:p w:rsidR="00BB59CD" w:rsidRDefault="00BB59CD" w:rsidP="00BB59CD">
      <w:pPr>
        <w:rPr>
          <w:rtl/>
        </w:rPr>
      </w:pPr>
      <w:r>
        <w:rPr>
          <w:rFonts w:hint="cs"/>
          <w:rtl/>
        </w:rPr>
        <w:t xml:space="preserve">כל כך הרבה פייק. הגיע הזמן שתפסיקו </w:t>
      </w:r>
      <w:bookmarkStart w:id="82078" w:name="_ETM_Q163_220338"/>
      <w:bookmarkEnd w:id="82078"/>
      <w:r>
        <w:rPr>
          <w:rFonts w:hint="cs"/>
          <w:rtl/>
        </w:rPr>
        <w:t xml:space="preserve">להפיץ את הפייק הזה. </w:t>
      </w:r>
    </w:p>
    <w:p w:rsidR="00BB59CD" w:rsidRDefault="00BB59CD" w:rsidP="00BB59CD">
      <w:pPr>
        <w:rPr>
          <w:rtl/>
        </w:rPr>
      </w:pPr>
    </w:p>
    <w:p w:rsidR="00BB59CD" w:rsidRDefault="00BB59CD" w:rsidP="00BB59CD">
      <w:pPr>
        <w:pStyle w:val="af8"/>
        <w:keepNext/>
        <w:rPr>
          <w:rtl/>
        </w:rPr>
      </w:pPr>
      <w:bookmarkStart w:id="82079" w:name="ET_interruption_6151_14"/>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079"/>
    </w:p>
    <w:p w:rsidR="00BB59CD" w:rsidRDefault="00BB59CD" w:rsidP="00337201">
      <w:pPr>
        <w:rPr>
          <w:rtl/>
        </w:rPr>
      </w:pPr>
    </w:p>
    <w:p w:rsidR="00BB59CD" w:rsidRDefault="00BB59CD" w:rsidP="00BB59CD">
      <w:pPr>
        <w:rPr>
          <w:rtl/>
        </w:rPr>
      </w:pPr>
      <w:bookmarkStart w:id="82080" w:name="_ETM_Q163_222543"/>
      <w:bookmarkEnd w:id="82080"/>
      <w:r>
        <w:rPr>
          <w:rFonts w:hint="cs"/>
          <w:rtl/>
        </w:rPr>
        <w:t>זה לא נכון, ואתה יודע את זה.</w:t>
      </w:r>
    </w:p>
    <w:p w:rsidR="00BB59CD" w:rsidRDefault="00BB59CD" w:rsidP="00BB59CD">
      <w:pPr>
        <w:rPr>
          <w:rtl/>
        </w:rPr>
      </w:pPr>
    </w:p>
    <w:p w:rsidR="00BB59CD" w:rsidRDefault="00BB59CD" w:rsidP="00BB59CD">
      <w:pPr>
        <w:pStyle w:val="-"/>
        <w:keepNext/>
        <w:rPr>
          <w:rtl/>
        </w:rPr>
      </w:pPr>
      <w:bookmarkStart w:id="82081" w:name="ET_speakercontinue_6464_15"/>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081"/>
    </w:p>
    <w:p w:rsidR="00BB59CD" w:rsidRDefault="00BB59CD" w:rsidP="00337201">
      <w:pPr>
        <w:rPr>
          <w:rtl/>
        </w:rPr>
      </w:pPr>
    </w:p>
    <w:p w:rsidR="00BB59CD" w:rsidRDefault="00BB59CD" w:rsidP="00BB59CD">
      <w:pPr>
        <w:rPr>
          <w:rtl/>
        </w:rPr>
      </w:pPr>
      <w:r>
        <w:rPr>
          <w:rFonts w:hint="cs"/>
          <w:rtl/>
        </w:rPr>
        <w:t xml:space="preserve">ביטול עילת הסבירות איננו פוגע במיעוטים. ביטול </w:t>
      </w:r>
      <w:bookmarkStart w:id="82082" w:name="_ETM_Q163_226672"/>
      <w:bookmarkEnd w:id="82082"/>
      <w:r>
        <w:rPr>
          <w:rFonts w:hint="cs"/>
          <w:rtl/>
        </w:rPr>
        <w:t xml:space="preserve">עילת הסבירות איננו פוגע – ואני הקראתי את זה בעצמי </w:t>
      </w:r>
      <w:bookmarkStart w:id="82083" w:name="_ETM_Q163_230911"/>
      <w:bookmarkEnd w:id="82083"/>
      <w:r>
        <w:rPr>
          <w:rFonts w:hint="cs"/>
          <w:rtl/>
        </w:rPr>
        <w:t>– איננו פוגע ביכולת של בית המשפט לבקר החלטות בגלל שיקולים זרים. הוא איננו פוגע - - -</w:t>
      </w:r>
    </w:p>
    <w:p w:rsidR="00BB59CD" w:rsidRDefault="00BB59CD" w:rsidP="00BB59CD">
      <w:pPr>
        <w:rPr>
          <w:rtl/>
        </w:rPr>
      </w:pPr>
    </w:p>
    <w:p w:rsidR="00BB59CD" w:rsidRDefault="00BB59CD" w:rsidP="00BB59CD">
      <w:pPr>
        <w:pStyle w:val="af8"/>
        <w:keepNext/>
        <w:rPr>
          <w:rtl/>
        </w:rPr>
      </w:pPr>
      <w:bookmarkStart w:id="82084" w:name="ET_interruption_5787_16"/>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084"/>
    </w:p>
    <w:p w:rsidR="00BB59CD" w:rsidRDefault="00BB59CD" w:rsidP="00337201">
      <w:pPr>
        <w:rPr>
          <w:rtl/>
        </w:rPr>
      </w:pPr>
    </w:p>
    <w:p w:rsidR="00BB59CD" w:rsidRDefault="00BB59CD" w:rsidP="00BB59CD">
      <w:pPr>
        <w:rPr>
          <w:rtl/>
        </w:rPr>
      </w:pPr>
      <w:r>
        <w:rPr>
          <w:rFonts w:hint="cs"/>
          <w:rtl/>
        </w:rPr>
        <w:t xml:space="preserve">- - - בכלכלה, בביטחון, בהגנת הסביבה - - </w:t>
      </w:r>
      <w:bookmarkStart w:id="82085" w:name="_ETM_Q163_234597"/>
      <w:bookmarkEnd w:id="82085"/>
      <w:r>
        <w:rPr>
          <w:rFonts w:hint="cs"/>
          <w:rtl/>
        </w:rPr>
        <w:t>-</w:t>
      </w:r>
    </w:p>
    <w:p w:rsidR="00BB59CD" w:rsidRDefault="00BB59CD" w:rsidP="00BB59CD">
      <w:pPr>
        <w:rPr>
          <w:rtl/>
        </w:rPr>
      </w:pPr>
    </w:p>
    <w:p w:rsidR="00BB59CD" w:rsidRDefault="00BB59CD" w:rsidP="00BB59CD">
      <w:pPr>
        <w:pStyle w:val="af8"/>
        <w:keepNext/>
        <w:rPr>
          <w:rtl/>
        </w:rPr>
      </w:pPr>
      <w:bookmarkStart w:id="82086" w:name="ET_interruption_6151_18"/>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086"/>
    </w:p>
    <w:p w:rsidR="00BB59CD" w:rsidRDefault="00BB59CD" w:rsidP="00337201">
      <w:pPr>
        <w:rPr>
          <w:rtl/>
        </w:rPr>
      </w:pPr>
    </w:p>
    <w:p w:rsidR="00BB59CD" w:rsidRDefault="00BB59CD" w:rsidP="00BB59CD">
      <w:pPr>
        <w:rPr>
          <w:rtl/>
        </w:rPr>
      </w:pPr>
      <w:r>
        <w:rPr>
          <w:rFonts w:hint="cs"/>
          <w:rtl/>
        </w:rPr>
        <w:t>- - -</w:t>
      </w:r>
    </w:p>
    <w:p w:rsidR="00BB59CD" w:rsidRDefault="00BB59CD" w:rsidP="00BB59CD">
      <w:pPr>
        <w:rPr>
          <w:rtl/>
        </w:rPr>
      </w:pPr>
      <w:bookmarkStart w:id="82087" w:name="_ETM_Q163_235092"/>
      <w:bookmarkStart w:id="82088" w:name="_ETM_Q163_235197"/>
      <w:bookmarkEnd w:id="82087"/>
      <w:bookmarkEnd w:id="82088"/>
    </w:p>
    <w:p w:rsidR="00BB59CD" w:rsidRDefault="00BB59CD" w:rsidP="00BB59CD">
      <w:pPr>
        <w:pStyle w:val="-"/>
        <w:keepNext/>
        <w:rPr>
          <w:rtl/>
        </w:rPr>
      </w:pPr>
      <w:bookmarkStart w:id="82089" w:name="ET_speakercontinue_6464_17"/>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089"/>
    </w:p>
    <w:p w:rsidR="00BB59CD" w:rsidRDefault="00BB59CD" w:rsidP="00337201">
      <w:pPr>
        <w:rPr>
          <w:rtl/>
        </w:rPr>
      </w:pPr>
    </w:p>
    <w:p w:rsidR="00BB59CD" w:rsidRDefault="00BB59CD" w:rsidP="00BB59CD">
      <w:pPr>
        <w:rPr>
          <w:rtl/>
        </w:rPr>
      </w:pPr>
      <w:bookmarkStart w:id="82090" w:name="_ETM_Q163_235972"/>
      <w:bookmarkEnd w:id="82090"/>
      <w:r>
        <w:rPr>
          <w:rFonts w:hint="cs"/>
          <w:rtl/>
        </w:rPr>
        <w:t>אז עכשיו עברנו – תודה רבה, חבר הכנסת יוראי להב הרצנו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חבר הכנסת רון כץ. </w:t>
      </w:r>
    </w:p>
    <w:p w:rsidR="00BB59CD" w:rsidRDefault="00BB59CD" w:rsidP="00BB59CD">
      <w:pPr>
        <w:rPr>
          <w:rtl/>
        </w:rPr>
      </w:pPr>
      <w:bookmarkStart w:id="82091" w:name="_ETM_Q163_244075"/>
      <w:bookmarkStart w:id="82092" w:name="_ETM_Q163_244172"/>
      <w:bookmarkEnd w:id="82091"/>
      <w:bookmarkEnd w:id="82092"/>
    </w:p>
    <w:p w:rsidR="00BB59CD" w:rsidRDefault="00BB59CD" w:rsidP="00BB59CD">
      <w:pPr>
        <w:pStyle w:val="-"/>
        <w:keepNext/>
        <w:rPr>
          <w:rtl/>
        </w:rPr>
      </w:pPr>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9123FF">
      <w:pPr>
        <w:rPr>
          <w:rtl/>
        </w:rPr>
      </w:pPr>
      <w:r>
        <w:rPr>
          <w:rFonts w:hint="cs"/>
          <w:rtl/>
        </w:rPr>
        <w:t xml:space="preserve">תודה רבה שמהגנת מיעוטים </w:t>
      </w:r>
      <w:bookmarkStart w:id="82093" w:name="_ETM_Q163_241064"/>
      <w:bookmarkEnd w:id="82093"/>
      <w:r>
        <w:rPr>
          <w:rFonts w:hint="cs"/>
          <w:rtl/>
        </w:rPr>
        <w:t xml:space="preserve">– שלפחות בזה אני מקווה שאתה מסכים איתי </w:t>
      </w:r>
      <w:bookmarkStart w:id="82094" w:name="_ETM_Q163_246401"/>
      <w:bookmarkEnd w:id="82094"/>
      <w:r>
        <w:rPr>
          <w:rFonts w:hint="cs"/>
          <w:rtl/>
        </w:rPr>
        <w:t xml:space="preserve">שזה לא נכון - - </w:t>
      </w:r>
    </w:p>
    <w:p w:rsidR="00BB59CD" w:rsidRDefault="00BB59CD" w:rsidP="00BB59CD">
      <w:pPr>
        <w:rPr>
          <w:rtl/>
        </w:rPr>
      </w:pPr>
    </w:p>
    <w:p w:rsidR="00BB59CD" w:rsidRDefault="00BB59CD" w:rsidP="00BB59CD">
      <w:pPr>
        <w:pStyle w:val="af8"/>
        <w:keepNext/>
        <w:rPr>
          <w:rtl/>
        </w:rPr>
      </w:pPr>
      <w:bookmarkStart w:id="82095" w:name="ET_interruption_5787_21"/>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095"/>
    </w:p>
    <w:p w:rsidR="00BB59CD" w:rsidRDefault="00BB59CD" w:rsidP="00337201">
      <w:pPr>
        <w:rPr>
          <w:rtl/>
        </w:rPr>
      </w:pPr>
    </w:p>
    <w:p w:rsidR="00BB59CD" w:rsidRDefault="00BB59CD" w:rsidP="00BB59CD">
      <w:pPr>
        <w:rPr>
          <w:rtl/>
        </w:rPr>
      </w:pPr>
      <w:r>
        <w:rPr>
          <w:rFonts w:hint="cs"/>
          <w:rtl/>
        </w:rPr>
        <w:t xml:space="preserve">אני לא מסכים איתך. </w:t>
      </w:r>
    </w:p>
    <w:p w:rsidR="00BB59CD" w:rsidRDefault="00BB59CD" w:rsidP="00BB59CD">
      <w:pPr>
        <w:rPr>
          <w:rtl/>
        </w:rPr>
      </w:pPr>
      <w:bookmarkStart w:id="82096" w:name="_ETM_Q163_245112"/>
      <w:bookmarkStart w:id="82097" w:name="_ETM_Q163_245194"/>
      <w:bookmarkEnd w:id="82096"/>
      <w:bookmarkEnd w:id="82097"/>
    </w:p>
    <w:p w:rsidR="00BB59CD" w:rsidRDefault="00BB59CD" w:rsidP="00BB59CD">
      <w:pPr>
        <w:pStyle w:val="af8"/>
        <w:keepNext/>
        <w:rPr>
          <w:rtl/>
        </w:rPr>
      </w:pPr>
      <w:bookmarkStart w:id="82098" w:name="_ETM_Q163_247560"/>
      <w:bookmarkStart w:id="82099" w:name="_ETM_Q163_247677"/>
      <w:bookmarkStart w:id="82100" w:name="ET_interruption_6231_22"/>
      <w:bookmarkEnd w:id="82098"/>
      <w:bookmarkEnd w:id="82099"/>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82100"/>
    </w:p>
    <w:p w:rsidR="00BB59CD" w:rsidRDefault="00BB59CD" w:rsidP="00337201">
      <w:pPr>
        <w:rPr>
          <w:rtl/>
        </w:rPr>
      </w:pPr>
    </w:p>
    <w:p w:rsidR="00BB59CD" w:rsidRDefault="00BB59CD" w:rsidP="00BB59CD">
      <w:pPr>
        <w:rPr>
          <w:rtl/>
        </w:rPr>
      </w:pPr>
      <w:r>
        <w:rPr>
          <w:rFonts w:hint="cs"/>
          <w:rtl/>
        </w:rPr>
        <w:t>מי מסכים איתך על משהו?</w:t>
      </w:r>
      <w:r w:rsidR="009123FF">
        <w:rPr>
          <w:rFonts w:hint="cs"/>
          <w:rtl/>
        </w:rPr>
        <w:t xml:space="preserve"> מי מסכים איתך על משהו? </w:t>
      </w:r>
    </w:p>
    <w:p w:rsidR="00BB59CD" w:rsidRDefault="00BB59CD" w:rsidP="00BB59CD">
      <w:pPr>
        <w:rPr>
          <w:rtl/>
        </w:rPr>
      </w:pPr>
      <w:bookmarkStart w:id="82101" w:name="_ETM_Q163_247780"/>
      <w:bookmarkStart w:id="82102" w:name="_ETM_Q163_247884"/>
      <w:bookmarkEnd w:id="82101"/>
      <w:bookmarkEnd w:id="82102"/>
    </w:p>
    <w:p w:rsidR="00BB59CD" w:rsidRDefault="00BB59CD" w:rsidP="00BB59CD">
      <w:pPr>
        <w:pStyle w:val="-"/>
        <w:keepNext/>
        <w:rPr>
          <w:rtl/>
        </w:rPr>
      </w:pPr>
      <w:bookmarkStart w:id="82103" w:name="ET_speakercontinue_6464_24"/>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03"/>
    </w:p>
    <w:p w:rsidR="00BB59CD" w:rsidRDefault="00BB59CD" w:rsidP="00337201">
      <w:pPr>
        <w:rPr>
          <w:rtl/>
        </w:rPr>
      </w:pPr>
    </w:p>
    <w:p w:rsidR="00BB59CD" w:rsidRDefault="00BB59CD" w:rsidP="00BB59CD">
      <w:pPr>
        <w:rPr>
          <w:rtl/>
        </w:rPr>
      </w:pPr>
      <w:r>
        <w:rPr>
          <w:rFonts w:hint="cs"/>
          <w:rtl/>
        </w:rPr>
        <w:t>- - עברנו להגנה על איכות הסביבה, ש</w:t>
      </w:r>
      <w:bookmarkStart w:id="82104" w:name="_ETM_Q163_253319"/>
      <w:bookmarkEnd w:id="82104"/>
      <w:r>
        <w:rPr>
          <w:rFonts w:hint="cs"/>
          <w:rtl/>
        </w:rPr>
        <w:t>זה דיון אחר. אני לא אומר.</w:t>
      </w:r>
    </w:p>
    <w:p w:rsidR="00BB59CD" w:rsidRDefault="00BB59CD" w:rsidP="00BB59CD">
      <w:pPr>
        <w:rPr>
          <w:rtl/>
        </w:rPr>
      </w:pPr>
      <w:bookmarkStart w:id="82105" w:name="_ETM_Q163_252822"/>
      <w:bookmarkStart w:id="82106" w:name="_ETM_Q163_252909"/>
      <w:bookmarkEnd w:id="82105"/>
      <w:bookmarkEnd w:id="82106"/>
    </w:p>
    <w:p w:rsidR="00BB59CD" w:rsidRDefault="00BB59CD" w:rsidP="00BB59CD">
      <w:pPr>
        <w:pStyle w:val="af8"/>
        <w:keepNext/>
        <w:rPr>
          <w:rtl/>
        </w:rPr>
      </w:pPr>
      <w:bookmarkStart w:id="82107" w:name="_ETM_Q163_252024"/>
      <w:bookmarkStart w:id="82108" w:name="_ETM_Q163_252136"/>
      <w:bookmarkStart w:id="82109" w:name="_ETM_Q163_252941"/>
      <w:bookmarkStart w:id="82110" w:name="ET_interruption_קריאות_27"/>
      <w:bookmarkEnd w:id="82107"/>
      <w:bookmarkEnd w:id="82108"/>
      <w:bookmarkEnd w:id="82109"/>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110"/>
    </w:p>
    <w:p w:rsidR="00BB59CD" w:rsidRDefault="00BB59CD" w:rsidP="00337201">
      <w:pPr>
        <w:rPr>
          <w:rtl/>
        </w:rPr>
      </w:pPr>
    </w:p>
    <w:p w:rsidR="00BB59CD" w:rsidRDefault="00BB59CD" w:rsidP="00BB59CD">
      <w:pPr>
        <w:rPr>
          <w:rtl/>
        </w:rPr>
      </w:pPr>
      <w:r>
        <w:rPr>
          <w:rFonts w:hint="cs"/>
          <w:rtl/>
        </w:rPr>
        <w:t>- - -</w:t>
      </w:r>
    </w:p>
    <w:p w:rsidR="00BB59CD" w:rsidRDefault="00BB59CD" w:rsidP="00BB59CD">
      <w:pPr>
        <w:rPr>
          <w:rtl/>
        </w:rPr>
      </w:pPr>
      <w:bookmarkStart w:id="82111" w:name="_ETM_Q163_252894"/>
      <w:bookmarkStart w:id="82112" w:name="_ETM_Q163_252990"/>
      <w:bookmarkEnd w:id="82111"/>
      <w:bookmarkEnd w:id="82112"/>
    </w:p>
    <w:p w:rsidR="00BB59CD" w:rsidRDefault="00BB59CD" w:rsidP="00BB59CD">
      <w:pPr>
        <w:pStyle w:val="af8"/>
        <w:keepNext/>
        <w:rPr>
          <w:rtl/>
        </w:rPr>
      </w:pPr>
      <w:bookmarkStart w:id="82113" w:name="ET_interruption_5787_29"/>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113"/>
    </w:p>
    <w:p w:rsidR="00BB59CD" w:rsidRDefault="00BB59CD" w:rsidP="00337201">
      <w:pPr>
        <w:rPr>
          <w:rtl/>
        </w:rPr>
      </w:pPr>
    </w:p>
    <w:p w:rsidR="00BB59CD" w:rsidRDefault="00BB59CD" w:rsidP="00BB59CD">
      <w:pPr>
        <w:rPr>
          <w:rtl/>
        </w:rPr>
      </w:pPr>
      <w:bookmarkStart w:id="82114" w:name="_ETM_Q163_255295"/>
      <w:bookmarkEnd w:id="82114"/>
      <w:r>
        <w:rPr>
          <w:rFonts w:hint="cs"/>
          <w:rtl/>
        </w:rPr>
        <w:t xml:space="preserve">- - - ועל </w:t>
      </w:r>
      <w:bookmarkStart w:id="82115" w:name="_ETM_Q163_255276"/>
      <w:bookmarkEnd w:id="82115"/>
      <w:r>
        <w:rPr>
          <w:rFonts w:hint="cs"/>
          <w:rtl/>
        </w:rPr>
        <w:t>הביטחון - - -</w:t>
      </w:r>
    </w:p>
    <w:p w:rsidR="00BB59CD" w:rsidRDefault="00BB59CD" w:rsidP="00BB59CD">
      <w:pPr>
        <w:rPr>
          <w:rtl/>
        </w:rPr>
      </w:pPr>
    </w:p>
    <w:p w:rsidR="00BB59CD" w:rsidRDefault="00BB59CD" w:rsidP="00BB59CD">
      <w:pPr>
        <w:pStyle w:val="-"/>
        <w:keepNext/>
        <w:rPr>
          <w:rtl/>
        </w:rPr>
      </w:pPr>
      <w:bookmarkStart w:id="82116" w:name="ET_speakercontinue_6464_28"/>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16"/>
    </w:p>
    <w:p w:rsidR="00BB59CD" w:rsidRDefault="00BB59CD" w:rsidP="00337201">
      <w:pPr>
        <w:rPr>
          <w:rtl/>
        </w:rPr>
      </w:pPr>
    </w:p>
    <w:p w:rsidR="00BB59CD" w:rsidRDefault="00BB59CD" w:rsidP="00BB59CD">
      <w:pPr>
        <w:rPr>
          <w:rtl/>
        </w:rPr>
      </w:pPr>
      <w:r>
        <w:rPr>
          <w:rFonts w:hint="cs"/>
          <w:rtl/>
        </w:rPr>
        <w:t xml:space="preserve">אבל תפסיקו להטעות את הציבור. אתם מייצרים אצל אנשים תחושת חירום שאין לה </w:t>
      </w:r>
      <w:bookmarkStart w:id="82117" w:name="_ETM_Q163_260039"/>
      <w:bookmarkEnd w:id="82117"/>
      <w:r>
        <w:rPr>
          <w:rFonts w:hint="cs"/>
          <w:rtl/>
        </w:rPr>
        <w:t>בסיס. אתם מייצרים אצל אנשים - - -</w:t>
      </w:r>
    </w:p>
    <w:p w:rsidR="00BB59CD" w:rsidRDefault="00BB59CD" w:rsidP="00BB59CD">
      <w:pPr>
        <w:rPr>
          <w:rtl/>
        </w:rPr>
      </w:pPr>
    </w:p>
    <w:p w:rsidR="00BB59CD" w:rsidRDefault="00BB59CD" w:rsidP="00BB59CD">
      <w:pPr>
        <w:pStyle w:val="af8"/>
        <w:keepNext/>
        <w:rPr>
          <w:rtl/>
        </w:rPr>
      </w:pPr>
      <w:bookmarkStart w:id="82118" w:name="ET_interruption_6151_30"/>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118"/>
    </w:p>
    <w:p w:rsidR="00BB59CD" w:rsidRDefault="00BB59CD" w:rsidP="00337201">
      <w:pPr>
        <w:rPr>
          <w:rtl/>
        </w:rPr>
      </w:pPr>
    </w:p>
    <w:p w:rsidR="00BB59CD" w:rsidRDefault="00BB59CD" w:rsidP="00BB59CD">
      <w:pPr>
        <w:rPr>
          <w:rtl/>
        </w:rPr>
      </w:pPr>
      <w:r>
        <w:rPr>
          <w:rFonts w:hint="cs"/>
          <w:rtl/>
        </w:rPr>
        <w:t xml:space="preserve">מי זה "אתם"? מי זה </w:t>
      </w:r>
      <w:bookmarkStart w:id="82119" w:name="_ETM_Q163_263628"/>
      <w:bookmarkEnd w:id="82119"/>
      <w:r>
        <w:rPr>
          <w:rFonts w:hint="cs"/>
          <w:rtl/>
        </w:rPr>
        <w:t>"אתם"?</w:t>
      </w:r>
    </w:p>
    <w:p w:rsidR="00BB59CD" w:rsidRDefault="00BB59CD" w:rsidP="00BB59CD">
      <w:pPr>
        <w:rPr>
          <w:rtl/>
        </w:rPr>
      </w:pPr>
      <w:bookmarkStart w:id="82120" w:name="_ETM_Q163_264940"/>
      <w:bookmarkStart w:id="82121" w:name="_ETM_Q163_265054"/>
      <w:bookmarkEnd w:id="82120"/>
      <w:bookmarkEnd w:id="82121"/>
    </w:p>
    <w:p w:rsidR="00BB59CD" w:rsidRDefault="00BB59CD" w:rsidP="00BB59CD">
      <w:pPr>
        <w:pStyle w:val="-"/>
        <w:keepNext/>
        <w:rPr>
          <w:rtl/>
        </w:rPr>
      </w:pPr>
      <w:bookmarkStart w:id="82122" w:name="ET_speakercontinue_6464_31"/>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22"/>
    </w:p>
    <w:p w:rsidR="00BB59CD" w:rsidRDefault="00BB59CD" w:rsidP="00337201">
      <w:pPr>
        <w:rPr>
          <w:rtl/>
        </w:rPr>
      </w:pPr>
    </w:p>
    <w:p w:rsidR="00BB59CD" w:rsidRDefault="00BB59CD" w:rsidP="00BB59CD">
      <w:pPr>
        <w:rPr>
          <w:rtl/>
        </w:rPr>
      </w:pPr>
      <w:bookmarkStart w:id="82123" w:name="_ETM_Q163_265723"/>
      <w:bookmarkEnd w:id="82123"/>
      <w:r>
        <w:rPr>
          <w:rFonts w:hint="cs"/>
          <w:rtl/>
        </w:rPr>
        <w:t xml:space="preserve">אתם. אתה. </w:t>
      </w:r>
    </w:p>
    <w:p w:rsidR="00BB59CD" w:rsidRDefault="00BB59CD" w:rsidP="00BB59CD">
      <w:pPr>
        <w:rPr>
          <w:rtl/>
        </w:rPr>
      </w:pPr>
    </w:p>
    <w:p w:rsidR="00BB59CD" w:rsidRDefault="00BB59CD" w:rsidP="00BB59CD">
      <w:pPr>
        <w:pStyle w:val="af8"/>
        <w:keepNext/>
        <w:rPr>
          <w:rtl/>
        </w:rPr>
      </w:pPr>
      <w:bookmarkStart w:id="82124" w:name="ET_interruption_6151_32"/>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124"/>
    </w:p>
    <w:p w:rsidR="00BB59CD" w:rsidRDefault="00BB59CD" w:rsidP="00337201">
      <w:pPr>
        <w:rPr>
          <w:rtl/>
        </w:rPr>
      </w:pPr>
    </w:p>
    <w:p w:rsidR="00BB59CD" w:rsidRDefault="00BB59CD" w:rsidP="00BB59CD">
      <w:pPr>
        <w:rPr>
          <w:rtl/>
        </w:rPr>
      </w:pPr>
      <w:r>
        <w:rPr>
          <w:rFonts w:hint="cs"/>
          <w:rtl/>
        </w:rPr>
        <w:t xml:space="preserve">בכירי המשק? מי זה "אתם"? </w:t>
      </w:r>
    </w:p>
    <w:p w:rsidR="00BB59CD" w:rsidRDefault="00BB59CD" w:rsidP="00BB59CD">
      <w:pPr>
        <w:rPr>
          <w:rtl/>
        </w:rPr>
      </w:pPr>
    </w:p>
    <w:p w:rsidR="00BB59CD" w:rsidRDefault="00BB59CD" w:rsidP="00BB59CD">
      <w:pPr>
        <w:pStyle w:val="-"/>
        <w:keepNext/>
        <w:rPr>
          <w:rtl/>
        </w:rPr>
      </w:pPr>
      <w:bookmarkStart w:id="82125" w:name="ET_speakercontinue_6464_33"/>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25"/>
    </w:p>
    <w:p w:rsidR="00BB59CD" w:rsidRDefault="00BB59CD" w:rsidP="00337201">
      <w:pPr>
        <w:rPr>
          <w:rtl/>
        </w:rPr>
      </w:pPr>
    </w:p>
    <w:p w:rsidR="00BB59CD" w:rsidRDefault="00BB59CD" w:rsidP="00BB59CD">
      <w:pPr>
        <w:rPr>
          <w:rtl/>
        </w:rPr>
      </w:pPr>
      <w:r>
        <w:rPr>
          <w:rFonts w:hint="cs"/>
          <w:rtl/>
        </w:rPr>
        <w:t xml:space="preserve">אתה. אתה, </w:t>
      </w:r>
      <w:bookmarkStart w:id="82126" w:name="_ETM_Q163_267785"/>
      <w:bookmarkEnd w:id="82126"/>
      <w:r>
        <w:rPr>
          <w:rFonts w:hint="cs"/>
          <w:rtl/>
        </w:rPr>
        <w:t>אתה.</w:t>
      </w:r>
    </w:p>
    <w:p w:rsidR="00BB59CD" w:rsidRDefault="00BB59CD" w:rsidP="00BB59CD">
      <w:pPr>
        <w:rPr>
          <w:rtl/>
        </w:rPr>
      </w:pPr>
      <w:bookmarkStart w:id="82127" w:name="_ETM_Q163_265632"/>
      <w:bookmarkStart w:id="82128" w:name="_ETM_Q163_265710"/>
      <w:bookmarkEnd w:id="82127"/>
      <w:bookmarkEnd w:id="82128"/>
    </w:p>
    <w:p w:rsidR="00BB59CD" w:rsidRDefault="00BB59CD" w:rsidP="00BB59CD">
      <w:pPr>
        <w:pStyle w:val="af8"/>
        <w:keepNext/>
        <w:rPr>
          <w:rtl/>
        </w:rPr>
      </w:pPr>
      <w:bookmarkStart w:id="82129" w:name="ET_interruption_6151_36"/>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129"/>
    </w:p>
    <w:p w:rsidR="00BB59CD" w:rsidRDefault="00BB59CD" w:rsidP="00337201">
      <w:pPr>
        <w:rPr>
          <w:rtl/>
        </w:rPr>
      </w:pPr>
    </w:p>
    <w:p w:rsidR="00BB59CD" w:rsidRDefault="00BB59CD" w:rsidP="00BB59CD">
      <w:pPr>
        <w:rPr>
          <w:rtl/>
        </w:rPr>
      </w:pPr>
      <w:bookmarkStart w:id="82130" w:name="_ETM_Q163_268957"/>
      <w:bookmarkStart w:id="82131" w:name="_ETM_Q163_269216"/>
      <w:bookmarkStart w:id="82132" w:name="_ETM_Q163_269310"/>
      <w:bookmarkEnd w:id="82130"/>
      <w:bookmarkEnd w:id="82131"/>
      <w:bookmarkEnd w:id="82132"/>
      <w:r>
        <w:rPr>
          <w:rFonts w:hint="cs"/>
          <w:rtl/>
        </w:rPr>
        <w:t>הכלכלה מתרסקת בגללך. אתה לא מתבייש?</w:t>
      </w:r>
    </w:p>
    <w:p w:rsidR="00BB59CD" w:rsidRDefault="00BB59CD" w:rsidP="00BB59CD">
      <w:pPr>
        <w:rPr>
          <w:rtl/>
        </w:rPr>
      </w:pPr>
    </w:p>
    <w:p w:rsidR="00BB59CD" w:rsidRDefault="00BB59CD" w:rsidP="00BB59CD">
      <w:pPr>
        <w:pStyle w:val="af8"/>
        <w:keepNext/>
        <w:rPr>
          <w:rtl/>
        </w:rPr>
      </w:pPr>
      <w:bookmarkStart w:id="82133" w:name="ET_interruption_קריאות_3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133"/>
    </w:p>
    <w:p w:rsidR="00BB59CD" w:rsidRDefault="00BB59CD" w:rsidP="00337201">
      <w:pPr>
        <w:rPr>
          <w:rtl/>
        </w:rPr>
      </w:pPr>
    </w:p>
    <w:p w:rsidR="00BB59CD" w:rsidRDefault="00BB59CD" w:rsidP="00BB59CD">
      <w:pPr>
        <w:rPr>
          <w:rtl/>
        </w:rPr>
      </w:pPr>
      <w:r>
        <w:rPr>
          <w:rFonts w:hint="cs"/>
          <w:rtl/>
        </w:rPr>
        <w:t>- - -</w:t>
      </w:r>
    </w:p>
    <w:p w:rsidR="00BB59CD" w:rsidRDefault="00BB59CD" w:rsidP="00BB59CD">
      <w:pPr>
        <w:rPr>
          <w:rtl/>
        </w:rPr>
      </w:pPr>
    </w:p>
    <w:p w:rsidR="00BB59CD" w:rsidRDefault="00BB59CD" w:rsidP="00BB59CD">
      <w:pPr>
        <w:pStyle w:val="-"/>
        <w:keepNext/>
        <w:rPr>
          <w:rtl/>
        </w:rPr>
      </w:pPr>
      <w:bookmarkStart w:id="82134" w:name="ET_speakercontinue_6464_39"/>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34"/>
    </w:p>
    <w:p w:rsidR="00BB59CD" w:rsidRDefault="00BB59CD" w:rsidP="00337201">
      <w:pPr>
        <w:rPr>
          <w:rtl/>
        </w:rPr>
      </w:pPr>
    </w:p>
    <w:p w:rsidR="00BB59CD" w:rsidRDefault="00BB59CD" w:rsidP="00BB59CD">
      <w:pPr>
        <w:rPr>
          <w:rtl/>
        </w:rPr>
      </w:pPr>
      <w:r>
        <w:rPr>
          <w:rFonts w:hint="cs"/>
          <w:rtl/>
        </w:rPr>
        <w:t xml:space="preserve">אתה, רון </w:t>
      </w:r>
      <w:bookmarkStart w:id="82135" w:name="_ETM_Q163_271688"/>
      <w:bookmarkEnd w:id="82135"/>
      <w:r>
        <w:rPr>
          <w:rFonts w:hint="cs"/>
          <w:rtl/>
        </w:rPr>
        <w:t xml:space="preserve">כץ. </w:t>
      </w:r>
    </w:p>
    <w:p w:rsidR="00BB59CD" w:rsidRDefault="00BB59CD" w:rsidP="00BB59CD">
      <w:pPr>
        <w:rPr>
          <w:rtl/>
        </w:rPr>
      </w:pPr>
    </w:p>
    <w:p w:rsidR="00BB59CD" w:rsidRDefault="00BB59CD" w:rsidP="00BB59CD">
      <w:pPr>
        <w:pStyle w:val="af8"/>
        <w:keepNext/>
        <w:rPr>
          <w:rtl/>
        </w:rPr>
      </w:pPr>
      <w:bookmarkStart w:id="82136" w:name="ET_interruption_6151_40"/>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136"/>
    </w:p>
    <w:p w:rsidR="00BB59CD" w:rsidRDefault="00BB59CD" w:rsidP="00337201">
      <w:pPr>
        <w:rPr>
          <w:rtl/>
        </w:rPr>
      </w:pPr>
    </w:p>
    <w:p w:rsidR="00BB59CD" w:rsidRDefault="00BB59CD" w:rsidP="00BB59CD">
      <w:pPr>
        <w:rPr>
          <w:rtl/>
        </w:rPr>
      </w:pPr>
      <w:bookmarkStart w:id="82137" w:name="_ETM_Q163_274138"/>
      <w:bookmarkEnd w:id="82137"/>
      <w:r>
        <w:rPr>
          <w:rFonts w:hint="cs"/>
          <w:rtl/>
        </w:rPr>
        <w:t>- - - המדינה - - -</w:t>
      </w:r>
    </w:p>
    <w:p w:rsidR="00BB59CD" w:rsidRDefault="00BB59CD" w:rsidP="00BB59CD">
      <w:pPr>
        <w:rPr>
          <w:rtl/>
        </w:rPr>
      </w:pPr>
    </w:p>
    <w:p w:rsidR="00BB59CD" w:rsidRDefault="00BB59CD" w:rsidP="00BB59CD">
      <w:pPr>
        <w:pStyle w:val="-"/>
        <w:keepNext/>
        <w:rPr>
          <w:rtl/>
        </w:rPr>
      </w:pPr>
      <w:bookmarkStart w:id="82138" w:name="ET_speakercontinue_6464_41"/>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38"/>
    </w:p>
    <w:p w:rsidR="00BB59CD" w:rsidRDefault="00BB59CD" w:rsidP="00337201">
      <w:pPr>
        <w:rPr>
          <w:rtl/>
        </w:rPr>
      </w:pPr>
    </w:p>
    <w:p w:rsidR="00BB59CD" w:rsidRDefault="00BB59CD" w:rsidP="00BB59CD">
      <w:pPr>
        <w:rPr>
          <w:rtl/>
        </w:rPr>
      </w:pPr>
      <w:bookmarkStart w:id="82139" w:name="_ETM_Q163_271728"/>
      <w:bookmarkEnd w:id="82139"/>
      <w:r>
        <w:rPr>
          <w:rFonts w:hint="cs"/>
          <w:rtl/>
        </w:rPr>
        <w:t xml:space="preserve">אתה. אתה </w:t>
      </w:r>
      <w:bookmarkStart w:id="82140" w:name="_ETM_Q163_272436"/>
      <w:bookmarkEnd w:id="82140"/>
      <w:r>
        <w:rPr>
          <w:rFonts w:hint="cs"/>
          <w:rtl/>
        </w:rPr>
        <w:t xml:space="preserve">שואל מי? </w:t>
      </w:r>
    </w:p>
    <w:p w:rsidR="00BB59CD" w:rsidRDefault="00BB59CD" w:rsidP="00BB59CD">
      <w:pPr>
        <w:rPr>
          <w:rtl/>
        </w:rPr>
      </w:pPr>
      <w:bookmarkStart w:id="82141" w:name="_ETM_Q163_273424"/>
      <w:bookmarkStart w:id="82142" w:name="_ETM_Q163_273509"/>
      <w:bookmarkEnd w:id="82141"/>
      <w:bookmarkEnd w:id="82142"/>
    </w:p>
    <w:p w:rsidR="00BB59CD" w:rsidRDefault="00BB59CD" w:rsidP="00BB59CD">
      <w:pPr>
        <w:pStyle w:val="af9"/>
        <w:keepNext/>
        <w:rPr>
          <w:rtl/>
        </w:rPr>
      </w:pPr>
      <w:bookmarkStart w:id="82143" w:name="ET_yor_6423_13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143"/>
    </w:p>
    <w:p w:rsidR="00BB59CD" w:rsidRDefault="00BB59CD" w:rsidP="00337201">
      <w:pPr>
        <w:rPr>
          <w:rtl/>
        </w:rPr>
      </w:pPr>
    </w:p>
    <w:p w:rsidR="00BB59CD" w:rsidRDefault="00BB59CD" w:rsidP="00BB59CD">
      <w:pPr>
        <w:rPr>
          <w:rtl/>
        </w:rPr>
      </w:pPr>
      <w:r>
        <w:rPr>
          <w:rFonts w:hint="cs"/>
          <w:rtl/>
        </w:rPr>
        <w:t xml:space="preserve">חבר הכנסת רון כץ. </w:t>
      </w:r>
    </w:p>
    <w:p w:rsidR="00BB59CD" w:rsidRDefault="00BB59CD" w:rsidP="00BB59CD">
      <w:pPr>
        <w:rPr>
          <w:rtl/>
        </w:rPr>
      </w:pPr>
      <w:bookmarkStart w:id="82144" w:name="_ETM_Q163_277307"/>
      <w:bookmarkStart w:id="82145" w:name="_ETM_Q163_277414"/>
      <w:bookmarkEnd w:id="82144"/>
      <w:bookmarkEnd w:id="82145"/>
    </w:p>
    <w:p w:rsidR="00BB59CD" w:rsidRDefault="00BB59CD" w:rsidP="00BB59CD">
      <w:pPr>
        <w:pStyle w:val="-"/>
        <w:keepNext/>
        <w:rPr>
          <w:rtl/>
        </w:rPr>
      </w:pPr>
      <w:bookmarkStart w:id="82146" w:name="ET_speakercontinue_6464_44"/>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46"/>
    </w:p>
    <w:p w:rsidR="00BB59CD" w:rsidRDefault="00BB59CD" w:rsidP="00337201">
      <w:pPr>
        <w:rPr>
          <w:rtl/>
          <w:lang w:eastAsia="he-IL"/>
        </w:rPr>
      </w:pPr>
    </w:p>
    <w:p w:rsidR="00BB59CD" w:rsidRDefault="00BB59CD" w:rsidP="00BB59CD">
      <w:pPr>
        <w:rPr>
          <w:rtl/>
        </w:rPr>
      </w:pPr>
      <w:r>
        <w:rPr>
          <w:rFonts w:hint="cs"/>
          <w:rtl/>
        </w:rPr>
        <w:t xml:space="preserve">אתה וחבריך. </w:t>
      </w:r>
    </w:p>
    <w:p w:rsidR="00BB59CD" w:rsidRDefault="00BB59CD" w:rsidP="00BB59CD">
      <w:pPr>
        <w:rPr>
          <w:rtl/>
        </w:rPr>
      </w:pPr>
    </w:p>
    <w:p w:rsidR="00BB59CD" w:rsidRDefault="00BB59CD" w:rsidP="00BB59CD">
      <w:pPr>
        <w:pStyle w:val="af8"/>
        <w:keepNext/>
        <w:rPr>
          <w:rtl/>
        </w:rPr>
      </w:pPr>
      <w:bookmarkStart w:id="82147" w:name="ET_interruption_6151_46"/>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147"/>
    </w:p>
    <w:p w:rsidR="00BB59CD" w:rsidRDefault="00BB59CD" w:rsidP="00337201">
      <w:pPr>
        <w:rPr>
          <w:rtl/>
        </w:rPr>
      </w:pPr>
    </w:p>
    <w:p w:rsidR="00BB59CD" w:rsidRDefault="009123FF" w:rsidP="009123FF">
      <w:pPr>
        <w:rPr>
          <w:rtl/>
        </w:rPr>
      </w:pPr>
      <w:r>
        <w:rPr>
          <w:rFonts w:hint="cs"/>
          <w:rtl/>
        </w:rPr>
        <w:t xml:space="preserve">אתה </w:t>
      </w:r>
      <w:r w:rsidR="00BB59CD">
        <w:rPr>
          <w:rFonts w:hint="cs"/>
          <w:rtl/>
        </w:rPr>
        <w:t xml:space="preserve">וכל אחד מהדחלילים </w:t>
      </w:r>
      <w:bookmarkStart w:id="82148" w:name="_ETM_Q163_280724"/>
      <w:bookmarkEnd w:id="82148"/>
      <w:r w:rsidR="00BB59CD">
        <w:rPr>
          <w:rFonts w:hint="cs"/>
          <w:rtl/>
        </w:rPr>
        <w:t xml:space="preserve">פה. </w:t>
      </w:r>
      <w:bookmarkStart w:id="82149" w:name="_ETM_Q163_285194"/>
      <w:bookmarkEnd w:id="82149"/>
      <w:r w:rsidR="00BB59CD">
        <w:rPr>
          <w:rFonts w:hint="cs"/>
          <w:rtl/>
        </w:rPr>
        <w:t>כל אחד מהדחלילים פה</w:t>
      </w:r>
      <w:r>
        <w:rPr>
          <w:rFonts w:hint="cs"/>
          <w:rtl/>
        </w:rPr>
        <w:t xml:space="preserve">. </w:t>
      </w:r>
    </w:p>
    <w:p w:rsidR="00BB59CD" w:rsidRDefault="00BB59CD" w:rsidP="00BB59CD">
      <w:pPr>
        <w:rPr>
          <w:rtl/>
        </w:rPr>
      </w:pPr>
    </w:p>
    <w:p w:rsidR="00BB59CD" w:rsidRDefault="00BB59CD" w:rsidP="00BB59CD">
      <w:pPr>
        <w:pStyle w:val="af9"/>
        <w:keepNext/>
        <w:rPr>
          <w:rtl/>
        </w:rPr>
      </w:pPr>
      <w:bookmarkStart w:id="82150" w:name="ET_yor_6423_4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150"/>
    </w:p>
    <w:p w:rsidR="00BB59CD" w:rsidRDefault="00BB59CD" w:rsidP="00337201">
      <w:pPr>
        <w:rPr>
          <w:rtl/>
        </w:rPr>
      </w:pPr>
    </w:p>
    <w:p w:rsidR="00BB59CD" w:rsidRDefault="00BB59CD" w:rsidP="00BB59CD">
      <w:pPr>
        <w:rPr>
          <w:rtl/>
        </w:rPr>
      </w:pPr>
      <w:r>
        <w:rPr>
          <w:rFonts w:hint="cs"/>
          <w:rtl/>
        </w:rPr>
        <w:t xml:space="preserve">חבר הכנסת רון כץ. </w:t>
      </w:r>
    </w:p>
    <w:p w:rsidR="00BB59CD" w:rsidRDefault="00BB59CD" w:rsidP="00BB59CD">
      <w:pPr>
        <w:rPr>
          <w:rtl/>
        </w:rPr>
      </w:pPr>
    </w:p>
    <w:p w:rsidR="00BB59CD" w:rsidRDefault="00BB59CD" w:rsidP="00BB59CD">
      <w:pPr>
        <w:pStyle w:val="-"/>
        <w:keepNext/>
        <w:rPr>
          <w:rtl/>
        </w:rPr>
      </w:pPr>
      <w:bookmarkStart w:id="82151" w:name="ET_speakercontinue_6464_47"/>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51"/>
    </w:p>
    <w:p w:rsidR="00BB59CD" w:rsidRDefault="00BB59CD" w:rsidP="00337201">
      <w:pPr>
        <w:rPr>
          <w:rtl/>
        </w:rPr>
      </w:pPr>
    </w:p>
    <w:p w:rsidR="00BB59CD" w:rsidRDefault="00BB59CD" w:rsidP="00BB59CD">
      <w:pPr>
        <w:rPr>
          <w:rtl/>
        </w:rPr>
      </w:pPr>
      <w:r>
        <w:rPr>
          <w:rFonts w:hint="cs"/>
          <w:rtl/>
        </w:rPr>
        <w:t xml:space="preserve">אתה וראש המפלגה שלך, אתה ושותפיך לאופוזיציה. </w:t>
      </w:r>
    </w:p>
    <w:p w:rsidR="00BB59CD" w:rsidRDefault="00BB59CD" w:rsidP="00BB59CD">
      <w:pPr>
        <w:rPr>
          <w:rtl/>
        </w:rPr>
      </w:pPr>
      <w:bookmarkStart w:id="82152" w:name="_ETM_Q163_280537"/>
      <w:bookmarkStart w:id="82153" w:name="_ETM_Q163_280644"/>
      <w:bookmarkEnd w:id="82152"/>
      <w:bookmarkEnd w:id="82153"/>
    </w:p>
    <w:p w:rsidR="00BB59CD" w:rsidRDefault="00BB59CD" w:rsidP="00BB59CD">
      <w:pPr>
        <w:pStyle w:val="af8"/>
        <w:keepNext/>
        <w:rPr>
          <w:rtl/>
        </w:rPr>
      </w:pPr>
      <w:bookmarkStart w:id="82154" w:name="ET_interruption_6151_48"/>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154"/>
    </w:p>
    <w:p w:rsidR="00BB59CD" w:rsidRDefault="00BB59CD" w:rsidP="00337201">
      <w:pPr>
        <w:rPr>
          <w:rtl/>
        </w:rPr>
      </w:pPr>
    </w:p>
    <w:p w:rsidR="00BB59CD" w:rsidRDefault="00BB59CD" w:rsidP="00BB59CD">
      <w:pPr>
        <w:rPr>
          <w:rtl/>
        </w:rPr>
      </w:pPr>
      <w:bookmarkStart w:id="82155" w:name="_ETM_Q163_284625"/>
      <w:bookmarkStart w:id="82156" w:name="_ETM_Q163_284902"/>
      <w:bookmarkStart w:id="82157" w:name="_ETM_Q163_284996"/>
      <w:bookmarkEnd w:id="82155"/>
      <w:bookmarkEnd w:id="82156"/>
      <w:bookmarkEnd w:id="82157"/>
      <w:r>
        <w:rPr>
          <w:rFonts w:hint="cs"/>
          <w:rtl/>
        </w:rPr>
        <w:t>- - -</w:t>
      </w:r>
    </w:p>
    <w:p w:rsidR="00BB59CD" w:rsidRDefault="00BB59CD" w:rsidP="00BB59CD">
      <w:pPr>
        <w:rPr>
          <w:rtl/>
        </w:rPr>
      </w:pPr>
      <w:bookmarkStart w:id="82158" w:name="_ETM_Q163_281876"/>
      <w:bookmarkStart w:id="82159" w:name="_ETM_Q163_282011"/>
      <w:bookmarkEnd w:id="82158"/>
      <w:bookmarkEnd w:id="82159"/>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160" w:name="_ETM_Q163_282974"/>
      <w:bookmarkEnd w:id="82160"/>
      <w:r>
        <w:rPr>
          <w:rFonts w:hint="cs"/>
          <w:rtl/>
        </w:rPr>
        <w:t xml:space="preserve">חבר הכנסת רון </w:t>
      </w:r>
      <w:bookmarkStart w:id="82161" w:name="_ETM_Q163_284278"/>
      <w:bookmarkEnd w:id="82161"/>
      <w:r>
        <w:rPr>
          <w:rFonts w:hint="cs"/>
          <w:rtl/>
        </w:rPr>
        <w:t xml:space="preserve">כץ, קריאה ראשונה. </w:t>
      </w:r>
    </w:p>
    <w:p w:rsidR="00BB59CD" w:rsidRDefault="00BB59CD" w:rsidP="00BB59CD">
      <w:pPr>
        <w:rPr>
          <w:rtl/>
        </w:rPr>
      </w:pPr>
    </w:p>
    <w:p w:rsidR="00BB59CD" w:rsidRDefault="00BB59CD" w:rsidP="00BB59CD">
      <w:pPr>
        <w:pStyle w:val="-"/>
        <w:keepNext/>
        <w:rPr>
          <w:rtl/>
        </w:rPr>
      </w:pPr>
      <w:bookmarkStart w:id="82162" w:name="ET_speakercontinue_6464_49"/>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62"/>
    </w:p>
    <w:p w:rsidR="00BB59CD" w:rsidRDefault="00BB59CD" w:rsidP="00337201">
      <w:pPr>
        <w:rPr>
          <w:rtl/>
        </w:rPr>
      </w:pPr>
    </w:p>
    <w:p w:rsidR="00BB59CD" w:rsidRDefault="00BB59CD" w:rsidP="00BB59CD">
      <w:pPr>
        <w:rPr>
          <w:rtl/>
        </w:rPr>
      </w:pPr>
      <w:r>
        <w:rPr>
          <w:rFonts w:hint="cs"/>
          <w:rtl/>
        </w:rPr>
        <w:t xml:space="preserve">אתם מפיצים פייק. אתם מפיצים פייק. </w:t>
      </w:r>
    </w:p>
    <w:p w:rsidR="00BB59CD" w:rsidRDefault="00BB59CD" w:rsidP="00BB59CD">
      <w:pPr>
        <w:rPr>
          <w:rtl/>
        </w:rPr>
      </w:pPr>
      <w:bookmarkStart w:id="82163" w:name="_ETM_Q163_285009"/>
      <w:bookmarkStart w:id="82164" w:name="_ETM_Q163_285103"/>
      <w:bookmarkEnd w:id="82163"/>
      <w:bookmarkEnd w:id="82164"/>
    </w:p>
    <w:p w:rsidR="00BB59CD" w:rsidRDefault="00BB59CD" w:rsidP="00BB59CD">
      <w:pPr>
        <w:pStyle w:val="af8"/>
        <w:keepNext/>
        <w:rPr>
          <w:rtl/>
        </w:rPr>
      </w:pPr>
      <w:bookmarkStart w:id="82165" w:name="ET_interruption_קריאות_51"/>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165"/>
    </w:p>
    <w:p w:rsidR="00BB59CD" w:rsidRDefault="00BB59CD" w:rsidP="00337201">
      <w:pPr>
        <w:rPr>
          <w:rtl/>
        </w:rPr>
      </w:pPr>
    </w:p>
    <w:p w:rsidR="00BB59CD" w:rsidRDefault="00BB59CD" w:rsidP="00BB59CD">
      <w:pPr>
        <w:rPr>
          <w:rtl/>
        </w:rPr>
      </w:pPr>
      <w:bookmarkStart w:id="82166" w:name="_ETM_Q163_287270"/>
      <w:bookmarkEnd w:id="82166"/>
      <w:r>
        <w:rPr>
          <w:rFonts w:hint="cs"/>
          <w:rtl/>
        </w:rPr>
        <w:t>- - -</w:t>
      </w:r>
    </w:p>
    <w:p w:rsidR="00BB59CD" w:rsidRDefault="00BB59CD" w:rsidP="00BB59CD">
      <w:pPr>
        <w:rPr>
          <w:rtl/>
        </w:rPr>
      </w:pPr>
      <w:bookmarkStart w:id="82167" w:name="_ETM_Q163_287223"/>
      <w:bookmarkStart w:id="82168" w:name="_ETM_Q163_287308"/>
      <w:bookmarkEnd w:id="82167"/>
      <w:bookmarkEnd w:id="82168"/>
    </w:p>
    <w:p w:rsidR="00BB59CD" w:rsidRDefault="00BB59CD" w:rsidP="00BB59CD">
      <w:pPr>
        <w:pStyle w:val="af8"/>
        <w:keepNext/>
        <w:rPr>
          <w:rtl/>
        </w:rPr>
      </w:pPr>
      <w:bookmarkStart w:id="82169" w:name="ET_interruption_6151_52"/>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169"/>
    </w:p>
    <w:p w:rsidR="00BB59CD" w:rsidRDefault="00BB59CD" w:rsidP="00337201">
      <w:pPr>
        <w:rPr>
          <w:rtl/>
        </w:rPr>
      </w:pPr>
    </w:p>
    <w:p w:rsidR="00BB59CD" w:rsidRDefault="00BB59CD" w:rsidP="00BB59CD">
      <w:pPr>
        <w:rPr>
          <w:rtl/>
        </w:rPr>
      </w:pPr>
      <w:bookmarkStart w:id="82170" w:name="_ETM_Q163_287051"/>
      <w:bookmarkEnd w:id="82170"/>
      <w:r>
        <w:rPr>
          <w:rFonts w:hint="cs"/>
          <w:rtl/>
        </w:rPr>
        <w:t xml:space="preserve">אתם הורסים </w:t>
      </w:r>
      <w:bookmarkStart w:id="82171" w:name="_ETM_Q163_288712"/>
      <w:bookmarkEnd w:id="82171"/>
      <w:r>
        <w:rPr>
          <w:rFonts w:hint="cs"/>
          <w:rtl/>
        </w:rPr>
        <w:t xml:space="preserve">את המדינה. </w:t>
      </w:r>
    </w:p>
    <w:p w:rsidR="00BB59CD" w:rsidRDefault="00BB59CD" w:rsidP="00BB59CD">
      <w:pPr>
        <w:rPr>
          <w:rtl/>
        </w:rPr>
      </w:pPr>
    </w:p>
    <w:p w:rsidR="00BB59CD" w:rsidRDefault="00BB59CD" w:rsidP="00BB59CD">
      <w:pPr>
        <w:pStyle w:val="af8"/>
        <w:keepNext/>
        <w:rPr>
          <w:rtl/>
        </w:rPr>
      </w:pPr>
      <w:bookmarkStart w:id="82172" w:name="ET_interruption_5787_54"/>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172"/>
    </w:p>
    <w:p w:rsidR="00BB59CD" w:rsidRDefault="00BB59CD" w:rsidP="00337201">
      <w:pPr>
        <w:rPr>
          <w:rtl/>
        </w:rPr>
      </w:pPr>
    </w:p>
    <w:p w:rsidR="00BB59CD" w:rsidRDefault="00BB59CD" w:rsidP="00BB59CD">
      <w:pPr>
        <w:rPr>
          <w:rtl/>
        </w:rPr>
      </w:pPr>
      <w:r>
        <w:rPr>
          <w:rFonts w:hint="cs"/>
          <w:rtl/>
        </w:rPr>
        <w:t>- - - הביטחון, הכלכלה, הגנת הסביבה, בריאות הציבור - - -</w:t>
      </w:r>
    </w:p>
    <w:p w:rsidR="00BB59CD" w:rsidRDefault="00BB59CD" w:rsidP="00BB59CD">
      <w:pPr>
        <w:rPr>
          <w:rtl/>
        </w:rPr>
      </w:pPr>
      <w:bookmarkStart w:id="82173" w:name="_ETM_Q163_290824"/>
      <w:bookmarkStart w:id="82174" w:name="_ETM_Q163_290903"/>
      <w:bookmarkEnd w:id="82173"/>
      <w:bookmarkEnd w:id="82174"/>
    </w:p>
    <w:p w:rsidR="00BB59CD" w:rsidRDefault="00BB59CD" w:rsidP="00BB59CD">
      <w:pPr>
        <w:pStyle w:val="-"/>
        <w:keepNext/>
        <w:rPr>
          <w:rtl/>
        </w:rPr>
      </w:pPr>
      <w:bookmarkStart w:id="82175" w:name="ET_speakercontinue_6464_53"/>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75"/>
    </w:p>
    <w:p w:rsidR="00BB59CD" w:rsidRDefault="00BB59CD" w:rsidP="00337201">
      <w:pPr>
        <w:rPr>
          <w:rtl/>
        </w:rPr>
      </w:pPr>
    </w:p>
    <w:p w:rsidR="00BB59CD" w:rsidRDefault="00BB59CD" w:rsidP="00BB59CD">
      <w:pPr>
        <w:rPr>
          <w:rtl/>
        </w:rPr>
      </w:pPr>
      <w:bookmarkStart w:id="82176" w:name="_ETM_Q163_291723"/>
      <w:bookmarkEnd w:id="82176"/>
      <w:r>
        <w:rPr>
          <w:rFonts w:hint="cs"/>
          <w:rtl/>
        </w:rPr>
        <w:t>אתם טוענים פעם אחר פעם שתיקון</w:t>
      </w:r>
      <w:r w:rsidR="009123FF">
        <w:rPr>
          <w:rFonts w:hint="cs"/>
          <w:rtl/>
        </w:rPr>
        <w:t>,</w:t>
      </w:r>
      <w:r>
        <w:rPr>
          <w:rFonts w:hint="cs"/>
          <w:rtl/>
        </w:rPr>
        <w:t xml:space="preserve"> שאתם תומכים </w:t>
      </w:r>
      <w:bookmarkStart w:id="82177" w:name="_ETM_Q163_290354"/>
      <w:bookmarkEnd w:id="82177"/>
      <w:r>
        <w:rPr>
          <w:rFonts w:hint="cs"/>
          <w:rtl/>
        </w:rPr>
        <w:t>בו - -</w:t>
      </w:r>
    </w:p>
    <w:p w:rsidR="00BB59CD" w:rsidRDefault="00BB59CD" w:rsidP="00BB59CD">
      <w:pPr>
        <w:rPr>
          <w:rtl/>
        </w:rPr>
      </w:pPr>
    </w:p>
    <w:p w:rsidR="00BB59CD" w:rsidRDefault="00BB59CD" w:rsidP="00BB59CD">
      <w:pPr>
        <w:pStyle w:val="af8"/>
        <w:keepNext/>
        <w:rPr>
          <w:rtl/>
        </w:rPr>
      </w:pPr>
      <w:bookmarkStart w:id="82178" w:name="ET_interruption_קריאות_55"/>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178"/>
    </w:p>
    <w:p w:rsidR="00BB59CD" w:rsidRDefault="00BB59CD" w:rsidP="00337201">
      <w:pPr>
        <w:rPr>
          <w:rtl/>
        </w:rPr>
      </w:pPr>
    </w:p>
    <w:p w:rsidR="00BB59CD" w:rsidRDefault="00BB59CD" w:rsidP="00BB59CD">
      <w:pPr>
        <w:rPr>
          <w:rtl/>
        </w:rPr>
      </w:pPr>
      <w:r>
        <w:rPr>
          <w:rFonts w:hint="cs"/>
          <w:rtl/>
        </w:rPr>
        <w:t>- - -</w:t>
      </w:r>
    </w:p>
    <w:p w:rsidR="00BB59CD" w:rsidRDefault="00BB59CD" w:rsidP="00BB59CD">
      <w:pPr>
        <w:rPr>
          <w:rtl/>
        </w:rPr>
      </w:pPr>
    </w:p>
    <w:p w:rsidR="00BB59CD" w:rsidRDefault="00BB59CD" w:rsidP="00BB59CD">
      <w:pPr>
        <w:pStyle w:val="-"/>
        <w:keepNext/>
        <w:rPr>
          <w:rtl/>
        </w:rPr>
      </w:pPr>
      <w:bookmarkStart w:id="82179" w:name="ET_speakercontinue_6464_58"/>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79"/>
    </w:p>
    <w:p w:rsidR="00BB59CD" w:rsidRDefault="00BB59CD" w:rsidP="00337201">
      <w:pPr>
        <w:rPr>
          <w:rtl/>
        </w:rPr>
      </w:pPr>
    </w:p>
    <w:p w:rsidR="00BB59CD" w:rsidRDefault="00BB59CD" w:rsidP="00BB59CD">
      <w:pPr>
        <w:rPr>
          <w:rtl/>
        </w:rPr>
      </w:pPr>
      <w:r>
        <w:rPr>
          <w:rFonts w:hint="cs"/>
          <w:rtl/>
        </w:rPr>
        <w:t xml:space="preserve">- - תיקון שאתם יודעים שהוא נכון - - </w:t>
      </w:r>
    </w:p>
    <w:p w:rsidR="00BB59CD" w:rsidRDefault="00BB59CD" w:rsidP="00BB59CD">
      <w:pPr>
        <w:rPr>
          <w:rtl/>
        </w:rPr>
      </w:pPr>
    </w:p>
    <w:p w:rsidR="00BB59CD" w:rsidRDefault="00BB59CD" w:rsidP="00BB59CD">
      <w:pPr>
        <w:pStyle w:val="af9"/>
        <w:keepNext/>
        <w:rPr>
          <w:rtl/>
        </w:rPr>
      </w:pPr>
      <w:bookmarkStart w:id="82180" w:name="ET_yor_6423_5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180"/>
    </w:p>
    <w:p w:rsidR="00BB59CD" w:rsidRDefault="00BB59CD" w:rsidP="00337201">
      <w:pPr>
        <w:rPr>
          <w:rtl/>
        </w:rPr>
      </w:pPr>
    </w:p>
    <w:p w:rsidR="00BB59CD" w:rsidRDefault="00BB59CD" w:rsidP="00BB59CD">
      <w:pPr>
        <w:rPr>
          <w:rtl/>
        </w:rPr>
      </w:pPr>
      <w:r>
        <w:rPr>
          <w:rFonts w:hint="cs"/>
          <w:rtl/>
        </w:rPr>
        <w:t xml:space="preserve">חבר הכנסת רון כץ, קראתי לך בקריאה ראשונה. </w:t>
      </w:r>
    </w:p>
    <w:p w:rsidR="00BB59CD" w:rsidRDefault="00BB59CD" w:rsidP="00BB59CD">
      <w:pPr>
        <w:rPr>
          <w:rtl/>
        </w:rPr>
      </w:pPr>
      <w:bookmarkStart w:id="82181" w:name="_ETM_Q163_301796"/>
      <w:bookmarkStart w:id="82182" w:name="_ETM_Q163_301881"/>
      <w:bookmarkEnd w:id="82181"/>
      <w:bookmarkEnd w:id="82182"/>
    </w:p>
    <w:p w:rsidR="00BB59CD" w:rsidRDefault="00BB59CD" w:rsidP="00BB59CD">
      <w:pPr>
        <w:pStyle w:val="-"/>
        <w:keepNext/>
        <w:rPr>
          <w:rtl/>
        </w:rPr>
      </w:pPr>
      <w:bookmarkStart w:id="82183" w:name="ET_speakercontinue_6464_57"/>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83"/>
    </w:p>
    <w:p w:rsidR="00BB59CD" w:rsidRDefault="00BB59CD" w:rsidP="00337201">
      <w:pPr>
        <w:rPr>
          <w:rtl/>
        </w:rPr>
      </w:pPr>
    </w:p>
    <w:p w:rsidR="00BB59CD" w:rsidRDefault="00BB59CD" w:rsidP="00BB59CD">
      <w:pPr>
        <w:rPr>
          <w:rtl/>
        </w:rPr>
      </w:pPr>
      <w:r>
        <w:rPr>
          <w:rFonts w:hint="cs"/>
          <w:rtl/>
        </w:rPr>
        <w:t>- - תיקון שדיברתם עליו במשך שנים, תיקון שחבריכם לאופוזיציה כתבו אותו במצע שלהם - -</w:t>
      </w:r>
    </w:p>
    <w:p w:rsidR="00BB59CD" w:rsidRDefault="00BB59CD" w:rsidP="00BB59CD">
      <w:pPr>
        <w:rPr>
          <w:rtl/>
        </w:rPr>
      </w:pPr>
    </w:p>
    <w:p w:rsidR="00BB59CD" w:rsidRDefault="00BB59CD" w:rsidP="00BB59CD">
      <w:pPr>
        <w:pStyle w:val="af8"/>
        <w:keepNext/>
        <w:rPr>
          <w:rtl/>
        </w:rPr>
      </w:pPr>
      <w:bookmarkStart w:id="82184" w:name="ET_interruption_6341_59"/>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82184"/>
    </w:p>
    <w:p w:rsidR="00BB59CD" w:rsidRDefault="00BB59CD" w:rsidP="00337201">
      <w:pPr>
        <w:rPr>
          <w:rtl/>
        </w:rPr>
      </w:pPr>
    </w:p>
    <w:p w:rsidR="00BB59CD" w:rsidRDefault="00BB59CD" w:rsidP="00BB59CD">
      <w:pPr>
        <w:rPr>
          <w:rtl/>
        </w:rPr>
      </w:pPr>
      <w:r>
        <w:rPr>
          <w:rFonts w:hint="cs"/>
          <w:rtl/>
        </w:rPr>
        <w:t>סליחה, למה הרמטכ"ל ושר הביטחון - - -</w:t>
      </w:r>
    </w:p>
    <w:p w:rsidR="00BB59CD" w:rsidRDefault="00BB59CD" w:rsidP="00BB59CD">
      <w:pPr>
        <w:rPr>
          <w:rtl/>
        </w:rPr>
      </w:pPr>
      <w:bookmarkStart w:id="82185" w:name="_ETM_Q163_305344"/>
      <w:bookmarkStart w:id="82186" w:name="_ETM_Q163_305443"/>
      <w:bookmarkEnd w:id="82185"/>
      <w:bookmarkEnd w:id="82186"/>
    </w:p>
    <w:p w:rsidR="00BB59CD" w:rsidRDefault="00BB59CD" w:rsidP="00BB59CD">
      <w:pPr>
        <w:pStyle w:val="-"/>
        <w:keepNext/>
        <w:rPr>
          <w:rtl/>
        </w:rPr>
      </w:pPr>
      <w:bookmarkStart w:id="82187" w:name="ET_speakercontinue_6464_60"/>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87"/>
    </w:p>
    <w:p w:rsidR="00BB59CD" w:rsidRDefault="00BB59CD" w:rsidP="00337201">
      <w:pPr>
        <w:rPr>
          <w:rtl/>
        </w:rPr>
      </w:pPr>
    </w:p>
    <w:p w:rsidR="00BB59CD" w:rsidRDefault="00BB59CD" w:rsidP="00BB59CD">
      <w:pPr>
        <w:rPr>
          <w:rtl/>
        </w:rPr>
      </w:pPr>
      <w:bookmarkStart w:id="82188" w:name="_ETM_Q163_306284"/>
      <w:bookmarkEnd w:id="82188"/>
      <w:r>
        <w:rPr>
          <w:rFonts w:hint="cs"/>
          <w:rtl/>
        </w:rPr>
        <w:t xml:space="preserve"> - - תיקונים שדיברו עליהם </w:t>
      </w:r>
      <w:bookmarkStart w:id="82189" w:name="_ETM_Q163_308463"/>
      <w:bookmarkEnd w:id="82189"/>
      <w:r>
        <w:rPr>
          <w:rFonts w:hint="cs"/>
          <w:rtl/>
        </w:rPr>
        <w:t>שופטים בבית המשפט העליון - -</w:t>
      </w:r>
    </w:p>
    <w:p w:rsidR="00BB59CD" w:rsidRDefault="00BB59CD" w:rsidP="00BB59CD">
      <w:pPr>
        <w:rPr>
          <w:rtl/>
        </w:rPr>
      </w:pPr>
    </w:p>
    <w:p w:rsidR="00BB59CD" w:rsidRDefault="00BB59CD" w:rsidP="00BB59CD">
      <w:pPr>
        <w:pStyle w:val="af8"/>
        <w:keepNext/>
        <w:rPr>
          <w:rtl/>
        </w:rPr>
      </w:pPr>
      <w:bookmarkStart w:id="82190" w:name="ET_interruption_5787_63"/>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190"/>
    </w:p>
    <w:p w:rsidR="00BB59CD" w:rsidRDefault="00BB59CD" w:rsidP="00337201">
      <w:pPr>
        <w:rPr>
          <w:rtl/>
        </w:rPr>
      </w:pPr>
    </w:p>
    <w:p w:rsidR="00BB59CD" w:rsidRDefault="00BB59CD" w:rsidP="00BB59CD">
      <w:pPr>
        <w:rPr>
          <w:rtl/>
        </w:rPr>
      </w:pPr>
      <w:r>
        <w:rPr>
          <w:rFonts w:hint="cs"/>
          <w:rtl/>
        </w:rPr>
        <w:t>שקר.</w:t>
      </w:r>
    </w:p>
    <w:p w:rsidR="00BB59CD" w:rsidRDefault="00BB59CD" w:rsidP="00BB59CD">
      <w:pPr>
        <w:rPr>
          <w:rtl/>
        </w:rPr>
      </w:pPr>
    </w:p>
    <w:p w:rsidR="00BB59CD" w:rsidRDefault="00BB59CD" w:rsidP="00BB59CD">
      <w:pPr>
        <w:pStyle w:val="af8"/>
        <w:keepNext/>
        <w:rPr>
          <w:rtl/>
        </w:rPr>
      </w:pPr>
      <w:bookmarkStart w:id="82191" w:name="ET_interruption_6151_61"/>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191"/>
    </w:p>
    <w:p w:rsidR="00BB59CD" w:rsidRDefault="00BB59CD" w:rsidP="00337201">
      <w:pPr>
        <w:rPr>
          <w:rtl/>
        </w:rPr>
      </w:pPr>
    </w:p>
    <w:p w:rsidR="00BB59CD" w:rsidRDefault="00BB59CD" w:rsidP="00BB59CD">
      <w:pPr>
        <w:rPr>
          <w:rtl/>
        </w:rPr>
      </w:pPr>
      <w:r>
        <w:rPr>
          <w:rFonts w:hint="cs"/>
          <w:rtl/>
        </w:rPr>
        <w:t xml:space="preserve">שקר. שקר. אתה משקר. </w:t>
      </w:r>
    </w:p>
    <w:p w:rsidR="00BB59CD" w:rsidRDefault="00BB59CD" w:rsidP="00BB59CD">
      <w:pPr>
        <w:rPr>
          <w:rtl/>
        </w:rPr>
      </w:pPr>
    </w:p>
    <w:p w:rsidR="00BB59CD" w:rsidRDefault="00BB59CD" w:rsidP="00BB59CD">
      <w:pPr>
        <w:pStyle w:val="-"/>
        <w:keepNext/>
        <w:rPr>
          <w:rtl/>
        </w:rPr>
      </w:pPr>
      <w:bookmarkStart w:id="82192" w:name="ET_speakercontinue_6464_62"/>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92"/>
    </w:p>
    <w:p w:rsidR="00BB59CD" w:rsidRDefault="00BB59CD" w:rsidP="00337201">
      <w:pPr>
        <w:rPr>
          <w:rtl/>
        </w:rPr>
      </w:pPr>
    </w:p>
    <w:p w:rsidR="00BB59CD" w:rsidRDefault="00BB59CD" w:rsidP="00BB59CD">
      <w:pPr>
        <w:rPr>
          <w:rtl/>
        </w:rPr>
      </w:pPr>
      <w:r>
        <w:rPr>
          <w:rFonts w:hint="cs"/>
          <w:rtl/>
        </w:rPr>
        <w:t xml:space="preserve">- - </w:t>
      </w:r>
      <w:bookmarkStart w:id="82193" w:name="_ETM_Q163_308047"/>
      <w:bookmarkEnd w:id="82193"/>
      <w:r>
        <w:rPr>
          <w:rFonts w:hint="cs"/>
          <w:rtl/>
        </w:rPr>
        <w:t>אתם טוענים שמדובר בקץ</w:t>
      </w:r>
      <w:bookmarkStart w:id="82194" w:name="_ETM_Q163_308694"/>
      <w:bookmarkEnd w:id="82194"/>
      <w:r>
        <w:rPr>
          <w:rFonts w:hint="cs"/>
          <w:rtl/>
        </w:rPr>
        <w:t xml:space="preserve"> הדמוקרטיה. אתם מפיצים את הפייק הזה.</w:t>
      </w:r>
    </w:p>
    <w:p w:rsidR="00BB59CD" w:rsidRDefault="00BB59CD" w:rsidP="00BB59CD">
      <w:pPr>
        <w:rPr>
          <w:rtl/>
        </w:rPr>
      </w:pPr>
    </w:p>
    <w:p w:rsidR="00BB59CD" w:rsidRDefault="00BB59CD" w:rsidP="00BB59CD">
      <w:pPr>
        <w:pStyle w:val="af8"/>
        <w:keepNext/>
        <w:rPr>
          <w:rtl/>
        </w:rPr>
      </w:pPr>
      <w:bookmarkStart w:id="82195" w:name="ET_interruption_6151_64"/>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195"/>
    </w:p>
    <w:p w:rsidR="00BB59CD" w:rsidRDefault="00BB59CD" w:rsidP="00337201">
      <w:pPr>
        <w:rPr>
          <w:rtl/>
        </w:rPr>
      </w:pPr>
    </w:p>
    <w:p w:rsidR="00BB59CD" w:rsidRDefault="00BB59CD" w:rsidP="00BB59CD">
      <w:pPr>
        <w:rPr>
          <w:rtl/>
        </w:rPr>
      </w:pPr>
      <w:r>
        <w:rPr>
          <w:rFonts w:hint="cs"/>
          <w:rtl/>
        </w:rPr>
        <w:t xml:space="preserve">שקר. </w:t>
      </w:r>
      <w:r w:rsidR="009123FF">
        <w:rPr>
          <w:rFonts w:hint="cs"/>
          <w:rtl/>
        </w:rPr>
        <w:t xml:space="preserve">שקר. </w:t>
      </w:r>
    </w:p>
    <w:p w:rsidR="00BB59CD" w:rsidRDefault="00BB59CD" w:rsidP="00BB59CD">
      <w:pPr>
        <w:rPr>
          <w:rtl/>
        </w:rPr>
      </w:pPr>
      <w:bookmarkStart w:id="82196" w:name="_ETM_Q163_319614"/>
      <w:bookmarkStart w:id="82197" w:name="_ETM_Q163_319697"/>
      <w:bookmarkEnd w:id="82196"/>
      <w:bookmarkEnd w:id="82197"/>
    </w:p>
    <w:p w:rsidR="00BB59CD" w:rsidRDefault="00BB59CD" w:rsidP="00BB59CD">
      <w:pPr>
        <w:pStyle w:val="-"/>
        <w:keepNext/>
        <w:rPr>
          <w:rtl/>
        </w:rPr>
      </w:pPr>
      <w:bookmarkStart w:id="82198" w:name="ET_speakercontinue_6464_65"/>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198"/>
    </w:p>
    <w:p w:rsidR="00BB59CD" w:rsidRDefault="00BB59CD" w:rsidP="00337201">
      <w:pPr>
        <w:rPr>
          <w:rtl/>
        </w:rPr>
      </w:pPr>
    </w:p>
    <w:p w:rsidR="00BB59CD" w:rsidRDefault="00BB59CD" w:rsidP="00BB59CD">
      <w:pPr>
        <w:rPr>
          <w:rtl/>
        </w:rPr>
      </w:pPr>
      <w:bookmarkStart w:id="82199" w:name="_ETM_Q163_320636"/>
      <w:bookmarkEnd w:id="82199"/>
      <w:r>
        <w:rPr>
          <w:rFonts w:hint="cs"/>
          <w:rtl/>
        </w:rPr>
        <w:t>והאחריות על האנשים המפוחדים - -</w:t>
      </w:r>
    </w:p>
    <w:p w:rsidR="00BB59CD" w:rsidRDefault="00BB59CD" w:rsidP="00BB59CD">
      <w:pPr>
        <w:rPr>
          <w:rtl/>
        </w:rPr>
      </w:pPr>
      <w:bookmarkStart w:id="82200" w:name="_ETM_Q163_316310"/>
      <w:bookmarkStart w:id="82201" w:name="_ETM_Q163_316404"/>
      <w:bookmarkEnd w:id="82200"/>
      <w:bookmarkEnd w:id="82201"/>
    </w:p>
    <w:p w:rsidR="00BB59CD" w:rsidRDefault="00BB59CD" w:rsidP="00BB59CD">
      <w:pPr>
        <w:pStyle w:val="af8"/>
        <w:keepNext/>
        <w:rPr>
          <w:rtl/>
        </w:rPr>
      </w:pPr>
      <w:bookmarkStart w:id="82202" w:name="ET_interruption_5084_67"/>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82202"/>
    </w:p>
    <w:p w:rsidR="00BB59CD" w:rsidRDefault="00BB59CD" w:rsidP="00337201">
      <w:pPr>
        <w:rPr>
          <w:rtl/>
        </w:rPr>
      </w:pPr>
    </w:p>
    <w:p w:rsidR="00BB59CD" w:rsidRDefault="00BB59CD" w:rsidP="00BB59CD">
      <w:pPr>
        <w:rPr>
          <w:rtl/>
        </w:rPr>
      </w:pPr>
      <w:r>
        <w:rPr>
          <w:rFonts w:hint="cs"/>
          <w:rtl/>
        </w:rPr>
        <w:t>- - -</w:t>
      </w:r>
    </w:p>
    <w:p w:rsidR="00BB59CD" w:rsidRDefault="00BB59CD" w:rsidP="00BB59CD">
      <w:pPr>
        <w:rPr>
          <w:rtl/>
        </w:rPr>
      </w:pPr>
    </w:p>
    <w:p w:rsidR="00BB59CD" w:rsidRDefault="00BB59CD" w:rsidP="00BB59CD">
      <w:pPr>
        <w:pStyle w:val="-"/>
        <w:keepNext/>
        <w:rPr>
          <w:rtl/>
        </w:rPr>
      </w:pPr>
      <w:bookmarkStart w:id="82203" w:name="ET_speakercontinue_6464_68"/>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203"/>
    </w:p>
    <w:p w:rsidR="00BB59CD" w:rsidRDefault="00BB59CD" w:rsidP="00337201">
      <w:pPr>
        <w:rPr>
          <w:rtl/>
        </w:rPr>
      </w:pPr>
    </w:p>
    <w:p w:rsidR="00BB59CD" w:rsidRDefault="00BB59CD" w:rsidP="00BB59CD">
      <w:pPr>
        <w:rPr>
          <w:rtl/>
        </w:rPr>
      </w:pPr>
      <w:r>
        <w:rPr>
          <w:rFonts w:hint="cs"/>
          <w:rtl/>
        </w:rPr>
        <w:t xml:space="preserve">- - </w:t>
      </w:r>
      <w:bookmarkStart w:id="82204" w:name="_ETM_Q163_319801"/>
      <w:bookmarkEnd w:id="82204"/>
      <w:r>
        <w:rPr>
          <w:rFonts w:hint="cs"/>
          <w:rtl/>
        </w:rPr>
        <w:t>שנמצאים בחוץ ושומעים את השקרים שאתם מפיצים - - -</w:t>
      </w:r>
    </w:p>
    <w:p w:rsidR="00BB59CD" w:rsidRDefault="00BB59CD" w:rsidP="00BB59CD">
      <w:pPr>
        <w:rPr>
          <w:rtl/>
        </w:rPr>
      </w:pPr>
    </w:p>
    <w:p w:rsidR="00BB59CD" w:rsidRDefault="00BB59CD" w:rsidP="00BB59CD">
      <w:pPr>
        <w:pStyle w:val="af8"/>
        <w:keepNext/>
        <w:rPr>
          <w:rtl/>
        </w:rPr>
      </w:pPr>
      <w:bookmarkStart w:id="82205" w:name="ET_interruption_קריאות_71"/>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82205"/>
    </w:p>
    <w:p w:rsidR="00BB59CD" w:rsidRDefault="00BB59CD" w:rsidP="00337201">
      <w:pPr>
        <w:rPr>
          <w:rtl/>
        </w:rPr>
      </w:pPr>
    </w:p>
    <w:p w:rsidR="00BB59CD" w:rsidRDefault="00BB59CD" w:rsidP="00BB59CD">
      <w:pPr>
        <w:rPr>
          <w:rtl/>
        </w:rPr>
      </w:pPr>
      <w:r>
        <w:rPr>
          <w:rFonts w:hint="cs"/>
          <w:rtl/>
        </w:rPr>
        <w:t>- - -</w:t>
      </w:r>
    </w:p>
    <w:p w:rsidR="00BB59CD" w:rsidRDefault="00BB59CD" w:rsidP="00BB59CD">
      <w:pPr>
        <w:rPr>
          <w:rtl/>
        </w:rPr>
      </w:pPr>
    </w:p>
    <w:p w:rsidR="00BB59CD" w:rsidRDefault="00BB59CD" w:rsidP="00BB59CD">
      <w:pPr>
        <w:pStyle w:val="af9"/>
        <w:keepNext/>
        <w:rPr>
          <w:rtl/>
        </w:rPr>
      </w:pPr>
      <w:bookmarkStart w:id="82206" w:name="_ETM_Q163_325925"/>
      <w:bookmarkStart w:id="82207" w:name="_ETM_Q163_326012"/>
      <w:bookmarkStart w:id="82208" w:name="ET_yor_6423_73"/>
      <w:bookmarkEnd w:id="82206"/>
      <w:bookmarkEnd w:id="8220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208"/>
    </w:p>
    <w:p w:rsidR="00BB59CD" w:rsidRDefault="00BB59CD" w:rsidP="00337201">
      <w:pPr>
        <w:rPr>
          <w:rtl/>
        </w:rPr>
      </w:pPr>
    </w:p>
    <w:p w:rsidR="00BB59CD" w:rsidRDefault="00BB59CD" w:rsidP="009123FF">
      <w:pPr>
        <w:rPr>
          <w:rtl/>
        </w:rPr>
      </w:pPr>
      <w:bookmarkStart w:id="82209" w:name="_ETM_Q163_326880"/>
      <w:bookmarkEnd w:id="82209"/>
      <w:r>
        <w:rPr>
          <w:rFonts w:hint="cs"/>
          <w:rtl/>
        </w:rPr>
        <w:t xml:space="preserve">חבר </w:t>
      </w:r>
      <w:bookmarkStart w:id="82210" w:name="_ETM_Q163_327462"/>
      <w:bookmarkEnd w:id="82210"/>
      <w:r>
        <w:rPr>
          <w:rFonts w:hint="cs"/>
          <w:rtl/>
        </w:rPr>
        <w:t>הכנסת טור פז. חברי הכנסת, תודה. בבקשה.</w:t>
      </w:r>
    </w:p>
    <w:p w:rsidR="00BB59CD" w:rsidRDefault="00BB59CD" w:rsidP="00BB59CD">
      <w:pPr>
        <w:rPr>
          <w:rtl/>
        </w:rPr>
      </w:pPr>
    </w:p>
    <w:p w:rsidR="00BB59CD" w:rsidRDefault="00BB59CD" w:rsidP="00BB59CD">
      <w:pPr>
        <w:pStyle w:val="af8"/>
        <w:keepNext/>
        <w:rPr>
          <w:rtl/>
        </w:rPr>
      </w:pPr>
      <w:bookmarkStart w:id="82211" w:name="ET_interruption_5787_75"/>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211"/>
    </w:p>
    <w:p w:rsidR="00BB59CD" w:rsidRDefault="00BB59CD" w:rsidP="00337201">
      <w:pPr>
        <w:rPr>
          <w:rtl/>
        </w:rPr>
      </w:pPr>
    </w:p>
    <w:p w:rsidR="00BB59CD" w:rsidRDefault="00BB59CD" w:rsidP="00BB59CD">
      <w:pPr>
        <w:rPr>
          <w:rtl/>
        </w:rPr>
      </w:pPr>
      <w:r>
        <w:rPr>
          <w:rFonts w:hint="cs"/>
          <w:rtl/>
        </w:rPr>
        <w:t xml:space="preserve">הזלזול שלך כלפי המפגינים </w:t>
      </w:r>
      <w:bookmarkStart w:id="82212" w:name="_ETM_Q163_326910"/>
      <w:bookmarkEnd w:id="82212"/>
      <w:r>
        <w:rPr>
          <w:rFonts w:hint="cs"/>
          <w:rtl/>
        </w:rPr>
        <w:t xml:space="preserve">בחוץ הוא מגונה. </w:t>
      </w:r>
    </w:p>
    <w:p w:rsidR="00BB59CD" w:rsidRDefault="00BB59CD" w:rsidP="00BB59CD">
      <w:pPr>
        <w:rPr>
          <w:rtl/>
        </w:rPr>
      </w:pPr>
      <w:bookmarkStart w:id="82213" w:name="_ETM_Q163_337473"/>
      <w:bookmarkStart w:id="82214" w:name="_ETM_Q163_337557"/>
      <w:bookmarkEnd w:id="82213"/>
      <w:bookmarkEnd w:id="82214"/>
    </w:p>
    <w:p w:rsidR="00BB59CD" w:rsidRDefault="00BB59CD" w:rsidP="00BB59CD">
      <w:pPr>
        <w:pStyle w:val="af9"/>
        <w:keepNext/>
        <w:rPr>
          <w:rtl/>
        </w:rPr>
      </w:pPr>
      <w:bookmarkStart w:id="82215" w:name="ET_yor_6423_7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215"/>
    </w:p>
    <w:p w:rsidR="00BB59CD" w:rsidRDefault="00BB59CD" w:rsidP="00337201">
      <w:pPr>
        <w:rPr>
          <w:rtl/>
        </w:rPr>
      </w:pPr>
    </w:p>
    <w:p w:rsidR="00BB59CD" w:rsidRDefault="00BB59CD" w:rsidP="00BB59CD">
      <w:pPr>
        <w:rPr>
          <w:rtl/>
        </w:rPr>
      </w:pPr>
      <w:bookmarkStart w:id="82216" w:name="_ETM_Q163_338434"/>
      <w:bookmarkEnd w:id="82216"/>
      <w:r>
        <w:rPr>
          <w:rFonts w:hint="cs"/>
          <w:rtl/>
        </w:rPr>
        <w:t xml:space="preserve">חבר </w:t>
      </w:r>
      <w:bookmarkStart w:id="82217" w:name="_ETM_Q163_339153"/>
      <w:bookmarkEnd w:id="82217"/>
      <w:r>
        <w:rPr>
          <w:rFonts w:hint="cs"/>
          <w:rtl/>
        </w:rPr>
        <w:t xml:space="preserve">הכנסת יוראי להב הרצנו, קריאה שלישית. נא לצאת. </w:t>
      </w:r>
    </w:p>
    <w:p w:rsidR="00BB59CD" w:rsidRDefault="00BB59CD" w:rsidP="00BB59CD">
      <w:pPr>
        <w:rPr>
          <w:rtl/>
        </w:rPr>
      </w:pPr>
    </w:p>
    <w:p w:rsidR="00BB59CD" w:rsidRDefault="00BB59CD" w:rsidP="00BB59CD">
      <w:pPr>
        <w:pStyle w:val="af8"/>
        <w:keepNext/>
        <w:rPr>
          <w:rtl/>
        </w:rPr>
      </w:pPr>
      <w:bookmarkStart w:id="82218" w:name="ET_interruption_5787_79"/>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218"/>
    </w:p>
    <w:p w:rsidR="00BB59CD" w:rsidRDefault="00BB59CD" w:rsidP="00337201">
      <w:pPr>
        <w:rPr>
          <w:rtl/>
        </w:rPr>
      </w:pPr>
    </w:p>
    <w:p w:rsidR="00BB59CD" w:rsidRDefault="00BB59CD" w:rsidP="00BB59CD">
      <w:pPr>
        <w:rPr>
          <w:rtl/>
        </w:rPr>
      </w:pPr>
      <w:r>
        <w:rPr>
          <w:rFonts w:hint="cs"/>
          <w:rtl/>
        </w:rPr>
        <w:t>הוא מגונה.</w:t>
      </w:r>
    </w:p>
    <w:p w:rsidR="00BB59CD" w:rsidRDefault="00BB59CD" w:rsidP="00BB59CD">
      <w:pPr>
        <w:rPr>
          <w:rtl/>
        </w:rPr>
      </w:pPr>
    </w:p>
    <w:p w:rsidR="00BB59CD" w:rsidRDefault="00BB59CD" w:rsidP="00BB59CD">
      <w:pPr>
        <w:pStyle w:val="af9"/>
        <w:keepNext/>
        <w:rPr>
          <w:rtl/>
        </w:rPr>
      </w:pPr>
      <w:bookmarkStart w:id="82219" w:name="ET_yor_6423_8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219"/>
    </w:p>
    <w:p w:rsidR="00BB59CD" w:rsidRDefault="00BB59CD" w:rsidP="00337201">
      <w:pPr>
        <w:rPr>
          <w:rtl/>
        </w:rPr>
      </w:pPr>
    </w:p>
    <w:p w:rsidR="00BB59CD" w:rsidRDefault="00BB59CD" w:rsidP="00BB59CD">
      <w:pPr>
        <w:rPr>
          <w:rtl/>
        </w:rPr>
      </w:pPr>
      <w:r>
        <w:rPr>
          <w:rFonts w:hint="cs"/>
          <w:rtl/>
        </w:rPr>
        <w:t xml:space="preserve">חבר הכנסת יוראי להב הרצנו, קריאה שלישית. נא לצאת. </w:t>
      </w:r>
    </w:p>
    <w:p w:rsidR="00BB59CD" w:rsidRDefault="00BB59CD" w:rsidP="00BB59CD">
      <w:pPr>
        <w:rPr>
          <w:rtl/>
        </w:rPr>
      </w:pPr>
    </w:p>
    <w:p w:rsidR="00BB59CD" w:rsidRDefault="00BB59CD" w:rsidP="00BB59CD">
      <w:pPr>
        <w:pStyle w:val="af8"/>
        <w:keepNext/>
        <w:rPr>
          <w:rtl/>
        </w:rPr>
      </w:pPr>
      <w:bookmarkStart w:id="82220" w:name="ET_interruption_5787_81"/>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220"/>
    </w:p>
    <w:p w:rsidR="00BB59CD" w:rsidRDefault="00BB59CD" w:rsidP="00337201">
      <w:pPr>
        <w:rPr>
          <w:rtl/>
        </w:rPr>
      </w:pPr>
    </w:p>
    <w:p w:rsidR="00BB59CD" w:rsidRDefault="00BB59CD" w:rsidP="00BB59CD">
      <w:pPr>
        <w:rPr>
          <w:rtl/>
        </w:rPr>
      </w:pPr>
      <w:r>
        <w:rPr>
          <w:rFonts w:hint="cs"/>
          <w:rtl/>
        </w:rPr>
        <w:t xml:space="preserve">- </w:t>
      </w:r>
      <w:bookmarkStart w:id="82221" w:name="_ETM_Q163_343503"/>
      <w:bookmarkEnd w:id="82221"/>
      <w:r>
        <w:rPr>
          <w:rFonts w:hint="cs"/>
          <w:rtl/>
        </w:rPr>
        <w:t xml:space="preserve">- - אתם מתעלמים מכל המומחים – </w:t>
      </w:r>
      <w:bookmarkStart w:id="82222" w:name="_ETM_Q163_348593"/>
      <w:bookmarkEnd w:id="82222"/>
      <w:r>
        <w:rPr>
          <w:rFonts w:hint="cs"/>
          <w:rtl/>
        </w:rPr>
        <w:t xml:space="preserve">לביטחון, לחברה, לכלכלה, לאחדות </w:t>
      </w:r>
      <w:bookmarkStart w:id="82223" w:name="_ETM_Q163_344743"/>
      <w:bookmarkEnd w:id="82223"/>
      <w:r>
        <w:rPr>
          <w:rFonts w:hint="cs"/>
          <w:rtl/>
        </w:rPr>
        <w:t>עם ישראל - - -</w:t>
      </w:r>
    </w:p>
    <w:p w:rsidR="00BB59CD" w:rsidRDefault="00BB59CD" w:rsidP="00BB59CD">
      <w:pPr>
        <w:rPr>
          <w:rtl/>
        </w:rPr>
      </w:pPr>
    </w:p>
    <w:p w:rsidR="00BB59CD" w:rsidRDefault="00BB59CD" w:rsidP="00BB59CD">
      <w:pPr>
        <w:pStyle w:val="af9"/>
        <w:keepNext/>
        <w:rPr>
          <w:rtl/>
        </w:rPr>
      </w:pPr>
      <w:bookmarkStart w:id="82224" w:name="ET_yor_6423_8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224"/>
    </w:p>
    <w:p w:rsidR="00BB59CD" w:rsidRDefault="00BB59CD" w:rsidP="00337201">
      <w:pPr>
        <w:rPr>
          <w:rtl/>
        </w:rPr>
      </w:pPr>
    </w:p>
    <w:p w:rsidR="00BB59CD" w:rsidRDefault="00BB59CD" w:rsidP="00BB59CD">
      <w:pPr>
        <w:rPr>
          <w:rtl/>
        </w:rPr>
      </w:pPr>
      <w:r>
        <w:rPr>
          <w:rFonts w:hint="cs"/>
          <w:rtl/>
        </w:rPr>
        <w:t>נא לצאת. תודה רבה.</w:t>
      </w:r>
    </w:p>
    <w:p w:rsidR="00BB59CD" w:rsidRDefault="00BB59CD" w:rsidP="00BB59CD">
      <w:pPr>
        <w:rPr>
          <w:rtl/>
        </w:rPr>
      </w:pPr>
      <w:bookmarkStart w:id="82225" w:name="_ETM_Q163_351515"/>
      <w:bookmarkStart w:id="82226" w:name="_ETM_Q163_351609"/>
      <w:bookmarkEnd w:id="82225"/>
      <w:bookmarkEnd w:id="82226"/>
    </w:p>
    <w:p w:rsidR="00BB59CD" w:rsidRDefault="00BB59CD" w:rsidP="00BB59CD">
      <w:pPr>
        <w:pStyle w:val="af8"/>
        <w:keepNext/>
        <w:rPr>
          <w:rtl/>
        </w:rPr>
      </w:pPr>
      <w:bookmarkStart w:id="82227" w:name="ET_interruption_5787_83"/>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227"/>
    </w:p>
    <w:p w:rsidR="00BB59CD" w:rsidRDefault="00BB59CD" w:rsidP="00337201">
      <w:pPr>
        <w:rPr>
          <w:rtl/>
        </w:rPr>
      </w:pPr>
    </w:p>
    <w:p w:rsidR="00BB59CD" w:rsidRDefault="00BB59CD" w:rsidP="00BB59CD">
      <w:pPr>
        <w:rPr>
          <w:rtl/>
        </w:rPr>
      </w:pPr>
      <w:r>
        <w:rPr>
          <w:rFonts w:hint="cs"/>
          <w:rtl/>
        </w:rPr>
        <w:t xml:space="preserve">אתם מובילים אותנו </w:t>
      </w:r>
      <w:bookmarkStart w:id="82228" w:name="_ETM_Q163_348703"/>
      <w:bookmarkEnd w:id="82228"/>
      <w:r>
        <w:rPr>
          <w:rFonts w:hint="cs"/>
          <w:rtl/>
        </w:rPr>
        <w:t xml:space="preserve">לחורבן בעיניים פקוחות לרווחה. תתביישו. </w:t>
      </w:r>
    </w:p>
    <w:p w:rsidR="00BB59CD" w:rsidRDefault="00BB59CD" w:rsidP="00BB59CD">
      <w:pPr>
        <w:rPr>
          <w:rtl/>
        </w:rPr>
      </w:pPr>
      <w:bookmarkStart w:id="82229" w:name="_ETM_Q163_348656"/>
      <w:bookmarkStart w:id="82230" w:name="_ETM_Q163_348780"/>
      <w:bookmarkStart w:id="82231" w:name="_ETM_Q163_350571"/>
      <w:bookmarkStart w:id="82232" w:name="_ETM_Q163_350635"/>
      <w:bookmarkEnd w:id="82229"/>
      <w:bookmarkEnd w:id="82230"/>
      <w:bookmarkEnd w:id="82231"/>
      <w:bookmarkEnd w:id="82232"/>
    </w:p>
    <w:p w:rsidR="00BB59CD" w:rsidRDefault="00BB59CD" w:rsidP="00BB59CD">
      <w:pPr>
        <w:pStyle w:val="af8"/>
        <w:keepNext/>
        <w:rPr>
          <w:rtl/>
        </w:rPr>
      </w:pPr>
      <w:bookmarkStart w:id="82233" w:name="ET_interruption_קריאות_134"/>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233"/>
    </w:p>
    <w:p w:rsidR="00BB59CD" w:rsidRDefault="00BB59CD" w:rsidP="00337201">
      <w:pPr>
        <w:rPr>
          <w:rtl/>
        </w:rPr>
      </w:pPr>
    </w:p>
    <w:p w:rsidR="00BB59CD" w:rsidRDefault="00BB59CD" w:rsidP="00BB59CD">
      <w:pPr>
        <w:rPr>
          <w:rtl/>
        </w:rPr>
      </w:pPr>
      <w:bookmarkStart w:id="82234" w:name="_ETM_Q163_352137"/>
      <w:bookmarkStart w:id="82235" w:name="_ETM_Q163_352401"/>
      <w:bookmarkStart w:id="82236" w:name="_ETM_Q163_352502"/>
      <w:bookmarkEnd w:id="82234"/>
      <w:bookmarkEnd w:id="82235"/>
      <w:bookmarkEnd w:id="82236"/>
      <w:r>
        <w:rPr>
          <w:rFonts w:hint="cs"/>
          <w:rtl/>
        </w:rPr>
        <w:t>- - -</w:t>
      </w:r>
    </w:p>
    <w:p w:rsidR="00BB59CD" w:rsidRDefault="00BB59CD" w:rsidP="00BB59CD">
      <w:pPr>
        <w:rPr>
          <w:rtl/>
        </w:rPr>
      </w:pPr>
      <w:bookmarkStart w:id="82237" w:name="_ETM_Q163_352902"/>
      <w:bookmarkStart w:id="82238" w:name="_ETM_Q163_352999"/>
      <w:bookmarkEnd w:id="82237"/>
      <w:bookmarkEnd w:id="82238"/>
    </w:p>
    <w:p w:rsidR="00BB59CD" w:rsidRDefault="00BB59CD" w:rsidP="00BB59CD">
      <w:pPr>
        <w:pStyle w:val="af8"/>
        <w:keepNext/>
        <w:rPr>
          <w:rtl/>
        </w:rPr>
      </w:pPr>
      <w:bookmarkStart w:id="82239" w:name="ET_interruption_6345_8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82239"/>
    </w:p>
    <w:p w:rsidR="00BB59CD" w:rsidRDefault="00BB59CD" w:rsidP="00337201">
      <w:pPr>
        <w:rPr>
          <w:rtl/>
        </w:rPr>
      </w:pPr>
    </w:p>
    <w:p w:rsidR="00BB59CD" w:rsidRDefault="00BB59CD" w:rsidP="00BB59CD">
      <w:pPr>
        <w:rPr>
          <w:rtl/>
        </w:rPr>
      </w:pPr>
      <w:bookmarkStart w:id="82240" w:name="_ETM_Q163_355465"/>
      <w:bookmarkEnd w:id="82240"/>
      <w:r>
        <w:rPr>
          <w:rFonts w:hint="cs"/>
          <w:rtl/>
        </w:rPr>
        <w:t>החוצה, כרגיל, אתה חייב לצאת - - -</w:t>
      </w:r>
    </w:p>
    <w:p w:rsidR="00BB59CD" w:rsidRDefault="00BB59CD" w:rsidP="00BB59CD">
      <w:pPr>
        <w:rPr>
          <w:rtl/>
        </w:rPr>
      </w:pPr>
    </w:p>
    <w:p w:rsidR="00BB59CD" w:rsidRDefault="00BB59CD" w:rsidP="00BB59CD">
      <w:pPr>
        <w:pStyle w:val="af8"/>
        <w:keepNext/>
        <w:rPr>
          <w:rtl/>
        </w:rPr>
      </w:pPr>
      <w:bookmarkStart w:id="82241" w:name="ET_interruption_6156_85"/>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82241"/>
    </w:p>
    <w:p w:rsidR="00BB59CD" w:rsidRDefault="00BB59CD" w:rsidP="00337201">
      <w:pPr>
        <w:rPr>
          <w:rtl/>
        </w:rPr>
      </w:pPr>
    </w:p>
    <w:p w:rsidR="00BB59CD" w:rsidRDefault="00BB59CD" w:rsidP="00BB59CD">
      <w:pPr>
        <w:rPr>
          <w:rtl/>
        </w:rPr>
      </w:pPr>
      <w:bookmarkStart w:id="82242" w:name="_ETM_Q163_354776"/>
      <w:bookmarkEnd w:id="82242"/>
      <w:r>
        <w:rPr>
          <w:rFonts w:hint="cs"/>
          <w:rtl/>
        </w:rPr>
        <w:t xml:space="preserve">- - </w:t>
      </w:r>
      <w:bookmarkStart w:id="82243" w:name="_ETM_Q163_355366"/>
      <w:bookmarkEnd w:id="82243"/>
      <w:r>
        <w:rPr>
          <w:rFonts w:hint="cs"/>
          <w:rtl/>
        </w:rPr>
        <w:t>-</w:t>
      </w:r>
    </w:p>
    <w:p w:rsidR="00BB59CD" w:rsidRDefault="00BB59CD" w:rsidP="00BB59CD">
      <w:pPr>
        <w:rPr>
          <w:rtl/>
        </w:rPr>
      </w:pPr>
      <w:bookmarkStart w:id="82244" w:name="_ETM_Q163_351741"/>
      <w:bookmarkStart w:id="82245" w:name="_ETM_Q163_351882"/>
      <w:bookmarkEnd w:id="82244"/>
      <w:bookmarkEnd w:id="82245"/>
    </w:p>
    <w:p w:rsidR="00BB59CD" w:rsidRDefault="00BB59CD" w:rsidP="00BB59CD">
      <w:pPr>
        <w:pStyle w:val="af8"/>
        <w:keepNext/>
        <w:rPr>
          <w:rtl/>
        </w:rPr>
      </w:pPr>
      <w:bookmarkStart w:id="82246" w:name="ET_interruption_5787_86"/>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246"/>
    </w:p>
    <w:p w:rsidR="00BB59CD" w:rsidRDefault="00BB59CD" w:rsidP="00337201">
      <w:pPr>
        <w:rPr>
          <w:rtl/>
        </w:rPr>
      </w:pPr>
    </w:p>
    <w:p w:rsidR="00BB59CD" w:rsidRDefault="00BB59CD" w:rsidP="00BB59CD">
      <w:pPr>
        <w:rPr>
          <w:rtl/>
        </w:rPr>
      </w:pPr>
      <w:r>
        <w:rPr>
          <w:rFonts w:hint="cs"/>
          <w:rtl/>
        </w:rPr>
        <w:t xml:space="preserve">בושה וחרפה. </w:t>
      </w:r>
    </w:p>
    <w:p w:rsidR="00BB59CD" w:rsidRDefault="00BB59CD" w:rsidP="00BB59CD">
      <w:pPr>
        <w:rPr>
          <w:rtl/>
        </w:rPr>
      </w:pPr>
    </w:p>
    <w:p w:rsidR="00BB59CD" w:rsidRDefault="00BB59CD" w:rsidP="00BB59CD">
      <w:pPr>
        <w:pStyle w:val="af8"/>
        <w:keepNext/>
        <w:rPr>
          <w:rtl/>
        </w:rPr>
      </w:pPr>
      <w:bookmarkStart w:id="82247" w:name="ET_interruption_6345_9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82247"/>
    </w:p>
    <w:p w:rsidR="00BB59CD" w:rsidRDefault="00BB59CD" w:rsidP="00337201">
      <w:pPr>
        <w:rPr>
          <w:rtl/>
        </w:rPr>
      </w:pPr>
    </w:p>
    <w:p w:rsidR="00BB59CD" w:rsidRDefault="00BB59CD" w:rsidP="00BB59CD">
      <w:pPr>
        <w:rPr>
          <w:rtl/>
        </w:rPr>
      </w:pPr>
      <w:r>
        <w:rPr>
          <w:rFonts w:hint="cs"/>
          <w:rtl/>
        </w:rPr>
        <w:t xml:space="preserve">רון חייב </w:t>
      </w:r>
      <w:bookmarkStart w:id="82248" w:name="_ETM_Q163_357133"/>
      <w:bookmarkEnd w:id="82248"/>
      <w:r>
        <w:rPr>
          <w:rFonts w:hint="cs"/>
          <w:rtl/>
        </w:rPr>
        <w:t>לצאת - - -</w:t>
      </w:r>
    </w:p>
    <w:p w:rsidR="00BB59CD" w:rsidRDefault="00BB59CD" w:rsidP="00BB59CD">
      <w:pPr>
        <w:rPr>
          <w:rtl/>
        </w:rPr>
      </w:pPr>
      <w:bookmarkStart w:id="82249" w:name="_ETM_Q163_359844"/>
      <w:bookmarkStart w:id="82250" w:name="_ETM_Q163_359941"/>
      <w:bookmarkStart w:id="82251" w:name="_ETM_Q163_359335"/>
      <w:bookmarkStart w:id="82252" w:name="_ETM_Q163_359423"/>
      <w:bookmarkEnd w:id="82249"/>
      <w:bookmarkEnd w:id="82250"/>
      <w:bookmarkEnd w:id="82251"/>
      <w:bookmarkEnd w:id="82252"/>
    </w:p>
    <w:p w:rsidR="00BB59CD" w:rsidRDefault="00BB59CD" w:rsidP="00BB59CD">
      <w:pPr>
        <w:pStyle w:val="af8"/>
        <w:keepNext/>
        <w:rPr>
          <w:rtl/>
        </w:rPr>
      </w:pPr>
      <w:bookmarkStart w:id="82253" w:name="ET_interruption_קריאה_87"/>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253"/>
    </w:p>
    <w:p w:rsidR="00BB59CD" w:rsidRDefault="00BB59CD" w:rsidP="00337201">
      <w:pPr>
        <w:rPr>
          <w:rtl/>
        </w:rPr>
      </w:pPr>
    </w:p>
    <w:p w:rsidR="00BB59CD" w:rsidRDefault="00BB59CD" w:rsidP="00BB59CD">
      <w:pPr>
        <w:rPr>
          <w:rtl/>
        </w:rPr>
      </w:pPr>
      <w:bookmarkStart w:id="82254" w:name="_ETM_Q163_360898"/>
      <w:bookmarkEnd w:id="82254"/>
      <w:r>
        <w:rPr>
          <w:rFonts w:hint="cs"/>
          <w:rtl/>
        </w:rPr>
        <w:t>- - -</w:t>
      </w:r>
    </w:p>
    <w:p w:rsidR="00BB59CD" w:rsidRDefault="00BB59CD" w:rsidP="00BB59CD">
      <w:pPr>
        <w:rPr>
          <w:rtl/>
        </w:rPr>
      </w:pPr>
    </w:p>
    <w:p w:rsidR="00BB59CD" w:rsidRDefault="00BB59CD" w:rsidP="00BB59CD">
      <w:pPr>
        <w:pStyle w:val="af9"/>
        <w:keepNext/>
        <w:rPr>
          <w:rtl/>
        </w:rPr>
      </w:pPr>
      <w:bookmarkStart w:id="82255" w:name="ET_yor_6423_9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255"/>
    </w:p>
    <w:p w:rsidR="00BB59CD" w:rsidRDefault="00BB59CD" w:rsidP="00337201">
      <w:pPr>
        <w:rPr>
          <w:rtl/>
        </w:rPr>
      </w:pPr>
    </w:p>
    <w:p w:rsidR="00BB59CD" w:rsidRDefault="00BB59CD" w:rsidP="00BB59CD">
      <w:pPr>
        <w:rPr>
          <w:rtl/>
        </w:rPr>
      </w:pPr>
      <w:r>
        <w:rPr>
          <w:rFonts w:hint="cs"/>
          <w:rtl/>
        </w:rPr>
        <w:t xml:space="preserve">חברת הכנסת גוטליב, קריאה ראשונה. תודה. </w:t>
      </w:r>
      <w:bookmarkStart w:id="82256" w:name="_ETM_Q163_362483"/>
      <w:bookmarkEnd w:id="82256"/>
    </w:p>
    <w:p w:rsidR="00BB59CD" w:rsidRDefault="00BB59CD" w:rsidP="00BB59CD">
      <w:pPr>
        <w:rPr>
          <w:rtl/>
        </w:rPr>
      </w:pPr>
      <w:bookmarkStart w:id="82257" w:name="_ETM_Q163_362687"/>
      <w:bookmarkEnd w:id="82257"/>
    </w:p>
    <w:p w:rsidR="00BB59CD" w:rsidRDefault="00BB59CD" w:rsidP="00BB59CD">
      <w:pPr>
        <w:pStyle w:val="af8"/>
        <w:keepNext/>
        <w:rPr>
          <w:rtl/>
        </w:rPr>
      </w:pPr>
      <w:bookmarkStart w:id="82258" w:name="ET_interruption_5787_135"/>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2258"/>
    </w:p>
    <w:p w:rsidR="00BB59CD" w:rsidRDefault="00BB59CD" w:rsidP="00337201">
      <w:pPr>
        <w:rPr>
          <w:rtl/>
        </w:rPr>
      </w:pPr>
    </w:p>
    <w:p w:rsidR="00BB59CD" w:rsidRDefault="00BB59CD" w:rsidP="00BB59CD">
      <w:pPr>
        <w:rPr>
          <w:rtl/>
        </w:rPr>
      </w:pPr>
      <w:bookmarkStart w:id="82259" w:name="_ETM_Q163_362210"/>
      <w:bookmarkStart w:id="82260" w:name="_ETM_Q163_362453"/>
      <w:bookmarkStart w:id="82261" w:name="_ETM_Q163_362547"/>
      <w:bookmarkEnd w:id="82259"/>
      <w:bookmarkEnd w:id="82260"/>
      <w:bookmarkEnd w:id="82261"/>
      <w:r>
        <w:rPr>
          <w:rFonts w:hint="cs"/>
          <w:rtl/>
        </w:rPr>
        <w:t xml:space="preserve">בושה וחרפה </w:t>
      </w:r>
      <w:bookmarkStart w:id="82262" w:name="_ETM_Q163_364657"/>
      <w:bookmarkEnd w:id="82262"/>
      <w:r>
        <w:rPr>
          <w:rFonts w:hint="cs"/>
          <w:rtl/>
        </w:rPr>
        <w:t xml:space="preserve">- - - </w:t>
      </w:r>
    </w:p>
    <w:p w:rsidR="00BB59CD" w:rsidRDefault="00BB59CD" w:rsidP="00BB59CD">
      <w:pPr>
        <w:rPr>
          <w:rtl/>
        </w:rPr>
      </w:pPr>
      <w:bookmarkStart w:id="82263" w:name="_ETM_Q163_364308"/>
      <w:bookmarkStart w:id="82264" w:name="_ETM_Q163_364423"/>
      <w:bookmarkEnd w:id="82263"/>
      <w:bookmarkEnd w:id="82264"/>
    </w:p>
    <w:p w:rsidR="00BB59CD" w:rsidRDefault="00BB59CD" w:rsidP="009123FF">
      <w:pPr>
        <w:ind w:firstLine="0"/>
        <w:jc w:val="center"/>
        <w:rPr>
          <w:rtl/>
        </w:rPr>
      </w:pPr>
      <w:r>
        <w:rPr>
          <w:rFonts w:hint="cs"/>
          <w:rtl/>
        </w:rPr>
        <w:t>(חבר הכנסת יוראי להב הרצנו יוצא מאולם המליאה.)</w:t>
      </w:r>
    </w:p>
    <w:p w:rsidR="00BB59CD" w:rsidRDefault="00BB59CD" w:rsidP="00BB59CD">
      <w:pPr>
        <w:rPr>
          <w:rtl/>
        </w:rPr>
      </w:pPr>
      <w:bookmarkStart w:id="82265" w:name="_ETM_Q163_357484"/>
      <w:bookmarkStart w:id="82266" w:name="_ETM_Q163_357586"/>
      <w:bookmarkEnd w:id="82265"/>
      <w:bookmarkEnd w:id="82266"/>
    </w:p>
    <w:p w:rsidR="00BB59CD" w:rsidRDefault="00BB59CD" w:rsidP="00BB59CD">
      <w:pPr>
        <w:pStyle w:val="af8"/>
        <w:keepNext/>
        <w:rPr>
          <w:rtl/>
        </w:rPr>
      </w:pPr>
      <w:bookmarkStart w:id="82267" w:name="_ETM_Q163_357652"/>
      <w:bookmarkStart w:id="82268" w:name="_ETM_Q163_357724"/>
      <w:bookmarkStart w:id="82269" w:name="ET_interruption_6361_88"/>
      <w:bookmarkEnd w:id="82267"/>
      <w:bookmarkEnd w:id="82268"/>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bookmarkEnd w:id="82269"/>
    </w:p>
    <w:p w:rsidR="00BB59CD" w:rsidRDefault="00BB59CD" w:rsidP="00337201">
      <w:pPr>
        <w:rPr>
          <w:rtl/>
        </w:rPr>
      </w:pPr>
    </w:p>
    <w:p w:rsidR="00BB59CD" w:rsidRDefault="00BB59CD" w:rsidP="00BB59CD">
      <w:pPr>
        <w:rPr>
          <w:rtl/>
        </w:rPr>
      </w:pPr>
      <w:r>
        <w:rPr>
          <w:rFonts w:hint="cs"/>
          <w:rtl/>
        </w:rPr>
        <w:t xml:space="preserve">- - - </w:t>
      </w:r>
      <w:bookmarkStart w:id="82270" w:name="_ETM_Q163_363116"/>
      <w:bookmarkEnd w:id="82270"/>
      <w:r>
        <w:rPr>
          <w:rFonts w:hint="cs"/>
          <w:rtl/>
        </w:rPr>
        <w:t>גם את צריכה - - -</w:t>
      </w:r>
    </w:p>
    <w:p w:rsidR="00BB59CD" w:rsidRDefault="00BB59CD" w:rsidP="00BB59CD">
      <w:pPr>
        <w:rPr>
          <w:rtl/>
        </w:rPr>
      </w:pPr>
    </w:p>
    <w:p w:rsidR="00BB59CD" w:rsidRDefault="00BB59CD" w:rsidP="00BB59CD">
      <w:pPr>
        <w:pStyle w:val="af8"/>
        <w:keepNext/>
        <w:rPr>
          <w:rtl/>
        </w:rPr>
      </w:pPr>
      <w:bookmarkStart w:id="82271" w:name="ET_interruption_6341_89"/>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82271"/>
    </w:p>
    <w:p w:rsidR="00BB59CD" w:rsidRDefault="00BB59CD" w:rsidP="00337201">
      <w:pPr>
        <w:rPr>
          <w:rtl/>
        </w:rPr>
      </w:pPr>
    </w:p>
    <w:p w:rsidR="00BB59CD" w:rsidRDefault="00BB59CD" w:rsidP="00BB59CD">
      <w:pPr>
        <w:rPr>
          <w:rtl/>
        </w:rPr>
      </w:pPr>
      <w:r>
        <w:rPr>
          <w:rFonts w:hint="cs"/>
          <w:rtl/>
        </w:rPr>
        <w:t>מעניין למה שר הביטחון בהיסטריה וכולם בהיסטריה, כי רוטמן - - -</w:t>
      </w:r>
    </w:p>
    <w:p w:rsidR="00BB59CD" w:rsidRDefault="00BB59CD" w:rsidP="00BB59CD">
      <w:pPr>
        <w:rPr>
          <w:rtl/>
        </w:rPr>
      </w:pPr>
      <w:bookmarkStart w:id="82272" w:name="_ETM_Q163_372615"/>
      <w:bookmarkStart w:id="82273" w:name="_ETM_Q163_372721"/>
      <w:bookmarkEnd w:id="82272"/>
      <w:bookmarkEnd w:id="82273"/>
    </w:p>
    <w:p w:rsidR="00BB59CD" w:rsidRDefault="00BB59CD" w:rsidP="00BB59CD">
      <w:pPr>
        <w:pStyle w:val="af9"/>
        <w:keepNext/>
        <w:rPr>
          <w:rtl/>
        </w:rPr>
      </w:pPr>
      <w:bookmarkStart w:id="82274" w:name="ET_yor_6423_9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274"/>
    </w:p>
    <w:p w:rsidR="00BB59CD" w:rsidRDefault="00BB59CD" w:rsidP="00337201">
      <w:pPr>
        <w:rPr>
          <w:rtl/>
        </w:rPr>
      </w:pPr>
    </w:p>
    <w:p w:rsidR="00BB59CD" w:rsidRDefault="00BB59CD" w:rsidP="00BB59CD">
      <w:pPr>
        <w:rPr>
          <w:rtl/>
        </w:rPr>
      </w:pPr>
      <w:bookmarkStart w:id="82275" w:name="_ETM_Q163_373502"/>
      <w:bookmarkEnd w:id="82275"/>
      <w:r>
        <w:rPr>
          <w:rFonts w:hint="cs"/>
          <w:rtl/>
        </w:rPr>
        <w:t xml:space="preserve">חברת הכנסת ביטון. </w:t>
      </w:r>
      <w:bookmarkStart w:id="82276" w:name="_ETM_Q163_373082"/>
      <w:bookmarkEnd w:id="82276"/>
      <w:r>
        <w:rPr>
          <w:rFonts w:hint="cs"/>
          <w:rtl/>
        </w:rPr>
        <w:t>בבקשה.</w:t>
      </w:r>
    </w:p>
    <w:p w:rsidR="00BB59CD" w:rsidRDefault="00BB59CD" w:rsidP="00BB59CD">
      <w:pPr>
        <w:rPr>
          <w:rtl/>
        </w:rPr>
      </w:pPr>
      <w:bookmarkStart w:id="82277" w:name="_ETM_Q163_374553"/>
      <w:bookmarkStart w:id="82278" w:name="_ETM_Q163_374650"/>
      <w:bookmarkEnd w:id="82277"/>
      <w:bookmarkEnd w:id="82278"/>
    </w:p>
    <w:p w:rsidR="00BB59CD" w:rsidRDefault="00BB59CD" w:rsidP="00BB59CD">
      <w:pPr>
        <w:pStyle w:val="-"/>
        <w:keepNext/>
        <w:rPr>
          <w:rtl/>
        </w:rPr>
      </w:pPr>
      <w:bookmarkStart w:id="82279" w:name="ET_speakercontinue_6464_93"/>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279"/>
    </w:p>
    <w:p w:rsidR="00BB59CD" w:rsidRDefault="00BB59CD" w:rsidP="00337201">
      <w:pPr>
        <w:rPr>
          <w:rtl/>
        </w:rPr>
      </w:pPr>
    </w:p>
    <w:p w:rsidR="00BB59CD" w:rsidRDefault="00BB59CD" w:rsidP="00BB59CD">
      <w:pPr>
        <w:rPr>
          <w:rtl/>
        </w:rPr>
      </w:pPr>
      <w:bookmarkStart w:id="82280" w:name="_ETM_Q163_375592"/>
      <w:bookmarkEnd w:id="82280"/>
      <w:r>
        <w:rPr>
          <w:rFonts w:hint="cs"/>
          <w:rtl/>
        </w:rPr>
        <w:t>וכמו שאמרתי בנאום הבכורה שלי, ואני מצטער על הציטוט</w:t>
      </w:r>
      <w:bookmarkStart w:id="82281" w:name="_ETM_Q163_378947"/>
      <w:bookmarkEnd w:id="82281"/>
      <w:r>
        <w:rPr>
          <w:rFonts w:hint="cs"/>
          <w:rtl/>
        </w:rPr>
        <w:t xml:space="preserve"> העצמי, אבל אולי ביום שאהרן ברק - -</w:t>
      </w:r>
    </w:p>
    <w:p w:rsidR="00BB59CD" w:rsidRDefault="00BB59CD" w:rsidP="00BB59CD">
      <w:pPr>
        <w:rPr>
          <w:rtl/>
        </w:rPr>
      </w:pPr>
    </w:p>
    <w:p w:rsidR="00BB59CD" w:rsidRDefault="00BB59CD" w:rsidP="00BB59CD">
      <w:pPr>
        <w:pStyle w:val="af8"/>
        <w:keepNext/>
        <w:rPr>
          <w:rtl/>
        </w:rPr>
      </w:pPr>
      <w:bookmarkStart w:id="82282" w:name="ET_interruption_6127_94"/>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82282"/>
    </w:p>
    <w:p w:rsidR="00BB59CD" w:rsidRDefault="00BB59CD" w:rsidP="00337201">
      <w:pPr>
        <w:rPr>
          <w:rtl/>
        </w:rPr>
      </w:pPr>
    </w:p>
    <w:p w:rsidR="00BB59CD" w:rsidRDefault="00BB59CD" w:rsidP="00BB59CD">
      <w:pPr>
        <w:rPr>
          <w:rtl/>
        </w:rPr>
      </w:pPr>
      <w:r>
        <w:rPr>
          <w:rFonts w:hint="cs"/>
          <w:rtl/>
        </w:rPr>
        <w:t>- - -</w:t>
      </w:r>
    </w:p>
    <w:p w:rsidR="00BB59CD" w:rsidRDefault="00BB59CD" w:rsidP="00BB59CD">
      <w:pPr>
        <w:rPr>
          <w:rtl/>
        </w:rPr>
      </w:pPr>
    </w:p>
    <w:p w:rsidR="00BB59CD" w:rsidRDefault="00BB59CD" w:rsidP="00BB59CD">
      <w:pPr>
        <w:pStyle w:val="-"/>
        <w:keepNext/>
        <w:rPr>
          <w:rtl/>
        </w:rPr>
      </w:pPr>
      <w:bookmarkStart w:id="82283" w:name="ET_speakercontinue_6464_95"/>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283"/>
    </w:p>
    <w:p w:rsidR="00BB59CD" w:rsidRDefault="00BB59CD" w:rsidP="00337201">
      <w:pPr>
        <w:rPr>
          <w:rtl/>
        </w:rPr>
      </w:pPr>
    </w:p>
    <w:p w:rsidR="00BB59CD" w:rsidRDefault="00BB59CD" w:rsidP="00BB59CD">
      <w:pPr>
        <w:rPr>
          <w:rtl/>
        </w:rPr>
      </w:pPr>
      <w:r>
        <w:rPr>
          <w:rFonts w:hint="cs"/>
          <w:rtl/>
        </w:rPr>
        <w:t xml:space="preserve">- - חזר אלינו לשיח בשעתה, צריך קצת </w:t>
      </w:r>
      <w:bookmarkStart w:id="82284" w:name="_ETM_Q163_387450"/>
      <w:bookmarkEnd w:id="82284"/>
      <w:r>
        <w:rPr>
          <w:rFonts w:hint="cs"/>
          <w:rtl/>
        </w:rPr>
        <w:t xml:space="preserve">ללמוד ממעשיו ולצטט גם את עצמי. הוא תמיד ציטט את </w:t>
      </w:r>
      <w:bookmarkStart w:id="82285" w:name="_ETM_Q163_389575"/>
      <w:bookmarkEnd w:id="82285"/>
      <w:r>
        <w:rPr>
          <w:rFonts w:hint="cs"/>
          <w:rtl/>
        </w:rPr>
        <w:t xml:space="preserve">עצמו, לא נורא אם גם אני קצת אצטט את עצמי. </w:t>
      </w:r>
      <w:bookmarkStart w:id="82286" w:name="_ETM_Q163_390513"/>
      <w:bookmarkEnd w:id="82286"/>
    </w:p>
    <w:p w:rsidR="00BB59CD" w:rsidRDefault="00BB59CD" w:rsidP="00BB59CD">
      <w:pPr>
        <w:rPr>
          <w:rtl/>
        </w:rPr>
      </w:pPr>
    </w:p>
    <w:p w:rsidR="00BB59CD" w:rsidRDefault="00BB59CD" w:rsidP="00BB59CD">
      <w:pPr>
        <w:pStyle w:val="af8"/>
        <w:keepNext/>
        <w:rPr>
          <w:rtl/>
        </w:rPr>
      </w:pPr>
      <w:bookmarkStart w:id="82287" w:name="ET_interruption_6341_136"/>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82287"/>
    </w:p>
    <w:p w:rsidR="00BB59CD" w:rsidRDefault="00BB59CD" w:rsidP="00337201">
      <w:pPr>
        <w:rPr>
          <w:rtl/>
        </w:rPr>
      </w:pPr>
    </w:p>
    <w:p w:rsidR="00BB59CD" w:rsidRDefault="00BB59CD" w:rsidP="00BB59CD">
      <w:pPr>
        <w:rPr>
          <w:rtl/>
        </w:rPr>
      </w:pPr>
      <w:bookmarkStart w:id="82288" w:name="_ETM_Q163_389749"/>
      <w:bookmarkStart w:id="82289" w:name="_ETM_Q163_390036"/>
      <w:bookmarkStart w:id="82290" w:name="_ETM_Q163_390128"/>
      <w:bookmarkEnd w:id="82288"/>
      <w:bookmarkEnd w:id="82289"/>
      <w:bookmarkEnd w:id="82290"/>
      <w:r>
        <w:rPr>
          <w:rFonts w:hint="cs"/>
          <w:rtl/>
        </w:rPr>
        <w:t xml:space="preserve">- - - </w:t>
      </w:r>
    </w:p>
    <w:p w:rsidR="00BB59CD" w:rsidRDefault="00BB59CD" w:rsidP="00BB59CD">
      <w:pPr>
        <w:rPr>
          <w:rtl/>
        </w:rPr>
      </w:pPr>
    </w:p>
    <w:p w:rsidR="00BB59CD" w:rsidRDefault="00BB59CD" w:rsidP="00BB59CD">
      <w:pPr>
        <w:pStyle w:val="af8"/>
        <w:keepNext/>
        <w:rPr>
          <w:rtl/>
        </w:rPr>
      </w:pPr>
      <w:bookmarkStart w:id="82291" w:name="ET_interruption_6151_96"/>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291"/>
    </w:p>
    <w:p w:rsidR="00BB59CD" w:rsidRDefault="00BB59CD" w:rsidP="00337201">
      <w:pPr>
        <w:rPr>
          <w:rtl/>
        </w:rPr>
      </w:pPr>
    </w:p>
    <w:p w:rsidR="00BB59CD" w:rsidRDefault="00BB59CD" w:rsidP="00BB59CD">
      <w:pPr>
        <w:rPr>
          <w:rtl/>
        </w:rPr>
      </w:pPr>
      <w:r>
        <w:rPr>
          <w:rFonts w:hint="cs"/>
          <w:rtl/>
        </w:rPr>
        <w:t>כוח, כסף, כבוד ואקסטרה - - -</w:t>
      </w:r>
    </w:p>
    <w:p w:rsidR="00BB59CD" w:rsidRDefault="00BB59CD" w:rsidP="00BB59CD">
      <w:pPr>
        <w:rPr>
          <w:rtl/>
        </w:rPr>
      </w:pPr>
    </w:p>
    <w:p w:rsidR="00BB59CD" w:rsidRDefault="00BB59CD" w:rsidP="00BB59CD">
      <w:pPr>
        <w:pStyle w:val="-"/>
        <w:keepNext/>
        <w:rPr>
          <w:rtl/>
        </w:rPr>
      </w:pPr>
      <w:bookmarkStart w:id="82292" w:name="_ETM_Q163_392638"/>
      <w:bookmarkStart w:id="82293" w:name="_ETM_Q163_392715"/>
      <w:bookmarkStart w:id="82294" w:name="ET_speakercontinue_6464_98"/>
      <w:bookmarkEnd w:id="82292"/>
      <w:bookmarkEnd w:id="82293"/>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294"/>
    </w:p>
    <w:p w:rsidR="00BB59CD" w:rsidRDefault="00BB59CD" w:rsidP="00337201">
      <w:pPr>
        <w:rPr>
          <w:rtl/>
        </w:rPr>
      </w:pPr>
    </w:p>
    <w:p w:rsidR="00BB59CD" w:rsidRDefault="00BB59CD" w:rsidP="00BB59CD">
      <w:pPr>
        <w:rPr>
          <w:rtl/>
        </w:rPr>
      </w:pPr>
      <w:bookmarkStart w:id="82295" w:name="_ETM_Q163_393742"/>
      <w:bookmarkEnd w:id="82295"/>
      <w:r>
        <w:rPr>
          <w:rFonts w:hint="cs"/>
          <w:rtl/>
        </w:rPr>
        <w:t xml:space="preserve">התפקיד הכבד הזה </w:t>
      </w:r>
      <w:bookmarkStart w:id="82296" w:name="_ETM_Q163_398439"/>
      <w:bookmarkEnd w:id="82296"/>
      <w:r>
        <w:rPr>
          <w:rFonts w:hint="cs"/>
          <w:rtl/>
        </w:rPr>
        <w:t>של עצירת השיסוע, של החייאת הרוח - - -</w:t>
      </w:r>
    </w:p>
    <w:p w:rsidR="00BB59CD" w:rsidRDefault="00BB59CD" w:rsidP="00BB59CD">
      <w:pPr>
        <w:rPr>
          <w:rtl/>
        </w:rPr>
      </w:pPr>
    </w:p>
    <w:p w:rsidR="00BB59CD" w:rsidRDefault="00BB59CD" w:rsidP="00BB59CD">
      <w:pPr>
        <w:pStyle w:val="af8"/>
        <w:keepNext/>
        <w:rPr>
          <w:rtl/>
        </w:rPr>
      </w:pPr>
      <w:bookmarkStart w:id="82297" w:name="ET_interruption_5519_97"/>
      <w:r>
        <w:rPr>
          <w:rStyle w:val="TagStyle"/>
          <w:rFonts w:hint="cs"/>
          <w:rtl/>
        </w:rPr>
        <w:t xml:space="preserve">&lt;&lt; קריאה &gt;&gt; </w:t>
      </w:r>
      <w:r>
        <w:rPr>
          <w:rFonts w:hint="cs"/>
          <w:rtl/>
        </w:rPr>
        <w:t>שרן מרים השכל (המחנה הממלכתי):</w:t>
      </w:r>
      <w:r>
        <w:rPr>
          <w:rStyle w:val="TagStyle"/>
          <w:rtl/>
        </w:rPr>
        <w:t xml:space="preserve"> &lt;&lt; קריאה &gt;&gt;</w:t>
      </w:r>
      <w:r>
        <w:rPr>
          <w:rFonts w:hint="cs"/>
          <w:rtl/>
        </w:rPr>
        <w:t xml:space="preserve">   </w:t>
      </w:r>
      <w:bookmarkEnd w:id="82297"/>
    </w:p>
    <w:p w:rsidR="00BB59CD" w:rsidRDefault="00BB59CD" w:rsidP="00337201">
      <w:pPr>
        <w:rPr>
          <w:rtl/>
        </w:rPr>
      </w:pPr>
    </w:p>
    <w:p w:rsidR="00BB59CD" w:rsidRDefault="00BB59CD" w:rsidP="00BB59CD">
      <w:pPr>
        <w:rPr>
          <w:rtl/>
        </w:rPr>
      </w:pPr>
      <w:r>
        <w:rPr>
          <w:rFonts w:hint="cs"/>
          <w:rtl/>
        </w:rPr>
        <w:t>- - -</w:t>
      </w:r>
    </w:p>
    <w:p w:rsidR="00BB59CD" w:rsidRDefault="00BB59CD" w:rsidP="00BB59CD">
      <w:pPr>
        <w:rPr>
          <w:rtl/>
        </w:rPr>
      </w:pPr>
    </w:p>
    <w:p w:rsidR="00BB59CD" w:rsidRDefault="00BB59CD" w:rsidP="00BB59CD">
      <w:pPr>
        <w:pStyle w:val="af9"/>
        <w:keepNext/>
        <w:rPr>
          <w:rtl/>
        </w:rPr>
      </w:pPr>
      <w:bookmarkStart w:id="82298" w:name="ET_yor_6423_9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298"/>
    </w:p>
    <w:p w:rsidR="00BB59CD" w:rsidRDefault="00BB59CD" w:rsidP="00337201">
      <w:pPr>
        <w:rPr>
          <w:rtl/>
        </w:rPr>
      </w:pPr>
    </w:p>
    <w:p w:rsidR="00BB59CD" w:rsidRDefault="00BB59CD" w:rsidP="00BB59CD">
      <w:pPr>
        <w:rPr>
          <w:rtl/>
        </w:rPr>
      </w:pPr>
      <w:bookmarkStart w:id="82299" w:name="_ETM_Q163_402269"/>
      <w:bookmarkEnd w:id="82299"/>
      <w:r>
        <w:rPr>
          <w:rFonts w:hint="cs"/>
          <w:rtl/>
        </w:rPr>
        <w:t xml:space="preserve">חבר הכנסת רון כץ, קריאה שנייה. </w:t>
      </w:r>
    </w:p>
    <w:p w:rsidR="00BB59CD" w:rsidRDefault="00BB59CD" w:rsidP="00BB59CD">
      <w:pPr>
        <w:rPr>
          <w:rtl/>
        </w:rPr>
      </w:pPr>
      <w:bookmarkStart w:id="82300" w:name="_ETM_Q163_401874"/>
      <w:bookmarkStart w:id="82301" w:name="_ETM_Q163_401964"/>
      <w:bookmarkEnd w:id="82300"/>
      <w:bookmarkEnd w:id="82301"/>
    </w:p>
    <w:p w:rsidR="00BB59CD" w:rsidRDefault="00BB59CD" w:rsidP="00BB59CD">
      <w:pPr>
        <w:pStyle w:val="af8"/>
        <w:keepNext/>
        <w:rPr>
          <w:rtl/>
        </w:rPr>
      </w:pPr>
      <w:bookmarkStart w:id="82302" w:name="ET_interruption_6151_100"/>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302"/>
    </w:p>
    <w:p w:rsidR="00BB59CD" w:rsidRDefault="00BB59CD" w:rsidP="00337201">
      <w:pPr>
        <w:rPr>
          <w:rtl/>
        </w:rPr>
      </w:pPr>
    </w:p>
    <w:p w:rsidR="00BB59CD" w:rsidRDefault="00BB59CD" w:rsidP="00BB59CD">
      <w:pPr>
        <w:rPr>
          <w:rtl/>
        </w:rPr>
      </w:pPr>
      <w:r>
        <w:rPr>
          <w:rFonts w:hint="cs"/>
          <w:rtl/>
        </w:rPr>
        <w:t xml:space="preserve">זה לא יכול להיות. </w:t>
      </w:r>
    </w:p>
    <w:p w:rsidR="00BB59CD" w:rsidRDefault="00BB59CD" w:rsidP="00BB59CD">
      <w:pPr>
        <w:rPr>
          <w:rtl/>
        </w:rPr>
      </w:pPr>
      <w:bookmarkStart w:id="82303" w:name="_ETM_Q163_404857"/>
      <w:bookmarkStart w:id="82304" w:name="_ETM_Q163_404969"/>
      <w:bookmarkEnd w:id="82303"/>
      <w:bookmarkEnd w:id="82304"/>
    </w:p>
    <w:p w:rsidR="00BB59CD" w:rsidRDefault="00BB59CD" w:rsidP="00BB59CD">
      <w:pPr>
        <w:pStyle w:val="af8"/>
        <w:keepNext/>
        <w:rPr>
          <w:rtl/>
        </w:rPr>
      </w:pPr>
      <w:bookmarkStart w:id="82305" w:name="ET_interruption_6361_102"/>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82305"/>
    </w:p>
    <w:p w:rsidR="00BB59CD" w:rsidRDefault="00BB59CD" w:rsidP="00337201">
      <w:pPr>
        <w:rPr>
          <w:rtl/>
          <w:lang w:eastAsia="he-IL"/>
        </w:rPr>
      </w:pPr>
    </w:p>
    <w:p w:rsidR="00BB59CD" w:rsidRDefault="00BB59CD" w:rsidP="00BB59CD">
      <w:pPr>
        <w:rPr>
          <w:rtl/>
        </w:rPr>
      </w:pPr>
      <w:r>
        <w:rPr>
          <w:rFonts w:hint="cs"/>
          <w:rtl/>
        </w:rPr>
        <w:t xml:space="preserve">ראש המפלגה שלך כתב מאמר - - </w:t>
      </w:r>
      <w:bookmarkStart w:id="82306" w:name="_ETM_Q163_410772"/>
      <w:bookmarkEnd w:id="82306"/>
      <w:r>
        <w:rPr>
          <w:rFonts w:hint="cs"/>
          <w:rtl/>
        </w:rPr>
        <w:t>-</w:t>
      </w:r>
    </w:p>
    <w:p w:rsidR="00BB59CD" w:rsidRDefault="00BB59CD" w:rsidP="00BB59CD">
      <w:pPr>
        <w:rPr>
          <w:rtl/>
        </w:rPr>
      </w:pPr>
      <w:bookmarkStart w:id="82307" w:name="_ETM_Q163_408221"/>
      <w:bookmarkStart w:id="82308" w:name="_ETM_Q163_408319"/>
      <w:bookmarkEnd w:id="82307"/>
      <w:bookmarkEnd w:id="82308"/>
    </w:p>
    <w:p w:rsidR="00BB59CD" w:rsidRDefault="00BB59CD" w:rsidP="00BB59CD">
      <w:pPr>
        <w:pStyle w:val="af9"/>
        <w:keepNext/>
        <w:rPr>
          <w:rtl/>
        </w:rPr>
      </w:pPr>
      <w:bookmarkStart w:id="82309" w:name="ET_yor_6423_10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309"/>
    </w:p>
    <w:p w:rsidR="00BB59CD" w:rsidRDefault="00BB59CD" w:rsidP="00337201">
      <w:pPr>
        <w:rPr>
          <w:rtl/>
        </w:rPr>
      </w:pPr>
    </w:p>
    <w:p w:rsidR="00BB59CD" w:rsidRDefault="00BB59CD" w:rsidP="00BB59CD">
      <w:pPr>
        <w:rPr>
          <w:rtl/>
        </w:rPr>
      </w:pPr>
      <w:bookmarkStart w:id="82310" w:name="_ETM_Q163_410123"/>
      <w:bookmarkEnd w:id="82310"/>
      <w:r>
        <w:rPr>
          <w:rFonts w:hint="cs"/>
          <w:rtl/>
        </w:rPr>
        <w:t xml:space="preserve">זה יכול להיות. אפשר לשמוע וגם לא להסכים, </w:t>
      </w:r>
      <w:bookmarkStart w:id="82311" w:name="_ETM_Q163_409705"/>
      <w:bookmarkEnd w:id="82311"/>
      <w:r>
        <w:rPr>
          <w:rFonts w:hint="cs"/>
          <w:rtl/>
        </w:rPr>
        <w:t xml:space="preserve">ולא להפריע. אפשר. </w:t>
      </w:r>
      <w:bookmarkStart w:id="82312" w:name="_ETM_Q163_410237"/>
      <w:bookmarkEnd w:id="82312"/>
      <w:r>
        <w:rPr>
          <w:rFonts w:hint="cs"/>
          <w:rtl/>
        </w:rPr>
        <w:t>בבקשה.</w:t>
      </w:r>
    </w:p>
    <w:p w:rsidR="00BB59CD" w:rsidRDefault="00BB59CD" w:rsidP="00BB59CD">
      <w:pPr>
        <w:rPr>
          <w:rtl/>
        </w:rPr>
      </w:pPr>
      <w:bookmarkStart w:id="82313" w:name="_ETM_Q163_412128"/>
      <w:bookmarkStart w:id="82314" w:name="_ETM_Q163_412225"/>
      <w:bookmarkEnd w:id="82313"/>
      <w:bookmarkEnd w:id="82314"/>
    </w:p>
    <w:p w:rsidR="00BB59CD" w:rsidRDefault="00BB59CD" w:rsidP="00BB59CD">
      <w:pPr>
        <w:pStyle w:val="-"/>
        <w:keepNext/>
        <w:rPr>
          <w:rtl/>
        </w:rPr>
      </w:pPr>
      <w:bookmarkStart w:id="82315" w:name="_ETM_Q163_416379"/>
      <w:bookmarkStart w:id="82316" w:name="_ETM_Q163_416466"/>
      <w:bookmarkStart w:id="82317" w:name="ET_speakercontinue_6464_105"/>
      <w:bookmarkEnd w:id="82315"/>
      <w:bookmarkEnd w:id="82316"/>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317"/>
    </w:p>
    <w:p w:rsidR="00BB59CD" w:rsidRDefault="00BB59CD" w:rsidP="00337201">
      <w:pPr>
        <w:rPr>
          <w:rtl/>
        </w:rPr>
      </w:pPr>
    </w:p>
    <w:p w:rsidR="00BB59CD" w:rsidRDefault="00BB59CD" w:rsidP="00BB59CD">
      <w:pPr>
        <w:rPr>
          <w:rtl/>
        </w:rPr>
      </w:pPr>
      <w:bookmarkStart w:id="82318" w:name="_ETM_Q163_417304"/>
      <w:bookmarkEnd w:id="82318"/>
      <w:r>
        <w:rPr>
          <w:rFonts w:hint="cs"/>
          <w:rtl/>
        </w:rPr>
        <w:t>התפקיד הכבד</w:t>
      </w:r>
      <w:bookmarkStart w:id="82319" w:name="_ETM_Q163_419130"/>
      <w:bookmarkEnd w:id="82319"/>
      <w:r>
        <w:rPr>
          <w:rFonts w:hint="cs"/>
          <w:rtl/>
        </w:rPr>
        <w:t xml:space="preserve"> הזה של עצירת השיסוע, של החייאת הרוח, מוטל </w:t>
      </w:r>
      <w:bookmarkStart w:id="82320" w:name="_ETM_Q163_429309"/>
      <w:bookmarkEnd w:id="82320"/>
      <w:r>
        <w:rPr>
          <w:rFonts w:hint="cs"/>
          <w:rtl/>
        </w:rPr>
        <w:t xml:space="preserve">דווקא על כתפינו כאן בכנסת. </w:t>
      </w:r>
    </w:p>
    <w:p w:rsidR="00BB59CD" w:rsidRDefault="00BB59CD" w:rsidP="00BB59CD">
      <w:pPr>
        <w:rPr>
          <w:rtl/>
        </w:rPr>
      </w:pPr>
    </w:p>
    <w:p w:rsidR="00BB59CD" w:rsidRDefault="00BB59CD" w:rsidP="00BB59CD">
      <w:pPr>
        <w:rPr>
          <w:rtl/>
        </w:rPr>
      </w:pPr>
      <w:r>
        <w:rPr>
          <w:rFonts w:hint="cs"/>
          <w:rtl/>
        </w:rPr>
        <w:t xml:space="preserve">ואני רוצה לסיים, רבותיי, ולומר, בדבריו של הנביא שאותם קראנו בסיום ההפטרה השבוע, </w:t>
      </w:r>
      <w:bookmarkStart w:id="82321" w:name="_ETM_Q163_441021"/>
      <w:bookmarkEnd w:id="82321"/>
      <w:r>
        <w:rPr>
          <w:rFonts w:hint="cs"/>
          <w:rtl/>
        </w:rPr>
        <w:t>"ציון במשפט תפדה - -"</w:t>
      </w:r>
    </w:p>
    <w:p w:rsidR="00BB59CD" w:rsidRDefault="00BB59CD" w:rsidP="00BB59CD">
      <w:pPr>
        <w:rPr>
          <w:rtl/>
        </w:rPr>
      </w:pPr>
    </w:p>
    <w:p w:rsidR="00BB59CD" w:rsidRDefault="00BB59CD" w:rsidP="00BB59CD">
      <w:pPr>
        <w:pStyle w:val="af8"/>
        <w:keepNext/>
        <w:rPr>
          <w:rtl/>
        </w:rPr>
      </w:pPr>
      <w:bookmarkStart w:id="82322" w:name="ET_interruption_6151_106"/>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82322"/>
    </w:p>
    <w:p w:rsidR="00BB59CD" w:rsidRDefault="00BB59CD" w:rsidP="00337201">
      <w:pPr>
        <w:rPr>
          <w:rtl/>
        </w:rPr>
      </w:pPr>
    </w:p>
    <w:p w:rsidR="00BB59CD" w:rsidRDefault="00BB59CD" w:rsidP="00BB59CD">
      <w:pPr>
        <w:rPr>
          <w:rtl/>
        </w:rPr>
      </w:pPr>
      <w:bookmarkStart w:id="82323" w:name="_ETM_Q163_443761"/>
      <w:bookmarkEnd w:id="82323"/>
      <w:r>
        <w:rPr>
          <w:rFonts w:hint="cs"/>
          <w:rtl/>
        </w:rPr>
        <w:t>ת</w:t>
      </w:r>
      <w:bookmarkStart w:id="82324" w:name="_ETM_Q163_444023"/>
      <w:bookmarkStart w:id="82325" w:name="_ETM_Q163_444116"/>
      <w:bookmarkEnd w:id="82324"/>
      <w:bookmarkEnd w:id="82325"/>
      <w:r>
        <w:rPr>
          <w:rFonts w:hint="cs"/>
          <w:rtl/>
        </w:rPr>
        <w:t>תבייש - - -</w:t>
      </w:r>
    </w:p>
    <w:p w:rsidR="00BB59CD" w:rsidRDefault="00BB59CD" w:rsidP="00BB59CD">
      <w:pPr>
        <w:rPr>
          <w:rtl/>
        </w:rPr>
      </w:pPr>
      <w:bookmarkStart w:id="82326" w:name="_ETM_Q163_442960"/>
      <w:bookmarkStart w:id="82327" w:name="_ETM_Q163_443053"/>
      <w:bookmarkEnd w:id="82326"/>
      <w:bookmarkEnd w:id="82327"/>
    </w:p>
    <w:p w:rsidR="00BB59CD" w:rsidRDefault="00BB59CD" w:rsidP="00BB59CD">
      <w:pPr>
        <w:pStyle w:val="-"/>
        <w:keepNext/>
        <w:rPr>
          <w:rtl/>
        </w:rPr>
      </w:pPr>
      <w:bookmarkStart w:id="82328" w:name="ET_speakercontinue_6464_107"/>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328"/>
    </w:p>
    <w:p w:rsidR="00BB59CD" w:rsidRDefault="00BB59CD" w:rsidP="00337201">
      <w:pPr>
        <w:rPr>
          <w:rtl/>
        </w:rPr>
      </w:pPr>
    </w:p>
    <w:p w:rsidR="00BB59CD" w:rsidRDefault="00BB59CD" w:rsidP="00BB59CD">
      <w:pPr>
        <w:rPr>
          <w:rtl/>
        </w:rPr>
      </w:pPr>
      <w:bookmarkStart w:id="82329" w:name="_ETM_Q163_442856"/>
      <w:bookmarkEnd w:id="82329"/>
      <w:r>
        <w:rPr>
          <w:rFonts w:hint="cs"/>
          <w:rtl/>
        </w:rPr>
        <w:t xml:space="preserve">"- - </w:t>
      </w:r>
      <w:bookmarkStart w:id="82330" w:name="_ETM_Q163_443451"/>
      <w:bookmarkEnd w:id="82330"/>
      <w:r>
        <w:rPr>
          <w:rFonts w:hint="cs"/>
          <w:rtl/>
        </w:rPr>
        <w:t>ושביה בצדקה". תודה רבה, חבריי חברי הכנסת, אדוני היושב-ראש</w:t>
      </w:r>
      <w:bookmarkStart w:id="82331" w:name="_ETM_Q163_449870"/>
      <w:bookmarkEnd w:id="82331"/>
      <w:r>
        <w:rPr>
          <w:rFonts w:hint="cs"/>
          <w:rtl/>
        </w:rPr>
        <w:t xml:space="preserve"> - - -</w:t>
      </w:r>
    </w:p>
    <w:p w:rsidR="00BB59CD" w:rsidRDefault="00BB59CD" w:rsidP="00BB59CD">
      <w:pPr>
        <w:rPr>
          <w:rtl/>
        </w:rPr>
      </w:pPr>
      <w:bookmarkStart w:id="82332" w:name="_ETM_Q163_447896"/>
      <w:bookmarkStart w:id="82333" w:name="_ETM_Q163_448002"/>
      <w:bookmarkEnd w:id="82332"/>
      <w:bookmarkEnd w:id="82333"/>
    </w:p>
    <w:p w:rsidR="00BB59CD" w:rsidRDefault="00BB59CD" w:rsidP="00BB59CD">
      <w:pPr>
        <w:pStyle w:val="af8"/>
        <w:keepNext/>
        <w:rPr>
          <w:rtl/>
        </w:rPr>
      </w:pPr>
      <w:bookmarkStart w:id="82334" w:name="ET_interruption_קריאות_10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334"/>
    </w:p>
    <w:p w:rsidR="00BB59CD" w:rsidRDefault="00BB59CD" w:rsidP="00337201">
      <w:pPr>
        <w:rPr>
          <w:rtl/>
        </w:rPr>
      </w:pPr>
    </w:p>
    <w:p w:rsidR="00BB59CD" w:rsidRDefault="00BB59CD" w:rsidP="00BB59CD">
      <w:pPr>
        <w:rPr>
          <w:rtl/>
        </w:rPr>
      </w:pPr>
      <w:bookmarkStart w:id="82335" w:name="_ETM_Q163_450100"/>
      <w:bookmarkEnd w:id="82335"/>
      <w:r>
        <w:rPr>
          <w:rFonts w:hint="cs"/>
          <w:rtl/>
        </w:rPr>
        <w:t xml:space="preserve">לך. לך. לך. </w:t>
      </w:r>
    </w:p>
    <w:p w:rsidR="00BB59CD" w:rsidRDefault="00BB59CD" w:rsidP="00BB59CD">
      <w:pPr>
        <w:rPr>
          <w:rtl/>
        </w:rPr>
      </w:pPr>
      <w:bookmarkStart w:id="82336" w:name="_ETM_Q163_451481"/>
      <w:bookmarkStart w:id="82337" w:name="_ETM_Q163_451576"/>
      <w:bookmarkEnd w:id="82336"/>
      <w:bookmarkEnd w:id="82337"/>
    </w:p>
    <w:p w:rsidR="00BB59CD" w:rsidRDefault="00BB59CD" w:rsidP="00BB59CD">
      <w:pPr>
        <w:pStyle w:val="af9"/>
        <w:keepNext/>
        <w:rPr>
          <w:rtl/>
        </w:rPr>
      </w:pPr>
      <w:bookmarkStart w:id="82338" w:name="_ETM_Q163_452634"/>
      <w:bookmarkStart w:id="82339" w:name="_ETM_Q163_452743"/>
      <w:bookmarkStart w:id="82340" w:name="ET_yor_6423_110"/>
      <w:bookmarkEnd w:id="82338"/>
      <w:bookmarkEnd w:id="8233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340"/>
    </w:p>
    <w:p w:rsidR="00BB59CD" w:rsidRDefault="00BB59CD" w:rsidP="00337201">
      <w:pPr>
        <w:rPr>
          <w:rtl/>
        </w:rPr>
      </w:pPr>
    </w:p>
    <w:p w:rsidR="00BB59CD" w:rsidRDefault="00BB59CD" w:rsidP="00BB59CD">
      <w:pPr>
        <w:rPr>
          <w:rtl/>
        </w:rPr>
      </w:pPr>
      <w:bookmarkStart w:id="82341" w:name="_ETM_Q163_456801"/>
      <w:bookmarkEnd w:id="82341"/>
      <w:r>
        <w:rPr>
          <w:rFonts w:hint="cs"/>
          <w:rtl/>
        </w:rPr>
        <w:t xml:space="preserve">בלי מחיאות </w:t>
      </w:r>
      <w:bookmarkStart w:id="82342" w:name="_ETM_Q163_455260"/>
      <w:bookmarkEnd w:id="82342"/>
      <w:r>
        <w:rPr>
          <w:rFonts w:hint="cs"/>
          <w:rtl/>
        </w:rPr>
        <w:t>כפיים.</w:t>
      </w:r>
    </w:p>
    <w:p w:rsidR="00BB59CD" w:rsidRDefault="00BB59CD" w:rsidP="00BB59CD">
      <w:pPr>
        <w:rPr>
          <w:rtl/>
        </w:rPr>
      </w:pPr>
      <w:bookmarkStart w:id="82343" w:name="_ETM_Q163_453656"/>
      <w:bookmarkStart w:id="82344" w:name="_ETM_Q163_453745"/>
      <w:bookmarkEnd w:id="82343"/>
      <w:bookmarkEnd w:id="82344"/>
    </w:p>
    <w:p w:rsidR="00BB59CD" w:rsidRDefault="00BB59CD" w:rsidP="00BB59CD">
      <w:pPr>
        <w:pStyle w:val="-"/>
        <w:keepNext/>
        <w:rPr>
          <w:rtl/>
        </w:rPr>
      </w:pPr>
      <w:bookmarkStart w:id="82345" w:name="ET_speakercontinue_6464_111"/>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345"/>
    </w:p>
    <w:p w:rsidR="00BB59CD" w:rsidRDefault="00BB59CD" w:rsidP="00337201">
      <w:pPr>
        <w:rPr>
          <w:rtl/>
        </w:rPr>
      </w:pPr>
    </w:p>
    <w:p w:rsidR="00BB59CD" w:rsidRDefault="00BB59CD" w:rsidP="00BB59CD">
      <w:pPr>
        <w:rPr>
          <w:rtl/>
        </w:rPr>
      </w:pPr>
      <w:bookmarkStart w:id="82346" w:name="_ETM_Q163_454569"/>
      <w:bookmarkEnd w:id="82346"/>
      <w:r>
        <w:rPr>
          <w:rFonts w:hint="cs"/>
          <w:rtl/>
        </w:rPr>
        <w:t xml:space="preserve">שנייה. אמרתי לך שאני אצטרך אותך, אביגדור – ותודה רבה </w:t>
      </w:r>
      <w:bookmarkStart w:id="82347" w:name="_ETM_Q163_459219"/>
      <w:bookmarkEnd w:id="82347"/>
      <w:r>
        <w:rPr>
          <w:rFonts w:hint="cs"/>
          <w:rtl/>
        </w:rPr>
        <w:t>לסדרנים על עבודתם כאן - - -</w:t>
      </w:r>
    </w:p>
    <w:p w:rsidR="00BB59CD" w:rsidRDefault="00BB59CD" w:rsidP="00BB59CD">
      <w:pPr>
        <w:rPr>
          <w:rtl/>
        </w:rPr>
      </w:pPr>
    </w:p>
    <w:p w:rsidR="00BB59CD" w:rsidRDefault="00BB59CD" w:rsidP="00BB59CD">
      <w:pPr>
        <w:pStyle w:val="af8"/>
        <w:keepNext/>
        <w:rPr>
          <w:rtl/>
        </w:rPr>
      </w:pPr>
      <w:bookmarkStart w:id="82348" w:name="ET_interruption_קריאות_119"/>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348"/>
    </w:p>
    <w:p w:rsidR="00BB59CD" w:rsidRDefault="00BB59CD" w:rsidP="00337201">
      <w:pPr>
        <w:rPr>
          <w:rtl/>
        </w:rPr>
      </w:pPr>
    </w:p>
    <w:p w:rsidR="00BB59CD" w:rsidRDefault="00BB59CD" w:rsidP="00BB59CD">
      <w:pPr>
        <w:rPr>
          <w:rtl/>
        </w:rPr>
      </w:pPr>
      <w:r>
        <w:rPr>
          <w:rFonts w:hint="cs"/>
          <w:rtl/>
        </w:rPr>
        <w:t xml:space="preserve">- - - </w:t>
      </w:r>
    </w:p>
    <w:p w:rsidR="00BB59CD" w:rsidRDefault="00BB59CD" w:rsidP="00BB59CD">
      <w:pPr>
        <w:rPr>
          <w:rtl/>
        </w:rPr>
      </w:pPr>
      <w:bookmarkStart w:id="82349" w:name="_ETM_Q163_458592"/>
      <w:bookmarkStart w:id="82350" w:name="_ETM_Q163_458692"/>
      <w:bookmarkEnd w:id="82349"/>
      <w:bookmarkEnd w:id="82350"/>
    </w:p>
    <w:p w:rsidR="00BB59CD" w:rsidRDefault="00BB59CD" w:rsidP="00BB59CD">
      <w:pPr>
        <w:pStyle w:val="af9"/>
        <w:keepNext/>
        <w:rPr>
          <w:rtl/>
        </w:rPr>
      </w:pPr>
      <w:bookmarkStart w:id="82351" w:name="_ETM_Q163_459184"/>
      <w:bookmarkStart w:id="82352" w:name="_ETM_Q163_459320"/>
      <w:bookmarkStart w:id="82353" w:name="_ETM_Q163_456865"/>
      <w:bookmarkStart w:id="82354" w:name="_ETM_Q163_456947"/>
      <w:bookmarkStart w:id="82355" w:name="ET_yor_6423_112"/>
      <w:bookmarkEnd w:id="82351"/>
      <w:bookmarkEnd w:id="82352"/>
      <w:bookmarkEnd w:id="82353"/>
      <w:bookmarkEnd w:id="8235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355"/>
    </w:p>
    <w:p w:rsidR="00BB59CD" w:rsidRDefault="00BB59CD" w:rsidP="00337201">
      <w:pPr>
        <w:rPr>
          <w:rtl/>
        </w:rPr>
      </w:pPr>
    </w:p>
    <w:p w:rsidR="00BB59CD" w:rsidRDefault="00BB59CD" w:rsidP="00BB59CD">
      <w:pPr>
        <w:rPr>
          <w:rtl/>
        </w:rPr>
      </w:pPr>
      <w:bookmarkStart w:id="82356" w:name="_ETM_Q163_457726"/>
      <w:bookmarkEnd w:id="82356"/>
      <w:r>
        <w:rPr>
          <w:rFonts w:hint="cs"/>
          <w:rtl/>
        </w:rPr>
        <w:t>בלי מחיאות כפיים</w:t>
      </w:r>
      <w:bookmarkStart w:id="82357" w:name="_ETM_Q163_460800"/>
      <w:bookmarkEnd w:id="82357"/>
      <w:r>
        <w:rPr>
          <w:rFonts w:hint="cs"/>
          <w:rtl/>
        </w:rPr>
        <w:t xml:space="preserve">, רבותיי, אנחנו בכנסת. </w:t>
      </w:r>
      <w:bookmarkStart w:id="82358" w:name="_ETM_Q163_463453"/>
      <w:bookmarkEnd w:id="82358"/>
    </w:p>
    <w:p w:rsidR="00BB59CD" w:rsidRDefault="00BB59CD" w:rsidP="00BB59CD">
      <w:pPr>
        <w:rPr>
          <w:rtl/>
        </w:rPr>
      </w:pPr>
      <w:bookmarkStart w:id="82359" w:name="_ETM_Q163_463583"/>
      <w:bookmarkEnd w:id="82359"/>
    </w:p>
    <w:p w:rsidR="00BB59CD" w:rsidRDefault="00BB59CD" w:rsidP="00BB59CD">
      <w:pPr>
        <w:pStyle w:val="-"/>
        <w:keepNext/>
        <w:rPr>
          <w:rtl/>
        </w:rPr>
      </w:pPr>
      <w:bookmarkStart w:id="82360" w:name="ET_speakercontinue_6464_113"/>
      <w:r>
        <w:rPr>
          <w:rStyle w:val="TagStyle"/>
          <w:rFonts w:hint="cs"/>
          <w:rtl/>
        </w:rPr>
        <w:t xml:space="preserve"> &lt;&lt; דובר_המשך &gt;&gt; </w:t>
      </w:r>
      <w:r>
        <w:rPr>
          <w:rFonts w:hint="cs"/>
          <w:rtl/>
        </w:rPr>
        <w:t>שמחה רוטמן (יו"ר ועדת החוקה, חוק ומשפט):</w:t>
      </w:r>
      <w:r>
        <w:rPr>
          <w:rStyle w:val="TagStyle"/>
          <w:rtl/>
        </w:rPr>
        <w:t xml:space="preserve"> &lt;&lt; דובר_המשך &gt;&gt;</w:t>
      </w:r>
      <w:r>
        <w:rPr>
          <w:rFonts w:hint="cs"/>
          <w:rtl/>
        </w:rPr>
        <w:t xml:space="preserve">   </w:t>
      </w:r>
      <w:bookmarkEnd w:id="82360"/>
    </w:p>
    <w:p w:rsidR="00BB59CD" w:rsidRDefault="00BB59CD" w:rsidP="00337201">
      <w:pPr>
        <w:rPr>
          <w:rtl/>
        </w:rPr>
      </w:pPr>
    </w:p>
    <w:p w:rsidR="00BB59CD" w:rsidRDefault="00BB59CD" w:rsidP="00BB59CD">
      <w:pPr>
        <w:rPr>
          <w:rtl/>
        </w:rPr>
      </w:pPr>
      <w:bookmarkStart w:id="82361" w:name="_ETM_Q163_464338"/>
      <w:bookmarkEnd w:id="82361"/>
      <w:r>
        <w:rPr>
          <w:rFonts w:hint="cs"/>
          <w:rtl/>
        </w:rPr>
        <w:t>על עבודתם כאן ועל עבודתם בוועדה</w:t>
      </w:r>
      <w:bookmarkStart w:id="82362" w:name="_ETM_Q163_466983"/>
      <w:bookmarkEnd w:id="82362"/>
      <w:r>
        <w:rPr>
          <w:rFonts w:hint="cs"/>
          <w:rtl/>
        </w:rPr>
        <w:t xml:space="preserve"> ועל הליווי שלהם לכך שדיוני הכנסת – שהיא הבית </w:t>
      </w:r>
      <w:bookmarkStart w:id="82363" w:name="_ETM_Q163_473397"/>
      <w:bookmarkEnd w:id="82363"/>
      <w:r>
        <w:rPr>
          <w:rFonts w:hint="cs"/>
          <w:rtl/>
        </w:rPr>
        <w:t xml:space="preserve">של הדמוקרטיה הישראלית, האמיתית, הדמוקרטיה במיטבה – יתנהלו כסדרם. תודה </w:t>
      </w:r>
      <w:bookmarkStart w:id="82364" w:name="_ETM_Q163_482776"/>
      <w:bookmarkEnd w:id="82364"/>
      <w:r>
        <w:rPr>
          <w:rFonts w:hint="cs"/>
          <w:rtl/>
        </w:rPr>
        <w:t xml:space="preserve">רבה לכולם. </w:t>
      </w:r>
    </w:p>
    <w:p w:rsidR="00BB59CD" w:rsidRDefault="00BB59CD" w:rsidP="00BB59CD">
      <w:pPr>
        <w:rPr>
          <w:rtl/>
        </w:rPr>
      </w:pPr>
      <w:bookmarkStart w:id="82365" w:name="_ETM_Q163_485399"/>
      <w:bookmarkStart w:id="82366" w:name="_ETM_Q163_485518"/>
      <w:bookmarkEnd w:id="82365"/>
      <w:bookmarkEnd w:id="82366"/>
    </w:p>
    <w:p w:rsidR="00BB59CD" w:rsidRDefault="00BB59CD" w:rsidP="00BB59CD">
      <w:pPr>
        <w:pStyle w:val="af9"/>
        <w:keepNext/>
        <w:rPr>
          <w:rtl/>
        </w:rPr>
      </w:pPr>
      <w:bookmarkStart w:id="82367" w:name="ET_yor_6423_11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367"/>
    </w:p>
    <w:p w:rsidR="00BB59CD" w:rsidRDefault="00BB59CD" w:rsidP="00337201">
      <w:pPr>
        <w:rPr>
          <w:rtl/>
        </w:rPr>
      </w:pPr>
    </w:p>
    <w:p w:rsidR="00BB59CD" w:rsidRDefault="00BB59CD" w:rsidP="00BB59CD">
      <w:pPr>
        <w:rPr>
          <w:rtl/>
        </w:rPr>
      </w:pPr>
      <w:r>
        <w:rPr>
          <w:rFonts w:hint="cs"/>
          <w:rtl/>
        </w:rPr>
        <w:t xml:space="preserve">תודה רבה. וכעת, רבותיי, אנחנו נעבור להצבעות. אנא </w:t>
      </w:r>
      <w:bookmarkStart w:id="82368" w:name="_ETM_Q163_485421"/>
      <w:bookmarkEnd w:id="82368"/>
      <w:r>
        <w:rPr>
          <w:rFonts w:hint="cs"/>
          <w:rtl/>
        </w:rPr>
        <w:t xml:space="preserve">תפסו את מקומותיכם. </w:t>
      </w:r>
    </w:p>
    <w:p w:rsidR="00BB59CD" w:rsidRDefault="00BB59CD" w:rsidP="00BB59CD">
      <w:pPr>
        <w:rPr>
          <w:rtl/>
        </w:rPr>
      </w:pPr>
      <w:bookmarkStart w:id="82369" w:name="_ETM_Q163_490609"/>
      <w:bookmarkStart w:id="82370" w:name="_ETM_Q163_490709"/>
      <w:bookmarkEnd w:id="82369"/>
      <w:bookmarkEnd w:id="82370"/>
    </w:p>
    <w:p w:rsidR="00BB59CD" w:rsidRDefault="00BB59CD" w:rsidP="00BB59CD">
      <w:pPr>
        <w:pStyle w:val="af8"/>
        <w:keepNext/>
        <w:rPr>
          <w:rtl/>
        </w:rPr>
      </w:pPr>
      <w:bookmarkStart w:id="82371" w:name="ET_interruption_5300_11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371"/>
    </w:p>
    <w:p w:rsidR="00BB59CD" w:rsidRDefault="00BB59CD" w:rsidP="00337201">
      <w:pPr>
        <w:rPr>
          <w:rtl/>
        </w:rPr>
      </w:pPr>
    </w:p>
    <w:p w:rsidR="00BB59CD" w:rsidRDefault="00BB59CD" w:rsidP="00BB59CD">
      <w:pPr>
        <w:rPr>
          <w:rtl/>
        </w:rPr>
      </w:pPr>
      <w:bookmarkStart w:id="82372" w:name="_ETM_Q163_489801"/>
      <w:bookmarkStart w:id="82373" w:name="_ETM_Q163_490059"/>
      <w:bookmarkStart w:id="82374" w:name="_ETM_Q163_490159"/>
      <w:bookmarkEnd w:id="82372"/>
      <w:bookmarkEnd w:id="82373"/>
      <w:bookmarkEnd w:id="82374"/>
      <w:r>
        <w:rPr>
          <w:rFonts w:hint="cs"/>
          <w:rtl/>
        </w:rPr>
        <w:t>תכניס את כל מי שיצא.</w:t>
      </w:r>
      <w:bookmarkStart w:id="82375" w:name="_ETM_Q163_491121"/>
      <w:bookmarkEnd w:id="82375"/>
    </w:p>
    <w:p w:rsidR="00BB59CD" w:rsidRDefault="00BB59CD" w:rsidP="00BB59CD">
      <w:pPr>
        <w:rPr>
          <w:rtl/>
        </w:rPr>
      </w:pPr>
      <w:bookmarkStart w:id="82376" w:name="_ETM_Q163_491825"/>
      <w:bookmarkStart w:id="82377" w:name="_ETM_Q163_491933"/>
      <w:bookmarkEnd w:id="82376"/>
      <w:bookmarkEnd w:id="82377"/>
    </w:p>
    <w:p w:rsidR="00BB59CD" w:rsidRDefault="00BB59CD" w:rsidP="00BB59CD">
      <w:pPr>
        <w:pStyle w:val="af9"/>
        <w:keepNext/>
        <w:rPr>
          <w:rtl/>
        </w:rPr>
      </w:pPr>
      <w:bookmarkStart w:id="82378" w:name="ET_yor_6423_11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378"/>
    </w:p>
    <w:p w:rsidR="00BB59CD" w:rsidRDefault="00BB59CD" w:rsidP="00337201">
      <w:pPr>
        <w:rPr>
          <w:rtl/>
        </w:rPr>
      </w:pPr>
    </w:p>
    <w:p w:rsidR="00BB59CD" w:rsidRDefault="00BB59CD" w:rsidP="00BB59CD">
      <w:pPr>
        <w:rPr>
          <w:rtl/>
        </w:rPr>
      </w:pPr>
      <w:bookmarkStart w:id="82379" w:name="_ETM_Q163_492791"/>
      <w:bookmarkEnd w:id="82379"/>
      <w:r>
        <w:rPr>
          <w:rFonts w:hint="cs"/>
          <w:rtl/>
        </w:rPr>
        <w:t>נכניס כמובן את כל מי שהוצא. נא לתת מיקרופו</w:t>
      </w:r>
      <w:bookmarkStart w:id="82380" w:name="_ETM_Q163_493856"/>
      <w:bookmarkEnd w:id="82380"/>
      <w:r>
        <w:rPr>
          <w:rFonts w:hint="cs"/>
          <w:rtl/>
        </w:rPr>
        <w:t xml:space="preserve">ן לחברת הכנסת בן ארי. אנחנו ננהל מולך את ההסתייגויות. </w:t>
      </w:r>
      <w:bookmarkStart w:id="82381" w:name="_ETM_Q163_501675"/>
      <w:bookmarkEnd w:id="82381"/>
    </w:p>
    <w:p w:rsidR="00BB59CD" w:rsidRDefault="00BB59CD" w:rsidP="00BB59CD">
      <w:pPr>
        <w:rPr>
          <w:rtl/>
        </w:rPr>
      </w:pPr>
      <w:bookmarkStart w:id="82382" w:name="_ETM_Q163_541796"/>
      <w:bookmarkEnd w:id="82382"/>
    </w:p>
    <w:p w:rsidR="00BB59CD" w:rsidRDefault="00BB59CD" w:rsidP="00BB59CD">
      <w:pPr>
        <w:rPr>
          <w:rtl/>
        </w:rPr>
      </w:pPr>
      <w:bookmarkStart w:id="82383" w:name="_ETM_Q163_541814"/>
      <w:bookmarkStart w:id="82384" w:name="_ETM_Q163_541847"/>
      <w:bookmarkStart w:id="82385" w:name="_ETM_Q163_541921"/>
      <w:bookmarkEnd w:id="82383"/>
      <w:bookmarkEnd w:id="82384"/>
      <w:bookmarkEnd w:id="82385"/>
      <w:r>
        <w:rPr>
          <w:rFonts w:hint="cs"/>
          <w:rtl/>
        </w:rPr>
        <w:t>רבותיי, אנחנו עוברים להצבעה. אנא תפסו את מקומותיכם. חברת הכנסת</w:t>
      </w:r>
      <w:bookmarkStart w:id="82386" w:name="_ETM_Q163_551110"/>
      <w:bookmarkEnd w:id="82386"/>
      <w:r>
        <w:rPr>
          <w:rFonts w:hint="cs"/>
          <w:rtl/>
        </w:rPr>
        <w:t xml:space="preserve"> בן ארי, לפני כן אנחנו נקריא את </w:t>
      </w:r>
      <w:bookmarkStart w:id="82387" w:name="_ETM_Q163_558002"/>
      <w:bookmarkEnd w:id="82387"/>
      <w:r>
        <w:rPr>
          <w:rFonts w:hint="cs"/>
          <w:rtl/>
        </w:rPr>
        <w:t xml:space="preserve">שמות חברי הכנסת המסתייגים, לפי קבוצות. למען הסר ספק, </w:t>
      </w:r>
      <w:bookmarkStart w:id="82388" w:name="_ETM_Q163_562978"/>
      <w:bookmarkEnd w:id="82388"/>
      <w:r>
        <w:rPr>
          <w:rFonts w:hint="cs"/>
          <w:rtl/>
        </w:rPr>
        <w:t xml:space="preserve">אנחנו בחוק-יסוד: השפיטה (תיקון מס' 4). </w:t>
      </w:r>
      <w:bookmarkStart w:id="82389" w:name="_ETM_Q163_568343"/>
      <w:bookmarkStart w:id="82390" w:name="_ETM_Q163_568437"/>
      <w:bookmarkStart w:id="82391" w:name="_ETM_Q163_568472"/>
      <w:bookmarkStart w:id="82392" w:name="_ETM_Q163_568554"/>
      <w:bookmarkEnd w:id="82389"/>
      <w:bookmarkEnd w:id="82390"/>
      <w:bookmarkEnd w:id="82391"/>
      <w:bookmarkEnd w:id="82392"/>
      <w:r>
        <w:rPr>
          <w:rFonts w:hint="cs"/>
          <w:rtl/>
        </w:rPr>
        <w:t xml:space="preserve">קבוצת סיעת יש עתיד – חברי הכנסת יאיר לפיד, אורנה ברביבאי,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ושלי טל מירון; קבוצת סיעת המחנה הממלכתי – חברי </w:t>
      </w:r>
      <w:bookmarkStart w:id="82393" w:name="_ETM_Q163_590952"/>
      <w:bookmarkEnd w:id="82393"/>
      <w:r>
        <w:rPr>
          <w:rFonts w:hint="cs"/>
          <w:rtl/>
        </w:rPr>
        <w:t xml:space="preserve">הכנסת בני גנץ, גדעון סער, גדי איזנקוט, פנינה תמנו, יפעת שאשא ביטון, חילי טרופר, זאב אלקין, מיכאל מרדכי ביטון, מתן כהנא, אורית פרקש הכהן, שרן מרים השכל, אלון שוסטר; </w:t>
      </w:r>
      <w:bookmarkStart w:id="82394" w:name="_ETM_Q163_528758"/>
      <w:bookmarkStart w:id="82395" w:name="_ETM_Q163_608950"/>
      <w:bookmarkStart w:id="82396" w:name="_ETM_Q163_609070"/>
      <w:bookmarkStart w:id="82397" w:name="_ETM_Q163_609144"/>
      <w:bookmarkStart w:id="82398" w:name="_ETM_Q163_609209"/>
      <w:bookmarkEnd w:id="82394"/>
      <w:bookmarkEnd w:id="82395"/>
      <w:bookmarkEnd w:id="82396"/>
      <w:bookmarkEnd w:id="82397"/>
      <w:bookmarkEnd w:id="82398"/>
      <w:r>
        <w:rPr>
          <w:rFonts w:hint="cs"/>
          <w:rtl/>
        </w:rPr>
        <w:t xml:space="preserve">קבוצת סיעת ישראל ביתנו – חברי הכנסת אביגדור ליברמן, עודד פורר, יבגני סובה, שרון ניר, יוליה מלינובסקי וחמד עמאר; </w:t>
      </w:r>
      <w:bookmarkStart w:id="82399" w:name="_ETM_Q163_606911"/>
      <w:bookmarkStart w:id="82400" w:name="_ETM_Q163_607029"/>
      <w:bookmarkStart w:id="82401" w:name="_ETM_Q163_607070"/>
      <w:bookmarkStart w:id="82402" w:name="_ETM_Q163_607156"/>
      <w:bookmarkEnd w:id="82399"/>
      <w:bookmarkEnd w:id="82400"/>
      <w:bookmarkEnd w:id="82401"/>
      <w:bookmarkEnd w:id="82402"/>
      <w:r>
        <w:rPr>
          <w:rFonts w:hint="cs"/>
          <w:rtl/>
        </w:rPr>
        <w:t xml:space="preserve">קבוצת סיעת חד"ש-תע"ל – חברי הכנסת איימן עודה, אחמד טיבי, עאידה תומא סלימאן, עופר כסיף ויוסף עטאונה; </w:t>
      </w:r>
      <w:bookmarkStart w:id="82403" w:name="_ETM_Q163_619746"/>
      <w:bookmarkEnd w:id="82403"/>
      <w:r>
        <w:rPr>
          <w:rFonts w:hint="cs"/>
          <w:rtl/>
        </w:rPr>
        <w:t xml:space="preserve">קבוצת סיעת רע"מ – חברי הכנסת מנסור עבאס, ווליד טאהא, ואליד אלהואשלה, אימאן ח'טיב יאסין, יאסר חוג'יראת; </w:t>
      </w:r>
      <w:bookmarkStart w:id="82404" w:name="_ETM_Q163_636064"/>
      <w:bookmarkStart w:id="82405" w:name="_ETM_Q163_636166"/>
      <w:bookmarkStart w:id="82406" w:name="_ETM_Q163_636194"/>
      <w:bookmarkStart w:id="82407" w:name="_ETM_Q163_636283"/>
      <w:bookmarkEnd w:id="82404"/>
      <w:bookmarkEnd w:id="82405"/>
      <w:bookmarkEnd w:id="82406"/>
      <w:bookmarkEnd w:id="82407"/>
      <w:r>
        <w:rPr>
          <w:rFonts w:hint="cs"/>
          <w:rtl/>
        </w:rPr>
        <w:t>קבוצת סיעת הע</w:t>
      </w:r>
      <w:bookmarkStart w:id="82408" w:name="_ETM_Q163_636903"/>
      <w:bookmarkEnd w:id="82408"/>
      <w:r>
        <w:rPr>
          <w:rFonts w:hint="cs"/>
          <w:rtl/>
        </w:rPr>
        <w:t xml:space="preserve">בודה – חברי הכנסת מרב מיכאלי, נעמה לזימי, גלעד קריב ואפרת </w:t>
      </w:r>
      <w:bookmarkStart w:id="82409" w:name="_ETM_Q163_639156"/>
      <w:bookmarkEnd w:id="82409"/>
      <w:r>
        <w:rPr>
          <w:rFonts w:hint="cs"/>
          <w:rtl/>
        </w:rPr>
        <w:t xml:space="preserve">רייטן מרום. </w:t>
      </w:r>
    </w:p>
    <w:p w:rsidR="00BB59CD" w:rsidRDefault="00BB59CD" w:rsidP="00BB59CD">
      <w:pPr>
        <w:rPr>
          <w:rtl/>
        </w:rPr>
      </w:pPr>
      <w:bookmarkStart w:id="82410" w:name="_ETM_Q163_643621"/>
      <w:bookmarkStart w:id="82411" w:name="_ETM_Q163_643736"/>
      <w:bookmarkEnd w:id="82410"/>
      <w:bookmarkEnd w:id="82411"/>
    </w:p>
    <w:p w:rsidR="00BB59CD" w:rsidRDefault="00BB59CD" w:rsidP="00BB59CD">
      <w:pPr>
        <w:rPr>
          <w:rtl/>
        </w:rPr>
      </w:pPr>
      <w:bookmarkStart w:id="82412" w:name="_ETM_Q163_643807"/>
      <w:bookmarkStart w:id="82413" w:name="_ETM_Q163_643887"/>
      <w:bookmarkEnd w:id="82412"/>
      <w:bookmarkEnd w:id="82413"/>
      <w:r>
        <w:rPr>
          <w:rFonts w:hint="cs"/>
          <w:rtl/>
        </w:rPr>
        <w:t xml:space="preserve">נתחיל מחלק א'. חברת הכנסת בן ארי, על </w:t>
      </w:r>
      <w:bookmarkStart w:id="82414" w:name="_ETM_Q163_644072"/>
      <w:bookmarkEnd w:id="82414"/>
      <w:r>
        <w:rPr>
          <w:rFonts w:hint="cs"/>
          <w:rtl/>
        </w:rPr>
        <w:t>איזה הסתייגות נצביע?</w:t>
      </w:r>
    </w:p>
    <w:p w:rsidR="00BB59CD" w:rsidRDefault="00BB59CD" w:rsidP="00BB59CD">
      <w:pPr>
        <w:rPr>
          <w:rtl/>
        </w:rPr>
      </w:pPr>
    </w:p>
    <w:p w:rsidR="00BB59CD" w:rsidRDefault="00BB59CD" w:rsidP="00BB59CD">
      <w:pPr>
        <w:pStyle w:val="af8"/>
        <w:keepNext/>
        <w:rPr>
          <w:rtl/>
        </w:rPr>
      </w:pPr>
      <w:bookmarkStart w:id="82415" w:name="ET_interruption_5300_11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415"/>
    </w:p>
    <w:p w:rsidR="00BB59CD" w:rsidRDefault="00BB59CD" w:rsidP="00337201">
      <w:pPr>
        <w:rPr>
          <w:rtl/>
        </w:rPr>
      </w:pPr>
    </w:p>
    <w:p w:rsidR="00BB59CD" w:rsidRDefault="00BB59CD" w:rsidP="00BB59CD">
      <w:pPr>
        <w:rPr>
          <w:rtl/>
        </w:rPr>
      </w:pPr>
      <w:r>
        <w:rPr>
          <w:rFonts w:hint="cs"/>
          <w:rtl/>
        </w:rPr>
        <w:t xml:space="preserve">1. </w:t>
      </w:r>
    </w:p>
    <w:p w:rsidR="00BB59CD" w:rsidRDefault="00BB59CD" w:rsidP="00BB59CD">
      <w:pPr>
        <w:rPr>
          <w:rtl/>
        </w:rPr>
      </w:pPr>
    </w:p>
    <w:p w:rsidR="00BB59CD" w:rsidRDefault="00BB59CD" w:rsidP="00BB59CD">
      <w:pPr>
        <w:pStyle w:val="af9"/>
        <w:keepNext/>
        <w:rPr>
          <w:rtl/>
        </w:rPr>
      </w:pPr>
      <w:bookmarkStart w:id="82416" w:name="ET_yor_6423_11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416"/>
    </w:p>
    <w:p w:rsidR="00BB59CD" w:rsidRDefault="00BB59CD" w:rsidP="00337201">
      <w:pPr>
        <w:rPr>
          <w:rtl/>
        </w:rPr>
      </w:pPr>
    </w:p>
    <w:p w:rsidR="00BB59CD" w:rsidRDefault="00BB59CD" w:rsidP="00BB59CD">
      <w:pPr>
        <w:rPr>
          <w:rtl/>
        </w:rPr>
      </w:pPr>
      <w:r>
        <w:rPr>
          <w:rFonts w:hint="cs"/>
          <w:rtl/>
        </w:rPr>
        <w:t>הסתייגות מס' 1, רבותיי – הצבעה.</w:t>
      </w:r>
    </w:p>
    <w:p w:rsidR="00BB59CD" w:rsidRDefault="00BB59CD" w:rsidP="00BB59CD">
      <w:pPr>
        <w:rPr>
          <w:rtl/>
        </w:rPr>
      </w:pPr>
      <w:bookmarkStart w:id="82417" w:name="_ETM_Q163_665797"/>
      <w:bookmarkStart w:id="82418" w:name="_ETM_Q163_665954"/>
      <w:bookmarkEnd w:id="82417"/>
      <w:bookmarkEnd w:id="82418"/>
    </w:p>
    <w:p w:rsidR="00BB59CD" w:rsidRDefault="00BB59CD" w:rsidP="00BB59CD">
      <w:pPr>
        <w:pStyle w:val="af4"/>
        <w:keepNext/>
        <w:rPr>
          <w:rtl/>
        </w:rPr>
      </w:pPr>
      <w:r>
        <w:rPr>
          <w:rFonts w:hint="cs"/>
          <w:rtl/>
        </w:rPr>
        <w:t>הצבעה מס' 1</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 לא נתקבלה.</w:t>
      </w:r>
    </w:p>
    <w:p w:rsidR="00BB59CD" w:rsidRDefault="00BB59CD" w:rsidP="00BB59CD">
      <w:pPr>
        <w:rPr>
          <w:rtl/>
        </w:rPr>
      </w:pPr>
    </w:p>
    <w:p w:rsidR="00BB59CD" w:rsidRDefault="00BB59CD" w:rsidP="00BB59CD">
      <w:pPr>
        <w:pStyle w:val="af9"/>
        <w:keepNext/>
        <w:rPr>
          <w:rtl/>
        </w:rPr>
      </w:pPr>
      <w:bookmarkStart w:id="82419" w:name="ET_yor_6423_12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419"/>
    </w:p>
    <w:p w:rsidR="00BB59CD" w:rsidRDefault="00BB59CD" w:rsidP="00337201">
      <w:pPr>
        <w:rPr>
          <w:rtl/>
        </w:rPr>
      </w:pPr>
    </w:p>
    <w:p w:rsidR="00BB59CD" w:rsidRDefault="00BB59CD" w:rsidP="00BB59CD">
      <w:pPr>
        <w:rPr>
          <w:rtl/>
        </w:rPr>
      </w:pPr>
      <w:r>
        <w:rPr>
          <w:rFonts w:hint="cs"/>
          <w:rtl/>
        </w:rPr>
        <w:t xml:space="preserve">56 </w:t>
      </w:r>
      <w:bookmarkStart w:id="82420" w:name="_ETM_Q163_665988"/>
      <w:bookmarkEnd w:id="82420"/>
      <w:r>
        <w:rPr>
          <w:rFonts w:hint="cs"/>
          <w:rtl/>
        </w:rPr>
        <w:t xml:space="preserve">בעד, 63 נגד. אני קובע כי ההסתייגות לא התקבלה. </w:t>
      </w:r>
    </w:p>
    <w:p w:rsidR="00BB59CD" w:rsidRDefault="00BB59CD" w:rsidP="00BB59CD">
      <w:pPr>
        <w:rPr>
          <w:rtl/>
        </w:rPr>
      </w:pPr>
    </w:p>
    <w:p w:rsidR="00BB59CD" w:rsidRDefault="00BB59CD" w:rsidP="00BB59CD">
      <w:pPr>
        <w:rPr>
          <w:rtl/>
        </w:rPr>
      </w:pPr>
      <w:r>
        <w:rPr>
          <w:rFonts w:hint="cs"/>
          <w:rtl/>
        </w:rPr>
        <w:t xml:space="preserve">כעת </w:t>
      </w:r>
      <w:bookmarkStart w:id="82421" w:name="_ETM_Q163_670313"/>
      <w:bookmarkEnd w:id="82421"/>
      <w:r>
        <w:rPr>
          <w:rFonts w:hint="cs"/>
          <w:rtl/>
        </w:rPr>
        <w:t>נצביע על הסתייגות</w:t>
      </w:r>
      <w:bookmarkStart w:id="82422" w:name="_ETM_Q163_674189"/>
      <w:bookmarkEnd w:id="82422"/>
      <w:r>
        <w:rPr>
          <w:rFonts w:hint="cs"/>
          <w:rtl/>
        </w:rPr>
        <w:t xml:space="preserve"> 62. הצבעה.</w:t>
      </w:r>
    </w:p>
    <w:p w:rsidR="00BB59CD" w:rsidRDefault="00BB59CD" w:rsidP="00BB59CD">
      <w:pPr>
        <w:rPr>
          <w:rtl/>
        </w:rPr>
      </w:pPr>
      <w:bookmarkStart w:id="82423" w:name="_ETM_Q163_676868"/>
      <w:bookmarkStart w:id="82424" w:name="_ETM_Q163_676989"/>
      <w:bookmarkEnd w:id="82423"/>
      <w:bookmarkEnd w:id="82424"/>
    </w:p>
    <w:p w:rsidR="00BB59CD" w:rsidRDefault="00BB59CD" w:rsidP="00BB59CD">
      <w:pPr>
        <w:pStyle w:val="af4"/>
        <w:keepNext/>
        <w:rPr>
          <w:rtl/>
        </w:rPr>
      </w:pPr>
      <w:r>
        <w:rPr>
          <w:rFonts w:hint="cs"/>
          <w:rtl/>
        </w:rPr>
        <w:t>הצבעה מס' 2</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62 לא נתקבלה.</w:t>
      </w:r>
    </w:p>
    <w:p w:rsidR="00BB59CD" w:rsidRDefault="00BB59CD" w:rsidP="00BB59CD">
      <w:pPr>
        <w:rPr>
          <w:rtl/>
        </w:rPr>
      </w:pPr>
    </w:p>
    <w:p w:rsidR="00BB59CD" w:rsidRDefault="00BB59CD" w:rsidP="00BB59CD">
      <w:pPr>
        <w:pStyle w:val="af8"/>
        <w:keepNext/>
        <w:rPr>
          <w:rtl/>
        </w:rPr>
      </w:pPr>
      <w:bookmarkStart w:id="82425" w:name="_ETM_Q163_681080"/>
      <w:bookmarkStart w:id="82426" w:name="_ETM_Q163_681174"/>
      <w:bookmarkStart w:id="82427" w:name="ET_interruption_קריאה_128"/>
      <w:bookmarkEnd w:id="82425"/>
      <w:bookmarkEnd w:id="82426"/>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82427"/>
    </w:p>
    <w:p w:rsidR="00BB59CD" w:rsidRDefault="00BB59CD" w:rsidP="00337201">
      <w:pPr>
        <w:rPr>
          <w:rtl/>
        </w:rPr>
      </w:pPr>
    </w:p>
    <w:p w:rsidR="00BB59CD" w:rsidRDefault="00BB59CD" w:rsidP="00BB59CD">
      <w:pPr>
        <w:rPr>
          <w:rtl/>
        </w:rPr>
      </w:pPr>
      <w:bookmarkStart w:id="82428" w:name="_ETM_Q163_680168"/>
      <w:bookmarkEnd w:id="82428"/>
      <w:r>
        <w:rPr>
          <w:rFonts w:hint="cs"/>
          <w:rtl/>
        </w:rPr>
        <w:t>איפה שר הביטחון? איפה שר הביטחון?</w:t>
      </w:r>
    </w:p>
    <w:p w:rsidR="00BB59CD" w:rsidRDefault="00BB59CD" w:rsidP="00BB59CD">
      <w:pPr>
        <w:rPr>
          <w:rtl/>
        </w:rPr>
      </w:pPr>
    </w:p>
    <w:p w:rsidR="00BB59CD" w:rsidRDefault="00BB59CD" w:rsidP="00BB59CD">
      <w:pPr>
        <w:pStyle w:val="af9"/>
        <w:keepNext/>
        <w:rPr>
          <w:rtl/>
        </w:rPr>
      </w:pPr>
      <w:bookmarkStart w:id="82429" w:name="ET_yor_6423_12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429"/>
    </w:p>
    <w:p w:rsidR="00BB59CD" w:rsidRDefault="00BB59CD" w:rsidP="00337201">
      <w:pPr>
        <w:rPr>
          <w:rtl/>
        </w:rPr>
      </w:pPr>
    </w:p>
    <w:p w:rsidR="00BB59CD" w:rsidRDefault="00BB59CD" w:rsidP="00BB59CD">
      <w:pPr>
        <w:rPr>
          <w:rtl/>
        </w:rPr>
      </w:pPr>
      <w:bookmarkStart w:id="82430" w:name="_ETM_Q163_682213"/>
      <w:bookmarkEnd w:id="82430"/>
      <w:r>
        <w:rPr>
          <w:rFonts w:hint="cs"/>
          <w:rtl/>
        </w:rPr>
        <w:t xml:space="preserve">56 בעד, 63 נגד. </w:t>
      </w:r>
      <w:bookmarkStart w:id="82431" w:name="_ETM_Q163_697717"/>
      <w:bookmarkEnd w:id="82431"/>
      <w:r>
        <w:rPr>
          <w:rFonts w:hint="cs"/>
          <w:rtl/>
        </w:rPr>
        <w:t xml:space="preserve">אני קובע כי גם הסתייגות זו לא התקבלה. </w:t>
      </w:r>
    </w:p>
    <w:p w:rsidR="00BB59CD" w:rsidRDefault="00BB59CD" w:rsidP="00BB59CD">
      <w:pPr>
        <w:rPr>
          <w:rtl/>
        </w:rPr>
      </w:pPr>
      <w:bookmarkStart w:id="82432" w:name="_ETM_Q163_699047"/>
      <w:bookmarkStart w:id="82433" w:name="_ETM_Q163_699143"/>
      <w:bookmarkEnd w:id="82432"/>
      <w:bookmarkEnd w:id="82433"/>
    </w:p>
    <w:p w:rsidR="00BB59CD" w:rsidRDefault="00BB59CD" w:rsidP="00BB59CD">
      <w:pPr>
        <w:rPr>
          <w:rtl/>
        </w:rPr>
      </w:pPr>
      <w:r>
        <w:rPr>
          <w:rFonts w:hint="cs"/>
          <w:rtl/>
        </w:rPr>
        <w:t xml:space="preserve">כעת נצביע על </w:t>
      </w:r>
      <w:bookmarkStart w:id="82434" w:name="_ETM_Q163_700872"/>
      <w:bookmarkEnd w:id="82434"/>
      <w:r>
        <w:rPr>
          <w:rFonts w:hint="cs"/>
          <w:rtl/>
        </w:rPr>
        <w:t>הסתייגות מס' 63. הצבעה.</w:t>
      </w:r>
    </w:p>
    <w:p w:rsidR="00BB59CD" w:rsidRDefault="00BB59CD" w:rsidP="00BB59CD">
      <w:pPr>
        <w:pStyle w:val="af8"/>
        <w:keepNext/>
        <w:rPr>
          <w:rtl/>
        </w:rPr>
      </w:pPr>
      <w:bookmarkStart w:id="82435" w:name="ET_interruption_קריאה_129"/>
      <w:r>
        <w:rPr>
          <w:rStyle w:val="TagStyle"/>
          <w:rFonts w:hint="cs"/>
          <w:rtl/>
        </w:rPr>
        <w:t xml:space="preserve"> </w:t>
      </w:r>
      <w:bookmarkEnd w:id="82435"/>
    </w:p>
    <w:p w:rsidR="00BB59CD" w:rsidRDefault="00BB59CD" w:rsidP="00BB59CD">
      <w:pPr>
        <w:pStyle w:val="af4"/>
        <w:keepNext/>
        <w:rPr>
          <w:rtl/>
        </w:rPr>
      </w:pPr>
      <w:r>
        <w:rPr>
          <w:rFonts w:hint="cs"/>
          <w:rtl/>
        </w:rPr>
        <w:t>הצבעה מס' 3</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63 לא נתקבלה.</w:t>
      </w:r>
    </w:p>
    <w:p w:rsidR="00BB59CD" w:rsidRDefault="00BB59CD" w:rsidP="00BB59CD">
      <w:pPr>
        <w:rPr>
          <w:rtl/>
        </w:rPr>
      </w:pPr>
    </w:p>
    <w:p w:rsidR="00BB59CD" w:rsidRDefault="00BB59CD" w:rsidP="00BB59CD">
      <w:pPr>
        <w:pStyle w:val="af9"/>
        <w:keepNext/>
        <w:rPr>
          <w:rtl/>
        </w:rPr>
      </w:pPr>
      <w:bookmarkStart w:id="82436" w:name="ET_yor_6423_12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436"/>
    </w:p>
    <w:p w:rsidR="00BB59CD" w:rsidRDefault="00BB59CD" w:rsidP="00337201">
      <w:pPr>
        <w:rPr>
          <w:rtl/>
        </w:rPr>
      </w:pPr>
    </w:p>
    <w:p w:rsidR="00BB59CD" w:rsidRDefault="00BB59CD" w:rsidP="00BB59CD">
      <w:pPr>
        <w:rPr>
          <w:rtl/>
        </w:rPr>
      </w:pPr>
      <w:bookmarkStart w:id="82437" w:name="_ETM_Q163_719558"/>
      <w:bookmarkStart w:id="82438" w:name="_ETM_Q163_719643"/>
      <w:bookmarkEnd w:id="82437"/>
      <w:bookmarkEnd w:id="82438"/>
      <w:r>
        <w:rPr>
          <w:rFonts w:hint="cs"/>
          <w:rtl/>
        </w:rPr>
        <w:t xml:space="preserve">55 בעד, 63 נגד. אני קובע כי גם </w:t>
      </w:r>
      <w:bookmarkStart w:id="82439" w:name="_ETM_Q163_725931"/>
      <w:bookmarkEnd w:id="82439"/>
      <w:r>
        <w:rPr>
          <w:rFonts w:hint="cs"/>
          <w:rtl/>
        </w:rPr>
        <w:t xml:space="preserve">הסתייגות זו לא התקבלה. </w:t>
      </w:r>
    </w:p>
    <w:p w:rsidR="00BB59CD" w:rsidRDefault="00BB59CD" w:rsidP="00BB59CD">
      <w:pPr>
        <w:rPr>
          <w:rtl/>
        </w:rPr>
      </w:pPr>
      <w:bookmarkStart w:id="82440" w:name="_ETM_Q163_736309"/>
      <w:bookmarkStart w:id="82441" w:name="_ETM_Q163_736390"/>
      <w:bookmarkEnd w:id="82440"/>
      <w:bookmarkEnd w:id="82441"/>
    </w:p>
    <w:p w:rsidR="00BB59CD" w:rsidRDefault="00BB59CD" w:rsidP="00BB59CD">
      <w:pPr>
        <w:rPr>
          <w:rtl/>
        </w:rPr>
      </w:pPr>
      <w:bookmarkStart w:id="82442" w:name="_ETM_Q163_736469"/>
      <w:bookmarkStart w:id="82443" w:name="_ETM_Q163_736559"/>
      <w:bookmarkEnd w:id="82442"/>
      <w:bookmarkEnd w:id="82443"/>
      <w:r>
        <w:rPr>
          <w:rFonts w:hint="cs"/>
          <w:rtl/>
        </w:rPr>
        <w:t xml:space="preserve">כעת נצביע על הסתייגות </w:t>
      </w:r>
      <w:bookmarkStart w:id="82444" w:name="_ETM_Q163_730632"/>
      <w:bookmarkEnd w:id="82444"/>
      <w:r>
        <w:rPr>
          <w:rFonts w:hint="cs"/>
          <w:rtl/>
        </w:rPr>
        <w:t xml:space="preserve">157. </w:t>
      </w:r>
      <w:bookmarkStart w:id="82445" w:name="_ETM_Q163_731104"/>
      <w:bookmarkEnd w:id="82445"/>
      <w:r>
        <w:rPr>
          <w:rFonts w:hint="cs"/>
          <w:rtl/>
        </w:rPr>
        <w:t>רבותיי, הצבעה.</w:t>
      </w:r>
    </w:p>
    <w:p w:rsidR="00BB59CD" w:rsidRDefault="00BB59CD" w:rsidP="00BB59CD">
      <w:pPr>
        <w:rPr>
          <w:rtl/>
        </w:rPr>
      </w:pPr>
    </w:p>
    <w:p w:rsidR="00BB59CD" w:rsidRDefault="00BB59CD" w:rsidP="00BB59CD">
      <w:pPr>
        <w:pStyle w:val="af4"/>
        <w:keepNext/>
        <w:rPr>
          <w:rtl/>
        </w:rPr>
      </w:pPr>
      <w:r>
        <w:rPr>
          <w:rFonts w:hint="cs"/>
          <w:rtl/>
        </w:rPr>
        <w:t>הצבעה מס' 4</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157 לא נתקבלה.</w:t>
      </w:r>
    </w:p>
    <w:p w:rsidR="00BB59CD" w:rsidRDefault="00BB59CD" w:rsidP="00BB59CD">
      <w:pPr>
        <w:rPr>
          <w:rtl/>
        </w:rPr>
      </w:pPr>
    </w:p>
    <w:p w:rsidR="00BB59CD" w:rsidRDefault="00BB59CD" w:rsidP="00BB59CD">
      <w:pPr>
        <w:pStyle w:val="af8"/>
        <w:keepNext/>
        <w:rPr>
          <w:rtl/>
        </w:rPr>
      </w:pPr>
      <w:bookmarkStart w:id="82446" w:name="ET_interruption_6156_13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82446"/>
    </w:p>
    <w:p w:rsidR="00BB59CD" w:rsidRDefault="00BB59CD" w:rsidP="00337201">
      <w:pPr>
        <w:rPr>
          <w:rtl/>
        </w:rPr>
      </w:pPr>
    </w:p>
    <w:p w:rsidR="00BB59CD" w:rsidRDefault="00BB59CD" w:rsidP="00BB59CD">
      <w:pPr>
        <w:rPr>
          <w:rtl/>
        </w:rPr>
      </w:pPr>
      <w:r>
        <w:rPr>
          <w:rFonts w:hint="cs"/>
          <w:rtl/>
        </w:rPr>
        <w:t xml:space="preserve">שר ביטחון אמיץ וראש ממשלה פחדן.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bookmarkStart w:id="82447" w:name="_ETM_Q163_746035"/>
      <w:bookmarkEnd w:id="82447"/>
    </w:p>
    <w:p w:rsidR="00BB59CD" w:rsidRDefault="00BB59CD" w:rsidP="00BB59CD">
      <w:pPr>
        <w:rPr>
          <w:rtl/>
        </w:rPr>
      </w:pPr>
      <w:bookmarkStart w:id="82448" w:name="_ETM_Q163_746142"/>
      <w:bookmarkEnd w:id="82448"/>
      <w:r>
        <w:rPr>
          <w:rFonts w:hint="cs"/>
          <w:rtl/>
        </w:rPr>
        <w:t xml:space="preserve">56 </w:t>
      </w:r>
      <w:bookmarkStart w:id="82449" w:name="_ETM_Q163_747060"/>
      <w:bookmarkEnd w:id="82449"/>
      <w:r>
        <w:rPr>
          <w:rFonts w:hint="cs"/>
          <w:rtl/>
        </w:rPr>
        <w:t xml:space="preserve">בעד, 63 נגד. אני קובע כי ההסתייגות לא התקבלה. </w:t>
      </w:r>
    </w:p>
    <w:p w:rsidR="00BB59CD" w:rsidRDefault="00BB59CD" w:rsidP="00BB59CD">
      <w:pPr>
        <w:rPr>
          <w:rtl/>
        </w:rPr>
      </w:pPr>
    </w:p>
    <w:p w:rsidR="00BB59CD" w:rsidRDefault="00BB59CD" w:rsidP="00BB59CD">
      <w:pPr>
        <w:rPr>
          <w:rtl/>
          <w:lang w:eastAsia="he-IL"/>
        </w:rPr>
      </w:pPr>
      <w:bookmarkStart w:id="82450" w:name="_ETM_Q163_759100"/>
      <w:bookmarkStart w:id="82451" w:name="_ETM_Q163_759187"/>
      <w:bookmarkStart w:id="82452" w:name="TOR_Q164"/>
      <w:bookmarkEnd w:id="82450"/>
      <w:bookmarkEnd w:id="82451"/>
      <w:bookmarkEnd w:id="82452"/>
      <w:r>
        <w:rPr>
          <w:rFonts w:hint="cs"/>
          <w:rtl/>
          <w:lang w:eastAsia="he-IL"/>
        </w:rPr>
        <w:t xml:space="preserve">כעת נצביע על הסתייגות 172. הצבעה על הסתייגות 172, בבקשה. </w:t>
      </w:r>
    </w:p>
    <w:p w:rsidR="00BB59CD" w:rsidRDefault="00BB59CD" w:rsidP="00BB59CD">
      <w:pPr>
        <w:rPr>
          <w:rtl/>
          <w:lang w:eastAsia="he-IL"/>
        </w:rPr>
      </w:pPr>
      <w:bookmarkStart w:id="82453" w:name="_ETM_Q164_172000"/>
      <w:bookmarkEnd w:id="82453"/>
    </w:p>
    <w:p w:rsidR="00BB59CD" w:rsidRDefault="00BB59CD" w:rsidP="00BB59CD">
      <w:pPr>
        <w:pStyle w:val="af4"/>
        <w:keepNext/>
        <w:rPr>
          <w:rtl/>
          <w:lang w:eastAsia="he-IL"/>
        </w:rPr>
      </w:pPr>
      <w:bookmarkStart w:id="82454" w:name="_ETM_Q164_170000"/>
      <w:bookmarkEnd w:id="82454"/>
      <w:r>
        <w:rPr>
          <w:rFonts w:hint="cs"/>
          <w:rtl/>
          <w:lang w:eastAsia="he-IL"/>
        </w:rPr>
        <w:t>הצבעה מס' 5</w:t>
      </w:r>
    </w:p>
    <w:p w:rsidR="00BB59CD" w:rsidRDefault="00BB59CD" w:rsidP="00BB59CD">
      <w:pPr>
        <w:pStyle w:val="--"/>
        <w:keepNext/>
        <w:rPr>
          <w:rtl/>
          <w:lang w:eastAsia="he-IL"/>
        </w:rPr>
      </w:pPr>
    </w:p>
    <w:p w:rsidR="00BB59CD" w:rsidRDefault="00BB59CD" w:rsidP="00BB59CD">
      <w:pPr>
        <w:pStyle w:val="--"/>
        <w:rPr>
          <w:rtl/>
        </w:rPr>
      </w:pPr>
      <w:bookmarkStart w:id="82455" w:name="_ETM_Q164_161000"/>
      <w:bookmarkEnd w:id="82455"/>
      <w:r>
        <w:rPr>
          <w:rFonts w:hint="cs"/>
          <w:rtl/>
        </w:rPr>
        <w:t>בעד ההסתייגות – 56</w:t>
      </w:r>
    </w:p>
    <w:p w:rsidR="00BB59CD" w:rsidRDefault="00BB59CD" w:rsidP="00BB59CD">
      <w:pPr>
        <w:pStyle w:val="--"/>
      </w:pPr>
      <w:r>
        <w:rPr>
          <w:rFonts w:hint="cs"/>
          <w:rtl/>
        </w:rPr>
        <w:t>נגד – 63</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172 לא נתקבלה.</w:t>
      </w:r>
    </w:p>
    <w:p w:rsidR="00BB59CD" w:rsidRDefault="00BB59CD" w:rsidP="00BB59CD">
      <w:pPr>
        <w:rPr>
          <w:rtl/>
          <w:lang w:eastAsia="he-IL"/>
        </w:rPr>
      </w:pPr>
      <w:bookmarkStart w:id="82456" w:name="_ETM_Q164_169000"/>
      <w:bookmarkEnd w:id="82456"/>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457" w:name="_ETM_Q164_181000"/>
      <w:bookmarkEnd w:id="82457"/>
      <w:r>
        <w:rPr>
          <w:rFonts w:hint="cs"/>
          <w:rtl/>
          <w:lang w:eastAsia="he-IL"/>
        </w:rPr>
        <w:t xml:space="preserve">בעד – 56, נגד – 63. אני קובע כי </w:t>
      </w:r>
      <w:bookmarkStart w:id="82458" w:name="_ETM_Q164_174000"/>
      <w:bookmarkEnd w:id="82458"/>
      <w:r>
        <w:rPr>
          <w:rFonts w:hint="cs"/>
          <w:rtl/>
          <w:lang w:eastAsia="he-IL"/>
        </w:rPr>
        <w:t xml:space="preserve">ההסתייגות לא התקבלה. </w:t>
      </w:r>
    </w:p>
    <w:p w:rsidR="00BB59CD" w:rsidRDefault="00BB59CD" w:rsidP="00BB59CD">
      <w:pPr>
        <w:rPr>
          <w:rtl/>
          <w:lang w:eastAsia="he-IL"/>
        </w:rPr>
      </w:pPr>
      <w:bookmarkStart w:id="82459" w:name="_ETM_Q164_177000"/>
      <w:bookmarkEnd w:id="82459"/>
    </w:p>
    <w:p w:rsidR="00BB59CD" w:rsidRDefault="00BB59CD" w:rsidP="00BB59CD">
      <w:pPr>
        <w:rPr>
          <w:rtl/>
          <w:lang w:eastAsia="he-IL"/>
        </w:rPr>
      </w:pPr>
      <w:bookmarkStart w:id="82460" w:name="_ETM_Q164_179000"/>
      <w:bookmarkEnd w:id="82460"/>
      <w:r>
        <w:rPr>
          <w:rFonts w:hint="cs"/>
          <w:rtl/>
          <w:lang w:eastAsia="he-IL"/>
        </w:rPr>
        <w:t xml:space="preserve">כעת נצביע על הסתייגות 173.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6</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56</w:t>
      </w:r>
    </w:p>
    <w:p w:rsidR="00BB59CD" w:rsidRDefault="00BB59CD" w:rsidP="00BB59CD">
      <w:pPr>
        <w:pStyle w:val="--"/>
      </w:pPr>
      <w:r>
        <w:rPr>
          <w:rFonts w:hint="cs"/>
          <w:rtl/>
        </w:rPr>
        <w:t>נגד – 63</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173 לא נתקבלה.</w:t>
      </w:r>
    </w:p>
    <w:p w:rsidR="00BB59CD" w:rsidRDefault="00BB59CD" w:rsidP="00BB59CD">
      <w:pPr>
        <w:rPr>
          <w:rtl/>
        </w:rPr>
      </w:pPr>
      <w:bookmarkStart w:id="82461" w:name="_ETM_Q164_193000"/>
      <w:bookmarkEnd w:id="82461"/>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462" w:name="_ETM_Q164_194000"/>
      <w:bookmarkEnd w:id="82462"/>
      <w:r>
        <w:rPr>
          <w:rFonts w:hint="cs"/>
          <w:rtl/>
          <w:lang w:eastAsia="he-IL"/>
        </w:rPr>
        <w:t>56 בעד, 63 נגד. אני קובע כי ההסתייגות</w:t>
      </w:r>
      <w:bookmarkStart w:id="82463" w:name="_ETM_Q164_203000"/>
      <w:bookmarkEnd w:id="82463"/>
      <w:r>
        <w:rPr>
          <w:rFonts w:hint="cs"/>
          <w:rtl/>
          <w:lang w:eastAsia="he-IL"/>
        </w:rPr>
        <w:t xml:space="preserve"> לא התקבלה. </w:t>
      </w:r>
    </w:p>
    <w:p w:rsidR="00BB59CD" w:rsidRDefault="00BB59CD" w:rsidP="00BB59CD">
      <w:pPr>
        <w:rPr>
          <w:rtl/>
          <w:lang w:eastAsia="he-IL"/>
        </w:rPr>
      </w:pPr>
      <w:bookmarkStart w:id="82464" w:name="_ETM_Q164_204000"/>
      <w:bookmarkEnd w:id="82464"/>
    </w:p>
    <w:p w:rsidR="00BB59CD" w:rsidRDefault="00BB59CD" w:rsidP="00BB59CD">
      <w:pPr>
        <w:rPr>
          <w:rtl/>
          <w:lang w:eastAsia="he-IL"/>
        </w:rPr>
      </w:pPr>
      <w:bookmarkStart w:id="82465" w:name="_ETM_Q164_205000"/>
      <w:bookmarkEnd w:id="82465"/>
      <w:r>
        <w:rPr>
          <w:rFonts w:hint="cs"/>
          <w:rtl/>
          <w:lang w:eastAsia="he-IL"/>
        </w:rPr>
        <w:t xml:space="preserve">כעת נצביע על הסתייגות מס' </w:t>
      </w:r>
      <w:bookmarkStart w:id="82466" w:name="_ETM_Q164_184000"/>
      <w:bookmarkEnd w:id="82466"/>
      <w:r>
        <w:rPr>
          <w:rFonts w:hint="cs"/>
          <w:rtl/>
          <w:lang w:eastAsia="he-IL"/>
        </w:rPr>
        <w:t xml:space="preserve">13640.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7</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54</w:t>
      </w:r>
    </w:p>
    <w:p w:rsidR="00BB59CD" w:rsidRDefault="00BB59CD" w:rsidP="00BB59CD">
      <w:pPr>
        <w:pStyle w:val="--"/>
      </w:pPr>
      <w:r>
        <w:rPr>
          <w:rFonts w:hint="cs"/>
          <w:rtl/>
        </w:rPr>
        <w:t>נגד – 63</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13640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467" w:name="_ETM_Q164_223000"/>
      <w:bookmarkEnd w:id="82467"/>
      <w:r>
        <w:rPr>
          <w:rFonts w:hint="cs"/>
          <w:rtl/>
          <w:lang w:eastAsia="he-IL"/>
        </w:rPr>
        <w:t xml:space="preserve">54 בעד, </w:t>
      </w:r>
      <w:bookmarkStart w:id="82468" w:name="_ETM_Q164_233499"/>
      <w:bookmarkEnd w:id="82468"/>
      <w:r>
        <w:rPr>
          <w:rFonts w:hint="cs"/>
          <w:rtl/>
          <w:lang w:eastAsia="he-IL"/>
        </w:rPr>
        <w:t xml:space="preserve">63 נגד. אני קובע כי ההסתייגות לא התקבלה. </w:t>
      </w:r>
    </w:p>
    <w:p w:rsidR="00BB59CD" w:rsidRDefault="00BB59CD" w:rsidP="00BB59CD">
      <w:pPr>
        <w:rPr>
          <w:rtl/>
          <w:lang w:eastAsia="he-IL"/>
        </w:rPr>
      </w:pPr>
      <w:bookmarkStart w:id="82469" w:name="_ETM_Q164_230000"/>
      <w:bookmarkEnd w:id="82469"/>
    </w:p>
    <w:p w:rsidR="00BB59CD" w:rsidRDefault="00BB59CD" w:rsidP="00BB59CD">
      <w:pPr>
        <w:rPr>
          <w:rtl/>
          <w:lang w:eastAsia="he-IL"/>
        </w:rPr>
      </w:pPr>
      <w:bookmarkStart w:id="82470" w:name="_ETM_Q164_231000"/>
      <w:bookmarkEnd w:id="82470"/>
      <w:r>
        <w:rPr>
          <w:rFonts w:hint="cs"/>
          <w:rtl/>
          <w:lang w:eastAsia="he-IL"/>
        </w:rPr>
        <w:t xml:space="preserve">כעת נצביע על הסתייגות? </w:t>
      </w:r>
    </w:p>
    <w:p w:rsidR="00BB59CD" w:rsidRDefault="00BB59CD" w:rsidP="00BB59CD">
      <w:pPr>
        <w:rPr>
          <w:rtl/>
          <w:lang w:eastAsia="he-IL"/>
        </w:rPr>
      </w:pPr>
    </w:p>
    <w:p w:rsidR="00BB59CD" w:rsidRDefault="00BB59CD" w:rsidP="00BB59CD">
      <w:pPr>
        <w:pStyle w:val="af8"/>
        <w:keepNext/>
        <w:rPr>
          <w:rtl/>
        </w:rPr>
      </w:pPr>
      <w:bookmarkStart w:id="82471" w:name="ET_interruption_5300_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47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אדוני, אתה לא אומר איזה הסתייגויות הוסרו? </w:t>
      </w:r>
    </w:p>
    <w:p w:rsidR="00BB59CD" w:rsidRDefault="00BB59CD" w:rsidP="00BB59CD">
      <w:pPr>
        <w:rPr>
          <w:rtl/>
          <w:lang w:eastAsia="he-IL"/>
        </w:rPr>
      </w:pPr>
      <w:bookmarkStart w:id="82472" w:name="_ETM_Q164_232000"/>
      <w:bookmarkEnd w:id="82472"/>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473" w:name="_ETM_Q164_235000"/>
      <w:bookmarkEnd w:id="82473"/>
      <w:r>
        <w:rPr>
          <w:rFonts w:hint="cs"/>
          <w:rtl/>
          <w:lang w:eastAsia="he-IL"/>
        </w:rPr>
        <w:t>לא, כל ההסתייגו</w:t>
      </w:r>
      <w:r w:rsidR="009123FF">
        <w:rPr>
          <w:rFonts w:hint="cs"/>
          <w:rtl/>
          <w:lang w:eastAsia="he-IL"/>
        </w:rPr>
        <w:t>יו</w:t>
      </w:r>
      <w:r>
        <w:rPr>
          <w:rFonts w:hint="cs"/>
          <w:rtl/>
          <w:lang w:eastAsia="he-IL"/>
        </w:rPr>
        <w:t xml:space="preserve">ת שלא אמרת הוסרו. אנחנו קבענו שיש לכם 140, </w:t>
      </w:r>
      <w:bookmarkStart w:id="82474" w:name="_ETM_Q164_234000"/>
      <w:bookmarkStart w:id="82475" w:name="_ETM_Q164_241000"/>
      <w:bookmarkEnd w:id="82474"/>
      <w:bookmarkEnd w:id="82475"/>
      <w:r>
        <w:rPr>
          <w:rFonts w:hint="cs"/>
          <w:rtl/>
          <w:lang w:eastAsia="he-IL"/>
        </w:rPr>
        <w:t xml:space="preserve">יושב-ראש הקואליציה הסכים ל-145. מה שלא </w:t>
      </w:r>
      <w:bookmarkStart w:id="82476" w:name="_ETM_Q164_244000"/>
      <w:bookmarkEnd w:id="82476"/>
      <w:r>
        <w:rPr>
          <w:rFonts w:hint="cs"/>
          <w:rtl/>
          <w:lang w:eastAsia="he-IL"/>
        </w:rPr>
        <w:t xml:space="preserve">נאמר כמובן הוסר. </w:t>
      </w:r>
    </w:p>
    <w:p w:rsidR="00BB59CD" w:rsidRDefault="00BB59CD" w:rsidP="00BB59CD">
      <w:pPr>
        <w:rPr>
          <w:rtl/>
          <w:lang w:eastAsia="he-IL"/>
        </w:rPr>
      </w:pPr>
      <w:bookmarkStart w:id="82477" w:name="_ETM_Q164_246000"/>
      <w:bookmarkEnd w:id="82477"/>
    </w:p>
    <w:p w:rsidR="00BB59CD" w:rsidRDefault="00BB59CD" w:rsidP="00BB59CD">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נצביע על 13643. </w:t>
      </w:r>
    </w:p>
    <w:p w:rsidR="00BB59CD" w:rsidRDefault="00BB59CD" w:rsidP="00BB59CD">
      <w:pPr>
        <w:rPr>
          <w:rtl/>
          <w:lang w:eastAsia="he-IL"/>
        </w:rPr>
      </w:pPr>
      <w:bookmarkStart w:id="82478" w:name="_ETM_Q164_249000"/>
      <w:bookmarkEnd w:id="82478"/>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479" w:name="_ETM_Q164_250000"/>
      <w:bookmarkEnd w:id="82479"/>
      <w:r>
        <w:rPr>
          <w:rFonts w:hint="cs"/>
          <w:rtl/>
          <w:lang w:eastAsia="he-IL"/>
        </w:rPr>
        <w:t xml:space="preserve">כעת הסתייגות 13643 –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8</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56</w:t>
      </w:r>
    </w:p>
    <w:p w:rsidR="00BB59CD" w:rsidRDefault="00BB59CD" w:rsidP="00BB59CD">
      <w:pPr>
        <w:pStyle w:val="--"/>
      </w:pPr>
      <w:r>
        <w:rPr>
          <w:rFonts w:hint="cs"/>
          <w:rtl/>
        </w:rPr>
        <w:t>נגד – 63</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13643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63 נגד. גם הסתייגות זו הוסרה. </w:t>
      </w:r>
    </w:p>
    <w:p w:rsidR="00BB59CD" w:rsidRDefault="00BB59CD" w:rsidP="00BB59CD">
      <w:pPr>
        <w:rPr>
          <w:rtl/>
          <w:lang w:eastAsia="he-IL"/>
        </w:rPr>
      </w:pPr>
      <w:bookmarkStart w:id="82480" w:name="_ETM_Q164_269000"/>
      <w:bookmarkEnd w:id="82480"/>
    </w:p>
    <w:p w:rsidR="00BB59CD" w:rsidRDefault="00BB59CD" w:rsidP="00BB59CD">
      <w:pPr>
        <w:rPr>
          <w:rtl/>
          <w:lang w:eastAsia="he-IL"/>
        </w:rPr>
      </w:pPr>
      <w:bookmarkStart w:id="82481" w:name="_ETM_Q164_270000"/>
      <w:bookmarkEnd w:id="82481"/>
      <w:r>
        <w:rPr>
          <w:rFonts w:hint="cs"/>
          <w:rtl/>
          <w:lang w:eastAsia="he-IL"/>
        </w:rPr>
        <w:t>כעת נצביע על הסתייגות</w:t>
      </w:r>
      <w:bookmarkStart w:id="82482" w:name="_ETM_Q164_272000"/>
      <w:bookmarkEnd w:id="82482"/>
      <w:r>
        <w:rPr>
          <w:rFonts w:hint="cs"/>
          <w:rtl/>
          <w:lang w:eastAsia="he-IL"/>
        </w:rPr>
        <w:t xml:space="preserve"> 13645. הצבעה. </w:t>
      </w:r>
    </w:p>
    <w:p w:rsidR="00BB59CD" w:rsidRDefault="00BB59CD" w:rsidP="00BB59CD">
      <w:pPr>
        <w:rPr>
          <w:rtl/>
          <w:lang w:eastAsia="he-IL"/>
        </w:rPr>
      </w:pPr>
    </w:p>
    <w:p w:rsidR="00BB59CD" w:rsidRDefault="00BB59CD" w:rsidP="00BB59CD">
      <w:pPr>
        <w:pStyle w:val="af4"/>
        <w:keepNext/>
        <w:rPr>
          <w:rtl/>
          <w:lang w:eastAsia="he-IL"/>
        </w:rPr>
      </w:pPr>
      <w:bookmarkStart w:id="82483" w:name="_ETM_Q164_277000"/>
      <w:bookmarkStart w:id="82484" w:name="_ETM_Q164_254000"/>
      <w:bookmarkStart w:id="82485" w:name="_ETM_Q164_212000"/>
      <w:bookmarkEnd w:id="82483"/>
      <w:bookmarkEnd w:id="82484"/>
      <w:bookmarkEnd w:id="82485"/>
      <w:r>
        <w:rPr>
          <w:rFonts w:hint="cs"/>
          <w:rtl/>
          <w:lang w:eastAsia="he-IL"/>
        </w:rPr>
        <w:t>הצבעה מס' 9</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53</w:t>
      </w:r>
    </w:p>
    <w:p w:rsidR="00BB59CD" w:rsidRDefault="00BB59CD" w:rsidP="00BB59CD">
      <w:pPr>
        <w:pStyle w:val="--"/>
      </w:pPr>
      <w:r>
        <w:rPr>
          <w:rFonts w:hint="cs"/>
          <w:rtl/>
        </w:rPr>
        <w:t>נגד – 63</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13645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53 בעד, 63 נגד, שני </w:t>
      </w:r>
      <w:bookmarkStart w:id="82486" w:name="_ETM_Q164_296555"/>
      <w:bookmarkEnd w:id="82486"/>
      <w:r>
        <w:rPr>
          <w:rFonts w:hint="cs"/>
          <w:rtl/>
          <w:lang w:eastAsia="he-IL"/>
        </w:rPr>
        <w:t xml:space="preserve">נוכחים. נוכחים. אני קובע כי גם הסתייגות זו לא התקבלה. </w:t>
      </w:r>
    </w:p>
    <w:p w:rsidR="00BB59CD" w:rsidRDefault="00BB59CD" w:rsidP="00BB59CD">
      <w:pPr>
        <w:rPr>
          <w:rtl/>
          <w:lang w:eastAsia="he-IL"/>
        </w:rPr>
      </w:pPr>
      <w:bookmarkStart w:id="82487" w:name="_ETM_Q164_298000"/>
      <w:bookmarkEnd w:id="82487"/>
    </w:p>
    <w:p w:rsidR="00BB59CD" w:rsidRDefault="00BB59CD" w:rsidP="00BB59CD">
      <w:pPr>
        <w:rPr>
          <w:rtl/>
          <w:lang w:eastAsia="he-IL"/>
        </w:rPr>
      </w:pPr>
      <w:bookmarkStart w:id="82488" w:name="_ETM_Q164_299000"/>
      <w:bookmarkEnd w:id="82488"/>
      <w:r>
        <w:rPr>
          <w:rFonts w:hint="cs"/>
          <w:rtl/>
          <w:lang w:eastAsia="he-IL"/>
        </w:rPr>
        <w:t xml:space="preserve">כעת נצביע על הסתייגות 13649.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10</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56</w:t>
      </w:r>
    </w:p>
    <w:p w:rsidR="00BB59CD" w:rsidRDefault="00BB59CD" w:rsidP="00BB59CD">
      <w:pPr>
        <w:pStyle w:val="--"/>
      </w:pPr>
      <w:r>
        <w:rPr>
          <w:rFonts w:hint="cs"/>
          <w:rtl/>
        </w:rPr>
        <w:t>נגד – 63</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13649 לא נתקבלה.</w:t>
      </w:r>
    </w:p>
    <w:p w:rsidR="00BB59CD" w:rsidRDefault="00BB59CD" w:rsidP="00BB59CD">
      <w:pPr>
        <w:rPr>
          <w:rtl/>
          <w:lang w:eastAsia="he-IL"/>
        </w:rPr>
      </w:pPr>
    </w:p>
    <w:p w:rsidR="00BB59CD" w:rsidRDefault="00BB59CD" w:rsidP="00BB59CD">
      <w:pPr>
        <w:pStyle w:val="af9"/>
        <w:keepNext/>
        <w:rPr>
          <w:rtl/>
        </w:rPr>
      </w:pPr>
      <w:bookmarkStart w:id="82489" w:name="ET_yor_6423_1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489"/>
    </w:p>
    <w:p w:rsidR="00BB59CD" w:rsidRDefault="00BB59CD" w:rsidP="00337201">
      <w:pPr>
        <w:rPr>
          <w:rtl/>
          <w:lang w:eastAsia="he-IL"/>
        </w:rPr>
      </w:pPr>
    </w:p>
    <w:p w:rsidR="00BB59CD" w:rsidRDefault="00BB59CD" w:rsidP="00BB59CD">
      <w:pPr>
        <w:rPr>
          <w:rtl/>
          <w:lang w:eastAsia="he-IL"/>
        </w:rPr>
      </w:pPr>
      <w:bookmarkStart w:id="82490" w:name="_ETM_Q164_313000"/>
      <w:bookmarkEnd w:id="82490"/>
      <w:r>
        <w:rPr>
          <w:rFonts w:hint="cs"/>
          <w:rtl/>
          <w:lang w:eastAsia="he-IL"/>
        </w:rPr>
        <w:t xml:space="preserve">56 בעד, 63 נגד. אני קובע כי גם הסתייגות זו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הסתייגות 13654.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11</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55</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13654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55 בעד, 64 נגד. אני קובע כי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הסתייגות 13655.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12</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56</w:t>
      </w:r>
    </w:p>
    <w:p w:rsidR="00BB59CD" w:rsidRDefault="00BB59CD" w:rsidP="00BB59CD">
      <w:pPr>
        <w:pStyle w:val="--"/>
      </w:pPr>
      <w:r>
        <w:rPr>
          <w:rFonts w:hint="cs"/>
          <w:rtl/>
        </w:rPr>
        <w:t>נגד – 62</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13655 לא נתקבלה.</w:t>
      </w:r>
    </w:p>
    <w:p w:rsidR="00BB59CD" w:rsidRDefault="00BB59CD" w:rsidP="00BB59CD">
      <w:pPr>
        <w:rPr>
          <w:rtl/>
          <w:lang w:eastAsia="he-IL"/>
        </w:rPr>
      </w:pPr>
      <w:bookmarkStart w:id="82491" w:name="_ETM_Q164_344000"/>
      <w:bookmarkEnd w:id="82491"/>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492" w:name="_ETM_Q164_368000"/>
      <w:bookmarkEnd w:id="82492"/>
      <w:r>
        <w:rPr>
          <w:rFonts w:hint="cs"/>
          <w:rtl/>
          <w:lang w:eastAsia="he-IL"/>
        </w:rPr>
        <w:t xml:space="preserve">56 </w:t>
      </w:r>
      <w:bookmarkStart w:id="82493" w:name="_ETM_Q164_360940"/>
      <w:bookmarkEnd w:id="82493"/>
      <w:r>
        <w:rPr>
          <w:rFonts w:hint="cs"/>
          <w:rtl/>
          <w:lang w:eastAsia="he-IL"/>
        </w:rPr>
        <w:t xml:space="preserve">בעד, 62 נגד. אני קובע כי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הסתייגות 13658.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13</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55</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13658 לא נתקבלה.</w:t>
      </w:r>
    </w:p>
    <w:p w:rsidR="00BB59CD" w:rsidRDefault="00BB59CD" w:rsidP="00BB59CD">
      <w:pPr>
        <w:rPr>
          <w:rtl/>
        </w:rPr>
      </w:pPr>
      <w:bookmarkStart w:id="82494" w:name="_ETM_Q164_390000"/>
      <w:bookmarkEnd w:id="82494"/>
    </w:p>
    <w:p w:rsidR="00BB59CD" w:rsidRDefault="00BB59CD" w:rsidP="00BB59CD">
      <w:pPr>
        <w:pStyle w:val="af8"/>
        <w:keepNext/>
        <w:rPr>
          <w:rtl/>
        </w:rPr>
      </w:pPr>
      <w:bookmarkStart w:id="82495" w:name="ET_interruption_קריאות_1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82495"/>
    </w:p>
    <w:p w:rsidR="00BB59CD" w:rsidRDefault="00BB59CD" w:rsidP="00337201">
      <w:pPr>
        <w:rPr>
          <w:rtl/>
          <w:lang w:eastAsia="he-IL"/>
        </w:rPr>
      </w:pPr>
    </w:p>
    <w:p w:rsidR="00BB59CD" w:rsidRDefault="00BB59CD" w:rsidP="00BB59CD">
      <w:pPr>
        <w:rPr>
          <w:rtl/>
          <w:lang w:eastAsia="he-IL"/>
        </w:rPr>
      </w:pPr>
      <w:r>
        <w:rPr>
          <w:rFonts w:hint="cs"/>
          <w:rtl/>
          <w:lang w:eastAsia="he-IL"/>
        </w:rPr>
        <w:t>שר הביטחון, איפה האחריות שלך?</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55 בעד, 64 נגד. אני קובע כי ההסתייגות לא התקבלה. </w:t>
      </w:r>
    </w:p>
    <w:p w:rsidR="00BB59CD" w:rsidRDefault="00BB59CD" w:rsidP="00BB59CD">
      <w:pPr>
        <w:rPr>
          <w:rtl/>
          <w:lang w:eastAsia="he-IL"/>
        </w:rPr>
      </w:pPr>
    </w:p>
    <w:p w:rsidR="00BB59CD" w:rsidRDefault="00BB59CD" w:rsidP="00BB59CD">
      <w:pPr>
        <w:rPr>
          <w:rtl/>
          <w:lang w:eastAsia="he-IL"/>
        </w:rPr>
      </w:pPr>
      <w:bookmarkStart w:id="82496" w:name="_ETM_Q164_400000"/>
      <w:bookmarkEnd w:id="82496"/>
      <w:r>
        <w:rPr>
          <w:rFonts w:hint="cs"/>
          <w:rtl/>
          <w:lang w:eastAsia="he-IL"/>
        </w:rPr>
        <w:t>כעת נצביע על הסתייגות 13662. הצבעה.</w:t>
      </w:r>
    </w:p>
    <w:p w:rsidR="00BB59CD" w:rsidRDefault="00BB59CD" w:rsidP="00BB59CD">
      <w:pPr>
        <w:rPr>
          <w:rtl/>
          <w:lang w:eastAsia="he-IL"/>
        </w:rPr>
      </w:pPr>
    </w:p>
    <w:p w:rsidR="00BB59CD" w:rsidRDefault="00BB59CD" w:rsidP="00BB59CD">
      <w:pPr>
        <w:pStyle w:val="af4"/>
        <w:keepNext/>
        <w:rPr>
          <w:rtl/>
          <w:lang w:eastAsia="he-IL"/>
        </w:rPr>
      </w:pPr>
      <w:bookmarkStart w:id="82497" w:name="_ETM_Q164_405000"/>
      <w:bookmarkEnd w:id="82497"/>
      <w:r>
        <w:rPr>
          <w:rFonts w:hint="cs"/>
          <w:rtl/>
          <w:lang w:eastAsia="he-IL"/>
        </w:rPr>
        <w:t>הצבעה מס' 14</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55</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13662 לא נתקבלה.</w:t>
      </w:r>
    </w:p>
    <w:p w:rsidR="00BB59CD" w:rsidRDefault="00BB59CD" w:rsidP="00BB59CD">
      <w:pPr>
        <w:rPr>
          <w:rtl/>
        </w:rPr>
      </w:pPr>
    </w:p>
    <w:p w:rsidR="00BB59CD" w:rsidRDefault="00BB59CD" w:rsidP="00BB59CD">
      <w:pPr>
        <w:pStyle w:val="af9"/>
        <w:keepNext/>
        <w:rPr>
          <w:rtl/>
        </w:rPr>
      </w:pPr>
      <w:bookmarkStart w:id="82498" w:name="ET_yor_6423_2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498"/>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יש בעיה במחשב של </w:t>
      </w:r>
      <w:bookmarkStart w:id="82499" w:name="_ETM_Q164_417000"/>
      <w:bookmarkEnd w:id="82499"/>
      <w:r>
        <w:rPr>
          <w:rFonts w:hint="cs"/>
          <w:rtl/>
          <w:lang w:eastAsia="he-IL"/>
        </w:rPr>
        <w:t xml:space="preserve">חבר הכנסת גנץ. בני, אנא בדוק זאת. </w:t>
      </w:r>
    </w:p>
    <w:p w:rsidR="00BB59CD" w:rsidRDefault="00BB59CD" w:rsidP="00BB59CD">
      <w:pPr>
        <w:rPr>
          <w:rtl/>
          <w:lang w:eastAsia="he-IL"/>
        </w:rPr>
      </w:pPr>
    </w:p>
    <w:p w:rsidR="00BB59CD" w:rsidRDefault="00BB59CD" w:rsidP="00BB59CD">
      <w:pPr>
        <w:rPr>
          <w:rtl/>
          <w:lang w:eastAsia="he-IL"/>
        </w:rPr>
      </w:pPr>
      <w:bookmarkStart w:id="82500" w:name="_ETM_Q164_421000"/>
      <w:bookmarkEnd w:id="82500"/>
      <w:r>
        <w:rPr>
          <w:rFonts w:hint="cs"/>
          <w:rtl/>
          <w:lang w:eastAsia="he-IL"/>
        </w:rPr>
        <w:t xml:space="preserve">55 בעד, 64 נגד. האם אנחנו משנים את התוצאה או </w:t>
      </w:r>
      <w:bookmarkStart w:id="82501" w:name="_ETM_Q164_430000"/>
      <w:bookmarkEnd w:id="82501"/>
      <w:r>
        <w:rPr>
          <w:rFonts w:hint="cs"/>
          <w:rtl/>
          <w:lang w:eastAsia="he-IL"/>
        </w:rPr>
        <w:t xml:space="preserve">התוצאה נשארת? להוריד בספירה או להשאיר? להוסיף. אז 56 </w:t>
      </w:r>
      <w:bookmarkStart w:id="82502" w:name="_ETM_Q164_446584"/>
      <w:bookmarkEnd w:id="82502"/>
      <w:r>
        <w:rPr>
          <w:rFonts w:hint="cs"/>
          <w:rtl/>
          <w:lang w:eastAsia="he-IL"/>
        </w:rPr>
        <w:t xml:space="preserve">בעד, 64 נגד, כולל הצבעתו של חבר הכנסת בני גנץ. ההסתייגות נדחתה, כמובן. </w:t>
      </w:r>
    </w:p>
    <w:p w:rsidR="00BB59CD" w:rsidRDefault="00BB59CD" w:rsidP="00BB59CD">
      <w:pPr>
        <w:rPr>
          <w:rtl/>
          <w:lang w:eastAsia="he-IL"/>
        </w:rPr>
      </w:pPr>
    </w:p>
    <w:p w:rsidR="00BB59CD" w:rsidRDefault="00BB59CD" w:rsidP="00BB59CD">
      <w:pPr>
        <w:rPr>
          <w:rtl/>
          <w:lang w:eastAsia="he-IL"/>
        </w:rPr>
      </w:pPr>
      <w:bookmarkStart w:id="82503" w:name="_ETM_Q164_444000"/>
      <w:bookmarkEnd w:id="82503"/>
      <w:r>
        <w:rPr>
          <w:rFonts w:hint="cs"/>
          <w:rtl/>
          <w:lang w:eastAsia="he-IL"/>
        </w:rPr>
        <w:t xml:space="preserve">כעת נצביע על הסתייגות 13663. הצבעה. </w:t>
      </w:r>
    </w:p>
    <w:p w:rsidR="00BB59CD" w:rsidRDefault="00BB59CD" w:rsidP="00BB59CD">
      <w:pPr>
        <w:rPr>
          <w:rtl/>
          <w:lang w:eastAsia="he-IL"/>
        </w:rPr>
      </w:pPr>
    </w:p>
    <w:p w:rsidR="00BB59CD" w:rsidRDefault="00BB59CD" w:rsidP="00BB59CD">
      <w:pPr>
        <w:pStyle w:val="af4"/>
        <w:keepNext/>
        <w:rPr>
          <w:rtl/>
          <w:lang w:eastAsia="he-IL"/>
        </w:rPr>
      </w:pPr>
      <w:bookmarkStart w:id="82504" w:name="_ETM_Q164_454000"/>
      <w:bookmarkEnd w:id="82504"/>
      <w:r>
        <w:rPr>
          <w:rFonts w:hint="cs"/>
          <w:rtl/>
          <w:lang w:eastAsia="he-IL"/>
        </w:rPr>
        <w:t>הצבעה מס' 15</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56</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13663 לא נתקבלה.</w:t>
      </w:r>
    </w:p>
    <w:p w:rsidR="00BB59CD" w:rsidRDefault="00BB59CD" w:rsidP="00337201">
      <w:pPr>
        <w:rPr>
          <w:rtl/>
        </w:rPr>
      </w:pPr>
    </w:p>
    <w:p w:rsidR="00BB59CD" w:rsidRDefault="00BB59CD" w:rsidP="00BB59CD">
      <w:pPr>
        <w:pStyle w:val="af9"/>
        <w:keepNext/>
        <w:rPr>
          <w:rtl/>
        </w:rPr>
      </w:pPr>
      <w:bookmarkStart w:id="82505" w:name="ET_yor_6423_2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50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64 נגד. אני קובע כי ההסתייגות לא התקבלה. </w:t>
      </w:r>
    </w:p>
    <w:p w:rsidR="00BB59CD" w:rsidRDefault="00BB59CD" w:rsidP="00BB59CD">
      <w:pPr>
        <w:rPr>
          <w:rtl/>
          <w:lang w:eastAsia="he-IL"/>
        </w:rPr>
      </w:pPr>
    </w:p>
    <w:p w:rsidR="00BB59CD" w:rsidRDefault="00BB59CD" w:rsidP="00BB59CD">
      <w:pPr>
        <w:rPr>
          <w:rtl/>
          <w:lang w:eastAsia="he-IL"/>
        </w:rPr>
      </w:pPr>
      <w:bookmarkStart w:id="82506" w:name="_ETM_Q164_473000"/>
      <w:bookmarkEnd w:id="82506"/>
      <w:r>
        <w:rPr>
          <w:rFonts w:hint="cs"/>
          <w:rtl/>
          <w:lang w:eastAsia="he-IL"/>
        </w:rPr>
        <w:t xml:space="preserve">נצביע כעת על הסתייגות 13664. הצבעה. </w:t>
      </w:r>
    </w:p>
    <w:p w:rsidR="00BB59CD" w:rsidRDefault="00BB59CD" w:rsidP="00BB59CD">
      <w:pPr>
        <w:rPr>
          <w:rtl/>
          <w:lang w:eastAsia="he-IL"/>
        </w:rPr>
      </w:pPr>
    </w:p>
    <w:p w:rsidR="00BB59CD" w:rsidRDefault="00BB59CD" w:rsidP="00BB59CD">
      <w:pPr>
        <w:pStyle w:val="af4"/>
        <w:keepNext/>
        <w:rPr>
          <w:rtl/>
          <w:lang w:eastAsia="he-IL"/>
        </w:rPr>
      </w:pPr>
      <w:bookmarkStart w:id="82507" w:name="_ETM_Q164_481000"/>
      <w:bookmarkEnd w:id="82507"/>
      <w:r>
        <w:rPr>
          <w:rFonts w:hint="cs"/>
          <w:rtl/>
          <w:lang w:eastAsia="he-IL"/>
        </w:rPr>
        <w:t>הצבעה מס' 16</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47</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13664 לא נתקבלה.</w:t>
      </w:r>
    </w:p>
    <w:p w:rsidR="00BB59CD" w:rsidRDefault="00BB59CD" w:rsidP="00BB59CD">
      <w:pPr>
        <w:rPr>
          <w:rtl/>
          <w:lang w:eastAsia="he-IL"/>
        </w:rPr>
      </w:pPr>
    </w:p>
    <w:p w:rsidR="00BB59CD" w:rsidRDefault="00BB59CD" w:rsidP="00BB59CD">
      <w:pPr>
        <w:pStyle w:val="af9"/>
        <w:keepNext/>
        <w:rPr>
          <w:rtl/>
        </w:rPr>
      </w:pPr>
      <w:bookmarkStart w:id="82508" w:name="ET_yor_6423_2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508"/>
    </w:p>
    <w:p w:rsidR="00BB59CD" w:rsidRDefault="00BB59CD" w:rsidP="00337201">
      <w:pPr>
        <w:rPr>
          <w:rtl/>
          <w:lang w:eastAsia="he-IL"/>
        </w:rPr>
      </w:pPr>
    </w:p>
    <w:p w:rsidR="00BB59CD" w:rsidRDefault="00BB59CD" w:rsidP="00BB59CD">
      <w:pPr>
        <w:rPr>
          <w:rtl/>
          <w:lang w:eastAsia="he-IL"/>
        </w:rPr>
      </w:pPr>
      <w:bookmarkStart w:id="82509" w:name="_ETM_Q164_489000"/>
      <w:bookmarkEnd w:id="82509"/>
      <w:r>
        <w:rPr>
          <w:rFonts w:hint="cs"/>
          <w:rtl/>
          <w:lang w:eastAsia="he-IL"/>
        </w:rPr>
        <w:t xml:space="preserve">47 בעד, 64 נגד, חמישה נוכחים. אני קובע כי ההסתייגות לא התקבלה. </w:t>
      </w:r>
    </w:p>
    <w:p w:rsidR="00BB59CD" w:rsidRDefault="00BB59CD" w:rsidP="00BB59CD">
      <w:pPr>
        <w:rPr>
          <w:rtl/>
          <w:lang w:eastAsia="he-IL"/>
        </w:rPr>
      </w:pPr>
      <w:bookmarkStart w:id="82510" w:name="_ETM_Q164_495000"/>
      <w:bookmarkEnd w:id="82510"/>
    </w:p>
    <w:p w:rsidR="00BB59CD" w:rsidRDefault="00BB59CD" w:rsidP="00BB59CD">
      <w:pPr>
        <w:rPr>
          <w:rtl/>
          <w:lang w:eastAsia="he-IL"/>
        </w:rPr>
      </w:pPr>
      <w:bookmarkStart w:id="82511" w:name="_ETM_Q164_496000"/>
      <w:bookmarkEnd w:id="82511"/>
      <w:r>
        <w:rPr>
          <w:rFonts w:hint="cs"/>
          <w:rtl/>
          <w:lang w:eastAsia="he-IL"/>
        </w:rPr>
        <w:t xml:space="preserve">חברי הכנסת, אני מציע לכולם לבדוק שאין ספר או </w:t>
      </w:r>
      <w:bookmarkStart w:id="82512" w:name="_ETM_Q164_503000"/>
      <w:bookmarkEnd w:id="82512"/>
      <w:r>
        <w:rPr>
          <w:rFonts w:hint="cs"/>
          <w:rtl/>
          <w:lang w:eastAsia="he-IL"/>
        </w:rPr>
        <w:t xml:space="preserve">חפץ כלשהו שנוגע במסך. </w:t>
      </w:r>
    </w:p>
    <w:p w:rsidR="00BB59CD" w:rsidRDefault="00BB59CD" w:rsidP="00BB59CD">
      <w:pPr>
        <w:rPr>
          <w:rtl/>
          <w:lang w:eastAsia="he-IL"/>
        </w:rPr>
      </w:pPr>
      <w:bookmarkStart w:id="82513" w:name="_ETM_Q164_505000"/>
      <w:bookmarkEnd w:id="82513"/>
    </w:p>
    <w:p w:rsidR="00BB59CD" w:rsidRDefault="00BB59CD" w:rsidP="00BB59CD">
      <w:pPr>
        <w:pStyle w:val="af8"/>
        <w:keepNext/>
        <w:rPr>
          <w:rtl/>
        </w:rPr>
      </w:pPr>
      <w:bookmarkStart w:id="82514" w:name="ET_interruption_5300_2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51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הרבה לא הצביעו כאן. </w:t>
      </w:r>
    </w:p>
    <w:p w:rsidR="00BB59CD" w:rsidRDefault="00BB59CD" w:rsidP="00BB59CD">
      <w:pPr>
        <w:rPr>
          <w:rtl/>
          <w:lang w:eastAsia="he-IL"/>
        </w:rPr>
      </w:pPr>
      <w:bookmarkStart w:id="82515" w:name="_ETM_Q164_506000"/>
      <w:bookmarkEnd w:id="82515"/>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לכן </w:t>
      </w:r>
      <w:bookmarkStart w:id="82516" w:name="_ETM_Q164_507000"/>
      <w:bookmarkEnd w:id="82516"/>
      <w:r>
        <w:rPr>
          <w:rFonts w:hint="cs"/>
          <w:rtl/>
          <w:lang w:eastAsia="he-IL"/>
        </w:rPr>
        <w:t xml:space="preserve">אני מציע לוודא שאין חפץ כלשהו שנוגע במסכים, כדי שהצבעתכם תירשם כפי שרציתם. </w:t>
      </w:r>
    </w:p>
    <w:p w:rsidR="00BB59CD" w:rsidRDefault="00BB59CD" w:rsidP="00BB59CD">
      <w:pPr>
        <w:rPr>
          <w:rtl/>
          <w:lang w:eastAsia="he-IL"/>
        </w:rPr>
      </w:pPr>
      <w:bookmarkStart w:id="82517" w:name="_ETM_Q164_516000"/>
      <w:bookmarkEnd w:id="82517"/>
    </w:p>
    <w:p w:rsidR="00BB59CD" w:rsidRDefault="00BB59CD" w:rsidP="00BB59CD">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אנחנו נבדוק עכשיו.</w:t>
      </w:r>
    </w:p>
    <w:p w:rsidR="00BB59CD" w:rsidRDefault="00BB59CD" w:rsidP="00BB59CD">
      <w:pPr>
        <w:rPr>
          <w:rtl/>
          <w:lang w:eastAsia="he-IL"/>
        </w:rPr>
      </w:pPr>
      <w:bookmarkStart w:id="82518" w:name="_ETM_Q164_514000"/>
      <w:bookmarkEnd w:id="82518"/>
    </w:p>
    <w:p w:rsidR="00BB59CD" w:rsidRDefault="00BB59CD" w:rsidP="00BB59CD">
      <w:pPr>
        <w:pStyle w:val="af9"/>
        <w:keepNext/>
        <w:rPr>
          <w:rtl/>
        </w:rPr>
      </w:pPr>
      <w:bookmarkStart w:id="82519" w:name="ET_yor_6423_2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519"/>
    </w:p>
    <w:p w:rsidR="00BB59CD" w:rsidRDefault="00BB59CD" w:rsidP="00337201">
      <w:pPr>
        <w:rPr>
          <w:rtl/>
          <w:lang w:eastAsia="he-IL"/>
        </w:rPr>
      </w:pPr>
    </w:p>
    <w:p w:rsidR="00BB59CD" w:rsidRDefault="00BB59CD" w:rsidP="00BB59CD">
      <w:pPr>
        <w:rPr>
          <w:rtl/>
          <w:lang w:eastAsia="he-IL"/>
        </w:rPr>
      </w:pPr>
      <w:bookmarkStart w:id="82520" w:name="_ETM_Q164_515000"/>
      <w:bookmarkEnd w:id="82520"/>
      <w:r>
        <w:rPr>
          <w:rFonts w:hint="cs"/>
          <w:rtl/>
          <w:lang w:eastAsia="he-IL"/>
        </w:rPr>
        <w:t xml:space="preserve">אנחנו עוברים להצבעה על הסתייגות 13667. הצבעה. </w:t>
      </w:r>
    </w:p>
    <w:p w:rsidR="00BB59CD" w:rsidRDefault="00BB59CD" w:rsidP="00BB59CD">
      <w:pPr>
        <w:rPr>
          <w:rtl/>
          <w:lang w:eastAsia="he-IL"/>
        </w:rPr>
      </w:pPr>
      <w:bookmarkStart w:id="82521" w:name="_ETM_Q164_524000"/>
      <w:bookmarkEnd w:id="82521"/>
    </w:p>
    <w:p w:rsidR="00BB59CD" w:rsidRDefault="00BB59CD" w:rsidP="00BB59CD">
      <w:pPr>
        <w:pStyle w:val="af4"/>
        <w:keepNext/>
        <w:rPr>
          <w:rtl/>
          <w:lang w:eastAsia="he-IL"/>
        </w:rPr>
      </w:pPr>
      <w:r>
        <w:rPr>
          <w:rFonts w:hint="cs"/>
          <w:rtl/>
          <w:lang w:eastAsia="he-IL"/>
        </w:rPr>
        <w:t>הצבעה מס' 17</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56</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13667 לא נתקבלה.</w:t>
      </w:r>
    </w:p>
    <w:p w:rsidR="00BB59CD" w:rsidRDefault="00BB59CD" w:rsidP="00BB59CD">
      <w:pPr>
        <w:rPr>
          <w:rtl/>
          <w:lang w:eastAsia="he-IL"/>
        </w:rPr>
      </w:pPr>
    </w:p>
    <w:p w:rsidR="00BB59CD" w:rsidRDefault="00BB59CD" w:rsidP="00BB59CD">
      <w:pPr>
        <w:pStyle w:val="af9"/>
        <w:keepNext/>
        <w:rPr>
          <w:rtl/>
        </w:rPr>
      </w:pPr>
      <w:bookmarkStart w:id="82522" w:name="ET_yor_6423_2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522"/>
    </w:p>
    <w:p w:rsidR="00BB59CD" w:rsidRDefault="00BB59CD" w:rsidP="00337201">
      <w:pPr>
        <w:rPr>
          <w:rtl/>
          <w:lang w:eastAsia="he-IL"/>
        </w:rPr>
      </w:pPr>
    </w:p>
    <w:p w:rsidR="00BB59CD" w:rsidRDefault="00BB59CD" w:rsidP="00BB59CD">
      <w:pPr>
        <w:rPr>
          <w:rtl/>
          <w:lang w:eastAsia="he-IL"/>
        </w:rPr>
      </w:pPr>
      <w:bookmarkStart w:id="82523" w:name="_ETM_Q164_535000"/>
      <w:bookmarkEnd w:id="82523"/>
      <w:r>
        <w:rPr>
          <w:rFonts w:hint="cs"/>
          <w:rtl/>
          <w:lang w:eastAsia="he-IL"/>
        </w:rPr>
        <w:t xml:space="preserve">56 בעד, 64 נגד. אני קובע כי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הסתייגות 13669.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18</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54</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13669 לא נתקבלה.</w:t>
      </w:r>
    </w:p>
    <w:p w:rsidR="00BB59CD" w:rsidRDefault="00BB59CD" w:rsidP="00BB59CD">
      <w:pPr>
        <w:rPr>
          <w:rtl/>
          <w:lang w:eastAsia="he-IL"/>
        </w:rPr>
      </w:pPr>
    </w:p>
    <w:p w:rsidR="00BB59CD" w:rsidRDefault="00BB59CD" w:rsidP="00BB59CD">
      <w:pPr>
        <w:pStyle w:val="af8"/>
        <w:keepNext/>
        <w:rPr>
          <w:rtl/>
        </w:rPr>
      </w:pPr>
      <w:bookmarkStart w:id="82524" w:name="_ETM_Q164_551000"/>
      <w:bookmarkStart w:id="82525" w:name="ET_interruption_6361_30"/>
      <w:bookmarkEnd w:id="82524"/>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8252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תגיד, שר הביטחון, אין לך כלום להגיד פה? אני </w:t>
      </w:r>
      <w:bookmarkStart w:id="82526" w:name="_ETM_Q164_558000"/>
      <w:bookmarkEnd w:id="82526"/>
      <w:r>
        <w:rPr>
          <w:rFonts w:hint="cs"/>
          <w:rtl/>
          <w:lang w:eastAsia="he-IL"/>
        </w:rPr>
        <w:t xml:space="preserve">לא מבין את זה. </w:t>
      </w:r>
    </w:p>
    <w:p w:rsidR="00BB59CD" w:rsidRDefault="00BB59CD" w:rsidP="00BB59CD">
      <w:pPr>
        <w:rPr>
          <w:rtl/>
          <w:lang w:eastAsia="he-IL"/>
        </w:rPr>
      </w:pPr>
      <w:bookmarkStart w:id="82527" w:name="_ETM_Q164_550000"/>
      <w:bookmarkEnd w:id="82527"/>
    </w:p>
    <w:p w:rsidR="00BB59CD" w:rsidRDefault="00BB59CD" w:rsidP="00BB59CD">
      <w:pPr>
        <w:pStyle w:val="af8"/>
        <w:rPr>
          <w:rtl/>
        </w:rPr>
      </w:pPr>
      <w:bookmarkStart w:id="82528" w:name="ET_interruption_6361_35"/>
      <w:r>
        <w:rPr>
          <w:rStyle w:val="TagStyle"/>
          <w:rFonts w:hint="cs"/>
          <w:rtl/>
        </w:rPr>
        <w:t xml:space="preserve"> &lt;&lt; קריאה &gt;&gt; </w:t>
      </w:r>
      <w:r>
        <w:rPr>
          <w:rFonts w:hint="cs"/>
          <w:rtl/>
        </w:rPr>
        <w:t>קריאות:</w:t>
      </w:r>
      <w:r>
        <w:rPr>
          <w:rStyle w:val="TagStyle"/>
          <w:rtl/>
        </w:rPr>
        <w:t xml:space="preserve"> &lt;&lt; קריאה &gt;&gt;</w:t>
      </w:r>
      <w:bookmarkEnd w:id="82528"/>
      <w:r>
        <w:rPr>
          <w:rStyle w:val="TagStyle"/>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529" w:name="_ETM_Q164_554000"/>
      <w:bookmarkEnd w:id="82529"/>
      <w:r>
        <w:rPr>
          <w:rFonts w:hint="cs"/>
          <w:rtl/>
          <w:lang w:eastAsia="he-IL"/>
        </w:rPr>
        <w:t xml:space="preserve">54 </w:t>
      </w:r>
      <w:bookmarkStart w:id="82530" w:name="_ETM_Q164_544471"/>
      <w:bookmarkEnd w:id="82530"/>
      <w:r>
        <w:rPr>
          <w:rFonts w:hint="cs"/>
          <w:rtl/>
          <w:lang w:eastAsia="he-IL"/>
        </w:rPr>
        <w:t xml:space="preserve">בעד, 64 נגד, אחד נוכח. אני קובע כי ההסתייגות לא התקבלה. </w:t>
      </w:r>
    </w:p>
    <w:p w:rsidR="00BB59CD" w:rsidRDefault="00BB59CD" w:rsidP="00BB59CD">
      <w:pPr>
        <w:rPr>
          <w:rtl/>
          <w:lang w:eastAsia="he-IL"/>
        </w:rPr>
      </w:pPr>
    </w:p>
    <w:p w:rsidR="00BB59CD" w:rsidRDefault="00BB59CD" w:rsidP="00BB59CD">
      <w:pPr>
        <w:rPr>
          <w:rtl/>
          <w:lang w:eastAsia="he-IL"/>
        </w:rPr>
      </w:pPr>
      <w:bookmarkStart w:id="82531" w:name="_ETM_Q164_566000"/>
      <w:bookmarkEnd w:id="82531"/>
      <w:r>
        <w:rPr>
          <w:rFonts w:hint="cs"/>
          <w:rtl/>
          <w:lang w:eastAsia="he-IL"/>
        </w:rPr>
        <w:t xml:space="preserve">כעת נצביע על הסתייגות מס' 13676. הצבעה. </w:t>
      </w:r>
    </w:p>
    <w:p w:rsidR="00BB59CD" w:rsidRDefault="00BB59CD" w:rsidP="00BB59CD">
      <w:pPr>
        <w:rPr>
          <w:rtl/>
          <w:lang w:eastAsia="he-IL"/>
        </w:rPr>
      </w:pPr>
      <w:bookmarkStart w:id="82532" w:name="_ETM_Q164_579000"/>
      <w:bookmarkStart w:id="82533" w:name="_ETM_Q164_586000"/>
      <w:bookmarkEnd w:id="82532"/>
      <w:bookmarkEnd w:id="82533"/>
    </w:p>
    <w:p w:rsidR="00BB59CD" w:rsidRDefault="00BB59CD" w:rsidP="00BB59CD">
      <w:pPr>
        <w:pStyle w:val="af4"/>
        <w:keepNext/>
        <w:rPr>
          <w:rtl/>
          <w:lang w:eastAsia="he-IL"/>
        </w:rPr>
      </w:pPr>
      <w:bookmarkStart w:id="82534" w:name="_ETM_Q164_570000"/>
      <w:bookmarkEnd w:id="82534"/>
      <w:r>
        <w:rPr>
          <w:rFonts w:hint="cs"/>
          <w:rtl/>
          <w:lang w:eastAsia="he-IL"/>
        </w:rPr>
        <w:t>הצבעה מס' 19</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56</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13676 לא נתקבלה.</w:t>
      </w:r>
    </w:p>
    <w:p w:rsidR="00BB59CD" w:rsidRDefault="00BB59CD" w:rsidP="00BB59CD">
      <w:pPr>
        <w:rPr>
          <w:rtl/>
        </w:rPr>
      </w:pPr>
    </w:p>
    <w:p w:rsidR="00BB59CD" w:rsidRDefault="00BB59CD" w:rsidP="00BB59CD">
      <w:pPr>
        <w:pStyle w:val="af9"/>
        <w:keepNext/>
        <w:rPr>
          <w:rtl/>
        </w:rPr>
      </w:pPr>
      <w:bookmarkStart w:id="82535" w:name="ET_yor_6423_3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535"/>
    </w:p>
    <w:p w:rsidR="00BB59CD" w:rsidRDefault="00BB59CD" w:rsidP="00337201">
      <w:pPr>
        <w:rPr>
          <w:rtl/>
          <w:lang w:eastAsia="he-IL"/>
        </w:rPr>
      </w:pPr>
    </w:p>
    <w:p w:rsidR="00BB59CD" w:rsidRDefault="00BB59CD" w:rsidP="00BB59CD">
      <w:pPr>
        <w:rPr>
          <w:rtl/>
          <w:lang w:eastAsia="he-IL"/>
        </w:rPr>
      </w:pPr>
      <w:bookmarkStart w:id="82536" w:name="_ETM_Q164_587000"/>
      <w:bookmarkEnd w:id="82536"/>
      <w:r>
        <w:rPr>
          <w:rFonts w:hint="cs"/>
          <w:rtl/>
          <w:lang w:eastAsia="he-IL"/>
        </w:rPr>
        <w:t xml:space="preserve">56 בעד, 64 נגד. אני קובע כי ההסתייגות לא התקבלה. </w:t>
      </w:r>
    </w:p>
    <w:p w:rsidR="00BB59CD" w:rsidRDefault="00BB59CD" w:rsidP="00BB59CD">
      <w:pPr>
        <w:rPr>
          <w:rtl/>
          <w:lang w:eastAsia="he-IL"/>
        </w:rPr>
      </w:pPr>
      <w:bookmarkStart w:id="82537" w:name="_ETM_Q164_590000"/>
      <w:bookmarkEnd w:id="82537"/>
    </w:p>
    <w:p w:rsidR="00BB59CD" w:rsidRDefault="00BB59CD" w:rsidP="00BB59CD">
      <w:pPr>
        <w:rPr>
          <w:rtl/>
          <w:lang w:eastAsia="he-IL"/>
        </w:rPr>
      </w:pPr>
      <w:bookmarkStart w:id="82538" w:name="_ETM_Q164_591000"/>
      <w:bookmarkEnd w:id="82538"/>
      <w:r>
        <w:rPr>
          <w:rFonts w:hint="cs"/>
          <w:rtl/>
          <w:lang w:eastAsia="he-IL"/>
        </w:rPr>
        <w:t xml:space="preserve">נצביע כעת על הסתייגות 13677.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20</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48</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13677 לא נתקבלה.</w:t>
      </w:r>
    </w:p>
    <w:p w:rsidR="00BB59CD" w:rsidRDefault="00BB59CD" w:rsidP="00BB59CD">
      <w:pPr>
        <w:ind w:firstLine="0"/>
        <w:rPr>
          <w:rtl/>
        </w:rPr>
      </w:pPr>
    </w:p>
    <w:p w:rsidR="00BB59CD" w:rsidRDefault="00BB59CD" w:rsidP="00BB59CD">
      <w:pPr>
        <w:pStyle w:val="af9"/>
        <w:keepNext/>
        <w:rPr>
          <w:rtl/>
        </w:rPr>
      </w:pPr>
      <w:bookmarkStart w:id="82539" w:name="_ETM_Q164_612386"/>
      <w:bookmarkStart w:id="82540" w:name="_ETM_Q164_612456"/>
      <w:bookmarkStart w:id="82541" w:name="_ETM_Q164_612535"/>
      <w:bookmarkStart w:id="82542" w:name="_ETM_Q164_612605"/>
      <w:bookmarkStart w:id="82543" w:name="ET_yor_6423_33"/>
      <w:bookmarkEnd w:id="82539"/>
      <w:bookmarkEnd w:id="82540"/>
      <w:bookmarkEnd w:id="82541"/>
      <w:bookmarkEnd w:id="8254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543"/>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48 בעד, 64 נגד וחמישה נוכחים. אני קובע כי ההסתייגות לא התקבלה. </w:t>
      </w:r>
    </w:p>
    <w:p w:rsidR="00BB59CD" w:rsidRDefault="00BB59CD" w:rsidP="00BB59CD">
      <w:pPr>
        <w:rPr>
          <w:rtl/>
          <w:lang w:eastAsia="he-IL"/>
        </w:rPr>
      </w:pPr>
    </w:p>
    <w:p w:rsidR="00BB59CD" w:rsidRDefault="00BB59CD" w:rsidP="00BB59CD">
      <w:pPr>
        <w:rPr>
          <w:rtl/>
          <w:lang w:eastAsia="he-IL"/>
        </w:rPr>
      </w:pPr>
      <w:bookmarkStart w:id="82544" w:name="_ETM_Q164_615000"/>
      <w:bookmarkEnd w:id="82544"/>
      <w:r>
        <w:rPr>
          <w:rFonts w:hint="cs"/>
          <w:rtl/>
          <w:lang w:eastAsia="he-IL"/>
        </w:rPr>
        <w:t xml:space="preserve">כעת נצביע </w:t>
      </w:r>
      <w:bookmarkStart w:id="82545" w:name="_ETM_Q164_619000"/>
      <w:bookmarkEnd w:id="82545"/>
      <w:r>
        <w:rPr>
          <w:rFonts w:hint="cs"/>
          <w:rtl/>
          <w:lang w:eastAsia="he-IL"/>
        </w:rPr>
        <w:t>על הסתייגות 13678. הצבעה.</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21</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55</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13678 לא נתקבלה.</w:t>
      </w:r>
    </w:p>
    <w:p w:rsidR="00BB59CD" w:rsidRDefault="00BB59CD" w:rsidP="00BB59CD">
      <w:pPr>
        <w:rPr>
          <w:rtl/>
        </w:rPr>
      </w:pPr>
      <w:bookmarkStart w:id="82546" w:name="_ETM_Q164_630000"/>
      <w:bookmarkEnd w:id="82546"/>
    </w:p>
    <w:p w:rsidR="00BB59CD" w:rsidRDefault="00BB59CD" w:rsidP="00BB59C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55 בעד, 64 נגד, אחד נוכח. אני קובע כי ההסתייגות לא התקבלה.</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נצביע כעת על הסתייגות </w:t>
      </w:r>
      <w:bookmarkStart w:id="82547" w:name="_ETM_Q164_644000"/>
      <w:bookmarkEnd w:id="82547"/>
      <w:r>
        <w:rPr>
          <w:rFonts w:hint="cs"/>
          <w:rtl/>
          <w:lang w:eastAsia="he-IL"/>
        </w:rPr>
        <w:t xml:space="preserve">13683. הצבעה. </w:t>
      </w:r>
    </w:p>
    <w:p w:rsidR="00BB59CD" w:rsidRDefault="00BB59CD" w:rsidP="00BB59CD">
      <w:pPr>
        <w:rPr>
          <w:rtl/>
          <w:lang w:eastAsia="he-IL"/>
        </w:rPr>
      </w:pPr>
      <w:bookmarkStart w:id="82548" w:name="_ETM_Q164_656671"/>
      <w:bookmarkStart w:id="82549" w:name="_ETM_Q164_656757"/>
      <w:bookmarkEnd w:id="82548"/>
      <w:bookmarkEnd w:id="82549"/>
    </w:p>
    <w:p w:rsidR="00BB59CD" w:rsidRDefault="00BB59CD" w:rsidP="00BB59CD">
      <w:pPr>
        <w:pStyle w:val="af8"/>
        <w:rPr>
          <w:rtl/>
        </w:rPr>
      </w:pPr>
      <w:bookmarkStart w:id="82550" w:name="_ETM_Q164_656976"/>
      <w:bookmarkStart w:id="82551" w:name="_ETM_Q164_657055"/>
      <w:bookmarkEnd w:id="82550"/>
      <w:bookmarkEnd w:id="82551"/>
      <w:r>
        <w:rPr>
          <w:rStyle w:val="TagStyle"/>
          <w:rFonts w:hint="cs"/>
          <w:rtl/>
        </w:rPr>
        <w:t xml:space="preserve">&lt;&lt; קריאה &gt;&gt; </w:t>
      </w:r>
      <w:r>
        <w:rPr>
          <w:rFonts w:hint="cs"/>
          <w:rtl/>
        </w:rPr>
        <w:t>קריאה:</w:t>
      </w:r>
      <w:r>
        <w:rPr>
          <w:rStyle w:val="TagStyle"/>
          <w:rtl/>
        </w:rPr>
        <w:t xml:space="preserve"> &lt;&lt; קריאה &gt;&gt;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 - איפה אתה, שר </w:t>
      </w:r>
      <w:bookmarkStart w:id="82552" w:name="_ETM_Q164_663199"/>
      <w:bookmarkEnd w:id="82552"/>
      <w:r>
        <w:rPr>
          <w:rFonts w:hint="cs"/>
          <w:rtl/>
          <w:lang w:eastAsia="he-IL"/>
        </w:rPr>
        <w:t>הביטחון?</w:t>
      </w:r>
      <w:r>
        <w:rPr>
          <w:rFonts w:hint="cs"/>
          <w:lang w:eastAsia="he-IL"/>
        </w:rPr>
        <w:t xml:space="preserve"> </w:t>
      </w:r>
    </w:p>
    <w:p w:rsidR="00BB59CD" w:rsidRDefault="00BB59CD" w:rsidP="00BB59CD">
      <w:pPr>
        <w:rPr>
          <w:rtl/>
          <w:lang w:eastAsia="he-IL"/>
        </w:rPr>
      </w:pPr>
    </w:p>
    <w:p w:rsidR="00BB59CD" w:rsidRDefault="00BB59CD" w:rsidP="00BB59CD">
      <w:pPr>
        <w:pStyle w:val="af4"/>
        <w:keepNext/>
        <w:rPr>
          <w:rtl/>
          <w:lang w:eastAsia="he-IL"/>
        </w:rPr>
      </w:pPr>
      <w:bookmarkStart w:id="82553" w:name="_ETM_Q164_649000"/>
      <w:bookmarkEnd w:id="82553"/>
      <w:r>
        <w:rPr>
          <w:rFonts w:hint="cs"/>
          <w:rtl/>
          <w:lang w:eastAsia="he-IL"/>
        </w:rPr>
        <w:t>הצבעה מס' 22</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56</w:t>
      </w:r>
    </w:p>
    <w:p w:rsidR="00BB59CD" w:rsidRDefault="00BB59CD" w:rsidP="00BB59CD">
      <w:pPr>
        <w:pStyle w:val="--"/>
      </w:pPr>
      <w:r>
        <w:rPr>
          <w:rFonts w:hint="cs"/>
          <w:rtl/>
        </w:rPr>
        <w:t>נגד – 63</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13683 לא נתקבלה.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56 בעד, 63 נגד. אני קובע כי ההסתייגות לא התקבלה.</w:t>
      </w:r>
    </w:p>
    <w:p w:rsidR="00BB59CD" w:rsidRDefault="00BB59CD" w:rsidP="00BB59CD">
      <w:pPr>
        <w:rPr>
          <w:rtl/>
          <w:lang w:eastAsia="he-IL"/>
        </w:rPr>
      </w:pPr>
    </w:p>
    <w:p w:rsidR="00BB59CD" w:rsidRDefault="00BB59CD" w:rsidP="00BB59CD">
      <w:pPr>
        <w:rPr>
          <w:rtl/>
          <w:lang w:eastAsia="he-IL"/>
        </w:rPr>
      </w:pPr>
      <w:bookmarkStart w:id="82554" w:name="_ETM_Q164_669000"/>
      <w:bookmarkEnd w:id="82554"/>
      <w:r>
        <w:rPr>
          <w:rFonts w:hint="cs"/>
          <w:rtl/>
          <w:lang w:eastAsia="he-IL"/>
        </w:rPr>
        <w:t xml:space="preserve">כעת נצביע על הסתייגות מס' 13684. הצבעה. </w:t>
      </w:r>
      <w:bookmarkStart w:id="82555" w:name="_ETM_Q164_673000"/>
      <w:bookmarkEnd w:id="82555"/>
    </w:p>
    <w:p w:rsidR="00BB59CD" w:rsidRDefault="00BB59CD" w:rsidP="00BB59CD">
      <w:pPr>
        <w:rPr>
          <w:rtl/>
          <w:lang w:eastAsia="he-IL"/>
        </w:rPr>
      </w:pPr>
      <w:bookmarkStart w:id="82556" w:name="_ETM_Q164_674000"/>
      <w:bookmarkEnd w:id="82556"/>
    </w:p>
    <w:p w:rsidR="00BB59CD" w:rsidRDefault="00BB59CD" w:rsidP="00BB59CD">
      <w:pPr>
        <w:pStyle w:val="af4"/>
        <w:keepNext/>
        <w:rPr>
          <w:rtl/>
          <w:lang w:eastAsia="he-IL"/>
        </w:rPr>
      </w:pPr>
      <w:r>
        <w:rPr>
          <w:rFonts w:hint="cs"/>
          <w:rtl/>
          <w:lang w:eastAsia="he-IL"/>
        </w:rPr>
        <w:t>הצבעה מס' 23</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55</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13684 לא נתקבלה.</w:t>
      </w:r>
    </w:p>
    <w:p w:rsidR="00BB59CD" w:rsidRDefault="00BB59CD" w:rsidP="00BB59CD">
      <w:pPr>
        <w:rPr>
          <w:rtl/>
        </w:rPr>
      </w:pPr>
    </w:p>
    <w:p w:rsidR="00BB59CD" w:rsidRDefault="00BB59CD" w:rsidP="00BB59CD">
      <w:pPr>
        <w:pStyle w:val="af9"/>
        <w:keepNext/>
        <w:rPr>
          <w:rtl/>
        </w:rPr>
      </w:pPr>
      <w:bookmarkStart w:id="82557" w:name="ET_yor_6423_3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557"/>
    </w:p>
    <w:p w:rsidR="00BB59CD" w:rsidRDefault="00BB59CD" w:rsidP="00337201">
      <w:pPr>
        <w:rPr>
          <w:rtl/>
          <w:lang w:eastAsia="he-IL"/>
        </w:rPr>
      </w:pPr>
    </w:p>
    <w:p w:rsidR="00BB59CD" w:rsidRDefault="00BB59CD" w:rsidP="00BB59CD">
      <w:pPr>
        <w:rPr>
          <w:rtl/>
          <w:lang w:eastAsia="he-IL"/>
        </w:rPr>
      </w:pPr>
      <w:r>
        <w:rPr>
          <w:rFonts w:hint="cs"/>
          <w:rtl/>
          <w:lang w:eastAsia="he-IL"/>
        </w:rPr>
        <w:t>55 בעד, 64 נגד, אחד נוכח. אני קובע כי ההסתייגות לא התקבלה.</w:t>
      </w:r>
    </w:p>
    <w:p w:rsidR="00BB59CD" w:rsidRDefault="00BB59CD" w:rsidP="00BB59CD">
      <w:pPr>
        <w:rPr>
          <w:rtl/>
          <w:lang w:eastAsia="he-IL"/>
        </w:rPr>
      </w:pPr>
    </w:p>
    <w:p w:rsidR="00BB59CD" w:rsidRDefault="00BB59CD" w:rsidP="00BB59CD">
      <w:pPr>
        <w:rPr>
          <w:rtl/>
          <w:lang w:eastAsia="he-IL"/>
        </w:rPr>
      </w:pPr>
      <w:bookmarkStart w:id="82558" w:name="_ETM_Q164_692000"/>
      <w:bookmarkEnd w:id="82558"/>
      <w:r>
        <w:rPr>
          <w:rFonts w:hint="cs"/>
          <w:rtl/>
          <w:lang w:eastAsia="he-IL"/>
        </w:rPr>
        <w:t xml:space="preserve">נצביע כעת על הסתייגות מס' 13686. הצבעה. </w:t>
      </w:r>
      <w:bookmarkStart w:id="82559" w:name="_ETM_Q164_701000"/>
      <w:bookmarkEnd w:id="82559"/>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24</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53</w:t>
      </w:r>
    </w:p>
    <w:p w:rsidR="00BB59CD" w:rsidRDefault="00BB59CD" w:rsidP="00BB59CD">
      <w:pPr>
        <w:pStyle w:val="--"/>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13686 לא נתקבלה.</w:t>
      </w:r>
    </w:p>
    <w:p w:rsidR="00BB59CD" w:rsidRDefault="00BB59CD" w:rsidP="00BB59CD">
      <w:pPr>
        <w:rPr>
          <w:rtl/>
        </w:rPr>
      </w:pPr>
    </w:p>
    <w:p w:rsidR="00BB59CD" w:rsidRDefault="00BB59CD" w:rsidP="00BB59CD">
      <w:pPr>
        <w:pStyle w:val="af9"/>
        <w:keepNext/>
        <w:rPr>
          <w:rtl/>
        </w:rPr>
      </w:pPr>
      <w:bookmarkStart w:id="82560" w:name="ET_yor_6423_3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560"/>
    </w:p>
    <w:p w:rsidR="00BB59CD" w:rsidRDefault="00BB59CD" w:rsidP="00337201">
      <w:pPr>
        <w:rPr>
          <w:rtl/>
          <w:lang w:eastAsia="he-IL"/>
        </w:rPr>
      </w:pPr>
    </w:p>
    <w:p w:rsidR="00BB59CD" w:rsidRDefault="00BB59CD" w:rsidP="00BB59CD">
      <w:pPr>
        <w:rPr>
          <w:rtl/>
          <w:lang w:eastAsia="he-IL"/>
        </w:rPr>
      </w:pPr>
      <w:r>
        <w:rPr>
          <w:rFonts w:hint="cs"/>
          <w:rtl/>
          <w:lang w:eastAsia="he-IL"/>
        </w:rPr>
        <w:t>בעד – 53, נגד – 64, אחד נוכח. אני קובע כי ההסתייגות לא התקבלה.</w:t>
      </w:r>
    </w:p>
    <w:p w:rsidR="00BB59CD" w:rsidRDefault="00BB59CD" w:rsidP="00BB59CD">
      <w:pPr>
        <w:rPr>
          <w:rtl/>
          <w:lang w:eastAsia="he-IL"/>
        </w:rPr>
      </w:pPr>
    </w:p>
    <w:p w:rsidR="00BB59CD" w:rsidRDefault="00BB59CD" w:rsidP="00BB59CD">
      <w:pPr>
        <w:rPr>
          <w:rtl/>
          <w:lang w:eastAsia="he-IL"/>
        </w:rPr>
      </w:pPr>
      <w:bookmarkStart w:id="82561" w:name="_ETM_Q164_718000"/>
      <w:bookmarkEnd w:id="82561"/>
      <w:r>
        <w:rPr>
          <w:rFonts w:hint="cs"/>
          <w:rtl/>
          <w:lang w:eastAsia="he-IL"/>
        </w:rPr>
        <w:t xml:space="preserve">נצביע כעת על הסתייגות 13690.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25</w:t>
      </w:r>
    </w:p>
    <w:p w:rsidR="00BB59CD" w:rsidRDefault="00BB59CD" w:rsidP="00BB59CD">
      <w:pPr>
        <w:pStyle w:val="--"/>
        <w:keepNext/>
        <w:rPr>
          <w:rtl/>
          <w:lang w:eastAsia="he-IL"/>
        </w:rPr>
      </w:pPr>
    </w:p>
    <w:p w:rsidR="00BB59CD" w:rsidRDefault="00BB59CD" w:rsidP="00BB59CD">
      <w:pPr>
        <w:pStyle w:val="--"/>
        <w:rPr>
          <w:rtl/>
        </w:rPr>
      </w:pPr>
      <w:r>
        <w:rPr>
          <w:rFonts w:hint="cs"/>
          <w:rtl/>
        </w:rPr>
        <w:t>בעד ההסתייגות – 56</w:t>
      </w:r>
    </w:p>
    <w:p w:rsidR="00BB59CD" w:rsidRDefault="00BB59CD" w:rsidP="00BB59CD">
      <w:pPr>
        <w:pStyle w:val="--"/>
      </w:pPr>
      <w:r>
        <w:rPr>
          <w:rFonts w:hint="cs"/>
          <w:rtl/>
        </w:rPr>
        <w:t>נגד – 63</w:t>
      </w:r>
    </w:p>
    <w:p w:rsidR="00BB59CD" w:rsidRDefault="00BB59CD" w:rsidP="00BB59CD">
      <w:pPr>
        <w:pStyle w:val="--"/>
        <w:rPr>
          <w:rtl/>
        </w:rPr>
      </w:pPr>
      <w:r>
        <w:rPr>
          <w:rFonts w:hint="cs"/>
          <w:rtl/>
        </w:rPr>
        <w:t>נמנעים – אין</w:t>
      </w:r>
    </w:p>
    <w:p w:rsidR="00BB59CD" w:rsidRDefault="00BB59CD" w:rsidP="00BB59CD">
      <w:pPr>
        <w:pStyle w:val="af5"/>
        <w:rPr>
          <w:rtl/>
        </w:rPr>
      </w:pPr>
      <w:r>
        <w:rPr>
          <w:rFonts w:hint="cs"/>
          <w:rtl/>
        </w:rPr>
        <w:t>הסתייגות 13690 לא נתקבלה.</w:t>
      </w:r>
    </w:p>
    <w:p w:rsidR="00BB59CD" w:rsidRDefault="00BB59CD" w:rsidP="00BB59CD">
      <w:pPr>
        <w:rPr>
          <w:rtl/>
          <w:lang w:eastAsia="he-IL"/>
        </w:rPr>
      </w:pPr>
      <w:bookmarkStart w:id="82562" w:name="_ETM_Q164_739349"/>
      <w:bookmarkStart w:id="82563" w:name="_ETM_Q164_739411"/>
      <w:bookmarkEnd w:id="82562"/>
      <w:bookmarkEnd w:id="82563"/>
    </w:p>
    <w:p w:rsidR="00BB59CD" w:rsidRDefault="00BB59CD" w:rsidP="00BB59CD">
      <w:pPr>
        <w:pStyle w:val="af8"/>
        <w:keepNext/>
        <w:rPr>
          <w:rtl/>
        </w:rPr>
      </w:pPr>
      <w:bookmarkStart w:id="82564" w:name="ET_interruption_קריאה_3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82564"/>
    </w:p>
    <w:p w:rsidR="00BB59CD" w:rsidRDefault="00BB59CD" w:rsidP="00337201">
      <w:pPr>
        <w:rPr>
          <w:rtl/>
          <w:lang w:eastAsia="he-IL"/>
        </w:rPr>
      </w:pPr>
    </w:p>
    <w:p w:rsidR="00BB59CD" w:rsidRDefault="00BB59CD" w:rsidP="00BB59CD">
      <w:pPr>
        <w:rPr>
          <w:rtl/>
          <w:lang w:eastAsia="he-IL"/>
        </w:rPr>
      </w:pPr>
      <w:bookmarkStart w:id="82565" w:name="_ETM_Q164_740695"/>
      <w:bookmarkStart w:id="82566" w:name="_ETM_Q164_740950"/>
      <w:bookmarkStart w:id="82567" w:name="_ETM_Q164_741025"/>
      <w:bookmarkEnd w:id="82565"/>
      <w:bookmarkEnd w:id="82566"/>
      <w:bookmarkEnd w:id="82567"/>
      <w:r>
        <w:rPr>
          <w:rFonts w:hint="cs"/>
          <w:rtl/>
          <w:lang w:eastAsia="he-IL"/>
        </w:rPr>
        <w:t>- - -</w:t>
      </w:r>
      <w:bookmarkStart w:id="82568" w:name="_ETM_Q164_741999"/>
      <w:bookmarkEnd w:id="82568"/>
    </w:p>
    <w:p w:rsidR="00BB59CD" w:rsidRDefault="00BB59CD" w:rsidP="00BB59CD">
      <w:pPr>
        <w:ind w:left="720" w:firstLine="0"/>
        <w:rPr>
          <w:lang w:eastAsia="he-IL"/>
        </w:rPr>
      </w:pPr>
      <w:bookmarkStart w:id="82569" w:name="_ETM_Q164_742094"/>
      <w:bookmarkEnd w:id="82569"/>
    </w:p>
    <w:p w:rsidR="00BB59CD" w:rsidRDefault="00BB59CD" w:rsidP="00BB59CD">
      <w:pPr>
        <w:pStyle w:val="af9"/>
        <w:keepNext/>
      </w:pPr>
      <w:bookmarkStart w:id="82570" w:name="ET_yor_6423_3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570"/>
    </w:p>
    <w:p w:rsidR="00BB59CD" w:rsidRDefault="00BB59CD" w:rsidP="00337201">
      <w:pPr>
        <w:rPr>
          <w:rtl/>
          <w:lang w:eastAsia="he-IL"/>
        </w:rPr>
      </w:pPr>
    </w:p>
    <w:p w:rsidR="00BB59CD" w:rsidRDefault="00BB59CD" w:rsidP="00BB59CD">
      <w:pPr>
        <w:rPr>
          <w:rtl/>
          <w:lang w:eastAsia="he-IL"/>
        </w:rPr>
      </w:pPr>
      <w:bookmarkStart w:id="82571" w:name="_ETM_Q164_742852"/>
      <w:bookmarkEnd w:id="82571"/>
      <w:r>
        <w:rPr>
          <w:rFonts w:hint="cs"/>
          <w:rtl/>
          <w:lang w:eastAsia="he-IL"/>
        </w:rPr>
        <w:t xml:space="preserve">כרגע זה לא רשום. </w:t>
      </w:r>
      <w:bookmarkStart w:id="82572" w:name="_ETM_Q164_745806"/>
      <w:bookmarkEnd w:id="82572"/>
      <w:r>
        <w:rPr>
          <w:rFonts w:hint="cs"/>
          <w:rtl/>
          <w:lang w:eastAsia="he-IL"/>
        </w:rPr>
        <w:t xml:space="preserve">אם </w:t>
      </w:r>
      <w:bookmarkStart w:id="82573" w:name="_ETM_Q164_743664"/>
      <w:bookmarkEnd w:id="82573"/>
      <w:r>
        <w:rPr>
          <w:rFonts w:hint="cs"/>
          <w:rtl/>
          <w:lang w:eastAsia="he-IL"/>
        </w:rPr>
        <w:t xml:space="preserve">זה רושם "נוכח" – אני חוזר על מה שאמרתי, ייתכן שמישהו </w:t>
      </w:r>
      <w:bookmarkStart w:id="82574" w:name="_ETM_Q164_745753"/>
      <w:bookmarkEnd w:id="82574"/>
      <w:r>
        <w:rPr>
          <w:rFonts w:hint="cs"/>
          <w:rtl/>
          <w:lang w:eastAsia="he-IL"/>
        </w:rPr>
        <w:t>לוחץ בטעות או באמצעות חפץ או ספר. שימו לב.</w:t>
      </w:r>
    </w:p>
    <w:p w:rsidR="00BB59CD" w:rsidRDefault="00BB59CD" w:rsidP="00BB59CD">
      <w:pPr>
        <w:rPr>
          <w:rtl/>
          <w:lang w:eastAsia="he-IL"/>
        </w:rPr>
      </w:pPr>
    </w:p>
    <w:p w:rsidR="00BB59CD" w:rsidRDefault="00BB59CD" w:rsidP="00BB59CD">
      <w:pPr>
        <w:rPr>
          <w:rtl/>
          <w:lang w:eastAsia="he-IL"/>
        </w:rPr>
      </w:pPr>
      <w:bookmarkStart w:id="82575" w:name="_ETM_Q164_729000"/>
      <w:bookmarkEnd w:id="82575"/>
      <w:r>
        <w:rPr>
          <w:rFonts w:hint="cs"/>
          <w:rtl/>
          <w:lang w:eastAsia="he-IL"/>
        </w:rPr>
        <w:t>56 בעד, 63 נגד. אני קובע כי ההסתייגות לא התקבלה.</w:t>
      </w:r>
    </w:p>
    <w:p w:rsidR="00BB59CD" w:rsidRDefault="00BB59CD" w:rsidP="00BB59CD">
      <w:pPr>
        <w:rPr>
          <w:rtl/>
          <w:lang w:eastAsia="he-IL"/>
        </w:rPr>
      </w:pPr>
    </w:p>
    <w:p w:rsidR="00BB59CD" w:rsidRDefault="00BB59CD" w:rsidP="00BB59CD">
      <w:pPr>
        <w:rPr>
          <w:rtl/>
        </w:rPr>
      </w:pPr>
      <w:bookmarkStart w:id="82576" w:name="TOR_Q165"/>
      <w:bookmarkEnd w:id="82576"/>
      <w:r>
        <w:rPr>
          <w:rFonts w:hint="cs"/>
          <w:rtl/>
        </w:rPr>
        <w:t>וכעת נצביע על הסתייגות 13701. בבקשה, הצבעה.</w:t>
      </w:r>
    </w:p>
    <w:p w:rsidR="00BB59CD" w:rsidRDefault="00BB59CD" w:rsidP="00BB59CD">
      <w:pPr>
        <w:keepNext/>
        <w:rPr>
          <w:rtl/>
        </w:rPr>
      </w:pPr>
    </w:p>
    <w:p w:rsidR="00BB59CD" w:rsidRDefault="00BB59CD" w:rsidP="00BB59CD">
      <w:pPr>
        <w:pStyle w:val="af4"/>
        <w:keepNext/>
        <w:rPr>
          <w:rtl/>
        </w:rPr>
      </w:pPr>
      <w:bookmarkStart w:id="82577" w:name="_ETM_Q165_178671"/>
      <w:bookmarkStart w:id="82578" w:name="_ETM_Q165_178736"/>
      <w:bookmarkEnd w:id="82577"/>
      <w:bookmarkEnd w:id="82578"/>
      <w:r>
        <w:rPr>
          <w:rFonts w:hint="cs"/>
          <w:rtl/>
        </w:rPr>
        <w:t>הצבעה מס' 26</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 xml:space="preserve">נגד – 64 </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13701 לא נתקבלה.</w:t>
      </w:r>
      <w:bookmarkStart w:id="82579" w:name="_ETM_Q165_172832"/>
      <w:bookmarkEnd w:id="82579"/>
    </w:p>
    <w:p w:rsidR="00BB59CD" w:rsidRDefault="00BB59CD" w:rsidP="00BB59CD">
      <w:pPr>
        <w:rPr>
          <w:rtl/>
        </w:rPr>
      </w:pPr>
      <w:bookmarkStart w:id="82580" w:name="_ETM_Q165_172894"/>
      <w:bookmarkStart w:id="82581" w:name="_ETM_Q165_172992"/>
      <w:bookmarkEnd w:id="82580"/>
      <w:bookmarkEnd w:id="82581"/>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582" w:name="_ETM_Q165_173038"/>
      <w:bookmarkEnd w:id="82582"/>
      <w:r>
        <w:rPr>
          <w:rFonts w:hint="cs"/>
          <w:rtl/>
        </w:rPr>
        <w:t xml:space="preserve">56 בעד, 64 נגד. אני קובע כי </w:t>
      </w:r>
      <w:bookmarkStart w:id="82583" w:name="_ETM_Q165_144086"/>
      <w:bookmarkEnd w:id="82583"/>
      <w:r>
        <w:rPr>
          <w:rFonts w:hint="cs"/>
          <w:rtl/>
        </w:rPr>
        <w:t>ההסתייגות לא התקבלה.</w:t>
      </w:r>
    </w:p>
    <w:p w:rsidR="00BB59CD" w:rsidRDefault="00BB59CD" w:rsidP="00BB59CD">
      <w:pPr>
        <w:pStyle w:val="af5"/>
        <w:rPr>
          <w:rtl/>
        </w:rPr>
      </w:pPr>
    </w:p>
    <w:p w:rsidR="00BB59CD" w:rsidRDefault="00BB59CD" w:rsidP="00BB59CD">
      <w:pPr>
        <w:rPr>
          <w:rtl/>
        </w:rPr>
      </w:pPr>
      <w:r>
        <w:rPr>
          <w:rFonts w:hint="cs"/>
          <w:rtl/>
        </w:rPr>
        <w:t xml:space="preserve">נצביע </w:t>
      </w:r>
      <w:bookmarkStart w:id="82584" w:name="_ETM_Q165_182158"/>
      <w:bookmarkEnd w:id="82584"/>
      <w:r>
        <w:rPr>
          <w:rFonts w:hint="cs"/>
          <w:rtl/>
        </w:rPr>
        <w:t>כעת על הסתייגות 13749. הצבעה כעת.</w:t>
      </w:r>
    </w:p>
    <w:p w:rsidR="00BB59CD" w:rsidRDefault="00BB59CD" w:rsidP="00BB59CD">
      <w:pPr>
        <w:rPr>
          <w:rtl/>
        </w:rPr>
      </w:pPr>
    </w:p>
    <w:p w:rsidR="00BB59CD" w:rsidRDefault="00BB59CD" w:rsidP="00BB59CD">
      <w:pPr>
        <w:pStyle w:val="af4"/>
        <w:keepNext/>
        <w:rPr>
          <w:rtl/>
        </w:rPr>
      </w:pPr>
      <w:r>
        <w:rPr>
          <w:rFonts w:hint="cs"/>
          <w:rtl/>
        </w:rPr>
        <w:t>הצבעה מס' 27</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54</w:t>
      </w:r>
    </w:p>
    <w:p w:rsidR="00BB59CD" w:rsidRDefault="00BB59CD" w:rsidP="00BB59CD">
      <w:pPr>
        <w:pStyle w:val="--"/>
        <w:keepNext/>
        <w:rPr>
          <w:rtl/>
        </w:rPr>
      </w:pPr>
      <w:r>
        <w:rPr>
          <w:rFonts w:hint="cs"/>
          <w:rtl/>
        </w:rPr>
        <w:t xml:space="preserve">נגד – 64 </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13749 לא נתקבלה.</w:t>
      </w:r>
    </w:p>
    <w:p w:rsidR="00BB59CD" w:rsidRDefault="00BB59CD" w:rsidP="00BB59CD">
      <w:pPr>
        <w:rPr>
          <w:rtl/>
        </w:rPr>
      </w:pPr>
      <w:bookmarkStart w:id="82585" w:name="_ETM_Q165_201838"/>
      <w:bookmarkStart w:id="82586" w:name="_ETM_Q165_201900"/>
      <w:bookmarkEnd w:id="82585"/>
      <w:bookmarkEnd w:id="82586"/>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587" w:name="_ETM_Q165_202427"/>
      <w:bookmarkEnd w:id="82587"/>
      <w:r>
        <w:rPr>
          <w:rFonts w:hint="cs"/>
          <w:rtl/>
        </w:rPr>
        <w:t xml:space="preserve">54 בעד, 64 </w:t>
      </w:r>
      <w:bookmarkStart w:id="82588" w:name="_ETM_Q165_214174"/>
      <w:bookmarkEnd w:id="82588"/>
      <w:r>
        <w:rPr>
          <w:rFonts w:hint="cs"/>
          <w:rtl/>
        </w:rPr>
        <w:t>נגד. אני קובע כי ההסתייגות לא התקבלה.</w:t>
      </w:r>
    </w:p>
    <w:p w:rsidR="00BB59CD" w:rsidRDefault="00BB59CD" w:rsidP="00BB59CD">
      <w:pPr>
        <w:rPr>
          <w:rtl/>
        </w:rPr>
      </w:pPr>
    </w:p>
    <w:p w:rsidR="00BB59CD" w:rsidRDefault="00BB59CD" w:rsidP="00BB59CD">
      <w:pPr>
        <w:rPr>
          <w:rtl/>
        </w:rPr>
      </w:pPr>
      <w:r>
        <w:rPr>
          <w:rFonts w:hint="cs"/>
          <w:rtl/>
        </w:rPr>
        <w:t xml:space="preserve">נצביע כעת על הסתייגות </w:t>
      </w:r>
      <w:bookmarkStart w:id="82589" w:name="_ETM_Q165_215649"/>
      <w:bookmarkEnd w:id="82589"/>
      <w:r>
        <w:rPr>
          <w:rFonts w:hint="cs"/>
          <w:rtl/>
        </w:rPr>
        <w:t>13750. זה לא ברשימה, אבל בסדר.</w:t>
      </w:r>
    </w:p>
    <w:p w:rsidR="00BB59CD" w:rsidRDefault="00BB59CD" w:rsidP="00BB59CD">
      <w:pPr>
        <w:rPr>
          <w:rtl/>
        </w:rPr>
      </w:pPr>
    </w:p>
    <w:p w:rsidR="00BB59CD" w:rsidRDefault="00BB59CD" w:rsidP="00BB59CD">
      <w:pPr>
        <w:pStyle w:val="af4"/>
        <w:keepNext/>
        <w:rPr>
          <w:rtl/>
        </w:rPr>
      </w:pPr>
      <w:r>
        <w:rPr>
          <w:rFonts w:hint="cs"/>
          <w:rtl/>
        </w:rPr>
        <w:t>הצבעה מס' 28</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נגד – 62</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13750 לא נתקבלה.</w:t>
      </w:r>
    </w:p>
    <w:p w:rsidR="00BB59CD" w:rsidRDefault="00BB59CD" w:rsidP="00BB59CD">
      <w:pPr>
        <w:rPr>
          <w:rtl/>
        </w:rPr>
      </w:pPr>
      <w:bookmarkStart w:id="82590" w:name="_ETM_Q165_234320"/>
      <w:bookmarkStart w:id="82591" w:name="_ETM_Q165_234411"/>
      <w:bookmarkEnd w:id="82590"/>
      <w:bookmarkEnd w:id="82591"/>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592" w:name="_ETM_Q165_235051"/>
      <w:bookmarkEnd w:id="82592"/>
      <w:r>
        <w:rPr>
          <w:rFonts w:hint="cs"/>
          <w:rtl/>
        </w:rPr>
        <w:t>55 בעד, 62 נגד. ההסתייגות לא התקבלה.</w:t>
      </w:r>
    </w:p>
    <w:p w:rsidR="00BB59CD" w:rsidRDefault="00BB59CD" w:rsidP="00BB59CD">
      <w:pPr>
        <w:pStyle w:val="af5"/>
        <w:rPr>
          <w:rtl/>
        </w:rPr>
      </w:pPr>
    </w:p>
    <w:p w:rsidR="00BB59CD" w:rsidRDefault="00BB59CD" w:rsidP="00BB59CD">
      <w:pPr>
        <w:rPr>
          <w:rtl/>
        </w:rPr>
      </w:pPr>
      <w:r>
        <w:rPr>
          <w:rFonts w:hint="cs"/>
          <w:rtl/>
        </w:rPr>
        <w:t>נצביע כעת על הסתייגות 13779. הצבעה כעת.</w:t>
      </w:r>
    </w:p>
    <w:p w:rsidR="00BB59CD" w:rsidRDefault="00BB59CD" w:rsidP="00BB59CD">
      <w:pPr>
        <w:ind w:firstLine="0"/>
        <w:rPr>
          <w:rtl/>
        </w:rPr>
      </w:pPr>
    </w:p>
    <w:p w:rsidR="00BB59CD" w:rsidRDefault="00BB59CD" w:rsidP="00BB59CD">
      <w:pPr>
        <w:pStyle w:val="af4"/>
        <w:keepNext/>
        <w:rPr>
          <w:rtl/>
        </w:rPr>
      </w:pPr>
      <w:r>
        <w:rPr>
          <w:rFonts w:hint="cs"/>
          <w:rtl/>
        </w:rPr>
        <w:t>הצבעה מס' 29</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 xml:space="preserve">נגד – 62 </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 xml:space="preserve">הסתייגות 13779 </w:t>
      </w:r>
      <w:bookmarkStart w:id="82593" w:name="_ETM_Q165_247890"/>
      <w:bookmarkEnd w:id="82593"/>
      <w:r>
        <w:rPr>
          <w:rFonts w:hint="cs"/>
          <w:rtl/>
        </w:rPr>
        <w:t>לא נתקבלה.</w:t>
      </w:r>
    </w:p>
    <w:p w:rsidR="00BB59CD" w:rsidRDefault="00BB59CD" w:rsidP="00BB59CD">
      <w:pPr>
        <w:rPr>
          <w:rtl/>
        </w:rPr>
      </w:pPr>
      <w:bookmarkStart w:id="82594" w:name="_ETM_Q165_256819"/>
      <w:bookmarkStart w:id="82595" w:name="_ETM_Q165_256887"/>
      <w:bookmarkEnd w:id="82594"/>
      <w:bookmarkEnd w:id="82595"/>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596" w:name="_ETM_Q165_257450"/>
      <w:bookmarkEnd w:id="82596"/>
      <w:r>
        <w:rPr>
          <w:rFonts w:hint="cs"/>
          <w:rtl/>
        </w:rPr>
        <w:t xml:space="preserve">שנון ומקורי, חבר הכנסת שטרן. </w:t>
      </w:r>
      <w:bookmarkStart w:id="82597" w:name="_ETM_Q165_263795"/>
      <w:bookmarkStart w:id="82598" w:name="_ETM_Q165_263872"/>
      <w:bookmarkEnd w:id="82597"/>
      <w:bookmarkEnd w:id="82598"/>
      <w:r>
        <w:rPr>
          <w:rFonts w:hint="cs"/>
          <w:rtl/>
        </w:rPr>
        <w:t>55 בעד, 62 נגד. ההסתייגות לא התקבלה.</w:t>
      </w:r>
    </w:p>
    <w:p w:rsidR="00BB59CD" w:rsidRDefault="00BB59CD" w:rsidP="00BB59CD">
      <w:pPr>
        <w:pStyle w:val="af5"/>
        <w:rPr>
          <w:rtl/>
        </w:rPr>
      </w:pPr>
    </w:p>
    <w:p w:rsidR="00BB59CD" w:rsidRDefault="00BB59CD" w:rsidP="00BB59CD">
      <w:pPr>
        <w:rPr>
          <w:rtl/>
        </w:rPr>
      </w:pPr>
      <w:r>
        <w:rPr>
          <w:rFonts w:hint="cs"/>
          <w:rtl/>
        </w:rPr>
        <w:t>ונצביע כעת על הסתייגות 13783. הצבעה כעת.</w:t>
      </w:r>
    </w:p>
    <w:p w:rsidR="00BB59CD" w:rsidRDefault="00BB59CD" w:rsidP="00BB59CD">
      <w:pPr>
        <w:ind w:firstLine="0"/>
        <w:rPr>
          <w:rtl/>
        </w:rPr>
      </w:pPr>
    </w:p>
    <w:p w:rsidR="00BB59CD" w:rsidRDefault="00BB59CD" w:rsidP="00BB59CD">
      <w:pPr>
        <w:pStyle w:val="af4"/>
        <w:keepNext/>
        <w:rPr>
          <w:rtl/>
        </w:rPr>
      </w:pPr>
      <w:r>
        <w:rPr>
          <w:rFonts w:hint="cs"/>
          <w:rtl/>
        </w:rPr>
        <w:t>הצבעה מס' 30</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 xml:space="preserve">נגד – 63 </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13783 לא נתקבלה.</w:t>
      </w:r>
    </w:p>
    <w:p w:rsidR="00BB59CD" w:rsidRDefault="00BB59CD" w:rsidP="00BB59CD">
      <w:pPr>
        <w:rPr>
          <w:rtl/>
        </w:rPr>
      </w:pPr>
      <w:bookmarkStart w:id="82599" w:name="_ETM_Q165_287918"/>
      <w:bookmarkStart w:id="82600" w:name="_ETM_Q165_287995"/>
      <w:bookmarkEnd w:id="82599"/>
      <w:bookmarkEnd w:id="82600"/>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01" w:name="_ETM_Q165_288591"/>
      <w:bookmarkEnd w:id="82601"/>
      <w:r>
        <w:rPr>
          <w:rFonts w:hint="cs"/>
          <w:rtl/>
        </w:rPr>
        <w:t>56 בעד, 63 נגד. אני קובע כי ההסתייגות לא התקבלה.</w:t>
      </w:r>
    </w:p>
    <w:p w:rsidR="00BB59CD" w:rsidRDefault="00BB59CD" w:rsidP="00BB59CD">
      <w:pPr>
        <w:pStyle w:val="af5"/>
        <w:rPr>
          <w:rtl/>
        </w:rPr>
      </w:pPr>
    </w:p>
    <w:p w:rsidR="00BB59CD" w:rsidRDefault="00BB59CD" w:rsidP="00BB59CD">
      <w:pPr>
        <w:rPr>
          <w:rtl/>
        </w:rPr>
      </w:pPr>
      <w:r>
        <w:rPr>
          <w:rFonts w:hint="cs"/>
          <w:rtl/>
        </w:rPr>
        <w:t>כעת נצביע על הסתייגות 13792. הצבעה כעת.</w:t>
      </w:r>
    </w:p>
    <w:p w:rsidR="00BB59CD" w:rsidRDefault="00BB59CD" w:rsidP="00BB59CD">
      <w:pPr>
        <w:ind w:firstLine="0"/>
        <w:rPr>
          <w:rtl/>
        </w:rPr>
      </w:pPr>
    </w:p>
    <w:p w:rsidR="00BB59CD" w:rsidRDefault="00BB59CD" w:rsidP="00BB59CD">
      <w:pPr>
        <w:pStyle w:val="af4"/>
        <w:keepNext/>
        <w:rPr>
          <w:rtl/>
        </w:rPr>
      </w:pPr>
      <w:r>
        <w:rPr>
          <w:rFonts w:hint="cs"/>
          <w:rtl/>
        </w:rPr>
        <w:t>הצבעה מס' 31</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 xml:space="preserve">נגד – 64 </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13792 לא נתקבלה.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02" w:name="_ETM_Q165_317727"/>
      <w:bookmarkEnd w:id="82602"/>
      <w:r>
        <w:rPr>
          <w:rFonts w:hint="cs"/>
          <w:rtl/>
        </w:rPr>
        <w:t>56 בעד, 64 נגד, אני קובע כי ההסתייגות לא התקבלה.</w:t>
      </w:r>
    </w:p>
    <w:p w:rsidR="00BB59CD" w:rsidRDefault="00BB59CD" w:rsidP="00BB59CD">
      <w:pPr>
        <w:pStyle w:val="af5"/>
        <w:rPr>
          <w:rtl/>
        </w:rPr>
      </w:pPr>
    </w:p>
    <w:p w:rsidR="00BB59CD" w:rsidRDefault="00BB59CD" w:rsidP="00BB59CD">
      <w:pPr>
        <w:rPr>
          <w:rtl/>
        </w:rPr>
      </w:pPr>
      <w:r>
        <w:rPr>
          <w:rFonts w:hint="cs"/>
          <w:rtl/>
        </w:rPr>
        <w:t xml:space="preserve">נצביע כעת על הסתייגות שמספרה </w:t>
      </w:r>
      <w:bookmarkStart w:id="82603" w:name="_ETM_Q165_326359"/>
      <w:bookmarkEnd w:id="82603"/>
      <w:r>
        <w:rPr>
          <w:rFonts w:hint="cs"/>
          <w:rtl/>
        </w:rPr>
        <w:t>13818. הצבעה כעת.</w:t>
      </w:r>
    </w:p>
    <w:p w:rsidR="00BB59CD" w:rsidRDefault="00BB59CD" w:rsidP="00BB59CD">
      <w:pPr>
        <w:rPr>
          <w:rtl/>
        </w:rPr>
      </w:pPr>
    </w:p>
    <w:p w:rsidR="00BB59CD" w:rsidRDefault="00BB59CD" w:rsidP="00BB59CD">
      <w:pPr>
        <w:pStyle w:val="af4"/>
        <w:keepNext/>
        <w:rPr>
          <w:rtl/>
        </w:rPr>
      </w:pPr>
      <w:r>
        <w:rPr>
          <w:rFonts w:hint="cs"/>
          <w:rtl/>
        </w:rPr>
        <w:t>הצבעה מס' 32</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 xml:space="preserve">נגד – 63 </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13818 לא נתקבלה.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55 בעד, 63 נגד. ההסתייגות לא התקבלה.</w:t>
      </w:r>
    </w:p>
    <w:p w:rsidR="00BB59CD" w:rsidRDefault="00BB59CD" w:rsidP="00BB59CD">
      <w:pPr>
        <w:pStyle w:val="af5"/>
        <w:rPr>
          <w:rtl/>
        </w:rPr>
      </w:pPr>
    </w:p>
    <w:p w:rsidR="00BB59CD" w:rsidRDefault="00BB59CD" w:rsidP="00BB59CD">
      <w:pPr>
        <w:rPr>
          <w:rtl/>
        </w:rPr>
      </w:pPr>
      <w:r>
        <w:rPr>
          <w:rFonts w:hint="cs"/>
          <w:rtl/>
        </w:rPr>
        <w:t>כעת נצביע על הסתייגות 13820. הצבעה כעת.</w:t>
      </w:r>
    </w:p>
    <w:p w:rsidR="00BB59CD" w:rsidRDefault="00BB59CD" w:rsidP="00BB59CD">
      <w:pPr>
        <w:rPr>
          <w:rtl/>
        </w:rPr>
      </w:pPr>
    </w:p>
    <w:p w:rsidR="00BB59CD" w:rsidRDefault="00BB59CD" w:rsidP="00BB59CD">
      <w:pPr>
        <w:pStyle w:val="af4"/>
        <w:keepNext/>
        <w:rPr>
          <w:rtl/>
        </w:rPr>
      </w:pPr>
      <w:r>
        <w:rPr>
          <w:rFonts w:hint="cs"/>
          <w:rtl/>
        </w:rPr>
        <w:t>הצבעה מס' 33</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 xml:space="preserve">נגד – 63 </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13820 לא נתקבלה.</w:t>
      </w:r>
    </w:p>
    <w:p w:rsidR="00BB59CD" w:rsidRDefault="00BB59CD" w:rsidP="00BB59CD">
      <w:pPr>
        <w:rPr>
          <w:rtl/>
        </w:rPr>
      </w:pPr>
      <w:bookmarkStart w:id="82604" w:name="_ETM_Q165_362611"/>
      <w:bookmarkStart w:id="82605" w:name="_ETM_Q165_362687"/>
      <w:bookmarkEnd w:id="82604"/>
      <w:bookmarkEnd w:id="82605"/>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06" w:name="_ETM_Q165_363326"/>
      <w:bookmarkEnd w:id="82606"/>
      <w:r>
        <w:rPr>
          <w:rFonts w:hint="cs"/>
          <w:rtl/>
        </w:rPr>
        <w:t>55 בעד, 63 נגד. אני קובע כי ההסתייגות לא התקבלה.</w:t>
      </w:r>
    </w:p>
    <w:p w:rsidR="00BB59CD" w:rsidRDefault="00BB59CD" w:rsidP="00BB59CD">
      <w:pPr>
        <w:rPr>
          <w:rtl/>
        </w:rPr>
      </w:pPr>
    </w:p>
    <w:p w:rsidR="00BB59CD" w:rsidRDefault="00BB59CD" w:rsidP="00BB59CD">
      <w:pPr>
        <w:rPr>
          <w:rtl/>
        </w:rPr>
      </w:pPr>
      <w:r>
        <w:rPr>
          <w:rFonts w:hint="cs"/>
          <w:rtl/>
        </w:rPr>
        <w:t>נצביע כעת על הסתייגות 13844. הצבעה כעת.</w:t>
      </w:r>
    </w:p>
    <w:p w:rsidR="00BB59CD" w:rsidRDefault="00BB59CD" w:rsidP="00BB59CD">
      <w:pPr>
        <w:rPr>
          <w:rtl/>
        </w:rPr>
      </w:pPr>
    </w:p>
    <w:p w:rsidR="00BB59CD" w:rsidRDefault="00BB59CD" w:rsidP="00BB59CD">
      <w:pPr>
        <w:pStyle w:val="af4"/>
        <w:keepNext/>
        <w:rPr>
          <w:rtl/>
        </w:rPr>
      </w:pPr>
      <w:r>
        <w:rPr>
          <w:rFonts w:hint="cs"/>
          <w:rtl/>
        </w:rPr>
        <w:t>הצבעה מס' 34</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54</w:t>
      </w:r>
    </w:p>
    <w:p w:rsidR="00BB59CD" w:rsidRDefault="00BB59CD" w:rsidP="00BB59CD">
      <w:pPr>
        <w:pStyle w:val="--"/>
        <w:keepNext/>
        <w:rPr>
          <w:rtl/>
        </w:rPr>
      </w:pPr>
      <w:r>
        <w:rPr>
          <w:rFonts w:hint="cs"/>
          <w:rtl/>
        </w:rPr>
        <w:t xml:space="preserve">נגד – 63 </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13844 לא נתקבלה.</w:t>
      </w:r>
    </w:p>
    <w:p w:rsidR="00BB59CD" w:rsidRDefault="00BB59CD" w:rsidP="00BB59CD">
      <w:pPr>
        <w:rPr>
          <w:rtl/>
        </w:rPr>
      </w:pPr>
      <w:bookmarkStart w:id="82607" w:name="_ETM_Q165_385295"/>
      <w:bookmarkStart w:id="82608" w:name="_ETM_Q165_385368"/>
      <w:bookmarkEnd w:id="82607"/>
      <w:bookmarkEnd w:id="82608"/>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09" w:name="_ETM_Q165_385927"/>
      <w:bookmarkEnd w:id="82609"/>
      <w:r>
        <w:rPr>
          <w:rFonts w:hint="cs"/>
          <w:rtl/>
        </w:rPr>
        <w:t>54 בעד, 63 נגד. ההסתייגות לא התקבלה.</w:t>
      </w:r>
    </w:p>
    <w:p w:rsidR="00BB59CD" w:rsidRDefault="00BB59CD" w:rsidP="00BB59CD">
      <w:pPr>
        <w:pStyle w:val="af5"/>
        <w:rPr>
          <w:rtl/>
        </w:rPr>
      </w:pPr>
    </w:p>
    <w:p w:rsidR="00BB59CD" w:rsidRDefault="00BB59CD" w:rsidP="00BB59CD">
      <w:pPr>
        <w:rPr>
          <w:rtl/>
        </w:rPr>
      </w:pPr>
      <w:r>
        <w:rPr>
          <w:rFonts w:hint="cs"/>
          <w:rtl/>
        </w:rPr>
        <w:t>כעת נצביע על הסתייגות שמספרה 13857. הצבעה כעת.</w:t>
      </w:r>
    </w:p>
    <w:p w:rsidR="00BB59CD" w:rsidRDefault="00BB59CD" w:rsidP="00BB59CD">
      <w:pPr>
        <w:rPr>
          <w:rtl/>
        </w:rPr>
      </w:pPr>
    </w:p>
    <w:p w:rsidR="00BB59CD" w:rsidRDefault="00BB59CD" w:rsidP="00BB59CD">
      <w:pPr>
        <w:pStyle w:val="af4"/>
        <w:keepNext/>
        <w:rPr>
          <w:rtl/>
        </w:rPr>
      </w:pPr>
      <w:r>
        <w:rPr>
          <w:rFonts w:hint="cs"/>
          <w:rtl/>
        </w:rPr>
        <w:t>הצבעה מס' 35</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 xml:space="preserve">נגד – 64 </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13857 לא נתקבלה.</w:t>
      </w:r>
    </w:p>
    <w:p w:rsidR="00BB59CD" w:rsidRDefault="00BB59CD" w:rsidP="00BB59CD">
      <w:pPr>
        <w:rPr>
          <w:rtl/>
        </w:rPr>
      </w:pPr>
      <w:bookmarkStart w:id="82610" w:name="_ETM_Q165_411024"/>
      <w:bookmarkStart w:id="82611" w:name="_ETM_Q165_411094"/>
      <w:bookmarkEnd w:id="82610"/>
      <w:bookmarkEnd w:id="82611"/>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12" w:name="_ETM_Q165_411852"/>
      <w:bookmarkEnd w:id="82612"/>
      <w:r>
        <w:rPr>
          <w:rFonts w:hint="cs"/>
          <w:rtl/>
        </w:rPr>
        <w:t>55 בעד, 64 נגד. אני קובע כי ההסתייגות לא התקבלה.</w:t>
      </w:r>
    </w:p>
    <w:p w:rsidR="00BB59CD" w:rsidRDefault="00BB59CD" w:rsidP="00BB59CD">
      <w:pPr>
        <w:pStyle w:val="af5"/>
        <w:rPr>
          <w:rtl/>
        </w:rPr>
      </w:pPr>
    </w:p>
    <w:p w:rsidR="00BB59CD" w:rsidRDefault="00BB59CD" w:rsidP="00BB59CD">
      <w:pPr>
        <w:rPr>
          <w:rtl/>
        </w:rPr>
      </w:pPr>
      <w:r>
        <w:rPr>
          <w:rFonts w:hint="cs"/>
          <w:rtl/>
        </w:rPr>
        <w:t>נצביע כעת על הסתייגות 13858. הצבעה כעת.</w:t>
      </w:r>
    </w:p>
    <w:p w:rsidR="00BB59CD" w:rsidRDefault="00BB59CD" w:rsidP="00BB59CD">
      <w:pPr>
        <w:rPr>
          <w:rtl/>
        </w:rPr>
      </w:pPr>
    </w:p>
    <w:p w:rsidR="00BB59CD" w:rsidRDefault="00BB59CD" w:rsidP="00BB59CD">
      <w:pPr>
        <w:pStyle w:val="af4"/>
        <w:keepNext/>
        <w:rPr>
          <w:rtl/>
        </w:rPr>
      </w:pPr>
      <w:r>
        <w:rPr>
          <w:rFonts w:hint="cs"/>
          <w:rtl/>
        </w:rPr>
        <w:t>הצבעה מס' 36</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13858 לא נתקבלה.</w:t>
      </w:r>
    </w:p>
    <w:p w:rsidR="00BB59CD" w:rsidRDefault="00BB59CD" w:rsidP="00BB59CD">
      <w:pPr>
        <w:rPr>
          <w:rtl/>
        </w:rPr>
      </w:pPr>
      <w:bookmarkStart w:id="82613" w:name="_ETM_Q165_432067"/>
      <w:bookmarkStart w:id="82614" w:name="_ETM_Q165_432144"/>
      <w:bookmarkEnd w:id="82613"/>
      <w:bookmarkEnd w:id="82614"/>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15" w:name="_ETM_Q165_432722"/>
      <w:bookmarkEnd w:id="82615"/>
      <w:r>
        <w:rPr>
          <w:rFonts w:hint="cs"/>
          <w:rtl/>
        </w:rPr>
        <w:t>56 בעד, 63 נגד. אני קובע כי ההסתייגות לא התקבלה.</w:t>
      </w:r>
    </w:p>
    <w:p w:rsidR="00BB59CD" w:rsidRDefault="00BB59CD" w:rsidP="00BB59CD">
      <w:pPr>
        <w:pStyle w:val="af5"/>
        <w:rPr>
          <w:rtl/>
        </w:rPr>
      </w:pPr>
    </w:p>
    <w:p w:rsidR="00BB59CD" w:rsidRDefault="00BB59CD" w:rsidP="00BB59CD">
      <w:pPr>
        <w:rPr>
          <w:rtl/>
        </w:rPr>
      </w:pPr>
      <w:r>
        <w:rPr>
          <w:rFonts w:hint="cs"/>
          <w:rtl/>
        </w:rPr>
        <w:t>נצביע כעת על הסתייגות 13868. בבקשה, הצבעה כעת.</w:t>
      </w:r>
    </w:p>
    <w:p w:rsidR="00BB59CD" w:rsidRDefault="00BB59CD" w:rsidP="00BB59CD">
      <w:pPr>
        <w:rPr>
          <w:rtl/>
        </w:rPr>
      </w:pPr>
    </w:p>
    <w:p w:rsidR="00BB59CD" w:rsidRDefault="00BB59CD" w:rsidP="00BB59CD">
      <w:pPr>
        <w:pStyle w:val="af4"/>
        <w:keepNext/>
        <w:rPr>
          <w:rtl/>
        </w:rPr>
      </w:pPr>
      <w:r>
        <w:rPr>
          <w:rFonts w:hint="cs"/>
          <w:rtl/>
        </w:rPr>
        <w:t>הצבעה מס' 37</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64</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13868 לא נתקבלה.</w:t>
      </w:r>
    </w:p>
    <w:p w:rsidR="00BB59CD" w:rsidRDefault="00BB59CD" w:rsidP="00BB59CD">
      <w:pPr>
        <w:rPr>
          <w:rtl/>
        </w:rPr>
      </w:pPr>
      <w:bookmarkStart w:id="82616" w:name="_ETM_Q165_458835"/>
      <w:bookmarkStart w:id="82617" w:name="_ETM_Q165_458910"/>
      <w:bookmarkEnd w:id="82616"/>
      <w:bookmarkEnd w:id="82617"/>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18" w:name="_ETM_Q165_459479"/>
      <w:bookmarkEnd w:id="82618"/>
      <w:r>
        <w:rPr>
          <w:rFonts w:hint="cs"/>
          <w:rtl/>
        </w:rPr>
        <w:t>56 בעד, 64 נגד. אני קובע כי ההסתייגות לא התקבלה.</w:t>
      </w:r>
    </w:p>
    <w:p w:rsidR="00BB59CD" w:rsidRDefault="00BB59CD" w:rsidP="00BB59CD">
      <w:pPr>
        <w:pStyle w:val="af5"/>
        <w:rPr>
          <w:rtl/>
        </w:rPr>
      </w:pPr>
    </w:p>
    <w:p w:rsidR="00BB59CD" w:rsidRDefault="00BB59CD" w:rsidP="00BB59CD">
      <w:pPr>
        <w:rPr>
          <w:rtl/>
        </w:rPr>
      </w:pPr>
      <w:r>
        <w:rPr>
          <w:rFonts w:hint="cs"/>
          <w:rtl/>
        </w:rPr>
        <w:t>נצביע כעת על הסתייגות 13871. הצבעה כעת.</w:t>
      </w:r>
    </w:p>
    <w:p w:rsidR="00BB59CD" w:rsidRDefault="00BB59CD" w:rsidP="00BB59CD">
      <w:pPr>
        <w:ind w:firstLine="0"/>
        <w:rPr>
          <w:rtl/>
        </w:rPr>
      </w:pPr>
    </w:p>
    <w:p w:rsidR="00BB59CD" w:rsidRDefault="00BB59CD" w:rsidP="00BB59CD">
      <w:pPr>
        <w:pStyle w:val="af4"/>
        <w:keepNext/>
        <w:rPr>
          <w:rtl/>
        </w:rPr>
      </w:pPr>
      <w:r>
        <w:rPr>
          <w:rFonts w:hint="cs"/>
          <w:rtl/>
        </w:rPr>
        <w:t>הצבעה מס' 38</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נגד – 64</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13871 לא נתקבלה.</w:t>
      </w:r>
    </w:p>
    <w:p w:rsidR="00BB59CD" w:rsidRDefault="00BB59CD" w:rsidP="00BB59CD">
      <w:pPr>
        <w:rPr>
          <w:rtl/>
        </w:rPr>
      </w:pPr>
      <w:bookmarkStart w:id="82619" w:name="_ETM_Q165_478319"/>
      <w:bookmarkStart w:id="82620" w:name="_ETM_Q165_478402"/>
      <w:bookmarkEnd w:id="82619"/>
      <w:bookmarkEnd w:id="82620"/>
    </w:p>
    <w:p w:rsidR="00BB59CD" w:rsidRDefault="00BB59CD" w:rsidP="00BB59CD">
      <w:pPr>
        <w:pStyle w:val="af9"/>
        <w:keepNext/>
        <w:rPr>
          <w:rtl/>
        </w:rPr>
      </w:pPr>
      <w:bookmarkStart w:id="82621" w:name="ET_yor_6423_1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621"/>
    </w:p>
    <w:p w:rsidR="00BB59CD" w:rsidRDefault="00BB59CD" w:rsidP="00337201">
      <w:pPr>
        <w:rPr>
          <w:rtl/>
        </w:rPr>
      </w:pPr>
    </w:p>
    <w:p w:rsidR="00BB59CD" w:rsidRDefault="00BB59CD" w:rsidP="00BB59CD">
      <w:pPr>
        <w:rPr>
          <w:rtl/>
        </w:rPr>
      </w:pPr>
      <w:bookmarkStart w:id="82622" w:name="_ETM_Q165_478977"/>
      <w:bookmarkEnd w:id="82622"/>
      <w:r>
        <w:rPr>
          <w:rFonts w:hint="cs"/>
          <w:rtl/>
        </w:rPr>
        <w:t>55 בעד, 64 נגד. אני קובע כי ההסתייגות לא התקבלה.</w:t>
      </w:r>
    </w:p>
    <w:p w:rsidR="00BB59CD" w:rsidRDefault="00BB59CD" w:rsidP="00BB59CD">
      <w:pPr>
        <w:pStyle w:val="af5"/>
        <w:rPr>
          <w:rtl/>
        </w:rPr>
      </w:pPr>
    </w:p>
    <w:p w:rsidR="00BB59CD" w:rsidRDefault="00BB59CD" w:rsidP="00BB59CD">
      <w:pPr>
        <w:rPr>
          <w:rtl/>
        </w:rPr>
      </w:pPr>
      <w:r>
        <w:rPr>
          <w:rFonts w:hint="cs"/>
          <w:rtl/>
        </w:rPr>
        <w:t>נצביע כעת על הסתייגות 13876. הצבעה כעת.</w:t>
      </w:r>
    </w:p>
    <w:p w:rsidR="00BB59CD" w:rsidRDefault="00BB59CD" w:rsidP="00BB59CD">
      <w:pPr>
        <w:rPr>
          <w:rtl/>
        </w:rPr>
      </w:pPr>
    </w:p>
    <w:p w:rsidR="00BB59CD" w:rsidRDefault="00BB59CD" w:rsidP="00BB59CD">
      <w:pPr>
        <w:pStyle w:val="af4"/>
        <w:keepNext/>
        <w:rPr>
          <w:rtl/>
        </w:rPr>
      </w:pPr>
      <w:r>
        <w:rPr>
          <w:rFonts w:hint="cs"/>
          <w:rtl/>
        </w:rPr>
        <w:t>הצבעה מס' 39</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54</w:t>
      </w:r>
    </w:p>
    <w:p w:rsidR="00BB59CD" w:rsidRDefault="00BB59CD" w:rsidP="00BB59CD">
      <w:pPr>
        <w:pStyle w:val="--"/>
        <w:keepNext/>
        <w:rPr>
          <w:rtl/>
        </w:rPr>
      </w:pPr>
      <w:r>
        <w:rPr>
          <w:rFonts w:hint="cs"/>
          <w:rtl/>
        </w:rPr>
        <w:t>נגד – 62</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13876 לא נתקבלה.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23" w:name="_ETM_Q165_492484"/>
      <w:bookmarkEnd w:id="82623"/>
      <w:r>
        <w:rPr>
          <w:rFonts w:hint="cs"/>
          <w:rtl/>
        </w:rPr>
        <w:t>54 בעד, 62 נגד. אני קובע כי ההסתייגות לא התקבלה.</w:t>
      </w:r>
    </w:p>
    <w:p w:rsidR="00BB59CD" w:rsidRDefault="00BB59CD" w:rsidP="00BB59CD">
      <w:pPr>
        <w:pStyle w:val="af5"/>
        <w:rPr>
          <w:rtl/>
        </w:rPr>
      </w:pPr>
    </w:p>
    <w:p w:rsidR="00BB59CD" w:rsidRDefault="00BB59CD" w:rsidP="00BB59CD">
      <w:pPr>
        <w:rPr>
          <w:rtl/>
        </w:rPr>
      </w:pPr>
      <w:r>
        <w:rPr>
          <w:rFonts w:hint="cs"/>
          <w:rtl/>
        </w:rPr>
        <w:t xml:space="preserve">כעת נצביע על הסתייגות שמספרה </w:t>
      </w:r>
      <w:bookmarkStart w:id="82624" w:name="_ETM_Q165_517549"/>
      <w:bookmarkEnd w:id="82624"/>
      <w:r>
        <w:rPr>
          <w:rFonts w:hint="cs"/>
          <w:rtl/>
        </w:rPr>
        <w:t>13880. הצבעה כעת.</w:t>
      </w:r>
    </w:p>
    <w:p w:rsidR="00BB59CD" w:rsidRDefault="00BB59CD" w:rsidP="00BB59CD">
      <w:pPr>
        <w:rPr>
          <w:rtl/>
        </w:rPr>
      </w:pPr>
    </w:p>
    <w:p w:rsidR="00BB59CD" w:rsidRDefault="00BB59CD" w:rsidP="00BB59CD">
      <w:pPr>
        <w:pStyle w:val="af4"/>
        <w:keepNext/>
        <w:rPr>
          <w:rtl/>
        </w:rPr>
      </w:pPr>
      <w:r>
        <w:rPr>
          <w:rFonts w:hint="cs"/>
          <w:rtl/>
        </w:rPr>
        <w:t>הצבעה מס' 40</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13880 לא נתקבלה.</w:t>
      </w:r>
      <w:bookmarkStart w:id="82625" w:name="_ETM_Q165_527117"/>
      <w:bookmarkEnd w:id="82625"/>
    </w:p>
    <w:p w:rsidR="00BB59CD" w:rsidRDefault="00BB59CD" w:rsidP="00BB59CD">
      <w:pPr>
        <w:rPr>
          <w:rtl/>
        </w:rPr>
      </w:pPr>
      <w:bookmarkStart w:id="82626" w:name="_ETM_Q165_527198"/>
      <w:bookmarkStart w:id="82627" w:name="_ETM_Q165_527277"/>
      <w:bookmarkStart w:id="82628" w:name="_ETM_Q165_527332"/>
      <w:bookmarkEnd w:id="82626"/>
      <w:bookmarkEnd w:id="82627"/>
      <w:bookmarkEnd w:id="82628"/>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29" w:name="_ETM_Q165_530279"/>
      <w:bookmarkEnd w:id="82629"/>
      <w:r>
        <w:rPr>
          <w:rFonts w:hint="cs"/>
          <w:rtl/>
        </w:rPr>
        <w:t>56 בעד, 63 נגד. ההסתייגות לא התקבלה.</w:t>
      </w:r>
    </w:p>
    <w:p w:rsidR="00BB59CD" w:rsidRDefault="00BB59CD" w:rsidP="00BB59CD">
      <w:pPr>
        <w:pStyle w:val="af5"/>
        <w:rPr>
          <w:rtl/>
        </w:rPr>
      </w:pPr>
    </w:p>
    <w:p w:rsidR="00BB59CD" w:rsidRDefault="00BB59CD" w:rsidP="00BB59CD">
      <w:pPr>
        <w:rPr>
          <w:rtl/>
        </w:rPr>
      </w:pPr>
      <w:r>
        <w:rPr>
          <w:rFonts w:hint="cs"/>
          <w:rtl/>
        </w:rPr>
        <w:t>כעת נצביע על הסתייגות שמספרה 13886. הצבעה.</w:t>
      </w:r>
    </w:p>
    <w:p w:rsidR="00BB59CD" w:rsidRDefault="00BB59CD" w:rsidP="00BB59CD">
      <w:pPr>
        <w:ind w:firstLine="0"/>
        <w:rPr>
          <w:rtl/>
        </w:rPr>
      </w:pPr>
    </w:p>
    <w:p w:rsidR="00BB59CD" w:rsidRDefault="00BB59CD" w:rsidP="00BB59CD">
      <w:pPr>
        <w:pStyle w:val="af4"/>
        <w:keepNext/>
        <w:rPr>
          <w:rtl/>
        </w:rPr>
      </w:pPr>
      <w:r>
        <w:rPr>
          <w:rFonts w:hint="cs"/>
          <w:rtl/>
        </w:rPr>
        <w:t>הצבעה מס' 41</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נגד – 64</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13886 לא נתקבלה.</w:t>
      </w:r>
    </w:p>
    <w:p w:rsidR="00BB59CD" w:rsidRDefault="00BB59CD" w:rsidP="00BB59CD">
      <w:pPr>
        <w:rPr>
          <w:rtl/>
        </w:rPr>
      </w:pPr>
      <w:bookmarkStart w:id="82630" w:name="_ETM_Q165_545368"/>
      <w:bookmarkStart w:id="82631" w:name="_ETM_Q165_545475"/>
      <w:bookmarkEnd w:id="82630"/>
      <w:bookmarkEnd w:id="82631"/>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32" w:name="_ETM_Q165_546059"/>
      <w:bookmarkEnd w:id="82632"/>
      <w:r>
        <w:rPr>
          <w:rFonts w:hint="cs"/>
          <w:rtl/>
        </w:rPr>
        <w:t>55 בעד, 64 נגד, אני קובע כי ההסתייגות לא התקבלה.</w:t>
      </w:r>
    </w:p>
    <w:p w:rsidR="00BB59CD" w:rsidRDefault="00BB59CD" w:rsidP="00BB59CD">
      <w:pPr>
        <w:pStyle w:val="af5"/>
        <w:rPr>
          <w:rtl/>
        </w:rPr>
      </w:pPr>
    </w:p>
    <w:p w:rsidR="00BB59CD" w:rsidRDefault="00BB59CD" w:rsidP="00BB59CD">
      <w:pPr>
        <w:rPr>
          <w:rtl/>
        </w:rPr>
      </w:pPr>
      <w:r>
        <w:rPr>
          <w:rFonts w:hint="cs"/>
          <w:rtl/>
        </w:rPr>
        <w:t>נצביע כעת על הסתייגות 13888. בבקשה.</w:t>
      </w:r>
    </w:p>
    <w:p w:rsidR="00BB59CD" w:rsidRDefault="00BB59CD" w:rsidP="00BB59CD">
      <w:pPr>
        <w:rPr>
          <w:rtl/>
        </w:rPr>
      </w:pPr>
    </w:p>
    <w:p w:rsidR="00BB59CD" w:rsidRDefault="00BB59CD" w:rsidP="00BB59CD">
      <w:pPr>
        <w:pStyle w:val="af4"/>
        <w:keepNext/>
        <w:rPr>
          <w:rtl/>
        </w:rPr>
      </w:pPr>
      <w:r>
        <w:rPr>
          <w:rFonts w:hint="cs"/>
          <w:rtl/>
        </w:rPr>
        <w:t>הצבעה מס' 42</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13888 לא נתקבלה.</w:t>
      </w:r>
    </w:p>
    <w:p w:rsidR="00BB59CD" w:rsidRDefault="00BB59CD" w:rsidP="00BB59CD">
      <w:pPr>
        <w:rPr>
          <w:rtl/>
        </w:rPr>
      </w:pPr>
      <w:bookmarkStart w:id="82633" w:name="_ETM_Q165_571928"/>
      <w:bookmarkStart w:id="82634" w:name="_ETM_Q165_572029"/>
      <w:bookmarkEnd w:id="82633"/>
      <w:bookmarkEnd w:id="82634"/>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35" w:name="_ETM_Q165_572612"/>
      <w:bookmarkEnd w:id="82635"/>
      <w:r>
        <w:rPr>
          <w:rFonts w:hint="cs"/>
          <w:rtl/>
        </w:rPr>
        <w:t>55 בעד, 63 נגד. ההסתייגות לא התקבלה.</w:t>
      </w:r>
    </w:p>
    <w:p w:rsidR="00BB59CD" w:rsidRDefault="00BB59CD" w:rsidP="00BB59CD">
      <w:pPr>
        <w:pStyle w:val="af5"/>
        <w:rPr>
          <w:rtl/>
        </w:rPr>
      </w:pPr>
    </w:p>
    <w:p w:rsidR="00BB59CD" w:rsidRDefault="00BB59CD" w:rsidP="00BB59CD">
      <w:pPr>
        <w:rPr>
          <w:rtl/>
        </w:rPr>
      </w:pPr>
      <w:r>
        <w:rPr>
          <w:rFonts w:hint="cs"/>
          <w:rtl/>
        </w:rPr>
        <w:t xml:space="preserve">כעת נצביע על הסתייגות שמספרה </w:t>
      </w:r>
      <w:bookmarkStart w:id="82636" w:name="_ETM_Q165_585892"/>
      <w:bookmarkEnd w:id="82636"/>
      <w:r>
        <w:rPr>
          <w:rFonts w:hint="cs"/>
          <w:rtl/>
        </w:rPr>
        <w:t>13897. הצבעה כעת.</w:t>
      </w:r>
    </w:p>
    <w:p w:rsidR="00BB59CD" w:rsidRDefault="00BB59CD" w:rsidP="00BB59CD">
      <w:pPr>
        <w:ind w:firstLine="0"/>
        <w:rPr>
          <w:rtl/>
        </w:rPr>
      </w:pPr>
    </w:p>
    <w:p w:rsidR="00BB59CD" w:rsidRDefault="00BB59CD" w:rsidP="00BB59CD">
      <w:pPr>
        <w:pStyle w:val="af4"/>
        <w:keepNext/>
        <w:rPr>
          <w:rtl/>
        </w:rPr>
      </w:pPr>
      <w:r>
        <w:rPr>
          <w:rFonts w:hint="cs"/>
          <w:rtl/>
        </w:rPr>
        <w:t>הצבעה מס' 43</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נגד – 64</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 xml:space="preserve">הסתייגות 13897 </w:t>
      </w:r>
      <w:bookmarkStart w:id="82637" w:name="_ETM_Q165_590918"/>
      <w:bookmarkStart w:id="82638" w:name="_ETM_Q165_590958"/>
      <w:bookmarkEnd w:id="82637"/>
      <w:bookmarkEnd w:id="82638"/>
      <w:r>
        <w:rPr>
          <w:rFonts w:hint="cs"/>
          <w:rtl/>
        </w:rPr>
        <w:t>לא נתקבלה.</w:t>
      </w:r>
      <w:bookmarkStart w:id="82639" w:name="_ETM_Q165_596583"/>
      <w:bookmarkEnd w:id="82639"/>
    </w:p>
    <w:p w:rsidR="00BB59CD" w:rsidRDefault="00BB59CD" w:rsidP="00BB59CD">
      <w:pPr>
        <w:rPr>
          <w:rtl/>
        </w:rPr>
      </w:pPr>
      <w:bookmarkStart w:id="82640" w:name="_ETM_Q165_596659"/>
      <w:bookmarkStart w:id="82641" w:name="_ETM_Q165_596710"/>
      <w:bookmarkEnd w:id="82640"/>
      <w:bookmarkEnd w:id="82641"/>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42" w:name="_ETM_Q165_596776"/>
      <w:bookmarkEnd w:id="82642"/>
      <w:r>
        <w:rPr>
          <w:rFonts w:hint="cs"/>
          <w:rtl/>
        </w:rPr>
        <w:t>55 בעד, 64 נגד. ההסתייגות לא התקבלה.</w:t>
      </w:r>
    </w:p>
    <w:p w:rsidR="00BB59CD" w:rsidRDefault="00BB59CD" w:rsidP="00BB59CD">
      <w:pPr>
        <w:pStyle w:val="af5"/>
        <w:rPr>
          <w:rtl/>
        </w:rPr>
      </w:pPr>
    </w:p>
    <w:p w:rsidR="00BB59CD" w:rsidRDefault="00BB59CD" w:rsidP="00BB59CD">
      <w:pPr>
        <w:rPr>
          <w:rtl/>
        </w:rPr>
      </w:pPr>
      <w:r>
        <w:rPr>
          <w:rFonts w:hint="cs"/>
          <w:rtl/>
        </w:rPr>
        <w:t>כעת נצביע על הסתייגות שמספרה 13901. הצבעה כעת.</w:t>
      </w:r>
    </w:p>
    <w:p w:rsidR="00BB59CD" w:rsidRDefault="00BB59CD" w:rsidP="00BB59CD">
      <w:pPr>
        <w:rPr>
          <w:rtl/>
        </w:rPr>
      </w:pPr>
    </w:p>
    <w:p w:rsidR="00BB59CD" w:rsidRDefault="00BB59CD" w:rsidP="00BB59CD">
      <w:pPr>
        <w:pStyle w:val="af4"/>
        <w:keepNext/>
        <w:rPr>
          <w:rtl/>
        </w:rPr>
      </w:pPr>
      <w:r>
        <w:rPr>
          <w:rFonts w:hint="cs"/>
          <w:rtl/>
        </w:rPr>
        <w:t>הצבעה מס' 44</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1</w:t>
      </w:r>
    </w:p>
    <w:p w:rsidR="00BB59CD" w:rsidRDefault="00BB59CD" w:rsidP="00BB59CD">
      <w:pPr>
        <w:pStyle w:val="af5"/>
        <w:rPr>
          <w:rtl/>
        </w:rPr>
      </w:pPr>
      <w:r>
        <w:rPr>
          <w:rFonts w:hint="cs"/>
          <w:rtl/>
        </w:rPr>
        <w:t>הסתייגות 13901 לא נתקבלה.</w:t>
      </w:r>
      <w:bookmarkStart w:id="82643" w:name="_ETM_Q165_603781"/>
      <w:bookmarkEnd w:id="82643"/>
    </w:p>
    <w:p w:rsidR="00BB59CD" w:rsidRDefault="00BB59CD" w:rsidP="00BB59CD">
      <w:pPr>
        <w:rPr>
          <w:rtl/>
        </w:rPr>
      </w:pPr>
      <w:bookmarkStart w:id="82644" w:name="_ETM_Q165_603853"/>
      <w:bookmarkEnd w:id="82644"/>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45" w:name="_ETM_Q165_604438"/>
      <w:bookmarkEnd w:id="82645"/>
      <w:r>
        <w:rPr>
          <w:rFonts w:hint="cs"/>
          <w:rtl/>
        </w:rPr>
        <w:t>56 בעד, 63 נגד, נמנע אחד.</w:t>
      </w:r>
      <w:bookmarkStart w:id="82646" w:name="_ETM_Q165_619449"/>
      <w:bookmarkEnd w:id="82646"/>
      <w:r>
        <w:rPr>
          <w:rFonts w:hint="cs"/>
          <w:rtl/>
        </w:rPr>
        <w:t xml:space="preserve"> ההסתייגות לא התקבלה.</w:t>
      </w:r>
    </w:p>
    <w:p w:rsidR="00BB59CD" w:rsidRDefault="00BB59CD" w:rsidP="00BB59CD">
      <w:pPr>
        <w:pStyle w:val="af5"/>
        <w:rPr>
          <w:rtl/>
        </w:rPr>
      </w:pPr>
    </w:p>
    <w:p w:rsidR="00BB59CD" w:rsidRDefault="00BB59CD" w:rsidP="00BB59CD">
      <w:pPr>
        <w:rPr>
          <w:rtl/>
        </w:rPr>
      </w:pPr>
      <w:r>
        <w:rPr>
          <w:rFonts w:hint="cs"/>
          <w:rtl/>
        </w:rPr>
        <w:t>נצביע כעת על הסתייגות 13910. הצבעה כעת.</w:t>
      </w:r>
    </w:p>
    <w:p w:rsidR="00BB59CD" w:rsidRDefault="00BB59CD" w:rsidP="00BB59CD">
      <w:pPr>
        <w:rPr>
          <w:rtl/>
        </w:rPr>
      </w:pPr>
    </w:p>
    <w:p w:rsidR="00BB59CD" w:rsidRDefault="00BB59CD" w:rsidP="00BB59CD">
      <w:pPr>
        <w:pStyle w:val="af4"/>
        <w:keepNext/>
        <w:rPr>
          <w:rtl/>
        </w:rPr>
      </w:pPr>
      <w:r>
        <w:rPr>
          <w:rFonts w:hint="cs"/>
          <w:rtl/>
        </w:rPr>
        <w:t>הצבעה מס' 45</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13910 לא נתקבלה.</w:t>
      </w:r>
      <w:bookmarkStart w:id="82647" w:name="_ETM_Q165_633465"/>
      <w:bookmarkEnd w:id="82647"/>
    </w:p>
    <w:p w:rsidR="00BB59CD" w:rsidRDefault="00BB59CD" w:rsidP="00BB59CD">
      <w:pPr>
        <w:rPr>
          <w:rtl/>
        </w:rPr>
      </w:pPr>
      <w:bookmarkStart w:id="82648" w:name="_ETM_Q165_633540"/>
      <w:bookmarkEnd w:id="82648"/>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49" w:name="_ETM_Q165_634120"/>
      <w:bookmarkEnd w:id="82649"/>
      <w:r>
        <w:rPr>
          <w:rFonts w:hint="cs"/>
          <w:rtl/>
        </w:rPr>
        <w:t>56 בעד, 63 נגד. ההסתייגות לא התקבלה.</w:t>
      </w:r>
    </w:p>
    <w:p w:rsidR="00BB59CD" w:rsidRDefault="00BB59CD" w:rsidP="00BB59CD">
      <w:pPr>
        <w:pStyle w:val="af5"/>
        <w:rPr>
          <w:rtl/>
        </w:rPr>
      </w:pPr>
    </w:p>
    <w:p w:rsidR="00BB59CD" w:rsidRDefault="00BB59CD" w:rsidP="009123FF">
      <w:pPr>
        <w:rPr>
          <w:rtl/>
        </w:rPr>
      </w:pPr>
      <w:r>
        <w:rPr>
          <w:rFonts w:hint="cs"/>
          <w:rtl/>
        </w:rPr>
        <w:t>כעת נצביע על הסתייגות שמספרה 13911. הצבעה.</w:t>
      </w:r>
    </w:p>
    <w:p w:rsidR="00BB59CD" w:rsidRDefault="00BB59CD" w:rsidP="00BB59CD">
      <w:pPr>
        <w:rPr>
          <w:rtl/>
        </w:rPr>
      </w:pPr>
    </w:p>
    <w:p w:rsidR="00BB59CD" w:rsidRDefault="00BB59CD" w:rsidP="00BB59CD">
      <w:pPr>
        <w:pStyle w:val="af4"/>
        <w:keepNext/>
        <w:rPr>
          <w:rtl/>
        </w:rPr>
      </w:pPr>
      <w:r>
        <w:rPr>
          <w:rFonts w:hint="cs"/>
          <w:rtl/>
        </w:rPr>
        <w:t>הצבעה מס' 46</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53</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13911 לא נתקבלה.</w:t>
      </w:r>
    </w:p>
    <w:p w:rsidR="00BB59CD" w:rsidRDefault="00BB59CD" w:rsidP="00BB59CD">
      <w:pPr>
        <w:rPr>
          <w:rtl/>
        </w:rPr>
      </w:pPr>
      <w:bookmarkStart w:id="82650" w:name="_ETM_Q165_659812"/>
      <w:bookmarkStart w:id="82651" w:name="_ETM_Q165_659904"/>
      <w:bookmarkStart w:id="82652" w:name="_ETM_Q165_659956"/>
      <w:bookmarkEnd w:id="82650"/>
      <w:bookmarkEnd w:id="82651"/>
      <w:bookmarkEnd w:id="82652"/>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bookmarkStart w:id="82653" w:name="_ETM_Q165_663801"/>
      <w:bookmarkEnd w:id="82653"/>
    </w:p>
    <w:p w:rsidR="00BB59CD" w:rsidRDefault="00BB59CD" w:rsidP="00BB59CD">
      <w:pPr>
        <w:rPr>
          <w:rtl/>
        </w:rPr>
      </w:pPr>
      <w:bookmarkStart w:id="82654" w:name="_ETM_Q165_660019"/>
      <w:bookmarkEnd w:id="82654"/>
      <w:r>
        <w:rPr>
          <w:rFonts w:hint="cs"/>
          <w:rtl/>
        </w:rPr>
        <w:t>53 בעד, 63 נגד, נוכח אחד. ההסתייגות לא התקבלה.</w:t>
      </w:r>
    </w:p>
    <w:p w:rsidR="00BB59CD" w:rsidRDefault="00BB59CD" w:rsidP="00BB59CD">
      <w:pPr>
        <w:pStyle w:val="af5"/>
        <w:rPr>
          <w:rtl/>
        </w:rPr>
      </w:pPr>
    </w:p>
    <w:p w:rsidR="00BB59CD" w:rsidRDefault="00BB59CD" w:rsidP="00BB59CD">
      <w:pPr>
        <w:rPr>
          <w:rtl/>
        </w:rPr>
      </w:pPr>
      <w:r>
        <w:rPr>
          <w:rFonts w:hint="cs"/>
          <w:rtl/>
        </w:rPr>
        <w:t>כעת נצביע על הסתייגות מס' 13922</w:t>
      </w:r>
      <w:bookmarkStart w:id="82655" w:name="_ETM_Q165_674355"/>
      <w:bookmarkEnd w:id="82655"/>
      <w:r>
        <w:rPr>
          <w:rFonts w:hint="cs"/>
          <w:rtl/>
        </w:rPr>
        <w:t>. הצבעה כעת.</w:t>
      </w:r>
    </w:p>
    <w:p w:rsidR="00BB59CD" w:rsidRDefault="00BB59CD" w:rsidP="00BB59CD">
      <w:pPr>
        <w:rPr>
          <w:rtl/>
        </w:rPr>
      </w:pPr>
    </w:p>
    <w:p w:rsidR="00BB59CD" w:rsidRDefault="00BB59CD" w:rsidP="00BB59CD">
      <w:pPr>
        <w:pStyle w:val="af4"/>
        <w:keepNext/>
        <w:rPr>
          <w:rtl/>
        </w:rPr>
      </w:pPr>
      <w:r>
        <w:rPr>
          <w:rFonts w:hint="cs"/>
          <w:rtl/>
        </w:rPr>
        <w:t>הצבעה מס' 47</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64</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13922 לא נתקבלה.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56" w:name="_ETM_Q165_689386"/>
      <w:bookmarkEnd w:id="82656"/>
      <w:r>
        <w:rPr>
          <w:rFonts w:hint="cs"/>
          <w:rtl/>
        </w:rPr>
        <w:t>56 בעד, 64 נגד. אני קובע כי ההסתייגות לא התקבלה.</w:t>
      </w:r>
    </w:p>
    <w:p w:rsidR="00BB59CD" w:rsidRDefault="00BB59CD" w:rsidP="00BB59CD">
      <w:pPr>
        <w:pStyle w:val="af5"/>
        <w:rPr>
          <w:rtl/>
        </w:rPr>
      </w:pPr>
    </w:p>
    <w:p w:rsidR="00BB59CD" w:rsidRDefault="00BB59CD" w:rsidP="00BB59CD">
      <w:pPr>
        <w:rPr>
          <w:rtl/>
        </w:rPr>
      </w:pPr>
      <w:r>
        <w:rPr>
          <w:rFonts w:hint="cs"/>
          <w:rtl/>
        </w:rPr>
        <w:t>נצביע כעת על הסתייגות 13929. הצבעה כעת.</w:t>
      </w:r>
    </w:p>
    <w:p w:rsidR="00BB59CD" w:rsidRDefault="00BB59CD" w:rsidP="00BB59CD">
      <w:pPr>
        <w:rPr>
          <w:rtl/>
        </w:rPr>
      </w:pPr>
    </w:p>
    <w:p w:rsidR="00BB59CD" w:rsidRDefault="00BB59CD" w:rsidP="00BB59CD">
      <w:pPr>
        <w:pStyle w:val="af4"/>
        <w:keepNext/>
        <w:rPr>
          <w:rtl/>
        </w:rPr>
      </w:pPr>
      <w:r>
        <w:rPr>
          <w:rFonts w:hint="cs"/>
          <w:rtl/>
        </w:rPr>
        <w:t>הצבעה מס' 48</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64</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13929 לא נתקבלה.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57" w:name="_ETM_Q165_706588"/>
      <w:bookmarkEnd w:id="82657"/>
      <w:r>
        <w:rPr>
          <w:rFonts w:hint="cs"/>
          <w:rtl/>
        </w:rPr>
        <w:t>56 בעד, 64 נגד. ההסתייגות לא התקבלה.</w:t>
      </w:r>
    </w:p>
    <w:p w:rsidR="00BB59CD" w:rsidRDefault="00BB59CD" w:rsidP="00BB59CD">
      <w:pPr>
        <w:pStyle w:val="af5"/>
        <w:rPr>
          <w:rtl/>
        </w:rPr>
      </w:pPr>
    </w:p>
    <w:p w:rsidR="00BB59CD" w:rsidRDefault="00BB59CD" w:rsidP="00BB59CD">
      <w:pPr>
        <w:rPr>
          <w:rtl/>
        </w:rPr>
      </w:pPr>
      <w:r>
        <w:rPr>
          <w:rFonts w:hint="cs"/>
          <w:rtl/>
        </w:rPr>
        <w:t>וכעת נצביע על הסתייגות מס' 13937. הצבעה כעת.</w:t>
      </w:r>
    </w:p>
    <w:p w:rsidR="00BB59CD" w:rsidRDefault="00BB59CD" w:rsidP="00BB59CD">
      <w:pPr>
        <w:rPr>
          <w:rtl/>
        </w:rPr>
      </w:pPr>
    </w:p>
    <w:p w:rsidR="00BB59CD" w:rsidRDefault="00BB59CD" w:rsidP="00BB59CD">
      <w:pPr>
        <w:pStyle w:val="af4"/>
        <w:keepNext/>
        <w:rPr>
          <w:rtl/>
        </w:rPr>
      </w:pPr>
      <w:r>
        <w:rPr>
          <w:rFonts w:hint="cs"/>
          <w:rtl/>
        </w:rPr>
        <w:t>הצבעה מס' 49</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נגד – 64</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13937 לא נתקבלה.</w:t>
      </w:r>
    </w:p>
    <w:p w:rsidR="00BB59CD" w:rsidRDefault="00BB59CD" w:rsidP="00BB59CD">
      <w:pPr>
        <w:rPr>
          <w:rtl/>
        </w:rPr>
      </w:pPr>
    </w:p>
    <w:p w:rsidR="00BB59CD" w:rsidRDefault="00BB59CD" w:rsidP="00BB59CD">
      <w:pPr>
        <w:pStyle w:val="af9"/>
        <w:keepNext/>
        <w:rPr>
          <w:rtl/>
        </w:rPr>
      </w:pPr>
      <w:bookmarkStart w:id="82658" w:name="_ETM_Q165_733008"/>
      <w:bookmarkStart w:id="82659" w:name="_ETM_Q165_733091"/>
      <w:bookmarkStart w:id="82660" w:name="ET_yor_6423_24"/>
      <w:bookmarkEnd w:id="82658"/>
      <w:bookmarkEnd w:id="8265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660"/>
    </w:p>
    <w:p w:rsidR="00BB59CD" w:rsidRDefault="00BB59CD" w:rsidP="00337201">
      <w:pPr>
        <w:rPr>
          <w:rtl/>
        </w:rPr>
      </w:pPr>
    </w:p>
    <w:p w:rsidR="00BB59CD" w:rsidRDefault="00BB59CD" w:rsidP="00BB59CD">
      <w:pPr>
        <w:rPr>
          <w:rtl/>
        </w:rPr>
      </w:pPr>
      <w:bookmarkStart w:id="82661" w:name="_ETM_Q165_733783"/>
      <w:bookmarkEnd w:id="82661"/>
      <w:r>
        <w:rPr>
          <w:rFonts w:hint="cs"/>
          <w:rtl/>
        </w:rPr>
        <w:t>55 בעד, 64 נגד, אני קובע כי ההסתייגות לא התקבלה.</w:t>
      </w:r>
    </w:p>
    <w:p w:rsidR="00BB59CD" w:rsidRDefault="00BB59CD" w:rsidP="00BB59CD">
      <w:pPr>
        <w:pStyle w:val="af5"/>
        <w:rPr>
          <w:rtl/>
        </w:rPr>
      </w:pPr>
    </w:p>
    <w:p w:rsidR="00BB59CD" w:rsidRDefault="00BB59CD" w:rsidP="00BB59CD">
      <w:pPr>
        <w:rPr>
          <w:rtl/>
        </w:rPr>
      </w:pPr>
      <w:r>
        <w:rPr>
          <w:rFonts w:hint="cs"/>
          <w:rtl/>
        </w:rPr>
        <w:t>נצביע כעת על הסתייגות 15268. הצבעה כעת.</w:t>
      </w:r>
    </w:p>
    <w:p w:rsidR="00BB59CD" w:rsidRDefault="00BB59CD" w:rsidP="00BB59CD">
      <w:pPr>
        <w:ind w:firstLine="0"/>
        <w:rPr>
          <w:rtl/>
        </w:rPr>
      </w:pPr>
    </w:p>
    <w:p w:rsidR="00BB59CD" w:rsidRDefault="00BB59CD" w:rsidP="00BB59CD">
      <w:pPr>
        <w:pStyle w:val="af4"/>
        <w:keepNext/>
        <w:rPr>
          <w:rtl/>
        </w:rPr>
      </w:pPr>
      <w:r>
        <w:rPr>
          <w:rFonts w:hint="cs"/>
          <w:rtl/>
        </w:rPr>
        <w:t>הצבעה מס' 50</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54</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15268 לא נתקבלה.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2662" w:name="_ETM_Q165_759708"/>
      <w:bookmarkEnd w:id="82662"/>
      <w:r>
        <w:rPr>
          <w:rFonts w:hint="cs"/>
          <w:rtl/>
        </w:rPr>
        <w:t>54 בעד, 63 נגד, נוכח אחד. אני קובע כי ההסתייגות לא התקבלה.</w:t>
      </w:r>
    </w:p>
    <w:p w:rsidR="00BB59CD" w:rsidRDefault="00BB59CD" w:rsidP="00BB59CD">
      <w:pPr>
        <w:rPr>
          <w:rtl/>
        </w:rPr>
      </w:pPr>
    </w:p>
    <w:p w:rsidR="00BB59CD" w:rsidRDefault="00BB59CD" w:rsidP="00BB59CD">
      <w:pPr>
        <w:rPr>
          <w:rtl/>
        </w:rPr>
      </w:pPr>
      <w:bookmarkStart w:id="82663" w:name="TOR_Q166"/>
      <w:bookmarkEnd w:id="82663"/>
      <w:r>
        <w:rPr>
          <w:rFonts w:hint="cs"/>
          <w:rtl/>
        </w:rPr>
        <w:t>נצביע כעת על הסתייגות 15276. הצבעה כעת.</w:t>
      </w:r>
    </w:p>
    <w:p w:rsidR="00BB59CD" w:rsidRDefault="00BB59CD" w:rsidP="00BB59CD">
      <w:pPr>
        <w:rPr>
          <w:rtl/>
        </w:rPr>
      </w:pPr>
    </w:p>
    <w:p w:rsidR="00BB59CD" w:rsidRDefault="00BB59CD" w:rsidP="00BB59CD">
      <w:pPr>
        <w:pStyle w:val="af4"/>
        <w:keepNext/>
        <w:rPr>
          <w:rtl/>
          <w:lang w:eastAsia="he-IL"/>
        </w:rPr>
      </w:pPr>
      <w:r>
        <w:rPr>
          <w:rFonts w:hint="cs"/>
          <w:rtl/>
          <w:lang w:eastAsia="he-IL"/>
        </w:rPr>
        <w:t>הצבעה מס' 51</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 xml:space="preserve">הסתייגות 15276 לא נתקבלה.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55 בעד, </w:t>
      </w:r>
      <w:bookmarkStart w:id="82664" w:name="_ETM_Q166_187000"/>
      <w:bookmarkEnd w:id="82664"/>
      <w:r>
        <w:rPr>
          <w:rFonts w:hint="cs"/>
          <w:rtl/>
        </w:rPr>
        <w:t xml:space="preserve">64 נגד. ההסתייגות לא התקבלה. </w:t>
      </w:r>
    </w:p>
    <w:p w:rsidR="00BB59CD" w:rsidRDefault="00BB59CD" w:rsidP="00BB59CD">
      <w:pPr>
        <w:rPr>
          <w:rtl/>
        </w:rPr>
      </w:pPr>
    </w:p>
    <w:p w:rsidR="00BB59CD" w:rsidRDefault="00BB59CD" w:rsidP="00BB59CD">
      <w:pPr>
        <w:rPr>
          <w:rtl/>
        </w:rPr>
      </w:pPr>
      <w:r>
        <w:rPr>
          <w:rFonts w:hint="cs"/>
          <w:rtl/>
        </w:rPr>
        <w:t>כעת נצביע על הסתייגות שמספרה</w:t>
      </w:r>
      <w:bookmarkStart w:id="82665" w:name="_ETM_Q166_192000"/>
      <w:bookmarkEnd w:id="82665"/>
      <w:r>
        <w:rPr>
          <w:rFonts w:hint="cs"/>
          <w:rtl/>
        </w:rPr>
        <w:t xml:space="preserve"> 15278. הצבעה כעת.</w:t>
      </w:r>
    </w:p>
    <w:p w:rsidR="00BB59CD" w:rsidRDefault="00BB59CD" w:rsidP="00BB59CD">
      <w:pPr>
        <w:rPr>
          <w:rtl/>
        </w:rPr>
      </w:pPr>
    </w:p>
    <w:p w:rsidR="00BB59CD" w:rsidRDefault="00BB59CD" w:rsidP="00BB59CD">
      <w:pPr>
        <w:pStyle w:val="af4"/>
        <w:keepNext/>
        <w:rPr>
          <w:rtl/>
          <w:lang w:eastAsia="he-IL"/>
        </w:rPr>
      </w:pPr>
      <w:bookmarkStart w:id="82666" w:name="_ETM_Q166_209000"/>
      <w:bookmarkEnd w:id="82666"/>
      <w:r>
        <w:rPr>
          <w:rFonts w:hint="cs"/>
          <w:rtl/>
          <w:lang w:eastAsia="he-IL"/>
        </w:rPr>
        <w:t>הצבעה מס' 52</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54</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4"/>
        <w:rPr>
          <w:b w:val="0"/>
          <w:bCs w:val="0"/>
          <w:rtl/>
        </w:rPr>
      </w:pPr>
      <w:r>
        <w:rPr>
          <w:rFonts w:hint="cs"/>
          <w:b w:val="0"/>
          <w:bCs w:val="0"/>
          <w:rtl/>
        </w:rPr>
        <w:t>הסתייגות 15278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54 בעד, 63 נגד, שני נוכחים.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נצביע </w:t>
      </w:r>
      <w:bookmarkStart w:id="82667" w:name="_ETM_Q166_216000"/>
      <w:bookmarkEnd w:id="82667"/>
      <w:r>
        <w:rPr>
          <w:rFonts w:hint="cs"/>
          <w:rtl/>
          <w:lang w:eastAsia="he-IL"/>
        </w:rPr>
        <w:t xml:space="preserve">כעת על הסתייגות מס' 15280. 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53</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15280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63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הסתייגות מס' 15287. 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54</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54</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15287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668" w:name="_ETM_Q166_251000"/>
      <w:bookmarkEnd w:id="82668"/>
      <w:r>
        <w:rPr>
          <w:rFonts w:hint="cs"/>
          <w:rtl/>
          <w:lang w:eastAsia="he-IL"/>
        </w:rPr>
        <w:t>56 בעד, 64 נגד. ההסתייגות לא התקבלה.</w:t>
      </w:r>
      <w:bookmarkStart w:id="82669" w:name="_ETM_Q166_258000"/>
      <w:bookmarkEnd w:id="82669"/>
      <w:r>
        <w:rPr>
          <w:rFonts w:hint="cs"/>
          <w:rtl/>
          <w:lang w:eastAsia="he-IL"/>
        </w:rPr>
        <w:t xml:space="preserve"> </w:t>
      </w:r>
    </w:p>
    <w:p w:rsidR="00BB59CD" w:rsidRDefault="00BB59CD" w:rsidP="00BB59CD">
      <w:pPr>
        <w:rPr>
          <w:rtl/>
          <w:lang w:eastAsia="he-IL"/>
        </w:rPr>
      </w:pPr>
    </w:p>
    <w:p w:rsidR="00BB59CD" w:rsidRDefault="00BB59CD" w:rsidP="00BB59CD">
      <w:pPr>
        <w:rPr>
          <w:rtl/>
          <w:lang w:eastAsia="he-IL"/>
        </w:rPr>
      </w:pPr>
      <w:bookmarkStart w:id="82670" w:name="_ETM_Q166_259000"/>
      <w:bookmarkEnd w:id="82670"/>
      <w:r>
        <w:rPr>
          <w:rFonts w:hint="cs"/>
          <w:rtl/>
          <w:lang w:eastAsia="he-IL"/>
        </w:rPr>
        <w:t>נצביע כעת על הסתייגות מס' 15288. הצבעה כעת.</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55</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15288 לא נתקבלה.</w:t>
      </w:r>
    </w:p>
    <w:p w:rsidR="00BB59CD" w:rsidRDefault="00BB59CD" w:rsidP="00BB59CD">
      <w:pPr>
        <w:rPr>
          <w:rtl/>
          <w:lang w:eastAsia="he-IL"/>
        </w:rPr>
      </w:pPr>
    </w:p>
    <w:p w:rsidR="00BB59CD" w:rsidRDefault="00BB59CD" w:rsidP="00BB59CD">
      <w:pPr>
        <w:pStyle w:val="af8"/>
        <w:keepNext/>
        <w:rPr>
          <w:rtl/>
        </w:rPr>
      </w:pPr>
      <w:bookmarkStart w:id="82671" w:name="ET_interruption_5080_10"/>
      <w:r>
        <w:rPr>
          <w:rStyle w:val="TagStyle"/>
          <w:rFonts w:hint="cs"/>
          <w:rtl/>
        </w:rPr>
        <w:t xml:space="preserve"> &lt;&lt; קריאה &gt;&gt; </w:t>
      </w:r>
      <w:r>
        <w:rPr>
          <w:rFonts w:hint="cs"/>
          <w:rtl/>
        </w:rPr>
        <w:t>בועז טופורובסקי (יש עתיד):</w:t>
      </w:r>
      <w:r>
        <w:rPr>
          <w:rStyle w:val="TagStyle"/>
          <w:rtl/>
        </w:rPr>
        <w:t xml:space="preserve"> &lt;&lt; קריאה &gt;&gt;</w:t>
      </w:r>
      <w:r>
        <w:rPr>
          <w:rFonts w:hint="cs"/>
          <w:rtl/>
        </w:rPr>
        <w:t xml:space="preserve">   </w:t>
      </w:r>
      <w:bookmarkEnd w:id="82671"/>
    </w:p>
    <w:p w:rsidR="00BB59CD" w:rsidRDefault="00BB59CD" w:rsidP="00337201">
      <w:pPr>
        <w:rPr>
          <w:rtl/>
          <w:lang w:eastAsia="he-IL"/>
        </w:rPr>
      </w:pPr>
    </w:p>
    <w:p w:rsidR="00BB59CD" w:rsidRDefault="00BB59CD" w:rsidP="00BB59CD">
      <w:pPr>
        <w:rPr>
          <w:rtl/>
          <w:lang w:eastAsia="he-IL"/>
        </w:rPr>
      </w:pPr>
      <w:r>
        <w:rPr>
          <w:rFonts w:hint="cs"/>
          <w:rtl/>
          <w:lang w:eastAsia="he-IL"/>
        </w:rPr>
        <w:t>קואליציה נגד</w:t>
      </w:r>
      <w:bookmarkStart w:id="82672" w:name="_ETM_Q166_272000"/>
      <w:bookmarkEnd w:id="82672"/>
      <w:r>
        <w:rPr>
          <w:rFonts w:hint="cs"/>
          <w:rtl/>
          <w:lang w:eastAsia="he-IL"/>
        </w:rPr>
        <w:t xml:space="preserve"> עם ישראל, נגד המדינה.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53 בעד, 63 נגד, נוכח אחד</w:t>
      </w:r>
      <w:bookmarkStart w:id="82673" w:name="_ETM_Q166_280000"/>
      <w:bookmarkEnd w:id="82673"/>
      <w:r>
        <w:rPr>
          <w:rFonts w:hint="cs"/>
          <w:rtl/>
          <w:lang w:eastAsia="he-IL"/>
        </w:rPr>
        <w:t xml:space="preserve">. ההסתייגות לא התקבלה. </w:t>
      </w:r>
    </w:p>
    <w:p w:rsidR="00BB59CD" w:rsidRDefault="00BB59CD" w:rsidP="00BB59CD">
      <w:pPr>
        <w:rPr>
          <w:rtl/>
          <w:lang w:eastAsia="he-IL"/>
        </w:rPr>
      </w:pPr>
      <w:bookmarkStart w:id="82674" w:name="_ETM_Q166_281000"/>
      <w:bookmarkEnd w:id="82674"/>
    </w:p>
    <w:p w:rsidR="00BB59CD" w:rsidRDefault="00BB59CD" w:rsidP="00BB59CD">
      <w:pPr>
        <w:rPr>
          <w:rtl/>
          <w:lang w:eastAsia="he-IL"/>
        </w:rPr>
      </w:pPr>
      <w:bookmarkStart w:id="82675" w:name="_ETM_Q166_282000"/>
      <w:bookmarkEnd w:id="82675"/>
      <w:r>
        <w:rPr>
          <w:rFonts w:hint="cs"/>
          <w:rtl/>
          <w:lang w:eastAsia="he-IL"/>
        </w:rPr>
        <w:t xml:space="preserve">נצביע כעת על הסתייגות מס' 15289. </w:t>
      </w:r>
      <w:bookmarkStart w:id="82676" w:name="_ETM_Q166_290000"/>
      <w:bookmarkEnd w:id="82676"/>
      <w:r>
        <w:rPr>
          <w:rFonts w:hint="cs"/>
          <w:rtl/>
          <w:lang w:eastAsia="he-IL"/>
        </w:rPr>
        <w:t>בבקשה, הצבעה.</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56</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15289 לא נתקבלה.</w:t>
      </w:r>
    </w:p>
    <w:p w:rsidR="00BB59CD" w:rsidRDefault="00BB59CD" w:rsidP="00BB59CD">
      <w:pPr>
        <w:rPr>
          <w:rtl/>
          <w:lang w:eastAsia="he-IL"/>
        </w:rPr>
      </w:pPr>
    </w:p>
    <w:p w:rsidR="00BB59CD" w:rsidRDefault="00BB59CD" w:rsidP="00BB59CD">
      <w:pPr>
        <w:pStyle w:val="af8"/>
        <w:keepNext/>
        <w:rPr>
          <w:rtl/>
        </w:rPr>
      </w:pPr>
      <w:bookmarkStart w:id="82677" w:name="ET_interruption_קריאות_12"/>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67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נגד ממשלה של משתמטים. </w:t>
      </w:r>
    </w:p>
    <w:p w:rsidR="00BB59CD" w:rsidRDefault="00BB59CD" w:rsidP="00BB59CD">
      <w:pPr>
        <w:rPr>
          <w:rtl/>
          <w:lang w:eastAsia="he-IL"/>
        </w:rPr>
      </w:pPr>
    </w:p>
    <w:p w:rsidR="00BB59CD" w:rsidRDefault="00BB59CD" w:rsidP="00BB59CD">
      <w:pPr>
        <w:pStyle w:val="af8"/>
        <w:keepNext/>
        <w:rPr>
          <w:rtl/>
        </w:rPr>
      </w:pPr>
      <w:bookmarkStart w:id="82678" w:name="ET_interruption_5809_13"/>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82678"/>
    </w:p>
    <w:p w:rsidR="00BB59CD" w:rsidRDefault="00BB59CD" w:rsidP="00337201">
      <w:pPr>
        <w:rPr>
          <w:rtl/>
          <w:lang w:eastAsia="he-IL"/>
        </w:rPr>
      </w:pPr>
    </w:p>
    <w:p w:rsidR="00BB59CD" w:rsidRDefault="00BB59CD" w:rsidP="00BB59CD">
      <w:pPr>
        <w:rPr>
          <w:rtl/>
          <w:lang w:eastAsia="he-IL"/>
        </w:rPr>
      </w:pPr>
      <w:r>
        <w:rPr>
          <w:rFonts w:hint="cs"/>
          <w:rtl/>
          <w:lang w:eastAsia="he-IL"/>
        </w:rPr>
        <w:t>לכו תצומו בתשעה באב</w:t>
      </w:r>
      <w:bookmarkStart w:id="82679" w:name="_ETM_Q166_301000"/>
      <w:bookmarkEnd w:id="82679"/>
      <w:r>
        <w:rPr>
          <w:rFonts w:hint="cs"/>
          <w:rtl/>
          <w:lang w:eastAsia="he-IL"/>
        </w:rPr>
        <w:t xml:space="preserve"> אחרי שקרעתם פה את העם -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55 בעד, 64 נגד. ההסתייגות</w:t>
      </w:r>
      <w:bookmarkStart w:id="82680" w:name="_ETM_Q166_307000"/>
      <w:bookmarkEnd w:id="82680"/>
      <w:r>
        <w:rPr>
          <w:rFonts w:hint="cs"/>
          <w:rtl/>
          <w:lang w:eastAsia="he-IL"/>
        </w:rPr>
        <w:t xml:space="preserve">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הסתייגות שמספרה - - - </w:t>
      </w:r>
    </w:p>
    <w:p w:rsidR="00BB59CD" w:rsidRDefault="00BB59CD" w:rsidP="00BB59CD">
      <w:pPr>
        <w:rPr>
          <w:rtl/>
          <w:lang w:eastAsia="he-IL"/>
        </w:rPr>
      </w:pPr>
    </w:p>
    <w:p w:rsidR="00BB59CD" w:rsidRDefault="00BB59CD" w:rsidP="00BB59CD">
      <w:pPr>
        <w:pStyle w:val="af8"/>
        <w:keepNext/>
        <w:rPr>
          <w:rtl/>
        </w:rPr>
      </w:pPr>
      <w:bookmarkStart w:id="82681" w:name="ET_interruption_קריאות_15"/>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681"/>
    </w:p>
    <w:p w:rsidR="00BB59CD" w:rsidRDefault="00BB59CD" w:rsidP="00337201">
      <w:pPr>
        <w:rPr>
          <w:rtl/>
          <w:lang w:eastAsia="he-IL"/>
        </w:rPr>
      </w:pPr>
    </w:p>
    <w:p w:rsidR="00BB59CD" w:rsidRDefault="00BB59CD" w:rsidP="00BB59CD">
      <w:pPr>
        <w:rPr>
          <w:rtl/>
          <w:lang w:eastAsia="he-IL"/>
        </w:rPr>
      </w:pPr>
      <w:r>
        <w:rPr>
          <w:rFonts w:hint="cs"/>
          <w:rtl/>
          <w:lang w:eastAsia="he-IL"/>
        </w:rPr>
        <w:t>-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חברי הכנסת, אנחנו בעיצומן של הצבעות.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נצביע על הסתייגות 18174. 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57</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61</w:t>
      </w:r>
    </w:p>
    <w:p w:rsidR="00BB59CD" w:rsidRDefault="00BB59CD" w:rsidP="00BB59CD">
      <w:pPr>
        <w:pStyle w:val="--"/>
        <w:keepNext/>
        <w:rPr>
          <w:rtl/>
          <w:lang w:eastAsia="he-IL"/>
        </w:rPr>
      </w:pPr>
      <w:r>
        <w:rPr>
          <w:rFonts w:hint="cs"/>
          <w:rtl/>
          <w:lang w:eastAsia="he-IL"/>
        </w:rPr>
        <w:t xml:space="preserve">נמנעים – 1 </w:t>
      </w:r>
    </w:p>
    <w:p w:rsidR="00BB59CD" w:rsidRDefault="00BB59CD" w:rsidP="00BB59CD">
      <w:pPr>
        <w:pStyle w:val="af5"/>
        <w:rPr>
          <w:rtl/>
          <w:lang w:eastAsia="he-IL"/>
        </w:rPr>
      </w:pPr>
      <w:r>
        <w:rPr>
          <w:rFonts w:hint="cs"/>
          <w:rtl/>
          <w:lang w:eastAsia="he-IL"/>
        </w:rPr>
        <w:t>הסתייגות 18174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682" w:name="_ETM_Q166_334000"/>
      <w:bookmarkEnd w:id="82682"/>
      <w:r>
        <w:rPr>
          <w:rFonts w:hint="cs"/>
          <w:rtl/>
          <w:lang w:eastAsia="he-IL"/>
        </w:rPr>
        <w:t xml:space="preserve">53 בעד, 61 נגד, </w:t>
      </w:r>
      <w:bookmarkStart w:id="82683" w:name="_ETM_Q166_338000"/>
      <w:bookmarkEnd w:id="82683"/>
      <w:r>
        <w:rPr>
          <w:rFonts w:hint="cs"/>
          <w:rtl/>
          <w:lang w:eastAsia="he-IL"/>
        </w:rPr>
        <w:t xml:space="preserve">נמנע אחד. אני קובע כי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כעת נצביע</w:t>
      </w:r>
      <w:bookmarkStart w:id="82684" w:name="_ETM_Q166_343000"/>
      <w:bookmarkEnd w:id="82684"/>
      <w:r>
        <w:rPr>
          <w:rFonts w:hint="cs"/>
          <w:rtl/>
          <w:lang w:eastAsia="he-IL"/>
        </w:rPr>
        <w:t xml:space="preserve"> על הסתייגות 18183. הצבעה כעת. </w:t>
      </w:r>
    </w:p>
    <w:p w:rsidR="00BB59CD" w:rsidRDefault="00BB59CD" w:rsidP="00BB59CD">
      <w:pPr>
        <w:rPr>
          <w:rtl/>
          <w:lang w:eastAsia="he-IL"/>
        </w:rPr>
      </w:pPr>
      <w:bookmarkStart w:id="82685" w:name="_ETM_Q166_353000"/>
      <w:bookmarkEnd w:id="82685"/>
    </w:p>
    <w:p w:rsidR="00BB59CD" w:rsidRDefault="00BB59CD" w:rsidP="00BB59CD">
      <w:pPr>
        <w:pStyle w:val="af4"/>
        <w:keepNext/>
        <w:rPr>
          <w:rtl/>
          <w:lang w:eastAsia="he-IL"/>
        </w:rPr>
      </w:pPr>
      <w:r>
        <w:rPr>
          <w:rFonts w:hint="cs"/>
          <w:rtl/>
          <w:lang w:eastAsia="he-IL"/>
        </w:rPr>
        <w:t>הצבעה מס' 58</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18183 לא נתקבלה.</w:t>
      </w:r>
    </w:p>
    <w:p w:rsidR="00BB59CD" w:rsidRDefault="00BB59CD" w:rsidP="00BB59CD">
      <w:pPr>
        <w:rPr>
          <w:rtl/>
          <w:lang w:eastAsia="he-IL"/>
        </w:rPr>
      </w:pPr>
      <w:bookmarkStart w:id="82686" w:name="_ETM_Q166_358000"/>
      <w:bookmarkEnd w:id="82686"/>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53</w:t>
      </w:r>
      <w:bookmarkStart w:id="82687" w:name="_ETM_Q166_365000"/>
      <w:bookmarkEnd w:id="82687"/>
      <w:r>
        <w:rPr>
          <w:rFonts w:hint="cs"/>
          <w:rtl/>
          <w:lang w:eastAsia="he-IL"/>
        </w:rPr>
        <w:t xml:space="preserve"> בעד, 63 נגד, שני נוכחים.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w:t>
      </w:r>
      <w:bookmarkStart w:id="82688" w:name="_ETM_Q166_371000"/>
      <w:bookmarkEnd w:id="82688"/>
      <w:r>
        <w:rPr>
          <w:rFonts w:hint="cs"/>
          <w:rtl/>
          <w:lang w:eastAsia="he-IL"/>
        </w:rPr>
        <w:t xml:space="preserve">על הסתייגות 18184.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59</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18184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689" w:name="_ETM_Q166_384000"/>
      <w:bookmarkEnd w:id="82689"/>
      <w:r>
        <w:rPr>
          <w:rFonts w:hint="cs"/>
          <w:rtl/>
          <w:lang w:eastAsia="he-IL"/>
        </w:rPr>
        <w:t xml:space="preserve">53 בעד, 63 נגד. גם הסתייגות זו לא התקבלה. </w:t>
      </w:r>
    </w:p>
    <w:p w:rsidR="00BB59CD" w:rsidRDefault="00BB59CD" w:rsidP="00BB59CD">
      <w:pPr>
        <w:rPr>
          <w:rtl/>
          <w:lang w:eastAsia="he-IL"/>
        </w:rPr>
      </w:pPr>
    </w:p>
    <w:p w:rsidR="00BB59CD" w:rsidRDefault="00BB59CD" w:rsidP="00BB59CD">
      <w:pPr>
        <w:rPr>
          <w:rtl/>
          <w:lang w:eastAsia="he-IL"/>
        </w:rPr>
      </w:pPr>
      <w:bookmarkStart w:id="82690" w:name="_ETM_Q166_396000"/>
      <w:bookmarkEnd w:id="82690"/>
      <w:r>
        <w:rPr>
          <w:rFonts w:hint="cs"/>
          <w:rtl/>
          <w:lang w:eastAsia="he-IL"/>
        </w:rPr>
        <w:t>כעת נצביע על הסתייגות 18194. הצבעה</w:t>
      </w:r>
      <w:bookmarkStart w:id="82691" w:name="_ETM_Q166_402000"/>
      <w:bookmarkEnd w:id="82691"/>
      <w:r>
        <w:rPr>
          <w:rFonts w:hint="cs"/>
          <w:rtl/>
          <w:lang w:eastAsia="he-IL"/>
        </w:rPr>
        <w:t xml:space="preserve"> כעת. </w:t>
      </w:r>
    </w:p>
    <w:p w:rsidR="00BB59CD" w:rsidRDefault="00BB59CD" w:rsidP="00BB59CD">
      <w:pPr>
        <w:rPr>
          <w:rtl/>
          <w:lang w:eastAsia="he-IL"/>
        </w:rPr>
      </w:pPr>
      <w:bookmarkStart w:id="82692" w:name="_ETM_Q166_403000"/>
      <w:bookmarkEnd w:id="82692"/>
    </w:p>
    <w:p w:rsidR="00BB59CD" w:rsidRDefault="00BB59CD" w:rsidP="00BB59CD">
      <w:pPr>
        <w:pStyle w:val="af4"/>
        <w:keepNext/>
        <w:rPr>
          <w:rtl/>
          <w:lang w:eastAsia="he-IL"/>
        </w:rPr>
      </w:pPr>
      <w:r>
        <w:rPr>
          <w:rFonts w:hint="cs"/>
          <w:rtl/>
          <w:lang w:eastAsia="he-IL"/>
        </w:rPr>
        <w:t>הצבעה מס' 60</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54</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18194 לא נתקבלה.</w:t>
      </w:r>
    </w:p>
    <w:p w:rsidR="00BB59CD" w:rsidRDefault="00BB59CD" w:rsidP="00BB59CD">
      <w:pPr>
        <w:rPr>
          <w:rtl/>
          <w:lang w:eastAsia="he-IL"/>
        </w:rPr>
      </w:pPr>
    </w:p>
    <w:p w:rsidR="00BB59CD" w:rsidRDefault="00BB59CD" w:rsidP="00BB59CD">
      <w:pPr>
        <w:pStyle w:val="af8"/>
        <w:keepNext/>
        <w:rPr>
          <w:rtl/>
        </w:rPr>
      </w:pPr>
      <w:bookmarkStart w:id="82693" w:name="ET_interruption_קריאות_2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693"/>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בושה וחרפה. </w:t>
      </w:r>
    </w:p>
    <w:p w:rsidR="00BB59CD" w:rsidRDefault="00BB59CD" w:rsidP="00BB59CD">
      <w:pPr>
        <w:rPr>
          <w:rtl/>
          <w:lang w:eastAsia="he-IL"/>
        </w:rPr>
      </w:pPr>
    </w:p>
    <w:p w:rsidR="00BB59CD" w:rsidRDefault="00BB59CD" w:rsidP="00BB59CD">
      <w:pPr>
        <w:pStyle w:val="af8"/>
        <w:keepNext/>
        <w:rPr>
          <w:rtl/>
        </w:rPr>
      </w:pPr>
      <w:bookmarkStart w:id="82694" w:name="ET_interruption_5809_43"/>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8269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לא יישארו חיילים. בן גביר הולך לפתוח </w:t>
      </w:r>
      <w:bookmarkStart w:id="82695" w:name="_ETM_Q166_407000"/>
      <w:bookmarkEnd w:id="82695"/>
      <w:r>
        <w:rPr>
          <w:rFonts w:hint="cs"/>
          <w:rtl/>
          <w:lang w:eastAsia="he-IL"/>
        </w:rPr>
        <w:t xml:space="preserve">-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54 בעד, 64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הסתייגות 18195.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61</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18195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696" w:name="_ETM_Q166_424000"/>
      <w:bookmarkEnd w:id="82696"/>
      <w:r>
        <w:rPr>
          <w:rFonts w:hint="cs"/>
          <w:rtl/>
          <w:lang w:eastAsia="he-IL"/>
        </w:rPr>
        <w:t>53 בעד, 64</w:t>
      </w:r>
      <w:bookmarkStart w:id="82697" w:name="_ETM_Q166_433000"/>
      <w:bookmarkEnd w:id="82697"/>
      <w:r>
        <w:rPr>
          <w:rFonts w:hint="cs"/>
          <w:rtl/>
          <w:lang w:eastAsia="he-IL"/>
        </w:rPr>
        <w:t xml:space="preserve"> נגד, שלושה נוכחים.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הסתייגות </w:t>
      </w:r>
      <w:bookmarkStart w:id="82698" w:name="_ETM_Q166_441000"/>
      <w:bookmarkEnd w:id="82698"/>
      <w:r>
        <w:rPr>
          <w:rFonts w:hint="cs"/>
          <w:rtl/>
          <w:lang w:eastAsia="he-IL"/>
        </w:rPr>
        <w:t xml:space="preserve">18201. 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62</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18201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55 בעד, 64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נצביע כעת על הסתייגות 18202. הצבעה כעת. </w:t>
      </w:r>
    </w:p>
    <w:p w:rsidR="00BB59CD" w:rsidRDefault="00BB59CD" w:rsidP="00BB59CD">
      <w:pPr>
        <w:rPr>
          <w:rtl/>
          <w:lang w:eastAsia="he-IL"/>
        </w:rPr>
      </w:pPr>
      <w:bookmarkStart w:id="82699" w:name="_ETM_Q166_464000"/>
      <w:bookmarkEnd w:id="82699"/>
    </w:p>
    <w:p w:rsidR="00BB59CD" w:rsidRDefault="00BB59CD" w:rsidP="00BB59CD">
      <w:pPr>
        <w:pStyle w:val="af4"/>
        <w:keepNext/>
        <w:rPr>
          <w:rtl/>
          <w:lang w:eastAsia="he-IL"/>
        </w:rPr>
      </w:pPr>
      <w:r>
        <w:rPr>
          <w:rFonts w:hint="cs"/>
          <w:rtl/>
          <w:lang w:eastAsia="he-IL"/>
        </w:rPr>
        <w:t>הצבעה מס' 63</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18202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700" w:name="_ETM_Q166_475000"/>
      <w:bookmarkEnd w:id="82700"/>
      <w:r>
        <w:rPr>
          <w:rFonts w:hint="cs"/>
          <w:rtl/>
          <w:lang w:eastAsia="he-IL"/>
        </w:rPr>
        <w:t>55 בעד, 63 נגד. ההסתייגות לא התקבלה.</w:t>
      </w:r>
    </w:p>
    <w:p w:rsidR="00BB59CD" w:rsidRDefault="00BB59CD" w:rsidP="00BB59CD">
      <w:pPr>
        <w:rPr>
          <w:rtl/>
          <w:lang w:eastAsia="he-IL"/>
        </w:rPr>
      </w:pPr>
    </w:p>
    <w:p w:rsidR="00BB59CD" w:rsidRDefault="00BB59CD" w:rsidP="00BB59CD">
      <w:pPr>
        <w:rPr>
          <w:rtl/>
          <w:lang w:eastAsia="he-IL"/>
        </w:rPr>
      </w:pPr>
      <w:bookmarkStart w:id="82701" w:name="_ETM_Q166_491000"/>
      <w:bookmarkEnd w:id="82701"/>
      <w:r>
        <w:rPr>
          <w:rFonts w:hint="cs"/>
          <w:rtl/>
          <w:lang w:eastAsia="he-IL"/>
        </w:rPr>
        <w:t xml:space="preserve">כעת הסתייגות מס' 18209. הצבעה. </w:t>
      </w:r>
      <w:bookmarkStart w:id="82702" w:name="_ETM_Q166_499000"/>
      <w:bookmarkEnd w:id="82702"/>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64</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54</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18209 לא נתקבלה.</w:t>
      </w:r>
    </w:p>
    <w:p w:rsidR="00BB59CD" w:rsidRDefault="00BB59CD" w:rsidP="00BB59CD">
      <w:pPr>
        <w:keepNext/>
        <w:rPr>
          <w:rtl/>
        </w:rPr>
      </w:pPr>
      <w:bookmarkStart w:id="82703" w:name="ET_interruption_קריאות_32"/>
    </w:p>
    <w:p w:rsidR="00BB59CD" w:rsidRDefault="00BB59CD" w:rsidP="00BB59CD">
      <w:pPr>
        <w:pStyle w:val="af8"/>
        <w:keepNext/>
        <w:rPr>
          <w:rtl/>
        </w:rPr>
      </w:pPr>
      <w:bookmarkStart w:id="82704" w:name="ET_interruption_5084_38"/>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82704"/>
    </w:p>
    <w:p w:rsidR="00BB59CD" w:rsidRDefault="00BB59CD" w:rsidP="00337201">
      <w:pPr>
        <w:rPr>
          <w:rtl/>
          <w:lang w:eastAsia="he-IL"/>
        </w:rPr>
      </w:pPr>
    </w:p>
    <w:bookmarkEnd w:id="82703"/>
    <w:p w:rsidR="00BB59CD" w:rsidRDefault="00BB59CD" w:rsidP="00BB59CD">
      <w:pPr>
        <w:rPr>
          <w:rtl/>
          <w:lang w:eastAsia="he-IL"/>
        </w:rPr>
      </w:pPr>
      <w:r>
        <w:rPr>
          <w:rFonts w:hint="cs"/>
          <w:rtl/>
          <w:lang w:eastAsia="he-IL"/>
        </w:rPr>
        <w:t>ממשלת החורבן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54 בעד, </w:t>
      </w:r>
      <w:bookmarkStart w:id="82705" w:name="_ETM_Q166_511000"/>
      <w:bookmarkEnd w:id="82705"/>
      <w:r>
        <w:rPr>
          <w:rFonts w:hint="cs"/>
          <w:rtl/>
          <w:lang w:eastAsia="he-IL"/>
        </w:rPr>
        <w:t xml:space="preserve">64 נגד. ההסתייגות לא התקבלה. </w:t>
      </w:r>
    </w:p>
    <w:p w:rsidR="00BB59CD" w:rsidRDefault="00BB59CD" w:rsidP="00BB59CD">
      <w:pPr>
        <w:rPr>
          <w:rtl/>
          <w:lang w:eastAsia="he-IL"/>
        </w:rPr>
      </w:pPr>
      <w:bookmarkStart w:id="82706" w:name="_ETM_Q166_513000"/>
      <w:bookmarkEnd w:id="82706"/>
    </w:p>
    <w:p w:rsidR="00BB59CD" w:rsidRDefault="00BB59CD" w:rsidP="00BB59CD">
      <w:pPr>
        <w:rPr>
          <w:rtl/>
          <w:lang w:eastAsia="he-IL"/>
        </w:rPr>
      </w:pPr>
      <w:bookmarkStart w:id="82707" w:name="_ETM_Q166_514000"/>
      <w:bookmarkEnd w:id="82707"/>
      <w:r>
        <w:rPr>
          <w:rFonts w:hint="cs"/>
          <w:rtl/>
          <w:lang w:eastAsia="he-IL"/>
        </w:rPr>
        <w:t xml:space="preserve">כעת נצביע על הסתייגות שמספרה 18215. 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65</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18215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708" w:name="_ETM_Q166_531000"/>
      <w:bookmarkEnd w:id="82708"/>
      <w:r>
        <w:rPr>
          <w:rFonts w:hint="cs"/>
          <w:rtl/>
          <w:lang w:eastAsia="he-IL"/>
        </w:rPr>
        <w:t>56 בעד</w:t>
      </w:r>
      <w:bookmarkStart w:id="82709" w:name="_ETM_Q166_536000"/>
      <w:bookmarkEnd w:id="82709"/>
      <w:r>
        <w:rPr>
          <w:rFonts w:hint="cs"/>
          <w:rtl/>
          <w:lang w:eastAsia="he-IL"/>
        </w:rPr>
        <w:t>, 64 נגד. ההסתייגות לא התקבלה.</w:t>
      </w:r>
    </w:p>
    <w:p w:rsidR="00BB59CD" w:rsidRDefault="00BB59CD" w:rsidP="00BB59CD">
      <w:pPr>
        <w:rPr>
          <w:rtl/>
          <w:lang w:eastAsia="he-IL"/>
        </w:rPr>
      </w:pPr>
    </w:p>
    <w:p w:rsidR="00BB59CD" w:rsidRDefault="00BB59CD" w:rsidP="00BB59CD">
      <w:pPr>
        <w:rPr>
          <w:rtl/>
          <w:lang w:eastAsia="he-IL"/>
        </w:rPr>
      </w:pPr>
      <w:bookmarkStart w:id="82710" w:name="_ETM_Q166_538000"/>
      <w:bookmarkEnd w:id="82710"/>
      <w:r>
        <w:rPr>
          <w:rFonts w:hint="cs"/>
          <w:rtl/>
          <w:lang w:eastAsia="he-IL"/>
        </w:rPr>
        <w:t xml:space="preserve">כעת נצביע על הסתייגות 18216. 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66</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18216 לא נתקבלה.</w:t>
      </w:r>
    </w:p>
    <w:p w:rsidR="00BB59CD" w:rsidRDefault="00BB59CD" w:rsidP="00BB59CD">
      <w:pPr>
        <w:rPr>
          <w:rtl/>
          <w:lang w:eastAsia="he-IL"/>
        </w:rPr>
      </w:pPr>
    </w:p>
    <w:p w:rsidR="00BB59CD" w:rsidRDefault="00BB59CD" w:rsidP="00BB59CD">
      <w:pPr>
        <w:pStyle w:val="af8"/>
        <w:rPr>
          <w:rtl/>
        </w:rPr>
      </w:pPr>
      <w:bookmarkStart w:id="82711" w:name="_ETM_Q166_557214"/>
      <w:bookmarkStart w:id="82712" w:name="_ETM_Q166_557323"/>
      <w:bookmarkStart w:id="82713" w:name="_ETM_Q166_560712"/>
      <w:bookmarkStart w:id="82714" w:name="ET_interruption_5084_39"/>
      <w:bookmarkEnd w:id="82711"/>
      <w:bookmarkEnd w:id="82712"/>
      <w:bookmarkEnd w:id="82713"/>
      <w:r>
        <w:rPr>
          <w:rStyle w:val="TagStyle"/>
          <w:rFonts w:hint="cs"/>
          <w:rtl/>
        </w:rPr>
        <w:t xml:space="preserve"> &lt;&lt; קריאה &gt;&gt; </w:t>
      </w:r>
      <w:r>
        <w:rPr>
          <w:rFonts w:hint="cs"/>
          <w:rtl/>
        </w:rPr>
        <w:t>מיקי לוי (יש עתיד):</w:t>
      </w:r>
      <w:r>
        <w:rPr>
          <w:rStyle w:val="TagStyle"/>
          <w:rtl/>
        </w:rPr>
        <w:t xml:space="preserve"> &lt;&lt; קריאה &gt;&gt;</w:t>
      </w:r>
      <w:bookmarkEnd w:id="82714"/>
      <w:r>
        <w:rPr>
          <w:rStyle w:val="TagStyle"/>
          <w:rFonts w:hint="cs"/>
          <w:rtl/>
        </w:rPr>
        <w:t xml:space="preserve"> </w:t>
      </w:r>
      <w:r>
        <w:rPr>
          <w:rFonts w:hint="cs"/>
          <w:rtl/>
        </w:rPr>
        <w:t xml:space="preserve">   </w:t>
      </w:r>
    </w:p>
    <w:p w:rsidR="00BB59CD" w:rsidRDefault="00BB59CD" w:rsidP="00337201">
      <w:pPr>
        <w:rPr>
          <w:rtl/>
          <w:lang w:eastAsia="he-IL"/>
        </w:rPr>
      </w:pPr>
      <w:bookmarkStart w:id="82715" w:name="_ETM_Q166_545967"/>
      <w:bookmarkStart w:id="82716" w:name="_ETM_Q166_546067"/>
      <w:bookmarkEnd w:id="82715"/>
      <w:bookmarkEnd w:id="82716"/>
    </w:p>
    <w:p w:rsidR="00BB59CD" w:rsidRDefault="00BB59CD" w:rsidP="00BB59CD">
      <w:pPr>
        <w:rPr>
          <w:rtl/>
          <w:lang w:eastAsia="he-IL"/>
        </w:rPr>
      </w:pPr>
      <w:r>
        <w:rPr>
          <w:rFonts w:hint="cs"/>
          <w:rtl/>
          <w:lang w:eastAsia="he-IL"/>
        </w:rPr>
        <w:t xml:space="preserve">תשעה באב, ממשלת החורבן - - - </w:t>
      </w:r>
    </w:p>
    <w:p w:rsidR="00BB59CD" w:rsidRDefault="00BB59CD" w:rsidP="00BB59CD">
      <w:pPr>
        <w:rPr>
          <w:rtl/>
          <w:lang w:eastAsia="he-IL"/>
        </w:rPr>
      </w:pPr>
      <w:bookmarkStart w:id="82717" w:name="_ETM_Q166_564510"/>
      <w:bookmarkStart w:id="82718" w:name="_ETM_Q166_564583"/>
      <w:bookmarkEnd w:id="82717"/>
      <w:bookmarkEnd w:id="82718"/>
    </w:p>
    <w:p w:rsidR="00BB59CD" w:rsidRDefault="00BB59CD" w:rsidP="00BB59CD">
      <w:pPr>
        <w:pStyle w:val="af8"/>
        <w:rPr>
          <w:rtl/>
        </w:rPr>
      </w:pPr>
      <w:bookmarkStart w:id="82719" w:name="ET_interruption_5809_40"/>
      <w:r>
        <w:rPr>
          <w:rStyle w:val="TagStyle"/>
          <w:rFonts w:hint="cs"/>
          <w:rtl/>
        </w:rPr>
        <w:t xml:space="preserve"> &lt;&lt; קריאה &gt;&gt; </w:t>
      </w:r>
      <w:r>
        <w:rPr>
          <w:rFonts w:hint="cs"/>
          <w:rtl/>
        </w:rPr>
        <w:t>מיכל שיר סגמן (יש עתיד):</w:t>
      </w:r>
      <w:r>
        <w:rPr>
          <w:rStyle w:val="TagStyle"/>
          <w:rtl/>
        </w:rPr>
        <w:t xml:space="preserve"> &lt;&lt; קריאה &gt;&gt;</w:t>
      </w:r>
      <w:bookmarkEnd w:id="82719"/>
      <w:r>
        <w:rPr>
          <w:rStyle w:val="TagStyle"/>
          <w:rFonts w:hint="cs"/>
          <w:rtl/>
        </w:rPr>
        <w:t xml:space="preserve"> </w:t>
      </w:r>
      <w:r>
        <w:rPr>
          <w:rFonts w:hint="cs"/>
          <w:rtl/>
        </w:rPr>
        <w:t xml:space="preserve">  </w:t>
      </w:r>
    </w:p>
    <w:p w:rsidR="00BB59CD" w:rsidRDefault="00BB59CD" w:rsidP="00BB59CD">
      <w:pPr>
        <w:rPr>
          <w:rtl/>
          <w:lang w:eastAsia="he-IL"/>
        </w:rPr>
      </w:pPr>
      <w:bookmarkStart w:id="82720" w:name="_ETM_Q166_564669"/>
      <w:bookmarkStart w:id="82721" w:name="_ETM_Q166_564720"/>
      <w:bookmarkEnd w:id="82720"/>
      <w:bookmarkEnd w:id="82721"/>
    </w:p>
    <w:p w:rsidR="00BB59CD" w:rsidRDefault="00BB59CD" w:rsidP="00BB59CD">
      <w:pPr>
        <w:rPr>
          <w:rtl/>
          <w:lang w:eastAsia="he-IL"/>
        </w:rPr>
      </w:pPr>
      <w:r>
        <w:rPr>
          <w:rFonts w:hint="cs"/>
          <w:rtl/>
          <w:lang w:eastAsia="he-IL"/>
        </w:rPr>
        <w:t xml:space="preserve">- - - לא הספיקו לעשות. תתביישו.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722" w:name="_ETM_Q166_557000"/>
      <w:bookmarkEnd w:id="82722"/>
      <w:r>
        <w:rPr>
          <w:rFonts w:hint="cs"/>
          <w:rtl/>
          <w:lang w:eastAsia="he-IL"/>
        </w:rPr>
        <w:t>56 בעד, 63 נגד. ההסתייגות לא התקבלה.</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הסתייגות שמספרה 18218. 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67</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 xml:space="preserve">נמנעים – אין </w:t>
      </w:r>
    </w:p>
    <w:p w:rsidR="00BB59CD" w:rsidRDefault="00BB59CD" w:rsidP="00BB59CD">
      <w:pPr>
        <w:pStyle w:val="af5"/>
        <w:rPr>
          <w:rtl/>
          <w:lang w:eastAsia="he-IL"/>
        </w:rPr>
      </w:pPr>
      <w:r>
        <w:rPr>
          <w:rFonts w:hint="cs"/>
          <w:rtl/>
          <w:lang w:eastAsia="he-IL"/>
        </w:rPr>
        <w:t>הסתייגות 18218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53 בעד, 63 נגד, שני נוכחים. אני קובע כי ההסתייגות לא התקבלה. </w:t>
      </w:r>
    </w:p>
    <w:p w:rsidR="00BB59CD" w:rsidRDefault="00BB59CD" w:rsidP="00BB59CD">
      <w:pPr>
        <w:rPr>
          <w:rtl/>
          <w:lang w:eastAsia="he-IL"/>
        </w:rPr>
      </w:pPr>
    </w:p>
    <w:p w:rsidR="00BB59CD" w:rsidRDefault="00BB59CD" w:rsidP="00BB59CD">
      <w:pPr>
        <w:rPr>
          <w:rtl/>
          <w:lang w:eastAsia="he-IL"/>
        </w:rPr>
      </w:pPr>
      <w:bookmarkStart w:id="82723" w:name="_ETM_Q166_589000"/>
      <w:bookmarkEnd w:id="82723"/>
      <w:r>
        <w:rPr>
          <w:rFonts w:hint="cs"/>
          <w:rtl/>
          <w:lang w:eastAsia="he-IL"/>
        </w:rPr>
        <w:t xml:space="preserve">כעת נצביע על הסתייגות שמספרה - - - </w:t>
      </w:r>
    </w:p>
    <w:p w:rsidR="00BB59CD" w:rsidRDefault="00BB59CD" w:rsidP="00BB59CD">
      <w:pPr>
        <w:rPr>
          <w:rtl/>
          <w:lang w:eastAsia="he-IL"/>
        </w:rPr>
      </w:pPr>
    </w:p>
    <w:p w:rsidR="00BB59CD" w:rsidRDefault="00BB59CD" w:rsidP="00BB59CD">
      <w:pPr>
        <w:pStyle w:val="af8"/>
        <w:keepNext/>
        <w:rPr>
          <w:rtl/>
        </w:rPr>
      </w:pPr>
      <w:bookmarkStart w:id="82724" w:name="ET_interruption_5300_3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72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אני מבקשת שעל הסתייגות 18220 תהיה הצבעה שמית. </w:t>
      </w:r>
    </w:p>
    <w:p w:rsidR="00BB59CD" w:rsidRDefault="00BB59CD" w:rsidP="00BB59CD">
      <w:pPr>
        <w:rPr>
          <w:rtl/>
          <w:lang w:eastAsia="he-IL"/>
        </w:rPr>
      </w:pPr>
    </w:p>
    <w:p w:rsidR="00BB59CD" w:rsidRDefault="00BB59CD" w:rsidP="00BB59CD">
      <w:pPr>
        <w:pStyle w:val="af9"/>
        <w:keepNext/>
        <w:rPr>
          <w:rtl/>
        </w:rPr>
      </w:pPr>
      <w:bookmarkStart w:id="82725" w:name="ET_yor_6423_4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272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אם כן, הצבעה שמית על הסתייגות 18220. מזכיר הכנסת, אנא קרא בשמות חברי הכנסת. </w:t>
      </w:r>
      <w:bookmarkStart w:id="82726" w:name="_ETM_Q166_605000"/>
      <w:bookmarkEnd w:id="82726"/>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שמית</w:t>
      </w:r>
    </w:p>
    <w:p w:rsidR="00BB59CD" w:rsidRDefault="00BB59CD" w:rsidP="00BB59CD">
      <w:pPr>
        <w:rPr>
          <w:rtl/>
          <w:lang w:eastAsia="he-IL"/>
        </w:rPr>
      </w:pPr>
    </w:p>
    <w:p w:rsidR="00BB59CD" w:rsidRDefault="00BB59CD" w:rsidP="00BB59CD">
      <w:pPr>
        <w:pStyle w:val="af8"/>
        <w:keepNext/>
        <w:rPr>
          <w:rtl/>
        </w:rPr>
      </w:pPr>
      <w:bookmarkStart w:id="82727" w:name="ET_interruption_6327_41"/>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2727"/>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p>
    <w:p w:rsidR="00BB59CD" w:rsidRDefault="00BB59CD" w:rsidP="00BB59CD">
      <w:pPr>
        <w:rPr>
          <w:rtl/>
          <w:lang w:eastAsia="he-IL"/>
        </w:rPr>
      </w:pPr>
      <w:r>
        <w:rPr>
          <w:rFonts w:hint="cs"/>
          <w:rtl/>
          <w:lang w:eastAsia="he-IL"/>
        </w:rPr>
        <w:t>משה אבוטבול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יולי יואל אדלשטיין</w:t>
      </w:r>
      <w:r>
        <w:rPr>
          <w:rFonts w:hint="cs"/>
          <w:rtl/>
          <w:lang w:eastAsia="he-IL"/>
        </w:rPr>
        <w:tab/>
        <w:t>–   נגד</w:t>
      </w:r>
    </w:p>
    <w:p w:rsidR="00BB59CD" w:rsidRDefault="00BB59CD" w:rsidP="00BB59CD">
      <w:pPr>
        <w:rPr>
          <w:rtl/>
          <w:lang w:eastAsia="he-IL"/>
        </w:rPr>
      </w:pPr>
      <w:r>
        <w:rPr>
          <w:rFonts w:hint="cs"/>
          <w:rtl/>
          <w:lang w:eastAsia="he-IL"/>
        </w:rPr>
        <w:t>אמיר אוחנה</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ינון אזולאי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גדי איזנקוט</w:t>
      </w:r>
      <w:r>
        <w:rPr>
          <w:rFonts w:hint="cs"/>
          <w:rtl/>
          <w:lang w:eastAsia="he-IL"/>
        </w:rPr>
        <w:tab/>
      </w:r>
      <w:r>
        <w:rPr>
          <w:rFonts w:hint="cs"/>
          <w:rtl/>
          <w:lang w:eastAsia="he-IL"/>
        </w:rPr>
        <w:tab/>
        <w:t xml:space="preserve">–   אינו </w:t>
      </w:r>
      <w:bookmarkStart w:id="82728" w:name="_ETM_Q166_631000"/>
      <w:bookmarkEnd w:id="82728"/>
      <w:r>
        <w:rPr>
          <w:rFonts w:hint="cs"/>
          <w:rtl/>
          <w:lang w:eastAsia="he-IL"/>
        </w:rPr>
        <w:t>נוכח</w:t>
      </w:r>
    </w:p>
    <w:p w:rsidR="00BB59CD" w:rsidRDefault="00BB59CD" w:rsidP="00BB59CD">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קארין אלהרר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זאב אלקין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משה ארבל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יעקב אשר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אביחי אברהם בוארון</w:t>
      </w:r>
      <w:r>
        <w:rPr>
          <w:rFonts w:hint="cs"/>
          <w:rtl/>
          <w:lang w:eastAsia="he-IL"/>
        </w:rPr>
        <w:tab/>
        <w:t>–   נגד</w:t>
      </w:r>
    </w:p>
    <w:p w:rsidR="00BB59CD" w:rsidRDefault="00BB59CD" w:rsidP="00BB59CD">
      <w:pPr>
        <w:rPr>
          <w:rtl/>
          <w:lang w:eastAsia="he-IL"/>
        </w:rPr>
      </w:pPr>
      <w:r>
        <w:rPr>
          <w:rFonts w:hint="cs"/>
          <w:rtl/>
          <w:lang w:eastAsia="he-IL"/>
        </w:rPr>
        <w:t>אוריאל בוסו</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מיכאל מרדכי ביטון</w:t>
      </w:r>
      <w:r>
        <w:rPr>
          <w:rFonts w:hint="cs"/>
          <w:rtl/>
          <w:lang w:eastAsia="he-IL"/>
        </w:rPr>
        <w:tab/>
        <w:t>–   בעד</w:t>
      </w:r>
    </w:p>
    <w:p w:rsidR="00BB59CD" w:rsidRDefault="00BB59CD" w:rsidP="00BB59C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בועז ביסמוט</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מירב בן ארי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אברהם בצלאל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אורנה ברביבאי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אליהו ברוכי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ניר ברקת</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ששון ששי גואטה</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טלי גוטליב</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יואב גלנט</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בנימין גנץ</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משה גפני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אבי דיכטר</w:t>
      </w:r>
      <w:r>
        <w:rPr>
          <w:rFonts w:hint="cs"/>
          <w:rtl/>
          <w:lang w:eastAsia="he-IL"/>
        </w:rPr>
        <w:tab/>
      </w:r>
      <w:r>
        <w:rPr>
          <w:rFonts w:hint="cs"/>
          <w:rtl/>
          <w:lang w:eastAsia="he-IL"/>
        </w:rPr>
        <w:tab/>
        <w:t xml:space="preserve">-  נגד </w:t>
      </w:r>
    </w:p>
    <w:p w:rsidR="00BB59CD" w:rsidRDefault="00BB59CD" w:rsidP="00BB59CD">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שלום דנינו</w:t>
      </w:r>
      <w:r>
        <w:rPr>
          <w:rFonts w:hint="cs"/>
          <w:rtl/>
          <w:lang w:eastAsia="he-IL"/>
        </w:rPr>
        <w:tab/>
      </w:r>
      <w:r>
        <w:rPr>
          <w:rFonts w:hint="cs"/>
          <w:rtl/>
          <w:lang w:eastAsia="he-IL"/>
        </w:rPr>
        <w:tab/>
        <w:t>–   נגד</w:t>
      </w:r>
    </w:p>
    <w:p w:rsidR="00BB59CD" w:rsidRDefault="00BB59CD" w:rsidP="00BB59CD">
      <w:pPr>
        <w:rPr>
          <w:rtl/>
        </w:rPr>
      </w:pPr>
      <w:r>
        <w:rPr>
          <w:rFonts w:hint="cs"/>
          <w:rtl/>
        </w:rPr>
        <w:t>אריה מכלוף דרעי</w:t>
      </w:r>
      <w:r>
        <w:rPr>
          <w:rFonts w:hint="cs"/>
          <w:rtl/>
        </w:rPr>
        <w:tab/>
        <w:t>–   אינו נוכח</w:t>
      </w:r>
    </w:p>
    <w:p w:rsidR="00BB59CD" w:rsidRDefault="00BB59CD" w:rsidP="00BB59CD">
      <w:pPr>
        <w:rPr>
          <w:rtl/>
        </w:rPr>
      </w:pPr>
      <w:r>
        <w:rPr>
          <w:rFonts w:hint="cs"/>
          <w:rtl/>
        </w:rPr>
        <w:t>עמית הלוי</w:t>
      </w:r>
      <w:r>
        <w:rPr>
          <w:rFonts w:hint="cs"/>
          <w:rtl/>
        </w:rPr>
        <w:tab/>
      </w:r>
      <w:r>
        <w:rPr>
          <w:rFonts w:hint="cs"/>
          <w:rtl/>
        </w:rPr>
        <w:tab/>
        <w:t>–   נגד</w:t>
      </w:r>
    </w:p>
    <w:p w:rsidR="00BB59CD" w:rsidRDefault="00BB59CD" w:rsidP="00BB59CD">
      <w:pPr>
        <w:rPr>
          <w:rtl/>
        </w:rPr>
      </w:pPr>
      <w:r>
        <w:rPr>
          <w:rFonts w:hint="cs"/>
          <w:rtl/>
        </w:rPr>
        <w:t>שרן מרים השכל</w:t>
      </w:r>
      <w:r>
        <w:rPr>
          <w:rFonts w:hint="cs"/>
          <w:rtl/>
        </w:rPr>
        <w:tab/>
      </w:r>
      <w:r>
        <w:rPr>
          <w:rFonts w:hint="cs"/>
          <w:rtl/>
        </w:rPr>
        <w:tab/>
        <w:t>–   אינה נוכחת</w:t>
      </w:r>
    </w:p>
    <w:p w:rsidR="00BB59CD" w:rsidRDefault="00BB59CD" w:rsidP="00BB59CD">
      <w:pPr>
        <w:rPr>
          <w:rtl/>
        </w:rPr>
      </w:pPr>
      <w:r>
        <w:rPr>
          <w:rFonts w:hint="cs"/>
          <w:rtl/>
        </w:rPr>
        <w:t>ניסים ואטורי</w:t>
      </w:r>
      <w:r>
        <w:rPr>
          <w:rFonts w:hint="cs"/>
          <w:rtl/>
        </w:rPr>
        <w:tab/>
      </w:r>
      <w:r>
        <w:rPr>
          <w:rFonts w:hint="cs"/>
          <w:rtl/>
        </w:rPr>
        <w:tab/>
        <w:t>–   נגד</w:t>
      </w:r>
    </w:p>
    <w:p w:rsidR="00BB59CD" w:rsidRDefault="00BB59CD" w:rsidP="00BB59CD">
      <w:pPr>
        <w:rPr>
          <w:rtl/>
        </w:rPr>
      </w:pPr>
      <w:r>
        <w:rPr>
          <w:rFonts w:hint="cs"/>
          <w:rtl/>
        </w:rPr>
        <w:t>מיכל מרים וולדיגר</w:t>
      </w:r>
      <w:r>
        <w:rPr>
          <w:rFonts w:hint="cs"/>
          <w:rtl/>
        </w:rPr>
        <w:tab/>
        <w:t>–   נגד</w:t>
      </w:r>
    </w:p>
    <w:p w:rsidR="00BB59CD" w:rsidRDefault="00BB59CD" w:rsidP="00BB59CD">
      <w:pPr>
        <w:rPr>
          <w:rtl/>
        </w:rPr>
      </w:pPr>
      <w:r>
        <w:rPr>
          <w:rFonts w:hint="cs"/>
          <w:rtl/>
        </w:rPr>
        <w:t>יצחק שמעון וסרלאוף</w:t>
      </w:r>
      <w:r>
        <w:rPr>
          <w:rFonts w:hint="cs"/>
          <w:rtl/>
        </w:rPr>
        <w:tab/>
        <w:t>–   נגד</w:t>
      </w:r>
    </w:p>
    <w:p w:rsidR="00BB59CD" w:rsidRDefault="00BB59CD" w:rsidP="00BB59CD">
      <w:pPr>
        <w:rPr>
          <w:rtl/>
        </w:rPr>
      </w:pPr>
      <w:r>
        <w:rPr>
          <w:rFonts w:hint="cs"/>
          <w:rtl/>
        </w:rPr>
        <w:t>יאסר חוג'יראת</w:t>
      </w:r>
      <w:r>
        <w:rPr>
          <w:rFonts w:hint="cs"/>
          <w:rtl/>
        </w:rPr>
        <w:tab/>
      </w:r>
      <w:r>
        <w:rPr>
          <w:rFonts w:hint="cs"/>
          <w:rtl/>
        </w:rPr>
        <w:tab/>
        <w:t>–   בעד</w:t>
      </w:r>
    </w:p>
    <w:p w:rsidR="00BB59CD" w:rsidRDefault="00BB59CD" w:rsidP="00BB59CD">
      <w:pPr>
        <w:rPr>
          <w:rtl/>
        </w:rPr>
      </w:pPr>
      <w:r>
        <w:rPr>
          <w:rFonts w:hint="cs"/>
          <w:rtl/>
        </w:rPr>
        <w:t>אימאן ח'טיב יאסין</w:t>
      </w:r>
      <w:r>
        <w:rPr>
          <w:rFonts w:hint="cs"/>
          <w:rtl/>
        </w:rPr>
        <w:tab/>
        <w:t xml:space="preserve">–   בעד </w:t>
      </w:r>
    </w:p>
    <w:p w:rsidR="00BB59CD" w:rsidRDefault="00BB59CD" w:rsidP="00BB59CD">
      <w:pPr>
        <w:rPr>
          <w:rtl/>
        </w:rPr>
      </w:pPr>
      <w:r>
        <w:rPr>
          <w:rFonts w:hint="cs"/>
          <w:rtl/>
        </w:rPr>
        <w:t>ווליד טאהא</w:t>
      </w:r>
      <w:r>
        <w:rPr>
          <w:rFonts w:hint="cs"/>
          <w:rtl/>
        </w:rPr>
        <w:tab/>
      </w:r>
      <w:r>
        <w:rPr>
          <w:rFonts w:hint="cs"/>
          <w:rtl/>
        </w:rPr>
        <w:tab/>
        <w:t>–   אינו נוכח</w:t>
      </w:r>
    </w:p>
    <w:p w:rsidR="00BB59CD" w:rsidRDefault="00BB59CD" w:rsidP="00BB59CD">
      <w:pPr>
        <w:rPr>
          <w:rtl/>
        </w:rPr>
      </w:pPr>
      <w:r>
        <w:rPr>
          <w:rFonts w:hint="cs"/>
          <w:rtl/>
        </w:rPr>
        <w:t>בועז טופורובסקי</w:t>
      </w:r>
      <w:r>
        <w:rPr>
          <w:rFonts w:hint="cs"/>
          <w:rtl/>
        </w:rPr>
        <w:tab/>
      </w:r>
      <w:r>
        <w:rPr>
          <w:rFonts w:hint="cs"/>
          <w:rtl/>
        </w:rPr>
        <w:tab/>
        <w:t>–   בעד</w:t>
      </w:r>
    </w:p>
    <w:p w:rsidR="00BB59CD" w:rsidRDefault="00BB59CD" w:rsidP="00BB59CD">
      <w:pPr>
        <w:rPr>
          <w:rtl/>
        </w:rPr>
      </w:pPr>
      <w:r>
        <w:rPr>
          <w:rFonts w:hint="cs"/>
          <w:rtl/>
        </w:rPr>
        <w:t>משה טור פז</w:t>
      </w:r>
      <w:r>
        <w:rPr>
          <w:rFonts w:hint="cs"/>
          <w:rtl/>
        </w:rPr>
        <w:tab/>
      </w:r>
      <w:r>
        <w:rPr>
          <w:rFonts w:hint="cs"/>
          <w:rtl/>
        </w:rPr>
        <w:tab/>
        <w:t>–   אינו נוכח</w:t>
      </w:r>
    </w:p>
    <w:p w:rsidR="00BB59CD" w:rsidRDefault="00BB59CD" w:rsidP="00BB59CD">
      <w:pPr>
        <w:rPr>
          <w:rtl/>
        </w:rPr>
      </w:pPr>
      <w:r>
        <w:rPr>
          <w:rFonts w:hint="cs"/>
          <w:rtl/>
        </w:rPr>
        <w:t>אחמד טיבי</w:t>
      </w:r>
      <w:r>
        <w:rPr>
          <w:rFonts w:hint="cs"/>
          <w:rtl/>
        </w:rPr>
        <w:tab/>
      </w:r>
      <w:r>
        <w:rPr>
          <w:rFonts w:hint="cs"/>
          <w:rtl/>
        </w:rPr>
        <w:tab/>
        <w:t>–   אינו נוכח</w:t>
      </w:r>
    </w:p>
    <w:p w:rsidR="00BB59CD" w:rsidRDefault="00BB59CD" w:rsidP="00BB59CD">
      <w:pPr>
        <w:rPr>
          <w:rtl/>
        </w:rPr>
      </w:pPr>
      <w:r>
        <w:rPr>
          <w:rFonts w:hint="cs"/>
          <w:rtl/>
        </w:rPr>
        <w:t>יוסף טייב</w:t>
      </w:r>
      <w:r>
        <w:rPr>
          <w:rFonts w:hint="cs"/>
          <w:rtl/>
        </w:rPr>
        <w:tab/>
      </w:r>
      <w:r>
        <w:rPr>
          <w:rFonts w:hint="cs"/>
          <w:rtl/>
        </w:rPr>
        <w:tab/>
        <w:t>–   נגד</w:t>
      </w:r>
    </w:p>
    <w:p w:rsidR="00BB59CD" w:rsidRDefault="00BB59CD" w:rsidP="00BB59CD">
      <w:pPr>
        <w:rPr>
          <w:rtl/>
        </w:rPr>
      </w:pPr>
      <w:r>
        <w:rPr>
          <w:rFonts w:hint="cs"/>
          <w:rtl/>
        </w:rPr>
        <w:t>אוהד טל</w:t>
      </w:r>
      <w:r>
        <w:rPr>
          <w:rFonts w:hint="cs"/>
          <w:rtl/>
        </w:rPr>
        <w:tab/>
      </w:r>
      <w:r>
        <w:rPr>
          <w:rFonts w:hint="cs"/>
          <w:rtl/>
        </w:rPr>
        <w:tab/>
      </w:r>
      <w:r>
        <w:rPr>
          <w:rFonts w:hint="cs"/>
          <w:rtl/>
        </w:rPr>
        <w:tab/>
        <w:t>–   נגד</w:t>
      </w:r>
    </w:p>
    <w:p w:rsidR="00BB59CD" w:rsidRDefault="00BB59CD" w:rsidP="00BB59CD">
      <w:pPr>
        <w:rPr>
          <w:rtl/>
        </w:rPr>
      </w:pPr>
      <w:r>
        <w:rPr>
          <w:rFonts w:hint="cs"/>
          <w:rtl/>
        </w:rPr>
        <w:t>יעקב טסלר</w:t>
      </w:r>
      <w:r>
        <w:rPr>
          <w:rFonts w:hint="cs"/>
          <w:rtl/>
        </w:rPr>
        <w:tab/>
      </w:r>
      <w:r>
        <w:rPr>
          <w:rFonts w:hint="cs"/>
          <w:rtl/>
        </w:rPr>
        <w:tab/>
        <w:t>–   נגד</w:t>
      </w:r>
    </w:p>
    <w:p w:rsidR="00BB59CD" w:rsidRDefault="00BB59CD" w:rsidP="00BB59CD">
      <w:pPr>
        <w:rPr>
          <w:rtl/>
        </w:rPr>
      </w:pPr>
      <w:r>
        <w:rPr>
          <w:rFonts w:hint="cs"/>
          <w:rtl/>
        </w:rPr>
        <w:t>חילי טרופר</w:t>
      </w:r>
      <w:r>
        <w:rPr>
          <w:rFonts w:hint="cs"/>
          <w:rtl/>
        </w:rPr>
        <w:tab/>
      </w:r>
      <w:r>
        <w:rPr>
          <w:rFonts w:hint="cs"/>
          <w:rtl/>
        </w:rPr>
        <w:tab/>
        <w:t>–   בעד</w:t>
      </w:r>
    </w:p>
    <w:p w:rsidR="00BB59CD" w:rsidRDefault="00BB59CD" w:rsidP="00BB59CD">
      <w:pPr>
        <w:rPr>
          <w:rtl/>
        </w:rPr>
      </w:pPr>
      <w:r>
        <w:rPr>
          <w:rFonts w:hint="cs"/>
          <w:rtl/>
        </w:rPr>
        <w:t>אלמוג כהן</w:t>
      </w:r>
      <w:r>
        <w:rPr>
          <w:rFonts w:hint="cs"/>
          <w:rtl/>
        </w:rPr>
        <w:tab/>
      </w:r>
      <w:r>
        <w:rPr>
          <w:rFonts w:hint="cs"/>
          <w:rtl/>
        </w:rPr>
        <w:tab/>
        <w:t>–   אינו  נוכח</w:t>
      </w:r>
    </w:p>
    <w:p w:rsidR="00BB59CD" w:rsidRDefault="00BB59CD" w:rsidP="00BB59CD">
      <w:pPr>
        <w:rPr>
          <w:rtl/>
        </w:rPr>
      </w:pPr>
      <w:r>
        <w:rPr>
          <w:rFonts w:hint="cs"/>
          <w:rtl/>
        </w:rPr>
        <w:t>מאיר כהן</w:t>
      </w:r>
      <w:r>
        <w:rPr>
          <w:rFonts w:hint="cs"/>
          <w:rtl/>
        </w:rPr>
        <w:tab/>
      </w:r>
      <w:r>
        <w:rPr>
          <w:rFonts w:hint="cs"/>
          <w:rtl/>
        </w:rPr>
        <w:tab/>
        <w:t>–   אינו נוכח</w:t>
      </w:r>
    </w:p>
    <w:p w:rsidR="00BB59CD" w:rsidRDefault="00BB59CD" w:rsidP="00BB59CD">
      <w:pPr>
        <w:rPr>
          <w:rtl/>
        </w:rPr>
      </w:pPr>
      <w:r>
        <w:rPr>
          <w:rFonts w:hint="cs"/>
          <w:rtl/>
        </w:rPr>
        <w:t>מירב כהן</w:t>
      </w:r>
      <w:r>
        <w:rPr>
          <w:rFonts w:hint="cs"/>
          <w:rtl/>
        </w:rPr>
        <w:tab/>
      </w:r>
      <w:r>
        <w:rPr>
          <w:rFonts w:hint="cs"/>
          <w:rtl/>
        </w:rPr>
        <w:tab/>
        <w:t>–   בעד</w:t>
      </w:r>
    </w:p>
    <w:p w:rsidR="00BB59CD" w:rsidRDefault="00BB59CD" w:rsidP="00BB59CD">
      <w:pPr>
        <w:rPr>
          <w:rtl/>
        </w:rPr>
      </w:pPr>
      <w:r>
        <w:rPr>
          <w:rFonts w:hint="cs"/>
          <w:rtl/>
        </w:rPr>
        <w:t>מתן כהנא</w:t>
      </w:r>
      <w:r>
        <w:rPr>
          <w:rFonts w:hint="cs"/>
          <w:rtl/>
        </w:rPr>
        <w:tab/>
      </w:r>
      <w:r>
        <w:rPr>
          <w:rFonts w:hint="cs"/>
          <w:rtl/>
        </w:rPr>
        <w:tab/>
        <w:t>–   בעד</w:t>
      </w:r>
    </w:p>
    <w:p w:rsidR="00BB59CD" w:rsidRDefault="00BB59CD" w:rsidP="00BB59CD">
      <w:pPr>
        <w:rPr>
          <w:rtl/>
        </w:rPr>
      </w:pPr>
      <w:r>
        <w:rPr>
          <w:rFonts w:hint="cs"/>
          <w:rtl/>
        </w:rPr>
        <w:t>עופר כסיף</w:t>
      </w:r>
      <w:r>
        <w:rPr>
          <w:rFonts w:hint="cs"/>
          <w:rtl/>
        </w:rPr>
        <w:tab/>
      </w:r>
      <w:r>
        <w:rPr>
          <w:rFonts w:hint="cs"/>
          <w:rtl/>
        </w:rPr>
        <w:tab/>
        <w:t>–   אינו נוכח</w:t>
      </w:r>
    </w:p>
    <w:p w:rsidR="00BB59CD" w:rsidRDefault="00BB59CD" w:rsidP="00BB59CD">
      <w:pPr>
        <w:rPr>
          <w:rtl/>
        </w:rPr>
      </w:pPr>
      <w:r>
        <w:rPr>
          <w:rFonts w:hint="cs"/>
          <w:rtl/>
        </w:rPr>
        <w:t>אופיר כץ</w:t>
      </w:r>
      <w:r>
        <w:rPr>
          <w:rFonts w:hint="cs"/>
          <w:rtl/>
        </w:rPr>
        <w:tab/>
      </w:r>
      <w:r>
        <w:rPr>
          <w:rFonts w:hint="cs"/>
          <w:rtl/>
        </w:rPr>
        <w:tab/>
        <w:t>–   נגד</w:t>
      </w:r>
    </w:p>
    <w:p w:rsidR="00BB59CD" w:rsidRDefault="00BB59CD" w:rsidP="00BB59CD">
      <w:pPr>
        <w:rPr>
          <w:rtl/>
        </w:rPr>
      </w:pPr>
      <w:r>
        <w:rPr>
          <w:rFonts w:hint="cs"/>
          <w:rtl/>
        </w:rPr>
        <w:t>ישראל כץ</w:t>
      </w:r>
      <w:r>
        <w:rPr>
          <w:rFonts w:hint="cs"/>
          <w:rtl/>
        </w:rPr>
        <w:tab/>
      </w:r>
      <w:r>
        <w:rPr>
          <w:rFonts w:hint="cs"/>
          <w:rtl/>
        </w:rPr>
        <w:tab/>
        <w:t>–   נגד</w:t>
      </w:r>
    </w:p>
    <w:p w:rsidR="00BB59CD" w:rsidRDefault="00BB59CD" w:rsidP="00BB59CD">
      <w:pPr>
        <w:rPr>
          <w:rtl/>
        </w:rPr>
      </w:pPr>
      <w:r>
        <w:rPr>
          <w:rFonts w:hint="cs"/>
          <w:rtl/>
        </w:rPr>
        <w:t>רון כץ</w:t>
      </w:r>
      <w:r>
        <w:rPr>
          <w:rFonts w:hint="cs"/>
          <w:rtl/>
        </w:rPr>
        <w:tab/>
      </w:r>
      <w:r>
        <w:rPr>
          <w:rFonts w:hint="cs"/>
          <w:rtl/>
        </w:rPr>
        <w:tab/>
      </w:r>
      <w:r>
        <w:rPr>
          <w:rFonts w:hint="cs"/>
          <w:rtl/>
        </w:rPr>
        <w:tab/>
        <w:t>–   אינו נוכח</w:t>
      </w:r>
    </w:p>
    <w:p w:rsidR="00BB59CD" w:rsidRDefault="00BB59CD" w:rsidP="00BB59CD">
      <w:pPr>
        <w:rPr>
          <w:rtl/>
        </w:rPr>
      </w:pPr>
      <w:r>
        <w:rPr>
          <w:rFonts w:hint="cs"/>
          <w:rtl/>
        </w:rPr>
        <w:t>יוראי להב הרצנו</w:t>
      </w:r>
      <w:r>
        <w:rPr>
          <w:rFonts w:hint="cs"/>
          <w:rtl/>
        </w:rPr>
        <w:tab/>
      </w:r>
      <w:r>
        <w:rPr>
          <w:rFonts w:hint="cs"/>
          <w:rtl/>
        </w:rPr>
        <w:tab/>
        <w:t>–   אינו נוכח</w:t>
      </w:r>
    </w:p>
    <w:p w:rsidR="00BB59CD" w:rsidRDefault="00BB59CD" w:rsidP="00BB59CD">
      <w:pPr>
        <w:rPr>
          <w:rtl/>
        </w:rPr>
      </w:pPr>
      <w:r>
        <w:rPr>
          <w:rFonts w:hint="cs"/>
          <w:rtl/>
        </w:rPr>
        <w:t>מיקי לוי</w:t>
      </w:r>
      <w:r>
        <w:rPr>
          <w:rFonts w:hint="cs"/>
          <w:rtl/>
        </w:rPr>
        <w:tab/>
      </w:r>
      <w:r>
        <w:rPr>
          <w:rFonts w:hint="cs"/>
          <w:rtl/>
        </w:rPr>
        <w:tab/>
      </w:r>
      <w:r>
        <w:rPr>
          <w:rFonts w:hint="cs"/>
          <w:rtl/>
        </w:rPr>
        <w:tab/>
        <w:t>–   אינו נוכח</w:t>
      </w:r>
    </w:p>
    <w:p w:rsidR="00BB59CD" w:rsidRDefault="00BB59CD" w:rsidP="00BB59CD">
      <w:pPr>
        <w:rPr>
          <w:rtl/>
        </w:rPr>
      </w:pPr>
      <w:r>
        <w:rPr>
          <w:rFonts w:hint="cs"/>
          <w:rtl/>
        </w:rPr>
        <w:t>יריב לוין</w:t>
      </w:r>
      <w:r>
        <w:rPr>
          <w:rFonts w:hint="cs"/>
          <w:rtl/>
        </w:rPr>
        <w:tab/>
      </w:r>
      <w:r>
        <w:rPr>
          <w:rFonts w:hint="cs"/>
          <w:rtl/>
        </w:rPr>
        <w:tab/>
      </w:r>
      <w:r>
        <w:rPr>
          <w:rFonts w:hint="cs"/>
          <w:rtl/>
        </w:rPr>
        <w:tab/>
        <w:t>–   נגד</w:t>
      </w:r>
    </w:p>
    <w:p w:rsidR="00BB59CD" w:rsidRDefault="00BB59CD" w:rsidP="00BB59CD">
      <w:pPr>
        <w:rPr>
          <w:rtl/>
        </w:rPr>
      </w:pPr>
      <w:r>
        <w:rPr>
          <w:rFonts w:hint="cs"/>
          <w:rtl/>
        </w:rPr>
        <w:t>נעמה לזימי</w:t>
      </w:r>
      <w:r>
        <w:rPr>
          <w:rFonts w:hint="cs"/>
          <w:rtl/>
        </w:rPr>
        <w:tab/>
      </w:r>
      <w:r>
        <w:rPr>
          <w:rFonts w:hint="cs"/>
          <w:rtl/>
        </w:rPr>
        <w:tab/>
        <w:t>–   בעד</w:t>
      </w:r>
    </w:p>
    <w:p w:rsidR="00BB59CD" w:rsidRDefault="00BB59CD" w:rsidP="00BB59CD">
      <w:pPr>
        <w:rPr>
          <w:rtl/>
        </w:rPr>
      </w:pPr>
      <w:r>
        <w:rPr>
          <w:rFonts w:hint="cs"/>
          <w:rtl/>
        </w:rPr>
        <w:t>אביגדור ליברמן</w:t>
      </w:r>
      <w:r>
        <w:rPr>
          <w:rFonts w:hint="cs"/>
          <w:rtl/>
        </w:rPr>
        <w:tab/>
      </w:r>
      <w:r>
        <w:rPr>
          <w:rFonts w:hint="cs"/>
          <w:rtl/>
        </w:rPr>
        <w:tab/>
        <w:t>–   בעד</w:t>
      </w:r>
    </w:p>
    <w:p w:rsidR="00BB59CD" w:rsidRDefault="00BB59CD" w:rsidP="00BB59CD">
      <w:pPr>
        <w:rPr>
          <w:rtl/>
        </w:rPr>
      </w:pPr>
      <w:r>
        <w:rPr>
          <w:rFonts w:hint="cs"/>
          <w:rtl/>
        </w:rPr>
        <w:t>יאיר לפיד</w:t>
      </w:r>
      <w:r>
        <w:rPr>
          <w:rFonts w:hint="cs"/>
          <w:rtl/>
        </w:rPr>
        <w:tab/>
      </w:r>
      <w:r>
        <w:rPr>
          <w:rFonts w:hint="cs"/>
          <w:rtl/>
        </w:rPr>
        <w:tab/>
        <w:t>–   בעד</w:t>
      </w:r>
    </w:p>
    <w:p w:rsidR="00BB59CD" w:rsidRDefault="00BB59CD" w:rsidP="00BB59CD">
      <w:pPr>
        <w:rPr>
          <w:rtl/>
        </w:rPr>
      </w:pPr>
      <w:r>
        <w:rPr>
          <w:rFonts w:hint="cs"/>
          <w:rtl/>
        </w:rPr>
        <w:t>סימון מושיאשוילי</w:t>
      </w:r>
      <w:r>
        <w:rPr>
          <w:rFonts w:hint="cs"/>
          <w:rtl/>
        </w:rPr>
        <w:tab/>
      </w:r>
      <w:r>
        <w:rPr>
          <w:rFonts w:hint="cs"/>
          <w:rtl/>
        </w:rPr>
        <w:tab/>
        <w:t>–   נגד</w:t>
      </w:r>
    </w:p>
    <w:p w:rsidR="00BB59CD" w:rsidRDefault="00BB59CD" w:rsidP="00BB59CD">
      <w:pPr>
        <w:rPr>
          <w:rtl/>
        </w:rPr>
      </w:pPr>
      <w:r>
        <w:rPr>
          <w:rFonts w:hint="cs"/>
          <w:rtl/>
        </w:rPr>
        <w:t>טטיאנה מזרסקי</w:t>
      </w:r>
      <w:r>
        <w:rPr>
          <w:rFonts w:hint="cs"/>
          <w:rtl/>
        </w:rPr>
        <w:tab/>
      </w:r>
      <w:r>
        <w:rPr>
          <w:rFonts w:hint="cs"/>
          <w:rtl/>
        </w:rPr>
        <w:tab/>
        <w:t>–   אינה נוכחת</w:t>
      </w:r>
    </w:p>
    <w:p w:rsidR="00BB59CD" w:rsidRDefault="00BB59CD" w:rsidP="00BB59CD">
      <w:pPr>
        <w:rPr>
          <w:rtl/>
        </w:rPr>
      </w:pPr>
      <w:r>
        <w:rPr>
          <w:rFonts w:hint="cs"/>
          <w:rtl/>
        </w:rPr>
        <w:t>מרב מיכאלי</w:t>
      </w:r>
      <w:r>
        <w:rPr>
          <w:rFonts w:hint="cs"/>
          <w:rtl/>
        </w:rPr>
        <w:tab/>
      </w:r>
      <w:r>
        <w:rPr>
          <w:rFonts w:hint="cs"/>
          <w:rtl/>
        </w:rPr>
        <w:tab/>
        <w:t>–   בעד</w:t>
      </w:r>
    </w:p>
    <w:p w:rsidR="00BB59CD" w:rsidRDefault="00BB59CD" w:rsidP="00BB59CD">
      <w:pPr>
        <w:rPr>
          <w:rtl/>
        </w:rPr>
      </w:pPr>
      <w:r>
        <w:rPr>
          <w:rFonts w:hint="cs"/>
          <w:rtl/>
        </w:rPr>
        <w:t>שלי טל מירון</w:t>
      </w:r>
      <w:r>
        <w:rPr>
          <w:rFonts w:hint="cs"/>
          <w:rtl/>
        </w:rPr>
        <w:tab/>
      </w:r>
      <w:r>
        <w:rPr>
          <w:rFonts w:hint="cs"/>
          <w:rtl/>
        </w:rPr>
        <w:tab/>
        <w:t>–   אינה נוכחת</w:t>
      </w:r>
    </w:p>
    <w:p w:rsidR="00BB59CD" w:rsidRDefault="00BB59CD" w:rsidP="00BB59CD">
      <w:pPr>
        <w:rPr>
          <w:rtl/>
        </w:rPr>
      </w:pPr>
      <w:r>
        <w:rPr>
          <w:rFonts w:hint="cs"/>
          <w:rtl/>
        </w:rPr>
        <w:t>יונתן מישרקי</w:t>
      </w:r>
      <w:r>
        <w:rPr>
          <w:rFonts w:hint="cs"/>
          <w:rtl/>
        </w:rPr>
        <w:tab/>
      </w:r>
      <w:r>
        <w:rPr>
          <w:rFonts w:hint="cs"/>
          <w:rtl/>
        </w:rPr>
        <w:tab/>
        <w:t>–   נגד</w:t>
      </w:r>
    </w:p>
    <w:p w:rsidR="00BB59CD" w:rsidRDefault="00BB59CD" w:rsidP="00BB59CD">
      <w:pPr>
        <w:rPr>
          <w:rtl/>
        </w:rPr>
      </w:pPr>
      <w:r>
        <w:rPr>
          <w:rFonts w:hint="cs"/>
          <w:rtl/>
        </w:rPr>
        <w:t>חנוך דב מלביצקי</w:t>
      </w:r>
      <w:r>
        <w:rPr>
          <w:rFonts w:hint="cs"/>
          <w:rtl/>
        </w:rPr>
        <w:tab/>
      </w:r>
      <w:r>
        <w:rPr>
          <w:rFonts w:hint="cs"/>
          <w:rtl/>
        </w:rPr>
        <w:tab/>
        <w:t>–   נגד</w:t>
      </w:r>
    </w:p>
    <w:p w:rsidR="00BB59CD" w:rsidRDefault="00BB59CD" w:rsidP="00BB59CD">
      <w:pPr>
        <w:rPr>
          <w:rtl/>
        </w:rPr>
      </w:pPr>
      <w:r>
        <w:rPr>
          <w:rFonts w:hint="cs"/>
          <w:rtl/>
        </w:rPr>
        <w:t>ארז מלול</w:t>
      </w:r>
      <w:r>
        <w:rPr>
          <w:rFonts w:hint="cs"/>
          <w:rtl/>
        </w:rPr>
        <w:tab/>
      </w:r>
      <w:r>
        <w:rPr>
          <w:rFonts w:hint="cs"/>
          <w:rtl/>
        </w:rPr>
        <w:tab/>
        <w:t>–   אינו נוכח</w:t>
      </w:r>
    </w:p>
    <w:p w:rsidR="00BB59CD" w:rsidRDefault="00BB59CD" w:rsidP="00BB59CD">
      <w:pPr>
        <w:rPr>
          <w:rtl/>
        </w:rPr>
      </w:pPr>
      <w:r>
        <w:rPr>
          <w:rFonts w:hint="cs"/>
          <w:rtl/>
        </w:rPr>
        <w:t>יוליה מלינובסקי</w:t>
      </w:r>
      <w:r>
        <w:rPr>
          <w:rFonts w:hint="cs"/>
          <w:rtl/>
        </w:rPr>
        <w:tab/>
      </w:r>
      <w:r>
        <w:rPr>
          <w:rFonts w:hint="cs"/>
          <w:rtl/>
        </w:rPr>
        <w:tab/>
        <w:t>–   אינה נוכחת</w:t>
      </w:r>
    </w:p>
    <w:p w:rsidR="00BB59CD" w:rsidRDefault="00BB59CD" w:rsidP="00BB59CD">
      <w:pPr>
        <w:rPr>
          <w:rtl/>
        </w:rPr>
      </w:pPr>
      <w:r>
        <w:rPr>
          <w:rFonts w:hint="cs"/>
          <w:rtl/>
        </w:rPr>
        <w:t>מיכאל מלכיאלי</w:t>
      </w:r>
      <w:r>
        <w:rPr>
          <w:rFonts w:hint="cs"/>
          <w:rtl/>
        </w:rPr>
        <w:tab/>
      </w:r>
      <w:r>
        <w:rPr>
          <w:rFonts w:hint="cs"/>
          <w:rtl/>
        </w:rPr>
        <w:tab/>
        <w:t>–   נגד</w:t>
      </w:r>
    </w:p>
    <w:p w:rsidR="00BB59CD" w:rsidRDefault="00BB59CD" w:rsidP="00BB59CD">
      <w:pPr>
        <w:rPr>
          <w:rtl/>
        </w:rPr>
      </w:pPr>
      <w:r>
        <w:rPr>
          <w:rFonts w:hint="cs"/>
          <w:rtl/>
        </w:rPr>
        <w:t>צגה מלקו</w:t>
      </w:r>
      <w:r>
        <w:rPr>
          <w:rFonts w:hint="cs"/>
          <w:rtl/>
        </w:rPr>
        <w:tab/>
      </w:r>
      <w:r>
        <w:rPr>
          <w:rFonts w:hint="cs"/>
          <w:rtl/>
        </w:rPr>
        <w:tab/>
        <w:t>–   נגד</w:t>
      </w:r>
    </w:p>
    <w:p w:rsidR="00BB59CD" w:rsidRDefault="00BB59CD" w:rsidP="00BB59CD">
      <w:pPr>
        <w:rPr>
          <w:rtl/>
        </w:rPr>
      </w:pPr>
      <w:r>
        <w:rPr>
          <w:rFonts w:hint="cs"/>
          <w:rtl/>
        </w:rPr>
        <w:t>אבי מעוז</w:t>
      </w:r>
      <w:r>
        <w:rPr>
          <w:rFonts w:hint="cs"/>
          <w:rtl/>
        </w:rPr>
        <w:tab/>
      </w:r>
      <w:r>
        <w:rPr>
          <w:rFonts w:hint="cs"/>
          <w:rtl/>
        </w:rPr>
        <w:tab/>
        <w:t>–   נגד</w:t>
      </w:r>
    </w:p>
    <w:p w:rsidR="00BB59CD" w:rsidRDefault="00BB59CD" w:rsidP="00BB59CD">
      <w:pPr>
        <w:rPr>
          <w:rtl/>
        </w:rPr>
      </w:pPr>
      <w:r>
        <w:rPr>
          <w:rFonts w:hint="cs"/>
          <w:rtl/>
        </w:rPr>
        <w:t>שרון ניר</w:t>
      </w:r>
      <w:r>
        <w:rPr>
          <w:rFonts w:hint="cs"/>
          <w:rtl/>
        </w:rPr>
        <w:tab/>
      </w:r>
      <w:r>
        <w:rPr>
          <w:rFonts w:hint="cs"/>
          <w:rtl/>
        </w:rPr>
        <w:tab/>
      </w:r>
      <w:r>
        <w:rPr>
          <w:rFonts w:hint="cs"/>
          <w:rtl/>
        </w:rPr>
        <w:tab/>
        <w:t>–   בעד</w:t>
      </w:r>
    </w:p>
    <w:p w:rsidR="00BB59CD" w:rsidRDefault="00BB59CD" w:rsidP="00BB59CD">
      <w:pPr>
        <w:rPr>
          <w:rtl/>
        </w:rPr>
      </w:pPr>
      <w:r>
        <w:rPr>
          <w:rFonts w:hint="cs"/>
          <w:rtl/>
        </w:rPr>
        <w:t>בנימין נתניהו</w:t>
      </w:r>
      <w:r>
        <w:rPr>
          <w:rFonts w:hint="cs"/>
          <w:rtl/>
        </w:rPr>
        <w:tab/>
      </w:r>
      <w:r>
        <w:rPr>
          <w:rFonts w:hint="cs"/>
          <w:rtl/>
        </w:rPr>
        <w:tab/>
        <w:t>–   נגד</w:t>
      </w:r>
    </w:p>
    <w:p w:rsidR="00BB59CD" w:rsidRDefault="00BB59CD" w:rsidP="00BB59CD">
      <w:pPr>
        <w:rPr>
          <w:rtl/>
        </w:rPr>
      </w:pPr>
      <w:r>
        <w:rPr>
          <w:rFonts w:hint="cs"/>
          <w:rtl/>
        </w:rPr>
        <w:t>יואב סגלוביץ'</w:t>
      </w:r>
      <w:r>
        <w:rPr>
          <w:rFonts w:hint="cs"/>
          <w:rtl/>
        </w:rPr>
        <w:tab/>
      </w:r>
      <w:r>
        <w:rPr>
          <w:rFonts w:hint="cs"/>
          <w:rtl/>
        </w:rPr>
        <w:tab/>
        <w:t>–   אינו נוכח</w:t>
      </w:r>
    </w:p>
    <w:p w:rsidR="00BB59CD" w:rsidRDefault="00BB59CD" w:rsidP="00BB59CD">
      <w:pPr>
        <w:rPr>
          <w:rtl/>
        </w:rPr>
      </w:pPr>
      <w:r>
        <w:rPr>
          <w:rFonts w:hint="cs"/>
          <w:rtl/>
        </w:rPr>
        <w:t>יבגני סובה</w:t>
      </w:r>
      <w:r>
        <w:rPr>
          <w:rFonts w:hint="cs"/>
          <w:rtl/>
        </w:rPr>
        <w:tab/>
      </w:r>
      <w:r>
        <w:rPr>
          <w:rFonts w:hint="cs"/>
          <w:rtl/>
        </w:rPr>
        <w:tab/>
        <w:t>–   בעד</w:t>
      </w:r>
    </w:p>
    <w:p w:rsidR="00BB59CD" w:rsidRDefault="00BB59CD" w:rsidP="00BB59CD">
      <w:pPr>
        <w:rPr>
          <w:rtl/>
        </w:rPr>
      </w:pPr>
      <w:r>
        <w:rPr>
          <w:rFonts w:hint="cs"/>
          <w:rtl/>
        </w:rPr>
        <w:t>צבי ידידיה סוכות</w:t>
      </w:r>
      <w:r>
        <w:rPr>
          <w:rFonts w:hint="cs"/>
          <w:rtl/>
        </w:rPr>
        <w:tab/>
      </w:r>
      <w:r>
        <w:rPr>
          <w:rFonts w:hint="cs"/>
          <w:rtl/>
        </w:rPr>
        <w:tab/>
        <w:t>–   נגד</w:t>
      </w:r>
    </w:p>
    <w:p w:rsidR="00BB59CD" w:rsidRDefault="00BB59CD" w:rsidP="00BB59CD">
      <w:pPr>
        <w:rPr>
          <w:rtl/>
        </w:rPr>
      </w:pPr>
      <w:r>
        <w:rPr>
          <w:rFonts w:hint="cs"/>
          <w:rtl/>
        </w:rPr>
        <w:t>משה סולומון</w:t>
      </w:r>
      <w:r>
        <w:rPr>
          <w:rFonts w:hint="cs"/>
          <w:rtl/>
        </w:rPr>
        <w:tab/>
      </w:r>
      <w:r>
        <w:rPr>
          <w:rFonts w:hint="cs"/>
          <w:rtl/>
        </w:rPr>
        <w:tab/>
        <w:t>–   אינו נוכח</w:t>
      </w:r>
    </w:p>
    <w:p w:rsidR="00BB59CD" w:rsidRDefault="00BB59CD" w:rsidP="00BB59CD">
      <w:pPr>
        <w:rPr>
          <w:rtl/>
        </w:rPr>
      </w:pPr>
      <w:r>
        <w:rPr>
          <w:rFonts w:hint="cs"/>
          <w:rtl/>
        </w:rPr>
        <w:t>לימור סון הר מלך</w:t>
      </w:r>
      <w:r>
        <w:rPr>
          <w:rFonts w:hint="cs"/>
          <w:rtl/>
        </w:rPr>
        <w:tab/>
        <w:t>–   נגד</w:t>
      </w:r>
    </w:p>
    <w:p w:rsidR="00BB59CD" w:rsidRDefault="00BB59CD" w:rsidP="00BB59CD">
      <w:pPr>
        <w:rPr>
          <w:rtl/>
        </w:rPr>
      </w:pPr>
      <w:r>
        <w:rPr>
          <w:rFonts w:hint="cs"/>
          <w:rtl/>
        </w:rPr>
        <w:t>אופיר סופר</w:t>
      </w:r>
      <w:r>
        <w:rPr>
          <w:rFonts w:hint="cs"/>
          <w:rtl/>
        </w:rPr>
        <w:tab/>
      </w:r>
      <w:r>
        <w:rPr>
          <w:rFonts w:hint="cs"/>
          <w:rtl/>
        </w:rPr>
        <w:tab/>
        <w:t>–   נגד</w:t>
      </w:r>
    </w:p>
    <w:p w:rsidR="00BB59CD" w:rsidRDefault="00BB59CD" w:rsidP="00BB59CD">
      <w:pPr>
        <w:rPr>
          <w:rtl/>
        </w:rPr>
      </w:pPr>
      <w:r>
        <w:rPr>
          <w:rFonts w:hint="cs"/>
          <w:rtl/>
        </w:rPr>
        <w:t>אורית מלכה סטרוק</w:t>
      </w:r>
      <w:r>
        <w:rPr>
          <w:rFonts w:hint="cs"/>
          <w:rtl/>
        </w:rPr>
        <w:tab/>
        <w:t>–   נגד</w:t>
      </w:r>
    </w:p>
    <w:p w:rsidR="00BB59CD" w:rsidRDefault="00BB59CD" w:rsidP="00BB59CD">
      <w:pPr>
        <w:rPr>
          <w:rtl/>
        </w:rPr>
      </w:pPr>
      <w:r>
        <w:rPr>
          <w:rFonts w:hint="cs"/>
          <w:rtl/>
        </w:rPr>
        <w:t>משה סעדה</w:t>
      </w:r>
      <w:r>
        <w:rPr>
          <w:rFonts w:hint="cs"/>
          <w:rtl/>
        </w:rPr>
        <w:tab/>
      </w:r>
      <w:r>
        <w:rPr>
          <w:rFonts w:hint="cs"/>
          <w:rtl/>
        </w:rPr>
        <w:tab/>
        <w:t>–   נגד</w:t>
      </w:r>
    </w:p>
    <w:p w:rsidR="00BB59CD" w:rsidRDefault="00BB59CD" w:rsidP="00BB59CD">
      <w:pPr>
        <w:rPr>
          <w:rtl/>
        </w:rPr>
      </w:pPr>
      <w:r>
        <w:rPr>
          <w:rFonts w:hint="cs"/>
          <w:rtl/>
        </w:rPr>
        <w:t>גדעון סער</w:t>
      </w:r>
      <w:r>
        <w:rPr>
          <w:rFonts w:hint="cs"/>
          <w:rtl/>
        </w:rPr>
        <w:tab/>
      </w:r>
      <w:r>
        <w:rPr>
          <w:rFonts w:hint="cs"/>
          <w:rtl/>
        </w:rPr>
        <w:tab/>
        <w:t>–   בעד</w:t>
      </w:r>
    </w:p>
    <w:p w:rsidR="00BB59CD" w:rsidRDefault="00BB59CD" w:rsidP="00BB59CD">
      <w:pPr>
        <w:rPr>
          <w:rtl/>
        </w:rPr>
      </w:pPr>
      <w:r>
        <w:rPr>
          <w:rFonts w:hint="cs"/>
          <w:rtl/>
        </w:rPr>
        <w:t>מנסור עבאס</w:t>
      </w:r>
      <w:r>
        <w:rPr>
          <w:rFonts w:hint="cs"/>
          <w:rtl/>
        </w:rPr>
        <w:tab/>
      </w:r>
      <w:r>
        <w:rPr>
          <w:rFonts w:hint="cs"/>
          <w:rtl/>
        </w:rPr>
        <w:tab/>
        <w:t>–   בעד</w:t>
      </w:r>
    </w:p>
    <w:p w:rsidR="00BB59CD" w:rsidRDefault="00BB59CD" w:rsidP="00BB59CD">
      <w:pPr>
        <w:rPr>
          <w:rtl/>
        </w:rPr>
      </w:pPr>
      <w:r>
        <w:rPr>
          <w:rFonts w:hint="cs"/>
          <w:rtl/>
        </w:rPr>
        <w:t>איימן עודה</w:t>
      </w:r>
      <w:r>
        <w:rPr>
          <w:rFonts w:hint="cs"/>
          <w:rtl/>
        </w:rPr>
        <w:tab/>
      </w:r>
      <w:r>
        <w:rPr>
          <w:rFonts w:hint="cs"/>
          <w:rtl/>
        </w:rPr>
        <w:tab/>
        <w:t>–   בעד</w:t>
      </w:r>
    </w:p>
    <w:p w:rsidR="00BB59CD" w:rsidRDefault="00BB59CD" w:rsidP="00BB59CD">
      <w:pPr>
        <w:rPr>
          <w:rtl/>
        </w:rPr>
      </w:pPr>
      <w:r>
        <w:rPr>
          <w:rFonts w:hint="cs"/>
          <w:rtl/>
        </w:rPr>
        <w:t>יוסף עטאונה</w:t>
      </w:r>
      <w:r>
        <w:rPr>
          <w:rFonts w:hint="cs"/>
          <w:rtl/>
        </w:rPr>
        <w:tab/>
      </w:r>
      <w:r>
        <w:rPr>
          <w:rFonts w:hint="cs"/>
          <w:rtl/>
        </w:rPr>
        <w:tab/>
        <w:t>–   בעד</w:t>
      </w:r>
    </w:p>
    <w:p w:rsidR="00BB59CD" w:rsidRDefault="00BB59CD" w:rsidP="00BB59CD">
      <w:pPr>
        <w:rPr>
          <w:rtl/>
        </w:rPr>
      </w:pPr>
      <w:r>
        <w:rPr>
          <w:rFonts w:hint="cs"/>
          <w:rtl/>
        </w:rPr>
        <w:t>חוה אתי עטייה</w:t>
      </w:r>
      <w:r>
        <w:rPr>
          <w:rFonts w:hint="cs"/>
          <w:rtl/>
        </w:rPr>
        <w:tab/>
      </w:r>
      <w:r>
        <w:rPr>
          <w:rFonts w:hint="cs"/>
          <w:rtl/>
        </w:rPr>
        <w:tab/>
        <w:t>–   נגד</w:t>
      </w:r>
    </w:p>
    <w:p w:rsidR="00BB59CD" w:rsidRDefault="00BB59CD" w:rsidP="00BB59CD">
      <w:pPr>
        <w:rPr>
          <w:rtl/>
        </w:rPr>
      </w:pPr>
      <w:r>
        <w:rPr>
          <w:rFonts w:hint="cs"/>
          <w:rtl/>
        </w:rPr>
        <w:t>חמד עמאר</w:t>
      </w:r>
      <w:r>
        <w:rPr>
          <w:rFonts w:hint="cs"/>
          <w:rtl/>
        </w:rPr>
        <w:tab/>
      </w:r>
      <w:r>
        <w:rPr>
          <w:rFonts w:hint="cs"/>
          <w:rtl/>
        </w:rPr>
        <w:tab/>
        <w:t>–   בעד</w:t>
      </w:r>
    </w:p>
    <w:p w:rsidR="00BB59CD" w:rsidRDefault="00BB59CD" w:rsidP="00BB59CD">
      <w:pPr>
        <w:rPr>
          <w:rtl/>
        </w:rPr>
      </w:pPr>
      <w:r>
        <w:rPr>
          <w:rFonts w:hint="cs"/>
          <w:rtl/>
        </w:rPr>
        <w:t>צביקה פוגל</w:t>
      </w:r>
      <w:r>
        <w:rPr>
          <w:rFonts w:hint="cs"/>
          <w:rtl/>
        </w:rPr>
        <w:tab/>
      </w:r>
      <w:r>
        <w:rPr>
          <w:rFonts w:hint="cs"/>
          <w:rtl/>
        </w:rPr>
        <w:tab/>
        <w:t>–   נגד</w:t>
      </w:r>
    </w:p>
    <w:p w:rsidR="00BB59CD" w:rsidRDefault="00BB59CD" w:rsidP="00BB59CD">
      <w:pPr>
        <w:rPr>
          <w:rtl/>
        </w:rPr>
      </w:pPr>
      <w:r>
        <w:rPr>
          <w:rFonts w:hint="cs"/>
          <w:rtl/>
        </w:rPr>
        <w:t>עודד פורר</w:t>
      </w:r>
      <w:r>
        <w:rPr>
          <w:rFonts w:hint="cs"/>
          <w:rtl/>
        </w:rPr>
        <w:tab/>
      </w:r>
      <w:r>
        <w:rPr>
          <w:rFonts w:hint="cs"/>
          <w:rtl/>
        </w:rPr>
        <w:tab/>
        <w:t>–   אינו נוכח</w:t>
      </w:r>
    </w:p>
    <w:p w:rsidR="00BB59CD" w:rsidRDefault="00BB59CD" w:rsidP="00BB59CD">
      <w:pPr>
        <w:rPr>
          <w:rtl/>
        </w:rPr>
      </w:pPr>
      <w:r>
        <w:rPr>
          <w:rFonts w:hint="cs"/>
          <w:rtl/>
        </w:rPr>
        <w:t>יצחק פינדרוס</w:t>
      </w:r>
      <w:r>
        <w:rPr>
          <w:rFonts w:hint="cs"/>
          <w:rtl/>
        </w:rPr>
        <w:tab/>
      </w:r>
      <w:r>
        <w:rPr>
          <w:rFonts w:hint="cs"/>
          <w:rtl/>
        </w:rPr>
        <w:tab/>
        <w:t>–   נגד</w:t>
      </w:r>
    </w:p>
    <w:p w:rsidR="00BB59CD" w:rsidRDefault="00BB59CD" w:rsidP="00BB59CD">
      <w:pPr>
        <w:rPr>
          <w:rtl/>
        </w:rPr>
      </w:pPr>
      <w:r>
        <w:rPr>
          <w:rFonts w:hint="cs"/>
          <w:rtl/>
        </w:rPr>
        <w:t>משה פסל</w:t>
      </w:r>
      <w:r>
        <w:rPr>
          <w:rFonts w:hint="cs"/>
          <w:rtl/>
        </w:rPr>
        <w:tab/>
      </w:r>
      <w:r>
        <w:rPr>
          <w:rFonts w:hint="cs"/>
          <w:rtl/>
        </w:rPr>
        <w:tab/>
        <w:t>–   נגד</w:t>
      </w:r>
    </w:p>
    <w:p w:rsidR="00BB59CD" w:rsidRDefault="00BB59CD" w:rsidP="00BB59CD">
      <w:pPr>
        <w:rPr>
          <w:rtl/>
        </w:rPr>
      </w:pPr>
      <w:r>
        <w:rPr>
          <w:rFonts w:hint="cs"/>
          <w:rtl/>
        </w:rPr>
        <w:t>יסמין פרידמן</w:t>
      </w:r>
      <w:r>
        <w:rPr>
          <w:rFonts w:hint="cs"/>
          <w:rtl/>
        </w:rPr>
        <w:tab/>
      </w:r>
      <w:r>
        <w:rPr>
          <w:rFonts w:hint="cs"/>
          <w:rtl/>
        </w:rPr>
        <w:tab/>
        <w:t>–   אינה נוכחת</w:t>
      </w:r>
    </w:p>
    <w:p w:rsidR="00BB59CD" w:rsidRDefault="00BB59CD" w:rsidP="00BB59CD">
      <w:pPr>
        <w:rPr>
          <w:rtl/>
        </w:rPr>
      </w:pPr>
      <w:r>
        <w:rPr>
          <w:rFonts w:hint="cs"/>
          <w:rtl/>
        </w:rPr>
        <w:t>אורית פרקש הכהן</w:t>
      </w:r>
      <w:r>
        <w:rPr>
          <w:rFonts w:hint="cs"/>
          <w:rtl/>
        </w:rPr>
        <w:tab/>
        <w:t>–   בעד</w:t>
      </w:r>
    </w:p>
    <w:p w:rsidR="00BB59CD" w:rsidRDefault="00BB59CD" w:rsidP="00BB59CD">
      <w:pPr>
        <w:rPr>
          <w:rtl/>
        </w:rPr>
      </w:pPr>
      <w:r>
        <w:rPr>
          <w:rFonts w:hint="cs"/>
          <w:rtl/>
        </w:rPr>
        <w:t>מטי צרפתי הרכבי</w:t>
      </w:r>
      <w:r>
        <w:rPr>
          <w:rFonts w:hint="cs"/>
          <w:rtl/>
        </w:rPr>
        <w:tab/>
        <w:t>–   בעד</w:t>
      </w:r>
    </w:p>
    <w:p w:rsidR="00BB59CD" w:rsidRDefault="00BB59CD" w:rsidP="00BB59CD">
      <w:pPr>
        <w:rPr>
          <w:rtl/>
        </w:rPr>
      </w:pPr>
      <w:r>
        <w:rPr>
          <w:rFonts w:hint="cs"/>
          <w:rtl/>
        </w:rPr>
        <w:t>אריאל קלנר</w:t>
      </w:r>
      <w:r>
        <w:rPr>
          <w:rFonts w:hint="cs"/>
          <w:rtl/>
        </w:rPr>
        <w:tab/>
      </w:r>
      <w:r>
        <w:rPr>
          <w:rFonts w:hint="cs"/>
          <w:rtl/>
        </w:rPr>
        <w:tab/>
        <w:t>–   נגד</w:t>
      </w:r>
    </w:p>
    <w:p w:rsidR="00BB59CD" w:rsidRDefault="00BB59CD" w:rsidP="00BB59CD">
      <w:pPr>
        <w:rPr>
          <w:rtl/>
        </w:rPr>
      </w:pPr>
      <w:r>
        <w:rPr>
          <w:rFonts w:hint="cs"/>
          <w:rtl/>
        </w:rPr>
        <w:t>יצחק קרויזר</w:t>
      </w:r>
      <w:r>
        <w:rPr>
          <w:rFonts w:hint="cs"/>
          <w:rtl/>
        </w:rPr>
        <w:tab/>
      </w:r>
      <w:r>
        <w:rPr>
          <w:rFonts w:hint="cs"/>
          <w:rtl/>
        </w:rPr>
        <w:tab/>
        <w:t>–   נגד</w:t>
      </w:r>
    </w:p>
    <w:p w:rsidR="00BB59CD" w:rsidRDefault="00BB59CD" w:rsidP="00BB59CD">
      <w:pPr>
        <w:rPr>
          <w:rtl/>
        </w:rPr>
      </w:pPr>
      <w:r>
        <w:rPr>
          <w:rFonts w:hint="cs"/>
          <w:rtl/>
        </w:rPr>
        <w:t>גלעד קריב</w:t>
      </w:r>
      <w:r>
        <w:rPr>
          <w:rFonts w:hint="cs"/>
          <w:rtl/>
        </w:rPr>
        <w:tab/>
      </w:r>
      <w:r>
        <w:rPr>
          <w:rFonts w:hint="cs"/>
          <w:rtl/>
        </w:rPr>
        <w:tab/>
        <w:t>–   בעד</w:t>
      </w:r>
    </w:p>
    <w:p w:rsidR="00BB59CD" w:rsidRDefault="00BB59CD" w:rsidP="00BB59CD">
      <w:pPr>
        <w:rPr>
          <w:rtl/>
        </w:rPr>
      </w:pPr>
      <w:r>
        <w:rPr>
          <w:rFonts w:hint="cs"/>
          <w:rtl/>
        </w:rPr>
        <w:t>שלמה קרעי</w:t>
      </w:r>
      <w:r>
        <w:rPr>
          <w:rFonts w:hint="cs"/>
          <w:rtl/>
        </w:rPr>
        <w:tab/>
      </w:r>
      <w:r>
        <w:rPr>
          <w:rFonts w:hint="cs"/>
          <w:rtl/>
        </w:rPr>
        <w:tab/>
        <w:t>–   נגד</w:t>
      </w:r>
    </w:p>
    <w:p w:rsidR="00BB59CD" w:rsidRDefault="00BB59CD" w:rsidP="00BB59CD">
      <w:pPr>
        <w:rPr>
          <w:rtl/>
        </w:rPr>
      </w:pPr>
      <w:r>
        <w:rPr>
          <w:rFonts w:hint="cs"/>
          <w:rtl/>
        </w:rPr>
        <w:t>אליהו רביבו</w:t>
      </w:r>
      <w:r>
        <w:rPr>
          <w:rFonts w:hint="cs"/>
          <w:rtl/>
        </w:rPr>
        <w:tab/>
      </w:r>
      <w:r>
        <w:rPr>
          <w:rFonts w:hint="cs"/>
          <w:rtl/>
        </w:rPr>
        <w:tab/>
        <w:t>–   אינו נוכח</w:t>
      </w:r>
    </w:p>
    <w:p w:rsidR="00BB59CD" w:rsidRDefault="00BB59CD" w:rsidP="00BB59CD">
      <w:pPr>
        <w:rPr>
          <w:rtl/>
        </w:rPr>
      </w:pPr>
      <w:r>
        <w:rPr>
          <w:rFonts w:hint="cs"/>
          <w:rtl/>
        </w:rPr>
        <w:t>משה רוט</w:t>
      </w:r>
      <w:r>
        <w:rPr>
          <w:rFonts w:hint="cs"/>
          <w:rtl/>
        </w:rPr>
        <w:tab/>
      </w:r>
      <w:r>
        <w:rPr>
          <w:rFonts w:hint="cs"/>
          <w:rtl/>
        </w:rPr>
        <w:tab/>
        <w:t>–   נגד</w:t>
      </w:r>
    </w:p>
    <w:p w:rsidR="00BB59CD" w:rsidRDefault="00BB59CD" w:rsidP="00BB59CD">
      <w:pPr>
        <w:rPr>
          <w:rtl/>
        </w:rPr>
      </w:pPr>
      <w:r>
        <w:rPr>
          <w:rFonts w:hint="cs"/>
          <w:rtl/>
        </w:rPr>
        <w:t>שמחה רוטמן</w:t>
      </w:r>
      <w:r>
        <w:rPr>
          <w:rFonts w:hint="cs"/>
          <w:rtl/>
        </w:rPr>
        <w:tab/>
      </w:r>
      <w:r>
        <w:rPr>
          <w:rFonts w:hint="cs"/>
          <w:rtl/>
        </w:rPr>
        <w:tab/>
        <w:t>–   נגד</w:t>
      </w:r>
    </w:p>
    <w:p w:rsidR="00BB59CD" w:rsidRDefault="00BB59CD" w:rsidP="00BB59CD">
      <w:pPr>
        <w:rPr>
          <w:rtl/>
        </w:rPr>
      </w:pPr>
      <w:r>
        <w:rPr>
          <w:rFonts w:hint="cs"/>
          <w:rtl/>
        </w:rPr>
        <w:t>עידן רול</w:t>
      </w:r>
      <w:r>
        <w:rPr>
          <w:rFonts w:hint="cs"/>
          <w:rtl/>
        </w:rPr>
        <w:tab/>
      </w:r>
      <w:r>
        <w:rPr>
          <w:rFonts w:hint="cs"/>
          <w:rtl/>
        </w:rPr>
        <w:tab/>
      </w:r>
      <w:r>
        <w:rPr>
          <w:rFonts w:hint="cs"/>
          <w:rtl/>
        </w:rPr>
        <w:tab/>
        <w:t>–   בעד</w:t>
      </w:r>
    </w:p>
    <w:p w:rsidR="00BB59CD" w:rsidRDefault="00BB59CD" w:rsidP="00BB59CD">
      <w:pPr>
        <w:rPr>
          <w:rtl/>
        </w:rPr>
      </w:pPr>
      <w:r>
        <w:rPr>
          <w:rFonts w:hint="cs"/>
          <w:rtl/>
        </w:rPr>
        <w:t>אפרת רייטן מרום</w:t>
      </w:r>
      <w:r>
        <w:rPr>
          <w:rFonts w:hint="cs"/>
          <w:rtl/>
        </w:rPr>
        <w:tab/>
        <w:t>–   אינה נוכחת</w:t>
      </w:r>
    </w:p>
    <w:p w:rsidR="00BB59CD" w:rsidRDefault="00BB59CD" w:rsidP="00BB59CD">
      <w:pPr>
        <w:rPr>
          <w:rtl/>
        </w:rPr>
      </w:pPr>
      <w:r>
        <w:rPr>
          <w:rFonts w:hint="cs"/>
          <w:rtl/>
        </w:rPr>
        <w:t>יפעת שאשא ביטון</w:t>
      </w:r>
      <w:r>
        <w:rPr>
          <w:rFonts w:hint="cs"/>
          <w:rtl/>
        </w:rPr>
        <w:tab/>
        <w:t>–   אינה נוכחת</w:t>
      </w:r>
    </w:p>
    <w:p w:rsidR="00BB59CD" w:rsidRDefault="00BB59CD" w:rsidP="00BB59CD">
      <w:pPr>
        <w:rPr>
          <w:rtl/>
        </w:rPr>
      </w:pPr>
      <w:r>
        <w:rPr>
          <w:rFonts w:hint="cs"/>
          <w:rtl/>
        </w:rPr>
        <w:t>אלון שוסטר</w:t>
      </w:r>
      <w:r>
        <w:rPr>
          <w:rFonts w:hint="cs"/>
          <w:rtl/>
        </w:rPr>
        <w:tab/>
      </w:r>
      <w:r>
        <w:rPr>
          <w:rFonts w:hint="cs"/>
          <w:rtl/>
        </w:rPr>
        <w:tab/>
        <w:t>–   אינו נוכח</w:t>
      </w:r>
    </w:p>
    <w:p w:rsidR="00BB59CD" w:rsidRDefault="00BB59CD" w:rsidP="00BB59CD">
      <w:pPr>
        <w:rPr>
          <w:rtl/>
        </w:rPr>
      </w:pPr>
      <w:r>
        <w:rPr>
          <w:rFonts w:hint="cs"/>
          <w:rtl/>
        </w:rPr>
        <w:t>קטי קטרין שטרית</w:t>
      </w:r>
      <w:r>
        <w:rPr>
          <w:rFonts w:hint="cs"/>
          <w:rtl/>
        </w:rPr>
        <w:tab/>
        <w:t xml:space="preserve">–   נגד </w:t>
      </w:r>
    </w:p>
    <w:p w:rsidR="00BB59CD" w:rsidRDefault="00BB59CD" w:rsidP="00BB59CD">
      <w:pPr>
        <w:rPr>
          <w:rtl/>
        </w:rPr>
      </w:pPr>
      <w:r>
        <w:rPr>
          <w:rFonts w:hint="cs"/>
          <w:rtl/>
        </w:rPr>
        <w:t>אלעזר שטרן</w:t>
      </w:r>
      <w:r>
        <w:rPr>
          <w:rFonts w:hint="cs"/>
          <w:rtl/>
        </w:rPr>
        <w:tab/>
      </w:r>
      <w:r>
        <w:rPr>
          <w:rFonts w:hint="cs"/>
          <w:rtl/>
        </w:rPr>
        <w:tab/>
        <w:t>–   אינו נוכח</w:t>
      </w:r>
    </w:p>
    <w:p w:rsidR="00BB59CD" w:rsidRDefault="00BB59CD" w:rsidP="00BB59CD">
      <w:pPr>
        <w:rPr>
          <w:rtl/>
        </w:rPr>
      </w:pPr>
      <w:r>
        <w:rPr>
          <w:rFonts w:hint="cs"/>
          <w:rtl/>
        </w:rPr>
        <w:t>מיכל שיר סגמן</w:t>
      </w:r>
      <w:r>
        <w:rPr>
          <w:rFonts w:hint="cs"/>
          <w:rtl/>
        </w:rPr>
        <w:tab/>
      </w:r>
      <w:r>
        <w:rPr>
          <w:rFonts w:hint="cs"/>
          <w:rtl/>
        </w:rPr>
        <w:tab/>
        <w:t>–   אינה נוכחת</w:t>
      </w:r>
    </w:p>
    <w:p w:rsidR="00BB59CD" w:rsidRDefault="00BB59CD" w:rsidP="00BB59CD">
      <w:pPr>
        <w:rPr>
          <w:rtl/>
        </w:rPr>
      </w:pPr>
      <w:r>
        <w:rPr>
          <w:rFonts w:hint="cs"/>
          <w:rtl/>
        </w:rPr>
        <w:t>נאור שירי</w:t>
      </w:r>
      <w:r>
        <w:rPr>
          <w:rFonts w:hint="cs"/>
          <w:rtl/>
        </w:rPr>
        <w:tab/>
      </w:r>
      <w:r>
        <w:rPr>
          <w:rFonts w:hint="cs"/>
          <w:rtl/>
        </w:rPr>
        <w:tab/>
        <w:t>–   אינו נוכח</w:t>
      </w:r>
    </w:p>
    <w:p w:rsidR="00BB59CD" w:rsidRDefault="00BB59CD" w:rsidP="00BB59CD">
      <w:pPr>
        <w:rPr>
          <w:rtl/>
        </w:rPr>
      </w:pPr>
      <w:r>
        <w:rPr>
          <w:rFonts w:hint="cs"/>
          <w:rtl/>
        </w:rPr>
        <w:t>אושר שקלים</w:t>
      </w:r>
      <w:r>
        <w:rPr>
          <w:rFonts w:hint="cs"/>
          <w:rtl/>
        </w:rPr>
        <w:tab/>
      </w:r>
      <w:r>
        <w:rPr>
          <w:rFonts w:hint="cs"/>
          <w:rtl/>
        </w:rPr>
        <w:tab/>
        <w:t>–   נגד</w:t>
      </w:r>
    </w:p>
    <w:p w:rsidR="00BB59CD" w:rsidRDefault="00BB59CD" w:rsidP="00BB59CD">
      <w:pPr>
        <w:rPr>
          <w:rtl/>
        </w:rPr>
      </w:pPr>
      <w:r>
        <w:rPr>
          <w:rFonts w:hint="cs"/>
          <w:rtl/>
        </w:rPr>
        <w:t>עאידה תומא סלימאן</w:t>
      </w:r>
      <w:r>
        <w:rPr>
          <w:rFonts w:hint="cs"/>
          <w:rtl/>
        </w:rPr>
        <w:tab/>
        <w:t>–   בעד</w:t>
      </w:r>
    </w:p>
    <w:p w:rsidR="00BB59CD" w:rsidRDefault="00BB59CD" w:rsidP="00BB59CD">
      <w:pPr>
        <w:rPr>
          <w:rtl/>
        </w:rPr>
      </w:pPr>
      <w:r>
        <w:rPr>
          <w:rFonts w:hint="cs"/>
          <w:rtl/>
        </w:rPr>
        <w:t>פנינה תמנו</w:t>
      </w:r>
      <w:r>
        <w:rPr>
          <w:rFonts w:hint="cs"/>
          <w:rtl/>
        </w:rPr>
        <w:tab/>
      </w:r>
      <w:r>
        <w:rPr>
          <w:rFonts w:hint="cs"/>
          <w:rtl/>
        </w:rPr>
        <w:tab/>
        <w:t>–   אינה נוכחת</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נא קרא בשמות חברי הכנסת שטרם הצביעו.</w:t>
      </w:r>
    </w:p>
    <w:p w:rsidR="00BB59CD" w:rsidRDefault="00BB59CD" w:rsidP="00BB59CD">
      <w:pPr>
        <w:rPr>
          <w:rtl/>
          <w:lang w:eastAsia="he-IL"/>
        </w:rPr>
      </w:pPr>
      <w:bookmarkStart w:id="82729" w:name="_ETM_Q167_574841"/>
      <w:bookmarkStart w:id="82730" w:name="_ETM_Q167_574922"/>
      <w:bookmarkEnd w:id="82729"/>
      <w:bookmarkEnd w:id="82730"/>
    </w:p>
    <w:p w:rsidR="00BB59CD" w:rsidRDefault="00BB59CD" w:rsidP="00BB59CD">
      <w:pPr>
        <w:pStyle w:val="af8"/>
        <w:keepNext/>
        <w:rPr>
          <w:rtl/>
        </w:rPr>
      </w:pPr>
      <w:bookmarkStart w:id="82731" w:name="ET_interruption_6327_2"/>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2731"/>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bookmarkStart w:id="82732" w:name="_ETM_Q167_578200"/>
      <w:bookmarkStart w:id="82733" w:name="_ETM_Q167_578455"/>
      <w:bookmarkStart w:id="82734" w:name="_ETM_Q167_578526"/>
      <w:bookmarkEnd w:id="82732"/>
      <w:bookmarkEnd w:id="82733"/>
      <w:bookmarkEnd w:id="82734"/>
    </w:p>
    <w:p w:rsidR="00BB59CD" w:rsidRDefault="00BB59CD" w:rsidP="00BB59CD">
      <w:pPr>
        <w:rPr>
          <w:rtl/>
        </w:rPr>
      </w:pPr>
      <w:r>
        <w:rPr>
          <w:rFonts w:hint="cs"/>
          <w:rtl/>
        </w:rPr>
        <w:t>גדי איזנקוט</w:t>
      </w:r>
      <w:r>
        <w:rPr>
          <w:rFonts w:hint="cs"/>
          <w:rtl/>
        </w:rPr>
        <w:tab/>
      </w:r>
      <w:r>
        <w:rPr>
          <w:rFonts w:hint="cs"/>
          <w:rtl/>
        </w:rPr>
        <w:tab/>
        <w:t>–   בעד</w:t>
      </w:r>
    </w:p>
    <w:p w:rsidR="00BB59CD" w:rsidRDefault="00BB59CD" w:rsidP="00BB59CD">
      <w:pPr>
        <w:rPr>
          <w:rtl/>
        </w:rPr>
      </w:pPr>
      <w:r>
        <w:rPr>
          <w:rFonts w:hint="cs"/>
          <w:rtl/>
        </w:rPr>
        <w:t>ואליד אלהואשלה</w:t>
      </w:r>
      <w:r>
        <w:rPr>
          <w:rFonts w:hint="cs"/>
          <w:rtl/>
        </w:rPr>
        <w:tab/>
      </w:r>
      <w:r>
        <w:rPr>
          <w:rFonts w:hint="cs"/>
          <w:rtl/>
        </w:rPr>
        <w:tab/>
        <w:t>–   אינו נוכח</w:t>
      </w:r>
    </w:p>
    <w:p w:rsidR="00BB59CD" w:rsidRDefault="00BB59CD" w:rsidP="00BB59CD">
      <w:pPr>
        <w:rPr>
          <w:rtl/>
        </w:rPr>
      </w:pPr>
      <w:r>
        <w:rPr>
          <w:rFonts w:hint="cs"/>
          <w:rtl/>
        </w:rPr>
        <w:t>דבי ביטון</w:t>
      </w:r>
      <w:r>
        <w:rPr>
          <w:rFonts w:hint="cs"/>
          <w:rtl/>
        </w:rPr>
        <w:tab/>
      </w:r>
      <w:r>
        <w:rPr>
          <w:rFonts w:hint="cs"/>
          <w:rtl/>
        </w:rPr>
        <w:tab/>
        <w:t>–   אינה נוכחת</w:t>
      </w:r>
    </w:p>
    <w:p w:rsidR="00BB59CD" w:rsidRDefault="00BB59CD" w:rsidP="00BB59CD">
      <w:pPr>
        <w:rPr>
          <w:rtl/>
        </w:rPr>
      </w:pPr>
      <w:r>
        <w:rPr>
          <w:rFonts w:hint="cs"/>
          <w:rtl/>
        </w:rPr>
        <w:t>ולדימיר בליאק</w:t>
      </w:r>
      <w:r>
        <w:rPr>
          <w:rFonts w:hint="cs"/>
          <w:rtl/>
        </w:rPr>
        <w:tab/>
      </w:r>
      <w:r>
        <w:rPr>
          <w:rFonts w:hint="cs"/>
          <w:rtl/>
        </w:rPr>
        <w:tab/>
        <w:t>–   בעד</w:t>
      </w:r>
    </w:p>
    <w:p w:rsidR="00BB59CD" w:rsidRDefault="00BB59CD" w:rsidP="00BB59CD">
      <w:pPr>
        <w:rPr>
          <w:rtl/>
        </w:rPr>
      </w:pPr>
      <w:r>
        <w:rPr>
          <w:rFonts w:hint="cs"/>
          <w:rtl/>
        </w:rPr>
        <w:t>רם בן ברק</w:t>
      </w:r>
      <w:r>
        <w:rPr>
          <w:rFonts w:hint="cs"/>
          <w:rtl/>
        </w:rPr>
        <w:tab/>
      </w:r>
      <w:r>
        <w:rPr>
          <w:rFonts w:hint="cs"/>
          <w:rtl/>
        </w:rPr>
        <w:tab/>
        <w:t>–   בעד</w:t>
      </w:r>
    </w:p>
    <w:p w:rsidR="00BB59CD" w:rsidRDefault="00BB59CD" w:rsidP="00BB59CD">
      <w:pPr>
        <w:rPr>
          <w:rtl/>
        </w:rPr>
      </w:pPr>
      <w:r>
        <w:rPr>
          <w:rFonts w:hint="cs"/>
          <w:rtl/>
        </w:rPr>
        <w:t>מאי גולן</w:t>
      </w:r>
      <w:r>
        <w:rPr>
          <w:rFonts w:hint="cs"/>
          <w:rtl/>
        </w:rPr>
        <w:tab/>
      </w:r>
      <w:r>
        <w:rPr>
          <w:rFonts w:hint="cs"/>
          <w:rtl/>
        </w:rPr>
        <w:tab/>
      </w:r>
      <w:r>
        <w:rPr>
          <w:rFonts w:hint="cs"/>
          <w:rtl/>
        </w:rPr>
        <w:tab/>
        <w:t>–   נגד</w:t>
      </w:r>
    </w:p>
    <w:p w:rsidR="00BB59CD" w:rsidRDefault="00BB59CD" w:rsidP="00BB59CD">
      <w:pPr>
        <w:rPr>
          <w:rtl/>
        </w:rPr>
      </w:pPr>
      <w:r>
        <w:rPr>
          <w:rFonts w:hint="cs"/>
          <w:rtl/>
        </w:rPr>
        <w:t>גילה גמליאל</w:t>
      </w:r>
      <w:r>
        <w:rPr>
          <w:rFonts w:hint="cs"/>
          <w:rtl/>
        </w:rPr>
        <w:tab/>
      </w:r>
      <w:r>
        <w:rPr>
          <w:rFonts w:hint="cs"/>
          <w:rtl/>
        </w:rPr>
        <w:tab/>
        <w:t>–   נגד</w:t>
      </w:r>
    </w:p>
    <w:p w:rsidR="00BB59CD" w:rsidRDefault="00BB59CD" w:rsidP="00BB59CD">
      <w:pPr>
        <w:rPr>
          <w:rtl/>
        </w:rPr>
      </w:pPr>
      <w:r>
        <w:rPr>
          <w:rFonts w:hint="cs"/>
          <w:rtl/>
        </w:rPr>
        <w:t>סימון דוידסון</w:t>
      </w:r>
      <w:r>
        <w:rPr>
          <w:rFonts w:hint="cs"/>
          <w:rtl/>
        </w:rPr>
        <w:tab/>
      </w:r>
      <w:r>
        <w:rPr>
          <w:rFonts w:hint="cs"/>
          <w:rtl/>
        </w:rPr>
        <w:tab/>
        <w:t>–   בעד</w:t>
      </w:r>
    </w:p>
    <w:p w:rsidR="00BB59CD" w:rsidRDefault="00BB59CD" w:rsidP="00BB59CD">
      <w:pPr>
        <w:rPr>
          <w:rtl/>
        </w:rPr>
      </w:pPr>
      <w:r>
        <w:rPr>
          <w:rFonts w:hint="cs"/>
          <w:rtl/>
        </w:rPr>
        <w:t>אריה מכלוף דרעי</w:t>
      </w:r>
      <w:r>
        <w:rPr>
          <w:rFonts w:hint="cs"/>
          <w:rtl/>
        </w:rPr>
        <w:tab/>
        <w:t>–   אינו נוכח</w:t>
      </w:r>
    </w:p>
    <w:p w:rsidR="00BB59CD" w:rsidRDefault="00BB59CD" w:rsidP="00BB59CD">
      <w:pPr>
        <w:rPr>
          <w:rtl/>
        </w:rPr>
      </w:pPr>
      <w:r>
        <w:rPr>
          <w:rFonts w:hint="cs"/>
          <w:rtl/>
        </w:rPr>
        <w:t>שרן מרים השכל</w:t>
      </w:r>
      <w:r>
        <w:rPr>
          <w:rFonts w:hint="cs"/>
          <w:rtl/>
        </w:rPr>
        <w:tab/>
      </w:r>
      <w:r>
        <w:rPr>
          <w:rFonts w:hint="cs"/>
          <w:rtl/>
        </w:rPr>
        <w:tab/>
        <w:t>–   בעד</w:t>
      </w:r>
    </w:p>
    <w:p w:rsidR="00BB59CD" w:rsidRDefault="00BB59CD" w:rsidP="00BB59CD">
      <w:pPr>
        <w:rPr>
          <w:rtl/>
        </w:rPr>
      </w:pPr>
      <w:r>
        <w:rPr>
          <w:rFonts w:hint="cs"/>
          <w:rtl/>
        </w:rPr>
        <w:t>ווליד טאהא</w:t>
      </w:r>
      <w:r>
        <w:rPr>
          <w:rFonts w:hint="cs"/>
          <w:rtl/>
        </w:rPr>
        <w:tab/>
      </w:r>
      <w:r>
        <w:rPr>
          <w:rFonts w:hint="cs"/>
          <w:rtl/>
        </w:rPr>
        <w:tab/>
        <w:t>–   בעד</w:t>
      </w:r>
    </w:p>
    <w:p w:rsidR="00BB59CD" w:rsidRDefault="00BB59CD" w:rsidP="00BB59CD">
      <w:pPr>
        <w:rPr>
          <w:rtl/>
        </w:rPr>
      </w:pPr>
      <w:r>
        <w:rPr>
          <w:rFonts w:hint="cs"/>
          <w:rtl/>
        </w:rPr>
        <w:t>משה טור פז</w:t>
      </w:r>
      <w:r>
        <w:rPr>
          <w:rFonts w:hint="cs"/>
          <w:rtl/>
        </w:rPr>
        <w:tab/>
      </w:r>
      <w:r>
        <w:rPr>
          <w:rFonts w:hint="cs"/>
          <w:rtl/>
        </w:rPr>
        <w:tab/>
        <w:t>–   בעד</w:t>
      </w:r>
    </w:p>
    <w:p w:rsidR="00BB59CD" w:rsidRDefault="00BB59CD" w:rsidP="00BB59CD">
      <w:pPr>
        <w:rPr>
          <w:rtl/>
        </w:rPr>
      </w:pPr>
      <w:r>
        <w:rPr>
          <w:rFonts w:hint="cs"/>
          <w:rtl/>
        </w:rPr>
        <w:t>אחמד טיבי</w:t>
      </w:r>
      <w:r>
        <w:rPr>
          <w:rFonts w:hint="cs"/>
          <w:rtl/>
        </w:rPr>
        <w:tab/>
      </w:r>
      <w:r>
        <w:rPr>
          <w:rFonts w:hint="cs"/>
          <w:rtl/>
        </w:rPr>
        <w:tab/>
        <w:t>–   בעד</w:t>
      </w:r>
    </w:p>
    <w:p w:rsidR="00BB59CD" w:rsidRDefault="00BB59CD" w:rsidP="00BB59CD">
      <w:pPr>
        <w:rPr>
          <w:rtl/>
        </w:rPr>
      </w:pPr>
      <w:r>
        <w:rPr>
          <w:rFonts w:hint="cs"/>
          <w:rtl/>
        </w:rPr>
        <w:t>אלמוג כהן</w:t>
      </w:r>
      <w:r>
        <w:rPr>
          <w:rFonts w:hint="cs"/>
          <w:rtl/>
        </w:rPr>
        <w:tab/>
      </w:r>
      <w:r>
        <w:rPr>
          <w:rFonts w:hint="cs"/>
          <w:rtl/>
        </w:rPr>
        <w:tab/>
        <w:t>–   נגד</w:t>
      </w:r>
    </w:p>
    <w:p w:rsidR="00BB59CD" w:rsidRDefault="00BB59CD" w:rsidP="00BB59CD">
      <w:pPr>
        <w:rPr>
          <w:rtl/>
        </w:rPr>
      </w:pPr>
      <w:r>
        <w:rPr>
          <w:rFonts w:hint="cs"/>
          <w:rtl/>
        </w:rPr>
        <w:t>מאיר כהן</w:t>
      </w:r>
      <w:r>
        <w:rPr>
          <w:rFonts w:hint="cs"/>
          <w:rtl/>
        </w:rPr>
        <w:tab/>
      </w:r>
      <w:r>
        <w:rPr>
          <w:rFonts w:hint="cs"/>
          <w:rtl/>
        </w:rPr>
        <w:tab/>
        <w:t>–   בעד</w:t>
      </w:r>
    </w:p>
    <w:p w:rsidR="00BB59CD" w:rsidRDefault="00BB59CD" w:rsidP="00BB59CD">
      <w:pPr>
        <w:rPr>
          <w:rtl/>
        </w:rPr>
      </w:pPr>
      <w:r>
        <w:rPr>
          <w:rFonts w:hint="cs"/>
          <w:rtl/>
        </w:rPr>
        <w:t>עופר כסיף</w:t>
      </w:r>
      <w:r>
        <w:rPr>
          <w:rFonts w:hint="cs"/>
          <w:rtl/>
        </w:rPr>
        <w:tab/>
      </w:r>
      <w:r>
        <w:rPr>
          <w:rFonts w:hint="cs"/>
          <w:rtl/>
        </w:rPr>
        <w:tab/>
        <w:t>–   אינו נוכח</w:t>
      </w:r>
    </w:p>
    <w:p w:rsidR="00BB59CD" w:rsidRDefault="00BB59CD" w:rsidP="00BB59CD">
      <w:pPr>
        <w:rPr>
          <w:rtl/>
        </w:rPr>
      </w:pPr>
      <w:r>
        <w:rPr>
          <w:rFonts w:hint="cs"/>
          <w:rtl/>
        </w:rPr>
        <w:t>רון כץ</w:t>
      </w:r>
      <w:r>
        <w:rPr>
          <w:rFonts w:hint="cs"/>
          <w:rtl/>
        </w:rPr>
        <w:tab/>
      </w:r>
      <w:r>
        <w:rPr>
          <w:rFonts w:hint="cs"/>
          <w:rtl/>
        </w:rPr>
        <w:tab/>
      </w:r>
      <w:r>
        <w:rPr>
          <w:rFonts w:hint="cs"/>
          <w:rtl/>
        </w:rPr>
        <w:tab/>
        <w:t>–   בעד</w:t>
      </w:r>
    </w:p>
    <w:p w:rsidR="00BB59CD" w:rsidRDefault="00BB59CD" w:rsidP="00BB59CD">
      <w:pPr>
        <w:rPr>
          <w:rtl/>
        </w:rPr>
      </w:pPr>
      <w:r>
        <w:rPr>
          <w:rFonts w:hint="cs"/>
          <w:rtl/>
        </w:rPr>
        <w:t>יוראי להב הרצנו</w:t>
      </w:r>
      <w:r>
        <w:rPr>
          <w:rFonts w:hint="cs"/>
          <w:rtl/>
        </w:rPr>
        <w:tab/>
      </w:r>
      <w:r>
        <w:rPr>
          <w:rFonts w:hint="cs"/>
          <w:rtl/>
        </w:rPr>
        <w:tab/>
        <w:t>–   בעד</w:t>
      </w:r>
    </w:p>
    <w:p w:rsidR="00BB59CD" w:rsidRDefault="00BB59CD" w:rsidP="00BB59CD">
      <w:pPr>
        <w:rPr>
          <w:rtl/>
        </w:rPr>
      </w:pPr>
      <w:r>
        <w:rPr>
          <w:rFonts w:hint="cs"/>
          <w:rtl/>
        </w:rPr>
        <w:t>מיקי לוי</w:t>
      </w:r>
      <w:r>
        <w:rPr>
          <w:rFonts w:hint="cs"/>
          <w:rtl/>
        </w:rPr>
        <w:tab/>
      </w:r>
      <w:r>
        <w:rPr>
          <w:rFonts w:hint="cs"/>
          <w:rtl/>
        </w:rPr>
        <w:tab/>
      </w:r>
      <w:r>
        <w:rPr>
          <w:rFonts w:hint="cs"/>
          <w:rtl/>
        </w:rPr>
        <w:tab/>
        <w:t>–   בעד</w:t>
      </w:r>
    </w:p>
    <w:p w:rsidR="00BB59CD" w:rsidRDefault="00BB59CD" w:rsidP="00BB59CD">
      <w:pPr>
        <w:rPr>
          <w:rtl/>
        </w:rPr>
      </w:pPr>
      <w:r>
        <w:rPr>
          <w:rFonts w:hint="cs"/>
          <w:rtl/>
        </w:rPr>
        <w:t>טטיאנה מזרסקי</w:t>
      </w:r>
      <w:r>
        <w:rPr>
          <w:rFonts w:hint="cs"/>
          <w:rtl/>
        </w:rPr>
        <w:tab/>
      </w:r>
      <w:r>
        <w:rPr>
          <w:rFonts w:hint="cs"/>
          <w:rtl/>
        </w:rPr>
        <w:tab/>
        <w:t>–   אינה נוכחת</w:t>
      </w:r>
    </w:p>
    <w:p w:rsidR="00BB59CD" w:rsidRDefault="00BB59CD" w:rsidP="00BB59CD">
      <w:pPr>
        <w:rPr>
          <w:rtl/>
        </w:rPr>
      </w:pPr>
      <w:r>
        <w:rPr>
          <w:rFonts w:hint="cs"/>
          <w:rtl/>
        </w:rPr>
        <w:t>שלי טל מירון</w:t>
      </w:r>
      <w:r>
        <w:rPr>
          <w:rFonts w:hint="cs"/>
          <w:rtl/>
        </w:rPr>
        <w:tab/>
      </w:r>
      <w:r>
        <w:rPr>
          <w:rFonts w:hint="cs"/>
          <w:rtl/>
        </w:rPr>
        <w:tab/>
        <w:t>–   אינה נוכחת</w:t>
      </w:r>
    </w:p>
    <w:p w:rsidR="00BB59CD" w:rsidRDefault="00BB59CD" w:rsidP="00BB59CD">
      <w:pPr>
        <w:rPr>
          <w:rtl/>
        </w:rPr>
      </w:pPr>
      <w:r>
        <w:rPr>
          <w:rFonts w:hint="cs"/>
          <w:rtl/>
        </w:rPr>
        <w:t>ארז מלול</w:t>
      </w:r>
      <w:r>
        <w:rPr>
          <w:rFonts w:hint="cs"/>
          <w:rtl/>
        </w:rPr>
        <w:tab/>
      </w:r>
      <w:r>
        <w:rPr>
          <w:rFonts w:hint="cs"/>
          <w:rtl/>
        </w:rPr>
        <w:tab/>
        <w:t>–   נגד</w:t>
      </w:r>
    </w:p>
    <w:p w:rsidR="00BB59CD" w:rsidRDefault="00BB59CD" w:rsidP="00BB59CD">
      <w:pPr>
        <w:rPr>
          <w:rtl/>
        </w:rPr>
      </w:pPr>
      <w:r>
        <w:rPr>
          <w:rFonts w:hint="cs"/>
          <w:rtl/>
        </w:rPr>
        <w:t>יוליה מלינובסקי</w:t>
      </w:r>
      <w:r>
        <w:rPr>
          <w:rFonts w:hint="cs"/>
          <w:rtl/>
        </w:rPr>
        <w:tab/>
      </w:r>
      <w:r>
        <w:rPr>
          <w:rFonts w:hint="cs"/>
          <w:rtl/>
        </w:rPr>
        <w:tab/>
        <w:t>–   בעד</w:t>
      </w:r>
    </w:p>
    <w:p w:rsidR="00BB59CD" w:rsidRDefault="00BB59CD" w:rsidP="00BB59CD">
      <w:pPr>
        <w:rPr>
          <w:rtl/>
        </w:rPr>
      </w:pPr>
      <w:r>
        <w:rPr>
          <w:rFonts w:hint="cs"/>
          <w:rtl/>
        </w:rPr>
        <w:t>יואב סגלוביץ'</w:t>
      </w:r>
      <w:r>
        <w:rPr>
          <w:rFonts w:hint="cs"/>
          <w:rtl/>
        </w:rPr>
        <w:tab/>
      </w:r>
      <w:r>
        <w:rPr>
          <w:rFonts w:hint="cs"/>
          <w:rtl/>
        </w:rPr>
        <w:tab/>
        <w:t>–   בעד</w:t>
      </w:r>
    </w:p>
    <w:p w:rsidR="00BB59CD" w:rsidRDefault="00BB59CD" w:rsidP="00BB59CD">
      <w:pPr>
        <w:rPr>
          <w:rtl/>
        </w:rPr>
      </w:pPr>
      <w:r>
        <w:rPr>
          <w:rFonts w:hint="cs"/>
          <w:rtl/>
        </w:rPr>
        <w:t>משה סולומון</w:t>
      </w:r>
      <w:r>
        <w:rPr>
          <w:rFonts w:hint="cs"/>
          <w:rtl/>
        </w:rPr>
        <w:tab/>
      </w:r>
      <w:r>
        <w:rPr>
          <w:rFonts w:hint="cs"/>
          <w:rtl/>
        </w:rPr>
        <w:tab/>
        <w:t>–   נגד</w:t>
      </w:r>
    </w:p>
    <w:p w:rsidR="00BB59CD" w:rsidRDefault="00BB59CD" w:rsidP="00BB59CD">
      <w:pPr>
        <w:rPr>
          <w:rtl/>
        </w:rPr>
      </w:pPr>
      <w:r>
        <w:rPr>
          <w:rFonts w:hint="cs"/>
          <w:rtl/>
        </w:rPr>
        <w:t>עודד פורר</w:t>
      </w:r>
      <w:r>
        <w:rPr>
          <w:rFonts w:hint="cs"/>
          <w:rtl/>
        </w:rPr>
        <w:tab/>
      </w:r>
      <w:r>
        <w:rPr>
          <w:rFonts w:hint="cs"/>
          <w:rtl/>
        </w:rPr>
        <w:tab/>
        <w:t>–   בעד</w:t>
      </w:r>
    </w:p>
    <w:p w:rsidR="00BB59CD" w:rsidRDefault="00BB59CD" w:rsidP="00BB59CD">
      <w:pPr>
        <w:rPr>
          <w:rtl/>
        </w:rPr>
      </w:pPr>
      <w:r>
        <w:rPr>
          <w:rFonts w:hint="cs"/>
          <w:rtl/>
        </w:rPr>
        <w:t>יסמין פרידמן</w:t>
      </w:r>
      <w:r>
        <w:rPr>
          <w:rFonts w:hint="cs"/>
          <w:rtl/>
        </w:rPr>
        <w:tab/>
      </w:r>
      <w:r>
        <w:rPr>
          <w:rFonts w:hint="cs"/>
          <w:rtl/>
        </w:rPr>
        <w:tab/>
        <w:t>–   בעד</w:t>
      </w:r>
    </w:p>
    <w:p w:rsidR="00BB59CD" w:rsidRDefault="00BB59CD" w:rsidP="00BB59CD">
      <w:pPr>
        <w:rPr>
          <w:rtl/>
        </w:rPr>
      </w:pPr>
      <w:r>
        <w:rPr>
          <w:rFonts w:hint="cs"/>
          <w:rtl/>
        </w:rPr>
        <w:t>אליהו רביבו</w:t>
      </w:r>
      <w:r>
        <w:rPr>
          <w:rFonts w:hint="cs"/>
          <w:rtl/>
        </w:rPr>
        <w:tab/>
      </w:r>
      <w:r>
        <w:rPr>
          <w:rFonts w:hint="cs"/>
          <w:rtl/>
        </w:rPr>
        <w:tab/>
        <w:t>–   נגד</w:t>
      </w:r>
    </w:p>
    <w:p w:rsidR="00BB59CD" w:rsidRDefault="00BB59CD" w:rsidP="00BB59CD">
      <w:pPr>
        <w:rPr>
          <w:rtl/>
        </w:rPr>
      </w:pPr>
      <w:r>
        <w:rPr>
          <w:rFonts w:hint="cs"/>
          <w:rtl/>
        </w:rPr>
        <w:t>אפרת רייטן מרום</w:t>
      </w:r>
      <w:r>
        <w:rPr>
          <w:rFonts w:hint="cs"/>
          <w:rtl/>
        </w:rPr>
        <w:tab/>
        <w:t>–   בעד</w:t>
      </w:r>
    </w:p>
    <w:p w:rsidR="00BB59CD" w:rsidRDefault="00BB59CD" w:rsidP="00BB59CD">
      <w:pPr>
        <w:rPr>
          <w:rtl/>
        </w:rPr>
      </w:pPr>
      <w:r>
        <w:rPr>
          <w:rFonts w:hint="cs"/>
          <w:rtl/>
        </w:rPr>
        <w:t>יפעת שאשא ביטון</w:t>
      </w:r>
      <w:r>
        <w:rPr>
          <w:rFonts w:hint="cs"/>
          <w:rtl/>
        </w:rPr>
        <w:tab/>
        <w:t>–   בעד</w:t>
      </w:r>
    </w:p>
    <w:p w:rsidR="00BB59CD" w:rsidRDefault="00BB59CD" w:rsidP="00BB59CD">
      <w:pPr>
        <w:rPr>
          <w:rtl/>
        </w:rPr>
      </w:pPr>
      <w:r>
        <w:rPr>
          <w:rFonts w:hint="cs"/>
          <w:rtl/>
        </w:rPr>
        <w:t>אלון שוסטר</w:t>
      </w:r>
      <w:r>
        <w:rPr>
          <w:rFonts w:hint="cs"/>
          <w:rtl/>
        </w:rPr>
        <w:tab/>
      </w:r>
      <w:r>
        <w:rPr>
          <w:rFonts w:hint="cs"/>
          <w:rtl/>
        </w:rPr>
        <w:tab/>
        <w:t>–   בעד</w:t>
      </w:r>
    </w:p>
    <w:p w:rsidR="00BB59CD" w:rsidRDefault="00BB59CD" w:rsidP="00BB59CD">
      <w:pPr>
        <w:rPr>
          <w:rtl/>
        </w:rPr>
      </w:pPr>
      <w:r>
        <w:rPr>
          <w:rFonts w:hint="cs"/>
          <w:rtl/>
        </w:rPr>
        <w:t>אלעזר שטרן</w:t>
      </w:r>
      <w:r>
        <w:rPr>
          <w:rFonts w:hint="cs"/>
          <w:rtl/>
        </w:rPr>
        <w:tab/>
      </w:r>
      <w:r>
        <w:rPr>
          <w:rFonts w:hint="cs"/>
          <w:rtl/>
        </w:rPr>
        <w:tab/>
        <w:t>–   אינו נוכח</w:t>
      </w:r>
    </w:p>
    <w:p w:rsidR="00BB59CD" w:rsidRDefault="00BB59CD" w:rsidP="00BB59CD">
      <w:pPr>
        <w:rPr>
          <w:rtl/>
        </w:rPr>
      </w:pPr>
      <w:r>
        <w:rPr>
          <w:rFonts w:hint="cs"/>
          <w:rtl/>
        </w:rPr>
        <w:t>מיכל שיר סגמן</w:t>
      </w:r>
      <w:r>
        <w:rPr>
          <w:rFonts w:hint="cs"/>
          <w:rtl/>
        </w:rPr>
        <w:tab/>
      </w:r>
      <w:r>
        <w:rPr>
          <w:rFonts w:hint="cs"/>
          <w:rtl/>
        </w:rPr>
        <w:tab/>
        <w:t>–   אינה נוכחת</w:t>
      </w:r>
    </w:p>
    <w:p w:rsidR="00BB59CD" w:rsidRDefault="00BB59CD" w:rsidP="00BB59CD">
      <w:pPr>
        <w:rPr>
          <w:rtl/>
        </w:rPr>
      </w:pPr>
      <w:r>
        <w:rPr>
          <w:rFonts w:hint="cs"/>
          <w:rtl/>
        </w:rPr>
        <w:t>נאור שירי</w:t>
      </w:r>
      <w:r>
        <w:rPr>
          <w:rFonts w:hint="cs"/>
          <w:rtl/>
        </w:rPr>
        <w:tab/>
      </w:r>
      <w:r>
        <w:rPr>
          <w:rFonts w:hint="cs"/>
          <w:rtl/>
        </w:rPr>
        <w:tab/>
        <w:t>–   אינו נוכח</w:t>
      </w:r>
    </w:p>
    <w:p w:rsidR="00BB59CD" w:rsidRDefault="00BB59CD" w:rsidP="00BB59CD">
      <w:pPr>
        <w:rPr>
          <w:rtl/>
        </w:rPr>
      </w:pPr>
      <w:r>
        <w:rPr>
          <w:rFonts w:hint="cs"/>
          <w:rtl/>
        </w:rPr>
        <w:t>פנינה תמנו</w:t>
      </w:r>
      <w:r>
        <w:rPr>
          <w:rFonts w:hint="cs"/>
          <w:rtl/>
        </w:rPr>
        <w:tab/>
      </w:r>
      <w:r>
        <w:rPr>
          <w:rFonts w:hint="cs"/>
          <w:rtl/>
        </w:rPr>
        <w:tab/>
        <w:t>–   בעד</w:t>
      </w:r>
    </w:p>
    <w:p w:rsidR="00BB59CD" w:rsidRDefault="00BB59CD" w:rsidP="00BB59CD">
      <w:pPr>
        <w:rPr>
          <w:rtl/>
        </w:rPr>
      </w:pPr>
    </w:p>
    <w:p w:rsidR="00BB59CD" w:rsidRDefault="00BB59CD" w:rsidP="00BB59CD">
      <w:pPr>
        <w:pStyle w:val="af9"/>
        <w:keepNext/>
        <w:rPr>
          <w:rtl/>
        </w:rPr>
      </w:pPr>
      <w:bookmarkStart w:id="82735" w:name="_ETM_Q167_769197"/>
      <w:bookmarkStart w:id="82736" w:name="_ETM_Q167_769265"/>
      <w:bookmarkStart w:id="82737" w:name="_ETM_Q167_769373"/>
      <w:bookmarkStart w:id="82738" w:name="_ETM_Q167_769470"/>
      <w:bookmarkEnd w:id="82735"/>
      <w:bookmarkEnd w:id="82736"/>
      <w:bookmarkEnd w:id="82737"/>
      <w:bookmarkEnd w:id="82738"/>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האם יש חברי כנסת נוכחים באולם שטרם הצביעו? אם כן, אנא פנו</w:t>
      </w:r>
      <w:bookmarkStart w:id="82739" w:name="_ETM_Q168_185116"/>
      <w:bookmarkEnd w:id="82739"/>
      <w:r>
        <w:rPr>
          <w:rFonts w:hint="cs"/>
          <w:rtl/>
          <w:lang w:eastAsia="he-IL"/>
        </w:rPr>
        <w:t xml:space="preserve"> למזכיר הכנסת. בבקשה. </w:t>
      </w:r>
    </w:p>
    <w:p w:rsidR="00BB59CD" w:rsidRDefault="00BB59CD" w:rsidP="00BB59CD">
      <w:pPr>
        <w:rPr>
          <w:rtl/>
          <w:lang w:eastAsia="he-IL"/>
        </w:rPr>
      </w:pPr>
    </w:p>
    <w:p w:rsidR="00BB59CD" w:rsidRDefault="00BB59CD" w:rsidP="00BB59CD">
      <w:pPr>
        <w:pStyle w:val="af8"/>
        <w:keepNext/>
        <w:rPr>
          <w:rtl/>
        </w:rPr>
      </w:pPr>
      <w:bookmarkStart w:id="82740" w:name="ET_interruption_6327_3"/>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2740"/>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bookmarkStart w:id="82741" w:name="_ETM_Q168_219493"/>
      <w:bookmarkStart w:id="82742" w:name="_ETM_Q168_219674"/>
      <w:bookmarkEnd w:id="82741"/>
      <w:bookmarkEnd w:id="82742"/>
    </w:p>
    <w:p w:rsidR="00BB59CD" w:rsidRDefault="00BB59CD" w:rsidP="00BB59CD">
      <w:pPr>
        <w:rPr>
          <w:rtl/>
          <w:lang w:eastAsia="he-IL"/>
        </w:rPr>
      </w:pPr>
      <w:r>
        <w:rPr>
          <w:rFonts w:hint="cs"/>
          <w:rtl/>
          <w:lang w:eastAsia="he-IL"/>
        </w:rPr>
        <w:t>אלעזר שטרן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אריה מכלוף דרעי</w:t>
      </w:r>
      <w:r>
        <w:rPr>
          <w:rFonts w:hint="cs"/>
          <w:rtl/>
          <w:lang w:eastAsia="he-IL"/>
        </w:rPr>
        <w:tab/>
        <w:t>–   נגד</w:t>
      </w:r>
    </w:p>
    <w:p w:rsidR="00BB59CD" w:rsidRDefault="00BB59CD" w:rsidP="00BB59CD">
      <w:pPr>
        <w:rPr>
          <w:rtl/>
          <w:lang w:eastAsia="he-IL"/>
        </w:rPr>
      </w:pPr>
      <w:r>
        <w:rPr>
          <w:rFonts w:hint="cs"/>
          <w:rtl/>
          <w:lang w:eastAsia="he-IL"/>
        </w:rPr>
        <w:t>דבי ביטון</w:t>
      </w:r>
      <w:r>
        <w:rPr>
          <w:rFonts w:hint="cs"/>
          <w:rtl/>
          <w:lang w:eastAsia="he-IL"/>
        </w:rPr>
        <w:tab/>
      </w:r>
      <w:r>
        <w:rPr>
          <w:rFonts w:hint="cs"/>
          <w:rtl/>
          <w:lang w:eastAsia="he-IL"/>
        </w:rPr>
        <w:tab/>
        <w:t>–   בעד</w:t>
      </w:r>
    </w:p>
    <w:p w:rsidR="00BB59CD" w:rsidRDefault="00BB59CD" w:rsidP="00BB59CD">
      <w:pPr>
        <w:rPr>
          <w:rtl/>
          <w:lang w:eastAsia="he-IL"/>
        </w:rPr>
      </w:pPr>
      <w:bookmarkStart w:id="82743" w:name="_ETM_Q168_222128"/>
      <w:bookmarkStart w:id="82744" w:name="_ETM_Q168_222276"/>
      <w:bookmarkEnd w:id="82743"/>
      <w:bookmarkEnd w:id="82744"/>
      <w:r>
        <w:rPr>
          <w:rFonts w:hint="cs"/>
          <w:rtl/>
          <w:lang w:eastAsia="he-IL"/>
        </w:rPr>
        <w:t xml:space="preserve">טטיאנה </w:t>
      </w:r>
      <w:bookmarkStart w:id="82745" w:name="_ETM_Q168_224929"/>
      <w:bookmarkEnd w:id="82745"/>
      <w:r>
        <w:rPr>
          <w:rFonts w:hint="cs"/>
          <w:rtl/>
          <w:lang w:eastAsia="he-IL"/>
        </w:rPr>
        <w:t>מזרסקי</w:t>
      </w:r>
      <w:r>
        <w:rPr>
          <w:rFonts w:hint="cs"/>
          <w:rtl/>
          <w:lang w:eastAsia="he-IL"/>
        </w:rPr>
        <w:tab/>
      </w:r>
      <w:r>
        <w:rPr>
          <w:rFonts w:hint="cs"/>
          <w:rtl/>
          <w:lang w:eastAsia="he-IL"/>
        </w:rPr>
        <w:tab/>
        <w:t>–   בעד</w:t>
      </w:r>
    </w:p>
    <w:p w:rsidR="00BB59CD" w:rsidRDefault="00BB59CD" w:rsidP="00BB59CD">
      <w:pPr>
        <w:rPr>
          <w:rtl/>
          <w:lang w:eastAsia="he-IL"/>
        </w:rPr>
      </w:pPr>
      <w:bookmarkStart w:id="82746" w:name="_ETM_Q168_197916"/>
      <w:bookmarkStart w:id="82747" w:name="_ETM_Q168_198042"/>
      <w:bookmarkStart w:id="82748" w:name="_ETM_Q168_198075"/>
      <w:bookmarkEnd w:id="82746"/>
      <w:bookmarkEnd w:id="82747"/>
      <w:bookmarkEnd w:id="82748"/>
      <w:r>
        <w:rPr>
          <w:rFonts w:hint="cs"/>
          <w:rtl/>
          <w:lang w:eastAsia="he-IL"/>
        </w:rPr>
        <w:t>ואליד אלהואשלה</w:t>
      </w:r>
      <w:r>
        <w:rPr>
          <w:rFonts w:hint="cs"/>
          <w:rtl/>
          <w:lang w:eastAsia="he-IL"/>
        </w:rPr>
        <w:tab/>
      </w:r>
      <w:r>
        <w:rPr>
          <w:rFonts w:hint="cs"/>
          <w:rtl/>
          <w:lang w:eastAsia="he-IL"/>
        </w:rPr>
        <w:tab/>
        <w:t>–   בעד</w:t>
      </w:r>
    </w:p>
    <w:p w:rsidR="00BB59CD" w:rsidRDefault="00BB59CD" w:rsidP="00BB59CD">
      <w:pPr>
        <w:rPr>
          <w:rtl/>
          <w:lang w:eastAsia="he-IL"/>
        </w:rPr>
      </w:pPr>
      <w:bookmarkStart w:id="82749" w:name="_ETM_Q168_230560"/>
      <w:bookmarkStart w:id="82750" w:name="_ETM_Q168_230712"/>
      <w:bookmarkEnd w:id="82749"/>
      <w:bookmarkEnd w:id="82750"/>
      <w:r>
        <w:rPr>
          <w:rFonts w:hint="cs"/>
          <w:rtl/>
          <w:lang w:eastAsia="he-IL"/>
        </w:rPr>
        <w:t>עופר כסיף</w:t>
      </w:r>
      <w:r>
        <w:rPr>
          <w:rFonts w:hint="cs"/>
          <w:rtl/>
          <w:lang w:eastAsia="he-IL"/>
        </w:rPr>
        <w:tab/>
      </w:r>
      <w:r>
        <w:rPr>
          <w:rFonts w:hint="cs"/>
          <w:rtl/>
          <w:lang w:eastAsia="he-IL"/>
        </w:rPr>
        <w:tab/>
        <w:t>–   בעד</w:t>
      </w:r>
    </w:p>
    <w:p w:rsidR="00BB59CD" w:rsidRDefault="00BB59CD" w:rsidP="00BB59CD">
      <w:pPr>
        <w:rPr>
          <w:rtl/>
          <w:lang w:eastAsia="he-IL"/>
        </w:rPr>
      </w:pPr>
      <w:bookmarkStart w:id="82751" w:name="_ETM_Q168_241200"/>
      <w:bookmarkStart w:id="82752" w:name="_ETM_Q168_241345"/>
      <w:bookmarkEnd w:id="82751"/>
      <w:bookmarkEnd w:id="82752"/>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753" w:name="_ETM_Q168_244493"/>
      <w:bookmarkStart w:id="82754" w:name="_ETM_Q168_244665"/>
      <w:bookmarkEnd w:id="82753"/>
      <w:bookmarkEnd w:id="82754"/>
      <w:r>
        <w:rPr>
          <w:rFonts w:hint="cs"/>
          <w:rtl/>
          <w:lang w:eastAsia="he-IL"/>
        </w:rPr>
        <w:t xml:space="preserve">האם יש נוספים שטרם הצביעו ומעוניינים להצביע? </w:t>
      </w:r>
    </w:p>
    <w:p w:rsidR="00BB59CD" w:rsidRDefault="00BB59CD" w:rsidP="00BB59CD">
      <w:pPr>
        <w:rPr>
          <w:rtl/>
          <w:lang w:eastAsia="he-IL"/>
        </w:rPr>
      </w:pPr>
      <w:bookmarkStart w:id="82755" w:name="_ETM_Q168_247190"/>
      <w:bookmarkEnd w:id="82755"/>
    </w:p>
    <w:p w:rsidR="00BB59CD" w:rsidRDefault="00BB59CD" w:rsidP="00BB59CD">
      <w:pPr>
        <w:pStyle w:val="af8"/>
        <w:keepNext/>
        <w:rPr>
          <w:rtl/>
        </w:rPr>
      </w:pPr>
      <w:bookmarkStart w:id="82756" w:name="_ETM_Q168_247376"/>
      <w:bookmarkStart w:id="82757" w:name="_ETM_Q168_247430"/>
      <w:bookmarkStart w:id="82758" w:name="_ETM_Q168_247495"/>
      <w:bookmarkStart w:id="82759" w:name="ET_interruption_6327_35"/>
      <w:bookmarkEnd w:id="82756"/>
      <w:bookmarkEnd w:id="82757"/>
      <w:bookmarkEnd w:id="82758"/>
      <w:r>
        <w:rPr>
          <w:rStyle w:val="TagStyle"/>
          <w:rFonts w:hint="cs"/>
          <w:rtl/>
        </w:rPr>
        <w:t xml:space="preserve"> &lt;&lt; קריאה &gt;&gt; </w:t>
      </w:r>
      <w:r>
        <w:rPr>
          <w:rFonts w:hint="cs"/>
          <w:rtl/>
        </w:rPr>
        <w:t>מזכיר הכנסת דן מרזוק:</w:t>
      </w:r>
      <w:r>
        <w:rPr>
          <w:rStyle w:val="TagStyle"/>
          <w:rtl/>
        </w:rPr>
        <w:t xml:space="preserve"> &lt;&lt; קריאה &gt;&gt;</w:t>
      </w:r>
      <w:bookmarkEnd w:id="82759"/>
      <w:r>
        <w:rPr>
          <w:rFonts w:hint="cs"/>
          <w:rtl/>
        </w:rPr>
        <w:t xml:space="preserve">   </w:t>
      </w:r>
    </w:p>
    <w:p w:rsidR="00BB59CD" w:rsidRDefault="00BB59CD" w:rsidP="00BB59CD">
      <w:pPr>
        <w:ind w:firstLine="0"/>
        <w:rPr>
          <w:rtl/>
          <w:lang w:eastAsia="he-IL"/>
        </w:rPr>
      </w:pPr>
      <w:r>
        <w:rPr>
          <w:rFonts w:hint="cs"/>
          <w:rtl/>
          <w:lang w:eastAsia="he-IL"/>
        </w:rPr>
        <w:t>(קורא בשם חבר הכנסת)</w:t>
      </w:r>
    </w:p>
    <w:p w:rsidR="00BB59CD" w:rsidRDefault="00BB59CD" w:rsidP="00BB59CD">
      <w:pPr>
        <w:rPr>
          <w:rtl/>
          <w:lang w:eastAsia="he-IL"/>
        </w:rPr>
      </w:pPr>
    </w:p>
    <w:p w:rsidR="00BB59CD" w:rsidRDefault="00BB59CD" w:rsidP="00BB59CD">
      <w:pPr>
        <w:rPr>
          <w:rtl/>
          <w:lang w:eastAsia="he-IL"/>
        </w:rPr>
      </w:pPr>
      <w:bookmarkStart w:id="82760" w:name="_ETM_Q168_248748"/>
      <w:bookmarkStart w:id="82761" w:name="_ETM_Q168_248866"/>
      <w:bookmarkEnd w:id="82760"/>
      <w:bookmarkEnd w:id="82761"/>
      <w:r>
        <w:rPr>
          <w:rFonts w:hint="cs"/>
          <w:rtl/>
          <w:lang w:eastAsia="he-IL"/>
        </w:rPr>
        <w:t>נאור שירי</w:t>
      </w:r>
      <w:r>
        <w:rPr>
          <w:rFonts w:hint="cs"/>
          <w:rtl/>
          <w:lang w:eastAsia="he-IL"/>
        </w:rPr>
        <w:tab/>
      </w:r>
      <w:r>
        <w:rPr>
          <w:rFonts w:hint="cs"/>
          <w:rtl/>
          <w:lang w:eastAsia="he-IL"/>
        </w:rPr>
        <w:tab/>
        <w:t>–   בעד</w:t>
      </w:r>
    </w:p>
    <w:p w:rsidR="00BB59CD" w:rsidRDefault="00BB59CD" w:rsidP="00BB59CD">
      <w:pPr>
        <w:rPr>
          <w:rtl/>
          <w:lang w:eastAsia="he-IL"/>
        </w:rPr>
      </w:pPr>
    </w:p>
    <w:p w:rsidR="00BB59CD" w:rsidRDefault="00BB59CD" w:rsidP="00BB59CD">
      <w:pPr>
        <w:pStyle w:val="af9"/>
        <w:keepNext/>
        <w:rPr>
          <w:rtl/>
        </w:rPr>
      </w:pPr>
      <w:bookmarkStart w:id="82762" w:name="_ETM_Q168_255774"/>
      <w:bookmarkStart w:id="82763" w:name="_ETM_Q168_255925"/>
      <w:bookmarkEnd w:id="82762"/>
      <w:bookmarkEnd w:id="8276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יש עוד חברי כנסת שלא הצביעו? אין. אם כן, תמה ההצבעה. </w:t>
      </w:r>
      <w:bookmarkStart w:id="82764" w:name="_ETM_Q168_261400"/>
      <w:bookmarkEnd w:id="82764"/>
      <w:r>
        <w:rPr>
          <w:rFonts w:hint="cs"/>
          <w:rtl/>
          <w:lang w:eastAsia="he-IL"/>
        </w:rPr>
        <w:t xml:space="preserve">נא לספור את הקולות. </w:t>
      </w:r>
      <w:bookmarkStart w:id="82765" w:name="_ETM_Q168_265064"/>
      <w:bookmarkStart w:id="82766" w:name="_ETM_Q168_265203"/>
      <w:bookmarkStart w:id="82767" w:name="_ETM_Q168_265240"/>
      <w:bookmarkStart w:id="82768" w:name="_ETM_Q168_265356"/>
      <w:bookmarkEnd w:id="82765"/>
      <w:bookmarkEnd w:id="82766"/>
      <w:bookmarkEnd w:id="82767"/>
      <w:bookmarkEnd w:id="82768"/>
      <w:r>
        <w:rPr>
          <w:rFonts w:hint="cs"/>
          <w:rtl/>
          <w:lang w:eastAsia="he-IL"/>
        </w:rPr>
        <w:t xml:space="preserve">חברי הכנסת, להלן תוצאות ההצבעה: 55 </w:t>
      </w:r>
      <w:bookmarkStart w:id="82769" w:name="_ETM_Q168_409046"/>
      <w:bookmarkEnd w:id="82769"/>
      <w:r>
        <w:rPr>
          <w:rFonts w:hint="cs"/>
          <w:rtl/>
          <w:lang w:eastAsia="he-IL"/>
        </w:rPr>
        <w:t xml:space="preserve">בעד, 64 נגד. אני קובע כי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w:t>
      </w:r>
      <w:bookmarkStart w:id="82770" w:name="_ETM_Q168_415820"/>
      <w:bookmarkEnd w:id="82770"/>
      <w:r>
        <w:rPr>
          <w:rFonts w:hint="cs"/>
          <w:rtl/>
          <w:lang w:eastAsia="he-IL"/>
        </w:rPr>
        <w:t xml:space="preserve">נצביע הצבעה אלקטרונית. אנא תפסו את מקומותיכם. הסתייגות </w:t>
      </w:r>
      <w:bookmarkStart w:id="82771" w:name="_ETM_Q168_419771"/>
      <w:bookmarkEnd w:id="82771"/>
      <w:r>
        <w:rPr>
          <w:rFonts w:hint="cs"/>
          <w:rtl/>
          <w:lang w:eastAsia="he-IL"/>
        </w:rPr>
        <w:t xml:space="preserve">שמספרה - - - </w:t>
      </w:r>
    </w:p>
    <w:p w:rsidR="00BB59CD" w:rsidRDefault="00BB59CD" w:rsidP="00BB59CD">
      <w:pPr>
        <w:rPr>
          <w:rtl/>
          <w:lang w:eastAsia="he-IL"/>
        </w:rPr>
      </w:pPr>
    </w:p>
    <w:p w:rsidR="00BB59CD" w:rsidRDefault="00BB59CD" w:rsidP="00BB59CD">
      <w:pPr>
        <w:pStyle w:val="af8"/>
        <w:keepNext/>
        <w:rPr>
          <w:rtl/>
        </w:rPr>
      </w:pPr>
      <w:bookmarkStart w:id="82772" w:name="ET_interruption_5300_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2772"/>
    </w:p>
    <w:p w:rsidR="00BB59CD" w:rsidRDefault="00BB59CD" w:rsidP="00337201">
      <w:pPr>
        <w:rPr>
          <w:rtl/>
          <w:lang w:eastAsia="he-IL"/>
        </w:rPr>
      </w:pPr>
    </w:p>
    <w:p w:rsidR="00BB59CD" w:rsidRDefault="00BB59CD" w:rsidP="00BB59CD">
      <w:pPr>
        <w:rPr>
          <w:rtl/>
          <w:lang w:eastAsia="he-IL"/>
        </w:rPr>
      </w:pPr>
      <w:r>
        <w:rPr>
          <w:rFonts w:hint="cs"/>
          <w:rtl/>
          <w:lang w:eastAsia="he-IL"/>
        </w:rPr>
        <w:t>18222. רק לוודא שכולם יושבים.</w:t>
      </w:r>
    </w:p>
    <w:p w:rsidR="00BB59CD" w:rsidRDefault="00BB59CD" w:rsidP="00BB59CD">
      <w:pPr>
        <w:rPr>
          <w:rtl/>
          <w:lang w:eastAsia="he-IL"/>
        </w:rPr>
      </w:pPr>
      <w:bookmarkStart w:id="82773" w:name="_ETM_Q168_425723"/>
      <w:bookmarkStart w:id="82774" w:name="_ETM_Q168_425869"/>
      <w:bookmarkStart w:id="82775" w:name="_ETM_Q168_425928"/>
      <w:bookmarkStart w:id="82776" w:name="_ETM_Q168_426008"/>
      <w:bookmarkEnd w:id="82773"/>
      <w:bookmarkEnd w:id="82774"/>
      <w:bookmarkEnd w:id="82775"/>
      <w:bookmarkEnd w:id="82776"/>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777" w:name="_ETM_Q168_427191"/>
      <w:bookmarkEnd w:id="82777"/>
      <w:r>
        <w:rPr>
          <w:rFonts w:hint="cs"/>
          <w:rtl/>
          <w:lang w:eastAsia="he-IL"/>
        </w:rPr>
        <w:t xml:space="preserve">כן. כל מי שמעוניין להצביע, אנא, </w:t>
      </w:r>
      <w:bookmarkStart w:id="82778" w:name="_ETM_Q168_426604"/>
      <w:bookmarkEnd w:id="82778"/>
      <w:r>
        <w:rPr>
          <w:rFonts w:hint="cs"/>
          <w:rtl/>
          <w:lang w:eastAsia="he-IL"/>
        </w:rPr>
        <w:t xml:space="preserve">שבו במקומותיכם. אנחנו מצביעים על הסתייגות 18222. הצבעה כעת. </w:t>
      </w:r>
      <w:bookmarkStart w:id="82779" w:name="_ETM_Q168_437251"/>
      <w:bookmarkEnd w:id="82779"/>
    </w:p>
    <w:p w:rsidR="00BB59CD" w:rsidRDefault="00BB59CD" w:rsidP="00BB59CD">
      <w:pPr>
        <w:rPr>
          <w:rtl/>
          <w:lang w:eastAsia="he-IL"/>
        </w:rPr>
      </w:pPr>
      <w:bookmarkStart w:id="82780" w:name="_ETM_Q168_446424"/>
      <w:bookmarkStart w:id="82781" w:name="_ETM_Q168_446625"/>
      <w:bookmarkEnd w:id="82780"/>
      <w:bookmarkEnd w:id="82781"/>
    </w:p>
    <w:p w:rsidR="00BB59CD" w:rsidRDefault="00BB59CD" w:rsidP="00BB59CD">
      <w:pPr>
        <w:pStyle w:val="af4"/>
        <w:keepNext/>
        <w:rPr>
          <w:rtl/>
          <w:lang w:eastAsia="he-IL"/>
        </w:rPr>
      </w:pPr>
      <w:r>
        <w:rPr>
          <w:rFonts w:hint="cs"/>
          <w:rtl/>
          <w:lang w:eastAsia="he-IL"/>
        </w:rPr>
        <w:t>הצבעה מס' 68</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af4"/>
        <w:rPr>
          <w:b w:val="0"/>
          <w:bCs w:val="0"/>
          <w:rtl/>
          <w:lang w:eastAsia="he-IL"/>
        </w:rPr>
      </w:pPr>
      <w:r>
        <w:rPr>
          <w:rFonts w:hint="cs"/>
          <w:b w:val="0"/>
          <w:bCs w:val="0"/>
          <w:rtl/>
          <w:lang w:eastAsia="he-IL"/>
        </w:rPr>
        <w:t>נגד</w:t>
      </w:r>
      <w:r>
        <w:rPr>
          <w:rFonts w:hint="cs"/>
          <w:rtl/>
          <w:lang w:eastAsia="he-IL"/>
        </w:rPr>
        <w:t xml:space="preserve"> – </w:t>
      </w:r>
      <w:r>
        <w:rPr>
          <w:rFonts w:hint="cs"/>
          <w:b w:val="0"/>
          <w:bCs w:val="0"/>
          <w:rtl/>
          <w:lang w:eastAsia="he-IL"/>
        </w:rPr>
        <w:t>62</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bookmarkStart w:id="82782" w:name="_ETM_Q168_444093"/>
      <w:bookmarkStart w:id="82783" w:name="_ETM_Q168_444210"/>
      <w:bookmarkEnd w:id="82782"/>
      <w:bookmarkEnd w:id="82783"/>
      <w:r>
        <w:rPr>
          <w:rFonts w:hint="cs"/>
          <w:rtl/>
          <w:lang w:eastAsia="he-IL"/>
        </w:rPr>
        <w:t>הסתייגות 18222 לא נתקבלה.</w:t>
      </w:r>
    </w:p>
    <w:p w:rsidR="00BB59CD" w:rsidRDefault="00BB59CD" w:rsidP="00BB59CD">
      <w:pPr>
        <w:rPr>
          <w:rtl/>
          <w:lang w:eastAsia="he-IL"/>
        </w:rPr>
      </w:pPr>
      <w:bookmarkStart w:id="82784" w:name="_ETM_Q168_436665"/>
      <w:bookmarkStart w:id="82785" w:name="_ETM_Q168_436812"/>
      <w:bookmarkStart w:id="82786" w:name="_ETM_Q168_436842"/>
      <w:bookmarkStart w:id="82787" w:name="_ETM_Q168_433555"/>
      <w:bookmarkStart w:id="82788" w:name="_ETM_Q168_433680"/>
      <w:bookmarkEnd w:id="82784"/>
      <w:bookmarkEnd w:id="82785"/>
      <w:bookmarkEnd w:id="82786"/>
      <w:bookmarkEnd w:id="82787"/>
      <w:bookmarkEnd w:id="82788"/>
    </w:p>
    <w:p w:rsidR="00BB59CD" w:rsidRDefault="00BB59CD" w:rsidP="00BB59CD">
      <w:pPr>
        <w:pStyle w:val="af9"/>
        <w:keepNext/>
        <w:rPr>
          <w:rtl/>
        </w:rPr>
      </w:pPr>
      <w:bookmarkStart w:id="82789" w:name="_ETM_Q168_256184"/>
      <w:bookmarkStart w:id="82790" w:name="_ETM_Q168_256323"/>
      <w:bookmarkStart w:id="82791" w:name="_ETM_Q168_256376"/>
      <w:bookmarkEnd w:id="82789"/>
      <w:bookmarkEnd w:id="82790"/>
      <w:bookmarkEnd w:id="8279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792" w:name="_ETM_Q168_434378"/>
      <w:bookmarkEnd w:id="82792"/>
      <w:r>
        <w:rPr>
          <w:rFonts w:hint="cs"/>
          <w:rtl/>
          <w:lang w:eastAsia="he-IL"/>
        </w:rPr>
        <w:t xml:space="preserve">56 בעד, </w:t>
      </w:r>
      <w:bookmarkStart w:id="82793" w:name="_ETM_Q168_448002"/>
      <w:bookmarkEnd w:id="82793"/>
      <w:r>
        <w:rPr>
          <w:rFonts w:hint="cs"/>
          <w:rtl/>
          <w:lang w:eastAsia="he-IL"/>
        </w:rPr>
        <w:t xml:space="preserve">62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כעת נצביע על הסתייגות</w:t>
      </w:r>
      <w:bookmarkStart w:id="82794" w:name="_ETM_Q168_451674"/>
      <w:bookmarkStart w:id="82795" w:name="_ETM_Q168_451806"/>
      <w:bookmarkEnd w:id="82794"/>
      <w:bookmarkEnd w:id="82795"/>
      <w:r>
        <w:rPr>
          <w:rFonts w:hint="cs"/>
          <w:rtl/>
          <w:lang w:eastAsia="he-IL"/>
        </w:rPr>
        <w:t xml:space="preserve"> 18224. הצבעה כעת. </w:t>
      </w:r>
    </w:p>
    <w:p w:rsidR="00BB59CD" w:rsidRDefault="00BB59CD" w:rsidP="00BB59CD">
      <w:pPr>
        <w:rPr>
          <w:rtl/>
          <w:lang w:eastAsia="he-IL"/>
        </w:rPr>
      </w:pPr>
      <w:bookmarkStart w:id="82796" w:name="_ETM_Q168_455064"/>
      <w:bookmarkStart w:id="82797" w:name="_ETM_Q168_455170"/>
      <w:bookmarkEnd w:id="82796"/>
      <w:bookmarkEnd w:id="82797"/>
    </w:p>
    <w:p w:rsidR="00BB59CD" w:rsidRDefault="00BB59CD" w:rsidP="00BB59CD">
      <w:pPr>
        <w:pStyle w:val="af4"/>
        <w:keepNext/>
        <w:rPr>
          <w:rtl/>
          <w:lang w:eastAsia="he-IL"/>
        </w:rPr>
      </w:pPr>
      <w:bookmarkStart w:id="82798" w:name="_ETM_Q168_455192"/>
      <w:bookmarkStart w:id="82799" w:name="_ETM_Q168_455279"/>
      <w:bookmarkEnd w:id="82798"/>
      <w:bookmarkEnd w:id="82799"/>
      <w:r>
        <w:rPr>
          <w:rFonts w:hint="cs"/>
          <w:rtl/>
          <w:lang w:eastAsia="he-IL"/>
        </w:rPr>
        <w:t>הצבעה מס' 69</w:t>
      </w:r>
    </w:p>
    <w:p w:rsidR="00BB59CD" w:rsidRDefault="00BB59CD" w:rsidP="00BB59CD">
      <w:pPr>
        <w:pStyle w:val="--"/>
        <w:rPr>
          <w:rtl/>
        </w:rPr>
      </w:pPr>
    </w:p>
    <w:p w:rsidR="00BB59CD" w:rsidRDefault="00BB59CD" w:rsidP="00BB59CD">
      <w:pPr>
        <w:pStyle w:val="--"/>
        <w:rPr>
          <w:rtl/>
        </w:rPr>
      </w:pPr>
      <w:r>
        <w:rPr>
          <w:rFonts w:hint="cs"/>
          <w:rtl/>
        </w:rPr>
        <w:t>בעד ההסתייגות – 56</w:t>
      </w:r>
    </w:p>
    <w:p w:rsidR="00BB59CD" w:rsidRDefault="00BB59CD" w:rsidP="00BB59CD">
      <w:pPr>
        <w:pStyle w:val="--"/>
        <w:rPr>
          <w:rtl/>
        </w:rPr>
      </w:pPr>
      <w:r>
        <w:rPr>
          <w:rFonts w:hint="cs"/>
          <w:rtl/>
        </w:rPr>
        <w:t>נגד – 63</w:t>
      </w:r>
    </w:p>
    <w:p w:rsidR="00BB59CD" w:rsidRDefault="00BB59CD" w:rsidP="00BB59CD">
      <w:pPr>
        <w:pStyle w:val="--"/>
        <w:rPr>
          <w:rtl/>
        </w:rPr>
      </w:pPr>
      <w:bookmarkStart w:id="82800" w:name="_ETM_Q168_469715"/>
      <w:bookmarkStart w:id="82801" w:name="_ETM_Q168_469874"/>
      <w:bookmarkEnd w:id="82800"/>
      <w:bookmarkEnd w:id="82801"/>
      <w:r>
        <w:rPr>
          <w:rFonts w:hint="cs"/>
          <w:rtl/>
        </w:rPr>
        <w:t>נמנעים – אין</w:t>
      </w:r>
    </w:p>
    <w:p w:rsidR="00BB59CD" w:rsidRDefault="00BB59CD" w:rsidP="00BB59CD">
      <w:pPr>
        <w:pStyle w:val="af5"/>
        <w:rPr>
          <w:rtl/>
          <w:lang w:eastAsia="he-IL"/>
        </w:rPr>
      </w:pPr>
      <w:r>
        <w:rPr>
          <w:rFonts w:hint="cs"/>
          <w:rtl/>
          <w:lang w:eastAsia="he-IL"/>
        </w:rPr>
        <w:t>הסתייגות 18224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63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נצביע כעת </w:t>
      </w:r>
      <w:bookmarkStart w:id="82802" w:name="_ETM_Q168_473225"/>
      <w:bookmarkEnd w:id="82802"/>
      <w:r>
        <w:rPr>
          <w:rFonts w:hint="cs"/>
          <w:rtl/>
          <w:lang w:eastAsia="he-IL"/>
        </w:rPr>
        <w:t xml:space="preserve">על הסתייגות שמספרה 18226. הצבעה. </w:t>
      </w:r>
    </w:p>
    <w:p w:rsidR="00BB59CD" w:rsidRDefault="00BB59CD" w:rsidP="00BB59CD">
      <w:pPr>
        <w:rPr>
          <w:rtl/>
          <w:lang w:eastAsia="he-IL"/>
        </w:rPr>
      </w:pPr>
      <w:bookmarkStart w:id="82803" w:name="_ETM_Q168_483687"/>
      <w:bookmarkStart w:id="82804" w:name="_ETM_Q168_483840"/>
      <w:bookmarkStart w:id="82805" w:name="_ETM_Q168_483878"/>
      <w:bookmarkStart w:id="82806" w:name="_ETM_Q168_483988"/>
      <w:bookmarkEnd w:id="82803"/>
      <w:bookmarkEnd w:id="82804"/>
      <w:bookmarkEnd w:id="82805"/>
      <w:bookmarkEnd w:id="82806"/>
    </w:p>
    <w:p w:rsidR="00BB59CD" w:rsidRDefault="00BB59CD" w:rsidP="00BB59CD">
      <w:pPr>
        <w:pStyle w:val="af4"/>
        <w:keepNext/>
        <w:rPr>
          <w:rtl/>
          <w:lang w:eastAsia="he-IL"/>
        </w:rPr>
      </w:pPr>
      <w:r>
        <w:rPr>
          <w:rFonts w:hint="cs"/>
          <w:rtl/>
          <w:lang w:eastAsia="he-IL"/>
        </w:rPr>
        <w:t>הצבעה מס' 70</w:t>
      </w:r>
    </w:p>
    <w:p w:rsidR="00BB59CD" w:rsidRDefault="00BB59CD" w:rsidP="00BB59CD">
      <w:pPr>
        <w:pStyle w:val="--"/>
        <w:rPr>
          <w:rtl/>
        </w:rPr>
      </w:pPr>
      <w:bookmarkStart w:id="82807" w:name="_ETM_Q168_488836"/>
      <w:bookmarkStart w:id="82808" w:name="_ETM_Q168_488991"/>
      <w:bookmarkEnd w:id="82807"/>
      <w:bookmarkEnd w:id="82808"/>
    </w:p>
    <w:p w:rsidR="00BB59CD" w:rsidRDefault="00BB59CD" w:rsidP="00BB59CD">
      <w:pPr>
        <w:pStyle w:val="--"/>
        <w:rPr>
          <w:rtl/>
        </w:rPr>
      </w:pPr>
      <w:r>
        <w:rPr>
          <w:rFonts w:hint="cs"/>
          <w:rtl/>
        </w:rPr>
        <w:t>בעד ההסתייגות – 55</w:t>
      </w:r>
    </w:p>
    <w:p w:rsidR="00BB59CD" w:rsidRDefault="00BB59CD" w:rsidP="00BB59CD">
      <w:pPr>
        <w:pStyle w:val="--"/>
        <w:rPr>
          <w:rtl/>
        </w:rPr>
      </w:pPr>
      <w:r>
        <w:rPr>
          <w:rFonts w:hint="cs"/>
          <w:rtl/>
        </w:rPr>
        <w:t>נגד – 64</w:t>
      </w:r>
    </w:p>
    <w:p w:rsidR="00BB59CD" w:rsidRDefault="00BB59CD" w:rsidP="00BB59CD">
      <w:pPr>
        <w:pStyle w:val="--"/>
        <w:rPr>
          <w:rtl/>
        </w:rPr>
      </w:pPr>
      <w:r>
        <w:rPr>
          <w:rFonts w:hint="cs"/>
          <w:rtl/>
        </w:rPr>
        <w:t>נמנעים – אין</w:t>
      </w:r>
    </w:p>
    <w:p w:rsidR="00BB59CD" w:rsidRDefault="00BB59CD" w:rsidP="00BB59CD">
      <w:pPr>
        <w:pStyle w:val="af5"/>
        <w:rPr>
          <w:rtl/>
          <w:lang w:eastAsia="he-IL"/>
        </w:rPr>
      </w:pPr>
      <w:r>
        <w:rPr>
          <w:rFonts w:hint="cs"/>
          <w:rtl/>
          <w:lang w:eastAsia="he-IL"/>
        </w:rPr>
        <w:t>הסתייגות 18226 לא נתקבלה.</w:t>
      </w:r>
    </w:p>
    <w:p w:rsidR="00BB59CD" w:rsidRDefault="00BB59CD" w:rsidP="00BB59CD">
      <w:pPr>
        <w:pStyle w:val="af5"/>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55 בעד, 64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נצביע כעת על הסתייגות</w:t>
      </w:r>
      <w:bookmarkStart w:id="82809" w:name="_ETM_Q168_497643"/>
      <w:bookmarkEnd w:id="82809"/>
      <w:r>
        <w:rPr>
          <w:rFonts w:hint="cs"/>
          <w:rtl/>
          <w:lang w:eastAsia="he-IL"/>
        </w:rPr>
        <w:t xml:space="preserve"> 18229.</w:t>
      </w:r>
      <w:bookmarkStart w:id="82810" w:name="_ETM_Q168_502560"/>
      <w:bookmarkEnd w:id="82810"/>
      <w:r>
        <w:rPr>
          <w:rFonts w:hint="cs"/>
          <w:rtl/>
          <w:lang w:eastAsia="he-IL"/>
        </w:rPr>
        <w:t xml:space="preserve"> הצבעה.</w:t>
      </w:r>
      <w:bookmarkStart w:id="82811" w:name="_ETM_Q168_500225"/>
      <w:bookmarkEnd w:id="82811"/>
      <w:r>
        <w:rPr>
          <w:rFonts w:hint="cs"/>
          <w:rtl/>
          <w:lang w:eastAsia="he-IL"/>
        </w:rPr>
        <w:t xml:space="preserve"> </w:t>
      </w:r>
      <w:bookmarkStart w:id="82812" w:name="_ETM_Q168_500625"/>
      <w:bookmarkEnd w:id="82812"/>
    </w:p>
    <w:p w:rsidR="00BB59CD" w:rsidRDefault="00BB59CD" w:rsidP="00BB59CD">
      <w:pPr>
        <w:rPr>
          <w:rtl/>
          <w:lang w:eastAsia="he-IL"/>
        </w:rPr>
      </w:pPr>
      <w:bookmarkStart w:id="82813" w:name="_ETM_Q168_500793"/>
      <w:bookmarkStart w:id="82814" w:name="_ETM_Q168_500899"/>
      <w:bookmarkStart w:id="82815" w:name="_ETM_Q168_500976"/>
      <w:bookmarkEnd w:id="82813"/>
      <w:bookmarkEnd w:id="82814"/>
      <w:bookmarkEnd w:id="82815"/>
    </w:p>
    <w:p w:rsidR="00BB59CD" w:rsidRDefault="00BB59CD" w:rsidP="00BB59CD">
      <w:pPr>
        <w:pStyle w:val="af4"/>
        <w:keepNext/>
        <w:rPr>
          <w:rtl/>
          <w:lang w:eastAsia="he-IL"/>
        </w:rPr>
      </w:pPr>
      <w:r>
        <w:rPr>
          <w:rFonts w:hint="cs"/>
          <w:rtl/>
          <w:lang w:eastAsia="he-IL"/>
        </w:rPr>
        <w:t>הצבעה מס' 71</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18229 לא נתקבלה.</w:t>
      </w:r>
    </w:p>
    <w:p w:rsidR="00BB59CD" w:rsidRDefault="00BB59CD" w:rsidP="00BB59CD">
      <w:pPr>
        <w:pStyle w:val="af5"/>
        <w:rPr>
          <w:rtl/>
          <w:lang w:eastAsia="he-IL"/>
        </w:rPr>
      </w:pPr>
    </w:p>
    <w:p w:rsidR="00BB59CD" w:rsidRDefault="00BB59CD" w:rsidP="00BB59CD">
      <w:pPr>
        <w:pStyle w:val="af8"/>
        <w:keepNext/>
        <w:rPr>
          <w:rtl/>
        </w:rPr>
      </w:pPr>
      <w:bookmarkStart w:id="82816" w:name="ET_interruption_קריאה_46"/>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bookmarkEnd w:id="82816"/>
    </w:p>
    <w:p w:rsidR="00BB59CD" w:rsidRDefault="00BB59CD" w:rsidP="00337201">
      <w:pPr>
        <w:rPr>
          <w:rtl/>
          <w:lang w:eastAsia="he-IL"/>
        </w:rPr>
      </w:pPr>
    </w:p>
    <w:p w:rsidR="00BB59CD" w:rsidRDefault="00BB59CD" w:rsidP="00BB59CD">
      <w:pPr>
        <w:rPr>
          <w:rtl/>
          <w:lang w:eastAsia="he-IL"/>
        </w:rPr>
      </w:pPr>
      <w:r>
        <w:rPr>
          <w:rFonts w:hint="cs"/>
          <w:rtl/>
          <w:lang w:eastAsia="he-IL"/>
        </w:rPr>
        <w:t>הקואליציה נגד המדינה.</w:t>
      </w:r>
    </w:p>
    <w:p w:rsidR="00BB59CD" w:rsidRDefault="00BB59CD" w:rsidP="00BB59CD">
      <w:pPr>
        <w:rPr>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63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נצביע כעת על הסתייגות שמספרה</w:t>
      </w:r>
      <w:bookmarkStart w:id="82817" w:name="_ETM_Q168_526840"/>
      <w:bookmarkStart w:id="82818" w:name="_ETM_Q168_526957"/>
      <w:bookmarkEnd w:id="82817"/>
      <w:bookmarkEnd w:id="82818"/>
      <w:r>
        <w:rPr>
          <w:rFonts w:hint="cs"/>
          <w:rtl/>
          <w:lang w:eastAsia="he-IL"/>
        </w:rPr>
        <w:t xml:space="preserve"> 18232. הצבעה. </w:t>
      </w:r>
    </w:p>
    <w:p w:rsidR="00BB59CD" w:rsidRDefault="00BB59CD" w:rsidP="00BB59CD">
      <w:pPr>
        <w:rPr>
          <w:rtl/>
          <w:lang w:eastAsia="he-IL"/>
        </w:rPr>
      </w:pPr>
      <w:bookmarkStart w:id="82819" w:name="_ETM_Q168_502708"/>
      <w:bookmarkEnd w:id="82819"/>
    </w:p>
    <w:p w:rsidR="00BB59CD" w:rsidRDefault="00BB59CD" w:rsidP="00BB59CD">
      <w:pPr>
        <w:pStyle w:val="af4"/>
        <w:keepNext/>
        <w:rPr>
          <w:rtl/>
          <w:lang w:eastAsia="he-IL"/>
        </w:rPr>
      </w:pPr>
      <w:bookmarkStart w:id="82820" w:name="_ETM_Q168_489155"/>
      <w:bookmarkEnd w:id="82820"/>
      <w:r>
        <w:rPr>
          <w:rFonts w:hint="cs"/>
          <w:rtl/>
          <w:lang w:eastAsia="he-IL"/>
        </w:rPr>
        <w:t>הצבעה מס' 72</w:t>
      </w:r>
    </w:p>
    <w:p w:rsidR="00BB59CD" w:rsidRDefault="00BB59CD" w:rsidP="00BB59CD">
      <w:pPr>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sz w:val="24"/>
          <w:szCs w:val="24"/>
          <w:rtl/>
          <w:lang w:eastAsia="he-IL"/>
        </w:rPr>
      </w:pPr>
      <w:r>
        <w:rPr>
          <w:rFonts w:hint="cs"/>
          <w:sz w:val="24"/>
          <w:szCs w:val="24"/>
          <w:rtl/>
          <w:lang w:eastAsia="he-IL"/>
        </w:rPr>
        <w:t>נגד – 64</w:t>
      </w:r>
    </w:p>
    <w:p w:rsidR="00BB59CD" w:rsidRDefault="00BB59CD" w:rsidP="00BB59CD">
      <w:pPr>
        <w:pStyle w:val="--"/>
        <w:keepNext/>
        <w:rPr>
          <w:sz w:val="24"/>
          <w:szCs w:val="24"/>
          <w:rtl/>
          <w:lang w:eastAsia="he-IL"/>
        </w:rPr>
      </w:pPr>
      <w:r>
        <w:rPr>
          <w:rFonts w:hint="cs"/>
          <w:sz w:val="24"/>
          <w:szCs w:val="24"/>
          <w:rtl/>
          <w:lang w:eastAsia="he-IL"/>
        </w:rPr>
        <w:t>נמנעים – אין</w:t>
      </w:r>
    </w:p>
    <w:p w:rsidR="00BB59CD" w:rsidRDefault="00BB59CD" w:rsidP="00BB59CD">
      <w:pPr>
        <w:pStyle w:val="af5"/>
        <w:rPr>
          <w:rtl/>
          <w:lang w:eastAsia="he-IL"/>
        </w:rPr>
      </w:pPr>
      <w:r>
        <w:rPr>
          <w:rFonts w:hint="cs"/>
          <w:rtl/>
          <w:lang w:eastAsia="he-IL"/>
        </w:rPr>
        <w:t>הסתייגות 18232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64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נצביע </w:t>
      </w:r>
      <w:bookmarkStart w:id="82821" w:name="_ETM_Q168_543720"/>
      <w:bookmarkEnd w:id="82821"/>
      <w:r>
        <w:rPr>
          <w:rFonts w:hint="cs"/>
          <w:rtl/>
          <w:lang w:eastAsia="he-IL"/>
        </w:rPr>
        <w:t xml:space="preserve">כעת על הסתייגות מס' </w:t>
      </w:r>
      <w:bookmarkStart w:id="82822" w:name="_ETM_Q168_552100"/>
      <w:bookmarkEnd w:id="82822"/>
      <w:r>
        <w:rPr>
          <w:rFonts w:hint="cs"/>
          <w:rtl/>
          <w:lang w:eastAsia="he-IL"/>
        </w:rPr>
        <w:t xml:space="preserve">18233. הצבעה כעת. </w:t>
      </w:r>
    </w:p>
    <w:p w:rsidR="00BB59CD" w:rsidRDefault="00BB59CD" w:rsidP="00BB59CD">
      <w:pPr>
        <w:rPr>
          <w:rtl/>
          <w:lang w:eastAsia="he-IL"/>
        </w:rPr>
      </w:pPr>
      <w:bookmarkStart w:id="82823" w:name="_ETM_Q168_548626"/>
      <w:bookmarkStart w:id="82824" w:name="_ETM_Q168_548763"/>
      <w:bookmarkEnd w:id="82823"/>
      <w:bookmarkEnd w:id="82824"/>
    </w:p>
    <w:p w:rsidR="00BB59CD" w:rsidRDefault="00BB59CD" w:rsidP="00BB59CD">
      <w:pPr>
        <w:pStyle w:val="af4"/>
        <w:keepNext/>
        <w:rPr>
          <w:rtl/>
          <w:lang w:eastAsia="he-IL"/>
        </w:rPr>
      </w:pPr>
      <w:bookmarkStart w:id="82825" w:name="_ETM_Q168_548787"/>
      <w:bookmarkStart w:id="82826" w:name="_ETM_Q168_548911"/>
      <w:bookmarkEnd w:id="82825"/>
      <w:bookmarkEnd w:id="82826"/>
      <w:r>
        <w:rPr>
          <w:rFonts w:hint="cs"/>
          <w:rtl/>
          <w:lang w:eastAsia="he-IL"/>
        </w:rPr>
        <w:t>הצבעה מס' 73</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18233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55 בעד, 64 נגד. ההסתייגות לא התקבלה. </w:t>
      </w:r>
    </w:p>
    <w:p w:rsidR="00BB59CD" w:rsidRDefault="00BB59CD" w:rsidP="00BB59CD">
      <w:pPr>
        <w:rPr>
          <w:rtl/>
          <w:lang w:eastAsia="he-IL"/>
        </w:rPr>
      </w:pPr>
    </w:p>
    <w:p w:rsidR="00BB59CD" w:rsidRDefault="00BB59CD" w:rsidP="00BB59CD">
      <w:pPr>
        <w:rPr>
          <w:rtl/>
          <w:lang w:eastAsia="he-IL"/>
        </w:rPr>
      </w:pPr>
      <w:bookmarkStart w:id="82827" w:name="_ETM_Q168_559806"/>
      <w:bookmarkStart w:id="82828" w:name="_ETM_Q168_559934"/>
      <w:bookmarkEnd w:id="82827"/>
      <w:bookmarkEnd w:id="82828"/>
      <w:r>
        <w:rPr>
          <w:rFonts w:hint="cs"/>
          <w:rtl/>
          <w:lang w:eastAsia="he-IL"/>
        </w:rPr>
        <w:t>נצביע כעת</w:t>
      </w:r>
      <w:bookmarkStart w:id="82829" w:name="_ETM_Q168_565686"/>
      <w:bookmarkEnd w:id="82829"/>
      <w:r>
        <w:rPr>
          <w:rFonts w:hint="cs"/>
          <w:rtl/>
          <w:lang w:eastAsia="he-IL"/>
        </w:rPr>
        <w:t xml:space="preserve"> על הסתייגות שמספרה 18235. הצבעה. </w:t>
      </w:r>
      <w:bookmarkStart w:id="82830" w:name="_ETM_Q168_575514"/>
      <w:bookmarkEnd w:id="82830"/>
    </w:p>
    <w:p w:rsidR="00BB59CD" w:rsidRDefault="00BB59CD" w:rsidP="00BB59CD">
      <w:pPr>
        <w:rPr>
          <w:rtl/>
          <w:lang w:eastAsia="he-IL"/>
        </w:rPr>
      </w:pPr>
      <w:bookmarkStart w:id="82831" w:name="_ETM_Q168_575664"/>
      <w:bookmarkStart w:id="82832" w:name="_ETM_Q168_575712"/>
      <w:bookmarkStart w:id="82833" w:name="_ETM_Q168_575785"/>
      <w:bookmarkEnd w:id="82831"/>
      <w:bookmarkEnd w:id="82832"/>
      <w:bookmarkEnd w:id="82833"/>
    </w:p>
    <w:p w:rsidR="00BB59CD" w:rsidRDefault="00BB59CD" w:rsidP="00BB59CD">
      <w:pPr>
        <w:pStyle w:val="af4"/>
        <w:keepNext/>
        <w:rPr>
          <w:rtl/>
          <w:lang w:eastAsia="he-IL"/>
        </w:rPr>
      </w:pPr>
      <w:r>
        <w:rPr>
          <w:rFonts w:hint="cs"/>
          <w:rtl/>
          <w:lang w:eastAsia="he-IL"/>
        </w:rPr>
        <w:t>הצבעה מס' 74</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af4"/>
        <w:rPr>
          <w:b w:val="0"/>
          <w:bCs w:val="0"/>
          <w:rtl/>
          <w:lang w:eastAsia="he-IL"/>
        </w:rPr>
      </w:pPr>
      <w:r>
        <w:rPr>
          <w:rFonts w:hint="cs"/>
          <w:b w:val="0"/>
          <w:bCs w:val="0"/>
          <w:rtl/>
          <w:lang w:eastAsia="he-IL"/>
        </w:rPr>
        <w:t>נגד</w:t>
      </w:r>
      <w:r>
        <w:rPr>
          <w:rFonts w:hint="cs"/>
          <w:rtl/>
          <w:lang w:eastAsia="he-IL"/>
        </w:rPr>
        <w:t xml:space="preserve"> –  </w:t>
      </w:r>
      <w:r>
        <w:rPr>
          <w:rFonts w:hint="cs"/>
          <w:b w:val="0"/>
          <w:bCs w:val="0"/>
          <w:rtl/>
          <w:lang w:eastAsia="he-IL"/>
        </w:rPr>
        <w:t>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18235 לא נתקבלה.</w:t>
      </w:r>
    </w:p>
    <w:p w:rsidR="00BB59CD" w:rsidRDefault="00BB59CD" w:rsidP="00BB59CD">
      <w:pPr>
        <w:rPr>
          <w:rtl/>
          <w:lang w:eastAsia="he-IL"/>
        </w:rPr>
      </w:pPr>
    </w:p>
    <w:p w:rsidR="00BB59CD" w:rsidRDefault="00BB59CD" w:rsidP="00BB59CD">
      <w:pPr>
        <w:pStyle w:val="af9"/>
        <w:keepNext/>
        <w:rPr>
          <w:rtl/>
        </w:rPr>
      </w:pPr>
      <w:bookmarkStart w:id="82834" w:name="ET_yor_6423_41"/>
      <w:r>
        <w:rPr>
          <w:rStyle w:val="TagStyle"/>
          <w:rFonts w:hint="cs"/>
          <w:rtl/>
        </w:rPr>
        <w:t xml:space="preserve"> &lt;&lt; יור &gt;&gt; </w:t>
      </w:r>
      <w:r>
        <w:rPr>
          <w:rFonts w:hint="cs"/>
          <w:rtl/>
        </w:rPr>
        <w:t>היו"ר אמיר אוחנה:</w:t>
      </w:r>
      <w:r>
        <w:rPr>
          <w:rStyle w:val="TagStyle"/>
          <w:rtl/>
        </w:rPr>
        <w:t xml:space="preserve"> &lt;&lt; יור &gt;&gt;</w:t>
      </w:r>
      <w:bookmarkEnd w:id="82834"/>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63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נצביע כעת על הסתייגות </w:t>
      </w:r>
      <w:bookmarkStart w:id="82835" w:name="_ETM_Q168_588191"/>
      <w:bookmarkEnd w:id="82835"/>
      <w:r>
        <w:rPr>
          <w:rFonts w:hint="cs"/>
          <w:rtl/>
          <w:lang w:eastAsia="he-IL"/>
        </w:rPr>
        <w:t>שמספרה</w:t>
      </w:r>
      <w:bookmarkStart w:id="82836" w:name="_ETM_Q168_594451"/>
      <w:bookmarkEnd w:id="82836"/>
      <w:r>
        <w:rPr>
          <w:rFonts w:hint="cs"/>
          <w:rtl/>
          <w:lang w:eastAsia="he-IL"/>
        </w:rPr>
        <w:t xml:space="preserve"> 18237. הצבעה. </w:t>
      </w:r>
    </w:p>
    <w:p w:rsidR="00BB59CD" w:rsidRDefault="00BB59CD" w:rsidP="00BB59CD">
      <w:pPr>
        <w:rPr>
          <w:rtl/>
          <w:lang w:eastAsia="he-IL"/>
        </w:rPr>
      </w:pPr>
      <w:bookmarkStart w:id="82837" w:name="_ETM_Q168_596757"/>
      <w:bookmarkStart w:id="82838" w:name="_ETM_Q168_596862"/>
      <w:bookmarkStart w:id="82839" w:name="_ETM_Q168_596949"/>
      <w:bookmarkStart w:id="82840" w:name="_ETM_Q168_597045"/>
      <w:bookmarkEnd w:id="82837"/>
      <w:bookmarkEnd w:id="82838"/>
      <w:bookmarkEnd w:id="82839"/>
      <w:bookmarkEnd w:id="82840"/>
    </w:p>
    <w:p w:rsidR="00BB59CD" w:rsidRDefault="00BB59CD" w:rsidP="00BB59CD">
      <w:pPr>
        <w:pStyle w:val="af4"/>
        <w:keepNext/>
        <w:rPr>
          <w:rtl/>
          <w:lang w:eastAsia="he-IL"/>
        </w:rPr>
      </w:pPr>
      <w:r>
        <w:rPr>
          <w:rFonts w:hint="cs"/>
          <w:rtl/>
          <w:lang w:eastAsia="he-IL"/>
        </w:rPr>
        <w:t>הצבעה מס' 75</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18237 לא נתקבלה.</w:t>
      </w:r>
    </w:p>
    <w:p w:rsidR="00BB59CD" w:rsidRDefault="00BB59CD" w:rsidP="00BB59CD">
      <w:pPr>
        <w:pStyle w:val="af5"/>
        <w:rPr>
          <w:rtl/>
          <w:lang w:eastAsia="he-IL"/>
        </w:rPr>
      </w:pPr>
    </w:p>
    <w:p w:rsidR="00BB59CD" w:rsidRDefault="00BB59CD" w:rsidP="00BB59CD">
      <w:pPr>
        <w:pStyle w:val="af9"/>
        <w:keepNext/>
        <w:rPr>
          <w:rtl/>
        </w:rPr>
      </w:pPr>
      <w:bookmarkStart w:id="82841" w:name="ET_yor_6423_42"/>
      <w:r>
        <w:rPr>
          <w:rStyle w:val="TagStyle"/>
          <w:rFonts w:hint="cs"/>
          <w:rtl/>
        </w:rPr>
        <w:t xml:space="preserve"> &lt;&lt; יור &gt;&gt; </w:t>
      </w:r>
      <w:r>
        <w:rPr>
          <w:rFonts w:hint="cs"/>
          <w:rtl/>
        </w:rPr>
        <w:t>היו"ר אמיר אוחנה:</w:t>
      </w:r>
      <w:r>
        <w:rPr>
          <w:rStyle w:val="TagStyle"/>
          <w:rtl/>
        </w:rPr>
        <w:t xml:space="preserve"> &lt;&lt; יור &gt;&gt;</w:t>
      </w:r>
      <w:bookmarkEnd w:id="82841"/>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64 נגד. אני קובע כי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נצביע כעת על </w:t>
      </w:r>
      <w:bookmarkStart w:id="82842" w:name="_ETM_Q168_610425"/>
      <w:bookmarkEnd w:id="82842"/>
      <w:r>
        <w:rPr>
          <w:rFonts w:hint="cs"/>
          <w:rtl/>
          <w:lang w:eastAsia="he-IL"/>
        </w:rPr>
        <w:t>הסתייגות</w:t>
      </w:r>
      <w:bookmarkStart w:id="82843" w:name="_ETM_Q168_612249"/>
      <w:bookmarkEnd w:id="82843"/>
      <w:r>
        <w:rPr>
          <w:rFonts w:hint="cs"/>
          <w:rtl/>
          <w:lang w:eastAsia="he-IL"/>
        </w:rPr>
        <w:t xml:space="preserve"> 18238. הצבעה. </w:t>
      </w:r>
    </w:p>
    <w:p w:rsidR="00BB59CD" w:rsidRDefault="00BB59CD" w:rsidP="00BB59CD">
      <w:pPr>
        <w:rPr>
          <w:rtl/>
          <w:lang w:eastAsia="he-IL"/>
        </w:rPr>
      </w:pPr>
    </w:p>
    <w:p w:rsidR="00BB59CD" w:rsidRDefault="00BB59CD" w:rsidP="00BB59CD">
      <w:pPr>
        <w:pStyle w:val="af4"/>
        <w:keepNext/>
        <w:rPr>
          <w:rtl/>
          <w:lang w:eastAsia="he-IL"/>
        </w:rPr>
      </w:pPr>
      <w:bookmarkStart w:id="82844" w:name="_ETM_Q168_489446"/>
      <w:bookmarkStart w:id="82845" w:name="_ETM_Q168_489473"/>
      <w:bookmarkEnd w:id="82844"/>
      <w:bookmarkEnd w:id="82845"/>
      <w:r>
        <w:rPr>
          <w:rFonts w:hint="cs"/>
          <w:rtl/>
          <w:lang w:eastAsia="he-IL"/>
        </w:rPr>
        <w:t>הצבעה מס' 76</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18238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63 נגד. אני קובע כי ההסתייגות לא התקבלה. </w:t>
      </w:r>
    </w:p>
    <w:p w:rsidR="00BB59CD" w:rsidRDefault="00BB59CD" w:rsidP="00BB59CD">
      <w:pPr>
        <w:rPr>
          <w:rtl/>
          <w:lang w:eastAsia="he-IL"/>
        </w:rPr>
      </w:pPr>
      <w:bookmarkStart w:id="82846" w:name="_ETM_Q168_613938"/>
      <w:bookmarkStart w:id="82847" w:name="_ETM_Q168_614063"/>
      <w:bookmarkEnd w:id="82846"/>
      <w:bookmarkEnd w:id="82847"/>
    </w:p>
    <w:p w:rsidR="00BB59CD" w:rsidRDefault="00BB59CD" w:rsidP="00BB59CD">
      <w:pPr>
        <w:rPr>
          <w:rtl/>
          <w:lang w:eastAsia="he-IL"/>
        </w:rPr>
      </w:pPr>
      <w:r>
        <w:rPr>
          <w:rFonts w:hint="cs"/>
          <w:rtl/>
          <w:lang w:eastAsia="he-IL"/>
        </w:rPr>
        <w:t>נצביע כעת על</w:t>
      </w:r>
      <w:bookmarkStart w:id="82848" w:name="_ETM_Q168_610679"/>
      <w:bookmarkEnd w:id="82848"/>
      <w:r>
        <w:rPr>
          <w:rFonts w:hint="cs"/>
          <w:rtl/>
          <w:lang w:eastAsia="he-IL"/>
        </w:rPr>
        <w:t xml:space="preserve"> הסתייגות 18242. הצבעה. </w:t>
      </w:r>
    </w:p>
    <w:p w:rsidR="00BB59CD" w:rsidRDefault="00BB59CD" w:rsidP="00BB59CD">
      <w:pPr>
        <w:rPr>
          <w:rtl/>
          <w:lang w:eastAsia="he-IL"/>
        </w:rPr>
      </w:pPr>
    </w:p>
    <w:p w:rsidR="00BB59CD" w:rsidRDefault="00BB59CD" w:rsidP="00BB59CD">
      <w:pPr>
        <w:pStyle w:val="af4"/>
        <w:keepNext/>
        <w:rPr>
          <w:rtl/>
          <w:lang w:eastAsia="he-IL"/>
        </w:rPr>
      </w:pPr>
      <w:bookmarkStart w:id="82849" w:name="_ETM_Q168_618943"/>
      <w:bookmarkStart w:id="82850" w:name="_ETM_Q168_619082"/>
      <w:bookmarkStart w:id="82851" w:name="_ETM_Q168_619118"/>
      <w:bookmarkStart w:id="82852" w:name="_ETM_Q168_619273"/>
      <w:bookmarkEnd w:id="82849"/>
      <w:bookmarkEnd w:id="82850"/>
      <w:bookmarkEnd w:id="82851"/>
      <w:bookmarkEnd w:id="82852"/>
      <w:r>
        <w:rPr>
          <w:rFonts w:hint="cs"/>
          <w:rtl/>
          <w:lang w:eastAsia="he-IL"/>
        </w:rPr>
        <w:t>הצבעה מס' 77</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18242 לא נתקבלה.</w:t>
      </w:r>
    </w:p>
    <w:p w:rsidR="00BB59CD" w:rsidRDefault="00BB59CD" w:rsidP="00BB59CD">
      <w:pPr>
        <w:rPr>
          <w:rtl/>
          <w:lang w:eastAsia="he-IL"/>
        </w:rPr>
      </w:pPr>
    </w:p>
    <w:p w:rsidR="00BB59CD" w:rsidRDefault="00BB59CD" w:rsidP="00BB59CD">
      <w:pPr>
        <w:pStyle w:val="af8"/>
        <w:rPr>
          <w:rtl/>
        </w:rPr>
      </w:pPr>
      <w:bookmarkStart w:id="82853" w:name="ET_interruption_קריאות_28"/>
      <w:r>
        <w:rPr>
          <w:rStyle w:val="TagStyle"/>
          <w:rFonts w:hint="cs"/>
          <w:rtl/>
        </w:rPr>
        <w:t xml:space="preserve">&lt;&lt; קריאה &gt;&gt; </w:t>
      </w:r>
      <w:r>
        <w:rPr>
          <w:rFonts w:hint="cs"/>
          <w:rtl/>
        </w:rPr>
        <w:t>מיקי לוי (יש עתיד):</w:t>
      </w:r>
      <w:r>
        <w:rPr>
          <w:rStyle w:val="TagStyle"/>
          <w:rtl/>
        </w:rPr>
        <w:t xml:space="preserve"> &lt;&lt; קריאה &gt;&gt; </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ממשלת חורבן,</w:t>
      </w:r>
      <w:bookmarkStart w:id="82854" w:name="_ETM_Q168_655849"/>
      <w:bookmarkEnd w:id="82854"/>
      <w:r>
        <w:rPr>
          <w:rFonts w:hint="cs"/>
          <w:rtl/>
          <w:lang w:eastAsia="he-IL"/>
        </w:rPr>
        <w:t xml:space="preserve"> זה מה שאתם. </w:t>
      </w:r>
    </w:p>
    <w:bookmarkEnd w:id="82853"/>
    <w:p w:rsidR="00BB59CD" w:rsidRDefault="00BB59CD" w:rsidP="00BB59CD">
      <w:pPr>
        <w:rPr>
          <w:rtl/>
          <w:lang w:eastAsia="he-IL"/>
        </w:rPr>
      </w:pPr>
    </w:p>
    <w:p w:rsidR="00BB59CD" w:rsidRDefault="00BB59CD" w:rsidP="00BB59CD">
      <w:pPr>
        <w:pStyle w:val="af9"/>
        <w:keepNext/>
        <w:rPr>
          <w:rtl/>
        </w:rPr>
      </w:pPr>
      <w:bookmarkStart w:id="82855" w:name="ET_yor_6423_44"/>
      <w:r>
        <w:rPr>
          <w:rStyle w:val="TagStyle"/>
          <w:rFonts w:hint="cs"/>
          <w:rtl/>
        </w:rPr>
        <w:t xml:space="preserve"> &lt;&lt; יור &gt;&gt; </w:t>
      </w:r>
      <w:r>
        <w:rPr>
          <w:rFonts w:hint="cs"/>
          <w:rtl/>
        </w:rPr>
        <w:t>היו"ר אמיר אוחנה:</w:t>
      </w:r>
      <w:r>
        <w:rPr>
          <w:rStyle w:val="TagStyle"/>
          <w:rtl/>
        </w:rPr>
        <w:t xml:space="preserve"> &lt;&lt; יור &gt;&gt;</w:t>
      </w:r>
      <w:bookmarkEnd w:id="82855"/>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63 נגד. ההסתייגות לא התקבלה. </w:t>
      </w:r>
    </w:p>
    <w:p w:rsidR="00BB59CD" w:rsidRDefault="00BB59CD" w:rsidP="00BB59CD">
      <w:pPr>
        <w:rPr>
          <w:rtl/>
          <w:lang w:eastAsia="he-IL"/>
        </w:rPr>
      </w:pPr>
    </w:p>
    <w:p w:rsidR="00BB59CD" w:rsidRDefault="00BB59CD" w:rsidP="00BB59CD">
      <w:pPr>
        <w:rPr>
          <w:rtl/>
          <w:lang w:eastAsia="he-IL"/>
        </w:rPr>
      </w:pPr>
      <w:bookmarkStart w:id="82856" w:name="_ETM_Q168_663372"/>
      <w:bookmarkStart w:id="82857" w:name="_ETM_Q168_663569"/>
      <w:bookmarkEnd w:id="82856"/>
      <w:bookmarkEnd w:id="82857"/>
      <w:r>
        <w:rPr>
          <w:rFonts w:hint="cs"/>
          <w:rtl/>
          <w:lang w:eastAsia="he-IL"/>
        </w:rPr>
        <w:t>כעת נצביע על הסתייגות שמספרה</w:t>
      </w:r>
      <w:bookmarkStart w:id="82858" w:name="_ETM_Q168_669503"/>
      <w:bookmarkEnd w:id="82858"/>
      <w:r>
        <w:rPr>
          <w:rFonts w:hint="cs"/>
          <w:rtl/>
          <w:lang w:eastAsia="he-IL"/>
        </w:rPr>
        <w:t xml:space="preserve"> 18245. הצבעה. </w:t>
      </w:r>
    </w:p>
    <w:p w:rsidR="00BB59CD" w:rsidRDefault="00BB59CD" w:rsidP="00BB59CD">
      <w:pPr>
        <w:rPr>
          <w:rtl/>
          <w:lang w:eastAsia="he-IL"/>
        </w:rPr>
      </w:pPr>
      <w:bookmarkStart w:id="82859" w:name="_ETM_Q168_674841"/>
      <w:bookmarkStart w:id="82860" w:name="_ETM_Q168_674964"/>
      <w:bookmarkStart w:id="82861" w:name="_ETM_Q168_675000"/>
      <w:bookmarkStart w:id="82862" w:name="_ETM_Q168_675129"/>
      <w:bookmarkEnd w:id="82859"/>
      <w:bookmarkEnd w:id="82860"/>
      <w:bookmarkEnd w:id="82861"/>
      <w:bookmarkEnd w:id="82862"/>
    </w:p>
    <w:p w:rsidR="00BB59CD" w:rsidRDefault="00BB59CD" w:rsidP="00BB59CD">
      <w:pPr>
        <w:pStyle w:val="af4"/>
        <w:keepNext/>
        <w:rPr>
          <w:rtl/>
          <w:lang w:eastAsia="he-IL"/>
        </w:rPr>
      </w:pPr>
      <w:r>
        <w:rPr>
          <w:rFonts w:hint="cs"/>
          <w:rtl/>
          <w:lang w:eastAsia="he-IL"/>
        </w:rPr>
        <w:t>הצבעה מס' 78</w:t>
      </w:r>
    </w:p>
    <w:p w:rsidR="00BB59CD" w:rsidRDefault="00BB59CD" w:rsidP="00BB59CD">
      <w:pPr>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18245 לא נתקבלה.</w:t>
      </w:r>
    </w:p>
    <w:p w:rsidR="00BB59CD" w:rsidRDefault="00BB59CD" w:rsidP="00BB59CD">
      <w:pPr>
        <w:rPr>
          <w:rtl/>
          <w:lang w:eastAsia="he-IL"/>
        </w:rPr>
      </w:pPr>
    </w:p>
    <w:p w:rsidR="00BB59CD" w:rsidRDefault="00BB59CD" w:rsidP="00BB59CD">
      <w:pPr>
        <w:pStyle w:val="af8"/>
        <w:rPr>
          <w:rtl/>
        </w:rPr>
      </w:pPr>
      <w:bookmarkStart w:id="82863" w:name="ET_interruption_קר_אה_26"/>
      <w:r>
        <w:rPr>
          <w:rStyle w:val="TagStyle"/>
          <w:rFonts w:hint="cs"/>
          <w:rtl/>
        </w:rPr>
        <w:t xml:space="preserve">&lt;&lt; קריאה &gt;&gt; </w:t>
      </w:r>
      <w:r>
        <w:rPr>
          <w:rFonts w:hint="cs"/>
          <w:rtl/>
        </w:rPr>
        <w:t>קריאות:</w:t>
      </w:r>
      <w:r>
        <w:rPr>
          <w:rStyle w:val="TagStyle"/>
          <w:rtl/>
        </w:rPr>
        <w:t xml:space="preserve"> </w:t>
      </w:r>
      <w:bookmarkEnd w:id="82863"/>
      <w:r>
        <w:rPr>
          <w:rStyle w:val="TagStyle"/>
          <w:rFonts w:hint="cs"/>
          <w:rtl/>
        </w:rPr>
        <w:t xml:space="preserve">&lt;&lt; קריאה &gt;&gt; </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BB59CD">
      <w:pPr>
        <w:rPr>
          <w:rtl/>
          <w:lang w:eastAsia="he-IL"/>
        </w:rPr>
      </w:pPr>
    </w:p>
    <w:p w:rsidR="00BB59CD" w:rsidRDefault="00BB59CD" w:rsidP="00BB59CD">
      <w:pPr>
        <w:pStyle w:val="af9"/>
        <w:keepNext/>
        <w:rPr>
          <w:rtl/>
        </w:rPr>
      </w:pPr>
      <w:bookmarkStart w:id="82864" w:name="ET_yor_6423_46"/>
      <w:r>
        <w:rPr>
          <w:rStyle w:val="TagStyle"/>
          <w:rFonts w:hint="cs"/>
          <w:rtl/>
        </w:rPr>
        <w:t xml:space="preserve">&lt;&lt; יור &gt;&gt; </w:t>
      </w:r>
      <w:r>
        <w:rPr>
          <w:rFonts w:hint="cs"/>
          <w:rtl/>
        </w:rPr>
        <w:t>היו"ר אמיר אוחנה:</w:t>
      </w:r>
      <w:r>
        <w:rPr>
          <w:rStyle w:val="TagStyle"/>
          <w:rtl/>
        </w:rPr>
        <w:t xml:space="preserve"> &lt;&lt; יור &gt;&gt;</w:t>
      </w:r>
      <w:bookmarkEnd w:id="82864"/>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64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וכעת נצביע על </w:t>
      </w:r>
      <w:bookmarkStart w:id="82865" w:name="_ETM_Q168_681137"/>
      <w:bookmarkEnd w:id="82865"/>
      <w:r>
        <w:rPr>
          <w:rFonts w:hint="cs"/>
          <w:rtl/>
          <w:lang w:eastAsia="he-IL"/>
        </w:rPr>
        <w:t>הסתייגות</w:t>
      </w:r>
      <w:bookmarkStart w:id="82866" w:name="_ETM_Q168_688476"/>
      <w:bookmarkEnd w:id="82866"/>
      <w:r>
        <w:rPr>
          <w:rFonts w:hint="cs"/>
          <w:rtl/>
          <w:lang w:eastAsia="he-IL"/>
        </w:rPr>
        <w:t xml:space="preserve"> 18246.</w:t>
      </w:r>
      <w:bookmarkStart w:id="82867" w:name="_ETM_Q168_694242"/>
      <w:bookmarkEnd w:id="82867"/>
      <w:r>
        <w:rPr>
          <w:rFonts w:hint="cs"/>
          <w:rtl/>
          <w:lang w:eastAsia="he-IL"/>
        </w:rPr>
        <w:t xml:space="preserve"> </w:t>
      </w:r>
      <w:bookmarkStart w:id="82868" w:name="_ETM_Q168_694365"/>
      <w:bookmarkStart w:id="82869" w:name="_ETM_Q168_694417"/>
      <w:bookmarkStart w:id="82870" w:name="_ETM_Q168_694508"/>
      <w:bookmarkEnd w:id="82868"/>
      <w:bookmarkEnd w:id="82869"/>
      <w:bookmarkEnd w:id="82870"/>
      <w:r>
        <w:rPr>
          <w:rFonts w:hint="cs"/>
          <w:rtl/>
          <w:lang w:eastAsia="he-IL"/>
        </w:rPr>
        <w:t xml:space="preserve">הצבעה כעת. </w:t>
      </w:r>
      <w:bookmarkStart w:id="82871" w:name="_ETM_Q168_693809"/>
      <w:bookmarkEnd w:id="82871"/>
    </w:p>
    <w:p w:rsidR="00BB59CD" w:rsidRDefault="00BB59CD" w:rsidP="00BB59CD">
      <w:pPr>
        <w:rPr>
          <w:rtl/>
          <w:lang w:eastAsia="he-IL"/>
        </w:rPr>
      </w:pPr>
      <w:bookmarkStart w:id="82872" w:name="_ETM_Q168_693957"/>
      <w:bookmarkStart w:id="82873" w:name="_ETM_Q168_694007"/>
      <w:bookmarkStart w:id="82874" w:name="_ETM_Q168_694086"/>
      <w:bookmarkEnd w:id="82872"/>
      <w:bookmarkEnd w:id="82873"/>
      <w:bookmarkEnd w:id="82874"/>
    </w:p>
    <w:p w:rsidR="00BB59CD" w:rsidRDefault="00BB59CD" w:rsidP="00BB59CD">
      <w:pPr>
        <w:pStyle w:val="af4"/>
        <w:keepNext/>
        <w:rPr>
          <w:rtl/>
          <w:lang w:eastAsia="he-IL"/>
        </w:rPr>
      </w:pPr>
      <w:bookmarkStart w:id="82875" w:name="_ETM_Q168_702951"/>
      <w:bookmarkStart w:id="82876" w:name="_ETM_Q168_703054"/>
      <w:bookmarkEnd w:id="82875"/>
      <w:bookmarkEnd w:id="82876"/>
      <w:r>
        <w:rPr>
          <w:rFonts w:hint="cs"/>
          <w:rtl/>
          <w:lang w:eastAsia="he-IL"/>
        </w:rPr>
        <w:t>הצבעה מס' 79</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 xml:space="preserve">בעד ההסתייגות – 54 </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18246 לא נתקבלה.</w:t>
      </w:r>
    </w:p>
    <w:p w:rsidR="00BB59CD" w:rsidRDefault="00BB59CD" w:rsidP="00BB59CD">
      <w:pPr>
        <w:keepNext/>
        <w:rPr>
          <w:rtl/>
        </w:rPr>
      </w:pPr>
      <w:bookmarkStart w:id="82877" w:name="ET_interruption_5084_50"/>
    </w:p>
    <w:p w:rsidR="00BB59CD" w:rsidRDefault="00BB59CD" w:rsidP="00BB59CD">
      <w:pPr>
        <w:pStyle w:val="af8"/>
        <w:keepNext/>
        <w:rPr>
          <w:rtl/>
        </w:rPr>
      </w:pPr>
      <w:bookmarkStart w:id="82878" w:name="ET_interruption_5803_51"/>
      <w:bookmarkEnd w:id="82877"/>
      <w:r>
        <w:rPr>
          <w:rStyle w:val="TagStyle"/>
          <w:rFonts w:hint="cs"/>
          <w:rtl/>
        </w:rPr>
        <w:t xml:space="preserve">&lt;&lt; קריאה &gt;&gt; </w:t>
      </w:r>
      <w:r>
        <w:rPr>
          <w:rFonts w:hint="cs"/>
          <w:rtl/>
        </w:rPr>
        <w:t>עידן רול (יש עתיד):</w:t>
      </w:r>
      <w:r>
        <w:rPr>
          <w:rStyle w:val="TagStyle"/>
          <w:rtl/>
        </w:rPr>
        <w:t xml:space="preserve"> &lt;&lt; קריאה &gt;&gt;</w:t>
      </w:r>
      <w:r>
        <w:rPr>
          <w:rFonts w:hint="cs"/>
          <w:rtl/>
        </w:rPr>
        <w:t xml:space="preserve">   </w:t>
      </w:r>
      <w:bookmarkEnd w:id="82878"/>
    </w:p>
    <w:p w:rsidR="00BB59CD" w:rsidRDefault="00BB59CD" w:rsidP="00337201">
      <w:pPr>
        <w:rPr>
          <w:rtl/>
          <w:lang w:eastAsia="he-IL"/>
        </w:rPr>
      </w:pPr>
    </w:p>
    <w:p w:rsidR="00BB59CD" w:rsidRDefault="00BB59CD" w:rsidP="00BB59CD">
      <w:pPr>
        <w:rPr>
          <w:rtl/>
          <w:lang w:eastAsia="he-IL"/>
        </w:rPr>
      </w:pPr>
      <w:bookmarkStart w:id="82879" w:name="_ETM_Q168_699641"/>
      <w:bookmarkStart w:id="82880" w:name="_ETM_Q168_699902"/>
      <w:bookmarkStart w:id="82881" w:name="_ETM_Q168_699975"/>
      <w:bookmarkEnd w:id="82879"/>
      <w:bookmarkEnd w:id="82880"/>
      <w:bookmarkEnd w:id="82881"/>
      <w:r>
        <w:rPr>
          <w:rFonts w:hint="cs"/>
          <w:rtl/>
          <w:lang w:eastAsia="he-IL"/>
        </w:rPr>
        <w:t xml:space="preserve">דוד אמסלם, בתוך כל הזוועה הזאת, אתה הדבר </w:t>
      </w:r>
      <w:bookmarkStart w:id="82882" w:name="_ETM_Q168_706031"/>
      <w:bookmarkEnd w:id="82882"/>
      <w:r>
        <w:rPr>
          <w:rFonts w:hint="cs"/>
          <w:rtl/>
          <w:lang w:eastAsia="he-IL"/>
        </w:rPr>
        <w:t>הכי גרוע והכי - - -</w:t>
      </w:r>
    </w:p>
    <w:p w:rsidR="00BB59CD" w:rsidRDefault="00BB59CD" w:rsidP="00BB59CD">
      <w:pPr>
        <w:rPr>
          <w:lang w:eastAsia="he-IL"/>
        </w:rPr>
      </w:pPr>
      <w:bookmarkStart w:id="82883" w:name="_ETM_Q168_704788"/>
      <w:bookmarkStart w:id="82884" w:name="_ETM_Q168_704891"/>
      <w:bookmarkEnd w:id="82883"/>
      <w:bookmarkEnd w:id="82884"/>
    </w:p>
    <w:p w:rsidR="00BB59CD" w:rsidRDefault="00BB59CD" w:rsidP="00BB59CD">
      <w:pPr>
        <w:pStyle w:val="af8"/>
        <w:keepNext/>
        <w:rPr>
          <w:rtl/>
        </w:rPr>
      </w:pPr>
      <w:bookmarkStart w:id="82885" w:name="ET_interruption_קריאה_52"/>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82885"/>
    </w:p>
    <w:p w:rsidR="00BB59CD" w:rsidRDefault="00BB59CD" w:rsidP="00337201">
      <w:pPr>
        <w:rPr>
          <w:rtl/>
          <w:lang w:eastAsia="he-IL"/>
        </w:rPr>
      </w:pPr>
    </w:p>
    <w:p w:rsidR="00BB59CD" w:rsidRDefault="00BB59CD" w:rsidP="00BB59CD">
      <w:pPr>
        <w:rPr>
          <w:rtl/>
          <w:lang w:eastAsia="he-IL"/>
        </w:rPr>
      </w:pPr>
      <w:bookmarkStart w:id="82886" w:name="_ETM_Q168_705779"/>
      <w:bookmarkEnd w:id="82886"/>
      <w:r>
        <w:rPr>
          <w:rFonts w:hint="cs"/>
          <w:rtl/>
          <w:lang w:eastAsia="he-IL"/>
        </w:rPr>
        <w:t>גלנט, תגלה אחריות.</w:t>
      </w:r>
    </w:p>
    <w:p w:rsidR="00BB59CD" w:rsidRDefault="00BB59CD" w:rsidP="00BB59CD">
      <w:pPr>
        <w:rPr>
          <w:rtl/>
          <w:lang w:eastAsia="he-IL"/>
        </w:rPr>
      </w:pPr>
      <w:bookmarkStart w:id="82887" w:name="_ETM_Q168_709656"/>
      <w:bookmarkStart w:id="82888" w:name="_ETM_Q168_709726"/>
      <w:bookmarkEnd w:id="82887"/>
      <w:bookmarkEnd w:id="82888"/>
    </w:p>
    <w:p w:rsidR="00BB59CD" w:rsidRDefault="00BB59CD" w:rsidP="00BB59CD">
      <w:pPr>
        <w:pStyle w:val="af8"/>
        <w:keepNext/>
        <w:rPr>
          <w:rtl/>
        </w:rPr>
      </w:pPr>
      <w:bookmarkStart w:id="82889" w:name="ET_interruption_קריאות_5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2889"/>
    </w:p>
    <w:p w:rsidR="00BB59CD" w:rsidRDefault="00BB59CD" w:rsidP="00337201">
      <w:pPr>
        <w:rPr>
          <w:rtl/>
          <w:lang w:eastAsia="he-IL"/>
        </w:rPr>
      </w:pPr>
    </w:p>
    <w:p w:rsidR="00BB59CD" w:rsidRDefault="00BB59CD" w:rsidP="00BB59CD">
      <w:pPr>
        <w:rPr>
          <w:rtl/>
          <w:lang w:eastAsia="he-IL"/>
        </w:rPr>
      </w:pPr>
      <w:bookmarkStart w:id="82890" w:name="_ETM_Q168_706392"/>
      <w:bookmarkStart w:id="82891" w:name="_ETM_Q168_707163"/>
      <w:bookmarkEnd w:id="82890"/>
      <w:bookmarkEnd w:id="82891"/>
      <w:r>
        <w:rPr>
          <w:rFonts w:hint="cs"/>
          <w:rtl/>
          <w:lang w:eastAsia="he-IL"/>
        </w:rPr>
        <w:t>-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54 בעד, 64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הסתייגות 18251. </w:t>
      </w:r>
      <w:bookmarkStart w:id="82892" w:name="_ETM_Q168_730166"/>
      <w:bookmarkEnd w:id="82892"/>
    </w:p>
    <w:p w:rsidR="00BB59CD" w:rsidRDefault="00BB59CD" w:rsidP="00BB59CD">
      <w:pPr>
        <w:rPr>
          <w:rtl/>
          <w:lang w:eastAsia="he-IL"/>
        </w:rPr>
      </w:pPr>
    </w:p>
    <w:p w:rsidR="00BB59CD" w:rsidRDefault="00BB59CD" w:rsidP="00BB59CD">
      <w:pPr>
        <w:pStyle w:val="af4"/>
        <w:keepNext/>
        <w:rPr>
          <w:rtl/>
          <w:lang w:eastAsia="he-IL"/>
        </w:rPr>
      </w:pPr>
      <w:bookmarkStart w:id="82893" w:name="_ETM_Q168_722870"/>
      <w:bookmarkStart w:id="82894" w:name="_ETM_Q168_722975"/>
      <w:bookmarkStart w:id="82895" w:name="_ETM_Q168_723045"/>
      <w:bookmarkStart w:id="82896" w:name="_ETM_Q168_723127"/>
      <w:bookmarkEnd w:id="82893"/>
      <w:bookmarkEnd w:id="82894"/>
      <w:bookmarkEnd w:id="82895"/>
      <w:bookmarkEnd w:id="82896"/>
      <w:r>
        <w:rPr>
          <w:rFonts w:hint="cs"/>
          <w:rtl/>
          <w:lang w:eastAsia="he-IL"/>
        </w:rPr>
        <w:t>הצבעה מס' 80</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 xml:space="preserve">בעד ההסתייגות – 56 </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18251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64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הסתייגות 15253. הצבעה כעת. </w:t>
      </w:r>
    </w:p>
    <w:p w:rsidR="00BB59CD" w:rsidRDefault="00BB59CD" w:rsidP="00BB59CD">
      <w:pPr>
        <w:rPr>
          <w:rtl/>
          <w:lang w:eastAsia="he-IL"/>
        </w:rPr>
      </w:pPr>
      <w:bookmarkStart w:id="82897" w:name="_ETM_Q168_744904"/>
      <w:bookmarkStart w:id="82898" w:name="_ETM_Q168_744997"/>
      <w:bookmarkStart w:id="82899" w:name="_ETM_Q168_745128"/>
      <w:bookmarkStart w:id="82900" w:name="_ETM_Q168_745211"/>
      <w:bookmarkEnd w:id="82897"/>
      <w:bookmarkEnd w:id="82898"/>
      <w:bookmarkEnd w:id="82899"/>
      <w:bookmarkEnd w:id="82900"/>
    </w:p>
    <w:p w:rsidR="00BB59CD" w:rsidRDefault="00BB59CD" w:rsidP="00BB59CD">
      <w:pPr>
        <w:pStyle w:val="af4"/>
        <w:keepNext/>
        <w:rPr>
          <w:rtl/>
          <w:lang w:eastAsia="he-IL"/>
        </w:rPr>
      </w:pPr>
      <w:r>
        <w:rPr>
          <w:rFonts w:hint="cs"/>
          <w:rtl/>
          <w:lang w:eastAsia="he-IL"/>
        </w:rPr>
        <w:t>הצבעה מס' 81</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 xml:space="preserve">בעד ההסתייגות – 55 </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18246 לא נתקבלה.</w:t>
      </w:r>
      <w:bookmarkStart w:id="82901" w:name="_ETM_Q168_757969"/>
      <w:bookmarkEnd w:id="82901"/>
    </w:p>
    <w:p w:rsidR="00BB59CD" w:rsidRDefault="00BB59CD" w:rsidP="00BB59CD">
      <w:pPr>
        <w:rPr>
          <w:rtl/>
          <w:lang w:eastAsia="he-IL"/>
        </w:rPr>
      </w:pPr>
      <w:bookmarkStart w:id="82902" w:name="_ETM_Q168_758067"/>
      <w:bookmarkStart w:id="82903" w:name="_ETM_Q168_758145"/>
      <w:bookmarkEnd w:id="82902"/>
      <w:bookmarkEnd w:id="82903"/>
    </w:p>
    <w:p w:rsidR="00BB59CD" w:rsidRDefault="00BB59CD" w:rsidP="00BB59CD">
      <w:pPr>
        <w:pStyle w:val="af8"/>
        <w:keepNext/>
        <w:rPr>
          <w:rtl/>
        </w:rPr>
      </w:pPr>
      <w:bookmarkStart w:id="82904" w:name="ET_interruption_קר_אה_29"/>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8290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BB59CD">
      <w:pPr>
        <w:rPr>
          <w:rtl/>
          <w:lang w:eastAsia="he-IL"/>
        </w:rPr>
      </w:pPr>
    </w:p>
    <w:p w:rsidR="00BB59CD" w:rsidRDefault="00BB59CD" w:rsidP="00BB59CD">
      <w:pPr>
        <w:pStyle w:val="af9"/>
        <w:keepNext/>
        <w:rPr>
          <w:rtl/>
        </w:rPr>
      </w:pPr>
      <w:bookmarkStart w:id="82905" w:name="_ETM_Q168_758228"/>
      <w:bookmarkEnd w:id="82905"/>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55 בעד, 64 נגד. אני קובע שההסתייגות לא התקבלה. </w:t>
      </w:r>
    </w:p>
    <w:p w:rsidR="00BB59CD" w:rsidRDefault="00BB59CD" w:rsidP="00BB59CD">
      <w:pPr>
        <w:rPr>
          <w:rtl/>
          <w:lang w:eastAsia="he-IL"/>
        </w:rPr>
      </w:pPr>
    </w:p>
    <w:p w:rsidR="00BB59CD" w:rsidRDefault="00BB59CD" w:rsidP="00BB59CD">
      <w:pPr>
        <w:rPr>
          <w:rtl/>
          <w:lang w:eastAsia="he-IL"/>
        </w:rPr>
      </w:pPr>
      <w:bookmarkStart w:id="82906" w:name="TOR_Q169"/>
      <w:bookmarkEnd w:id="82906"/>
      <w:r>
        <w:rPr>
          <w:rFonts w:hint="cs"/>
          <w:rtl/>
          <w:lang w:eastAsia="he-IL"/>
        </w:rPr>
        <w:t>כעת נצביע על הסתייגות 18257. הצבעה כעת.</w:t>
      </w:r>
    </w:p>
    <w:p w:rsidR="00BB59CD" w:rsidRDefault="00BB59CD" w:rsidP="00BB59CD">
      <w:pPr>
        <w:rPr>
          <w:rtl/>
          <w:lang w:eastAsia="he-IL"/>
        </w:rPr>
      </w:pPr>
      <w:bookmarkStart w:id="82907" w:name="_ETM_Q169_175481"/>
      <w:bookmarkStart w:id="82908" w:name="_ETM_Q169_175598"/>
      <w:bookmarkStart w:id="82909" w:name="_ETM_Q169_175672"/>
      <w:bookmarkEnd w:id="82907"/>
      <w:bookmarkEnd w:id="82908"/>
      <w:bookmarkEnd w:id="82909"/>
    </w:p>
    <w:p w:rsidR="00BB59CD" w:rsidRDefault="00BB59CD" w:rsidP="00BB59CD">
      <w:pPr>
        <w:pStyle w:val="af4"/>
        <w:keepNext/>
        <w:rPr>
          <w:rtl/>
          <w:lang w:eastAsia="he-IL"/>
        </w:rPr>
      </w:pPr>
      <w:r>
        <w:rPr>
          <w:rFonts w:hint="cs"/>
          <w:rtl/>
          <w:lang w:eastAsia="he-IL"/>
        </w:rPr>
        <w:t>הצבעה מס' 82</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18257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55 בעד, 64 נגד. ההסתייגות לא התקבלה.</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w:t>
      </w:r>
      <w:bookmarkStart w:id="82910" w:name="_ETM_Q169_188000"/>
      <w:bookmarkEnd w:id="82910"/>
      <w:r>
        <w:rPr>
          <w:rFonts w:hint="cs"/>
          <w:rtl/>
          <w:lang w:eastAsia="he-IL"/>
        </w:rPr>
        <w:t xml:space="preserve">הסתייגות מס' 18266. הצבעה כעת. </w:t>
      </w:r>
    </w:p>
    <w:p w:rsidR="00BB59CD" w:rsidRDefault="00BB59CD" w:rsidP="00BB59CD">
      <w:pPr>
        <w:rPr>
          <w:rtl/>
          <w:lang w:eastAsia="he-IL"/>
        </w:rPr>
      </w:pPr>
      <w:bookmarkStart w:id="82911" w:name="_ETM_Q169_193000"/>
      <w:bookmarkEnd w:id="82911"/>
    </w:p>
    <w:p w:rsidR="00BB59CD" w:rsidRDefault="00BB59CD" w:rsidP="00BB59CD">
      <w:pPr>
        <w:pStyle w:val="af4"/>
        <w:keepNext/>
        <w:rPr>
          <w:rtl/>
          <w:lang w:eastAsia="he-IL"/>
        </w:rPr>
      </w:pPr>
      <w:r>
        <w:rPr>
          <w:rFonts w:hint="cs"/>
          <w:rtl/>
          <w:lang w:eastAsia="he-IL"/>
        </w:rPr>
        <w:t>הצבעה מס' 83</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54</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18266 לא נתקבלה.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ממשלת החורבן.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54 בעד, 63 נגד</w:t>
      </w:r>
      <w:bookmarkStart w:id="82912" w:name="_ETM_Q169_207000"/>
      <w:bookmarkEnd w:id="82912"/>
      <w:r>
        <w:rPr>
          <w:rFonts w:hint="cs"/>
          <w:rtl/>
          <w:lang w:eastAsia="he-IL"/>
        </w:rPr>
        <w:t xml:space="preserve">.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וכעת נצביע על הסתייגות שמספרה 18269. הצבעה כעת. </w:t>
      </w:r>
    </w:p>
    <w:p w:rsidR="00BB59CD" w:rsidRDefault="00BB59CD" w:rsidP="00BB59CD">
      <w:pPr>
        <w:keepNext/>
        <w:rPr>
          <w:rtl/>
          <w:lang w:eastAsia="he-IL"/>
        </w:rPr>
      </w:pPr>
    </w:p>
    <w:p w:rsidR="00BB59CD" w:rsidRDefault="00BB59CD" w:rsidP="00BB59CD">
      <w:pPr>
        <w:pStyle w:val="af4"/>
        <w:keepNext/>
        <w:rPr>
          <w:rtl/>
          <w:lang w:eastAsia="he-IL"/>
        </w:rPr>
      </w:pPr>
      <w:bookmarkStart w:id="82913" w:name="_ETM_Q169_216000"/>
      <w:bookmarkEnd w:id="82913"/>
      <w:r>
        <w:rPr>
          <w:rFonts w:hint="cs"/>
          <w:rtl/>
          <w:lang w:eastAsia="he-IL"/>
        </w:rPr>
        <w:t>הצבעה מס' 84</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18269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64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נצביע כעת על הסתייגות שמספרה 18271. הצבעה כעת. </w:t>
      </w:r>
    </w:p>
    <w:p w:rsidR="00BB59CD" w:rsidRDefault="00BB59CD" w:rsidP="00BB59CD">
      <w:pPr>
        <w:rPr>
          <w:rtl/>
          <w:lang w:eastAsia="he-IL"/>
        </w:rPr>
      </w:pPr>
      <w:bookmarkStart w:id="82914" w:name="_ETM_Q169_245041"/>
      <w:bookmarkStart w:id="82915" w:name="_ETM_Q169_245131"/>
      <w:bookmarkEnd w:id="82914"/>
      <w:bookmarkEnd w:id="82915"/>
    </w:p>
    <w:p w:rsidR="00BB59CD" w:rsidRDefault="00BB59CD" w:rsidP="00BB59CD">
      <w:pPr>
        <w:pStyle w:val="af4"/>
        <w:keepNext/>
        <w:rPr>
          <w:rtl/>
          <w:lang w:eastAsia="he-IL"/>
        </w:rPr>
      </w:pPr>
      <w:bookmarkStart w:id="82916" w:name="_ETM_Q169_245295"/>
      <w:bookmarkStart w:id="82917" w:name="_ETM_Q169_245380"/>
      <w:bookmarkEnd w:id="82916"/>
      <w:bookmarkEnd w:id="82917"/>
      <w:r>
        <w:rPr>
          <w:rFonts w:hint="cs"/>
          <w:rtl/>
          <w:lang w:eastAsia="he-IL"/>
        </w:rPr>
        <w:t>הצבעה מס' 85</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18271 לא נתקבלה.</w:t>
      </w:r>
    </w:p>
    <w:p w:rsidR="00BB59CD" w:rsidRDefault="00BB59CD" w:rsidP="00BB59CD">
      <w:pPr>
        <w:rPr>
          <w:rtl/>
          <w:lang w:eastAsia="he-IL"/>
        </w:rPr>
      </w:pPr>
      <w:bookmarkStart w:id="82918" w:name="_ETM_Q169_240428"/>
      <w:bookmarkEnd w:id="82918"/>
    </w:p>
    <w:p w:rsidR="00BB59CD" w:rsidRDefault="00BB59CD" w:rsidP="00BB59CD">
      <w:pPr>
        <w:pStyle w:val="af8"/>
        <w:rPr>
          <w:rtl/>
        </w:rPr>
      </w:pPr>
      <w:r>
        <w:rPr>
          <w:rStyle w:val="TagStyle"/>
          <w:rFonts w:hint="cs"/>
          <w:rtl/>
        </w:rPr>
        <w:t xml:space="preserve">&lt;&lt; קריאה &gt;&gt; </w:t>
      </w:r>
      <w:r>
        <w:rPr>
          <w:rFonts w:hint="cs"/>
          <w:rtl/>
        </w:rPr>
        <w:t>קריאות:</w:t>
      </w:r>
      <w:r>
        <w:rPr>
          <w:rStyle w:val="TagStyle"/>
          <w:rtl/>
        </w:rPr>
        <w:t xml:space="preserve"> &lt;&lt; קריאה &gt;&gt; </w:t>
      </w:r>
      <w:r>
        <w:rPr>
          <w:rFonts w:hint="cs"/>
          <w:rtl/>
        </w:rPr>
        <w:t xml:space="preserve">   </w:t>
      </w:r>
    </w:p>
    <w:p w:rsidR="00BB59CD" w:rsidRDefault="00BB59CD" w:rsidP="00BB59CD">
      <w:pPr>
        <w:rPr>
          <w:rtl/>
          <w:lang w:eastAsia="he-IL"/>
        </w:rPr>
      </w:pPr>
      <w:bookmarkStart w:id="82919" w:name="_ETM_Q169_243451"/>
      <w:bookmarkStart w:id="82920" w:name="_ETM_Q169_243533"/>
      <w:bookmarkEnd w:id="82919"/>
      <w:bookmarkEnd w:id="82920"/>
    </w:p>
    <w:p w:rsidR="00BB59CD" w:rsidRDefault="00BB59CD" w:rsidP="00BB59CD">
      <w:pPr>
        <w:rPr>
          <w:rtl/>
          <w:lang w:eastAsia="he-IL"/>
        </w:rPr>
      </w:pPr>
      <w:bookmarkStart w:id="82921" w:name="_ETM_Q169_243595"/>
      <w:bookmarkStart w:id="82922" w:name="_ETM_Q169_243677"/>
      <w:bookmarkEnd w:id="82921"/>
      <w:bookmarkEnd w:id="82922"/>
      <w:r>
        <w:rPr>
          <w:rFonts w:hint="cs"/>
          <w:rtl/>
          <w:lang w:eastAsia="he-IL"/>
        </w:rPr>
        <w:t>ממשלת החורבן.</w:t>
      </w:r>
    </w:p>
    <w:p w:rsidR="00BB59CD" w:rsidRDefault="00BB59CD" w:rsidP="00BB59CD">
      <w:pPr>
        <w:rPr>
          <w:rtl/>
          <w:lang w:eastAsia="he-IL"/>
        </w:rPr>
      </w:pPr>
      <w:bookmarkStart w:id="82923" w:name="_ETM_Q169_249179"/>
      <w:bookmarkStart w:id="82924" w:name="_ETM_Q169_249253"/>
      <w:bookmarkStart w:id="82925" w:name="_ETM_Q169_249339"/>
      <w:bookmarkStart w:id="82926" w:name="_ETM_Q169_249412"/>
      <w:bookmarkEnd w:id="82923"/>
      <w:bookmarkEnd w:id="82924"/>
      <w:bookmarkEnd w:id="82925"/>
      <w:bookmarkEnd w:id="82926"/>
    </w:p>
    <w:p w:rsidR="00BB59CD" w:rsidRDefault="00BB59CD" w:rsidP="00BB59CD">
      <w:pPr>
        <w:pStyle w:val="af8"/>
        <w:keepNext/>
        <w:rPr>
          <w:rtl/>
        </w:rPr>
      </w:pPr>
      <w:bookmarkStart w:id="82927" w:name="ET_interruption_5809_28"/>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82927"/>
    </w:p>
    <w:p w:rsidR="00BB59CD" w:rsidRDefault="00BB59CD" w:rsidP="00337201">
      <w:pPr>
        <w:rPr>
          <w:rtl/>
          <w:lang w:eastAsia="he-IL"/>
        </w:rPr>
      </w:pPr>
    </w:p>
    <w:p w:rsidR="00BB59CD" w:rsidRDefault="00BB59CD" w:rsidP="00BB59CD">
      <w:pPr>
        <w:rPr>
          <w:rtl/>
          <w:lang w:eastAsia="he-IL"/>
        </w:rPr>
      </w:pPr>
      <w:bookmarkStart w:id="82928" w:name="_ETM_Q169_261516"/>
      <w:bookmarkEnd w:id="82928"/>
      <w:r>
        <w:rPr>
          <w:rFonts w:hint="cs"/>
          <w:rtl/>
          <w:lang w:eastAsia="he-IL"/>
        </w:rPr>
        <w:t xml:space="preserve">- - - גוררים את העם הזה - </w:t>
      </w:r>
      <w:bookmarkStart w:id="82929" w:name="_ETM_Q169_254886"/>
      <w:bookmarkEnd w:id="82929"/>
      <w:r>
        <w:rPr>
          <w:rFonts w:hint="cs"/>
          <w:rtl/>
          <w:lang w:eastAsia="he-IL"/>
        </w:rPr>
        <w:t xml:space="preserve">- - </w:t>
      </w:r>
    </w:p>
    <w:p w:rsidR="00BB59CD" w:rsidRDefault="00BB59CD" w:rsidP="00BB59CD">
      <w:pPr>
        <w:rPr>
          <w:rtl/>
          <w:lang w:eastAsia="he-IL"/>
        </w:rPr>
      </w:pPr>
    </w:p>
    <w:p w:rsidR="00BB59CD" w:rsidRDefault="00BB59CD" w:rsidP="00BB59CD">
      <w:pPr>
        <w:pStyle w:val="af9"/>
        <w:keepNext/>
        <w:rPr>
          <w:rtl/>
        </w:rPr>
      </w:pPr>
      <w:bookmarkStart w:id="82930" w:name="_ETM_Q169_240504"/>
      <w:bookmarkStart w:id="82931" w:name="_ETM_Q169_242981"/>
      <w:bookmarkStart w:id="82932" w:name="_ETM_Q169_245835"/>
      <w:bookmarkStart w:id="82933" w:name="_ETM_Q169_245900"/>
      <w:bookmarkEnd w:id="82930"/>
      <w:bookmarkEnd w:id="82931"/>
      <w:bookmarkEnd w:id="82932"/>
      <w:bookmarkEnd w:id="8293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w:t>
      </w:r>
      <w:bookmarkStart w:id="82934" w:name="_ETM_Q169_251000"/>
      <w:bookmarkEnd w:id="82934"/>
      <w:r>
        <w:rPr>
          <w:rFonts w:hint="cs"/>
          <w:rtl/>
          <w:lang w:eastAsia="he-IL"/>
        </w:rPr>
        <w:t xml:space="preserve">64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כעת נצביע על הסתייגות</w:t>
      </w:r>
      <w:bookmarkStart w:id="82935" w:name="_ETM_Q169_256000"/>
      <w:bookmarkEnd w:id="82935"/>
      <w:r>
        <w:rPr>
          <w:rFonts w:hint="cs"/>
          <w:rtl/>
          <w:lang w:eastAsia="he-IL"/>
        </w:rPr>
        <w:t xml:space="preserve"> מס' 18272. הצבעה כעת. </w:t>
      </w:r>
    </w:p>
    <w:p w:rsidR="00BB59CD" w:rsidRDefault="00BB59CD" w:rsidP="00BB59CD">
      <w:pPr>
        <w:rPr>
          <w:rtl/>
          <w:lang w:eastAsia="he-IL"/>
        </w:rPr>
      </w:pPr>
      <w:bookmarkStart w:id="82936" w:name="_ETM_Q169_267000"/>
      <w:bookmarkEnd w:id="82936"/>
    </w:p>
    <w:p w:rsidR="00BB59CD" w:rsidRDefault="00BB59CD" w:rsidP="00BB59CD">
      <w:pPr>
        <w:pStyle w:val="af4"/>
        <w:keepNext/>
        <w:rPr>
          <w:rtl/>
          <w:lang w:eastAsia="he-IL"/>
        </w:rPr>
      </w:pPr>
      <w:r>
        <w:rPr>
          <w:rFonts w:hint="cs"/>
          <w:rtl/>
          <w:lang w:eastAsia="he-IL"/>
        </w:rPr>
        <w:t>הצבעה מס' 86</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54</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18272 לא נתקבלה.</w:t>
      </w:r>
    </w:p>
    <w:p w:rsidR="00BB59CD" w:rsidRDefault="00BB59CD" w:rsidP="00BB59CD">
      <w:pPr>
        <w:rPr>
          <w:rtl/>
          <w:lang w:eastAsia="he-IL"/>
        </w:rPr>
      </w:pPr>
    </w:p>
    <w:p w:rsidR="00BB59CD" w:rsidRDefault="00BB59CD" w:rsidP="00BB59CD">
      <w:pPr>
        <w:pStyle w:val="af8"/>
        <w:rPr>
          <w:rtl/>
        </w:rPr>
      </w:pPr>
      <w:r>
        <w:rPr>
          <w:rStyle w:val="TagStyle"/>
          <w:rFonts w:hint="cs"/>
          <w:rtl/>
        </w:rPr>
        <w:t xml:space="preserve">&lt;&lt; קריאה &gt;&gt; </w:t>
      </w:r>
      <w:r>
        <w:rPr>
          <w:rFonts w:hint="cs"/>
          <w:rtl/>
        </w:rPr>
        <w:t>קריאות:</w:t>
      </w:r>
      <w:r>
        <w:rPr>
          <w:rStyle w:val="TagStyle"/>
          <w:rtl/>
        </w:rPr>
        <w:t xml:space="preserve"> &lt;&lt; קריאה &gt;&gt; </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54 בעד, 63 נגד. ההסתייגות לא התקבלה. </w:t>
      </w:r>
    </w:p>
    <w:p w:rsidR="00BB59CD" w:rsidRDefault="00BB59CD" w:rsidP="00BB59CD">
      <w:pPr>
        <w:rPr>
          <w:rtl/>
          <w:lang w:eastAsia="he-IL"/>
        </w:rPr>
      </w:pPr>
      <w:bookmarkStart w:id="82937" w:name="_ETM_Q169_279280"/>
      <w:bookmarkStart w:id="82938" w:name="_ETM_Q169_279328"/>
      <w:bookmarkEnd w:id="82937"/>
      <w:bookmarkEnd w:id="82938"/>
    </w:p>
    <w:p w:rsidR="00BB59CD" w:rsidRDefault="00BB59CD" w:rsidP="00BB59CD">
      <w:pPr>
        <w:rPr>
          <w:rtl/>
          <w:lang w:eastAsia="he-IL"/>
        </w:rPr>
      </w:pPr>
      <w:bookmarkStart w:id="82939" w:name="_ETM_Q169_279456"/>
      <w:bookmarkStart w:id="82940" w:name="_ETM_Q169_279557"/>
      <w:bookmarkEnd w:id="82939"/>
      <w:bookmarkEnd w:id="82940"/>
      <w:r>
        <w:rPr>
          <w:rFonts w:hint="cs"/>
          <w:rtl/>
          <w:lang w:eastAsia="he-IL"/>
        </w:rPr>
        <w:t xml:space="preserve">כעת נצביע על הסתייגות שמספרה 18274. הצבעה כעת. </w:t>
      </w:r>
      <w:bookmarkStart w:id="82941" w:name="_ETM_Q169_285000"/>
      <w:bookmarkEnd w:id="82941"/>
    </w:p>
    <w:p w:rsidR="00BB59CD" w:rsidRDefault="00BB59CD" w:rsidP="00BB59CD">
      <w:pPr>
        <w:rPr>
          <w:rtl/>
          <w:lang w:eastAsia="he-IL"/>
        </w:rPr>
      </w:pPr>
      <w:bookmarkStart w:id="82942" w:name="_ETM_Q169_280599"/>
      <w:bookmarkStart w:id="82943" w:name="_ETM_Q169_280663"/>
      <w:bookmarkEnd w:id="82942"/>
      <w:bookmarkEnd w:id="82943"/>
    </w:p>
    <w:p w:rsidR="00BB59CD" w:rsidRDefault="00BB59CD" w:rsidP="00BB59CD">
      <w:pPr>
        <w:pStyle w:val="af4"/>
        <w:keepNext/>
        <w:rPr>
          <w:rtl/>
          <w:lang w:eastAsia="he-IL"/>
        </w:rPr>
      </w:pPr>
      <w:bookmarkStart w:id="82944" w:name="_ETM_Q169_280742"/>
      <w:bookmarkStart w:id="82945" w:name="_ETM_Q169_280813"/>
      <w:bookmarkStart w:id="82946" w:name="_ETM_Q169_286000"/>
      <w:bookmarkStart w:id="82947" w:name="_ETM_Q169_307000"/>
      <w:bookmarkEnd w:id="82944"/>
      <w:bookmarkEnd w:id="82945"/>
      <w:bookmarkEnd w:id="82946"/>
      <w:bookmarkEnd w:id="82947"/>
      <w:r>
        <w:rPr>
          <w:rFonts w:hint="cs"/>
          <w:rtl/>
          <w:lang w:eastAsia="he-IL"/>
        </w:rPr>
        <w:t>הצבעה מס' 87</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18274 לא נתקבלה.</w:t>
      </w:r>
    </w:p>
    <w:p w:rsidR="00BB59CD" w:rsidRDefault="00BB59CD" w:rsidP="00BB59CD">
      <w:pPr>
        <w:rPr>
          <w:rtl/>
        </w:rPr>
      </w:pPr>
      <w:bookmarkStart w:id="82948" w:name="_ETM_Q169_293321"/>
      <w:bookmarkStart w:id="82949" w:name="_ETM_Q169_296524"/>
      <w:bookmarkStart w:id="82950" w:name="ET_interruption_קריאות_30"/>
      <w:bookmarkEnd w:id="82948"/>
      <w:bookmarkEnd w:id="82949"/>
    </w:p>
    <w:p w:rsidR="00BB59CD" w:rsidRDefault="00BB59CD" w:rsidP="00BB59CD">
      <w:pPr>
        <w:pStyle w:val="af9"/>
        <w:keepNext/>
        <w:rPr>
          <w:rtl/>
        </w:rPr>
      </w:pPr>
      <w:bookmarkStart w:id="82951" w:name="_ETM_Q169_297450"/>
      <w:bookmarkStart w:id="82952" w:name="_ETM_Q169_297520"/>
      <w:bookmarkEnd w:id="82950"/>
      <w:bookmarkEnd w:id="82951"/>
      <w:bookmarkEnd w:id="82952"/>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64 נגד. ההסתייגות לא התקבלה. </w:t>
      </w:r>
      <w:bookmarkStart w:id="82953" w:name="_ETM_Q169_303913"/>
      <w:bookmarkEnd w:id="82953"/>
    </w:p>
    <w:p w:rsidR="00BB59CD" w:rsidRDefault="00BB59CD" w:rsidP="00BB59CD">
      <w:pPr>
        <w:rPr>
          <w:rtl/>
          <w:lang w:eastAsia="he-IL"/>
        </w:rPr>
      </w:pPr>
      <w:bookmarkStart w:id="82954" w:name="_ETM_Q169_303963"/>
      <w:bookmarkEnd w:id="82954"/>
    </w:p>
    <w:p w:rsidR="00BB59CD" w:rsidRDefault="00BB59CD" w:rsidP="00BB59CD">
      <w:pPr>
        <w:rPr>
          <w:rtl/>
          <w:lang w:eastAsia="he-IL"/>
        </w:rPr>
      </w:pPr>
      <w:bookmarkStart w:id="82955" w:name="_ETM_Q169_304073"/>
      <w:bookmarkStart w:id="82956" w:name="_ETM_Q169_304151"/>
      <w:bookmarkEnd w:id="82955"/>
      <w:bookmarkEnd w:id="82956"/>
      <w:r>
        <w:rPr>
          <w:rFonts w:hint="cs"/>
          <w:rtl/>
          <w:lang w:eastAsia="he-IL"/>
        </w:rPr>
        <w:t xml:space="preserve">כעת נצביע על </w:t>
      </w:r>
      <w:bookmarkStart w:id="82957" w:name="_ETM_Q169_302000"/>
      <w:bookmarkEnd w:id="82957"/>
      <w:r>
        <w:rPr>
          <w:rFonts w:hint="cs"/>
          <w:rtl/>
          <w:lang w:eastAsia="he-IL"/>
        </w:rPr>
        <w:t xml:space="preserve">הסתייגות מס' 18276. הצבעה כעת. </w:t>
      </w:r>
    </w:p>
    <w:p w:rsidR="00BB59CD" w:rsidRDefault="00BB59CD" w:rsidP="00BB59CD">
      <w:pPr>
        <w:rPr>
          <w:rtl/>
          <w:lang w:eastAsia="he-IL"/>
        </w:rPr>
      </w:pPr>
      <w:bookmarkStart w:id="82958" w:name="_ETM_Q169_316845"/>
      <w:bookmarkEnd w:id="82958"/>
    </w:p>
    <w:p w:rsidR="00BB59CD" w:rsidRDefault="00BB59CD" w:rsidP="00BB59CD">
      <w:pPr>
        <w:pStyle w:val="af4"/>
        <w:keepNext/>
        <w:rPr>
          <w:rtl/>
          <w:lang w:eastAsia="he-IL"/>
        </w:rPr>
      </w:pPr>
      <w:bookmarkStart w:id="82959" w:name="_ETM_Q169_316938"/>
      <w:bookmarkStart w:id="82960" w:name="_ETM_Q169_319069"/>
      <w:bookmarkStart w:id="82961" w:name="_ETM_Q169_323531"/>
      <w:bookmarkStart w:id="82962" w:name="_ETM_Q169_310000"/>
      <w:bookmarkEnd w:id="82959"/>
      <w:bookmarkEnd w:id="82960"/>
      <w:bookmarkEnd w:id="82961"/>
      <w:bookmarkEnd w:id="82962"/>
      <w:r>
        <w:rPr>
          <w:rFonts w:hint="cs"/>
          <w:rtl/>
          <w:lang w:eastAsia="he-IL"/>
        </w:rPr>
        <w:t>הצבעה מס' 88</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18276 לא נתקבלה.</w:t>
      </w:r>
    </w:p>
    <w:p w:rsidR="00BB59CD" w:rsidRDefault="00BB59CD" w:rsidP="00BB59CD">
      <w:pPr>
        <w:rPr>
          <w:rtl/>
          <w:lang w:eastAsia="he-IL"/>
        </w:rPr>
      </w:pPr>
    </w:p>
    <w:p w:rsidR="00BB59CD" w:rsidRDefault="00BB59CD" w:rsidP="00BB59CD">
      <w:pPr>
        <w:pStyle w:val="af8"/>
        <w:rPr>
          <w:rtl/>
        </w:rPr>
      </w:pPr>
      <w:r>
        <w:rPr>
          <w:rStyle w:val="TagStyle"/>
          <w:rFonts w:hint="cs"/>
          <w:rtl/>
        </w:rPr>
        <w:t xml:space="preserve">&lt;&lt; קריאה &gt;&gt; </w:t>
      </w:r>
      <w:r>
        <w:rPr>
          <w:rFonts w:hint="cs"/>
          <w:rtl/>
        </w:rPr>
        <w:t>קריאות:</w:t>
      </w:r>
      <w:r>
        <w:rPr>
          <w:rStyle w:val="TagStyle"/>
          <w:rtl/>
        </w:rPr>
        <w:t xml:space="preserve"> &lt;&lt; קריאה &gt;&gt; </w:t>
      </w:r>
      <w:r>
        <w:rPr>
          <w:rFonts w:hint="cs"/>
          <w:rtl/>
        </w:rPr>
        <w:t xml:space="preserve">   </w:t>
      </w:r>
    </w:p>
    <w:p w:rsidR="00BB59CD" w:rsidRDefault="00BB59CD" w:rsidP="00BB59CD">
      <w:pPr>
        <w:rPr>
          <w:rtl/>
          <w:lang w:eastAsia="he-IL"/>
        </w:rPr>
      </w:pPr>
      <w:bookmarkStart w:id="82963" w:name="_ETM_Q169_319592"/>
      <w:bookmarkStart w:id="82964" w:name="_ETM_Q169_319700"/>
      <w:bookmarkEnd w:id="82963"/>
      <w:bookmarkEnd w:id="82964"/>
    </w:p>
    <w:p w:rsidR="00BB59CD" w:rsidRDefault="00BB59CD" w:rsidP="00BB59CD">
      <w:pPr>
        <w:rPr>
          <w:rtl/>
          <w:lang w:eastAsia="he-IL"/>
        </w:rPr>
      </w:pPr>
      <w:bookmarkStart w:id="82965" w:name="_ETM_Q169_319929"/>
      <w:bookmarkStart w:id="82966" w:name="_ETM_Q169_320014"/>
      <w:bookmarkEnd w:id="82965"/>
      <w:bookmarkEnd w:id="82966"/>
      <w:r>
        <w:rPr>
          <w:rFonts w:hint="cs"/>
          <w:rtl/>
          <w:lang w:eastAsia="he-IL"/>
        </w:rPr>
        <w:t xml:space="preserve">- - - </w:t>
      </w:r>
      <w:bookmarkStart w:id="82967" w:name="_ETM_Q169_323432"/>
      <w:bookmarkEnd w:id="82967"/>
    </w:p>
    <w:p w:rsidR="00BB59CD" w:rsidRDefault="00BB59CD" w:rsidP="00BB59CD">
      <w:pPr>
        <w:rPr>
          <w:rtl/>
        </w:rPr>
      </w:pPr>
    </w:p>
    <w:p w:rsidR="00BB59CD" w:rsidRDefault="00BB59CD" w:rsidP="00BB59CD">
      <w:pPr>
        <w:pStyle w:val="af9"/>
        <w:keepNext/>
        <w:rPr>
          <w:rtl/>
        </w:rPr>
      </w:pPr>
      <w:bookmarkStart w:id="82968" w:name="_ETM_Q169_320000"/>
      <w:bookmarkEnd w:id="8296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2969" w:name="_ETM_Q169_318000"/>
      <w:bookmarkEnd w:id="82969"/>
      <w:r>
        <w:rPr>
          <w:rFonts w:hint="cs"/>
          <w:rtl/>
          <w:lang w:eastAsia="he-IL"/>
        </w:rPr>
        <w:t xml:space="preserve">53 בעד, 64 נגד. </w:t>
      </w:r>
      <w:bookmarkStart w:id="82970" w:name="_ETM_Q169_324000"/>
      <w:bookmarkEnd w:id="82970"/>
      <w:r>
        <w:rPr>
          <w:rFonts w:hint="cs"/>
          <w:rtl/>
          <w:lang w:eastAsia="he-IL"/>
        </w:rPr>
        <w:t xml:space="preserve">ההסתייגות לא התקבלה. </w:t>
      </w:r>
    </w:p>
    <w:p w:rsidR="00BB59CD" w:rsidRDefault="00BB59CD" w:rsidP="00BB59CD">
      <w:pPr>
        <w:rPr>
          <w:rtl/>
          <w:lang w:eastAsia="he-IL"/>
        </w:rPr>
      </w:pPr>
      <w:bookmarkStart w:id="82971" w:name="_ETM_Q169_328169"/>
      <w:bookmarkStart w:id="82972" w:name="_ETM_Q169_328244"/>
      <w:bookmarkEnd w:id="82971"/>
      <w:bookmarkEnd w:id="82972"/>
    </w:p>
    <w:p w:rsidR="00BB59CD" w:rsidRDefault="00BB59CD" w:rsidP="00BB59CD">
      <w:pPr>
        <w:rPr>
          <w:rtl/>
          <w:lang w:eastAsia="he-IL"/>
        </w:rPr>
      </w:pPr>
      <w:bookmarkStart w:id="82973" w:name="_ETM_Q169_328344"/>
      <w:bookmarkStart w:id="82974" w:name="_ETM_Q169_328450"/>
      <w:bookmarkEnd w:id="82973"/>
      <w:bookmarkEnd w:id="82974"/>
      <w:r>
        <w:rPr>
          <w:rFonts w:hint="cs"/>
          <w:rtl/>
          <w:lang w:eastAsia="he-IL"/>
        </w:rPr>
        <w:t xml:space="preserve">נצביע כעת על הסתייגות </w:t>
      </w:r>
      <w:bookmarkStart w:id="82975" w:name="_ETM_Q169_217000"/>
      <w:bookmarkEnd w:id="82975"/>
      <w:r>
        <w:rPr>
          <w:rFonts w:hint="cs"/>
          <w:rtl/>
          <w:lang w:eastAsia="he-IL"/>
        </w:rPr>
        <w:t xml:space="preserve">18277. הצבעה כעת. </w:t>
      </w:r>
      <w:bookmarkStart w:id="82976" w:name="_ETM_Q169_326000"/>
      <w:bookmarkStart w:id="82977" w:name="_ETM_Q169_205000"/>
      <w:bookmarkStart w:id="82978" w:name="_ETM_Q169_344745"/>
      <w:bookmarkEnd w:id="82976"/>
      <w:bookmarkEnd w:id="82977"/>
      <w:bookmarkEnd w:id="82978"/>
    </w:p>
    <w:p w:rsidR="00BB59CD" w:rsidRDefault="00BB59CD" w:rsidP="00BB59CD">
      <w:pPr>
        <w:rPr>
          <w:rtl/>
          <w:lang w:eastAsia="he-IL"/>
        </w:rPr>
      </w:pPr>
      <w:bookmarkStart w:id="82979" w:name="_ETM_Q169_354360"/>
      <w:bookmarkStart w:id="82980" w:name="_ETM_Q169_354451"/>
      <w:bookmarkEnd w:id="82979"/>
      <w:bookmarkEnd w:id="82980"/>
    </w:p>
    <w:p w:rsidR="00BB59CD" w:rsidRDefault="00BB59CD" w:rsidP="00BB59CD">
      <w:pPr>
        <w:pStyle w:val="af4"/>
        <w:keepNext/>
        <w:rPr>
          <w:rtl/>
          <w:lang w:eastAsia="he-IL"/>
        </w:rPr>
      </w:pPr>
      <w:bookmarkStart w:id="82981" w:name="_ETM_Q169_354521"/>
      <w:bookmarkStart w:id="82982" w:name="_ETM_Q169_354590"/>
      <w:bookmarkStart w:id="82983" w:name="_ETM_Q169_356977"/>
      <w:bookmarkStart w:id="82984" w:name="_ETM_Q169_344823"/>
      <w:bookmarkStart w:id="82985" w:name="_ETM_Q169_344937"/>
      <w:bookmarkStart w:id="82986" w:name="_ETM_Q169_345030"/>
      <w:bookmarkEnd w:id="82981"/>
      <w:bookmarkEnd w:id="82982"/>
      <w:bookmarkEnd w:id="82983"/>
      <w:bookmarkEnd w:id="82984"/>
      <w:bookmarkEnd w:id="82985"/>
      <w:bookmarkEnd w:id="82986"/>
      <w:r>
        <w:rPr>
          <w:rFonts w:hint="cs"/>
          <w:rtl/>
          <w:lang w:eastAsia="he-IL"/>
        </w:rPr>
        <w:t>הצבעה מס' 89</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18277 לא נתקבלה.</w:t>
      </w:r>
    </w:p>
    <w:p w:rsidR="00BB59CD" w:rsidRDefault="00BB59CD" w:rsidP="00BB59CD">
      <w:pPr>
        <w:rPr>
          <w:rtl/>
          <w:lang w:eastAsia="he-IL"/>
        </w:rPr>
      </w:pPr>
    </w:p>
    <w:p w:rsidR="00BB59CD" w:rsidRDefault="00BB59CD" w:rsidP="00BB59CD">
      <w:pPr>
        <w:pStyle w:val="af8"/>
        <w:rPr>
          <w:rtl/>
        </w:rPr>
      </w:pPr>
      <w:r>
        <w:rPr>
          <w:rStyle w:val="TagStyle"/>
          <w:rFonts w:hint="cs"/>
          <w:rtl/>
        </w:rPr>
        <w:t xml:space="preserve">&lt;&lt; קריאה &gt;&gt; </w:t>
      </w:r>
      <w:r>
        <w:rPr>
          <w:rFonts w:hint="cs"/>
          <w:rtl/>
        </w:rPr>
        <w:t>מיקי לוי (יש עתיד):</w:t>
      </w:r>
      <w:r>
        <w:rPr>
          <w:rStyle w:val="TagStyle"/>
          <w:rtl/>
        </w:rPr>
        <w:t xml:space="preserve"> &lt;&lt; קריאה &gt;&gt; </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ממשלת החורבן.</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אתם תהיו ממשלה בלי אזרחים -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64 נגד. גם הסתייגות זו לא התקבלה. </w:t>
      </w:r>
      <w:bookmarkStart w:id="82987" w:name="_ETM_Q169_349000"/>
      <w:bookmarkEnd w:id="82987"/>
    </w:p>
    <w:p w:rsidR="00BB59CD" w:rsidRDefault="00BB59CD" w:rsidP="00BB59CD">
      <w:pPr>
        <w:rPr>
          <w:rtl/>
          <w:lang w:eastAsia="he-IL"/>
        </w:rPr>
      </w:pPr>
      <w:bookmarkStart w:id="82988" w:name="_ETM_Q169_352873"/>
      <w:bookmarkStart w:id="82989" w:name="_ETM_Q169_352915"/>
      <w:bookmarkEnd w:id="82988"/>
      <w:bookmarkEnd w:id="82989"/>
    </w:p>
    <w:p w:rsidR="00BB59CD" w:rsidRDefault="00BB59CD" w:rsidP="00BB59CD">
      <w:pPr>
        <w:rPr>
          <w:rtl/>
          <w:lang w:eastAsia="he-IL"/>
        </w:rPr>
      </w:pPr>
      <w:bookmarkStart w:id="82990" w:name="_ETM_Q169_353017"/>
      <w:bookmarkStart w:id="82991" w:name="_ETM_Q169_353145"/>
      <w:bookmarkEnd w:id="82990"/>
      <w:bookmarkEnd w:id="82991"/>
      <w:r>
        <w:rPr>
          <w:rFonts w:hint="cs"/>
          <w:rtl/>
          <w:lang w:eastAsia="he-IL"/>
        </w:rPr>
        <w:t xml:space="preserve">נצביע כעת על הסתייגות שמספרה 18278. הצבעה כעת. </w:t>
      </w:r>
    </w:p>
    <w:p w:rsidR="00BB59CD" w:rsidRDefault="00BB59CD" w:rsidP="00BB59CD">
      <w:pPr>
        <w:rPr>
          <w:rtl/>
          <w:lang w:eastAsia="he-IL"/>
        </w:rPr>
      </w:pPr>
      <w:bookmarkStart w:id="82992" w:name="_ETM_Q169_370121"/>
      <w:bookmarkStart w:id="82993" w:name="_ETM_Q169_370199"/>
      <w:bookmarkStart w:id="82994" w:name="_ETM_Q169_370281"/>
      <w:bookmarkStart w:id="82995" w:name="_ETM_Q169_370365"/>
      <w:bookmarkEnd w:id="82992"/>
      <w:bookmarkEnd w:id="82993"/>
      <w:bookmarkEnd w:id="82994"/>
      <w:bookmarkEnd w:id="82995"/>
      <w:r>
        <w:rPr>
          <w:rFonts w:hint="cs"/>
          <w:rtl/>
          <w:lang w:eastAsia="he-IL"/>
        </w:rPr>
        <w:t xml:space="preserve"> </w:t>
      </w:r>
    </w:p>
    <w:p w:rsidR="00BB59CD" w:rsidRDefault="00BB59CD" w:rsidP="00BB59CD">
      <w:pPr>
        <w:pStyle w:val="af4"/>
        <w:keepNext/>
        <w:rPr>
          <w:rtl/>
          <w:lang w:eastAsia="he-IL"/>
        </w:rPr>
      </w:pPr>
      <w:bookmarkStart w:id="82996" w:name="_ETM_Q169_375340"/>
      <w:bookmarkStart w:id="82997" w:name="_ETM_Q169_375451"/>
      <w:bookmarkEnd w:id="82996"/>
      <w:bookmarkEnd w:id="82997"/>
      <w:r>
        <w:rPr>
          <w:rFonts w:hint="cs"/>
          <w:rtl/>
          <w:lang w:eastAsia="he-IL"/>
        </w:rPr>
        <w:t>הצבעה מס' 90</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18278 לא נתקבלה.</w:t>
      </w:r>
    </w:p>
    <w:p w:rsidR="00BB59CD" w:rsidRDefault="00BB59CD" w:rsidP="00BB59CD">
      <w:pPr>
        <w:rPr>
          <w:rtl/>
          <w:lang w:eastAsia="he-IL"/>
        </w:rPr>
      </w:pPr>
    </w:p>
    <w:p w:rsidR="00BB59CD" w:rsidRDefault="00BB59CD" w:rsidP="00BB59CD">
      <w:pPr>
        <w:pStyle w:val="af8"/>
        <w:rPr>
          <w:rtl/>
        </w:rPr>
      </w:pPr>
      <w:bookmarkStart w:id="82998" w:name="ET_interruption_קריאות_34"/>
      <w:r>
        <w:rPr>
          <w:rStyle w:val="TagStyle"/>
          <w:rFonts w:hint="cs"/>
          <w:rtl/>
        </w:rPr>
        <w:t xml:space="preserve">&lt;&lt; קריאה &gt;&gt; </w:t>
      </w:r>
      <w:r>
        <w:rPr>
          <w:rFonts w:hint="cs"/>
          <w:rtl/>
        </w:rPr>
        <w:t>קריאות:</w:t>
      </w:r>
      <w:r>
        <w:rPr>
          <w:rStyle w:val="TagStyle"/>
          <w:rtl/>
        </w:rPr>
        <w:t xml:space="preserve"> &lt;&lt; קריאה &gt;&gt; </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 - </w:t>
      </w:r>
    </w:p>
    <w:bookmarkEnd w:id="82998"/>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w:t>
      </w:r>
      <w:bookmarkStart w:id="82999" w:name="_ETM_Q169_372000"/>
      <w:bookmarkEnd w:id="82999"/>
      <w:r>
        <w:rPr>
          <w:rFonts w:hint="cs"/>
          <w:rtl/>
          <w:lang w:eastAsia="he-IL"/>
        </w:rPr>
        <w:t xml:space="preserve">63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נצביע כעת על הסתייגות שמספרה</w:t>
      </w:r>
      <w:bookmarkStart w:id="83000" w:name="_ETM_Q169_374000"/>
      <w:bookmarkEnd w:id="83000"/>
      <w:r>
        <w:rPr>
          <w:rFonts w:hint="cs"/>
          <w:rtl/>
          <w:lang w:eastAsia="he-IL"/>
        </w:rPr>
        <w:t xml:space="preserve"> 18280, הצבעה כעת. </w:t>
      </w:r>
      <w:bookmarkStart w:id="83001" w:name="_ETM_Q169_386439"/>
      <w:bookmarkEnd w:id="83001"/>
    </w:p>
    <w:p w:rsidR="00BB59CD" w:rsidRDefault="00BB59CD" w:rsidP="00BB59CD">
      <w:pPr>
        <w:rPr>
          <w:rtl/>
          <w:lang w:eastAsia="he-IL"/>
        </w:rPr>
      </w:pPr>
      <w:bookmarkStart w:id="83002" w:name="_ETM_Q169_386507"/>
      <w:bookmarkEnd w:id="83002"/>
    </w:p>
    <w:p w:rsidR="00BB59CD" w:rsidRDefault="00BB59CD" w:rsidP="00BB59CD">
      <w:pPr>
        <w:pStyle w:val="af4"/>
        <w:keepNext/>
        <w:rPr>
          <w:rtl/>
          <w:lang w:eastAsia="he-IL"/>
        </w:rPr>
      </w:pPr>
      <w:bookmarkStart w:id="83003" w:name="_ETM_Q169_386599"/>
      <w:bookmarkStart w:id="83004" w:name="_ETM_Q169_386664"/>
      <w:bookmarkStart w:id="83005" w:name="_ETM_Q169_389457"/>
      <w:bookmarkEnd w:id="83003"/>
      <w:bookmarkEnd w:id="83004"/>
      <w:bookmarkEnd w:id="83005"/>
      <w:r>
        <w:rPr>
          <w:rFonts w:hint="cs"/>
          <w:rtl/>
          <w:lang w:eastAsia="he-IL"/>
        </w:rPr>
        <w:t>הצבעה מס' 91</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54</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18280 לא נתקבלה.</w:t>
      </w:r>
    </w:p>
    <w:p w:rsidR="00BB59CD" w:rsidRDefault="00BB59CD" w:rsidP="00BB59CD">
      <w:pPr>
        <w:rPr>
          <w:rtl/>
          <w:lang w:eastAsia="he-IL"/>
        </w:rPr>
      </w:pPr>
    </w:p>
    <w:p w:rsidR="00BB59CD" w:rsidRDefault="00BB59CD" w:rsidP="00BB59CD">
      <w:pPr>
        <w:pStyle w:val="af8"/>
        <w:rPr>
          <w:rtl/>
        </w:rPr>
      </w:pPr>
      <w:bookmarkStart w:id="83006" w:name="ET_interruption_קריאות_35"/>
      <w:r>
        <w:rPr>
          <w:rStyle w:val="TagStyle"/>
          <w:rFonts w:hint="cs"/>
          <w:rtl/>
        </w:rPr>
        <w:t xml:space="preserve">&lt;&lt; קריאה &gt;&gt; </w:t>
      </w:r>
      <w:r>
        <w:rPr>
          <w:rFonts w:hint="cs"/>
          <w:rtl/>
        </w:rPr>
        <w:t>קריאה:</w:t>
      </w:r>
      <w:r>
        <w:rPr>
          <w:rStyle w:val="TagStyle"/>
          <w:rtl/>
        </w:rPr>
        <w:t xml:space="preserve"> &lt;&lt; קריאה &gt;&gt; </w:t>
      </w:r>
      <w:r>
        <w:rPr>
          <w:rFonts w:hint="cs"/>
          <w:rtl/>
        </w:rPr>
        <w:t xml:space="preserve">   </w:t>
      </w:r>
    </w:p>
    <w:p w:rsidR="00BB59CD" w:rsidRDefault="00BB59CD" w:rsidP="00BB59CD">
      <w:pPr>
        <w:rPr>
          <w:rtl/>
          <w:lang w:eastAsia="he-IL"/>
        </w:rPr>
      </w:pPr>
      <w:bookmarkStart w:id="83007" w:name="_ETM_Q169_389975"/>
      <w:bookmarkStart w:id="83008" w:name="_ETM_Q169_390061"/>
      <w:bookmarkEnd w:id="83007"/>
      <w:bookmarkEnd w:id="83008"/>
    </w:p>
    <w:p w:rsidR="00BB59CD" w:rsidRDefault="00BB59CD" w:rsidP="00BB59CD">
      <w:pPr>
        <w:rPr>
          <w:rtl/>
          <w:lang w:eastAsia="he-IL"/>
        </w:rPr>
      </w:pPr>
      <w:bookmarkStart w:id="83009" w:name="_ETM_Q169_390119"/>
      <w:bookmarkStart w:id="83010" w:name="_ETM_Q169_390249"/>
      <w:bookmarkEnd w:id="83009"/>
      <w:bookmarkEnd w:id="83010"/>
      <w:r>
        <w:rPr>
          <w:rFonts w:hint="cs"/>
          <w:rtl/>
          <w:lang w:eastAsia="he-IL"/>
        </w:rPr>
        <w:t>יואב גלנט, איפה האחריות שלך? איפה האחריות שלך על הביטחון?</w:t>
      </w:r>
      <w:bookmarkStart w:id="83011" w:name="_ETM_Q169_398791"/>
      <w:bookmarkEnd w:id="83011"/>
      <w:r>
        <w:rPr>
          <w:rFonts w:hint="cs"/>
          <w:lang w:eastAsia="he-IL"/>
        </w:rPr>
        <w:t xml:space="preserve"> </w:t>
      </w:r>
      <w:r>
        <w:rPr>
          <w:rFonts w:hint="cs"/>
          <w:rtl/>
          <w:lang w:eastAsia="he-IL"/>
        </w:rPr>
        <w:t xml:space="preserve"> </w:t>
      </w:r>
      <w:bookmarkStart w:id="83012" w:name="_ETM_Q169_390950"/>
      <w:bookmarkEnd w:id="83012"/>
      <w:r>
        <w:rPr>
          <w:rFonts w:hint="cs"/>
          <w:rtl/>
          <w:lang w:eastAsia="he-IL"/>
        </w:rPr>
        <w:t xml:space="preserve"> </w:t>
      </w:r>
    </w:p>
    <w:bookmarkEnd w:id="83006"/>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013" w:name="_ETM_Q169_395000"/>
      <w:bookmarkEnd w:id="83013"/>
      <w:r>
        <w:rPr>
          <w:rFonts w:hint="cs"/>
          <w:rtl/>
          <w:lang w:eastAsia="he-IL"/>
        </w:rPr>
        <w:t xml:space="preserve">54 בעד, 63 נגד. ההסתייגות </w:t>
      </w:r>
      <w:bookmarkStart w:id="83014" w:name="_ETM_Q169_399000"/>
      <w:bookmarkEnd w:id="83014"/>
      <w:r>
        <w:rPr>
          <w:rFonts w:hint="cs"/>
          <w:rtl/>
          <w:lang w:eastAsia="he-IL"/>
        </w:rPr>
        <w:t xml:space="preserve">לא התקבלה. </w:t>
      </w:r>
      <w:bookmarkStart w:id="83015" w:name="_ETM_Q169_404807"/>
      <w:bookmarkEnd w:id="83015"/>
    </w:p>
    <w:p w:rsidR="00BB59CD" w:rsidRDefault="00BB59CD" w:rsidP="00BB59CD">
      <w:pPr>
        <w:rPr>
          <w:rtl/>
          <w:lang w:eastAsia="he-IL"/>
        </w:rPr>
      </w:pPr>
      <w:bookmarkStart w:id="83016" w:name="_ETM_Q169_404848"/>
      <w:bookmarkEnd w:id="83016"/>
    </w:p>
    <w:p w:rsidR="00BB59CD" w:rsidRDefault="00BB59CD" w:rsidP="00BB59CD">
      <w:pPr>
        <w:rPr>
          <w:rtl/>
          <w:lang w:eastAsia="he-IL"/>
        </w:rPr>
      </w:pPr>
      <w:bookmarkStart w:id="83017" w:name="_ETM_Q169_404967"/>
      <w:bookmarkStart w:id="83018" w:name="_ETM_Q169_405054"/>
      <w:bookmarkEnd w:id="83017"/>
      <w:bookmarkEnd w:id="83018"/>
      <w:r>
        <w:rPr>
          <w:rFonts w:hint="cs"/>
          <w:rtl/>
          <w:lang w:eastAsia="he-IL"/>
        </w:rPr>
        <w:t xml:space="preserve">נצביע כעת על הסתייגות שמספרה 18281. הצבעה כעת. </w:t>
      </w:r>
      <w:bookmarkStart w:id="83019" w:name="_ETM_Q169_409000"/>
      <w:bookmarkEnd w:id="83019"/>
    </w:p>
    <w:p w:rsidR="00BB59CD" w:rsidRDefault="00BB59CD" w:rsidP="00BB59CD">
      <w:pPr>
        <w:rPr>
          <w:rtl/>
          <w:lang w:eastAsia="he-IL"/>
        </w:rPr>
      </w:pPr>
      <w:bookmarkStart w:id="83020" w:name="_ETM_Q169_408584"/>
      <w:bookmarkEnd w:id="83020"/>
    </w:p>
    <w:p w:rsidR="00BB59CD" w:rsidRDefault="00BB59CD" w:rsidP="00BB59CD">
      <w:pPr>
        <w:pStyle w:val="af4"/>
        <w:keepNext/>
        <w:rPr>
          <w:rtl/>
          <w:lang w:eastAsia="he-IL"/>
        </w:rPr>
      </w:pPr>
      <w:bookmarkStart w:id="83021" w:name="_ETM_Q169_408666"/>
      <w:bookmarkStart w:id="83022" w:name="_ETM_Q169_411635"/>
      <w:bookmarkEnd w:id="83021"/>
      <w:bookmarkEnd w:id="83022"/>
      <w:r>
        <w:rPr>
          <w:rFonts w:hint="cs"/>
          <w:rtl/>
          <w:lang w:eastAsia="he-IL"/>
        </w:rPr>
        <w:t>הצבעה מס' 92</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18281 לא נתקבלה.</w:t>
      </w:r>
    </w:p>
    <w:p w:rsidR="00BB59CD" w:rsidRDefault="00BB59CD" w:rsidP="00BB59CD">
      <w:pPr>
        <w:rPr>
          <w:rtl/>
        </w:rPr>
      </w:pPr>
      <w:bookmarkStart w:id="83023" w:name="ET_interruption_קריאות_36"/>
    </w:p>
    <w:p w:rsidR="00BB59CD" w:rsidRDefault="00BB59CD" w:rsidP="00BB59CD">
      <w:pPr>
        <w:pStyle w:val="af8"/>
        <w:rPr>
          <w:rtl/>
        </w:rPr>
      </w:pPr>
      <w:r>
        <w:rPr>
          <w:rStyle w:val="TagStyle"/>
          <w:rFonts w:hint="cs"/>
          <w:rtl/>
        </w:rPr>
        <w:t xml:space="preserve">&lt;&lt; קריאה &gt;&gt; </w:t>
      </w:r>
      <w:r>
        <w:rPr>
          <w:rFonts w:hint="cs"/>
          <w:rtl/>
        </w:rPr>
        <w:t>קריאה:</w:t>
      </w:r>
      <w:r>
        <w:rPr>
          <w:rStyle w:val="TagStyle"/>
          <w:rtl/>
        </w:rPr>
        <w:t xml:space="preserve"> &lt;&lt; קריאה &gt;&gt; </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לכו לשמוע את הרמטכ"ל.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הבוס שלך היה בעד עילת הסבירות. יאיר לפיד אמר שצמצום עילת הסבירות - - - </w:t>
      </w:r>
    </w:p>
    <w:p w:rsidR="00BB59CD" w:rsidRDefault="00BB59CD" w:rsidP="00BB59CD">
      <w:pPr>
        <w:rPr>
          <w:rtl/>
          <w:lang w:eastAsia="he-IL"/>
        </w:rPr>
      </w:pPr>
    </w:p>
    <w:bookmarkEnd w:id="83023"/>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63 נגד. ההסתייגות לא התקבלה. </w:t>
      </w:r>
    </w:p>
    <w:p w:rsidR="00BB59CD" w:rsidRDefault="00BB59CD" w:rsidP="00BB59CD">
      <w:pPr>
        <w:rPr>
          <w:rtl/>
          <w:lang w:eastAsia="he-IL"/>
        </w:rPr>
      </w:pPr>
      <w:bookmarkStart w:id="83024" w:name="_ETM_Q169_426601"/>
      <w:bookmarkStart w:id="83025" w:name="_ETM_Q169_426668"/>
      <w:bookmarkStart w:id="83026" w:name="_ETM_Q169_426745"/>
      <w:bookmarkEnd w:id="83024"/>
      <w:bookmarkEnd w:id="83025"/>
      <w:bookmarkEnd w:id="83026"/>
    </w:p>
    <w:p w:rsidR="00BB59CD" w:rsidRDefault="00BB59CD" w:rsidP="00BB59CD">
      <w:pPr>
        <w:rPr>
          <w:rtl/>
          <w:lang w:eastAsia="he-IL"/>
        </w:rPr>
      </w:pPr>
      <w:bookmarkStart w:id="83027" w:name="_ETM_Q169_426837"/>
      <w:bookmarkEnd w:id="83027"/>
      <w:r>
        <w:rPr>
          <w:rFonts w:hint="cs"/>
          <w:rtl/>
          <w:lang w:eastAsia="he-IL"/>
        </w:rPr>
        <w:t xml:space="preserve">אנחנו נצביע כעת </w:t>
      </w:r>
      <w:bookmarkStart w:id="83028" w:name="_ETM_Q169_426000"/>
      <w:bookmarkEnd w:id="83028"/>
      <w:r>
        <w:rPr>
          <w:rFonts w:hint="cs"/>
          <w:rtl/>
          <w:lang w:eastAsia="he-IL"/>
        </w:rPr>
        <w:t xml:space="preserve">על הסתייגות 18282. הצבעה כעת. </w:t>
      </w:r>
    </w:p>
    <w:p w:rsidR="00BB59CD" w:rsidRDefault="00BB59CD" w:rsidP="00BB59CD">
      <w:pPr>
        <w:rPr>
          <w:rtl/>
          <w:lang w:eastAsia="he-IL"/>
        </w:rPr>
      </w:pPr>
      <w:bookmarkStart w:id="83029" w:name="_ETM_Q169_448281"/>
      <w:bookmarkStart w:id="83030" w:name="_ETM_Q169_448365"/>
      <w:bookmarkEnd w:id="83029"/>
      <w:bookmarkEnd w:id="83030"/>
    </w:p>
    <w:p w:rsidR="00BB59CD" w:rsidRDefault="00BB59CD" w:rsidP="00BB59CD">
      <w:pPr>
        <w:pStyle w:val="af4"/>
        <w:keepNext/>
        <w:rPr>
          <w:rtl/>
          <w:lang w:eastAsia="he-IL"/>
        </w:rPr>
      </w:pPr>
      <w:bookmarkStart w:id="83031" w:name="_ETM_Q169_448441"/>
      <w:bookmarkStart w:id="83032" w:name="_ETM_Q169_448535"/>
      <w:bookmarkEnd w:id="83031"/>
      <w:bookmarkEnd w:id="83032"/>
      <w:r>
        <w:rPr>
          <w:rFonts w:hint="cs"/>
          <w:rtl/>
          <w:lang w:eastAsia="he-IL"/>
        </w:rPr>
        <w:t>הצבעה מס' 93</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18282 לא נתקבלה.</w:t>
      </w:r>
    </w:p>
    <w:p w:rsidR="00BB59CD" w:rsidRDefault="00BB59CD" w:rsidP="00BB59CD">
      <w:pPr>
        <w:rPr>
          <w:rtl/>
        </w:rPr>
      </w:pPr>
    </w:p>
    <w:p w:rsidR="00BB59CD" w:rsidRDefault="00BB59CD" w:rsidP="00BB59CD">
      <w:pPr>
        <w:pStyle w:val="af8"/>
        <w:rPr>
          <w:rtl/>
        </w:rPr>
      </w:pPr>
      <w:r>
        <w:rPr>
          <w:rStyle w:val="TagStyle"/>
          <w:rFonts w:hint="cs"/>
          <w:rtl/>
        </w:rPr>
        <w:t xml:space="preserve">&lt;&lt; קריאה &gt;&gt; </w:t>
      </w:r>
      <w:r>
        <w:rPr>
          <w:rFonts w:hint="cs"/>
          <w:rtl/>
        </w:rPr>
        <w:t>קריאות:</w:t>
      </w:r>
      <w:r>
        <w:rPr>
          <w:rStyle w:val="TagStyle"/>
          <w:rtl/>
        </w:rPr>
        <w:t xml:space="preserve"> &lt;&lt; קריאה &gt;&gt; </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64 </w:t>
      </w:r>
      <w:bookmarkStart w:id="83033" w:name="_ETM_Q169_449000"/>
      <w:bookmarkEnd w:id="83033"/>
      <w:r>
        <w:rPr>
          <w:rFonts w:hint="cs"/>
          <w:rtl/>
          <w:lang w:eastAsia="he-IL"/>
        </w:rPr>
        <w:t xml:space="preserve">נגד. ההסתייגות לא התקבלה. </w:t>
      </w:r>
    </w:p>
    <w:p w:rsidR="00BB59CD" w:rsidRDefault="00BB59CD" w:rsidP="00BB59CD">
      <w:pPr>
        <w:rPr>
          <w:rtl/>
          <w:lang w:eastAsia="he-IL"/>
        </w:rPr>
      </w:pPr>
      <w:bookmarkStart w:id="83034" w:name="_ETM_Q169_458473"/>
      <w:bookmarkStart w:id="83035" w:name="_ETM_Q169_458520"/>
      <w:bookmarkEnd w:id="83034"/>
      <w:bookmarkEnd w:id="83035"/>
    </w:p>
    <w:p w:rsidR="00BB59CD" w:rsidRDefault="00BB59CD" w:rsidP="00BB59CD">
      <w:pPr>
        <w:rPr>
          <w:rtl/>
          <w:lang w:eastAsia="he-IL"/>
        </w:rPr>
      </w:pPr>
      <w:bookmarkStart w:id="83036" w:name="_ETM_Q169_458632"/>
      <w:bookmarkStart w:id="83037" w:name="_ETM_Q169_458710"/>
      <w:bookmarkEnd w:id="83036"/>
      <w:bookmarkEnd w:id="83037"/>
      <w:r>
        <w:rPr>
          <w:rFonts w:hint="cs"/>
          <w:rtl/>
          <w:lang w:eastAsia="he-IL"/>
        </w:rPr>
        <w:t xml:space="preserve">כעת נצביע על הסתייגות שמספרה 18298. </w:t>
      </w:r>
      <w:bookmarkStart w:id="83038" w:name="_ETM_Q169_457000"/>
      <w:bookmarkEnd w:id="83038"/>
      <w:r>
        <w:rPr>
          <w:rFonts w:hint="cs"/>
          <w:rtl/>
          <w:lang w:eastAsia="he-IL"/>
        </w:rPr>
        <w:t xml:space="preserve">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94</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54</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18298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039" w:name="_ETM_Q169_470000"/>
      <w:bookmarkEnd w:id="83039"/>
      <w:r>
        <w:rPr>
          <w:rFonts w:hint="cs"/>
          <w:rtl/>
          <w:lang w:eastAsia="he-IL"/>
        </w:rPr>
        <w:t xml:space="preserve">54 בעד, 64 נגד. ההסתייגות </w:t>
      </w:r>
      <w:bookmarkStart w:id="83040" w:name="_ETM_Q169_477000"/>
      <w:bookmarkEnd w:id="83040"/>
      <w:r>
        <w:rPr>
          <w:rFonts w:hint="cs"/>
          <w:rtl/>
          <w:lang w:eastAsia="he-IL"/>
        </w:rPr>
        <w:t xml:space="preserve">לא התקבלה. </w:t>
      </w:r>
    </w:p>
    <w:p w:rsidR="00BB59CD" w:rsidRDefault="00BB59CD" w:rsidP="00BB59CD">
      <w:pPr>
        <w:rPr>
          <w:rtl/>
          <w:lang w:eastAsia="he-IL"/>
        </w:rPr>
      </w:pPr>
      <w:bookmarkStart w:id="83041" w:name="_ETM_Q169_482230"/>
      <w:bookmarkStart w:id="83042" w:name="_ETM_Q169_482276"/>
      <w:bookmarkStart w:id="83043" w:name="_ETM_Q169_482390"/>
      <w:bookmarkEnd w:id="83041"/>
      <w:bookmarkEnd w:id="83042"/>
      <w:bookmarkEnd w:id="83043"/>
    </w:p>
    <w:p w:rsidR="00BB59CD" w:rsidRDefault="00BB59CD" w:rsidP="00BB59CD">
      <w:pPr>
        <w:rPr>
          <w:rtl/>
          <w:lang w:eastAsia="he-IL"/>
        </w:rPr>
      </w:pPr>
      <w:bookmarkStart w:id="83044" w:name="_ETM_Q169_482453"/>
      <w:bookmarkEnd w:id="83044"/>
      <w:r>
        <w:rPr>
          <w:rFonts w:hint="cs"/>
          <w:rtl/>
          <w:lang w:eastAsia="he-IL"/>
        </w:rPr>
        <w:t xml:space="preserve">כעת נצביע על הסתייגות שמספרה 18300. הצבעה </w:t>
      </w:r>
      <w:bookmarkStart w:id="83045" w:name="_ETM_Q169_484000"/>
      <w:bookmarkEnd w:id="83045"/>
      <w:r>
        <w:rPr>
          <w:rFonts w:hint="cs"/>
          <w:rtl/>
          <w:lang w:eastAsia="he-IL"/>
        </w:rPr>
        <w:t xml:space="preserve">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95</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18300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64 נגד. ההסתייגות לא התקבלה. </w:t>
      </w:r>
    </w:p>
    <w:p w:rsidR="00BB59CD" w:rsidRDefault="00BB59CD" w:rsidP="00BB59CD">
      <w:pPr>
        <w:rPr>
          <w:rtl/>
          <w:lang w:eastAsia="he-IL"/>
        </w:rPr>
      </w:pPr>
      <w:bookmarkStart w:id="83046" w:name="_ETM_Q169_498807"/>
      <w:bookmarkStart w:id="83047" w:name="_ETM_Q169_498890"/>
      <w:bookmarkEnd w:id="83046"/>
      <w:bookmarkEnd w:id="83047"/>
    </w:p>
    <w:p w:rsidR="00BB59CD" w:rsidRDefault="00BB59CD" w:rsidP="00BB59CD">
      <w:pPr>
        <w:rPr>
          <w:rtl/>
          <w:lang w:eastAsia="he-IL"/>
        </w:rPr>
      </w:pPr>
      <w:bookmarkStart w:id="83048" w:name="_ETM_Q169_498967"/>
      <w:bookmarkStart w:id="83049" w:name="_ETM_Q169_499072"/>
      <w:bookmarkEnd w:id="83048"/>
      <w:bookmarkEnd w:id="83049"/>
      <w:r>
        <w:rPr>
          <w:rFonts w:hint="cs"/>
          <w:rtl/>
          <w:lang w:eastAsia="he-IL"/>
        </w:rPr>
        <w:t xml:space="preserve">כעת נצביע </w:t>
      </w:r>
      <w:bookmarkStart w:id="83050" w:name="_ETM_Q169_505000"/>
      <w:bookmarkEnd w:id="83050"/>
      <w:r>
        <w:rPr>
          <w:rFonts w:hint="cs"/>
          <w:rtl/>
          <w:lang w:eastAsia="he-IL"/>
        </w:rPr>
        <w:t xml:space="preserve">על הסתייגות 18301. הצבעה כעת. </w:t>
      </w:r>
      <w:bookmarkStart w:id="83051" w:name="_ETM_Q169_519255"/>
      <w:bookmarkEnd w:id="83051"/>
    </w:p>
    <w:p w:rsidR="00BB59CD" w:rsidRDefault="00BB59CD" w:rsidP="00BB59CD">
      <w:pPr>
        <w:rPr>
          <w:rtl/>
          <w:lang w:eastAsia="he-IL"/>
        </w:rPr>
      </w:pPr>
      <w:bookmarkStart w:id="83052" w:name="_ETM_Q169_519349"/>
      <w:bookmarkEnd w:id="83052"/>
    </w:p>
    <w:p w:rsidR="00BB59CD" w:rsidRDefault="00BB59CD" w:rsidP="00BB59CD">
      <w:pPr>
        <w:pStyle w:val="af4"/>
        <w:keepNext/>
        <w:rPr>
          <w:rtl/>
          <w:lang w:eastAsia="he-IL"/>
        </w:rPr>
      </w:pPr>
      <w:bookmarkStart w:id="83053" w:name="_ETM_Q169_519383"/>
      <w:bookmarkStart w:id="83054" w:name="_ETM_Q169_519491"/>
      <w:bookmarkEnd w:id="83053"/>
      <w:bookmarkEnd w:id="83054"/>
      <w:r>
        <w:rPr>
          <w:rFonts w:hint="cs"/>
          <w:rtl/>
          <w:lang w:eastAsia="he-IL"/>
        </w:rPr>
        <w:t>הצבעה מס' 96</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 xml:space="preserve">הסתייגות 18301 לא נתקבלה. </w:t>
      </w:r>
    </w:p>
    <w:p w:rsidR="00BB59CD" w:rsidRDefault="00BB59CD" w:rsidP="00BB59CD">
      <w:pPr>
        <w:rPr>
          <w:rtl/>
          <w:lang w:eastAsia="he-IL"/>
        </w:rPr>
      </w:pPr>
    </w:p>
    <w:p w:rsidR="00BB59CD" w:rsidRDefault="00BB59CD" w:rsidP="00BB59CD">
      <w:pPr>
        <w:pStyle w:val="af8"/>
        <w:rPr>
          <w:rtl/>
        </w:rPr>
      </w:pPr>
      <w:r>
        <w:rPr>
          <w:rStyle w:val="TagStyle"/>
          <w:rFonts w:hint="cs"/>
          <w:rtl/>
        </w:rPr>
        <w:t xml:space="preserve">&lt;&lt; קריאה &gt;&gt; </w:t>
      </w:r>
      <w:r>
        <w:rPr>
          <w:rFonts w:hint="cs"/>
          <w:rtl/>
        </w:rPr>
        <w:t>קריאות:</w:t>
      </w:r>
      <w:r>
        <w:rPr>
          <w:rStyle w:val="TagStyle"/>
          <w:rtl/>
        </w:rPr>
        <w:t xml:space="preserve"> &lt;&lt; קריאה &gt;&gt; </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055" w:name="_ETM_Q169_524000"/>
      <w:bookmarkEnd w:id="83055"/>
      <w:r>
        <w:rPr>
          <w:rFonts w:hint="cs"/>
          <w:rtl/>
          <w:lang w:eastAsia="he-IL"/>
        </w:rPr>
        <w:t xml:space="preserve">56 בעד, 64 </w:t>
      </w:r>
      <w:bookmarkStart w:id="83056" w:name="_ETM_Q169_526000"/>
      <w:bookmarkEnd w:id="83056"/>
      <w:r>
        <w:rPr>
          <w:rFonts w:hint="cs"/>
          <w:rtl/>
          <w:lang w:eastAsia="he-IL"/>
        </w:rPr>
        <w:t xml:space="preserve">נגד. ההסתייגות לא התקבלה. </w:t>
      </w:r>
      <w:bookmarkStart w:id="83057" w:name="_ETM_Q169_516375"/>
      <w:bookmarkEnd w:id="83057"/>
    </w:p>
    <w:p w:rsidR="00BB59CD" w:rsidRDefault="00BB59CD" w:rsidP="00BB59CD">
      <w:pPr>
        <w:rPr>
          <w:rtl/>
          <w:lang w:eastAsia="he-IL"/>
        </w:rPr>
      </w:pPr>
      <w:bookmarkStart w:id="83058" w:name="_ETM_Q169_516419"/>
      <w:bookmarkEnd w:id="83058"/>
    </w:p>
    <w:p w:rsidR="00BB59CD" w:rsidRDefault="00BB59CD" w:rsidP="00BB59CD">
      <w:pPr>
        <w:rPr>
          <w:rtl/>
          <w:lang w:eastAsia="he-IL"/>
        </w:rPr>
      </w:pPr>
      <w:bookmarkStart w:id="83059" w:name="_ETM_Q169_516535"/>
      <w:bookmarkStart w:id="83060" w:name="_ETM_Q169_516587"/>
      <w:bookmarkEnd w:id="83059"/>
      <w:bookmarkEnd w:id="83060"/>
      <w:r>
        <w:rPr>
          <w:rFonts w:hint="cs"/>
          <w:rtl/>
          <w:lang w:eastAsia="he-IL"/>
        </w:rPr>
        <w:t xml:space="preserve">נצביע כעת על הסתייגות מס' 18302. </w:t>
      </w:r>
      <w:bookmarkStart w:id="83061" w:name="_ETM_Q169_535000"/>
      <w:bookmarkEnd w:id="83061"/>
      <w:r>
        <w:rPr>
          <w:rFonts w:hint="cs"/>
          <w:rtl/>
          <w:lang w:eastAsia="he-IL"/>
        </w:rPr>
        <w:t xml:space="preserve">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97</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 xml:space="preserve">הסתייגות 18302 לא נתקבלה.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062" w:name="_ETM_Q169_542000"/>
      <w:bookmarkEnd w:id="83062"/>
      <w:r>
        <w:rPr>
          <w:rFonts w:hint="cs"/>
          <w:rtl/>
          <w:lang w:eastAsia="he-IL"/>
        </w:rPr>
        <w:t>55 בעד, 63 נגד. ההסתייגות לא</w:t>
      </w:r>
      <w:bookmarkStart w:id="83063" w:name="_ETM_Q169_551000"/>
      <w:bookmarkEnd w:id="83063"/>
      <w:r>
        <w:rPr>
          <w:rFonts w:hint="cs"/>
          <w:rtl/>
          <w:lang w:eastAsia="he-IL"/>
        </w:rPr>
        <w:t xml:space="preserve"> התקבלה. </w:t>
      </w:r>
    </w:p>
    <w:p w:rsidR="00BB59CD" w:rsidRDefault="00BB59CD" w:rsidP="00BB59CD">
      <w:pPr>
        <w:rPr>
          <w:rtl/>
          <w:lang w:eastAsia="he-IL"/>
        </w:rPr>
      </w:pPr>
      <w:bookmarkStart w:id="83064" w:name="_ETM_Q169_555464"/>
      <w:bookmarkStart w:id="83065" w:name="_ETM_Q169_555523"/>
      <w:bookmarkEnd w:id="83064"/>
      <w:bookmarkEnd w:id="83065"/>
    </w:p>
    <w:p w:rsidR="00BB59CD" w:rsidRDefault="00BB59CD" w:rsidP="00BB59CD">
      <w:pPr>
        <w:rPr>
          <w:rtl/>
          <w:lang w:eastAsia="he-IL"/>
        </w:rPr>
      </w:pPr>
      <w:bookmarkStart w:id="83066" w:name="_ETM_Q169_555640"/>
      <w:bookmarkStart w:id="83067" w:name="_ETM_Q169_555715"/>
      <w:bookmarkEnd w:id="83066"/>
      <w:bookmarkEnd w:id="83067"/>
      <w:r>
        <w:rPr>
          <w:rFonts w:hint="cs"/>
          <w:rtl/>
          <w:lang w:eastAsia="he-IL"/>
        </w:rPr>
        <w:t xml:space="preserve">כעת נצביע על הסתייגות 18303,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98</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18303 לא נתקבלה.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לא רוצים את הנאומים שלך בערב, נאומים מפייסים. מתכוון לפייס את המילואימניקים, לא צריך אותך.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56 בעד, 64 נגד</w:t>
      </w:r>
      <w:bookmarkStart w:id="83068" w:name="_ETM_Q169_576000"/>
      <w:bookmarkEnd w:id="83068"/>
      <w:r>
        <w:rPr>
          <w:rFonts w:hint="cs"/>
          <w:rtl/>
          <w:lang w:eastAsia="he-IL"/>
        </w:rPr>
        <w:t xml:space="preserve">. ההסתייגות </w:t>
      </w:r>
      <w:bookmarkStart w:id="83069" w:name="_ETM_Q169_579000"/>
      <w:bookmarkEnd w:id="83069"/>
      <w:r>
        <w:rPr>
          <w:rFonts w:hint="cs"/>
          <w:rtl/>
          <w:lang w:eastAsia="he-IL"/>
        </w:rPr>
        <w:t xml:space="preserve">לא התקבלה. </w:t>
      </w:r>
      <w:bookmarkStart w:id="83070" w:name="_ETM_Q169_582328"/>
      <w:bookmarkEnd w:id="83070"/>
    </w:p>
    <w:p w:rsidR="00BB59CD" w:rsidRDefault="00BB59CD" w:rsidP="00BB59CD">
      <w:pPr>
        <w:rPr>
          <w:rtl/>
          <w:lang w:eastAsia="he-IL"/>
        </w:rPr>
      </w:pPr>
      <w:bookmarkStart w:id="83071" w:name="_ETM_Q169_582383"/>
      <w:bookmarkEnd w:id="83071"/>
    </w:p>
    <w:p w:rsidR="00BB59CD" w:rsidRDefault="00BB59CD" w:rsidP="00BB59CD">
      <w:pPr>
        <w:rPr>
          <w:rtl/>
          <w:lang w:eastAsia="he-IL"/>
        </w:rPr>
      </w:pPr>
      <w:bookmarkStart w:id="83072" w:name="_ETM_Q169_582488"/>
      <w:bookmarkStart w:id="83073" w:name="_ETM_Q169_582610"/>
      <w:bookmarkEnd w:id="83072"/>
      <w:bookmarkEnd w:id="83073"/>
      <w:r>
        <w:rPr>
          <w:rFonts w:hint="cs"/>
          <w:rtl/>
          <w:lang w:eastAsia="he-IL"/>
        </w:rPr>
        <w:t xml:space="preserve">כעת נצביע על הסתייגות 18305. 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99</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 xml:space="preserve">הסתייגות </w:t>
      </w:r>
      <w:bookmarkStart w:id="83074" w:name="_ETM_Q169_594000"/>
      <w:bookmarkEnd w:id="83074"/>
      <w:r>
        <w:rPr>
          <w:rFonts w:hint="cs"/>
          <w:rtl/>
          <w:lang w:eastAsia="he-IL"/>
        </w:rPr>
        <w:t>18305 לא נתקבלה.</w:t>
      </w:r>
    </w:p>
    <w:p w:rsidR="00BB59CD" w:rsidRDefault="00BB59CD" w:rsidP="00BB59CD">
      <w:pPr>
        <w:rPr>
          <w:rtl/>
          <w:lang w:eastAsia="he-IL"/>
        </w:rPr>
      </w:pPr>
      <w:bookmarkStart w:id="83075" w:name="_ETM_Q169_595000"/>
      <w:bookmarkEnd w:id="83075"/>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076" w:name="_ETM_Q169_596000"/>
      <w:bookmarkEnd w:id="83076"/>
      <w:r>
        <w:rPr>
          <w:rFonts w:hint="cs"/>
          <w:rtl/>
          <w:lang w:eastAsia="he-IL"/>
        </w:rPr>
        <w:t xml:space="preserve">55 בעד, 64 נגד. אני קובע כי ההסתייגות לא התקבלה. </w:t>
      </w:r>
      <w:bookmarkStart w:id="83077" w:name="_ETM_Q169_604000"/>
      <w:bookmarkEnd w:id="83077"/>
    </w:p>
    <w:p w:rsidR="00BB59CD" w:rsidRDefault="00BB59CD" w:rsidP="00BB59CD">
      <w:pPr>
        <w:rPr>
          <w:rtl/>
          <w:lang w:eastAsia="he-IL"/>
        </w:rPr>
      </w:pPr>
      <w:bookmarkStart w:id="83078" w:name="_ETM_Q169_609112"/>
      <w:bookmarkStart w:id="83079" w:name="_ETM_Q169_609161"/>
      <w:bookmarkEnd w:id="83078"/>
      <w:bookmarkEnd w:id="83079"/>
    </w:p>
    <w:p w:rsidR="00BB59CD" w:rsidRDefault="00BB59CD" w:rsidP="00BB59CD">
      <w:pPr>
        <w:rPr>
          <w:rtl/>
          <w:lang w:eastAsia="he-IL"/>
        </w:rPr>
      </w:pPr>
      <w:bookmarkStart w:id="83080" w:name="_ETM_Q169_609288"/>
      <w:bookmarkStart w:id="83081" w:name="_ETM_Q169_609385"/>
      <w:bookmarkEnd w:id="83080"/>
      <w:bookmarkEnd w:id="83081"/>
      <w:r>
        <w:rPr>
          <w:rFonts w:hint="cs"/>
          <w:rtl/>
          <w:lang w:eastAsia="he-IL"/>
        </w:rPr>
        <w:t xml:space="preserve">כעת נצביע על הסתייגות שמספרה 18306. 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100</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52</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18306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52 </w:t>
      </w:r>
      <w:bookmarkStart w:id="83082" w:name="_ETM_Q169_627000"/>
      <w:bookmarkEnd w:id="83082"/>
      <w:r>
        <w:rPr>
          <w:rFonts w:hint="cs"/>
          <w:rtl/>
          <w:lang w:eastAsia="he-IL"/>
        </w:rPr>
        <w:t xml:space="preserve">בעד, 64 נגד. ההסתייגות לא התקבלה. </w:t>
      </w:r>
    </w:p>
    <w:p w:rsidR="00BB59CD" w:rsidRDefault="00BB59CD" w:rsidP="00BB59CD">
      <w:pPr>
        <w:rPr>
          <w:rtl/>
          <w:lang w:eastAsia="he-IL"/>
        </w:rPr>
      </w:pPr>
      <w:bookmarkStart w:id="83083" w:name="_ETM_Q169_635768"/>
      <w:bookmarkStart w:id="83084" w:name="_ETM_Q169_635849"/>
      <w:bookmarkEnd w:id="83083"/>
      <w:bookmarkEnd w:id="83084"/>
    </w:p>
    <w:p w:rsidR="00BB59CD" w:rsidRDefault="00BB59CD" w:rsidP="00BB59CD">
      <w:pPr>
        <w:rPr>
          <w:rtl/>
          <w:lang w:eastAsia="he-IL"/>
        </w:rPr>
      </w:pPr>
      <w:bookmarkStart w:id="83085" w:name="_ETM_Q169_635928"/>
      <w:bookmarkStart w:id="83086" w:name="_ETM_Q169_636044"/>
      <w:bookmarkEnd w:id="83085"/>
      <w:bookmarkEnd w:id="83086"/>
      <w:r>
        <w:rPr>
          <w:rFonts w:hint="cs"/>
          <w:rtl/>
          <w:lang w:eastAsia="he-IL"/>
        </w:rPr>
        <w:t>כעת נצביע על</w:t>
      </w:r>
      <w:bookmarkStart w:id="83087" w:name="_ETM_Q169_637000"/>
      <w:bookmarkEnd w:id="83087"/>
      <w:r>
        <w:rPr>
          <w:rFonts w:hint="cs"/>
          <w:rtl/>
          <w:lang w:eastAsia="he-IL"/>
        </w:rPr>
        <w:t xml:space="preserve"> הסתייגות 18314. הצבעה כעת. </w:t>
      </w:r>
    </w:p>
    <w:p w:rsidR="00BB59CD" w:rsidRDefault="00BB59CD" w:rsidP="00BB59CD">
      <w:pPr>
        <w:rPr>
          <w:rtl/>
          <w:lang w:eastAsia="he-IL"/>
        </w:rPr>
      </w:pPr>
      <w:bookmarkStart w:id="83088" w:name="_ETM_Q169_650392"/>
      <w:bookmarkStart w:id="83089" w:name="_ETM_Q169_650493"/>
      <w:bookmarkEnd w:id="83088"/>
      <w:bookmarkEnd w:id="83089"/>
    </w:p>
    <w:p w:rsidR="00BB59CD" w:rsidRDefault="00BB59CD" w:rsidP="00BB59CD">
      <w:pPr>
        <w:pStyle w:val="af4"/>
        <w:keepNext/>
        <w:rPr>
          <w:rtl/>
          <w:lang w:eastAsia="he-IL"/>
        </w:rPr>
      </w:pPr>
      <w:bookmarkStart w:id="83090" w:name="_ETM_Q169_650570"/>
      <w:bookmarkStart w:id="83091" w:name="_ETM_Q169_650660"/>
      <w:bookmarkStart w:id="83092" w:name="_ETM_Q169_645000"/>
      <w:bookmarkEnd w:id="83090"/>
      <w:bookmarkEnd w:id="83091"/>
      <w:bookmarkEnd w:id="83092"/>
      <w:r>
        <w:rPr>
          <w:rFonts w:hint="cs"/>
          <w:rtl/>
          <w:lang w:eastAsia="he-IL"/>
        </w:rPr>
        <w:t>הצבעה מס' 101</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18314 לא נתקבלה.</w:t>
      </w:r>
    </w:p>
    <w:p w:rsidR="00BB59CD" w:rsidRDefault="00BB59CD" w:rsidP="00BB59CD">
      <w:pPr>
        <w:rPr>
          <w:rtl/>
          <w:lang w:eastAsia="he-IL"/>
        </w:rPr>
      </w:pPr>
    </w:p>
    <w:p w:rsidR="00BB59CD" w:rsidRDefault="00BB59CD" w:rsidP="00BB59CD">
      <w:pPr>
        <w:pStyle w:val="af8"/>
        <w:rPr>
          <w:rtl/>
        </w:rPr>
      </w:pPr>
      <w:r>
        <w:rPr>
          <w:rStyle w:val="TagStyle"/>
          <w:rFonts w:hint="cs"/>
          <w:rtl/>
        </w:rPr>
        <w:t xml:space="preserve">&lt;&lt; קריאה &gt;&gt; </w:t>
      </w:r>
      <w:r>
        <w:rPr>
          <w:rFonts w:hint="cs"/>
          <w:rtl/>
        </w:rPr>
        <w:t>קריאות:</w:t>
      </w:r>
      <w:r>
        <w:rPr>
          <w:rStyle w:val="TagStyle"/>
          <w:rtl/>
        </w:rPr>
        <w:t xml:space="preserve"> &lt;&lt; קריאה &gt;&gt; </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63 נגד, ההסתייגות </w:t>
      </w:r>
      <w:bookmarkStart w:id="83093" w:name="_ETM_Q169_660000"/>
      <w:bookmarkEnd w:id="83093"/>
      <w:r>
        <w:rPr>
          <w:rFonts w:hint="cs"/>
          <w:rtl/>
          <w:lang w:eastAsia="he-IL"/>
        </w:rPr>
        <w:t xml:space="preserve">לא התקבלה. </w:t>
      </w:r>
    </w:p>
    <w:p w:rsidR="00BB59CD" w:rsidRDefault="00BB59CD" w:rsidP="00BB59CD">
      <w:pPr>
        <w:rPr>
          <w:rtl/>
          <w:lang w:eastAsia="he-IL"/>
        </w:rPr>
      </w:pPr>
      <w:bookmarkStart w:id="83094" w:name="_ETM_Q169_641080"/>
      <w:bookmarkStart w:id="83095" w:name="_ETM_Q169_641123"/>
      <w:bookmarkEnd w:id="83094"/>
      <w:bookmarkEnd w:id="83095"/>
    </w:p>
    <w:p w:rsidR="00BB59CD" w:rsidRDefault="00BB59CD" w:rsidP="00BB59CD">
      <w:pPr>
        <w:rPr>
          <w:rtl/>
          <w:lang w:eastAsia="he-IL"/>
        </w:rPr>
      </w:pPr>
      <w:bookmarkStart w:id="83096" w:name="_ETM_Q169_641224"/>
      <w:bookmarkStart w:id="83097" w:name="_ETM_Q169_641309"/>
      <w:bookmarkEnd w:id="83096"/>
      <w:bookmarkEnd w:id="83097"/>
      <w:r>
        <w:rPr>
          <w:rFonts w:hint="cs"/>
          <w:rtl/>
          <w:lang w:eastAsia="he-IL"/>
        </w:rPr>
        <w:t xml:space="preserve">כעת נצביע על הסתייגות שמספרה 18315. הצבעה כעת. </w:t>
      </w:r>
      <w:bookmarkStart w:id="83098" w:name="_ETM_Q169_668000"/>
      <w:bookmarkEnd w:id="83098"/>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102</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50</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18315 לא נתקבלה.</w:t>
      </w:r>
    </w:p>
    <w:p w:rsidR="00BB59CD" w:rsidRDefault="00BB59CD" w:rsidP="00BB59CD">
      <w:pPr>
        <w:rPr>
          <w:rtl/>
          <w:lang w:eastAsia="he-IL"/>
        </w:rPr>
      </w:pPr>
    </w:p>
    <w:p w:rsidR="00BB59CD" w:rsidRDefault="00BB59CD" w:rsidP="00BB59CD">
      <w:pPr>
        <w:pStyle w:val="af9"/>
        <w:keepNext/>
        <w:rPr>
          <w:rtl/>
        </w:rPr>
      </w:pPr>
      <w:bookmarkStart w:id="83099" w:name="ET_yor_6423_2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3099"/>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50 בעד, 64 נגד. אני קובע כי ההסתייגות לא </w:t>
      </w:r>
      <w:bookmarkStart w:id="83100" w:name="_ETM_Q169_688000"/>
      <w:bookmarkEnd w:id="83100"/>
      <w:r>
        <w:rPr>
          <w:rFonts w:hint="cs"/>
          <w:rtl/>
          <w:lang w:eastAsia="he-IL"/>
        </w:rPr>
        <w:t xml:space="preserve">התקבלה. </w:t>
      </w:r>
      <w:bookmarkStart w:id="83101" w:name="_ETM_Q169_690196"/>
      <w:bookmarkEnd w:id="83101"/>
    </w:p>
    <w:p w:rsidR="00BB59CD" w:rsidRDefault="00BB59CD" w:rsidP="00BB59CD">
      <w:pPr>
        <w:rPr>
          <w:rtl/>
          <w:lang w:eastAsia="he-IL"/>
        </w:rPr>
      </w:pPr>
      <w:bookmarkStart w:id="83102" w:name="_ETM_Q169_690257"/>
      <w:bookmarkEnd w:id="83102"/>
    </w:p>
    <w:p w:rsidR="00BB59CD" w:rsidRDefault="00BB59CD" w:rsidP="00BB59CD">
      <w:pPr>
        <w:rPr>
          <w:rtl/>
          <w:lang w:eastAsia="he-IL"/>
        </w:rPr>
      </w:pPr>
      <w:bookmarkStart w:id="83103" w:name="_ETM_Q169_690341"/>
      <w:bookmarkStart w:id="83104" w:name="_ETM_Q169_690426"/>
      <w:bookmarkEnd w:id="83103"/>
      <w:bookmarkEnd w:id="83104"/>
      <w:r>
        <w:rPr>
          <w:rFonts w:hint="cs"/>
          <w:rtl/>
          <w:lang w:eastAsia="he-IL"/>
        </w:rPr>
        <w:t xml:space="preserve">כעת נצביע על הסתייגות 18317. הצבעה כעת.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103</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18317 לא נתקבלה.</w:t>
      </w:r>
    </w:p>
    <w:p w:rsidR="00BB59CD" w:rsidRDefault="00BB59CD" w:rsidP="00BB59CD">
      <w:pPr>
        <w:rPr>
          <w:rtl/>
          <w:lang w:eastAsia="he-IL"/>
        </w:rPr>
      </w:pPr>
      <w:bookmarkStart w:id="83105" w:name="_ETM_Q169_710000"/>
      <w:bookmarkEnd w:id="83105"/>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64 נגד. ההסתייגות לא התקבלה. </w:t>
      </w:r>
      <w:bookmarkStart w:id="83106" w:name="_ETM_Q169_714596"/>
      <w:bookmarkEnd w:id="83106"/>
    </w:p>
    <w:p w:rsidR="00BB59CD" w:rsidRDefault="00BB59CD" w:rsidP="00BB59CD">
      <w:pPr>
        <w:rPr>
          <w:rtl/>
          <w:lang w:eastAsia="he-IL"/>
        </w:rPr>
      </w:pPr>
      <w:bookmarkStart w:id="83107" w:name="_ETM_Q169_714672"/>
      <w:bookmarkEnd w:id="83107"/>
    </w:p>
    <w:p w:rsidR="00BB59CD" w:rsidRDefault="00BB59CD" w:rsidP="00BB59CD">
      <w:pPr>
        <w:rPr>
          <w:rtl/>
          <w:lang w:eastAsia="he-IL"/>
        </w:rPr>
      </w:pPr>
      <w:bookmarkStart w:id="83108" w:name="_ETM_Q169_714757"/>
      <w:bookmarkStart w:id="83109" w:name="_ETM_Q169_714876"/>
      <w:bookmarkEnd w:id="83108"/>
      <w:bookmarkEnd w:id="83109"/>
      <w:r>
        <w:rPr>
          <w:rFonts w:hint="cs"/>
          <w:rtl/>
          <w:lang w:eastAsia="he-IL"/>
        </w:rPr>
        <w:t xml:space="preserve">נצביע כעת על הסתייגות </w:t>
      </w:r>
      <w:bookmarkStart w:id="83110" w:name="_ETM_Q169_714000"/>
      <w:bookmarkEnd w:id="83110"/>
      <w:r>
        <w:rPr>
          <w:rFonts w:hint="cs"/>
          <w:rtl/>
          <w:lang w:eastAsia="he-IL"/>
        </w:rPr>
        <w:t xml:space="preserve">18324. הצבעה כעת. </w:t>
      </w:r>
    </w:p>
    <w:p w:rsidR="00BB59CD" w:rsidRDefault="00BB59CD" w:rsidP="00BB59CD">
      <w:pPr>
        <w:rPr>
          <w:rtl/>
          <w:lang w:eastAsia="he-IL"/>
        </w:rPr>
      </w:pPr>
      <w:bookmarkStart w:id="83111" w:name="_ETM_Q169_723908"/>
      <w:bookmarkStart w:id="83112" w:name="_ETM_Q169_723988"/>
      <w:bookmarkEnd w:id="83111"/>
      <w:bookmarkEnd w:id="83112"/>
    </w:p>
    <w:p w:rsidR="00BB59CD" w:rsidRDefault="00BB59CD" w:rsidP="00BB59CD">
      <w:pPr>
        <w:pStyle w:val="af4"/>
        <w:keepNext/>
        <w:rPr>
          <w:rtl/>
          <w:lang w:eastAsia="he-IL"/>
        </w:rPr>
      </w:pPr>
      <w:bookmarkStart w:id="83113" w:name="_ETM_Q169_724053"/>
      <w:bookmarkStart w:id="83114" w:name="_ETM_Q169_724158"/>
      <w:bookmarkStart w:id="83115" w:name="_ETM_Q169_728997"/>
      <w:bookmarkEnd w:id="83113"/>
      <w:bookmarkEnd w:id="83114"/>
      <w:bookmarkEnd w:id="83115"/>
      <w:r>
        <w:rPr>
          <w:rFonts w:hint="cs"/>
          <w:rtl/>
          <w:lang w:eastAsia="he-IL"/>
        </w:rPr>
        <w:t>הצבעה מס' 104</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 xml:space="preserve">הסתייגות 18324 לא נתקבלה.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116" w:name="_ETM_Q169_734000"/>
      <w:bookmarkEnd w:id="83116"/>
      <w:r>
        <w:rPr>
          <w:rFonts w:hint="cs"/>
          <w:rtl/>
          <w:lang w:eastAsia="he-IL"/>
        </w:rPr>
        <w:t xml:space="preserve">53 בעד, 63 נגד. ההסתייגות לא </w:t>
      </w:r>
      <w:bookmarkStart w:id="83117" w:name="_ETM_Q169_738000"/>
      <w:bookmarkEnd w:id="83117"/>
      <w:r>
        <w:rPr>
          <w:rFonts w:hint="cs"/>
          <w:rtl/>
          <w:lang w:eastAsia="he-IL"/>
        </w:rPr>
        <w:t xml:space="preserve">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וכעת נצביע על הסתייגות 18326. הצבעה.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105</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18326 לא נתקבלה.</w:t>
      </w:r>
    </w:p>
    <w:p w:rsidR="00BB59CD" w:rsidRDefault="00BB59CD" w:rsidP="00BB59CD">
      <w:pPr>
        <w:rPr>
          <w:rtl/>
          <w:lang w:eastAsia="he-IL"/>
        </w:rPr>
      </w:pPr>
    </w:p>
    <w:p w:rsidR="00BB59CD" w:rsidRDefault="00BB59CD" w:rsidP="00BB59CD">
      <w:pPr>
        <w:pStyle w:val="af8"/>
        <w:rPr>
          <w:rtl/>
        </w:rPr>
      </w:pPr>
      <w:r>
        <w:rPr>
          <w:rStyle w:val="TagStyle"/>
          <w:rFonts w:hint="cs"/>
          <w:rtl/>
        </w:rPr>
        <w:t xml:space="preserve">&lt;&lt; קריאה &gt;&gt; </w:t>
      </w:r>
      <w:r>
        <w:rPr>
          <w:rFonts w:hint="cs"/>
          <w:rtl/>
        </w:rPr>
        <w:t>מיכל שיר סגמן (יש עתיד):</w:t>
      </w:r>
      <w:r>
        <w:rPr>
          <w:rStyle w:val="TagStyle"/>
          <w:rtl/>
        </w:rPr>
        <w:t xml:space="preserve"> &lt;&lt; קריאה &gt;&gt; </w:t>
      </w:r>
      <w:r>
        <w:rPr>
          <w:rFonts w:hint="cs"/>
          <w:rtl/>
        </w:rPr>
        <w:t xml:space="preserve">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מפקירים את ביטחון ישראל. איך אתם ישנים בלילה?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118" w:name="_ETM_Q169_752000"/>
      <w:bookmarkEnd w:id="83118"/>
      <w:r>
        <w:rPr>
          <w:rFonts w:hint="cs"/>
          <w:rtl/>
          <w:lang w:eastAsia="he-IL"/>
        </w:rPr>
        <w:t xml:space="preserve">55 בעד, 63 נגד, ההסתייגות לא התקבלה. </w:t>
      </w:r>
    </w:p>
    <w:p w:rsidR="00BB59CD" w:rsidRDefault="00BB59CD" w:rsidP="00BB59CD">
      <w:pPr>
        <w:rPr>
          <w:rtl/>
          <w:lang w:eastAsia="he-IL"/>
        </w:rPr>
      </w:pPr>
    </w:p>
    <w:p w:rsidR="00BB59CD" w:rsidRDefault="00BB59CD" w:rsidP="00BB59CD">
      <w:pPr>
        <w:rPr>
          <w:rtl/>
        </w:rPr>
      </w:pPr>
      <w:bookmarkStart w:id="83119" w:name="TOR_Q170"/>
      <w:bookmarkStart w:id="83120" w:name="_ETM_Q170_145000"/>
      <w:bookmarkEnd w:id="83119"/>
      <w:bookmarkEnd w:id="83120"/>
      <w:r>
        <w:rPr>
          <w:rFonts w:hint="cs"/>
          <w:rtl/>
        </w:rPr>
        <w:t xml:space="preserve">נצביע כעת על </w:t>
      </w:r>
      <w:bookmarkStart w:id="83121" w:name="_ETM_Q170_167000"/>
      <w:bookmarkStart w:id="83122" w:name="_ETM_Q170_166000"/>
      <w:bookmarkEnd w:id="83121"/>
      <w:bookmarkEnd w:id="83122"/>
      <w:r>
        <w:rPr>
          <w:rFonts w:hint="cs"/>
          <w:rtl/>
        </w:rPr>
        <w:t>18328. הצבעה כעת.</w:t>
      </w:r>
    </w:p>
    <w:p w:rsidR="00BB59CD" w:rsidRDefault="00BB59CD" w:rsidP="00BB59CD">
      <w:pPr>
        <w:rPr>
          <w:rtl/>
        </w:rPr>
      </w:pPr>
      <w:bookmarkStart w:id="83123" w:name="_ETM_Q170_142000"/>
      <w:bookmarkEnd w:id="83123"/>
    </w:p>
    <w:p w:rsidR="00BB59CD" w:rsidRDefault="00BB59CD" w:rsidP="00BB59CD">
      <w:pPr>
        <w:pStyle w:val="af4"/>
        <w:rPr>
          <w:rFonts w:ascii="Calibri" w:hAnsi="Calibri" w:cs="Calibri"/>
          <w:rtl/>
        </w:rPr>
      </w:pPr>
      <w:bookmarkStart w:id="83124" w:name="_ETM_Q170_143000"/>
      <w:bookmarkEnd w:id="83124"/>
      <w:r>
        <w:rPr>
          <w:rFonts w:hint="cs"/>
          <w:rtl/>
        </w:rPr>
        <w:t>הצבעה מס' 106</w:t>
      </w:r>
    </w:p>
    <w:p w:rsidR="00BB59CD" w:rsidRDefault="00BB59CD" w:rsidP="00BB59CD">
      <w:pPr>
        <w:pStyle w:val="--"/>
      </w:pPr>
    </w:p>
    <w:p w:rsidR="00BB59CD" w:rsidRDefault="00BB59CD" w:rsidP="00BB59CD">
      <w:pPr>
        <w:pStyle w:val="--"/>
        <w:rPr>
          <w:rFonts w:ascii="Calibri" w:hAnsi="Calibri" w:cs="Calibri"/>
          <w:rtl/>
        </w:rPr>
      </w:pPr>
      <w:r>
        <w:rPr>
          <w:rFonts w:hint="cs"/>
          <w:rtl/>
        </w:rPr>
        <w:t>בעד ההסתייגות – 53</w:t>
      </w:r>
    </w:p>
    <w:p w:rsidR="00BB59CD" w:rsidRDefault="00BB59CD" w:rsidP="00BB59CD">
      <w:pPr>
        <w:pStyle w:val="--"/>
      </w:pPr>
      <w:r>
        <w:rPr>
          <w:rFonts w:hint="cs"/>
          <w:rtl/>
        </w:rPr>
        <w:t>נגד – 64</w:t>
      </w:r>
    </w:p>
    <w:p w:rsidR="00BB59CD" w:rsidRDefault="00BB59CD" w:rsidP="00BB59CD">
      <w:pPr>
        <w:pStyle w:val="--"/>
      </w:pPr>
      <w:r>
        <w:rPr>
          <w:rFonts w:hint="cs"/>
          <w:rtl/>
        </w:rPr>
        <w:t>נמנעים – אין</w:t>
      </w:r>
    </w:p>
    <w:p w:rsidR="00BB59CD" w:rsidRDefault="00BB59CD" w:rsidP="00BB59CD">
      <w:pPr>
        <w:pStyle w:val="af5"/>
      </w:pPr>
      <w:r>
        <w:rPr>
          <w:rFonts w:hint="cs"/>
          <w:rtl/>
        </w:rPr>
        <w:t>הסתייגות 18328 לא נתקבלה.</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53 בעד, </w:t>
      </w:r>
      <w:bookmarkStart w:id="83125" w:name="_ETM_Q170_182000"/>
      <w:bookmarkEnd w:id="83125"/>
      <w:r>
        <w:rPr>
          <w:rFonts w:hint="cs"/>
          <w:rtl/>
          <w:lang w:eastAsia="he-IL"/>
        </w:rPr>
        <w:t xml:space="preserve">64 נגד. אני קובע כי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w:t>
      </w:r>
      <w:bookmarkStart w:id="83126" w:name="_ETM_Q170_186000"/>
      <w:bookmarkEnd w:id="83126"/>
      <w:r>
        <w:rPr>
          <w:rFonts w:hint="cs"/>
          <w:rtl/>
          <w:lang w:eastAsia="he-IL"/>
        </w:rPr>
        <w:t>על הסתייגות 18330. הצבעה כעת. הצבעה.</w:t>
      </w:r>
    </w:p>
    <w:p w:rsidR="00BB59CD" w:rsidRDefault="00BB59CD" w:rsidP="00BB59CD">
      <w:pPr>
        <w:rPr>
          <w:rtl/>
          <w:lang w:eastAsia="he-IL"/>
        </w:rPr>
      </w:pPr>
      <w:bookmarkStart w:id="83127" w:name="_ETM_Q170_194000"/>
      <w:bookmarkEnd w:id="83127"/>
    </w:p>
    <w:p w:rsidR="00BB59CD" w:rsidRDefault="00BB59CD" w:rsidP="00BB59CD">
      <w:pPr>
        <w:pStyle w:val="af4"/>
        <w:rPr>
          <w:rtl/>
        </w:rPr>
      </w:pPr>
      <w:bookmarkStart w:id="83128" w:name="_ETM_Q170_189000"/>
      <w:bookmarkEnd w:id="83128"/>
      <w:r>
        <w:rPr>
          <w:rFonts w:hint="cs"/>
          <w:rtl/>
        </w:rPr>
        <w:t>הצבעה מס' 107</w:t>
      </w:r>
    </w:p>
    <w:p w:rsidR="00BB59CD" w:rsidRDefault="00BB59CD" w:rsidP="00BB59CD">
      <w:pPr>
        <w:bidi w:val="0"/>
        <w:jc w:val="center"/>
      </w:pPr>
    </w:p>
    <w:p w:rsidR="00BB59CD" w:rsidRDefault="00BB59CD" w:rsidP="00BB59CD">
      <w:pPr>
        <w:pStyle w:val="--"/>
        <w:rPr>
          <w:rtl/>
        </w:rPr>
      </w:pPr>
      <w:r>
        <w:rPr>
          <w:rFonts w:hint="cs"/>
          <w:rtl/>
        </w:rPr>
        <w:t>בעד ההסתייגות – 55</w:t>
      </w:r>
    </w:p>
    <w:p w:rsidR="00BB59CD" w:rsidRDefault="00BB59CD" w:rsidP="00BB59CD">
      <w:pPr>
        <w:pStyle w:val="--"/>
      </w:pPr>
      <w:r>
        <w:rPr>
          <w:rFonts w:hint="cs"/>
          <w:rtl/>
        </w:rPr>
        <w:t>נגד – 62</w:t>
      </w:r>
    </w:p>
    <w:p w:rsidR="00BB59CD" w:rsidRDefault="00BB59CD" w:rsidP="00BB59CD">
      <w:pPr>
        <w:pStyle w:val="--"/>
      </w:pPr>
      <w:r>
        <w:rPr>
          <w:rFonts w:hint="cs"/>
          <w:rtl/>
        </w:rPr>
        <w:t>נמנעים – אין</w:t>
      </w:r>
    </w:p>
    <w:p w:rsidR="00BB59CD" w:rsidRDefault="00BB59CD" w:rsidP="00BB59CD">
      <w:pPr>
        <w:pStyle w:val="af5"/>
      </w:pPr>
      <w:r>
        <w:rPr>
          <w:rFonts w:hint="cs"/>
          <w:rtl/>
        </w:rPr>
        <w:t>הסתייגות 18330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129" w:name="_ETM_Q170_193000"/>
      <w:bookmarkEnd w:id="83129"/>
      <w:r>
        <w:rPr>
          <w:rFonts w:hint="cs"/>
          <w:rtl/>
          <w:lang w:eastAsia="he-IL"/>
        </w:rPr>
        <w:t xml:space="preserve">55 בעד, 62 נגד. אני קובע כי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נצביע על </w:t>
      </w:r>
      <w:bookmarkStart w:id="83130" w:name="_ETM_Q170_212000"/>
      <w:bookmarkEnd w:id="83130"/>
      <w:r>
        <w:rPr>
          <w:rFonts w:hint="cs"/>
          <w:rtl/>
          <w:lang w:eastAsia="he-IL"/>
        </w:rPr>
        <w:t xml:space="preserve">הסתייגות שמספרה </w:t>
      </w:r>
      <w:bookmarkStart w:id="83131" w:name="_ETM_Q170_218000"/>
      <w:bookmarkEnd w:id="83131"/>
      <w:r>
        <w:rPr>
          <w:rFonts w:hint="cs"/>
          <w:rtl/>
          <w:lang w:eastAsia="he-IL"/>
        </w:rPr>
        <w:t>18333. הצבעה.</w:t>
      </w:r>
    </w:p>
    <w:p w:rsidR="00BB59CD" w:rsidRDefault="00BB59CD" w:rsidP="00BB59CD">
      <w:pPr>
        <w:rPr>
          <w:rtl/>
          <w:lang w:eastAsia="he-IL"/>
        </w:rPr>
      </w:pPr>
      <w:bookmarkStart w:id="83132" w:name="_ETM_Q170_221000"/>
      <w:bookmarkEnd w:id="83132"/>
    </w:p>
    <w:p w:rsidR="00BB59CD" w:rsidRDefault="00BB59CD" w:rsidP="00BB59CD">
      <w:pPr>
        <w:pStyle w:val="af4"/>
        <w:rPr>
          <w:rtl/>
        </w:rPr>
      </w:pPr>
      <w:bookmarkStart w:id="83133" w:name="_ETM_Q170_220000"/>
      <w:bookmarkEnd w:id="83133"/>
      <w:r>
        <w:rPr>
          <w:rFonts w:hint="cs"/>
          <w:rtl/>
        </w:rPr>
        <w:t>הצבעה מס' 108</w:t>
      </w:r>
    </w:p>
    <w:p w:rsidR="00BB59CD" w:rsidRDefault="00BB59CD" w:rsidP="00BB59CD">
      <w:pPr>
        <w:bidi w:val="0"/>
        <w:jc w:val="center"/>
      </w:pPr>
    </w:p>
    <w:p w:rsidR="00BB59CD" w:rsidRDefault="00BB59CD" w:rsidP="00BB59CD">
      <w:pPr>
        <w:pStyle w:val="--"/>
        <w:rPr>
          <w:rtl/>
        </w:rPr>
      </w:pPr>
      <w:r>
        <w:rPr>
          <w:rFonts w:hint="cs"/>
          <w:rtl/>
        </w:rPr>
        <w:t>בעד ההסתייגות – 56</w:t>
      </w:r>
    </w:p>
    <w:p w:rsidR="00BB59CD" w:rsidRDefault="00BB59CD" w:rsidP="00BB59CD">
      <w:pPr>
        <w:pStyle w:val="--"/>
      </w:pPr>
      <w:r>
        <w:rPr>
          <w:rFonts w:hint="cs"/>
          <w:rtl/>
        </w:rPr>
        <w:t>נגד – 63</w:t>
      </w:r>
    </w:p>
    <w:p w:rsidR="00BB59CD" w:rsidRDefault="00BB59CD" w:rsidP="00BB59CD">
      <w:pPr>
        <w:pStyle w:val="--"/>
      </w:pPr>
      <w:r>
        <w:rPr>
          <w:rFonts w:hint="cs"/>
          <w:rtl/>
        </w:rPr>
        <w:t>נמנעים – אין</w:t>
      </w:r>
    </w:p>
    <w:p w:rsidR="00BB59CD" w:rsidRDefault="00BB59CD" w:rsidP="00BB59CD">
      <w:pPr>
        <w:pStyle w:val="af5"/>
      </w:pPr>
      <w:r>
        <w:rPr>
          <w:rFonts w:hint="cs"/>
          <w:rtl/>
        </w:rPr>
        <w:t>הסתייגות 18333 לא נתקבלה.</w:t>
      </w:r>
    </w:p>
    <w:p w:rsidR="00BB59CD" w:rsidRDefault="00BB59CD" w:rsidP="00BB59CD">
      <w:pPr>
        <w:rPr>
          <w:rtl/>
          <w:lang w:eastAsia="he-IL"/>
        </w:rPr>
      </w:pP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56 בעד, 63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כעת </w:t>
      </w:r>
      <w:bookmarkStart w:id="83134" w:name="_ETM_Q170_240000"/>
      <w:bookmarkEnd w:id="83134"/>
      <w:r>
        <w:rPr>
          <w:rFonts w:hint="cs"/>
          <w:rtl/>
          <w:lang w:eastAsia="he-IL"/>
        </w:rPr>
        <w:t xml:space="preserve">מצביעים על הסתייגות </w:t>
      </w:r>
      <w:bookmarkStart w:id="83135" w:name="_ETM_Q170_242000"/>
      <w:bookmarkEnd w:id="83135"/>
      <w:r>
        <w:rPr>
          <w:rFonts w:hint="cs"/>
          <w:rtl/>
          <w:lang w:eastAsia="he-IL"/>
        </w:rPr>
        <w:t>18334. הצבעה כעת.</w:t>
      </w:r>
    </w:p>
    <w:p w:rsidR="00BB59CD" w:rsidRDefault="00BB59CD" w:rsidP="00BB59CD">
      <w:pPr>
        <w:rPr>
          <w:rtl/>
          <w:lang w:eastAsia="he-IL"/>
        </w:rPr>
      </w:pPr>
    </w:p>
    <w:p w:rsidR="00BB59CD" w:rsidRDefault="00BB59CD" w:rsidP="00BB59CD">
      <w:pPr>
        <w:pStyle w:val="af4"/>
        <w:rPr>
          <w:rtl/>
        </w:rPr>
      </w:pPr>
      <w:bookmarkStart w:id="83136" w:name="_ETM_Q170_245000"/>
      <w:bookmarkEnd w:id="83136"/>
      <w:r>
        <w:rPr>
          <w:rFonts w:hint="cs"/>
          <w:rtl/>
        </w:rPr>
        <w:t>הצבעה מס' 109</w:t>
      </w:r>
    </w:p>
    <w:p w:rsidR="00BB59CD" w:rsidRDefault="00BB59CD" w:rsidP="00BB59CD">
      <w:pPr>
        <w:pStyle w:val="--"/>
      </w:pPr>
    </w:p>
    <w:p w:rsidR="00BB59CD" w:rsidRDefault="00BB59CD" w:rsidP="00BB59CD">
      <w:pPr>
        <w:pStyle w:val="--"/>
        <w:rPr>
          <w:rtl/>
        </w:rPr>
      </w:pPr>
      <w:r>
        <w:rPr>
          <w:rFonts w:hint="cs"/>
          <w:rtl/>
        </w:rPr>
        <w:t>בעד ההסתייגות – 51</w:t>
      </w:r>
    </w:p>
    <w:p w:rsidR="00BB59CD" w:rsidRDefault="00BB59CD" w:rsidP="00BB59CD">
      <w:pPr>
        <w:pStyle w:val="--"/>
      </w:pPr>
      <w:r>
        <w:rPr>
          <w:rFonts w:hint="cs"/>
          <w:rtl/>
        </w:rPr>
        <w:t>נגד – 64</w:t>
      </w:r>
    </w:p>
    <w:p w:rsidR="00BB59CD" w:rsidRDefault="00BB59CD" w:rsidP="00BB59CD">
      <w:pPr>
        <w:pStyle w:val="--"/>
      </w:pPr>
      <w:r>
        <w:rPr>
          <w:rFonts w:hint="cs"/>
          <w:rtl/>
        </w:rPr>
        <w:t>נמנעים – אין</w:t>
      </w:r>
    </w:p>
    <w:p w:rsidR="00BB59CD" w:rsidRDefault="00BB59CD" w:rsidP="00BB59CD">
      <w:pPr>
        <w:pStyle w:val="af5"/>
      </w:pPr>
      <w:r>
        <w:rPr>
          <w:rFonts w:hint="cs"/>
          <w:rtl/>
        </w:rPr>
        <w:t>הסתייגות 18334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137" w:name="_ETM_Q170_244000"/>
      <w:bookmarkEnd w:id="83137"/>
      <w:r>
        <w:rPr>
          <w:rFonts w:hint="cs"/>
          <w:rtl/>
          <w:lang w:eastAsia="he-IL"/>
        </w:rPr>
        <w:t xml:space="preserve">51 בעד, 64 נגד.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נצביע </w:t>
      </w:r>
      <w:bookmarkStart w:id="83138" w:name="_ETM_Q170_263000"/>
      <w:bookmarkEnd w:id="83138"/>
      <w:r>
        <w:rPr>
          <w:rFonts w:hint="cs"/>
          <w:rtl/>
          <w:lang w:eastAsia="he-IL"/>
        </w:rPr>
        <w:t xml:space="preserve">כעת על הסתייגות שמספרה </w:t>
      </w:r>
      <w:bookmarkStart w:id="83139" w:name="_ETM_Q170_266000"/>
      <w:bookmarkEnd w:id="83139"/>
      <w:r>
        <w:rPr>
          <w:rFonts w:hint="cs"/>
          <w:rtl/>
          <w:lang w:eastAsia="he-IL"/>
        </w:rPr>
        <w:t>18336. הצבעה.</w:t>
      </w:r>
    </w:p>
    <w:p w:rsidR="00BB59CD" w:rsidRDefault="00BB59CD" w:rsidP="00BB59CD">
      <w:pPr>
        <w:rPr>
          <w:rtl/>
          <w:lang w:eastAsia="he-IL"/>
        </w:rPr>
      </w:pPr>
      <w:bookmarkStart w:id="83140" w:name="_ETM_Q170_271000"/>
      <w:bookmarkEnd w:id="83140"/>
    </w:p>
    <w:p w:rsidR="00BB59CD" w:rsidRDefault="00BB59CD" w:rsidP="00BB59CD">
      <w:pPr>
        <w:pStyle w:val="af4"/>
        <w:rPr>
          <w:rFonts w:ascii="Calibri" w:hAnsi="Calibri" w:cs="Calibri"/>
          <w:rtl/>
        </w:rPr>
      </w:pPr>
      <w:bookmarkStart w:id="83141" w:name="_ETM_Q170_272000"/>
      <w:bookmarkEnd w:id="83141"/>
      <w:r>
        <w:rPr>
          <w:rFonts w:hint="cs"/>
          <w:rtl/>
        </w:rPr>
        <w:t>הצבעה מס' 110</w:t>
      </w:r>
    </w:p>
    <w:p w:rsidR="00BB59CD" w:rsidRDefault="00BB59CD" w:rsidP="00BB59CD">
      <w:pPr>
        <w:pStyle w:val="--"/>
      </w:pPr>
    </w:p>
    <w:p w:rsidR="00BB59CD" w:rsidRDefault="00BB59CD" w:rsidP="00BB59CD">
      <w:pPr>
        <w:pStyle w:val="--"/>
        <w:rPr>
          <w:rtl/>
        </w:rPr>
      </w:pPr>
      <w:r>
        <w:rPr>
          <w:rFonts w:hint="cs"/>
          <w:rtl/>
        </w:rPr>
        <w:t>בעד ההסתייגות – 54</w:t>
      </w:r>
    </w:p>
    <w:p w:rsidR="00BB59CD" w:rsidRDefault="00BB59CD" w:rsidP="00BB59CD">
      <w:pPr>
        <w:pStyle w:val="--"/>
      </w:pPr>
      <w:r>
        <w:rPr>
          <w:rFonts w:hint="cs"/>
          <w:rtl/>
        </w:rPr>
        <w:t>נגד – 63</w:t>
      </w:r>
    </w:p>
    <w:p w:rsidR="00BB59CD" w:rsidRDefault="00BB59CD" w:rsidP="00BB59CD">
      <w:pPr>
        <w:pStyle w:val="--"/>
      </w:pPr>
      <w:r>
        <w:rPr>
          <w:rFonts w:hint="cs"/>
          <w:rtl/>
        </w:rPr>
        <w:t>נמנעים – אין</w:t>
      </w:r>
    </w:p>
    <w:p w:rsidR="00BB59CD" w:rsidRDefault="00BB59CD" w:rsidP="00BB59CD">
      <w:pPr>
        <w:pStyle w:val="af5"/>
      </w:pPr>
      <w:r>
        <w:rPr>
          <w:rFonts w:hint="cs"/>
          <w:rtl/>
        </w:rPr>
        <w:t>הסתייגות 18336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54 בעד, </w:t>
      </w:r>
      <w:bookmarkStart w:id="83142" w:name="_ETM_Q170_286000"/>
      <w:bookmarkEnd w:id="83142"/>
      <w:r>
        <w:rPr>
          <w:rFonts w:hint="cs"/>
          <w:rtl/>
          <w:lang w:eastAsia="he-IL"/>
        </w:rPr>
        <w:t xml:space="preserve">63 נגד. אני קובע כי 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נצביע כעת </w:t>
      </w:r>
      <w:bookmarkStart w:id="83143" w:name="_ETM_Q170_290000"/>
      <w:bookmarkEnd w:id="83143"/>
      <w:r>
        <w:rPr>
          <w:rFonts w:hint="cs"/>
          <w:rtl/>
          <w:lang w:eastAsia="he-IL"/>
        </w:rPr>
        <w:t xml:space="preserve">על הסתייגות </w:t>
      </w:r>
      <w:bookmarkStart w:id="83144" w:name="_ETM_Q170_292000"/>
      <w:bookmarkEnd w:id="83144"/>
      <w:r>
        <w:rPr>
          <w:rFonts w:hint="cs"/>
          <w:rtl/>
          <w:lang w:eastAsia="he-IL"/>
        </w:rPr>
        <w:t>18339. הצבעה כעת.</w:t>
      </w:r>
    </w:p>
    <w:p w:rsidR="00BB59CD" w:rsidRDefault="00BB59CD" w:rsidP="00BB59CD">
      <w:pPr>
        <w:rPr>
          <w:rtl/>
          <w:lang w:eastAsia="he-IL"/>
        </w:rPr>
      </w:pPr>
    </w:p>
    <w:p w:rsidR="00BB59CD" w:rsidRDefault="00BB59CD" w:rsidP="00BB59CD">
      <w:pPr>
        <w:pStyle w:val="af4"/>
        <w:rPr>
          <w:rFonts w:ascii="Calibri" w:hAnsi="Calibri" w:cs="Calibri"/>
          <w:rtl/>
        </w:rPr>
      </w:pPr>
      <w:bookmarkStart w:id="83145" w:name="_ETM_Q170_295000"/>
      <w:bookmarkEnd w:id="83145"/>
      <w:r>
        <w:rPr>
          <w:rFonts w:hint="cs"/>
          <w:rtl/>
        </w:rPr>
        <w:t>הצבעה מס' 111</w:t>
      </w:r>
    </w:p>
    <w:p w:rsidR="00BB59CD" w:rsidRDefault="00BB59CD" w:rsidP="00BB59CD">
      <w:pPr>
        <w:pStyle w:val="--"/>
      </w:pPr>
    </w:p>
    <w:p w:rsidR="00BB59CD" w:rsidRDefault="00BB59CD" w:rsidP="00BB59CD">
      <w:pPr>
        <w:pStyle w:val="--"/>
        <w:rPr>
          <w:rtl/>
        </w:rPr>
      </w:pPr>
      <w:r>
        <w:rPr>
          <w:rFonts w:hint="cs"/>
          <w:rtl/>
        </w:rPr>
        <w:t>בעד ההסתייגות – 55</w:t>
      </w:r>
    </w:p>
    <w:p w:rsidR="00BB59CD" w:rsidRDefault="00BB59CD" w:rsidP="00BB59CD">
      <w:pPr>
        <w:pStyle w:val="--"/>
      </w:pPr>
      <w:r>
        <w:rPr>
          <w:rFonts w:hint="cs"/>
          <w:rtl/>
        </w:rPr>
        <w:t>נגד – 64</w:t>
      </w:r>
    </w:p>
    <w:p w:rsidR="00BB59CD" w:rsidRDefault="00BB59CD" w:rsidP="00BB59CD">
      <w:pPr>
        <w:pStyle w:val="--"/>
      </w:pPr>
      <w:r>
        <w:rPr>
          <w:rFonts w:hint="cs"/>
          <w:rtl/>
        </w:rPr>
        <w:t>נמנעים – אין</w:t>
      </w:r>
    </w:p>
    <w:p w:rsidR="00BB59CD" w:rsidRDefault="00BB59CD" w:rsidP="00BB59CD">
      <w:pPr>
        <w:pStyle w:val="af5"/>
      </w:pPr>
      <w:r>
        <w:rPr>
          <w:rFonts w:hint="cs"/>
          <w:rtl/>
        </w:rPr>
        <w:t>הסתייגות 18339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146" w:name="_ETM_Q170_309000"/>
      <w:bookmarkEnd w:id="83146"/>
      <w:r>
        <w:rPr>
          <w:rFonts w:hint="cs"/>
          <w:rtl/>
          <w:lang w:eastAsia="he-IL"/>
        </w:rPr>
        <w:t xml:space="preserve">55 בעד, 64 נגד. </w:t>
      </w:r>
      <w:bookmarkStart w:id="83147" w:name="_ETM_Q170_310000"/>
      <w:bookmarkEnd w:id="83147"/>
      <w:r>
        <w:rPr>
          <w:rFonts w:hint="cs"/>
          <w:rtl/>
          <w:lang w:eastAsia="he-IL"/>
        </w:rPr>
        <w:t xml:space="preserve">ההסתייגות לא 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כעת נצביע על הסתייגות שמספרה - -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148" w:name="_ETM_Q170_315000"/>
      <w:bookmarkEnd w:id="83148"/>
      <w:r>
        <w:rPr>
          <w:rFonts w:hint="cs"/>
          <w:rtl/>
          <w:lang w:eastAsia="he-IL"/>
        </w:rPr>
        <w:t>אני מבקשת הצבעה שמית על הסתייגות 18410.</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149" w:name="_ETM_Q170_320000"/>
      <w:bookmarkEnd w:id="83149"/>
      <w:r>
        <w:rPr>
          <w:rFonts w:hint="cs"/>
          <w:rtl/>
          <w:lang w:eastAsia="he-IL"/>
        </w:rPr>
        <w:t xml:space="preserve">אם כן, הצבעה שמית </w:t>
      </w:r>
      <w:bookmarkStart w:id="83150" w:name="_ETM_Q170_322000"/>
      <w:bookmarkEnd w:id="83150"/>
      <w:r>
        <w:rPr>
          <w:rFonts w:hint="cs"/>
          <w:rtl/>
          <w:lang w:eastAsia="he-IL"/>
        </w:rPr>
        <w:t xml:space="preserve">על הסתייגות 18410. מזכיר הכנסת, אנא קרא בשמות חברי </w:t>
      </w:r>
      <w:bookmarkStart w:id="83151" w:name="_ETM_Q170_327000"/>
      <w:bookmarkEnd w:id="83151"/>
      <w:r>
        <w:rPr>
          <w:rFonts w:hint="cs"/>
          <w:rtl/>
          <w:lang w:eastAsia="he-IL"/>
        </w:rPr>
        <w:t>הכנסת.</w:t>
      </w:r>
    </w:p>
    <w:p w:rsidR="00BB59CD" w:rsidRDefault="00BB59CD" w:rsidP="00BB59CD">
      <w:pPr>
        <w:rPr>
          <w:rtl/>
          <w:lang w:eastAsia="he-IL"/>
        </w:rPr>
      </w:pPr>
    </w:p>
    <w:p w:rsidR="00BB59CD" w:rsidRDefault="00BB59CD" w:rsidP="00BB59CD">
      <w:pPr>
        <w:pStyle w:val="af4"/>
        <w:rPr>
          <w:rtl/>
        </w:rPr>
      </w:pPr>
      <w:bookmarkStart w:id="83152" w:name="_ETM_Q170_297000"/>
      <w:bookmarkEnd w:id="83152"/>
      <w:r>
        <w:rPr>
          <w:rFonts w:hint="cs"/>
          <w:rtl/>
        </w:rPr>
        <w:t>הצבעה שמית</w:t>
      </w:r>
    </w:p>
    <w:p w:rsidR="00BB59CD" w:rsidRDefault="00BB59CD" w:rsidP="00BB59CD">
      <w:pPr>
        <w:rPr>
          <w:rtl/>
          <w:lang w:eastAsia="he-IL"/>
        </w:rPr>
      </w:pPr>
    </w:p>
    <w:p w:rsidR="00BB59CD" w:rsidRDefault="00BB59CD" w:rsidP="00BB59CD">
      <w:pPr>
        <w:pStyle w:val="af8"/>
        <w:keepNext/>
        <w:rPr>
          <w:rtl/>
        </w:rPr>
      </w:pPr>
      <w:bookmarkStart w:id="83153" w:name="ET_interruption_6327_4"/>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153"/>
    </w:p>
    <w:p w:rsidR="00BB59CD" w:rsidRDefault="00BB59CD" w:rsidP="00BB59CD">
      <w:pPr>
        <w:ind w:firstLine="0"/>
        <w:rPr>
          <w:lang w:eastAsia="he-IL"/>
        </w:rPr>
      </w:pPr>
      <w:r>
        <w:rPr>
          <w:rFonts w:hint="cs"/>
          <w:rtl/>
          <w:lang w:eastAsia="he-IL"/>
        </w:rPr>
        <w:t>(קורא בשמות חברי הכנסת)</w:t>
      </w:r>
    </w:p>
    <w:p w:rsidR="00BB59CD" w:rsidRDefault="00BB59CD" w:rsidP="00BB59CD">
      <w:pPr>
        <w:bidi w:val="0"/>
        <w:rPr>
          <w:rtl/>
          <w:lang w:eastAsia="he-IL"/>
        </w:rPr>
      </w:pPr>
    </w:p>
    <w:p w:rsidR="00BB59CD" w:rsidRDefault="00BB59CD" w:rsidP="00BB59CD">
      <w:r>
        <w:rPr>
          <w:rFonts w:hint="cs"/>
          <w:rtl/>
        </w:rPr>
        <w:t>משה אבוטבול</w:t>
      </w:r>
      <w:r>
        <w:rPr>
          <w:rFonts w:hint="cs"/>
          <w:rtl/>
        </w:rPr>
        <w:tab/>
      </w:r>
      <w:r>
        <w:rPr>
          <w:rFonts w:hint="cs"/>
          <w:rtl/>
        </w:rPr>
        <w:tab/>
        <w:t>–   נגד</w:t>
      </w:r>
    </w:p>
    <w:p w:rsidR="00BB59CD" w:rsidRDefault="00BB59CD" w:rsidP="00BB59CD">
      <w:pPr>
        <w:rPr>
          <w:rtl/>
        </w:rPr>
      </w:pPr>
      <w:r>
        <w:rPr>
          <w:rFonts w:hint="cs"/>
          <w:rtl/>
        </w:rPr>
        <w:t>יולי יואל אדלשטיין</w:t>
      </w:r>
      <w:r>
        <w:rPr>
          <w:rFonts w:hint="cs"/>
          <w:rtl/>
        </w:rPr>
        <w:tab/>
        <w:t>–   נגד</w:t>
      </w:r>
    </w:p>
    <w:p w:rsidR="00BB59CD" w:rsidRDefault="00BB59CD" w:rsidP="00BB59CD">
      <w:pPr>
        <w:rPr>
          <w:rtl/>
        </w:rPr>
      </w:pPr>
      <w:r>
        <w:rPr>
          <w:rFonts w:hint="cs"/>
          <w:rtl/>
        </w:rPr>
        <w:t>אמיר אוחנה</w:t>
      </w:r>
      <w:r>
        <w:rPr>
          <w:rFonts w:hint="cs"/>
          <w:rtl/>
        </w:rPr>
        <w:tab/>
      </w:r>
      <w:r>
        <w:rPr>
          <w:rFonts w:hint="cs"/>
          <w:rtl/>
        </w:rPr>
        <w:tab/>
        <w:t>–   נגד</w:t>
      </w:r>
    </w:p>
    <w:p w:rsidR="00BB59CD" w:rsidRDefault="00BB59CD" w:rsidP="00BB59CD">
      <w:pPr>
        <w:rPr>
          <w:rtl/>
        </w:rPr>
      </w:pPr>
      <w:r>
        <w:rPr>
          <w:rFonts w:hint="cs"/>
          <w:rtl/>
        </w:rPr>
        <w:t>ינון אזולאי</w:t>
      </w:r>
      <w:r>
        <w:rPr>
          <w:rFonts w:hint="cs"/>
          <w:rtl/>
        </w:rPr>
        <w:tab/>
      </w:r>
      <w:r>
        <w:rPr>
          <w:rFonts w:hint="cs"/>
          <w:rtl/>
        </w:rPr>
        <w:tab/>
        <w:t>–   נגד</w:t>
      </w:r>
    </w:p>
    <w:p w:rsidR="00BB59CD" w:rsidRDefault="00BB59CD" w:rsidP="00BB59CD">
      <w:pPr>
        <w:rPr>
          <w:rtl/>
        </w:rPr>
      </w:pPr>
      <w:r>
        <w:rPr>
          <w:rFonts w:hint="cs"/>
          <w:rtl/>
        </w:rPr>
        <w:t>גדי איזנקוט</w:t>
      </w:r>
      <w:r>
        <w:rPr>
          <w:rFonts w:hint="cs"/>
          <w:rtl/>
        </w:rPr>
        <w:tab/>
      </w:r>
      <w:r>
        <w:rPr>
          <w:rFonts w:hint="cs"/>
          <w:rtl/>
        </w:rPr>
        <w:tab/>
        <w:t>–   בעד</w:t>
      </w:r>
    </w:p>
    <w:p w:rsidR="00BB59CD" w:rsidRDefault="00BB59CD" w:rsidP="00BB59CD">
      <w:pPr>
        <w:rPr>
          <w:rtl/>
        </w:rPr>
      </w:pPr>
      <w:r>
        <w:rPr>
          <w:rFonts w:hint="cs"/>
          <w:rtl/>
        </w:rPr>
        <w:t>ישראל אייכלר</w:t>
      </w:r>
      <w:r>
        <w:rPr>
          <w:rFonts w:hint="cs"/>
          <w:rtl/>
        </w:rPr>
        <w:tab/>
      </w:r>
      <w:r>
        <w:rPr>
          <w:rFonts w:hint="cs"/>
          <w:rtl/>
        </w:rPr>
        <w:tab/>
        <w:t>–   נגד</w:t>
      </w:r>
    </w:p>
    <w:p w:rsidR="00BB59CD" w:rsidRDefault="00BB59CD" w:rsidP="00BB59CD">
      <w:pPr>
        <w:rPr>
          <w:rtl/>
        </w:rPr>
      </w:pPr>
      <w:r>
        <w:rPr>
          <w:rFonts w:hint="cs"/>
          <w:rtl/>
        </w:rPr>
        <w:t>דן אילוז</w:t>
      </w:r>
      <w:r>
        <w:rPr>
          <w:rFonts w:hint="cs"/>
          <w:rtl/>
        </w:rPr>
        <w:tab/>
      </w:r>
      <w:r>
        <w:rPr>
          <w:rFonts w:hint="cs"/>
          <w:rtl/>
        </w:rPr>
        <w:tab/>
      </w:r>
      <w:r>
        <w:rPr>
          <w:rFonts w:hint="cs"/>
          <w:rtl/>
        </w:rPr>
        <w:tab/>
        <w:t>–   נגד</w:t>
      </w:r>
    </w:p>
    <w:p w:rsidR="00BB59CD" w:rsidRDefault="00BB59CD" w:rsidP="00BB59CD">
      <w:pPr>
        <w:rPr>
          <w:rtl/>
        </w:rPr>
      </w:pPr>
      <w:r>
        <w:rPr>
          <w:rFonts w:hint="cs"/>
          <w:rtl/>
        </w:rPr>
        <w:t>ואליד אלהואשלה</w:t>
      </w:r>
      <w:r>
        <w:rPr>
          <w:rFonts w:hint="cs"/>
          <w:rtl/>
        </w:rPr>
        <w:tab/>
      </w:r>
      <w:r>
        <w:rPr>
          <w:rFonts w:hint="cs"/>
          <w:rtl/>
        </w:rPr>
        <w:tab/>
        <w:t>–   אינו נוכח</w:t>
      </w:r>
    </w:p>
    <w:p w:rsidR="00BB59CD" w:rsidRDefault="00BB59CD" w:rsidP="00BB59CD">
      <w:pPr>
        <w:rPr>
          <w:rtl/>
        </w:rPr>
      </w:pPr>
      <w:r>
        <w:rPr>
          <w:rFonts w:hint="cs"/>
          <w:rtl/>
        </w:rPr>
        <w:t>קארין אלהרר</w:t>
      </w:r>
      <w:r>
        <w:rPr>
          <w:rFonts w:hint="cs"/>
          <w:rtl/>
        </w:rPr>
        <w:tab/>
      </w:r>
      <w:r>
        <w:rPr>
          <w:rFonts w:hint="cs"/>
          <w:rtl/>
        </w:rPr>
        <w:tab/>
        <w:t>–   בעד</w:t>
      </w:r>
    </w:p>
    <w:p w:rsidR="00BB59CD" w:rsidRDefault="00BB59CD" w:rsidP="00BB59CD">
      <w:pPr>
        <w:rPr>
          <w:rtl/>
        </w:rPr>
      </w:pPr>
      <w:r>
        <w:rPr>
          <w:rFonts w:hint="cs"/>
          <w:rtl/>
        </w:rPr>
        <w:t>זאב אלקין</w:t>
      </w:r>
      <w:r>
        <w:rPr>
          <w:rFonts w:hint="cs"/>
          <w:rtl/>
        </w:rPr>
        <w:tab/>
      </w:r>
      <w:r>
        <w:rPr>
          <w:rFonts w:hint="cs"/>
          <w:rtl/>
        </w:rPr>
        <w:tab/>
        <w:t>–   בעד</w:t>
      </w:r>
    </w:p>
    <w:p w:rsidR="00BB59CD" w:rsidRDefault="00BB59CD" w:rsidP="00BB59CD">
      <w:pPr>
        <w:rPr>
          <w:rtl/>
        </w:rPr>
      </w:pPr>
      <w:r>
        <w:rPr>
          <w:rFonts w:hint="cs"/>
          <w:rtl/>
        </w:rPr>
        <w:t>משה ארבל</w:t>
      </w:r>
      <w:r>
        <w:rPr>
          <w:rFonts w:hint="cs"/>
          <w:rtl/>
        </w:rPr>
        <w:tab/>
      </w:r>
      <w:r>
        <w:rPr>
          <w:rFonts w:hint="cs"/>
          <w:rtl/>
        </w:rPr>
        <w:tab/>
        <w:t>–   נגד</w:t>
      </w:r>
    </w:p>
    <w:p w:rsidR="00BB59CD" w:rsidRDefault="00BB59CD" w:rsidP="00BB59CD">
      <w:pPr>
        <w:rPr>
          <w:rtl/>
        </w:rPr>
      </w:pPr>
      <w:r>
        <w:rPr>
          <w:rFonts w:hint="cs"/>
          <w:rtl/>
        </w:rPr>
        <w:t>יעקב אשר</w:t>
      </w:r>
      <w:r>
        <w:rPr>
          <w:rFonts w:hint="cs"/>
          <w:rtl/>
        </w:rPr>
        <w:tab/>
      </w:r>
      <w:r>
        <w:rPr>
          <w:rFonts w:hint="cs"/>
          <w:rtl/>
        </w:rPr>
        <w:tab/>
        <w:t>–   נגד</w:t>
      </w:r>
    </w:p>
    <w:p w:rsidR="00BB59CD" w:rsidRDefault="00BB59CD" w:rsidP="00BB59CD">
      <w:pPr>
        <w:rPr>
          <w:rtl/>
        </w:rPr>
      </w:pPr>
      <w:r>
        <w:rPr>
          <w:rFonts w:hint="cs"/>
          <w:rtl/>
        </w:rPr>
        <w:t>אביחי אברהם בוארון</w:t>
      </w:r>
      <w:r>
        <w:rPr>
          <w:rFonts w:hint="cs"/>
          <w:rtl/>
        </w:rPr>
        <w:tab/>
        <w:t>–   נגד</w:t>
      </w:r>
    </w:p>
    <w:p w:rsidR="00BB59CD" w:rsidRDefault="00BB59CD" w:rsidP="00BB59CD">
      <w:pPr>
        <w:rPr>
          <w:rtl/>
        </w:rPr>
      </w:pPr>
      <w:r>
        <w:rPr>
          <w:rFonts w:hint="cs"/>
          <w:rtl/>
        </w:rPr>
        <w:t>אוריאל בוסו</w:t>
      </w:r>
      <w:r>
        <w:rPr>
          <w:rFonts w:hint="cs"/>
          <w:rtl/>
        </w:rPr>
        <w:tab/>
      </w:r>
      <w:r>
        <w:rPr>
          <w:rFonts w:hint="cs"/>
          <w:rtl/>
        </w:rPr>
        <w:tab/>
        <w:t>–   נגד</w:t>
      </w:r>
    </w:p>
    <w:p w:rsidR="00BB59CD" w:rsidRDefault="00BB59CD" w:rsidP="00BB59CD">
      <w:pPr>
        <w:rPr>
          <w:rtl/>
        </w:rPr>
      </w:pPr>
      <w:r>
        <w:rPr>
          <w:rFonts w:hint="cs"/>
          <w:rtl/>
        </w:rPr>
        <w:t>דבי ביטון</w:t>
      </w:r>
      <w:r>
        <w:rPr>
          <w:rFonts w:hint="cs"/>
          <w:rtl/>
        </w:rPr>
        <w:tab/>
      </w:r>
      <w:r>
        <w:rPr>
          <w:rFonts w:hint="cs"/>
          <w:rtl/>
        </w:rPr>
        <w:tab/>
        <w:t>–   אינה נוכחת</w:t>
      </w:r>
    </w:p>
    <w:p w:rsidR="00BB59CD" w:rsidRDefault="00BB59CD" w:rsidP="00BB59CD">
      <w:pPr>
        <w:rPr>
          <w:rtl/>
        </w:rPr>
      </w:pPr>
      <w:r>
        <w:rPr>
          <w:rFonts w:hint="cs"/>
          <w:rtl/>
        </w:rPr>
        <w:t>מיכאל מרדכי ביטון</w:t>
      </w:r>
      <w:r>
        <w:rPr>
          <w:rFonts w:hint="cs"/>
          <w:rtl/>
        </w:rPr>
        <w:tab/>
        <w:t>–   בעד</w:t>
      </w:r>
    </w:p>
    <w:p w:rsidR="00BB59CD" w:rsidRDefault="00BB59CD" w:rsidP="00BB59CD">
      <w:pPr>
        <w:rPr>
          <w:rtl/>
        </w:rPr>
      </w:pPr>
      <w:r>
        <w:rPr>
          <w:rFonts w:hint="cs"/>
          <w:rtl/>
        </w:rPr>
        <w:t>דוד ביטן</w:t>
      </w:r>
      <w:r>
        <w:rPr>
          <w:rFonts w:hint="cs"/>
          <w:rtl/>
        </w:rPr>
        <w:tab/>
      </w:r>
      <w:r>
        <w:rPr>
          <w:rFonts w:hint="cs"/>
          <w:rtl/>
        </w:rPr>
        <w:tab/>
      </w:r>
      <w:r>
        <w:rPr>
          <w:rFonts w:hint="cs"/>
          <w:rtl/>
        </w:rPr>
        <w:tab/>
        <w:t>–   נגד</w:t>
      </w:r>
    </w:p>
    <w:p w:rsidR="00BB59CD" w:rsidRDefault="00BB59CD" w:rsidP="00BB59CD">
      <w:pPr>
        <w:rPr>
          <w:rtl/>
        </w:rPr>
      </w:pPr>
      <w:r>
        <w:rPr>
          <w:rFonts w:hint="cs"/>
          <w:rtl/>
        </w:rPr>
        <w:t>בועז ביסמוט</w:t>
      </w:r>
      <w:r>
        <w:rPr>
          <w:rFonts w:hint="cs"/>
          <w:rtl/>
        </w:rPr>
        <w:tab/>
      </w:r>
      <w:r>
        <w:rPr>
          <w:rFonts w:hint="cs"/>
          <w:rtl/>
        </w:rPr>
        <w:tab/>
        <w:t>–   נגד</w:t>
      </w:r>
    </w:p>
    <w:p w:rsidR="00BB59CD" w:rsidRDefault="00BB59CD" w:rsidP="00BB59CD">
      <w:pPr>
        <w:rPr>
          <w:rtl/>
        </w:rPr>
      </w:pPr>
      <w:r>
        <w:rPr>
          <w:rFonts w:hint="cs"/>
          <w:rtl/>
        </w:rPr>
        <w:t>ולדימיר בליאק</w:t>
      </w:r>
      <w:r>
        <w:rPr>
          <w:rFonts w:hint="cs"/>
          <w:rtl/>
        </w:rPr>
        <w:tab/>
      </w:r>
      <w:r>
        <w:rPr>
          <w:rFonts w:hint="cs"/>
          <w:rtl/>
        </w:rPr>
        <w:tab/>
        <w:t>–   בעד</w:t>
      </w:r>
    </w:p>
    <w:p w:rsidR="00BB59CD" w:rsidRDefault="00BB59CD" w:rsidP="00BB59CD">
      <w:pPr>
        <w:rPr>
          <w:rtl/>
        </w:rPr>
      </w:pPr>
      <w:r>
        <w:rPr>
          <w:rFonts w:hint="cs"/>
          <w:rtl/>
        </w:rPr>
        <w:t>מירב בן ארי</w:t>
      </w:r>
      <w:r>
        <w:rPr>
          <w:rFonts w:hint="cs"/>
          <w:rtl/>
        </w:rPr>
        <w:tab/>
      </w:r>
      <w:r>
        <w:rPr>
          <w:rFonts w:hint="cs"/>
          <w:rtl/>
        </w:rPr>
        <w:tab/>
        <w:t>–   בעד</w:t>
      </w:r>
    </w:p>
    <w:p w:rsidR="00BB59CD" w:rsidRDefault="00BB59CD" w:rsidP="00BB59CD">
      <w:pPr>
        <w:rPr>
          <w:rtl/>
        </w:rPr>
      </w:pPr>
      <w:r>
        <w:rPr>
          <w:rFonts w:hint="cs"/>
          <w:rtl/>
        </w:rPr>
        <w:t>רם בן ברק</w:t>
      </w:r>
      <w:r>
        <w:rPr>
          <w:rFonts w:hint="cs"/>
          <w:rtl/>
        </w:rPr>
        <w:tab/>
      </w:r>
      <w:r>
        <w:rPr>
          <w:rFonts w:hint="cs"/>
          <w:rtl/>
        </w:rPr>
        <w:tab/>
        <w:t>–   אינו נוכח</w:t>
      </w:r>
    </w:p>
    <w:p w:rsidR="00BB59CD" w:rsidRDefault="00BB59CD" w:rsidP="00BB59CD">
      <w:pPr>
        <w:rPr>
          <w:rtl/>
        </w:rPr>
      </w:pPr>
      <w:r>
        <w:rPr>
          <w:rFonts w:hint="cs"/>
          <w:rtl/>
        </w:rPr>
        <w:t>איתמר בן גביר</w:t>
      </w:r>
      <w:r>
        <w:rPr>
          <w:rFonts w:hint="cs"/>
          <w:rtl/>
        </w:rPr>
        <w:tab/>
      </w:r>
      <w:r>
        <w:rPr>
          <w:rFonts w:hint="cs"/>
          <w:rtl/>
        </w:rPr>
        <w:tab/>
        <w:t>–   נגד</w:t>
      </w:r>
    </w:p>
    <w:p w:rsidR="00BB59CD" w:rsidRDefault="00BB59CD" w:rsidP="00BB59CD">
      <w:pPr>
        <w:rPr>
          <w:rtl/>
        </w:rPr>
      </w:pPr>
      <w:r>
        <w:rPr>
          <w:rFonts w:hint="cs"/>
          <w:rtl/>
        </w:rPr>
        <w:t>אברהם בצלאל</w:t>
      </w:r>
      <w:r>
        <w:rPr>
          <w:rFonts w:hint="cs"/>
          <w:rtl/>
        </w:rPr>
        <w:tab/>
      </w:r>
      <w:r>
        <w:rPr>
          <w:rFonts w:hint="cs"/>
          <w:rtl/>
        </w:rPr>
        <w:tab/>
        <w:t>–   נגד</w:t>
      </w:r>
    </w:p>
    <w:p w:rsidR="00BB59CD" w:rsidRDefault="00BB59CD" w:rsidP="00BB59CD">
      <w:pPr>
        <w:rPr>
          <w:rtl/>
        </w:rPr>
      </w:pPr>
      <w:r>
        <w:rPr>
          <w:rFonts w:hint="cs"/>
          <w:rtl/>
        </w:rPr>
        <w:t>אורנה ברביבאי</w:t>
      </w:r>
      <w:r>
        <w:rPr>
          <w:rFonts w:hint="cs"/>
          <w:rtl/>
        </w:rPr>
        <w:tab/>
      </w:r>
      <w:r>
        <w:rPr>
          <w:rFonts w:hint="cs"/>
          <w:rtl/>
        </w:rPr>
        <w:tab/>
        <w:t>–   בעד</w:t>
      </w:r>
    </w:p>
    <w:p w:rsidR="00BB59CD" w:rsidRDefault="00BB59CD" w:rsidP="00BB59CD">
      <w:pPr>
        <w:rPr>
          <w:rtl/>
        </w:rPr>
      </w:pPr>
      <w:r>
        <w:rPr>
          <w:rFonts w:hint="cs"/>
          <w:rtl/>
        </w:rPr>
        <w:t>אליהו ברוכי</w:t>
      </w:r>
      <w:r>
        <w:rPr>
          <w:rFonts w:hint="cs"/>
          <w:rtl/>
        </w:rPr>
        <w:tab/>
      </w:r>
      <w:r>
        <w:rPr>
          <w:rFonts w:hint="cs"/>
          <w:rtl/>
        </w:rPr>
        <w:tab/>
        <w:t>–   נגד</w:t>
      </w:r>
    </w:p>
    <w:p w:rsidR="00BB59CD" w:rsidRDefault="00BB59CD" w:rsidP="00BB59CD">
      <w:pPr>
        <w:rPr>
          <w:rtl/>
        </w:rPr>
      </w:pPr>
      <w:r>
        <w:rPr>
          <w:rFonts w:hint="cs"/>
          <w:rtl/>
        </w:rPr>
        <w:t>ניר ברקת</w:t>
      </w:r>
      <w:r>
        <w:rPr>
          <w:rFonts w:hint="cs"/>
          <w:rtl/>
        </w:rPr>
        <w:tab/>
      </w:r>
      <w:r>
        <w:rPr>
          <w:rFonts w:hint="cs"/>
          <w:rtl/>
        </w:rPr>
        <w:tab/>
        <w:t>–   נגד</w:t>
      </w:r>
    </w:p>
    <w:p w:rsidR="00BB59CD" w:rsidRDefault="00BB59CD" w:rsidP="00BB59CD">
      <w:pPr>
        <w:rPr>
          <w:rtl/>
        </w:rPr>
      </w:pPr>
      <w:r>
        <w:rPr>
          <w:rFonts w:hint="cs"/>
          <w:rtl/>
        </w:rPr>
        <w:t>ששון ששי גואטה</w:t>
      </w:r>
      <w:r>
        <w:rPr>
          <w:rFonts w:hint="cs"/>
          <w:rtl/>
        </w:rPr>
        <w:tab/>
      </w:r>
      <w:r>
        <w:rPr>
          <w:rFonts w:hint="cs"/>
          <w:rtl/>
        </w:rPr>
        <w:tab/>
        <w:t>–   נגד</w:t>
      </w:r>
    </w:p>
    <w:p w:rsidR="00BB59CD" w:rsidRDefault="00BB59CD" w:rsidP="00BB59CD">
      <w:pPr>
        <w:rPr>
          <w:rtl/>
        </w:rPr>
      </w:pPr>
      <w:r>
        <w:rPr>
          <w:rFonts w:hint="cs"/>
          <w:rtl/>
        </w:rPr>
        <w:t>טלי גוטליב</w:t>
      </w:r>
      <w:r>
        <w:rPr>
          <w:rFonts w:hint="cs"/>
          <w:rtl/>
        </w:rPr>
        <w:tab/>
      </w:r>
      <w:r>
        <w:rPr>
          <w:rFonts w:hint="cs"/>
          <w:rtl/>
        </w:rPr>
        <w:tab/>
        <w:t>–   נגד</w:t>
      </w:r>
    </w:p>
    <w:p w:rsidR="00BB59CD" w:rsidRDefault="00BB59CD" w:rsidP="00BB59CD">
      <w:pPr>
        <w:rPr>
          <w:rtl/>
        </w:rPr>
      </w:pPr>
      <w:r>
        <w:rPr>
          <w:rFonts w:hint="cs"/>
          <w:rtl/>
        </w:rPr>
        <w:t>מאי גולן</w:t>
      </w:r>
      <w:r>
        <w:rPr>
          <w:rFonts w:hint="cs"/>
          <w:rtl/>
        </w:rPr>
        <w:tab/>
      </w:r>
      <w:r>
        <w:rPr>
          <w:rFonts w:hint="cs"/>
          <w:rtl/>
        </w:rPr>
        <w:tab/>
      </w:r>
      <w:r>
        <w:rPr>
          <w:rFonts w:hint="cs"/>
          <w:rtl/>
        </w:rPr>
        <w:tab/>
        <w:t>–   נגד</w:t>
      </w:r>
    </w:p>
    <w:p w:rsidR="00BB59CD" w:rsidRDefault="00BB59CD" w:rsidP="00BB59CD">
      <w:pPr>
        <w:rPr>
          <w:rtl/>
        </w:rPr>
      </w:pPr>
      <w:r>
        <w:rPr>
          <w:rFonts w:hint="cs"/>
          <w:rtl/>
        </w:rPr>
        <w:t>יואב גלנט</w:t>
      </w:r>
      <w:r>
        <w:rPr>
          <w:rFonts w:hint="cs"/>
          <w:rtl/>
        </w:rPr>
        <w:tab/>
      </w:r>
      <w:r>
        <w:rPr>
          <w:rFonts w:hint="cs"/>
          <w:rtl/>
        </w:rPr>
        <w:tab/>
        <w:t>–   נגד</w:t>
      </w:r>
    </w:p>
    <w:p w:rsidR="00BB59CD" w:rsidRDefault="00BB59CD" w:rsidP="00BB59CD">
      <w:pPr>
        <w:rPr>
          <w:rtl/>
        </w:rPr>
      </w:pPr>
      <w:r>
        <w:rPr>
          <w:rFonts w:hint="cs"/>
          <w:rtl/>
        </w:rPr>
        <w:t>גילה גמליאל</w:t>
      </w:r>
      <w:r>
        <w:rPr>
          <w:rFonts w:hint="cs"/>
          <w:rtl/>
        </w:rPr>
        <w:tab/>
      </w:r>
      <w:r>
        <w:rPr>
          <w:rFonts w:hint="cs"/>
          <w:rtl/>
        </w:rPr>
        <w:tab/>
        <w:t>–   נגד</w:t>
      </w:r>
    </w:p>
    <w:p w:rsidR="00BB59CD" w:rsidRDefault="00BB59CD" w:rsidP="00BB59CD">
      <w:pPr>
        <w:rPr>
          <w:rtl/>
        </w:rPr>
      </w:pPr>
      <w:r>
        <w:rPr>
          <w:rFonts w:hint="cs"/>
          <w:rtl/>
        </w:rPr>
        <w:t>בנימין גנץ</w:t>
      </w:r>
      <w:r>
        <w:rPr>
          <w:rFonts w:hint="cs"/>
          <w:rtl/>
        </w:rPr>
        <w:tab/>
      </w:r>
      <w:r>
        <w:rPr>
          <w:rFonts w:hint="cs"/>
          <w:rtl/>
        </w:rPr>
        <w:tab/>
        <w:t>–   בעד</w:t>
      </w:r>
    </w:p>
    <w:p w:rsidR="00BB59CD" w:rsidRDefault="00BB59CD" w:rsidP="00BB59CD">
      <w:pPr>
        <w:rPr>
          <w:rtl/>
        </w:rPr>
      </w:pPr>
      <w:r>
        <w:rPr>
          <w:rFonts w:hint="cs"/>
          <w:rtl/>
        </w:rPr>
        <w:t>משה גפני</w:t>
      </w:r>
      <w:r>
        <w:rPr>
          <w:rFonts w:hint="cs"/>
          <w:rtl/>
        </w:rPr>
        <w:tab/>
      </w:r>
      <w:r>
        <w:rPr>
          <w:rFonts w:hint="cs"/>
          <w:rtl/>
        </w:rPr>
        <w:tab/>
        <w:t>–   נגד</w:t>
      </w:r>
    </w:p>
    <w:p w:rsidR="00BB59CD" w:rsidRDefault="00BB59CD" w:rsidP="00BB59CD">
      <w:pPr>
        <w:rPr>
          <w:rtl/>
        </w:rPr>
      </w:pPr>
      <w:r>
        <w:rPr>
          <w:rFonts w:hint="cs"/>
          <w:rtl/>
        </w:rPr>
        <w:t>סימון דוידסון</w:t>
      </w:r>
      <w:r>
        <w:rPr>
          <w:rFonts w:hint="cs"/>
          <w:rtl/>
        </w:rPr>
        <w:tab/>
      </w:r>
      <w:r>
        <w:rPr>
          <w:rFonts w:hint="cs"/>
          <w:rtl/>
        </w:rPr>
        <w:tab/>
        <w:t>–   אינו נוכח</w:t>
      </w:r>
    </w:p>
    <w:p w:rsidR="00BB59CD" w:rsidRDefault="00BB59CD" w:rsidP="00BB59CD">
      <w:pPr>
        <w:rPr>
          <w:rtl/>
        </w:rPr>
      </w:pPr>
      <w:r>
        <w:rPr>
          <w:rFonts w:hint="cs"/>
          <w:rtl/>
        </w:rPr>
        <w:t>אבי דיכטר</w:t>
      </w:r>
      <w:r>
        <w:rPr>
          <w:rFonts w:hint="cs"/>
          <w:rtl/>
        </w:rPr>
        <w:tab/>
      </w:r>
      <w:r>
        <w:rPr>
          <w:rFonts w:hint="cs"/>
          <w:rtl/>
        </w:rPr>
        <w:tab/>
        <w:t>–   נגד</w:t>
      </w:r>
    </w:p>
    <w:p w:rsidR="00BB59CD" w:rsidRDefault="00BB59CD" w:rsidP="00BB59CD">
      <w:pPr>
        <w:rPr>
          <w:rtl/>
        </w:rPr>
      </w:pPr>
      <w:r>
        <w:rPr>
          <w:rFonts w:hint="cs"/>
          <w:rtl/>
        </w:rPr>
        <w:t>אלי דלל</w:t>
      </w:r>
      <w:r>
        <w:rPr>
          <w:rFonts w:hint="cs"/>
          <w:rtl/>
        </w:rPr>
        <w:tab/>
      </w:r>
      <w:r>
        <w:rPr>
          <w:rFonts w:hint="cs"/>
          <w:rtl/>
        </w:rPr>
        <w:tab/>
      </w:r>
      <w:r>
        <w:rPr>
          <w:rFonts w:hint="cs"/>
          <w:rtl/>
        </w:rPr>
        <w:tab/>
        <w:t>–   נגד</w:t>
      </w:r>
    </w:p>
    <w:p w:rsidR="00BB59CD" w:rsidRDefault="00BB59CD" w:rsidP="00BB59CD">
      <w:pPr>
        <w:rPr>
          <w:rtl/>
        </w:rPr>
      </w:pPr>
      <w:r>
        <w:rPr>
          <w:rFonts w:hint="cs"/>
          <w:rtl/>
        </w:rPr>
        <w:t>דני דנון</w:t>
      </w:r>
      <w:r>
        <w:rPr>
          <w:rFonts w:hint="cs"/>
          <w:rtl/>
        </w:rPr>
        <w:tab/>
      </w:r>
      <w:r>
        <w:rPr>
          <w:rFonts w:hint="cs"/>
          <w:rtl/>
        </w:rPr>
        <w:tab/>
      </w:r>
      <w:r>
        <w:rPr>
          <w:rFonts w:hint="cs"/>
          <w:rtl/>
        </w:rPr>
        <w:tab/>
        <w:t>–   נגד</w:t>
      </w:r>
    </w:p>
    <w:p w:rsidR="00BB59CD" w:rsidRDefault="00BB59CD" w:rsidP="00BB59CD">
      <w:pPr>
        <w:rPr>
          <w:rtl/>
        </w:rPr>
      </w:pPr>
      <w:r>
        <w:rPr>
          <w:rFonts w:hint="cs"/>
          <w:rtl/>
        </w:rPr>
        <w:t>שלום דנינו</w:t>
      </w:r>
      <w:r>
        <w:rPr>
          <w:rFonts w:hint="cs"/>
          <w:rtl/>
        </w:rPr>
        <w:tab/>
      </w:r>
      <w:r>
        <w:rPr>
          <w:rFonts w:hint="cs"/>
          <w:rtl/>
        </w:rPr>
        <w:tab/>
        <w:t>–   נגד</w:t>
      </w:r>
    </w:p>
    <w:p w:rsidR="00BB59CD" w:rsidRDefault="00BB59CD" w:rsidP="00BB59CD">
      <w:pPr>
        <w:rPr>
          <w:rtl/>
        </w:rPr>
      </w:pPr>
      <w:r>
        <w:rPr>
          <w:rFonts w:hint="cs"/>
          <w:rtl/>
        </w:rPr>
        <w:t>אריה מכלוף דרעי</w:t>
      </w:r>
      <w:r>
        <w:rPr>
          <w:rFonts w:hint="cs"/>
          <w:rtl/>
        </w:rPr>
        <w:tab/>
        <w:t>–   נגד</w:t>
      </w:r>
    </w:p>
    <w:p w:rsidR="00BB59CD" w:rsidRDefault="00BB59CD" w:rsidP="00BB59CD">
      <w:pPr>
        <w:rPr>
          <w:rtl/>
        </w:rPr>
      </w:pPr>
      <w:r>
        <w:rPr>
          <w:rFonts w:hint="cs"/>
          <w:rtl/>
        </w:rPr>
        <w:t>עמית הלוי</w:t>
      </w:r>
      <w:r>
        <w:rPr>
          <w:rFonts w:hint="cs"/>
          <w:rtl/>
        </w:rPr>
        <w:tab/>
      </w:r>
      <w:r>
        <w:rPr>
          <w:rFonts w:hint="cs"/>
          <w:rtl/>
        </w:rPr>
        <w:tab/>
        <w:t>–   נגד</w:t>
      </w:r>
    </w:p>
    <w:p w:rsidR="00BB59CD" w:rsidRDefault="00BB59CD" w:rsidP="00BB59CD">
      <w:pPr>
        <w:rPr>
          <w:rtl/>
        </w:rPr>
      </w:pPr>
      <w:r>
        <w:rPr>
          <w:rFonts w:hint="cs"/>
          <w:rtl/>
        </w:rPr>
        <w:t>שרן מרים השכל</w:t>
      </w:r>
      <w:r>
        <w:rPr>
          <w:rFonts w:hint="cs"/>
          <w:rtl/>
        </w:rPr>
        <w:tab/>
      </w:r>
      <w:r>
        <w:rPr>
          <w:rFonts w:hint="cs"/>
          <w:rtl/>
        </w:rPr>
        <w:tab/>
        <w:t>–   אינה נוכחת</w:t>
      </w:r>
    </w:p>
    <w:p w:rsidR="00BB59CD" w:rsidRDefault="00BB59CD" w:rsidP="00BB59CD">
      <w:pPr>
        <w:rPr>
          <w:rtl/>
        </w:rPr>
      </w:pPr>
      <w:r>
        <w:rPr>
          <w:rFonts w:hint="cs"/>
          <w:rtl/>
        </w:rPr>
        <w:t>ניסים ואטורי</w:t>
      </w:r>
      <w:r>
        <w:rPr>
          <w:rFonts w:hint="cs"/>
          <w:rtl/>
        </w:rPr>
        <w:tab/>
      </w:r>
      <w:r>
        <w:rPr>
          <w:rFonts w:hint="cs"/>
          <w:rtl/>
        </w:rPr>
        <w:tab/>
        <w:t>–   נגד</w:t>
      </w:r>
    </w:p>
    <w:p w:rsidR="00BB59CD" w:rsidRDefault="00BB59CD" w:rsidP="00BB59CD">
      <w:pPr>
        <w:rPr>
          <w:rtl/>
        </w:rPr>
      </w:pPr>
      <w:r>
        <w:rPr>
          <w:rFonts w:hint="cs"/>
          <w:rtl/>
        </w:rPr>
        <w:t>מיכל מרים וולדיגר</w:t>
      </w:r>
      <w:r>
        <w:rPr>
          <w:rFonts w:hint="cs"/>
          <w:rtl/>
        </w:rPr>
        <w:tab/>
        <w:t>–   נגד</w:t>
      </w:r>
    </w:p>
    <w:p w:rsidR="00BB59CD" w:rsidRDefault="00BB59CD" w:rsidP="00BB59CD">
      <w:pPr>
        <w:rPr>
          <w:rtl/>
        </w:rPr>
      </w:pPr>
      <w:r>
        <w:rPr>
          <w:rFonts w:hint="cs"/>
          <w:rtl/>
        </w:rPr>
        <w:t>יצחק שמעון וסרלאוף</w:t>
      </w:r>
      <w:r>
        <w:rPr>
          <w:rFonts w:hint="cs"/>
          <w:rtl/>
        </w:rPr>
        <w:tab/>
        <w:t>–   נגד</w:t>
      </w:r>
    </w:p>
    <w:p w:rsidR="00BB59CD" w:rsidRDefault="00BB59CD" w:rsidP="00BB59CD">
      <w:pPr>
        <w:rPr>
          <w:rtl/>
        </w:rPr>
      </w:pPr>
      <w:r>
        <w:rPr>
          <w:rFonts w:hint="cs"/>
          <w:rtl/>
        </w:rPr>
        <w:t>יאסר חוג'יראת</w:t>
      </w:r>
      <w:r>
        <w:rPr>
          <w:rFonts w:hint="cs"/>
          <w:rtl/>
        </w:rPr>
        <w:tab/>
      </w:r>
      <w:r>
        <w:rPr>
          <w:rFonts w:hint="cs"/>
          <w:rtl/>
        </w:rPr>
        <w:tab/>
        <w:t>–   בעד</w:t>
      </w:r>
    </w:p>
    <w:p w:rsidR="00BB59CD" w:rsidRDefault="00BB59CD" w:rsidP="00BB59CD">
      <w:pPr>
        <w:rPr>
          <w:rtl/>
        </w:rPr>
      </w:pPr>
      <w:r>
        <w:rPr>
          <w:rFonts w:hint="cs"/>
          <w:rtl/>
        </w:rPr>
        <w:t>אימאן ח'טיב יאסין</w:t>
      </w:r>
      <w:r>
        <w:rPr>
          <w:rFonts w:hint="cs"/>
          <w:rtl/>
        </w:rPr>
        <w:tab/>
        <w:t>–   בעד</w:t>
      </w:r>
    </w:p>
    <w:p w:rsidR="00BB59CD" w:rsidRDefault="00BB59CD" w:rsidP="00BB59CD">
      <w:pPr>
        <w:rPr>
          <w:rtl/>
        </w:rPr>
      </w:pPr>
      <w:r>
        <w:rPr>
          <w:rFonts w:hint="cs"/>
          <w:rtl/>
        </w:rPr>
        <w:t>ווליד טאהא</w:t>
      </w:r>
      <w:r>
        <w:rPr>
          <w:rFonts w:hint="cs"/>
          <w:rtl/>
        </w:rPr>
        <w:tab/>
      </w:r>
      <w:r>
        <w:rPr>
          <w:rFonts w:hint="cs"/>
          <w:rtl/>
        </w:rPr>
        <w:tab/>
        <w:t>–   בעד</w:t>
      </w:r>
    </w:p>
    <w:p w:rsidR="00BB59CD" w:rsidRDefault="00BB59CD" w:rsidP="00BB59CD">
      <w:pPr>
        <w:rPr>
          <w:rtl/>
        </w:rPr>
      </w:pPr>
      <w:r>
        <w:rPr>
          <w:rFonts w:hint="cs"/>
          <w:rtl/>
        </w:rPr>
        <w:t>בועז טופורובסקי</w:t>
      </w:r>
      <w:r>
        <w:rPr>
          <w:rFonts w:hint="cs"/>
          <w:rtl/>
        </w:rPr>
        <w:tab/>
      </w:r>
      <w:r>
        <w:rPr>
          <w:rFonts w:hint="cs"/>
          <w:rtl/>
        </w:rPr>
        <w:tab/>
        <w:t>–   בעד</w:t>
      </w:r>
    </w:p>
    <w:p w:rsidR="00BB59CD" w:rsidRDefault="00BB59CD" w:rsidP="00BB59CD">
      <w:pPr>
        <w:rPr>
          <w:rtl/>
        </w:rPr>
      </w:pPr>
      <w:r>
        <w:rPr>
          <w:rFonts w:hint="cs"/>
          <w:rtl/>
        </w:rPr>
        <w:t>משה טור פז</w:t>
      </w:r>
      <w:r>
        <w:rPr>
          <w:rFonts w:hint="cs"/>
          <w:rtl/>
        </w:rPr>
        <w:tab/>
      </w:r>
      <w:r>
        <w:rPr>
          <w:rFonts w:hint="cs"/>
          <w:rtl/>
        </w:rPr>
        <w:tab/>
        <w:t>–   אינו נוכח</w:t>
      </w:r>
    </w:p>
    <w:p w:rsidR="00BB59CD" w:rsidRDefault="00BB59CD" w:rsidP="00BB59CD">
      <w:pPr>
        <w:rPr>
          <w:rtl/>
        </w:rPr>
      </w:pPr>
      <w:r>
        <w:rPr>
          <w:rFonts w:hint="cs"/>
          <w:rtl/>
        </w:rPr>
        <w:t>אחמד טיבי</w:t>
      </w:r>
      <w:r>
        <w:rPr>
          <w:rFonts w:hint="cs"/>
          <w:rtl/>
        </w:rPr>
        <w:tab/>
      </w:r>
      <w:r>
        <w:rPr>
          <w:rFonts w:hint="cs"/>
          <w:rtl/>
        </w:rPr>
        <w:tab/>
        <w:t>–   בעד</w:t>
      </w:r>
    </w:p>
    <w:p w:rsidR="00BB59CD" w:rsidRDefault="00BB59CD" w:rsidP="00BB59CD">
      <w:pPr>
        <w:rPr>
          <w:rtl/>
        </w:rPr>
      </w:pPr>
      <w:r>
        <w:rPr>
          <w:rFonts w:hint="cs"/>
          <w:rtl/>
        </w:rPr>
        <w:t>יוסף טייב</w:t>
      </w:r>
      <w:r>
        <w:rPr>
          <w:rFonts w:hint="cs"/>
          <w:rtl/>
        </w:rPr>
        <w:tab/>
      </w:r>
      <w:r>
        <w:rPr>
          <w:rFonts w:hint="cs"/>
          <w:rtl/>
        </w:rPr>
        <w:tab/>
        <w:t>–   נגד</w:t>
      </w:r>
    </w:p>
    <w:p w:rsidR="00BB59CD" w:rsidRDefault="00BB59CD" w:rsidP="00BB59CD">
      <w:pPr>
        <w:rPr>
          <w:rtl/>
        </w:rPr>
      </w:pPr>
      <w:r>
        <w:rPr>
          <w:rFonts w:hint="cs"/>
          <w:rtl/>
        </w:rPr>
        <w:t>אוהד טל</w:t>
      </w:r>
      <w:r>
        <w:rPr>
          <w:rFonts w:hint="cs"/>
          <w:rtl/>
        </w:rPr>
        <w:tab/>
      </w:r>
      <w:r>
        <w:rPr>
          <w:rFonts w:hint="cs"/>
          <w:rtl/>
        </w:rPr>
        <w:tab/>
      </w:r>
      <w:r>
        <w:rPr>
          <w:rFonts w:hint="cs"/>
          <w:rtl/>
        </w:rPr>
        <w:tab/>
        <w:t>–   נגד</w:t>
      </w:r>
    </w:p>
    <w:p w:rsidR="00BB59CD" w:rsidRDefault="00BB59CD" w:rsidP="00BB59CD">
      <w:pPr>
        <w:rPr>
          <w:rtl/>
        </w:rPr>
      </w:pPr>
      <w:r>
        <w:rPr>
          <w:rFonts w:hint="cs"/>
          <w:rtl/>
        </w:rPr>
        <w:t>יעקב טסלר</w:t>
      </w:r>
      <w:r>
        <w:rPr>
          <w:rFonts w:hint="cs"/>
          <w:rtl/>
        </w:rPr>
        <w:tab/>
      </w:r>
      <w:r>
        <w:rPr>
          <w:rFonts w:hint="cs"/>
          <w:rtl/>
        </w:rPr>
        <w:tab/>
        <w:t>–   נגד</w:t>
      </w:r>
    </w:p>
    <w:p w:rsidR="00BB59CD" w:rsidRDefault="00BB59CD" w:rsidP="00BB59CD">
      <w:pPr>
        <w:rPr>
          <w:rtl/>
        </w:rPr>
      </w:pPr>
      <w:r>
        <w:rPr>
          <w:rFonts w:hint="cs"/>
          <w:rtl/>
        </w:rPr>
        <w:t>חילי טרופר</w:t>
      </w:r>
      <w:r>
        <w:rPr>
          <w:rFonts w:hint="cs"/>
          <w:rtl/>
        </w:rPr>
        <w:tab/>
      </w:r>
      <w:r>
        <w:rPr>
          <w:rFonts w:hint="cs"/>
          <w:rtl/>
        </w:rPr>
        <w:tab/>
        <w:t>–   בעד</w:t>
      </w:r>
    </w:p>
    <w:p w:rsidR="00BB59CD" w:rsidRDefault="00BB59CD" w:rsidP="00BB59CD">
      <w:pPr>
        <w:rPr>
          <w:rtl/>
        </w:rPr>
      </w:pPr>
      <w:r>
        <w:rPr>
          <w:rFonts w:hint="cs"/>
          <w:rtl/>
        </w:rPr>
        <w:t>אלמוג כהן</w:t>
      </w:r>
      <w:r>
        <w:rPr>
          <w:rFonts w:hint="cs"/>
          <w:rtl/>
        </w:rPr>
        <w:tab/>
      </w:r>
      <w:r>
        <w:rPr>
          <w:rFonts w:hint="cs"/>
          <w:rtl/>
        </w:rPr>
        <w:tab/>
        <w:t>–   אינו נוכח</w:t>
      </w:r>
    </w:p>
    <w:p w:rsidR="00BB59CD" w:rsidRDefault="00BB59CD" w:rsidP="00BB59CD">
      <w:pPr>
        <w:rPr>
          <w:rtl/>
        </w:rPr>
      </w:pPr>
      <w:r>
        <w:rPr>
          <w:rFonts w:hint="cs"/>
          <w:rtl/>
        </w:rPr>
        <w:t>מאיר כהן</w:t>
      </w:r>
      <w:r>
        <w:rPr>
          <w:rFonts w:hint="cs"/>
          <w:rtl/>
        </w:rPr>
        <w:tab/>
      </w:r>
      <w:r>
        <w:rPr>
          <w:rFonts w:hint="cs"/>
          <w:rtl/>
        </w:rPr>
        <w:tab/>
        <w:t>–   אינו נוכח</w:t>
      </w:r>
    </w:p>
    <w:p w:rsidR="00BB59CD" w:rsidRDefault="00BB59CD" w:rsidP="00BB59CD">
      <w:pPr>
        <w:rPr>
          <w:rtl/>
        </w:rPr>
      </w:pPr>
      <w:r>
        <w:rPr>
          <w:rFonts w:hint="cs"/>
          <w:rtl/>
        </w:rPr>
        <w:t>מירב כהן</w:t>
      </w:r>
      <w:r>
        <w:rPr>
          <w:rFonts w:hint="cs"/>
          <w:rtl/>
        </w:rPr>
        <w:tab/>
      </w:r>
      <w:r>
        <w:rPr>
          <w:rFonts w:hint="cs"/>
          <w:rtl/>
        </w:rPr>
        <w:tab/>
        <w:t>–   בעד</w:t>
      </w:r>
    </w:p>
    <w:p w:rsidR="00BB59CD" w:rsidRDefault="00BB59CD" w:rsidP="00BB59CD">
      <w:pPr>
        <w:rPr>
          <w:rtl/>
        </w:rPr>
      </w:pPr>
      <w:r>
        <w:rPr>
          <w:rFonts w:hint="cs"/>
          <w:rtl/>
        </w:rPr>
        <w:t>מתן כהנא</w:t>
      </w:r>
      <w:r>
        <w:rPr>
          <w:rFonts w:hint="cs"/>
          <w:rtl/>
        </w:rPr>
        <w:tab/>
      </w:r>
      <w:r>
        <w:rPr>
          <w:rFonts w:hint="cs"/>
          <w:rtl/>
        </w:rPr>
        <w:tab/>
        <w:t>–   בעד</w:t>
      </w:r>
    </w:p>
    <w:p w:rsidR="00BB59CD" w:rsidRDefault="00BB59CD" w:rsidP="00BB59CD">
      <w:pPr>
        <w:rPr>
          <w:rtl/>
        </w:rPr>
      </w:pPr>
      <w:r>
        <w:rPr>
          <w:rFonts w:hint="cs"/>
          <w:rtl/>
        </w:rPr>
        <w:t>עופר כסיף</w:t>
      </w:r>
      <w:r>
        <w:rPr>
          <w:rFonts w:hint="cs"/>
          <w:rtl/>
        </w:rPr>
        <w:tab/>
      </w:r>
      <w:r>
        <w:rPr>
          <w:rFonts w:hint="cs"/>
          <w:rtl/>
        </w:rPr>
        <w:tab/>
        <w:t xml:space="preserve">–   אינו </w:t>
      </w:r>
      <w:bookmarkStart w:id="83154" w:name="_ETM_Q170_535000"/>
      <w:bookmarkEnd w:id="83154"/>
      <w:r>
        <w:rPr>
          <w:rFonts w:hint="cs"/>
          <w:rtl/>
        </w:rPr>
        <w:t>נוכח</w:t>
      </w:r>
    </w:p>
    <w:p w:rsidR="00BB59CD" w:rsidRDefault="00BB59CD" w:rsidP="00BB59CD">
      <w:pPr>
        <w:rPr>
          <w:rtl/>
        </w:rPr>
      </w:pPr>
      <w:r>
        <w:rPr>
          <w:rFonts w:hint="cs"/>
          <w:rtl/>
        </w:rPr>
        <w:t>אופיר כץ</w:t>
      </w:r>
      <w:r>
        <w:rPr>
          <w:rFonts w:hint="cs"/>
          <w:rtl/>
        </w:rPr>
        <w:tab/>
      </w:r>
      <w:r>
        <w:rPr>
          <w:rFonts w:hint="cs"/>
          <w:rtl/>
        </w:rPr>
        <w:tab/>
        <w:t>–   נגד</w:t>
      </w:r>
    </w:p>
    <w:p w:rsidR="00BB59CD" w:rsidRDefault="00BB59CD" w:rsidP="00BB59CD">
      <w:pPr>
        <w:rPr>
          <w:rtl/>
        </w:rPr>
      </w:pPr>
      <w:r>
        <w:rPr>
          <w:rFonts w:hint="cs"/>
          <w:rtl/>
        </w:rPr>
        <w:t>ישראל כץ</w:t>
      </w:r>
      <w:r>
        <w:rPr>
          <w:rFonts w:hint="cs"/>
          <w:rtl/>
        </w:rPr>
        <w:tab/>
      </w:r>
      <w:r>
        <w:rPr>
          <w:rFonts w:hint="cs"/>
          <w:rtl/>
        </w:rPr>
        <w:tab/>
        <w:t>–   נגד</w:t>
      </w:r>
    </w:p>
    <w:p w:rsidR="00BB59CD" w:rsidRDefault="00BB59CD" w:rsidP="00BB59CD">
      <w:pPr>
        <w:rPr>
          <w:rtl/>
        </w:rPr>
      </w:pPr>
      <w:r>
        <w:rPr>
          <w:rFonts w:hint="cs"/>
          <w:rtl/>
        </w:rPr>
        <w:t>רון כץ</w:t>
      </w:r>
      <w:r>
        <w:rPr>
          <w:rFonts w:hint="cs"/>
          <w:rtl/>
        </w:rPr>
        <w:tab/>
      </w:r>
      <w:r>
        <w:rPr>
          <w:rFonts w:hint="cs"/>
          <w:rtl/>
        </w:rPr>
        <w:tab/>
      </w:r>
      <w:r>
        <w:rPr>
          <w:rFonts w:hint="cs"/>
          <w:rtl/>
        </w:rPr>
        <w:tab/>
        <w:t>–   אינו נוכח</w:t>
      </w:r>
    </w:p>
    <w:p w:rsidR="00BB59CD" w:rsidRDefault="00BB59CD" w:rsidP="00BB59CD">
      <w:pPr>
        <w:rPr>
          <w:rtl/>
        </w:rPr>
      </w:pPr>
      <w:r>
        <w:rPr>
          <w:rFonts w:hint="cs"/>
          <w:rtl/>
        </w:rPr>
        <w:t>יוראי להב הרצנו</w:t>
      </w:r>
      <w:r>
        <w:rPr>
          <w:rFonts w:hint="cs"/>
          <w:rtl/>
        </w:rPr>
        <w:tab/>
      </w:r>
      <w:r>
        <w:rPr>
          <w:rFonts w:hint="cs"/>
          <w:rtl/>
        </w:rPr>
        <w:tab/>
        <w:t>–   אינו נוכח</w:t>
      </w:r>
    </w:p>
    <w:p w:rsidR="00BB59CD" w:rsidRDefault="00BB59CD" w:rsidP="00BB59CD">
      <w:pPr>
        <w:rPr>
          <w:rtl/>
        </w:rPr>
      </w:pPr>
      <w:r>
        <w:rPr>
          <w:rFonts w:hint="cs"/>
          <w:rtl/>
        </w:rPr>
        <w:t>מיקי לוי</w:t>
      </w:r>
      <w:r>
        <w:rPr>
          <w:rFonts w:hint="cs"/>
          <w:rtl/>
        </w:rPr>
        <w:tab/>
      </w:r>
      <w:r>
        <w:rPr>
          <w:rFonts w:hint="cs"/>
          <w:rtl/>
        </w:rPr>
        <w:tab/>
      </w:r>
      <w:r>
        <w:rPr>
          <w:rFonts w:hint="cs"/>
          <w:rtl/>
        </w:rPr>
        <w:tab/>
        <w:t>–   אינו נוכח</w:t>
      </w:r>
    </w:p>
    <w:p w:rsidR="00BB59CD" w:rsidRDefault="00BB59CD" w:rsidP="00BB59CD">
      <w:pPr>
        <w:rPr>
          <w:rtl/>
        </w:rPr>
      </w:pPr>
      <w:r>
        <w:rPr>
          <w:rFonts w:hint="cs"/>
          <w:rtl/>
        </w:rPr>
        <w:t>יריב לוין</w:t>
      </w:r>
      <w:r>
        <w:rPr>
          <w:rFonts w:hint="cs"/>
          <w:rtl/>
        </w:rPr>
        <w:tab/>
      </w:r>
      <w:r>
        <w:rPr>
          <w:rFonts w:hint="cs"/>
          <w:rtl/>
        </w:rPr>
        <w:tab/>
      </w:r>
      <w:r>
        <w:rPr>
          <w:rFonts w:hint="cs"/>
          <w:rtl/>
        </w:rPr>
        <w:tab/>
        <w:t>–   נגד</w:t>
      </w:r>
    </w:p>
    <w:p w:rsidR="00BB59CD" w:rsidRDefault="00BB59CD" w:rsidP="00BB59CD">
      <w:pPr>
        <w:rPr>
          <w:rtl/>
        </w:rPr>
      </w:pPr>
      <w:r>
        <w:rPr>
          <w:rFonts w:hint="cs"/>
          <w:rtl/>
        </w:rPr>
        <w:t>נעמה לזימי</w:t>
      </w:r>
      <w:r>
        <w:rPr>
          <w:rFonts w:hint="cs"/>
          <w:rtl/>
        </w:rPr>
        <w:tab/>
      </w:r>
      <w:r>
        <w:rPr>
          <w:rFonts w:hint="cs"/>
          <w:rtl/>
        </w:rPr>
        <w:tab/>
        <w:t>–   אינה נוכחת</w:t>
      </w:r>
    </w:p>
    <w:p w:rsidR="00BB59CD" w:rsidRDefault="00BB59CD" w:rsidP="00BB59CD">
      <w:pPr>
        <w:rPr>
          <w:rtl/>
        </w:rPr>
      </w:pPr>
      <w:r>
        <w:rPr>
          <w:rFonts w:hint="cs"/>
          <w:rtl/>
        </w:rPr>
        <w:t>אביגדור ליברמן</w:t>
      </w:r>
      <w:r>
        <w:rPr>
          <w:rFonts w:hint="cs"/>
          <w:rtl/>
        </w:rPr>
        <w:tab/>
      </w:r>
      <w:r>
        <w:rPr>
          <w:rFonts w:hint="cs"/>
          <w:rtl/>
        </w:rPr>
        <w:tab/>
        <w:t>–   בעד</w:t>
      </w:r>
    </w:p>
    <w:p w:rsidR="00BB59CD" w:rsidRDefault="00BB59CD" w:rsidP="00BB59CD">
      <w:pPr>
        <w:rPr>
          <w:rtl/>
        </w:rPr>
      </w:pPr>
      <w:r>
        <w:rPr>
          <w:rFonts w:hint="cs"/>
          <w:rtl/>
        </w:rPr>
        <w:t>יאיר לפיד</w:t>
      </w:r>
      <w:r>
        <w:rPr>
          <w:rFonts w:hint="cs"/>
          <w:rtl/>
        </w:rPr>
        <w:tab/>
      </w:r>
      <w:r>
        <w:rPr>
          <w:rFonts w:hint="cs"/>
          <w:rtl/>
        </w:rPr>
        <w:tab/>
        <w:t>–   בעד</w:t>
      </w:r>
    </w:p>
    <w:p w:rsidR="00BB59CD" w:rsidRDefault="00BB59CD" w:rsidP="00BB59CD">
      <w:pPr>
        <w:rPr>
          <w:rtl/>
        </w:rPr>
      </w:pPr>
      <w:r>
        <w:rPr>
          <w:rFonts w:hint="cs"/>
          <w:rtl/>
        </w:rPr>
        <w:t>סימון מושיאשוילי</w:t>
      </w:r>
      <w:r>
        <w:rPr>
          <w:rFonts w:hint="cs"/>
          <w:rtl/>
        </w:rPr>
        <w:tab/>
      </w:r>
      <w:r>
        <w:rPr>
          <w:rFonts w:hint="cs"/>
          <w:rtl/>
        </w:rPr>
        <w:tab/>
        <w:t>–   נגד</w:t>
      </w:r>
    </w:p>
    <w:p w:rsidR="00BB59CD" w:rsidRDefault="00BB59CD" w:rsidP="00BB59CD">
      <w:pPr>
        <w:rPr>
          <w:rtl/>
        </w:rPr>
      </w:pPr>
      <w:r>
        <w:rPr>
          <w:rFonts w:hint="cs"/>
          <w:rtl/>
        </w:rPr>
        <w:t>טטיאנה מזרסקי</w:t>
      </w:r>
      <w:r>
        <w:rPr>
          <w:rFonts w:hint="cs"/>
          <w:rtl/>
        </w:rPr>
        <w:tab/>
      </w:r>
      <w:r>
        <w:rPr>
          <w:rFonts w:hint="cs"/>
          <w:rtl/>
        </w:rPr>
        <w:tab/>
        <w:t>–   אינה נוכחת</w:t>
      </w:r>
    </w:p>
    <w:p w:rsidR="00BB59CD" w:rsidRDefault="00BB59CD" w:rsidP="00BB59CD">
      <w:pPr>
        <w:rPr>
          <w:rtl/>
        </w:rPr>
      </w:pPr>
      <w:r>
        <w:rPr>
          <w:rFonts w:hint="cs"/>
          <w:rtl/>
        </w:rPr>
        <w:t>מרב מיכאלי</w:t>
      </w:r>
      <w:r>
        <w:rPr>
          <w:rFonts w:hint="cs"/>
          <w:rtl/>
        </w:rPr>
        <w:tab/>
      </w:r>
      <w:r>
        <w:rPr>
          <w:rFonts w:hint="cs"/>
          <w:rtl/>
        </w:rPr>
        <w:tab/>
        <w:t>–   בעד</w:t>
      </w:r>
    </w:p>
    <w:p w:rsidR="00BB59CD" w:rsidRDefault="00BB59CD" w:rsidP="00BB59CD">
      <w:pPr>
        <w:rPr>
          <w:rtl/>
        </w:rPr>
      </w:pPr>
      <w:r>
        <w:rPr>
          <w:rFonts w:hint="cs"/>
          <w:rtl/>
        </w:rPr>
        <w:t>שלי טל מירון</w:t>
      </w:r>
      <w:r>
        <w:rPr>
          <w:rFonts w:hint="cs"/>
          <w:rtl/>
        </w:rPr>
        <w:tab/>
      </w:r>
      <w:r>
        <w:rPr>
          <w:rFonts w:hint="cs"/>
          <w:rtl/>
        </w:rPr>
        <w:tab/>
        <w:t>–   אינה נוכחת</w:t>
      </w:r>
    </w:p>
    <w:p w:rsidR="00BB59CD" w:rsidRDefault="00BB59CD" w:rsidP="00BB59CD">
      <w:pPr>
        <w:rPr>
          <w:rtl/>
        </w:rPr>
      </w:pPr>
      <w:r>
        <w:rPr>
          <w:rFonts w:hint="cs"/>
          <w:rtl/>
        </w:rPr>
        <w:t>יונתן מישרקי</w:t>
      </w:r>
      <w:r>
        <w:rPr>
          <w:rFonts w:hint="cs"/>
          <w:rtl/>
        </w:rPr>
        <w:tab/>
      </w:r>
      <w:r>
        <w:rPr>
          <w:rFonts w:hint="cs"/>
          <w:rtl/>
        </w:rPr>
        <w:tab/>
        <w:t>–   נגד</w:t>
      </w:r>
    </w:p>
    <w:p w:rsidR="00BB59CD" w:rsidRDefault="00BB59CD" w:rsidP="00BB59CD">
      <w:pPr>
        <w:rPr>
          <w:rtl/>
        </w:rPr>
      </w:pPr>
      <w:r>
        <w:rPr>
          <w:rFonts w:hint="cs"/>
          <w:rtl/>
        </w:rPr>
        <w:t>חנוך דב מלביצקי</w:t>
      </w:r>
      <w:r>
        <w:rPr>
          <w:rFonts w:hint="cs"/>
          <w:rtl/>
        </w:rPr>
        <w:tab/>
      </w:r>
      <w:r>
        <w:rPr>
          <w:rFonts w:hint="cs"/>
          <w:rtl/>
        </w:rPr>
        <w:tab/>
        <w:t>–   נגד</w:t>
      </w:r>
    </w:p>
    <w:p w:rsidR="00BB59CD" w:rsidRDefault="00BB59CD" w:rsidP="00BB59CD">
      <w:pPr>
        <w:rPr>
          <w:rtl/>
        </w:rPr>
      </w:pPr>
      <w:r>
        <w:rPr>
          <w:rFonts w:hint="cs"/>
          <w:rtl/>
        </w:rPr>
        <w:t>ארז מלול</w:t>
      </w:r>
      <w:r>
        <w:rPr>
          <w:rFonts w:hint="cs"/>
          <w:rtl/>
        </w:rPr>
        <w:tab/>
      </w:r>
      <w:r>
        <w:rPr>
          <w:rFonts w:hint="cs"/>
          <w:rtl/>
        </w:rPr>
        <w:tab/>
        <w:t>–   נגד</w:t>
      </w:r>
    </w:p>
    <w:p w:rsidR="00BB59CD" w:rsidRDefault="00BB59CD" w:rsidP="00BB59CD">
      <w:pPr>
        <w:rPr>
          <w:rtl/>
        </w:rPr>
      </w:pPr>
      <w:r>
        <w:rPr>
          <w:rFonts w:hint="cs"/>
          <w:rtl/>
        </w:rPr>
        <w:t>יוליה מלינובסקי</w:t>
      </w:r>
      <w:r>
        <w:rPr>
          <w:rFonts w:hint="cs"/>
          <w:rtl/>
        </w:rPr>
        <w:tab/>
      </w:r>
      <w:r>
        <w:rPr>
          <w:rFonts w:hint="cs"/>
          <w:rtl/>
        </w:rPr>
        <w:tab/>
        <w:t>–   אינה נוכחת</w:t>
      </w:r>
    </w:p>
    <w:p w:rsidR="00BB59CD" w:rsidRDefault="00BB59CD" w:rsidP="00BB59CD">
      <w:pPr>
        <w:rPr>
          <w:rtl/>
        </w:rPr>
      </w:pPr>
      <w:r>
        <w:rPr>
          <w:rFonts w:hint="cs"/>
          <w:rtl/>
        </w:rPr>
        <w:t>מיכאל מלכיאלי</w:t>
      </w:r>
      <w:r>
        <w:rPr>
          <w:rFonts w:hint="cs"/>
          <w:rtl/>
        </w:rPr>
        <w:tab/>
      </w:r>
      <w:r>
        <w:rPr>
          <w:rFonts w:hint="cs"/>
          <w:rtl/>
        </w:rPr>
        <w:tab/>
        <w:t>–   נגד</w:t>
      </w:r>
    </w:p>
    <w:p w:rsidR="00BB59CD" w:rsidRDefault="00BB59CD" w:rsidP="00BB59CD">
      <w:pPr>
        <w:rPr>
          <w:rtl/>
        </w:rPr>
      </w:pPr>
      <w:r>
        <w:rPr>
          <w:rFonts w:hint="cs"/>
          <w:rtl/>
        </w:rPr>
        <w:t>צגה מלקו</w:t>
      </w:r>
      <w:r>
        <w:rPr>
          <w:rFonts w:hint="cs"/>
          <w:rtl/>
        </w:rPr>
        <w:tab/>
      </w:r>
      <w:r>
        <w:rPr>
          <w:rFonts w:hint="cs"/>
          <w:rtl/>
        </w:rPr>
        <w:tab/>
        <w:t>–   נגד</w:t>
      </w:r>
    </w:p>
    <w:p w:rsidR="00BB59CD" w:rsidRDefault="00BB59CD" w:rsidP="00BB59CD">
      <w:pPr>
        <w:rPr>
          <w:rtl/>
        </w:rPr>
      </w:pPr>
      <w:r>
        <w:rPr>
          <w:rFonts w:hint="cs"/>
          <w:rtl/>
        </w:rPr>
        <w:t>אבי מעוז</w:t>
      </w:r>
      <w:r>
        <w:rPr>
          <w:rFonts w:hint="cs"/>
          <w:rtl/>
        </w:rPr>
        <w:tab/>
      </w:r>
      <w:r>
        <w:rPr>
          <w:rFonts w:hint="cs"/>
          <w:rtl/>
        </w:rPr>
        <w:tab/>
        <w:t>–   נגד</w:t>
      </w:r>
    </w:p>
    <w:p w:rsidR="00BB59CD" w:rsidRDefault="00BB59CD" w:rsidP="00BB59CD">
      <w:pPr>
        <w:rPr>
          <w:rtl/>
        </w:rPr>
      </w:pPr>
      <w:r>
        <w:rPr>
          <w:rFonts w:hint="cs"/>
          <w:rtl/>
        </w:rPr>
        <w:t>שרון ניר</w:t>
      </w:r>
      <w:r>
        <w:rPr>
          <w:rFonts w:hint="cs"/>
          <w:rtl/>
        </w:rPr>
        <w:tab/>
      </w:r>
      <w:r>
        <w:rPr>
          <w:rFonts w:hint="cs"/>
          <w:rtl/>
        </w:rPr>
        <w:tab/>
      </w:r>
      <w:r>
        <w:rPr>
          <w:rFonts w:hint="cs"/>
          <w:rtl/>
        </w:rPr>
        <w:tab/>
        <w:t>–   בעד</w:t>
      </w:r>
    </w:p>
    <w:p w:rsidR="00BB59CD" w:rsidRDefault="00BB59CD" w:rsidP="00BB59CD">
      <w:pPr>
        <w:rPr>
          <w:rtl/>
        </w:rPr>
      </w:pPr>
      <w:r>
        <w:rPr>
          <w:rFonts w:hint="cs"/>
          <w:rtl/>
        </w:rPr>
        <w:t>בנימין נתניהו</w:t>
      </w:r>
      <w:r>
        <w:rPr>
          <w:rFonts w:hint="cs"/>
          <w:rtl/>
        </w:rPr>
        <w:tab/>
      </w:r>
      <w:r>
        <w:rPr>
          <w:rFonts w:hint="cs"/>
          <w:rtl/>
        </w:rPr>
        <w:tab/>
        <w:t>–   נגד</w:t>
      </w:r>
    </w:p>
    <w:p w:rsidR="00BB59CD" w:rsidRDefault="00BB59CD" w:rsidP="00BB59CD">
      <w:pPr>
        <w:rPr>
          <w:rtl/>
        </w:rPr>
      </w:pPr>
      <w:r>
        <w:rPr>
          <w:rFonts w:hint="cs"/>
          <w:rtl/>
        </w:rPr>
        <w:t>יואב סגלוביץ'</w:t>
      </w:r>
      <w:r>
        <w:rPr>
          <w:rFonts w:hint="cs"/>
          <w:rtl/>
        </w:rPr>
        <w:tab/>
      </w:r>
      <w:r>
        <w:rPr>
          <w:rFonts w:hint="cs"/>
          <w:rtl/>
        </w:rPr>
        <w:tab/>
        <w:t>–   אינו נוכח</w:t>
      </w:r>
    </w:p>
    <w:p w:rsidR="00BB59CD" w:rsidRDefault="00BB59CD" w:rsidP="00BB59CD">
      <w:pPr>
        <w:rPr>
          <w:rtl/>
        </w:rPr>
      </w:pPr>
      <w:r>
        <w:rPr>
          <w:rFonts w:hint="cs"/>
          <w:rtl/>
        </w:rPr>
        <w:t>יבגני סובה</w:t>
      </w:r>
      <w:r>
        <w:rPr>
          <w:rFonts w:hint="cs"/>
          <w:rtl/>
        </w:rPr>
        <w:tab/>
      </w:r>
      <w:r>
        <w:rPr>
          <w:rFonts w:hint="cs"/>
          <w:rtl/>
        </w:rPr>
        <w:tab/>
        <w:t>–   בעד</w:t>
      </w:r>
    </w:p>
    <w:p w:rsidR="00BB59CD" w:rsidRDefault="00BB59CD" w:rsidP="00BB59CD">
      <w:pPr>
        <w:rPr>
          <w:rtl/>
        </w:rPr>
      </w:pPr>
      <w:r>
        <w:rPr>
          <w:rFonts w:hint="cs"/>
          <w:rtl/>
        </w:rPr>
        <w:t>צבי ידידיה סוכות</w:t>
      </w:r>
      <w:r>
        <w:rPr>
          <w:rFonts w:hint="cs"/>
          <w:rtl/>
        </w:rPr>
        <w:tab/>
      </w:r>
      <w:r>
        <w:rPr>
          <w:rFonts w:hint="cs"/>
          <w:rtl/>
        </w:rPr>
        <w:tab/>
        <w:t>–   נגד</w:t>
      </w:r>
    </w:p>
    <w:p w:rsidR="00BB59CD" w:rsidRDefault="00BB59CD" w:rsidP="00BB59CD">
      <w:pPr>
        <w:rPr>
          <w:rtl/>
        </w:rPr>
      </w:pPr>
      <w:r>
        <w:rPr>
          <w:rFonts w:hint="cs"/>
          <w:rtl/>
        </w:rPr>
        <w:t>משה סולומון</w:t>
      </w:r>
      <w:r>
        <w:rPr>
          <w:rFonts w:hint="cs"/>
          <w:rtl/>
        </w:rPr>
        <w:tab/>
      </w:r>
      <w:r>
        <w:rPr>
          <w:rFonts w:hint="cs"/>
          <w:rtl/>
        </w:rPr>
        <w:tab/>
        <w:t>–   נגד</w:t>
      </w:r>
    </w:p>
    <w:p w:rsidR="00BB59CD" w:rsidRDefault="00BB59CD" w:rsidP="00BB59CD">
      <w:pPr>
        <w:rPr>
          <w:rtl/>
        </w:rPr>
      </w:pPr>
      <w:r>
        <w:rPr>
          <w:rFonts w:hint="cs"/>
          <w:rtl/>
        </w:rPr>
        <w:t>לימור סון הר מלך</w:t>
      </w:r>
      <w:r>
        <w:rPr>
          <w:rFonts w:hint="cs"/>
          <w:rtl/>
        </w:rPr>
        <w:tab/>
        <w:t>–   נגד</w:t>
      </w:r>
    </w:p>
    <w:p w:rsidR="00BB59CD" w:rsidRDefault="00BB59CD" w:rsidP="00BB59CD">
      <w:pPr>
        <w:rPr>
          <w:rtl/>
        </w:rPr>
      </w:pPr>
      <w:r>
        <w:rPr>
          <w:rFonts w:hint="cs"/>
          <w:rtl/>
        </w:rPr>
        <w:t>אופיר סופר</w:t>
      </w:r>
      <w:r>
        <w:rPr>
          <w:rFonts w:hint="cs"/>
          <w:rtl/>
        </w:rPr>
        <w:tab/>
      </w:r>
      <w:r>
        <w:rPr>
          <w:rFonts w:hint="cs"/>
          <w:rtl/>
        </w:rPr>
        <w:tab/>
        <w:t>–   נגד</w:t>
      </w:r>
    </w:p>
    <w:p w:rsidR="00BB59CD" w:rsidRDefault="00BB59CD" w:rsidP="00BB59CD">
      <w:pPr>
        <w:rPr>
          <w:rtl/>
        </w:rPr>
      </w:pPr>
      <w:r>
        <w:rPr>
          <w:rFonts w:hint="cs"/>
          <w:rtl/>
        </w:rPr>
        <w:t>אורית מלכה סטרוק</w:t>
      </w:r>
      <w:r>
        <w:rPr>
          <w:rFonts w:hint="cs"/>
          <w:rtl/>
        </w:rPr>
        <w:tab/>
        <w:t>–   נגד</w:t>
      </w:r>
    </w:p>
    <w:p w:rsidR="00BB59CD" w:rsidRDefault="00BB59CD" w:rsidP="00BB59CD">
      <w:pPr>
        <w:rPr>
          <w:rtl/>
        </w:rPr>
      </w:pPr>
      <w:r>
        <w:rPr>
          <w:rFonts w:hint="cs"/>
          <w:rtl/>
        </w:rPr>
        <w:t>משה סעדה</w:t>
      </w:r>
      <w:r>
        <w:rPr>
          <w:rFonts w:hint="cs"/>
          <w:rtl/>
        </w:rPr>
        <w:tab/>
      </w:r>
      <w:r>
        <w:rPr>
          <w:rFonts w:hint="cs"/>
          <w:rtl/>
        </w:rPr>
        <w:tab/>
        <w:t>–   נגד</w:t>
      </w:r>
    </w:p>
    <w:p w:rsidR="00BB59CD" w:rsidRDefault="00BB59CD" w:rsidP="00BB59CD">
      <w:pPr>
        <w:rPr>
          <w:rtl/>
        </w:rPr>
      </w:pPr>
      <w:r>
        <w:rPr>
          <w:rFonts w:hint="cs"/>
          <w:rtl/>
        </w:rPr>
        <w:t>גדעון סער</w:t>
      </w:r>
      <w:r>
        <w:rPr>
          <w:rFonts w:hint="cs"/>
          <w:rtl/>
        </w:rPr>
        <w:tab/>
      </w:r>
      <w:r>
        <w:rPr>
          <w:rFonts w:hint="cs"/>
          <w:rtl/>
        </w:rPr>
        <w:tab/>
        <w:t>–   בעד</w:t>
      </w:r>
    </w:p>
    <w:p w:rsidR="00BB59CD" w:rsidRDefault="00BB59CD" w:rsidP="00BB59CD">
      <w:pPr>
        <w:rPr>
          <w:rtl/>
        </w:rPr>
      </w:pPr>
      <w:r>
        <w:rPr>
          <w:rFonts w:hint="cs"/>
          <w:rtl/>
        </w:rPr>
        <w:t>מנסור עבאס</w:t>
      </w:r>
      <w:r>
        <w:rPr>
          <w:rFonts w:hint="cs"/>
          <w:rtl/>
        </w:rPr>
        <w:tab/>
      </w:r>
      <w:r>
        <w:rPr>
          <w:rFonts w:hint="cs"/>
          <w:rtl/>
        </w:rPr>
        <w:tab/>
        <w:t>–   אינו נוכח</w:t>
      </w:r>
    </w:p>
    <w:p w:rsidR="00BB59CD" w:rsidRDefault="00BB59CD" w:rsidP="00BB59CD">
      <w:pPr>
        <w:rPr>
          <w:rtl/>
        </w:rPr>
      </w:pPr>
      <w:r>
        <w:rPr>
          <w:rFonts w:hint="cs"/>
          <w:rtl/>
        </w:rPr>
        <w:t>איימן עודה</w:t>
      </w:r>
      <w:r>
        <w:rPr>
          <w:rFonts w:hint="cs"/>
          <w:rtl/>
        </w:rPr>
        <w:tab/>
      </w:r>
      <w:r>
        <w:rPr>
          <w:rFonts w:hint="cs"/>
          <w:rtl/>
        </w:rPr>
        <w:tab/>
        <w:t>–   בעד</w:t>
      </w:r>
    </w:p>
    <w:p w:rsidR="00BB59CD" w:rsidRDefault="00BB59CD" w:rsidP="00BB59CD">
      <w:pPr>
        <w:rPr>
          <w:rtl/>
        </w:rPr>
      </w:pPr>
      <w:r>
        <w:rPr>
          <w:rFonts w:hint="cs"/>
          <w:rtl/>
        </w:rPr>
        <w:t>יוסף עטאונה</w:t>
      </w:r>
      <w:r>
        <w:rPr>
          <w:rFonts w:hint="cs"/>
          <w:rtl/>
        </w:rPr>
        <w:tab/>
      </w:r>
      <w:r>
        <w:rPr>
          <w:rFonts w:hint="cs"/>
          <w:rtl/>
        </w:rPr>
        <w:tab/>
        <w:t>–   אינו נוכח</w:t>
      </w:r>
    </w:p>
    <w:p w:rsidR="00BB59CD" w:rsidRDefault="00BB59CD" w:rsidP="00BB59CD">
      <w:pPr>
        <w:rPr>
          <w:rtl/>
        </w:rPr>
      </w:pPr>
      <w:r>
        <w:rPr>
          <w:rFonts w:hint="cs"/>
          <w:rtl/>
        </w:rPr>
        <w:t>חוה אתי עטייה</w:t>
      </w:r>
      <w:r>
        <w:rPr>
          <w:rFonts w:hint="cs"/>
          <w:rtl/>
        </w:rPr>
        <w:tab/>
      </w:r>
      <w:r>
        <w:rPr>
          <w:rFonts w:hint="cs"/>
          <w:rtl/>
        </w:rPr>
        <w:tab/>
        <w:t>–   נגד</w:t>
      </w:r>
    </w:p>
    <w:p w:rsidR="00BB59CD" w:rsidRDefault="00BB59CD" w:rsidP="00BB59CD">
      <w:pPr>
        <w:rPr>
          <w:rtl/>
        </w:rPr>
      </w:pPr>
      <w:r>
        <w:rPr>
          <w:rFonts w:hint="cs"/>
          <w:rtl/>
        </w:rPr>
        <w:t>חמד עמאר</w:t>
      </w:r>
      <w:r>
        <w:rPr>
          <w:rFonts w:hint="cs"/>
          <w:rtl/>
        </w:rPr>
        <w:tab/>
      </w:r>
      <w:r>
        <w:rPr>
          <w:rFonts w:hint="cs"/>
          <w:rtl/>
        </w:rPr>
        <w:tab/>
        <w:t>–   בעד</w:t>
      </w:r>
    </w:p>
    <w:p w:rsidR="00BB59CD" w:rsidRDefault="00BB59CD" w:rsidP="00BB59CD">
      <w:pPr>
        <w:rPr>
          <w:rtl/>
        </w:rPr>
      </w:pPr>
      <w:r>
        <w:rPr>
          <w:rFonts w:hint="cs"/>
          <w:rtl/>
        </w:rPr>
        <w:t>צביקה פוגל</w:t>
      </w:r>
      <w:r>
        <w:rPr>
          <w:rFonts w:hint="cs"/>
          <w:rtl/>
        </w:rPr>
        <w:tab/>
      </w:r>
      <w:r>
        <w:rPr>
          <w:rFonts w:hint="cs"/>
          <w:rtl/>
        </w:rPr>
        <w:tab/>
        <w:t>–   נגד</w:t>
      </w:r>
    </w:p>
    <w:p w:rsidR="00BB59CD" w:rsidRDefault="00BB59CD" w:rsidP="00BB59CD">
      <w:pPr>
        <w:rPr>
          <w:rtl/>
        </w:rPr>
      </w:pPr>
      <w:r>
        <w:rPr>
          <w:rFonts w:hint="cs"/>
          <w:rtl/>
        </w:rPr>
        <w:t>עודד פורר</w:t>
      </w:r>
      <w:r>
        <w:rPr>
          <w:rFonts w:hint="cs"/>
          <w:rtl/>
        </w:rPr>
        <w:tab/>
      </w:r>
      <w:r>
        <w:rPr>
          <w:rFonts w:hint="cs"/>
          <w:rtl/>
        </w:rPr>
        <w:tab/>
        <w:t>–   אינו נוכח</w:t>
      </w:r>
    </w:p>
    <w:p w:rsidR="00BB59CD" w:rsidRDefault="00BB59CD" w:rsidP="00BB59CD">
      <w:pPr>
        <w:rPr>
          <w:rtl/>
        </w:rPr>
      </w:pPr>
      <w:r>
        <w:rPr>
          <w:rFonts w:hint="cs"/>
          <w:rtl/>
        </w:rPr>
        <w:t>יצחק פינדרוס</w:t>
      </w:r>
      <w:r>
        <w:rPr>
          <w:rFonts w:hint="cs"/>
          <w:rtl/>
        </w:rPr>
        <w:tab/>
      </w:r>
      <w:r>
        <w:rPr>
          <w:rFonts w:hint="cs"/>
          <w:rtl/>
        </w:rPr>
        <w:tab/>
        <w:t>–   נגד</w:t>
      </w:r>
    </w:p>
    <w:p w:rsidR="00BB59CD" w:rsidRDefault="00BB59CD" w:rsidP="00BB59CD">
      <w:pPr>
        <w:rPr>
          <w:rtl/>
        </w:rPr>
      </w:pPr>
      <w:r>
        <w:rPr>
          <w:rFonts w:hint="cs"/>
          <w:rtl/>
        </w:rPr>
        <w:t>משה פסל</w:t>
      </w:r>
      <w:r>
        <w:rPr>
          <w:rFonts w:hint="cs"/>
          <w:rtl/>
        </w:rPr>
        <w:tab/>
      </w:r>
      <w:r>
        <w:rPr>
          <w:rFonts w:hint="cs"/>
          <w:rtl/>
        </w:rPr>
        <w:tab/>
        <w:t>–   נגד</w:t>
      </w:r>
    </w:p>
    <w:p w:rsidR="00BB59CD" w:rsidRDefault="00BB59CD" w:rsidP="00BB59CD">
      <w:pPr>
        <w:rPr>
          <w:rtl/>
        </w:rPr>
      </w:pPr>
      <w:r>
        <w:rPr>
          <w:rFonts w:hint="cs"/>
          <w:rtl/>
        </w:rPr>
        <w:t>יסמין פרידמן</w:t>
      </w:r>
      <w:r>
        <w:rPr>
          <w:rFonts w:hint="cs"/>
          <w:rtl/>
        </w:rPr>
        <w:tab/>
      </w:r>
      <w:r>
        <w:rPr>
          <w:rFonts w:hint="cs"/>
          <w:rtl/>
        </w:rPr>
        <w:tab/>
        <w:t>–   אינה נוכחת</w:t>
      </w:r>
    </w:p>
    <w:p w:rsidR="00BB59CD" w:rsidRDefault="00BB59CD" w:rsidP="00BB59CD">
      <w:pPr>
        <w:rPr>
          <w:rtl/>
        </w:rPr>
      </w:pPr>
      <w:r>
        <w:rPr>
          <w:rFonts w:hint="cs"/>
          <w:rtl/>
        </w:rPr>
        <w:t>אורית פרקש הכהן</w:t>
      </w:r>
      <w:r>
        <w:rPr>
          <w:rFonts w:hint="cs"/>
          <w:rtl/>
        </w:rPr>
        <w:tab/>
        <w:t>–   בעד</w:t>
      </w:r>
    </w:p>
    <w:p w:rsidR="00BB59CD" w:rsidRDefault="00BB59CD" w:rsidP="00BB59CD">
      <w:pPr>
        <w:rPr>
          <w:rtl/>
        </w:rPr>
      </w:pPr>
      <w:r>
        <w:rPr>
          <w:rFonts w:hint="cs"/>
          <w:rtl/>
        </w:rPr>
        <w:t>מטי צרפתי הרכבי</w:t>
      </w:r>
      <w:r>
        <w:rPr>
          <w:rFonts w:hint="cs"/>
          <w:rtl/>
        </w:rPr>
        <w:tab/>
        <w:t>–   אינה נוכחת</w:t>
      </w:r>
    </w:p>
    <w:p w:rsidR="00BB59CD" w:rsidRDefault="00BB59CD" w:rsidP="00BB59CD">
      <w:pPr>
        <w:rPr>
          <w:rtl/>
        </w:rPr>
      </w:pPr>
      <w:r>
        <w:rPr>
          <w:rFonts w:hint="cs"/>
          <w:rtl/>
        </w:rPr>
        <w:t>אריאל קלנר</w:t>
      </w:r>
      <w:r>
        <w:rPr>
          <w:rFonts w:hint="cs"/>
          <w:rtl/>
        </w:rPr>
        <w:tab/>
      </w:r>
      <w:r>
        <w:rPr>
          <w:rFonts w:hint="cs"/>
          <w:rtl/>
        </w:rPr>
        <w:tab/>
        <w:t>–   נגד</w:t>
      </w:r>
    </w:p>
    <w:p w:rsidR="00BB59CD" w:rsidRDefault="00BB59CD" w:rsidP="00BB59CD">
      <w:pPr>
        <w:rPr>
          <w:rtl/>
        </w:rPr>
      </w:pPr>
      <w:r>
        <w:rPr>
          <w:rFonts w:hint="cs"/>
          <w:rtl/>
        </w:rPr>
        <w:t>יצחק קרויזר</w:t>
      </w:r>
      <w:r>
        <w:rPr>
          <w:rFonts w:hint="cs"/>
          <w:rtl/>
        </w:rPr>
        <w:tab/>
      </w:r>
      <w:r>
        <w:rPr>
          <w:rFonts w:hint="cs"/>
          <w:rtl/>
        </w:rPr>
        <w:tab/>
        <w:t>–   אינו נוכח</w:t>
      </w:r>
    </w:p>
    <w:p w:rsidR="00BB59CD" w:rsidRDefault="00BB59CD" w:rsidP="00BB59CD">
      <w:pPr>
        <w:rPr>
          <w:rtl/>
        </w:rPr>
      </w:pPr>
      <w:r>
        <w:rPr>
          <w:rFonts w:hint="cs"/>
          <w:rtl/>
        </w:rPr>
        <w:t>גלעד קריב</w:t>
      </w:r>
      <w:r>
        <w:rPr>
          <w:rFonts w:hint="cs"/>
          <w:rtl/>
        </w:rPr>
        <w:tab/>
      </w:r>
      <w:r>
        <w:rPr>
          <w:rFonts w:hint="cs"/>
          <w:rtl/>
        </w:rPr>
        <w:tab/>
        <w:t>–   אינו נוכח</w:t>
      </w:r>
    </w:p>
    <w:p w:rsidR="00BB59CD" w:rsidRDefault="00BB59CD" w:rsidP="00BB59CD">
      <w:pPr>
        <w:rPr>
          <w:rtl/>
        </w:rPr>
      </w:pPr>
      <w:r>
        <w:rPr>
          <w:rFonts w:hint="cs"/>
          <w:rtl/>
        </w:rPr>
        <w:t>שלמה קרעי</w:t>
      </w:r>
      <w:r>
        <w:rPr>
          <w:rFonts w:hint="cs"/>
          <w:rtl/>
        </w:rPr>
        <w:tab/>
      </w:r>
      <w:r>
        <w:rPr>
          <w:rFonts w:hint="cs"/>
          <w:rtl/>
        </w:rPr>
        <w:tab/>
        <w:t>–   נגד</w:t>
      </w:r>
    </w:p>
    <w:p w:rsidR="00BB59CD" w:rsidRDefault="00BB59CD" w:rsidP="00BB59CD">
      <w:pPr>
        <w:rPr>
          <w:rtl/>
        </w:rPr>
      </w:pPr>
      <w:r>
        <w:rPr>
          <w:rFonts w:hint="cs"/>
          <w:rtl/>
        </w:rPr>
        <w:t>אליהו רביבו</w:t>
      </w:r>
      <w:r>
        <w:rPr>
          <w:rFonts w:hint="cs"/>
          <w:rtl/>
        </w:rPr>
        <w:tab/>
      </w:r>
      <w:r>
        <w:rPr>
          <w:rFonts w:hint="cs"/>
          <w:rtl/>
        </w:rPr>
        <w:tab/>
        <w:t>–   נגד</w:t>
      </w:r>
    </w:p>
    <w:p w:rsidR="00BB59CD" w:rsidRDefault="00BB59CD" w:rsidP="00BB59CD">
      <w:pPr>
        <w:rPr>
          <w:rtl/>
        </w:rPr>
      </w:pPr>
      <w:r>
        <w:rPr>
          <w:rFonts w:hint="cs"/>
          <w:rtl/>
        </w:rPr>
        <w:t>משה רוט</w:t>
      </w:r>
      <w:r>
        <w:rPr>
          <w:rFonts w:hint="cs"/>
          <w:rtl/>
        </w:rPr>
        <w:tab/>
      </w:r>
      <w:r>
        <w:rPr>
          <w:rFonts w:hint="cs"/>
          <w:rtl/>
        </w:rPr>
        <w:tab/>
        <w:t>–   נגד</w:t>
      </w:r>
    </w:p>
    <w:p w:rsidR="00BB59CD" w:rsidRDefault="00BB59CD" w:rsidP="00BB59CD">
      <w:pPr>
        <w:rPr>
          <w:rtl/>
        </w:rPr>
      </w:pPr>
      <w:r>
        <w:rPr>
          <w:rFonts w:hint="cs"/>
          <w:rtl/>
        </w:rPr>
        <w:t>שמחה רוטמן</w:t>
      </w:r>
      <w:r>
        <w:rPr>
          <w:rFonts w:hint="cs"/>
          <w:rtl/>
        </w:rPr>
        <w:tab/>
      </w:r>
      <w:r>
        <w:rPr>
          <w:rFonts w:hint="cs"/>
          <w:rtl/>
        </w:rPr>
        <w:tab/>
        <w:t>–   נגד</w:t>
      </w:r>
    </w:p>
    <w:p w:rsidR="00BB59CD" w:rsidRDefault="00BB59CD" w:rsidP="00BB59CD">
      <w:pPr>
        <w:rPr>
          <w:rtl/>
        </w:rPr>
      </w:pPr>
      <w:r>
        <w:rPr>
          <w:rFonts w:hint="cs"/>
          <w:rtl/>
        </w:rPr>
        <w:t>עידן רול</w:t>
      </w:r>
      <w:r>
        <w:rPr>
          <w:rFonts w:hint="cs"/>
          <w:rtl/>
        </w:rPr>
        <w:tab/>
      </w:r>
      <w:r>
        <w:rPr>
          <w:rFonts w:hint="cs"/>
          <w:rtl/>
        </w:rPr>
        <w:tab/>
      </w:r>
      <w:r>
        <w:rPr>
          <w:rFonts w:hint="cs"/>
          <w:rtl/>
        </w:rPr>
        <w:tab/>
        <w:t>–   בעד</w:t>
      </w:r>
    </w:p>
    <w:p w:rsidR="00BB59CD" w:rsidRDefault="00BB59CD" w:rsidP="00BB59CD">
      <w:pPr>
        <w:rPr>
          <w:rtl/>
        </w:rPr>
      </w:pPr>
      <w:r>
        <w:rPr>
          <w:rFonts w:hint="cs"/>
          <w:rtl/>
        </w:rPr>
        <w:t>אפרת רייטן מרום</w:t>
      </w:r>
      <w:r>
        <w:rPr>
          <w:rFonts w:hint="cs"/>
          <w:rtl/>
        </w:rPr>
        <w:tab/>
        <w:t>–   בעד</w:t>
      </w:r>
    </w:p>
    <w:p w:rsidR="00BB59CD" w:rsidRDefault="00BB59CD" w:rsidP="00BB59CD">
      <w:pPr>
        <w:rPr>
          <w:rtl/>
        </w:rPr>
      </w:pPr>
      <w:r>
        <w:rPr>
          <w:rFonts w:hint="cs"/>
          <w:rtl/>
        </w:rPr>
        <w:t>יפעת שאשא ביטון</w:t>
      </w:r>
      <w:r>
        <w:rPr>
          <w:rFonts w:hint="cs"/>
          <w:rtl/>
        </w:rPr>
        <w:tab/>
        <w:t>–   אינה נוכחת</w:t>
      </w:r>
    </w:p>
    <w:p w:rsidR="00BB59CD" w:rsidRDefault="00BB59CD" w:rsidP="00BB59CD">
      <w:pPr>
        <w:rPr>
          <w:rtl/>
        </w:rPr>
      </w:pPr>
      <w:r>
        <w:rPr>
          <w:rFonts w:hint="cs"/>
          <w:rtl/>
        </w:rPr>
        <w:t>אלון שוסטר</w:t>
      </w:r>
      <w:r>
        <w:rPr>
          <w:rFonts w:hint="cs"/>
          <w:rtl/>
        </w:rPr>
        <w:tab/>
      </w:r>
      <w:r>
        <w:rPr>
          <w:rFonts w:hint="cs"/>
          <w:rtl/>
        </w:rPr>
        <w:tab/>
        <w:t>–   בעד</w:t>
      </w:r>
    </w:p>
    <w:p w:rsidR="00BB59CD" w:rsidRDefault="00BB59CD" w:rsidP="00BB59CD">
      <w:pPr>
        <w:rPr>
          <w:rtl/>
        </w:rPr>
      </w:pPr>
      <w:r>
        <w:rPr>
          <w:rFonts w:hint="cs"/>
          <w:rtl/>
        </w:rPr>
        <w:t>קטי קטרין שטרית</w:t>
      </w:r>
      <w:r>
        <w:rPr>
          <w:rFonts w:hint="cs"/>
          <w:rtl/>
        </w:rPr>
        <w:tab/>
        <w:t>–   נגד</w:t>
      </w:r>
    </w:p>
    <w:p w:rsidR="00BB59CD" w:rsidRDefault="00BB59CD" w:rsidP="00BB59CD">
      <w:pPr>
        <w:rPr>
          <w:rtl/>
        </w:rPr>
      </w:pPr>
      <w:r>
        <w:rPr>
          <w:rFonts w:hint="cs"/>
          <w:rtl/>
        </w:rPr>
        <w:t>אלעזר שטרן</w:t>
      </w:r>
      <w:r>
        <w:rPr>
          <w:rFonts w:hint="cs"/>
          <w:rtl/>
        </w:rPr>
        <w:tab/>
      </w:r>
      <w:r>
        <w:rPr>
          <w:rFonts w:hint="cs"/>
          <w:rtl/>
        </w:rPr>
        <w:tab/>
        <w:t>–   בעד</w:t>
      </w:r>
    </w:p>
    <w:p w:rsidR="00BB59CD" w:rsidRDefault="00BB59CD" w:rsidP="00BB59CD">
      <w:pPr>
        <w:rPr>
          <w:rtl/>
        </w:rPr>
      </w:pPr>
      <w:r>
        <w:rPr>
          <w:rFonts w:hint="cs"/>
          <w:rtl/>
        </w:rPr>
        <w:t>מיכל שיר סגמן</w:t>
      </w:r>
      <w:r>
        <w:rPr>
          <w:rFonts w:hint="cs"/>
          <w:rtl/>
        </w:rPr>
        <w:tab/>
      </w:r>
      <w:r>
        <w:rPr>
          <w:rFonts w:hint="cs"/>
          <w:rtl/>
        </w:rPr>
        <w:tab/>
        <w:t>–   בעד</w:t>
      </w:r>
    </w:p>
    <w:p w:rsidR="00BB59CD" w:rsidRDefault="00BB59CD" w:rsidP="00BB59CD">
      <w:pPr>
        <w:rPr>
          <w:rtl/>
        </w:rPr>
      </w:pPr>
      <w:r>
        <w:rPr>
          <w:rFonts w:hint="cs"/>
          <w:rtl/>
        </w:rPr>
        <w:t>נאור שירי</w:t>
      </w:r>
      <w:r>
        <w:rPr>
          <w:rFonts w:hint="cs"/>
          <w:rtl/>
        </w:rPr>
        <w:tab/>
      </w:r>
      <w:r>
        <w:rPr>
          <w:rFonts w:hint="cs"/>
          <w:rtl/>
        </w:rPr>
        <w:tab/>
        <w:t>–   אינו נוכח</w:t>
      </w:r>
    </w:p>
    <w:p w:rsidR="00BB59CD" w:rsidRDefault="00BB59CD" w:rsidP="00BB59CD">
      <w:pPr>
        <w:rPr>
          <w:rtl/>
        </w:rPr>
      </w:pPr>
      <w:r>
        <w:rPr>
          <w:rFonts w:hint="cs"/>
          <w:rtl/>
        </w:rPr>
        <w:t>אושר שקלים</w:t>
      </w:r>
      <w:r>
        <w:rPr>
          <w:rFonts w:hint="cs"/>
          <w:rtl/>
        </w:rPr>
        <w:tab/>
      </w:r>
      <w:r>
        <w:rPr>
          <w:rFonts w:hint="cs"/>
          <w:rtl/>
        </w:rPr>
        <w:tab/>
        <w:t>–   נגד</w:t>
      </w:r>
    </w:p>
    <w:p w:rsidR="00BB59CD" w:rsidRDefault="00BB59CD" w:rsidP="00BB59CD">
      <w:pPr>
        <w:rPr>
          <w:rtl/>
        </w:rPr>
      </w:pPr>
      <w:r>
        <w:rPr>
          <w:rFonts w:hint="cs"/>
          <w:rtl/>
        </w:rPr>
        <w:t>עאידה תומא סלימאן</w:t>
      </w:r>
      <w:r>
        <w:rPr>
          <w:rFonts w:hint="cs"/>
          <w:rtl/>
        </w:rPr>
        <w:tab/>
        <w:t>–   אינה נוכחת</w:t>
      </w:r>
    </w:p>
    <w:p w:rsidR="00BB59CD" w:rsidRDefault="00BB59CD" w:rsidP="00BB59CD">
      <w:pPr>
        <w:rPr>
          <w:rtl/>
        </w:rPr>
      </w:pPr>
      <w:r>
        <w:rPr>
          <w:rFonts w:hint="cs"/>
          <w:rtl/>
        </w:rPr>
        <w:t>פנינה תמנו</w:t>
      </w:r>
      <w:r>
        <w:rPr>
          <w:rFonts w:hint="cs"/>
          <w:rtl/>
        </w:rPr>
        <w:tab/>
      </w:r>
      <w:r>
        <w:rPr>
          <w:rFonts w:hint="cs"/>
          <w:rtl/>
        </w:rPr>
        <w:tab/>
        <w:t>–   אינה נוכחת</w:t>
      </w:r>
    </w:p>
    <w:p w:rsidR="00BB59CD" w:rsidRDefault="00BB59CD" w:rsidP="00BB59CD">
      <w:pPr>
        <w:rPr>
          <w:rtl/>
        </w:rPr>
      </w:pPr>
    </w:p>
    <w:p w:rsidR="00BB59CD" w:rsidRDefault="00BB59CD" w:rsidP="00BB59C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rPr>
      </w:pPr>
      <w:r>
        <w:rPr>
          <w:rFonts w:hint="cs"/>
          <w:rtl/>
        </w:rPr>
        <w:t>מזכיר הכנסת, אנא קרא בשמות חברי הכנסת שטרם הצביעו.</w:t>
      </w:r>
    </w:p>
    <w:p w:rsidR="00BB59CD" w:rsidRDefault="00BB59CD" w:rsidP="00BB59CD">
      <w:pPr>
        <w:rPr>
          <w:rtl/>
        </w:rPr>
      </w:pPr>
      <w:bookmarkStart w:id="83155" w:name="_ETM_Q171_186000"/>
      <w:bookmarkEnd w:id="83155"/>
    </w:p>
    <w:p w:rsidR="00BB59CD" w:rsidRDefault="00BB59CD" w:rsidP="00BB59CD">
      <w:pPr>
        <w:pStyle w:val="af8"/>
        <w:keepNext/>
        <w:rPr>
          <w:rtl/>
        </w:rPr>
      </w:pPr>
      <w:bookmarkStart w:id="83156" w:name="ET_interruption_6327_5"/>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156"/>
    </w:p>
    <w:p w:rsidR="00BB59CD" w:rsidRDefault="00BB59CD" w:rsidP="00BB59CD">
      <w:pPr>
        <w:ind w:firstLine="0"/>
        <w:rPr>
          <w:rtl/>
        </w:rPr>
      </w:pPr>
      <w:r>
        <w:rPr>
          <w:rFonts w:hint="cs"/>
          <w:rtl/>
        </w:rPr>
        <w:t>(קורא בשמות חברי הכנסת)</w:t>
      </w:r>
    </w:p>
    <w:p w:rsidR="00BB59CD" w:rsidRDefault="00BB59CD" w:rsidP="00BB59CD">
      <w:pPr>
        <w:rPr>
          <w:rtl/>
        </w:rPr>
      </w:pPr>
    </w:p>
    <w:p w:rsidR="00BB59CD" w:rsidRDefault="00BB59CD" w:rsidP="00BB59CD">
      <w:pPr>
        <w:rPr>
          <w:rtl/>
        </w:rPr>
      </w:pPr>
      <w:r>
        <w:rPr>
          <w:rFonts w:hint="cs"/>
          <w:rtl/>
        </w:rPr>
        <w:t>ואליד אלהואשלה</w:t>
      </w:r>
      <w:r>
        <w:rPr>
          <w:rFonts w:hint="cs"/>
          <w:rtl/>
        </w:rPr>
        <w:tab/>
      </w:r>
      <w:r>
        <w:rPr>
          <w:rFonts w:hint="cs"/>
          <w:rtl/>
        </w:rPr>
        <w:tab/>
        <w:t>–   בעד</w:t>
      </w:r>
    </w:p>
    <w:p w:rsidR="00BB59CD" w:rsidRDefault="00BB59CD" w:rsidP="00BB59CD">
      <w:pPr>
        <w:rPr>
          <w:rtl/>
        </w:rPr>
      </w:pPr>
      <w:r>
        <w:rPr>
          <w:rFonts w:hint="cs"/>
          <w:rtl/>
        </w:rPr>
        <w:t>דבי ביטון</w:t>
      </w:r>
      <w:r>
        <w:rPr>
          <w:rFonts w:hint="cs"/>
          <w:rtl/>
        </w:rPr>
        <w:tab/>
      </w:r>
      <w:r>
        <w:rPr>
          <w:rFonts w:hint="cs"/>
          <w:rtl/>
        </w:rPr>
        <w:tab/>
        <w:t>–   בעד</w:t>
      </w:r>
    </w:p>
    <w:p w:rsidR="00BB59CD" w:rsidRDefault="00BB59CD" w:rsidP="00BB59CD">
      <w:pPr>
        <w:rPr>
          <w:rtl/>
        </w:rPr>
      </w:pPr>
      <w:r>
        <w:rPr>
          <w:rFonts w:hint="cs"/>
          <w:rtl/>
        </w:rPr>
        <w:t>רם בן ברק</w:t>
      </w:r>
      <w:r>
        <w:rPr>
          <w:rFonts w:hint="cs"/>
          <w:rtl/>
        </w:rPr>
        <w:tab/>
      </w:r>
      <w:r>
        <w:rPr>
          <w:rFonts w:hint="cs"/>
          <w:rtl/>
        </w:rPr>
        <w:tab/>
        <w:t>–   בעד</w:t>
      </w:r>
    </w:p>
    <w:p w:rsidR="00BB59CD" w:rsidRDefault="00BB59CD" w:rsidP="00BB59CD">
      <w:pPr>
        <w:rPr>
          <w:rtl/>
        </w:rPr>
      </w:pPr>
      <w:r>
        <w:rPr>
          <w:rFonts w:hint="cs"/>
          <w:rtl/>
        </w:rPr>
        <w:t>סימון דוידסון</w:t>
      </w:r>
      <w:r>
        <w:rPr>
          <w:rFonts w:hint="cs"/>
          <w:rtl/>
        </w:rPr>
        <w:tab/>
      </w:r>
      <w:r>
        <w:rPr>
          <w:rFonts w:hint="cs"/>
          <w:rtl/>
        </w:rPr>
        <w:tab/>
        <w:t>–   אינו נוכח</w:t>
      </w:r>
    </w:p>
    <w:p w:rsidR="00BB59CD" w:rsidRDefault="00BB59CD" w:rsidP="00BB59CD">
      <w:pPr>
        <w:rPr>
          <w:rtl/>
        </w:rPr>
      </w:pPr>
      <w:r>
        <w:rPr>
          <w:rFonts w:hint="cs"/>
          <w:rtl/>
        </w:rPr>
        <w:t>שרן מרים השכל</w:t>
      </w:r>
      <w:r>
        <w:rPr>
          <w:rFonts w:hint="cs"/>
          <w:rtl/>
        </w:rPr>
        <w:tab/>
      </w:r>
      <w:r>
        <w:rPr>
          <w:rFonts w:hint="cs"/>
          <w:rtl/>
        </w:rPr>
        <w:tab/>
        <w:t>–   אינה נוכחת</w:t>
      </w:r>
    </w:p>
    <w:p w:rsidR="00BB59CD" w:rsidRDefault="00BB59CD" w:rsidP="00BB59CD">
      <w:pPr>
        <w:rPr>
          <w:rtl/>
        </w:rPr>
      </w:pPr>
      <w:r>
        <w:rPr>
          <w:rFonts w:hint="cs"/>
          <w:rtl/>
        </w:rPr>
        <w:t>משה טור פז</w:t>
      </w:r>
      <w:r>
        <w:rPr>
          <w:rFonts w:hint="cs"/>
          <w:rtl/>
        </w:rPr>
        <w:tab/>
      </w:r>
      <w:r>
        <w:rPr>
          <w:rFonts w:hint="cs"/>
          <w:rtl/>
        </w:rPr>
        <w:tab/>
        <w:t>–   בעד</w:t>
      </w:r>
    </w:p>
    <w:p w:rsidR="00BB59CD" w:rsidRDefault="00BB59CD" w:rsidP="00BB59CD">
      <w:pPr>
        <w:rPr>
          <w:rtl/>
        </w:rPr>
      </w:pPr>
      <w:r>
        <w:rPr>
          <w:rFonts w:hint="cs"/>
          <w:rtl/>
        </w:rPr>
        <w:t>אלמוג כהן</w:t>
      </w:r>
      <w:r>
        <w:rPr>
          <w:rFonts w:hint="cs"/>
          <w:rtl/>
        </w:rPr>
        <w:tab/>
      </w:r>
      <w:r>
        <w:rPr>
          <w:rFonts w:hint="cs"/>
          <w:rtl/>
        </w:rPr>
        <w:tab/>
        <w:t>–   נגד</w:t>
      </w:r>
    </w:p>
    <w:p w:rsidR="00BB59CD" w:rsidRDefault="00BB59CD" w:rsidP="00BB59CD">
      <w:pPr>
        <w:rPr>
          <w:rtl/>
        </w:rPr>
      </w:pPr>
      <w:r>
        <w:rPr>
          <w:rFonts w:hint="cs"/>
          <w:rtl/>
        </w:rPr>
        <w:t>מאיר כהן</w:t>
      </w:r>
      <w:r>
        <w:rPr>
          <w:rFonts w:hint="cs"/>
          <w:rtl/>
        </w:rPr>
        <w:tab/>
      </w:r>
      <w:r>
        <w:rPr>
          <w:rFonts w:hint="cs"/>
          <w:rtl/>
        </w:rPr>
        <w:tab/>
        <w:t>–   אינו נוכח</w:t>
      </w:r>
    </w:p>
    <w:p w:rsidR="00BB59CD" w:rsidRDefault="00BB59CD" w:rsidP="00BB59CD">
      <w:pPr>
        <w:rPr>
          <w:rtl/>
        </w:rPr>
      </w:pPr>
      <w:r>
        <w:rPr>
          <w:rFonts w:hint="cs"/>
          <w:rtl/>
        </w:rPr>
        <w:t>עופר כסיף</w:t>
      </w:r>
      <w:r>
        <w:rPr>
          <w:rFonts w:hint="cs"/>
          <w:rtl/>
        </w:rPr>
        <w:tab/>
      </w:r>
      <w:r>
        <w:rPr>
          <w:rFonts w:hint="cs"/>
          <w:rtl/>
        </w:rPr>
        <w:tab/>
        <w:t>–   בעד</w:t>
      </w:r>
    </w:p>
    <w:p w:rsidR="00BB59CD" w:rsidRDefault="00BB59CD" w:rsidP="00BB59CD">
      <w:pPr>
        <w:rPr>
          <w:rtl/>
        </w:rPr>
      </w:pPr>
      <w:r>
        <w:rPr>
          <w:rFonts w:hint="cs"/>
          <w:rtl/>
        </w:rPr>
        <w:t>רון כץ</w:t>
      </w:r>
      <w:r>
        <w:rPr>
          <w:rFonts w:hint="cs"/>
          <w:rtl/>
        </w:rPr>
        <w:tab/>
      </w:r>
      <w:r>
        <w:rPr>
          <w:rFonts w:hint="cs"/>
          <w:rtl/>
        </w:rPr>
        <w:tab/>
      </w:r>
      <w:r>
        <w:rPr>
          <w:rFonts w:hint="cs"/>
          <w:rtl/>
        </w:rPr>
        <w:tab/>
        <w:t>–   אינו נוכח</w:t>
      </w:r>
    </w:p>
    <w:p w:rsidR="00BB59CD" w:rsidRDefault="00BB59CD" w:rsidP="00BB59CD">
      <w:pPr>
        <w:rPr>
          <w:rtl/>
        </w:rPr>
      </w:pPr>
      <w:r>
        <w:rPr>
          <w:rFonts w:hint="cs"/>
          <w:rtl/>
        </w:rPr>
        <w:t>יוראי להב הרצנו</w:t>
      </w:r>
      <w:r>
        <w:rPr>
          <w:rFonts w:hint="cs"/>
          <w:rtl/>
        </w:rPr>
        <w:tab/>
      </w:r>
      <w:r>
        <w:rPr>
          <w:rFonts w:hint="cs"/>
          <w:rtl/>
        </w:rPr>
        <w:tab/>
        <w:t>–   בעד</w:t>
      </w:r>
    </w:p>
    <w:p w:rsidR="00BB59CD" w:rsidRDefault="00BB59CD" w:rsidP="00BB59CD">
      <w:pPr>
        <w:rPr>
          <w:rtl/>
        </w:rPr>
      </w:pPr>
      <w:r>
        <w:rPr>
          <w:rFonts w:hint="cs"/>
          <w:rtl/>
        </w:rPr>
        <w:t>מיקי לוי</w:t>
      </w:r>
      <w:r>
        <w:rPr>
          <w:rFonts w:hint="cs"/>
          <w:rtl/>
        </w:rPr>
        <w:tab/>
      </w:r>
      <w:r>
        <w:rPr>
          <w:rFonts w:hint="cs"/>
          <w:rtl/>
        </w:rPr>
        <w:tab/>
      </w:r>
      <w:r>
        <w:rPr>
          <w:rFonts w:hint="cs"/>
          <w:rtl/>
        </w:rPr>
        <w:tab/>
        <w:t>–   אינו נוכח</w:t>
      </w:r>
    </w:p>
    <w:p w:rsidR="00BB59CD" w:rsidRDefault="00BB59CD" w:rsidP="00BB59CD">
      <w:pPr>
        <w:rPr>
          <w:rtl/>
        </w:rPr>
      </w:pPr>
      <w:r>
        <w:rPr>
          <w:rFonts w:hint="cs"/>
          <w:rtl/>
        </w:rPr>
        <w:t>נעמה לזימי</w:t>
      </w:r>
      <w:r>
        <w:rPr>
          <w:rFonts w:hint="cs"/>
          <w:rtl/>
        </w:rPr>
        <w:tab/>
      </w:r>
      <w:r>
        <w:rPr>
          <w:rFonts w:hint="cs"/>
          <w:rtl/>
        </w:rPr>
        <w:tab/>
        <w:t>–   בעד</w:t>
      </w:r>
    </w:p>
    <w:p w:rsidR="00BB59CD" w:rsidRDefault="00BB59CD" w:rsidP="00BB59CD">
      <w:pPr>
        <w:rPr>
          <w:rtl/>
        </w:rPr>
      </w:pPr>
      <w:r>
        <w:rPr>
          <w:rFonts w:hint="cs"/>
          <w:rtl/>
        </w:rPr>
        <w:t>טטיאנה מזרסקי</w:t>
      </w:r>
      <w:r>
        <w:rPr>
          <w:rFonts w:hint="cs"/>
          <w:rtl/>
        </w:rPr>
        <w:tab/>
      </w:r>
      <w:r>
        <w:rPr>
          <w:rFonts w:hint="cs"/>
          <w:rtl/>
        </w:rPr>
        <w:tab/>
        <w:t>–   אינה נוכחת</w:t>
      </w:r>
    </w:p>
    <w:p w:rsidR="00BB59CD" w:rsidRDefault="00BB59CD" w:rsidP="00BB59CD">
      <w:pPr>
        <w:rPr>
          <w:rtl/>
        </w:rPr>
      </w:pPr>
      <w:r>
        <w:rPr>
          <w:rFonts w:hint="cs"/>
          <w:rtl/>
        </w:rPr>
        <w:t>שלי טל מירון</w:t>
      </w:r>
      <w:r>
        <w:rPr>
          <w:rFonts w:hint="cs"/>
          <w:rtl/>
        </w:rPr>
        <w:tab/>
      </w:r>
      <w:r>
        <w:rPr>
          <w:rFonts w:hint="cs"/>
          <w:rtl/>
        </w:rPr>
        <w:tab/>
        <w:t>–   בעד</w:t>
      </w:r>
    </w:p>
    <w:p w:rsidR="00BB59CD" w:rsidRDefault="00BB59CD" w:rsidP="00BB59CD">
      <w:pPr>
        <w:rPr>
          <w:rtl/>
        </w:rPr>
      </w:pPr>
      <w:r>
        <w:rPr>
          <w:rFonts w:hint="cs"/>
          <w:rtl/>
        </w:rPr>
        <w:t>יוליה מלינובסקי</w:t>
      </w:r>
      <w:r>
        <w:rPr>
          <w:rFonts w:hint="cs"/>
          <w:rtl/>
        </w:rPr>
        <w:tab/>
      </w:r>
      <w:r>
        <w:rPr>
          <w:rFonts w:hint="cs"/>
          <w:rtl/>
        </w:rPr>
        <w:tab/>
        <w:t>–   בעד</w:t>
      </w:r>
    </w:p>
    <w:p w:rsidR="00BB59CD" w:rsidRDefault="00BB59CD" w:rsidP="00BB59CD">
      <w:pPr>
        <w:rPr>
          <w:rtl/>
        </w:rPr>
      </w:pPr>
      <w:r>
        <w:rPr>
          <w:rFonts w:hint="cs"/>
          <w:rtl/>
        </w:rPr>
        <w:t>יואב סגלוביץ'</w:t>
      </w:r>
      <w:r>
        <w:rPr>
          <w:rFonts w:hint="cs"/>
          <w:rtl/>
        </w:rPr>
        <w:tab/>
      </w:r>
      <w:r>
        <w:rPr>
          <w:rFonts w:hint="cs"/>
          <w:rtl/>
        </w:rPr>
        <w:tab/>
        <w:t>–   בעד</w:t>
      </w:r>
    </w:p>
    <w:p w:rsidR="00BB59CD" w:rsidRDefault="00BB59CD" w:rsidP="00BB59CD">
      <w:pPr>
        <w:rPr>
          <w:rtl/>
        </w:rPr>
      </w:pPr>
      <w:r>
        <w:rPr>
          <w:rFonts w:hint="cs"/>
          <w:rtl/>
        </w:rPr>
        <w:t>מנסור עבאס</w:t>
      </w:r>
      <w:r>
        <w:rPr>
          <w:rFonts w:hint="cs"/>
          <w:rtl/>
        </w:rPr>
        <w:tab/>
      </w:r>
      <w:r>
        <w:rPr>
          <w:rFonts w:hint="cs"/>
          <w:rtl/>
        </w:rPr>
        <w:tab/>
        <w:t>–   אינו נוכח</w:t>
      </w:r>
    </w:p>
    <w:p w:rsidR="00BB59CD" w:rsidRDefault="00BB59CD" w:rsidP="00BB59CD">
      <w:pPr>
        <w:rPr>
          <w:rtl/>
        </w:rPr>
      </w:pPr>
      <w:r>
        <w:rPr>
          <w:rFonts w:hint="cs"/>
          <w:rtl/>
        </w:rPr>
        <w:t>יוסף עטאונה</w:t>
      </w:r>
      <w:r>
        <w:rPr>
          <w:rFonts w:hint="cs"/>
          <w:rtl/>
        </w:rPr>
        <w:tab/>
      </w:r>
      <w:r>
        <w:rPr>
          <w:rFonts w:hint="cs"/>
          <w:rtl/>
        </w:rPr>
        <w:tab/>
        <w:t>–   בעד</w:t>
      </w:r>
    </w:p>
    <w:p w:rsidR="00BB59CD" w:rsidRDefault="00BB59CD" w:rsidP="00BB59CD">
      <w:pPr>
        <w:rPr>
          <w:rtl/>
        </w:rPr>
      </w:pPr>
      <w:r>
        <w:rPr>
          <w:rFonts w:hint="cs"/>
          <w:rtl/>
        </w:rPr>
        <w:t>עודד פורר</w:t>
      </w:r>
      <w:r>
        <w:rPr>
          <w:rFonts w:hint="cs"/>
          <w:rtl/>
        </w:rPr>
        <w:tab/>
      </w:r>
      <w:r>
        <w:rPr>
          <w:rFonts w:hint="cs"/>
          <w:rtl/>
        </w:rPr>
        <w:tab/>
        <w:t>–   בעד</w:t>
      </w:r>
    </w:p>
    <w:p w:rsidR="00BB59CD" w:rsidRDefault="00BB59CD" w:rsidP="00BB59CD">
      <w:pPr>
        <w:rPr>
          <w:rtl/>
        </w:rPr>
      </w:pPr>
      <w:r>
        <w:rPr>
          <w:rFonts w:hint="cs"/>
          <w:rtl/>
        </w:rPr>
        <w:t>יסמין פרידמן</w:t>
      </w:r>
      <w:r>
        <w:rPr>
          <w:rFonts w:hint="cs"/>
          <w:rtl/>
        </w:rPr>
        <w:tab/>
      </w:r>
      <w:r>
        <w:rPr>
          <w:rFonts w:hint="cs"/>
          <w:rtl/>
        </w:rPr>
        <w:tab/>
        <w:t>–   בעד</w:t>
      </w:r>
    </w:p>
    <w:p w:rsidR="00BB59CD" w:rsidRDefault="00BB59CD" w:rsidP="00BB59CD">
      <w:pPr>
        <w:rPr>
          <w:rtl/>
        </w:rPr>
      </w:pPr>
      <w:r>
        <w:rPr>
          <w:rFonts w:hint="cs"/>
          <w:rtl/>
        </w:rPr>
        <w:t>מטי צרפתי הרכבי</w:t>
      </w:r>
      <w:r>
        <w:rPr>
          <w:rFonts w:hint="cs"/>
          <w:rtl/>
        </w:rPr>
        <w:tab/>
        <w:t>–   בעד</w:t>
      </w:r>
    </w:p>
    <w:p w:rsidR="00BB59CD" w:rsidRDefault="00BB59CD" w:rsidP="00BB59CD">
      <w:pPr>
        <w:rPr>
          <w:rtl/>
        </w:rPr>
      </w:pPr>
      <w:r>
        <w:rPr>
          <w:rFonts w:hint="cs"/>
          <w:rtl/>
        </w:rPr>
        <w:t>יצחק קרויזר</w:t>
      </w:r>
      <w:r>
        <w:rPr>
          <w:rFonts w:hint="cs"/>
          <w:rtl/>
        </w:rPr>
        <w:tab/>
      </w:r>
      <w:r>
        <w:rPr>
          <w:rFonts w:hint="cs"/>
          <w:rtl/>
        </w:rPr>
        <w:tab/>
        <w:t>–   נגד</w:t>
      </w:r>
    </w:p>
    <w:p w:rsidR="00BB59CD" w:rsidRDefault="00BB59CD" w:rsidP="00BB59CD">
      <w:pPr>
        <w:rPr>
          <w:rtl/>
        </w:rPr>
      </w:pPr>
      <w:r>
        <w:rPr>
          <w:rFonts w:hint="cs"/>
          <w:rtl/>
        </w:rPr>
        <w:t>גלעד קריב</w:t>
      </w:r>
      <w:r>
        <w:rPr>
          <w:rFonts w:hint="cs"/>
          <w:rtl/>
        </w:rPr>
        <w:tab/>
      </w:r>
      <w:r>
        <w:rPr>
          <w:rFonts w:hint="cs"/>
          <w:rtl/>
        </w:rPr>
        <w:tab/>
        <w:t>–   בעד</w:t>
      </w:r>
    </w:p>
    <w:p w:rsidR="00BB59CD" w:rsidRDefault="00BB59CD" w:rsidP="00BB59CD">
      <w:pPr>
        <w:rPr>
          <w:rtl/>
        </w:rPr>
      </w:pPr>
      <w:r>
        <w:rPr>
          <w:rFonts w:hint="cs"/>
          <w:rtl/>
        </w:rPr>
        <w:t>יפעת שאשא ביטון</w:t>
      </w:r>
      <w:r>
        <w:rPr>
          <w:rFonts w:hint="cs"/>
          <w:rtl/>
        </w:rPr>
        <w:tab/>
        <w:t>–   בעד</w:t>
      </w:r>
    </w:p>
    <w:p w:rsidR="00BB59CD" w:rsidRDefault="00BB59CD" w:rsidP="00BB59CD">
      <w:pPr>
        <w:rPr>
          <w:rtl/>
        </w:rPr>
      </w:pPr>
      <w:r>
        <w:rPr>
          <w:rFonts w:hint="cs"/>
          <w:rtl/>
        </w:rPr>
        <w:t>נאור שירי</w:t>
      </w:r>
      <w:r>
        <w:rPr>
          <w:rFonts w:hint="cs"/>
          <w:rtl/>
        </w:rPr>
        <w:tab/>
      </w:r>
      <w:r>
        <w:rPr>
          <w:rFonts w:hint="cs"/>
          <w:rtl/>
        </w:rPr>
        <w:tab/>
        <w:t>–   בעד</w:t>
      </w:r>
    </w:p>
    <w:p w:rsidR="00BB59CD" w:rsidRDefault="00BB59CD" w:rsidP="00BB59CD">
      <w:pPr>
        <w:rPr>
          <w:rtl/>
        </w:rPr>
      </w:pPr>
      <w:r>
        <w:rPr>
          <w:rFonts w:hint="cs"/>
          <w:rtl/>
        </w:rPr>
        <w:t>עאידה תומא סלימאן</w:t>
      </w:r>
      <w:r>
        <w:rPr>
          <w:rFonts w:hint="cs"/>
          <w:rtl/>
        </w:rPr>
        <w:tab/>
        <w:t>–   בעד</w:t>
      </w:r>
    </w:p>
    <w:p w:rsidR="00BB59CD" w:rsidRDefault="00BB59CD" w:rsidP="00BB59CD">
      <w:pPr>
        <w:rPr>
          <w:rtl/>
        </w:rPr>
      </w:pPr>
      <w:r>
        <w:rPr>
          <w:rFonts w:hint="cs"/>
          <w:rtl/>
        </w:rPr>
        <w:t>פנינה תמנו</w:t>
      </w:r>
      <w:r>
        <w:rPr>
          <w:rFonts w:hint="cs"/>
          <w:rtl/>
        </w:rPr>
        <w:tab/>
      </w:r>
      <w:r>
        <w:rPr>
          <w:rFonts w:hint="cs"/>
          <w:rtl/>
        </w:rPr>
        <w:tab/>
        <w:t>–   אינה נוכחת</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rPr>
      </w:pPr>
      <w:r>
        <w:rPr>
          <w:rFonts w:hint="cs"/>
          <w:rtl/>
        </w:rPr>
        <w:t xml:space="preserve">האם נוכחים באולם חברי כנסת </w:t>
      </w:r>
      <w:bookmarkStart w:id="83157" w:name="_ETM_Q171_347000"/>
      <w:bookmarkEnd w:id="83157"/>
      <w:r>
        <w:rPr>
          <w:rFonts w:hint="cs"/>
          <w:rtl/>
        </w:rPr>
        <w:t>שטרם הצביעו ומעוניינים להצביע? אם כן, נא פנו למז</w:t>
      </w:r>
      <w:bookmarkStart w:id="83158" w:name="_ETM_Q171_349000"/>
      <w:bookmarkEnd w:id="83158"/>
      <w:r>
        <w:rPr>
          <w:rFonts w:hint="cs"/>
          <w:rtl/>
        </w:rPr>
        <w:t xml:space="preserve">כיר הכנסת. </w:t>
      </w:r>
    </w:p>
    <w:p w:rsidR="00BB59CD" w:rsidRDefault="00BB59CD" w:rsidP="00BB59CD">
      <w:pPr>
        <w:rPr>
          <w:rtl/>
        </w:rPr>
      </w:pPr>
      <w:bookmarkStart w:id="83159" w:name="_ETM_Q171_355000"/>
      <w:bookmarkEnd w:id="83159"/>
    </w:p>
    <w:p w:rsidR="00BB59CD" w:rsidRDefault="00BB59CD" w:rsidP="00BB59CD">
      <w:pPr>
        <w:pStyle w:val="af8"/>
        <w:rPr>
          <w:rtl/>
        </w:rPr>
      </w:pPr>
      <w:bookmarkStart w:id="83160" w:name="ET_interruption_6327_6"/>
      <w:r>
        <w:rPr>
          <w:rStyle w:val="TagStyle"/>
          <w:rFonts w:hint="cs"/>
          <w:rtl/>
        </w:rPr>
        <w:t xml:space="preserve"> &lt;&lt; קריאה &gt;&gt; </w:t>
      </w:r>
      <w:r>
        <w:rPr>
          <w:rFonts w:hint="cs"/>
          <w:rtl/>
        </w:rPr>
        <w:t>מזכיר הכנסת דן מרזוק:</w:t>
      </w:r>
      <w:r>
        <w:rPr>
          <w:rStyle w:val="TagStyle"/>
          <w:rtl/>
        </w:rPr>
        <w:t xml:space="preserve"> &lt;&lt; קריאה &gt;&gt; </w:t>
      </w:r>
      <w:r>
        <w:rPr>
          <w:rFonts w:hint="cs"/>
          <w:rtl/>
        </w:rPr>
        <w:t xml:space="preserve">  </w:t>
      </w:r>
      <w:bookmarkEnd w:id="83160"/>
    </w:p>
    <w:p w:rsidR="00BB59CD" w:rsidRDefault="00BB59CD" w:rsidP="00BB59CD">
      <w:pPr>
        <w:ind w:firstLine="0"/>
        <w:rPr>
          <w:rtl/>
        </w:rPr>
      </w:pPr>
      <w:r>
        <w:rPr>
          <w:rFonts w:hint="cs"/>
          <w:rtl/>
        </w:rPr>
        <w:t>(קורא בשמות חברי הכנסת)</w:t>
      </w:r>
    </w:p>
    <w:p w:rsidR="00BB59CD" w:rsidRDefault="00BB59CD" w:rsidP="00BB59CD">
      <w:pPr>
        <w:rPr>
          <w:rtl/>
        </w:rPr>
      </w:pPr>
      <w:bookmarkStart w:id="83161" w:name="_ETM_Q171_342000"/>
      <w:bookmarkEnd w:id="83161"/>
    </w:p>
    <w:p w:rsidR="00BB59CD" w:rsidRDefault="00BB59CD" w:rsidP="00BB59CD">
      <w:pPr>
        <w:rPr>
          <w:rtl/>
        </w:rPr>
      </w:pPr>
      <w:r>
        <w:rPr>
          <w:rFonts w:hint="cs"/>
          <w:rtl/>
        </w:rPr>
        <w:t>שרן מרים השכל</w:t>
      </w:r>
      <w:r>
        <w:rPr>
          <w:rFonts w:hint="cs"/>
          <w:rtl/>
        </w:rPr>
        <w:tab/>
      </w:r>
      <w:r>
        <w:rPr>
          <w:rFonts w:hint="cs"/>
          <w:rtl/>
        </w:rPr>
        <w:tab/>
        <w:t>–   בעד</w:t>
      </w:r>
    </w:p>
    <w:p w:rsidR="00BB59CD" w:rsidRDefault="00BB59CD" w:rsidP="00BB59CD">
      <w:pPr>
        <w:rPr>
          <w:rtl/>
        </w:rPr>
      </w:pPr>
      <w:r>
        <w:rPr>
          <w:rFonts w:hint="cs"/>
          <w:rtl/>
        </w:rPr>
        <w:t>פנינה תמנו</w:t>
      </w:r>
      <w:r>
        <w:rPr>
          <w:rFonts w:hint="cs"/>
          <w:rtl/>
        </w:rPr>
        <w:tab/>
      </w:r>
      <w:r>
        <w:rPr>
          <w:rFonts w:hint="cs"/>
          <w:rtl/>
        </w:rPr>
        <w:tab/>
        <w:t>–   בעד</w:t>
      </w:r>
    </w:p>
    <w:p w:rsidR="00BB59CD" w:rsidRDefault="00BB59CD" w:rsidP="00BB59CD">
      <w:pPr>
        <w:rPr>
          <w:rtl/>
        </w:rPr>
      </w:pPr>
      <w:r>
        <w:rPr>
          <w:rFonts w:hint="cs"/>
          <w:rtl/>
        </w:rPr>
        <w:t>רון כץ</w:t>
      </w:r>
      <w:r>
        <w:rPr>
          <w:rFonts w:hint="cs"/>
          <w:rtl/>
        </w:rPr>
        <w:tab/>
      </w:r>
      <w:r>
        <w:rPr>
          <w:rFonts w:hint="cs"/>
          <w:rtl/>
        </w:rPr>
        <w:tab/>
      </w:r>
      <w:r>
        <w:rPr>
          <w:rFonts w:hint="cs"/>
          <w:rtl/>
        </w:rPr>
        <w:tab/>
        <w:t>–   בעד</w:t>
      </w:r>
    </w:p>
    <w:p w:rsidR="00BB59CD" w:rsidRDefault="00BB59CD" w:rsidP="00BB59CD">
      <w:pPr>
        <w:rPr>
          <w:rtl/>
        </w:rPr>
      </w:pPr>
      <w:r>
        <w:rPr>
          <w:rFonts w:hint="cs"/>
          <w:rtl/>
        </w:rPr>
        <w:t>מאיר כהן</w:t>
      </w:r>
      <w:r>
        <w:rPr>
          <w:rFonts w:hint="cs"/>
          <w:rtl/>
        </w:rPr>
        <w:tab/>
      </w:r>
      <w:r>
        <w:rPr>
          <w:rFonts w:hint="cs"/>
          <w:rtl/>
        </w:rPr>
        <w:tab/>
        <w:t>–   בעד</w:t>
      </w:r>
    </w:p>
    <w:p w:rsidR="00BB59CD" w:rsidRDefault="00BB59CD" w:rsidP="00BB59CD">
      <w:pPr>
        <w:rPr>
          <w:rtl/>
        </w:rPr>
      </w:pPr>
      <w:r>
        <w:rPr>
          <w:rFonts w:hint="cs"/>
          <w:rtl/>
        </w:rPr>
        <w:t>סימון דוידסון</w:t>
      </w:r>
      <w:r>
        <w:rPr>
          <w:rFonts w:hint="cs"/>
          <w:rtl/>
        </w:rPr>
        <w:tab/>
      </w:r>
      <w:r>
        <w:rPr>
          <w:rFonts w:hint="cs"/>
          <w:rtl/>
        </w:rPr>
        <w:tab/>
        <w:t>–   בעד</w:t>
      </w:r>
    </w:p>
    <w:p w:rsidR="00BB59CD" w:rsidRDefault="00BB59CD" w:rsidP="00BB59CD">
      <w:pPr>
        <w:rPr>
          <w:rtl/>
        </w:rPr>
      </w:pPr>
      <w:r>
        <w:rPr>
          <w:rFonts w:hint="cs"/>
          <w:rtl/>
        </w:rPr>
        <w:t>מיקי לוי</w:t>
      </w:r>
      <w:r>
        <w:rPr>
          <w:rFonts w:hint="cs"/>
          <w:rtl/>
        </w:rPr>
        <w:tab/>
      </w:r>
      <w:r>
        <w:rPr>
          <w:rFonts w:hint="cs"/>
          <w:rtl/>
        </w:rPr>
        <w:tab/>
      </w:r>
      <w:r>
        <w:rPr>
          <w:rFonts w:hint="cs"/>
          <w:rtl/>
        </w:rPr>
        <w:tab/>
        <w:t xml:space="preserve">–   בעד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rPr>
      </w:pPr>
      <w:r>
        <w:rPr>
          <w:rFonts w:hint="cs"/>
          <w:rtl/>
        </w:rPr>
        <w:t xml:space="preserve">האם יש חברי כנסת נוספים שטרם הצביעו </w:t>
      </w:r>
      <w:bookmarkStart w:id="83162" w:name="_ETM_Q171_406000"/>
      <w:bookmarkEnd w:id="83162"/>
      <w:r>
        <w:rPr>
          <w:rFonts w:hint="cs"/>
          <w:rtl/>
        </w:rPr>
        <w:t>ומעוניינים לעשות כן?</w:t>
      </w:r>
    </w:p>
    <w:p w:rsidR="00BB59CD" w:rsidRDefault="00BB59CD" w:rsidP="00BB59CD">
      <w:pPr>
        <w:rPr>
          <w:rtl/>
        </w:rPr>
      </w:pPr>
      <w:bookmarkStart w:id="83163" w:name="_ETM_Q171_408000"/>
      <w:bookmarkEnd w:id="83163"/>
    </w:p>
    <w:p w:rsidR="00BB59CD" w:rsidRDefault="00BB59CD" w:rsidP="00BB59CD">
      <w:pPr>
        <w:pStyle w:val="af8"/>
        <w:keepNext/>
        <w:rPr>
          <w:rtl/>
        </w:rPr>
      </w:pPr>
      <w:bookmarkStart w:id="83164" w:name="ET_interruption_6327_7"/>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164"/>
    </w:p>
    <w:p w:rsidR="00BB59CD" w:rsidRDefault="00BB59CD" w:rsidP="00337201">
      <w:pPr>
        <w:rPr>
          <w:rtl/>
        </w:rPr>
      </w:pPr>
      <w:r>
        <w:rPr>
          <w:rFonts w:hint="cs"/>
          <w:rtl/>
        </w:rPr>
        <w:t>(קורא בשמות חברי הכנסת)</w:t>
      </w:r>
    </w:p>
    <w:p w:rsidR="00BB59CD" w:rsidRDefault="00BB59CD" w:rsidP="00BB59CD">
      <w:pPr>
        <w:rPr>
          <w:rtl/>
        </w:rPr>
      </w:pPr>
      <w:bookmarkStart w:id="83165" w:name="_ETM_Q171_432000"/>
      <w:bookmarkEnd w:id="83165"/>
    </w:p>
    <w:p w:rsidR="00BB59CD" w:rsidRDefault="00BB59CD" w:rsidP="00BB59CD">
      <w:pPr>
        <w:rPr>
          <w:rtl/>
        </w:rPr>
      </w:pPr>
      <w:r>
        <w:rPr>
          <w:rFonts w:hint="cs"/>
          <w:rtl/>
        </w:rPr>
        <w:t>טטיאנה מזרסקי</w:t>
      </w:r>
      <w:r>
        <w:rPr>
          <w:rFonts w:hint="cs"/>
          <w:rtl/>
        </w:rPr>
        <w:tab/>
      </w:r>
      <w:r>
        <w:rPr>
          <w:rFonts w:hint="cs"/>
          <w:rtl/>
        </w:rPr>
        <w:tab/>
        <w:t>–   בעד</w:t>
      </w:r>
    </w:p>
    <w:p w:rsidR="00BB59CD" w:rsidRDefault="00BB59CD" w:rsidP="00BB59CD">
      <w:pPr>
        <w:rPr>
          <w:rtl/>
        </w:rPr>
      </w:pPr>
      <w:bookmarkStart w:id="83166" w:name="_ETM_Q171_421000"/>
      <w:bookmarkStart w:id="83167" w:name="_ETM_Q171_420000"/>
      <w:bookmarkEnd w:id="83166"/>
      <w:bookmarkEnd w:id="83167"/>
      <w:r>
        <w:rPr>
          <w:rFonts w:hint="cs"/>
          <w:rtl/>
        </w:rPr>
        <w:t>מנסור עבאס</w:t>
      </w:r>
      <w:r>
        <w:rPr>
          <w:rFonts w:hint="cs"/>
          <w:rtl/>
        </w:rPr>
        <w:tab/>
      </w:r>
      <w:r>
        <w:rPr>
          <w:rFonts w:hint="cs"/>
          <w:rtl/>
        </w:rPr>
        <w:tab/>
        <w:t>–   בעד</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זהו? אם כן, תמה ההצבעה. נא לספור את הקולות.</w:t>
      </w:r>
      <w:bookmarkStart w:id="83168" w:name="_ETM_Q171_463000"/>
      <w:bookmarkStart w:id="83169" w:name="_ETM_Q171_464000"/>
      <w:bookmarkEnd w:id="83168"/>
      <w:bookmarkEnd w:id="83169"/>
      <w:r>
        <w:rPr>
          <w:rFonts w:hint="cs"/>
          <w:rtl/>
          <w:lang w:eastAsia="he-IL"/>
        </w:rPr>
        <w:t xml:space="preserve"> אם כן, 56 בעד, 64 </w:t>
      </w:r>
      <w:bookmarkStart w:id="83170" w:name="_ETM_Q171_580000"/>
      <w:bookmarkEnd w:id="83170"/>
      <w:r>
        <w:rPr>
          <w:rFonts w:hint="cs"/>
          <w:rtl/>
          <w:lang w:eastAsia="he-IL"/>
        </w:rPr>
        <w:t>נגד. אני קובע כי ההסתייגות לא התקבלה.</w:t>
      </w:r>
    </w:p>
    <w:p w:rsidR="00BB59CD" w:rsidRDefault="00BB59CD" w:rsidP="00BB59CD">
      <w:pPr>
        <w:rPr>
          <w:rtl/>
          <w:lang w:eastAsia="he-IL"/>
        </w:rPr>
      </w:pPr>
    </w:p>
    <w:p w:rsidR="00BB59CD" w:rsidRDefault="00BB59CD" w:rsidP="00BB59CD">
      <w:pPr>
        <w:rPr>
          <w:rtl/>
          <w:lang w:eastAsia="he-IL"/>
        </w:rPr>
      </w:pPr>
      <w:bookmarkStart w:id="83171" w:name="_ETM_Q171_586000"/>
      <w:bookmarkEnd w:id="83171"/>
      <w:r>
        <w:rPr>
          <w:rFonts w:hint="cs"/>
          <w:rtl/>
          <w:lang w:eastAsia="he-IL"/>
        </w:rPr>
        <w:t xml:space="preserve">אנחנו ממשיכים בהצבעות על </w:t>
      </w:r>
      <w:bookmarkStart w:id="83172" w:name="_ETM_Q171_587000"/>
      <w:bookmarkEnd w:id="83172"/>
      <w:r>
        <w:rPr>
          <w:rFonts w:hint="cs"/>
          <w:rtl/>
          <w:lang w:eastAsia="he-IL"/>
        </w:rPr>
        <w:t xml:space="preserve">ההסתייגויות. רבותיי, ההצבעות תהיינה אלקטרוניות. אנא תפסו את </w:t>
      </w:r>
      <w:bookmarkStart w:id="83173" w:name="_ETM_Q171_589000"/>
      <w:bookmarkEnd w:id="83173"/>
      <w:r>
        <w:rPr>
          <w:rFonts w:hint="cs"/>
          <w:rtl/>
          <w:lang w:eastAsia="he-IL"/>
        </w:rPr>
        <w:t>מקומותיכם, חברי הכנסת.</w:t>
      </w:r>
    </w:p>
    <w:p w:rsidR="00BB59CD" w:rsidRDefault="00BB59CD" w:rsidP="00BB59CD">
      <w:pPr>
        <w:rPr>
          <w:rtl/>
          <w:lang w:eastAsia="he-IL"/>
        </w:rPr>
      </w:pPr>
      <w:bookmarkStart w:id="83174" w:name="_ETM_Q171_601000"/>
      <w:bookmarkStart w:id="83175" w:name="_ETM_Q171_603000"/>
      <w:bookmarkEnd w:id="83174"/>
      <w:bookmarkEnd w:id="83175"/>
    </w:p>
    <w:p w:rsidR="00BB59CD" w:rsidRDefault="00BB59CD" w:rsidP="00BB59CD">
      <w:pPr>
        <w:pStyle w:val="af8"/>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176" w:name="_ETM_Q171_596000"/>
      <w:bookmarkEnd w:id="83176"/>
      <w:r>
        <w:rPr>
          <w:rFonts w:hint="cs"/>
          <w:rtl/>
          <w:lang w:eastAsia="he-IL"/>
        </w:rPr>
        <w:t>עכשיו לא מאוחר ללחוץ על הבלמים, בנימין נתניהו.</w:t>
      </w:r>
    </w:p>
    <w:p w:rsidR="00BB59CD" w:rsidRDefault="00BB59CD" w:rsidP="00BB59CD">
      <w:pPr>
        <w:rPr>
          <w:rtl/>
          <w:lang w:eastAsia="he-IL"/>
        </w:rPr>
      </w:pPr>
      <w:bookmarkStart w:id="83177" w:name="_ETM_Q171_604000"/>
      <w:bookmarkEnd w:id="83177"/>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rPr>
      </w:pPr>
      <w:bookmarkStart w:id="83178" w:name="_ETM_Q171_605000"/>
      <w:bookmarkStart w:id="83179" w:name="_ETM_Q171_631582"/>
      <w:bookmarkEnd w:id="83178"/>
      <w:bookmarkEnd w:id="83179"/>
      <w:r>
        <w:rPr>
          <w:rFonts w:hint="cs"/>
          <w:rtl/>
        </w:rPr>
        <w:t xml:space="preserve">כן. אנחנו נצביע כעת על הסתייגות </w:t>
      </w:r>
      <w:bookmarkStart w:id="83180" w:name="_ETM_Q171_608000"/>
      <w:bookmarkEnd w:id="83180"/>
      <w:r>
        <w:rPr>
          <w:rFonts w:hint="cs"/>
          <w:rtl/>
        </w:rPr>
        <w:t>שמספרה</w:t>
      </w:r>
      <w:bookmarkStart w:id="83181" w:name="_ETM_Q171_613000"/>
      <w:bookmarkEnd w:id="83181"/>
      <w:r>
        <w:rPr>
          <w:rFonts w:hint="cs"/>
          <w:rtl/>
        </w:rPr>
        <w:t xml:space="preserve"> 18411. רבותיי, הצבעה.</w:t>
      </w:r>
    </w:p>
    <w:p w:rsidR="00BB59CD" w:rsidRDefault="00BB59CD" w:rsidP="00BB59CD">
      <w:pPr>
        <w:rPr>
          <w:rtl/>
          <w:lang w:eastAsia="he-IL"/>
        </w:rPr>
      </w:pPr>
      <w:bookmarkStart w:id="83182" w:name="_ETM_Q171_620000"/>
      <w:bookmarkEnd w:id="83182"/>
    </w:p>
    <w:p w:rsidR="00BB59CD" w:rsidRDefault="00BB59CD" w:rsidP="00BB59CD">
      <w:pPr>
        <w:pStyle w:val="af4"/>
        <w:keepNext/>
        <w:rPr>
          <w:rtl/>
          <w:lang w:eastAsia="he-IL"/>
        </w:rPr>
      </w:pPr>
      <w:bookmarkStart w:id="83183" w:name="_ETM_Q171_628000"/>
      <w:bookmarkStart w:id="83184" w:name="_ETM_Q171_472000"/>
      <w:bookmarkStart w:id="83185" w:name="_ETM_Q171_473000"/>
      <w:bookmarkEnd w:id="83183"/>
      <w:bookmarkEnd w:id="83184"/>
      <w:bookmarkEnd w:id="83185"/>
      <w:r>
        <w:rPr>
          <w:rFonts w:hint="cs"/>
          <w:rtl/>
          <w:lang w:eastAsia="he-IL"/>
        </w:rPr>
        <w:t>הצבעה מס' 112</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65</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bookmarkStart w:id="83186" w:name="_ETM_Q171_510000"/>
      <w:bookmarkEnd w:id="83186"/>
      <w:r>
        <w:rPr>
          <w:rFonts w:hint="cs"/>
          <w:rtl/>
          <w:lang w:eastAsia="he-IL"/>
        </w:rPr>
        <w:t>הסתייגות 18411 לא נתקבלה.</w:t>
      </w:r>
    </w:p>
    <w:p w:rsidR="00BB59CD" w:rsidRDefault="00BB59CD" w:rsidP="00BB59CD">
      <w:pPr>
        <w:rPr>
          <w:rtl/>
          <w:lang w:eastAsia="he-IL"/>
        </w:rPr>
      </w:pPr>
      <w:bookmarkStart w:id="83187" w:name="_ETM_Q171_516000"/>
      <w:bookmarkEnd w:id="83187"/>
    </w:p>
    <w:p w:rsidR="00BB59CD" w:rsidRDefault="00BB59CD" w:rsidP="00BB59CD">
      <w:pPr>
        <w:pStyle w:val="af8"/>
        <w:keepNext/>
        <w:rPr>
          <w:rtl/>
        </w:rPr>
      </w:pPr>
      <w:bookmarkStart w:id="83188" w:name="ET_interruption_5787_14"/>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bookmarkEnd w:id="83188"/>
    </w:p>
    <w:p w:rsidR="00BB59CD" w:rsidRDefault="00BB59CD" w:rsidP="00337201">
      <w:pPr>
        <w:rPr>
          <w:rtl/>
          <w:lang w:eastAsia="he-IL"/>
        </w:rPr>
      </w:pPr>
    </w:p>
    <w:p w:rsidR="00BB59CD" w:rsidRDefault="00BB59CD" w:rsidP="00BB59CD">
      <w:pPr>
        <w:rPr>
          <w:rtl/>
          <w:lang w:eastAsia="he-IL"/>
        </w:rPr>
      </w:pPr>
      <w:bookmarkStart w:id="83189" w:name="_ETM_Q171_623000"/>
      <w:bookmarkEnd w:id="83189"/>
      <w:r>
        <w:rPr>
          <w:rFonts w:hint="cs"/>
          <w:rtl/>
          <w:lang w:eastAsia="he-IL"/>
        </w:rPr>
        <w:t xml:space="preserve">עצרו את החקיקה המסוכנת הזאת.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55 בעד, 65 </w:t>
      </w:r>
      <w:bookmarkStart w:id="83190" w:name="_ETM_Q171_631000"/>
      <w:bookmarkEnd w:id="83190"/>
      <w:r>
        <w:rPr>
          <w:rFonts w:hint="cs"/>
          <w:rtl/>
          <w:lang w:eastAsia="he-IL"/>
        </w:rPr>
        <w:t xml:space="preserve">נגד. אני קובע כי ההסתייגות לא התקבלה. </w:t>
      </w:r>
    </w:p>
    <w:p w:rsidR="00BB59CD" w:rsidRDefault="00BB59CD" w:rsidP="00BB59CD">
      <w:pPr>
        <w:rPr>
          <w:rtl/>
          <w:lang w:eastAsia="he-IL"/>
        </w:rPr>
      </w:pPr>
      <w:bookmarkStart w:id="83191" w:name="_ETM_Q171_640000"/>
      <w:bookmarkEnd w:id="83191"/>
    </w:p>
    <w:p w:rsidR="00BB59CD" w:rsidRDefault="00BB59CD" w:rsidP="00BB59CD">
      <w:pPr>
        <w:rPr>
          <w:rtl/>
          <w:lang w:eastAsia="he-IL"/>
        </w:rPr>
      </w:pPr>
      <w:r>
        <w:rPr>
          <w:rFonts w:hint="cs"/>
          <w:rtl/>
          <w:lang w:eastAsia="he-IL"/>
        </w:rPr>
        <w:t xml:space="preserve">כעת נצביע על </w:t>
      </w:r>
      <w:bookmarkStart w:id="83192" w:name="_ETM_Q171_639000"/>
      <w:bookmarkEnd w:id="83192"/>
      <w:r>
        <w:rPr>
          <w:rFonts w:hint="cs"/>
          <w:rtl/>
          <w:lang w:eastAsia="he-IL"/>
        </w:rPr>
        <w:t>הסתייגות</w:t>
      </w:r>
      <w:bookmarkStart w:id="83193" w:name="_ETM_Q171_644000"/>
      <w:bookmarkEnd w:id="83193"/>
      <w:r>
        <w:rPr>
          <w:rFonts w:hint="cs"/>
          <w:rtl/>
          <w:lang w:eastAsia="he-IL"/>
        </w:rPr>
        <w:t xml:space="preserve"> 18420. הצבעה כעת. </w:t>
      </w:r>
    </w:p>
    <w:p w:rsidR="00BB59CD" w:rsidRDefault="00BB59CD" w:rsidP="00BB59CD">
      <w:pPr>
        <w:rPr>
          <w:rtl/>
          <w:lang w:eastAsia="he-IL"/>
        </w:rPr>
      </w:pPr>
    </w:p>
    <w:p w:rsidR="00BB59CD" w:rsidRDefault="00BB59CD" w:rsidP="00BB59CD">
      <w:pPr>
        <w:pStyle w:val="af4"/>
        <w:keepNext/>
        <w:rPr>
          <w:rtl/>
          <w:lang w:eastAsia="he-IL"/>
        </w:rPr>
      </w:pPr>
      <w:bookmarkStart w:id="83194" w:name="_ETM_Q171_657000"/>
      <w:bookmarkEnd w:id="83194"/>
      <w:r>
        <w:rPr>
          <w:rFonts w:hint="cs"/>
          <w:rtl/>
          <w:lang w:eastAsia="he-IL"/>
        </w:rPr>
        <w:t>הצבעה מס' 113</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56</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18420 לא נתקבלה.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195" w:name="_ETM_Q171_661000"/>
      <w:bookmarkEnd w:id="83195"/>
      <w:r>
        <w:rPr>
          <w:rFonts w:hint="cs"/>
          <w:rtl/>
          <w:lang w:eastAsia="he-IL"/>
        </w:rPr>
        <w:t>56 בעד, 64 נגד. ההסתייגות לא התקבלה.</w:t>
      </w:r>
    </w:p>
    <w:p w:rsidR="00BB59CD" w:rsidRDefault="00BB59CD" w:rsidP="00BB59CD">
      <w:pPr>
        <w:rPr>
          <w:rtl/>
          <w:lang w:eastAsia="he-IL"/>
        </w:rPr>
      </w:pPr>
    </w:p>
    <w:p w:rsidR="00BB59CD" w:rsidRDefault="00BB59CD" w:rsidP="00BB59CD">
      <w:pPr>
        <w:rPr>
          <w:rtl/>
          <w:lang w:eastAsia="he-IL"/>
        </w:rPr>
      </w:pPr>
      <w:bookmarkStart w:id="83196" w:name="_ETM_Q171_663000"/>
      <w:bookmarkEnd w:id="83196"/>
      <w:r>
        <w:rPr>
          <w:rFonts w:hint="cs"/>
          <w:rtl/>
          <w:lang w:eastAsia="he-IL"/>
        </w:rPr>
        <w:t>כעת נצביע על הסתייגות</w:t>
      </w:r>
      <w:bookmarkStart w:id="83197" w:name="_ETM_Q171_667000"/>
      <w:bookmarkEnd w:id="83197"/>
      <w:r>
        <w:rPr>
          <w:rFonts w:hint="cs"/>
          <w:rtl/>
          <w:lang w:eastAsia="he-IL"/>
        </w:rPr>
        <w:t xml:space="preserve"> 18423. הצבעה. </w:t>
      </w:r>
    </w:p>
    <w:p w:rsidR="00BB59CD" w:rsidRDefault="00BB59CD" w:rsidP="00BB59CD">
      <w:pPr>
        <w:rPr>
          <w:rtl/>
          <w:lang w:eastAsia="he-IL"/>
        </w:rPr>
      </w:pPr>
      <w:bookmarkStart w:id="83198" w:name="_ETM_Q171_668000"/>
      <w:bookmarkEnd w:id="83198"/>
    </w:p>
    <w:p w:rsidR="00BB59CD" w:rsidRDefault="00BB59CD" w:rsidP="00BB59CD">
      <w:pPr>
        <w:pStyle w:val="af4"/>
        <w:keepNext/>
        <w:rPr>
          <w:rtl/>
          <w:lang w:eastAsia="he-IL"/>
        </w:rPr>
      </w:pPr>
      <w:bookmarkStart w:id="83199" w:name="_ETM_Q171_674000"/>
      <w:bookmarkEnd w:id="83199"/>
      <w:r>
        <w:rPr>
          <w:rFonts w:hint="cs"/>
          <w:rtl/>
          <w:lang w:eastAsia="he-IL"/>
        </w:rPr>
        <w:t>הצבעה מס' 114</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18423 לא נתקבלה.</w:t>
      </w:r>
    </w:p>
    <w:p w:rsidR="00BB59CD" w:rsidRDefault="00BB59CD" w:rsidP="00BB59CD">
      <w:pPr>
        <w:rPr>
          <w:rtl/>
          <w:lang w:eastAsia="he-IL"/>
        </w:rPr>
      </w:pPr>
    </w:p>
    <w:p w:rsidR="00BB59CD" w:rsidRDefault="00BB59CD" w:rsidP="00BB59CD">
      <w:pPr>
        <w:pStyle w:val="af8"/>
        <w:keepNext/>
        <w:rPr>
          <w:rtl/>
        </w:rPr>
      </w:pPr>
      <w:bookmarkStart w:id="83200" w:name="ET_interruption_5084_22"/>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bookmarkEnd w:id="83200"/>
    </w:p>
    <w:p w:rsidR="00BB59CD" w:rsidRDefault="00BB59CD" w:rsidP="00337201">
      <w:pPr>
        <w:rPr>
          <w:rtl/>
          <w:lang w:eastAsia="he-IL"/>
        </w:rPr>
      </w:pPr>
    </w:p>
    <w:p w:rsidR="00BB59CD" w:rsidRDefault="00BB59CD" w:rsidP="00BB59CD">
      <w:pPr>
        <w:rPr>
          <w:rtl/>
          <w:lang w:eastAsia="he-IL"/>
        </w:rPr>
      </w:pPr>
      <w:r>
        <w:rPr>
          <w:rFonts w:hint="cs"/>
          <w:rtl/>
          <w:lang w:eastAsia="he-IL"/>
        </w:rPr>
        <w:t>בושה, ממשלת החורבן.</w:t>
      </w:r>
    </w:p>
    <w:p w:rsidR="00BB59CD" w:rsidRDefault="00BB59CD" w:rsidP="00BB59CD">
      <w:pPr>
        <w:rPr>
          <w:rtl/>
          <w:lang w:eastAsia="he-IL"/>
        </w:rPr>
      </w:pPr>
      <w:bookmarkStart w:id="83201" w:name="_ETM_Q171_672000"/>
      <w:bookmarkEnd w:id="83201"/>
    </w:p>
    <w:p w:rsidR="00BB59CD" w:rsidRDefault="00BB59CD" w:rsidP="00BB59CD">
      <w:pPr>
        <w:pStyle w:val="af8"/>
        <w:keepNext/>
        <w:rPr>
          <w:rtl/>
        </w:rPr>
      </w:pPr>
      <w:bookmarkStart w:id="83202" w:name="ET_interruption_5787_23"/>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3202"/>
    </w:p>
    <w:p w:rsidR="00BB59CD" w:rsidRDefault="00BB59CD" w:rsidP="00337201">
      <w:pPr>
        <w:rPr>
          <w:rtl/>
          <w:lang w:eastAsia="he-IL"/>
        </w:rPr>
      </w:pPr>
    </w:p>
    <w:p w:rsidR="00BB59CD" w:rsidRDefault="00BB59CD" w:rsidP="00BB59CD">
      <w:pPr>
        <w:rPr>
          <w:rtl/>
          <w:lang w:eastAsia="he-IL"/>
        </w:rPr>
      </w:pPr>
      <w:bookmarkStart w:id="83203" w:name="_ETM_Q171_676000"/>
      <w:bookmarkEnd w:id="83203"/>
      <w:r>
        <w:rPr>
          <w:rFonts w:hint="cs"/>
          <w:rtl/>
          <w:lang w:eastAsia="he-IL"/>
        </w:rPr>
        <w:t>ממשלת החורבן. אנשי הליכוד,</w:t>
      </w:r>
      <w:bookmarkStart w:id="83204" w:name="_ETM_Q171_678000"/>
      <w:bookmarkEnd w:id="83204"/>
      <w:r>
        <w:rPr>
          <w:rFonts w:hint="cs"/>
          <w:rtl/>
          <w:lang w:eastAsia="he-IL"/>
        </w:rPr>
        <w:t xml:space="preserve"> גלו אחריות.</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55 בעד, 63 נגד. ההסתייגות לא התקבלה. </w:t>
      </w:r>
    </w:p>
    <w:p w:rsidR="00BB59CD" w:rsidRDefault="00BB59CD" w:rsidP="00BB59CD">
      <w:pPr>
        <w:rPr>
          <w:rtl/>
          <w:lang w:eastAsia="he-IL"/>
        </w:rPr>
      </w:pPr>
      <w:bookmarkStart w:id="83205" w:name="_ETM_Q171_684000"/>
      <w:bookmarkEnd w:id="83205"/>
    </w:p>
    <w:p w:rsidR="00BB59CD" w:rsidRDefault="00BB59CD" w:rsidP="00BB59CD">
      <w:pPr>
        <w:rPr>
          <w:rtl/>
          <w:lang w:eastAsia="he-IL"/>
        </w:rPr>
      </w:pPr>
      <w:bookmarkStart w:id="83206" w:name="_ETM_Q171_685000"/>
      <w:bookmarkEnd w:id="83206"/>
      <w:r>
        <w:rPr>
          <w:rFonts w:hint="cs"/>
          <w:rtl/>
          <w:lang w:eastAsia="he-IL"/>
        </w:rPr>
        <w:t xml:space="preserve">נצביע כעת </w:t>
      </w:r>
      <w:bookmarkStart w:id="83207" w:name="_ETM_Q171_687000"/>
      <w:bookmarkEnd w:id="83207"/>
      <w:r>
        <w:rPr>
          <w:rFonts w:hint="cs"/>
          <w:rtl/>
          <w:lang w:eastAsia="he-IL"/>
        </w:rPr>
        <w:t>על הסתייגות</w:t>
      </w:r>
      <w:bookmarkStart w:id="83208" w:name="_ETM_Q171_692000"/>
      <w:bookmarkEnd w:id="83208"/>
      <w:r>
        <w:rPr>
          <w:rFonts w:hint="cs"/>
          <w:rtl/>
          <w:lang w:eastAsia="he-IL"/>
        </w:rPr>
        <w:t xml:space="preserve"> 18428. הצבעה.</w:t>
      </w:r>
    </w:p>
    <w:p w:rsidR="00BB59CD" w:rsidRDefault="00BB59CD" w:rsidP="00BB59CD">
      <w:pPr>
        <w:rPr>
          <w:rtl/>
          <w:lang w:eastAsia="he-IL"/>
        </w:rPr>
      </w:pPr>
      <w:bookmarkStart w:id="83209" w:name="_ETM_Q171_701906"/>
      <w:bookmarkStart w:id="83210" w:name="_ETM_Q171_702014"/>
      <w:bookmarkEnd w:id="83209"/>
      <w:bookmarkEnd w:id="83210"/>
    </w:p>
    <w:p w:rsidR="00BB59CD" w:rsidRDefault="00BB59CD" w:rsidP="00BB59CD">
      <w:pPr>
        <w:pStyle w:val="af4"/>
        <w:keepNext/>
        <w:rPr>
          <w:rtl/>
          <w:lang w:eastAsia="he-IL"/>
        </w:rPr>
      </w:pPr>
      <w:bookmarkStart w:id="83211" w:name="_ETM_Q171_702063"/>
      <w:bookmarkStart w:id="83212" w:name="_ETM_Q171_702140"/>
      <w:bookmarkStart w:id="83213" w:name="_ETM_Q171_699000"/>
      <w:bookmarkEnd w:id="83211"/>
      <w:bookmarkEnd w:id="83212"/>
      <w:bookmarkEnd w:id="83213"/>
      <w:r>
        <w:rPr>
          <w:rFonts w:hint="cs"/>
          <w:rtl/>
          <w:lang w:eastAsia="he-IL"/>
        </w:rPr>
        <w:t>הצבעה מס' 115</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18428 לא נתקבלה.</w:t>
      </w:r>
    </w:p>
    <w:p w:rsidR="00BB59CD" w:rsidRDefault="00BB59CD" w:rsidP="00BB59CD">
      <w:pPr>
        <w:keepNext/>
        <w:rPr>
          <w:rtl/>
        </w:rPr>
      </w:pPr>
      <w:bookmarkStart w:id="83214" w:name="ET_interruption_קר_אה_34"/>
    </w:p>
    <w:p w:rsidR="00BB59CD" w:rsidRDefault="00BB59CD" w:rsidP="00BB59CD">
      <w:pPr>
        <w:pStyle w:val="af8"/>
        <w:keepNext/>
        <w:rPr>
          <w:rtl/>
        </w:rPr>
      </w:pPr>
      <w:bookmarkStart w:id="83215" w:name="_ETM_Q171_700000"/>
      <w:bookmarkStart w:id="83216" w:name="ET_interruption_5084_27"/>
      <w:bookmarkEnd w:id="83214"/>
      <w:bookmarkEnd w:id="83215"/>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83216"/>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על הידיים שלכם חורבן הבית. על הידיים </w:t>
      </w:r>
      <w:bookmarkStart w:id="83217" w:name="_ETM_Q171_705000"/>
      <w:bookmarkEnd w:id="83217"/>
      <w:r>
        <w:rPr>
          <w:rFonts w:hint="cs"/>
          <w:rtl/>
          <w:lang w:eastAsia="he-IL"/>
        </w:rPr>
        <w:t>שלכם.</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218" w:name="_ETM_Q171_704000"/>
      <w:bookmarkEnd w:id="83218"/>
      <w:r>
        <w:rPr>
          <w:rFonts w:hint="cs"/>
          <w:rtl/>
          <w:lang w:eastAsia="he-IL"/>
        </w:rPr>
        <w:t>53 בעד, 63 נגד, נוכח אחד. ההסתייגות לא התקבלה.</w:t>
      </w:r>
    </w:p>
    <w:p w:rsidR="00BB59CD" w:rsidRDefault="00BB59CD" w:rsidP="00BB59CD">
      <w:pPr>
        <w:rPr>
          <w:rtl/>
          <w:lang w:eastAsia="he-IL"/>
        </w:rPr>
      </w:pPr>
    </w:p>
    <w:p w:rsidR="00BB59CD" w:rsidRDefault="00BB59CD" w:rsidP="00BB59CD">
      <w:pPr>
        <w:rPr>
          <w:rtl/>
          <w:lang w:eastAsia="he-IL"/>
        </w:rPr>
      </w:pPr>
      <w:bookmarkStart w:id="83219" w:name="_ETM_Q171_711000"/>
      <w:bookmarkEnd w:id="83219"/>
      <w:r>
        <w:rPr>
          <w:rFonts w:hint="cs"/>
          <w:rtl/>
          <w:lang w:eastAsia="he-IL"/>
        </w:rPr>
        <w:t xml:space="preserve">כעת נצביע על הסתייגות שמספרה </w:t>
      </w:r>
      <w:bookmarkStart w:id="83220" w:name="_ETM_Q171_713000"/>
      <w:bookmarkEnd w:id="83220"/>
      <w:r>
        <w:rPr>
          <w:rFonts w:hint="cs"/>
          <w:rtl/>
          <w:lang w:eastAsia="he-IL"/>
        </w:rPr>
        <w:t>18436. הצבעה כעת.</w:t>
      </w:r>
    </w:p>
    <w:p w:rsidR="00BB59CD" w:rsidRDefault="00BB59CD" w:rsidP="00BB59CD">
      <w:pPr>
        <w:rPr>
          <w:rtl/>
          <w:lang w:eastAsia="he-IL"/>
        </w:rPr>
      </w:pPr>
      <w:bookmarkStart w:id="83221" w:name="_ETM_Q171_719000"/>
      <w:bookmarkEnd w:id="83221"/>
    </w:p>
    <w:p w:rsidR="00BB59CD" w:rsidRDefault="00BB59CD" w:rsidP="00BB59CD">
      <w:pPr>
        <w:pStyle w:val="af4"/>
        <w:keepNext/>
        <w:rPr>
          <w:rtl/>
          <w:lang w:eastAsia="he-IL"/>
        </w:rPr>
      </w:pPr>
      <w:bookmarkStart w:id="83222" w:name="_ETM_Q171_722000"/>
      <w:bookmarkStart w:id="83223" w:name="_ETM_Q171_718000"/>
      <w:bookmarkEnd w:id="83222"/>
      <w:bookmarkEnd w:id="83223"/>
      <w:r>
        <w:rPr>
          <w:rFonts w:hint="cs"/>
          <w:rtl/>
          <w:lang w:eastAsia="he-IL"/>
        </w:rPr>
        <w:t>הצבעה מס' 116</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18436 לא נתקבלה.</w:t>
      </w:r>
    </w:p>
    <w:p w:rsidR="00BB59CD" w:rsidRDefault="00BB59CD" w:rsidP="00BB59CD">
      <w:pPr>
        <w:rPr>
          <w:rtl/>
          <w:lang w:eastAsia="he-IL"/>
        </w:rPr>
      </w:pPr>
      <w:bookmarkStart w:id="83224" w:name="_ETM_Q171_730000"/>
      <w:bookmarkEnd w:id="83224"/>
    </w:p>
    <w:p w:rsidR="00BB59CD" w:rsidRDefault="00BB59CD" w:rsidP="00BB59CD">
      <w:pPr>
        <w:pStyle w:val="af8"/>
        <w:keepNext/>
        <w:rPr>
          <w:rtl/>
        </w:rPr>
      </w:pPr>
      <w:bookmarkStart w:id="83225" w:name="ET_interruption_5787_31"/>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bookmarkEnd w:id="8322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תגלו אחריות. תצילו את העם הזה. </w:t>
      </w:r>
      <w:bookmarkStart w:id="83226" w:name="_ETM_Q171_721000"/>
      <w:bookmarkEnd w:id="83226"/>
      <w:r>
        <w:rPr>
          <w:rFonts w:hint="cs"/>
          <w:rtl/>
          <w:lang w:eastAsia="he-IL"/>
        </w:rPr>
        <w:t>אל תצביעו נגד. ממשלת החורבן.</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227" w:name="_ETM_Q171_731000"/>
      <w:bookmarkEnd w:id="83227"/>
      <w:r>
        <w:rPr>
          <w:rFonts w:hint="cs"/>
          <w:rtl/>
          <w:lang w:eastAsia="he-IL"/>
        </w:rPr>
        <w:t xml:space="preserve">53 בעד, 64 נגד. ההסתייגות לא </w:t>
      </w:r>
      <w:bookmarkStart w:id="83228" w:name="_ETM_Q171_734000"/>
      <w:bookmarkEnd w:id="83228"/>
      <w:r>
        <w:rPr>
          <w:rFonts w:hint="cs"/>
          <w:rtl/>
          <w:lang w:eastAsia="he-IL"/>
        </w:rPr>
        <w:t xml:space="preserve">התקבלה. </w:t>
      </w:r>
    </w:p>
    <w:p w:rsidR="00BB59CD" w:rsidRDefault="00BB59CD" w:rsidP="00BB59CD">
      <w:pPr>
        <w:rPr>
          <w:rtl/>
          <w:lang w:eastAsia="he-IL"/>
        </w:rPr>
      </w:pPr>
    </w:p>
    <w:p w:rsidR="00BB59CD" w:rsidRDefault="00BB59CD" w:rsidP="00BB59CD">
      <w:pPr>
        <w:rPr>
          <w:rtl/>
          <w:lang w:eastAsia="he-IL"/>
        </w:rPr>
      </w:pPr>
      <w:r>
        <w:rPr>
          <w:rFonts w:hint="cs"/>
          <w:rtl/>
          <w:lang w:eastAsia="he-IL"/>
        </w:rPr>
        <w:t>וכעת נצביע על הסתייגות שמספרה</w:t>
      </w:r>
      <w:bookmarkStart w:id="83229" w:name="_ETM_Q171_738000"/>
      <w:bookmarkEnd w:id="83229"/>
      <w:r>
        <w:rPr>
          <w:rFonts w:hint="cs"/>
          <w:rtl/>
          <w:lang w:eastAsia="he-IL"/>
        </w:rPr>
        <w:t xml:space="preserve"> </w:t>
      </w:r>
      <w:bookmarkStart w:id="83230" w:name="_ETM_Q171_741713"/>
      <w:bookmarkEnd w:id="83230"/>
      <w:r>
        <w:rPr>
          <w:rFonts w:hint="cs"/>
          <w:rtl/>
          <w:lang w:eastAsia="he-IL"/>
        </w:rPr>
        <w:t>18443. הצבעה כעת.</w:t>
      </w:r>
    </w:p>
    <w:p w:rsidR="00BB59CD" w:rsidRDefault="00BB59CD" w:rsidP="00BB59CD">
      <w:pPr>
        <w:rPr>
          <w:rtl/>
          <w:lang w:eastAsia="he-IL"/>
        </w:rPr>
      </w:pPr>
    </w:p>
    <w:p w:rsidR="00BB59CD" w:rsidRDefault="00BB59CD" w:rsidP="00BB59CD">
      <w:pPr>
        <w:pStyle w:val="af4"/>
        <w:keepNext/>
        <w:rPr>
          <w:rtl/>
          <w:lang w:eastAsia="he-IL"/>
        </w:rPr>
      </w:pPr>
      <w:bookmarkStart w:id="83231" w:name="_ETM_Q171_752000"/>
      <w:bookmarkStart w:id="83232" w:name="_ETM_Q171_742000"/>
      <w:bookmarkEnd w:id="83231"/>
      <w:bookmarkEnd w:id="83232"/>
      <w:r>
        <w:rPr>
          <w:rFonts w:hint="cs"/>
          <w:rtl/>
          <w:lang w:eastAsia="he-IL"/>
        </w:rPr>
        <w:t>הצבעה מס' 117</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18443 לא נתקבלה.</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כולם בעד </w:t>
      </w:r>
      <w:bookmarkStart w:id="83233" w:name="_ETM_Q171_747000"/>
      <w:bookmarkEnd w:id="83233"/>
      <w:r>
        <w:rPr>
          <w:rFonts w:hint="cs"/>
          <w:rtl/>
          <w:lang w:eastAsia="he-IL"/>
        </w:rPr>
        <w:t>– בעד מדינת ישראל. נגד ממשלת החורבן.</w:t>
      </w:r>
    </w:p>
    <w:p w:rsidR="00BB59CD" w:rsidRDefault="00BB59CD" w:rsidP="00BB59CD">
      <w:pPr>
        <w:rPr>
          <w:rtl/>
          <w:lang w:eastAsia="he-IL"/>
        </w:rPr>
      </w:pPr>
      <w:bookmarkStart w:id="83234" w:name="_ETM_Q171_750000"/>
      <w:bookmarkEnd w:id="83234"/>
    </w:p>
    <w:p w:rsidR="00BB59CD" w:rsidRDefault="00BB59CD" w:rsidP="00BB59CD">
      <w:pPr>
        <w:pStyle w:val="af8"/>
        <w:keepNext/>
        <w:rPr>
          <w:rtl/>
        </w:rPr>
      </w:pPr>
      <w:bookmarkStart w:id="83235" w:name="ET_interruption_5084_37"/>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83235"/>
    </w:p>
    <w:p w:rsidR="00BB59CD" w:rsidRDefault="00BB59CD" w:rsidP="00337201">
      <w:pPr>
        <w:rPr>
          <w:rtl/>
          <w:lang w:eastAsia="he-IL"/>
        </w:rPr>
      </w:pPr>
    </w:p>
    <w:p w:rsidR="00BB59CD" w:rsidRDefault="00BB59CD" w:rsidP="00BB59CD">
      <w:pPr>
        <w:rPr>
          <w:rtl/>
          <w:lang w:eastAsia="he-IL"/>
        </w:rPr>
      </w:pPr>
      <w:r>
        <w:rPr>
          <w:rFonts w:hint="cs"/>
          <w:rtl/>
          <w:lang w:eastAsia="he-IL"/>
        </w:rPr>
        <w:t>ממשלת החורבן.</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55 בעד, 64 נגד. ההסתייגות לא התקבלה. </w:t>
      </w:r>
    </w:p>
    <w:p w:rsidR="00BB59CD" w:rsidRDefault="00BB59CD" w:rsidP="00BB59CD">
      <w:pPr>
        <w:rPr>
          <w:rtl/>
          <w:lang w:eastAsia="he-IL"/>
        </w:rPr>
      </w:pPr>
      <w:bookmarkStart w:id="83236" w:name="_ETM_Q171_757000"/>
      <w:bookmarkEnd w:id="83236"/>
    </w:p>
    <w:p w:rsidR="00BB59CD" w:rsidRDefault="00BB59CD" w:rsidP="00BB59CD">
      <w:pPr>
        <w:rPr>
          <w:rtl/>
          <w:lang w:eastAsia="he-IL"/>
        </w:rPr>
      </w:pPr>
      <w:bookmarkStart w:id="83237" w:name="TOR_Q172"/>
      <w:bookmarkStart w:id="83238" w:name="_ETM_Q172_153000"/>
      <w:bookmarkStart w:id="83239" w:name="_ETM_Q172_151000"/>
      <w:bookmarkEnd w:id="83237"/>
      <w:bookmarkEnd w:id="83238"/>
      <w:bookmarkEnd w:id="83239"/>
      <w:r>
        <w:rPr>
          <w:rFonts w:hint="cs"/>
          <w:rtl/>
          <w:lang w:eastAsia="he-IL"/>
        </w:rPr>
        <w:t>וכעת נצביע על הסתייגות 18445. הצבעה כעת.</w:t>
      </w:r>
    </w:p>
    <w:p w:rsidR="00BB59CD" w:rsidRDefault="00BB59CD" w:rsidP="00BB59CD">
      <w:pPr>
        <w:rPr>
          <w:rtl/>
          <w:lang w:eastAsia="he-IL"/>
        </w:rPr>
      </w:pPr>
      <w:bookmarkStart w:id="83240" w:name="_ETM_Q172_172000"/>
      <w:bookmarkEnd w:id="83240"/>
    </w:p>
    <w:p w:rsidR="00BB59CD" w:rsidRDefault="00BB59CD" w:rsidP="00BB59CD">
      <w:pPr>
        <w:pStyle w:val="af4"/>
        <w:keepNext/>
        <w:rPr>
          <w:rtl/>
          <w:lang w:eastAsia="he-IL"/>
        </w:rPr>
      </w:pPr>
      <w:r>
        <w:rPr>
          <w:rFonts w:hint="cs"/>
          <w:rtl/>
          <w:lang w:eastAsia="he-IL"/>
        </w:rPr>
        <w:t>הצבעה מס' 118</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 xml:space="preserve">נגד – 64 </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bookmarkStart w:id="83241" w:name="_ETM_Q172_165000"/>
      <w:bookmarkEnd w:id="83241"/>
      <w:r>
        <w:rPr>
          <w:rFonts w:hint="cs"/>
          <w:rtl/>
          <w:lang w:eastAsia="he-IL"/>
        </w:rPr>
        <w:t>ההסתייגות 18845 לא נתקבלה.</w:t>
      </w:r>
    </w:p>
    <w:p w:rsidR="00BB59CD" w:rsidRDefault="00BB59CD" w:rsidP="00BB59CD">
      <w:pPr>
        <w:rPr>
          <w:rtl/>
          <w:lang w:eastAsia="he-IL"/>
        </w:rPr>
      </w:pPr>
    </w:p>
    <w:p w:rsidR="00BB59CD" w:rsidRDefault="00BB59CD" w:rsidP="00BB59CD">
      <w:pPr>
        <w:pStyle w:val="af8"/>
        <w:keepNext/>
        <w:rPr>
          <w:rtl/>
        </w:rPr>
      </w:pPr>
      <w:bookmarkStart w:id="83242" w:name="ET_interruption_קריאות_59"/>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83242"/>
    </w:p>
    <w:p w:rsidR="00BB59CD" w:rsidRDefault="00BB59CD" w:rsidP="00337201">
      <w:pPr>
        <w:rPr>
          <w:rtl/>
          <w:lang w:eastAsia="he-IL"/>
        </w:rPr>
      </w:pPr>
    </w:p>
    <w:p w:rsidR="00BB59CD" w:rsidRDefault="00BB59CD" w:rsidP="00BB59CD">
      <w:pPr>
        <w:rPr>
          <w:rtl/>
          <w:lang w:eastAsia="he-IL"/>
        </w:rPr>
      </w:pPr>
      <w:bookmarkStart w:id="83243" w:name="_ETM_Q172_179000"/>
      <w:bookmarkEnd w:id="83243"/>
      <w:r>
        <w:rPr>
          <w:rFonts w:hint="cs"/>
          <w:rtl/>
          <w:lang w:eastAsia="he-IL"/>
        </w:rPr>
        <w:t>- - -</w:t>
      </w:r>
    </w:p>
    <w:p w:rsidR="00E36C96" w:rsidRDefault="00E36C96" w:rsidP="00BB59CD">
      <w:pPr>
        <w:rPr>
          <w:rStyle w:val="TagStyle"/>
          <w:rtl/>
          <w:specVanish/>
        </w:rPr>
      </w:pPr>
    </w:p>
    <w:p w:rsidR="00BB59CD" w:rsidRDefault="00BB59CD" w:rsidP="00BB59CD">
      <w:pPr>
        <w:keepNext/>
        <w:rPr>
          <w:rtl/>
        </w:rPr>
      </w:pPr>
      <w:bookmarkStart w:id="83244" w:name="_ETM_Q172_175000"/>
      <w:bookmarkEnd w:id="83244"/>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53 בעד, </w:t>
      </w:r>
      <w:bookmarkStart w:id="83245" w:name="_ETM_Q172_177000"/>
      <w:bookmarkEnd w:id="83245"/>
      <w:r>
        <w:rPr>
          <w:rFonts w:hint="cs"/>
          <w:rtl/>
          <w:lang w:eastAsia="he-IL"/>
        </w:rPr>
        <w:t>64 נגד. ההסתייגות לא התקבלה.</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וכעת נצביע על הסתייגות שמספרה </w:t>
      </w:r>
      <w:bookmarkStart w:id="83246" w:name="_ETM_Q172_184000"/>
      <w:bookmarkStart w:id="83247" w:name="_ETM_Q172_189000"/>
      <w:bookmarkEnd w:id="83246"/>
      <w:bookmarkEnd w:id="83247"/>
      <w:r>
        <w:rPr>
          <w:rFonts w:hint="cs"/>
          <w:rtl/>
          <w:lang w:eastAsia="he-IL"/>
        </w:rPr>
        <w:t>18452. הצבעה כעת.</w:t>
      </w:r>
    </w:p>
    <w:p w:rsidR="00BB59CD" w:rsidRDefault="00BB59CD" w:rsidP="00BB59CD">
      <w:pPr>
        <w:keepNext/>
        <w:rPr>
          <w:rtl/>
          <w:lang w:eastAsia="he-IL"/>
        </w:rPr>
      </w:pPr>
      <w:bookmarkStart w:id="83248" w:name="_ETM_Q172_195000"/>
      <w:bookmarkEnd w:id="83248"/>
    </w:p>
    <w:p w:rsidR="00BB59CD" w:rsidRDefault="00BB59CD" w:rsidP="00BB59CD">
      <w:pPr>
        <w:pStyle w:val="af4"/>
        <w:keepNext/>
        <w:rPr>
          <w:rtl/>
          <w:lang w:eastAsia="he-IL"/>
        </w:rPr>
      </w:pPr>
      <w:bookmarkStart w:id="83249" w:name="_ETM_Q172_196000"/>
      <w:bookmarkEnd w:id="83249"/>
      <w:r>
        <w:rPr>
          <w:rFonts w:hint="cs"/>
          <w:rtl/>
          <w:lang w:eastAsia="he-IL"/>
        </w:rPr>
        <w:t>הצבעה מס' 119</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52</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18452 לא נתקבלה.</w:t>
      </w:r>
    </w:p>
    <w:p w:rsidR="00BB59CD" w:rsidRDefault="00BB59CD" w:rsidP="00BB59CD">
      <w:pPr>
        <w:keepNext/>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250" w:name="_ETM_Q172_204000"/>
      <w:bookmarkEnd w:id="83250"/>
      <w:r>
        <w:rPr>
          <w:rFonts w:hint="cs"/>
          <w:rtl/>
        </w:rPr>
        <w:t xml:space="preserve">52 </w:t>
      </w:r>
      <w:bookmarkStart w:id="83251" w:name="_ETM_Q172_207000"/>
      <w:bookmarkEnd w:id="83251"/>
      <w:r>
        <w:rPr>
          <w:rFonts w:hint="cs"/>
          <w:rtl/>
        </w:rPr>
        <w:t>בעד, 64 נגד. ההסתייגות לא התקבלה.</w:t>
      </w:r>
    </w:p>
    <w:p w:rsidR="00BB59CD" w:rsidRDefault="00BB59CD" w:rsidP="00BB59CD">
      <w:pPr>
        <w:rPr>
          <w:rtl/>
        </w:rPr>
      </w:pPr>
    </w:p>
    <w:p w:rsidR="00BB59CD" w:rsidRDefault="00BB59CD" w:rsidP="00BB59CD">
      <w:pPr>
        <w:rPr>
          <w:rtl/>
        </w:rPr>
      </w:pPr>
      <w:r>
        <w:rPr>
          <w:rFonts w:hint="cs"/>
          <w:rtl/>
        </w:rPr>
        <w:t xml:space="preserve">נצביע כעת על הסתייגות שמספרה </w:t>
      </w:r>
      <w:bookmarkStart w:id="83252" w:name="_ETM_Q172_217000"/>
      <w:bookmarkEnd w:id="83252"/>
      <w:r>
        <w:rPr>
          <w:rFonts w:hint="cs"/>
          <w:rtl/>
        </w:rPr>
        <w:t>18454. הצבעה כעת.</w:t>
      </w:r>
    </w:p>
    <w:p w:rsidR="00BB59CD" w:rsidRDefault="00BB59CD" w:rsidP="00BB59CD">
      <w:pPr>
        <w:rPr>
          <w:rtl/>
        </w:rPr>
      </w:pPr>
      <w:bookmarkStart w:id="83253" w:name="_ETM_Q172_221000"/>
      <w:bookmarkEnd w:id="83253"/>
    </w:p>
    <w:p w:rsidR="00BB59CD" w:rsidRDefault="00BB59CD" w:rsidP="00BB59CD">
      <w:pPr>
        <w:pStyle w:val="af4"/>
        <w:keepNext/>
        <w:rPr>
          <w:rtl/>
        </w:rPr>
      </w:pPr>
      <w:r>
        <w:rPr>
          <w:rFonts w:hint="cs"/>
          <w:rtl/>
        </w:rPr>
        <w:t>הצבעה מס' 120</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51</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18454 לא נתקבלה.</w:t>
      </w:r>
    </w:p>
    <w:p w:rsidR="00BB59CD" w:rsidRDefault="00BB59CD" w:rsidP="00BB59CD">
      <w:pPr>
        <w:keepNext/>
        <w:rPr>
          <w:rtl/>
        </w:rPr>
      </w:pPr>
    </w:p>
    <w:p w:rsidR="00BB59CD" w:rsidRDefault="00BB59CD" w:rsidP="00BB59CD">
      <w:pPr>
        <w:pStyle w:val="af9"/>
        <w:keepNext/>
        <w:rPr>
          <w:rtl/>
        </w:rPr>
      </w:pPr>
      <w:bookmarkStart w:id="83254" w:name="_ETM_Q172_234000"/>
      <w:bookmarkEnd w:id="8325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51 בעד, 63 נגד. ההסתייגות לא התקבלה.</w:t>
      </w:r>
    </w:p>
    <w:p w:rsidR="00BB59CD" w:rsidRDefault="00BB59CD" w:rsidP="00BB59CD">
      <w:pPr>
        <w:rPr>
          <w:rtl/>
          <w:lang w:eastAsia="he-IL"/>
        </w:rPr>
      </w:pPr>
      <w:bookmarkStart w:id="83255" w:name="_ETM_Q172_238000"/>
      <w:bookmarkEnd w:id="83255"/>
    </w:p>
    <w:p w:rsidR="00BB59CD" w:rsidRDefault="00BB59CD" w:rsidP="00BB59CD">
      <w:pPr>
        <w:rPr>
          <w:rtl/>
          <w:lang w:eastAsia="he-IL"/>
        </w:rPr>
      </w:pPr>
      <w:bookmarkStart w:id="83256" w:name="_ETM_Q172_265000"/>
      <w:bookmarkEnd w:id="83256"/>
      <w:r>
        <w:rPr>
          <w:rFonts w:hint="cs"/>
          <w:rtl/>
          <w:lang w:eastAsia="he-IL"/>
        </w:rPr>
        <w:t xml:space="preserve">נצביע כעת על הסתייגות </w:t>
      </w:r>
      <w:bookmarkStart w:id="83257" w:name="_ETM_Q172_237000"/>
      <w:bookmarkEnd w:id="83257"/>
      <w:r>
        <w:rPr>
          <w:rFonts w:hint="cs"/>
          <w:rtl/>
          <w:lang w:eastAsia="he-IL"/>
        </w:rPr>
        <w:t xml:space="preserve">שמספרה </w:t>
      </w:r>
      <w:bookmarkStart w:id="83258" w:name="_ETM_Q172_243000"/>
      <w:bookmarkEnd w:id="83258"/>
      <w:r>
        <w:rPr>
          <w:rFonts w:hint="cs"/>
          <w:rtl/>
          <w:lang w:eastAsia="he-IL"/>
        </w:rPr>
        <w:t>18474. הצבעה.</w:t>
      </w:r>
    </w:p>
    <w:p w:rsidR="00BB59CD" w:rsidRDefault="00BB59CD" w:rsidP="00BB59CD">
      <w:pPr>
        <w:rPr>
          <w:rtl/>
          <w:lang w:eastAsia="he-IL"/>
        </w:rPr>
      </w:pPr>
      <w:bookmarkStart w:id="83259" w:name="_ETM_Q172_250892"/>
      <w:bookmarkStart w:id="83260" w:name="_ETM_Q172_250992"/>
      <w:bookmarkEnd w:id="83259"/>
      <w:bookmarkEnd w:id="83260"/>
    </w:p>
    <w:p w:rsidR="00BB59CD" w:rsidRDefault="00BB59CD" w:rsidP="00BB59CD">
      <w:pPr>
        <w:pStyle w:val="af4"/>
        <w:keepNext/>
        <w:rPr>
          <w:rtl/>
          <w:lang w:eastAsia="he-IL"/>
        </w:rPr>
      </w:pPr>
      <w:bookmarkStart w:id="83261" w:name="_ETM_Q172_251049"/>
      <w:bookmarkStart w:id="83262" w:name="_ETM_Q172_251112"/>
      <w:bookmarkEnd w:id="83261"/>
      <w:bookmarkEnd w:id="83262"/>
      <w:r>
        <w:rPr>
          <w:rFonts w:hint="cs"/>
          <w:rtl/>
          <w:lang w:eastAsia="he-IL"/>
        </w:rPr>
        <w:t>הצבעה מס' 121</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51</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18474 לא נתקבלה.</w:t>
      </w:r>
    </w:p>
    <w:p w:rsidR="00BB59CD" w:rsidRDefault="00BB59CD" w:rsidP="00BB59CD">
      <w:pPr>
        <w:rPr>
          <w:rtl/>
          <w:lang w:eastAsia="he-IL"/>
        </w:rPr>
      </w:pPr>
      <w:bookmarkStart w:id="83263" w:name="_ETM_Q172_257000"/>
      <w:bookmarkStart w:id="83264" w:name="_ETM_Q172_256000"/>
      <w:bookmarkEnd w:id="83263"/>
      <w:bookmarkEnd w:id="83264"/>
    </w:p>
    <w:p w:rsidR="00BB59CD" w:rsidRDefault="00BB59CD" w:rsidP="00BB59CD">
      <w:pPr>
        <w:pStyle w:val="af8"/>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BB59CD" w:rsidRDefault="00BB59CD" w:rsidP="00BB59CD">
      <w:pPr>
        <w:rPr>
          <w:rtl/>
        </w:rPr>
      </w:pPr>
    </w:p>
    <w:p w:rsidR="00BB59CD" w:rsidRDefault="00BB59CD" w:rsidP="00BB59CD">
      <w:pPr>
        <w:rPr>
          <w:rtl/>
        </w:rPr>
      </w:pPr>
      <w:r>
        <w:rPr>
          <w:rFonts w:hint="cs"/>
          <w:rtl/>
        </w:rPr>
        <w:t>-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265" w:name="_ETM_Q172_255000"/>
      <w:bookmarkEnd w:id="83265"/>
      <w:r>
        <w:rPr>
          <w:rFonts w:hint="cs"/>
          <w:rtl/>
          <w:lang w:eastAsia="he-IL"/>
        </w:rPr>
        <w:t xml:space="preserve">51 בעד, 63 </w:t>
      </w:r>
      <w:bookmarkStart w:id="83266" w:name="_ETM_Q172_258000"/>
      <w:bookmarkEnd w:id="83266"/>
      <w:r>
        <w:rPr>
          <w:rFonts w:hint="cs"/>
          <w:rtl/>
          <w:lang w:eastAsia="he-IL"/>
        </w:rPr>
        <w:t>נגד. ההסתייגות לא התקבלה.</w:t>
      </w:r>
    </w:p>
    <w:p w:rsidR="00BB59CD" w:rsidRDefault="00BB59CD" w:rsidP="00BB59CD">
      <w:pPr>
        <w:rPr>
          <w:rtl/>
          <w:lang w:eastAsia="he-IL"/>
        </w:rPr>
      </w:pPr>
    </w:p>
    <w:p w:rsidR="00BB59CD" w:rsidRDefault="00BB59CD" w:rsidP="00BB59CD">
      <w:pPr>
        <w:rPr>
          <w:rtl/>
          <w:lang w:eastAsia="he-IL"/>
        </w:rPr>
      </w:pPr>
      <w:bookmarkStart w:id="83267" w:name="_ETM_Q172_261000"/>
      <w:bookmarkEnd w:id="83267"/>
      <w:r>
        <w:rPr>
          <w:rFonts w:hint="cs"/>
          <w:rtl/>
          <w:lang w:eastAsia="he-IL"/>
        </w:rPr>
        <w:t xml:space="preserve">ונצביע על הסתייגות </w:t>
      </w:r>
      <w:bookmarkStart w:id="83268" w:name="_ETM_Q172_268000"/>
      <w:bookmarkStart w:id="83269" w:name="_ETM_Q172_270000"/>
      <w:bookmarkEnd w:id="83268"/>
      <w:bookmarkEnd w:id="83269"/>
      <w:r>
        <w:rPr>
          <w:rFonts w:hint="cs"/>
          <w:rtl/>
          <w:lang w:eastAsia="he-IL"/>
        </w:rPr>
        <w:t>18479. הצבעה כעת.</w:t>
      </w:r>
    </w:p>
    <w:p w:rsidR="00BB59CD" w:rsidRDefault="00BB59CD" w:rsidP="00BB59CD">
      <w:pPr>
        <w:rPr>
          <w:rtl/>
          <w:lang w:eastAsia="he-IL"/>
        </w:rPr>
      </w:pPr>
      <w:bookmarkStart w:id="83270" w:name="_ETM_Q172_275055"/>
      <w:bookmarkStart w:id="83271" w:name="_ETM_Q172_275123"/>
      <w:bookmarkEnd w:id="83270"/>
      <w:bookmarkEnd w:id="83271"/>
    </w:p>
    <w:p w:rsidR="00BB59CD" w:rsidRDefault="00BB59CD" w:rsidP="00BB59CD">
      <w:pPr>
        <w:pStyle w:val="af4"/>
        <w:keepNext/>
        <w:rPr>
          <w:rtl/>
          <w:lang w:eastAsia="he-IL"/>
        </w:rPr>
      </w:pPr>
      <w:bookmarkStart w:id="83272" w:name="_ETM_Q172_275246"/>
      <w:bookmarkStart w:id="83273" w:name="_ETM_Q172_275348"/>
      <w:bookmarkEnd w:id="83272"/>
      <w:bookmarkEnd w:id="83273"/>
      <w:r>
        <w:rPr>
          <w:rFonts w:hint="cs"/>
          <w:rtl/>
          <w:lang w:eastAsia="he-IL"/>
        </w:rPr>
        <w:t>הצבעה מס' 122</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 55</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18479 לא נתקבלה.</w:t>
      </w:r>
    </w:p>
    <w:p w:rsidR="00BB59CD" w:rsidRDefault="00BB59CD" w:rsidP="00BB59CD">
      <w:pPr>
        <w:rPr>
          <w:rtl/>
          <w:lang w:eastAsia="he-IL"/>
        </w:rPr>
      </w:pPr>
      <w:bookmarkStart w:id="83274" w:name="_ETM_Q172_274000"/>
      <w:bookmarkStart w:id="83275" w:name="_ETM_Q172_275000"/>
      <w:bookmarkEnd w:id="83274"/>
      <w:bookmarkEnd w:id="83275"/>
    </w:p>
    <w:p w:rsidR="00BB59CD" w:rsidRDefault="00BB59CD" w:rsidP="00BB59CD">
      <w:pPr>
        <w:pStyle w:val="af8"/>
        <w:keepNext/>
        <w:rPr>
          <w:rtl/>
        </w:rPr>
      </w:pPr>
      <w:bookmarkStart w:id="83276" w:name="ET_interruption_5787_62"/>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bookmarkEnd w:id="83276"/>
    </w:p>
    <w:p w:rsidR="00BB59CD" w:rsidRDefault="00BB59CD" w:rsidP="00337201">
      <w:pPr>
        <w:rPr>
          <w:rtl/>
          <w:lang w:eastAsia="he-IL"/>
        </w:rPr>
      </w:pPr>
    </w:p>
    <w:p w:rsidR="00BB59CD" w:rsidRDefault="00BB59CD" w:rsidP="00BB59CD">
      <w:pPr>
        <w:rPr>
          <w:rtl/>
          <w:lang w:eastAsia="he-IL"/>
        </w:rPr>
      </w:pPr>
      <w:bookmarkStart w:id="83277" w:name="_ETM_Q172_272000"/>
      <w:bookmarkEnd w:id="83277"/>
      <w:r>
        <w:rPr>
          <w:rFonts w:hint="cs"/>
          <w:rtl/>
          <w:lang w:eastAsia="he-IL"/>
        </w:rPr>
        <w:t>ממשלת החורבן.</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55 בעד, 63 נגד. גם הסתייגות זו לא התקבלה.</w:t>
      </w:r>
    </w:p>
    <w:p w:rsidR="00BB59CD" w:rsidRDefault="00BB59CD" w:rsidP="00BB59CD">
      <w:pPr>
        <w:rPr>
          <w:rtl/>
          <w:lang w:eastAsia="he-IL"/>
        </w:rPr>
      </w:pPr>
    </w:p>
    <w:p w:rsidR="00BB59CD" w:rsidRDefault="00BB59CD" w:rsidP="00BB59CD">
      <w:pPr>
        <w:rPr>
          <w:rtl/>
          <w:lang w:eastAsia="he-IL"/>
        </w:rPr>
      </w:pPr>
      <w:bookmarkStart w:id="83278" w:name="_ETM_Q172_278000"/>
      <w:bookmarkEnd w:id="83278"/>
      <w:r>
        <w:rPr>
          <w:rFonts w:hint="cs"/>
          <w:rtl/>
          <w:lang w:eastAsia="he-IL"/>
        </w:rPr>
        <w:t xml:space="preserve">וכעת נצביע על הסתייגות </w:t>
      </w:r>
      <w:bookmarkStart w:id="83279" w:name="_ETM_Q172_284000"/>
      <w:bookmarkEnd w:id="83279"/>
      <w:r>
        <w:rPr>
          <w:rFonts w:hint="cs"/>
          <w:rtl/>
          <w:lang w:eastAsia="he-IL"/>
        </w:rPr>
        <w:t>18488. הצבעה כעת.</w:t>
      </w:r>
    </w:p>
    <w:p w:rsidR="00BB59CD" w:rsidRDefault="00BB59CD" w:rsidP="00BB59CD">
      <w:pPr>
        <w:rPr>
          <w:rtl/>
          <w:lang w:eastAsia="he-IL"/>
        </w:rPr>
      </w:pPr>
      <w:bookmarkStart w:id="83280" w:name="_ETM_Q172_296046"/>
      <w:bookmarkStart w:id="83281" w:name="_ETM_Q172_296156"/>
      <w:bookmarkStart w:id="83282" w:name="_ETM_Q172_296285"/>
      <w:bookmarkEnd w:id="83280"/>
      <w:bookmarkEnd w:id="83281"/>
      <w:bookmarkEnd w:id="83282"/>
    </w:p>
    <w:p w:rsidR="00BB59CD" w:rsidRDefault="00BB59CD" w:rsidP="00BB59CD">
      <w:pPr>
        <w:pStyle w:val="af4"/>
        <w:keepNext/>
        <w:rPr>
          <w:rtl/>
          <w:lang w:eastAsia="he-IL"/>
        </w:rPr>
      </w:pPr>
      <w:bookmarkStart w:id="83283" w:name="_ETM_Q172_296353"/>
      <w:bookmarkStart w:id="83284" w:name="_ETM_Q172_291000"/>
      <w:bookmarkEnd w:id="83283"/>
      <w:bookmarkEnd w:id="83284"/>
      <w:r>
        <w:rPr>
          <w:rFonts w:hint="cs"/>
          <w:rtl/>
          <w:lang w:eastAsia="he-IL"/>
        </w:rPr>
        <w:t>הצבעה מס' 123</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55</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18488 לא נתקבלה.</w:t>
      </w:r>
    </w:p>
    <w:p w:rsidR="00BB59CD" w:rsidRDefault="00BB59CD" w:rsidP="00BB59CD">
      <w:pPr>
        <w:keepNext/>
        <w:rPr>
          <w:rtl/>
        </w:rPr>
      </w:pPr>
    </w:p>
    <w:p w:rsidR="00BB59CD" w:rsidRDefault="00BB59CD" w:rsidP="00BB59CD">
      <w:pPr>
        <w:pStyle w:val="af8"/>
        <w:keepNext/>
        <w:rPr>
          <w:rtl/>
        </w:rPr>
      </w:pPr>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גלו אחריות, ממשלת החורבן. אתם - - - חורבן הבית - - -</w:t>
      </w:r>
    </w:p>
    <w:p w:rsidR="00BB59CD" w:rsidRDefault="00BB59CD" w:rsidP="00BB59CD">
      <w:pPr>
        <w:keepNext/>
        <w:rPr>
          <w:rtl/>
        </w:rPr>
      </w:pPr>
    </w:p>
    <w:p w:rsidR="00BB59CD" w:rsidRDefault="00BB59CD" w:rsidP="00BB59CD">
      <w:pPr>
        <w:pStyle w:val="af9"/>
        <w:keepNext/>
        <w:rPr>
          <w:rtl/>
        </w:rPr>
      </w:pPr>
      <w:bookmarkStart w:id="83285" w:name="_ETM_Q172_294000"/>
      <w:bookmarkStart w:id="83286" w:name="_ETM_Q172_296000"/>
      <w:bookmarkEnd w:id="83285"/>
      <w:bookmarkEnd w:id="83286"/>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55 בעד, 64 נגד. ההסתייגות לא התקבלה.</w:t>
      </w:r>
    </w:p>
    <w:p w:rsidR="00BB59CD" w:rsidRDefault="00BB59CD" w:rsidP="00BB59CD">
      <w:pPr>
        <w:rPr>
          <w:rtl/>
          <w:lang w:eastAsia="he-IL"/>
        </w:rPr>
      </w:pPr>
      <w:bookmarkStart w:id="83287" w:name="_ETM_Q172_304000"/>
      <w:bookmarkEnd w:id="83287"/>
    </w:p>
    <w:p w:rsidR="00BB59CD" w:rsidRDefault="00BB59CD" w:rsidP="00BB59CD">
      <w:pPr>
        <w:rPr>
          <w:rtl/>
          <w:lang w:eastAsia="he-IL"/>
        </w:rPr>
      </w:pPr>
      <w:r>
        <w:rPr>
          <w:rFonts w:hint="cs"/>
          <w:rtl/>
          <w:lang w:eastAsia="he-IL"/>
        </w:rPr>
        <w:t xml:space="preserve">וכעת נצביע על הסתייגות </w:t>
      </w:r>
      <w:bookmarkStart w:id="83288" w:name="_ETM_Q172_311000"/>
      <w:bookmarkEnd w:id="83288"/>
      <w:r>
        <w:rPr>
          <w:rFonts w:hint="cs"/>
          <w:rtl/>
          <w:lang w:eastAsia="he-IL"/>
        </w:rPr>
        <w:t>18495.</w:t>
      </w:r>
      <w:bookmarkStart w:id="83289" w:name="_ETM_Q172_315000"/>
      <w:bookmarkEnd w:id="83289"/>
      <w:r>
        <w:rPr>
          <w:rFonts w:hint="cs"/>
          <w:rtl/>
          <w:lang w:eastAsia="he-IL"/>
        </w:rPr>
        <w:t xml:space="preserve"> הצבעה כעת.</w:t>
      </w:r>
    </w:p>
    <w:p w:rsidR="00BB59CD" w:rsidRDefault="00BB59CD" w:rsidP="00BB59CD">
      <w:pPr>
        <w:rPr>
          <w:rtl/>
          <w:lang w:eastAsia="he-IL"/>
        </w:rPr>
      </w:pPr>
      <w:bookmarkStart w:id="83290" w:name="_ETM_Q172_329630"/>
      <w:bookmarkStart w:id="83291" w:name="_ETM_Q172_329734"/>
      <w:bookmarkEnd w:id="83290"/>
      <w:bookmarkEnd w:id="83291"/>
    </w:p>
    <w:p w:rsidR="00BB59CD" w:rsidRDefault="00BB59CD" w:rsidP="00BB59CD">
      <w:pPr>
        <w:pStyle w:val="af4"/>
        <w:keepNext/>
        <w:rPr>
          <w:rtl/>
          <w:lang w:eastAsia="he-IL"/>
        </w:rPr>
      </w:pPr>
      <w:bookmarkStart w:id="83292" w:name="_ETM_Q172_329822"/>
      <w:bookmarkStart w:id="83293" w:name="_ETM_Q172_329916"/>
      <w:bookmarkStart w:id="83294" w:name="_ETM_Q172_318000"/>
      <w:bookmarkEnd w:id="83292"/>
      <w:bookmarkEnd w:id="83293"/>
      <w:bookmarkEnd w:id="83294"/>
      <w:r>
        <w:rPr>
          <w:rFonts w:hint="cs"/>
          <w:rtl/>
          <w:lang w:eastAsia="he-IL"/>
        </w:rPr>
        <w:t>הצבעה מס' 124</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54</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18495 לא נתקבלה.</w:t>
      </w:r>
    </w:p>
    <w:p w:rsidR="00BB59CD" w:rsidRDefault="00BB59CD" w:rsidP="00BB59CD">
      <w:pPr>
        <w:rPr>
          <w:rtl/>
          <w:lang w:eastAsia="he-IL"/>
        </w:rPr>
      </w:pPr>
      <w:bookmarkStart w:id="83295" w:name="_ETM_Q172_328000"/>
      <w:bookmarkEnd w:id="83295"/>
    </w:p>
    <w:p w:rsidR="00BB59CD" w:rsidRDefault="00BB59CD" w:rsidP="00BB59CD">
      <w:pPr>
        <w:pStyle w:val="af8"/>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337201">
      <w:pPr>
        <w:rPr>
          <w:rtl/>
          <w:lang w:eastAsia="he-IL"/>
        </w:rPr>
      </w:pPr>
      <w:r>
        <w:rPr>
          <w:rFonts w:hint="cs"/>
          <w:rtl/>
          <w:lang w:eastAsia="he-IL"/>
        </w:rPr>
        <w:t>54 בעד, 63 נגד. ההסתייגות לא התקבלה.</w:t>
      </w:r>
    </w:p>
    <w:p w:rsidR="00BB59CD" w:rsidRDefault="00BB59CD" w:rsidP="00BB59CD">
      <w:pPr>
        <w:rPr>
          <w:rtl/>
          <w:lang w:eastAsia="he-IL"/>
        </w:rPr>
      </w:pPr>
      <w:bookmarkStart w:id="83296" w:name="_ETM_Q172_334000"/>
      <w:bookmarkEnd w:id="83296"/>
    </w:p>
    <w:p w:rsidR="00BB59CD" w:rsidRDefault="00BB59CD" w:rsidP="00BB59CD">
      <w:pPr>
        <w:rPr>
          <w:rtl/>
          <w:lang w:eastAsia="he-IL"/>
        </w:rPr>
      </w:pPr>
      <w:bookmarkStart w:id="83297" w:name="_ETM_Q172_335000"/>
      <w:bookmarkEnd w:id="83297"/>
      <w:r>
        <w:rPr>
          <w:rFonts w:hint="cs"/>
          <w:rtl/>
          <w:lang w:eastAsia="he-IL"/>
        </w:rPr>
        <w:t xml:space="preserve">נצביע כעת עת הסתייגות </w:t>
      </w:r>
      <w:bookmarkStart w:id="83298" w:name="_ETM_Q172_332000"/>
      <w:bookmarkEnd w:id="83298"/>
      <w:r>
        <w:rPr>
          <w:rFonts w:hint="cs"/>
          <w:rtl/>
          <w:lang w:eastAsia="he-IL"/>
        </w:rPr>
        <w:t>18496. הצבעה.</w:t>
      </w:r>
      <w:bookmarkStart w:id="83299" w:name="_ETM_Q172_344784"/>
      <w:bookmarkEnd w:id="83299"/>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125</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18496 לא נתקבלה.</w:t>
      </w:r>
    </w:p>
    <w:p w:rsidR="00BB59CD" w:rsidRDefault="00BB59CD" w:rsidP="00BB59CD">
      <w:pPr>
        <w:keepNext/>
        <w:rPr>
          <w:rtl/>
        </w:rPr>
      </w:pPr>
    </w:p>
    <w:p w:rsidR="00BB59CD" w:rsidRDefault="00BB59CD" w:rsidP="00BB59CD">
      <w:pPr>
        <w:pStyle w:val="af8"/>
        <w:keepNext/>
        <w:rPr>
          <w:rtl/>
        </w:rPr>
      </w:pPr>
      <w:bookmarkStart w:id="83300" w:name="ET_interruption_6127_40"/>
      <w:r>
        <w:rPr>
          <w:rStyle w:val="TagStyle"/>
          <w:rFonts w:hint="cs"/>
          <w:rtl/>
        </w:rPr>
        <w:t xml:space="preserve">&lt;&lt; קריאה &gt;&gt; </w:t>
      </w:r>
      <w:r>
        <w:rPr>
          <w:rFonts w:hint="cs"/>
          <w:rtl/>
        </w:rPr>
        <w:t>ולדימיר בליאק (יש עתיד):</w:t>
      </w:r>
      <w:r>
        <w:rPr>
          <w:rStyle w:val="TagStyle"/>
          <w:rtl/>
        </w:rPr>
        <w:t xml:space="preserve"> &lt;&lt; קריאה &gt;&gt;</w:t>
      </w:r>
      <w:r>
        <w:rPr>
          <w:rFonts w:hint="cs"/>
          <w:rtl/>
        </w:rPr>
        <w:t xml:space="preserve">   </w:t>
      </w:r>
      <w:bookmarkEnd w:id="83300"/>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איפה הליכוד של פעם? איפה - - - </w:t>
      </w:r>
      <w:bookmarkStart w:id="83301" w:name="_ETM_Q172_344866"/>
      <w:bookmarkEnd w:id="83301"/>
    </w:p>
    <w:p w:rsidR="00BB59CD" w:rsidRDefault="00BB59CD" w:rsidP="00BB59CD">
      <w:pPr>
        <w:rPr>
          <w:rtl/>
          <w:lang w:eastAsia="he-IL"/>
        </w:rPr>
      </w:pPr>
    </w:p>
    <w:p w:rsidR="00BB59CD" w:rsidRDefault="00BB59CD" w:rsidP="00BB59CD">
      <w:pPr>
        <w:pStyle w:val="af8"/>
        <w:keepNext/>
        <w:rPr>
          <w:rtl/>
        </w:rPr>
      </w:pPr>
      <w:bookmarkStart w:id="83302" w:name="_ETM_Q172_344945"/>
      <w:bookmarkStart w:id="83303" w:name="_ETM_Q172_345063"/>
      <w:bookmarkStart w:id="83304" w:name="ET_interruption_5787_67"/>
      <w:bookmarkEnd w:id="83302"/>
      <w:bookmarkEnd w:id="83303"/>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bookmarkEnd w:id="8330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איפה האחריות שלכם, אנשי הליכוד, לביטחון המדינה. אתם </w:t>
      </w:r>
      <w:bookmarkStart w:id="83305" w:name="_ETM_Q172_348000"/>
      <w:bookmarkEnd w:id="83305"/>
      <w:r>
        <w:rPr>
          <w:rFonts w:hint="cs"/>
          <w:rtl/>
          <w:lang w:eastAsia="he-IL"/>
        </w:rPr>
        <w:t>מפקירים את החיילים, אתם מפקירים את הביטחון. תתביישו לכם.</w:t>
      </w:r>
    </w:p>
    <w:p w:rsidR="00BB59CD" w:rsidRDefault="00BB59CD" w:rsidP="00BB59CD">
      <w:pPr>
        <w:keepNext/>
        <w:rPr>
          <w:rtl/>
        </w:rPr>
      </w:pPr>
    </w:p>
    <w:p w:rsidR="00BB59CD" w:rsidRDefault="00BB59CD" w:rsidP="00BB59CD">
      <w:pPr>
        <w:pStyle w:val="af9"/>
        <w:keepNext/>
        <w:rPr>
          <w:rtl/>
        </w:rPr>
      </w:pPr>
      <w:bookmarkStart w:id="83306" w:name="_ETM_Q172_343000"/>
      <w:bookmarkEnd w:id="83306"/>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337201">
      <w:pPr>
        <w:rPr>
          <w:rtl/>
          <w:lang w:eastAsia="he-IL"/>
        </w:rPr>
      </w:pPr>
      <w:bookmarkStart w:id="83307" w:name="_ETM_Q172_339000"/>
      <w:bookmarkEnd w:id="83307"/>
      <w:r>
        <w:rPr>
          <w:rFonts w:hint="cs"/>
          <w:rtl/>
          <w:lang w:eastAsia="he-IL"/>
        </w:rPr>
        <w:t>53 בעד, 64 נגד. אני קובע כי ההסתייגות לא התקבלה.</w:t>
      </w:r>
    </w:p>
    <w:p w:rsidR="00BB59CD" w:rsidRDefault="00BB59CD" w:rsidP="00BB59CD">
      <w:pPr>
        <w:rPr>
          <w:rtl/>
          <w:lang w:eastAsia="he-IL"/>
        </w:rPr>
      </w:pPr>
    </w:p>
    <w:p w:rsidR="00BB59CD" w:rsidRDefault="00BB59CD" w:rsidP="00BB59CD">
      <w:pPr>
        <w:rPr>
          <w:rtl/>
          <w:lang w:eastAsia="he-IL"/>
        </w:rPr>
      </w:pPr>
      <w:bookmarkStart w:id="83308" w:name="_ETM_Q172_355000"/>
      <w:bookmarkEnd w:id="83308"/>
      <w:r>
        <w:rPr>
          <w:rFonts w:hint="cs"/>
          <w:rtl/>
          <w:lang w:eastAsia="he-IL"/>
        </w:rPr>
        <w:t xml:space="preserve">וכעת נצביע על הסתייגות </w:t>
      </w:r>
      <w:bookmarkStart w:id="83309" w:name="_ETM_Q172_359000"/>
      <w:bookmarkEnd w:id="83309"/>
      <w:r>
        <w:rPr>
          <w:rFonts w:hint="cs"/>
          <w:rtl/>
          <w:lang w:eastAsia="he-IL"/>
        </w:rPr>
        <w:t>18497. הצבעה.</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126</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54</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18497 לא נתקבלה.</w:t>
      </w:r>
    </w:p>
    <w:p w:rsidR="00BB59CD" w:rsidRDefault="00BB59CD" w:rsidP="00BB59CD">
      <w:pPr>
        <w:keepNext/>
        <w:rPr>
          <w:rtl/>
        </w:rPr>
      </w:pPr>
    </w:p>
    <w:p w:rsidR="00BB59CD" w:rsidRDefault="00BB59CD" w:rsidP="00BB59CD">
      <w:pPr>
        <w:pStyle w:val="af8"/>
        <w:keepNext/>
        <w:rPr>
          <w:rtl/>
        </w:rPr>
      </w:pPr>
      <w:bookmarkStart w:id="83310" w:name="ET_interruption_קריאות_70"/>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83310"/>
    </w:p>
    <w:p w:rsidR="00BB59CD" w:rsidRDefault="00BB59CD" w:rsidP="00337201">
      <w:pPr>
        <w:rPr>
          <w:rtl/>
          <w:lang w:eastAsia="he-IL"/>
        </w:rPr>
      </w:pPr>
    </w:p>
    <w:p w:rsidR="00BB59CD" w:rsidRDefault="00BB59CD" w:rsidP="00BB59CD">
      <w:pPr>
        <w:rPr>
          <w:rtl/>
          <w:lang w:eastAsia="he-IL"/>
        </w:rPr>
      </w:pPr>
      <w:bookmarkStart w:id="83311" w:name="_ETM_Q172_385000"/>
      <w:bookmarkEnd w:id="83311"/>
      <w:r>
        <w:rPr>
          <w:rFonts w:hint="cs"/>
          <w:rtl/>
          <w:lang w:eastAsia="he-IL"/>
        </w:rPr>
        <w:t>-</w:t>
      </w:r>
      <w:bookmarkStart w:id="83312" w:name="_ETM_Q172_386000"/>
      <w:bookmarkEnd w:id="83312"/>
      <w:r>
        <w:rPr>
          <w:rFonts w:hint="cs"/>
          <w:rtl/>
          <w:lang w:eastAsia="he-IL"/>
        </w:rPr>
        <w:t xml:space="preserve"> - -</w:t>
      </w:r>
    </w:p>
    <w:p w:rsidR="00BB59CD" w:rsidRDefault="00BB59CD" w:rsidP="00BB59CD">
      <w:pPr>
        <w:keepNext/>
        <w:rPr>
          <w:rtl/>
        </w:rPr>
      </w:pPr>
    </w:p>
    <w:p w:rsidR="00BB59CD" w:rsidRDefault="00BB59CD" w:rsidP="00BB59CD">
      <w:pPr>
        <w:pStyle w:val="af9"/>
        <w:keepNext/>
        <w:rPr>
          <w:rtl/>
        </w:rPr>
      </w:pPr>
      <w:bookmarkStart w:id="83313" w:name="_ETM_Q172_367000"/>
      <w:bookmarkEnd w:id="8331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54 בעד, 63 נגד. ההסתייגות לא התקבלה.</w:t>
      </w:r>
    </w:p>
    <w:p w:rsidR="00BB59CD" w:rsidRDefault="00BB59CD" w:rsidP="00BB59CD">
      <w:pPr>
        <w:ind w:firstLine="0"/>
        <w:rPr>
          <w:rtl/>
          <w:lang w:eastAsia="he-IL"/>
        </w:rPr>
      </w:pPr>
      <w:bookmarkStart w:id="83314" w:name="_ETM_Q172_382000"/>
      <w:bookmarkEnd w:id="83314"/>
      <w:r>
        <w:rPr>
          <w:rFonts w:hint="cs"/>
          <w:rtl/>
          <w:lang w:eastAsia="he-IL"/>
        </w:rPr>
        <w:tab/>
      </w:r>
    </w:p>
    <w:p w:rsidR="00BB59CD" w:rsidRDefault="00BB59CD" w:rsidP="00BB59CD">
      <w:pPr>
        <w:rPr>
          <w:rtl/>
          <w:lang w:eastAsia="he-IL"/>
        </w:rPr>
      </w:pPr>
      <w:r>
        <w:rPr>
          <w:rFonts w:hint="cs"/>
          <w:rtl/>
          <w:lang w:eastAsia="he-IL"/>
        </w:rPr>
        <w:t xml:space="preserve">ונצביע כעת על </w:t>
      </w:r>
      <w:bookmarkStart w:id="83315" w:name="_ETM_Q172_383000"/>
      <w:bookmarkEnd w:id="83315"/>
      <w:r>
        <w:rPr>
          <w:rFonts w:hint="cs"/>
          <w:rtl/>
          <w:lang w:eastAsia="he-IL"/>
        </w:rPr>
        <w:t>הסתייגות שמספרה 18501. הצבעה.</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מס' 127</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63</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bookmarkStart w:id="83316" w:name="_ETM_Q172_394000"/>
      <w:bookmarkEnd w:id="83316"/>
      <w:r>
        <w:rPr>
          <w:rFonts w:hint="cs"/>
          <w:rtl/>
          <w:lang w:eastAsia="he-IL"/>
        </w:rPr>
        <w:t>הסתייגות 18501 לא נתקבלה.</w:t>
      </w:r>
    </w:p>
    <w:p w:rsidR="00BB59CD" w:rsidRDefault="00BB59CD" w:rsidP="00BB59CD">
      <w:pPr>
        <w:keepNext/>
        <w:rPr>
          <w:rtl/>
        </w:rPr>
      </w:pPr>
      <w:bookmarkStart w:id="83317" w:name="_ETM_Q172_408000"/>
      <w:bookmarkEnd w:id="83317"/>
    </w:p>
    <w:p w:rsidR="00BB59CD" w:rsidRDefault="00BB59CD" w:rsidP="00BB59CD">
      <w:pPr>
        <w:pStyle w:val="af8"/>
        <w:keepNext/>
        <w:rPr>
          <w:rtl/>
        </w:rPr>
      </w:pPr>
      <w:bookmarkStart w:id="83318" w:name="ET_interruption_5787_73"/>
      <w:r>
        <w:rPr>
          <w:rStyle w:val="TagStyle"/>
          <w:rFonts w:hint="cs"/>
          <w:rtl/>
        </w:rPr>
        <w:t xml:space="preserve">&lt;&lt; קריאה &gt;&gt; </w:t>
      </w:r>
      <w:r>
        <w:rPr>
          <w:rFonts w:hint="cs"/>
          <w:rtl/>
        </w:rPr>
        <w:t>יוראי להב הרצנו (יש עתיד):</w:t>
      </w:r>
      <w:r>
        <w:rPr>
          <w:rStyle w:val="TagStyle"/>
          <w:rtl/>
        </w:rPr>
        <w:t xml:space="preserve"> &lt;&lt; קריאה &gt;&gt;</w:t>
      </w:r>
      <w:r>
        <w:rPr>
          <w:rFonts w:hint="cs"/>
          <w:rtl/>
        </w:rPr>
        <w:t xml:space="preserve">   </w:t>
      </w:r>
      <w:bookmarkEnd w:id="83318"/>
    </w:p>
    <w:p w:rsidR="00BB59CD" w:rsidRDefault="00BB59CD" w:rsidP="00337201">
      <w:pPr>
        <w:rPr>
          <w:rtl/>
          <w:lang w:eastAsia="he-IL"/>
        </w:rPr>
      </w:pPr>
    </w:p>
    <w:p w:rsidR="00BB59CD" w:rsidRDefault="00BB59CD" w:rsidP="00BB59CD">
      <w:pPr>
        <w:rPr>
          <w:rtl/>
          <w:lang w:eastAsia="he-IL"/>
        </w:rPr>
      </w:pPr>
      <w:r>
        <w:rPr>
          <w:rFonts w:hint="cs"/>
          <w:rtl/>
          <w:lang w:eastAsia="he-IL"/>
        </w:rPr>
        <w:t>אתה מתעלם</w:t>
      </w:r>
      <w:bookmarkStart w:id="83319" w:name="_ETM_Q172_404205"/>
      <w:bookmarkEnd w:id="83319"/>
      <w:r>
        <w:rPr>
          <w:rFonts w:hint="cs"/>
          <w:rtl/>
          <w:lang w:eastAsia="he-IL"/>
        </w:rPr>
        <w:t xml:space="preserve"> מהאזהרות של הרמטכ"ל, מהאזהרות של ראש השב"כ. איך אתם </w:t>
      </w:r>
      <w:bookmarkStart w:id="83320" w:name="_ETM_Q172_402000"/>
      <w:bookmarkEnd w:id="83320"/>
      <w:r>
        <w:rPr>
          <w:rFonts w:hint="cs"/>
          <w:rtl/>
          <w:lang w:eastAsia="he-IL"/>
        </w:rPr>
        <w:t>לא מתביישים?</w:t>
      </w:r>
      <w:r>
        <w:rPr>
          <w:rFonts w:hint="cs"/>
          <w:lang w:eastAsia="he-IL"/>
        </w:rPr>
        <w:t xml:space="preserve"> </w:t>
      </w:r>
      <w:r>
        <w:rPr>
          <w:rFonts w:hint="cs"/>
          <w:rtl/>
          <w:lang w:eastAsia="he-IL"/>
        </w:rPr>
        <w:t>קחו אחריות.</w:t>
      </w:r>
    </w:p>
    <w:p w:rsidR="00BB59CD" w:rsidRDefault="00BB59CD" w:rsidP="00BB59CD">
      <w:pPr>
        <w:rPr>
          <w:rtl/>
          <w:lang w:eastAsia="he-IL"/>
        </w:rPr>
      </w:pPr>
      <w:bookmarkStart w:id="83321" w:name="_ETM_Q172_406000"/>
      <w:bookmarkEnd w:id="83321"/>
    </w:p>
    <w:p w:rsidR="00BB59CD" w:rsidRDefault="00BB59CD" w:rsidP="00BB59CD">
      <w:pPr>
        <w:pStyle w:val="af8"/>
        <w:keepNext/>
        <w:rPr>
          <w:rtl/>
        </w:rPr>
      </w:pPr>
      <w:bookmarkStart w:id="83322" w:name="ET_interruption_קריאה_74"/>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83322"/>
    </w:p>
    <w:p w:rsidR="00BB59CD" w:rsidRDefault="00BB59CD" w:rsidP="00337201">
      <w:pPr>
        <w:rPr>
          <w:rtl/>
          <w:lang w:eastAsia="he-IL"/>
        </w:rPr>
      </w:pPr>
    </w:p>
    <w:p w:rsidR="00BB59CD" w:rsidRDefault="00BB59CD" w:rsidP="00BB59CD">
      <w:pPr>
        <w:rPr>
          <w:rtl/>
          <w:lang w:eastAsia="he-IL"/>
        </w:rPr>
      </w:pPr>
      <w:r>
        <w:rPr>
          <w:rFonts w:hint="cs"/>
          <w:rtl/>
          <w:lang w:eastAsia="he-IL"/>
        </w:rPr>
        <w:t>קחו אחריות, תפסיקו להסית.</w:t>
      </w:r>
    </w:p>
    <w:p w:rsidR="00BB59CD" w:rsidRDefault="00BB59CD" w:rsidP="00BB59CD">
      <w:pPr>
        <w:keepNext/>
        <w:rPr>
          <w:rtl/>
        </w:rPr>
      </w:pPr>
    </w:p>
    <w:p w:rsidR="00BB59CD" w:rsidRDefault="00BB59CD" w:rsidP="00BB59CD">
      <w:pPr>
        <w:pStyle w:val="af8"/>
        <w:keepNext/>
        <w:rPr>
          <w:rtl/>
        </w:rPr>
      </w:pPr>
      <w:bookmarkStart w:id="83323" w:name="ET_interruption_קריאות_75"/>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3323"/>
    </w:p>
    <w:p w:rsidR="00BB59CD" w:rsidRDefault="00BB59CD" w:rsidP="00337201">
      <w:pPr>
        <w:rPr>
          <w:rtl/>
          <w:lang w:eastAsia="he-IL"/>
        </w:rPr>
      </w:pPr>
    </w:p>
    <w:p w:rsidR="00BB59CD" w:rsidRDefault="00BB59CD" w:rsidP="00BB59CD">
      <w:pPr>
        <w:rPr>
          <w:rtl/>
          <w:lang w:eastAsia="he-IL"/>
        </w:rPr>
      </w:pPr>
      <w:r>
        <w:rPr>
          <w:rFonts w:hint="cs"/>
          <w:rtl/>
          <w:lang w:eastAsia="he-IL"/>
        </w:rPr>
        <w:t>- - -</w:t>
      </w:r>
    </w:p>
    <w:p w:rsidR="00BB59CD" w:rsidRDefault="00BB59CD" w:rsidP="00BB59CD">
      <w:pPr>
        <w:keepNext/>
        <w:rPr>
          <w:rtl/>
        </w:rPr>
      </w:pPr>
    </w:p>
    <w:p w:rsidR="00BB59CD" w:rsidRDefault="00BB59CD" w:rsidP="00BB59CD">
      <w:pPr>
        <w:pStyle w:val="af9"/>
        <w:keepNext/>
        <w:rPr>
          <w:rtl/>
        </w:rPr>
      </w:pPr>
      <w:bookmarkStart w:id="83324" w:name="_ETM_Q172_411000"/>
      <w:bookmarkEnd w:id="8332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325" w:name="_ETM_Q172_403000"/>
      <w:bookmarkEnd w:id="83325"/>
      <w:r>
        <w:rPr>
          <w:rFonts w:hint="cs"/>
          <w:rtl/>
          <w:lang w:eastAsia="he-IL"/>
        </w:rPr>
        <w:t xml:space="preserve">53 בעד, </w:t>
      </w:r>
      <w:bookmarkStart w:id="83326" w:name="_ETM_Q172_412000"/>
      <w:bookmarkEnd w:id="83326"/>
      <w:r>
        <w:rPr>
          <w:rFonts w:hint="cs"/>
          <w:rtl/>
          <w:lang w:eastAsia="he-IL"/>
        </w:rPr>
        <w:t>63 נגד. ההסתייגות לא התקבלה.</w:t>
      </w:r>
    </w:p>
    <w:p w:rsidR="00BB59CD" w:rsidRDefault="00BB59CD" w:rsidP="00BB59CD">
      <w:pPr>
        <w:rPr>
          <w:rtl/>
          <w:lang w:eastAsia="he-IL"/>
        </w:rPr>
      </w:pPr>
    </w:p>
    <w:p w:rsidR="00BB59CD" w:rsidRDefault="00BB59CD" w:rsidP="00BB59CD">
      <w:pPr>
        <w:rPr>
          <w:rtl/>
          <w:lang w:eastAsia="he-IL"/>
        </w:rPr>
      </w:pPr>
      <w:bookmarkStart w:id="83327" w:name="_ETM_Q172_416000"/>
      <w:bookmarkEnd w:id="83327"/>
      <w:r>
        <w:rPr>
          <w:rFonts w:hint="cs"/>
          <w:rtl/>
          <w:lang w:eastAsia="he-IL"/>
        </w:rPr>
        <w:t xml:space="preserve">וכעת נצביע על הסתייגות שמספרה </w:t>
      </w:r>
      <w:bookmarkStart w:id="83328" w:name="_ETM_Q172_417000"/>
      <w:bookmarkStart w:id="83329" w:name="_ETM_Q172_426000"/>
      <w:bookmarkEnd w:id="83328"/>
      <w:bookmarkEnd w:id="83329"/>
      <w:r>
        <w:rPr>
          <w:rFonts w:hint="cs"/>
          <w:rtl/>
          <w:lang w:eastAsia="he-IL"/>
        </w:rPr>
        <w:t>18507. הצבעה.</w:t>
      </w:r>
    </w:p>
    <w:p w:rsidR="00BB59CD" w:rsidRDefault="00BB59CD" w:rsidP="00BB59CD">
      <w:pPr>
        <w:keepNext/>
        <w:rPr>
          <w:rtl/>
          <w:lang w:eastAsia="he-IL"/>
        </w:rPr>
      </w:pPr>
    </w:p>
    <w:p w:rsidR="00BB59CD" w:rsidRDefault="00BB59CD" w:rsidP="00BB59CD">
      <w:pPr>
        <w:pStyle w:val="af4"/>
        <w:keepNext/>
        <w:rPr>
          <w:rtl/>
          <w:lang w:eastAsia="he-IL"/>
        </w:rPr>
      </w:pPr>
      <w:r>
        <w:rPr>
          <w:rFonts w:hint="cs"/>
          <w:rtl/>
          <w:lang w:eastAsia="he-IL"/>
        </w:rPr>
        <w:t>הצבעה מס' 128</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60</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ההסתייגות 18507 לא נתקבלה.</w:t>
      </w:r>
    </w:p>
    <w:p w:rsidR="00BB59CD" w:rsidRDefault="00BB59CD" w:rsidP="00BB59CD">
      <w:pPr>
        <w:rPr>
          <w:rtl/>
          <w:lang w:eastAsia="he-IL"/>
        </w:rPr>
      </w:pPr>
    </w:p>
    <w:p w:rsidR="00BB59CD" w:rsidRDefault="00BB59CD" w:rsidP="00BB59CD">
      <w:pPr>
        <w:pStyle w:val="af9"/>
        <w:keepNext/>
        <w:rPr>
          <w:rtl/>
        </w:rPr>
      </w:pPr>
      <w:bookmarkStart w:id="83330" w:name="_ETM_Q172_428000"/>
      <w:bookmarkEnd w:id="8333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331" w:name="_ETM_Q172_430000"/>
      <w:bookmarkEnd w:id="83331"/>
      <w:r>
        <w:rPr>
          <w:rFonts w:hint="cs"/>
          <w:rtl/>
          <w:lang w:eastAsia="he-IL"/>
        </w:rPr>
        <w:t>53 בעד, 60 נגד.</w:t>
      </w:r>
      <w:bookmarkStart w:id="83332" w:name="_ETM_Q172_436000"/>
      <w:bookmarkEnd w:id="83332"/>
      <w:r>
        <w:rPr>
          <w:rFonts w:hint="cs"/>
          <w:rtl/>
          <w:lang w:eastAsia="he-IL"/>
        </w:rPr>
        <w:t xml:space="preserve"> ההסתייגות לא התקבלה.</w:t>
      </w:r>
    </w:p>
    <w:p w:rsidR="00BB59CD" w:rsidRDefault="00BB59CD" w:rsidP="00BB59CD">
      <w:pPr>
        <w:rPr>
          <w:rtl/>
          <w:lang w:eastAsia="he-IL"/>
        </w:rPr>
      </w:pPr>
    </w:p>
    <w:p w:rsidR="00BB59CD" w:rsidRDefault="00BB59CD" w:rsidP="00BB59CD">
      <w:pPr>
        <w:rPr>
          <w:rtl/>
          <w:lang w:eastAsia="he-IL"/>
        </w:rPr>
      </w:pPr>
      <w:bookmarkStart w:id="83333" w:name="_ETM_Q172_439000"/>
      <w:bookmarkEnd w:id="83333"/>
      <w:r>
        <w:rPr>
          <w:rFonts w:hint="cs"/>
          <w:rtl/>
          <w:lang w:eastAsia="he-IL"/>
        </w:rPr>
        <w:t>כעת נצביע על הסתייגות שמספרה</w:t>
      </w:r>
      <w:bookmarkStart w:id="83334" w:name="_ETM_Q172_440000"/>
      <w:bookmarkEnd w:id="83334"/>
      <w:r>
        <w:rPr>
          <w:rFonts w:hint="cs"/>
          <w:rtl/>
          <w:lang w:eastAsia="he-IL"/>
        </w:rPr>
        <w:t xml:space="preserve"> 18658. הצבעה </w:t>
      </w:r>
      <w:bookmarkStart w:id="83335" w:name="_ETM_Q172_450000"/>
      <w:bookmarkEnd w:id="83335"/>
      <w:r>
        <w:rPr>
          <w:rFonts w:hint="cs"/>
          <w:rtl/>
          <w:lang w:eastAsia="he-IL"/>
        </w:rPr>
        <w:t>כעת.</w:t>
      </w:r>
    </w:p>
    <w:p w:rsidR="00BB59CD" w:rsidRDefault="00BB59CD" w:rsidP="00BB59CD">
      <w:pPr>
        <w:ind w:firstLine="0"/>
        <w:rPr>
          <w:rtl/>
          <w:lang w:eastAsia="he-IL"/>
        </w:rPr>
      </w:pPr>
      <w:bookmarkStart w:id="83336" w:name="_ETM_Q172_438000"/>
      <w:bookmarkEnd w:id="83336"/>
    </w:p>
    <w:p w:rsidR="00BB59CD" w:rsidRDefault="00BB59CD" w:rsidP="00BB59CD">
      <w:pPr>
        <w:pStyle w:val="af4"/>
        <w:keepNext/>
        <w:rPr>
          <w:rtl/>
          <w:lang w:eastAsia="he-IL"/>
        </w:rPr>
      </w:pPr>
      <w:r>
        <w:rPr>
          <w:rFonts w:hint="cs"/>
          <w:rtl/>
          <w:lang w:eastAsia="he-IL"/>
        </w:rPr>
        <w:t>הצבעה מס' 129</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53</w:t>
      </w:r>
    </w:p>
    <w:p w:rsidR="00BB59CD" w:rsidRDefault="00BB59CD" w:rsidP="00BB59CD">
      <w:pPr>
        <w:pStyle w:val="--"/>
        <w:keepNext/>
        <w:rPr>
          <w:rtl/>
          <w:lang w:eastAsia="he-IL"/>
        </w:rPr>
      </w:pPr>
      <w:r>
        <w:rPr>
          <w:rFonts w:hint="cs"/>
          <w:rtl/>
          <w:lang w:eastAsia="he-IL"/>
        </w:rPr>
        <w:t>נגד – 64</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18658 לא נתקבלה.</w:t>
      </w:r>
    </w:p>
    <w:p w:rsidR="00BB59CD" w:rsidRDefault="00BB59CD" w:rsidP="00BB59CD">
      <w:pPr>
        <w:keepNext/>
        <w:rPr>
          <w:rtl/>
        </w:rPr>
      </w:pPr>
    </w:p>
    <w:p w:rsidR="00BB59CD" w:rsidRDefault="00BB59CD" w:rsidP="00BB59CD">
      <w:pPr>
        <w:pStyle w:val="af8"/>
        <w:keepNext/>
        <w:rPr>
          <w:rtl/>
        </w:rPr>
      </w:pPr>
      <w:bookmarkStart w:id="83337" w:name="ET_interruption_קריאות_7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3337"/>
    </w:p>
    <w:p w:rsidR="00BB59CD" w:rsidRDefault="00BB59CD" w:rsidP="00337201">
      <w:pPr>
        <w:rPr>
          <w:rtl/>
          <w:lang w:eastAsia="he-IL"/>
        </w:rPr>
      </w:pPr>
    </w:p>
    <w:p w:rsidR="00BB59CD" w:rsidRDefault="00BB59CD" w:rsidP="00BB59CD">
      <w:pPr>
        <w:rPr>
          <w:rtl/>
          <w:lang w:eastAsia="he-IL"/>
        </w:rPr>
      </w:pPr>
      <w:bookmarkStart w:id="83338" w:name="_ETM_Q172_456000"/>
      <w:bookmarkEnd w:id="83338"/>
      <w:r>
        <w:rPr>
          <w:rFonts w:hint="cs"/>
          <w:rtl/>
          <w:lang w:eastAsia="he-IL"/>
        </w:rPr>
        <w:t xml:space="preserve">- - </w:t>
      </w:r>
      <w:bookmarkStart w:id="83339" w:name="_ETM_Q172_458000"/>
      <w:bookmarkEnd w:id="83339"/>
      <w:r>
        <w:rPr>
          <w:rFonts w:hint="cs"/>
          <w:rtl/>
          <w:lang w:eastAsia="he-IL"/>
        </w:rPr>
        <w:t xml:space="preserve">- </w:t>
      </w:r>
      <w:bookmarkStart w:id="83340" w:name="_ETM_Q172_454000"/>
      <w:bookmarkEnd w:id="83340"/>
    </w:p>
    <w:p w:rsidR="00BB59CD" w:rsidRDefault="00BB59CD" w:rsidP="00BB59CD">
      <w:pPr>
        <w:rPr>
          <w:rtl/>
          <w:lang w:eastAsia="he-IL"/>
        </w:rPr>
      </w:pPr>
      <w:bookmarkStart w:id="83341" w:name="_ETM_Q172_458922"/>
      <w:bookmarkStart w:id="83342" w:name="_ETM_Q172_459017"/>
      <w:bookmarkEnd w:id="83341"/>
      <w:bookmarkEnd w:id="83342"/>
    </w:p>
    <w:p w:rsidR="00BB59CD" w:rsidRDefault="00BB59CD" w:rsidP="00BB59CD">
      <w:pPr>
        <w:pStyle w:val="af9"/>
        <w:keepNext/>
        <w:rPr>
          <w:rtl/>
        </w:rPr>
      </w:pPr>
      <w:bookmarkStart w:id="83343" w:name="_ETM_Q172_449000"/>
      <w:bookmarkEnd w:id="8334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344" w:name="_ETM_Q172_464000"/>
      <w:bookmarkEnd w:id="83344"/>
      <w:r>
        <w:rPr>
          <w:rFonts w:hint="cs"/>
          <w:rtl/>
          <w:lang w:eastAsia="he-IL"/>
        </w:rPr>
        <w:t>53 בעד, 64 נגד. ההסתייגות לא התקבלה.</w:t>
      </w:r>
    </w:p>
    <w:p w:rsidR="00BB59CD" w:rsidRDefault="00BB59CD" w:rsidP="00BB59CD">
      <w:pPr>
        <w:rPr>
          <w:rtl/>
          <w:lang w:eastAsia="he-IL"/>
        </w:rPr>
      </w:pPr>
    </w:p>
    <w:p w:rsidR="00BB59CD" w:rsidRDefault="00BB59CD" w:rsidP="00BB59CD">
      <w:pPr>
        <w:rPr>
          <w:rtl/>
          <w:lang w:eastAsia="he-IL"/>
        </w:rPr>
      </w:pPr>
      <w:bookmarkStart w:id="83345" w:name="_ETM_Q172_467000"/>
      <w:bookmarkEnd w:id="83345"/>
      <w:r>
        <w:rPr>
          <w:rFonts w:hint="cs"/>
          <w:rtl/>
          <w:lang w:eastAsia="he-IL"/>
        </w:rPr>
        <w:t xml:space="preserve">וכעת </w:t>
      </w:r>
      <w:bookmarkStart w:id="83346" w:name="_ETM_Q172_468000"/>
      <w:bookmarkEnd w:id="83346"/>
      <w:r>
        <w:rPr>
          <w:rFonts w:hint="cs"/>
          <w:rtl/>
          <w:lang w:eastAsia="he-IL"/>
        </w:rPr>
        <w:t xml:space="preserve">נצביע על הסתייגות - - </w:t>
      </w:r>
      <w:bookmarkStart w:id="83347" w:name="_ETM_Q172_471610"/>
      <w:bookmarkEnd w:id="83347"/>
      <w:r>
        <w:rPr>
          <w:rFonts w:hint="cs"/>
          <w:rtl/>
          <w:lang w:eastAsia="he-IL"/>
        </w:rPr>
        <w:t>-</w:t>
      </w:r>
    </w:p>
    <w:p w:rsidR="00BB59CD" w:rsidRDefault="00BB59CD" w:rsidP="00BB59CD">
      <w:pPr>
        <w:rPr>
          <w:rtl/>
          <w:lang w:eastAsia="he-IL"/>
        </w:rPr>
      </w:pPr>
    </w:p>
    <w:p w:rsidR="00BB59CD" w:rsidRDefault="00BB59CD" w:rsidP="00BB59CD">
      <w:pPr>
        <w:pStyle w:val="af8"/>
        <w:rPr>
          <w:rtl/>
        </w:rPr>
      </w:pPr>
      <w:bookmarkStart w:id="83348" w:name="ET_interruption_5300_45"/>
      <w:r>
        <w:rPr>
          <w:rStyle w:val="TagStyle"/>
          <w:rFonts w:hint="cs"/>
          <w:rtl/>
        </w:rPr>
        <w:t xml:space="preserve"> &lt;&lt; קריאה &gt;&gt; </w:t>
      </w:r>
      <w:r>
        <w:rPr>
          <w:rFonts w:hint="cs"/>
          <w:rtl/>
        </w:rPr>
        <w:t>מירב בן ארי (יש עתיד):</w:t>
      </w:r>
      <w:r>
        <w:rPr>
          <w:rStyle w:val="TagStyle"/>
          <w:rtl/>
        </w:rPr>
        <w:t xml:space="preserve"> &lt;&lt; קריאה &gt;&gt; </w:t>
      </w:r>
      <w:r>
        <w:rPr>
          <w:rFonts w:hint="cs"/>
          <w:rtl/>
        </w:rPr>
        <w:t xml:space="preserve">   </w:t>
      </w:r>
      <w:bookmarkEnd w:id="83348"/>
    </w:p>
    <w:p w:rsidR="00BB59CD" w:rsidRDefault="00BB59CD" w:rsidP="00337201">
      <w:pPr>
        <w:rPr>
          <w:rtl/>
          <w:lang w:eastAsia="he-IL"/>
        </w:rPr>
      </w:pPr>
    </w:p>
    <w:p w:rsidR="00BB59CD" w:rsidRDefault="00BB59CD" w:rsidP="00BB59CD">
      <w:pPr>
        <w:rPr>
          <w:rtl/>
          <w:lang w:eastAsia="he-IL"/>
        </w:rPr>
      </w:pPr>
      <w:bookmarkStart w:id="83349" w:name="_ETM_Q172_465000"/>
      <w:bookmarkEnd w:id="83349"/>
      <w:r>
        <w:rPr>
          <w:rFonts w:hint="cs"/>
          <w:rtl/>
          <w:lang w:eastAsia="he-IL"/>
        </w:rPr>
        <w:t>נבקש הצבעה שמית על הסתייגות 19171.</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350" w:name="_ETM_Q172_475000"/>
      <w:bookmarkEnd w:id="83350"/>
      <w:r>
        <w:rPr>
          <w:rFonts w:hint="cs"/>
          <w:rtl/>
          <w:lang w:eastAsia="he-IL"/>
        </w:rPr>
        <w:t xml:space="preserve">רק </w:t>
      </w:r>
      <w:bookmarkStart w:id="83351" w:name="_ETM_Q172_476000"/>
      <w:bookmarkEnd w:id="83351"/>
      <w:r>
        <w:rPr>
          <w:rFonts w:hint="cs"/>
          <w:rtl/>
          <w:lang w:eastAsia="he-IL"/>
        </w:rPr>
        <w:t xml:space="preserve">רגע. לפני כן, גברתי, היות שכל ההסתייגויות לסעיף 1 הוסרו </w:t>
      </w:r>
      <w:bookmarkStart w:id="83352" w:name="_ETM_Q172_478000"/>
      <w:bookmarkEnd w:id="83352"/>
      <w:r>
        <w:rPr>
          <w:rFonts w:hint="cs"/>
          <w:rtl/>
          <w:lang w:eastAsia="he-IL"/>
        </w:rPr>
        <w:t xml:space="preserve">ו/או נדחו, אנחנו נצביע כעת על סעיף 1, כנוסח הוועדה. </w:t>
      </w:r>
      <w:bookmarkStart w:id="83353" w:name="_ETM_Q172_487000"/>
      <w:bookmarkEnd w:id="83353"/>
      <w:r>
        <w:rPr>
          <w:rFonts w:hint="cs"/>
          <w:rtl/>
          <w:lang w:eastAsia="he-IL"/>
        </w:rPr>
        <w:t xml:space="preserve">הצבעה שמית, לבקשת הקואליציה. </w:t>
      </w:r>
    </w:p>
    <w:p w:rsidR="00BB59CD" w:rsidRDefault="00BB59CD" w:rsidP="00BB59CD">
      <w:pPr>
        <w:rPr>
          <w:rtl/>
          <w:lang w:eastAsia="he-IL"/>
        </w:rPr>
      </w:pPr>
      <w:bookmarkStart w:id="83354" w:name="_ETM_Q172_497466"/>
      <w:bookmarkStart w:id="83355" w:name="_ETM_Q172_497526"/>
      <w:bookmarkEnd w:id="83354"/>
      <w:bookmarkEnd w:id="83355"/>
    </w:p>
    <w:p w:rsidR="00BB59CD" w:rsidRDefault="00BB59CD" w:rsidP="00BB59CD">
      <w:pPr>
        <w:rPr>
          <w:rtl/>
          <w:lang w:eastAsia="he-IL"/>
        </w:rPr>
      </w:pPr>
      <w:bookmarkStart w:id="83356" w:name="_ETM_Q172_497609"/>
      <w:bookmarkStart w:id="83357" w:name="_ETM_Q172_497659"/>
      <w:bookmarkEnd w:id="83356"/>
      <w:bookmarkEnd w:id="83357"/>
      <w:r>
        <w:rPr>
          <w:rFonts w:hint="cs"/>
          <w:rtl/>
          <w:lang w:eastAsia="he-IL"/>
        </w:rPr>
        <w:t xml:space="preserve">הצבעה שמית על סעיף 1, כנוסח </w:t>
      </w:r>
      <w:bookmarkStart w:id="83358" w:name="_ETM_Q172_494000"/>
      <w:bookmarkEnd w:id="83358"/>
      <w:r>
        <w:rPr>
          <w:rFonts w:hint="cs"/>
          <w:rtl/>
          <w:lang w:eastAsia="he-IL"/>
        </w:rPr>
        <w:t>הוועדה. מזכיר הכנסת, אנא קרא בשמות חברי הכנסת.</w:t>
      </w:r>
    </w:p>
    <w:p w:rsidR="00BB59CD" w:rsidRDefault="00BB59CD" w:rsidP="00BB59CD">
      <w:pPr>
        <w:rPr>
          <w:rtl/>
          <w:lang w:eastAsia="he-IL"/>
        </w:rPr>
      </w:pPr>
    </w:p>
    <w:p w:rsidR="00BB59CD" w:rsidRDefault="00BB59CD" w:rsidP="00BB59CD">
      <w:pPr>
        <w:pStyle w:val="af8"/>
        <w:keepNext/>
        <w:rPr>
          <w:rtl/>
        </w:rPr>
      </w:pPr>
      <w:bookmarkStart w:id="83359" w:name="ET_interruption_קריאות_47"/>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3359"/>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בושה, בושה, בושה, </w:t>
      </w:r>
      <w:bookmarkStart w:id="83360" w:name="_ETM_Q172_501000"/>
      <w:bookmarkEnd w:id="83360"/>
      <w:r>
        <w:rPr>
          <w:rFonts w:hint="cs"/>
          <w:rtl/>
          <w:lang w:eastAsia="he-IL"/>
        </w:rPr>
        <w:t xml:space="preserve">בושה, בושה, בושה, </w:t>
      </w:r>
      <w:bookmarkStart w:id="83361" w:name="_ETM_Q172_513000"/>
      <w:bookmarkEnd w:id="83361"/>
      <w:r>
        <w:rPr>
          <w:rFonts w:hint="cs"/>
          <w:rtl/>
          <w:lang w:eastAsia="he-IL"/>
        </w:rPr>
        <w:t>בושה.</w:t>
      </w:r>
    </w:p>
    <w:p w:rsidR="00BB59CD" w:rsidRDefault="00BB59CD" w:rsidP="00BB59CD">
      <w:pPr>
        <w:rPr>
          <w:rtl/>
          <w:lang w:eastAsia="he-IL"/>
        </w:rPr>
      </w:pPr>
    </w:p>
    <w:p w:rsidR="00BB59CD" w:rsidRDefault="00BB59CD" w:rsidP="00BB59CD">
      <w:pPr>
        <w:pStyle w:val="af9"/>
        <w:keepNext/>
        <w:rPr>
          <w:rtl/>
        </w:rPr>
      </w:pPr>
      <w:bookmarkStart w:id="83362" w:name="ET_yor_6423_5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3362"/>
    </w:p>
    <w:p w:rsidR="00BB59CD" w:rsidRDefault="00BB59CD" w:rsidP="00337201">
      <w:pPr>
        <w:rPr>
          <w:rtl/>
          <w:lang w:eastAsia="he-IL"/>
        </w:rPr>
      </w:pPr>
    </w:p>
    <w:p w:rsidR="00BB59CD" w:rsidRDefault="00BB59CD" w:rsidP="00BB59CD">
      <w:pPr>
        <w:rPr>
          <w:rtl/>
          <w:lang w:eastAsia="he-IL"/>
        </w:rPr>
      </w:pPr>
      <w:r>
        <w:rPr>
          <w:rFonts w:hint="cs"/>
          <w:rtl/>
          <w:lang w:eastAsia="he-IL"/>
        </w:rPr>
        <w:t>מזכיר הכנסת, מזכיר הכנסת, אנא קרא בשמות חברי הכנסת.</w:t>
      </w:r>
    </w:p>
    <w:p w:rsidR="00BB59CD" w:rsidRDefault="00BB59CD" w:rsidP="00BB59CD">
      <w:pPr>
        <w:rPr>
          <w:rtl/>
        </w:rPr>
      </w:pPr>
      <w:bookmarkStart w:id="83363" w:name="_ETM_Q172_503000"/>
      <w:bookmarkStart w:id="83364" w:name="ET_speaker_הצבעה_שמית_48"/>
      <w:bookmarkEnd w:id="83363"/>
    </w:p>
    <w:p w:rsidR="00BB59CD" w:rsidRDefault="00BB59CD" w:rsidP="00BB59CD">
      <w:pPr>
        <w:pStyle w:val="af4"/>
        <w:rPr>
          <w:rtl/>
        </w:rPr>
      </w:pPr>
      <w:bookmarkStart w:id="83365" w:name="ET_subject_הצבעה_שמית_49"/>
      <w:r>
        <w:rPr>
          <w:rFonts w:hint="cs"/>
          <w:rtl/>
        </w:rPr>
        <w:t>הצבעה שמית</w:t>
      </w:r>
      <w:bookmarkEnd w:id="83365"/>
    </w:p>
    <w:bookmarkEnd w:id="83364"/>
    <w:p w:rsidR="00BB59CD" w:rsidRDefault="00BB59CD" w:rsidP="00BB59CD">
      <w:pPr>
        <w:rPr>
          <w:b/>
          <w:bCs/>
          <w:u w:val="single"/>
          <w:rtl/>
          <w:lang w:eastAsia="he-IL"/>
        </w:rPr>
      </w:pPr>
    </w:p>
    <w:p w:rsidR="00BB59CD" w:rsidRDefault="00BB59CD" w:rsidP="00BB59CD">
      <w:pPr>
        <w:pStyle w:val="af8"/>
        <w:keepNext/>
        <w:rPr>
          <w:rtl/>
        </w:rPr>
      </w:pPr>
      <w:bookmarkStart w:id="83366" w:name="ET_interruption_6327_72"/>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366"/>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p>
    <w:p w:rsidR="00BB59CD" w:rsidRDefault="00BB59CD" w:rsidP="00BB59CD">
      <w:pPr>
        <w:rPr>
          <w:rtl/>
          <w:lang w:eastAsia="he-IL"/>
        </w:rPr>
      </w:pPr>
      <w:r>
        <w:rPr>
          <w:rFonts w:hint="cs"/>
          <w:rtl/>
          <w:lang w:eastAsia="he-IL"/>
        </w:rPr>
        <w:t>משה אבוטבול</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יולי יואל אדלשטיין</w:t>
      </w:r>
      <w:r>
        <w:rPr>
          <w:rFonts w:hint="cs"/>
          <w:rtl/>
          <w:lang w:eastAsia="he-IL"/>
        </w:rPr>
        <w:tab/>
        <w:t xml:space="preserve">–   בעד </w:t>
      </w:r>
    </w:p>
    <w:p w:rsidR="00BB59CD" w:rsidRDefault="00BB59CD" w:rsidP="00BB59CD">
      <w:pPr>
        <w:rPr>
          <w:rtl/>
          <w:lang w:eastAsia="he-IL"/>
        </w:rPr>
      </w:pPr>
      <w:r>
        <w:rPr>
          <w:rFonts w:hint="cs"/>
          <w:rtl/>
          <w:lang w:eastAsia="he-IL"/>
        </w:rPr>
        <w:t>אמיר אוחנה</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ינון אזולאי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גדי איזנקוט</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ישראל אייכלר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ואליד אלהואשלה</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קארין אלהרר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זאב אלקין</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משה ארבל</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יעקב אשר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אביחי אברהם בוארון</w:t>
      </w:r>
      <w:r>
        <w:rPr>
          <w:rFonts w:hint="cs"/>
          <w:rtl/>
          <w:lang w:eastAsia="he-IL"/>
        </w:rPr>
        <w:tab/>
        <w:t>–   בעד</w:t>
      </w:r>
    </w:p>
    <w:p w:rsidR="00BB59CD" w:rsidRDefault="00BB59CD" w:rsidP="00BB59CD">
      <w:pPr>
        <w:rPr>
          <w:rtl/>
          <w:lang w:eastAsia="he-IL"/>
        </w:rPr>
      </w:pPr>
      <w:r>
        <w:rPr>
          <w:rFonts w:hint="cs"/>
          <w:rtl/>
          <w:lang w:eastAsia="he-IL"/>
        </w:rPr>
        <w:t>אוריאל בוסו</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מיכאל מרדכי ביטון</w:t>
      </w:r>
      <w:r>
        <w:rPr>
          <w:rFonts w:hint="cs"/>
          <w:rtl/>
          <w:lang w:eastAsia="he-IL"/>
        </w:rPr>
        <w:tab/>
        <w:t>–   נגד</w:t>
      </w:r>
    </w:p>
    <w:p w:rsidR="00BB59CD" w:rsidRDefault="00BB59CD" w:rsidP="00BB59C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בועז ביסמוט</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ולדימיר בליאק</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מירב בן ארי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רם בן ברק</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איתמר בן גביר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אברהם בצלאל</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אורנה ברביבאי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אליהו ברוכי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ניר ברקת</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ששון ששי גואטה</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טלי גוטליב</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יואב גלנט</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גילה גמליאל</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בנימין גנץ</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משה גפני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אבי דיכטר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שלום דנינו</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אריה מכלוף דרעי</w:t>
      </w:r>
      <w:r>
        <w:rPr>
          <w:rFonts w:hint="cs"/>
          <w:rtl/>
          <w:lang w:eastAsia="he-IL"/>
        </w:rPr>
        <w:tab/>
        <w:t>–   בעד</w:t>
      </w:r>
    </w:p>
    <w:p w:rsidR="00BB59CD" w:rsidRDefault="00BB59CD" w:rsidP="00BB59CD">
      <w:pPr>
        <w:rPr>
          <w:rtl/>
          <w:lang w:eastAsia="he-IL"/>
        </w:rPr>
      </w:pPr>
      <w:r>
        <w:rPr>
          <w:rFonts w:hint="cs"/>
          <w:rtl/>
          <w:lang w:eastAsia="he-IL"/>
        </w:rPr>
        <w:t>עמית הלוי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שרן מרים השכל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ניסים ואטורי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מיכל מרים וולדיגר</w:t>
      </w:r>
      <w:r>
        <w:rPr>
          <w:rFonts w:hint="cs"/>
          <w:rtl/>
          <w:lang w:eastAsia="he-IL"/>
        </w:rPr>
        <w:tab/>
        <w:t>–   בעד</w:t>
      </w:r>
    </w:p>
    <w:p w:rsidR="00BB59CD" w:rsidRDefault="00BB59CD" w:rsidP="00BB59CD">
      <w:pPr>
        <w:rPr>
          <w:rtl/>
          <w:lang w:eastAsia="he-IL"/>
        </w:rPr>
      </w:pPr>
      <w:r>
        <w:rPr>
          <w:rFonts w:hint="cs"/>
          <w:rtl/>
          <w:lang w:eastAsia="he-IL"/>
        </w:rPr>
        <w:t>יצחק שמעון וסרלאוף</w:t>
      </w:r>
      <w:r>
        <w:rPr>
          <w:rFonts w:hint="cs"/>
          <w:rtl/>
          <w:lang w:eastAsia="he-IL"/>
        </w:rPr>
        <w:tab/>
        <w:t>–   בעד</w:t>
      </w:r>
    </w:p>
    <w:p w:rsidR="00BB59CD" w:rsidRDefault="00BB59CD" w:rsidP="00BB59CD">
      <w:pPr>
        <w:rPr>
          <w:rtl/>
          <w:lang w:eastAsia="he-IL"/>
        </w:rPr>
      </w:pPr>
      <w:r>
        <w:rPr>
          <w:rFonts w:hint="cs"/>
          <w:rtl/>
          <w:lang w:eastAsia="he-IL"/>
        </w:rPr>
        <w:t>יאסר חוג'יראת</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אימאן ח'טיב יאסין</w:t>
      </w:r>
      <w:r>
        <w:rPr>
          <w:rFonts w:hint="cs"/>
          <w:rtl/>
          <w:lang w:eastAsia="he-IL"/>
        </w:rPr>
        <w:tab/>
        <w:t>–   נגד</w:t>
      </w:r>
    </w:p>
    <w:p w:rsidR="00BB59CD" w:rsidRDefault="00BB59CD" w:rsidP="00BB59CD">
      <w:pPr>
        <w:rPr>
          <w:rtl/>
          <w:lang w:eastAsia="he-IL"/>
        </w:rPr>
      </w:pPr>
      <w:r>
        <w:rPr>
          <w:rFonts w:hint="cs"/>
          <w:rtl/>
          <w:lang w:eastAsia="he-IL"/>
        </w:rPr>
        <w:t>ווליד טאהא</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בועז טופורובסקי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BB59CD" w:rsidRDefault="00BB59CD" w:rsidP="00BB59CD">
      <w:pPr>
        <w:rPr>
          <w:rtl/>
        </w:rPr>
      </w:pPr>
      <w:bookmarkStart w:id="83367" w:name="TOR_Q173"/>
      <w:bookmarkEnd w:id="83367"/>
      <w:r>
        <w:rPr>
          <w:rFonts w:hint="cs"/>
          <w:rtl/>
        </w:rPr>
        <w:t>אחמד טיבי</w:t>
      </w:r>
      <w:r>
        <w:rPr>
          <w:rFonts w:hint="cs"/>
          <w:rtl/>
        </w:rPr>
        <w:tab/>
      </w:r>
      <w:r>
        <w:rPr>
          <w:rFonts w:hint="cs"/>
          <w:rtl/>
        </w:rPr>
        <w:tab/>
        <w:t>–   נגד</w:t>
      </w:r>
    </w:p>
    <w:p w:rsidR="00BB59CD" w:rsidRDefault="00BB59CD" w:rsidP="00BB59CD">
      <w:pPr>
        <w:rPr>
          <w:rtl/>
        </w:rPr>
      </w:pPr>
      <w:r>
        <w:rPr>
          <w:rFonts w:hint="cs"/>
          <w:rtl/>
        </w:rPr>
        <w:t>יוסף טייב</w:t>
      </w:r>
      <w:r>
        <w:rPr>
          <w:rFonts w:hint="cs"/>
          <w:rtl/>
        </w:rPr>
        <w:tab/>
      </w:r>
      <w:r>
        <w:rPr>
          <w:rFonts w:hint="cs"/>
          <w:rtl/>
        </w:rPr>
        <w:tab/>
        <w:t>–   בעד</w:t>
      </w:r>
    </w:p>
    <w:p w:rsidR="00BB59CD" w:rsidRDefault="00BB59CD" w:rsidP="00BB59CD">
      <w:pPr>
        <w:rPr>
          <w:rtl/>
        </w:rPr>
      </w:pPr>
      <w:r>
        <w:rPr>
          <w:rFonts w:hint="cs"/>
          <w:rtl/>
        </w:rPr>
        <w:t>אוהד טל</w:t>
      </w:r>
      <w:r>
        <w:rPr>
          <w:rFonts w:hint="cs"/>
          <w:rtl/>
        </w:rPr>
        <w:tab/>
      </w:r>
      <w:r>
        <w:rPr>
          <w:rFonts w:hint="cs"/>
          <w:rtl/>
        </w:rPr>
        <w:tab/>
      </w:r>
      <w:r>
        <w:rPr>
          <w:rFonts w:hint="cs"/>
          <w:rtl/>
        </w:rPr>
        <w:tab/>
        <w:t>–   בעד</w:t>
      </w:r>
    </w:p>
    <w:p w:rsidR="00BB59CD" w:rsidRDefault="00BB59CD" w:rsidP="00BB59CD">
      <w:pPr>
        <w:rPr>
          <w:rtl/>
        </w:rPr>
      </w:pPr>
      <w:r>
        <w:rPr>
          <w:rFonts w:hint="cs"/>
          <w:rtl/>
        </w:rPr>
        <w:t>יעקב טסלר</w:t>
      </w:r>
      <w:r>
        <w:rPr>
          <w:rFonts w:hint="cs"/>
          <w:rtl/>
        </w:rPr>
        <w:tab/>
      </w:r>
      <w:r>
        <w:rPr>
          <w:rFonts w:hint="cs"/>
          <w:rtl/>
        </w:rPr>
        <w:tab/>
        <w:t>–   בעד</w:t>
      </w:r>
    </w:p>
    <w:p w:rsidR="00BB59CD" w:rsidRDefault="00BB59CD" w:rsidP="00BB59CD">
      <w:pPr>
        <w:rPr>
          <w:rtl/>
        </w:rPr>
      </w:pPr>
      <w:r>
        <w:rPr>
          <w:rFonts w:hint="cs"/>
          <w:rtl/>
        </w:rPr>
        <w:t>חילי טרופר</w:t>
      </w:r>
      <w:r>
        <w:rPr>
          <w:rFonts w:hint="cs"/>
          <w:rtl/>
        </w:rPr>
        <w:tab/>
      </w:r>
      <w:r>
        <w:rPr>
          <w:rFonts w:hint="cs"/>
          <w:rtl/>
        </w:rPr>
        <w:tab/>
        <w:t>–   נגד</w:t>
      </w:r>
    </w:p>
    <w:p w:rsidR="00BB59CD" w:rsidRDefault="00BB59CD" w:rsidP="00BB59CD">
      <w:pPr>
        <w:rPr>
          <w:rtl/>
        </w:rPr>
      </w:pPr>
      <w:r>
        <w:rPr>
          <w:rFonts w:hint="cs"/>
          <w:rtl/>
        </w:rPr>
        <w:t>אלמוג כהן</w:t>
      </w:r>
      <w:r>
        <w:rPr>
          <w:rFonts w:hint="cs"/>
          <w:rtl/>
        </w:rPr>
        <w:tab/>
      </w:r>
      <w:r>
        <w:rPr>
          <w:rFonts w:hint="cs"/>
          <w:rtl/>
        </w:rPr>
        <w:tab/>
        <w:t>–   בעד</w:t>
      </w:r>
    </w:p>
    <w:p w:rsidR="00BB59CD" w:rsidRDefault="00BB59CD" w:rsidP="00BB59CD">
      <w:pPr>
        <w:rPr>
          <w:rtl/>
        </w:rPr>
      </w:pPr>
      <w:r>
        <w:rPr>
          <w:rFonts w:hint="cs"/>
          <w:rtl/>
        </w:rPr>
        <w:t>מאיר כהן</w:t>
      </w:r>
      <w:r>
        <w:rPr>
          <w:rFonts w:hint="cs"/>
          <w:rtl/>
        </w:rPr>
        <w:tab/>
      </w:r>
      <w:r>
        <w:rPr>
          <w:rFonts w:hint="cs"/>
          <w:rtl/>
        </w:rPr>
        <w:tab/>
        <w:t>–   נגד</w:t>
      </w:r>
    </w:p>
    <w:p w:rsidR="00BB59CD" w:rsidRDefault="00BB59CD" w:rsidP="00BB59CD">
      <w:pPr>
        <w:rPr>
          <w:rtl/>
        </w:rPr>
      </w:pPr>
      <w:r>
        <w:rPr>
          <w:rFonts w:hint="cs"/>
          <w:rtl/>
        </w:rPr>
        <w:t>מירב כהן</w:t>
      </w:r>
      <w:r>
        <w:rPr>
          <w:rFonts w:hint="cs"/>
          <w:rtl/>
        </w:rPr>
        <w:tab/>
      </w:r>
      <w:r>
        <w:rPr>
          <w:rFonts w:hint="cs"/>
          <w:rtl/>
        </w:rPr>
        <w:tab/>
        <w:t>–   נגד</w:t>
      </w:r>
    </w:p>
    <w:p w:rsidR="00BB59CD" w:rsidRDefault="00BB59CD" w:rsidP="00BB59CD">
      <w:pPr>
        <w:rPr>
          <w:rtl/>
        </w:rPr>
      </w:pPr>
      <w:r>
        <w:rPr>
          <w:rFonts w:hint="cs"/>
          <w:rtl/>
        </w:rPr>
        <w:t>מתן כהנא</w:t>
      </w:r>
      <w:r>
        <w:rPr>
          <w:rFonts w:hint="cs"/>
          <w:rtl/>
        </w:rPr>
        <w:tab/>
      </w:r>
      <w:r>
        <w:rPr>
          <w:rFonts w:hint="cs"/>
          <w:rtl/>
        </w:rPr>
        <w:tab/>
        <w:t>–   נגד</w:t>
      </w:r>
    </w:p>
    <w:p w:rsidR="00BB59CD" w:rsidRDefault="00BB59CD" w:rsidP="00BB59CD">
      <w:pPr>
        <w:rPr>
          <w:rtl/>
        </w:rPr>
      </w:pPr>
      <w:r>
        <w:rPr>
          <w:rFonts w:hint="cs"/>
          <w:rtl/>
        </w:rPr>
        <w:t>עופר כסיף</w:t>
      </w:r>
      <w:r>
        <w:rPr>
          <w:rFonts w:hint="cs"/>
          <w:rtl/>
        </w:rPr>
        <w:tab/>
      </w:r>
      <w:r>
        <w:rPr>
          <w:rFonts w:hint="cs"/>
          <w:rtl/>
        </w:rPr>
        <w:tab/>
        <w:t>–   נגד</w:t>
      </w:r>
    </w:p>
    <w:p w:rsidR="00BB59CD" w:rsidRDefault="00BB59CD" w:rsidP="00BB59CD">
      <w:pPr>
        <w:rPr>
          <w:rtl/>
        </w:rPr>
      </w:pPr>
      <w:r>
        <w:rPr>
          <w:rFonts w:hint="cs"/>
          <w:rtl/>
        </w:rPr>
        <w:t>אופיר כץ</w:t>
      </w:r>
      <w:r>
        <w:rPr>
          <w:rFonts w:hint="cs"/>
          <w:rtl/>
        </w:rPr>
        <w:tab/>
      </w:r>
      <w:r>
        <w:rPr>
          <w:rFonts w:hint="cs"/>
          <w:rtl/>
        </w:rPr>
        <w:tab/>
        <w:t>–   בעד</w:t>
      </w:r>
    </w:p>
    <w:p w:rsidR="00BB59CD" w:rsidRDefault="00BB59CD" w:rsidP="00BB59CD">
      <w:pPr>
        <w:rPr>
          <w:rtl/>
        </w:rPr>
      </w:pPr>
      <w:r>
        <w:rPr>
          <w:rFonts w:hint="cs"/>
          <w:rtl/>
        </w:rPr>
        <w:t>ישראל כץ</w:t>
      </w:r>
      <w:r>
        <w:rPr>
          <w:rFonts w:hint="cs"/>
          <w:rtl/>
        </w:rPr>
        <w:tab/>
      </w:r>
      <w:r>
        <w:rPr>
          <w:rFonts w:hint="cs"/>
          <w:rtl/>
        </w:rPr>
        <w:tab/>
        <w:t>–   בעד</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ממשלת החורבן, ממשלת החורבן, ממשלת החורבן.</w:t>
      </w:r>
    </w:p>
    <w:p w:rsidR="00BB59CD" w:rsidRDefault="00BB59CD" w:rsidP="00BB59CD">
      <w:pPr>
        <w:rPr>
          <w:rtl/>
          <w:lang w:eastAsia="he-IL"/>
        </w:rPr>
      </w:pPr>
      <w:bookmarkStart w:id="83368" w:name="_ETM_Q173_217920"/>
      <w:bookmarkStart w:id="83369" w:name="_ETM_Q173_217964"/>
      <w:bookmarkEnd w:id="83368"/>
      <w:bookmarkEnd w:id="83369"/>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 הכנסת לוי, קריאה ראשונה. חבר הכנסת טופורובסקי, קריאה ראשונה. </w:t>
      </w:r>
      <w:bookmarkStart w:id="83370" w:name="_ETM_Q173_229992"/>
      <w:bookmarkEnd w:id="83370"/>
      <w:r>
        <w:rPr>
          <w:rFonts w:hint="cs"/>
          <w:rtl/>
          <w:lang w:eastAsia="he-IL"/>
        </w:rPr>
        <w:t xml:space="preserve">חבר הכנסת להב הרצנו, קריאה ראשונה. להב הרצנו, קריאה שנייה. </w:t>
      </w:r>
      <w:bookmarkStart w:id="83371" w:name="_ETM_Q173_237411"/>
      <w:bookmarkEnd w:id="83371"/>
      <w:r>
        <w:rPr>
          <w:rFonts w:hint="cs"/>
          <w:rtl/>
          <w:lang w:eastAsia="he-IL"/>
        </w:rPr>
        <w:t xml:space="preserve">טופורובסקי, קריאה שנייה. </w:t>
      </w:r>
    </w:p>
    <w:p w:rsidR="00BB59CD" w:rsidRDefault="00BB59CD" w:rsidP="00BB59CD">
      <w:pPr>
        <w:rPr>
          <w:rtl/>
          <w:lang w:eastAsia="he-IL"/>
        </w:rPr>
      </w:pPr>
    </w:p>
    <w:p w:rsidR="00BB59CD" w:rsidRDefault="00BB59CD" w:rsidP="00BB59CD">
      <w:pPr>
        <w:rPr>
          <w:rtl/>
          <w:lang w:eastAsia="he-IL"/>
        </w:rPr>
      </w:pPr>
      <w:r>
        <w:rPr>
          <w:rFonts w:hint="cs"/>
          <w:rtl/>
          <w:lang w:eastAsia="he-IL"/>
        </w:rPr>
        <w:t>בבקשה תמשיך.</w:t>
      </w:r>
    </w:p>
    <w:p w:rsidR="00BB59CD" w:rsidRDefault="00BB59CD" w:rsidP="00BB59CD">
      <w:pPr>
        <w:rPr>
          <w:rtl/>
          <w:lang w:eastAsia="he-IL"/>
        </w:rPr>
      </w:pPr>
      <w:bookmarkStart w:id="83372" w:name="_ETM_Q173_280775"/>
      <w:bookmarkStart w:id="83373" w:name="_ETM_Q173_280874"/>
      <w:bookmarkEnd w:id="83372"/>
      <w:bookmarkEnd w:id="83373"/>
    </w:p>
    <w:p w:rsidR="00BB59CD" w:rsidRDefault="00BB59CD" w:rsidP="00BB59CD">
      <w:pPr>
        <w:pStyle w:val="af8"/>
        <w:keepNext/>
        <w:rPr>
          <w:rtl/>
        </w:rPr>
      </w:pPr>
      <w:bookmarkStart w:id="83374" w:name="_ETM_Q173_280932"/>
      <w:bookmarkStart w:id="83375" w:name="_ETM_Q173_281075"/>
      <w:bookmarkEnd w:id="83374"/>
      <w:bookmarkEnd w:id="83375"/>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p>
    <w:p w:rsidR="00BB59CD" w:rsidRDefault="00BB59CD" w:rsidP="00BB59CD">
      <w:pPr>
        <w:rPr>
          <w:rtl/>
        </w:rPr>
      </w:pPr>
      <w:r>
        <w:rPr>
          <w:rFonts w:hint="cs"/>
          <w:rtl/>
        </w:rPr>
        <w:t>רון כץ</w:t>
      </w:r>
      <w:r>
        <w:rPr>
          <w:rFonts w:hint="cs"/>
          <w:rtl/>
        </w:rPr>
        <w:tab/>
      </w:r>
      <w:r>
        <w:rPr>
          <w:rFonts w:hint="cs"/>
          <w:rtl/>
        </w:rPr>
        <w:tab/>
      </w:r>
      <w:r>
        <w:rPr>
          <w:rFonts w:hint="cs"/>
          <w:rtl/>
        </w:rPr>
        <w:tab/>
        <w:t>–   אינו נוכח</w:t>
      </w:r>
    </w:p>
    <w:p w:rsidR="00BB59CD" w:rsidRDefault="00BB59CD" w:rsidP="00BB59CD">
      <w:pPr>
        <w:rPr>
          <w:rtl/>
        </w:rPr>
      </w:pPr>
      <w:r>
        <w:rPr>
          <w:rFonts w:hint="cs"/>
          <w:rtl/>
        </w:rPr>
        <w:t>יוראי להב הרצנו</w:t>
      </w:r>
      <w:r>
        <w:rPr>
          <w:rFonts w:hint="cs"/>
          <w:rtl/>
        </w:rPr>
        <w:tab/>
      </w:r>
      <w:r>
        <w:rPr>
          <w:rFonts w:hint="cs"/>
          <w:rtl/>
        </w:rPr>
        <w:tab/>
        <w:t>–   נגד</w:t>
      </w:r>
    </w:p>
    <w:p w:rsidR="00BB59CD" w:rsidRDefault="00BB59CD" w:rsidP="00BB59CD">
      <w:pPr>
        <w:rPr>
          <w:rtl/>
        </w:rPr>
      </w:pPr>
      <w:r>
        <w:rPr>
          <w:rFonts w:hint="cs"/>
          <w:rtl/>
        </w:rPr>
        <w:t>מיקי לוי</w:t>
      </w:r>
      <w:r>
        <w:rPr>
          <w:rFonts w:hint="cs"/>
          <w:rtl/>
        </w:rPr>
        <w:tab/>
      </w:r>
      <w:r>
        <w:rPr>
          <w:rFonts w:hint="cs"/>
          <w:rtl/>
        </w:rPr>
        <w:tab/>
      </w:r>
      <w:r>
        <w:rPr>
          <w:rFonts w:hint="cs"/>
          <w:rtl/>
        </w:rPr>
        <w:tab/>
        <w:t>–   נגד</w:t>
      </w:r>
    </w:p>
    <w:p w:rsidR="00BB59CD" w:rsidRDefault="00BB59CD" w:rsidP="00BB59CD">
      <w:pPr>
        <w:rPr>
          <w:rtl/>
        </w:rPr>
      </w:pPr>
      <w:r>
        <w:rPr>
          <w:rFonts w:hint="cs"/>
          <w:rtl/>
        </w:rPr>
        <w:t>יריב לוין</w:t>
      </w:r>
      <w:r>
        <w:rPr>
          <w:rFonts w:hint="cs"/>
          <w:rtl/>
        </w:rPr>
        <w:tab/>
      </w:r>
      <w:r>
        <w:rPr>
          <w:rFonts w:hint="cs"/>
          <w:rtl/>
        </w:rPr>
        <w:tab/>
      </w:r>
      <w:r>
        <w:rPr>
          <w:rFonts w:hint="cs"/>
          <w:rtl/>
        </w:rPr>
        <w:tab/>
        <w:t>–   בעד</w:t>
      </w:r>
    </w:p>
    <w:p w:rsidR="00BB59CD" w:rsidRDefault="00BB59CD" w:rsidP="00BB59CD">
      <w:pPr>
        <w:rPr>
          <w:rtl/>
        </w:rPr>
      </w:pPr>
      <w:r>
        <w:rPr>
          <w:rFonts w:hint="cs"/>
          <w:rtl/>
        </w:rPr>
        <w:t>נעמה לזימי</w:t>
      </w:r>
      <w:r>
        <w:rPr>
          <w:rFonts w:hint="cs"/>
          <w:rtl/>
        </w:rPr>
        <w:tab/>
      </w:r>
      <w:r>
        <w:rPr>
          <w:rFonts w:hint="cs"/>
          <w:rtl/>
        </w:rPr>
        <w:tab/>
        <w:t>–   נגד</w:t>
      </w:r>
    </w:p>
    <w:p w:rsidR="00BB59CD" w:rsidRDefault="00BB59CD" w:rsidP="00BB59CD">
      <w:pPr>
        <w:rPr>
          <w:rtl/>
        </w:rPr>
      </w:pPr>
      <w:r>
        <w:rPr>
          <w:rFonts w:hint="cs"/>
          <w:rtl/>
        </w:rPr>
        <w:t>אביגדור ליברמן</w:t>
      </w:r>
      <w:r>
        <w:rPr>
          <w:rFonts w:hint="cs"/>
          <w:rtl/>
        </w:rPr>
        <w:tab/>
      </w:r>
      <w:r>
        <w:rPr>
          <w:rFonts w:hint="cs"/>
          <w:rtl/>
        </w:rPr>
        <w:tab/>
        <w:t>–   נגד</w:t>
      </w:r>
    </w:p>
    <w:p w:rsidR="00BB59CD" w:rsidRDefault="00BB59CD" w:rsidP="00BB59CD">
      <w:pPr>
        <w:rPr>
          <w:rtl/>
        </w:rPr>
      </w:pPr>
      <w:r>
        <w:rPr>
          <w:rFonts w:hint="cs"/>
          <w:rtl/>
        </w:rPr>
        <w:t>יאיר לפיד</w:t>
      </w:r>
      <w:r>
        <w:rPr>
          <w:rFonts w:hint="cs"/>
          <w:rtl/>
        </w:rPr>
        <w:tab/>
      </w:r>
      <w:r>
        <w:rPr>
          <w:rFonts w:hint="cs"/>
          <w:rtl/>
        </w:rPr>
        <w:tab/>
        <w:t>–   נגד</w:t>
      </w:r>
    </w:p>
    <w:p w:rsidR="00BB59CD" w:rsidRDefault="00BB59CD" w:rsidP="00BB59CD">
      <w:pPr>
        <w:rPr>
          <w:rtl/>
        </w:rPr>
      </w:pPr>
      <w:r>
        <w:rPr>
          <w:rFonts w:hint="cs"/>
          <w:rtl/>
        </w:rPr>
        <w:t>סימון מושיאשוילי</w:t>
      </w:r>
      <w:r>
        <w:rPr>
          <w:rFonts w:hint="cs"/>
          <w:rtl/>
        </w:rPr>
        <w:tab/>
      </w:r>
      <w:r>
        <w:rPr>
          <w:rFonts w:hint="cs"/>
          <w:rtl/>
        </w:rPr>
        <w:tab/>
        <w:t>–   בעד</w:t>
      </w:r>
    </w:p>
    <w:p w:rsidR="00BB59CD" w:rsidRDefault="00BB59CD" w:rsidP="00BB59CD">
      <w:pPr>
        <w:rPr>
          <w:rtl/>
        </w:rPr>
      </w:pPr>
      <w:r>
        <w:rPr>
          <w:rFonts w:hint="cs"/>
          <w:rtl/>
        </w:rPr>
        <w:t>טטיאנה מזרסקי</w:t>
      </w:r>
      <w:r>
        <w:rPr>
          <w:rFonts w:hint="cs"/>
          <w:rtl/>
        </w:rPr>
        <w:tab/>
      </w:r>
      <w:r>
        <w:rPr>
          <w:rFonts w:hint="cs"/>
          <w:rtl/>
        </w:rPr>
        <w:tab/>
        <w:t>–   נגד</w:t>
      </w:r>
    </w:p>
    <w:p w:rsidR="00BB59CD" w:rsidRDefault="00BB59CD" w:rsidP="00BB59CD">
      <w:pPr>
        <w:rPr>
          <w:rtl/>
        </w:rPr>
      </w:pPr>
      <w:r>
        <w:rPr>
          <w:rFonts w:hint="cs"/>
          <w:rtl/>
        </w:rPr>
        <w:t>מרב מיכאלי</w:t>
      </w:r>
      <w:r>
        <w:rPr>
          <w:rFonts w:hint="cs"/>
          <w:rtl/>
        </w:rPr>
        <w:tab/>
      </w:r>
      <w:r>
        <w:rPr>
          <w:rFonts w:hint="cs"/>
          <w:rtl/>
        </w:rPr>
        <w:tab/>
        <w:t>–   אינה נוכחת</w:t>
      </w:r>
    </w:p>
    <w:p w:rsidR="00BB59CD" w:rsidRDefault="00BB59CD" w:rsidP="00BB59CD">
      <w:pPr>
        <w:rPr>
          <w:rtl/>
        </w:rPr>
      </w:pPr>
      <w:bookmarkStart w:id="83376" w:name="_ETM_Q173_309588"/>
      <w:bookmarkStart w:id="83377" w:name="_ETM_Q173_309675"/>
      <w:bookmarkStart w:id="83378" w:name="_ETM_Q173_309779"/>
      <w:bookmarkStart w:id="83379" w:name="_ETM_Q173_309874"/>
      <w:bookmarkEnd w:id="83376"/>
      <w:bookmarkEnd w:id="83377"/>
      <w:bookmarkEnd w:id="83378"/>
      <w:bookmarkEnd w:id="83379"/>
    </w:p>
    <w:p w:rsidR="00BB59CD" w:rsidRDefault="00BB59CD" w:rsidP="00BB59CD">
      <w:pPr>
        <w:pStyle w:val="af8"/>
        <w:keepNext/>
        <w:rPr>
          <w:rtl/>
        </w:rPr>
      </w:pPr>
      <w:bookmarkStart w:id="83380" w:name="ET_interruption_5809_23"/>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83380"/>
    </w:p>
    <w:p w:rsidR="00BB59CD" w:rsidRDefault="00BB59CD" w:rsidP="00337201">
      <w:pPr>
        <w:rPr>
          <w:rtl/>
          <w:lang w:eastAsia="he-IL"/>
        </w:rPr>
      </w:pPr>
    </w:p>
    <w:p w:rsidR="00BB59CD" w:rsidRDefault="00BB59CD" w:rsidP="00BB59CD">
      <w:pPr>
        <w:rPr>
          <w:rtl/>
          <w:lang w:eastAsia="he-IL"/>
        </w:rPr>
      </w:pPr>
      <w:r>
        <w:rPr>
          <w:rFonts w:hint="cs"/>
          <w:rtl/>
          <w:lang w:eastAsia="he-IL"/>
        </w:rPr>
        <w:t>- - -</w:t>
      </w:r>
    </w:p>
    <w:p w:rsidR="00BB59CD" w:rsidRDefault="00BB59CD" w:rsidP="00BB59CD">
      <w:pPr>
        <w:rPr>
          <w:rtl/>
          <w:lang w:eastAsia="he-IL"/>
        </w:rPr>
      </w:pPr>
    </w:p>
    <w:p w:rsidR="00BB59CD" w:rsidRDefault="00BB59CD" w:rsidP="00BB59CD">
      <w:pPr>
        <w:pStyle w:val="af8"/>
        <w:keepNext/>
        <w:rPr>
          <w:rtl/>
        </w:rPr>
      </w:pPr>
      <w:bookmarkStart w:id="83381" w:name="ET_interruption_5787_24"/>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338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תתביישו לכם, תתביישו לכם.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 </w:t>
      </w:r>
      <w:bookmarkStart w:id="83382" w:name="_ETM_Q173_311053"/>
      <w:bookmarkEnd w:id="83382"/>
      <w:r>
        <w:rPr>
          <w:rFonts w:hint="cs"/>
          <w:rtl/>
          <w:lang w:eastAsia="he-IL"/>
        </w:rPr>
        <w:t xml:space="preserve">הכנסת להב הרצנו, קריאה שלישית. נא לצאת. חבר הכנסת להב הרצנו, שלישית. לצאת. </w:t>
      </w:r>
      <w:bookmarkStart w:id="83383" w:name="_ETM_Q173_323187"/>
      <w:bookmarkEnd w:id="83383"/>
    </w:p>
    <w:p w:rsidR="00BB59CD" w:rsidRDefault="00BB59CD" w:rsidP="00BB59CD">
      <w:pPr>
        <w:rPr>
          <w:rtl/>
          <w:lang w:eastAsia="he-IL"/>
        </w:rPr>
      </w:pPr>
      <w:bookmarkStart w:id="83384" w:name="_ETM_Q173_323255"/>
      <w:bookmarkEnd w:id="83384"/>
    </w:p>
    <w:p w:rsidR="00BB59CD" w:rsidRDefault="00BB59CD" w:rsidP="00BB59CD">
      <w:pPr>
        <w:pStyle w:val="af8"/>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BB59CD">
      <w:pPr>
        <w:rPr>
          <w:rtl/>
          <w:lang w:eastAsia="he-IL"/>
        </w:rPr>
      </w:pPr>
    </w:p>
    <w:p w:rsidR="00BB59CD" w:rsidRDefault="00BB59CD" w:rsidP="00BB59CD">
      <w:pPr>
        <w:rPr>
          <w:rtl/>
          <w:lang w:eastAsia="he-IL"/>
        </w:rPr>
      </w:pPr>
      <w:bookmarkStart w:id="83385" w:name="_ETM_Q173_323331"/>
      <w:bookmarkStart w:id="83386" w:name="_ETM_Q173_323414"/>
      <w:bookmarkEnd w:id="83385"/>
      <w:bookmarkEnd w:id="83386"/>
      <w:r>
        <w:rPr>
          <w:rFonts w:hint="cs"/>
          <w:rtl/>
          <w:lang w:eastAsia="he-IL"/>
        </w:rPr>
        <w:t xml:space="preserve">חברת הכנסת מיכל </w:t>
      </w:r>
      <w:bookmarkStart w:id="83387" w:name="_ETM_Q173_326897"/>
      <w:bookmarkEnd w:id="83387"/>
      <w:r>
        <w:rPr>
          <w:rFonts w:hint="cs"/>
          <w:rtl/>
          <w:lang w:eastAsia="he-IL"/>
        </w:rPr>
        <w:t xml:space="preserve">שיר, קריאה ראשונה. </w:t>
      </w:r>
    </w:p>
    <w:p w:rsidR="00BB59CD" w:rsidRDefault="00BB59CD" w:rsidP="00BB59CD">
      <w:pPr>
        <w:rPr>
          <w:rtl/>
          <w:lang w:eastAsia="he-IL"/>
        </w:rPr>
      </w:pPr>
      <w:bookmarkStart w:id="83388" w:name="_ETM_Q173_322029"/>
      <w:bookmarkStart w:id="83389" w:name="_ETM_Q173_322198"/>
      <w:bookmarkEnd w:id="83388"/>
      <w:bookmarkEnd w:id="83389"/>
    </w:p>
    <w:p w:rsidR="00BB59CD" w:rsidRDefault="00BB59CD" w:rsidP="00BB59CD">
      <w:pPr>
        <w:pStyle w:val="af8"/>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p>
    <w:p w:rsidR="00BB59CD" w:rsidRDefault="00BB59CD" w:rsidP="00BB59CD">
      <w:pPr>
        <w:rPr>
          <w:rtl/>
        </w:rPr>
      </w:pPr>
      <w:r>
        <w:rPr>
          <w:rFonts w:hint="cs"/>
          <w:rtl/>
        </w:rPr>
        <w:t>מרב מיכאלי</w:t>
      </w:r>
      <w:r>
        <w:rPr>
          <w:rFonts w:hint="cs"/>
          <w:rtl/>
        </w:rPr>
        <w:tab/>
      </w:r>
      <w:r>
        <w:rPr>
          <w:rFonts w:hint="cs"/>
          <w:rtl/>
        </w:rPr>
        <w:tab/>
        <w:t>–   נגד</w:t>
      </w:r>
    </w:p>
    <w:p w:rsidR="00BB59CD" w:rsidRDefault="00BB59CD" w:rsidP="00BB59CD">
      <w:pPr>
        <w:rPr>
          <w:rtl/>
        </w:rPr>
      </w:pPr>
      <w:r>
        <w:rPr>
          <w:rFonts w:hint="cs"/>
          <w:rtl/>
        </w:rPr>
        <w:t>שלי טל מירון</w:t>
      </w:r>
      <w:r>
        <w:rPr>
          <w:rFonts w:hint="cs"/>
          <w:rtl/>
        </w:rPr>
        <w:tab/>
      </w:r>
      <w:r>
        <w:rPr>
          <w:rFonts w:hint="cs"/>
          <w:rtl/>
        </w:rPr>
        <w:tab/>
        <w:t>–   נגד</w:t>
      </w:r>
    </w:p>
    <w:p w:rsidR="00BB59CD" w:rsidRDefault="00BB59CD" w:rsidP="00BB59CD">
      <w:pPr>
        <w:rPr>
          <w:rtl/>
        </w:rPr>
      </w:pPr>
      <w:r>
        <w:rPr>
          <w:rFonts w:hint="cs"/>
          <w:rtl/>
        </w:rPr>
        <w:t>יונתן מישרקי</w:t>
      </w:r>
      <w:r>
        <w:rPr>
          <w:rFonts w:hint="cs"/>
          <w:rtl/>
        </w:rPr>
        <w:tab/>
      </w:r>
      <w:r>
        <w:rPr>
          <w:rFonts w:hint="cs"/>
          <w:rtl/>
        </w:rPr>
        <w:tab/>
        <w:t>–   בעד</w:t>
      </w:r>
    </w:p>
    <w:p w:rsidR="00BB59CD" w:rsidRDefault="00BB59CD" w:rsidP="00BB59CD">
      <w:pPr>
        <w:rPr>
          <w:rtl/>
        </w:rPr>
      </w:pPr>
      <w:r>
        <w:rPr>
          <w:rFonts w:hint="cs"/>
          <w:rtl/>
        </w:rPr>
        <w:t>חנוך דב מלביצקי</w:t>
      </w:r>
      <w:r>
        <w:rPr>
          <w:rFonts w:hint="cs"/>
          <w:rtl/>
        </w:rPr>
        <w:tab/>
      </w:r>
      <w:r>
        <w:rPr>
          <w:rFonts w:hint="cs"/>
          <w:rtl/>
        </w:rPr>
        <w:tab/>
        <w:t>–   בעד</w:t>
      </w:r>
    </w:p>
    <w:p w:rsidR="00BB59CD" w:rsidRDefault="00BB59CD" w:rsidP="00BB59CD">
      <w:pPr>
        <w:rPr>
          <w:rtl/>
        </w:rPr>
      </w:pPr>
      <w:r>
        <w:rPr>
          <w:rFonts w:hint="cs"/>
          <w:rtl/>
        </w:rPr>
        <w:t>ארז מלול</w:t>
      </w:r>
      <w:r>
        <w:rPr>
          <w:rFonts w:hint="cs"/>
          <w:rtl/>
        </w:rPr>
        <w:tab/>
      </w:r>
      <w:r>
        <w:rPr>
          <w:rFonts w:hint="cs"/>
          <w:rtl/>
        </w:rPr>
        <w:tab/>
        <w:t>–   בעד</w:t>
      </w:r>
    </w:p>
    <w:p w:rsidR="00BB59CD" w:rsidRDefault="00BB59CD" w:rsidP="00BB59CD">
      <w:pPr>
        <w:rPr>
          <w:rtl/>
        </w:rPr>
      </w:pPr>
      <w:r>
        <w:rPr>
          <w:rFonts w:hint="cs"/>
          <w:rtl/>
        </w:rPr>
        <w:t>יוליה מלינובסקי</w:t>
      </w:r>
      <w:r>
        <w:rPr>
          <w:rFonts w:hint="cs"/>
          <w:rtl/>
        </w:rPr>
        <w:tab/>
      </w:r>
      <w:r>
        <w:rPr>
          <w:rFonts w:hint="cs"/>
          <w:rtl/>
        </w:rPr>
        <w:tab/>
        <w:t>–   נגד</w:t>
      </w:r>
    </w:p>
    <w:p w:rsidR="00BB59CD" w:rsidRDefault="00BB59CD" w:rsidP="00BB59CD">
      <w:pPr>
        <w:rPr>
          <w:rtl/>
        </w:rPr>
      </w:pPr>
      <w:bookmarkStart w:id="83390" w:name="_ETM_Q173_355049"/>
      <w:bookmarkStart w:id="83391" w:name="_ETM_Q173_355119"/>
      <w:bookmarkStart w:id="83392" w:name="_ETM_Q173_355193"/>
      <w:bookmarkEnd w:id="83390"/>
      <w:bookmarkEnd w:id="83391"/>
      <w:bookmarkEnd w:id="83392"/>
    </w:p>
    <w:p w:rsidR="00BB59CD" w:rsidRDefault="00BB59CD" w:rsidP="00BB59CD">
      <w:pPr>
        <w:pStyle w:val="af8"/>
        <w:keepNext/>
        <w:rPr>
          <w:rtl/>
        </w:rPr>
      </w:pPr>
      <w:bookmarkStart w:id="83393" w:name="_ETM_Q173_355259"/>
      <w:bookmarkEnd w:id="83393"/>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 -</w:t>
      </w:r>
    </w:p>
    <w:p w:rsidR="00BB59CD" w:rsidRDefault="00BB59CD" w:rsidP="00BB59CD">
      <w:pPr>
        <w:rPr>
          <w:rtl/>
        </w:rPr>
      </w:pPr>
    </w:p>
    <w:p w:rsidR="00BB59CD" w:rsidRDefault="00BB59CD" w:rsidP="00BB59CD">
      <w:pPr>
        <w:ind w:firstLine="0"/>
        <w:jc w:val="center"/>
        <w:rPr>
          <w:rtl/>
        </w:rPr>
      </w:pPr>
      <w:r>
        <w:rPr>
          <w:rFonts w:hint="cs"/>
          <w:rtl/>
        </w:rPr>
        <w:t>(חבר הכנסת יוראי להב הרצנו יוצא מאולם המליאה)</w:t>
      </w:r>
    </w:p>
    <w:p w:rsidR="00BB59CD" w:rsidRDefault="00BB59CD" w:rsidP="00BB59CD">
      <w:pPr>
        <w:rPr>
          <w:rtl/>
        </w:rPr>
      </w:pPr>
    </w:p>
    <w:p w:rsidR="00BB59CD" w:rsidRDefault="00BB59CD" w:rsidP="00BB59CD">
      <w:pPr>
        <w:pStyle w:val="af8"/>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rPr>
      </w:pPr>
    </w:p>
    <w:p w:rsidR="00BB59CD" w:rsidRDefault="00BB59CD" w:rsidP="00BB59CD">
      <w:pPr>
        <w:rPr>
          <w:rtl/>
        </w:rPr>
      </w:pPr>
      <w:r>
        <w:rPr>
          <w:rFonts w:hint="cs"/>
          <w:rtl/>
        </w:rPr>
        <w:t>מיכאל מלכיאלי</w:t>
      </w:r>
      <w:r>
        <w:rPr>
          <w:rFonts w:hint="cs"/>
          <w:rtl/>
        </w:rPr>
        <w:tab/>
      </w:r>
      <w:r>
        <w:rPr>
          <w:rFonts w:hint="cs"/>
          <w:rtl/>
        </w:rPr>
        <w:tab/>
        <w:t>–   בעד</w:t>
      </w:r>
    </w:p>
    <w:p w:rsidR="00BB59CD" w:rsidRDefault="00BB59CD" w:rsidP="00BB59CD">
      <w:pPr>
        <w:rPr>
          <w:rtl/>
        </w:rPr>
      </w:pPr>
      <w:r>
        <w:rPr>
          <w:rFonts w:hint="cs"/>
          <w:rtl/>
        </w:rPr>
        <w:t>צגה מלקו</w:t>
      </w:r>
      <w:r>
        <w:rPr>
          <w:rFonts w:hint="cs"/>
          <w:rtl/>
        </w:rPr>
        <w:tab/>
      </w:r>
      <w:r>
        <w:rPr>
          <w:rFonts w:hint="cs"/>
          <w:rtl/>
        </w:rPr>
        <w:tab/>
        <w:t>–   בעד</w:t>
      </w:r>
    </w:p>
    <w:p w:rsidR="00BB59CD" w:rsidRDefault="00BB59CD" w:rsidP="00BB59CD">
      <w:pPr>
        <w:rPr>
          <w:rtl/>
        </w:rPr>
      </w:pPr>
      <w:r>
        <w:rPr>
          <w:rFonts w:hint="cs"/>
          <w:rtl/>
        </w:rPr>
        <w:t>אבי מעוז</w:t>
      </w:r>
      <w:r>
        <w:rPr>
          <w:rFonts w:hint="cs"/>
          <w:rtl/>
        </w:rPr>
        <w:tab/>
      </w:r>
      <w:r>
        <w:rPr>
          <w:rFonts w:hint="cs"/>
          <w:rtl/>
        </w:rPr>
        <w:tab/>
        <w:t>–   בעד</w:t>
      </w:r>
    </w:p>
    <w:p w:rsidR="00BB59CD" w:rsidRDefault="00BB59CD" w:rsidP="00BB59CD">
      <w:pPr>
        <w:rPr>
          <w:rtl/>
        </w:rPr>
      </w:pPr>
      <w:r>
        <w:rPr>
          <w:rFonts w:hint="cs"/>
          <w:rtl/>
        </w:rPr>
        <w:t>שרון ניר</w:t>
      </w:r>
      <w:r>
        <w:rPr>
          <w:rFonts w:hint="cs"/>
          <w:rtl/>
        </w:rPr>
        <w:tab/>
      </w:r>
      <w:r>
        <w:rPr>
          <w:rFonts w:hint="cs"/>
          <w:rtl/>
        </w:rPr>
        <w:tab/>
      </w:r>
      <w:r>
        <w:rPr>
          <w:rFonts w:hint="cs"/>
          <w:rtl/>
        </w:rPr>
        <w:tab/>
        <w:t>–   נגד</w:t>
      </w:r>
    </w:p>
    <w:p w:rsidR="00BB59CD" w:rsidRDefault="00BB59CD" w:rsidP="00BB59CD">
      <w:pPr>
        <w:rPr>
          <w:rtl/>
        </w:rPr>
      </w:pPr>
      <w:r>
        <w:rPr>
          <w:rFonts w:hint="cs"/>
          <w:rtl/>
        </w:rPr>
        <w:t>בנימין נתניהו</w:t>
      </w:r>
      <w:r>
        <w:rPr>
          <w:rFonts w:hint="cs"/>
          <w:rtl/>
        </w:rPr>
        <w:tab/>
      </w:r>
      <w:r>
        <w:rPr>
          <w:rFonts w:hint="cs"/>
          <w:rtl/>
        </w:rPr>
        <w:tab/>
        <w:t>–   בעד</w:t>
      </w:r>
    </w:p>
    <w:p w:rsidR="00BB59CD" w:rsidRDefault="00BB59CD" w:rsidP="00BB59CD">
      <w:pPr>
        <w:rPr>
          <w:rtl/>
        </w:rPr>
      </w:pPr>
      <w:r>
        <w:rPr>
          <w:rFonts w:hint="cs"/>
          <w:rtl/>
        </w:rPr>
        <w:t>יואב סגלוביץ'</w:t>
      </w:r>
      <w:r>
        <w:rPr>
          <w:rFonts w:hint="cs"/>
          <w:rtl/>
        </w:rPr>
        <w:tab/>
      </w:r>
      <w:r>
        <w:rPr>
          <w:rFonts w:hint="cs"/>
          <w:rtl/>
        </w:rPr>
        <w:tab/>
        <w:t>–   נגד</w:t>
      </w:r>
    </w:p>
    <w:p w:rsidR="00BB59CD" w:rsidRDefault="00BB59CD" w:rsidP="00BB59CD">
      <w:pPr>
        <w:rPr>
          <w:rtl/>
        </w:rPr>
      </w:pPr>
      <w:r>
        <w:rPr>
          <w:rFonts w:hint="cs"/>
          <w:rtl/>
        </w:rPr>
        <w:t>יבגני סובה</w:t>
      </w:r>
      <w:r>
        <w:rPr>
          <w:rFonts w:hint="cs"/>
          <w:rtl/>
        </w:rPr>
        <w:tab/>
      </w:r>
      <w:r>
        <w:rPr>
          <w:rFonts w:hint="cs"/>
          <w:rtl/>
        </w:rPr>
        <w:tab/>
        <w:t>–   נגד</w:t>
      </w:r>
    </w:p>
    <w:p w:rsidR="00BB59CD" w:rsidRDefault="00BB59CD" w:rsidP="00BB59CD">
      <w:pPr>
        <w:rPr>
          <w:rtl/>
        </w:rPr>
      </w:pPr>
      <w:r>
        <w:rPr>
          <w:rFonts w:hint="cs"/>
          <w:rtl/>
        </w:rPr>
        <w:t>צבי ידידיה סוכות</w:t>
      </w:r>
      <w:r>
        <w:rPr>
          <w:rFonts w:hint="cs"/>
          <w:rtl/>
        </w:rPr>
        <w:tab/>
      </w:r>
      <w:r>
        <w:rPr>
          <w:rFonts w:hint="cs"/>
          <w:rtl/>
        </w:rPr>
        <w:tab/>
        <w:t>–   בעד</w:t>
      </w:r>
    </w:p>
    <w:p w:rsidR="00BB59CD" w:rsidRDefault="00BB59CD" w:rsidP="00BB59CD">
      <w:pPr>
        <w:rPr>
          <w:rtl/>
        </w:rPr>
      </w:pPr>
      <w:r>
        <w:rPr>
          <w:rFonts w:hint="cs"/>
          <w:rtl/>
        </w:rPr>
        <w:t>משה סולומון</w:t>
      </w:r>
      <w:r>
        <w:rPr>
          <w:rFonts w:hint="cs"/>
          <w:rtl/>
        </w:rPr>
        <w:tab/>
      </w:r>
      <w:r>
        <w:rPr>
          <w:rFonts w:hint="cs"/>
          <w:rtl/>
        </w:rPr>
        <w:tab/>
        <w:t>–   בעד</w:t>
      </w:r>
    </w:p>
    <w:p w:rsidR="00BB59CD" w:rsidRDefault="00BB59CD" w:rsidP="00BB59CD">
      <w:pPr>
        <w:rPr>
          <w:rtl/>
        </w:rPr>
      </w:pPr>
      <w:r>
        <w:rPr>
          <w:rFonts w:hint="cs"/>
          <w:rtl/>
        </w:rPr>
        <w:t>לימור סון הר מלך</w:t>
      </w:r>
      <w:r>
        <w:rPr>
          <w:rFonts w:hint="cs"/>
          <w:rtl/>
        </w:rPr>
        <w:tab/>
        <w:t>–   בעד</w:t>
      </w:r>
    </w:p>
    <w:p w:rsidR="00BB59CD" w:rsidRDefault="00BB59CD" w:rsidP="00BB59CD">
      <w:pPr>
        <w:rPr>
          <w:rtl/>
        </w:rPr>
      </w:pPr>
      <w:r>
        <w:rPr>
          <w:rFonts w:hint="cs"/>
          <w:rtl/>
        </w:rPr>
        <w:t>אופיר סופר</w:t>
      </w:r>
      <w:r>
        <w:rPr>
          <w:rFonts w:hint="cs"/>
          <w:rtl/>
        </w:rPr>
        <w:tab/>
      </w:r>
      <w:r>
        <w:rPr>
          <w:rFonts w:hint="cs"/>
          <w:rtl/>
        </w:rPr>
        <w:tab/>
        <w:t>–   בעד</w:t>
      </w:r>
    </w:p>
    <w:p w:rsidR="00BB59CD" w:rsidRDefault="00BB59CD" w:rsidP="00BB59CD">
      <w:pPr>
        <w:rPr>
          <w:rtl/>
        </w:rPr>
      </w:pPr>
      <w:r>
        <w:rPr>
          <w:rFonts w:hint="cs"/>
          <w:rtl/>
        </w:rPr>
        <w:t>אורית מלכה סטרוק</w:t>
      </w:r>
      <w:r>
        <w:rPr>
          <w:rFonts w:hint="cs"/>
          <w:rtl/>
        </w:rPr>
        <w:tab/>
        <w:t>–   בעד</w:t>
      </w:r>
    </w:p>
    <w:p w:rsidR="00BB59CD" w:rsidRDefault="00BB59CD" w:rsidP="00BB59CD">
      <w:pPr>
        <w:rPr>
          <w:rtl/>
        </w:rPr>
      </w:pPr>
      <w:r>
        <w:rPr>
          <w:rFonts w:hint="cs"/>
          <w:rtl/>
        </w:rPr>
        <w:t>משה סעדה</w:t>
      </w:r>
      <w:r>
        <w:rPr>
          <w:rFonts w:hint="cs"/>
          <w:rtl/>
        </w:rPr>
        <w:tab/>
      </w:r>
      <w:r>
        <w:rPr>
          <w:rFonts w:hint="cs"/>
          <w:rtl/>
        </w:rPr>
        <w:tab/>
        <w:t>–   בעד</w:t>
      </w:r>
    </w:p>
    <w:p w:rsidR="00BB59CD" w:rsidRDefault="00BB59CD" w:rsidP="00BB59CD">
      <w:pPr>
        <w:rPr>
          <w:rtl/>
        </w:rPr>
      </w:pPr>
      <w:r>
        <w:rPr>
          <w:rFonts w:hint="cs"/>
          <w:rtl/>
        </w:rPr>
        <w:t>גדעון סער</w:t>
      </w:r>
      <w:r>
        <w:rPr>
          <w:rFonts w:hint="cs"/>
          <w:rtl/>
        </w:rPr>
        <w:tab/>
      </w:r>
      <w:r>
        <w:rPr>
          <w:rFonts w:hint="cs"/>
          <w:rtl/>
        </w:rPr>
        <w:tab/>
        <w:t>–   נגד</w:t>
      </w:r>
    </w:p>
    <w:p w:rsidR="00BB59CD" w:rsidRDefault="00BB59CD" w:rsidP="00BB59CD">
      <w:pPr>
        <w:rPr>
          <w:rtl/>
        </w:rPr>
      </w:pPr>
      <w:r>
        <w:rPr>
          <w:rFonts w:hint="cs"/>
          <w:rtl/>
        </w:rPr>
        <w:t>מנסור עבאס</w:t>
      </w:r>
      <w:r>
        <w:rPr>
          <w:rFonts w:hint="cs"/>
          <w:rtl/>
        </w:rPr>
        <w:tab/>
      </w:r>
      <w:r>
        <w:rPr>
          <w:rFonts w:hint="cs"/>
          <w:rtl/>
        </w:rPr>
        <w:tab/>
        <w:t>–   נגד</w:t>
      </w:r>
    </w:p>
    <w:p w:rsidR="00BB59CD" w:rsidRDefault="00BB59CD" w:rsidP="00BB59CD">
      <w:pPr>
        <w:rPr>
          <w:rtl/>
        </w:rPr>
      </w:pPr>
      <w:r>
        <w:rPr>
          <w:rFonts w:hint="cs"/>
          <w:rtl/>
        </w:rPr>
        <w:t>איימן עודה</w:t>
      </w:r>
      <w:r>
        <w:rPr>
          <w:rFonts w:hint="cs"/>
          <w:rtl/>
        </w:rPr>
        <w:tab/>
      </w:r>
      <w:r>
        <w:rPr>
          <w:rFonts w:hint="cs"/>
          <w:rtl/>
        </w:rPr>
        <w:tab/>
        <w:t>–   נגד</w:t>
      </w:r>
    </w:p>
    <w:p w:rsidR="00BB59CD" w:rsidRDefault="00BB59CD" w:rsidP="00BB59CD">
      <w:pPr>
        <w:rPr>
          <w:rtl/>
        </w:rPr>
      </w:pPr>
      <w:r>
        <w:rPr>
          <w:rFonts w:hint="cs"/>
          <w:rtl/>
        </w:rPr>
        <w:t>יוסף עטאונה</w:t>
      </w:r>
      <w:r>
        <w:rPr>
          <w:rFonts w:hint="cs"/>
          <w:rtl/>
        </w:rPr>
        <w:tab/>
      </w:r>
      <w:r>
        <w:rPr>
          <w:rFonts w:hint="cs"/>
          <w:rtl/>
        </w:rPr>
        <w:tab/>
        <w:t>–   נגד</w:t>
      </w:r>
    </w:p>
    <w:p w:rsidR="00BB59CD" w:rsidRDefault="00BB59CD" w:rsidP="00BB59CD">
      <w:pPr>
        <w:rPr>
          <w:rtl/>
        </w:rPr>
      </w:pPr>
      <w:r>
        <w:rPr>
          <w:rFonts w:hint="cs"/>
          <w:rtl/>
        </w:rPr>
        <w:t>חוה אתי עטייה</w:t>
      </w:r>
      <w:r>
        <w:rPr>
          <w:rFonts w:hint="cs"/>
          <w:rtl/>
        </w:rPr>
        <w:tab/>
      </w:r>
      <w:r>
        <w:rPr>
          <w:rFonts w:hint="cs"/>
          <w:rtl/>
        </w:rPr>
        <w:tab/>
        <w:t>–   בעד</w:t>
      </w:r>
    </w:p>
    <w:p w:rsidR="00BB59CD" w:rsidRDefault="00BB59CD" w:rsidP="00BB59CD">
      <w:pPr>
        <w:rPr>
          <w:rtl/>
        </w:rPr>
      </w:pPr>
      <w:r>
        <w:rPr>
          <w:rFonts w:hint="cs"/>
          <w:rtl/>
        </w:rPr>
        <w:t>חמד עמאר</w:t>
      </w:r>
      <w:r>
        <w:rPr>
          <w:rFonts w:hint="cs"/>
          <w:rtl/>
        </w:rPr>
        <w:tab/>
      </w:r>
      <w:r>
        <w:rPr>
          <w:rFonts w:hint="cs"/>
          <w:rtl/>
        </w:rPr>
        <w:tab/>
        <w:t>–   נגד</w:t>
      </w:r>
    </w:p>
    <w:p w:rsidR="00BB59CD" w:rsidRDefault="00BB59CD" w:rsidP="00BB59CD">
      <w:pPr>
        <w:rPr>
          <w:rtl/>
        </w:rPr>
      </w:pPr>
      <w:r>
        <w:rPr>
          <w:rFonts w:hint="cs"/>
          <w:rtl/>
        </w:rPr>
        <w:t>צביקה פוגל</w:t>
      </w:r>
      <w:r>
        <w:rPr>
          <w:rFonts w:hint="cs"/>
          <w:rtl/>
        </w:rPr>
        <w:tab/>
      </w:r>
      <w:r>
        <w:rPr>
          <w:rFonts w:hint="cs"/>
          <w:rtl/>
        </w:rPr>
        <w:tab/>
        <w:t>–   בעד</w:t>
      </w:r>
    </w:p>
    <w:p w:rsidR="00BB59CD" w:rsidRDefault="00BB59CD" w:rsidP="00BB59CD">
      <w:pPr>
        <w:rPr>
          <w:rtl/>
        </w:rPr>
      </w:pPr>
      <w:r>
        <w:rPr>
          <w:rFonts w:hint="cs"/>
          <w:rtl/>
        </w:rPr>
        <w:t>עודד פורר</w:t>
      </w:r>
      <w:r>
        <w:rPr>
          <w:rFonts w:hint="cs"/>
          <w:rtl/>
        </w:rPr>
        <w:tab/>
      </w:r>
      <w:r>
        <w:rPr>
          <w:rFonts w:hint="cs"/>
          <w:rtl/>
        </w:rPr>
        <w:tab/>
        <w:t>–   נגד</w:t>
      </w:r>
    </w:p>
    <w:p w:rsidR="00BB59CD" w:rsidRDefault="00BB59CD" w:rsidP="00BB59CD">
      <w:pPr>
        <w:rPr>
          <w:rtl/>
        </w:rPr>
      </w:pPr>
      <w:r>
        <w:rPr>
          <w:rFonts w:hint="cs"/>
          <w:rtl/>
        </w:rPr>
        <w:t>יצחק פינדרוס</w:t>
      </w:r>
      <w:r>
        <w:rPr>
          <w:rFonts w:hint="cs"/>
          <w:rtl/>
        </w:rPr>
        <w:tab/>
      </w:r>
      <w:r>
        <w:rPr>
          <w:rFonts w:hint="cs"/>
          <w:rtl/>
        </w:rPr>
        <w:tab/>
        <w:t>–   בעד</w:t>
      </w:r>
    </w:p>
    <w:p w:rsidR="00BB59CD" w:rsidRDefault="00BB59CD" w:rsidP="00BB59CD">
      <w:pPr>
        <w:rPr>
          <w:rtl/>
        </w:rPr>
      </w:pPr>
      <w:r>
        <w:rPr>
          <w:rFonts w:hint="cs"/>
          <w:rtl/>
        </w:rPr>
        <w:t>משה פסל</w:t>
      </w:r>
      <w:r>
        <w:rPr>
          <w:rFonts w:hint="cs"/>
          <w:rtl/>
        </w:rPr>
        <w:tab/>
      </w:r>
      <w:r>
        <w:rPr>
          <w:rFonts w:hint="cs"/>
          <w:rtl/>
        </w:rPr>
        <w:tab/>
        <w:t>–   בעד</w:t>
      </w:r>
    </w:p>
    <w:p w:rsidR="00BB59CD" w:rsidRDefault="00BB59CD" w:rsidP="00BB59CD">
      <w:pPr>
        <w:rPr>
          <w:rtl/>
        </w:rPr>
      </w:pPr>
      <w:r>
        <w:rPr>
          <w:rFonts w:hint="cs"/>
          <w:rtl/>
        </w:rPr>
        <w:t>יסמין פרידמן</w:t>
      </w:r>
      <w:r>
        <w:rPr>
          <w:rFonts w:hint="cs"/>
          <w:rtl/>
        </w:rPr>
        <w:tab/>
      </w:r>
      <w:r>
        <w:rPr>
          <w:rFonts w:hint="cs"/>
          <w:rtl/>
        </w:rPr>
        <w:tab/>
        <w:t>–   נגד</w:t>
      </w:r>
    </w:p>
    <w:p w:rsidR="00BB59CD" w:rsidRDefault="00BB59CD" w:rsidP="00BB59CD">
      <w:pPr>
        <w:rPr>
          <w:rtl/>
        </w:rPr>
      </w:pPr>
      <w:r>
        <w:rPr>
          <w:rFonts w:hint="cs"/>
          <w:rtl/>
        </w:rPr>
        <w:t>אורית פרקש הכהן</w:t>
      </w:r>
      <w:r>
        <w:rPr>
          <w:rFonts w:hint="cs"/>
          <w:rtl/>
        </w:rPr>
        <w:tab/>
        <w:t>–   נגד</w:t>
      </w:r>
    </w:p>
    <w:p w:rsidR="00BB59CD" w:rsidRDefault="00BB59CD" w:rsidP="00BB59CD">
      <w:pPr>
        <w:rPr>
          <w:rtl/>
        </w:rPr>
      </w:pPr>
      <w:r>
        <w:rPr>
          <w:rFonts w:hint="cs"/>
          <w:rtl/>
        </w:rPr>
        <w:t>מטי צרפתי הרכבי</w:t>
      </w:r>
      <w:r>
        <w:rPr>
          <w:rFonts w:hint="cs"/>
          <w:rtl/>
        </w:rPr>
        <w:tab/>
        <w:t>–   נגד</w:t>
      </w:r>
    </w:p>
    <w:p w:rsidR="00BB59CD" w:rsidRDefault="00BB59CD" w:rsidP="00BB59CD">
      <w:pPr>
        <w:rPr>
          <w:rtl/>
        </w:rPr>
      </w:pPr>
      <w:r>
        <w:rPr>
          <w:rFonts w:hint="cs"/>
          <w:rtl/>
        </w:rPr>
        <w:t>אריאל קלנר</w:t>
      </w:r>
      <w:r>
        <w:rPr>
          <w:rFonts w:hint="cs"/>
          <w:rtl/>
        </w:rPr>
        <w:tab/>
      </w:r>
      <w:r>
        <w:rPr>
          <w:rFonts w:hint="cs"/>
          <w:rtl/>
        </w:rPr>
        <w:tab/>
        <w:t>–   בעד</w:t>
      </w:r>
    </w:p>
    <w:p w:rsidR="00BB59CD" w:rsidRDefault="00BB59CD" w:rsidP="00BB59CD">
      <w:pPr>
        <w:rPr>
          <w:rtl/>
        </w:rPr>
      </w:pPr>
      <w:r>
        <w:rPr>
          <w:rFonts w:hint="cs"/>
          <w:rtl/>
        </w:rPr>
        <w:t>יצחק קרויזר</w:t>
      </w:r>
      <w:r>
        <w:rPr>
          <w:rFonts w:hint="cs"/>
          <w:rtl/>
        </w:rPr>
        <w:tab/>
      </w:r>
      <w:r>
        <w:rPr>
          <w:rFonts w:hint="cs"/>
          <w:rtl/>
        </w:rPr>
        <w:tab/>
        <w:t>–   בעד</w:t>
      </w:r>
    </w:p>
    <w:p w:rsidR="00BB59CD" w:rsidRDefault="00BB59CD" w:rsidP="00BB59CD">
      <w:pPr>
        <w:rPr>
          <w:rtl/>
        </w:rPr>
      </w:pPr>
      <w:r>
        <w:rPr>
          <w:rFonts w:hint="cs"/>
          <w:rtl/>
        </w:rPr>
        <w:t>גלעד קריב</w:t>
      </w:r>
      <w:r>
        <w:rPr>
          <w:rFonts w:hint="cs"/>
          <w:rtl/>
        </w:rPr>
        <w:tab/>
      </w:r>
      <w:r>
        <w:rPr>
          <w:rFonts w:hint="cs"/>
          <w:rtl/>
        </w:rPr>
        <w:tab/>
        <w:t>–   נגד</w:t>
      </w:r>
    </w:p>
    <w:p w:rsidR="00BB59CD" w:rsidRDefault="00BB59CD" w:rsidP="00BB59CD">
      <w:pPr>
        <w:rPr>
          <w:rtl/>
        </w:rPr>
      </w:pPr>
      <w:r>
        <w:rPr>
          <w:rFonts w:hint="cs"/>
          <w:rtl/>
        </w:rPr>
        <w:t>שלמה קרעי</w:t>
      </w:r>
      <w:r>
        <w:rPr>
          <w:rFonts w:hint="cs"/>
          <w:rtl/>
        </w:rPr>
        <w:tab/>
      </w:r>
      <w:r>
        <w:rPr>
          <w:rFonts w:hint="cs"/>
          <w:rtl/>
        </w:rPr>
        <w:tab/>
        <w:t>–   בעד</w:t>
      </w:r>
    </w:p>
    <w:p w:rsidR="00BB59CD" w:rsidRDefault="00BB59CD" w:rsidP="00BB59CD">
      <w:pPr>
        <w:rPr>
          <w:rtl/>
        </w:rPr>
      </w:pPr>
      <w:r>
        <w:rPr>
          <w:rFonts w:hint="cs"/>
          <w:rtl/>
        </w:rPr>
        <w:t>אליהו רביבו</w:t>
      </w:r>
      <w:r>
        <w:rPr>
          <w:rFonts w:hint="cs"/>
          <w:rtl/>
        </w:rPr>
        <w:tab/>
      </w:r>
      <w:r>
        <w:rPr>
          <w:rFonts w:hint="cs"/>
          <w:rtl/>
        </w:rPr>
        <w:tab/>
        <w:t>–   אינו נוכח</w:t>
      </w:r>
    </w:p>
    <w:p w:rsidR="00BB59CD" w:rsidRDefault="00BB59CD" w:rsidP="00BB59CD">
      <w:pPr>
        <w:rPr>
          <w:rtl/>
        </w:rPr>
      </w:pPr>
      <w:r>
        <w:rPr>
          <w:rFonts w:hint="cs"/>
          <w:rtl/>
        </w:rPr>
        <w:t>משה רוט</w:t>
      </w:r>
      <w:r>
        <w:rPr>
          <w:rFonts w:hint="cs"/>
          <w:rtl/>
        </w:rPr>
        <w:tab/>
      </w:r>
      <w:r>
        <w:rPr>
          <w:rFonts w:hint="cs"/>
          <w:rtl/>
        </w:rPr>
        <w:tab/>
        <w:t>–   בעד</w:t>
      </w:r>
    </w:p>
    <w:p w:rsidR="00BB59CD" w:rsidRDefault="00BB59CD" w:rsidP="00BB59CD">
      <w:pPr>
        <w:rPr>
          <w:rtl/>
        </w:rPr>
      </w:pPr>
      <w:r>
        <w:rPr>
          <w:rFonts w:hint="cs"/>
          <w:rtl/>
        </w:rPr>
        <w:t>שמחה רוטמן</w:t>
      </w:r>
      <w:r>
        <w:rPr>
          <w:rFonts w:hint="cs"/>
          <w:rtl/>
        </w:rPr>
        <w:tab/>
      </w:r>
      <w:r>
        <w:rPr>
          <w:rFonts w:hint="cs"/>
          <w:rtl/>
        </w:rPr>
        <w:tab/>
        <w:t>–   בעד</w:t>
      </w:r>
    </w:p>
    <w:p w:rsidR="00BB59CD" w:rsidRDefault="00BB59CD" w:rsidP="00BB59CD">
      <w:pPr>
        <w:rPr>
          <w:rtl/>
        </w:rPr>
      </w:pPr>
      <w:r>
        <w:rPr>
          <w:rFonts w:hint="cs"/>
          <w:rtl/>
        </w:rPr>
        <w:t>עידן רול</w:t>
      </w:r>
      <w:r>
        <w:rPr>
          <w:rFonts w:hint="cs"/>
          <w:rtl/>
        </w:rPr>
        <w:tab/>
      </w:r>
      <w:r>
        <w:rPr>
          <w:rFonts w:hint="cs"/>
          <w:rtl/>
        </w:rPr>
        <w:tab/>
      </w:r>
      <w:r>
        <w:rPr>
          <w:rFonts w:hint="cs"/>
          <w:rtl/>
        </w:rPr>
        <w:tab/>
        <w:t>–   נגד</w:t>
      </w:r>
    </w:p>
    <w:p w:rsidR="00BB59CD" w:rsidRDefault="00BB59CD" w:rsidP="00BB59CD">
      <w:pPr>
        <w:rPr>
          <w:rtl/>
        </w:rPr>
      </w:pPr>
      <w:r>
        <w:rPr>
          <w:rFonts w:hint="cs"/>
          <w:rtl/>
        </w:rPr>
        <w:t>אפרת רייטן מרום</w:t>
      </w:r>
      <w:r>
        <w:rPr>
          <w:rFonts w:hint="cs"/>
          <w:rtl/>
        </w:rPr>
        <w:tab/>
        <w:t>–   נגד</w:t>
      </w:r>
    </w:p>
    <w:p w:rsidR="00BB59CD" w:rsidRDefault="00BB59CD" w:rsidP="00BB59CD">
      <w:pPr>
        <w:rPr>
          <w:rtl/>
        </w:rPr>
      </w:pPr>
      <w:r>
        <w:rPr>
          <w:rFonts w:hint="cs"/>
          <w:rtl/>
        </w:rPr>
        <w:t>יפעת שאשא ביטון</w:t>
      </w:r>
      <w:r>
        <w:rPr>
          <w:rFonts w:hint="cs"/>
          <w:rtl/>
        </w:rPr>
        <w:tab/>
        <w:t>–   נגד</w:t>
      </w:r>
    </w:p>
    <w:p w:rsidR="00BB59CD" w:rsidRDefault="00BB59CD" w:rsidP="00BB59CD">
      <w:pPr>
        <w:rPr>
          <w:rtl/>
        </w:rPr>
      </w:pPr>
      <w:r>
        <w:rPr>
          <w:rFonts w:hint="cs"/>
          <w:rtl/>
        </w:rPr>
        <w:t>אלון שוסטר</w:t>
      </w:r>
      <w:r>
        <w:rPr>
          <w:rFonts w:hint="cs"/>
          <w:rtl/>
        </w:rPr>
        <w:tab/>
      </w:r>
      <w:r>
        <w:rPr>
          <w:rFonts w:hint="cs"/>
          <w:rtl/>
        </w:rPr>
        <w:tab/>
        <w:t>–   נגד</w:t>
      </w:r>
    </w:p>
    <w:p w:rsidR="00BB59CD" w:rsidRDefault="00BB59CD" w:rsidP="00BB59CD">
      <w:pPr>
        <w:rPr>
          <w:rtl/>
        </w:rPr>
      </w:pPr>
      <w:r>
        <w:rPr>
          <w:rFonts w:hint="cs"/>
          <w:rtl/>
        </w:rPr>
        <w:t>קטי קטרין שטרית</w:t>
      </w:r>
      <w:r>
        <w:rPr>
          <w:rFonts w:hint="cs"/>
          <w:rtl/>
        </w:rPr>
        <w:tab/>
        <w:t>–   בעד</w:t>
      </w:r>
    </w:p>
    <w:p w:rsidR="00BB59CD" w:rsidRDefault="00BB59CD" w:rsidP="00BB59CD">
      <w:pPr>
        <w:rPr>
          <w:rtl/>
        </w:rPr>
      </w:pPr>
      <w:r>
        <w:rPr>
          <w:rFonts w:hint="cs"/>
          <w:rtl/>
        </w:rPr>
        <w:t>אלעזר שטרן</w:t>
      </w:r>
      <w:r>
        <w:rPr>
          <w:rFonts w:hint="cs"/>
          <w:rtl/>
        </w:rPr>
        <w:tab/>
      </w:r>
      <w:r>
        <w:rPr>
          <w:rFonts w:hint="cs"/>
          <w:rtl/>
        </w:rPr>
        <w:tab/>
        <w:t>–   נגד</w:t>
      </w:r>
    </w:p>
    <w:p w:rsidR="00BB59CD" w:rsidRDefault="00BB59CD" w:rsidP="00BB59CD">
      <w:pPr>
        <w:rPr>
          <w:rtl/>
        </w:rPr>
      </w:pPr>
      <w:r>
        <w:rPr>
          <w:rFonts w:hint="cs"/>
          <w:rtl/>
        </w:rPr>
        <w:t>מיכל שיר סגמן</w:t>
      </w:r>
      <w:r>
        <w:rPr>
          <w:rFonts w:hint="cs"/>
          <w:rtl/>
        </w:rPr>
        <w:tab/>
      </w:r>
      <w:r>
        <w:rPr>
          <w:rFonts w:hint="cs"/>
          <w:rtl/>
        </w:rPr>
        <w:tab/>
        <w:t>–   נגד</w:t>
      </w:r>
    </w:p>
    <w:p w:rsidR="00BB59CD" w:rsidRDefault="00BB59CD" w:rsidP="00BB59CD">
      <w:pPr>
        <w:rPr>
          <w:rtl/>
        </w:rPr>
      </w:pPr>
      <w:r>
        <w:rPr>
          <w:rFonts w:hint="cs"/>
          <w:rtl/>
        </w:rPr>
        <w:t>נאור שירי</w:t>
      </w:r>
      <w:r>
        <w:rPr>
          <w:rFonts w:hint="cs"/>
          <w:rtl/>
        </w:rPr>
        <w:tab/>
      </w:r>
      <w:r>
        <w:rPr>
          <w:rFonts w:hint="cs"/>
          <w:rtl/>
        </w:rPr>
        <w:tab/>
        <w:t>–   נגד</w:t>
      </w:r>
    </w:p>
    <w:p w:rsidR="00BB59CD" w:rsidRDefault="00BB59CD" w:rsidP="00BB59CD">
      <w:pPr>
        <w:rPr>
          <w:rtl/>
        </w:rPr>
      </w:pPr>
      <w:r>
        <w:rPr>
          <w:rFonts w:hint="cs"/>
          <w:rtl/>
        </w:rPr>
        <w:t>אושר שקלים</w:t>
      </w:r>
      <w:r>
        <w:rPr>
          <w:rFonts w:hint="cs"/>
          <w:rtl/>
        </w:rPr>
        <w:tab/>
      </w:r>
      <w:r>
        <w:rPr>
          <w:rFonts w:hint="cs"/>
          <w:rtl/>
        </w:rPr>
        <w:tab/>
        <w:t>–   בעד</w:t>
      </w:r>
    </w:p>
    <w:p w:rsidR="00BB59CD" w:rsidRDefault="00BB59CD" w:rsidP="00BB59CD">
      <w:pPr>
        <w:rPr>
          <w:rtl/>
        </w:rPr>
      </w:pPr>
      <w:r>
        <w:rPr>
          <w:rFonts w:hint="cs"/>
          <w:rtl/>
        </w:rPr>
        <w:t>עאידה תומא סלימאן</w:t>
      </w:r>
      <w:r>
        <w:rPr>
          <w:rFonts w:hint="cs"/>
          <w:rtl/>
        </w:rPr>
        <w:tab/>
        <w:t>–   נגד</w:t>
      </w:r>
    </w:p>
    <w:p w:rsidR="00BB59CD" w:rsidRDefault="00BB59CD" w:rsidP="00BB59CD">
      <w:pPr>
        <w:rPr>
          <w:rtl/>
        </w:rPr>
      </w:pPr>
      <w:r>
        <w:rPr>
          <w:rFonts w:hint="cs"/>
          <w:rtl/>
        </w:rPr>
        <w:t>פנינה תמנו</w:t>
      </w:r>
      <w:r>
        <w:rPr>
          <w:rFonts w:hint="cs"/>
          <w:rtl/>
        </w:rPr>
        <w:tab/>
      </w:r>
      <w:r>
        <w:rPr>
          <w:rFonts w:hint="cs"/>
          <w:rtl/>
        </w:rPr>
        <w:tab/>
        <w:t>–   נגד</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נא קרא בשמות חברי הכנסת שטרם הצביעו. </w:t>
      </w:r>
    </w:p>
    <w:p w:rsidR="00BB59CD" w:rsidRDefault="00BB59CD" w:rsidP="00BB59CD">
      <w:pPr>
        <w:rPr>
          <w:rtl/>
          <w:lang w:eastAsia="he-IL"/>
        </w:rPr>
      </w:pPr>
      <w:bookmarkStart w:id="83394" w:name="_ETM_Q173_583074"/>
      <w:bookmarkStart w:id="83395" w:name="_ETM_Q173_583211"/>
      <w:bookmarkEnd w:id="83394"/>
      <w:bookmarkEnd w:id="83395"/>
    </w:p>
    <w:p w:rsidR="00BB59CD" w:rsidRDefault="00BB59CD" w:rsidP="00BB59CD">
      <w:pPr>
        <w:pStyle w:val="af8"/>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 xml:space="preserve">(קורא בשמות חברי </w:t>
      </w:r>
      <w:bookmarkStart w:id="83396" w:name="_ETM_Q173_591362"/>
      <w:bookmarkEnd w:id="83396"/>
      <w:r>
        <w:rPr>
          <w:rFonts w:hint="cs"/>
          <w:rtl/>
          <w:lang w:eastAsia="he-IL"/>
        </w:rPr>
        <w:t>הכנסת)</w:t>
      </w:r>
    </w:p>
    <w:p w:rsidR="00BB59CD" w:rsidRDefault="00BB59CD" w:rsidP="00BB59CD">
      <w:pPr>
        <w:rPr>
          <w:rtl/>
          <w:lang w:eastAsia="he-IL"/>
        </w:rPr>
      </w:pPr>
      <w:bookmarkStart w:id="83397" w:name="_ETM_Q173_593490"/>
      <w:bookmarkStart w:id="83398" w:name="_ETM_Q173_593622"/>
      <w:bookmarkEnd w:id="83397"/>
      <w:bookmarkEnd w:id="83398"/>
    </w:p>
    <w:p w:rsidR="00BB59CD" w:rsidRDefault="00BB59CD" w:rsidP="00BB59CD">
      <w:pPr>
        <w:rPr>
          <w:rtl/>
        </w:rPr>
      </w:pPr>
      <w:bookmarkStart w:id="83399" w:name="_ETM_Q173_594129"/>
      <w:bookmarkStart w:id="83400" w:name="_ETM_Q173_594236"/>
      <w:bookmarkEnd w:id="83399"/>
      <w:bookmarkEnd w:id="83400"/>
      <w:r>
        <w:rPr>
          <w:rFonts w:hint="cs"/>
          <w:rtl/>
        </w:rPr>
        <w:t>דבי ביטון</w:t>
      </w:r>
      <w:r>
        <w:rPr>
          <w:rFonts w:hint="cs"/>
          <w:rtl/>
        </w:rPr>
        <w:tab/>
      </w:r>
      <w:r>
        <w:rPr>
          <w:rFonts w:hint="cs"/>
          <w:rtl/>
        </w:rPr>
        <w:tab/>
        <w:t>–   נגד</w:t>
      </w:r>
    </w:p>
    <w:p w:rsidR="00BB59CD" w:rsidRDefault="00BB59CD" w:rsidP="00BB59CD">
      <w:pPr>
        <w:rPr>
          <w:rtl/>
        </w:rPr>
      </w:pPr>
      <w:r>
        <w:rPr>
          <w:rFonts w:hint="cs"/>
          <w:rtl/>
        </w:rPr>
        <w:t>משה טור פז</w:t>
      </w:r>
      <w:r>
        <w:rPr>
          <w:rFonts w:hint="cs"/>
          <w:rtl/>
        </w:rPr>
        <w:tab/>
      </w:r>
      <w:r>
        <w:rPr>
          <w:rFonts w:hint="cs"/>
          <w:rtl/>
        </w:rPr>
        <w:tab/>
        <w:t>–   נגד</w:t>
      </w:r>
    </w:p>
    <w:p w:rsidR="00BB59CD" w:rsidRDefault="00BB59CD" w:rsidP="00BB59CD">
      <w:pPr>
        <w:rPr>
          <w:rtl/>
        </w:rPr>
      </w:pPr>
      <w:r>
        <w:rPr>
          <w:rFonts w:hint="cs"/>
          <w:rtl/>
        </w:rPr>
        <w:t>רון כץ</w:t>
      </w:r>
      <w:r>
        <w:rPr>
          <w:rFonts w:hint="cs"/>
          <w:rtl/>
        </w:rPr>
        <w:tab/>
      </w:r>
      <w:r>
        <w:rPr>
          <w:rFonts w:hint="cs"/>
          <w:rtl/>
        </w:rPr>
        <w:tab/>
      </w:r>
      <w:r>
        <w:rPr>
          <w:rFonts w:hint="cs"/>
          <w:rtl/>
        </w:rPr>
        <w:tab/>
        <w:t>–   נגד</w:t>
      </w:r>
    </w:p>
    <w:p w:rsidR="00BB59CD" w:rsidRDefault="00BB59CD" w:rsidP="00BB59CD">
      <w:pPr>
        <w:rPr>
          <w:rtl/>
        </w:rPr>
      </w:pPr>
      <w:r>
        <w:rPr>
          <w:rFonts w:hint="cs"/>
          <w:rtl/>
        </w:rPr>
        <w:t>אליהו רביבו</w:t>
      </w:r>
      <w:r>
        <w:rPr>
          <w:rFonts w:hint="cs"/>
          <w:rtl/>
        </w:rPr>
        <w:tab/>
      </w:r>
      <w:r>
        <w:rPr>
          <w:rFonts w:hint="cs"/>
          <w:rtl/>
        </w:rPr>
        <w:tab/>
        <w:t>–   בעד</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האם יש חברי כנסת באולם </w:t>
      </w:r>
      <w:bookmarkStart w:id="83401" w:name="_ETM_Q173_636104"/>
      <w:bookmarkEnd w:id="83401"/>
      <w:r>
        <w:rPr>
          <w:rFonts w:hint="cs"/>
          <w:rtl/>
          <w:lang w:eastAsia="he-IL"/>
        </w:rPr>
        <w:t xml:space="preserve">שטרם הצביעו ומעוניינים להצביע? אם כן, נא פנו למזכיר </w:t>
      </w:r>
      <w:bookmarkStart w:id="83402" w:name="_ETM_Q173_638764"/>
      <w:bookmarkEnd w:id="83402"/>
      <w:r>
        <w:rPr>
          <w:rFonts w:hint="cs"/>
          <w:rtl/>
          <w:lang w:eastAsia="he-IL"/>
        </w:rPr>
        <w:t xml:space="preserve">הכנסת. אם לאו, תמה ההצבעה. נא לספור את הקולות. </w:t>
      </w:r>
    </w:p>
    <w:p w:rsidR="00BB59CD" w:rsidRDefault="00BB59CD" w:rsidP="00BB59CD">
      <w:pPr>
        <w:rPr>
          <w:rtl/>
          <w:lang w:eastAsia="he-IL"/>
        </w:rPr>
      </w:pPr>
      <w:bookmarkStart w:id="83403" w:name="_ETM_Q173_586641"/>
      <w:bookmarkStart w:id="83404" w:name="_ETM_Q173_654286"/>
      <w:bookmarkStart w:id="83405" w:name="_ETM_Q173_654372"/>
      <w:bookmarkEnd w:id="83403"/>
      <w:bookmarkEnd w:id="83404"/>
      <w:bookmarkEnd w:id="83405"/>
    </w:p>
    <w:p w:rsidR="00BB59CD" w:rsidRDefault="00BB59CD" w:rsidP="00BB59CD">
      <w:pPr>
        <w:pStyle w:val="af8"/>
        <w:keepNext/>
        <w:rPr>
          <w:rtl/>
        </w:rPr>
      </w:pPr>
      <w:bookmarkStart w:id="83406" w:name="ET_interruption_קריאות_11"/>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3406"/>
    </w:p>
    <w:p w:rsidR="00BB59CD" w:rsidRDefault="00BB59CD" w:rsidP="00337201">
      <w:pPr>
        <w:rPr>
          <w:rtl/>
          <w:lang w:eastAsia="he-IL"/>
        </w:rPr>
      </w:pPr>
    </w:p>
    <w:p w:rsidR="00BB59CD" w:rsidRDefault="00BB59CD" w:rsidP="00BB59CD">
      <w:pPr>
        <w:rPr>
          <w:rtl/>
          <w:lang w:eastAsia="he-IL"/>
        </w:rPr>
      </w:pPr>
      <w:bookmarkStart w:id="83407" w:name="_ETM_Q173_656283"/>
      <w:bookmarkStart w:id="83408" w:name="_ETM_Q173_656601"/>
      <w:bookmarkEnd w:id="83407"/>
      <w:bookmarkEnd w:id="83408"/>
      <w:r>
        <w:rPr>
          <w:rFonts w:hint="cs"/>
          <w:rtl/>
          <w:lang w:eastAsia="he-IL"/>
        </w:rPr>
        <w:t>ב</w:t>
      </w:r>
      <w:bookmarkStart w:id="83409" w:name="_ETM_Q173_656676"/>
      <w:bookmarkEnd w:id="83409"/>
      <w:r>
        <w:rPr>
          <w:rFonts w:hint="cs"/>
          <w:rtl/>
          <w:lang w:eastAsia="he-IL"/>
        </w:rPr>
        <w:t xml:space="preserve">ושה, בושה. </w:t>
      </w:r>
    </w:p>
    <w:p w:rsidR="00BB59CD" w:rsidRDefault="00BB59CD" w:rsidP="00BB59CD">
      <w:pPr>
        <w:rPr>
          <w:rtl/>
          <w:lang w:eastAsia="he-IL"/>
        </w:rPr>
      </w:pPr>
    </w:p>
    <w:p w:rsidR="00BB59CD" w:rsidRDefault="00BB59CD" w:rsidP="00BB59CD">
      <w:pPr>
        <w:pStyle w:val="af8"/>
        <w:keepNext/>
        <w:rPr>
          <w:rtl/>
        </w:rPr>
      </w:pPr>
      <w:bookmarkStart w:id="83410" w:name="ET_interruption_5809_12"/>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83410"/>
    </w:p>
    <w:p w:rsidR="00BB59CD" w:rsidRDefault="00BB59CD" w:rsidP="00337201">
      <w:pPr>
        <w:rPr>
          <w:rtl/>
          <w:lang w:eastAsia="he-IL"/>
        </w:rPr>
      </w:pPr>
    </w:p>
    <w:p w:rsidR="00BB59CD" w:rsidRDefault="00BB59CD" w:rsidP="00BB59CD">
      <w:pPr>
        <w:rPr>
          <w:rtl/>
          <w:lang w:eastAsia="he-IL"/>
        </w:rPr>
      </w:pPr>
      <w:bookmarkStart w:id="83411" w:name="_ETM_Q173_655754"/>
      <w:bookmarkEnd w:id="83411"/>
      <w:r>
        <w:rPr>
          <w:rFonts w:hint="cs"/>
          <w:rtl/>
          <w:lang w:eastAsia="he-IL"/>
        </w:rPr>
        <w:t xml:space="preserve">תרכינו ראש, </w:t>
      </w:r>
      <w:bookmarkStart w:id="83412" w:name="_ETM_Q173_657743"/>
      <w:bookmarkEnd w:id="83412"/>
      <w:r>
        <w:rPr>
          <w:rFonts w:hint="cs"/>
          <w:rtl/>
          <w:lang w:eastAsia="he-IL"/>
        </w:rPr>
        <w:t xml:space="preserve">תרכינו. </w:t>
      </w:r>
    </w:p>
    <w:p w:rsidR="00BB59CD" w:rsidRDefault="00BB59CD" w:rsidP="00BB59CD">
      <w:pPr>
        <w:rPr>
          <w:rtl/>
          <w:lang w:eastAsia="he-IL"/>
        </w:rPr>
      </w:pPr>
    </w:p>
    <w:p w:rsidR="00BB59CD" w:rsidRDefault="00BB59CD" w:rsidP="00BB59CD">
      <w:pPr>
        <w:pStyle w:val="af8"/>
        <w:keepNext/>
        <w:rPr>
          <w:rtl/>
        </w:rPr>
      </w:pPr>
      <w:bookmarkStart w:id="83413" w:name="ET_interruption_6127_13"/>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83413"/>
    </w:p>
    <w:p w:rsidR="00BB59CD" w:rsidRDefault="00BB59CD" w:rsidP="00337201">
      <w:pPr>
        <w:rPr>
          <w:rtl/>
          <w:lang w:eastAsia="he-IL"/>
        </w:rPr>
      </w:pPr>
    </w:p>
    <w:p w:rsidR="00BB59CD" w:rsidRDefault="00BB59CD" w:rsidP="00BB59CD">
      <w:pPr>
        <w:rPr>
          <w:rtl/>
          <w:lang w:eastAsia="he-IL"/>
        </w:rPr>
      </w:pPr>
      <w:bookmarkStart w:id="83414" w:name="_ETM_Q173_661656"/>
      <w:bookmarkEnd w:id="83414"/>
      <w:r>
        <w:rPr>
          <w:rFonts w:hint="cs"/>
          <w:rtl/>
          <w:lang w:eastAsia="he-IL"/>
        </w:rPr>
        <w:t xml:space="preserve">העם רואה </w:t>
      </w:r>
      <w:bookmarkStart w:id="83415" w:name="_ETM_Q173_662981"/>
      <w:bookmarkEnd w:id="83415"/>
      <w:r>
        <w:rPr>
          <w:rFonts w:hint="cs"/>
          <w:rtl/>
          <w:lang w:eastAsia="he-IL"/>
        </w:rPr>
        <w:t xml:space="preserve">הכול. ממשלת השנאה. </w:t>
      </w:r>
    </w:p>
    <w:p w:rsidR="00BB59CD" w:rsidRDefault="00BB59CD" w:rsidP="00BB59CD">
      <w:pPr>
        <w:rPr>
          <w:rtl/>
          <w:lang w:eastAsia="he-IL"/>
        </w:rPr>
      </w:pPr>
    </w:p>
    <w:p w:rsidR="00BB59CD" w:rsidRDefault="00BB59CD" w:rsidP="00BB59CD">
      <w:pPr>
        <w:pStyle w:val="af8"/>
        <w:keepNext/>
        <w:rPr>
          <w:rtl/>
        </w:rPr>
      </w:pPr>
      <w:bookmarkStart w:id="83416" w:name="ET_interruption_5084_17"/>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bookmarkEnd w:id="83416"/>
    </w:p>
    <w:p w:rsidR="00BB59CD" w:rsidRDefault="00BB59CD" w:rsidP="00337201">
      <w:pPr>
        <w:rPr>
          <w:lang w:eastAsia="he-IL"/>
        </w:rPr>
      </w:pPr>
    </w:p>
    <w:p w:rsidR="00BB59CD" w:rsidRDefault="00BB59CD" w:rsidP="00BB59CD">
      <w:pPr>
        <w:rPr>
          <w:rtl/>
          <w:lang w:eastAsia="he-IL"/>
        </w:rPr>
      </w:pPr>
      <w:r>
        <w:rPr>
          <w:rFonts w:hint="cs"/>
          <w:rtl/>
          <w:lang w:eastAsia="he-IL"/>
        </w:rPr>
        <w:t xml:space="preserve">ראש הממשלה פחדן, בורח החוצה. </w:t>
      </w:r>
    </w:p>
    <w:p w:rsidR="00BB59CD" w:rsidRDefault="00BB59CD" w:rsidP="00BB59CD">
      <w:pPr>
        <w:rPr>
          <w:rtl/>
          <w:lang w:eastAsia="he-IL"/>
        </w:rPr>
      </w:pPr>
    </w:p>
    <w:p w:rsidR="00BB59CD" w:rsidRDefault="00BB59CD" w:rsidP="00BB59CD">
      <w:pPr>
        <w:pStyle w:val="af8"/>
        <w:keepNext/>
        <w:rPr>
          <w:rtl/>
        </w:rPr>
      </w:pPr>
      <w:bookmarkStart w:id="83417" w:name="ET_interruption_קריאות_22"/>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83417"/>
    </w:p>
    <w:p w:rsidR="00BB59CD" w:rsidRDefault="00BB59CD" w:rsidP="00337201">
      <w:pPr>
        <w:rPr>
          <w:rtl/>
          <w:lang w:eastAsia="he-IL"/>
        </w:rPr>
      </w:pPr>
    </w:p>
    <w:p w:rsidR="00BB59CD" w:rsidRDefault="00BB59CD" w:rsidP="00BB59CD">
      <w:pPr>
        <w:rPr>
          <w:rtl/>
          <w:lang w:eastAsia="he-IL"/>
        </w:rPr>
      </w:pPr>
      <w:bookmarkStart w:id="83418" w:name="_ETM_Q173_714969"/>
      <w:bookmarkStart w:id="83419" w:name="_ETM_Q173_715643"/>
      <w:bookmarkEnd w:id="83418"/>
      <w:bookmarkEnd w:id="83419"/>
      <w:r>
        <w:rPr>
          <w:rFonts w:hint="cs"/>
          <w:rtl/>
          <w:lang w:eastAsia="he-IL"/>
        </w:rPr>
        <w:t>- - -</w:t>
      </w:r>
    </w:p>
    <w:p w:rsidR="00BB59CD" w:rsidRDefault="00BB59CD" w:rsidP="00BB59CD">
      <w:pPr>
        <w:rPr>
          <w:lang w:eastAsia="he-IL"/>
        </w:rPr>
      </w:pPr>
      <w:bookmarkStart w:id="83420" w:name="_ETM_Q173_716331"/>
      <w:bookmarkStart w:id="83421" w:name="_ETM_Q173_716404"/>
      <w:bookmarkEnd w:id="83420"/>
      <w:bookmarkEnd w:id="83421"/>
    </w:p>
    <w:p w:rsidR="00BB59CD" w:rsidRDefault="00BB59CD" w:rsidP="00BB59C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אם כן, 64 בעד, 56 נגד. סעיף 1 אושר כנוסח </w:t>
      </w:r>
      <w:bookmarkStart w:id="83422" w:name="_ETM_Q174_191000"/>
      <w:bookmarkEnd w:id="83422"/>
      <w:r>
        <w:rPr>
          <w:rFonts w:hint="cs"/>
          <w:rtl/>
          <w:lang w:eastAsia="he-IL"/>
        </w:rPr>
        <w:t xml:space="preserve">הוועדה. </w:t>
      </w:r>
    </w:p>
    <w:p w:rsidR="00BB59CD" w:rsidRDefault="00BB59CD" w:rsidP="00BB59CD">
      <w:pPr>
        <w:rPr>
          <w:rtl/>
          <w:lang w:eastAsia="he-IL"/>
        </w:rPr>
      </w:pPr>
      <w:bookmarkStart w:id="83423" w:name="_ETM_Q174_192000"/>
      <w:bookmarkEnd w:id="83423"/>
    </w:p>
    <w:p w:rsidR="00BB59CD" w:rsidRDefault="00BB59CD" w:rsidP="00BB59CD">
      <w:pPr>
        <w:rPr>
          <w:rtl/>
          <w:lang w:eastAsia="he-IL"/>
        </w:rPr>
      </w:pPr>
      <w:bookmarkStart w:id="83424" w:name="_ETM_Q174_193000"/>
      <w:bookmarkEnd w:id="83424"/>
      <w:r>
        <w:rPr>
          <w:rFonts w:hint="cs"/>
          <w:rtl/>
          <w:lang w:eastAsia="he-IL"/>
        </w:rPr>
        <w:t xml:space="preserve">אנחנו ממשיכים להצביע על הסתייגויות. </w:t>
      </w:r>
    </w:p>
    <w:p w:rsidR="00BB59CD" w:rsidRDefault="00BB59CD" w:rsidP="00BB59CD">
      <w:pPr>
        <w:rPr>
          <w:rtl/>
          <w:lang w:eastAsia="he-IL"/>
        </w:rPr>
      </w:pPr>
      <w:bookmarkStart w:id="83425" w:name="_ETM_Q174_196000"/>
      <w:bookmarkEnd w:id="83425"/>
    </w:p>
    <w:p w:rsidR="00BB59CD" w:rsidRDefault="00BB59CD" w:rsidP="00BB59CD">
      <w:pPr>
        <w:pStyle w:val="af8"/>
        <w:keepNext/>
        <w:rPr>
          <w:rtl/>
        </w:rPr>
      </w:pPr>
      <w:bookmarkStart w:id="83426" w:name="ET_interruption_קריאות_5"/>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3426"/>
    </w:p>
    <w:p w:rsidR="00BB59CD" w:rsidRDefault="00BB59CD" w:rsidP="00337201">
      <w:pPr>
        <w:rPr>
          <w:rtl/>
          <w:lang w:eastAsia="he-IL"/>
        </w:rPr>
      </w:pPr>
    </w:p>
    <w:p w:rsidR="00BB59CD" w:rsidRDefault="00BB59CD" w:rsidP="00BB59CD">
      <w:pPr>
        <w:rPr>
          <w:rtl/>
          <w:lang w:eastAsia="he-IL"/>
        </w:rPr>
      </w:pPr>
      <w:bookmarkStart w:id="83427" w:name="_ETM_Q174_197000"/>
      <w:bookmarkStart w:id="83428" w:name="_ETM_Q174_158000"/>
      <w:bookmarkStart w:id="83429" w:name="_ETM_Q174_159000"/>
      <w:bookmarkEnd w:id="83427"/>
      <w:bookmarkEnd w:id="83428"/>
      <w:bookmarkEnd w:id="83429"/>
      <w:r>
        <w:rPr>
          <w:rFonts w:hint="cs"/>
          <w:rtl/>
          <w:lang w:eastAsia="he-IL"/>
        </w:rPr>
        <w:t xml:space="preserve">תעצרו, תעצרו, תעצרו, תעצרו. </w:t>
      </w:r>
      <w:bookmarkStart w:id="83430" w:name="_ETM_Q174_204000"/>
      <w:bookmarkEnd w:id="83430"/>
    </w:p>
    <w:p w:rsidR="00BB59CD" w:rsidRDefault="00BB59CD" w:rsidP="00BB59CD">
      <w:pPr>
        <w:rPr>
          <w:rtl/>
        </w:rPr>
      </w:pPr>
      <w:bookmarkStart w:id="83431" w:name="_ETM_Q174_202000"/>
      <w:bookmarkEnd w:id="83431"/>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432" w:name="_ETM_Q174_209000"/>
      <w:bookmarkEnd w:id="83432"/>
      <w:r>
        <w:rPr>
          <w:rFonts w:hint="cs"/>
          <w:rtl/>
          <w:lang w:eastAsia="he-IL"/>
        </w:rPr>
        <w:t xml:space="preserve">חברי הכנסת, אנא שבו במקומותיכם. רבותיי, תפסו את </w:t>
      </w:r>
      <w:bookmarkStart w:id="83433" w:name="_ETM_Q174_210000"/>
      <w:bookmarkEnd w:id="83433"/>
      <w:r>
        <w:rPr>
          <w:rFonts w:hint="cs"/>
          <w:rtl/>
          <w:lang w:eastAsia="he-IL"/>
        </w:rPr>
        <w:t>מקומותיכם, אנחנו בהצבעות אלקטרוניות. סליחה, ההצבעה הבאה תהיה הצבעה שמית,</w:t>
      </w:r>
      <w:bookmarkStart w:id="83434" w:name="_ETM_Q174_218000"/>
      <w:bookmarkEnd w:id="83434"/>
      <w:r>
        <w:rPr>
          <w:rFonts w:hint="cs"/>
          <w:rtl/>
          <w:lang w:eastAsia="he-IL"/>
        </w:rPr>
        <w:t xml:space="preserve"> נכון, חברת הכנסת בן ארי?</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ביקשתי לפני כן הצבעה שמית.</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על הסתייגות </w:t>
      </w:r>
      <w:bookmarkStart w:id="83435" w:name="_ETM_Q174_224000"/>
      <w:bookmarkEnd w:id="83435"/>
      <w:r>
        <w:rPr>
          <w:rFonts w:hint="cs"/>
          <w:rtl/>
          <w:lang w:eastAsia="he-IL"/>
        </w:rPr>
        <w:t xml:space="preserve">19171.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כן.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436" w:name="_ETM_Q174_225000"/>
      <w:bookmarkEnd w:id="83436"/>
      <w:r>
        <w:rPr>
          <w:rFonts w:hint="cs"/>
          <w:rtl/>
          <w:lang w:eastAsia="he-IL"/>
        </w:rPr>
        <w:t>אם כן, הצבעה</w:t>
      </w:r>
      <w:bookmarkStart w:id="83437" w:name="_ETM_Q174_227000"/>
      <w:bookmarkEnd w:id="83437"/>
      <w:r>
        <w:rPr>
          <w:rFonts w:hint="cs"/>
          <w:rtl/>
          <w:lang w:eastAsia="he-IL"/>
        </w:rPr>
        <w:t xml:space="preserve"> שמית על הסתייגות 19171. מזכיר הכנסת, אנא קרא בשמות חברי </w:t>
      </w:r>
      <w:bookmarkStart w:id="83438" w:name="_ETM_Q174_232000"/>
      <w:bookmarkEnd w:id="83438"/>
      <w:r>
        <w:rPr>
          <w:rFonts w:hint="cs"/>
          <w:rtl/>
          <w:lang w:eastAsia="he-IL"/>
        </w:rPr>
        <w:t xml:space="preserve">הכנסת. </w:t>
      </w:r>
    </w:p>
    <w:p w:rsidR="00BB59CD" w:rsidRDefault="00BB59CD" w:rsidP="00BB59CD">
      <w:pPr>
        <w:rPr>
          <w:rtl/>
          <w:lang w:eastAsia="he-IL"/>
        </w:rPr>
      </w:pPr>
    </w:p>
    <w:p w:rsidR="00BB59CD" w:rsidRDefault="00BB59CD" w:rsidP="00BB59CD">
      <w:pPr>
        <w:pStyle w:val="af4"/>
        <w:keepNext/>
        <w:rPr>
          <w:rtl/>
          <w:lang w:eastAsia="he-IL"/>
        </w:rPr>
      </w:pPr>
      <w:r>
        <w:rPr>
          <w:rFonts w:hint="cs"/>
          <w:rtl/>
          <w:lang w:eastAsia="he-IL"/>
        </w:rPr>
        <w:t>הצבעה שמית</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p>
    <w:p w:rsidR="00BB59CD" w:rsidRDefault="00BB59CD" w:rsidP="00BB59CD">
      <w:pPr>
        <w:rPr>
          <w:rtl/>
          <w:lang w:eastAsia="he-IL"/>
        </w:rPr>
      </w:pPr>
      <w:r>
        <w:rPr>
          <w:rFonts w:hint="cs"/>
          <w:rtl/>
          <w:lang w:eastAsia="he-IL"/>
        </w:rPr>
        <w:t>משה אבוטבול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יולי יואל אדלשטיין</w:t>
      </w:r>
      <w:r>
        <w:rPr>
          <w:rFonts w:hint="cs"/>
          <w:rtl/>
          <w:lang w:eastAsia="he-IL"/>
        </w:rPr>
        <w:tab/>
        <w:t>–   נגד</w:t>
      </w:r>
    </w:p>
    <w:p w:rsidR="00BB59CD" w:rsidRDefault="00BB59CD" w:rsidP="00BB59CD">
      <w:pPr>
        <w:rPr>
          <w:rtl/>
          <w:lang w:eastAsia="he-IL"/>
        </w:rPr>
      </w:pPr>
      <w:r>
        <w:rPr>
          <w:rFonts w:hint="cs"/>
          <w:rtl/>
          <w:lang w:eastAsia="he-IL"/>
        </w:rPr>
        <w:t>אמיר אוחנה</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ינון אזולאי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גדי איזנקוט</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ואליד אלהואשלה</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קארין אלהרר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זאב אלקין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משה ארבל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יעקב אשר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אביחי אברהם בוארון</w:t>
      </w:r>
      <w:r>
        <w:rPr>
          <w:rFonts w:hint="cs"/>
          <w:rtl/>
          <w:lang w:eastAsia="he-IL"/>
        </w:rPr>
        <w:tab/>
        <w:t>–   נגד</w:t>
      </w:r>
    </w:p>
    <w:p w:rsidR="00BB59CD" w:rsidRDefault="00BB59CD" w:rsidP="00BB59CD">
      <w:pPr>
        <w:rPr>
          <w:rtl/>
          <w:lang w:eastAsia="he-IL"/>
        </w:rPr>
      </w:pPr>
      <w:r>
        <w:rPr>
          <w:rFonts w:hint="cs"/>
          <w:rtl/>
          <w:lang w:eastAsia="he-IL"/>
        </w:rPr>
        <w:t>אוריאל בוסו</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דבי ביטון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מיכאל מרדכי ביטון</w:t>
      </w:r>
      <w:r>
        <w:rPr>
          <w:rFonts w:hint="cs"/>
          <w:rtl/>
          <w:lang w:eastAsia="he-IL"/>
        </w:rPr>
        <w:tab/>
        <w:t>–   בעד</w:t>
      </w:r>
    </w:p>
    <w:p w:rsidR="00BB59CD" w:rsidRDefault="00BB59CD" w:rsidP="00BB59C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בועז ביסמוט</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מירב בן ארי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רם בן ברק</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אברהם בצלאל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אורנה ברביבאי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אליהו ברוכי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ניר ברקת</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ששון ששי גואטה</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טלי גוטליב</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יואב גלנט</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גילה גמליאל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בנימין גנץ</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משה גפני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סימון דוידסון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אבי דיכטר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שלום דנינו</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אריה מכלוף דרעי</w:t>
      </w:r>
      <w:r>
        <w:rPr>
          <w:rFonts w:hint="cs"/>
          <w:rtl/>
          <w:lang w:eastAsia="he-IL"/>
        </w:rPr>
        <w:tab/>
        <w:t>–   אינו נוכח</w:t>
      </w:r>
    </w:p>
    <w:p w:rsidR="00BB59CD" w:rsidRDefault="00BB59CD" w:rsidP="00BB59CD">
      <w:pPr>
        <w:rPr>
          <w:rtl/>
          <w:lang w:eastAsia="he-IL"/>
        </w:rPr>
      </w:pPr>
      <w:r>
        <w:rPr>
          <w:rFonts w:hint="cs"/>
          <w:rtl/>
          <w:lang w:eastAsia="he-IL"/>
        </w:rPr>
        <w:t>עמית הלוי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שרן מרים השכל</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ניסים ואטורי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מיכל מרים וולדיגר</w:t>
      </w:r>
      <w:r>
        <w:rPr>
          <w:rFonts w:hint="cs"/>
          <w:rtl/>
          <w:lang w:eastAsia="he-IL"/>
        </w:rPr>
        <w:tab/>
        <w:t>–   נגד</w:t>
      </w:r>
    </w:p>
    <w:p w:rsidR="00BB59CD" w:rsidRDefault="00BB59CD" w:rsidP="00BB59CD">
      <w:pPr>
        <w:rPr>
          <w:rtl/>
          <w:lang w:eastAsia="he-IL"/>
        </w:rPr>
      </w:pPr>
      <w:r>
        <w:rPr>
          <w:rFonts w:hint="cs"/>
          <w:rtl/>
          <w:lang w:eastAsia="he-IL"/>
        </w:rPr>
        <w:t>יצחק שמעון וסרלאוף</w:t>
      </w:r>
      <w:r>
        <w:rPr>
          <w:rFonts w:hint="cs"/>
          <w:rtl/>
          <w:lang w:eastAsia="he-IL"/>
        </w:rPr>
        <w:tab/>
        <w:t>–   נגד</w:t>
      </w:r>
    </w:p>
    <w:p w:rsidR="00BB59CD" w:rsidRDefault="00BB59CD" w:rsidP="00BB59CD">
      <w:pPr>
        <w:rPr>
          <w:rtl/>
          <w:lang w:eastAsia="he-IL"/>
        </w:rPr>
      </w:pPr>
      <w:r>
        <w:rPr>
          <w:rFonts w:hint="cs"/>
          <w:rtl/>
          <w:lang w:eastAsia="he-IL"/>
        </w:rPr>
        <w:t>יאסר חוג'יראת</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אימאן ח'טיב יאסין</w:t>
      </w:r>
      <w:r>
        <w:rPr>
          <w:rFonts w:hint="cs"/>
          <w:rtl/>
          <w:lang w:eastAsia="he-IL"/>
        </w:rPr>
        <w:tab/>
        <w:t>–   אינה נוכחת</w:t>
      </w:r>
    </w:p>
    <w:p w:rsidR="00BB59CD" w:rsidRDefault="00BB59CD" w:rsidP="00BB59CD">
      <w:pPr>
        <w:rPr>
          <w:rtl/>
          <w:lang w:eastAsia="he-IL"/>
        </w:rPr>
      </w:pPr>
      <w:r>
        <w:rPr>
          <w:rFonts w:hint="cs"/>
          <w:rtl/>
          <w:lang w:eastAsia="he-IL"/>
        </w:rPr>
        <w:t>ווליד טאהא</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בועז טופורובסקי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משה טור פז</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אחמד טיבי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יוסף טייב</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יעקב טסלר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חילי טרופר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אלמוג כהן</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מאיר כהן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מירב כהן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מתן כהנא</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אופיר כץ</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ישראל כץ</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אביגדור ליברמן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יאיר לפיד</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סימון מושיאשוילי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טטיאנה מזרסקי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מרב מיכאלי</w:t>
      </w:r>
      <w:r>
        <w:rPr>
          <w:rFonts w:hint="cs"/>
          <w:rtl/>
          <w:lang w:eastAsia="he-IL"/>
        </w:rPr>
        <w:tab/>
      </w:r>
      <w:r>
        <w:rPr>
          <w:rFonts w:hint="cs"/>
          <w:rtl/>
          <w:lang w:eastAsia="he-IL"/>
        </w:rPr>
        <w:tab/>
        <w:t>–   בעד</w:t>
      </w:r>
    </w:p>
    <w:p w:rsidR="00BB59CD" w:rsidRDefault="00BB59CD" w:rsidP="00BB59CD">
      <w:pPr>
        <w:rPr>
          <w:rtl/>
          <w:lang w:eastAsia="he-IL"/>
        </w:rPr>
      </w:pPr>
      <w:bookmarkStart w:id="83439" w:name="_ETM_Q174_530000"/>
      <w:bookmarkEnd w:id="83439"/>
    </w:p>
    <w:p w:rsidR="00BB59CD" w:rsidRDefault="00BB59CD" w:rsidP="00BB59CD">
      <w:pPr>
        <w:pStyle w:val="af8"/>
        <w:keepNext/>
        <w:rPr>
          <w:rtl/>
        </w:rPr>
      </w:pPr>
      <w:bookmarkStart w:id="83440" w:name="ET_interruption_קריאות_14"/>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3440"/>
    </w:p>
    <w:p w:rsidR="00BB59CD" w:rsidRDefault="00BB59CD" w:rsidP="00337201">
      <w:pPr>
        <w:rPr>
          <w:rtl/>
          <w:lang w:eastAsia="he-IL"/>
        </w:rPr>
      </w:pPr>
    </w:p>
    <w:p w:rsidR="00BB59CD" w:rsidRDefault="00BB59CD" w:rsidP="00BB59CD">
      <w:pPr>
        <w:rPr>
          <w:rtl/>
          <w:lang w:eastAsia="he-IL"/>
        </w:rPr>
      </w:pPr>
      <w:bookmarkStart w:id="83441" w:name="_ETM_Q174_533000"/>
      <w:bookmarkEnd w:id="83441"/>
      <w:r>
        <w:rPr>
          <w:rFonts w:hint="cs"/>
          <w:rtl/>
          <w:lang w:eastAsia="he-IL"/>
        </w:rPr>
        <w:t>ממשלת החורבן, ממשלת החורבן, ממשלת החורבן, ממשלת החורבן, ממשלת החורבן ממשלת החורבן.</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חברי הכנסת, חברי הכנסת, אני</w:t>
      </w:r>
      <w:bookmarkStart w:id="83442" w:name="_ETM_Q174_535000"/>
      <w:bookmarkEnd w:id="83442"/>
      <w:r>
        <w:rPr>
          <w:rFonts w:hint="cs"/>
          <w:rtl/>
          <w:lang w:eastAsia="he-IL"/>
        </w:rPr>
        <w:t xml:space="preserve"> אוציא את חברי הכנסת. אנחנו באמצע ההצבעה. מיקי</w:t>
      </w:r>
      <w:bookmarkStart w:id="83443" w:name="_ETM_Q174_537000"/>
      <w:bookmarkEnd w:id="83443"/>
      <w:r>
        <w:rPr>
          <w:rFonts w:hint="cs"/>
          <w:rtl/>
          <w:lang w:eastAsia="he-IL"/>
        </w:rPr>
        <w:t xml:space="preserve"> לוי, פעם ראשונה. חבר הכנסת מיקי לוי, פעם שנייה. חבר </w:t>
      </w:r>
      <w:bookmarkStart w:id="83444" w:name="_ETM_Q174_543000"/>
      <w:bookmarkEnd w:id="83444"/>
      <w:r>
        <w:rPr>
          <w:rFonts w:hint="cs"/>
          <w:rtl/>
          <w:lang w:eastAsia="he-IL"/>
        </w:rPr>
        <w:t>הכנסת מיקי לוי, פעם שלישית. נא לצאת. יוראי להב</w:t>
      </w:r>
      <w:bookmarkStart w:id="83445" w:name="_ETM_Q174_545000"/>
      <w:bookmarkEnd w:id="83445"/>
      <w:r>
        <w:rPr>
          <w:rFonts w:hint="cs"/>
          <w:rtl/>
          <w:lang w:eastAsia="he-IL"/>
        </w:rPr>
        <w:t xml:space="preserve"> הרצנו, אתה בקריאה שנייה – קריאה שלישית, נא לצאת. </w:t>
      </w:r>
      <w:bookmarkStart w:id="83446" w:name="_ETM_Q174_550000"/>
      <w:bookmarkEnd w:id="83446"/>
      <w:r>
        <w:rPr>
          <w:rFonts w:hint="cs"/>
          <w:rtl/>
          <w:lang w:eastAsia="he-IL"/>
        </w:rPr>
        <w:t>אתה תצא, ואתה תיכנס להצבעה. אתה תיכנס להצבעה. נא לצאת, נא לצאת. יוראי להב, נא לצאת.</w:t>
      </w:r>
      <w:bookmarkStart w:id="83447" w:name="_ETM_Q174_558000"/>
      <w:bookmarkEnd w:id="83447"/>
      <w:r>
        <w:rPr>
          <w:rFonts w:hint="cs"/>
          <w:rtl/>
          <w:lang w:eastAsia="he-IL"/>
        </w:rPr>
        <w:t xml:space="preserve"> </w:t>
      </w:r>
    </w:p>
    <w:p w:rsidR="00BB59CD" w:rsidRDefault="00BB59CD" w:rsidP="00BB59CD">
      <w:pPr>
        <w:rPr>
          <w:rtl/>
          <w:lang w:eastAsia="he-IL"/>
        </w:rPr>
      </w:pPr>
      <w:bookmarkStart w:id="83448" w:name="_ETM_Q174_565390"/>
      <w:bookmarkStart w:id="83449" w:name="_ETM_Q174_565450"/>
      <w:bookmarkEnd w:id="83448"/>
      <w:bookmarkEnd w:id="83449"/>
    </w:p>
    <w:p w:rsidR="00BB59CD" w:rsidRDefault="00BB59CD" w:rsidP="00BB59CD">
      <w:pPr>
        <w:pStyle w:val="af8"/>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 - - </w:t>
      </w:r>
    </w:p>
    <w:p w:rsidR="00BB59CD" w:rsidRDefault="00BB59CD" w:rsidP="00BB59CD">
      <w:pPr>
        <w:rPr>
          <w:rtl/>
          <w:lang w:eastAsia="he-IL"/>
        </w:rPr>
      </w:pPr>
    </w:p>
    <w:p w:rsidR="00BB59CD" w:rsidRDefault="00BB59CD" w:rsidP="00BB59CD">
      <w:pPr>
        <w:pStyle w:val="af9"/>
        <w:rPr>
          <w:rtl/>
        </w:rPr>
      </w:pPr>
      <w:r>
        <w:rPr>
          <w:rStyle w:val="TagStyle"/>
          <w:rFonts w:hint="cs"/>
          <w:rtl/>
        </w:rPr>
        <w:t xml:space="preserve"> &lt;&lt; יור &gt;&gt; </w:t>
      </w:r>
      <w:r>
        <w:rPr>
          <w:rFonts w:hint="cs"/>
          <w:rtl/>
        </w:rPr>
        <w:t>היו"ר אוריאל בוסו:</w:t>
      </w:r>
      <w:r>
        <w:rPr>
          <w:rStyle w:val="TagStyle"/>
          <w:rtl/>
        </w:rPr>
        <w:t xml:space="preserve"> &lt;&lt; יור &gt;&gt; </w:t>
      </w:r>
    </w:p>
    <w:p w:rsidR="00BB59CD" w:rsidRDefault="00BB59CD" w:rsidP="00BB59CD">
      <w:pPr>
        <w:rPr>
          <w:rtl/>
          <w:lang w:eastAsia="he-IL"/>
        </w:rPr>
      </w:pPr>
    </w:p>
    <w:p w:rsidR="00BB59CD" w:rsidRDefault="00BB59CD" w:rsidP="00BB59CD">
      <w:pPr>
        <w:rPr>
          <w:rtl/>
          <w:lang w:eastAsia="he-IL"/>
        </w:rPr>
      </w:pPr>
      <w:bookmarkStart w:id="83450" w:name="_ETM_Q174_565530"/>
      <w:bookmarkStart w:id="83451" w:name="_ETM_Q174_565742"/>
      <w:bookmarkEnd w:id="83450"/>
      <w:bookmarkEnd w:id="83451"/>
      <w:r>
        <w:rPr>
          <w:rFonts w:hint="cs"/>
          <w:rtl/>
          <w:lang w:eastAsia="he-IL"/>
        </w:rPr>
        <w:t xml:space="preserve">נא לצאת, אתם הצבעתם. נא לצאת, נא לצאת. יוראי להב הרצנו ומיקי לוי – להוציא אותם החוצה, </w:t>
      </w:r>
      <w:bookmarkStart w:id="83452" w:name="_ETM_Q174_570000"/>
      <w:bookmarkEnd w:id="83452"/>
      <w:r>
        <w:rPr>
          <w:rFonts w:hint="cs"/>
          <w:rtl/>
          <w:lang w:eastAsia="he-IL"/>
        </w:rPr>
        <w:t xml:space="preserve">בבקשה. תודה. תודה רבה. נא לצאת. אם הצבעתם, נא לצאת. תמשיך. </w:t>
      </w:r>
    </w:p>
    <w:p w:rsidR="00BB59CD" w:rsidRDefault="00BB59CD" w:rsidP="00BB59CD">
      <w:pPr>
        <w:rPr>
          <w:rtl/>
          <w:lang w:eastAsia="he-IL"/>
        </w:rPr>
      </w:pPr>
      <w:bookmarkStart w:id="83453" w:name="_ETM_Q174_576000"/>
      <w:bookmarkEnd w:id="83453"/>
    </w:p>
    <w:p w:rsidR="00BB59CD" w:rsidRDefault="00BB59CD" w:rsidP="00BB59CD">
      <w:pPr>
        <w:pStyle w:val="af8"/>
        <w:keepNext/>
        <w:rPr>
          <w:rtl/>
        </w:rPr>
      </w:pPr>
      <w:bookmarkStart w:id="83454" w:name="ET_interruption_5787_15"/>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3454"/>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תתביישו. קצת אחריות. </w:t>
      </w:r>
    </w:p>
    <w:p w:rsidR="00BB59CD" w:rsidRDefault="00BB59CD" w:rsidP="00BB59CD">
      <w:pPr>
        <w:rPr>
          <w:rtl/>
          <w:lang w:eastAsia="he-IL"/>
        </w:rPr>
      </w:pPr>
      <w:bookmarkStart w:id="83455" w:name="_ETM_Q174_583012"/>
      <w:bookmarkStart w:id="83456" w:name="_ETM_Q174_583091"/>
      <w:bookmarkEnd w:id="83455"/>
      <w:bookmarkEnd w:id="83456"/>
    </w:p>
    <w:p w:rsidR="00BB59CD" w:rsidRDefault="00BB59CD" w:rsidP="00BB59CD">
      <w:pPr>
        <w:pStyle w:val="af8"/>
        <w:keepNext/>
        <w:rPr>
          <w:rtl/>
        </w:rPr>
      </w:pPr>
      <w:bookmarkStart w:id="83457" w:name="_ETM_Q174_583172"/>
      <w:bookmarkStart w:id="83458" w:name="_ETM_Q174_583244"/>
      <w:bookmarkStart w:id="83459" w:name="_ETM_Q174_581000"/>
      <w:bookmarkStart w:id="83460" w:name="ET_interruption_6327_16"/>
      <w:bookmarkEnd w:id="83457"/>
      <w:bookmarkEnd w:id="83458"/>
      <w:bookmarkEnd w:id="83459"/>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460"/>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p>
    <w:p w:rsidR="00BB59CD" w:rsidRDefault="00BB59CD" w:rsidP="00BB59CD">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יונתן מישרקי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חנוך דב מלביצקי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ארז מלול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מיכאל מלכיאלי</w:t>
      </w:r>
      <w:r>
        <w:rPr>
          <w:rFonts w:hint="cs"/>
          <w:rtl/>
          <w:lang w:eastAsia="he-IL"/>
        </w:rPr>
        <w:tab/>
      </w:r>
      <w:r>
        <w:rPr>
          <w:rFonts w:hint="cs"/>
          <w:rtl/>
          <w:lang w:eastAsia="he-IL"/>
        </w:rPr>
        <w:tab/>
        <w:t>–   נגד</w:t>
      </w:r>
    </w:p>
    <w:p w:rsidR="00BB59CD" w:rsidRDefault="00BB59CD" w:rsidP="00BB59CD">
      <w:pPr>
        <w:rPr>
          <w:rtl/>
          <w:lang w:eastAsia="he-IL"/>
        </w:rPr>
      </w:pPr>
      <w:bookmarkStart w:id="83461" w:name="_ETM_Q174_603000"/>
      <w:bookmarkEnd w:id="83461"/>
      <w:r>
        <w:rPr>
          <w:rFonts w:hint="cs"/>
          <w:rtl/>
          <w:lang w:eastAsia="he-IL"/>
        </w:rPr>
        <w:t>צגה מלקו</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אבי מעוז</w:t>
      </w:r>
      <w:r>
        <w:rPr>
          <w:rFonts w:hint="cs"/>
          <w:rtl/>
          <w:lang w:eastAsia="he-IL"/>
        </w:rPr>
        <w:tab/>
      </w:r>
      <w:r>
        <w:rPr>
          <w:rFonts w:hint="cs"/>
          <w:rtl/>
          <w:lang w:eastAsia="he-IL"/>
        </w:rPr>
        <w:tab/>
        <w:t>–   נגד</w:t>
      </w:r>
    </w:p>
    <w:p w:rsidR="00BB59CD" w:rsidRDefault="00BB59CD" w:rsidP="00BB59CD">
      <w:pPr>
        <w:rPr>
          <w:rtl/>
          <w:lang w:eastAsia="he-IL"/>
        </w:rPr>
      </w:pPr>
    </w:p>
    <w:p w:rsidR="00BB59CD" w:rsidRDefault="00BB59CD" w:rsidP="00BB59CD">
      <w:pPr>
        <w:rPr>
          <w:rtl/>
          <w:lang w:eastAsia="he-IL"/>
        </w:rPr>
      </w:pPr>
      <w:bookmarkStart w:id="83462" w:name="_ETM_Q174_594000"/>
      <w:bookmarkEnd w:id="83462"/>
    </w:p>
    <w:p w:rsidR="00BB59CD" w:rsidRDefault="00BB59CD" w:rsidP="00BB59CD">
      <w:pPr>
        <w:pStyle w:val="af8"/>
        <w:keepNext/>
        <w:rPr>
          <w:rtl/>
        </w:rPr>
      </w:pPr>
      <w:bookmarkStart w:id="83463" w:name="ET_interruption_5809_22"/>
      <w:r>
        <w:rPr>
          <w:rStyle w:val="TagStyle"/>
          <w:rFonts w:hint="cs"/>
          <w:rtl/>
        </w:rPr>
        <w:t xml:space="preserve"> &lt;&lt; קריאה &gt;&gt; </w:t>
      </w:r>
      <w:r>
        <w:rPr>
          <w:rFonts w:hint="cs"/>
          <w:rtl/>
        </w:rPr>
        <w:t>מיכל שיר סגמן (יש עתיד):</w:t>
      </w:r>
      <w:r>
        <w:rPr>
          <w:rStyle w:val="TagStyle"/>
          <w:rtl/>
        </w:rPr>
        <w:t xml:space="preserve"> &lt;&lt; קריאה &gt;&gt;</w:t>
      </w:r>
      <w:r>
        <w:rPr>
          <w:rFonts w:hint="cs"/>
          <w:rtl/>
        </w:rPr>
        <w:t xml:space="preserve">   </w:t>
      </w:r>
      <w:bookmarkEnd w:id="83463"/>
    </w:p>
    <w:p w:rsidR="00BB59CD" w:rsidRDefault="00BB59CD" w:rsidP="00337201">
      <w:pPr>
        <w:rPr>
          <w:rtl/>
          <w:lang w:eastAsia="he-IL"/>
        </w:rPr>
      </w:pPr>
    </w:p>
    <w:p w:rsidR="00BB59CD" w:rsidRDefault="00BB59CD" w:rsidP="00BB59CD">
      <w:pPr>
        <w:rPr>
          <w:rtl/>
          <w:lang w:eastAsia="he-IL"/>
        </w:rPr>
      </w:pPr>
      <w:bookmarkStart w:id="83464" w:name="_ETM_Q174_593000"/>
      <w:bookmarkEnd w:id="83464"/>
      <w:r>
        <w:rPr>
          <w:rFonts w:hint="cs"/>
          <w:rtl/>
          <w:lang w:eastAsia="he-IL"/>
        </w:rPr>
        <w:t>- - - קיבלתם כבר פרחים מאיראן?</w:t>
      </w:r>
    </w:p>
    <w:p w:rsidR="00BB59CD" w:rsidRDefault="00BB59CD" w:rsidP="00BB59CD">
      <w:pPr>
        <w:rPr>
          <w:rtl/>
          <w:lang w:eastAsia="he-IL"/>
        </w:rPr>
      </w:pPr>
      <w:bookmarkStart w:id="83465" w:name="_ETM_Q174_598000"/>
      <w:bookmarkEnd w:id="83465"/>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466" w:name="_ETM_Q174_613000"/>
      <w:bookmarkEnd w:id="83466"/>
      <w:r>
        <w:rPr>
          <w:rFonts w:hint="cs"/>
          <w:rtl/>
          <w:lang w:eastAsia="he-IL"/>
        </w:rPr>
        <w:t xml:space="preserve">חברת הכנסת מיכל שיר, קריאה שנייה. </w:t>
      </w:r>
      <w:bookmarkStart w:id="83467" w:name="_ETM_Q174_614000"/>
      <w:bookmarkEnd w:id="83467"/>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היום האויבים שלנו בעולם מרימים לחיים. </w:t>
      </w:r>
    </w:p>
    <w:p w:rsidR="00BB59CD" w:rsidRDefault="00BB59CD" w:rsidP="00BB59CD">
      <w:pPr>
        <w:rPr>
          <w:rtl/>
          <w:lang w:eastAsia="he-IL"/>
        </w:rPr>
      </w:pPr>
      <w:bookmarkStart w:id="83468" w:name="_ETM_Q174_605000"/>
      <w:bookmarkEnd w:id="83468"/>
    </w:p>
    <w:p w:rsidR="00BB59CD" w:rsidRDefault="00BB59CD" w:rsidP="00BB59CD">
      <w:pPr>
        <w:pStyle w:val="af8"/>
        <w:keepNext/>
        <w:rPr>
          <w:rtl/>
        </w:rPr>
      </w:pPr>
      <w:bookmarkStart w:id="83469" w:name="ET_interruption_6327_23"/>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469"/>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bookmarkStart w:id="83470" w:name="_ETM_Q174_609000"/>
      <w:bookmarkEnd w:id="83470"/>
    </w:p>
    <w:p w:rsidR="00BB59CD" w:rsidRDefault="00BB59CD" w:rsidP="00BB59CD">
      <w:pPr>
        <w:rPr>
          <w:rtl/>
          <w:lang w:eastAsia="he-IL"/>
        </w:rPr>
      </w:pPr>
      <w:bookmarkStart w:id="83471" w:name="_ETM_Q174_607000"/>
      <w:bookmarkEnd w:id="83471"/>
      <w:r>
        <w:rPr>
          <w:rFonts w:hint="cs"/>
          <w:rtl/>
          <w:lang w:eastAsia="he-IL"/>
        </w:rPr>
        <w:t>שרון ניר</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בנימין נתניהו</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יבגני סובה</w:t>
      </w:r>
      <w:r>
        <w:rPr>
          <w:rFonts w:hint="cs"/>
          <w:rtl/>
          <w:lang w:eastAsia="he-IL"/>
        </w:rPr>
        <w:tab/>
      </w:r>
      <w:r>
        <w:rPr>
          <w:rFonts w:hint="cs"/>
          <w:rtl/>
          <w:lang w:eastAsia="he-IL"/>
        </w:rPr>
        <w:tab/>
        <w:t>–   בעד</w:t>
      </w:r>
    </w:p>
    <w:p w:rsidR="00BB59CD" w:rsidRDefault="00BB59CD" w:rsidP="00BB59CD">
      <w:pPr>
        <w:rPr>
          <w:rtl/>
          <w:lang w:eastAsia="he-IL"/>
        </w:rPr>
      </w:pPr>
      <w:bookmarkStart w:id="83472" w:name="_ETM_Q174_635000"/>
      <w:bookmarkEnd w:id="83472"/>
    </w:p>
    <w:p w:rsidR="00BB59CD" w:rsidRDefault="00BB59CD" w:rsidP="00BB59CD">
      <w:pPr>
        <w:pStyle w:val="af8"/>
        <w:keepNext/>
        <w:rPr>
          <w:rtl/>
        </w:rPr>
      </w:pPr>
      <w:bookmarkStart w:id="83473" w:name="ET_interruption_5766_26"/>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83473"/>
    </w:p>
    <w:p w:rsidR="00BB59CD" w:rsidRDefault="00BB59CD" w:rsidP="00337201">
      <w:pPr>
        <w:rPr>
          <w:rtl/>
          <w:lang w:eastAsia="he-IL"/>
        </w:rPr>
      </w:pPr>
    </w:p>
    <w:p w:rsidR="00BB59CD" w:rsidRDefault="00BB59CD" w:rsidP="00BB59CD">
      <w:pPr>
        <w:rPr>
          <w:rtl/>
          <w:lang w:eastAsia="he-IL"/>
        </w:rPr>
      </w:pPr>
      <w:r>
        <w:rPr>
          <w:rFonts w:hint="cs"/>
          <w:rtl/>
          <w:lang w:eastAsia="he-IL"/>
        </w:rPr>
        <w:t>-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חבר הכנסת רם בן</w:t>
      </w:r>
      <w:bookmarkStart w:id="83474" w:name="_ETM_Q174_638000"/>
      <w:bookmarkEnd w:id="83474"/>
      <w:r>
        <w:rPr>
          <w:rFonts w:hint="cs"/>
          <w:rtl/>
          <w:lang w:eastAsia="he-IL"/>
        </w:rPr>
        <w:t xml:space="preserve"> ברק, קריאה ראשונה. </w:t>
      </w:r>
    </w:p>
    <w:p w:rsidR="00BB59CD" w:rsidRDefault="00BB59CD" w:rsidP="00BB59CD">
      <w:pPr>
        <w:rPr>
          <w:rtl/>
          <w:lang w:eastAsia="he-IL"/>
        </w:rPr>
      </w:pPr>
      <w:bookmarkStart w:id="83475" w:name="_ETM_Q174_642000"/>
      <w:bookmarkEnd w:id="83475"/>
    </w:p>
    <w:p w:rsidR="00BB59CD" w:rsidRDefault="00BB59CD" w:rsidP="00BB59CD">
      <w:pPr>
        <w:pStyle w:val="af8"/>
        <w:keepNext/>
        <w:rPr>
          <w:rtl/>
        </w:rPr>
      </w:pPr>
      <w:bookmarkStart w:id="83476" w:name="ET_interruption_6327_28"/>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476"/>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bookmarkStart w:id="83477" w:name="_ETM_Q174_645000"/>
      <w:bookmarkEnd w:id="83477"/>
    </w:p>
    <w:p w:rsidR="00BB59CD" w:rsidRDefault="00BB59CD" w:rsidP="00BB59CD">
      <w:pPr>
        <w:rPr>
          <w:rtl/>
          <w:lang w:eastAsia="he-IL"/>
        </w:rPr>
      </w:pPr>
      <w:r>
        <w:rPr>
          <w:rFonts w:hint="cs"/>
          <w:rtl/>
          <w:lang w:eastAsia="he-IL"/>
        </w:rPr>
        <w:t>צבי ידידיה סוכות</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משה סולומון</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לימור סון הר מלך</w:t>
      </w:r>
      <w:r>
        <w:rPr>
          <w:rFonts w:hint="cs"/>
          <w:rtl/>
          <w:lang w:eastAsia="he-IL"/>
        </w:rPr>
        <w:tab/>
        <w:t>–   נגד</w:t>
      </w:r>
    </w:p>
    <w:p w:rsidR="00BB59CD" w:rsidRDefault="00BB59CD" w:rsidP="00BB59CD">
      <w:pPr>
        <w:rPr>
          <w:rtl/>
          <w:lang w:eastAsia="he-IL"/>
        </w:rPr>
      </w:pPr>
      <w:r>
        <w:rPr>
          <w:rFonts w:hint="cs"/>
          <w:rtl/>
          <w:lang w:eastAsia="he-IL"/>
        </w:rPr>
        <w:t>אופיר סופר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אורית מלכה סטרוק</w:t>
      </w:r>
      <w:r>
        <w:rPr>
          <w:rFonts w:hint="cs"/>
          <w:rtl/>
          <w:lang w:eastAsia="he-IL"/>
        </w:rPr>
        <w:tab/>
        <w:t>–   נגד</w:t>
      </w:r>
    </w:p>
    <w:p w:rsidR="00BB59CD" w:rsidRDefault="00BB59CD" w:rsidP="00BB59CD">
      <w:pPr>
        <w:rPr>
          <w:rtl/>
          <w:lang w:eastAsia="he-IL"/>
        </w:rPr>
      </w:pPr>
      <w:bookmarkStart w:id="83478" w:name="_ETM_Q174_665000"/>
      <w:bookmarkEnd w:id="83478"/>
      <w:r>
        <w:rPr>
          <w:rFonts w:hint="cs"/>
          <w:rtl/>
          <w:lang w:eastAsia="he-IL"/>
        </w:rPr>
        <w:t>משה סעדה</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גדעון סער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מנסור עבאס</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איימן עודה</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יוסף עטאונה</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חוה אתי עטייה</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חמד עמאר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צביקה פוגל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עודד פורר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יצחק פינדרוס</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משה פסל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אורית פרקש הכהן</w:t>
      </w:r>
      <w:r>
        <w:rPr>
          <w:rFonts w:hint="cs"/>
          <w:rtl/>
          <w:lang w:eastAsia="he-IL"/>
        </w:rPr>
        <w:tab/>
        <w:t>–   בעד</w:t>
      </w:r>
    </w:p>
    <w:p w:rsidR="00BB59CD" w:rsidRDefault="00BB59CD" w:rsidP="00BB59CD">
      <w:pPr>
        <w:rPr>
          <w:rtl/>
          <w:lang w:eastAsia="he-IL"/>
        </w:rPr>
      </w:pPr>
      <w:r>
        <w:rPr>
          <w:rFonts w:hint="cs"/>
          <w:rtl/>
          <w:lang w:eastAsia="he-IL"/>
        </w:rPr>
        <w:t>מטי צרפתי הרכבי</w:t>
      </w:r>
      <w:r>
        <w:rPr>
          <w:rFonts w:hint="cs"/>
          <w:rtl/>
          <w:lang w:eastAsia="he-IL"/>
        </w:rPr>
        <w:tab/>
        <w:t>–   בעד</w:t>
      </w:r>
    </w:p>
    <w:p w:rsidR="00BB59CD" w:rsidRDefault="00BB59CD" w:rsidP="00BB59CD">
      <w:pPr>
        <w:rPr>
          <w:rtl/>
          <w:lang w:eastAsia="he-IL"/>
        </w:rPr>
      </w:pPr>
      <w:r>
        <w:rPr>
          <w:rFonts w:hint="cs"/>
          <w:rtl/>
          <w:lang w:eastAsia="he-IL"/>
        </w:rPr>
        <w:t>אריאל קלנר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יצחק קרויזר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גלעד קריב</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שלמה קרעי</w:t>
      </w:r>
      <w:r>
        <w:rPr>
          <w:rFonts w:hint="cs"/>
          <w:rtl/>
          <w:lang w:eastAsia="he-IL"/>
        </w:rPr>
        <w:tab/>
      </w:r>
      <w:r>
        <w:rPr>
          <w:rFonts w:hint="cs"/>
          <w:rtl/>
          <w:lang w:eastAsia="he-IL"/>
        </w:rPr>
        <w:tab/>
        <w:t>–   נגד</w:t>
      </w:r>
    </w:p>
    <w:p w:rsidR="00BB59CD" w:rsidRDefault="00BB59CD" w:rsidP="00BB59CD">
      <w:pPr>
        <w:rPr>
          <w:rtl/>
        </w:rPr>
      </w:pPr>
      <w:bookmarkStart w:id="83479" w:name="_ETM_Q174_634000"/>
      <w:bookmarkStart w:id="83480" w:name="TOR_Q175"/>
      <w:bookmarkEnd w:id="83479"/>
      <w:bookmarkEnd w:id="83480"/>
      <w:r>
        <w:rPr>
          <w:rFonts w:hint="cs"/>
          <w:rtl/>
        </w:rPr>
        <w:t>אליהו רביבו</w:t>
      </w:r>
      <w:r>
        <w:rPr>
          <w:rFonts w:hint="cs"/>
          <w:rtl/>
        </w:rPr>
        <w:tab/>
      </w:r>
      <w:r>
        <w:rPr>
          <w:rFonts w:hint="cs"/>
          <w:rtl/>
        </w:rPr>
        <w:tab/>
        <w:t>–   נגד</w:t>
      </w:r>
    </w:p>
    <w:p w:rsidR="00BB59CD" w:rsidRDefault="00BB59CD" w:rsidP="00BB59CD">
      <w:pPr>
        <w:rPr>
          <w:rtl/>
        </w:rPr>
      </w:pPr>
      <w:r>
        <w:rPr>
          <w:rFonts w:hint="cs"/>
          <w:rtl/>
        </w:rPr>
        <w:t>משה רוט</w:t>
      </w:r>
      <w:r>
        <w:rPr>
          <w:rFonts w:hint="cs"/>
          <w:rtl/>
        </w:rPr>
        <w:tab/>
      </w:r>
      <w:r>
        <w:rPr>
          <w:rFonts w:hint="cs"/>
          <w:rtl/>
        </w:rPr>
        <w:tab/>
        <w:t>–   נגד</w:t>
      </w:r>
    </w:p>
    <w:p w:rsidR="00BB59CD" w:rsidRDefault="00BB59CD" w:rsidP="00BB59CD">
      <w:pPr>
        <w:rPr>
          <w:rtl/>
        </w:rPr>
      </w:pPr>
      <w:r>
        <w:rPr>
          <w:rFonts w:hint="cs"/>
          <w:rtl/>
        </w:rPr>
        <w:t>שמחה רוטמן</w:t>
      </w:r>
      <w:r>
        <w:rPr>
          <w:rFonts w:hint="cs"/>
          <w:rtl/>
        </w:rPr>
        <w:tab/>
      </w:r>
      <w:r>
        <w:rPr>
          <w:rFonts w:hint="cs"/>
          <w:rtl/>
        </w:rPr>
        <w:tab/>
        <w:t>–   נגד</w:t>
      </w:r>
    </w:p>
    <w:p w:rsidR="00BB59CD" w:rsidRDefault="00BB59CD" w:rsidP="00BB59CD">
      <w:pPr>
        <w:rPr>
          <w:rtl/>
        </w:rPr>
      </w:pPr>
      <w:r>
        <w:rPr>
          <w:rFonts w:hint="cs"/>
          <w:rtl/>
        </w:rPr>
        <w:t>עידן רול</w:t>
      </w:r>
      <w:r>
        <w:rPr>
          <w:rFonts w:hint="cs"/>
          <w:rtl/>
        </w:rPr>
        <w:tab/>
      </w:r>
      <w:r>
        <w:rPr>
          <w:rFonts w:hint="cs"/>
          <w:rtl/>
        </w:rPr>
        <w:tab/>
      </w:r>
      <w:r>
        <w:rPr>
          <w:rFonts w:hint="cs"/>
          <w:rtl/>
        </w:rPr>
        <w:tab/>
        <w:t>–   בעד</w:t>
      </w:r>
    </w:p>
    <w:p w:rsidR="00BB59CD" w:rsidRDefault="00BB59CD" w:rsidP="00BB59CD">
      <w:pPr>
        <w:rPr>
          <w:rtl/>
        </w:rPr>
      </w:pPr>
      <w:r>
        <w:rPr>
          <w:rFonts w:hint="cs"/>
          <w:rtl/>
        </w:rPr>
        <w:t>אפרת רייטן מרום</w:t>
      </w:r>
      <w:r>
        <w:rPr>
          <w:rFonts w:hint="cs"/>
          <w:rtl/>
        </w:rPr>
        <w:tab/>
        <w:t>–   בעד</w:t>
      </w:r>
    </w:p>
    <w:p w:rsidR="00BB59CD" w:rsidRDefault="00BB59CD" w:rsidP="00BB59CD">
      <w:pPr>
        <w:rPr>
          <w:rtl/>
        </w:rPr>
      </w:pPr>
      <w:r>
        <w:rPr>
          <w:rFonts w:hint="cs"/>
          <w:rtl/>
        </w:rPr>
        <w:t>יפעת שאשא ביטון</w:t>
      </w:r>
      <w:r>
        <w:rPr>
          <w:rFonts w:hint="cs"/>
          <w:rtl/>
        </w:rPr>
        <w:tab/>
        <w:t>–   בעד</w:t>
      </w:r>
    </w:p>
    <w:p w:rsidR="00BB59CD" w:rsidRDefault="00BB59CD" w:rsidP="00BB59CD">
      <w:pPr>
        <w:rPr>
          <w:rtl/>
        </w:rPr>
      </w:pPr>
      <w:r>
        <w:rPr>
          <w:rFonts w:hint="cs"/>
          <w:rtl/>
        </w:rPr>
        <w:t>אלון שוסטר</w:t>
      </w:r>
      <w:r>
        <w:rPr>
          <w:rFonts w:hint="cs"/>
          <w:rtl/>
        </w:rPr>
        <w:tab/>
      </w:r>
      <w:r>
        <w:rPr>
          <w:rFonts w:hint="cs"/>
          <w:rtl/>
        </w:rPr>
        <w:tab/>
        <w:t>–   בעד</w:t>
      </w:r>
    </w:p>
    <w:p w:rsidR="00BB59CD" w:rsidRDefault="00BB59CD" w:rsidP="00BB59CD">
      <w:pPr>
        <w:rPr>
          <w:rtl/>
        </w:rPr>
      </w:pPr>
      <w:r>
        <w:rPr>
          <w:rFonts w:hint="cs"/>
          <w:rtl/>
        </w:rPr>
        <w:t>קטי קטרין שטרית</w:t>
      </w:r>
      <w:r>
        <w:rPr>
          <w:rFonts w:hint="cs"/>
          <w:rtl/>
        </w:rPr>
        <w:tab/>
        <w:t>–   נגד</w:t>
      </w:r>
    </w:p>
    <w:p w:rsidR="00BB59CD" w:rsidRDefault="00BB59CD" w:rsidP="00BB59CD">
      <w:pPr>
        <w:rPr>
          <w:rtl/>
        </w:rPr>
      </w:pPr>
      <w:r>
        <w:rPr>
          <w:rFonts w:hint="cs"/>
          <w:rtl/>
        </w:rPr>
        <w:t>אלעזר שטרן</w:t>
      </w:r>
      <w:r>
        <w:rPr>
          <w:rFonts w:hint="cs"/>
          <w:rtl/>
        </w:rPr>
        <w:tab/>
      </w:r>
      <w:r>
        <w:rPr>
          <w:rFonts w:hint="cs"/>
          <w:rtl/>
        </w:rPr>
        <w:tab/>
        <w:t>–   בעד</w:t>
      </w:r>
    </w:p>
    <w:p w:rsidR="00BB59CD" w:rsidRDefault="00BB59CD" w:rsidP="00BB59CD">
      <w:pPr>
        <w:rPr>
          <w:rtl/>
        </w:rPr>
      </w:pPr>
      <w:bookmarkStart w:id="83481" w:name="_ETM_Q175_216945"/>
      <w:bookmarkStart w:id="83482" w:name="_ETM_Q175_217030"/>
      <w:bookmarkEnd w:id="83481"/>
      <w:bookmarkEnd w:id="83482"/>
    </w:p>
    <w:p w:rsidR="00BB59CD" w:rsidRDefault="00BB59CD" w:rsidP="00BB59CD">
      <w:pPr>
        <w:pStyle w:val="af9"/>
        <w:keepNext/>
        <w:rPr>
          <w:rtl/>
        </w:rPr>
      </w:pPr>
      <w:bookmarkStart w:id="83483" w:name="_ETM_Q175_217111"/>
      <w:bookmarkStart w:id="83484" w:name="_ETM_Q175_217175"/>
      <w:bookmarkEnd w:id="83483"/>
      <w:bookmarkEnd w:id="83484"/>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נא להכניס את חברי הכנסת שהוצאו בקריאה שלישית. זה סיבוב ראשון? אז תמשיך. </w:t>
      </w:r>
    </w:p>
    <w:p w:rsidR="00BB59CD" w:rsidRDefault="00BB59CD" w:rsidP="00BB59CD">
      <w:pPr>
        <w:rPr>
          <w:rtl/>
        </w:rPr>
      </w:pPr>
    </w:p>
    <w:p w:rsidR="00BB59CD" w:rsidRDefault="00BB59CD" w:rsidP="00BB59CD">
      <w:pPr>
        <w:pStyle w:val="af8"/>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rPr>
      </w:pPr>
      <w:r>
        <w:rPr>
          <w:rFonts w:hint="cs"/>
          <w:rtl/>
        </w:rPr>
        <w:t>(קורא בשמות חברי הכנסת)</w:t>
      </w:r>
    </w:p>
    <w:p w:rsidR="00BB59CD" w:rsidRDefault="00BB59CD" w:rsidP="00BB59CD">
      <w:pPr>
        <w:rPr>
          <w:rtl/>
        </w:rPr>
      </w:pPr>
    </w:p>
    <w:p w:rsidR="00BB59CD" w:rsidRDefault="00BB59CD" w:rsidP="00BB59CD">
      <w:pPr>
        <w:rPr>
          <w:rtl/>
        </w:rPr>
      </w:pPr>
      <w:r>
        <w:rPr>
          <w:rFonts w:hint="cs"/>
          <w:rtl/>
        </w:rPr>
        <w:t>מיכל שיר סגמן</w:t>
      </w:r>
      <w:r>
        <w:rPr>
          <w:rFonts w:hint="cs"/>
          <w:rtl/>
        </w:rPr>
        <w:tab/>
      </w:r>
      <w:r>
        <w:rPr>
          <w:rFonts w:hint="cs"/>
          <w:rtl/>
        </w:rPr>
        <w:tab/>
        <w:t>–   אינה נוכחת</w:t>
      </w:r>
    </w:p>
    <w:p w:rsidR="00BB59CD" w:rsidRDefault="00BB59CD" w:rsidP="00BB59CD">
      <w:pPr>
        <w:rPr>
          <w:rtl/>
        </w:rPr>
      </w:pPr>
      <w:r>
        <w:rPr>
          <w:rFonts w:hint="cs"/>
          <w:rtl/>
        </w:rPr>
        <w:t>נאור שירי</w:t>
      </w:r>
      <w:r>
        <w:rPr>
          <w:rFonts w:hint="cs"/>
          <w:rtl/>
        </w:rPr>
        <w:tab/>
      </w:r>
      <w:r>
        <w:rPr>
          <w:rFonts w:hint="cs"/>
          <w:rtl/>
        </w:rPr>
        <w:tab/>
        <w:t xml:space="preserve">–   בעד </w:t>
      </w:r>
    </w:p>
    <w:p w:rsidR="00BB59CD" w:rsidRDefault="00BB59CD" w:rsidP="00BB59CD">
      <w:pPr>
        <w:rPr>
          <w:rtl/>
        </w:rPr>
      </w:pPr>
      <w:r>
        <w:rPr>
          <w:rFonts w:hint="cs"/>
          <w:rtl/>
        </w:rPr>
        <w:t>אושר שקלים</w:t>
      </w:r>
      <w:r>
        <w:rPr>
          <w:rFonts w:hint="cs"/>
          <w:rtl/>
        </w:rPr>
        <w:tab/>
      </w:r>
      <w:r>
        <w:rPr>
          <w:rFonts w:hint="cs"/>
          <w:rtl/>
        </w:rPr>
        <w:tab/>
        <w:t xml:space="preserve">–   נגד </w:t>
      </w:r>
    </w:p>
    <w:p w:rsidR="00BB59CD" w:rsidRDefault="00BB59CD" w:rsidP="00BB59CD">
      <w:pPr>
        <w:rPr>
          <w:rtl/>
        </w:rPr>
      </w:pPr>
      <w:r>
        <w:rPr>
          <w:rFonts w:hint="cs"/>
          <w:rtl/>
        </w:rPr>
        <w:t>עאידה תומא סלימאן</w:t>
      </w:r>
      <w:r>
        <w:rPr>
          <w:rFonts w:hint="cs"/>
          <w:rtl/>
        </w:rPr>
        <w:tab/>
        <w:t>–   בעד</w:t>
      </w:r>
    </w:p>
    <w:p w:rsidR="00BB59CD" w:rsidRDefault="00BB59CD" w:rsidP="00BB59CD">
      <w:pPr>
        <w:rPr>
          <w:rtl/>
        </w:rPr>
      </w:pPr>
      <w:r>
        <w:rPr>
          <w:rFonts w:hint="cs"/>
          <w:rtl/>
        </w:rPr>
        <w:t>פנינה תמנו</w:t>
      </w:r>
      <w:r>
        <w:rPr>
          <w:rFonts w:hint="cs"/>
          <w:rtl/>
        </w:rPr>
        <w:tab/>
      </w:r>
      <w:r>
        <w:rPr>
          <w:rFonts w:hint="cs"/>
          <w:rtl/>
        </w:rPr>
        <w:tab/>
        <w:t>–   בעד</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אנא קרא בשמות </w:t>
      </w:r>
      <w:bookmarkStart w:id="83485" w:name="_ETM_Q175_240537"/>
      <w:bookmarkEnd w:id="83485"/>
      <w:r>
        <w:rPr>
          <w:rFonts w:hint="cs"/>
          <w:rtl/>
        </w:rPr>
        <w:t xml:space="preserve">חברי הכנסת שטרם הצביעו. </w:t>
      </w:r>
    </w:p>
    <w:p w:rsidR="00BB59CD" w:rsidRDefault="00BB59CD" w:rsidP="00BB59CD">
      <w:pPr>
        <w:rPr>
          <w:rtl/>
        </w:rPr>
      </w:pPr>
    </w:p>
    <w:p w:rsidR="00BB59CD" w:rsidRDefault="00BB59CD" w:rsidP="00BB59CD">
      <w:pPr>
        <w:pStyle w:val="af8"/>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rPr>
      </w:pPr>
      <w:r>
        <w:rPr>
          <w:rFonts w:hint="cs"/>
          <w:rtl/>
        </w:rPr>
        <w:t>(קורא בשמות חברי הכנסת)</w:t>
      </w:r>
    </w:p>
    <w:p w:rsidR="00BB59CD" w:rsidRDefault="00BB59CD" w:rsidP="00BB59CD">
      <w:pPr>
        <w:rPr>
          <w:rtl/>
        </w:rPr>
      </w:pPr>
    </w:p>
    <w:p w:rsidR="00BB59CD" w:rsidRDefault="00BB59CD" w:rsidP="00BB59CD">
      <w:pPr>
        <w:rPr>
          <w:rtl/>
        </w:rPr>
      </w:pPr>
      <w:r>
        <w:rPr>
          <w:rFonts w:hint="cs"/>
          <w:rtl/>
        </w:rPr>
        <w:t>אריה מכלוף דרעי</w:t>
      </w:r>
      <w:r>
        <w:rPr>
          <w:rFonts w:hint="cs"/>
          <w:rtl/>
        </w:rPr>
        <w:tab/>
        <w:t>–   נגד</w:t>
      </w:r>
    </w:p>
    <w:p w:rsidR="00BB59CD" w:rsidRDefault="00BB59CD" w:rsidP="00BB59CD">
      <w:pPr>
        <w:rPr>
          <w:rtl/>
        </w:rPr>
      </w:pPr>
      <w:r>
        <w:rPr>
          <w:rFonts w:hint="cs"/>
          <w:rtl/>
        </w:rPr>
        <w:t>אימאן ח'טיב יאסין</w:t>
      </w:r>
      <w:r>
        <w:rPr>
          <w:rFonts w:hint="cs"/>
          <w:rtl/>
        </w:rPr>
        <w:tab/>
        <w:t xml:space="preserve">–   אינה נוכחת </w:t>
      </w:r>
    </w:p>
    <w:p w:rsidR="00BB59CD" w:rsidRDefault="00BB59CD" w:rsidP="00BB59CD">
      <w:pPr>
        <w:rPr>
          <w:rtl/>
        </w:rPr>
      </w:pPr>
      <w:r>
        <w:rPr>
          <w:rFonts w:hint="cs"/>
          <w:rtl/>
        </w:rPr>
        <w:t>אלמוג כהן</w:t>
      </w:r>
      <w:r>
        <w:rPr>
          <w:rFonts w:hint="cs"/>
          <w:rtl/>
        </w:rPr>
        <w:tab/>
      </w:r>
      <w:r>
        <w:rPr>
          <w:rFonts w:hint="cs"/>
          <w:rtl/>
        </w:rPr>
        <w:tab/>
        <w:t xml:space="preserve">–   נגד </w:t>
      </w:r>
    </w:p>
    <w:p w:rsidR="00BB59CD" w:rsidRDefault="00BB59CD" w:rsidP="00BB59CD">
      <w:pPr>
        <w:rPr>
          <w:rtl/>
        </w:rPr>
      </w:pPr>
      <w:r>
        <w:rPr>
          <w:rFonts w:hint="cs"/>
          <w:rtl/>
        </w:rPr>
        <w:t>עופר כסיף</w:t>
      </w:r>
      <w:r>
        <w:rPr>
          <w:rFonts w:hint="cs"/>
          <w:rtl/>
        </w:rPr>
        <w:tab/>
      </w:r>
      <w:r>
        <w:rPr>
          <w:rFonts w:hint="cs"/>
          <w:rtl/>
        </w:rPr>
        <w:tab/>
        <w:t xml:space="preserve">–   בעד </w:t>
      </w:r>
    </w:p>
    <w:p w:rsidR="00BB59CD" w:rsidRDefault="00BB59CD" w:rsidP="00BB59CD">
      <w:pPr>
        <w:rPr>
          <w:rtl/>
        </w:rPr>
      </w:pPr>
      <w:r>
        <w:rPr>
          <w:rFonts w:hint="cs"/>
          <w:rtl/>
        </w:rPr>
        <w:t>נעמה לזימי</w:t>
      </w:r>
      <w:r>
        <w:rPr>
          <w:rFonts w:hint="cs"/>
          <w:rtl/>
        </w:rPr>
        <w:tab/>
      </w:r>
      <w:r>
        <w:rPr>
          <w:rFonts w:hint="cs"/>
          <w:rtl/>
        </w:rPr>
        <w:tab/>
        <w:t xml:space="preserve">–   בעד </w:t>
      </w:r>
    </w:p>
    <w:p w:rsidR="00BB59CD" w:rsidRDefault="00BB59CD" w:rsidP="00BB59CD">
      <w:pPr>
        <w:rPr>
          <w:rtl/>
        </w:rPr>
      </w:pPr>
      <w:r>
        <w:rPr>
          <w:rFonts w:hint="cs"/>
          <w:rtl/>
        </w:rPr>
        <w:t>מיכל שיר סגמן</w:t>
      </w:r>
      <w:r>
        <w:rPr>
          <w:rFonts w:hint="cs"/>
          <w:rtl/>
        </w:rPr>
        <w:tab/>
      </w:r>
      <w:r>
        <w:rPr>
          <w:rFonts w:hint="cs"/>
          <w:rtl/>
        </w:rPr>
        <w:tab/>
        <w:t xml:space="preserve">–   אינה נוכחת </w:t>
      </w:r>
    </w:p>
    <w:p w:rsidR="00BB59CD" w:rsidRDefault="00BB59CD" w:rsidP="00BB59CD">
      <w:pPr>
        <w:rPr>
          <w:rtl/>
        </w:rPr>
      </w:pPr>
    </w:p>
    <w:p w:rsidR="00BB59CD" w:rsidRDefault="00BB59CD" w:rsidP="00BB59CD">
      <w:pPr>
        <w:pStyle w:val="af9"/>
        <w:keepNext/>
        <w:rPr>
          <w:rtl/>
        </w:rPr>
      </w:pPr>
      <w:bookmarkStart w:id="83486" w:name="_ETM_Q175_305475"/>
      <w:bookmarkStart w:id="83487" w:name="_ETM_Q175_305574"/>
      <w:bookmarkEnd w:id="83486"/>
      <w:bookmarkEnd w:id="83487"/>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488" w:name="_ETM_Q175_306290"/>
      <w:bookmarkEnd w:id="83488"/>
      <w:r>
        <w:rPr>
          <w:rFonts w:hint="cs"/>
          <w:rtl/>
        </w:rPr>
        <w:t xml:space="preserve">כן. </w:t>
      </w:r>
      <w:bookmarkStart w:id="83489" w:name="_ETM_Q175_308130"/>
      <w:bookmarkEnd w:id="83489"/>
      <w:r>
        <w:rPr>
          <w:rFonts w:hint="cs"/>
          <w:rtl/>
        </w:rPr>
        <w:t xml:space="preserve">האם יש חברי כנסת הנוכחים באולם שטרם הצביעו ומעוניינים לעשות זאת? אפשרתי כבר להכניס את כל חברי הכנסת שהוצאו החוצה. </w:t>
      </w:r>
    </w:p>
    <w:p w:rsidR="00BB59CD" w:rsidRDefault="00BB59CD" w:rsidP="00BB59CD">
      <w:pPr>
        <w:rPr>
          <w:rtl/>
        </w:rPr>
      </w:pPr>
      <w:bookmarkStart w:id="83490" w:name="_ETM_Q175_313282"/>
      <w:bookmarkStart w:id="83491" w:name="_ETM_Q175_313348"/>
      <w:bookmarkEnd w:id="83490"/>
      <w:bookmarkEnd w:id="83491"/>
    </w:p>
    <w:p w:rsidR="00BB59CD" w:rsidRDefault="00BB59CD" w:rsidP="00BB59CD">
      <w:pPr>
        <w:rPr>
          <w:rtl/>
        </w:rPr>
      </w:pPr>
      <w:bookmarkStart w:id="83492" w:name="_ETM_Q175_313474"/>
      <w:bookmarkStart w:id="83493" w:name="_ETM_Q175_313542"/>
      <w:bookmarkStart w:id="83494" w:name="_ETM_Q175_333849"/>
      <w:bookmarkEnd w:id="83492"/>
      <w:bookmarkEnd w:id="83493"/>
      <w:bookmarkEnd w:id="83494"/>
      <w:r>
        <w:rPr>
          <w:rFonts w:hint="cs"/>
          <w:rtl/>
        </w:rPr>
        <w:t xml:space="preserve">חברת הכנסת מיכל שיר סגמן פה בחוץ? </w:t>
      </w:r>
    </w:p>
    <w:p w:rsidR="00BB59CD" w:rsidRDefault="00BB59CD" w:rsidP="00BB59CD">
      <w:pPr>
        <w:rPr>
          <w:rtl/>
        </w:rPr>
      </w:pPr>
      <w:bookmarkStart w:id="83495" w:name="_ETM_Q175_335488"/>
      <w:bookmarkStart w:id="83496" w:name="_ETM_Q175_335559"/>
      <w:bookmarkEnd w:id="83495"/>
      <w:bookmarkEnd w:id="83496"/>
    </w:p>
    <w:p w:rsidR="00BB59CD" w:rsidRDefault="00BB59CD" w:rsidP="00BB59CD">
      <w:pPr>
        <w:pStyle w:val="af8"/>
        <w:keepNext/>
        <w:rPr>
          <w:rtl/>
        </w:rPr>
      </w:pPr>
      <w:bookmarkStart w:id="83497" w:name="ET_interruption_6327_8"/>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497"/>
    </w:p>
    <w:p w:rsidR="00BB59CD" w:rsidRDefault="00BB59CD" w:rsidP="00BB59CD">
      <w:pPr>
        <w:ind w:firstLine="0"/>
        <w:rPr>
          <w:rtl/>
        </w:rPr>
      </w:pPr>
      <w:r>
        <w:rPr>
          <w:rFonts w:hint="cs"/>
          <w:rtl/>
        </w:rPr>
        <w:t>(קורא בשם חברת הכנסת)</w:t>
      </w:r>
    </w:p>
    <w:p w:rsidR="00BB59CD" w:rsidRDefault="00BB59CD" w:rsidP="00BB59CD">
      <w:pPr>
        <w:rPr>
          <w:rtl/>
        </w:rPr>
      </w:pPr>
    </w:p>
    <w:p w:rsidR="00BB59CD" w:rsidRDefault="00BB59CD" w:rsidP="00BB59CD">
      <w:pPr>
        <w:rPr>
          <w:rtl/>
        </w:rPr>
      </w:pPr>
      <w:bookmarkStart w:id="83498" w:name="_ETM_Q175_344339"/>
      <w:bookmarkStart w:id="83499" w:name="_ETM_Q175_344412"/>
      <w:bookmarkEnd w:id="83498"/>
      <w:bookmarkEnd w:id="83499"/>
      <w:r>
        <w:rPr>
          <w:rFonts w:hint="cs"/>
          <w:rtl/>
        </w:rPr>
        <w:t>מיכל שיר סגמן</w:t>
      </w:r>
      <w:r>
        <w:rPr>
          <w:rFonts w:hint="cs"/>
          <w:rtl/>
        </w:rPr>
        <w:tab/>
      </w:r>
      <w:r>
        <w:rPr>
          <w:rFonts w:hint="cs"/>
          <w:rtl/>
        </w:rPr>
        <w:tab/>
        <w:t>–   בעד</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500" w:name="_ETM_Q175_345248"/>
      <w:bookmarkEnd w:id="83500"/>
      <w:r>
        <w:rPr>
          <w:rFonts w:hint="cs"/>
          <w:rtl/>
        </w:rPr>
        <w:t xml:space="preserve">יש עוד חברי כנסת שטרם הצביעו? אם לא, תמה ההצבעה, נא לספור את הקולות. </w:t>
      </w:r>
      <w:bookmarkStart w:id="83501" w:name="_ETM_Q175_414011"/>
      <w:bookmarkStart w:id="83502" w:name="_ETM_Q175_414097"/>
      <w:bookmarkEnd w:id="83501"/>
      <w:bookmarkEnd w:id="83502"/>
      <w:r>
        <w:rPr>
          <w:rFonts w:hint="cs"/>
          <w:rtl/>
        </w:rPr>
        <w:t xml:space="preserve">אם כן, 55 </w:t>
      </w:r>
      <w:bookmarkStart w:id="83503" w:name="_ETM_Q175_491896"/>
      <w:bookmarkEnd w:id="83503"/>
      <w:r>
        <w:rPr>
          <w:rFonts w:hint="cs"/>
          <w:rtl/>
        </w:rPr>
        <w:t>בעד, 64 נגד. אני קובע כי ההסתייגות לא התקבלה</w:t>
      </w:r>
      <w:bookmarkStart w:id="83504" w:name="_ETM_Q175_497900"/>
      <w:bookmarkEnd w:id="83504"/>
      <w:r>
        <w:rPr>
          <w:rFonts w:hint="cs"/>
          <w:rtl/>
        </w:rPr>
        <w:t xml:space="preserve">. </w:t>
      </w:r>
    </w:p>
    <w:p w:rsidR="00BB59CD" w:rsidRDefault="00BB59CD" w:rsidP="00BB59CD">
      <w:pPr>
        <w:rPr>
          <w:rtl/>
        </w:rPr>
      </w:pPr>
      <w:bookmarkStart w:id="83505" w:name="_ETM_Q175_351229"/>
      <w:bookmarkStart w:id="83506" w:name="_ETM_Q175_351302"/>
      <w:bookmarkEnd w:id="83505"/>
      <w:bookmarkEnd w:id="83506"/>
    </w:p>
    <w:p w:rsidR="00BB59CD" w:rsidRDefault="00BB59CD" w:rsidP="00BB59CD">
      <w:pPr>
        <w:rPr>
          <w:rtl/>
        </w:rPr>
      </w:pPr>
      <w:bookmarkStart w:id="83507" w:name="_ETM_Q175_351387"/>
      <w:bookmarkStart w:id="83508" w:name="_ETM_Q175_351474"/>
      <w:bookmarkEnd w:id="83507"/>
      <w:bookmarkEnd w:id="83508"/>
      <w:r>
        <w:rPr>
          <w:rFonts w:hint="cs"/>
          <w:rtl/>
        </w:rPr>
        <w:t xml:space="preserve">כעת נעבור להצביע הצבעה אלקטרונית. חברי הכנסת, אנא תפסו את מקומותיכם. ההצבעה תהיה אלקטרונית. אנא שבו במקומותיכם. </w:t>
      </w:r>
      <w:bookmarkStart w:id="83509" w:name="_ETM_Q175_519006"/>
      <w:bookmarkStart w:id="83510" w:name="_ETM_Q175_519089"/>
      <w:bookmarkEnd w:id="83509"/>
      <w:bookmarkEnd w:id="83510"/>
      <w:r>
        <w:rPr>
          <w:rFonts w:hint="cs"/>
          <w:rtl/>
        </w:rPr>
        <w:t>חברי</w:t>
      </w:r>
      <w:bookmarkStart w:id="83511" w:name="_ETM_Q175_521422"/>
      <w:bookmarkEnd w:id="83511"/>
      <w:r>
        <w:rPr>
          <w:rFonts w:hint="cs"/>
          <w:rtl/>
        </w:rPr>
        <w:t xml:space="preserve"> הכנסת, אנא שבו במקומותיכם. </w:t>
      </w:r>
    </w:p>
    <w:p w:rsidR="00BB59CD" w:rsidRDefault="00BB59CD" w:rsidP="00BB59CD">
      <w:pPr>
        <w:rPr>
          <w:rtl/>
        </w:rPr>
      </w:pPr>
      <w:bookmarkStart w:id="83512" w:name="_ETM_Q175_365564"/>
      <w:bookmarkStart w:id="83513" w:name="_ETM_Q175_365612"/>
      <w:bookmarkEnd w:id="83512"/>
      <w:bookmarkEnd w:id="83513"/>
    </w:p>
    <w:p w:rsidR="00BB59CD" w:rsidRDefault="00BB59CD" w:rsidP="00BB59CD">
      <w:pPr>
        <w:rPr>
          <w:rtl/>
        </w:rPr>
      </w:pPr>
      <w:bookmarkStart w:id="83514" w:name="_ETM_Q175_365708"/>
      <w:bookmarkStart w:id="83515" w:name="_ETM_Q175_365762"/>
      <w:bookmarkEnd w:id="83514"/>
      <w:bookmarkEnd w:id="83515"/>
      <w:r>
        <w:rPr>
          <w:rFonts w:hint="cs"/>
          <w:rtl/>
        </w:rPr>
        <w:t xml:space="preserve">אנחנו מצביעים על </w:t>
      </w:r>
      <w:bookmarkStart w:id="83516" w:name="_ETM_Q175_532011"/>
      <w:bookmarkEnd w:id="83516"/>
      <w:r>
        <w:rPr>
          <w:rFonts w:hint="cs"/>
          <w:rtl/>
        </w:rPr>
        <w:t>הסתייגות שמספרה 19438. הצבעה.</w:t>
      </w:r>
      <w:bookmarkStart w:id="83517" w:name="_ETM_Q175_367420"/>
      <w:bookmarkEnd w:id="83517"/>
    </w:p>
    <w:p w:rsidR="00BB59CD" w:rsidRDefault="00BB59CD" w:rsidP="00BB59CD">
      <w:pPr>
        <w:rPr>
          <w:rtl/>
        </w:rPr>
      </w:pPr>
      <w:bookmarkStart w:id="83518" w:name="_ETM_Q175_367515"/>
      <w:bookmarkEnd w:id="83518"/>
    </w:p>
    <w:p w:rsidR="00BB59CD" w:rsidRDefault="00BB59CD" w:rsidP="00BB59CD">
      <w:pPr>
        <w:pStyle w:val="af4"/>
        <w:keepNext/>
        <w:rPr>
          <w:rtl/>
        </w:rPr>
      </w:pPr>
      <w:r>
        <w:rPr>
          <w:rFonts w:hint="cs"/>
          <w:rtl/>
        </w:rPr>
        <w:t>הצבעה מס' 130</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נגד – 62</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19438 לא נתקבלה.</w:t>
      </w:r>
    </w:p>
    <w:p w:rsidR="00BB59CD" w:rsidRDefault="00BB59CD" w:rsidP="00BB59CD">
      <w:pPr>
        <w:keepNext/>
        <w:rPr>
          <w:rtl/>
        </w:rPr>
      </w:pPr>
      <w:bookmarkStart w:id="83519" w:name="_ETM_Q175_542671"/>
      <w:bookmarkStart w:id="83520" w:name="_ETM_Q175_542748"/>
      <w:bookmarkStart w:id="83521" w:name="_ETM_Q175_542783"/>
      <w:bookmarkStart w:id="83522" w:name="_ETM_Q175_542871"/>
      <w:bookmarkEnd w:id="83519"/>
      <w:bookmarkEnd w:id="83520"/>
      <w:bookmarkEnd w:id="83521"/>
      <w:bookmarkEnd w:id="83522"/>
    </w:p>
    <w:p w:rsidR="00BB59CD" w:rsidRDefault="00BB59CD" w:rsidP="00BB59C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523" w:name="_ETM_Q175_543912"/>
      <w:bookmarkEnd w:id="83523"/>
      <w:r>
        <w:rPr>
          <w:rFonts w:hint="cs"/>
          <w:rtl/>
        </w:rPr>
        <w:t xml:space="preserve">55 בעד, 62 נגד. ההסתייגות לא התקבלה. </w:t>
      </w:r>
    </w:p>
    <w:p w:rsidR="00BB59CD" w:rsidRDefault="00BB59CD" w:rsidP="00BB59CD">
      <w:pPr>
        <w:rPr>
          <w:rtl/>
        </w:rPr>
      </w:pPr>
    </w:p>
    <w:p w:rsidR="00BB59CD" w:rsidRDefault="00BB59CD" w:rsidP="00BB59CD">
      <w:pPr>
        <w:rPr>
          <w:rtl/>
        </w:rPr>
      </w:pPr>
      <w:r>
        <w:rPr>
          <w:rFonts w:hint="cs"/>
          <w:rtl/>
        </w:rPr>
        <w:t>כעת נצביע על הסתייגות 19443. הצבעה.</w:t>
      </w:r>
    </w:p>
    <w:p w:rsidR="00BB59CD" w:rsidRDefault="00BB59CD" w:rsidP="00BB59CD">
      <w:pPr>
        <w:rPr>
          <w:rtl/>
        </w:rPr>
      </w:pPr>
    </w:p>
    <w:p w:rsidR="00BB59CD" w:rsidRDefault="00BB59CD" w:rsidP="00BB59CD">
      <w:pPr>
        <w:pStyle w:val="af4"/>
        <w:keepNext/>
        <w:rPr>
          <w:rtl/>
        </w:rPr>
      </w:pPr>
      <w:bookmarkStart w:id="83524" w:name="_ETM_Q175_557608"/>
      <w:bookmarkStart w:id="83525" w:name="_ETM_Q175_557687"/>
      <w:bookmarkEnd w:id="83524"/>
      <w:bookmarkEnd w:id="83525"/>
      <w:r>
        <w:rPr>
          <w:rFonts w:hint="cs"/>
          <w:rtl/>
        </w:rPr>
        <w:t>הצבעה מס'</w:t>
      </w:r>
      <w:bookmarkStart w:id="83526" w:name="_ETM_Q175_564672"/>
      <w:bookmarkEnd w:id="83526"/>
      <w:r>
        <w:rPr>
          <w:rFonts w:hint="cs"/>
          <w:rtl/>
        </w:rPr>
        <w:t xml:space="preserve"> 131</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62</w:t>
      </w:r>
    </w:p>
    <w:p w:rsidR="00BB59CD" w:rsidRDefault="00BB59CD" w:rsidP="00BB59CD">
      <w:pPr>
        <w:pStyle w:val="--"/>
        <w:keepNext/>
        <w:rPr>
          <w:rtl/>
        </w:rPr>
      </w:pPr>
      <w:r>
        <w:rPr>
          <w:rFonts w:hint="cs"/>
          <w:rtl/>
        </w:rPr>
        <w:t>נמנעים – אין</w:t>
      </w:r>
    </w:p>
    <w:p w:rsidR="00BB59CD" w:rsidRDefault="00BB59CD" w:rsidP="00BB59CD">
      <w:pPr>
        <w:jc w:val="center"/>
        <w:rPr>
          <w:rtl/>
        </w:rPr>
      </w:pPr>
      <w:bookmarkStart w:id="83527" w:name="_ETM_Q175_574663"/>
      <w:bookmarkStart w:id="83528" w:name="_ETM_Q175_574742"/>
      <w:bookmarkEnd w:id="83527"/>
      <w:bookmarkEnd w:id="83528"/>
      <w:r>
        <w:rPr>
          <w:rFonts w:hint="cs"/>
          <w:rtl/>
        </w:rPr>
        <w:t>הסתייגות 19443 לא נתקבלה.</w:t>
      </w:r>
      <w:bookmarkStart w:id="83529" w:name="_ETM_Q175_575310"/>
      <w:bookmarkEnd w:id="83529"/>
    </w:p>
    <w:p w:rsidR="00BB59CD" w:rsidRDefault="00BB59CD" w:rsidP="00BB59CD">
      <w:pPr>
        <w:keepNext/>
        <w:rPr>
          <w:rtl/>
        </w:rPr>
      </w:pPr>
      <w:bookmarkStart w:id="83530" w:name="_ETM_Q175_575372"/>
      <w:bookmarkEnd w:id="83530"/>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531" w:name="_ETM_Q175_576561"/>
      <w:bookmarkEnd w:id="83531"/>
      <w:r>
        <w:rPr>
          <w:rFonts w:hint="cs"/>
          <w:rtl/>
        </w:rPr>
        <w:t xml:space="preserve">56 בעד, 62 נגד. ההסתייגות לא התקבלה. </w:t>
      </w:r>
    </w:p>
    <w:p w:rsidR="00BB59CD" w:rsidRDefault="00BB59CD" w:rsidP="00BB59CD">
      <w:pPr>
        <w:rPr>
          <w:rtl/>
        </w:rPr>
      </w:pPr>
      <w:bookmarkStart w:id="83532" w:name="_ETM_Q175_587250"/>
      <w:bookmarkStart w:id="83533" w:name="_ETM_Q175_587305"/>
      <w:bookmarkEnd w:id="83532"/>
      <w:bookmarkEnd w:id="83533"/>
    </w:p>
    <w:p w:rsidR="00BB59CD" w:rsidRDefault="00BB59CD" w:rsidP="00BB59CD">
      <w:pPr>
        <w:rPr>
          <w:rtl/>
        </w:rPr>
      </w:pPr>
      <w:bookmarkStart w:id="83534" w:name="_ETM_Q175_587378"/>
      <w:bookmarkStart w:id="83535" w:name="_ETM_Q175_587459"/>
      <w:bookmarkEnd w:id="83534"/>
      <w:bookmarkEnd w:id="83535"/>
      <w:r>
        <w:rPr>
          <w:rFonts w:hint="cs"/>
          <w:rtl/>
        </w:rPr>
        <w:t xml:space="preserve">אנחנו ממשיכים עם ההצבעות אחרי סעיף </w:t>
      </w:r>
      <w:bookmarkStart w:id="83536" w:name="_ETM_Q175_579206"/>
      <w:bookmarkEnd w:id="83536"/>
      <w:r>
        <w:rPr>
          <w:rFonts w:hint="cs"/>
          <w:rtl/>
        </w:rPr>
        <w:t>1. הסתייגות מס'</w:t>
      </w:r>
      <w:bookmarkStart w:id="83537" w:name="_ETM_Q175_588738"/>
      <w:bookmarkEnd w:id="83537"/>
      <w:r>
        <w:rPr>
          <w:rFonts w:hint="cs"/>
          <w:rtl/>
        </w:rPr>
        <w:t xml:space="preserve"> 19447 – הצבעה.</w:t>
      </w:r>
      <w:bookmarkStart w:id="83538" w:name="_ETM_Q175_589836"/>
      <w:bookmarkStart w:id="83539" w:name="_ETM_Q175_593842"/>
      <w:bookmarkEnd w:id="83538"/>
      <w:bookmarkEnd w:id="83539"/>
    </w:p>
    <w:p w:rsidR="00BB59CD" w:rsidRDefault="00BB59CD" w:rsidP="00BB59CD">
      <w:pPr>
        <w:rPr>
          <w:rtl/>
        </w:rPr>
      </w:pPr>
      <w:bookmarkStart w:id="83540" w:name="_ETM_Q175_593932"/>
      <w:bookmarkEnd w:id="83540"/>
    </w:p>
    <w:p w:rsidR="00BB59CD" w:rsidRDefault="00BB59CD" w:rsidP="00BB59CD">
      <w:pPr>
        <w:pStyle w:val="af4"/>
        <w:keepNext/>
        <w:rPr>
          <w:rtl/>
        </w:rPr>
      </w:pPr>
      <w:bookmarkStart w:id="83541" w:name="_ETM_Q175_589907"/>
      <w:bookmarkEnd w:id="83541"/>
      <w:r>
        <w:rPr>
          <w:rFonts w:hint="cs"/>
          <w:rtl/>
        </w:rPr>
        <w:t>הצבעה מס' 132</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19447 לא נתקבלה.</w:t>
      </w:r>
    </w:p>
    <w:p w:rsidR="00BB59CD" w:rsidRDefault="00BB59CD" w:rsidP="00BB59CD">
      <w:pPr>
        <w:keepNext/>
        <w:rPr>
          <w:rtl/>
        </w:rPr>
      </w:pPr>
      <w:bookmarkStart w:id="83542" w:name="_ETM_Q175_597421"/>
      <w:bookmarkStart w:id="83543" w:name="_ETM_Q175_597485"/>
      <w:bookmarkEnd w:id="83542"/>
      <w:bookmarkEnd w:id="83543"/>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544" w:name="_ETM_Q175_598447"/>
      <w:bookmarkEnd w:id="83544"/>
      <w:r>
        <w:rPr>
          <w:rFonts w:hint="cs"/>
          <w:rtl/>
        </w:rPr>
        <w:t>55 בעד, 63 נגד, נוכח אחד. אני קובע כי ההסתייגות לא התקבל</w:t>
      </w:r>
      <w:bookmarkStart w:id="83545" w:name="_ETM_Q175_608081"/>
      <w:bookmarkStart w:id="83546" w:name="_ETM_Q175_608172"/>
      <w:bookmarkEnd w:id="83545"/>
      <w:bookmarkEnd w:id="83546"/>
      <w:r>
        <w:rPr>
          <w:rFonts w:hint="cs"/>
          <w:rtl/>
        </w:rPr>
        <w:t xml:space="preserve">ה. </w:t>
      </w:r>
    </w:p>
    <w:p w:rsidR="00BB59CD" w:rsidRDefault="00BB59CD" w:rsidP="00BB59CD">
      <w:pPr>
        <w:rPr>
          <w:rtl/>
        </w:rPr>
      </w:pPr>
    </w:p>
    <w:p w:rsidR="00BB59CD" w:rsidRDefault="00BB59CD" w:rsidP="00BB59CD">
      <w:pPr>
        <w:rPr>
          <w:rtl/>
        </w:rPr>
      </w:pPr>
      <w:r>
        <w:rPr>
          <w:rFonts w:hint="cs"/>
          <w:rtl/>
        </w:rPr>
        <w:t xml:space="preserve">כעת נצביע על הסתייגות שמספרה </w:t>
      </w:r>
      <w:bookmarkStart w:id="83547" w:name="_ETM_Q175_614587"/>
      <w:bookmarkStart w:id="83548" w:name="_ETM_Q175_614652"/>
      <w:bookmarkEnd w:id="83547"/>
      <w:bookmarkEnd w:id="83548"/>
      <w:r>
        <w:rPr>
          <w:rFonts w:hint="cs"/>
          <w:rtl/>
        </w:rPr>
        <w:t>19451, הצבעה.</w:t>
      </w:r>
    </w:p>
    <w:p w:rsidR="00BB59CD" w:rsidRDefault="00BB59CD" w:rsidP="00BB59CD">
      <w:pPr>
        <w:keepNext/>
        <w:rPr>
          <w:rtl/>
        </w:rPr>
      </w:pPr>
      <w:bookmarkStart w:id="83549" w:name="_ETM_Q175_614825"/>
      <w:bookmarkStart w:id="83550" w:name="_ETM_Q175_614889"/>
      <w:bookmarkStart w:id="83551" w:name="_ETM_Q175_616930"/>
      <w:bookmarkEnd w:id="83549"/>
      <w:bookmarkEnd w:id="83550"/>
      <w:bookmarkEnd w:id="83551"/>
    </w:p>
    <w:p w:rsidR="00BB59CD" w:rsidRDefault="00BB59CD" w:rsidP="00BB59CD">
      <w:pPr>
        <w:pStyle w:val="af4"/>
        <w:keepNext/>
        <w:rPr>
          <w:rtl/>
        </w:rPr>
      </w:pPr>
      <w:bookmarkStart w:id="83552" w:name="_ETM_Q175_616986"/>
      <w:bookmarkEnd w:id="83552"/>
      <w:r>
        <w:rPr>
          <w:rFonts w:hint="cs"/>
          <w:rtl/>
        </w:rPr>
        <w:t>הצבעה מס' 133</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64</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19451 לא נתקבלה.</w:t>
      </w:r>
    </w:p>
    <w:p w:rsidR="00BB59CD" w:rsidRDefault="00BB59CD" w:rsidP="00BB59CD">
      <w:pPr>
        <w:keepNext/>
        <w:rPr>
          <w:rtl/>
        </w:rPr>
      </w:pPr>
      <w:bookmarkStart w:id="83553" w:name="_ETM_Q175_631216"/>
      <w:bookmarkStart w:id="83554" w:name="_ETM_Q175_631292"/>
      <w:bookmarkStart w:id="83555" w:name="_ETM_Q175_631343"/>
      <w:bookmarkStart w:id="83556" w:name="_ETM_Q175_631417"/>
      <w:bookmarkEnd w:id="83553"/>
      <w:bookmarkEnd w:id="83554"/>
      <w:bookmarkEnd w:id="83555"/>
      <w:bookmarkEnd w:id="83556"/>
    </w:p>
    <w:p w:rsidR="00BB59CD" w:rsidRDefault="00BB59CD" w:rsidP="00BB59C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56 בעד,</w:t>
      </w:r>
      <w:bookmarkStart w:id="83557" w:name="_ETM_Q175_631414"/>
      <w:bookmarkEnd w:id="83557"/>
      <w:r>
        <w:rPr>
          <w:rFonts w:hint="cs"/>
          <w:rtl/>
        </w:rPr>
        <w:t xml:space="preserve"> 64 נגד. ההסתייגות לא התקבלה. </w:t>
      </w:r>
      <w:bookmarkStart w:id="83558" w:name="_ETM_Q175_636019"/>
      <w:bookmarkEnd w:id="83558"/>
    </w:p>
    <w:p w:rsidR="00BB59CD" w:rsidRDefault="00BB59CD" w:rsidP="00BB59CD">
      <w:pPr>
        <w:rPr>
          <w:rtl/>
        </w:rPr>
      </w:pPr>
      <w:bookmarkStart w:id="83559" w:name="_ETM_Q175_636093"/>
      <w:bookmarkStart w:id="83560" w:name="_ETM_Q175_636146"/>
      <w:bookmarkEnd w:id="83559"/>
      <w:bookmarkEnd w:id="83560"/>
    </w:p>
    <w:p w:rsidR="00BB59CD" w:rsidRDefault="00BB59CD" w:rsidP="00BB59CD">
      <w:pPr>
        <w:rPr>
          <w:rtl/>
        </w:rPr>
      </w:pPr>
      <w:bookmarkStart w:id="83561" w:name="_ETM_Q175_636254"/>
      <w:bookmarkEnd w:id="83561"/>
      <w:r>
        <w:rPr>
          <w:rFonts w:hint="cs"/>
          <w:rtl/>
        </w:rPr>
        <w:t>כעת נצביע על הסתייגות 19459. הצבעה.</w:t>
      </w:r>
    </w:p>
    <w:p w:rsidR="00BB59CD" w:rsidRDefault="00BB59CD" w:rsidP="00BB59CD">
      <w:pPr>
        <w:rPr>
          <w:rtl/>
        </w:rPr>
      </w:pPr>
      <w:bookmarkStart w:id="83562" w:name="_ETM_Q175_642802"/>
      <w:bookmarkStart w:id="83563" w:name="_ETM_Q175_642901"/>
      <w:bookmarkEnd w:id="83562"/>
      <w:bookmarkEnd w:id="83563"/>
    </w:p>
    <w:p w:rsidR="00BB59CD" w:rsidRDefault="00BB59CD" w:rsidP="00BB59CD">
      <w:pPr>
        <w:pStyle w:val="af4"/>
        <w:keepNext/>
        <w:rPr>
          <w:rtl/>
        </w:rPr>
      </w:pPr>
      <w:r>
        <w:rPr>
          <w:rFonts w:hint="cs"/>
          <w:rtl/>
        </w:rPr>
        <w:t>הצבעה מס' 134</w:t>
      </w:r>
    </w:p>
    <w:p w:rsidR="00BB59CD" w:rsidRDefault="00BB59CD" w:rsidP="00BB59CD">
      <w:pPr>
        <w:pStyle w:val="--"/>
        <w:keepNext/>
        <w:rPr>
          <w:rtl/>
        </w:rPr>
      </w:pPr>
    </w:p>
    <w:p w:rsidR="00BB59CD" w:rsidRDefault="00BB59CD" w:rsidP="00BB59CD">
      <w:pPr>
        <w:pStyle w:val="--"/>
        <w:keepNext/>
        <w:rPr>
          <w:rtl/>
        </w:rPr>
      </w:pPr>
      <w:r>
        <w:rPr>
          <w:rFonts w:hint="cs"/>
          <w:rtl/>
        </w:rPr>
        <w:t xml:space="preserve">בעד ההסתייגות </w:t>
      </w:r>
      <w:bookmarkStart w:id="83564" w:name="_ETM_Q175_646658"/>
      <w:bookmarkEnd w:id="83564"/>
      <w:r>
        <w:rPr>
          <w:rFonts w:hint="cs"/>
          <w:rtl/>
        </w:rPr>
        <w:t>– 53</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 xml:space="preserve">הסתייגות 19459 לא נתקבלה. </w:t>
      </w:r>
    </w:p>
    <w:p w:rsidR="00BB59CD" w:rsidRDefault="00BB59CD" w:rsidP="00BB59CD">
      <w:pPr>
        <w:keepNext/>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53 בעד, 63 נגד. ההסתייגות לא התקבלה. </w:t>
      </w:r>
      <w:bookmarkStart w:id="83565" w:name="_ETM_Q175_650093"/>
      <w:bookmarkEnd w:id="83565"/>
    </w:p>
    <w:p w:rsidR="00BB59CD" w:rsidRDefault="00BB59CD" w:rsidP="00BB59CD">
      <w:pPr>
        <w:rPr>
          <w:rtl/>
        </w:rPr>
      </w:pPr>
      <w:bookmarkStart w:id="83566" w:name="_ETM_Q175_650613"/>
      <w:bookmarkStart w:id="83567" w:name="_ETM_Q175_650699"/>
      <w:bookmarkEnd w:id="83566"/>
      <w:bookmarkEnd w:id="83567"/>
    </w:p>
    <w:p w:rsidR="00BB59CD" w:rsidRDefault="00BB59CD" w:rsidP="00BB59CD">
      <w:pPr>
        <w:pStyle w:val="af8"/>
        <w:keepNext/>
        <w:rPr>
          <w:rtl/>
        </w:rPr>
      </w:pPr>
      <w:bookmarkStart w:id="83568" w:name="_ETM_Q175_650780"/>
      <w:bookmarkStart w:id="83569" w:name="_ETM_Q175_650860"/>
      <w:bookmarkEnd w:id="83568"/>
      <w:bookmarkEnd w:id="83569"/>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רק שים לב שההצבעה נפתחה לפני שדיברת.</w:t>
      </w:r>
    </w:p>
    <w:p w:rsidR="00BB59CD" w:rsidRDefault="00BB59CD" w:rsidP="00BB59CD">
      <w:pPr>
        <w:rPr>
          <w:rtl/>
        </w:rPr>
      </w:pPr>
      <w:bookmarkStart w:id="83570" w:name="_ETM_Q175_658951"/>
      <w:bookmarkStart w:id="83571" w:name="_ETM_Q175_659018"/>
      <w:bookmarkEnd w:id="83570"/>
      <w:bookmarkEnd w:id="83571"/>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כולם הספיקו.</w:t>
      </w:r>
    </w:p>
    <w:p w:rsidR="00BB59CD" w:rsidRDefault="00BB59CD" w:rsidP="00BB59CD">
      <w:pPr>
        <w:rPr>
          <w:rtl/>
        </w:rPr>
      </w:pPr>
    </w:p>
    <w:p w:rsidR="00BB59CD" w:rsidRDefault="00BB59CD" w:rsidP="00BB59CD">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19479. </w:t>
      </w:r>
    </w:p>
    <w:p w:rsidR="00BB59CD" w:rsidRDefault="00BB59CD" w:rsidP="00BB59CD">
      <w:pPr>
        <w:rPr>
          <w:rtl/>
        </w:rPr>
      </w:pPr>
      <w:bookmarkStart w:id="83572" w:name="_ETM_Q175_659975"/>
      <w:bookmarkStart w:id="83573" w:name="_ETM_Q175_660046"/>
      <w:bookmarkEnd w:id="83572"/>
      <w:bookmarkEnd w:id="83573"/>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הסתייגות 19479 – הצבעה.</w:t>
      </w:r>
    </w:p>
    <w:p w:rsidR="00BB59CD" w:rsidRDefault="00BB59CD" w:rsidP="00BB59CD">
      <w:pPr>
        <w:rPr>
          <w:rtl/>
        </w:rPr>
      </w:pPr>
      <w:bookmarkStart w:id="83574" w:name="_ETM_Q175_668125"/>
      <w:bookmarkStart w:id="83575" w:name="_ETM_Q175_668194"/>
      <w:bookmarkEnd w:id="83574"/>
      <w:bookmarkEnd w:id="83575"/>
    </w:p>
    <w:p w:rsidR="00BB59CD" w:rsidRDefault="00BB59CD" w:rsidP="00BB59CD">
      <w:pPr>
        <w:pStyle w:val="af4"/>
        <w:keepNext/>
        <w:rPr>
          <w:rtl/>
        </w:rPr>
      </w:pPr>
      <w:bookmarkStart w:id="83576" w:name="_ETM_Q175_661164"/>
      <w:bookmarkStart w:id="83577" w:name="_ETM_Q175_661236"/>
      <w:bookmarkEnd w:id="83576"/>
      <w:bookmarkEnd w:id="83577"/>
      <w:r>
        <w:rPr>
          <w:rFonts w:hint="cs"/>
          <w:rtl/>
        </w:rPr>
        <w:t>הצבעה מס' 135</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56</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19479 לא נתקבלה.</w:t>
      </w:r>
    </w:p>
    <w:p w:rsidR="00BB59CD" w:rsidRDefault="00BB59CD" w:rsidP="00BB59CD">
      <w:pPr>
        <w:jc w:val="center"/>
        <w:rPr>
          <w:rtl/>
        </w:rPr>
      </w:pPr>
      <w:bookmarkStart w:id="83578" w:name="_ETM_Q175_683015"/>
      <w:bookmarkStart w:id="83579" w:name="_ETM_Q175_683098"/>
      <w:bookmarkEnd w:id="83578"/>
      <w:bookmarkEnd w:id="83579"/>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56 בעד, 63 נגד. אני קובע כי ההסתייגות לא התקבלה. </w:t>
      </w:r>
      <w:bookmarkStart w:id="83580" w:name="_ETM_Q175_680840"/>
      <w:bookmarkEnd w:id="83580"/>
    </w:p>
    <w:p w:rsidR="00BB59CD" w:rsidRDefault="00BB59CD" w:rsidP="00BB59CD">
      <w:pPr>
        <w:rPr>
          <w:rtl/>
        </w:rPr>
      </w:pPr>
      <w:bookmarkStart w:id="83581" w:name="_ETM_Q175_684829"/>
      <w:bookmarkStart w:id="83582" w:name="_ETM_Q175_684905"/>
      <w:bookmarkEnd w:id="83581"/>
      <w:bookmarkEnd w:id="83582"/>
    </w:p>
    <w:p w:rsidR="00BB59CD" w:rsidRDefault="00BB59CD" w:rsidP="00BB59CD">
      <w:pPr>
        <w:rPr>
          <w:rtl/>
        </w:rPr>
      </w:pPr>
      <w:bookmarkStart w:id="83583" w:name="_ETM_Q175_684974"/>
      <w:bookmarkStart w:id="83584" w:name="_ETM_Q175_685027"/>
      <w:bookmarkEnd w:id="83583"/>
      <w:bookmarkEnd w:id="83584"/>
      <w:r>
        <w:rPr>
          <w:rFonts w:hint="cs"/>
          <w:rtl/>
        </w:rPr>
        <w:t>כעת נצביע על הסתייגות שמספרה 19585. הצבעה כעת.</w:t>
      </w:r>
    </w:p>
    <w:p w:rsidR="00BB59CD" w:rsidRDefault="00BB59CD" w:rsidP="00BB59CD">
      <w:pPr>
        <w:rPr>
          <w:rtl/>
        </w:rPr>
      </w:pPr>
      <w:bookmarkStart w:id="83585" w:name="_ETM_Q175_692397"/>
      <w:bookmarkStart w:id="83586" w:name="_ETM_Q175_692552"/>
      <w:bookmarkEnd w:id="83585"/>
      <w:bookmarkEnd w:id="83586"/>
    </w:p>
    <w:p w:rsidR="00BB59CD" w:rsidRDefault="00BB59CD" w:rsidP="00BB59CD">
      <w:pPr>
        <w:pStyle w:val="af4"/>
        <w:keepNext/>
        <w:rPr>
          <w:rtl/>
        </w:rPr>
      </w:pPr>
      <w:bookmarkStart w:id="83587" w:name="_ETM_Q175_686238"/>
      <w:bookmarkStart w:id="83588" w:name="_ETM_Q175_686323"/>
      <w:bookmarkEnd w:id="83587"/>
      <w:bookmarkEnd w:id="83588"/>
      <w:r>
        <w:rPr>
          <w:rFonts w:hint="cs"/>
          <w:rtl/>
        </w:rPr>
        <w:t>הצבעה מס' 136</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53</w:t>
      </w:r>
    </w:p>
    <w:p w:rsidR="00BB59CD" w:rsidRDefault="00BB59CD" w:rsidP="00BB59CD">
      <w:pPr>
        <w:pStyle w:val="--"/>
        <w:keepNext/>
        <w:rPr>
          <w:rtl/>
        </w:rPr>
      </w:pPr>
      <w:r>
        <w:rPr>
          <w:rFonts w:hint="cs"/>
          <w:rtl/>
        </w:rPr>
        <w:t>נגד – 63</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19585 לא נתקבלה.</w:t>
      </w:r>
    </w:p>
    <w:p w:rsidR="00BB59CD" w:rsidRDefault="00BB59CD" w:rsidP="00BB59CD">
      <w:pPr>
        <w:rPr>
          <w:rtl/>
          <w:lang w:eastAsia="he-IL"/>
        </w:rPr>
      </w:pPr>
      <w:bookmarkStart w:id="83589" w:name="_ETM_Q175_694878"/>
      <w:bookmarkStart w:id="83590" w:name="_ETM_Q175_694944"/>
      <w:bookmarkEnd w:id="83589"/>
      <w:bookmarkEnd w:id="83590"/>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591" w:name="_ETM_Q175_697065"/>
      <w:bookmarkEnd w:id="83591"/>
      <w:r>
        <w:rPr>
          <w:rFonts w:hint="cs"/>
          <w:rtl/>
        </w:rPr>
        <w:t xml:space="preserve">53 בעד, 63 נגד, </w:t>
      </w:r>
      <w:bookmarkStart w:id="83592" w:name="_ETM_Q175_705714"/>
      <w:bookmarkEnd w:id="83592"/>
      <w:r>
        <w:rPr>
          <w:rFonts w:hint="cs"/>
          <w:rtl/>
        </w:rPr>
        <w:t xml:space="preserve">ההסתייגות לא התקבלה. </w:t>
      </w:r>
    </w:p>
    <w:p w:rsidR="00BB59CD" w:rsidRDefault="00BB59CD" w:rsidP="00BB59CD">
      <w:pPr>
        <w:rPr>
          <w:rtl/>
        </w:rPr>
      </w:pPr>
      <w:bookmarkStart w:id="83593" w:name="_ETM_Q175_709934"/>
      <w:bookmarkStart w:id="83594" w:name="_ETM_Q175_710015"/>
      <w:bookmarkEnd w:id="83593"/>
      <w:bookmarkEnd w:id="83594"/>
    </w:p>
    <w:p w:rsidR="00BB59CD" w:rsidRDefault="00BB59CD" w:rsidP="00BB59CD">
      <w:pPr>
        <w:pStyle w:val="af8"/>
        <w:keepNext/>
        <w:rPr>
          <w:rtl/>
        </w:rPr>
      </w:pPr>
      <w:bookmarkStart w:id="83595" w:name="_ETM_Q175_710062"/>
      <w:bookmarkStart w:id="83596" w:name="_ETM_Q175_710216"/>
      <w:bookmarkStart w:id="83597" w:name="_ETM_Q175_708443"/>
      <w:bookmarkStart w:id="83598" w:name="_ETM_Q175_708508"/>
      <w:bookmarkStart w:id="83599" w:name="ET_interruption_קר_אה_33"/>
      <w:bookmarkEnd w:id="83595"/>
      <w:bookmarkEnd w:id="83596"/>
      <w:bookmarkEnd w:id="83597"/>
      <w:bookmarkEnd w:id="8359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3599"/>
    </w:p>
    <w:p w:rsidR="00BB59CD" w:rsidRDefault="00BB59CD" w:rsidP="00337201">
      <w:pPr>
        <w:rPr>
          <w:rtl/>
        </w:rPr>
      </w:pPr>
      <w:bookmarkStart w:id="83600" w:name="_ETM_Q175_711341"/>
      <w:bookmarkEnd w:id="83600"/>
    </w:p>
    <w:p w:rsidR="00BB59CD" w:rsidRDefault="00BB59CD" w:rsidP="00337201">
      <w:pPr>
        <w:rPr>
          <w:rtl/>
        </w:rPr>
      </w:pPr>
      <w:bookmarkStart w:id="83601" w:name="_ETM_Q175_711434"/>
      <w:bookmarkEnd w:id="83601"/>
      <w:r>
        <w:rPr>
          <w:rFonts w:hint="cs"/>
          <w:rtl/>
        </w:rPr>
        <w:t>תעצרו, תעצרו, תעצרו.</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602" w:name="_ETM_Q175_707702"/>
      <w:bookmarkEnd w:id="83602"/>
      <w:r>
        <w:rPr>
          <w:rFonts w:hint="cs"/>
          <w:rtl/>
        </w:rPr>
        <w:t xml:space="preserve">כעת נצביע על הסתייגות 19600. הצבעה. </w:t>
      </w:r>
    </w:p>
    <w:p w:rsidR="00BB59CD" w:rsidRDefault="00BB59CD" w:rsidP="00BB59CD">
      <w:pPr>
        <w:pStyle w:val="af4"/>
        <w:keepNext/>
        <w:rPr>
          <w:rtl/>
        </w:rPr>
      </w:pPr>
      <w:bookmarkStart w:id="83603" w:name="_ETM_Q175_725646"/>
      <w:bookmarkEnd w:id="83603"/>
    </w:p>
    <w:p w:rsidR="00BB59CD" w:rsidRDefault="00BB59CD" w:rsidP="00BB59CD">
      <w:pPr>
        <w:pStyle w:val="af4"/>
        <w:keepNext/>
        <w:rPr>
          <w:rtl/>
        </w:rPr>
      </w:pPr>
      <w:bookmarkStart w:id="83604" w:name="_ETM_Q175_725708"/>
      <w:bookmarkEnd w:id="83604"/>
      <w:r>
        <w:rPr>
          <w:rFonts w:hint="cs"/>
          <w:rtl/>
        </w:rPr>
        <w:t>הצבעה מס' 137</w:t>
      </w:r>
    </w:p>
    <w:p w:rsidR="00BB59CD" w:rsidRDefault="00BB59CD" w:rsidP="00BB59CD">
      <w:pPr>
        <w:pStyle w:val="--"/>
        <w:keepNext/>
        <w:rPr>
          <w:rtl/>
        </w:rPr>
      </w:pPr>
    </w:p>
    <w:p w:rsidR="00BB59CD" w:rsidRDefault="00BB59CD" w:rsidP="00BB59CD">
      <w:pPr>
        <w:pStyle w:val="--"/>
        <w:keepNext/>
        <w:rPr>
          <w:rtl/>
        </w:rPr>
      </w:pPr>
      <w:r>
        <w:rPr>
          <w:rFonts w:hint="cs"/>
          <w:rtl/>
        </w:rPr>
        <w:t>בעד</w:t>
      </w:r>
      <w:bookmarkStart w:id="83605" w:name="_ETM_Q175_727230"/>
      <w:bookmarkEnd w:id="83605"/>
      <w:r>
        <w:rPr>
          <w:rFonts w:hint="cs"/>
          <w:rtl/>
        </w:rPr>
        <w:t xml:space="preserve"> ההסתייגות – 54</w:t>
      </w:r>
    </w:p>
    <w:p w:rsidR="00BB59CD" w:rsidRDefault="00BB59CD" w:rsidP="00BB59CD">
      <w:pPr>
        <w:pStyle w:val="--"/>
        <w:keepNext/>
        <w:rPr>
          <w:rtl/>
        </w:rPr>
      </w:pPr>
      <w:r>
        <w:rPr>
          <w:rFonts w:hint="cs"/>
          <w:rtl/>
        </w:rPr>
        <w:t>נגד – 64</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19600 לא נתקבלה.</w:t>
      </w:r>
      <w:bookmarkStart w:id="83606" w:name="_ETM_Q175_718337"/>
      <w:bookmarkEnd w:id="83606"/>
    </w:p>
    <w:p w:rsidR="00BB59CD" w:rsidRDefault="00BB59CD" w:rsidP="00BB59CD">
      <w:pPr>
        <w:jc w:val="center"/>
        <w:rPr>
          <w:rtl/>
        </w:rPr>
      </w:pPr>
      <w:bookmarkStart w:id="83607" w:name="_ETM_Q175_718425"/>
      <w:bookmarkEnd w:id="83607"/>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608" w:name="_ETM_Q175_733097"/>
      <w:bookmarkStart w:id="83609" w:name="_ETM_Q175_733205"/>
      <w:bookmarkEnd w:id="83608"/>
      <w:bookmarkEnd w:id="83609"/>
      <w:r>
        <w:rPr>
          <w:rFonts w:hint="cs"/>
          <w:rtl/>
        </w:rPr>
        <w:t xml:space="preserve">54 בעד, 64 נגד. ההסתייגות לא התקבלה. </w:t>
      </w:r>
    </w:p>
    <w:p w:rsidR="00BB59CD" w:rsidRDefault="00BB59CD" w:rsidP="00BB59CD">
      <w:pPr>
        <w:rPr>
          <w:rtl/>
        </w:rPr>
      </w:pPr>
      <w:bookmarkStart w:id="83610" w:name="_ETM_Q175_734446"/>
      <w:bookmarkStart w:id="83611" w:name="_ETM_Q175_734521"/>
      <w:bookmarkStart w:id="83612" w:name="_ETM_Q175_734590"/>
      <w:bookmarkEnd w:id="83610"/>
      <w:bookmarkEnd w:id="83611"/>
      <w:bookmarkEnd w:id="83612"/>
    </w:p>
    <w:p w:rsidR="00BB59CD" w:rsidRDefault="00BB59CD" w:rsidP="00BB59CD">
      <w:pPr>
        <w:rPr>
          <w:rtl/>
        </w:rPr>
      </w:pPr>
      <w:bookmarkStart w:id="83613" w:name="_ETM_Q175_734705"/>
      <w:bookmarkEnd w:id="83613"/>
      <w:r>
        <w:rPr>
          <w:rFonts w:hint="cs"/>
          <w:rtl/>
        </w:rPr>
        <w:t>כעת נצביע על הסתייגות שמספרה 27457. הצבעה</w:t>
      </w:r>
      <w:bookmarkStart w:id="83614" w:name="_ETM_Q175_741377"/>
      <w:bookmarkStart w:id="83615" w:name="_ETM_Q175_741446"/>
      <w:bookmarkEnd w:id="83614"/>
      <w:bookmarkEnd w:id="83615"/>
      <w:r>
        <w:rPr>
          <w:rFonts w:hint="cs"/>
          <w:rtl/>
        </w:rPr>
        <w:t xml:space="preserve">. </w:t>
      </w:r>
      <w:bookmarkStart w:id="83616" w:name="_ETM_Q175_751421"/>
      <w:bookmarkEnd w:id="83616"/>
    </w:p>
    <w:p w:rsidR="00BB59CD" w:rsidRDefault="00BB59CD" w:rsidP="00BB59CD">
      <w:pPr>
        <w:rPr>
          <w:rtl/>
        </w:rPr>
      </w:pPr>
      <w:bookmarkStart w:id="83617" w:name="_ETM_Q175_751508"/>
      <w:bookmarkEnd w:id="83617"/>
    </w:p>
    <w:p w:rsidR="00BB59CD" w:rsidRDefault="00BB59CD" w:rsidP="00BB59CD">
      <w:pPr>
        <w:pStyle w:val="af4"/>
        <w:keepNext/>
        <w:rPr>
          <w:rtl/>
        </w:rPr>
      </w:pPr>
      <w:r>
        <w:rPr>
          <w:rFonts w:hint="cs"/>
          <w:rtl/>
        </w:rPr>
        <w:t>הצבעה מס' 138</w:t>
      </w:r>
    </w:p>
    <w:p w:rsidR="00BB59CD" w:rsidRDefault="00BB59CD" w:rsidP="00BB59CD">
      <w:pPr>
        <w:pStyle w:val="--"/>
        <w:keepNext/>
        <w:rPr>
          <w:rtl/>
        </w:rPr>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נגד – 64</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27457 לא נתקבלה.</w:t>
      </w:r>
    </w:p>
    <w:p w:rsidR="00BB59CD" w:rsidRDefault="00BB59CD" w:rsidP="00BB59CD">
      <w:pPr>
        <w:keepNext/>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55 בעד, 64 נגד, נוכח אחד.</w:t>
      </w:r>
      <w:bookmarkStart w:id="83618" w:name="_ETM_Q175_755856"/>
      <w:bookmarkEnd w:id="83618"/>
      <w:r>
        <w:rPr>
          <w:rFonts w:hint="cs"/>
          <w:rtl/>
        </w:rPr>
        <w:t xml:space="preserve"> ההסתייגות לא התקבלה. </w:t>
      </w:r>
    </w:p>
    <w:p w:rsidR="00BB59CD" w:rsidRDefault="00BB59CD" w:rsidP="00BB59CD">
      <w:pPr>
        <w:rPr>
          <w:rtl/>
        </w:rPr>
      </w:pPr>
    </w:p>
    <w:p w:rsidR="00BB59CD" w:rsidRDefault="00BB59CD" w:rsidP="00BB59CD">
      <w:pPr>
        <w:pStyle w:val="af8"/>
        <w:keepNext/>
        <w:rPr>
          <w:rtl/>
        </w:rPr>
      </w:pPr>
      <w:bookmarkStart w:id="83619" w:name="ET_interruption_5300_4"/>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bookmarkEnd w:id="83619"/>
    </w:p>
    <w:p w:rsidR="00BB59CD" w:rsidRDefault="00BB59CD" w:rsidP="00BB59CD">
      <w:pPr>
        <w:ind w:firstLine="0"/>
        <w:rPr>
          <w:rtl/>
          <w:lang w:eastAsia="he-IL"/>
        </w:rPr>
      </w:pPr>
    </w:p>
    <w:p w:rsidR="00BB59CD" w:rsidRDefault="00BB59CD" w:rsidP="00BB59CD">
      <w:pPr>
        <w:rPr>
          <w:rtl/>
          <w:lang w:eastAsia="he-IL"/>
        </w:rPr>
      </w:pPr>
      <w:r>
        <w:rPr>
          <w:rFonts w:hint="cs"/>
          <w:rtl/>
          <w:lang w:eastAsia="he-IL"/>
        </w:rPr>
        <w:t>אני מבקשת הצבעה שמית על הסתייגות 27459.</w:t>
      </w:r>
    </w:p>
    <w:p w:rsidR="00BB59CD" w:rsidRDefault="00BB59CD" w:rsidP="00BB59CD">
      <w:pPr>
        <w:rPr>
          <w:rtl/>
          <w:lang w:eastAsia="he-IL"/>
        </w:rPr>
      </w:pPr>
    </w:p>
    <w:p w:rsidR="00BB59CD" w:rsidRDefault="00BB59CD" w:rsidP="00BB59CD">
      <w:pPr>
        <w:pStyle w:val="af9"/>
        <w:keepNext/>
        <w:rPr>
          <w:rtl/>
        </w:rPr>
      </w:pPr>
      <w:bookmarkStart w:id="83620" w:name="_ETM_Q176_162338"/>
      <w:bookmarkStart w:id="83621" w:name="_ETM_Q176_162471"/>
      <w:bookmarkEnd w:id="83620"/>
      <w:bookmarkEnd w:id="8362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622" w:name="_ETM_Q176_165606"/>
      <w:bookmarkStart w:id="83623" w:name="_ETM_Q176_165730"/>
      <w:bookmarkEnd w:id="83622"/>
      <w:bookmarkEnd w:id="83623"/>
      <w:r>
        <w:rPr>
          <w:rFonts w:hint="cs"/>
          <w:rtl/>
          <w:lang w:eastAsia="he-IL"/>
        </w:rPr>
        <w:t xml:space="preserve">אם </w:t>
      </w:r>
      <w:bookmarkStart w:id="83624" w:name="_ETM_Q176_166037"/>
      <w:bookmarkEnd w:id="83624"/>
      <w:r>
        <w:rPr>
          <w:rFonts w:hint="cs"/>
          <w:rtl/>
          <w:lang w:eastAsia="he-IL"/>
        </w:rPr>
        <w:t xml:space="preserve">כן, הצבעה שמית על הסתייגות 27459. מזכיר הכנסת, אנא </w:t>
      </w:r>
      <w:bookmarkStart w:id="83625" w:name="_ETM_Q176_171068"/>
      <w:bookmarkEnd w:id="83625"/>
      <w:r>
        <w:rPr>
          <w:rFonts w:hint="cs"/>
          <w:rtl/>
          <w:lang w:eastAsia="he-IL"/>
        </w:rPr>
        <w:t>קרא בשמות חברי הכנסת.</w:t>
      </w:r>
    </w:p>
    <w:p w:rsidR="00BB59CD" w:rsidRDefault="00BB59CD" w:rsidP="00BB59CD">
      <w:pPr>
        <w:rPr>
          <w:rtl/>
          <w:lang w:eastAsia="he-IL"/>
        </w:rPr>
      </w:pPr>
      <w:bookmarkStart w:id="83626" w:name="_ETM_Q176_163370"/>
      <w:bookmarkEnd w:id="83626"/>
    </w:p>
    <w:p w:rsidR="00BB59CD" w:rsidRDefault="00BB59CD" w:rsidP="00BB59CD">
      <w:pPr>
        <w:pStyle w:val="af8"/>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ind w:firstLine="0"/>
        <w:rPr>
          <w:rtl/>
          <w:lang w:eastAsia="he-IL"/>
        </w:rPr>
      </w:pPr>
    </w:p>
    <w:p w:rsidR="00BB59CD" w:rsidRDefault="00BB59CD" w:rsidP="00BB59CD">
      <w:pPr>
        <w:rPr>
          <w:rtl/>
          <w:lang w:eastAsia="he-IL"/>
        </w:rPr>
      </w:pPr>
      <w:r>
        <w:rPr>
          <w:rFonts w:hint="cs"/>
          <w:rtl/>
          <w:lang w:eastAsia="he-IL"/>
        </w:rPr>
        <w:t>משה אבוטבול</w:t>
      </w:r>
      <w:r>
        <w:rPr>
          <w:rFonts w:hint="cs"/>
          <w:rtl/>
          <w:lang w:eastAsia="he-IL"/>
        </w:rPr>
        <w:tab/>
      </w:r>
      <w:r>
        <w:rPr>
          <w:rFonts w:hint="cs"/>
          <w:rtl/>
          <w:lang w:eastAsia="he-IL"/>
        </w:rPr>
        <w:tab/>
        <w:t xml:space="preserve">–   נגד </w:t>
      </w:r>
    </w:p>
    <w:p w:rsidR="00BB59CD" w:rsidRDefault="00BB59CD" w:rsidP="00BB59CD">
      <w:pPr>
        <w:rPr>
          <w:rtl/>
          <w:lang w:eastAsia="he-IL"/>
        </w:rPr>
      </w:pPr>
      <w:r>
        <w:rPr>
          <w:rFonts w:hint="cs"/>
          <w:rtl/>
          <w:lang w:eastAsia="he-IL"/>
        </w:rPr>
        <w:t>יולי יואל אדלשטיין</w:t>
      </w:r>
      <w:r>
        <w:rPr>
          <w:rFonts w:hint="cs"/>
          <w:rtl/>
          <w:lang w:eastAsia="he-IL"/>
        </w:rPr>
        <w:tab/>
        <w:t>–   נגד</w:t>
      </w:r>
    </w:p>
    <w:p w:rsidR="00BB59CD" w:rsidRDefault="00BB59CD" w:rsidP="00BB59CD">
      <w:pPr>
        <w:rPr>
          <w:rtl/>
          <w:lang w:eastAsia="he-IL"/>
        </w:rPr>
      </w:pPr>
      <w:r>
        <w:rPr>
          <w:rFonts w:hint="cs"/>
          <w:rtl/>
          <w:lang w:eastAsia="he-IL"/>
        </w:rPr>
        <w:t>אמיר אוחנה</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ינון אזולאי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גדי איזנקוט</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קארין אלהרר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זאב אלקין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משה ארבל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יעקב אשר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אביחי אברהם בוארון</w:t>
      </w:r>
      <w:r>
        <w:rPr>
          <w:rFonts w:hint="cs"/>
          <w:rtl/>
          <w:lang w:eastAsia="he-IL"/>
        </w:rPr>
        <w:tab/>
        <w:t>–   נגד</w:t>
      </w:r>
    </w:p>
    <w:p w:rsidR="00BB59CD" w:rsidRDefault="00BB59CD" w:rsidP="00BB59CD">
      <w:pPr>
        <w:rPr>
          <w:rtl/>
          <w:lang w:eastAsia="he-IL"/>
        </w:rPr>
      </w:pPr>
      <w:r>
        <w:rPr>
          <w:rFonts w:hint="cs"/>
          <w:rtl/>
          <w:lang w:eastAsia="he-IL"/>
        </w:rPr>
        <w:t>אוריאל בוסו</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דבי ביטון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מיכאל מרדכי ביטון</w:t>
      </w:r>
      <w:r>
        <w:rPr>
          <w:rFonts w:hint="cs"/>
          <w:rtl/>
          <w:lang w:eastAsia="he-IL"/>
        </w:rPr>
        <w:tab/>
        <w:t>–   בעד</w:t>
      </w:r>
    </w:p>
    <w:p w:rsidR="00BB59CD" w:rsidRDefault="00BB59CD" w:rsidP="00BB59C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בועז ביסמוט</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מירב בן ארי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רם בן ברק</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אברהם בצלאל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אורנה ברביבאי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אליהו ברוכי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ניר ברקת</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ששון ששי גואטה</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טלי גוטליב</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יואב גלנט</w:t>
      </w:r>
      <w:r>
        <w:rPr>
          <w:rFonts w:hint="cs"/>
          <w:rtl/>
          <w:lang w:eastAsia="he-IL"/>
        </w:rPr>
        <w:tab/>
      </w:r>
      <w:r>
        <w:rPr>
          <w:rFonts w:hint="cs"/>
          <w:rtl/>
          <w:lang w:eastAsia="he-IL"/>
        </w:rPr>
        <w:tab/>
        <w:t>–   נגד</w:t>
      </w:r>
    </w:p>
    <w:p w:rsidR="00BB59CD" w:rsidRDefault="00BB59CD" w:rsidP="00BB59CD">
      <w:pPr>
        <w:rPr>
          <w:rtl/>
          <w:lang w:eastAsia="he-IL"/>
        </w:rPr>
      </w:pPr>
    </w:p>
    <w:p w:rsidR="00BB59CD" w:rsidRDefault="00BB59CD" w:rsidP="00BB59CD">
      <w:pPr>
        <w:pStyle w:val="af8"/>
        <w:keepNext/>
        <w:rPr>
          <w:rtl/>
        </w:rPr>
      </w:pPr>
      <w:bookmarkStart w:id="83627" w:name="ET_interruption_5080_9"/>
      <w:r>
        <w:rPr>
          <w:rStyle w:val="TagStyle"/>
          <w:rFonts w:hint="cs"/>
          <w:rtl/>
        </w:rPr>
        <w:t xml:space="preserve"> &lt;&lt; קריאה &gt;&gt; </w:t>
      </w:r>
      <w:r>
        <w:rPr>
          <w:rFonts w:hint="cs"/>
          <w:rtl/>
        </w:rPr>
        <w:t>בועז טופורובסקי (יש עתיד):</w:t>
      </w:r>
      <w:r>
        <w:rPr>
          <w:rStyle w:val="TagStyle"/>
          <w:rtl/>
        </w:rPr>
        <w:t xml:space="preserve"> &lt;&lt; קריאה &gt;&gt;</w:t>
      </w:r>
      <w:r>
        <w:rPr>
          <w:rFonts w:hint="cs"/>
          <w:rtl/>
        </w:rPr>
        <w:t xml:space="preserve">   </w:t>
      </w:r>
      <w:bookmarkEnd w:id="83627"/>
    </w:p>
    <w:p w:rsidR="00BB59CD" w:rsidRDefault="00BB59CD" w:rsidP="00BB59CD">
      <w:pPr>
        <w:ind w:firstLine="0"/>
        <w:rPr>
          <w:rtl/>
          <w:lang w:eastAsia="he-IL"/>
        </w:rPr>
      </w:pPr>
    </w:p>
    <w:p w:rsidR="00BB59CD" w:rsidRDefault="00BB59CD" w:rsidP="00BB59CD">
      <w:pPr>
        <w:rPr>
          <w:rtl/>
          <w:lang w:eastAsia="he-IL"/>
        </w:rPr>
      </w:pPr>
      <w:r>
        <w:rPr>
          <w:rFonts w:hint="cs"/>
          <w:rtl/>
          <w:lang w:eastAsia="he-IL"/>
        </w:rPr>
        <w:t>- -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BB59CD">
      <w:pPr>
        <w:ind w:firstLine="0"/>
        <w:rPr>
          <w:rtl/>
          <w:lang w:eastAsia="he-IL"/>
        </w:rPr>
      </w:pPr>
    </w:p>
    <w:p w:rsidR="00BB59CD" w:rsidRDefault="00BB59CD" w:rsidP="00BB59CD">
      <w:pPr>
        <w:rPr>
          <w:rtl/>
          <w:lang w:eastAsia="he-IL"/>
        </w:rPr>
      </w:pPr>
      <w:r>
        <w:rPr>
          <w:rFonts w:hint="cs"/>
          <w:rtl/>
          <w:lang w:eastAsia="he-IL"/>
        </w:rPr>
        <w:t>חבר הכנסת טופורובסקי, נפלתם על היו"ר הלא נכון.</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ind w:firstLine="0"/>
        <w:rPr>
          <w:rtl/>
          <w:lang w:eastAsia="he-IL"/>
        </w:rPr>
      </w:pPr>
    </w:p>
    <w:p w:rsidR="00BB59CD" w:rsidRDefault="00BB59CD" w:rsidP="00BB59CD">
      <w:pPr>
        <w:rPr>
          <w:rtl/>
          <w:lang w:eastAsia="he-IL"/>
        </w:rPr>
      </w:pPr>
      <w:r>
        <w:rPr>
          <w:rFonts w:hint="cs"/>
          <w:rtl/>
          <w:lang w:eastAsia="he-IL"/>
        </w:rPr>
        <w:t>גילה גמליאל</w:t>
      </w:r>
      <w:r>
        <w:rPr>
          <w:rFonts w:hint="cs"/>
          <w:rtl/>
          <w:lang w:eastAsia="he-IL"/>
        </w:rPr>
        <w:tab/>
      </w:r>
      <w:r>
        <w:rPr>
          <w:rFonts w:hint="cs"/>
          <w:rtl/>
          <w:lang w:eastAsia="he-IL"/>
        </w:rPr>
        <w:tab/>
        <w:t xml:space="preserve">–   נגד </w:t>
      </w:r>
    </w:p>
    <w:p w:rsidR="00BB59CD" w:rsidRDefault="00BB59CD" w:rsidP="00BB59CD">
      <w:pPr>
        <w:rPr>
          <w:rtl/>
          <w:lang w:eastAsia="he-IL"/>
        </w:rPr>
      </w:pPr>
      <w:r>
        <w:rPr>
          <w:rFonts w:hint="cs"/>
          <w:rtl/>
          <w:lang w:eastAsia="he-IL"/>
        </w:rPr>
        <w:t>בנימין גנץ</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משה גפני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אבי דיכטר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שלום דנינו</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אריה מכלוף דרעי</w:t>
      </w:r>
      <w:r>
        <w:rPr>
          <w:rFonts w:hint="cs"/>
          <w:rtl/>
          <w:lang w:eastAsia="he-IL"/>
        </w:rPr>
        <w:tab/>
        <w:t>–   נגד</w:t>
      </w:r>
    </w:p>
    <w:p w:rsidR="00BB59CD" w:rsidRDefault="00BB59CD" w:rsidP="00BB59CD">
      <w:pPr>
        <w:rPr>
          <w:rtl/>
          <w:lang w:eastAsia="he-IL"/>
        </w:rPr>
      </w:pPr>
      <w:r>
        <w:rPr>
          <w:rFonts w:hint="cs"/>
          <w:rtl/>
          <w:lang w:eastAsia="he-IL"/>
        </w:rPr>
        <w:t>עמית הלוי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ניסים ואטורי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מיכל מרים וולדיגר</w:t>
      </w:r>
      <w:r>
        <w:rPr>
          <w:rFonts w:hint="cs"/>
          <w:rtl/>
          <w:lang w:eastAsia="he-IL"/>
        </w:rPr>
        <w:tab/>
        <w:t xml:space="preserve">–   נגד </w:t>
      </w:r>
    </w:p>
    <w:p w:rsidR="00BB59CD" w:rsidRDefault="00BB59CD" w:rsidP="00BB59CD">
      <w:pPr>
        <w:rPr>
          <w:rtl/>
          <w:lang w:eastAsia="he-IL"/>
        </w:rPr>
      </w:pPr>
      <w:r>
        <w:rPr>
          <w:rFonts w:hint="cs"/>
          <w:rtl/>
          <w:lang w:eastAsia="he-IL"/>
        </w:rPr>
        <w:t>יצחק שמעון וסרלאוף</w:t>
      </w:r>
      <w:r>
        <w:rPr>
          <w:rFonts w:hint="cs"/>
          <w:rtl/>
          <w:lang w:eastAsia="he-IL"/>
        </w:rPr>
        <w:tab/>
        <w:t>–   נגד</w:t>
      </w:r>
    </w:p>
    <w:p w:rsidR="00BB59CD" w:rsidRDefault="00BB59CD" w:rsidP="00BB59CD">
      <w:pPr>
        <w:rPr>
          <w:rtl/>
          <w:lang w:eastAsia="he-IL"/>
        </w:rPr>
      </w:pPr>
      <w:r>
        <w:rPr>
          <w:rFonts w:hint="cs"/>
          <w:rtl/>
          <w:lang w:eastAsia="he-IL"/>
        </w:rPr>
        <w:t>יאסר חוג'יראת</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אימאן ח'טיב יאסין</w:t>
      </w:r>
      <w:r>
        <w:rPr>
          <w:rFonts w:hint="cs"/>
          <w:rtl/>
          <w:lang w:eastAsia="he-IL"/>
        </w:rPr>
        <w:tab/>
        <w:t>–   בעד</w:t>
      </w:r>
    </w:p>
    <w:p w:rsidR="00BB59CD" w:rsidRDefault="00BB59CD" w:rsidP="00BB59CD">
      <w:pPr>
        <w:rPr>
          <w:rtl/>
          <w:lang w:eastAsia="he-IL"/>
        </w:rPr>
      </w:pPr>
      <w:r>
        <w:rPr>
          <w:rFonts w:hint="cs"/>
          <w:rtl/>
          <w:lang w:eastAsia="he-IL"/>
        </w:rPr>
        <w:t>ווליד טאהא</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בועז טופורובסקי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משה טור פז</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אחמד טיבי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יוסף טייב</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יעקב טסלר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חילי טרופר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אלמוג כהן</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מאיר כהן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מירב כהן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מתן כהנא</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עופר כסיף</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אופיר כץ</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ישראל כץ</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נעמה לזימי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אביגדור ליברמן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יאיר לפיד</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סימון מושיאשוילי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טטיאנה מזרסקי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מרב מיכאלי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יונתן מישרקי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חנוך דב מלביצקי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ארז מלול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מיכאל מלכיאלי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צגה מלקו</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אבי מעוז</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בנימין נתניהו</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יבגני סובה</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צבי ידידיה סוכות</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משה סולומון</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לימור סון הר מלך</w:t>
      </w:r>
      <w:r>
        <w:rPr>
          <w:rFonts w:hint="cs"/>
          <w:rtl/>
          <w:lang w:eastAsia="he-IL"/>
        </w:rPr>
        <w:tab/>
        <w:t>–   נגד</w:t>
      </w:r>
    </w:p>
    <w:p w:rsidR="00BB59CD" w:rsidRDefault="00BB59CD" w:rsidP="00BB59CD">
      <w:pPr>
        <w:rPr>
          <w:rtl/>
          <w:lang w:eastAsia="he-IL"/>
        </w:rPr>
      </w:pPr>
      <w:r>
        <w:rPr>
          <w:rFonts w:hint="cs"/>
          <w:rtl/>
          <w:lang w:eastAsia="he-IL"/>
        </w:rPr>
        <w:t>אופיר סופר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אורית מלכה סטרוק</w:t>
      </w:r>
      <w:r>
        <w:rPr>
          <w:rFonts w:hint="cs"/>
          <w:rtl/>
          <w:lang w:eastAsia="he-IL"/>
        </w:rPr>
        <w:tab/>
        <w:t>–   נגד</w:t>
      </w:r>
    </w:p>
    <w:p w:rsidR="00BB59CD" w:rsidRDefault="00BB59CD" w:rsidP="00BB59CD">
      <w:pPr>
        <w:rPr>
          <w:rtl/>
          <w:lang w:eastAsia="he-IL"/>
        </w:rPr>
      </w:pPr>
      <w:r>
        <w:rPr>
          <w:rFonts w:hint="cs"/>
          <w:rtl/>
          <w:lang w:eastAsia="he-IL"/>
        </w:rPr>
        <w:t>משה סעדה</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גדעון סער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מנסור עבאס</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איימן עודה</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יוסף עטאונה</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חוה אתי עטייה</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חמד עמאר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צביקה פוגל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עודד פורר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יצחק פינדרוס</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משה פסל</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אורית פרקש הכהן</w:t>
      </w:r>
      <w:r>
        <w:rPr>
          <w:rFonts w:hint="cs"/>
          <w:rtl/>
          <w:lang w:eastAsia="he-IL"/>
        </w:rPr>
        <w:tab/>
        <w:t>–   בעד</w:t>
      </w:r>
    </w:p>
    <w:p w:rsidR="00BB59CD" w:rsidRDefault="00BB59CD" w:rsidP="00BB59CD">
      <w:pPr>
        <w:rPr>
          <w:rtl/>
          <w:lang w:eastAsia="he-IL"/>
        </w:rPr>
      </w:pPr>
      <w:r>
        <w:rPr>
          <w:rFonts w:hint="cs"/>
          <w:rtl/>
          <w:lang w:eastAsia="he-IL"/>
        </w:rPr>
        <w:t>מטי צרפתי הרכבי</w:t>
      </w:r>
      <w:r>
        <w:rPr>
          <w:rFonts w:hint="cs"/>
          <w:rtl/>
          <w:lang w:eastAsia="he-IL"/>
        </w:rPr>
        <w:tab/>
        <w:t>–   בעד</w:t>
      </w:r>
    </w:p>
    <w:p w:rsidR="00BB59CD" w:rsidRDefault="00BB59CD" w:rsidP="00BB59CD">
      <w:pPr>
        <w:rPr>
          <w:rtl/>
          <w:lang w:eastAsia="he-IL"/>
        </w:rPr>
      </w:pPr>
      <w:r>
        <w:rPr>
          <w:rFonts w:hint="cs"/>
          <w:rtl/>
          <w:lang w:eastAsia="he-IL"/>
        </w:rPr>
        <w:t>אריאל קלנר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יצחק קרויזר</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גלעד קריב</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שלמה קרעי</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אליהו רביבו</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משה רוט</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שמחה רוטמן</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אפרת רייטן מרום</w:t>
      </w:r>
      <w:r>
        <w:rPr>
          <w:rFonts w:hint="cs"/>
          <w:rtl/>
          <w:lang w:eastAsia="he-IL"/>
        </w:rPr>
        <w:tab/>
        <w:t>–   בעד</w:t>
      </w:r>
    </w:p>
    <w:p w:rsidR="00BB59CD" w:rsidRDefault="00BB59CD" w:rsidP="00BB59CD">
      <w:pPr>
        <w:rPr>
          <w:rtl/>
          <w:lang w:eastAsia="he-IL"/>
        </w:rPr>
      </w:pPr>
      <w:r>
        <w:rPr>
          <w:rFonts w:hint="cs"/>
          <w:rtl/>
          <w:lang w:eastAsia="he-IL"/>
        </w:rPr>
        <w:t>יפעת שאשא ביטון</w:t>
      </w:r>
      <w:r>
        <w:rPr>
          <w:rFonts w:hint="cs"/>
          <w:rtl/>
          <w:lang w:eastAsia="he-IL"/>
        </w:rPr>
        <w:tab/>
        <w:t>–   בעד</w:t>
      </w:r>
    </w:p>
    <w:p w:rsidR="00BB59CD" w:rsidRDefault="00BB59CD" w:rsidP="00BB59CD">
      <w:pPr>
        <w:rPr>
          <w:rtl/>
          <w:lang w:eastAsia="he-IL"/>
        </w:rPr>
      </w:pPr>
      <w:r>
        <w:rPr>
          <w:rFonts w:hint="cs"/>
          <w:rtl/>
          <w:lang w:eastAsia="he-IL"/>
        </w:rPr>
        <w:t>אלון שוסטר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קטי קטרין שטרית</w:t>
      </w:r>
      <w:r>
        <w:rPr>
          <w:rFonts w:hint="cs"/>
          <w:rtl/>
          <w:lang w:eastAsia="he-IL"/>
        </w:rPr>
        <w:tab/>
        <w:t>–   נגד</w:t>
      </w:r>
    </w:p>
    <w:p w:rsidR="00BB59CD" w:rsidRDefault="00BB59CD" w:rsidP="00BB59CD">
      <w:pPr>
        <w:rPr>
          <w:rtl/>
          <w:lang w:eastAsia="he-IL"/>
        </w:rPr>
      </w:pPr>
      <w:r>
        <w:rPr>
          <w:rFonts w:hint="cs"/>
          <w:rtl/>
          <w:lang w:eastAsia="he-IL"/>
        </w:rPr>
        <w:t>אלעזר שטרן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מיכל שיר סגמן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נאור שירי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אושר שקלים</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עאידה תומא סלימאן</w:t>
      </w:r>
      <w:r>
        <w:rPr>
          <w:rFonts w:hint="cs"/>
          <w:rtl/>
          <w:lang w:eastAsia="he-IL"/>
        </w:rPr>
        <w:tab/>
        <w:t>–   בעד</w:t>
      </w:r>
    </w:p>
    <w:p w:rsidR="00BB59CD" w:rsidRDefault="00BB59CD" w:rsidP="00BB59CD">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BB59CD" w:rsidRDefault="00BB59CD" w:rsidP="00BB59CD">
      <w:pPr>
        <w:ind w:firstLine="0"/>
        <w:jc w:val="left"/>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628" w:name="_ETM_Q176_657928"/>
      <w:bookmarkEnd w:id="83628"/>
      <w:r>
        <w:rPr>
          <w:rFonts w:hint="cs"/>
          <w:rtl/>
          <w:lang w:eastAsia="he-IL"/>
        </w:rPr>
        <w:t xml:space="preserve">נא </w:t>
      </w:r>
      <w:bookmarkStart w:id="83629" w:name="_ETM_Q176_664926"/>
      <w:bookmarkEnd w:id="83629"/>
      <w:r>
        <w:rPr>
          <w:rFonts w:hint="cs"/>
          <w:rtl/>
          <w:lang w:eastAsia="he-IL"/>
        </w:rPr>
        <w:t>קרא בשמות חברי הכנסת שטרם הצביע</w:t>
      </w:r>
      <w:bookmarkStart w:id="83630" w:name="_ETM_Q176_666616"/>
      <w:bookmarkEnd w:id="83630"/>
      <w:r>
        <w:rPr>
          <w:rFonts w:hint="cs"/>
          <w:rtl/>
          <w:lang w:eastAsia="he-IL"/>
        </w:rPr>
        <w:t xml:space="preserve">ו, בבקשה.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ind w:firstLine="0"/>
        <w:rPr>
          <w:rtl/>
          <w:lang w:eastAsia="he-IL"/>
        </w:rPr>
      </w:pPr>
    </w:p>
    <w:p w:rsidR="00BB59CD" w:rsidRDefault="00BB59CD" w:rsidP="00BB59CD">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סימון דוידסון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שרן מרים השכל</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יוסף עטאונה</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פנינה תמנו</w:t>
      </w:r>
      <w:r>
        <w:rPr>
          <w:rFonts w:hint="cs"/>
          <w:rtl/>
          <w:lang w:eastAsia="he-IL"/>
        </w:rPr>
        <w:tab/>
      </w:r>
      <w:r>
        <w:rPr>
          <w:rFonts w:hint="cs"/>
          <w:rtl/>
          <w:lang w:eastAsia="he-IL"/>
        </w:rPr>
        <w:tab/>
        <w:t>–   בעד</w:t>
      </w:r>
    </w:p>
    <w:p w:rsidR="00BB59CD" w:rsidRDefault="00BB59CD" w:rsidP="00BB59CD">
      <w:pPr>
        <w:ind w:firstLine="0"/>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האם יש חברי כנסת שטרם הצביעו ומעוניינים לעשות כן? </w:t>
      </w:r>
      <w:bookmarkStart w:id="83631" w:name="_ETM_Q176_703870"/>
      <w:bookmarkEnd w:id="83631"/>
      <w:r>
        <w:rPr>
          <w:rFonts w:hint="cs"/>
          <w:rtl/>
          <w:lang w:eastAsia="he-IL"/>
        </w:rPr>
        <w:t xml:space="preserve">אם כן, אנא פנו למזכיר הכנסת. </w:t>
      </w:r>
    </w:p>
    <w:p w:rsidR="00BB59CD" w:rsidRDefault="00BB59CD" w:rsidP="00BB59CD">
      <w:pPr>
        <w:rPr>
          <w:rtl/>
          <w:lang w:eastAsia="he-IL"/>
        </w:rPr>
      </w:pPr>
      <w:bookmarkStart w:id="83632" w:name="_ETM_Q176_706241"/>
      <w:bookmarkStart w:id="83633" w:name="_ETM_Q176_706399"/>
      <w:bookmarkEnd w:id="83632"/>
      <w:bookmarkEnd w:id="83633"/>
    </w:p>
    <w:p w:rsidR="00BB59CD" w:rsidRDefault="00BB59CD" w:rsidP="00BB59CD">
      <w:pPr>
        <w:pStyle w:val="af8"/>
        <w:keepNext/>
        <w:rPr>
          <w:rtl/>
        </w:rPr>
      </w:pPr>
      <w:bookmarkStart w:id="83634" w:name="_ETM_Q176_708140"/>
      <w:bookmarkStart w:id="83635" w:name="_ETM_Q176_708229"/>
      <w:bookmarkEnd w:id="83634"/>
      <w:bookmarkEnd w:id="83635"/>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(קורא בשם חבר הכנסת)</w:t>
      </w:r>
    </w:p>
    <w:p w:rsidR="00BB59CD" w:rsidRDefault="00BB59CD" w:rsidP="00BB59CD">
      <w:pPr>
        <w:ind w:firstLine="0"/>
        <w:rPr>
          <w:rtl/>
          <w:lang w:eastAsia="he-IL"/>
        </w:rPr>
      </w:pPr>
    </w:p>
    <w:p w:rsidR="00BB59CD" w:rsidRDefault="00BB59CD" w:rsidP="00BB59CD">
      <w:pPr>
        <w:rPr>
          <w:rtl/>
          <w:lang w:eastAsia="he-IL"/>
        </w:rPr>
      </w:pPr>
      <w:r>
        <w:rPr>
          <w:rFonts w:hint="cs"/>
          <w:rtl/>
          <w:lang w:eastAsia="he-IL"/>
        </w:rPr>
        <w:t>ואליד אלהואשלה</w:t>
      </w:r>
      <w:r>
        <w:rPr>
          <w:rFonts w:hint="cs"/>
          <w:rtl/>
          <w:lang w:eastAsia="he-IL"/>
        </w:rPr>
        <w:tab/>
      </w:r>
      <w:r>
        <w:rPr>
          <w:rFonts w:hint="cs"/>
          <w:rtl/>
          <w:lang w:eastAsia="he-IL"/>
        </w:rPr>
        <w:tab/>
        <w:t>–   בעד</w:t>
      </w:r>
    </w:p>
    <w:p w:rsidR="00BB59CD" w:rsidRDefault="00BB59CD" w:rsidP="00BB59CD">
      <w:pPr>
        <w:rPr>
          <w:rtl/>
          <w:lang w:eastAsia="he-IL"/>
        </w:rPr>
      </w:pPr>
      <w:bookmarkStart w:id="83636" w:name="_ETM_Q176_715703"/>
      <w:bookmarkStart w:id="83637" w:name="_ETM_Q176_715822"/>
      <w:bookmarkEnd w:id="83636"/>
      <w:bookmarkEnd w:id="83637"/>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rPr>
      </w:pPr>
      <w:bookmarkStart w:id="83638" w:name="_ETM_Q176_715255"/>
      <w:bookmarkEnd w:id="83638"/>
      <w:r>
        <w:rPr>
          <w:rFonts w:hint="cs"/>
          <w:rtl/>
          <w:lang w:eastAsia="he-IL"/>
        </w:rPr>
        <w:t xml:space="preserve">אם אין נוספים, </w:t>
      </w:r>
      <w:bookmarkStart w:id="83639" w:name="_ETM_Q176_708395"/>
      <w:bookmarkStart w:id="83640" w:name="_ETM_Q176_708521"/>
      <w:bookmarkStart w:id="83641" w:name="_ETM_Q176_708609"/>
      <w:bookmarkStart w:id="83642" w:name="_ETM_Q176_708732"/>
      <w:bookmarkEnd w:id="83639"/>
      <w:bookmarkEnd w:id="83640"/>
      <w:bookmarkEnd w:id="83641"/>
      <w:bookmarkEnd w:id="83642"/>
      <w:r>
        <w:rPr>
          <w:rFonts w:hint="cs"/>
          <w:rtl/>
          <w:lang w:eastAsia="he-IL"/>
        </w:rPr>
        <w:t>תמה ההצבעה. נא לספור את הקולות.</w:t>
      </w:r>
      <w:bookmarkStart w:id="83643" w:name="TOR_Q177"/>
      <w:bookmarkEnd w:id="83643"/>
      <w:r>
        <w:rPr>
          <w:rFonts w:hint="cs"/>
          <w:rtl/>
        </w:rPr>
        <w:t xml:space="preserve"> אם כן, תוצאת </w:t>
      </w:r>
      <w:bookmarkStart w:id="83644" w:name="_ETM_Q177_237413"/>
      <w:bookmarkEnd w:id="83644"/>
      <w:r>
        <w:rPr>
          <w:rFonts w:hint="cs"/>
          <w:rtl/>
        </w:rPr>
        <w:t xml:space="preserve">ההצבעה: </w:t>
      </w:r>
      <w:bookmarkStart w:id="83645" w:name="_ETM_Q177_232911"/>
      <w:bookmarkStart w:id="83646" w:name="_ETM_Q177_232941"/>
      <w:bookmarkEnd w:id="83645"/>
      <w:bookmarkEnd w:id="83646"/>
      <w:r>
        <w:rPr>
          <w:rFonts w:hint="cs"/>
          <w:rtl/>
        </w:rPr>
        <w:t xml:space="preserve">55 בעד, 64 נגד. ההסתייגות לא התקבלה. </w:t>
      </w:r>
    </w:p>
    <w:p w:rsidR="00BB59CD" w:rsidRDefault="00BB59CD" w:rsidP="00BB59CD">
      <w:pPr>
        <w:rPr>
          <w:rtl/>
        </w:rPr>
      </w:pPr>
    </w:p>
    <w:p w:rsidR="00BB59CD" w:rsidRDefault="00BB59CD" w:rsidP="00BB59CD">
      <w:pPr>
        <w:rPr>
          <w:rtl/>
        </w:rPr>
      </w:pPr>
      <w:r>
        <w:rPr>
          <w:rFonts w:hint="cs"/>
          <w:rtl/>
        </w:rPr>
        <w:t xml:space="preserve">כעת נצביע על הסתייגות - - - </w:t>
      </w:r>
    </w:p>
    <w:p w:rsidR="00BB59CD" w:rsidRDefault="00BB59CD" w:rsidP="00BB59CD">
      <w:pPr>
        <w:rPr>
          <w:rtl/>
        </w:rPr>
      </w:pPr>
      <w:bookmarkStart w:id="83647" w:name="_ETM_Q177_247593"/>
      <w:bookmarkStart w:id="83648" w:name="_ETM_Q177_247669"/>
      <w:bookmarkEnd w:id="83647"/>
      <w:bookmarkEnd w:id="83648"/>
    </w:p>
    <w:p w:rsidR="00BB59CD" w:rsidRDefault="00BB59CD" w:rsidP="00BB59CD">
      <w:pPr>
        <w:pStyle w:val="af8"/>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רגע, תנו לאנשים </w:t>
      </w:r>
      <w:bookmarkStart w:id="83649" w:name="_ETM_Q177_247252"/>
      <w:bookmarkEnd w:id="83649"/>
      <w:r>
        <w:rPr>
          <w:rFonts w:hint="cs"/>
          <w:rtl/>
        </w:rPr>
        <w:t xml:space="preserve">לשבת. </w:t>
      </w:r>
    </w:p>
    <w:p w:rsidR="00BB59CD" w:rsidRDefault="00BB59CD" w:rsidP="00BB59CD">
      <w:pPr>
        <w:rPr>
          <w:rtl/>
        </w:rPr>
      </w:pPr>
      <w:bookmarkStart w:id="83650" w:name="_ETM_Q177_249714"/>
      <w:bookmarkStart w:id="83651" w:name="_ETM_Q177_249796"/>
      <w:bookmarkEnd w:id="83650"/>
      <w:bookmarkEnd w:id="83651"/>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652" w:name="_ETM_Q177_250534"/>
      <w:bookmarkEnd w:id="83652"/>
      <w:r>
        <w:rPr>
          <w:rFonts w:hint="cs"/>
          <w:rtl/>
        </w:rPr>
        <w:t xml:space="preserve">חברי הכנסת, אנא שבו במקומותיכם. ההצבעה הבאה תהיה אלקטרונית. </w:t>
      </w:r>
      <w:bookmarkStart w:id="83653" w:name="_ETM_Q177_253130"/>
      <w:bookmarkEnd w:id="83653"/>
      <w:r>
        <w:rPr>
          <w:rFonts w:hint="cs"/>
          <w:rtl/>
        </w:rPr>
        <w:t xml:space="preserve">אפשר להצביע? כולם ישובים? </w:t>
      </w:r>
    </w:p>
    <w:p w:rsidR="00BB59CD" w:rsidRDefault="00BB59CD" w:rsidP="00BB59CD">
      <w:pPr>
        <w:rPr>
          <w:rtl/>
        </w:rPr>
      </w:pPr>
      <w:bookmarkStart w:id="83654" w:name="_ETM_Q177_279390"/>
      <w:bookmarkStart w:id="83655" w:name="_ETM_Q177_279474"/>
      <w:bookmarkEnd w:id="83654"/>
      <w:bookmarkEnd w:id="83655"/>
    </w:p>
    <w:p w:rsidR="00BB59CD" w:rsidRDefault="00BB59CD" w:rsidP="00BB59CD">
      <w:pPr>
        <w:pStyle w:val="af8"/>
        <w:keepNext/>
        <w:rPr>
          <w:rtl/>
        </w:rPr>
      </w:pPr>
      <w:bookmarkStart w:id="83656" w:name="ET_interruption_5080_6"/>
      <w:r>
        <w:rPr>
          <w:rStyle w:val="TagStyle"/>
          <w:rFonts w:hint="cs"/>
          <w:rtl/>
        </w:rPr>
        <w:t xml:space="preserve"> &lt;&lt; קריאה &gt;&gt; </w:t>
      </w:r>
      <w:r>
        <w:rPr>
          <w:rFonts w:hint="cs"/>
          <w:rtl/>
        </w:rPr>
        <w:t>בועז טופורובסקי (יש עתיד):</w:t>
      </w:r>
      <w:r>
        <w:rPr>
          <w:rStyle w:val="TagStyle"/>
          <w:rtl/>
        </w:rPr>
        <w:t xml:space="preserve"> &lt;&lt; קריאה &gt;&gt;</w:t>
      </w:r>
      <w:r>
        <w:rPr>
          <w:rFonts w:hint="cs"/>
          <w:rtl/>
        </w:rPr>
        <w:t xml:space="preserve">   </w:t>
      </w:r>
      <w:bookmarkEnd w:id="83656"/>
    </w:p>
    <w:p w:rsidR="00BB59CD" w:rsidRDefault="00BB59CD" w:rsidP="00337201">
      <w:pPr>
        <w:rPr>
          <w:rtl/>
        </w:rPr>
      </w:pPr>
    </w:p>
    <w:p w:rsidR="00BB59CD" w:rsidRDefault="00BB59CD" w:rsidP="00BB59CD">
      <w:pPr>
        <w:rPr>
          <w:rtl/>
        </w:rPr>
      </w:pPr>
      <w:r>
        <w:rPr>
          <w:rFonts w:hint="cs"/>
          <w:rtl/>
        </w:rPr>
        <w:t>עכשיו אפשר לעצור.</w:t>
      </w:r>
    </w:p>
    <w:p w:rsidR="00BB59CD" w:rsidRDefault="00BB59CD" w:rsidP="00BB59CD">
      <w:pPr>
        <w:rPr>
          <w:rtl/>
        </w:rPr>
      </w:pPr>
      <w:bookmarkStart w:id="83657" w:name="_ETM_Q177_283022"/>
      <w:bookmarkStart w:id="83658" w:name="_ETM_Q177_283094"/>
      <w:bookmarkEnd w:id="83657"/>
      <w:bookmarkEnd w:id="83658"/>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659" w:name="_ETM_Q177_285151"/>
      <w:bookmarkEnd w:id="83659"/>
      <w:r>
        <w:rPr>
          <w:rFonts w:hint="cs"/>
          <w:rtl/>
        </w:rPr>
        <w:t xml:space="preserve">בבקשה, חברת הכנסת </w:t>
      </w:r>
      <w:bookmarkStart w:id="83660" w:name="_ETM_Q177_280979"/>
      <w:bookmarkEnd w:id="83660"/>
      <w:r>
        <w:rPr>
          <w:rFonts w:hint="cs"/>
          <w:rtl/>
        </w:rPr>
        <w:t xml:space="preserve">בן ארי.  </w:t>
      </w:r>
    </w:p>
    <w:p w:rsidR="00BB59CD" w:rsidRDefault="00BB59CD" w:rsidP="00BB59CD">
      <w:pPr>
        <w:rPr>
          <w:rtl/>
        </w:rPr>
      </w:pPr>
      <w:bookmarkStart w:id="83661" w:name="_ETM_Q177_285410"/>
      <w:bookmarkStart w:id="83662" w:name="_ETM_Q177_285482"/>
      <w:bookmarkEnd w:id="83661"/>
      <w:bookmarkEnd w:id="83662"/>
    </w:p>
    <w:p w:rsidR="00BB59CD" w:rsidRDefault="00BB59CD" w:rsidP="00BB59CD">
      <w:pPr>
        <w:pStyle w:val="af8"/>
        <w:keepNext/>
        <w:rPr>
          <w:rtl/>
        </w:rPr>
      </w:pPr>
      <w:bookmarkStart w:id="83663" w:name="ET_interruption_5300_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3663"/>
    </w:p>
    <w:p w:rsidR="00BB59CD" w:rsidRDefault="00BB59CD" w:rsidP="00337201">
      <w:pPr>
        <w:rPr>
          <w:rtl/>
        </w:rPr>
      </w:pPr>
    </w:p>
    <w:p w:rsidR="00BB59CD" w:rsidRDefault="00BB59CD" w:rsidP="00BB59CD">
      <w:pPr>
        <w:rPr>
          <w:rtl/>
        </w:rPr>
      </w:pPr>
      <w:r>
        <w:rPr>
          <w:rFonts w:hint="cs"/>
          <w:rtl/>
        </w:rPr>
        <w:t xml:space="preserve">27464. </w:t>
      </w:r>
    </w:p>
    <w:p w:rsidR="00BB59CD" w:rsidRDefault="00BB59CD" w:rsidP="00BB59CD">
      <w:pPr>
        <w:rPr>
          <w:rtl/>
        </w:rPr>
      </w:pPr>
      <w:bookmarkStart w:id="83664" w:name="_ETM_Q177_289206"/>
      <w:bookmarkStart w:id="83665" w:name="_ETM_Q177_289289"/>
      <w:bookmarkEnd w:id="83664"/>
      <w:bookmarkEnd w:id="83665"/>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666" w:name="_ETM_Q177_290053"/>
      <w:bookmarkEnd w:id="83666"/>
      <w:r>
        <w:rPr>
          <w:rFonts w:hint="cs"/>
          <w:rtl/>
        </w:rPr>
        <w:t>אם כן, הסתייגות 27464 – הצבעה</w:t>
      </w:r>
      <w:bookmarkStart w:id="83667" w:name="_ETM_Q177_290878"/>
      <w:bookmarkEnd w:id="83667"/>
      <w:r>
        <w:rPr>
          <w:rFonts w:hint="cs"/>
          <w:rtl/>
        </w:rPr>
        <w:t xml:space="preserve"> אלקטרונית כעת. </w:t>
      </w:r>
    </w:p>
    <w:p w:rsidR="00BB59CD" w:rsidRDefault="00BB59CD" w:rsidP="00BB59CD">
      <w:pPr>
        <w:rPr>
          <w:rtl/>
        </w:rPr>
      </w:pPr>
    </w:p>
    <w:p w:rsidR="00BB59CD" w:rsidRDefault="00BB59CD" w:rsidP="00BB59CD">
      <w:pPr>
        <w:pStyle w:val="af4"/>
        <w:keepNext/>
        <w:rPr>
          <w:rtl/>
        </w:rPr>
      </w:pPr>
      <w:r>
        <w:rPr>
          <w:rFonts w:hint="cs"/>
          <w:rtl/>
        </w:rPr>
        <w:t>הצבעה מס' 139</w:t>
      </w:r>
    </w:p>
    <w:p w:rsidR="00BB59CD" w:rsidRDefault="00BB59CD" w:rsidP="00BB59CD">
      <w:pPr>
        <w:pStyle w:val="--"/>
        <w:keepNext/>
      </w:pPr>
    </w:p>
    <w:p w:rsidR="00BB59CD" w:rsidRDefault="00BB59CD" w:rsidP="00BB59CD">
      <w:pPr>
        <w:pStyle w:val="--"/>
        <w:keepNext/>
        <w:rPr>
          <w:rtl/>
        </w:rPr>
      </w:pPr>
      <w:r>
        <w:rPr>
          <w:rFonts w:hint="cs"/>
          <w:rtl/>
        </w:rPr>
        <w:t>בעד ההסתייגות – 55</w:t>
      </w:r>
    </w:p>
    <w:p w:rsidR="00BB59CD" w:rsidRDefault="00BB59CD" w:rsidP="00BB59CD">
      <w:pPr>
        <w:pStyle w:val="--"/>
        <w:keepNext/>
        <w:rPr>
          <w:rtl/>
        </w:rPr>
      </w:pPr>
      <w:r>
        <w:rPr>
          <w:rFonts w:hint="cs"/>
          <w:rtl/>
        </w:rPr>
        <w:t>נגד – 61</w:t>
      </w:r>
    </w:p>
    <w:p w:rsidR="00BB59CD" w:rsidRDefault="00BB59CD" w:rsidP="00BB59CD">
      <w:pPr>
        <w:pStyle w:val="--"/>
        <w:keepNext/>
        <w:rPr>
          <w:rtl/>
        </w:rPr>
      </w:pPr>
      <w:r>
        <w:rPr>
          <w:rFonts w:hint="cs"/>
          <w:rtl/>
        </w:rPr>
        <w:t>נמנעים – אין</w:t>
      </w:r>
    </w:p>
    <w:p w:rsidR="00BB59CD" w:rsidRDefault="00BB59CD" w:rsidP="00BB59CD">
      <w:pPr>
        <w:pStyle w:val="af5"/>
        <w:rPr>
          <w:rtl/>
        </w:rPr>
      </w:pPr>
      <w:r>
        <w:rPr>
          <w:rFonts w:hint="cs"/>
          <w:rtl/>
        </w:rPr>
        <w:t>הסתייגות 27464 לא נתקבלה.</w:t>
      </w:r>
    </w:p>
    <w:p w:rsidR="00BB59CD" w:rsidRDefault="00BB59CD" w:rsidP="00BB59CD">
      <w:pPr>
        <w:rPr>
          <w:rtl/>
        </w:rPr>
      </w:pPr>
      <w:bookmarkStart w:id="83668" w:name="_ETM_Q177_285363"/>
      <w:bookmarkStart w:id="83669" w:name="_ETM_Q177_285448"/>
      <w:bookmarkEnd w:id="83668"/>
      <w:bookmarkEnd w:id="83669"/>
    </w:p>
    <w:p w:rsidR="00BB59CD" w:rsidRDefault="00BB59CD" w:rsidP="00BB59CD">
      <w:pPr>
        <w:pStyle w:val="af8"/>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לעצור, לעצור, לעצור, לעצור, לעצור, </w:t>
      </w:r>
      <w:bookmarkStart w:id="83670" w:name="_ETM_Q177_308208"/>
      <w:bookmarkEnd w:id="83670"/>
      <w:r>
        <w:rPr>
          <w:rFonts w:hint="cs"/>
          <w:rtl/>
        </w:rPr>
        <w:t>לעצור - -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671" w:name="_ETM_Q177_286459"/>
      <w:bookmarkEnd w:id="83671"/>
      <w:r>
        <w:rPr>
          <w:rFonts w:hint="cs"/>
          <w:rtl/>
        </w:rPr>
        <w:t xml:space="preserve">55 בעד, 61 נגד. ההסתייגות לא התקבלה. </w:t>
      </w:r>
      <w:bookmarkStart w:id="83672" w:name="_ETM_Q177_312252"/>
      <w:bookmarkEnd w:id="83672"/>
    </w:p>
    <w:p w:rsidR="00BB59CD" w:rsidRDefault="00BB59CD" w:rsidP="00BB59CD">
      <w:pPr>
        <w:rPr>
          <w:rtl/>
        </w:rPr>
      </w:pPr>
    </w:p>
    <w:p w:rsidR="00BB59CD" w:rsidRDefault="00BB59CD" w:rsidP="00BB59CD">
      <w:pPr>
        <w:pStyle w:val="af8"/>
        <w:keepNext/>
        <w:rPr>
          <w:rtl/>
        </w:rPr>
      </w:pPr>
      <w:bookmarkStart w:id="83673" w:name="_ETM_Q177_317050"/>
      <w:bookmarkStart w:id="83674" w:name="_ETM_Q177_317159"/>
      <w:bookmarkEnd w:id="83673"/>
      <w:bookmarkEnd w:id="8367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BB59CD" w:rsidRDefault="00BB59CD" w:rsidP="00337201">
      <w:pPr>
        <w:rPr>
          <w:rtl/>
        </w:rPr>
      </w:pPr>
    </w:p>
    <w:p w:rsidR="00BB59CD" w:rsidRDefault="00BB59CD" w:rsidP="00BB59CD">
      <w:pPr>
        <w:rPr>
          <w:rtl/>
        </w:rPr>
      </w:pPr>
      <w:r>
        <w:rPr>
          <w:rFonts w:hint="cs"/>
          <w:rtl/>
        </w:rPr>
        <w:t>הצבעה שמית על הסתייגות 27472.</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הסתייגות 27472 – הצבעה שמית. מזכיר הכנסת, אנא קרא בשמות חברי הכנסת. </w:t>
      </w:r>
    </w:p>
    <w:p w:rsidR="00BB59CD" w:rsidRDefault="00BB59CD" w:rsidP="00BB59CD">
      <w:pPr>
        <w:rPr>
          <w:rtl/>
        </w:rPr>
      </w:pPr>
      <w:bookmarkStart w:id="83675" w:name="_ETM_Q177_38829"/>
      <w:bookmarkStart w:id="83676" w:name="_ETM_Q177_38923"/>
      <w:bookmarkEnd w:id="83675"/>
      <w:bookmarkEnd w:id="83676"/>
    </w:p>
    <w:p w:rsidR="00BB59CD" w:rsidRDefault="00BB59CD" w:rsidP="00BB59CD">
      <w:pPr>
        <w:pStyle w:val="af4"/>
        <w:keepNext/>
        <w:rPr>
          <w:rtl/>
        </w:rPr>
      </w:pPr>
      <w:r>
        <w:rPr>
          <w:rFonts w:hint="cs"/>
          <w:rtl/>
        </w:rPr>
        <w:t>הצבעה שמית</w:t>
      </w:r>
    </w:p>
    <w:p w:rsidR="00BB59CD" w:rsidRDefault="00BB59CD" w:rsidP="00BB59CD">
      <w:pPr>
        <w:keepNext/>
        <w:rPr>
          <w:rtl/>
        </w:rPr>
      </w:pPr>
    </w:p>
    <w:p w:rsidR="00BB59CD" w:rsidRDefault="00BB59CD" w:rsidP="00BB59CD">
      <w:pPr>
        <w:pStyle w:val="af8"/>
        <w:keepNext/>
        <w:rPr>
          <w:rtl/>
        </w:rPr>
      </w:pPr>
      <w:bookmarkStart w:id="83677" w:name="ET_interruption_6327_14"/>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677"/>
    </w:p>
    <w:p w:rsidR="00BB59CD" w:rsidRDefault="00BB59CD" w:rsidP="00BB59CD">
      <w:pPr>
        <w:ind w:firstLine="0"/>
        <w:rPr>
          <w:rtl/>
        </w:rPr>
      </w:pPr>
      <w:r>
        <w:rPr>
          <w:rFonts w:hint="cs"/>
          <w:rtl/>
        </w:rPr>
        <w:t>(קורא בשמות חברי הכנסת)</w:t>
      </w:r>
    </w:p>
    <w:p w:rsidR="00BB59CD" w:rsidRDefault="00BB59CD" w:rsidP="00BB59CD">
      <w:pPr>
        <w:rPr>
          <w:rtl/>
        </w:rPr>
      </w:pPr>
    </w:p>
    <w:p w:rsidR="00BB59CD" w:rsidRDefault="00BB59CD" w:rsidP="00BB59CD">
      <w:pPr>
        <w:rPr>
          <w:rtl/>
        </w:rPr>
      </w:pPr>
      <w:r>
        <w:rPr>
          <w:rFonts w:hint="cs"/>
          <w:rtl/>
        </w:rPr>
        <w:t>משה אבוטבול</w:t>
      </w:r>
      <w:r>
        <w:rPr>
          <w:rFonts w:hint="cs"/>
          <w:rtl/>
        </w:rPr>
        <w:tab/>
      </w:r>
      <w:r>
        <w:rPr>
          <w:rFonts w:hint="cs"/>
          <w:rtl/>
        </w:rPr>
        <w:tab/>
        <w:t>–   נגד</w:t>
      </w:r>
    </w:p>
    <w:p w:rsidR="00BB59CD" w:rsidRDefault="00BB59CD" w:rsidP="00BB59CD">
      <w:pPr>
        <w:rPr>
          <w:rtl/>
        </w:rPr>
      </w:pPr>
      <w:r>
        <w:rPr>
          <w:rFonts w:hint="cs"/>
          <w:rtl/>
        </w:rPr>
        <w:t>יולי יואל אדלשטיין</w:t>
      </w:r>
      <w:r>
        <w:rPr>
          <w:rFonts w:hint="cs"/>
          <w:rtl/>
        </w:rPr>
        <w:tab/>
        <w:t>–   נגד</w:t>
      </w:r>
    </w:p>
    <w:p w:rsidR="00BB59CD" w:rsidRDefault="00BB59CD" w:rsidP="00BB59CD">
      <w:pPr>
        <w:rPr>
          <w:rtl/>
        </w:rPr>
      </w:pPr>
      <w:r>
        <w:rPr>
          <w:rFonts w:hint="cs"/>
          <w:rtl/>
        </w:rPr>
        <w:t>אמיר אוחנה</w:t>
      </w:r>
      <w:r>
        <w:rPr>
          <w:rFonts w:hint="cs"/>
          <w:rtl/>
        </w:rPr>
        <w:tab/>
      </w:r>
      <w:r>
        <w:rPr>
          <w:rFonts w:hint="cs"/>
          <w:rtl/>
        </w:rPr>
        <w:tab/>
        <w:t>–   נגד</w:t>
      </w:r>
    </w:p>
    <w:p w:rsidR="00BB59CD" w:rsidRDefault="00BB59CD" w:rsidP="00BB59CD">
      <w:pPr>
        <w:rPr>
          <w:rtl/>
        </w:rPr>
      </w:pPr>
      <w:r>
        <w:rPr>
          <w:rFonts w:hint="cs"/>
          <w:rtl/>
        </w:rPr>
        <w:t>ינון אזולאי</w:t>
      </w:r>
      <w:r>
        <w:rPr>
          <w:rFonts w:hint="cs"/>
          <w:rtl/>
        </w:rPr>
        <w:tab/>
      </w:r>
      <w:r>
        <w:rPr>
          <w:rFonts w:hint="cs"/>
          <w:rtl/>
        </w:rPr>
        <w:tab/>
        <w:t>–   נגד</w:t>
      </w:r>
    </w:p>
    <w:p w:rsidR="00BB59CD" w:rsidRDefault="00BB59CD" w:rsidP="00BB59CD">
      <w:pPr>
        <w:rPr>
          <w:rtl/>
        </w:rPr>
      </w:pPr>
      <w:r>
        <w:rPr>
          <w:rFonts w:hint="cs"/>
          <w:rtl/>
        </w:rPr>
        <w:t>גדי איזנקוט</w:t>
      </w:r>
      <w:r>
        <w:rPr>
          <w:rFonts w:hint="cs"/>
          <w:rtl/>
        </w:rPr>
        <w:tab/>
      </w:r>
      <w:r>
        <w:rPr>
          <w:rFonts w:hint="cs"/>
          <w:rtl/>
        </w:rPr>
        <w:tab/>
        <w:t>–   בעד</w:t>
      </w:r>
    </w:p>
    <w:p w:rsidR="00BB59CD" w:rsidRDefault="00BB59CD" w:rsidP="00BB59CD">
      <w:pPr>
        <w:rPr>
          <w:rtl/>
        </w:rPr>
      </w:pPr>
      <w:r>
        <w:rPr>
          <w:rFonts w:hint="cs"/>
          <w:rtl/>
        </w:rPr>
        <w:t>ישראל אייכלר</w:t>
      </w:r>
      <w:r>
        <w:rPr>
          <w:rFonts w:hint="cs"/>
          <w:rtl/>
        </w:rPr>
        <w:tab/>
      </w:r>
      <w:r>
        <w:rPr>
          <w:rFonts w:hint="cs"/>
          <w:rtl/>
        </w:rPr>
        <w:tab/>
        <w:t>–   נגד</w:t>
      </w:r>
    </w:p>
    <w:p w:rsidR="00BB59CD" w:rsidRDefault="00BB59CD" w:rsidP="00BB59CD">
      <w:pPr>
        <w:rPr>
          <w:rtl/>
        </w:rPr>
      </w:pPr>
      <w:r>
        <w:rPr>
          <w:rFonts w:hint="cs"/>
          <w:rtl/>
        </w:rPr>
        <w:t>דן אילוז</w:t>
      </w:r>
      <w:r>
        <w:rPr>
          <w:rFonts w:hint="cs"/>
          <w:rtl/>
        </w:rPr>
        <w:tab/>
      </w:r>
      <w:r>
        <w:rPr>
          <w:rFonts w:hint="cs"/>
          <w:rtl/>
        </w:rPr>
        <w:tab/>
      </w:r>
      <w:r>
        <w:rPr>
          <w:rFonts w:hint="cs"/>
          <w:rtl/>
        </w:rPr>
        <w:tab/>
        <w:t>–   נגד</w:t>
      </w:r>
    </w:p>
    <w:p w:rsidR="00BB59CD" w:rsidRDefault="00BB59CD" w:rsidP="00BB59CD">
      <w:pPr>
        <w:rPr>
          <w:rtl/>
        </w:rPr>
      </w:pPr>
      <w:r>
        <w:rPr>
          <w:rFonts w:hint="cs"/>
          <w:rtl/>
        </w:rPr>
        <w:t>ואליד אלהואשלה</w:t>
      </w:r>
      <w:r>
        <w:rPr>
          <w:rFonts w:hint="cs"/>
          <w:rtl/>
        </w:rPr>
        <w:tab/>
      </w:r>
      <w:r>
        <w:rPr>
          <w:rFonts w:hint="cs"/>
          <w:rtl/>
        </w:rPr>
        <w:tab/>
        <w:t>–   בעד</w:t>
      </w:r>
    </w:p>
    <w:p w:rsidR="00BB59CD" w:rsidRDefault="00BB59CD" w:rsidP="00BB59CD">
      <w:pPr>
        <w:rPr>
          <w:rtl/>
        </w:rPr>
      </w:pPr>
      <w:r>
        <w:rPr>
          <w:rFonts w:hint="cs"/>
          <w:rtl/>
        </w:rPr>
        <w:t>קארין אלהרר</w:t>
      </w:r>
      <w:r>
        <w:rPr>
          <w:rFonts w:hint="cs"/>
          <w:rtl/>
        </w:rPr>
        <w:tab/>
      </w:r>
      <w:r>
        <w:rPr>
          <w:rFonts w:hint="cs"/>
          <w:rtl/>
        </w:rPr>
        <w:tab/>
        <w:t>–   בעד</w:t>
      </w:r>
    </w:p>
    <w:p w:rsidR="00BB59CD" w:rsidRDefault="00BB59CD" w:rsidP="00BB59CD">
      <w:pPr>
        <w:rPr>
          <w:rtl/>
        </w:rPr>
      </w:pPr>
      <w:r>
        <w:rPr>
          <w:rFonts w:hint="cs"/>
          <w:rtl/>
        </w:rPr>
        <w:t>זאב אלקין</w:t>
      </w:r>
      <w:r>
        <w:rPr>
          <w:rFonts w:hint="cs"/>
          <w:rtl/>
        </w:rPr>
        <w:tab/>
      </w:r>
      <w:r>
        <w:rPr>
          <w:rFonts w:hint="cs"/>
          <w:rtl/>
        </w:rPr>
        <w:tab/>
        <w:t>–   בעד</w:t>
      </w:r>
    </w:p>
    <w:p w:rsidR="00BB59CD" w:rsidRDefault="00BB59CD" w:rsidP="00BB59CD">
      <w:pPr>
        <w:rPr>
          <w:rtl/>
        </w:rPr>
      </w:pPr>
      <w:r>
        <w:rPr>
          <w:rFonts w:hint="cs"/>
          <w:rtl/>
        </w:rPr>
        <w:t>משה ארבל</w:t>
      </w:r>
      <w:r>
        <w:rPr>
          <w:rFonts w:hint="cs"/>
          <w:rtl/>
        </w:rPr>
        <w:tab/>
      </w:r>
      <w:r>
        <w:rPr>
          <w:rFonts w:hint="cs"/>
          <w:rtl/>
        </w:rPr>
        <w:tab/>
        <w:t>–   נגד</w:t>
      </w:r>
    </w:p>
    <w:p w:rsidR="00BB59CD" w:rsidRDefault="00BB59CD" w:rsidP="00BB59CD">
      <w:pPr>
        <w:rPr>
          <w:rtl/>
        </w:rPr>
      </w:pPr>
      <w:r>
        <w:rPr>
          <w:rFonts w:hint="cs"/>
          <w:rtl/>
        </w:rPr>
        <w:t>יעקב אשר</w:t>
      </w:r>
      <w:r>
        <w:rPr>
          <w:rFonts w:hint="cs"/>
          <w:rtl/>
        </w:rPr>
        <w:tab/>
      </w:r>
      <w:r>
        <w:rPr>
          <w:rFonts w:hint="cs"/>
          <w:rtl/>
        </w:rPr>
        <w:tab/>
        <w:t>–   נגד</w:t>
      </w:r>
    </w:p>
    <w:p w:rsidR="00BB59CD" w:rsidRDefault="00BB59CD" w:rsidP="00BB59CD">
      <w:pPr>
        <w:rPr>
          <w:rtl/>
        </w:rPr>
      </w:pPr>
      <w:r>
        <w:rPr>
          <w:rFonts w:hint="cs"/>
          <w:rtl/>
        </w:rPr>
        <w:t>אביחי אברהם בוארון</w:t>
      </w:r>
      <w:r>
        <w:rPr>
          <w:rFonts w:hint="cs"/>
          <w:rtl/>
        </w:rPr>
        <w:tab/>
        <w:t>–   נגד</w:t>
      </w:r>
    </w:p>
    <w:p w:rsidR="00BB59CD" w:rsidRDefault="00BB59CD" w:rsidP="00BB59CD">
      <w:pPr>
        <w:rPr>
          <w:rtl/>
        </w:rPr>
      </w:pPr>
      <w:r>
        <w:rPr>
          <w:rFonts w:hint="cs"/>
          <w:rtl/>
        </w:rPr>
        <w:t>אוריאל בוסו</w:t>
      </w:r>
      <w:r>
        <w:rPr>
          <w:rFonts w:hint="cs"/>
          <w:rtl/>
        </w:rPr>
        <w:tab/>
      </w:r>
      <w:r>
        <w:rPr>
          <w:rFonts w:hint="cs"/>
          <w:rtl/>
        </w:rPr>
        <w:tab/>
        <w:t>–   נגד</w:t>
      </w:r>
    </w:p>
    <w:p w:rsidR="00BB59CD" w:rsidRDefault="00BB59CD" w:rsidP="00BB59CD">
      <w:pPr>
        <w:rPr>
          <w:rtl/>
        </w:rPr>
      </w:pPr>
      <w:r>
        <w:rPr>
          <w:rFonts w:hint="cs"/>
          <w:rtl/>
        </w:rPr>
        <w:t>דבי ביטון</w:t>
      </w:r>
      <w:r>
        <w:rPr>
          <w:rFonts w:hint="cs"/>
          <w:rtl/>
        </w:rPr>
        <w:tab/>
      </w:r>
      <w:r>
        <w:rPr>
          <w:rFonts w:hint="cs"/>
          <w:rtl/>
        </w:rPr>
        <w:tab/>
        <w:t>–   בעד</w:t>
      </w:r>
    </w:p>
    <w:p w:rsidR="00BB59CD" w:rsidRDefault="00BB59CD" w:rsidP="00BB59CD">
      <w:pPr>
        <w:rPr>
          <w:rtl/>
        </w:rPr>
      </w:pPr>
      <w:r>
        <w:rPr>
          <w:rFonts w:hint="cs"/>
          <w:rtl/>
        </w:rPr>
        <w:t>מיכאל מרדכי ביטון</w:t>
      </w:r>
      <w:r>
        <w:rPr>
          <w:rFonts w:hint="cs"/>
          <w:rtl/>
        </w:rPr>
        <w:tab/>
        <w:t>–   בעד</w:t>
      </w:r>
    </w:p>
    <w:p w:rsidR="00BB59CD" w:rsidRDefault="00BB59CD" w:rsidP="00BB59CD">
      <w:pPr>
        <w:rPr>
          <w:rtl/>
        </w:rPr>
      </w:pPr>
      <w:r>
        <w:rPr>
          <w:rFonts w:hint="cs"/>
          <w:rtl/>
        </w:rPr>
        <w:t>דוד ביטן</w:t>
      </w:r>
      <w:r>
        <w:rPr>
          <w:rFonts w:hint="cs"/>
          <w:rtl/>
        </w:rPr>
        <w:tab/>
      </w:r>
      <w:r>
        <w:rPr>
          <w:rFonts w:hint="cs"/>
          <w:rtl/>
        </w:rPr>
        <w:tab/>
      </w:r>
      <w:r>
        <w:rPr>
          <w:rFonts w:hint="cs"/>
          <w:rtl/>
        </w:rPr>
        <w:tab/>
        <w:t>–   נגד</w:t>
      </w:r>
    </w:p>
    <w:p w:rsidR="00BB59CD" w:rsidRDefault="00BB59CD" w:rsidP="00BB59CD">
      <w:pPr>
        <w:rPr>
          <w:rtl/>
        </w:rPr>
      </w:pPr>
      <w:r>
        <w:rPr>
          <w:rFonts w:hint="cs"/>
          <w:rtl/>
        </w:rPr>
        <w:t>בועז ביסמוט</w:t>
      </w:r>
      <w:r>
        <w:rPr>
          <w:rFonts w:hint="cs"/>
          <w:rtl/>
        </w:rPr>
        <w:tab/>
      </w:r>
      <w:r>
        <w:rPr>
          <w:rFonts w:hint="cs"/>
          <w:rtl/>
        </w:rPr>
        <w:tab/>
        <w:t>–   נגד</w:t>
      </w:r>
    </w:p>
    <w:p w:rsidR="00BB59CD" w:rsidRDefault="00BB59CD" w:rsidP="00BB59CD">
      <w:pPr>
        <w:rPr>
          <w:rtl/>
        </w:rPr>
      </w:pPr>
      <w:r>
        <w:rPr>
          <w:rFonts w:hint="cs"/>
          <w:rtl/>
        </w:rPr>
        <w:t>ולדימיר בליאק</w:t>
      </w:r>
      <w:r>
        <w:rPr>
          <w:rFonts w:hint="cs"/>
          <w:rtl/>
        </w:rPr>
        <w:tab/>
      </w:r>
      <w:r>
        <w:rPr>
          <w:rFonts w:hint="cs"/>
          <w:rtl/>
        </w:rPr>
        <w:tab/>
        <w:t>–   בעד</w:t>
      </w:r>
      <w:r>
        <w:rPr>
          <w:rFonts w:hint="cs"/>
          <w:rtl/>
        </w:rPr>
        <w:tab/>
      </w:r>
    </w:p>
    <w:p w:rsidR="00BB59CD" w:rsidRDefault="00BB59CD" w:rsidP="00BB59CD">
      <w:pPr>
        <w:rPr>
          <w:rtl/>
        </w:rPr>
      </w:pPr>
      <w:r>
        <w:rPr>
          <w:rFonts w:hint="cs"/>
          <w:rtl/>
        </w:rPr>
        <w:t>מירב בן ארי</w:t>
      </w:r>
      <w:r>
        <w:rPr>
          <w:rFonts w:hint="cs"/>
          <w:rtl/>
        </w:rPr>
        <w:tab/>
      </w:r>
      <w:r>
        <w:rPr>
          <w:rFonts w:hint="cs"/>
          <w:rtl/>
        </w:rPr>
        <w:tab/>
        <w:t>–   בעד</w:t>
      </w:r>
    </w:p>
    <w:p w:rsidR="00BB59CD" w:rsidRDefault="00BB59CD" w:rsidP="00BB59CD">
      <w:pPr>
        <w:rPr>
          <w:rtl/>
        </w:rPr>
      </w:pPr>
      <w:r>
        <w:rPr>
          <w:rFonts w:hint="cs"/>
          <w:rtl/>
        </w:rPr>
        <w:t>רם בן ברק</w:t>
      </w:r>
      <w:r>
        <w:rPr>
          <w:rFonts w:hint="cs"/>
          <w:rtl/>
        </w:rPr>
        <w:tab/>
      </w:r>
      <w:r>
        <w:rPr>
          <w:rFonts w:hint="cs"/>
          <w:rtl/>
        </w:rPr>
        <w:tab/>
        <w:t>–   בעד</w:t>
      </w:r>
    </w:p>
    <w:p w:rsidR="00BB59CD" w:rsidRDefault="00BB59CD" w:rsidP="00BB59CD">
      <w:pPr>
        <w:rPr>
          <w:rtl/>
        </w:rPr>
      </w:pPr>
      <w:r>
        <w:rPr>
          <w:rFonts w:hint="cs"/>
          <w:rtl/>
        </w:rPr>
        <w:t>איתמר בן גביר</w:t>
      </w:r>
      <w:r>
        <w:rPr>
          <w:rFonts w:hint="cs"/>
          <w:rtl/>
        </w:rPr>
        <w:tab/>
      </w:r>
      <w:r>
        <w:rPr>
          <w:rFonts w:hint="cs"/>
          <w:rtl/>
        </w:rPr>
        <w:tab/>
        <w:t>–   נגד</w:t>
      </w:r>
    </w:p>
    <w:p w:rsidR="00BB59CD" w:rsidRDefault="00BB59CD" w:rsidP="00BB59CD">
      <w:pPr>
        <w:rPr>
          <w:rtl/>
        </w:rPr>
      </w:pPr>
      <w:r>
        <w:rPr>
          <w:rFonts w:hint="cs"/>
          <w:rtl/>
        </w:rPr>
        <w:t>אברהם בצלאל</w:t>
      </w:r>
      <w:r>
        <w:rPr>
          <w:rFonts w:hint="cs"/>
          <w:rtl/>
        </w:rPr>
        <w:tab/>
      </w:r>
      <w:r>
        <w:rPr>
          <w:rFonts w:hint="cs"/>
          <w:rtl/>
        </w:rPr>
        <w:tab/>
        <w:t>–   נגד</w:t>
      </w:r>
    </w:p>
    <w:p w:rsidR="00BB59CD" w:rsidRDefault="00BB59CD" w:rsidP="00BB59CD">
      <w:pPr>
        <w:rPr>
          <w:rtl/>
        </w:rPr>
      </w:pPr>
      <w:r>
        <w:rPr>
          <w:rFonts w:hint="cs"/>
          <w:rtl/>
        </w:rPr>
        <w:t>אורנה ברביבאי</w:t>
      </w:r>
      <w:r>
        <w:rPr>
          <w:rFonts w:hint="cs"/>
          <w:rtl/>
        </w:rPr>
        <w:tab/>
      </w:r>
      <w:r>
        <w:rPr>
          <w:rFonts w:hint="cs"/>
          <w:rtl/>
        </w:rPr>
        <w:tab/>
        <w:t>–   בעד</w:t>
      </w:r>
    </w:p>
    <w:p w:rsidR="00BB59CD" w:rsidRDefault="00BB59CD" w:rsidP="00BB59CD">
      <w:pPr>
        <w:rPr>
          <w:rtl/>
        </w:rPr>
      </w:pPr>
      <w:r>
        <w:rPr>
          <w:rFonts w:hint="cs"/>
          <w:rtl/>
        </w:rPr>
        <w:t>אליהו ברוכי</w:t>
      </w:r>
      <w:r>
        <w:rPr>
          <w:rFonts w:hint="cs"/>
          <w:rtl/>
        </w:rPr>
        <w:tab/>
      </w:r>
      <w:r>
        <w:rPr>
          <w:rFonts w:hint="cs"/>
          <w:rtl/>
        </w:rPr>
        <w:tab/>
        <w:t>–   נגד</w:t>
      </w:r>
    </w:p>
    <w:p w:rsidR="00BB59CD" w:rsidRDefault="00BB59CD" w:rsidP="00BB59CD">
      <w:pPr>
        <w:rPr>
          <w:rtl/>
        </w:rPr>
      </w:pPr>
      <w:r>
        <w:rPr>
          <w:rFonts w:hint="cs"/>
          <w:rtl/>
        </w:rPr>
        <w:t>ניר ברקת</w:t>
      </w:r>
      <w:r>
        <w:rPr>
          <w:rFonts w:hint="cs"/>
          <w:rtl/>
        </w:rPr>
        <w:tab/>
      </w:r>
      <w:r>
        <w:rPr>
          <w:rFonts w:hint="cs"/>
          <w:rtl/>
        </w:rPr>
        <w:tab/>
        <w:t>–   נגד</w:t>
      </w:r>
    </w:p>
    <w:p w:rsidR="00BB59CD" w:rsidRDefault="00BB59CD" w:rsidP="00BB59CD">
      <w:pPr>
        <w:rPr>
          <w:rtl/>
        </w:rPr>
      </w:pPr>
      <w:r>
        <w:rPr>
          <w:rFonts w:hint="cs"/>
          <w:rtl/>
        </w:rPr>
        <w:t>ששון ששי גואטה</w:t>
      </w:r>
      <w:r>
        <w:rPr>
          <w:rFonts w:hint="cs"/>
          <w:rtl/>
        </w:rPr>
        <w:tab/>
      </w:r>
      <w:r>
        <w:rPr>
          <w:rFonts w:hint="cs"/>
          <w:rtl/>
        </w:rPr>
        <w:tab/>
        <w:t>–   נגד</w:t>
      </w:r>
    </w:p>
    <w:p w:rsidR="00BB59CD" w:rsidRDefault="00BB59CD" w:rsidP="00BB59CD">
      <w:pPr>
        <w:rPr>
          <w:rtl/>
        </w:rPr>
      </w:pPr>
      <w:r>
        <w:rPr>
          <w:rFonts w:hint="cs"/>
          <w:rtl/>
        </w:rPr>
        <w:t>טלי גוטליב</w:t>
      </w:r>
      <w:r>
        <w:rPr>
          <w:rFonts w:hint="cs"/>
          <w:rtl/>
        </w:rPr>
        <w:tab/>
      </w:r>
      <w:r>
        <w:rPr>
          <w:rFonts w:hint="cs"/>
          <w:rtl/>
        </w:rPr>
        <w:tab/>
        <w:t>–   נגד</w:t>
      </w:r>
    </w:p>
    <w:p w:rsidR="00BB59CD" w:rsidRDefault="00BB59CD" w:rsidP="00BB59CD">
      <w:pPr>
        <w:rPr>
          <w:rtl/>
        </w:rPr>
      </w:pPr>
      <w:r>
        <w:rPr>
          <w:rFonts w:hint="cs"/>
          <w:rtl/>
        </w:rPr>
        <w:t>מאי גולן</w:t>
      </w:r>
      <w:r>
        <w:rPr>
          <w:rFonts w:hint="cs"/>
          <w:rtl/>
        </w:rPr>
        <w:tab/>
      </w:r>
      <w:r>
        <w:rPr>
          <w:rFonts w:hint="cs"/>
          <w:rtl/>
        </w:rPr>
        <w:tab/>
      </w:r>
      <w:r>
        <w:rPr>
          <w:rFonts w:hint="cs"/>
          <w:rtl/>
        </w:rPr>
        <w:tab/>
        <w:t>–   נגד</w:t>
      </w:r>
    </w:p>
    <w:p w:rsidR="00BB59CD" w:rsidRDefault="00BB59CD" w:rsidP="00BB59CD">
      <w:pPr>
        <w:rPr>
          <w:rtl/>
        </w:rPr>
      </w:pPr>
      <w:r>
        <w:rPr>
          <w:rFonts w:hint="cs"/>
          <w:rtl/>
        </w:rPr>
        <w:t>יואב גלנט</w:t>
      </w:r>
      <w:r>
        <w:rPr>
          <w:rFonts w:hint="cs"/>
          <w:rtl/>
        </w:rPr>
        <w:tab/>
      </w:r>
      <w:r>
        <w:rPr>
          <w:rFonts w:hint="cs"/>
          <w:rtl/>
        </w:rPr>
        <w:tab/>
        <w:t>–   נגד</w:t>
      </w:r>
    </w:p>
    <w:p w:rsidR="00BB59CD" w:rsidRDefault="00BB59CD" w:rsidP="00BB59CD">
      <w:pPr>
        <w:rPr>
          <w:rtl/>
        </w:rPr>
      </w:pPr>
      <w:r>
        <w:rPr>
          <w:rFonts w:hint="cs"/>
          <w:rtl/>
        </w:rPr>
        <w:t>גילה גמליאל</w:t>
      </w:r>
      <w:r>
        <w:rPr>
          <w:rFonts w:hint="cs"/>
          <w:rtl/>
        </w:rPr>
        <w:tab/>
      </w:r>
      <w:r>
        <w:rPr>
          <w:rFonts w:hint="cs"/>
          <w:rtl/>
        </w:rPr>
        <w:tab/>
        <w:t>–   נגד</w:t>
      </w:r>
    </w:p>
    <w:p w:rsidR="00BB59CD" w:rsidRDefault="00BB59CD" w:rsidP="00BB59CD">
      <w:pPr>
        <w:rPr>
          <w:rtl/>
        </w:rPr>
      </w:pPr>
      <w:r>
        <w:rPr>
          <w:rFonts w:hint="cs"/>
          <w:rtl/>
        </w:rPr>
        <w:t>בנימין גנץ</w:t>
      </w:r>
      <w:r>
        <w:rPr>
          <w:rFonts w:hint="cs"/>
          <w:rtl/>
        </w:rPr>
        <w:tab/>
      </w:r>
      <w:r>
        <w:rPr>
          <w:rFonts w:hint="cs"/>
          <w:rtl/>
        </w:rPr>
        <w:tab/>
        <w:t>–   בעד</w:t>
      </w:r>
    </w:p>
    <w:p w:rsidR="00BB59CD" w:rsidRDefault="00BB59CD" w:rsidP="00BB59CD">
      <w:pPr>
        <w:rPr>
          <w:rtl/>
        </w:rPr>
      </w:pPr>
      <w:r>
        <w:rPr>
          <w:rFonts w:hint="cs"/>
          <w:rtl/>
        </w:rPr>
        <w:t>משה גפני</w:t>
      </w:r>
      <w:r>
        <w:rPr>
          <w:rFonts w:hint="cs"/>
          <w:rtl/>
        </w:rPr>
        <w:tab/>
      </w:r>
      <w:r>
        <w:rPr>
          <w:rFonts w:hint="cs"/>
          <w:rtl/>
        </w:rPr>
        <w:tab/>
        <w:t>–   נגד</w:t>
      </w:r>
    </w:p>
    <w:p w:rsidR="00BB59CD" w:rsidRDefault="00BB59CD" w:rsidP="00BB59CD">
      <w:pPr>
        <w:rPr>
          <w:rtl/>
        </w:rPr>
      </w:pPr>
      <w:r>
        <w:rPr>
          <w:rFonts w:hint="cs"/>
          <w:rtl/>
        </w:rPr>
        <w:t>סימון דוידסון</w:t>
      </w:r>
      <w:r>
        <w:rPr>
          <w:rFonts w:hint="cs"/>
          <w:rtl/>
        </w:rPr>
        <w:tab/>
      </w:r>
      <w:r>
        <w:rPr>
          <w:rFonts w:hint="cs"/>
          <w:rtl/>
        </w:rPr>
        <w:tab/>
        <w:t>–   בעד</w:t>
      </w:r>
    </w:p>
    <w:p w:rsidR="00BB59CD" w:rsidRDefault="00BB59CD" w:rsidP="00BB59CD">
      <w:pPr>
        <w:rPr>
          <w:rtl/>
        </w:rPr>
      </w:pPr>
      <w:r>
        <w:rPr>
          <w:rFonts w:hint="cs"/>
          <w:rtl/>
        </w:rPr>
        <w:t>אבי דיכטר</w:t>
      </w:r>
      <w:r>
        <w:rPr>
          <w:rFonts w:hint="cs"/>
          <w:rtl/>
        </w:rPr>
        <w:tab/>
      </w:r>
      <w:r>
        <w:rPr>
          <w:rFonts w:hint="cs"/>
          <w:rtl/>
        </w:rPr>
        <w:tab/>
        <w:t>–   נגד</w:t>
      </w:r>
    </w:p>
    <w:p w:rsidR="00BB59CD" w:rsidRDefault="00BB59CD" w:rsidP="00BB59CD">
      <w:pPr>
        <w:rPr>
          <w:rtl/>
        </w:rPr>
      </w:pPr>
      <w:r>
        <w:rPr>
          <w:rFonts w:hint="cs"/>
          <w:rtl/>
        </w:rPr>
        <w:t>אלי דלל</w:t>
      </w:r>
      <w:r>
        <w:rPr>
          <w:rFonts w:hint="cs"/>
          <w:rtl/>
        </w:rPr>
        <w:tab/>
      </w:r>
      <w:r>
        <w:rPr>
          <w:rFonts w:hint="cs"/>
          <w:rtl/>
        </w:rPr>
        <w:tab/>
      </w:r>
      <w:r>
        <w:rPr>
          <w:rFonts w:hint="cs"/>
          <w:rtl/>
        </w:rPr>
        <w:tab/>
        <w:t>–   נגד</w:t>
      </w:r>
    </w:p>
    <w:p w:rsidR="00BB59CD" w:rsidRDefault="00BB59CD" w:rsidP="00BB59CD">
      <w:pPr>
        <w:rPr>
          <w:rtl/>
        </w:rPr>
      </w:pPr>
      <w:r>
        <w:rPr>
          <w:rFonts w:hint="cs"/>
          <w:rtl/>
        </w:rPr>
        <w:t>דני דנון</w:t>
      </w:r>
      <w:r>
        <w:rPr>
          <w:rFonts w:hint="cs"/>
          <w:rtl/>
        </w:rPr>
        <w:tab/>
      </w:r>
      <w:r>
        <w:rPr>
          <w:rFonts w:hint="cs"/>
          <w:rtl/>
        </w:rPr>
        <w:tab/>
      </w:r>
      <w:r>
        <w:rPr>
          <w:rFonts w:hint="cs"/>
          <w:rtl/>
        </w:rPr>
        <w:tab/>
        <w:t>–   נגד</w:t>
      </w:r>
    </w:p>
    <w:p w:rsidR="00BB59CD" w:rsidRDefault="00BB59CD" w:rsidP="00BB59CD">
      <w:pPr>
        <w:rPr>
          <w:rtl/>
        </w:rPr>
      </w:pPr>
      <w:r>
        <w:rPr>
          <w:rFonts w:hint="cs"/>
          <w:rtl/>
        </w:rPr>
        <w:t>שלום דנינו</w:t>
      </w:r>
      <w:r>
        <w:rPr>
          <w:rFonts w:hint="cs"/>
          <w:rtl/>
        </w:rPr>
        <w:tab/>
      </w:r>
      <w:r>
        <w:rPr>
          <w:rFonts w:hint="cs"/>
          <w:rtl/>
        </w:rPr>
        <w:tab/>
        <w:t>–   נגד</w:t>
      </w:r>
    </w:p>
    <w:p w:rsidR="00BB59CD" w:rsidRDefault="00BB59CD" w:rsidP="00BB59CD">
      <w:pPr>
        <w:rPr>
          <w:rtl/>
        </w:rPr>
      </w:pPr>
      <w:r>
        <w:rPr>
          <w:rFonts w:hint="cs"/>
          <w:rtl/>
        </w:rPr>
        <w:t>אריה מכלוף דרעי</w:t>
      </w:r>
      <w:r>
        <w:rPr>
          <w:rFonts w:hint="cs"/>
          <w:rtl/>
        </w:rPr>
        <w:tab/>
        <w:t>–   נגד</w:t>
      </w:r>
    </w:p>
    <w:p w:rsidR="00BB59CD" w:rsidRDefault="00BB59CD" w:rsidP="00BB59CD">
      <w:pPr>
        <w:rPr>
          <w:rtl/>
        </w:rPr>
      </w:pPr>
      <w:r>
        <w:rPr>
          <w:rFonts w:hint="cs"/>
          <w:rtl/>
        </w:rPr>
        <w:t>עמית הלוי</w:t>
      </w:r>
      <w:r>
        <w:rPr>
          <w:rFonts w:hint="cs"/>
          <w:rtl/>
        </w:rPr>
        <w:tab/>
      </w:r>
      <w:r>
        <w:rPr>
          <w:rFonts w:hint="cs"/>
          <w:rtl/>
        </w:rPr>
        <w:tab/>
        <w:t>–   נגד</w:t>
      </w:r>
    </w:p>
    <w:p w:rsidR="00BB59CD" w:rsidRDefault="00BB59CD" w:rsidP="00BB59CD">
      <w:pPr>
        <w:rPr>
          <w:rtl/>
        </w:rPr>
      </w:pPr>
      <w:r>
        <w:rPr>
          <w:rFonts w:hint="cs"/>
          <w:rtl/>
        </w:rPr>
        <w:t>שרן מרים השכל</w:t>
      </w:r>
      <w:r>
        <w:rPr>
          <w:rFonts w:hint="cs"/>
          <w:rtl/>
        </w:rPr>
        <w:tab/>
      </w:r>
      <w:r>
        <w:rPr>
          <w:rFonts w:hint="cs"/>
          <w:rtl/>
        </w:rPr>
        <w:tab/>
        <w:t>–   בעד</w:t>
      </w:r>
    </w:p>
    <w:p w:rsidR="00BB59CD" w:rsidRDefault="00BB59CD" w:rsidP="00BB59CD">
      <w:pPr>
        <w:rPr>
          <w:rtl/>
        </w:rPr>
      </w:pPr>
      <w:r>
        <w:rPr>
          <w:rFonts w:hint="cs"/>
          <w:rtl/>
        </w:rPr>
        <w:t>ניסים ואטורי</w:t>
      </w:r>
      <w:r>
        <w:rPr>
          <w:rFonts w:hint="cs"/>
          <w:rtl/>
        </w:rPr>
        <w:tab/>
      </w:r>
      <w:r>
        <w:rPr>
          <w:rFonts w:hint="cs"/>
          <w:rtl/>
        </w:rPr>
        <w:tab/>
        <w:t>–   נגד</w:t>
      </w:r>
    </w:p>
    <w:p w:rsidR="00BB59CD" w:rsidRDefault="00BB59CD" w:rsidP="00BB59CD">
      <w:pPr>
        <w:rPr>
          <w:rtl/>
        </w:rPr>
      </w:pPr>
      <w:r>
        <w:rPr>
          <w:rFonts w:hint="cs"/>
          <w:rtl/>
        </w:rPr>
        <w:t>מיכל מרים וולדיגר</w:t>
      </w:r>
      <w:r>
        <w:rPr>
          <w:rFonts w:hint="cs"/>
          <w:rtl/>
        </w:rPr>
        <w:tab/>
        <w:t>–   נגד</w:t>
      </w:r>
    </w:p>
    <w:p w:rsidR="00BB59CD" w:rsidRDefault="00BB59CD" w:rsidP="00BB59CD">
      <w:pPr>
        <w:rPr>
          <w:rtl/>
        </w:rPr>
      </w:pPr>
      <w:r>
        <w:rPr>
          <w:rFonts w:hint="cs"/>
          <w:rtl/>
        </w:rPr>
        <w:t>יצחק שמעון וסרלאוף</w:t>
      </w:r>
      <w:r>
        <w:rPr>
          <w:rFonts w:hint="cs"/>
          <w:rtl/>
        </w:rPr>
        <w:tab/>
        <w:t>–   נגד</w:t>
      </w:r>
    </w:p>
    <w:p w:rsidR="00BB59CD" w:rsidRDefault="00BB59CD" w:rsidP="00BB59CD">
      <w:pPr>
        <w:rPr>
          <w:rtl/>
        </w:rPr>
      </w:pPr>
      <w:r>
        <w:rPr>
          <w:rFonts w:hint="cs"/>
          <w:rtl/>
        </w:rPr>
        <w:t>יאסר חוג'יראת</w:t>
      </w:r>
      <w:r>
        <w:rPr>
          <w:rFonts w:hint="cs"/>
          <w:rtl/>
        </w:rPr>
        <w:tab/>
      </w:r>
      <w:r>
        <w:rPr>
          <w:rFonts w:hint="cs"/>
          <w:rtl/>
        </w:rPr>
        <w:tab/>
        <w:t>–   בעד</w:t>
      </w:r>
    </w:p>
    <w:p w:rsidR="00BB59CD" w:rsidRDefault="00BB59CD" w:rsidP="00BB59CD">
      <w:pPr>
        <w:rPr>
          <w:rtl/>
        </w:rPr>
      </w:pPr>
      <w:r>
        <w:rPr>
          <w:rFonts w:hint="cs"/>
          <w:rtl/>
        </w:rPr>
        <w:t>אימאן ח'טיב יאסין</w:t>
      </w:r>
      <w:r>
        <w:rPr>
          <w:rFonts w:hint="cs"/>
          <w:rtl/>
        </w:rPr>
        <w:tab/>
        <w:t>–   בעד</w:t>
      </w:r>
    </w:p>
    <w:p w:rsidR="00BB59CD" w:rsidRDefault="00BB59CD" w:rsidP="00BB59CD">
      <w:pPr>
        <w:rPr>
          <w:rtl/>
        </w:rPr>
      </w:pPr>
      <w:r>
        <w:rPr>
          <w:rFonts w:hint="cs"/>
          <w:rtl/>
        </w:rPr>
        <w:t>ווליד טאהא</w:t>
      </w:r>
      <w:r>
        <w:rPr>
          <w:rFonts w:hint="cs"/>
          <w:rtl/>
        </w:rPr>
        <w:tab/>
      </w:r>
      <w:r>
        <w:rPr>
          <w:rFonts w:hint="cs"/>
          <w:rtl/>
        </w:rPr>
        <w:tab/>
        <w:t>–   בעד</w:t>
      </w:r>
    </w:p>
    <w:p w:rsidR="00BB59CD" w:rsidRDefault="00BB59CD" w:rsidP="00BB59CD">
      <w:pPr>
        <w:rPr>
          <w:rtl/>
        </w:rPr>
      </w:pPr>
      <w:r>
        <w:rPr>
          <w:rFonts w:hint="cs"/>
          <w:rtl/>
        </w:rPr>
        <w:t>בועז טופורובסקי</w:t>
      </w:r>
      <w:r>
        <w:rPr>
          <w:rFonts w:hint="cs"/>
          <w:rtl/>
        </w:rPr>
        <w:tab/>
      </w:r>
      <w:r>
        <w:rPr>
          <w:rFonts w:hint="cs"/>
          <w:rtl/>
        </w:rPr>
        <w:tab/>
        <w:t>–   בעד</w:t>
      </w:r>
    </w:p>
    <w:p w:rsidR="00BB59CD" w:rsidRDefault="00BB59CD" w:rsidP="00BB59CD">
      <w:pPr>
        <w:rPr>
          <w:rtl/>
        </w:rPr>
      </w:pPr>
      <w:r>
        <w:rPr>
          <w:rFonts w:hint="cs"/>
          <w:rtl/>
        </w:rPr>
        <w:t>משה טור פז</w:t>
      </w:r>
      <w:r>
        <w:rPr>
          <w:rFonts w:hint="cs"/>
          <w:rtl/>
        </w:rPr>
        <w:tab/>
      </w:r>
      <w:r>
        <w:rPr>
          <w:rFonts w:hint="cs"/>
          <w:rtl/>
        </w:rPr>
        <w:tab/>
        <w:t>–   בעד</w:t>
      </w:r>
    </w:p>
    <w:p w:rsidR="00BB59CD" w:rsidRDefault="00BB59CD" w:rsidP="00BB59CD">
      <w:pPr>
        <w:rPr>
          <w:rtl/>
        </w:rPr>
      </w:pPr>
      <w:r>
        <w:rPr>
          <w:rFonts w:hint="cs"/>
          <w:rtl/>
        </w:rPr>
        <w:t>אחמד טיבי</w:t>
      </w:r>
      <w:r>
        <w:rPr>
          <w:rFonts w:hint="cs"/>
          <w:rtl/>
        </w:rPr>
        <w:tab/>
      </w:r>
      <w:r>
        <w:rPr>
          <w:rFonts w:hint="cs"/>
          <w:rtl/>
        </w:rPr>
        <w:tab/>
        <w:t>–   בעד</w:t>
      </w:r>
    </w:p>
    <w:p w:rsidR="00BB59CD" w:rsidRDefault="00BB59CD" w:rsidP="00BB59CD">
      <w:pPr>
        <w:rPr>
          <w:rtl/>
        </w:rPr>
      </w:pPr>
      <w:r>
        <w:rPr>
          <w:rFonts w:hint="cs"/>
          <w:rtl/>
        </w:rPr>
        <w:t>יוסף טייב</w:t>
      </w:r>
      <w:r>
        <w:rPr>
          <w:rFonts w:hint="cs"/>
          <w:rtl/>
        </w:rPr>
        <w:tab/>
      </w:r>
      <w:r>
        <w:rPr>
          <w:rFonts w:hint="cs"/>
          <w:rtl/>
        </w:rPr>
        <w:tab/>
        <w:t>–   נגד</w:t>
      </w:r>
    </w:p>
    <w:p w:rsidR="00BB59CD" w:rsidRDefault="00BB59CD" w:rsidP="00BB59CD">
      <w:pPr>
        <w:rPr>
          <w:rtl/>
        </w:rPr>
      </w:pPr>
      <w:r>
        <w:rPr>
          <w:rFonts w:hint="cs"/>
          <w:rtl/>
        </w:rPr>
        <w:t>אוהד טל</w:t>
      </w:r>
      <w:r>
        <w:rPr>
          <w:rFonts w:hint="cs"/>
          <w:rtl/>
        </w:rPr>
        <w:tab/>
      </w:r>
      <w:r>
        <w:rPr>
          <w:rFonts w:hint="cs"/>
          <w:rtl/>
        </w:rPr>
        <w:tab/>
      </w:r>
      <w:r>
        <w:rPr>
          <w:rFonts w:hint="cs"/>
          <w:rtl/>
        </w:rPr>
        <w:tab/>
        <w:t>–   נגד</w:t>
      </w:r>
    </w:p>
    <w:p w:rsidR="00BB59CD" w:rsidRDefault="00BB59CD" w:rsidP="00BB59CD">
      <w:pPr>
        <w:rPr>
          <w:rtl/>
        </w:rPr>
      </w:pPr>
      <w:r>
        <w:rPr>
          <w:rFonts w:hint="cs"/>
          <w:rtl/>
        </w:rPr>
        <w:t>יעקב טסלר</w:t>
      </w:r>
      <w:r>
        <w:rPr>
          <w:rFonts w:hint="cs"/>
          <w:rtl/>
        </w:rPr>
        <w:tab/>
      </w:r>
      <w:r>
        <w:rPr>
          <w:rFonts w:hint="cs"/>
          <w:rtl/>
        </w:rPr>
        <w:tab/>
        <w:t>–   נגד</w:t>
      </w:r>
    </w:p>
    <w:p w:rsidR="00BB59CD" w:rsidRDefault="00BB59CD" w:rsidP="00BB59CD">
      <w:pPr>
        <w:rPr>
          <w:rtl/>
        </w:rPr>
      </w:pPr>
      <w:r>
        <w:rPr>
          <w:rFonts w:hint="cs"/>
          <w:rtl/>
        </w:rPr>
        <w:t>חילי טרופר</w:t>
      </w:r>
      <w:r>
        <w:rPr>
          <w:rFonts w:hint="cs"/>
          <w:rtl/>
        </w:rPr>
        <w:tab/>
      </w:r>
      <w:r>
        <w:rPr>
          <w:rFonts w:hint="cs"/>
          <w:rtl/>
        </w:rPr>
        <w:tab/>
        <w:t>–   בעד</w:t>
      </w:r>
    </w:p>
    <w:p w:rsidR="00BB59CD" w:rsidRDefault="00BB59CD" w:rsidP="00BB59CD">
      <w:pPr>
        <w:rPr>
          <w:rtl/>
        </w:rPr>
      </w:pPr>
      <w:r>
        <w:rPr>
          <w:rFonts w:hint="cs"/>
          <w:rtl/>
        </w:rPr>
        <w:t>אלמוג כהן</w:t>
      </w:r>
      <w:r>
        <w:rPr>
          <w:rFonts w:hint="cs"/>
          <w:rtl/>
        </w:rPr>
        <w:tab/>
      </w:r>
      <w:r>
        <w:rPr>
          <w:rFonts w:hint="cs"/>
          <w:rtl/>
        </w:rPr>
        <w:tab/>
        <w:t>–   נגד</w:t>
      </w:r>
    </w:p>
    <w:p w:rsidR="00BB59CD" w:rsidRDefault="00BB59CD" w:rsidP="00BB59CD">
      <w:pPr>
        <w:rPr>
          <w:rtl/>
        </w:rPr>
      </w:pPr>
      <w:r>
        <w:rPr>
          <w:rFonts w:hint="cs"/>
          <w:rtl/>
        </w:rPr>
        <w:t>מאיר כהן</w:t>
      </w:r>
      <w:r>
        <w:rPr>
          <w:rFonts w:hint="cs"/>
          <w:rtl/>
        </w:rPr>
        <w:tab/>
      </w:r>
      <w:r>
        <w:rPr>
          <w:rFonts w:hint="cs"/>
          <w:rtl/>
        </w:rPr>
        <w:tab/>
        <w:t>–   בעד</w:t>
      </w:r>
    </w:p>
    <w:p w:rsidR="00BB59CD" w:rsidRDefault="00BB59CD" w:rsidP="00BB59CD">
      <w:pPr>
        <w:rPr>
          <w:rtl/>
        </w:rPr>
      </w:pPr>
      <w:r>
        <w:rPr>
          <w:rFonts w:hint="cs"/>
          <w:rtl/>
        </w:rPr>
        <w:t>מירב כהן</w:t>
      </w:r>
      <w:r>
        <w:rPr>
          <w:rFonts w:hint="cs"/>
          <w:rtl/>
        </w:rPr>
        <w:tab/>
      </w:r>
      <w:r>
        <w:rPr>
          <w:rFonts w:hint="cs"/>
          <w:rtl/>
        </w:rPr>
        <w:tab/>
        <w:t>–   בעד</w:t>
      </w:r>
    </w:p>
    <w:p w:rsidR="00BB59CD" w:rsidRDefault="00BB59CD" w:rsidP="00BB59CD">
      <w:pPr>
        <w:rPr>
          <w:rtl/>
        </w:rPr>
      </w:pPr>
      <w:r>
        <w:rPr>
          <w:rFonts w:hint="cs"/>
          <w:rtl/>
        </w:rPr>
        <w:t>מתן כהנא</w:t>
      </w:r>
      <w:r>
        <w:rPr>
          <w:rFonts w:hint="cs"/>
          <w:rtl/>
        </w:rPr>
        <w:tab/>
      </w:r>
      <w:r>
        <w:rPr>
          <w:rFonts w:hint="cs"/>
          <w:rtl/>
        </w:rPr>
        <w:tab/>
        <w:t>–   בעד</w:t>
      </w:r>
    </w:p>
    <w:p w:rsidR="00BB59CD" w:rsidRDefault="00BB59CD" w:rsidP="00BB59CD">
      <w:pPr>
        <w:rPr>
          <w:rtl/>
        </w:rPr>
      </w:pPr>
      <w:r>
        <w:rPr>
          <w:rFonts w:hint="cs"/>
          <w:rtl/>
        </w:rPr>
        <w:t>עופר כסיף</w:t>
      </w:r>
      <w:r>
        <w:rPr>
          <w:rFonts w:hint="cs"/>
          <w:rtl/>
        </w:rPr>
        <w:tab/>
      </w:r>
      <w:r>
        <w:rPr>
          <w:rFonts w:hint="cs"/>
          <w:rtl/>
        </w:rPr>
        <w:tab/>
        <w:t>–   בעד</w:t>
      </w:r>
    </w:p>
    <w:p w:rsidR="00BB59CD" w:rsidRDefault="00BB59CD" w:rsidP="00BB59CD">
      <w:pPr>
        <w:rPr>
          <w:rtl/>
        </w:rPr>
      </w:pPr>
      <w:r>
        <w:rPr>
          <w:rFonts w:hint="cs"/>
          <w:rtl/>
        </w:rPr>
        <w:t>אופיר כץ</w:t>
      </w:r>
      <w:r>
        <w:rPr>
          <w:rFonts w:hint="cs"/>
          <w:rtl/>
        </w:rPr>
        <w:tab/>
      </w:r>
      <w:r>
        <w:rPr>
          <w:rFonts w:hint="cs"/>
          <w:rtl/>
        </w:rPr>
        <w:tab/>
        <w:t>–   נגד</w:t>
      </w:r>
    </w:p>
    <w:p w:rsidR="00BB59CD" w:rsidRDefault="00BB59CD" w:rsidP="00BB59CD">
      <w:pPr>
        <w:rPr>
          <w:rtl/>
        </w:rPr>
      </w:pPr>
      <w:r>
        <w:rPr>
          <w:rFonts w:hint="cs"/>
          <w:rtl/>
        </w:rPr>
        <w:t>ישראל כץ</w:t>
      </w:r>
      <w:r>
        <w:rPr>
          <w:rFonts w:hint="cs"/>
          <w:rtl/>
        </w:rPr>
        <w:tab/>
      </w:r>
      <w:r>
        <w:rPr>
          <w:rFonts w:hint="cs"/>
          <w:rtl/>
        </w:rPr>
        <w:tab/>
        <w:t>–   נגד</w:t>
      </w:r>
    </w:p>
    <w:p w:rsidR="00BB59CD" w:rsidRDefault="00BB59CD" w:rsidP="00BB59CD">
      <w:pPr>
        <w:rPr>
          <w:rtl/>
        </w:rPr>
      </w:pPr>
      <w:r>
        <w:rPr>
          <w:rFonts w:hint="cs"/>
          <w:rtl/>
        </w:rPr>
        <w:t>רון כץ</w:t>
      </w:r>
      <w:r>
        <w:rPr>
          <w:rFonts w:hint="cs"/>
          <w:rtl/>
        </w:rPr>
        <w:tab/>
      </w:r>
      <w:r>
        <w:rPr>
          <w:rFonts w:hint="cs"/>
          <w:rtl/>
        </w:rPr>
        <w:tab/>
      </w:r>
      <w:r>
        <w:rPr>
          <w:rFonts w:hint="cs"/>
          <w:rtl/>
        </w:rPr>
        <w:tab/>
        <w:t>–   אינו נוכח</w:t>
      </w:r>
    </w:p>
    <w:p w:rsidR="00BB59CD" w:rsidRDefault="00BB59CD" w:rsidP="00BB59CD">
      <w:pPr>
        <w:rPr>
          <w:rtl/>
        </w:rPr>
      </w:pPr>
      <w:r>
        <w:rPr>
          <w:rFonts w:hint="cs"/>
          <w:rtl/>
        </w:rPr>
        <w:t>יוראי להב הרצנו</w:t>
      </w:r>
      <w:r>
        <w:rPr>
          <w:rFonts w:hint="cs"/>
          <w:rtl/>
        </w:rPr>
        <w:tab/>
      </w:r>
      <w:r>
        <w:rPr>
          <w:rFonts w:hint="cs"/>
          <w:rtl/>
        </w:rPr>
        <w:tab/>
        <w:t>–   בעד</w:t>
      </w:r>
    </w:p>
    <w:p w:rsidR="00BB59CD" w:rsidRDefault="00BB59CD" w:rsidP="00BB59CD">
      <w:pPr>
        <w:rPr>
          <w:rtl/>
        </w:rPr>
      </w:pPr>
      <w:r>
        <w:rPr>
          <w:rFonts w:hint="cs"/>
          <w:rtl/>
        </w:rPr>
        <w:t>מיקי לוי</w:t>
      </w:r>
      <w:r>
        <w:rPr>
          <w:rFonts w:hint="cs"/>
          <w:rtl/>
        </w:rPr>
        <w:tab/>
      </w:r>
      <w:r>
        <w:rPr>
          <w:rFonts w:hint="cs"/>
          <w:rtl/>
        </w:rPr>
        <w:tab/>
      </w:r>
      <w:r>
        <w:rPr>
          <w:rFonts w:hint="cs"/>
          <w:rtl/>
        </w:rPr>
        <w:tab/>
        <w:t>–   בעד</w:t>
      </w:r>
    </w:p>
    <w:p w:rsidR="00BB59CD" w:rsidRDefault="00BB59CD" w:rsidP="00BB59CD">
      <w:pPr>
        <w:rPr>
          <w:rtl/>
        </w:rPr>
      </w:pPr>
      <w:r>
        <w:rPr>
          <w:rFonts w:hint="cs"/>
          <w:rtl/>
        </w:rPr>
        <w:t>יריב לוין</w:t>
      </w:r>
      <w:r>
        <w:rPr>
          <w:rFonts w:hint="cs"/>
          <w:rtl/>
        </w:rPr>
        <w:tab/>
      </w:r>
      <w:r>
        <w:rPr>
          <w:rFonts w:hint="cs"/>
          <w:rtl/>
        </w:rPr>
        <w:tab/>
      </w:r>
      <w:r>
        <w:rPr>
          <w:rFonts w:hint="cs"/>
          <w:rtl/>
        </w:rPr>
        <w:tab/>
        <w:t>–   נגד</w:t>
      </w:r>
    </w:p>
    <w:p w:rsidR="00BB59CD" w:rsidRDefault="00BB59CD" w:rsidP="00BB59CD">
      <w:pPr>
        <w:rPr>
          <w:rtl/>
        </w:rPr>
      </w:pPr>
      <w:r>
        <w:rPr>
          <w:rFonts w:hint="cs"/>
          <w:rtl/>
        </w:rPr>
        <w:t>נעמה לזימי</w:t>
      </w:r>
      <w:r>
        <w:rPr>
          <w:rFonts w:hint="cs"/>
          <w:rtl/>
        </w:rPr>
        <w:tab/>
      </w:r>
      <w:r>
        <w:rPr>
          <w:rFonts w:hint="cs"/>
          <w:rtl/>
        </w:rPr>
        <w:tab/>
        <w:t>–   בעד</w:t>
      </w:r>
    </w:p>
    <w:p w:rsidR="00BB59CD" w:rsidRDefault="00BB59CD" w:rsidP="00BB59CD">
      <w:pPr>
        <w:rPr>
          <w:rtl/>
        </w:rPr>
      </w:pPr>
      <w:r>
        <w:rPr>
          <w:rFonts w:hint="cs"/>
          <w:rtl/>
        </w:rPr>
        <w:t>אביגדור ליברמן</w:t>
      </w:r>
      <w:r>
        <w:rPr>
          <w:rFonts w:hint="cs"/>
          <w:rtl/>
        </w:rPr>
        <w:tab/>
      </w:r>
      <w:r>
        <w:rPr>
          <w:rFonts w:hint="cs"/>
          <w:rtl/>
        </w:rPr>
        <w:tab/>
        <w:t>–   בעד</w:t>
      </w:r>
    </w:p>
    <w:p w:rsidR="00BB59CD" w:rsidRDefault="00BB59CD" w:rsidP="00BB59CD">
      <w:pPr>
        <w:rPr>
          <w:rtl/>
        </w:rPr>
      </w:pPr>
      <w:r>
        <w:rPr>
          <w:rFonts w:hint="cs"/>
          <w:rtl/>
        </w:rPr>
        <w:t>יאיר לפיד</w:t>
      </w:r>
      <w:r>
        <w:rPr>
          <w:rFonts w:hint="cs"/>
          <w:rtl/>
        </w:rPr>
        <w:tab/>
      </w:r>
      <w:r>
        <w:rPr>
          <w:rFonts w:hint="cs"/>
          <w:rtl/>
        </w:rPr>
        <w:tab/>
        <w:t>–   בעד</w:t>
      </w:r>
    </w:p>
    <w:p w:rsidR="00BB59CD" w:rsidRDefault="00BB59CD" w:rsidP="00BB59CD">
      <w:pPr>
        <w:rPr>
          <w:rtl/>
        </w:rPr>
      </w:pPr>
      <w:r>
        <w:rPr>
          <w:rFonts w:hint="cs"/>
          <w:rtl/>
        </w:rPr>
        <w:t>סימון מושיאשוילי</w:t>
      </w:r>
      <w:r>
        <w:rPr>
          <w:rFonts w:hint="cs"/>
          <w:rtl/>
        </w:rPr>
        <w:tab/>
      </w:r>
      <w:r>
        <w:rPr>
          <w:rFonts w:hint="cs"/>
          <w:rtl/>
        </w:rPr>
        <w:tab/>
        <w:t>–   נגד</w:t>
      </w:r>
    </w:p>
    <w:p w:rsidR="00BB59CD" w:rsidRDefault="00BB59CD" w:rsidP="00BB59CD">
      <w:pPr>
        <w:rPr>
          <w:rtl/>
        </w:rPr>
      </w:pPr>
      <w:r>
        <w:rPr>
          <w:rFonts w:hint="cs"/>
          <w:rtl/>
        </w:rPr>
        <w:t>טטיאנה מזרסקי</w:t>
      </w:r>
      <w:r>
        <w:rPr>
          <w:rFonts w:hint="cs"/>
          <w:rtl/>
        </w:rPr>
        <w:tab/>
      </w:r>
      <w:r>
        <w:rPr>
          <w:rFonts w:hint="cs"/>
          <w:rtl/>
        </w:rPr>
        <w:tab/>
        <w:t>–   בעד</w:t>
      </w:r>
    </w:p>
    <w:p w:rsidR="00BB59CD" w:rsidRDefault="00BB59CD" w:rsidP="00BB59CD">
      <w:pPr>
        <w:rPr>
          <w:rtl/>
        </w:rPr>
      </w:pPr>
      <w:r>
        <w:rPr>
          <w:rFonts w:hint="cs"/>
          <w:rtl/>
        </w:rPr>
        <w:t>מרב מיכאלי</w:t>
      </w:r>
      <w:r>
        <w:rPr>
          <w:rFonts w:hint="cs"/>
          <w:rtl/>
        </w:rPr>
        <w:tab/>
      </w:r>
      <w:r>
        <w:rPr>
          <w:rFonts w:hint="cs"/>
          <w:rtl/>
        </w:rPr>
        <w:tab/>
        <w:t>–   בעד</w:t>
      </w:r>
    </w:p>
    <w:p w:rsidR="00BB59CD" w:rsidRDefault="00BB59CD" w:rsidP="00BB59CD">
      <w:pPr>
        <w:rPr>
          <w:rtl/>
        </w:rPr>
      </w:pPr>
      <w:r>
        <w:rPr>
          <w:rFonts w:hint="cs"/>
          <w:rtl/>
        </w:rPr>
        <w:t>שלי טל מירון</w:t>
      </w:r>
      <w:r>
        <w:rPr>
          <w:rFonts w:hint="cs"/>
          <w:rtl/>
        </w:rPr>
        <w:tab/>
      </w:r>
      <w:r>
        <w:rPr>
          <w:rFonts w:hint="cs"/>
          <w:rtl/>
        </w:rPr>
        <w:tab/>
        <w:t>–   בעד</w:t>
      </w:r>
    </w:p>
    <w:p w:rsidR="00BB59CD" w:rsidRDefault="00BB59CD" w:rsidP="00BB59CD">
      <w:pPr>
        <w:rPr>
          <w:rtl/>
        </w:rPr>
      </w:pPr>
      <w:r>
        <w:rPr>
          <w:rFonts w:hint="cs"/>
          <w:rtl/>
        </w:rPr>
        <w:t>יונתן מישרקי</w:t>
      </w:r>
      <w:r>
        <w:rPr>
          <w:rFonts w:hint="cs"/>
          <w:rtl/>
        </w:rPr>
        <w:tab/>
      </w:r>
      <w:r>
        <w:rPr>
          <w:rFonts w:hint="cs"/>
          <w:rtl/>
        </w:rPr>
        <w:tab/>
        <w:t>–   נגד</w:t>
      </w:r>
    </w:p>
    <w:p w:rsidR="00BB59CD" w:rsidRDefault="00BB59CD" w:rsidP="00BB59CD">
      <w:pPr>
        <w:rPr>
          <w:rtl/>
        </w:rPr>
      </w:pPr>
      <w:r>
        <w:rPr>
          <w:rFonts w:hint="cs"/>
          <w:rtl/>
        </w:rPr>
        <w:t>חנוך דב מלביצקי</w:t>
      </w:r>
      <w:r>
        <w:rPr>
          <w:rFonts w:hint="cs"/>
          <w:rtl/>
        </w:rPr>
        <w:tab/>
      </w:r>
      <w:r>
        <w:rPr>
          <w:rFonts w:hint="cs"/>
          <w:rtl/>
        </w:rPr>
        <w:tab/>
        <w:t>–   נגד</w:t>
      </w:r>
    </w:p>
    <w:p w:rsidR="00BB59CD" w:rsidRDefault="00BB59CD" w:rsidP="00BB59CD">
      <w:pPr>
        <w:rPr>
          <w:rtl/>
        </w:rPr>
      </w:pPr>
      <w:r>
        <w:rPr>
          <w:rFonts w:hint="cs"/>
          <w:rtl/>
        </w:rPr>
        <w:t>ארז מלול</w:t>
      </w:r>
      <w:r>
        <w:rPr>
          <w:rFonts w:hint="cs"/>
          <w:rtl/>
        </w:rPr>
        <w:tab/>
      </w:r>
      <w:r>
        <w:rPr>
          <w:rFonts w:hint="cs"/>
          <w:rtl/>
        </w:rPr>
        <w:tab/>
        <w:t>–   נגד</w:t>
      </w:r>
    </w:p>
    <w:p w:rsidR="00BB59CD" w:rsidRDefault="00BB59CD" w:rsidP="00BB59CD">
      <w:pPr>
        <w:rPr>
          <w:rtl/>
        </w:rPr>
      </w:pPr>
      <w:r>
        <w:rPr>
          <w:rFonts w:hint="cs"/>
          <w:rtl/>
        </w:rPr>
        <w:t>יוליה מלינובסקי</w:t>
      </w:r>
      <w:r>
        <w:rPr>
          <w:rFonts w:hint="cs"/>
          <w:rtl/>
        </w:rPr>
        <w:tab/>
      </w:r>
      <w:r>
        <w:rPr>
          <w:rFonts w:hint="cs"/>
          <w:rtl/>
        </w:rPr>
        <w:tab/>
        <w:t>–   בעד</w:t>
      </w:r>
    </w:p>
    <w:p w:rsidR="00BB59CD" w:rsidRDefault="00BB59CD" w:rsidP="00BB59CD">
      <w:pPr>
        <w:rPr>
          <w:rtl/>
        </w:rPr>
      </w:pPr>
      <w:r>
        <w:rPr>
          <w:rFonts w:hint="cs"/>
          <w:rtl/>
        </w:rPr>
        <w:t>מיכאל מלכיאלי</w:t>
      </w:r>
      <w:r>
        <w:rPr>
          <w:rFonts w:hint="cs"/>
          <w:rtl/>
        </w:rPr>
        <w:tab/>
      </w:r>
      <w:r>
        <w:rPr>
          <w:rFonts w:hint="cs"/>
          <w:rtl/>
        </w:rPr>
        <w:tab/>
        <w:t>–   נגד</w:t>
      </w:r>
    </w:p>
    <w:p w:rsidR="00BB59CD" w:rsidRDefault="00BB59CD" w:rsidP="00BB59CD">
      <w:pPr>
        <w:rPr>
          <w:rtl/>
        </w:rPr>
      </w:pPr>
      <w:r>
        <w:rPr>
          <w:rFonts w:hint="cs"/>
          <w:rtl/>
        </w:rPr>
        <w:t>צגה מלקו</w:t>
      </w:r>
      <w:r>
        <w:rPr>
          <w:rFonts w:hint="cs"/>
          <w:rtl/>
        </w:rPr>
        <w:tab/>
      </w:r>
      <w:r>
        <w:rPr>
          <w:rFonts w:hint="cs"/>
          <w:rtl/>
        </w:rPr>
        <w:tab/>
        <w:t>–   נגד</w:t>
      </w:r>
    </w:p>
    <w:p w:rsidR="00BB59CD" w:rsidRDefault="00BB59CD" w:rsidP="00BB59CD">
      <w:pPr>
        <w:rPr>
          <w:rtl/>
        </w:rPr>
      </w:pPr>
      <w:r>
        <w:rPr>
          <w:rFonts w:hint="cs"/>
          <w:rtl/>
        </w:rPr>
        <w:t>אבי מעוז</w:t>
      </w:r>
      <w:r>
        <w:rPr>
          <w:rFonts w:hint="cs"/>
          <w:rtl/>
        </w:rPr>
        <w:tab/>
      </w:r>
      <w:r>
        <w:rPr>
          <w:rFonts w:hint="cs"/>
          <w:rtl/>
        </w:rPr>
        <w:tab/>
        <w:t>–   נגד</w:t>
      </w:r>
    </w:p>
    <w:p w:rsidR="00BB59CD" w:rsidRDefault="00BB59CD" w:rsidP="00BB59CD">
      <w:pPr>
        <w:rPr>
          <w:rtl/>
        </w:rPr>
      </w:pPr>
      <w:r>
        <w:rPr>
          <w:rFonts w:hint="cs"/>
          <w:rtl/>
        </w:rPr>
        <w:t>שרון ניר</w:t>
      </w:r>
      <w:r>
        <w:rPr>
          <w:rFonts w:hint="cs"/>
          <w:rtl/>
        </w:rPr>
        <w:tab/>
      </w:r>
      <w:r>
        <w:rPr>
          <w:rFonts w:hint="cs"/>
          <w:rtl/>
        </w:rPr>
        <w:tab/>
      </w:r>
      <w:r>
        <w:rPr>
          <w:rFonts w:hint="cs"/>
          <w:rtl/>
        </w:rPr>
        <w:tab/>
        <w:t>–   בעד</w:t>
      </w:r>
    </w:p>
    <w:p w:rsidR="00BB59CD" w:rsidRDefault="00BB59CD" w:rsidP="00BB59CD">
      <w:pPr>
        <w:rPr>
          <w:rtl/>
        </w:rPr>
      </w:pPr>
      <w:r>
        <w:rPr>
          <w:rFonts w:hint="cs"/>
          <w:rtl/>
        </w:rPr>
        <w:t>בנימין נתניהו</w:t>
      </w:r>
      <w:r>
        <w:rPr>
          <w:rFonts w:hint="cs"/>
          <w:rtl/>
        </w:rPr>
        <w:tab/>
      </w:r>
      <w:r>
        <w:rPr>
          <w:rFonts w:hint="cs"/>
          <w:rtl/>
        </w:rPr>
        <w:tab/>
        <w:t xml:space="preserve">–   אינו </w:t>
      </w:r>
      <w:bookmarkStart w:id="83678" w:name="_ETM_Q177_606428"/>
      <w:bookmarkEnd w:id="83678"/>
      <w:r>
        <w:rPr>
          <w:rFonts w:hint="cs"/>
          <w:rtl/>
        </w:rPr>
        <w:t>נוכח</w:t>
      </w:r>
    </w:p>
    <w:p w:rsidR="00BB59CD" w:rsidRDefault="00BB59CD" w:rsidP="00BB59CD">
      <w:pPr>
        <w:rPr>
          <w:rtl/>
        </w:rPr>
      </w:pPr>
      <w:r>
        <w:rPr>
          <w:rFonts w:hint="cs"/>
          <w:rtl/>
        </w:rPr>
        <w:t>יואב סגלוביץ'</w:t>
      </w:r>
      <w:r>
        <w:rPr>
          <w:rFonts w:hint="cs"/>
          <w:rtl/>
        </w:rPr>
        <w:tab/>
      </w:r>
      <w:r>
        <w:rPr>
          <w:rFonts w:hint="cs"/>
          <w:rtl/>
        </w:rPr>
        <w:tab/>
        <w:t>–   אינו נוכח</w:t>
      </w:r>
    </w:p>
    <w:p w:rsidR="00BB59CD" w:rsidRDefault="00BB59CD" w:rsidP="00BB59CD">
      <w:pPr>
        <w:rPr>
          <w:rtl/>
        </w:rPr>
      </w:pPr>
      <w:r>
        <w:rPr>
          <w:rFonts w:hint="cs"/>
          <w:rtl/>
        </w:rPr>
        <w:t>יבגני סובה</w:t>
      </w:r>
      <w:r>
        <w:rPr>
          <w:rFonts w:hint="cs"/>
          <w:rtl/>
        </w:rPr>
        <w:tab/>
      </w:r>
      <w:r>
        <w:rPr>
          <w:rFonts w:hint="cs"/>
          <w:rtl/>
        </w:rPr>
        <w:tab/>
        <w:t>–   בעד</w:t>
      </w:r>
    </w:p>
    <w:p w:rsidR="00BB59CD" w:rsidRDefault="00BB59CD" w:rsidP="00BB59CD">
      <w:pPr>
        <w:rPr>
          <w:rtl/>
        </w:rPr>
      </w:pPr>
      <w:r>
        <w:rPr>
          <w:rFonts w:hint="cs"/>
          <w:rtl/>
        </w:rPr>
        <w:t>צבי ידידיה סוכות</w:t>
      </w:r>
      <w:r>
        <w:rPr>
          <w:rFonts w:hint="cs"/>
          <w:rtl/>
        </w:rPr>
        <w:tab/>
      </w:r>
      <w:r>
        <w:rPr>
          <w:rFonts w:hint="cs"/>
          <w:rtl/>
        </w:rPr>
        <w:tab/>
        <w:t>–   נגד</w:t>
      </w:r>
    </w:p>
    <w:p w:rsidR="00BB59CD" w:rsidRDefault="00BB59CD" w:rsidP="00BB59CD">
      <w:pPr>
        <w:rPr>
          <w:rtl/>
        </w:rPr>
      </w:pPr>
      <w:r>
        <w:rPr>
          <w:rFonts w:hint="cs"/>
          <w:rtl/>
        </w:rPr>
        <w:t>משה סולומון</w:t>
      </w:r>
      <w:r>
        <w:rPr>
          <w:rFonts w:hint="cs"/>
          <w:rtl/>
        </w:rPr>
        <w:tab/>
      </w:r>
      <w:r>
        <w:rPr>
          <w:rFonts w:hint="cs"/>
          <w:rtl/>
        </w:rPr>
        <w:tab/>
        <w:t>–   נגד</w:t>
      </w:r>
    </w:p>
    <w:p w:rsidR="00BB59CD" w:rsidRDefault="00BB59CD" w:rsidP="00BB59CD">
      <w:pPr>
        <w:rPr>
          <w:rtl/>
        </w:rPr>
      </w:pPr>
      <w:r>
        <w:rPr>
          <w:rFonts w:hint="cs"/>
          <w:rtl/>
        </w:rPr>
        <w:t>לימור סון הר מלך</w:t>
      </w:r>
      <w:r>
        <w:rPr>
          <w:rFonts w:hint="cs"/>
          <w:rtl/>
        </w:rPr>
        <w:tab/>
        <w:t>–   נגד</w:t>
      </w:r>
    </w:p>
    <w:p w:rsidR="00BB59CD" w:rsidRDefault="00BB59CD" w:rsidP="00BB59CD">
      <w:pPr>
        <w:rPr>
          <w:rtl/>
        </w:rPr>
      </w:pPr>
      <w:r>
        <w:rPr>
          <w:rFonts w:hint="cs"/>
          <w:rtl/>
        </w:rPr>
        <w:t>אופיר סופר</w:t>
      </w:r>
      <w:r>
        <w:rPr>
          <w:rFonts w:hint="cs"/>
          <w:rtl/>
        </w:rPr>
        <w:tab/>
      </w:r>
      <w:r>
        <w:rPr>
          <w:rFonts w:hint="cs"/>
          <w:rtl/>
        </w:rPr>
        <w:tab/>
        <w:t>–   נגד</w:t>
      </w:r>
    </w:p>
    <w:p w:rsidR="00BB59CD" w:rsidRDefault="00BB59CD" w:rsidP="00BB59CD">
      <w:pPr>
        <w:rPr>
          <w:rtl/>
        </w:rPr>
      </w:pPr>
      <w:r>
        <w:rPr>
          <w:rFonts w:hint="cs"/>
          <w:rtl/>
        </w:rPr>
        <w:t>אורית מלכה סטרוק</w:t>
      </w:r>
      <w:r>
        <w:rPr>
          <w:rFonts w:hint="cs"/>
          <w:rtl/>
        </w:rPr>
        <w:tab/>
        <w:t>–   נגד</w:t>
      </w:r>
    </w:p>
    <w:p w:rsidR="00BB59CD" w:rsidRDefault="00BB59CD" w:rsidP="00BB59CD">
      <w:pPr>
        <w:rPr>
          <w:rtl/>
        </w:rPr>
      </w:pPr>
      <w:r>
        <w:rPr>
          <w:rFonts w:hint="cs"/>
          <w:rtl/>
        </w:rPr>
        <w:t>משה סעדה</w:t>
      </w:r>
      <w:r>
        <w:rPr>
          <w:rFonts w:hint="cs"/>
          <w:rtl/>
        </w:rPr>
        <w:tab/>
      </w:r>
      <w:r>
        <w:rPr>
          <w:rFonts w:hint="cs"/>
          <w:rtl/>
        </w:rPr>
        <w:tab/>
        <w:t>–   נגד</w:t>
      </w:r>
    </w:p>
    <w:p w:rsidR="00BB59CD" w:rsidRDefault="00BB59CD" w:rsidP="00BB59CD">
      <w:pPr>
        <w:rPr>
          <w:rtl/>
        </w:rPr>
      </w:pPr>
      <w:r>
        <w:rPr>
          <w:rFonts w:hint="cs"/>
          <w:rtl/>
        </w:rPr>
        <w:t>גדעון סער</w:t>
      </w:r>
      <w:r>
        <w:rPr>
          <w:rFonts w:hint="cs"/>
          <w:rtl/>
        </w:rPr>
        <w:tab/>
      </w:r>
      <w:r>
        <w:rPr>
          <w:rFonts w:hint="cs"/>
          <w:rtl/>
        </w:rPr>
        <w:tab/>
        <w:t>–   בעד</w:t>
      </w:r>
    </w:p>
    <w:p w:rsidR="00BB59CD" w:rsidRDefault="00BB59CD" w:rsidP="00BB59CD">
      <w:pPr>
        <w:rPr>
          <w:rtl/>
        </w:rPr>
      </w:pPr>
      <w:r>
        <w:rPr>
          <w:rFonts w:hint="cs"/>
          <w:rtl/>
        </w:rPr>
        <w:t>מנסור עבאס</w:t>
      </w:r>
      <w:r>
        <w:rPr>
          <w:rFonts w:hint="cs"/>
          <w:rtl/>
        </w:rPr>
        <w:tab/>
      </w:r>
      <w:r>
        <w:rPr>
          <w:rFonts w:hint="cs"/>
          <w:rtl/>
        </w:rPr>
        <w:tab/>
        <w:t>–   בעד</w:t>
      </w:r>
    </w:p>
    <w:p w:rsidR="00BB59CD" w:rsidRDefault="00BB59CD" w:rsidP="00BB59CD">
      <w:pPr>
        <w:rPr>
          <w:rtl/>
        </w:rPr>
      </w:pPr>
      <w:r>
        <w:rPr>
          <w:rFonts w:hint="cs"/>
          <w:rtl/>
        </w:rPr>
        <w:t>איימן עודה</w:t>
      </w:r>
      <w:r>
        <w:rPr>
          <w:rFonts w:hint="cs"/>
          <w:rtl/>
        </w:rPr>
        <w:tab/>
      </w:r>
      <w:r>
        <w:rPr>
          <w:rFonts w:hint="cs"/>
          <w:rtl/>
        </w:rPr>
        <w:tab/>
        <w:t>–   בעד</w:t>
      </w:r>
    </w:p>
    <w:p w:rsidR="00BB59CD" w:rsidRDefault="00BB59CD" w:rsidP="00BB59CD">
      <w:pPr>
        <w:rPr>
          <w:rtl/>
        </w:rPr>
      </w:pPr>
      <w:r>
        <w:rPr>
          <w:rFonts w:hint="cs"/>
          <w:rtl/>
        </w:rPr>
        <w:t>יוסף עטאונה</w:t>
      </w:r>
      <w:r>
        <w:rPr>
          <w:rFonts w:hint="cs"/>
          <w:rtl/>
        </w:rPr>
        <w:tab/>
      </w:r>
      <w:r>
        <w:rPr>
          <w:rFonts w:hint="cs"/>
          <w:rtl/>
        </w:rPr>
        <w:tab/>
        <w:t>–   בעד</w:t>
      </w:r>
    </w:p>
    <w:p w:rsidR="00BB59CD" w:rsidRDefault="00BB59CD" w:rsidP="00BB59CD">
      <w:pPr>
        <w:rPr>
          <w:rtl/>
        </w:rPr>
      </w:pPr>
      <w:r>
        <w:rPr>
          <w:rFonts w:hint="cs"/>
          <w:rtl/>
        </w:rPr>
        <w:t>חוה אתי עטייה</w:t>
      </w:r>
      <w:r>
        <w:rPr>
          <w:rFonts w:hint="cs"/>
          <w:rtl/>
        </w:rPr>
        <w:tab/>
      </w:r>
      <w:r>
        <w:rPr>
          <w:rFonts w:hint="cs"/>
          <w:rtl/>
        </w:rPr>
        <w:tab/>
        <w:t>–   נגד</w:t>
      </w:r>
    </w:p>
    <w:p w:rsidR="00BB59CD" w:rsidRDefault="00BB59CD" w:rsidP="00BB59CD">
      <w:pPr>
        <w:rPr>
          <w:rtl/>
        </w:rPr>
      </w:pPr>
      <w:r>
        <w:rPr>
          <w:rFonts w:hint="cs"/>
          <w:rtl/>
        </w:rPr>
        <w:t>חמד עמאר</w:t>
      </w:r>
      <w:r>
        <w:rPr>
          <w:rFonts w:hint="cs"/>
          <w:rtl/>
        </w:rPr>
        <w:tab/>
      </w:r>
      <w:r>
        <w:rPr>
          <w:rFonts w:hint="cs"/>
          <w:rtl/>
        </w:rPr>
        <w:tab/>
        <w:t>–   בעד</w:t>
      </w:r>
    </w:p>
    <w:p w:rsidR="00BB59CD" w:rsidRDefault="00BB59CD" w:rsidP="00BB59CD">
      <w:pPr>
        <w:rPr>
          <w:rtl/>
        </w:rPr>
      </w:pPr>
      <w:r>
        <w:rPr>
          <w:rFonts w:hint="cs"/>
          <w:rtl/>
        </w:rPr>
        <w:t>צביקה פוגל</w:t>
      </w:r>
      <w:r>
        <w:rPr>
          <w:rFonts w:hint="cs"/>
          <w:rtl/>
        </w:rPr>
        <w:tab/>
      </w:r>
      <w:r>
        <w:rPr>
          <w:rFonts w:hint="cs"/>
          <w:rtl/>
        </w:rPr>
        <w:tab/>
        <w:t>–   נגד</w:t>
      </w:r>
    </w:p>
    <w:p w:rsidR="00BB59CD" w:rsidRDefault="00BB59CD" w:rsidP="00BB59CD">
      <w:pPr>
        <w:rPr>
          <w:rtl/>
        </w:rPr>
      </w:pPr>
      <w:r>
        <w:rPr>
          <w:rFonts w:hint="cs"/>
          <w:rtl/>
        </w:rPr>
        <w:t>עודד פורר</w:t>
      </w:r>
      <w:r>
        <w:rPr>
          <w:rFonts w:hint="cs"/>
          <w:rtl/>
        </w:rPr>
        <w:tab/>
      </w:r>
      <w:r>
        <w:rPr>
          <w:rFonts w:hint="cs"/>
          <w:rtl/>
        </w:rPr>
        <w:tab/>
        <w:t>–   בעד</w:t>
      </w:r>
    </w:p>
    <w:p w:rsidR="00BB59CD" w:rsidRDefault="00BB59CD" w:rsidP="00BB59CD">
      <w:pPr>
        <w:rPr>
          <w:rtl/>
        </w:rPr>
      </w:pPr>
      <w:r>
        <w:rPr>
          <w:rFonts w:hint="cs"/>
          <w:rtl/>
        </w:rPr>
        <w:t>יצחק פינדרוס</w:t>
      </w:r>
      <w:r>
        <w:rPr>
          <w:rFonts w:hint="cs"/>
          <w:rtl/>
        </w:rPr>
        <w:tab/>
      </w:r>
      <w:r>
        <w:rPr>
          <w:rFonts w:hint="cs"/>
          <w:rtl/>
        </w:rPr>
        <w:tab/>
        <w:t>–   נגד</w:t>
      </w:r>
    </w:p>
    <w:p w:rsidR="00BB59CD" w:rsidRDefault="00BB59CD" w:rsidP="00BB59CD">
      <w:pPr>
        <w:rPr>
          <w:rtl/>
        </w:rPr>
      </w:pPr>
      <w:r>
        <w:rPr>
          <w:rFonts w:hint="cs"/>
          <w:rtl/>
        </w:rPr>
        <w:t>משה פסל</w:t>
      </w:r>
      <w:r>
        <w:rPr>
          <w:rFonts w:hint="cs"/>
          <w:rtl/>
        </w:rPr>
        <w:tab/>
      </w:r>
      <w:r>
        <w:rPr>
          <w:rFonts w:hint="cs"/>
          <w:rtl/>
        </w:rPr>
        <w:tab/>
        <w:t>–   נגד</w:t>
      </w:r>
    </w:p>
    <w:p w:rsidR="00BB59CD" w:rsidRDefault="00BB59CD" w:rsidP="00BB59CD">
      <w:pPr>
        <w:rPr>
          <w:rtl/>
        </w:rPr>
      </w:pPr>
      <w:r>
        <w:rPr>
          <w:rFonts w:hint="cs"/>
          <w:rtl/>
        </w:rPr>
        <w:t>יסמין פרידמן</w:t>
      </w:r>
      <w:r>
        <w:rPr>
          <w:rFonts w:hint="cs"/>
          <w:rtl/>
        </w:rPr>
        <w:tab/>
      </w:r>
      <w:r>
        <w:rPr>
          <w:rFonts w:hint="cs"/>
          <w:rtl/>
        </w:rPr>
        <w:tab/>
        <w:t>–   אינה נוכחת</w:t>
      </w:r>
    </w:p>
    <w:p w:rsidR="00BB59CD" w:rsidRDefault="00BB59CD" w:rsidP="00BB59CD">
      <w:pPr>
        <w:rPr>
          <w:rtl/>
        </w:rPr>
      </w:pPr>
      <w:r>
        <w:rPr>
          <w:rFonts w:hint="cs"/>
          <w:rtl/>
        </w:rPr>
        <w:t>אורית פרקש הכהן</w:t>
      </w:r>
      <w:r>
        <w:rPr>
          <w:rFonts w:hint="cs"/>
          <w:rtl/>
        </w:rPr>
        <w:tab/>
        <w:t>–   בעד</w:t>
      </w:r>
    </w:p>
    <w:p w:rsidR="00BB59CD" w:rsidRDefault="00BB59CD" w:rsidP="00BB59CD">
      <w:pPr>
        <w:rPr>
          <w:rtl/>
        </w:rPr>
      </w:pPr>
      <w:r>
        <w:rPr>
          <w:rFonts w:hint="cs"/>
          <w:rtl/>
        </w:rPr>
        <w:t>מטי צרפתי הרכבי</w:t>
      </w:r>
      <w:r>
        <w:rPr>
          <w:rFonts w:hint="cs"/>
          <w:rtl/>
        </w:rPr>
        <w:tab/>
        <w:t>–   בעד</w:t>
      </w:r>
    </w:p>
    <w:p w:rsidR="00BB59CD" w:rsidRDefault="00BB59CD" w:rsidP="00BB59CD">
      <w:pPr>
        <w:rPr>
          <w:rtl/>
        </w:rPr>
      </w:pPr>
      <w:r>
        <w:rPr>
          <w:rFonts w:hint="cs"/>
          <w:rtl/>
        </w:rPr>
        <w:t>אריאל קלנר</w:t>
      </w:r>
      <w:r>
        <w:rPr>
          <w:rFonts w:hint="cs"/>
          <w:rtl/>
        </w:rPr>
        <w:tab/>
      </w:r>
      <w:r>
        <w:rPr>
          <w:rFonts w:hint="cs"/>
          <w:rtl/>
        </w:rPr>
        <w:tab/>
        <w:t>–   נגד</w:t>
      </w:r>
    </w:p>
    <w:p w:rsidR="00BB59CD" w:rsidRDefault="00BB59CD" w:rsidP="00BB59CD">
      <w:pPr>
        <w:rPr>
          <w:rtl/>
        </w:rPr>
      </w:pPr>
      <w:r>
        <w:rPr>
          <w:rFonts w:hint="cs"/>
          <w:rtl/>
        </w:rPr>
        <w:t>יצחק קרויזר</w:t>
      </w:r>
      <w:r>
        <w:rPr>
          <w:rFonts w:hint="cs"/>
          <w:rtl/>
        </w:rPr>
        <w:tab/>
      </w:r>
      <w:r>
        <w:rPr>
          <w:rFonts w:hint="cs"/>
          <w:rtl/>
        </w:rPr>
        <w:tab/>
        <w:t>–   נגד</w:t>
      </w:r>
    </w:p>
    <w:p w:rsidR="00BB59CD" w:rsidRDefault="00BB59CD" w:rsidP="00BB59CD">
      <w:pPr>
        <w:rPr>
          <w:rtl/>
        </w:rPr>
      </w:pPr>
      <w:r>
        <w:rPr>
          <w:rFonts w:hint="cs"/>
          <w:rtl/>
        </w:rPr>
        <w:t>גלעד קריב</w:t>
      </w:r>
      <w:r>
        <w:rPr>
          <w:rFonts w:hint="cs"/>
          <w:rtl/>
        </w:rPr>
        <w:tab/>
      </w:r>
      <w:r>
        <w:rPr>
          <w:rFonts w:hint="cs"/>
          <w:rtl/>
        </w:rPr>
        <w:tab/>
        <w:t>–   בעד</w:t>
      </w:r>
    </w:p>
    <w:p w:rsidR="00BB59CD" w:rsidRDefault="00BB59CD" w:rsidP="00BB59CD">
      <w:pPr>
        <w:rPr>
          <w:rtl/>
        </w:rPr>
      </w:pPr>
      <w:r>
        <w:rPr>
          <w:rFonts w:hint="cs"/>
          <w:rtl/>
        </w:rPr>
        <w:t>שלמה קרעי</w:t>
      </w:r>
      <w:r>
        <w:rPr>
          <w:rFonts w:hint="cs"/>
          <w:rtl/>
        </w:rPr>
        <w:tab/>
      </w:r>
      <w:r>
        <w:rPr>
          <w:rFonts w:hint="cs"/>
          <w:rtl/>
        </w:rPr>
        <w:tab/>
        <w:t>–   נגד</w:t>
      </w:r>
    </w:p>
    <w:p w:rsidR="00BB59CD" w:rsidRDefault="00BB59CD" w:rsidP="00BB59CD">
      <w:pPr>
        <w:rPr>
          <w:rtl/>
        </w:rPr>
      </w:pPr>
      <w:r>
        <w:rPr>
          <w:rFonts w:hint="cs"/>
          <w:rtl/>
        </w:rPr>
        <w:t>אליהו רביבו</w:t>
      </w:r>
      <w:r>
        <w:rPr>
          <w:rFonts w:hint="cs"/>
          <w:rtl/>
        </w:rPr>
        <w:tab/>
      </w:r>
      <w:r>
        <w:rPr>
          <w:rFonts w:hint="cs"/>
          <w:rtl/>
        </w:rPr>
        <w:tab/>
        <w:t>–   נגד</w:t>
      </w:r>
    </w:p>
    <w:p w:rsidR="00BB59CD" w:rsidRDefault="00BB59CD" w:rsidP="00BB59CD">
      <w:pPr>
        <w:rPr>
          <w:rtl/>
        </w:rPr>
      </w:pPr>
      <w:r>
        <w:rPr>
          <w:rFonts w:hint="cs"/>
          <w:rtl/>
        </w:rPr>
        <w:t>משה רוט</w:t>
      </w:r>
      <w:r>
        <w:rPr>
          <w:rFonts w:hint="cs"/>
          <w:rtl/>
        </w:rPr>
        <w:tab/>
      </w:r>
      <w:r>
        <w:rPr>
          <w:rFonts w:hint="cs"/>
          <w:rtl/>
        </w:rPr>
        <w:tab/>
        <w:t>–   נגד</w:t>
      </w:r>
    </w:p>
    <w:p w:rsidR="00BB59CD" w:rsidRDefault="00BB59CD" w:rsidP="00BB59CD">
      <w:pPr>
        <w:rPr>
          <w:rtl/>
        </w:rPr>
      </w:pPr>
      <w:r>
        <w:rPr>
          <w:rFonts w:hint="cs"/>
          <w:rtl/>
        </w:rPr>
        <w:t>שמחה רוטמן</w:t>
      </w:r>
      <w:r>
        <w:rPr>
          <w:rFonts w:hint="cs"/>
          <w:rtl/>
        </w:rPr>
        <w:tab/>
      </w:r>
      <w:r>
        <w:rPr>
          <w:rFonts w:hint="cs"/>
          <w:rtl/>
        </w:rPr>
        <w:tab/>
        <w:t>–   נגד</w:t>
      </w:r>
    </w:p>
    <w:p w:rsidR="00BB59CD" w:rsidRDefault="00BB59CD" w:rsidP="00BB59CD">
      <w:pPr>
        <w:rPr>
          <w:rtl/>
        </w:rPr>
      </w:pPr>
      <w:r>
        <w:rPr>
          <w:rFonts w:hint="cs"/>
          <w:rtl/>
        </w:rPr>
        <w:t>עידן רול</w:t>
      </w:r>
      <w:r>
        <w:rPr>
          <w:rFonts w:hint="cs"/>
          <w:rtl/>
        </w:rPr>
        <w:tab/>
      </w:r>
      <w:r>
        <w:rPr>
          <w:rFonts w:hint="cs"/>
          <w:rtl/>
        </w:rPr>
        <w:tab/>
      </w:r>
      <w:r>
        <w:rPr>
          <w:rFonts w:hint="cs"/>
          <w:rtl/>
        </w:rPr>
        <w:tab/>
        <w:t>–   בעד</w:t>
      </w:r>
    </w:p>
    <w:p w:rsidR="00BB59CD" w:rsidRDefault="00BB59CD" w:rsidP="00BB59CD">
      <w:pPr>
        <w:rPr>
          <w:rtl/>
        </w:rPr>
      </w:pPr>
      <w:r>
        <w:rPr>
          <w:rFonts w:hint="cs"/>
          <w:rtl/>
        </w:rPr>
        <w:t>אפרת רייטן מרום</w:t>
      </w:r>
      <w:r>
        <w:rPr>
          <w:rFonts w:hint="cs"/>
          <w:rtl/>
        </w:rPr>
        <w:tab/>
        <w:t>–   בעד</w:t>
      </w:r>
    </w:p>
    <w:p w:rsidR="00BB59CD" w:rsidRDefault="00BB59CD" w:rsidP="00BB59CD">
      <w:pPr>
        <w:rPr>
          <w:rtl/>
        </w:rPr>
      </w:pPr>
      <w:r>
        <w:rPr>
          <w:rFonts w:hint="cs"/>
          <w:rtl/>
        </w:rPr>
        <w:t>יפעת שאשא ביטון</w:t>
      </w:r>
      <w:r>
        <w:rPr>
          <w:rFonts w:hint="cs"/>
          <w:rtl/>
        </w:rPr>
        <w:tab/>
        <w:t>–   בעד</w:t>
      </w:r>
    </w:p>
    <w:p w:rsidR="00BB59CD" w:rsidRDefault="00BB59CD" w:rsidP="00BB59CD">
      <w:pPr>
        <w:rPr>
          <w:rtl/>
        </w:rPr>
      </w:pPr>
      <w:r>
        <w:rPr>
          <w:rFonts w:hint="cs"/>
          <w:rtl/>
        </w:rPr>
        <w:t>אלון שוסטר</w:t>
      </w:r>
      <w:r>
        <w:rPr>
          <w:rFonts w:hint="cs"/>
          <w:rtl/>
        </w:rPr>
        <w:tab/>
      </w:r>
      <w:r>
        <w:rPr>
          <w:rFonts w:hint="cs"/>
          <w:rtl/>
        </w:rPr>
        <w:tab/>
        <w:t>–   אינו נוכח</w:t>
      </w:r>
    </w:p>
    <w:p w:rsidR="00BB59CD" w:rsidRDefault="00BB59CD" w:rsidP="00BB59CD">
      <w:pPr>
        <w:rPr>
          <w:rtl/>
        </w:rPr>
      </w:pPr>
      <w:r>
        <w:rPr>
          <w:rFonts w:hint="cs"/>
          <w:rtl/>
        </w:rPr>
        <w:t>קטי קטרין שטרית</w:t>
      </w:r>
      <w:r>
        <w:rPr>
          <w:rFonts w:hint="cs"/>
          <w:rtl/>
        </w:rPr>
        <w:tab/>
        <w:t>–   נגד</w:t>
      </w:r>
    </w:p>
    <w:p w:rsidR="00BB59CD" w:rsidRDefault="00BB59CD" w:rsidP="00BB59CD">
      <w:pPr>
        <w:rPr>
          <w:rtl/>
        </w:rPr>
      </w:pPr>
      <w:r>
        <w:rPr>
          <w:rFonts w:hint="cs"/>
          <w:rtl/>
        </w:rPr>
        <w:t>אלעזר שטרן</w:t>
      </w:r>
      <w:r>
        <w:rPr>
          <w:rFonts w:hint="cs"/>
          <w:rtl/>
        </w:rPr>
        <w:tab/>
      </w:r>
      <w:r>
        <w:rPr>
          <w:rFonts w:hint="cs"/>
          <w:rtl/>
        </w:rPr>
        <w:tab/>
        <w:t>–   בעד</w:t>
      </w:r>
    </w:p>
    <w:p w:rsidR="00BB59CD" w:rsidRDefault="00BB59CD" w:rsidP="00BB59CD">
      <w:pPr>
        <w:rPr>
          <w:rtl/>
        </w:rPr>
      </w:pPr>
      <w:r>
        <w:rPr>
          <w:rFonts w:hint="cs"/>
          <w:rtl/>
        </w:rPr>
        <w:t>מיכל שיר סגמן</w:t>
      </w:r>
      <w:r>
        <w:rPr>
          <w:rFonts w:hint="cs"/>
          <w:rtl/>
        </w:rPr>
        <w:tab/>
      </w:r>
      <w:r>
        <w:rPr>
          <w:rFonts w:hint="cs"/>
          <w:rtl/>
        </w:rPr>
        <w:tab/>
        <w:t>–   בעד</w:t>
      </w:r>
    </w:p>
    <w:p w:rsidR="00BB59CD" w:rsidRDefault="00BB59CD" w:rsidP="00BB59CD">
      <w:pPr>
        <w:rPr>
          <w:rtl/>
        </w:rPr>
      </w:pPr>
      <w:r>
        <w:rPr>
          <w:rFonts w:hint="cs"/>
          <w:rtl/>
        </w:rPr>
        <w:t>נאור שירי</w:t>
      </w:r>
      <w:r>
        <w:rPr>
          <w:rFonts w:hint="cs"/>
          <w:rtl/>
        </w:rPr>
        <w:tab/>
      </w:r>
      <w:r>
        <w:rPr>
          <w:rFonts w:hint="cs"/>
          <w:rtl/>
        </w:rPr>
        <w:tab/>
        <w:t>–   בעד</w:t>
      </w:r>
    </w:p>
    <w:p w:rsidR="00BB59CD" w:rsidRDefault="00BB59CD" w:rsidP="00BB59CD">
      <w:pPr>
        <w:rPr>
          <w:rtl/>
        </w:rPr>
      </w:pPr>
      <w:r>
        <w:rPr>
          <w:rFonts w:hint="cs"/>
          <w:rtl/>
        </w:rPr>
        <w:t>אושר שקלים</w:t>
      </w:r>
      <w:r>
        <w:rPr>
          <w:rFonts w:hint="cs"/>
          <w:rtl/>
        </w:rPr>
        <w:tab/>
      </w:r>
      <w:r>
        <w:rPr>
          <w:rFonts w:hint="cs"/>
          <w:rtl/>
        </w:rPr>
        <w:tab/>
        <w:t>–   נגד</w:t>
      </w:r>
    </w:p>
    <w:p w:rsidR="00BB59CD" w:rsidRDefault="00BB59CD" w:rsidP="00BB59CD">
      <w:pPr>
        <w:rPr>
          <w:rtl/>
        </w:rPr>
      </w:pPr>
      <w:r>
        <w:rPr>
          <w:rFonts w:hint="cs"/>
          <w:rtl/>
        </w:rPr>
        <w:t>עאידה תומא סלימאן</w:t>
      </w:r>
      <w:r>
        <w:rPr>
          <w:rFonts w:hint="cs"/>
          <w:rtl/>
        </w:rPr>
        <w:tab/>
        <w:t>–   בעד</w:t>
      </w:r>
    </w:p>
    <w:p w:rsidR="00BB59CD" w:rsidRDefault="00BB59CD" w:rsidP="00BB59CD">
      <w:pPr>
        <w:rPr>
          <w:rtl/>
        </w:rPr>
      </w:pPr>
      <w:r>
        <w:rPr>
          <w:rFonts w:hint="cs"/>
          <w:rtl/>
        </w:rPr>
        <w:t>פנינה תמנו</w:t>
      </w:r>
      <w:r>
        <w:rPr>
          <w:rFonts w:hint="cs"/>
          <w:rtl/>
        </w:rPr>
        <w:tab/>
      </w:r>
      <w:r>
        <w:rPr>
          <w:rFonts w:hint="cs"/>
          <w:rtl/>
        </w:rPr>
        <w:tab/>
        <w:t>–   בעד</w:t>
      </w:r>
    </w:p>
    <w:p w:rsidR="00BB59CD" w:rsidRDefault="00BB59CD" w:rsidP="00BB59CD">
      <w:pPr>
        <w:rPr>
          <w:color w:val="0000FF"/>
          <w:rtl/>
        </w:rPr>
      </w:pPr>
    </w:p>
    <w:p w:rsidR="00BB59CD" w:rsidRDefault="00BB59CD" w:rsidP="00BB59CD">
      <w:pPr>
        <w:pStyle w:val="af9"/>
        <w:keepNext/>
        <w:rPr>
          <w:rtl/>
        </w:rPr>
      </w:pPr>
      <w:bookmarkStart w:id="83679" w:name="TOR_Q178"/>
      <w:bookmarkEnd w:id="8367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מזכיר הכנסת, אנא קרא בשמות חברי הכנסת שטרם הצביעו. </w:t>
      </w:r>
    </w:p>
    <w:p w:rsidR="00BB59CD" w:rsidRDefault="00BB59CD" w:rsidP="00BB59CD">
      <w:pPr>
        <w:rPr>
          <w:rtl/>
          <w:lang w:eastAsia="he-IL"/>
        </w:rPr>
      </w:pPr>
    </w:p>
    <w:p w:rsidR="00BB59CD" w:rsidRDefault="00BB59CD" w:rsidP="00BB59CD">
      <w:pPr>
        <w:pStyle w:val="af8"/>
        <w:keepNext/>
        <w:rPr>
          <w:rtl/>
        </w:rPr>
      </w:pPr>
      <w:bookmarkStart w:id="83680" w:name="ET_interruption_6327_10"/>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680"/>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p>
    <w:p w:rsidR="00BB59CD" w:rsidRDefault="00BB59CD" w:rsidP="00BB59C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יסמין פרידמן</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אלון שוסטר</w:t>
      </w:r>
      <w:r>
        <w:rPr>
          <w:rFonts w:hint="cs"/>
          <w:rtl/>
          <w:lang w:eastAsia="he-IL"/>
        </w:rPr>
        <w:tab/>
      </w:r>
      <w:r>
        <w:rPr>
          <w:rFonts w:hint="cs"/>
          <w:rtl/>
          <w:lang w:eastAsia="he-IL"/>
        </w:rPr>
        <w:tab/>
        <w:t>–   בעד</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האם נוכחים באולם </w:t>
      </w:r>
      <w:bookmarkStart w:id="83681" w:name="_ETM_Q178_207000"/>
      <w:bookmarkEnd w:id="83681"/>
      <w:r>
        <w:rPr>
          <w:rFonts w:hint="cs"/>
          <w:rtl/>
          <w:lang w:eastAsia="he-IL"/>
        </w:rPr>
        <w:t xml:space="preserve">חברי כנסת שטרם הצביעו ומעוניינים לעשות כן? </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p>
    <w:p w:rsidR="00BB59CD" w:rsidRDefault="00BB59CD" w:rsidP="00BB59CD">
      <w:pPr>
        <w:rPr>
          <w:rtl/>
          <w:lang w:eastAsia="he-IL"/>
        </w:rPr>
      </w:pPr>
      <w:r>
        <w:rPr>
          <w:rFonts w:hint="cs"/>
          <w:rtl/>
          <w:lang w:eastAsia="he-IL"/>
        </w:rPr>
        <w:t>בנימין נתניהו</w:t>
      </w:r>
      <w:r>
        <w:rPr>
          <w:rFonts w:hint="cs"/>
          <w:rtl/>
          <w:lang w:eastAsia="he-IL"/>
        </w:rPr>
        <w:tab/>
      </w:r>
      <w:r>
        <w:rPr>
          <w:rFonts w:hint="cs"/>
          <w:rtl/>
          <w:lang w:eastAsia="he-IL"/>
        </w:rPr>
        <w:tab/>
        <w:t>–   נגד</w:t>
      </w:r>
    </w:p>
    <w:p w:rsidR="00BB59CD" w:rsidRDefault="00BB59CD" w:rsidP="00BB59CD">
      <w:pPr>
        <w:rPr>
          <w:rtl/>
          <w:lang w:eastAsia="he-IL"/>
        </w:rPr>
      </w:pPr>
      <w:r>
        <w:rPr>
          <w:rFonts w:hint="cs"/>
          <w:rtl/>
          <w:lang w:eastAsia="he-IL"/>
        </w:rPr>
        <w:t xml:space="preserve">יסמין פרידמן </w:t>
      </w:r>
      <w:r>
        <w:rPr>
          <w:rFonts w:hint="cs"/>
          <w:rtl/>
          <w:lang w:eastAsia="he-IL"/>
        </w:rPr>
        <w:tab/>
      </w:r>
      <w:r>
        <w:rPr>
          <w:rFonts w:hint="cs"/>
          <w:rtl/>
          <w:lang w:eastAsia="he-IL"/>
        </w:rPr>
        <w:tab/>
        <w:t>–   בעד</w:t>
      </w:r>
    </w:p>
    <w:p w:rsidR="00BB59CD" w:rsidRDefault="00BB59CD" w:rsidP="00BB59CD">
      <w:pPr>
        <w:rPr>
          <w:rtl/>
          <w:lang w:eastAsia="he-IL"/>
        </w:rPr>
      </w:pPr>
      <w:bookmarkStart w:id="83682" w:name="_ETM_Q178_223000"/>
      <w:bookmarkEnd w:id="83682"/>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683" w:name="_ETM_Q178_224000"/>
      <w:bookmarkEnd w:id="83683"/>
      <w:r>
        <w:rPr>
          <w:rFonts w:hint="cs"/>
          <w:rtl/>
          <w:lang w:eastAsia="he-IL"/>
        </w:rPr>
        <w:t xml:space="preserve">אם כן, תמה ההצבעה. </w:t>
      </w:r>
      <w:bookmarkStart w:id="83684" w:name="_ETM_Q178_218000"/>
      <w:bookmarkEnd w:id="83684"/>
      <w:r>
        <w:rPr>
          <w:rFonts w:hint="cs"/>
          <w:rtl/>
          <w:lang w:eastAsia="he-IL"/>
        </w:rPr>
        <w:t xml:space="preserve">נא לספור את הקולות. </w:t>
      </w:r>
    </w:p>
    <w:p w:rsidR="00BB59CD" w:rsidRDefault="00BB59CD" w:rsidP="00BB59CD">
      <w:pPr>
        <w:rPr>
          <w:rtl/>
          <w:lang w:eastAsia="he-IL"/>
        </w:rPr>
      </w:pPr>
    </w:p>
    <w:p w:rsidR="00BB59CD" w:rsidRDefault="00BB59CD" w:rsidP="00BB59CD">
      <w:pPr>
        <w:pStyle w:val="af8"/>
        <w:keepNext/>
        <w:rPr>
          <w:rtl/>
        </w:rPr>
      </w:pPr>
      <w:bookmarkStart w:id="83685" w:name="ET_interruption_5080_15"/>
      <w:r>
        <w:rPr>
          <w:rStyle w:val="TagStyle"/>
          <w:rFonts w:hint="cs"/>
          <w:rtl/>
        </w:rPr>
        <w:t xml:space="preserve"> &lt;&lt; קריאה &gt;&gt; </w:t>
      </w:r>
      <w:r>
        <w:rPr>
          <w:rFonts w:hint="cs"/>
          <w:rtl/>
        </w:rPr>
        <w:t>בועז טופורובסקי (יש עתיד):</w:t>
      </w:r>
      <w:r>
        <w:rPr>
          <w:rStyle w:val="TagStyle"/>
          <w:rtl/>
        </w:rPr>
        <w:t xml:space="preserve"> &lt;&lt; קריאה &gt;&gt;</w:t>
      </w:r>
      <w:r>
        <w:rPr>
          <w:rFonts w:hint="cs"/>
          <w:rtl/>
        </w:rPr>
        <w:t xml:space="preserve">   </w:t>
      </w:r>
      <w:bookmarkEnd w:id="83685"/>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פני הקואליציה כפני הכלב. </w:t>
      </w:r>
    </w:p>
    <w:p w:rsidR="00BB59CD" w:rsidRDefault="00BB59CD" w:rsidP="00BB59CD">
      <w:pPr>
        <w:rPr>
          <w:rtl/>
          <w:lang w:eastAsia="he-IL"/>
        </w:rPr>
      </w:pPr>
      <w:bookmarkStart w:id="83686" w:name="_ETM_Q178_251000"/>
      <w:bookmarkEnd w:id="83686"/>
    </w:p>
    <w:p w:rsidR="00BB59CD" w:rsidRDefault="00BB59CD" w:rsidP="00BB59CD">
      <w:pPr>
        <w:pStyle w:val="af8"/>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נתניהו מחריב ישראל, מחריב </w:t>
      </w:r>
      <w:bookmarkStart w:id="83687" w:name="_ETM_Q178_253000"/>
      <w:bookmarkEnd w:id="83687"/>
      <w:r>
        <w:rPr>
          <w:rFonts w:hint="cs"/>
          <w:rtl/>
          <w:lang w:eastAsia="he-IL"/>
        </w:rPr>
        <w:t>ישראל. אתה מחריב ישראל. כך תיזכר, זאת המורשת שלך.</w:t>
      </w:r>
      <w:bookmarkStart w:id="83688" w:name="_ETM_Q178_269000"/>
      <w:bookmarkStart w:id="83689" w:name="_ETM_Q178_271000"/>
      <w:bookmarkEnd w:id="83688"/>
      <w:bookmarkEnd w:id="83689"/>
      <w:r>
        <w:rPr>
          <w:rFonts w:hint="cs"/>
          <w:rtl/>
          <w:lang w:eastAsia="he-IL"/>
        </w:rPr>
        <w:t xml:space="preserve"> זאת המורשת שלך, בנימין נתניהו – מחריב ישראל. </w:t>
      </w:r>
      <w:bookmarkStart w:id="83690" w:name="_ETM_Q178_277000"/>
      <w:bookmarkEnd w:id="83690"/>
      <w:r>
        <w:rPr>
          <w:rFonts w:hint="cs"/>
          <w:rtl/>
          <w:lang w:eastAsia="he-IL"/>
        </w:rPr>
        <w:t xml:space="preserve">תעצור את החקיקה הזאת.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 הכנסת יוראי להב הרצנו, אתה רוצה לצאת? </w:t>
      </w:r>
    </w:p>
    <w:p w:rsidR="00BB59CD" w:rsidRDefault="00BB59CD" w:rsidP="00BB59CD">
      <w:pPr>
        <w:rPr>
          <w:rtl/>
          <w:lang w:eastAsia="he-IL"/>
        </w:rPr>
      </w:pPr>
      <w:bookmarkStart w:id="83691" w:name="_ETM_Q178_279000"/>
      <w:bookmarkEnd w:id="83691"/>
    </w:p>
    <w:p w:rsidR="00BB59CD" w:rsidRDefault="00BB59CD" w:rsidP="00BB59CD">
      <w:pPr>
        <w:pStyle w:val="af8"/>
        <w:keepNext/>
        <w:rPr>
          <w:rtl/>
        </w:rPr>
      </w:pPr>
      <w:bookmarkStart w:id="83692" w:name="ET_interruption_5787_22"/>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83692"/>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לא. אני לא רוצה לצאת.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אז אני קורא לך בקריאה ראשונה. </w:t>
      </w:r>
    </w:p>
    <w:p w:rsidR="00BB59CD" w:rsidRDefault="00BB59CD" w:rsidP="00BB59CD">
      <w:pPr>
        <w:rPr>
          <w:rtl/>
          <w:lang w:eastAsia="he-IL"/>
        </w:rPr>
      </w:pPr>
      <w:bookmarkStart w:id="83693" w:name="_ETM_Q178_285000"/>
      <w:bookmarkEnd w:id="83693"/>
    </w:p>
    <w:p w:rsidR="00BB59CD" w:rsidRDefault="00BB59CD" w:rsidP="00BB59CD">
      <w:pPr>
        <w:pStyle w:val="af8"/>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אתה יכול לקרוא אותי כמה שאתה רוצה. </w:t>
      </w:r>
    </w:p>
    <w:p w:rsidR="00BB59CD" w:rsidRDefault="00BB59CD" w:rsidP="00BB59CD">
      <w:pPr>
        <w:rPr>
          <w:rtl/>
          <w:lang w:eastAsia="he-IL"/>
        </w:rPr>
      </w:pPr>
      <w:bookmarkStart w:id="83694" w:name="_ETM_Q178_288000"/>
      <w:bookmarkEnd w:id="83694"/>
    </w:p>
    <w:p w:rsidR="00BB59CD" w:rsidRDefault="00BB59CD" w:rsidP="00BB59CD">
      <w:pPr>
        <w:pStyle w:val="af8"/>
        <w:keepNext/>
        <w:rPr>
          <w:rtl/>
        </w:rPr>
      </w:pPr>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אבל הוא צודק.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חבר הכנסת שטרן, אתה </w:t>
      </w:r>
      <w:bookmarkStart w:id="83695" w:name="_ETM_Q178_286000"/>
      <w:bookmarkEnd w:id="83695"/>
      <w:r>
        <w:rPr>
          <w:rFonts w:hint="cs"/>
          <w:rtl/>
          <w:lang w:eastAsia="he-IL"/>
        </w:rPr>
        <w:t xml:space="preserve">יודע שהוא לא צודק. די, די, בואו, באמת. </w:t>
      </w:r>
    </w:p>
    <w:p w:rsidR="00BB59CD" w:rsidRDefault="00BB59CD" w:rsidP="00BB59CD">
      <w:pPr>
        <w:rPr>
          <w:rtl/>
          <w:lang w:eastAsia="he-IL"/>
        </w:rPr>
      </w:pPr>
      <w:bookmarkStart w:id="83696" w:name="_ETM_Q178_298000"/>
      <w:bookmarkEnd w:id="83696"/>
    </w:p>
    <w:p w:rsidR="00BB59CD" w:rsidRDefault="00BB59CD" w:rsidP="00BB59CD">
      <w:pPr>
        <w:pStyle w:val="af8"/>
        <w:keepNext/>
        <w:rPr>
          <w:rtl/>
        </w:rPr>
      </w:pPr>
      <w:bookmarkStart w:id="83697" w:name="ET_interruption_5109_27"/>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83697"/>
    </w:p>
    <w:p w:rsidR="00BB59CD" w:rsidRDefault="00BB59CD" w:rsidP="00337201">
      <w:pPr>
        <w:rPr>
          <w:rtl/>
          <w:lang w:eastAsia="he-IL"/>
        </w:rPr>
      </w:pPr>
    </w:p>
    <w:p w:rsidR="00BB59CD" w:rsidRDefault="00BB59CD" w:rsidP="00BB59CD">
      <w:pPr>
        <w:rPr>
          <w:rtl/>
          <w:lang w:eastAsia="he-IL"/>
        </w:rPr>
      </w:pPr>
      <w:bookmarkStart w:id="83698" w:name="_ETM_Q178_301000"/>
      <w:bookmarkStart w:id="83699" w:name="_ETM_Q178_291000"/>
      <w:bookmarkEnd w:id="83698"/>
      <w:bookmarkEnd w:id="83699"/>
      <w:r>
        <w:rPr>
          <w:rFonts w:hint="cs"/>
          <w:rtl/>
          <w:lang w:eastAsia="he-IL"/>
        </w:rPr>
        <w:t xml:space="preserve">- </w:t>
      </w:r>
      <w:bookmarkStart w:id="83700" w:name="_ETM_Q178_306000"/>
      <w:bookmarkEnd w:id="83700"/>
      <w:r>
        <w:rPr>
          <w:rFonts w:hint="cs"/>
          <w:rtl/>
          <w:lang w:eastAsia="he-IL"/>
        </w:rPr>
        <w:t xml:space="preserve">- - נראה לך הגיוני שהחלטה כזאת, שלא היה עליה דיון אחד בממשלה, ככה תעבור? </w:t>
      </w:r>
    </w:p>
    <w:p w:rsidR="00BB59CD" w:rsidRDefault="00BB59CD" w:rsidP="00BB59CD">
      <w:pPr>
        <w:rPr>
          <w:rtl/>
          <w:lang w:eastAsia="he-IL"/>
        </w:rPr>
      </w:pPr>
    </w:p>
    <w:p w:rsidR="00BB59CD" w:rsidRDefault="00BB59CD" w:rsidP="00BB59CD">
      <w:pPr>
        <w:pStyle w:val="af8"/>
        <w:keepNext/>
        <w:rPr>
          <w:rtl/>
        </w:rPr>
      </w:pPr>
      <w:bookmarkStart w:id="83701" w:name="ET_interruption_5084_28"/>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83701"/>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תהיה הצעת חוק פרטית? חוק-יסוד? </w:t>
      </w:r>
    </w:p>
    <w:p w:rsidR="00BB59CD" w:rsidRDefault="00BB59CD" w:rsidP="00BB59CD">
      <w:pPr>
        <w:rPr>
          <w:rtl/>
          <w:lang w:eastAsia="he-IL"/>
        </w:rPr>
      </w:pPr>
      <w:bookmarkStart w:id="83702" w:name="_ETM_Q178_310000"/>
      <w:bookmarkEnd w:id="83702"/>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703" w:name="_ETM_Q178_315000"/>
      <w:bookmarkEnd w:id="83703"/>
      <w:r>
        <w:rPr>
          <w:rFonts w:hint="cs"/>
          <w:rtl/>
          <w:lang w:eastAsia="he-IL"/>
        </w:rPr>
        <w:t xml:space="preserve">הכנסת תחליט. </w:t>
      </w:r>
    </w:p>
    <w:p w:rsidR="00BB59CD" w:rsidRDefault="00BB59CD" w:rsidP="00BB59CD">
      <w:pPr>
        <w:rPr>
          <w:rtl/>
          <w:lang w:eastAsia="he-IL"/>
        </w:rPr>
      </w:pPr>
      <w:r>
        <w:rPr>
          <w:rFonts w:hint="cs"/>
          <w:rtl/>
          <w:lang w:eastAsia="he-IL"/>
        </w:rPr>
        <w:t xml:space="preserve"> </w:t>
      </w:r>
    </w:p>
    <w:p w:rsidR="00BB59CD" w:rsidRDefault="00BB59CD" w:rsidP="00BB59CD">
      <w:pPr>
        <w:pStyle w:val="af8"/>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בזה אתה צודק. אין לי איתך ויכוח על זה. </w:t>
      </w:r>
    </w:p>
    <w:p w:rsidR="00BB59CD" w:rsidRDefault="00BB59CD" w:rsidP="00BB59CD">
      <w:pPr>
        <w:rPr>
          <w:rtl/>
          <w:lang w:eastAsia="he-IL"/>
        </w:rPr>
      </w:pPr>
      <w:bookmarkStart w:id="83704" w:name="_ETM_Q178_316000"/>
      <w:bookmarkEnd w:id="83704"/>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705" w:name="_ETM_Q178_328000"/>
      <w:bookmarkEnd w:id="83705"/>
      <w:r>
        <w:rPr>
          <w:rFonts w:hint="cs"/>
          <w:rtl/>
          <w:lang w:eastAsia="he-IL"/>
        </w:rPr>
        <w:t xml:space="preserve">חברי הכנסת, בעד – </w:t>
      </w:r>
      <w:bookmarkStart w:id="83706" w:name="_ETM_Q178_370000"/>
      <w:bookmarkEnd w:id="83706"/>
      <w:r>
        <w:rPr>
          <w:rFonts w:hint="cs"/>
          <w:rtl/>
          <w:lang w:eastAsia="he-IL"/>
        </w:rPr>
        <w:t xml:space="preserve">56, נגד – 64.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ההצבעה הבאה תהיה הצבעה אלקטרונית. אנא תפסו </w:t>
      </w:r>
      <w:bookmarkStart w:id="83707" w:name="_ETM_Q178_381000"/>
      <w:bookmarkEnd w:id="83707"/>
      <w:r>
        <w:rPr>
          <w:rFonts w:hint="cs"/>
          <w:rtl/>
          <w:lang w:eastAsia="he-IL"/>
        </w:rPr>
        <w:t xml:space="preserve">את מקומותיכם. </w:t>
      </w:r>
      <w:bookmarkStart w:id="83708" w:name="_ETM_Q178_327131"/>
      <w:bookmarkStart w:id="83709" w:name="_ETM_Q178_327191"/>
      <w:bookmarkEnd w:id="83708"/>
      <w:bookmarkEnd w:id="83709"/>
      <w:r>
        <w:rPr>
          <w:rFonts w:hint="cs"/>
          <w:rtl/>
          <w:lang w:eastAsia="he-IL"/>
        </w:rPr>
        <w:t xml:space="preserve">אנחנו מצביעים על הסתייגות שמספרה 27481. הצבעה. </w:t>
      </w:r>
    </w:p>
    <w:p w:rsidR="00BB59CD" w:rsidRDefault="00BB59CD" w:rsidP="00BB59CD">
      <w:pPr>
        <w:rPr>
          <w:rtl/>
          <w:lang w:eastAsia="he-IL"/>
        </w:rPr>
      </w:pPr>
    </w:p>
    <w:p w:rsidR="00BB59CD" w:rsidRDefault="00BB59CD" w:rsidP="00BB59CD">
      <w:pPr>
        <w:pStyle w:val="af8"/>
        <w:keepNext/>
        <w:rPr>
          <w:rtl/>
        </w:rPr>
      </w:pPr>
      <w:bookmarkStart w:id="83710" w:name="_ETM_Q178_344139"/>
      <w:bookmarkStart w:id="83711" w:name="_ETM_Q178_344233"/>
      <w:bookmarkStart w:id="83712" w:name="ET_interruption_קריאות_33"/>
      <w:bookmarkEnd w:id="83710"/>
      <w:bookmarkEnd w:id="83711"/>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bookmarkEnd w:id="83712"/>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בושה, בושה, בושה, </w:t>
      </w:r>
      <w:bookmarkStart w:id="83713" w:name="_ETM_Q178_405000"/>
      <w:bookmarkEnd w:id="83713"/>
      <w:r>
        <w:rPr>
          <w:rFonts w:hint="cs"/>
          <w:rtl/>
          <w:lang w:eastAsia="he-IL"/>
        </w:rPr>
        <w:t xml:space="preserve">בושה, בושה, בושה. </w:t>
      </w:r>
    </w:p>
    <w:p w:rsidR="00BB59CD" w:rsidRDefault="00BB59CD" w:rsidP="00BB59CD">
      <w:pPr>
        <w:rPr>
          <w:rtl/>
          <w:lang w:eastAsia="he-IL"/>
        </w:rPr>
      </w:pPr>
    </w:p>
    <w:p w:rsidR="00BB59CD" w:rsidRDefault="00BB59CD" w:rsidP="00BB59CD">
      <w:pPr>
        <w:pStyle w:val="af4"/>
        <w:keepNext/>
        <w:rPr>
          <w:rtl/>
          <w:lang w:eastAsia="he-IL"/>
        </w:rPr>
      </w:pPr>
      <w:bookmarkStart w:id="83714" w:name="_ETM_Q178_402000"/>
      <w:bookmarkEnd w:id="83714"/>
      <w:r>
        <w:rPr>
          <w:rFonts w:hint="cs"/>
          <w:rtl/>
          <w:lang w:eastAsia="he-IL"/>
        </w:rPr>
        <w:t>הצבעה מס' 140</w:t>
      </w:r>
    </w:p>
    <w:p w:rsidR="00BB59CD" w:rsidRDefault="00BB59CD" w:rsidP="00BB59CD">
      <w:pPr>
        <w:pStyle w:val="--"/>
        <w:keepNext/>
        <w:rPr>
          <w:rtl/>
          <w:lang w:eastAsia="he-IL"/>
        </w:rPr>
      </w:pPr>
    </w:p>
    <w:p w:rsidR="00BB59CD" w:rsidRDefault="00BB59CD" w:rsidP="00BB59CD">
      <w:pPr>
        <w:pStyle w:val="--"/>
        <w:keepNext/>
        <w:rPr>
          <w:rtl/>
          <w:lang w:eastAsia="he-IL"/>
        </w:rPr>
      </w:pPr>
      <w:r>
        <w:rPr>
          <w:rFonts w:hint="cs"/>
          <w:rtl/>
          <w:lang w:eastAsia="he-IL"/>
        </w:rPr>
        <w:t>בעד ההסתייגות – 52</w:t>
      </w:r>
    </w:p>
    <w:p w:rsidR="00BB59CD" w:rsidRDefault="00BB59CD" w:rsidP="00BB59CD">
      <w:pPr>
        <w:pStyle w:val="--"/>
        <w:keepNext/>
        <w:rPr>
          <w:rtl/>
          <w:lang w:eastAsia="he-IL"/>
        </w:rPr>
      </w:pPr>
      <w:r>
        <w:rPr>
          <w:rFonts w:hint="cs"/>
          <w:rtl/>
          <w:lang w:eastAsia="he-IL"/>
        </w:rPr>
        <w:t>נגד – 65</w:t>
      </w:r>
    </w:p>
    <w:p w:rsidR="00BB59CD" w:rsidRDefault="00BB59CD" w:rsidP="00BB59CD">
      <w:pPr>
        <w:pStyle w:val="--"/>
        <w:keepNext/>
        <w:rPr>
          <w:rtl/>
          <w:lang w:eastAsia="he-IL"/>
        </w:rPr>
      </w:pPr>
      <w:r>
        <w:rPr>
          <w:rFonts w:hint="cs"/>
          <w:rtl/>
          <w:lang w:eastAsia="he-IL"/>
        </w:rPr>
        <w:t>נמנעים – אין</w:t>
      </w:r>
    </w:p>
    <w:p w:rsidR="00BB59CD" w:rsidRDefault="00BB59CD" w:rsidP="00BB59CD">
      <w:pPr>
        <w:pStyle w:val="af5"/>
        <w:rPr>
          <w:rtl/>
          <w:lang w:eastAsia="he-IL"/>
        </w:rPr>
      </w:pPr>
      <w:r>
        <w:rPr>
          <w:rFonts w:hint="cs"/>
          <w:rtl/>
          <w:lang w:eastAsia="he-IL"/>
        </w:rPr>
        <w:t>הסתייגות 27481 לא נתקבלה.</w:t>
      </w:r>
    </w:p>
    <w:p w:rsidR="00BB59CD" w:rsidRDefault="00BB59CD" w:rsidP="00BB59CD">
      <w:pPr>
        <w:rPr>
          <w:rtl/>
          <w:lang w:eastAsia="he-IL"/>
        </w:rPr>
      </w:pPr>
      <w:bookmarkStart w:id="83715" w:name="_ETM_Q178_399000"/>
      <w:bookmarkStart w:id="83716" w:name="_ETM_Q178_413000"/>
      <w:bookmarkEnd w:id="83715"/>
      <w:bookmarkEnd w:id="83716"/>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52 בעד, 65 נגד. ההסתייגות לא התקבלה. </w:t>
      </w:r>
    </w:p>
    <w:p w:rsidR="00BB59CD" w:rsidRDefault="00BB59CD" w:rsidP="00BB59CD">
      <w:pPr>
        <w:rPr>
          <w:rtl/>
          <w:lang w:eastAsia="he-IL"/>
        </w:rPr>
      </w:pPr>
      <w:bookmarkStart w:id="83717" w:name="_ETM_Q178_420000"/>
      <w:bookmarkEnd w:id="83717"/>
    </w:p>
    <w:p w:rsidR="00BB59CD" w:rsidRDefault="00BB59CD" w:rsidP="00BB59CD">
      <w:pPr>
        <w:pStyle w:val="af9"/>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כעת, לאחר שנדחו כל ההסתייגויות, </w:t>
      </w:r>
      <w:bookmarkStart w:id="83718" w:name="_ETM_Q178_425000"/>
      <w:bookmarkEnd w:id="83718"/>
      <w:r>
        <w:rPr>
          <w:rFonts w:hint="cs"/>
          <w:rtl/>
          <w:lang w:eastAsia="he-IL"/>
        </w:rPr>
        <w:t xml:space="preserve">אנחנו מצביעים על החוק בקריאה השלישית. הצבעה שמית בקריאה שלישית על החוק, כנוסח הוועדה. מזכיר הכנסת, נא קרא בשמות חברי הכנסת. </w:t>
      </w:r>
    </w:p>
    <w:p w:rsidR="00BB59CD" w:rsidRDefault="00BB59CD" w:rsidP="00BB59CD">
      <w:pPr>
        <w:rPr>
          <w:rtl/>
          <w:lang w:eastAsia="he-IL"/>
        </w:rPr>
      </w:pPr>
      <w:bookmarkStart w:id="83719" w:name="_ETM_Q178_438000"/>
      <w:bookmarkEnd w:id="83719"/>
    </w:p>
    <w:p w:rsidR="00BB59CD" w:rsidRDefault="00BB59CD" w:rsidP="00BB59CD">
      <w:pPr>
        <w:pStyle w:val="af8"/>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720" w:name="_ETM_Q178_440000"/>
      <w:bookmarkEnd w:id="83720"/>
      <w:r>
        <w:rPr>
          <w:rFonts w:hint="cs"/>
          <w:rtl/>
          <w:lang w:eastAsia="he-IL"/>
        </w:rPr>
        <w:t>בושה, בושה, בושה, בושה.</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מי שאינו מעוניין להצביע </w:t>
      </w:r>
      <w:bookmarkStart w:id="83721" w:name="_ETM_Q178_446000"/>
      <w:bookmarkEnd w:id="83721"/>
      <w:r>
        <w:rPr>
          <w:rFonts w:hint="cs"/>
          <w:rtl/>
          <w:lang w:eastAsia="he-IL"/>
        </w:rPr>
        <w:t xml:space="preserve">מוזמן לצאת. מי שלא, נעזור לו.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מזכיר הכנסת, אנא קרא בשמות חברי הכנסת. </w:t>
      </w:r>
    </w:p>
    <w:p w:rsidR="00BB59CD" w:rsidRDefault="00BB59CD" w:rsidP="00BB59CD">
      <w:pPr>
        <w:rPr>
          <w:rtl/>
          <w:lang w:eastAsia="he-IL"/>
        </w:rPr>
      </w:pPr>
      <w:bookmarkStart w:id="83722" w:name="_ETM_Q178_421000"/>
      <w:bookmarkEnd w:id="83722"/>
    </w:p>
    <w:p w:rsidR="00BB59CD" w:rsidRDefault="00BB59CD" w:rsidP="00BB59CD">
      <w:pPr>
        <w:pStyle w:val="af8"/>
        <w:keepNext/>
        <w:rPr>
          <w:rtl/>
        </w:rPr>
      </w:pPr>
      <w:bookmarkStart w:id="83723" w:name="_ETM_Q178_457019"/>
      <w:bookmarkStart w:id="83724" w:name="_ETM_Q178_457106"/>
      <w:bookmarkEnd w:id="83723"/>
      <w:bookmarkEnd w:id="83724"/>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BB59CD" w:rsidRDefault="00BB59CD" w:rsidP="00337201">
      <w:pPr>
        <w:rPr>
          <w:rtl/>
          <w:lang w:eastAsia="he-IL"/>
        </w:rPr>
      </w:pPr>
    </w:p>
    <w:p w:rsidR="00BB59CD" w:rsidRDefault="00BB59CD" w:rsidP="00BB59CD">
      <w:pPr>
        <w:rPr>
          <w:rtl/>
          <w:lang w:eastAsia="he-IL"/>
        </w:rPr>
      </w:pPr>
      <w:bookmarkStart w:id="83725" w:name="_ETM_Q178_488084"/>
      <w:bookmarkEnd w:id="83725"/>
      <w:r>
        <w:rPr>
          <w:rFonts w:hint="cs"/>
          <w:rtl/>
          <w:lang w:eastAsia="he-IL"/>
        </w:rPr>
        <w:t xml:space="preserve">- - </w:t>
      </w:r>
      <w:bookmarkStart w:id="83726" w:name="_ETM_Q178_490059"/>
      <w:bookmarkEnd w:id="83726"/>
      <w:r>
        <w:rPr>
          <w:rFonts w:hint="cs"/>
          <w:rtl/>
          <w:lang w:eastAsia="he-IL"/>
        </w:rPr>
        <w:t xml:space="preserve">- </w:t>
      </w:r>
      <w:bookmarkStart w:id="83727" w:name="_ETM_Q178_491146"/>
      <w:bookmarkEnd w:id="83727"/>
    </w:p>
    <w:p w:rsidR="00BB59CD" w:rsidRDefault="00BB59CD" w:rsidP="00BB59CD">
      <w:pPr>
        <w:rPr>
          <w:rtl/>
          <w:lang w:eastAsia="he-IL"/>
        </w:rPr>
      </w:pPr>
      <w:bookmarkStart w:id="83728" w:name="_ETM_Q178_491232"/>
      <w:bookmarkEnd w:id="83728"/>
    </w:p>
    <w:p w:rsidR="00BB59CD" w:rsidRDefault="00BB59CD" w:rsidP="00BB59CD">
      <w:pPr>
        <w:pStyle w:val="af8"/>
        <w:keepNext/>
        <w:rPr>
          <w:rtl/>
        </w:rPr>
      </w:pPr>
      <w:bookmarkStart w:id="83729" w:name="ET_interruption_6327_40"/>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83729"/>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p>
    <w:p w:rsidR="00BB59CD" w:rsidRDefault="00BB59CD" w:rsidP="00BB59CD">
      <w:pPr>
        <w:rPr>
          <w:rtl/>
          <w:lang w:eastAsia="he-IL"/>
        </w:rPr>
      </w:pPr>
      <w:r>
        <w:rPr>
          <w:rFonts w:hint="cs"/>
          <w:rtl/>
          <w:lang w:eastAsia="he-IL"/>
        </w:rPr>
        <w:t>משה אבוטבול</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יולי יואל אדלשטיין</w:t>
      </w:r>
      <w:r>
        <w:rPr>
          <w:rFonts w:hint="cs"/>
          <w:rtl/>
          <w:lang w:eastAsia="he-IL"/>
        </w:rPr>
        <w:tab/>
        <w:t>–   בעד</w:t>
      </w:r>
    </w:p>
    <w:p w:rsidR="00BB59CD" w:rsidRDefault="00BB59CD" w:rsidP="00BB59CD">
      <w:pPr>
        <w:rPr>
          <w:rtl/>
          <w:lang w:eastAsia="he-IL"/>
        </w:rPr>
      </w:pPr>
      <w:r>
        <w:rPr>
          <w:rFonts w:hint="cs"/>
          <w:rtl/>
          <w:lang w:eastAsia="he-IL"/>
        </w:rPr>
        <w:t>אמיר אוחנה</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ינון אזולאי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ישראל אייכלר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קארין אלהרר</w:t>
      </w:r>
      <w:r>
        <w:rPr>
          <w:rFonts w:hint="cs"/>
          <w:rtl/>
          <w:lang w:eastAsia="he-IL"/>
        </w:rPr>
        <w:tab/>
      </w:r>
      <w:r>
        <w:rPr>
          <w:rFonts w:hint="cs"/>
          <w:rtl/>
          <w:lang w:eastAsia="he-IL"/>
        </w:rPr>
        <w:tab/>
        <w:t xml:space="preserve">–   אינה </w:t>
      </w:r>
      <w:bookmarkStart w:id="83730" w:name="_ETM_Q178_492000"/>
      <w:bookmarkEnd w:id="83730"/>
      <w:r>
        <w:rPr>
          <w:rFonts w:hint="cs"/>
          <w:rtl/>
          <w:lang w:eastAsia="he-IL"/>
        </w:rPr>
        <w:t>נוכחת</w:t>
      </w:r>
    </w:p>
    <w:p w:rsidR="00BB59CD" w:rsidRDefault="00BB59CD" w:rsidP="00BB59CD">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משה ארבל</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יעקב אשר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אביחי אברהם בוארון</w:t>
      </w:r>
      <w:r>
        <w:rPr>
          <w:rFonts w:hint="cs"/>
          <w:rtl/>
          <w:lang w:eastAsia="he-IL"/>
        </w:rPr>
        <w:tab/>
        <w:t>–   בעד</w:t>
      </w:r>
    </w:p>
    <w:p w:rsidR="00BB59CD" w:rsidRDefault="00BB59CD" w:rsidP="00BB59CD">
      <w:pPr>
        <w:rPr>
          <w:rtl/>
          <w:lang w:eastAsia="he-IL"/>
        </w:rPr>
      </w:pPr>
      <w:r>
        <w:rPr>
          <w:rFonts w:hint="cs"/>
          <w:rtl/>
          <w:lang w:eastAsia="he-IL"/>
        </w:rPr>
        <w:t>אוריאל בוסו</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מיכאל מרדכי ביטון</w:t>
      </w:r>
      <w:r>
        <w:rPr>
          <w:rFonts w:hint="cs"/>
          <w:rtl/>
          <w:lang w:eastAsia="he-IL"/>
        </w:rPr>
        <w:tab/>
        <w:t>–   אינו נוכח</w:t>
      </w:r>
    </w:p>
    <w:p w:rsidR="00BB59CD" w:rsidRDefault="00BB59CD" w:rsidP="00BB59CD">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בועז ביסמוט</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רם בן ברק</w:t>
      </w:r>
      <w:r>
        <w:rPr>
          <w:rFonts w:hint="cs"/>
          <w:rtl/>
          <w:lang w:eastAsia="he-IL"/>
        </w:rPr>
        <w:tab/>
        <w:t xml:space="preserve">        </w:t>
      </w:r>
      <w:bookmarkStart w:id="83731" w:name="_ETM_Q178_522000"/>
      <w:bookmarkEnd w:id="83731"/>
      <w:r>
        <w:rPr>
          <w:rFonts w:hint="cs"/>
          <w:rtl/>
          <w:lang w:eastAsia="he-IL"/>
        </w:rPr>
        <w:t xml:space="preserve">    –   אינו נוכח</w:t>
      </w:r>
    </w:p>
    <w:p w:rsidR="00BB59CD" w:rsidRDefault="00BB59CD" w:rsidP="00BB59CD">
      <w:pPr>
        <w:rPr>
          <w:rtl/>
          <w:lang w:eastAsia="he-IL"/>
        </w:rPr>
      </w:pPr>
      <w:r>
        <w:rPr>
          <w:rFonts w:hint="cs"/>
          <w:rtl/>
          <w:lang w:eastAsia="he-IL"/>
        </w:rPr>
        <w:t>איתמר בן גביר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אברהם בצלאל</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אליהו ברוכי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ניר ברקת</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ששון ששי גואטה</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טלי גוטליב</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יואב גלנט</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גילה גמליאל</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משה גפני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אבי דיכטר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שלום דנינו</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אריה מכלוף דרעי</w:t>
      </w:r>
      <w:r>
        <w:rPr>
          <w:rFonts w:hint="cs"/>
          <w:rtl/>
          <w:lang w:eastAsia="he-IL"/>
        </w:rPr>
        <w:tab/>
        <w:t>–   בעד</w:t>
      </w:r>
    </w:p>
    <w:p w:rsidR="00BB59CD" w:rsidRDefault="00BB59CD" w:rsidP="00BB59CD">
      <w:pPr>
        <w:rPr>
          <w:rtl/>
          <w:lang w:eastAsia="he-IL"/>
        </w:rPr>
      </w:pPr>
      <w:r>
        <w:rPr>
          <w:rFonts w:hint="cs"/>
          <w:rtl/>
          <w:lang w:eastAsia="he-IL"/>
        </w:rPr>
        <w:t>עמית הלוי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ניסים ואטורי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מיכל מרים וולדיגר</w:t>
      </w:r>
      <w:r>
        <w:rPr>
          <w:rFonts w:hint="cs"/>
          <w:rtl/>
          <w:lang w:eastAsia="he-IL"/>
        </w:rPr>
        <w:tab/>
        <w:t>–   בעד</w:t>
      </w:r>
    </w:p>
    <w:p w:rsidR="00BB59CD" w:rsidRDefault="00BB59CD" w:rsidP="00BB59CD">
      <w:pPr>
        <w:rPr>
          <w:rtl/>
          <w:lang w:eastAsia="he-IL"/>
        </w:rPr>
      </w:pPr>
      <w:r>
        <w:rPr>
          <w:rFonts w:hint="cs"/>
          <w:rtl/>
          <w:lang w:eastAsia="he-IL"/>
        </w:rPr>
        <w:t>יצחק שמעון וסרלאוף</w:t>
      </w:r>
      <w:r>
        <w:rPr>
          <w:rFonts w:hint="cs"/>
          <w:rtl/>
          <w:lang w:eastAsia="he-IL"/>
        </w:rPr>
        <w:tab/>
        <w:t>–   בעד</w:t>
      </w:r>
    </w:p>
    <w:p w:rsidR="00BB59CD" w:rsidRDefault="00BB59CD" w:rsidP="00BB59CD">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אימאן ח'טיב יאסין</w:t>
      </w:r>
      <w:r>
        <w:rPr>
          <w:rFonts w:hint="cs"/>
          <w:rtl/>
          <w:lang w:eastAsia="he-IL"/>
        </w:rPr>
        <w:tab/>
        <w:t>–   אינה נוכחת</w:t>
      </w:r>
    </w:p>
    <w:p w:rsidR="00BB59CD" w:rsidRDefault="00BB59CD" w:rsidP="00BB59CD">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יוסף טייב</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יעקב טסלר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אלמוג כהן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מירב כהן</w:t>
      </w:r>
      <w:r>
        <w:rPr>
          <w:rFonts w:hint="cs"/>
          <w:rtl/>
          <w:lang w:eastAsia="he-IL"/>
        </w:rPr>
        <w:tab/>
        <w:t xml:space="preserve">      </w:t>
      </w:r>
      <w:bookmarkStart w:id="83732" w:name="_ETM_Q178_650000"/>
      <w:bookmarkEnd w:id="83732"/>
      <w:r>
        <w:rPr>
          <w:rFonts w:hint="cs"/>
          <w:rtl/>
          <w:lang w:eastAsia="he-IL"/>
        </w:rPr>
        <w:t xml:space="preserve">      –   אינה נוכחת</w:t>
      </w:r>
    </w:p>
    <w:p w:rsidR="00BB59CD" w:rsidRDefault="00BB59CD" w:rsidP="00BB59CD">
      <w:pPr>
        <w:rPr>
          <w:rtl/>
          <w:lang w:eastAsia="he-IL"/>
        </w:rPr>
      </w:pPr>
      <w:r>
        <w:rPr>
          <w:rFonts w:hint="cs"/>
          <w:rtl/>
          <w:lang w:eastAsia="he-IL"/>
        </w:rPr>
        <w:t>מתן כהנא</w:t>
      </w:r>
      <w:r>
        <w:rPr>
          <w:rFonts w:hint="cs"/>
          <w:rtl/>
          <w:lang w:eastAsia="he-IL"/>
        </w:rPr>
        <w:tab/>
        <w:t xml:space="preserve">   </w:t>
      </w:r>
      <w:bookmarkStart w:id="83733" w:name="_ETM_Q178_651000"/>
      <w:bookmarkEnd w:id="83733"/>
      <w:r>
        <w:rPr>
          <w:rFonts w:hint="cs"/>
          <w:rtl/>
          <w:lang w:eastAsia="he-IL"/>
        </w:rPr>
        <w:t xml:space="preserve">         –   אינו נוכח</w:t>
      </w:r>
    </w:p>
    <w:p w:rsidR="00BB59CD" w:rsidRDefault="00BB59CD" w:rsidP="00BB59CD">
      <w:pPr>
        <w:rPr>
          <w:rtl/>
          <w:lang w:eastAsia="he-IL"/>
        </w:rPr>
      </w:pPr>
      <w:r>
        <w:rPr>
          <w:rFonts w:hint="cs"/>
          <w:rtl/>
          <w:lang w:eastAsia="he-IL"/>
        </w:rPr>
        <w:t>עופר כסיף</w:t>
      </w:r>
      <w:r>
        <w:rPr>
          <w:rFonts w:hint="cs"/>
          <w:rtl/>
          <w:lang w:eastAsia="he-IL"/>
        </w:rPr>
        <w:tab/>
        <w:t xml:space="preserve">            –   אינו נוכח</w:t>
      </w:r>
    </w:p>
    <w:p w:rsidR="00BB59CD" w:rsidRDefault="00BB59CD" w:rsidP="00BB59CD">
      <w:pPr>
        <w:rPr>
          <w:rtl/>
          <w:lang w:eastAsia="he-IL"/>
        </w:rPr>
      </w:pPr>
      <w:r>
        <w:rPr>
          <w:rFonts w:hint="cs"/>
          <w:rtl/>
          <w:lang w:eastAsia="he-IL"/>
        </w:rPr>
        <w:t>אופיר כץ</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ישראל כץ</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יוראי להב הרצנו</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סימון מושיאשוילי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שלי טל מירון</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יונתן מישרקי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חנוך דב מלביצקי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ארז מלול</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מיכאל מלכיאלי</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צגה מלקו</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אבי מעוז</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בנימין נתניהו</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צבי ידידיה סוכות</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משה סולומון</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לימור סון הר מלך</w:t>
      </w:r>
      <w:r>
        <w:rPr>
          <w:rFonts w:hint="cs"/>
          <w:rtl/>
          <w:lang w:eastAsia="he-IL"/>
        </w:rPr>
        <w:tab/>
        <w:t>–   בעד</w:t>
      </w:r>
    </w:p>
    <w:p w:rsidR="00BB59CD" w:rsidRDefault="00BB59CD" w:rsidP="00BB59CD">
      <w:pPr>
        <w:rPr>
          <w:rtl/>
          <w:lang w:eastAsia="he-IL"/>
        </w:rPr>
      </w:pPr>
      <w:r>
        <w:rPr>
          <w:rFonts w:hint="cs"/>
          <w:rtl/>
          <w:lang w:eastAsia="he-IL"/>
        </w:rPr>
        <w:t>אופיר סופר</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אורית מלכה סטרוק</w:t>
      </w:r>
      <w:r>
        <w:rPr>
          <w:rFonts w:hint="cs"/>
          <w:rtl/>
          <w:lang w:eastAsia="he-IL"/>
        </w:rPr>
        <w:tab/>
        <w:t>–   בעד</w:t>
      </w:r>
    </w:p>
    <w:p w:rsidR="00BB59CD" w:rsidRDefault="00BB59CD" w:rsidP="00BB59CD">
      <w:pPr>
        <w:rPr>
          <w:rtl/>
          <w:lang w:eastAsia="he-IL"/>
        </w:rPr>
      </w:pPr>
      <w:r>
        <w:rPr>
          <w:rFonts w:hint="cs"/>
          <w:rtl/>
          <w:lang w:eastAsia="he-IL"/>
        </w:rPr>
        <w:t>משה סעדה</w:t>
      </w:r>
      <w:r>
        <w:rPr>
          <w:rFonts w:hint="cs"/>
          <w:rtl/>
          <w:lang w:eastAsia="he-IL"/>
        </w:rPr>
        <w:tab/>
      </w:r>
      <w:r>
        <w:rPr>
          <w:rFonts w:hint="cs"/>
          <w:rtl/>
          <w:lang w:eastAsia="he-IL"/>
        </w:rPr>
        <w:tab/>
        <w:t>–   בעד</w:t>
      </w:r>
    </w:p>
    <w:p w:rsidR="00BB59CD" w:rsidRDefault="00BB59CD" w:rsidP="00BB59CD">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BB59CD" w:rsidRDefault="00BB59CD" w:rsidP="00BB59CD">
      <w:pPr>
        <w:rPr>
          <w:rtl/>
          <w:lang w:eastAsia="he-IL"/>
        </w:rPr>
      </w:pPr>
      <w:r>
        <w:rPr>
          <w:rFonts w:hint="cs"/>
          <w:rtl/>
          <w:lang w:eastAsia="he-IL"/>
        </w:rPr>
        <w:t>יוסף עטאונה</w:t>
      </w:r>
      <w:r>
        <w:rPr>
          <w:rFonts w:hint="cs"/>
          <w:rtl/>
          <w:lang w:eastAsia="he-IL"/>
        </w:rPr>
        <w:tab/>
        <w:t xml:space="preserve">    </w:t>
      </w:r>
      <w:bookmarkStart w:id="83734" w:name="_ETM_Q178_746000"/>
      <w:bookmarkEnd w:id="83734"/>
      <w:r>
        <w:rPr>
          <w:rFonts w:hint="cs"/>
          <w:rtl/>
          <w:lang w:eastAsia="he-IL"/>
        </w:rPr>
        <w:t xml:space="preserve">        –   אינו נוכח</w:t>
      </w:r>
    </w:p>
    <w:p w:rsidR="00BB59CD" w:rsidRDefault="00BB59CD" w:rsidP="00BB59CD">
      <w:pPr>
        <w:rPr>
          <w:rtl/>
          <w:lang w:eastAsia="he-IL"/>
        </w:rPr>
      </w:pPr>
      <w:r>
        <w:rPr>
          <w:rFonts w:hint="cs"/>
          <w:rtl/>
          <w:lang w:eastAsia="he-IL"/>
        </w:rPr>
        <w:t>חוה אתי עטייה</w:t>
      </w:r>
      <w:r>
        <w:rPr>
          <w:rFonts w:hint="cs"/>
          <w:rtl/>
          <w:lang w:eastAsia="he-IL"/>
        </w:rPr>
        <w:tab/>
      </w:r>
      <w:r>
        <w:rPr>
          <w:rFonts w:hint="cs"/>
          <w:rtl/>
          <w:lang w:eastAsia="he-IL"/>
        </w:rPr>
        <w:tab/>
        <w:t>–   בעד</w:t>
      </w:r>
    </w:p>
    <w:p w:rsidR="00BB59CD" w:rsidRDefault="00BB59CD" w:rsidP="00BB59CD">
      <w:pPr>
        <w:rPr>
          <w:rtl/>
        </w:rPr>
      </w:pPr>
      <w:bookmarkStart w:id="83735" w:name="_ETM_Q178_761000"/>
      <w:bookmarkStart w:id="83736" w:name="TOR_Q179"/>
      <w:bookmarkStart w:id="83737" w:name="_ETM_Q179_180480"/>
      <w:bookmarkEnd w:id="83735"/>
      <w:bookmarkEnd w:id="83736"/>
      <w:bookmarkEnd w:id="83737"/>
      <w:r>
        <w:rPr>
          <w:rFonts w:hint="cs"/>
          <w:rtl/>
        </w:rPr>
        <w:t>חמד עמאר</w:t>
      </w:r>
      <w:r>
        <w:rPr>
          <w:rFonts w:hint="cs"/>
          <w:rtl/>
        </w:rPr>
        <w:tab/>
      </w:r>
      <w:r>
        <w:rPr>
          <w:rFonts w:hint="cs"/>
          <w:rtl/>
        </w:rPr>
        <w:tab/>
        <w:t>–   אינו נוכח</w:t>
      </w:r>
    </w:p>
    <w:p w:rsidR="00BB59CD" w:rsidRDefault="00BB59CD" w:rsidP="00BB59CD">
      <w:pPr>
        <w:rPr>
          <w:rtl/>
        </w:rPr>
      </w:pPr>
      <w:r>
        <w:rPr>
          <w:rFonts w:hint="cs"/>
          <w:rtl/>
        </w:rPr>
        <w:t>צביקה פוגל</w:t>
      </w:r>
      <w:r>
        <w:rPr>
          <w:rFonts w:hint="cs"/>
          <w:rtl/>
        </w:rPr>
        <w:tab/>
      </w:r>
      <w:r>
        <w:rPr>
          <w:rFonts w:hint="cs"/>
          <w:rtl/>
        </w:rPr>
        <w:tab/>
        <w:t>–   בעד</w:t>
      </w:r>
    </w:p>
    <w:p w:rsidR="00BB59CD" w:rsidRDefault="00BB59CD" w:rsidP="00BB59CD">
      <w:pPr>
        <w:rPr>
          <w:rtl/>
        </w:rPr>
      </w:pPr>
      <w:r>
        <w:rPr>
          <w:rFonts w:hint="cs"/>
          <w:rtl/>
        </w:rPr>
        <w:t>עודד פורר</w:t>
      </w:r>
      <w:r>
        <w:rPr>
          <w:rFonts w:hint="cs"/>
          <w:rtl/>
        </w:rPr>
        <w:tab/>
      </w:r>
      <w:r>
        <w:rPr>
          <w:rFonts w:hint="cs"/>
          <w:rtl/>
        </w:rPr>
        <w:tab/>
        <w:t>–   אינו נוכח</w:t>
      </w:r>
    </w:p>
    <w:p w:rsidR="00BB59CD" w:rsidRDefault="00BB59CD" w:rsidP="00BB59CD">
      <w:pPr>
        <w:rPr>
          <w:rtl/>
        </w:rPr>
      </w:pPr>
      <w:r>
        <w:rPr>
          <w:rFonts w:hint="cs"/>
          <w:rtl/>
        </w:rPr>
        <w:t>יצחק פינדרוס</w:t>
      </w:r>
      <w:r>
        <w:rPr>
          <w:rFonts w:hint="cs"/>
          <w:rtl/>
        </w:rPr>
        <w:tab/>
      </w:r>
      <w:r>
        <w:rPr>
          <w:rFonts w:hint="cs"/>
          <w:rtl/>
        </w:rPr>
        <w:tab/>
        <w:t>–   בעד</w:t>
      </w:r>
    </w:p>
    <w:p w:rsidR="00BB59CD" w:rsidRDefault="00BB59CD" w:rsidP="00BB59CD">
      <w:pPr>
        <w:rPr>
          <w:rtl/>
        </w:rPr>
      </w:pPr>
      <w:r>
        <w:rPr>
          <w:rFonts w:hint="cs"/>
          <w:rtl/>
        </w:rPr>
        <w:t>משה פסל</w:t>
      </w:r>
      <w:r>
        <w:rPr>
          <w:rFonts w:hint="cs"/>
          <w:rtl/>
        </w:rPr>
        <w:tab/>
      </w:r>
      <w:r>
        <w:rPr>
          <w:rFonts w:hint="cs"/>
          <w:rtl/>
        </w:rPr>
        <w:tab/>
        <w:t>–   בעד</w:t>
      </w:r>
    </w:p>
    <w:p w:rsidR="00BB59CD" w:rsidRDefault="00BB59CD" w:rsidP="00BB59CD">
      <w:pPr>
        <w:rPr>
          <w:rtl/>
        </w:rPr>
      </w:pPr>
      <w:r>
        <w:rPr>
          <w:rFonts w:hint="cs"/>
          <w:rtl/>
        </w:rPr>
        <w:t>יסמין פרידמן</w:t>
      </w:r>
      <w:r>
        <w:rPr>
          <w:rFonts w:hint="cs"/>
          <w:rtl/>
        </w:rPr>
        <w:tab/>
      </w:r>
      <w:r>
        <w:rPr>
          <w:rFonts w:hint="cs"/>
          <w:rtl/>
        </w:rPr>
        <w:tab/>
        <w:t>–   אינה נוכחת</w:t>
      </w:r>
    </w:p>
    <w:p w:rsidR="00BB59CD" w:rsidRDefault="00BB59CD" w:rsidP="00BB59CD">
      <w:pPr>
        <w:rPr>
          <w:rtl/>
        </w:rPr>
      </w:pPr>
      <w:r>
        <w:rPr>
          <w:rFonts w:hint="cs"/>
          <w:rtl/>
        </w:rPr>
        <w:t>אורית פרקש הכהן</w:t>
      </w:r>
      <w:r>
        <w:rPr>
          <w:rFonts w:hint="cs"/>
          <w:rtl/>
        </w:rPr>
        <w:tab/>
        <w:t>–   אינה נוכחת</w:t>
      </w:r>
    </w:p>
    <w:p w:rsidR="00BB59CD" w:rsidRDefault="00BB59CD" w:rsidP="00BB59CD">
      <w:pPr>
        <w:rPr>
          <w:rtl/>
        </w:rPr>
      </w:pPr>
      <w:r>
        <w:rPr>
          <w:rFonts w:hint="cs"/>
          <w:rtl/>
        </w:rPr>
        <w:t>מטי צרפתי הרכבי</w:t>
      </w:r>
      <w:r>
        <w:rPr>
          <w:rFonts w:hint="cs"/>
          <w:rtl/>
        </w:rPr>
        <w:tab/>
        <w:t>–   אינה נוכחת</w:t>
      </w:r>
    </w:p>
    <w:p w:rsidR="00BB59CD" w:rsidRDefault="00BB59CD" w:rsidP="00BB59CD">
      <w:pPr>
        <w:rPr>
          <w:rtl/>
        </w:rPr>
      </w:pPr>
      <w:r>
        <w:rPr>
          <w:rFonts w:hint="cs"/>
          <w:rtl/>
        </w:rPr>
        <w:t>אריאל קלנר</w:t>
      </w:r>
      <w:r>
        <w:rPr>
          <w:rFonts w:hint="cs"/>
          <w:rtl/>
        </w:rPr>
        <w:tab/>
      </w:r>
      <w:r>
        <w:rPr>
          <w:rFonts w:hint="cs"/>
          <w:rtl/>
        </w:rPr>
        <w:tab/>
        <w:t>–   בעד</w:t>
      </w:r>
    </w:p>
    <w:p w:rsidR="00BB59CD" w:rsidRDefault="00BB59CD" w:rsidP="00BB59CD">
      <w:pPr>
        <w:rPr>
          <w:rtl/>
        </w:rPr>
      </w:pPr>
      <w:r>
        <w:rPr>
          <w:rFonts w:hint="cs"/>
          <w:rtl/>
        </w:rPr>
        <w:t>יצחק קרויזר</w:t>
      </w:r>
      <w:r>
        <w:rPr>
          <w:rFonts w:hint="cs"/>
          <w:rtl/>
        </w:rPr>
        <w:tab/>
      </w:r>
      <w:r>
        <w:rPr>
          <w:rFonts w:hint="cs"/>
          <w:rtl/>
        </w:rPr>
        <w:tab/>
        <w:t>–   בעד</w:t>
      </w:r>
    </w:p>
    <w:p w:rsidR="00BB59CD" w:rsidRDefault="00BB59CD" w:rsidP="00BB59CD">
      <w:pPr>
        <w:rPr>
          <w:rtl/>
        </w:rPr>
      </w:pPr>
      <w:r>
        <w:rPr>
          <w:rFonts w:hint="cs"/>
          <w:rtl/>
        </w:rPr>
        <w:t>גלעד קריב</w:t>
      </w:r>
      <w:r>
        <w:rPr>
          <w:rFonts w:hint="cs"/>
          <w:rtl/>
        </w:rPr>
        <w:tab/>
      </w:r>
      <w:r>
        <w:rPr>
          <w:rFonts w:hint="cs"/>
          <w:rtl/>
        </w:rPr>
        <w:tab/>
        <w:t>–   אינו נוכח</w:t>
      </w:r>
    </w:p>
    <w:p w:rsidR="00BB59CD" w:rsidRDefault="00BB59CD" w:rsidP="00BB59CD">
      <w:pPr>
        <w:rPr>
          <w:rtl/>
        </w:rPr>
      </w:pPr>
      <w:r>
        <w:rPr>
          <w:rFonts w:hint="cs"/>
          <w:rtl/>
        </w:rPr>
        <w:t>שלמה קרעי</w:t>
      </w:r>
      <w:r>
        <w:rPr>
          <w:rFonts w:hint="cs"/>
          <w:rtl/>
        </w:rPr>
        <w:tab/>
      </w:r>
      <w:r>
        <w:rPr>
          <w:rFonts w:hint="cs"/>
          <w:rtl/>
        </w:rPr>
        <w:tab/>
        <w:t>–   בעד</w:t>
      </w:r>
    </w:p>
    <w:p w:rsidR="00BB59CD" w:rsidRDefault="00BB59CD" w:rsidP="00BB59CD">
      <w:pPr>
        <w:rPr>
          <w:rtl/>
        </w:rPr>
      </w:pPr>
      <w:r>
        <w:rPr>
          <w:rFonts w:hint="cs"/>
          <w:rtl/>
        </w:rPr>
        <w:t>אליהו רביבו</w:t>
      </w:r>
      <w:r>
        <w:rPr>
          <w:rFonts w:hint="cs"/>
          <w:rtl/>
        </w:rPr>
        <w:tab/>
      </w:r>
      <w:r>
        <w:rPr>
          <w:rFonts w:hint="cs"/>
          <w:rtl/>
        </w:rPr>
        <w:tab/>
        <w:t>–   בעד</w:t>
      </w:r>
    </w:p>
    <w:p w:rsidR="00BB59CD" w:rsidRDefault="00BB59CD" w:rsidP="00BB59CD">
      <w:pPr>
        <w:rPr>
          <w:rtl/>
        </w:rPr>
      </w:pPr>
      <w:r>
        <w:rPr>
          <w:rFonts w:hint="cs"/>
          <w:rtl/>
        </w:rPr>
        <w:t>משה רוט</w:t>
      </w:r>
      <w:r>
        <w:rPr>
          <w:rFonts w:hint="cs"/>
          <w:rtl/>
        </w:rPr>
        <w:tab/>
      </w:r>
      <w:r>
        <w:rPr>
          <w:rFonts w:hint="cs"/>
          <w:rtl/>
        </w:rPr>
        <w:tab/>
        <w:t>–   בעד</w:t>
      </w:r>
    </w:p>
    <w:p w:rsidR="00BB59CD" w:rsidRDefault="00BB59CD" w:rsidP="00BB59CD">
      <w:pPr>
        <w:rPr>
          <w:rtl/>
        </w:rPr>
      </w:pPr>
      <w:r>
        <w:rPr>
          <w:rFonts w:hint="cs"/>
          <w:rtl/>
        </w:rPr>
        <w:t>שמחה רוטמן</w:t>
      </w:r>
      <w:r>
        <w:rPr>
          <w:rFonts w:hint="cs"/>
          <w:rtl/>
        </w:rPr>
        <w:tab/>
      </w:r>
      <w:r>
        <w:rPr>
          <w:rFonts w:hint="cs"/>
          <w:rtl/>
        </w:rPr>
        <w:tab/>
        <w:t>–   בעד</w:t>
      </w:r>
    </w:p>
    <w:p w:rsidR="00BB59CD" w:rsidRDefault="00BB59CD" w:rsidP="00BB59CD">
      <w:pPr>
        <w:rPr>
          <w:rtl/>
        </w:rPr>
      </w:pPr>
      <w:r>
        <w:rPr>
          <w:rFonts w:hint="cs"/>
          <w:rtl/>
        </w:rPr>
        <w:t>עידן רול</w:t>
      </w:r>
      <w:r>
        <w:rPr>
          <w:rFonts w:hint="cs"/>
          <w:rtl/>
        </w:rPr>
        <w:tab/>
      </w:r>
      <w:r>
        <w:rPr>
          <w:rFonts w:hint="cs"/>
          <w:rtl/>
        </w:rPr>
        <w:tab/>
      </w:r>
      <w:r>
        <w:rPr>
          <w:rFonts w:hint="cs"/>
          <w:rtl/>
        </w:rPr>
        <w:tab/>
        <w:t>–   אינו נוכח</w:t>
      </w:r>
    </w:p>
    <w:p w:rsidR="00BB59CD" w:rsidRDefault="00BB59CD" w:rsidP="00BB59CD">
      <w:pPr>
        <w:rPr>
          <w:rtl/>
        </w:rPr>
      </w:pPr>
      <w:r>
        <w:rPr>
          <w:rFonts w:hint="cs"/>
          <w:rtl/>
        </w:rPr>
        <w:t>אפרת רייטן מרום</w:t>
      </w:r>
      <w:r>
        <w:rPr>
          <w:rFonts w:hint="cs"/>
          <w:rtl/>
        </w:rPr>
        <w:tab/>
        <w:t>–   אינה נוכחת</w:t>
      </w:r>
    </w:p>
    <w:p w:rsidR="00BB59CD" w:rsidRDefault="00BB59CD" w:rsidP="00BB59CD">
      <w:pPr>
        <w:rPr>
          <w:rtl/>
        </w:rPr>
      </w:pPr>
      <w:r>
        <w:rPr>
          <w:rFonts w:hint="cs"/>
          <w:rtl/>
        </w:rPr>
        <w:t>יפעת שאשא ביטון</w:t>
      </w:r>
      <w:r>
        <w:rPr>
          <w:rFonts w:hint="cs"/>
          <w:rtl/>
        </w:rPr>
        <w:tab/>
        <w:t>–   אינה נוכחת</w:t>
      </w:r>
    </w:p>
    <w:p w:rsidR="00BB59CD" w:rsidRDefault="00BB59CD" w:rsidP="00BB59CD">
      <w:pPr>
        <w:rPr>
          <w:rtl/>
        </w:rPr>
      </w:pPr>
      <w:r>
        <w:rPr>
          <w:rFonts w:hint="cs"/>
          <w:rtl/>
        </w:rPr>
        <w:t>אלון שוסטר</w:t>
      </w:r>
      <w:r>
        <w:rPr>
          <w:rFonts w:hint="cs"/>
          <w:rtl/>
        </w:rPr>
        <w:tab/>
      </w:r>
      <w:r>
        <w:rPr>
          <w:rFonts w:hint="cs"/>
          <w:rtl/>
        </w:rPr>
        <w:tab/>
        <w:t>–   אינו נוכח</w:t>
      </w:r>
    </w:p>
    <w:p w:rsidR="00BB59CD" w:rsidRDefault="00BB59CD" w:rsidP="00BB59CD">
      <w:pPr>
        <w:rPr>
          <w:rtl/>
        </w:rPr>
      </w:pPr>
      <w:r>
        <w:rPr>
          <w:rFonts w:hint="cs"/>
          <w:rtl/>
        </w:rPr>
        <w:t>קטי קטרין שטרית</w:t>
      </w:r>
      <w:r>
        <w:rPr>
          <w:rFonts w:hint="cs"/>
          <w:rtl/>
        </w:rPr>
        <w:tab/>
        <w:t>–   בעד</w:t>
      </w:r>
    </w:p>
    <w:p w:rsidR="00BB59CD" w:rsidRDefault="00BB59CD" w:rsidP="00BB59CD">
      <w:pPr>
        <w:rPr>
          <w:rtl/>
        </w:rPr>
      </w:pPr>
      <w:r>
        <w:rPr>
          <w:rFonts w:hint="cs"/>
          <w:rtl/>
        </w:rPr>
        <w:t>אלעזר שטרן</w:t>
      </w:r>
      <w:r>
        <w:rPr>
          <w:rFonts w:hint="cs"/>
          <w:rtl/>
        </w:rPr>
        <w:tab/>
      </w:r>
      <w:r>
        <w:rPr>
          <w:rFonts w:hint="cs"/>
          <w:rtl/>
        </w:rPr>
        <w:tab/>
        <w:t>–   אינו נוכח</w:t>
      </w:r>
    </w:p>
    <w:p w:rsidR="00BB59CD" w:rsidRDefault="00BB59CD" w:rsidP="00BB59CD">
      <w:pPr>
        <w:rPr>
          <w:rtl/>
        </w:rPr>
      </w:pPr>
      <w:r>
        <w:rPr>
          <w:rFonts w:hint="cs"/>
          <w:rtl/>
        </w:rPr>
        <w:t>מיכל שיר סגמן</w:t>
      </w:r>
      <w:r>
        <w:rPr>
          <w:rFonts w:hint="cs"/>
          <w:rtl/>
        </w:rPr>
        <w:tab/>
      </w:r>
      <w:r>
        <w:rPr>
          <w:rFonts w:hint="cs"/>
          <w:rtl/>
        </w:rPr>
        <w:tab/>
        <w:t>–   אינה נוכחת</w:t>
      </w:r>
    </w:p>
    <w:p w:rsidR="00BB59CD" w:rsidRDefault="00BB59CD" w:rsidP="00BB59CD">
      <w:pPr>
        <w:rPr>
          <w:rtl/>
        </w:rPr>
      </w:pPr>
      <w:r>
        <w:rPr>
          <w:rFonts w:hint="cs"/>
          <w:rtl/>
        </w:rPr>
        <w:t>נאור שירי</w:t>
      </w:r>
      <w:r>
        <w:rPr>
          <w:rFonts w:hint="cs"/>
          <w:rtl/>
        </w:rPr>
        <w:tab/>
      </w:r>
      <w:r>
        <w:rPr>
          <w:rFonts w:hint="cs"/>
          <w:rtl/>
        </w:rPr>
        <w:tab/>
        <w:t>–   אינו נוכח</w:t>
      </w:r>
    </w:p>
    <w:p w:rsidR="00BB59CD" w:rsidRDefault="00BB59CD" w:rsidP="00BB59CD">
      <w:pPr>
        <w:rPr>
          <w:rtl/>
        </w:rPr>
      </w:pPr>
      <w:r>
        <w:rPr>
          <w:rFonts w:hint="cs"/>
          <w:rtl/>
        </w:rPr>
        <w:t>אושר שקלים</w:t>
      </w:r>
      <w:r>
        <w:rPr>
          <w:rFonts w:hint="cs"/>
          <w:rtl/>
        </w:rPr>
        <w:tab/>
      </w:r>
      <w:r>
        <w:rPr>
          <w:rFonts w:hint="cs"/>
          <w:rtl/>
        </w:rPr>
        <w:tab/>
        <w:t>–   בעד</w:t>
      </w:r>
    </w:p>
    <w:p w:rsidR="00BB59CD" w:rsidRDefault="00BB59CD" w:rsidP="00BB59CD">
      <w:pPr>
        <w:rPr>
          <w:rtl/>
        </w:rPr>
      </w:pPr>
      <w:r>
        <w:rPr>
          <w:rFonts w:hint="cs"/>
          <w:rtl/>
        </w:rPr>
        <w:t>עאידה תומא סלימאן</w:t>
      </w:r>
      <w:r>
        <w:rPr>
          <w:rFonts w:hint="cs"/>
          <w:rtl/>
        </w:rPr>
        <w:tab/>
        <w:t>–   אינה נוכחת</w:t>
      </w:r>
    </w:p>
    <w:p w:rsidR="00BB59CD" w:rsidRDefault="00BB59CD" w:rsidP="00BB59CD">
      <w:pPr>
        <w:rPr>
          <w:rtl/>
        </w:rPr>
      </w:pPr>
      <w:r>
        <w:rPr>
          <w:rFonts w:hint="cs"/>
          <w:rtl/>
        </w:rPr>
        <w:t>פנינה תמנו</w:t>
      </w:r>
      <w:r>
        <w:rPr>
          <w:rFonts w:hint="cs"/>
          <w:rtl/>
        </w:rPr>
        <w:tab/>
      </w:r>
      <w:r>
        <w:rPr>
          <w:rFonts w:hint="cs"/>
          <w:rtl/>
        </w:rPr>
        <w:tab/>
        <w:t>–   אינה נוכחת</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מזכיר הכנסת, אנא קרא בשמות חברי הכנסת שטרם הצביעו.</w:t>
      </w:r>
    </w:p>
    <w:p w:rsidR="00BB59CD" w:rsidRDefault="00BB59CD" w:rsidP="00BB59CD">
      <w:pPr>
        <w:rPr>
          <w:rtl/>
          <w:lang w:eastAsia="he-IL"/>
        </w:rPr>
      </w:pPr>
    </w:p>
    <w:p w:rsidR="00BB59CD" w:rsidRDefault="00BB59CD" w:rsidP="00BB59CD">
      <w:pPr>
        <w:pStyle w:val="af8"/>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BB59CD" w:rsidRDefault="00BB59CD" w:rsidP="00BB59CD">
      <w:pPr>
        <w:ind w:firstLine="0"/>
        <w:rPr>
          <w:rtl/>
          <w:lang w:eastAsia="he-IL"/>
        </w:rPr>
      </w:pPr>
      <w:r>
        <w:rPr>
          <w:rFonts w:hint="cs"/>
          <w:rtl/>
          <w:lang w:eastAsia="he-IL"/>
        </w:rPr>
        <w:t>(קורא בשמות חברי הכנסת)</w:t>
      </w:r>
    </w:p>
    <w:p w:rsidR="00BB59CD" w:rsidRDefault="00BB59CD" w:rsidP="00BB59CD">
      <w:pPr>
        <w:rPr>
          <w:rtl/>
          <w:lang w:eastAsia="he-IL"/>
        </w:rPr>
      </w:pPr>
    </w:p>
    <w:p w:rsidR="00BB59CD" w:rsidRDefault="00BB59CD" w:rsidP="00BB59CD">
      <w:pPr>
        <w:rPr>
          <w:rtl/>
          <w:lang w:eastAsia="he-IL"/>
        </w:rPr>
      </w:pPr>
      <w:r>
        <w:rPr>
          <w:rFonts w:hint="cs"/>
          <w:rtl/>
          <w:lang w:eastAsia="he-IL"/>
        </w:rPr>
        <w:t>גדי איזנקוט</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ואליד אלהואשלה</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זאב אלקין</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מיכאל מרדכי ביטון</w:t>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ולדימיר בליאק</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רם בן ברק</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בנימין גנץ</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סימון דוידסון</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יאסר חוג'יראת</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אימאן ח'טיב יאסין</w:t>
      </w:r>
      <w:r>
        <w:rPr>
          <w:rFonts w:hint="cs"/>
          <w:rtl/>
          <w:lang w:eastAsia="he-IL"/>
        </w:rPr>
        <w:tab/>
        <w:t>–   אינה נוכחת</w:t>
      </w:r>
    </w:p>
    <w:p w:rsidR="00BB59CD" w:rsidRDefault="00BB59CD" w:rsidP="00BB59CD">
      <w:pPr>
        <w:rPr>
          <w:rtl/>
          <w:lang w:eastAsia="he-IL"/>
        </w:rPr>
      </w:pPr>
      <w:r>
        <w:rPr>
          <w:rFonts w:hint="cs"/>
          <w:rtl/>
          <w:lang w:eastAsia="he-IL"/>
        </w:rPr>
        <w:t>ווליד טאהא</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בועז טופורובסקי</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משה טור פז</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אחמד טיבי</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חילי טרופר</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מאיר כהן</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מירב כהן</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מתן כהנא</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עופר כסיף</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יוראי להב הרצנו</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אביגדור ליברמן</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יאיר לפיד</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שלי טל מירון</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xml:space="preserve">–   אינה </w:t>
      </w:r>
      <w:bookmarkStart w:id="83738" w:name="_ETM_Q179_320878"/>
      <w:bookmarkEnd w:id="83738"/>
      <w:r>
        <w:rPr>
          <w:rFonts w:hint="cs"/>
          <w:rtl/>
          <w:lang w:eastAsia="he-IL"/>
        </w:rPr>
        <w:t>נוכחת</w:t>
      </w:r>
    </w:p>
    <w:p w:rsidR="00BB59CD" w:rsidRDefault="00BB59CD" w:rsidP="00BB59CD">
      <w:pPr>
        <w:rPr>
          <w:rtl/>
          <w:lang w:eastAsia="he-IL"/>
        </w:rPr>
      </w:pPr>
      <w:r>
        <w:rPr>
          <w:rFonts w:hint="cs"/>
          <w:rtl/>
          <w:lang w:eastAsia="he-IL"/>
        </w:rPr>
        <w:t>יואב סגלוביץ'</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יבגני סובה</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גדעון סער</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מנסור עבאס</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איימן עודה</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יוסף עטאונה</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חמד עמאר</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עודד פורר</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יסמין פרידמן</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אורית פרקש הכהן</w:t>
      </w:r>
      <w:r>
        <w:rPr>
          <w:rFonts w:hint="cs"/>
          <w:rtl/>
          <w:lang w:eastAsia="he-IL"/>
        </w:rPr>
        <w:tab/>
        <w:t>–   אינה נוכחת</w:t>
      </w:r>
    </w:p>
    <w:p w:rsidR="00BB59CD" w:rsidRDefault="00BB59CD" w:rsidP="00BB59CD">
      <w:pPr>
        <w:rPr>
          <w:rtl/>
          <w:lang w:eastAsia="he-IL"/>
        </w:rPr>
      </w:pPr>
      <w:r>
        <w:rPr>
          <w:rFonts w:hint="cs"/>
          <w:rtl/>
          <w:lang w:eastAsia="he-IL"/>
        </w:rPr>
        <w:t>מטי צרפתי הרכבי</w:t>
      </w:r>
      <w:r>
        <w:rPr>
          <w:rFonts w:hint="cs"/>
          <w:rtl/>
          <w:lang w:eastAsia="he-IL"/>
        </w:rPr>
        <w:tab/>
        <w:t>–   אינה נוכחת</w:t>
      </w:r>
    </w:p>
    <w:p w:rsidR="00BB59CD" w:rsidRDefault="00BB59CD" w:rsidP="00BB59CD">
      <w:pPr>
        <w:rPr>
          <w:rtl/>
          <w:lang w:eastAsia="he-IL"/>
        </w:rPr>
      </w:pPr>
      <w:r>
        <w:rPr>
          <w:rFonts w:hint="cs"/>
          <w:rtl/>
          <w:lang w:eastAsia="he-IL"/>
        </w:rPr>
        <w:t>גלעד קריב</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אפרת רייטן מרום</w:t>
      </w:r>
      <w:r>
        <w:rPr>
          <w:rFonts w:hint="cs"/>
          <w:rtl/>
          <w:lang w:eastAsia="he-IL"/>
        </w:rPr>
        <w:tab/>
        <w:t>–   אינה נוכחת</w:t>
      </w:r>
    </w:p>
    <w:p w:rsidR="00BB59CD" w:rsidRDefault="00BB59CD" w:rsidP="00BB59CD">
      <w:pPr>
        <w:rPr>
          <w:rtl/>
          <w:lang w:eastAsia="he-IL"/>
        </w:rPr>
      </w:pPr>
      <w:r>
        <w:rPr>
          <w:rFonts w:hint="cs"/>
          <w:rtl/>
          <w:lang w:eastAsia="he-IL"/>
        </w:rPr>
        <w:t>יפעת שאשא ביטון</w:t>
      </w:r>
      <w:r>
        <w:rPr>
          <w:rFonts w:hint="cs"/>
          <w:rtl/>
          <w:lang w:eastAsia="he-IL"/>
        </w:rPr>
        <w:tab/>
        <w:t>–   אינה נוכחת</w:t>
      </w:r>
    </w:p>
    <w:p w:rsidR="00BB59CD" w:rsidRDefault="00BB59CD" w:rsidP="00BB59CD">
      <w:pPr>
        <w:rPr>
          <w:rtl/>
          <w:lang w:eastAsia="he-IL"/>
        </w:rPr>
      </w:pPr>
      <w:r>
        <w:rPr>
          <w:rFonts w:hint="cs"/>
          <w:rtl/>
          <w:lang w:eastAsia="he-IL"/>
        </w:rPr>
        <w:t>אלון שוסטר</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אלעזר שטרן</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מיכל שיר סגמן</w:t>
      </w:r>
      <w:r>
        <w:rPr>
          <w:rFonts w:hint="cs"/>
          <w:rtl/>
          <w:lang w:eastAsia="he-IL"/>
        </w:rPr>
        <w:tab/>
      </w:r>
      <w:r>
        <w:rPr>
          <w:rFonts w:hint="cs"/>
          <w:rtl/>
          <w:lang w:eastAsia="he-IL"/>
        </w:rPr>
        <w:tab/>
        <w:t>–   אינה נוכחת</w:t>
      </w:r>
    </w:p>
    <w:p w:rsidR="00BB59CD" w:rsidRDefault="00BB59CD" w:rsidP="00BB59CD">
      <w:pPr>
        <w:rPr>
          <w:rtl/>
          <w:lang w:eastAsia="he-IL"/>
        </w:rPr>
      </w:pPr>
      <w:r>
        <w:rPr>
          <w:rFonts w:hint="cs"/>
          <w:rtl/>
          <w:lang w:eastAsia="he-IL"/>
        </w:rPr>
        <w:t>נאור שירי</w:t>
      </w:r>
      <w:r>
        <w:rPr>
          <w:rFonts w:hint="cs"/>
          <w:rtl/>
          <w:lang w:eastAsia="he-IL"/>
        </w:rPr>
        <w:tab/>
      </w:r>
      <w:r>
        <w:rPr>
          <w:rFonts w:hint="cs"/>
          <w:rtl/>
          <w:lang w:eastAsia="he-IL"/>
        </w:rPr>
        <w:tab/>
        <w:t xml:space="preserve">–   </w:t>
      </w:r>
      <w:r>
        <w:rPr>
          <w:rFonts w:hint="cs"/>
          <w:rtl/>
        </w:rPr>
        <w:t>אינו נוכח</w:t>
      </w:r>
    </w:p>
    <w:p w:rsidR="00BB59CD" w:rsidRDefault="00BB59CD" w:rsidP="00BB59CD">
      <w:pPr>
        <w:rPr>
          <w:rtl/>
          <w:lang w:eastAsia="he-IL"/>
        </w:rPr>
      </w:pPr>
      <w:r>
        <w:rPr>
          <w:rFonts w:hint="cs"/>
          <w:rtl/>
          <w:lang w:eastAsia="he-IL"/>
        </w:rPr>
        <w:t>עאידה תומא סלימאן</w:t>
      </w:r>
      <w:r>
        <w:rPr>
          <w:rFonts w:hint="cs"/>
          <w:rtl/>
          <w:lang w:eastAsia="he-IL"/>
        </w:rPr>
        <w:tab/>
        <w:t>–   אינה נוכחת</w:t>
      </w:r>
    </w:p>
    <w:p w:rsidR="00BB59CD" w:rsidRDefault="00BB59CD" w:rsidP="00BB59CD">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bookmarkStart w:id="83739" w:name="_ETM_Q179_404754"/>
      <w:bookmarkStart w:id="83740" w:name="_ETM_Q179_404855"/>
      <w:bookmarkEnd w:id="83739"/>
      <w:bookmarkEnd w:id="83740"/>
    </w:p>
    <w:p w:rsidR="00BB59CD" w:rsidRDefault="00BB59CD" w:rsidP="00BB59CD">
      <w:pPr>
        <w:rPr>
          <w:rtl/>
        </w:rPr>
      </w:pPr>
      <w:bookmarkStart w:id="83741" w:name="_ETM_Q179_406988"/>
      <w:bookmarkEnd w:id="83741"/>
      <w:r>
        <w:rPr>
          <w:rFonts w:hint="cs"/>
          <w:rtl/>
          <w:lang w:eastAsia="he-IL"/>
        </w:rPr>
        <w:t xml:space="preserve">האם נוכחים במליאת הכנסת חברי כנסת </w:t>
      </w:r>
      <w:bookmarkStart w:id="83742" w:name="_ETM_Q179_374107"/>
      <w:bookmarkEnd w:id="83742"/>
      <w:r>
        <w:rPr>
          <w:rFonts w:hint="cs"/>
          <w:rtl/>
          <w:lang w:eastAsia="he-IL"/>
        </w:rPr>
        <w:t xml:space="preserve">שטרם הצביעו ומעוניינים לעשות כן? אם לאו, תמה ההצבעה. מזכיר הכנסת, נא לקרוא את השמות. </w:t>
      </w:r>
      <w:bookmarkStart w:id="83743" w:name="_ETM_Q179_418033"/>
      <w:bookmarkStart w:id="83744" w:name="_ETM_Q179_418102"/>
      <w:bookmarkStart w:id="83745" w:name="_ETM_Q179_418194"/>
      <w:bookmarkStart w:id="83746" w:name="_ETM_Q179_418234"/>
      <w:bookmarkStart w:id="83747" w:name="_ETM_Q179_456370"/>
      <w:bookmarkStart w:id="83748" w:name="_ETM_Q179_464529"/>
      <w:bookmarkStart w:id="83749" w:name="_ETM_Q179_464699"/>
      <w:bookmarkEnd w:id="83743"/>
      <w:bookmarkEnd w:id="83744"/>
      <w:bookmarkEnd w:id="83745"/>
      <w:bookmarkEnd w:id="83746"/>
      <w:bookmarkEnd w:id="83747"/>
      <w:bookmarkEnd w:id="83748"/>
      <w:bookmarkEnd w:id="83749"/>
      <w:r>
        <w:rPr>
          <w:rFonts w:hint="cs"/>
          <w:rtl/>
        </w:rPr>
        <w:t xml:space="preserve">אם </w:t>
      </w:r>
      <w:bookmarkStart w:id="83750" w:name="_ETM_Q179_464939"/>
      <w:bookmarkEnd w:id="83750"/>
      <w:r>
        <w:rPr>
          <w:rFonts w:hint="cs"/>
          <w:rtl/>
        </w:rPr>
        <w:t xml:space="preserve">כן, </w:t>
      </w:r>
      <w:bookmarkStart w:id="83751" w:name="_ETM_Q179_465150"/>
      <w:bookmarkEnd w:id="83751"/>
      <w:r>
        <w:rPr>
          <w:rFonts w:hint="cs"/>
          <w:rtl/>
        </w:rPr>
        <w:t xml:space="preserve">להלן </w:t>
      </w:r>
      <w:bookmarkStart w:id="83752" w:name="_ETM_Q179_465479"/>
      <w:bookmarkEnd w:id="83752"/>
      <w:r>
        <w:rPr>
          <w:rFonts w:hint="cs"/>
          <w:rtl/>
        </w:rPr>
        <w:t xml:space="preserve">תוצאות </w:t>
      </w:r>
      <w:bookmarkStart w:id="83753" w:name="_ETM_Q179_465870"/>
      <w:bookmarkEnd w:id="83753"/>
      <w:r>
        <w:rPr>
          <w:rFonts w:hint="cs"/>
          <w:rtl/>
        </w:rPr>
        <w:t xml:space="preserve">ההצבעה, </w:t>
      </w:r>
      <w:bookmarkStart w:id="83754" w:name="_ETM_Q179_466409"/>
      <w:bookmarkEnd w:id="83754"/>
      <w:r>
        <w:rPr>
          <w:rFonts w:hint="cs"/>
          <w:rtl/>
        </w:rPr>
        <w:t xml:space="preserve">חברי </w:t>
      </w:r>
      <w:bookmarkStart w:id="83755" w:name="_ETM_Q179_466740"/>
      <w:bookmarkEnd w:id="83755"/>
      <w:r>
        <w:rPr>
          <w:rFonts w:hint="cs"/>
          <w:rtl/>
        </w:rPr>
        <w:t xml:space="preserve">הכנסת: </w:t>
      </w:r>
      <w:bookmarkStart w:id="83756" w:name="_ETM_Q179_467099"/>
      <w:bookmarkEnd w:id="83756"/>
      <w:r>
        <w:rPr>
          <w:rFonts w:hint="cs"/>
          <w:rtl/>
        </w:rPr>
        <w:t xml:space="preserve">64 </w:t>
      </w:r>
      <w:bookmarkStart w:id="83757" w:name="_ETM_Q179_468059"/>
      <w:bookmarkEnd w:id="83757"/>
      <w:r>
        <w:rPr>
          <w:rFonts w:hint="cs"/>
          <w:rtl/>
        </w:rPr>
        <w:t xml:space="preserve">בעד, </w:t>
      </w:r>
      <w:bookmarkStart w:id="83758" w:name="_ETM_Q179_468479"/>
      <w:bookmarkEnd w:id="83758"/>
      <w:r>
        <w:rPr>
          <w:rFonts w:hint="cs"/>
          <w:rtl/>
        </w:rPr>
        <w:t xml:space="preserve">אין </w:t>
      </w:r>
      <w:bookmarkStart w:id="83759" w:name="_ETM_Q179_468689"/>
      <w:bookmarkEnd w:id="83759"/>
      <w:r>
        <w:rPr>
          <w:rFonts w:hint="cs"/>
          <w:rtl/>
        </w:rPr>
        <w:t xml:space="preserve">מתנגדים, </w:t>
      </w:r>
      <w:bookmarkStart w:id="83760" w:name="_ETM_Q179_469349"/>
      <w:bookmarkEnd w:id="83760"/>
      <w:r>
        <w:rPr>
          <w:rFonts w:hint="cs"/>
          <w:rtl/>
        </w:rPr>
        <w:t xml:space="preserve">אין </w:t>
      </w:r>
      <w:bookmarkStart w:id="83761" w:name="_ETM_Q179_469499"/>
      <w:bookmarkEnd w:id="83761"/>
      <w:r>
        <w:rPr>
          <w:rFonts w:hint="cs"/>
          <w:rtl/>
        </w:rPr>
        <w:t xml:space="preserve">נמנעים. </w:t>
      </w:r>
      <w:bookmarkStart w:id="83762" w:name="_ETM_Q179_469949"/>
      <w:bookmarkEnd w:id="83762"/>
      <w:r>
        <w:rPr>
          <w:rFonts w:hint="cs"/>
          <w:rtl/>
        </w:rPr>
        <w:t xml:space="preserve">אני </w:t>
      </w:r>
      <w:bookmarkStart w:id="83763" w:name="_ETM_Q179_470129"/>
      <w:bookmarkEnd w:id="83763"/>
      <w:r>
        <w:rPr>
          <w:rFonts w:hint="cs"/>
          <w:rtl/>
        </w:rPr>
        <w:t xml:space="preserve">קובע </w:t>
      </w:r>
      <w:bookmarkStart w:id="83764" w:name="_ETM_Q179_470490"/>
      <w:bookmarkEnd w:id="83764"/>
      <w:r>
        <w:rPr>
          <w:rFonts w:hint="cs"/>
          <w:rtl/>
        </w:rPr>
        <w:t xml:space="preserve">כי </w:t>
      </w:r>
      <w:bookmarkStart w:id="83765" w:name="_ETM_Q179_470639"/>
      <w:bookmarkEnd w:id="83765"/>
      <w:r>
        <w:rPr>
          <w:rFonts w:hint="cs"/>
          <w:rtl/>
        </w:rPr>
        <w:t xml:space="preserve">הצעת </w:t>
      </w:r>
      <w:bookmarkStart w:id="83766" w:name="_ETM_Q179_470999"/>
      <w:bookmarkEnd w:id="83766"/>
      <w:r>
        <w:rPr>
          <w:rFonts w:hint="cs"/>
          <w:rtl/>
        </w:rPr>
        <w:t xml:space="preserve">חוק-יסוד </w:t>
      </w:r>
      <w:bookmarkStart w:id="83767" w:name="_ETM_Q179_471479"/>
      <w:bookmarkEnd w:id="83767"/>
      <w:r>
        <w:rPr>
          <w:rFonts w:hint="cs"/>
          <w:rtl/>
        </w:rPr>
        <w:t xml:space="preserve">השפיטה </w:t>
      </w:r>
      <w:bookmarkStart w:id="83768" w:name="_ETM_Q179_471900"/>
      <w:bookmarkEnd w:id="83768"/>
      <w:r>
        <w:rPr>
          <w:rFonts w:hint="cs"/>
          <w:rtl/>
        </w:rPr>
        <w:t xml:space="preserve">(תיקון </w:t>
      </w:r>
      <w:bookmarkStart w:id="83769" w:name="_ETM_Q179_472229"/>
      <w:bookmarkEnd w:id="83769"/>
      <w:r>
        <w:rPr>
          <w:rFonts w:hint="cs"/>
          <w:rtl/>
        </w:rPr>
        <w:t xml:space="preserve">מס' </w:t>
      </w:r>
      <w:bookmarkStart w:id="83770" w:name="_ETM_Q179_472620"/>
      <w:bookmarkEnd w:id="83770"/>
      <w:r>
        <w:rPr>
          <w:rFonts w:hint="cs"/>
          <w:rtl/>
        </w:rPr>
        <w:t xml:space="preserve">4), </w:t>
      </w:r>
      <w:bookmarkStart w:id="83771" w:name="_ETM_Q179_472949"/>
      <w:bookmarkEnd w:id="83771"/>
      <w:r>
        <w:rPr>
          <w:rFonts w:hint="cs"/>
          <w:rtl/>
        </w:rPr>
        <w:t>עברה</w:t>
      </w:r>
      <w:bookmarkStart w:id="83772" w:name="_ETM_Q179_473729"/>
      <w:bookmarkEnd w:id="83772"/>
      <w:r>
        <w:rPr>
          <w:rFonts w:hint="cs"/>
          <w:rtl/>
        </w:rPr>
        <w:t xml:space="preserve"> </w:t>
      </w:r>
      <w:bookmarkStart w:id="83773" w:name="_ETM_Q179_474629"/>
      <w:bookmarkEnd w:id="83773"/>
      <w:r>
        <w:rPr>
          <w:rFonts w:hint="cs"/>
          <w:rtl/>
        </w:rPr>
        <w:t xml:space="preserve">בקריאה </w:t>
      </w:r>
      <w:bookmarkStart w:id="83774" w:name="_ETM_Q179_475139"/>
      <w:bookmarkEnd w:id="83774"/>
      <w:r>
        <w:rPr>
          <w:rFonts w:hint="cs"/>
          <w:rtl/>
        </w:rPr>
        <w:t xml:space="preserve">שלישית, </w:t>
      </w:r>
      <w:bookmarkStart w:id="83775" w:name="_ETM_Q179_475589"/>
      <w:bookmarkEnd w:id="83775"/>
      <w:r>
        <w:rPr>
          <w:rFonts w:hint="cs"/>
          <w:rtl/>
        </w:rPr>
        <w:t xml:space="preserve">ונכנסה </w:t>
      </w:r>
      <w:bookmarkStart w:id="83776" w:name="_ETM_Q179_476129"/>
      <w:bookmarkEnd w:id="83776"/>
      <w:r>
        <w:rPr>
          <w:rFonts w:hint="cs"/>
          <w:rtl/>
        </w:rPr>
        <w:t xml:space="preserve">לספר </w:t>
      </w:r>
      <w:bookmarkStart w:id="83777" w:name="_ETM_Q179_476639"/>
      <w:bookmarkEnd w:id="83777"/>
      <w:r>
        <w:rPr>
          <w:rFonts w:hint="cs"/>
          <w:rtl/>
        </w:rPr>
        <w:t xml:space="preserve">החוקים. </w:t>
      </w:r>
      <w:bookmarkStart w:id="83778" w:name="_ETM_Q179_477669"/>
      <w:bookmarkEnd w:id="83778"/>
      <w:r>
        <w:rPr>
          <w:rFonts w:hint="cs"/>
          <w:rtl/>
        </w:rPr>
        <w:t xml:space="preserve">ישיבה </w:t>
      </w:r>
      <w:bookmarkStart w:id="83779" w:name="_ETM_Q179_478210"/>
      <w:bookmarkEnd w:id="83779"/>
      <w:r>
        <w:rPr>
          <w:rFonts w:hint="cs"/>
          <w:rtl/>
        </w:rPr>
        <w:t xml:space="preserve">זו </w:t>
      </w:r>
      <w:bookmarkStart w:id="83780" w:name="_ETM_Q179_478449"/>
      <w:bookmarkEnd w:id="83780"/>
      <w:r>
        <w:rPr>
          <w:rFonts w:hint="cs"/>
          <w:rtl/>
        </w:rPr>
        <w:t xml:space="preserve">נעולה. </w:t>
      </w:r>
      <w:bookmarkStart w:id="83781" w:name="_ETM_Q179_479110"/>
      <w:bookmarkEnd w:id="83781"/>
      <w:r>
        <w:rPr>
          <w:rFonts w:hint="cs"/>
          <w:rtl/>
        </w:rPr>
        <w:t xml:space="preserve">הישיבה </w:t>
      </w:r>
      <w:bookmarkStart w:id="83782" w:name="_ETM_Q179_479560"/>
      <w:bookmarkEnd w:id="83782"/>
      <w:r>
        <w:rPr>
          <w:rFonts w:hint="cs"/>
          <w:rtl/>
        </w:rPr>
        <w:t xml:space="preserve">תחודש </w:t>
      </w:r>
      <w:bookmarkStart w:id="83783" w:name="_ETM_Q179_480339"/>
      <w:bookmarkEnd w:id="83783"/>
      <w:r>
        <w:rPr>
          <w:rFonts w:hint="cs"/>
          <w:rtl/>
        </w:rPr>
        <w:t xml:space="preserve">בשעה </w:t>
      </w:r>
      <w:bookmarkStart w:id="83784" w:name="_ETM_Q179_480940"/>
      <w:bookmarkStart w:id="83785" w:name="_ETM_Q179_480000"/>
      <w:bookmarkEnd w:id="83784"/>
      <w:bookmarkEnd w:id="83785"/>
      <w:r>
        <w:rPr>
          <w:rFonts w:hint="cs"/>
          <w:rtl/>
        </w:rPr>
        <w:t xml:space="preserve">16:00. </w:t>
      </w:r>
      <w:bookmarkStart w:id="83786" w:name="_ETM_Q179_483930"/>
      <w:bookmarkEnd w:id="83786"/>
    </w:p>
    <w:p w:rsidR="00BB59CD" w:rsidRDefault="00BB59CD" w:rsidP="00BB59CD">
      <w:pPr>
        <w:rPr>
          <w:rtl/>
        </w:rPr>
      </w:pPr>
    </w:p>
    <w:p w:rsidR="00BB59CD" w:rsidRDefault="00BB59CD" w:rsidP="00BB59CD">
      <w:pPr>
        <w:rPr>
          <w:rtl/>
        </w:rPr>
      </w:pPr>
      <w:r>
        <w:rPr>
          <w:rFonts w:hint="cs"/>
          <w:rtl/>
        </w:rPr>
        <w:t xml:space="preserve">סליחה, </w:t>
      </w:r>
      <w:bookmarkStart w:id="83787" w:name="_ETM_Q179_484740"/>
      <w:bookmarkEnd w:id="83787"/>
      <w:r>
        <w:rPr>
          <w:rFonts w:hint="cs"/>
          <w:rtl/>
        </w:rPr>
        <w:t xml:space="preserve">סליחה </w:t>
      </w:r>
      <w:bookmarkStart w:id="83788" w:name="_ETM_Q179_485220"/>
      <w:bookmarkEnd w:id="83788"/>
      <w:r>
        <w:rPr>
          <w:rFonts w:hint="cs"/>
          <w:rtl/>
        </w:rPr>
        <w:t xml:space="preserve">ומחילה. </w:t>
      </w:r>
      <w:bookmarkStart w:id="83789" w:name="_ETM_Q179_486730"/>
      <w:bookmarkEnd w:id="83789"/>
      <w:r>
        <w:rPr>
          <w:rFonts w:hint="cs"/>
          <w:rtl/>
        </w:rPr>
        <w:t xml:space="preserve">שר </w:t>
      </w:r>
      <w:bookmarkStart w:id="83790" w:name="_ETM_Q179_487060"/>
      <w:bookmarkEnd w:id="83790"/>
      <w:r>
        <w:rPr>
          <w:rFonts w:hint="cs"/>
          <w:rtl/>
        </w:rPr>
        <w:t xml:space="preserve">המשפטים </w:t>
      </w:r>
      <w:bookmarkStart w:id="83791" w:name="_ETM_Q179_487660"/>
      <w:bookmarkEnd w:id="83791"/>
      <w:r>
        <w:rPr>
          <w:rFonts w:hint="cs"/>
          <w:rtl/>
        </w:rPr>
        <w:t xml:space="preserve">ביקש </w:t>
      </w:r>
      <w:bookmarkStart w:id="83792" w:name="_ETM_Q179_488080"/>
      <w:bookmarkEnd w:id="83792"/>
      <w:r>
        <w:rPr>
          <w:rFonts w:hint="cs"/>
          <w:rtl/>
        </w:rPr>
        <w:t xml:space="preserve">לברך, ואני אפשר לו זאת, כמובן. </w:t>
      </w:r>
      <w:bookmarkStart w:id="83793" w:name="_ETM_Q179_501769"/>
      <w:bookmarkEnd w:id="83793"/>
      <w:r>
        <w:rPr>
          <w:rFonts w:hint="cs"/>
          <w:rtl/>
        </w:rPr>
        <w:t xml:space="preserve">שר </w:t>
      </w:r>
      <w:bookmarkStart w:id="83794" w:name="_ETM_Q179_501980"/>
      <w:bookmarkEnd w:id="83794"/>
      <w:r>
        <w:rPr>
          <w:rFonts w:hint="cs"/>
          <w:rtl/>
        </w:rPr>
        <w:t xml:space="preserve">המשפטים ביקש, אני </w:t>
      </w:r>
      <w:bookmarkStart w:id="83795" w:name="_ETM_Q179_505320"/>
      <w:bookmarkEnd w:id="83795"/>
      <w:r>
        <w:rPr>
          <w:rFonts w:hint="cs"/>
          <w:rtl/>
        </w:rPr>
        <w:t xml:space="preserve">מתנצל </w:t>
      </w:r>
      <w:bookmarkStart w:id="83796" w:name="_ETM_Q179_505859"/>
      <w:bookmarkEnd w:id="83796"/>
      <w:r>
        <w:rPr>
          <w:rFonts w:hint="cs"/>
          <w:rtl/>
        </w:rPr>
        <w:t xml:space="preserve">ששכחתי. </w:t>
      </w:r>
      <w:bookmarkStart w:id="83797" w:name="_ETM_Q179_510199"/>
      <w:bookmarkEnd w:id="83797"/>
    </w:p>
    <w:p w:rsidR="00BB59CD" w:rsidRDefault="00BB59CD" w:rsidP="00BB59CD">
      <w:pPr>
        <w:rPr>
          <w:rtl/>
        </w:rPr>
      </w:pPr>
      <w:bookmarkStart w:id="83798" w:name="_ETM_Q179_497455"/>
      <w:bookmarkStart w:id="83799" w:name="_ETM_Q179_497501"/>
      <w:bookmarkStart w:id="83800" w:name="_ETM_Q179_499391"/>
      <w:bookmarkEnd w:id="83798"/>
      <w:bookmarkEnd w:id="83799"/>
      <w:bookmarkEnd w:id="83800"/>
    </w:p>
    <w:p w:rsidR="00BB59CD" w:rsidRDefault="00BB59CD" w:rsidP="00BB59CD">
      <w:pPr>
        <w:pStyle w:val="a5"/>
        <w:keepNext/>
        <w:rPr>
          <w:rtl/>
        </w:rPr>
      </w:pPr>
      <w:bookmarkStart w:id="83801" w:name="ET_speaker_6392_6"/>
      <w:r>
        <w:rPr>
          <w:rStyle w:val="TagStyle"/>
          <w:rFonts w:hint="cs"/>
          <w:rtl/>
        </w:rPr>
        <w:t xml:space="preserve"> &lt;&lt; דובר &gt;&gt; </w:t>
      </w:r>
      <w:bookmarkStart w:id="83802" w:name="_Toc141197205"/>
      <w:bookmarkStart w:id="83803" w:name="_Toc141196941"/>
      <w:r>
        <w:rPr>
          <w:rFonts w:hint="cs"/>
          <w:rtl/>
        </w:rPr>
        <w:t>שר המשפטים יריב לוין:</w:t>
      </w:r>
      <w:bookmarkEnd w:id="83802"/>
      <w:bookmarkEnd w:id="83803"/>
      <w:r>
        <w:rPr>
          <w:rStyle w:val="TagStyle"/>
          <w:rFonts w:hint="cs"/>
          <w:rtl/>
        </w:rPr>
        <w:t xml:space="preserve"> &lt;&lt; דובר &gt;&gt;</w:t>
      </w:r>
      <w:r>
        <w:rPr>
          <w:rFonts w:hint="cs"/>
          <w:rtl/>
        </w:rPr>
        <w:t xml:space="preserve">   </w:t>
      </w:r>
      <w:bookmarkEnd w:id="83801"/>
    </w:p>
    <w:p w:rsidR="00BB59CD" w:rsidRDefault="00BB59CD" w:rsidP="00337201">
      <w:pPr>
        <w:rPr>
          <w:rtl/>
        </w:rPr>
      </w:pPr>
      <w:bookmarkStart w:id="83804" w:name="_ETM_Q179_499913"/>
      <w:bookmarkStart w:id="83805" w:name="_ETM_Q179_499949"/>
      <w:bookmarkEnd w:id="83804"/>
      <w:bookmarkEnd w:id="83805"/>
    </w:p>
    <w:p w:rsidR="00BB59CD" w:rsidRDefault="00BB59CD" w:rsidP="00BB59CD">
      <w:pPr>
        <w:rPr>
          <w:rtl/>
        </w:rPr>
      </w:pPr>
      <w:bookmarkStart w:id="83806" w:name="_ETM_Q179_498342"/>
      <w:bookmarkEnd w:id="83806"/>
      <w:r>
        <w:rPr>
          <w:rFonts w:hint="cs"/>
          <w:rtl/>
        </w:rPr>
        <w:t xml:space="preserve">תודה </w:t>
      </w:r>
      <w:bookmarkStart w:id="83807" w:name="_ETM_Q179_510469"/>
      <w:bookmarkEnd w:id="83807"/>
      <w:r>
        <w:rPr>
          <w:rFonts w:hint="cs"/>
          <w:rtl/>
        </w:rPr>
        <w:t xml:space="preserve">רבה. </w:t>
      </w:r>
      <w:bookmarkStart w:id="83808" w:name="_ETM_Q179_511309"/>
      <w:bookmarkEnd w:id="83808"/>
      <w:r>
        <w:rPr>
          <w:rFonts w:hint="cs"/>
          <w:rtl/>
        </w:rPr>
        <w:t xml:space="preserve">אדוני </w:t>
      </w:r>
      <w:bookmarkStart w:id="83809" w:name="_ETM_Q179_511669"/>
      <w:bookmarkEnd w:id="83809"/>
      <w:r>
        <w:rPr>
          <w:rFonts w:hint="cs"/>
          <w:rtl/>
        </w:rPr>
        <w:t xml:space="preserve">היושב-ראש, </w:t>
      </w:r>
      <w:bookmarkStart w:id="83810" w:name="_ETM_Q179_512480"/>
      <w:bookmarkEnd w:id="83810"/>
      <w:r>
        <w:rPr>
          <w:rFonts w:hint="cs"/>
          <w:rtl/>
        </w:rPr>
        <w:t xml:space="preserve">השרים, </w:t>
      </w:r>
      <w:bookmarkStart w:id="83811" w:name="_ETM_Q179_512989"/>
      <w:bookmarkEnd w:id="83811"/>
      <w:r>
        <w:rPr>
          <w:rFonts w:hint="cs"/>
          <w:rtl/>
        </w:rPr>
        <w:t xml:space="preserve">חברות </w:t>
      </w:r>
      <w:bookmarkStart w:id="83812" w:name="_ETM_Q179_513320"/>
      <w:bookmarkEnd w:id="83812"/>
      <w:r>
        <w:rPr>
          <w:rFonts w:hint="cs"/>
          <w:rtl/>
        </w:rPr>
        <w:t xml:space="preserve">וחברי </w:t>
      </w:r>
      <w:bookmarkStart w:id="83813" w:name="_ETM_Q179_513769"/>
      <w:bookmarkEnd w:id="83813"/>
      <w:r>
        <w:rPr>
          <w:rFonts w:hint="cs"/>
          <w:rtl/>
        </w:rPr>
        <w:t xml:space="preserve">הכנסת, </w:t>
      </w:r>
      <w:bookmarkStart w:id="83814" w:name="_ETM_Q179_515219"/>
      <w:bookmarkEnd w:id="83814"/>
      <w:r>
        <w:rPr>
          <w:rFonts w:hint="cs"/>
          <w:rtl/>
        </w:rPr>
        <w:t xml:space="preserve">זה </w:t>
      </w:r>
      <w:bookmarkStart w:id="83815" w:name="_ETM_Q179_515610"/>
      <w:bookmarkEnd w:id="83815"/>
      <w:r>
        <w:rPr>
          <w:rFonts w:hint="cs"/>
          <w:rtl/>
        </w:rPr>
        <w:t xml:space="preserve">בהחלט </w:t>
      </w:r>
      <w:bookmarkStart w:id="83816" w:name="_ETM_Q179_516750"/>
      <w:bookmarkEnd w:id="83816"/>
      <w:r>
        <w:rPr>
          <w:rFonts w:hint="cs"/>
          <w:rtl/>
        </w:rPr>
        <w:t xml:space="preserve">רגע </w:t>
      </w:r>
      <w:bookmarkStart w:id="83817" w:name="_ETM_Q179_517079"/>
      <w:bookmarkEnd w:id="83817"/>
      <w:r>
        <w:rPr>
          <w:rFonts w:hint="cs"/>
          <w:rtl/>
        </w:rPr>
        <w:t xml:space="preserve">יוצא </w:t>
      </w:r>
      <w:bookmarkStart w:id="83818" w:name="_ETM_Q179_517469"/>
      <w:bookmarkEnd w:id="83818"/>
      <w:r>
        <w:rPr>
          <w:rFonts w:hint="cs"/>
          <w:rtl/>
        </w:rPr>
        <w:t xml:space="preserve">דופן. </w:t>
      </w:r>
      <w:bookmarkStart w:id="83819" w:name="_ETM_Q179_518870"/>
      <w:bookmarkEnd w:id="83819"/>
      <w:r>
        <w:rPr>
          <w:rFonts w:hint="cs"/>
          <w:rtl/>
        </w:rPr>
        <w:t xml:space="preserve">עשינו </w:t>
      </w:r>
      <w:bookmarkStart w:id="83820" w:name="_ETM_Q179_519800"/>
      <w:bookmarkEnd w:id="83820"/>
      <w:r>
        <w:rPr>
          <w:rFonts w:hint="cs"/>
          <w:rtl/>
        </w:rPr>
        <w:t xml:space="preserve">צעד </w:t>
      </w:r>
      <w:bookmarkStart w:id="83821" w:name="_ETM_Q179_520400"/>
      <w:bookmarkEnd w:id="83821"/>
      <w:r>
        <w:rPr>
          <w:rFonts w:hint="cs"/>
          <w:rtl/>
        </w:rPr>
        <w:t xml:space="preserve">ראשון </w:t>
      </w:r>
      <w:bookmarkStart w:id="83822" w:name="_ETM_Q179_521120"/>
      <w:bookmarkEnd w:id="83822"/>
      <w:r>
        <w:rPr>
          <w:rFonts w:hint="cs"/>
          <w:rtl/>
        </w:rPr>
        <w:t xml:space="preserve">במהלך </w:t>
      </w:r>
      <w:bookmarkStart w:id="83823" w:name="_ETM_Q179_521960"/>
      <w:bookmarkEnd w:id="83823"/>
      <w:r>
        <w:rPr>
          <w:rFonts w:hint="cs"/>
          <w:rtl/>
        </w:rPr>
        <w:t xml:space="preserve">ההיסטורי </w:t>
      </w:r>
      <w:bookmarkStart w:id="83824" w:name="_ETM_Q179_522920"/>
      <w:bookmarkEnd w:id="83824"/>
      <w:r>
        <w:rPr>
          <w:rFonts w:hint="cs"/>
          <w:rtl/>
        </w:rPr>
        <w:t xml:space="preserve">החשוב </w:t>
      </w:r>
      <w:bookmarkStart w:id="83825" w:name="_ETM_Q179_524140"/>
      <w:bookmarkEnd w:id="83825"/>
      <w:r>
        <w:rPr>
          <w:rFonts w:hint="cs"/>
          <w:rtl/>
        </w:rPr>
        <w:t xml:space="preserve">של </w:t>
      </w:r>
      <w:bookmarkStart w:id="83826" w:name="_ETM_Q179_524440"/>
      <w:bookmarkEnd w:id="83826"/>
      <w:r>
        <w:rPr>
          <w:rFonts w:hint="cs"/>
          <w:rtl/>
        </w:rPr>
        <w:t xml:space="preserve">תיקון </w:t>
      </w:r>
      <w:bookmarkStart w:id="83827" w:name="_ETM_Q179_525010"/>
      <w:bookmarkEnd w:id="83827"/>
      <w:r>
        <w:rPr>
          <w:rFonts w:hint="cs"/>
          <w:rtl/>
        </w:rPr>
        <w:t xml:space="preserve">מערכת </w:t>
      </w:r>
      <w:bookmarkStart w:id="83828" w:name="_ETM_Q179_525670"/>
      <w:bookmarkEnd w:id="83828"/>
      <w:r>
        <w:rPr>
          <w:rFonts w:hint="cs"/>
          <w:rtl/>
        </w:rPr>
        <w:t xml:space="preserve">המשפט </w:t>
      </w:r>
      <w:bookmarkStart w:id="83829" w:name="_ETM_Q179_527089"/>
      <w:bookmarkEnd w:id="83829"/>
      <w:r>
        <w:rPr>
          <w:rFonts w:hint="cs"/>
          <w:rtl/>
        </w:rPr>
        <w:t xml:space="preserve">ושל </w:t>
      </w:r>
      <w:bookmarkStart w:id="83830" w:name="_ETM_Q179_527569"/>
      <w:bookmarkEnd w:id="83830"/>
      <w:r>
        <w:rPr>
          <w:rFonts w:hint="cs"/>
          <w:rtl/>
        </w:rPr>
        <w:t xml:space="preserve">השבת </w:t>
      </w:r>
      <w:bookmarkStart w:id="83831" w:name="_ETM_Q179_528319"/>
      <w:bookmarkEnd w:id="83831"/>
      <w:r>
        <w:rPr>
          <w:rFonts w:hint="cs"/>
          <w:rtl/>
        </w:rPr>
        <w:t xml:space="preserve">הסמכויות </w:t>
      </w:r>
      <w:bookmarkStart w:id="83832" w:name="_ETM_Q179_529339"/>
      <w:bookmarkEnd w:id="83832"/>
      <w:r>
        <w:rPr>
          <w:rFonts w:hint="cs"/>
          <w:rtl/>
        </w:rPr>
        <w:t xml:space="preserve">שנלקחו </w:t>
      </w:r>
      <w:bookmarkStart w:id="83833" w:name="_ETM_Q179_530179"/>
      <w:bookmarkEnd w:id="83833"/>
      <w:r>
        <w:rPr>
          <w:rFonts w:hint="cs"/>
          <w:rtl/>
        </w:rPr>
        <w:t xml:space="preserve">מהממשלה </w:t>
      </w:r>
      <w:bookmarkStart w:id="83834" w:name="_ETM_Q179_531050"/>
      <w:bookmarkEnd w:id="83834"/>
      <w:r>
        <w:rPr>
          <w:rFonts w:hint="cs"/>
          <w:rtl/>
        </w:rPr>
        <w:t xml:space="preserve">ומהכנסת </w:t>
      </w:r>
      <w:bookmarkStart w:id="83835" w:name="_ETM_Q179_532070"/>
      <w:bookmarkEnd w:id="83835"/>
      <w:r>
        <w:rPr>
          <w:rFonts w:hint="cs"/>
          <w:rtl/>
        </w:rPr>
        <w:t xml:space="preserve">לאורך </w:t>
      </w:r>
      <w:bookmarkStart w:id="83836" w:name="_ETM_Q179_532489"/>
      <w:bookmarkEnd w:id="83836"/>
      <w:r>
        <w:rPr>
          <w:rFonts w:hint="cs"/>
          <w:rtl/>
        </w:rPr>
        <w:t xml:space="preserve">שנים </w:t>
      </w:r>
      <w:bookmarkStart w:id="83837" w:name="_ETM_Q179_532909"/>
      <w:bookmarkEnd w:id="83837"/>
      <w:r>
        <w:rPr>
          <w:rFonts w:hint="cs"/>
          <w:rtl/>
        </w:rPr>
        <w:t xml:space="preserve">ארוכות. </w:t>
      </w:r>
      <w:bookmarkStart w:id="83838" w:name="_ETM_Q179_534769"/>
      <w:bookmarkEnd w:id="83838"/>
      <w:r>
        <w:rPr>
          <w:rFonts w:hint="cs"/>
          <w:rtl/>
        </w:rPr>
        <w:t xml:space="preserve">אני </w:t>
      </w:r>
      <w:bookmarkStart w:id="83839" w:name="_ETM_Q179_535010"/>
      <w:bookmarkEnd w:id="83839"/>
      <w:r>
        <w:rPr>
          <w:rFonts w:hint="cs"/>
          <w:rtl/>
        </w:rPr>
        <w:t xml:space="preserve">מבקש </w:t>
      </w:r>
      <w:bookmarkStart w:id="83840" w:name="_ETM_Q179_535429"/>
      <w:bookmarkEnd w:id="83840"/>
      <w:r>
        <w:rPr>
          <w:rFonts w:hint="cs"/>
          <w:rtl/>
        </w:rPr>
        <w:t xml:space="preserve">להודות </w:t>
      </w:r>
      <w:bookmarkStart w:id="83841" w:name="_ETM_Q179_536390"/>
      <w:bookmarkEnd w:id="83841"/>
      <w:r>
        <w:rPr>
          <w:rFonts w:hint="cs"/>
          <w:rtl/>
        </w:rPr>
        <w:t xml:space="preserve">לראש </w:t>
      </w:r>
      <w:bookmarkStart w:id="83842" w:name="_ETM_Q179_536960"/>
      <w:bookmarkEnd w:id="83842"/>
      <w:r>
        <w:rPr>
          <w:rFonts w:hint="cs"/>
          <w:rtl/>
        </w:rPr>
        <w:t xml:space="preserve">הממשלה </w:t>
      </w:r>
      <w:bookmarkStart w:id="83843" w:name="_ETM_Q179_537739"/>
      <w:bookmarkEnd w:id="83843"/>
      <w:r>
        <w:rPr>
          <w:rFonts w:hint="cs"/>
          <w:rtl/>
        </w:rPr>
        <w:t xml:space="preserve">בנימין </w:t>
      </w:r>
      <w:bookmarkStart w:id="83844" w:name="_ETM_Q179_538159"/>
      <w:bookmarkEnd w:id="83844"/>
      <w:r>
        <w:rPr>
          <w:rFonts w:hint="cs"/>
          <w:rtl/>
        </w:rPr>
        <w:t xml:space="preserve">נתניהו </w:t>
      </w:r>
      <w:bookmarkStart w:id="83845" w:name="_ETM_Q179_538820"/>
      <w:bookmarkEnd w:id="83845"/>
      <w:r>
        <w:rPr>
          <w:rFonts w:hint="cs"/>
          <w:rtl/>
        </w:rPr>
        <w:t xml:space="preserve">על </w:t>
      </w:r>
      <w:bookmarkStart w:id="83846" w:name="_ETM_Q179_538940"/>
      <w:bookmarkEnd w:id="83846"/>
      <w:r>
        <w:rPr>
          <w:rFonts w:hint="cs"/>
          <w:rtl/>
        </w:rPr>
        <w:t xml:space="preserve">הגיבוי, </w:t>
      </w:r>
      <w:bookmarkStart w:id="83847" w:name="_ETM_Q179_540230"/>
      <w:bookmarkEnd w:id="83847"/>
      <w:r>
        <w:rPr>
          <w:rFonts w:hint="cs"/>
          <w:rtl/>
        </w:rPr>
        <w:t xml:space="preserve">לכל </w:t>
      </w:r>
      <w:bookmarkStart w:id="83848" w:name="_ETM_Q179_540920"/>
      <w:bookmarkEnd w:id="83848"/>
      <w:r>
        <w:rPr>
          <w:rFonts w:hint="cs"/>
          <w:rtl/>
        </w:rPr>
        <w:t xml:space="preserve">ראשי </w:t>
      </w:r>
      <w:bookmarkStart w:id="83849" w:name="_ETM_Q179_541339"/>
      <w:bookmarkEnd w:id="83849"/>
      <w:r>
        <w:rPr>
          <w:rFonts w:hint="cs"/>
          <w:rtl/>
        </w:rPr>
        <w:t xml:space="preserve">מפלגות </w:t>
      </w:r>
      <w:bookmarkStart w:id="83850" w:name="_ETM_Q179_542000"/>
      <w:bookmarkEnd w:id="83850"/>
      <w:r>
        <w:rPr>
          <w:rFonts w:hint="cs"/>
          <w:rtl/>
        </w:rPr>
        <w:t xml:space="preserve">הקואליציה </w:t>
      </w:r>
      <w:bookmarkStart w:id="83851" w:name="_ETM_Q179_542960"/>
      <w:bookmarkEnd w:id="83851"/>
      <w:r>
        <w:rPr>
          <w:rFonts w:hint="cs"/>
          <w:rtl/>
        </w:rPr>
        <w:t>– ליושב</w:t>
      </w:r>
      <w:bookmarkStart w:id="83852" w:name="_ETM_Q179_543469"/>
      <w:bookmarkEnd w:id="83852"/>
      <w:r>
        <w:rPr>
          <w:rFonts w:hint="cs"/>
          <w:rtl/>
        </w:rPr>
        <w:t xml:space="preserve">-ראש </w:t>
      </w:r>
      <w:bookmarkStart w:id="83853" w:name="_ETM_Q179_543800"/>
      <w:bookmarkEnd w:id="83853"/>
      <w:r>
        <w:rPr>
          <w:rFonts w:hint="cs"/>
          <w:rtl/>
        </w:rPr>
        <w:t xml:space="preserve">ש"ס </w:t>
      </w:r>
      <w:bookmarkStart w:id="83854" w:name="_ETM_Q179_544159"/>
      <w:bookmarkEnd w:id="83854"/>
      <w:r>
        <w:rPr>
          <w:rFonts w:hint="cs"/>
          <w:rtl/>
        </w:rPr>
        <w:t xml:space="preserve">אריה </w:t>
      </w:r>
      <w:bookmarkStart w:id="83855" w:name="_ETM_Q179_544400"/>
      <w:bookmarkEnd w:id="83855"/>
      <w:r>
        <w:rPr>
          <w:rFonts w:hint="cs"/>
          <w:rtl/>
        </w:rPr>
        <w:t>דרעי, ליושב-ראש</w:t>
      </w:r>
      <w:bookmarkStart w:id="83856" w:name="_ETM_Q179_544850"/>
      <w:bookmarkEnd w:id="83856"/>
      <w:r>
        <w:rPr>
          <w:rFonts w:hint="cs"/>
          <w:rtl/>
        </w:rPr>
        <w:t xml:space="preserve"> </w:t>
      </w:r>
      <w:bookmarkStart w:id="83857" w:name="_ETM_Q179_545450"/>
      <w:bookmarkEnd w:id="83857"/>
      <w:r>
        <w:rPr>
          <w:rFonts w:hint="cs"/>
          <w:rtl/>
        </w:rPr>
        <w:t xml:space="preserve">הציונות </w:t>
      </w:r>
      <w:bookmarkStart w:id="83858" w:name="_ETM_Q179_545960"/>
      <w:bookmarkEnd w:id="83858"/>
      <w:r>
        <w:rPr>
          <w:rFonts w:hint="cs"/>
          <w:rtl/>
        </w:rPr>
        <w:t xml:space="preserve">הדתית </w:t>
      </w:r>
      <w:bookmarkStart w:id="83859" w:name="_ETM_Q179_546380"/>
      <w:bookmarkEnd w:id="83859"/>
      <w:r>
        <w:rPr>
          <w:rFonts w:hint="cs"/>
          <w:rtl/>
        </w:rPr>
        <w:t xml:space="preserve">בצלאל </w:t>
      </w:r>
      <w:bookmarkStart w:id="83860" w:name="_ETM_Q179_546830"/>
      <w:bookmarkEnd w:id="83860"/>
      <w:r>
        <w:rPr>
          <w:rFonts w:hint="cs"/>
          <w:rtl/>
        </w:rPr>
        <w:t>סמוטריץ', ליושב-ראש</w:t>
      </w:r>
      <w:bookmarkStart w:id="83861" w:name="_ETM_Q179_548119"/>
      <w:bookmarkEnd w:id="83861"/>
      <w:r>
        <w:rPr>
          <w:rFonts w:hint="cs"/>
          <w:rtl/>
        </w:rPr>
        <w:t xml:space="preserve"> </w:t>
      </w:r>
      <w:bookmarkStart w:id="83862" w:name="_ETM_Q179_548810"/>
      <w:bookmarkEnd w:id="83862"/>
      <w:r>
        <w:rPr>
          <w:rFonts w:hint="cs"/>
          <w:rtl/>
        </w:rPr>
        <w:t xml:space="preserve">יהדות </w:t>
      </w:r>
      <w:bookmarkStart w:id="83863" w:name="_ETM_Q179_549200"/>
      <w:bookmarkEnd w:id="83863"/>
      <w:r>
        <w:rPr>
          <w:rFonts w:hint="cs"/>
          <w:rtl/>
        </w:rPr>
        <w:t xml:space="preserve">התורה </w:t>
      </w:r>
      <w:bookmarkStart w:id="83864" w:name="_ETM_Q179_549649"/>
      <w:bookmarkEnd w:id="83864"/>
      <w:r>
        <w:rPr>
          <w:rFonts w:hint="cs"/>
          <w:rtl/>
        </w:rPr>
        <w:t xml:space="preserve">יצחק </w:t>
      </w:r>
      <w:bookmarkStart w:id="83865" w:name="_ETM_Q179_550070"/>
      <w:bookmarkEnd w:id="83865"/>
      <w:r>
        <w:rPr>
          <w:rFonts w:hint="cs"/>
          <w:rtl/>
        </w:rPr>
        <w:t>גולדקנופ, ליושב-ראש</w:t>
      </w:r>
      <w:bookmarkStart w:id="83866" w:name="_ETM_Q179_550700"/>
      <w:bookmarkEnd w:id="83866"/>
      <w:r>
        <w:rPr>
          <w:rFonts w:hint="cs"/>
          <w:rtl/>
        </w:rPr>
        <w:t xml:space="preserve"> </w:t>
      </w:r>
      <w:bookmarkStart w:id="83867" w:name="_ETM_Q179_551180"/>
      <w:bookmarkEnd w:id="83867"/>
      <w:r>
        <w:rPr>
          <w:rFonts w:hint="cs"/>
          <w:rtl/>
        </w:rPr>
        <w:t xml:space="preserve">עוצמה </w:t>
      </w:r>
      <w:bookmarkStart w:id="83868" w:name="_ETM_Q179_551540"/>
      <w:bookmarkEnd w:id="83868"/>
      <w:r>
        <w:rPr>
          <w:rFonts w:hint="cs"/>
          <w:rtl/>
        </w:rPr>
        <w:t xml:space="preserve">יהודית </w:t>
      </w:r>
      <w:bookmarkStart w:id="83869" w:name="_ETM_Q179_552140"/>
      <w:bookmarkEnd w:id="83869"/>
      <w:r>
        <w:rPr>
          <w:rFonts w:hint="cs"/>
          <w:rtl/>
        </w:rPr>
        <w:t xml:space="preserve">איתמר </w:t>
      </w:r>
      <w:bookmarkStart w:id="83870" w:name="_ETM_Q179_552589"/>
      <w:bookmarkEnd w:id="83870"/>
      <w:r>
        <w:rPr>
          <w:rFonts w:hint="cs"/>
          <w:rtl/>
        </w:rPr>
        <w:t xml:space="preserve">בן </w:t>
      </w:r>
      <w:bookmarkStart w:id="83871" w:name="_ETM_Q179_552830"/>
      <w:bookmarkEnd w:id="83871"/>
      <w:r>
        <w:rPr>
          <w:rFonts w:hint="cs"/>
          <w:rtl/>
        </w:rPr>
        <w:t xml:space="preserve">גביר, </w:t>
      </w:r>
      <w:bookmarkStart w:id="83872" w:name="_ETM_Q179_553159"/>
      <w:bookmarkEnd w:id="83872"/>
      <w:r>
        <w:rPr>
          <w:rFonts w:hint="cs"/>
          <w:rtl/>
        </w:rPr>
        <w:t xml:space="preserve">ליושב-ראש </w:t>
      </w:r>
      <w:bookmarkStart w:id="83873" w:name="_ETM_Q179_553729"/>
      <w:bookmarkEnd w:id="83873"/>
      <w:r>
        <w:rPr>
          <w:rFonts w:hint="cs"/>
          <w:rtl/>
        </w:rPr>
        <w:t xml:space="preserve">דגל </w:t>
      </w:r>
      <w:bookmarkStart w:id="83874" w:name="_ETM_Q179_554089"/>
      <w:bookmarkEnd w:id="83874"/>
      <w:r>
        <w:rPr>
          <w:rFonts w:hint="cs"/>
          <w:rtl/>
        </w:rPr>
        <w:t xml:space="preserve">התורה </w:t>
      </w:r>
      <w:bookmarkStart w:id="83875" w:name="_ETM_Q179_554450"/>
      <w:bookmarkEnd w:id="83875"/>
      <w:r>
        <w:rPr>
          <w:rFonts w:hint="cs"/>
          <w:rtl/>
        </w:rPr>
        <w:t xml:space="preserve">משה </w:t>
      </w:r>
      <w:bookmarkStart w:id="83876" w:name="_ETM_Q179_554810"/>
      <w:bookmarkEnd w:id="83876"/>
      <w:r>
        <w:rPr>
          <w:rFonts w:hint="cs"/>
          <w:rtl/>
        </w:rPr>
        <w:t xml:space="preserve">גפני </w:t>
      </w:r>
      <w:bookmarkStart w:id="83877" w:name="_ETM_Q179_555839"/>
      <w:bookmarkEnd w:id="83877"/>
      <w:r>
        <w:rPr>
          <w:rFonts w:hint="cs"/>
          <w:rtl/>
        </w:rPr>
        <w:t xml:space="preserve">וליושב-ראש נעם </w:t>
      </w:r>
      <w:bookmarkStart w:id="83878" w:name="_ETM_Q179_556890"/>
      <w:bookmarkEnd w:id="83878"/>
      <w:r>
        <w:rPr>
          <w:rFonts w:hint="cs"/>
          <w:rtl/>
        </w:rPr>
        <w:t xml:space="preserve">אבי </w:t>
      </w:r>
      <w:bookmarkStart w:id="83879" w:name="_ETM_Q179_557219"/>
      <w:bookmarkEnd w:id="83879"/>
      <w:r>
        <w:rPr>
          <w:rFonts w:hint="cs"/>
          <w:rtl/>
        </w:rPr>
        <w:t xml:space="preserve">מעוז. </w:t>
      </w:r>
      <w:bookmarkStart w:id="83880" w:name="_ETM_Q179_558270"/>
      <w:bookmarkEnd w:id="83880"/>
    </w:p>
    <w:p w:rsidR="00BB59CD" w:rsidRDefault="00BB59CD" w:rsidP="00BB59CD">
      <w:pPr>
        <w:rPr>
          <w:rtl/>
        </w:rPr>
      </w:pPr>
      <w:bookmarkStart w:id="83881" w:name="_ETM_Q179_558436"/>
      <w:bookmarkStart w:id="83882" w:name="_ETM_Q179_558506"/>
      <w:bookmarkStart w:id="83883" w:name="_ETM_Q179_558595"/>
      <w:bookmarkEnd w:id="83881"/>
      <w:bookmarkEnd w:id="83882"/>
      <w:bookmarkEnd w:id="83883"/>
    </w:p>
    <w:p w:rsidR="00BB59CD" w:rsidRDefault="00BB59CD" w:rsidP="00BB59CD">
      <w:pPr>
        <w:rPr>
          <w:rtl/>
        </w:rPr>
      </w:pPr>
      <w:bookmarkStart w:id="83884" w:name="_ETM_Q179_558662"/>
      <w:bookmarkEnd w:id="83884"/>
      <w:r>
        <w:rPr>
          <w:rFonts w:hint="cs"/>
          <w:rtl/>
        </w:rPr>
        <w:t xml:space="preserve">אני </w:t>
      </w:r>
      <w:bookmarkStart w:id="83885" w:name="_ETM_Q179_558450"/>
      <w:bookmarkEnd w:id="83885"/>
      <w:r>
        <w:rPr>
          <w:rFonts w:hint="cs"/>
          <w:rtl/>
        </w:rPr>
        <w:t xml:space="preserve">רוצה </w:t>
      </w:r>
      <w:bookmarkStart w:id="83886" w:name="_ETM_Q179_558750"/>
      <w:bookmarkEnd w:id="83886"/>
      <w:r>
        <w:rPr>
          <w:rFonts w:hint="cs"/>
          <w:rtl/>
        </w:rPr>
        <w:t xml:space="preserve">להודות </w:t>
      </w:r>
      <w:bookmarkStart w:id="83887" w:name="_ETM_Q179_559110"/>
      <w:bookmarkEnd w:id="83887"/>
      <w:r>
        <w:rPr>
          <w:rFonts w:hint="cs"/>
          <w:rtl/>
        </w:rPr>
        <w:t xml:space="preserve">לך, </w:t>
      </w:r>
      <w:bookmarkStart w:id="83888" w:name="_ETM_Q179_559380"/>
      <w:bookmarkEnd w:id="83888"/>
      <w:r>
        <w:rPr>
          <w:rFonts w:hint="cs"/>
          <w:rtl/>
        </w:rPr>
        <w:t xml:space="preserve">אדוני </w:t>
      </w:r>
      <w:bookmarkStart w:id="83889" w:name="_ETM_Q179_559680"/>
      <w:bookmarkEnd w:id="83889"/>
      <w:r>
        <w:rPr>
          <w:rFonts w:hint="cs"/>
          <w:rtl/>
        </w:rPr>
        <w:t xml:space="preserve">היושב-ראש </w:t>
      </w:r>
      <w:bookmarkStart w:id="83890" w:name="_ETM_Q179_560520"/>
      <w:bookmarkEnd w:id="83890"/>
      <w:r>
        <w:rPr>
          <w:rFonts w:hint="cs"/>
          <w:rtl/>
        </w:rPr>
        <w:t xml:space="preserve">אמיר </w:t>
      </w:r>
      <w:bookmarkStart w:id="83891" w:name="_ETM_Q179_560759"/>
      <w:bookmarkEnd w:id="83891"/>
      <w:r>
        <w:rPr>
          <w:rFonts w:hint="cs"/>
          <w:rtl/>
        </w:rPr>
        <w:t xml:space="preserve">אוחנה, </w:t>
      </w:r>
      <w:bookmarkStart w:id="83892" w:name="_ETM_Q179_561740"/>
      <w:bookmarkEnd w:id="83892"/>
      <w:r>
        <w:rPr>
          <w:rFonts w:hint="cs"/>
          <w:rtl/>
        </w:rPr>
        <w:t xml:space="preserve">תודה </w:t>
      </w:r>
      <w:bookmarkStart w:id="83893" w:name="_ETM_Q179_562130"/>
      <w:bookmarkEnd w:id="83893"/>
      <w:r>
        <w:rPr>
          <w:rFonts w:hint="cs"/>
          <w:rtl/>
        </w:rPr>
        <w:t xml:space="preserve">רבה </w:t>
      </w:r>
      <w:bookmarkStart w:id="83894" w:name="_ETM_Q179_562460"/>
      <w:bookmarkEnd w:id="83894"/>
      <w:r>
        <w:rPr>
          <w:rFonts w:hint="cs"/>
          <w:rtl/>
        </w:rPr>
        <w:t xml:space="preserve">לך </w:t>
      </w:r>
      <w:bookmarkStart w:id="83895" w:name="_ETM_Q179_562880"/>
      <w:bookmarkEnd w:id="83895"/>
      <w:r>
        <w:rPr>
          <w:rFonts w:hint="cs"/>
          <w:rtl/>
        </w:rPr>
        <w:t xml:space="preserve">ולכל </w:t>
      </w:r>
      <w:bookmarkStart w:id="83896" w:name="_ETM_Q179_563330"/>
      <w:bookmarkEnd w:id="83896"/>
      <w:r>
        <w:rPr>
          <w:rFonts w:hint="cs"/>
          <w:rtl/>
        </w:rPr>
        <w:t xml:space="preserve">עובדי </w:t>
      </w:r>
      <w:bookmarkStart w:id="83897" w:name="_ETM_Q179_563660"/>
      <w:bookmarkEnd w:id="83897"/>
      <w:r>
        <w:rPr>
          <w:rFonts w:hint="cs"/>
          <w:rtl/>
        </w:rPr>
        <w:t xml:space="preserve">הכנסת </w:t>
      </w:r>
      <w:bookmarkStart w:id="83898" w:name="_ETM_Q179_564230"/>
      <w:bookmarkEnd w:id="83898"/>
      <w:r>
        <w:rPr>
          <w:rFonts w:hint="cs"/>
          <w:rtl/>
        </w:rPr>
        <w:t xml:space="preserve">המסורים </w:t>
      </w:r>
      <w:bookmarkStart w:id="83899" w:name="_ETM_Q179_565040"/>
      <w:bookmarkEnd w:id="83899"/>
      <w:r>
        <w:rPr>
          <w:rFonts w:hint="cs"/>
          <w:rtl/>
        </w:rPr>
        <w:t xml:space="preserve">על </w:t>
      </w:r>
      <w:bookmarkStart w:id="83900" w:name="_ETM_Q179_565220"/>
      <w:bookmarkEnd w:id="83900"/>
      <w:r>
        <w:rPr>
          <w:rFonts w:hint="cs"/>
          <w:rtl/>
        </w:rPr>
        <w:t xml:space="preserve">העבודה </w:t>
      </w:r>
      <w:bookmarkStart w:id="83901" w:name="_ETM_Q179_565910"/>
      <w:bookmarkEnd w:id="83901"/>
      <w:r>
        <w:rPr>
          <w:rFonts w:hint="cs"/>
          <w:rtl/>
        </w:rPr>
        <w:t xml:space="preserve">המדהימה </w:t>
      </w:r>
      <w:bookmarkStart w:id="83902" w:name="_ETM_Q179_566450"/>
      <w:bookmarkEnd w:id="83902"/>
      <w:r>
        <w:rPr>
          <w:rFonts w:hint="cs"/>
          <w:rtl/>
        </w:rPr>
        <w:t xml:space="preserve">שהם </w:t>
      </w:r>
      <w:bookmarkStart w:id="83903" w:name="_ETM_Q179_566750"/>
      <w:bookmarkEnd w:id="83903"/>
      <w:r>
        <w:rPr>
          <w:rFonts w:hint="cs"/>
          <w:rtl/>
        </w:rPr>
        <w:t xml:space="preserve">עושים. </w:t>
      </w:r>
      <w:bookmarkStart w:id="83904" w:name="_ETM_Q179_567670"/>
      <w:bookmarkEnd w:id="83904"/>
      <w:r>
        <w:rPr>
          <w:rFonts w:hint="cs"/>
          <w:rtl/>
        </w:rPr>
        <w:t xml:space="preserve">אני </w:t>
      </w:r>
      <w:bookmarkStart w:id="83905" w:name="_ETM_Q179_567880"/>
      <w:bookmarkEnd w:id="83905"/>
      <w:r>
        <w:rPr>
          <w:rFonts w:hint="cs"/>
          <w:rtl/>
        </w:rPr>
        <w:t xml:space="preserve">רוצה </w:t>
      </w:r>
      <w:bookmarkStart w:id="83906" w:name="_ETM_Q179_568210"/>
      <w:bookmarkEnd w:id="83906"/>
      <w:r>
        <w:rPr>
          <w:rFonts w:hint="cs"/>
          <w:rtl/>
        </w:rPr>
        <w:t xml:space="preserve">להודות </w:t>
      </w:r>
      <w:bookmarkStart w:id="83907" w:name="_ETM_Q179_568750"/>
      <w:bookmarkEnd w:id="83907"/>
      <w:r>
        <w:rPr>
          <w:rFonts w:hint="cs"/>
          <w:rtl/>
        </w:rPr>
        <w:t xml:space="preserve">לשר </w:t>
      </w:r>
      <w:bookmarkStart w:id="83908" w:name="_ETM_Q179_569140"/>
      <w:bookmarkEnd w:id="83908"/>
      <w:r>
        <w:rPr>
          <w:rFonts w:hint="cs"/>
          <w:rtl/>
        </w:rPr>
        <w:t xml:space="preserve">המקשר </w:t>
      </w:r>
      <w:bookmarkStart w:id="83909" w:name="_ETM_Q179_569860"/>
      <w:bookmarkEnd w:id="83909"/>
      <w:r>
        <w:rPr>
          <w:rFonts w:hint="cs"/>
          <w:rtl/>
        </w:rPr>
        <w:t xml:space="preserve">בין </w:t>
      </w:r>
      <w:bookmarkStart w:id="83910" w:name="_ETM_Q179_570040"/>
      <w:bookmarkEnd w:id="83910"/>
      <w:r>
        <w:rPr>
          <w:rFonts w:hint="cs"/>
          <w:rtl/>
        </w:rPr>
        <w:t xml:space="preserve">הממשלה </w:t>
      </w:r>
      <w:bookmarkStart w:id="83911" w:name="_ETM_Q179_570550"/>
      <w:bookmarkEnd w:id="83911"/>
      <w:r>
        <w:rPr>
          <w:rFonts w:hint="cs"/>
          <w:rtl/>
        </w:rPr>
        <w:t xml:space="preserve">לכנסת, </w:t>
      </w:r>
      <w:bookmarkStart w:id="83912" w:name="_ETM_Q179_571360"/>
      <w:bookmarkEnd w:id="83912"/>
      <w:r>
        <w:rPr>
          <w:rFonts w:hint="cs"/>
          <w:rtl/>
        </w:rPr>
        <w:t xml:space="preserve">השר </w:t>
      </w:r>
      <w:bookmarkStart w:id="83913" w:name="_ETM_Q179_571960"/>
      <w:bookmarkEnd w:id="83913"/>
      <w:r>
        <w:rPr>
          <w:rFonts w:hint="cs"/>
          <w:rtl/>
        </w:rPr>
        <w:t xml:space="preserve">דודי </w:t>
      </w:r>
      <w:bookmarkStart w:id="83914" w:name="_ETM_Q179_572260"/>
      <w:bookmarkEnd w:id="83914"/>
      <w:r>
        <w:rPr>
          <w:rFonts w:hint="cs"/>
          <w:rtl/>
        </w:rPr>
        <w:t xml:space="preserve">אמסלם. </w:t>
      </w:r>
      <w:bookmarkStart w:id="83915" w:name="_ETM_Q179_573680"/>
      <w:bookmarkEnd w:id="83915"/>
      <w:r>
        <w:rPr>
          <w:rFonts w:hint="cs"/>
          <w:rtl/>
        </w:rPr>
        <w:t xml:space="preserve">אני </w:t>
      </w:r>
      <w:bookmarkStart w:id="83916" w:name="_ETM_Q179_573860"/>
      <w:bookmarkEnd w:id="83916"/>
      <w:r>
        <w:rPr>
          <w:rFonts w:hint="cs"/>
          <w:rtl/>
        </w:rPr>
        <w:t xml:space="preserve">חושב </w:t>
      </w:r>
      <w:bookmarkStart w:id="83917" w:name="_ETM_Q179_574070"/>
      <w:bookmarkEnd w:id="83917"/>
      <w:r>
        <w:rPr>
          <w:rFonts w:hint="cs"/>
          <w:rtl/>
        </w:rPr>
        <w:t xml:space="preserve">שכולנו </w:t>
      </w:r>
      <w:bookmarkStart w:id="83918" w:name="_ETM_Q179_574909"/>
      <w:bookmarkEnd w:id="83918"/>
      <w:r>
        <w:rPr>
          <w:rFonts w:hint="cs"/>
          <w:rtl/>
        </w:rPr>
        <w:t xml:space="preserve">חייבים </w:t>
      </w:r>
      <w:bookmarkStart w:id="83919" w:name="_ETM_Q179_575390"/>
      <w:bookmarkEnd w:id="83919"/>
      <w:r>
        <w:rPr>
          <w:rFonts w:hint="cs"/>
          <w:rtl/>
        </w:rPr>
        <w:t xml:space="preserve">תודה </w:t>
      </w:r>
      <w:bookmarkStart w:id="83920" w:name="_ETM_Q179_575810"/>
      <w:bookmarkEnd w:id="83920"/>
      <w:r>
        <w:rPr>
          <w:rFonts w:hint="cs"/>
          <w:rtl/>
        </w:rPr>
        <w:t xml:space="preserve">ענקית </w:t>
      </w:r>
      <w:bookmarkStart w:id="83921" w:name="_ETM_Q179_576380"/>
      <w:bookmarkEnd w:id="83921"/>
      <w:r>
        <w:rPr>
          <w:rFonts w:hint="cs"/>
          <w:rtl/>
        </w:rPr>
        <w:t xml:space="preserve">ליושב-ראש </w:t>
      </w:r>
      <w:bookmarkStart w:id="83922" w:name="_ETM_Q179_577100"/>
      <w:bookmarkEnd w:id="83922"/>
      <w:r>
        <w:rPr>
          <w:rFonts w:hint="cs"/>
          <w:rtl/>
        </w:rPr>
        <w:t xml:space="preserve">הקואליציה </w:t>
      </w:r>
      <w:bookmarkStart w:id="83923" w:name="_ETM_Q179_577909"/>
      <w:bookmarkEnd w:id="83923"/>
      <w:r>
        <w:rPr>
          <w:rFonts w:hint="cs"/>
          <w:rtl/>
        </w:rPr>
        <w:t xml:space="preserve">שלנו, </w:t>
      </w:r>
      <w:bookmarkStart w:id="83924" w:name="_ETM_Q179_578509"/>
      <w:bookmarkEnd w:id="83924"/>
      <w:r>
        <w:rPr>
          <w:rFonts w:hint="cs"/>
          <w:rtl/>
        </w:rPr>
        <w:t xml:space="preserve">חבר </w:t>
      </w:r>
      <w:bookmarkStart w:id="83925" w:name="_ETM_Q179_578869"/>
      <w:bookmarkEnd w:id="83925"/>
      <w:r>
        <w:rPr>
          <w:rFonts w:hint="cs"/>
          <w:rtl/>
        </w:rPr>
        <w:t xml:space="preserve">הכנסת </w:t>
      </w:r>
      <w:bookmarkStart w:id="83926" w:name="_ETM_Q179_579409"/>
      <w:bookmarkEnd w:id="83926"/>
      <w:r>
        <w:rPr>
          <w:rFonts w:hint="cs"/>
          <w:rtl/>
        </w:rPr>
        <w:t xml:space="preserve">אופיר </w:t>
      </w:r>
      <w:bookmarkStart w:id="83927" w:name="_ETM_Q179_579830"/>
      <w:bookmarkEnd w:id="83927"/>
      <w:r>
        <w:rPr>
          <w:rFonts w:hint="cs"/>
          <w:rtl/>
        </w:rPr>
        <w:t xml:space="preserve">כץ. </w:t>
      </w:r>
      <w:bookmarkStart w:id="83928" w:name="_ETM_Q179_580820"/>
      <w:bookmarkEnd w:id="83928"/>
    </w:p>
    <w:p w:rsidR="00BB59CD" w:rsidRDefault="00BB59CD" w:rsidP="00BB59CD">
      <w:pPr>
        <w:rPr>
          <w:rtl/>
        </w:rPr>
      </w:pPr>
      <w:bookmarkStart w:id="83929" w:name="_ETM_Q179_581844"/>
      <w:bookmarkStart w:id="83930" w:name="_ETM_Q179_581923"/>
      <w:bookmarkEnd w:id="83929"/>
      <w:bookmarkEnd w:id="83930"/>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rPr>
      </w:pPr>
    </w:p>
    <w:p w:rsidR="00BB59CD" w:rsidRDefault="00BB59CD" w:rsidP="00BB59CD">
      <w:pPr>
        <w:rPr>
          <w:rtl/>
        </w:rPr>
      </w:pPr>
      <w:bookmarkStart w:id="83931" w:name="_ETM_Q179_582583"/>
      <w:bookmarkEnd w:id="83931"/>
      <w:r>
        <w:rPr>
          <w:rFonts w:hint="cs"/>
          <w:rtl/>
        </w:rPr>
        <w:t xml:space="preserve">לא, </w:t>
      </w:r>
      <w:bookmarkStart w:id="83932" w:name="_ETM_Q179_581060"/>
      <w:bookmarkEnd w:id="83932"/>
      <w:r>
        <w:rPr>
          <w:rFonts w:hint="cs"/>
          <w:rtl/>
        </w:rPr>
        <w:t xml:space="preserve">לא </w:t>
      </w:r>
      <w:bookmarkStart w:id="83933" w:name="_ETM_Q179_581360"/>
      <w:bookmarkEnd w:id="83933"/>
      <w:r>
        <w:rPr>
          <w:rFonts w:hint="cs"/>
          <w:rtl/>
        </w:rPr>
        <w:t xml:space="preserve">מחיאות </w:t>
      </w:r>
      <w:bookmarkStart w:id="83934" w:name="_ETM_Q179_581690"/>
      <w:bookmarkEnd w:id="83934"/>
      <w:r>
        <w:rPr>
          <w:rFonts w:hint="cs"/>
          <w:rtl/>
        </w:rPr>
        <w:t xml:space="preserve">כפיים, </w:t>
      </w:r>
      <w:bookmarkStart w:id="83935" w:name="_ETM_Q179_582020"/>
      <w:bookmarkEnd w:id="83935"/>
      <w:r>
        <w:rPr>
          <w:rFonts w:hint="cs"/>
          <w:rtl/>
        </w:rPr>
        <w:t xml:space="preserve">בלי </w:t>
      </w:r>
      <w:bookmarkStart w:id="83936" w:name="_ETM_Q179_582170"/>
      <w:bookmarkEnd w:id="83936"/>
      <w:r>
        <w:rPr>
          <w:rFonts w:hint="cs"/>
          <w:rtl/>
        </w:rPr>
        <w:t>מחיאות כפיים.</w:t>
      </w:r>
    </w:p>
    <w:p w:rsidR="00BB59CD" w:rsidRDefault="00BB59CD" w:rsidP="00BB59CD">
      <w:pPr>
        <w:rPr>
          <w:rtl/>
        </w:rPr>
      </w:pPr>
      <w:bookmarkStart w:id="83937" w:name="_ETM_Q179_578606"/>
      <w:bookmarkStart w:id="83938" w:name="_ETM_Q179_578663"/>
      <w:bookmarkEnd w:id="83937"/>
      <w:bookmarkEnd w:id="83938"/>
    </w:p>
    <w:p w:rsidR="00BB59CD" w:rsidRDefault="00BB59CD" w:rsidP="00BB59CD">
      <w:pPr>
        <w:pStyle w:val="-"/>
        <w:keepNext/>
        <w:rPr>
          <w:rtl/>
        </w:rPr>
      </w:pPr>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bookmarkStart w:id="83939" w:name="_ETM_Q179_579327"/>
      <w:bookmarkStart w:id="83940" w:name="_ETM_Q179_583060"/>
      <w:bookmarkEnd w:id="83939"/>
      <w:bookmarkEnd w:id="83940"/>
      <w:r>
        <w:rPr>
          <w:rFonts w:hint="cs"/>
          <w:rtl/>
        </w:rPr>
        <w:t xml:space="preserve">אני </w:t>
      </w:r>
      <w:bookmarkStart w:id="83941" w:name="_ETM_Q179_583270"/>
      <w:bookmarkEnd w:id="83941"/>
      <w:r>
        <w:rPr>
          <w:rFonts w:hint="cs"/>
          <w:rtl/>
        </w:rPr>
        <w:t xml:space="preserve">רוצה </w:t>
      </w:r>
      <w:bookmarkStart w:id="83942" w:name="_ETM_Q179_583569"/>
      <w:bookmarkEnd w:id="83942"/>
      <w:r>
        <w:rPr>
          <w:rFonts w:hint="cs"/>
          <w:rtl/>
        </w:rPr>
        <w:t xml:space="preserve">לומר </w:t>
      </w:r>
      <w:bookmarkStart w:id="83943" w:name="_ETM_Q179_583899"/>
      <w:bookmarkEnd w:id="83943"/>
      <w:r>
        <w:rPr>
          <w:rFonts w:hint="cs"/>
          <w:rtl/>
        </w:rPr>
        <w:t xml:space="preserve">תודה </w:t>
      </w:r>
      <w:bookmarkStart w:id="83944" w:name="_ETM_Q179_584469"/>
      <w:bookmarkEnd w:id="83944"/>
      <w:r>
        <w:rPr>
          <w:rFonts w:hint="cs"/>
          <w:rtl/>
        </w:rPr>
        <w:t xml:space="preserve">גדולה </w:t>
      </w:r>
      <w:bookmarkStart w:id="83945" w:name="_ETM_Q179_585249"/>
      <w:bookmarkEnd w:id="83945"/>
      <w:r>
        <w:rPr>
          <w:rFonts w:hint="cs"/>
          <w:rtl/>
        </w:rPr>
        <w:t xml:space="preserve">ומיוחדת </w:t>
      </w:r>
      <w:bookmarkStart w:id="83946" w:name="_ETM_Q179_586329"/>
      <w:bookmarkEnd w:id="83946"/>
      <w:r>
        <w:rPr>
          <w:rFonts w:hint="cs"/>
          <w:rtl/>
        </w:rPr>
        <w:t xml:space="preserve">לחברי </w:t>
      </w:r>
      <w:bookmarkStart w:id="83947" w:name="_ETM_Q179_587200"/>
      <w:bookmarkEnd w:id="83947"/>
      <w:r>
        <w:rPr>
          <w:rFonts w:hint="cs"/>
          <w:rtl/>
        </w:rPr>
        <w:t xml:space="preserve">יושב-ראש </w:t>
      </w:r>
      <w:bookmarkStart w:id="83948" w:name="_ETM_Q179_587859"/>
      <w:bookmarkEnd w:id="83948"/>
      <w:r>
        <w:rPr>
          <w:rFonts w:hint="cs"/>
          <w:rtl/>
        </w:rPr>
        <w:t xml:space="preserve">ועדת </w:t>
      </w:r>
      <w:bookmarkStart w:id="83949" w:name="_ETM_Q179_588310"/>
      <w:bookmarkEnd w:id="83949"/>
      <w:r>
        <w:rPr>
          <w:rFonts w:hint="cs"/>
          <w:rtl/>
        </w:rPr>
        <w:t xml:space="preserve">החוקה, </w:t>
      </w:r>
      <w:bookmarkStart w:id="83950" w:name="_ETM_Q179_588789"/>
      <w:bookmarkEnd w:id="83950"/>
      <w:r>
        <w:rPr>
          <w:rFonts w:hint="cs"/>
          <w:rtl/>
        </w:rPr>
        <w:t xml:space="preserve">חוק </w:t>
      </w:r>
      <w:bookmarkStart w:id="83951" w:name="_ETM_Q179_589089"/>
      <w:bookmarkEnd w:id="83951"/>
      <w:r>
        <w:rPr>
          <w:rFonts w:hint="cs"/>
          <w:rtl/>
        </w:rPr>
        <w:t xml:space="preserve">ומשפט </w:t>
      </w:r>
      <w:bookmarkStart w:id="83952" w:name="_ETM_Q179_589839"/>
      <w:bookmarkEnd w:id="83952"/>
      <w:r>
        <w:rPr>
          <w:rFonts w:hint="cs"/>
          <w:rtl/>
        </w:rPr>
        <w:t xml:space="preserve">חבר </w:t>
      </w:r>
      <w:bookmarkStart w:id="83953" w:name="_ETM_Q179_590200"/>
      <w:bookmarkEnd w:id="83953"/>
      <w:r>
        <w:rPr>
          <w:rFonts w:hint="cs"/>
          <w:rtl/>
        </w:rPr>
        <w:t xml:space="preserve">הכנסת </w:t>
      </w:r>
      <w:bookmarkStart w:id="83954" w:name="_ETM_Q179_590679"/>
      <w:bookmarkEnd w:id="83954"/>
      <w:r>
        <w:rPr>
          <w:rFonts w:hint="cs"/>
          <w:rtl/>
        </w:rPr>
        <w:t xml:space="preserve">שמחה </w:t>
      </w:r>
      <w:bookmarkStart w:id="83955" w:name="_ETM_Q179_591099"/>
      <w:bookmarkEnd w:id="83955"/>
      <w:r>
        <w:rPr>
          <w:rFonts w:hint="cs"/>
          <w:rtl/>
        </w:rPr>
        <w:t xml:space="preserve">רוטמן, על הובלה </w:t>
      </w:r>
      <w:bookmarkStart w:id="83956" w:name="_ETM_Q179_592880"/>
      <w:bookmarkEnd w:id="83956"/>
      <w:r>
        <w:rPr>
          <w:rFonts w:hint="cs"/>
          <w:rtl/>
        </w:rPr>
        <w:t xml:space="preserve">נחושה </w:t>
      </w:r>
      <w:bookmarkStart w:id="83957" w:name="_ETM_Q179_593810"/>
      <w:bookmarkEnd w:id="83957"/>
      <w:r>
        <w:rPr>
          <w:rFonts w:hint="cs"/>
          <w:rtl/>
        </w:rPr>
        <w:t xml:space="preserve">של </w:t>
      </w:r>
      <w:bookmarkStart w:id="83958" w:name="_ETM_Q179_594080"/>
      <w:bookmarkEnd w:id="83958"/>
      <w:r>
        <w:rPr>
          <w:rFonts w:hint="cs"/>
          <w:rtl/>
        </w:rPr>
        <w:t xml:space="preserve">הצעת </w:t>
      </w:r>
      <w:bookmarkStart w:id="83959" w:name="_ETM_Q179_594529"/>
      <w:bookmarkEnd w:id="83959"/>
      <w:r>
        <w:rPr>
          <w:rFonts w:hint="cs"/>
          <w:rtl/>
        </w:rPr>
        <w:t xml:space="preserve">החוק </w:t>
      </w:r>
      <w:bookmarkStart w:id="83960" w:name="_ETM_Q179_594890"/>
      <w:bookmarkEnd w:id="83960"/>
      <w:r>
        <w:rPr>
          <w:rFonts w:hint="cs"/>
          <w:rtl/>
        </w:rPr>
        <w:t xml:space="preserve">הזו, </w:t>
      </w:r>
      <w:bookmarkStart w:id="83961" w:name="_ETM_Q179_595760"/>
      <w:bookmarkEnd w:id="83961"/>
      <w:r>
        <w:rPr>
          <w:rFonts w:hint="cs"/>
          <w:rtl/>
        </w:rPr>
        <w:t xml:space="preserve">ולחברי </w:t>
      </w:r>
      <w:bookmarkStart w:id="83962" w:name="_ETM_Q179_596330"/>
      <w:bookmarkEnd w:id="83962"/>
      <w:r>
        <w:rPr>
          <w:rFonts w:hint="cs"/>
          <w:rtl/>
        </w:rPr>
        <w:t xml:space="preserve">ועדת </w:t>
      </w:r>
      <w:bookmarkStart w:id="83963" w:name="_ETM_Q179_596900"/>
      <w:bookmarkEnd w:id="83963"/>
      <w:r>
        <w:rPr>
          <w:rFonts w:hint="cs"/>
          <w:rtl/>
        </w:rPr>
        <w:t xml:space="preserve">החוקה </w:t>
      </w:r>
      <w:bookmarkStart w:id="83964" w:name="_ETM_Q179_597560"/>
      <w:bookmarkEnd w:id="83964"/>
      <w:r>
        <w:rPr>
          <w:rFonts w:hint="cs"/>
          <w:rtl/>
        </w:rPr>
        <w:t xml:space="preserve">ולצוות </w:t>
      </w:r>
      <w:bookmarkStart w:id="83965" w:name="_ETM_Q179_598400"/>
      <w:bookmarkEnd w:id="83965"/>
      <w:r>
        <w:rPr>
          <w:rFonts w:hint="cs"/>
          <w:rtl/>
        </w:rPr>
        <w:t xml:space="preserve">הוועדה </w:t>
      </w:r>
      <w:bookmarkStart w:id="83966" w:name="_ETM_Q179_598940"/>
      <w:bookmarkEnd w:id="83966"/>
      <w:r>
        <w:rPr>
          <w:rFonts w:hint="cs"/>
          <w:rtl/>
        </w:rPr>
        <w:t xml:space="preserve">בראשותו </w:t>
      </w:r>
      <w:bookmarkStart w:id="83967" w:name="_ETM_Q179_599390"/>
      <w:bookmarkEnd w:id="83967"/>
      <w:r>
        <w:rPr>
          <w:rFonts w:hint="cs"/>
          <w:rtl/>
        </w:rPr>
        <w:t xml:space="preserve">של </w:t>
      </w:r>
      <w:bookmarkStart w:id="83968" w:name="_ETM_Q179_599990"/>
      <w:bookmarkEnd w:id="83968"/>
      <w:r>
        <w:rPr>
          <w:rFonts w:hint="cs"/>
          <w:rtl/>
        </w:rPr>
        <w:t xml:space="preserve">מנהל </w:t>
      </w:r>
      <w:bookmarkStart w:id="83969" w:name="_ETM_Q179_600409"/>
      <w:bookmarkEnd w:id="83969"/>
      <w:r>
        <w:rPr>
          <w:rFonts w:hint="cs"/>
          <w:rtl/>
        </w:rPr>
        <w:t xml:space="preserve">הוועדה </w:t>
      </w:r>
      <w:bookmarkStart w:id="83970" w:name="_ETM_Q179_600890"/>
      <w:bookmarkEnd w:id="83970"/>
      <w:r>
        <w:rPr>
          <w:rFonts w:hint="cs"/>
          <w:rtl/>
        </w:rPr>
        <w:t xml:space="preserve">איל </w:t>
      </w:r>
      <w:bookmarkStart w:id="83971" w:name="_ETM_Q179_601460"/>
      <w:bookmarkEnd w:id="83971"/>
      <w:r>
        <w:rPr>
          <w:rFonts w:hint="cs"/>
          <w:rtl/>
        </w:rPr>
        <w:t xml:space="preserve">קופמן. </w:t>
      </w:r>
      <w:bookmarkStart w:id="83972" w:name="_ETM_Q179_602680"/>
      <w:bookmarkEnd w:id="83972"/>
      <w:r>
        <w:rPr>
          <w:rFonts w:hint="cs"/>
          <w:rtl/>
        </w:rPr>
        <w:t xml:space="preserve">תודה </w:t>
      </w:r>
      <w:bookmarkStart w:id="83973" w:name="_ETM_Q179_602979"/>
      <w:bookmarkEnd w:id="83973"/>
      <w:r>
        <w:rPr>
          <w:rFonts w:hint="cs"/>
          <w:rtl/>
        </w:rPr>
        <w:t xml:space="preserve">מיוחדת </w:t>
      </w:r>
      <w:bookmarkStart w:id="83974" w:name="_ETM_Q179_603490"/>
      <w:bookmarkEnd w:id="83974"/>
      <w:r>
        <w:rPr>
          <w:rFonts w:hint="cs"/>
          <w:rtl/>
        </w:rPr>
        <w:t xml:space="preserve">ליועצת </w:t>
      </w:r>
      <w:bookmarkStart w:id="83975" w:name="_ETM_Q179_603940"/>
      <w:bookmarkEnd w:id="83975"/>
      <w:r>
        <w:rPr>
          <w:rFonts w:hint="cs"/>
          <w:rtl/>
        </w:rPr>
        <w:t xml:space="preserve">המשפטית </w:t>
      </w:r>
      <w:bookmarkStart w:id="83976" w:name="_ETM_Q179_604630"/>
      <w:bookmarkEnd w:id="83976"/>
      <w:r>
        <w:rPr>
          <w:rFonts w:hint="cs"/>
          <w:rtl/>
        </w:rPr>
        <w:t xml:space="preserve">של </w:t>
      </w:r>
      <w:bookmarkStart w:id="83977" w:name="_ETM_Q179_604810"/>
      <w:bookmarkEnd w:id="83977"/>
      <w:r>
        <w:rPr>
          <w:rFonts w:hint="cs"/>
          <w:rtl/>
        </w:rPr>
        <w:t>הכנסת</w:t>
      </w:r>
      <w:bookmarkStart w:id="83978" w:name="_ETM_Q179_606549"/>
      <w:bookmarkEnd w:id="83978"/>
      <w:r>
        <w:rPr>
          <w:rFonts w:hint="cs"/>
          <w:rtl/>
        </w:rPr>
        <w:t xml:space="preserve"> עו"ד שגית </w:t>
      </w:r>
      <w:bookmarkStart w:id="83979" w:name="_ETM_Q179_607029"/>
      <w:bookmarkEnd w:id="83979"/>
      <w:r>
        <w:rPr>
          <w:rFonts w:hint="cs"/>
          <w:rtl/>
        </w:rPr>
        <w:t xml:space="preserve">אפיק, </w:t>
      </w:r>
      <w:bookmarkStart w:id="83980" w:name="_ETM_Q179_608110"/>
      <w:bookmarkEnd w:id="83980"/>
      <w:r>
        <w:rPr>
          <w:rFonts w:hint="cs"/>
          <w:rtl/>
        </w:rPr>
        <w:t xml:space="preserve">ליועץ </w:t>
      </w:r>
      <w:bookmarkStart w:id="83981" w:name="_ETM_Q179_608589"/>
      <w:bookmarkEnd w:id="83981"/>
      <w:r>
        <w:rPr>
          <w:rFonts w:hint="cs"/>
          <w:rtl/>
        </w:rPr>
        <w:t xml:space="preserve">המשפטי </w:t>
      </w:r>
      <w:bookmarkStart w:id="83982" w:name="_ETM_Q179_609129"/>
      <w:bookmarkEnd w:id="83982"/>
      <w:r>
        <w:rPr>
          <w:rFonts w:hint="cs"/>
          <w:rtl/>
        </w:rPr>
        <w:t xml:space="preserve">של </w:t>
      </w:r>
      <w:bookmarkStart w:id="83983" w:name="_ETM_Q179_609310"/>
      <w:bookmarkEnd w:id="83983"/>
      <w:r>
        <w:rPr>
          <w:rFonts w:hint="cs"/>
          <w:rtl/>
        </w:rPr>
        <w:t xml:space="preserve">ועדת </w:t>
      </w:r>
      <w:bookmarkStart w:id="83984" w:name="_ETM_Q179_609730"/>
      <w:bookmarkEnd w:id="83984"/>
      <w:r>
        <w:rPr>
          <w:rFonts w:hint="cs"/>
          <w:rtl/>
        </w:rPr>
        <w:t xml:space="preserve">החוקה עו"ד </w:t>
      </w:r>
      <w:bookmarkStart w:id="83985" w:name="_ETM_Q179_612181"/>
      <w:bookmarkEnd w:id="83985"/>
      <w:r>
        <w:rPr>
          <w:rFonts w:hint="cs"/>
          <w:rtl/>
        </w:rPr>
        <w:t xml:space="preserve">גור בליי, </w:t>
      </w:r>
      <w:bookmarkStart w:id="83986" w:name="_ETM_Q179_611650"/>
      <w:bookmarkEnd w:id="83986"/>
      <w:r>
        <w:rPr>
          <w:rFonts w:hint="cs"/>
          <w:rtl/>
        </w:rPr>
        <w:t xml:space="preserve">ולכל </w:t>
      </w:r>
      <w:bookmarkStart w:id="83987" w:name="_ETM_Q179_612099"/>
      <w:bookmarkEnd w:id="83987"/>
      <w:r>
        <w:rPr>
          <w:rFonts w:hint="cs"/>
          <w:rtl/>
        </w:rPr>
        <w:t xml:space="preserve">צוות </w:t>
      </w:r>
      <w:bookmarkStart w:id="83988" w:name="_ETM_Q179_612489"/>
      <w:bookmarkEnd w:id="83988"/>
      <w:r>
        <w:rPr>
          <w:rFonts w:hint="cs"/>
          <w:rtl/>
        </w:rPr>
        <w:t xml:space="preserve">הלשכה </w:t>
      </w:r>
      <w:bookmarkStart w:id="83989" w:name="_ETM_Q179_612909"/>
      <w:bookmarkEnd w:id="83989"/>
      <w:r>
        <w:rPr>
          <w:rFonts w:hint="cs"/>
          <w:rtl/>
        </w:rPr>
        <w:t xml:space="preserve">המשפטית </w:t>
      </w:r>
      <w:bookmarkStart w:id="83990" w:name="_ETM_Q179_613510"/>
      <w:bookmarkEnd w:id="83990"/>
      <w:r>
        <w:rPr>
          <w:rFonts w:hint="cs"/>
          <w:rtl/>
        </w:rPr>
        <w:t xml:space="preserve">של </w:t>
      </w:r>
      <w:bookmarkStart w:id="83991" w:name="_ETM_Q179_613689"/>
      <w:bookmarkEnd w:id="83991"/>
      <w:r>
        <w:rPr>
          <w:rFonts w:hint="cs"/>
          <w:rtl/>
        </w:rPr>
        <w:t>הכנסת.</w:t>
      </w:r>
    </w:p>
    <w:p w:rsidR="00BB59CD" w:rsidRDefault="00BB59CD" w:rsidP="00BB59CD">
      <w:pPr>
        <w:rPr>
          <w:rtl/>
        </w:rPr>
      </w:pPr>
      <w:bookmarkStart w:id="83992" w:name="_ETM_Q179_612724"/>
      <w:bookmarkStart w:id="83993" w:name="_ETM_Q179_612757"/>
      <w:bookmarkStart w:id="83994" w:name="_ETM_Q179_612841"/>
      <w:bookmarkEnd w:id="83992"/>
      <w:bookmarkEnd w:id="83993"/>
      <w:bookmarkEnd w:id="83994"/>
    </w:p>
    <w:p w:rsidR="00BB59CD" w:rsidRDefault="00BB59CD" w:rsidP="00BB59CD">
      <w:pPr>
        <w:rPr>
          <w:rtl/>
        </w:rPr>
      </w:pPr>
      <w:bookmarkStart w:id="83995" w:name="_ETM_Q179_612926"/>
      <w:bookmarkStart w:id="83996" w:name="_ETM_Q179_615129"/>
      <w:bookmarkEnd w:id="83995"/>
      <w:bookmarkEnd w:id="83996"/>
      <w:r>
        <w:rPr>
          <w:rFonts w:hint="cs"/>
          <w:rtl/>
        </w:rPr>
        <w:t xml:space="preserve">אני </w:t>
      </w:r>
      <w:bookmarkStart w:id="83997" w:name="_ETM_Q179_615340"/>
      <w:bookmarkEnd w:id="83997"/>
      <w:r>
        <w:rPr>
          <w:rFonts w:hint="cs"/>
          <w:rtl/>
        </w:rPr>
        <w:t xml:space="preserve">רוצה </w:t>
      </w:r>
      <w:bookmarkStart w:id="83998" w:name="_ETM_Q179_615670"/>
      <w:bookmarkEnd w:id="83998"/>
      <w:r>
        <w:rPr>
          <w:rFonts w:hint="cs"/>
          <w:rtl/>
        </w:rPr>
        <w:t xml:space="preserve">להודות </w:t>
      </w:r>
      <w:bookmarkStart w:id="83999" w:name="_ETM_Q179_616120"/>
      <w:bookmarkEnd w:id="83999"/>
      <w:r>
        <w:rPr>
          <w:rFonts w:hint="cs"/>
          <w:rtl/>
        </w:rPr>
        <w:t xml:space="preserve">לכל </w:t>
      </w:r>
      <w:bookmarkStart w:id="84000" w:name="_ETM_Q179_616720"/>
      <w:bookmarkEnd w:id="84000"/>
      <w:r>
        <w:rPr>
          <w:rFonts w:hint="cs"/>
          <w:rtl/>
        </w:rPr>
        <w:t>אח</w:t>
      </w:r>
      <w:bookmarkStart w:id="84001" w:name="_ETM_Q179_617049"/>
      <w:bookmarkEnd w:id="84001"/>
      <w:r>
        <w:rPr>
          <w:rFonts w:hint="cs"/>
          <w:rtl/>
        </w:rPr>
        <w:t xml:space="preserve">ת ואחד </w:t>
      </w:r>
      <w:bookmarkStart w:id="84002" w:name="_ETM_Q179_617590"/>
      <w:bookmarkEnd w:id="84002"/>
      <w:r>
        <w:rPr>
          <w:rFonts w:hint="cs"/>
          <w:rtl/>
        </w:rPr>
        <w:t xml:space="preserve">מחבריי </w:t>
      </w:r>
      <w:bookmarkStart w:id="84003" w:name="_ETM_Q179_618340"/>
      <w:bookmarkEnd w:id="84003"/>
      <w:r>
        <w:rPr>
          <w:rFonts w:hint="cs"/>
          <w:rtl/>
        </w:rPr>
        <w:t xml:space="preserve">השרים </w:t>
      </w:r>
      <w:bookmarkStart w:id="84004" w:name="_ETM_Q179_618939"/>
      <w:bookmarkEnd w:id="84004"/>
      <w:r>
        <w:rPr>
          <w:rFonts w:hint="cs"/>
          <w:rtl/>
        </w:rPr>
        <w:t xml:space="preserve">וחברי </w:t>
      </w:r>
      <w:bookmarkStart w:id="84005" w:name="_ETM_Q179_619420"/>
      <w:bookmarkEnd w:id="84005"/>
      <w:r>
        <w:rPr>
          <w:rFonts w:hint="cs"/>
          <w:rtl/>
        </w:rPr>
        <w:t xml:space="preserve">הכנסת </w:t>
      </w:r>
      <w:bookmarkStart w:id="84006" w:name="_ETM_Q179_619959"/>
      <w:bookmarkEnd w:id="84006"/>
      <w:r>
        <w:rPr>
          <w:rFonts w:hint="cs"/>
          <w:rtl/>
        </w:rPr>
        <w:t xml:space="preserve">שתמכו </w:t>
      </w:r>
      <w:bookmarkStart w:id="84007" w:name="_ETM_Q179_620500"/>
      <w:bookmarkEnd w:id="84007"/>
      <w:r>
        <w:rPr>
          <w:rFonts w:hint="cs"/>
          <w:rtl/>
        </w:rPr>
        <w:t xml:space="preserve">בהצעת </w:t>
      </w:r>
      <w:bookmarkStart w:id="84008" w:name="_ETM_Q179_621069"/>
      <w:bookmarkEnd w:id="84008"/>
      <w:r>
        <w:rPr>
          <w:rFonts w:hint="cs"/>
          <w:rtl/>
        </w:rPr>
        <w:t xml:space="preserve">החוק, </w:t>
      </w:r>
      <w:bookmarkStart w:id="84009" w:name="_ETM_Q179_622000"/>
      <w:bookmarkEnd w:id="84009"/>
      <w:r>
        <w:rPr>
          <w:rFonts w:hint="cs"/>
          <w:rtl/>
        </w:rPr>
        <w:t xml:space="preserve">וכמובן </w:t>
      </w:r>
      <w:bookmarkStart w:id="84010" w:name="_ETM_Q179_622659"/>
      <w:bookmarkEnd w:id="84010"/>
      <w:r>
        <w:rPr>
          <w:rFonts w:hint="cs"/>
          <w:rtl/>
        </w:rPr>
        <w:t xml:space="preserve">לכל </w:t>
      </w:r>
      <w:bookmarkStart w:id="84011" w:name="_ETM_Q179_623079"/>
      <w:bookmarkEnd w:id="84011"/>
      <w:r>
        <w:rPr>
          <w:rFonts w:hint="cs"/>
          <w:rtl/>
        </w:rPr>
        <w:t xml:space="preserve">מי </w:t>
      </w:r>
      <w:bookmarkStart w:id="84012" w:name="_ETM_Q179_623260"/>
      <w:bookmarkEnd w:id="84012"/>
      <w:r>
        <w:rPr>
          <w:rFonts w:hint="cs"/>
          <w:rtl/>
        </w:rPr>
        <w:t xml:space="preserve">שהיה </w:t>
      </w:r>
      <w:bookmarkStart w:id="84013" w:name="_ETM_Q179_623530"/>
      <w:bookmarkEnd w:id="84013"/>
      <w:r>
        <w:rPr>
          <w:rFonts w:hint="cs"/>
          <w:rtl/>
        </w:rPr>
        <w:t xml:space="preserve">שותף </w:t>
      </w:r>
      <w:bookmarkStart w:id="84014" w:name="_ETM_Q179_624010"/>
      <w:bookmarkEnd w:id="84014"/>
      <w:r>
        <w:rPr>
          <w:rFonts w:hint="cs"/>
          <w:rtl/>
        </w:rPr>
        <w:t xml:space="preserve">לעבודה </w:t>
      </w:r>
      <w:bookmarkStart w:id="84015" w:name="_ETM_Q179_624670"/>
      <w:bookmarkEnd w:id="84015"/>
      <w:r>
        <w:rPr>
          <w:rFonts w:hint="cs"/>
          <w:rtl/>
        </w:rPr>
        <w:t xml:space="preserve">הקשה </w:t>
      </w:r>
      <w:bookmarkStart w:id="84016" w:name="_ETM_Q179_625180"/>
      <w:bookmarkEnd w:id="84016"/>
      <w:r>
        <w:rPr>
          <w:rFonts w:hint="cs"/>
          <w:rtl/>
        </w:rPr>
        <w:t xml:space="preserve">כדי </w:t>
      </w:r>
      <w:bookmarkStart w:id="84017" w:name="_ETM_Q179_625480"/>
      <w:bookmarkEnd w:id="84017"/>
      <w:r>
        <w:rPr>
          <w:rFonts w:hint="cs"/>
          <w:rtl/>
        </w:rPr>
        <w:t xml:space="preserve">להביא </w:t>
      </w:r>
      <w:bookmarkStart w:id="84018" w:name="_ETM_Q179_625840"/>
      <w:bookmarkEnd w:id="84018"/>
      <w:r>
        <w:rPr>
          <w:rFonts w:hint="cs"/>
          <w:rtl/>
        </w:rPr>
        <w:t xml:space="preserve">אותה </w:t>
      </w:r>
      <w:bookmarkStart w:id="84019" w:name="_ETM_Q179_626170"/>
      <w:bookmarkEnd w:id="84019"/>
      <w:r>
        <w:rPr>
          <w:rFonts w:hint="cs"/>
          <w:rtl/>
        </w:rPr>
        <w:t xml:space="preserve">לידי </w:t>
      </w:r>
      <w:bookmarkStart w:id="84020" w:name="_ETM_Q179_626560"/>
      <w:bookmarkEnd w:id="84020"/>
      <w:r>
        <w:rPr>
          <w:rFonts w:hint="cs"/>
          <w:rtl/>
        </w:rPr>
        <w:t xml:space="preserve">גמר, </w:t>
      </w:r>
      <w:bookmarkStart w:id="84021" w:name="_ETM_Q179_627640"/>
      <w:bookmarkEnd w:id="84021"/>
      <w:r>
        <w:rPr>
          <w:rFonts w:hint="cs"/>
          <w:rtl/>
        </w:rPr>
        <w:t xml:space="preserve">ובפרט </w:t>
      </w:r>
      <w:bookmarkStart w:id="84022" w:name="_ETM_Q179_628420"/>
      <w:bookmarkEnd w:id="84022"/>
      <w:r>
        <w:rPr>
          <w:rFonts w:hint="cs"/>
          <w:rtl/>
        </w:rPr>
        <w:t xml:space="preserve">לד"ר </w:t>
      </w:r>
      <w:bookmarkStart w:id="84023" w:name="_ETM_Q179_629020"/>
      <w:bookmarkEnd w:id="84023"/>
      <w:r>
        <w:rPr>
          <w:rFonts w:hint="cs"/>
          <w:rtl/>
        </w:rPr>
        <w:t xml:space="preserve">אביעד </w:t>
      </w:r>
      <w:bookmarkStart w:id="84024" w:name="_ETM_Q179_629440"/>
      <w:bookmarkEnd w:id="84024"/>
      <w:r>
        <w:rPr>
          <w:rFonts w:hint="cs"/>
          <w:rtl/>
        </w:rPr>
        <w:t xml:space="preserve">בקשי, לד"ר רפי </w:t>
      </w:r>
      <w:bookmarkStart w:id="84025" w:name="_ETM_Q179_630840"/>
      <w:bookmarkEnd w:id="84025"/>
      <w:r>
        <w:rPr>
          <w:rFonts w:hint="cs"/>
          <w:rtl/>
        </w:rPr>
        <w:t xml:space="preserve">ביטון, לפרופ' </w:t>
      </w:r>
      <w:bookmarkStart w:id="84026" w:name="_ETM_Q179_631440"/>
      <w:bookmarkStart w:id="84027" w:name="_ETM_Q179_632100"/>
      <w:bookmarkEnd w:id="84026"/>
      <w:bookmarkEnd w:id="84027"/>
      <w:r>
        <w:rPr>
          <w:rFonts w:hint="cs"/>
          <w:rtl/>
        </w:rPr>
        <w:t xml:space="preserve">טליה </w:t>
      </w:r>
      <w:bookmarkStart w:id="84028" w:name="_ETM_Q179_632490"/>
      <w:bookmarkEnd w:id="84028"/>
      <w:r>
        <w:rPr>
          <w:rFonts w:hint="cs"/>
          <w:rtl/>
        </w:rPr>
        <w:t xml:space="preserve">איינהורן </w:t>
      </w:r>
      <w:bookmarkStart w:id="84029" w:name="_ETM_Q179_633709"/>
      <w:bookmarkEnd w:id="84029"/>
      <w:r>
        <w:rPr>
          <w:rFonts w:hint="cs"/>
          <w:rtl/>
        </w:rPr>
        <w:t xml:space="preserve">ולשר </w:t>
      </w:r>
      <w:bookmarkStart w:id="84030" w:name="_ETM_Q179_634310"/>
      <w:bookmarkEnd w:id="84030"/>
      <w:r>
        <w:rPr>
          <w:rFonts w:hint="cs"/>
          <w:rtl/>
        </w:rPr>
        <w:t xml:space="preserve">המשפטים </w:t>
      </w:r>
      <w:bookmarkStart w:id="84031" w:name="_ETM_Q179_634879"/>
      <w:bookmarkEnd w:id="84031"/>
      <w:r>
        <w:rPr>
          <w:rFonts w:hint="cs"/>
          <w:rtl/>
        </w:rPr>
        <w:t xml:space="preserve">לשעבר </w:t>
      </w:r>
      <w:bookmarkStart w:id="84032" w:name="_ETM_Q179_635510"/>
      <w:bookmarkEnd w:id="84032"/>
      <w:r>
        <w:rPr>
          <w:rFonts w:hint="cs"/>
          <w:rtl/>
        </w:rPr>
        <w:t xml:space="preserve">חיים </w:t>
      </w:r>
      <w:bookmarkStart w:id="84033" w:name="_ETM_Q179_635900"/>
      <w:bookmarkEnd w:id="84033"/>
      <w:r>
        <w:rPr>
          <w:rFonts w:hint="cs"/>
          <w:rtl/>
        </w:rPr>
        <w:t xml:space="preserve">רמון. </w:t>
      </w:r>
      <w:bookmarkStart w:id="84034" w:name="_ETM_Q179_636879"/>
      <w:bookmarkEnd w:id="84034"/>
      <w:r>
        <w:rPr>
          <w:rFonts w:hint="cs"/>
          <w:rtl/>
        </w:rPr>
        <w:t xml:space="preserve">תודה </w:t>
      </w:r>
      <w:bookmarkStart w:id="84035" w:name="_ETM_Q179_637390"/>
      <w:bookmarkEnd w:id="84035"/>
      <w:r>
        <w:rPr>
          <w:rFonts w:hint="cs"/>
          <w:rtl/>
        </w:rPr>
        <w:t xml:space="preserve">גדולה </w:t>
      </w:r>
      <w:bookmarkStart w:id="84036" w:name="_ETM_Q179_637930"/>
      <w:bookmarkEnd w:id="84036"/>
      <w:r>
        <w:rPr>
          <w:rFonts w:hint="cs"/>
          <w:rtl/>
        </w:rPr>
        <w:t xml:space="preserve">גדולה </w:t>
      </w:r>
      <w:bookmarkStart w:id="84037" w:name="_ETM_Q179_638530"/>
      <w:bookmarkEnd w:id="84037"/>
      <w:r>
        <w:rPr>
          <w:rFonts w:hint="cs"/>
          <w:rtl/>
        </w:rPr>
        <w:t xml:space="preserve">לברל'ה </w:t>
      </w:r>
      <w:bookmarkStart w:id="84038" w:name="_ETM_Q179_639099"/>
      <w:bookmarkEnd w:id="84038"/>
      <w:r>
        <w:rPr>
          <w:rFonts w:hint="cs"/>
          <w:rtl/>
        </w:rPr>
        <w:t xml:space="preserve">קרומבי </w:t>
      </w:r>
      <w:bookmarkStart w:id="84039" w:name="_ETM_Q179_640090"/>
      <w:bookmarkEnd w:id="84039"/>
      <w:r>
        <w:rPr>
          <w:rFonts w:hint="cs"/>
          <w:rtl/>
        </w:rPr>
        <w:t xml:space="preserve">ולידידי </w:t>
      </w:r>
      <w:bookmarkStart w:id="84040" w:name="_ETM_Q179_640959"/>
      <w:bookmarkEnd w:id="84040"/>
      <w:r>
        <w:rPr>
          <w:rFonts w:hint="cs"/>
          <w:rtl/>
        </w:rPr>
        <w:t xml:space="preserve">חבר </w:t>
      </w:r>
      <w:bookmarkStart w:id="84041" w:name="_ETM_Q179_641319"/>
      <w:bookmarkEnd w:id="84041"/>
      <w:r>
        <w:rPr>
          <w:rFonts w:hint="cs"/>
          <w:rtl/>
        </w:rPr>
        <w:t xml:space="preserve">הכנסת </w:t>
      </w:r>
      <w:bookmarkStart w:id="84042" w:name="_ETM_Q179_641739"/>
      <w:bookmarkEnd w:id="84042"/>
      <w:r>
        <w:rPr>
          <w:rFonts w:hint="cs"/>
          <w:rtl/>
        </w:rPr>
        <w:t>אבי</w:t>
      </w:r>
      <w:bookmarkStart w:id="84043" w:name="_ETM_Q179_641950"/>
      <w:bookmarkEnd w:id="84043"/>
      <w:r>
        <w:rPr>
          <w:rFonts w:hint="cs"/>
          <w:rtl/>
        </w:rPr>
        <w:t xml:space="preserve">חי </w:t>
      </w:r>
      <w:bookmarkStart w:id="84044" w:name="_ETM_Q179_642159"/>
      <w:bookmarkEnd w:id="84044"/>
      <w:r>
        <w:rPr>
          <w:rFonts w:hint="cs"/>
          <w:rtl/>
        </w:rPr>
        <w:t>בו</w:t>
      </w:r>
      <w:bookmarkStart w:id="84045" w:name="_ETM_Q179_642370"/>
      <w:bookmarkEnd w:id="84045"/>
      <w:r>
        <w:rPr>
          <w:rFonts w:hint="cs"/>
          <w:rtl/>
        </w:rPr>
        <w:t xml:space="preserve">ארון </w:t>
      </w:r>
      <w:bookmarkStart w:id="84046" w:name="_ETM_Q179_643540"/>
      <w:bookmarkEnd w:id="84046"/>
      <w:r>
        <w:rPr>
          <w:rFonts w:hint="cs"/>
          <w:rtl/>
        </w:rPr>
        <w:t xml:space="preserve">על </w:t>
      </w:r>
      <w:bookmarkStart w:id="84047" w:name="_ETM_Q179_643720"/>
      <w:bookmarkEnd w:id="84047"/>
      <w:r>
        <w:rPr>
          <w:rFonts w:hint="cs"/>
          <w:rtl/>
        </w:rPr>
        <w:t xml:space="preserve">התרומה </w:t>
      </w:r>
      <w:bookmarkStart w:id="84048" w:name="_ETM_Q179_644230"/>
      <w:bookmarkEnd w:id="84048"/>
      <w:r>
        <w:rPr>
          <w:rFonts w:hint="cs"/>
          <w:rtl/>
        </w:rPr>
        <w:t xml:space="preserve">העצומה </w:t>
      </w:r>
      <w:bookmarkStart w:id="84049" w:name="_ETM_Q179_644800"/>
      <w:bookmarkEnd w:id="84049"/>
      <w:r>
        <w:rPr>
          <w:rFonts w:hint="cs"/>
          <w:rtl/>
        </w:rPr>
        <w:t xml:space="preserve">שלהם </w:t>
      </w:r>
      <w:bookmarkStart w:id="84050" w:name="_ETM_Q179_645310"/>
      <w:bookmarkEnd w:id="84050"/>
      <w:r>
        <w:rPr>
          <w:rFonts w:hint="cs"/>
          <w:rtl/>
        </w:rPr>
        <w:t xml:space="preserve">בהסברת </w:t>
      </w:r>
      <w:bookmarkStart w:id="84051" w:name="_ETM_Q179_646000"/>
      <w:bookmarkEnd w:id="84051"/>
      <w:r>
        <w:rPr>
          <w:rFonts w:hint="cs"/>
          <w:rtl/>
        </w:rPr>
        <w:t xml:space="preserve">החוק </w:t>
      </w:r>
      <w:bookmarkStart w:id="84052" w:name="_ETM_Q179_646300"/>
      <w:bookmarkEnd w:id="84052"/>
      <w:r>
        <w:rPr>
          <w:rFonts w:hint="cs"/>
          <w:rtl/>
        </w:rPr>
        <w:t xml:space="preserve">החשוב </w:t>
      </w:r>
      <w:bookmarkStart w:id="84053" w:name="_ETM_Q179_646810"/>
      <w:bookmarkEnd w:id="84053"/>
      <w:r>
        <w:rPr>
          <w:rFonts w:hint="cs"/>
          <w:rtl/>
        </w:rPr>
        <w:t xml:space="preserve">הזה. </w:t>
      </w:r>
      <w:bookmarkStart w:id="84054" w:name="_ETM_Q179_647719"/>
      <w:bookmarkEnd w:id="84054"/>
    </w:p>
    <w:p w:rsidR="00BB59CD" w:rsidRDefault="00BB59CD" w:rsidP="00BB59CD">
      <w:pPr>
        <w:rPr>
          <w:rtl/>
        </w:rPr>
      </w:pPr>
      <w:bookmarkStart w:id="84055" w:name="_ETM_Q179_648344"/>
      <w:bookmarkStart w:id="84056" w:name="_ETM_Q179_648407"/>
      <w:bookmarkStart w:id="84057" w:name="_ETM_Q179_648504"/>
      <w:bookmarkEnd w:id="84055"/>
      <w:bookmarkEnd w:id="84056"/>
      <w:bookmarkEnd w:id="84057"/>
    </w:p>
    <w:p w:rsidR="00BB59CD" w:rsidRDefault="00BB59CD" w:rsidP="00BB59CD">
      <w:pPr>
        <w:rPr>
          <w:rtl/>
        </w:rPr>
      </w:pPr>
      <w:bookmarkStart w:id="84058" w:name="_ETM_Q179_648556"/>
      <w:bookmarkEnd w:id="84058"/>
      <w:r>
        <w:rPr>
          <w:rFonts w:hint="cs"/>
          <w:rtl/>
        </w:rPr>
        <w:t xml:space="preserve">אני </w:t>
      </w:r>
      <w:bookmarkStart w:id="84059" w:name="_ETM_Q179_648079"/>
      <w:bookmarkEnd w:id="84059"/>
      <w:r>
        <w:rPr>
          <w:rFonts w:hint="cs"/>
          <w:rtl/>
        </w:rPr>
        <w:t xml:space="preserve">רוצה </w:t>
      </w:r>
      <w:bookmarkStart w:id="84060" w:name="_ETM_Q179_648349"/>
      <w:bookmarkEnd w:id="84060"/>
      <w:r>
        <w:rPr>
          <w:rFonts w:hint="cs"/>
          <w:rtl/>
        </w:rPr>
        <w:t xml:space="preserve">להודות </w:t>
      </w:r>
      <w:bookmarkStart w:id="84061" w:name="_ETM_Q179_648829"/>
      <w:bookmarkEnd w:id="84061"/>
      <w:r>
        <w:rPr>
          <w:rFonts w:hint="cs"/>
          <w:rtl/>
        </w:rPr>
        <w:t xml:space="preserve">גם </w:t>
      </w:r>
      <w:bookmarkStart w:id="84062" w:name="_ETM_Q179_649010"/>
      <w:bookmarkEnd w:id="84062"/>
      <w:r>
        <w:rPr>
          <w:rFonts w:hint="cs"/>
          <w:rtl/>
        </w:rPr>
        <w:t xml:space="preserve">למנכ"ל </w:t>
      </w:r>
      <w:bookmarkStart w:id="84063" w:name="_ETM_Q179_649489"/>
      <w:bookmarkEnd w:id="84063"/>
      <w:r>
        <w:rPr>
          <w:rFonts w:hint="cs"/>
          <w:rtl/>
        </w:rPr>
        <w:t xml:space="preserve">משרדי </w:t>
      </w:r>
      <w:bookmarkStart w:id="84064" w:name="_ETM_Q179_650329"/>
      <w:bookmarkEnd w:id="84064"/>
      <w:r>
        <w:rPr>
          <w:rFonts w:hint="cs"/>
          <w:rtl/>
        </w:rPr>
        <w:t xml:space="preserve">איתמר </w:t>
      </w:r>
      <w:bookmarkStart w:id="84065" w:name="_ETM_Q179_650810"/>
      <w:bookmarkEnd w:id="84065"/>
      <w:r>
        <w:rPr>
          <w:rFonts w:hint="cs"/>
          <w:rtl/>
        </w:rPr>
        <w:t xml:space="preserve">דוננפלד </w:t>
      </w:r>
      <w:bookmarkStart w:id="84066" w:name="_ETM_Q179_651469"/>
      <w:bookmarkEnd w:id="84066"/>
      <w:r>
        <w:rPr>
          <w:rFonts w:hint="cs"/>
          <w:rtl/>
        </w:rPr>
        <w:t xml:space="preserve">ולצוותו, </w:t>
      </w:r>
      <w:bookmarkStart w:id="84067" w:name="_ETM_Q179_652890"/>
      <w:bookmarkEnd w:id="84067"/>
      <w:r>
        <w:rPr>
          <w:rFonts w:hint="cs"/>
          <w:rtl/>
        </w:rPr>
        <w:t xml:space="preserve">וכמובן </w:t>
      </w:r>
      <w:bookmarkStart w:id="84068" w:name="_ETM_Q179_653790"/>
      <w:bookmarkEnd w:id="84068"/>
      <w:r>
        <w:rPr>
          <w:rFonts w:hint="cs"/>
          <w:rtl/>
        </w:rPr>
        <w:t xml:space="preserve">גם </w:t>
      </w:r>
      <w:bookmarkStart w:id="84069" w:name="_ETM_Q179_654000"/>
      <w:bookmarkEnd w:id="84069"/>
      <w:r>
        <w:rPr>
          <w:rFonts w:hint="cs"/>
          <w:rtl/>
        </w:rPr>
        <w:t xml:space="preserve">לצוות </w:t>
      </w:r>
      <w:bookmarkStart w:id="84070" w:name="_ETM_Q179_654660"/>
      <w:bookmarkEnd w:id="84070"/>
      <w:r>
        <w:rPr>
          <w:rFonts w:hint="cs"/>
          <w:rtl/>
        </w:rPr>
        <w:t xml:space="preserve">המצוין </w:t>
      </w:r>
      <w:bookmarkStart w:id="84071" w:name="_ETM_Q179_655440"/>
      <w:bookmarkEnd w:id="84071"/>
      <w:r>
        <w:rPr>
          <w:rFonts w:hint="cs"/>
          <w:rtl/>
        </w:rPr>
        <w:t xml:space="preserve">שעובד </w:t>
      </w:r>
      <w:bookmarkStart w:id="84072" w:name="_ETM_Q179_655980"/>
      <w:bookmarkEnd w:id="84072"/>
      <w:r>
        <w:rPr>
          <w:rFonts w:hint="cs"/>
          <w:rtl/>
        </w:rPr>
        <w:t xml:space="preserve">עימי </w:t>
      </w:r>
      <w:bookmarkStart w:id="84073" w:name="_ETM_Q179_656490"/>
      <w:bookmarkEnd w:id="84073"/>
      <w:r>
        <w:rPr>
          <w:rFonts w:hint="cs"/>
          <w:rtl/>
        </w:rPr>
        <w:t xml:space="preserve">ימים </w:t>
      </w:r>
      <w:bookmarkStart w:id="84074" w:name="_ETM_Q179_657300"/>
      <w:bookmarkEnd w:id="84074"/>
      <w:r>
        <w:rPr>
          <w:rFonts w:hint="cs"/>
          <w:rtl/>
        </w:rPr>
        <w:t xml:space="preserve">ולילות </w:t>
      </w:r>
      <w:bookmarkStart w:id="84075" w:name="_ETM_Q179_659199"/>
      <w:bookmarkEnd w:id="84075"/>
      <w:r>
        <w:rPr>
          <w:rFonts w:hint="cs"/>
          <w:rtl/>
        </w:rPr>
        <w:t xml:space="preserve">בראשות </w:t>
      </w:r>
      <w:bookmarkStart w:id="84076" w:name="_ETM_Q179_660819"/>
      <w:bookmarkEnd w:id="84076"/>
      <w:r>
        <w:rPr>
          <w:rFonts w:hint="cs"/>
          <w:rtl/>
        </w:rPr>
        <w:t xml:space="preserve">– וזכיתי </w:t>
      </w:r>
      <w:bookmarkStart w:id="84077" w:name="_ETM_Q179_661930"/>
      <w:bookmarkEnd w:id="84077"/>
      <w:r>
        <w:rPr>
          <w:rFonts w:hint="cs"/>
          <w:rtl/>
        </w:rPr>
        <w:t xml:space="preserve">שיש </w:t>
      </w:r>
      <w:bookmarkStart w:id="84078" w:name="_ETM_Q179_662199"/>
      <w:bookmarkEnd w:id="84078"/>
      <w:r>
        <w:rPr>
          <w:rFonts w:hint="cs"/>
          <w:rtl/>
        </w:rPr>
        <w:t xml:space="preserve">לי </w:t>
      </w:r>
      <w:bookmarkStart w:id="84079" w:name="_ETM_Q179_662409"/>
      <w:bookmarkEnd w:id="84079"/>
      <w:r>
        <w:rPr>
          <w:rFonts w:hint="cs"/>
          <w:rtl/>
        </w:rPr>
        <w:t xml:space="preserve">שתי </w:t>
      </w:r>
      <w:bookmarkStart w:id="84080" w:name="_ETM_Q179_663069"/>
      <w:bookmarkStart w:id="84081" w:name="_ETM_Q179_663999"/>
      <w:bookmarkEnd w:id="84080"/>
      <w:bookmarkEnd w:id="84081"/>
      <w:r>
        <w:rPr>
          <w:rFonts w:hint="cs"/>
          <w:rtl/>
        </w:rPr>
        <w:t xml:space="preserve">ראשות </w:t>
      </w:r>
      <w:bookmarkStart w:id="84082" w:name="_ETM_Q179_664930"/>
      <w:bookmarkEnd w:id="84082"/>
      <w:r>
        <w:rPr>
          <w:rFonts w:hint="cs"/>
          <w:rtl/>
        </w:rPr>
        <w:t xml:space="preserve">מטה </w:t>
      </w:r>
      <w:bookmarkStart w:id="84083" w:name="_ETM_Q179_666349"/>
      <w:bookmarkEnd w:id="84083"/>
      <w:r>
        <w:rPr>
          <w:rFonts w:hint="cs"/>
          <w:rtl/>
        </w:rPr>
        <w:t xml:space="preserve">– לילך </w:t>
      </w:r>
      <w:bookmarkStart w:id="84084" w:name="_ETM_Q179_666799"/>
      <w:bookmarkEnd w:id="84084"/>
      <w:r>
        <w:rPr>
          <w:rFonts w:hint="cs"/>
          <w:rtl/>
        </w:rPr>
        <w:t xml:space="preserve">שלי </w:t>
      </w:r>
      <w:bookmarkStart w:id="84085" w:name="_ETM_Q179_667639"/>
      <w:bookmarkEnd w:id="84085"/>
      <w:r>
        <w:rPr>
          <w:rFonts w:hint="cs"/>
          <w:rtl/>
        </w:rPr>
        <w:t xml:space="preserve">ומורן </w:t>
      </w:r>
      <w:bookmarkStart w:id="84086" w:name="_ETM_Q179_668180"/>
      <w:bookmarkEnd w:id="84086"/>
      <w:r>
        <w:rPr>
          <w:rFonts w:hint="cs"/>
          <w:rtl/>
        </w:rPr>
        <w:t xml:space="preserve">מימון. </w:t>
      </w:r>
      <w:bookmarkStart w:id="84087" w:name="_ETM_Q179_669700"/>
      <w:bookmarkEnd w:id="84087"/>
      <w:r>
        <w:rPr>
          <w:rFonts w:hint="cs"/>
          <w:rtl/>
        </w:rPr>
        <w:t xml:space="preserve">וכמובן </w:t>
      </w:r>
      <w:bookmarkStart w:id="84088" w:name="_ETM_Q179_670990"/>
      <w:bookmarkEnd w:id="84088"/>
      <w:r>
        <w:rPr>
          <w:rFonts w:hint="cs"/>
          <w:rtl/>
        </w:rPr>
        <w:t>גם</w:t>
      </w:r>
      <w:bookmarkStart w:id="84089" w:name="_ETM_Q179_671440"/>
      <w:bookmarkEnd w:id="84089"/>
      <w:r>
        <w:rPr>
          <w:rFonts w:hint="cs"/>
          <w:rtl/>
        </w:rPr>
        <w:t xml:space="preserve">, </w:t>
      </w:r>
      <w:bookmarkStart w:id="84090" w:name="_ETM_Q179_676674"/>
      <w:bookmarkEnd w:id="84090"/>
      <w:r>
        <w:rPr>
          <w:rFonts w:hint="cs"/>
          <w:rtl/>
        </w:rPr>
        <w:t xml:space="preserve">אני </w:t>
      </w:r>
      <w:bookmarkStart w:id="84091" w:name="_ETM_Q179_673510"/>
      <w:bookmarkEnd w:id="84091"/>
      <w:r>
        <w:rPr>
          <w:rFonts w:hint="cs"/>
          <w:rtl/>
        </w:rPr>
        <w:t xml:space="preserve">חושב, </w:t>
      </w:r>
      <w:bookmarkStart w:id="84092" w:name="_ETM_Q179_673840"/>
      <w:bookmarkEnd w:id="84092"/>
      <w:r>
        <w:rPr>
          <w:rFonts w:hint="cs"/>
          <w:rtl/>
        </w:rPr>
        <w:t xml:space="preserve">למי </w:t>
      </w:r>
      <w:bookmarkStart w:id="84093" w:name="_ETM_Q179_674110"/>
      <w:bookmarkEnd w:id="84093"/>
      <w:r>
        <w:rPr>
          <w:rFonts w:hint="cs"/>
          <w:rtl/>
        </w:rPr>
        <w:t xml:space="preserve">שנשאו </w:t>
      </w:r>
      <w:bookmarkStart w:id="84094" w:name="_ETM_Q179_675340"/>
      <w:bookmarkEnd w:id="84094"/>
      <w:r>
        <w:rPr>
          <w:rFonts w:hint="cs"/>
          <w:rtl/>
        </w:rPr>
        <w:t xml:space="preserve">בנטל </w:t>
      </w:r>
      <w:bookmarkStart w:id="84095" w:name="_ETM_Q179_676930"/>
      <w:bookmarkEnd w:id="84095"/>
      <w:r>
        <w:rPr>
          <w:rFonts w:hint="cs"/>
          <w:rtl/>
        </w:rPr>
        <w:t xml:space="preserve">אולי </w:t>
      </w:r>
      <w:bookmarkStart w:id="84096" w:name="_ETM_Q179_677170"/>
      <w:bookmarkEnd w:id="84096"/>
      <w:r>
        <w:rPr>
          <w:rFonts w:hint="cs"/>
          <w:rtl/>
        </w:rPr>
        <w:t xml:space="preserve">בצורה </w:t>
      </w:r>
      <w:bookmarkStart w:id="84097" w:name="_ETM_Q179_677680"/>
      <w:bookmarkEnd w:id="84097"/>
      <w:r>
        <w:rPr>
          <w:rFonts w:hint="cs"/>
          <w:rtl/>
        </w:rPr>
        <w:t xml:space="preserve">הכי </w:t>
      </w:r>
      <w:bookmarkStart w:id="84098" w:name="_ETM_Q179_677920"/>
      <w:bookmarkEnd w:id="84098"/>
      <w:r>
        <w:rPr>
          <w:rFonts w:hint="cs"/>
          <w:rtl/>
        </w:rPr>
        <w:t xml:space="preserve">קשה </w:t>
      </w:r>
      <w:bookmarkStart w:id="84099" w:name="_ETM_Q179_678430"/>
      <w:bookmarkEnd w:id="84099"/>
      <w:r>
        <w:rPr>
          <w:rFonts w:hint="cs"/>
          <w:rtl/>
        </w:rPr>
        <w:t xml:space="preserve">והכי </w:t>
      </w:r>
      <w:bookmarkStart w:id="84100" w:name="_ETM_Q179_678790"/>
      <w:bookmarkEnd w:id="84100"/>
      <w:r>
        <w:rPr>
          <w:rFonts w:hint="cs"/>
          <w:rtl/>
        </w:rPr>
        <w:t xml:space="preserve">משמעותית </w:t>
      </w:r>
      <w:bookmarkStart w:id="84101" w:name="_ETM_Q179_679390"/>
      <w:bookmarkEnd w:id="84101"/>
      <w:r>
        <w:rPr>
          <w:rFonts w:hint="cs"/>
          <w:rtl/>
        </w:rPr>
        <w:t xml:space="preserve">מכולם, </w:t>
      </w:r>
      <w:bookmarkStart w:id="84102" w:name="_ETM_Q179_680050"/>
      <w:bookmarkEnd w:id="84102"/>
      <w:r>
        <w:rPr>
          <w:rFonts w:hint="cs"/>
          <w:rtl/>
        </w:rPr>
        <w:t xml:space="preserve">לרעייתי </w:t>
      </w:r>
      <w:bookmarkStart w:id="84103" w:name="_ETM_Q179_680680"/>
      <w:bookmarkEnd w:id="84103"/>
      <w:r>
        <w:rPr>
          <w:rFonts w:hint="cs"/>
          <w:rtl/>
        </w:rPr>
        <w:t xml:space="preserve">יפעת </w:t>
      </w:r>
      <w:bookmarkStart w:id="84104" w:name="_ETM_Q179_681870"/>
      <w:bookmarkEnd w:id="84104"/>
      <w:r>
        <w:rPr>
          <w:rFonts w:hint="cs"/>
          <w:rtl/>
        </w:rPr>
        <w:t xml:space="preserve">ולילדיי </w:t>
      </w:r>
      <w:bookmarkStart w:id="84105" w:name="_ETM_Q179_682769"/>
      <w:bookmarkEnd w:id="84105"/>
      <w:r>
        <w:rPr>
          <w:rFonts w:hint="cs"/>
          <w:rtl/>
        </w:rPr>
        <w:t xml:space="preserve">שעומדים </w:t>
      </w:r>
      <w:bookmarkStart w:id="84106" w:name="_ETM_Q179_683279"/>
      <w:bookmarkEnd w:id="84106"/>
      <w:r>
        <w:rPr>
          <w:rFonts w:hint="cs"/>
          <w:rtl/>
        </w:rPr>
        <w:t xml:space="preserve">לצידי </w:t>
      </w:r>
      <w:bookmarkStart w:id="84107" w:name="_ETM_Q179_683819"/>
      <w:bookmarkEnd w:id="84107"/>
      <w:r>
        <w:rPr>
          <w:rFonts w:hint="cs"/>
          <w:rtl/>
        </w:rPr>
        <w:t xml:space="preserve">כל </w:t>
      </w:r>
      <w:bookmarkStart w:id="84108" w:name="_ETM_Q179_684090"/>
      <w:bookmarkEnd w:id="84108"/>
      <w:r>
        <w:rPr>
          <w:rFonts w:hint="cs"/>
          <w:rtl/>
        </w:rPr>
        <w:t xml:space="preserve">העת. </w:t>
      </w:r>
      <w:bookmarkStart w:id="84109" w:name="_ETM_Q179_685809"/>
      <w:bookmarkEnd w:id="84109"/>
    </w:p>
    <w:p w:rsidR="00BB59CD" w:rsidRDefault="00BB59CD" w:rsidP="00BB59CD">
      <w:pPr>
        <w:rPr>
          <w:rtl/>
        </w:rPr>
      </w:pPr>
      <w:bookmarkStart w:id="84110" w:name="_ETM_Q179_686001"/>
      <w:bookmarkStart w:id="84111" w:name="_ETM_Q179_686060"/>
      <w:bookmarkStart w:id="84112" w:name="_ETM_Q179_686144"/>
      <w:bookmarkEnd w:id="84110"/>
      <w:bookmarkEnd w:id="84111"/>
      <w:bookmarkEnd w:id="84112"/>
    </w:p>
    <w:p w:rsidR="00BB59CD" w:rsidRDefault="00BB59CD" w:rsidP="00BB59CD">
      <w:pPr>
        <w:rPr>
          <w:rtl/>
        </w:rPr>
      </w:pPr>
      <w:bookmarkStart w:id="84113" w:name="_ETM_Q179_686207"/>
      <w:bookmarkEnd w:id="84113"/>
      <w:r>
        <w:rPr>
          <w:rFonts w:hint="cs"/>
          <w:rtl/>
        </w:rPr>
        <w:t xml:space="preserve">אני </w:t>
      </w:r>
      <w:bookmarkStart w:id="84114" w:name="_ETM_Q179_686139"/>
      <w:bookmarkEnd w:id="84114"/>
      <w:r>
        <w:rPr>
          <w:rFonts w:hint="cs"/>
          <w:rtl/>
        </w:rPr>
        <w:t xml:space="preserve">מבקש </w:t>
      </w:r>
      <w:bookmarkStart w:id="84115" w:name="_ETM_Q179_688489"/>
      <w:bookmarkEnd w:id="84115"/>
      <w:r>
        <w:rPr>
          <w:rFonts w:hint="cs"/>
          <w:rtl/>
        </w:rPr>
        <w:t>- - -</w:t>
      </w:r>
    </w:p>
    <w:p w:rsidR="00BB59CD" w:rsidRDefault="00BB59CD" w:rsidP="00BB59CD">
      <w:pPr>
        <w:rPr>
          <w:rtl/>
        </w:rPr>
      </w:pPr>
    </w:p>
    <w:p w:rsidR="00BB59CD" w:rsidRDefault="00BB59CD" w:rsidP="00BB59CD">
      <w:pPr>
        <w:pStyle w:val="af8"/>
        <w:keepNext/>
        <w:rPr>
          <w:rtl/>
        </w:rPr>
      </w:pPr>
      <w:bookmarkStart w:id="84116" w:name="ET_interruption_5807_9"/>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84116"/>
    </w:p>
    <w:p w:rsidR="00BB59CD" w:rsidRDefault="00BB59CD" w:rsidP="00337201">
      <w:pPr>
        <w:rPr>
          <w:rtl/>
        </w:rPr>
      </w:pPr>
    </w:p>
    <w:p w:rsidR="00BB59CD" w:rsidRDefault="00BB59CD" w:rsidP="00BB59CD">
      <w:pPr>
        <w:rPr>
          <w:rtl/>
        </w:rPr>
      </w:pPr>
      <w:r>
        <w:rPr>
          <w:rFonts w:hint="cs"/>
          <w:rtl/>
        </w:rPr>
        <w:t>ולמנהלות הסיעה.</w:t>
      </w:r>
    </w:p>
    <w:p w:rsidR="00BB59CD" w:rsidRDefault="00BB59CD" w:rsidP="00BB59CD">
      <w:pPr>
        <w:rPr>
          <w:rtl/>
        </w:rPr>
      </w:pPr>
    </w:p>
    <w:p w:rsidR="00BB59CD" w:rsidRDefault="00BB59CD" w:rsidP="00BB59CD">
      <w:pPr>
        <w:pStyle w:val="-"/>
        <w:keepNext/>
        <w:rPr>
          <w:rtl/>
        </w:rPr>
      </w:pPr>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p>
    <w:p w:rsidR="00BB59CD" w:rsidRDefault="00BB59CD" w:rsidP="00337201">
      <w:pPr>
        <w:rPr>
          <w:rtl/>
        </w:rPr>
      </w:pPr>
    </w:p>
    <w:p w:rsidR="00BB59CD" w:rsidRDefault="00BB59CD" w:rsidP="00BB59CD">
      <w:pPr>
        <w:rPr>
          <w:rtl/>
        </w:rPr>
      </w:pPr>
      <w:r>
        <w:rPr>
          <w:rFonts w:hint="cs"/>
          <w:rtl/>
        </w:rPr>
        <w:t xml:space="preserve">רגע, </w:t>
      </w:r>
      <w:bookmarkStart w:id="84117" w:name="_ETM_Q179_688909"/>
      <w:bookmarkEnd w:id="84117"/>
      <w:r>
        <w:rPr>
          <w:rFonts w:hint="cs"/>
          <w:rtl/>
        </w:rPr>
        <w:t xml:space="preserve">רגע, </w:t>
      </w:r>
      <w:bookmarkStart w:id="84118" w:name="_ETM_Q179_690109"/>
      <w:bookmarkEnd w:id="84118"/>
      <w:r>
        <w:rPr>
          <w:rFonts w:hint="cs"/>
          <w:rtl/>
        </w:rPr>
        <w:t xml:space="preserve">חכו </w:t>
      </w:r>
      <w:bookmarkStart w:id="84119" w:name="_ETM_Q179_690469"/>
      <w:bookmarkEnd w:id="84119"/>
      <w:r>
        <w:rPr>
          <w:rFonts w:hint="cs"/>
          <w:rtl/>
        </w:rPr>
        <w:t xml:space="preserve">בסבלנות, </w:t>
      </w:r>
      <w:bookmarkStart w:id="84120" w:name="_ETM_Q179_691189"/>
      <w:bookmarkEnd w:id="84120"/>
      <w:r>
        <w:rPr>
          <w:rFonts w:hint="cs"/>
          <w:rtl/>
        </w:rPr>
        <w:t xml:space="preserve">תאמינו לי. </w:t>
      </w:r>
      <w:bookmarkStart w:id="84121" w:name="_ETM_Q179_692629"/>
      <w:bookmarkEnd w:id="84121"/>
      <w:r>
        <w:rPr>
          <w:rFonts w:hint="cs"/>
          <w:rtl/>
        </w:rPr>
        <w:t xml:space="preserve">אני </w:t>
      </w:r>
      <w:bookmarkStart w:id="84122" w:name="_ETM_Q179_692840"/>
      <w:bookmarkEnd w:id="84122"/>
      <w:r>
        <w:rPr>
          <w:rFonts w:hint="cs"/>
          <w:rtl/>
        </w:rPr>
        <w:t xml:space="preserve">מבקש </w:t>
      </w:r>
      <w:bookmarkStart w:id="84123" w:name="_ETM_Q179_693319"/>
      <w:bookmarkEnd w:id="84123"/>
      <w:r>
        <w:rPr>
          <w:rFonts w:hint="cs"/>
          <w:rtl/>
        </w:rPr>
        <w:t xml:space="preserve">כמובן </w:t>
      </w:r>
      <w:bookmarkStart w:id="84124" w:name="_ETM_Q179_694760"/>
      <w:bookmarkEnd w:id="84124"/>
      <w:r>
        <w:rPr>
          <w:rFonts w:hint="cs"/>
          <w:rtl/>
        </w:rPr>
        <w:t xml:space="preserve">להודות </w:t>
      </w:r>
      <w:bookmarkStart w:id="84125" w:name="_ETM_Q179_695450"/>
      <w:bookmarkEnd w:id="84125"/>
      <w:r>
        <w:rPr>
          <w:rFonts w:hint="cs"/>
          <w:rtl/>
        </w:rPr>
        <w:t xml:space="preserve">בהתרגשות </w:t>
      </w:r>
      <w:bookmarkStart w:id="84126" w:name="_ETM_Q179_696290"/>
      <w:bookmarkEnd w:id="84126"/>
      <w:r>
        <w:rPr>
          <w:rFonts w:hint="cs"/>
          <w:rtl/>
        </w:rPr>
        <w:t xml:space="preserve">גדולה </w:t>
      </w:r>
      <w:bookmarkStart w:id="84127" w:name="_ETM_Q179_696709"/>
      <w:bookmarkEnd w:id="84127"/>
      <w:r>
        <w:rPr>
          <w:rFonts w:hint="cs"/>
          <w:rtl/>
        </w:rPr>
        <w:t xml:space="preserve">ומכל </w:t>
      </w:r>
      <w:bookmarkStart w:id="84128" w:name="_ETM_Q179_697220"/>
      <w:bookmarkEnd w:id="84128"/>
      <w:r>
        <w:rPr>
          <w:rFonts w:hint="cs"/>
          <w:rtl/>
        </w:rPr>
        <w:t xml:space="preserve">הלב </w:t>
      </w:r>
      <w:bookmarkStart w:id="84129" w:name="_ETM_Q179_697790"/>
      <w:bookmarkEnd w:id="84129"/>
      <w:r>
        <w:rPr>
          <w:rFonts w:hint="cs"/>
          <w:rtl/>
        </w:rPr>
        <w:t xml:space="preserve">למיליוני </w:t>
      </w:r>
      <w:bookmarkStart w:id="84130" w:name="_ETM_Q179_698689"/>
      <w:bookmarkEnd w:id="84130"/>
      <w:r>
        <w:rPr>
          <w:rFonts w:hint="cs"/>
          <w:rtl/>
        </w:rPr>
        <w:t xml:space="preserve">אזרחיות </w:t>
      </w:r>
      <w:bookmarkStart w:id="84131" w:name="_ETM_Q179_699379"/>
      <w:bookmarkEnd w:id="84131"/>
      <w:r>
        <w:rPr>
          <w:rFonts w:hint="cs"/>
          <w:rtl/>
        </w:rPr>
        <w:t xml:space="preserve">ואזרחים, </w:t>
      </w:r>
      <w:bookmarkStart w:id="84132" w:name="_ETM_Q179_700659"/>
      <w:bookmarkEnd w:id="84132"/>
      <w:r>
        <w:rPr>
          <w:rFonts w:hint="cs"/>
          <w:rtl/>
        </w:rPr>
        <w:t xml:space="preserve">לכל </w:t>
      </w:r>
      <w:bookmarkStart w:id="84133" w:name="_ETM_Q179_701140"/>
      <w:bookmarkEnd w:id="84133"/>
      <w:r>
        <w:rPr>
          <w:rFonts w:hint="cs"/>
          <w:rtl/>
        </w:rPr>
        <w:t xml:space="preserve">מי </w:t>
      </w:r>
      <w:bookmarkStart w:id="84134" w:name="_ETM_Q179_701290"/>
      <w:bookmarkEnd w:id="84134"/>
      <w:r>
        <w:rPr>
          <w:rFonts w:hint="cs"/>
          <w:rtl/>
        </w:rPr>
        <w:t xml:space="preserve">שהגיע </w:t>
      </w:r>
      <w:bookmarkStart w:id="84135" w:name="_ETM_Q179_701739"/>
      <w:bookmarkEnd w:id="84135"/>
      <w:r>
        <w:rPr>
          <w:rFonts w:hint="cs"/>
          <w:rtl/>
        </w:rPr>
        <w:t xml:space="preserve">להפגנות, </w:t>
      </w:r>
      <w:bookmarkStart w:id="84136" w:name="_ETM_Q179_703090"/>
      <w:bookmarkEnd w:id="84136"/>
      <w:r>
        <w:rPr>
          <w:rFonts w:hint="cs"/>
          <w:rtl/>
        </w:rPr>
        <w:t xml:space="preserve">עמד </w:t>
      </w:r>
      <w:bookmarkStart w:id="84137" w:name="_ETM_Q179_703540"/>
      <w:bookmarkEnd w:id="84137"/>
      <w:r>
        <w:rPr>
          <w:rFonts w:hint="cs"/>
          <w:rtl/>
        </w:rPr>
        <w:t xml:space="preserve">על </w:t>
      </w:r>
      <w:bookmarkStart w:id="84138" w:name="_ETM_Q179_703659"/>
      <w:bookmarkEnd w:id="84138"/>
      <w:r>
        <w:rPr>
          <w:rFonts w:hint="cs"/>
          <w:rtl/>
        </w:rPr>
        <w:t xml:space="preserve">דעתו </w:t>
      </w:r>
      <w:bookmarkStart w:id="84139" w:name="_ETM_Q179_704080"/>
      <w:bookmarkEnd w:id="84139"/>
      <w:r>
        <w:rPr>
          <w:rFonts w:hint="cs"/>
          <w:rtl/>
        </w:rPr>
        <w:t xml:space="preserve">ברשתות </w:t>
      </w:r>
      <w:bookmarkStart w:id="84140" w:name="_ETM_Q179_704739"/>
      <w:bookmarkEnd w:id="84140"/>
      <w:r>
        <w:rPr>
          <w:rFonts w:hint="cs"/>
          <w:rtl/>
        </w:rPr>
        <w:t xml:space="preserve">החברתיות, </w:t>
      </w:r>
      <w:bookmarkStart w:id="84141" w:name="_ETM_Q179_705760"/>
      <w:bookmarkEnd w:id="84141"/>
      <w:r>
        <w:rPr>
          <w:rFonts w:hint="cs"/>
          <w:rtl/>
        </w:rPr>
        <w:t xml:space="preserve">שכנע </w:t>
      </w:r>
      <w:bookmarkStart w:id="84142" w:name="_ETM_Q179_706360"/>
      <w:bookmarkEnd w:id="84142"/>
      <w:r>
        <w:rPr>
          <w:rFonts w:hint="cs"/>
          <w:rtl/>
        </w:rPr>
        <w:t xml:space="preserve">במקום </w:t>
      </w:r>
      <w:bookmarkStart w:id="84143" w:name="_ETM_Q179_706870"/>
      <w:bookmarkEnd w:id="84143"/>
      <w:r>
        <w:rPr>
          <w:rFonts w:hint="cs"/>
          <w:rtl/>
        </w:rPr>
        <w:t xml:space="preserve">העבודה </w:t>
      </w:r>
      <w:bookmarkStart w:id="84144" w:name="_ETM_Q179_707349"/>
      <w:bookmarkStart w:id="84145" w:name="_ETM_Q179_707470"/>
      <w:bookmarkEnd w:id="84144"/>
      <w:bookmarkEnd w:id="84145"/>
      <w:r>
        <w:rPr>
          <w:rFonts w:hint="cs"/>
          <w:rtl/>
        </w:rPr>
        <w:t xml:space="preserve">ובקרב </w:t>
      </w:r>
      <w:bookmarkStart w:id="84146" w:name="_ETM_Q179_707950"/>
      <w:bookmarkEnd w:id="84146"/>
      <w:r>
        <w:rPr>
          <w:rFonts w:hint="cs"/>
          <w:rtl/>
        </w:rPr>
        <w:t xml:space="preserve">המשפחה. </w:t>
      </w:r>
      <w:bookmarkStart w:id="84147" w:name="_ETM_Q179_709299"/>
      <w:bookmarkEnd w:id="84147"/>
      <w:r>
        <w:rPr>
          <w:rFonts w:hint="cs"/>
          <w:rtl/>
        </w:rPr>
        <w:t xml:space="preserve">בלעדיכם, </w:t>
      </w:r>
      <w:bookmarkStart w:id="84148" w:name="_ETM_Q179_710290"/>
      <w:bookmarkEnd w:id="84148"/>
      <w:r>
        <w:rPr>
          <w:rFonts w:hint="cs"/>
          <w:rtl/>
        </w:rPr>
        <w:t xml:space="preserve">בלי </w:t>
      </w:r>
      <w:bookmarkStart w:id="84149" w:name="_ETM_Q179_710530"/>
      <w:bookmarkEnd w:id="84149"/>
      <w:r>
        <w:rPr>
          <w:rFonts w:hint="cs"/>
          <w:rtl/>
        </w:rPr>
        <w:t xml:space="preserve">התמיכה </w:t>
      </w:r>
      <w:bookmarkStart w:id="84150" w:name="_ETM_Q179_711189"/>
      <w:bookmarkEnd w:id="84150"/>
      <w:r>
        <w:rPr>
          <w:rFonts w:hint="cs"/>
          <w:rtl/>
        </w:rPr>
        <w:t xml:space="preserve">האדירה </w:t>
      </w:r>
      <w:bookmarkStart w:id="84151" w:name="_ETM_Q179_711819"/>
      <w:bookmarkEnd w:id="84151"/>
      <w:r>
        <w:rPr>
          <w:rFonts w:hint="cs"/>
          <w:rtl/>
        </w:rPr>
        <w:t xml:space="preserve">הזו, </w:t>
      </w:r>
      <w:bookmarkStart w:id="84152" w:name="_ETM_Q179_712780"/>
      <w:bookmarkEnd w:id="84152"/>
      <w:r>
        <w:rPr>
          <w:rFonts w:hint="cs"/>
          <w:rtl/>
        </w:rPr>
        <w:t xml:space="preserve">לא </w:t>
      </w:r>
      <w:bookmarkStart w:id="84153" w:name="_ETM_Q179_713290"/>
      <w:bookmarkEnd w:id="84153"/>
      <w:r>
        <w:rPr>
          <w:rFonts w:hint="cs"/>
          <w:rtl/>
        </w:rPr>
        <w:t xml:space="preserve">היינו </w:t>
      </w:r>
      <w:bookmarkStart w:id="84154" w:name="_ETM_Q179_713739"/>
      <w:bookmarkEnd w:id="84154"/>
      <w:r>
        <w:rPr>
          <w:rFonts w:hint="cs"/>
          <w:rtl/>
        </w:rPr>
        <w:t xml:space="preserve">מגיעים </w:t>
      </w:r>
      <w:bookmarkStart w:id="84155" w:name="_ETM_Q179_714370"/>
      <w:bookmarkEnd w:id="84155"/>
      <w:r>
        <w:rPr>
          <w:rFonts w:hint="cs"/>
          <w:rtl/>
        </w:rPr>
        <w:t xml:space="preserve">לפריצת </w:t>
      </w:r>
      <w:bookmarkStart w:id="84156" w:name="_ETM_Q179_715209"/>
      <w:bookmarkEnd w:id="84156"/>
      <w:r>
        <w:rPr>
          <w:rFonts w:hint="cs"/>
          <w:rtl/>
        </w:rPr>
        <w:t xml:space="preserve">הדרך </w:t>
      </w:r>
      <w:bookmarkStart w:id="84157" w:name="_ETM_Q179_715780"/>
      <w:bookmarkEnd w:id="84157"/>
      <w:r>
        <w:rPr>
          <w:rFonts w:hint="cs"/>
          <w:rtl/>
        </w:rPr>
        <w:t>הזו.</w:t>
      </w:r>
    </w:p>
    <w:p w:rsidR="00BB59CD" w:rsidRDefault="00BB59CD" w:rsidP="00BB59CD">
      <w:pPr>
        <w:rPr>
          <w:rtl/>
        </w:rPr>
      </w:pPr>
      <w:bookmarkStart w:id="84158" w:name="_ETM_Q179_717223"/>
      <w:bookmarkStart w:id="84159" w:name="_ETM_Q179_717289"/>
      <w:bookmarkStart w:id="84160" w:name="_ETM_Q179_717430"/>
      <w:bookmarkEnd w:id="84158"/>
      <w:bookmarkEnd w:id="84159"/>
      <w:bookmarkEnd w:id="84160"/>
    </w:p>
    <w:p w:rsidR="00BB59CD" w:rsidRDefault="00BB59CD" w:rsidP="00BB59CD">
      <w:pPr>
        <w:rPr>
          <w:rtl/>
        </w:rPr>
      </w:pPr>
      <w:bookmarkStart w:id="84161" w:name="_ETM_Q179_717492"/>
      <w:bookmarkStart w:id="84162" w:name="_ETM_Q179_717869"/>
      <w:bookmarkEnd w:id="84161"/>
      <w:bookmarkEnd w:id="84162"/>
      <w:r>
        <w:rPr>
          <w:rFonts w:hint="cs"/>
          <w:rtl/>
        </w:rPr>
        <w:t xml:space="preserve">חברות </w:t>
      </w:r>
      <w:bookmarkStart w:id="84163" w:name="_ETM_Q179_718559"/>
      <w:bookmarkEnd w:id="84163"/>
      <w:r>
        <w:rPr>
          <w:rFonts w:hint="cs"/>
          <w:rtl/>
        </w:rPr>
        <w:t xml:space="preserve">וחברי </w:t>
      </w:r>
      <w:bookmarkStart w:id="84164" w:name="_ETM_Q179_719040"/>
      <w:bookmarkEnd w:id="84164"/>
      <w:r>
        <w:rPr>
          <w:rFonts w:hint="cs"/>
          <w:rtl/>
        </w:rPr>
        <w:t xml:space="preserve">הכנסת, </w:t>
      </w:r>
      <w:bookmarkStart w:id="84165" w:name="_ETM_Q179_721010"/>
      <w:bookmarkEnd w:id="84165"/>
      <w:r>
        <w:rPr>
          <w:rFonts w:hint="cs"/>
          <w:rtl/>
        </w:rPr>
        <w:t xml:space="preserve">יש </w:t>
      </w:r>
      <w:bookmarkStart w:id="84166" w:name="_ETM_Q179_721309"/>
      <w:bookmarkEnd w:id="84166"/>
      <w:r>
        <w:rPr>
          <w:rFonts w:hint="cs"/>
          <w:rtl/>
        </w:rPr>
        <w:t xml:space="preserve">לי </w:t>
      </w:r>
      <w:bookmarkStart w:id="84167" w:name="_ETM_Q179_721670"/>
      <w:bookmarkEnd w:id="84167"/>
      <w:r>
        <w:rPr>
          <w:rFonts w:hint="cs"/>
          <w:rtl/>
        </w:rPr>
        <w:t xml:space="preserve">בשורה </w:t>
      </w:r>
      <w:bookmarkStart w:id="84168" w:name="_ETM_Q179_722179"/>
      <w:bookmarkEnd w:id="84168"/>
      <w:r>
        <w:rPr>
          <w:rFonts w:hint="cs"/>
          <w:rtl/>
        </w:rPr>
        <w:t xml:space="preserve">נהדרת </w:t>
      </w:r>
      <w:bookmarkStart w:id="84169" w:name="_ETM_Q179_723730"/>
      <w:bookmarkEnd w:id="84169"/>
      <w:r>
        <w:rPr>
          <w:rFonts w:hint="cs"/>
          <w:rtl/>
        </w:rPr>
        <w:t xml:space="preserve">לכל </w:t>
      </w:r>
      <w:bookmarkStart w:id="84170" w:name="_ETM_Q179_724510"/>
      <w:bookmarkEnd w:id="84170"/>
      <w:r>
        <w:rPr>
          <w:rFonts w:hint="cs"/>
          <w:rtl/>
        </w:rPr>
        <w:t xml:space="preserve">מנהלות </w:t>
      </w:r>
      <w:bookmarkStart w:id="84171" w:name="_ETM_Q179_725110"/>
      <w:bookmarkEnd w:id="84171"/>
      <w:r>
        <w:rPr>
          <w:rFonts w:hint="cs"/>
          <w:rtl/>
        </w:rPr>
        <w:t xml:space="preserve">הסיעות </w:t>
      </w:r>
      <w:bookmarkStart w:id="84172" w:name="_ETM_Q179_725920"/>
      <w:bookmarkEnd w:id="84172"/>
      <w:r>
        <w:rPr>
          <w:rFonts w:hint="cs"/>
          <w:rtl/>
        </w:rPr>
        <w:t xml:space="preserve">והצוותים </w:t>
      </w:r>
      <w:bookmarkStart w:id="84173" w:name="_ETM_Q179_726760"/>
      <w:bookmarkEnd w:id="84173"/>
      <w:r>
        <w:rPr>
          <w:rFonts w:hint="cs"/>
          <w:rtl/>
        </w:rPr>
        <w:t xml:space="preserve">שעובדים </w:t>
      </w:r>
      <w:bookmarkStart w:id="84174" w:name="_ETM_Q179_727299"/>
      <w:bookmarkEnd w:id="84174"/>
      <w:r>
        <w:rPr>
          <w:rFonts w:hint="cs"/>
          <w:rtl/>
        </w:rPr>
        <w:t xml:space="preserve">איתנו </w:t>
      </w:r>
      <w:bookmarkStart w:id="84175" w:name="_ETM_Q179_727780"/>
      <w:bookmarkEnd w:id="84175"/>
      <w:r>
        <w:rPr>
          <w:rFonts w:hint="cs"/>
          <w:rtl/>
        </w:rPr>
        <w:t xml:space="preserve">כאן. </w:t>
      </w:r>
      <w:bookmarkStart w:id="84176" w:name="_ETM_Q179_728830"/>
      <w:bookmarkEnd w:id="84176"/>
      <w:r>
        <w:rPr>
          <w:rFonts w:hint="cs"/>
          <w:rtl/>
        </w:rPr>
        <w:t xml:space="preserve">אנחנו </w:t>
      </w:r>
      <w:bookmarkStart w:id="84177" w:name="_ETM_Q179_729280"/>
      <w:bookmarkEnd w:id="84177"/>
      <w:r>
        <w:rPr>
          <w:rFonts w:hint="cs"/>
          <w:rtl/>
        </w:rPr>
        <w:t xml:space="preserve">יוצאים </w:t>
      </w:r>
      <w:bookmarkStart w:id="84178" w:name="_ETM_Q179_729670"/>
      <w:bookmarkEnd w:id="84178"/>
      <w:r>
        <w:rPr>
          <w:rFonts w:hint="cs"/>
          <w:rtl/>
        </w:rPr>
        <w:t xml:space="preserve">עכשיו </w:t>
      </w:r>
      <w:bookmarkStart w:id="84179" w:name="_ETM_Q179_730030"/>
      <w:bookmarkEnd w:id="84179"/>
      <w:r>
        <w:rPr>
          <w:rFonts w:hint="cs"/>
          <w:rtl/>
        </w:rPr>
        <w:t xml:space="preserve">לפגרה, </w:t>
      </w:r>
      <w:bookmarkStart w:id="84180" w:name="_ETM_Q179_730960"/>
      <w:bookmarkEnd w:id="84180"/>
      <w:r>
        <w:rPr>
          <w:rFonts w:hint="cs"/>
          <w:rtl/>
        </w:rPr>
        <w:t xml:space="preserve">אפילו </w:t>
      </w:r>
      <w:bookmarkStart w:id="84181" w:name="_ETM_Q179_731890"/>
      <w:bookmarkEnd w:id="84181"/>
      <w:r>
        <w:rPr>
          <w:rFonts w:hint="cs"/>
          <w:rtl/>
        </w:rPr>
        <w:t xml:space="preserve">פגרה די </w:t>
      </w:r>
      <w:bookmarkStart w:id="84182" w:name="_ETM_Q179_732130"/>
      <w:bookmarkEnd w:id="84182"/>
      <w:r>
        <w:rPr>
          <w:rFonts w:hint="cs"/>
          <w:rtl/>
        </w:rPr>
        <w:t xml:space="preserve">ארוכה. </w:t>
      </w:r>
      <w:bookmarkStart w:id="84183" w:name="_ETM_Q179_733319"/>
      <w:bookmarkStart w:id="84184" w:name="_ETM_Q179_733500"/>
      <w:bookmarkStart w:id="84185" w:name="_ETM_Q179_734010"/>
      <w:bookmarkEnd w:id="84183"/>
      <w:bookmarkEnd w:id="84184"/>
      <w:bookmarkEnd w:id="84185"/>
      <w:r>
        <w:rPr>
          <w:rFonts w:hint="cs"/>
          <w:rtl/>
        </w:rPr>
        <w:t xml:space="preserve">זאת </w:t>
      </w:r>
      <w:bookmarkStart w:id="84186" w:name="_ETM_Q179_734459"/>
      <w:bookmarkEnd w:id="84186"/>
      <w:r>
        <w:rPr>
          <w:rFonts w:hint="cs"/>
          <w:rtl/>
        </w:rPr>
        <w:t xml:space="preserve">הזדמנות </w:t>
      </w:r>
      <w:bookmarkStart w:id="84187" w:name="_ETM_Q179_734969"/>
      <w:bookmarkEnd w:id="84187"/>
      <w:r>
        <w:rPr>
          <w:rFonts w:hint="cs"/>
          <w:rtl/>
        </w:rPr>
        <w:t xml:space="preserve">להגיד </w:t>
      </w:r>
      <w:bookmarkStart w:id="84188" w:name="_ETM_Q179_735390"/>
      <w:bookmarkEnd w:id="84188"/>
      <w:r>
        <w:rPr>
          <w:rFonts w:hint="cs"/>
          <w:rtl/>
        </w:rPr>
        <w:t xml:space="preserve">לכם </w:t>
      </w:r>
      <w:bookmarkStart w:id="84189" w:name="_ETM_Q179_736200"/>
      <w:bookmarkEnd w:id="84189"/>
      <w:r>
        <w:rPr>
          <w:rFonts w:hint="cs"/>
          <w:rtl/>
        </w:rPr>
        <w:t xml:space="preserve">תודה </w:t>
      </w:r>
      <w:bookmarkStart w:id="84190" w:name="_ETM_Q179_736740"/>
      <w:bookmarkEnd w:id="84190"/>
      <w:r>
        <w:rPr>
          <w:rFonts w:hint="cs"/>
          <w:rtl/>
        </w:rPr>
        <w:t xml:space="preserve">גדולה </w:t>
      </w:r>
      <w:bookmarkStart w:id="84191" w:name="_ETM_Q179_737490"/>
      <w:bookmarkEnd w:id="84191"/>
      <w:r>
        <w:rPr>
          <w:rFonts w:hint="cs"/>
          <w:rtl/>
        </w:rPr>
        <w:t xml:space="preserve">גדולה </w:t>
      </w:r>
      <w:bookmarkStart w:id="84192" w:name="_ETM_Q179_738000"/>
      <w:bookmarkEnd w:id="84192"/>
      <w:r>
        <w:rPr>
          <w:rFonts w:hint="cs"/>
          <w:rtl/>
        </w:rPr>
        <w:t xml:space="preserve">גדולה </w:t>
      </w:r>
      <w:bookmarkStart w:id="84193" w:name="_ETM_Q179_738600"/>
      <w:bookmarkEnd w:id="84193"/>
      <w:r>
        <w:rPr>
          <w:rFonts w:hint="cs"/>
          <w:rtl/>
        </w:rPr>
        <w:t xml:space="preserve">על </w:t>
      </w:r>
      <w:bookmarkStart w:id="84194" w:name="_ETM_Q179_738840"/>
      <w:bookmarkEnd w:id="84194"/>
      <w:r>
        <w:rPr>
          <w:rFonts w:hint="cs"/>
          <w:rtl/>
        </w:rPr>
        <w:t xml:space="preserve">כל </w:t>
      </w:r>
      <w:bookmarkStart w:id="84195" w:name="_ETM_Q179_739530"/>
      <w:bookmarkEnd w:id="84195"/>
      <w:r>
        <w:rPr>
          <w:rFonts w:hint="cs"/>
          <w:rtl/>
        </w:rPr>
        <w:t xml:space="preserve">המאמץ </w:t>
      </w:r>
      <w:bookmarkStart w:id="84196" w:name="_ETM_Q179_740190"/>
      <w:bookmarkEnd w:id="84196"/>
      <w:r>
        <w:rPr>
          <w:rFonts w:hint="cs"/>
          <w:rtl/>
        </w:rPr>
        <w:t xml:space="preserve">העצום </w:t>
      </w:r>
      <w:bookmarkStart w:id="84197" w:name="_ETM_Q179_740850"/>
      <w:bookmarkEnd w:id="84197"/>
      <w:r>
        <w:rPr>
          <w:rFonts w:hint="cs"/>
          <w:rtl/>
        </w:rPr>
        <w:t xml:space="preserve">והליווי </w:t>
      </w:r>
      <w:bookmarkStart w:id="84198" w:name="_ETM_Q179_741480"/>
      <w:bookmarkEnd w:id="84198"/>
      <w:r>
        <w:rPr>
          <w:rFonts w:hint="cs"/>
          <w:rtl/>
        </w:rPr>
        <w:t xml:space="preserve">של </w:t>
      </w:r>
      <w:bookmarkStart w:id="84199" w:name="_ETM_Q179_741690"/>
      <w:bookmarkEnd w:id="84199"/>
      <w:r>
        <w:rPr>
          <w:rFonts w:hint="cs"/>
          <w:rtl/>
        </w:rPr>
        <w:t xml:space="preserve">כל </w:t>
      </w:r>
      <w:bookmarkStart w:id="84200" w:name="_ETM_Q179_741900"/>
      <w:bookmarkEnd w:id="84200"/>
      <w:r>
        <w:rPr>
          <w:rFonts w:hint="cs"/>
          <w:rtl/>
        </w:rPr>
        <w:t xml:space="preserve">תהליך </w:t>
      </w:r>
      <w:bookmarkStart w:id="84201" w:name="_ETM_Q179_742350"/>
      <w:bookmarkEnd w:id="84201"/>
      <w:r>
        <w:rPr>
          <w:rFonts w:hint="cs"/>
          <w:rtl/>
        </w:rPr>
        <w:t xml:space="preserve">החקיקה </w:t>
      </w:r>
      <w:bookmarkStart w:id="84202" w:name="_ETM_Q179_742980"/>
      <w:bookmarkEnd w:id="84202"/>
      <w:r>
        <w:rPr>
          <w:rFonts w:hint="cs"/>
          <w:rtl/>
        </w:rPr>
        <w:t xml:space="preserve">הזה </w:t>
      </w:r>
      <w:bookmarkStart w:id="84203" w:name="_ETM_Q179_743429"/>
      <w:bookmarkEnd w:id="84203"/>
      <w:r>
        <w:rPr>
          <w:rFonts w:hint="cs"/>
          <w:rtl/>
        </w:rPr>
        <w:t xml:space="preserve">וכל </w:t>
      </w:r>
      <w:bookmarkStart w:id="84204" w:name="_ETM_Q179_743760"/>
      <w:bookmarkEnd w:id="84204"/>
      <w:r>
        <w:rPr>
          <w:rFonts w:hint="cs"/>
          <w:rtl/>
        </w:rPr>
        <w:t xml:space="preserve">העבודה </w:t>
      </w:r>
      <w:bookmarkStart w:id="84205" w:name="_ETM_Q179_744150"/>
      <w:bookmarkEnd w:id="84205"/>
      <w:r>
        <w:rPr>
          <w:rFonts w:hint="cs"/>
          <w:rtl/>
        </w:rPr>
        <w:t xml:space="preserve">שאתם </w:t>
      </w:r>
      <w:bookmarkStart w:id="84206" w:name="_ETM_Q179_744570"/>
      <w:bookmarkEnd w:id="84206"/>
      <w:r>
        <w:rPr>
          <w:rFonts w:hint="cs"/>
          <w:rtl/>
        </w:rPr>
        <w:t xml:space="preserve">עושים. אני חושב </w:t>
      </w:r>
      <w:bookmarkStart w:id="84207" w:name="_ETM_Q179_745600"/>
      <w:bookmarkEnd w:id="84207"/>
      <w:r>
        <w:rPr>
          <w:rFonts w:hint="cs"/>
          <w:rtl/>
        </w:rPr>
        <w:t xml:space="preserve">שבלי </w:t>
      </w:r>
      <w:bookmarkStart w:id="84208" w:name="_ETM_Q179_745960"/>
      <w:bookmarkEnd w:id="84208"/>
      <w:r>
        <w:rPr>
          <w:rFonts w:hint="cs"/>
          <w:rtl/>
        </w:rPr>
        <w:t xml:space="preserve">הצוותים </w:t>
      </w:r>
      <w:bookmarkStart w:id="84209" w:name="_ETM_Q179_746530"/>
      <w:bookmarkEnd w:id="84209"/>
      <w:r>
        <w:rPr>
          <w:rFonts w:hint="cs"/>
          <w:rtl/>
        </w:rPr>
        <w:t xml:space="preserve">האלה </w:t>
      </w:r>
      <w:bookmarkStart w:id="84210" w:name="_ETM_Q179_746830"/>
      <w:bookmarkEnd w:id="84210"/>
      <w:r>
        <w:rPr>
          <w:rFonts w:hint="cs"/>
          <w:rtl/>
        </w:rPr>
        <w:t xml:space="preserve">שלנו, </w:t>
      </w:r>
      <w:bookmarkStart w:id="84211" w:name="_ETM_Q179_748349"/>
      <w:bookmarkEnd w:id="84211"/>
      <w:r>
        <w:rPr>
          <w:rFonts w:hint="cs"/>
          <w:rtl/>
        </w:rPr>
        <w:t xml:space="preserve">בלי </w:t>
      </w:r>
      <w:bookmarkStart w:id="84212" w:name="_ETM_Q179_748619"/>
      <w:bookmarkEnd w:id="84212"/>
      <w:r>
        <w:rPr>
          <w:rFonts w:hint="cs"/>
          <w:rtl/>
        </w:rPr>
        <w:t xml:space="preserve">העוזרים </w:t>
      </w:r>
      <w:bookmarkStart w:id="84213" w:name="_ETM_Q179_749189"/>
      <w:bookmarkEnd w:id="84213"/>
      <w:r>
        <w:rPr>
          <w:rFonts w:hint="cs"/>
          <w:rtl/>
        </w:rPr>
        <w:t xml:space="preserve">של </w:t>
      </w:r>
      <w:bookmarkStart w:id="84214" w:name="_ETM_Q179_749400"/>
      <w:bookmarkEnd w:id="84214"/>
      <w:r>
        <w:rPr>
          <w:rFonts w:hint="cs"/>
          <w:rtl/>
        </w:rPr>
        <w:t>כל אחת ואח</w:t>
      </w:r>
      <w:bookmarkStart w:id="84215" w:name="_ETM_Q179_750300"/>
      <w:bookmarkEnd w:id="84215"/>
      <w:r>
        <w:rPr>
          <w:rFonts w:hint="cs"/>
          <w:rtl/>
        </w:rPr>
        <w:t xml:space="preserve">ד מאיתנו </w:t>
      </w:r>
      <w:bookmarkStart w:id="84216" w:name="_ETM_Q179_750809"/>
      <w:bookmarkEnd w:id="84216"/>
      <w:r>
        <w:rPr>
          <w:rFonts w:hint="cs"/>
          <w:rtl/>
        </w:rPr>
        <w:t xml:space="preserve">לא </w:t>
      </w:r>
      <w:bookmarkStart w:id="84217" w:name="_ETM_Q179_750960"/>
      <w:bookmarkEnd w:id="84217"/>
      <w:r>
        <w:rPr>
          <w:rFonts w:hint="cs"/>
          <w:rtl/>
        </w:rPr>
        <w:t xml:space="preserve">היינו </w:t>
      </w:r>
      <w:bookmarkStart w:id="84218" w:name="_ETM_Q179_751169"/>
      <w:bookmarkEnd w:id="84218"/>
      <w:r>
        <w:rPr>
          <w:rFonts w:hint="cs"/>
          <w:rtl/>
        </w:rPr>
        <w:t xml:space="preserve">יכולים </w:t>
      </w:r>
      <w:bookmarkStart w:id="84219" w:name="_ETM_Q179_751499"/>
      <w:bookmarkEnd w:id="84219"/>
      <w:r>
        <w:rPr>
          <w:rFonts w:hint="cs"/>
          <w:rtl/>
        </w:rPr>
        <w:t xml:space="preserve">לעשות </w:t>
      </w:r>
      <w:bookmarkStart w:id="84220" w:name="_ETM_Q179_751889"/>
      <w:bookmarkEnd w:id="84220"/>
      <w:r>
        <w:rPr>
          <w:rFonts w:hint="cs"/>
          <w:rtl/>
        </w:rPr>
        <w:t xml:space="preserve">שום </w:t>
      </w:r>
      <w:bookmarkStart w:id="84221" w:name="_ETM_Q179_752159"/>
      <w:bookmarkEnd w:id="84221"/>
      <w:r>
        <w:rPr>
          <w:rFonts w:hint="cs"/>
          <w:rtl/>
        </w:rPr>
        <w:t>דבר.</w:t>
      </w:r>
      <w:bookmarkStart w:id="84222" w:name="_ETM_Q179_750142"/>
      <w:bookmarkStart w:id="84223" w:name="_ETM_Q179_750214"/>
      <w:bookmarkStart w:id="84224" w:name="_ETM_Q179_750365"/>
      <w:bookmarkStart w:id="84225" w:name="_ETM_Q179_750425"/>
      <w:bookmarkStart w:id="84226" w:name="_ETM_Q179_753610"/>
      <w:bookmarkEnd w:id="84222"/>
      <w:bookmarkEnd w:id="84223"/>
      <w:bookmarkEnd w:id="84224"/>
      <w:bookmarkEnd w:id="84225"/>
      <w:bookmarkEnd w:id="84226"/>
      <w:r>
        <w:rPr>
          <w:rFonts w:hint="cs"/>
          <w:rtl/>
        </w:rPr>
        <w:t xml:space="preserve"> אני </w:t>
      </w:r>
      <w:bookmarkStart w:id="84227" w:name="_ETM_Q179_754000"/>
      <w:bookmarkEnd w:id="84227"/>
      <w:r>
        <w:rPr>
          <w:rFonts w:hint="cs"/>
          <w:rtl/>
        </w:rPr>
        <w:t xml:space="preserve">יוצא, </w:t>
      </w:r>
      <w:bookmarkStart w:id="84228" w:name="_ETM_Q179_754539"/>
      <w:bookmarkEnd w:id="84228"/>
      <w:r>
        <w:rPr>
          <w:rFonts w:hint="cs"/>
          <w:rtl/>
        </w:rPr>
        <w:t xml:space="preserve">ואני </w:t>
      </w:r>
      <w:bookmarkStart w:id="84229" w:name="_ETM_Q179_754750"/>
      <w:bookmarkEnd w:id="84229"/>
      <w:r>
        <w:rPr>
          <w:rFonts w:hint="cs"/>
          <w:rtl/>
        </w:rPr>
        <w:t xml:space="preserve">חושב </w:t>
      </w:r>
      <w:bookmarkStart w:id="84230" w:name="_ETM_Q179_754929"/>
      <w:bookmarkEnd w:id="84230"/>
      <w:r>
        <w:rPr>
          <w:rFonts w:hint="cs"/>
          <w:rtl/>
        </w:rPr>
        <w:t xml:space="preserve">שכולנו </w:t>
      </w:r>
      <w:bookmarkStart w:id="84231" w:name="_ETM_Q179_755439"/>
      <w:bookmarkEnd w:id="84231"/>
      <w:r>
        <w:rPr>
          <w:rFonts w:hint="cs"/>
          <w:rtl/>
        </w:rPr>
        <w:t xml:space="preserve">יוצאים, </w:t>
      </w:r>
      <w:bookmarkStart w:id="84232" w:name="_ETM_Q179_755770"/>
      <w:bookmarkEnd w:id="84232"/>
      <w:r>
        <w:rPr>
          <w:rFonts w:hint="cs"/>
          <w:rtl/>
        </w:rPr>
        <w:t xml:space="preserve">לפגרה </w:t>
      </w:r>
      <w:bookmarkStart w:id="84233" w:name="_ETM_Q179_756280"/>
      <w:bookmarkEnd w:id="84233"/>
      <w:r>
        <w:rPr>
          <w:rFonts w:hint="cs"/>
          <w:rtl/>
        </w:rPr>
        <w:t xml:space="preserve">בידיעה </w:t>
      </w:r>
      <w:bookmarkStart w:id="84234" w:name="_ETM_Q179_756669"/>
      <w:bookmarkEnd w:id="84234"/>
      <w:r>
        <w:rPr>
          <w:rFonts w:hint="cs"/>
          <w:rtl/>
        </w:rPr>
        <w:t xml:space="preserve">שהעברנו </w:t>
      </w:r>
      <w:bookmarkStart w:id="84235" w:name="_ETM_Q179_757240"/>
      <w:bookmarkEnd w:id="84235"/>
      <w:r>
        <w:rPr>
          <w:rFonts w:hint="cs"/>
          <w:rtl/>
        </w:rPr>
        <w:t xml:space="preserve">חוק </w:t>
      </w:r>
      <w:bookmarkStart w:id="84236" w:name="_ETM_Q179_757509"/>
      <w:bookmarkEnd w:id="84236"/>
      <w:r>
        <w:rPr>
          <w:rFonts w:hint="cs"/>
          <w:rtl/>
        </w:rPr>
        <w:t>חשוב.</w:t>
      </w:r>
      <w:bookmarkStart w:id="84237" w:name="_ETM_Q179_761553"/>
      <w:bookmarkStart w:id="84238" w:name="_ETM_Q179_761608"/>
      <w:bookmarkStart w:id="84239" w:name="_ETM_Q179_761727"/>
      <w:bookmarkStart w:id="84240" w:name="_ETM_Q179_761780"/>
      <w:bookmarkStart w:id="84241" w:name="TOR_Q180"/>
      <w:bookmarkEnd w:id="84237"/>
      <w:bookmarkEnd w:id="84238"/>
      <w:bookmarkEnd w:id="84239"/>
      <w:bookmarkEnd w:id="84240"/>
      <w:bookmarkEnd w:id="84241"/>
      <w:r>
        <w:rPr>
          <w:rFonts w:hint="cs"/>
          <w:rtl/>
        </w:rPr>
        <w:t xml:space="preserve"> אבל אני אומר בצורה הברורה ביותר, בלי שמחה לאיד ועם רצון אמיתי לקרב בין </w:t>
      </w:r>
      <w:bookmarkStart w:id="84242" w:name="_ETM_Q180_166000"/>
      <w:bookmarkEnd w:id="84242"/>
      <w:r>
        <w:rPr>
          <w:rFonts w:hint="cs"/>
          <w:rtl/>
        </w:rPr>
        <w:t xml:space="preserve">כל חלקי העם. אני חושב שזו אחריות משותפת שמוטלת גם עלינו וגם על חברינו לאופוזיציה. אני שב וקורא: בואו ננצל את הפגרה כדי להגיע להבנות. יכול להיות שזה לא </w:t>
      </w:r>
      <w:bookmarkStart w:id="84243" w:name="_ETM_Q180_181000"/>
      <w:bookmarkEnd w:id="84243"/>
      <w:r>
        <w:rPr>
          <w:rFonts w:hint="cs"/>
          <w:rtl/>
        </w:rPr>
        <w:t xml:space="preserve">תמיד האינטרס הפוליטי של כולם, אבל זה בוודאי האינטרס הלאומי שצריך להנחות את כולנו. </w:t>
      </w:r>
    </w:p>
    <w:p w:rsidR="00BB59CD" w:rsidRDefault="00BB59CD" w:rsidP="00BB59CD">
      <w:pPr>
        <w:rPr>
          <w:rtl/>
        </w:rPr>
      </w:pPr>
    </w:p>
    <w:p w:rsidR="00BB59CD" w:rsidRDefault="00BB59CD" w:rsidP="00BB59CD">
      <w:pPr>
        <w:rPr>
          <w:rtl/>
        </w:rPr>
      </w:pPr>
      <w:r>
        <w:rPr>
          <w:rFonts w:hint="cs"/>
          <w:rtl/>
        </w:rPr>
        <w:t>מכובדיי, תודה</w:t>
      </w:r>
      <w:bookmarkStart w:id="84244" w:name="_ETM_Q180_191000"/>
      <w:bookmarkEnd w:id="84244"/>
      <w:r>
        <w:rPr>
          <w:rFonts w:hint="cs"/>
          <w:rtl/>
        </w:rPr>
        <w:t xml:space="preserve"> רבה לכל אחד ואחת מכם. </w:t>
      </w:r>
    </w:p>
    <w:p w:rsidR="00BB59CD" w:rsidRDefault="00BB59CD" w:rsidP="00BB59CD">
      <w:pPr>
        <w:rPr>
          <w:rt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לשר המשפטים. גם </w:t>
      </w:r>
      <w:bookmarkStart w:id="84245" w:name="_ETM_Q180_195000"/>
      <w:bookmarkEnd w:id="84245"/>
      <w:r>
        <w:rPr>
          <w:rFonts w:hint="cs"/>
          <w:rtl/>
          <w:lang w:eastAsia="he-IL"/>
        </w:rPr>
        <w:t>יושב-ראש ועדת החוקה, חוק ומשפט ביקש לברך, וגם הוא</w:t>
      </w:r>
      <w:bookmarkStart w:id="84246" w:name="_ETM_Q180_198000"/>
      <w:bookmarkEnd w:id="84246"/>
      <w:r>
        <w:rPr>
          <w:rFonts w:hint="cs"/>
          <w:rtl/>
          <w:lang w:eastAsia="he-IL"/>
        </w:rPr>
        <w:t xml:space="preserve"> יעלה. בבקשה, אדוני. </w:t>
      </w:r>
    </w:p>
    <w:p w:rsidR="00BB59CD" w:rsidRDefault="00BB59CD" w:rsidP="00BB59CD">
      <w:pPr>
        <w:rPr>
          <w:rtl/>
          <w:lang w:eastAsia="he-IL"/>
        </w:rPr>
      </w:pPr>
    </w:p>
    <w:p w:rsidR="00BB59CD" w:rsidRDefault="00BB59CD" w:rsidP="00BB59CD">
      <w:pPr>
        <w:pStyle w:val="a5"/>
        <w:keepNext/>
        <w:rPr>
          <w:rtl/>
        </w:rPr>
      </w:pPr>
      <w:bookmarkStart w:id="84247" w:name="ET_speaker_6464_3"/>
      <w:r>
        <w:rPr>
          <w:rStyle w:val="TagStyle"/>
          <w:rFonts w:hint="cs"/>
          <w:rtl/>
        </w:rPr>
        <w:t xml:space="preserve"> &lt;&lt; דובר &gt;&gt; </w:t>
      </w:r>
      <w:bookmarkStart w:id="84248" w:name="_Toc141197206"/>
      <w:bookmarkStart w:id="84249" w:name="_Toc141196942"/>
      <w:r>
        <w:rPr>
          <w:rFonts w:hint="cs"/>
          <w:rtl/>
        </w:rPr>
        <w:t>שמחה רוטמן (יו"ר ועדת החוקה, חוק ומשפט):</w:t>
      </w:r>
      <w:bookmarkEnd w:id="84248"/>
      <w:bookmarkEnd w:id="84249"/>
      <w:r>
        <w:rPr>
          <w:rStyle w:val="TagStyle"/>
          <w:rFonts w:hint="cs"/>
          <w:rtl/>
        </w:rPr>
        <w:t xml:space="preserve"> &lt;&lt; דובר &gt;&gt;</w:t>
      </w:r>
      <w:r>
        <w:rPr>
          <w:rFonts w:hint="cs"/>
          <w:rtl/>
        </w:rPr>
        <w:t xml:space="preserve">   </w:t>
      </w:r>
      <w:bookmarkEnd w:id="84247"/>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האמת היא, אדוני היושב-ראש, שיריב לא הותיר לי הרבה אנשים להודות להם, אבל יש בן אדם אחד שרק אני יכול להודות לו, </w:t>
      </w:r>
      <w:bookmarkStart w:id="84250" w:name="_ETM_Q180_224000"/>
      <w:bookmarkEnd w:id="84250"/>
      <w:r>
        <w:rPr>
          <w:rFonts w:hint="cs"/>
          <w:rtl/>
          <w:lang w:eastAsia="he-IL"/>
        </w:rPr>
        <w:t xml:space="preserve">כי יריב לא היה יכול, וזה סגן ראש הממשלה ושר המשפטים יריב לוין. הוא לא היה יכול להודות לעצמו. </w:t>
      </w:r>
    </w:p>
    <w:p w:rsidR="00BB59CD" w:rsidRDefault="00BB59CD" w:rsidP="00BB59CD">
      <w:pPr>
        <w:rPr>
          <w:rtl/>
          <w:lang w:eastAsia="he-IL"/>
        </w:rPr>
      </w:pPr>
    </w:p>
    <w:p w:rsidR="00BB59CD" w:rsidRDefault="00BB59CD" w:rsidP="00BB59CD">
      <w:pPr>
        <w:rPr>
          <w:rtl/>
          <w:lang w:eastAsia="he-IL"/>
        </w:rPr>
      </w:pPr>
      <w:r>
        <w:rPr>
          <w:rFonts w:hint="cs"/>
          <w:rtl/>
          <w:lang w:eastAsia="he-IL"/>
        </w:rPr>
        <w:t xml:space="preserve">האמת </w:t>
      </w:r>
      <w:bookmarkStart w:id="84251" w:name="_ETM_Q180_235000"/>
      <w:bookmarkEnd w:id="84251"/>
      <w:r>
        <w:rPr>
          <w:rFonts w:hint="cs"/>
          <w:rtl/>
          <w:lang w:eastAsia="he-IL"/>
        </w:rPr>
        <w:t>היא שיש עוד קבוצה אחת קטנה שהוא כן היה יכול</w:t>
      </w:r>
      <w:bookmarkStart w:id="84252" w:name="_ETM_Q180_238000"/>
      <w:bookmarkEnd w:id="84252"/>
      <w:r>
        <w:rPr>
          <w:rFonts w:hint="cs"/>
          <w:rtl/>
          <w:lang w:eastAsia="he-IL"/>
        </w:rPr>
        <w:t xml:space="preserve"> להודות לה, אבל בכל זאת אני רציתי לעשות את התודה </w:t>
      </w:r>
      <w:bookmarkStart w:id="84253" w:name="_ETM_Q180_242000"/>
      <w:bookmarkEnd w:id="84253"/>
      <w:r>
        <w:rPr>
          <w:rFonts w:hint="cs"/>
          <w:rtl/>
          <w:lang w:eastAsia="he-IL"/>
        </w:rPr>
        <w:t>הזאת ממני ולא ממנו, שזה לא יהיה בעקיפין, וזה כמובן המשפחה שלי –</w:t>
      </w:r>
      <w:bookmarkStart w:id="84254" w:name="_ETM_Q180_248000"/>
      <w:bookmarkEnd w:id="84254"/>
      <w:r>
        <w:rPr>
          <w:rFonts w:hint="cs"/>
          <w:rtl/>
          <w:lang w:eastAsia="he-IL"/>
        </w:rPr>
        <w:t xml:space="preserve"> אשתי היקרה והילדים, שבאמת לא ראו אותי הרבה – והצוות שלי שעשה לילות כימים וימים כלילות, וכמו שאמרתי, בוועדת החוקה זה לא יוצא דופן, זה אותו דבר. </w:t>
      </w:r>
    </w:p>
    <w:p w:rsidR="00BB59CD" w:rsidRDefault="00BB59CD" w:rsidP="00BB59CD">
      <w:pPr>
        <w:rPr>
          <w:rtl/>
          <w:lang w:eastAsia="he-IL"/>
        </w:rPr>
      </w:pPr>
      <w:bookmarkStart w:id="84255" w:name="_ETM_Q180_262000"/>
      <w:bookmarkEnd w:id="84255"/>
    </w:p>
    <w:p w:rsidR="00BB59CD" w:rsidRDefault="00BB59CD" w:rsidP="00BB59CD">
      <w:pPr>
        <w:rPr>
          <w:rtl/>
          <w:lang w:eastAsia="he-IL"/>
        </w:rPr>
      </w:pPr>
      <w:r>
        <w:rPr>
          <w:rFonts w:hint="cs"/>
          <w:rtl/>
          <w:lang w:eastAsia="he-IL"/>
        </w:rPr>
        <w:t>על</w:t>
      </w:r>
      <w:bookmarkStart w:id="84256" w:name="_ETM_Q180_260000"/>
      <w:bookmarkEnd w:id="84256"/>
      <w:r>
        <w:rPr>
          <w:rFonts w:hint="cs"/>
          <w:rtl/>
          <w:lang w:eastAsia="he-IL"/>
        </w:rPr>
        <w:t xml:space="preserve"> כל שאר התודות אני לא אחזור, אני אצטרף לכל </w:t>
      </w:r>
      <w:bookmarkStart w:id="84257" w:name="_ETM_Q180_263000"/>
      <w:bookmarkEnd w:id="84257"/>
      <w:r>
        <w:rPr>
          <w:rFonts w:hint="cs"/>
          <w:rtl/>
          <w:lang w:eastAsia="he-IL"/>
        </w:rPr>
        <w:t>מה שאמר השר לוין. אני רוצה באמת להודות לכל חברי</w:t>
      </w:r>
      <w:bookmarkStart w:id="84258" w:name="_ETM_Q180_269000"/>
      <w:bookmarkEnd w:id="84258"/>
      <w:r>
        <w:rPr>
          <w:rFonts w:hint="cs"/>
          <w:rtl/>
          <w:lang w:eastAsia="he-IL"/>
        </w:rPr>
        <w:t xml:space="preserve"> הכנסת, כל חברי הקואליציה, כמובן, שנתנו את כל הגיבוי, ואני הרגשתי בכל רגע ורגע שאני פועל בשליחותם המלאה </w:t>
      </w:r>
      <w:bookmarkStart w:id="84259" w:name="_ETM_Q180_280000"/>
      <w:bookmarkEnd w:id="84259"/>
      <w:r>
        <w:rPr>
          <w:rFonts w:hint="cs"/>
          <w:rtl/>
          <w:lang w:eastAsia="he-IL"/>
        </w:rPr>
        <w:t xml:space="preserve">של 64 מנדטים ושל הציבור הגדול שבחר בהם. לכן על כך תודתי. תודה רבה. </w:t>
      </w:r>
    </w:p>
    <w:p w:rsidR="00BB59CD" w:rsidRDefault="00BB59CD" w:rsidP="00BB59CD">
      <w:pPr>
        <w:rPr>
          <w:rtl/>
          <w:lang w:eastAsia="he-IL"/>
        </w:rPr>
      </w:pPr>
    </w:p>
    <w:p w:rsidR="00BB59CD" w:rsidRDefault="00BB59CD" w:rsidP="00BB59CD">
      <w:pPr>
        <w:pStyle w:val="af9"/>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BB59CD" w:rsidRDefault="00BB59CD" w:rsidP="00337201">
      <w:pPr>
        <w:rPr>
          <w:rtl/>
          <w:lang w:eastAsia="he-IL"/>
        </w:rPr>
      </w:pPr>
    </w:p>
    <w:p w:rsidR="00BB59CD" w:rsidRDefault="00BB59CD" w:rsidP="00BB59CD">
      <w:pPr>
        <w:rPr>
          <w:rtl/>
          <w:lang w:eastAsia="he-IL"/>
        </w:rPr>
      </w:pPr>
      <w:r>
        <w:rPr>
          <w:rFonts w:hint="cs"/>
          <w:rtl/>
          <w:lang w:eastAsia="he-IL"/>
        </w:rPr>
        <w:t xml:space="preserve">תודה רבה לחבר הכנסת רוטמן. </w:t>
      </w:r>
    </w:p>
    <w:p w:rsidR="00BB59CD" w:rsidRDefault="00BB59CD" w:rsidP="00BB59CD">
      <w:pPr>
        <w:rPr>
          <w:rtl/>
          <w:lang w:eastAsia="he-IL"/>
        </w:rPr>
      </w:pPr>
    </w:p>
    <w:p w:rsidR="00BB59CD" w:rsidRDefault="00BB59CD" w:rsidP="006157C7">
      <w:pPr>
        <w:rPr>
          <w:rtl/>
          <w:lang w:eastAsia="he-IL"/>
        </w:rPr>
      </w:pPr>
      <w:r>
        <w:rPr>
          <w:rFonts w:hint="cs"/>
          <w:rtl/>
          <w:lang w:eastAsia="he-IL"/>
        </w:rPr>
        <w:t xml:space="preserve">גם אני מבקש, ברשותכם, להקדיש תודה מיוחדת, וכמובן להצטרף לכל התודות, אבל להקדיש תודה מיוחדת לעובדי הכנסת, בפרט לייעוץ המשפטי בראשות עו"ד שגית אפיק ואנשיה, לקצין הכנסת, אנשי משמר הכנסת והסדרנים, וגם אנשי משטרת ישראל, שאפשרו את נוכחותם של כל 120 חברי הכנסת במשכן הכנסת חרף ניסיונות ומאמצים </w:t>
      </w:r>
      <w:bookmarkStart w:id="84260" w:name="_ETM_Q180_319000"/>
      <w:bookmarkEnd w:id="84260"/>
      <w:r>
        <w:rPr>
          <w:rFonts w:hint="cs"/>
          <w:rtl/>
          <w:lang w:eastAsia="he-IL"/>
        </w:rPr>
        <w:t xml:space="preserve">למנוע זאת, ואפשרו בכך את ההליך הד-מוק-ר-טי. </w:t>
      </w:r>
    </w:p>
    <w:p w:rsidR="00BB59CD" w:rsidRDefault="00BB59CD" w:rsidP="00BB59CD">
      <w:pPr>
        <w:rPr>
          <w:rtl/>
          <w:lang w:eastAsia="he-IL"/>
        </w:rPr>
      </w:pPr>
    </w:p>
    <w:p w:rsidR="00BB59CD" w:rsidRDefault="00BB59CD" w:rsidP="00BB59CD">
      <w:pPr>
        <w:rPr>
          <w:rtl/>
          <w:lang w:eastAsia="he-IL"/>
        </w:rPr>
      </w:pPr>
      <w:bookmarkStart w:id="84261" w:name="_ETM_Q180_326000"/>
      <w:bookmarkEnd w:id="84261"/>
      <w:r>
        <w:rPr>
          <w:rFonts w:hint="cs"/>
          <w:rtl/>
          <w:lang w:eastAsia="he-IL"/>
        </w:rPr>
        <w:t>ישיבה זו נעולה. הישיבה הבאה תהיה בשעה</w:t>
      </w:r>
      <w:bookmarkStart w:id="84262" w:name="_ETM_Q180_331000"/>
      <w:bookmarkEnd w:id="84262"/>
      <w:r>
        <w:rPr>
          <w:rFonts w:hint="cs"/>
          <w:rtl/>
          <w:lang w:eastAsia="he-IL"/>
        </w:rPr>
        <w:t xml:space="preserve"> 16:00. </w:t>
      </w:r>
    </w:p>
    <w:p w:rsidR="00BB59CD" w:rsidRDefault="00BB59CD" w:rsidP="00BB59CD">
      <w:pPr>
        <w:rPr>
          <w:rtl/>
          <w:lang w:eastAsia="he-IL"/>
        </w:rPr>
      </w:pPr>
    </w:p>
    <w:p w:rsidR="00BB59CD" w:rsidRDefault="00BB59CD" w:rsidP="00BB59CD">
      <w:pPr>
        <w:pStyle w:val="afd"/>
        <w:keepNext/>
        <w:ind w:firstLine="0"/>
        <w:jc w:val="center"/>
        <w:rPr>
          <w:rtl/>
          <w:lang w:eastAsia="he-IL"/>
        </w:rPr>
      </w:pPr>
      <w:bookmarkStart w:id="84263" w:name="ET_meetingend_4"/>
      <w:r>
        <w:rPr>
          <w:rStyle w:val="TagStyle"/>
          <w:rFonts w:hint="cs"/>
          <w:rtl/>
        </w:rPr>
        <w:t xml:space="preserve">&lt;&lt; סיום &gt;&gt; </w:t>
      </w:r>
      <w:r>
        <w:rPr>
          <w:rFonts w:hint="cs"/>
          <w:rtl/>
          <w:lang w:eastAsia="he-IL"/>
        </w:rPr>
        <w:t>הישיבה ננעלה בשעה 15:52.</w:t>
      </w:r>
      <w:r>
        <w:rPr>
          <w:rStyle w:val="TagStyle"/>
          <w:rFonts w:hint="cs"/>
          <w:rtl/>
        </w:rPr>
        <w:t xml:space="preserve"> &lt;&lt; סיום &gt;&gt;</w:t>
      </w:r>
      <w:bookmarkEnd w:id="84263"/>
    </w:p>
    <w:p w:rsidR="00BB59CD" w:rsidRDefault="00BB59CD" w:rsidP="00BB59CD"/>
    <w:p w:rsidR="00E04B20" w:rsidRPr="00BB59CD" w:rsidRDefault="00E04B20" w:rsidP="00BB59CD">
      <w:pPr>
        <w:rPr>
          <w:rtl/>
        </w:rPr>
      </w:pPr>
    </w:p>
    <w:sectPr w:rsidR="00E04B20" w:rsidRPr="00BB59CD" w:rsidSect="00470A22">
      <w:headerReference w:type="even" r:id="rId92"/>
      <w:headerReference w:type="default" r:id="rId93"/>
      <w:footerReference w:type="even" r:id="rId94"/>
      <w:footerReference w:type="default" r:id="rId95"/>
      <w:headerReference w:type="first" r:id="rId96"/>
      <w:footerReference w:type="first" r:id="rId97"/>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501" w:rsidRDefault="00F13501">
      <w:r>
        <w:separator/>
      </w:r>
    </w:p>
  </w:endnote>
  <w:endnote w:type="continuationSeparator" w:id="0">
    <w:p w:rsidR="00F13501" w:rsidRDefault="00F1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C96" w:rsidRDefault="00E36C9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C96" w:rsidRDefault="00E36C9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C96" w:rsidRDefault="00E36C9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501" w:rsidRDefault="00F13501">
      <w:r>
        <w:separator/>
      </w:r>
    </w:p>
  </w:footnote>
  <w:footnote w:type="continuationSeparator" w:id="0">
    <w:p w:rsidR="00F13501" w:rsidRDefault="00F135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501" w:rsidRDefault="00F13501" w:rsidP="0017779F">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end"/>
    </w:r>
  </w:p>
  <w:p w:rsidR="00F13501" w:rsidRDefault="00F1350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501" w:rsidRDefault="00F13501" w:rsidP="000F00C1">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separate"/>
    </w:r>
    <w:r w:rsidR="00E36C96">
      <w:rPr>
        <w:rStyle w:val="afa"/>
        <w:noProof/>
        <w:rtl/>
      </w:rPr>
      <w:t>5</w:t>
    </w:r>
    <w:r>
      <w:rPr>
        <w:rStyle w:val="afa"/>
        <w:rtl/>
      </w:rPr>
      <w:fldChar w:fldCharType="end"/>
    </w:r>
  </w:p>
  <w:tbl>
    <w:tblPr>
      <w:bidiVisual/>
      <w:tblW w:w="8100" w:type="dxa"/>
      <w:tblLook w:val="04A0" w:firstRow="1" w:lastRow="0" w:firstColumn="1" w:lastColumn="0" w:noHBand="0" w:noVBand="1"/>
    </w:tblPr>
    <w:tblGrid>
      <w:gridCol w:w="2880"/>
      <w:gridCol w:w="2520"/>
      <w:gridCol w:w="2700"/>
    </w:tblGrid>
    <w:tr w:rsidR="00F13501">
      <w:trPr>
        <w:cantSplit/>
        <w:trHeight w:val="421"/>
      </w:trPr>
      <w:tc>
        <w:tcPr>
          <w:tcW w:w="2880" w:type="dxa"/>
        </w:tcPr>
        <w:p w:rsidR="00F13501" w:rsidRDefault="00E36C96" w:rsidP="00BE0137">
          <w:pPr>
            <w:ind w:right="360" w:firstLine="0"/>
            <w:jc w:val="left"/>
          </w:pPr>
          <w:r>
            <w:rPr>
              <w:rtl/>
            </w:rPr>
            <w:t>דברי הכנסת</w:t>
          </w:r>
        </w:p>
      </w:tc>
      <w:tc>
        <w:tcPr>
          <w:tcW w:w="2520" w:type="dxa"/>
        </w:tcPr>
        <w:p w:rsidR="00F13501" w:rsidRDefault="00E36C96" w:rsidP="00BE0137">
          <w:pPr>
            <w:ind w:firstLine="0"/>
            <w:jc w:val="left"/>
          </w:pPr>
          <w:r>
            <w:rPr>
              <w:rtl/>
            </w:rPr>
            <w:t>ישיבה מס' 97</w:t>
          </w:r>
        </w:p>
      </w:tc>
      <w:tc>
        <w:tcPr>
          <w:tcW w:w="2700" w:type="dxa"/>
        </w:tcPr>
        <w:p w:rsidR="00F13501" w:rsidRDefault="00E36C96" w:rsidP="00BE0137">
          <w:pPr>
            <w:ind w:firstLine="0"/>
            <w:jc w:val="left"/>
            <w:rPr>
              <w:rtl/>
            </w:rPr>
          </w:pPr>
          <w:r>
            <w:rPr>
              <w:rtl/>
            </w:rPr>
            <w:t>23/07/2023</w:t>
          </w:r>
        </w:p>
      </w:tc>
    </w:tr>
  </w:tbl>
  <w:p w:rsidR="00F13501" w:rsidRPr="000F00C1" w:rsidRDefault="00F1350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C96" w:rsidRDefault="00E36C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activeWritingStyle w:appName="MSWord" w:lang="en-US" w:vendorID="64" w:dllVersion="131078" w:nlCheck="1" w:checkStyle="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67"/>
    <w:rsid w:val="00006916"/>
    <w:rsid w:val="00011595"/>
    <w:rsid w:val="000145FA"/>
    <w:rsid w:val="000249DF"/>
    <w:rsid w:val="000335E4"/>
    <w:rsid w:val="00035376"/>
    <w:rsid w:val="00036B10"/>
    <w:rsid w:val="000374F3"/>
    <w:rsid w:val="00037ACC"/>
    <w:rsid w:val="000475CE"/>
    <w:rsid w:val="00050737"/>
    <w:rsid w:val="000559DC"/>
    <w:rsid w:val="00056AA9"/>
    <w:rsid w:val="00057007"/>
    <w:rsid w:val="00060E55"/>
    <w:rsid w:val="00062EF7"/>
    <w:rsid w:val="00063B7A"/>
    <w:rsid w:val="000678FD"/>
    <w:rsid w:val="00067F42"/>
    <w:rsid w:val="000721C7"/>
    <w:rsid w:val="000750B5"/>
    <w:rsid w:val="000756B1"/>
    <w:rsid w:val="0008322C"/>
    <w:rsid w:val="0008749D"/>
    <w:rsid w:val="00091D8C"/>
    <w:rsid w:val="00092197"/>
    <w:rsid w:val="00092456"/>
    <w:rsid w:val="00093026"/>
    <w:rsid w:val="00097AD7"/>
    <w:rsid w:val="000A4F06"/>
    <w:rsid w:val="000A690B"/>
    <w:rsid w:val="000B0C68"/>
    <w:rsid w:val="000B1DCA"/>
    <w:rsid w:val="000B20BB"/>
    <w:rsid w:val="000B2C80"/>
    <w:rsid w:val="000B2EE6"/>
    <w:rsid w:val="000B58A5"/>
    <w:rsid w:val="000C5C1F"/>
    <w:rsid w:val="000C7A99"/>
    <w:rsid w:val="000D298C"/>
    <w:rsid w:val="000E1A8F"/>
    <w:rsid w:val="000E2228"/>
    <w:rsid w:val="000E2B67"/>
    <w:rsid w:val="000E54FD"/>
    <w:rsid w:val="000E79D7"/>
    <w:rsid w:val="000F00C1"/>
    <w:rsid w:val="001033F7"/>
    <w:rsid w:val="00105713"/>
    <w:rsid w:val="00114242"/>
    <w:rsid w:val="00117B51"/>
    <w:rsid w:val="001251AE"/>
    <w:rsid w:val="00126792"/>
    <w:rsid w:val="001270CE"/>
    <w:rsid w:val="001271E0"/>
    <w:rsid w:val="00136BAA"/>
    <w:rsid w:val="00143AA8"/>
    <w:rsid w:val="0014437B"/>
    <w:rsid w:val="00146DD9"/>
    <w:rsid w:val="00150822"/>
    <w:rsid w:val="00151107"/>
    <w:rsid w:val="00155A3E"/>
    <w:rsid w:val="00155D84"/>
    <w:rsid w:val="001568E1"/>
    <w:rsid w:val="00167294"/>
    <w:rsid w:val="001707E5"/>
    <w:rsid w:val="00171E7F"/>
    <w:rsid w:val="0017209B"/>
    <w:rsid w:val="0017779F"/>
    <w:rsid w:val="0018073C"/>
    <w:rsid w:val="00193225"/>
    <w:rsid w:val="00196822"/>
    <w:rsid w:val="00197A86"/>
    <w:rsid w:val="001A2003"/>
    <w:rsid w:val="001A74E9"/>
    <w:rsid w:val="001B1096"/>
    <w:rsid w:val="001B2220"/>
    <w:rsid w:val="001B531C"/>
    <w:rsid w:val="001B79C5"/>
    <w:rsid w:val="001C0EA3"/>
    <w:rsid w:val="001C44DA"/>
    <w:rsid w:val="001C760D"/>
    <w:rsid w:val="001D1712"/>
    <w:rsid w:val="001D2F50"/>
    <w:rsid w:val="001D440C"/>
    <w:rsid w:val="001D559F"/>
    <w:rsid w:val="001D740B"/>
    <w:rsid w:val="001E32FB"/>
    <w:rsid w:val="001F4995"/>
    <w:rsid w:val="001F663D"/>
    <w:rsid w:val="00201EE8"/>
    <w:rsid w:val="00205975"/>
    <w:rsid w:val="00206DA6"/>
    <w:rsid w:val="00215526"/>
    <w:rsid w:val="002158D1"/>
    <w:rsid w:val="00245249"/>
    <w:rsid w:val="0024645B"/>
    <w:rsid w:val="00246C56"/>
    <w:rsid w:val="00261554"/>
    <w:rsid w:val="00264869"/>
    <w:rsid w:val="00270863"/>
    <w:rsid w:val="00272422"/>
    <w:rsid w:val="00273C7D"/>
    <w:rsid w:val="00274576"/>
    <w:rsid w:val="00283D7D"/>
    <w:rsid w:val="002863DC"/>
    <w:rsid w:val="00291ACD"/>
    <w:rsid w:val="00292378"/>
    <w:rsid w:val="00295238"/>
    <w:rsid w:val="00296CAD"/>
    <w:rsid w:val="002A486D"/>
    <w:rsid w:val="002A5D1C"/>
    <w:rsid w:val="002B3331"/>
    <w:rsid w:val="002B410F"/>
    <w:rsid w:val="002B44EA"/>
    <w:rsid w:val="002B5052"/>
    <w:rsid w:val="002B7F77"/>
    <w:rsid w:val="002D0384"/>
    <w:rsid w:val="002D1247"/>
    <w:rsid w:val="002D5B7D"/>
    <w:rsid w:val="002E2E1E"/>
    <w:rsid w:val="002E4473"/>
    <w:rsid w:val="002F1C45"/>
    <w:rsid w:val="002F38C3"/>
    <w:rsid w:val="002F4868"/>
    <w:rsid w:val="002F7246"/>
    <w:rsid w:val="002F7670"/>
    <w:rsid w:val="00300869"/>
    <w:rsid w:val="00302765"/>
    <w:rsid w:val="00310572"/>
    <w:rsid w:val="0031222E"/>
    <w:rsid w:val="00312A77"/>
    <w:rsid w:val="0033612E"/>
    <w:rsid w:val="00337201"/>
    <w:rsid w:val="00341660"/>
    <w:rsid w:val="0034638E"/>
    <w:rsid w:val="003475E7"/>
    <w:rsid w:val="00353315"/>
    <w:rsid w:val="00355CF8"/>
    <w:rsid w:val="0036069F"/>
    <w:rsid w:val="003701F0"/>
    <w:rsid w:val="00371162"/>
    <w:rsid w:val="00372D75"/>
    <w:rsid w:val="00374B1A"/>
    <w:rsid w:val="0037589E"/>
    <w:rsid w:val="00383306"/>
    <w:rsid w:val="003854EE"/>
    <w:rsid w:val="00390D1D"/>
    <w:rsid w:val="0039499F"/>
    <w:rsid w:val="00396EB1"/>
    <w:rsid w:val="003B087F"/>
    <w:rsid w:val="003B23B0"/>
    <w:rsid w:val="003B431C"/>
    <w:rsid w:val="003B7BD9"/>
    <w:rsid w:val="003C0AB0"/>
    <w:rsid w:val="003C279D"/>
    <w:rsid w:val="003D275C"/>
    <w:rsid w:val="003D6D0C"/>
    <w:rsid w:val="003E1A78"/>
    <w:rsid w:val="003E5420"/>
    <w:rsid w:val="003F0554"/>
    <w:rsid w:val="003F0A5F"/>
    <w:rsid w:val="003F6CB2"/>
    <w:rsid w:val="004001A6"/>
    <w:rsid w:val="004068A9"/>
    <w:rsid w:val="00424C94"/>
    <w:rsid w:val="0043243C"/>
    <w:rsid w:val="004349B5"/>
    <w:rsid w:val="00435BF7"/>
    <w:rsid w:val="00436D0D"/>
    <w:rsid w:val="004378BF"/>
    <w:rsid w:val="00440D3D"/>
    <w:rsid w:val="0044638A"/>
    <w:rsid w:val="0045008E"/>
    <w:rsid w:val="00451B3A"/>
    <w:rsid w:val="0046013B"/>
    <w:rsid w:val="00467C2B"/>
    <w:rsid w:val="00470A22"/>
    <w:rsid w:val="00477E1F"/>
    <w:rsid w:val="00480888"/>
    <w:rsid w:val="00490563"/>
    <w:rsid w:val="0049212C"/>
    <w:rsid w:val="004A5D21"/>
    <w:rsid w:val="004B0A65"/>
    <w:rsid w:val="004B1BE9"/>
    <w:rsid w:val="004B23DC"/>
    <w:rsid w:val="004B3111"/>
    <w:rsid w:val="004B58D2"/>
    <w:rsid w:val="004B7578"/>
    <w:rsid w:val="004B7DDF"/>
    <w:rsid w:val="004C06A1"/>
    <w:rsid w:val="004C7921"/>
    <w:rsid w:val="004D2026"/>
    <w:rsid w:val="004D5B6C"/>
    <w:rsid w:val="004D6E5E"/>
    <w:rsid w:val="004D76F4"/>
    <w:rsid w:val="004E08CB"/>
    <w:rsid w:val="004E3FCD"/>
    <w:rsid w:val="004F0855"/>
    <w:rsid w:val="004F0E0B"/>
    <w:rsid w:val="00500C0C"/>
    <w:rsid w:val="00504760"/>
    <w:rsid w:val="005152DB"/>
    <w:rsid w:val="00515A49"/>
    <w:rsid w:val="00526460"/>
    <w:rsid w:val="005278E4"/>
    <w:rsid w:val="00530385"/>
    <w:rsid w:val="00535E73"/>
    <w:rsid w:val="00536BE3"/>
    <w:rsid w:val="00551AFF"/>
    <w:rsid w:val="00572DA4"/>
    <w:rsid w:val="00575615"/>
    <w:rsid w:val="00577A63"/>
    <w:rsid w:val="00584762"/>
    <w:rsid w:val="00590D5E"/>
    <w:rsid w:val="005911B3"/>
    <w:rsid w:val="00591FE2"/>
    <w:rsid w:val="00594C79"/>
    <w:rsid w:val="00597063"/>
    <w:rsid w:val="005A2AC8"/>
    <w:rsid w:val="005A342D"/>
    <w:rsid w:val="005B6FCC"/>
    <w:rsid w:val="005B7609"/>
    <w:rsid w:val="005C363E"/>
    <w:rsid w:val="005C5150"/>
    <w:rsid w:val="005D08B3"/>
    <w:rsid w:val="005D61F3"/>
    <w:rsid w:val="005E1F7A"/>
    <w:rsid w:val="005E24FC"/>
    <w:rsid w:val="005E3ADA"/>
    <w:rsid w:val="005F4135"/>
    <w:rsid w:val="006132D6"/>
    <w:rsid w:val="006157C7"/>
    <w:rsid w:val="00615F7E"/>
    <w:rsid w:val="006211CA"/>
    <w:rsid w:val="00630A0C"/>
    <w:rsid w:val="00631EC8"/>
    <w:rsid w:val="00634D2C"/>
    <w:rsid w:val="00647BBF"/>
    <w:rsid w:val="0066352C"/>
    <w:rsid w:val="00665DD8"/>
    <w:rsid w:val="0067019F"/>
    <w:rsid w:val="00670A20"/>
    <w:rsid w:val="00674431"/>
    <w:rsid w:val="00675874"/>
    <w:rsid w:val="006A035F"/>
    <w:rsid w:val="006A0CB7"/>
    <w:rsid w:val="006A6CF5"/>
    <w:rsid w:val="006B29DE"/>
    <w:rsid w:val="006B39B9"/>
    <w:rsid w:val="006B661E"/>
    <w:rsid w:val="006D268B"/>
    <w:rsid w:val="006E0E18"/>
    <w:rsid w:val="006E4E4D"/>
    <w:rsid w:val="006F4935"/>
    <w:rsid w:val="00701F5E"/>
    <w:rsid w:val="00702755"/>
    <w:rsid w:val="007237A0"/>
    <w:rsid w:val="00726D8F"/>
    <w:rsid w:val="00727E6B"/>
    <w:rsid w:val="00733545"/>
    <w:rsid w:val="00734CB8"/>
    <w:rsid w:val="007408C3"/>
    <w:rsid w:val="00750122"/>
    <w:rsid w:val="007502F1"/>
    <w:rsid w:val="00752A23"/>
    <w:rsid w:val="00767004"/>
    <w:rsid w:val="00772D9B"/>
    <w:rsid w:val="00775488"/>
    <w:rsid w:val="00784139"/>
    <w:rsid w:val="007A0D24"/>
    <w:rsid w:val="007B6EE4"/>
    <w:rsid w:val="007D5943"/>
    <w:rsid w:val="007E50EA"/>
    <w:rsid w:val="007E5FE1"/>
    <w:rsid w:val="007E686C"/>
    <w:rsid w:val="007F26E6"/>
    <w:rsid w:val="00804AF1"/>
    <w:rsid w:val="00804E3A"/>
    <w:rsid w:val="0081372E"/>
    <w:rsid w:val="008245E9"/>
    <w:rsid w:val="008270E7"/>
    <w:rsid w:val="008306A7"/>
    <w:rsid w:val="00836B57"/>
    <w:rsid w:val="00841223"/>
    <w:rsid w:val="00846BE9"/>
    <w:rsid w:val="00850498"/>
    <w:rsid w:val="00853CEC"/>
    <w:rsid w:val="0085514C"/>
    <w:rsid w:val="00856D9C"/>
    <w:rsid w:val="0086178C"/>
    <w:rsid w:val="008647EC"/>
    <w:rsid w:val="00872F66"/>
    <w:rsid w:val="00885306"/>
    <w:rsid w:val="008976D8"/>
    <w:rsid w:val="008B1423"/>
    <w:rsid w:val="008B38BE"/>
    <w:rsid w:val="008B4B7E"/>
    <w:rsid w:val="008C315C"/>
    <w:rsid w:val="008C341C"/>
    <w:rsid w:val="008D1DFB"/>
    <w:rsid w:val="008D60AE"/>
    <w:rsid w:val="008D69B0"/>
    <w:rsid w:val="008E2003"/>
    <w:rsid w:val="008E6678"/>
    <w:rsid w:val="00903A0D"/>
    <w:rsid w:val="009119F2"/>
    <w:rsid w:val="009123FF"/>
    <w:rsid w:val="00914904"/>
    <w:rsid w:val="0092207C"/>
    <w:rsid w:val="00924280"/>
    <w:rsid w:val="00924A5C"/>
    <w:rsid w:val="00942E30"/>
    <w:rsid w:val="00945E6A"/>
    <w:rsid w:val="00946460"/>
    <w:rsid w:val="009476A5"/>
    <w:rsid w:val="009515F0"/>
    <w:rsid w:val="0095443E"/>
    <w:rsid w:val="00960796"/>
    <w:rsid w:val="00962CB9"/>
    <w:rsid w:val="009635F5"/>
    <w:rsid w:val="00970775"/>
    <w:rsid w:val="00970CE0"/>
    <w:rsid w:val="00976F8D"/>
    <w:rsid w:val="009900BB"/>
    <w:rsid w:val="00993DA1"/>
    <w:rsid w:val="00993EDC"/>
    <w:rsid w:val="009B2891"/>
    <w:rsid w:val="009B50C0"/>
    <w:rsid w:val="009C35BE"/>
    <w:rsid w:val="009D4C0C"/>
    <w:rsid w:val="009D6CCE"/>
    <w:rsid w:val="009D7D51"/>
    <w:rsid w:val="009F0C6D"/>
    <w:rsid w:val="009F1518"/>
    <w:rsid w:val="00A021B9"/>
    <w:rsid w:val="00A025C0"/>
    <w:rsid w:val="00A06889"/>
    <w:rsid w:val="00A07B6B"/>
    <w:rsid w:val="00A11A5C"/>
    <w:rsid w:val="00A14BC0"/>
    <w:rsid w:val="00A15289"/>
    <w:rsid w:val="00A15971"/>
    <w:rsid w:val="00A16437"/>
    <w:rsid w:val="00A20FF3"/>
    <w:rsid w:val="00A220F3"/>
    <w:rsid w:val="00A30441"/>
    <w:rsid w:val="00A319DC"/>
    <w:rsid w:val="00A335DD"/>
    <w:rsid w:val="00A35551"/>
    <w:rsid w:val="00A3564F"/>
    <w:rsid w:val="00A401E3"/>
    <w:rsid w:val="00A42CCD"/>
    <w:rsid w:val="00A42DFE"/>
    <w:rsid w:val="00A518CD"/>
    <w:rsid w:val="00A66020"/>
    <w:rsid w:val="00A719DD"/>
    <w:rsid w:val="00A760BC"/>
    <w:rsid w:val="00A83507"/>
    <w:rsid w:val="00AB02EE"/>
    <w:rsid w:val="00AB1070"/>
    <w:rsid w:val="00AB2604"/>
    <w:rsid w:val="00AB3098"/>
    <w:rsid w:val="00AC41C0"/>
    <w:rsid w:val="00AC67CB"/>
    <w:rsid w:val="00AD2F00"/>
    <w:rsid w:val="00AD3E0B"/>
    <w:rsid w:val="00AD5596"/>
    <w:rsid w:val="00AD673F"/>
    <w:rsid w:val="00AE688E"/>
    <w:rsid w:val="00AF0E81"/>
    <w:rsid w:val="00AF1A6A"/>
    <w:rsid w:val="00AF2492"/>
    <w:rsid w:val="00AF4E2C"/>
    <w:rsid w:val="00AF548A"/>
    <w:rsid w:val="00AF5BCC"/>
    <w:rsid w:val="00AF628D"/>
    <w:rsid w:val="00B001AD"/>
    <w:rsid w:val="00B04B9C"/>
    <w:rsid w:val="00B05BC7"/>
    <w:rsid w:val="00B179E5"/>
    <w:rsid w:val="00B335DE"/>
    <w:rsid w:val="00B35FB4"/>
    <w:rsid w:val="00B36F42"/>
    <w:rsid w:val="00B404F9"/>
    <w:rsid w:val="00B41626"/>
    <w:rsid w:val="00B43239"/>
    <w:rsid w:val="00B44ABD"/>
    <w:rsid w:val="00B63F8D"/>
    <w:rsid w:val="00B751FF"/>
    <w:rsid w:val="00B90A0E"/>
    <w:rsid w:val="00B93AC9"/>
    <w:rsid w:val="00B94088"/>
    <w:rsid w:val="00B95DC6"/>
    <w:rsid w:val="00BB2F43"/>
    <w:rsid w:val="00BB59CD"/>
    <w:rsid w:val="00BB6B2F"/>
    <w:rsid w:val="00BD2960"/>
    <w:rsid w:val="00BD47B7"/>
    <w:rsid w:val="00BD7D35"/>
    <w:rsid w:val="00BE0137"/>
    <w:rsid w:val="00BE5385"/>
    <w:rsid w:val="00BF01F0"/>
    <w:rsid w:val="00BF03B2"/>
    <w:rsid w:val="00BF6FBE"/>
    <w:rsid w:val="00C00FBA"/>
    <w:rsid w:val="00C02051"/>
    <w:rsid w:val="00C0454F"/>
    <w:rsid w:val="00C060F7"/>
    <w:rsid w:val="00C16F92"/>
    <w:rsid w:val="00C17338"/>
    <w:rsid w:val="00C248AD"/>
    <w:rsid w:val="00C3598A"/>
    <w:rsid w:val="00C36A1D"/>
    <w:rsid w:val="00C376D4"/>
    <w:rsid w:val="00C41F03"/>
    <w:rsid w:val="00C4415F"/>
    <w:rsid w:val="00C504FD"/>
    <w:rsid w:val="00C5322E"/>
    <w:rsid w:val="00C545B9"/>
    <w:rsid w:val="00C60963"/>
    <w:rsid w:val="00C63003"/>
    <w:rsid w:val="00C71A62"/>
    <w:rsid w:val="00C740F3"/>
    <w:rsid w:val="00C80434"/>
    <w:rsid w:val="00C81137"/>
    <w:rsid w:val="00C853AF"/>
    <w:rsid w:val="00C8624A"/>
    <w:rsid w:val="00C878C9"/>
    <w:rsid w:val="00C92A23"/>
    <w:rsid w:val="00C94ACC"/>
    <w:rsid w:val="00C95F03"/>
    <w:rsid w:val="00CA1BF9"/>
    <w:rsid w:val="00CA5363"/>
    <w:rsid w:val="00CB6D60"/>
    <w:rsid w:val="00CB7C6D"/>
    <w:rsid w:val="00CC6848"/>
    <w:rsid w:val="00CE503F"/>
    <w:rsid w:val="00CE5849"/>
    <w:rsid w:val="00CE76DC"/>
    <w:rsid w:val="00CF5D6B"/>
    <w:rsid w:val="00CF7BDD"/>
    <w:rsid w:val="00D0004F"/>
    <w:rsid w:val="00D005F0"/>
    <w:rsid w:val="00D10F27"/>
    <w:rsid w:val="00D240DC"/>
    <w:rsid w:val="00D26047"/>
    <w:rsid w:val="00D51CF0"/>
    <w:rsid w:val="00D55C71"/>
    <w:rsid w:val="00D55E2B"/>
    <w:rsid w:val="00D61D81"/>
    <w:rsid w:val="00D64F6D"/>
    <w:rsid w:val="00D7575A"/>
    <w:rsid w:val="00D80B85"/>
    <w:rsid w:val="00D81F9A"/>
    <w:rsid w:val="00D85136"/>
    <w:rsid w:val="00D94B83"/>
    <w:rsid w:val="00D97904"/>
    <w:rsid w:val="00D97DED"/>
    <w:rsid w:val="00DA7B82"/>
    <w:rsid w:val="00DB1905"/>
    <w:rsid w:val="00DB5C1C"/>
    <w:rsid w:val="00DD23A5"/>
    <w:rsid w:val="00DD4727"/>
    <w:rsid w:val="00DE496E"/>
    <w:rsid w:val="00E00EB7"/>
    <w:rsid w:val="00E035CE"/>
    <w:rsid w:val="00E04B20"/>
    <w:rsid w:val="00E168C8"/>
    <w:rsid w:val="00E17FA9"/>
    <w:rsid w:val="00E21977"/>
    <w:rsid w:val="00E23F44"/>
    <w:rsid w:val="00E25E6C"/>
    <w:rsid w:val="00E315D7"/>
    <w:rsid w:val="00E31887"/>
    <w:rsid w:val="00E333B7"/>
    <w:rsid w:val="00E33F55"/>
    <w:rsid w:val="00E364AC"/>
    <w:rsid w:val="00E367B5"/>
    <w:rsid w:val="00E36C96"/>
    <w:rsid w:val="00E37DD3"/>
    <w:rsid w:val="00E53A84"/>
    <w:rsid w:val="00E550D6"/>
    <w:rsid w:val="00E56AC8"/>
    <w:rsid w:val="00E6097E"/>
    <w:rsid w:val="00E60981"/>
    <w:rsid w:val="00E633AE"/>
    <w:rsid w:val="00E66A14"/>
    <w:rsid w:val="00E70367"/>
    <w:rsid w:val="00E70603"/>
    <w:rsid w:val="00E86889"/>
    <w:rsid w:val="00E91BB0"/>
    <w:rsid w:val="00E91BC3"/>
    <w:rsid w:val="00E9791D"/>
    <w:rsid w:val="00E97C82"/>
    <w:rsid w:val="00EA1C29"/>
    <w:rsid w:val="00EA25B7"/>
    <w:rsid w:val="00EA46D4"/>
    <w:rsid w:val="00EB23B6"/>
    <w:rsid w:val="00EC3A7C"/>
    <w:rsid w:val="00EC4F1B"/>
    <w:rsid w:val="00EC6C25"/>
    <w:rsid w:val="00ED1A98"/>
    <w:rsid w:val="00ED70B5"/>
    <w:rsid w:val="00EE125D"/>
    <w:rsid w:val="00EE5F9F"/>
    <w:rsid w:val="00EE6AC0"/>
    <w:rsid w:val="00EF1C09"/>
    <w:rsid w:val="00EF20FA"/>
    <w:rsid w:val="00EF6C02"/>
    <w:rsid w:val="00F04794"/>
    <w:rsid w:val="00F06270"/>
    <w:rsid w:val="00F1139C"/>
    <w:rsid w:val="00F1328D"/>
    <w:rsid w:val="00F13501"/>
    <w:rsid w:val="00F1749F"/>
    <w:rsid w:val="00F23878"/>
    <w:rsid w:val="00F24391"/>
    <w:rsid w:val="00F30855"/>
    <w:rsid w:val="00F33902"/>
    <w:rsid w:val="00F43B8F"/>
    <w:rsid w:val="00F45B06"/>
    <w:rsid w:val="00F506F2"/>
    <w:rsid w:val="00F51DF9"/>
    <w:rsid w:val="00F53584"/>
    <w:rsid w:val="00F615BC"/>
    <w:rsid w:val="00F63084"/>
    <w:rsid w:val="00F652FA"/>
    <w:rsid w:val="00F7689B"/>
    <w:rsid w:val="00F84536"/>
    <w:rsid w:val="00F84EE2"/>
    <w:rsid w:val="00F9245D"/>
    <w:rsid w:val="00F9619A"/>
    <w:rsid w:val="00FB3734"/>
    <w:rsid w:val="00FB4CE6"/>
    <w:rsid w:val="00FC46CB"/>
    <w:rsid w:val="00FD1BF2"/>
    <w:rsid w:val="00FD225E"/>
    <w:rsid w:val="00FD41FD"/>
    <w:rsid w:val="00FE3474"/>
    <w:rsid w:val="00FE53BE"/>
    <w:rsid w:val="00FF1E65"/>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673410C-53A5-4F36-B0C4-94118D86C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BB59CD"/>
    <w:rPr>
      <w:rFonts w:ascii="Arial" w:hAnsi="Arial" w:cs="Arial"/>
      <w:sz w:val="22"/>
      <w:szCs w:val="22"/>
    </w:rPr>
  </w:style>
  <w:style w:type="paragraph" w:customStyle="1" w:styleId="a5">
    <w:name w:val="דובר"/>
    <w:basedOn w:val="a"/>
    <w:next w:val="a"/>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link w:val="a8"/>
    <w:rsid w:val="000678FD"/>
    <w:pPr>
      <w:spacing w:before="0" w:after="0"/>
      <w:ind w:firstLine="0"/>
      <w:jc w:val="center"/>
    </w:pPr>
    <w:rPr>
      <w:rFonts w:ascii="Arial" w:hAnsi="Arial" w:cs="Arial"/>
      <w:sz w:val="24"/>
      <w:szCs w:val="24"/>
      <w:u w:val="single"/>
    </w:rPr>
  </w:style>
  <w:style w:type="character" w:customStyle="1" w:styleId="a8">
    <w:name w:val="נושא תו"/>
    <w:basedOn w:val="30"/>
    <w:link w:val="a7"/>
    <w:rsid w:val="00151107"/>
    <w:rPr>
      <w:rFonts w:ascii="Arial" w:eastAsia="Times New Roman" w:hAnsi="Arial" w:cs="Arial"/>
      <w:b/>
      <w:bCs/>
      <w:sz w:val="24"/>
      <w:szCs w:val="24"/>
      <w:u w:val="single"/>
    </w:rPr>
  </w:style>
  <w:style w:type="paragraph" w:styleId="a9">
    <w:name w:val="footer"/>
    <w:basedOn w:val="a"/>
    <w:link w:val="aa"/>
    <w:rsid w:val="005D61F3"/>
    <w:pPr>
      <w:tabs>
        <w:tab w:val="center" w:pos="4153"/>
        <w:tab w:val="right" w:pos="8306"/>
      </w:tabs>
    </w:pPr>
  </w:style>
  <w:style w:type="character" w:customStyle="1" w:styleId="aa">
    <w:name w:val="כותרת תחתונה תו"/>
    <w:basedOn w:val="a0"/>
    <w:link w:val="a9"/>
    <w:rsid w:val="00BB59CD"/>
    <w:rPr>
      <w:rFonts w:ascii="Arial" w:hAnsi="Arial" w:cs="Arial"/>
      <w:sz w:val="22"/>
      <w:szCs w:val="22"/>
    </w:rPr>
  </w:style>
  <w:style w:type="paragraph" w:customStyle="1" w:styleId="ab">
    <w:name w:val="מנהל"/>
    <w:basedOn w:val="a"/>
    <w:next w:val="a"/>
    <w:pPr>
      <w:jc w:val="center"/>
    </w:pPr>
    <w:rPr>
      <w:b/>
      <w:bCs/>
      <w:sz w:val="20"/>
      <w:szCs w:val="20"/>
    </w:rPr>
  </w:style>
  <w:style w:type="paragraph" w:customStyle="1" w:styleId="ac">
    <w:name w:val="שאילתה"/>
    <w:basedOn w:val="3"/>
    <w:next w:val="a"/>
    <w:rsid w:val="00993DA1"/>
    <w:pPr>
      <w:spacing w:before="0" w:after="0"/>
      <w:jc w:val="center"/>
    </w:pPr>
    <w:rPr>
      <w:rFonts w:ascii="Arial" w:hAnsi="Arial" w:cs="Arial"/>
      <w:szCs w:val="22"/>
      <w:u w:val="single"/>
    </w:rPr>
  </w:style>
  <w:style w:type="paragraph" w:customStyle="1" w:styleId="ad">
    <w:name w:val="תאריך_עברי"/>
    <w:basedOn w:val="a"/>
    <w:next w:val="a"/>
    <w:pPr>
      <w:jc w:val="center"/>
    </w:pPr>
  </w:style>
  <w:style w:type="paragraph" w:customStyle="1" w:styleId="ae">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f">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0">
    <w:name w:val="שער_ירושלים"/>
    <w:basedOn w:val="a"/>
    <w:next w:val="a"/>
    <w:pPr>
      <w:jc w:val="center"/>
    </w:pPr>
  </w:style>
  <w:style w:type="paragraph" w:customStyle="1" w:styleId="af1">
    <w:name w:val="שער_דברי_הכנסת"/>
    <w:basedOn w:val="a"/>
    <w:next w:val="a"/>
    <w:pPr>
      <w:jc w:val="left"/>
    </w:pPr>
    <w:rPr>
      <w:b/>
      <w:bCs/>
    </w:rPr>
  </w:style>
  <w:style w:type="paragraph" w:customStyle="1" w:styleId="af2">
    <w:name w:val="שער_מספר_חוברת"/>
    <w:basedOn w:val="a"/>
    <w:next w:val="a"/>
    <w:pPr>
      <w:jc w:val="left"/>
    </w:pPr>
    <w:rPr>
      <w:b/>
      <w:bCs/>
    </w:rPr>
  </w:style>
  <w:style w:type="paragraph" w:customStyle="1" w:styleId="af3">
    <w:name w:val="שער_מספר_ישיבה"/>
    <w:basedOn w:val="a"/>
    <w:next w:val="a"/>
    <w:pPr>
      <w:jc w:val="left"/>
    </w:pPr>
    <w:rPr>
      <w:b/>
      <w:bCs/>
    </w:rPr>
  </w:style>
  <w:style w:type="paragraph" w:customStyle="1" w:styleId="af4">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5">
    <w:name w:val="הצבעה_תוצאות"/>
    <w:basedOn w:val="a"/>
    <w:next w:val="a"/>
    <w:pPr>
      <w:jc w:val="center"/>
    </w:pPr>
  </w:style>
  <w:style w:type="paragraph" w:customStyle="1" w:styleId="af6">
    <w:name w:val="שער_חוברת_ישיבות"/>
    <w:basedOn w:val="a"/>
    <w:next w:val="a"/>
    <w:rPr>
      <w:b/>
      <w:bCs/>
    </w:rPr>
  </w:style>
  <w:style w:type="paragraph" w:customStyle="1" w:styleId="af7">
    <w:name w:val="שער_חברת_תאריכים"/>
    <w:basedOn w:val="a"/>
    <w:next w:val="a"/>
    <w:rPr>
      <w:b/>
      <w:bCs/>
    </w:rPr>
  </w:style>
  <w:style w:type="paragraph" w:customStyle="1" w:styleId="af8">
    <w:name w:val="קריאות"/>
    <w:basedOn w:val="a5"/>
    <w:next w:val="a"/>
    <w:rsid w:val="00841223"/>
  </w:style>
  <w:style w:type="paragraph" w:customStyle="1" w:styleId="af9">
    <w:name w:val="יור"/>
    <w:basedOn w:val="a5"/>
    <w:next w:val="a"/>
  </w:style>
  <w:style w:type="paragraph" w:customStyle="1" w:styleId="-">
    <w:name w:val="דובר-המשך"/>
    <w:basedOn w:val="a5"/>
    <w:next w:val="a"/>
    <w:link w:val="-0"/>
    <w:rsid w:val="00841223"/>
  </w:style>
  <w:style w:type="character" w:customStyle="1" w:styleId="-0">
    <w:name w:val="דובר-המשך תו"/>
    <w:basedOn w:val="a0"/>
    <w:link w:val="-"/>
    <w:rsid w:val="000B1DCA"/>
    <w:rPr>
      <w:rFonts w:ascii="Arial" w:hAnsi="Arial" w:cs="Arial"/>
      <w:b/>
      <w:bCs/>
      <w:sz w:val="22"/>
      <w:szCs w:val="22"/>
      <w:u w:val="single"/>
      <w:lang w:eastAsia="he-IL"/>
    </w:rPr>
  </w:style>
  <w:style w:type="paragraph" w:customStyle="1" w:styleId="-1">
    <w:name w:val="נושא-תת"/>
    <w:basedOn w:val="a7"/>
    <w:next w:val="a"/>
    <w:rsid w:val="009635F5"/>
    <w:pPr>
      <w:outlineLvl w:val="9"/>
    </w:pPr>
  </w:style>
  <w:style w:type="character" w:styleId="afa">
    <w:name w:val="page number"/>
    <w:basedOn w:val="a0"/>
    <w:rsid w:val="005D61F3"/>
  </w:style>
  <w:style w:type="paragraph" w:customStyle="1" w:styleId="afb">
    <w:name w:val="תשובה"/>
    <w:basedOn w:val="ac"/>
    <w:next w:val="a"/>
    <w:rsid w:val="00EE6AC0"/>
  </w:style>
  <w:style w:type="paragraph" w:customStyle="1" w:styleId="afc">
    <w:name w:val="אורח"/>
    <w:basedOn w:val="a5"/>
    <w:next w:val="a"/>
    <w:rsid w:val="00097AD7"/>
  </w:style>
  <w:style w:type="paragraph" w:customStyle="1" w:styleId="afd">
    <w:name w:val="סיום_הישיבה"/>
    <w:basedOn w:val="a"/>
    <w:next w:val="a"/>
    <w:rsid w:val="0008322C"/>
  </w:style>
  <w:style w:type="paragraph" w:customStyle="1" w:styleId="afe">
    <w:name w:val="אחרי_כן"/>
    <w:basedOn w:val="a"/>
    <w:next w:val="a"/>
    <w:rsid w:val="0008322C"/>
  </w:style>
  <w:style w:type="paragraph" w:customStyle="1" w:styleId="aff">
    <w:name w:val="הפסקת_הישיבה"/>
    <w:basedOn w:val="a"/>
    <w:next w:val="a"/>
    <w:rsid w:val="0008322C"/>
  </w:style>
  <w:style w:type="paragraph" w:customStyle="1" w:styleId="KeepWithNext">
    <w:name w:val="KeepWithNext"/>
    <w:basedOn w:val="a"/>
    <w:next w:val="a"/>
    <w:link w:val="KeepWithNext0"/>
    <w:qFormat/>
    <w:rsid w:val="00D7575A"/>
    <w:pPr>
      <w:keepNext/>
    </w:pPr>
    <w:rPr>
      <w:vanish/>
    </w:rPr>
  </w:style>
  <w:style w:type="character" w:customStyle="1" w:styleId="KeepWithNext0">
    <w:name w:val="KeepWithNext תו"/>
    <w:basedOn w:val="a0"/>
    <w:link w:val="KeepWithNext"/>
    <w:rsid w:val="00193225"/>
    <w:rPr>
      <w:rFonts w:ascii="Arial" w:hAnsi="Arial" w:cs="Arial"/>
      <w:vanish/>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0">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f0"/>
    <w:rsid w:val="00341660"/>
    <w:rPr>
      <w:rFonts w:ascii="Arial" w:eastAsia="Times New Roman" w:hAnsi="Arial" w:cs="Arial"/>
      <w:b/>
      <w:bCs/>
      <w:i w:val="0"/>
      <w:iCs w:val="0"/>
      <w:sz w:val="32"/>
      <w:szCs w:val="32"/>
      <w:u w:val="single"/>
    </w:rPr>
  </w:style>
  <w:style w:type="character" w:customStyle="1" w:styleId="TagStyle">
    <w:name w:val="TagStyle"/>
    <w:basedOn w:val="a0"/>
    <w:rsid w:val="00470A22"/>
    <w:rPr>
      <w:rFonts w:cs="Arial"/>
      <w:bCs w:val="0"/>
      <w:vanish/>
      <w:color w:val="010000"/>
      <w:bdr w:val="single" w:sz="4" w:space="0" w:color="FF66FF"/>
    </w:rPr>
  </w:style>
  <w:style w:type="paragraph" w:customStyle="1" w:styleId="ETSpeechToText">
    <w:name w:val="ETSpeechToText"/>
    <w:basedOn w:val="a"/>
    <w:link w:val="ETSpeechToText0"/>
    <w:rsid w:val="00AF628D"/>
    <w:pPr>
      <w:bidi w:val="0"/>
      <w:spacing w:line="240" w:lineRule="auto"/>
      <w:ind w:firstLine="0"/>
      <w:jc w:val="right"/>
    </w:pPr>
    <w:rPr>
      <w:color w:val="9BBB59" w:themeColor="accent3"/>
    </w:rPr>
  </w:style>
  <w:style w:type="character" w:customStyle="1" w:styleId="ETSpeechToText0">
    <w:name w:val="ETSpeechToText תו"/>
    <w:basedOn w:val="a0"/>
    <w:link w:val="ETSpeechToText"/>
    <w:rsid w:val="00AF628D"/>
    <w:rPr>
      <w:rFonts w:ascii="Arial" w:hAnsi="Arial" w:cs="Arial"/>
      <w:color w:val="9BBB59" w:themeColor="accent3"/>
      <w:sz w:val="22"/>
      <w:szCs w:val="22"/>
    </w:rPr>
  </w:style>
  <w:style w:type="paragraph" w:styleId="TOC1">
    <w:name w:val="toc 1"/>
    <w:basedOn w:val="a"/>
    <w:next w:val="a"/>
    <w:autoRedefine/>
    <w:uiPriority w:val="39"/>
    <w:unhideWhenUsed/>
    <w:rsid w:val="004001A6"/>
    <w:pPr>
      <w:spacing w:after="100"/>
    </w:pPr>
  </w:style>
  <w:style w:type="paragraph" w:styleId="TOC2">
    <w:name w:val="toc 2"/>
    <w:basedOn w:val="a"/>
    <w:next w:val="a"/>
    <w:autoRedefine/>
    <w:uiPriority w:val="39"/>
    <w:unhideWhenUsed/>
    <w:rsid w:val="004001A6"/>
    <w:pPr>
      <w:spacing w:after="100"/>
      <w:ind w:left="220"/>
    </w:pPr>
  </w:style>
  <w:style w:type="character" w:styleId="Hyperlink">
    <w:name w:val="Hyperlink"/>
    <w:basedOn w:val="a0"/>
    <w:uiPriority w:val="99"/>
    <w:unhideWhenUsed/>
    <w:rsid w:val="004001A6"/>
    <w:rPr>
      <w:color w:val="0000FF" w:themeColor="hyperlink"/>
      <w:u w:val="single"/>
    </w:rPr>
  </w:style>
  <w:style w:type="paragraph" w:styleId="TOC3">
    <w:name w:val="toc 3"/>
    <w:basedOn w:val="a"/>
    <w:next w:val="a"/>
    <w:autoRedefine/>
    <w:semiHidden/>
    <w:unhideWhenUsed/>
    <w:rsid w:val="004001A6"/>
    <w:pPr>
      <w:spacing w:after="100"/>
      <w:ind w:left="440"/>
    </w:pPr>
  </w:style>
  <w:style w:type="paragraph" w:styleId="TOC4">
    <w:name w:val="toc 4"/>
    <w:basedOn w:val="a"/>
    <w:next w:val="a"/>
    <w:autoRedefine/>
    <w:semiHidden/>
    <w:unhideWhenUsed/>
    <w:rsid w:val="004001A6"/>
    <w:pPr>
      <w:spacing w:after="100"/>
      <w:ind w:left="660"/>
    </w:pPr>
  </w:style>
  <w:style w:type="paragraph" w:styleId="TOC5">
    <w:name w:val="toc 5"/>
    <w:basedOn w:val="a"/>
    <w:next w:val="a"/>
    <w:autoRedefine/>
    <w:semiHidden/>
    <w:unhideWhenUsed/>
    <w:rsid w:val="004001A6"/>
    <w:pPr>
      <w:spacing w:after="100"/>
      <w:ind w:left="880"/>
    </w:pPr>
  </w:style>
  <w:style w:type="paragraph" w:styleId="TOC6">
    <w:name w:val="toc 6"/>
    <w:basedOn w:val="a"/>
    <w:next w:val="a"/>
    <w:autoRedefine/>
    <w:semiHidden/>
    <w:unhideWhenUsed/>
    <w:rsid w:val="004001A6"/>
    <w:pPr>
      <w:spacing w:after="100"/>
      <w:ind w:left="1100"/>
    </w:pPr>
  </w:style>
  <w:style w:type="paragraph" w:styleId="TOC7">
    <w:name w:val="toc 7"/>
    <w:basedOn w:val="a"/>
    <w:next w:val="a"/>
    <w:autoRedefine/>
    <w:semiHidden/>
    <w:unhideWhenUsed/>
    <w:rsid w:val="004001A6"/>
    <w:pPr>
      <w:spacing w:after="100"/>
      <w:ind w:left="1320"/>
    </w:pPr>
  </w:style>
  <w:style w:type="paragraph" w:styleId="TOC8">
    <w:name w:val="toc 8"/>
    <w:basedOn w:val="a"/>
    <w:next w:val="a"/>
    <w:autoRedefine/>
    <w:semiHidden/>
    <w:unhideWhenUsed/>
    <w:rsid w:val="004001A6"/>
    <w:pPr>
      <w:spacing w:after="100"/>
      <w:ind w:left="1540"/>
    </w:pPr>
  </w:style>
  <w:style w:type="paragraph" w:styleId="TOC9">
    <w:name w:val="toc 9"/>
    <w:basedOn w:val="a"/>
    <w:next w:val="a"/>
    <w:autoRedefine/>
    <w:semiHidden/>
    <w:unhideWhenUsed/>
    <w:rsid w:val="004001A6"/>
    <w:pPr>
      <w:spacing w:after="100"/>
      <w:ind w:left="1760"/>
    </w:pPr>
  </w:style>
  <w:style w:type="paragraph" w:styleId="aff1">
    <w:name w:val="List Paragraph"/>
    <w:basedOn w:val="a"/>
    <w:uiPriority w:val="34"/>
    <w:qFormat/>
    <w:rsid w:val="00D51CF0"/>
    <w:pPr>
      <w:ind w:left="720"/>
      <w:contextualSpacing/>
    </w:pPr>
  </w:style>
  <w:style w:type="character" w:styleId="FollowedHyperlink">
    <w:name w:val="FollowedHyperlink"/>
    <w:basedOn w:val="a0"/>
    <w:uiPriority w:val="99"/>
    <w:semiHidden/>
    <w:unhideWhenUsed/>
    <w:rsid w:val="00EF20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157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8951484">
      <w:bodyDiv w:val="1"/>
      <w:marLeft w:val="0"/>
      <w:marRight w:val="0"/>
      <w:marTop w:val="0"/>
      <w:marBottom w:val="0"/>
      <w:divBdr>
        <w:top w:val="none" w:sz="0" w:space="0" w:color="auto"/>
        <w:left w:val="none" w:sz="0" w:space="0" w:color="auto"/>
        <w:bottom w:val="none" w:sz="0" w:space="0" w:color="auto"/>
        <w:right w:val="none" w:sz="0" w:space="0" w:color="auto"/>
      </w:divBdr>
    </w:div>
    <w:div w:id="620579352">
      <w:bodyDiv w:val="1"/>
      <w:marLeft w:val="0"/>
      <w:marRight w:val="0"/>
      <w:marTop w:val="0"/>
      <w:marBottom w:val="0"/>
      <w:divBdr>
        <w:top w:val="none" w:sz="0" w:space="0" w:color="auto"/>
        <w:left w:val="none" w:sz="0" w:space="0" w:color="auto"/>
        <w:bottom w:val="none" w:sz="0" w:space="0" w:color="auto"/>
        <w:right w:val="none" w:sz="0" w:space="0" w:color="auto"/>
      </w:divBdr>
    </w:div>
    <w:div w:id="698747485">
      <w:bodyDiv w:val="1"/>
      <w:marLeft w:val="0"/>
      <w:marRight w:val="0"/>
      <w:marTop w:val="0"/>
      <w:marBottom w:val="0"/>
      <w:divBdr>
        <w:top w:val="none" w:sz="0" w:space="0" w:color="auto"/>
        <w:left w:val="none" w:sz="0" w:space="0" w:color="auto"/>
        <w:bottom w:val="none" w:sz="0" w:space="0" w:color="auto"/>
        <w:right w:val="none" w:sz="0" w:space="0" w:color="auto"/>
      </w:divBdr>
    </w:div>
    <w:div w:id="1508903277">
      <w:bodyDiv w:val="1"/>
      <w:marLeft w:val="0"/>
      <w:marRight w:val="0"/>
      <w:marTop w:val="0"/>
      <w:marBottom w:val="0"/>
      <w:divBdr>
        <w:top w:val="none" w:sz="0" w:space="0" w:color="auto"/>
        <w:left w:val="none" w:sz="0" w:space="0" w:color="auto"/>
        <w:bottom w:val="none" w:sz="0" w:space="0" w:color="auto"/>
        <w:right w:val="none" w:sz="0" w:space="0" w:color="auto"/>
      </w:divBdr>
    </w:div>
    <w:div w:id="1636252266">
      <w:bodyDiv w:val="1"/>
      <w:marLeft w:val="0"/>
      <w:marRight w:val="0"/>
      <w:marTop w:val="0"/>
      <w:marBottom w:val="0"/>
      <w:divBdr>
        <w:top w:val="none" w:sz="0" w:space="0" w:color="auto"/>
        <w:left w:val="none" w:sz="0" w:space="0" w:color="auto"/>
        <w:bottom w:val="none" w:sz="0" w:space="0" w:color="auto"/>
        <w:right w:val="none" w:sz="0" w:space="0" w:color="auto"/>
      </w:divBdr>
    </w:div>
    <w:div w:id="1717898568">
      <w:bodyDiv w:val="1"/>
      <w:marLeft w:val="0"/>
      <w:marRight w:val="0"/>
      <w:marTop w:val="0"/>
      <w:marBottom w:val="0"/>
      <w:divBdr>
        <w:top w:val="none" w:sz="0" w:space="0" w:color="auto"/>
        <w:left w:val="none" w:sz="0" w:space="0" w:color="auto"/>
        <w:bottom w:val="none" w:sz="0" w:space="0" w:color="auto"/>
        <w:right w:val="none" w:sz="0" w:space="0" w:color="auto"/>
      </w:divBdr>
    </w:div>
    <w:div w:id="1758013935">
      <w:bodyDiv w:val="1"/>
      <w:marLeft w:val="0"/>
      <w:marRight w:val="0"/>
      <w:marTop w:val="0"/>
      <w:marBottom w:val="0"/>
      <w:divBdr>
        <w:top w:val="none" w:sz="0" w:space="0" w:color="auto"/>
        <w:left w:val="none" w:sz="0" w:space="0" w:color="auto"/>
        <w:bottom w:val="none" w:sz="0" w:space="0" w:color="auto"/>
        <w:right w:val="none" w:sz="0" w:space="0" w:color="auto"/>
      </w:divBdr>
    </w:div>
    <w:div w:id="1993174663">
      <w:bodyDiv w:val="1"/>
      <w:marLeft w:val="0"/>
      <w:marRight w:val="0"/>
      <w:marTop w:val="0"/>
      <w:marBottom w:val="0"/>
      <w:divBdr>
        <w:top w:val="none" w:sz="0" w:space="0" w:color="auto"/>
        <w:left w:val="none" w:sz="0" w:space="0" w:color="auto"/>
        <w:bottom w:val="none" w:sz="0" w:space="0" w:color="auto"/>
        <w:right w:val="none" w:sz="0" w:space="0" w:color="auto"/>
      </w:divBdr>
    </w:div>
    <w:div w:id="203379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file:///C:\Users\p_dikla\AppData\Roaming\EasyType\eta_10389219_120093_y97_t1_180_edit2\eta_10389219_120093_y97_t1_180_edit2.doc" TargetMode="External"/><Relationship Id="rId21" Type="http://schemas.openxmlformats.org/officeDocument/2006/relationships/hyperlink" Target="file:///C:\Users\p_dikla\AppData\Roaming\EasyType\eta_10389219_120093_y97_t1_180_edit2\eta_10389219_120093_y97_t1_180_edit2.doc" TargetMode="External"/><Relationship Id="rId34" Type="http://schemas.openxmlformats.org/officeDocument/2006/relationships/hyperlink" Target="file:///C:\Users\p_dikla\AppData\Roaming\EasyType\eta_10389219_120093_y97_t1_180_edit2\eta_10389219_120093_y97_t1_180_edit2.doc" TargetMode="External"/><Relationship Id="rId42" Type="http://schemas.openxmlformats.org/officeDocument/2006/relationships/hyperlink" Target="file:///C:\Users\p_dikla\AppData\Roaming\EasyType\eta_10389219_120093_y97_t1_180_edit2\eta_10389219_120093_y97_t1_180_edit2.doc" TargetMode="External"/><Relationship Id="rId47" Type="http://schemas.openxmlformats.org/officeDocument/2006/relationships/hyperlink" Target="file:///C:\Users\p_dikla\AppData\Roaming\EasyType\eta_10389219_120093_y97_t1_180_edit2\eta_10389219_120093_y97_t1_180_edit2.doc" TargetMode="External"/><Relationship Id="rId50" Type="http://schemas.openxmlformats.org/officeDocument/2006/relationships/hyperlink" Target="file:///C:\Users\p_dikla\AppData\Roaming\EasyType\eta_10389219_120093_y97_t1_180_edit2\eta_10389219_120093_y97_t1_180_edit2.doc" TargetMode="External"/><Relationship Id="rId55" Type="http://schemas.openxmlformats.org/officeDocument/2006/relationships/hyperlink" Target="file:///C:\Users\p_dikla\AppData\Roaming\EasyType\eta_10389219_120093_y97_t1_180_edit2\eta_10389219_120093_y97_t1_180_edit2.doc" TargetMode="External"/><Relationship Id="rId63" Type="http://schemas.openxmlformats.org/officeDocument/2006/relationships/hyperlink" Target="file:///C:\Users\p_dikla\AppData\Roaming\EasyType\eta_10389219_120093_y97_t1_180_edit2\eta_10389219_120093_y97_t1_180_edit2.doc" TargetMode="External"/><Relationship Id="rId68" Type="http://schemas.openxmlformats.org/officeDocument/2006/relationships/hyperlink" Target="file:///C:\Users\p_dikla\AppData\Roaming\EasyType\eta_10389219_120093_y97_t1_180_edit2\eta_10389219_120093_y97_t1_180_edit2.doc" TargetMode="External"/><Relationship Id="rId76" Type="http://schemas.openxmlformats.org/officeDocument/2006/relationships/hyperlink" Target="file:///C:\Users\p_dikla\AppData\Roaming\EasyType\eta_10389219_120093_y97_t1_180_edit2\eta_10389219_120093_y97_t1_180_edit2.doc" TargetMode="External"/><Relationship Id="rId84" Type="http://schemas.openxmlformats.org/officeDocument/2006/relationships/hyperlink" Target="file:///C:\Users\p_dikla\AppData\Roaming\EasyType\eta_10389219_120093_y97_t1_180_edit2\eta_10389219_120093_y97_t1_180_edit2.doc" TargetMode="External"/><Relationship Id="rId89" Type="http://schemas.openxmlformats.org/officeDocument/2006/relationships/hyperlink" Target="file:///C:\Users\p_dikla\AppData\Roaming\EasyType\eta_10389219_120093_y97_t1_180_edit2\eta_10389219_120093_y97_t1_180_edit2.doc" TargetMode="External"/><Relationship Id="rId97" Type="http://schemas.openxmlformats.org/officeDocument/2006/relationships/footer" Target="footer3.xml"/><Relationship Id="rId7" Type="http://schemas.openxmlformats.org/officeDocument/2006/relationships/hyperlink" Target="file:///C:\Users\p_dikla\AppData\Roaming\EasyType\eta_10389219_120093_y97_t1_180_edit2\eta_10389219_120093_y97_t1_180_edit2.doc" TargetMode="External"/><Relationship Id="rId71" Type="http://schemas.openxmlformats.org/officeDocument/2006/relationships/hyperlink" Target="file:///C:\Users\p_dikla\AppData\Roaming\EasyType\eta_10389219_120093_y97_t1_180_edit2\eta_10389219_120093_y97_t1_180_edit2.doc" TargetMode="External"/><Relationship Id="rId92"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C:\Users\p_dikla\AppData\Roaming\EasyType\eta_10389219_120093_y97_t1_180_edit2\eta_10389219_120093_y97_t1_180_edit2.doc" TargetMode="External"/><Relationship Id="rId29" Type="http://schemas.openxmlformats.org/officeDocument/2006/relationships/hyperlink" Target="file:///C:\Users\p_dikla\AppData\Roaming\EasyType\eta_10389219_120093_y97_t1_180_edit2\eta_10389219_120093_y97_t1_180_edit2.doc" TargetMode="External"/><Relationship Id="rId11" Type="http://schemas.openxmlformats.org/officeDocument/2006/relationships/hyperlink" Target="file:///C:\Users\p_dikla\AppData\Roaming\EasyType\eta_10389219_120093_y97_t1_180_edit2\eta_10389219_120093_y97_t1_180_edit2.doc" TargetMode="External"/><Relationship Id="rId24" Type="http://schemas.openxmlformats.org/officeDocument/2006/relationships/hyperlink" Target="file:///C:\Users\p_dikla\AppData\Roaming\EasyType\eta_10389219_120093_y97_t1_180_edit2\eta_10389219_120093_y97_t1_180_edit2.doc" TargetMode="External"/><Relationship Id="rId32" Type="http://schemas.openxmlformats.org/officeDocument/2006/relationships/hyperlink" Target="file:///C:\Users\p_dikla\AppData\Roaming\EasyType\eta_10389219_120093_y97_t1_180_edit2\eta_10389219_120093_y97_t1_180_edit2.doc" TargetMode="External"/><Relationship Id="rId37" Type="http://schemas.openxmlformats.org/officeDocument/2006/relationships/hyperlink" Target="file:///C:\Users\p_dikla\AppData\Roaming\EasyType\eta_10389219_120093_y97_t1_180_edit2\eta_10389219_120093_y97_t1_180_edit2.doc" TargetMode="External"/><Relationship Id="rId40" Type="http://schemas.openxmlformats.org/officeDocument/2006/relationships/hyperlink" Target="file:///C:\Users\p_dikla\AppData\Roaming\EasyType\eta_10389219_120093_y97_t1_180_edit2\eta_10389219_120093_y97_t1_180_edit2.doc" TargetMode="External"/><Relationship Id="rId45" Type="http://schemas.openxmlformats.org/officeDocument/2006/relationships/hyperlink" Target="file:///C:\Users\p_dikla\AppData\Roaming\EasyType\eta_10389219_120093_y97_t1_180_edit2\eta_10389219_120093_y97_t1_180_edit2.doc" TargetMode="External"/><Relationship Id="rId53" Type="http://schemas.openxmlformats.org/officeDocument/2006/relationships/hyperlink" Target="file:///C:\Users\p_dikla\AppData\Roaming\EasyType\eta_10389219_120093_y97_t1_180_edit2\eta_10389219_120093_y97_t1_180_edit2.doc" TargetMode="External"/><Relationship Id="rId58" Type="http://schemas.openxmlformats.org/officeDocument/2006/relationships/hyperlink" Target="file:///C:\Users\p_dikla\AppData\Roaming\EasyType\eta_10389219_120093_y97_t1_180_edit2\eta_10389219_120093_y97_t1_180_edit2.doc" TargetMode="External"/><Relationship Id="rId66" Type="http://schemas.openxmlformats.org/officeDocument/2006/relationships/hyperlink" Target="file:///C:\Users\p_dikla\AppData\Roaming\EasyType\eta_10389219_120093_y97_t1_180_edit2\eta_10389219_120093_y97_t1_180_edit2.doc" TargetMode="External"/><Relationship Id="rId74" Type="http://schemas.openxmlformats.org/officeDocument/2006/relationships/hyperlink" Target="file:///C:\Users\p_dikla\AppData\Roaming\EasyType\eta_10389219_120093_y97_t1_180_edit2\eta_10389219_120093_y97_t1_180_edit2.doc" TargetMode="External"/><Relationship Id="rId79" Type="http://schemas.openxmlformats.org/officeDocument/2006/relationships/hyperlink" Target="file:///C:\Users\p_dikla\AppData\Roaming\EasyType\eta_10389219_120093_y97_t1_180_edit2\eta_10389219_120093_y97_t1_180_edit2.doc" TargetMode="External"/><Relationship Id="rId87" Type="http://schemas.openxmlformats.org/officeDocument/2006/relationships/hyperlink" Target="file:///C:\Users\p_dikla\AppData\Roaming\EasyType\eta_10389219_120093_y97_t1_180_edit2\eta_10389219_120093_y97_t1_180_edit2.doc" TargetMode="External"/><Relationship Id="rId5" Type="http://schemas.openxmlformats.org/officeDocument/2006/relationships/footnotes" Target="footnotes.xml"/><Relationship Id="rId61" Type="http://schemas.openxmlformats.org/officeDocument/2006/relationships/hyperlink" Target="file:///C:\Users\p_dikla\AppData\Roaming\EasyType\eta_10389219_120093_y97_t1_180_edit2\eta_10389219_120093_y97_t1_180_edit2.doc" TargetMode="External"/><Relationship Id="rId82" Type="http://schemas.openxmlformats.org/officeDocument/2006/relationships/hyperlink" Target="file:///C:\Users\p_dikla\AppData\Roaming\EasyType\eta_10389219_120093_y97_t1_180_edit2\eta_10389219_120093_y97_t1_180_edit2.doc" TargetMode="External"/><Relationship Id="rId90" Type="http://schemas.openxmlformats.org/officeDocument/2006/relationships/hyperlink" Target="file:///C:\Users\p_dikla\AppData\Roaming\EasyType\eta_10389219_120093_y97_t1_180_edit2\eta_10389219_120093_y97_t1_180_edit2.doc" TargetMode="External"/><Relationship Id="rId95" Type="http://schemas.openxmlformats.org/officeDocument/2006/relationships/footer" Target="footer2.xml"/><Relationship Id="rId19" Type="http://schemas.openxmlformats.org/officeDocument/2006/relationships/hyperlink" Target="file:///C:\Users\p_dikla\AppData\Roaming\EasyType\eta_10389219_120093_y97_t1_180_edit2\eta_10389219_120093_y97_t1_180_edit2.doc" TargetMode="External"/><Relationship Id="rId14" Type="http://schemas.openxmlformats.org/officeDocument/2006/relationships/hyperlink" Target="file:///C:\Users\p_dikla\AppData\Roaming\EasyType\eta_10389219_120093_y97_t1_180_edit2\eta_10389219_120093_y97_t1_180_edit2.doc" TargetMode="External"/><Relationship Id="rId22" Type="http://schemas.openxmlformats.org/officeDocument/2006/relationships/hyperlink" Target="file:///C:\Users\p_dikla\AppData\Roaming\EasyType\eta_10389219_120093_y97_t1_180_edit2\eta_10389219_120093_y97_t1_180_edit2.doc" TargetMode="External"/><Relationship Id="rId27" Type="http://schemas.openxmlformats.org/officeDocument/2006/relationships/hyperlink" Target="file:///C:\Users\p_dikla\AppData\Roaming\EasyType\eta_10389219_120093_y97_t1_180_edit2\eta_10389219_120093_y97_t1_180_edit2.doc" TargetMode="External"/><Relationship Id="rId30" Type="http://schemas.openxmlformats.org/officeDocument/2006/relationships/hyperlink" Target="file:///C:\Users\p_dikla\AppData\Roaming\EasyType\eta_10389219_120093_y97_t1_180_edit2\eta_10389219_120093_y97_t1_180_edit2.doc" TargetMode="External"/><Relationship Id="rId35" Type="http://schemas.openxmlformats.org/officeDocument/2006/relationships/hyperlink" Target="file:///C:\Users\p_dikla\AppData\Roaming\EasyType\eta_10389219_120093_y97_t1_180_edit2\eta_10389219_120093_y97_t1_180_edit2.doc" TargetMode="External"/><Relationship Id="rId43" Type="http://schemas.openxmlformats.org/officeDocument/2006/relationships/hyperlink" Target="file:///C:\Users\p_dikla\AppData\Roaming\EasyType\eta_10389219_120093_y97_t1_180_edit2\eta_10389219_120093_y97_t1_180_edit2.doc" TargetMode="External"/><Relationship Id="rId48" Type="http://schemas.openxmlformats.org/officeDocument/2006/relationships/hyperlink" Target="file:///C:\Users\p_dikla\AppData\Roaming\EasyType\eta_10389219_120093_y97_t1_180_edit2\eta_10389219_120093_y97_t1_180_edit2.doc" TargetMode="External"/><Relationship Id="rId56" Type="http://schemas.openxmlformats.org/officeDocument/2006/relationships/hyperlink" Target="file:///C:\Users\p_dikla\AppData\Roaming\EasyType\eta_10389219_120093_y97_t1_180_edit2\eta_10389219_120093_y97_t1_180_edit2.doc" TargetMode="External"/><Relationship Id="rId64" Type="http://schemas.openxmlformats.org/officeDocument/2006/relationships/hyperlink" Target="file:///C:\Users\p_dikla\AppData\Roaming\EasyType\eta_10389219_120093_y97_t1_180_edit2\eta_10389219_120093_y97_t1_180_edit2.doc" TargetMode="External"/><Relationship Id="rId69" Type="http://schemas.openxmlformats.org/officeDocument/2006/relationships/hyperlink" Target="file:///C:\Users\p_dikla\AppData\Roaming\EasyType\eta_10389219_120093_y97_t1_180_edit2\eta_10389219_120093_y97_t1_180_edit2.doc" TargetMode="External"/><Relationship Id="rId77" Type="http://schemas.openxmlformats.org/officeDocument/2006/relationships/hyperlink" Target="file:///C:\Users\p_dikla\AppData\Roaming\EasyType\eta_10389219_120093_y97_t1_180_edit2\eta_10389219_120093_y97_t1_180_edit2.doc" TargetMode="External"/><Relationship Id="rId8" Type="http://schemas.openxmlformats.org/officeDocument/2006/relationships/hyperlink" Target="file:///C:\Users\p_dikla\AppData\Roaming\EasyType\eta_10389219_120093_y97_t1_180_edit2\eta_10389219_120093_y97_t1_180_edit2.doc" TargetMode="External"/><Relationship Id="rId51" Type="http://schemas.openxmlformats.org/officeDocument/2006/relationships/hyperlink" Target="file:///C:\Users\p_dikla\AppData\Roaming\EasyType\eta_10389219_120093_y97_t1_180_edit2\eta_10389219_120093_y97_t1_180_edit2.doc" TargetMode="External"/><Relationship Id="rId72" Type="http://schemas.openxmlformats.org/officeDocument/2006/relationships/hyperlink" Target="file:///C:\Users\p_dikla\AppData\Roaming\EasyType\eta_10389219_120093_y97_t1_180_edit2\eta_10389219_120093_y97_t1_180_edit2.doc" TargetMode="External"/><Relationship Id="rId80" Type="http://schemas.openxmlformats.org/officeDocument/2006/relationships/hyperlink" Target="file:///C:\Users\p_dikla\AppData\Roaming\EasyType\eta_10389219_120093_y97_t1_180_edit2\eta_10389219_120093_y97_t1_180_edit2.doc" TargetMode="External"/><Relationship Id="rId85" Type="http://schemas.openxmlformats.org/officeDocument/2006/relationships/hyperlink" Target="file:///C:\Users\p_dikla\AppData\Roaming\EasyType\eta_10389219_120093_y97_t1_180_edit2\eta_10389219_120093_y97_t1_180_edit2.doc" TargetMode="External"/><Relationship Id="rId93" Type="http://schemas.openxmlformats.org/officeDocument/2006/relationships/header" Target="header2.xm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file:///C:\Users\p_dikla\AppData\Roaming\EasyType\eta_10389219_120093_y97_t1_180_edit2\eta_10389219_120093_y97_t1_180_edit2.doc" TargetMode="External"/><Relationship Id="rId17" Type="http://schemas.openxmlformats.org/officeDocument/2006/relationships/hyperlink" Target="file:///C:\Users\p_dikla\AppData\Roaming\EasyType\eta_10389219_120093_y97_t1_180_edit2\eta_10389219_120093_y97_t1_180_edit2.doc" TargetMode="External"/><Relationship Id="rId25" Type="http://schemas.openxmlformats.org/officeDocument/2006/relationships/hyperlink" Target="file:///C:\Users\p_dikla\AppData\Roaming\EasyType\eta_10389219_120093_y97_t1_180_edit2\eta_10389219_120093_y97_t1_180_edit2.doc" TargetMode="External"/><Relationship Id="rId33" Type="http://schemas.openxmlformats.org/officeDocument/2006/relationships/hyperlink" Target="file:///C:\Users\p_dikla\AppData\Roaming\EasyType\eta_10389219_120093_y97_t1_180_edit2\eta_10389219_120093_y97_t1_180_edit2.doc" TargetMode="External"/><Relationship Id="rId38" Type="http://schemas.openxmlformats.org/officeDocument/2006/relationships/hyperlink" Target="file:///C:\Users\p_dikla\AppData\Roaming\EasyType\eta_10389219_120093_y97_t1_180_edit2\eta_10389219_120093_y97_t1_180_edit2.doc" TargetMode="External"/><Relationship Id="rId46" Type="http://schemas.openxmlformats.org/officeDocument/2006/relationships/hyperlink" Target="file:///C:\Users\p_dikla\AppData\Roaming\EasyType\eta_10389219_120093_y97_t1_180_edit2\eta_10389219_120093_y97_t1_180_edit2.doc" TargetMode="External"/><Relationship Id="rId59" Type="http://schemas.openxmlformats.org/officeDocument/2006/relationships/hyperlink" Target="file:///C:\Users\p_dikla\AppData\Roaming\EasyType\eta_10389219_120093_y97_t1_180_edit2\eta_10389219_120093_y97_t1_180_edit2.doc" TargetMode="External"/><Relationship Id="rId67" Type="http://schemas.openxmlformats.org/officeDocument/2006/relationships/hyperlink" Target="file:///C:\Users\p_dikla\AppData\Roaming\EasyType\eta_10389219_120093_y97_t1_180_edit2\eta_10389219_120093_y97_t1_180_edit2.doc" TargetMode="External"/><Relationship Id="rId20" Type="http://schemas.openxmlformats.org/officeDocument/2006/relationships/hyperlink" Target="file:///C:\Users\p_dikla\AppData\Roaming\EasyType\eta_10389219_120093_y97_t1_180_edit2\eta_10389219_120093_y97_t1_180_edit2.doc" TargetMode="External"/><Relationship Id="rId41" Type="http://schemas.openxmlformats.org/officeDocument/2006/relationships/hyperlink" Target="file:///C:\Users\p_dikla\AppData\Roaming\EasyType\eta_10389219_120093_y97_t1_180_edit2\eta_10389219_120093_y97_t1_180_edit2.doc" TargetMode="External"/><Relationship Id="rId54" Type="http://schemas.openxmlformats.org/officeDocument/2006/relationships/hyperlink" Target="file:///C:\Users\p_dikla\AppData\Roaming\EasyType\eta_10389219_120093_y97_t1_180_edit2\eta_10389219_120093_y97_t1_180_edit2.doc" TargetMode="External"/><Relationship Id="rId62" Type="http://schemas.openxmlformats.org/officeDocument/2006/relationships/hyperlink" Target="file:///C:\Users\p_dikla\AppData\Roaming\EasyType\eta_10389219_120093_y97_t1_180_edit2\eta_10389219_120093_y97_t1_180_edit2.doc" TargetMode="External"/><Relationship Id="rId70" Type="http://schemas.openxmlformats.org/officeDocument/2006/relationships/hyperlink" Target="file:///C:\Users\p_dikla\AppData\Roaming\EasyType\eta_10389219_120093_y97_t1_180_edit2\eta_10389219_120093_y97_t1_180_edit2.doc" TargetMode="External"/><Relationship Id="rId75" Type="http://schemas.openxmlformats.org/officeDocument/2006/relationships/hyperlink" Target="file:///C:\Users\p_dikla\AppData\Roaming\EasyType\eta_10389219_120093_y97_t1_180_edit2\eta_10389219_120093_y97_t1_180_edit2.doc" TargetMode="External"/><Relationship Id="rId83" Type="http://schemas.openxmlformats.org/officeDocument/2006/relationships/hyperlink" Target="file:///C:\Users\p_dikla\AppData\Roaming\EasyType\eta_10389219_120093_y97_t1_180_edit2\eta_10389219_120093_y97_t1_180_edit2.doc" TargetMode="External"/><Relationship Id="rId88" Type="http://schemas.openxmlformats.org/officeDocument/2006/relationships/hyperlink" Target="file:///C:\Users\p_dikla\AppData\Roaming\EasyType\eta_10389219_120093_y97_t1_180_edit2\eta_10389219_120093_y97_t1_180_edit2.doc" TargetMode="External"/><Relationship Id="rId91" Type="http://schemas.openxmlformats.org/officeDocument/2006/relationships/hyperlink" Target="file:///C:\Users\p_dikla\AppData\Roaming\EasyType\eta_10389219_120093_y97_t1_180_edit2\eta_10389219_120093_y97_t1_180_edit2.doc" TargetMode="External"/><Relationship Id="rId9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p_dikla\AppData\Roaming\EasyType\eta_10389219_120093_y97_t1_180_edit2\eta_10389219_120093_y97_t1_180_edit2.doc" TargetMode="External"/><Relationship Id="rId23" Type="http://schemas.openxmlformats.org/officeDocument/2006/relationships/hyperlink" Target="file:///C:\Users\p_dikla\AppData\Roaming\EasyType\eta_10389219_120093_y97_t1_180_edit2\eta_10389219_120093_y97_t1_180_edit2.doc" TargetMode="External"/><Relationship Id="rId28" Type="http://schemas.openxmlformats.org/officeDocument/2006/relationships/hyperlink" Target="file:///C:\Users\p_dikla\AppData\Roaming\EasyType\eta_10389219_120093_y97_t1_180_edit2\eta_10389219_120093_y97_t1_180_edit2.doc" TargetMode="External"/><Relationship Id="rId36" Type="http://schemas.openxmlformats.org/officeDocument/2006/relationships/hyperlink" Target="file:///C:\Users\p_dikla\AppData\Roaming\EasyType\eta_10389219_120093_y97_t1_180_edit2\eta_10389219_120093_y97_t1_180_edit2.doc" TargetMode="External"/><Relationship Id="rId49" Type="http://schemas.openxmlformats.org/officeDocument/2006/relationships/hyperlink" Target="file:///C:\Users\p_dikla\AppData\Roaming\EasyType\eta_10389219_120093_y97_t1_180_edit2\eta_10389219_120093_y97_t1_180_edit2.doc" TargetMode="External"/><Relationship Id="rId57" Type="http://schemas.openxmlformats.org/officeDocument/2006/relationships/hyperlink" Target="file:///C:\Users\p_dikla\AppData\Roaming\EasyType\eta_10389219_120093_y97_t1_180_edit2\eta_10389219_120093_y97_t1_180_edit2.doc" TargetMode="External"/><Relationship Id="rId10" Type="http://schemas.openxmlformats.org/officeDocument/2006/relationships/hyperlink" Target="file:///C:\Users\p_dikla\AppData\Roaming\EasyType\eta_10389219_120093_y97_t1_180_edit2\eta_10389219_120093_y97_t1_180_edit2.doc" TargetMode="External"/><Relationship Id="rId31" Type="http://schemas.openxmlformats.org/officeDocument/2006/relationships/hyperlink" Target="file:///C:\Users\p_dikla\AppData\Roaming\EasyType\eta_10389219_120093_y97_t1_180_edit2\eta_10389219_120093_y97_t1_180_edit2.doc" TargetMode="External"/><Relationship Id="rId44" Type="http://schemas.openxmlformats.org/officeDocument/2006/relationships/hyperlink" Target="file:///C:\Users\p_dikla\AppData\Roaming\EasyType\eta_10389219_120093_y97_t1_180_edit2\eta_10389219_120093_y97_t1_180_edit2.doc" TargetMode="External"/><Relationship Id="rId52" Type="http://schemas.openxmlformats.org/officeDocument/2006/relationships/hyperlink" Target="file:///C:\Users\p_dikla\AppData\Roaming\EasyType\eta_10389219_120093_y97_t1_180_edit2\eta_10389219_120093_y97_t1_180_edit2.doc" TargetMode="External"/><Relationship Id="rId60" Type="http://schemas.openxmlformats.org/officeDocument/2006/relationships/hyperlink" Target="file:///C:\Users\p_dikla\AppData\Roaming\EasyType\eta_10389219_120093_y97_t1_180_edit2\eta_10389219_120093_y97_t1_180_edit2.doc" TargetMode="External"/><Relationship Id="rId65" Type="http://schemas.openxmlformats.org/officeDocument/2006/relationships/hyperlink" Target="file:///C:\Users\p_dikla\AppData\Roaming\EasyType\eta_10389219_120093_y97_t1_180_edit2\eta_10389219_120093_y97_t1_180_edit2.doc" TargetMode="External"/><Relationship Id="rId73" Type="http://schemas.openxmlformats.org/officeDocument/2006/relationships/hyperlink" Target="file:///C:\Users\p_dikla\AppData\Roaming\EasyType\eta_10389219_120093_y97_t1_180_edit2\eta_10389219_120093_y97_t1_180_edit2.doc" TargetMode="External"/><Relationship Id="rId78" Type="http://schemas.openxmlformats.org/officeDocument/2006/relationships/hyperlink" Target="file:///C:\Users\p_dikla\AppData\Roaming\EasyType\eta_10389219_120093_y97_t1_180_edit2\eta_10389219_120093_y97_t1_180_edit2.doc" TargetMode="External"/><Relationship Id="rId81" Type="http://schemas.openxmlformats.org/officeDocument/2006/relationships/hyperlink" Target="file:///C:\Users\p_dikla\AppData\Roaming\EasyType\eta_10389219_120093_y97_t1_180_edit2\eta_10389219_120093_y97_t1_180_edit2.doc" TargetMode="External"/><Relationship Id="rId86" Type="http://schemas.openxmlformats.org/officeDocument/2006/relationships/hyperlink" Target="file:///C:\Users\p_dikla\AppData\Roaming\EasyType\eta_10389219_120093_y97_t1_180_edit2\eta_10389219_120093_y97_t1_180_edit2.doc" TargetMode="External"/><Relationship Id="rId94" Type="http://schemas.openxmlformats.org/officeDocument/2006/relationships/footer" Target="footer1.xm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p_dikla\AppData\Roaming\EasyType\eta_10389219_120093_y97_t1_180_edit2\eta_10389219_120093_y97_t1_180_edit2.doc" TargetMode="External"/><Relationship Id="rId13" Type="http://schemas.openxmlformats.org/officeDocument/2006/relationships/hyperlink" Target="file:///C:\Users\p_dikla\AppData\Roaming\EasyType\eta_10389219_120093_y97_t1_180_edit2\eta_10389219_120093_y97_t1_180_edit2.doc" TargetMode="External"/><Relationship Id="rId18" Type="http://schemas.openxmlformats.org/officeDocument/2006/relationships/hyperlink" Target="file:///C:\Users\p_dikla\AppData\Roaming\EasyType\eta_10389219_120093_y97_t1_180_edit2\eta_10389219_120093_y97_t1_180_edit2.doc" TargetMode="External"/><Relationship Id="rId39" Type="http://schemas.openxmlformats.org/officeDocument/2006/relationships/hyperlink" Target="file:///C:\Users\p_dikla\AppData\Roaming\EasyType\eta_10389219_120093_y97_t1_180_edit2\eta_10389219_120093_y97_t1_180_edit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3357</TotalTime>
  <Pages>10</Pages>
  <Words>160942</Words>
  <Characters>917373</Characters>
  <Application>Microsoft Office Word</Application>
  <DocSecurity>0</DocSecurity>
  <Lines>7644</Lines>
  <Paragraphs>2152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1076163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179</cp:revision>
  <cp:lastPrinted>1899-12-31T22:00:00Z</cp:lastPrinted>
  <dcterms:created xsi:type="dcterms:W3CDTF">2018-05-03T11:21:00Z</dcterms:created>
  <dcterms:modified xsi:type="dcterms:W3CDTF">2024-05-15T11:38:00Z</dcterms:modified>
</cp:coreProperties>
</file>